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15144447"/>
    <w:bookmarkStart w:id="1" w:name="_Toc356553905"/>
    <w:bookmarkStart w:id="2" w:name="_Toc356553938"/>
    <w:bookmarkStart w:id="3" w:name="_Toc356554442"/>
    <w:bookmarkStart w:id="4" w:name="_Toc356554664"/>
    <w:p w14:paraId="2F0C3511" w14:textId="5EE41551" w:rsidR="00EF3F3F" w:rsidRPr="004C6CBE" w:rsidRDefault="00EF3F3F" w:rsidP="00C11842">
      <w:pPr>
        <w:spacing w:before="100" w:beforeAutospacing="1" w:after="100" w:afterAutospacing="1" w:line="240" w:lineRule="auto"/>
        <w:rPr>
          <w:rFonts w:ascii="Aptos" w:eastAsia="Malgun Gothic" w:hAnsi="Aptos" w:cs="Times New Roman"/>
          <w:color w:val="002060"/>
          <w:sz w:val="24"/>
          <w:szCs w:val="24"/>
          <w:lang w:eastAsia="zh-CN"/>
        </w:rPr>
      </w:pPr>
      <w:r w:rsidRPr="004C6CBE">
        <w:rPr>
          <w:rFonts w:ascii="Aptos" w:eastAsia="Malgun Gothic" w:hAnsi="Aptos"/>
          <w:noProof/>
        </w:rPr>
        <mc:AlternateContent>
          <mc:Choice Requires="wps">
            <w:drawing>
              <wp:inline distT="0" distB="0" distL="0" distR="0" wp14:anchorId="6F12A169" wp14:editId="38C722F2">
                <wp:extent cx="304800" cy="304800"/>
                <wp:effectExtent l="0" t="0" r="0" b="0"/>
                <wp:docPr id="3" name="AutoShape 4" descr="Chúc Mừng Năm Mới 2025 Tết Cổ Truyền Việt Nam | EPS Tải xuống miễn phí -  Pikbes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E6D6DD" id="AutoShape 4" o:spid="_x0000_s1026" alt="Chúc Mừng Năm Mới 2025 Tết Cổ Truyền Việt Nam | EPS Tải xuống miễn phí -  Pikbes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224B89F" w14:textId="27E90B12" w:rsidR="00982DCA" w:rsidRPr="009C70BE" w:rsidRDefault="003C4CF1" w:rsidP="00982DCA">
      <w:pPr>
        <w:spacing w:before="100" w:beforeAutospacing="1" w:after="100" w:afterAutospacing="1" w:line="240" w:lineRule="auto"/>
        <w:rPr>
          <w:rFonts w:ascii="Aptos" w:eastAsia="Malgun Gothic" w:hAnsi="Aptos" w:cs="Times New Roman"/>
          <w:color w:val="002060"/>
          <w:sz w:val="24"/>
          <w:szCs w:val="24"/>
          <w:lang w:eastAsia="zh-CN"/>
        </w:rPr>
      </w:pPr>
      <w:r w:rsidRPr="004C6CBE">
        <w:rPr>
          <w:rFonts w:ascii="Aptos" w:eastAsia="Malgun Gothic" w:hAnsi="Aptos" w:cs="Times New Roman"/>
          <w:color w:val="002060"/>
          <w:sz w:val="24"/>
          <w:szCs w:val="24"/>
          <w:lang w:eastAsia="zh-CN"/>
        </w:rPr>
        <w:t>VIETNAM – NEWS AND REGULATIONS</w:t>
      </w:r>
      <w:r w:rsidR="006401FC" w:rsidRPr="004C6CBE">
        <w:rPr>
          <w:rFonts w:ascii="Aptos" w:eastAsia="Malgun Gothic" w:hAnsi="Aptos" w:cs="Times New Roman"/>
          <w:color w:val="002060"/>
          <w:sz w:val="24"/>
          <w:szCs w:val="24"/>
          <w:lang w:eastAsia="zh-CN"/>
        </w:rPr>
        <w:t xml:space="preserve"> </w:t>
      </w:r>
      <w:bookmarkStart w:id="5" w:name="_Toc80967347"/>
      <w:bookmarkStart w:id="6" w:name="_Toc82098797"/>
      <w:bookmarkStart w:id="7" w:name="_Toc82697198"/>
      <w:bookmarkStart w:id="8" w:name="_Toc83296662"/>
      <w:bookmarkStart w:id="9" w:name="_Toc83896621"/>
      <w:bookmarkStart w:id="10" w:name="_Toc84511064"/>
      <w:bookmarkStart w:id="11" w:name="_Toc85126349"/>
      <w:bookmarkStart w:id="12" w:name="_Toc85726056"/>
      <w:bookmarkStart w:id="13" w:name="_Hlk84506692"/>
      <w:bookmarkStart w:id="14" w:name="_Toc424891965"/>
      <w:bookmarkStart w:id="15" w:name="_Toc425495582"/>
      <w:bookmarkStart w:id="16" w:name="_Toc426104618"/>
      <w:bookmarkStart w:id="17" w:name="_Toc426707567"/>
      <w:bookmarkStart w:id="18" w:name="_Toc427312137"/>
      <w:bookmarkStart w:id="19" w:name="_Toc427915946"/>
      <w:bookmarkStart w:id="20" w:name="_Toc428523119"/>
      <w:bookmarkStart w:id="21" w:name="_Toc429732368"/>
      <w:bookmarkStart w:id="22" w:name="_Toc430335758"/>
      <w:bookmarkStart w:id="23" w:name="_Toc430941468"/>
    </w:p>
    <w:p w14:paraId="0446F084" w14:textId="1628467C" w:rsidR="0061575D" w:rsidRPr="00982DCA" w:rsidRDefault="0061575D" w:rsidP="00982DCA">
      <w:pPr>
        <w:spacing w:before="100" w:beforeAutospacing="1" w:after="100" w:afterAutospacing="1" w:line="240" w:lineRule="auto"/>
        <w:rPr>
          <w:rFonts w:ascii="Aptos" w:hAnsi="Aptos" w:cs="Times New Roman"/>
          <w:color w:val="002060"/>
          <w:sz w:val="24"/>
          <w:szCs w:val="24"/>
          <w:lang w:eastAsia="zh-CN"/>
        </w:rPr>
      </w:pPr>
      <w:r w:rsidRPr="004C6CBE">
        <w:rPr>
          <w:rFonts w:ascii="Aptos" w:eastAsia="Malgun Gothic" w:hAnsi="Aptos" w:cs="Arial"/>
          <w:color w:val="002060"/>
          <w:lang w:val="en-GB" w:eastAsia="en-GB"/>
        </w:rPr>
        <w:t>Dear Friends,</w:t>
      </w:r>
    </w:p>
    <w:p w14:paraId="3085B446" w14:textId="77777777" w:rsidR="0061575D" w:rsidRPr="004C6CBE" w:rsidRDefault="0061575D" w:rsidP="0061575D">
      <w:pPr>
        <w:shd w:val="clear" w:color="auto" w:fill="FFFFFF"/>
        <w:spacing w:after="0" w:line="288" w:lineRule="auto"/>
        <w:jc w:val="both"/>
        <w:rPr>
          <w:rFonts w:ascii="Aptos" w:eastAsia="Malgun Gothic" w:hAnsi="Aptos" w:cs="Arial"/>
          <w:color w:val="002060"/>
          <w:lang w:val="en-GB" w:eastAsia="en-GB"/>
        </w:rPr>
      </w:pPr>
      <w:r w:rsidRPr="004C6CBE">
        <w:rPr>
          <w:rFonts w:ascii="Aptos" w:eastAsia="Malgun Gothic" w:hAnsi="Aptos" w:cs="Arial"/>
          <w:color w:val="002060"/>
          <w:lang w:val="en-GB" w:eastAsia="en-GB"/>
        </w:rPr>
        <w:t>[Thank you for your interest in this topic. You have informed me that you wish to receive this newsletter. This communication may be considered promotional in nature.] If you no longer wish to receive any promotional communications from </w:t>
      </w:r>
      <w:proofErr w:type="spellStart"/>
      <w:r w:rsidRPr="004C6CBE">
        <w:rPr>
          <w:rFonts w:ascii="Aptos" w:eastAsia="Malgun Gothic" w:hAnsi="Aptos" w:cs="Arial"/>
          <w:color w:val="002060"/>
          <w:lang w:val="en-GB" w:eastAsia="en-GB"/>
        </w:rPr>
        <w:t>Dr.</w:t>
      </w:r>
      <w:proofErr w:type="spellEnd"/>
      <w:r w:rsidRPr="004C6CBE">
        <w:rPr>
          <w:rFonts w:ascii="Aptos" w:eastAsia="Malgun Gothic" w:hAnsi="Aptos" w:cs="Arial"/>
          <w:color w:val="002060"/>
          <w:lang w:val="en-GB" w:eastAsia="en-GB"/>
        </w:rPr>
        <w:t xml:space="preserve"> Oliver Massmann, please respond to this email and put "UNSUBSCRIBE ALL" in the subject line. Thank you!</w:t>
      </w:r>
    </w:p>
    <w:p w14:paraId="14619D60" w14:textId="77777777" w:rsidR="0061575D" w:rsidRPr="004C6CBE" w:rsidRDefault="0061575D" w:rsidP="0061575D">
      <w:pPr>
        <w:shd w:val="clear" w:color="auto" w:fill="FFFFFF"/>
        <w:spacing w:line="288" w:lineRule="auto"/>
        <w:jc w:val="both"/>
        <w:rPr>
          <w:rFonts w:ascii="Aptos" w:eastAsia="Malgun Gothic" w:hAnsi="Aptos" w:cs="Arial"/>
          <w:color w:val="002060"/>
          <w:lang w:val="en-GB" w:eastAsia="en-GB"/>
        </w:rPr>
      </w:pPr>
    </w:p>
    <w:p w14:paraId="7FDF2B56" w14:textId="77777777" w:rsidR="0061575D" w:rsidRPr="004C6CBE" w:rsidRDefault="0061575D" w:rsidP="0061575D">
      <w:pPr>
        <w:shd w:val="clear" w:color="auto" w:fill="FFFFFF"/>
        <w:spacing w:line="288" w:lineRule="auto"/>
        <w:jc w:val="both"/>
        <w:rPr>
          <w:rFonts w:ascii="Aptos" w:eastAsia="Malgun Gothic" w:hAnsi="Aptos" w:cs="Arial"/>
          <w:color w:val="002060"/>
          <w:lang w:val="en-GB" w:eastAsia="en-GB"/>
        </w:rPr>
      </w:pPr>
      <w:r w:rsidRPr="004C6CBE">
        <w:rPr>
          <w:rFonts w:ascii="Aptos" w:eastAsia="Malgun Gothic" w:hAnsi="Aptos" w:cs="Arial"/>
          <w:color w:val="002060"/>
          <w:lang w:val="en-GB" w:eastAsia="en-GB"/>
        </w:rPr>
        <w:t>With Compliments</w:t>
      </w:r>
    </w:p>
    <w:p w14:paraId="1ADE8137" w14:textId="54934ACC" w:rsidR="00A02FA5" w:rsidRPr="004C6CBE" w:rsidRDefault="00A02FA5" w:rsidP="00A02FA5">
      <w:pPr>
        <w:shd w:val="clear" w:color="auto" w:fill="FFFFFF"/>
        <w:spacing w:after="0" w:line="288" w:lineRule="atLeast"/>
        <w:jc w:val="both"/>
        <w:rPr>
          <w:rFonts w:ascii="Aptos" w:eastAsia="Malgun Gothic" w:hAnsi="Aptos" w:cs="Aptos"/>
          <w:color w:val="002060"/>
          <w:lang w:val="en-GB"/>
        </w:rPr>
      </w:pPr>
      <w:proofErr w:type="spellStart"/>
      <w:r w:rsidRPr="004C6CBE">
        <w:rPr>
          <w:rFonts w:ascii="Aptos" w:eastAsia="Malgun Gothic" w:hAnsi="Aptos" w:cs="Aptos"/>
          <w:color w:val="002060"/>
          <w:lang w:val="en-GB"/>
        </w:rPr>
        <w:t>Dr.</w:t>
      </w:r>
      <w:proofErr w:type="spellEnd"/>
      <w:r w:rsidRPr="004C6CBE">
        <w:rPr>
          <w:rFonts w:ascii="Aptos" w:eastAsia="Malgun Gothic" w:hAnsi="Aptos" w:cs="Aptos"/>
          <w:color w:val="002060"/>
          <w:lang w:val="en-GB"/>
        </w:rPr>
        <w:t xml:space="preserve"> Oliver Massmann</w:t>
      </w:r>
    </w:p>
    <w:p w14:paraId="31A95285" w14:textId="77777777" w:rsidR="00342D5C" w:rsidRPr="004C6CBE" w:rsidRDefault="00342D5C" w:rsidP="00A02FA5">
      <w:pPr>
        <w:shd w:val="clear" w:color="auto" w:fill="FFFFFF"/>
        <w:spacing w:after="0" w:line="288" w:lineRule="atLeast"/>
        <w:jc w:val="both"/>
        <w:rPr>
          <w:rFonts w:ascii="Aptos" w:eastAsia="Malgun Gothic" w:hAnsi="Aptos" w:cs="Aptos"/>
          <w:sz w:val="24"/>
          <w:szCs w:val="24"/>
        </w:rPr>
      </w:pPr>
    </w:p>
    <w:p w14:paraId="650FCDDB" w14:textId="77777777" w:rsidR="00A02FA5" w:rsidRPr="004C6CBE" w:rsidRDefault="00A02FA5" w:rsidP="00A02FA5">
      <w:pPr>
        <w:shd w:val="clear" w:color="auto" w:fill="FFFFFF"/>
        <w:spacing w:after="0" w:line="288" w:lineRule="atLeast"/>
        <w:rPr>
          <w:rFonts w:ascii="Aptos" w:eastAsia="Malgun Gothic" w:hAnsi="Aptos" w:cs="Aptos"/>
          <w:sz w:val="24"/>
          <w:szCs w:val="24"/>
        </w:rPr>
      </w:pPr>
      <w:r w:rsidRPr="004C6CBE">
        <w:rPr>
          <w:rFonts w:ascii="Aptos" w:eastAsia="Malgun Gothic" w:hAnsi="Aptos" w:cs="Aptos"/>
          <w:color w:val="002060"/>
          <w:lang w:val="en-GB"/>
        </w:rPr>
        <w:t>International Attorney at Law</w:t>
      </w:r>
      <w:r w:rsidRPr="004C6CBE">
        <w:rPr>
          <w:rFonts w:ascii="Aptos" w:eastAsia="Malgun Gothic" w:hAnsi="Aptos" w:cs="Aptos"/>
          <w:color w:val="002060"/>
          <w:lang w:val="en-GB"/>
        </w:rPr>
        <w:br/>
        <w:t>Certified Financial Accountant and Auditor</w:t>
      </w:r>
    </w:p>
    <w:p w14:paraId="2A593136" w14:textId="77777777" w:rsidR="00A02FA5" w:rsidRPr="004C6CBE" w:rsidRDefault="00A02FA5" w:rsidP="00A02FA5">
      <w:pPr>
        <w:shd w:val="clear" w:color="auto" w:fill="FFFFFF"/>
        <w:spacing w:after="0" w:line="288" w:lineRule="atLeast"/>
        <w:rPr>
          <w:rFonts w:ascii="Aptos" w:eastAsia="Malgun Gothic" w:hAnsi="Aptos" w:cs="Aptos"/>
          <w:sz w:val="24"/>
          <w:szCs w:val="24"/>
        </w:rPr>
      </w:pPr>
      <w:r w:rsidRPr="004C6CBE">
        <w:rPr>
          <w:rFonts w:ascii="Aptos" w:eastAsia="Malgun Gothic" w:hAnsi="Aptos" w:cs="Aptos"/>
          <w:color w:val="002060"/>
          <w:lang w:val="en-GB"/>
        </w:rPr>
        <w:t>Partner - General Director of Duane Morris Vietnam LLC</w:t>
      </w:r>
    </w:p>
    <w:p w14:paraId="3AC1B89D" w14:textId="77777777" w:rsidR="00A02FA5" w:rsidRPr="004C6CBE" w:rsidRDefault="00A02FA5" w:rsidP="00A02FA5">
      <w:pPr>
        <w:spacing w:after="0" w:line="240" w:lineRule="auto"/>
        <w:rPr>
          <w:rFonts w:ascii="Aptos" w:eastAsia="Malgun Gothic" w:hAnsi="Aptos" w:cs="Aptos"/>
          <w:sz w:val="24"/>
          <w:szCs w:val="24"/>
        </w:rPr>
      </w:pPr>
      <w:r w:rsidRPr="004C6CBE">
        <w:rPr>
          <w:rFonts w:ascii="Aptos" w:eastAsia="Malgun Gothic" w:hAnsi="Aptos" w:cs="Aptos"/>
          <w:color w:val="002060"/>
          <w:lang w:val="en-GB"/>
        </w:rPr>
        <w:t>Chairman of the Advisory Board of the German-Vietnamese Society and Delegate of the German-Vietnamese Society in Vietnam </w:t>
      </w:r>
    </w:p>
    <w:p w14:paraId="1B165F07" w14:textId="77777777" w:rsidR="00982DCA" w:rsidRPr="004C6CBE" w:rsidRDefault="00982DCA" w:rsidP="005D5A13">
      <w:pPr>
        <w:rPr>
          <w:rFonts w:ascii="Aptos" w:eastAsia="Malgun Gothic" w:hAnsi="Aptos"/>
        </w:rPr>
      </w:pPr>
    </w:p>
    <w:p w14:paraId="5C6EEA1A" w14:textId="36C0BA5D" w:rsidR="002A2319" w:rsidRDefault="009119D4" w:rsidP="00041085">
      <w:pPr>
        <w:pStyle w:val="TOC1"/>
        <w:rPr>
          <w:rStyle w:val="Hyperlink"/>
          <w:color w:val="0070C0"/>
          <w:sz w:val="28"/>
          <w:szCs w:val="28"/>
        </w:rPr>
      </w:pPr>
      <w:r w:rsidRPr="00D56623">
        <w:rPr>
          <w:rStyle w:val="Hyperlink"/>
          <w:color w:val="0070C0"/>
          <w:sz w:val="28"/>
          <w:szCs w:val="28"/>
        </w:rPr>
        <w:t>HEADLINES</w:t>
      </w:r>
      <w:bookmarkStart w:id="24" w:name="_Toc140757900"/>
      <w:bookmarkStart w:id="25" w:name="_Toc141359479"/>
      <w:bookmarkStart w:id="26" w:name="_Toc141965591"/>
      <w:bookmarkStart w:id="27" w:name="_Toc142569940"/>
      <w:bookmarkStart w:id="28" w:name="_Toc143174993"/>
      <w:bookmarkStart w:id="29" w:name="_Toc143779695"/>
      <w:bookmarkStart w:id="30" w:name="_Toc144384318"/>
      <w:bookmarkStart w:id="31" w:name="_Toc144991134"/>
      <w:bookmarkStart w:id="32" w:name="_Toc145601263"/>
      <w:bookmarkStart w:id="33" w:name="_Toc146205281"/>
      <w:bookmarkStart w:id="34" w:name="_Toc146808592"/>
      <w:bookmarkStart w:id="35" w:name="_Toc147412047"/>
      <w:bookmarkStart w:id="36" w:name="_Toc86326943"/>
      <w:bookmarkStart w:id="37" w:name="_Toc86928716"/>
      <w:bookmarkStart w:id="38" w:name="_Toc87533858"/>
      <w:bookmarkStart w:id="39" w:name="_Toc88139969"/>
      <w:bookmarkStart w:id="40" w:name="_Toc88827417"/>
      <w:bookmarkStart w:id="41" w:name="_Toc89348590"/>
      <w:bookmarkStart w:id="42" w:name="_Toc89954352"/>
      <w:bookmarkStart w:id="43" w:name="_Toc90547123"/>
      <w:bookmarkStart w:id="44" w:name="_Toc91162871"/>
      <w:bookmarkStart w:id="45" w:name="_Toc92977885"/>
      <w:bookmarkStart w:id="46" w:name="_Toc93582828"/>
      <w:bookmarkStart w:id="47" w:name="_Toc94185870"/>
      <w:bookmarkStart w:id="48" w:name="_Toc124758935"/>
      <w:bookmarkStart w:id="49" w:name="_Toc126243192"/>
      <w:bookmarkStart w:id="50" w:name="_Toc126844367"/>
      <w:bookmarkStart w:id="51" w:name="_Toc127449229"/>
      <w:bookmarkStart w:id="52" w:name="_Toc128057338"/>
      <w:bookmarkStart w:id="53" w:name="_Toc128657891"/>
      <w:bookmarkStart w:id="54" w:name="_Toc129265037"/>
      <w:bookmarkStart w:id="55" w:name="_Toc129869279"/>
      <w:bookmarkStart w:id="56" w:name="_Toc130472583"/>
      <w:bookmarkStart w:id="57" w:name="_Toc131080422"/>
      <w:bookmarkStart w:id="58" w:name="_Toc131684255"/>
    </w:p>
    <w:p w14:paraId="7934A7FC" w14:textId="77777777" w:rsidR="00041085" w:rsidRPr="00041085" w:rsidRDefault="00041085" w:rsidP="00041085"/>
    <w:p w14:paraId="569AFC79" w14:textId="761810A4" w:rsidR="007B6FEF" w:rsidRPr="002A2319" w:rsidRDefault="007B6FEF" w:rsidP="00041085">
      <w:pPr>
        <w:pStyle w:val="TOC1"/>
        <w:spacing w:line="360" w:lineRule="auto"/>
        <w:rPr>
          <w:rStyle w:val="Hyperlink"/>
          <w:color w:val="0070C0"/>
          <w:sz w:val="24"/>
          <w:szCs w:val="24"/>
        </w:rPr>
      </w:pPr>
      <w:r w:rsidRPr="002A2319">
        <w:rPr>
          <w:rStyle w:val="Hyperlink"/>
          <w:color w:val="0070C0"/>
        </w:rPr>
        <w:fldChar w:fldCharType="begin"/>
      </w:r>
      <w:r w:rsidRPr="002A2319">
        <w:rPr>
          <w:rStyle w:val="Hyperlink"/>
          <w:color w:val="0070C0"/>
        </w:rPr>
        <w:instrText xml:space="preserve"> TOC \o "1-3" \n \h \z \u </w:instrText>
      </w:r>
      <w:r w:rsidRPr="002A2319">
        <w:rPr>
          <w:rStyle w:val="Hyperlink"/>
          <w:color w:val="0070C0"/>
        </w:rPr>
        <w:fldChar w:fldCharType="separate"/>
      </w:r>
      <w:hyperlink w:anchor="_Toc223006334" w:history="1">
        <w:r w:rsidRPr="002A2319">
          <w:rPr>
            <w:rStyle w:val="Hyperlink"/>
            <w:color w:val="0070C0"/>
            <w:sz w:val="24"/>
            <w:szCs w:val="24"/>
          </w:rPr>
          <w:t>TOP NEWS</w:t>
        </w:r>
      </w:hyperlink>
    </w:p>
    <w:p w14:paraId="12D4A0D4" w14:textId="7435F0FE" w:rsidR="007B6FEF" w:rsidRPr="00041085" w:rsidRDefault="007B6FEF" w:rsidP="00041085">
      <w:pPr>
        <w:pStyle w:val="TOC1"/>
        <w:spacing w:line="360" w:lineRule="auto"/>
        <w:rPr>
          <w:rStyle w:val="Hyperlink"/>
          <w:color w:val="0070C0"/>
          <w:sz w:val="20"/>
          <w:szCs w:val="20"/>
        </w:rPr>
      </w:pPr>
      <w:hyperlink w:anchor="_Toc223006335" w:history="1">
        <w:r w:rsidRPr="00041085">
          <w:rPr>
            <w:rStyle w:val="Hyperlink"/>
            <w:color w:val="0070C0"/>
            <w:sz w:val="20"/>
            <w:szCs w:val="20"/>
          </w:rPr>
          <w:t>VIETNAM: INVESTING IN SOLAR PROJECTS WITH DPPA AND BESS - WHAT YOU MUST KNOW</w:t>
        </w:r>
      </w:hyperlink>
    </w:p>
    <w:p w14:paraId="7F6E172B" w14:textId="63452130" w:rsidR="002A2319" w:rsidRPr="00041085" w:rsidRDefault="007B6FEF" w:rsidP="00041085">
      <w:pPr>
        <w:pStyle w:val="TOC1"/>
        <w:spacing w:line="360" w:lineRule="auto"/>
      </w:pPr>
      <w:hyperlink w:anchor="_Toc223006336" w:history="1">
        <w:r w:rsidRPr="00041085">
          <w:rPr>
            <w:rStyle w:val="Hyperlink"/>
            <w:color w:val="0070C0"/>
            <w:sz w:val="20"/>
            <w:szCs w:val="20"/>
          </w:rPr>
          <w:t>MERGERS &amp; ACQUISITIONS IN VIETNAM - 2026 EDITION</w:t>
        </w:r>
      </w:hyperlink>
    </w:p>
    <w:p w14:paraId="22A52161" w14:textId="533516B3" w:rsidR="007B6FEF" w:rsidRPr="002A2319" w:rsidRDefault="007B6FEF" w:rsidP="00041085">
      <w:pPr>
        <w:pStyle w:val="TOC1"/>
        <w:spacing w:line="360" w:lineRule="auto"/>
        <w:rPr>
          <w:rStyle w:val="Hyperlink"/>
          <w:color w:val="0070C0"/>
          <w:sz w:val="24"/>
          <w:szCs w:val="24"/>
        </w:rPr>
      </w:pPr>
      <w:hyperlink w:anchor="_Toc223006371" w:history="1">
        <w:r w:rsidRPr="002A2319">
          <w:rPr>
            <w:rStyle w:val="Hyperlink"/>
            <w:color w:val="0070C0"/>
            <w:sz w:val="24"/>
            <w:szCs w:val="24"/>
          </w:rPr>
          <w:t>FINANCE</w:t>
        </w:r>
      </w:hyperlink>
    </w:p>
    <w:p w14:paraId="33FE4375" w14:textId="4BE959DF" w:rsidR="007B6FEF" w:rsidRPr="00041085" w:rsidRDefault="007B6FEF" w:rsidP="00041085">
      <w:pPr>
        <w:pStyle w:val="TOC1"/>
        <w:spacing w:line="360" w:lineRule="auto"/>
        <w:rPr>
          <w:rStyle w:val="Hyperlink"/>
          <w:color w:val="0070C0"/>
          <w:sz w:val="20"/>
          <w:szCs w:val="20"/>
        </w:rPr>
      </w:pPr>
      <w:hyperlink w:anchor="_Toc223006372" w:history="1">
        <w:r w:rsidRPr="00041085">
          <w:rPr>
            <w:rStyle w:val="Hyperlink"/>
            <w:color w:val="0070C0"/>
            <w:sz w:val="20"/>
            <w:szCs w:val="20"/>
          </w:rPr>
          <w:t>Shared responsibility for a trust-based tax system</w:t>
        </w:r>
      </w:hyperlink>
    </w:p>
    <w:p w14:paraId="50035CB2" w14:textId="051EABA2" w:rsidR="002A2319" w:rsidRPr="00041085" w:rsidRDefault="007B6FEF" w:rsidP="00041085">
      <w:pPr>
        <w:pStyle w:val="TOC1"/>
        <w:spacing w:line="360" w:lineRule="auto"/>
        <w:rPr>
          <w:rStyle w:val="Hyperlink"/>
          <w:color w:val="0070C0"/>
          <w:sz w:val="20"/>
          <w:szCs w:val="20"/>
        </w:rPr>
      </w:pPr>
      <w:hyperlink w:anchor="_Toc223006374" w:history="1">
        <w:r w:rsidRPr="00041085">
          <w:rPr>
            <w:rStyle w:val="Hyperlink"/>
            <w:color w:val="0070C0"/>
            <w:sz w:val="20"/>
            <w:szCs w:val="20"/>
          </w:rPr>
          <w:t>Home loan interest rates climb sharply amid tighter credit conditions</w:t>
        </w:r>
      </w:hyperlink>
    </w:p>
    <w:p w14:paraId="49D10E89" w14:textId="0FC0988B" w:rsidR="007B6FEF" w:rsidRPr="002A2319" w:rsidRDefault="007B6FEF" w:rsidP="00041085">
      <w:pPr>
        <w:pStyle w:val="TOC1"/>
        <w:spacing w:line="360" w:lineRule="auto"/>
        <w:rPr>
          <w:rStyle w:val="Hyperlink"/>
          <w:color w:val="0070C0"/>
          <w:sz w:val="24"/>
          <w:szCs w:val="24"/>
        </w:rPr>
      </w:pPr>
      <w:hyperlink w:anchor="_Toc223006375" w:history="1">
        <w:r w:rsidRPr="002A2319">
          <w:rPr>
            <w:rStyle w:val="Hyperlink"/>
            <w:color w:val="0070C0"/>
            <w:sz w:val="24"/>
            <w:szCs w:val="24"/>
          </w:rPr>
          <w:t>ECONOMY</w:t>
        </w:r>
      </w:hyperlink>
    </w:p>
    <w:p w14:paraId="74276C37" w14:textId="6785FD5E" w:rsidR="007B6FEF" w:rsidRPr="00041085" w:rsidRDefault="007B6FEF" w:rsidP="00041085">
      <w:pPr>
        <w:pStyle w:val="TOC1"/>
        <w:spacing w:line="360" w:lineRule="auto"/>
        <w:rPr>
          <w:rStyle w:val="Hyperlink"/>
          <w:color w:val="0070C0"/>
          <w:sz w:val="20"/>
          <w:szCs w:val="20"/>
        </w:rPr>
      </w:pPr>
      <w:hyperlink w:anchor="_Toc223006376" w:history="1">
        <w:r w:rsidRPr="00041085">
          <w:rPr>
            <w:rStyle w:val="Hyperlink"/>
            <w:color w:val="0070C0"/>
            <w:sz w:val="20"/>
            <w:szCs w:val="20"/>
          </w:rPr>
          <w:t>Economic integration drives Vietnam’s trade momentum</w:t>
        </w:r>
      </w:hyperlink>
    </w:p>
    <w:p w14:paraId="463D0410" w14:textId="3E3F5DBC" w:rsidR="002A2319" w:rsidRPr="00041085" w:rsidRDefault="007B6FEF" w:rsidP="00041085">
      <w:pPr>
        <w:pStyle w:val="TOC1"/>
        <w:spacing w:line="360" w:lineRule="auto"/>
        <w:rPr>
          <w:rStyle w:val="Hyperlink"/>
          <w:color w:val="0070C0"/>
          <w:sz w:val="20"/>
          <w:szCs w:val="20"/>
        </w:rPr>
      </w:pPr>
      <w:hyperlink w:anchor="_Toc223006377" w:history="1">
        <w:r w:rsidRPr="00041085">
          <w:rPr>
            <w:rStyle w:val="Hyperlink"/>
            <w:color w:val="0070C0"/>
            <w:sz w:val="20"/>
            <w:szCs w:val="20"/>
          </w:rPr>
          <w:t>Exporters step up production after Tết to meet overseas orders</w:t>
        </w:r>
      </w:hyperlink>
    </w:p>
    <w:p w14:paraId="7BB4C320" w14:textId="34C638FD" w:rsidR="007B6FEF" w:rsidRPr="002A2319" w:rsidRDefault="007B6FEF" w:rsidP="00041085">
      <w:pPr>
        <w:pStyle w:val="TOC1"/>
        <w:spacing w:line="360" w:lineRule="auto"/>
        <w:rPr>
          <w:rStyle w:val="Hyperlink"/>
          <w:color w:val="0070C0"/>
          <w:sz w:val="24"/>
          <w:szCs w:val="24"/>
        </w:rPr>
      </w:pPr>
      <w:hyperlink w:anchor="_Toc223006378" w:history="1">
        <w:r w:rsidRPr="002A2319">
          <w:rPr>
            <w:rStyle w:val="Hyperlink"/>
            <w:color w:val="0070C0"/>
            <w:sz w:val="24"/>
            <w:szCs w:val="24"/>
          </w:rPr>
          <w:t>INVESTMENT</w:t>
        </w:r>
      </w:hyperlink>
    </w:p>
    <w:p w14:paraId="60AE9291" w14:textId="107B94FB" w:rsidR="007B6FEF" w:rsidRPr="00041085" w:rsidRDefault="007B6FEF" w:rsidP="00041085">
      <w:pPr>
        <w:pStyle w:val="TOC1"/>
        <w:spacing w:line="360" w:lineRule="auto"/>
        <w:rPr>
          <w:rStyle w:val="Hyperlink"/>
          <w:color w:val="0070C0"/>
          <w:sz w:val="20"/>
          <w:szCs w:val="20"/>
        </w:rPr>
      </w:pPr>
      <w:hyperlink w:anchor="_Toc223006379" w:history="1">
        <w:r w:rsidRPr="00041085">
          <w:rPr>
            <w:rStyle w:val="Hyperlink"/>
            <w:color w:val="0070C0"/>
            <w:sz w:val="20"/>
            <w:szCs w:val="20"/>
          </w:rPr>
          <w:t>Việt Nam forecast to achieve investment-grade credit rating sooner than planned</w:t>
        </w:r>
      </w:hyperlink>
    </w:p>
    <w:p w14:paraId="62197180" w14:textId="5D3137C1" w:rsidR="002A2319" w:rsidRPr="00041085" w:rsidRDefault="007B6FEF" w:rsidP="00041085">
      <w:pPr>
        <w:pStyle w:val="TOC1"/>
        <w:spacing w:line="360" w:lineRule="auto"/>
        <w:rPr>
          <w:rStyle w:val="Hyperlink"/>
          <w:color w:val="0070C0"/>
          <w:sz w:val="20"/>
          <w:szCs w:val="20"/>
        </w:rPr>
      </w:pPr>
      <w:hyperlink w:anchor="_Toc223006380" w:history="1">
        <w:r w:rsidRPr="00041085">
          <w:rPr>
            <w:rStyle w:val="Hyperlink"/>
            <w:color w:val="0070C0"/>
            <w:sz w:val="20"/>
            <w:szCs w:val="20"/>
          </w:rPr>
          <w:t>THACO opens $70 million manufacturing complex in Danang</w:t>
        </w:r>
      </w:hyperlink>
    </w:p>
    <w:p w14:paraId="53AAE6CB" w14:textId="1CA98F70" w:rsidR="007B6FEF" w:rsidRPr="002A2319" w:rsidRDefault="007B6FEF" w:rsidP="00041085">
      <w:pPr>
        <w:pStyle w:val="TOC1"/>
        <w:spacing w:line="360" w:lineRule="auto"/>
        <w:rPr>
          <w:rStyle w:val="Hyperlink"/>
          <w:color w:val="0070C0"/>
          <w:sz w:val="24"/>
          <w:szCs w:val="24"/>
        </w:rPr>
      </w:pPr>
      <w:hyperlink w:anchor="_Toc223006381" w:history="1">
        <w:r w:rsidRPr="002A2319">
          <w:rPr>
            <w:rStyle w:val="Hyperlink"/>
            <w:color w:val="0070C0"/>
            <w:sz w:val="24"/>
            <w:szCs w:val="24"/>
          </w:rPr>
          <w:t>PROPERTY</w:t>
        </w:r>
      </w:hyperlink>
    </w:p>
    <w:p w14:paraId="5E64E185" w14:textId="396087D7" w:rsidR="007B6FEF" w:rsidRPr="00041085" w:rsidRDefault="007B6FEF" w:rsidP="00041085">
      <w:pPr>
        <w:pStyle w:val="TOC1"/>
        <w:spacing w:line="360" w:lineRule="auto"/>
        <w:rPr>
          <w:rStyle w:val="Hyperlink"/>
          <w:color w:val="0070C0"/>
          <w:sz w:val="20"/>
          <w:szCs w:val="20"/>
        </w:rPr>
      </w:pPr>
      <w:hyperlink w:anchor="_Toc223006382" w:history="1">
        <w:r w:rsidRPr="00041085">
          <w:rPr>
            <w:rStyle w:val="Hyperlink"/>
            <w:color w:val="0070C0"/>
            <w:sz w:val="20"/>
            <w:szCs w:val="20"/>
          </w:rPr>
          <w:t>Danang positioned as crucial economic hub for Central Vietnam</w:t>
        </w:r>
      </w:hyperlink>
    </w:p>
    <w:p w14:paraId="572ABB8F" w14:textId="00BE3541" w:rsidR="002A2319" w:rsidRPr="00041085" w:rsidRDefault="007B6FEF" w:rsidP="00041085">
      <w:pPr>
        <w:pStyle w:val="TOC1"/>
        <w:spacing w:line="360" w:lineRule="auto"/>
        <w:rPr>
          <w:rStyle w:val="Hyperlink"/>
          <w:color w:val="0070C0"/>
          <w:sz w:val="20"/>
          <w:szCs w:val="20"/>
        </w:rPr>
      </w:pPr>
      <w:hyperlink w:anchor="_Toc223006383" w:history="1">
        <w:r w:rsidRPr="00041085">
          <w:rPr>
            <w:rStyle w:val="Hyperlink"/>
            <w:color w:val="0070C0"/>
            <w:sz w:val="20"/>
            <w:szCs w:val="20"/>
          </w:rPr>
          <w:t>Specialized Economic Zone to be established in Hai Phong</w:t>
        </w:r>
      </w:hyperlink>
    </w:p>
    <w:p w14:paraId="4586D33F" w14:textId="2EF2A804" w:rsidR="007B6FEF" w:rsidRPr="002A2319" w:rsidRDefault="007B6FEF" w:rsidP="00041085">
      <w:pPr>
        <w:pStyle w:val="TOC1"/>
        <w:spacing w:line="360" w:lineRule="auto"/>
        <w:rPr>
          <w:rStyle w:val="Hyperlink"/>
          <w:color w:val="0070C0"/>
          <w:sz w:val="24"/>
          <w:szCs w:val="24"/>
        </w:rPr>
      </w:pPr>
      <w:hyperlink w:anchor="_Toc223006385" w:history="1">
        <w:r w:rsidRPr="002A2319">
          <w:rPr>
            <w:rStyle w:val="Hyperlink"/>
            <w:color w:val="0070C0"/>
            <w:sz w:val="24"/>
            <w:szCs w:val="24"/>
          </w:rPr>
          <w:t>OIL&amp;GAS&amp;ENERGY&amp;MINING</w:t>
        </w:r>
      </w:hyperlink>
    </w:p>
    <w:p w14:paraId="6062E0CA" w14:textId="4502E74D" w:rsidR="007B6FEF" w:rsidRPr="00041085" w:rsidRDefault="007B6FEF" w:rsidP="00041085">
      <w:pPr>
        <w:pStyle w:val="TOC1"/>
        <w:spacing w:line="360" w:lineRule="auto"/>
        <w:rPr>
          <w:rStyle w:val="Hyperlink"/>
          <w:color w:val="0070C0"/>
          <w:sz w:val="20"/>
          <w:szCs w:val="20"/>
        </w:rPr>
      </w:pPr>
      <w:hyperlink w:anchor="_Toc223006386" w:history="1">
        <w:r w:rsidRPr="00041085">
          <w:rPr>
            <w:rStyle w:val="Hyperlink"/>
            <w:color w:val="0070C0"/>
            <w:sz w:val="20"/>
            <w:szCs w:val="20"/>
          </w:rPr>
          <w:t>SK Innovation-led consortium wins $2.3 billion LNG project in Nghe An</w:t>
        </w:r>
      </w:hyperlink>
    </w:p>
    <w:p w14:paraId="0DADE19A" w14:textId="2A665457" w:rsidR="002A2319" w:rsidRPr="00041085" w:rsidRDefault="007B6FEF" w:rsidP="00041085">
      <w:pPr>
        <w:pStyle w:val="TOC1"/>
        <w:spacing w:line="360" w:lineRule="auto"/>
        <w:rPr>
          <w:rStyle w:val="Hyperlink"/>
          <w:color w:val="0070C0"/>
          <w:sz w:val="18"/>
          <w:szCs w:val="18"/>
        </w:rPr>
      </w:pPr>
      <w:hyperlink w:anchor="_Toc223006400" w:history="1">
        <w:r w:rsidRPr="00041085">
          <w:rPr>
            <w:rStyle w:val="Hyperlink"/>
            <w:color w:val="0070C0"/>
            <w:sz w:val="20"/>
            <w:szCs w:val="20"/>
          </w:rPr>
          <w:t>Oil and energy sector set to enter new growth cycle</w:t>
        </w:r>
      </w:hyperlink>
    </w:p>
    <w:p w14:paraId="5F83BF1F" w14:textId="6ABDA8F6" w:rsidR="007B6FEF" w:rsidRPr="00041085" w:rsidRDefault="007B6FEF" w:rsidP="00041085">
      <w:pPr>
        <w:pStyle w:val="TOC1"/>
        <w:spacing w:line="360" w:lineRule="auto"/>
        <w:rPr>
          <w:rStyle w:val="Hyperlink"/>
          <w:color w:val="0070C0"/>
        </w:rPr>
      </w:pPr>
      <w:hyperlink w:anchor="_Toc223006401" w:history="1">
        <w:r w:rsidRPr="00041085">
          <w:rPr>
            <w:rStyle w:val="Hyperlink"/>
            <w:color w:val="0070C0"/>
          </w:rPr>
          <w:t>LEGAL</w:t>
        </w:r>
      </w:hyperlink>
    </w:p>
    <w:p w14:paraId="5C47E000" w14:textId="0BEB4726" w:rsidR="007B6FEF" w:rsidRPr="00041085" w:rsidRDefault="007B6FEF" w:rsidP="00041085">
      <w:pPr>
        <w:pStyle w:val="TOC1"/>
        <w:spacing w:line="360" w:lineRule="auto"/>
        <w:rPr>
          <w:rStyle w:val="Hyperlink"/>
          <w:color w:val="0070C0"/>
          <w:sz w:val="20"/>
          <w:szCs w:val="20"/>
        </w:rPr>
      </w:pPr>
      <w:hyperlink w:anchor="_Toc223006402" w:history="1">
        <w:r w:rsidRPr="00041085">
          <w:rPr>
            <w:rStyle w:val="Hyperlink"/>
            <w:color w:val="0070C0"/>
            <w:sz w:val="20"/>
            <w:szCs w:val="20"/>
          </w:rPr>
          <w:t>Vietnam’s economic outlook guided by Resolutions 79 and 68</w:t>
        </w:r>
      </w:hyperlink>
    </w:p>
    <w:p w14:paraId="7FE4B059" w14:textId="240B18CE" w:rsidR="007B6FEF" w:rsidRPr="00041085" w:rsidRDefault="007B6FEF" w:rsidP="00041085">
      <w:pPr>
        <w:pStyle w:val="TOC1"/>
        <w:spacing w:line="360" w:lineRule="auto"/>
        <w:rPr>
          <w:rStyle w:val="Hyperlink"/>
          <w:color w:val="0070C0"/>
          <w:sz w:val="20"/>
          <w:szCs w:val="20"/>
        </w:rPr>
      </w:pPr>
      <w:hyperlink w:anchor="_Toc223006404" w:history="1">
        <w:r w:rsidRPr="00041085">
          <w:rPr>
            <w:rStyle w:val="Hyperlink"/>
            <w:color w:val="0070C0"/>
            <w:sz w:val="20"/>
            <w:szCs w:val="20"/>
          </w:rPr>
          <w:t>Hanoi issues new price bracket for apartment service fees</w:t>
        </w:r>
      </w:hyperlink>
    </w:p>
    <w:p w14:paraId="4AE4D335" w14:textId="69A4CD97" w:rsidR="001319A5" w:rsidRDefault="007B6FEF" w:rsidP="00041085">
      <w:pPr>
        <w:pStyle w:val="TOC1"/>
        <w:spacing w:line="360" w:lineRule="auto"/>
        <w:rPr>
          <w:rStyle w:val="Hyperlink"/>
          <w:color w:val="0070C0"/>
        </w:rPr>
      </w:pPr>
      <w:r w:rsidRPr="002A2319">
        <w:rPr>
          <w:rStyle w:val="Hyperlink"/>
          <w:color w:val="0070C0"/>
        </w:rPr>
        <w:fldChar w:fldCharType="end"/>
      </w:r>
    </w:p>
    <w:p w14:paraId="27DE111F" w14:textId="77777777" w:rsidR="00041085" w:rsidRPr="00041085" w:rsidRDefault="00041085" w:rsidP="00041085"/>
    <w:p w14:paraId="539F29AE" w14:textId="7187377E" w:rsidR="0023034E" w:rsidRDefault="0023034E" w:rsidP="0023034E">
      <w:pPr>
        <w:pStyle w:val="Heading1"/>
        <w:rPr>
          <w:rFonts w:ascii="Aptos" w:eastAsia="Malgun Gothic" w:hAnsi="Aptos" w:cs="Times New Roman"/>
          <w:color w:val="002060"/>
        </w:rPr>
      </w:pPr>
      <w:bookmarkStart w:id="59" w:name="_Toc220587246"/>
      <w:bookmarkStart w:id="60" w:name="_Toc221194723"/>
      <w:bookmarkStart w:id="61" w:name="_Toc223006334"/>
      <w:r>
        <w:rPr>
          <w:rFonts w:ascii="Aptos" w:eastAsia="Malgun Gothic" w:hAnsi="Aptos" w:cs="Times New Roman"/>
          <w:color w:val="002060"/>
        </w:rPr>
        <w:t>TOP NEWS</w:t>
      </w:r>
      <w:bookmarkEnd w:id="59"/>
      <w:bookmarkEnd w:id="60"/>
      <w:bookmarkEnd w:id="61"/>
    </w:p>
    <w:p w14:paraId="251CECE5" w14:textId="77777777" w:rsidR="00703D65" w:rsidRDefault="00703D65" w:rsidP="00703D65">
      <w:pPr>
        <w:spacing w:after="100" w:afterAutospacing="1" w:line="264" w:lineRule="auto"/>
        <w:contextualSpacing/>
      </w:pPr>
    </w:p>
    <w:p w14:paraId="0C112044" w14:textId="77777777" w:rsidR="00703D65" w:rsidRDefault="00703D65" w:rsidP="00703D65">
      <w:pPr>
        <w:spacing w:after="100" w:afterAutospacing="1" w:line="264" w:lineRule="auto"/>
        <w:contextualSpacing/>
      </w:pPr>
    </w:p>
    <w:p w14:paraId="6691A7BD" w14:textId="61B8DD5D" w:rsidR="00703D65" w:rsidRPr="00703D65" w:rsidRDefault="00703D65" w:rsidP="007B6FEF">
      <w:pPr>
        <w:pStyle w:val="Heading2"/>
        <w:rPr>
          <w:rFonts w:ascii="Aptos" w:hAnsi="Aptos"/>
          <w:color w:val="002060"/>
          <w:sz w:val="24"/>
          <w:szCs w:val="24"/>
        </w:rPr>
      </w:pPr>
      <w:bookmarkStart w:id="62" w:name="_Toc223006335"/>
      <w:r w:rsidRPr="00703D65">
        <w:rPr>
          <w:rFonts w:ascii="Aptos" w:hAnsi="Aptos"/>
          <w:color w:val="002060"/>
          <w:sz w:val="24"/>
          <w:szCs w:val="24"/>
        </w:rPr>
        <w:t xml:space="preserve">VIETNAM: INVESTING IN SOLAR PROJECTS WITH </w:t>
      </w:r>
      <w:proofErr w:type="spellStart"/>
      <w:r w:rsidRPr="00703D65">
        <w:rPr>
          <w:rFonts w:ascii="Aptos" w:hAnsi="Aptos"/>
          <w:color w:val="002060"/>
          <w:sz w:val="24"/>
          <w:szCs w:val="24"/>
        </w:rPr>
        <w:t>DPPA</w:t>
      </w:r>
      <w:proofErr w:type="spellEnd"/>
      <w:r w:rsidRPr="00703D65">
        <w:rPr>
          <w:rFonts w:ascii="Aptos" w:hAnsi="Aptos"/>
          <w:color w:val="002060"/>
          <w:sz w:val="24"/>
          <w:szCs w:val="24"/>
        </w:rPr>
        <w:t xml:space="preserve"> AND BESS - WHAT YOU MUST KNOW</w:t>
      </w:r>
      <w:bookmarkEnd w:id="62"/>
    </w:p>
    <w:p w14:paraId="65BDCC78" w14:textId="78A781E0" w:rsidR="00703D65" w:rsidRPr="00354BFD" w:rsidRDefault="00703D65" w:rsidP="00354BFD">
      <w:pPr>
        <w:shd w:val="clear" w:color="auto" w:fill="FFFFFF"/>
        <w:spacing w:before="100" w:beforeAutospacing="1" w:after="100" w:afterAutospacing="1"/>
        <w:contextualSpacing/>
        <w:jc w:val="both"/>
        <w:rPr>
          <w:rFonts w:ascii="Aptos" w:eastAsia="Times New Roman" w:hAnsi="Aptos" w:cs="Times New Roman"/>
          <w:i/>
          <w:iCs/>
          <w:color w:val="002060"/>
          <w:sz w:val="18"/>
          <w:szCs w:val="18"/>
        </w:rPr>
      </w:pPr>
      <w:r w:rsidRPr="00703D65">
        <w:rPr>
          <w:rFonts w:ascii="Aptos" w:eastAsia="Times New Roman" w:hAnsi="Aptos" w:cs="Times New Roman"/>
          <w:i/>
          <w:iCs/>
          <w:color w:val="002060"/>
          <w:sz w:val="18"/>
          <w:szCs w:val="18"/>
        </w:rPr>
        <w:t>Dr. Oliver Massmann - Duane Morris Vietnam LLC</w:t>
      </w:r>
    </w:p>
    <w:p w14:paraId="7CDCE7AE" w14:textId="77777777" w:rsidR="00703D65" w:rsidRPr="00703D65" w:rsidRDefault="00703D65" w:rsidP="00703D65">
      <w:pPr>
        <w:spacing w:after="100" w:afterAutospacing="1" w:line="264" w:lineRule="auto"/>
        <w:contextualSpacing/>
        <w:jc w:val="both"/>
        <w:rPr>
          <w:rFonts w:ascii="Aptos" w:hAnsi="Aptos"/>
          <w:color w:val="002060"/>
        </w:rPr>
      </w:pPr>
    </w:p>
    <w:p w14:paraId="41B0FF3D" w14:textId="77777777" w:rsidR="00703D65" w:rsidRPr="00703D65" w:rsidRDefault="00703D65" w:rsidP="00703D65">
      <w:pPr>
        <w:spacing w:after="100" w:afterAutospacing="1" w:line="264" w:lineRule="auto"/>
        <w:contextualSpacing/>
        <w:jc w:val="both"/>
        <w:rPr>
          <w:rFonts w:ascii="Aptos" w:hAnsi="Aptos"/>
          <w:color w:val="002060"/>
        </w:rPr>
      </w:pPr>
      <w:r w:rsidRPr="00703D65">
        <w:rPr>
          <w:rFonts w:ascii="Aptos" w:hAnsi="Aptos"/>
          <w:b/>
          <w:bCs/>
          <w:color w:val="002060"/>
        </w:rPr>
        <w:t>How Deals Actually Get Done Today</w:t>
      </w:r>
    </w:p>
    <w:p w14:paraId="3E3C98E8" w14:textId="77777777" w:rsidR="00703D65" w:rsidRPr="00703D65" w:rsidRDefault="00703D65" w:rsidP="00703D65">
      <w:pPr>
        <w:spacing w:after="100" w:afterAutospacing="1" w:line="264" w:lineRule="auto"/>
        <w:contextualSpacing/>
        <w:jc w:val="both"/>
        <w:rPr>
          <w:rFonts w:ascii="Aptos" w:hAnsi="Aptos"/>
          <w:color w:val="002060"/>
        </w:rPr>
      </w:pPr>
    </w:p>
    <w:p w14:paraId="35C2DCA4" w14:textId="77777777" w:rsidR="00703D65" w:rsidRPr="00703D65" w:rsidRDefault="00703D65" w:rsidP="00703D65">
      <w:pPr>
        <w:spacing w:after="100" w:afterAutospacing="1" w:line="264" w:lineRule="auto"/>
        <w:contextualSpacing/>
        <w:jc w:val="both"/>
        <w:rPr>
          <w:rFonts w:ascii="Aptos" w:hAnsi="Aptos"/>
          <w:color w:val="002060"/>
        </w:rPr>
      </w:pPr>
      <w:r w:rsidRPr="00703D65">
        <w:rPr>
          <w:rFonts w:ascii="Aptos" w:hAnsi="Aptos"/>
          <w:b/>
          <w:bCs/>
          <w:color w:val="002060"/>
        </w:rPr>
        <w:t xml:space="preserve">A Different Market After the </w:t>
      </w:r>
      <w:proofErr w:type="spellStart"/>
      <w:r w:rsidRPr="00703D65">
        <w:rPr>
          <w:rFonts w:ascii="Aptos" w:hAnsi="Aptos"/>
          <w:b/>
          <w:bCs/>
          <w:color w:val="002060"/>
        </w:rPr>
        <w:t>FiT</w:t>
      </w:r>
      <w:proofErr w:type="spellEnd"/>
      <w:r w:rsidRPr="00703D65">
        <w:rPr>
          <w:rFonts w:ascii="Aptos" w:hAnsi="Aptos"/>
          <w:b/>
          <w:bCs/>
          <w:color w:val="002060"/>
        </w:rPr>
        <w:t xml:space="preserve"> Era</w:t>
      </w:r>
    </w:p>
    <w:p w14:paraId="0F9749AF" w14:textId="77777777" w:rsidR="00703D65" w:rsidRPr="00703D65" w:rsidRDefault="00703D65" w:rsidP="00703D65">
      <w:pPr>
        <w:spacing w:after="100" w:afterAutospacing="1" w:line="264" w:lineRule="auto"/>
        <w:contextualSpacing/>
        <w:jc w:val="both"/>
        <w:rPr>
          <w:rFonts w:ascii="Aptos" w:hAnsi="Aptos"/>
          <w:color w:val="002060"/>
        </w:rPr>
      </w:pPr>
    </w:p>
    <w:p w14:paraId="39F28AB4" w14:textId="77777777" w:rsidR="00703D65" w:rsidRPr="00703D65" w:rsidRDefault="00703D65" w:rsidP="00703D65">
      <w:pPr>
        <w:spacing w:after="100" w:afterAutospacing="1" w:line="264" w:lineRule="auto"/>
        <w:contextualSpacing/>
        <w:jc w:val="both"/>
        <w:rPr>
          <w:rFonts w:ascii="Aptos" w:hAnsi="Aptos"/>
          <w:color w:val="002060"/>
        </w:rPr>
      </w:pPr>
      <w:r w:rsidRPr="00703D65">
        <w:rPr>
          <w:rFonts w:ascii="Aptos" w:hAnsi="Aptos"/>
          <w:color w:val="002060"/>
        </w:rPr>
        <w:t>Vietnam’s solar sector has moved into a new phase. The feed-in tariff boom is over. Projects are no longer built on the back of state-guaranteed tariffs, but on the strength of contracted corporate demand.</w:t>
      </w:r>
    </w:p>
    <w:p w14:paraId="28BFE3D9" w14:textId="77777777" w:rsidR="00703D65" w:rsidRPr="00703D65" w:rsidRDefault="00703D65" w:rsidP="00703D65">
      <w:pPr>
        <w:spacing w:after="100" w:afterAutospacing="1" w:line="264" w:lineRule="auto"/>
        <w:contextualSpacing/>
        <w:jc w:val="both"/>
        <w:rPr>
          <w:rFonts w:ascii="Aptos" w:hAnsi="Aptos"/>
          <w:color w:val="002060"/>
        </w:rPr>
      </w:pPr>
    </w:p>
    <w:p w14:paraId="6494C81B" w14:textId="77777777" w:rsidR="00703D65" w:rsidRPr="00703D65" w:rsidRDefault="00703D65" w:rsidP="00703D65">
      <w:pPr>
        <w:spacing w:after="100" w:afterAutospacing="1" w:line="264" w:lineRule="auto"/>
        <w:contextualSpacing/>
        <w:jc w:val="both"/>
        <w:rPr>
          <w:rFonts w:ascii="Aptos" w:hAnsi="Aptos"/>
          <w:color w:val="002060"/>
        </w:rPr>
      </w:pPr>
      <w:r w:rsidRPr="00703D65">
        <w:rPr>
          <w:rFonts w:ascii="Aptos" w:hAnsi="Aptos"/>
          <w:color w:val="002060"/>
        </w:rPr>
        <w:t>Today, bankable solar transactions are built around two pillars:</w:t>
      </w:r>
    </w:p>
    <w:p w14:paraId="3ACDB091" w14:textId="77777777" w:rsidR="00703D65" w:rsidRPr="00703D65" w:rsidRDefault="00703D65" w:rsidP="00703D65">
      <w:pPr>
        <w:spacing w:after="100" w:afterAutospacing="1" w:line="264" w:lineRule="auto"/>
        <w:contextualSpacing/>
        <w:jc w:val="both"/>
        <w:rPr>
          <w:rFonts w:ascii="Aptos" w:hAnsi="Aptos"/>
          <w:color w:val="002060"/>
        </w:rPr>
      </w:pPr>
    </w:p>
    <w:p w14:paraId="7FFB6EB5" w14:textId="77777777" w:rsidR="00703D65" w:rsidRPr="00703D65" w:rsidRDefault="00703D65" w:rsidP="00703D65">
      <w:pPr>
        <w:numPr>
          <w:ilvl w:val="0"/>
          <w:numId w:val="17"/>
        </w:numPr>
        <w:spacing w:after="100" w:afterAutospacing="1" w:line="264" w:lineRule="auto"/>
        <w:contextualSpacing/>
        <w:jc w:val="both"/>
        <w:rPr>
          <w:rFonts w:ascii="Aptos" w:hAnsi="Aptos"/>
          <w:color w:val="002060"/>
        </w:rPr>
      </w:pPr>
      <w:r w:rsidRPr="00703D65">
        <w:rPr>
          <w:rFonts w:ascii="Aptos" w:hAnsi="Aptos"/>
          <w:color w:val="002060"/>
        </w:rPr>
        <w:t>Direct Power Purchase Agreements (</w:t>
      </w:r>
      <w:proofErr w:type="spellStart"/>
      <w:r w:rsidRPr="00703D65">
        <w:rPr>
          <w:rFonts w:ascii="Aptos" w:hAnsi="Aptos"/>
          <w:color w:val="002060"/>
        </w:rPr>
        <w:t>DPPA</w:t>
      </w:r>
      <w:proofErr w:type="spellEnd"/>
      <w:r w:rsidRPr="00703D65">
        <w:rPr>
          <w:rFonts w:ascii="Aptos" w:hAnsi="Aptos"/>
          <w:color w:val="002060"/>
        </w:rPr>
        <w:t>) – allowing renewable generators to sell electricity directly to large consumers under Decree 57/2025.</w:t>
      </w:r>
    </w:p>
    <w:p w14:paraId="6BD31342" w14:textId="77777777" w:rsidR="00703D65" w:rsidRPr="00703D65" w:rsidRDefault="00703D65" w:rsidP="00703D65">
      <w:pPr>
        <w:numPr>
          <w:ilvl w:val="0"/>
          <w:numId w:val="17"/>
        </w:numPr>
        <w:spacing w:after="100" w:afterAutospacing="1" w:line="264" w:lineRule="auto"/>
        <w:contextualSpacing/>
        <w:jc w:val="both"/>
        <w:rPr>
          <w:rFonts w:ascii="Aptos" w:hAnsi="Aptos"/>
          <w:color w:val="002060"/>
        </w:rPr>
      </w:pPr>
      <w:r w:rsidRPr="00703D65">
        <w:rPr>
          <w:rFonts w:ascii="Aptos" w:hAnsi="Aptos"/>
          <w:color w:val="002060"/>
        </w:rPr>
        <w:t>Battery Energy Storage Systems (BESS) – enabling solar power to become schedulable, reliable, and commercially viable in a more complex grid environment.</w:t>
      </w:r>
    </w:p>
    <w:p w14:paraId="1B96AE69" w14:textId="77777777" w:rsidR="00703D65" w:rsidRPr="00703D65" w:rsidRDefault="00703D65" w:rsidP="00703D65">
      <w:pPr>
        <w:spacing w:after="100" w:afterAutospacing="1" w:line="264" w:lineRule="auto"/>
        <w:contextualSpacing/>
        <w:jc w:val="both"/>
        <w:rPr>
          <w:rFonts w:ascii="Aptos" w:hAnsi="Aptos"/>
          <w:color w:val="002060"/>
        </w:rPr>
      </w:pPr>
    </w:p>
    <w:p w14:paraId="7EADA71E" w14:textId="77777777" w:rsidR="00703D65" w:rsidRPr="00703D65" w:rsidRDefault="00703D65" w:rsidP="00703D65">
      <w:pPr>
        <w:spacing w:after="100" w:afterAutospacing="1" w:line="264" w:lineRule="auto"/>
        <w:contextualSpacing/>
        <w:jc w:val="both"/>
        <w:rPr>
          <w:rFonts w:ascii="Aptos" w:hAnsi="Aptos"/>
          <w:color w:val="002060"/>
        </w:rPr>
      </w:pPr>
      <w:r w:rsidRPr="00703D65">
        <w:rPr>
          <w:rFonts w:ascii="Aptos" w:hAnsi="Aptos"/>
          <w:color w:val="002060"/>
        </w:rPr>
        <w:t>Investors who understand how these two elements interact will close deals. Those who treat them separately usually struggle.</w:t>
      </w:r>
    </w:p>
    <w:p w14:paraId="66F113D8" w14:textId="77777777" w:rsidR="00703D65" w:rsidRPr="00703D65" w:rsidRDefault="00703D65" w:rsidP="00703D65">
      <w:pPr>
        <w:spacing w:after="100" w:afterAutospacing="1" w:line="264" w:lineRule="auto"/>
        <w:contextualSpacing/>
        <w:jc w:val="both"/>
        <w:rPr>
          <w:rFonts w:ascii="Aptos" w:hAnsi="Aptos"/>
          <w:color w:val="002060"/>
        </w:rPr>
      </w:pPr>
    </w:p>
    <w:p w14:paraId="49933FAD" w14:textId="77777777" w:rsidR="00703D65" w:rsidRPr="00703D65" w:rsidRDefault="00703D65" w:rsidP="00703D65">
      <w:pPr>
        <w:spacing w:after="100" w:afterAutospacing="1" w:line="264" w:lineRule="auto"/>
        <w:contextualSpacing/>
        <w:jc w:val="both"/>
        <w:rPr>
          <w:rFonts w:ascii="Aptos" w:hAnsi="Aptos"/>
          <w:color w:val="002060"/>
        </w:rPr>
      </w:pPr>
      <w:proofErr w:type="spellStart"/>
      <w:r w:rsidRPr="00703D65">
        <w:rPr>
          <w:rFonts w:ascii="Aptos" w:hAnsi="Aptos"/>
          <w:b/>
          <w:bCs/>
          <w:color w:val="002060"/>
        </w:rPr>
        <w:t>DPPA</w:t>
      </w:r>
      <w:proofErr w:type="spellEnd"/>
      <w:r w:rsidRPr="00703D65">
        <w:rPr>
          <w:rFonts w:ascii="Aptos" w:hAnsi="Aptos"/>
          <w:b/>
          <w:bCs/>
          <w:color w:val="002060"/>
        </w:rPr>
        <w:t xml:space="preserve">: The </w:t>
      </w:r>
      <w:proofErr w:type="spellStart"/>
      <w:r w:rsidRPr="00703D65">
        <w:rPr>
          <w:rFonts w:ascii="Aptos" w:hAnsi="Aptos"/>
          <w:b/>
          <w:bCs/>
          <w:color w:val="002060"/>
        </w:rPr>
        <w:t>Offtaker</w:t>
      </w:r>
      <w:proofErr w:type="spellEnd"/>
      <w:r w:rsidRPr="00703D65">
        <w:rPr>
          <w:rFonts w:ascii="Aptos" w:hAnsi="Aptos"/>
          <w:b/>
          <w:bCs/>
          <w:color w:val="002060"/>
        </w:rPr>
        <w:t xml:space="preserve"> Is the Project</w:t>
      </w:r>
    </w:p>
    <w:p w14:paraId="30FEB381" w14:textId="77777777" w:rsidR="00703D65" w:rsidRPr="00703D65" w:rsidRDefault="00703D65" w:rsidP="00703D65">
      <w:pPr>
        <w:spacing w:after="100" w:afterAutospacing="1" w:line="264" w:lineRule="auto"/>
        <w:contextualSpacing/>
        <w:jc w:val="both"/>
        <w:rPr>
          <w:rFonts w:ascii="Aptos" w:hAnsi="Aptos"/>
          <w:color w:val="002060"/>
        </w:rPr>
      </w:pPr>
    </w:p>
    <w:p w14:paraId="363925AB" w14:textId="77777777" w:rsidR="00703D65" w:rsidRPr="00703D65" w:rsidRDefault="00703D65" w:rsidP="00703D65">
      <w:pPr>
        <w:spacing w:after="100" w:afterAutospacing="1" w:line="264" w:lineRule="auto"/>
        <w:contextualSpacing/>
        <w:jc w:val="both"/>
        <w:rPr>
          <w:rFonts w:ascii="Aptos" w:hAnsi="Aptos"/>
          <w:color w:val="002060"/>
        </w:rPr>
      </w:pPr>
      <w:r w:rsidRPr="00703D65">
        <w:rPr>
          <w:rFonts w:ascii="Aptos" w:hAnsi="Aptos"/>
          <w:color w:val="002060"/>
        </w:rPr>
        <w:t>Under the current regulatory framework, renewable generators may contract directly with large electricity users, either through:</w:t>
      </w:r>
    </w:p>
    <w:p w14:paraId="4966E7BD" w14:textId="77777777" w:rsidR="00703D65" w:rsidRPr="00703D65" w:rsidRDefault="00703D65" w:rsidP="00703D65">
      <w:pPr>
        <w:spacing w:after="100" w:afterAutospacing="1" w:line="264" w:lineRule="auto"/>
        <w:contextualSpacing/>
        <w:jc w:val="both"/>
        <w:rPr>
          <w:rFonts w:ascii="Aptos" w:hAnsi="Aptos"/>
          <w:color w:val="002060"/>
        </w:rPr>
      </w:pPr>
    </w:p>
    <w:p w14:paraId="0BD5169B" w14:textId="77777777" w:rsidR="00703D65" w:rsidRPr="00703D65" w:rsidRDefault="00703D65" w:rsidP="00703D65">
      <w:pPr>
        <w:numPr>
          <w:ilvl w:val="0"/>
          <w:numId w:val="18"/>
        </w:numPr>
        <w:spacing w:after="100" w:afterAutospacing="1" w:line="264" w:lineRule="auto"/>
        <w:contextualSpacing/>
        <w:jc w:val="both"/>
        <w:rPr>
          <w:rFonts w:ascii="Aptos" w:hAnsi="Aptos"/>
          <w:color w:val="002060"/>
        </w:rPr>
      </w:pPr>
      <w:r w:rsidRPr="00703D65">
        <w:rPr>
          <w:rFonts w:ascii="Aptos" w:hAnsi="Aptos"/>
          <w:color w:val="002060"/>
        </w:rPr>
        <w:t>A private wire connection, or</w:t>
      </w:r>
    </w:p>
    <w:p w14:paraId="08D0DCBA" w14:textId="77777777" w:rsidR="00703D65" w:rsidRPr="00703D65" w:rsidRDefault="00703D65" w:rsidP="00703D65">
      <w:pPr>
        <w:numPr>
          <w:ilvl w:val="0"/>
          <w:numId w:val="18"/>
        </w:numPr>
        <w:spacing w:after="100" w:afterAutospacing="1" w:line="264" w:lineRule="auto"/>
        <w:contextualSpacing/>
        <w:jc w:val="both"/>
        <w:rPr>
          <w:rFonts w:ascii="Aptos" w:hAnsi="Aptos"/>
          <w:color w:val="002060"/>
        </w:rPr>
      </w:pPr>
      <w:r w:rsidRPr="00703D65">
        <w:rPr>
          <w:rFonts w:ascii="Aptos" w:hAnsi="Aptos"/>
          <w:color w:val="002060"/>
        </w:rPr>
        <w:t>A grid-enabled structure, where electricity flows through the national grid but commercial settlement occurs directly between generator and consumer.</w:t>
      </w:r>
    </w:p>
    <w:p w14:paraId="4FB089AF" w14:textId="77777777" w:rsidR="00703D65" w:rsidRPr="00703D65" w:rsidRDefault="00703D65" w:rsidP="00703D65">
      <w:pPr>
        <w:spacing w:after="100" w:afterAutospacing="1" w:line="264" w:lineRule="auto"/>
        <w:contextualSpacing/>
        <w:jc w:val="both"/>
        <w:rPr>
          <w:rFonts w:ascii="Aptos" w:hAnsi="Aptos"/>
          <w:color w:val="002060"/>
        </w:rPr>
      </w:pPr>
    </w:p>
    <w:p w14:paraId="429EEEAB" w14:textId="77777777" w:rsidR="00703D65" w:rsidRPr="00703D65" w:rsidRDefault="00703D65" w:rsidP="00703D65">
      <w:pPr>
        <w:spacing w:after="100" w:afterAutospacing="1" w:line="264" w:lineRule="auto"/>
        <w:contextualSpacing/>
        <w:jc w:val="both"/>
        <w:rPr>
          <w:rFonts w:ascii="Aptos" w:hAnsi="Aptos"/>
          <w:color w:val="002060"/>
        </w:rPr>
      </w:pPr>
      <w:r w:rsidRPr="00703D65">
        <w:rPr>
          <w:rFonts w:ascii="Aptos" w:hAnsi="Aptos"/>
          <w:color w:val="002060"/>
        </w:rPr>
        <w:t>In practical terms, this means one thing:</w:t>
      </w:r>
    </w:p>
    <w:p w14:paraId="6636E5C5" w14:textId="77777777" w:rsidR="00703D65" w:rsidRPr="00703D65" w:rsidRDefault="00703D65" w:rsidP="00703D65">
      <w:pPr>
        <w:spacing w:after="100" w:afterAutospacing="1" w:line="264" w:lineRule="auto"/>
        <w:contextualSpacing/>
        <w:jc w:val="both"/>
        <w:rPr>
          <w:rFonts w:ascii="Aptos" w:hAnsi="Aptos"/>
          <w:color w:val="002060"/>
        </w:rPr>
      </w:pPr>
    </w:p>
    <w:p w14:paraId="631993A0" w14:textId="77777777" w:rsidR="00703D65" w:rsidRPr="00703D65" w:rsidRDefault="00703D65" w:rsidP="00703D65">
      <w:pPr>
        <w:spacing w:after="100" w:afterAutospacing="1" w:line="264" w:lineRule="auto"/>
        <w:contextualSpacing/>
        <w:jc w:val="both"/>
        <w:rPr>
          <w:rFonts w:ascii="Aptos" w:hAnsi="Aptos"/>
          <w:color w:val="002060"/>
        </w:rPr>
      </w:pPr>
      <w:r w:rsidRPr="00703D65">
        <w:rPr>
          <w:rFonts w:ascii="Aptos" w:hAnsi="Aptos"/>
          <w:color w:val="002060"/>
        </w:rPr>
        <w:t xml:space="preserve">The </w:t>
      </w:r>
      <w:proofErr w:type="spellStart"/>
      <w:r w:rsidRPr="00703D65">
        <w:rPr>
          <w:rFonts w:ascii="Aptos" w:hAnsi="Aptos"/>
          <w:color w:val="002060"/>
        </w:rPr>
        <w:t>offtaker</w:t>
      </w:r>
      <w:proofErr w:type="spellEnd"/>
      <w:r w:rsidRPr="00703D65">
        <w:rPr>
          <w:rFonts w:ascii="Aptos" w:hAnsi="Aptos"/>
          <w:color w:val="002060"/>
        </w:rPr>
        <w:t xml:space="preserve"> replaces the state as the anchor of the project.</w:t>
      </w:r>
    </w:p>
    <w:p w14:paraId="674151E4" w14:textId="77777777" w:rsidR="00703D65" w:rsidRPr="00703D65" w:rsidRDefault="00703D65" w:rsidP="00703D65">
      <w:pPr>
        <w:spacing w:after="100" w:afterAutospacing="1" w:line="264" w:lineRule="auto"/>
        <w:contextualSpacing/>
        <w:jc w:val="both"/>
        <w:rPr>
          <w:rFonts w:ascii="Aptos" w:hAnsi="Aptos"/>
          <w:color w:val="002060"/>
        </w:rPr>
      </w:pPr>
    </w:p>
    <w:p w14:paraId="4FEF7FD4" w14:textId="77777777" w:rsidR="00703D65" w:rsidRPr="00703D65" w:rsidRDefault="00703D65" w:rsidP="00703D65">
      <w:pPr>
        <w:spacing w:after="100" w:afterAutospacing="1" w:line="264" w:lineRule="auto"/>
        <w:contextualSpacing/>
        <w:jc w:val="both"/>
        <w:rPr>
          <w:rFonts w:ascii="Aptos" w:hAnsi="Aptos"/>
          <w:color w:val="002060"/>
        </w:rPr>
      </w:pPr>
      <w:r w:rsidRPr="00703D65">
        <w:rPr>
          <w:rFonts w:ascii="Aptos" w:hAnsi="Aptos"/>
          <w:color w:val="002060"/>
        </w:rPr>
        <w:t>Bankability now depends on:</w:t>
      </w:r>
    </w:p>
    <w:p w14:paraId="3207C65A" w14:textId="77777777" w:rsidR="00703D65" w:rsidRPr="00703D65" w:rsidRDefault="00703D65" w:rsidP="00703D65">
      <w:pPr>
        <w:spacing w:after="100" w:afterAutospacing="1" w:line="264" w:lineRule="auto"/>
        <w:contextualSpacing/>
        <w:jc w:val="both"/>
        <w:rPr>
          <w:rFonts w:ascii="Aptos" w:hAnsi="Aptos"/>
          <w:color w:val="002060"/>
        </w:rPr>
      </w:pPr>
    </w:p>
    <w:p w14:paraId="6F513878" w14:textId="77777777" w:rsidR="00703D65" w:rsidRPr="00703D65" w:rsidRDefault="00703D65" w:rsidP="00703D65">
      <w:pPr>
        <w:numPr>
          <w:ilvl w:val="0"/>
          <w:numId w:val="19"/>
        </w:numPr>
        <w:spacing w:after="100" w:afterAutospacing="1" w:line="264" w:lineRule="auto"/>
        <w:contextualSpacing/>
        <w:jc w:val="both"/>
        <w:rPr>
          <w:rFonts w:ascii="Aptos" w:hAnsi="Aptos"/>
          <w:color w:val="002060"/>
        </w:rPr>
      </w:pPr>
      <w:r w:rsidRPr="00703D65">
        <w:rPr>
          <w:rFonts w:ascii="Aptos" w:hAnsi="Aptos"/>
          <w:color w:val="002060"/>
        </w:rPr>
        <w:t>The credit quality of the industrial buyer</w:t>
      </w:r>
    </w:p>
    <w:p w14:paraId="19F04244" w14:textId="77777777" w:rsidR="00703D65" w:rsidRPr="00703D65" w:rsidRDefault="00703D65" w:rsidP="00703D65">
      <w:pPr>
        <w:numPr>
          <w:ilvl w:val="0"/>
          <w:numId w:val="19"/>
        </w:numPr>
        <w:spacing w:after="100" w:afterAutospacing="1" w:line="264" w:lineRule="auto"/>
        <w:contextualSpacing/>
        <w:jc w:val="both"/>
        <w:rPr>
          <w:rFonts w:ascii="Aptos" w:hAnsi="Aptos"/>
          <w:color w:val="002060"/>
        </w:rPr>
      </w:pPr>
      <w:r w:rsidRPr="00703D65">
        <w:rPr>
          <w:rFonts w:ascii="Aptos" w:hAnsi="Aptos"/>
          <w:color w:val="002060"/>
        </w:rPr>
        <w:t>The clarity of the pricing formula</w:t>
      </w:r>
    </w:p>
    <w:p w14:paraId="312AE91F" w14:textId="77777777" w:rsidR="00703D65" w:rsidRPr="00703D65" w:rsidRDefault="00703D65" w:rsidP="00703D65">
      <w:pPr>
        <w:numPr>
          <w:ilvl w:val="0"/>
          <w:numId w:val="19"/>
        </w:numPr>
        <w:spacing w:after="100" w:afterAutospacing="1" w:line="264" w:lineRule="auto"/>
        <w:contextualSpacing/>
        <w:jc w:val="both"/>
        <w:rPr>
          <w:rFonts w:ascii="Aptos" w:hAnsi="Aptos"/>
          <w:color w:val="002060"/>
        </w:rPr>
      </w:pPr>
      <w:r w:rsidRPr="00703D65">
        <w:rPr>
          <w:rFonts w:ascii="Aptos" w:hAnsi="Aptos"/>
          <w:color w:val="002060"/>
        </w:rPr>
        <w:t>The allocation of curtailment and imbalance risk</w:t>
      </w:r>
    </w:p>
    <w:p w14:paraId="563E0980" w14:textId="77777777" w:rsidR="00703D65" w:rsidRPr="00703D65" w:rsidRDefault="00703D65" w:rsidP="00703D65">
      <w:pPr>
        <w:numPr>
          <w:ilvl w:val="0"/>
          <w:numId w:val="19"/>
        </w:numPr>
        <w:spacing w:after="100" w:afterAutospacing="1" w:line="264" w:lineRule="auto"/>
        <w:contextualSpacing/>
        <w:jc w:val="both"/>
        <w:rPr>
          <w:rFonts w:ascii="Aptos" w:hAnsi="Aptos"/>
          <w:color w:val="002060"/>
        </w:rPr>
      </w:pPr>
      <w:r w:rsidRPr="00703D65">
        <w:rPr>
          <w:rFonts w:ascii="Aptos" w:hAnsi="Aptos"/>
          <w:color w:val="002060"/>
        </w:rPr>
        <w:t>The enforceability of termination provisions</w:t>
      </w:r>
    </w:p>
    <w:p w14:paraId="24FF5908" w14:textId="77777777" w:rsidR="00703D65" w:rsidRPr="00703D65" w:rsidRDefault="00703D65" w:rsidP="00703D65">
      <w:pPr>
        <w:spacing w:after="100" w:afterAutospacing="1" w:line="264" w:lineRule="auto"/>
        <w:contextualSpacing/>
        <w:jc w:val="both"/>
        <w:rPr>
          <w:rFonts w:ascii="Aptos" w:hAnsi="Aptos"/>
          <w:color w:val="002060"/>
        </w:rPr>
      </w:pPr>
    </w:p>
    <w:p w14:paraId="7307401A" w14:textId="77777777" w:rsidR="00703D65" w:rsidRPr="00703D65" w:rsidRDefault="00703D65" w:rsidP="00703D65">
      <w:pPr>
        <w:spacing w:after="100" w:afterAutospacing="1" w:line="264" w:lineRule="auto"/>
        <w:contextualSpacing/>
        <w:jc w:val="both"/>
        <w:rPr>
          <w:rFonts w:ascii="Aptos" w:hAnsi="Aptos"/>
          <w:color w:val="002060"/>
        </w:rPr>
      </w:pPr>
      <w:r w:rsidRPr="00703D65">
        <w:rPr>
          <w:rFonts w:ascii="Aptos" w:hAnsi="Aptos"/>
          <w:color w:val="002060"/>
        </w:rPr>
        <w:t xml:space="preserve">A modern </w:t>
      </w:r>
      <w:proofErr w:type="spellStart"/>
      <w:r w:rsidRPr="00703D65">
        <w:rPr>
          <w:rFonts w:ascii="Aptos" w:hAnsi="Aptos"/>
          <w:color w:val="002060"/>
        </w:rPr>
        <w:t>DPPA</w:t>
      </w:r>
      <w:proofErr w:type="spellEnd"/>
      <w:r w:rsidRPr="00703D65">
        <w:rPr>
          <w:rFonts w:ascii="Aptos" w:hAnsi="Aptos"/>
          <w:color w:val="002060"/>
        </w:rPr>
        <w:t xml:space="preserve"> in Vietnam is not merely an </w:t>
      </w:r>
      <w:proofErr w:type="spellStart"/>
      <w:r w:rsidRPr="00703D65">
        <w:rPr>
          <w:rFonts w:ascii="Aptos" w:hAnsi="Aptos"/>
          <w:color w:val="002060"/>
        </w:rPr>
        <w:t>ESG</w:t>
      </w:r>
      <w:proofErr w:type="spellEnd"/>
      <w:r w:rsidRPr="00703D65">
        <w:rPr>
          <w:rFonts w:ascii="Aptos" w:hAnsi="Aptos"/>
          <w:color w:val="002060"/>
        </w:rPr>
        <w:t xml:space="preserve"> instrument. It is the core financial document of the project. Lenders will review it with the same rigor as a traditional utility PPA.</w:t>
      </w:r>
    </w:p>
    <w:p w14:paraId="7833081F" w14:textId="77777777" w:rsidR="00703D65" w:rsidRPr="00703D65" w:rsidRDefault="00703D65" w:rsidP="00703D65">
      <w:pPr>
        <w:spacing w:after="100" w:afterAutospacing="1" w:line="264" w:lineRule="auto"/>
        <w:contextualSpacing/>
        <w:jc w:val="both"/>
        <w:rPr>
          <w:rFonts w:ascii="Aptos" w:hAnsi="Aptos"/>
          <w:color w:val="002060"/>
        </w:rPr>
      </w:pPr>
    </w:p>
    <w:p w14:paraId="58CB9601" w14:textId="77777777" w:rsidR="00703D65" w:rsidRPr="00703D65" w:rsidRDefault="00703D65" w:rsidP="00703D65">
      <w:pPr>
        <w:spacing w:after="100" w:afterAutospacing="1" w:line="264" w:lineRule="auto"/>
        <w:contextualSpacing/>
        <w:jc w:val="both"/>
        <w:rPr>
          <w:rFonts w:ascii="Aptos" w:hAnsi="Aptos"/>
          <w:color w:val="002060"/>
        </w:rPr>
      </w:pPr>
      <w:r w:rsidRPr="00703D65">
        <w:rPr>
          <w:rFonts w:ascii="Aptos" w:hAnsi="Aptos"/>
          <w:b/>
          <w:bCs/>
          <w:color w:val="002060"/>
        </w:rPr>
        <w:t>BESS: From Technical Add-On to Revenue Instrument</w:t>
      </w:r>
    </w:p>
    <w:p w14:paraId="1546913D" w14:textId="77777777" w:rsidR="00703D65" w:rsidRPr="00703D65" w:rsidRDefault="00703D65" w:rsidP="00703D65">
      <w:pPr>
        <w:spacing w:after="100" w:afterAutospacing="1" w:line="264" w:lineRule="auto"/>
        <w:contextualSpacing/>
        <w:jc w:val="both"/>
        <w:rPr>
          <w:rFonts w:ascii="Aptos" w:hAnsi="Aptos"/>
          <w:color w:val="002060"/>
        </w:rPr>
      </w:pPr>
    </w:p>
    <w:p w14:paraId="4F3E81B7" w14:textId="77777777" w:rsidR="00703D65" w:rsidRPr="00703D65" w:rsidRDefault="00703D65" w:rsidP="00703D65">
      <w:pPr>
        <w:spacing w:after="100" w:afterAutospacing="1" w:line="264" w:lineRule="auto"/>
        <w:contextualSpacing/>
        <w:jc w:val="both"/>
        <w:rPr>
          <w:rFonts w:ascii="Aptos" w:hAnsi="Aptos"/>
          <w:color w:val="002060"/>
        </w:rPr>
      </w:pPr>
      <w:r w:rsidRPr="00703D65">
        <w:rPr>
          <w:rFonts w:ascii="Aptos" w:hAnsi="Aptos"/>
          <w:color w:val="002060"/>
        </w:rPr>
        <w:t>Battery storage is no longer a technical afterthought. In many provinces, it is the difference between a theoretical solar asset and a commercially viable one.</w:t>
      </w:r>
    </w:p>
    <w:p w14:paraId="2C0317EF" w14:textId="77777777" w:rsidR="00703D65" w:rsidRPr="00703D65" w:rsidRDefault="00703D65" w:rsidP="00703D65">
      <w:pPr>
        <w:spacing w:after="100" w:afterAutospacing="1" w:line="264" w:lineRule="auto"/>
        <w:contextualSpacing/>
        <w:jc w:val="both"/>
        <w:rPr>
          <w:rFonts w:ascii="Aptos" w:hAnsi="Aptos"/>
          <w:color w:val="002060"/>
        </w:rPr>
      </w:pPr>
    </w:p>
    <w:p w14:paraId="0DB9E61F" w14:textId="77777777" w:rsidR="00703D65" w:rsidRPr="00703D65" w:rsidRDefault="00703D65" w:rsidP="00703D65">
      <w:pPr>
        <w:spacing w:after="100" w:afterAutospacing="1" w:line="264" w:lineRule="auto"/>
        <w:contextualSpacing/>
        <w:jc w:val="both"/>
        <w:rPr>
          <w:rFonts w:ascii="Aptos" w:hAnsi="Aptos"/>
          <w:color w:val="002060"/>
        </w:rPr>
      </w:pPr>
      <w:r w:rsidRPr="00703D65">
        <w:rPr>
          <w:rFonts w:ascii="Aptos" w:hAnsi="Aptos"/>
          <w:color w:val="002060"/>
        </w:rPr>
        <w:t>BESS creates value in three main ways:</w:t>
      </w:r>
    </w:p>
    <w:p w14:paraId="2FBDF2E1" w14:textId="77777777" w:rsidR="00703D65" w:rsidRPr="00703D65" w:rsidRDefault="00703D65" w:rsidP="00703D65">
      <w:pPr>
        <w:spacing w:after="100" w:afterAutospacing="1" w:line="264" w:lineRule="auto"/>
        <w:contextualSpacing/>
        <w:jc w:val="both"/>
        <w:rPr>
          <w:rFonts w:ascii="Aptos" w:hAnsi="Aptos"/>
          <w:color w:val="002060"/>
        </w:rPr>
      </w:pPr>
    </w:p>
    <w:p w14:paraId="251B5D62" w14:textId="77777777" w:rsidR="00703D65" w:rsidRPr="00703D65" w:rsidRDefault="00703D65" w:rsidP="00703D65">
      <w:pPr>
        <w:numPr>
          <w:ilvl w:val="0"/>
          <w:numId w:val="20"/>
        </w:numPr>
        <w:spacing w:after="100" w:afterAutospacing="1" w:line="264" w:lineRule="auto"/>
        <w:contextualSpacing/>
        <w:jc w:val="both"/>
        <w:rPr>
          <w:rFonts w:ascii="Aptos" w:hAnsi="Aptos"/>
          <w:color w:val="002060"/>
        </w:rPr>
      </w:pPr>
      <w:r w:rsidRPr="00703D65">
        <w:rPr>
          <w:rFonts w:ascii="Aptos" w:hAnsi="Aptos"/>
          <w:color w:val="002060"/>
        </w:rPr>
        <w:t>Time shifting – delivering power during peak demand periods</w:t>
      </w:r>
    </w:p>
    <w:p w14:paraId="25DA428F" w14:textId="77777777" w:rsidR="00703D65" w:rsidRPr="00703D65" w:rsidRDefault="00703D65" w:rsidP="00703D65">
      <w:pPr>
        <w:numPr>
          <w:ilvl w:val="0"/>
          <w:numId w:val="20"/>
        </w:numPr>
        <w:spacing w:after="100" w:afterAutospacing="1" w:line="264" w:lineRule="auto"/>
        <w:contextualSpacing/>
        <w:jc w:val="both"/>
        <w:rPr>
          <w:rFonts w:ascii="Aptos" w:hAnsi="Aptos"/>
          <w:color w:val="002060"/>
        </w:rPr>
      </w:pPr>
      <w:r w:rsidRPr="00703D65">
        <w:rPr>
          <w:rFonts w:ascii="Aptos" w:hAnsi="Aptos"/>
          <w:color w:val="002060"/>
        </w:rPr>
        <w:t>Profile shaping – aligning solar output with industrial consumption patterns</w:t>
      </w:r>
    </w:p>
    <w:p w14:paraId="41382624" w14:textId="77777777" w:rsidR="00703D65" w:rsidRPr="00703D65" w:rsidRDefault="00703D65" w:rsidP="00703D65">
      <w:pPr>
        <w:numPr>
          <w:ilvl w:val="0"/>
          <w:numId w:val="20"/>
        </w:numPr>
        <w:spacing w:after="100" w:afterAutospacing="1" w:line="264" w:lineRule="auto"/>
        <w:contextualSpacing/>
        <w:jc w:val="both"/>
        <w:rPr>
          <w:rFonts w:ascii="Aptos" w:hAnsi="Aptos"/>
          <w:color w:val="002060"/>
        </w:rPr>
      </w:pPr>
      <w:r w:rsidRPr="00703D65">
        <w:rPr>
          <w:rFonts w:ascii="Aptos" w:hAnsi="Aptos"/>
          <w:color w:val="002060"/>
        </w:rPr>
        <w:t>Risk reduction – mitigating curtailment and scheduling exposure</w:t>
      </w:r>
    </w:p>
    <w:p w14:paraId="221C03C7" w14:textId="77777777" w:rsidR="00703D65" w:rsidRPr="00703D65" w:rsidRDefault="00703D65" w:rsidP="00703D65">
      <w:pPr>
        <w:spacing w:after="100" w:afterAutospacing="1" w:line="264" w:lineRule="auto"/>
        <w:contextualSpacing/>
        <w:jc w:val="both"/>
        <w:rPr>
          <w:rFonts w:ascii="Aptos" w:hAnsi="Aptos"/>
          <w:color w:val="002060"/>
        </w:rPr>
      </w:pPr>
    </w:p>
    <w:p w14:paraId="27C9B4D3" w14:textId="77777777" w:rsidR="00703D65" w:rsidRPr="00703D65" w:rsidRDefault="00703D65" w:rsidP="00703D65">
      <w:pPr>
        <w:spacing w:after="100" w:afterAutospacing="1" w:line="264" w:lineRule="auto"/>
        <w:contextualSpacing/>
        <w:jc w:val="both"/>
        <w:rPr>
          <w:rFonts w:ascii="Aptos" w:hAnsi="Aptos"/>
          <w:color w:val="002060"/>
        </w:rPr>
      </w:pPr>
      <w:r w:rsidRPr="00703D65">
        <w:rPr>
          <w:rFonts w:ascii="Aptos" w:hAnsi="Aptos"/>
          <w:color w:val="002060"/>
        </w:rPr>
        <w:t>However, storage only becomes financeable when its economic role is clearly defined in the contract.</w:t>
      </w:r>
    </w:p>
    <w:p w14:paraId="002AB9BB" w14:textId="77777777" w:rsidR="00703D65" w:rsidRPr="00703D65" w:rsidRDefault="00703D65" w:rsidP="00703D65">
      <w:pPr>
        <w:spacing w:after="100" w:afterAutospacing="1" w:line="264" w:lineRule="auto"/>
        <w:contextualSpacing/>
        <w:jc w:val="both"/>
        <w:rPr>
          <w:rFonts w:ascii="Aptos" w:hAnsi="Aptos"/>
          <w:color w:val="002060"/>
        </w:rPr>
      </w:pPr>
    </w:p>
    <w:p w14:paraId="0223DB75" w14:textId="77777777" w:rsidR="00703D65" w:rsidRPr="00703D65" w:rsidRDefault="00703D65" w:rsidP="00703D65">
      <w:pPr>
        <w:spacing w:after="100" w:afterAutospacing="1" w:line="264" w:lineRule="auto"/>
        <w:contextualSpacing/>
        <w:jc w:val="both"/>
        <w:rPr>
          <w:rFonts w:ascii="Aptos" w:hAnsi="Aptos"/>
          <w:color w:val="002060"/>
        </w:rPr>
      </w:pPr>
      <w:r w:rsidRPr="00703D65">
        <w:rPr>
          <w:rFonts w:ascii="Aptos" w:hAnsi="Aptos"/>
          <w:color w:val="002060"/>
        </w:rPr>
        <w:t xml:space="preserve">If BESS revenues rely on future ancillary markets or regulatory assumptions, debt providers will heavily discount them. If storage capacity, availability, and dispatch rights are clearly priced within the </w:t>
      </w:r>
      <w:proofErr w:type="spellStart"/>
      <w:r w:rsidRPr="00703D65">
        <w:rPr>
          <w:rFonts w:ascii="Aptos" w:hAnsi="Aptos"/>
          <w:color w:val="002060"/>
        </w:rPr>
        <w:t>DPPA</w:t>
      </w:r>
      <w:proofErr w:type="spellEnd"/>
      <w:r w:rsidRPr="00703D65">
        <w:rPr>
          <w:rFonts w:ascii="Aptos" w:hAnsi="Aptos"/>
          <w:color w:val="002060"/>
        </w:rPr>
        <w:t xml:space="preserve"> structure, it becomes a bankable asset.</w:t>
      </w:r>
    </w:p>
    <w:p w14:paraId="34A6C48A" w14:textId="77777777" w:rsidR="00703D65" w:rsidRPr="00703D65" w:rsidRDefault="00703D65" w:rsidP="00703D65">
      <w:pPr>
        <w:spacing w:after="100" w:afterAutospacing="1" w:line="264" w:lineRule="auto"/>
        <w:contextualSpacing/>
        <w:jc w:val="both"/>
        <w:rPr>
          <w:rFonts w:ascii="Aptos" w:hAnsi="Aptos"/>
          <w:color w:val="002060"/>
        </w:rPr>
      </w:pPr>
    </w:p>
    <w:p w14:paraId="7CCEAA59" w14:textId="77777777" w:rsidR="00703D65" w:rsidRPr="00703D65" w:rsidRDefault="00703D65" w:rsidP="00703D65">
      <w:pPr>
        <w:spacing w:after="100" w:afterAutospacing="1" w:line="264" w:lineRule="auto"/>
        <w:contextualSpacing/>
        <w:jc w:val="both"/>
        <w:rPr>
          <w:rFonts w:ascii="Aptos" w:hAnsi="Aptos"/>
          <w:color w:val="002060"/>
        </w:rPr>
      </w:pPr>
      <w:r w:rsidRPr="00703D65">
        <w:rPr>
          <w:rFonts w:ascii="Aptos" w:hAnsi="Aptos"/>
          <w:b/>
          <w:bCs/>
          <w:color w:val="002060"/>
        </w:rPr>
        <w:t>The Three Layers of a Financeable Structure</w:t>
      </w:r>
    </w:p>
    <w:p w14:paraId="1F6A1C8C" w14:textId="77777777" w:rsidR="00703D65" w:rsidRPr="00703D65" w:rsidRDefault="00703D65" w:rsidP="00703D65">
      <w:pPr>
        <w:spacing w:after="100" w:afterAutospacing="1" w:line="264" w:lineRule="auto"/>
        <w:contextualSpacing/>
        <w:jc w:val="both"/>
        <w:rPr>
          <w:rFonts w:ascii="Aptos" w:hAnsi="Aptos"/>
          <w:color w:val="002060"/>
        </w:rPr>
      </w:pPr>
    </w:p>
    <w:p w14:paraId="44D5DAA3" w14:textId="77777777" w:rsidR="00703D65" w:rsidRPr="00703D65" w:rsidRDefault="00703D65" w:rsidP="00703D65">
      <w:pPr>
        <w:spacing w:after="100" w:afterAutospacing="1" w:line="264" w:lineRule="auto"/>
        <w:contextualSpacing/>
        <w:jc w:val="both"/>
        <w:rPr>
          <w:rFonts w:ascii="Aptos" w:hAnsi="Aptos"/>
          <w:color w:val="002060"/>
        </w:rPr>
      </w:pPr>
      <w:r w:rsidRPr="00703D65">
        <w:rPr>
          <w:rFonts w:ascii="Aptos" w:hAnsi="Aptos"/>
          <w:b/>
          <w:bCs/>
          <w:color w:val="002060"/>
        </w:rPr>
        <w:t>1. Project Foundation</w:t>
      </w:r>
    </w:p>
    <w:p w14:paraId="5B316665" w14:textId="77777777" w:rsidR="00703D65" w:rsidRPr="00703D65" w:rsidRDefault="00703D65" w:rsidP="00703D65">
      <w:pPr>
        <w:spacing w:after="100" w:afterAutospacing="1" w:line="264" w:lineRule="auto"/>
        <w:contextualSpacing/>
        <w:jc w:val="both"/>
        <w:rPr>
          <w:rFonts w:ascii="Aptos" w:hAnsi="Aptos"/>
          <w:color w:val="002060"/>
        </w:rPr>
      </w:pPr>
    </w:p>
    <w:p w14:paraId="11321FF7" w14:textId="77777777" w:rsidR="00703D65" w:rsidRPr="00703D65" w:rsidRDefault="00703D65" w:rsidP="00703D65">
      <w:pPr>
        <w:numPr>
          <w:ilvl w:val="0"/>
          <w:numId w:val="21"/>
        </w:numPr>
        <w:spacing w:after="100" w:afterAutospacing="1" w:line="264" w:lineRule="auto"/>
        <w:contextualSpacing/>
        <w:jc w:val="both"/>
        <w:rPr>
          <w:rFonts w:ascii="Aptos" w:hAnsi="Aptos"/>
          <w:color w:val="002060"/>
        </w:rPr>
      </w:pPr>
      <w:r w:rsidRPr="00703D65">
        <w:rPr>
          <w:rFonts w:ascii="Aptos" w:hAnsi="Aptos"/>
          <w:color w:val="002060"/>
        </w:rPr>
        <w:t>Secure land and site control</w:t>
      </w:r>
    </w:p>
    <w:p w14:paraId="4B00F017" w14:textId="77777777" w:rsidR="00703D65" w:rsidRPr="00703D65" w:rsidRDefault="00703D65" w:rsidP="00703D65">
      <w:pPr>
        <w:numPr>
          <w:ilvl w:val="0"/>
          <w:numId w:val="21"/>
        </w:numPr>
        <w:spacing w:after="100" w:afterAutospacing="1" w:line="264" w:lineRule="auto"/>
        <w:contextualSpacing/>
        <w:jc w:val="both"/>
        <w:rPr>
          <w:rFonts w:ascii="Aptos" w:hAnsi="Aptos"/>
          <w:color w:val="002060"/>
        </w:rPr>
      </w:pPr>
      <w:r w:rsidRPr="00703D65">
        <w:rPr>
          <w:rFonts w:ascii="Aptos" w:hAnsi="Aptos"/>
          <w:color w:val="002060"/>
        </w:rPr>
        <w:t>Realistic grid interconnection strategy</w:t>
      </w:r>
    </w:p>
    <w:p w14:paraId="7E078662" w14:textId="77777777" w:rsidR="00703D65" w:rsidRPr="00703D65" w:rsidRDefault="00703D65" w:rsidP="00703D65">
      <w:pPr>
        <w:numPr>
          <w:ilvl w:val="0"/>
          <w:numId w:val="21"/>
        </w:numPr>
        <w:spacing w:after="100" w:afterAutospacing="1" w:line="264" w:lineRule="auto"/>
        <w:contextualSpacing/>
        <w:jc w:val="both"/>
        <w:rPr>
          <w:rFonts w:ascii="Aptos" w:hAnsi="Aptos"/>
          <w:color w:val="002060"/>
        </w:rPr>
      </w:pPr>
      <w:r w:rsidRPr="00703D65">
        <w:rPr>
          <w:rFonts w:ascii="Aptos" w:hAnsi="Aptos"/>
          <w:color w:val="002060"/>
        </w:rPr>
        <w:t>Strong EPC wrap with performance guarantees</w:t>
      </w:r>
    </w:p>
    <w:p w14:paraId="01BB4A40" w14:textId="77777777" w:rsidR="00703D65" w:rsidRPr="00703D65" w:rsidRDefault="00703D65" w:rsidP="00703D65">
      <w:pPr>
        <w:numPr>
          <w:ilvl w:val="0"/>
          <w:numId w:val="21"/>
        </w:numPr>
        <w:spacing w:after="100" w:afterAutospacing="1" w:line="264" w:lineRule="auto"/>
        <w:contextualSpacing/>
        <w:jc w:val="both"/>
        <w:rPr>
          <w:rFonts w:ascii="Aptos" w:hAnsi="Aptos"/>
          <w:color w:val="002060"/>
        </w:rPr>
      </w:pPr>
      <w:r w:rsidRPr="00703D65">
        <w:rPr>
          <w:rFonts w:ascii="Aptos" w:hAnsi="Aptos"/>
          <w:color w:val="002060"/>
        </w:rPr>
        <w:t>Proper safety and fire compliance planning for BESS</w:t>
      </w:r>
    </w:p>
    <w:p w14:paraId="091C3B6A" w14:textId="77777777" w:rsidR="00703D65" w:rsidRPr="00703D65" w:rsidRDefault="00703D65" w:rsidP="00703D65">
      <w:pPr>
        <w:numPr>
          <w:ilvl w:val="0"/>
          <w:numId w:val="21"/>
        </w:numPr>
        <w:spacing w:after="100" w:afterAutospacing="1" w:line="264" w:lineRule="auto"/>
        <w:contextualSpacing/>
        <w:jc w:val="both"/>
        <w:rPr>
          <w:rFonts w:ascii="Aptos" w:hAnsi="Aptos"/>
          <w:color w:val="002060"/>
        </w:rPr>
      </w:pPr>
      <w:r w:rsidRPr="00703D65">
        <w:rPr>
          <w:rFonts w:ascii="Aptos" w:hAnsi="Aptos"/>
          <w:color w:val="002060"/>
        </w:rPr>
        <w:t>Clear construction and commissioning pathway</w:t>
      </w:r>
    </w:p>
    <w:p w14:paraId="1B2013E6" w14:textId="77777777" w:rsidR="00703D65" w:rsidRPr="00703D65" w:rsidRDefault="00703D65" w:rsidP="00703D65">
      <w:pPr>
        <w:spacing w:after="100" w:afterAutospacing="1" w:line="264" w:lineRule="auto"/>
        <w:contextualSpacing/>
        <w:jc w:val="both"/>
        <w:rPr>
          <w:rFonts w:ascii="Aptos" w:hAnsi="Aptos"/>
          <w:color w:val="002060"/>
        </w:rPr>
      </w:pPr>
    </w:p>
    <w:p w14:paraId="38A8267A" w14:textId="77777777" w:rsidR="00703D65" w:rsidRPr="00703D65" w:rsidRDefault="00703D65" w:rsidP="00703D65">
      <w:pPr>
        <w:spacing w:after="100" w:afterAutospacing="1" w:line="264" w:lineRule="auto"/>
        <w:contextualSpacing/>
        <w:jc w:val="both"/>
        <w:rPr>
          <w:rFonts w:ascii="Aptos" w:hAnsi="Aptos"/>
          <w:color w:val="002060"/>
        </w:rPr>
      </w:pPr>
      <w:r w:rsidRPr="00703D65">
        <w:rPr>
          <w:rFonts w:ascii="Aptos" w:hAnsi="Aptos"/>
          <w:color w:val="002060"/>
        </w:rPr>
        <w:t xml:space="preserve">Development uncertainty is the most common reason </w:t>
      </w:r>
      <w:proofErr w:type="spellStart"/>
      <w:r w:rsidRPr="00703D65">
        <w:rPr>
          <w:rFonts w:ascii="Aptos" w:hAnsi="Aptos"/>
          <w:color w:val="002060"/>
        </w:rPr>
        <w:t>DPPAs</w:t>
      </w:r>
      <w:proofErr w:type="spellEnd"/>
      <w:r w:rsidRPr="00703D65">
        <w:rPr>
          <w:rFonts w:ascii="Aptos" w:hAnsi="Aptos"/>
          <w:color w:val="002060"/>
        </w:rPr>
        <w:t xml:space="preserve"> fail before financial close.</w:t>
      </w:r>
    </w:p>
    <w:p w14:paraId="25D8EF4D" w14:textId="77777777" w:rsidR="00703D65" w:rsidRPr="00703D65" w:rsidRDefault="00703D65" w:rsidP="00703D65">
      <w:pPr>
        <w:spacing w:after="100" w:afterAutospacing="1" w:line="264" w:lineRule="auto"/>
        <w:contextualSpacing/>
        <w:jc w:val="both"/>
        <w:rPr>
          <w:rFonts w:ascii="Aptos" w:hAnsi="Aptos"/>
          <w:color w:val="002060"/>
        </w:rPr>
      </w:pPr>
    </w:p>
    <w:p w14:paraId="0E611805" w14:textId="77777777" w:rsidR="00703D65" w:rsidRPr="00703D65" w:rsidRDefault="00703D65" w:rsidP="00703D65">
      <w:pPr>
        <w:spacing w:after="100" w:afterAutospacing="1" w:line="264" w:lineRule="auto"/>
        <w:contextualSpacing/>
        <w:jc w:val="both"/>
        <w:rPr>
          <w:rFonts w:ascii="Aptos" w:hAnsi="Aptos"/>
          <w:color w:val="002060"/>
        </w:rPr>
      </w:pPr>
      <w:r w:rsidRPr="00703D65">
        <w:rPr>
          <w:rFonts w:ascii="Aptos" w:hAnsi="Aptos"/>
          <w:b/>
          <w:bCs/>
          <w:color w:val="002060"/>
        </w:rPr>
        <w:t>2. Contract Architecture</w:t>
      </w:r>
    </w:p>
    <w:p w14:paraId="3DE33063" w14:textId="77777777" w:rsidR="00703D65" w:rsidRPr="00703D65" w:rsidRDefault="00703D65" w:rsidP="00703D65">
      <w:pPr>
        <w:spacing w:after="100" w:afterAutospacing="1" w:line="264" w:lineRule="auto"/>
        <w:contextualSpacing/>
        <w:jc w:val="both"/>
        <w:rPr>
          <w:rFonts w:ascii="Aptos" w:hAnsi="Aptos"/>
          <w:color w:val="002060"/>
        </w:rPr>
      </w:pPr>
    </w:p>
    <w:p w14:paraId="4FC42520" w14:textId="77777777" w:rsidR="00703D65" w:rsidRPr="00703D65" w:rsidRDefault="00703D65" w:rsidP="00703D65">
      <w:pPr>
        <w:spacing w:after="100" w:afterAutospacing="1" w:line="264" w:lineRule="auto"/>
        <w:contextualSpacing/>
        <w:jc w:val="both"/>
        <w:rPr>
          <w:rFonts w:ascii="Aptos" w:hAnsi="Aptos"/>
          <w:color w:val="002060"/>
        </w:rPr>
      </w:pPr>
      <w:r w:rsidRPr="00703D65">
        <w:rPr>
          <w:rFonts w:ascii="Aptos" w:hAnsi="Aptos"/>
          <w:color w:val="002060"/>
        </w:rPr>
        <w:t xml:space="preserve">A bankable </w:t>
      </w:r>
      <w:proofErr w:type="spellStart"/>
      <w:r w:rsidRPr="00703D65">
        <w:rPr>
          <w:rFonts w:ascii="Aptos" w:hAnsi="Aptos"/>
          <w:color w:val="002060"/>
        </w:rPr>
        <w:t>DPPA</w:t>
      </w:r>
      <w:proofErr w:type="spellEnd"/>
      <w:r w:rsidRPr="00703D65">
        <w:rPr>
          <w:rFonts w:ascii="Aptos" w:hAnsi="Aptos"/>
          <w:color w:val="002060"/>
        </w:rPr>
        <w:t xml:space="preserve"> must clearly define:</w:t>
      </w:r>
    </w:p>
    <w:p w14:paraId="32D10A54" w14:textId="77777777" w:rsidR="00703D65" w:rsidRPr="00703D65" w:rsidRDefault="00703D65" w:rsidP="00703D65">
      <w:pPr>
        <w:spacing w:after="100" w:afterAutospacing="1" w:line="264" w:lineRule="auto"/>
        <w:contextualSpacing/>
        <w:jc w:val="both"/>
        <w:rPr>
          <w:rFonts w:ascii="Aptos" w:hAnsi="Aptos"/>
          <w:color w:val="002060"/>
        </w:rPr>
      </w:pPr>
    </w:p>
    <w:p w14:paraId="1885F9DB" w14:textId="77777777" w:rsidR="00703D65" w:rsidRPr="00703D65" w:rsidRDefault="00703D65" w:rsidP="00703D65">
      <w:pPr>
        <w:numPr>
          <w:ilvl w:val="0"/>
          <w:numId w:val="22"/>
        </w:numPr>
        <w:spacing w:after="100" w:afterAutospacing="1" w:line="264" w:lineRule="auto"/>
        <w:contextualSpacing/>
        <w:jc w:val="both"/>
        <w:rPr>
          <w:rFonts w:ascii="Aptos" w:hAnsi="Aptos"/>
          <w:color w:val="002060"/>
        </w:rPr>
      </w:pPr>
      <w:r w:rsidRPr="00703D65">
        <w:rPr>
          <w:rFonts w:ascii="Aptos" w:hAnsi="Aptos"/>
          <w:color w:val="002060"/>
        </w:rPr>
        <w:t>Contracted volumes and delivery windows</w:t>
      </w:r>
    </w:p>
    <w:p w14:paraId="66CF0905" w14:textId="77777777" w:rsidR="00703D65" w:rsidRPr="00703D65" w:rsidRDefault="00703D65" w:rsidP="00703D65">
      <w:pPr>
        <w:numPr>
          <w:ilvl w:val="0"/>
          <w:numId w:val="22"/>
        </w:numPr>
        <w:spacing w:after="100" w:afterAutospacing="1" w:line="264" w:lineRule="auto"/>
        <w:contextualSpacing/>
        <w:jc w:val="both"/>
        <w:rPr>
          <w:rFonts w:ascii="Aptos" w:hAnsi="Aptos"/>
          <w:color w:val="002060"/>
        </w:rPr>
      </w:pPr>
      <w:r w:rsidRPr="00703D65">
        <w:rPr>
          <w:rFonts w:ascii="Aptos" w:hAnsi="Aptos"/>
          <w:color w:val="002060"/>
        </w:rPr>
        <w:t>Pricing structure (fixed, indexed, time-of-use)</w:t>
      </w:r>
    </w:p>
    <w:p w14:paraId="2F99E314" w14:textId="77777777" w:rsidR="00703D65" w:rsidRPr="00703D65" w:rsidRDefault="00703D65" w:rsidP="00703D65">
      <w:pPr>
        <w:numPr>
          <w:ilvl w:val="0"/>
          <w:numId w:val="22"/>
        </w:numPr>
        <w:spacing w:after="100" w:afterAutospacing="1" w:line="264" w:lineRule="auto"/>
        <w:contextualSpacing/>
        <w:jc w:val="both"/>
        <w:rPr>
          <w:rFonts w:ascii="Aptos" w:hAnsi="Aptos"/>
          <w:color w:val="002060"/>
        </w:rPr>
      </w:pPr>
      <w:r w:rsidRPr="00703D65">
        <w:rPr>
          <w:rFonts w:ascii="Aptos" w:hAnsi="Aptos"/>
          <w:color w:val="002060"/>
        </w:rPr>
        <w:t>Metering and settlement methodology</w:t>
      </w:r>
    </w:p>
    <w:p w14:paraId="3DA93D13" w14:textId="77777777" w:rsidR="00703D65" w:rsidRPr="00703D65" w:rsidRDefault="00703D65" w:rsidP="00703D65">
      <w:pPr>
        <w:numPr>
          <w:ilvl w:val="0"/>
          <w:numId w:val="22"/>
        </w:numPr>
        <w:spacing w:after="100" w:afterAutospacing="1" w:line="264" w:lineRule="auto"/>
        <w:contextualSpacing/>
        <w:jc w:val="both"/>
        <w:rPr>
          <w:rFonts w:ascii="Aptos" w:hAnsi="Aptos"/>
          <w:color w:val="002060"/>
        </w:rPr>
      </w:pPr>
      <w:r w:rsidRPr="00703D65">
        <w:rPr>
          <w:rFonts w:ascii="Aptos" w:hAnsi="Aptos"/>
          <w:color w:val="002060"/>
        </w:rPr>
        <w:t>Curtailment allocation</w:t>
      </w:r>
    </w:p>
    <w:p w14:paraId="2098CE55" w14:textId="77777777" w:rsidR="00703D65" w:rsidRPr="00703D65" w:rsidRDefault="00703D65" w:rsidP="00703D65">
      <w:pPr>
        <w:numPr>
          <w:ilvl w:val="0"/>
          <w:numId w:val="22"/>
        </w:numPr>
        <w:spacing w:after="100" w:afterAutospacing="1" w:line="264" w:lineRule="auto"/>
        <w:contextualSpacing/>
        <w:jc w:val="both"/>
        <w:rPr>
          <w:rFonts w:ascii="Aptos" w:hAnsi="Aptos"/>
          <w:color w:val="002060"/>
        </w:rPr>
      </w:pPr>
      <w:r w:rsidRPr="00703D65">
        <w:rPr>
          <w:rFonts w:ascii="Aptos" w:hAnsi="Aptos"/>
          <w:color w:val="002060"/>
        </w:rPr>
        <w:lastRenderedPageBreak/>
        <w:t>Change-in-law protection</w:t>
      </w:r>
    </w:p>
    <w:p w14:paraId="213050D9" w14:textId="77777777" w:rsidR="00703D65" w:rsidRPr="00703D65" w:rsidRDefault="00703D65" w:rsidP="00703D65">
      <w:pPr>
        <w:numPr>
          <w:ilvl w:val="0"/>
          <w:numId w:val="22"/>
        </w:numPr>
        <w:spacing w:after="100" w:afterAutospacing="1" w:line="264" w:lineRule="auto"/>
        <w:contextualSpacing/>
        <w:jc w:val="both"/>
        <w:rPr>
          <w:rFonts w:ascii="Aptos" w:hAnsi="Aptos"/>
          <w:color w:val="002060"/>
        </w:rPr>
      </w:pPr>
      <w:r w:rsidRPr="00703D65">
        <w:rPr>
          <w:rFonts w:ascii="Aptos" w:hAnsi="Aptos"/>
          <w:color w:val="002060"/>
        </w:rPr>
        <w:t>Termination compensation</w:t>
      </w:r>
    </w:p>
    <w:p w14:paraId="559A50A0" w14:textId="77777777" w:rsidR="00703D65" w:rsidRPr="00703D65" w:rsidRDefault="00703D65" w:rsidP="00703D65">
      <w:pPr>
        <w:spacing w:after="100" w:afterAutospacing="1" w:line="264" w:lineRule="auto"/>
        <w:contextualSpacing/>
        <w:jc w:val="both"/>
        <w:rPr>
          <w:rFonts w:ascii="Aptos" w:hAnsi="Aptos"/>
          <w:color w:val="002060"/>
        </w:rPr>
      </w:pPr>
    </w:p>
    <w:p w14:paraId="1C13E205" w14:textId="77777777" w:rsidR="00703D65" w:rsidRPr="00703D65" w:rsidRDefault="00703D65" w:rsidP="00703D65">
      <w:pPr>
        <w:spacing w:after="100" w:afterAutospacing="1" w:line="264" w:lineRule="auto"/>
        <w:contextualSpacing/>
        <w:jc w:val="both"/>
        <w:rPr>
          <w:rFonts w:ascii="Aptos" w:hAnsi="Aptos"/>
          <w:color w:val="002060"/>
        </w:rPr>
      </w:pPr>
      <w:r w:rsidRPr="00703D65">
        <w:rPr>
          <w:rFonts w:ascii="Aptos" w:hAnsi="Aptos"/>
          <w:color w:val="002060"/>
        </w:rPr>
        <w:t>For BESS, the agreement should specify:</w:t>
      </w:r>
    </w:p>
    <w:p w14:paraId="41D28FC4" w14:textId="77777777" w:rsidR="00703D65" w:rsidRPr="00703D65" w:rsidRDefault="00703D65" w:rsidP="00703D65">
      <w:pPr>
        <w:spacing w:after="100" w:afterAutospacing="1" w:line="264" w:lineRule="auto"/>
        <w:contextualSpacing/>
        <w:jc w:val="both"/>
        <w:rPr>
          <w:rFonts w:ascii="Aptos" w:hAnsi="Aptos"/>
          <w:color w:val="002060"/>
        </w:rPr>
      </w:pPr>
    </w:p>
    <w:p w14:paraId="45E223A6" w14:textId="77777777" w:rsidR="00703D65" w:rsidRPr="00703D65" w:rsidRDefault="00703D65" w:rsidP="00703D65">
      <w:pPr>
        <w:numPr>
          <w:ilvl w:val="0"/>
          <w:numId w:val="23"/>
        </w:numPr>
        <w:spacing w:after="100" w:afterAutospacing="1" w:line="264" w:lineRule="auto"/>
        <w:contextualSpacing/>
        <w:jc w:val="both"/>
        <w:rPr>
          <w:rFonts w:ascii="Aptos" w:hAnsi="Aptos"/>
          <w:color w:val="002060"/>
        </w:rPr>
      </w:pPr>
      <w:r w:rsidRPr="00703D65">
        <w:rPr>
          <w:rFonts w:ascii="Aptos" w:hAnsi="Aptos"/>
          <w:color w:val="002060"/>
        </w:rPr>
        <w:t>Committed MW capacity</w:t>
      </w:r>
    </w:p>
    <w:p w14:paraId="0F7E8228" w14:textId="77777777" w:rsidR="00703D65" w:rsidRPr="00703D65" w:rsidRDefault="00703D65" w:rsidP="00703D65">
      <w:pPr>
        <w:numPr>
          <w:ilvl w:val="0"/>
          <w:numId w:val="23"/>
        </w:numPr>
        <w:spacing w:after="100" w:afterAutospacing="1" w:line="264" w:lineRule="auto"/>
        <w:contextualSpacing/>
        <w:jc w:val="both"/>
        <w:rPr>
          <w:rFonts w:ascii="Aptos" w:hAnsi="Aptos"/>
          <w:color w:val="002060"/>
        </w:rPr>
      </w:pPr>
      <w:r w:rsidRPr="00703D65">
        <w:rPr>
          <w:rFonts w:ascii="Aptos" w:hAnsi="Aptos"/>
          <w:color w:val="002060"/>
        </w:rPr>
        <w:t>Guaranteed discharge duration</w:t>
      </w:r>
    </w:p>
    <w:p w14:paraId="0353ECC3" w14:textId="77777777" w:rsidR="00703D65" w:rsidRPr="00703D65" w:rsidRDefault="00703D65" w:rsidP="00703D65">
      <w:pPr>
        <w:numPr>
          <w:ilvl w:val="0"/>
          <w:numId w:val="23"/>
        </w:numPr>
        <w:spacing w:after="100" w:afterAutospacing="1" w:line="264" w:lineRule="auto"/>
        <w:contextualSpacing/>
        <w:jc w:val="both"/>
        <w:rPr>
          <w:rFonts w:ascii="Aptos" w:hAnsi="Aptos"/>
          <w:color w:val="002060"/>
        </w:rPr>
      </w:pPr>
      <w:r w:rsidRPr="00703D65">
        <w:rPr>
          <w:rFonts w:ascii="Aptos" w:hAnsi="Aptos"/>
          <w:color w:val="002060"/>
        </w:rPr>
        <w:t>Availability levels</w:t>
      </w:r>
    </w:p>
    <w:p w14:paraId="45AE991B" w14:textId="77777777" w:rsidR="00703D65" w:rsidRPr="00703D65" w:rsidRDefault="00703D65" w:rsidP="00703D65">
      <w:pPr>
        <w:numPr>
          <w:ilvl w:val="0"/>
          <w:numId w:val="23"/>
        </w:numPr>
        <w:spacing w:after="100" w:afterAutospacing="1" w:line="264" w:lineRule="auto"/>
        <w:contextualSpacing/>
        <w:jc w:val="both"/>
        <w:rPr>
          <w:rFonts w:ascii="Aptos" w:hAnsi="Aptos"/>
          <w:color w:val="002060"/>
        </w:rPr>
      </w:pPr>
      <w:r w:rsidRPr="00703D65">
        <w:rPr>
          <w:rFonts w:ascii="Aptos" w:hAnsi="Aptos"/>
          <w:color w:val="002060"/>
        </w:rPr>
        <w:t>Degradation and augmentation responsibilities</w:t>
      </w:r>
    </w:p>
    <w:p w14:paraId="5634775A" w14:textId="77777777" w:rsidR="00703D65" w:rsidRPr="00703D65" w:rsidRDefault="00703D65" w:rsidP="00703D65">
      <w:pPr>
        <w:spacing w:after="100" w:afterAutospacing="1" w:line="264" w:lineRule="auto"/>
        <w:contextualSpacing/>
        <w:jc w:val="both"/>
        <w:rPr>
          <w:rFonts w:ascii="Aptos" w:hAnsi="Aptos"/>
          <w:color w:val="002060"/>
        </w:rPr>
      </w:pPr>
    </w:p>
    <w:p w14:paraId="35D3A0AC" w14:textId="77777777" w:rsidR="00703D65" w:rsidRPr="00703D65" w:rsidRDefault="00703D65" w:rsidP="00703D65">
      <w:pPr>
        <w:spacing w:after="100" w:afterAutospacing="1" w:line="264" w:lineRule="auto"/>
        <w:contextualSpacing/>
        <w:jc w:val="both"/>
        <w:rPr>
          <w:rFonts w:ascii="Aptos" w:hAnsi="Aptos"/>
          <w:color w:val="002060"/>
        </w:rPr>
      </w:pPr>
      <w:r w:rsidRPr="00703D65">
        <w:rPr>
          <w:rFonts w:ascii="Aptos" w:hAnsi="Aptos"/>
          <w:color w:val="002060"/>
        </w:rPr>
        <w:t>Ambiguity in any of these areas translates directly into higher financing costs.</w:t>
      </w:r>
    </w:p>
    <w:p w14:paraId="12C7AC52" w14:textId="77777777" w:rsidR="00703D65" w:rsidRPr="00703D65" w:rsidRDefault="00703D65" w:rsidP="00703D65">
      <w:pPr>
        <w:spacing w:after="100" w:afterAutospacing="1" w:line="264" w:lineRule="auto"/>
        <w:contextualSpacing/>
        <w:jc w:val="both"/>
        <w:rPr>
          <w:rFonts w:ascii="Aptos" w:hAnsi="Aptos"/>
          <w:color w:val="002060"/>
        </w:rPr>
      </w:pPr>
    </w:p>
    <w:p w14:paraId="112A845B" w14:textId="77777777" w:rsidR="00703D65" w:rsidRPr="00703D65" w:rsidRDefault="00703D65" w:rsidP="00703D65">
      <w:pPr>
        <w:spacing w:after="100" w:afterAutospacing="1" w:line="264" w:lineRule="auto"/>
        <w:contextualSpacing/>
        <w:jc w:val="both"/>
        <w:rPr>
          <w:rFonts w:ascii="Aptos" w:hAnsi="Aptos"/>
          <w:color w:val="002060"/>
        </w:rPr>
      </w:pPr>
      <w:r w:rsidRPr="00703D65">
        <w:rPr>
          <w:rFonts w:ascii="Aptos" w:hAnsi="Aptos"/>
          <w:b/>
          <w:bCs/>
          <w:color w:val="002060"/>
        </w:rPr>
        <w:t>3. Risk and Finance Alignment</w:t>
      </w:r>
    </w:p>
    <w:p w14:paraId="2724643D" w14:textId="77777777" w:rsidR="00703D65" w:rsidRPr="00703D65" w:rsidRDefault="00703D65" w:rsidP="00703D65">
      <w:pPr>
        <w:spacing w:after="100" w:afterAutospacing="1" w:line="264" w:lineRule="auto"/>
        <w:contextualSpacing/>
        <w:jc w:val="both"/>
        <w:rPr>
          <w:rFonts w:ascii="Aptos" w:hAnsi="Aptos"/>
          <w:color w:val="002060"/>
        </w:rPr>
      </w:pPr>
    </w:p>
    <w:p w14:paraId="3A262F15" w14:textId="77777777" w:rsidR="00703D65" w:rsidRPr="00703D65" w:rsidRDefault="00703D65" w:rsidP="00703D65">
      <w:pPr>
        <w:spacing w:after="100" w:afterAutospacing="1" w:line="264" w:lineRule="auto"/>
        <w:contextualSpacing/>
        <w:jc w:val="both"/>
        <w:rPr>
          <w:rFonts w:ascii="Aptos" w:hAnsi="Aptos"/>
          <w:color w:val="002060"/>
        </w:rPr>
      </w:pPr>
      <w:r w:rsidRPr="00703D65">
        <w:rPr>
          <w:rFonts w:ascii="Aptos" w:hAnsi="Aptos"/>
          <w:color w:val="002060"/>
        </w:rPr>
        <w:t>Debt providers will focus on:</w:t>
      </w:r>
    </w:p>
    <w:p w14:paraId="65E917F0" w14:textId="77777777" w:rsidR="00703D65" w:rsidRPr="00703D65" w:rsidRDefault="00703D65" w:rsidP="00703D65">
      <w:pPr>
        <w:spacing w:after="100" w:afterAutospacing="1" w:line="264" w:lineRule="auto"/>
        <w:contextualSpacing/>
        <w:jc w:val="both"/>
        <w:rPr>
          <w:rFonts w:ascii="Aptos" w:hAnsi="Aptos"/>
          <w:color w:val="002060"/>
        </w:rPr>
      </w:pPr>
    </w:p>
    <w:p w14:paraId="3A482DD3" w14:textId="77777777" w:rsidR="00703D65" w:rsidRPr="00703D65" w:rsidRDefault="00703D65" w:rsidP="00703D65">
      <w:pPr>
        <w:numPr>
          <w:ilvl w:val="0"/>
          <w:numId w:val="24"/>
        </w:numPr>
        <w:spacing w:after="100" w:afterAutospacing="1" w:line="264" w:lineRule="auto"/>
        <w:contextualSpacing/>
        <w:jc w:val="both"/>
        <w:rPr>
          <w:rFonts w:ascii="Aptos" w:hAnsi="Aptos"/>
          <w:color w:val="002060"/>
        </w:rPr>
      </w:pPr>
      <w:proofErr w:type="spellStart"/>
      <w:r w:rsidRPr="00703D65">
        <w:rPr>
          <w:rFonts w:ascii="Aptos" w:hAnsi="Aptos"/>
          <w:color w:val="002060"/>
        </w:rPr>
        <w:t>Offtaker</w:t>
      </w:r>
      <w:proofErr w:type="spellEnd"/>
      <w:r w:rsidRPr="00703D65">
        <w:rPr>
          <w:rFonts w:ascii="Aptos" w:hAnsi="Aptos"/>
          <w:color w:val="002060"/>
        </w:rPr>
        <w:t xml:space="preserve"> credit support (LC, parent guarantee, escrow)</w:t>
      </w:r>
    </w:p>
    <w:p w14:paraId="7E12D71C" w14:textId="77777777" w:rsidR="00703D65" w:rsidRPr="00703D65" w:rsidRDefault="00703D65" w:rsidP="00703D65">
      <w:pPr>
        <w:numPr>
          <w:ilvl w:val="0"/>
          <w:numId w:val="24"/>
        </w:numPr>
        <w:spacing w:after="100" w:afterAutospacing="1" w:line="264" w:lineRule="auto"/>
        <w:contextualSpacing/>
        <w:jc w:val="both"/>
        <w:rPr>
          <w:rFonts w:ascii="Aptos" w:hAnsi="Aptos"/>
          <w:color w:val="002060"/>
        </w:rPr>
      </w:pPr>
      <w:r w:rsidRPr="00703D65">
        <w:rPr>
          <w:rFonts w:ascii="Aptos" w:hAnsi="Aptos"/>
          <w:color w:val="002060"/>
        </w:rPr>
        <w:t>Predictable termination payments</w:t>
      </w:r>
    </w:p>
    <w:p w14:paraId="33D336BF" w14:textId="77777777" w:rsidR="00703D65" w:rsidRPr="00703D65" w:rsidRDefault="00703D65" w:rsidP="00703D65">
      <w:pPr>
        <w:numPr>
          <w:ilvl w:val="0"/>
          <w:numId w:val="24"/>
        </w:numPr>
        <w:spacing w:after="100" w:afterAutospacing="1" w:line="264" w:lineRule="auto"/>
        <w:contextualSpacing/>
        <w:jc w:val="both"/>
        <w:rPr>
          <w:rFonts w:ascii="Aptos" w:hAnsi="Aptos"/>
          <w:color w:val="002060"/>
        </w:rPr>
      </w:pPr>
      <w:r w:rsidRPr="00703D65">
        <w:rPr>
          <w:rFonts w:ascii="Aptos" w:hAnsi="Aptos"/>
          <w:color w:val="002060"/>
        </w:rPr>
        <w:t>Step-in rights</w:t>
      </w:r>
    </w:p>
    <w:p w14:paraId="48E814AE" w14:textId="77777777" w:rsidR="00703D65" w:rsidRPr="00703D65" w:rsidRDefault="00703D65" w:rsidP="00703D65">
      <w:pPr>
        <w:numPr>
          <w:ilvl w:val="0"/>
          <w:numId w:val="24"/>
        </w:numPr>
        <w:spacing w:after="100" w:afterAutospacing="1" w:line="264" w:lineRule="auto"/>
        <w:contextualSpacing/>
        <w:jc w:val="both"/>
        <w:rPr>
          <w:rFonts w:ascii="Aptos" w:hAnsi="Aptos"/>
          <w:color w:val="002060"/>
        </w:rPr>
      </w:pPr>
      <w:r w:rsidRPr="00703D65">
        <w:rPr>
          <w:rFonts w:ascii="Aptos" w:hAnsi="Aptos"/>
          <w:color w:val="002060"/>
        </w:rPr>
        <w:t>Insurance coverage, particularly for storage systems</w:t>
      </w:r>
    </w:p>
    <w:p w14:paraId="0A6E2225" w14:textId="77777777" w:rsidR="00703D65" w:rsidRPr="00703D65" w:rsidRDefault="00703D65" w:rsidP="00703D65">
      <w:pPr>
        <w:numPr>
          <w:ilvl w:val="0"/>
          <w:numId w:val="24"/>
        </w:numPr>
        <w:spacing w:after="100" w:afterAutospacing="1" w:line="264" w:lineRule="auto"/>
        <w:contextualSpacing/>
        <w:jc w:val="both"/>
        <w:rPr>
          <w:rFonts w:ascii="Aptos" w:hAnsi="Aptos"/>
          <w:color w:val="002060"/>
        </w:rPr>
      </w:pPr>
      <w:r w:rsidRPr="00703D65">
        <w:rPr>
          <w:rFonts w:ascii="Aptos" w:hAnsi="Aptos"/>
          <w:color w:val="002060"/>
        </w:rPr>
        <w:t>Conservative assumptions regarding grid constraints</w:t>
      </w:r>
    </w:p>
    <w:p w14:paraId="3E208B21" w14:textId="77777777" w:rsidR="00703D65" w:rsidRPr="00703D65" w:rsidRDefault="00703D65" w:rsidP="00703D65">
      <w:pPr>
        <w:spacing w:after="100" w:afterAutospacing="1" w:line="264" w:lineRule="auto"/>
        <w:contextualSpacing/>
        <w:jc w:val="both"/>
        <w:rPr>
          <w:rFonts w:ascii="Aptos" w:hAnsi="Aptos"/>
          <w:color w:val="002060"/>
        </w:rPr>
      </w:pPr>
    </w:p>
    <w:p w14:paraId="018658D8" w14:textId="77777777" w:rsidR="00703D65" w:rsidRPr="00703D65" w:rsidRDefault="00703D65" w:rsidP="00703D65">
      <w:pPr>
        <w:spacing w:after="100" w:afterAutospacing="1" w:line="264" w:lineRule="auto"/>
        <w:contextualSpacing/>
        <w:jc w:val="both"/>
        <w:rPr>
          <w:rFonts w:ascii="Aptos" w:hAnsi="Aptos"/>
          <w:color w:val="002060"/>
        </w:rPr>
      </w:pPr>
      <w:r w:rsidRPr="00703D65">
        <w:rPr>
          <w:rFonts w:ascii="Aptos" w:hAnsi="Aptos"/>
          <w:color w:val="002060"/>
        </w:rPr>
        <w:t>In Vietnam’s evolving regulatory landscape, clarity of risk allocation matters more than theoretical upside.</w:t>
      </w:r>
    </w:p>
    <w:p w14:paraId="1A0B0082" w14:textId="77777777" w:rsidR="00703D65" w:rsidRPr="00703D65" w:rsidRDefault="00703D65" w:rsidP="00703D65">
      <w:pPr>
        <w:spacing w:after="100" w:afterAutospacing="1" w:line="264" w:lineRule="auto"/>
        <w:contextualSpacing/>
        <w:jc w:val="both"/>
        <w:rPr>
          <w:rFonts w:ascii="Aptos" w:hAnsi="Aptos"/>
          <w:color w:val="002060"/>
        </w:rPr>
      </w:pPr>
    </w:p>
    <w:p w14:paraId="331F2AE2" w14:textId="77777777" w:rsidR="00703D65" w:rsidRPr="00703D65" w:rsidRDefault="00703D65" w:rsidP="00703D65">
      <w:pPr>
        <w:spacing w:after="100" w:afterAutospacing="1" w:line="264" w:lineRule="auto"/>
        <w:contextualSpacing/>
        <w:jc w:val="both"/>
        <w:rPr>
          <w:rFonts w:ascii="Aptos" w:hAnsi="Aptos"/>
          <w:color w:val="002060"/>
        </w:rPr>
      </w:pPr>
      <w:r w:rsidRPr="00703D65">
        <w:rPr>
          <w:rFonts w:ascii="Aptos" w:hAnsi="Aptos"/>
          <w:b/>
          <w:bCs/>
          <w:color w:val="002060"/>
        </w:rPr>
        <w:t>How Deals Actually Close</w:t>
      </w:r>
    </w:p>
    <w:p w14:paraId="4DBCF329" w14:textId="77777777" w:rsidR="00703D65" w:rsidRPr="00703D65" w:rsidRDefault="00703D65" w:rsidP="00703D65">
      <w:pPr>
        <w:spacing w:after="100" w:afterAutospacing="1" w:line="264" w:lineRule="auto"/>
        <w:contextualSpacing/>
        <w:jc w:val="both"/>
        <w:rPr>
          <w:rFonts w:ascii="Aptos" w:hAnsi="Aptos"/>
          <w:color w:val="002060"/>
        </w:rPr>
      </w:pPr>
    </w:p>
    <w:p w14:paraId="64C93FED" w14:textId="77777777" w:rsidR="00703D65" w:rsidRPr="00703D65" w:rsidRDefault="00703D65" w:rsidP="00703D65">
      <w:pPr>
        <w:spacing w:after="100" w:afterAutospacing="1" w:line="264" w:lineRule="auto"/>
        <w:contextualSpacing/>
        <w:jc w:val="both"/>
        <w:rPr>
          <w:rFonts w:ascii="Aptos" w:hAnsi="Aptos"/>
          <w:color w:val="002060"/>
        </w:rPr>
      </w:pPr>
      <w:r w:rsidRPr="00703D65">
        <w:rPr>
          <w:rFonts w:ascii="Aptos" w:hAnsi="Aptos"/>
          <w:color w:val="002060"/>
        </w:rPr>
        <w:t>Successful sponsors typically follow a disciplined sequence:</w:t>
      </w:r>
    </w:p>
    <w:p w14:paraId="17A648F5" w14:textId="77777777" w:rsidR="00703D65" w:rsidRPr="00703D65" w:rsidRDefault="00703D65" w:rsidP="00703D65">
      <w:pPr>
        <w:spacing w:after="100" w:afterAutospacing="1" w:line="264" w:lineRule="auto"/>
        <w:contextualSpacing/>
        <w:jc w:val="both"/>
        <w:rPr>
          <w:rFonts w:ascii="Aptos" w:hAnsi="Aptos"/>
          <w:color w:val="002060"/>
        </w:rPr>
      </w:pPr>
    </w:p>
    <w:p w14:paraId="61499B05" w14:textId="77777777" w:rsidR="00703D65" w:rsidRPr="00703D65" w:rsidRDefault="00703D65" w:rsidP="00703D65">
      <w:pPr>
        <w:numPr>
          <w:ilvl w:val="0"/>
          <w:numId w:val="25"/>
        </w:numPr>
        <w:spacing w:after="100" w:afterAutospacing="1" w:line="264" w:lineRule="auto"/>
        <w:contextualSpacing/>
        <w:jc w:val="both"/>
        <w:rPr>
          <w:rFonts w:ascii="Aptos" w:hAnsi="Aptos"/>
          <w:color w:val="002060"/>
        </w:rPr>
      </w:pPr>
      <w:r w:rsidRPr="00703D65">
        <w:rPr>
          <w:rFonts w:ascii="Aptos" w:hAnsi="Aptos"/>
          <w:color w:val="002060"/>
        </w:rPr>
        <w:t xml:space="preserve">Secure a credible industrial </w:t>
      </w:r>
      <w:proofErr w:type="spellStart"/>
      <w:r w:rsidRPr="00703D65">
        <w:rPr>
          <w:rFonts w:ascii="Aptos" w:hAnsi="Aptos"/>
          <w:color w:val="002060"/>
        </w:rPr>
        <w:t>offtaker</w:t>
      </w:r>
      <w:proofErr w:type="spellEnd"/>
      <w:r w:rsidRPr="00703D65">
        <w:rPr>
          <w:rFonts w:ascii="Aptos" w:hAnsi="Aptos"/>
          <w:color w:val="002060"/>
        </w:rPr>
        <w:t xml:space="preserve"> first</w:t>
      </w:r>
    </w:p>
    <w:p w14:paraId="5FCCFB9C" w14:textId="77777777" w:rsidR="00703D65" w:rsidRPr="00703D65" w:rsidRDefault="00703D65" w:rsidP="00703D65">
      <w:pPr>
        <w:numPr>
          <w:ilvl w:val="0"/>
          <w:numId w:val="25"/>
        </w:numPr>
        <w:spacing w:after="100" w:afterAutospacing="1" w:line="264" w:lineRule="auto"/>
        <w:contextualSpacing/>
        <w:jc w:val="both"/>
        <w:rPr>
          <w:rFonts w:ascii="Aptos" w:hAnsi="Aptos"/>
          <w:color w:val="002060"/>
        </w:rPr>
      </w:pPr>
      <w:r w:rsidRPr="00703D65">
        <w:rPr>
          <w:rFonts w:ascii="Aptos" w:hAnsi="Aptos"/>
          <w:color w:val="002060"/>
        </w:rPr>
        <w:t xml:space="preserve">Choose the </w:t>
      </w:r>
      <w:proofErr w:type="spellStart"/>
      <w:r w:rsidRPr="00703D65">
        <w:rPr>
          <w:rFonts w:ascii="Aptos" w:hAnsi="Aptos"/>
          <w:color w:val="002060"/>
        </w:rPr>
        <w:t>DPPA</w:t>
      </w:r>
      <w:proofErr w:type="spellEnd"/>
      <w:r w:rsidRPr="00703D65">
        <w:rPr>
          <w:rFonts w:ascii="Aptos" w:hAnsi="Aptos"/>
          <w:color w:val="002060"/>
        </w:rPr>
        <w:t xml:space="preserve"> model early (private wire vs grid-enabled)</w:t>
      </w:r>
    </w:p>
    <w:p w14:paraId="55DD85FC" w14:textId="77777777" w:rsidR="00703D65" w:rsidRPr="00703D65" w:rsidRDefault="00703D65" w:rsidP="00703D65">
      <w:pPr>
        <w:numPr>
          <w:ilvl w:val="0"/>
          <w:numId w:val="25"/>
        </w:numPr>
        <w:spacing w:after="100" w:afterAutospacing="1" w:line="264" w:lineRule="auto"/>
        <w:contextualSpacing/>
        <w:jc w:val="both"/>
        <w:rPr>
          <w:rFonts w:ascii="Aptos" w:hAnsi="Aptos"/>
          <w:color w:val="002060"/>
        </w:rPr>
      </w:pPr>
      <w:r w:rsidRPr="00703D65">
        <w:rPr>
          <w:rFonts w:ascii="Aptos" w:hAnsi="Aptos"/>
          <w:color w:val="002060"/>
        </w:rPr>
        <w:t>Align technical design with contractual obligations</w:t>
      </w:r>
    </w:p>
    <w:p w14:paraId="2E69E71F" w14:textId="77777777" w:rsidR="00703D65" w:rsidRPr="00703D65" w:rsidRDefault="00703D65" w:rsidP="00703D65">
      <w:pPr>
        <w:numPr>
          <w:ilvl w:val="0"/>
          <w:numId w:val="25"/>
        </w:numPr>
        <w:spacing w:after="100" w:afterAutospacing="1" w:line="264" w:lineRule="auto"/>
        <w:contextualSpacing/>
        <w:jc w:val="both"/>
        <w:rPr>
          <w:rFonts w:ascii="Aptos" w:hAnsi="Aptos"/>
          <w:color w:val="002060"/>
        </w:rPr>
      </w:pPr>
      <w:r w:rsidRPr="00703D65">
        <w:rPr>
          <w:rFonts w:ascii="Aptos" w:hAnsi="Aptos"/>
          <w:color w:val="002060"/>
        </w:rPr>
        <w:t>Integrate BESS economics into the core pricing model</w:t>
      </w:r>
    </w:p>
    <w:p w14:paraId="2FD44A2F" w14:textId="77777777" w:rsidR="00703D65" w:rsidRPr="00703D65" w:rsidRDefault="00703D65" w:rsidP="00703D65">
      <w:pPr>
        <w:numPr>
          <w:ilvl w:val="0"/>
          <w:numId w:val="25"/>
        </w:numPr>
        <w:spacing w:after="100" w:afterAutospacing="1" w:line="264" w:lineRule="auto"/>
        <w:contextualSpacing/>
        <w:jc w:val="both"/>
        <w:rPr>
          <w:rFonts w:ascii="Aptos" w:hAnsi="Aptos"/>
          <w:color w:val="002060"/>
        </w:rPr>
      </w:pPr>
      <w:r w:rsidRPr="00703D65">
        <w:rPr>
          <w:rFonts w:ascii="Aptos" w:hAnsi="Aptos"/>
          <w:color w:val="002060"/>
        </w:rPr>
        <w:t xml:space="preserve">Draft the </w:t>
      </w:r>
      <w:proofErr w:type="spellStart"/>
      <w:r w:rsidRPr="00703D65">
        <w:rPr>
          <w:rFonts w:ascii="Aptos" w:hAnsi="Aptos"/>
          <w:color w:val="002060"/>
        </w:rPr>
        <w:t>DPPA</w:t>
      </w:r>
      <w:proofErr w:type="spellEnd"/>
      <w:r w:rsidRPr="00703D65">
        <w:rPr>
          <w:rFonts w:ascii="Aptos" w:hAnsi="Aptos"/>
          <w:color w:val="002060"/>
        </w:rPr>
        <w:t xml:space="preserve"> as if a credit committee will read every clause</w:t>
      </w:r>
    </w:p>
    <w:p w14:paraId="7E2EB035" w14:textId="77777777" w:rsidR="00703D65" w:rsidRPr="00703D65" w:rsidRDefault="00703D65" w:rsidP="00703D65">
      <w:pPr>
        <w:numPr>
          <w:ilvl w:val="0"/>
          <w:numId w:val="25"/>
        </w:numPr>
        <w:spacing w:after="100" w:afterAutospacing="1" w:line="264" w:lineRule="auto"/>
        <w:contextualSpacing/>
        <w:jc w:val="both"/>
        <w:rPr>
          <w:rFonts w:ascii="Aptos" w:hAnsi="Aptos"/>
          <w:color w:val="002060"/>
        </w:rPr>
      </w:pPr>
      <w:r w:rsidRPr="00703D65">
        <w:rPr>
          <w:rFonts w:ascii="Aptos" w:hAnsi="Aptos"/>
          <w:color w:val="002060"/>
        </w:rPr>
        <w:t>Structure termination and security provisions before approaching lenders</w:t>
      </w:r>
    </w:p>
    <w:p w14:paraId="602AD7DD" w14:textId="77777777" w:rsidR="00703D65" w:rsidRPr="00703D65" w:rsidRDefault="00703D65" w:rsidP="00703D65">
      <w:pPr>
        <w:spacing w:after="100" w:afterAutospacing="1" w:line="264" w:lineRule="auto"/>
        <w:contextualSpacing/>
        <w:jc w:val="both"/>
        <w:rPr>
          <w:rFonts w:ascii="Aptos" w:hAnsi="Aptos"/>
          <w:color w:val="002060"/>
        </w:rPr>
      </w:pPr>
    </w:p>
    <w:p w14:paraId="66A827CD" w14:textId="77777777" w:rsidR="00703D65" w:rsidRPr="00703D65" w:rsidRDefault="00703D65" w:rsidP="00703D65">
      <w:pPr>
        <w:spacing w:after="100" w:afterAutospacing="1" w:line="264" w:lineRule="auto"/>
        <w:contextualSpacing/>
        <w:jc w:val="both"/>
        <w:rPr>
          <w:rFonts w:ascii="Aptos" w:hAnsi="Aptos"/>
          <w:color w:val="002060"/>
        </w:rPr>
      </w:pPr>
      <w:r w:rsidRPr="00703D65">
        <w:rPr>
          <w:rFonts w:ascii="Aptos" w:hAnsi="Aptos"/>
          <w:color w:val="002060"/>
        </w:rPr>
        <w:t>Projects that treat financing as an afterthought often return to renegotiation. Projects structured for bankability from day one move faster.</w:t>
      </w:r>
    </w:p>
    <w:p w14:paraId="5C0BE09A" w14:textId="77777777" w:rsidR="00703D65" w:rsidRPr="00703D65" w:rsidRDefault="00703D65" w:rsidP="00703D65">
      <w:pPr>
        <w:spacing w:after="100" w:afterAutospacing="1" w:line="264" w:lineRule="auto"/>
        <w:contextualSpacing/>
        <w:jc w:val="both"/>
        <w:rPr>
          <w:rFonts w:ascii="Aptos" w:hAnsi="Aptos"/>
          <w:color w:val="002060"/>
        </w:rPr>
      </w:pPr>
    </w:p>
    <w:p w14:paraId="4EB45AD2" w14:textId="77777777" w:rsidR="00703D65" w:rsidRPr="00703D65" w:rsidRDefault="00703D65" w:rsidP="00703D65">
      <w:pPr>
        <w:spacing w:after="100" w:afterAutospacing="1" w:line="264" w:lineRule="auto"/>
        <w:contextualSpacing/>
        <w:jc w:val="both"/>
        <w:rPr>
          <w:rFonts w:ascii="Aptos" w:hAnsi="Aptos"/>
          <w:color w:val="002060"/>
        </w:rPr>
      </w:pPr>
      <w:r w:rsidRPr="00703D65">
        <w:rPr>
          <w:rFonts w:ascii="Aptos" w:hAnsi="Aptos"/>
          <w:b/>
          <w:bCs/>
          <w:color w:val="002060"/>
        </w:rPr>
        <w:t>Conclusion: Bankability Is the Strategy</w:t>
      </w:r>
    </w:p>
    <w:p w14:paraId="780D1330" w14:textId="77777777" w:rsidR="00703D65" w:rsidRPr="00703D65" w:rsidRDefault="00703D65" w:rsidP="00703D65">
      <w:pPr>
        <w:spacing w:after="100" w:afterAutospacing="1" w:line="264" w:lineRule="auto"/>
        <w:contextualSpacing/>
        <w:jc w:val="both"/>
        <w:rPr>
          <w:rFonts w:ascii="Aptos" w:hAnsi="Aptos"/>
          <w:color w:val="002060"/>
        </w:rPr>
      </w:pPr>
    </w:p>
    <w:p w14:paraId="28A5FDAB" w14:textId="77777777" w:rsidR="00703D65" w:rsidRPr="00703D65" w:rsidRDefault="00703D65" w:rsidP="00703D65">
      <w:pPr>
        <w:spacing w:after="100" w:afterAutospacing="1" w:line="264" w:lineRule="auto"/>
        <w:contextualSpacing/>
        <w:jc w:val="both"/>
        <w:rPr>
          <w:rFonts w:ascii="Aptos" w:hAnsi="Aptos"/>
          <w:color w:val="002060"/>
        </w:rPr>
      </w:pPr>
      <w:r w:rsidRPr="00703D65">
        <w:rPr>
          <w:rFonts w:ascii="Aptos" w:hAnsi="Aptos"/>
          <w:color w:val="002060"/>
        </w:rPr>
        <w:t>Vietnam’s solar market is not shrinking—it is maturing.</w:t>
      </w:r>
    </w:p>
    <w:p w14:paraId="03014BE3" w14:textId="77777777" w:rsidR="00703D65" w:rsidRPr="00703D65" w:rsidRDefault="00703D65" w:rsidP="00703D65">
      <w:pPr>
        <w:spacing w:after="100" w:afterAutospacing="1" w:line="264" w:lineRule="auto"/>
        <w:contextualSpacing/>
        <w:jc w:val="both"/>
        <w:rPr>
          <w:rFonts w:ascii="Aptos" w:hAnsi="Aptos"/>
          <w:color w:val="002060"/>
        </w:rPr>
      </w:pPr>
    </w:p>
    <w:p w14:paraId="63C8F0DF" w14:textId="77777777" w:rsidR="00703D65" w:rsidRPr="00703D65" w:rsidRDefault="00703D65" w:rsidP="00703D65">
      <w:pPr>
        <w:spacing w:after="100" w:afterAutospacing="1" w:line="264" w:lineRule="auto"/>
        <w:contextualSpacing/>
        <w:jc w:val="both"/>
        <w:rPr>
          <w:rFonts w:ascii="Aptos" w:hAnsi="Aptos"/>
          <w:color w:val="002060"/>
        </w:rPr>
      </w:pPr>
      <w:r w:rsidRPr="00703D65">
        <w:rPr>
          <w:rFonts w:ascii="Aptos" w:hAnsi="Aptos"/>
          <w:color w:val="002060"/>
        </w:rPr>
        <w:t>The regulatory framework now allows direct corporate procurement. National planning signals strong support for storage. Industrial demand for renewable electricity continues to grow.</w:t>
      </w:r>
    </w:p>
    <w:p w14:paraId="2ECD77B4" w14:textId="77777777" w:rsidR="00703D65" w:rsidRPr="00703D65" w:rsidRDefault="00703D65" w:rsidP="00703D65">
      <w:pPr>
        <w:spacing w:after="100" w:afterAutospacing="1" w:line="264" w:lineRule="auto"/>
        <w:contextualSpacing/>
        <w:jc w:val="both"/>
        <w:rPr>
          <w:rFonts w:ascii="Aptos" w:hAnsi="Aptos"/>
          <w:color w:val="002060"/>
        </w:rPr>
      </w:pPr>
    </w:p>
    <w:p w14:paraId="1B75F2F5" w14:textId="77777777" w:rsidR="00703D65" w:rsidRPr="00703D65" w:rsidRDefault="00703D65" w:rsidP="00703D65">
      <w:pPr>
        <w:spacing w:after="100" w:afterAutospacing="1" w:line="264" w:lineRule="auto"/>
        <w:contextualSpacing/>
        <w:jc w:val="both"/>
        <w:rPr>
          <w:rFonts w:ascii="Aptos" w:hAnsi="Aptos"/>
          <w:color w:val="002060"/>
        </w:rPr>
      </w:pPr>
      <w:r w:rsidRPr="00703D65">
        <w:rPr>
          <w:rFonts w:ascii="Aptos" w:hAnsi="Aptos"/>
          <w:color w:val="002060"/>
        </w:rPr>
        <w:t>But the decisive factor is no longer policy enthusiasm. It is contract strength.</w:t>
      </w:r>
    </w:p>
    <w:p w14:paraId="16F66E2F" w14:textId="77777777" w:rsidR="00703D65" w:rsidRPr="00703D65" w:rsidRDefault="00703D65" w:rsidP="00703D65">
      <w:pPr>
        <w:spacing w:after="100" w:afterAutospacing="1" w:line="264" w:lineRule="auto"/>
        <w:contextualSpacing/>
        <w:jc w:val="both"/>
        <w:rPr>
          <w:rFonts w:ascii="Aptos" w:hAnsi="Aptos"/>
          <w:color w:val="002060"/>
        </w:rPr>
      </w:pPr>
    </w:p>
    <w:p w14:paraId="06EDB800" w14:textId="77777777" w:rsidR="00703D65" w:rsidRPr="00703D65" w:rsidRDefault="00703D65" w:rsidP="00703D65">
      <w:pPr>
        <w:spacing w:after="100" w:afterAutospacing="1" w:line="264" w:lineRule="auto"/>
        <w:contextualSpacing/>
        <w:jc w:val="both"/>
        <w:rPr>
          <w:rFonts w:ascii="Aptos" w:hAnsi="Aptos"/>
          <w:color w:val="002060"/>
        </w:rPr>
      </w:pPr>
      <w:r w:rsidRPr="00703D65">
        <w:rPr>
          <w:rFonts w:ascii="Aptos" w:hAnsi="Aptos"/>
          <w:color w:val="002060"/>
        </w:rPr>
        <w:t>A project becomes bankable when:</w:t>
      </w:r>
    </w:p>
    <w:p w14:paraId="68B890F1" w14:textId="77777777" w:rsidR="00703D65" w:rsidRPr="00703D65" w:rsidRDefault="00703D65" w:rsidP="00703D65">
      <w:pPr>
        <w:spacing w:after="100" w:afterAutospacing="1" w:line="264" w:lineRule="auto"/>
        <w:contextualSpacing/>
        <w:jc w:val="both"/>
        <w:rPr>
          <w:rFonts w:ascii="Aptos" w:hAnsi="Aptos"/>
          <w:color w:val="002060"/>
        </w:rPr>
      </w:pPr>
    </w:p>
    <w:p w14:paraId="0B9D6F8E" w14:textId="77777777" w:rsidR="00703D65" w:rsidRPr="00703D65" w:rsidRDefault="00703D65" w:rsidP="00703D65">
      <w:pPr>
        <w:numPr>
          <w:ilvl w:val="0"/>
          <w:numId w:val="26"/>
        </w:numPr>
        <w:spacing w:after="100" w:afterAutospacing="1" w:line="264" w:lineRule="auto"/>
        <w:contextualSpacing/>
        <w:jc w:val="both"/>
        <w:rPr>
          <w:rFonts w:ascii="Aptos" w:hAnsi="Aptos"/>
          <w:color w:val="002060"/>
        </w:rPr>
      </w:pPr>
      <w:r w:rsidRPr="00703D65">
        <w:rPr>
          <w:rFonts w:ascii="Aptos" w:hAnsi="Aptos"/>
          <w:color w:val="002060"/>
        </w:rPr>
        <w:t xml:space="preserve">The </w:t>
      </w:r>
      <w:proofErr w:type="spellStart"/>
      <w:r w:rsidRPr="00703D65">
        <w:rPr>
          <w:rFonts w:ascii="Aptos" w:hAnsi="Aptos"/>
          <w:color w:val="002060"/>
        </w:rPr>
        <w:t>offtaker</w:t>
      </w:r>
      <w:proofErr w:type="spellEnd"/>
      <w:r w:rsidRPr="00703D65">
        <w:rPr>
          <w:rFonts w:ascii="Aptos" w:hAnsi="Aptos"/>
          <w:color w:val="002060"/>
        </w:rPr>
        <w:t xml:space="preserve"> is creditworthy and committed</w:t>
      </w:r>
    </w:p>
    <w:p w14:paraId="31CD53AF" w14:textId="77777777" w:rsidR="00703D65" w:rsidRPr="00703D65" w:rsidRDefault="00703D65" w:rsidP="00703D65">
      <w:pPr>
        <w:numPr>
          <w:ilvl w:val="0"/>
          <w:numId w:val="26"/>
        </w:numPr>
        <w:spacing w:after="100" w:afterAutospacing="1" w:line="264" w:lineRule="auto"/>
        <w:contextualSpacing/>
        <w:jc w:val="both"/>
        <w:rPr>
          <w:rFonts w:ascii="Aptos" w:hAnsi="Aptos"/>
          <w:color w:val="002060"/>
        </w:rPr>
      </w:pPr>
      <w:r w:rsidRPr="00703D65">
        <w:rPr>
          <w:rFonts w:ascii="Aptos" w:hAnsi="Aptos"/>
          <w:color w:val="002060"/>
        </w:rPr>
        <w:t xml:space="preserve">The </w:t>
      </w:r>
      <w:proofErr w:type="spellStart"/>
      <w:r w:rsidRPr="00703D65">
        <w:rPr>
          <w:rFonts w:ascii="Aptos" w:hAnsi="Aptos"/>
          <w:color w:val="002060"/>
        </w:rPr>
        <w:t>DPPA</w:t>
      </w:r>
      <w:proofErr w:type="spellEnd"/>
      <w:r w:rsidRPr="00703D65">
        <w:rPr>
          <w:rFonts w:ascii="Aptos" w:hAnsi="Aptos"/>
          <w:color w:val="002060"/>
        </w:rPr>
        <w:t xml:space="preserve"> clearly allocates operational and regulatory risk</w:t>
      </w:r>
    </w:p>
    <w:p w14:paraId="2D1023C9" w14:textId="77777777" w:rsidR="00703D65" w:rsidRPr="00703D65" w:rsidRDefault="00703D65" w:rsidP="00703D65">
      <w:pPr>
        <w:numPr>
          <w:ilvl w:val="0"/>
          <w:numId w:val="26"/>
        </w:numPr>
        <w:spacing w:after="100" w:afterAutospacing="1" w:line="264" w:lineRule="auto"/>
        <w:contextualSpacing/>
        <w:jc w:val="both"/>
        <w:rPr>
          <w:rFonts w:ascii="Aptos" w:hAnsi="Aptos"/>
          <w:color w:val="002060"/>
        </w:rPr>
      </w:pPr>
      <w:r w:rsidRPr="00703D65">
        <w:rPr>
          <w:rFonts w:ascii="Aptos" w:hAnsi="Aptos"/>
          <w:color w:val="002060"/>
        </w:rPr>
        <w:t>Storage economics are contractually secured</w:t>
      </w:r>
    </w:p>
    <w:p w14:paraId="5F39AD3C" w14:textId="77777777" w:rsidR="00703D65" w:rsidRPr="00703D65" w:rsidRDefault="00703D65" w:rsidP="00703D65">
      <w:pPr>
        <w:numPr>
          <w:ilvl w:val="0"/>
          <w:numId w:val="26"/>
        </w:numPr>
        <w:spacing w:after="100" w:afterAutospacing="1" w:line="264" w:lineRule="auto"/>
        <w:contextualSpacing/>
        <w:jc w:val="both"/>
        <w:rPr>
          <w:rFonts w:ascii="Aptos" w:hAnsi="Aptos"/>
          <w:color w:val="002060"/>
        </w:rPr>
      </w:pPr>
      <w:r w:rsidRPr="00703D65">
        <w:rPr>
          <w:rFonts w:ascii="Aptos" w:hAnsi="Aptos"/>
          <w:color w:val="002060"/>
        </w:rPr>
        <w:t>Termination scenarios are financially defined</w:t>
      </w:r>
    </w:p>
    <w:p w14:paraId="42B7C11F" w14:textId="77777777" w:rsidR="00703D65" w:rsidRPr="00703D65" w:rsidRDefault="00703D65" w:rsidP="00703D65">
      <w:pPr>
        <w:numPr>
          <w:ilvl w:val="0"/>
          <w:numId w:val="26"/>
        </w:numPr>
        <w:spacing w:after="100" w:afterAutospacing="1" w:line="264" w:lineRule="auto"/>
        <w:contextualSpacing/>
        <w:jc w:val="both"/>
        <w:rPr>
          <w:rFonts w:ascii="Aptos" w:hAnsi="Aptos"/>
          <w:color w:val="002060"/>
        </w:rPr>
      </w:pPr>
      <w:r w:rsidRPr="00703D65">
        <w:rPr>
          <w:rFonts w:ascii="Aptos" w:hAnsi="Aptos"/>
          <w:color w:val="002060"/>
        </w:rPr>
        <w:t>Development milestones are realistically achievable</w:t>
      </w:r>
    </w:p>
    <w:p w14:paraId="1E789270" w14:textId="77777777" w:rsidR="00703D65" w:rsidRPr="00703D65" w:rsidRDefault="00703D65" w:rsidP="00703D65">
      <w:pPr>
        <w:spacing w:after="100" w:afterAutospacing="1" w:line="264" w:lineRule="auto"/>
        <w:contextualSpacing/>
        <w:jc w:val="both"/>
        <w:rPr>
          <w:rFonts w:ascii="Aptos" w:hAnsi="Aptos"/>
          <w:color w:val="002060"/>
        </w:rPr>
      </w:pPr>
    </w:p>
    <w:p w14:paraId="129693CE" w14:textId="77777777" w:rsidR="00703D65" w:rsidRPr="00703D65" w:rsidRDefault="00703D65" w:rsidP="00703D65">
      <w:pPr>
        <w:spacing w:after="100" w:afterAutospacing="1" w:line="264" w:lineRule="auto"/>
        <w:contextualSpacing/>
        <w:jc w:val="both"/>
        <w:rPr>
          <w:rFonts w:ascii="Aptos" w:hAnsi="Aptos"/>
          <w:color w:val="002060"/>
        </w:rPr>
      </w:pPr>
      <w:r w:rsidRPr="00703D65">
        <w:rPr>
          <w:rFonts w:ascii="Aptos" w:hAnsi="Aptos"/>
          <w:color w:val="002060"/>
        </w:rPr>
        <w:t>In today’s Vietnam market, success does not come from building megawatts quickly. It comes from structuring projects that can survive credit analysis.</w:t>
      </w:r>
    </w:p>
    <w:p w14:paraId="35B0F365" w14:textId="77777777" w:rsidR="00703D65" w:rsidRPr="00703D65" w:rsidRDefault="00703D65" w:rsidP="00703D65">
      <w:pPr>
        <w:spacing w:after="100" w:afterAutospacing="1" w:line="264" w:lineRule="auto"/>
        <w:contextualSpacing/>
        <w:jc w:val="both"/>
        <w:rPr>
          <w:rFonts w:ascii="Aptos" w:hAnsi="Aptos"/>
          <w:color w:val="002060"/>
        </w:rPr>
      </w:pPr>
    </w:p>
    <w:p w14:paraId="60762DF3" w14:textId="77777777" w:rsidR="00703D65" w:rsidRPr="00703D65" w:rsidRDefault="00703D65" w:rsidP="00703D65">
      <w:pPr>
        <w:spacing w:after="100" w:afterAutospacing="1" w:line="264" w:lineRule="auto"/>
        <w:contextualSpacing/>
        <w:jc w:val="both"/>
        <w:rPr>
          <w:rFonts w:ascii="Aptos" w:hAnsi="Aptos"/>
          <w:color w:val="002060"/>
        </w:rPr>
      </w:pPr>
      <w:r w:rsidRPr="00703D65">
        <w:rPr>
          <w:rFonts w:ascii="Aptos" w:hAnsi="Aptos"/>
          <w:color w:val="002060"/>
        </w:rPr>
        <w:t xml:space="preserve">Solar plus </w:t>
      </w:r>
      <w:proofErr w:type="spellStart"/>
      <w:r w:rsidRPr="00703D65">
        <w:rPr>
          <w:rFonts w:ascii="Aptos" w:hAnsi="Aptos"/>
          <w:color w:val="002060"/>
        </w:rPr>
        <w:t>DPPA</w:t>
      </w:r>
      <w:proofErr w:type="spellEnd"/>
      <w:r w:rsidRPr="00703D65">
        <w:rPr>
          <w:rFonts w:ascii="Aptos" w:hAnsi="Aptos"/>
          <w:color w:val="002060"/>
        </w:rPr>
        <w:t xml:space="preserve"> plus BESS is not merely a technical combination.</w:t>
      </w:r>
    </w:p>
    <w:p w14:paraId="30CDAF53" w14:textId="77777777" w:rsidR="00703D65" w:rsidRPr="00703D65" w:rsidRDefault="00703D65" w:rsidP="00703D65">
      <w:pPr>
        <w:spacing w:after="100" w:afterAutospacing="1" w:line="264" w:lineRule="auto"/>
        <w:contextualSpacing/>
        <w:jc w:val="both"/>
        <w:rPr>
          <w:rFonts w:ascii="Aptos" w:hAnsi="Aptos"/>
          <w:color w:val="002060"/>
        </w:rPr>
      </w:pPr>
    </w:p>
    <w:p w14:paraId="5DCBDA25" w14:textId="77777777" w:rsidR="00703D65" w:rsidRPr="00703D65" w:rsidRDefault="00703D65" w:rsidP="00703D65">
      <w:pPr>
        <w:spacing w:after="100" w:afterAutospacing="1" w:line="264" w:lineRule="auto"/>
        <w:contextualSpacing/>
        <w:jc w:val="both"/>
        <w:rPr>
          <w:rFonts w:ascii="Aptos" w:hAnsi="Aptos"/>
          <w:color w:val="002060"/>
        </w:rPr>
      </w:pPr>
      <w:r w:rsidRPr="00703D65">
        <w:rPr>
          <w:rFonts w:ascii="Aptos" w:hAnsi="Aptos"/>
          <w:color w:val="002060"/>
        </w:rPr>
        <w:t>It is a financing strategy</w:t>
      </w:r>
    </w:p>
    <w:p w14:paraId="707C92DB" w14:textId="77777777" w:rsidR="00703D65" w:rsidRPr="00703D65" w:rsidRDefault="00703D65" w:rsidP="00703D65">
      <w:pPr>
        <w:spacing w:after="100" w:afterAutospacing="1" w:line="264" w:lineRule="auto"/>
        <w:contextualSpacing/>
        <w:jc w:val="both"/>
        <w:rPr>
          <w:rFonts w:ascii="Aptos" w:hAnsi="Aptos"/>
          <w:color w:val="002060"/>
        </w:rPr>
      </w:pPr>
      <w:r w:rsidRPr="00703D65">
        <w:rPr>
          <w:rFonts w:ascii="Aptos" w:hAnsi="Aptos"/>
          <w:color w:val="002060"/>
        </w:rPr>
        <w:t>***</w:t>
      </w:r>
    </w:p>
    <w:p w14:paraId="761ADE75" w14:textId="77777777" w:rsidR="00703D65" w:rsidRPr="00703D65" w:rsidRDefault="00703D65" w:rsidP="00703D65">
      <w:pPr>
        <w:shd w:val="clear" w:color="auto" w:fill="FFFFFF"/>
        <w:spacing w:before="100" w:beforeAutospacing="1" w:after="100" w:afterAutospacing="1"/>
        <w:contextualSpacing/>
        <w:jc w:val="both"/>
        <w:rPr>
          <w:rFonts w:ascii="Aptos" w:eastAsia="Times New Roman" w:hAnsi="Aptos" w:cs="Times New Roman"/>
          <w:color w:val="002060"/>
        </w:rPr>
      </w:pPr>
      <w:r w:rsidRPr="00703D65">
        <w:rPr>
          <w:rFonts w:ascii="Aptos" w:eastAsia="Times New Roman" w:hAnsi="Aptos" w:cs="Times New Roman"/>
          <w:color w:val="002060"/>
        </w:rPr>
        <w:t>Please do not hesitate to contact Dr. Oliver Massmann under </w:t>
      </w:r>
      <w:hyperlink r:id="rId8" w:tgtFrame="_blank" w:history="1">
        <w:r w:rsidRPr="00703D65">
          <w:rPr>
            <w:rFonts w:ascii="Aptos" w:eastAsia="Times New Roman" w:hAnsi="Aptos" w:cs="Times New Roman"/>
            <w:color w:val="002060"/>
            <w:u w:val="single"/>
          </w:rPr>
          <w:t>omassmann@duanemorris.com</w:t>
        </w:r>
      </w:hyperlink>
      <w:r w:rsidRPr="00703D65">
        <w:rPr>
          <w:rFonts w:ascii="Aptos" w:eastAsia="Times New Roman" w:hAnsi="Aptos" w:cs="Times New Roman"/>
          <w:color w:val="002060"/>
        </w:rPr>
        <w:t> if you have any questions or want to know more details on the above. Dr. Oliver Massmann is the General Director of Duane Morris Vietnam LLC.</w:t>
      </w:r>
    </w:p>
    <w:p w14:paraId="1FEEA182" w14:textId="77777777" w:rsidR="005C3772" w:rsidRPr="00703D65" w:rsidRDefault="005C3772" w:rsidP="005C3772">
      <w:pPr>
        <w:spacing w:before="100" w:beforeAutospacing="1" w:after="100" w:afterAutospacing="1" w:line="288" w:lineRule="auto"/>
        <w:jc w:val="both"/>
        <w:rPr>
          <w:rFonts w:ascii="Aptos" w:hAnsi="Aptos"/>
          <w:b/>
          <w:bCs/>
          <w:color w:val="002060"/>
        </w:rPr>
      </w:pPr>
    </w:p>
    <w:p w14:paraId="0A85ACDC" w14:textId="77777777" w:rsidR="00AE3070" w:rsidRDefault="00EE121E" w:rsidP="00AE3070">
      <w:pPr>
        <w:spacing w:line="288" w:lineRule="auto"/>
        <w:jc w:val="right"/>
        <w:rPr>
          <w:rStyle w:val="Hyperlink"/>
          <w:rFonts w:ascii="Aptos" w:eastAsia="Malgun Gothic" w:hAnsi="Aptos" w:cs="Times New Roman"/>
          <w:color w:val="002060"/>
        </w:rPr>
      </w:pPr>
      <w:hyperlink w:anchor="_top" w:history="1">
        <w:r w:rsidR="00AE3070" w:rsidRPr="004C6CBE">
          <w:rPr>
            <w:rStyle w:val="Hyperlink"/>
            <w:rFonts w:ascii="Aptos" w:eastAsia="Malgun Gothic" w:hAnsi="Aptos" w:cs="Times New Roman"/>
            <w:color w:val="002060"/>
          </w:rPr>
          <w:t>Back to Top</w:t>
        </w:r>
      </w:hyperlink>
    </w:p>
    <w:p w14:paraId="41AEDEB2" w14:textId="77777777" w:rsidR="00762ABA" w:rsidRDefault="00762ABA" w:rsidP="00AE3070">
      <w:pPr>
        <w:spacing w:line="288" w:lineRule="auto"/>
        <w:jc w:val="right"/>
        <w:rPr>
          <w:rStyle w:val="Hyperlink"/>
          <w:rFonts w:ascii="Aptos" w:eastAsia="Malgun Gothic" w:hAnsi="Aptos" w:cs="Times New Roman"/>
          <w:color w:val="002060"/>
        </w:rPr>
      </w:pPr>
    </w:p>
    <w:p w14:paraId="1E5EFF22" w14:textId="77777777" w:rsidR="00344089" w:rsidRPr="00AE3070" w:rsidRDefault="00344089" w:rsidP="00762ABA">
      <w:pPr>
        <w:spacing w:after="100" w:afterAutospacing="1"/>
        <w:contextualSpacing/>
        <w:rPr>
          <w:rFonts w:ascii="Aptos" w:hAnsi="Aptos"/>
          <w:color w:val="002060"/>
        </w:rPr>
      </w:pPr>
    </w:p>
    <w:p w14:paraId="07ECB082" w14:textId="77777777" w:rsidR="00762ABA" w:rsidRPr="00AC7B29" w:rsidRDefault="00762ABA" w:rsidP="00762ABA">
      <w:pPr>
        <w:shd w:val="clear" w:color="auto" w:fill="FFFFFF"/>
        <w:spacing w:after="100" w:afterAutospacing="1"/>
        <w:contextualSpacing/>
        <w:outlineLvl w:val="1"/>
        <w:rPr>
          <w:rFonts w:ascii="Aptos" w:eastAsia="Times New Roman" w:hAnsi="Aptos" w:cs="Times New Roman"/>
          <w:b/>
          <w:bCs/>
          <w:color w:val="002060"/>
          <w:sz w:val="24"/>
          <w:szCs w:val="24"/>
        </w:rPr>
      </w:pPr>
      <w:bookmarkStart w:id="63" w:name="_Toc215144372"/>
      <w:bookmarkStart w:id="64" w:name="_Hlk222998411"/>
      <w:bookmarkStart w:id="65" w:name="_Hlk222999439"/>
      <w:bookmarkStart w:id="66" w:name="_Toc223006336"/>
      <w:r w:rsidRPr="00AC7B29">
        <w:rPr>
          <w:rFonts w:ascii="Aptos" w:eastAsia="Times New Roman" w:hAnsi="Aptos" w:cs="Times New Roman"/>
          <w:b/>
          <w:bCs/>
          <w:color w:val="002060"/>
          <w:sz w:val="24"/>
          <w:szCs w:val="24"/>
        </w:rPr>
        <w:t xml:space="preserve">MERGERS &amp; ACQUISITIONS IN VIETNAM - </w:t>
      </w:r>
      <w:r w:rsidRPr="00AC7B29">
        <w:rPr>
          <w:rFonts w:ascii="Aptos" w:eastAsia="Times New Roman" w:hAnsi="Aptos" w:cs="Times New Roman"/>
          <w:b/>
          <w:bCs/>
          <w:color w:val="002060"/>
          <w:sz w:val="24"/>
          <w:szCs w:val="24"/>
          <w:lang w:val="vi-VN"/>
        </w:rPr>
        <w:t>202</w:t>
      </w:r>
      <w:r w:rsidRPr="00AC7B29">
        <w:rPr>
          <w:rFonts w:ascii="Aptos" w:eastAsia="Times New Roman" w:hAnsi="Aptos" w:cs="Times New Roman"/>
          <w:b/>
          <w:bCs/>
          <w:color w:val="002060"/>
          <w:sz w:val="24"/>
          <w:szCs w:val="24"/>
        </w:rPr>
        <w:t>6 EDITION</w:t>
      </w:r>
      <w:bookmarkEnd w:id="66"/>
    </w:p>
    <w:p w14:paraId="730C1F5F" w14:textId="7E185E75" w:rsidR="00762ABA" w:rsidRPr="00762ABA" w:rsidRDefault="00762ABA" w:rsidP="00762ABA">
      <w:pPr>
        <w:shd w:val="clear" w:color="auto" w:fill="FFFFFF"/>
        <w:spacing w:after="100" w:afterAutospacing="1"/>
        <w:contextualSpacing/>
        <w:outlineLvl w:val="1"/>
        <w:rPr>
          <w:rFonts w:ascii="Aptos" w:eastAsia="Times New Roman" w:hAnsi="Aptos" w:cs="Times New Roman"/>
          <w:b/>
          <w:bCs/>
          <w:color w:val="002060"/>
        </w:rPr>
      </w:pPr>
      <w:bookmarkStart w:id="67" w:name="_Toc223006337"/>
      <w:r w:rsidRPr="00703D65">
        <w:rPr>
          <w:rFonts w:ascii="Aptos" w:eastAsia="Times New Roman" w:hAnsi="Aptos" w:cs="Times New Roman"/>
          <w:i/>
          <w:iCs/>
          <w:color w:val="002060"/>
          <w:sz w:val="18"/>
          <w:szCs w:val="18"/>
        </w:rPr>
        <w:t>Dr. Oliver Massmann - Duane Morris Vietnam LLC</w:t>
      </w:r>
      <w:bookmarkEnd w:id="67"/>
    </w:p>
    <w:p w14:paraId="24D06ECD" w14:textId="77777777" w:rsidR="00762ABA" w:rsidRPr="00762ABA" w:rsidRDefault="00762ABA" w:rsidP="00762ABA">
      <w:pPr>
        <w:shd w:val="clear" w:color="auto" w:fill="FFFFFF"/>
        <w:spacing w:after="300"/>
        <w:outlineLvl w:val="1"/>
        <w:rPr>
          <w:rFonts w:ascii="Aptos" w:eastAsia="Times New Roman" w:hAnsi="Aptos" w:cs="Times New Roman"/>
          <w:b/>
          <w:bCs/>
          <w:color w:val="002060"/>
        </w:rPr>
      </w:pPr>
    </w:p>
    <w:p w14:paraId="6BE51218" w14:textId="77777777" w:rsidR="00762ABA" w:rsidRPr="00762ABA" w:rsidRDefault="00762ABA" w:rsidP="00762ABA">
      <w:pPr>
        <w:numPr>
          <w:ilvl w:val="0"/>
          <w:numId w:val="27"/>
        </w:numPr>
        <w:shd w:val="clear" w:color="auto" w:fill="FFFFFF"/>
        <w:spacing w:after="300"/>
        <w:ind w:left="270" w:firstLine="0"/>
        <w:outlineLvl w:val="1"/>
        <w:rPr>
          <w:rFonts w:ascii="Aptos" w:eastAsia="Times New Roman" w:hAnsi="Aptos" w:cs="Times New Roman"/>
          <w:b/>
          <w:bCs/>
          <w:color w:val="002060"/>
        </w:rPr>
      </w:pPr>
      <w:bookmarkStart w:id="68" w:name="_Toc223006338"/>
      <w:bookmarkEnd w:id="65"/>
      <w:r w:rsidRPr="00762ABA">
        <w:rPr>
          <w:rFonts w:ascii="Aptos" w:eastAsia="Times New Roman" w:hAnsi="Aptos" w:cs="Times New Roman"/>
          <w:b/>
          <w:bCs/>
          <w:color w:val="002060"/>
        </w:rPr>
        <w:t>What are the key rules/laws relevant to M&amp;A and who are the key regulatory authorities?</w:t>
      </w:r>
      <w:bookmarkEnd w:id="68"/>
    </w:p>
    <w:p w14:paraId="4DF40147" w14:textId="77777777" w:rsidR="00762ABA" w:rsidRPr="00762ABA" w:rsidRDefault="00762ABA" w:rsidP="00762ABA">
      <w:pPr>
        <w:pStyle w:val="ACTParagraph"/>
        <w:spacing w:line="276" w:lineRule="auto"/>
        <w:rPr>
          <w:rFonts w:ascii="Aptos" w:hAnsi="Aptos"/>
          <w:color w:val="002060"/>
          <w:szCs w:val="22"/>
        </w:rPr>
      </w:pPr>
      <w:r w:rsidRPr="00762ABA">
        <w:rPr>
          <w:rFonts w:ascii="Aptos" w:hAnsi="Aptos"/>
          <w:color w:val="002060"/>
          <w:szCs w:val="22"/>
        </w:rPr>
        <w:t>There is no single document regulating M&amp;A activities in Vietnam. The relevant rules are contained in several laws and regulations governing general corporate and investment issues. These laws and regulations include:</w:t>
      </w:r>
    </w:p>
    <w:p w14:paraId="24E1E3A0" w14:textId="77777777" w:rsidR="00762ABA" w:rsidRPr="00762ABA" w:rsidRDefault="00762ABA" w:rsidP="00762ABA">
      <w:pPr>
        <w:pStyle w:val="ACTBulletList1"/>
        <w:tabs>
          <w:tab w:val="clear" w:pos="720"/>
          <w:tab w:val="num" w:pos="360"/>
        </w:tabs>
        <w:spacing w:line="276" w:lineRule="auto"/>
        <w:ind w:left="360" w:firstLine="0"/>
        <w:rPr>
          <w:rFonts w:ascii="Aptos" w:hAnsi="Aptos"/>
          <w:color w:val="002060"/>
          <w:szCs w:val="22"/>
        </w:rPr>
      </w:pPr>
      <w:r w:rsidRPr="00762ABA">
        <w:rPr>
          <w:rFonts w:ascii="Aptos" w:hAnsi="Aptos"/>
          <w:color w:val="002060"/>
          <w:szCs w:val="22"/>
        </w:rPr>
        <w:t>Investment Law No. 61/2020/</w:t>
      </w:r>
      <w:proofErr w:type="spellStart"/>
      <w:r w:rsidRPr="00762ABA">
        <w:rPr>
          <w:rFonts w:ascii="Aptos" w:hAnsi="Aptos"/>
          <w:color w:val="002060"/>
          <w:szCs w:val="22"/>
        </w:rPr>
        <w:t>QH14</w:t>
      </w:r>
      <w:proofErr w:type="spellEnd"/>
      <w:r w:rsidRPr="00762ABA">
        <w:rPr>
          <w:rStyle w:val="FootnoteReference"/>
          <w:rFonts w:ascii="Aptos" w:hAnsi="Aptos"/>
          <w:color w:val="002060"/>
          <w:szCs w:val="22"/>
        </w:rPr>
        <w:footnoteReference w:id="1"/>
      </w:r>
      <w:r w:rsidRPr="00762ABA">
        <w:rPr>
          <w:rFonts w:ascii="Aptos" w:hAnsi="Aptos"/>
          <w:color w:val="002060"/>
          <w:szCs w:val="22"/>
        </w:rPr>
        <w:t xml:space="preserve"> and Enterprise Law No. 59/2020/</w:t>
      </w:r>
      <w:proofErr w:type="spellStart"/>
      <w:r w:rsidRPr="00762ABA">
        <w:rPr>
          <w:rFonts w:ascii="Aptos" w:hAnsi="Aptos"/>
          <w:color w:val="002060"/>
          <w:szCs w:val="22"/>
        </w:rPr>
        <w:t>QH14</w:t>
      </w:r>
      <w:proofErr w:type="spellEnd"/>
      <w:r w:rsidRPr="00762ABA">
        <w:rPr>
          <w:rStyle w:val="FootnoteReference"/>
          <w:rFonts w:ascii="Aptos" w:hAnsi="Aptos"/>
          <w:color w:val="002060"/>
          <w:szCs w:val="22"/>
        </w:rPr>
        <w:footnoteReference w:id="2"/>
      </w:r>
      <w:r w:rsidRPr="00762ABA">
        <w:rPr>
          <w:rFonts w:ascii="Aptos" w:hAnsi="Aptos"/>
          <w:color w:val="002060"/>
          <w:szCs w:val="22"/>
        </w:rPr>
        <w:t xml:space="preserve"> issued by the National Assembly on 17 June 2020, and their guiding documents, namely Decree No. 31/2021/ND-CP</w:t>
      </w:r>
      <w:r w:rsidRPr="00762ABA">
        <w:rPr>
          <w:rStyle w:val="FootnoteReference"/>
          <w:rFonts w:ascii="Aptos" w:hAnsi="Aptos"/>
          <w:color w:val="002060"/>
          <w:szCs w:val="22"/>
        </w:rPr>
        <w:footnoteReference w:id="3"/>
      </w:r>
      <w:r w:rsidRPr="00762ABA">
        <w:rPr>
          <w:rFonts w:ascii="Aptos" w:hAnsi="Aptos"/>
          <w:color w:val="002060"/>
          <w:szCs w:val="22"/>
        </w:rPr>
        <w:t xml:space="preserve"> and Decree No. 01/2021/ND-CP. These laws set out the general legal framework, conditional sectors and investment procedures. The authorities responsible for enforcing these laws are the:</w:t>
      </w:r>
    </w:p>
    <w:p w14:paraId="08E63B02" w14:textId="77777777" w:rsidR="00762ABA" w:rsidRPr="00762ABA" w:rsidRDefault="00762ABA" w:rsidP="00762ABA">
      <w:pPr>
        <w:pStyle w:val="ACTBulletList2"/>
        <w:numPr>
          <w:ilvl w:val="0"/>
          <w:numId w:val="34"/>
        </w:numPr>
        <w:spacing w:line="276" w:lineRule="auto"/>
        <w:rPr>
          <w:rFonts w:ascii="Aptos" w:hAnsi="Aptos"/>
          <w:color w:val="002060"/>
          <w:szCs w:val="22"/>
        </w:rPr>
      </w:pPr>
      <w:r w:rsidRPr="00762ABA">
        <w:rPr>
          <w:rFonts w:ascii="Aptos" w:hAnsi="Aptos"/>
          <w:color w:val="002060"/>
          <w:szCs w:val="22"/>
        </w:rPr>
        <w:t xml:space="preserve">Prime </w:t>
      </w:r>
      <w:proofErr w:type="gramStart"/>
      <w:r w:rsidRPr="00762ABA">
        <w:rPr>
          <w:rFonts w:ascii="Aptos" w:hAnsi="Aptos"/>
          <w:color w:val="002060"/>
          <w:szCs w:val="22"/>
        </w:rPr>
        <w:t>Minister;</w:t>
      </w:r>
      <w:proofErr w:type="gramEnd"/>
    </w:p>
    <w:p w14:paraId="037272F4" w14:textId="77777777" w:rsidR="00762ABA" w:rsidRPr="00762ABA" w:rsidRDefault="00762ABA" w:rsidP="00762ABA">
      <w:pPr>
        <w:pStyle w:val="ACTBulletList2"/>
        <w:numPr>
          <w:ilvl w:val="0"/>
          <w:numId w:val="34"/>
        </w:numPr>
        <w:spacing w:line="276" w:lineRule="auto"/>
        <w:rPr>
          <w:rFonts w:ascii="Aptos" w:hAnsi="Aptos"/>
          <w:color w:val="002060"/>
          <w:szCs w:val="22"/>
        </w:rPr>
      </w:pPr>
      <w:r w:rsidRPr="00762ABA">
        <w:rPr>
          <w:rFonts w:ascii="Aptos" w:hAnsi="Aptos"/>
          <w:color w:val="002060"/>
          <w:szCs w:val="22"/>
        </w:rPr>
        <w:t xml:space="preserve">National Assembly of </w:t>
      </w:r>
      <w:proofErr w:type="gramStart"/>
      <w:r w:rsidRPr="00762ABA">
        <w:rPr>
          <w:rFonts w:ascii="Aptos" w:hAnsi="Aptos"/>
          <w:color w:val="002060"/>
          <w:szCs w:val="22"/>
        </w:rPr>
        <w:t>Vietnam;</w:t>
      </w:r>
      <w:proofErr w:type="gramEnd"/>
    </w:p>
    <w:p w14:paraId="58B0A918" w14:textId="77777777" w:rsidR="00762ABA" w:rsidRPr="00762ABA" w:rsidRDefault="00762ABA" w:rsidP="00762ABA">
      <w:pPr>
        <w:pStyle w:val="ACTBulletList2"/>
        <w:numPr>
          <w:ilvl w:val="0"/>
          <w:numId w:val="34"/>
        </w:numPr>
        <w:spacing w:line="276" w:lineRule="auto"/>
        <w:rPr>
          <w:rFonts w:ascii="Aptos" w:hAnsi="Aptos"/>
          <w:color w:val="002060"/>
          <w:szCs w:val="22"/>
        </w:rPr>
      </w:pPr>
      <w:r w:rsidRPr="00762ABA">
        <w:rPr>
          <w:rFonts w:ascii="Aptos" w:hAnsi="Aptos"/>
          <w:color w:val="002060"/>
          <w:szCs w:val="22"/>
        </w:rPr>
        <w:t xml:space="preserve">Local People's </w:t>
      </w:r>
      <w:proofErr w:type="gramStart"/>
      <w:r w:rsidRPr="00762ABA">
        <w:rPr>
          <w:rFonts w:ascii="Aptos" w:hAnsi="Aptos"/>
          <w:color w:val="002060"/>
          <w:szCs w:val="22"/>
        </w:rPr>
        <w:t>Committee;</w:t>
      </w:r>
      <w:proofErr w:type="gramEnd"/>
    </w:p>
    <w:p w14:paraId="0C53EF3D" w14:textId="77777777" w:rsidR="00762ABA" w:rsidRPr="00762ABA" w:rsidRDefault="00762ABA" w:rsidP="00762ABA">
      <w:pPr>
        <w:pStyle w:val="ACTBulletList2"/>
        <w:numPr>
          <w:ilvl w:val="0"/>
          <w:numId w:val="34"/>
        </w:numPr>
        <w:spacing w:line="276" w:lineRule="auto"/>
        <w:rPr>
          <w:rFonts w:ascii="Aptos" w:hAnsi="Aptos"/>
          <w:color w:val="002060"/>
          <w:szCs w:val="22"/>
        </w:rPr>
      </w:pPr>
      <w:r w:rsidRPr="00762ABA">
        <w:rPr>
          <w:rFonts w:ascii="Aptos" w:hAnsi="Aptos"/>
          <w:color w:val="002060"/>
          <w:szCs w:val="22"/>
        </w:rPr>
        <w:t xml:space="preserve">Industrial Zone Management </w:t>
      </w:r>
      <w:proofErr w:type="gramStart"/>
      <w:r w:rsidRPr="00762ABA">
        <w:rPr>
          <w:rFonts w:ascii="Aptos" w:hAnsi="Aptos"/>
          <w:color w:val="002060"/>
          <w:szCs w:val="22"/>
        </w:rPr>
        <w:t>Authority;</w:t>
      </w:r>
      <w:proofErr w:type="gramEnd"/>
    </w:p>
    <w:p w14:paraId="0B0DB1C2" w14:textId="77777777" w:rsidR="00762ABA" w:rsidRPr="00762ABA" w:rsidRDefault="00762ABA" w:rsidP="00762ABA">
      <w:pPr>
        <w:pStyle w:val="ACTBulletList2"/>
        <w:numPr>
          <w:ilvl w:val="0"/>
          <w:numId w:val="34"/>
        </w:numPr>
        <w:spacing w:line="276" w:lineRule="auto"/>
        <w:rPr>
          <w:rFonts w:ascii="Aptos" w:hAnsi="Aptos"/>
          <w:color w:val="002060"/>
          <w:szCs w:val="22"/>
        </w:rPr>
      </w:pPr>
      <w:r w:rsidRPr="00762ABA">
        <w:rPr>
          <w:rFonts w:ascii="Aptos" w:hAnsi="Aptos"/>
          <w:color w:val="002060"/>
          <w:szCs w:val="22"/>
        </w:rPr>
        <w:lastRenderedPageBreak/>
        <w:t xml:space="preserve">Ministry of </w:t>
      </w:r>
      <w:proofErr w:type="gramStart"/>
      <w:r w:rsidRPr="00762ABA">
        <w:rPr>
          <w:rFonts w:ascii="Aptos" w:hAnsi="Aptos"/>
          <w:color w:val="002060"/>
          <w:szCs w:val="22"/>
        </w:rPr>
        <w:t>Finance;</w:t>
      </w:r>
      <w:proofErr w:type="gramEnd"/>
    </w:p>
    <w:p w14:paraId="2769149A" w14:textId="77777777" w:rsidR="00762ABA" w:rsidRPr="00762ABA" w:rsidRDefault="00762ABA" w:rsidP="00762ABA">
      <w:pPr>
        <w:pStyle w:val="ACTBulletList2"/>
        <w:numPr>
          <w:ilvl w:val="0"/>
          <w:numId w:val="34"/>
        </w:numPr>
        <w:spacing w:line="276" w:lineRule="auto"/>
        <w:rPr>
          <w:rFonts w:ascii="Aptos" w:hAnsi="Aptos"/>
          <w:color w:val="002060"/>
          <w:szCs w:val="22"/>
        </w:rPr>
      </w:pPr>
      <w:r w:rsidRPr="00762ABA">
        <w:rPr>
          <w:rFonts w:ascii="Aptos" w:hAnsi="Aptos"/>
          <w:color w:val="002060"/>
          <w:szCs w:val="22"/>
        </w:rPr>
        <w:t xml:space="preserve">Ministry of Industry and </w:t>
      </w:r>
      <w:proofErr w:type="gramStart"/>
      <w:r w:rsidRPr="00762ABA">
        <w:rPr>
          <w:rFonts w:ascii="Aptos" w:hAnsi="Aptos"/>
          <w:color w:val="002060"/>
          <w:szCs w:val="22"/>
        </w:rPr>
        <w:t>Trade;</w:t>
      </w:r>
      <w:proofErr w:type="gramEnd"/>
    </w:p>
    <w:p w14:paraId="05482979" w14:textId="77777777" w:rsidR="00762ABA" w:rsidRPr="00762ABA" w:rsidRDefault="00762ABA" w:rsidP="00762ABA">
      <w:pPr>
        <w:pStyle w:val="ACTBulletList2"/>
        <w:numPr>
          <w:ilvl w:val="0"/>
          <w:numId w:val="34"/>
        </w:numPr>
        <w:spacing w:line="276" w:lineRule="auto"/>
        <w:rPr>
          <w:rFonts w:ascii="Aptos" w:hAnsi="Aptos"/>
          <w:color w:val="002060"/>
          <w:szCs w:val="22"/>
        </w:rPr>
      </w:pPr>
      <w:r w:rsidRPr="00762ABA">
        <w:rPr>
          <w:rFonts w:ascii="Aptos" w:hAnsi="Aptos"/>
          <w:color w:val="002060"/>
          <w:szCs w:val="22"/>
        </w:rPr>
        <w:t>Ministry of Health; and</w:t>
      </w:r>
    </w:p>
    <w:p w14:paraId="3C6BAC0C" w14:textId="77777777" w:rsidR="00762ABA" w:rsidRPr="00762ABA" w:rsidRDefault="00762ABA" w:rsidP="00762ABA">
      <w:pPr>
        <w:pStyle w:val="ACTBulletList2"/>
        <w:numPr>
          <w:ilvl w:val="0"/>
          <w:numId w:val="34"/>
        </w:numPr>
        <w:spacing w:line="276" w:lineRule="auto"/>
        <w:rPr>
          <w:rFonts w:ascii="Aptos" w:hAnsi="Aptos"/>
          <w:color w:val="002060"/>
          <w:szCs w:val="22"/>
        </w:rPr>
      </w:pPr>
      <w:r w:rsidRPr="00762ABA">
        <w:rPr>
          <w:rFonts w:ascii="Aptos" w:hAnsi="Aptos"/>
          <w:color w:val="002060"/>
          <w:szCs w:val="22"/>
        </w:rPr>
        <w:t>Other ministries depending on the business activities of the target companies.</w:t>
      </w:r>
    </w:p>
    <w:p w14:paraId="09B41ED5" w14:textId="77777777" w:rsidR="00762ABA" w:rsidRPr="00762ABA" w:rsidRDefault="00762ABA" w:rsidP="00762ABA">
      <w:pPr>
        <w:pStyle w:val="ACTBulletList1"/>
        <w:tabs>
          <w:tab w:val="clear" w:pos="720"/>
          <w:tab w:val="num" w:pos="360"/>
        </w:tabs>
        <w:spacing w:line="276" w:lineRule="auto"/>
        <w:ind w:left="360" w:firstLine="0"/>
        <w:rPr>
          <w:rFonts w:ascii="Aptos" w:hAnsi="Aptos"/>
          <w:color w:val="002060"/>
          <w:szCs w:val="22"/>
        </w:rPr>
      </w:pPr>
      <w:r w:rsidRPr="00762ABA">
        <w:rPr>
          <w:rFonts w:ascii="Aptos" w:hAnsi="Aptos"/>
          <w:color w:val="002060"/>
          <w:szCs w:val="22"/>
        </w:rPr>
        <w:t xml:space="preserve">Law on Securities No. </w:t>
      </w:r>
      <w:r w:rsidRPr="00762ABA">
        <w:rPr>
          <w:rFonts w:ascii="Aptos" w:hAnsi="Aptos"/>
          <w:color w:val="002060"/>
          <w:szCs w:val="22"/>
          <w:lang w:val="vi-VN"/>
        </w:rPr>
        <w:t>54</w:t>
      </w:r>
      <w:r w:rsidRPr="00762ABA">
        <w:rPr>
          <w:rFonts w:ascii="Aptos" w:hAnsi="Aptos"/>
          <w:color w:val="002060"/>
          <w:szCs w:val="22"/>
        </w:rPr>
        <w:t>/</w:t>
      </w:r>
      <w:r w:rsidRPr="00762ABA">
        <w:rPr>
          <w:rFonts w:ascii="Aptos" w:hAnsi="Aptos"/>
          <w:color w:val="002060"/>
          <w:szCs w:val="22"/>
          <w:lang w:val="vi-VN"/>
        </w:rPr>
        <w:t>2019</w:t>
      </w:r>
      <w:r w:rsidRPr="00762ABA">
        <w:rPr>
          <w:rFonts w:ascii="Aptos" w:hAnsi="Aptos"/>
          <w:color w:val="002060"/>
          <w:szCs w:val="22"/>
        </w:rPr>
        <w:t>/</w:t>
      </w:r>
      <w:r w:rsidRPr="00762ABA">
        <w:rPr>
          <w:rFonts w:ascii="Aptos" w:hAnsi="Aptos"/>
          <w:color w:val="002060"/>
          <w:szCs w:val="22"/>
          <w:lang w:val="vi-VN"/>
        </w:rPr>
        <w:t>QH14</w:t>
      </w:r>
      <w:r w:rsidRPr="00762ABA">
        <w:rPr>
          <w:rFonts w:ascii="Aptos" w:hAnsi="Aptos"/>
          <w:color w:val="002060"/>
          <w:szCs w:val="22"/>
        </w:rPr>
        <w:t xml:space="preserve"> issued by the National Assembly on </w:t>
      </w:r>
      <w:r w:rsidRPr="00762ABA">
        <w:rPr>
          <w:rFonts w:ascii="Aptos" w:hAnsi="Aptos"/>
          <w:color w:val="002060"/>
          <w:szCs w:val="22"/>
          <w:lang w:val="vi-VN"/>
        </w:rPr>
        <w:t>26</w:t>
      </w:r>
      <w:r w:rsidRPr="00762ABA">
        <w:rPr>
          <w:rFonts w:ascii="Aptos" w:hAnsi="Aptos"/>
          <w:color w:val="002060"/>
          <w:szCs w:val="22"/>
        </w:rPr>
        <w:t xml:space="preserve"> </w:t>
      </w:r>
      <w:r w:rsidRPr="00762ABA">
        <w:rPr>
          <w:rFonts w:ascii="Aptos" w:hAnsi="Aptos"/>
          <w:color w:val="002060"/>
          <w:szCs w:val="22"/>
          <w:lang w:val="vi-VN"/>
        </w:rPr>
        <w:t>November</w:t>
      </w:r>
      <w:r w:rsidRPr="00762ABA">
        <w:rPr>
          <w:rFonts w:ascii="Aptos" w:hAnsi="Aptos"/>
          <w:color w:val="002060"/>
          <w:szCs w:val="22"/>
        </w:rPr>
        <w:t xml:space="preserve"> </w:t>
      </w:r>
      <w:r w:rsidRPr="00762ABA">
        <w:rPr>
          <w:rFonts w:ascii="Aptos" w:hAnsi="Aptos"/>
          <w:color w:val="002060"/>
          <w:szCs w:val="22"/>
          <w:lang w:val="vi-VN"/>
        </w:rPr>
        <w:t>2019</w:t>
      </w:r>
      <w:r w:rsidRPr="00762ABA">
        <w:rPr>
          <w:rFonts w:ascii="Aptos" w:hAnsi="Aptos"/>
          <w:color w:val="002060"/>
          <w:szCs w:val="22"/>
        </w:rPr>
        <w:t>, as amended by Law No. 56/2024/</w:t>
      </w:r>
      <w:proofErr w:type="spellStart"/>
      <w:r w:rsidRPr="00762ABA">
        <w:rPr>
          <w:rFonts w:ascii="Aptos" w:hAnsi="Aptos"/>
          <w:color w:val="002060"/>
          <w:szCs w:val="22"/>
        </w:rPr>
        <w:t>QH15</w:t>
      </w:r>
      <w:proofErr w:type="spellEnd"/>
      <w:r w:rsidRPr="00762ABA">
        <w:rPr>
          <w:rFonts w:ascii="Aptos" w:hAnsi="Aptos"/>
          <w:color w:val="002060"/>
          <w:szCs w:val="22"/>
        </w:rPr>
        <w:t xml:space="preserve"> issued by the National Assembly on 29 November 2024, and its implementing documents, in particular Decree No. </w:t>
      </w:r>
      <w:r w:rsidRPr="00762ABA">
        <w:rPr>
          <w:rFonts w:ascii="Aptos" w:hAnsi="Aptos"/>
          <w:color w:val="002060"/>
          <w:szCs w:val="22"/>
          <w:lang w:val="vi-VN"/>
        </w:rPr>
        <w:t>155</w:t>
      </w:r>
      <w:r w:rsidRPr="00762ABA">
        <w:rPr>
          <w:rFonts w:ascii="Aptos" w:hAnsi="Aptos"/>
          <w:color w:val="002060"/>
          <w:szCs w:val="22"/>
        </w:rPr>
        <w:t>/</w:t>
      </w:r>
      <w:r w:rsidRPr="00762ABA">
        <w:rPr>
          <w:rFonts w:ascii="Aptos" w:hAnsi="Aptos"/>
          <w:color w:val="002060"/>
          <w:szCs w:val="22"/>
          <w:lang w:val="vi-VN"/>
        </w:rPr>
        <w:t>2020</w:t>
      </w:r>
      <w:r w:rsidRPr="00762ABA">
        <w:rPr>
          <w:rFonts w:ascii="Aptos" w:hAnsi="Aptos"/>
          <w:color w:val="002060"/>
          <w:szCs w:val="22"/>
        </w:rPr>
        <w:t xml:space="preserve">/ND-CP issued by the Government on </w:t>
      </w:r>
      <w:r w:rsidRPr="00762ABA">
        <w:rPr>
          <w:rFonts w:ascii="Aptos" w:hAnsi="Aptos"/>
          <w:color w:val="002060"/>
          <w:szCs w:val="22"/>
          <w:lang w:val="vi-VN"/>
        </w:rPr>
        <w:t>31</w:t>
      </w:r>
      <w:r w:rsidRPr="00762ABA">
        <w:rPr>
          <w:rFonts w:ascii="Aptos" w:hAnsi="Aptos"/>
          <w:color w:val="002060"/>
          <w:szCs w:val="22"/>
        </w:rPr>
        <w:t xml:space="preserve"> </w:t>
      </w:r>
      <w:r w:rsidRPr="00762ABA">
        <w:rPr>
          <w:rFonts w:ascii="Aptos" w:hAnsi="Aptos"/>
          <w:color w:val="002060"/>
          <w:szCs w:val="22"/>
          <w:lang w:val="en-US"/>
        </w:rPr>
        <w:t>December</w:t>
      </w:r>
      <w:r w:rsidRPr="00762ABA">
        <w:rPr>
          <w:rFonts w:ascii="Aptos" w:hAnsi="Aptos"/>
          <w:color w:val="002060"/>
          <w:szCs w:val="22"/>
        </w:rPr>
        <w:t xml:space="preserve"> 2020, as amended by Decree No. 245/2025/ND-CP issued by the Government on 11 September 2025. This Law regulates the acquisition of shares in public and private companies in Vietnam, including public tender offers. The authorities responsible for enforcing the Law include the:</w:t>
      </w:r>
    </w:p>
    <w:p w14:paraId="5E0F7604" w14:textId="77777777" w:rsidR="00762ABA" w:rsidRPr="00762ABA" w:rsidRDefault="00762ABA" w:rsidP="00762ABA">
      <w:pPr>
        <w:pStyle w:val="ACTBulletList2"/>
        <w:numPr>
          <w:ilvl w:val="0"/>
          <w:numId w:val="35"/>
        </w:numPr>
        <w:spacing w:line="276" w:lineRule="auto"/>
        <w:rPr>
          <w:rFonts w:ascii="Aptos" w:hAnsi="Aptos"/>
          <w:color w:val="002060"/>
          <w:szCs w:val="22"/>
        </w:rPr>
      </w:pPr>
      <w:r w:rsidRPr="00762ABA">
        <w:rPr>
          <w:rFonts w:ascii="Aptos" w:hAnsi="Aptos"/>
          <w:color w:val="002060"/>
          <w:szCs w:val="22"/>
        </w:rPr>
        <w:t>State Securities Commission (SSC</w:t>
      </w:r>
      <w:proofErr w:type="gramStart"/>
      <w:r w:rsidRPr="00762ABA">
        <w:rPr>
          <w:rFonts w:ascii="Aptos" w:hAnsi="Aptos"/>
          <w:color w:val="002060"/>
          <w:szCs w:val="22"/>
        </w:rPr>
        <w:t>);</w:t>
      </w:r>
      <w:proofErr w:type="gramEnd"/>
    </w:p>
    <w:p w14:paraId="122F70D7" w14:textId="77777777" w:rsidR="00762ABA" w:rsidRPr="00762ABA" w:rsidRDefault="00762ABA" w:rsidP="00762ABA">
      <w:pPr>
        <w:pStyle w:val="ACTBulletList2"/>
        <w:numPr>
          <w:ilvl w:val="0"/>
          <w:numId w:val="35"/>
        </w:numPr>
        <w:spacing w:line="276" w:lineRule="auto"/>
        <w:rPr>
          <w:rFonts w:ascii="Aptos" w:hAnsi="Aptos"/>
          <w:color w:val="002060"/>
          <w:szCs w:val="22"/>
        </w:rPr>
      </w:pPr>
      <w:r w:rsidRPr="00762ABA">
        <w:rPr>
          <w:rFonts w:ascii="Aptos" w:hAnsi="Aptos"/>
          <w:color w:val="002060"/>
          <w:szCs w:val="22"/>
        </w:rPr>
        <w:t>Vietnam Securities Depository Centre; and</w:t>
      </w:r>
    </w:p>
    <w:p w14:paraId="4108A579" w14:textId="77777777" w:rsidR="00762ABA" w:rsidRPr="00762ABA" w:rsidRDefault="00762ABA" w:rsidP="00762ABA">
      <w:pPr>
        <w:pStyle w:val="ACTBulletList2"/>
        <w:numPr>
          <w:ilvl w:val="0"/>
          <w:numId w:val="35"/>
        </w:numPr>
        <w:spacing w:line="276" w:lineRule="auto"/>
        <w:rPr>
          <w:rFonts w:ascii="Aptos" w:hAnsi="Aptos"/>
          <w:color w:val="002060"/>
          <w:szCs w:val="22"/>
        </w:rPr>
      </w:pPr>
      <w:r w:rsidRPr="00762ABA">
        <w:rPr>
          <w:rFonts w:ascii="Aptos" w:hAnsi="Aptos"/>
          <w:color w:val="002060"/>
          <w:szCs w:val="22"/>
        </w:rPr>
        <w:t>Ministry of Finance.</w:t>
      </w:r>
    </w:p>
    <w:p w14:paraId="03C0E3BC" w14:textId="77777777" w:rsidR="00762ABA" w:rsidRPr="00762ABA" w:rsidRDefault="00762ABA" w:rsidP="00762ABA">
      <w:pPr>
        <w:pStyle w:val="ACTBulletList1"/>
        <w:tabs>
          <w:tab w:val="clear" w:pos="720"/>
          <w:tab w:val="num" w:pos="360"/>
        </w:tabs>
        <w:spacing w:line="276" w:lineRule="auto"/>
        <w:ind w:left="360" w:firstLine="0"/>
        <w:rPr>
          <w:rFonts w:ascii="Aptos" w:hAnsi="Aptos"/>
          <w:color w:val="002060"/>
          <w:szCs w:val="22"/>
        </w:rPr>
      </w:pPr>
      <w:r w:rsidRPr="00762ABA">
        <w:rPr>
          <w:rFonts w:ascii="Aptos" w:hAnsi="Aptos"/>
          <w:color w:val="002060"/>
          <w:szCs w:val="22"/>
        </w:rPr>
        <w:t>Competition Law No.</w:t>
      </w:r>
      <w:r w:rsidRPr="00762ABA">
        <w:rPr>
          <w:rFonts w:ascii="Aptos" w:eastAsiaTheme="minorEastAsia" w:hAnsi="Aptos"/>
          <w:color w:val="002060"/>
          <w:szCs w:val="22"/>
          <w:shd w:val="clear" w:color="auto" w:fill="FFFFFF"/>
        </w:rPr>
        <w:t xml:space="preserve"> </w:t>
      </w:r>
      <w:r w:rsidRPr="00762ABA">
        <w:rPr>
          <w:rFonts w:ascii="Aptos" w:hAnsi="Aptos"/>
          <w:color w:val="002060"/>
          <w:szCs w:val="22"/>
        </w:rPr>
        <w:t>23/2018/</w:t>
      </w:r>
      <w:proofErr w:type="spellStart"/>
      <w:r w:rsidRPr="00762ABA">
        <w:rPr>
          <w:rFonts w:ascii="Aptos" w:hAnsi="Aptos"/>
          <w:color w:val="002060"/>
          <w:szCs w:val="22"/>
        </w:rPr>
        <w:t>QH14</w:t>
      </w:r>
      <w:proofErr w:type="spellEnd"/>
      <w:r w:rsidRPr="00762ABA">
        <w:rPr>
          <w:rFonts w:ascii="Aptos" w:hAnsi="Aptos"/>
          <w:color w:val="002060"/>
          <w:szCs w:val="22"/>
        </w:rPr>
        <w:t xml:space="preserve"> issued by the National Assembly on 12 June 2018, which is enforced by the Vietnam Competition Commission (</w:t>
      </w:r>
      <w:proofErr w:type="spellStart"/>
      <w:r w:rsidRPr="00762ABA">
        <w:rPr>
          <w:rFonts w:ascii="Aptos" w:hAnsi="Aptos"/>
          <w:color w:val="002060"/>
          <w:szCs w:val="22"/>
        </w:rPr>
        <w:t>VCC</w:t>
      </w:r>
      <w:proofErr w:type="spellEnd"/>
      <w:r w:rsidRPr="00762ABA">
        <w:rPr>
          <w:rFonts w:ascii="Aptos" w:hAnsi="Aptos"/>
          <w:color w:val="002060"/>
          <w:szCs w:val="22"/>
        </w:rPr>
        <w:t xml:space="preserve">) </w:t>
      </w:r>
      <w:proofErr w:type="gramStart"/>
      <w:r w:rsidRPr="00762ABA">
        <w:rPr>
          <w:rFonts w:ascii="Aptos" w:hAnsi="Aptos"/>
          <w:color w:val="002060"/>
          <w:szCs w:val="22"/>
        </w:rPr>
        <w:t>of  the</w:t>
      </w:r>
      <w:proofErr w:type="gramEnd"/>
      <w:r w:rsidRPr="00762ABA">
        <w:rPr>
          <w:rFonts w:ascii="Aptos" w:hAnsi="Aptos"/>
          <w:color w:val="002060"/>
          <w:szCs w:val="22"/>
          <w:lang w:val="vi-VN"/>
        </w:rPr>
        <w:t xml:space="preserve"> Ministry of Industry and Trade</w:t>
      </w:r>
      <w:r w:rsidRPr="00762ABA">
        <w:rPr>
          <w:rFonts w:ascii="Aptos" w:hAnsi="Aptos"/>
          <w:color w:val="002060"/>
          <w:szCs w:val="22"/>
        </w:rPr>
        <w:t>. Under this Law, any M&amp;A transaction that causes or likely causes substantial anti-competitive effects on the Vietnamese market will be prohibited.</w:t>
      </w:r>
    </w:p>
    <w:p w14:paraId="19ED4F6F" w14:textId="77777777" w:rsidR="00762ABA" w:rsidRPr="00762ABA" w:rsidRDefault="00762ABA" w:rsidP="00762ABA">
      <w:pPr>
        <w:pStyle w:val="ACTBulletList1"/>
        <w:tabs>
          <w:tab w:val="clear" w:pos="720"/>
          <w:tab w:val="num" w:pos="360"/>
        </w:tabs>
        <w:spacing w:line="276" w:lineRule="auto"/>
        <w:ind w:left="360" w:firstLine="0"/>
        <w:rPr>
          <w:rFonts w:ascii="Aptos" w:hAnsi="Aptos"/>
          <w:color w:val="002060"/>
          <w:szCs w:val="22"/>
        </w:rPr>
      </w:pPr>
      <w:r w:rsidRPr="00762ABA">
        <w:rPr>
          <w:rFonts w:ascii="Aptos" w:hAnsi="Aptos"/>
          <w:color w:val="002060"/>
          <w:szCs w:val="22"/>
        </w:rPr>
        <w:t>Foreign exchange regulations. An investment capital account in Vietnamese dong is a condition, among others, for capital contribution/share purchase or subscription. These regulations are enforced by commercial banks and the State Bank of Vietnam.</w:t>
      </w:r>
    </w:p>
    <w:p w14:paraId="400D0847" w14:textId="77777777" w:rsidR="00762ABA" w:rsidRPr="00762ABA" w:rsidRDefault="00762ABA" w:rsidP="00762ABA">
      <w:pPr>
        <w:pStyle w:val="ACTBulletList1"/>
        <w:tabs>
          <w:tab w:val="clear" w:pos="720"/>
          <w:tab w:val="num" w:pos="360"/>
        </w:tabs>
        <w:spacing w:line="276" w:lineRule="auto"/>
        <w:ind w:left="360" w:firstLine="0"/>
        <w:rPr>
          <w:rFonts w:ascii="Aptos" w:hAnsi="Aptos"/>
          <w:color w:val="002060"/>
          <w:szCs w:val="22"/>
        </w:rPr>
      </w:pPr>
      <w:r w:rsidRPr="00762ABA">
        <w:rPr>
          <w:rFonts w:ascii="Aptos" w:hAnsi="Aptos"/>
          <w:color w:val="002060"/>
          <w:szCs w:val="22"/>
        </w:rPr>
        <w:t>Vietnam's WTO Schedule of Specific Commitments on Services and Vietnam’s commitments on services in various free trade agreements, including the EU- Vietnam Free Trade Agreement and the Comprehensive and Progressive Agreement for Trans-Pacific Partnership. These set out the ratio of shares that can be owned by foreign investors in various specific sectors.</w:t>
      </w:r>
    </w:p>
    <w:p w14:paraId="4F03530D" w14:textId="77777777" w:rsidR="00762ABA" w:rsidRPr="00762ABA" w:rsidRDefault="00762ABA" w:rsidP="00762ABA">
      <w:pPr>
        <w:pStyle w:val="ACTBulletList1"/>
        <w:tabs>
          <w:tab w:val="clear" w:pos="720"/>
          <w:tab w:val="num" w:pos="360"/>
        </w:tabs>
        <w:spacing w:line="276" w:lineRule="auto"/>
        <w:ind w:left="360" w:firstLine="0"/>
        <w:rPr>
          <w:rFonts w:ascii="Aptos" w:hAnsi="Aptos"/>
          <w:color w:val="002060"/>
          <w:szCs w:val="22"/>
        </w:rPr>
      </w:pPr>
      <w:r w:rsidRPr="00762ABA">
        <w:rPr>
          <w:rFonts w:ascii="Aptos" w:hAnsi="Aptos"/>
          <w:color w:val="002060"/>
          <w:szCs w:val="22"/>
        </w:rPr>
        <w:t>Other specific regulations for the acquisition of shares in Vietnamese companies operating in special sectors, such as banking and finance, insurance, and so on. These sectors are highly regulated by the relevant authorities.</w:t>
      </w:r>
    </w:p>
    <w:p w14:paraId="4D95E999" w14:textId="77777777" w:rsidR="00762ABA" w:rsidRPr="00762ABA" w:rsidRDefault="00762ABA" w:rsidP="00762ABA">
      <w:pPr>
        <w:numPr>
          <w:ilvl w:val="0"/>
          <w:numId w:val="27"/>
        </w:numPr>
        <w:shd w:val="clear" w:color="auto" w:fill="FFFFFF"/>
        <w:spacing w:after="300"/>
        <w:ind w:left="270" w:firstLine="0"/>
        <w:outlineLvl w:val="1"/>
        <w:rPr>
          <w:rFonts w:ascii="Aptos" w:eastAsia="Times New Roman" w:hAnsi="Aptos" w:cs="Times New Roman"/>
          <w:b/>
          <w:bCs/>
          <w:color w:val="002060"/>
        </w:rPr>
      </w:pPr>
      <w:bookmarkStart w:id="69" w:name="_Toc223006339"/>
      <w:r w:rsidRPr="00762ABA">
        <w:rPr>
          <w:rFonts w:ascii="Aptos" w:eastAsia="Times New Roman" w:hAnsi="Aptos" w:cs="Times New Roman"/>
          <w:b/>
          <w:bCs/>
          <w:color w:val="002060"/>
        </w:rPr>
        <w:t>What is the current state of the market?</w:t>
      </w:r>
      <w:bookmarkEnd w:id="69"/>
    </w:p>
    <w:p w14:paraId="0B2F5E30" w14:textId="77777777" w:rsidR="00762ABA" w:rsidRPr="00762ABA" w:rsidRDefault="00762ABA" w:rsidP="00762ABA">
      <w:pPr>
        <w:pStyle w:val="ACTParagraph"/>
        <w:spacing w:line="276" w:lineRule="auto"/>
        <w:rPr>
          <w:rFonts w:ascii="Aptos" w:hAnsi="Aptos"/>
          <w:color w:val="002060"/>
          <w:szCs w:val="22"/>
        </w:rPr>
      </w:pPr>
      <w:r w:rsidRPr="00762ABA">
        <w:rPr>
          <w:rFonts w:ascii="Aptos" w:hAnsi="Aptos"/>
          <w:color w:val="002060"/>
          <w:szCs w:val="22"/>
        </w:rPr>
        <w:t xml:space="preserve">Vietnam has remained an attractive destination for foreign </w:t>
      </w:r>
      <w:r w:rsidRPr="00762ABA">
        <w:rPr>
          <w:rFonts w:ascii="Aptos" w:hAnsi="Aptos"/>
          <w:color w:val="002060"/>
          <w:szCs w:val="22"/>
          <w:lang w:val="vi-VN"/>
        </w:rPr>
        <w:t xml:space="preserve">investors: </w:t>
      </w:r>
      <w:r w:rsidRPr="00762ABA">
        <w:rPr>
          <w:rFonts w:ascii="Aptos" w:hAnsi="Aptos"/>
          <w:color w:val="002060"/>
          <w:szCs w:val="22"/>
          <w:lang w:val="en-US"/>
        </w:rPr>
        <w:t xml:space="preserve">By the end of 2025, total registered </w:t>
      </w:r>
      <w:proofErr w:type="spellStart"/>
      <w:r w:rsidRPr="00762ABA">
        <w:rPr>
          <w:rFonts w:ascii="Aptos" w:hAnsi="Aptos"/>
          <w:color w:val="002060"/>
          <w:szCs w:val="22"/>
          <w:lang w:val="en-US"/>
        </w:rPr>
        <w:t>FDI</w:t>
      </w:r>
      <w:proofErr w:type="spellEnd"/>
      <w:r w:rsidRPr="00762ABA">
        <w:rPr>
          <w:rFonts w:ascii="Aptos" w:hAnsi="Aptos"/>
          <w:color w:val="002060"/>
          <w:szCs w:val="22"/>
          <w:lang w:val="en-US"/>
        </w:rPr>
        <w:t xml:space="preserve"> capital reached approximately USD 38.42 billion</w:t>
      </w:r>
      <w:r w:rsidRPr="00762ABA">
        <w:rPr>
          <w:rFonts w:ascii="Aptos" w:hAnsi="Aptos"/>
          <w:color w:val="002060"/>
          <w:szCs w:val="22"/>
        </w:rPr>
        <w:t xml:space="preserve">, </w:t>
      </w:r>
      <w:r w:rsidRPr="00762ABA">
        <w:rPr>
          <w:rFonts w:ascii="Aptos" w:hAnsi="Aptos"/>
          <w:color w:val="002060"/>
          <w:szCs w:val="22"/>
          <w:lang w:val="en-US"/>
        </w:rPr>
        <w:t>marking a 0.5% year</w:t>
      </w:r>
      <w:r w:rsidRPr="00762ABA">
        <w:rPr>
          <w:rFonts w:ascii="Aptos" w:hAnsi="Aptos"/>
          <w:color w:val="002060"/>
          <w:szCs w:val="22"/>
          <w:lang w:val="en-US"/>
        </w:rPr>
        <w:noBreakHyphen/>
        <w:t>on</w:t>
      </w:r>
      <w:r w:rsidRPr="00762ABA">
        <w:rPr>
          <w:rFonts w:ascii="Aptos" w:hAnsi="Aptos"/>
          <w:color w:val="002060"/>
          <w:szCs w:val="22"/>
          <w:lang w:val="en-US"/>
        </w:rPr>
        <w:noBreakHyphen/>
        <w:t xml:space="preserve">year increase. Disbursed </w:t>
      </w:r>
      <w:proofErr w:type="spellStart"/>
      <w:r w:rsidRPr="00762ABA">
        <w:rPr>
          <w:rFonts w:ascii="Aptos" w:hAnsi="Aptos"/>
          <w:color w:val="002060"/>
          <w:szCs w:val="22"/>
          <w:lang w:val="en-US"/>
        </w:rPr>
        <w:t>FDI</w:t>
      </w:r>
      <w:proofErr w:type="spellEnd"/>
      <w:r w:rsidRPr="00762ABA">
        <w:rPr>
          <w:rFonts w:ascii="Aptos" w:hAnsi="Aptos"/>
          <w:color w:val="002060"/>
          <w:szCs w:val="22"/>
          <w:lang w:val="en-US"/>
        </w:rPr>
        <w:t xml:space="preserve"> rose to USD 27.62 billion, up 9% from 2024, representing the highest level recorded in the 2021–2025 period. </w:t>
      </w:r>
      <w:r w:rsidRPr="00762ABA">
        <w:rPr>
          <w:rFonts w:ascii="Aptos" w:hAnsi="Aptos"/>
          <w:color w:val="002060"/>
          <w:szCs w:val="22"/>
        </w:rPr>
        <w:t>Newly registered capital, however, declined to USD 17.32 billion, a 12.2% drop year</w:t>
      </w:r>
      <w:r w:rsidRPr="00762ABA">
        <w:rPr>
          <w:rFonts w:ascii="Aptos" w:hAnsi="Aptos"/>
          <w:color w:val="002060"/>
          <w:szCs w:val="22"/>
        </w:rPr>
        <w:noBreakHyphen/>
        <w:t>on</w:t>
      </w:r>
      <w:r w:rsidRPr="00762ABA">
        <w:rPr>
          <w:rFonts w:ascii="Aptos" w:hAnsi="Aptos"/>
          <w:color w:val="002060"/>
          <w:szCs w:val="22"/>
        </w:rPr>
        <w:noBreakHyphen/>
        <w:t xml:space="preserve">year, despite an increase of 20.1% in new project numbers, with 4,054 projects licensed in 2025. Adjusted capital continued to demonstrate stability, reaching USD 14.07 billion, up 0.8% compared to the previous year. Meanwhile, capital contributions and share purchases surged significantly, </w:t>
      </w:r>
      <w:proofErr w:type="spellStart"/>
      <w:r w:rsidRPr="00762ABA">
        <w:rPr>
          <w:rFonts w:ascii="Aptos" w:hAnsi="Aptos"/>
          <w:color w:val="002060"/>
          <w:szCs w:val="22"/>
        </w:rPr>
        <w:t>totaling</w:t>
      </w:r>
      <w:proofErr w:type="spellEnd"/>
      <w:r w:rsidRPr="00762ABA">
        <w:rPr>
          <w:rFonts w:ascii="Aptos" w:hAnsi="Aptos"/>
          <w:color w:val="002060"/>
          <w:szCs w:val="22"/>
        </w:rPr>
        <w:t xml:space="preserve"> USD 7.03 billion, an increase of 54.8% year</w:t>
      </w:r>
      <w:r w:rsidRPr="00762ABA">
        <w:rPr>
          <w:rFonts w:ascii="Aptos" w:hAnsi="Aptos"/>
          <w:color w:val="002060"/>
          <w:szCs w:val="22"/>
        </w:rPr>
        <w:noBreakHyphen/>
        <w:t>on</w:t>
      </w:r>
      <w:r w:rsidRPr="00762ABA">
        <w:rPr>
          <w:rFonts w:ascii="Aptos" w:hAnsi="Aptos"/>
          <w:color w:val="002060"/>
          <w:szCs w:val="22"/>
        </w:rPr>
        <w:noBreakHyphen/>
        <w:t>year.</w:t>
      </w:r>
    </w:p>
    <w:p w14:paraId="333D157B" w14:textId="77777777" w:rsidR="00762ABA" w:rsidRPr="00762ABA" w:rsidRDefault="00762ABA" w:rsidP="00762ABA">
      <w:pPr>
        <w:pStyle w:val="ACTParagraph"/>
        <w:spacing w:line="276" w:lineRule="auto"/>
        <w:rPr>
          <w:rFonts w:ascii="Aptos" w:hAnsi="Aptos"/>
          <w:color w:val="002060"/>
          <w:szCs w:val="22"/>
          <w:lang w:val="en-US"/>
        </w:rPr>
      </w:pPr>
      <w:r w:rsidRPr="00762ABA">
        <w:rPr>
          <w:rFonts w:ascii="Aptos" w:hAnsi="Aptos"/>
          <w:color w:val="002060"/>
          <w:szCs w:val="22"/>
        </w:rPr>
        <w:t xml:space="preserve">Foreign investment amount poured into processing and manufacturing (USD 9.8 billion) as well as real estate sector (USD 3.67 billion). </w:t>
      </w:r>
      <w:r w:rsidRPr="00762ABA">
        <w:rPr>
          <w:rFonts w:ascii="Aptos" w:hAnsi="Aptos"/>
          <w:color w:val="002060"/>
          <w:szCs w:val="22"/>
          <w:lang w:val="en-US"/>
        </w:rPr>
        <w:t>Other sectors, including professional, scientific and technological activities, also saw increased investment.</w:t>
      </w:r>
    </w:p>
    <w:p w14:paraId="496DD272" w14:textId="77777777" w:rsidR="00762ABA" w:rsidRPr="00762ABA" w:rsidRDefault="00762ABA" w:rsidP="00762ABA">
      <w:pPr>
        <w:pStyle w:val="ACTParagraph"/>
        <w:spacing w:line="276" w:lineRule="auto"/>
        <w:rPr>
          <w:rFonts w:ascii="Aptos" w:hAnsi="Aptos"/>
          <w:color w:val="002060"/>
          <w:szCs w:val="22"/>
          <w:lang w:val="en-US"/>
        </w:rPr>
      </w:pPr>
      <w:r w:rsidRPr="00762ABA">
        <w:rPr>
          <w:rFonts w:ascii="Aptos" w:hAnsi="Aptos"/>
          <w:color w:val="002060"/>
          <w:szCs w:val="22"/>
          <w:lang w:val="en-US"/>
        </w:rPr>
        <w:lastRenderedPageBreak/>
        <w:t>Singapore remained the largest investor, contributing USD 4.84 billion (27.9% of newly registered capital), followed by China (USD 3.64 billion), Hong Kong (USD 1.73 billion), and Japan. This distribution reflects ongoing diversification among foreign investors and sustained confidence in Vietnam’s economic environment.</w:t>
      </w:r>
    </w:p>
    <w:p w14:paraId="152F3330" w14:textId="77777777" w:rsidR="00762ABA" w:rsidRPr="00762ABA" w:rsidRDefault="00762ABA" w:rsidP="00762ABA">
      <w:pPr>
        <w:pStyle w:val="ACTParagraph"/>
        <w:spacing w:line="276" w:lineRule="auto"/>
        <w:rPr>
          <w:rFonts w:ascii="Aptos" w:hAnsi="Aptos"/>
          <w:color w:val="002060"/>
          <w:szCs w:val="22"/>
        </w:rPr>
      </w:pPr>
      <w:r w:rsidRPr="00762ABA">
        <w:rPr>
          <w:rFonts w:ascii="Aptos" w:hAnsi="Aptos"/>
          <w:color w:val="002060"/>
          <w:szCs w:val="22"/>
        </w:rPr>
        <w:t>The main drivers of Vietnam’s M&amp;A market are:</w:t>
      </w:r>
    </w:p>
    <w:p w14:paraId="4ECB6EC3" w14:textId="77777777" w:rsidR="00762ABA" w:rsidRPr="00762ABA" w:rsidRDefault="00762ABA" w:rsidP="00762ABA">
      <w:pPr>
        <w:pStyle w:val="ACTBulletList1"/>
        <w:tabs>
          <w:tab w:val="clear" w:pos="720"/>
          <w:tab w:val="num" w:pos="360"/>
        </w:tabs>
        <w:spacing w:line="276" w:lineRule="auto"/>
        <w:ind w:left="360" w:firstLine="0"/>
        <w:rPr>
          <w:rFonts w:ascii="Aptos" w:hAnsi="Aptos"/>
          <w:color w:val="002060"/>
          <w:szCs w:val="22"/>
        </w:rPr>
      </w:pPr>
      <w:r w:rsidRPr="00762ABA">
        <w:rPr>
          <w:rFonts w:ascii="Aptos" w:hAnsi="Aptos"/>
          <w:color w:val="002060"/>
          <w:szCs w:val="22"/>
        </w:rPr>
        <w:t>Introduction of the 2025 Investment Law, which liberalizes certain conditional sectors and eases restrictions on foreign investment in certain sectors.</w:t>
      </w:r>
    </w:p>
    <w:p w14:paraId="6D64FCC3" w14:textId="77777777" w:rsidR="00762ABA" w:rsidRPr="00762ABA" w:rsidRDefault="00762ABA" w:rsidP="00762ABA">
      <w:pPr>
        <w:pStyle w:val="ACTBulletList1"/>
        <w:tabs>
          <w:tab w:val="clear" w:pos="720"/>
          <w:tab w:val="num" w:pos="360"/>
        </w:tabs>
        <w:spacing w:line="276" w:lineRule="auto"/>
        <w:ind w:left="360" w:firstLine="0"/>
        <w:rPr>
          <w:rFonts w:ascii="Aptos" w:hAnsi="Aptos"/>
          <w:color w:val="002060"/>
          <w:szCs w:val="22"/>
        </w:rPr>
      </w:pPr>
      <w:r w:rsidRPr="00762ABA">
        <w:rPr>
          <w:rFonts w:ascii="Aptos" w:hAnsi="Aptos"/>
          <w:color w:val="002060"/>
          <w:szCs w:val="22"/>
          <w:lang w:val="en-US"/>
        </w:rPr>
        <w:t>Removal of pre-funding requirement: On 3 February 2026, the Ministry of Finance issued Circular No. 08/2026/TT-</w:t>
      </w:r>
      <w:proofErr w:type="spellStart"/>
      <w:r w:rsidRPr="00762ABA">
        <w:rPr>
          <w:rFonts w:ascii="Aptos" w:hAnsi="Aptos"/>
          <w:color w:val="002060"/>
          <w:szCs w:val="22"/>
          <w:lang w:val="en-US"/>
        </w:rPr>
        <w:t>BTC</w:t>
      </w:r>
      <w:proofErr w:type="spellEnd"/>
      <w:r w:rsidRPr="00762ABA">
        <w:rPr>
          <w:rFonts w:ascii="Aptos" w:hAnsi="Aptos"/>
          <w:color w:val="002060"/>
          <w:szCs w:val="22"/>
          <w:lang w:val="en-US"/>
        </w:rPr>
        <w:t xml:space="preserve"> (“Circular 08”), which amends and supplements several articles of Circular 96, Circular 120, and Circular 121 regarding the securities market.</w:t>
      </w:r>
      <w:r w:rsidRPr="00762ABA">
        <w:rPr>
          <w:rFonts w:ascii="Aptos" w:hAnsi="Aptos"/>
          <w:color w:val="002060"/>
          <w:szCs w:val="22"/>
        </w:rPr>
        <w:t xml:space="preserve"> Circular 08 effectively removes the requirement for 100% pre-funding for foreign institutional investors, a long-standing bottleneck in Vietnam’s market upgrade journey. </w:t>
      </w:r>
      <w:r w:rsidRPr="00762ABA">
        <w:rPr>
          <w:rFonts w:ascii="Aptos" w:hAnsi="Aptos"/>
          <w:color w:val="002060"/>
          <w:szCs w:val="22"/>
          <w:lang w:val="en-US"/>
        </w:rPr>
        <w:t>The new Non-Prefunding (</w:t>
      </w:r>
      <w:proofErr w:type="spellStart"/>
      <w:r w:rsidRPr="00762ABA">
        <w:rPr>
          <w:rFonts w:ascii="Aptos" w:hAnsi="Aptos"/>
          <w:color w:val="002060"/>
          <w:szCs w:val="22"/>
          <w:lang w:val="en-US"/>
        </w:rPr>
        <w:t>NPF</w:t>
      </w:r>
      <w:proofErr w:type="spellEnd"/>
      <w:r w:rsidRPr="00762ABA">
        <w:rPr>
          <w:rFonts w:ascii="Aptos" w:hAnsi="Aptos"/>
          <w:color w:val="002060"/>
          <w:szCs w:val="22"/>
          <w:lang w:val="en-US"/>
        </w:rPr>
        <w:t xml:space="preserve">) model introduced to get the status for Vietnam allows investors to settle trades </w:t>
      </w:r>
      <w:proofErr w:type="gramStart"/>
      <w:r w:rsidRPr="00762ABA">
        <w:rPr>
          <w:rFonts w:ascii="Aptos" w:hAnsi="Aptos"/>
          <w:color w:val="002060"/>
          <w:szCs w:val="22"/>
          <w:lang w:val="en-US"/>
        </w:rPr>
        <w:t>similar to</w:t>
      </w:r>
      <w:proofErr w:type="gramEnd"/>
      <w:r w:rsidRPr="00762ABA">
        <w:rPr>
          <w:rFonts w:ascii="Aptos" w:hAnsi="Aptos"/>
          <w:color w:val="002060"/>
          <w:szCs w:val="22"/>
          <w:lang w:val="en-US"/>
        </w:rPr>
        <w:t xml:space="preserve"> developed markets (</w:t>
      </w:r>
      <w:proofErr w:type="spellStart"/>
      <w:r w:rsidRPr="00762ABA">
        <w:rPr>
          <w:rFonts w:ascii="Aptos" w:hAnsi="Aptos"/>
          <w:color w:val="002060"/>
          <w:szCs w:val="22"/>
          <w:lang w:val="en-US"/>
        </w:rPr>
        <w:t>T+2</w:t>
      </w:r>
      <w:proofErr w:type="spellEnd"/>
      <w:r w:rsidRPr="00762ABA">
        <w:rPr>
          <w:rFonts w:ascii="Aptos" w:hAnsi="Aptos"/>
          <w:color w:val="002060"/>
          <w:szCs w:val="22"/>
          <w:lang w:val="en-US"/>
        </w:rPr>
        <w:t xml:space="preserve">), removing the single biggest friction point for capital entry. </w:t>
      </w:r>
      <w:r w:rsidRPr="00762ABA">
        <w:rPr>
          <w:rFonts w:ascii="Aptos" w:hAnsi="Aptos"/>
          <w:color w:val="002060"/>
          <w:szCs w:val="22"/>
        </w:rPr>
        <w:t xml:space="preserve">This legal instrument is the direct response to the technical criteria set by FTSE Russell, aiming for an official Emerging Market upgrade in September 2026. </w:t>
      </w:r>
      <w:r w:rsidRPr="00762ABA">
        <w:rPr>
          <w:rFonts w:ascii="Aptos" w:hAnsi="Aptos"/>
          <w:color w:val="002060"/>
          <w:szCs w:val="22"/>
          <w:lang w:val="en-US"/>
        </w:rPr>
        <w:t> For foreign investors, this is no longer a “if” but a “when.” The window to position capital before the massive liquidity wave hits is closing fast. The upgrade is a structural transformation, not just a label change. It fundamentally alters the “plumbing” of how foreign money enters Vietnam via changes in legislation made for Vietnam to gain the status. In addition, inclusion in the FTSE Emerging Index forces passive funds (ETFs) that track this index to automatically buy Vietnamese stocks. This creates a guaranteed “floor” of demand that did not exist before.</w:t>
      </w:r>
      <w:r w:rsidRPr="00762ABA">
        <w:rPr>
          <w:rFonts w:ascii="Aptos" w:hAnsi="Aptos"/>
          <w:color w:val="002060"/>
          <w:szCs w:val="22"/>
          <w:lang w:val="en-US"/>
        </w:rPr>
        <w:br/>
        <w:t xml:space="preserve">What it DOESN’T Change: It does not immediately remove all Foreign Ownership Limits (FOL) across the board. While liquidity will improve, the legal caps on how much of a bank or telecom company you can own remain in place. Investors must still navigate these “rooms” and structure their investments upon </w:t>
      </w:r>
      <w:proofErr w:type="gramStart"/>
      <w:r w:rsidRPr="00762ABA">
        <w:rPr>
          <w:rFonts w:ascii="Aptos" w:hAnsi="Aptos"/>
          <w:color w:val="002060"/>
          <w:szCs w:val="22"/>
          <w:lang w:val="en-US"/>
        </w:rPr>
        <w:t>entering into</w:t>
      </w:r>
      <w:proofErr w:type="gramEnd"/>
      <w:r w:rsidRPr="00762ABA">
        <w:rPr>
          <w:rFonts w:ascii="Aptos" w:hAnsi="Aptos"/>
          <w:color w:val="002060"/>
          <w:szCs w:val="22"/>
          <w:lang w:val="en-US"/>
        </w:rPr>
        <w:t xml:space="preserve"> Vietnam.</w:t>
      </w:r>
    </w:p>
    <w:p w14:paraId="5641C172" w14:textId="77777777" w:rsidR="00762ABA" w:rsidRPr="00762ABA" w:rsidRDefault="00762ABA" w:rsidP="00762ABA">
      <w:pPr>
        <w:pStyle w:val="ACTBulletList1"/>
        <w:tabs>
          <w:tab w:val="clear" w:pos="720"/>
          <w:tab w:val="num" w:pos="360"/>
        </w:tabs>
        <w:spacing w:line="276" w:lineRule="auto"/>
        <w:ind w:left="360" w:firstLine="0"/>
        <w:rPr>
          <w:rFonts w:ascii="Aptos" w:hAnsi="Aptos"/>
          <w:color w:val="002060"/>
          <w:szCs w:val="22"/>
          <w:lang w:val="en-US"/>
        </w:rPr>
      </w:pPr>
      <w:r w:rsidRPr="00762ABA">
        <w:rPr>
          <w:rFonts w:ascii="Aptos" w:hAnsi="Aptos"/>
          <w:color w:val="002060"/>
          <w:szCs w:val="22"/>
          <w:lang w:val="en-US"/>
        </w:rPr>
        <w:t xml:space="preserve">Trade liberalization </w:t>
      </w:r>
      <w:proofErr w:type="gramStart"/>
      <w:r w:rsidRPr="00762ABA">
        <w:rPr>
          <w:rFonts w:ascii="Aptos" w:hAnsi="Aptos"/>
          <w:color w:val="002060"/>
          <w:szCs w:val="22"/>
          <w:lang w:val="en-US"/>
        </w:rPr>
        <w:t>as a result of</w:t>
      </w:r>
      <w:proofErr w:type="gramEnd"/>
      <w:r w:rsidRPr="00762ABA">
        <w:rPr>
          <w:rFonts w:ascii="Aptos" w:hAnsi="Aptos"/>
          <w:color w:val="002060"/>
          <w:szCs w:val="22"/>
          <w:lang w:val="en-US"/>
        </w:rPr>
        <w:t xml:space="preserve"> </w:t>
      </w:r>
      <w:proofErr w:type="spellStart"/>
      <w:r w:rsidRPr="00762ABA">
        <w:rPr>
          <w:rFonts w:ascii="Aptos" w:hAnsi="Aptos"/>
          <w:color w:val="002060"/>
          <w:szCs w:val="22"/>
          <w:lang w:val="en-US"/>
        </w:rPr>
        <w:t>CPTPP</w:t>
      </w:r>
      <w:proofErr w:type="spellEnd"/>
      <w:r w:rsidRPr="00762ABA">
        <w:rPr>
          <w:rFonts w:ascii="Aptos" w:hAnsi="Aptos"/>
          <w:color w:val="002060"/>
          <w:szCs w:val="22"/>
          <w:lang w:val="en-US"/>
        </w:rPr>
        <w:t>, EU- Vietnam FTA, and so on.</w:t>
      </w:r>
    </w:p>
    <w:p w14:paraId="33A70EF4" w14:textId="77777777" w:rsidR="00762ABA" w:rsidRPr="00762ABA" w:rsidRDefault="00762ABA" w:rsidP="00762ABA">
      <w:pPr>
        <w:pStyle w:val="ACTBulletList1"/>
        <w:tabs>
          <w:tab w:val="clear" w:pos="720"/>
          <w:tab w:val="num" w:pos="360"/>
        </w:tabs>
        <w:spacing w:line="276" w:lineRule="auto"/>
        <w:ind w:left="360" w:firstLine="0"/>
        <w:rPr>
          <w:rFonts w:ascii="Aptos" w:hAnsi="Aptos"/>
          <w:color w:val="002060"/>
          <w:szCs w:val="22"/>
          <w:lang w:val="en-US"/>
        </w:rPr>
      </w:pPr>
      <w:r w:rsidRPr="00762ABA">
        <w:rPr>
          <w:rFonts w:ascii="Aptos" w:hAnsi="Aptos"/>
          <w:color w:val="002060"/>
          <w:szCs w:val="22"/>
          <w:lang w:val="en-US"/>
        </w:rPr>
        <w:t>Decree No. 69/2025/ND-CP, raising foreign ownership caps in distressed private banks from 30% to 49%.</w:t>
      </w:r>
    </w:p>
    <w:p w14:paraId="2AF566A2" w14:textId="77777777" w:rsidR="00762ABA" w:rsidRPr="00762ABA" w:rsidRDefault="00762ABA" w:rsidP="00762ABA">
      <w:pPr>
        <w:pStyle w:val="ACTBulletList1"/>
        <w:tabs>
          <w:tab w:val="clear" w:pos="720"/>
          <w:tab w:val="num" w:pos="360"/>
        </w:tabs>
        <w:ind w:left="360" w:firstLine="0"/>
        <w:rPr>
          <w:rFonts w:ascii="Aptos" w:hAnsi="Aptos"/>
          <w:color w:val="002060"/>
          <w:szCs w:val="22"/>
        </w:rPr>
      </w:pPr>
      <w:r w:rsidRPr="00762ABA">
        <w:rPr>
          <w:rFonts w:ascii="Aptos" w:hAnsi="Aptos"/>
          <w:color w:val="002060"/>
          <w:szCs w:val="22"/>
          <w:lang w:val="en-US"/>
        </w:rPr>
        <w:t>The trio of new laws (Law on Land, Law on Housing, Law on Real Estate Business) effective recently has cleared the legal logjam but raised compliance bars. According to the new laws, access to land is cleaner but more expensive due to market-based land valuation.</w:t>
      </w:r>
    </w:p>
    <w:p w14:paraId="236F0CFA" w14:textId="77777777" w:rsidR="00762ABA" w:rsidRPr="00762ABA" w:rsidRDefault="00762ABA" w:rsidP="00762ABA">
      <w:pPr>
        <w:pStyle w:val="ACTBulletList1"/>
        <w:tabs>
          <w:tab w:val="clear" w:pos="720"/>
          <w:tab w:val="num" w:pos="360"/>
        </w:tabs>
        <w:spacing w:line="276" w:lineRule="auto"/>
        <w:ind w:left="360" w:firstLine="0"/>
        <w:rPr>
          <w:rFonts w:ascii="Aptos" w:hAnsi="Aptos"/>
          <w:color w:val="002060"/>
          <w:szCs w:val="22"/>
          <w:lang w:val="en-US"/>
        </w:rPr>
      </w:pPr>
      <w:r w:rsidRPr="00762ABA">
        <w:rPr>
          <w:rFonts w:ascii="Aptos" w:hAnsi="Aptos"/>
          <w:color w:val="002060"/>
          <w:szCs w:val="22"/>
          <w:lang w:val="en-US"/>
        </w:rPr>
        <w:t>Vietnam’s National Power Development Plan 8 (PDP 8) along with other policies on investment and development of renewable energy.</w:t>
      </w:r>
    </w:p>
    <w:p w14:paraId="7651882B" w14:textId="77777777" w:rsidR="00762ABA" w:rsidRPr="00762ABA" w:rsidRDefault="00762ABA" w:rsidP="00762ABA">
      <w:pPr>
        <w:pStyle w:val="ACTParagraph"/>
        <w:spacing w:line="276" w:lineRule="auto"/>
        <w:rPr>
          <w:rFonts w:ascii="Aptos" w:hAnsi="Aptos"/>
          <w:color w:val="002060"/>
          <w:szCs w:val="22"/>
          <w:lang w:val="en-US"/>
        </w:rPr>
      </w:pPr>
      <w:r w:rsidRPr="00762ABA">
        <w:rPr>
          <w:rFonts w:ascii="Aptos" w:hAnsi="Aptos"/>
          <w:color w:val="002060"/>
          <w:szCs w:val="22"/>
        </w:rPr>
        <w:t>Major deals in 2025:</w:t>
      </w:r>
    </w:p>
    <w:p w14:paraId="30E1C00D" w14:textId="77777777" w:rsidR="00762ABA" w:rsidRPr="00762ABA" w:rsidRDefault="00762ABA" w:rsidP="00762ABA">
      <w:pPr>
        <w:pStyle w:val="ACTBulletList1"/>
        <w:tabs>
          <w:tab w:val="clear" w:pos="720"/>
          <w:tab w:val="num" w:pos="360"/>
        </w:tabs>
        <w:ind w:left="360" w:firstLine="0"/>
        <w:rPr>
          <w:rFonts w:ascii="Aptos" w:hAnsi="Aptos"/>
          <w:color w:val="002060"/>
          <w:szCs w:val="22"/>
          <w:lang w:val="en-US"/>
        </w:rPr>
      </w:pPr>
      <w:r w:rsidRPr="00762ABA">
        <w:rPr>
          <w:rFonts w:ascii="Aptos" w:hAnsi="Aptos"/>
          <w:color w:val="002060"/>
          <w:szCs w:val="22"/>
          <w:lang w:val="en-US"/>
        </w:rPr>
        <w:t xml:space="preserve">Birch’s Acquisition of Eastern Real Estate at USD 365 </w:t>
      </w:r>
      <w:proofErr w:type="gramStart"/>
      <w:r w:rsidRPr="00762ABA">
        <w:rPr>
          <w:rFonts w:ascii="Aptos" w:hAnsi="Aptos"/>
          <w:color w:val="002060"/>
          <w:szCs w:val="22"/>
          <w:lang w:val="en-US"/>
        </w:rPr>
        <w:t>million;</w:t>
      </w:r>
      <w:proofErr w:type="gramEnd"/>
    </w:p>
    <w:p w14:paraId="5F9171E3" w14:textId="77777777" w:rsidR="00762ABA" w:rsidRPr="00762ABA" w:rsidRDefault="00762ABA" w:rsidP="00762ABA">
      <w:pPr>
        <w:pStyle w:val="ACTBulletList1"/>
        <w:tabs>
          <w:tab w:val="clear" w:pos="720"/>
          <w:tab w:val="num" w:pos="360"/>
        </w:tabs>
        <w:ind w:left="360" w:firstLine="0"/>
        <w:rPr>
          <w:rFonts w:ascii="Aptos" w:hAnsi="Aptos"/>
          <w:color w:val="002060"/>
          <w:szCs w:val="22"/>
          <w:lang w:val="en-US"/>
        </w:rPr>
      </w:pPr>
      <w:proofErr w:type="spellStart"/>
      <w:r w:rsidRPr="00762ABA">
        <w:rPr>
          <w:rFonts w:ascii="Aptos" w:hAnsi="Aptos"/>
          <w:color w:val="002060"/>
          <w:szCs w:val="22"/>
          <w:lang w:val="en-US"/>
        </w:rPr>
        <w:t>AEON’s</w:t>
      </w:r>
      <w:proofErr w:type="spellEnd"/>
      <w:r w:rsidRPr="00762ABA">
        <w:rPr>
          <w:rFonts w:ascii="Aptos" w:hAnsi="Aptos"/>
          <w:color w:val="002060"/>
          <w:szCs w:val="22"/>
          <w:lang w:val="en-US"/>
        </w:rPr>
        <w:t xml:space="preserve"> Buyout of Post &amp; Telecommunication Finance Co., Ltd. at USD 162 </w:t>
      </w:r>
      <w:proofErr w:type="gramStart"/>
      <w:r w:rsidRPr="00762ABA">
        <w:rPr>
          <w:rFonts w:ascii="Aptos" w:hAnsi="Aptos"/>
          <w:color w:val="002060"/>
          <w:szCs w:val="22"/>
          <w:lang w:val="en-US"/>
        </w:rPr>
        <w:t>million;</w:t>
      </w:r>
      <w:proofErr w:type="gramEnd"/>
    </w:p>
    <w:p w14:paraId="69CAF006" w14:textId="77777777" w:rsidR="00762ABA" w:rsidRPr="00762ABA" w:rsidRDefault="00762ABA" w:rsidP="00762ABA">
      <w:pPr>
        <w:pStyle w:val="ACTBulletList1"/>
        <w:tabs>
          <w:tab w:val="clear" w:pos="720"/>
          <w:tab w:val="num" w:pos="360"/>
        </w:tabs>
        <w:ind w:left="360" w:firstLine="0"/>
        <w:rPr>
          <w:rFonts w:ascii="Aptos" w:hAnsi="Aptos"/>
          <w:color w:val="002060"/>
          <w:szCs w:val="22"/>
          <w:lang w:val="en-US"/>
        </w:rPr>
      </w:pPr>
      <w:r w:rsidRPr="00762ABA">
        <w:rPr>
          <w:rFonts w:ascii="Aptos" w:hAnsi="Aptos"/>
          <w:color w:val="002060"/>
          <w:szCs w:val="22"/>
          <w:lang w:val="en-US"/>
        </w:rPr>
        <w:t xml:space="preserve">Ares Management’s Acquisition of </w:t>
      </w:r>
      <w:proofErr w:type="spellStart"/>
      <w:r w:rsidRPr="00762ABA">
        <w:rPr>
          <w:rFonts w:ascii="Aptos" w:hAnsi="Aptos"/>
          <w:color w:val="002060"/>
          <w:szCs w:val="22"/>
          <w:lang w:val="en-US"/>
        </w:rPr>
        <w:t>Medlatec</w:t>
      </w:r>
      <w:proofErr w:type="spellEnd"/>
      <w:r w:rsidRPr="00762ABA">
        <w:rPr>
          <w:rFonts w:ascii="Aptos" w:hAnsi="Aptos"/>
          <w:color w:val="002060"/>
          <w:szCs w:val="22"/>
          <w:lang w:val="en-US"/>
        </w:rPr>
        <w:t xml:space="preserve"> Group at USD 150 </w:t>
      </w:r>
      <w:proofErr w:type="gramStart"/>
      <w:r w:rsidRPr="00762ABA">
        <w:rPr>
          <w:rFonts w:ascii="Aptos" w:hAnsi="Aptos"/>
          <w:color w:val="002060"/>
          <w:szCs w:val="22"/>
          <w:lang w:val="en-US"/>
        </w:rPr>
        <w:t>million;</w:t>
      </w:r>
      <w:proofErr w:type="gramEnd"/>
    </w:p>
    <w:p w14:paraId="2966F8DD" w14:textId="77777777" w:rsidR="00762ABA" w:rsidRPr="00762ABA" w:rsidRDefault="00762ABA" w:rsidP="00762ABA">
      <w:pPr>
        <w:pStyle w:val="ACTBulletList1"/>
        <w:tabs>
          <w:tab w:val="clear" w:pos="720"/>
          <w:tab w:val="num" w:pos="360"/>
        </w:tabs>
        <w:ind w:left="360" w:firstLine="0"/>
        <w:rPr>
          <w:rFonts w:ascii="Aptos" w:hAnsi="Aptos"/>
          <w:color w:val="002060"/>
          <w:szCs w:val="22"/>
          <w:lang w:val="en-US"/>
        </w:rPr>
      </w:pPr>
      <w:r w:rsidRPr="00762ABA">
        <w:rPr>
          <w:rFonts w:ascii="Aptos" w:hAnsi="Aptos"/>
          <w:color w:val="002060"/>
          <w:szCs w:val="22"/>
          <w:lang w:val="en-US"/>
        </w:rPr>
        <w:t xml:space="preserve">Southeast Asian Healthcare Group’s Acquisition of a Ho Chi Minh City Hospital at USD 517 </w:t>
      </w:r>
      <w:proofErr w:type="gramStart"/>
      <w:r w:rsidRPr="00762ABA">
        <w:rPr>
          <w:rFonts w:ascii="Aptos" w:hAnsi="Aptos"/>
          <w:color w:val="002060"/>
          <w:szCs w:val="22"/>
          <w:lang w:val="en-US"/>
        </w:rPr>
        <w:t>million;</w:t>
      </w:r>
      <w:proofErr w:type="gramEnd"/>
    </w:p>
    <w:p w14:paraId="6E65F23A" w14:textId="77777777" w:rsidR="00762ABA" w:rsidRPr="00762ABA" w:rsidRDefault="00762ABA" w:rsidP="00762ABA">
      <w:pPr>
        <w:pStyle w:val="ACTBulletList1"/>
        <w:tabs>
          <w:tab w:val="clear" w:pos="720"/>
          <w:tab w:val="num" w:pos="360"/>
        </w:tabs>
        <w:ind w:left="360" w:firstLine="0"/>
        <w:rPr>
          <w:rFonts w:ascii="Aptos" w:hAnsi="Aptos"/>
          <w:color w:val="002060"/>
          <w:szCs w:val="22"/>
          <w:lang w:val="en-US"/>
        </w:rPr>
      </w:pPr>
      <w:r w:rsidRPr="00762ABA">
        <w:rPr>
          <w:rFonts w:ascii="Aptos" w:hAnsi="Aptos"/>
          <w:color w:val="002060"/>
          <w:szCs w:val="22"/>
          <w:lang w:val="en-US"/>
        </w:rPr>
        <w:t>Singaporean REIT’s Acquisition of 49% Stake in a Vietnamese Industrial Park at more than USD 220 million.</w:t>
      </w:r>
    </w:p>
    <w:p w14:paraId="580A80E6" w14:textId="77777777" w:rsidR="00762ABA" w:rsidRPr="00762ABA" w:rsidRDefault="00762ABA" w:rsidP="00762ABA">
      <w:pPr>
        <w:numPr>
          <w:ilvl w:val="0"/>
          <w:numId w:val="27"/>
        </w:numPr>
        <w:shd w:val="clear" w:color="auto" w:fill="FFFFFF"/>
        <w:spacing w:after="300"/>
        <w:ind w:left="270" w:firstLine="0"/>
        <w:outlineLvl w:val="1"/>
        <w:rPr>
          <w:rFonts w:ascii="Aptos" w:eastAsia="Times New Roman" w:hAnsi="Aptos" w:cs="Times New Roman"/>
          <w:b/>
          <w:bCs/>
          <w:color w:val="002060"/>
        </w:rPr>
      </w:pPr>
      <w:bookmarkStart w:id="70" w:name="_Toc223006340"/>
      <w:r w:rsidRPr="00762ABA">
        <w:rPr>
          <w:rFonts w:ascii="Aptos" w:eastAsia="Times New Roman" w:hAnsi="Aptos" w:cs="Times New Roman"/>
          <w:b/>
          <w:bCs/>
          <w:color w:val="002060"/>
        </w:rPr>
        <w:t>Which market sectors have been particularly active recently?</w:t>
      </w:r>
      <w:bookmarkEnd w:id="70"/>
    </w:p>
    <w:p w14:paraId="25FFCBB3" w14:textId="77777777" w:rsidR="00762ABA" w:rsidRPr="00762ABA" w:rsidRDefault="00762ABA" w:rsidP="00762ABA">
      <w:pPr>
        <w:pStyle w:val="ListParagraph"/>
        <w:numPr>
          <w:ilvl w:val="0"/>
          <w:numId w:val="29"/>
        </w:numPr>
        <w:shd w:val="clear" w:color="auto" w:fill="FFFFFF"/>
        <w:spacing w:after="160"/>
        <w:ind w:firstLine="0"/>
        <w:rPr>
          <w:rFonts w:ascii="Aptos" w:eastAsia="Times New Roman" w:hAnsi="Aptos" w:cs="Times New Roman"/>
          <w:color w:val="002060"/>
        </w:rPr>
      </w:pPr>
      <w:r w:rsidRPr="00762ABA">
        <w:rPr>
          <w:rFonts w:ascii="Aptos" w:eastAsia="Times New Roman" w:hAnsi="Aptos" w:cs="Times New Roman"/>
          <w:color w:val="002060"/>
        </w:rPr>
        <w:lastRenderedPageBreak/>
        <w:t>Renewable energy</w:t>
      </w:r>
    </w:p>
    <w:p w14:paraId="61366B31" w14:textId="77777777" w:rsidR="00762ABA" w:rsidRPr="00762ABA" w:rsidRDefault="00762ABA" w:rsidP="00762ABA">
      <w:pPr>
        <w:pStyle w:val="ListParagraph"/>
        <w:numPr>
          <w:ilvl w:val="0"/>
          <w:numId w:val="29"/>
        </w:numPr>
        <w:shd w:val="clear" w:color="auto" w:fill="FFFFFF"/>
        <w:spacing w:after="160"/>
        <w:ind w:firstLine="0"/>
        <w:rPr>
          <w:rFonts w:ascii="Aptos" w:eastAsia="Times New Roman" w:hAnsi="Aptos" w:cs="Times New Roman"/>
          <w:color w:val="002060"/>
        </w:rPr>
      </w:pPr>
      <w:r w:rsidRPr="00762ABA">
        <w:rPr>
          <w:rFonts w:ascii="Aptos" w:hAnsi="Aptos" w:cs="Times New Roman"/>
          <w:color w:val="002060"/>
          <w:lang w:val="vi-VN"/>
        </w:rPr>
        <w:t xml:space="preserve">Manufacturing, processing industry </w:t>
      </w:r>
    </w:p>
    <w:p w14:paraId="7FBB167B" w14:textId="77777777" w:rsidR="00762ABA" w:rsidRPr="00762ABA" w:rsidRDefault="00762ABA" w:rsidP="00762ABA">
      <w:pPr>
        <w:pStyle w:val="ListParagraph"/>
        <w:numPr>
          <w:ilvl w:val="0"/>
          <w:numId w:val="29"/>
        </w:numPr>
        <w:shd w:val="clear" w:color="auto" w:fill="FFFFFF"/>
        <w:spacing w:after="160"/>
        <w:ind w:firstLine="0"/>
        <w:rPr>
          <w:rFonts w:ascii="Aptos" w:eastAsia="Times New Roman" w:hAnsi="Aptos" w:cs="Times New Roman"/>
          <w:color w:val="002060"/>
        </w:rPr>
      </w:pPr>
      <w:r w:rsidRPr="00762ABA">
        <w:rPr>
          <w:rFonts w:ascii="Aptos" w:hAnsi="Aptos" w:cs="Times New Roman"/>
          <w:color w:val="002060"/>
          <w:lang w:val="vi-VN"/>
        </w:rPr>
        <w:t xml:space="preserve">Real estate </w:t>
      </w:r>
    </w:p>
    <w:p w14:paraId="475A6B2A" w14:textId="77777777" w:rsidR="00762ABA" w:rsidRPr="00762ABA" w:rsidRDefault="00762ABA" w:rsidP="00762ABA">
      <w:pPr>
        <w:pStyle w:val="ListParagraph"/>
        <w:numPr>
          <w:ilvl w:val="0"/>
          <w:numId w:val="29"/>
        </w:numPr>
        <w:shd w:val="clear" w:color="auto" w:fill="FFFFFF"/>
        <w:spacing w:after="160"/>
        <w:ind w:firstLine="0"/>
        <w:rPr>
          <w:rFonts w:ascii="Aptos" w:eastAsia="Times New Roman" w:hAnsi="Aptos" w:cs="Times New Roman"/>
          <w:color w:val="002060"/>
        </w:rPr>
      </w:pPr>
      <w:r w:rsidRPr="00762ABA">
        <w:rPr>
          <w:rFonts w:ascii="Aptos" w:eastAsia="Times New Roman" w:hAnsi="Aptos" w:cs="Times New Roman"/>
          <w:color w:val="002060"/>
        </w:rPr>
        <w:t>Healthcare</w:t>
      </w:r>
    </w:p>
    <w:p w14:paraId="72CDF51C" w14:textId="77777777" w:rsidR="00762ABA" w:rsidRPr="00762ABA" w:rsidRDefault="00762ABA" w:rsidP="00762ABA">
      <w:pPr>
        <w:pStyle w:val="ListParagraph"/>
        <w:numPr>
          <w:ilvl w:val="0"/>
          <w:numId w:val="29"/>
        </w:numPr>
        <w:shd w:val="clear" w:color="auto" w:fill="FFFFFF"/>
        <w:spacing w:after="160"/>
        <w:ind w:firstLine="0"/>
        <w:rPr>
          <w:rFonts w:ascii="Aptos" w:eastAsia="Times New Roman" w:hAnsi="Aptos" w:cs="Times New Roman"/>
          <w:color w:val="002060"/>
        </w:rPr>
      </w:pPr>
      <w:r w:rsidRPr="00762ABA">
        <w:rPr>
          <w:rFonts w:ascii="Aptos" w:hAnsi="Aptos" w:cs="Times New Roman"/>
          <w:color w:val="002060"/>
          <w:lang w:val="vi-VN"/>
        </w:rPr>
        <w:t>Wholesale and retail</w:t>
      </w:r>
    </w:p>
    <w:p w14:paraId="62411E9E" w14:textId="77777777" w:rsidR="00762ABA" w:rsidRPr="00762ABA" w:rsidRDefault="00762ABA" w:rsidP="00762ABA">
      <w:pPr>
        <w:pStyle w:val="ListParagraph"/>
        <w:numPr>
          <w:ilvl w:val="0"/>
          <w:numId w:val="29"/>
        </w:numPr>
        <w:shd w:val="clear" w:color="auto" w:fill="FFFFFF"/>
        <w:spacing w:after="160"/>
        <w:ind w:firstLine="0"/>
        <w:rPr>
          <w:rFonts w:ascii="Aptos" w:eastAsia="Times New Roman" w:hAnsi="Aptos" w:cs="Times New Roman"/>
          <w:color w:val="002060"/>
        </w:rPr>
      </w:pPr>
      <w:r w:rsidRPr="00762ABA">
        <w:rPr>
          <w:rFonts w:ascii="Aptos" w:hAnsi="Aptos" w:cs="Times New Roman"/>
          <w:color w:val="002060"/>
        </w:rPr>
        <w:t>Technology and digital services</w:t>
      </w:r>
    </w:p>
    <w:p w14:paraId="77407F84" w14:textId="77777777" w:rsidR="00762ABA" w:rsidRPr="00762ABA" w:rsidRDefault="00762ABA" w:rsidP="00762ABA">
      <w:pPr>
        <w:pStyle w:val="ListParagraph"/>
        <w:numPr>
          <w:ilvl w:val="0"/>
          <w:numId w:val="29"/>
        </w:numPr>
        <w:shd w:val="clear" w:color="auto" w:fill="FFFFFF"/>
        <w:spacing w:after="160"/>
        <w:ind w:firstLine="0"/>
        <w:rPr>
          <w:rFonts w:ascii="Aptos" w:eastAsia="Times New Roman" w:hAnsi="Aptos" w:cs="Times New Roman"/>
          <w:color w:val="002060"/>
        </w:rPr>
      </w:pPr>
      <w:r w:rsidRPr="00762ABA">
        <w:rPr>
          <w:rFonts w:ascii="Aptos" w:hAnsi="Aptos" w:cs="Times New Roman"/>
          <w:color w:val="002060"/>
        </w:rPr>
        <w:t>Logistics and industrial infrastructure.</w:t>
      </w:r>
      <w:r w:rsidRPr="00762ABA" w:rsidDel="009F1B64">
        <w:rPr>
          <w:rFonts w:ascii="Aptos" w:hAnsi="Aptos" w:cs="Times New Roman"/>
          <w:color w:val="002060"/>
          <w:lang w:val="vi-VN"/>
        </w:rPr>
        <w:t xml:space="preserve"> </w:t>
      </w:r>
    </w:p>
    <w:p w14:paraId="0068EF48" w14:textId="77777777" w:rsidR="00762ABA" w:rsidRPr="00762ABA" w:rsidRDefault="00762ABA" w:rsidP="00762ABA">
      <w:pPr>
        <w:numPr>
          <w:ilvl w:val="0"/>
          <w:numId w:val="27"/>
        </w:numPr>
        <w:shd w:val="clear" w:color="auto" w:fill="FFFFFF"/>
        <w:spacing w:after="300"/>
        <w:ind w:left="270" w:firstLine="0"/>
        <w:outlineLvl w:val="1"/>
        <w:rPr>
          <w:rFonts w:ascii="Aptos" w:eastAsia="Times New Roman" w:hAnsi="Aptos" w:cs="Times New Roman"/>
          <w:b/>
          <w:bCs/>
          <w:color w:val="002060"/>
        </w:rPr>
      </w:pPr>
      <w:bookmarkStart w:id="71" w:name="_Toc223006341"/>
      <w:r w:rsidRPr="00762ABA">
        <w:rPr>
          <w:rFonts w:ascii="Aptos" w:eastAsia="Times New Roman" w:hAnsi="Aptos" w:cs="Times New Roman"/>
          <w:b/>
          <w:bCs/>
          <w:color w:val="002060"/>
        </w:rPr>
        <w:t>What do you believe will be the three most significant factors influencing M&amp;A activity over the next 2 years?</w:t>
      </w:r>
      <w:bookmarkEnd w:id="71"/>
    </w:p>
    <w:p w14:paraId="54B0483D" w14:textId="77777777" w:rsidR="00762ABA" w:rsidRPr="00762ABA" w:rsidRDefault="00762ABA" w:rsidP="00762ABA">
      <w:pPr>
        <w:shd w:val="clear" w:color="auto" w:fill="FFFFFF"/>
        <w:spacing w:after="300"/>
        <w:outlineLvl w:val="1"/>
        <w:rPr>
          <w:rFonts w:ascii="Aptos" w:eastAsia="Times New Roman" w:hAnsi="Aptos" w:cs="Times New Roman"/>
          <w:bCs/>
          <w:color w:val="002060"/>
        </w:rPr>
      </w:pPr>
      <w:bookmarkStart w:id="72" w:name="_Toc223006342"/>
      <w:r w:rsidRPr="00762ABA">
        <w:rPr>
          <w:rFonts w:ascii="Aptos" w:eastAsia="Times New Roman" w:hAnsi="Aptos" w:cs="Times New Roman"/>
          <w:bCs/>
          <w:color w:val="002060"/>
          <w:lang w:val="vi-VN"/>
        </w:rPr>
        <w:t xml:space="preserve">The three most significant factors likely to </w:t>
      </w:r>
      <w:r w:rsidRPr="00762ABA">
        <w:rPr>
          <w:rFonts w:ascii="Aptos" w:eastAsia="Times New Roman" w:hAnsi="Aptos" w:cs="Times New Roman"/>
          <w:bCs/>
          <w:color w:val="002060"/>
        </w:rPr>
        <w:t>influence M&amp;A activity over the next 2 years are: economic growth, regulatory development and infrastructure development.</w:t>
      </w:r>
      <w:bookmarkEnd w:id="72"/>
    </w:p>
    <w:p w14:paraId="09D03703" w14:textId="77777777" w:rsidR="00762ABA" w:rsidRPr="00762ABA" w:rsidRDefault="00762ABA" w:rsidP="00762ABA">
      <w:pPr>
        <w:shd w:val="clear" w:color="auto" w:fill="FFFFFF"/>
        <w:spacing w:after="300"/>
        <w:outlineLvl w:val="1"/>
        <w:rPr>
          <w:rFonts w:ascii="Aptos" w:eastAsia="Times New Roman" w:hAnsi="Aptos" w:cs="Times New Roman"/>
          <w:bCs/>
          <w:color w:val="002060"/>
        </w:rPr>
      </w:pPr>
      <w:bookmarkStart w:id="73" w:name="_Toc223006343"/>
      <w:r w:rsidRPr="00762ABA">
        <w:rPr>
          <w:rFonts w:ascii="Aptos" w:eastAsia="Times New Roman" w:hAnsi="Aptos" w:cs="Times New Roman"/>
          <w:bCs/>
          <w:color w:val="002060"/>
        </w:rPr>
        <w:t xml:space="preserve">First, Vietnam’s GDP is projected to grow by over 6% in 2026. Exports rose by 15.5% in 2024, and inflation is expected to remain stable, falling from a peak of 4.4% in May 2024 to </w:t>
      </w:r>
      <w:r w:rsidRPr="00762ABA">
        <w:rPr>
          <w:rFonts w:ascii="Aptos" w:eastAsia="Times New Roman" w:hAnsi="Aptos" w:cs="Times New Roman"/>
          <w:color w:val="002060"/>
        </w:rPr>
        <w:t>around 3.1% by April 2025, with the Asian Development Bank forecasting 3.9% inflation in 2025 and 3.8% in 2026</w:t>
      </w:r>
      <w:r w:rsidRPr="00762ABA">
        <w:rPr>
          <w:rFonts w:ascii="Aptos" w:eastAsia="Times New Roman" w:hAnsi="Aptos" w:cs="Times New Roman"/>
          <w:bCs/>
          <w:color w:val="002060"/>
        </w:rPr>
        <w:t xml:space="preserve">. </w:t>
      </w:r>
      <w:proofErr w:type="spellStart"/>
      <w:r w:rsidRPr="00762ABA">
        <w:rPr>
          <w:rFonts w:ascii="Aptos" w:eastAsia="Times New Roman" w:hAnsi="Aptos" w:cs="Times New Roman"/>
          <w:bCs/>
          <w:color w:val="002060"/>
        </w:rPr>
        <w:t>FDI</w:t>
      </w:r>
      <w:proofErr w:type="spellEnd"/>
      <w:r w:rsidRPr="00762ABA">
        <w:rPr>
          <w:rFonts w:ascii="Aptos" w:eastAsia="Times New Roman" w:hAnsi="Aptos" w:cs="Times New Roman"/>
          <w:bCs/>
          <w:color w:val="002060"/>
        </w:rPr>
        <w:t xml:space="preserve"> disbursements is forecasted by World Bank to stay steady at around USD 25 billion annually over the next two years.</w:t>
      </w:r>
      <w:bookmarkEnd w:id="73"/>
    </w:p>
    <w:p w14:paraId="13DB30B4" w14:textId="77777777" w:rsidR="00762ABA" w:rsidRPr="00762ABA" w:rsidRDefault="00762ABA" w:rsidP="00762ABA">
      <w:pPr>
        <w:shd w:val="clear" w:color="auto" w:fill="FFFFFF"/>
        <w:spacing w:after="300"/>
        <w:outlineLvl w:val="1"/>
        <w:rPr>
          <w:rFonts w:ascii="Aptos" w:eastAsia="Times New Roman" w:hAnsi="Aptos" w:cs="Times New Roman"/>
          <w:bCs/>
          <w:color w:val="002060"/>
        </w:rPr>
      </w:pPr>
      <w:bookmarkStart w:id="74" w:name="_Toc223006344"/>
      <w:r w:rsidRPr="00762ABA">
        <w:rPr>
          <w:rFonts w:ascii="Aptos" w:eastAsia="Times New Roman" w:hAnsi="Aptos" w:cs="Times New Roman"/>
          <w:bCs/>
          <w:color w:val="002060"/>
        </w:rPr>
        <w:t xml:space="preserve">Second, sector-specific regulations, such as the </w:t>
      </w:r>
      <w:proofErr w:type="spellStart"/>
      <w:r w:rsidRPr="00762ABA">
        <w:rPr>
          <w:rFonts w:ascii="Aptos" w:eastAsia="Times New Roman" w:hAnsi="Aptos" w:cs="Times New Roman"/>
          <w:bCs/>
          <w:color w:val="002060"/>
        </w:rPr>
        <w:t>PDP8</w:t>
      </w:r>
      <w:proofErr w:type="spellEnd"/>
      <w:r w:rsidRPr="00762ABA">
        <w:rPr>
          <w:rFonts w:ascii="Aptos" w:eastAsia="Times New Roman" w:hAnsi="Aptos" w:cs="Times New Roman"/>
          <w:bCs/>
          <w:color w:val="002060"/>
        </w:rPr>
        <w:t xml:space="preserve"> for renewable energy and revised land laws, will shape investment in these key industries. Green finance also continues to expand - Vietnam has prioritized green lending within its financial system, and although the most recent official figures for 2024–2025 are not yet published, the trend remains upward as the government advances energy transition policies.</w:t>
      </w:r>
      <w:bookmarkEnd w:id="74"/>
    </w:p>
    <w:p w14:paraId="5AE82F39" w14:textId="77777777" w:rsidR="00762ABA" w:rsidRPr="00762ABA" w:rsidRDefault="00762ABA" w:rsidP="00762ABA">
      <w:pPr>
        <w:shd w:val="clear" w:color="auto" w:fill="FFFFFF"/>
        <w:spacing w:after="300"/>
        <w:outlineLvl w:val="1"/>
        <w:rPr>
          <w:rFonts w:ascii="Aptos" w:eastAsia="Times New Roman" w:hAnsi="Aptos" w:cs="Times New Roman"/>
          <w:bCs/>
          <w:color w:val="002060"/>
        </w:rPr>
      </w:pPr>
      <w:bookmarkStart w:id="75" w:name="_Toc223006345"/>
      <w:r w:rsidRPr="00762ABA">
        <w:rPr>
          <w:rFonts w:ascii="Aptos" w:eastAsia="Times New Roman" w:hAnsi="Aptos" w:cs="Times New Roman"/>
          <w:bCs/>
          <w:color w:val="002060"/>
        </w:rPr>
        <w:t>Third, infrastructure development, which was formerly seen as a bottleneck in Vietnam's growth, has now become a growth driver, supported by major projects such as Long Thanh international airport and the North-South railway.</w:t>
      </w:r>
      <w:bookmarkEnd w:id="75"/>
    </w:p>
    <w:p w14:paraId="186882A3" w14:textId="77777777" w:rsidR="00762ABA" w:rsidRPr="00762ABA" w:rsidRDefault="00762ABA" w:rsidP="00762ABA">
      <w:pPr>
        <w:pStyle w:val="ACTParagraph"/>
        <w:rPr>
          <w:rFonts w:ascii="Aptos" w:hAnsi="Aptos"/>
          <w:color w:val="002060"/>
          <w:szCs w:val="22"/>
        </w:rPr>
      </w:pPr>
      <w:r w:rsidRPr="00762ABA">
        <w:rPr>
          <w:rFonts w:ascii="Aptos" w:hAnsi="Aptos"/>
          <w:color w:val="002060"/>
          <w:szCs w:val="22"/>
        </w:rPr>
        <w:t>The major expected trends in the Vietnam M&amp;A market include:</w:t>
      </w:r>
    </w:p>
    <w:p w14:paraId="7C687463" w14:textId="77777777" w:rsidR="00762ABA" w:rsidRPr="00762ABA" w:rsidRDefault="00762ABA" w:rsidP="00762ABA">
      <w:pPr>
        <w:pStyle w:val="ACTBulletList1"/>
        <w:tabs>
          <w:tab w:val="clear" w:pos="720"/>
          <w:tab w:val="num" w:pos="630"/>
        </w:tabs>
        <w:ind w:left="630" w:firstLine="0"/>
        <w:rPr>
          <w:rFonts w:ascii="Aptos" w:hAnsi="Aptos"/>
          <w:color w:val="002060"/>
          <w:szCs w:val="22"/>
        </w:rPr>
      </w:pPr>
      <w:r w:rsidRPr="00762ABA">
        <w:rPr>
          <w:rFonts w:ascii="Aptos" w:hAnsi="Aptos"/>
          <w:color w:val="002060"/>
          <w:szCs w:val="22"/>
        </w:rPr>
        <w:t>Real Estate</w:t>
      </w:r>
    </w:p>
    <w:p w14:paraId="4E45FD9D" w14:textId="77777777" w:rsidR="00762ABA" w:rsidRPr="00762ABA" w:rsidRDefault="00762ABA" w:rsidP="00762ABA">
      <w:pPr>
        <w:pStyle w:val="ACTBulletList1"/>
        <w:tabs>
          <w:tab w:val="clear" w:pos="720"/>
          <w:tab w:val="num" w:pos="630"/>
        </w:tabs>
        <w:ind w:left="630" w:firstLine="0"/>
        <w:rPr>
          <w:rFonts w:ascii="Aptos" w:hAnsi="Aptos"/>
          <w:color w:val="002060"/>
          <w:szCs w:val="22"/>
        </w:rPr>
      </w:pPr>
      <w:r w:rsidRPr="00762ABA">
        <w:rPr>
          <w:rFonts w:ascii="Aptos" w:hAnsi="Aptos"/>
          <w:color w:val="002060"/>
          <w:szCs w:val="22"/>
        </w:rPr>
        <w:t>Technology</w:t>
      </w:r>
    </w:p>
    <w:p w14:paraId="6E1F4F6B" w14:textId="77777777" w:rsidR="00762ABA" w:rsidRPr="00762ABA" w:rsidRDefault="00762ABA" w:rsidP="00762ABA">
      <w:pPr>
        <w:pStyle w:val="ACTBulletList1"/>
        <w:tabs>
          <w:tab w:val="clear" w:pos="720"/>
          <w:tab w:val="num" w:pos="630"/>
        </w:tabs>
        <w:ind w:left="630" w:firstLine="0"/>
        <w:rPr>
          <w:rFonts w:ascii="Aptos" w:hAnsi="Aptos"/>
          <w:color w:val="002060"/>
          <w:szCs w:val="22"/>
        </w:rPr>
      </w:pPr>
      <w:r w:rsidRPr="00762ABA">
        <w:rPr>
          <w:rFonts w:ascii="Aptos" w:hAnsi="Aptos"/>
          <w:color w:val="002060"/>
          <w:szCs w:val="22"/>
        </w:rPr>
        <w:t>Renewable Energy</w:t>
      </w:r>
    </w:p>
    <w:p w14:paraId="42369E7A" w14:textId="77777777" w:rsidR="00762ABA" w:rsidRPr="00762ABA" w:rsidRDefault="00762ABA" w:rsidP="00762ABA">
      <w:pPr>
        <w:numPr>
          <w:ilvl w:val="0"/>
          <w:numId w:val="27"/>
        </w:numPr>
        <w:shd w:val="clear" w:color="auto" w:fill="FFFFFF"/>
        <w:spacing w:after="300"/>
        <w:ind w:left="270" w:firstLine="0"/>
        <w:outlineLvl w:val="1"/>
        <w:rPr>
          <w:rFonts w:ascii="Aptos" w:eastAsia="Times New Roman" w:hAnsi="Aptos" w:cs="Times New Roman"/>
          <w:b/>
          <w:bCs/>
          <w:color w:val="002060"/>
        </w:rPr>
      </w:pPr>
      <w:bookmarkStart w:id="76" w:name="_Toc223006346"/>
      <w:r w:rsidRPr="00762ABA">
        <w:rPr>
          <w:rFonts w:ascii="Aptos" w:eastAsia="Times New Roman" w:hAnsi="Aptos" w:cs="Times New Roman"/>
          <w:b/>
          <w:bCs/>
          <w:color w:val="002060"/>
        </w:rPr>
        <w:t>What are the key means of effecting the acquisition of a publicly traded company?</w:t>
      </w:r>
      <w:bookmarkEnd w:id="76"/>
    </w:p>
    <w:p w14:paraId="446A89A8" w14:textId="77777777" w:rsidR="00762ABA" w:rsidRPr="00762ABA" w:rsidRDefault="00762ABA" w:rsidP="00762ABA">
      <w:pPr>
        <w:pStyle w:val="ACTParagraph"/>
        <w:spacing w:line="276" w:lineRule="auto"/>
        <w:rPr>
          <w:rFonts w:ascii="Aptos" w:hAnsi="Aptos"/>
          <w:color w:val="002060"/>
          <w:szCs w:val="22"/>
          <w:lang w:val="en-US"/>
        </w:rPr>
      </w:pPr>
      <w:r w:rsidRPr="00762ABA">
        <w:rPr>
          <w:rFonts w:ascii="Aptos" w:hAnsi="Aptos"/>
          <w:color w:val="002060"/>
          <w:szCs w:val="22"/>
        </w:rPr>
        <w:t xml:space="preserve">In Vietnam, the term public company refers to a joint stock company </w:t>
      </w:r>
      <w:r w:rsidRPr="00762ABA">
        <w:rPr>
          <w:rFonts w:ascii="Aptos" w:hAnsi="Aptos"/>
          <w:color w:val="002060"/>
          <w:szCs w:val="22"/>
          <w:lang w:val="vi-VN"/>
        </w:rPr>
        <w:t xml:space="preserve">that </w:t>
      </w:r>
      <w:r w:rsidRPr="00762ABA">
        <w:rPr>
          <w:rFonts w:ascii="Aptos" w:hAnsi="Aptos"/>
          <w:color w:val="002060"/>
          <w:szCs w:val="22"/>
          <w:lang w:val="en-US"/>
        </w:rPr>
        <w:t>meets one of the following conditions:</w:t>
      </w:r>
    </w:p>
    <w:p w14:paraId="462FDBFB" w14:textId="77777777" w:rsidR="00762ABA" w:rsidRPr="00762ABA" w:rsidRDefault="00762ABA" w:rsidP="00762ABA">
      <w:pPr>
        <w:pStyle w:val="ACTParagraph"/>
        <w:spacing w:line="276" w:lineRule="auto"/>
        <w:rPr>
          <w:rFonts w:ascii="Aptos" w:hAnsi="Aptos"/>
          <w:color w:val="002060"/>
          <w:szCs w:val="22"/>
        </w:rPr>
      </w:pPr>
      <w:r w:rsidRPr="00762ABA">
        <w:rPr>
          <w:rFonts w:ascii="Aptos" w:hAnsi="Aptos"/>
          <w:color w:val="002060"/>
          <w:szCs w:val="22"/>
        </w:rPr>
        <w:t>a) The company has a contributed charter capital of at least VND 30 billion, equity capital of at least VND 30 billion, and at least 10% of the voting shares are being held by at least 100 non-major shareholders; or</w:t>
      </w:r>
    </w:p>
    <w:p w14:paraId="3516FFE1" w14:textId="77777777" w:rsidR="00762ABA" w:rsidRPr="00762ABA" w:rsidRDefault="00762ABA" w:rsidP="00762ABA">
      <w:pPr>
        <w:pStyle w:val="ACTParagraph"/>
        <w:spacing w:line="276" w:lineRule="auto"/>
        <w:rPr>
          <w:rFonts w:ascii="Aptos" w:hAnsi="Aptos"/>
          <w:color w:val="002060"/>
          <w:szCs w:val="22"/>
        </w:rPr>
      </w:pPr>
      <w:r w:rsidRPr="00762ABA">
        <w:rPr>
          <w:rFonts w:ascii="Aptos" w:hAnsi="Aptos"/>
          <w:color w:val="002060"/>
          <w:szCs w:val="22"/>
        </w:rPr>
        <w:t>b) The company has successfully made its IPO by registration with SSC.</w:t>
      </w:r>
    </w:p>
    <w:p w14:paraId="4E633075" w14:textId="77777777" w:rsidR="00762ABA" w:rsidRPr="00762ABA" w:rsidRDefault="00762ABA" w:rsidP="00762ABA">
      <w:pPr>
        <w:pStyle w:val="ACTParagraph"/>
        <w:spacing w:line="276" w:lineRule="auto"/>
        <w:rPr>
          <w:rFonts w:ascii="Aptos" w:hAnsi="Aptos"/>
          <w:color w:val="002060"/>
          <w:szCs w:val="22"/>
        </w:rPr>
      </w:pPr>
      <w:r w:rsidRPr="00762ABA">
        <w:rPr>
          <w:rFonts w:ascii="Aptos" w:hAnsi="Aptos"/>
          <w:color w:val="002060"/>
          <w:szCs w:val="22"/>
        </w:rPr>
        <w:t>The most common means of obtaining control over a public company are as follows:</w:t>
      </w:r>
    </w:p>
    <w:p w14:paraId="4E46CA8D" w14:textId="77777777" w:rsidR="00762ABA" w:rsidRPr="00762ABA" w:rsidRDefault="00762ABA" w:rsidP="00762ABA">
      <w:pPr>
        <w:pStyle w:val="ACTBulletList1"/>
        <w:tabs>
          <w:tab w:val="clear" w:pos="720"/>
          <w:tab w:val="num" w:pos="360"/>
        </w:tabs>
        <w:spacing w:line="276" w:lineRule="auto"/>
        <w:ind w:left="360" w:firstLine="0"/>
        <w:rPr>
          <w:rFonts w:ascii="Aptos" w:hAnsi="Aptos"/>
          <w:color w:val="002060"/>
          <w:szCs w:val="22"/>
        </w:rPr>
      </w:pPr>
      <w:r w:rsidRPr="00762ABA">
        <w:rPr>
          <w:rFonts w:ascii="Aptos" w:hAnsi="Aptos"/>
          <w:color w:val="002060"/>
          <w:szCs w:val="22"/>
        </w:rPr>
        <w:t>The acquisition of shares/charter capital through:</w:t>
      </w:r>
    </w:p>
    <w:p w14:paraId="0CD55918" w14:textId="77777777" w:rsidR="00762ABA" w:rsidRPr="00762ABA" w:rsidRDefault="00762ABA" w:rsidP="00762ABA">
      <w:pPr>
        <w:pStyle w:val="ACTBulletList2"/>
        <w:numPr>
          <w:ilvl w:val="0"/>
          <w:numId w:val="36"/>
        </w:numPr>
        <w:spacing w:line="276" w:lineRule="auto"/>
        <w:rPr>
          <w:rFonts w:ascii="Aptos" w:hAnsi="Aptos"/>
          <w:color w:val="002060"/>
          <w:szCs w:val="22"/>
        </w:rPr>
      </w:pPr>
      <w:r w:rsidRPr="00762ABA">
        <w:rPr>
          <w:rFonts w:ascii="Aptos" w:hAnsi="Aptos"/>
          <w:color w:val="002060"/>
          <w:szCs w:val="22"/>
        </w:rPr>
        <w:t xml:space="preserve">buying shares/charter capital from the existing shareholders of the </w:t>
      </w:r>
      <w:proofErr w:type="gramStart"/>
      <w:r w:rsidRPr="00762ABA">
        <w:rPr>
          <w:rFonts w:ascii="Aptos" w:hAnsi="Aptos"/>
          <w:color w:val="002060"/>
          <w:szCs w:val="22"/>
        </w:rPr>
        <w:t>company;</w:t>
      </w:r>
      <w:proofErr w:type="gramEnd"/>
    </w:p>
    <w:p w14:paraId="6FC7A756" w14:textId="77777777" w:rsidR="00762ABA" w:rsidRPr="00762ABA" w:rsidRDefault="00762ABA" w:rsidP="00762ABA">
      <w:pPr>
        <w:pStyle w:val="ACTBulletList2"/>
        <w:numPr>
          <w:ilvl w:val="0"/>
          <w:numId w:val="36"/>
        </w:numPr>
        <w:spacing w:line="276" w:lineRule="auto"/>
        <w:rPr>
          <w:rFonts w:ascii="Aptos" w:hAnsi="Aptos"/>
          <w:color w:val="002060"/>
          <w:szCs w:val="22"/>
        </w:rPr>
      </w:pPr>
      <w:r w:rsidRPr="00762ABA">
        <w:rPr>
          <w:rFonts w:ascii="Aptos" w:hAnsi="Aptos"/>
          <w:color w:val="002060"/>
          <w:szCs w:val="22"/>
        </w:rPr>
        <w:t>buying shares/charter capital of a listed company on the stock exchange; and</w:t>
      </w:r>
    </w:p>
    <w:p w14:paraId="596B823B" w14:textId="77777777" w:rsidR="00762ABA" w:rsidRPr="00762ABA" w:rsidRDefault="00762ABA" w:rsidP="00762ABA">
      <w:pPr>
        <w:pStyle w:val="ACTBulletList2"/>
        <w:numPr>
          <w:ilvl w:val="0"/>
          <w:numId w:val="36"/>
        </w:numPr>
        <w:spacing w:line="276" w:lineRule="auto"/>
        <w:rPr>
          <w:rFonts w:ascii="Aptos" w:hAnsi="Aptos"/>
          <w:color w:val="002060"/>
          <w:szCs w:val="22"/>
        </w:rPr>
      </w:pPr>
      <w:r w:rsidRPr="00762ABA">
        <w:rPr>
          <w:rFonts w:ascii="Aptos" w:hAnsi="Aptos"/>
          <w:color w:val="002060"/>
          <w:szCs w:val="22"/>
        </w:rPr>
        <w:lastRenderedPageBreak/>
        <w:t>public share purchase offer.</w:t>
      </w:r>
    </w:p>
    <w:p w14:paraId="0C6FF22B" w14:textId="77777777" w:rsidR="00762ABA" w:rsidRPr="00762ABA" w:rsidRDefault="00762ABA" w:rsidP="00762ABA">
      <w:pPr>
        <w:pStyle w:val="ACTBulletList1"/>
        <w:tabs>
          <w:tab w:val="clear" w:pos="720"/>
          <w:tab w:val="num" w:pos="360"/>
        </w:tabs>
        <w:spacing w:line="276" w:lineRule="auto"/>
        <w:ind w:left="360" w:firstLine="0"/>
        <w:rPr>
          <w:rFonts w:ascii="Aptos" w:hAnsi="Aptos"/>
          <w:color w:val="002060"/>
          <w:szCs w:val="22"/>
        </w:rPr>
      </w:pPr>
      <w:r w:rsidRPr="00762ABA">
        <w:rPr>
          <w:rFonts w:ascii="Aptos" w:hAnsi="Aptos"/>
          <w:color w:val="002060"/>
          <w:szCs w:val="22"/>
        </w:rPr>
        <w:t>Through a merger. The 2020 Law on Enterprises sets out the procedures for company mergers by way of a transfer of all lawful assets, rights, obligations and interests to the merged company, and for the simultaneous termination of the merging companies.</w:t>
      </w:r>
    </w:p>
    <w:p w14:paraId="3DAA2234" w14:textId="77777777" w:rsidR="00762ABA" w:rsidRPr="00762ABA" w:rsidRDefault="00762ABA" w:rsidP="00762ABA">
      <w:pPr>
        <w:pStyle w:val="ACTBulletList1"/>
        <w:tabs>
          <w:tab w:val="clear" w:pos="720"/>
          <w:tab w:val="num" w:pos="360"/>
        </w:tabs>
        <w:spacing w:line="276" w:lineRule="auto"/>
        <w:ind w:left="360" w:firstLine="0"/>
        <w:rPr>
          <w:rFonts w:ascii="Aptos" w:hAnsi="Aptos"/>
          <w:color w:val="002060"/>
          <w:szCs w:val="22"/>
        </w:rPr>
      </w:pPr>
      <w:r w:rsidRPr="00762ABA">
        <w:rPr>
          <w:rFonts w:ascii="Aptos" w:hAnsi="Aptos"/>
          <w:color w:val="002060"/>
          <w:szCs w:val="22"/>
        </w:rPr>
        <w:t>Through the acquisition of assets.</w:t>
      </w:r>
    </w:p>
    <w:p w14:paraId="42EF02C7" w14:textId="77777777" w:rsidR="00762ABA" w:rsidRPr="00762ABA" w:rsidRDefault="00762ABA" w:rsidP="00762ABA">
      <w:pPr>
        <w:pStyle w:val="ACTParagraph"/>
        <w:spacing w:line="276" w:lineRule="auto"/>
        <w:rPr>
          <w:rFonts w:ascii="Aptos" w:hAnsi="Aptos"/>
          <w:color w:val="002060"/>
          <w:szCs w:val="22"/>
        </w:rPr>
      </w:pPr>
      <w:r w:rsidRPr="00762ABA">
        <w:rPr>
          <w:rFonts w:ascii="Aptos" w:hAnsi="Aptos"/>
          <w:color w:val="002060"/>
          <w:szCs w:val="22"/>
        </w:rPr>
        <w:t>There are restrictions on the purchase of shares/charter capital of local companies by foreign investors in certain sensitive sectors. In addition, the law is silent on merger or assets acquisition (</w:t>
      </w:r>
      <w:r w:rsidRPr="00762ABA">
        <w:rPr>
          <w:rFonts w:ascii="Aptos" w:hAnsi="Aptos"/>
          <w:iCs/>
          <w:color w:val="002060"/>
          <w:szCs w:val="22"/>
        </w:rPr>
        <w:t>for example,</w:t>
      </w:r>
      <w:r w:rsidRPr="00762ABA">
        <w:rPr>
          <w:rFonts w:ascii="Aptos" w:hAnsi="Aptos"/>
          <w:color w:val="002060"/>
          <w:szCs w:val="22"/>
        </w:rPr>
        <w:t xml:space="preserve"> business spin-off) transactions where a foreign investor is a party. Regarding other assets acquisition transactions, if the asset is a real property, foreign ownership right will be restricted according to real estate laws.</w:t>
      </w:r>
    </w:p>
    <w:p w14:paraId="664A569F" w14:textId="77777777" w:rsidR="00762ABA" w:rsidRPr="00762ABA" w:rsidRDefault="00762ABA" w:rsidP="00762ABA">
      <w:pPr>
        <w:pStyle w:val="ACTParagraph"/>
        <w:spacing w:line="276" w:lineRule="auto"/>
        <w:rPr>
          <w:rFonts w:ascii="Aptos" w:hAnsi="Aptos"/>
          <w:color w:val="002060"/>
          <w:szCs w:val="22"/>
        </w:rPr>
      </w:pPr>
      <w:r w:rsidRPr="00762ABA">
        <w:rPr>
          <w:rFonts w:ascii="Aptos" w:hAnsi="Aptos"/>
          <w:color w:val="002060"/>
          <w:szCs w:val="22"/>
        </w:rPr>
        <w:t>Securities of public companies must be registered and deposited at the Vietnam Securities Depository Centre before being traded.</w:t>
      </w:r>
    </w:p>
    <w:p w14:paraId="4CE9F2CB" w14:textId="77777777" w:rsidR="00762ABA" w:rsidRPr="00762ABA" w:rsidRDefault="00762ABA" w:rsidP="00762ABA">
      <w:pPr>
        <w:pStyle w:val="ACTParagraph"/>
        <w:spacing w:line="276" w:lineRule="auto"/>
        <w:rPr>
          <w:rFonts w:ascii="Aptos" w:hAnsi="Aptos"/>
          <w:color w:val="002060"/>
          <w:szCs w:val="22"/>
        </w:rPr>
      </w:pPr>
      <w:r w:rsidRPr="00762ABA">
        <w:rPr>
          <w:rFonts w:ascii="Aptos" w:hAnsi="Aptos"/>
          <w:color w:val="002060"/>
          <w:szCs w:val="22"/>
        </w:rPr>
        <w:t xml:space="preserve">Depending on the numbers of shares purchased, an investor can become a controlling shareholder. Under the Vietnam Law on Securities, a shareholder that directly or indirectly owns 5% or more of the voting shares of an issuing organisation is a major shareholder. </w:t>
      </w:r>
    </w:p>
    <w:p w14:paraId="46143834" w14:textId="77777777" w:rsidR="00762ABA" w:rsidRPr="00762ABA" w:rsidRDefault="00762ABA" w:rsidP="00762ABA">
      <w:pPr>
        <w:numPr>
          <w:ilvl w:val="0"/>
          <w:numId w:val="27"/>
        </w:numPr>
        <w:shd w:val="clear" w:color="auto" w:fill="FFFFFF"/>
        <w:spacing w:after="300"/>
        <w:ind w:left="270" w:firstLine="0"/>
        <w:outlineLvl w:val="1"/>
        <w:rPr>
          <w:rFonts w:ascii="Aptos" w:eastAsia="Times New Roman" w:hAnsi="Aptos" w:cs="Times New Roman"/>
          <w:b/>
          <w:bCs/>
          <w:color w:val="002060"/>
        </w:rPr>
      </w:pPr>
      <w:bookmarkStart w:id="77" w:name="_Toc223006347"/>
      <w:r w:rsidRPr="00762ABA">
        <w:rPr>
          <w:rFonts w:ascii="Aptos" w:eastAsia="Times New Roman" w:hAnsi="Aptos" w:cs="Times New Roman"/>
          <w:b/>
          <w:bCs/>
          <w:color w:val="002060"/>
        </w:rPr>
        <w:t>What information relating to a target company will be publicly available and to what extent is a target company obliged to disclose diligence related information to a potential acquirer?</w:t>
      </w:r>
      <w:bookmarkEnd w:id="77"/>
    </w:p>
    <w:p w14:paraId="10BCF04B" w14:textId="77777777" w:rsidR="00762ABA" w:rsidRPr="00762ABA" w:rsidRDefault="00762ABA" w:rsidP="00762ABA">
      <w:pPr>
        <w:pStyle w:val="ACTBulletList1"/>
        <w:numPr>
          <w:ilvl w:val="0"/>
          <w:numId w:val="0"/>
        </w:numPr>
        <w:spacing w:line="276" w:lineRule="auto"/>
        <w:rPr>
          <w:rFonts w:ascii="Aptos" w:hAnsi="Aptos"/>
          <w:color w:val="002060"/>
          <w:szCs w:val="22"/>
        </w:rPr>
      </w:pPr>
      <w:r w:rsidRPr="00762ABA">
        <w:rPr>
          <w:rFonts w:ascii="Aptos" w:hAnsi="Aptos"/>
          <w:color w:val="002060"/>
          <w:szCs w:val="22"/>
        </w:rPr>
        <w:t>In case a target company is a public company, it must publicly announce the following information:</w:t>
      </w:r>
    </w:p>
    <w:p w14:paraId="3B5B3913" w14:textId="77777777" w:rsidR="00762ABA" w:rsidRPr="00762ABA" w:rsidRDefault="00762ABA" w:rsidP="00762ABA">
      <w:pPr>
        <w:pStyle w:val="ACTBulletList1"/>
        <w:numPr>
          <w:ilvl w:val="0"/>
          <w:numId w:val="33"/>
        </w:numPr>
        <w:spacing w:line="276" w:lineRule="auto"/>
        <w:rPr>
          <w:rFonts w:ascii="Aptos" w:hAnsi="Aptos"/>
          <w:color w:val="002060"/>
          <w:szCs w:val="22"/>
        </w:rPr>
      </w:pPr>
      <w:r w:rsidRPr="00762ABA">
        <w:rPr>
          <w:rFonts w:ascii="Aptos" w:hAnsi="Aptos"/>
          <w:color w:val="002060"/>
          <w:szCs w:val="22"/>
        </w:rPr>
        <w:t xml:space="preserve">Annual financial statements audited by an approved auditing </w:t>
      </w:r>
      <w:proofErr w:type="gramStart"/>
      <w:r w:rsidRPr="00762ABA">
        <w:rPr>
          <w:rFonts w:ascii="Aptos" w:hAnsi="Aptos"/>
          <w:color w:val="002060"/>
          <w:szCs w:val="22"/>
        </w:rPr>
        <w:t>firm;</w:t>
      </w:r>
      <w:proofErr w:type="gramEnd"/>
    </w:p>
    <w:p w14:paraId="35A960D9" w14:textId="77777777" w:rsidR="00762ABA" w:rsidRPr="00762ABA" w:rsidRDefault="00762ABA" w:rsidP="00762ABA">
      <w:pPr>
        <w:pStyle w:val="ACTBulletList1"/>
        <w:numPr>
          <w:ilvl w:val="0"/>
          <w:numId w:val="33"/>
        </w:numPr>
        <w:spacing w:line="276" w:lineRule="auto"/>
        <w:rPr>
          <w:rFonts w:ascii="Aptos" w:hAnsi="Aptos"/>
          <w:color w:val="002060"/>
          <w:szCs w:val="22"/>
        </w:rPr>
      </w:pPr>
      <w:r w:rsidRPr="00762ABA">
        <w:rPr>
          <w:rFonts w:ascii="Aptos" w:hAnsi="Aptos"/>
          <w:color w:val="002060"/>
          <w:szCs w:val="22"/>
        </w:rPr>
        <w:t xml:space="preserve">Information on annual General Meeting of </w:t>
      </w:r>
      <w:proofErr w:type="gramStart"/>
      <w:r w:rsidRPr="00762ABA">
        <w:rPr>
          <w:rFonts w:ascii="Aptos" w:hAnsi="Aptos"/>
          <w:color w:val="002060"/>
          <w:szCs w:val="22"/>
        </w:rPr>
        <w:t>Shareholders;</w:t>
      </w:r>
      <w:proofErr w:type="gramEnd"/>
    </w:p>
    <w:p w14:paraId="3DF54198" w14:textId="77777777" w:rsidR="00762ABA" w:rsidRPr="00762ABA" w:rsidRDefault="00762ABA" w:rsidP="00762ABA">
      <w:pPr>
        <w:pStyle w:val="ACTBulletList1"/>
        <w:numPr>
          <w:ilvl w:val="0"/>
          <w:numId w:val="33"/>
        </w:numPr>
        <w:spacing w:line="276" w:lineRule="auto"/>
        <w:rPr>
          <w:rFonts w:ascii="Aptos" w:hAnsi="Aptos"/>
          <w:color w:val="002060"/>
          <w:szCs w:val="22"/>
        </w:rPr>
      </w:pPr>
      <w:r w:rsidRPr="00762ABA">
        <w:rPr>
          <w:rFonts w:ascii="Aptos" w:hAnsi="Aptos"/>
          <w:color w:val="002060"/>
          <w:szCs w:val="22"/>
        </w:rPr>
        <w:t xml:space="preserve">Report on the status of company </w:t>
      </w:r>
      <w:proofErr w:type="gramStart"/>
      <w:r w:rsidRPr="00762ABA">
        <w:rPr>
          <w:rFonts w:ascii="Aptos" w:hAnsi="Aptos"/>
          <w:color w:val="002060"/>
          <w:szCs w:val="22"/>
        </w:rPr>
        <w:t>governance;</w:t>
      </w:r>
      <w:proofErr w:type="gramEnd"/>
    </w:p>
    <w:p w14:paraId="04E2391E" w14:textId="77777777" w:rsidR="00762ABA" w:rsidRPr="00762ABA" w:rsidRDefault="00762ABA" w:rsidP="00762ABA">
      <w:pPr>
        <w:pStyle w:val="ACTBulletList1"/>
        <w:numPr>
          <w:ilvl w:val="0"/>
          <w:numId w:val="33"/>
        </w:numPr>
        <w:spacing w:line="276" w:lineRule="auto"/>
        <w:rPr>
          <w:rFonts w:ascii="Aptos" w:hAnsi="Aptos"/>
          <w:color w:val="002060"/>
          <w:szCs w:val="22"/>
        </w:rPr>
      </w:pPr>
      <w:r w:rsidRPr="00762ABA">
        <w:rPr>
          <w:rFonts w:ascii="Aptos" w:hAnsi="Aptos"/>
          <w:color w:val="002060"/>
          <w:szCs w:val="22"/>
        </w:rPr>
        <w:t xml:space="preserve">Abnormal information of public companies on the stock </w:t>
      </w:r>
      <w:proofErr w:type="gramStart"/>
      <w:r w:rsidRPr="00762ABA">
        <w:rPr>
          <w:rFonts w:ascii="Aptos" w:hAnsi="Aptos"/>
          <w:color w:val="002060"/>
          <w:szCs w:val="22"/>
        </w:rPr>
        <w:t>market;</w:t>
      </w:r>
      <w:proofErr w:type="gramEnd"/>
    </w:p>
    <w:p w14:paraId="75B5DFA7" w14:textId="77777777" w:rsidR="00762ABA" w:rsidRPr="00762ABA" w:rsidRDefault="00762ABA" w:rsidP="00762ABA">
      <w:pPr>
        <w:pStyle w:val="ACTBulletList1"/>
        <w:numPr>
          <w:ilvl w:val="0"/>
          <w:numId w:val="33"/>
        </w:numPr>
        <w:spacing w:line="276" w:lineRule="auto"/>
        <w:rPr>
          <w:rFonts w:ascii="Aptos" w:hAnsi="Aptos"/>
          <w:color w:val="002060"/>
          <w:szCs w:val="22"/>
        </w:rPr>
      </w:pPr>
      <w:r w:rsidRPr="00762ABA">
        <w:rPr>
          <w:rFonts w:ascii="Aptos" w:hAnsi="Aptos"/>
          <w:color w:val="002060"/>
          <w:szCs w:val="22"/>
        </w:rPr>
        <w:t xml:space="preserve">Information related to the last registration date to exercise rights for existing </w:t>
      </w:r>
      <w:proofErr w:type="gramStart"/>
      <w:r w:rsidRPr="00762ABA">
        <w:rPr>
          <w:rFonts w:ascii="Aptos" w:hAnsi="Aptos"/>
          <w:color w:val="002060"/>
          <w:szCs w:val="22"/>
        </w:rPr>
        <w:t>shareholders;</w:t>
      </w:r>
      <w:proofErr w:type="gramEnd"/>
    </w:p>
    <w:p w14:paraId="5D520CDE" w14:textId="77777777" w:rsidR="00762ABA" w:rsidRPr="00762ABA" w:rsidRDefault="00762ABA" w:rsidP="00762ABA">
      <w:pPr>
        <w:pStyle w:val="ACTBulletList1"/>
        <w:numPr>
          <w:ilvl w:val="0"/>
          <w:numId w:val="33"/>
        </w:numPr>
        <w:spacing w:line="276" w:lineRule="auto"/>
        <w:rPr>
          <w:rFonts w:ascii="Aptos" w:hAnsi="Aptos"/>
          <w:color w:val="002060"/>
          <w:szCs w:val="22"/>
        </w:rPr>
      </w:pPr>
      <w:r w:rsidRPr="00762ABA">
        <w:rPr>
          <w:rFonts w:ascii="Aptos" w:hAnsi="Aptos"/>
          <w:color w:val="002060"/>
          <w:szCs w:val="22"/>
        </w:rPr>
        <w:t xml:space="preserve">Information on audit opinions, review conclusions, and results of retroactive adjustments to financial </w:t>
      </w:r>
      <w:proofErr w:type="gramStart"/>
      <w:r w:rsidRPr="00762ABA">
        <w:rPr>
          <w:rFonts w:ascii="Aptos" w:hAnsi="Aptos"/>
          <w:color w:val="002060"/>
          <w:szCs w:val="22"/>
        </w:rPr>
        <w:t>statements;</w:t>
      </w:r>
      <w:proofErr w:type="gramEnd"/>
    </w:p>
    <w:p w14:paraId="2FC47C96" w14:textId="77777777" w:rsidR="00762ABA" w:rsidRPr="00762ABA" w:rsidRDefault="00762ABA" w:rsidP="00762ABA">
      <w:pPr>
        <w:pStyle w:val="ACTBulletList1"/>
        <w:numPr>
          <w:ilvl w:val="0"/>
          <w:numId w:val="33"/>
        </w:numPr>
        <w:spacing w:line="276" w:lineRule="auto"/>
        <w:rPr>
          <w:rFonts w:ascii="Aptos" w:hAnsi="Aptos"/>
          <w:color w:val="002060"/>
          <w:szCs w:val="22"/>
        </w:rPr>
      </w:pPr>
      <w:r w:rsidRPr="00762ABA">
        <w:rPr>
          <w:rFonts w:ascii="Aptos" w:hAnsi="Aptos"/>
          <w:color w:val="002060"/>
          <w:szCs w:val="22"/>
        </w:rPr>
        <w:t xml:space="preserve">Information on change of auditing </w:t>
      </w:r>
      <w:proofErr w:type="gramStart"/>
      <w:r w:rsidRPr="00762ABA">
        <w:rPr>
          <w:rFonts w:ascii="Aptos" w:hAnsi="Aptos"/>
          <w:color w:val="002060"/>
          <w:szCs w:val="22"/>
        </w:rPr>
        <w:t>term;</w:t>
      </w:r>
      <w:proofErr w:type="gramEnd"/>
    </w:p>
    <w:p w14:paraId="1FEC5B77" w14:textId="77777777" w:rsidR="00762ABA" w:rsidRPr="00762ABA" w:rsidRDefault="00762ABA" w:rsidP="00762ABA">
      <w:pPr>
        <w:pStyle w:val="ACTBulletList1"/>
        <w:numPr>
          <w:ilvl w:val="0"/>
          <w:numId w:val="33"/>
        </w:numPr>
        <w:spacing w:line="276" w:lineRule="auto"/>
        <w:rPr>
          <w:rFonts w:ascii="Aptos" w:hAnsi="Aptos"/>
          <w:color w:val="002060"/>
          <w:szCs w:val="22"/>
        </w:rPr>
      </w:pPr>
      <w:r w:rsidRPr="00762ABA">
        <w:rPr>
          <w:rFonts w:ascii="Aptos" w:hAnsi="Aptos"/>
          <w:color w:val="002060"/>
          <w:szCs w:val="22"/>
        </w:rPr>
        <w:t xml:space="preserve">Information on offering, issuance, listing, trading registration activities and report on capital </w:t>
      </w:r>
      <w:proofErr w:type="gramStart"/>
      <w:r w:rsidRPr="00762ABA">
        <w:rPr>
          <w:rFonts w:ascii="Aptos" w:hAnsi="Aptos"/>
          <w:color w:val="002060"/>
          <w:szCs w:val="22"/>
        </w:rPr>
        <w:t>use;</w:t>
      </w:r>
      <w:proofErr w:type="gramEnd"/>
    </w:p>
    <w:p w14:paraId="497D96F5" w14:textId="77777777" w:rsidR="00762ABA" w:rsidRPr="00762ABA" w:rsidRDefault="00762ABA" w:rsidP="00762ABA">
      <w:pPr>
        <w:pStyle w:val="ACTBulletList1"/>
        <w:numPr>
          <w:ilvl w:val="0"/>
          <w:numId w:val="33"/>
        </w:numPr>
        <w:spacing w:line="276" w:lineRule="auto"/>
        <w:rPr>
          <w:rFonts w:ascii="Aptos" w:hAnsi="Aptos"/>
          <w:color w:val="002060"/>
          <w:szCs w:val="22"/>
        </w:rPr>
      </w:pPr>
      <w:r w:rsidRPr="00762ABA">
        <w:rPr>
          <w:rFonts w:ascii="Aptos" w:hAnsi="Aptos"/>
          <w:color w:val="002060"/>
          <w:szCs w:val="22"/>
        </w:rPr>
        <w:t xml:space="preserve">Information on the maximum foreign ownership ratio of the company and changes related to such ownership </w:t>
      </w:r>
      <w:proofErr w:type="gramStart"/>
      <w:r w:rsidRPr="00762ABA">
        <w:rPr>
          <w:rFonts w:ascii="Aptos" w:hAnsi="Aptos"/>
          <w:color w:val="002060"/>
          <w:szCs w:val="22"/>
        </w:rPr>
        <w:t>ratio;</w:t>
      </w:r>
      <w:proofErr w:type="gramEnd"/>
    </w:p>
    <w:p w14:paraId="72150DB7" w14:textId="77777777" w:rsidR="00762ABA" w:rsidRPr="00762ABA" w:rsidRDefault="00762ABA" w:rsidP="00762ABA">
      <w:pPr>
        <w:pStyle w:val="ACTBulletList1"/>
        <w:numPr>
          <w:ilvl w:val="0"/>
          <w:numId w:val="33"/>
        </w:numPr>
        <w:spacing w:line="276" w:lineRule="auto"/>
        <w:rPr>
          <w:rFonts w:ascii="Aptos" w:hAnsi="Aptos"/>
          <w:color w:val="002060"/>
          <w:szCs w:val="22"/>
        </w:rPr>
      </w:pPr>
      <w:r w:rsidRPr="00762ABA">
        <w:rPr>
          <w:rFonts w:ascii="Aptos" w:hAnsi="Aptos"/>
          <w:color w:val="002060"/>
          <w:szCs w:val="22"/>
        </w:rPr>
        <w:t>Information on buying back the company’s own shares or selling treasury stocks.</w:t>
      </w:r>
    </w:p>
    <w:p w14:paraId="2CBC2815" w14:textId="77777777" w:rsidR="00762ABA" w:rsidRPr="00762ABA" w:rsidRDefault="00762ABA" w:rsidP="00762ABA">
      <w:pPr>
        <w:pStyle w:val="ACTBulletList1"/>
        <w:numPr>
          <w:ilvl w:val="0"/>
          <w:numId w:val="0"/>
        </w:numPr>
        <w:spacing w:line="276" w:lineRule="auto"/>
        <w:rPr>
          <w:rFonts w:ascii="Aptos" w:hAnsi="Aptos"/>
          <w:color w:val="002060"/>
          <w:szCs w:val="22"/>
        </w:rPr>
      </w:pPr>
      <w:r w:rsidRPr="00762ABA">
        <w:rPr>
          <w:rFonts w:ascii="Aptos" w:hAnsi="Aptos"/>
          <w:color w:val="002060"/>
          <w:szCs w:val="22"/>
        </w:rPr>
        <w:t>Companies other than public listed companies are not subject to the above information publication requirements.</w:t>
      </w:r>
    </w:p>
    <w:p w14:paraId="495A782F" w14:textId="77777777" w:rsidR="00762ABA" w:rsidRPr="00762ABA" w:rsidRDefault="00762ABA" w:rsidP="00762ABA">
      <w:pPr>
        <w:numPr>
          <w:ilvl w:val="0"/>
          <w:numId w:val="27"/>
        </w:numPr>
        <w:shd w:val="clear" w:color="auto" w:fill="FFFFFF"/>
        <w:spacing w:after="300"/>
        <w:ind w:left="270" w:firstLine="0"/>
        <w:outlineLvl w:val="1"/>
        <w:rPr>
          <w:rFonts w:ascii="Aptos" w:eastAsia="Times New Roman" w:hAnsi="Aptos" w:cs="Times New Roman"/>
          <w:b/>
          <w:bCs/>
          <w:color w:val="002060"/>
        </w:rPr>
      </w:pPr>
      <w:bookmarkStart w:id="78" w:name="_Toc223006348"/>
      <w:r w:rsidRPr="00762ABA">
        <w:rPr>
          <w:rFonts w:ascii="Aptos" w:eastAsia="Times New Roman" w:hAnsi="Aptos" w:cs="Times New Roman"/>
          <w:b/>
          <w:bCs/>
          <w:color w:val="002060"/>
        </w:rPr>
        <w:t>To what level of detail is due diligence customarily undertaken?</w:t>
      </w:r>
      <w:bookmarkEnd w:id="78"/>
    </w:p>
    <w:p w14:paraId="2EC172A6" w14:textId="77777777" w:rsidR="00762ABA" w:rsidRPr="00762ABA" w:rsidRDefault="00762ABA" w:rsidP="00762ABA">
      <w:pPr>
        <w:pStyle w:val="ACTParagraph"/>
        <w:spacing w:line="276" w:lineRule="auto"/>
        <w:rPr>
          <w:rFonts w:ascii="Aptos" w:hAnsi="Aptos"/>
          <w:color w:val="002060"/>
          <w:szCs w:val="22"/>
        </w:rPr>
      </w:pPr>
      <w:r w:rsidRPr="00762ABA">
        <w:rPr>
          <w:rFonts w:ascii="Aptos" w:hAnsi="Aptos"/>
          <w:color w:val="002060"/>
          <w:szCs w:val="22"/>
        </w:rPr>
        <w:lastRenderedPageBreak/>
        <w:t>Before officially contacting the potential target, the buyer conducts a preliminary assessment based on publicly available information. The buyer then contacts the target, expresses its intention of buying shares/subscribing for its shares and the parties sign a confidentiality agreement before the due diligence process. The confidentiality agreement basically includes confidentiality obligations in performing the transaction. The enforcement of confidentiality agreements by courts in Vietnam remains untested.</w:t>
      </w:r>
    </w:p>
    <w:p w14:paraId="4E582066" w14:textId="77777777" w:rsidR="00762ABA" w:rsidRPr="00762ABA" w:rsidRDefault="00762ABA" w:rsidP="00762ABA">
      <w:pPr>
        <w:pStyle w:val="ACTParagraph"/>
        <w:spacing w:line="276" w:lineRule="auto"/>
        <w:rPr>
          <w:rFonts w:ascii="Aptos" w:hAnsi="Aptos"/>
          <w:color w:val="002060"/>
          <w:szCs w:val="22"/>
        </w:rPr>
      </w:pPr>
      <w:r w:rsidRPr="00762ABA">
        <w:rPr>
          <w:rFonts w:ascii="Aptos" w:hAnsi="Aptos"/>
          <w:color w:val="002060"/>
          <w:szCs w:val="22"/>
        </w:rPr>
        <w:t>A buyer's legal due diligence usually covers the following matters:</w:t>
      </w:r>
    </w:p>
    <w:p w14:paraId="25DFB795" w14:textId="77777777" w:rsidR="00762ABA" w:rsidRPr="00762ABA" w:rsidRDefault="00762ABA" w:rsidP="00762ABA">
      <w:pPr>
        <w:pStyle w:val="ACTBulletList1"/>
        <w:tabs>
          <w:tab w:val="clear" w:pos="720"/>
        </w:tabs>
        <w:spacing w:line="276" w:lineRule="auto"/>
        <w:ind w:left="709" w:hanging="349"/>
        <w:rPr>
          <w:rFonts w:ascii="Aptos" w:hAnsi="Aptos"/>
          <w:color w:val="002060"/>
          <w:szCs w:val="22"/>
        </w:rPr>
      </w:pPr>
      <w:r w:rsidRPr="00762ABA">
        <w:rPr>
          <w:rFonts w:ascii="Aptos" w:hAnsi="Aptos"/>
          <w:color w:val="002060"/>
          <w:szCs w:val="22"/>
        </w:rPr>
        <w:t>Corporate details of the target and its subsidiaries, affiliates and other companies that form part of the target.</w:t>
      </w:r>
    </w:p>
    <w:p w14:paraId="12929065" w14:textId="77777777" w:rsidR="00762ABA" w:rsidRPr="00762ABA" w:rsidRDefault="00762ABA" w:rsidP="00762ABA">
      <w:pPr>
        <w:pStyle w:val="ACTBulletList1"/>
        <w:tabs>
          <w:tab w:val="clear" w:pos="720"/>
          <w:tab w:val="num" w:pos="360"/>
        </w:tabs>
        <w:spacing w:line="276" w:lineRule="auto"/>
        <w:ind w:left="360" w:firstLine="0"/>
        <w:rPr>
          <w:rFonts w:ascii="Aptos" w:hAnsi="Aptos"/>
          <w:color w:val="002060"/>
          <w:szCs w:val="22"/>
        </w:rPr>
      </w:pPr>
      <w:r w:rsidRPr="00762ABA">
        <w:rPr>
          <w:rFonts w:ascii="Aptos" w:hAnsi="Aptos"/>
          <w:color w:val="002060"/>
          <w:szCs w:val="22"/>
        </w:rPr>
        <w:t>Contingent liabilities (from past or pending litigation).</w:t>
      </w:r>
    </w:p>
    <w:p w14:paraId="1BBA2E30" w14:textId="77777777" w:rsidR="00762ABA" w:rsidRPr="00762ABA" w:rsidRDefault="00762ABA" w:rsidP="00762ABA">
      <w:pPr>
        <w:pStyle w:val="ACTBulletList1"/>
        <w:tabs>
          <w:tab w:val="clear" w:pos="720"/>
          <w:tab w:val="num" w:pos="360"/>
        </w:tabs>
        <w:spacing w:line="276" w:lineRule="auto"/>
        <w:ind w:left="360" w:firstLine="0"/>
        <w:rPr>
          <w:rFonts w:ascii="Aptos" w:hAnsi="Aptos"/>
          <w:color w:val="002060"/>
          <w:szCs w:val="22"/>
        </w:rPr>
      </w:pPr>
      <w:r w:rsidRPr="00762ABA">
        <w:rPr>
          <w:rFonts w:ascii="Aptos" w:hAnsi="Aptos"/>
          <w:color w:val="002060"/>
          <w:szCs w:val="22"/>
        </w:rPr>
        <w:t>Employment matters.</w:t>
      </w:r>
    </w:p>
    <w:p w14:paraId="508AA374" w14:textId="77777777" w:rsidR="00762ABA" w:rsidRPr="00762ABA" w:rsidRDefault="00762ABA" w:rsidP="00762ABA">
      <w:pPr>
        <w:pStyle w:val="ACTBulletList1"/>
        <w:tabs>
          <w:tab w:val="clear" w:pos="720"/>
          <w:tab w:val="num" w:pos="360"/>
        </w:tabs>
        <w:spacing w:line="276" w:lineRule="auto"/>
        <w:ind w:left="360" w:firstLine="0"/>
        <w:rPr>
          <w:rFonts w:ascii="Aptos" w:hAnsi="Aptos"/>
          <w:color w:val="002060"/>
          <w:szCs w:val="22"/>
        </w:rPr>
      </w:pPr>
      <w:r w:rsidRPr="00762ABA">
        <w:rPr>
          <w:rFonts w:ascii="Aptos" w:hAnsi="Aptos"/>
          <w:color w:val="002060"/>
          <w:szCs w:val="22"/>
        </w:rPr>
        <w:t>Contractual agreements of the target.</w:t>
      </w:r>
    </w:p>
    <w:p w14:paraId="71AD85EF" w14:textId="77777777" w:rsidR="00762ABA" w:rsidRPr="00762ABA" w:rsidRDefault="00762ABA" w:rsidP="00762ABA">
      <w:pPr>
        <w:pStyle w:val="ACTBulletList1"/>
        <w:tabs>
          <w:tab w:val="clear" w:pos="720"/>
          <w:tab w:val="num" w:pos="360"/>
        </w:tabs>
        <w:spacing w:line="276" w:lineRule="auto"/>
        <w:ind w:left="360" w:firstLine="0"/>
        <w:rPr>
          <w:rFonts w:ascii="Aptos" w:hAnsi="Aptos"/>
          <w:color w:val="002060"/>
          <w:szCs w:val="22"/>
        </w:rPr>
      </w:pPr>
      <w:r w:rsidRPr="00762ABA">
        <w:rPr>
          <w:rFonts w:ascii="Aptos" w:hAnsi="Aptos"/>
          <w:color w:val="002060"/>
          <w:szCs w:val="22"/>
        </w:rPr>
        <w:t>Statutory approvals and permits regarding the business activities of the target.</w:t>
      </w:r>
    </w:p>
    <w:p w14:paraId="28F81823" w14:textId="77777777" w:rsidR="00762ABA" w:rsidRPr="00762ABA" w:rsidRDefault="00762ABA" w:rsidP="00762ABA">
      <w:pPr>
        <w:pStyle w:val="ACTBulletList1"/>
        <w:tabs>
          <w:tab w:val="clear" w:pos="720"/>
          <w:tab w:val="num" w:pos="360"/>
        </w:tabs>
        <w:spacing w:line="276" w:lineRule="auto"/>
        <w:ind w:left="360" w:firstLine="0"/>
        <w:rPr>
          <w:rFonts w:ascii="Aptos" w:hAnsi="Aptos"/>
          <w:color w:val="002060"/>
          <w:szCs w:val="22"/>
        </w:rPr>
      </w:pPr>
      <w:r w:rsidRPr="00762ABA">
        <w:rPr>
          <w:rFonts w:ascii="Aptos" w:hAnsi="Aptos"/>
          <w:color w:val="002060"/>
          <w:szCs w:val="22"/>
        </w:rPr>
        <w:t>Insurance, tax, intellectual property, debts, and land-related issues.</w:t>
      </w:r>
    </w:p>
    <w:p w14:paraId="50C2C95C" w14:textId="77777777" w:rsidR="00762ABA" w:rsidRPr="00762ABA" w:rsidRDefault="00762ABA" w:rsidP="00762ABA">
      <w:pPr>
        <w:pStyle w:val="ACTBulletList1"/>
        <w:tabs>
          <w:tab w:val="clear" w:pos="720"/>
          <w:tab w:val="num" w:pos="360"/>
        </w:tabs>
        <w:spacing w:line="276" w:lineRule="auto"/>
        <w:ind w:left="360" w:firstLine="0"/>
        <w:rPr>
          <w:rFonts w:ascii="Aptos" w:hAnsi="Aptos"/>
          <w:color w:val="002060"/>
          <w:szCs w:val="22"/>
        </w:rPr>
      </w:pPr>
      <w:r w:rsidRPr="00762ABA">
        <w:rPr>
          <w:rFonts w:ascii="Aptos" w:hAnsi="Aptos"/>
          <w:color w:val="002060"/>
          <w:szCs w:val="22"/>
        </w:rPr>
        <w:t>Anti-trust, corruption and other regulatory issues.</w:t>
      </w:r>
    </w:p>
    <w:p w14:paraId="5BB3B5AC" w14:textId="77777777" w:rsidR="00762ABA" w:rsidRPr="00762ABA" w:rsidRDefault="00762ABA" w:rsidP="00762ABA">
      <w:pPr>
        <w:numPr>
          <w:ilvl w:val="0"/>
          <w:numId w:val="27"/>
        </w:numPr>
        <w:shd w:val="clear" w:color="auto" w:fill="FFFFFF"/>
        <w:spacing w:after="300"/>
        <w:ind w:left="270" w:firstLine="0"/>
        <w:outlineLvl w:val="1"/>
        <w:rPr>
          <w:rFonts w:ascii="Aptos" w:eastAsia="Times New Roman" w:hAnsi="Aptos" w:cs="Times New Roman"/>
          <w:b/>
          <w:bCs/>
          <w:color w:val="002060"/>
        </w:rPr>
      </w:pPr>
      <w:bookmarkStart w:id="79" w:name="_Toc223006349"/>
      <w:r w:rsidRPr="00762ABA">
        <w:rPr>
          <w:rFonts w:ascii="Aptos" w:eastAsia="Times New Roman" w:hAnsi="Aptos" w:cs="Times New Roman"/>
          <w:b/>
          <w:bCs/>
          <w:color w:val="002060"/>
        </w:rPr>
        <w:t>What are the key decision-making organs of a target company and what approval rights do shareholders have?</w:t>
      </w:r>
      <w:bookmarkEnd w:id="79"/>
    </w:p>
    <w:p w14:paraId="184D6CDD" w14:textId="77777777" w:rsidR="00762ABA" w:rsidRPr="00762ABA" w:rsidRDefault="00762ABA" w:rsidP="00762ABA">
      <w:pPr>
        <w:pStyle w:val="ACTParagraph"/>
        <w:spacing w:line="276" w:lineRule="auto"/>
        <w:rPr>
          <w:rFonts w:ascii="Aptos" w:hAnsi="Aptos"/>
          <w:color w:val="002060"/>
          <w:szCs w:val="22"/>
        </w:rPr>
      </w:pPr>
      <w:r w:rsidRPr="00762ABA">
        <w:rPr>
          <w:rFonts w:ascii="Aptos" w:hAnsi="Aptos"/>
          <w:color w:val="002060"/>
          <w:szCs w:val="22"/>
        </w:rPr>
        <w:t>It is necessary to obtain the approval of the general meeting of shareholders when there is a share transfer of a founding shareholder of a joint stock company within three years from the issuance of the Enterprise Registration Certificate. The approval normally includes the:</w:t>
      </w:r>
    </w:p>
    <w:p w14:paraId="6D562AE8" w14:textId="77777777" w:rsidR="00762ABA" w:rsidRPr="00762ABA" w:rsidRDefault="00762ABA" w:rsidP="00762ABA">
      <w:pPr>
        <w:pStyle w:val="ACTBulletList1"/>
        <w:tabs>
          <w:tab w:val="clear" w:pos="720"/>
          <w:tab w:val="num" w:pos="360"/>
        </w:tabs>
        <w:spacing w:line="276" w:lineRule="auto"/>
        <w:ind w:left="360" w:firstLine="0"/>
        <w:rPr>
          <w:rFonts w:ascii="Aptos" w:hAnsi="Aptos"/>
          <w:color w:val="002060"/>
          <w:szCs w:val="22"/>
        </w:rPr>
      </w:pPr>
      <w:r w:rsidRPr="00762ABA">
        <w:rPr>
          <w:rFonts w:ascii="Aptos" w:hAnsi="Aptos"/>
          <w:color w:val="002060"/>
          <w:szCs w:val="22"/>
        </w:rPr>
        <w:t>Number of shares offered.</w:t>
      </w:r>
    </w:p>
    <w:p w14:paraId="1DB8F135" w14:textId="77777777" w:rsidR="00762ABA" w:rsidRPr="00762ABA" w:rsidRDefault="00762ABA" w:rsidP="00762ABA">
      <w:pPr>
        <w:pStyle w:val="ACTBulletList1"/>
        <w:tabs>
          <w:tab w:val="clear" w:pos="720"/>
          <w:tab w:val="num" w:pos="360"/>
        </w:tabs>
        <w:spacing w:line="276" w:lineRule="auto"/>
        <w:ind w:left="360" w:firstLine="0"/>
        <w:rPr>
          <w:rFonts w:ascii="Aptos" w:hAnsi="Aptos"/>
          <w:color w:val="002060"/>
          <w:szCs w:val="22"/>
        </w:rPr>
      </w:pPr>
      <w:r w:rsidRPr="00762ABA">
        <w:rPr>
          <w:rFonts w:ascii="Aptos" w:hAnsi="Aptos"/>
          <w:color w:val="002060"/>
          <w:szCs w:val="22"/>
        </w:rPr>
        <w:t>Price of the offer.</w:t>
      </w:r>
    </w:p>
    <w:p w14:paraId="5B0A3985" w14:textId="77777777" w:rsidR="00762ABA" w:rsidRPr="00762ABA" w:rsidRDefault="00762ABA" w:rsidP="00762ABA">
      <w:pPr>
        <w:pStyle w:val="ACTBulletList1"/>
        <w:tabs>
          <w:tab w:val="clear" w:pos="720"/>
          <w:tab w:val="num" w:pos="360"/>
        </w:tabs>
        <w:spacing w:line="276" w:lineRule="auto"/>
        <w:ind w:left="360" w:firstLine="0"/>
        <w:rPr>
          <w:rFonts w:ascii="Aptos" w:hAnsi="Aptos"/>
          <w:color w:val="002060"/>
          <w:szCs w:val="22"/>
        </w:rPr>
      </w:pPr>
      <w:r w:rsidRPr="00762ABA">
        <w:rPr>
          <w:rFonts w:ascii="Aptos" w:hAnsi="Aptos"/>
          <w:color w:val="002060"/>
          <w:szCs w:val="22"/>
        </w:rPr>
        <w:t>Conditions of the offer.</w:t>
      </w:r>
    </w:p>
    <w:p w14:paraId="324D9728" w14:textId="77777777" w:rsidR="00762ABA" w:rsidRPr="00762ABA" w:rsidRDefault="00762ABA" w:rsidP="00762ABA">
      <w:pPr>
        <w:pStyle w:val="ACTParagraph"/>
        <w:spacing w:line="276" w:lineRule="auto"/>
        <w:rPr>
          <w:rFonts w:ascii="Aptos" w:hAnsi="Aptos"/>
          <w:color w:val="002060"/>
          <w:szCs w:val="22"/>
        </w:rPr>
      </w:pPr>
      <w:r w:rsidRPr="00762ABA">
        <w:rPr>
          <w:rFonts w:ascii="Aptos" w:hAnsi="Aptos"/>
          <w:color w:val="002060"/>
          <w:szCs w:val="22"/>
        </w:rPr>
        <w:t>There is no statutory requirement that prohibits a target board from soliciting or recommending other offers before completion of a transaction. However, in practice, the parties can agree on such restrictions.</w:t>
      </w:r>
    </w:p>
    <w:p w14:paraId="65ACAC53" w14:textId="77777777" w:rsidR="00762ABA" w:rsidRPr="00762ABA" w:rsidRDefault="00762ABA" w:rsidP="00762ABA">
      <w:pPr>
        <w:numPr>
          <w:ilvl w:val="0"/>
          <w:numId w:val="27"/>
        </w:numPr>
        <w:shd w:val="clear" w:color="auto" w:fill="FFFFFF"/>
        <w:spacing w:after="300"/>
        <w:ind w:left="270" w:firstLine="0"/>
        <w:outlineLvl w:val="1"/>
        <w:rPr>
          <w:rFonts w:ascii="Aptos" w:eastAsia="Times New Roman" w:hAnsi="Aptos" w:cs="Times New Roman"/>
          <w:b/>
          <w:bCs/>
          <w:color w:val="002060"/>
        </w:rPr>
      </w:pPr>
      <w:bookmarkStart w:id="80" w:name="_Toc223006350"/>
      <w:r w:rsidRPr="00762ABA">
        <w:rPr>
          <w:rFonts w:ascii="Aptos" w:eastAsia="Times New Roman" w:hAnsi="Aptos" w:cs="Times New Roman"/>
          <w:b/>
          <w:bCs/>
          <w:color w:val="002060"/>
        </w:rPr>
        <w:t>What are the duties of the directors and controlling shareholders of a target company?</w:t>
      </w:r>
      <w:bookmarkEnd w:id="80"/>
    </w:p>
    <w:p w14:paraId="2C5BE157" w14:textId="77777777" w:rsidR="00762ABA" w:rsidRPr="00762ABA" w:rsidRDefault="00762ABA" w:rsidP="00762ABA">
      <w:pPr>
        <w:shd w:val="clear" w:color="auto" w:fill="FFFFFF"/>
        <w:spacing w:before="120" w:after="120"/>
        <w:rPr>
          <w:rFonts w:ascii="Aptos" w:eastAsia="Times New Roman" w:hAnsi="Aptos" w:cs="Times New Roman"/>
          <w:color w:val="002060"/>
        </w:rPr>
      </w:pPr>
      <w:r w:rsidRPr="00762ABA">
        <w:rPr>
          <w:rFonts w:ascii="Aptos" w:eastAsia="Times New Roman" w:hAnsi="Aptos" w:cs="Times New Roman"/>
          <w:color w:val="002060"/>
        </w:rPr>
        <w:t>Shareholders of a public company must (</w:t>
      </w:r>
      <w:proofErr w:type="spellStart"/>
      <w:r w:rsidRPr="00762ABA">
        <w:rPr>
          <w:rFonts w:ascii="Aptos" w:eastAsia="Times New Roman" w:hAnsi="Aptos" w:cs="Times New Roman"/>
          <w:color w:val="002060"/>
        </w:rPr>
        <w:t>i</w:t>
      </w:r>
      <w:proofErr w:type="spellEnd"/>
      <w:r w:rsidRPr="00762ABA">
        <w:rPr>
          <w:rFonts w:ascii="Aptos" w:eastAsia="Times New Roman" w:hAnsi="Aptos" w:cs="Times New Roman"/>
          <w:color w:val="002060"/>
        </w:rPr>
        <w:t>) not take advantage of the major shareholder’s status to influence rights and interests of the company and other shareholders as prescribed by law and the company’s charter; (ii) disclose information as prescribed by law; and (iii) other obligations prescribed by law and the company’s charter.</w:t>
      </w:r>
    </w:p>
    <w:p w14:paraId="5BE0A3BD" w14:textId="77777777" w:rsidR="00762ABA" w:rsidRPr="00762ABA" w:rsidRDefault="00762ABA" w:rsidP="00762ABA">
      <w:pPr>
        <w:numPr>
          <w:ilvl w:val="0"/>
          <w:numId w:val="27"/>
        </w:numPr>
        <w:shd w:val="clear" w:color="auto" w:fill="FFFFFF"/>
        <w:spacing w:after="300"/>
        <w:ind w:left="270" w:firstLine="0"/>
        <w:outlineLvl w:val="1"/>
        <w:rPr>
          <w:rFonts w:ascii="Aptos" w:eastAsia="Times New Roman" w:hAnsi="Aptos" w:cs="Times New Roman"/>
          <w:b/>
          <w:bCs/>
          <w:color w:val="002060"/>
        </w:rPr>
      </w:pPr>
      <w:bookmarkStart w:id="81" w:name="_Toc223006351"/>
      <w:r w:rsidRPr="00762ABA">
        <w:rPr>
          <w:rFonts w:ascii="Aptos" w:eastAsia="Times New Roman" w:hAnsi="Aptos" w:cs="Times New Roman"/>
          <w:b/>
          <w:bCs/>
          <w:color w:val="002060"/>
        </w:rPr>
        <w:t>Do employees/other stakeholders have any specific approval, consultation or other rights?</w:t>
      </w:r>
      <w:bookmarkEnd w:id="81"/>
    </w:p>
    <w:p w14:paraId="53F68165" w14:textId="77777777" w:rsidR="00762ABA" w:rsidRPr="00762ABA" w:rsidRDefault="00762ABA" w:rsidP="00762ABA">
      <w:pPr>
        <w:pStyle w:val="ACTParagraph"/>
        <w:spacing w:line="276" w:lineRule="auto"/>
        <w:rPr>
          <w:rFonts w:ascii="Aptos" w:hAnsi="Aptos"/>
          <w:color w:val="002060"/>
          <w:szCs w:val="22"/>
        </w:rPr>
      </w:pPr>
      <w:r w:rsidRPr="00762ABA">
        <w:rPr>
          <w:rFonts w:ascii="Aptos" w:hAnsi="Aptos"/>
          <w:color w:val="002060"/>
          <w:szCs w:val="22"/>
        </w:rPr>
        <w:t>There is no requirement under Vietnamese law that the employees must be consulted about the offer. However, if a layoff is to be conducted, the employer must:</w:t>
      </w:r>
    </w:p>
    <w:p w14:paraId="32CEE392" w14:textId="77777777" w:rsidR="00762ABA" w:rsidRPr="00762ABA" w:rsidRDefault="00762ABA" w:rsidP="00762ABA">
      <w:pPr>
        <w:pStyle w:val="ACTBulletList1"/>
        <w:tabs>
          <w:tab w:val="clear" w:pos="720"/>
          <w:tab w:val="num" w:pos="360"/>
        </w:tabs>
        <w:spacing w:line="276" w:lineRule="auto"/>
        <w:ind w:left="360" w:firstLine="0"/>
        <w:rPr>
          <w:rFonts w:ascii="Aptos" w:hAnsi="Aptos"/>
          <w:color w:val="002060"/>
          <w:szCs w:val="22"/>
        </w:rPr>
      </w:pPr>
      <w:r w:rsidRPr="00762ABA">
        <w:rPr>
          <w:rFonts w:ascii="Aptos" w:hAnsi="Aptos"/>
          <w:color w:val="002060"/>
          <w:szCs w:val="22"/>
        </w:rPr>
        <w:t xml:space="preserve">Prepare a labour usage plan. </w:t>
      </w:r>
    </w:p>
    <w:p w14:paraId="45FD36C0" w14:textId="77777777" w:rsidR="00762ABA" w:rsidRPr="00762ABA" w:rsidRDefault="00762ABA" w:rsidP="00762ABA">
      <w:pPr>
        <w:pStyle w:val="ACTBulletList1"/>
        <w:tabs>
          <w:tab w:val="clear" w:pos="720"/>
          <w:tab w:val="num" w:pos="360"/>
        </w:tabs>
        <w:spacing w:line="276" w:lineRule="auto"/>
        <w:ind w:left="360" w:firstLine="0"/>
        <w:rPr>
          <w:rFonts w:ascii="Aptos" w:hAnsi="Aptos"/>
          <w:color w:val="002060"/>
          <w:szCs w:val="22"/>
        </w:rPr>
      </w:pPr>
      <w:r w:rsidRPr="00762ABA">
        <w:rPr>
          <w:rFonts w:ascii="Aptos" w:hAnsi="Aptos"/>
          <w:color w:val="002060"/>
          <w:szCs w:val="22"/>
        </w:rPr>
        <w:lastRenderedPageBreak/>
        <w:t>Consult with the employee representative.</w:t>
      </w:r>
    </w:p>
    <w:p w14:paraId="1E2A2E02" w14:textId="77777777" w:rsidR="00762ABA" w:rsidRPr="00762ABA" w:rsidRDefault="00762ABA" w:rsidP="00762ABA">
      <w:pPr>
        <w:pStyle w:val="ACTBulletList1"/>
        <w:tabs>
          <w:tab w:val="clear" w:pos="720"/>
          <w:tab w:val="num" w:pos="360"/>
        </w:tabs>
        <w:spacing w:line="276" w:lineRule="auto"/>
        <w:ind w:left="360" w:firstLine="0"/>
        <w:rPr>
          <w:rFonts w:ascii="Aptos" w:hAnsi="Aptos"/>
          <w:color w:val="002060"/>
          <w:szCs w:val="22"/>
        </w:rPr>
      </w:pPr>
      <w:r w:rsidRPr="00762ABA">
        <w:rPr>
          <w:rFonts w:ascii="Aptos" w:hAnsi="Aptos"/>
          <w:color w:val="002060"/>
          <w:szCs w:val="22"/>
        </w:rPr>
        <w:t>Notify the competent labour authority on the implementation of the labour usage plan.</w:t>
      </w:r>
    </w:p>
    <w:p w14:paraId="5333B66D" w14:textId="77777777" w:rsidR="00762ABA" w:rsidRPr="00762ABA" w:rsidRDefault="00762ABA" w:rsidP="00762ABA">
      <w:pPr>
        <w:numPr>
          <w:ilvl w:val="0"/>
          <w:numId w:val="27"/>
        </w:numPr>
        <w:shd w:val="clear" w:color="auto" w:fill="FFFFFF"/>
        <w:spacing w:after="300"/>
        <w:ind w:left="270" w:firstLine="0"/>
        <w:outlineLvl w:val="1"/>
        <w:rPr>
          <w:rFonts w:ascii="Aptos" w:eastAsia="Times New Roman" w:hAnsi="Aptos" w:cs="Times New Roman"/>
          <w:b/>
          <w:bCs/>
          <w:color w:val="002060"/>
        </w:rPr>
      </w:pPr>
      <w:bookmarkStart w:id="82" w:name="_Toc223006352"/>
      <w:r w:rsidRPr="00762ABA">
        <w:rPr>
          <w:rFonts w:ascii="Aptos" w:eastAsia="Times New Roman" w:hAnsi="Aptos" w:cs="Times New Roman"/>
          <w:b/>
          <w:bCs/>
          <w:color w:val="002060"/>
        </w:rPr>
        <w:t>To what degree is conditionality an accepted market feature on acquisitions?</w:t>
      </w:r>
      <w:bookmarkEnd w:id="82"/>
    </w:p>
    <w:p w14:paraId="01EA5A2E" w14:textId="77777777" w:rsidR="00762ABA" w:rsidRPr="00762ABA" w:rsidRDefault="00762ABA" w:rsidP="00762ABA">
      <w:pPr>
        <w:pStyle w:val="ACTParagraph"/>
        <w:spacing w:line="276" w:lineRule="auto"/>
        <w:rPr>
          <w:rFonts w:ascii="Aptos" w:hAnsi="Aptos"/>
          <w:color w:val="002060"/>
          <w:szCs w:val="22"/>
        </w:rPr>
      </w:pPr>
      <w:r w:rsidRPr="00762ABA">
        <w:rPr>
          <w:rFonts w:ascii="Aptos" w:hAnsi="Aptos"/>
          <w:color w:val="002060"/>
          <w:szCs w:val="22"/>
        </w:rPr>
        <w:t>A takeover offer usually contains the following conditions:</w:t>
      </w:r>
    </w:p>
    <w:p w14:paraId="16923D60" w14:textId="77777777" w:rsidR="00762ABA" w:rsidRPr="00762ABA" w:rsidRDefault="00762ABA" w:rsidP="00762ABA">
      <w:pPr>
        <w:pStyle w:val="ACTBulletList1"/>
        <w:tabs>
          <w:tab w:val="clear" w:pos="720"/>
          <w:tab w:val="num" w:pos="360"/>
        </w:tabs>
        <w:spacing w:line="276" w:lineRule="auto"/>
        <w:ind w:left="360" w:firstLine="0"/>
        <w:rPr>
          <w:rFonts w:ascii="Aptos" w:hAnsi="Aptos"/>
          <w:color w:val="002060"/>
          <w:szCs w:val="22"/>
        </w:rPr>
      </w:pPr>
      <w:r w:rsidRPr="00762ABA">
        <w:rPr>
          <w:rFonts w:ascii="Aptos" w:hAnsi="Aptos"/>
          <w:color w:val="002060"/>
          <w:szCs w:val="22"/>
        </w:rPr>
        <w:t>The terms and conditions of the offer apply equally to all shareholders of the target.</w:t>
      </w:r>
    </w:p>
    <w:p w14:paraId="03495B3B" w14:textId="77777777" w:rsidR="00762ABA" w:rsidRPr="00762ABA" w:rsidRDefault="00762ABA" w:rsidP="00762ABA">
      <w:pPr>
        <w:pStyle w:val="ACTBulletList1"/>
        <w:tabs>
          <w:tab w:val="clear" w:pos="720"/>
          <w:tab w:val="num" w:pos="360"/>
        </w:tabs>
        <w:spacing w:line="276" w:lineRule="auto"/>
        <w:ind w:left="360" w:firstLine="0"/>
        <w:rPr>
          <w:rFonts w:ascii="Aptos" w:hAnsi="Aptos"/>
          <w:color w:val="002060"/>
          <w:szCs w:val="22"/>
        </w:rPr>
      </w:pPr>
      <w:r w:rsidRPr="00762ABA">
        <w:rPr>
          <w:rFonts w:ascii="Aptos" w:hAnsi="Aptos"/>
          <w:color w:val="002060"/>
          <w:szCs w:val="22"/>
        </w:rPr>
        <w:t>The relevant parties are allowed full access to the purchase information.</w:t>
      </w:r>
    </w:p>
    <w:p w14:paraId="303D9843" w14:textId="77777777" w:rsidR="00762ABA" w:rsidRPr="00762ABA" w:rsidRDefault="00762ABA" w:rsidP="00762ABA">
      <w:pPr>
        <w:pStyle w:val="ACTBulletList1"/>
        <w:tabs>
          <w:tab w:val="clear" w:pos="720"/>
          <w:tab w:val="num" w:pos="360"/>
        </w:tabs>
        <w:spacing w:line="276" w:lineRule="auto"/>
        <w:ind w:left="360" w:firstLine="0"/>
        <w:rPr>
          <w:rFonts w:ascii="Aptos" w:hAnsi="Aptos"/>
          <w:color w:val="002060"/>
          <w:szCs w:val="22"/>
        </w:rPr>
      </w:pPr>
      <w:r w:rsidRPr="00762ABA">
        <w:rPr>
          <w:rFonts w:ascii="Aptos" w:hAnsi="Aptos"/>
          <w:color w:val="002060"/>
          <w:szCs w:val="22"/>
        </w:rPr>
        <w:t>The shareholders have full rights to sell the shares.</w:t>
      </w:r>
    </w:p>
    <w:p w14:paraId="4607142A" w14:textId="77777777" w:rsidR="00762ABA" w:rsidRPr="00762ABA" w:rsidRDefault="00762ABA" w:rsidP="00762ABA">
      <w:pPr>
        <w:pStyle w:val="ACTBulletList1"/>
        <w:tabs>
          <w:tab w:val="clear" w:pos="720"/>
          <w:tab w:val="num" w:pos="360"/>
        </w:tabs>
        <w:spacing w:line="276" w:lineRule="auto"/>
        <w:ind w:left="360" w:firstLine="0"/>
        <w:rPr>
          <w:rFonts w:ascii="Aptos" w:hAnsi="Aptos"/>
          <w:color w:val="002060"/>
          <w:szCs w:val="22"/>
        </w:rPr>
      </w:pPr>
      <w:r w:rsidRPr="00762ABA">
        <w:rPr>
          <w:rFonts w:ascii="Aptos" w:hAnsi="Aptos"/>
          <w:color w:val="002060"/>
          <w:szCs w:val="22"/>
        </w:rPr>
        <w:t>Applicable laws are fully respected.</w:t>
      </w:r>
    </w:p>
    <w:p w14:paraId="189D673A" w14:textId="77777777" w:rsidR="00762ABA" w:rsidRPr="00762ABA" w:rsidRDefault="00762ABA" w:rsidP="00762ABA">
      <w:pPr>
        <w:pStyle w:val="ACTParagraph"/>
        <w:spacing w:line="276" w:lineRule="auto"/>
        <w:rPr>
          <w:rFonts w:ascii="Aptos" w:hAnsi="Aptos"/>
          <w:color w:val="002060"/>
          <w:szCs w:val="22"/>
        </w:rPr>
      </w:pPr>
      <w:r w:rsidRPr="00762ABA">
        <w:rPr>
          <w:rFonts w:ascii="Aptos" w:hAnsi="Aptos"/>
          <w:color w:val="002060"/>
          <w:szCs w:val="22"/>
        </w:rPr>
        <w:t xml:space="preserve">An offer can also be subject to conditions precedent. Conditions precedent </w:t>
      </w:r>
      <w:proofErr w:type="gramStart"/>
      <w:r w:rsidRPr="00762ABA">
        <w:rPr>
          <w:rFonts w:ascii="Aptos" w:hAnsi="Aptos"/>
          <w:color w:val="002060"/>
          <w:szCs w:val="22"/>
        </w:rPr>
        <w:t>are</w:t>
      </w:r>
      <w:proofErr w:type="gramEnd"/>
      <w:r w:rsidRPr="00762ABA">
        <w:rPr>
          <w:rFonts w:ascii="Aptos" w:hAnsi="Aptos"/>
          <w:color w:val="002060"/>
          <w:szCs w:val="22"/>
        </w:rPr>
        <w:t xml:space="preserve"> set out in the share sale and purchase agreement or the capital contribution transfer agreement. There is no specific restriction on conditions precedent other than the requirement that they cannot be contrary to law and conflict with social ethics (although the legal definition of social ethics is unclear). The most common conditions precedent </w:t>
      </w:r>
      <w:proofErr w:type="gramStart"/>
      <w:r w:rsidRPr="00762ABA">
        <w:rPr>
          <w:rFonts w:ascii="Aptos" w:hAnsi="Aptos"/>
          <w:color w:val="002060"/>
          <w:szCs w:val="22"/>
        </w:rPr>
        <w:t>are</w:t>
      </w:r>
      <w:proofErr w:type="gramEnd"/>
      <w:r w:rsidRPr="00762ABA">
        <w:rPr>
          <w:rFonts w:ascii="Aptos" w:hAnsi="Aptos"/>
          <w:color w:val="002060"/>
          <w:szCs w:val="22"/>
        </w:rPr>
        <w:t>:</w:t>
      </w:r>
    </w:p>
    <w:p w14:paraId="698DD8FC" w14:textId="77777777" w:rsidR="00762ABA" w:rsidRPr="00762ABA" w:rsidRDefault="00762ABA" w:rsidP="00762ABA">
      <w:pPr>
        <w:pStyle w:val="ACTBulletList1"/>
        <w:tabs>
          <w:tab w:val="clear" w:pos="720"/>
          <w:tab w:val="num" w:pos="360"/>
        </w:tabs>
        <w:spacing w:line="276" w:lineRule="auto"/>
        <w:ind w:left="360" w:firstLine="0"/>
        <w:rPr>
          <w:rFonts w:ascii="Aptos" w:hAnsi="Aptos"/>
          <w:color w:val="002060"/>
          <w:szCs w:val="22"/>
        </w:rPr>
      </w:pPr>
      <w:r w:rsidRPr="00762ABA">
        <w:rPr>
          <w:rFonts w:ascii="Aptos" w:hAnsi="Aptos"/>
          <w:color w:val="002060"/>
          <w:szCs w:val="22"/>
        </w:rPr>
        <w:t xml:space="preserve">Amendments to the charter/relevant licence of the target. </w:t>
      </w:r>
    </w:p>
    <w:p w14:paraId="01CA2F3E" w14:textId="77777777" w:rsidR="00762ABA" w:rsidRPr="00762ABA" w:rsidRDefault="00762ABA" w:rsidP="00762ABA">
      <w:pPr>
        <w:pStyle w:val="ACTBulletList1"/>
        <w:tabs>
          <w:tab w:val="clear" w:pos="720"/>
          <w:tab w:val="num" w:pos="360"/>
        </w:tabs>
        <w:spacing w:line="276" w:lineRule="auto"/>
        <w:ind w:left="360" w:firstLine="0"/>
        <w:rPr>
          <w:rFonts w:ascii="Aptos" w:hAnsi="Aptos"/>
          <w:color w:val="002060"/>
          <w:szCs w:val="22"/>
        </w:rPr>
      </w:pPr>
      <w:r w:rsidRPr="00762ABA">
        <w:rPr>
          <w:rFonts w:ascii="Aptos" w:hAnsi="Aptos"/>
          <w:color w:val="002060"/>
          <w:szCs w:val="22"/>
        </w:rPr>
        <w:t>Obtaining necessary approvals to conduct the transaction.</w:t>
      </w:r>
    </w:p>
    <w:p w14:paraId="4482FC05" w14:textId="77777777" w:rsidR="00762ABA" w:rsidRPr="00762ABA" w:rsidRDefault="00762ABA" w:rsidP="00762ABA">
      <w:pPr>
        <w:pStyle w:val="ACTBulletList1"/>
        <w:tabs>
          <w:tab w:val="clear" w:pos="720"/>
          <w:tab w:val="num" w:pos="360"/>
        </w:tabs>
        <w:spacing w:line="276" w:lineRule="auto"/>
        <w:ind w:left="360" w:firstLine="0"/>
        <w:rPr>
          <w:rFonts w:ascii="Aptos" w:hAnsi="Aptos"/>
          <w:color w:val="002060"/>
          <w:szCs w:val="22"/>
        </w:rPr>
      </w:pPr>
      <w:r w:rsidRPr="00762ABA">
        <w:rPr>
          <w:rFonts w:ascii="Aptos" w:hAnsi="Aptos"/>
          <w:color w:val="002060"/>
          <w:szCs w:val="22"/>
        </w:rPr>
        <w:t xml:space="preserve">Changes to the target's management body. </w:t>
      </w:r>
    </w:p>
    <w:p w14:paraId="700B22E2" w14:textId="77777777" w:rsidR="00762ABA" w:rsidRPr="00762ABA" w:rsidRDefault="00762ABA" w:rsidP="00762ABA">
      <w:pPr>
        <w:pStyle w:val="ACTParagraph"/>
        <w:spacing w:line="276" w:lineRule="auto"/>
        <w:rPr>
          <w:rFonts w:ascii="Aptos" w:hAnsi="Aptos"/>
          <w:color w:val="002060"/>
          <w:szCs w:val="22"/>
        </w:rPr>
      </w:pPr>
      <w:r w:rsidRPr="00762ABA">
        <w:rPr>
          <w:rFonts w:ascii="Aptos" w:hAnsi="Aptos"/>
          <w:color w:val="002060"/>
          <w:szCs w:val="22"/>
        </w:rPr>
        <w:t xml:space="preserve">Payment of the contract price will only be made after the </w:t>
      </w:r>
      <w:proofErr w:type="gramStart"/>
      <w:r w:rsidRPr="00762ABA">
        <w:rPr>
          <w:rFonts w:ascii="Aptos" w:hAnsi="Aptos"/>
          <w:color w:val="002060"/>
          <w:szCs w:val="22"/>
        </w:rPr>
        <w:t>conditions</w:t>
      </w:r>
      <w:proofErr w:type="gramEnd"/>
      <w:r w:rsidRPr="00762ABA">
        <w:rPr>
          <w:rFonts w:ascii="Aptos" w:hAnsi="Aptos"/>
          <w:color w:val="002060"/>
          <w:szCs w:val="22"/>
        </w:rPr>
        <w:t xml:space="preserve"> precedent are met.</w:t>
      </w:r>
    </w:p>
    <w:p w14:paraId="76462B7D" w14:textId="77777777" w:rsidR="00762ABA" w:rsidRPr="00762ABA" w:rsidRDefault="00762ABA" w:rsidP="00762ABA">
      <w:pPr>
        <w:numPr>
          <w:ilvl w:val="0"/>
          <w:numId w:val="27"/>
        </w:numPr>
        <w:shd w:val="clear" w:color="auto" w:fill="FFFFFF"/>
        <w:spacing w:after="300"/>
        <w:ind w:left="270" w:firstLine="0"/>
        <w:outlineLvl w:val="1"/>
        <w:rPr>
          <w:rFonts w:ascii="Aptos" w:eastAsia="Times New Roman" w:hAnsi="Aptos" w:cs="Times New Roman"/>
          <w:b/>
          <w:bCs/>
          <w:color w:val="002060"/>
        </w:rPr>
      </w:pPr>
      <w:bookmarkStart w:id="83" w:name="_Toc223006353"/>
      <w:r w:rsidRPr="00762ABA">
        <w:rPr>
          <w:rFonts w:ascii="Aptos" w:eastAsia="Times New Roman" w:hAnsi="Aptos" w:cs="Times New Roman"/>
          <w:b/>
          <w:bCs/>
          <w:color w:val="002060"/>
        </w:rPr>
        <w:t>What steps can an acquirer of a target company take to secure deal exclusivity?</w:t>
      </w:r>
      <w:bookmarkEnd w:id="83"/>
    </w:p>
    <w:p w14:paraId="7CFF501E" w14:textId="77777777" w:rsidR="00762ABA" w:rsidRPr="00762ABA" w:rsidRDefault="00762ABA" w:rsidP="00762ABA">
      <w:pPr>
        <w:shd w:val="clear" w:color="auto" w:fill="FFFFFF"/>
        <w:rPr>
          <w:rFonts w:ascii="Aptos" w:eastAsia="Times New Roman" w:hAnsi="Aptos" w:cs="Times New Roman"/>
          <w:color w:val="002060"/>
        </w:rPr>
      </w:pPr>
      <w:r w:rsidRPr="00762ABA">
        <w:rPr>
          <w:rFonts w:ascii="Aptos" w:eastAsia="Times New Roman" w:hAnsi="Aptos" w:cs="Times New Roman"/>
          <w:color w:val="002060"/>
        </w:rPr>
        <w:t>The acquirer can enter into an exclusivity agreement, terms sheet or letter of intent or MOU that includes a legally binding exclusivity clause. The acquirer can also make use of deal protection mechanisms such as:</w:t>
      </w:r>
    </w:p>
    <w:p w14:paraId="69B19CE3" w14:textId="77777777" w:rsidR="00762ABA" w:rsidRPr="00762ABA" w:rsidRDefault="00762ABA" w:rsidP="00762ABA">
      <w:pPr>
        <w:pStyle w:val="ListParagraph"/>
        <w:numPr>
          <w:ilvl w:val="0"/>
          <w:numId w:val="31"/>
        </w:numPr>
        <w:shd w:val="clear" w:color="auto" w:fill="FFFFFF"/>
        <w:spacing w:after="160"/>
        <w:ind w:left="709" w:hanging="425"/>
        <w:rPr>
          <w:rFonts w:ascii="Aptos" w:eastAsia="Times New Roman" w:hAnsi="Aptos" w:cs="Times New Roman"/>
          <w:color w:val="002060"/>
        </w:rPr>
      </w:pPr>
      <w:r w:rsidRPr="00762ABA">
        <w:rPr>
          <w:rFonts w:ascii="Aptos" w:eastAsia="Times New Roman" w:hAnsi="Aptos" w:cs="Times New Roman"/>
          <w:color w:val="002060"/>
        </w:rPr>
        <w:t>No Shop Provision: included in an agreement between the seller and the buyer that prevents the latter from seeking purchase proposals from third parties in a time frame after the signing of the Letter of Intent</w:t>
      </w:r>
    </w:p>
    <w:p w14:paraId="5DDC9265" w14:textId="77777777" w:rsidR="00762ABA" w:rsidRPr="00762ABA" w:rsidRDefault="00762ABA" w:rsidP="00762ABA">
      <w:pPr>
        <w:pStyle w:val="ListParagraph"/>
        <w:numPr>
          <w:ilvl w:val="0"/>
          <w:numId w:val="30"/>
        </w:numPr>
        <w:shd w:val="clear" w:color="auto" w:fill="FFFFFF"/>
        <w:spacing w:after="160"/>
        <w:ind w:left="709" w:hanging="425"/>
        <w:rPr>
          <w:rFonts w:ascii="Aptos" w:eastAsia="Times New Roman" w:hAnsi="Aptos" w:cs="Times New Roman"/>
          <w:color w:val="002060"/>
        </w:rPr>
      </w:pPr>
      <w:r w:rsidRPr="00762ABA">
        <w:rPr>
          <w:rFonts w:ascii="Aptos" w:eastAsia="Times New Roman" w:hAnsi="Aptos" w:cs="Times New Roman"/>
          <w:color w:val="002060"/>
        </w:rPr>
        <w:t>Termination or Breakup Fees: if the seller accepts a bid from a third party, then they will have to pay the original buyer a fee equivalent to the breakup fee</w:t>
      </w:r>
    </w:p>
    <w:p w14:paraId="71E9160A" w14:textId="77777777" w:rsidR="00762ABA" w:rsidRPr="00762ABA" w:rsidRDefault="00762ABA" w:rsidP="00762ABA">
      <w:pPr>
        <w:pStyle w:val="ListParagraph"/>
        <w:numPr>
          <w:ilvl w:val="0"/>
          <w:numId w:val="30"/>
        </w:numPr>
        <w:shd w:val="clear" w:color="auto" w:fill="FFFFFF"/>
        <w:spacing w:after="160"/>
        <w:ind w:left="709" w:hanging="425"/>
        <w:rPr>
          <w:rFonts w:ascii="Aptos" w:eastAsia="Times New Roman" w:hAnsi="Aptos" w:cs="Times New Roman"/>
          <w:color w:val="002060"/>
        </w:rPr>
      </w:pPr>
      <w:r w:rsidRPr="00762ABA">
        <w:rPr>
          <w:rFonts w:ascii="Aptos" w:eastAsia="Times New Roman" w:hAnsi="Aptos" w:cs="Times New Roman"/>
          <w:color w:val="002060"/>
        </w:rPr>
        <w:t xml:space="preserve">Lock-ups: seller is given part-ownership of stock or important assets in the target company </w:t>
      </w:r>
    </w:p>
    <w:p w14:paraId="15FF664F" w14:textId="77777777" w:rsidR="00762ABA" w:rsidRPr="00762ABA" w:rsidRDefault="00762ABA" w:rsidP="00762ABA">
      <w:pPr>
        <w:pStyle w:val="ListParagraph"/>
        <w:numPr>
          <w:ilvl w:val="0"/>
          <w:numId w:val="30"/>
        </w:numPr>
        <w:shd w:val="clear" w:color="auto" w:fill="FFFFFF"/>
        <w:spacing w:after="160"/>
        <w:ind w:left="709" w:hanging="425"/>
        <w:rPr>
          <w:rFonts w:ascii="Aptos" w:eastAsia="Times New Roman" w:hAnsi="Aptos" w:cs="Times New Roman"/>
          <w:color w:val="002060"/>
        </w:rPr>
      </w:pPr>
      <w:r w:rsidRPr="00762ABA">
        <w:rPr>
          <w:rFonts w:ascii="Aptos" w:eastAsia="Times New Roman" w:hAnsi="Aptos" w:cs="Times New Roman"/>
          <w:color w:val="002060"/>
        </w:rPr>
        <w:t xml:space="preserve">Stock options: allow the buyer to purchase </w:t>
      </w:r>
      <w:proofErr w:type="gramStart"/>
      <w:r w:rsidRPr="00762ABA">
        <w:rPr>
          <w:rFonts w:ascii="Aptos" w:eastAsia="Times New Roman" w:hAnsi="Aptos" w:cs="Times New Roman"/>
          <w:color w:val="002060"/>
        </w:rPr>
        <w:t>a number of</w:t>
      </w:r>
      <w:proofErr w:type="gramEnd"/>
      <w:r w:rsidRPr="00762ABA">
        <w:rPr>
          <w:rFonts w:ascii="Aptos" w:eastAsia="Times New Roman" w:hAnsi="Aptos" w:cs="Times New Roman"/>
          <w:color w:val="002060"/>
        </w:rPr>
        <w:t xml:space="preserve"> shares in the target company if a particular pre-agreed event occurs</w:t>
      </w:r>
    </w:p>
    <w:p w14:paraId="0204B51A" w14:textId="77777777" w:rsidR="00762ABA" w:rsidRPr="00762ABA" w:rsidRDefault="00762ABA" w:rsidP="00762ABA">
      <w:pPr>
        <w:numPr>
          <w:ilvl w:val="0"/>
          <w:numId w:val="27"/>
        </w:numPr>
        <w:shd w:val="clear" w:color="auto" w:fill="FFFFFF"/>
        <w:spacing w:after="300"/>
        <w:ind w:left="270" w:firstLine="0"/>
        <w:outlineLvl w:val="1"/>
        <w:rPr>
          <w:rFonts w:ascii="Aptos" w:eastAsia="Times New Roman" w:hAnsi="Aptos" w:cs="Times New Roman"/>
          <w:b/>
          <w:bCs/>
          <w:color w:val="002060"/>
        </w:rPr>
      </w:pPr>
      <w:bookmarkStart w:id="84" w:name="_Toc223006354"/>
      <w:r w:rsidRPr="00762ABA">
        <w:rPr>
          <w:rFonts w:ascii="Aptos" w:eastAsia="Times New Roman" w:hAnsi="Aptos" w:cs="Times New Roman"/>
          <w:b/>
          <w:bCs/>
          <w:color w:val="002060"/>
        </w:rPr>
        <w:t>What other deal protection and costs coverage mechanisms are most frequently used by acquirers?</w:t>
      </w:r>
      <w:bookmarkEnd w:id="84"/>
    </w:p>
    <w:p w14:paraId="09A4561A" w14:textId="77777777" w:rsidR="00762ABA" w:rsidRPr="00762ABA" w:rsidRDefault="00762ABA" w:rsidP="00762ABA">
      <w:pPr>
        <w:shd w:val="clear" w:color="auto" w:fill="FFFFFF"/>
        <w:rPr>
          <w:rFonts w:ascii="Aptos" w:eastAsia="Times New Roman" w:hAnsi="Aptos" w:cs="Times New Roman"/>
          <w:color w:val="002060"/>
        </w:rPr>
      </w:pPr>
      <w:r w:rsidRPr="00762ABA">
        <w:rPr>
          <w:rFonts w:ascii="Aptos" w:eastAsia="Times New Roman" w:hAnsi="Aptos" w:cs="Times New Roman"/>
          <w:color w:val="002060"/>
        </w:rPr>
        <w:t xml:space="preserve">Besides the aforementioned, a deal protection mechanism an acquirer can make use of is matching or topping rights where the seller has to notify the buyer of any </w:t>
      </w:r>
      <w:proofErr w:type="gramStart"/>
      <w:r w:rsidRPr="00762ABA">
        <w:rPr>
          <w:rFonts w:ascii="Aptos" w:eastAsia="Times New Roman" w:hAnsi="Aptos" w:cs="Times New Roman"/>
          <w:color w:val="002060"/>
        </w:rPr>
        <w:t>third party</w:t>
      </w:r>
      <w:proofErr w:type="gramEnd"/>
      <w:r w:rsidRPr="00762ABA">
        <w:rPr>
          <w:rFonts w:ascii="Aptos" w:eastAsia="Times New Roman" w:hAnsi="Aptos" w:cs="Times New Roman"/>
          <w:color w:val="002060"/>
        </w:rPr>
        <w:t xml:space="preserve"> proposal, and the seller is entitled to match or better such a proposal.</w:t>
      </w:r>
    </w:p>
    <w:p w14:paraId="0087EB02" w14:textId="77777777" w:rsidR="00762ABA" w:rsidRPr="00762ABA" w:rsidRDefault="00762ABA" w:rsidP="00762ABA">
      <w:pPr>
        <w:shd w:val="clear" w:color="auto" w:fill="FFFFFF"/>
        <w:rPr>
          <w:rFonts w:ascii="Aptos" w:eastAsia="Times New Roman" w:hAnsi="Aptos" w:cs="Times New Roman"/>
          <w:color w:val="002060"/>
        </w:rPr>
      </w:pPr>
      <w:r w:rsidRPr="00762ABA">
        <w:rPr>
          <w:rFonts w:ascii="Aptos" w:eastAsia="Times New Roman" w:hAnsi="Aptos" w:cs="Times New Roman"/>
          <w:color w:val="002060"/>
        </w:rPr>
        <w:t>Cost coverage mechanisms include:</w:t>
      </w:r>
    </w:p>
    <w:p w14:paraId="794F61BD" w14:textId="77777777" w:rsidR="00762ABA" w:rsidRPr="00762ABA" w:rsidRDefault="00762ABA" w:rsidP="00762ABA">
      <w:pPr>
        <w:pStyle w:val="ListParagraph"/>
        <w:numPr>
          <w:ilvl w:val="0"/>
          <w:numId w:val="32"/>
        </w:numPr>
        <w:shd w:val="clear" w:color="auto" w:fill="FFFFFF"/>
        <w:spacing w:after="160"/>
        <w:ind w:left="709" w:hanging="425"/>
        <w:rPr>
          <w:rFonts w:ascii="Aptos" w:eastAsia="Times New Roman" w:hAnsi="Aptos" w:cs="Times New Roman"/>
          <w:color w:val="002060"/>
        </w:rPr>
      </w:pPr>
      <w:r w:rsidRPr="00762ABA">
        <w:rPr>
          <w:rFonts w:ascii="Aptos" w:eastAsia="Times New Roman" w:hAnsi="Aptos" w:cs="Times New Roman"/>
          <w:color w:val="002060"/>
        </w:rPr>
        <w:lastRenderedPageBreak/>
        <w:t>Locked Box mechanism: where the seller and buyer agree on a net purchase price upfront in the Sales Purchase Agreement and this price remains effective until the financial closing/completion date of the transaction – recommended for fast-growing target companies</w:t>
      </w:r>
    </w:p>
    <w:p w14:paraId="75657F2E" w14:textId="77777777" w:rsidR="00762ABA" w:rsidRPr="00762ABA" w:rsidRDefault="00762ABA" w:rsidP="00762ABA">
      <w:pPr>
        <w:pStyle w:val="ListParagraph"/>
        <w:numPr>
          <w:ilvl w:val="0"/>
          <w:numId w:val="32"/>
        </w:numPr>
        <w:shd w:val="clear" w:color="auto" w:fill="FFFFFF"/>
        <w:spacing w:after="160"/>
        <w:ind w:left="709" w:hanging="425"/>
        <w:rPr>
          <w:rFonts w:ascii="Aptos" w:eastAsia="Times New Roman" w:hAnsi="Aptos" w:cs="Times New Roman"/>
          <w:color w:val="002060"/>
        </w:rPr>
      </w:pPr>
      <w:r w:rsidRPr="00762ABA">
        <w:rPr>
          <w:rFonts w:ascii="Aptos" w:eastAsia="Times New Roman" w:hAnsi="Aptos" w:cs="Times New Roman"/>
          <w:color w:val="002060"/>
        </w:rPr>
        <w:t>Completion Account mechanism: base purchase price, plus cash, less debt, plus excess or less shortfall in working capital</w:t>
      </w:r>
    </w:p>
    <w:p w14:paraId="51CCFF5F" w14:textId="77777777" w:rsidR="00762ABA" w:rsidRPr="00762ABA" w:rsidRDefault="00762ABA" w:rsidP="00762ABA">
      <w:pPr>
        <w:numPr>
          <w:ilvl w:val="0"/>
          <w:numId w:val="27"/>
        </w:numPr>
        <w:shd w:val="clear" w:color="auto" w:fill="FFFFFF"/>
        <w:spacing w:after="300"/>
        <w:ind w:left="270" w:firstLine="0"/>
        <w:outlineLvl w:val="1"/>
        <w:rPr>
          <w:rFonts w:ascii="Aptos" w:eastAsia="Times New Roman" w:hAnsi="Aptos" w:cs="Times New Roman"/>
          <w:b/>
          <w:bCs/>
          <w:color w:val="002060"/>
        </w:rPr>
      </w:pPr>
      <w:bookmarkStart w:id="85" w:name="_Toc223006355"/>
      <w:r w:rsidRPr="00762ABA">
        <w:rPr>
          <w:rFonts w:ascii="Aptos" w:eastAsia="Times New Roman" w:hAnsi="Aptos" w:cs="Times New Roman"/>
          <w:b/>
          <w:bCs/>
          <w:color w:val="002060"/>
        </w:rPr>
        <w:t xml:space="preserve">Which forms of consideration are </w:t>
      </w:r>
      <w:proofErr w:type="gramStart"/>
      <w:r w:rsidRPr="00762ABA">
        <w:rPr>
          <w:rFonts w:ascii="Aptos" w:eastAsia="Times New Roman" w:hAnsi="Aptos" w:cs="Times New Roman"/>
          <w:b/>
          <w:bCs/>
          <w:color w:val="002060"/>
        </w:rPr>
        <w:t>most commonly used</w:t>
      </w:r>
      <w:proofErr w:type="gramEnd"/>
      <w:r w:rsidRPr="00762ABA">
        <w:rPr>
          <w:rFonts w:ascii="Aptos" w:eastAsia="Times New Roman" w:hAnsi="Aptos" w:cs="Times New Roman"/>
          <w:b/>
          <w:bCs/>
          <w:color w:val="002060"/>
        </w:rPr>
        <w:t>?</w:t>
      </w:r>
      <w:bookmarkEnd w:id="85"/>
    </w:p>
    <w:p w14:paraId="406DBC7F" w14:textId="77777777" w:rsidR="00762ABA" w:rsidRPr="00762ABA" w:rsidRDefault="00762ABA" w:rsidP="00762ABA">
      <w:pPr>
        <w:pStyle w:val="ACTParagraph"/>
        <w:spacing w:line="276" w:lineRule="auto"/>
        <w:rPr>
          <w:rFonts w:ascii="Aptos" w:hAnsi="Aptos"/>
          <w:color w:val="002060"/>
          <w:szCs w:val="22"/>
        </w:rPr>
      </w:pPr>
      <w:r w:rsidRPr="00762ABA">
        <w:rPr>
          <w:rFonts w:ascii="Aptos" w:hAnsi="Aptos"/>
          <w:color w:val="002060"/>
          <w:szCs w:val="22"/>
        </w:rPr>
        <w:t xml:space="preserve">Under Vietnamese law, shares can be purchased by offering cash, gold, land use rights, intellectual property rights, technology, technical know-how or other assets. In practice, acquisitions are </w:t>
      </w:r>
      <w:proofErr w:type="gramStart"/>
      <w:r w:rsidRPr="00762ABA">
        <w:rPr>
          <w:rFonts w:ascii="Aptos" w:hAnsi="Aptos"/>
          <w:color w:val="002060"/>
          <w:szCs w:val="22"/>
        </w:rPr>
        <w:t>most commonly made</w:t>
      </w:r>
      <w:proofErr w:type="gramEnd"/>
      <w:r w:rsidRPr="00762ABA">
        <w:rPr>
          <w:rFonts w:ascii="Aptos" w:hAnsi="Aptos"/>
          <w:color w:val="002060"/>
          <w:szCs w:val="22"/>
        </w:rPr>
        <w:t xml:space="preserve"> for cash consideration.</w:t>
      </w:r>
    </w:p>
    <w:p w14:paraId="4CE53DEF" w14:textId="77777777" w:rsidR="00762ABA" w:rsidRPr="00762ABA" w:rsidRDefault="00762ABA" w:rsidP="00762ABA">
      <w:pPr>
        <w:numPr>
          <w:ilvl w:val="0"/>
          <w:numId w:val="27"/>
        </w:numPr>
        <w:shd w:val="clear" w:color="auto" w:fill="FFFFFF"/>
        <w:spacing w:after="300"/>
        <w:ind w:left="270" w:firstLine="0"/>
        <w:outlineLvl w:val="1"/>
        <w:rPr>
          <w:rFonts w:ascii="Aptos" w:eastAsia="Times New Roman" w:hAnsi="Aptos" w:cs="Times New Roman"/>
          <w:b/>
          <w:bCs/>
          <w:color w:val="002060"/>
        </w:rPr>
      </w:pPr>
      <w:bookmarkStart w:id="86" w:name="_Toc223006356"/>
      <w:r w:rsidRPr="00762ABA">
        <w:rPr>
          <w:rFonts w:ascii="Aptos" w:eastAsia="Times New Roman" w:hAnsi="Aptos" w:cs="Times New Roman"/>
          <w:b/>
          <w:bCs/>
          <w:color w:val="002060"/>
        </w:rPr>
        <w:t>At what ownership levels by an acquirer is public disclosure required (whether acquiring a target company as a whole or a minority stake)?</w:t>
      </w:r>
      <w:bookmarkEnd w:id="86"/>
    </w:p>
    <w:p w14:paraId="1185E5F3" w14:textId="77777777" w:rsidR="00762ABA" w:rsidRPr="00762ABA" w:rsidRDefault="00762ABA" w:rsidP="00762ABA">
      <w:pPr>
        <w:pStyle w:val="ACTParagraph"/>
        <w:spacing w:line="276" w:lineRule="auto"/>
        <w:rPr>
          <w:rFonts w:ascii="Aptos" w:hAnsi="Aptos"/>
          <w:color w:val="002060"/>
          <w:szCs w:val="22"/>
        </w:rPr>
      </w:pPr>
      <w:r w:rsidRPr="00762ABA">
        <w:rPr>
          <w:rFonts w:ascii="Aptos" w:hAnsi="Aptos"/>
          <w:color w:val="002060"/>
          <w:szCs w:val="22"/>
        </w:rPr>
        <w:t>The offer timetable is as follows:</w:t>
      </w:r>
    </w:p>
    <w:p w14:paraId="58D352DF" w14:textId="77777777" w:rsidR="00762ABA" w:rsidRPr="00762ABA" w:rsidRDefault="00762ABA" w:rsidP="00762ABA">
      <w:pPr>
        <w:pStyle w:val="ACTBulletList1"/>
        <w:tabs>
          <w:tab w:val="clear" w:pos="720"/>
          <w:tab w:val="num" w:pos="360"/>
        </w:tabs>
        <w:spacing w:line="276" w:lineRule="auto"/>
        <w:ind w:left="360" w:firstLine="0"/>
        <w:rPr>
          <w:rFonts w:ascii="Aptos" w:hAnsi="Aptos"/>
          <w:color w:val="002060"/>
          <w:szCs w:val="22"/>
        </w:rPr>
      </w:pPr>
      <w:r w:rsidRPr="00762ABA">
        <w:rPr>
          <w:rFonts w:ascii="Aptos" w:hAnsi="Aptos"/>
          <w:color w:val="002060"/>
          <w:szCs w:val="22"/>
        </w:rPr>
        <w:t>The bidder prepares registration documents for its public bid to purchase shares.</w:t>
      </w:r>
    </w:p>
    <w:p w14:paraId="3E1F2CAC" w14:textId="77777777" w:rsidR="00762ABA" w:rsidRPr="00762ABA" w:rsidRDefault="00762ABA" w:rsidP="00762ABA">
      <w:pPr>
        <w:pStyle w:val="ACTBulletList1"/>
        <w:tabs>
          <w:tab w:val="clear" w:pos="720"/>
          <w:tab w:val="num" w:pos="360"/>
        </w:tabs>
        <w:spacing w:line="276" w:lineRule="auto"/>
        <w:ind w:left="360" w:firstLine="0"/>
        <w:rPr>
          <w:rFonts w:ascii="Aptos" w:hAnsi="Aptos"/>
          <w:color w:val="002060"/>
          <w:szCs w:val="22"/>
        </w:rPr>
      </w:pPr>
      <w:r w:rsidRPr="00762ABA">
        <w:rPr>
          <w:rFonts w:ascii="Aptos" w:hAnsi="Aptos"/>
          <w:color w:val="002060"/>
          <w:szCs w:val="22"/>
        </w:rPr>
        <w:t>The bidder sends the bid registration documents to the State Securities Commission (SSC) for approval and, at the same time, sends the registration documents to the target.</w:t>
      </w:r>
    </w:p>
    <w:p w14:paraId="4D019F65" w14:textId="77777777" w:rsidR="00762ABA" w:rsidRPr="00762ABA" w:rsidRDefault="00762ABA" w:rsidP="00762ABA">
      <w:pPr>
        <w:pStyle w:val="ACTBulletList1"/>
        <w:tabs>
          <w:tab w:val="clear" w:pos="720"/>
          <w:tab w:val="num" w:pos="360"/>
        </w:tabs>
        <w:spacing w:line="276" w:lineRule="auto"/>
        <w:ind w:left="360" w:firstLine="0"/>
        <w:rPr>
          <w:rFonts w:ascii="Aptos" w:hAnsi="Aptos"/>
          <w:color w:val="002060"/>
          <w:szCs w:val="22"/>
        </w:rPr>
      </w:pPr>
      <w:r w:rsidRPr="00762ABA">
        <w:rPr>
          <w:rFonts w:ascii="Aptos" w:hAnsi="Aptos"/>
          <w:color w:val="002060"/>
          <w:szCs w:val="22"/>
        </w:rPr>
        <w:t>The SSC reviews the tender documents within thirty days.</w:t>
      </w:r>
    </w:p>
    <w:p w14:paraId="524CC885" w14:textId="77777777" w:rsidR="00762ABA" w:rsidRPr="00762ABA" w:rsidRDefault="00762ABA" w:rsidP="00762ABA">
      <w:pPr>
        <w:pStyle w:val="ACTBulletList1"/>
        <w:tabs>
          <w:tab w:val="clear" w:pos="720"/>
          <w:tab w:val="num" w:pos="360"/>
        </w:tabs>
        <w:spacing w:line="276" w:lineRule="auto"/>
        <w:ind w:left="360" w:firstLine="0"/>
        <w:rPr>
          <w:rFonts w:ascii="Aptos" w:hAnsi="Aptos"/>
          <w:color w:val="002060"/>
          <w:szCs w:val="22"/>
        </w:rPr>
      </w:pPr>
      <w:r w:rsidRPr="00762ABA">
        <w:rPr>
          <w:rFonts w:ascii="Aptos" w:hAnsi="Aptos"/>
          <w:color w:val="002060"/>
          <w:szCs w:val="22"/>
        </w:rPr>
        <w:t>The bidder must publicly announce the tender offer within seven days from receipt of the State Securities Commission's opinion regarding the registration of the tender offer.</w:t>
      </w:r>
    </w:p>
    <w:p w14:paraId="66B5868F" w14:textId="77777777" w:rsidR="00762ABA" w:rsidRPr="00762ABA" w:rsidRDefault="00762ABA" w:rsidP="00762ABA">
      <w:pPr>
        <w:pStyle w:val="ACTBulletList1"/>
        <w:tabs>
          <w:tab w:val="clear" w:pos="720"/>
          <w:tab w:val="num" w:pos="360"/>
        </w:tabs>
        <w:spacing w:line="276" w:lineRule="auto"/>
        <w:ind w:left="360" w:firstLine="0"/>
        <w:rPr>
          <w:rFonts w:ascii="Aptos" w:hAnsi="Aptos"/>
          <w:color w:val="002060"/>
          <w:szCs w:val="22"/>
        </w:rPr>
      </w:pPr>
      <w:r w:rsidRPr="00762ABA">
        <w:rPr>
          <w:rFonts w:ascii="Aptos" w:hAnsi="Aptos"/>
          <w:color w:val="002060"/>
          <w:szCs w:val="22"/>
        </w:rPr>
        <w:t xml:space="preserve">The bid is announced in the mass media. </w:t>
      </w:r>
    </w:p>
    <w:p w14:paraId="5CF7F989" w14:textId="77777777" w:rsidR="00762ABA" w:rsidRPr="00762ABA" w:rsidRDefault="00762ABA" w:rsidP="00762ABA">
      <w:pPr>
        <w:pStyle w:val="ACTBulletList1"/>
        <w:tabs>
          <w:tab w:val="clear" w:pos="720"/>
          <w:tab w:val="num" w:pos="360"/>
        </w:tabs>
        <w:spacing w:line="276" w:lineRule="auto"/>
        <w:ind w:left="360" w:firstLine="0"/>
        <w:rPr>
          <w:rFonts w:ascii="Aptos" w:hAnsi="Aptos"/>
          <w:color w:val="002060"/>
          <w:szCs w:val="22"/>
        </w:rPr>
      </w:pPr>
      <w:r w:rsidRPr="00762ABA">
        <w:rPr>
          <w:rFonts w:ascii="Aptos" w:hAnsi="Aptos"/>
          <w:color w:val="002060"/>
          <w:szCs w:val="22"/>
        </w:rPr>
        <w:t>The length of the offer period is between 20 and 120 days.</w:t>
      </w:r>
    </w:p>
    <w:p w14:paraId="302CD197" w14:textId="77777777" w:rsidR="00762ABA" w:rsidRPr="00762ABA" w:rsidRDefault="00762ABA" w:rsidP="00762ABA">
      <w:pPr>
        <w:pStyle w:val="ACTBulletList1"/>
        <w:tabs>
          <w:tab w:val="clear" w:pos="720"/>
          <w:tab w:val="num" w:pos="360"/>
        </w:tabs>
        <w:spacing w:line="276" w:lineRule="auto"/>
        <w:ind w:left="360" w:firstLine="0"/>
        <w:rPr>
          <w:rFonts w:ascii="Aptos" w:hAnsi="Aptos"/>
          <w:color w:val="002060"/>
          <w:szCs w:val="22"/>
        </w:rPr>
      </w:pPr>
      <w:r w:rsidRPr="00762ABA">
        <w:rPr>
          <w:rFonts w:ascii="Aptos" w:hAnsi="Aptos"/>
          <w:color w:val="002060"/>
          <w:szCs w:val="22"/>
        </w:rPr>
        <w:t>The bidder reports the results of the tender to the SSC within 10 days of completion.</w:t>
      </w:r>
    </w:p>
    <w:p w14:paraId="42715902" w14:textId="77777777" w:rsidR="00762ABA" w:rsidRPr="00762ABA" w:rsidRDefault="00762ABA" w:rsidP="00762ABA">
      <w:pPr>
        <w:pStyle w:val="ACTParagraph"/>
        <w:spacing w:line="276" w:lineRule="auto"/>
        <w:rPr>
          <w:rFonts w:ascii="Aptos" w:hAnsi="Aptos"/>
          <w:color w:val="002060"/>
          <w:szCs w:val="22"/>
        </w:rPr>
      </w:pPr>
      <w:r w:rsidRPr="00762ABA">
        <w:rPr>
          <w:rFonts w:ascii="Aptos" w:hAnsi="Aptos"/>
          <w:color w:val="002060"/>
          <w:szCs w:val="22"/>
        </w:rPr>
        <w:t>Companies operating in specific sectors (such as banking, insurance, and so on) can be subject to a different timetable.</w:t>
      </w:r>
    </w:p>
    <w:p w14:paraId="117082B0" w14:textId="77777777" w:rsidR="00762ABA" w:rsidRPr="00762ABA" w:rsidRDefault="00762ABA" w:rsidP="00762ABA">
      <w:pPr>
        <w:numPr>
          <w:ilvl w:val="0"/>
          <w:numId w:val="27"/>
        </w:numPr>
        <w:shd w:val="clear" w:color="auto" w:fill="FFFFFF"/>
        <w:spacing w:after="300"/>
        <w:ind w:left="270" w:firstLine="0"/>
        <w:outlineLvl w:val="1"/>
        <w:rPr>
          <w:rFonts w:ascii="Aptos" w:eastAsia="Times New Roman" w:hAnsi="Aptos" w:cs="Times New Roman"/>
          <w:b/>
          <w:bCs/>
          <w:color w:val="002060"/>
        </w:rPr>
      </w:pPr>
      <w:bookmarkStart w:id="87" w:name="_Toc223006357"/>
      <w:r w:rsidRPr="00762ABA">
        <w:rPr>
          <w:rFonts w:ascii="Aptos" w:eastAsia="Times New Roman" w:hAnsi="Aptos" w:cs="Times New Roman"/>
          <w:b/>
          <w:bCs/>
          <w:color w:val="002060"/>
        </w:rPr>
        <w:t>At what stage of negotiation is public disclosure required or customary?</w:t>
      </w:r>
      <w:bookmarkEnd w:id="87"/>
    </w:p>
    <w:p w14:paraId="24524F10" w14:textId="77777777" w:rsidR="00762ABA" w:rsidRPr="00762ABA" w:rsidRDefault="00762ABA" w:rsidP="00762ABA">
      <w:pPr>
        <w:pStyle w:val="ACTParagraph"/>
        <w:spacing w:line="276" w:lineRule="auto"/>
        <w:rPr>
          <w:rFonts w:ascii="Aptos" w:hAnsi="Aptos"/>
          <w:color w:val="002060"/>
          <w:szCs w:val="22"/>
        </w:rPr>
      </w:pPr>
      <w:r w:rsidRPr="00762ABA">
        <w:rPr>
          <w:rFonts w:ascii="Aptos" w:hAnsi="Aptos"/>
          <w:color w:val="002060"/>
          <w:szCs w:val="22"/>
        </w:rPr>
        <w:t>The bidder must publicly announce the tender offer within seven days from receipt of the State Securities Commission's opinion regarding the registration of the tender offer.</w:t>
      </w:r>
    </w:p>
    <w:p w14:paraId="04AFEA57" w14:textId="77777777" w:rsidR="00762ABA" w:rsidRPr="00762ABA" w:rsidRDefault="00762ABA" w:rsidP="00762ABA">
      <w:pPr>
        <w:numPr>
          <w:ilvl w:val="0"/>
          <w:numId w:val="27"/>
        </w:numPr>
        <w:shd w:val="clear" w:color="auto" w:fill="FFFFFF"/>
        <w:spacing w:after="300"/>
        <w:ind w:left="270" w:firstLine="0"/>
        <w:outlineLvl w:val="1"/>
        <w:rPr>
          <w:rFonts w:ascii="Aptos" w:eastAsia="Times New Roman" w:hAnsi="Aptos" w:cs="Times New Roman"/>
          <w:b/>
          <w:bCs/>
          <w:color w:val="002060"/>
        </w:rPr>
      </w:pPr>
      <w:bookmarkStart w:id="88" w:name="_Toc223006358"/>
      <w:r w:rsidRPr="00762ABA">
        <w:rPr>
          <w:rFonts w:ascii="Aptos" w:eastAsia="Times New Roman" w:hAnsi="Aptos" w:cs="Times New Roman"/>
          <w:b/>
          <w:bCs/>
          <w:color w:val="002060"/>
        </w:rPr>
        <w:t xml:space="preserve">Is there any maximum </w:t>
      </w:r>
      <w:proofErr w:type="gramStart"/>
      <w:r w:rsidRPr="00762ABA">
        <w:rPr>
          <w:rFonts w:ascii="Aptos" w:eastAsia="Times New Roman" w:hAnsi="Aptos" w:cs="Times New Roman"/>
          <w:b/>
          <w:bCs/>
          <w:color w:val="002060"/>
        </w:rPr>
        <w:t>time period</w:t>
      </w:r>
      <w:proofErr w:type="gramEnd"/>
      <w:r w:rsidRPr="00762ABA">
        <w:rPr>
          <w:rFonts w:ascii="Aptos" w:eastAsia="Times New Roman" w:hAnsi="Aptos" w:cs="Times New Roman"/>
          <w:b/>
          <w:bCs/>
          <w:color w:val="002060"/>
        </w:rPr>
        <w:t xml:space="preserve"> for negotiations or due diligence?</w:t>
      </w:r>
      <w:bookmarkEnd w:id="88"/>
    </w:p>
    <w:p w14:paraId="6BBDB0B1" w14:textId="77777777" w:rsidR="00762ABA" w:rsidRPr="00762ABA" w:rsidRDefault="00762ABA" w:rsidP="00762ABA">
      <w:pPr>
        <w:shd w:val="clear" w:color="auto" w:fill="FFFFFF"/>
        <w:rPr>
          <w:rFonts w:ascii="Aptos" w:eastAsia="Times New Roman" w:hAnsi="Aptos" w:cs="Times New Roman"/>
          <w:color w:val="002060"/>
        </w:rPr>
      </w:pPr>
      <w:r w:rsidRPr="00762ABA">
        <w:rPr>
          <w:rFonts w:ascii="Aptos" w:eastAsia="Times New Roman" w:hAnsi="Aptos" w:cs="Times New Roman"/>
          <w:color w:val="002060"/>
        </w:rPr>
        <w:t xml:space="preserve">There are no limitations (maximum or minimum) under Vietnam law on the </w:t>
      </w:r>
      <w:proofErr w:type="gramStart"/>
      <w:r w:rsidRPr="00762ABA">
        <w:rPr>
          <w:rFonts w:ascii="Aptos" w:eastAsia="Times New Roman" w:hAnsi="Aptos" w:cs="Times New Roman"/>
          <w:color w:val="002060"/>
        </w:rPr>
        <w:t>time period</w:t>
      </w:r>
      <w:proofErr w:type="gramEnd"/>
      <w:r w:rsidRPr="00762ABA">
        <w:rPr>
          <w:rFonts w:ascii="Aptos" w:eastAsia="Times New Roman" w:hAnsi="Aptos" w:cs="Times New Roman"/>
          <w:color w:val="002060"/>
        </w:rPr>
        <w:t xml:space="preserve"> in which the parties are required to conduct negotiations and/or due diligence.</w:t>
      </w:r>
    </w:p>
    <w:p w14:paraId="67307321" w14:textId="77777777" w:rsidR="00762ABA" w:rsidRPr="00762ABA" w:rsidRDefault="00762ABA" w:rsidP="00762ABA">
      <w:pPr>
        <w:numPr>
          <w:ilvl w:val="0"/>
          <w:numId w:val="27"/>
        </w:numPr>
        <w:shd w:val="clear" w:color="auto" w:fill="FFFFFF"/>
        <w:spacing w:after="300"/>
        <w:ind w:left="270" w:firstLine="0"/>
        <w:outlineLvl w:val="1"/>
        <w:rPr>
          <w:rFonts w:ascii="Aptos" w:eastAsia="Times New Roman" w:hAnsi="Aptos" w:cs="Times New Roman"/>
          <w:b/>
          <w:bCs/>
          <w:color w:val="002060"/>
        </w:rPr>
      </w:pPr>
      <w:bookmarkStart w:id="89" w:name="_Toc223006359"/>
      <w:r w:rsidRPr="00762ABA">
        <w:rPr>
          <w:rFonts w:ascii="Aptos" w:eastAsia="Times New Roman" w:hAnsi="Aptos" w:cs="Times New Roman"/>
          <w:b/>
          <w:bCs/>
          <w:color w:val="002060"/>
        </w:rPr>
        <w:t>Are there any circumstances where a minimum price may be set for the shares in a target company?</w:t>
      </w:r>
      <w:bookmarkEnd w:id="89"/>
    </w:p>
    <w:p w14:paraId="48BDAA81" w14:textId="77777777" w:rsidR="00762ABA" w:rsidRPr="00762ABA" w:rsidRDefault="00762ABA" w:rsidP="00762ABA">
      <w:pPr>
        <w:shd w:val="clear" w:color="auto" w:fill="FFFFFF"/>
        <w:rPr>
          <w:rFonts w:ascii="Aptos" w:eastAsia="Times New Roman" w:hAnsi="Aptos" w:cs="Times New Roman"/>
          <w:color w:val="002060"/>
        </w:rPr>
      </w:pPr>
      <w:r w:rsidRPr="00762ABA">
        <w:rPr>
          <w:rFonts w:ascii="Aptos" w:hAnsi="Aptos" w:cs="Times New Roman"/>
          <w:color w:val="002060"/>
          <w:shd w:val="clear" w:color="auto" w:fill="FFFFFF"/>
        </w:rPr>
        <w:t>There are no general requirements under Vietnam law that set certain minimum price for shares in a target company. However, it is a practice that the share price must not be lower than the par value of each share.</w:t>
      </w:r>
    </w:p>
    <w:p w14:paraId="2F42F7D2" w14:textId="77777777" w:rsidR="00762ABA" w:rsidRPr="00762ABA" w:rsidRDefault="00762ABA" w:rsidP="00762ABA">
      <w:pPr>
        <w:numPr>
          <w:ilvl w:val="0"/>
          <w:numId w:val="27"/>
        </w:numPr>
        <w:shd w:val="clear" w:color="auto" w:fill="FFFFFF"/>
        <w:spacing w:after="300"/>
        <w:ind w:left="270" w:firstLine="0"/>
        <w:outlineLvl w:val="1"/>
        <w:rPr>
          <w:rFonts w:ascii="Aptos" w:eastAsia="Times New Roman" w:hAnsi="Aptos" w:cs="Times New Roman"/>
          <w:b/>
          <w:bCs/>
          <w:color w:val="002060"/>
        </w:rPr>
      </w:pPr>
      <w:bookmarkStart w:id="90" w:name="_Toc223006360"/>
      <w:r w:rsidRPr="00762ABA">
        <w:rPr>
          <w:rFonts w:ascii="Aptos" w:eastAsia="Times New Roman" w:hAnsi="Aptos" w:cs="Times New Roman"/>
          <w:b/>
          <w:bCs/>
          <w:color w:val="002060"/>
        </w:rPr>
        <w:lastRenderedPageBreak/>
        <w:t>Is it possible for target companies to provide financial assistance?</w:t>
      </w:r>
      <w:bookmarkEnd w:id="90"/>
    </w:p>
    <w:p w14:paraId="372A0EC7" w14:textId="77777777" w:rsidR="00762ABA" w:rsidRPr="00762ABA" w:rsidRDefault="00762ABA" w:rsidP="00762ABA">
      <w:pPr>
        <w:shd w:val="clear" w:color="auto" w:fill="FFFFFF"/>
        <w:rPr>
          <w:rFonts w:ascii="Aptos" w:eastAsia="Times New Roman" w:hAnsi="Aptos" w:cs="Times New Roman"/>
          <w:color w:val="002060"/>
        </w:rPr>
      </w:pPr>
      <w:r w:rsidRPr="00762ABA">
        <w:rPr>
          <w:rFonts w:ascii="Aptos" w:hAnsi="Aptos" w:cs="Times New Roman"/>
          <w:color w:val="002060"/>
          <w:shd w:val="clear" w:color="auto" w:fill="FFFFFF"/>
        </w:rPr>
        <w:t xml:space="preserve">There is no general prohibition under Vietnam law on target companies providing financial assistance to acquirers. However, such provision of financial assistance to acquirers may result in breach of fiduciary duties of directors of the target company.  In this regard, the directors of the target company should be mindful of their duties to the target company because, providing financial assistance to an acquirer may </w:t>
      </w:r>
      <w:proofErr w:type="gramStart"/>
      <w:r w:rsidRPr="00762ABA">
        <w:rPr>
          <w:rFonts w:ascii="Aptos" w:hAnsi="Aptos" w:cs="Times New Roman"/>
          <w:color w:val="002060"/>
          <w:shd w:val="clear" w:color="auto" w:fill="FFFFFF"/>
        </w:rPr>
        <w:t>be considered to be</w:t>
      </w:r>
      <w:proofErr w:type="gramEnd"/>
      <w:r w:rsidRPr="00762ABA">
        <w:rPr>
          <w:rFonts w:ascii="Aptos" w:hAnsi="Aptos" w:cs="Times New Roman"/>
          <w:color w:val="002060"/>
          <w:shd w:val="clear" w:color="auto" w:fill="FFFFFF"/>
        </w:rPr>
        <w:t xml:space="preserve"> harming the target company while benefiting the majority shareholders of the target company or the acquirer, depending on the nature of such assistance.</w:t>
      </w:r>
    </w:p>
    <w:p w14:paraId="6385B9D0" w14:textId="77777777" w:rsidR="00762ABA" w:rsidRPr="00762ABA" w:rsidRDefault="00762ABA" w:rsidP="00762ABA">
      <w:pPr>
        <w:numPr>
          <w:ilvl w:val="0"/>
          <w:numId w:val="27"/>
        </w:numPr>
        <w:shd w:val="clear" w:color="auto" w:fill="FFFFFF"/>
        <w:spacing w:after="300"/>
        <w:ind w:left="270" w:firstLine="0"/>
        <w:outlineLvl w:val="1"/>
        <w:rPr>
          <w:rFonts w:ascii="Aptos" w:eastAsia="Times New Roman" w:hAnsi="Aptos" w:cs="Times New Roman"/>
          <w:b/>
          <w:bCs/>
          <w:color w:val="002060"/>
        </w:rPr>
      </w:pPr>
      <w:bookmarkStart w:id="91" w:name="_Toc223006361"/>
      <w:r w:rsidRPr="00762ABA">
        <w:rPr>
          <w:rFonts w:ascii="Aptos" w:eastAsia="Times New Roman" w:hAnsi="Aptos" w:cs="Times New Roman"/>
          <w:b/>
          <w:bCs/>
          <w:color w:val="002060"/>
        </w:rPr>
        <w:t>Which governing law is customarily used on acquisitions?</w:t>
      </w:r>
      <w:bookmarkEnd w:id="91"/>
    </w:p>
    <w:p w14:paraId="1C365262" w14:textId="77777777" w:rsidR="00762ABA" w:rsidRPr="00762ABA" w:rsidRDefault="00762ABA" w:rsidP="00762ABA">
      <w:pPr>
        <w:shd w:val="clear" w:color="auto" w:fill="FFFFFF"/>
        <w:rPr>
          <w:rFonts w:ascii="Aptos" w:eastAsia="Times New Roman" w:hAnsi="Aptos" w:cs="Times New Roman"/>
          <w:color w:val="002060"/>
        </w:rPr>
      </w:pPr>
      <w:r w:rsidRPr="00762ABA">
        <w:rPr>
          <w:rFonts w:ascii="Aptos" w:eastAsia="Times New Roman" w:hAnsi="Aptos" w:cs="Times New Roman"/>
          <w:color w:val="002060"/>
          <w:lang w:val="vi-VN"/>
        </w:rPr>
        <w:t>Bu</w:t>
      </w:r>
      <w:proofErr w:type="spellStart"/>
      <w:r w:rsidRPr="00762ABA">
        <w:rPr>
          <w:rFonts w:ascii="Aptos" w:eastAsia="Times New Roman" w:hAnsi="Aptos" w:cs="Times New Roman"/>
          <w:color w:val="002060"/>
        </w:rPr>
        <w:t>yer</w:t>
      </w:r>
      <w:proofErr w:type="spellEnd"/>
      <w:r w:rsidRPr="00762ABA">
        <w:rPr>
          <w:rFonts w:ascii="Aptos" w:eastAsia="Times New Roman" w:hAnsi="Aptos" w:cs="Times New Roman"/>
          <w:color w:val="002060"/>
        </w:rPr>
        <w:t xml:space="preserve"> and sellers are free to decide on the governing law of the transaction agreements. Nevertheless, in deals that involve a Vietnamese target company, the governing law is customarily Vietnam laws.</w:t>
      </w:r>
    </w:p>
    <w:p w14:paraId="6B0329B4" w14:textId="77777777" w:rsidR="00762ABA" w:rsidRPr="00762ABA" w:rsidRDefault="00762ABA" w:rsidP="00762ABA">
      <w:pPr>
        <w:numPr>
          <w:ilvl w:val="0"/>
          <w:numId w:val="27"/>
        </w:numPr>
        <w:shd w:val="clear" w:color="auto" w:fill="FFFFFF"/>
        <w:spacing w:after="300"/>
        <w:ind w:left="270" w:firstLine="0"/>
        <w:outlineLvl w:val="1"/>
        <w:rPr>
          <w:rFonts w:ascii="Aptos" w:eastAsia="Times New Roman" w:hAnsi="Aptos" w:cs="Times New Roman"/>
          <w:b/>
          <w:bCs/>
          <w:color w:val="002060"/>
        </w:rPr>
      </w:pPr>
      <w:bookmarkStart w:id="92" w:name="_Toc223006362"/>
      <w:r w:rsidRPr="00762ABA">
        <w:rPr>
          <w:rFonts w:ascii="Aptos" w:eastAsia="Times New Roman" w:hAnsi="Aptos" w:cs="Times New Roman"/>
          <w:b/>
          <w:bCs/>
          <w:color w:val="002060"/>
        </w:rPr>
        <w:t>What public-facing documentation must a buyer produce in connection with the acquisition of a listed company?</w:t>
      </w:r>
      <w:bookmarkEnd w:id="92"/>
    </w:p>
    <w:p w14:paraId="7363CFC1" w14:textId="77777777" w:rsidR="00762ABA" w:rsidRPr="00762ABA" w:rsidRDefault="00762ABA" w:rsidP="00762ABA">
      <w:pPr>
        <w:pStyle w:val="ACTParagraph"/>
        <w:spacing w:line="276" w:lineRule="auto"/>
        <w:rPr>
          <w:rFonts w:ascii="Aptos" w:hAnsi="Aptos"/>
          <w:color w:val="002060"/>
          <w:szCs w:val="22"/>
        </w:rPr>
      </w:pPr>
      <w:r w:rsidRPr="00762ABA">
        <w:rPr>
          <w:rFonts w:ascii="Aptos" w:hAnsi="Aptos"/>
          <w:color w:val="002060"/>
          <w:szCs w:val="22"/>
        </w:rPr>
        <w:t>Shares can be bought before the bid announcement provided that the number of shares sold does not exceed the thresholds requiring a tender offer. A tender offer is required in the following cases:</w:t>
      </w:r>
    </w:p>
    <w:p w14:paraId="57261892" w14:textId="77777777" w:rsidR="00762ABA" w:rsidRPr="00762ABA" w:rsidRDefault="00762ABA" w:rsidP="00762ABA">
      <w:pPr>
        <w:pStyle w:val="ACTBulletList1"/>
        <w:tabs>
          <w:tab w:val="clear" w:pos="720"/>
          <w:tab w:val="num" w:pos="360"/>
        </w:tabs>
        <w:spacing w:line="276" w:lineRule="auto"/>
        <w:ind w:left="360" w:firstLine="0"/>
        <w:rPr>
          <w:rFonts w:ascii="Aptos" w:hAnsi="Aptos"/>
          <w:color w:val="002060"/>
          <w:szCs w:val="22"/>
        </w:rPr>
      </w:pPr>
      <w:r w:rsidRPr="00762ABA">
        <w:rPr>
          <w:rFonts w:ascii="Aptos" w:hAnsi="Aptos"/>
          <w:color w:val="002060"/>
          <w:szCs w:val="22"/>
        </w:rPr>
        <w:t>Purchase of a company's circulating shares that result in a purchaser, with no shareholding or less than a 25% shareholding, acquiring a 25% shareholding or more.</w:t>
      </w:r>
    </w:p>
    <w:p w14:paraId="6B8983CF" w14:textId="77777777" w:rsidR="00762ABA" w:rsidRPr="00762ABA" w:rsidRDefault="00762ABA" w:rsidP="00762ABA">
      <w:pPr>
        <w:pStyle w:val="ACTBulletList1"/>
        <w:tabs>
          <w:tab w:val="clear" w:pos="720"/>
          <w:tab w:val="num" w:pos="360"/>
        </w:tabs>
        <w:spacing w:line="276" w:lineRule="auto"/>
        <w:ind w:left="360" w:firstLine="0"/>
        <w:rPr>
          <w:rFonts w:ascii="Aptos" w:hAnsi="Aptos"/>
          <w:color w:val="002060"/>
          <w:szCs w:val="22"/>
        </w:rPr>
      </w:pPr>
      <w:r w:rsidRPr="00762ABA">
        <w:rPr>
          <w:rFonts w:ascii="Aptos" w:hAnsi="Aptos"/>
          <w:color w:val="002060"/>
          <w:szCs w:val="22"/>
        </w:rPr>
        <w:t>Purchase of a company's circulating shares that results in a purchaser (and affiliated persons of the purchaser), with a 25% or more shareholding, acquiring a further 10% or more of circulating shares of the company until it reaches 75% threshold.</w:t>
      </w:r>
    </w:p>
    <w:p w14:paraId="1592962F" w14:textId="77777777" w:rsidR="00762ABA" w:rsidRPr="00762ABA" w:rsidRDefault="00762ABA" w:rsidP="00762ABA">
      <w:pPr>
        <w:pStyle w:val="ACTBulletList1"/>
        <w:tabs>
          <w:tab w:val="clear" w:pos="720"/>
          <w:tab w:val="num" w:pos="360"/>
        </w:tabs>
        <w:spacing w:line="276" w:lineRule="auto"/>
        <w:ind w:left="360" w:firstLine="0"/>
        <w:rPr>
          <w:rFonts w:ascii="Aptos" w:hAnsi="Aptos"/>
          <w:color w:val="002060"/>
          <w:szCs w:val="22"/>
        </w:rPr>
      </w:pPr>
      <w:r w:rsidRPr="00762ABA">
        <w:rPr>
          <w:rFonts w:ascii="Aptos" w:hAnsi="Aptos"/>
          <w:color w:val="002060"/>
          <w:szCs w:val="22"/>
        </w:rPr>
        <w:t>After a tender offer, if said entities have acquired 80% or more of the total voting shares of a listed company or outstanding fund certificates of a closed-end fund then it is mandatory to purchase the shares or fund being held by the remaining shareholders, unless all voting shares or outstanding fund have been bid for.</w:t>
      </w:r>
    </w:p>
    <w:p w14:paraId="339857D3" w14:textId="77777777" w:rsidR="00762ABA" w:rsidRPr="00762ABA" w:rsidRDefault="00762ABA" w:rsidP="00762ABA">
      <w:pPr>
        <w:pStyle w:val="ACTParagraph"/>
        <w:spacing w:line="276" w:lineRule="auto"/>
        <w:rPr>
          <w:rFonts w:ascii="Aptos" w:hAnsi="Aptos"/>
          <w:color w:val="002060"/>
          <w:szCs w:val="22"/>
        </w:rPr>
      </w:pPr>
      <w:r w:rsidRPr="00762ABA">
        <w:rPr>
          <w:rFonts w:ascii="Aptos" w:hAnsi="Aptos"/>
          <w:color w:val="002060"/>
          <w:szCs w:val="22"/>
        </w:rPr>
        <w:t>There is no guidance on building a stake by using derivatives. In addition, the bidder cannot purchase shares or share purchase rights outside the offer process during the tender offer period.</w:t>
      </w:r>
    </w:p>
    <w:p w14:paraId="766E0FD1" w14:textId="77777777" w:rsidR="00762ABA" w:rsidRPr="00762ABA" w:rsidRDefault="00762ABA" w:rsidP="00762ABA">
      <w:pPr>
        <w:pStyle w:val="ACTParagraph"/>
        <w:spacing w:line="276" w:lineRule="auto"/>
        <w:rPr>
          <w:rFonts w:ascii="Aptos" w:hAnsi="Aptos"/>
          <w:color w:val="002060"/>
          <w:szCs w:val="22"/>
        </w:rPr>
      </w:pPr>
      <w:r w:rsidRPr="00762ABA">
        <w:rPr>
          <w:rFonts w:ascii="Aptos" w:hAnsi="Aptos"/>
          <w:color w:val="002060"/>
          <w:szCs w:val="22"/>
        </w:rPr>
        <w:t>The bidder must publicly announce the tender offer in three consecutive editions of one electronic newspaper or one written newspaper and (for a listed company only) on the relevant stock exchange within seven days from the receipt of the State Securities Commission's (SSC's) opinion regarding the registration of the tender offer. The tender offer can only be implemented after the SSC has provided its opinion and following the public announcement by the bidder.</w:t>
      </w:r>
    </w:p>
    <w:p w14:paraId="7761C0C7" w14:textId="77777777" w:rsidR="00762ABA" w:rsidRPr="00762ABA" w:rsidRDefault="00762ABA" w:rsidP="00762ABA">
      <w:pPr>
        <w:numPr>
          <w:ilvl w:val="0"/>
          <w:numId w:val="27"/>
        </w:numPr>
        <w:shd w:val="clear" w:color="auto" w:fill="FFFFFF"/>
        <w:spacing w:after="300"/>
        <w:ind w:left="270" w:firstLine="0"/>
        <w:outlineLvl w:val="1"/>
        <w:rPr>
          <w:rFonts w:ascii="Aptos" w:eastAsia="Times New Roman" w:hAnsi="Aptos" w:cs="Times New Roman"/>
          <w:b/>
          <w:bCs/>
          <w:color w:val="002060"/>
        </w:rPr>
      </w:pPr>
      <w:bookmarkStart w:id="93" w:name="_Toc223006363"/>
      <w:r w:rsidRPr="00762ABA">
        <w:rPr>
          <w:rFonts w:ascii="Aptos" w:eastAsia="Times New Roman" w:hAnsi="Aptos" w:cs="Times New Roman"/>
          <w:b/>
          <w:bCs/>
          <w:color w:val="002060"/>
        </w:rPr>
        <w:t xml:space="preserve">What formalities are required </w:t>
      </w:r>
      <w:proofErr w:type="gramStart"/>
      <w:r w:rsidRPr="00762ABA">
        <w:rPr>
          <w:rFonts w:ascii="Aptos" w:eastAsia="Times New Roman" w:hAnsi="Aptos" w:cs="Times New Roman"/>
          <w:b/>
          <w:bCs/>
          <w:color w:val="002060"/>
        </w:rPr>
        <w:t>in order to</w:t>
      </w:r>
      <w:proofErr w:type="gramEnd"/>
      <w:r w:rsidRPr="00762ABA">
        <w:rPr>
          <w:rFonts w:ascii="Aptos" w:eastAsia="Times New Roman" w:hAnsi="Aptos" w:cs="Times New Roman"/>
          <w:b/>
          <w:bCs/>
          <w:color w:val="002060"/>
        </w:rPr>
        <w:t xml:space="preserve"> document a transfer of shares, including any local transfer taxes or duties?</w:t>
      </w:r>
      <w:bookmarkEnd w:id="93"/>
    </w:p>
    <w:p w14:paraId="7C2D9C3C" w14:textId="77777777" w:rsidR="00762ABA" w:rsidRPr="00762ABA" w:rsidRDefault="00762ABA" w:rsidP="00762ABA">
      <w:pPr>
        <w:pStyle w:val="ACTParagraph"/>
        <w:spacing w:line="276" w:lineRule="auto"/>
        <w:rPr>
          <w:rFonts w:ascii="Aptos" w:hAnsi="Aptos"/>
          <w:color w:val="002060"/>
          <w:szCs w:val="22"/>
        </w:rPr>
      </w:pPr>
      <w:r w:rsidRPr="00762ABA">
        <w:rPr>
          <w:rFonts w:ascii="Aptos" w:hAnsi="Aptos"/>
          <w:color w:val="002060"/>
          <w:szCs w:val="22"/>
        </w:rPr>
        <w:t>Depending on whether the seller is an individual or a corporate entity, the following taxes will apply:</w:t>
      </w:r>
    </w:p>
    <w:p w14:paraId="7CCF9311" w14:textId="77777777" w:rsidR="00762ABA" w:rsidRPr="00762ABA" w:rsidRDefault="00762ABA" w:rsidP="00762ABA">
      <w:pPr>
        <w:pStyle w:val="ACTBulletList1"/>
        <w:tabs>
          <w:tab w:val="clear" w:pos="720"/>
          <w:tab w:val="num" w:pos="360"/>
        </w:tabs>
        <w:spacing w:line="276" w:lineRule="auto"/>
        <w:ind w:left="360" w:firstLine="0"/>
        <w:rPr>
          <w:rFonts w:ascii="Aptos" w:hAnsi="Aptos"/>
          <w:b/>
          <w:color w:val="002060"/>
          <w:szCs w:val="22"/>
        </w:rPr>
      </w:pPr>
      <w:r w:rsidRPr="00762ABA">
        <w:rPr>
          <w:rFonts w:ascii="Aptos" w:hAnsi="Aptos"/>
          <w:b/>
          <w:color w:val="002060"/>
          <w:szCs w:val="22"/>
        </w:rPr>
        <w:t>Capital gains tax.</w:t>
      </w:r>
      <w:r w:rsidRPr="00762ABA">
        <w:rPr>
          <w:rFonts w:ascii="Aptos" w:hAnsi="Aptos"/>
          <w:color w:val="002060"/>
          <w:szCs w:val="22"/>
        </w:rPr>
        <w:t xml:space="preserve"> Capital gains tax is a form of income tax that is payable on any premium on the original investor's actual contribution to capital or its costs to purchase such capital.</w:t>
      </w:r>
      <w:r w:rsidRPr="00762ABA">
        <w:rPr>
          <w:rStyle w:val="FootnoteReference"/>
          <w:rFonts w:ascii="Aptos" w:hAnsi="Aptos"/>
          <w:color w:val="002060"/>
          <w:szCs w:val="22"/>
        </w:rPr>
        <w:footnoteReference w:id="4"/>
      </w:r>
      <w:r w:rsidRPr="00762ABA">
        <w:rPr>
          <w:rFonts w:ascii="Aptos" w:hAnsi="Aptos"/>
          <w:color w:val="002060"/>
          <w:szCs w:val="22"/>
        </w:rPr>
        <w:t xml:space="preserve"> Foreign companies and local </w:t>
      </w:r>
      <w:r w:rsidRPr="00762ABA">
        <w:rPr>
          <w:rFonts w:ascii="Aptos" w:hAnsi="Aptos"/>
          <w:color w:val="002060"/>
          <w:szCs w:val="22"/>
        </w:rPr>
        <w:lastRenderedPageBreak/>
        <w:t xml:space="preserve">corporate entities are subject to a corporate income tax of 20%. However, if the assets transferred are securities, a foreign corporate seller is subject to corporate income tax of 0.1% on the gross transfer price. </w:t>
      </w:r>
    </w:p>
    <w:p w14:paraId="4249FB52" w14:textId="77777777" w:rsidR="00762ABA" w:rsidRPr="00762ABA" w:rsidRDefault="00762ABA" w:rsidP="00762ABA">
      <w:pPr>
        <w:pStyle w:val="ACTBulletList1"/>
        <w:tabs>
          <w:tab w:val="clear" w:pos="720"/>
          <w:tab w:val="num" w:pos="360"/>
        </w:tabs>
        <w:spacing w:line="276" w:lineRule="auto"/>
        <w:ind w:left="360" w:firstLine="0"/>
        <w:rPr>
          <w:rFonts w:ascii="Aptos" w:hAnsi="Aptos"/>
          <w:b/>
          <w:color w:val="002060"/>
          <w:szCs w:val="22"/>
        </w:rPr>
      </w:pPr>
      <w:r w:rsidRPr="00762ABA">
        <w:rPr>
          <w:rFonts w:ascii="Aptos" w:hAnsi="Aptos"/>
          <w:b/>
          <w:color w:val="002060"/>
          <w:szCs w:val="22"/>
        </w:rPr>
        <w:t>Personal income tax.</w:t>
      </w:r>
      <w:r w:rsidRPr="00762ABA">
        <w:rPr>
          <w:rFonts w:ascii="Aptos" w:hAnsi="Aptos"/>
          <w:color w:val="002060"/>
          <w:szCs w:val="22"/>
        </w:rPr>
        <w:t xml:space="preserve"> If the seller is an individual resident, personal income tax will be imposed at the rate of 20% of the gains made, and 0.1% on the sales price if the transferred assets are securities. An individual tax resident is defined as a person who:</w:t>
      </w:r>
    </w:p>
    <w:p w14:paraId="2B3B5447" w14:textId="77777777" w:rsidR="00762ABA" w:rsidRPr="00762ABA" w:rsidRDefault="00762ABA" w:rsidP="00762ABA">
      <w:pPr>
        <w:pStyle w:val="ACTBulletList2"/>
        <w:numPr>
          <w:ilvl w:val="0"/>
          <w:numId w:val="37"/>
        </w:numPr>
        <w:spacing w:line="276" w:lineRule="auto"/>
        <w:rPr>
          <w:rFonts w:ascii="Aptos" w:hAnsi="Aptos"/>
          <w:color w:val="002060"/>
          <w:szCs w:val="22"/>
        </w:rPr>
      </w:pPr>
      <w:r w:rsidRPr="00762ABA">
        <w:rPr>
          <w:rFonts w:ascii="Aptos" w:hAnsi="Aptos"/>
          <w:color w:val="002060"/>
          <w:szCs w:val="22"/>
        </w:rPr>
        <w:t xml:space="preserve">stays in Vietnam for 183 days or longer within a calendar </w:t>
      </w:r>
      <w:proofErr w:type="gramStart"/>
      <w:r w:rsidRPr="00762ABA">
        <w:rPr>
          <w:rFonts w:ascii="Aptos" w:hAnsi="Aptos"/>
          <w:color w:val="002060"/>
          <w:szCs w:val="22"/>
        </w:rPr>
        <w:t>year;</w:t>
      </w:r>
      <w:proofErr w:type="gramEnd"/>
    </w:p>
    <w:p w14:paraId="1E1CF951" w14:textId="77777777" w:rsidR="00762ABA" w:rsidRPr="00762ABA" w:rsidRDefault="00762ABA" w:rsidP="00762ABA">
      <w:pPr>
        <w:pStyle w:val="ACTBulletList2"/>
        <w:numPr>
          <w:ilvl w:val="0"/>
          <w:numId w:val="37"/>
        </w:numPr>
        <w:spacing w:line="276" w:lineRule="auto"/>
        <w:rPr>
          <w:rFonts w:ascii="Aptos" w:hAnsi="Aptos"/>
          <w:color w:val="002060"/>
          <w:szCs w:val="22"/>
        </w:rPr>
      </w:pPr>
      <w:r w:rsidRPr="00762ABA">
        <w:rPr>
          <w:rFonts w:ascii="Aptos" w:hAnsi="Aptos"/>
          <w:color w:val="002060"/>
          <w:szCs w:val="22"/>
        </w:rPr>
        <w:t xml:space="preserve">stays in Vietnam for a period of 12 consecutive months from his arrival in </w:t>
      </w:r>
      <w:proofErr w:type="gramStart"/>
      <w:r w:rsidRPr="00762ABA">
        <w:rPr>
          <w:rFonts w:ascii="Aptos" w:hAnsi="Aptos"/>
          <w:color w:val="002060"/>
          <w:szCs w:val="22"/>
        </w:rPr>
        <w:t>Vietnam;</w:t>
      </w:r>
      <w:proofErr w:type="gramEnd"/>
      <w:r w:rsidRPr="00762ABA">
        <w:rPr>
          <w:rFonts w:ascii="Aptos" w:hAnsi="Aptos"/>
          <w:color w:val="002060"/>
          <w:szCs w:val="22"/>
        </w:rPr>
        <w:t xml:space="preserve"> </w:t>
      </w:r>
    </w:p>
    <w:p w14:paraId="589563E1" w14:textId="77777777" w:rsidR="00762ABA" w:rsidRPr="00762ABA" w:rsidRDefault="00762ABA" w:rsidP="00762ABA">
      <w:pPr>
        <w:pStyle w:val="ACTBulletList2"/>
        <w:numPr>
          <w:ilvl w:val="0"/>
          <w:numId w:val="37"/>
        </w:numPr>
        <w:spacing w:line="276" w:lineRule="auto"/>
        <w:rPr>
          <w:rFonts w:ascii="Aptos" w:hAnsi="Aptos"/>
          <w:color w:val="002060"/>
          <w:szCs w:val="22"/>
        </w:rPr>
      </w:pPr>
      <w:r w:rsidRPr="00762ABA">
        <w:rPr>
          <w:rFonts w:ascii="Aptos" w:hAnsi="Aptos"/>
          <w:color w:val="002060"/>
          <w:szCs w:val="22"/>
        </w:rPr>
        <w:t xml:space="preserve">has a registered permanent residence in Vietnam; or </w:t>
      </w:r>
    </w:p>
    <w:p w14:paraId="76258534" w14:textId="77777777" w:rsidR="00762ABA" w:rsidRPr="00762ABA" w:rsidRDefault="00762ABA" w:rsidP="00762ABA">
      <w:pPr>
        <w:pStyle w:val="ACTBulletList2"/>
        <w:numPr>
          <w:ilvl w:val="0"/>
          <w:numId w:val="37"/>
        </w:numPr>
        <w:spacing w:line="276" w:lineRule="auto"/>
        <w:rPr>
          <w:rFonts w:ascii="Aptos" w:hAnsi="Aptos"/>
          <w:color w:val="002060"/>
          <w:szCs w:val="22"/>
        </w:rPr>
      </w:pPr>
      <w:r w:rsidRPr="00762ABA">
        <w:rPr>
          <w:rFonts w:ascii="Aptos" w:hAnsi="Aptos"/>
          <w:color w:val="002060"/>
          <w:szCs w:val="22"/>
        </w:rPr>
        <w:t>rents a house in Vietnam under a lease contract of a term of at least 90 days in a tax year.</w:t>
      </w:r>
    </w:p>
    <w:p w14:paraId="18740D43" w14:textId="77777777" w:rsidR="00762ABA" w:rsidRPr="00762ABA" w:rsidRDefault="00762ABA" w:rsidP="00762ABA">
      <w:pPr>
        <w:pStyle w:val="ACTListParagraphLevel1"/>
        <w:spacing w:line="276" w:lineRule="auto"/>
        <w:rPr>
          <w:rFonts w:ascii="Aptos" w:hAnsi="Aptos"/>
          <w:color w:val="002060"/>
          <w:szCs w:val="22"/>
        </w:rPr>
      </w:pPr>
      <w:r w:rsidRPr="00762ABA">
        <w:rPr>
          <w:rFonts w:ascii="Aptos" w:hAnsi="Aptos"/>
          <w:color w:val="002060"/>
          <w:szCs w:val="22"/>
        </w:rPr>
        <w:t>If the seller is an individual non-resident, he is subject to personal income tax at 0.1% on the gross transfer price, regardless of whether there is any capital gain.</w:t>
      </w:r>
    </w:p>
    <w:p w14:paraId="372D7013" w14:textId="77777777" w:rsidR="00762ABA" w:rsidRPr="00762ABA" w:rsidRDefault="00762ABA" w:rsidP="00762ABA">
      <w:pPr>
        <w:pStyle w:val="ACTParagraph"/>
        <w:spacing w:line="276" w:lineRule="auto"/>
        <w:rPr>
          <w:rFonts w:ascii="Aptos" w:hAnsi="Aptos"/>
          <w:color w:val="002060"/>
          <w:szCs w:val="22"/>
        </w:rPr>
      </w:pPr>
      <w:r w:rsidRPr="00762ABA">
        <w:rPr>
          <w:rFonts w:ascii="Aptos" w:hAnsi="Aptos"/>
          <w:color w:val="002060"/>
          <w:szCs w:val="22"/>
        </w:rPr>
        <w:t>Payment of the above transfer taxes is mandatory in Vietnam.</w:t>
      </w:r>
    </w:p>
    <w:p w14:paraId="65314D3C" w14:textId="77777777" w:rsidR="00762ABA" w:rsidRPr="00762ABA" w:rsidRDefault="00762ABA" w:rsidP="00762ABA">
      <w:pPr>
        <w:numPr>
          <w:ilvl w:val="0"/>
          <w:numId w:val="27"/>
        </w:numPr>
        <w:shd w:val="clear" w:color="auto" w:fill="FFFFFF"/>
        <w:spacing w:after="300"/>
        <w:ind w:left="270" w:firstLine="0"/>
        <w:outlineLvl w:val="1"/>
        <w:rPr>
          <w:rFonts w:ascii="Aptos" w:eastAsia="Times New Roman" w:hAnsi="Aptos" w:cs="Times New Roman"/>
          <w:b/>
          <w:bCs/>
          <w:color w:val="002060"/>
        </w:rPr>
      </w:pPr>
      <w:bookmarkStart w:id="94" w:name="_Toc223006364"/>
      <w:r w:rsidRPr="00762ABA">
        <w:rPr>
          <w:rFonts w:ascii="Aptos" w:eastAsia="Times New Roman" w:hAnsi="Aptos" w:cs="Times New Roman"/>
          <w:b/>
          <w:bCs/>
          <w:color w:val="002060"/>
        </w:rPr>
        <w:t>Are hostile acquisitions a common feature?</w:t>
      </w:r>
      <w:bookmarkEnd w:id="94"/>
    </w:p>
    <w:p w14:paraId="2F6CE9D0" w14:textId="77777777" w:rsidR="00762ABA" w:rsidRPr="00762ABA" w:rsidRDefault="00762ABA" w:rsidP="00762ABA">
      <w:pPr>
        <w:pStyle w:val="ACTParagraph"/>
        <w:spacing w:line="276" w:lineRule="auto"/>
        <w:rPr>
          <w:rFonts w:ascii="Aptos" w:hAnsi="Aptos"/>
          <w:color w:val="002060"/>
          <w:szCs w:val="22"/>
        </w:rPr>
      </w:pPr>
      <w:r w:rsidRPr="00762ABA">
        <w:rPr>
          <w:rFonts w:ascii="Aptos" w:hAnsi="Aptos"/>
          <w:color w:val="002060"/>
          <w:szCs w:val="22"/>
        </w:rPr>
        <w:t xml:space="preserve">Hostile bids are neither defined nor regulated under Vietnamese law. There is also no express prohibition on this type of transaction. Recommended bids often outnumber hostile bids due to limited publicly available information about the target and reluctance to disclose information. </w:t>
      </w:r>
    </w:p>
    <w:p w14:paraId="0052A370" w14:textId="77777777" w:rsidR="00762ABA" w:rsidRPr="00762ABA" w:rsidRDefault="00762ABA" w:rsidP="00762ABA">
      <w:pPr>
        <w:pStyle w:val="ACTParagraph"/>
        <w:spacing w:line="276" w:lineRule="auto"/>
        <w:rPr>
          <w:rFonts w:ascii="Aptos" w:hAnsi="Aptos"/>
          <w:color w:val="002060"/>
          <w:szCs w:val="22"/>
        </w:rPr>
      </w:pPr>
      <w:r w:rsidRPr="00762ABA">
        <w:rPr>
          <w:rFonts w:ascii="Aptos" w:hAnsi="Aptos"/>
          <w:color w:val="002060"/>
          <w:szCs w:val="22"/>
        </w:rPr>
        <w:t xml:space="preserve">However, the number of hostile bids in Vietnam has been increasing since 2011, for example: </w:t>
      </w:r>
    </w:p>
    <w:p w14:paraId="7D54AF1D" w14:textId="77777777" w:rsidR="00762ABA" w:rsidRPr="00762ABA" w:rsidRDefault="00762ABA" w:rsidP="00762ABA">
      <w:pPr>
        <w:pStyle w:val="ACTBulletList1"/>
        <w:tabs>
          <w:tab w:val="clear" w:pos="720"/>
          <w:tab w:val="num" w:pos="360"/>
        </w:tabs>
        <w:spacing w:line="276" w:lineRule="auto"/>
        <w:ind w:left="360" w:firstLine="0"/>
        <w:rPr>
          <w:rFonts w:ascii="Aptos" w:hAnsi="Aptos"/>
          <w:color w:val="002060"/>
          <w:szCs w:val="22"/>
        </w:rPr>
      </w:pPr>
      <w:r w:rsidRPr="00762ABA">
        <w:rPr>
          <w:rFonts w:ascii="Aptos" w:hAnsi="Aptos"/>
          <w:color w:val="002060"/>
          <w:szCs w:val="22"/>
        </w:rPr>
        <w:t xml:space="preserve">Singapore-based Platinum Victory </w:t>
      </w:r>
      <w:proofErr w:type="spellStart"/>
      <w:r w:rsidRPr="00762ABA">
        <w:rPr>
          <w:rFonts w:ascii="Aptos" w:hAnsi="Aptos"/>
          <w:color w:val="002060"/>
          <w:szCs w:val="22"/>
        </w:rPr>
        <w:t>Ptl</w:t>
      </w:r>
      <w:proofErr w:type="spellEnd"/>
      <w:r w:rsidRPr="00762ABA">
        <w:rPr>
          <w:rFonts w:ascii="Aptos" w:hAnsi="Aptos"/>
          <w:color w:val="002060"/>
          <w:szCs w:val="22"/>
        </w:rPr>
        <w:t xml:space="preserve"> Ltd became Refrigeration Electrical Engineering Corp (REE)'s largest shareholder, accumulating a 10.2% interest in the company. </w:t>
      </w:r>
    </w:p>
    <w:p w14:paraId="34CEEAEA" w14:textId="77777777" w:rsidR="00762ABA" w:rsidRPr="00762ABA" w:rsidRDefault="00762ABA" w:rsidP="00762ABA">
      <w:pPr>
        <w:pStyle w:val="ACTBulletList1"/>
        <w:tabs>
          <w:tab w:val="clear" w:pos="720"/>
          <w:tab w:val="num" w:pos="360"/>
        </w:tabs>
        <w:spacing w:line="276" w:lineRule="auto"/>
        <w:ind w:left="360" w:firstLine="0"/>
        <w:rPr>
          <w:rFonts w:ascii="Aptos" w:hAnsi="Aptos"/>
          <w:color w:val="002060"/>
          <w:szCs w:val="22"/>
        </w:rPr>
      </w:pPr>
      <w:r w:rsidRPr="00762ABA">
        <w:rPr>
          <w:rFonts w:ascii="Aptos" w:hAnsi="Aptos"/>
          <w:color w:val="002060"/>
          <w:szCs w:val="22"/>
        </w:rPr>
        <w:t xml:space="preserve">Chile's CFR International Spa acquired a 46% stake in healthcare equipment company </w:t>
      </w:r>
      <w:proofErr w:type="spellStart"/>
      <w:r w:rsidRPr="00762ABA">
        <w:rPr>
          <w:rFonts w:ascii="Aptos" w:hAnsi="Aptos"/>
          <w:color w:val="002060"/>
          <w:szCs w:val="22"/>
        </w:rPr>
        <w:t>Domesco</w:t>
      </w:r>
      <w:proofErr w:type="spellEnd"/>
      <w:r w:rsidRPr="00762ABA">
        <w:rPr>
          <w:rFonts w:ascii="Aptos" w:hAnsi="Aptos"/>
          <w:color w:val="002060"/>
          <w:szCs w:val="22"/>
        </w:rPr>
        <w:t xml:space="preserve"> Medical Import-Export Co (DMC), making it the first foreign deal in the pharma sector. </w:t>
      </w:r>
    </w:p>
    <w:p w14:paraId="0116F325" w14:textId="77777777" w:rsidR="00762ABA" w:rsidRPr="00762ABA" w:rsidRDefault="00762ABA" w:rsidP="00762ABA">
      <w:pPr>
        <w:pStyle w:val="ACTParagraph"/>
        <w:spacing w:line="276" w:lineRule="auto"/>
        <w:rPr>
          <w:rFonts w:ascii="Aptos" w:hAnsi="Aptos"/>
          <w:color w:val="002060"/>
          <w:szCs w:val="22"/>
        </w:rPr>
      </w:pPr>
      <w:r w:rsidRPr="00762ABA">
        <w:rPr>
          <w:rFonts w:ascii="Aptos" w:hAnsi="Aptos"/>
          <w:color w:val="002060"/>
          <w:szCs w:val="22"/>
        </w:rPr>
        <w:t>During 2010 and 2011, there were two takeover deals in Vietnam:</w:t>
      </w:r>
    </w:p>
    <w:p w14:paraId="687A87A3" w14:textId="77777777" w:rsidR="00762ABA" w:rsidRPr="00762ABA" w:rsidRDefault="00762ABA" w:rsidP="00762ABA">
      <w:pPr>
        <w:pStyle w:val="ACTBulletList1"/>
        <w:tabs>
          <w:tab w:val="clear" w:pos="720"/>
          <w:tab w:val="num" w:pos="360"/>
        </w:tabs>
        <w:spacing w:line="276" w:lineRule="auto"/>
        <w:ind w:left="360" w:firstLine="0"/>
        <w:rPr>
          <w:rFonts w:ascii="Aptos" w:hAnsi="Aptos"/>
          <w:color w:val="002060"/>
          <w:szCs w:val="22"/>
        </w:rPr>
      </w:pPr>
      <w:r w:rsidRPr="00762ABA">
        <w:rPr>
          <w:rFonts w:ascii="Aptos" w:hAnsi="Aptos"/>
          <w:color w:val="002060"/>
          <w:szCs w:val="22"/>
        </w:rPr>
        <w:t xml:space="preserve">The acquisition of Ha Tay Pharmacy in 2010. </w:t>
      </w:r>
    </w:p>
    <w:p w14:paraId="3FB27712" w14:textId="77777777" w:rsidR="00762ABA" w:rsidRPr="00762ABA" w:rsidRDefault="00762ABA" w:rsidP="00762ABA">
      <w:pPr>
        <w:pStyle w:val="ACTBulletList1"/>
        <w:tabs>
          <w:tab w:val="clear" w:pos="720"/>
          <w:tab w:val="num" w:pos="360"/>
        </w:tabs>
        <w:spacing w:line="276" w:lineRule="auto"/>
        <w:ind w:left="360" w:firstLine="0"/>
        <w:rPr>
          <w:rFonts w:ascii="Aptos" w:hAnsi="Aptos"/>
          <w:color w:val="002060"/>
          <w:szCs w:val="22"/>
        </w:rPr>
      </w:pPr>
      <w:r w:rsidRPr="00762ABA">
        <w:rPr>
          <w:rFonts w:ascii="Aptos" w:hAnsi="Aptos"/>
          <w:color w:val="002060"/>
          <w:szCs w:val="22"/>
        </w:rPr>
        <w:t xml:space="preserve">The acquisition of Descon, a construction company, in 2011. Binh Thien </w:t>
      </w:r>
      <w:proofErr w:type="gramStart"/>
      <w:r w:rsidRPr="00762ABA">
        <w:rPr>
          <w:rFonts w:ascii="Aptos" w:hAnsi="Aptos"/>
          <w:color w:val="002060"/>
          <w:szCs w:val="22"/>
        </w:rPr>
        <w:t>An</w:t>
      </w:r>
      <w:proofErr w:type="gramEnd"/>
      <w:r w:rsidRPr="00762ABA">
        <w:rPr>
          <w:rFonts w:ascii="Aptos" w:hAnsi="Aptos"/>
          <w:color w:val="002060"/>
          <w:szCs w:val="22"/>
        </w:rPr>
        <w:t xml:space="preserve"> Company acquired a 35% shareholding in Descon, officially took over Descon and made significant changes to its management body.</w:t>
      </w:r>
    </w:p>
    <w:p w14:paraId="3C8EC056" w14:textId="77777777" w:rsidR="00762ABA" w:rsidRPr="00762ABA" w:rsidRDefault="00762ABA" w:rsidP="00762ABA">
      <w:pPr>
        <w:pStyle w:val="ACTParagraph"/>
        <w:spacing w:line="276" w:lineRule="auto"/>
        <w:rPr>
          <w:rFonts w:ascii="Aptos" w:hAnsi="Aptos"/>
          <w:color w:val="002060"/>
          <w:szCs w:val="22"/>
        </w:rPr>
      </w:pPr>
      <w:r w:rsidRPr="00762ABA">
        <w:rPr>
          <w:rFonts w:ascii="Aptos" w:hAnsi="Aptos"/>
          <w:color w:val="002060"/>
          <w:szCs w:val="22"/>
        </w:rPr>
        <w:t xml:space="preserve">The Government's Decree No. </w:t>
      </w:r>
      <w:r w:rsidRPr="00762ABA">
        <w:rPr>
          <w:rFonts w:ascii="Aptos" w:hAnsi="Aptos"/>
          <w:color w:val="002060"/>
          <w:szCs w:val="22"/>
          <w:lang w:val="vi-VN"/>
        </w:rPr>
        <w:t>155</w:t>
      </w:r>
      <w:r w:rsidRPr="00762ABA">
        <w:rPr>
          <w:rFonts w:ascii="Aptos" w:hAnsi="Aptos"/>
          <w:color w:val="002060"/>
          <w:szCs w:val="22"/>
        </w:rPr>
        <w:t>/</w:t>
      </w:r>
      <w:r w:rsidRPr="00762ABA">
        <w:rPr>
          <w:rFonts w:ascii="Aptos" w:hAnsi="Aptos"/>
          <w:color w:val="002060"/>
          <w:szCs w:val="22"/>
          <w:lang w:val="vi-VN"/>
        </w:rPr>
        <w:t>2020</w:t>
      </w:r>
      <w:r w:rsidRPr="00762ABA">
        <w:rPr>
          <w:rFonts w:ascii="Aptos" w:hAnsi="Aptos"/>
          <w:color w:val="002060"/>
          <w:szCs w:val="22"/>
        </w:rPr>
        <w:t>/ND-CP lifted the foreign equity cap regarding public companies, with some exceptions (a 49% cap was previously in force). Specifically, the rules on foreign ownership in a listed company can be generally classified into the five following groups:</w:t>
      </w:r>
    </w:p>
    <w:p w14:paraId="4B757211" w14:textId="77777777" w:rsidR="00762ABA" w:rsidRPr="00762ABA" w:rsidRDefault="00762ABA" w:rsidP="00762ABA">
      <w:pPr>
        <w:pStyle w:val="ACTBulletList1"/>
        <w:tabs>
          <w:tab w:val="clear" w:pos="720"/>
          <w:tab w:val="num" w:pos="360"/>
        </w:tabs>
        <w:spacing w:line="276" w:lineRule="auto"/>
        <w:ind w:left="360" w:firstLine="0"/>
        <w:rPr>
          <w:rFonts w:ascii="Aptos" w:hAnsi="Aptos"/>
          <w:color w:val="002060"/>
          <w:szCs w:val="22"/>
        </w:rPr>
      </w:pPr>
      <w:r w:rsidRPr="00762ABA">
        <w:rPr>
          <w:rFonts w:ascii="Aptos" w:hAnsi="Aptos"/>
          <w:color w:val="002060"/>
          <w:szCs w:val="22"/>
        </w:rPr>
        <w:t>If Vietnamese law, including international treaties, provides for a specific ownership cap, the maximum foreign ownership (</w:t>
      </w:r>
      <w:proofErr w:type="spellStart"/>
      <w:r w:rsidRPr="00762ABA">
        <w:rPr>
          <w:rFonts w:ascii="Aptos" w:hAnsi="Aptos"/>
          <w:color w:val="002060"/>
          <w:szCs w:val="22"/>
        </w:rPr>
        <w:t>MFO</w:t>
      </w:r>
      <w:proofErr w:type="spellEnd"/>
      <w:r w:rsidRPr="00762ABA">
        <w:rPr>
          <w:rFonts w:ascii="Aptos" w:hAnsi="Aptos"/>
          <w:color w:val="002060"/>
          <w:szCs w:val="22"/>
        </w:rPr>
        <w:t>) must not exceed such a cap (group 1).</w:t>
      </w:r>
    </w:p>
    <w:p w14:paraId="73A5D34F" w14:textId="77777777" w:rsidR="00762ABA" w:rsidRPr="00762ABA" w:rsidRDefault="00762ABA" w:rsidP="00762ABA">
      <w:pPr>
        <w:pStyle w:val="ACTBulletList1"/>
        <w:tabs>
          <w:tab w:val="clear" w:pos="720"/>
          <w:tab w:val="num" w:pos="360"/>
        </w:tabs>
        <w:spacing w:line="276" w:lineRule="auto"/>
        <w:ind w:left="360" w:firstLine="0"/>
        <w:rPr>
          <w:rFonts w:ascii="Aptos" w:hAnsi="Aptos"/>
          <w:color w:val="002060"/>
          <w:szCs w:val="22"/>
        </w:rPr>
      </w:pPr>
      <w:r w:rsidRPr="00762ABA">
        <w:rPr>
          <w:rFonts w:ascii="Aptos" w:hAnsi="Aptos"/>
          <w:color w:val="002060"/>
          <w:szCs w:val="22"/>
        </w:rPr>
        <w:t xml:space="preserve">If Vietnamese law treats a business activity as conditional on foreign investment (pursuant to the list of conditional sectors under the Investment Law) but does not yet provide any ownership limit, </w:t>
      </w:r>
      <w:proofErr w:type="spellStart"/>
      <w:r w:rsidRPr="00762ABA">
        <w:rPr>
          <w:rFonts w:ascii="Aptos" w:hAnsi="Aptos"/>
          <w:color w:val="002060"/>
          <w:szCs w:val="22"/>
        </w:rPr>
        <w:t>MFO</w:t>
      </w:r>
      <w:proofErr w:type="spellEnd"/>
      <w:r w:rsidRPr="00762ABA">
        <w:rPr>
          <w:rFonts w:ascii="Aptos" w:hAnsi="Aptos"/>
          <w:color w:val="002060"/>
          <w:szCs w:val="22"/>
        </w:rPr>
        <w:t xml:space="preserve"> must not exceed </w:t>
      </w:r>
      <w:r w:rsidRPr="00762ABA">
        <w:rPr>
          <w:rFonts w:ascii="Aptos" w:hAnsi="Aptos"/>
          <w:color w:val="002060"/>
          <w:szCs w:val="22"/>
          <w:lang w:val="vi-VN"/>
        </w:rPr>
        <w:t>50</w:t>
      </w:r>
      <w:r w:rsidRPr="00762ABA">
        <w:rPr>
          <w:rFonts w:ascii="Aptos" w:hAnsi="Aptos"/>
          <w:color w:val="002060"/>
          <w:szCs w:val="22"/>
        </w:rPr>
        <w:t>% (group 2).</w:t>
      </w:r>
    </w:p>
    <w:p w14:paraId="3BA8756F" w14:textId="77777777" w:rsidR="00762ABA" w:rsidRPr="00762ABA" w:rsidRDefault="00762ABA" w:rsidP="00762ABA">
      <w:pPr>
        <w:pStyle w:val="ACTBulletList1"/>
        <w:tabs>
          <w:tab w:val="clear" w:pos="720"/>
          <w:tab w:val="num" w:pos="360"/>
        </w:tabs>
        <w:spacing w:line="276" w:lineRule="auto"/>
        <w:ind w:left="360" w:firstLine="0"/>
        <w:rPr>
          <w:rFonts w:ascii="Aptos" w:hAnsi="Aptos"/>
          <w:color w:val="002060"/>
          <w:szCs w:val="22"/>
        </w:rPr>
      </w:pPr>
      <w:r w:rsidRPr="00762ABA">
        <w:rPr>
          <w:rFonts w:ascii="Aptos" w:hAnsi="Aptos"/>
          <w:color w:val="002060"/>
          <w:szCs w:val="22"/>
        </w:rPr>
        <w:t xml:space="preserve">In cases that do not fall within group 1 and group 2, </w:t>
      </w:r>
      <w:proofErr w:type="spellStart"/>
      <w:r w:rsidRPr="00762ABA">
        <w:rPr>
          <w:rFonts w:ascii="Aptos" w:hAnsi="Aptos"/>
          <w:color w:val="002060"/>
          <w:szCs w:val="22"/>
        </w:rPr>
        <w:t>MFO</w:t>
      </w:r>
      <w:proofErr w:type="spellEnd"/>
      <w:r w:rsidRPr="00762ABA">
        <w:rPr>
          <w:rFonts w:ascii="Aptos" w:hAnsi="Aptos"/>
          <w:color w:val="002060"/>
          <w:szCs w:val="22"/>
        </w:rPr>
        <w:t xml:space="preserve"> can be up to 100% (group 3).</w:t>
      </w:r>
    </w:p>
    <w:p w14:paraId="48AE075A" w14:textId="77777777" w:rsidR="00762ABA" w:rsidRPr="00762ABA" w:rsidRDefault="00762ABA" w:rsidP="00762ABA">
      <w:pPr>
        <w:pStyle w:val="ACTBulletList1"/>
        <w:tabs>
          <w:tab w:val="clear" w:pos="720"/>
          <w:tab w:val="num" w:pos="360"/>
        </w:tabs>
        <w:spacing w:line="276" w:lineRule="auto"/>
        <w:ind w:left="360" w:firstLine="0"/>
        <w:rPr>
          <w:rFonts w:ascii="Aptos" w:hAnsi="Aptos"/>
          <w:color w:val="002060"/>
          <w:szCs w:val="22"/>
        </w:rPr>
      </w:pPr>
      <w:r w:rsidRPr="00762ABA">
        <w:rPr>
          <w:rFonts w:ascii="Aptos" w:hAnsi="Aptos"/>
          <w:color w:val="002060"/>
          <w:szCs w:val="22"/>
        </w:rPr>
        <w:lastRenderedPageBreak/>
        <w:t xml:space="preserve">In case a public company operates in multiple industries and trades with different regulations on the foreign ownership rate, the foreign ownership rate must not exceed the lowest level in the industries and trades with </w:t>
      </w:r>
      <w:r w:rsidRPr="00762ABA">
        <w:rPr>
          <w:rFonts w:ascii="Aptos" w:hAnsi="Aptos"/>
          <w:color w:val="002060"/>
          <w:szCs w:val="22"/>
          <w:lang w:val="en-US"/>
        </w:rPr>
        <w:t xml:space="preserve">determined </w:t>
      </w:r>
      <w:r w:rsidRPr="00762ABA">
        <w:rPr>
          <w:rFonts w:ascii="Aptos" w:hAnsi="Aptos"/>
          <w:color w:val="002060"/>
          <w:szCs w:val="22"/>
        </w:rPr>
        <w:t>foreign ownership rates (group 4).</w:t>
      </w:r>
    </w:p>
    <w:p w14:paraId="575CF457" w14:textId="77777777" w:rsidR="00762ABA" w:rsidRPr="00762ABA" w:rsidRDefault="00762ABA" w:rsidP="00762ABA">
      <w:pPr>
        <w:pStyle w:val="ACTBulletList1"/>
        <w:tabs>
          <w:tab w:val="clear" w:pos="720"/>
          <w:tab w:val="num" w:pos="360"/>
        </w:tabs>
        <w:spacing w:line="276" w:lineRule="auto"/>
        <w:ind w:left="360" w:firstLine="0"/>
        <w:rPr>
          <w:rFonts w:ascii="Aptos" w:hAnsi="Aptos"/>
          <w:color w:val="002060"/>
          <w:szCs w:val="22"/>
        </w:rPr>
      </w:pPr>
      <w:r w:rsidRPr="00762ABA">
        <w:rPr>
          <w:rFonts w:ascii="Aptos" w:hAnsi="Aptos"/>
          <w:color w:val="002060"/>
          <w:szCs w:val="22"/>
        </w:rPr>
        <w:t>Where a public company decides on the maximum foreign ownership ratio lower than the rate specified above, the specific rate must be approved by the General Meeting of Shareholders and included in the company's charter.</w:t>
      </w:r>
    </w:p>
    <w:p w14:paraId="241695FC" w14:textId="77777777" w:rsidR="00762ABA" w:rsidRPr="00762ABA" w:rsidRDefault="00762ABA" w:rsidP="00762ABA">
      <w:pPr>
        <w:pStyle w:val="ACTParagraph"/>
        <w:spacing w:line="276" w:lineRule="auto"/>
        <w:rPr>
          <w:rFonts w:ascii="Aptos" w:hAnsi="Aptos"/>
          <w:color w:val="002060"/>
          <w:szCs w:val="22"/>
        </w:rPr>
      </w:pPr>
      <w:r w:rsidRPr="00762ABA">
        <w:rPr>
          <w:rFonts w:ascii="Aptos" w:hAnsi="Aptos"/>
          <w:color w:val="002060"/>
          <w:szCs w:val="22"/>
        </w:rPr>
        <w:t xml:space="preserve">This lift of the foreign equity cap can </w:t>
      </w:r>
      <w:r w:rsidRPr="00762ABA">
        <w:rPr>
          <w:rFonts w:ascii="Aptos" w:hAnsi="Aptos"/>
          <w:color w:val="002060"/>
          <w:szCs w:val="22"/>
          <w:lang w:val="vi-VN"/>
        </w:rPr>
        <w:t xml:space="preserve">introduce </w:t>
      </w:r>
      <w:r w:rsidRPr="00762ABA">
        <w:rPr>
          <w:rFonts w:ascii="Aptos" w:hAnsi="Aptos"/>
          <w:color w:val="002060"/>
          <w:szCs w:val="22"/>
        </w:rPr>
        <w:t>more hostile bids in Vietnam.</w:t>
      </w:r>
    </w:p>
    <w:p w14:paraId="11849900" w14:textId="77777777" w:rsidR="00762ABA" w:rsidRPr="00762ABA" w:rsidRDefault="00762ABA" w:rsidP="00762ABA">
      <w:pPr>
        <w:numPr>
          <w:ilvl w:val="0"/>
          <w:numId w:val="27"/>
        </w:numPr>
        <w:shd w:val="clear" w:color="auto" w:fill="FFFFFF"/>
        <w:spacing w:after="300"/>
        <w:ind w:left="270" w:firstLine="0"/>
        <w:outlineLvl w:val="1"/>
        <w:rPr>
          <w:rFonts w:ascii="Aptos" w:eastAsia="Times New Roman" w:hAnsi="Aptos" w:cs="Times New Roman"/>
          <w:b/>
          <w:bCs/>
          <w:color w:val="002060"/>
        </w:rPr>
      </w:pPr>
      <w:bookmarkStart w:id="95" w:name="_Toc223006365"/>
      <w:r w:rsidRPr="00762ABA">
        <w:rPr>
          <w:rFonts w:ascii="Aptos" w:eastAsia="Times New Roman" w:hAnsi="Aptos" w:cs="Times New Roman"/>
          <w:b/>
          <w:bCs/>
          <w:color w:val="002060"/>
        </w:rPr>
        <w:t>What protections do directors of a target company have against a hostile approach?</w:t>
      </w:r>
      <w:bookmarkEnd w:id="95"/>
    </w:p>
    <w:p w14:paraId="26EE4E2C" w14:textId="77777777" w:rsidR="00762ABA" w:rsidRPr="00762ABA" w:rsidRDefault="00762ABA" w:rsidP="00762ABA">
      <w:pPr>
        <w:shd w:val="clear" w:color="auto" w:fill="FFFFFF"/>
        <w:spacing w:after="300"/>
        <w:ind w:left="270" w:hanging="270"/>
        <w:outlineLvl w:val="1"/>
        <w:rPr>
          <w:rFonts w:ascii="Aptos" w:eastAsia="Times New Roman" w:hAnsi="Aptos" w:cs="Times New Roman"/>
          <w:b/>
          <w:bCs/>
          <w:color w:val="002060"/>
        </w:rPr>
      </w:pPr>
      <w:bookmarkStart w:id="96" w:name="_Toc223006366"/>
      <w:r w:rsidRPr="00762ABA">
        <w:rPr>
          <w:rFonts w:ascii="Aptos" w:hAnsi="Aptos" w:cs="Times New Roman"/>
          <w:color w:val="002060"/>
        </w:rPr>
        <w:t>There are no provisions regulating hostile bids under Vietnamese law.</w:t>
      </w:r>
      <w:bookmarkEnd w:id="96"/>
    </w:p>
    <w:p w14:paraId="1F39B82A" w14:textId="77777777" w:rsidR="00762ABA" w:rsidRPr="00762ABA" w:rsidRDefault="00762ABA" w:rsidP="00762ABA">
      <w:pPr>
        <w:numPr>
          <w:ilvl w:val="0"/>
          <w:numId w:val="27"/>
        </w:numPr>
        <w:shd w:val="clear" w:color="auto" w:fill="FFFFFF"/>
        <w:spacing w:after="300"/>
        <w:ind w:left="270" w:firstLine="0"/>
        <w:outlineLvl w:val="1"/>
        <w:rPr>
          <w:rFonts w:ascii="Aptos" w:eastAsia="Times New Roman" w:hAnsi="Aptos" w:cs="Times New Roman"/>
          <w:b/>
          <w:bCs/>
          <w:color w:val="002060"/>
        </w:rPr>
      </w:pPr>
      <w:bookmarkStart w:id="97" w:name="_Toc223006367"/>
      <w:r w:rsidRPr="00762ABA">
        <w:rPr>
          <w:rFonts w:ascii="Aptos" w:eastAsia="Times New Roman" w:hAnsi="Aptos" w:cs="Times New Roman"/>
          <w:b/>
          <w:bCs/>
          <w:color w:val="002060"/>
        </w:rPr>
        <w:t>Are there circumstances where a buyer may have to make a mandatory or compulsory offer for a target company?</w:t>
      </w:r>
      <w:bookmarkEnd w:id="97"/>
    </w:p>
    <w:p w14:paraId="045AF65B" w14:textId="77777777" w:rsidR="00762ABA" w:rsidRPr="00762ABA" w:rsidRDefault="00762ABA" w:rsidP="00762ABA">
      <w:pPr>
        <w:pStyle w:val="ACTBulletList1"/>
        <w:numPr>
          <w:ilvl w:val="0"/>
          <w:numId w:val="0"/>
        </w:numPr>
        <w:spacing w:line="276" w:lineRule="auto"/>
        <w:rPr>
          <w:rFonts w:ascii="Aptos" w:hAnsi="Aptos"/>
          <w:color w:val="002060"/>
          <w:szCs w:val="22"/>
        </w:rPr>
      </w:pPr>
      <w:r w:rsidRPr="00762ABA">
        <w:rPr>
          <w:rFonts w:ascii="Aptos" w:hAnsi="Aptos"/>
          <w:color w:val="002060"/>
          <w:szCs w:val="22"/>
        </w:rPr>
        <w:t>It is mandatory for a tender offer to be made by any investor and its related persons (except investment funds and funds management companies) in the following cases:</w:t>
      </w:r>
    </w:p>
    <w:p w14:paraId="30A9C565" w14:textId="77777777" w:rsidR="00762ABA" w:rsidRPr="00762ABA" w:rsidRDefault="00762ABA" w:rsidP="00762ABA">
      <w:pPr>
        <w:pStyle w:val="ACTBulletList1"/>
        <w:tabs>
          <w:tab w:val="clear" w:pos="720"/>
          <w:tab w:val="num" w:pos="360"/>
        </w:tabs>
        <w:spacing w:line="276" w:lineRule="auto"/>
        <w:ind w:left="360" w:firstLine="0"/>
        <w:rPr>
          <w:rFonts w:ascii="Aptos" w:hAnsi="Aptos"/>
          <w:color w:val="002060"/>
          <w:szCs w:val="22"/>
        </w:rPr>
      </w:pPr>
      <w:r w:rsidRPr="00762ABA">
        <w:rPr>
          <w:rFonts w:ascii="Aptos" w:hAnsi="Aptos"/>
          <w:color w:val="002060"/>
          <w:szCs w:val="22"/>
        </w:rPr>
        <w:t xml:space="preserve">intention to purchase of circulating voting shares by said entities with no or less than 25% shareholding, which results in the direct or indirect ownership of 25% or more of the total voting shares of the company targeted for </w:t>
      </w:r>
      <w:proofErr w:type="gramStart"/>
      <w:r w:rsidRPr="00762ABA">
        <w:rPr>
          <w:rFonts w:ascii="Aptos" w:hAnsi="Aptos"/>
          <w:color w:val="002060"/>
          <w:szCs w:val="22"/>
        </w:rPr>
        <w:t>acquisition;</w:t>
      </w:r>
      <w:proofErr w:type="gramEnd"/>
    </w:p>
    <w:p w14:paraId="7C068057" w14:textId="77777777" w:rsidR="00762ABA" w:rsidRPr="00762ABA" w:rsidRDefault="00762ABA" w:rsidP="00762ABA">
      <w:pPr>
        <w:pStyle w:val="ACTBulletList1"/>
        <w:tabs>
          <w:tab w:val="clear" w:pos="720"/>
          <w:tab w:val="num" w:pos="360"/>
        </w:tabs>
        <w:spacing w:line="276" w:lineRule="auto"/>
        <w:ind w:left="360" w:firstLine="0"/>
        <w:rPr>
          <w:rFonts w:ascii="Aptos" w:hAnsi="Aptos"/>
          <w:color w:val="002060"/>
          <w:szCs w:val="22"/>
        </w:rPr>
      </w:pPr>
      <w:r w:rsidRPr="00762ABA">
        <w:rPr>
          <w:rFonts w:ascii="Aptos" w:hAnsi="Aptos"/>
          <w:color w:val="002060"/>
          <w:szCs w:val="22"/>
        </w:rPr>
        <w:t>intention to purchase of circulating voting shares by said entities with pre-existing 25% or more shareholding, which results in the direct or indirect ownership reaching or exceeding the 35%, 45%, 55%, 65%, and 75% thresholds of the total voting shares of the target company; and</w:t>
      </w:r>
    </w:p>
    <w:p w14:paraId="207682D7" w14:textId="77777777" w:rsidR="00762ABA" w:rsidRPr="00762ABA" w:rsidRDefault="00762ABA" w:rsidP="00762ABA">
      <w:pPr>
        <w:pStyle w:val="ACTBulletList1"/>
        <w:tabs>
          <w:tab w:val="clear" w:pos="720"/>
          <w:tab w:val="num" w:pos="360"/>
        </w:tabs>
        <w:spacing w:line="276" w:lineRule="auto"/>
        <w:ind w:left="360" w:firstLine="0"/>
        <w:rPr>
          <w:rFonts w:ascii="Aptos" w:hAnsi="Aptos"/>
          <w:color w:val="002060"/>
          <w:szCs w:val="22"/>
        </w:rPr>
      </w:pPr>
      <w:r w:rsidRPr="00762ABA">
        <w:rPr>
          <w:rFonts w:ascii="Aptos" w:hAnsi="Aptos"/>
          <w:color w:val="002060"/>
          <w:szCs w:val="22"/>
        </w:rPr>
        <w:t>after a tender offer, if said entities have acquired 80% or more of the total voting shares of a listed company or outstanding fund certificates of a closed-end fund then it is mandatory to purchase the shares or fund being held by the remaining shareholders, unless all voting shares or outstanding fund have been bid for.</w:t>
      </w:r>
    </w:p>
    <w:p w14:paraId="7D86480B" w14:textId="77777777" w:rsidR="00762ABA" w:rsidRPr="00762ABA" w:rsidRDefault="00762ABA" w:rsidP="00762ABA">
      <w:pPr>
        <w:numPr>
          <w:ilvl w:val="0"/>
          <w:numId w:val="27"/>
        </w:numPr>
        <w:shd w:val="clear" w:color="auto" w:fill="FFFFFF"/>
        <w:spacing w:after="300"/>
        <w:ind w:left="270" w:firstLine="0"/>
        <w:outlineLvl w:val="1"/>
        <w:rPr>
          <w:rFonts w:ascii="Aptos" w:eastAsia="Times New Roman" w:hAnsi="Aptos" w:cs="Times New Roman"/>
          <w:b/>
          <w:bCs/>
          <w:color w:val="002060"/>
        </w:rPr>
      </w:pPr>
      <w:bookmarkStart w:id="98" w:name="_Toc223006368"/>
      <w:r w:rsidRPr="00762ABA">
        <w:rPr>
          <w:rFonts w:ascii="Aptos" w:eastAsia="Times New Roman" w:hAnsi="Aptos" w:cs="Times New Roman"/>
          <w:b/>
          <w:bCs/>
          <w:color w:val="002060"/>
        </w:rPr>
        <w:t>If an acquirer does not obtain full control of a target company, what rights do minority shareholders enjoy?</w:t>
      </w:r>
      <w:bookmarkEnd w:id="98"/>
    </w:p>
    <w:p w14:paraId="2386DB50" w14:textId="77777777" w:rsidR="00762ABA" w:rsidRPr="00762ABA" w:rsidRDefault="00762ABA" w:rsidP="00762ABA">
      <w:pPr>
        <w:shd w:val="clear" w:color="auto" w:fill="FFFFFF"/>
        <w:spacing w:after="300"/>
        <w:outlineLvl w:val="1"/>
        <w:rPr>
          <w:rFonts w:ascii="Aptos" w:hAnsi="Aptos" w:cs="Times New Roman"/>
          <w:color w:val="002060"/>
          <w:shd w:val="clear" w:color="auto" w:fill="FFFFFF"/>
        </w:rPr>
      </w:pPr>
      <w:bookmarkStart w:id="99" w:name="_Toc223006369"/>
      <w:r w:rsidRPr="00762ABA">
        <w:rPr>
          <w:rFonts w:ascii="Aptos" w:hAnsi="Aptos" w:cs="Times New Roman"/>
          <w:color w:val="002060"/>
          <w:shd w:val="clear" w:color="auto" w:fill="FFFFFF"/>
        </w:rPr>
        <w:t>Minority shareholders continue to enjoy full rights as shareholders, such as voting rights and rights to receive distributions of dividends. However, as shareholders may only participate in the management of a company indirectly through a shareholders’ resolution, minority shareholders have limited right to affect the management of the company.</w:t>
      </w:r>
      <w:bookmarkEnd w:id="99"/>
    </w:p>
    <w:p w14:paraId="079855B9" w14:textId="77777777" w:rsidR="00762ABA" w:rsidRPr="00762ABA" w:rsidRDefault="00762ABA" w:rsidP="00762ABA">
      <w:pPr>
        <w:pStyle w:val="NormalWeb"/>
        <w:shd w:val="clear" w:color="auto" w:fill="FFFFFF"/>
        <w:spacing w:before="120" w:beforeAutospacing="0" w:after="120" w:afterAutospacing="0" w:line="276" w:lineRule="auto"/>
        <w:rPr>
          <w:rFonts w:ascii="Aptos" w:hAnsi="Aptos"/>
          <w:color w:val="002060"/>
          <w:sz w:val="22"/>
          <w:szCs w:val="22"/>
        </w:rPr>
      </w:pPr>
      <w:r w:rsidRPr="00762ABA">
        <w:rPr>
          <w:rFonts w:ascii="Aptos" w:hAnsi="Aptos"/>
          <w:color w:val="002060"/>
          <w:sz w:val="22"/>
          <w:szCs w:val="22"/>
          <w:shd w:val="clear" w:color="auto" w:fill="FFFFFF"/>
          <w:lang w:val="vi-VN"/>
        </w:rPr>
        <w:t>Under Enterprise L</w:t>
      </w:r>
      <w:r w:rsidRPr="00762ABA">
        <w:rPr>
          <w:rFonts w:ascii="Aptos" w:hAnsi="Aptos"/>
          <w:color w:val="002060"/>
          <w:sz w:val="22"/>
          <w:szCs w:val="22"/>
          <w:shd w:val="clear" w:color="auto" w:fill="FFFFFF"/>
        </w:rPr>
        <w:t xml:space="preserve">aw 2020, </w:t>
      </w:r>
      <w:r w:rsidRPr="00762ABA">
        <w:rPr>
          <w:rFonts w:ascii="Aptos" w:hAnsi="Aptos"/>
          <w:color w:val="002060"/>
          <w:sz w:val="22"/>
          <w:szCs w:val="22"/>
        </w:rPr>
        <w:t>a shareholder or group of shareholders that holds at least 5% of the ordinary shares (or a smaller ratio specified in the company's charter) shall have the rights to:</w:t>
      </w:r>
    </w:p>
    <w:p w14:paraId="7A1D3C85" w14:textId="77777777" w:rsidR="00762ABA" w:rsidRPr="00762ABA" w:rsidRDefault="00762ABA" w:rsidP="00762ABA">
      <w:pPr>
        <w:pStyle w:val="ListParagraph"/>
        <w:numPr>
          <w:ilvl w:val="0"/>
          <w:numId w:val="38"/>
        </w:numPr>
        <w:shd w:val="clear" w:color="auto" w:fill="FFFFFF"/>
        <w:spacing w:before="120" w:after="120"/>
        <w:rPr>
          <w:rFonts w:ascii="Aptos" w:eastAsia="Times New Roman" w:hAnsi="Aptos" w:cs="Times New Roman"/>
          <w:color w:val="002060"/>
        </w:rPr>
      </w:pPr>
      <w:r w:rsidRPr="00762ABA">
        <w:rPr>
          <w:rFonts w:ascii="Aptos" w:eastAsia="Times New Roman" w:hAnsi="Aptos" w:cs="Times New Roman"/>
          <w:color w:val="002060"/>
        </w:rPr>
        <w:t xml:space="preserve">Access, extract the minutes of meetings, resolutions and decisions of the Board of Directors, mid-year and annual financial statements, reports of the Board of Controllers, contracts and transactions subject to approval by the Board of Directors and other documents except those that involve the company’s business </w:t>
      </w:r>
      <w:proofErr w:type="gramStart"/>
      <w:r w:rsidRPr="00762ABA">
        <w:rPr>
          <w:rFonts w:ascii="Aptos" w:eastAsia="Times New Roman" w:hAnsi="Aptos" w:cs="Times New Roman"/>
          <w:color w:val="002060"/>
        </w:rPr>
        <w:t>secrets;</w:t>
      </w:r>
      <w:proofErr w:type="gramEnd"/>
    </w:p>
    <w:p w14:paraId="4EA7C1DC" w14:textId="77777777" w:rsidR="00762ABA" w:rsidRPr="00762ABA" w:rsidRDefault="00762ABA" w:rsidP="00762ABA">
      <w:pPr>
        <w:pStyle w:val="NormalWeb"/>
        <w:numPr>
          <w:ilvl w:val="0"/>
          <w:numId w:val="38"/>
        </w:numPr>
        <w:shd w:val="clear" w:color="auto" w:fill="FFFFFF"/>
        <w:spacing w:before="120" w:beforeAutospacing="0" w:after="120" w:afterAutospacing="0" w:line="276" w:lineRule="auto"/>
        <w:rPr>
          <w:rFonts w:ascii="Aptos" w:hAnsi="Aptos"/>
          <w:color w:val="002060"/>
          <w:sz w:val="22"/>
          <w:szCs w:val="22"/>
        </w:rPr>
      </w:pPr>
      <w:r w:rsidRPr="00762ABA">
        <w:rPr>
          <w:rFonts w:ascii="Aptos" w:hAnsi="Aptos"/>
          <w:color w:val="002060"/>
          <w:sz w:val="22"/>
          <w:szCs w:val="22"/>
        </w:rPr>
        <w:t>Demand that a GMS be convened in case</w:t>
      </w:r>
    </w:p>
    <w:p w14:paraId="14C50564" w14:textId="77777777" w:rsidR="00762ABA" w:rsidRPr="00762ABA" w:rsidRDefault="00762ABA" w:rsidP="00762ABA">
      <w:pPr>
        <w:pStyle w:val="NormalWeb"/>
        <w:numPr>
          <w:ilvl w:val="0"/>
          <w:numId w:val="39"/>
        </w:numPr>
        <w:shd w:val="clear" w:color="auto" w:fill="FFFFFF"/>
        <w:spacing w:before="120" w:beforeAutospacing="0" w:after="120" w:afterAutospacing="0" w:line="276" w:lineRule="auto"/>
        <w:rPr>
          <w:rFonts w:ascii="Aptos" w:hAnsi="Aptos"/>
          <w:color w:val="002060"/>
          <w:sz w:val="22"/>
          <w:szCs w:val="22"/>
        </w:rPr>
      </w:pPr>
      <w:r w:rsidRPr="00762ABA">
        <w:rPr>
          <w:rFonts w:ascii="Aptos" w:hAnsi="Aptos"/>
          <w:color w:val="002060"/>
          <w:sz w:val="22"/>
          <w:szCs w:val="22"/>
        </w:rPr>
        <w:lastRenderedPageBreak/>
        <w:t xml:space="preserve">the Board of Directors seriously violates the shareholders’ rights, obligations of executives or issues decisions ultra </w:t>
      </w:r>
      <w:proofErr w:type="gramStart"/>
      <w:r w:rsidRPr="00762ABA">
        <w:rPr>
          <w:rFonts w:ascii="Aptos" w:hAnsi="Aptos"/>
          <w:color w:val="002060"/>
          <w:sz w:val="22"/>
          <w:szCs w:val="22"/>
        </w:rPr>
        <w:t>vires;</w:t>
      </w:r>
      <w:proofErr w:type="gramEnd"/>
    </w:p>
    <w:p w14:paraId="656C9974" w14:textId="77777777" w:rsidR="00762ABA" w:rsidRPr="00762ABA" w:rsidRDefault="00762ABA" w:rsidP="00762ABA">
      <w:pPr>
        <w:pStyle w:val="ListParagraph"/>
        <w:numPr>
          <w:ilvl w:val="0"/>
          <w:numId w:val="39"/>
        </w:numPr>
        <w:shd w:val="clear" w:color="auto" w:fill="FFFFFF"/>
        <w:spacing w:before="120" w:after="120"/>
        <w:rPr>
          <w:rFonts w:ascii="Aptos" w:eastAsia="Times New Roman" w:hAnsi="Aptos" w:cs="Times New Roman"/>
          <w:color w:val="002060"/>
        </w:rPr>
      </w:pPr>
      <w:r w:rsidRPr="00762ABA">
        <w:rPr>
          <w:rFonts w:ascii="Aptos" w:eastAsia="Times New Roman" w:hAnsi="Aptos" w:cs="Times New Roman"/>
          <w:color w:val="002060"/>
        </w:rPr>
        <w:t>other cases prescribed by the company's charter.</w:t>
      </w:r>
    </w:p>
    <w:p w14:paraId="1247E5F6" w14:textId="77777777" w:rsidR="00762ABA" w:rsidRPr="00762ABA" w:rsidRDefault="00762ABA" w:rsidP="00762ABA">
      <w:pPr>
        <w:pStyle w:val="ListParagraph"/>
        <w:shd w:val="clear" w:color="auto" w:fill="FFFFFF"/>
        <w:spacing w:before="120" w:after="120"/>
        <w:ind w:left="765"/>
        <w:rPr>
          <w:rFonts w:ascii="Aptos" w:eastAsia="Times New Roman" w:hAnsi="Aptos" w:cs="Times New Roman"/>
          <w:color w:val="002060"/>
        </w:rPr>
      </w:pPr>
    </w:p>
    <w:p w14:paraId="6B4DDAA4" w14:textId="77777777" w:rsidR="00762ABA" w:rsidRPr="00762ABA" w:rsidRDefault="00762ABA" w:rsidP="00762ABA">
      <w:pPr>
        <w:pStyle w:val="ListParagraph"/>
        <w:numPr>
          <w:ilvl w:val="0"/>
          <w:numId w:val="40"/>
        </w:numPr>
        <w:shd w:val="clear" w:color="auto" w:fill="FFFFFF"/>
        <w:spacing w:before="120" w:after="120"/>
        <w:rPr>
          <w:rFonts w:ascii="Aptos" w:eastAsia="Times New Roman" w:hAnsi="Aptos" w:cs="Times New Roman"/>
          <w:color w:val="002060"/>
        </w:rPr>
      </w:pPr>
      <w:r w:rsidRPr="00762ABA">
        <w:rPr>
          <w:rFonts w:ascii="Aptos" w:eastAsia="Times New Roman" w:hAnsi="Aptos" w:cs="Times New Roman"/>
          <w:color w:val="002060"/>
        </w:rPr>
        <w:t>Request the Board of Controllers to investigate into specific matters relevant to the company’s administration where necessary</w:t>
      </w:r>
    </w:p>
    <w:p w14:paraId="24C9C256" w14:textId="77777777" w:rsidR="00762ABA" w:rsidRPr="00762ABA" w:rsidRDefault="00762ABA" w:rsidP="00762ABA">
      <w:pPr>
        <w:numPr>
          <w:ilvl w:val="0"/>
          <w:numId w:val="27"/>
        </w:numPr>
        <w:shd w:val="clear" w:color="auto" w:fill="FFFFFF"/>
        <w:spacing w:after="160"/>
        <w:ind w:left="270" w:firstLine="0"/>
        <w:outlineLvl w:val="1"/>
        <w:rPr>
          <w:rFonts w:ascii="Aptos" w:eastAsia="Times New Roman" w:hAnsi="Aptos" w:cs="Times New Roman"/>
          <w:b/>
          <w:bCs/>
          <w:color w:val="002060"/>
        </w:rPr>
      </w:pPr>
      <w:bookmarkStart w:id="100" w:name="_Toc223006370"/>
      <w:r w:rsidRPr="00762ABA">
        <w:rPr>
          <w:rFonts w:ascii="Aptos" w:eastAsia="Times New Roman" w:hAnsi="Aptos" w:cs="Times New Roman"/>
          <w:b/>
          <w:bCs/>
          <w:color w:val="002060"/>
        </w:rPr>
        <w:t>Is a mechanism available to compulsorily acquire minority stakes?</w:t>
      </w:r>
      <w:bookmarkEnd w:id="100"/>
    </w:p>
    <w:p w14:paraId="6B31215A" w14:textId="77777777" w:rsidR="00762ABA" w:rsidRPr="00762ABA" w:rsidRDefault="00762ABA" w:rsidP="00762ABA">
      <w:pPr>
        <w:shd w:val="clear" w:color="auto" w:fill="FFFFFF"/>
        <w:ind w:left="270"/>
        <w:rPr>
          <w:rFonts w:ascii="Aptos" w:eastAsia="Times New Roman" w:hAnsi="Aptos" w:cs="Times New Roman"/>
          <w:color w:val="002060"/>
        </w:rPr>
      </w:pPr>
      <w:r w:rsidRPr="00762ABA">
        <w:rPr>
          <w:rFonts w:ascii="Aptos" w:eastAsia="Times New Roman" w:hAnsi="Aptos" w:cs="Times New Roman"/>
          <w:color w:val="002060"/>
        </w:rPr>
        <w:t>If the bidder acquires 80% or more of the shares of a public company, it must buy the remaining shares of the same type of other shareholders (if they so request) at the bid price within 30 days. However, there are no "squeeze-out" rights that can force the remaining shareholders to sell their shares.</w:t>
      </w:r>
    </w:p>
    <w:p w14:paraId="56D957CE" w14:textId="77777777" w:rsidR="00762ABA" w:rsidRPr="00762ABA" w:rsidRDefault="00762ABA" w:rsidP="00762ABA">
      <w:pPr>
        <w:shd w:val="clear" w:color="auto" w:fill="FFFFFF"/>
        <w:ind w:left="270"/>
        <w:jc w:val="center"/>
        <w:rPr>
          <w:rFonts w:ascii="Aptos" w:eastAsia="Times New Roman" w:hAnsi="Aptos" w:cs="Times New Roman"/>
          <w:color w:val="002060"/>
        </w:rPr>
      </w:pPr>
      <w:r w:rsidRPr="00762ABA">
        <w:rPr>
          <w:rFonts w:ascii="Aptos" w:eastAsia="Times New Roman" w:hAnsi="Aptos" w:cs="Times New Roman"/>
          <w:color w:val="002060"/>
        </w:rPr>
        <w:t>***</w:t>
      </w:r>
    </w:p>
    <w:p w14:paraId="6B0A5911" w14:textId="77777777" w:rsidR="00762ABA" w:rsidRPr="00762ABA" w:rsidRDefault="00762ABA" w:rsidP="00762ABA">
      <w:pPr>
        <w:spacing w:line="242" w:lineRule="auto"/>
        <w:ind w:right="454"/>
        <w:jc w:val="both"/>
        <w:rPr>
          <w:rFonts w:ascii="Aptos" w:eastAsia="Times New Roman" w:hAnsi="Aptos" w:cs="Times New Roman"/>
          <w:color w:val="002060"/>
        </w:rPr>
      </w:pPr>
      <w:r w:rsidRPr="00762ABA">
        <w:rPr>
          <w:rFonts w:ascii="Aptos" w:eastAsia="Times New Roman" w:hAnsi="Aptos" w:cs="Times New Roman"/>
          <w:color w:val="002060"/>
        </w:rPr>
        <w:t xml:space="preserve">If you have any question on the above, please do not hesitate to contact Dr. Oliver Massmann </w:t>
      </w:r>
      <w:hyperlink r:id="rId9">
        <w:r w:rsidRPr="00762ABA">
          <w:rPr>
            <w:rFonts w:ascii="Aptos" w:eastAsia="Times New Roman" w:hAnsi="Aptos" w:cs="Times New Roman"/>
            <w:color w:val="002060"/>
          </w:rPr>
          <w:t>under omassmann@duanemorris.com.</w:t>
        </w:r>
      </w:hyperlink>
      <w:r w:rsidRPr="00762ABA">
        <w:rPr>
          <w:rFonts w:ascii="Aptos" w:eastAsia="Times New Roman" w:hAnsi="Aptos" w:cs="Times New Roman"/>
          <w:color w:val="002060"/>
        </w:rPr>
        <w:t xml:space="preserve"> Dr. Oliver Massmann is the general director of Duane Morris Vietnam LLC.</w:t>
      </w:r>
    </w:p>
    <w:p w14:paraId="0707DC36" w14:textId="77777777" w:rsidR="00762ABA" w:rsidRPr="000A3480" w:rsidRDefault="00762ABA" w:rsidP="00762ABA">
      <w:pPr>
        <w:rPr>
          <w:rFonts w:ascii="Times New Roman" w:hAnsi="Times New Roman" w:cs="Times New Roman"/>
        </w:rPr>
      </w:pPr>
    </w:p>
    <w:p w14:paraId="7E6FB75A" w14:textId="77777777" w:rsidR="00762ABA" w:rsidRDefault="00762ABA" w:rsidP="00762ABA">
      <w:pPr>
        <w:spacing w:line="288" w:lineRule="auto"/>
        <w:jc w:val="right"/>
        <w:rPr>
          <w:rStyle w:val="Hyperlink"/>
          <w:rFonts w:ascii="Aptos" w:eastAsia="Malgun Gothic" w:hAnsi="Aptos" w:cs="Times New Roman"/>
          <w:color w:val="002060"/>
        </w:rPr>
      </w:pPr>
      <w:hyperlink w:anchor="_top" w:history="1">
        <w:r w:rsidRPr="004C6CBE">
          <w:rPr>
            <w:rStyle w:val="Hyperlink"/>
            <w:rFonts w:ascii="Aptos" w:eastAsia="Malgun Gothic" w:hAnsi="Aptos" w:cs="Times New Roman"/>
            <w:color w:val="002060"/>
          </w:rPr>
          <w:t>Back to Top</w:t>
        </w:r>
      </w:hyperlink>
    </w:p>
    <w:p w14:paraId="5397C0FC" w14:textId="77777777" w:rsidR="00762ABA" w:rsidRPr="000A3480" w:rsidRDefault="00762ABA" w:rsidP="00762ABA">
      <w:pPr>
        <w:rPr>
          <w:rFonts w:ascii="Times New Roman" w:hAnsi="Times New Roman" w:cs="Times New Roman"/>
        </w:rPr>
      </w:pPr>
    </w:p>
    <w:p w14:paraId="7FD35451" w14:textId="77777777" w:rsidR="00762ABA" w:rsidRPr="000A3480" w:rsidRDefault="00762ABA" w:rsidP="00762ABA">
      <w:pPr>
        <w:shd w:val="clear" w:color="auto" w:fill="FFFFFF"/>
        <w:ind w:left="270"/>
        <w:outlineLvl w:val="1"/>
        <w:rPr>
          <w:rFonts w:ascii="Times New Roman" w:eastAsia="Times New Roman" w:hAnsi="Times New Roman" w:cs="Times New Roman"/>
          <w:b/>
          <w:bCs/>
          <w:color w:val="000000"/>
        </w:rPr>
      </w:pPr>
    </w:p>
    <w:bookmarkEnd w:id="64"/>
    <w:p w14:paraId="6956A048" w14:textId="77777777" w:rsidR="00762ABA" w:rsidRPr="000A3480" w:rsidRDefault="00762ABA" w:rsidP="00762ABA">
      <w:pPr>
        <w:rPr>
          <w:rFonts w:ascii="Times New Roman" w:hAnsi="Times New Roman" w:cs="Times New Roman"/>
        </w:rPr>
      </w:pPr>
    </w:p>
    <w:p w14:paraId="70BF1111" w14:textId="77777777" w:rsidR="00E75D94" w:rsidRPr="00E75D94" w:rsidRDefault="00E75D94" w:rsidP="00E75D94"/>
    <w:p w14:paraId="3437BF05" w14:textId="77777777" w:rsidR="00A57988" w:rsidRDefault="00687F12" w:rsidP="00A57988">
      <w:pPr>
        <w:pStyle w:val="Heading1"/>
        <w:shd w:val="clear" w:color="auto" w:fill="FFFFFF"/>
        <w:spacing w:before="0" w:line="288" w:lineRule="atLeast"/>
        <w:rPr>
          <w:rFonts w:ascii="Aptos" w:eastAsia="Malgun Gothic" w:hAnsi="Aptos" w:cs="Times New Roman"/>
          <w:color w:val="002060"/>
        </w:rPr>
      </w:pPr>
      <w:bookmarkStart w:id="101" w:name="_Toc215750949"/>
      <w:bookmarkStart w:id="102" w:name="_Toc216355044"/>
      <w:bookmarkStart w:id="103" w:name="_Toc216965792"/>
      <w:bookmarkStart w:id="104" w:name="_Toc217639118"/>
      <w:bookmarkStart w:id="105" w:name="_Toc218772667"/>
      <w:bookmarkStart w:id="106" w:name="_Toc219377433"/>
      <w:bookmarkStart w:id="107" w:name="_Toc219985590"/>
      <w:bookmarkStart w:id="108" w:name="_Toc220587248"/>
      <w:bookmarkStart w:id="109" w:name="_Toc221194725"/>
      <w:bookmarkStart w:id="110" w:name="_Toc223006371"/>
      <w:r w:rsidRPr="004C6CBE">
        <w:rPr>
          <w:rFonts w:ascii="Aptos" w:eastAsia="Malgun Gothic" w:hAnsi="Aptos" w:cs="Times New Roman"/>
          <w:color w:val="002060"/>
        </w:rPr>
        <w:t>FINANCE</w:t>
      </w:r>
      <w:bookmarkStart w:id="111" w:name="_Toc28949349"/>
      <w:bookmarkStart w:id="112" w:name="_Toc29553153"/>
      <w:bookmarkStart w:id="113" w:name="_Toc31365275"/>
      <w:bookmarkStart w:id="114" w:name="_Toc31968678"/>
      <w:bookmarkStart w:id="115" w:name="_Toc33177772"/>
      <w:bookmarkStart w:id="116" w:name="_Toc33784195"/>
      <w:bookmarkStart w:id="117" w:name="_Toc34387332"/>
      <w:bookmarkStart w:id="118" w:name="_Toc34992442"/>
      <w:bookmarkStart w:id="119" w:name="_Toc36200889"/>
      <w:bookmarkStart w:id="120" w:name="_Toc36804857"/>
      <w:bookmarkStart w:id="121" w:name="_Toc37412091"/>
      <w:bookmarkStart w:id="122" w:name="_Toc38016885"/>
      <w:bookmarkStart w:id="123" w:name="_Toc38623235"/>
      <w:bookmarkStart w:id="124" w:name="_Toc47007101"/>
      <w:bookmarkStart w:id="125" w:name="_Toc47608047"/>
      <w:bookmarkStart w:id="126" w:name="_Toc48219500"/>
      <w:bookmarkStart w:id="127" w:name="_Toc48816704"/>
      <w:bookmarkStart w:id="128" w:name="_Toc49427949"/>
      <w:bookmarkStart w:id="129" w:name="_Toc50027094"/>
      <w:bookmarkStart w:id="130" w:name="_Toc50638507"/>
      <w:bookmarkStart w:id="131" w:name="_Toc51235697"/>
      <w:bookmarkStart w:id="132" w:name="_Toc51848397"/>
      <w:bookmarkStart w:id="133" w:name="_Toc52453548"/>
      <w:bookmarkStart w:id="134" w:name="_Toc53055800"/>
      <w:bookmarkStart w:id="135" w:name="_Toc53660720"/>
      <w:bookmarkStart w:id="136" w:name="_Toc54259220"/>
      <w:bookmarkStart w:id="137" w:name="_Toc54865633"/>
      <w:bookmarkStart w:id="138" w:name="_Toc55477664"/>
      <w:bookmarkStart w:id="139" w:name="_Toc56073552"/>
      <w:bookmarkStart w:id="140" w:name="_Toc56678760"/>
      <w:bookmarkStart w:id="141" w:name="_Toc57284469"/>
      <w:bookmarkStart w:id="142" w:name="_Toc57895618"/>
      <w:bookmarkStart w:id="143" w:name="_Toc58494285"/>
      <w:bookmarkStart w:id="144" w:name="_Toc59104486"/>
      <w:bookmarkStart w:id="145" w:name="_Toc60922245"/>
      <w:bookmarkStart w:id="146" w:name="_Toc61518213"/>
      <w:bookmarkStart w:id="147" w:name="_Toc62129056"/>
      <w:bookmarkStart w:id="148" w:name="_Toc62734935"/>
      <w:bookmarkStart w:id="149" w:name="_Toc63333210"/>
      <w:bookmarkStart w:id="150" w:name="_Toc65152047"/>
      <w:bookmarkStart w:id="151" w:name="_Toc65759398"/>
      <w:bookmarkStart w:id="152" w:name="_Toc66363537"/>
      <w:bookmarkStart w:id="153" w:name="_Toc66960044"/>
      <w:bookmarkStart w:id="154" w:name="_Toc67652141"/>
      <w:bookmarkStart w:id="155" w:name="_Toc68179917"/>
      <w:bookmarkStart w:id="156" w:name="_Toc68774144"/>
      <w:bookmarkStart w:id="157" w:name="_Toc69386909"/>
      <w:bookmarkStart w:id="158" w:name="_Toc69991765"/>
      <w:bookmarkStart w:id="159" w:name="_Toc70509838"/>
      <w:bookmarkStart w:id="160" w:name="_Toc71207391"/>
      <w:bookmarkStart w:id="161" w:name="_Toc71799301"/>
      <w:bookmarkStart w:id="162" w:name="_Toc72414970"/>
      <w:bookmarkStart w:id="163" w:name="_Toc73015451"/>
      <w:bookmarkStart w:id="164" w:name="_Toc73618175"/>
      <w:bookmarkStart w:id="165" w:name="_Toc74224508"/>
      <w:bookmarkStart w:id="166" w:name="_Toc74836027"/>
      <w:bookmarkStart w:id="167" w:name="_Toc75439620"/>
      <w:bookmarkStart w:id="168" w:name="_Toc76033386"/>
      <w:bookmarkStart w:id="169" w:name="_Toc76568181"/>
      <w:bookmarkStart w:id="170" w:name="_Toc77249819"/>
      <w:bookmarkStart w:id="171" w:name="_Toc77848115"/>
      <w:bookmarkStart w:id="172" w:name="_Toc78458398"/>
      <w:bookmarkStart w:id="173" w:name="_Toc79065734"/>
      <w:bookmarkStart w:id="174" w:name="_Toc79674824"/>
      <w:bookmarkStart w:id="175" w:name="_Toc80967350"/>
      <w:bookmarkStart w:id="176" w:name="_Toc82098800"/>
      <w:bookmarkStart w:id="177" w:name="_Toc82697201"/>
      <w:bookmarkStart w:id="178" w:name="_Toc83296665"/>
      <w:bookmarkStart w:id="179" w:name="_Toc83896624"/>
      <w:bookmarkStart w:id="180" w:name="_Toc84511067"/>
      <w:bookmarkStart w:id="181" w:name="_Toc85126352"/>
      <w:bookmarkStart w:id="182" w:name="_Toc85726059"/>
      <w:bookmarkStart w:id="183" w:name="_Toc86326946"/>
      <w:bookmarkStart w:id="184" w:name="_Toc86928719"/>
      <w:bookmarkStart w:id="185" w:name="_Toc87533861"/>
      <w:bookmarkStart w:id="186" w:name="_Toc88139972"/>
      <w:bookmarkStart w:id="187" w:name="_Toc88827420"/>
      <w:bookmarkStart w:id="188" w:name="_Toc89348593"/>
      <w:bookmarkStart w:id="189" w:name="_Toc89954355"/>
      <w:bookmarkStart w:id="190" w:name="_Toc90547126"/>
      <w:bookmarkStart w:id="191" w:name="_Toc91162874"/>
      <w:bookmarkStart w:id="192" w:name="_Toc92977888"/>
      <w:bookmarkStart w:id="193" w:name="_Toc93582831"/>
      <w:bookmarkStart w:id="194" w:name="_Toc94185873"/>
      <w:bookmarkStart w:id="195" w:name="_Toc124758938"/>
      <w:bookmarkStart w:id="196" w:name="_Toc126243195"/>
      <w:bookmarkStart w:id="197" w:name="_Toc126844370"/>
      <w:bookmarkStart w:id="198" w:name="_Toc127449232"/>
      <w:bookmarkStart w:id="199" w:name="_Toc128057341"/>
      <w:bookmarkStart w:id="200" w:name="_Toc128657894"/>
      <w:bookmarkStart w:id="201" w:name="_Toc129265040"/>
      <w:bookmarkStart w:id="202" w:name="_Toc129869282"/>
      <w:bookmarkStart w:id="203" w:name="_Toc130472586"/>
      <w:bookmarkStart w:id="204" w:name="_Toc131080425"/>
      <w:bookmarkStart w:id="205" w:name="_Toc131684258"/>
      <w:bookmarkStart w:id="206" w:name="_Toc132288734"/>
      <w:bookmarkStart w:id="207" w:name="_Toc132880391"/>
      <w:bookmarkStart w:id="208" w:name="_Toc133498209"/>
      <w:bookmarkStart w:id="209" w:name="_Toc134108005"/>
      <w:bookmarkStart w:id="210" w:name="_Toc134709543"/>
      <w:bookmarkStart w:id="211" w:name="_Toc134709694"/>
      <w:bookmarkStart w:id="212" w:name="_Toc135315967"/>
      <w:bookmarkStart w:id="213" w:name="_Toc135915557"/>
      <w:bookmarkStart w:id="214" w:name="_Toc136526485"/>
      <w:bookmarkStart w:id="215" w:name="_Toc137126045"/>
      <w:bookmarkStart w:id="216" w:name="_Toc137733670"/>
      <w:bookmarkStart w:id="217" w:name="_Toc138336636"/>
      <w:bookmarkStart w:id="218" w:name="_Toc138940620"/>
      <w:bookmarkStart w:id="219" w:name="_Toc139544017"/>
      <w:bookmarkStart w:id="220" w:name="_Toc140151828"/>
      <w:bookmarkStart w:id="221" w:name="_Toc140757903"/>
      <w:bookmarkStart w:id="222" w:name="_Toc141359482"/>
      <w:bookmarkStart w:id="223" w:name="_Toc141965594"/>
      <w:bookmarkStart w:id="224" w:name="_Toc142569943"/>
      <w:bookmarkStart w:id="225" w:name="_Toc143174996"/>
      <w:bookmarkStart w:id="226" w:name="_Toc143779698"/>
      <w:bookmarkStart w:id="227" w:name="_Toc144384324"/>
      <w:bookmarkStart w:id="228" w:name="_Toc144991137"/>
      <w:bookmarkStart w:id="229" w:name="_Toc145601267"/>
      <w:bookmarkStart w:id="230" w:name="_Toc146205286"/>
      <w:bookmarkStart w:id="231" w:name="_Toc146808595"/>
      <w:bookmarkStart w:id="232" w:name="_Toc147412051"/>
      <w:bookmarkStart w:id="233" w:name="_Toc148007936"/>
      <w:bookmarkStart w:id="234" w:name="_Toc148621865"/>
      <w:bookmarkStart w:id="235" w:name="_Toc149228676"/>
      <w:bookmarkStart w:id="236" w:name="_Toc149826950"/>
      <w:bookmarkStart w:id="237" w:name="_Toc150433295"/>
      <w:bookmarkStart w:id="238" w:name="_Toc151040593"/>
      <w:bookmarkStart w:id="239" w:name="_Toc151645171"/>
      <w:bookmarkStart w:id="240" w:name="_Toc152248760"/>
      <w:bookmarkStart w:id="241" w:name="_Toc153458078"/>
      <w:bookmarkStart w:id="242" w:name="_Toc154061699"/>
      <w:bookmarkStart w:id="243" w:name="_Toc185497332"/>
      <w:bookmarkEnd w:id="5"/>
      <w:bookmarkEnd w:id="6"/>
      <w:bookmarkEnd w:id="7"/>
      <w:bookmarkEnd w:id="8"/>
      <w:bookmarkEnd w:id="9"/>
      <w:bookmarkEnd w:id="10"/>
      <w:bookmarkEnd w:id="11"/>
      <w:bookmarkEnd w:id="12"/>
      <w:bookmarkEnd w:id="1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63"/>
      <w:bookmarkEnd w:id="101"/>
      <w:bookmarkEnd w:id="102"/>
      <w:bookmarkEnd w:id="103"/>
      <w:bookmarkEnd w:id="104"/>
      <w:bookmarkEnd w:id="105"/>
      <w:bookmarkEnd w:id="106"/>
      <w:bookmarkEnd w:id="107"/>
      <w:bookmarkEnd w:id="108"/>
      <w:bookmarkEnd w:id="109"/>
      <w:bookmarkEnd w:id="110"/>
    </w:p>
    <w:p w14:paraId="696857C8" w14:textId="77777777" w:rsidR="00195E0E" w:rsidRPr="00195E0E" w:rsidRDefault="00195E0E" w:rsidP="00195E0E"/>
    <w:p w14:paraId="4B9E0E16" w14:textId="77777777" w:rsidR="00195E0E" w:rsidRPr="00195E0E" w:rsidRDefault="00195E0E" w:rsidP="00195E0E">
      <w:pPr>
        <w:spacing w:before="100" w:beforeAutospacing="1" w:after="100" w:afterAutospacing="1" w:line="240" w:lineRule="auto"/>
        <w:outlineLvl w:val="0"/>
        <w:rPr>
          <w:rFonts w:ascii="Aptos" w:eastAsia="Times New Roman" w:hAnsi="Aptos" w:cs="Times New Roman"/>
          <w:b/>
          <w:bCs/>
          <w:color w:val="002060"/>
          <w:kern w:val="36"/>
          <w:sz w:val="28"/>
          <w:szCs w:val="28"/>
        </w:rPr>
      </w:pPr>
      <w:bookmarkStart w:id="244" w:name="_Toc223006372"/>
      <w:r w:rsidRPr="00195E0E">
        <w:rPr>
          <w:rFonts w:ascii="Aptos" w:eastAsia="Times New Roman" w:hAnsi="Aptos" w:cs="Times New Roman"/>
          <w:b/>
          <w:bCs/>
          <w:color w:val="002060"/>
          <w:kern w:val="36"/>
          <w:sz w:val="28"/>
          <w:szCs w:val="28"/>
        </w:rPr>
        <w:t>Shared responsibility for a trust-based tax system</w:t>
      </w:r>
      <w:bookmarkEnd w:id="244"/>
    </w:p>
    <w:p w14:paraId="4D1E82BE" w14:textId="14D01778" w:rsidR="00195E0E" w:rsidRPr="00195E0E" w:rsidRDefault="00195E0E" w:rsidP="00195E0E">
      <w:pPr>
        <w:spacing w:after="0" w:line="240" w:lineRule="auto"/>
        <w:rPr>
          <w:rFonts w:ascii="Aptos" w:eastAsia="Times New Roman" w:hAnsi="Aptos" w:cs="Times New Roman"/>
          <w:i/>
          <w:iCs/>
          <w:color w:val="002060"/>
          <w:sz w:val="18"/>
          <w:szCs w:val="18"/>
        </w:rPr>
      </w:pPr>
      <w:r w:rsidRPr="00195E0E">
        <w:rPr>
          <w:rFonts w:ascii="Aptos" w:eastAsia="Times New Roman" w:hAnsi="Aptos" w:cs="Times New Roman"/>
          <w:i/>
          <w:iCs/>
          <w:color w:val="002060"/>
          <w:sz w:val="18"/>
          <w:szCs w:val="18"/>
        </w:rPr>
        <w:t>VET</w:t>
      </w:r>
    </w:p>
    <w:p w14:paraId="098F310C" w14:textId="268AA2BE" w:rsidR="00195E0E" w:rsidRPr="00195E0E" w:rsidRDefault="00195E0E" w:rsidP="00195E0E">
      <w:pPr>
        <w:spacing w:after="0" w:line="240" w:lineRule="auto"/>
        <w:rPr>
          <w:rFonts w:ascii="Aptos" w:eastAsia="Times New Roman" w:hAnsi="Aptos" w:cs="Times New Roman"/>
          <w:color w:val="002060"/>
        </w:rPr>
      </w:pPr>
    </w:p>
    <w:p w14:paraId="55593EAC" w14:textId="77777777" w:rsidR="00195E0E" w:rsidRPr="00195E0E" w:rsidRDefault="00195E0E" w:rsidP="00195E0E">
      <w:pPr>
        <w:spacing w:after="100" w:afterAutospacing="1" w:line="240" w:lineRule="auto"/>
        <w:outlineLvl w:val="1"/>
        <w:rPr>
          <w:rFonts w:ascii="Aptos" w:eastAsia="Times New Roman" w:hAnsi="Aptos" w:cs="Arial"/>
          <w:b/>
          <w:bCs/>
          <w:color w:val="002060"/>
        </w:rPr>
      </w:pPr>
      <w:bookmarkStart w:id="245" w:name="_Toc223006373"/>
      <w:r w:rsidRPr="00195E0E">
        <w:rPr>
          <w:rFonts w:ascii="Aptos" w:eastAsia="Times New Roman" w:hAnsi="Aptos" w:cs="Arial"/>
          <w:b/>
          <w:bCs/>
          <w:color w:val="002060"/>
        </w:rPr>
        <w:t xml:space="preserve">Enterprises have responded to tax authorities reforming their operations by improving </w:t>
      </w:r>
      <w:proofErr w:type="gramStart"/>
      <w:r w:rsidRPr="00195E0E">
        <w:rPr>
          <w:rFonts w:ascii="Aptos" w:eastAsia="Times New Roman" w:hAnsi="Aptos" w:cs="Arial"/>
          <w:b/>
          <w:bCs/>
          <w:color w:val="002060"/>
        </w:rPr>
        <w:t>compliance</w:t>
      </w:r>
      <w:proofErr w:type="gramEnd"/>
      <w:r w:rsidRPr="00195E0E">
        <w:rPr>
          <w:rFonts w:ascii="Aptos" w:eastAsia="Times New Roman" w:hAnsi="Aptos" w:cs="Arial"/>
          <w:b/>
          <w:bCs/>
          <w:color w:val="002060"/>
        </w:rPr>
        <w:t xml:space="preserve"> but issues remain.</w:t>
      </w:r>
      <w:bookmarkEnd w:id="245"/>
    </w:p>
    <w:p w14:paraId="5E59B18F" w14:textId="77777777" w:rsidR="00195E0E" w:rsidRPr="00195E0E" w:rsidRDefault="00195E0E" w:rsidP="00195E0E">
      <w:pPr>
        <w:spacing w:before="100" w:beforeAutospacing="1" w:after="100" w:afterAutospacing="1" w:line="240" w:lineRule="auto"/>
        <w:jc w:val="both"/>
        <w:rPr>
          <w:rFonts w:ascii="Aptos" w:eastAsia="Times New Roman" w:hAnsi="Aptos" w:cs="Arial"/>
          <w:color w:val="002060"/>
        </w:rPr>
      </w:pPr>
      <w:r w:rsidRPr="00195E0E">
        <w:rPr>
          <w:rFonts w:ascii="Aptos" w:eastAsia="Times New Roman" w:hAnsi="Aptos" w:cs="Arial"/>
          <w:color w:val="002060"/>
        </w:rPr>
        <w:t>As Vietnam’s taxation sector accelerates its reform efforts and digital transformation, local businesses have made notable strides forward in tax compliance over recent years. According to the General Department of Taxation (GDT) at the Ministry of Finance, 99.6 per cent of enterprises now file taxes online, 98.9 per cent make e-payments, and the system has processed nearly 19 billion e-invoices. All tax refund procedures are also handled entirely through digital platforms. These figures highlight the deep penetration of digitalization in tax administration, helping to significantly cut compliance costs and time. Yet behind these advances in administrative reform, the country’s fiscal health still faces significant challenges.</w:t>
      </w:r>
    </w:p>
    <w:p w14:paraId="31FDB575" w14:textId="77777777" w:rsidR="00195E0E" w:rsidRPr="00195E0E" w:rsidRDefault="00195E0E" w:rsidP="00195E0E">
      <w:pPr>
        <w:spacing w:before="100" w:beforeAutospacing="1" w:after="100" w:afterAutospacing="1" w:line="240" w:lineRule="auto"/>
        <w:jc w:val="both"/>
        <w:rPr>
          <w:rFonts w:ascii="Aptos" w:eastAsia="Times New Roman" w:hAnsi="Aptos" w:cs="Arial"/>
          <w:color w:val="002060"/>
        </w:rPr>
      </w:pPr>
      <w:r w:rsidRPr="00195E0E">
        <w:rPr>
          <w:rFonts w:ascii="Aptos" w:eastAsia="Times New Roman" w:hAnsi="Aptos" w:cs="Arial"/>
          <w:color w:val="002060"/>
        </w:rPr>
        <w:t>Strengthening fiscal foundations</w:t>
      </w:r>
    </w:p>
    <w:p w14:paraId="6D2722AB" w14:textId="77777777" w:rsidR="00195E0E" w:rsidRPr="00195E0E" w:rsidRDefault="00195E0E" w:rsidP="00195E0E">
      <w:pPr>
        <w:spacing w:before="100" w:beforeAutospacing="1" w:after="100" w:afterAutospacing="1" w:line="240" w:lineRule="auto"/>
        <w:jc w:val="both"/>
        <w:rPr>
          <w:rFonts w:ascii="Aptos" w:eastAsia="Times New Roman" w:hAnsi="Aptos" w:cs="Arial"/>
          <w:color w:val="002060"/>
        </w:rPr>
      </w:pPr>
      <w:r w:rsidRPr="00195E0E">
        <w:rPr>
          <w:rFonts w:ascii="Aptos" w:eastAsia="Times New Roman" w:hAnsi="Aptos" w:cs="Arial"/>
          <w:color w:val="002060"/>
        </w:rPr>
        <w:t xml:space="preserve">At the recent “Promoting self-compliance and full tax contributions - Building a strong era” workshop, held recently by the GDT, Mr. Frank van </w:t>
      </w:r>
      <w:proofErr w:type="spellStart"/>
      <w:r w:rsidRPr="00195E0E">
        <w:rPr>
          <w:rFonts w:ascii="Aptos" w:eastAsia="Times New Roman" w:hAnsi="Aptos" w:cs="Arial"/>
          <w:color w:val="002060"/>
        </w:rPr>
        <w:t>Brunschot</w:t>
      </w:r>
      <w:proofErr w:type="spellEnd"/>
      <w:r w:rsidRPr="00195E0E">
        <w:rPr>
          <w:rFonts w:ascii="Aptos" w:eastAsia="Times New Roman" w:hAnsi="Aptos" w:cs="Arial"/>
          <w:color w:val="002060"/>
        </w:rPr>
        <w:t xml:space="preserve">, Senior Economic Expert in the Department of Fiscal Affairs at the International </w:t>
      </w:r>
      <w:r w:rsidRPr="00195E0E">
        <w:rPr>
          <w:rFonts w:ascii="Aptos" w:eastAsia="Times New Roman" w:hAnsi="Aptos" w:cs="Arial"/>
          <w:color w:val="002060"/>
        </w:rPr>
        <w:lastRenderedPageBreak/>
        <w:t>Monetary Fund (IMF), said Vietnam’s tax-to-GDP ratio in 2024 was estimated at around 13.1 per cent; well below the IMF’s recommended minimum of 15-16 per cent to ensure sustainable growth.</w:t>
      </w:r>
    </w:p>
    <w:p w14:paraId="1169D9CF" w14:textId="77777777" w:rsidR="00195E0E" w:rsidRPr="00195E0E" w:rsidRDefault="00195E0E" w:rsidP="00195E0E">
      <w:pPr>
        <w:spacing w:before="100" w:beforeAutospacing="1" w:after="100" w:afterAutospacing="1" w:line="240" w:lineRule="auto"/>
        <w:jc w:val="both"/>
        <w:rPr>
          <w:rFonts w:ascii="Aptos" w:eastAsia="Times New Roman" w:hAnsi="Aptos" w:cs="Arial"/>
          <w:color w:val="002060"/>
        </w:rPr>
      </w:pPr>
      <w:r w:rsidRPr="00195E0E">
        <w:rPr>
          <w:rFonts w:ascii="Aptos" w:eastAsia="Times New Roman" w:hAnsi="Aptos" w:cs="Arial"/>
          <w:color w:val="002060"/>
        </w:rPr>
        <w:t xml:space="preserve">International experience shows that economies maintaining a tax-to-GDP ratio above this threshold tend to achieve more stable growth and greater resilience to global shocks. According to Mr. van </w:t>
      </w:r>
      <w:proofErr w:type="spellStart"/>
      <w:r w:rsidRPr="00195E0E">
        <w:rPr>
          <w:rFonts w:ascii="Aptos" w:eastAsia="Times New Roman" w:hAnsi="Aptos" w:cs="Arial"/>
          <w:color w:val="002060"/>
        </w:rPr>
        <w:t>Brunschot</w:t>
      </w:r>
      <w:proofErr w:type="spellEnd"/>
      <w:r w:rsidRPr="00195E0E">
        <w:rPr>
          <w:rFonts w:ascii="Aptos" w:eastAsia="Times New Roman" w:hAnsi="Aptos" w:cs="Arial"/>
          <w:color w:val="002060"/>
        </w:rPr>
        <w:t>, a low ratio not only narrows fiscal policy space but also limits the government’s capacity to invest in key sectors such as infrastructure, education, and social welfare.</w:t>
      </w:r>
    </w:p>
    <w:p w14:paraId="24D58C07" w14:textId="77777777" w:rsidR="00195E0E" w:rsidRPr="00195E0E" w:rsidRDefault="00195E0E" w:rsidP="00195E0E">
      <w:pPr>
        <w:spacing w:before="100" w:beforeAutospacing="1" w:after="100" w:afterAutospacing="1" w:line="240" w:lineRule="auto"/>
        <w:jc w:val="both"/>
        <w:rPr>
          <w:rFonts w:ascii="Aptos" w:eastAsia="Times New Roman" w:hAnsi="Aptos" w:cs="Arial"/>
          <w:color w:val="002060"/>
        </w:rPr>
      </w:pPr>
      <w:r w:rsidRPr="00195E0E">
        <w:rPr>
          <w:rFonts w:ascii="Aptos" w:eastAsia="Times New Roman" w:hAnsi="Aptos" w:cs="Arial"/>
          <w:color w:val="002060"/>
        </w:rPr>
        <w:t>After the pandemic and a prolonged period of crises, many countries have been forced to increase public spending to drive recovery, while rising interest rates and growing fiscal risks are tightening the room for new borrowing. This makes the need to strengthen State revenue even more urgent, though raising tax rates is far from an easy fix.</w:t>
      </w:r>
    </w:p>
    <w:p w14:paraId="2F69BA5E" w14:textId="77777777" w:rsidR="00195E0E" w:rsidRPr="00195E0E" w:rsidRDefault="00195E0E" w:rsidP="00195E0E">
      <w:pPr>
        <w:spacing w:before="100" w:beforeAutospacing="1" w:after="100" w:afterAutospacing="1" w:line="240" w:lineRule="auto"/>
        <w:jc w:val="both"/>
        <w:rPr>
          <w:rFonts w:ascii="Aptos" w:eastAsia="Times New Roman" w:hAnsi="Aptos" w:cs="Arial"/>
          <w:color w:val="002060"/>
        </w:rPr>
      </w:pPr>
      <w:r w:rsidRPr="00195E0E">
        <w:rPr>
          <w:rFonts w:ascii="Aptos" w:eastAsia="Times New Roman" w:hAnsi="Aptos" w:cs="Arial"/>
          <w:color w:val="002060"/>
        </w:rPr>
        <w:t>Economically, higher taxes can undermine competitiveness, discourage investment, and slow growth. Socially, heavier tax burdens often face strong pushback from businesses and citizens, especially in a fragile post-crisis recovery period.</w:t>
      </w:r>
    </w:p>
    <w:p w14:paraId="061F691D" w14:textId="77777777" w:rsidR="00195E0E" w:rsidRPr="00195E0E" w:rsidRDefault="00195E0E" w:rsidP="00195E0E">
      <w:pPr>
        <w:spacing w:before="100" w:beforeAutospacing="1" w:after="100" w:afterAutospacing="1" w:line="240" w:lineRule="auto"/>
        <w:jc w:val="both"/>
        <w:rPr>
          <w:rFonts w:ascii="Aptos" w:eastAsia="Times New Roman" w:hAnsi="Aptos" w:cs="Arial"/>
          <w:color w:val="002060"/>
        </w:rPr>
      </w:pPr>
      <w:r w:rsidRPr="00195E0E">
        <w:rPr>
          <w:rFonts w:ascii="Aptos" w:eastAsia="Times New Roman" w:hAnsi="Aptos" w:cs="Arial"/>
          <w:color w:val="002060"/>
        </w:rPr>
        <w:t>That’s why, he stressed, the key challenge for many countries lies not in raising tax rates but in improving the efficiency of domestic revenue mobilization - boosting collection without adding pressure on the economy. This requires comprehensive institutional reforms, stronger tax administration capacity, and an expanded tax base to ensure fairer burden-sharing among taxpayers.</w:t>
      </w:r>
    </w:p>
    <w:p w14:paraId="7E104384" w14:textId="77777777" w:rsidR="00195E0E" w:rsidRPr="00195E0E" w:rsidRDefault="00195E0E" w:rsidP="00195E0E">
      <w:pPr>
        <w:spacing w:before="100" w:beforeAutospacing="1" w:after="100" w:afterAutospacing="1" w:line="240" w:lineRule="auto"/>
        <w:jc w:val="both"/>
        <w:rPr>
          <w:rFonts w:ascii="Aptos" w:eastAsia="Times New Roman" w:hAnsi="Aptos" w:cs="Arial"/>
          <w:color w:val="002060"/>
        </w:rPr>
      </w:pPr>
      <w:r w:rsidRPr="00195E0E">
        <w:rPr>
          <w:rFonts w:ascii="Aptos" w:eastAsia="Times New Roman" w:hAnsi="Aptos" w:cs="Arial"/>
          <w:color w:val="002060"/>
        </w:rPr>
        <w:t xml:space="preserve">Mr. van </w:t>
      </w:r>
      <w:proofErr w:type="spellStart"/>
      <w:r w:rsidRPr="00195E0E">
        <w:rPr>
          <w:rFonts w:ascii="Aptos" w:eastAsia="Times New Roman" w:hAnsi="Aptos" w:cs="Arial"/>
          <w:color w:val="002060"/>
        </w:rPr>
        <w:t>Brunschot</w:t>
      </w:r>
      <w:proofErr w:type="spellEnd"/>
      <w:r w:rsidRPr="00195E0E">
        <w:rPr>
          <w:rFonts w:ascii="Aptos" w:eastAsia="Times New Roman" w:hAnsi="Aptos" w:cs="Arial"/>
          <w:color w:val="002060"/>
        </w:rPr>
        <w:t xml:space="preserve"> pointed to compliance risk management as one of the most effective solutions. A risk-based approach allows tax authorities to focus resources on high-risk groups, improve transparency, and strengthen public trust. Evidence shows this model has worked well in countries such as Australia, Poland, and the Philippines - enhancing revenue performance, cutting compliance costs, and increasing business satisfaction.</w:t>
      </w:r>
    </w:p>
    <w:p w14:paraId="50FB11D1" w14:textId="77777777" w:rsidR="00195E0E" w:rsidRPr="00195E0E" w:rsidRDefault="00195E0E" w:rsidP="00195E0E">
      <w:pPr>
        <w:spacing w:before="100" w:beforeAutospacing="1" w:after="100" w:afterAutospacing="1" w:line="240" w:lineRule="auto"/>
        <w:jc w:val="both"/>
        <w:rPr>
          <w:rFonts w:ascii="Aptos" w:eastAsia="Times New Roman" w:hAnsi="Aptos" w:cs="Arial"/>
          <w:color w:val="002060"/>
        </w:rPr>
      </w:pPr>
      <w:r w:rsidRPr="00195E0E">
        <w:rPr>
          <w:rFonts w:ascii="Aptos" w:eastAsia="Times New Roman" w:hAnsi="Aptos" w:cs="Arial"/>
          <w:color w:val="002060"/>
        </w:rPr>
        <w:t>From a global perspective, the challenge for Vietnam is not simply to “collect more” but to “collect more sustainably” - built on understanding and voluntary compliance. Ultimately, effective tax collection depends on trust. Without it, even the most modern reforms risk falling short.</w:t>
      </w:r>
    </w:p>
    <w:p w14:paraId="4AE76A4C" w14:textId="77777777" w:rsidR="00195E0E" w:rsidRPr="00195E0E" w:rsidRDefault="00195E0E" w:rsidP="00195E0E">
      <w:pPr>
        <w:spacing w:before="100" w:beforeAutospacing="1" w:after="100" w:afterAutospacing="1" w:line="240" w:lineRule="auto"/>
        <w:jc w:val="both"/>
        <w:rPr>
          <w:rFonts w:ascii="Aptos" w:eastAsia="Times New Roman" w:hAnsi="Aptos" w:cs="Arial"/>
          <w:color w:val="002060"/>
        </w:rPr>
      </w:pPr>
      <w:r w:rsidRPr="00195E0E">
        <w:rPr>
          <w:rFonts w:ascii="Aptos" w:eastAsia="Times New Roman" w:hAnsi="Aptos" w:cs="Arial"/>
          <w:color w:val="002060"/>
        </w:rPr>
        <w:t>Bridging the compliance divide</w:t>
      </w:r>
    </w:p>
    <w:p w14:paraId="2AE5CA9D" w14:textId="77777777" w:rsidR="00195E0E" w:rsidRPr="00195E0E" w:rsidRDefault="00195E0E" w:rsidP="00195E0E">
      <w:pPr>
        <w:spacing w:before="100" w:beforeAutospacing="1" w:after="100" w:afterAutospacing="1" w:line="240" w:lineRule="auto"/>
        <w:jc w:val="both"/>
        <w:rPr>
          <w:rFonts w:ascii="Aptos" w:eastAsia="Times New Roman" w:hAnsi="Aptos" w:cs="Arial"/>
          <w:color w:val="002060"/>
        </w:rPr>
      </w:pPr>
      <w:r w:rsidRPr="00195E0E">
        <w:rPr>
          <w:rFonts w:ascii="Aptos" w:eastAsia="Times New Roman" w:hAnsi="Aptos" w:cs="Arial"/>
          <w:color w:val="002060"/>
        </w:rPr>
        <w:t xml:space="preserve">Mr. Hoang Quang Phong, Vice President of the Vietnam Chamber of Commerce and Industry (VCCI), said incorrect or delayed tax filings remain widespread, partly because many companies still struggle to keep up with new regulations. In 2024, tax authorities conducted over 62,900 inspections and audits, recommending financial settlements totaling </w:t>
      </w:r>
      <w:proofErr w:type="spellStart"/>
      <w:r w:rsidRPr="00195E0E">
        <w:rPr>
          <w:rFonts w:ascii="Aptos" w:eastAsia="Times New Roman" w:hAnsi="Aptos" w:cs="Arial"/>
          <w:color w:val="002060"/>
        </w:rPr>
        <w:t>VND62.7</w:t>
      </w:r>
      <w:proofErr w:type="spellEnd"/>
      <w:r w:rsidRPr="00195E0E">
        <w:rPr>
          <w:rFonts w:ascii="Aptos" w:eastAsia="Times New Roman" w:hAnsi="Aptos" w:cs="Arial"/>
          <w:color w:val="002060"/>
        </w:rPr>
        <w:t xml:space="preserve"> trillion ($2.4 billion). Some back taxes reached hundreds of billions of VND, especially in high-risk sectors like real estate, construction, and imports-exports.</w:t>
      </w:r>
    </w:p>
    <w:p w14:paraId="4C9ABD2E" w14:textId="77777777" w:rsidR="00195E0E" w:rsidRPr="00195E0E" w:rsidRDefault="00195E0E" w:rsidP="00195E0E">
      <w:pPr>
        <w:spacing w:before="100" w:beforeAutospacing="1" w:after="100" w:afterAutospacing="1" w:line="240" w:lineRule="auto"/>
        <w:jc w:val="both"/>
        <w:rPr>
          <w:rFonts w:ascii="Aptos" w:eastAsia="Times New Roman" w:hAnsi="Aptos" w:cs="Arial"/>
          <w:color w:val="002060"/>
        </w:rPr>
      </w:pPr>
      <w:r w:rsidRPr="00195E0E">
        <w:rPr>
          <w:rFonts w:ascii="Aptos" w:eastAsia="Times New Roman" w:hAnsi="Aptos" w:cs="Arial"/>
          <w:color w:val="002060"/>
        </w:rPr>
        <w:t xml:space="preserve">The booming e-commerce market has also emerged as a hotspot for violations, with more than 33,000 cases handled in 2024 and back taxes and penalties totaling nearly </w:t>
      </w:r>
      <w:proofErr w:type="spellStart"/>
      <w:r w:rsidRPr="00195E0E">
        <w:rPr>
          <w:rFonts w:ascii="Aptos" w:eastAsia="Times New Roman" w:hAnsi="Aptos" w:cs="Arial"/>
          <w:color w:val="002060"/>
        </w:rPr>
        <w:t>VND1.4</w:t>
      </w:r>
      <w:proofErr w:type="spellEnd"/>
      <w:r w:rsidRPr="00195E0E">
        <w:rPr>
          <w:rFonts w:ascii="Aptos" w:eastAsia="Times New Roman" w:hAnsi="Aptos" w:cs="Arial"/>
          <w:color w:val="002060"/>
        </w:rPr>
        <w:t xml:space="preserve"> trillion ($56 million). Meanwhile, tax arrears remain a growing concern, rising 12 per cent year-on-year to </w:t>
      </w:r>
      <w:proofErr w:type="spellStart"/>
      <w:r w:rsidRPr="00195E0E">
        <w:rPr>
          <w:rFonts w:ascii="Aptos" w:eastAsia="Times New Roman" w:hAnsi="Aptos" w:cs="Arial"/>
          <w:color w:val="002060"/>
        </w:rPr>
        <w:t>VND219.6</w:t>
      </w:r>
      <w:proofErr w:type="spellEnd"/>
      <w:r w:rsidRPr="00195E0E">
        <w:rPr>
          <w:rFonts w:ascii="Aptos" w:eastAsia="Times New Roman" w:hAnsi="Aptos" w:cs="Arial"/>
          <w:color w:val="002060"/>
        </w:rPr>
        <w:t xml:space="preserve"> trillion ($8.4 billion) by the first quarter of 2025, about 40 per cent of which is considered recoverable.</w:t>
      </w:r>
    </w:p>
    <w:p w14:paraId="675866E0" w14:textId="77777777" w:rsidR="00195E0E" w:rsidRPr="00195E0E" w:rsidRDefault="00195E0E" w:rsidP="00195E0E">
      <w:pPr>
        <w:spacing w:before="100" w:beforeAutospacing="1" w:after="100" w:afterAutospacing="1" w:line="240" w:lineRule="auto"/>
        <w:jc w:val="both"/>
        <w:rPr>
          <w:rFonts w:ascii="Aptos" w:eastAsia="Times New Roman" w:hAnsi="Aptos" w:cs="Arial"/>
          <w:color w:val="002060"/>
        </w:rPr>
      </w:pPr>
      <w:r w:rsidRPr="00195E0E">
        <w:rPr>
          <w:rFonts w:ascii="Aptos" w:eastAsia="Times New Roman" w:hAnsi="Aptos" w:cs="Arial"/>
          <w:color w:val="002060"/>
        </w:rPr>
        <w:t>Transfer pricing and false loss reporting continue to plague foreign-invested enterprises (</w:t>
      </w:r>
      <w:proofErr w:type="spellStart"/>
      <w:r w:rsidRPr="00195E0E">
        <w:rPr>
          <w:rFonts w:ascii="Aptos" w:eastAsia="Times New Roman" w:hAnsi="Aptos" w:cs="Arial"/>
          <w:color w:val="002060"/>
        </w:rPr>
        <w:t>FIEs</w:t>
      </w:r>
      <w:proofErr w:type="spellEnd"/>
      <w:r w:rsidRPr="00195E0E">
        <w:rPr>
          <w:rFonts w:ascii="Aptos" w:eastAsia="Times New Roman" w:hAnsi="Aptos" w:cs="Arial"/>
          <w:color w:val="002060"/>
        </w:rPr>
        <w:t xml:space="preserve">). In 2024, authorities inspected 711 enterprises engaged in related-party transactions, mostly </w:t>
      </w:r>
      <w:proofErr w:type="spellStart"/>
      <w:r w:rsidRPr="00195E0E">
        <w:rPr>
          <w:rFonts w:ascii="Aptos" w:eastAsia="Times New Roman" w:hAnsi="Aptos" w:cs="Arial"/>
          <w:color w:val="002060"/>
        </w:rPr>
        <w:t>FIEs</w:t>
      </w:r>
      <w:proofErr w:type="spellEnd"/>
      <w:r w:rsidRPr="00195E0E">
        <w:rPr>
          <w:rFonts w:ascii="Aptos" w:eastAsia="Times New Roman" w:hAnsi="Aptos" w:cs="Arial"/>
          <w:color w:val="002060"/>
        </w:rPr>
        <w:t xml:space="preserve">, collecting over </w:t>
      </w:r>
      <w:proofErr w:type="spellStart"/>
      <w:r w:rsidRPr="00195E0E">
        <w:rPr>
          <w:rFonts w:ascii="Aptos" w:eastAsia="Times New Roman" w:hAnsi="Aptos" w:cs="Arial"/>
          <w:color w:val="002060"/>
        </w:rPr>
        <w:t>VND1.6</w:t>
      </w:r>
      <w:proofErr w:type="spellEnd"/>
      <w:r w:rsidRPr="00195E0E">
        <w:rPr>
          <w:rFonts w:ascii="Aptos" w:eastAsia="Times New Roman" w:hAnsi="Aptos" w:cs="Arial"/>
          <w:color w:val="002060"/>
        </w:rPr>
        <w:t xml:space="preserve"> trillion ($61 million) in additional taxes and penalties, eliminating </w:t>
      </w:r>
      <w:proofErr w:type="spellStart"/>
      <w:r w:rsidRPr="00195E0E">
        <w:rPr>
          <w:rFonts w:ascii="Aptos" w:eastAsia="Times New Roman" w:hAnsi="Aptos" w:cs="Arial"/>
          <w:color w:val="002060"/>
        </w:rPr>
        <w:t>VND8.6</w:t>
      </w:r>
      <w:proofErr w:type="spellEnd"/>
      <w:r w:rsidRPr="00195E0E">
        <w:rPr>
          <w:rFonts w:ascii="Aptos" w:eastAsia="Times New Roman" w:hAnsi="Aptos" w:cs="Arial"/>
          <w:color w:val="002060"/>
        </w:rPr>
        <w:t xml:space="preserve"> trillion ($327 million) in false losses, and adjusting taxable income upwards by nearly </w:t>
      </w:r>
      <w:proofErr w:type="spellStart"/>
      <w:r w:rsidRPr="00195E0E">
        <w:rPr>
          <w:rFonts w:ascii="Aptos" w:eastAsia="Times New Roman" w:hAnsi="Aptos" w:cs="Arial"/>
          <w:color w:val="002060"/>
        </w:rPr>
        <w:t>VND5</w:t>
      </w:r>
      <w:proofErr w:type="spellEnd"/>
      <w:r w:rsidRPr="00195E0E">
        <w:rPr>
          <w:rFonts w:ascii="Aptos" w:eastAsia="Times New Roman" w:hAnsi="Aptos" w:cs="Arial"/>
          <w:color w:val="002060"/>
        </w:rPr>
        <w:t xml:space="preserve"> trillion ($190 million). These figures underline the difficulty of detecting and managing complex cross-border transactions.</w:t>
      </w:r>
    </w:p>
    <w:p w14:paraId="456F7F0F" w14:textId="77777777" w:rsidR="00195E0E" w:rsidRPr="00195E0E" w:rsidRDefault="00195E0E" w:rsidP="00195E0E">
      <w:pPr>
        <w:spacing w:before="100" w:beforeAutospacing="1" w:after="100" w:afterAutospacing="1" w:line="240" w:lineRule="auto"/>
        <w:jc w:val="both"/>
        <w:rPr>
          <w:rFonts w:ascii="Aptos" w:eastAsia="Times New Roman" w:hAnsi="Aptos" w:cs="Arial"/>
          <w:color w:val="002060"/>
        </w:rPr>
      </w:pPr>
      <w:r w:rsidRPr="00195E0E">
        <w:rPr>
          <w:rFonts w:ascii="Aptos" w:eastAsia="Times New Roman" w:hAnsi="Aptos" w:cs="Arial"/>
          <w:color w:val="002060"/>
        </w:rPr>
        <w:t>The gap between policy and practice is also evident in the varying levels of tax compliance across business groups. While compliance behavior reflects intent, compliance capacity depends on each firm’s ability to meet tax obligations under its specific conditions, anchored on three key pillars.</w:t>
      </w:r>
    </w:p>
    <w:p w14:paraId="616A3A90" w14:textId="77777777" w:rsidR="00195E0E" w:rsidRPr="00195E0E" w:rsidRDefault="00195E0E" w:rsidP="00195E0E">
      <w:pPr>
        <w:spacing w:before="100" w:beforeAutospacing="1" w:after="100" w:afterAutospacing="1" w:line="240" w:lineRule="auto"/>
        <w:jc w:val="both"/>
        <w:rPr>
          <w:rFonts w:ascii="Aptos" w:eastAsia="Times New Roman" w:hAnsi="Aptos" w:cs="Arial"/>
          <w:color w:val="002060"/>
        </w:rPr>
      </w:pPr>
      <w:r w:rsidRPr="00195E0E">
        <w:rPr>
          <w:rFonts w:ascii="Aptos" w:eastAsia="Times New Roman" w:hAnsi="Aptos" w:cs="Arial"/>
          <w:color w:val="002060"/>
        </w:rPr>
        <w:lastRenderedPageBreak/>
        <w:t>First, in terms of understanding and applying tax laws, digital transformation has improved access to information. However, the ability to interpret and apply evolving regulations remains limited, particularly among small and medium-sized enterprises (SMEs) that lack specialized tax staff or skilled personnel.</w:t>
      </w:r>
    </w:p>
    <w:p w14:paraId="43559787" w14:textId="77777777" w:rsidR="00195E0E" w:rsidRPr="00195E0E" w:rsidRDefault="00195E0E" w:rsidP="00195E0E">
      <w:pPr>
        <w:spacing w:before="100" w:beforeAutospacing="1" w:after="100" w:afterAutospacing="1" w:line="240" w:lineRule="auto"/>
        <w:jc w:val="both"/>
        <w:rPr>
          <w:rFonts w:ascii="Aptos" w:eastAsia="Times New Roman" w:hAnsi="Aptos" w:cs="Arial"/>
          <w:color w:val="002060"/>
        </w:rPr>
      </w:pPr>
      <w:r w:rsidRPr="00195E0E">
        <w:rPr>
          <w:rFonts w:ascii="Aptos" w:eastAsia="Times New Roman" w:hAnsi="Aptos" w:cs="Arial"/>
          <w:color w:val="002060"/>
        </w:rPr>
        <w:t>Second, regarding management capacity, digitalization has improved transparency in accounting and financial oversight but demands stronger operational skills. In practice, most SMEs still operate under ad-hoc accounting models, relying on individuals or outsourced service providers. This weakens internal control, fragments data systems, and limits the early detection of violations.</w:t>
      </w:r>
    </w:p>
    <w:p w14:paraId="45A3017D" w14:textId="77777777" w:rsidR="00195E0E" w:rsidRPr="00195E0E" w:rsidRDefault="00195E0E" w:rsidP="00195E0E">
      <w:pPr>
        <w:spacing w:before="100" w:beforeAutospacing="1" w:after="100" w:afterAutospacing="1" w:line="240" w:lineRule="auto"/>
        <w:jc w:val="both"/>
        <w:rPr>
          <w:rFonts w:ascii="Aptos" w:eastAsia="Times New Roman" w:hAnsi="Aptos" w:cs="Arial"/>
          <w:color w:val="002060"/>
        </w:rPr>
      </w:pPr>
      <w:r w:rsidRPr="00195E0E">
        <w:rPr>
          <w:rFonts w:ascii="Aptos" w:eastAsia="Times New Roman" w:hAnsi="Aptos" w:cs="Arial"/>
          <w:color w:val="002060"/>
        </w:rPr>
        <w:t>Third, and most importantly, is trust and cooperation between businesses and tax authorities. Companies with in-house tax departments tend to comply better thanks to transparent record-keeping and clearer reporting. In contrast, most SMEs depend on individual accountants and lack centralized data, leaving them more vulnerable to unintentional errors.</w:t>
      </w:r>
    </w:p>
    <w:p w14:paraId="197D0462" w14:textId="77777777" w:rsidR="00195E0E" w:rsidRPr="00195E0E" w:rsidRDefault="00195E0E" w:rsidP="00195E0E">
      <w:pPr>
        <w:spacing w:before="100" w:beforeAutospacing="1" w:after="100" w:afterAutospacing="1" w:line="240" w:lineRule="auto"/>
        <w:jc w:val="both"/>
        <w:rPr>
          <w:rFonts w:ascii="Aptos" w:eastAsia="Times New Roman" w:hAnsi="Aptos" w:cs="Arial"/>
          <w:color w:val="002060"/>
        </w:rPr>
      </w:pPr>
      <w:r w:rsidRPr="00195E0E">
        <w:rPr>
          <w:rFonts w:ascii="Aptos" w:eastAsia="Times New Roman" w:hAnsi="Aptos" w:cs="Arial"/>
          <w:b/>
          <w:bCs/>
          <w:color w:val="002060"/>
        </w:rPr>
        <w:t>Rebuilding trust</w:t>
      </w:r>
    </w:p>
    <w:p w14:paraId="6C1DF39F" w14:textId="77777777" w:rsidR="00195E0E" w:rsidRPr="00195E0E" w:rsidRDefault="00195E0E" w:rsidP="00195E0E">
      <w:pPr>
        <w:spacing w:before="100" w:beforeAutospacing="1" w:after="100" w:afterAutospacing="1" w:line="240" w:lineRule="auto"/>
        <w:jc w:val="both"/>
        <w:rPr>
          <w:rFonts w:ascii="Aptos" w:eastAsia="Times New Roman" w:hAnsi="Aptos" w:cs="Arial"/>
          <w:color w:val="002060"/>
        </w:rPr>
      </w:pPr>
      <w:r w:rsidRPr="00195E0E">
        <w:rPr>
          <w:rFonts w:ascii="Aptos" w:eastAsia="Times New Roman" w:hAnsi="Aptos" w:cs="Arial"/>
          <w:color w:val="002060"/>
        </w:rPr>
        <w:t>To narrow the gap between policy and practice, experts say tax reform must go beyond technical tweaks or tougher penalties. The real priority, they argue, is to rebuild taxpayer trust - because fairness, transparency, and partnership between authorities and businesses form the foundation of a modern, sustainable tax system.</w:t>
      </w:r>
    </w:p>
    <w:p w14:paraId="54181AAA" w14:textId="77777777" w:rsidR="00195E0E" w:rsidRPr="00195E0E" w:rsidRDefault="00195E0E" w:rsidP="00195E0E">
      <w:pPr>
        <w:spacing w:before="100" w:beforeAutospacing="1" w:after="100" w:afterAutospacing="1" w:line="240" w:lineRule="auto"/>
        <w:jc w:val="both"/>
        <w:rPr>
          <w:rFonts w:ascii="Aptos" w:eastAsia="Times New Roman" w:hAnsi="Aptos" w:cs="Arial"/>
          <w:color w:val="002060"/>
        </w:rPr>
      </w:pPr>
      <w:r w:rsidRPr="00195E0E">
        <w:rPr>
          <w:rFonts w:ascii="Aptos" w:eastAsia="Times New Roman" w:hAnsi="Aptos" w:cs="Arial"/>
          <w:color w:val="002060"/>
        </w:rPr>
        <w:t>According to Associate Professor Le Xuan Truong, Head of the Faculty of Taxation and Customs at the Academy of Finance, fairness is central to fostering voluntary tax compliance. Fairness should be viewed in two dimensions: vertical fairness - where higher-income earners contribute more, and horizontal fairness - where people in similar circumstances bear the same obligations.</w:t>
      </w:r>
    </w:p>
    <w:p w14:paraId="3BC3C7FF" w14:textId="77777777" w:rsidR="00195E0E" w:rsidRPr="00195E0E" w:rsidRDefault="00195E0E" w:rsidP="00195E0E">
      <w:pPr>
        <w:spacing w:before="100" w:beforeAutospacing="1" w:after="100" w:afterAutospacing="1" w:line="240" w:lineRule="auto"/>
        <w:jc w:val="both"/>
        <w:rPr>
          <w:rFonts w:ascii="Aptos" w:eastAsia="Times New Roman" w:hAnsi="Aptos" w:cs="Arial"/>
          <w:color w:val="002060"/>
        </w:rPr>
      </w:pPr>
      <w:r w:rsidRPr="00195E0E">
        <w:rPr>
          <w:rFonts w:ascii="Aptos" w:eastAsia="Times New Roman" w:hAnsi="Aptos" w:cs="Arial"/>
          <w:color w:val="002060"/>
        </w:rPr>
        <w:t xml:space="preserve">He noted that while some adjustments have been made, current tax policies have not kept pace with changes in income and prices. He added that the progressive tax brackets also need revision to prevent middle-income earners from being pushed into higher bands, reducing incentives to work and save. The current framework applies rates from 5 to 35 per cent on annual incomes between </w:t>
      </w:r>
      <w:proofErr w:type="spellStart"/>
      <w:r w:rsidRPr="00195E0E">
        <w:rPr>
          <w:rFonts w:ascii="Aptos" w:eastAsia="Times New Roman" w:hAnsi="Aptos" w:cs="Arial"/>
          <w:color w:val="002060"/>
        </w:rPr>
        <w:t>VND60</w:t>
      </w:r>
      <w:proofErr w:type="spellEnd"/>
      <w:r w:rsidRPr="00195E0E">
        <w:rPr>
          <w:rFonts w:ascii="Aptos" w:eastAsia="Times New Roman" w:hAnsi="Aptos" w:cs="Arial"/>
          <w:color w:val="002060"/>
        </w:rPr>
        <w:t xml:space="preserve"> million and </w:t>
      </w:r>
      <w:proofErr w:type="spellStart"/>
      <w:r w:rsidRPr="00195E0E">
        <w:rPr>
          <w:rFonts w:ascii="Aptos" w:eastAsia="Times New Roman" w:hAnsi="Aptos" w:cs="Arial"/>
          <w:color w:val="002060"/>
        </w:rPr>
        <w:t>VND960</w:t>
      </w:r>
      <w:proofErr w:type="spellEnd"/>
      <w:r w:rsidRPr="00195E0E">
        <w:rPr>
          <w:rFonts w:ascii="Aptos" w:eastAsia="Times New Roman" w:hAnsi="Aptos" w:cs="Arial"/>
          <w:color w:val="002060"/>
        </w:rPr>
        <w:t xml:space="preserve"> million ($2,300-$36,500). After a decade in which average incomes have nearly quadrupled, this structure is outdated. Likewise, taxes on securities transfers should be based on actual profits rather than gross revenue to reflect true tax capacity and encourage long-term investment.</w:t>
      </w:r>
    </w:p>
    <w:p w14:paraId="60DC4C1D" w14:textId="77777777" w:rsidR="00195E0E" w:rsidRPr="00195E0E" w:rsidRDefault="00195E0E" w:rsidP="00195E0E">
      <w:pPr>
        <w:spacing w:before="100" w:beforeAutospacing="1" w:after="100" w:afterAutospacing="1" w:line="240" w:lineRule="auto"/>
        <w:jc w:val="both"/>
        <w:rPr>
          <w:rFonts w:ascii="Aptos" w:eastAsia="Times New Roman" w:hAnsi="Aptos" w:cs="Arial"/>
          <w:color w:val="002060"/>
        </w:rPr>
      </w:pPr>
      <w:r w:rsidRPr="00195E0E">
        <w:rPr>
          <w:rFonts w:ascii="Aptos" w:eastAsia="Times New Roman" w:hAnsi="Aptos" w:cs="Arial"/>
          <w:color w:val="002060"/>
        </w:rPr>
        <w:t>Ms. Nguyen Thi Cuc, Chairwoman of the Vietnam Tax Consultants’ Association, said improving compliance requires a mindset shift, from “control and supervision” to “support and partnership”. A well-functioning tax ecosystem, she noted, not only reduces business costs but also saves resources for the State, strengthening sustainable revenue collection.</w:t>
      </w:r>
    </w:p>
    <w:p w14:paraId="7E60E380" w14:textId="77777777" w:rsidR="00195E0E" w:rsidRPr="00195E0E" w:rsidRDefault="00195E0E" w:rsidP="00195E0E">
      <w:pPr>
        <w:spacing w:before="100" w:beforeAutospacing="1" w:after="100" w:afterAutospacing="1" w:line="240" w:lineRule="auto"/>
        <w:jc w:val="both"/>
        <w:rPr>
          <w:rFonts w:ascii="Aptos" w:eastAsia="Times New Roman" w:hAnsi="Aptos" w:cs="Arial"/>
          <w:color w:val="002060"/>
        </w:rPr>
      </w:pPr>
      <w:r w:rsidRPr="00195E0E">
        <w:rPr>
          <w:rFonts w:ascii="Aptos" w:eastAsia="Times New Roman" w:hAnsi="Aptos" w:cs="Arial"/>
          <w:color w:val="002060"/>
        </w:rPr>
        <w:t>However, she added that administrative penalties remain inflexible, with little distinction between the scale or severity of violations. She proposed adding automated tax reminders to e-filing and e-payment systems, helping individuals and small businesses meet deadlines and avoid any accidental violations.</w:t>
      </w:r>
    </w:p>
    <w:p w14:paraId="6604A613" w14:textId="77777777" w:rsidR="00195E0E" w:rsidRPr="00195E0E" w:rsidRDefault="00195E0E" w:rsidP="00195E0E">
      <w:pPr>
        <w:spacing w:before="100" w:beforeAutospacing="1" w:after="100" w:afterAutospacing="1" w:line="240" w:lineRule="auto"/>
        <w:jc w:val="both"/>
        <w:rPr>
          <w:rFonts w:ascii="Aptos" w:eastAsia="Times New Roman" w:hAnsi="Aptos" w:cs="Arial"/>
          <w:color w:val="002060"/>
        </w:rPr>
      </w:pPr>
      <w:r w:rsidRPr="00195E0E">
        <w:rPr>
          <w:rFonts w:ascii="Aptos" w:eastAsia="Times New Roman" w:hAnsi="Aptos" w:cs="Arial"/>
          <w:color w:val="002060"/>
        </w:rPr>
        <w:t>Ms. Cuc also emphasized that stronger tax compliance depends not only on policy reform but on institutional efficiency and fair enforcement. Small businesses, she noted, face mounting non-tax costs, from market management fees to food safety inspections, which add to their financial pressure. “Reducing these extra costs would motivate small traders to comply more fully with their tax obligations,” she believes.</w:t>
      </w:r>
    </w:p>
    <w:p w14:paraId="02AA9E5A" w14:textId="7BBF15A3" w:rsidR="00DF2DE4" w:rsidRDefault="00195E0E" w:rsidP="00195E0E">
      <w:pPr>
        <w:spacing w:before="100" w:beforeAutospacing="1" w:after="100" w:afterAutospacing="1" w:line="240" w:lineRule="auto"/>
        <w:jc w:val="both"/>
        <w:rPr>
          <w:rFonts w:ascii="Aptos" w:eastAsia="Times New Roman" w:hAnsi="Aptos" w:cs="Arial"/>
          <w:color w:val="002060"/>
        </w:rPr>
      </w:pPr>
      <w:r w:rsidRPr="00195E0E">
        <w:rPr>
          <w:rFonts w:ascii="Aptos" w:eastAsia="Times New Roman" w:hAnsi="Aptos" w:cs="Arial"/>
          <w:color w:val="002060"/>
        </w:rPr>
        <w:t>Ultimately, she continued, even the best policies will fail to earn public trust without transparency in enforcement. Ensuring fairness across taxpayer groups, cutting unnecessary social costs, and improving administrative openness are essential to building a culture of voluntary compliance.</w:t>
      </w:r>
    </w:p>
    <w:p w14:paraId="0D87DEB2" w14:textId="77777777" w:rsidR="00195E0E" w:rsidRPr="00195E0E" w:rsidRDefault="00195E0E" w:rsidP="00195E0E">
      <w:pPr>
        <w:spacing w:before="100" w:beforeAutospacing="1" w:after="100" w:afterAutospacing="1" w:line="240" w:lineRule="auto"/>
        <w:jc w:val="both"/>
        <w:rPr>
          <w:rFonts w:ascii="Aptos" w:eastAsia="Times New Roman" w:hAnsi="Aptos" w:cs="Arial"/>
          <w:color w:val="002060"/>
        </w:rPr>
      </w:pPr>
    </w:p>
    <w:p w14:paraId="1A24873C" w14:textId="77777777" w:rsidR="003E0394" w:rsidRDefault="00EE121E" w:rsidP="003E0394">
      <w:pPr>
        <w:spacing w:line="288" w:lineRule="auto"/>
        <w:jc w:val="right"/>
        <w:rPr>
          <w:rStyle w:val="Hyperlink"/>
          <w:rFonts w:ascii="Aptos" w:eastAsia="Malgun Gothic" w:hAnsi="Aptos" w:cs="Times New Roman"/>
          <w:color w:val="002060"/>
        </w:rPr>
      </w:pPr>
      <w:hyperlink w:anchor="_top" w:history="1">
        <w:r w:rsidR="003E0394" w:rsidRPr="004C6CBE">
          <w:rPr>
            <w:rStyle w:val="Hyperlink"/>
            <w:rFonts w:ascii="Aptos" w:eastAsia="Malgun Gothic" w:hAnsi="Aptos" w:cs="Times New Roman"/>
            <w:color w:val="002060"/>
          </w:rPr>
          <w:t>Back to Top</w:t>
        </w:r>
      </w:hyperlink>
    </w:p>
    <w:p w14:paraId="5942FBCE" w14:textId="77777777" w:rsidR="00C53C1D" w:rsidRDefault="00C53C1D" w:rsidP="003E0394">
      <w:pPr>
        <w:spacing w:line="288" w:lineRule="auto"/>
        <w:jc w:val="right"/>
        <w:rPr>
          <w:rStyle w:val="Hyperlink"/>
          <w:rFonts w:ascii="Aptos" w:eastAsia="Malgun Gothic" w:hAnsi="Aptos" w:cs="Times New Roman"/>
          <w:color w:val="002060"/>
        </w:rPr>
      </w:pPr>
    </w:p>
    <w:p w14:paraId="40800317" w14:textId="77777777" w:rsidR="00DF2DE4" w:rsidRPr="00C53C1D" w:rsidRDefault="00DF2DE4" w:rsidP="003E0394">
      <w:pPr>
        <w:spacing w:line="288" w:lineRule="auto"/>
        <w:jc w:val="right"/>
        <w:rPr>
          <w:rStyle w:val="Hyperlink"/>
          <w:rFonts w:ascii="Aptos" w:eastAsia="Malgun Gothic" w:hAnsi="Aptos" w:cs="Times New Roman"/>
          <w:b/>
          <w:bCs/>
          <w:color w:val="002060"/>
          <w:sz w:val="28"/>
          <w:szCs w:val="28"/>
        </w:rPr>
      </w:pPr>
    </w:p>
    <w:p w14:paraId="69E0EA8E" w14:textId="77777777" w:rsidR="00C53C1D" w:rsidRPr="00C53C1D" w:rsidRDefault="00C53C1D" w:rsidP="00C53C1D">
      <w:pPr>
        <w:spacing w:after="150" w:line="288" w:lineRule="auto"/>
        <w:jc w:val="both"/>
        <w:outlineLvl w:val="0"/>
        <w:rPr>
          <w:rFonts w:ascii="Aptos" w:eastAsia="Times New Roman" w:hAnsi="Aptos" w:cs="Times New Roman"/>
          <w:b/>
          <w:bCs/>
          <w:color w:val="002060"/>
          <w:kern w:val="36"/>
          <w:sz w:val="28"/>
          <w:szCs w:val="28"/>
        </w:rPr>
      </w:pPr>
      <w:bookmarkStart w:id="246" w:name="_Toc223006374"/>
      <w:r w:rsidRPr="00C53C1D">
        <w:rPr>
          <w:rFonts w:ascii="Aptos" w:eastAsia="Times New Roman" w:hAnsi="Aptos" w:cs="Times New Roman"/>
          <w:b/>
          <w:bCs/>
          <w:color w:val="002060"/>
          <w:kern w:val="36"/>
          <w:sz w:val="28"/>
          <w:szCs w:val="28"/>
        </w:rPr>
        <w:t>Home loan interest rates climb sharply amid tighter credit conditions</w:t>
      </w:r>
      <w:bookmarkEnd w:id="246"/>
    </w:p>
    <w:p w14:paraId="1F2CE389" w14:textId="640CDA32" w:rsidR="00C53C1D" w:rsidRDefault="00C53C1D" w:rsidP="00C53C1D">
      <w:pPr>
        <w:spacing w:after="150" w:line="288" w:lineRule="auto"/>
        <w:jc w:val="both"/>
        <w:rPr>
          <w:rFonts w:ascii="Aptos" w:eastAsia="Times New Roman" w:hAnsi="Aptos" w:cs="Times New Roman"/>
          <w:i/>
          <w:iCs/>
          <w:color w:val="002060"/>
          <w:sz w:val="18"/>
          <w:szCs w:val="18"/>
        </w:rPr>
      </w:pPr>
      <w:r w:rsidRPr="00C53C1D">
        <w:rPr>
          <w:rFonts w:ascii="Aptos" w:eastAsia="Times New Roman" w:hAnsi="Aptos" w:cs="Times New Roman"/>
          <w:i/>
          <w:iCs/>
          <w:color w:val="002060"/>
          <w:sz w:val="18"/>
          <w:szCs w:val="18"/>
        </w:rPr>
        <w:t>VNS</w:t>
      </w:r>
    </w:p>
    <w:p w14:paraId="27845A4C" w14:textId="77777777" w:rsidR="00076EC5" w:rsidRPr="00C53C1D" w:rsidRDefault="00076EC5" w:rsidP="00C53C1D">
      <w:pPr>
        <w:spacing w:after="150" w:line="288" w:lineRule="auto"/>
        <w:jc w:val="both"/>
        <w:rPr>
          <w:rFonts w:ascii="Aptos" w:eastAsia="Times New Roman" w:hAnsi="Aptos" w:cs="Times New Roman"/>
          <w:i/>
          <w:iCs/>
          <w:color w:val="002060"/>
          <w:sz w:val="18"/>
          <w:szCs w:val="18"/>
        </w:rPr>
      </w:pPr>
    </w:p>
    <w:p w14:paraId="4F71B3DA" w14:textId="77777777" w:rsidR="00C53C1D" w:rsidRPr="00C53C1D" w:rsidRDefault="00C53C1D" w:rsidP="00C53C1D">
      <w:pPr>
        <w:spacing w:line="288" w:lineRule="auto"/>
        <w:jc w:val="both"/>
        <w:rPr>
          <w:rFonts w:ascii="Aptos" w:eastAsia="Times New Roman" w:hAnsi="Aptos" w:cs="Times New Roman"/>
          <w:color w:val="002060"/>
        </w:rPr>
      </w:pPr>
      <w:r w:rsidRPr="00C53C1D">
        <w:rPr>
          <w:rFonts w:ascii="Aptos" w:eastAsia="Times New Roman" w:hAnsi="Aptos" w:cs="Times New Roman"/>
          <w:color w:val="002060"/>
        </w:rPr>
        <w:t>Home loan interest rates at many Vietnamese banks have risen sharply in recent weeks, increasing from the previously common range of 6-8 per cent per year to around 12-14 per cent, as lenders tighten credit to the property sector and respond to mounting liquidity pressures.</w:t>
      </w:r>
    </w:p>
    <w:p w14:paraId="3A52CCF0" w14:textId="7CA000C1" w:rsidR="00C53C1D" w:rsidRPr="00C53C1D" w:rsidRDefault="00C53C1D" w:rsidP="00C53C1D">
      <w:pPr>
        <w:spacing w:after="450" w:line="288" w:lineRule="auto"/>
        <w:jc w:val="both"/>
        <w:rPr>
          <w:rFonts w:ascii="Aptos" w:eastAsia="Times New Roman" w:hAnsi="Aptos" w:cs="Segoe UI"/>
          <w:color w:val="002060"/>
        </w:rPr>
      </w:pPr>
      <w:r w:rsidRPr="00C53C1D">
        <w:rPr>
          <w:rFonts w:ascii="Aptos" w:eastAsia="Times New Roman" w:hAnsi="Aptos" w:cs="Segoe UI"/>
          <w:color w:val="002060"/>
        </w:rPr>
        <w:t>Home loan interest rates at many Vietnamese banks have risen sharply in recent weeks, increasing from the previously common range of 6-8 per cent per year to around 12-14 per cent, as lenders tighten credit to the property sector and respond to mounting liquidity pressures.</w:t>
      </w:r>
    </w:p>
    <w:p w14:paraId="158CF1FA" w14:textId="77777777" w:rsidR="00C53C1D" w:rsidRPr="00C53C1D" w:rsidRDefault="00C53C1D" w:rsidP="00C53C1D">
      <w:pPr>
        <w:spacing w:after="450" w:line="288" w:lineRule="auto"/>
        <w:jc w:val="both"/>
        <w:rPr>
          <w:rFonts w:ascii="Aptos" w:eastAsia="Times New Roman" w:hAnsi="Aptos" w:cs="Segoe UI"/>
          <w:color w:val="002060"/>
        </w:rPr>
      </w:pPr>
      <w:r w:rsidRPr="00C53C1D">
        <w:rPr>
          <w:rFonts w:ascii="Aptos" w:eastAsia="Times New Roman" w:hAnsi="Aptos" w:cs="Segoe UI"/>
          <w:color w:val="002060"/>
        </w:rPr>
        <w:t>The adjustments have been particularly notable among State-owned commercial banks, which traditionally offer some of the lowest lending rates in the market.</w:t>
      </w:r>
    </w:p>
    <w:p w14:paraId="5B2BAEAE" w14:textId="77777777" w:rsidR="00C53C1D" w:rsidRPr="00C53C1D" w:rsidRDefault="00C53C1D" w:rsidP="00C53C1D">
      <w:pPr>
        <w:spacing w:after="450" w:line="288" w:lineRule="auto"/>
        <w:jc w:val="both"/>
        <w:rPr>
          <w:rFonts w:ascii="Aptos" w:eastAsia="Times New Roman" w:hAnsi="Aptos" w:cs="Segoe UI"/>
          <w:color w:val="002060"/>
        </w:rPr>
      </w:pPr>
      <w:r w:rsidRPr="00C53C1D">
        <w:rPr>
          <w:rFonts w:ascii="Aptos" w:eastAsia="Times New Roman" w:hAnsi="Aptos" w:cs="Segoe UI"/>
          <w:color w:val="002060"/>
        </w:rPr>
        <w:t xml:space="preserve">According to a recent notice from a Vietcombank branch in </w:t>
      </w:r>
      <w:proofErr w:type="spellStart"/>
      <w:r w:rsidRPr="00C53C1D">
        <w:rPr>
          <w:rFonts w:ascii="Aptos" w:eastAsia="Times New Roman" w:hAnsi="Aptos" w:cs="Segoe UI"/>
          <w:color w:val="002060"/>
        </w:rPr>
        <w:t>HCM</w:t>
      </w:r>
      <w:proofErr w:type="spellEnd"/>
      <w:r w:rsidRPr="00C53C1D">
        <w:rPr>
          <w:rFonts w:ascii="Aptos" w:eastAsia="Times New Roman" w:hAnsi="Aptos" w:cs="Segoe UI"/>
          <w:color w:val="002060"/>
        </w:rPr>
        <w:t xml:space="preserve"> City, interest rates for apartment and townhouse purchases with valid ownership certificates or sale contracts, as well as refinancing loans, are now offered from 9.6 per cent per year.</w:t>
      </w:r>
    </w:p>
    <w:p w14:paraId="35D91F28" w14:textId="77777777" w:rsidR="00C53C1D" w:rsidRPr="00C53C1D" w:rsidRDefault="00C53C1D" w:rsidP="00C53C1D">
      <w:pPr>
        <w:spacing w:after="450" w:line="288" w:lineRule="auto"/>
        <w:jc w:val="both"/>
        <w:rPr>
          <w:rFonts w:ascii="Aptos" w:eastAsia="Times New Roman" w:hAnsi="Aptos" w:cs="Segoe UI"/>
          <w:color w:val="002060"/>
        </w:rPr>
      </w:pPr>
      <w:r w:rsidRPr="00C53C1D">
        <w:rPr>
          <w:rFonts w:ascii="Aptos" w:eastAsia="Times New Roman" w:hAnsi="Aptos" w:cs="Segoe UI"/>
          <w:color w:val="002060"/>
        </w:rPr>
        <w:t>This compares with fixed rates of around 6 per cent for 12 months and 7 per cent for 24 months during the same period last year.</w:t>
      </w:r>
    </w:p>
    <w:p w14:paraId="658D021E" w14:textId="77777777" w:rsidR="00C53C1D" w:rsidRPr="00C53C1D" w:rsidRDefault="00C53C1D" w:rsidP="00C53C1D">
      <w:pPr>
        <w:spacing w:after="450" w:line="288" w:lineRule="auto"/>
        <w:jc w:val="both"/>
        <w:rPr>
          <w:rFonts w:ascii="Aptos" w:eastAsia="Times New Roman" w:hAnsi="Aptos" w:cs="Segoe UI"/>
          <w:color w:val="002060"/>
        </w:rPr>
      </w:pPr>
      <w:r w:rsidRPr="00C53C1D">
        <w:rPr>
          <w:rFonts w:ascii="Aptos" w:eastAsia="Times New Roman" w:hAnsi="Aptos" w:cs="Segoe UI"/>
          <w:color w:val="002060"/>
        </w:rPr>
        <w:t>Other State-owned lenders have made similar moves.</w:t>
      </w:r>
    </w:p>
    <w:p w14:paraId="6D9728C4" w14:textId="77777777" w:rsidR="00C53C1D" w:rsidRPr="00C53C1D" w:rsidRDefault="00C53C1D" w:rsidP="00C53C1D">
      <w:pPr>
        <w:spacing w:after="450" w:line="288" w:lineRule="auto"/>
        <w:jc w:val="both"/>
        <w:rPr>
          <w:rFonts w:ascii="Aptos" w:eastAsia="Times New Roman" w:hAnsi="Aptos" w:cs="Segoe UI"/>
          <w:color w:val="002060"/>
        </w:rPr>
      </w:pPr>
      <w:proofErr w:type="spellStart"/>
      <w:r w:rsidRPr="00C53C1D">
        <w:rPr>
          <w:rFonts w:ascii="Aptos" w:eastAsia="Times New Roman" w:hAnsi="Aptos" w:cs="Segoe UI"/>
          <w:color w:val="002060"/>
        </w:rPr>
        <w:t>VietinBank</w:t>
      </w:r>
      <w:proofErr w:type="spellEnd"/>
      <w:r w:rsidRPr="00C53C1D">
        <w:rPr>
          <w:rFonts w:ascii="Aptos" w:eastAsia="Times New Roman" w:hAnsi="Aptos" w:cs="Segoe UI"/>
          <w:color w:val="002060"/>
        </w:rPr>
        <w:t xml:space="preserve"> has raised its 24-month fixed-rate home loan package to above 12 per cent per year.</w:t>
      </w:r>
    </w:p>
    <w:p w14:paraId="5B03C84F" w14:textId="77777777" w:rsidR="00C53C1D" w:rsidRPr="00C53C1D" w:rsidRDefault="00C53C1D" w:rsidP="00C53C1D">
      <w:pPr>
        <w:spacing w:after="450" w:line="288" w:lineRule="auto"/>
        <w:jc w:val="both"/>
        <w:rPr>
          <w:rFonts w:ascii="Aptos" w:eastAsia="Times New Roman" w:hAnsi="Aptos" w:cs="Segoe UI"/>
          <w:color w:val="002060"/>
        </w:rPr>
      </w:pPr>
      <w:proofErr w:type="spellStart"/>
      <w:r w:rsidRPr="00C53C1D">
        <w:rPr>
          <w:rFonts w:ascii="Aptos" w:eastAsia="Times New Roman" w:hAnsi="Aptos" w:cs="Segoe UI"/>
          <w:color w:val="002060"/>
        </w:rPr>
        <w:t>BIDV</w:t>
      </w:r>
      <w:proofErr w:type="spellEnd"/>
      <w:r w:rsidRPr="00C53C1D">
        <w:rPr>
          <w:rFonts w:ascii="Aptos" w:eastAsia="Times New Roman" w:hAnsi="Aptos" w:cs="Segoe UI"/>
          <w:color w:val="002060"/>
        </w:rPr>
        <w:t xml:space="preserve"> currently offers rates starting at 9.7 per cent for the first six months, 10 per cent for 12 months and up to 13.5 per cent for 18 months.</w:t>
      </w:r>
    </w:p>
    <w:p w14:paraId="3B286820" w14:textId="77777777" w:rsidR="00C53C1D" w:rsidRPr="00C53C1D" w:rsidRDefault="00C53C1D" w:rsidP="00C53C1D">
      <w:pPr>
        <w:spacing w:after="450" w:line="288" w:lineRule="auto"/>
        <w:jc w:val="both"/>
        <w:rPr>
          <w:rFonts w:ascii="Aptos" w:eastAsia="Times New Roman" w:hAnsi="Aptos" w:cs="Segoe UI"/>
          <w:color w:val="002060"/>
        </w:rPr>
      </w:pPr>
      <w:proofErr w:type="spellStart"/>
      <w:r w:rsidRPr="00C53C1D">
        <w:rPr>
          <w:rFonts w:ascii="Aptos" w:eastAsia="Times New Roman" w:hAnsi="Aptos" w:cs="Segoe UI"/>
          <w:color w:val="002060"/>
        </w:rPr>
        <w:t>Agribank</w:t>
      </w:r>
      <w:proofErr w:type="spellEnd"/>
      <w:r w:rsidRPr="00C53C1D">
        <w:rPr>
          <w:rFonts w:ascii="Aptos" w:eastAsia="Times New Roman" w:hAnsi="Aptos" w:cs="Segoe UI"/>
          <w:color w:val="002060"/>
        </w:rPr>
        <w:t xml:space="preserve"> maintains lower short-term rates at around 8 per cent for six months and 8.5 per cent for 12 months, but rates approach 9.8 per cent for longer fixed periods.</w:t>
      </w:r>
    </w:p>
    <w:p w14:paraId="182F5CE8" w14:textId="77777777" w:rsidR="00C53C1D" w:rsidRPr="00C53C1D" w:rsidRDefault="00C53C1D" w:rsidP="00C53C1D">
      <w:pPr>
        <w:spacing w:after="450" w:line="288" w:lineRule="auto"/>
        <w:jc w:val="both"/>
        <w:rPr>
          <w:rFonts w:ascii="Aptos" w:eastAsia="Times New Roman" w:hAnsi="Aptos" w:cs="Segoe UI"/>
          <w:color w:val="002060"/>
        </w:rPr>
      </w:pPr>
      <w:r w:rsidRPr="00C53C1D">
        <w:rPr>
          <w:rFonts w:ascii="Aptos" w:eastAsia="Times New Roman" w:hAnsi="Aptos" w:cs="Segoe UI"/>
          <w:color w:val="002060"/>
        </w:rPr>
        <w:t xml:space="preserve">Private banks have also maintained elevated lending rates. MB offers 9-9.5 per cent for </w:t>
      </w:r>
      <w:proofErr w:type="gramStart"/>
      <w:r w:rsidRPr="00C53C1D">
        <w:rPr>
          <w:rFonts w:ascii="Aptos" w:eastAsia="Times New Roman" w:hAnsi="Aptos" w:cs="Segoe UI"/>
          <w:color w:val="002060"/>
        </w:rPr>
        <w:t>12-24 month</w:t>
      </w:r>
      <w:proofErr w:type="gramEnd"/>
      <w:r w:rsidRPr="00C53C1D">
        <w:rPr>
          <w:rFonts w:ascii="Aptos" w:eastAsia="Times New Roman" w:hAnsi="Aptos" w:cs="Segoe UI"/>
          <w:color w:val="002060"/>
        </w:rPr>
        <w:t xml:space="preserve"> fixed packages, while </w:t>
      </w:r>
      <w:proofErr w:type="spellStart"/>
      <w:r w:rsidRPr="00C53C1D">
        <w:rPr>
          <w:rFonts w:ascii="Aptos" w:eastAsia="Times New Roman" w:hAnsi="Aptos" w:cs="Segoe UI"/>
          <w:color w:val="002060"/>
        </w:rPr>
        <w:t>VIB</w:t>
      </w:r>
      <w:proofErr w:type="spellEnd"/>
      <w:r w:rsidRPr="00C53C1D">
        <w:rPr>
          <w:rFonts w:ascii="Aptos" w:eastAsia="Times New Roman" w:hAnsi="Aptos" w:cs="Segoe UI"/>
          <w:color w:val="002060"/>
        </w:rPr>
        <w:t xml:space="preserve"> applies 9.9-12 per cent over similar terms.</w:t>
      </w:r>
    </w:p>
    <w:p w14:paraId="6C0BFC7B" w14:textId="77777777" w:rsidR="00C53C1D" w:rsidRPr="00C53C1D" w:rsidRDefault="00C53C1D" w:rsidP="00C53C1D">
      <w:pPr>
        <w:spacing w:after="450" w:line="288" w:lineRule="auto"/>
        <w:jc w:val="both"/>
        <w:rPr>
          <w:rFonts w:ascii="Aptos" w:eastAsia="Times New Roman" w:hAnsi="Aptos" w:cs="Segoe UI"/>
          <w:color w:val="002060"/>
        </w:rPr>
      </w:pPr>
      <w:proofErr w:type="spellStart"/>
      <w:r w:rsidRPr="00C53C1D">
        <w:rPr>
          <w:rFonts w:ascii="Aptos" w:eastAsia="Times New Roman" w:hAnsi="Aptos" w:cs="Segoe UI"/>
          <w:color w:val="002060"/>
        </w:rPr>
        <w:lastRenderedPageBreak/>
        <w:t>ACB</w:t>
      </w:r>
      <w:proofErr w:type="spellEnd"/>
      <w:r w:rsidRPr="00C53C1D">
        <w:rPr>
          <w:rFonts w:ascii="Aptos" w:eastAsia="Times New Roman" w:hAnsi="Aptos" w:cs="Segoe UI"/>
          <w:color w:val="002060"/>
        </w:rPr>
        <w:t xml:space="preserve"> lends at around 9.5-10.5 per cent, and </w:t>
      </w:r>
      <w:proofErr w:type="spellStart"/>
      <w:r w:rsidRPr="00C53C1D">
        <w:rPr>
          <w:rFonts w:ascii="Aptos" w:eastAsia="Times New Roman" w:hAnsi="Aptos" w:cs="Segoe UI"/>
          <w:color w:val="002060"/>
        </w:rPr>
        <w:t>Techcombank</w:t>
      </w:r>
      <w:proofErr w:type="spellEnd"/>
      <w:r w:rsidRPr="00C53C1D">
        <w:rPr>
          <w:rFonts w:ascii="Aptos" w:eastAsia="Times New Roman" w:hAnsi="Aptos" w:cs="Segoe UI"/>
          <w:color w:val="002060"/>
        </w:rPr>
        <w:t xml:space="preserve"> offers 8.5-9.5 per cent for six to 12 months. Floating rates at many private lenders now range from 11 to 15 per cent per year, depending on promotional terms.</w:t>
      </w:r>
    </w:p>
    <w:p w14:paraId="22E1F079" w14:textId="77777777" w:rsidR="00C53C1D" w:rsidRPr="00C53C1D" w:rsidRDefault="00C53C1D" w:rsidP="00C53C1D">
      <w:pPr>
        <w:spacing w:after="450" w:line="288" w:lineRule="auto"/>
        <w:jc w:val="both"/>
        <w:rPr>
          <w:rFonts w:ascii="Aptos" w:eastAsia="Times New Roman" w:hAnsi="Aptos" w:cs="Segoe UI"/>
          <w:color w:val="002060"/>
        </w:rPr>
      </w:pPr>
      <w:r w:rsidRPr="00C53C1D">
        <w:rPr>
          <w:rFonts w:ascii="Aptos" w:eastAsia="Times New Roman" w:hAnsi="Aptos" w:cs="Segoe UI"/>
          <w:color w:val="002060"/>
        </w:rPr>
        <w:t>Notably, lending rates at some State-owned banks are now on par with, or even higher than, those at private institutions, an uncommon development given that State-backed lenders are typically associated with lower borrowing costs.</w:t>
      </w:r>
    </w:p>
    <w:p w14:paraId="50D31A1D" w14:textId="77777777" w:rsidR="00C53C1D" w:rsidRPr="00C53C1D" w:rsidRDefault="00C53C1D" w:rsidP="00C53C1D">
      <w:pPr>
        <w:spacing w:after="450" w:line="288" w:lineRule="auto"/>
        <w:jc w:val="both"/>
        <w:rPr>
          <w:rFonts w:ascii="Aptos" w:eastAsia="Times New Roman" w:hAnsi="Aptos" w:cs="Segoe UI"/>
          <w:color w:val="002060"/>
        </w:rPr>
      </w:pPr>
      <w:r w:rsidRPr="00C53C1D">
        <w:rPr>
          <w:rFonts w:ascii="Aptos" w:eastAsia="Times New Roman" w:hAnsi="Aptos" w:cs="Segoe UI"/>
          <w:color w:val="002060"/>
        </w:rPr>
        <w:t>A senior executive at a State-owned bank told </w:t>
      </w:r>
      <w:proofErr w:type="spellStart"/>
      <w:r w:rsidRPr="00C53C1D">
        <w:rPr>
          <w:rFonts w:ascii="Aptos" w:eastAsia="Times New Roman" w:hAnsi="Aptos" w:cs="Segoe UI"/>
          <w:color w:val="002060"/>
        </w:rPr>
        <w:t>Việt</w:t>
      </w:r>
      <w:proofErr w:type="spellEnd"/>
      <w:r w:rsidRPr="00C53C1D">
        <w:rPr>
          <w:rFonts w:ascii="Aptos" w:eastAsia="Times New Roman" w:hAnsi="Aptos" w:cs="Segoe UI"/>
          <w:color w:val="002060"/>
        </w:rPr>
        <w:t xml:space="preserve"> Nam News and Law that the higher rates reflect policy orientation.</w:t>
      </w:r>
    </w:p>
    <w:p w14:paraId="4D9DA14D" w14:textId="77777777" w:rsidR="00C53C1D" w:rsidRPr="00C53C1D" w:rsidRDefault="00C53C1D" w:rsidP="00C53C1D">
      <w:pPr>
        <w:spacing w:after="450" w:line="288" w:lineRule="auto"/>
        <w:jc w:val="both"/>
        <w:rPr>
          <w:rFonts w:ascii="Aptos" w:eastAsia="Times New Roman" w:hAnsi="Aptos" w:cs="Segoe UI"/>
          <w:color w:val="002060"/>
        </w:rPr>
      </w:pPr>
      <w:r w:rsidRPr="00C53C1D">
        <w:rPr>
          <w:rFonts w:ascii="Aptos" w:eastAsia="Times New Roman" w:hAnsi="Aptos" w:cs="Segoe UI"/>
          <w:color w:val="002060"/>
        </w:rPr>
        <w:t xml:space="preserve">Credit growth quotas for the property sector have been restricted this year, prompting banks to adjust pricing </w:t>
      </w:r>
      <w:proofErr w:type="gramStart"/>
      <w:r w:rsidRPr="00C53C1D">
        <w:rPr>
          <w:rFonts w:ascii="Aptos" w:eastAsia="Times New Roman" w:hAnsi="Aptos" w:cs="Segoe UI"/>
          <w:color w:val="002060"/>
        </w:rPr>
        <w:t>in order to</w:t>
      </w:r>
      <w:proofErr w:type="gramEnd"/>
      <w:r w:rsidRPr="00C53C1D">
        <w:rPr>
          <w:rFonts w:ascii="Aptos" w:eastAsia="Times New Roman" w:hAnsi="Aptos" w:cs="Segoe UI"/>
          <w:color w:val="002060"/>
        </w:rPr>
        <w:t xml:space="preserve"> redirect capital toward priority areas such as production and business activities, he said. </w:t>
      </w:r>
    </w:p>
    <w:p w14:paraId="3341EDDA" w14:textId="77777777" w:rsidR="00C53C1D" w:rsidRPr="00C53C1D" w:rsidRDefault="00C53C1D" w:rsidP="00C53C1D">
      <w:pPr>
        <w:spacing w:after="450" w:line="288" w:lineRule="auto"/>
        <w:jc w:val="both"/>
        <w:rPr>
          <w:rFonts w:ascii="Aptos" w:eastAsia="Times New Roman" w:hAnsi="Aptos" w:cs="Segoe UI"/>
          <w:color w:val="002060"/>
        </w:rPr>
      </w:pPr>
      <w:r w:rsidRPr="00C53C1D">
        <w:rPr>
          <w:rFonts w:ascii="Aptos" w:eastAsia="Times New Roman" w:hAnsi="Aptos" w:cs="Segoe UI"/>
          <w:color w:val="002060"/>
        </w:rPr>
        <w:t xml:space="preserve">At a recent investor conference, </w:t>
      </w:r>
      <w:proofErr w:type="spellStart"/>
      <w:r w:rsidRPr="00C53C1D">
        <w:rPr>
          <w:rFonts w:ascii="Aptos" w:eastAsia="Times New Roman" w:hAnsi="Aptos" w:cs="Segoe UI"/>
          <w:color w:val="002060"/>
        </w:rPr>
        <w:t>Lưu</w:t>
      </w:r>
      <w:proofErr w:type="spellEnd"/>
      <w:r w:rsidRPr="00C53C1D">
        <w:rPr>
          <w:rFonts w:ascii="Aptos" w:eastAsia="Times New Roman" w:hAnsi="Aptos" w:cs="Segoe UI"/>
          <w:color w:val="002060"/>
        </w:rPr>
        <w:t xml:space="preserve"> Trung Thái, chairman of Military Bank (MB), said higher-risk sectors cannot be offered preferentially low rates.</w:t>
      </w:r>
    </w:p>
    <w:p w14:paraId="034E86BC" w14:textId="77777777" w:rsidR="00C53C1D" w:rsidRPr="00C53C1D" w:rsidRDefault="00C53C1D" w:rsidP="00C53C1D">
      <w:pPr>
        <w:spacing w:after="450" w:line="288" w:lineRule="auto"/>
        <w:jc w:val="both"/>
        <w:rPr>
          <w:rFonts w:ascii="Aptos" w:eastAsia="Times New Roman" w:hAnsi="Aptos" w:cs="Segoe UI"/>
          <w:color w:val="002060"/>
        </w:rPr>
      </w:pPr>
      <w:r w:rsidRPr="00C53C1D">
        <w:rPr>
          <w:rFonts w:ascii="Aptos" w:eastAsia="Times New Roman" w:hAnsi="Aptos" w:cs="Segoe UI"/>
          <w:color w:val="002060"/>
        </w:rPr>
        <w:t xml:space="preserve">However, he </w:t>
      </w:r>
      <w:proofErr w:type="spellStart"/>
      <w:r w:rsidRPr="00C53C1D">
        <w:rPr>
          <w:rFonts w:ascii="Aptos" w:eastAsia="Times New Roman" w:hAnsi="Aptos" w:cs="Segoe UI"/>
          <w:color w:val="002060"/>
        </w:rPr>
        <w:t>emphasised</w:t>
      </w:r>
      <w:proofErr w:type="spellEnd"/>
      <w:r w:rsidRPr="00C53C1D">
        <w:rPr>
          <w:rFonts w:ascii="Aptos" w:eastAsia="Times New Roman" w:hAnsi="Aptos" w:cs="Segoe UI"/>
          <w:color w:val="002060"/>
        </w:rPr>
        <w:t xml:space="preserve"> that overall lending rates should remain at reasonable levels to balance capital </w:t>
      </w:r>
      <w:proofErr w:type="spellStart"/>
      <w:r w:rsidRPr="00C53C1D">
        <w:rPr>
          <w:rFonts w:ascii="Aptos" w:eastAsia="Times New Roman" w:hAnsi="Aptos" w:cs="Segoe UI"/>
          <w:color w:val="002060"/>
        </w:rPr>
        <w:t>mobilisation</w:t>
      </w:r>
      <w:proofErr w:type="spellEnd"/>
      <w:r w:rsidRPr="00C53C1D">
        <w:rPr>
          <w:rFonts w:ascii="Aptos" w:eastAsia="Times New Roman" w:hAnsi="Aptos" w:cs="Segoe UI"/>
          <w:color w:val="002060"/>
        </w:rPr>
        <w:t xml:space="preserve"> with investment and consumption.</w:t>
      </w:r>
    </w:p>
    <w:p w14:paraId="76939929" w14:textId="77777777" w:rsidR="00C53C1D" w:rsidRPr="00C53C1D" w:rsidRDefault="00C53C1D" w:rsidP="00C53C1D">
      <w:pPr>
        <w:spacing w:after="450" w:line="288" w:lineRule="auto"/>
        <w:jc w:val="both"/>
        <w:rPr>
          <w:rFonts w:ascii="Aptos" w:eastAsia="Times New Roman" w:hAnsi="Aptos" w:cs="Segoe UI"/>
          <w:color w:val="002060"/>
        </w:rPr>
      </w:pPr>
      <w:r w:rsidRPr="00C53C1D">
        <w:rPr>
          <w:rFonts w:ascii="Aptos" w:eastAsia="Times New Roman" w:hAnsi="Aptos" w:cs="Segoe UI"/>
          <w:color w:val="002060"/>
        </w:rPr>
        <w:t>Savings deposit rates have also risen across the system, including at State-owned banks, reaching their highest levels in two years.</w:t>
      </w:r>
    </w:p>
    <w:p w14:paraId="1767A2F3" w14:textId="77777777" w:rsidR="00C53C1D" w:rsidRPr="00C53C1D" w:rsidRDefault="00C53C1D" w:rsidP="00C53C1D">
      <w:pPr>
        <w:spacing w:after="450" w:line="288" w:lineRule="auto"/>
        <w:jc w:val="both"/>
        <w:rPr>
          <w:rFonts w:ascii="Aptos" w:eastAsia="Times New Roman" w:hAnsi="Aptos" w:cs="Segoe UI"/>
          <w:color w:val="002060"/>
        </w:rPr>
      </w:pPr>
      <w:r w:rsidRPr="00C53C1D">
        <w:rPr>
          <w:rFonts w:ascii="Aptos" w:eastAsia="Times New Roman" w:hAnsi="Aptos" w:cs="Segoe UI"/>
          <w:color w:val="002060"/>
        </w:rPr>
        <w:t>Interbank rates briefly surged to 17-19 per cent before easing, though analysts expect liquidity conditions to remain tighter than in previous years at least through the end of the first quarter.</w:t>
      </w:r>
    </w:p>
    <w:p w14:paraId="7DE301CA" w14:textId="77777777" w:rsidR="00C53C1D" w:rsidRPr="00C53C1D" w:rsidRDefault="00C53C1D" w:rsidP="00C53C1D">
      <w:pPr>
        <w:spacing w:after="450" w:line="288" w:lineRule="auto"/>
        <w:jc w:val="both"/>
        <w:rPr>
          <w:rFonts w:ascii="Aptos" w:eastAsia="Times New Roman" w:hAnsi="Aptos" w:cs="Segoe UI"/>
          <w:color w:val="002060"/>
        </w:rPr>
      </w:pPr>
      <w:r w:rsidRPr="00C53C1D">
        <w:rPr>
          <w:rFonts w:ascii="Aptos" w:eastAsia="Times New Roman" w:hAnsi="Aptos" w:cs="Segoe UI"/>
          <w:b/>
          <w:bCs/>
          <w:color w:val="002060"/>
        </w:rPr>
        <w:t>Repayment burdens</w:t>
      </w:r>
    </w:p>
    <w:p w14:paraId="08C8A776" w14:textId="77777777" w:rsidR="00C53C1D" w:rsidRPr="00C53C1D" w:rsidRDefault="00C53C1D" w:rsidP="00C53C1D">
      <w:pPr>
        <w:spacing w:after="450" w:line="288" w:lineRule="auto"/>
        <w:jc w:val="both"/>
        <w:rPr>
          <w:rFonts w:ascii="Aptos" w:eastAsia="Times New Roman" w:hAnsi="Aptos" w:cs="Segoe UI"/>
          <w:color w:val="002060"/>
        </w:rPr>
      </w:pPr>
      <w:r w:rsidRPr="00C53C1D">
        <w:rPr>
          <w:rFonts w:ascii="Aptos" w:eastAsia="Times New Roman" w:hAnsi="Aptos" w:cs="Segoe UI"/>
          <w:color w:val="002060"/>
        </w:rPr>
        <w:t>Market observers say the speed of recent adjustments has been rapid.</w:t>
      </w:r>
    </w:p>
    <w:p w14:paraId="14CCFDC3" w14:textId="77777777" w:rsidR="00C53C1D" w:rsidRPr="00C53C1D" w:rsidRDefault="00C53C1D" w:rsidP="00C53C1D">
      <w:pPr>
        <w:spacing w:after="450" w:line="288" w:lineRule="auto"/>
        <w:jc w:val="both"/>
        <w:rPr>
          <w:rFonts w:ascii="Aptos" w:eastAsia="Times New Roman" w:hAnsi="Aptos" w:cs="Segoe UI"/>
          <w:color w:val="002060"/>
        </w:rPr>
      </w:pPr>
      <w:r w:rsidRPr="00C53C1D">
        <w:rPr>
          <w:rFonts w:ascii="Aptos" w:eastAsia="Times New Roman" w:hAnsi="Aptos" w:cs="Segoe UI"/>
          <w:color w:val="002060"/>
        </w:rPr>
        <w:t xml:space="preserve">Võ </w:t>
      </w:r>
      <w:proofErr w:type="spellStart"/>
      <w:r w:rsidRPr="00C53C1D">
        <w:rPr>
          <w:rFonts w:ascii="Aptos" w:eastAsia="Times New Roman" w:hAnsi="Aptos" w:cs="Segoe UI"/>
          <w:color w:val="002060"/>
        </w:rPr>
        <w:t>Hồng</w:t>
      </w:r>
      <w:proofErr w:type="spellEnd"/>
      <w:r w:rsidRPr="00C53C1D">
        <w:rPr>
          <w:rFonts w:ascii="Aptos" w:eastAsia="Times New Roman" w:hAnsi="Aptos" w:cs="Segoe UI"/>
          <w:color w:val="002060"/>
        </w:rPr>
        <w:t xml:space="preserve"> </w:t>
      </w:r>
      <w:proofErr w:type="spellStart"/>
      <w:r w:rsidRPr="00C53C1D">
        <w:rPr>
          <w:rFonts w:ascii="Aptos" w:eastAsia="Times New Roman" w:hAnsi="Aptos" w:cs="Segoe UI"/>
          <w:color w:val="002060"/>
        </w:rPr>
        <w:t>Thắng</w:t>
      </w:r>
      <w:proofErr w:type="spellEnd"/>
      <w:r w:rsidRPr="00C53C1D">
        <w:rPr>
          <w:rFonts w:ascii="Aptos" w:eastAsia="Times New Roman" w:hAnsi="Aptos" w:cs="Segoe UI"/>
          <w:color w:val="002060"/>
        </w:rPr>
        <w:t xml:space="preserve">, deputy general Director of </w:t>
      </w:r>
      <w:proofErr w:type="spellStart"/>
      <w:r w:rsidRPr="00C53C1D">
        <w:rPr>
          <w:rFonts w:ascii="Aptos" w:eastAsia="Times New Roman" w:hAnsi="Aptos" w:cs="Segoe UI"/>
          <w:color w:val="002060"/>
        </w:rPr>
        <w:t>DKRA</w:t>
      </w:r>
      <w:proofErr w:type="spellEnd"/>
      <w:r w:rsidRPr="00C53C1D">
        <w:rPr>
          <w:rFonts w:ascii="Aptos" w:eastAsia="Times New Roman" w:hAnsi="Aptos" w:cs="Segoe UI"/>
          <w:color w:val="002060"/>
        </w:rPr>
        <w:t xml:space="preserve"> Group, said that just four to five months ago, many banks were still offering two-year fixed rates at around 6.5 per cent per year. Since then, rates have steadily increased to the current common range of 13-14 per cent.</w:t>
      </w:r>
    </w:p>
    <w:p w14:paraId="172FD58B" w14:textId="77777777" w:rsidR="00C53C1D" w:rsidRPr="00C53C1D" w:rsidRDefault="00C53C1D" w:rsidP="00C53C1D">
      <w:pPr>
        <w:spacing w:after="450" w:line="288" w:lineRule="auto"/>
        <w:jc w:val="both"/>
        <w:rPr>
          <w:rFonts w:ascii="Aptos" w:eastAsia="Times New Roman" w:hAnsi="Aptos" w:cs="Segoe UI"/>
          <w:color w:val="002060"/>
        </w:rPr>
      </w:pPr>
      <w:r w:rsidRPr="00C53C1D">
        <w:rPr>
          <w:rFonts w:ascii="Aptos" w:eastAsia="Times New Roman" w:hAnsi="Aptos" w:cs="Segoe UI"/>
          <w:color w:val="002060"/>
        </w:rPr>
        <w:t>"Higher borrowing costs have significantly increased repayment burdens," he noted.</w:t>
      </w:r>
    </w:p>
    <w:p w14:paraId="211FF5B6" w14:textId="77777777" w:rsidR="00C53C1D" w:rsidRPr="00C53C1D" w:rsidRDefault="00C53C1D" w:rsidP="00C53C1D">
      <w:pPr>
        <w:spacing w:after="450" w:line="288" w:lineRule="auto"/>
        <w:jc w:val="both"/>
        <w:rPr>
          <w:rFonts w:ascii="Aptos" w:eastAsia="Times New Roman" w:hAnsi="Aptos" w:cs="Segoe UI"/>
          <w:color w:val="002060"/>
        </w:rPr>
      </w:pPr>
      <w:r w:rsidRPr="00C53C1D">
        <w:rPr>
          <w:rFonts w:ascii="Aptos" w:eastAsia="Times New Roman" w:hAnsi="Aptos" w:cs="Segoe UI"/>
          <w:color w:val="002060"/>
        </w:rPr>
        <w:t xml:space="preserve">A </w:t>
      </w:r>
      <w:proofErr w:type="spellStart"/>
      <w:r w:rsidRPr="00C53C1D">
        <w:rPr>
          <w:rFonts w:ascii="Aptos" w:eastAsia="Times New Roman" w:hAnsi="Aptos" w:cs="Segoe UI"/>
          <w:color w:val="002060"/>
        </w:rPr>
        <w:t>VNĐ1</w:t>
      </w:r>
      <w:proofErr w:type="spellEnd"/>
      <w:r w:rsidRPr="00C53C1D">
        <w:rPr>
          <w:rFonts w:ascii="Aptos" w:eastAsia="Times New Roman" w:hAnsi="Aptos" w:cs="Segoe UI"/>
          <w:color w:val="002060"/>
        </w:rPr>
        <w:t xml:space="preserve"> billion loan at an interest rate of around 14 per cent now creates an interest payment obligation comparable to that of a </w:t>
      </w:r>
      <w:proofErr w:type="spellStart"/>
      <w:r w:rsidRPr="00C53C1D">
        <w:rPr>
          <w:rFonts w:ascii="Aptos" w:eastAsia="Times New Roman" w:hAnsi="Aptos" w:cs="Segoe UI"/>
          <w:color w:val="002060"/>
        </w:rPr>
        <w:t>VNĐ2</w:t>
      </w:r>
      <w:proofErr w:type="spellEnd"/>
      <w:r w:rsidRPr="00C53C1D">
        <w:rPr>
          <w:rFonts w:ascii="Aptos" w:eastAsia="Times New Roman" w:hAnsi="Aptos" w:cs="Segoe UI"/>
          <w:color w:val="002060"/>
        </w:rPr>
        <w:t xml:space="preserve"> billion loan when rates were 6.5 per cent previously. While the principal remains unchanged, effective financial pressure on borrowers has nearly doubled, according to </w:t>
      </w:r>
      <w:proofErr w:type="spellStart"/>
      <w:r w:rsidRPr="00C53C1D">
        <w:rPr>
          <w:rFonts w:ascii="Aptos" w:eastAsia="Times New Roman" w:hAnsi="Aptos" w:cs="Segoe UI"/>
          <w:color w:val="002060"/>
        </w:rPr>
        <w:t>Thắng</w:t>
      </w:r>
      <w:proofErr w:type="spellEnd"/>
      <w:r w:rsidRPr="00C53C1D">
        <w:rPr>
          <w:rFonts w:ascii="Aptos" w:eastAsia="Times New Roman" w:hAnsi="Aptos" w:cs="Segoe UI"/>
          <w:color w:val="002060"/>
        </w:rPr>
        <w:t>. </w:t>
      </w:r>
    </w:p>
    <w:p w14:paraId="62221424" w14:textId="77777777" w:rsidR="00C53C1D" w:rsidRPr="00C53C1D" w:rsidRDefault="00C53C1D" w:rsidP="00C53C1D">
      <w:pPr>
        <w:spacing w:after="450" w:line="288" w:lineRule="auto"/>
        <w:jc w:val="both"/>
        <w:rPr>
          <w:rFonts w:ascii="Aptos" w:eastAsia="Times New Roman" w:hAnsi="Aptos" w:cs="Segoe UI"/>
          <w:color w:val="002060"/>
        </w:rPr>
      </w:pPr>
      <w:r w:rsidRPr="00C53C1D">
        <w:rPr>
          <w:rFonts w:ascii="Aptos" w:eastAsia="Times New Roman" w:hAnsi="Aptos" w:cs="Segoe UI"/>
          <w:color w:val="002060"/>
        </w:rPr>
        <w:lastRenderedPageBreak/>
        <w:t xml:space="preserve">Phan Thành </w:t>
      </w:r>
      <w:proofErr w:type="spellStart"/>
      <w:r w:rsidRPr="00C53C1D">
        <w:rPr>
          <w:rFonts w:ascii="Aptos" w:eastAsia="Times New Roman" w:hAnsi="Aptos" w:cs="Segoe UI"/>
          <w:color w:val="002060"/>
        </w:rPr>
        <w:t>Chương</w:t>
      </w:r>
      <w:proofErr w:type="spellEnd"/>
      <w:r w:rsidRPr="00C53C1D">
        <w:rPr>
          <w:rFonts w:ascii="Aptos" w:eastAsia="Times New Roman" w:hAnsi="Aptos" w:cs="Segoe UI"/>
          <w:color w:val="002060"/>
        </w:rPr>
        <w:t>, director of TC Land Real Estate Company, said lending rates had been rising gradually since mid-2025, but the pace accelerated from last November, further weighing on market liquidity. Many buyers are delaying purchase decisions or waiting for clearer signals on interest rates and credit policy.</w:t>
      </w:r>
    </w:p>
    <w:p w14:paraId="506B9ECA" w14:textId="77777777" w:rsidR="00C53C1D" w:rsidRPr="00C53C1D" w:rsidRDefault="00C53C1D" w:rsidP="00C53C1D">
      <w:pPr>
        <w:spacing w:after="450" w:line="288" w:lineRule="auto"/>
        <w:jc w:val="both"/>
        <w:rPr>
          <w:rFonts w:ascii="Aptos" w:eastAsia="Times New Roman" w:hAnsi="Aptos" w:cs="Segoe UI"/>
          <w:color w:val="002060"/>
        </w:rPr>
      </w:pPr>
      <w:r w:rsidRPr="00C53C1D">
        <w:rPr>
          <w:rFonts w:ascii="Aptos" w:eastAsia="Times New Roman" w:hAnsi="Aptos" w:cs="Segoe UI"/>
          <w:color w:val="002060"/>
        </w:rPr>
        <w:t>Experts say the current rate environment may accelerate market consolidation. Short-term speculative capital is likely to retreat, while genuine homebuyers will need to more carefully assess income stability and repayment capacity.</w:t>
      </w:r>
    </w:p>
    <w:p w14:paraId="4D1D2201" w14:textId="6CA10931" w:rsidR="00E75D94" w:rsidRPr="00C53C1D" w:rsidRDefault="00C53C1D" w:rsidP="00C53C1D">
      <w:pPr>
        <w:spacing w:after="450" w:line="288" w:lineRule="auto"/>
        <w:jc w:val="both"/>
        <w:rPr>
          <w:rFonts w:ascii="Aptos" w:eastAsia="Times New Roman" w:hAnsi="Aptos" w:cs="Segoe UI"/>
          <w:color w:val="002060"/>
        </w:rPr>
      </w:pPr>
      <w:r w:rsidRPr="00C53C1D">
        <w:rPr>
          <w:rFonts w:ascii="Aptos" w:eastAsia="Times New Roman" w:hAnsi="Aptos" w:cs="Segoe UI"/>
          <w:color w:val="002060"/>
        </w:rPr>
        <w:t xml:space="preserve">Higher interest rates do not necessarily signal the end of the property cycle, analysts say, but they mark the conclusion of a period </w:t>
      </w:r>
      <w:proofErr w:type="spellStart"/>
      <w:r w:rsidRPr="00C53C1D">
        <w:rPr>
          <w:rFonts w:ascii="Aptos" w:eastAsia="Times New Roman" w:hAnsi="Aptos" w:cs="Segoe UI"/>
          <w:color w:val="002060"/>
        </w:rPr>
        <w:t>characterised</w:t>
      </w:r>
      <w:proofErr w:type="spellEnd"/>
      <w:r w:rsidRPr="00C53C1D">
        <w:rPr>
          <w:rFonts w:ascii="Aptos" w:eastAsia="Times New Roman" w:hAnsi="Aptos" w:cs="Segoe UI"/>
          <w:color w:val="002060"/>
        </w:rPr>
        <w:t xml:space="preserve"> by easy leverage. The market is expected to shift toward a slower, more sustainable trajectory in the coming period.  </w:t>
      </w:r>
      <w:bookmarkStart w:id="247" w:name="_Toc219377436"/>
    </w:p>
    <w:bookmarkEnd w:id="247"/>
    <w:p w14:paraId="2E0E1B8D" w14:textId="77777777" w:rsidR="00A57988" w:rsidRPr="004C6CBE" w:rsidRDefault="001D7544" w:rsidP="00A57988">
      <w:pPr>
        <w:spacing w:line="288" w:lineRule="auto"/>
        <w:jc w:val="right"/>
        <w:rPr>
          <w:rStyle w:val="Hyperlink"/>
          <w:rFonts w:ascii="Aptos" w:eastAsia="Malgun Gothic" w:hAnsi="Aptos" w:cs="Times New Roman"/>
          <w:color w:val="002060"/>
        </w:rPr>
      </w:pPr>
      <w:r>
        <w:fldChar w:fldCharType="begin"/>
      </w:r>
      <w:r>
        <w:instrText>HYPERLINK \l "_top"</w:instrText>
      </w:r>
      <w:r>
        <w:fldChar w:fldCharType="separate"/>
      </w:r>
      <w:r w:rsidR="00A57988" w:rsidRPr="004C6CBE">
        <w:rPr>
          <w:rStyle w:val="Hyperlink"/>
          <w:rFonts w:ascii="Aptos" w:eastAsia="Malgun Gothic" w:hAnsi="Aptos" w:cs="Times New Roman"/>
          <w:color w:val="002060"/>
        </w:rPr>
        <w:t>Back to Top</w:t>
      </w:r>
      <w:r>
        <w:rPr>
          <w:rStyle w:val="Hyperlink"/>
          <w:rFonts w:ascii="Aptos" w:eastAsia="Malgun Gothic" w:hAnsi="Aptos" w:cs="Times New Roman"/>
          <w:color w:val="002060"/>
        </w:rPr>
        <w:fldChar w:fldCharType="end"/>
      </w:r>
    </w:p>
    <w:p w14:paraId="7714529E" w14:textId="77777777" w:rsidR="00360994" w:rsidRPr="004C6CBE" w:rsidRDefault="00360994" w:rsidP="00360994">
      <w:pPr>
        <w:spacing w:line="288" w:lineRule="auto"/>
        <w:jc w:val="right"/>
        <w:rPr>
          <w:rFonts w:ascii="Aptos" w:eastAsia="Malgun Gothic" w:hAnsi="Aptos"/>
          <w:color w:val="002060"/>
        </w:rPr>
      </w:pPr>
    </w:p>
    <w:p w14:paraId="5B362C5B" w14:textId="77777777" w:rsidR="00246DA7" w:rsidRPr="004C6CBE" w:rsidRDefault="00246DA7" w:rsidP="003B61BC">
      <w:pPr>
        <w:pStyle w:val="Heading1"/>
        <w:shd w:val="clear" w:color="auto" w:fill="FFFFFF"/>
        <w:spacing w:before="0" w:line="288" w:lineRule="atLeast"/>
        <w:rPr>
          <w:rFonts w:ascii="Aptos" w:eastAsia="Malgun Gothic" w:hAnsi="Aptos" w:cs="Times New Roman"/>
          <w:color w:val="002060"/>
        </w:rPr>
      </w:pPr>
      <w:bookmarkStart w:id="248" w:name="_Toc186722691"/>
      <w:bookmarkStart w:id="249" w:name="_Toc187326017"/>
      <w:bookmarkStart w:id="250" w:name="_Toc187919317"/>
      <w:bookmarkStart w:id="251" w:name="_Toc188519309"/>
      <w:bookmarkStart w:id="252" w:name="_Toc189746399"/>
      <w:bookmarkStart w:id="253" w:name="_Toc190348424"/>
      <w:bookmarkStart w:id="254" w:name="_Toc190954008"/>
      <w:bookmarkStart w:id="255" w:name="_Toc191559693"/>
      <w:bookmarkStart w:id="256" w:name="_Toc192153145"/>
      <w:bookmarkStart w:id="257" w:name="_Toc192767030"/>
      <w:bookmarkStart w:id="258" w:name="_Toc193361537"/>
      <w:bookmarkStart w:id="259" w:name="_Toc193977729"/>
      <w:bookmarkStart w:id="260" w:name="_Toc194671393"/>
      <w:bookmarkStart w:id="261" w:name="_Toc195192224"/>
      <w:bookmarkStart w:id="262" w:name="_Toc195795569"/>
      <w:bookmarkStart w:id="263" w:name="_Toc196395797"/>
      <w:bookmarkStart w:id="264" w:name="_Toc197596758"/>
      <w:bookmarkStart w:id="265" w:name="_Toc198210641"/>
      <w:bookmarkStart w:id="266" w:name="_Toc198816026"/>
      <w:bookmarkStart w:id="267" w:name="_Toc199419424"/>
      <w:bookmarkStart w:id="268" w:name="_Toc200013593"/>
      <w:bookmarkStart w:id="269" w:name="_Toc200628572"/>
      <w:bookmarkStart w:id="270" w:name="_Toc201837355"/>
      <w:bookmarkStart w:id="271" w:name="_Toc202445690"/>
      <w:bookmarkStart w:id="272" w:name="_Toc203047555"/>
      <w:bookmarkStart w:id="273" w:name="_Toc203655860"/>
      <w:bookmarkStart w:id="274" w:name="_Toc204262797"/>
      <w:bookmarkStart w:id="275" w:name="_Toc204862956"/>
      <w:bookmarkStart w:id="276" w:name="_Toc205466583"/>
      <w:bookmarkStart w:id="277" w:name="_Toc206074502"/>
      <w:bookmarkStart w:id="278" w:name="_Toc207184395"/>
      <w:bookmarkStart w:id="279" w:name="_Toc207888598"/>
      <w:bookmarkStart w:id="280" w:name="_Toc208493622"/>
      <w:bookmarkStart w:id="281" w:name="_Toc208493700"/>
      <w:bookmarkStart w:id="282" w:name="_Toc209099445"/>
      <w:bookmarkStart w:id="283" w:name="_Toc209702674"/>
      <w:bookmarkStart w:id="284" w:name="_Toc210305238"/>
      <w:bookmarkStart w:id="285" w:name="_Toc210911914"/>
      <w:bookmarkStart w:id="286" w:name="_Toc210912006"/>
      <w:bookmarkStart w:id="287" w:name="_Toc211518239"/>
      <w:bookmarkStart w:id="288" w:name="_Toc212118919"/>
      <w:bookmarkStart w:id="289" w:name="_Toc212726912"/>
      <w:bookmarkStart w:id="290" w:name="_Toc213334249"/>
      <w:bookmarkStart w:id="291" w:name="_Toc213924599"/>
    </w:p>
    <w:p w14:paraId="47BD438C" w14:textId="77777777" w:rsidR="00A852BE" w:rsidRDefault="00A852BE" w:rsidP="00A852BE">
      <w:pPr>
        <w:pStyle w:val="Heading1"/>
        <w:shd w:val="clear" w:color="auto" w:fill="FFFFFF"/>
        <w:spacing w:before="0" w:line="288" w:lineRule="atLeast"/>
        <w:rPr>
          <w:rFonts w:ascii="Aptos" w:eastAsia="Malgun Gothic" w:hAnsi="Aptos" w:cs="Times New Roman"/>
          <w:color w:val="002060"/>
        </w:rPr>
      </w:pPr>
      <w:bookmarkStart w:id="292" w:name="_Toc214539941"/>
      <w:bookmarkStart w:id="293" w:name="_Toc215144377"/>
      <w:bookmarkStart w:id="294" w:name="_Toc215750954"/>
      <w:bookmarkStart w:id="295" w:name="_Toc216355050"/>
      <w:bookmarkStart w:id="296" w:name="_Toc216965797"/>
      <w:bookmarkStart w:id="297" w:name="_Toc217639123"/>
      <w:bookmarkStart w:id="298" w:name="_Toc218772672"/>
      <w:bookmarkStart w:id="299" w:name="_Toc219377437"/>
    </w:p>
    <w:p w14:paraId="341B7607" w14:textId="6F068148" w:rsidR="00E953D2" w:rsidRDefault="00FE778B" w:rsidP="00E953D2">
      <w:pPr>
        <w:pStyle w:val="Heading1"/>
        <w:shd w:val="clear" w:color="auto" w:fill="FFFFFF"/>
        <w:spacing w:before="0" w:line="288" w:lineRule="atLeast"/>
        <w:rPr>
          <w:rFonts w:ascii="Aptos" w:eastAsia="Malgun Gothic" w:hAnsi="Aptos" w:cs="Times New Roman"/>
          <w:color w:val="002060"/>
        </w:rPr>
      </w:pPr>
      <w:bookmarkStart w:id="300" w:name="_Toc219985595"/>
      <w:bookmarkStart w:id="301" w:name="_Toc220587254"/>
      <w:bookmarkStart w:id="302" w:name="_Toc221194730"/>
      <w:bookmarkStart w:id="303" w:name="_Toc223006375"/>
      <w:r w:rsidRPr="004C6CBE">
        <w:rPr>
          <w:rFonts w:ascii="Aptos" w:eastAsia="Malgun Gothic" w:hAnsi="Aptos" w:cs="Times New Roman"/>
          <w:color w:val="002060"/>
        </w:rPr>
        <w:t>E</w:t>
      </w:r>
      <w:r w:rsidR="000C4254" w:rsidRPr="004C6CBE">
        <w:rPr>
          <w:rFonts w:ascii="Aptos" w:eastAsia="Malgun Gothic" w:hAnsi="Aptos" w:cs="Times New Roman"/>
          <w:color w:val="002060"/>
        </w:rPr>
        <w:t>C</w:t>
      </w:r>
      <w:r w:rsidRPr="004C6CBE">
        <w:rPr>
          <w:rFonts w:ascii="Aptos" w:eastAsia="Malgun Gothic" w:hAnsi="Aptos" w:cs="Times New Roman"/>
          <w:color w:val="002060"/>
        </w:rPr>
        <w:t>ONOMY</w:t>
      </w:r>
      <w:bookmarkStart w:id="304" w:name="_Toc372277036"/>
      <w:bookmarkStart w:id="305" w:name="_Toc372881662"/>
      <w:bookmarkStart w:id="306" w:name="_Toc373484630"/>
      <w:bookmarkStart w:id="307" w:name="_Toc374089641"/>
      <w:bookmarkStart w:id="308" w:name="_Toc374695753"/>
      <w:bookmarkStart w:id="309" w:name="_Toc375297865"/>
      <w:bookmarkStart w:id="310" w:name="_Toc375903285"/>
      <w:bookmarkStart w:id="311" w:name="_Toc376510600"/>
      <w:bookmarkStart w:id="312" w:name="_Toc377114107"/>
      <w:bookmarkStart w:id="313" w:name="_Toc377720877"/>
      <w:bookmarkStart w:id="314" w:name="_Toc378323090"/>
      <w:bookmarkStart w:id="315" w:name="_Toc379533627"/>
      <w:bookmarkStart w:id="316" w:name="_Toc380136921"/>
      <w:bookmarkStart w:id="317" w:name="_Toc380744470"/>
      <w:bookmarkStart w:id="318" w:name="_Toc381349390"/>
      <w:bookmarkStart w:id="319" w:name="_Toc381952740"/>
      <w:bookmarkStart w:id="320" w:name="_Toc382557146"/>
      <w:bookmarkStart w:id="321" w:name="_Toc383161642"/>
      <w:bookmarkStart w:id="322" w:name="_Toc383767069"/>
      <w:bookmarkStart w:id="323" w:name="_Toc384372106"/>
      <w:bookmarkStart w:id="324" w:name="_Toc384976538"/>
      <w:bookmarkStart w:id="325" w:name="_Toc385581149"/>
      <w:bookmarkStart w:id="326" w:name="_Toc386187311"/>
      <w:bookmarkStart w:id="327" w:name="_Toc387396227"/>
      <w:bookmarkStart w:id="328" w:name="_Toc388000659"/>
      <w:bookmarkStart w:id="329" w:name="_Toc388604987"/>
      <w:bookmarkStart w:id="330" w:name="_Toc389209518"/>
      <w:bookmarkStart w:id="331" w:name="_Toc389815749"/>
      <w:bookmarkStart w:id="332" w:name="_Toc390418758"/>
      <w:bookmarkStart w:id="333" w:name="_Toc391026118"/>
      <w:bookmarkStart w:id="334" w:name="_Toc392233738"/>
      <w:bookmarkStart w:id="335" w:name="_Toc392837336"/>
      <w:bookmarkStart w:id="336" w:name="_Toc394048499"/>
      <w:bookmarkStart w:id="337" w:name="_Toc394651767"/>
      <w:bookmarkStart w:id="338" w:name="_Toc395258652"/>
      <w:bookmarkStart w:id="339" w:name="_Toc395862292"/>
      <w:bookmarkStart w:id="340" w:name="_Toc396467104"/>
      <w:bookmarkStart w:id="341" w:name="_Toc397074774"/>
      <w:bookmarkStart w:id="342" w:name="_Toc397679397"/>
      <w:bookmarkStart w:id="343" w:name="_Toc398281793"/>
      <w:bookmarkStart w:id="344" w:name="_Toc398887280"/>
      <w:bookmarkStart w:id="345" w:name="_Toc399492492"/>
      <w:bookmarkStart w:id="346" w:name="_Toc400096557"/>
      <w:bookmarkStart w:id="347" w:name="_Toc400699355"/>
      <w:bookmarkStart w:id="348" w:name="_Toc401908571"/>
      <w:bookmarkStart w:id="349" w:name="_Toc402514113"/>
      <w:bookmarkStart w:id="350" w:name="_Toc403119468"/>
      <w:bookmarkStart w:id="351" w:name="_Toc403725573"/>
      <w:bookmarkStart w:id="352" w:name="_Toc404332237"/>
      <w:bookmarkStart w:id="353" w:name="_Toc404935397"/>
      <w:bookmarkStart w:id="354" w:name="_Toc405540230"/>
      <w:bookmarkStart w:id="355" w:name="_Toc406144907"/>
      <w:bookmarkStart w:id="356" w:name="_Toc406680256"/>
      <w:bookmarkStart w:id="357" w:name="_Toc407350896"/>
      <w:bookmarkStart w:id="358" w:name="_Toc408564576"/>
      <w:bookmarkStart w:id="359" w:name="_Toc409169007"/>
      <w:bookmarkStart w:id="360" w:name="_Toc409774757"/>
      <w:bookmarkStart w:id="361" w:name="_Toc410380506"/>
      <w:bookmarkStart w:id="362" w:name="_Toc410982170"/>
      <w:bookmarkStart w:id="363" w:name="_Toc411587715"/>
      <w:bookmarkStart w:id="364" w:name="_Toc412798936"/>
      <w:bookmarkStart w:id="365" w:name="_Toc413401078"/>
      <w:bookmarkStart w:id="366" w:name="_Toc414005850"/>
      <w:bookmarkStart w:id="367" w:name="_Toc415215509"/>
      <w:bookmarkStart w:id="368" w:name="_Toc415827057"/>
      <w:bookmarkStart w:id="369" w:name="_Toc416423737"/>
      <w:bookmarkStart w:id="370" w:name="_Toc417031184"/>
      <w:bookmarkStart w:id="371" w:name="_Toc417634610"/>
      <w:bookmarkStart w:id="372" w:name="_Toc418844126"/>
      <w:bookmarkStart w:id="373" w:name="_Toc419450432"/>
      <w:bookmarkStart w:id="374" w:name="_Toc420056735"/>
      <w:bookmarkStart w:id="375" w:name="_Toc420661557"/>
      <w:bookmarkStart w:id="376" w:name="_Toc421264723"/>
      <w:bookmarkStart w:id="377" w:name="_Toc421871471"/>
      <w:bookmarkStart w:id="378" w:name="_Toc422473458"/>
      <w:bookmarkStart w:id="379" w:name="_Toc423078376"/>
      <w:bookmarkStart w:id="380" w:name="_Toc423682216"/>
      <w:bookmarkStart w:id="381" w:name="_Toc424301013"/>
      <w:bookmarkStart w:id="382" w:name="_Toc424891971"/>
      <w:bookmarkStart w:id="383" w:name="_Toc425495589"/>
      <w:bookmarkStart w:id="384" w:name="_Toc426104624"/>
      <w:bookmarkStart w:id="385" w:name="_Toc426707573"/>
      <w:bookmarkStart w:id="386" w:name="_Toc427312143"/>
      <w:bookmarkStart w:id="387" w:name="_Toc427915952"/>
      <w:bookmarkStart w:id="388" w:name="_Toc428523125"/>
      <w:bookmarkStart w:id="389" w:name="_Toc429732374"/>
      <w:bookmarkStart w:id="390" w:name="_Toc430335764"/>
      <w:bookmarkStart w:id="391" w:name="_Toc430941475"/>
      <w:bookmarkStart w:id="392" w:name="_Toc431546386"/>
      <w:bookmarkStart w:id="393" w:name="_Toc432151519"/>
      <w:bookmarkStart w:id="394" w:name="_Toc432755903"/>
      <w:bookmarkStart w:id="395" w:name="_Toc433361375"/>
      <w:bookmarkStart w:id="396" w:name="_Toc433965274"/>
      <w:bookmarkStart w:id="397" w:name="_Toc434571313"/>
      <w:bookmarkStart w:id="398" w:name="_Toc435172620"/>
      <w:bookmarkStart w:id="399" w:name="_Toc435779446"/>
      <w:bookmarkStart w:id="400" w:name="_Toc436380886"/>
      <w:bookmarkStart w:id="401" w:name="_Toc436991375"/>
      <w:bookmarkStart w:id="402" w:name="_Toc437595397"/>
      <w:bookmarkStart w:id="403" w:name="_Toc440013651"/>
      <w:bookmarkStart w:id="404" w:name="_Toc440621863"/>
      <w:bookmarkStart w:id="405" w:name="_Toc441223773"/>
      <w:bookmarkStart w:id="406" w:name="_Toc441828297"/>
      <w:bookmarkStart w:id="407" w:name="_Toc441828392"/>
      <w:bookmarkStart w:id="408" w:name="_Toc442344474"/>
      <w:bookmarkStart w:id="409" w:name="_Toc443643405"/>
      <w:bookmarkStart w:id="410" w:name="_Toc444246117"/>
      <w:bookmarkStart w:id="411" w:name="_Toc444852040"/>
      <w:bookmarkStart w:id="412" w:name="_Toc445456100"/>
      <w:bookmarkStart w:id="413" w:name="_Toc445973466"/>
      <w:bookmarkStart w:id="414" w:name="_Toc446664819"/>
      <w:bookmarkStart w:id="415" w:name="_Toc447269370"/>
      <w:bookmarkStart w:id="416" w:name="_Toc447874146"/>
      <w:bookmarkStart w:id="417" w:name="_Toc448482075"/>
      <w:bookmarkStart w:id="418" w:name="_Toc449082184"/>
      <w:bookmarkStart w:id="419" w:name="_Toc449689087"/>
      <w:bookmarkStart w:id="420" w:name="_Toc450293025"/>
      <w:bookmarkStart w:id="421" w:name="_Toc450896937"/>
      <w:bookmarkStart w:id="422" w:name="_Toc452625636"/>
      <w:bookmarkStart w:id="423" w:name="_Toc453317631"/>
      <w:bookmarkStart w:id="424" w:name="_Toc453921135"/>
      <w:bookmarkStart w:id="425" w:name="_Toc454525839"/>
      <w:bookmarkStart w:id="426" w:name="_Toc455664215"/>
      <w:bookmarkStart w:id="427" w:name="_Toc456342930"/>
      <w:bookmarkStart w:id="428" w:name="_Toc456948587"/>
      <w:bookmarkStart w:id="429" w:name="_Toc457551647"/>
      <w:bookmarkStart w:id="430" w:name="_Toc458760434"/>
      <w:bookmarkStart w:id="431" w:name="_Toc459970957"/>
      <w:bookmarkStart w:id="432" w:name="_Toc460493834"/>
      <w:bookmarkStart w:id="433" w:name="_Toc461091254"/>
      <w:bookmarkStart w:id="434" w:name="_Toc461785959"/>
      <w:bookmarkStart w:id="435" w:name="_Toc462393212"/>
      <w:bookmarkStart w:id="436" w:name="_Toc462996387"/>
      <w:bookmarkStart w:id="437" w:name="_Toc463600469"/>
      <w:bookmarkStart w:id="438" w:name="_Toc464205355"/>
      <w:bookmarkStart w:id="439" w:name="_Toc464808167"/>
      <w:bookmarkStart w:id="440" w:name="_Toc465341587"/>
      <w:bookmarkStart w:id="441" w:name="_Toc466017253"/>
      <w:bookmarkStart w:id="442" w:name="_Toc466625781"/>
      <w:bookmarkStart w:id="443" w:name="_Toc467231583"/>
      <w:bookmarkStart w:id="444" w:name="_Toc467832923"/>
      <w:bookmarkStart w:id="445" w:name="_Toc468440608"/>
      <w:bookmarkStart w:id="446" w:name="_Toc469043511"/>
      <w:bookmarkStart w:id="447" w:name="_Toc469650540"/>
      <w:bookmarkStart w:id="448" w:name="_Toc472071552"/>
      <w:bookmarkStart w:id="449" w:name="_Toc472672618"/>
      <w:bookmarkStart w:id="450" w:name="_Toc473881014"/>
      <w:bookmarkStart w:id="451" w:name="_Toc474487611"/>
      <w:bookmarkStart w:id="452" w:name="_Toc475090266"/>
      <w:bookmarkStart w:id="453" w:name="_Toc475697891"/>
      <w:bookmarkStart w:id="454" w:name="_Toc476302017"/>
      <w:bookmarkStart w:id="455" w:name="_Toc476906658"/>
      <w:bookmarkStart w:id="456" w:name="_Toc477510747"/>
      <w:bookmarkStart w:id="457" w:name="_Toc478116119"/>
      <w:bookmarkStart w:id="458" w:name="_Toc478723293"/>
      <w:bookmarkStart w:id="459" w:name="_Toc479329710"/>
      <w:bookmarkStart w:id="460" w:name="_Toc479930325"/>
      <w:bookmarkStart w:id="461" w:name="_Toc480539769"/>
      <w:bookmarkStart w:id="462" w:name="_Toc481139996"/>
      <w:bookmarkStart w:id="463" w:name="_Toc482351755"/>
      <w:bookmarkStart w:id="464" w:name="_Toc482956632"/>
      <w:bookmarkStart w:id="465" w:name="_Toc484166265"/>
      <w:bookmarkStart w:id="466" w:name="_Toc484769034"/>
      <w:bookmarkStart w:id="467" w:name="_Toc485286963"/>
      <w:bookmarkStart w:id="468" w:name="_Toc485978047"/>
      <w:bookmarkStart w:id="469" w:name="_Toc486585200"/>
      <w:bookmarkStart w:id="470" w:name="_Toc487190849"/>
      <w:bookmarkStart w:id="471" w:name="_Toc487793128"/>
      <w:bookmarkStart w:id="472" w:name="_Toc488396105"/>
      <w:bookmarkStart w:id="473" w:name="_Toc489005356"/>
      <w:bookmarkStart w:id="474" w:name="_Toc489606922"/>
      <w:bookmarkStart w:id="475" w:name="_Toc490213904"/>
      <w:bookmarkStart w:id="476" w:name="_Toc490819129"/>
      <w:bookmarkStart w:id="477" w:name="_Toc491423492"/>
      <w:bookmarkStart w:id="478" w:name="_Toc492024941"/>
      <w:bookmarkStart w:id="479" w:name="_Toc492631836"/>
      <w:bookmarkStart w:id="480" w:name="_Toc493236264"/>
      <w:bookmarkStart w:id="481" w:name="_Toc493837670"/>
      <w:bookmarkStart w:id="482" w:name="_Toc495050076"/>
      <w:bookmarkStart w:id="483" w:name="_Toc495652582"/>
      <w:bookmarkStart w:id="484" w:name="_Toc496261433"/>
      <w:bookmarkStart w:id="485" w:name="_Toc496867228"/>
      <w:bookmarkStart w:id="486" w:name="_Toc497465791"/>
      <w:bookmarkStart w:id="487" w:name="_Toc498081893"/>
      <w:bookmarkStart w:id="488" w:name="_Toc498682150"/>
      <w:bookmarkStart w:id="489" w:name="_Toc499287549"/>
      <w:bookmarkStart w:id="490" w:name="_Toc499891990"/>
      <w:bookmarkStart w:id="491" w:name="_Toc500496789"/>
      <w:bookmarkStart w:id="492" w:name="_Toc501099734"/>
      <w:bookmarkStart w:id="493" w:name="_Toc501705017"/>
      <w:bookmarkStart w:id="494" w:name="_Toc532560719"/>
      <w:bookmarkStart w:id="495" w:name="_Toc533156844"/>
      <w:bookmarkStart w:id="496" w:name="_Toc533775399"/>
      <w:bookmarkStart w:id="497" w:name="_Toc534372207"/>
      <w:bookmarkStart w:id="498" w:name="_Toc534972008"/>
      <w:bookmarkStart w:id="499" w:name="_Toc535582780"/>
      <w:bookmarkStart w:id="500" w:name="_Toc536187102"/>
      <w:bookmarkStart w:id="501" w:name="_Toc536785388"/>
      <w:bookmarkStart w:id="502" w:name="_Toc1130208"/>
      <w:bookmarkStart w:id="503" w:name="_Toc1727979"/>
      <w:bookmarkStart w:id="504" w:name="_Toc2333094"/>
      <w:bookmarkStart w:id="505" w:name="_Toc2937884"/>
      <w:bookmarkStart w:id="506" w:name="_Toc3543094"/>
      <w:bookmarkStart w:id="507" w:name="_Toc4146388"/>
      <w:bookmarkStart w:id="508" w:name="_Toc4758756"/>
      <w:bookmarkStart w:id="509" w:name="_Toc5357724"/>
      <w:bookmarkStart w:id="510" w:name="_Toc5961962"/>
      <w:bookmarkStart w:id="511" w:name="_Toc6565236"/>
      <w:bookmarkStart w:id="512" w:name="_Toc7172941"/>
      <w:bookmarkStart w:id="513" w:name="_Toc7776782"/>
      <w:bookmarkStart w:id="514" w:name="_Toc8385532"/>
      <w:bookmarkStart w:id="515" w:name="_Toc8986688"/>
      <w:bookmarkStart w:id="516" w:name="_Toc9591439"/>
      <w:bookmarkStart w:id="517" w:name="_Toc10800776"/>
      <w:bookmarkStart w:id="518" w:name="_Toc11403497"/>
      <w:bookmarkStart w:id="519" w:name="_Toc12010882"/>
      <w:bookmarkStart w:id="520" w:name="_Toc12614882"/>
      <w:bookmarkStart w:id="521" w:name="_Toc13219381"/>
      <w:bookmarkStart w:id="522" w:name="_Toc13830731"/>
      <w:bookmarkStart w:id="523" w:name="_Toc14429410"/>
      <w:bookmarkStart w:id="524" w:name="_Toc15034919"/>
      <w:bookmarkStart w:id="525" w:name="_Toc15638234"/>
      <w:bookmarkStart w:id="526" w:name="_Toc16243813"/>
      <w:bookmarkStart w:id="527" w:name="_Toc17453989"/>
      <w:bookmarkStart w:id="528" w:name="_Toc18058957"/>
      <w:bookmarkStart w:id="529" w:name="_Toc18664185"/>
      <w:bookmarkStart w:id="530" w:name="_Toc19268589"/>
      <w:bookmarkStart w:id="531" w:name="_Toc19868194"/>
      <w:bookmarkStart w:id="532" w:name="_Toc20476476"/>
      <w:bookmarkStart w:id="533" w:name="_Toc21082712"/>
      <w:bookmarkStart w:id="534" w:name="_Toc21596842"/>
      <w:bookmarkStart w:id="535" w:name="_Toc22292243"/>
      <w:bookmarkStart w:id="536" w:name="_Toc22902068"/>
      <w:bookmarkStart w:id="537" w:name="_Toc23500781"/>
      <w:bookmarkStart w:id="538" w:name="_Toc24106263"/>
      <w:bookmarkStart w:id="539" w:name="_Toc24708409"/>
      <w:bookmarkStart w:id="540" w:name="_Toc25235410"/>
      <w:bookmarkStart w:id="541" w:name="_Toc25920237"/>
      <w:bookmarkStart w:id="542" w:name="_Toc26524512"/>
      <w:bookmarkStart w:id="543" w:name="_Toc27130353"/>
      <w:bookmarkStart w:id="544" w:name="_Toc28949352"/>
      <w:bookmarkStart w:id="545" w:name="_Toc29553156"/>
      <w:bookmarkStart w:id="546" w:name="_Toc31365279"/>
      <w:bookmarkStart w:id="547" w:name="_Toc31968685"/>
      <w:bookmarkStart w:id="548" w:name="_Toc33177775"/>
      <w:bookmarkStart w:id="549" w:name="_Toc33784200"/>
      <w:bookmarkStart w:id="550" w:name="_Toc34387335"/>
      <w:bookmarkStart w:id="551" w:name="_Toc34992445"/>
      <w:bookmarkStart w:id="552" w:name="_Toc36200892"/>
      <w:bookmarkStart w:id="553" w:name="_Toc36804861"/>
      <w:bookmarkStart w:id="554" w:name="_Toc37412094"/>
      <w:bookmarkStart w:id="555" w:name="_Toc38016888"/>
      <w:bookmarkStart w:id="556" w:name="_Toc38623239"/>
      <w:bookmarkStart w:id="557" w:name="_Toc47007107"/>
      <w:bookmarkStart w:id="558" w:name="_Toc47608050"/>
      <w:bookmarkStart w:id="559" w:name="_Toc48219506"/>
      <w:bookmarkStart w:id="560" w:name="_Toc48816707"/>
      <w:bookmarkStart w:id="561" w:name="_Toc49427952"/>
      <w:bookmarkStart w:id="562" w:name="_Toc50027099"/>
      <w:bookmarkStart w:id="563" w:name="_Toc50638510"/>
      <w:bookmarkStart w:id="564" w:name="_Toc51235700"/>
      <w:bookmarkStart w:id="565" w:name="_Toc51848402"/>
      <w:bookmarkStart w:id="566" w:name="_Toc52453551"/>
      <w:bookmarkStart w:id="567" w:name="_Toc53055803"/>
      <w:bookmarkStart w:id="568" w:name="_Toc53660724"/>
      <w:bookmarkStart w:id="569" w:name="_Toc54259223"/>
      <w:bookmarkStart w:id="570" w:name="_Toc54865636"/>
      <w:bookmarkStart w:id="571" w:name="_Toc55477667"/>
      <w:bookmarkStart w:id="572" w:name="_Toc56073555"/>
      <w:bookmarkStart w:id="573" w:name="_Toc56678763"/>
      <w:bookmarkStart w:id="574" w:name="_Toc57284472"/>
      <w:bookmarkStart w:id="575" w:name="_Toc57895622"/>
      <w:bookmarkStart w:id="576" w:name="_Toc58494288"/>
      <w:bookmarkStart w:id="577" w:name="_Toc59104490"/>
      <w:bookmarkStart w:id="578" w:name="_Toc60922248"/>
      <w:bookmarkStart w:id="579" w:name="_Toc61518216"/>
      <w:bookmarkStart w:id="580" w:name="_Toc62129059"/>
      <w:bookmarkStart w:id="581" w:name="_Toc62734938"/>
      <w:bookmarkStart w:id="582" w:name="_Toc63333213"/>
      <w:bookmarkStart w:id="583" w:name="_Toc65152050"/>
      <w:bookmarkStart w:id="584" w:name="_Toc65759402"/>
      <w:bookmarkStart w:id="585" w:name="_Toc66363540"/>
      <w:bookmarkStart w:id="586" w:name="_Toc66960047"/>
      <w:bookmarkStart w:id="587" w:name="_Toc67652144"/>
      <w:bookmarkStart w:id="588" w:name="_Toc68179920"/>
      <w:bookmarkStart w:id="589" w:name="_Toc68774147"/>
      <w:bookmarkStart w:id="590" w:name="_Toc69386915"/>
      <w:bookmarkStart w:id="591" w:name="_Toc69991769"/>
      <w:bookmarkStart w:id="592" w:name="_Toc70509841"/>
      <w:bookmarkStart w:id="593" w:name="_Toc71207395"/>
      <w:bookmarkStart w:id="594" w:name="_Toc71799306"/>
      <w:bookmarkStart w:id="595" w:name="_Toc72414975"/>
      <w:bookmarkStart w:id="596" w:name="_Toc73015454"/>
      <w:bookmarkStart w:id="597" w:name="_Toc73618178"/>
      <w:bookmarkStart w:id="598" w:name="_Toc74224512"/>
      <w:bookmarkStart w:id="599" w:name="_Toc74836030"/>
      <w:bookmarkStart w:id="600" w:name="_Toc75439623"/>
      <w:bookmarkStart w:id="601" w:name="_Toc76033389"/>
      <w:bookmarkStart w:id="602" w:name="_Toc76568184"/>
      <w:bookmarkStart w:id="603" w:name="_Toc77249823"/>
      <w:bookmarkStart w:id="604" w:name="_Toc77848118"/>
      <w:bookmarkStart w:id="605" w:name="_Toc78458401"/>
      <w:bookmarkStart w:id="606" w:name="_Toc79065737"/>
      <w:bookmarkStart w:id="607" w:name="_Toc79674827"/>
      <w:bookmarkStart w:id="608" w:name="_Toc80967353"/>
      <w:bookmarkStart w:id="609" w:name="_Toc82098803"/>
      <w:bookmarkStart w:id="610" w:name="_Toc82697204"/>
      <w:bookmarkStart w:id="611" w:name="_Toc83296668"/>
      <w:bookmarkStart w:id="612" w:name="_Toc83896627"/>
      <w:bookmarkStart w:id="613" w:name="_Toc84511070"/>
      <w:bookmarkStart w:id="614" w:name="_Toc85126355"/>
      <w:bookmarkStart w:id="615" w:name="_Toc85726062"/>
      <w:bookmarkStart w:id="616" w:name="_Toc86326951"/>
      <w:bookmarkStart w:id="617" w:name="_Toc86928725"/>
      <w:bookmarkStart w:id="618" w:name="_Toc87533864"/>
      <w:bookmarkStart w:id="619" w:name="_Toc88139975"/>
      <w:bookmarkStart w:id="620" w:name="_Toc88827424"/>
      <w:bookmarkStart w:id="621" w:name="_Toc89348597"/>
      <w:bookmarkStart w:id="622" w:name="_Toc89954358"/>
      <w:bookmarkStart w:id="623" w:name="_Toc90547129"/>
      <w:bookmarkStart w:id="624" w:name="_Toc91162877"/>
      <w:bookmarkStart w:id="625" w:name="_Toc92977891"/>
      <w:bookmarkStart w:id="626" w:name="_Toc93582834"/>
      <w:bookmarkStart w:id="627" w:name="_Toc94185876"/>
      <w:bookmarkStart w:id="628" w:name="_Toc124758941"/>
      <w:bookmarkStart w:id="629" w:name="_Toc126243198"/>
      <w:bookmarkStart w:id="630" w:name="_Toc126844373"/>
      <w:bookmarkStart w:id="631" w:name="_Toc127449235"/>
      <w:bookmarkStart w:id="632" w:name="_Toc128057345"/>
      <w:bookmarkStart w:id="633" w:name="_Toc128657897"/>
      <w:bookmarkStart w:id="634" w:name="_Toc129265043"/>
      <w:bookmarkStart w:id="635" w:name="_Toc129869285"/>
      <w:bookmarkStart w:id="636" w:name="_Toc130472589"/>
      <w:bookmarkStart w:id="637" w:name="_Toc131080428"/>
      <w:bookmarkStart w:id="638" w:name="_Toc131684261"/>
      <w:bookmarkStart w:id="639" w:name="_Toc132288737"/>
      <w:bookmarkStart w:id="640" w:name="_Toc132880394"/>
      <w:bookmarkStart w:id="641" w:name="_Toc133498212"/>
      <w:bookmarkStart w:id="642" w:name="_Toc134108008"/>
      <w:bookmarkStart w:id="643" w:name="_Toc134709546"/>
      <w:bookmarkStart w:id="644" w:name="_Toc134709697"/>
      <w:bookmarkStart w:id="645" w:name="_Toc135315971"/>
      <w:bookmarkStart w:id="646" w:name="_Toc135915560"/>
      <w:bookmarkStart w:id="647" w:name="_Toc136526488"/>
      <w:bookmarkStart w:id="648" w:name="_Toc137126048"/>
      <w:bookmarkStart w:id="649" w:name="_Toc137733673"/>
      <w:bookmarkStart w:id="650" w:name="_Toc138336639"/>
      <w:bookmarkStart w:id="651" w:name="_Toc138940624"/>
      <w:bookmarkStart w:id="652" w:name="_Toc139544020"/>
      <w:bookmarkStart w:id="653" w:name="_Toc140151831"/>
      <w:bookmarkStart w:id="654" w:name="_Toc140757908"/>
      <w:bookmarkStart w:id="655" w:name="_Toc141359485"/>
      <w:bookmarkStart w:id="656" w:name="_Toc141965597"/>
      <w:bookmarkStart w:id="657" w:name="_Toc142569946"/>
      <w:bookmarkStart w:id="658" w:name="_Toc143175000"/>
      <w:bookmarkStart w:id="659" w:name="_Toc143779701"/>
      <w:bookmarkStart w:id="660" w:name="_Toc144384328"/>
      <w:bookmarkStart w:id="661" w:name="_Toc144991140"/>
      <w:bookmarkStart w:id="662" w:name="_Toc145601270"/>
      <w:bookmarkStart w:id="663" w:name="_Toc146205291"/>
      <w:bookmarkStart w:id="664" w:name="_Toc146808598"/>
      <w:bookmarkStart w:id="665" w:name="_Toc147412055"/>
      <w:bookmarkStart w:id="666" w:name="_Toc148007939"/>
      <w:bookmarkStart w:id="667" w:name="_Toc148621870"/>
      <w:bookmarkStart w:id="668" w:name="_Toc149228680"/>
      <w:bookmarkStart w:id="669" w:name="_Toc149826953"/>
      <w:bookmarkStart w:id="670" w:name="_Toc150433299"/>
      <w:bookmarkStart w:id="671" w:name="_Toc151040597"/>
      <w:bookmarkStart w:id="672" w:name="_Toc151645174"/>
      <w:bookmarkStart w:id="673" w:name="_Toc152248763"/>
      <w:bookmarkStart w:id="674" w:name="_Toc153458086"/>
      <w:bookmarkStart w:id="675" w:name="_Toc154061703"/>
      <w:bookmarkStart w:id="676" w:name="_Toc185497336"/>
      <w:bookmarkStart w:id="677" w:name="_Toc186722696"/>
      <w:bookmarkStart w:id="678" w:name="_Toc187326020"/>
      <w:bookmarkStart w:id="679" w:name="_Toc187919320"/>
      <w:bookmarkStart w:id="680" w:name="_Toc188519313"/>
      <w:bookmarkStart w:id="681" w:name="_Toc189746404"/>
      <w:bookmarkStart w:id="682" w:name="_Toc190348428"/>
      <w:bookmarkStart w:id="683" w:name="_Toc190954013"/>
      <w:bookmarkStart w:id="684" w:name="_Toc191559698"/>
      <w:bookmarkStart w:id="685" w:name="_Toc192153149"/>
      <w:bookmarkEnd w:id="1"/>
      <w:bookmarkEnd w:id="2"/>
      <w:bookmarkEnd w:id="3"/>
      <w:bookmarkEnd w:id="4"/>
      <w:bookmarkEnd w:id="14"/>
      <w:bookmarkEnd w:id="15"/>
      <w:bookmarkEnd w:id="16"/>
      <w:bookmarkEnd w:id="17"/>
      <w:bookmarkEnd w:id="18"/>
      <w:bookmarkEnd w:id="19"/>
      <w:bookmarkEnd w:id="20"/>
      <w:bookmarkEnd w:id="21"/>
      <w:bookmarkEnd w:id="22"/>
      <w:bookmarkEnd w:id="23"/>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14:paraId="32838CA3" w14:textId="77777777" w:rsidR="00E953D2" w:rsidRPr="00E953D2" w:rsidRDefault="00E953D2" w:rsidP="00E953D2"/>
    <w:p w14:paraId="2EDB1EC7" w14:textId="3F72D9D4" w:rsidR="00E953D2" w:rsidRPr="00E953D2" w:rsidRDefault="00E953D2" w:rsidP="00E953D2">
      <w:pPr>
        <w:spacing w:after="225" w:line="288" w:lineRule="auto"/>
        <w:jc w:val="both"/>
        <w:outlineLvl w:val="0"/>
        <w:rPr>
          <w:rFonts w:ascii="Aptos" w:eastAsia="Times New Roman" w:hAnsi="Aptos" w:cs="Arial"/>
          <w:b/>
          <w:bCs/>
          <w:color w:val="002060"/>
          <w:kern w:val="36"/>
          <w:sz w:val="28"/>
          <w:szCs w:val="28"/>
        </w:rPr>
      </w:pPr>
      <w:bookmarkStart w:id="686" w:name="_Toc223006376"/>
      <w:r w:rsidRPr="00E953D2">
        <w:rPr>
          <w:rFonts w:ascii="Aptos" w:eastAsia="Times New Roman" w:hAnsi="Aptos" w:cs="Arial"/>
          <w:b/>
          <w:bCs/>
          <w:color w:val="002060"/>
          <w:kern w:val="36"/>
          <w:sz w:val="28"/>
          <w:szCs w:val="28"/>
        </w:rPr>
        <w:t>Economic integration drives Vietnam’s trade momentum</w:t>
      </w:r>
      <w:bookmarkEnd w:id="686"/>
    </w:p>
    <w:p w14:paraId="40A41004" w14:textId="5C9446F4" w:rsidR="00E953D2" w:rsidRPr="00E953D2" w:rsidRDefault="00E953D2" w:rsidP="00E953D2">
      <w:pPr>
        <w:spacing w:after="150" w:line="288" w:lineRule="auto"/>
        <w:jc w:val="both"/>
        <w:rPr>
          <w:rFonts w:ascii="Aptos" w:eastAsia="Times New Roman" w:hAnsi="Aptos" w:cs="Arial"/>
          <w:i/>
          <w:iCs/>
          <w:color w:val="002060"/>
          <w:sz w:val="18"/>
          <w:szCs w:val="18"/>
        </w:rPr>
      </w:pPr>
      <w:r w:rsidRPr="00E953D2">
        <w:rPr>
          <w:rFonts w:ascii="Aptos" w:eastAsia="Times New Roman" w:hAnsi="Aptos" w:cs="Arial"/>
          <w:i/>
          <w:iCs/>
          <w:color w:val="002060"/>
          <w:sz w:val="18"/>
          <w:szCs w:val="18"/>
        </w:rPr>
        <w:t>VEN</w:t>
      </w:r>
    </w:p>
    <w:p w14:paraId="394A31A7" w14:textId="77777777" w:rsidR="00E953D2" w:rsidRPr="00E953D2" w:rsidRDefault="00E953D2" w:rsidP="00E953D2">
      <w:pPr>
        <w:spacing w:after="150" w:line="288" w:lineRule="auto"/>
        <w:jc w:val="both"/>
        <w:rPr>
          <w:rFonts w:ascii="Aptos" w:eastAsia="Times New Roman" w:hAnsi="Aptos" w:cs="Arial"/>
          <w:color w:val="002060"/>
        </w:rPr>
      </w:pPr>
    </w:p>
    <w:p w14:paraId="7107362D" w14:textId="77777777" w:rsidR="00E953D2" w:rsidRPr="00E953D2" w:rsidRDefault="00E953D2" w:rsidP="00E953D2">
      <w:pPr>
        <w:spacing w:line="288" w:lineRule="auto"/>
        <w:jc w:val="both"/>
        <w:rPr>
          <w:rFonts w:ascii="Aptos" w:eastAsia="Times New Roman" w:hAnsi="Aptos" w:cs="Arial"/>
          <w:b/>
          <w:bCs/>
          <w:color w:val="002060"/>
        </w:rPr>
      </w:pPr>
      <w:r w:rsidRPr="00E953D2">
        <w:rPr>
          <w:rFonts w:ascii="Aptos" w:eastAsia="Times New Roman" w:hAnsi="Aptos" w:cs="Arial"/>
          <w:b/>
          <w:bCs/>
          <w:color w:val="002060"/>
        </w:rPr>
        <w:t>With trade hitting USD 930 billion in 2025, Vietnam’s economic integration enters a new phase focused on quality, green exports and deeper global positioning.</w:t>
      </w:r>
    </w:p>
    <w:p w14:paraId="3CB65C8D" w14:textId="77777777" w:rsidR="00E953D2" w:rsidRPr="00E953D2" w:rsidRDefault="00E953D2" w:rsidP="00E953D2">
      <w:pPr>
        <w:spacing w:before="100" w:beforeAutospacing="1" w:after="100" w:afterAutospacing="1" w:line="288" w:lineRule="auto"/>
        <w:jc w:val="both"/>
        <w:rPr>
          <w:rFonts w:ascii="Aptos" w:eastAsia="Times New Roman" w:hAnsi="Aptos" w:cs="Arial"/>
          <w:color w:val="002060"/>
        </w:rPr>
      </w:pPr>
      <w:r w:rsidRPr="00E953D2">
        <w:rPr>
          <w:rFonts w:ascii="Aptos" w:eastAsia="Times New Roman" w:hAnsi="Aptos" w:cs="Arial"/>
          <w:b/>
          <w:bCs/>
          <w:color w:val="002060"/>
        </w:rPr>
        <w:t>Driving force of economic integration</w:t>
      </w:r>
    </w:p>
    <w:p w14:paraId="3B095EF8" w14:textId="77777777" w:rsidR="00E953D2" w:rsidRPr="00E953D2" w:rsidRDefault="00E953D2" w:rsidP="00E953D2">
      <w:pPr>
        <w:spacing w:before="100" w:beforeAutospacing="1" w:after="100" w:afterAutospacing="1" w:line="288" w:lineRule="auto"/>
        <w:jc w:val="both"/>
        <w:rPr>
          <w:rFonts w:ascii="Aptos" w:eastAsia="Times New Roman" w:hAnsi="Aptos" w:cs="Arial"/>
          <w:color w:val="002060"/>
        </w:rPr>
      </w:pPr>
      <w:r w:rsidRPr="00E953D2">
        <w:rPr>
          <w:rFonts w:ascii="Aptos" w:eastAsia="Times New Roman" w:hAnsi="Aptos" w:cs="Arial"/>
          <w:color w:val="002060"/>
        </w:rPr>
        <w:t>The year 2025 is considered a pivotal year of special significance as Vietnam completes its 2021-2025 socio-economic development plan and prepares to enter a new development cycle with higher requirements for growth quality.</w:t>
      </w:r>
    </w:p>
    <w:p w14:paraId="718D3073" w14:textId="77777777" w:rsidR="00E953D2" w:rsidRPr="00E953D2" w:rsidRDefault="00E953D2" w:rsidP="00E953D2">
      <w:pPr>
        <w:spacing w:before="100" w:beforeAutospacing="1" w:after="100" w:afterAutospacing="1" w:line="288" w:lineRule="auto"/>
        <w:jc w:val="both"/>
        <w:rPr>
          <w:rFonts w:ascii="Aptos" w:eastAsia="Times New Roman" w:hAnsi="Aptos" w:cs="Arial"/>
          <w:color w:val="002060"/>
        </w:rPr>
      </w:pPr>
      <w:r w:rsidRPr="00E953D2">
        <w:rPr>
          <w:rFonts w:ascii="Aptos" w:eastAsia="Times New Roman" w:hAnsi="Aptos" w:cs="Arial"/>
          <w:color w:val="002060"/>
        </w:rPr>
        <w:t xml:space="preserve">It also marks a turning point in economic integration and overseas market expansion, as total import-export turnover reached USD 930 billion for the first time, returning Vietnam to the group of the </w:t>
      </w:r>
      <w:proofErr w:type="gramStart"/>
      <w:r w:rsidRPr="00E953D2">
        <w:rPr>
          <w:rFonts w:ascii="Aptos" w:eastAsia="Times New Roman" w:hAnsi="Aptos" w:cs="Arial"/>
          <w:color w:val="002060"/>
        </w:rPr>
        <w:t>world’s</w:t>
      </w:r>
      <w:proofErr w:type="gramEnd"/>
      <w:r w:rsidRPr="00E953D2">
        <w:rPr>
          <w:rFonts w:ascii="Aptos" w:eastAsia="Times New Roman" w:hAnsi="Aptos" w:cs="Arial"/>
          <w:color w:val="002060"/>
        </w:rPr>
        <w:t xml:space="preserve"> 15 largest trading economies. This result reflects a long-term strategy and well-designed “integration highways” operated through a comprehensive policy system.</w:t>
      </w:r>
    </w:p>
    <w:p w14:paraId="50889C3E" w14:textId="77777777" w:rsidR="00E953D2" w:rsidRPr="00E953D2" w:rsidRDefault="00E953D2" w:rsidP="00E953D2">
      <w:pPr>
        <w:spacing w:before="100" w:beforeAutospacing="1" w:after="100" w:afterAutospacing="1" w:line="288" w:lineRule="auto"/>
        <w:jc w:val="both"/>
        <w:rPr>
          <w:rFonts w:ascii="Aptos" w:eastAsia="Times New Roman" w:hAnsi="Aptos" w:cs="Arial"/>
          <w:color w:val="002060"/>
        </w:rPr>
      </w:pPr>
      <w:r w:rsidRPr="00E953D2">
        <w:rPr>
          <w:rFonts w:ascii="Aptos" w:eastAsia="Times New Roman" w:hAnsi="Aptos" w:cs="Arial"/>
          <w:color w:val="002060"/>
        </w:rPr>
        <w:t>Looking back at 2021-2025, economic integration and foreign market development were promoted in a proactive, flexible and focused manner. According to the Department of Foreign Market Development under the Ministry of Industry and Trade, in 2025 Vietnam not only consolidated traditional markets such as the United States, China, the Republic of Korea and the EU, but also expanded access to emerging regions including South Asia, the Middle East and Africa.</w:t>
      </w:r>
    </w:p>
    <w:p w14:paraId="23DEE917" w14:textId="77777777" w:rsidR="00E953D2" w:rsidRPr="00E953D2" w:rsidRDefault="00E953D2" w:rsidP="00E953D2">
      <w:pPr>
        <w:spacing w:before="100" w:beforeAutospacing="1" w:after="100" w:afterAutospacing="1" w:line="288" w:lineRule="auto"/>
        <w:jc w:val="both"/>
        <w:rPr>
          <w:rFonts w:ascii="Aptos" w:eastAsia="Times New Roman" w:hAnsi="Aptos" w:cs="Arial"/>
          <w:color w:val="002060"/>
        </w:rPr>
      </w:pPr>
      <w:r w:rsidRPr="00E953D2">
        <w:rPr>
          <w:rFonts w:ascii="Aptos" w:eastAsia="Times New Roman" w:hAnsi="Aptos" w:cs="Arial"/>
          <w:color w:val="002060"/>
        </w:rPr>
        <w:lastRenderedPageBreak/>
        <w:t>Hundreds of trade promotion programs were implemented, focusing on Vietnam’s key export sectors such as agricultural products, food, textiles and garments, footwear, wood furniture, electronics and telecommunications, and science and technology.</w:t>
      </w:r>
    </w:p>
    <w:p w14:paraId="39A0E6C8" w14:textId="77777777" w:rsidR="00E953D2" w:rsidRPr="00E953D2" w:rsidRDefault="00E953D2" w:rsidP="00E953D2">
      <w:pPr>
        <w:spacing w:before="100" w:beforeAutospacing="1" w:after="100" w:afterAutospacing="1" w:line="288" w:lineRule="auto"/>
        <w:jc w:val="both"/>
        <w:rPr>
          <w:rFonts w:ascii="Aptos" w:eastAsia="Times New Roman" w:hAnsi="Aptos" w:cs="Arial"/>
          <w:color w:val="002060"/>
        </w:rPr>
      </w:pPr>
      <w:r w:rsidRPr="00E953D2">
        <w:rPr>
          <w:rFonts w:ascii="Aptos" w:eastAsia="Times New Roman" w:hAnsi="Aptos" w:cs="Arial"/>
          <w:color w:val="002060"/>
        </w:rPr>
        <w:t xml:space="preserve">Through trade promotion and business matchmaking programs, many Vietnamese products entered major global distribution systems for the first time, including Amazon, Walmart, Carrefour, </w:t>
      </w:r>
      <w:proofErr w:type="spellStart"/>
      <w:proofErr w:type="gramStart"/>
      <w:r w:rsidRPr="00E953D2">
        <w:rPr>
          <w:rFonts w:ascii="Aptos" w:eastAsia="Times New Roman" w:hAnsi="Aptos" w:cs="Arial"/>
          <w:color w:val="002060"/>
        </w:rPr>
        <w:t>E.Leclerc</w:t>
      </w:r>
      <w:proofErr w:type="spellEnd"/>
      <w:proofErr w:type="gramEnd"/>
      <w:r w:rsidRPr="00E953D2">
        <w:rPr>
          <w:rFonts w:ascii="Aptos" w:eastAsia="Times New Roman" w:hAnsi="Aptos" w:cs="Arial"/>
          <w:color w:val="002060"/>
        </w:rPr>
        <w:t xml:space="preserve"> and </w:t>
      </w:r>
      <w:proofErr w:type="spellStart"/>
      <w:r w:rsidRPr="00E953D2">
        <w:rPr>
          <w:rFonts w:ascii="Aptos" w:eastAsia="Times New Roman" w:hAnsi="Aptos" w:cs="Arial"/>
          <w:color w:val="002060"/>
        </w:rPr>
        <w:t>Monoprix</w:t>
      </w:r>
      <w:proofErr w:type="spellEnd"/>
      <w:r w:rsidRPr="00E953D2">
        <w:rPr>
          <w:rFonts w:ascii="Aptos" w:eastAsia="Times New Roman" w:hAnsi="Aptos" w:cs="Arial"/>
          <w:color w:val="002060"/>
        </w:rPr>
        <w:t>.</w:t>
      </w:r>
    </w:p>
    <w:p w14:paraId="0C87758C" w14:textId="77777777" w:rsidR="00E953D2" w:rsidRPr="00E953D2" w:rsidRDefault="00E953D2" w:rsidP="00E953D2">
      <w:pPr>
        <w:spacing w:before="100" w:beforeAutospacing="1" w:after="100" w:afterAutospacing="1" w:line="288" w:lineRule="auto"/>
        <w:jc w:val="both"/>
        <w:rPr>
          <w:rFonts w:ascii="Aptos" w:eastAsia="Times New Roman" w:hAnsi="Aptos" w:cs="Arial"/>
          <w:color w:val="002060"/>
        </w:rPr>
      </w:pPr>
      <w:r w:rsidRPr="00E953D2">
        <w:rPr>
          <w:rFonts w:ascii="Aptos" w:eastAsia="Times New Roman" w:hAnsi="Aptos" w:cs="Arial"/>
          <w:color w:val="002060"/>
        </w:rPr>
        <w:t>According to the Department of Foreign Market Development, the increasing presence of Vietnamese goods in global retail chains not only expands market access but also compels enterprises to raise standards in quality, packaging, traceability and brand storytelling. This marks a shift from “exporting goods” to “exporting value.”</w:t>
      </w:r>
    </w:p>
    <w:p w14:paraId="43B5260B" w14:textId="77777777" w:rsidR="00E953D2" w:rsidRPr="00E953D2" w:rsidRDefault="00E953D2" w:rsidP="00E953D2">
      <w:pPr>
        <w:spacing w:before="100" w:beforeAutospacing="1" w:after="100" w:afterAutospacing="1" w:line="288" w:lineRule="auto"/>
        <w:jc w:val="both"/>
        <w:rPr>
          <w:rFonts w:ascii="Aptos" w:eastAsia="Times New Roman" w:hAnsi="Aptos" w:cs="Arial"/>
          <w:color w:val="002060"/>
        </w:rPr>
      </w:pPr>
      <w:r w:rsidRPr="00E953D2">
        <w:rPr>
          <w:rFonts w:ascii="Aptos" w:eastAsia="Times New Roman" w:hAnsi="Aptos" w:cs="Arial"/>
          <w:color w:val="002060"/>
        </w:rPr>
        <w:t xml:space="preserve">Alongside trade promotion, negotiations and cooperation agreements continued to advance. Memoranda on establishing a Vietnam–Brazil trade promotion working group, a letter of intent on digital economy cooperation with Indonesia, and trade–industry cooperation with Chongqing (China) have helped open new market spaces, </w:t>
      </w:r>
      <w:proofErr w:type="gramStart"/>
      <w:r w:rsidRPr="00E953D2">
        <w:rPr>
          <w:rFonts w:ascii="Aptos" w:eastAsia="Times New Roman" w:hAnsi="Aptos" w:cs="Arial"/>
          <w:color w:val="002060"/>
        </w:rPr>
        <w:t>reduce</w:t>
      </w:r>
      <w:proofErr w:type="gramEnd"/>
      <w:r w:rsidRPr="00E953D2">
        <w:rPr>
          <w:rFonts w:ascii="Aptos" w:eastAsia="Times New Roman" w:hAnsi="Aptos" w:cs="Arial"/>
          <w:color w:val="002060"/>
        </w:rPr>
        <w:t xml:space="preserve"> access costs and enhance connectivity for enterprises.</w:t>
      </w:r>
    </w:p>
    <w:p w14:paraId="178157F4" w14:textId="77777777" w:rsidR="00E953D2" w:rsidRPr="00E953D2" w:rsidRDefault="00E953D2" w:rsidP="00E953D2">
      <w:pPr>
        <w:spacing w:before="100" w:beforeAutospacing="1" w:after="100" w:afterAutospacing="1" w:line="288" w:lineRule="auto"/>
        <w:jc w:val="both"/>
        <w:rPr>
          <w:rFonts w:ascii="Aptos" w:eastAsia="Times New Roman" w:hAnsi="Aptos" w:cs="Arial"/>
          <w:color w:val="002060"/>
        </w:rPr>
      </w:pPr>
      <w:r w:rsidRPr="00E953D2">
        <w:rPr>
          <w:rFonts w:ascii="Aptos" w:eastAsia="Times New Roman" w:hAnsi="Aptos" w:cs="Arial"/>
          <w:color w:val="002060"/>
        </w:rPr>
        <w:t xml:space="preserve">Another important highlight in economic integration and overseas market development has been the effective utilization of new-generation free trade agreements such as the </w:t>
      </w:r>
      <w:proofErr w:type="spellStart"/>
      <w:r w:rsidRPr="00E953D2">
        <w:rPr>
          <w:rFonts w:ascii="Aptos" w:eastAsia="Times New Roman" w:hAnsi="Aptos" w:cs="Arial"/>
          <w:color w:val="002060"/>
        </w:rPr>
        <w:t>EVFTA</w:t>
      </w:r>
      <w:proofErr w:type="spellEnd"/>
      <w:r w:rsidRPr="00E953D2">
        <w:rPr>
          <w:rFonts w:ascii="Aptos" w:eastAsia="Times New Roman" w:hAnsi="Aptos" w:cs="Arial"/>
          <w:color w:val="002060"/>
        </w:rPr>
        <w:t xml:space="preserve">, </w:t>
      </w:r>
      <w:proofErr w:type="spellStart"/>
      <w:r w:rsidRPr="00E953D2">
        <w:rPr>
          <w:rFonts w:ascii="Aptos" w:eastAsia="Times New Roman" w:hAnsi="Aptos" w:cs="Arial"/>
          <w:color w:val="002060"/>
        </w:rPr>
        <w:t>CPTPP</w:t>
      </w:r>
      <w:proofErr w:type="spellEnd"/>
      <w:r w:rsidRPr="00E953D2">
        <w:rPr>
          <w:rFonts w:ascii="Aptos" w:eastAsia="Times New Roman" w:hAnsi="Aptos" w:cs="Arial"/>
          <w:color w:val="002060"/>
        </w:rPr>
        <w:t xml:space="preserve">, </w:t>
      </w:r>
      <w:proofErr w:type="spellStart"/>
      <w:r w:rsidRPr="00E953D2">
        <w:rPr>
          <w:rFonts w:ascii="Aptos" w:eastAsia="Times New Roman" w:hAnsi="Aptos" w:cs="Arial"/>
          <w:color w:val="002060"/>
        </w:rPr>
        <w:t>UKVFTA</w:t>
      </w:r>
      <w:proofErr w:type="spellEnd"/>
      <w:r w:rsidRPr="00E953D2">
        <w:rPr>
          <w:rFonts w:ascii="Aptos" w:eastAsia="Times New Roman" w:hAnsi="Aptos" w:cs="Arial"/>
          <w:color w:val="002060"/>
        </w:rPr>
        <w:t xml:space="preserve"> and RCEP. The Ministry of Industry and Trade, together with other ministries and agencies, has supported enterprises in rules of origin, green standards and customs procedures. This assistance has enabled many product groups from processed agricultural products and green textiles to wood and electronics to maintain double-digit growth in the EU market.</w:t>
      </w:r>
    </w:p>
    <w:p w14:paraId="5817EAF4" w14:textId="77777777" w:rsidR="00E953D2" w:rsidRPr="00E953D2" w:rsidRDefault="00E953D2" w:rsidP="00E953D2">
      <w:pPr>
        <w:spacing w:before="100" w:beforeAutospacing="1" w:after="100" w:afterAutospacing="1" w:line="288" w:lineRule="auto"/>
        <w:jc w:val="both"/>
        <w:rPr>
          <w:rFonts w:ascii="Aptos" w:eastAsia="Times New Roman" w:hAnsi="Aptos" w:cs="Arial"/>
          <w:color w:val="002060"/>
        </w:rPr>
      </w:pPr>
      <w:r w:rsidRPr="00E953D2">
        <w:rPr>
          <w:rFonts w:ascii="Aptos" w:eastAsia="Times New Roman" w:hAnsi="Aptos" w:cs="Arial"/>
          <w:color w:val="002060"/>
        </w:rPr>
        <w:t>Amid increasingly stringent standards, this demonstrates the improved compliance and adaptability of Vietnamese enterprises. Economic integration has also positively impacted foreign direct investment inflows into Vietnam.</w:t>
      </w:r>
    </w:p>
    <w:p w14:paraId="289D7F23" w14:textId="77777777" w:rsidR="00E953D2" w:rsidRPr="00E953D2" w:rsidRDefault="00E953D2" w:rsidP="00E953D2">
      <w:pPr>
        <w:spacing w:before="100" w:beforeAutospacing="1" w:after="100" w:afterAutospacing="1" w:line="288" w:lineRule="auto"/>
        <w:jc w:val="both"/>
        <w:rPr>
          <w:rFonts w:ascii="Aptos" w:eastAsia="Times New Roman" w:hAnsi="Aptos" w:cs="Arial"/>
          <w:color w:val="002060"/>
        </w:rPr>
      </w:pPr>
      <w:r w:rsidRPr="00E953D2">
        <w:rPr>
          <w:rFonts w:ascii="Aptos" w:eastAsia="Times New Roman" w:hAnsi="Aptos" w:cs="Arial"/>
          <w:color w:val="002060"/>
        </w:rPr>
        <w:t>Analyzing the driving forces behind Vietnam’s international economic integration and foreign market development, Trinh Minh Anh, former Chief of the Office of the Inter-sectoral Steering Committee for International Economic Integration, highlighted three main pillars: orientation, action and enterprise-level implementation.</w:t>
      </w:r>
    </w:p>
    <w:p w14:paraId="3D233C27" w14:textId="77777777" w:rsidR="00E953D2" w:rsidRPr="00E953D2" w:rsidRDefault="00E953D2" w:rsidP="00E953D2">
      <w:pPr>
        <w:spacing w:before="100" w:beforeAutospacing="1" w:after="100" w:afterAutospacing="1" w:line="288" w:lineRule="auto"/>
        <w:jc w:val="both"/>
        <w:rPr>
          <w:rFonts w:ascii="Aptos" w:eastAsia="Times New Roman" w:hAnsi="Aptos" w:cs="Arial"/>
          <w:color w:val="002060"/>
        </w:rPr>
      </w:pPr>
      <w:r w:rsidRPr="00E953D2">
        <w:rPr>
          <w:rFonts w:ascii="Aptos" w:eastAsia="Times New Roman" w:hAnsi="Aptos" w:cs="Arial"/>
          <w:color w:val="002060"/>
        </w:rPr>
        <w:t>He emphasized the guiding role of the Party, State and Government. Since 1986, Vietnam has pursued integration for development, focusing on market opening and negotiations with partners. The former Ministry of Trade, now the Ministry of Industry and Trade along with the National Committee for International Economic Cooperation, now the Inter-sectoral Steering Committee for International Economic Integration, and other ministries, have conducted numerous negotiations and market-opening initiatives.</w:t>
      </w:r>
    </w:p>
    <w:p w14:paraId="66D0D6FE" w14:textId="77777777" w:rsidR="00E953D2" w:rsidRPr="00E953D2" w:rsidRDefault="00E953D2" w:rsidP="00E953D2">
      <w:pPr>
        <w:spacing w:before="100" w:beforeAutospacing="1" w:after="100" w:afterAutospacing="1" w:line="288" w:lineRule="auto"/>
        <w:jc w:val="both"/>
        <w:rPr>
          <w:rFonts w:ascii="Aptos" w:eastAsia="Times New Roman" w:hAnsi="Aptos" w:cs="Arial"/>
          <w:color w:val="002060"/>
        </w:rPr>
      </w:pPr>
      <w:r w:rsidRPr="00E953D2">
        <w:rPr>
          <w:rFonts w:ascii="Aptos" w:eastAsia="Times New Roman" w:hAnsi="Aptos" w:cs="Arial"/>
          <w:color w:val="002060"/>
        </w:rPr>
        <w:t>The combination of Party and State orientations, practical actions by ministries and agencies, and effective enterprise implementation has created a comprehensive integration landscape, strengthening Vietnam’s position internationally.</w:t>
      </w:r>
    </w:p>
    <w:p w14:paraId="74D4CA94" w14:textId="77777777" w:rsidR="00E953D2" w:rsidRPr="00E953D2" w:rsidRDefault="00E953D2" w:rsidP="00E953D2">
      <w:pPr>
        <w:spacing w:before="100" w:beforeAutospacing="1" w:after="100" w:afterAutospacing="1" w:line="288" w:lineRule="auto"/>
        <w:jc w:val="both"/>
        <w:rPr>
          <w:rFonts w:ascii="Aptos" w:eastAsia="Times New Roman" w:hAnsi="Aptos" w:cs="Arial"/>
          <w:color w:val="002060"/>
        </w:rPr>
      </w:pPr>
      <w:r w:rsidRPr="00E953D2">
        <w:rPr>
          <w:rFonts w:ascii="Aptos" w:eastAsia="Times New Roman" w:hAnsi="Aptos" w:cs="Arial"/>
          <w:color w:val="002060"/>
        </w:rPr>
        <w:t>At the seminar “Enhancing the Effectiveness of Economic Integration,” Nguyen Anh Duong, Head of the General Research and International Integration Department at the Institute for Policy and Strategy Studies, also underscored the positive impact of economic integration on sustainable growth and Vietnam’s global standing.</w:t>
      </w:r>
    </w:p>
    <w:p w14:paraId="226C822F" w14:textId="77777777" w:rsidR="00E953D2" w:rsidRPr="00E953D2" w:rsidRDefault="00E953D2" w:rsidP="00E953D2">
      <w:pPr>
        <w:spacing w:before="100" w:beforeAutospacing="1" w:after="100" w:afterAutospacing="1" w:line="288" w:lineRule="auto"/>
        <w:jc w:val="both"/>
        <w:rPr>
          <w:rFonts w:ascii="Aptos" w:eastAsia="Times New Roman" w:hAnsi="Aptos" w:cs="Arial"/>
          <w:color w:val="002060"/>
        </w:rPr>
      </w:pPr>
      <w:r w:rsidRPr="00E953D2">
        <w:rPr>
          <w:rFonts w:ascii="Aptos" w:eastAsia="Times New Roman" w:hAnsi="Aptos" w:cs="Arial"/>
          <w:color w:val="002060"/>
        </w:rPr>
        <w:t xml:space="preserve">According to him, foreign market development and economic integration have positively influenced foreign investment attraction. In 2025, total </w:t>
      </w:r>
      <w:proofErr w:type="spellStart"/>
      <w:r w:rsidRPr="00E953D2">
        <w:rPr>
          <w:rFonts w:ascii="Aptos" w:eastAsia="Times New Roman" w:hAnsi="Aptos" w:cs="Arial"/>
          <w:color w:val="002060"/>
        </w:rPr>
        <w:t>FDI</w:t>
      </w:r>
      <w:proofErr w:type="spellEnd"/>
      <w:r w:rsidRPr="00E953D2">
        <w:rPr>
          <w:rFonts w:ascii="Aptos" w:eastAsia="Times New Roman" w:hAnsi="Aptos" w:cs="Arial"/>
          <w:color w:val="002060"/>
        </w:rPr>
        <w:t xml:space="preserve"> inflows reached approximately USD 38 billion, the highest level in the past </w:t>
      </w:r>
      <w:r w:rsidRPr="00E953D2">
        <w:rPr>
          <w:rFonts w:ascii="Aptos" w:eastAsia="Times New Roman" w:hAnsi="Aptos" w:cs="Arial"/>
          <w:color w:val="002060"/>
        </w:rPr>
        <w:lastRenderedPageBreak/>
        <w:t xml:space="preserve">five years. Beyond capital, </w:t>
      </w:r>
      <w:proofErr w:type="spellStart"/>
      <w:r w:rsidRPr="00E953D2">
        <w:rPr>
          <w:rFonts w:ascii="Aptos" w:eastAsia="Times New Roman" w:hAnsi="Aptos" w:cs="Arial"/>
          <w:color w:val="002060"/>
        </w:rPr>
        <w:t>FDI</w:t>
      </w:r>
      <w:proofErr w:type="spellEnd"/>
      <w:r w:rsidRPr="00E953D2">
        <w:rPr>
          <w:rFonts w:ascii="Aptos" w:eastAsia="Times New Roman" w:hAnsi="Aptos" w:cs="Arial"/>
          <w:color w:val="002060"/>
        </w:rPr>
        <w:t xml:space="preserve"> brings technology, governance standards and market networks, generating spillover effects for domestic enterprises.</w:t>
      </w:r>
    </w:p>
    <w:p w14:paraId="37CB06A3" w14:textId="77777777" w:rsidR="00E953D2" w:rsidRPr="00E953D2" w:rsidRDefault="00E953D2" w:rsidP="00E953D2">
      <w:pPr>
        <w:spacing w:before="100" w:beforeAutospacing="1" w:after="100" w:afterAutospacing="1" w:line="288" w:lineRule="auto"/>
        <w:jc w:val="both"/>
        <w:rPr>
          <w:rFonts w:ascii="Aptos" w:eastAsia="Times New Roman" w:hAnsi="Aptos" w:cs="Arial"/>
          <w:color w:val="002060"/>
        </w:rPr>
      </w:pPr>
      <w:r w:rsidRPr="00E953D2">
        <w:rPr>
          <w:rFonts w:ascii="Aptos" w:eastAsia="Times New Roman" w:hAnsi="Aptos" w:cs="Arial"/>
          <w:b/>
          <w:bCs/>
          <w:color w:val="002060"/>
        </w:rPr>
        <w:t>Leading the way, opening new export space</w:t>
      </w:r>
    </w:p>
    <w:p w14:paraId="02CA7296" w14:textId="77777777" w:rsidR="00E953D2" w:rsidRPr="00E953D2" w:rsidRDefault="00E953D2" w:rsidP="00E953D2">
      <w:pPr>
        <w:spacing w:before="100" w:beforeAutospacing="1" w:after="100" w:afterAutospacing="1" w:line="288" w:lineRule="auto"/>
        <w:jc w:val="both"/>
        <w:rPr>
          <w:rFonts w:ascii="Aptos" w:eastAsia="Times New Roman" w:hAnsi="Aptos" w:cs="Arial"/>
          <w:color w:val="002060"/>
        </w:rPr>
      </w:pPr>
      <w:r w:rsidRPr="00E953D2">
        <w:rPr>
          <w:rFonts w:ascii="Aptos" w:eastAsia="Times New Roman" w:hAnsi="Aptos" w:cs="Arial"/>
          <w:color w:val="002060"/>
        </w:rPr>
        <w:t>Entering 2026, the global economic and trade landscape remains unpredictable. In this context, leaders of the Department of Foreign Market Development believe that foreign market development and economic integration must play a “guiding” role, opening new growth spaces and reinforcing the foundation for Vietnam’s exports.</w:t>
      </w:r>
    </w:p>
    <w:p w14:paraId="2B9A9007" w14:textId="77777777" w:rsidR="00E953D2" w:rsidRPr="00E953D2" w:rsidRDefault="00E953D2" w:rsidP="00E953D2">
      <w:pPr>
        <w:spacing w:before="100" w:beforeAutospacing="1" w:after="100" w:afterAutospacing="1" w:line="288" w:lineRule="auto"/>
        <w:jc w:val="both"/>
        <w:rPr>
          <w:rFonts w:ascii="Aptos" w:eastAsia="Times New Roman" w:hAnsi="Aptos" w:cs="Arial"/>
          <w:color w:val="002060"/>
        </w:rPr>
      </w:pPr>
      <w:r w:rsidRPr="00E953D2">
        <w:rPr>
          <w:rFonts w:ascii="Aptos" w:eastAsia="Times New Roman" w:hAnsi="Aptos" w:cs="Arial"/>
          <w:color w:val="002060"/>
        </w:rPr>
        <w:t>The immediate focus is to maintain growth momentum in markets accounting for over 70% of export turnover, including the United States, China, the EU, ASEAN and Japan, while expanding into the Middle East, South Asia, Africa and Latin America regions with untapped potential.</w:t>
      </w:r>
    </w:p>
    <w:p w14:paraId="6394247A" w14:textId="77777777" w:rsidR="00E953D2" w:rsidRPr="00E953D2" w:rsidRDefault="00E953D2" w:rsidP="00E953D2">
      <w:pPr>
        <w:spacing w:before="100" w:beforeAutospacing="1" w:after="100" w:afterAutospacing="1" w:line="288" w:lineRule="auto"/>
        <w:jc w:val="both"/>
        <w:rPr>
          <w:rFonts w:ascii="Aptos" w:eastAsia="Times New Roman" w:hAnsi="Aptos" w:cs="Arial"/>
          <w:color w:val="002060"/>
        </w:rPr>
      </w:pPr>
      <w:r w:rsidRPr="00E953D2">
        <w:rPr>
          <w:rFonts w:ascii="Aptos" w:eastAsia="Times New Roman" w:hAnsi="Aptos" w:cs="Arial"/>
          <w:color w:val="002060"/>
        </w:rPr>
        <w:t>A consistent priority is promoting green exports. Major markets are applying carbon border adjustment mechanisms and tightening labor and supply chain traceability standards. Without transitioning to circular production models, energy efficiency and emission reduction, enterprises risk being excluded from the market. The Ministry of Industry and Trade has intensified advisory, training and support activities to help enterprises adapt to these new requirements.</w:t>
      </w:r>
    </w:p>
    <w:p w14:paraId="4548352F" w14:textId="77777777" w:rsidR="00E953D2" w:rsidRPr="00E953D2" w:rsidRDefault="00E953D2" w:rsidP="00E953D2">
      <w:pPr>
        <w:spacing w:before="100" w:beforeAutospacing="1" w:after="100" w:afterAutospacing="1" w:line="288" w:lineRule="auto"/>
        <w:jc w:val="both"/>
        <w:rPr>
          <w:rFonts w:ascii="Aptos" w:eastAsia="Times New Roman" w:hAnsi="Aptos" w:cs="Arial"/>
          <w:color w:val="002060"/>
        </w:rPr>
      </w:pPr>
      <w:r w:rsidRPr="00E953D2">
        <w:rPr>
          <w:rFonts w:ascii="Aptos" w:eastAsia="Times New Roman" w:hAnsi="Aptos" w:cs="Arial"/>
          <w:color w:val="002060"/>
        </w:rPr>
        <w:t xml:space="preserve">From a policy perspective, </w:t>
      </w:r>
      <w:proofErr w:type="spellStart"/>
      <w:r w:rsidRPr="00E953D2">
        <w:rPr>
          <w:rFonts w:ascii="Aptos" w:eastAsia="Times New Roman" w:hAnsi="Aptos" w:cs="Arial"/>
          <w:color w:val="002060"/>
        </w:rPr>
        <w:t>Trịnh</w:t>
      </w:r>
      <w:proofErr w:type="spellEnd"/>
      <w:r w:rsidRPr="00E953D2">
        <w:rPr>
          <w:rFonts w:ascii="Aptos" w:eastAsia="Times New Roman" w:hAnsi="Aptos" w:cs="Arial"/>
          <w:color w:val="002060"/>
        </w:rPr>
        <w:t xml:space="preserve"> Minh Anh emphasized that building transparent and predictable institutions is fundamental. As global markets fluctuate rapidly, timely forecasting and policy responses will determine enterprise resilience.</w:t>
      </w:r>
    </w:p>
    <w:p w14:paraId="7E2D363E" w14:textId="77777777" w:rsidR="00E953D2" w:rsidRPr="00E953D2" w:rsidRDefault="00E953D2" w:rsidP="00E953D2">
      <w:pPr>
        <w:spacing w:before="100" w:beforeAutospacing="1" w:after="100" w:afterAutospacing="1" w:line="288" w:lineRule="auto"/>
        <w:jc w:val="both"/>
        <w:rPr>
          <w:rFonts w:ascii="Aptos" w:eastAsia="Times New Roman" w:hAnsi="Aptos" w:cs="Arial"/>
          <w:color w:val="002060"/>
        </w:rPr>
      </w:pPr>
      <w:r w:rsidRPr="00E953D2">
        <w:rPr>
          <w:rFonts w:ascii="Aptos" w:eastAsia="Times New Roman" w:hAnsi="Aptos" w:cs="Arial"/>
          <w:color w:val="002060"/>
        </w:rPr>
        <w:t xml:space="preserve">At the same time, trade promotion must undergo fundamental reform. Instead of being broad-based, support should be tailored to specific sectors and markets from traditional promotion to digital and green transformation with the </w:t>
      </w:r>
      <w:proofErr w:type="gramStart"/>
      <w:r w:rsidRPr="00E953D2">
        <w:rPr>
          <w:rFonts w:ascii="Aptos" w:eastAsia="Times New Roman" w:hAnsi="Aptos" w:cs="Arial"/>
          <w:color w:val="002060"/>
        </w:rPr>
        <w:t>ultimate goal</w:t>
      </w:r>
      <w:proofErr w:type="gramEnd"/>
      <w:r w:rsidRPr="00E953D2">
        <w:rPr>
          <w:rFonts w:ascii="Aptos" w:eastAsia="Times New Roman" w:hAnsi="Aptos" w:cs="Arial"/>
          <w:color w:val="002060"/>
        </w:rPr>
        <w:t xml:space="preserve"> of enabling enterprises to fully access and absorb policy benefits.</w:t>
      </w:r>
    </w:p>
    <w:p w14:paraId="2786F77D" w14:textId="77777777" w:rsidR="00E953D2" w:rsidRPr="00E953D2" w:rsidRDefault="00E953D2" w:rsidP="00E953D2">
      <w:pPr>
        <w:spacing w:before="100" w:beforeAutospacing="1" w:after="100" w:afterAutospacing="1" w:line="288" w:lineRule="auto"/>
        <w:jc w:val="both"/>
        <w:rPr>
          <w:rFonts w:ascii="Aptos" w:eastAsia="Times New Roman" w:hAnsi="Aptos" w:cs="Arial"/>
          <w:color w:val="002060"/>
        </w:rPr>
      </w:pPr>
      <w:r w:rsidRPr="00E953D2">
        <w:rPr>
          <w:rFonts w:ascii="Aptos" w:eastAsia="Times New Roman" w:hAnsi="Aptos" w:cs="Arial"/>
          <w:color w:val="002060"/>
        </w:rPr>
        <w:t>Finally, and perhaps most importantly, is the human factor. Integration is not merely about signing agreements or organizing trade fairs; it depends on the capacity of officials, trade offices and local enterprises to gather information, manage risks, negotiate and adapt. Sending officials to localities to provide hands-on guidance for enterprises facing market volatility is essential.</w:t>
      </w:r>
    </w:p>
    <w:p w14:paraId="7FD13FC3" w14:textId="77777777" w:rsidR="00E953D2" w:rsidRPr="00E953D2" w:rsidRDefault="00E953D2" w:rsidP="00E953D2">
      <w:pPr>
        <w:spacing w:before="100" w:beforeAutospacing="1" w:after="100" w:afterAutospacing="1" w:line="288" w:lineRule="auto"/>
        <w:jc w:val="both"/>
        <w:rPr>
          <w:rFonts w:ascii="Aptos" w:eastAsia="Times New Roman" w:hAnsi="Aptos" w:cs="Arial"/>
          <w:color w:val="002060"/>
        </w:rPr>
      </w:pPr>
      <w:r w:rsidRPr="00E953D2">
        <w:rPr>
          <w:rFonts w:ascii="Aptos" w:eastAsia="Times New Roman" w:hAnsi="Aptos" w:cs="Arial"/>
          <w:color w:val="002060"/>
        </w:rPr>
        <w:t>As 2026 marks the first year of implementing the Resolution of the 14th National Party Congress, economic integration efforts must shift from “expanding relations” to “enhancing quality and depth,” from “participating” to “leading and shaping,” with a proactive and dynamic spirit, while continuously adapting flexibly and effectively to rapid and complex global developments.</w:t>
      </w:r>
    </w:p>
    <w:p w14:paraId="198D6B8D" w14:textId="77777777" w:rsidR="003374C4" w:rsidRPr="003374C4" w:rsidRDefault="003374C4" w:rsidP="003374C4"/>
    <w:p w14:paraId="45244E9C" w14:textId="77777777" w:rsidR="00D775A6" w:rsidRDefault="00EE121E" w:rsidP="00D775A6">
      <w:pPr>
        <w:spacing w:line="288" w:lineRule="auto"/>
        <w:jc w:val="right"/>
        <w:rPr>
          <w:rStyle w:val="Hyperlink"/>
          <w:rFonts w:ascii="Aptos" w:eastAsia="Malgun Gothic" w:hAnsi="Aptos" w:cs="Times New Roman"/>
          <w:color w:val="002060"/>
        </w:rPr>
      </w:pPr>
      <w:hyperlink w:anchor="_top" w:history="1">
        <w:r w:rsidR="00D775A6" w:rsidRPr="004C6CBE">
          <w:rPr>
            <w:rStyle w:val="Hyperlink"/>
            <w:rFonts w:ascii="Aptos" w:eastAsia="Malgun Gothic" w:hAnsi="Aptos" w:cs="Times New Roman"/>
            <w:color w:val="002060"/>
          </w:rPr>
          <w:t>Back to Top</w:t>
        </w:r>
      </w:hyperlink>
    </w:p>
    <w:p w14:paraId="4B58DCB8" w14:textId="77777777" w:rsidR="003F77B6" w:rsidRDefault="003F77B6" w:rsidP="00D775A6">
      <w:pPr>
        <w:spacing w:line="288" w:lineRule="auto"/>
        <w:jc w:val="right"/>
        <w:rPr>
          <w:rStyle w:val="Hyperlink"/>
          <w:rFonts w:ascii="Aptos" w:eastAsia="Malgun Gothic" w:hAnsi="Aptos" w:cs="Times New Roman"/>
          <w:color w:val="002060"/>
        </w:rPr>
      </w:pPr>
    </w:p>
    <w:p w14:paraId="1E45123E" w14:textId="77777777" w:rsidR="002170D8" w:rsidRPr="002170D8" w:rsidRDefault="002170D8" w:rsidP="002170D8">
      <w:pPr>
        <w:spacing w:after="150" w:line="288" w:lineRule="auto"/>
        <w:jc w:val="both"/>
        <w:outlineLvl w:val="0"/>
        <w:rPr>
          <w:rFonts w:ascii="Aptos" w:eastAsia="Times New Roman" w:hAnsi="Aptos" w:cs="Times New Roman"/>
          <w:b/>
          <w:bCs/>
          <w:color w:val="002060"/>
          <w:kern w:val="36"/>
          <w:sz w:val="28"/>
          <w:szCs w:val="28"/>
        </w:rPr>
      </w:pPr>
      <w:bookmarkStart w:id="687" w:name="_Toc223006377"/>
      <w:r w:rsidRPr="002170D8">
        <w:rPr>
          <w:rFonts w:ascii="Aptos" w:eastAsia="Times New Roman" w:hAnsi="Aptos" w:cs="Times New Roman"/>
          <w:b/>
          <w:bCs/>
          <w:color w:val="002060"/>
          <w:kern w:val="36"/>
          <w:sz w:val="28"/>
          <w:szCs w:val="28"/>
        </w:rPr>
        <w:t xml:space="preserve">Exporters step up production after </w:t>
      </w:r>
      <w:proofErr w:type="spellStart"/>
      <w:r w:rsidRPr="002170D8">
        <w:rPr>
          <w:rFonts w:ascii="Aptos" w:eastAsia="Times New Roman" w:hAnsi="Aptos" w:cs="Times New Roman"/>
          <w:b/>
          <w:bCs/>
          <w:color w:val="002060"/>
          <w:kern w:val="36"/>
          <w:sz w:val="28"/>
          <w:szCs w:val="28"/>
        </w:rPr>
        <w:t>Tết</w:t>
      </w:r>
      <w:proofErr w:type="spellEnd"/>
      <w:r w:rsidRPr="002170D8">
        <w:rPr>
          <w:rFonts w:ascii="Aptos" w:eastAsia="Times New Roman" w:hAnsi="Aptos" w:cs="Times New Roman"/>
          <w:b/>
          <w:bCs/>
          <w:color w:val="002060"/>
          <w:kern w:val="36"/>
          <w:sz w:val="28"/>
          <w:szCs w:val="28"/>
        </w:rPr>
        <w:t xml:space="preserve"> to meet overseas orders</w:t>
      </w:r>
      <w:bookmarkEnd w:id="687"/>
    </w:p>
    <w:p w14:paraId="5AD98500" w14:textId="0EAD38D5" w:rsidR="002170D8" w:rsidRPr="002170D8" w:rsidRDefault="002170D8" w:rsidP="002170D8">
      <w:pPr>
        <w:spacing w:after="150" w:line="288" w:lineRule="auto"/>
        <w:jc w:val="both"/>
        <w:rPr>
          <w:rFonts w:ascii="Aptos" w:eastAsia="Times New Roman" w:hAnsi="Aptos" w:cs="Poppins"/>
          <w:i/>
          <w:iCs/>
          <w:color w:val="002060"/>
          <w:sz w:val="18"/>
          <w:szCs w:val="18"/>
        </w:rPr>
      </w:pPr>
      <w:r w:rsidRPr="002170D8">
        <w:rPr>
          <w:rFonts w:ascii="Aptos" w:eastAsia="Times New Roman" w:hAnsi="Aptos" w:cs="Poppins"/>
          <w:i/>
          <w:iCs/>
          <w:color w:val="002060"/>
          <w:sz w:val="18"/>
          <w:szCs w:val="18"/>
        </w:rPr>
        <w:t>VNS</w:t>
      </w:r>
    </w:p>
    <w:p w14:paraId="4BED8D2F" w14:textId="77777777" w:rsidR="002170D8" w:rsidRPr="002170D8" w:rsidRDefault="002170D8" w:rsidP="002170D8">
      <w:pPr>
        <w:spacing w:after="150" w:line="288" w:lineRule="auto"/>
        <w:jc w:val="both"/>
        <w:rPr>
          <w:rFonts w:ascii="Aptos" w:eastAsia="Times New Roman" w:hAnsi="Aptos" w:cs="Poppins"/>
          <w:color w:val="002060"/>
        </w:rPr>
      </w:pPr>
    </w:p>
    <w:p w14:paraId="65D03ED8" w14:textId="77777777" w:rsidR="002170D8" w:rsidRPr="002170D8" w:rsidRDefault="002170D8" w:rsidP="002170D8">
      <w:pPr>
        <w:spacing w:line="288" w:lineRule="auto"/>
        <w:jc w:val="both"/>
        <w:rPr>
          <w:rFonts w:ascii="Aptos" w:eastAsia="Times New Roman" w:hAnsi="Aptos" w:cs="Poppins"/>
          <w:color w:val="002060"/>
        </w:rPr>
      </w:pPr>
      <w:r w:rsidRPr="002170D8">
        <w:rPr>
          <w:rFonts w:ascii="Aptos" w:eastAsia="Times New Roman" w:hAnsi="Aptos" w:cs="Poppins"/>
          <w:color w:val="002060"/>
        </w:rPr>
        <w:lastRenderedPageBreak/>
        <w:t>Of note, shrimp exporters received an early boost after the US announced lower-than-expected anti-dumping duties at its 19th administrative review (</w:t>
      </w:r>
      <w:proofErr w:type="spellStart"/>
      <w:r w:rsidRPr="002170D8">
        <w:rPr>
          <w:rFonts w:ascii="Aptos" w:eastAsia="Times New Roman" w:hAnsi="Aptos" w:cs="Poppins"/>
          <w:color w:val="002060"/>
        </w:rPr>
        <w:t>POR19</w:t>
      </w:r>
      <w:proofErr w:type="spellEnd"/>
      <w:r w:rsidRPr="002170D8">
        <w:rPr>
          <w:rFonts w:ascii="Aptos" w:eastAsia="Times New Roman" w:hAnsi="Aptos" w:cs="Poppins"/>
          <w:color w:val="002060"/>
        </w:rPr>
        <w:t xml:space="preserve">) on frozen warmwater shrimp imports from </w:t>
      </w:r>
      <w:proofErr w:type="spellStart"/>
      <w:r w:rsidRPr="002170D8">
        <w:rPr>
          <w:rFonts w:ascii="Aptos" w:eastAsia="Times New Roman" w:hAnsi="Aptos" w:cs="Poppins"/>
          <w:color w:val="002060"/>
        </w:rPr>
        <w:t>Việt</w:t>
      </w:r>
      <w:proofErr w:type="spellEnd"/>
      <w:r w:rsidRPr="002170D8">
        <w:rPr>
          <w:rFonts w:ascii="Aptos" w:eastAsia="Times New Roman" w:hAnsi="Aptos" w:cs="Poppins"/>
          <w:color w:val="002060"/>
        </w:rPr>
        <w:t xml:space="preserve"> Nam.</w:t>
      </w:r>
    </w:p>
    <w:p w14:paraId="380C862E" w14:textId="47AB5FD4" w:rsidR="002170D8" w:rsidRPr="002170D8" w:rsidRDefault="002170D8" w:rsidP="002170D8">
      <w:pPr>
        <w:spacing w:after="450" w:line="288" w:lineRule="auto"/>
        <w:jc w:val="both"/>
        <w:rPr>
          <w:rFonts w:ascii="Aptos" w:eastAsia="Times New Roman" w:hAnsi="Aptos" w:cs="Segoe UI"/>
          <w:color w:val="002060"/>
        </w:rPr>
      </w:pPr>
      <w:r w:rsidRPr="002170D8">
        <w:rPr>
          <w:rFonts w:ascii="Aptos" w:eastAsia="Times New Roman" w:hAnsi="Aptos" w:cs="Segoe UI"/>
          <w:color w:val="002060"/>
        </w:rPr>
        <w:t xml:space="preserve">Exporters are ramping up production after </w:t>
      </w:r>
      <w:proofErr w:type="spellStart"/>
      <w:r w:rsidRPr="002170D8">
        <w:rPr>
          <w:rFonts w:ascii="Aptos" w:eastAsia="Times New Roman" w:hAnsi="Aptos" w:cs="Segoe UI"/>
          <w:color w:val="002060"/>
        </w:rPr>
        <w:t>Tết</w:t>
      </w:r>
      <w:proofErr w:type="spellEnd"/>
      <w:r w:rsidRPr="002170D8">
        <w:rPr>
          <w:rFonts w:ascii="Aptos" w:eastAsia="Times New Roman" w:hAnsi="Aptos" w:cs="Segoe UI"/>
          <w:color w:val="002060"/>
        </w:rPr>
        <w:t xml:space="preserve"> (Lunar New Year) holidays to meet overseas orders, </w:t>
      </w:r>
      <w:proofErr w:type="spellStart"/>
      <w:r w:rsidRPr="002170D8">
        <w:rPr>
          <w:rFonts w:ascii="Aptos" w:eastAsia="Times New Roman" w:hAnsi="Aptos" w:cs="Segoe UI"/>
          <w:color w:val="002060"/>
        </w:rPr>
        <w:t>signalling</w:t>
      </w:r>
      <w:proofErr w:type="spellEnd"/>
      <w:r w:rsidRPr="002170D8">
        <w:rPr>
          <w:rFonts w:ascii="Aptos" w:eastAsia="Times New Roman" w:hAnsi="Aptos" w:cs="Segoe UI"/>
          <w:color w:val="002060"/>
        </w:rPr>
        <w:t xml:space="preserve"> a rebound in global demand and reinforcing expectations for stronger trade growth in 2026.</w:t>
      </w:r>
    </w:p>
    <w:p w14:paraId="53845EC3" w14:textId="77777777" w:rsidR="002170D8" w:rsidRPr="002170D8" w:rsidRDefault="002170D8" w:rsidP="002170D8">
      <w:pPr>
        <w:spacing w:after="450" w:line="288" w:lineRule="auto"/>
        <w:jc w:val="both"/>
        <w:rPr>
          <w:rFonts w:ascii="Aptos" w:eastAsia="Times New Roman" w:hAnsi="Aptos" w:cs="Segoe UI"/>
          <w:color w:val="002060"/>
        </w:rPr>
      </w:pPr>
      <w:r w:rsidRPr="002170D8">
        <w:rPr>
          <w:rFonts w:ascii="Aptos" w:eastAsia="Times New Roman" w:hAnsi="Aptos" w:cs="Segoe UI"/>
          <w:color w:val="002060"/>
        </w:rPr>
        <w:t>Many companies resumed full-capacity production to meet shipments to the US, Europe, Japan and Australia.</w:t>
      </w:r>
    </w:p>
    <w:p w14:paraId="183446B1" w14:textId="77777777" w:rsidR="002170D8" w:rsidRPr="002170D8" w:rsidRDefault="002170D8" w:rsidP="002170D8">
      <w:pPr>
        <w:spacing w:after="450" w:line="288" w:lineRule="auto"/>
        <w:jc w:val="both"/>
        <w:rPr>
          <w:rFonts w:ascii="Aptos" w:eastAsia="Times New Roman" w:hAnsi="Aptos" w:cs="Segoe UI"/>
          <w:color w:val="002060"/>
        </w:rPr>
      </w:pPr>
      <w:r w:rsidRPr="002170D8">
        <w:rPr>
          <w:rFonts w:ascii="Aptos" w:eastAsia="Times New Roman" w:hAnsi="Aptos" w:cs="Segoe UI"/>
          <w:color w:val="002060"/>
        </w:rPr>
        <w:t xml:space="preserve">Võ </w:t>
      </w:r>
      <w:proofErr w:type="spellStart"/>
      <w:r w:rsidRPr="002170D8">
        <w:rPr>
          <w:rFonts w:ascii="Aptos" w:eastAsia="Times New Roman" w:hAnsi="Aptos" w:cs="Segoe UI"/>
          <w:color w:val="002060"/>
        </w:rPr>
        <w:t>Thị</w:t>
      </w:r>
      <w:proofErr w:type="spellEnd"/>
      <w:r w:rsidRPr="002170D8">
        <w:rPr>
          <w:rFonts w:ascii="Aptos" w:eastAsia="Times New Roman" w:hAnsi="Aptos" w:cs="Segoe UI"/>
          <w:color w:val="002060"/>
        </w:rPr>
        <w:t xml:space="preserve"> Liên </w:t>
      </w:r>
      <w:proofErr w:type="spellStart"/>
      <w:r w:rsidRPr="002170D8">
        <w:rPr>
          <w:rFonts w:ascii="Aptos" w:eastAsia="Times New Roman" w:hAnsi="Aptos" w:cs="Segoe UI"/>
          <w:color w:val="002060"/>
        </w:rPr>
        <w:t>Hương</w:t>
      </w:r>
      <w:proofErr w:type="spellEnd"/>
      <w:r w:rsidRPr="002170D8">
        <w:rPr>
          <w:rFonts w:ascii="Aptos" w:eastAsia="Times New Roman" w:hAnsi="Aptos" w:cs="Segoe UI"/>
          <w:color w:val="002060"/>
        </w:rPr>
        <w:t xml:space="preserve">, </w:t>
      </w:r>
      <w:proofErr w:type="spellStart"/>
      <w:r w:rsidRPr="002170D8">
        <w:rPr>
          <w:rFonts w:ascii="Aptos" w:eastAsia="Times New Roman" w:hAnsi="Aptos" w:cs="Segoe UI"/>
          <w:color w:val="002060"/>
        </w:rPr>
        <w:t>Secoin’s</w:t>
      </w:r>
      <w:proofErr w:type="spellEnd"/>
      <w:r w:rsidRPr="002170D8">
        <w:rPr>
          <w:rFonts w:ascii="Aptos" w:eastAsia="Times New Roman" w:hAnsi="Aptos" w:cs="Segoe UI"/>
          <w:color w:val="002060"/>
        </w:rPr>
        <w:t xml:space="preserve"> general director, said early-year contracts from these </w:t>
      </w:r>
      <w:proofErr w:type="gramStart"/>
      <w:r w:rsidRPr="002170D8">
        <w:rPr>
          <w:rFonts w:ascii="Aptos" w:eastAsia="Times New Roman" w:hAnsi="Aptos" w:cs="Segoe UI"/>
          <w:color w:val="002060"/>
        </w:rPr>
        <w:t>highly-demanding</w:t>
      </w:r>
      <w:proofErr w:type="gramEnd"/>
      <w:r w:rsidRPr="002170D8">
        <w:rPr>
          <w:rFonts w:ascii="Aptos" w:eastAsia="Times New Roman" w:hAnsi="Aptos" w:cs="Segoe UI"/>
          <w:color w:val="002060"/>
        </w:rPr>
        <w:t xml:space="preserve"> markets reflect growing trust in </w:t>
      </w:r>
      <w:proofErr w:type="spellStart"/>
      <w:r w:rsidRPr="002170D8">
        <w:rPr>
          <w:rFonts w:ascii="Aptos" w:eastAsia="Times New Roman" w:hAnsi="Aptos" w:cs="Segoe UI"/>
          <w:color w:val="002060"/>
        </w:rPr>
        <w:t>Việt</w:t>
      </w:r>
      <w:proofErr w:type="spellEnd"/>
      <w:r w:rsidRPr="002170D8">
        <w:rPr>
          <w:rFonts w:ascii="Aptos" w:eastAsia="Times New Roman" w:hAnsi="Aptos" w:cs="Segoe UI"/>
          <w:color w:val="002060"/>
        </w:rPr>
        <w:t xml:space="preserve"> Nam as a destination in the global production shift.</w:t>
      </w:r>
    </w:p>
    <w:p w14:paraId="2888C4B3" w14:textId="77777777" w:rsidR="002170D8" w:rsidRPr="002170D8" w:rsidRDefault="002170D8" w:rsidP="002170D8">
      <w:pPr>
        <w:spacing w:after="450" w:line="288" w:lineRule="auto"/>
        <w:jc w:val="both"/>
        <w:rPr>
          <w:rFonts w:ascii="Aptos" w:eastAsia="Times New Roman" w:hAnsi="Aptos" w:cs="Segoe UI"/>
          <w:color w:val="002060"/>
        </w:rPr>
      </w:pPr>
      <w:proofErr w:type="spellStart"/>
      <w:r w:rsidRPr="002170D8">
        <w:rPr>
          <w:rFonts w:ascii="Aptos" w:eastAsia="Times New Roman" w:hAnsi="Aptos" w:cs="Segoe UI"/>
          <w:color w:val="002060"/>
        </w:rPr>
        <w:t>Tứ</w:t>
      </w:r>
      <w:proofErr w:type="spellEnd"/>
      <w:r w:rsidRPr="002170D8">
        <w:rPr>
          <w:rFonts w:ascii="Aptos" w:eastAsia="Times New Roman" w:hAnsi="Aptos" w:cs="Segoe UI"/>
          <w:color w:val="002060"/>
        </w:rPr>
        <w:t xml:space="preserve"> </w:t>
      </w:r>
      <w:proofErr w:type="spellStart"/>
      <w:r w:rsidRPr="002170D8">
        <w:rPr>
          <w:rFonts w:ascii="Aptos" w:eastAsia="Times New Roman" w:hAnsi="Aptos" w:cs="Segoe UI"/>
          <w:color w:val="002060"/>
        </w:rPr>
        <w:t>Hải</w:t>
      </w:r>
      <w:proofErr w:type="spellEnd"/>
      <w:r w:rsidRPr="002170D8">
        <w:rPr>
          <w:rFonts w:ascii="Aptos" w:eastAsia="Times New Roman" w:hAnsi="Aptos" w:cs="Segoe UI"/>
          <w:color w:val="002060"/>
        </w:rPr>
        <w:t xml:space="preserve"> Company Ltd. completed 15 seafood export orders worth more than </w:t>
      </w:r>
      <w:proofErr w:type="spellStart"/>
      <w:r w:rsidRPr="002170D8">
        <w:rPr>
          <w:rFonts w:ascii="Aptos" w:eastAsia="Times New Roman" w:hAnsi="Aptos" w:cs="Segoe UI"/>
          <w:color w:val="002060"/>
        </w:rPr>
        <w:t>US$1.74</w:t>
      </w:r>
      <w:proofErr w:type="spellEnd"/>
      <w:r w:rsidRPr="002170D8">
        <w:rPr>
          <w:rFonts w:ascii="Aptos" w:eastAsia="Times New Roman" w:hAnsi="Aptos" w:cs="Segoe UI"/>
          <w:color w:val="002060"/>
        </w:rPr>
        <w:t xml:space="preserve"> million in the first months of the year, with Japan remaining its key market, according to the </w:t>
      </w:r>
      <w:proofErr w:type="spellStart"/>
      <w:r w:rsidRPr="002170D8">
        <w:rPr>
          <w:rFonts w:ascii="Aptos" w:eastAsia="Times New Roman" w:hAnsi="Aptos" w:cs="Segoe UI"/>
          <w:color w:val="002060"/>
        </w:rPr>
        <w:t>companys’chairman</w:t>
      </w:r>
      <w:proofErr w:type="spellEnd"/>
      <w:r w:rsidRPr="002170D8">
        <w:rPr>
          <w:rFonts w:ascii="Aptos" w:eastAsia="Times New Roman" w:hAnsi="Aptos" w:cs="Segoe UI"/>
          <w:color w:val="002060"/>
        </w:rPr>
        <w:t xml:space="preserve">, </w:t>
      </w:r>
      <w:proofErr w:type="spellStart"/>
      <w:r w:rsidRPr="002170D8">
        <w:rPr>
          <w:rFonts w:ascii="Aptos" w:eastAsia="Times New Roman" w:hAnsi="Aptos" w:cs="Segoe UI"/>
          <w:color w:val="002060"/>
        </w:rPr>
        <w:t>Đào</w:t>
      </w:r>
      <w:proofErr w:type="spellEnd"/>
      <w:r w:rsidRPr="002170D8">
        <w:rPr>
          <w:rFonts w:ascii="Aptos" w:eastAsia="Times New Roman" w:hAnsi="Aptos" w:cs="Segoe UI"/>
          <w:color w:val="002060"/>
        </w:rPr>
        <w:t xml:space="preserve"> </w:t>
      </w:r>
      <w:proofErr w:type="spellStart"/>
      <w:r w:rsidRPr="002170D8">
        <w:rPr>
          <w:rFonts w:ascii="Aptos" w:eastAsia="Times New Roman" w:hAnsi="Aptos" w:cs="Segoe UI"/>
          <w:color w:val="002060"/>
        </w:rPr>
        <w:t>Quốc</w:t>
      </w:r>
      <w:proofErr w:type="spellEnd"/>
      <w:r w:rsidRPr="002170D8">
        <w:rPr>
          <w:rFonts w:ascii="Aptos" w:eastAsia="Times New Roman" w:hAnsi="Aptos" w:cs="Segoe UI"/>
          <w:color w:val="002060"/>
        </w:rPr>
        <w:t xml:space="preserve"> </w:t>
      </w:r>
      <w:proofErr w:type="spellStart"/>
      <w:r w:rsidRPr="002170D8">
        <w:rPr>
          <w:rFonts w:ascii="Aptos" w:eastAsia="Times New Roman" w:hAnsi="Aptos" w:cs="Segoe UI"/>
          <w:color w:val="002060"/>
        </w:rPr>
        <w:t>Tuấn</w:t>
      </w:r>
      <w:proofErr w:type="spellEnd"/>
      <w:r w:rsidRPr="002170D8">
        <w:rPr>
          <w:rFonts w:ascii="Aptos" w:eastAsia="Times New Roman" w:hAnsi="Aptos" w:cs="Segoe UI"/>
          <w:color w:val="002060"/>
        </w:rPr>
        <w:t>.</w:t>
      </w:r>
    </w:p>
    <w:p w14:paraId="21EEDD0C" w14:textId="77777777" w:rsidR="002170D8" w:rsidRPr="002170D8" w:rsidRDefault="002170D8" w:rsidP="002170D8">
      <w:pPr>
        <w:spacing w:after="450" w:line="288" w:lineRule="auto"/>
        <w:jc w:val="both"/>
        <w:rPr>
          <w:rFonts w:ascii="Aptos" w:eastAsia="Times New Roman" w:hAnsi="Aptos" w:cs="Segoe UI"/>
          <w:color w:val="002060"/>
        </w:rPr>
      </w:pPr>
      <w:r w:rsidRPr="002170D8">
        <w:rPr>
          <w:rFonts w:ascii="Aptos" w:eastAsia="Times New Roman" w:hAnsi="Aptos" w:cs="Segoe UI"/>
          <w:color w:val="002060"/>
        </w:rPr>
        <w:t>Securing contracts early has enabled the company to plan raw material sourcing and processing more efficiently, which would help ease cost and delivery pressures during peak months, he said, adding that the company is targeting export revenue of around $12 million this year, up 30 per cent from 2025.</w:t>
      </w:r>
    </w:p>
    <w:p w14:paraId="63A2DCEA" w14:textId="77777777" w:rsidR="002170D8" w:rsidRPr="002170D8" w:rsidRDefault="002170D8" w:rsidP="002170D8">
      <w:pPr>
        <w:spacing w:after="450" w:line="288" w:lineRule="auto"/>
        <w:jc w:val="both"/>
        <w:rPr>
          <w:rFonts w:ascii="Aptos" w:eastAsia="Times New Roman" w:hAnsi="Aptos" w:cs="Segoe UI"/>
          <w:color w:val="002060"/>
        </w:rPr>
      </w:pPr>
      <w:r w:rsidRPr="002170D8">
        <w:rPr>
          <w:rFonts w:ascii="Aptos" w:eastAsia="Times New Roman" w:hAnsi="Aptos" w:cs="Segoe UI"/>
          <w:color w:val="002060"/>
        </w:rPr>
        <w:t xml:space="preserve">Farm produce exporter </w:t>
      </w:r>
      <w:proofErr w:type="spellStart"/>
      <w:r w:rsidRPr="002170D8">
        <w:rPr>
          <w:rFonts w:ascii="Aptos" w:eastAsia="Times New Roman" w:hAnsi="Aptos" w:cs="Segoe UI"/>
          <w:color w:val="002060"/>
        </w:rPr>
        <w:t>Phúc</w:t>
      </w:r>
      <w:proofErr w:type="spellEnd"/>
      <w:r w:rsidRPr="002170D8">
        <w:rPr>
          <w:rFonts w:ascii="Aptos" w:eastAsia="Times New Roman" w:hAnsi="Aptos" w:cs="Segoe UI"/>
          <w:color w:val="002060"/>
        </w:rPr>
        <w:t xml:space="preserve"> Sinh reported export turnover of about $46 million in the first months of the year, significantly higher than the average of $25-30 million in the same period last year.</w:t>
      </w:r>
    </w:p>
    <w:p w14:paraId="7A01E8C0" w14:textId="77777777" w:rsidR="002170D8" w:rsidRPr="002170D8" w:rsidRDefault="002170D8" w:rsidP="002170D8">
      <w:pPr>
        <w:spacing w:after="450" w:line="288" w:lineRule="auto"/>
        <w:jc w:val="both"/>
        <w:rPr>
          <w:rFonts w:ascii="Aptos" w:eastAsia="Times New Roman" w:hAnsi="Aptos" w:cs="Segoe UI"/>
          <w:color w:val="002060"/>
        </w:rPr>
      </w:pPr>
      <w:proofErr w:type="spellStart"/>
      <w:r w:rsidRPr="002170D8">
        <w:rPr>
          <w:rFonts w:ascii="Aptos" w:eastAsia="Times New Roman" w:hAnsi="Aptos" w:cs="Segoe UI"/>
          <w:color w:val="002060"/>
        </w:rPr>
        <w:t>Đồng</w:t>
      </w:r>
      <w:proofErr w:type="spellEnd"/>
      <w:r w:rsidRPr="002170D8">
        <w:rPr>
          <w:rFonts w:ascii="Aptos" w:eastAsia="Times New Roman" w:hAnsi="Aptos" w:cs="Segoe UI"/>
          <w:color w:val="002060"/>
        </w:rPr>
        <w:t xml:space="preserve"> </w:t>
      </w:r>
      <w:proofErr w:type="spellStart"/>
      <w:r w:rsidRPr="002170D8">
        <w:rPr>
          <w:rFonts w:ascii="Aptos" w:eastAsia="Times New Roman" w:hAnsi="Aptos" w:cs="Segoe UI"/>
          <w:color w:val="002060"/>
        </w:rPr>
        <w:t>Tiến</w:t>
      </w:r>
      <w:proofErr w:type="spellEnd"/>
      <w:r w:rsidRPr="002170D8">
        <w:rPr>
          <w:rFonts w:ascii="Aptos" w:eastAsia="Times New Roman" w:hAnsi="Aptos" w:cs="Segoe UI"/>
          <w:color w:val="002060"/>
        </w:rPr>
        <w:t xml:space="preserve"> Paper &amp; Packaging was optimistic with the demand for carton packaging this year, driven by robust n electronics, garments, footwear, </w:t>
      </w:r>
      <w:proofErr w:type="spellStart"/>
      <w:r w:rsidRPr="002170D8">
        <w:rPr>
          <w:rFonts w:ascii="Aptos" w:eastAsia="Times New Roman" w:hAnsi="Aptos" w:cs="Segoe UI"/>
          <w:color w:val="002060"/>
        </w:rPr>
        <w:t>agro</w:t>
      </w:r>
      <w:proofErr w:type="spellEnd"/>
      <w:r w:rsidRPr="002170D8">
        <w:rPr>
          <w:rFonts w:ascii="Aptos" w:eastAsia="Times New Roman" w:hAnsi="Aptos" w:cs="Segoe UI"/>
          <w:color w:val="002060"/>
        </w:rPr>
        <w:t xml:space="preserve">-forestry-fishery and furniture exports. The company </w:t>
      </w:r>
      <w:proofErr w:type="gramStart"/>
      <w:r w:rsidRPr="002170D8">
        <w:rPr>
          <w:rFonts w:ascii="Aptos" w:eastAsia="Times New Roman" w:hAnsi="Aptos" w:cs="Segoe UI"/>
          <w:color w:val="002060"/>
        </w:rPr>
        <w:t>has to</w:t>
      </w:r>
      <w:proofErr w:type="gramEnd"/>
      <w:r w:rsidRPr="002170D8">
        <w:rPr>
          <w:rFonts w:ascii="Aptos" w:eastAsia="Times New Roman" w:hAnsi="Aptos" w:cs="Segoe UI"/>
          <w:color w:val="002060"/>
        </w:rPr>
        <w:t xml:space="preserve"> </w:t>
      </w:r>
      <w:proofErr w:type="spellStart"/>
      <w:r w:rsidRPr="002170D8">
        <w:rPr>
          <w:rFonts w:ascii="Aptos" w:eastAsia="Times New Roman" w:hAnsi="Aptos" w:cs="Segoe UI"/>
          <w:color w:val="002060"/>
        </w:rPr>
        <w:t>maintainproduction</w:t>
      </w:r>
      <w:proofErr w:type="spellEnd"/>
      <w:r w:rsidRPr="002170D8">
        <w:rPr>
          <w:rFonts w:ascii="Aptos" w:eastAsia="Times New Roman" w:hAnsi="Aptos" w:cs="Segoe UI"/>
          <w:color w:val="002060"/>
        </w:rPr>
        <w:t xml:space="preserve"> through the holidays to meet delivery schedules.</w:t>
      </w:r>
    </w:p>
    <w:p w14:paraId="364B1599" w14:textId="77777777" w:rsidR="002170D8" w:rsidRPr="002170D8" w:rsidRDefault="002170D8" w:rsidP="002170D8">
      <w:pPr>
        <w:spacing w:after="450" w:line="288" w:lineRule="auto"/>
        <w:jc w:val="both"/>
        <w:rPr>
          <w:rFonts w:ascii="Aptos" w:eastAsia="Times New Roman" w:hAnsi="Aptos" w:cs="Segoe UI"/>
          <w:color w:val="002060"/>
        </w:rPr>
      </w:pPr>
      <w:r w:rsidRPr="002170D8">
        <w:rPr>
          <w:rFonts w:ascii="Aptos" w:eastAsia="Times New Roman" w:hAnsi="Aptos" w:cs="Segoe UI"/>
          <w:color w:val="002060"/>
        </w:rPr>
        <w:t>Of note, shrimp exporters received an early boost after the US announced lower-than-expected anti-dumping duties at its 19th administrative review (</w:t>
      </w:r>
      <w:proofErr w:type="spellStart"/>
      <w:r w:rsidRPr="002170D8">
        <w:rPr>
          <w:rFonts w:ascii="Aptos" w:eastAsia="Times New Roman" w:hAnsi="Aptos" w:cs="Segoe UI"/>
          <w:color w:val="002060"/>
        </w:rPr>
        <w:t>POR19</w:t>
      </w:r>
      <w:proofErr w:type="spellEnd"/>
      <w:r w:rsidRPr="002170D8">
        <w:rPr>
          <w:rFonts w:ascii="Aptos" w:eastAsia="Times New Roman" w:hAnsi="Aptos" w:cs="Segoe UI"/>
          <w:color w:val="002060"/>
        </w:rPr>
        <w:t xml:space="preserve">) on frozen warmwater shrimp imports from </w:t>
      </w:r>
      <w:proofErr w:type="spellStart"/>
      <w:r w:rsidRPr="002170D8">
        <w:rPr>
          <w:rFonts w:ascii="Aptos" w:eastAsia="Times New Roman" w:hAnsi="Aptos" w:cs="Segoe UI"/>
          <w:color w:val="002060"/>
        </w:rPr>
        <w:t>Việt</w:t>
      </w:r>
      <w:proofErr w:type="spellEnd"/>
      <w:r w:rsidRPr="002170D8">
        <w:rPr>
          <w:rFonts w:ascii="Aptos" w:eastAsia="Times New Roman" w:hAnsi="Aptos" w:cs="Segoe UI"/>
          <w:color w:val="002060"/>
        </w:rPr>
        <w:t xml:space="preserve"> Nam. The nationwide anti-dumping duty was set at 4.58 per cent while two mandatory respondents were assigned a final rate of 25.46 per cent, down from the preliminary 35.29 per cent announced earlier.</w:t>
      </w:r>
    </w:p>
    <w:p w14:paraId="79884E31" w14:textId="77777777" w:rsidR="002170D8" w:rsidRPr="002170D8" w:rsidRDefault="002170D8" w:rsidP="002170D8">
      <w:pPr>
        <w:spacing w:after="450" w:line="288" w:lineRule="auto"/>
        <w:jc w:val="both"/>
        <w:rPr>
          <w:rFonts w:ascii="Aptos" w:eastAsia="Times New Roman" w:hAnsi="Aptos" w:cs="Segoe UI"/>
          <w:color w:val="002060"/>
        </w:rPr>
      </w:pPr>
      <w:proofErr w:type="spellStart"/>
      <w:r w:rsidRPr="002170D8">
        <w:rPr>
          <w:rFonts w:ascii="Aptos" w:eastAsia="Times New Roman" w:hAnsi="Aptos" w:cs="Segoe UI"/>
          <w:color w:val="002060"/>
        </w:rPr>
        <w:t>Hồ</w:t>
      </w:r>
      <w:proofErr w:type="spellEnd"/>
      <w:r w:rsidRPr="002170D8">
        <w:rPr>
          <w:rFonts w:ascii="Aptos" w:eastAsia="Times New Roman" w:hAnsi="Aptos" w:cs="Segoe UI"/>
          <w:color w:val="002060"/>
        </w:rPr>
        <w:t xml:space="preserve"> </w:t>
      </w:r>
      <w:proofErr w:type="spellStart"/>
      <w:r w:rsidRPr="002170D8">
        <w:rPr>
          <w:rFonts w:ascii="Aptos" w:eastAsia="Times New Roman" w:hAnsi="Aptos" w:cs="Segoe UI"/>
          <w:color w:val="002060"/>
        </w:rPr>
        <w:t>Quốc</w:t>
      </w:r>
      <w:proofErr w:type="spellEnd"/>
      <w:r w:rsidRPr="002170D8">
        <w:rPr>
          <w:rFonts w:ascii="Aptos" w:eastAsia="Times New Roman" w:hAnsi="Aptos" w:cs="Segoe UI"/>
          <w:color w:val="002060"/>
        </w:rPr>
        <w:t xml:space="preserve"> </w:t>
      </w:r>
      <w:proofErr w:type="spellStart"/>
      <w:r w:rsidRPr="002170D8">
        <w:rPr>
          <w:rFonts w:ascii="Aptos" w:eastAsia="Times New Roman" w:hAnsi="Aptos" w:cs="Segoe UI"/>
          <w:color w:val="002060"/>
        </w:rPr>
        <w:t>Lực</w:t>
      </w:r>
      <w:proofErr w:type="spellEnd"/>
      <w:r w:rsidRPr="002170D8">
        <w:rPr>
          <w:rFonts w:ascii="Aptos" w:eastAsia="Times New Roman" w:hAnsi="Aptos" w:cs="Segoe UI"/>
          <w:color w:val="002060"/>
        </w:rPr>
        <w:t>, chairman of Sao Ta Foods Joint Stock Company, said the announcement during the holiday has given a more positive start to the year and a basis to negotiate new contracts with partners.</w:t>
      </w:r>
    </w:p>
    <w:p w14:paraId="222D758E" w14:textId="53FFA2DE" w:rsidR="00D775A6" w:rsidRPr="002170D8" w:rsidRDefault="002170D8" w:rsidP="002170D8">
      <w:pPr>
        <w:spacing w:after="450" w:line="288" w:lineRule="auto"/>
        <w:jc w:val="both"/>
        <w:rPr>
          <w:rStyle w:val="Hyperlink"/>
          <w:rFonts w:ascii="Aptos" w:eastAsia="Times New Roman" w:hAnsi="Aptos" w:cs="Segoe UI"/>
          <w:color w:val="002060"/>
          <w:u w:val="none"/>
        </w:rPr>
      </w:pPr>
      <w:proofErr w:type="spellStart"/>
      <w:r w:rsidRPr="002170D8">
        <w:rPr>
          <w:rFonts w:ascii="Aptos" w:eastAsia="Times New Roman" w:hAnsi="Aptos" w:cs="Segoe UI"/>
          <w:color w:val="002060"/>
        </w:rPr>
        <w:t>Việt</w:t>
      </w:r>
      <w:proofErr w:type="spellEnd"/>
      <w:r w:rsidRPr="002170D8">
        <w:rPr>
          <w:rFonts w:ascii="Aptos" w:eastAsia="Times New Roman" w:hAnsi="Aptos" w:cs="Segoe UI"/>
          <w:color w:val="002060"/>
        </w:rPr>
        <w:t xml:space="preserve"> Nam reported an export revenue of more than $43 billion in January, up nearly 30 per cent from a year earlier. Nine product groups recorded export values exceeding $1 billion. </w:t>
      </w:r>
    </w:p>
    <w:p w14:paraId="4A02550F" w14:textId="77777777" w:rsidR="001D7544" w:rsidRDefault="00EE121E" w:rsidP="001D7544">
      <w:pPr>
        <w:spacing w:line="288" w:lineRule="auto"/>
        <w:jc w:val="right"/>
        <w:rPr>
          <w:rStyle w:val="Hyperlink"/>
          <w:rFonts w:ascii="Aptos" w:eastAsia="Malgun Gothic" w:hAnsi="Aptos" w:cs="Times New Roman"/>
          <w:color w:val="002060"/>
        </w:rPr>
      </w:pPr>
      <w:hyperlink w:anchor="_top" w:history="1">
        <w:r w:rsidR="001D7544" w:rsidRPr="004C6CBE">
          <w:rPr>
            <w:rStyle w:val="Hyperlink"/>
            <w:rFonts w:ascii="Aptos" w:eastAsia="Malgun Gothic" w:hAnsi="Aptos" w:cs="Times New Roman"/>
            <w:color w:val="002060"/>
          </w:rPr>
          <w:t>Back to Top</w:t>
        </w:r>
      </w:hyperlink>
    </w:p>
    <w:p w14:paraId="1301C106" w14:textId="77777777" w:rsidR="001D7544" w:rsidRDefault="001D7544" w:rsidP="001D7544">
      <w:pPr>
        <w:spacing w:line="288" w:lineRule="auto"/>
        <w:jc w:val="right"/>
        <w:rPr>
          <w:rStyle w:val="Hyperlink"/>
          <w:rFonts w:ascii="Aptos" w:eastAsia="Malgun Gothic" w:hAnsi="Aptos" w:cs="Times New Roman"/>
          <w:color w:val="002060"/>
        </w:rPr>
      </w:pPr>
    </w:p>
    <w:p w14:paraId="05FE6872" w14:textId="77777777" w:rsidR="003308D2" w:rsidRPr="00344089" w:rsidRDefault="003308D2" w:rsidP="00344089">
      <w:pPr>
        <w:spacing w:after="150" w:line="288" w:lineRule="auto"/>
        <w:jc w:val="both"/>
        <w:outlineLvl w:val="0"/>
        <w:rPr>
          <w:rFonts w:ascii="Aptos" w:eastAsia="Times New Roman" w:hAnsi="Aptos" w:cs="Times New Roman"/>
          <w:color w:val="002060"/>
          <w:kern w:val="36"/>
        </w:rPr>
      </w:pPr>
    </w:p>
    <w:p w14:paraId="191104CF" w14:textId="77777777" w:rsidR="002A02C8" w:rsidRPr="004C6CBE" w:rsidRDefault="002A02C8" w:rsidP="00EA3310">
      <w:pPr>
        <w:pStyle w:val="Heading1"/>
        <w:rPr>
          <w:rFonts w:ascii="Aptos" w:eastAsia="Malgun Gothic" w:hAnsi="Aptos" w:cs="Times New Roman"/>
          <w:color w:val="002060"/>
        </w:rPr>
      </w:pPr>
      <w:bookmarkStart w:id="688" w:name="_Toc192767033"/>
      <w:bookmarkStart w:id="689" w:name="_Toc193361541"/>
      <w:bookmarkStart w:id="690" w:name="_Toc193977732"/>
      <w:bookmarkStart w:id="691" w:name="_Toc194671397"/>
      <w:bookmarkStart w:id="692" w:name="_Toc195192232"/>
      <w:bookmarkStart w:id="693" w:name="_Toc195795575"/>
      <w:bookmarkStart w:id="694" w:name="_Toc196395801"/>
      <w:bookmarkStart w:id="695" w:name="_Toc197596761"/>
      <w:bookmarkStart w:id="696" w:name="_Toc198210648"/>
      <w:bookmarkStart w:id="697" w:name="_Toc198816031"/>
      <w:bookmarkStart w:id="698" w:name="_Toc199419427"/>
      <w:bookmarkStart w:id="699" w:name="_Toc200013599"/>
      <w:bookmarkStart w:id="700" w:name="_Toc200628575"/>
      <w:bookmarkStart w:id="701" w:name="_Toc201837358"/>
      <w:bookmarkStart w:id="702" w:name="_Toc202445693"/>
      <w:bookmarkStart w:id="703" w:name="_Toc203047559"/>
      <w:bookmarkStart w:id="704" w:name="_Toc203655863"/>
      <w:bookmarkStart w:id="705" w:name="_Toc204262801"/>
      <w:bookmarkStart w:id="706" w:name="_Toc204862959"/>
      <w:bookmarkStart w:id="707" w:name="_Toc205466588"/>
      <w:bookmarkStart w:id="708" w:name="_Toc206074506"/>
      <w:bookmarkStart w:id="709" w:name="_Toc207184398"/>
      <w:bookmarkStart w:id="710" w:name="_Toc207888604"/>
      <w:bookmarkStart w:id="711" w:name="_Toc208493627"/>
      <w:bookmarkStart w:id="712" w:name="_Toc208493705"/>
    </w:p>
    <w:p w14:paraId="48878818" w14:textId="6384173D" w:rsidR="00AB2A22" w:rsidRDefault="003C4CF1" w:rsidP="004F381D">
      <w:pPr>
        <w:pStyle w:val="Heading1"/>
        <w:shd w:val="clear" w:color="auto" w:fill="FFFFFF"/>
        <w:spacing w:before="0" w:line="288" w:lineRule="atLeast"/>
        <w:rPr>
          <w:rFonts w:ascii="Aptos" w:eastAsia="Malgun Gothic" w:hAnsi="Aptos" w:cs="Times New Roman"/>
          <w:color w:val="002060"/>
        </w:rPr>
      </w:pPr>
      <w:bookmarkStart w:id="713" w:name="_Toc209099449"/>
      <w:bookmarkStart w:id="714" w:name="_Toc209702677"/>
      <w:bookmarkStart w:id="715" w:name="_Toc210305241"/>
      <w:bookmarkStart w:id="716" w:name="_Toc210911919"/>
      <w:bookmarkStart w:id="717" w:name="_Toc210912011"/>
      <w:bookmarkStart w:id="718" w:name="_Toc211518242"/>
      <w:bookmarkStart w:id="719" w:name="_Toc212118923"/>
      <w:bookmarkStart w:id="720" w:name="_Toc212726918"/>
      <w:bookmarkStart w:id="721" w:name="_Toc213334254"/>
      <w:bookmarkStart w:id="722" w:name="_Toc213924603"/>
      <w:bookmarkStart w:id="723" w:name="_Toc214539945"/>
      <w:bookmarkStart w:id="724" w:name="_Toc215144380"/>
      <w:bookmarkStart w:id="725" w:name="_Toc215750958"/>
      <w:bookmarkStart w:id="726" w:name="_Toc216355054"/>
      <w:bookmarkStart w:id="727" w:name="_Toc216965802"/>
      <w:bookmarkStart w:id="728" w:name="_Toc217639126"/>
      <w:bookmarkStart w:id="729" w:name="_Toc218772677"/>
      <w:bookmarkStart w:id="730" w:name="_Toc219377440"/>
      <w:bookmarkStart w:id="731" w:name="_Toc219985599"/>
      <w:bookmarkStart w:id="732" w:name="_Toc220587258"/>
      <w:bookmarkStart w:id="733" w:name="_Toc221194734"/>
      <w:bookmarkStart w:id="734" w:name="_Toc223006378"/>
      <w:r w:rsidRPr="004C6CBE">
        <w:rPr>
          <w:rFonts w:ascii="Aptos" w:eastAsia="Malgun Gothic" w:hAnsi="Aptos" w:cs="Times New Roman"/>
          <w:color w:val="002060"/>
        </w:rPr>
        <w:t>INVESTMENT</w:t>
      </w:r>
      <w:bookmarkStart w:id="735" w:name="_Toc85726063"/>
      <w:bookmarkStart w:id="736" w:name="_Toc432151524"/>
      <w:bookmarkStart w:id="737" w:name="_Toc432755907"/>
      <w:bookmarkStart w:id="738" w:name="_Toc433361380"/>
      <w:bookmarkStart w:id="739" w:name="_Toc433965278"/>
      <w:bookmarkStart w:id="740" w:name="_Toc434571316"/>
      <w:bookmarkStart w:id="741" w:name="_Toc435172624"/>
      <w:bookmarkStart w:id="742" w:name="_Toc435779449"/>
      <w:bookmarkStart w:id="743" w:name="_Toc436380890"/>
      <w:bookmarkStart w:id="744" w:name="_Toc436991379"/>
      <w:bookmarkStart w:id="745" w:name="_Toc437595402"/>
      <w:bookmarkStart w:id="746" w:name="_Toc440013654"/>
      <w:bookmarkStart w:id="747" w:name="_Toc440621866"/>
      <w:bookmarkStart w:id="748" w:name="_Toc441223776"/>
      <w:bookmarkStart w:id="749" w:name="_Toc441828302"/>
      <w:bookmarkStart w:id="750" w:name="_Toc441828397"/>
      <w:bookmarkStart w:id="751" w:name="_Toc442344478"/>
      <w:bookmarkStart w:id="752" w:name="_Toc443643410"/>
      <w:bookmarkStart w:id="753" w:name="_Toc444246121"/>
      <w:bookmarkStart w:id="754" w:name="_Toc444852043"/>
      <w:bookmarkStart w:id="755" w:name="_Toc445456104"/>
      <w:bookmarkStart w:id="756" w:name="_Toc445973470"/>
      <w:bookmarkStart w:id="757" w:name="_Toc446664823"/>
      <w:bookmarkStart w:id="758" w:name="_Toc447269375"/>
      <w:bookmarkStart w:id="759" w:name="_Toc447874150"/>
      <w:bookmarkStart w:id="760" w:name="_Toc448482080"/>
      <w:bookmarkStart w:id="761" w:name="_Toc449082188"/>
      <w:bookmarkStart w:id="762" w:name="_Toc449689091"/>
      <w:bookmarkStart w:id="763" w:name="_Toc450293029"/>
      <w:bookmarkStart w:id="764" w:name="_Toc450896941"/>
      <w:bookmarkStart w:id="765" w:name="_Toc452625639"/>
      <w:bookmarkStart w:id="766" w:name="_Toc453317635"/>
      <w:bookmarkStart w:id="767" w:name="_Toc453921139"/>
      <w:bookmarkStart w:id="768" w:name="_Toc454525843"/>
      <w:bookmarkStart w:id="769" w:name="_Toc455664220"/>
      <w:bookmarkStart w:id="770" w:name="_Toc456342934"/>
      <w:bookmarkStart w:id="771" w:name="_Toc456948592"/>
      <w:bookmarkStart w:id="772" w:name="_Toc457551652"/>
      <w:bookmarkStart w:id="773" w:name="_Toc458760438"/>
      <w:bookmarkStart w:id="774" w:name="_Toc459970961"/>
      <w:bookmarkStart w:id="775" w:name="_Toc460493837"/>
      <w:bookmarkStart w:id="776" w:name="_Toc461091259"/>
      <w:bookmarkStart w:id="777" w:name="_Toc461785962"/>
      <w:bookmarkStart w:id="778" w:name="_Toc462393216"/>
      <w:bookmarkStart w:id="779" w:name="_Toc462996392"/>
      <w:bookmarkStart w:id="780" w:name="_Toc463600474"/>
      <w:bookmarkStart w:id="781" w:name="_Toc464205360"/>
      <w:bookmarkStart w:id="782" w:name="_Toc464808172"/>
      <w:bookmarkStart w:id="783" w:name="_Toc465341592"/>
      <w:bookmarkStart w:id="784" w:name="_Toc466017257"/>
      <w:bookmarkStart w:id="785" w:name="_Toc466625785"/>
      <w:bookmarkStart w:id="786" w:name="_Toc467231588"/>
      <w:bookmarkStart w:id="787" w:name="_Toc467832927"/>
      <w:bookmarkStart w:id="788" w:name="_Toc468440613"/>
      <w:bookmarkStart w:id="789" w:name="_Toc469043514"/>
      <w:bookmarkStart w:id="790" w:name="_Toc469650545"/>
      <w:bookmarkStart w:id="791" w:name="_Toc472071555"/>
      <w:bookmarkStart w:id="792" w:name="_Toc472672621"/>
      <w:bookmarkStart w:id="793" w:name="_Toc473881019"/>
      <w:bookmarkStart w:id="794" w:name="_Toc474487615"/>
      <w:bookmarkStart w:id="795" w:name="_Toc475090270"/>
      <w:bookmarkStart w:id="796" w:name="_Toc475697896"/>
      <w:bookmarkStart w:id="797" w:name="_Toc476302021"/>
      <w:bookmarkStart w:id="798" w:name="_Toc476906662"/>
      <w:bookmarkStart w:id="799" w:name="_Toc28949355"/>
      <w:bookmarkStart w:id="800" w:name="_Toc29553162"/>
      <w:bookmarkStart w:id="801" w:name="_Toc31365283"/>
      <w:bookmarkStart w:id="802" w:name="_Toc31968689"/>
      <w:bookmarkStart w:id="803" w:name="_Toc33177778"/>
      <w:bookmarkStart w:id="804" w:name="_Toc33784203"/>
      <w:bookmarkStart w:id="805" w:name="_Toc34387338"/>
      <w:bookmarkStart w:id="806" w:name="_Toc34992454"/>
      <w:bookmarkStart w:id="807" w:name="_Toc36200907"/>
      <w:bookmarkStart w:id="808" w:name="_Toc36804868"/>
      <w:bookmarkStart w:id="809" w:name="_Toc37412097"/>
      <w:bookmarkStart w:id="810" w:name="_Toc38016891"/>
      <w:bookmarkStart w:id="811" w:name="_Toc38623247"/>
      <w:bookmarkStart w:id="812" w:name="_Toc47007110"/>
      <w:bookmarkStart w:id="813" w:name="_Toc47608053"/>
      <w:bookmarkStart w:id="814" w:name="_Toc48219511"/>
      <w:bookmarkStart w:id="815" w:name="_Toc48816714"/>
      <w:bookmarkStart w:id="816" w:name="_Toc49427955"/>
      <w:bookmarkStart w:id="817" w:name="_Toc50027104"/>
      <w:bookmarkStart w:id="818" w:name="_Toc50638513"/>
      <w:bookmarkStart w:id="819" w:name="_Toc51235703"/>
      <w:bookmarkStart w:id="820" w:name="_Toc51848409"/>
      <w:bookmarkStart w:id="821" w:name="_Toc52453555"/>
      <w:bookmarkStart w:id="822" w:name="_Toc53055806"/>
      <w:bookmarkStart w:id="823" w:name="_Toc53660727"/>
      <w:bookmarkStart w:id="824" w:name="_Toc54259226"/>
      <w:bookmarkStart w:id="825" w:name="_Toc54865641"/>
      <w:bookmarkStart w:id="826" w:name="_Toc55477670"/>
      <w:bookmarkStart w:id="827" w:name="_Toc56073558"/>
      <w:bookmarkStart w:id="828" w:name="_Toc56678766"/>
      <w:bookmarkStart w:id="829" w:name="_Toc57284477"/>
      <w:bookmarkStart w:id="830" w:name="_Toc57895625"/>
      <w:bookmarkStart w:id="831" w:name="_Toc58494291"/>
      <w:bookmarkStart w:id="832" w:name="_Toc59104493"/>
      <w:bookmarkStart w:id="833" w:name="_Toc60922251"/>
      <w:bookmarkStart w:id="834" w:name="_Toc61518219"/>
      <w:bookmarkStart w:id="835" w:name="_Toc62129063"/>
      <w:bookmarkStart w:id="836" w:name="_Toc62734941"/>
      <w:bookmarkStart w:id="837" w:name="_Toc63333216"/>
      <w:bookmarkStart w:id="838" w:name="_Toc65152053"/>
      <w:bookmarkStart w:id="839" w:name="_Toc65759405"/>
      <w:bookmarkStart w:id="840" w:name="_Toc66363544"/>
      <w:bookmarkStart w:id="841" w:name="_Toc66960052"/>
      <w:bookmarkStart w:id="842" w:name="_Toc67652149"/>
      <w:bookmarkStart w:id="843" w:name="_Toc68179924"/>
      <w:bookmarkStart w:id="844" w:name="_Toc68774151"/>
      <w:bookmarkStart w:id="845" w:name="_Toc69386918"/>
      <w:bookmarkStart w:id="846" w:name="_Toc69991772"/>
      <w:bookmarkStart w:id="847" w:name="_Toc70509844"/>
      <w:bookmarkStart w:id="848" w:name="_Toc71207400"/>
      <w:bookmarkStart w:id="849" w:name="_Toc71799309"/>
      <w:bookmarkStart w:id="850" w:name="_Toc72414979"/>
      <w:bookmarkStart w:id="851" w:name="_Toc73015458"/>
      <w:bookmarkStart w:id="852" w:name="_Toc73618181"/>
      <w:bookmarkStart w:id="853" w:name="_Toc74224515"/>
      <w:bookmarkStart w:id="854" w:name="_Toc74836034"/>
      <w:bookmarkStart w:id="855" w:name="_Toc75439627"/>
      <w:bookmarkStart w:id="856" w:name="_Toc76033393"/>
      <w:bookmarkStart w:id="857" w:name="_Toc76568187"/>
      <w:bookmarkStart w:id="858" w:name="_Toc77249826"/>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p>
    <w:p w14:paraId="0993F67C" w14:textId="77777777" w:rsidR="008A256F" w:rsidRPr="008A256F" w:rsidRDefault="008A256F" w:rsidP="008A256F"/>
    <w:p w14:paraId="3E362DA2" w14:textId="77777777" w:rsidR="008A256F" w:rsidRPr="008A256F" w:rsidRDefault="008A256F" w:rsidP="008A256F">
      <w:pPr>
        <w:spacing w:after="150" w:line="288" w:lineRule="auto"/>
        <w:jc w:val="both"/>
        <w:outlineLvl w:val="0"/>
        <w:rPr>
          <w:rFonts w:ascii="Aptos" w:eastAsia="Times New Roman" w:hAnsi="Aptos" w:cs="Times New Roman"/>
          <w:b/>
          <w:bCs/>
          <w:color w:val="002060"/>
          <w:kern w:val="36"/>
          <w:sz w:val="28"/>
          <w:szCs w:val="28"/>
        </w:rPr>
      </w:pPr>
      <w:bookmarkStart w:id="859" w:name="_Toc223006379"/>
      <w:proofErr w:type="spellStart"/>
      <w:r w:rsidRPr="008A256F">
        <w:rPr>
          <w:rFonts w:ascii="Aptos" w:eastAsia="Times New Roman" w:hAnsi="Aptos" w:cs="Times New Roman"/>
          <w:b/>
          <w:bCs/>
          <w:color w:val="002060"/>
          <w:kern w:val="36"/>
          <w:sz w:val="28"/>
          <w:szCs w:val="28"/>
        </w:rPr>
        <w:t>Việt</w:t>
      </w:r>
      <w:proofErr w:type="spellEnd"/>
      <w:r w:rsidRPr="008A256F">
        <w:rPr>
          <w:rFonts w:ascii="Aptos" w:eastAsia="Times New Roman" w:hAnsi="Aptos" w:cs="Times New Roman"/>
          <w:b/>
          <w:bCs/>
          <w:color w:val="002060"/>
          <w:kern w:val="36"/>
          <w:sz w:val="28"/>
          <w:szCs w:val="28"/>
        </w:rPr>
        <w:t xml:space="preserve"> Nam forecast to achieve investment-grade credit rating sooner than planned</w:t>
      </w:r>
      <w:bookmarkEnd w:id="859"/>
    </w:p>
    <w:p w14:paraId="0E801F64" w14:textId="12AF58E1" w:rsidR="008A256F" w:rsidRPr="008A256F" w:rsidRDefault="008A256F" w:rsidP="008A256F">
      <w:pPr>
        <w:spacing w:line="288" w:lineRule="auto"/>
        <w:jc w:val="both"/>
        <w:rPr>
          <w:rFonts w:ascii="Aptos" w:eastAsia="Times New Roman" w:hAnsi="Aptos" w:cs="Poppins"/>
          <w:i/>
          <w:iCs/>
          <w:color w:val="002060"/>
          <w:sz w:val="18"/>
          <w:szCs w:val="18"/>
        </w:rPr>
      </w:pPr>
      <w:r w:rsidRPr="008A256F">
        <w:rPr>
          <w:rFonts w:ascii="Aptos" w:eastAsia="Times New Roman" w:hAnsi="Aptos" w:cs="Segoe UI"/>
          <w:i/>
          <w:iCs/>
          <w:color w:val="002060"/>
          <w:sz w:val="18"/>
          <w:szCs w:val="18"/>
        </w:rPr>
        <w:t>BIZHUB/VNS</w:t>
      </w:r>
      <w:r w:rsidRPr="008A256F">
        <w:rPr>
          <w:rFonts w:ascii="Aptos" w:eastAsia="Times New Roman" w:hAnsi="Aptos" w:cs="Poppins"/>
          <w:i/>
          <w:iCs/>
          <w:color w:val="002060"/>
          <w:sz w:val="18"/>
          <w:szCs w:val="18"/>
        </w:rPr>
        <w:t xml:space="preserve"> </w:t>
      </w:r>
    </w:p>
    <w:p w14:paraId="6299CA54" w14:textId="4350D174" w:rsidR="008A256F" w:rsidRPr="008A256F" w:rsidRDefault="008A256F" w:rsidP="008A256F">
      <w:pPr>
        <w:spacing w:line="288" w:lineRule="auto"/>
        <w:jc w:val="both"/>
        <w:rPr>
          <w:rFonts w:ascii="Aptos" w:eastAsia="Times New Roman" w:hAnsi="Aptos" w:cs="Poppins"/>
          <w:color w:val="002060"/>
        </w:rPr>
      </w:pPr>
      <w:r w:rsidRPr="008A256F">
        <w:rPr>
          <w:rFonts w:ascii="Aptos" w:eastAsia="Times New Roman" w:hAnsi="Aptos" w:cs="Poppins"/>
          <w:color w:val="002060"/>
        </w:rPr>
        <w:t xml:space="preserve">While the Government aims for an investment-grade rating by 2030, we believe it can be achieved sooner since </w:t>
      </w:r>
      <w:proofErr w:type="spellStart"/>
      <w:r w:rsidRPr="008A256F">
        <w:rPr>
          <w:rFonts w:ascii="Aptos" w:eastAsia="Times New Roman" w:hAnsi="Aptos" w:cs="Poppins"/>
          <w:color w:val="002060"/>
        </w:rPr>
        <w:t>Việt</w:t>
      </w:r>
      <w:proofErr w:type="spellEnd"/>
      <w:r w:rsidRPr="008A256F">
        <w:rPr>
          <w:rFonts w:ascii="Aptos" w:eastAsia="Times New Roman" w:hAnsi="Aptos" w:cs="Poppins"/>
          <w:color w:val="002060"/>
        </w:rPr>
        <w:t xml:space="preserve"> Nam already meets most quantitative criteria and only needs to address a limited set of qualitative issues.</w:t>
      </w:r>
    </w:p>
    <w:p w14:paraId="26B67262" w14:textId="03A3A9C1" w:rsidR="008A256F" w:rsidRPr="008A256F" w:rsidRDefault="008A256F" w:rsidP="008A256F">
      <w:pPr>
        <w:spacing w:after="450" w:line="288" w:lineRule="auto"/>
        <w:jc w:val="both"/>
        <w:rPr>
          <w:rFonts w:ascii="Aptos" w:eastAsia="Times New Roman" w:hAnsi="Aptos" w:cs="Segoe UI"/>
          <w:color w:val="002060"/>
        </w:rPr>
      </w:pPr>
      <w:proofErr w:type="spellStart"/>
      <w:r w:rsidRPr="008A256F">
        <w:rPr>
          <w:rFonts w:ascii="Aptos" w:eastAsia="Times New Roman" w:hAnsi="Aptos" w:cs="Segoe UI"/>
          <w:color w:val="002060"/>
        </w:rPr>
        <w:t>Việt</w:t>
      </w:r>
      <w:proofErr w:type="spellEnd"/>
      <w:r w:rsidRPr="008A256F">
        <w:rPr>
          <w:rFonts w:ascii="Aptos" w:eastAsia="Times New Roman" w:hAnsi="Aptos" w:cs="Segoe UI"/>
          <w:color w:val="002060"/>
        </w:rPr>
        <w:t xml:space="preserve"> Nam’s goal of securing an investment-grade credit rating by 2030 could be achieved earlier than planned as the country already meets most key benchmarks, according to market analysts.</w:t>
      </w:r>
    </w:p>
    <w:p w14:paraId="404EE0A2" w14:textId="77777777" w:rsidR="008A256F" w:rsidRPr="008A256F" w:rsidRDefault="008A256F" w:rsidP="008A256F">
      <w:pPr>
        <w:spacing w:after="450" w:line="288" w:lineRule="auto"/>
        <w:jc w:val="both"/>
        <w:rPr>
          <w:rFonts w:ascii="Aptos" w:eastAsia="Times New Roman" w:hAnsi="Aptos" w:cs="Segoe UI"/>
          <w:color w:val="002060"/>
        </w:rPr>
      </w:pPr>
      <w:r w:rsidRPr="008A256F">
        <w:rPr>
          <w:rFonts w:ascii="Aptos" w:eastAsia="Times New Roman" w:hAnsi="Aptos" w:cs="Segoe UI"/>
          <w:color w:val="002060"/>
        </w:rPr>
        <w:t xml:space="preserve">In a 2026 outlook report released this week, experts from investment management firm </w:t>
      </w:r>
      <w:proofErr w:type="spellStart"/>
      <w:r w:rsidRPr="008A256F">
        <w:rPr>
          <w:rFonts w:ascii="Aptos" w:eastAsia="Times New Roman" w:hAnsi="Aptos" w:cs="Segoe UI"/>
          <w:color w:val="002060"/>
        </w:rPr>
        <w:t>VinaCapital</w:t>
      </w:r>
      <w:proofErr w:type="spellEnd"/>
      <w:r w:rsidRPr="008A256F">
        <w:rPr>
          <w:rFonts w:ascii="Aptos" w:eastAsia="Times New Roman" w:hAnsi="Aptos" w:cs="Segoe UI"/>
          <w:color w:val="002060"/>
        </w:rPr>
        <w:t xml:space="preserve"> said the Government </w:t>
      </w:r>
      <w:proofErr w:type="gramStart"/>
      <w:r w:rsidRPr="008A256F">
        <w:rPr>
          <w:rFonts w:ascii="Aptos" w:eastAsia="Times New Roman" w:hAnsi="Aptos" w:cs="Segoe UI"/>
          <w:color w:val="002060"/>
        </w:rPr>
        <w:t>has</w:t>
      </w:r>
      <w:proofErr w:type="gramEnd"/>
      <w:r w:rsidRPr="008A256F">
        <w:rPr>
          <w:rFonts w:ascii="Aptos" w:eastAsia="Times New Roman" w:hAnsi="Aptos" w:cs="Segoe UI"/>
          <w:color w:val="002060"/>
        </w:rPr>
        <w:t xml:space="preserve"> ample financial resources in its own currency to cover costs such as land compensation and locally produced construction materials. However, projects involving imported technologies, including high-speed rail and power generation, will require foreign currency, making an investment-grade credit rating an increasingly pressing issue this year.</w:t>
      </w:r>
    </w:p>
    <w:p w14:paraId="2D0C882F" w14:textId="77777777" w:rsidR="008A256F" w:rsidRPr="008A256F" w:rsidRDefault="008A256F" w:rsidP="008A256F">
      <w:pPr>
        <w:spacing w:after="450" w:line="288" w:lineRule="auto"/>
        <w:jc w:val="both"/>
        <w:rPr>
          <w:rFonts w:ascii="Aptos" w:eastAsia="Times New Roman" w:hAnsi="Aptos" w:cs="Segoe UI"/>
          <w:color w:val="002060"/>
        </w:rPr>
      </w:pPr>
      <w:r w:rsidRPr="008A256F">
        <w:rPr>
          <w:rFonts w:ascii="Aptos" w:eastAsia="Times New Roman" w:hAnsi="Aptos" w:cs="Segoe UI"/>
          <w:color w:val="002060"/>
        </w:rPr>
        <w:t xml:space="preserve">“While the Government aims for an investment-grade rating by 2030, we believe it can be achieved sooner since </w:t>
      </w:r>
      <w:proofErr w:type="spellStart"/>
      <w:r w:rsidRPr="008A256F">
        <w:rPr>
          <w:rFonts w:ascii="Aptos" w:eastAsia="Times New Roman" w:hAnsi="Aptos" w:cs="Segoe UI"/>
          <w:color w:val="002060"/>
        </w:rPr>
        <w:t>Việt</w:t>
      </w:r>
      <w:proofErr w:type="spellEnd"/>
      <w:r w:rsidRPr="008A256F">
        <w:rPr>
          <w:rFonts w:ascii="Aptos" w:eastAsia="Times New Roman" w:hAnsi="Aptos" w:cs="Segoe UI"/>
          <w:color w:val="002060"/>
        </w:rPr>
        <w:t xml:space="preserve"> Nam already meets most quantitative criteria and only needs to address a limited set of qualitative issues,” said Michael </w:t>
      </w:r>
      <w:proofErr w:type="spellStart"/>
      <w:r w:rsidRPr="008A256F">
        <w:rPr>
          <w:rFonts w:ascii="Aptos" w:eastAsia="Times New Roman" w:hAnsi="Aptos" w:cs="Segoe UI"/>
          <w:color w:val="002060"/>
        </w:rPr>
        <w:t>Kokalary</w:t>
      </w:r>
      <w:proofErr w:type="spellEnd"/>
      <w:r w:rsidRPr="008A256F">
        <w:rPr>
          <w:rFonts w:ascii="Aptos" w:eastAsia="Times New Roman" w:hAnsi="Aptos" w:cs="Segoe UI"/>
          <w:color w:val="002060"/>
        </w:rPr>
        <w:t xml:space="preserve">, chief economist of </w:t>
      </w:r>
      <w:proofErr w:type="spellStart"/>
      <w:r w:rsidRPr="008A256F">
        <w:rPr>
          <w:rFonts w:ascii="Aptos" w:eastAsia="Times New Roman" w:hAnsi="Aptos" w:cs="Segoe UI"/>
          <w:color w:val="002060"/>
        </w:rPr>
        <w:t>VinaCapital</w:t>
      </w:r>
      <w:proofErr w:type="spellEnd"/>
      <w:r w:rsidRPr="008A256F">
        <w:rPr>
          <w:rFonts w:ascii="Aptos" w:eastAsia="Times New Roman" w:hAnsi="Aptos" w:cs="Segoe UI"/>
          <w:color w:val="002060"/>
        </w:rPr>
        <w:t>.</w:t>
      </w:r>
    </w:p>
    <w:p w14:paraId="54D14B0A" w14:textId="77777777" w:rsidR="008A256F" w:rsidRPr="008A256F" w:rsidRDefault="008A256F" w:rsidP="008A256F">
      <w:pPr>
        <w:spacing w:after="450" w:line="288" w:lineRule="auto"/>
        <w:jc w:val="both"/>
        <w:rPr>
          <w:rFonts w:ascii="Aptos" w:eastAsia="Times New Roman" w:hAnsi="Aptos" w:cs="Segoe UI"/>
          <w:color w:val="002060"/>
        </w:rPr>
      </w:pPr>
      <w:r w:rsidRPr="008A256F">
        <w:rPr>
          <w:rFonts w:ascii="Aptos" w:eastAsia="Times New Roman" w:hAnsi="Aptos" w:cs="Segoe UI"/>
          <w:color w:val="002060"/>
        </w:rPr>
        <w:t xml:space="preserve">The assessment follows a recent move by Fitch Ratings, which last month upgraded </w:t>
      </w:r>
      <w:proofErr w:type="spellStart"/>
      <w:r w:rsidRPr="008A256F">
        <w:rPr>
          <w:rFonts w:ascii="Aptos" w:eastAsia="Times New Roman" w:hAnsi="Aptos" w:cs="Segoe UI"/>
          <w:color w:val="002060"/>
        </w:rPr>
        <w:t>Việt</w:t>
      </w:r>
      <w:proofErr w:type="spellEnd"/>
      <w:r w:rsidRPr="008A256F">
        <w:rPr>
          <w:rFonts w:ascii="Aptos" w:eastAsia="Times New Roman" w:hAnsi="Aptos" w:cs="Segoe UI"/>
          <w:color w:val="002060"/>
        </w:rPr>
        <w:t xml:space="preserve"> Nam’s long-term senior secured debt ratings to BBB- from BB+. Fitch cited expectations of average recovery prospects for senior unsecured debt and additional recovery benefits from the secured portion of the debt instruments.</w:t>
      </w:r>
    </w:p>
    <w:p w14:paraId="7C38A1E9" w14:textId="77777777" w:rsidR="008A256F" w:rsidRPr="008A256F" w:rsidRDefault="008A256F" w:rsidP="008A256F">
      <w:pPr>
        <w:spacing w:after="450" w:line="288" w:lineRule="auto"/>
        <w:jc w:val="both"/>
        <w:rPr>
          <w:rFonts w:ascii="Aptos" w:eastAsia="Times New Roman" w:hAnsi="Aptos" w:cs="Segoe UI"/>
          <w:color w:val="002060"/>
        </w:rPr>
      </w:pPr>
      <w:r w:rsidRPr="008A256F">
        <w:rPr>
          <w:rFonts w:ascii="Aptos" w:eastAsia="Times New Roman" w:hAnsi="Aptos" w:cs="Segoe UI"/>
          <w:color w:val="002060"/>
        </w:rPr>
        <w:t xml:space="preserve">According to </w:t>
      </w:r>
      <w:proofErr w:type="spellStart"/>
      <w:r w:rsidRPr="008A256F">
        <w:rPr>
          <w:rFonts w:ascii="Aptos" w:eastAsia="Times New Roman" w:hAnsi="Aptos" w:cs="Segoe UI"/>
          <w:color w:val="002060"/>
        </w:rPr>
        <w:t>VinaCapital’s</w:t>
      </w:r>
      <w:proofErr w:type="spellEnd"/>
      <w:r w:rsidRPr="008A256F">
        <w:rPr>
          <w:rFonts w:ascii="Aptos" w:eastAsia="Times New Roman" w:hAnsi="Aptos" w:cs="Segoe UI"/>
          <w:color w:val="002060"/>
        </w:rPr>
        <w:t xml:space="preserve"> report, </w:t>
      </w:r>
      <w:proofErr w:type="spellStart"/>
      <w:r w:rsidRPr="008A256F">
        <w:rPr>
          <w:rFonts w:ascii="Aptos" w:eastAsia="Times New Roman" w:hAnsi="Aptos" w:cs="Segoe UI"/>
          <w:color w:val="002060"/>
        </w:rPr>
        <w:t>Việt</w:t>
      </w:r>
      <w:proofErr w:type="spellEnd"/>
      <w:r w:rsidRPr="008A256F">
        <w:rPr>
          <w:rFonts w:ascii="Aptos" w:eastAsia="Times New Roman" w:hAnsi="Aptos" w:cs="Segoe UI"/>
          <w:color w:val="002060"/>
        </w:rPr>
        <w:t xml:space="preserve"> Nam’s GDP expanded by 8 per cent in 2025 while the VN-Index surged 37 per cent. The Government expects growth to accelerate to 10 per cent in 2026 and </w:t>
      </w:r>
      <w:proofErr w:type="spellStart"/>
      <w:r w:rsidRPr="008A256F">
        <w:rPr>
          <w:rFonts w:ascii="Aptos" w:eastAsia="Times New Roman" w:hAnsi="Aptos" w:cs="Segoe UI"/>
          <w:color w:val="002060"/>
        </w:rPr>
        <w:t>VinaCapital</w:t>
      </w:r>
      <w:proofErr w:type="spellEnd"/>
      <w:r w:rsidRPr="008A256F">
        <w:rPr>
          <w:rFonts w:ascii="Aptos" w:eastAsia="Times New Roman" w:hAnsi="Aptos" w:cs="Segoe UI"/>
          <w:color w:val="002060"/>
        </w:rPr>
        <w:t xml:space="preserve"> also anticipates very strong performance this year, driven by a surge in infrastructure spending, resilient exports and a modest recovery in consumption.</w:t>
      </w:r>
    </w:p>
    <w:p w14:paraId="23A85B56" w14:textId="77777777" w:rsidR="008A256F" w:rsidRPr="008A256F" w:rsidRDefault="008A256F" w:rsidP="008A256F">
      <w:pPr>
        <w:spacing w:after="450" w:line="288" w:lineRule="auto"/>
        <w:jc w:val="both"/>
        <w:rPr>
          <w:rFonts w:ascii="Aptos" w:eastAsia="Times New Roman" w:hAnsi="Aptos" w:cs="Segoe UI"/>
          <w:color w:val="002060"/>
        </w:rPr>
      </w:pPr>
      <w:r w:rsidRPr="008A256F">
        <w:rPr>
          <w:rFonts w:ascii="Aptos" w:eastAsia="Times New Roman" w:hAnsi="Aptos" w:cs="Segoe UI"/>
          <w:color w:val="002060"/>
        </w:rPr>
        <w:t>“</w:t>
      </w:r>
      <w:proofErr w:type="spellStart"/>
      <w:r w:rsidRPr="008A256F">
        <w:rPr>
          <w:rFonts w:ascii="Aptos" w:eastAsia="Times New Roman" w:hAnsi="Aptos" w:cs="Segoe UI"/>
          <w:color w:val="002060"/>
        </w:rPr>
        <w:t>Việt</w:t>
      </w:r>
      <w:proofErr w:type="spellEnd"/>
      <w:r w:rsidRPr="008A256F">
        <w:rPr>
          <w:rFonts w:ascii="Aptos" w:eastAsia="Times New Roman" w:hAnsi="Aptos" w:cs="Segoe UI"/>
          <w:color w:val="002060"/>
        </w:rPr>
        <w:t xml:space="preserve"> Nam’s 2025 GDP growth was significantly boosted by an 80 per cent jump in exports of laptops and other high-tech items to the US and by a 42 per cent increase in both Chinese and Indian tourist arrivals, which masked mediocre domestic consumer spending growth. This year, we expect a </w:t>
      </w:r>
      <w:proofErr w:type="spellStart"/>
      <w:r w:rsidRPr="008A256F">
        <w:rPr>
          <w:rFonts w:ascii="Aptos" w:eastAsia="Times New Roman" w:hAnsi="Aptos" w:cs="Segoe UI"/>
          <w:color w:val="002060"/>
        </w:rPr>
        <w:t>normalisation</w:t>
      </w:r>
      <w:proofErr w:type="spellEnd"/>
      <w:r w:rsidRPr="008A256F">
        <w:rPr>
          <w:rFonts w:ascii="Aptos" w:eastAsia="Times New Roman" w:hAnsi="Aptos" w:cs="Segoe UI"/>
          <w:color w:val="002060"/>
        </w:rPr>
        <w:t xml:space="preserve"> of both consumption and export growth. These two dynamics will largely offset each other, while the lagged impact of an infrastructure spending surge in 2025 will support </w:t>
      </w:r>
      <w:proofErr w:type="spellStart"/>
      <w:r w:rsidRPr="008A256F">
        <w:rPr>
          <w:rFonts w:ascii="Aptos" w:eastAsia="Times New Roman" w:hAnsi="Aptos" w:cs="Segoe UI"/>
          <w:color w:val="002060"/>
        </w:rPr>
        <w:t>Việt</w:t>
      </w:r>
      <w:proofErr w:type="spellEnd"/>
      <w:r w:rsidRPr="008A256F">
        <w:rPr>
          <w:rFonts w:ascii="Aptos" w:eastAsia="Times New Roman" w:hAnsi="Aptos" w:cs="Segoe UI"/>
          <w:color w:val="002060"/>
        </w:rPr>
        <w:t xml:space="preserve"> Nam’s GDP growth in 2026," the report states.</w:t>
      </w:r>
    </w:p>
    <w:p w14:paraId="0CC4B71B" w14:textId="77777777" w:rsidR="008A256F" w:rsidRPr="008A256F" w:rsidRDefault="008A256F" w:rsidP="008A256F">
      <w:pPr>
        <w:spacing w:after="450" w:line="288" w:lineRule="auto"/>
        <w:jc w:val="both"/>
        <w:rPr>
          <w:rFonts w:ascii="Aptos" w:eastAsia="Times New Roman" w:hAnsi="Aptos" w:cs="Segoe UI"/>
          <w:color w:val="002060"/>
        </w:rPr>
      </w:pPr>
      <w:r w:rsidRPr="008A256F">
        <w:rPr>
          <w:rFonts w:ascii="Aptos" w:eastAsia="Times New Roman" w:hAnsi="Aptos" w:cs="Segoe UI"/>
          <w:color w:val="002060"/>
        </w:rPr>
        <w:t>“We also acknowledge that 10 per cent GDP growth represents an upside scenario, with the Government having a range of tools at its disposal that could support this outcome, particularly if additional stimulus measures are implemented.”</w:t>
      </w:r>
    </w:p>
    <w:p w14:paraId="71B13782" w14:textId="77777777" w:rsidR="008A256F" w:rsidRPr="008A256F" w:rsidRDefault="008A256F" w:rsidP="008A256F">
      <w:pPr>
        <w:spacing w:after="450" w:line="288" w:lineRule="auto"/>
        <w:jc w:val="both"/>
        <w:rPr>
          <w:rFonts w:ascii="Aptos" w:eastAsia="Times New Roman" w:hAnsi="Aptos" w:cs="Segoe UI"/>
          <w:color w:val="002060"/>
        </w:rPr>
      </w:pPr>
      <w:r w:rsidRPr="008A256F">
        <w:rPr>
          <w:rFonts w:ascii="Aptos" w:eastAsia="Times New Roman" w:hAnsi="Aptos" w:cs="Segoe UI"/>
          <w:color w:val="002060"/>
        </w:rPr>
        <w:lastRenderedPageBreak/>
        <w:t>Domestic consumption has remained weak over the past two years as households depleted savings during COVID and have since maintained an unusually high savings rate. While estimates vary, most analysts agree that elevated savings help explain the subdued pace of retail sales growth.</w:t>
      </w:r>
    </w:p>
    <w:p w14:paraId="36AB78FA" w14:textId="77777777" w:rsidR="008A256F" w:rsidRPr="008A256F" w:rsidRDefault="008A256F" w:rsidP="008A256F">
      <w:pPr>
        <w:spacing w:after="450" w:line="288" w:lineRule="auto"/>
        <w:jc w:val="both"/>
        <w:rPr>
          <w:rFonts w:ascii="Aptos" w:eastAsia="Times New Roman" w:hAnsi="Aptos" w:cs="Segoe UI"/>
          <w:color w:val="002060"/>
        </w:rPr>
      </w:pPr>
      <w:r w:rsidRPr="008A256F">
        <w:rPr>
          <w:rFonts w:ascii="Aptos" w:eastAsia="Times New Roman" w:hAnsi="Aptos" w:cs="Segoe UI"/>
          <w:color w:val="002060"/>
        </w:rPr>
        <w:t xml:space="preserve">“We expect consumption to return to more normal levels of growth, although not to boom, by mid-2026, at which point the savings rate will have been elevated for nearly three years, giving households ample time to rebuild a considerable portion of their pre-COVID savings. Furthermore, household incomes in </w:t>
      </w:r>
      <w:proofErr w:type="spellStart"/>
      <w:r w:rsidRPr="008A256F">
        <w:rPr>
          <w:rFonts w:ascii="Aptos" w:eastAsia="Times New Roman" w:hAnsi="Aptos" w:cs="Segoe UI"/>
          <w:color w:val="002060"/>
        </w:rPr>
        <w:t>Việt</w:t>
      </w:r>
      <w:proofErr w:type="spellEnd"/>
      <w:r w:rsidRPr="008A256F">
        <w:rPr>
          <w:rFonts w:ascii="Aptos" w:eastAsia="Times New Roman" w:hAnsi="Aptos" w:cs="Segoe UI"/>
          <w:color w:val="002060"/>
        </w:rPr>
        <w:t xml:space="preserve"> Nam have been growing at a circa 6–7 per cent pace over the last two years and the stock market and real estate prices were both up more than 30 per cent in 2025, all of which supports spending," the report added.</w:t>
      </w:r>
    </w:p>
    <w:p w14:paraId="6B4CE74F" w14:textId="77777777" w:rsidR="008A256F" w:rsidRPr="008A256F" w:rsidRDefault="008A256F" w:rsidP="008A256F">
      <w:pPr>
        <w:spacing w:after="450" w:line="288" w:lineRule="auto"/>
        <w:jc w:val="both"/>
        <w:rPr>
          <w:rFonts w:ascii="Aptos" w:eastAsia="Times New Roman" w:hAnsi="Aptos" w:cs="Segoe UI"/>
          <w:color w:val="002060"/>
        </w:rPr>
      </w:pPr>
      <w:r w:rsidRPr="008A256F">
        <w:rPr>
          <w:rFonts w:ascii="Aptos" w:eastAsia="Times New Roman" w:hAnsi="Aptos" w:cs="Segoe UI"/>
          <w:color w:val="002060"/>
        </w:rPr>
        <w:t>“The caveat to this forecast is that unlike our expectation for resilient exports for 2026, which is built on solid leading indicators, our consumption recovery forecast is built on more subjective econometric analysis. That said, the Government has a very ambitious GDP growth target for 2026 that can only be met with higher consumption growth. To date, the Government has taken some modest steps to support consumption, but it could easily do much more if needed.”</w:t>
      </w:r>
    </w:p>
    <w:p w14:paraId="5922078C" w14:textId="20DF2B87" w:rsidR="005F3A48" w:rsidRPr="008A256F" w:rsidRDefault="008A256F" w:rsidP="008A256F">
      <w:pPr>
        <w:spacing w:after="450" w:line="288" w:lineRule="auto"/>
        <w:jc w:val="both"/>
        <w:rPr>
          <w:rFonts w:ascii="Aptos" w:eastAsia="Times New Roman" w:hAnsi="Aptos" w:cs="Segoe UI"/>
          <w:color w:val="002060"/>
        </w:rPr>
      </w:pPr>
      <w:proofErr w:type="spellStart"/>
      <w:r w:rsidRPr="008A256F">
        <w:rPr>
          <w:rFonts w:ascii="Aptos" w:eastAsia="Times New Roman" w:hAnsi="Aptos" w:cs="Segoe UI"/>
          <w:color w:val="002060"/>
        </w:rPr>
        <w:t>VinaCapital</w:t>
      </w:r>
      <w:proofErr w:type="spellEnd"/>
      <w:r w:rsidRPr="008A256F">
        <w:rPr>
          <w:rFonts w:ascii="Aptos" w:eastAsia="Times New Roman" w:hAnsi="Aptos" w:cs="Segoe UI"/>
          <w:color w:val="002060"/>
        </w:rPr>
        <w:t xml:space="preserve"> noted that while the Government’s reform agenda is designed to lift long-term growth, it is also under pressure to deliver strong short-term results. Balancing both is challenging given the dynamic of short-term pain for long-term gain. As a result, the firm expects policymakers to rely heavily on three key levers it can realistically pull to boost GDP growth in 2026: consumption, infrastructure development and real estate development. </w:t>
      </w:r>
    </w:p>
    <w:p w14:paraId="62CEC4E6" w14:textId="77777777" w:rsidR="00791635" w:rsidRDefault="00EE121E" w:rsidP="00791635">
      <w:pPr>
        <w:spacing w:line="288" w:lineRule="auto"/>
        <w:jc w:val="right"/>
        <w:rPr>
          <w:rStyle w:val="Hyperlink"/>
          <w:rFonts w:ascii="Aptos" w:eastAsia="Malgun Gothic" w:hAnsi="Aptos" w:cs="Times New Roman"/>
          <w:color w:val="002060"/>
        </w:rPr>
      </w:pPr>
      <w:hyperlink w:anchor="_top" w:history="1">
        <w:r w:rsidR="00791635" w:rsidRPr="004C6CBE">
          <w:rPr>
            <w:rStyle w:val="Hyperlink"/>
            <w:rFonts w:ascii="Aptos" w:eastAsia="Malgun Gothic" w:hAnsi="Aptos" w:cs="Times New Roman"/>
            <w:color w:val="002060"/>
          </w:rPr>
          <w:t>Back to Top</w:t>
        </w:r>
      </w:hyperlink>
    </w:p>
    <w:p w14:paraId="741D07E7" w14:textId="77777777" w:rsidR="005551BB" w:rsidRDefault="005551BB" w:rsidP="005551BB">
      <w:pPr>
        <w:spacing w:after="161" w:line="240" w:lineRule="auto"/>
        <w:outlineLvl w:val="0"/>
        <w:rPr>
          <w:rFonts w:ascii="Times New Roman" w:eastAsia="Times New Roman" w:hAnsi="Times New Roman" w:cs="Times New Roman"/>
          <w:color w:val="000000"/>
          <w:kern w:val="36"/>
          <w:sz w:val="45"/>
          <w:szCs w:val="45"/>
        </w:rPr>
      </w:pPr>
    </w:p>
    <w:p w14:paraId="072F8C96" w14:textId="10F0774A" w:rsidR="005551BB" w:rsidRPr="005551BB" w:rsidRDefault="005551BB" w:rsidP="005551BB">
      <w:pPr>
        <w:spacing w:after="161" w:line="288" w:lineRule="auto"/>
        <w:jc w:val="both"/>
        <w:outlineLvl w:val="0"/>
        <w:rPr>
          <w:rFonts w:ascii="Aptos" w:eastAsia="Times New Roman" w:hAnsi="Aptos" w:cs="Times New Roman"/>
          <w:b/>
          <w:bCs/>
          <w:color w:val="002060"/>
          <w:kern w:val="36"/>
          <w:sz w:val="28"/>
          <w:szCs w:val="28"/>
        </w:rPr>
      </w:pPr>
      <w:bookmarkStart w:id="860" w:name="_Toc223006380"/>
      <w:proofErr w:type="spellStart"/>
      <w:r w:rsidRPr="005551BB">
        <w:rPr>
          <w:rFonts w:ascii="Aptos" w:eastAsia="Times New Roman" w:hAnsi="Aptos" w:cs="Times New Roman"/>
          <w:b/>
          <w:bCs/>
          <w:color w:val="002060"/>
          <w:kern w:val="36"/>
          <w:sz w:val="28"/>
          <w:szCs w:val="28"/>
        </w:rPr>
        <w:t>THACO</w:t>
      </w:r>
      <w:proofErr w:type="spellEnd"/>
      <w:r w:rsidRPr="005551BB">
        <w:rPr>
          <w:rFonts w:ascii="Aptos" w:eastAsia="Times New Roman" w:hAnsi="Aptos" w:cs="Times New Roman"/>
          <w:b/>
          <w:bCs/>
          <w:color w:val="002060"/>
          <w:kern w:val="36"/>
          <w:sz w:val="28"/>
          <w:szCs w:val="28"/>
        </w:rPr>
        <w:t xml:space="preserve"> opens $70 million manufacturing complex in Danang</w:t>
      </w:r>
      <w:bookmarkEnd w:id="860"/>
    </w:p>
    <w:p w14:paraId="7641AFD2" w14:textId="47F84B78" w:rsidR="005551BB" w:rsidRPr="005551BB" w:rsidRDefault="005551BB" w:rsidP="005551BB">
      <w:pPr>
        <w:spacing w:after="150" w:line="288" w:lineRule="auto"/>
        <w:jc w:val="both"/>
        <w:rPr>
          <w:rFonts w:ascii="Aptos" w:eastAsia="Times New Roman" w:hAnsi="Aptos" w:cs="Times New Roman"/>
          <w:i/>
          <w:iCs/>
          <w:color w:val="002060"/>
          <w:sz w:val="18"/>
          <w:szCs w:val="18"/>
        </w:rPr>
      </w:pPr>
      <w:r w:rsidRPr="005551BB">
        <w:rPr>
          <w:rFonts w:ascii="Aptos" w:eastAsia="Times New Roman" w:hAnsi="Aptos" w:cs="Times New Roman"/>
          <w:i/>
          <w:iCs/>
          <w:color w:val="002060"/>
          <w:sz w:val="18"/>
          <w:szCs w:val="18"/>
        </w:rPr>
        <w:t>VIR</w:t>
      </w:r>
    </w:p>
    <w:p w14:paraId="4D60AD98" w14:textId="77777777" w:rsidR="005551BB" w:rsidRPr="005551BB" w:rsidRDefault="005551BB" w:rsidP="005551BB">
      <w:pPr>
        <w:spacing w:after="150" w:line="288" w:lineRule="auto"/>
        <w:jc w:val="both"/>
        <w:rPr>
          <w:rFonts w:ascii="Aptos" w:eastAsia="Times New Roman" w:hAnsi="Aptos" w:cs="Times New Roman"/>
          <w:color w:val="002060"/>
        </w:rPr>
      </w:pPr>
    </w:p>
    <w:p w14:paraId="5102F025" w14:textId="77777777" w:rsidR="005551BB" w:rsidRPr="005551BB" w:rsidRDefault="005551BB" w:rsidP="005551BB">
      <w:pPr>
        <w:spacing w:after="150" w:line="288" w:lineRule="auto"/>
        <w:jc w:val="both"/>
        <w:rPr>
          <w:rFonts w:ascii="Aptos" w:eastAsia="Times New Roman" w:hAnsi="Aptos" w:cs="Times New Roman"/>
          <w:color w:val="002060"/>
        </w:rPr>
      </w:pPr>
      <w:r w:rsidRPr="005551BB">
        <w:rPr>
          <w:rFonts w:ascii="Aptos" w:eastAsia="Times New Roman" w:hAnsi="Aptos" w:cs="Times New Roman"/>
          <w:color w:val="002060"/>
        </w:rPr>
        <w:t>Truong Hai Auto Corporation has inaugurated three new factories in Danang with a total investment of $70 million, expanding its presence in the mechanics and supporting industries sector.</w:t>
      </w:r>
    </w:p>
    <w:p w14:paraId="25F9F161" w14:textId="77777777" w:rsidR="005551BB" w:rsidRPr="005551BB" w:rsidRDefault="005551BB" w:rsidP="005551BB">
      <w:pPr>
        <w:spacing w:after="225" w:line="288" w:lineRule="auto"/>
        <w:jc w:val="both"/>
        <w:rPr>
          <w:rFonts w:ascii="Aptos" w:eastAsia="Times New Roman" w:hAnsi="Aptos" w:cs="Times New Roman"/>
          <w:color w:val="002060"/>
        </w:rPr>
      </w:pPr>
      <w:r w:rsidRPr="005551BB">
        <w:rPr>
          <w:rFonts w:ascii="Aptos" w:eastAsia="Times New Roman" w:hAnsi="Aptos" w:cs="Times New Roman"/>
          <w:color w:val="002060"/>
        </w:rPr>
        <w:t>On February 23, Truong Hai Auto Corporation (</w:t>
      </w:r>
      <w:proofErr w:type="spellStart"/>
      <w:r w:rsidRPr="005551BB">
        <w:rPr>
          <w:rFonts w:ascii="Aptos" w:eastAsia="Times New Roman" w:hAnsi="Aptos" w:cs="Times New Roman"/>
          <w:color w:val="002060"/>
        </w:rPr>
        <w:fldChar w:fldCharType="begin"/>
      </w:r>
      <w:r w:rsidRPr="005551BB">
        <w:rPr>
          <w:rFonts w:ascii="Aptos" w:eastAsia="Times New Roman" w:hAnsi="Aptos" w:cs="Times New Roman"/>
          <w:color w:val="002060"/>
        </w:rPr>
        <w:instrText>HYPERLINK "https://vir.com.vn/search_enginer.html?p=search&amp;q=THACO%20&amp;s_cond=1&amp;f_d=&amp;t_d=24-02-2026"</w:instrText>
      </w:r>
      <w:r w:rsidRPr="005551BB">
        <w:rPr>
          <w:rFonts w:ascii="Aptos" w:eastAsia="Times New Roman" w:hAnsi="Aptos" w:cs="Times New Roman"/>
          <w:color w:val="002060"/>
        </w:rPr>
      </w:r>
      <w:r w:rsidRPr="005551BB">
        <w:rPr>
          <w:rFonts w:ascii="Aptos" w:eastAsia="Times New Roman" w:hAnsi="Aptos" w:cs="Times New Roman"/>
          <w:color w:val="002060"/>
        </w:rPr>
        <w:fldChar w:fldCharType="separate"/>
      </w:r>
      <w:r w:rsidRPr="005551BB">
        <w:rPr>
          <w:rFonts w:ascii="Aptos" w:eastAsia="Times New Roman" w:hAnsi="Aptos" w:cs="Times New Roman"/>
          <w:color w:val="002060"/>
          <w:u w:val="single"/>
        </w:rPr>
        <w:t>THACO</w:t>
      </w:r>
      <w:proofErr w:type="spellEnd"/>
      <w:r w:rsidRPr="005551BB">
        <w:rPr>
          <w:rFonts w:ascii="Aptos" w:eastAsia="Times New Roman" w:hAnsi="Aptos" w:cs="Times New Roman"/>
          <w:color w:val="002060"/>
        </w:rPr>
        <w:fldChar w:fldCharType="end"/>
      </w:r>
      <w:r w:rsidRPr="005551BB">
        <w:rPr>
          <w:rFonts w:ascii="Aptos" w:eastAsia="Times New Roman" w:hAnsi="Aptos" w:cs="Times New Roman"/>
          <w:color w:val="002060"/>
        </w:rPr>
        <w:t xml:space="preserve">) opened the facilities under </w:t>
      </w:r>
      <w:proofErr w:type="spellStart"/>
      <w:r w:rsidRPr="005551BB">
        <w:rPr>
          <w:rFonts w:ascii="Aptos" w:eastAsia="Times New Roman" w:hAnsi="Aptos" w:cs="Times New Roman"/>
          <w:color w:val="002060"/>
        </w:rPr>
        <w:t>THACO</w:t>
      </w:r>
      <w:proofErr w:type="spellEnd"/>
      <w:r w:rsidRPr="005551BB">
        <w:rPr>
          <w:rFonts w:ascii="Aptos" w:eastAsia="Times New Roman" w:hAnsi="Aptos" w:cs="Times New Roman"/>
          <w:color w:val="002060"/>
        </w:rPr>
        <w:t xml:space="preserve"> Industries, a subsidiary </w:t>
      </w:r>
      <w:proofErr w:type="spellStart"/>
      <w:r w:rsidRPr="005551BB">
        <w:rPr>
          <w:rFonts w:ascii="Aptos" w:eastAsia="Times New Roman" w:hAnsi="Aptos" w:cs="Times New Roman"/>
          <w:color w:val="002060"/>
        </w:rPr>
        <w:t>specialising</w:t>
      </w:r>
      <w:proofErr w:type="spellEnd"/>
      <w:r w:rsidRPr="005551BB">
        <w:rPr>
          <w:rFonts w:ascii="Aptos" w:eastAsia="Times New Roman" w:hAnsi="Aptos" w:cs="Times New Roman"/>
          <w:color w:val="002060"/>
        </w:rPr>
        <w:t xml:space="preserve"> in mechanical manufacturing and supporting industries. The development marks a significant expansion of the corporation's industrial footprint in central Vietnam.</w:t>
      </w:r>
    </w:p>
    <w:p w14:paraId="00ADCF57" w14:textId="77777777" w:rsidR="005551BB" w:rsidRPr="005551BB" w:rsidRDefault="005551BB" w:rsidP="005551BB">
      <w:pPr>
        <w:spacing w:after="225" w:line="288" w:lineRule="auto"/>
        <w:jc w:val="both"/>
        <w:rPr>
          <w:rFonts w:ascii="Aptos" w:eastAsia="Times New Roman" w:hAnsi="Aptos" w:cs="Times New Roman"/>
          <w:color w:val="002060"/>
        </w:rPr>
      </w:pPr>
      <w:r w:rsidRPr="005551BB">
        <w:rPr>
          <w:rFonts w:ascii="Aptos" w:eastAsia="Times New Roman" w:hAnsi="Aptos" w:cs="Times New Roman"/>
          <w:color w:val="002060"/>
        </w:rPr>
        <w:t xml:space="preserve">The household equipment factory, spanning 25,000 square </w:t>
      </w:r>
      <w:proofErr w:type="spellStart"/>
      <w:r w:rsidRPr="005551BB">
        <w:rPr>
          <w:rFonts w:ascii="Aptos" w:eastAsia="Times New Roman" w:hAnsi="Aptos" w:cs="Times New Roman"/>
          <w:color w:val="002060"/>
        </w:rPr>
        <w:t>metres</w:t>
      </w:r>
      <w:proofErr w:type="spellEnd"/>
      <w:r w:rsidRPr="005551BB">
        <w:rPr>
          <w:rFonts w:ascii="Aptos" w:eastAsia="Times New Roman" w:hAnsi="Aptos" w:cs="Times New Roman"/>
          <w:color w:val="002060"/>
        </w:rPr>
        <w:t>, represents a $20 million investment. It is designed to produce 150,000 fitness equipment products, 140,000 supermarket trolleys, 100,000 household appliances, 50,000 sets of high-end furniture and urban rail seats, along with various mechanical components annually.</w:t>
      </w:r>
    </w:p>
    <w:p w14:paraId="26F7F075" w14:textId="77777777" w:rsidR="005551BB" w:rsidRPr="005551BB" w:rsidRDefault="005551BB" w:rsidP="005551BB">
      <w:pPr>
        <w:spacing w:after="225" w:line="288" w:lineRule="auto"/>
        <w:jc w:val="both"/>
        <w:rPr>
          <w:rFonts w:ascii="Aptos" w:eastAsia="Times New Roman" w:hAnsi="Aptos" w:cs="Times New Roman"/>
          <w:color w:val="002060"/>
        </w:rPr>
      </w:pPr>
      <w:r w:rsidRPr="005551BB">
        <w:rPr>
          <w:rFonts w:ascii="Aptos" w:eastAsia="Times New Roman" w:hAnsi="Aptos" w:cs="Times New Roman"/>
          <w:color w:val="002060"/>
        </w:rPr>
        <w:t xml:space="preserve">The $30 million </w:t>
      </w:r>
      <w:proofErr w:type="spellStart"/>
      <w:r w:rsidRPr="005551BB">
        <w:rPr>
          <w:rFonts w:ascii="Aptos" w:eastAsia="Times New Roman" w:hAnsi="Aptos" w:cs="Times New Roman"/>
          <w:color w:val="002060"/>
        </w:rPr>
        <w:t>specialised</w:t>
      </w:r>
      <w:proofErr w:type="spellEnd"/>
      <w:r w:rsidRPr="005551BB">
        <w:rPr>
          <w:rFonts w:ascii="Aptos" w:eastAsia="Times New Roman" w:hAnsi="Aptos" w:cs="Times New Roman"/>
          <w:color w:val="002060"/>
        </w:rPr>
        <w:t xml:space="preserve"> equipment factory spans 60,000 </w:t>
      </w:r>
      <w:proofErr w:type="spellStart"/>
      <w:r w:rsidRPr="005551BB">
        <w:rPr>
          <w:rFonts w:ascii="Aptos" w:eastAsia="Times New Roman" w:hAnsi="Aptos" w:cs="Times New Roman"/>
          <w:color w:val="002060"/>
        </w:rPr>
        <w:t>sq.m</w:t>
      </w:r>
      <w:proofErr w:type="spellEnd"/>
      <w:r w:rsidRPr="005551BB">
        <w:rPr>
          <w:rFonts w:ascii="Aptos" w:eastAsia="Times New Roman" w:hAnsi="Aptos" w:cs="Times New Roman"/>
          <w:color w:val="002060"/>
        </w:rPr>
        <w:t xml:space="preserve">, with an annual capacity of 75,000 industrial and agricultural equipment units, </w:t>
      </w:r>
      <w:proofErr w:type="spellStart"/>
      <w:r w:rsidRPr="005551BB">
        <w:rPr>
          <w:rFonts w:ascii="Aptos" w:eastAsia="Times New Roman" w:hAnsi="Aptos" w:cs="Times New Roman"/>
          <w:color w:val="002060"/>
        </w:rPr>
        <w:t>specialised</w:t>
      </w:r>
      <w:proofErr w:type="spellEnd"/>
      <w:r w:rsidRPr="005551BB">
        <w:rPr>
          <w:rFonts w:ascii="Aptos" w:eastAsia="Times New Roman" w:hAnsi="Aptos" w:cs="Times New Roman"/>
          <w:color w:val="002060"/>
        </w:rPr>
        <w:t xml:space="preserve"> mechanical structures, and 23,000 </w:t>
      </w:r>
      <w:proofErr w:type="spellStart"/>
      <w:r w:rsidRPr="005551BB">
        <w:rPr>
          <w:rFonts w:ascii="Aptos" w:eastAsia="Times New Roman" w:hAnsi="Aptos" w:cs="Times New Roman"/>
          <w:color w:val="002060"/>
        </w:rPr>
        <w:t>tonnes</w:t>
      </w:r>
      <w:proofErr w:type="spellEnd"/>
      <w:r w:rsidRPr="005551BB">
        <w:rPr>
          <w:rFonts w:ascii="Aptos" w:eastAsia="Times New Roman" w:hAnsi="Aptos" w:cs="Times New Roman"/>
          <w:color w:val="002060"/>
        </w:rPr>
        <w:t xml:space="preserve"> of steel structures.</w:t>
      </w:r>
    </w:p>
    <w:p w14:paraId="10D086A9" w14:textId="77777777" w:rsidR="005551BB" w:rsidRPr="005551BB" w:rsidRDefault="005551BB" w:rsidP="005551BB">
      <w:pPr>
        <w:spacing w:after="225" w:line="288" w:lineRule="auto"/>
        <w:jc w:val="both"/>
        <w:rPr>
          <w:rFonts w:ascii="Aptos" w:eastAsia="Times New Roman" w:hAnsi="Aptos" w:cs="Times New Roman"/>
          <w:color w:val="002060"/>
        </w:rPr>
      </w:pPr>
      <w:r w:rsidRPr="005551BB">
        <w:rPr>
          <w:rFonts w:ascii="Aptos" w:eastAsia="Times New Roman" w:hAnsi="Aptos" w:cs="Times New Roman"/>
          <w:color w:val="002060"/>
        </w:rPr>
        <w:lastRenderedPageBreak/>
        <w:t xml:space="preserve">Both factories feature state-of-the-art, fully automated equipment – including surface treatment lines, closed-loop spray booth systems, and automated material feeding – integrated with production management software to advance towards a smart factory model meeting stringent export </w:t>
      </w:r>
      <w:proofErr w:type="gramStart"/>
      <w:r w:rsidRPr="005551BB">
        <w:rPr>
          <w:rFonts w:ascii="Aptos" w:eastAsia="Times New Roman" w:hAnsi="Aptos" w:cs="Times New Roman"/>
          <w:color w:val="002060"/>
        </w:rPr>
        <w:t>standards</w:t>
      </w:r>
      <w:proofErr w:type="gramEnd"/>
      <w:r w:rsidRPr="005551BB">
        <w:rPr>
          <w:rFonts w:ascii="Aptos" w:eastAsia="Times New Roman" w:hAnsi="Aptos" w:cs="Times New Roman"/>
          <w:color w:val="002060"/>
        </w:rPr>
        <w:t>.</w:t>
      </w:r>
    </w:p>
    <w:p w14:paraId="2ACAAB52" w14:textId="77777777" w:rsidR="005551BB" w:rsidRPr="005551BB" w:rsidRDefault="005551BB" w:rsidP="005551BB">
      <w:pPr>
        <w:spacing w:after="225" w:line="288" w:lineRule="auto"/>
        <w:jc w:val="both"/>
        <w:rPr>
          <w:rFonts w:ascii="Aptos" w:eastAsia="Times New Roman" w:hAnsi="Aptos" w:cs="Times New Roman"/>
          <w:color w:val="002060"/>
        </w:rPr>
      </w:pPr>
      <w:r w:rsidRPr="005551BB">
        <w:rPr>
          <w:rFonts w:ascii="Aptos" w:eastAsia="Times New Roman" w:hAnsi="Aptos" w:cs="Times New Roman"/>
          <w:color w:val="002060"/>
        </w:rPr>
        <w:t>The company is targeting combined export revenue of $60 million from the two factories this year, with the figure expected to reach $100 million in 2027. Exports will be shipped directly to international partners and indirectly through foreign-invested enterprises.</w:t>
      </w:r>
    </w:p>
    <w:p w14:paraId="3C1B212C" w14:textId="77777777" w:rsidR="005551BB" w:rsidRPr="005551BB" w:rsidRDefault="005551BB" w:rsidP="005551BB">
      <w:pPr>
        <w:spacing w:after="225" w:line="288" w:lineRule="auto"/>
        <w:jc w:val="both"/>
        <w:rPr>
          <w:rFonts w:ascii="Aptos" w:eastAsia="Times New Roman" w:hAnsi="Aptos" w:cs="Times New Roman"/>
          <w:color w:val="002060"/>
        </w:rPr>
      </w:pPr>
      <w:r w:rsidRPr="005551BB">
        <w:rPr>
          <w:rFonts w:ascii="Aptos" w:eastAsia="Times New Roman" w:hAnsi="Aptos" w:cs="Times New Roman"/>
          <w:color w:val="002060"/>
        </w:rPr>
        <w:t xml:space="preserve">The third new facility, an automotive interiors factory, spans 7,000 </w:t>
      </w:r>
      <w:proofErr w:type="spellStart"/>
      <w:r w:rsidRPr="005551BB">
        <w:rPr>
          <w:rFonts w:ascii="Aptos" w:eastAsia="Times New Roman" w:hAnsi="Aptos" w:cs="Times New Roman"/>
          <w:color w:val="002060"/>
        </w:rPr>
        <w:t>sq.m</w:t>
      </w:r>
      <w:proofErr w:type="spellEnd"/>
      <w:r w:rsidRPr="005551BB">
        <w:rPr>
          <w:rFonts w:ascii="Aptos" w:eastAsia="Times New Roman" w:hAnsi="Aptos" w:cs="Times New Roman"/>
          <w:color w:val="002060"/>
        </w:rPr>
        <w:t xml:space="preserve"> with a total investment of $20 million. It has an annual capacity exceeding 100,000 product sets, including air-conditioning systems, floor mats, and headliners.</w:t>
      </w:r>
    </w:p>
    <w:p w14:paraId="77D475E7" w14:textId="77777777" w:rsidR="005551BB" w:rsidRPr="005551BB" w:rsidRDefault="005551BB" w:rsidP="005551BB">
      <w:pPr>
        <w:spacing w:after="225" w:line="288" w:lineRule="auto"/>
        <w:jc w:val="both"/>
        <w:rPr>
          <w:rFonts w:ascii="Aptos" w:eastAsia="Times New Roman" w:hAnsi="Aptos" w:cs="Times New Roman"/>
          <w:color w:val="002060"/>
        </w:rPr>
      </w:pPr>
      <w:r w:rsidRPr="005551BB">
        <w:rPr>
          <w:rFonts w:ascii="Aptos" w:eastAsia="Times New Roman" w:hAnsi="Aptos" w:cs="Times New Roman"/>
          <w:color w:val="002060"/>
        </w:rPr>
        <w:t xml:space="preserve">The factory is expected to raise the </w:t>
      </w:r>
      <w:proofErr w:type="spellStart"/>
      <w:r w:rsidRPr="005551BB">
        <w:rPr>
          <w:rFonts w:ascii="Aptos" w:eastAsia="Times New Roman" w:hAnsi="Aptos" w:cs="Times New Roman"/>
          <w:color w:val="002060"/>
        </w:rPr>
        <w:t>localisation</w:t>
      </w:r>
      <w:proofErr w:type="spellEnd"/>
      <w:r w:rsidRPr="005551BB">
        <w:rPr>
          <w:rFonts w:ascii="Aptos" w:eastAsia="Times New Roman" w:hAnsi="Aptos" w:cs="Times New Roman"/>
          <w:color w:val="002060"/>
        </w:rPr>
        <w:t xml:space="preserve"> rate of automotive components and enable </w:t>
      </w:r>
      <w:proofErr w:type="spellStart"/>
      <w:r w:rsidRPr="005551BB">
        <w:rPr>
          <w:rFonts w:ascii="Aptos" w:eastAsia="Times New Roman" w:hAnsi="Aptos" w:cs="Times New Roman"/>
          <w:color w:val="002060"/>
        </w:rPr>
        <w:t>THACO</w:t>
      </w:r>
      <w:proofErr w:type="spellEnd"/>
      <w:r w:rsidRPr="005551BB">
        <w:rPr>
          <w:rFonts w:ascii="Aptos" w:eastAsia="Times New Roman" w:hAnsi="Aptos" w:cs="Times New Roman"/>
          <w:color w:val="002060"/>
        </w:rPr>
        <w:t xml:space="preserve"> to participate in the international supply chain of global automobile brands.</w:t>
      </w:r>
    </w:p>
    <w:p w14:paraId="60158F14" w14:textId="67E9DC55" w:rsidR="006B37BA" w:rsidRPr="005551BB" w:rsidRDefault="005551BB" w:rsidP="005551BB">
      <w:pPr>
        <w:spacing w:line="288" w:lineRule="auto"/>
        <w:jc w:val="both"/>
        <w:rPr>
          <w:rFonts w:ascii="Aptos" w:eastAsia="Times New Roman" w:hAnsi="Aptos" w:cs="Times New Roman"/>
          <w:color w:val="002060"/>
        </w:rPr>
      </w:pPr>
      <w:r w:rsidRPr="005551BB">
        <w:rPr>
          <w:rFonts w:ascii="Aptos" w:eastAsia="Times New Roman" w:hAnsi="Aptos" w:cs="Times New Roman"/>
          <w:color w:val="002060"/>
        </w:rPr>
        <w:t xml:space="preserve">With the inauguration of the three facilities, </w:t>
      </w:r>
      <w:proofErr w:type="spellStart"/>
      <w:r w:rsidRPr="005551BB">
        <w:rPr>
          <w:rFonts w:ascii="Aptos" w:eastAsia="Times New Roman" w:hAnsi="Aptos" w:cs="Times New Roman"/>
          <w:color w:val="002060"/>
        </w:rPr>
        <w:t>THACO</w:t>
      </w:r>
      <w:proofErr w:type="spellEnd"/>
      <w:r w:rsidRPr="005551BB">
        <w:rPr>
          <w:rFonts w:ascii="Aptos" w:eastAsia="Times New Roman" w:hAnsi="Aptos" w:cs="Times New Roman"/>
          <w:color w:val="002060"/>
        </w:rPr>
        <w:t xml:space="preserve"> Industries is positioned to strengthen its manufacturing capacity and competitiveness significantly. The expansion underscores the company's commitment to mastering heavy industrial production technologies and automobile component manufacturing.</w:t>
      </w:r>
    </w:p>
    <w:p w14:paraId="29BCD900" w14:textId="77777777" w:rsidR="00652432" w:rsidRDefault="00652432" w:rsidP="005551BB">
      <w:pPr>
        <w:spacing w:line="288" w:lineRule="auto"/>
        <w:jc w:val="center"/>
        <w:rPr>
          <w:rStyle w:val="Hyperlink"/>
          <w:rFonts w:ascii="Aptos" w:eastAsia="Malgun Gothic" w:hAnsi="Aptos" w:cs="Times New Roman"/>
          <w:color w:val="002060"/>
        </w:rPr>
      </w:pPr>
    </w:p>
    <w:bookmarkStart w:id="861" w:name="_Toc194671400"/>
    <w:bookmarkStart w:id="862" w:name="_Toc195192236"/>
    <w:bookmarkStart w:id="863" w:name="_Toc195795578"/>
    <w:bookmarkStart w:id="864" w:name="_Toc196395805"/>
    <w:bookmarkStart w:id="865" w:name="_Toc197596764"/>
    <w:bookmarkStart w:id="866" w:name="_Toc198210652"/>
    <w:bookmarkStart w:id="867" w:name="_Toc463600478"/>
    <w:bookmarkStart w:id="868" w:name="_Toc464205364"/>
    <w:bookmarkStart w:id="869" w:name="_Toc464808177"/>
    <w:bookmarkStart w:id="870" w:name="_Toc465341597"/>
    <w:bookmarkStart w:id="871" w:name="_Toc466017262"/>
    <w:bookmarkStart w:id="872" w:name="_Toc466625790"/>
    <w:bookmarkStart w:id="873" w:name="_Toc467231593"/>
    <w:bookmarkStart w:id="874" w:name="_Toc467832931"/>
    <w:bookmarkStart w:id="875" w:name="_Toc468440618"/>
    <w:bookmarkStart w:id="876" w:name="_Toc469043519"/>
    <w:bookmarkStart w:id="877" w:name="_Toc469650550"/>
    <w:bookmarkStart w:id="878" w:name="_Toc472071560"/>
    <w:bookmarkStart w:id="879" w:name="_Toc472672626"/>
    <w:bookmarkStart w:id="880" w:name="_Toc473881024"/>
    <w:bookmarkStart w:id="881" w:name="_Toc474487619"/>
    <w:bookmarkStart w:id="882" w:name="_Toc475090275"/>
    <w:bookmarkStart w:id="883" w:name="_Toc475697901"/>
    <w:bookmarkStart w:id="884" w:name="_Toc476302026"/>
    <w:bookmarkStart w:id="885" w:name="_Toc476906667"/>
    <w:bookmarkStart w:id="886" w:name="_Toc477510757"/>
    <w:bookmarkStart w:id="887" w:name="_Toc478116129"/>
    <w:bookmarkStart w:id="888" w:name="_Toc478723302"/>
    <w:bookmarkStart w:id="889" w:name="_Toc479329721"/>
    <w:bookmarkStart w:id="890" w:name="_Toc479930335"/>
    <w:bookmarkStart w:id="891" w:name="_Toc480539779"/>
    <w:bookmarkStart w:id="892" w:name="_Toc481140005"/>
    <w:bookmarkStart w:id="893" w:name="_Toc482351765"/>
    <w:bookmarkStart w:id="894" w:name="_Toc482956642"/>
    <w:bookmarkStart w:id="895" w:name="_Toc484166274"/>
    <w:bookmarkStart w:id="896" w:name="_Toc484769044"/>
    <w:bookmarkStart w:id="897" w:name="_Toc485286973"/>
    <w:bookmarkStart w:id="898" w:name="_Toc485978057"/>
    <w:bookmarkStart w:id="899" w:name="_Toc486585208"/>
    <w:bookmarkStart w:id="900" w:name="_Toc487190859"/>
    <w:bookmarkStart w:id="901" w:name="_Toc487793137"/>
    <w:bookmarkStart w:id="902" w:name="_Toc488396115"/>
    <w:bookmarkStart w:id="903" w:name="_Toc489005367"/>
    <w:bookmarkStart w:id="904" w:name="_Toc489606931"/>
    <w:bookmarkStart w:id="905" w:name="_Toc490213913"/>
    <w:bookmarkStart w:id="906" w:name="_Toc490819138"/>
    <w:bookmarkStart w:id="907" w:name="_Toc491423502"/>
    <w:bookmarkStart w:id="908" w:name="_Toc492024950"/>
    <w:bookmarkStart w:id="909" w:name="_Toc492631844"/>
    <w:bookmarkStart w:id="910" w:name="_Toc493236274"/>
    <w:bookmarkStart w:id="911" w:name="_Toc493837679"/>
    <w:bookmarkStart w:id="912" w:name="_Toc495050086"/>
    <w:bookmarkStart w:id="913" w:name="_Toc495652591"/>
    <w:bookmarkStart w:id="914" w:name="_Toc496261443"/>
    <w:bookmarkStart w:id="915" w:name="_Toc496867238"/>
    <w:bookmarkStart w:id="916" w:name="_Toc497465801"/>
    <w:bookmarkStart w:id="917" w:name="_Toc498081902"/>
    <w:bookmarkStart w:id="918" w:name="_Toc498682160"/>
    <w:bookmarkStart w:id="919" w:name="_Toc499287557"/>
    <w:bookmarkStart w:id="920" w:name="_Toc499891999"/>
    <w:bookmarkStart w:id="921" w:name="_Toc500496799"/>
    <w:bookmarkStart w:id="922" w:name="_Toc501099743"/>
    <w:bookmarkStart w:id="923" w:name="_Toc501705026"/>
    <w:bookmarkStart w:id="924" w:name="_Toc532560727"/>
    <w:bookmarkStart w:id="925" w:name="_Toc533156853"/>
    <w:bookmarkStart w:id="926" w:name="_Toc533775406"/>
    <w:bookmarkStart w:id="927" w:name="_Toc534372214"/>
    <w:bookmarkStart w:id="928" w:name="_Toc534972014"/>
    <w:bookmarkStart w:id="929" w:name="_Toc535582786"/>
    <w:bookmarkStart w:id="930" w:name="_Toc536187108"/>
    <w:bookmarkStart w:id="931" w:name="_Toc536785396"/>
    <w:bookmarkStart w:id="932" w:name="_Toc1130214"/>
    <w:bookmarkStart w:id="933" w:name="_Toc1727990"/>
    <w:bookmarkStart w:id="934" w:name="_Toc2333101"/>
    <w:bookmarkStart w:id="935" w:name="_Toc2937890"/>
    <w:bookmarkStart w:id="936" w:name="_Toc3543100"/>
    <w:bookmarkStart w:id="937" w:name="_Toc4146395"/>
    <w:bookmarkStart w:id="938" w:name="_Toc4758763"/>
    <w:bookmarkStart w:id="939" w:name="_Toc5357731"/>
    <w:bookmarkStart w:id="940" w:name="_Toc5961968"/>
    <w:bookmarkStart w:id="941" w:name="_Toc6565244"/>
    <w:bookmarkStart w:id="942" w:name="_Toc7172948"/>
    <w:bookmarkStart w:id="943" w:name="_Toc7776795"/>
    <w:bookmarkStart w:id="944" w:name="_Toc8385543"/>
    <w:bookmarkStart w:id="945" w:name="_Toc8986694"/>
    <w:bookmarkStart w:id="946" w:name="_Toc9591448"/>
    <w:bookmarkStart w:id="947" w:name="_Toc10800783"/>
    <w:bookmarkStart w:id="948" w:name="_Toc11403503"/>
    <w:bookmarkStart w:id="949" w:name="_Toc12010889"/>
    <w:bookmarkStart w:id="950" w:name="_Toc12614888"/>
    <w:bookmarkStart w:id="951" w:name="_Toc13219390"/>
    <w:bookmarkStart w:id="952" w:name="_Toc13830741"/>
    <w:bookmarkStart w:id="953" w:name="_Toc14429416"/>
    <w:bookmarkStart w:id="954" w:name="_Toc15034925"/>
    <w:bookmarkStart w:id="955" w:name="_Toc15638242"/>
    <w:bookmarkStart w:id="956" w:name="_Toc16243824"/>
    <w:bookmarkStart w:id="957" w:name="_Toc17453996"/>
    <w:bookmarkStart w:id="958" w:name="_Toc18058964"/>
    <w:bookmarkStart w:id="959" w:name="_Toc18664192"/>
    <w:bookmarkStart w:id="960" w:name="_Toc19268596"/>
    <w:bookmarkStart w:id="961" w:name="_Toc19868202"/>
    <w:bookmarkStart w:id="962" w:name="_Toc20476484"/>
    <w:bookmarkStart w:id="963" w:name="_Toc21082718"/>
    <w:bookmarkStart w:id="964" w:name="_Toc21596850"/>
    <w:bookmarkStart w:id="965" w:name="_Toc22292250"/>
    <w:bookmarkStart w:id="966" w:name="_Toc22902075"/>
    <w:bookmarkStart w:id="967" w:name="_Toc23500788"/>
    <w:bookmarkStart w:id="968" w:name="_Toc24106272"/>
    <w:bookmarkStart w:id="969" w:name="_Toc24708421"/>
    <w:bookmarkStart w:id="970" w:name="_Toc25235416"/>
    <w:bookmarkStart w:id="971" w:name="_Toc25920246"/>
    <w:bookmarkStart w:id="972" w:name="_Toc26524523"/>
    <w:bookmarkStart w:id="973" w:name="_Toc27130360"/>
    <w:bookmarkStart w:id="974" w:name="_Toc28949359"/>
    <w:bookmarkStart w:id="975" w:name="_Toc29553166"/>
    <w:bookmarkStart w:id="976" w:name="_Toc31365286"/>
    <w:bookmarkStart w:id="977" w:name="_Toc31968693"/>
    <w:bookmarkStart w:id="978" w:name="_Toc33177783"/>
    <w:bookmarkStart w:id="979" w:name="_Toc33784207"/>
    <w:bookmarkStart w:id="980" w:name="_Toc34387343"/>
    <w:bookmarkStart w:id="981" w:name="_Toc34992458"/>
    <w:bookmarkStart w:id="982" w:name="_Toc36200910"/>
    <w:bookmarkStart w:id="983" w:name="_Toc36804871"/>
    <w:bookmarkStart w:id="984" w:name="_Toc37412100"/>
    <w:bookmarkStart w:id="985" w:name="_Toc38016894"/>
    <w:bookmarkStart w:id="986" w:name="_Toc38623250"/>
    <w:bookmarkStart w:id="987" w:name="_Toc47007114"/>
    <w:bookmarkStart w:id="988" w:name="_Toc47608057"/>
    <w:bookmarkStart w:id="989" w:name="_Toc48219516"/>
    <w:bookmarkStart w:id="990" w:name="_Toc48816719"/>
    <w:bookmarkStart w:id="991" w:name="_Toc49427958"/>
    <w:bookmarkStart w:id="992" w:name="_Toc50027108"/>
    <w:bookmarkStart w:id="993" w:name="_Toc50638516"/>
    <w:bookmarkStart w:id="994" w:name="_Toc51235723"/>
    <w:bookmarkStart w:id="995" w:name="_Toc51848412"/>
    <w:bookmarkStart w:id="996" w:name="_Toc52453558"/>
    <w:bookmarkStart w:id="997" w:name="_Toc53055809"/>
    <w:bookmarkStart w:id="998" w:name="_Toc53660731"/>
    <w:bookmarkStart w:id="999" w:name="_Toc54259231"/>
    <w:bookmarkStart w:id="1000" w:name="_Toc54865648"/>
    <w:bookmarkStart w:id="1001" w:name="_Toc55477675"/>
    <w:bookmarkStart w:id="1002" w:name="_Toc56073562"/>
    <w:bookmarkStart w:id="1003" w:name="_Toc56678769"/>
    <w:bookmarkStart w:id="1004" w:name="_Toc57284480"/>
    <w:bookmarkStart w:id="1005" w:name="_Toc57895630"/>
    <w:bookmarkStart w:id="1006" w:name="_Toc58494294"/>
    <w:bookmarkStart w:id="1007" w:name="_Toc59104496"/>
    <w:bookmarkStart w:id="1008" w:name="_Toc60922256"/>
    <w:bookmarkStart w:id="1009" w:name="_Toc61518222"/>
    <w:bookmarkStart w:id="1010" w:name="_Toc62129066"/>
    <w:bookmarkStart w:id="1011" w:name="_Toc62734944"/>
    <w:bookmarkStart w:id="1012" w:name="_Toc63333219"/>
    <w:bookmarkStart w:id="1013" w:name="_Toc65152056"/>
    <w:bookmarkStart w:id="1014" w:name="_Toc65759412"/>
    <w:bookmarkStart w:id="1015" w:name="_Toc66363552"/>
    <w:bookmarkStart w:id="1016" w:name="_Toc66960055"/>
    <w:bookmarkStart w:id="1017" w:name="_Toc67652153"/>
    <w:bookmarkStart w:id="1018" w:name="_Toc68179927"/>
    <w:bookmarkStart w:id="1019" w:name="_Toc68774156"/>
    <w:bookmarkStart w:id="1020" w:name="_Toc69386922"/>
    <w:bookmarkStart w:id="1021" w:name="_Toc69991775"/>
    <w:bookmarkStart w:id="1022" w:name="_Toc70509847"/>
    <w:bookmarkStart w:id="1023" w:name="_Toc71207403"/>
    <w:bookmarkStart w:id="1024" w:name="_Toc71799314"/>
    <w:bookmarkStart w:id="1025" w:name="_Toc72414983"/>
    <w:bookmarkStart w:id="1026" w:name="_Toc73015461"/>
    <w:bookmarkStart w:id="1027" w:name="_Toc73618184"/>
    <w:bookmarkStart w:id="1028" w:name="_Toc74224519"/>
    <w:bookmarkStart w:id="1029" w:name="_Toc74836038"/>
    <w:bookmarkStart w:id="1030" w:name="_Toc75439630"/>
    <w:bookmarkStart w:id="1031" w:name="_Toc76033397"/>
    <w:bookmarkStart w:id="1032" w:name="_Toc76568190"/>
    <w:bookmarkStart w:id="1033" w:name="_Toc77249830"/>
    <w:bookmarkStart w:id="1034" w:name="_Toc77848125"/>
    <w:bookmarkStart w:id="1035" w:name="_Toc78458420"/>
    <w:bookmarkStart w:id="1036" w:name="_Toc79065743"/>
    <w:bookmarkStart w:id="1037" w:name="_Toc79674836"/>
    <w:bookmarkStart w:id="1038" w:name="_Toc80967359"/>
    <w:bookmarkStart w:id="1039" w:name="_Toc82098811"/>
    <w:bookmarkStart w:id="1040" w:name="_Toc82697213"/>
    <w:bookmarkStart w:id="1041" w:name="_Toc83296675"/>
    <w:bookmarkStart w:id="1042" w:name="_Toc83896636"/>
    <w:bookmarkStart w:id="1043" w:name="_Toc84511081"/>
    <w:bookmarkStart w:id="1044" w:name="_Toc85126363"/>
    <w:bookmarkStart w:id="1045" w:name="_Toc85726072"/>
    <w:bookmarkStart w:id="1046" w:name="_Toc86326960"/>
    <w:bookmarkStart w:id="1047" w:name="_Toc86928734"/>
    <w:bookmarkStart w:id="1048" w:name="_Toc87533870"/>
    <w:bookmarkStart w:id="1049" w:name="_Toc88139984"/>
    <w:bookmarkStart w:id="1050" w:name="_Toc88827430"/>
    <w:bookmarkStart w:id="1051" w:name="_Toc89348607"/>
    <w:bookmarkStart w:id="1052" w:name="_Toc89954367"/>
    <w:bookmarkStart w:id="1053" w:name="_Toc90547137"/>
    <w:bookmarkStart w:id="1054" w:name="_Toc91162885"/>
    <w:bookmarkStart w:id="1055" w:name="_Toc92977897"/>
    <w:bookmarkStart w:id="1056" w:name="_Toc93582841"/>
    <w:bookmarkStart w:id="1057" w:name="_Toc94185887"/>
    <w:bookmarkStart w:id="1058" w:name="_Toc124758948"/>
    <w:bookmarkStart w:id="1059" w:name="_Toc126243204"/>
    <w:bookmarkStart w:id="1060" w:name="_Toc126844380"/>
    <w:bookmarkStart w:id="1061" w:name="_Toc127449241"/>
    <w:bookmarkStart w:id="1062" w:name="_Toc128057353"/>
    <w:bookmarkStart w:id="1063" w:name="_Toc128657904"/>
    <w:bookmarkStart w:id="1064" w:name="_Toc129265050"/>
    <w:bookmarkStart w:id="1065" w:name="_Toc129869294"/>
    <w:bookmarkStart w:id="1066" w:name="_Toc130472596"/>
    <w:bookmarkStart w:id="1067" w:name="_Toc131080434"/>
    <w:bookmarkStart w:id="1068" w:name="_Toc131684267"/>
    <w:bookmarkStart w:id="1069" w:name="_Toc132288745"/>
    <w:bookmarkStart w:id="1070" w:name="_Toc132880400"/>
    <w:bookmarkStart w:id="1071" w:name="_Toc133498220"/>
    <w:bookmarkStart w:id="1072" w:name="_Toc134108014"/>
    <w:bookmarkStart w:id="1073" w:name="_Toc134709557"/>
    <w:bookmarkStart w:id="1074" w:name="_Toc134709708"/>
    <w:bookmarkStart w:id="1075" w:name="_Toc135315977"/>
    <w:bookmarkStart w:id="1076" w:name="_Toc135915566"/>
    <w:bookmarkStart w:id="1077" w:name="_Toc136526496"/>
    <w:bookmarkStart w:id="1078" w:name="_Toc137126054"/>
    <w:bookmarkStart w:id="1079" w:name="_Toc137733679"/>
    <w:bookmarkStart w:id="1080" w:name="_Toc138336645"/>
    <w:bookmarkStart w:id="1081" w:name="_Toc138940632"/>
    <w:bookmarkStart w:id="1082" w:name="_Toc139544026"/>
    <w:bookmarkStart w:id="1083" w:name="_Toc140151837"/>
    <w:bookmarkStart w:id="1084" w:name="_Toc140757914"/>
    <w:bookmarkStart w:id="1085" w:name="_Toc141359491"/>
    <w:bookmarkStart w:id="1086" w:name="_Toc141965603"/>
    <w:bookmarkStart w:id="1087" w:name="_Toc142569952"/>
    <w:bookmarkStart w:id="1088" w:name="_Toc143175010"/>
    <w:bookmarkStart w:id="1089" w:name="_Toc143779707"/>
    <w:bookmarkStart w:id="1090" w:name="_Toc144384336"/>
    <w:bookmarkStart w:id="1091" w:name="_Toc144991148"/>
    <w:bookmarkStart w:id="1092" w:name="_Toc145601276"/>
    <w:bookmarkStart w:id="1093" w:name="_Toc146205298"/>
    <w:bookmarkStart w:id="1094" w:name="_Toc146808608"/>
    <w:bookmarkStart w:id="1095" w:name="_Toc147412066"/>
    <w:bookmarkStart w:id="1096" w:name="_Toc148007948"/>
    <w:bookmarkStart w:id="1097" w:name="_Toc148621880"/>
    <w:bookmarkStart w:id="1098" w:name="_Toc149228687"/>
    <w:bookmarkStart w:id="1099" w:name="_Toc149826963"/>
    <w:bookmarkStart w:id="1100" w:name="_Toc434571325"/>
    <w:bookmarkStart w:id="1101" w:name="_Toc435172631"/>
    <w:bookmarkStart w:id="1102" w:name="_Toc435779455"/>
    <w:bookmarkStart w:id="1103" w:name="_Toc436380895"/>
    <w:bookmarkStart w:id="1104" w:name="_Toc431546396"/>
    <w:bookmarkStart w:id="1105" w:name="_Toc432151538"/>
    <w:bookmarkStart w:id="1106" w:name="_Toc432755921"/>
    <w:bookmarkStart w:id="1107" w:name="_Toc433361392"/>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p w14:paraId="6CC7C74C" w14:textId="77777777" w:rsidR="009E6D1A" w:rsidRDefault="00935517" w:rsidP="009E6D1A">
      <w:pPr>
        <w:spacing w:line="288" w:lineRule="auto"/>
        <w:jc w:val="right"/>
        <w:rPr>
          <w:rStyle w:val="Hyperlink"/>
          <w:rFonts w:ascii="Aptos" w:eastAsia="Malgun Gothic" w:hAnsi="Aptos" w:cs="Times New Roman"/>
          <w:color w:val="002060"/>
        </w:rPr>
      </w:pPr>
      <w:r>
        <w:fldChar w:fldCharType="begin"/>
      </w:r>
      <w:r>
        <w:instrText>HYPERLINK \l "_top"</w:instrText>
      </w:r>
      <w:r>
        <w:fldChar w:fldCharType="separate"/>
      </w:r>
      <w:r w:rsidR="009E6D1A" w:rsidRPr="004C6CBE">
        <w:rPr>
          <w:rStyle w:val="Hyperlink"/>
          <w:rFonts w:ascii="Aptos" w:eastAsia="Malgun Gothic" w:hAnsi="Aptos" w:cs="Times New Roman"/>
          <w:color w:val="002060"/>
        </w:rPr>
        <w:t>Back to Top</w:t>
      </w:r>
      <w:r>
        <w:rPr>
          <w:rStyle w:val="Hyperlink"/>
          <w:rFonts w:ascii="Aptos" w:eastAsia="Malgun Gothic" w:hAnsi="Aptos" w:cs="Times New Roman"/>
          <w:color w:val="002060"/>
        </w:rPr>
        <w:fldChar w:fldCharType="end"/>
      </w:r>
    </w:p>
    <w:p w14:paraId="4541D6D4" w14:textId="77777777" w:rsidR="009D6545" w:rsidRPr="004C6CBE" w:rsidRDefault="009D6545" w:rsidP="009E6D1A">
      <w:pPr>
        <w:spacing w:line="288" w:lineRule="auto"/>
        <w:jc w:val="right"/>
        <w:rPr>
          <w:rStyle w:val="Hyperlink"/>
          <w:rFonts w:ascii="Aptos" w:hAnsi="Aptos"/>
          <w:color w:val="002060"/>
        </w:rPr>
      </w:pPr>
    </w:p>
    <w:p w14:paraId="0AF08887" w14:textId="77777777" w:rsidR="00652432" w:rsidRDefault="00652432" w:rsidP="00105440">
      <w:pPr>
        <w:pStyle w:val="Heading1"/>
        <w:shd w:val="clear" w:color="auto" w:fill="FFFFFF"/>
        <w:spacing w:before="0" w:line="288" w:lineRule="atLeast"/>
        <w:rPr>
          <w:rFonts w:ascii="Aptos" w:eastAsia="Malgun Gothic" w:hAnsi="Aptos" w:cs="Times New Roman"/>
          <w:color w:val="002060"/>
        </w:rPr>
      </w:pPr>
      <w:bookmarkStart w:id="1108" w:name="_Toc198816068"/>
      <w:bookmarkStart w:id="1109" w:name="_Toc199419430"/>
      <w:bookmarkStart w:id="1110" w:name="_Toc200013603"/>
      <w:bookmarkStart w:id="1111" w:name="_Toc200628579"/>
      <w:bookmarkStart w:id="1112" w:name="_Toc201837361"/>
      <w:bookmarkStart w:id="1113" w:name="_Toc202445696"/>
      <w:bookmarkStart w:id="1114" w:name="_Toc203047562"/>
      <w:bookmarkStart w:id="1115" w:name="_Toc203655866"/>
      <w:bookmarkStart w:id="1116" w:name="_Toc204262804"/>
      <w:bookmarkStart w:id="1117" w:name="_Toc204862963"/>
      <w:bookmarkStart w:id="1118" w:name="_Toc205466591"/>
      <w:bookmarkStart w:id="1119" w:name="_Toc206074509"/>
      <w:bookmarkStart w:id="1120" w:name="_Toc207184403"/>
      <w:bookmarkStart w:id="1121" w:name="_Toc207888607"/>
      <w:bookmarkStart w:id="1122" w:name="_Toc208493631"/>
      <w:bookmarkStart w:id="1123" w:name="_Toc208493709"/>
      <w:bookmarkStart w:id="1124" w:name="_Toc209099453"/>
      <w:bookmarkStart w:id="1125" w:name="_Toc209702680"/>
      <w:bookmarkStart w:id="1126" w:name="_Toc210305244"/>
      <w:bookmarkStart w:id="1127" w:name="_Toc210911922"/>
      <w:bookmarkStart w:id="1128" w:name="_Toc210912014"/>
      <w:bookmarkStart w:id="1129" w:name="_Toc211518245"/>
      <w:bookmarkStart w:id="1130" w:name="_Toc212118928"/>
      <w:bookmarkStart w:id="1131" w:name="_Toc212726921"/>
      <w:bookmarkStart w:id="1132" w:name="_Toc213334257"/>
      <w:bookmarkStart w:id="1133" w:name="_Toc213924606"/>
      <w:bookmarkStart w:id="1134" w:name="_Toc214539948"/>
      <w:bookmarkStart w:id="1135" w:name="_Toc215144383"/>
      <w:bookmarkStart w:id="1136" w:name="_Toc215750962"/>
      <w:bookmarkStart w:id="1137" w:name="_Toc216355057"/>
      <w:bookmarkStart w:id="1138" w:name="_Toc216965806"/>
      <w:bookmarkStart w:id="1139" w:name="_Toc217639130"/>
      <w:bookmarkStart w:id="1140" w:name="_Toc218772680"/>
      <w:bookmarkStart w:id="1141" w:name="_Toc219377445"/>
      <w:bookmarkStart w:id="1142" w:name="_Toc219985602"/>
    </w:p>
    <w:p w14:paraId="468AD692" w14:textId="77777777" w:rsidR="005F3A48" w:rsidRDefault="005F3A48" w:rsidP="007713C8">
      <w:pPr>
        <w:pStyle w:val="Heading1"/>
        <w:shd w:val="clear" w:color="auto" w:fill="FFFFFF"/>
        <w:spacing w:before="0" w:line="288" w:lineRule="atLeast"/>
        <w:rPr>
          <w:rFonts w:ascii="Aptos" w:eastAsia="Malgun Gothic" w:hAnsi="Aptos" w:cs="Times New Roman"/>
          <w:color w:val="002060"/>
        </w:rPr>
      </w:pPr>
      <w:bookmarkStart w:id="1143" w:name="_Toc220587261"/>
    </w:p>
    <w:p w14:paraId="7E179152" w14:textId="1037C4F0" w:rsidR="00D52EAD" w:rsidRDefault="00664BCE" w:rsidP="007713C8">
      <w:pPr>
        <w:pStyle w:val="Heading1"/>
        <w:shd w:val="clear" w:color="auto" w:fill="FFFFFF"/>
        <w:spacing w:before="0" w:line="288" w:lineRule="atLeast"/>
        <w:rPr>
          <w:rFonts w:ascii="Aptos" w:eastAsia="Malgun Gothic" w:hAnsi="Aptos" w:cs="Times New Roman"/>
          <w:color w:val="002060"/>
        </w:rPr>
      </w:pPr>
      <w:bookmarkStart w:id="1144" w:name="_Toc221194740"/>
      <w:bookmarkStart w:id="1145" w:name="_Toc223006381"/>
      <w:r w:rsidRPr="004C6CBE">
        <w:rPr>
          <w:rFonts w:ascii="Aptos" w:eastAsia="Malgun Gothic" w:hAnsi="Aptos" w:cs="Times New Roman"/>
          <w:color w:val="002060"/>
        </w:rPr>
        <w:t>PROPERTY</w:t>
      </w:r>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p>
    <w:p w14:paraId="3269B6C8" w14:textId="77777777" w:rsidR="00FE635A" w:rsidRDefault="00FE635A" w:rsidP="00FE635A">
      <w:pPr>
        <w:spacing w:after="161" w:line="240" w:lineRule="auto"/>
        <w:outlineLvl w:val="0"/>
        <w:rPr>
          <w:rFonts w:ascii="Times New Roman" w:eastAsia="Times New Roman" w:hAnsi="Times New Roman" w:cs="Times New Roman"/>
          <w:color w:val="000000"/>
          <w:kern w:val="36"/>
          <w:sz w:val="45"/>
          <w:szCs w:val="45"/>
        </w:rPr>
      </w:pPr>
    </w:p>
    <w:p w14:paraId="7C5D188E" w14:textId="54FE149D" w:rsidR="00FE635A" w:rsidRPr="00FE635A" w:rsidRDefault="00FE635A" w:rsidP="00FE635A">
      <w:pPr>
        <w:spacing w:after="161" w:line="288" w:lineRule="auto"/>
        <w:jc w:val="both"/>
        <w:outlineLvl w:val="0"/>
        <w:rPr>
          <w:rFonts w:ascii="Aptos" w:eastAsia="Times New Roman" w:hAnsi="Aptos" w:cs="Times New Roman"/>
          <w:b/>
          <w:bCs/>
          <w:color w:val="002060"/>
          <w:kern w:val="36"/>
          <w:sz w:val="28"/>
          <w:szCs w:val="28"/>
        </w:rPr>
      </w:pPr>
      <w:bookmarkStart w:id="1146" w:name="_Toc223006382"/>
      <w:r w:rsidRPr="00FE635A">
        <w:rPr>
          <w:rFonts w:ascii="Aptos" w:eastAsia="Times New Roman" w:hAnsi="Aptos" w:cs="Times New Roman"/>
          <w:b/>
          <w:bCs/>
          <w:color w:val="002060"/>
          <w:kern w:val="36"/>
          <w:sz w:val="28"/>
          <w:szCs w:val="28"/>
        </w:rPr>
        <w:t>Danang positioned as crucial economic hub for Central Vietnam</w:t>
      </w:r>
      <w:bookmarkEnd w:id="1146"/>
    </w:p>
    <w:p w14:paraId="19F8F2D1" w14:textId="0CBD95AF" w:rsidR="00FE635A" w:rsidRPr="00FE635A" w:rsidRDefault="00FE635A" w:rsidP="00FE635A">
      <w:pPr>
        <w:spacing w:after="150" w:line="288" w:lineRule="auto"/>
        <w:jc w:val="both"/>
        <w:rPr>
          <w:rFonts w:ascii="Aptos" w:eastAsia="Times New Roman" w:hAnsi="Aptos" w:cs="Times New Roman"/>
          <w:i/>
          <w:iCs/>
          <w:color w:val="002060"/>
          <w:sz w:val="18"/>
          <w:szCs w:val="18"/>
        </w:rPr>
      </w:pPr>
      <w:r w:rsidRPr="00FE635A">
        <w:rPr>
          <w:rFonts w:ascii="Aptos" w:eastAsia="Times New Roman" w:hAnsi="Aptos" w:cs="Times New Roman"/>
          <w:i/>
          <w:iCs/>
          <w:color w:val="002060"/>
          <w:sz w:val="18"/>
          <w:szCs w:val="18"/>
        </w:rPr>
        <w:t>VIR</w:t>
      </w:r>
    </w:p>
    <w:p w14:paraId="405D3C9E" w14:textId="77777777" w:rsidR="00FE635A" w:rsidRPr="00FE635A" w:rsidRDefault="00FE635A" w:rsidP="00FE635A">
      <w:pPr>
        <w:spacing w:after="150" w:line="288" w:lineRule="auto"/>
        <w:jc w:val="both"/>
        <w:rPr>
          <w:rFonts w:ascii="Aptos" w:eastAsia="Times New Roman" w:hAnsi="Aptos" w:cs="Times New Roman"/>
          <w:color w:val="002060"/>
        </w:rPr>
      </w:pPr>
    </w:p>
    <w:p w14:paraId="7E87FDEF" w14:textId="77777777" w:rsidR="00FE635A" w:rsidRPr="00FE635A" w:rsidRDefault="00FE635A" w:rsidP="00FE635A">
      <w:pPr>
        <w:spacing w:after="150" w:line="288" w:lineRule="auto"/>
        <w:jc w:val="both"/>
        <w:rPr>
          <w:rFonts w:ascii="Aptos" w:eastAsia="Times New Roman" w:hAnsi="Aptos" w:cs="Times New Roman"/>
          <w:color w:val="002060"/>
        </w:rPr>
      </w:pPr>
      <w:r w:rsidRPr="00FE635A">
        <w:rPr>
          <w:rFonts w:ascii="Aptos" w:eastAsia="Times New Roman" w:hAnsi="Aptos" w:cs="Times New Roman"/>
          <w:color w:val="002060"/>
        </w:rPr>
        <w:t>A new development space combined with an international financial hub and free trade zone, supported by special mechanisms, is expected to become a powerful launchpad shaping the central city of Danang into a future megacity.</w:t>
      </w:r>
    </w:p>
    <w:p w14:paraId="5A47681B" w14:textId="77777777" w:rsidR="00FE635A" w:rsidRPr="00FE635A" w:rsidRDefault="00FE635A" w:rsidP="00FE635A">
      <w:pPr>
        <w:spacing w:after="150" w:line="288" w:lineRule="auto"/>
        <w:jc w:val="both"/>
        <w:rPr>
          <w:rFonts w:ascii="Aptos" w:eastAsia="Times New Roman" w:hAnsi="Aptos" w:cs="Times New Roman"/>
          <w:color w:val="002060"/>
        </w:rPr>
      </w:pPr>
      <w:r w:rsidRPr="00FE635A">
        <w:rPr>
          <w:rFonts w:ascii="Aptos" w:eastAsia="Times New Roman" w:hAnsi="Aptos" w:cs="Times New Roman"/>
          <w:color w:val="002060"/>
        </w:rPr>
        <w:t xml:space="preserve">At a consultation workshop on the master plan for Danang to 2045 </w:t>
      </w:r>
      <w:proofErr w:type="spellStart"/>
      <w:r w:rsidRPr="00FE635A">
        <w:rPr>
          <w:rFonts w:ascii="Aptos" w:eastAsia="Times New Roman" w:hAnsi="Aptos" w:cs="Times New Roman"/>
          <w:color w:val="002060"/>
        </w:rPr>
        <w:t>organised</w:t>
      </w:r>
      <w:proofErr w:type="spellEnd"/>
      <w:r w:rsidRPr="00FE635A">
        <w:rPr>
          <w:rFonts w:ascii="Aptos" w:eastAsia="Times New Roman" w:hAnsi="Aptos" w:cs="Times New Roman"/>
          <w:color w:val="002060"/>
        </w:rPr>
        <w:t xml:space="preserve"> by the city’s People’s Committee in late January, experts proposed and discussed the concept of a megacity for Danang.</w:t>
      </w:r>
    </w:p>
    <w:p w14:paraId="0071B54B" w14:textId="77777777" w:rsidR="00FE635A" w:rsidRPr="00FE635A" w:rsidRDefault="00FE635A" w:rsidP="00FE635A">
      <w:pPr>
        <w:spacing w:after="150" w:line="288" w:lineRule="auto"/>
        <w:jc w:val="both"/>
        <w:rPr>
          <w:rFonts w:ascii="Aptos" w:eastAsia="Times New Roman" w:hAnsi="Aptos" w:cs="Times New Roman"/>
          <w:color w:val="002060"/>
        </w:rPr>
      </w:pPr>
      <w:r w:rsidRPr="00FE635A">
        <w:rPr>
          <w:rFonts w:ascii="Aptos" w:eastAsia="Times New Roman" w:hAnsi="Aptos" w:cs="Times New Roman"/>
          <w:color w:val="002060"/>
        </w:rPr>
        <w:t>The master plan outlines a new and innovative development scenario. The future Danang is positioned as a comprehensive region encompassing coastal areas, plains, midlands, mountainous zones and border areas, bringing together diverse natural ecosystems and cultural heritage. The consulting unit noted that the potential merger of Quang Nam province with Danang would open a new chapter for the city’s urban scale and stature.</w:t>
      </w:r>
    </w:p>
    <w:p w14:paraId="2544BDCA" w14:textId="77777777" w:rsidR="00FE635A" w:rsidRPr="00FE635A" w:rsidRDefault="00FE635A" w:rsidP="00FE635A">
      <w:pPr>
        <w:spacing w:after="150" w:line="288" w:lineRule="auto"/>
        <w:jc w:val="both"/>
        <w:rPr>
          <w:rFonts w:ascii="Aptos" w:eastAsia="Times New Roman" w:hAnsi="Aptos" w:cs="Times New Roman"/>
          <w:color w:val="002060"/>
        </w:rPr>
      </w:pPr>
      <w:r w:rsidRPr="00FE635A">
        <w:rPr>
          <w:rFonts w:ascii="Aptos" w:eastAsia="Times New Roman" w:hAnsi="Aptos" w:cs="Times New Roman"/>
          <w:color w:val="002060"/>
        </w:rPr>
        <w:t xml:space="preserve">Under this scenario, Danang would evolve into a megacity with diverse geography and functions: featuring both a seaport and an international airport, industrial and high-tech zones, mountainous areas, and an international border </w:t>
      </w:r>
      <w:r w:rsidRPr="00FE635A">
        <w:rPr>
          <w:rFonts w:ascii="Aptos" w:eastAsia="Times New Roman" w:hAnsi="Aptos" w:cs="Times New Roman"/>
          <w:color w:val="002060"/>
        </w:rPr>
        <w:lastRenderedPageBreak/>
        <w:t>gate connecting to Laos. These advantages are seen as a solid foundation for developing the marine economy, logistics, smart agriculture, and ecotourism.</w:t>
      </w:r>
    </w:p>
    <w:p w14:paraId="5931A30F" w14:textId="77777777" w:rsidR="00FE635A" w:rsidRPr="00FE635A" w:rsidRDefault="00FE635A" w:rsidP="00FE635A">
      <w:pPr>
        <w:spacing w:after="150" w:line="288" w:lineRule="auto"/>
        <w:jc w:val="both"/>
        <w:rPr>
          <w:rFonts w:ascii="Aptos" w:eastAsia="Times New Roman" w:hAnsi="Aptos" w:cs="Times New Roman"/>
          <w:color w:val="002060"/>
        </w:rPr>
      </w:pPr>
      <w:r w:rsidRPr="00FE635A">
        <w:rPr>
          <w:rFonts w:ascii="Aptos" w:eastAsia="Times New Roman" w:hAnsi="Aptos" w:cs="Times New Roman"/>
          <w:color w:val="002060"/>
        </w:rPr>
        <w:t>The overall objective is to build an integrated Danang into an international coastal city, a hub for innovation and finance, serving as a growth engine for the Central and Central Highlands regions, and a key pillar for the nation.</w:t>
      </w:r>
    </w:p>
    <w:p w14:paraId="60495006" w14:textId="77777777" w:rsidR="00FE635A" w:rsidRPr="00FE635A" w:rsidRDefault="00FE635A" w:rsidP="00FE635A">
      <w:pPr>
        <w:spacing w:after="150" w:line="288" w:lineRule="auto"/>
        <w:jc w:val="both"/>
        <w:rPr>
          <w:rFonts w:ascii="Aptos" w:eastAsia="Times New Roman" w:hAnsi="Aptos" w:cs="Times New Roman"/>
          <w:color w:val="002060"/>
        </w:rPr>
      </w:pPr>
      <w:r w:rsidRPr="00FE635A">
        <w:rPr>
          <w:rFonts w:ascii="Aptos" w:eastAsia="Times New Roman" w:hAnsi="Aptos" w:cs="Times New Roman"/>
          <w:color w:val="002060"/>
        </w:rPr>
        <w:t>In terms of population, forecasts estimate that the city will reach approximately 3.9 million residents by 2030 and about 6.4 million by 2045.</w:t>
      </w:r>
    </w:p>
    <w:p w14:paraId="778FE8F7" w14:textId="77777777" w:rsidR="00FE635A" w:rsidRPr="00FE635A" w:rsidRDefault="00FE635A" w:rsidP="00FE635A">
      <w:pPr>
        <w:spacing w:after="150" w:line="288" w:lineRule="auto"/>
        <w:jc w:val="both"/>
        <w:rPr>
          <w:rFonts w:ascii="Aptos" w:eastAsia="Times New Roman" w:hAnsi="Aptos" w:cs="Times New Roman"/>
          <w:color w:val="002060"/>
        </w:rPr>
      </w:pPr>
      <w:r w:rsidRPr="00FE635A">
        <w:rPr>
          <w:rFonts w:ascii="Aptos" w:eastAsia="Times New Roman" w:hAnsi="Aptos" w:cs="Times New Roman"/>
          <w:color w:val="002060"/>
        </w:rPr>
        <w:t xml:space="preserve">The establishment and operation of the Danang international financial </w:t>
      </w:r>
      <w:proofErr w:type="spellStart"/>
      <w:r w:rsidRPr="00FE635A">
        <w:rPr>
          <w:rFonts w:ascii="Aptos" w:eastAsia="Times New Roman" w:hAnsi="Aptos" w:cs="Times New Roman"/>
          <w:color w:val="002060"/>
        </w:rPr>
        <w:t>centre</w:t>
      </w:r>
      <w:proofErr w:type="spellEnd"/>
      <w:r w:rsidRPr="00FE635A">
        <w:rPr>
          <w:rFonts w:ascii="Aptos" w:eastAsia="Times New Roman" w:hAnsi="Aptos" w:cs="Times New Roman"/>
          <w:color w:val="002060"/>
        </w:rPr>
        <w:t xml:space="preserve"> (</w:t>
      </w:r>
      <w:proofErr w:type="spellStart"/>
      <w:r w:rsidRPr="00FE635A">
        <w:rPr>
          <w:rFonts w:ascii="Aptos" w:eastAsia="Times New Roman" w:hAnsi="Aptos" w:cs="Times New Roman"/>
          <w:color w:val="002060"/>
        </w:rPr>
        <w:t>IFC</w:t>
      </w:r>
      <w:proofErr w:type="spellEnd"/>
      <w:r w:rsidRPr="00FE635A">
        <w:rPr>
          <w:rFonts w:ascii="Aptos" w:eastAsia="Times New Roman" w:hAnsi="Aptos" w:cs="Times New Roman"/>
          <w:color w:val="002060"/>
        </w:rPr>
        <w:t>) is expected not only to create new momentum for urban economic development, enhance competitiveness and international integration, but also to affirm Danang’s long-term and consistent vision for sustainable development.</w:t>
      </w:r>
    </w:p>
    <w:p w14:paraId="66E9566C" w14:textId="77777777" w:rsidR="00FE635A" w:rsidRPr="00FE635A" w:rsidRDefault="00FE635A" w:rsidP="00FE635A">
      <w:pPr>
        <w:spacing w:after="150" w:line="288" w:lineRule="auto"/>
        <w:jc w:val="both"/>
        <w:rPr>
          <w:rFonts w:ascii="Aptos" w:eastAsia="Times New Roman" w:hAnsi="Aptos" w:cs="Times New Roman"/>
          <w:color w:val="002060"/>
        </w:rPr>
      </w:pPr>
      <w:r w:rsidRPr="00FE635A">
        <w:rPr>
          <w:rFonts w:ascii="Aptos" w:eastAsia="Times New Roman" w:hAnsi="Aptos" w:cs="Times New Roman"/>
          <w:color w:val="002060"/>
        </w:rPr>
        <w:t xml:space="preserve">At the beginning of 2026, Danang officially put its </w:t>
      </w:r>
      <w:proofErr w:type="spellStart"/>
      <w:r w:rsidRPr="00FE635A">
        <w:rPr>
          <w:rFonts w:ascii="Aptos" w:eastAsia="Times New Roman" w:hAnsi="Aptos" w:cs="Times New Roman"/>
          <w:color w:val="002060"/>
        </w:rPr>
        <w:t>IFC</w:t>
      </w:r>
      <w:proofErr w:type="spellEnd"/>
      <w:r w:rsidRPr="00FE635A">
        <w:rPr>
          <w:rFonts w:ascii="Aptos" w:eastAsia="Times New Roman" w:hAnsi="Aptos" w:cs="Times New Roman"/>
          <w:color w:val="002060"/>
        </w:rPr>
        <w:t xml:space="preserve"> into operation. This event represents a concrete step in implementing the national policy of building the city into a major socioeconomic </w:t>
      </w:r>
      <w:proofErr w:type="spellStart"/>
      <w:r w:rsidRPr="00FE635A">
        <w:rPr>
          <w:rFonts w:ascii="Aptos" w:eastAsia="Times New Roman" w:hAnsi="Aptos" w:cs="Times New Roman"/>
          <w:color w:val="002060"/>
        </w:rPr>
        <w:t>centre</w:t>
      </w:r>
      <w:proofErr w:type="spellEnd"/>
      <w:r w:rsidRPr="00FE635A">
        <w:rPr>
          <w:rFonts w:ascii="Aptos" w:eastAsia="Times New Roman" w:hAnsi="Aptos" w:cs="Times New Roman"/>
          <w:color w:val="002060"/>
        </w:rPr>
        <w:t xml:space="preserve"> of the country and the region, with strong spillover and growth-driving effects.</w:t>
      </w:r>
    </w:p>
    <w:p w14:paraId="20A54F78" w14:textId="77777777" w:rsidR="00FE635A" w:rsidRPr="00FE635A" w:rsidRDefault="00FE635A" w:rsidP="00FE635A">
      <w:pPr>
        <w:spacing w:after="150" w:line="288" w:lineRule="auto"/>
        <w:jc w:val="both"/>
        <w:rPr>
          <w:rFonts w:ascii="Aptos" w:eastAsia="Times New Roman" w:hAnsi="Aptos" w:cs="Times New Roman"/>
          <w:color w:val="002060"/>
        </w:rPr>
      </w:pPr>
      <w:r w:rsidRPr="00FE635A">
        <w:rPr>
          <w:rFonts w:ascii="Aptos" w:eastAsia="Times New Roman" w:hAnsi="Aptos" w:cs="Times New Roman"/>
          <w:color w:val="002060"/>
        </w:rPr>
        <w:t xml:space="preserve">The </w:t>
      </w:r>
      <w:proofErr w:type="spellStart"/>
      <w:r w:rsidRPr="00FE635A">
        <w:rPr>
          <w:rFonts w:ascii="Aptos" w:eastAsia="Times New Roman" w:hAnsi="Aptos" w:cs="Times New Roman"/>
          <w:color w:val="002060"/>
        </w:rPr>
        <w:t>IFC</w:t>
      </w:r>
      <w:proofErr w:type="spellEnd"/>
      <w:r w:rsidRPr="00FE635A">
        <w:rPr>
          <w:rFonts w:ascii="Aptos" w:eastAsia="Times New Roman" w:hAnsi="Aptos" w:cs="Times New Roman"/>
          <w:color w:val="002060"/>
        </w:rPr>
        <w:t xml:space="preserve"> is expected to create new development space for the city, enhancing national competitiveness and gradually asserting Vietnam’s position in regional and international financial networks.</w:t>
      </w:r>
    </w:p>
    <w:p w14:paraId="00E66718" w14:textId="77777777" w:rsidR="00FE635A" w:rsidRPr="00FE635A" w:rsidRDefault="00FE635A" w:rsidP="00FE635A">
      <w:pPr>
        <w:spacing w:after="150" w:line="288" w:lineRule="auto"/>
        <w:jc w:val="both"/>
        <w:rPr>
          <w:rFonts w:ascii="Aptos" w:eastAsia="Times New Roman" w:hAnsi="Aptos" w:cs="Times New Roman"/>
          <w:color w:val="002060"/>
        </w:rPr>
      </w:pPr>
      <w:r w:rsidRPr="00FE635A">
        <w:rPr>
          <w:rFonts w:ascii="Aptos" w:eastAsia="Times New Roman" w:hAnsi="Aptos" w:cs="Times New Roman"/>
          <w:color w:val="002060"/>
        </w:rPr>
        <w:t xml:space="preserve">Danang People’s Committee has submitted a document to the Ministry of Finance regarding the development of a strategy for the city’s </w:t>
      </w:r>
      <w:proofErr w:type="spellStart"/>
      <w:r w:rsidRPr="00FE635A">
        <w:rPr>
          <w:rFonts w:ascii="Aptos" w:eastAsia="Times New Roman" w:hAnsi="Aptos" w:cs="Times New Roman"/>
          <w:color w:val="002060"/>
        </w:rPr>
        <w:t>IFC</w:t>
      </w:r>
      <w:proofErr w:type="spellEnd"/>
      <w:r w:rsidRPr="00FE635A">
        <w:rPr>
          <w:rFonts w:ascii="Aptos" w:eastAsia="Times New Roman" w:hAnsi="Aptos" w:cs="Times New Roman"/>
          <w:color w:val="002060"/>
        </w:rPr>
        <w:t>.</w:t>
      </w:r>
    </w:p>
    <w:p w14:paraId="220DB58C" w14:textId="77777777" w:rsidR="00FE635A" w:rsidRPr="00FE635A" w:rsidRDefault="00FE635A" w:rsidP="00FE635A">
      <w:pPr>
        <w:spacing w:after="150" w:line="288" w:lineRule="auto"/>
        <w:jc w:val="both"/>
        <w:rPr>
          <w:rFonts w:ascii="Aptos" w:eastAsia="Times New Roman" w:hAnsi="Aptos" w:cs="Times New Roman"/>
          <w:color w:val="002060"/>
        </w:rPr>
      </w:pPr>
      <w:r w:rsidRPr="00FE635A">
        <w:rPr>
          <w:rFonts w:ascii="Aptos" w:eastAsia="Times New Roman" w:hAnsi="Aptos" w:cs="Times New Roman"/>
          <w:color w:val="002060"/>
        </w:rPr>
        <w:t xml:space="preserve">According to Dang Dinh Duc, standing vice chairman of the </w:t>
      </w:r>
      <w:proofErr w:type="spellStart"/>
      <w:r w:rsidRPr="00FE635A">
        <w:rPr>
          <w:rFonts w:ascii="Aptos" w:eastAsia="Times New Roman" w:hAnsi="Aptos" w:cs="Times New Roman"/>
          <w:color w:val="002060"/>
        </w:rPr>
        <w:t>IFC’s</w:t>
      </w:r>
      <w:proofErr w:type="spellEnd"/>
      <w:r w:rsidRPr="00FE635A">
        <w:rPr>
          <w:rFonts w:ascii="Aptos" w:eastAsia="Times New Roman" w:hAnsi="Aptos" w:cs="Times New Roman"/>
          <w:color w:val="002060"/>
        </w:rPr>
        <w:t xml:space="preserve"> Executive Authority, it aims to become a </w:t>
      </w:r>
      <w:proofErr w:type="spellStart"/>
      <w:r w:rsidRPr="00FE635A">
        <w:rPr>
          <w:rFonts w:ascii="Aptos" w:eastAsia="Times New Roman" w:hAnsi="Aptos" w:cs="Times New Roman"/>
          <w:color w:val="002060"/>
        </w:rPr>
        <w:t>centre</w:t>
      </w:r>
      <w:proofErr w:type="spellEnd"/>
      <w:r w:rsidRPr="00FE635A">
        <w:rPr>
          <w:rFonts w:ascii="Aptos" w:eastAsia="Times New Roman" w:hAnsi="Aptos" w:cs="Times New Roman"/>
          <w:color w:val="002060"/>
        </w:rPr>
        <w:t xml:space="preserve"> for experimentation and trading in digital finance within the Asia–Pacific financial network, </w:t>
      </w:r>
      <w:proofErr w:type="spellStart"/>
      <w:r w:rsidRPr="00FE635A">
        <w:rPr>
          <w:rFonts w:ascii="Aptos" w:eastAsia="Times New Roman" w:hAnsi="Aptos" w:cs="Times New Roman"/>
          <w:color w:val="002060"/>
        </w:rPr>
        <w:t>specialising</w:t>
      </w:r>
      <w:proofErr w:type="spellEnd"/>
      <w:r w:rsidRPr="00FE635A">
        <w:rPr>
          <w:rFonts w:ascii="Aptos" w:eastAsia="Times New Roman" w:hAnsi="Aptos" w:cs="Times New Roman"/>
          <w:color w:val="002060"/>
        </w:rPr>
        <w:t xml:space="preserve"> in asset </w:t>
      </w:r>
      <w:proofErr w:type="spellStart"/>
      <w:r w:rsidRPr="00FE635A">
        <w:rPr>
          <w:rFonts w:ascii="Aptos" w:eastAsia="Times New Roman" w:hAnsi="Aptos" w:cs="Times New Roman"/>
          <w:color w:val="002060"/>
        </w:rPr>
        <w:t>digitalisation</w:t>
      </w:r>
      <w:proofErr w:type="spellEnd"/>
      <w:r w:rsidRPr="00FE635A">
        <w:rPr>
          <w:rFonts w:ascii="Aptos" w:eastAsia="Times New Roman" w:hAnsi="Aptos" w:cs="Times New Roman"/>
          <w:color w:val="002060"/>
        </w:rPr>
        <w:t xml:space="preserve"> and the provision of green finance solutions and next-generation supply chain financing.</w:t>
      </w:r>
    </w:p>
    <w:p w14:paraId="02FA8DB0" w14:textId="77777777" w:rsidR="00FE635A" w:rsidRPr="00FE635A" w:rsidRDefault="00FE635A" w:rsidP="00FE635A">
      <w:pPr>
        <w:spacing w:after="150" w:line="288" w:lineRule="auto"/>
        <w:jc w:val="both"/>
        <w:rPr>
          <w:rFonts w:ascii="Aptos" w:eastAsia="Times New Roman" w:hAnsi="Aptos" w:cs="Times New Roman"/>
          <w:color w:val="002060"/>
        </w:rPr>
      </w:pPr>
      <w:r w:rsidRPr="00FE635A">
        <w:rPr>
          <w:rFonts w:ascii="Aptos" w:eastAsia="Times New Roman" w:hAnsi="Aptos" w:cs="Times New Roman"/>
          <w:color w:val="002060"/>
        </w:rPr>
        <w:t xml:space="preserve">The development goal is to become a hub oriented towards innovation and green finance, operating safely and efficiently, and playing an important role in </w:t>
      </w:r>
      <w:proofErr w:type="spellStart"/>
      <w:r w:rsidRPr="00FE635A">
        <w:rPr>
          <w:rFonts w:ascii="Aptos" w:eastAsia="Times New Roman" w:hAnsi="Aptos" w:cs="Times New Roman"/>
          <w:color w:val="002060"/>
        </w:rPr>
        <w:t>mobilising</w:t>
      </w:r>
      <w:proofErr w:type="spellEnd"/>
      <w:r w:rsidRPr="00FE635A">
        <w:rPr>
          <w:rFonts w:ascii="Aptos" w:eastAsia="Times New Roman" w:hAnsi="Aptos" w:cs="Times New Roman"/>
          <w:color w:val="002060"/>
        </w:rPr>
        <w:t xml:space="preserve"> and allocating financial resources for socioeconomic development and regional financial integration.</w:t>
      </w:r>
    </w:p>
    <w:p w14:paraId="611A3F09" w14:textId="77777777" w:rsidR="00FE635A" w:rsidRPr="00FE635A" w:rsidRDefault="00FE635A" w:rsidP="00FE635A">
      <w:pPr>
        <w:spacing w:after="150" w:line="288" w:lineRule="auto"/>
        <w:jc w:val="both"/>
        <w:rPr>
          <w:rFonts w:ascii="Aptos" w:eastAsia="Times New Roman" w:hAnsi="Aptos" w:cs="Times New Roman"/>
          <w:color w:val="002060"/>
        </w:rPr>
      </w:pPr>
      <w:r w:rsidRPr="00FE635A">
        <w:rPr>
          <w:rFonts w:ascii="Aptos" w:eastAsia="Times New Roman" w:hAnsi="Aptos" w:cs="Times New Roman"/>
          <w:color w:val="002060"/>
        </w:rPr>
        <w:t xml:space="preserve">By 2030, Danang targets the hub to reach stable operations with more than 100 registered and </w:t>
      </w:r>
      <w:proofErr w:type="spellStart"/>
      <w:r w:rsidRPr="00FE635A">
        <w:rPr>
          <w:rFonts w:ascii="Aptos" w:eastAsia="Times New Roman" w:hAnsi="Aptos" w:cs="Times New Roman"/>
          <w:color w:val="002060"/>
        </w:rPr>
        <w:t>recognised</w:t>
      </w:r>
      <w:proofErr w:type="spellEnd"/>
      <w:r w:rsidRPr="00FE635A">
        <w:rPr>
          <w:rFonts w:ascii="Aptos" w:eastAsia="Times New Roman" w:hAnsi="Aptos" w:cs="Times New Roman"/>
          <w:color w:val="002060"/>
        </w:rPr>
        <w:t xml:space="preserve"> members, achieve partial financial self-sufficiency for recurrent expenditures, launch three sandbox </w:t>
      </w:r>
      <w:proofErr w:type="spellStart"/>
      <w:r w:rsidRPr="00FE635A">
        <w:rPr>
          <w:rFonts w:ascii="Aptos" w:eastAsia="Times New Roman" w:hAnsi="Aptos" w:cs="Times New Roman"/>
          <w:color w:val="002060"/>
        </w:rPr>
        <w:t>programmes</w:t>
      </w:r>
      <w:proofErr w:type="spellEnd"/>
      <w:r w:rsidRPr="00FE635A">
        <w:rPr>
          <w:rFonts w:ascii="Aptos" w:eastAsia="Times New Roman" w:hAnsi="Aptos" w:cs="Times New Roman"/>
          <w:color w:val="002060"/>
        </w:rPr>
        <w:t xml:space="preserve">, issue its first green bond, and establish official cooperation with at least five </w:t>
      </w:r>
      <w:proofErr w:type="spellStart"/>
      <w:r w:rsidRPr="00FE635A">
        <w:rPr>
          <w:rFonts w:ascii="Aptos" w:eastAsia="Times New Roman" w:hAnsi="Aptos" w:cs="Times New Roman"/>
          <w:color w:val="002060"/>
        </w:rPr>
        <w:t>IFCs</w:t>
      </w:r>
      <w:proofErr w:type="spellEnd"/>
      <w:r w:rsidRPr="00FE635A">
        <w:rPr>
          <w:rFonts w:ascii="Aptos" w:eastAsia="Times New Roman" w:hAnsi="Aptos" w:cs="Times New Roman"/>
          <w:color w:val="002060"/>
        </w:rPr>
        <w:t xml:space="preserve"> worldwide.</w:t>
      </w:r>
    </w:p>
    <w:p w14:paraId="46F13744" w14:textId="77777777" w:rsidR="00FE635A" w:rsidRPr="00FE635A" w:rsidRDefault="00FE635A" w:rsidP="00FE635A">
      <w:pPr>
        <w:spacing w:after="150" w:line="288" w:lineRule="auto"/>
        <w:jc w:val="both"/>
        <w:rPr>
          <w:rFonts w:ascii="Aptos" w:eastAsia="Times New Roman" w:hAnsi="Aptos" w:cs="Times New Roman"/>
          <w:color w:val="002060"/>
        </w:rPr>
      </w:pPr>
      <w:proofErr w:type="gramStart"/>
      <w:r w:rsidRPr="00FE635A">
        <w:rPr>
          <w:rFonts w:ascii="Aptos" w:eastAsia="Times New Roman" w:hAnsi="Aptos" w:cs="Times New Roman"/>
          <w:color w:val="002060"/>
        </w:rPr>
        <w:t>Ho Ky Minh, Standing Vice Chairman of Danang People’s Committee and chairman of the Executive Authority,</w:t>
      </w:r>
      <w:proofErr w:type="gramEnd"/>
      <w:r w:rsidRPr="00FE635A">
        <w:rPr>
          <w:rFonts w:ascii="Aptos" w:eastAsia="Times New Roman" w:hAnsi="Aptos" w:cs="Times New Roman"/>
          <w:color w:val="002060"/>
        </w:rPr>
        <w:t xml:space="preserve"> said it is committed to focusing on key orientations and tasks.</w:t>
      </w:r>
    </w:p>
    <w:p w14:paraId="2EE20F95" w14:textId="77777777" w:rsidR="00FE635A" w:rsidRPr="00FE635A" w:rsidRDefault="00FE635A" w:rsidP="00FE635A">
      <w:pPr>
        <w:spacing w:after="150" w:line="288" w:lineRule="auto"/>
        <w:jc w:val="both"/>
        <w:rPr>
          <w:rFonts w:ascii="Aptos" w:eastAsia="Times New Roman" w:hAnsi="Aptos" w:cs="Times New Roman"/>
          <w:color w:val="002060"/>
        </w:rPr>
      </w:pPr>
      <w:r w:rsidRPr="00FE635A">
        <w:rPr>
          <w:rFonts w:ascii="Aptos" w:eastAsia="Times New Roman" w:hAnsi="Aptos" w:cs="Times New Roman"/>
          <w:color w:val="002060"/>
        </w:rPr>
        <w:t xml:space="preserve">“We are committed to decisive and responsible action, directly overseeing the serious and effective implementation of all plans and action </w:t>
      </w:r>
      <w:proofErr w:type="spellStart"/>
      <w:r w:rsidRPr="00FE635A">
        <w:rPr>
          <w:rFonts w:ascii="Aptos" w:eastAsia="Times New Roman" w:hAnsi="Aptos" w:cs="Times New Roman"/>
          <w:color w:val="002060"/>
        </w:rPr>
        <w:t>programmes</w:t>
      </w:r>
      <w:proofErr w:type="spellEnd"/>
      <w:r w:rsidRPr="00FE635A">
        <w:rPr>
          <w:rFonts w:ascii="Aptos" w:eastAsia="Times New Roman" w:hAnsi="Aptos" w:cs="Times New Roman"/>
          <w:color w:val="002060"/>
        </w:rPr>
        <w:t xml:space="preserve"> of the government and the city related to the construction and development,” Minh stated.</w:t>
      </w:r>
    </w:p>
    <w:p w14:paraId="317CA5D7" w14:textId="77777777" w:rsidR="00FE635A" w:rsidRPr="00FE635A" w:rsidRDefault="00FE635A" w:rsidP="00FE635A">
      <w:pPr>
        <w:spacing w:after="150" w:line="288" w:lineRule="auto"/>
        <w:jc w:val="both"/>
        <w:rPr>
          <w:rFonts w:ascii="Aptos" w:eastAsia="Times New Roman" w:hAnsi="Aptos" w:cs="Times New Roman"/>
          <w:color w:val="002060"/>
        </w:rPr>
      </w:pPr>
      <w:r w:rsidRPr="00FE635A">
        <w:rPr>
          <w:rFonts w:ascii="Aptos" w:eastAsia="Times New Roman" w:hAnsi="Aptos" w:cs="Times New Roman"/>
          <w:color w:val="002060"/>
        </w:rPr>
        <w:t>Danang is currently addressing complexities related to projects and land issues identified in inspection conclusions, audits, and court judgments in several cities and provinces, along with National Assembly measures that aim to unlock important resources and economic growth.</w:t>
      </w:r>
    </w:p>
    <w:p w14:paraId="15F2F35D" w14:textId="77777777" w:rsidR="00FE635A" w:rsidRPr="00FE635A" w:rsidRDefault="00FE635A" w:rsidP="00FE635A">
      <w:pPr>
        <w:spacing w:after="150" w:line="288" w:lineRule="auto"/>
        <w:jc w:val="both"/>
        <w:rPr>
          <w:rFonts w:ascii="Aptos" w:eastAsia="Times New Roman" w:hAnsi="Aptos" w:cs="Times New Roman"/>
          <w:color w:val="002060"/>
        </w:rPr>
      </w:pPr>
      <w:r w:rsidRPr="00FE635A">
        <w:rPr>
          <w:rFonts w:ascii="Aptos" w:eastAsia="Times New Roman" w:hAnsi="Aptos" w:cs="Times New Roman"/>
          <w:color w:val="002060"/>
        </w:rPr>
        <w:t xml:space="preserve">One of the city’s significant achievements during the 2020–2025 term was the </w:t>
      </w:r>
      <w:proofErr w:type="spellStart"/>
      <w:r w:rsidRPr="00FE635A">
        <w:rPr>
          <w:rFonts w:ascii="Aptos" w:eastAsia="Times New Roman" w:hAnsi="Aptos" w:cs="Times New Roman"/>
          <w:color w:val="002060"/>
        </w:rPr>
        <w:t>concretisation</w:t>
      </w:r>
      <w:proofErr w:type="spellEnd"/>
      <w:r w:rsidRPr="00FE635A">
        <w:rPr>
          <w:rFonts w:ascii="Aptos" w:eastAsia="Times New Roman" w:hAnsi="Aptos" w:cs="Times New Roman"/>
          <w:color w:val="002060"/>
        </w:rPr>
        <w:t xml:space="preserve"> of Resolution </w:t>
      </w:r>
      <w:proofErr w:type="spellStart"/>
      <w:r w:rsidRPr="00FE635A">
        <w:rPr>
          <w:rFonts w:ascii="Aptos" w:eastAsia="Times New Roman" w:hAnsi="Aptos" w:cs="Times New Roman"/>
          <w:color w:val="002060"/>
        </w:rPr>
        <w:t>No.136</w:t>
      </w:r>
      <w:proofErr w:type="spellEnd"/>
      <w:r w:rsidRPr="00FE635A">
        <w:rPr>
          <w:rFonts w:ascii="Aptos" w:eastAsia="Times New Roman" w:hAnsi="Aptos" w:cs="Times New Roman"/>
          <w:color w:val="002060"/>
        </w:rPr>
        <w:t>/2024/</w:t>
      </w:r>
      <w:proofErr w:type="spellStart"/>
      <w:r w:rsidRPr="00FE635A">
        <w:rPr>
          <w:rFonts w:ascii="Aptos" w:eastAsia="Times New Roman" w:hAnsi="Aptos" w:cs="Times New Roman"/>
          <w:color w:val="002060"/>
        </w:rPr>
        <w:t>QH15</w:t>
      </w:r>
      <w:proofErr w:type="spellEnd"/>
      <w:r w:rsidRPr="00FE635A">
        <w:rPr>
          <w:rFonts w:ascii="Aptos" w:eastAsia="Times New Roman" w:hAnsi="Aptos" w:cs="Times New Roman"/>
          <w:color w:val="002060"/>
        </w:rPr>
        <w:t xml:space="preserve"> on the </w:t>
      </w:r>
      <w:proofErr w:type="spellStart"/>
      <w:r w:rsidRPr="00FE635A">
        <w:rPr>
          <w:rFonts w:ascii="Aptos" w:eastAsia="Times New Roman" w:hAnsi="Aptos" w:cs="Times New Roman"/>
          <w:color w:val="002060"/>
        </w:rPr>
        <w:t>organisation</w:t>
      </w:r>
      <w:proofErr w:type="spellEnd"/>
      <w:r w:rsidRPr="00FE635A">
        <w:rPr>
          <w:rFonts w:ascii="Aptos" w:eastAsia="Times New Roman" w:hAnsi="Aptos" w:cs="Times New Roman"/>
          <w:color w:val="002060"/>
        </w:rPr>
        <w:t xml:space="preserve"> of urban authority and the pilot implementation of special mechanisms for Danang’s development. In December, Resolution </w:t>
      </w:r>
      <w:proofErr w:type="spellStart"/>
      <w:r w:rsidRPr="00FE635A">
        <w:rPr>
          <w:rFonts w:ascii="Aptos" w:eastAsia="Times New Roman" w:hAnsi="Aptos" w:cs="Times New Roman"/>
          <w:color w:val="002060"/>
        </w:rPr>
        <w:t>No.259</w:t>
      </w:r>
      <w:proofErr w:type="spellEnd"/>
      <w:r w:rsidRPr="00FE635A">
        <w:rPr>
          <w:rFonts w:ascii="Aptos" w:eastAsia="Times New Roman" w:hAnsi="Aptos" w:cs="Times New Roman"/>
          <w:color w:val="002060"/>
        </w:rPr>
        <w:t>/2025/</w:t>
      </w:r>
      <w:proofErr w:type="spellStart"/>
      <w:r w:rsidRPr="00FE635A">
        <w:rPr>
          <w:rFonts w:ascii="Aptos" w:eastAsia="Times New Roman" w:hAnsi="Aptos" w:cs="Times New Roman"/>
          <w:color w:val="002060"/>
        </w:rPr>
        <w:t>QH15</w:t>
      </w:r>
      <w:proofErr w:type="spellEnd"/>
      <w:r w:rsidRPr="00FE635A">
        <w:rPr>
          <w:rFonts w:ascii="Aptos" w:eastAsia="Times New Roman" w:hAnsi="Aptos" w:cs="Times New Roman"/>
          <w:color w:val="002060"/>
        </w:rPr>
        <w:t xml:space="preserve"> amended several provisions of Resolution 136, which has further facilitated the city’s efforts to unlock resources and promote the city’s economic growth in the coming period.</w:t>
      </w:r>
    </w:p>
    <w:p w14:paraId="246EEA7D" w14:textId="77777777" w:rsidR="00FE635A" w:rsidRPr="00FE635A" w:rsidRDefault="00FE635A" w:rsidP="00FE635A">
      <w:pPr>
        <w:spacing w:after="150" w:line="288" w:lineRule="auto"/>
        <w:jc w:val="both"/>
        <w:rPr>
          <w:rFonts w:ascii="Aptos" w:eastAsia="Times New Roman" w:hAnsi="Aptos" w:cs="Times New Roman"/>
          <w:color w:val="002060"/>
        </w:rPr>
      </w:pPr>
      <w:r w:rsidRPr="00FE635A">
        <w:rPr>
          <w:rFonts w:ascii="Aptos" w:eastAsia="Times New Roman" w:hAnsi="Aptos" w:cs="Times New Roman"/>
          <w:color w:val="002060"/>
        </w:rPr>
        <w:lastRenderedPageBreak/>
        <w:t xml:space="preserve">Such policies issued for Danang have created a more open and </w:t>
      </w:r>
      <w:proofErr w:type="spellStart"/>
      <w:r w:rsidRPr="00FE635A">
        <w:rPr>
          <w:rFonts w:ascii="Aptos" w:eastAsia="Times New Roman" w:hAnsi="Aptos" w:cs="Times New Roman"/>
          <w:color w:val="002060"/>
        </w:rPr>
        <w:t>favourable</w:t>
      </w:r>
      <w:proofErr w:type="spellEnd"/>
      <w:r w:rsidRPr="00FE635A">
        <w:rPr>
          <w:rFonts w:ascii="Aptos" w:eastAsia="Times New Roman" w:hAnsi="Aptos" w:cs="Times New Roman"/>
          <w:color w:val="002060"/>
        </w:rPr>
        <w:t xml:space="preserve"> investment environment, attracting major corporations to explore and invest in strategic sectors such as high-tech industries, semiconductor microchips, and human resource training, </w:t>
      </w:r>
      <w:proofErr w:type="gramStart"/>
      <w:r w:rsidRPr="00FE635A">
        <w:rPr>
          <w:rFonts w:ascii="Aptos" w:eastAsia="Times New Roman" w:hAnsi="Aptos" w:cs="Times New Roman"/>
          <w:color w:val="002060"/>
        </w:rPr>
        <w:t>in order to</w:t>
      </w:r>
      <w:proofErr w:type="gramEnd"/>
      <w:r w:rsidRPr="00FE635A">
        <w:rPr>
          <w:rFonts w:ascii="Aptos" w:eastAsia="Times New Roman" w:hAnsi="Aptos" w:cs="Times New Roman"/>
          <w:color w:val="002060"/>
        </w:rPr>
        <w:t xml:space="preserve"> stay ahead of international economic integration trends.</w:t>
      </w:r>
    </w:p>
    <w:p w14:paraId="4E267DA0" w14:textId="77777777" w:rsidR="00FE635A" w:rsidRPr="00FE635A" w:rsidRDefault="00FE635A" w:rsidP="00FE635A">
      <w:pPr>
        <w:spacing w:after="150" w:line="288" w:lineRule="auto"/>
        <w:jc w:val="both"/>
        <w:rPr>
          <w:rFonts w:ascii="Aptos" w:eastAsia="Times New Roman" w:hAnsi="Aptos" w:cs="Times New Roman"/>
          <w:color w:val="002060"/>
        </w:rPr>
      </w:pPr>
      <w:r w:rsidRPr="00FE635A">
        <w:rPr>
          <w:rFonts w:ascii="Aptos" w:eastAsia="Times New Roman" w:hAnsi="Aptos" w:cs="Times New Roman"/>
          <w:color w:val="002060"/>
        </w:rPr>
        <w:t>At the same time, a vision for more sci-tech development and innovation has provided a strong foundation for the central city to achieve new breakthroughs in key sci-tech fields.</w:t>
      </w:r>
    </w:p>
    <w:p w14:paraId="5D4F547C" w14:textId="77777777" w:rsidR="007713C8" w:rsidRPr="00FE635A" w:rsidRDefault="007713C8" w:rsidP="00FE635A">
      <w:pPr>
        <w:spacing w:line="288" w:lineRule="auto"/>
        <w:jc w:val="both"/>
        <w:rPr>
          <w:rFonts w:ascii="Aptos" w:hAnsi="Aptos"/>
          <w:color w:val="002060"/>
        </w:rPr>
      </w:pPr>
    </w:p>
    <w:bookmarkStart w:id="1147" w:name="_Toc150433306"/>
    <w:bookmarkStart w:id="1148" w:name="_Toc151040605"/>
    <w:bookmarkStart w:id="1149" w:name="_Toc151645186"/>
    <w:bookmarkStart w:id="1150" w:name="_Toc152248771"/>
    <w:bookmarkStart w:id="1151" w:name="_Toc153458096"/>
    <w:bookmarkStart w:id="1152" w:name="_Toc154061711"/>
    <w:bookmarkStart w:id="1153" w:name="_Toc185497345"/>
    <w:bookmarkStart w:id="1154" w:name="_Toc186722702"/>
    <w:bookmarkStart w:id="1155" w:name="_Toc187326028"/>
    <w:bookmarkStart w:id="1156" w:name="_Toc187919327"/>
    <w:bookmarkStart w:id="1157" w:name="_Toc188519320"/>
    <w:bookmarkStart w:id="1158" w:name="_Toc189746412"/>
    <w:bookmarkStart w:id="1159" w:name="_Toc190348434"/>
    <w:bookmarkStart w:id="1160" w:name="_Toc190954019"/>
    <w:bookmarkStart w:id="1161" w:name="_Toc191559705"/>
    <w:bookmarkStart w:id="1162" w:name="_Toc192153156"/>
    <w:bookmarkStart w:id="1163" w:name="_Toc192767040"/>
    <w:bookmarkStart w:id="1164" w:name="_Toc193361548"/>
    <w:bookmarkStart w:id="1165" w:name="_Toc193977740"/>
    <w:bookmarkStart w:id="1166" w:name="_Toc194671403"/>
    <w:bookmarkStart w:id="1167" w:name="_Toc195192240"/>
    <w:bookmarkStart w:id="1168" w:name="_Toc195795581"/>
    <w:bookmarkStart w:id="1169" w:name="_Toc196395808"/>
    <w:bookmarkStart w:id="1170" w:name="_Toc197596767"/>
    <w:bookmarkStart w:id="1171" w:name="_Toc198210656"/>
    <w:bookmarkStart w:id="1172" w:name="_Toc198816072"/>
    <w:bookmarkStart w:id="1173" w:name="_Toc199419434"/>
    <w:bookmarkStart w:id="1174" w:name="_Toc200013609"/>
    <w:bookmarkStart w:id="1175" w:name="_Toc200628582"/>
    <w:bookmarkStart w:id="1176" w:name="_Toc201837364"/>
    <w:bookmarkStart w:id="1177" w:name="_Toc202445702"/>
    <w:bookmarkStart w:id="1178" w:name="_Toc203047566"/>
    <w:bookmarkStart w:id="1179" w:name="_Toc203655869"/>
    <w:bookmarkStart w:id="1180" w:name="_Toc204262807"/>
    <w:bookmarkStart w:id="1181" w:name="_Toc204862966"/>
    <w:bookmarkStart w:id="1182" w:name="_Toc205466596"/>
    <w:bookmarkStart w:id="1183" w:name="_Toc206074512"/>
    <w:bookmarkStart w:id="1184" w:name="_Toc207184407"/>
    <w:bookmarkStart w:id="1185" w:name="_Toc207888613"/>
    <w:bookmarkStart w:id="1186" w:name="_Toc208493636"/>
    <w:bookmarkStart w:id="1187" w:name="_Toc208493714"/>
    <w:bookmarkStart w:id="1188" w:name="_Toc209099457"/>
    <w:bookmarkStart w:id="1189" w:name="_Toc209702686"/>
    <w:bookmarkStart w:id="1190" w:name="_Toc210305250"/>
    <w:p w14:paraId="60973B24" w14:textId="77777777" w:rsidR="0061536E" w:rsidRDefault="00850D96" w:rsidP="0061536E">
      <w:pPr>
        <w:spacing w:line="288" w:lineRule="auto"/>
        <w:jc w:val="right"/>
        <w:rPr>
          <w:rStyle w:val="Hyperlink"/>
          <w:rFonts w:ascii="Aptos" w:eastAsia="Malgun Gothic" w:hAnsi="Aptos" w:cs="Times New Roman"/>
          <w:color w:val="002060"/>
        </w:rPr>
      </w:pPr>
      <w:r>
        <w:fldChar w:fldCharType="begin"/>
      </w:r>
      <w:r>
        <w:instrText>HYPERLINK \l "_top"</w:instrText>
      </w:r>
      <w:r>
        <w:fldChar w:fldCharType="separate"/>
      </w:r>
      <w:r w:rsidR="0061536E" w:rsidRPr="004C6CBE">
        <w:rPr>
          <w:rStyle w:val="Hyperlink"/>
          <w:rFonts w:ascii="Aptos" w:eastAsia="Malgun Gothic" w:hAnsi="Aptos" w:cs="Times New Roman"/>
          <w:color w:val="002060"/>
        </w:rPr>
        <w:t>Back to Top</w:t>
      </w:r>
      <w:r>
        <w:rPr>
          <w:rStyle w:val="Hyperlink"/>
          <w:rFonts w:ascii="Aptos" w:eastAsia="Malgun Gothic" w:hAnsi="Aptos" w:cs="Times New Roman"/>
          <w:color w:val="002060"/>
        </w:rPr>
        <w:fldChar w:fldCharType="end"/>
      </w:r>
    </w:p>
    <w:p w14:paraId="2C4B4F71" w14:textId="77777777" w:rsidR="00BF73D5" w:rsidRDefault="00BF73D5" w:rsidP="005465E1">
      <w:pPr>
        <w:spacing w:before="100" w:beforeAutospacing="1" w:after="100" w:afterAutospacing="1" w:line="240" w:lineRule="auto"/>
        <w:outlineLvl w:val="0"/>
        <w:rPr>
          <w:rFonts w:ascii="Times New Roman" w:eastAsia="Times New Roman" w:hAnsi="Times New Roman" w:cs="Times New Roman"/>
          <w:b/>
          <w:bCs/>
          <w:kern w:val="36"/>
          <w:sz w:val="48"/>
          <w:szCs w:val="48"/>
        </w:rPr>
      </w:pPr>
    </w:p>
    <w:p w14:paraId="23D00F85" w14:textId="082FC954" w:rsidR="005465E1" w:rsidRPr="005465E1" w:rsidRDefault="005465E1" w:rsidP="00BF73D5">
      <w:pPr>
        <w:spacing w:before="100" w:beforeAutospacing="1" w:after="100" w:afterAutospacing="1" w:line="288" w:lineRule="auto"/>
        <w:jc w:val="both"/>
        <w:outlineLvl w:val="0"/>
        <w:rPr>
          <w:rFonts w:ascii="Aptos" w:eastAsia="Times New Roman" w:hAnsi="Aptos" w:cs="Times New Roman"/>
          <w:b/>
          <w:bCs/>
          <w:color w:val="002060"/>
          <w:kern w:val="36"/>
          <w:sz w:val="28"/>
          <w:szCs w:val="28"/>
        </w:rPr>
      </w:pPr>
      <w:bookmarkStart w:id="1191" w:name="_Toc223006383"/>
      <w:r w:rsidRPr="005465E1">
        <w:rPr>
          <w:rFonts w:ascii="Aptos" w:eastAsia="Times New Roman" w:hAnsi="Aptos" w:cs="Times New Roman"/>
          <w:b/>
          <w:bCs/>
          <w:color w:val="002060"/>
          <w:kern w:val="36"/>
          <w:sz w:val="28"/>
          <w:szCs w:val="28"/>
        </w:rPr>
        <w:t>Specialized Economic Zone to be established in Hai Phong</w:t>
      </w:r>
      <w:bookmarkEnd w:id="1191"/>
    </w:p>
    <w:p w14:paraId="7FF030F6" w14:textId="723E1DC7" w:rsidR="005465E1" w:rsidRPr="00BF73D5" w:rsidRDefault="005465E1" w:rsidP="00BF73D5">
      <w:pPr>
        <w:spacing w:after="0" w:line="288" w:lineRule="auto"/>
        <w:jc w:val="both"/>
        <w:rPr>
          <w:rFonts w:ascii="Aptos" w:eastAsia="Times New Roman" w:hAnsi="Aptos" w:cs="Times New Roman"/>
          <w:i/>
          <w:iCs/>
          <w:color w:val="002060"/>
          <w:sz w:val="18"/>
          <w:szCs w:val="18"/>
        </w:rPr>
      </w:pPr>
      <w:r w:rsidRPr="00BF73D5">
        <w:rPr>
          <w:rFonts w:ascii="Aptos" w:eastAsia="Times New Roman" w:hAnsi="Aptos" w:cs="Times New Roman"/>
          <w:i/>
          <w:iCs/>
          <w:color w:val="002060"/>
          <w:sz w:val="18"/>
          <w:szCs w:val="18"/>
        </w:rPr>
        <w:t>VET</w:t>
      </w:r>
    </w:p>
    <w:p w14:paraId="06724407" w14:textId="77777777" w:rsidR="005465E1" w:rsidRPr="005465E1" w:rsidRDefault="005465E1" w:rsidP="00BF73D5">
      <w:pPr>
        <w:spacing w:after="0" w:line="288" w:lineRule="auto"/>
        <w:jc w:val="both"/>
        <w:rPr>
          <w:rFonts w:ascii="Aptos" w:eastAsia="Times New Roman" w:hAnsi="Aptos" w:cs="Times New Roman"/>
          <w:color w:val="002060"/>
        </w:rPr>
      </w:pPr>
    </w:p>
    <w:p w14:paraId="3C9350CB" w14:textId="77777777" w:rsidR="005465E1" w:rsidRPr="005465E1" w:rsidRDefault="005465E1" w:rsidP="00BF73D5">
      <w:pPr>
        <w:spacing w:after="100" w:afterAutospacing="1" w:line="288" w:lineRule="auto"/>
        <w:jc w:val="both"/>
        <w:outlineLvl w:val="1"/>
        <w:rPr>
          <w:rFonts w:ascii="Aptos" w:eastAsia="Times New Roman" w:hAnsi="Aptos" w:cs="Arial"/>
          <w:b/>
          <w:bCs/>
          <w:color w:val="002060"/>
        </w:rPr>
      </w:pPr>
      <w:bookmarkStart w:id="1192" w:name="_Toc223006384"/>
      <w:r w:rsidRPr="005465E1">
        <w:rPr>
          <w:rFonts w:ascii="Aptos" w:eastAsia="Times New Roman" w:hAnsi="Aptos" w:cs="Arial"/>
          <w:b/>
          <w:bCs/>
          <w:color w:val="002060"/>
        </w:rPr>
        <w:t>The economic zone will span approximately 5,300 hectares, designed to leverage Hai Phong city’s strengths in industrial and service development, with a focus on high-tech and environmentally friendly industries.</w:t>
      </w:r>
      <w:bookmarkEnd w:id="1192"/>
    </w:p>
    <w:p w14:paraId="6588C78B" w14:textId="77777777" w:rsidR="005465E1" w:rsidRPr="005465E1" w:rsidRDefault="005465E1" w:rsidP="00BF73D5">
      <w:pPr>
        <w:shd w:val="clear" w:color="auto" w:fill="FFFFFF"/>
        <w:spacing w:before="100" w:beforeAutospacing="1" w:after="100" w:afterAutospacing="1" w:line="288" w:lineRule="auto"/>
        <w:jc w:val="both"/>
        <w:rPr>
          <w:rFonts w:ascii="Aptos" w:eastAsia="Times New Roman" w:hAnsi="Aptos" w:cs="Arial"/>
          <w:color w:val="002060"/>
        </w:rPr>
      </w:pPr>
      <w:r w:rsidRPr="005465E1">
        <w:rPr>
          <w:rFonts w:ascii="Aptos" w:eastAsia="Times New Roman" w:hAnsi="Aptos" w:cs="Arial"/>
          <w:color w:val="002060"/>
        </w:rPr>
        <w:t>Deputy Prime Minister Tran Hong Ha has signed a Prime Ministerial decision on establishing the Hai Phong Specialized Economic Zone (</w:t>
      </w:r>
      <w:proofErr w:type="spellStart"/>
      <w:r w:rsidRPr="005465E1">
        <w:rPr>
          <w:rFonts w:ascii="Aptos" w:eastAsia="Times New Roman" w:hAnsi="Aptos" w:cs="Arial"/>
          <w:color w:val="002060"/>
        </w:rPr>
        <w:t>EZ</w:t>
      </w:r>
      <w:proofErr w:type="spellEnd"/>
      <w:r w:rsidRPr="005465E1">
        <w:rPr>
          <w:rFonts w:ascii="Aptos" w:eastAsia="Times New Roman" w:hAnsi="Aptos" w:cs="Arial"/>
          <w:color w:val="002060"/>
        </w:rPr>
        <w:t>) in the northern port city of Hai Phong.</w:t>
      </w:r>
    </w:p>
    <w:p w14:paraId="4B5C1C1A" w14:textId="77777777" w:rsidR="005465E1" w:rsidRPr="005465E1" w:rsidRDefault="005465E1" w:rsidP="00BF73D5">
      <w:pPr>
        <w:shd w:val="clear" w:color="auto" w:fill="FFFFFF"/>
        <w:spacing w:before="100" w:beforeAutospacing="1" w:after="100" w:afterAutospacing="1" w:line="288" w:lineRule="auto"/>
        <w:jc w:val="both"/>
        <w:rPr>
          <w:rFonts w:ascii="Aptos" w:eastAsia="Times New Roman" w:hAnsi="Aptos" w:cs="Arial"/>
          <w:color w:val="002060"/>
        </w:rPr>
      </w:pPr>
      <w:r w:rsidRPr="005465E1">
        <w:rPr>
          <w:rFonts w:ascii="Aptos" w:eastAsia="Times New Roman" w:hAnsi="Aptos" w:cs="Arial"/>
          <w:color w:val="002060"/>
        </w:rPr>
        <w:t>The economic zone will span approximately 5,300 hectares across Thuong Hong, Nguyen Luong Bang, Bac Thanh Mien, Thanh Mien, Hai Hung and Binh Giang communes.</w:t>
      </w:r>
    </w:p>
    <w:p w14:paraId="27AEEDE9" w14:textId="77777777" w:rsidR="005465E1" w:rsidRPr="005465E1" w:rsidRDefault="005465E1" w:rsidP="00BF73D5">
      <w:pPr>
        <w:shd w:val="clear" w:color="auto" w:fill="FFFFFF"/>
        <w:spacing w:before="100" w:beforeAutospacing="1" w:after="100" w:afterAutospacing="1" w:line="288" w:lineRule="auto"/>
        <w:jc w:val="both"/>
        <w:rPr>
          <w:rFonts w:ascii="Aptos" w:eastAsia="Times New Roman" w:hAnsi="Aptos" w:cs="Arial"/>
          <w:color w:val="002060"/>
        </w:rPr>
      </w:pPr>
      <w:r w:rsidRPr="005465E1">
        <w:rPr>
          <w:rFonts w:ascii="Aptos" w:eastAsia="Times New Roman" w:hAnsi="Aptos" w:cs="Arial"/>
          <w:color w:val="002060"/>
        </w:rPr>
        <w:t xml:space="preserve">The </w:t>
      </w:r>
      <w:proofErr w:type="spellStart"/>
      <w:r w:rsidRPr="005465E1">
        <w:rPr>
          <w:rFonts w:ascii="Aptos" w:eastAsia="Times New Roman" w:hAnsi="Aptos" w:cs="Arial"/>
          <w:color w:val="002060"/>
        </w:rPr>
        <w:t>EZ</w:t>
      </w:r>
      <w:proofErr w:type="spellEnd"/>
      <w:r w:rsidRPr="005465E1">
        <w:rPr>
          <w:rFonts w:ascii="Aptos" w:eastAsia="Times New Roman" w:hAnsi="Aptos" w:cs="Arial"/>
          <w:color w:val="002060"/>
        </w:rPr>
        <w:t xml:space="preserve"> will comprise multiple functional areas, including industrial parks and clusters, comprehensive trade and service zones, a non-tariff area, logistics service zones, as well as dedicated logistics and innovation centers.</w:t>
      </w:r>
    </w:p>
    <w:p w14:paraId="7CE9BCA9" w14:textId="77777777" w:rsidR="005465E1" w:rsidRPr="005465E1" w:rsidRDefault="005465E1" w:rsidP="00BF73D5">
      <w:pPr>
        <w:shd w:val="clear" w:color="auto" w:fill="FFFFFF"/>
        <w:spacing w:before="100" w:beforeAutospacing="1" w:after="100" w:afterAutospacing="1" w:line="288" w:lineRule="auto"/>
        <w:jc w:val="both"/>
        <w:rPr>
          <w:rFonts w:ascii="Aptos" w:eastAsia="Times New Roman" w:hAnsi="Aptos" w:cs="Arial"/>
          <w:color w:val="002060"/>
        </w:rPr>
      </w:pPr>
      <w:r w:rsidRPr="005465E1">
        <w:rPr>
          <w:rFonts w:ascii="Aptos" w:eastAsia="Times New Roman" w:hAnsi="Aptos" w:cs="Arial"/>
          <w:color w:val="002060"/>
        </w:rPr>
        <w:t>The zone is designed to leverage Hai Phong’s strengths in industrial and service development, with a focus on high-tech and environmentally friendly industries aligned with the city’s economic potential. It also aims to strengthen economic, trade and service connectivity with neighboring regions and international markets, while ensuring national defense and security, preserving cultural and historical heritage, and promoting social welfare.</w:t>
      </w:r>
    </w:p>
    <w:p w14:paraId="2DF7A85D" w14:textId="77777777" w:rsidR="005465E1" w:rsidRPr="005465E1" w:rsidRDefault="005465E1" w:rsidP="00BF73D5">
      <w:pPr>
        <w:shd w:val="clear" w:color="auto" w:fill="FFFFFF"/>
        <w:spacing w:before="100" w:beforeAutospacing="1" w:after="100" w:afterAutospacing="1" w:line="288" w:lineRule="auto"/>
        <w:jc w:val="both"/>
        <w:rPr>
          <w:rFonts w:ascii="Aptos" w:eastAsia="Times New Roman" w:hAnsi="Aptos" w:cs="Arial"/>
          <w:color w:val="002060"/>
        </w:rPr>
      </w:pPr>
      <w:r w:rsidRPr="005465E1">
        <w:rPr>
          <w:rFonts w:ascii="Aptos" w:eastAsia="Times New Roman" w:hAnsi="Aptos" w:cs="Arial"/>
          <w:color w:val="002060"/>
        </w:rPr>
        <w:t>The economic zone will feature modern and integrated infrastructure, with the goal of becoming a key driver of socio-economic growth for Hai Phong and the wider Red River Delta. It is expected to contribute around 3–4% of the city’s gross regional domestic product (</w:t>
      </w:r>
      <w:proofErr w:type="spellStart"/>
      <w:r w:rsidRPr="005465E1">
        <w:rPr>
          <w:rFonts w:ascii="Aptos" w:eastAsia="Times New Roman" w:hAnsi="Aptos" w:cs="Arial"/>
          <w:color w:val="002060"/>
        </w:rPr>
        <w:t>GRDP</w:t>
      </w:r>
      <w:proofErr w:type="spellEnd"/>
      <w:r w:rsidRPr="005465E1">
        <w:rPr>
          <w:rFonts w:ascii="Aptos" w:eastAsia="Times New Roman" w:hAnsi="Aptos" w:cs="Arial"/>
          <w:color w:val="002060"/>
        </w:rPr>
        <w:t>) by 2030, rising to over 5% in the following years.</w:t>
      </w:r>
    </w:p>
    <w:p w14:paraId="1102D320" w14:textId="77777777" w:rsidR="005465E1" w:rsidRPr="005465E1" w:rsidRDefault="005465E1" w:rsidP="00BF73D5">
      <w:pPr>
        <w:shd w:val="clear" w:color="auto" w:fill="FFFFFF"/>
        <w:spacing w:before="100" w:beforeAutospacing="1" w:after="100" w:afterAutospacing="1" w:line="288" w:lineRule="auto"/>
        <w:jc w:val="both"/>
        <w:rPr>
          <w:rFonts w:ascii="Aptos" w:eastAsia="Times New Roman" w:hAnsi="Aptos" w:cs="Arial"/>
          <w:color w:val="002060"/>
        </w:rPr>
      </w:pPr>
      <w:r w:rsidRPr="005465E1">
        <w:rPr>
          <w:rFonts w:ascii="Aptos" w:eastAsia="Times New Roman" w:hAnsi="Aptos" w:cs="Arial"/>
          <w:color w:val="002060"/>
        </w:rPr>
        <w:t>Under the development roadmap, planning work and detailed 1/2000-scale construction plans for key subdivisions will be completed no later than 2026. From 2026 to 2030, authorities will focus on finalizing procedures and implementing investment and construction projects.</w:t>
      </w:r>
    </w:p>
    <w:p w14:paraId="6AC5B5FD" w14:textId="3994D635" w:rsidR="00C82C27" w:rsidRPr="00BF73D5" w:rsidRDefault="005465E1" w:rsidP="00BF73D5">
      <w:pPr>
        <w:shd w:val="clear" w:color="auto" w:fill="FFFFFF"/>
        <w:spacing w:before="100" w:beforeAutospacing="1" w:after="100" w:afterAutospacing="1" w:line="288" w:lineRule="auto"/>
        <w:jc w:val="both"/>
        <w:rPr>
          <w:rFonts w:ascii="Aptos" w:eastAsia="Times New Roman" w:hAnsi="Aptos" w:cs="Arial"/>
          <w:color w:val="002060"/>
        </w:rPr>
      </w:pPr>
      <w:r w:rsidRPr="005465E1">
        <w:rPr>
          <w:rFonts w:ascii="Aptos" w:eastAsia="Times New Roman" w:hAnsi="Aptos" w:cs="Arial"/>
          <w:color w:val="002060"/>
        </w:rPr>
        <w:t>Between 2031 and 2035, the zone is expected to complete its socio-economic infrastructure, accelerate urbanization, and develop into a smart, green urban area with high-quality services, while continuing to attract investment in priority sectors.</w:t>
      </w:r>
    </w:p>
    <w:p w14:paraId="6A9CF606" w14:textId="77777777" w:rsidR="007713C8" w:rsidRDefault="00EE121E" w:rsidP="007713C8">
      <w:pPr>
        <w:spacing w:line="288" w:lineRule="auto"/>
        <w:jc w:val="right"/>
        <w:rPr>
          <w:rStyle w:val="Hyperlink"/>
          <w:rFonts w:ascii="Aptos" w:eastAsia="Malgun Gothic" w:hAnsi="Aptos" w:cs="Times New Roman"/>
          <w:color w:val="002060"/>
        </w:rPr>
      </w:pPr>
      <w:hyperlink w:anchor="_top" w:history="1">
        <w:r w:rsidR="007713C8" w:rsidRPr="004C6CBE">
          <w:rPr>
            <w:rStyle w:val="Hyperlink"/>
            <w:rFonts w:ascii="Aptos" w:eastAsia="Malgun Gothic" w:hAnsi="Aptos" w:cs="Times New Roman"/>
            <w:color w:val="002060"/>
          </w:rPr>
          <w:t>Back to Top</w:t>
        </w:r>
      </w:hyperlink>
    </w:p>
    <w:p w14:paraId="2919BF29" w14:textId="519697DA" w:rsidR="00206465" w:rsidRPr="004C6CBE" w:rsidRDefault="00206465" w:rsidP="0019164B">
      <w:pPr>
        <w:keepNext/>
        <w:keepLines/>
        <w:spacing w:before="480" w:after="0"/>
        <w:outlineLvl w:val="0"/>
        <w:rPr>
          <w:rFonts w:ascii="Aptos" w:eastAsia="Malgun Gothic" w:hAnsi="Aptos" w:cs="Times New Roman"/>
          <w:b/>
          <w:bCs/>
          <w:color w:val="002060"/>
          <w:sz w:val="28"/>
          <w:szCs w:val="28"/>
        </w:rPr>
      </w:pPr>
    </w:p>
    <w:p w14:paraId="52689A5B" w14:textId="77777777" w:rsidR="00B24D0A" w:rsidRDefault="00B24D0A" w:rsidP="004F381D">
      <w:pPr>
        <w:pStyle w:val="Heading1"/>
        <w:shd w:val="clear" w:color="auto" w:fill="FFFFFF"/>
        <w:spacing w:before="0" w:line="288" w:lineRule="atLeast"/>
        <w:rPr>
          <w:rFonts w:ascii="Aptos" w:eastAsia="Malgun Gothic" w:hAnsi="Aptos" w:cs="Times New Roman"/>
          <w:color w:val="002060"/>
        </w:rPr>
      </w:pPr>
      <w:bookmarkStart w:id="1193" w:name="_Toc210911926"/>
      <w:bookmarkStart w:id="1194" w:name="_Toc210912018"/>
      <w:bookmarkStart w:id="1195" w:name="_Toc211518249"/>
      <w:bookmarkStart w:id="1196" w:name="_Toc212118933"/>
      <w:bookmarkStart w:id="1197" w:name="_Toc212726924"/>
      <w:bookmarkStart w:id="1198" w:name="_Toc213334262"/>
      <w:bookmarkStart w:id="1199" w:name="_Toc213924610"/>
      <w:bookmarkStart w:id="1200" w:name="_Toc214539951"/>
      <w:bookmarkStart w:id="1201" w:name="_Toc215144387"/>
      <w:bookmarkStart w:id="1202" w:name="_Toc215750966"/>
      <w:bookmarkStart w:id="1203" w:name="_Toc216355062"/>
      <w:bookmarkStart w:id="1204" w:name="_Toc216965812"/>
    </w:p>
    <w:p w14:paraId="23D4DA5E" w14:textId="5F99D9C1" w:rsidR="00F2389F" w:rsidRDefault="005D2EA9" w:rsidP="004F381D">
      <w:pPr>
        <w:pStyle w:val="Heading1"/>
        <w:shd w:val="clear" w:color="auto" w:fill="FFFFFF"/>
        <w:spacing w:before="0" w:line="288" w:lineRule="atLeast"/>
        <w:rPr>
          <w:rFonts w:ascii="Aptos" w:eastAsia="Malgun Gothic" w:hAnsi="Aptos" w:cs="Times New Roman"/>
          <w:color w:val="002060"/>
        </w:rPr>
      </w:pPr>
      <w:bookmarkStart w:id="1205" w:name="_Toc217639133"/>
      <w:bookmarkStart w:id="1206" w:name="_Toc218772685"/>
      <w:bookmarkStart w:id="1207" w:name="_Toc219377450"/>
      <w:bookmarkStart w:id="1208" w:name="_Toc219985606"/>
      <w:bookmarkStart w:id="1209" w:name="_Toc220587264"/>
      <w:bookmarkStart w:id="1210" w:name="_Toc221194744"/>
      <w:bookmarkStart w:id="1211" w:name="_Toc223006385"/>
      <w:proofErr w:type="spellStart"/>
      <w:r w:rsidRPr="004C6CBE">
        <w:rPr>
          <w:rFonts w:ascii="Aptos" w:eastAsia="Malgun Gothic" w:hAnsi="Aptos" w:cs="Times New Roman"/>
          <w:color w:val="002060"/>
        </w:rPr>
        <w:t>OIL&amp;GAS&amp;</w:t>
      </w:r>
      <w:hyperlink r:id="rId10" w:history="1">
        <w:r w:rsidRPr="004C6CBE">
          <w:rPr>
            <w:rFonts w:ascii="Aptos" w:eastAsia="Malgun Gothic" w:hAnsi="Aptos" w:cs="Times New Roman"/>
            <w:color w:val="002060"/>
          </w:rPr>
          <w:t>ENERGY</w:t>
        </w:r>
      </w:hyperlink>
      <w:r w:rsidRPr="004C6CBE">
        <w:rPr>
          <w:rFonts w:ascii="Aptos" w:eastAsia="Malgun Gothic" w:hAnsi="Aptos" w:cs="Times New Roman"/>
          <w:color w:val="002060"/>
        </w:rPr>
        <w:t>&amp;MININ</w:t>
      </w:r>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r w:rsidRPr="004C6CBE">
        <w:rPr>
          <w:rFonts w:ascii="Aptos" w:eastAsia="Malgun Gothic" w:hAnsi="Aptos" w:cs="Times New Roman"/>
          <w:color w:val="002060"/>
        </w:rPr>
        <w:t>G</w:t>
      </w:r>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proofErr w:type="spellEnd"/>
    </w:p>
    <w:p w14:paraId="72F1F1B6" w14:textId="77777777" w:rsidR="00E24F4E" w:rsidRPr="00354BFD" w:rsidRDefault="00E24F4E" w:rsidP="00E24F4E">
      <w:pPr>
        <w:rPr>
          <w:b/>
          <w:bCs/>
          <w:sz w:val="28"/>
          <w:szCs w:val="28"/>
        </w:rPr>
      </w:pPr>
    </w:p>
    <w:p w14:paraId="125986E0" w14:textId="77777777" w:rsidR="00354BFD" w:rsidRPr="00354BFD" w:rsidRDefault="00354BFD" w:rsidP="00354BFD">
      <w:pPr>
        <w:spacing w:after="0" w:line="288" w:lineRule="auto"/>
        <w:jc w:val="both"/>
        <w:outlineLvl w:val="0"/>
        <w:rPr>
          <w:rFonts w:ascii="Aptos" w:eastAsia="Times New Roman" w:hAnsi="Aptos" w:cs="Times New Roman"/>
          <w:b/>
          <w:bCs/>
          <w:color w:val="002060"/>
          <w:kern w:val="36"/>
          <w:sz w:val="28"/>
          <w:szCs w:val="28"/>
        </w:rPr>
      </w:pPr>
      <w:bookmarkStart w:id="1212" w:name="_Toc203655872"/>
      <w:bookmarkStart w:id="1213" w:name="_Toc204262810"/>
      <w:bookmarkStart w:id="1214" w:name="_Toc204862970"/>
      <w:bookmarkStart w:id="1215" w:name="_Toc205466601"/>
      <w:bookmarkStart w:id="1216" w:name="_Toc206074516"/>
      <w:bookmarkStart w:id="1217" w:name="_Toc203047572"/>
      <w:bookmarkStart w:id="1218" w:name="_Toc223006386"/>
      <w:bookmarkEnd w:id="1100"/>
      <w:bookmarkEnd w:id="1101"/>
      <w:bookmarkEnd w:id="1102"/>
      <w:bookmarkEnd w:id="1103"/>
      <w:bookmarkEnd w:id="1104"/>
      <w:bookmarkEnd w:id="1105"/>
      <w:bookmarkEnd w:id="1106"/>
      <w:bookmarkEnd w:id="1107"/>
      <w:r w:rsidRPr="00354BFD">
        <w:rPr>
          <w:rFonts w:ascii="Aptos" w:eastAsia="Times New Roman" w:hAnsi="Aptos" w:cs="Times New Roman"/>
          <w:b/>
          <w:bCs/>
          <w:color w:val="002060"/>
          <w:kern w:val="36"/>
          <w:sz w:val="28"/>
          <w:szCs w:val="28"/>
        </w:rPr>
        <w:t>SK Innovation-led consortium wins $2.3 billion LNG project in Nghe An</w:t>
      </w:r>
      <w:bookmarkEnd w:id="1218"/>
    </w:p>
    <w:p w14:paraId="1B4D1169" w14:textId="2C80A2F2" w:rsidR="00354BFD" w:rsidRDefault="00354BFD" w:rsidP="00354BFD">
      <w:pPr>
        <w:spacing w:after="0" w:line="288" w:lineRule="auto"/>
        <w:jc w:val="both"/>
        <w:outlineLvl w:val="0"/>
        <w:rPr>
          <w:rFonts w:ascii="Aptos" w:eastAsia="Times New Roman" w:hAnsi="Aptos" w:cs="Times New Roman"/>
          <w:i/>
          <w:iCs/>
          <w:color w:val="002060"/>
          <w:kern w:val="36"/>
          <w:sz w:val="18"/>
          <w:szCs w:val="18"/>
        </w:rPr>
      </w:pPr>
      <w:bookmarkStart w:id="1219" w:name="_Toc223006387"/>
      <w:r w:rsidRPr="00354BFD">
        <w:rPr>
          <w:rFonts w:ascii="Aptos" w:eastAsia="Times New Roman" w:hAnsi="Aptos" w:cs="Times New Roman"/>
          <w:i/>
          <w:iCs/>
          <w:color w:val="002060"/>
          <w:kern w:val="36"/>
          <w:sz w:val="18"/>
          <w:szCs w:val="18"/>
        </w:rPr>
        <w:t>VIR</w:t>
      </w:r>
      <w:bookmarkEnd w:id="1219"/>
    </w:p>
    <w:p w14:paraId="3D38E6F0" w14:textId="77777777" w:rsidR="00354BFD" w:rsidRPr="00354BFD" w:rsidRDefault="00354BFD" w:rsidP="00354BFD">
      <w:pPr>
        <w:spacing w:after="0" w:line="288" w:lineRule="auto"/>
        <w:jc w:val="both"/>
        <w:outlineLvl w:val="0"/>
        <w:rPr>
          <w:rFonts w:ascii="Aptos" w:eastAsia="Times New Roman" w:hAnsi="Aptos" w:cs="Times New Roman"/>
          <w:i/>
          <w:iCs/>
          <w:color w:val="002060"/>
          <w:kern w:val="36"/>
          <w:sz w:val="18"/>
          <w:szCs w:val="18"/>
        </w:rPr>
      </w:pPr>
    </w:p>
    <w:p w14:paraId="39CF88FB" w14:textId="77431153" w:rsidR="007D1B3B" w:rsidRPr="00354BFD" w:rsidRDefault="00354BFD" w:rsidP="00354BFD">
      <w:pPr>
        <w:spacing w:after="0" w:line="288" w:lineRule="auto"/>
        <w:jc w:val="both"/>
        <w:outlineLvl w:val="0"/>
        <w:rPr>
          <w:rFonts w:ascii="Aptos" w:hAnsi="Aptos"/>
          <w:color w:val="002060"/>
        </w:rPr>
      </w:pPr>
      <w:bookmarkStart w:id="1220" w:name="_Toc223006388"/>
      <w:r w:rsidRPr="00354BFD">
        <w:rPr>
          <w:rFonts w:ascii="Aptos" w:hAnsi="Aptos"/>
          <w:color w:val="002060"/>
        </w:rPr>
        <w:t xml:space="preserve">A consortium led by South Korean energy giant SK Innovation has been appointed to develop the Quynh Lap Liquefied Natural Gas (LNG) Power Project in Nghe </w:t>
      </w:r>
      <w:proofErr w:type="gramStart"/>
      <w:r w:rsidRPr="00354BFD">
        <w:rPr>
          <w:rFonts w:ascii="Aptos" w:hAnsi="Aptos"/>
          <w:color w:val="002060"/>
        </w:rPr>
        <w:t>An</w:t>
      </w:r>
      <w:proofErr w:type="gramEnd"/>
      <w:r w:rsidRPr="00354BFD">
        <w:rPr>
          <w:rFonts w:ascii="Aptos" w:hAnsi="Aptos"/>
          <w:color w:val="002060"/>
        </w:rPr>
        <w:t xml:space="preserve"> province, securing one of Vietnam's largest foreign-invested energy ventures to date.</w:t>
      </w:r>
      <w:bookmarkEnd w:id="1220"/>
    </w:p>
    <w:p w14:paraId="208CB8B1" w14:textId="77777777" w:rsidR="00354BFD" w:rsidRPr="00354BFD" w:rsidRDefault="00354BFD" w:rsidP="00354BFD">
      <w:pPr>
        <w:spacing w:after="0" w:line="288" w:lineRule="auto"/>
        <w:jc w:val="both"/>
        <w:outlineLvl w:val="0"/>
        <w:rPr>
          <w:rFonts w:ascii="Aptos" w:eastAsia="Times New Roman" w:hAnsi="Aptos" w:cs="Times New Roman"/>
          <w:color w:val="002060"/>
          <w:kern w:val="36"/>
        </w:rPr>
      </w:pPr>
      <w:bookmarkStart w:id="1221" w:name="_Toc223006389"/>
      <w:r w:rsidRPr="00354BFD">
        <w:rPr>
          <w:rFonts w:ascii="Aptos" w:eastAsia="Times New Roman" w:hAnsi="Aptos" w:cs="Times New Roman"/>
          <w:color w:val="002060"/>
          <w:kern w:val="36"/>
        </w:rPr>
        <w:t xml:space="preserve">On February 20, SK Innovation announced that the consortium, including </w:t>
      </w:r>
      <w:proofErr w:type="spellStart"/>
      <w:r w:rsidRPr="00354BFD">
        <w:rPr>
          <w:rFonts w:ascii="Aptos" w:eastAsia="Times New Roman" w:hAnsi="Aptos" w:cs="Times New Roman"/>
          <w:color w:val="002060"/>
          <w:kern w:val="36"/>
        </w:rPr>
        <w:t>Petrovietnam</w:t>
      </w:r>
      <w:proofErr w:type="spellEnd"/>
      <w:r w:rsidRPr="00354BFD">
        <w:rPr>
          <w:rFonts w:ascii="Aptos" w:eastAsia="Times New Roman" w:hAnsi="Aptos" w:cs="Times New Roman"/>
          <w:color w:val="002060"/>
          <w:kern w:val="36"/>
        </w:rPr>
        <w:t xml:space="preserve"> Power Corporation – a subsidiary of state-owned </w:t>
      </w:r>
      <w:proofErr w:type="spellStart"/>
      <w:r w:rsidRPr="00354BFD">
        <w:rPr>
          <w:rFonts w:ascii="Aptos" w:eastAsia="Times New Roman" w:hAnsi="Aptos" w:cs="Times New Roman"/>
          <w:color w:val="002060"/>
          <w:kern w:val="36"/>
        </w:rPr>
        <w:t>PetroVietnam</w:t>
      </w:r>
      <w:proofErr w:type="spellEnd"/>
      <w:r w:rsidRPr="00354BFD">
        <w:rPr>
          <w:rFonts w:ascii="Aptos" w:eastAsia="Times New Roman" w:hAnsi="Aptos" w:cs="Times New Roman"/>
          <w:color w:val="002060"/>
          <w:kern w:val="36"/>
        </w:rPr>
        <w:t xml:space="preserve"> – and Vietnamese firm NASU, had been designated as project developer by the Nghe </w:t>
      </w:r>
      <w:proofErr w:type="gramStart"/>
      <w:r w:rsidRPr="00354BFD">
        <w:rPr>
          <w:rFonts w:ascii="Aptos" w:eastAsia="Times New Roman" w:hAnsi="Aptos" w:cs="Times New Roman"/>
          <w:color w:val="002060"/>
          <w:kern w:val="36"/>
        </w:rPr>
        <w:t>An</w:t>
      </w:r>
      <w:proofErr w:type="gramEnd"/>
      <w:r w:rsidRPr="00354BFD">
        <w:rPr>
          <w:rFonts w:ascii="Aptos" w:eastAsia="Times New Roman" w:hAnsi="Aptos" w:cs="Times New Roman"/>
          <w:color w:val="002060"/>
          <w:kern w:val="36"/>
        </w:rPr>
        <w:t xml:space="preserve"> People's Committee. The $2.3 billion facility will </w:t>
      </w:r>
      <w:proofErr w:type="gramStart"/>
      <w:r w:rsidRPr="00354BFD">
        <w:rPr>
          <w:rFonts w:ascii="Aptos" w:eastAsia="Times New Roman" w:hAnsi="Aptos" w:cs="Times New Roman"/>
          <w:color w:val="002060"/>
          <w:kern w:val="36"/>
        </w:rPr>
        <w:t>be located in</w:t>
      </w:r>
      <w:proofErr w:type="gramEnd"/>
      <w:r w:rsidRPr="00354BFD">
        <w:rPr>
          <w:rFonts w:ascii="Aptos" w:eastAsia="Times New Roman" w:hAnsi="Aptos" w:cs="Times New Roman"/>
          <w:color w:val="002060"/>
          <w:kern w:val="36"/>
        </w:rPr>
        <w:t xml:space="preserve"> the north-central province, strengthening Vietnam's energy infrastructure and marking a key milestone in the South Korean company's global expansion strategy.</w:t>
      </w:r>
      <w:bookmarkEnd w:id="1221"/>
    </w:p>
    <w:p w14:paraId="51962B8D" w14:textId="77777777" w:rsidR="00354BFD" w:rsidRPr="00354BFD" w:rsidRDefault="00354BFD" w:rsidP="00354BFD">
      <w:pPr>
        <w:spacing w:after="0" w:line="288" w:lineRule="auto"/>
        <w:jc w:val="both"/>
        <w:outlineLvl w:val="0"/>
        <w:rPr>
          <w:rFonts w:ascii="Aptos" w:eastAsia="Times New Roman" w:hAnsi="Aptos" w:cs="Times New Roman"/>
          <w:color w:val="002060"/>
          <w:kern w:val="36"/>
        </w:rPr>
      </w:pPr>
      <w:bookmarkStart w:id="1222" w:name="_Toc223006390"/>
      <w:r w:rsidRPr="00354BFD">
        <w:rPr>
          <w:rFonts w:ascii="Aptos" w:eastAsia="Times New Roman" w:hAnsi="Aptos" w:cs="Times New Roman"/>
          <w:color w:val="002060"/>
          <w:kern w:val="36"/>
        </w:rPr>
        <w:t xml:space="preserve">The complex comprises a </w:t>
      </w:r>
      <w:proofErr w:type="spellStart"/>
      <w:r w:rsidRPr="00354BFD">
        <w:rPr>
          <w:rFonts w:ascii="Aptos" w:eastAsia="Times New Roman" w:hAnsi="Aptos" w:cs="Times New Roman"/>
          <w:color w:val="002060"/>
          <w:kern w:val="36"/>
        </w:rPr>
        <w:t>1,500MW</w:t>
      </w:r>
      <w:proofErr w:type="spellEnd"/>
      <w:r w:rsidRPr="00354BFD">
        <w:rPr>
          <w:rFonts w:ascii="Aptos" w:eastAsia="Times New Roman" w:hAnsi="Aptos" w:cs="Times New Roman"/>
          <w:color w:val="002060"/>
          <w:kern w:val="36"/>
        </w:rPr>
        <w:t xml:space="preserve"> combined-cycle gas power plant, a 250,000 cubic </w:t>
      </w:r>
      <w:proofErr w:type="spellStart"/>
      <w:r w:rsidRPr="00354BFD">
        <w:rPr>
          <w:rFonts w:ascii="Aptos" w:eastAsia="Times New Roman" w:hAnsi="Aptos" w:cs="Times New Roman"/>
          <w:color w:val="002060"/>
          <w:kern w:val="36"/>
        </w:rPr>
        <w:t>metre</w:t>
      </w:r>
      <w:proofErr w:type="spellEnd"/>
      <w:r w:rsidRPr="00354BFD">
        <w:rPr>
          <w:rFonts w:ascii="Aptos" w:eastAsia="Times New Roman" w:hAnsi="Aptos" w:cs="Times New Roman"/>
          <w:color w:val="002060"/>
          <w:kern w:val="36"/>
        </w:rPr>
        <w:t xml:space="preserve"> LNG terminal, and a dedicated port in the Quynh Lap region, approximately </w:t>
      </w:r>
      <w:proofErr w:type="spellStart"/>
      <w:r w:rsidRPr="00354BFD">
        <w:rPr>
          <w:rFonts w:ascii="Aptos" w:eastAsia="Times New Roman" w:hAnsi="Aptos" w:cs="Times New Roman"/>
          <w:color w:val="002060"/>
          <w:kern w:val="36"/>
        </w:rPr>
        <w:t>220km</w:t>
      </w:r>
      <w:proofErr w:type="spellEnd"/>
      <w:r w:rsidRPr="00354BFD">
        <w:rPr>
          <w:rFonts w:ascii="Aptos" w:eastAsia="Times New Roman" w:hAnsi="Aptos" w:cs="Times New Roman"/>
          <w:color w:val="002060"/>
          <w:kern w:val="36"/>
        </w:rPr>
        <w:t xml:space="preserve"> south of Hanoi. Construction is scheduled to begin in 2027 and be completed by 2030.</w:t>
      </w:r>
      <w:bookmarkEnd w:id="1222"/>
    </w:p>
    <w:p w14:paraId="0911A47B" w14:textId="77777777" w:rsidR="00354BFD" w:rsidRPr="00354BFD" w:rsidRDefault="00354BFD" w:rsidP="00354BFD">
      <w:pPr>
        <w:spacing w:after="0" w:line="288" w:lineRule="auto"/>
        <w:jc w:val="both"/>
        <w:outlineLvl w:val="0"/>
        <w:rPr>
          <w:rFonts w:ascii="Aptos" w:eastAsia="Times New Roman" w:hAnsi="Aptos" w:cs="Times New Roman"/>
          <w:color w:val="002060"/>
          <w:kern w:val="36"/>
        </w:rPr>
      </w:pPr>
      <w:bookmarkStart w:id="1223" w:name="_Toc223006391"/>
      <w:r w:rsidRPr="00354BFD">
        <w:rPr>
          <w:rFonts w:ascii="Aptos" w:eastAsia="Times New Roman" w:hAnsi="Aptos" w:cs="Times New Roman"/>
          <w:color w:val="002060"/>
          <w:kern w:val="36"/>
        </w:rPr>
        <w:t>SK Innovation’s participation brings together its proven expertise in LNG power generation and its global value chain, complementing the local strengths of its Vietnamese partners. This collaborative approach is expected to deliver optimal synergy and contribute to the region’s long-term energy and industrial development.</w:t>
      </w:r>
      <w:bookmarkEnd w:id="1223"/>
    </w:p>
    <w:p w14:paraId="04DFB783" w14:textId="77777777" w:rsidR="00354BFD" w:rsidRPr="00354BFD" w:rsidRDefault="00354BFD" w:rsidP="00354BFD">
      <w:pPr>
        <w:spacing w:after="0" w:line="288" w:lineRule="auto"/>
        <w:jc w:val="both"/>
        <w:outlineLvl w:val="0"/>
        <w:rPr>
          <w:rFonts w:ascii="Aptos" w:eastAsia="Times New Roman" w:hAnsi="Aptos" w:cs="Times New Roman"/>
          <w:color w:val="002060"/>
          <w:kern w:val="36"/>
        </w:rPr>
      </w:pPr>
      <w:bookmarkStart w:id="1224" w:name="_Toc223006392"/>
      <w:r w:rsidRPr="00354BFD">
        <w:rPr>
          <w:rFonts w:ascii="Aptos" w:eastAsia="Times New Roman" w:hAnsi="Aptos" w:cs="Times New Roman"/>
          <w:color w:val="002060"/>
          <w:kern w:val="36"/>
        </w:rPr>
        <w:t>The </w:t>
      </w:r>
      <w:hyperlink r:id="rId11" w:history="1">
        <w:r w:rsidRPr="00354BFD">
          <w:rPr>
            <w:rStyle w:val="Hyperlink"/>
            <w:rFonts w:ascii="Aptos" w:eastAsia="Times New Roman" w:hAnsi="Aptos" w:cs="Times New Roman"/>
            <w:color w:val="002060"/>
            <w:kern w:val="36"/>
          </w:rPr>
          <w:t>Quynh Lap LNG Power Project</w:t>
        </w:r>
      </w:hyperlink>
      <w:r w:rsidRPr="00354BFD">
        <w:rPr>
          <w:rFonts w:ascii="Aptos" w:eastAsia="Times New Roman" w:hAnsi="Aptos" w:cs="Times New Roman"/>
          <w:color w:val="002060"/>
          <w:kern w:val="36"/>
        </w:rPr>
        <w:t> had attracted interest from leading global companies, with participants from South Korea, Japan, and Qatar advancing through the initial bidding and preliminary evaluation in 2024. The final developer selection was conducted among these shortlisted firms in January.</w:t>
      </w:r>
      <w:bookmarkEnd w:id="1224"/>
    </w:p>
    <w:p w14:paraId="158FD23E" w14:textId="77777777" w:rsidR="00354BFD" w:rsidRPr="00354BFD" w:rsidRDefault="00354BFD" w:rsidP="00354BFD">
      <w:pPr>
        <w:spacing w:after="0" w:line="288" w:lineRule="auto"/>
        <w:jc w:val="both"/>
        <w:outlineLvl w:val="0"/>
        <w:rPr>
          <w:rFonts w:ascii="Aptos" w:eastAsia="Times New Roman" w:hAnsi="Aptos" w:cs="Times New Roman"/>
          <w:color w:val="002060"/>
          <w:kern w:val="36"/>
        </w:rPr>
      </w:pPr>
      <w:bookmarkStart w:id="1225" w:name="_Toc223006393"/>
      <w:r w:rsidRPr="00354BFD">
        <w:rPr>
          <w:rFonts w:ascii="Aptos" w:eastAsia="Times New Roman" w:hAnsi="Aptos" w:cs="Times New Roman"/>
          <w:color w:val="002060"/>
          <w:kern w:val="36"/>
        </w:rPr>
        <w:t>SK Innovation is also considering expanding the LNG terminal into a regional hub, supplying gas to nearby power plants. This approach is expected to enhance project efficiency, ensure timely energy supply, and support the integrated growth of energy infrastructure and industry, in line with Vietnam’s national development plans.</w:t>
      </w:r>
      <w:bookmarkEnd w:id="1225"/>
    </w:p>
    <w:p w14:paraId="49814A19" w14:textId="77777777" w:rsidR="00354BFD" w:rsidRPr="00354BFD" w:rsidRDefault="00354BFD" w:rsidP="00354BFD">
      <w:pPr>
        <w:spacing w:after="0" w:line="288" w:lineRule="auto"/>
        <w:jc w:val="both"/>
        <w:outlineLvl w:val="0"/>
        <w:rPr>
          <w:rFonts w:ascii="Aptos" w:eastAsia="Times New Roman" w:hAnsi="Aptos" w:cs="Times New Roman"/>
          <w:color w:val="002060"/>
          <w:kern w:val="36"/>
        </w:rPr>
      </w:pPr>
      <w:bookmarkStart w:id="1226" w:name="_Toc223006394"/>
      <w:r w:rsidRPr="00354BFD">
        <w:rPr>
          <w:rFonts w:ascii="Aptos" w:eastAsia="Times New Roman" w:hAnsi="Aptos" w:cs="Times New Roman"/>
          <w:color w:val="002060"/>
          <w:kern w:val="36"/>
        </w:rPr>
        <w:t xml:space="preserve">Over the past four years, SK Innovation has collaborated closely with the Vietnamese government to establish a long-term roadmap supporting both industrial advancement and carbon neutrality. Central to this vision is the </w:t>
      </w:r>
      <w:proofErr w:type="spellStart"/>
      <w:r w:rsidRPr="00354BFD">
        <w:rPr>
          <w:rFonts w:ascii="Aptos" w:eastAsia="Times New Roman" w:hAnsi="Aptos" w:cs="Times New Roman"/>
          <w:color w:val="002060"/>
          <w:kern w:val="36"/>
        </w:rPr>
        <w:t>Specialised</w:t>
      </w:r>
      <w:proofErr w:type="spellEnd"/>
      <w:r w:rsidRPr="00354BFD">
        <w:rPr>
          <w:rFonts w:ascii="Aptos" w:eastAsia="Times New Roman" w:hAnsi="Aptos" w:cs="Times New Roman"/>
          <w:color w:val="002060"/>
          <w:kern w:val="36"/>
        </w:rPr>
        <w:t xml:space="preserve"> Energy-Industry Cluster (</w:t>
      </w:r>
      <w:proofErr w:type="spellStart"/>
      <w:r w:rsidRPr="00354BFD">
        <w:rPr>
          <w:rFonts w:ascii="Aptos" w:eastAsia="Times New Roman" w:hAnsi="Aptos" w:cs="Times New Roman"/>
          <w:color w:val="002060"/>
          <w:kern w:val="36"/>
        </w:rPr>
        <w:t>SEIC</w:t>
      </w:r>
      <w:proofErr w:type="spellEnd"/>
      <w:r w:rsidRPr="00354BFD">
        <w:rPr>
          <w:rFonts w:ascii="Aptos" w:eastAsia="Times New Roman" w:hAnsi="Aptos" w:cs="Times New Roman"/>
          <w:color w:val="002060"/>
          <w:kern w:val="36"/>
        </w:rPr>
        <w:t>) model, which leverages stable LNG power generation as a foundation for regional growth and sustainable development.</w:t>
      </w:r>
      <w:bookmarkEnd w:id="1226"/>
    </w:p>
    <w:p w14:paraId="0004760E" w14:textId="77777777" w:rsidR="00354BFD" w:rsidRPr="00354BFD" w:rsidRDefault="00354BFD" w:rsidP="00354BFD">
      <w:pPr>
        <w:spacing w:after="0" w:line="288" w:lineRule="auto"/>
        <w:jc w:val="both"/>
        <w:outlineLvl w:val="0"/>
        <w:rPr>
          <w:rFonts w:ascii="Aptos" w:eastAsia="Times New Roman" w:hAnsi="Aptos" w:cs="Times New Roman"/>
          <w:color w:val="002060"/>
          <w:kern w:val="36"/>
        </w:rPr>
      </w:pPr>
      <w:bookmarkStart w:id="1227" w:name="_Toc223006395"/>
      <w:r w:rsidRPr="00354BFD">
        <w:rPr>
          <w:rFonts w:ascii="Aptos" w:eastAsia="Times New Roman" w:hAnsi="Aptos" w:cs="Times New Roman"/>
          <w:color w:val="002060"/>
          <w:kern w:val="36"/>
        </w:rPr>
        <w:t xml:space="preserve">The </w:t>
      </w:r>
      <w:proofErr w:type="spellStart"/>
      <w:r w:rsidRPr="00354BFD">
        <w:rPr>
          <w:rFonts w:ascii="Aptos" w:eastAsia="Times New Roman" w:hAnsi="Aptos" w:cs="Times New Roman"/>
          <w:color w:val="002060"/>
          <w:kern w:val="36"/>
        </w:rPr>
        <w:t>SEIC</w:t>
      </w:r>
      <w:proofErr w:type="spellEnd"/>
      <w:r w:rsidRPr="00354BFD">
        <w:rPr>
          <w:rFonts w:ascii="Aptos" w:eastAsia="Times New Roman" w:hAnsi="Aptos" w:cs="Times New Roman"/>
          <w:color w:val="002060"/>
          <w:kern w:val="36"/>
        </w:rPr>
        <w:t xml:space="preserve"> model is designed to foster high-value industries near the power plant, such as AI data </w:t>
      </w:r>
      <w:proofErr w:type="spellStart"/>
      <w:r w:rsidRPr="00354BFD">
        <w:rPr>
          <w:rFonts w:ascii="Aptos" w:eastAsia="Times New Roman" w:hAnsi="Aptos" w:cs="Times New Roman"/>
          <w:color w:val="002060"/>
          <w:kern w:val="36"/>
        </w:rPr>
        <w:t>centres</w:t>
      </w:r>
      <w:proofErr w:type="spellEnd"/>
      <w:r w:rsidRPr="00354BFD">
        <w:rPr>
          <w:rFonts w:ascii="Aptos" w:eastAsia="Times New Roman" w:hAnsi="Aptos" w:cs="Times New Roman"/>
          <w:color w:val="002060"/>
          <w:kern w:val="36"/>
        </w:rPr>
        <w:t xml:space="preserve"> and logistics hubs, contributing to job creation, talent development, and overall economic vitality. SK Innovation’s phased approach, using LNG for immediate energy needs while preparing for future zero-carbon power sources, underscores its commitment to shared prosperity.</w:t>
      </w:r>
      <w:bookmarkEnd w:id="1227"/>
    </w:p>
    <w:p w14:paraId="4631A9D0" w14:textId="77777777" w:rsidR="00354BFD" w:rsidRPr="00354BFD" w:rsidRDefault="00354BFD" w:rsidP="00354BFD">
      <w:pPr>
        <w:spacing w:after="0" w:line="288" w:lineRule="auto"/>
        <w:jc w:val="both"/>
        <w:outlineLvl w:val="0"/>
        <w:rPr>
          <w:rFonts w:ascii="Aptos" w:eastAsia="Times New Roman" w:hAnsi="Aptos" w:cs="Times New Roman"/>
          <w:color w:val="002060"/>
          <w:kern w:val="36"/>
        </w:rPr>
      </w:pPr>
      <w:bookmarkStart w:id="1228" w:name="_Toc223006396"/>
      <w:r w:rsidRPr="00354BFD">
        <w:rPr>
          <w:rFonts w:ascii="Aptos" w:eastAsia="Times New Roman" w:hAnsi="Aptos" w:cs="Times New Roman"/>
          <w:color w:val="002060"/>
          <w:kern w:val="36"/>
        </w:rPr>
        <w:t>SK Group Chairman Chey Tae-</w:t>
      </w:r>
      <w:proofErr w:type="spellStart"/>
      <w:r w:rsidRPr="00354BFD">
        <w:rPr>
          <w:rFonts w:ascii="Aptos" w:eastAsia="Times New Roman" w:hAnsi="Aptos" w:cs="Times New Roman"/>
          <w:color w:val="002060"/>
          <w:kern w:val="36"/>
        </w:rPr>
        <w:t>won</w:t>
      </w:r>
      <w:proofErr w:type="spellEnd"/>
      <w:r w:rsidRPr="00354BFD">
        <w:rPr>
          <w:rFonts w:ascii="Aptos" w:eastAsia="Times New Roman" w:hAnsi="Aptos" w:cs="Times New Roman"/>
          <w:color w:val="002060"/>
          <w:kern w:val="36"/>
        </w:rPr>
        <w:t xml:space="preserve"> and SK Innovation leadership have held a series of discussions with Vietnamese government officials to align the </w:t>
      </w:r>
      <w:proofErr w:type="spellStart"/>
      <w:r w:rsidRPr="00354BFD">
        <w:rPr>
          <w:rFonts w:ascii="Aptos" w:eastAsia="Times New Roman" w:hAnsi="Aptos" w:cs="Times New Roman"/>
          <w:color w:val="002060"/>
          <w:kern w:val="36"/>
        </w:rPr>
        <w:t>SEIC</w:t>
      </w:r>
      <w:proofErr w:type="spellEnd"/>
      <w:r w:rsidRPr="00354BFD">
        <w:rPr>
          <w:rFonts w:ascii="Aptos" w:eastAsia="Times New Roman" w:hAnsi="Aptos" w:cs="Times New Roman"/>
          <w:color w:val="002060"/>
          <w:kern w:val="36"/>
        </w:rPr>
        <w:t xml:space="preserve"> model with the country's energy policies and development priorities. The company's commitment to this collaborative framework was reinforced through high-level meetings in 2025. Through the </w:t>
      </w:r>
      <w:proofErr w:type="spellStart"/>
      <w:r w:rsidRPr="00354BFD">
        <w:rPr>
          <w:rFonts w:ascii="Aptos" w:eastAsia="Times New Roman" w:hAnsi="Aptos" w:cs="Times New Roman"/>
          <w:color w:val="002060"/>
          <w:kern w:val="36"/>
        </w:rPr>
        <w:t>SEIC</w:t>
      </w:r>
      <w:proofErr w:type="spellEnd"/>
      <w:r w:rsidRPr="00354BFD">
        <w:rPr>
          <w:rFonts w:ascii="Aptos" w:eastAsia="Times New Roman" w:hAnsi="Aptos" w:cs="Times New Roman"/>
          <w:color w:val="002060"/>
          <w:kern w:val="36"/>
        </w:rPr>
        <w:t xml:space="preserve"> initiative, SK Group has underscored its dedication to supporting Vietnam's industrial and economic advancement while fostering mutual growth with local partners.</w:t>
      </w:r>
      <w:bookmarkEnd w:id="1228"/>
    </w:p>
    <w:p w14:paraId="7A4C6947" w14:textId="77777777" w:rsidR="00354BFD" w:rsidRPr="00354BFD" w:rsidRDefault="00354BFD" w:rsidP="00354BFD">
      <w:pPr>
        <w:spacing w:after="0" w:line="288" w:lineRule="auto"/>
        <w:jc w:val="both"/>
        <w:outlineLvl w:val="0"/>
        <w:rPr>
          <w:rFonts w:ascii="Aptos" w:eastAsia="Times New Roman" w:hAnsi="Aptos" w:cs="Times New Roman"/>
          <w:color w:val="002060"/>
          <w:kern w:val="36"/>
        </w:rPr>
      </w:pPr>
      <w:bookmarkStart w:id="1229" w:name="_Toc223006397"/>
      <w:r w:rsidRPr="00354BFD">
        <w:rPr>
          <w:rFonts w:ascii="Aptos" w:eastAsia="Times New Roman" w:hAnsi="Aptos" w:cs="Times New Roman"/>
          <w:color w:val="002060"/>
          <w:kern w:val="36"/>
        </w:rPr>
        <w:lastRenderedPageBreak/>
        <w:t>The project represents the first overseas application of SK Innovation's integrated value chain, a model already proven in South Korea's private sector. In contrast to conventional approaches that focus solely on power plant construction or LNG trading, SK Innovation has proposed a business model leveraging its global portfolio to transport LNG directly to Vietnam's terminal for use as fuel. This integrated approach enhances fuel supply stability while enabling flexible responses to global market fluctuations, strengthening energy security for the region.</w:t>
      </w:r>
      <w:bookmarkEnd w:id="1229"/>
    </w:p>
    <w:p w14:paraId="606FB2E4" w14:textId="77777777" w:rsidR="00354BFD" w:rsidRPr="00354BFD" w:rsidRDefault="00354BFD" w:rsidP="00354BFD">
      <w:pPr>
        <w:spacing w:after="0" w:line="288" w:lineRule="auto"/>
        <w:jc w:val="both"/>
        <w:outlineLvl w:val="0"/>
        <w:rPr>
          <w:rFonts w:ascii="Aptos" w:eastAsia="Times New Roman" w:hAnsi="Aptos" w:cs="Times New Roman"/>
          <w:color w:val="002060"/>
          <w:kern w:val="36"/>
        </w:rPr>
      </w:pPr>
      <w:bookmarkStart w:id="1230" w:name="_Toc223006398"/>
      <w:r w:rsidRPr="00354BFD">
        <w:rPr>
          <w:rFonts w:ascii="Aptos" w:eastAsia="Times New Roman" w:hAnsi="Aptos" w:cs="Times New Roman"/>
          <w:color w:val="002060"/>
          <w:kern w:val="36"/>
        </w:rPr>
        <w:t xml:space="preserve">SK Innovation plans to grow its global LNG portfolio to 10 million </w:t>
      </w:r>
      <w:proofErr w:type="spellStart"/>
      <w:r w:rsidRPr="00354BFD">
        <w:rPr>
          <w:rFonts w:ascii="Aptos" w:eastAsia="Times New Roman" w:hAnsi="Aptos" w:cs="Times New Roman"/>
          <w:color w:val="002060"/>
          <w:kern w:val="36"/>
        </w:rPr>
        <w:t>tonnes</w:t>
      </w:r>
      <w:proofErr w:type="spellEnd"/>
      <w:r w:rsidRPr="00354BFD">
        <w:rPr>
          <w:rFonts w:ascii="Aptos" w:eastAsia="Times New Roman" w:hAnsi="Aptos" w:cs="Times New Roman"/>
          <w:color w:val="002060"/>
          <w:kern w:val="36"/>
        </w:rPr>
        <w:t xml:space="preserve"> by 2030, advancing its ambitions for international energy leadership.</w:t>
      </w:r>
      <w:bookmarkEnd w:id="1230"/>
    </w:p>
    <w:p w14:paraId="08175045" w14:textId="546AFFA3" w:rsidR="00354BFD" w:rsidRDefault="00354BFD" w:rsidP="00354BFD">
      <w:pPr>
        <w:spacing w:after="0" w:line="288" w:lineRule="auto"/>
        <w:jc w:val="both"/>
        <w:outlineLvl w:val="0"/>
        <w:rPr>
          <w:rFonts w:ascii="Aptos" w:eastAsia="Times New Roman" w:hAnsi="Aptos" w:cs="Times New Roman"/>
          <w:color w:val="002060"/>
          <w:kern w:val="36"/>
        </w:rPr>
      </w:pPr>
      <w:bookmarkStart w:id="1231" w:name="_Toc223006399"/>
      <w:r w:rsidRPr="00354BFD">
        <w:rPr>
          <w:rFonts w:ascii="Aptos" w:eastAsia="Times New Roman" w:hAnsi="Aptos" w:cs="Times New Roman"/>
          <w:color w:val="002060"/>
          <w:kern w:val="36"/>
        </w:rPr>
        <w:t xml:space="preserve">An SK Innovation spokesperson said, “This project demonstrates the strength of international collaboration and the competitiveness of SK’s integrated LNG value chain. By working closely with Nghe An </w:t>
      </w:r>
      <w:proofErr w:type="gramStart"/>
      <w:r w:rsidRPr="00354BFD">
        <w:rPr>
          <w:rFonts w:ascii="Aptos" w:eastAsia="Times New Roman" w:hAnsi="Aptos" w:cs="Times New Roman"/>
          <w:color w:val="002060"/>
          <w:kern w:val="36"/>
        </w:rPr>
        <w:t>authorities</w:t>
      </w:r>
      <w:proofErr w:type="gramEnd"/>
      <w:r w:rsidRPr="00354BFD">
        <w:rPr>
          <w:rFonts w:ascii="Aptos" w:eastAsia="Times New Roman" w:hAnsi="Aptos" w:cs="Times New Roman"/>
          <w:color w:val="002060"/>
          <w:kern w:val="36"/>
        </w:rPr>
        <w:t xml:space="preserve"> and our partners, we look forward to contributing to Vietnam’s energy development and regional prosperity.”</w:t>
      </w:r>
      <w:bookmarkEnd w:id="1231"/>
    </w:p>
    <w:p w14:paraId="69470CEE" w14:textId="77777777" w:rsidR="00354BFD" w:rsidRPr="00354BFD" w:rsidRDefault="00354BFD" w:rsidP="00354BFD">
      <w:pPr>
        <w:spacing w:after="0" w:line="288" w:lineRule="auto"/>
        <w:jc w:val="both"/>
        <w:outlineLvl w:val="0"/>
        <w:rPr>
          <w:rFonts w:ascii="Aptos" w:eastAsia="Times New Roman" w:hAnsi="Aptos" w:cs="Times New Roman"/>
          <w:color w:val="002060"/>
          <w:kern w:val="36"/>
        </w:rPr>
      </w:pPr>
    </w:p>
    <w:bookmarkEnd w:id="1212"/>
    <w:bookmarkEnd w:id="1213"/>
    <w:bookmarkEnd w:id="1214"/>
    <w:bookmarkEnd w:id="1215"/>
    <w:bookmarkEnd w:id="1216"/>
    <w:bookmarkEnd w:id="1217"/>
    <w:p w14:paraId="7F45BB76" w14:textId="7F9ACDDB" w:rsidR="00684BD2" w:rsidRDefault="00DC36DD" w:rsidP="00684BD2">
      <w:pPr>
        <w:spacing w:line="288" w:lineRule="auto"/>
        <w:jc w:val="right"/>
        <w:rPr>
          <w:rStyle w:val="Hyperlink"/>
          <w:rFonts w:ascii="Aptos" w:eastAsia="Malgun Gothic" w:hAnsi="Aptos" w:cs="Times New Roman"/>
          <w:color w:val="002060"/>
        </w:rPr>
      </w:pPr>
      <w:r w:rsidRPr="004C6CBE">
        <w:fldChar w:fldCharType="begin"/>
      </w:r>
      <w:r w:rsidRPr="004C6CBE">
        <w:rPr>
          <w:rFonts w:ascii="Aptos" w:eastAsia="Malgun Gothic" w:hAnsi="Aptos"/>
        </w:rPr>
        <w:instrText xml:space="preserve"> HYPERLINK \l "_top" </w:instrText>
      </w:r>
      <w:r w:rsidRPr="004C6CBE">
        <w:fldChar w:fldCharType="separate"/>
      </w:r>
      <w:r w:rsidR="00684BD2" w:rsidRPr="004C6CBE">
        <w:rPr>
          <w:rStyle w:val="Hyperlink"/>
          <w:rFonts w:ascii="Aptos" w:eastAsia="Malgun Gothic" w:hAnsi="Aptos" w:cs="Times New Roman"/>
          <w:color w:val="002060"/>
        </w:rPr>
        <w:t>Back to Top</w:t>
      </w:r>
      <w:r w:rsidRPr="004C6CBE">
        <w:rPr>
          <w:rStyle w:val="Hyperlink"/>
          <w:rFonts w:ascii="Aptos" w:eastAsia="Malgun Gothic" w:hAnsi="Aptos" w:cs="Times New Roman"/>
          <w:color w:val="002060"/>
        </w:rPr>
        <w:fldChar w:fldCharType="end"/>
      </w:r>
    </w:p>
    <w:p w14:paraId="7799927A" w14:textId="77777777" w:rsidR="00A81EBD" w:rsidRPr="00A81EBD" w:rsidRDefault="00A81EBD" w:rsidP="00A81EBD">
      <w:pPr>
        <w:spacing w:after="150" w:line="240" w:lineRule="auto"/>
        <w:outlineLvl w:val="0"/>
        <w:rPr>
          <w:rFonts w:ascii="Times New Roman" w:eastAsia="Times New Roman" w:hAnsi="Times New Roman" w:cs="Times New Roman"/>
          <w:b/>
          <w:bCs/>
          <w:color w:val="333333"/>
          <w:kern w:val="36"/>
          <w:sz w:val="56"/>
          <w:szCs w:val="56"/>
        </w:rPr>
      </w:pPr>
    </w:p>
    <w:p w14:paraId="0789E70B" w14:textId="3D54C1BF" w:rsidR="00A81EBD" w:rsidRPr="00A81EBD" w:rsidRDefault="00A81EBD" w:rsidP="00A81EBD">
      <w:pPr>
        <w:spacing w:after="150" w:line="288" w:lineRule="auto"/>
        <w:jc w:val="both"/>
        <w:outlineLvl w:val="0"/>
        <w:rPr>
          <w:rFonts w:ascii="Aptos" w:eastAsia="Times New Roman" w:hAnsi="Aptos" w:cs="Times New Roman"/>
          <w:b/>
          <w:bCs/>
          <w:color w:val="002060"/>
          <w:kern w:val="36"/>
          <w:sz w:val="28"/>
          <w:szCs w:val="28"/>
        </w:rPr>
      </w:pPr>
      <w:bookmarkStart w:id="1232" w:name="_Toc223006400"/>
      <w:r w:rsidRPr="00A81EBD">
        <w:rPr>
          <w:rFonts w:ascii="Aptos" w:eastAsia="Times New Roman" w:hAnsi="Aptos" w:cs="Times New Roman"/>
          <w:b/>
          <w:bCs/>
          <w:color w:val="002060"/>
          <w:kern w:val="36"/>
          <w:sz w:val="28"/>
          <w:szCs w:val="28"/>
        </w:rPr>
        <w:t>Oil and energy sector set to enter new growth cycle</w:t>
      </w:r>
      <w:bookmarkEnd w:id="1232"/>
    </w:p>
    <w:p w14:paraId="10C0E824" w14:textId="539654B7" w:rsidR="00A81EBD" w:rsidRDefault="00A81EBD" w:rsidP="00A81EBD">
      <w:pPr>
        <w:spacing w:line="288" w:lineRule="auto"/>
        <w:jc w:val="both"/>
        <w:rPr>
          <w:rFonts w:ascii="Aptos" w:eastAsia="Times New Roman" w:hAnsi="Aptos" w:cs="Poppins"/>
          <w:i/>
          <w:iCs/>
          <w:color w:val="002060"/>
          <w:sz w:val="18"/>
          <w:szCs w:val="18"/>
        </w:rPr>
      </w:pPr>
      <w:r w:rsidRPr="00A81EBD">
        <w:rPr>
          <w:rFonts w:ascii="Aptos" w:eastAsia="Times New Roman" w:hAnsi="Aptos" w:cs="Segoe UI"/>
          <w:i/>
          <w:iCs/>
          <w:color w:val="002060"/>
          <w:sz w:val="18"/>
          <w:szCs w:val="18"/>
        </w:rPr>
        <w:t>BIZHUB/VNS</w:t>
      </w:r>
      <w:r w:rsidRPr="00A81EBD">
        <w:rPr>
          <w:rFonts w:ascii="Aptos" w:eastAsia="Times New Roman" w:hAnsi="Aptos" w:cs="Poppins"/>
          <w:i/>
          <w:iCs/>
          <w:color w:val="002060"/>
          <w:sz w:val="18"/>
          <w:szCs w:val="18"/>
        </w:rPr>
        <w:t xml:space="preserve"> </w:t>
      </w:r>
    </w:p>
    <w:p w14:paraId="3A5A3981" w14:textId="77777777" w:rsidR="00A81EBD" w:rsidRPr="00A81EBD" w:rsidRDefault="00A81EBD" w:rsidP="00A81EBD">
      <w:pPr>
        <w:spacing w:line="288" w:lineRule="auto"/>
        <w:jc w:val="both"/>
        <w:rPr>
          <w:rFonts w:ascii="Aptos" w:eastAsia="Times New Roman" w:hAnsi="Aptos" w:cs="Poppins"/>
          <w:i/>
          <w:iCs/>
          <w:color w:val="002060"/>
          <w:sz w:val="18"/>
          <w:szCs w:val="18"/>
        </w:rPr>
      </w:pPr>
    </w:p>
    <w:p w14:paraId="25315E10" w14:textId="0F6E2CFF" w:rsidR="00A81EBD" w:rsidRPr="00A81EBD" w:rsidRDefault="00A81EBD" w:rsidP="00A81EBD">
      <w:pPr>
        <w:spacing w:line="288" w:lineRule="auto"/>
        <w:jc w:val="both"/>
        <w:rPr>
          <w:rFonts w:ascii="Aptos" w:eastAsia="Times New Roman" w:hAnsi="Aptos" w:cs="Poppins"/>
          <w:color w:val="002060"/>
        </w:rPr>
      </w:pPr>
      <w:r w:rsidRPr="00A81EBD">
        <w:rPr>
          <w:rFonts w:ascii="Aptos" w:eastAsia="Times New Roman" w:hAnsi="Aptos" w:cs="Poppins"/>
          <w:color w:val="002060"/>
        </w:rPr>
        <w:t>LNG is seen as a strategic transition fuel, particularly in Asia, where governments are seeking to balance energy security with emissions reduction commitments.</w:t>
      </w:r>
    </w:p>
    <w:p w14:paraId="7DF14737" w14:textId="0796C01D" w:rsidR="00A81EBD" w:rsidRPr="00A81EBD" w:rsidRDefault="00A81EBD" w:rsidP="00A81EBD">
      <w:pPr>
        <w:spacing w:after="450" w:line="288" w:lineRule="auto"/>
        <w:jc w:val="both"/>
        <w:rPr>
          <w:rFonts w:ascii="Aptos" w:eastAsia="Times New Roman" w:hAnsi="Aptos" w:cs="Segoe UI"/>
          <w:color w:val="002060"/>
        </w:rPr>
      </w:pPr>
      <w:proofErr w:type="spellStart"/>
      <w:r w:rsidRPr="00A81EBD">
        <w:rPr>
          <w:rFonts w:ascii="Aptos" w:eastAsia="Times New Roman" w:hAnsi="Aptos" w:cs="Segoe UI"/>
          <w:color w:val="002060"/>
        </w:rPr>
        <w:t>Việt</w:t>
      </w:r>
      <w:proofErr w:type="spellEnd"/>
      <w:r w:rsidRPr="00A81EBD">
        <w:rPr>
          <w:rFonts w:ascii="Aptos" w:eastAsia="Times New Roman" w:hAnsi="Aptos" w:cs="Segoe UI"/>
          <w:color w:val="002060"/>
        </w:rPr>
        <w:t xml:space="preserve"> Nam’s oil and energy industry is entering what analysts describe as a new growth cycle, supported by firmer crude prices and strengthening global market fundamentals.</w:t>
      </w:r>
    </w:p>
    <w:p w14:paraId="2C4608CF" w14:textId="77777777" w:rsidR="00A81EBD" w:rsidRPr="00A81EBD" w:rsidRDefault="00A81EBD" w:rsidP="00A81EBD">
      <w:pPr>
        <w:spacing w:after="450" w:line="288" w:lineRule="auto"/>
        <w:jc w:val="both"/>
        <w:rPr>
          <w:rFonts w:ascii="Aptos" w:eastAsia="Times New Roman" w:hAnsi="Aptos" w:cs="Segoe UI"/>
          <w:color w:val="002060"/>
        </w:rPr>
      </w:pPr>
      <w:r w:rsidRPr="00A81EBD">
        <w:rPr>
          <w:rFonts w:ascii="Aptos" w:eastAsia="Times New Roman" w:hAnsi="Aptos" w:cs="Segoe UI"/>
          <w:color w:val="002060"/>
        </w:rPr>
        <w:t>A semi-annual 2026 industry report released by Vietcombank Securities (</w:t>
      </w:r>
      <w:proofErr w:type="spellStart"/>
      <w:r w:rsidRPr="00A81EBD">
        <w:rPr>
          <w:rFonts w:ascii="Aptos" w:eastAsia="Times New Roman" w:hAnsi="Aptos" w:cs="Segoe UI"/>
          <w:color w:val="002060"/>
        </w:rPr>
        <w:t>VCBS</w:t>
      </w:r>
      <w:proofErr w:type="spellEnd"/>
      <w:r w:rsidRPr="00A81EBD">
        <w:rPr>
          <w:rFonts w:ascii="Aptos" w:eastAsia="Times New Roman" w:hAnsi="Aptos" w:cs="Segoe UI"/>
          <w:color w:val="002060"/>
        </w:rPr>
        <w:t>) states that global oil and energy markets are showing signs of recovery following a prolonged period of subdued performance.</w:t>
      </w:r>
    </w:p>
    <w:p w14:paraId="15CCC28C" w14:textId="77777777" w:rsidR="00A81EBD" w:rsidRPr="00A81EBD" w:rsidRDefault="00A81EBD" w:rsidP="00A81EBD">
      <w:pPr>
        <w:spacing w:after="450" w:line="288" w:lineRule="auto"/>
        <w:jc w:val="both"/>
        <w:rPr>
          <w:rFonts w:ascii="Aptos" w:eastAsia="Times New Roman" w:hAnsi="Aptos" w:cs="Segoe UI"/>
          <w:color w:val="002060"/>
        </w:rPr>
      </w:pPr>
      <w:r w:rsidRPr="00A81EBD">
        <w:rPr>
          <w:rFonts w:ascii="Aptos" w:eastAsia="Times New Roman" w:hAnsi="Aptos" w:cs="Segoe UI"/>
          <w:color w:val="002060"/>
        </w:rPr>
        <w:t>According to the report, the market is shifting from supply constraints towards modest expansion in both output and consumption. After extended production curbs by OPEC+, additional supply has come from producers including the United States, Brazil and Guyana. Global crude supply is projected to rise by around three million barrels per day in 2025 and a further 2.5 million barrels per day in 2026.</w:t>
      </w:r>
    </w:p>
    <w:p w14:paraId="6B502410" w14:textId="77777777" w:rsidR="00A81EBD" w:rsidRPr="00A81EBD" w:rsidRDefault="00A81EBD" w:rsidP="00A81EBD">
      <w:pPr>
        <w:spacing w:after="450" w:line="288" w:lineRule="auto"/>
        <w:jc w:val="both"/>
        <w:rPr>
          <w:rFonts w:ascii="Aptos" w:eastAsia="Times New Roman" w:hAnsi="Aptos" w:cs="Segoe UI"/>
          <w:color w:val="002060"/>
        </w:rPr>
      </w:pPr>
      <w:r w:rsidRPr="00A81EBD">
        <w:rPr>
          <w:rFonts w:ascii="Aptos" w:eastAsia="Times New Roman" w:hAnsi="Aptos" w:cs="Segoe UI"/>
          <w:color w:val="002060"/>
        </w:rPr>
        <w:t>Oil demand growth, while moderate, is forecast at approximately 1.1 million barrels per day in 2026, with Asia accounting for a substantial share of the increase.</w:t>
      </w:r>
    </w:p>
    <w:p w14:paraId="7C846448" w14:textId="77777777" w:rsidR="00A81EBD" w:rsidRPr="00A81EBD" w:rsidRDefault="00A81EBD" w:rsidP="00A81EBD">
      <w:pPr>
        <w:spacing w:after="450" w:line="288" w:lineRule="auto"/>
        <w:jc w:val="both"/>
        <w:rPr>
          <w:rFonts w:ascii="Aptos" w:eastAsia="Times New Roman" w:hAnsi="Aptos" w:cs="Segoe UI"/>
          <w:color w:val="002060"/>
        </w:rPr>
      </w:pPr>
      <w:r w:rsidRPr="00A81EBD">
        <w:rPr>
          <w:rFonts w:ascii="Aptos" w:eastAsia="Times New Roman" w:hAnsi="Aptos" w:cs="Segoe UI"/>
          <w:color w:val="002060"/>
        </w:rPr>
        <w:t xml:space="preserve">In that context, Brent crude prices are expected to fluctuate within a range of </w:t>
      </w:r>
      <w:proofErr w:type="spellStart"/>
      <w:r w:rsidRPr="00A81EBD">
        <w:rPr>
          <w:rFonts w:ascii="Aptos" w:eastAsia="Times New Roman" w:hAnsi="Aptos" w:cs="Segoe UI"/>
          <w:color w:val="002060"/>
        </w:rPr>
        <w:t>US$55</w:t>
      </w:r>
      <w:proofErr w:type="spellEnd"/>
      <w:r w:rsidRPr="00A81EBD">
        <w:rPr>
          <w:rFonts w:ascii="Aptos" w:eastAsia="Times New Roman" w:hAnsi="Aptos" w:cs="Segoe UI"/>
          <w:color w:val="002060"/>
        </w:rPr>
        <w:t>–65 per barrel. Analysts say this level would be sufficiently stable to support upstream investment decisions without triggering the extreme volatility seen in previous cycles.</w:t>
      </w:r>
    </w:p>
    <w:p w14:paraId="7E0822B3" w14:textId="77777777" w:rsidR="00A81EBD" w:rsidRPr="00A81EBD" w:rsidRDefault="00A81EBD" w:rsidP="00A81EBD">
      <w:pPr>
        <w:spacing w:after="450" w:line="288" w:lineRule="auto"/>
        <w:jc w:val="both"/>
        <w:rPr>
          <w:rFonts w:ascii="Aptos" w:eastAsia="Times New Roman" w:hAnsi="Aptos" w:cs="Segoe UI"/>
          <w:color w:val="002060"/>
        </w:rPr>
      </w:pPr>
      <w:r w:rsidRPr="00A81EBD">
        <w:rPr>
          <w:rFonts w:ascii="Aptos" w:eastAsia="Times New Roman" w:hAnsi="Aptos" w:cs="Segoe UI"/>
          <w:color w:val="002060"/>
        </w:rPr>
        <w:lastRenderedPageBreak/>
        <w:t xml:space="preserve">Liquefied natural gas is emerging as a central pillar of the next expansion phase. </w:t>
      </w:r>
      <w:proofErr w:type="spellStart"/>
      <w:r w:rsidRPr="00A81EBD">
        <w:rPr>
          <w:rFonts w:ascii="Aptos" w:eastAsia="Times New Roman" w:hAnsi="Aptos" w:cs="Segoe UI"/>
          <w:color w:val="002060"/>
        </w:rPr>
        <w:t>VCBS</w:t>
      </w:r>
      <w:proofErr w:type="spellEnd"/>
      <w:r w:rsidRPr="00A81EBD">
        <w:rPr>
          <w:rFonts w:ascii="Aptos" w:eastAsia="Times New Roman" w:hAnsi="Aptos" w:cs="Segoe UI"/>
          <w:color w:val="002060"/>
        </w:rPr>
        <w:t xml:space="preserve"> forecasts that new liquefaction capacity from major exporters such as the US and Qatar could lift global LNG supply by between 7 and 10 per cent in 2026, with total capacity potentially expanding by up to 50 per cent by 2030.</w:t>
      </w:r>
    </w:p>
    <w:p w14:paraId="192839AC" w14:textId="77777777" w:rsidR="00A81EBD" w:rsidRPr="00A81EBD" w:rsidRDefault="00A81EBD" w:rsidP="00A81EBD">
      <w:pPr>
        <w:spacing w:after="450" w:line="288" w:lineRule="auto"/>
        <w:jc w:val="both"/>
        <w:rPr>
          <w:rFonts w:ascii="Aptos" w:eastAsia="Times New Roman" w:hAnsi="Aptos" w:cs="Segoe UI"/>
          <w:color w:val="002060"/>
        </w:rPr>
      </w:pPr>
      <w:r w:rsidRPr="00A81EBD">
        <w:rPr>
          <w:rFonts w:ascii="Aptos" w:eastAsia="Times New Roman" w:hAnsi="Aptos" w:cs="Segoe UI"/>
          <w:color w:val="002060"/>
        </w:rPr>
        <w:t>The report describes LNG as a strategic transition fuel, particularly across Asia, where governments are seeking to balance energy security with emissions reduction commitments.</w:t>
      </w:r>
    </w:p>
    <w:p w14:paraId="37392CB7" w14:textId="77777777" w:rsidR="00A81EBD" w:rsidRPr="00A81EBD" w:rsidRDefault="00A81EBD" w:rsidP="00A81EBD">
      <w:pPr>
        <w:spacing w:after="450" w:line="288" w:lineRule="auto"/>
        <w:jc w:val="both"/>
        <w:rPr>
          <w:rFonts w:ascii="Aptos" w:eastAsia="Times New Roman" w:hAnsi="Aptos" w:cs="Segoe UI"/>
          <w:color w:val="002060"/>
        </w:rPr>
      </w:pPr>
      <w:r w:rsidRPr="00A81EBD">
        <w:rPr>
          <w:rFonts w:ascii="Aptos" w:eastAsia="Times New Roman" w:hAnsi="Aptos" w:cs="Segoe UI"/>
          <w:color w:val="002060"/>
        </w:rPr>
        <w:t xml:space="preserve">For </w:t>
      </w:r>
      <w:proofErr w:type="spellStart"/>
      <w:r w:rsidRPr="00A81EBD">
        <w:rPr>
          <w:rFonts w:ascii="Aptos" w:eastAsia="Times New Roman" w:hAnsi="Aptos" w:cs="Segoe UI"/>
          <w:color w:val="002060"/>
        </w:rPr>
        <w:t>Việt</w:t>
      </w:r>
      <w:proofErr w:type="spellEnd"/>
      <w:r w:rsidRPr="00A81EBD">
        <w:rPr>
          <w:rFonts w:ascii="Aptos" w:eastAsia="Times New Roman" w:hAnsi="Aptos" w:cs="Segoe UI"/>
          <w:color w:val="002060"/>
        </w:rPr>
        <w:t xml:space="preserve"> Nam, the structural shift carries particular significance. Domestic oil and gas fields are experiencing natural decline, with gas output estimated to fall by about 5 per cent annually. This underscores the need to advance new upstream developments while expanding LNG import infrastructure to secure fuel for gas-fired power generation under the country’s evolving energy mix.</w:t>
      </w:r>
    </w:p>
    <w:p w14:paraId="277528EC" w14:textId="77777777" w:rsidR="00A81EBD" w:rsidRPr="00A81EBD" w:rsidRDefault="00A81EBD" w:rsidP="00A81EBD">
      <w:pPr>
        <w:spacing w:after="450" w:line="288" w:lineRule="auto"/>
        <w:jc w:val="both"/>
        <w:rPr>
          <w:rFonts w:ascii="Aptos" w:eastAsia="Times New Roman" w:hAnsi="Aptos" w:cs="Segoe UI"/>
          <w:color w:val="002060"/>
        </w:rPr>
      </w:pPr>
      <w:proofErr w:type="spellStart"/>
      <w:r w:rsidRPr="00A81EBD">
        <w:rPr>
          <w:rFonts w:ascii="Aptos" w:eastAsia="Times New Roman" w:hAnsi="Aptos" w:cs="Segoe UI"/>
          <w:color w:val="002060"/>
        </w:rPr>
        <w:t>VCBS</w:t>
      </w:r>
      <w:proofErr w:type="spellEnd"/>
      <w:r w:rsidRPr="00A81EBD">
        <w:rPr>
          <w:rFonts w:ascii="Aptos" w:eastAsia="Times New Roman" w:hAnsi="Aptos" w:cs="Segoe UI"/>
          <w:color w:val="002060"/>
        </w:rPr>
        <w:t xml:space="preserve"> highlights several large-scale domestic projects moving forward, providing visibility for the next investment cycle. These include the integrated Lot B – Ô Môn gas-to-power chain, the Ô Môn 4 power project, the </w:t>
      </w:r>
      <w:proofErr w:type="spellStart"/>
      <w:r w:rsidRPr="00A81EBD">
        <w:rPr>
          <w:rFonts w:ascii="Aptos" w:eastAsia="Times New Roman" w:hAnsi="Aptos" w:cs="Segoe UI"/>
          <w:color w:val="002060"/>
        </w:rPr>
        <w:t>Nhơn</w:t>
      </w:r>
      <w:proofErr w:type="spellEnd"/>
      <w:r w:rsidRPr="00A81EBD">
        <w:rPr>
          <w:rFonts w:ascii="Aptos" w:eastAsia="Times New Roman" w:hAnsi="Aptos" w:cs="Segoe UI"/>
          <w:color w:val="002060"/>
        </w:rPr>
        <w:t xml:space="preserve"> </w:t>
      </w:r>
      <w:proofErr w:type="spellStart"/>
      <w:r w:rsidRPr="00A81EBD">
        <w:rPr>
          <w:rFonts w:ascii="Aptos" w:eastAsia="Times New Roman" w:hAnsi="Aptos" w:cs="Segoe UI"/>
          <w:color w:val="002060"/>
        </w:rPr>
        <w:t>Trạch</w:t>
      </w:r>
      <w:proofErr w:type="spellEnd"/>
      <w:r w:rsidRPr="00A81EBD">
        <w:rPr>
          <w:rFonts w:ascii="Aptos" w:eastAsia="Times New Roman" w:hAnsi="Aptos" w:cs="Segoe UI"/>
          <w:color w:val="002060"/>
        </w:rPr>
        <w:t xml:space="preserve"> 3 and 4 LNG-to-power plants and capacity upgrades at Dung </w:t>
      </w:r>
      <w:proofErr w:type="spellStart"/>
      <w:r w:rsidRPr="00A81EBD">
        <w:rPr>
          <w:rFonts w:ascii="Aptos" w:eastAsia="Times New Roman" w:hAnsi="Aptos" w:cs="Segoe UI"/>
          <w:color w:val="002060"/>
        </w:rPr>
        <w:t>Quất</w:t>
      </w:r>
      <w:proofErr w:type="spellEnd"/>
      <w:r w:rsidRPr="00A81EBD">
        <w:rPr>
          <w:rFonts w:ascii="Aptos" w:eastAsia="Times New Roman" w:hAnsi="Aptos" w:cs="Segoe UI"/>
          <w:color w:val="002060"/>
        </w:rPr>
        <w:t xml:space="preserve"> Refinery.</w:t>
      </w:r>
    </w:p>
    <w:p w14:paraId="54AFA14D" w14:textId="77777777" w:rsidR="00A81EBD" w:rsidRPr="00A81EBD" w:rsidRDefault="00A81EBD" w:rsidP="00A81EBD">
      <w:pPr>
        <w:spacing w:after="450" w:line="288" w:lineRule="auto"/>
        <w:jc w:val="both"/>
        <w:rPr>
          <w:rFonts w:ascii="Aptos" w:eastAsia="Times New Roman" w:hAnsi="Aptos" w:cs="Segoe UI"/>
          <w:color w:val="002060"/>
        </w:rPr>
      </w:pPr>
      <w:r w:rsidRPr="00A81EBD">
        <w:rPr>
          <w:rFonts w:ascii="Aptos" w:eastAsia="Times New Roman" w:hAnsi="Aptos" w:cs="Segoe UI"/>
          <w:color w:val="002060"/>
        </w:rPr>
        <w:t xml:space="preserve">At the same time, </w:t>
      </w:r>
      <w:proofErr w:type="spellStart"/>
      <w:r w:rsidRPr="00A81EBD">
        <w:rPr>
          <w:rFonts w:ascii="Aptos" w:eastAsia="Times New Roman" w:hAnsi="Aptos" w:cs="Segoe UI"/>
          <w:color w:val="002060"/>
        </w:rPr>
        <w:t>Petrovietnam</w:t>
      </w:r>
      <w:proofErr w:type="spellEnd"/>
      <w:r w:rsidRPr="00A81EBD">
        <w:rPr>
          <w:rFonts w:ascii="Aptos" w:eastAsia="Times New Roman" w:hAnsi="Aptos" w:cs="Segoe UI"/>
          <w:color w:val="002060"/>
        </w:rPr>
        <w:t xml:space="preserve"> has accelerated development at key fields such as </w:t>
      </w:r>
      <w:proofErr w:type="spellStart"/>
      <w:r w:rsidRPr="00A81EBD">
        <w:rPr>
          <w:rFonts w:ascii="Aptos" w:eastAsia="Times New Roman" w:hAnsi="Aptos" w:cs="Segoe UI"/>
          <w:color w:val="002060"/>
        </w:rPr>
        <w:t>Bạch</w:t>
      </w:r>
      <w:proofErr w:type="spellEnd"/>
      <w:r w:rsidRPr="00A81EBD">
        <w:rPr>
          <w:rFonts w:ascii="Aptos" w:eastAsia="Times New Roman" w:hAnsi="Aptos" w:cs="Segoe UI"/>
          <w:color w:val="002060"/>
        </w:rPr>
        <w:t xml:space="preserve"> </w:t>
      </w:r>
      <w:proofErr w:type="spellStart"/>
      <w:r w:rsidRPr="00A81EBD">
        <w:rPr>
          <w:rFonts w:ascii="Aptos" w:eastAsia="Times New Roman" w:hAnsi="Aptos" w:cs="Segoe UI"/>
          <w:color w:val="002060"/>
        </w:rPr>
        <w:t>Hổ</w:t>
      </w:r>
      <w:proofErr w:type="spellEnd"/>
      <w:r w:rsidRPr="00A81EBD">
        <w:rPr>
          <w:rFonts w:ascii="Aptos" w:eastAsia="Times New Roman" w:hAnsi="Aptos" w:cs="Segoe UI"/>
          <w:color w:val="002060"/>
        </w:rPr>
        <w:t xml:space="preserve"> (BK-24) and </w:t>
      </w:r>
      <w:proofErr w:type="spellStart"/>
      <w:r w:rsidRPr="00A81EBD">
        <w:rPr>
          <w:rFonts w:ascii="Aptos" w:eastAsia="Times New Roman" w:hAnsi="Aptos" w:cs="Segoe UI"/>
          <w:color w:val="002060"/>
        </w:rPr>
        <w:t>Đại</w:t>
      </w:r>
      <w:proofErr w:type="spellEnd"/>
      <w:r w:rsidRPr="00A81EBD">
        <w:rPr>
          <w:rFonts w:ascii="Aptos" w:eastAsia="Times New Roman" w:hAnsi="Aptos" w:cs="Segoe UI"/>
          <w:color w:val="002060"/>
        </w:rPr>
        <w:t xml:space="preserve"> </w:t>
      </w:r>
      <w:proofErr w:type="spellStart"/>
      <w:r w:rsidRPr="00A81EBD">
        <w:rPr>
          <w:rFonts w:ascii="Aptos" w:eastAsia="Times New Roman" w:hAnsi="Aptos" w:cs="Segoe UI"/>
          <w:color w:val="002060"/>
        </w:rPr>
        <w:t>Hùng</w:t>
      </w:r>
      <w:proofErr w:type="spellEnd"/>
      <w:r w:rsidRPr="00A81EBD">
        <w:rPr>
          <w:rFonts w:ascii="Aptos" w:eastAsia="Times New Roman" w:hAnsi="Aptos" w:cs="Segoe UI"/>
          <w:color w:val="002060"/>
        </w:rPr>
        <w:t xml:space="preserve"> Phase 3, with certain installations reported to have come on stream ahead of schedule.</w:t>
      </w:r>
    </w:p>
    <w:p w14:paraId="70CBF052" w14:textId="77777777" w:rsidR="00A81EBD" w:rsidRPr="00A81EBD" w:rsidRDefault="00A81EBD" w:rsidP="00A81EBD">
      <w:pPr>
        <w:spacing w:after="450" w:line="288" w:lineRule="auto"/>
        <w:jc w:val="both"/>
        <w:rPr>
          <w:rFonts w:ascii="Aptos" w:eastAsia="Times New Roman" w:hAnsi="Aptos" w:cs="Segoe UI"/>
          <w:color w:val="002060"/>
        </w:rPr>
      </w:pPr>
      <w:r w:rsidRPr="00A81EBD">
        <w:rPr>
          <w:rFonts w:ascii="Aptos" w:eastAsia="Times New Roman" w:hAnsi="Aptos" w:cs="Segoe UI"/>
          <w:color w:val="002060"/>
        </w:rPr>
        <w:t>Policy adjustments are also influencing the outlook. The reduction of LNG import tariffs from 5 per cent to 2 per cent under Decree 73/2025/</w:t>
      </w:r>
      <w:proofErr w:type="spellStart"/>
      <w:r w:rsidRPr="00A81EBD">
        <w:rPr>
          <w:rFonts w:ascii="Aptos" w:eastAsia="Times New Roman" w:hAnsi="Aptos" w:cs="Segoe UI"/>
          <w:color w:val="002060"/>
        </w:rPr>
        <w:t>NĐ</w:t>
      </w:r>
      <w:proofErr w:type="spellEnd"/>
      <w:r w:rsidRPr="00A81EBD">
        <w:rPr>
          <w:rFonts w:ascii="Aptos" w:eastAsia="Times New Roman" w:hAnsi="Aptos" w:cs="Segoe UI"/>
          <w:color w:val="002060"/>
        </w:rPr>
        <w:t>-CP is expected to improve the cost competitiveness of LNG-to-power projects and support the expansion of gas-fired generation capacity.</w:t>
      </w:r>
    </w:p>
    <w:p w14:paraId="5ACF6276" w14:textId="77777777" w:rsidR="00A81EBD" w:rsidRPr="00A81EBD" w:rsidRDefault="00A81EBD" w:rsidP="00A81EBD">
      <w:pPr>
        <w:spacing w:after="450" w:line="288" w:lineRule="auto"/>
        <w:jc w:val="both"/>
        <w:rPr>
          <w:rFonts w:ascii="Aptos" w:eastAsia="Times New Roman" w:hAnsi="Aptos" w:cs="Segoe UI"/>
          <w:color w:val="002060"/>
        </w:rPr>
      </w:pPr>
      <w:proofErr w:type="spellStart"/>
      <w:r w:rsidRPr="00A81EBD">
        <w:rPr>
          <w:rFonts w:ascii="Aptos" w:eastAsia="Times New Roman" w:hAnsi="Aptos" w:cs="Segoe UI"/>
          <w:color w:val="002060"/>
        </w:rPr>
        <w:t>VCBS</w:t>
      </w:r>
      <w:proofErr w:type="spellEnd"/>
      <w:r w:rsidRPr="00A81EBD">
        <w:rPr>
          <w:rFonts w:ascii="Aptos" w:eastAsia="Times New Roman" w:hAnsi="Aptos" w:cs="Segoe UI"/>
          <w:color w:val="002060"/>
        </w:rPr>
        <w:t xml:space="preserve"> said such fiscal measures enhance project economics across the midstream and downstream value chain.</w:t>
      </w:r>
    </w:p>
    <w:p w14:paraId="61013FA0" w14:textId="77777777" w:rsidR="00A81EBD" w:rsidRPr="00A81EBD" w:rsidRDefault="00A81EBD" w:rsidP="00A81EBD">
      <w:pPr>
        <w:spacing w:after="450" w:line="288" w:lineRule="auto"/>
        <w:jc w:val="both"/>
        <w:rPr>
          <w:rFonts w:ascii="Aptos" w:eastAsia="Times New Roman" w:hAnsi="Aptos" w:cs="Segoe UI"/>
          <w:color w:val="002060"/>
        </w:rPr>
      </w:pPr>
      <w:r w:rsidRPr="00A81EBD">
        <w:rPr>
          <w:rFonts w:ascii="Aptos" w:eastAsia="Times New Roman" w:hAnsi="Aptos" w:cs="Segoe UI"/>
          <w:color w:val="002060"/>
        </w:rPr>
        <w:t xml:space="preserve">From a capital markets perspective, the report identifies improving earnings prospects across upstream services, drilling, gas distribution and refining. Companies including </w:t>
      </w:r>
      <w:proofErr w:type="spellStart"/>
      <w:r w:rsidRPr="00A81EBD">
        <w:rPr>
          <w:rFonts w:ascii="Aptos" w:eastAsia="Times New Roman" w:hAnsi="Aptos" w:cs="Segoe UI"/>
          <w:color w:val="002060"/>
        </w:rPr>
        <w:t>Petrovietnam</w:t>
      </w:r>
      <w:proofErr w:type="spellEnd"/>
      <w:r w:rsidRPr="00A81EBD">
        <w:rPr>
          <w:rFonts w:ascii="Aptos" w:eastAsia="Times New Roman" w:hAnsi="Aptos" w:cs="Segoe UI"/>
          <w:color w:val="002060"/>
        </w:rPr>
        <w:t xml:space="preserve"> Technical Services Corporation (PVS), </w:t>
      </w:r>
      <w:proofErr w:type="spellStart"/>
      <w:r w:rsidRPr="00A81EBD">
        <w:rPr>
          <w:rFonts w:ascii="Aptos" w:eastAsia="Times New Roman" w:hAnsi="Aptos" w:cs="Segoe UI"/>
          <w:color w:val="002060"/>
        </w:rPr>
        <w:t>Petrovietnam</w:t>
      </w:r>
      <w:proofErr w:type="spellEnd"/>
      <w:r w:rsidRPr="00A81EBD">
        <w:rPr>
          <w:rFonts w:ascii="Aptos" w:eastAsia="Times New Roman" w:hAnsi="Aptos" w:cs="Segoe UI"/>
          <w:color w:val="002060"/>
        </w:rPr>
        <w:t xml:space="preserve"> Drilling and Well Service Corporation (PVD), PV Gas (GAS), </w:t>
      </w:r>
      <w:proofErr w:type="spellStart"/>
      <w:r w:rsidRPr="00A81EBD">
        <w:rPr>
          <w:rFonts w:ascii="Aptos" w:eastAsia="Times New Roman" w:hAnsi="Aptos" w:cs="Segoe UI"/>
          <w:color w:val="002060"/>
        </w:rPr>
        <w:t>Petrolimex</w:t>
      </w:r>
      <w:proofErr w:type="spellEnd"/>
      <w:r w:rsidRPr="00A81EBD">
        <w:rPr>
          <w:rFonts w:ascii="Aptos" w:eastAsia="Times New Roman" w:hAnsi="Aptos" w:cs="Segoe UI"/>
          <w:color w:val="002060"/>
        </w:rPr>
        <w:t xml:space="preserve"> (</w:t>
      </w:r>
      <w:proofErr w:type="spellStart"/>
      <w:r w:rsidRPr="00A81EBD">
        <w:rPr>
          <w:rFonts w:ascii="Aptos" w:eastAsia="Times New Roman" w:hAnsi="Aptos" w:cs="Segoe UI"/>
          <w:color w:val="002060"/>
        </w:rPr>
        <w:t>PLX</w:t>
      </w:r>
      <w:proofErr w:type="spellEnd"/>
      <w:r w:rsidRPr="00A81EBD">
        <w:rPr>
          <w:rFonts w:ascii="Aptos" w:eastAsia="Times New Roman" w:hAnsi="Aptos" w:cs="Segoe UI"/>
          <w:color w:val="002060"/>
        </w:rPr>
        <w:t xml:space="preserve">) and Binh Son Refining and Petrochemical </w:t>
      </w:r>
      <w:proofErr w:type="spellStart"/>
      <w:r w:rsidRPr="00A81EBD">
        <w:rPr>
          <w:rFonts w:ascii="Aptos" w:eastAsia="Times New Roman" w:hAnsi="Aptos" w:cs="Segoe UI"/>
          <w:color w:val="002060"/>
        </w:rPr>
        <w:t>JSC</w:t>
      </w:r>
      <w:proofErr w:type="spellEnd"/>
      <w:r w:rsidRPr="00A81EBD">
        <w:rPr>
          <w:rFonts w:ascii="Aptos" w:eastAsia="Times New Roman" w:hAnsi="Aptos" w:cs="Segoe UI"/>
          <w:color w:val="002060"/>
        </w:rPr>
        <w:t xml:space="preserve"> (</w:t>
      </w:r>
      <w:proofErr w:type="spellStart"/>
      <w:r w:rsidRPr="00A81EBD">
        <w:rPr>
          <w:rFonts w:ascii="Aptos" w:eastAsia="Times New Roman" w:hAnsi="Aptos" w:cs="Segoe UI"/>
          <w:color w:val="002060"/>
        </w:rPr>
        <w:t>BSR</w:t>
      </w:r>
      <w:proofErr w:type="spellEnd"/>
      <w:r w:rsidRPr="00A81EBD">
        <w:rPr>
          <w:rFonts w:ascii="Aptos" w:eastAsia="Times New Roman" w:hAnsi="Aptos" w:cs="Segoe UI"/>
          <w:color w:val="002060"/>
        </w:rPr>
        <w:t>) are cited as potential beneficiaries of renewed sector momentum.</w:t>
      </w:r>
    </w:p>
    <w:p w14:paraId="1344FCB2" w14:textId="2F5BD776" w:rsidR="00557EB5" w:rsidRPr="00A81EBD" w:rsidRDefault="00A81EBD" w:rsidP="00A81EBD">
      <w:pPr>
        <w:spacing w:after="450" w:line="288" w:lineRule="auto"/>
        <w:jc w:val="both"/>
        <w:rPr>
          <w:rFonts w:ascii="Aptos" w:eastAsia="Times New Roman" w:hAnsi="Aptos" w:cs="Segoe UI"/>
          <w:color w:val="002060"/>
        </w:rPr>
      </w:pPr>
      <w:proofErr w:type="spellStart"/>
      <w:r w:rsidRPr="00A81EBD">
        <w:rPr>
          <w:rFonts w:ascii="Aptos" w:eastAsia="Times New Roman" w:hAnsi="Aptos" w:cs="Segoe UI"/>
          <w:color w:val="002060"/>
        </w:rPr>
        <w:t>VCBS</w:t>
      </w:r>
      <w:proofErr w:type="spellEnd"/>
      <w:r w:rsidRPr="00A81EBD">
        <w:rPr>
          <w:rFonts w:ascii="Aptos" w:eastAsia="Times New Roman" w:hAnsi="Aptos" w:cs="Segoe UI"/>
          <w:color w:val="002060"/>
        </w:rPr>
        <w:t xml:space="preserve"> projects that these stocks could record share price gains of between 6 and 20 per cent over the next 12 to 24 months, reflecting expectations of stronger order backlogs, higher rig </w:t>
      </w:r>
      <w:proofErr w:type="spellStart"/>
      <w:r w:rsidRPr="00A81EBD">
        <w:rPr>
          <w:rFonts w:ascii="Aptos" w:eastAsia="Times New Roman" w:hAnsi="Aptos" w:cs="Segoe UI"/>
          <w:color w:val="002060"/>
        </w:rPr>
        <w:t>utilisation</w:t>
      </w:r>
      <w:proofErr w:type="spellEnd"/>
      <w:r w:rsidRPr="00A81EBD">
        <w:rPr>
          <w:rFonts w:ascii="Aptos" w:eastAsia="Times New Roman" w:hAnsi="Aptos" w:cs="Segoe UI"/>
          <w:color w:val="002060"/>
        </w:rPr>
        <w:t xml:space="preserve"> rates, increased throughput volumes, and a more supportive regulatory environment.</w:t>
      </w:r>
    </w:p>
    <w:p w14:paraId="482D5D14" w14:textId="77777777" w:rsidR="00921001" w:rsidRDefault="00EE121E" w:rsidP="00921001">
      <w:pPr>
        <w:spacing w:line="288" w:lineRule="auto"/>
        <w:jc w:val="right"/>
        <w:rPr>
          <w:rStyle w:val="Hyperlink"/>
          <w:rFonts w:ascii="Aptos" w:eastAsia="Malgun Gothic" w:hAnsi="Aptos" w:cs="Times New Roman"/>
          <w:color w:val="002060"/>
        </w:rPr>
      </w:pPr>
      <w:hyperlink w:anchor="_top" w:history="1">
        <w:r w:rsidR="00921001" w:rsidRPr="004C6CBE">
          <w:rPr>
            <w:rStyle w:val="Hyperlink"/>
            <w:rFonts w:ascii="Aptos" w:eastAsia="Malgun Gothic" w:hAnsi="Aptos" w:cs="Times New Roman"/>
            <w:color w:val="002060"/>
          </w:rPr>
          <w:t>Back to Top</w:t>
        </w:r>
      </w:hyperlink>
    </w:p>
    <w:p w14:paraId="3E639D87" w14:textId="77777777" w:rsidR="007F4274" w:rsidRPr="007F4274" w:rsidRDefault="007F4274" w:rsidP="007F4274"/>
    <w:p w14:paraId="63461EA9" w14:textId="77777777" w:rsidR="00780E8A" w:rsidRDefault="00780E8A" w:rsidP="00675434">
      <w:pPr>
        <w:pStyle w:val="Heading1"/>
        <w:shd w:val="clear" w:color="auto" w:fill="FFFFFF"/>
        <w:spacing w:before="0" w:line="288" w:lineRule="atLeast"/>
        <w:rPr>
          <w:rFonts w:ascii="Aptos" w:eastAsia="Malgun Gothic" w:hAnsi="Aptos" w:cs="Times New Roman"/>
          <w:color w:val="002060"/>
        </w:rPr>
      </w:pPr>
      <w:bookmarkStart w:id="1233" w:name="_Toc215144391"/>
      <w:bookmarkStart w:id="1234" w:name="_Toc215750969"/>
      <w:bookmarkStart w:id="1235" w:name="_Toc216355067"/>
      <w:bookmarkStart w:id="1236" w:name="_Toc216965815"/>
      <w:bookmarkStart w:id="1237" w:name="_Toc217639136"/>
      <w:bookmarkStart w:id="1238" w:name="_Toc218772688"/>
      <w:bookmarkStart w:id="1239" w:name="_Toc219377454"/>
    </w:p>
    <w:p w14:paraId="3BDE2A92" w14:textId="77777777" w:rsidR="00780E8A" w:rsidRDefault="00780E8A" w:rsidP="00675434">
      <w:pPr>
        <w:pStyle w:val="Heading1"/>
        <w:shd w:val="clear" w:color="auto" w:fill="FFFFFF"/>
        <w:spacing w:before="0" w:line="288" w:lineRule="atLeast"/>
        <w:rPr>
          <w:rFonts w:ascii="Aptos" w:eastAsia="Malgun Gothic" w:hAnsi="Aptos" w:cs="Times New Roman"/>
          <w:color w:val="002060"/>
        </w:rPr>
      </w:pPr>
    </w:p>
    <w:p w14:paraId="1E5714F8" w14:textId="14131A21" w:rsidR="00675434" w:rsidRDefault="00687F12" w:rsidP="00675434">
      <w:pPr>
        <w:pStyle w:val="Heading1"/>
        <w:shd w:val="clear" w:color="auto" w:fill="FFFFFF"/>
        <w:spacing w:before="0" w:line="288" w:lineRule="atLeast"/>
        <w:rPr>
          <w:rFonts w:ascii="Aptos" w:eastAsia="Malgun Gothic" w:hAnsi="Aptos" w:cs="Times New Roman"/>
          <w:color w:val="002060"/>
        </w:rPr>
      </w:pPr>
      <w:bookmarkStart w:id="1240" w:name="_Toc219985609"/>
      <w:bookmarkStart w:id="1241" w:name="_Toc220587305"/>
      <w:bookmarkStart w:id="1242" w:name="_Toc221194747"/>
      <w:bookmarkStart w:id="1243" w:name="_Toc223006401"/>
      <w:r w:rsidRPr="004C6CBE">
        <w:rPr>
          <w:rFonts w:ascii="Aptos" w:eastAsia="Malgun Gothic" w:hAnsi="Aptos" w:cs="Times New Roman"/>
          <w:color w:val="002060"/>
        </w:rPr>
        <w:t>LEGAL</w:t>
      </w:r>
      <w:bookmarkEnd w:id="1233"/>
      <w:bookmarkEnd w:id="1234"/>
      <w:bookmarkEnd w:id="1235"/>
      <w:bookmarkEnd w:id="1236"/>
      <w:bookmarkEnd w:id="1237"/>
      <w:bookmarkEnd w:id="1238"/>
      <w:bookmarkEnd w:id="1239"/>
      <w:bookmarkEnd w:id="1240"/>
      <w:bookmarkEnd w:id="1241"/>
      <w:bookmarkEnd w:id="1242"/>
      <w:bookmarkEnd w:id="1243"/>
    </w:p>
    <w:p w14:paraId="2260EA84" w14:textId="77777777" w:rsidR="00A81EBD" w:rsidRPr="00A81EBD" w:rsidRDefault="00A81EBD" w:rsidP="00A81EBD"/>
    <w:p w14:paraId="589BE2D5" w14:textId="77777777" w:rsidR="00F232EB" w:rsidRPr="00A81EBD" w:rsidRDefault="00F232EB" w:rsidP="00A81EBD">
      <w:pPr>
        <w:shd w:val="clear" w:color="auto" w:fill="FFFFFF"/>
        <w:spacing w:before="100" w:beforeAutospacing="1" w:after="100" w:afterAutospacing="1" w:line="288" w:lineRule="auto"/>
        <w:jc w:val="both"/>
        <w:outlineLvl w:val="0"/>
        <w:rPr>
          <w:rFonts w:ascii="Aptos" w:eastAsia="Times New Roman" w:hAnsi="Aptos" w:cs="Times New Roman"/>
          <w:b/>
          <w:bCs/>
          <w:color w:val="002060"/>
          <w:kern w:val="36"/>
          <w:sz w:val="28"/>
          <w:szCs w:val="28"/>
        </w:rPr>
      </w:pPr>
      <w:bookmarkStart w:id="1244" w:name="_Toc223006402"/>
      <w:r w:rsidRPr="00A81EBD">
        <w:rPr>
          <w:rFonts w:ascii="Aptos" w:eastAsia="Times New Roman" w:hAnsi="Aptos" w:cs="Times New Roman"/>
          <w:b/>
          <w:bCs/>
          <w:color w:val="002060"/>
          <w:kern w:val="36"/>
          <w:sz w:val="28"/>
          <w:szCs w:val="28"/>
        </w:rPr>
        <w:t>Vietnam’s economic outlook guided by Resolutions 79 and 68</w:t>
      </w:r>
      <w:bookmarkEnd w:id="1244"/>
    </w:p>
    <w:p w14:paraId="72CC9D7C" w14:textId="5FC8D807" w:rsidR="00A81EBD" w:rsidRPr="00A81EBD" w:rsidRDefault="00A81EBD" w:rsidP="00A81EBD">
      <w:pPr>
        <w:shd w:val="clear" w:color="auto" w:fill="FFFFFF"/>
        <w:spacing w:before="100" w:beforeAutospacing="1" w:after="100" w:afterAutospacing="1" w:line="288" w:lineRule="auto"/>
        <w:jc w:val="both"/>
        <w:outlineLvl w:val="0"/>
        <w:rPr>
          <w:rFonts w:ascii="Aptos" w:eastAsia="Times New Roman" w:hAnsi="Aptos" w:cs="Times New Roman"/>
          <w:i/>
          <w:iCs/>
          <w:color w:val="002060"/>
          <w:kern w:val="36"/>
          <w:sz w:val="18"/>
          <w:szCs w:val="18"/>
        </w:rPr>
      </w:pPr>
      <w:bookmarkStart w:id="1245" w:name="_Toc223006403"/>
      <w:proofErr w:type="spellStart"/>
      <w:r w:rsidRPr="00A81EBD">
        <w:rPr>
          <w:rFonts w:ascii="Aptos" w:eastAsia="Times New Roman" w:hAnsi="Aptos" w:cs="Times New Roman"/>
          <w:i/>
          <w:iCs/>
          <w:color w:val="002060"/>
          <w:kern w:val="36"/>
          <w:sz w:val="18"/>
          <w:szCs w:val="18"/>
        </w:rPr>
        <w:t>VNN</w:t>
      </w:r>
      <w:bookmarkEnd w:id="1245"/>
      <w:proofErr w:type="spellEnd"/>
    </w:p>
    <w:p w14:paraId="6F59EC54" w14:textId="77777777" w:rsidR="00F232EB" w:rsidRPr="00A81EBD" w:rsidRDefault="00F232EB" w:rsidP="00A81EBD">
      <w:pPr>
        <w:shd w:val="clear" w:color="auto" w:fill="FFFFFF"/>
        <w:spacing w:after="0" w:line="288" w:lineRule="auto"/>
        <w:ind w:right="150"/>
        <w:jc w:val="both"/>
        <w:rPr>
          <w:rFonts w:ascii="Aptos" w:eastAsia="Times New Roman" w:hAnsi="Aptos" w:cs="Times New Roman"/>
          <w:color w:val="002060"/>
          <w:bdr w:val="single" w:sz="6" w:space="0" w:color="E2E2E2" w:frame="1"/>
        </w:rPr>
      </w:pPr>
      <w:r w:rsidRPr="00A81EBD">
        <w:rPr>
          <w:rFonts w:ascii="Aptos" w:eastAsia="Times New Roman" w:hAnsi="Aptos" w:cs="Times New Roman"/>
          <w:color w:val="002060"/>
        </w:rPr>
        <w:fldChar w:fldCharType="begin"/>
      </w:r>
      <w:r w:rsidRPr="00A81EBD">
        <w:rPr>
          <w:rFonts w:ascii="Aptos" w:eastAsia="Times New Roman" w:hAnsi="Aptos" w:cs="Times New Roman"/>
          <w:color w:val="002060"/>
        </w:rPr>
        <w:instrText>HYPERLINK "javasctip:void(0);" \o "Share the post on zalo"</w:instrText>
      </w:r>
      <w:r w:rsidRPr="00A81EBD">
        <w:rPr>
          <w:rFonts w:ascii="Aptos" w:eastAsia="Times New Roman" w:hAnsi="Aptos" w:cs="Times New Roman"/>
          <w:color w:val="002060"/>
        </w:rPr>
      </w:r>
      <w:r w:rsidRPr="00A81EBD">
        <w:rPr>
          <w:rFonts w:ascii="Aptos" w:eastAsia="Times New Roman" w:hAnsi="Aptos" w:cs="Times New Roman"/>
          <w:color w:val="002060"/>
        </w:rPr>
        <w:fldChar w:fldCharType="separate"/>
      </w:r>
    </w:p>
    <w:p w14:paraId="221B8AC9" w14:textId="49B44C11" w:rsidR="00F232EB" w:rsidRPr="00A81EBD" w:rsidRDefault="00F232EB" w:rsidP="00A81EBD">
      <w:pPr>
        <w:shd w:val="clear" w:color="auto" w:fill="FFFFFF"/>
        <w:spacing w:after="0" w:line="288" w:lineRule="auto"/>
        <w:jc w:val="both"/>
        <w:rPr>
          <w:rFonts w:ascii="Aptos" w:eastAsia="Times New Roman" w:hAnsi="Aptos" w:cs="Times New Roman"/>
          <w:color w:val="002060"/>
        </w:rPr>
      </w:pPr>
      <w:r w:rsidRPr="00A81EBD">
        <w:rPr>
          <w:rFonts w:ascii="Aptos" w:eastAsia="Times New Roman" w:hAnsi="Aptos" w:cs="Times New Roman"/>
          <w:color w:val="002060"/>
        </w:rPr>
        <w:fldChar w:fldCharType="end"/>
      </w:r>
      <w:r w:rsidRPr="00A81EBD">
        <w:rPr>
          <w:rFonts w:ascii="Aptos" w:eastAsia="Times New Roman" w:hAnsi="Aptos" w:cs="Arial"/>
          <w:b/>
          <w:bCs/>
          <w:color w:val="002060"/>
        </w:rPr>
        <w:t xml:space="preserve">As Vietnam enters a new stage of development that demands rapid yet sustainable growth, two key policy documents, Resolution </w:t>
      </w:r>
      <w:proofErr w:type="spellStart"/>
      <w:r w:rsidRPr="00A81EBD">
        <w:rPr>
          <w:rFonts w:ascii="Aptos" w:eastAsia="Times New Roman" w:hAnsi="Aptos" w:cs="Arial"/>
          <w:b/>
          <w:bCs/>
          <w:color w:val="002060"/>
        </w:rPr>
        <w:t>No79</w:t>
      </w:r>
      <w:proofErr w:type="spellEnd"/>
      <w:r w:rsidRPr="00A81EBD">
        <w:rPr>
          <w:rFonts w:ascii="Aptos" w:eastAsia="Times New Roman" w:hAnsi="Aptos" w:cs="Arial"/>
          <w:b/>
          <w:bCs/>
          <w:color w:val="002060"/>
        </w:rPr>
        <w:t xml:space="preserve">-NQ/TW and Resolution </w:t>
      </w:r>
      <w:proofErr w:type="spellStart"/>
      <w:r w:rsidRPr="00A81EBD">
        <w:rPr>
          <w:rFonts w:ascii="Aptos" w:eastAsia="Times New Roman" w:hAnsi="Aptos" w:cs="Arial"/>
          <w:b/>
          <w:bCs/>
          <w:color w:val="002060"/>
        </w:rPr>
        <w:t>No68</w:t>
      </w:r>
      <w:proofErr w:type="spellEnd"/>
      <w:r w:rsidRPr="00A81EBD">
        <w:rPr>
          <w:rFonts w:ascii="Aptos" w:eastAsia="Times New Roman" w:hAnsi="Aptos" w:cs="Arial"/>
          <w:b/>
          <w:bCs/>
          <w:color w:val="002060"/>
        </w:rPr>
        <w:t>-NQ/TW, have marked strategic policy milestones.</w:t>
      </w:r>
    </w:p>
    <w:p w14:paraId="5B4AD8E6" w14:textId="623E7251" w:rsidR="00A25FDA" w:rsidRDefault="00A25FDA" w:rsidP="00A25FDA">
      <w:pPr>
        <w:shd w:val="clear" w:color="auto" w:fill="FFFFFF"/>
        <w:spacing w:after="0" w:line="288" w:lineRule="auto"/>
        <w:jc w:val="both"/>
        <w:rPr>
          <w:rFonts w:ascii="Aptos" w:eastAsia="Times New Roman" w:hAnsi="Aptos" w:cs="Arial"/>
          <w:color w:val="002060"/>
        </w:rPr>
      </w:pPr>
      <w:r w:rsidRPr="0099378A">
        <w:pict w14:anchorId="57266F82">
          <v:shape id="_x0000_i1038" type="#_x0000_t75" style="width:.75pt;height:.75pt;visibility:visible;mso-wrap-style:square">
            <v:imagedata r:id="rId12" o:title=""/>
          </v:shape>
        </w:pict>
      </w:r>
    </w:p>
    <w:p w14:paraId="6ABCB6E1" w14:textId="1A26BDC4" w:rsidR="00F232EB" w:rsidRPr="00A81EBD" w:rsidRDefault="00F232EB" w:rsidP="00A25FDA">
      <w:pPr>
        <w:shd w:val="clear" w:color="auto" w:fill="FFFFFF"/>
        <w:spacing w:after="0" w:line="288" w:lineRule="auto"/>
        <w:jc w:val="both"/>
        <w:rPr>
          <w:rFonts w:ascii="Aptos" w:eastAsia="Times New Roman" w:hAnsi="Aptos" w:cs="Arial"/>
          <w:color w:val="002060"/>
        </w:rPr>
      </w:pPr>
      <w:r w:rsidRPr="00A81EBD">
        <w:rPr>
          <w:rFonts w:ascii="Aptos" w:eastAsia="Times New Roman" w:hAnsi="Aptos" w:cs="Arial"/>
          <w:color w:val="002060"/>
        </w:rPr>
        <w:t>While Resolution 79 establishes the guiding, stabilizing, and orienting role of the state economy, Resolution 68 expands development space and unleashes the full potential of the private sector. The two resolutions are not separate but complementary, creating a synergistic push for the structure and growth drivers of Vietnam’s economy in the coming period.</w:t>
      </w:r>
    </w:p>
    <w:p w14:paraId="64C0C8AD" w14:textId="77777777" w:rsidR="00F232EB" w:rsidRPr="00A81EBD" w:rsidRDefault="00F232EB" w:rsidP="00A81EBD">
      <w:pPr>
        <w:shd w:val="clear" w:color="auto" w:fill="FFFFFF"/>
        <w:spacing w:before="240" w:after="0" w:line="288" w:lineRule="auto"/>
        <w:jc w:val="both"/>
        <w:rPr>
          <w:rFonts w:ascii="Aptos" w:eastAsia="Times New Roman" w:hAnsi="Aptos" w:cs="Arial"/>
          <w:color w:val="002060"/>
        </w:rPr>
      </w:pPr>
      <w:r w:rsidRPr="00A81EBD">
        <w:rPr>
          <w:rFonts w:ascii="Aptos" w:eastAsia="Times New Roman" w:hAnsi="Aptos" w:cs="Arial"/>
          <w:color w:val="002060"/>
        </w:rPr>
        <w:t>Resolution 79-NQ/TW emphasizes that the state economy plays a leading role in ensuring macroeconomic stability and maintaining strategic pillars such as energy security, finance and banking, and critical infrastructure. Its focus is not merely on scale, but on improving the quality and efficiency of state-owned enterprises (</w:t>
      </w:r>
      <w:proofErr w:type="spellStart"/>
      <w:r w:rsidRPr="00A81EBD">
        <w:rPr>
          <w:rFonts w:ascii="Aptos" w:eastAsia="Times New Roman" w:hAnsi="Aptos" w:cs="Arial"/>
          <w:color w:val="002060"/>
        </w:rPr>
        <w:t>SOEs</w:t>
      </w:r>
      <w:proofErr w:type="spellEnd"/>
      <w:r w:rsidRPr="00A81EBD">
        <w:rPr>
          <w:rFonts w:ascii="Aptos" w:eastAsia="Times New Roman" w:hAnsi="Aptos" w:cs="Arial"/>
          <w:color w:val="002060"/>
        </w:rPr>
        <w:t>).</w:t>
      </w:r>
    </w:p>
    <w:p w14:paraId="52DF871D" w14:textId="77777777" w:rsidR="00F232EB" w:rsidRPr="00A81EBD" w:rsidRDefault="00F232EB" w:rsidP="00A81EBD">
      <w:pPr>
        <w:shd w:val="clear" w:color="auto" w:fill="FFFFFF"/>
        <w:spacing w:before="240" w:after="0" w:line="288" w:lineRule="auto"/>
        <w:jc w:val="both"/>
        <w:rPr>
          <w:rFonts w:ascii="Aptos" w:eastAsia="Times New Roman" w:hAnsi="Aptos" w:cs="Arial"/>
          <w:color w:val="002060"/>
        </w:rPr>
      </w:pPr>
      <w:r w:rsidRPr="00A81EBD">
        <w:rPr>
          <w:rFonts w:ascii="Aptos" w:eastAsia="Times New Roman" w:hAnsi="Aptos" w:cs="Arial"/>
          <w:color w:val="002060"/>
        </w:rPr>
        <w:t xml:space="preserve">The document sets ambitious targets: by 2030, approximately 50 </w:t>
      </w:r>
      <w:proofErr w:type="spellStart"/>
      <w:r w:rsidRPr="00A81EBD">
        <w:rPr>
          <w:rFonts w:ascii="Aptos" w:eastAsia="Times New Roman" w:hAnsi="Aptos" w:cs="Arial"/>
          <w:color w:val="002060"/>
        </w:rPr>
        <w:t>SOEs</w:t>
      </w:r>
      <w:proofErr w:type="spellEnd"/>
      <w:r w:rsidRPr="00A81EBD">
        <w:rPr>
          <w:rFonts w:ascii="Aptos" w:eastAsia="Times New Roman" w:hAnsi="Aptos" w:cs="Arial"/>
          <w:color w:val="002060"/>
        </w:rPr>
        <w:t xml:space="preserve"> are to be among the Top 500 largest enterprises in Southeast Asia, with at least 1–3 enterprises entering the Global Top 500. This is not simply a goal for rankings; it reflects the requirement to elevate the competitiveness, governance, and innovation capacity of the state economic sector amid deep integration. </w:t>
      </w:r>
    </w:p>
    <w:p w14:paraId="644F3D72" w14:textId="77777777" w:rsidR="00F232EB" w:rsidRPr="00A81EBD" w:rsidRDefault="00F232EB" w:rsidP="00A81EBD">
      <w:pPr>
        <w:shd w:val="clear" w:color="auto" w:fill="FFFFFF"/>
        <w:spacing w:before="240" w:after="0" w:line="288" w:lineRule="auto"/>
        <w:jc w:val="both"/>
        <w:rPr>
          <w:rFonts w:ascii="Aptos" w:eastAsia="Times New Roman" w:hAnsi="Aptos" w:cs="Arial"/>
          <w:color w:val="002060"/>
        </w:rPr>
      </w:pPr>
      <w:r w:rsidRPr="00A81EBD">
        <w:rPr>
          <w:rFonts w:ascii="Aptos" w:eastAsia="Times New Roman" w:hAnsi="Aptos" w:cs="Arial"/>
          <w:color w:val="002060"/>
        </w:rPr>
        <w:t xml:space="preserve">Resolution 79 requires </w:t>
      </w:r>
      <w:proofErr w:type="spellStart"/>
      <w:r w:rsidRPr="00A81EBD">
        <w:rPr>
          <w:rFonts w:ascii="Aptos" w:eastAsia="Times New Roman" w:hAnsi="Aptos" w:cs="Arial"/>
          <w:color w:val="002060"/>
        </w:rPr>
        <w:t>SOEs</w:t>
      </w:r>
      <w:proofErr w:type="spellEnd"/>
      <w:r w:rsidRPr="00A81EBD">
        <w:rPr>
          <w:rFonts w:ascii="Aptos" w:eastAsia="Times New Roman" w:hAnsi="Aptos" w:cs="Arial"/>
          <w:color w:val="002060"/>
        </w:rPr>
        <w:t xml:space="preserve"> to pioneer digital transformation, apply new technologies, and lead foundational economic sectors, thereby creating a "backbone" for the economy and minimizing risks from external shocks.</w:t>
      </w:r>
    </w:p>
    <w:p w14:paraId="4EF53D6B" w14:textId="77777777" w:rsidR="00F232EB" w:rsidRPr="00A81EBD" w:rsidRDefault="00F232EB" w:rsidP="00A81EBD">
      <w:pPr>
        <w:shd w:val="clear" w:color="auto" w:fill="FFFFFF"/>
        <w:spacing w:before="240" w:after="0" w:line="288" w:lineRule="auto"/>
        <w:jc w:val="both"/>
        <w:rPr>
          <w:rFonts w:ascii="Aptos" w:eastAsia="Times New Roman" w:hAnsi="Aptos" w:cs="Arial"/>
          <w:color w:val="002060"/>
        </w:rPr>
      </w:pPr>
      <w:r w:rsidRPr="00A81EBD">
        <w:rPr>
          <w:rFonts w:ascii="Aptos" w:eastAsia="Times New Roman" w:hAnsi="Aptos" w:cs="Arial"/>
          <w:color w:val="002060"/>
        </w:rPr>
        <w:t>While Resolution 79 consolidates the pillar of stability, Resolution 68-NQ/TW creates a turning point in developmental thinking by affirming for the first time that the private economy is the most important driver of the national economy. This is not just a change in terminology, but a repositioning of the private sector's role in the long-term growth structure.</w:t>
      </w:r>
    </w:p>
    <w:p w14:paraId="31420724" w14:textId="77777777" w:rsidR="00F232EB" w:rsidRPr="00A81EBD" w:rsidRDefault="00F232EB" w:rsidP="00A81EBD">
      <w:pPr>
        <w:shd w:val="clear" w:color="auto" w:fill="FFFFFF"/>
        <w:spacing w:before="240" w:after="0" w:line="288" w:lineRule="auto"/>
        <w:jc w:val="both"/>
        <w:rPr>
          <w:rFonts w:ascii="Aptos" w:eastAsia="Times New Roman" w:hAnsi="Aptos" w:cs="Arial"/>
          <w:color w:val="002060"/>
        </w:rPr>
      </w:pPr>
      <w:r w:rsidRPr="00A81EBD">
        <w:rPr>
          <w:rFonts w:ascii="Aptos" w:eastAsia="Times New Roman" w:hAnsi="Aptos" w:cs="Arial"/>
          <w:color w:val="002060"/>
        </w:rPr>
        <w:t>Resolution 68 sets clear indicators for 2030: approximately 2 million active private enterprises, contributing 55–58 percent of GDP, creating jobs for 84–85 percent of the workforce, and contributing 35–40 percent of total state budget revenue. </w:t>
      </w:r>
    </w:p>
    <w:p w14:paraId="4D18BEAD" w14:textId="77777777" w:rsidR="00F232EB" w:rsidRPr="00A81EBD" w:rsidRDefault="00F232EB" w:rsidP="00A81EBD">
      <w:pPr>
        <w:shd w:val="clear" w:color="auto" w:fill="FFFFFF"/>
        <w:spacing w:before="240" w:after="0" w:line="288" w:lineRule="auto"/>
        <w:jc w:val="both"/>
        <w:rPr>
          <w:rFonts w:ascii="Aptos" w:eastAsia="Times New Roman" w:hAnsi="Aptos" w:cs="Arial"/>
          <w:color w:val="002060"/>
        </w:rPr>
      </w:pPr>
      <w:r w:rsidRPr="00A81EBD">
        <w:rPr>
          <w:rFonts w:ascii="Aptos" w:eastAsia="Times New Roman" w:hAnsi="Aptos" w:cs="Arial"/>
          <w:color w:val="002060"/>
        </w:rPr>
        <w:t>The vision for 2045 is even more ambitious, with a target of at least 3 million private enterprises contributing over 60 percent of GDP. More importantly, Resolution 68 focuses on removing structural bottlenecks that have constrained the private sector for years, particularly in accessing capital, land, resources, and investment opportunities, while emphasizing the protection of property rights and the freedom of business.</w:t>
      </w:r>
    </w:p>
    <w:p w14:paraId="4957E171" w14:textId="77777777" w:rsidR="00F232EB" w:rsidRPr="00A81EBD" w:rsidRDefault="00F232EB" w:rsidP="00A81EBD">
      <w:pPr>
        <w:shd w:val="clear" w:color="auto" w:fill="FFFFFF"/>
        <w:spacing w:after="0" w:line="288" w:lineRule="auto"/>
        <w:jc w:val="both"/>
        <w:rPr>
          <w:rFonts w:ascii="Aptos" w:eastAsia="Times New Roman" w:hAnsi="Aptos" w:cs="Arial"/>
          <w:color w:val="002060"/>
        </w:rPr>
      </w:pPr>
      <w:r w:rsidRPr="00A81EBD">
        <w:rPr>
          <w:rFonts w:ascii="Aptos" w:eastAsia="Times New Roman" w:hAnsi="Aptos" w:cs="Arial"/>
          <w:b/>
          <w:bCs/>
          <w:color w:val="002060"/>
          <w:bdr w:val="none" w:sz="0" w:space="0" w:color="auto" w:frame="1"/>
        </w:rPr>
        <w:t>2 solutions, 1 goal</w:t>
      </w:r>
    </w:p>
    <w:p w14:paraId="4B7089C9" w14:textId="77777777" w:rsidR="00F232EB" w:rsidRPr="00A81EBD" w:rsidRDefault="00F232EB" w:rsidP="00A81EBD">
      <w:pPr>
        <w:shd w:val="clear" w:color="auto" w:fill="FFFFFF"/>
        <w:spacing w:before="240" w:after="0" w:line="288" w:lineRule="auto"/>
        <w:jc w:val="both"/>
        <w:rPr>
          <w:rFonts w:ascii="Aptos" w:eastAsia="Times New Roman" w:hAnsi="Aptos" w:cs="Arial"/>
          <w:color w:val="002060"/>
        </w:rPr>
      </w:pPr>
      <w:r w:rsidRPr="00A81EBD">
        <w:rPr>
          <w:rFonts w:ascii="Aptos" w:eastAsia="Times New Roman" w:hAnsi="Aptos" w:cs="Arial"/>
          <w:color w:val="002060"/>
        </w:rPr>
        <w:lastRenderedPageBreak/>
        <w:t>One of the most significant synergistic impacts of Resolutions 79 and 68 is the promotion of more consistent institutional reform. When the state economy is required to operate under market principles with transparency and efficiency, the overall competitive environment improves, creating fairer conditions for private sector development.</w:t>
      </w:r>
    </w:p>
    <w:p w14:paraId="3762C6C7" w14:textId="77777777" w:rsidR="00F232EB" w:rsidRPr="00A81EBD" w:rsidRDefault="00F232EB" w:rsidP="00A81EBD">
      <w:pPr>
        <w:shd w:val="clear" w:color="auto" w:fill="FFFFFF"/>
        <w:spacing w:before="240" w:after="0" w:line="288" w:lineRule="auto"/>
        <w:jc w:val="both"/>
        <w:rPr>
          <w:rFonts w:ascii="Aptos" w:eastAsia="Times New Roman" w:hAnsi="Aptos" w:cs="Arial"/>
          <w:color w:val="002060"/>
        </w:rPr>
      </w:pPr>
      <w:r w:rsidRPr="00A81EBD">
        <w:rPr>
          <w:rFonts w:ascii="Aptos" w:eastAsia="Times New Roman" w:hAnsi="Aptos" w:cs="Arial"/>
          <w:color w:val="002060"/>
        </w:rPr>
        <w:t xml:space="preserve">Conversely, the growth of the private sector exerts positive pressure on </w:t>
      </w:r>
      <w:proofErr w:type="spellStart"/>
      <w:r w:rsidRPr="00A81EBD">
        <w:rPr>
          <w:rFonts w:ascii="Aptos" w:eastAsia="Times New Roman" w:hAnsi="Aptos" w:cs="Arial"/>
          <w:color w:val="002060"/>
        </w:rPr>
        <w:t>SOEs</w:t>
      </w:r>
      <w:proofErr w:type="spellEnd"/>
      <w:r w:rsidRPr="00A81EBD">
        <w:rPr>
          <w:rFonts w:ascii="Aptos" w:eastAsia="Times New Roman" w:hAnsi="Aptos" w:cs="Arial"/>
          <w:color w:val="002060"/>
        </w:rPr>
        <w:t xml:space="preserve"> to innovate governance, optimize resources, and improve efficiency. This two-way interaction helps reduce the “ask–give” mechanism, limit market distortions, and enhance investor confidence, both domestic and foreign.</w:t>
      </w:r>
    </w:p>
    <w:p w14:paraId="63708334" w14:textId="77777777" w:rsidR="00F232EB" w:rsidRPr="00A81EBD" w:rsidRDefault="00F232EB" w:rsidP="00A81EBD">
      <w:pPr>
        <w:shd w:val="clear" w:color="auto" w:fill="FFFFFF"/>
        <w:spacing w:before="240" w:after="0" w:line="288" w:lineRule="auto"/>
        <w:jc w:val="both"/>
        <w:rPr>
          <w:rFonts w:ascii="Aptos" w:eastAsia="Times New Roman" w:hAnsi="Aptos" w:cs="Arial"/>
          <w:color w:val="002060"/>
        </w:rPr>
      </w:pPr>
      <w:r w:rsidRPr="00A81EBD">
        <w:rPr>
          <w:rFonts w:ascii="Aptos" w:eastAsia="Times New Roman" w:hAnsi="Aptos" w:cs="Arial"/>
          <w:color w:val="002060"/>
        </w:rPr>
        <w:t>The two resolutions also clearly allocate roles to optimize economic strength. Resolution 79 directs the state economic sector to focus on the fields where the private sector finds it difficult or is not yet able to participate effectively, such as strategic infrastructure, energy security, finance and monetary systems, and foundational industries. This role helps create a runway for long-term and stable growth.</w:t>
      </w:r>
    </w:p>
    <w:p w14:paraId="6E664398" w14:textId="77777777" w:rsidR="00F232EB" w:rsidRPr="00A81EBD" w:rsidRDefault="00F232EB" w:rsidP="00A81EBD">
      <w:pPr>
        <w:shd w:val="clear" w:color="auto" w:fill="FFFFFF"/>
        <w:spacing w:before="240" w:after="0" w:line="288" w:lineRule="auto"/>
        <w:jc w:val="both"/>
        <w:rPr>
          <w:rFonts w:ascii="Aptos" w:eastAsia="Times New Roman" w:hAnsi="Aptos" w:cs="Arial"/>
          <w:color w:val="002060"/>
        </w:rPr>
      </w:pPr>
      <w:r w:rsidRPr="00A81EBD">
        <w:rPr>
          <w:rFonts w:ascii="Aptos" w:eastAsia="Times New Roman" w:hAnsi="Aptos" w:cs="Arial"/>
          <w:color w:val="002060"/>
        </w:rPr>
        <w:t>Meanwhile, Resolution 68 expands space for the private sector in mobilizing capital, accessing land, technology, and labor. When both resolutions are implemented in a coordinated manner, social resources can be allocated more efficiently: the state economy provides leadership and stability, while the private sector brings flexibility, creativity, and efficiency in production and business. This synergy is most evident in public–private partnership models, where both sectors jointly invest and develop markets.</w:t>
      </w:r>
    </w:p>
    <w:p w14:paraId="643C1906" w14:textId="77777777" w:rsidR="00F232EB" w:rsidRPr="00A81EBD" w:rsidRDefault="00F232EB" w:rsidP="00A81EBD">
      <w:pPr>
        <w:shd w:val="clear" w:color="auto" w:fill="FFFFFF"/>
        <w:spacing w:before="240" w:after="0" w:line="288" w:lineRule="auto"/>
        <w:jc w:val="both"/>
        <w:rPr>
          <w:rFonts w:ascii="Aptos" w:eastAsia="Times New Roman" w:hAnsi="Aptos" w:cs="Arial"/>
          <w:color w:val="002060"/>
        </w:rPr>
      </w:pPr>
      <w:r w:rsidRPr="00A81EBD">
        <w:rPr>
          <w:rFonts w:ascii="Aptos" w:eastAsia="Times New Roman" w:hAnsi="Aptos" w:cs="Arial"/>
          <w:color w:val="002060"/>
        </w:rPr>
        <w:t xml:space="preserve">The resolutions also reinforce innovation-driven growth, shifting from extensive to intensive development. Resolution 68 emphasizes fostering entrepreneurship, promoting innovation, and improving labor productivity in the private sector. Meanwhile, Resolution 79 requires </w:t>
      </w:r>
      <w:proofErr w:type="spellStart"/>
      <w:r w:rsidRPr="00A81EBD">
        <w:rPr>
          <w:rFonts w:ascii="Aptos" w:eastAsia="Times New Roman" w:hAnsi="Aptos" w:cs="Arial"/>
          <w:color w:val="002060"/>
        </w:rPr>
        <w:t>SOEs</w:t>
      </w:r>
      <w:proofErr w:type="spellEnd"/>
      <w:r w:rsidRPr="00A81EBD">
        <w:rPr>
          <w:rFonts w:ascii="Aptos" w:eastAsia="Times New Roman" w:hAnsi="Aptos" w:cs="Arial"/>
          <w:color w:val="002060"/>
        </w:rPr>
        <w:t xml:space="preserve"> to pioneer technological application, digital transformation, and leadership in key industries.</w:t>
      </w:r>
    </w:p>
    <w:p w14:paraId="7098F04A" w14:textId="77777777" w:rsidR="00F232EB" w:rsidRPr="00A81EBD" w:rsidRDefault="00F232EB" w:rsidP="00A81EBD">
      <w:pPr>
        <w:shd w:val="clear" w:color="auto" w:fill="FFFFFF"/>
        <w:spacing w:before="240" w:after="0" w:line="288" w:lineRule="auto"/>
        <w:jc w:val="both"/>
        <w:rPr>
          <w:rFonts w:ascii="Aptos" w:eastAsia="Times New Roman" w:hAnsi="Aptos" w:cs="Arial"/>
          <w:color w:val="002060"/>
        </w:rPr>
      </w:pPr>
      <w:r w:rsidRPr="00A81EBD">
        <w:rPr>
          <w:rFonts w:ascii="Aptos" w:eastAsia="Times New Roman" w:hAnsi="Aptos" w:cs="Arial"/>
          <w:color w:val="002060"/>
        </w:rPr>
        <w:t xml:space="preserve">If so, the economy can form new linkages in which </w:t>
      </w:r>
      <w:proofErr w:type="spellStart"/>
      <w:r w:rsidRPr="00A81EBD">
        <w:rPr>
          <w:rFonts w:ascii="Aptos" w:eastAsia="Times New Roman" w:hAnsi="Aptos" w:cs="Arial"/>
          <w:color w:val="002060"/>
        </w:rPr>
        <w:t>SOEs</w:t>
      </w:r>
      <w:proofErr w:type="spellEnd"/>
      <w:r w:rsidRPr="00A81EBD">
        <w:rPr>
          <w:rFonts w:ascii="Aptos" w:eastAsia="Times New Roman" w:hAnsi="Aptos" w:cs="Arial"/>
          <w:color w:val="002060"/>
        </w:rPr>
        <w:t xml:space="preserve"> act as technology, standards, and market anchors, while private enterprises participate deeply in production, services, and innovation. This forms the foundation for transforming the growth model from extensive to intensive, based on quality and efficiency.</w:t>
      </w:r>
    </w:p>
    <w:p w14:paraId="3647436A" w14:textId="77777777" w:rsidR="00F232EB" w:rsidRPr="00A81EBD" w:rsidRDefault="00F232EB" w:rsidP="00A81EBD">
      <w:pPr>
        <w:shd w:val="clear" w:color="auto" w:fill="FFFFFF"/>
        <w:spacing w:after="0" w:line="288" w:lineRule="auto"/>
        <w:jc w:val="both"/>
        <w:rPr>
          <w:rFonts w:ascii="Aptos" w:eastAsia="Times New Roman" w:hAnsi="Aptos" w:cs="Arial"/>
          <w:color w:val="002060"/>
        </w:rPr>
      </w:pPr>
      <w:r w:rsidRPr="00A81EBD">
        <w:rPr>
          <w:rFonts w:ascii="Aptos" w:eastAsia="Times New Roman" w:hAnsi="Aptos" w:cs="Arial"/>
          <w:b/>
          <w:bCs/>
          <w:color w:val="002060"/>
          <w:bdr w:val="none" w:sz="0" w:space="0" w:color="auto" w:frame="1"/>
        </w:rPr>
        <w:t>Conditions to be effective</w:t>
      </w:r>
    </w:p>
    <w:p w14:paraId="66F20F26" w14:textId="77777777" w:rsidR="00F232EB" w:rsidRPr="00A81EBD" w:rsidRDefault="00F232EB" w:rsidP="00A81EBD">
      <w:pPr>
        <w:shd w:val="clear" w:color="auto" w:fill="FFFFFF"/>
        <w:spacing w:before="240" w:after="0" w:line="288" w:lineRule="auto"/>
        <w:jc w:val="both"/>
        <w:rPr>
          <w:rFonts w:ascii="Aptos" w:eastAsia="Times New Roman" w:hAnsi="Aptos" w:cs="Arial"/>
          <w:color w:val="002060"/>
        </w:rPr>
      </w:pPr>
      <w:r w:rsidRPr="00A81EBD">
        <w:rPr>
          <w:rFonts w:ascii="Aptos" w:eastAsia="Times New Roman" w:hAnsi="Aptos" w:cs="Arial"/>
          <w:color w:val="002060"/>
        </w:rPr>
        <w:t>The synergistic impact of Resolutions 79-NQ/TW and 68-NQ/TW will only materialize with consistent and coordinated implementation. This requires completing the legal framework, strengthening policy execution capacity, and enhancing coordination across levels and sectors.</w:t>
      </w:r>
    </w:p>
    <w:p w14:paraId="48ACDF05" w14:textId="77777777" w:rsidR="00780E8A" w:rsidRPr="00A81EBD" w:rsidRDefault="00780E8A" w:rsidP="00A81EBD">
      <w:pPr>
        <w:spacing w:line="288" w:lineRule="auto"/>
        <w:jc w:val="both"/>
        <w:rPr>
          <w:rFonts w:ascii="Aptos" w:hAnsi="Aptos"/>
          <w:color w:val="002060"/>
        </w:rPr>
      </w:pPr>
    </w:p>
    <w:p w14:paraId="7F2235AC" w14:textId="77777777" w:rsidR="007875A3" w:rsidRDefault="00EE121E" w:rsidP="007875A3">
      <w:pPr>
        <w:spacing w:line="288" w:lineRule="auto"/>
        <w:jc w:val="right"/>
        <w:rPr>
          <w:rStyle w:val="Hyperlink"/>
          <w:rFonts w:ascii="Aptos" w:eastAsia="Malgun Gothic" w:hAnsi="Aptos" w:cs="Times New Roman"/>
          <w:color w:val="002060"/>
        </w:rPr>
      </w:pPr>
      <w:hyperlink w:anchor="_top" w:history="1">
        <w:r w:rsidR="007875A3" w:rsidRPr="004C6CBE">
          <w:rPr>
            <w:rStyle w:val="Hyperlink"/>
            <w:rFonts w:ascii="Aptos" w:eastAsia="Malgun Gothic" w:hAnsi="Aptos" w:cs="Times New Roman"/>
            <w:color w:val="002060"/>
          </w:rPr>
          <w:t>Back to Top</w:t>
        </w:r>
      </w:hyperlink>
    </w:p>
    <w:p w14:paraId="25E87DAA" w14:textId="77777777" w:rsidR="005465E1" w:rsidRDefault="005465E1" w:rsidP="005465E1">
      <w:pPr>
        <w:spacing w:before="100" w:beforeAutospacing="1" w:after="100" w:afterAutospacing="1" w:line="240" w:lineRule="auto"/>
        <w:outlineLvl w:val="0"/>
        <w:rPr>
          <w:rFonts w:ascii="Times New Roman" w:eastAsia="Times New Roman" w:hAnsi="Times New Roman" w:cs="Times New Roman"/>
          <w:b/>
          <w:bCs/>
          <w:kern w:val="36"/>
          <w:sz w:val="48"/>
          <w:szCs w:val="48"/>
        </w:rPr>
      </w:pPr>
    </w:p>
    <w:p w14:paraId="110D2585" w14:textId="19106B13" w:rsidR="005465E1" w:rsidRPr="005465E1" w:rsidRDefault="005465E1" w:rsidP="005465E1">
      <w:pPr>
        <w:spacing w:before="100" w:beforeAutospacing="1" w:after="100" w:afterAutospacing="1" w:line="288" w:lineRule="auto"/>
        <w:jc w:val="both"/>
        <w:outlineLvl w:val="0"/>
        <w:rPr>
          <w:rFonts w:ascii="Aptos" w:eastAsia="Times New Roman" w:hAnsi="Aptos" w:cs="Times New Roman"/>
          <w:b/>
          <w:bCs/>
          <w:color w:val="002060"/>
          <w:kern w:val="36"/>
          <w:sz w:val="28"/>
          <w:szCs w:val="28"/>
        </w:rPr>
      </w:pPr>
      <w:bookmarkStart w:id="1246" w:name="_Toc223006404"/>
      <w:r w:rsidRPr="005465E1">
        <w:rPr>
          <w:rFonts w:ascii="Aptos" w:eastAsia="Times New Roman" w:hAnsi="Aptos" w:cs="Times New Roman"/>
          <w:b/>
          <w:bCs/>
          <w:color w:val="002060"/>
          <w:kern w:val="36"/>
          <w:sz w:val="28"/>
          <w:szCs w:val="28"/>
        </w:rPr>
        <w:t>Hanoi issues new price bracket for apartment service fees</w:t>
      </w:r>
      <w:bookmarkEnd w:id="1246"/>
    </w:p>
    <w:p w14:paraId="40652BAB" w14:textId="2F946125" w:rsidR="005465E1" w:rsidRPr="005465E1" w:rsidRDefault="005465E1" w:rsidP="005465E1">
      <w:pPr>
        <w:spacing w:after="0" w:line="288" w:lineRule="auto"/>
        <w:jc w:val="both"/>
        <w:rPr>
          <w:rFonts w:ascii="Aptos" w:eastAsia="Times New Roman" w:hAnsi="Aptos" w:cs="Times New Roman"/>
          <w:i/>
          <w:iCs/>
          <w:color w:val="002060"/>
          <w:sz w:val="18"/>
          <w:szCs w:val="18"/>
        </w:rPr>
      </w:pPr>
      <w:r w:rsidRPr="005465E1">
        <w:rPr>
          <w:rFonts w:ascii="Aptos" w:eastAsia="Times New Roman" w:hAnsi="Aptos" w:cs="Times New Roman"/>
          <w:i/>
          <w:iCs/>
          <w:color w:val="002060"/>
          <w:sz w:val="18"/>
          <w:szCs w:val="18"/>
        </w:rPr>
        <w:t>VET</w:t>
      </w:r>
    </w:p>
    <w:p w14:paraId="707A25FE" w14:textId="77777777" w:rsidR="005465E1" w:rsidRPr="005465E1" w:rsidRDefault="005465E1" w:rsidP="005465E1">
      <w:pPr>
        <w:spacing w:after="0" w:line="288" w:lineRule="auto"/>
        <w:jc w:val="both"/>
        <w:rPr>
          <w:rFonts w:ascii="Aptos" w:eastAsia="Times New Roman" w:hAnsi="Aptos" w:cs="Times New Roman"/>
          <w:color w:val="002060"/>
        </w:rPr>
      </w:pPr>
    </w:p>
    <w:p w14:paraId="04491C7C" w14:textId="77777777" w:rsidR="005465E1" w:rsidRPr="005465E1" w:rsidRDefault="005465E1" w:rsidP="005465E1">
      <w:pPr>
        <w:spacing w:after="100" w:afterAutospacing="1" w:line="288" w:lineRule="auto"/>
        <w:jc w:val="both"/>
        <w:outlineLvl w:val="1"/>
        <w:rPr>
          <w:rFonts w:ascii="Aptos" w:eastAsia="Times New Roman" w:hAnsi="Aptos" w:cs="Arial"/>
          <w:b/>
          <w:bCs/>
          <w:color w:val="002060"/>
        </w:rPr>
      </w:pPr>
      <w:bookmarkStart w:id="1247" w:name="_Toc223006405"/>
      <w:r w:rsidRPr="005465E1">
        <w:rPr>
          <w:rFonts w:ascii="Aptos" w:eastAsia="Times New Roman" w:hAnsi="Aptos" w:cs="Arial"/>
          <w:b/>
          <w:bCs/>
          <w:color w:val="002060"/>
        </w:rPr>
        <w:t>The new regulations aim to finalize the legal framework, ensure transparency in fee determination, and enhance the efficiency of state management over apartment operations.</w:t>
      </w:r>
      <w:bookmarkEnd w:id="1247"/>
    </w:p>
    <w:p w14:paraId="571E34E2" w14:textId="77777777" w:rsidR="005465E1" w:rsidRPr="005465E1" w:rsidRDefault="005465E1" w:rsidP="005465E1">
      <w:pPr>
        <w:shd w:val="clear" w:color="auto" w:fill="FFFFFF"/>
        <w:spacing w:before="100" w:beforeAutospacing="1" w:after="100" w:afterAutospacing="1" w:line="288" w:lineRule="auto"/>
        <w:jc w:val="both"/>
        <w:rPr>
          <w:rFonts w:ascii="Aptos" w:eastAsia="Times New Roman" w:hAnsi="Aptos" w:cs="Arial"/>
          <w:color w:val="002060"/>
        </w:rPr>
      </w:pPr>
      <w:r w:rsidRPr="005465E1">
        <w:rPr>
          <w:rFonts w:ascii="Aptos" w:eastAsia="Times New Roman" w:hAnsi="Aptos" w:cs="Arial"/>
          <w:color w:val="002060"/>
        </w:rPr>
        <w:lastRenderedPageBreak/>
        <w:t>Hanoi has amended and supplemented several provisions of Decision No. 33/2025/</w:t>
      </w:r>
      <w:proofErr w:type="spellStart"/>
      <w:r w:rsidRPr="005465E1">
        <w:rPr>
          <w:rFonts w:ascii="Aptos" w:eastAsia="Times New Roman" w:hAnsi="Aptos" w:cs="Arial"/>
          <w:color w:val="002060"/>
        </w:rPr>
        <w:t>QD-UBND</w:t>
      </w:r>
      <w:proofErr w:type="spellEnd"/>
      <w:r w:rsidRPr="005465E1">
        <w:rPr>
          <w:rFonts w:ascii="Aptos" w:eastAsia="Times New Roman" w:hAnsi="Aptos" w:cs="Arial"/>
          <w:color w:val="002060"/>
        </w:rPr>
        <w:t>, dated April 21, 2025, regarding the price bracket for apartment management and operation services within the city.</w:t>
      </w:r>
    </w:p>
    <w:p w14:paraId="3CDFA1EF" w14:textId="77777777" w:rsidR="005465E1" w:rsidRPr="005465E1" w:rsidRDefault="005465E1" w:rsidP="005465E1">
      <w:pPr>
        <w:shd w:val="clear" w:color="auto" w:fill="FFFFFF"/>
        <w:spacing w:before="100" w:beforeAutospacing="1" w:after="100" w:afterAutospacing="1" w:line="288" w:lineRule="auto"/>
        <w:jc w:val="both"/>
        <w:rPr>
          <w:rFonts w:ascii="Aptos" w:eastAsia="Times New Roman" w:hAnsi="Aptos" w:cs="Arial"/>
          <w:color w:val="002060"/>
        </w:rPr>
      </w:pPr>
      <w:r w:rsidRPr="005465E1">
        <w:rPr>
          <w:rFonts w:ascii="Aptos" w:eastAsia="Times New Roman" w:hAnsi="Aptos" w:cs="Arial"/>
          <w:color w:val="002060"/>
        </w:rPr>
        <w:t>The new regulations, effective from February 23, 2026, aim to finalize the legal framework, ensure transparency in fee determination, and enhance the efficiency of state management over apartment operations.</w:t>
      </w:r>
    </w:p>
    <w:p w14:paraId="6A5433E0" w14:textId="77777777" w:rsidR="005465E1" w:rsidRPr="005465E1" w:rsidRDefault="005465E1" w:rsidP="005465E1">
      <w:pPr>
        <w:shd w:val="clear" w:color="auto" w:fill="FFFFFF"/>
        <w:spacing w:before="100" w:beforeAutospacing="1" w:after="100" w:afterAutospacing="1" w:line="288" w:lineRule="auto"/>
        <w:jc w:val="both"/>
        <w:rPr>
          <w:rFonts w:ascii="Aptos" w:eastAsia="Times New Roman" w:hAnsi="Aptos" w:cs="Arial"/>
          <w:color w:val="002060"/>
        </w:rPr>
      </w:pPr>
      <w:r w:rsidRPr="005465E1">
        <w:rPr>
          <w:rFonts w:ascii="Aptos" w:eastAsia="Times New Roman" w:hAnsi="Aptos" w:cs="Arial"/>
          <w:color w:val="002060"/>
        </w:rPr>
        <w:t xml:space="preserve">Under the new guidelines, the minimum service fee for apartment buildings without elevators is set at </w:t>
      </w:r>
      <w:proofErr w:type="spellStart"/>
      <w:r w:rsidRPr="005465E1">
        <w:rPr>
          <w:rFonts w:ascii="Aptos" w:eastAsia="Times New Roman" w:hAnsi="Aptos" w:cs="Arial"/>
          <w:color w:val="002060"/>
        </w:rPr>
        <w:t>VND700</w:t>
      </w:r>
      <w:proofErr w:type="spellEnd"/>
      <w:r w:rsidRPr="005465E1">
        <w:rPr>
          <w:rFonts w:ascii="Aptos" w:eastAsia="Times New Roman" w:hAnsi="Aptos" w:cs="Arial"/>
          <w:color w:val="002060"/>
        </w:rPr>
        <w:t xml:space="preserve"> ($0.02) per square meter per month, with a maximum of </w:t>
      </w:r>
      <w:proofErr w:type="spellStart"/>
      <w:r w:rsidRPr="005465E1">
        <w:rPr>
          <w:rFonts w:ascii="Aptos" w:eastAsia="Times New Roman" w:hAnsi="Aptos" w:cs="Arial"/>
          <w:color w:val="002060"/>
        </w:rPr>
        <w:t>VND5,000</w:t>
      </w:r>
      <w:proofErr w:type="spellEnd"/>
      <w:r w:rsidRPr="005465E1">
        <w:rPr>
          <w:rFonts w:ascii="Aptos" w:eastAsia="Times New Roman" w:hAnsi="Aptos" w:cs="Arial"/>
          <w:color w:val="002060"/>
        </w:rPr>
        <w:t xml:space="preserve"> ($0.19). For buildings equipped with elevators, the minimum rate is </w:t>
      </w:r>
      <w:proofErr w:type="spellStart"/>
      <w:r w:rsidRPr="005465E1">
        <w:rPr>
          <w:rFonts w:ascii="Aptos" w:eastAsia="Times New Roman" w:hAnsi="Aptos" w:cs="Arial"/>
          <w:color w:val="002060"/>
        </w:rPr>
        <w:t>VND1,200</w:t>
      </w:r>
      <w:proofErr w:type="spellEnd"/>
      <w:r w:rsidRPr="005465E1">
        <w:rPr>
          <w:rFonts w:ascii="Aptos" w:eastAsia="Times New Roman" w:hAnsi="Aptos" w:cs="Arial"/>
          <w:color w:val="002060"/>
        </w:rPr>
        <w:t xml:space="preserve"> per square meter per month, while the maximum is </w:t>
      </w:r>
      <w:proofErr w:type="spellStart"/>
      <w:r w:rsidRPr="005465E1">
        <w:rPr>
          <w:rFonts w:ascii="Aptos" w:eastAsia="Times New Roman" w:hAnsi="Aptos" w:cs="Arial"/>
          <w:color w:val="002060"/>
        </w:rPr>
        <w:t>VND16,500</w:t>
      </w:r>
      <w:proofErr w:type="spellEnd"/>
      <w:r w:rsidRPr="005465E1">
        <w:rPr>
          <w:rFonts w:ascii="Aptos" w:eastAsia="Times New Roman" w:hAnsi="Aptos" w:cs="Arial"/>
          <w:color w:val="002060"/>
        </w:rPr>
        <w:t>.</w:t>
      </w:r>
    </w:p>
    <w:p w14:paraId="3B57015A" w14:textId="77777777" w:rsidR="005465E1" w:rsidRPr="005465E1" w:rsidRDefault="005465E1" w:rsidP="005465E1">
      <w:pPr>
        <w:shd w:val="clear" w:color="auto" w:fill="FFFFFF"/>
        <w:spacing w:before="100" w:beforeAutospacing="1" w:after="100" w:afterAutospacing="1" w:line="288" w:lineRule="auto"/>
        <w:jc w:val="both"/>
        <w:rPr>
          <w:rFonts w:ascii="Aptos" w:eastAsia="Times New Roman" w:hAnsi="Aptos" w:cs="Arial"/>
          <w:color w:val="002060"/>
        </w:rPr>
      </w:pPr>
      <w:r w:rsidRPr="005465E1">
        <w:rPr>
          <w:rFonts w:ascii="Aptos" w:eastAsia="Times New Roman" w:hAnsi="Aptos" w:cs="Arial"/>
          <w:color w:val="002060"/>
        </w:rPr>
        <w:t>The city authorities noted that this price bracket does not include fire and explosion insurance, remuneration for Apartment Management Board members, or revenues from premium services such as saunas, swimming pools, cable TV, Internet, and other high-end amenities.</w:t>
      </w:r>
    </w:p>
    <w:p w14:paraId="13DB9F88" w14:textId="77777777" w:rsidR="005465E1" w:rsidRPr="005465E1" w:rsidRDefault="005465E1" w:rsidP="005465E1">
      <w:pPr>
        <w:shd w:val="clear" w:color="auto" w:fill="FFFFFF"/>
        <w:spacing w:before="100" w:beforeAutospacing="1" w:after="100" w:afterAutospacing="1" w:line="288" w:lineRule="auto"/>
        <w:jc w:val="both"/>
        <w:rPr>
          <w:rFonts w:ascii="Aptos" w:eastAsia="Times New Roman" w:hAnsi="Aptos" w:cs="Arial"/>
          <w:color w:val="002060"/>
        </w:rPr>
      </w:pPr>
      <w:r w:rsidRPr="005465E1">
        <w:rPr>
          <w:rFonts w:ascii="Aptos" w:eastAsia="Times New Roman" w:hAnsi="Aptos" w:cs="Arial"/>
          <w:color w:val="002060"/>
        </w:rPr>
        <w:t>In addition to adjusting the price bracket, Hanoi has amended Clause 2, Article 4 of the Decision regarding the responsibilities of People’s Committees at the commune and ward levels.</w:t>
      </w:r>
    </w:p>
    <w:p w14:paraId="6B83E2F8" w14:textId="77777777" w:rsidR="005465E1" w:rsidRPr="005465E1" w:rsidRDefault="005465E1" w:rsidP="005465E1">
      <w:pPr>
        <w:shd w:val="clear" w:color="auto" w:fill="FFFFFF"/>
        <w:spacing w:before="100" w:beforeAutospacing="1" w:after="100" w:afterAutospacing="1" w:line="288" w:lineRule="auto"/>
        <w:jc w:val="both"/>
        <w:rPr>
          <w:rFonts w:ascii="Aptos" w:eastAsia="Times New Roman" w:hAnsi="Aptos" w:cs="Arial"/>
          <w:color w:val="002060"/>
        </w:rPr>
      </w:pPr>
      <w:r w:rsidRPr="005465E1">
        <w:rPr>
          <w:rFonts w:ascii="Aptos" w:eastAsia="Times New Roman" w:hAnsi="Aptos" w:cs="Arial"/>
          <w:color w:val="002060"/>
        </w:rPr>
        <w:t>Specifically, these local authorities are tasked with leading inspections into the activities of developers, management units, and Management Boards concerning financial management for public-asset apartment services within their jurisdiction. They are also responsible for resolving disputes related to building operations.</w:t>
      </w:r>
    </w:p>
    <w:p w14:paraId="51BE33BB" w14:textId="4B791D88" w:rsidR="00D525CF" w:rsidRPr="005465E1" w:rsidRDefault="005465E1" w:rsidP="005465E1">
      <w:pPr>
        <w:shd w:val="clear" w:color="auto" w:fill="FFFFFF"/>
        <w:spacing w:before="100" w:beforeAutospacing="1" w:after="100" w:afterAutospacing="1" w:line="288" w:lineRule="auto"/>
        <w:jc w:val="both"/>
        <w:rPr>
          <w:rStyle w:val="Hyperlink"/>
          <w:rFonts w:ascii="Aptos" w:eastAsia="Times New Roman" w:hAnsi="Aptos" w:cs="Arial"/>
          <w:color w:val="002060"/>
          <w:u w:val="none"/>
        </w:rPr>
      </w:pPr>
      <w:r w:rsidRPr="005465E1">
        <w:rPr>
          <w:rFonts w:ascii="Aptos" w:eastAsia="Times New Roman" w:hAnsi="Aptos" w:cs="Arial"/>
          <w:color w:val="002060"/>
        </w:rPr>
        <w:t>For non-publicly owned apartments, commune and ward-level People’s Committees are responsible for resolving disputes over management and operation fees, as well as the handover, management, and use of maintenance funds for common ownership areas, in accordance with Housing Law No. 27/2023/</w:t>
      </w:r>
      <w:proofErr w:type="spellStart"/>
      <w:r w:rsidRPr="005465E1">
        <w:rPr>
          <w:rFonts w:ascii="Aptos" w:eastAsia="Times New Roman" w:hAnsi="Aptos" w:cs="Arial"/>
          <w:color w:val="002060"/>
        </w:rPr>
        <w:t>QH15</w:t>
      </w:r>
      <w:proofErr w:type="spellEnd"/>
      <w:r w:rsidRPr="005465E1">
        <w:rPr>
          <w:rFonts w:ascii="Aptos" w:eastAsia="Times New Roman" w:hAnsi="Aptos" w:cs="Arial"/>
          <w:color w:val="002060"/>
        </w:rPr>
        <w:t>.</w:t>
      </w:r>
    </w:p>
    <w:p w14:paraId="0637A1DB" w14:textId="77777777" w:rsidR="00F81137" w:rsidRDefault="00EE121E" w:rsidP="00F81137">
      <w:pPr>
        <w:spacing w:line="288" w:lineRule="auto"/>
        <w:jc w:val="right"/>
        <w:rPr>
          <w:rStyle w:val="Hyperlink"/>
          <w:rFonts w:ascii="Aptos" w:eastAsia="Malgun Gothic" w:hAnsi="Aptos" w:cs="Times New Roman"/>
          <w:color w:val="002060"/>
        </w:rPr>
      </w:pPr>
      <w:hyperlink w:anchor="_top" w:history="1">
        <w:r w:rsidR="00F81137" w:rsidRPr="004C6CBE">
          <w:rPr>
            <w:rStyle w:val="Hyperlink"/>
            <w:rFonts w:ascii="Aptos" w:eastAsia="Malgun Gothic" w:hAnsi="Aptos" w:cs="Times New Roman"/>
            <w:color w:val="002060"/>
          </w:rPr>
          <w:t>Back to Top</w:t>
        </w:r>
      </w:hyperlink>
    </w:p>
    <w:p w14:paraId="369C7F70" w14:textId="77777777" w:rsidR="00F81137" w:rsidRPr="00F81137" w:rsidRDefault="00F81137" w:rsidP="00F81137">
      <w:pPr>
        <w:spacing w:after="450" w:line="420" w:lineRule="atLeast"/>
        <w:rPr>
          <w:rFonts w:ascii="Segoe UI" w:eastAsia="Times New Roman" w:hAnsi="Segoe UI" w:cs="Segoe UI"/>
          <w:color w:val="000000"/>
          <w:sz w:val="27"/>
          <w:szCs w:val="27"/>
        </w:rPr>
      </w:pPr>
    </w:p>
    <w:p w14:paraId="77D29387" w14:textId="77777777" w:rsidR="00F81137" w:rsidRPr="00F81137" w:rsidRDefault="00F81137" w:rsidP="00F81137">
      <w:pPr>
        <w:spacing w:after="450" w:line="420" w:lineRule="atLeast"/>
        <w:rPr>
          <w:rFonts w:ascii="Segoe UI" w:eastAsia="Times New Roman" w:hAnsi="Segoe UI" w:cs="Segoe UI"/>
          <w:color w:val="000000"/>
          <w:sz w:val="27"/>
          <w:szCs w:val="27"/>
        </w:rPr>
      </w:pPr>
      <w:r w:rsidRPr="00F81137">
        <w:rPr>
          <w:rFonts w:ascii="Segoe UI" w:eastAsia="Times New Roman" w:hAnsi="Segoe UI" w:cs="Segoe UI"/>
          <w:color w:val="000000"/>
          <w:sz w:val="27"/>
          <w:szCs w:val="27"/>
        </w:rPr>
        <w:t> </w:t>
      </w:r>
    </w:p>
    <w:p w14:paraId="3EA31301" w14:textId="77777777" w:rsidR="006749CD" w:rsidRDefault="006749CD" w:rsidP="006749CD">
      <w:pPr>
        <w:spacing w:line="720" w:lineRule="atLeast"/>
        <w:rPr>
          <w:rFonts w:ascii="Times New Roman" w:eastAsia="Times New Roman" w:hAnsi="Times New Roman" w:cs="Times New Roman"/>
          <w:b/>
          <w:bCs/>
          <w:color w:val="212529"/>
          <w:sz w:val="48"/>
          <w:szCs w:val="48"/>
        </w:rPr>
      </w:pPr>
    </w:p>
    <w:bookmarkEnd w:id="0"/>
    <w:p w14:paraId="3918B726" w14:textId="41735D08" w:rsidR="005930CB" w:rsidRPr="004C6CBE" w:rsidRDefault="005930CB" w:rsidP="005930CB">
      <w:pPr>
        <w:spacing w:line="288" w:lineRule="auto"/>
        <w:jc w:val="right"/>
        <w:rPr>
          <w:rStyle w:val="Hyperlink"/>
          <w:rFonts w:ascii="Aptos" w:eastAsia="Malgun Gothic" w:hAnsi="Aptos" w:cs="Times New Roman"/>
          <w:color w:val="002060"/>
        </w:rPr>
      </w:pPr>
    </w:p>
    <w:sectPr w:rsidR="005930CB" w:rsidRPr="004C6CBE" w:rsidSect="00F72A2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3B68F" w14:textId="77777777" w:rsidR="00E16430" w:rsidRDefault="00E16430">
      <w:pPr>
        <w:spacing w:after="0" w:line="240" w:lineRule="auto"/>
      </w:pPr>
      <w:r>
        <w:separator/>
      </w:r>
    </w:p>
  </w:endnote>
  <w:endnote w:type="continuationSeparator" w:id="0">
    <w:p w14:paraId="2BA09225" w14:textId="77777777" w:rsidR="00E16430" w:rsidRDefault="00E16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kzidenz-grotesk-std-bloom">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Poppins">
    <w:charset w:val="00"/>
    <w:family w:val="auto"/>
    <w:pitch w:val="variable"/>
    <w:sig w:usb0="00008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9AE93" w14:textId="77777777" w:rsidR="00E16430" w:rsidRDefault="00E16430">
      <w:pPr>
        <w:spacing w:after="0" w:line="240" w:lineRule="auto"/>
      </w:pPr>
      <w:r>
        <w:separator/>
      </w:r>
    </w:p>
  </w:footnote>
  <w:footnote w:type="continuationSeparator" w:id="0">
    <w:p w14:paraId="1D7F9448" w14:textId="77777777" w:rsidR="00E16430" w:rsidRDefault="00E16430">
      <w:pPr>
        <w:spacing w:after="0" w:line="240" w:lineRule="auto"/>
      </w:pPr>
      <w:r>
        <w:continuationSeparator/>
      </w:r>
    </w:p>
  </w:footnote>
  <w:footnote w:id="1">
    <w:p w14:paraId="3B4FE9E9" w14:textId="77777777" w:rsidR="00762ABA" w:rsidRPr="00BB18D5" w:rsidRDefault="00762ABA" w:rsidP="00762ABA">
      <w:pPr>
        <w:pStyle w:val="FootnoteText"/>
        <w:rPr>
          <w:rFonts w:ascii="Times New Roman" w:hAnsi="Times New Roman" w:cs="Times New Roman"/>
        </w:rPr>
      </w:pPr>
      <w:r w:rsidRPr="00BB18D5">
        <w:rPr>
          <w:rStyle w:val="FootnoteReference"/>
          <w:rFonts w:ascii="Times New Roman" w:hAnsi="Times New Roman" w:cs="Times New Roman"/>
        </w:rPr>
        <w:footnoteRef/>
      </w:r>
      <w:r w:rsidRPr="00BB18D5">
        <w:rPr>
          <w:rFonts w:ascii="Times New Roman" w:hAnsi="Times New Roman" w:cs="Times New Roman"/>
        </w:rPr>
        <w:t xml:space="preserve"> Please note that the new Investment Law No. 143/2025/</w:t>
      </w:r>
      <w:proofErr w:type="spellStart"/>
      <w:r w:rsidRPr="00BB18D5">
        <w:rPr>
          <w:rFonts w:ascii="Times New Roman" w:hAnsi="Times New Roman" w:cs="Times New Roman"/>
        </w:rPr>
        <w:t>QH15</w:t>
      </w:r>
      <w:proofErr w:type="spellEnd"/>
      <w:r w:rsidRPr="00BB18D5">
        <w:rPr>
          <w:rFonts w:ascii="Times New Roman" w:hAnsi="Times New Roman" w:cs="Times New Roman"/>
        </w:rPr>
        <w:t xml:space="preserve"> issued by the National Assembly on 11 December 2025 will replace the current Investment Law on 01 March 2026. </w:t>
      </w:r>
    </w:p>
  </w:footnote>
  <w:footnote w:id="2">
    <w:p w14:paraId="03CD5DE0" w14:textId="77777777" w:rsidR="00762ABA" w:rsidRPr="00BB18D5" w:rsidRDefault="00762ABA" w:rsidP="00762ABA">
      <w:pPr>
        <w:pStyle w:val="FootnoteText"/>
        <w:rPr>
          <w:rFonts w:ascii="Times New Roman" w:hAnsi="Times New Roman" w:cs="Times New Roman"/>
        </w:rPr>
      </w:pPr>
      <w:r w:rsidRPr="00BB18D5">
        <w:rPr>
          <w:rStyle w:val="FootnoteReference"/>
          <w:rFonts w:ascii="Times New Roman" w:hAnsi="Times New Roman" w:cs="Times New Roman"/>
        </w:rPr>
        <w:footnoteRef/>
      </w:r>
      <w:r w:rsidRPr="00BB18D5">
        <w:rPr>
          <w:rFonts w:ascii="Times New Roman" w:hAnsi="Times New Roman" w:cs="Times New Roman"/>
        </w:rPr>
        <w:t xml:space="preserve"> This </w:t>
      </w:r>
      <w:proofErr w:type="spellStart"/>
      <w:r w:rsidRPr="00BB18D5">
        <w:rPr>
          <w:rFonts w:ascii="Times New Roman" w:hAnsi="Times New Roman" w:cs="Times New Roman"/>
        </w:rPr>
        <w:t>Enteprise</w:t>
      </w:r>
      <w:proofErr w:type="spellEnd"/>
      <w:r w:rsidRPr="00BB18D5">
        <w:rPr>
          <w:rFonts w:ascii="Times New Roman" w:hAnsi="Times New Roman" w:cs="Times New Roman"/>
        </w:rPr>
        <w:t xml:space="preserve"> Law was amended by Law No. 76/2025/</w:t>
      </w:r>
      <w:proofErr w:type="spellStart"/>
      <w:r w:rsidRPr="00BB18D5">
        <w:rPr>
          <w:rFonts w:ascii="Times New Roman" w:hAnsi="Times New Roman" w:cs="Times New Roman"/>
        </w:rPr>
        <w:t>QH15</w:t>
      </w:r>
      <w:proofErr w:type="spellEnd"/>
      <w:r w:rsidRPr="00BB18D5">
        <w:rPr>
          <w:rFonts w:ascii="Times New Roman" w:hAnsi="Times New Roman" w:cs="Times New Roman"/>
        </w:rPr>
        <w:t xml:space="preserve"> issued by the National Assembly on 17 June 2025 and takes effect from 01 July 2025.</w:t>
      </w:r>
    </w:p>
  </w:footnote>
  <w:footnote w:id="3">
    <w:p w14:paraId="7896FFC3" w14:textId="77777777" w:rsidR="00762ABA" w:rsidRPr="00BB18D5" w:rsidRDefault="00762ABA" w:rsidP="00762ABA">
      <w:pPr>
        <w:pStyle w:val="FootnoteText"/>
        <w:rPr>
          <w:rFonts w:ascii="Times New Roman" w:hAnsi="Times New Roman" w:cs="Times New Roman"/>
        </w:rPr>
      </w:pPr>
      <w:r w:rsidRPr="00BB18D5">
        <w:rPr>
          <w:rStyle w:val="FootnoteReference"/>
          <w:rFonts w:ascii="Times New Roman" w:hAnsi="Times New Roman" w:cs="Times New Roman"/>
        </w:rPr>
        <w:footnoteRef/>
      </w:r>
      <w:r w:rsidRPr="00BB18D5">
        <w:rPr>
          <w:rFonts w:ascii="Times New Roman" w:hAnsi="Times New Roman" w:cs="Times New Roman"/>
        </w:rPr>
        <w:t xml:space="preserve"> A guiding document of the new 2025 Investment Law is still pending. Once issued, it will replace this Decree No. 31/2021/ND-CP.</w:t>
      </w:r>
    </w:p>
  </w:footnote>
  <w:footnote w:id="4">
    <w:p w14:paraId="53DECE2E" w14:textId="77777777" w:rsidR="00762ABA" w:rsidRPr="006734FB" w:rsidRDefault="00762ABA" w:rsidP="00762ABA">
      <w:pPr>
        <w:pStyle w:val="FootnoteText"/>
      </w:pPr>
      <w:r>
        <w:rPr>
          <w:rStyle w:val="FootnoteReference"/>
        </w:rPr>
        <w:footnoteRef/>
      </w:r>
      <w:r>
        <w:t xml:space="preserve"> </w:t>
      </w:r>
      <w:r w:rsidRPr="00BB18D5">
        <w:rPr>
          <w:rFonts w:ascii="Times New Roman" w:hAnsi="Times New Roman" w:cs="Times New Roman"/>
        </w:rPr>
        <w:t xml:space="preserve">From 01 October 2025 onwards, capital transfers by foreign enterprises are to be taxed </w:t>
      </w:r>
      <w:r w:rsidRPr="00BB18D5">
        <w:rPr>
          <w:rFonts w:ascii="Times New Roman" w:hAnsi="Times New Roman" w:cs="Times New Roman"/>
          <w:b/>
          <w:bCs/>
        </w:rPr>
        <w:t>based on gross proceeds</w:t>
      </w:r>
      <w:r w:rsidRPr="00BB18D5">
        <w:rPr>
          <w:rFonts w:ascii="Times New Roman" w:hAnsi="Times New Roman" w:cs="Times New Roman"/>
        </w:rPr>
        <w:t>, not net gains.</w:t>
      </w:r>
    </w:p>
    <w:p w14:paraId="25989BBF" w14:textId="77777777" w:rsidR="00762ABA" w:rsidRDefault="00762ABA" w:rsidP="00762AB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5" type="#_x0000_t75" style="width:.75pt;height:.75pt;visibility:visible;mso-wrap-style:square" o:bullet="t">
        <v:imagedata r:id="rId1" o:title=""/>
      </v:shape>
    </w:pict>
  </w:numPicBullet>
  <w:abstractNum w:abstractNumId="0" w15:restartNumberingAfterBreak="0">
    <w:nsid w:val="00085E77"/>
    <w:multiLevelType w:val="multilevel"/>
    <w:tmpl w:val="AFFCEA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009EC"/>
    <w:multiLevelType w:val="multilevel"/>
    <w:tmpl w:val="034E08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4276CB7"/>
    <w:multiLevelType w:val="multilevel"/>
    <w:tmpl w:val="FF202F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6731A99"/>
    <w:multiLevelType w:val="multilevel"/>
    <w:tmpl w:val="361E6E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9B772DA"/>
    <w:multiLevelType w:val="multilevel"/>
    <w:tmpl w:val="D80613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0582474"/>
    <w:multiLevelType w:val="hybridMultilevel"/>
    <w:tmpl w:val="92822B5A"/>
    <w:lvl w:ilvl="0" w:tplc="0409000D">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15:restartNumberingAfterBreak="0">
    <w:nsid w:val="107333F1"/>
    <w:multiLevelType w:val="hybridMultilevel"/>
    <w:tmpl w:val="A7F60D7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15:restartNumberingAfterBreak="0">
    <w:nsid w:val="1464703E"/>
    <w:multiLevelType w:val="multilevel"/>
    <w:tmpl w:val="8F82D9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CFF2823"/>
    <w:multiLevelType w:val="hybridMultilevel"/>
    <w:tmpl w:val="190AD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A16535"/>
    <w:multiLevelType w:val="hybridMultilevel"/>
    <w:tmpl w:val="EC44ACDC"/>
    <w:lvl w:ilvl="0" w:tplc="0409000D">
      <w:start w:val="1"/>
      <w:numFmt w:val="bullet"/>
      <w:lvlText w:val=""/>
      <w:lvlJc w:val="left"/>
      <w:pPr>
        <w:tabs>
          <w:tab w:val="num" w:pos="1077"/>
        </w:tabs>
        <w:ind w:left="1077" w:hanging="357"/>
      </w:pPr>
      <w:rPr>
        <w:rFonts w:ascii="Wingdings" w:hAnsi="Wingdings" w:hint="default"/>
      </w:rPr>
    </w:lvl>
    <w:lvl w:ilvl="1" w:tplc="BC7EC7D2" w:tentative="1">
      <w:start w:val="1"/>
      <w:numFmt w:val="bullet"/>
      <w:lvlText w:val="o"/>
      <w:lvlJc w:val="left"/>
      <w:pPr>
        <w:tabs>
          <w:tab w:val="num" w:pos="1440"/>
        </w:tabs>
        <w:ind w:left="1440" w:hanging="360"/>
      </w:pPr>
      <w:rPr>
        <w:rFonts w:ascii="Courier New" w:hAnsi="Courier New" w:cs="Courier New" w:hint="default"/>
      </w:rPr>
    </w:lvl>
    <w:lvl w:ilvl="2" w:tplc="56D6D7BC" w:tentative="1">
      <w:start w:val="1"/>
      <w:numFmt w:val="bullet"/>
      <w:lvlText w:val=""/>
      <w:lvlJc w:val="left"/>
      <w:pPr>
        <w:tabs>
          <w:tab w:val="num" w:pos="2160"/>
        </w:tabs>
        <w:ind w:left="2160" w:hanging="360"/>
      </w:pPr>
      <w:rPr>
        <w:rFonts w:ascii="Wingdings" w:hAnsi="Wingdings" w:hint="default"/>
      </w:rPr>
    </w:lvl>
    <w:lvl w:ilvl="3" w:tplc="CB503D20" w:tentative="1">
      <w:start w:val="1"/>
      <w:numFmt w:val="bullet"/>
      <w:lvlText w:val=""/>
      <w:lvlJc w:val="left"/>
      <w:pPr>
        <w:tabs>
          <w:tab w:val="num" w:pos="2880"/>
        </w:tabs>
        <w:ind w:left="2880" w:hanging="360"/>
      </w:pPr>
      <w:rPr>
        <w:rFonts w:ascii="Symbol" w:hAnsi="Symbol" w:hint="default"/>
      </w:rPr>
    </w:lvl>
    <w:lvl w:ilvl="4" w:tplc="86D89826" w:tentative="1">
      <w:start w:val="1"/>
      <w:numFmt w:val="bullet"/>
      <w:lvlText w:val="o"/>
      <w:lvlJc w:val="left"/>
      <w:pPr>
        <w:tabs>
          <w:tab w:val="num" w:pos="3600"/>
        </w:tabs>
        <w:ind w:left="3600" w:hanging="360"/>
      </w:pPr>
      <w:rPr>
        <w:rFonts w:ascii="Courier New" w:hAnsi="Courier New" w:cs="Courier New" w:hint="default"/>
      </w:rPr>
    </w:lvl>
    <w:lvl w:ilvl="5" w:tplc="4E14ECE6" w:tentative="1">
      <w:start w:val="1"/>
      <w:numFmt w:val="bullet"/>
      <w:lvlText w:val=""/>
      <w:lvlJc w:val="left"/>
      <w:pPr>
        <w:tabs>
          <w:tab w:val="num" w:pos="4320"/>
        </w:tabs>
        <w:ind w:left="4320" w:hanging="360"/>
      </w:pPr>
      <w:rPr>
        <w:rFonts w:ascii="Wingdings" w:hAnsi="Wingdings" w:hint="default"/>
      </w:rPr>
    </w:lvl>
    <w:lvl w:ilvl="6" w:tplc="E91C7A38" w:tentative="1">
      <w:start w:val="1"/>
      <w:numFmt w:val="bullet"/>
      <w:lvlText w:val=""/>
      <w:lvlJc w:val="left"/>
      <w:pPr>
        <w:tabs>
          <w:tab w:val="num" w:pos="5040"/>
        </w:tabs>
        <w:ind w:left="5040" w:hanging="360"/>
      </w:pPr>
      <w:rPr>
        <w:rFonts w:ascii="Symbol" w:hAnsi="Symbol" w:hint="default"/>
      </w:rPr>
    </w:lvl>
    <w:lvl w:ilvl="7" w:tplc="317E0F78" w:tentative="1">
      <w:start w:val="1"/>
      <w:numFmt w:val="bullet"/>
      <w:lvlText w:val="o"/>
      <w:lvlJc w:val="left"/>
      <w:pPr>
        <w:tabs>
          <w:tab w:val="num" w:pos="5760"/>
        </w:tabs>
        <w:ind w:left="5760" w:hanging="360"/>
      </w:pPr>
      <w:rPr>
        <w:rFonts w:ascii="Courier New" w:hAnsi="Courier New" w:cs="Courier New" w:hint="default"/>
      </w:rPr>
    </w:lvl>
    <w:lvl w:ilvl="8" w:tplc="BC52451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FA2DE1"/>
    <w:multiLevelType w:val="multilevel"/>
    <w:tmpl w:val="B7D86F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CC74B1"/>
    <w:multiLevelType w:val="multilevel"/>
    <w:tmpl w:val="E84A22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1E9741F"/>
    <w:multiLevelType w:val="hybridMultilevel"/>
    <w:tmpl w:val="0CAC7D4E"/>
    <w:lvl w:ilvl="0" w:tplc="8F7C052C">
      <w:start w:val="1"/>
      <w:numFmt w:val="bullet"/>
      <w:pStyle w:val="ACTBulletList2"/>
      <w:lvlText w:val=""/>
      <w:lvlJc w:val="left"/>
      <w:pPr>
        <w:tabs>
          <w:tab w:val="num" w:pos="1077"/>
        </w:tabs>
        <w:ind w:left="1077" w:hanging="357"/>
      </w:pPr>
      <w:rPr>
        <w:rFonts w:ascii="Symbol" w:hAnsi="Symbol" w:hint="default"/>
      </w:rPr>
    </w:lvl>
    <w:lvl w:ilvl="1" w:tplc="BC7EC7D2" w:tentative="1">
      <w:start w:val="1"/>
      <w:numFmt w:val="bullet"/>
      <w:lvlText w:val="o"/>
      <w:lvlJc w:val="left"/>
      <w:pPr>
        <w:tabs>
          <w:tab w:val="num" w:pos="1440"/>
        </w:tabs>
        <w:ind w:left="1440" w:hanging="360"/>
      </w:pPr>
      <w:rPr>
        <w:rFonts w:ascii="Courier New" w:hAnsi="Courier New" w:cs="Courier New" w:hint="default"/>
      </w:rPr>
    </w:lvl>
    <w:lvl w:ilvl="2" w:tplc="56D6D7BC" w:tentative="1">
      <w:start w:val="1"/>
      <w:numFmt w:val="bullet"/>
      <w:lvlText w:val=""/>
      <w:lvlJc w:val="left"/>
      <w:pPr>
        <w:tabs>
          <w:tab w:val="num" w:pos="2160"/>
        </w:tabs>
        <w:ind w:left="2160" w:hanging="360"/>
      </w:pPr>
      <w:rPr>
        <w:rFonts w:ascii="Wingdings" w:hAnsi="Wingdings" w:hint="default"/>
      </w:rPr>
    </w:lvl>
    <w:lvl w:ilvl="3" w:tplc="CB503D20" w:tentative="1">
      <w:start w:val="1"/>
      <w:numFmt w:val="bullet"/>
      <w:lvlText w:val=""/>
      <w:lvlJc w:val="left"/>
      <w:pPr>
        <w:tabs>
          <w:tab w:val="num" w:pos="2880"/>
        </w:tabs>
        <w:ind w:left="2880" w:hanging="360"/>
      </w:pPr>
      <w:rPr>
        <w:rFonts w:ascii="Symbol" w:hAnsi="Symbol" w:hint="default"/>
      </w:rPr>
    </w:lvl>
    <w:lvl w:ilvl="4" w:tplc="86D89826" w:tentative="1">
      <w:start w:val="1"/>
      <w:numFmt w:val="bullet"/>
      <w:lvlText w:val="o"/>
      <w:lvlJc w:val="left"/>
      <w:pPr>
        <w:tabs>
          <w:tab w:val="num" w:pos="3600"/>
        </w:tabs>
        <w:ind w:left="3600" w:hanging="360"/>
      </w:pPr>
      <w:rPr>
        <w:rFonts w:ascii="Courier New" w:hAnsi="Courier New" w:cs="Courier New" w:hint="default"/>
      </w:rPr>
    </w:lvl>
    <w:lvl w:ilvl="5" w:tplc="4E14ECE6" w:tentative="1">
      <w:start w:val="1"/>
      <w:numFmt w:val="bullet"/>
      <w:lvlText w:val=""/>
      <w:lvlJc w:val="left"/>
      <w:pPr>
        <w:tabs>
          <w:tab w:val="num" w:pos="4320"/>
        </w:tabs>
        <w:ind w:left="4320" w:hanging="360"/>
      </w:pPr>
      <w:rPr>
        <w:rFonts w:ascii="Wingdings" w:hAnsi="Wingdings" w:hint="default"/>
      </w:rPr>
    </w:lvl>
    <w:lvl w:ilvl="6" w:tplc="E91C7A38" w:tentative="1">
      <w:start w:val="1"/>
      <w:numFmt w:val="bullet"/>
      <w:lvlText w:val=""/>
      <w:lvlJc w:val="left"/>
      <w:pPr>
        <w:tabs>
          <w:tab w:val="num" w:pos="5040"/>
        </w:tabs>
        <w:ind w:left="5040" w:hanging="360"/>
      </w:pPr>
      <w:rPr>
        <w:rFonts w:ascii="Symbol" w:hAnsi="Symbol" w:hint="default"/>
      </w:rPr>
    </w:lvl>
    <w:lvl w:ilvl="7" w:tplc="317E0F78" w:tentative="1">
      <w:start w:val="1"/>
      <w:numFmt w:val="bullet"/>
      <w:lvlText w:val="o"/>
      <w:lvlJc w:val="left"/>
      <w:pPr>
        <w:tabs>
          <w:tab w:val="num" w:pos="5760"/>
        </w:tabs>
        <w:ind w:left="5760" w:hanging="360"/>
      </w:pPr>
      <w:rPr>
        <w:rFonts w:ascii="Courier New" w:hAnsi="Courier New" w:cs="Courier New" w:hint="default"/>
      </w:rPr>
    </w:lvl>
    <w:lvl w:ilvl="8" w:tplc="BC52451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F42440"/>
    <w:multiLevelType w:val="hybridMultilevel"/>
    <w:tmpl w:val="DB54D6F6"/>
    <w:lvl w:ilvl="0" w:tplc="0409000D">
      <w:start w:val="1"/>
      <w:numFmt w:val="bullet"/>
      <w:lvlText w:val=""/>
      <w:lvlJc w:val="left"/>
      <w:pPr>
        <w:tabs>
          <w:tab w:val="num" w:pos="1077"/>
        </w:tabs>
        <w:ind w:left="1077" w:hanging="357"/>
      </w:pPr>
      <w:rPr>
        <w:rFonts w:ascii="Wingdings" w:hAnsi="Wingdings" w:hint="default"/>
      </w:rPr>
    </w:lvl>
    <w:lvl w:ilvl="1" w:tplc="BC7EC7D2" w:tentative="1">
      <w:start w:val="1"/>
      <w:numFmt w:val="bullet"/>
      <w:lvlText w:val="o"/>
      <w:lvlJc w:val="left"/>
      <w:pPr>
        <w:tabs>
          <w:tab w:val="num" w:pos="1440"/>
        </w:tabs>
        <w:ind w:left="1440" w:hanging="360"/>
      </w:pPr>
      <w:rPr>
        <w:rFonts w:ascii="Courier New" w:hAnsi="Courier New" w:cs="Courier New" w:hint="default"/>
      </w:rPr>
    </w:lvl>
    <w:lvl w:ilvl="2" w:tplc="56D6D7BC" w:tentative="1">
      <w:start w:val="1"/>
      <w:numFmt w:val="bullet"/>
      <w:lvlText w:val=""/>
      <w:lvlJc w:val="left"/>
      <w:pPr>
        <w:tabs>
          <w:tab w:val="num" w:pos="2160"/>
        </w:tabs>
        <w:ind w:left="2160" w:hanging="360"/>
      </w:pPr>
      <w:rPr>
        <w:rFonts w:ascii="Wingdings" w:hAnsi="Wingdings" w:hint="default"/>
      </w:rPr>
    </w:lvl>
    <w:lvl w:ilvl="3" w:tplc="CB503D20" w:tentative="1">
      <w:start w:val="1"/>
      <w:numFmt w:val="bullet"/>
      <w:lvlText w:val=""/>
      <w:lvlJc w:val="left"/>
      <w:pPr>
        <w:tabs>
          <w:tab w:val="num" w:pos="2880"/>
        </w:tabs>
        <w:ind w:left="2880" w:hanging="360"/>
      </w:pPr>
      <w:rPr>
        <w:rFonts w:ascii="Symbol" w:hAnsi="Symbol" w:hint="default"/>
      </w:rPr>
    </w:lvl>
    <w:lvl w:ilvl="4" w:tplc="86D89826" w:tentative="1">
      <w:start w:val="1"/>
      <w:numFmt w:val="bullet"/>
      <w:lvlText w:val="o"/>
      <w:lvlJc w:val="left"/>
      <w:pPr>
        <w:tabs>
          <w:tab w:val="num" w:pos="3600"/>
        </w:tabs>
        <w:ind w:left="3600" w:hanging="360"/>
      </w:pPr>
      <w:rPr>
        <w:rFonts w:ascii="Courier New" w:hAnsi="Courier New" w:cs="Courier New" w:hint="default"/>
      </w:rPr>
    </w:lvl>
    <w:lvl w:ilvl="5" w:tplc="4E14ECE6" w:tentative="1">
      <w:start w:val="1"/>
      <w:numFmt w:val="bullet"/>
      <w:lvlText w:val=""/>
      <w:lvlJc w:val="left"/>
      <w:pPr>
        <w:tabs>
          <w:tab w:val="num" w:pos="4320"/>
        </w:tabs>
        <w:ind w:left="4320" w:hanging="360"/>
      </w:pPr>
      <w:rPr>
        <w:rFonts w:ascii="Wingdings" w:hAnsi="Wingdings" w:hint="default"/>
      </w:rPr>
    </w:lvl>
    <w:lvl w:ilvl="6" w:tplc="E91C7A38" w:tentative="1">
      <w:start w:val="1"/>
      <w:numFmt w:val="bullet"/>
      <w:lvlText w:val=""/>
      <w:lvlJc w:val="left"/>
      <w:pPr>
        <w:tabs>
          <w:tab w:val="num" w:pos="5040"/>
        </w:tabs>
        <w:ind w:left="5040" w:hanging="360"/>
      </w:pPr>
      <w:rPr>
        <w:rFonts w:ascii="Symbol" w:hAnsi="Symbol" w:hint="default"/>
      </w:rPr>
    </w:lvl>
    <w:lvl w:ilvl="7" w:tplc="317E0F78" w:tentative="1">
      <w:start w:val="1"/>
      <w:numFmt w:val="bullet"/>
      <w:lvlText w:val="o"/>
      <w:lvlJc w:val="left"/>
      <w:pPr>
        <w:tabs>
          <w:tab w:val="num" w:pos="5760"/>
        </w:tabs>
        <w:ind w:left="5760" w:hanging="360"/>
      </w:pPr>
      <w:rPr>
        <w:rFonts w:ascii="Courier New" w:hAnsi="Courier New" w:cs="Courier New" w:hint="default"/>
      </w:rPr>
    </w:lvl>
    <w:lvl w:ilvl="8" w:tplc="BC52451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611C53"/>
    <w:multiLevelType w:val="hybridMultilevel"/>
    <w:tmpl w:val="81B2FC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B501D7A"/>
    <w:multiLevelType w:val="multilevel"/>
    <w:tmpl w:val="012E78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E7E396A"/>
    <w:multiLevelType w:val="multilevel"/>
    <w:tmpl w:val="A2CCD7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14337A"/>
    <w:multiLevelType w:val="multilevel"/>
    <w:tmpl w:val="2C505F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8052916"/>
    <w:multiLevelType w:val="multilevel"/>
    <w:tmpl w:val="B950A9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A55671C"/>
    <w:multiLevelType w:val="multilevel"/>
    <w:tmpl w:val="F904CE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DF157E0"/>
    <w:multiLevelType w:val="multilevel"/>
    <w:tmpl w:val="C846C6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F344E2D"/>
    <w:multiLevelType w:val="multilevel"/>
    <w:tmpl w:val="A822C7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1908D3"/>
    <w:multiLevelType w:val="multilevel"/>
    <w:tmpl w:val="71006E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61B0687"/>
    <w:multiLevelType w:val="hybridMultilevel"/>
    <w:tmpl w:val="4FAAC4C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4" w15:restartNumberingAfterBreak="0">
    <w:nsid w:val="5DA706EE"/>
    <w:multiLevelType w:val="multilevel"/>
    <w:tmpl w:val="F3A228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0D05B63"/>
    <w:multiLevelType w:val="multilevel"/>
    <w:tmpl w:val="4366F4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1001415"/>
    <w:multiLevelType w:val="multilevel"/>
    <w:tmpl w:val="56B4CF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61195130"/>
    <w:multiLevelType w:val="multilevel"/>
    <w:tmpl w:val="C97414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E97583"/>
    <w:multiLevelType w:val="multilevel"/>
    <w:tmpl w:val="E5AA5D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DC4BB6"/>
    <w:multiLevelType w:val="multilevel"/>
    <w:tmpl w:val="AC1A0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044224"/>
    <w:multiLevelType w:val="hybridMultilevel"/>
    <w:tmpl w:val="67548B2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184076"/>
    <w:multiLevelType w:val="multilevel"/>
    <w:tmpl w:val="034E08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675861DA"/>
    <w:multiLevelType w:val="multilevel"/>
    <w:tmpl w:val="7B1678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14466B"/>
    <w:multiLevelType w:val="hybridMultilevel"/>
    <w:tmpl w:val="2402A666"/>
    <w:lvl w:ilvl="0" w:tplc="37EA7FAE">
      <w:start w:val="1"/>
      <w:numFmt w:val="bullet"/>
      <w:pStyle w:val="ACTBulletLis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FB1F96"/>
    <w:multiLevelType w:val="multilevel"/>
    <w:tmpl w:val="EA2E7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71022E98"/>
    <w:multiLevelType w:val="hybridMultilevel"/>
    <w:tmpl w:val="96AA7CC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6" w15:restartNumberingAfterBreak="0">
    <w:nsid w:val="729B7234"/>
    <w:multiLevelType w:val="hybridMultilevel"/>
    <w:tmpl w:val="262A5BD6"/>
    <w:lvl w:ilvl="0" w:tplc="0409000D">
      <w:start w:val="1"/>
      <w:numFmt w:val="bullet"/>
      <w:lvlText w:val=""/>
      <w:lvlJc w:val="left"/>
      <w:pPr>
        <w:tabs>
          <w:tab w:val="num" w:pos="1077"/>
        </w:tabs>
        <w:ind w:left="1077" w:hanging="357"/>
      </w:pPr>
      <w:rPr>
        <w:rFonts w:ascii="Wingdings" w:hAnsi="Wingdings" w:hint="default"/>
      </w:rPr>
    </w:lvl>
    <w:lvl w:ilvl="1" w:tplc="BC7EC7D2" w:tentative="1">
      <w:start w:val="1"/>
      <w:numFmt w:val="bullet"/>
      <w:lvlText w:val="o"/>
      <w:lvlJc w:val="left"/>
      <w:pPr>
        <w:tabs>
          <w:tab w:val="num" w:pos="1440"/>
        </w:tabs>
        <w:ind w:left="1440" w:hanging="360"/>
      </w:pPr>
      <w:rPr>
        <w:rFonts w:ascii="Courier New" w:hAnsi="Courier New" w:cs="Courier New" w:hint="default"/>
      </w:rPr>
    </w:lvl>
    <w:lvl w:ilvl="2" w:tplc="56D6D7BC" w:tentative="1">
      <w:start w:val="1"/>
      <w:numFmt w:val="bullet"/>
      <w:lvlText w:val=""/>
      <w:lvlJc w:val="left"/>
      <w:pPr>
        <w:tabs>
          <w:tab w:val="num" w:pos="2160"/>
        </w:tabs>
        <w:ind w:left="2160" w:hanging="360"/>
      </w:pPr>
      <w:rPr>
        <w:rFonts w:ascii="Wingdings" w:hAnsi="Wingdings" w:hint="default"/>
      </w:rPr>
    </w:lvl>
    <w:lvl w:ilvl="3" w:tplc="CB503D20" w:tentative="1">
      <w:start w:val="1"/>
      <w:numFmt w:val="bullet"/>
      <w:lvlText w:val=""/>
      <w:lvlJc w:val="left"/>
      <w:pPr>
        <w:tabs>
          <w:tab w:val="num" w:pos="2880"/>
        </w:tabs>
        <w:ind w:left="2880" w:hanging="360"/>
      </w:pPr>
      <w:rPr>
        <w:rFonts w:ascii="Symbol" w:hAnsi="Symbol" w:hint="default"/>
      </w:rPr>
    </w:lvl>
    <w:lvl w:ilvl="4" w:tplc="86D89826" w:tentative="1">
      <w:start w:val="1"/>
      <w:numFmt w:val="bullet"/>
      <w:lvlText w:val="o"/>
      <w:lvlJc w:val="left"/>
      <w:pPr>
        <w:tabs>
          <w:tab w:val="num" w:pos="3600"/>
        </w:tabs>
        <w:ind w:left="3600" w:hanging="360"/>
      </w:pPr>
      <w:rPr>
        <w:rFonts w:ascii="Courier New" w:hAnsi="Courier New" w:cs="Courier New" w:hint="default"/>
      </w:rPr>
    </w:lvl>
    <w:lvl w:ilvl="5" w:tplc="4E14ECE6" w:tentative="1">
      <w:start w:val="1"/>
      <w:numFmt w:val="bullet"/>
      <w:lvlText w:val=""/>
      <w:lvlJc w:val="left"/>
      <w:pPr>
        <w:tabs>
          <w:tab w:val="num" w:pos="4320"/>
        </w:tabs>
        <w:ind w:left="4320" w:hanging="360"/>
      </w:pPr>
      <w:rPr>
        <w:rFonts w:ascii="Wingdings" w:hAnsi="Wingdings" w:hint="default"/>
      </w:rPr>
    </w:lvl>
    <w:lvl w:ilvl="6" w:tplc="E91C7A38" w:tentative="1">
      <w:start w:val="1"/>
      <w:numFmt w:val="bullet"/>
      <w:lvlText w:val=""/>
      <w:lvlJc w:val="left"/>
      <w:pPr>
        <w:tabs>
          <w:tab w:val="num" w:pos="5040"/>
        </w:tabs>
        <w:ind w:left="5040" w:hanging="360"/>
      </w:pPr>
      <w:rPr>
        <w:rFonts w:ascii="Symbol" w:hAnsi="Symbol" w:hint="default"/>
      </w:rPr>
    </w:lvl>
    <w:lvl w:ilvl="7" w:tplc="317E0F78" w:tentative="1">
      <w:start w:val="1"/>
      <w:numFmt w:val="bullet"/>
      <w:lvlText w:val="o"/>
      <w:lvlJc w:val="left"/>
      <w:pPr>
        <w:tabs>
          <w:tab w:val="num" w:pos="5760"/>
        </w:tabs>
        <w:ind w:left="5760" w:hanging="360"/>
      </w:pPr>
      <w:rPr>
        <w:rFonts w:ascii="Courier New" w:hAnsi="Courier New" w:cs="Courier New" w:hint="default"/>
      </w:rPr>
    </w:lvl>
    <w:lvl w:ilvl="8" w:tplc="BC524516"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CA6ED7"/>
    <w:multiLevelType w:val="hybridMultilevel"/>
    <w:tmpl w:val="19485C48"/>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75B61FAE"/>
    <w:multiLevelType w:val="hybridMultilevel"/>
    <w:tmpl w:val="12604C4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9" w15:restartNumberingAfterBreak="0">
    <w:nsid w:val="7EBE056B"/>
    <w:multiLevelType w:val="multilevel"/>
    <w:tmpl w:val="EF5C5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32379031">
    <w:abstractNumId w:val="33"/>
  </w:num>
  <w:num w:numId="2" w16cid:durableId="7348579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912931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1045218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07188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877598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0341538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348229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94885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299183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838084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864551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975972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4522278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442787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82697287">
    <w:abstractNumId w:val="24"/>
  </w:num>
  <w:num w:numId="17" w16cid:durableId="397242490">
    <w:abstractNumId w:val="29"/>
  </w:num>
  <w:num w:numId="18" w16cid:durableId="931743339">
    <w:abstractNumId w:val="0"/>
  </w:num>
  <w:num w:numId="19" w16cid:durableId="1160657376">
    <w:abstractNumId w:val="21"/>
  </w:num>
  <w:num w:numId="20" w16cid:durableId="10448686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22497379">
    <w:abstractNumId w:val="32"/>
  </w:num>
  <w:num w:numId="22" w16cid:durableId="2136832385">
    <w:abstractNumId w:val="27"/>
  </w:num>
  <w:num w:numId="23" w16cid:durableId="2109082526">
    <w:abstractNumId w:val="28"/>
  </w:num>
  <w:num w:numId="24" w16cid:durableId="472066869">
    <w:abstractNumId w:val="16"/>
  </w:num>
  <w:num w:numId="25" w16cid:durableId="10191632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8701150">
    <w:abstractNumId w:val="10"/>
  </w:num>
  <w:num w:numId="27" w16cid:durableId="1391034198">
    <w:abstractNumId w:val="39"/>
  </w:num>
  <w:num w:numId="28" w16cid:durableId="864289615">
    <w:abstractNumId w:val="12"/>
  </w:num>
  <w:num w:numId="29" w16cid:durableId="372193456">
    <w:abstractNumId w:val="14"/>
  </w:num>
  <w:num w:numId="30" w16cid:durableId="1500538050">
    <w:abstractNumId w:val="6"/>
  </w:num>
  <w:num w:numId="31" w16cid:durableId="1075543714">
    <w:abstractNumId w:val="23"/>
  </w:num>
  <w:num w:numId="32" w16cid:durableId="1801026461">
    <w:abstractNumId w:val="38"/>
  </w:num>
  <w:num w:numId="33" w16cid:durableId="76171877">
    <w:abstractNumId w:val="8"/>
  </w:num>
  <w:num w:numId="34" w16cid:durableId="234248160">
    <w:abstractNumId w:val="13"/>
  </w:num>
  <w:num w:numId="35" w16cid:durableId="34043349">
    <w:abstractNumId w:val="9"/>
  </w:num>
  <w:num w:numId="36" w16cid:durableId="521633563">
    <w:abstractNumId w:val="36"/>
  </w:num>
  <w:num w:numId="37" w16cid:durableId="1255745621">
    <w:abstractNumId w:val="37"/>
  </w:num>
  <w:num w:numId="38" w16cid:durableId="1538659393">
    <w:abstractNumId w:val="30"/>
  </w:num>
  <w:num w:numId="39" w16cid:durableId="1473130375">
    <w:abstractNumId w:val="5"/>
  </w:num>
  <w:num w:numId="40" w16cid:durableId="1475414964">
    <w:abstractNumId w:val="3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D86"/>
    <w:rsid w:val="000004E0"/>
    <w:rsid w:val="00000A31"/>
    <w:rsid w:val="000014A0"/>
    <w:rsid w:val="00001694"/>
    <w:rsid w:val="00001875"/>
    <w:rsid w:val="00002115"/>
    <w:rsid w:val="00003E03"/>
    <w:rsid w:val="00006E60"/>
    <w:rsid w:val="00006F36"/>
    <w:rsid w:val="0000700E"/>
    <w:rsid w:val="000079E6"/>
    <w:rsid w:val="00007E59"/>
    <w:rsid w:val="00011053"/>
    <w:rsid w:val="00011990"/>
    <w:rsid w:val="00013D93"/>
    <w:rsid w:val="000143DC"/>
    <w:rsid w:val="00014562"/>
    <w:rsid w:val="000149BD"/>
    <w:rsid w:val="00014C74"/>
    <w:rsid w:val="00014F7F"/>
    <w:rsid w:val="000151C5"/>
    <w:rsid w:val="0001647E"/>
    <w:rsid w:val="000164E9"/>
    <w:rsid w:val="00017977"/>
    <w:rsid w:val="00020AF4"/>
    <w:rsid w:val="000216C0"/>
    <w:rsid w:val="00021BA7"/>
    <w:rsid w:val="000223EB"/>
    <w:rsid w:val="00023081"/>
    <w:rsid w:val="000236E7"/>
    <w:rsid w:val="00023DE9"/>
    <w:rsid w:val="000248AE"/>
    <w:rsid w:val="000258A1"/>
    <w:rsid w:val="000258F3"/>
    <w:rsid w:val="00025983"/>
    <w:rsid w:val="00026541"/>
    <w:rsid w:val="00026987"/>
    <w:rsid w:val="000271DB"/>
    <w:rsid w:val="00027440"/>
    <w:rsid w:val="0002776D"/>
    <w:rsid w:val="000278AD"/>
    <w:rsid w:val="000301EC"/>
    <w:rsid w:val="00030BCE"/>
    <w:rsid w:val="0003151D"/>
    <w:rsid w:val="00031E03"/>
    <w:rsid w:val="00031FAF"/>
    <w:rsid w:val="00032587"/>
    <w:rsid w:val="000330B0"/>
    <w:rsid w:val="000336D7"/>
    <w:rsid w:val="00034293"/>
    <w:rsid w:val="00034A3C"/>
    <w:rsid w:val="00035236"/>
    <w:rsid w:val="000355FA"/>
    <w:rsid w:val="00035DD5"/>
    <w:rsid w:val="00036C95"/>
    <w:rsid w:val="000374A5"/>
    <w:rsid w:val="000375CF"/>
    <w:rsid w:val="00040A6B"/>
    <w:rsid w:val="00040D13"/>
    <w:rsid w:val="00041085"/>
    <w:rsid w:val="00041118"/>
    <w:rsid w:val="0004141F"/>
    <w:rsid w:val="00041491"/>
    <w:rsid w:val="00041924"/>
    <w:rsid w:val="00042F69"/>
    <w:rsid w:val="0004309E"/>
    <w:rsid w:val="00043320"/>
    <w:rsid w:val="000442A8"/>
    <w:rsid w:val="00044EEC"/>
    <w:rsid w:val="000456A9"/>
    <w:rsid w:val="000458BC"/>
    <w:rsid w:val="00045D6A"/>
    <w:rsid w:val="00046246"/>
    <w:rsid w:val="0004656D"/>
    <w:rsid w:val="000475B0"/>
    <w:rsid w:val="0004770C"/>
    <w:rsid w:val="00047B89"/>
    <w:rsid w:val="000528A9"/>
    <w:rsid w:val="000528E8"/>
    <w:rsid w:val="00053A82"/>
    <w:rsid w:val="00054413"/>
    <w:rsid w:val="00055298"/>
    <w:rsid w:val="000555F6"/>
    <w:rsid w:val="000557A9"/>
    <w:rsid w:val="00055FAD"/>
    <w:rsid w:val="00060B1A"/>
    <w:rsid w:val="00060FA6"/>
    <w:rsid w:val="00061520"/>
    <w:rsid w:val="000615AE"/>
    <w:rsid w:val="000618E4"/>
    <w:rsid w:val="00062E67"/>
    <w:rsid w:val="0006313D"/>
    <w:rsid w:val="000634B9"/>
    <w:rsid w:val="00063B7F"/>
    <w:rsid w:val="000648AB"/>
    <w:rsid w:val="000649EE"/>
    <w:rsid w:val="00064CFC"/>
    <w:rsid w:val="00065588"/>
    <w:rsid w:val="00065629"/>
    <w:rsid w:val="000657D5"/>
    <w:rsid w:val="00065E59"/>
    <w:rsid w:val="00065F05"/>
    <w:rsid w:val="00066680"/>
    <w:rsid w:val="000668EA"/>
    <w:rsid w:val="00066B74"/>
    <w:rsid w:val="00066B81"/>
    <w:rsid w:val="00067CDF"/>
    <w:rsid w:val="00070269"/>
    <w:rsid w:val="00070338"/>
    <w:rsid w:val="00070C48"/>
    <w:rsid w:val="00070F60"/>
    <w:rsid w:val="00071B62"/>
    <w:rsid w:val="0007206C"/>
    <w:rsid w:val="000721B5"/>
    <w:rsid w:val="00073375"/>
    <w:rsid w:val="0007392E"/>
    <w:rsid w:val="00074399"/>
    <w:rsid w:val="00074998"/>
    <w:rsid w:val="000749AD"/>
    <w:rsid w:val="00075778"/>
    <w:rsid w:val="00075B3F"/>
    <w:rsid w:val="00075C28"/>
    <w:rsid w:val="000764D5"/>
    <w:rsid w:val="00076836"/>
    <w:rsid w:val="000768C9"/>
    <w:rsid w:val="00076AAD"/>
    <w:rsid w:val="00076EC5"/>
    <w:rsid w:val="000773CD"/>
    <w:rsid w:val="00077D7A"/>
    <w:rsid w:val="00080BCB"/>
    <w:rsid w:val="0008177E"/>
    <w:rsid w:val="00081B0A"/>
    <w:rsid w:val="00081D1C"/>
    <w:rsid w:val="00081D27"/>
    <w:rsid w:val="00082DD4"/>
    <w:rsid w:val="00083320"/>
    <w:rsid w:val="000833A7"/>
    <w:rsid w:val="00083DDF"/>
    <w:rsid w:val="000842CD"/>
    <w:rsid w:val="000847B2"/>
    <w:rsid w:val="00085C8E"/>
    <w:rsid w:val="000868EA"/>
    <w:rsid w:val="00086C09"/>
    <w:rsid w:val="00087A39"/>
    <w:rsid w:val="00091B84"/>
    <w:rsid w:val="000920E7"/>
    <w:rsid w:val="00092A85"/>
    <w:rsid w:val="00092BE0"/>
    <w:rsid w:val="00094468"/>
    <w:rsid w:val="00094CBC"/>
    <w:rsid w:val="00095461"/>
    <w:rsid w:val="0009596C"/>
    <w:rsid w:val="00096386"/>
    <w:rsid w:val="00096508"/>
    <w:rsid w:val="000968F8"/>
    <w:rsid w:val="00096B8F"/>
    <w:rsid w:val="00096E3A"/>
    <w:rsid w:val="00096E6D"/>
    <w:rsid w:val="00096E7B"/>
    <w:rsid w:val="0009754D"/>
    <w:rsid w:val="00097DC7"/>
    <w:rsid w:val="00097F93"/>
    <w:rsid w:val="000A0254"/>
    <w:rsid w:val="000A0D85"/>
    <w:rsid w:val="000A1150"/>
    <w:rsid w:val="000A1310"/>
    <w:rsid w:val="000A14F9"/>
    <w:rsid w:val="000A1D47"/>
    <w:rsid w:val="000A2041"/>
    <w:rsid w:val="000A2916"/>
    <w:rsid w:val="000A2ADB"/>
    <w:rsid w:val="000A3054"/>
    <w:rsid w:val="000A32A6"/>
    <w:rsid w:val="000A3AB2"/>
    <w:rsid w:val="000A43C8"/>
    <w:rsid w:val="000A4D2F"/>
    <w:rsid w:val="000A5427"/>
    <w:rsid w:val="000A55F8"/>
    <w:rsid w:val="000A5818"/>
    <w:rsid w:val="000A5F5F"/>
    <w:rsid w:val="000A6B49"/>
    <w:rsid w:val="000A7374"/>
    <w:rsid w:val="000A73B0"/>
    <w:rsid w:val="000A79A1"/>
    <w:rsid w:val="000A7B48"/>
    <w:rsid w:val="000B0198"/>
    <w:rsid w:val="000B027C"/>
    <w:rsid w:val="000B02E5"/>
    <w:rsid w:val="000B0331"/>
    <w:rsid w:val="000B1515"/>
    <w:rsid w:val="000B1B0E"/>
    <w:rsid w:val="000B2774"/>
    <w:rsid w:val="000B2E0D"/>
    <w:rsid w:val="000B3D82"/>
    <w:rsid w:val="000B506A"/>
    <w:rsid w:val="000B59B4"/>
    <w:rsid w:val="000B63E0"/>
    <w:rsid w:val="000B71E8"/>
    <w:rsid w:val="000B7D1A"/>
    <w:rsid w:val="000B7FB9"/>
    <w:rsid w:val="000C08E4"/>
    <w:rsid w:val="000C0B66"/>
    <w:rsid w:val="000C1C66"/>
    <w:rsid w:val="000C22A1"/>
    <w:rsid w:val="000C235E"/>
    <w:rsid w:val="000C2525"/>
    <w:rsid w:val="000C29EF"/>
    <w:rsid w:val="000C2ED2"/>
    <w:rsid w:val="000C415E"/>
    <w:rsid w:val="000C4254"/>
    <w:rsid w:val="000C4637"/>
    <w:rsid w:val="000C49A8"/>
    <w:rsid w:val="000C4D9E"/>
    <w:rsid w:val="000C57E2"/>
    <w:rsid w:val="000C5F10"/>
    <w:rsid w:val="000C640C"/>
    <w:rsid w:val="000D1003"/>
    <w:rsid w:val="000D1404"/>
    <w:rsid w:val="000D16FB"/>
    <w:rsid w:val="000D203B"/>
    <w:rsid w:val="000D2EB8"/>
    <w:rsid w:val="000D3186"/>
    <w:rsid w:val="000D4128"/>
    <w:rsid w:val="000D4517"/>
    <w:rsid w:val="000D5775"/>
    <w:rsid w:val="000D65FC"/>
    <w:rsid w:val="000D68FB"/>
    <w:rsid w:val="000D6D56"/>
    <w:rsid w:val="000D6DD4"/>
    <w:rsid w:val="000D7694"/>
    <w:rsid w:val="000D79E4"/>
    <w:rsid w:val="000D7A72"/>
    <w:rsid w:val="000E01FB"/>
    <w:rsid w:val="000E03C4"/>
    <w:rsid w:val="000E07FA"/>
    <w:rsid w:val="000E14B3"/>
    <w:rsid w:val="000E1A14"/>
    <w:rsid w:val="000E23D9"/>
    <w:rsid w:val="000E2577"/>
    <w:rsid w:val="000E2603"/>
    <w:rsid w:val="000E2638"/>
    <w:rsid w:val="000E2F8B"/>
    <w:rsid w:val="000E337D"/>
    <w:rsid w:val="000E3B03"/>
    <w:rsid w:val="000E44EE"/>
    <w:rsid w:val="000E49AF"/>
    <w:rsid w:val="000E4FC2"/>
    <w:rsid w:val="000E5403"/>
    <w:rsid w:val="000E5D24"/>
    <w:rsid w:val="000E5D56"/>
    <w:rsid w:val="000E6EDC"/>
    <w:rsid w:val="000E7848"/>
    <w:rsid w:val="000E7DD0"/>
    <w:rsid w:val="000F0138"/>
    <w:rsid w:val="000F0382"/>
    <w:rsid w:val="000F0B54"/>
    <w:rsid w:val="000F121E"/>
    <w:rsid w:val="000F169E"/>
    <w:rsid w:val="000F179F"/>
    <w:rsid w:val="000F2245"/>
    <w:rsid w:val="000F26D4"/>
    <w:rsid w:val="000F2BAF"/>
    <w:rsid w:val="000F3ADD"/>
    <w:rsid w:val="000F403C"/>
    <w:rsid w:val="000F4303"/>
    <w:rsid w:val="000F43E1"/>
    <w:rsid w:val="000F4519"/>
    <w:rsid w:val="000F48F8"/>
    <w:rsid w:val="000F5555"/>
    <w:rsid w:val="000F5D43"/>
    <w:rsid w:val="000F677D"/>
    <w:rsid w:val="000F7778"/>
    <w:rsid w:val="000F7D36"/>
    <w:rsid w:val="000F7D3F"/>
    <w:rsid w:val="00100465"/>
    <w:rsid w:val="001004CC"/>
    <w:rsid w:val="00100BDC"/>
    <w:rsid w:val="00100C98"/>
    <w:rsid w:val="00101422"/>
    <w:rsid w:val="0010165C"/>
    <w:rsid w:val="00101D17"/>
    <w:rsid w:val="001022EB"/>
    <w:rsid w:val="00102D72"/>
    <w:rsid w:val="00102ED6"/>
    <w:rsid w:val="0010312D"/>
    <w:rsid w:val="00103BF0"/>
    <w:rsid w:val="00104492"/>
    <w:rsid w:val="00104980"/>
    <w:rsid w:val="00105440"/>
    <w:rsid w:val="00105EB3"/>
    <w:rsid w:val="00107066"/>
    <w:rsid w:val="001072E9"/>
    <w:rsid w:val="001074D8"/>
    <w:rsid w:val="00110268"/>
    <w:rsid w:val="00112063"/>
    <w:rsid w:val="0011221B"/>
    <w:rsid w:val="001125C2"/>
    <w:rsid w:val="001126B6"/>
    <w:rsid w:val="00112CC9"/>
    <w:rsid w:val="00113AD9"/>
    <w:rsid w:val="00113C92"/>
    <w:rsid w:val="001142C9"/>
    <w:rsid w:val="00114728"/>
    <w:rsid w:val="00114753"/>
    <w:rsid w:val="0011487A"/>
    <w:rsid w:val="00114BD3"/>
    <w:rsid w:val="00114CC9"/>
    <w:rsid w:val="00114E4C"/>
    <w:rsid w:val="00115EEB"/>
    <w:rsid w:val="001166DE"/>
    <w:rsid w:val="00116984"/>
    <w:rsid w:val="0012153D"/>
    <w:rsid w:val="001222F5"/>
    <w:rsid w:val="00123492"/>
    <w:rsid w:val="0012390D"/>
    <w:rsid w:val="00124B2E"/>
    <w:rsid w:val="001252C4"/>
    <w:rsid w:val="00125CCE"/>
    <w:rsid w:val="00126C4F"/>
    <w:rsid w:val="00127241"/>
    <w:rsid w:val="00127296"/>
    <w:rsid w:val="00127537"/>
    <w:rsid w:val="001275CA"/>
    <w:rsid w:val="00127795"/>
    <w:rsid w:val="001309B0"/>
    <w:rsid w:val="00130ACD"/>
    <w:rsid w:val="00130E50"/>
    <w:rsid w:val="001311F1"/>
    <w:rsid w:val="001319A5"/>
    <w:rsid w:val="0013218C"/>
    <w:rsid w:val="00132377"/>
    <w:rsid w:val="00132785"/>
    <w:rsid w:val="00132A7E"/>
    <w:rsid w:val="00133205"/>
    <w:rsid w:val="00133A91"/>
    <w:rsid w:val="00133B68"/>
    <w:rsid w:val="001341F1"/>
    <w:rsid w:val="0013435C"/>
    <w:rsid w:val="00134D8B"/>
    <w:rsid w:val="001353C9"/>
    <w:rsid w:val="001354AE"/>
    <w:rsid w:val="00136956"/>
    <w:rsid w:val="00136BE2"/>
    <w:rsid w:val="001374FF"/>
    <w:rsid w:val="00140216"/>
    <w:rsid w:val="00140927"/>
    <w:rsid w:val="0014133D"/>
    <w:rsid w:val="001421FC"/>
    <w:rsid w:val="00142291"/>
    <w:rsid w:val="00142928"/>
    <w:rsid w:val="00142A35"/>
    <w:rsid w:val="00142AAE"/>
    <w:rsid w:val="00142EE2"/>
    <w:rsid w:val="001435CA"/>
    <w:rsid w:val="00143782"/>
    <w:rsid w:val="00143E5C"/>
    <w:rsid w:val="00144128"/>
    <w:rsid w:val="00144265"/>
    <w:rsid w:val="00144884"/>
    <w:rsid w:val="00144968"/>
    <w:rsid w:val="00145118"/>
    <w:rsid w:val="00145BD9"/>
    <w:rsid w:val="00145F40"/>
    <w:rsid w:val="00146D41"/>
    <w:rsid w:val="00152196"/>
    <w:rsid w:val="00152F22"/>
    <w:rsid w:val="001545A0"/>
    <w:rsid w:val="001547B2"/>
    <w:rsid w:val="00154968"/>
    <w:rsid w:val="00155264"/>
    <w:rsid w:val="00155F68"/>
    <w:rsid w:val="001568FC"/>
    <w:rsid w:val="0015708E"/>
    <w:rsid w:val="00157371"/>
    <w:rsid w:val="00157814"/>
    <w:rsid w:val="00157AE2"/>
    <w:rsid w:val="00160538"/>
    <w:rsid w:val="00161144"/>
    <w:rsid w:val="00161579"/>
    <w:rsid w:val="00161717"/>
    <w:rsid w:val="00161CE8"/>
    <w:rsid w:val="00162AFA"/>
    <w:rsid w:val="001630D3"/>
    <w:rsid w:val="00163CCF"/>
    <w:rsid w:val="001645A5"/>
    <w:rsid w:val="001646EA"/>
    <w:rsid w:val="00164B30"/>
    <w:rsid w:val="00164D33"/>
    <w:rsid w:val="0016521C"/>
    <w:rsid w:val="00165317"/>
    <w:rsid w:val="00165974"/>
    <w:rsid w:val="00165F3E"/>
    <w:rsid w:val="0016610D"/>
    <w:rsid w:val="00170572"/>
    <w:rsid w:val="00170E60"/>
    <w:rsid w:val="00170E65"/>
    <w:rsid w:val="00171AB2"/>
    <w:rsid w:val="001724AD"/>
    <w:rsid w:val="00173ACC"/>
    <w:rsid w:val="00173BA0"/>
    <w:rsid w:val="001746A9"/>
    <w:rsid w:val="00175536"/>
    <w:rsid w:val="00175697"/>
    <w:rsid w:val="00175986"/>
    <w:rsid w:val="00176062"/>
    <w:rsid w:val="001764E2"/>
    <w:rsid w:val="00176557"/>
    <w:rsid w:val="00176A8C"/>
    <w:rsid w:val="00176CDB"/>
    <w:rsid w:val="00176D85"/>
    <w:rsid w:val="001770C8"/>
    <w:rsid w:val="0017763F"/>
    <w:rsid w:val="001809BD"/>
    <w:rsid w:val="00180A24"/>
    <w:rsid w:val="00180CF8"/>
    <w:rsid w:val="00181402"/>
    <w:rsid w:val="0018211C"/>
    <w:rsid w:val="001828CD"/>
    <w:rsid w:val="00182D44"/>
    <w:rsid w:val="0018338F"/>
    <w:rsid w:val="001837C3"/>
    <w:rsid w:val="001838AF"/>
    <w:rsid w:val="00184105"/>
    <w:rsid w:val="0018478F"/>
    <w:rsid w:val="001847BE"/>
    <w:rsid w:val="001850ED"/>
    <w:rsid w:val="00185364"/>
    <w:rsid w:val="00185945"/>
    <w:rsid w:val="0018619D"/>
    <w:rsid w:val="001875EA"/>
    <w:rsid w:val="0019164B"/>
    <w:rsid w:val="00191EA8"/>
    <w:rsid w:val="00192486"/>
    <w:rsid w:val="00192F69"/>
    <w:rsid w:val="00194464"/>
    <w:rsid w:val="00195DE4"/>
    <w:rsid w:val="00195E0E"/>
    <w:rsid w:val="0019610A"/>
    <w:rsid w:val="00196581"/>
    <w:rsid w:val="001966BD"/>
    <w:rsid w:val="001969AF"/>
    <w:rsid w:val="00196C0F"/>
    <w:rsid w:val="0019782E"/>
    <w:rsid w:val="00197948"/>
    <w:rsid w:val="00197D8F"/>
    <w:rsid w:val="001A0287"/>
    <w:rsid w:val="001A090C"/>
    <w:rsid w:val="001A0968"/>
    <w:rsid w:val="001A1239"/>
    <w:rsid w:val="001A128E"/>
    <w:rsid w:val="001A148A"/>
    <w:rsid w:val="001A1A27"/>
    <w:rsid w:val="001A1CC3"/>
    <w:rsid w:val="001A2C4F"/>
    <w:rsid w:val="001A4152"/>
    <w:rsid w:val="001A4530"/>
    <w:rsid w:val="001A4755"/>
    <w:rsid w:val="001A4834"/>
    <w:rsid w:val="001A58D8"/>
    <w:rsid w:val="001A5BF7"/>
    <w:rsid w:val="001A6A37"/>
    <w:rsid w:val="001A718D"/>
    <w:rsid w:val="001A74B1"/>
    <w:rsid w:val="001A7BC8"/>
    <w:rsid w:val="001B032D"/>
    <w:rsid w:val="001B18FA"/>
    <w:rsid w:val="001B19AE"/>
    <w:rsid w:val="001B2F96"/>
    <w:rsid w:val="001B3114"/>
    <w:rsid w:val="001B477C"/>
    <w:rsid w:val="001B4B83"/>
    <w:rsid w:val="001B4DE6"/>
    <w:rsid w:val="001B5A60"/>
    <w:rsid w:val="001B5F93"/>
    <w:rsid w:val="001B5FED"/>
    <w:rsid w:val="001B61AF"/>
    <w:rsid w:val="001B69CC"/>
    <w:rsid w:val="001B7FAC"/>
    <w:rsid w:val="001C121D"/>
    <w:rsid w:val="001C12A2"/>
    <w:rsid w:val="001C1440"/>
    <w:rsid w:val="001C2444"/>
    <w:rsid w:val="001C2600"/>
    <w:rsid w:val="001C28D9"/>
    <w:rsid w:val="001C2D02"/>
    <w:rsid w:val="001C3294"/>
    <w:rsid w:val="001C372A"/>
    <w:rsid w:val="001C3A04"/>
    <w:rsid w:val="001C4014"/>
    <w:rsid w:val="001C4681"/>
    <w:rsid w:val="001C4EB6"/>
    <w:rsid w:val="001C50D7"/>
    <w:rsid w:val="001C558B"/>
    <w:rsid w:val="001C6794"/>
    <w:rsid w:val="001C705A"/>
    <w:rsid w:val="001C75C4"/>
    <w:rsid w:val="001D063D"/>
    <w:rsid w:val="001D130C"/>
    <w:rsid w:val="001D1A52"/>
    <w:rsid w:val="001D2A6A"/>
    <w:rsid w:val="001D469F"/>
    <w:rsid w:val="001D4D8E"/>
    <w:rsid w:val="001D4F0D"/>
    <w:rsid w:val="001D69EF"/>
    <w:rsid w:val="001D7544"/>
    <w:rsid w:val="001D7874"/>
    <w:rsid w:val="001D7C3B"/>
    <w:rsid w:val="001E09AE"/>
    <w:rsid w:val="001E0DAB"/>
    <w:rsid w:val="001E1A36"/>
    <w:rsid w:val="001E1BA2"/>
    <w:rsid w:val="001E26C0"/>
    <w:rsid w:val="001E32C0"/>
    <w:rsid w:val="001E455F"/>
    <w:rsid w:val="001E515D"/>
    <w:rsid w:val="001E523C"/>
    <w:rsid w:val="001E5573"/>
    <w:rsid w:val="001E55F1"/>
    <w:rsid w:val="001E58F1"/>
    <w:rsid w:val="001E64D3"/>
    <w:rsid w:val="001E6F67"/>
    <w:rsid w:val="001F0254"/>
    <w:rsid w:val="001F0EC8"/>
    <w:rsid w:val="001F1994"/>
    <w:rsid w:val="001F2074"/>
    <w:rsid w:val="001F2B9F"/>
    <w:rsid w:val="001F3291"/>
    <w:rsid w:val="001F4850"/>
    <w:rsid w:val="001F5255"/>
    <w:rsid w:val="001F54ED"/>
    <w:rsid w:val="001F5B77"/>
    <w:rsid w:val="001F79E4"/>
    <w:rsid w:val="002013CB"/>
    <w:rsid w:val="00201B5C"/>
    <w:rsid w:val="00201EF4"/>
    <w:rsid w:val="00201F3F"/>
    <w:rsid w:val="0020263E"/>
    <w:rsid w:val="00202B4B"/>
    <w:rsid w:val="002033F5"/>
    <w:rsid w:val="00203752"/>
    <w:rsid w:val="00205330"/>
    <w:rsid w:val="00205CB0"/>
    <w:rsid w:val="00206465"/>
    <w:rsid w:val="0020678A"/>
    <w:rsid w:val="00206CF8"/>
    <w:rsid w:val="0020738D"/>
    <w:rsid w:val="00207ED2"/>
    <w:rsid w:val="0021043D"/>
    <w:rsid w:val="002106CF"/>
    <w:rsid w:val="00210C20"/>
    <w:rsid w:val="00211478"/>
    <w:rsid w:val="00211584"/>
    <w:rsid w:val="002118D6"/>
    <w:rsid w:val="00212A7A"/>
    <w:rsid w:val="00212B15"/>
    <w:rsid w:val="002141D8"/>
    <w:rsid w:val="00214B61"/>
    <w:rsid w:val="0021575A"/>
    <w:rsid w:val="00215D95"/>
    <w:rsid w:val="00215EC9"/>
    <w:rsid w:val="0021646E"/>
    <w:rsid w:val="00216BD7"/>
    <w:rsid w:val="002170D8"/>
    <w:rsid w:val="0021726A"/>
    <w:rsid w:val="0021761F"/>
    <w:rsid w:val="00217F58"/>
    <w:rsid w:val="0022016D"/>
    <w:rsid w:val="002201DA"/>
    <w:rsid w:val="002208C6"/>
    <w:rsid w:val="00220D33"/>
    <w:rsid w:val="00221B43"/>
    <w:rsid w:val="00221D9E"/>
    <w:rsid w:val="00221E6F"/>
    <w:rsid w:val="002227E0"/>
    <w:rsid w:val="002229A2"/>
    <w:rsid w:val="00222F4D"/>
    <w:rsid w:val="00223807"/>
    <w:rsid w:val="00223963"/>
    <w:rsid w:val="00223E23"/>
    <w:rsid w:val="00223E62"/>
    <w:rsid w:val="00223FB8"/>
    <w:rsid w:val="002245C2"/>
    <w:rsid w:val="00224747"/>
    <w:rsid w:val="00226363"/>
    <w:rsid w:val="00226E40"/>
    <w:rsid w:val="00227066"/>
    <w:rsid w:val="0022711A"/>
    <w:rsid w:val="00227409"/>
    <w:rsid w:val="002274DD"/>
    <w:rsid w:val="00227638"/>
    <w:rsid w:val="0023034E"/>
    <w:rsid w:val="002307A3"/>
    <w:rsid w:val="002309A0"/>
    <w:rsid w:val="00230B1B"/>
    <w:rsid w:val="002318D7"/>
    <w:rsid w:val="00231FB0"/>
    <w:rsid w:val="0023224D"/>
    <w:rsid w:val="0023312E"/>
    <w:rsid w:val="00233C88"/>
    <w:rsid w:val="0023416B"/>
    <w:rsid w:val="00234247"/>
    <w:rsid w:val="00234CBB"/>
    <w:rsid w:val="00234E01"/>
    <w:rsid w:val="00235A27"/>
    <w:rsid w:val="00235BB9"/>
    <w:rsid w:val="002378B0"/>
    <w:rsid w:val="002379D0"/>
    <w:rsid w:val="00237C63"/>
    <w:rsid w:val="0024076E"/>
    <w:rsid w:val="00240EF5"/>
    <w:rsid w:val="00241F2F"/>
    <w:rsid w:val="00242371"/>
    <w:rsid w:val="00243941"/>
    <w:rsid w:val="002449DE"/>
    <w:rsid w:val="00244D39"/>
    <w:rsid w:val="002456E9"/>
    <w:rsid w:val="00245D3A"/>
    <w:rsid w:val="00245E42"/>
    <w:rsid w:val="00246324"/>
    <w:rsid w:val="00246DA7"/>
    <w:rsid w:val="0024730C"/>
    <w:rsid w:val="00250306"/>
    <w:rsid w:val="00250820"/>
    <w:rsid w:val="00251835"/>
    <w:rsid w:val="00251998"/>
    <w:rsid w:val="00254018"/>
    <w:rsid w:val="00254160"/>
    <w:rsid w:val="00254738"/>
    <w:rsid w:val="00254B84"/>
    <w:rsid w:val="00254C04"/>
    <w:rsid w:val="00254CD3"/>
    <w:rsid w:val="00254EAA"/>
    <w:rsid w:val="00256557"/>
    <w:rsid w:val="0025686D"/>
    <w:rsid w:val="002568FE"/>
    <w:rsid w:val="00256E26"/>
    <w:rsid w:val="00260009"/>
    <w:rsid w:val="002607B0"/>
    <w:rsid w:val="00260DC9"/>
    <w:rsid w:val="00261356"/>
    <w:rsid w:val="00261584"/>
    <w:rsid w:val="00261A4C"/>
    <w:rsid w:val="00262099"/>
    <w:rsid w:val="002632D8"/>
    <w:rsid w:val="00264697"/>
    <w:rsid w:val="002656ED"/>
    <w:rsid w:val="002657B5"/>
    <w:rsid w:val="00265D0B"/>
    <w:rsid w:val="0026677A"/>
    <w:rsid w:val="0027048E"/>
    <w:rsid w:val="00270617"/>
    <w:rsid w:val="00270AF1"/>
    <w:rsid w:val="00270C5F"/>
    <w:rsid w:val="00270F5E"/>
    <w:rsid w:val="00270FF8"/>
    <w:rsid w:val="002717A1"/>
    <w:rsid w:val="002726AA"/>
    <w:rsid w:val="00273480"/>
    <w:rsid w:val="0027391E"/>
    <w:rsid w:val="00273B71"/>
    <w:rsid w:val="00273C3B"/>
    <w:rsid w:val="00273FA8"/>
    <w:rsid w:val="00274014"/>
    <w:rsid w:val="002742B1"/>
    <w:rsid w:val="002743CE"/>
    <w:rsid w:val="002745AC"/>
    <w:rsid w:val="00274C92"/>
    <w:rsid w:val="00275393"/>
    <w:rsid w:val="00275981"/>
    <w:rsid w:val="00275BD0"/>
    <w:rsid w:val="00277193"/>
    <w:rsid w:val="00277293"/>
    <w:rsid w:val="00280694"/>
    <w:rsid w:val="00280F95"/>
    <w:rsid w:val="00281E3A"/>
    <w:rsid w:val="0028249F"/>
    <w:rsid w:val="00282799"/>
    <w:rsid w:val="002829F2"/>
    <w:rsid w:val="00282C78"/>
    <w:rsid w:val="00283993"/>
    <w:rsid w:val="002841FF"/>
    <w:rsid w:val="0028503C"/>
    <w:rsid w:val="00285929"/>
    <w:rsid w:val="00286036"/>
    <w:rsid w:val="00286375"/>
    <w:rsid w:val="00286B35"/>
    <w:rsid w:val="002876E1"/>
    <w:rsid w:val="00287E6B"/>
    <w:rsid w:val="00287FCE"/>
    <w:rsid w:val="002915BE"/>
    <w:rsid w:val="00291B3F"/>
    <w:rsid w:val="002926C9"/>
    <w:rsid w:val="00292A24"/>
    <w:rsid w:val="00293404"/>
    <w:rsid w:val="00293AFF"/>
    <w:rsid w:val="00293DB8"/>
    <w:rsid w:val="002941A0"/>
    <w:rsid w:val="0029501C"/>
    <w:rsid w:val="00295F38"/>
    <w:rsid w:val="00296A8F"/>
    <w:rsid w:val="00297CEE"/>
    <w:rsid w:val="002A028E"/>
    <w:rsid w:val="002A02C8"/>
    <w:rsid w:val="002A0862"/>
    <w:rsid w:val="002A0BDC"/>
    <w:rsid w:val="002A2121"/>
    <w:rsid w:val="002A2319"/>
    <w:rsid w:val="002A29DF"/>
    <w:rsid w:val="002A346D"/>
    <w:rsid w:val="002A4481"/>
    <w:rsid w:val="002A4695"/>
    <w:rsid w:val="002A5656"/>
    <w:rsid w:val="002A5674"/>
    <w:rsid w:val="002A59BB"/>
    <w:rsid w:val="002A5C9F"/>
    <w:rsid w:val="002A6E06"/>
    <w:rsid w:val="002A7210"/>
    <w:rsid w:val="002A7E49"/>
    <w:rsid w:val="002B1BFD"/>
    <w:rsid w:val="002B20E1"/>
    <w:rsid w:val="002B2477"/>
    <w:rsid w:val="002B2B42"/>
    <w:rsid w:val="002B3038"/>
    <w:rsid w:val="002B379D"/>
    <w:rsid w:val="002B39E4"/>
    <w:rsid w:val="002B3C1C"/>
    <w:rsid w:val="002B40FE"/>
    <w:rsid w:val="002B4E39"/>
    <w:rsid w:val="002B79BB"/>
    <w:rsid w:val="002B7CF1"/>
    <w:rsid w:val="002C0D51"/>
    <w:rsid w:val="002C0F85"/>
    <w:rsid w:val="002C0F8C"/>
    <w:rsid w:val="002C20F1"/>
    <w:rsid w:val="002C2285"/>
    <w:rsid w:val="002C2E23"/>
    <w:rsid w:val="002C3E37"/>
    <w:rsid w:val="002C5042"/>
    <w:rsid w:val="002C53C8"/>
    <w:rsid w:val="002C5A49"/>
    <w:rsid w:val="002C5AE0"/>
    <w:rsid w:val="002C621E"/>
    <w:rsid w:val="002C6240"/>
    <w:rsid w:val="002C6CE4"/>
    <w:rsid w:val="002C6EB8"/>
    <w:rsid w:val="002C7F44"/>
    <w:rsid w:val="002D0A2A"/>
    <w:rsid w:val="002D0A5E"/>
    <w:rsid w:val="002D1825"/>
    <w:rsid w:val="002D18E4"/>
    <w:rsid w:val="002D1F14"/>
    <w:rsid w:val="002D1FE8"/>
    <w:rsid w:val="002D260C"/>
    <w:rsid w:val="002D26F4"/>
    <w:rsid w:val="002D2B2D"/>
    <w:rsid w:val="002D39E5"/>
    <w:rsid w:val="002D3AE0"/>
    <w:rsid w:val="002D41E5"/>
    <w:rsid w:val="002D4317"/>
    <w:rsid w:val="002D669B"/>
    <w:rsid w:val="002D7285"/>
    <w:rsid w:val="002D78E4"/>
    <w:rsid w:val="002E02B5"/>
    <w:rsid w:val="002E101C"/>
    <w:rsid w:val="002E187A"/>
    <w:rsid w:val="002E192D"/>
    <w:rsid w:val="002E2168"/>
    <w:rsid w:val="002E26B8"/>
    <w:rsid w:val="002E3F6E"/>
    <w:rsid w:val="002E415E"/>
    <w:rsid w:val="002E4AEF"/>
    <w:rsid w:val="002E4E76"/>
    <w:rsid w:val="002E5BA9"/>
    <w:rsid w:val="002E6100"/>
    <w:rsid w:val="002E611A"/>
    <w:rsid w:val="002E681C"/>
    <w:rsid w:val="002E7A95"/>
    <w:rsid w:val="002E7AFC"/>
    <w:rsid w:val="002F02F6"/>
    <w:rsid w:val="002F0351"/>
    <w:rsid w:val="002F1A45"/>
    <w:rsid w:val="002F1E4B"/>
    <w:rsid w:val="002F1E56"/>
    <w:rsid w:val="002F3826"/>
    <w:rsid w:val="002F4865"/>
    <w:rsid w:val="002F5667"/>
    <w:rsid w:val="002F6999"/>
    <w:rsid w:val="002F6FD2"/>
    <w:rsid w:val="002F7F49"/>
    <w:rsid w:val="003028EF"/>
    <w:rsid w:val="00303781"/>
    <w:rsid w:val="00304B3D"/>
    <w:rsid w:val="00304F79"/>
    <w:rsid w:val="00305891"/>
    <w:rsid w:val="00305A18"/>
    <w:rsid w:val="00305DED"/>
    <w:rsid w:val="003067D3"/>
    <w:rsid w:val="00306B01"/>
    <w:rsid w:val="003073BE"/>
    <w:rsid w:val="00307424"/>
    <w:rsid w:val="00307914"/>
    <w:rsid w:val="00310E98"/>
    <w:rsid w:val="0031114B"/>
    <w:rsid w:val="003112A8"/>
    <w:rsid w:val="0031188B"/>
    <w:rsid w:val="0031191F"/>
    <w:rsid w:val="00312252"/>
    <w:rsid w:val="0031234C"/>
    <w:rsid w:val="003123C1"/>
    <w:rsid w:val="00312752"/>
    <w:rsid w:val="0031409D"/>
    <w:rsid w:val="00314CDA"/>
    <w:rsid w:val="003166AE"/>
    <w:rsid w:val="00316AD8"/>
    <w:rsid w:val="00316D03"/>
    <w:rsid w:val="003172D7"/>
    <w:rsid w:val="00317848"/>
    <w:rsid w:val="00317BA3"/>
    <w:rsid w:val="00317C4B"/>
    <w:rsid w:val="00321923"/>
    <w:rsid w:val="00322096"/>
    <w:rsid w:val="003221E6"/>
    <w:rsid w:val="00322335"/>
    <w:rsid w:val="00322344"/>
    <w:rsid w:val="00322868"/>
    <w:rsid w:val="00322ACA"/>
    <w:rsid w:val="0032341C"/>
    <w:rsid w:val="00324B2C"/>
    <w:rsid w:val="00324D1D"/>
    <w:rsid w:val="00324E34"/>
    <w:rsid w:val="00327592"/>
    <w:rsid w:val="00327B91"/>
    <w:rsid w:val="003308D2"/>
    <w:rsid w:val="00331061"/>
    <w:rsid w:val="0033146F"/>
    <w:rsid w:val="00331960"/>
    <w:rsid w:val="00332743"/>
    <w:rsid w:val="00332AF9"/>
    <w:rsid w:val="00332F69"/>
    <w:rsid w:val="003342C6"/>
    <w:rsid w:val="00334730"/>
    <w:rsid w:val="003349D1"/>
    <w:rsid w:val="003365E4"/>
    <w:rsid w:val="003369A9"/>
    <w:rsid w:val="003370E6"/>
    <w:rsid w:val="003374C4"/>
    <w:rsid w:val="00337912"/>
    <w:rsid w:val="00337AB6"/>
    <w:rsid w:val="00337BDF"/>
    <w:rsid w:val="00337E4B"/>
    <w:rsid w:val="00340331"/>
    <w:rsid w:val="00340701"/>
    <w:rsid w:val="00340885"/>
    <w:rsid w:val="00340A15"/>
    <w:rsid w:val="00340E17"/>
    <w:rsid w:val="00340E59"/>
    <w:rsid w:val="00340FE4"/>
    <w:rsid w:val="003414F6"/>
    <w:rsid w:val="00341818"/>
    <w:rsid w:val="00341B88"/>
    <w:rsid w:val="00342D5C"/>
    <w:rsid w:val="003439F5"/>
    <w:rsid w:val="00343BF6"/>
    <w:rsid w:val="00343C08"/>
    <w:rsid w:val="00344089"/>
    <w:rsid w:val="003449FA"/>
    <w:rsid w:val="00345646"/>
    <w:rsid w:val="00345762"/>
    <w:rsid w:val="00345BB7"/>
    <w:rsid w:val="003463C8"/>
    <w:rsid w:val="00347387"/>
    <w:rsid w:val="00347CC5"/>
    <w:rsid w:val="00347D61"/>
    <w:rsid w:val="00347DB0"/>
    <w:rsid w:val="0035042C"/>
    <w:rsid w:val="00350458"/>
    <w:rsid w:val="00350E0D"/>
    <w:rsid w:val="0035164E"/>
    <w:rsid w:val="00352985"/>
    <w:rsid w:val="00352CA0"/>
    <w:rsid w:val="0035344E"/>
    <w:rsid w:val="00353742"/>
    <w:rsid w:val="00353F5F"/>
    <w:rsid w:val="00354246"/>
    <w:rsid w:val="00354BFD"/>
    <w:rsid w:val="00355044"/>
    <w:rsid w:val="00355095"/>
    <w:rsid w:val="003558B8"/>
    <w:rsid w:val="00355A5F"/>
    <w:rsid w:val="003577C2"/>
    <w:rsid w:val="003579F3"/>
    <w:rsid w:val="003607F5"/>
    <w:rsid w:val="00360994"/>
    <w:rsid w:val="00360FA2"/>
    <w:rsid w:val="00361178"/>
    <w:rsid w:val="003618AF"/>
    <w:rsid w:val="00362626"/>
    <w:rsid w:val="00362D55"/>
    <w:rsid w:val="003630A1"/>
    <w:rsid w:val="0036372B"/>
    <w:rsid w:val="0036413D"/>
    <w:rsid w:val="003648D6"/>
    <w:rsid w:val="003652AC"/>
    <w:rsid w:val="003655A9"/>
    <w:rsid w:val="003657AC"/>
    <w:rsid w:val="00365C74"/>
    <w:rsid w:val="003667E5"/>
    <w:rsid w:val="00367879"/>
    <w:rsid w:val="00367BE0"/>
    <w:rsid w:val="003702FA"/>
    <w:rsid w:val="003703C6"/>
    <w:rsid w:val="00370525"/>
    <w:rsid w:val="003705FC"/>
    <w:rsid w:val="0037064A"/>
    <w:rsid w:val="00371063"/>
    <w:rsid w:val="00371064"/>
    <w:rsid w:val="00371BF5"/>
    <w:rsid w:val="00372ECE"/>
    <w:rsid w:val="003730A2"/>
    <w:rsid w:val="00373B17"/>
    <w:rsid w:val="00374248"/>
    <w:rsid w:val="003747B9"/>
    <w:rsid w:val="00375E86"/>
    <w:rsid w:val="003765E6"/>
    <w:rsid w:val="00376621"/>
    <w:rsid w:val="00377431"/>
    <w:rsid w:val="00377793"/>
    <w:rsid w:val="00380403"/>
    <w:rsid w:val="00380F90"/>
    <w:rsid w:val="003813C9"/>
    <w:rsid w:val="0038183D"/>
    <w:rsid w:val="00381C59"/>
    <w:rsid w:val="003837DD"/>
    <w:rsid w:val="00383B25"/>
    <w:rsid w:val="00384039"/>
    <w:rsid w:val="0038442F"/>
    <w:rsid w:val="00384513"/>
    <w:rsid w:val="003846BA"/>
    <w:rsid w:val="003846F7"/>
    <w:rsid w:val="00384A72"/>
    <w:rsid w:val="00384C89"/>
    <w:rsid w:val="00385632"/>
    <w:rsid w:val="00385ADE"/>
    <w:rsid w:val="00385D0E"/>
    <w:rsid w:val="00385F9F"/>
    <w:rsid w:val="00386043"/>
    <w:rsid w:val="00386D86"/>
    <w:rsid w:val="0038799B"/>
    <w:rsid w:val="00387A0B"/>
    <w:rsid w:val="00390656"/>
    <w:rsid w:val="00390706"/>
    <w:rsid w:val="00391614"/>
    <w:rsid w:val="003916E4"/>
    <w:rsid w:val="003919B1"/>
    <w:rsid w:val="00391BEC"/>
    <w:rsid w:val="00392001"/>
    <w:rsid w:val="00392693"/>
    <w:rsid w:val="00392BD7"/>
    <w:rsid w:val="003942C4"/>
    <w:rsid w:val="00394E6C"/>
    <w:rsid w:val="0039550A"/>
    <w:rsid w:val="003955E3"/>
    <w:rsid w:val="003965C9"/>
    <w:rsid w:val="00396965"/>
    <w:rsid w:val="00397158"/>
    <w:rsid w:val="00397C40"/>
    <w:rsid w:val="00397D14"/>
    <w:rsid w:val="00397D86"/>
    <w:rsid w:val="003A089E"/>
    <w:rsid w:val="003A0D00"/>
    <w:rsid w:val="003A1242"/>
    <w:rsid w:val="003A1536"/>
    <w:rsid w:val="003A1F07"/>
    <w:rsid w:val="003A1F86"/>
    <w:rsid w:val="003A2562"/>
    <w:rsid w:val="003A2C5F"/>
    <w:rsid w:val="003A2E6E"/>
    <w:rsid w:val="003A32FA"/>
    <w:rsid w:val="003A4A97"/>
    <w:rsid w:val="003A4E5D"/>
    <w:rsid w:val="003A5129"/>
    <w:rsid w:val="003A62B5"/>
    <w:rsid w:val="003A65EA"/>
    <w:rsid w:val="003A6663"/>
    <w:rsid w:val="003A6F31"/>
    <w:rsid w:val="003A713F"/>
    <w:rsid w:val="003A71CD"/>
    <w:rsid w:val="003A74B5"/>
    <w:rsid w:val="003B011D"/>
    <w:rsid w:val="003B0220"/>
    <w:rsid w:val="003B1153"/>
    <w:rsid w:val="003B11BF"/>
    <w:rsid w:val="003B1328"/>
    <w:rsid w:val="003B1DB9"/>
    <w:rsid w:val="003B2362"/>
    <w:rsid w:val="003B2B65"/>
    <w:rsid w:val="003B31DD"/>
    <w:rsid w:val="003B3390"/>
    <w:rsid w:val="003B3C25"/>
    <w:rsid w:val="003B4121"/>
    <w:rsid w:val="003B4608"/>
    <w:rsid w:val="003B47CA"/>
    <w:rsid w:val="003B4E2F"/>
    <w:rsid w:val="003B61BC"/>
    <w:rsid w:val="003B644F"/>
    <w:rsid w:val="003B68CB"/>
    <w:rsid w:val="003C0316"/>
    <w:rsid w:val="003C1025"/>
    <w:rsid w:val="003C1173"/>
    <w:rsid w:val="003C160A"/>
    <w:rsid w:val="003C1A96"/>
    <w:rsid w:val="003C2027"/>
    <w:rsid w:val="003C224E"/>
    <w:rsid w:val="003C2285"/>
    <w:rsid w:val="003C2646"/>
    <w:rsid w:val="003C3F46"/>
    <w:rsid w:val="003C4CF1"/>
    <w:rsid w:val="003C531B"/>
    <w:rsid w:val="003C597D"/>
    <w:rsid w:val="003C6157"/>
    <w:rsid w:val="003C672C"/>
    <w:rsid w:val="003C7166"/>
    <w:rsid w:val="003C76E3"/>
    <w:rsid w:val="003C7A21"/>
    <w:rsid w:val="003D01A6"/>
    <w:rsid w:val="003D06F3"/>
    <w:rsid w:val="003D0B44"/>
    <w:rsid w:val="003D1075"/>
    <w:rsid w:val="003D1C29"/>
    <w:rsid w:val="003D2010"/>
    <w:rsid w:val="003D22A7"/>
    <w:rsid w:val="003D270C"/>
    <w:rsid w:val="003D28FB"/>
    <w:rsid w:val="003D2992"/>
    <w:rsid w:val="003D2EFA"/>
    <w:rsid w:val="003D3715"/>
    <w:rsid w:val="003D4411"/>
    <w:rsid w:val="003D5192"/>
    <w:rsid w:val="003D6507"/>
    <w:rsid w:val="003D688D"/>
    <w:rsid w:val="003D76A3"/>
    <w:rsid w:val="003E00DA"/>
    <w:rsid w:val="003E0394"/>
    <w:rsid w:val="003E0A05"/>
    <w:rsid w:val="003E0CFD"/>
    <w:rsid w:val="003E1343"/>
    <w:rsid w:val="003E203D"/>
    <w:rsid w:val="003E22D6"/>
    <w:rsid w:val="003E2657"/>
    <w:rsid w:val="003E4881"/>
    <w:rsid w:val="003E511A"/>
    <w:rsid w:val="003E5614"/>
    <w:rsid w:val="003E5B7D"/>
    <w:rsid w:val="003E5D48"/>
    <w:rsid w:val="003E62B7"/>
    <w:rsid w:val="003E65D7"/>
    <w:rsid w:val="003E6767"/>
    <w:rsid w:val="003E771F"/>
    <w:rsid w:val="003F009F"/>
    <w:rsid w:val="003F15B9"/>
    <w:rsid w:val="003F162E"/>
    <w:rsid w:val="003F1F55"/>
    <w:rsid w:val="003F1FF9"/>
    <w:rsid w:val="003F333D"/>
    <w:rsid w:val="003F3533"/>
    <w:rsid w:val="003F3B92"/>
    <w:rsid w:val="003F4697"/>
    <w:rsid w:val="003F4AAE"/>
    <w:rsid w:val="003F4B66"/>
    <w:rsid w:val="003F53A5"/>
    <w:rsid w:val="003F55E7"/>
    <w:rsid w:val="003F57E5"/>
    <w:rsid w:val="003F57EC"/>
    <w:rsid w:val="003F5DF1"/>
    <w:rsid w:val="003F665E"/>
    <w:rsid w:val="003F67D7"/>
    <w:rsid w:val="003F77B6"/>
    <w:rsid w:val="003F7870"/>
    <w:rsid w:val="003F7A09"/>
    <w:rsid w:val="003F7C76"/>
    <w:rsid w:val="003F7DFF"/>
    <w:rsid w:val="00400168"/>
    <w:rsid w:val="00400323"/>
    <w:rsid w:val="0040136C"/>
    <w:rsid w:val="00402557"/>
    <w:rsid w:val="00402611"/>
    <w:rsid w:val="00402747"/>
    <w:rsid w:val="00402CCE"/>
    <w:rsid w:val="004037E6"/>
    <w:rsid w:val="004039FA"/>
    <w:rsid w:val="0040476F"/>
    <w:rsid w:val="00405AE0"/>
    <w:rsid w:val="004063AC"/>
    <w:rsid w:val="00406672"/>
    <w:rsid w:val="004066A0"/>
    <w:rsid w:val="00406E5E"/>
    <w:rsid w:val="0040767B"/>
    <w:rsid w:val="0040790D"/>
    <w:rsid w:val="0041078F"/>
    <w:rsid w:val="00410D4E"/>
    <w:rsid w:val="00410FF4"/>
    <w:rsid w:val="004114DD"/>
    <w:rsid w:val="00411517"/>
    <w:rsid w:val="00411D82"/>
    <w:rsid w:val="004125DA"/>
    <w:rsid w:val="004126F4"/>
    <w:rsid w:val="0041342C"/>
    <w:rsid w:val="00413E18"/>
    <w:rsid w:val="0041412E"/>
    <w:rsid w:val="00414A10"/>
    <w:rsid w:val="00415960"/>
    <w:rsid w:val="00415CDC"/>
    <w:rsid w:val="004167C0"/>
    <w:rsid w:val="00417270"/>
    <w:rsid w:val="004200DF"/>
    <w:rsid w:val="00420326"/>
    <w:rsid w:val="004208E0"/>
    <w:rsid w:val="00421218"/>
    <w:rsid w:val="004230BE"/>
    <w:rsid w:val="0042417E"/>
    <w:rsid w:val="00424A20"/>
    <w:rsid w:val="00425008"/>
    <w:rsid w:val="00426F5B"/>
    <w:rsid w:val="00427052"/>
    <w:rsid w:val="004278B6"/>
    <w:rsid w:val="00427BE9"/>
    <w:rsid w:val="004316C9"/>
    <w:rsid w:val="0043255F"/>
    <w:rsid w:val="00432749"/>
    <w:rsid w:val="00433F36"/>
    <w:rsid w:val="00434418"/>
    <w:rsid w:val="00434B7C"/>
    <w:rsid w:val="00434C55"/>
    <w:rsid w:val="004365C1"/>
    <w:rsid w:val="00436B5C"/>
    <w:rsid w:val="00436FED"/>
    <w:rsid w:val="00437103"/>
    <w:rsid w:val="00437C9C"/>
    <w:rsid w:val="00440A9B"/>
    <w:rsid w:val="00440EB7"/>
    <w:rsid w:val="0044139A"/>
    <w:rsid w:val="004428C5"/>
    <w:rsid w:val="004430E9"/>
    <w:rsid w:val="00444706"/>
    <w:rsid w:val="00444DB9"/>
    <w:rsid w:val="00444E50"/>
    <w:rsid w:val="004460D9"/>
    <w:rsid w:val="004463E2"/>
    <w:rsid w:val="0044686E"/>
    <w:rsid w:val="004476F1"/>
    <w:rsid w:val="00450517"/>
    <w:rsid w:val="00450CC3"/>
    <w:rsid w:val="00450F46"/>
    <w:rsid w:val="00451DB5"/>
    <w:rsid w:val="00451F5F"/>
    <w:rsid w:val="00452ECC"/>
    <w:rsid w:val="0045357D"/>
    <w:rsid w:val="00453954"/>
    <w:rsid w:val="00453A04"/>
    <w:rsid w:val="00453AD7"/>
    <w:rsid w:val="004542E2"/>
    <w:rsid w:val="00454C71"/>
    <w:rsid w:val="00455696"/>
    <w:rsid w:val="00455C51"/>
    <w:rsid w:val="0045619C"/>
    <w:rsid w:val="00456941"/>
    <w:rsid w:val="00456CB8"/>
    <w:rsid w:val="004604F0"/>
    <w:rsid w:val="00461771"/>
    <w:rsid w:val="004618D6"/>
    <w:rsid w:val="00461BFA"/>
    <w:rsid w:val="00461D0D"/>
    <w:rsid w:val="004622E5"/>
    <w:rsid w:val="00462319"/>
    <w:rsid w:val="00463451"/>
    <w:rsid w:val="00464713"/>
    <w:rsid w:val="00464D9F"/>
    <w:rsid w:val="00464DAB"/>
    <w:rsid w:val="00464EAA"/>
    <w:rsid w:val="00465BC7"/>
    <w:rsid w:val="004660B4"/>
    <w:rsid w:val="0046628C"/>
    <w:rsid w:val="00466329"/>
    <w:rsid w:val="00467E8C"/>
    <w:rsid w:val="00470236"/>
    <w:rsid w:val="00470CA8"/>
    <w:rsid w:val="0047102D"/>
    <w:rsid w:val="00471458"/>
    <w:rsid w:val="00471A79"/>
    <w:rsid w:val="00471CA0"/>
    <w:rsid w:val="00471DCA"/>
    <w:rsid w:val="00471E2B"/>
    <w:rsid w:val="00471F85"/>
    <w:rsid w:val="004727C4"/>
    <w:rsid w:val="00473873"/>
    <w:rsid w:val="00473969"/>
    <w:rsid w:val="00473A92"/>
    <w:rsid w:val="0047408E"/>
    <w:rsid w:val="0047473B"/>
    <w:rsid w:val="00474AF4"/>
    <w:rsid w:val="00475519"/>
    <w:rsid w:val="00475DED"/>
    <w:rsid w:val="004764E4"/>
    <w:rsid w:val="00476B1F"/>
    <w:rsid w:val="0047726E"/>
    <w:rsid w:val="00477792"/>
    <w:rsid w:val="00477BB0"/>
    <w:rsid w:val="00480229"/>
    <w:rsid w:val="00481096"/>
    <w:rsid w:val="0048138F"/>
    <w:rsid w:val="00481455"/>
    <w:rsid w:val="00481C02"/>
    <w:rsid w:val="00481EFE"/>
    <w:rsid w:val="00482003"/>
    <w:rsid w:val="00482198"/>
    <w:rsid w:val="00482492"/>
    <w:rsid w:val="00482C88"/>
    <w:rsid w:val="004833CC"/>
    <w:rsid w:val="0048352F"/>
    <w:rsid w:val="00483CDF"/>
    <w:rsid w:val="00484546"/>
    <w:rsid w:val="004846D9"/>
    <w:rsid w:val="00484854"/>
    <w:rsid w:val="00485D97"/>
    <w:rsid w:val="00485FDC"/>
    <w:rsid w:val="004864C3"/>
    <w:rsid w:val="0048752E"/>
    <w:rsid w:val="00487AED"/>
    <w:rsid w:val="00490735"/>
    <w:rsid w:val="00490C66"/>
    <w:rsid w:val="00490D68"/>
    <w:rsid w:val="00490E57"/>
    <w:rsid w:val="00492231"/>
    <w:rsid w:val="004929BC"/>
    <w:rsid w:val="00493518"/>
    <w:rsid w:val="00493528"/>
    <w:rsid w:val="004936A3"/>
    <w:rsid w:val="00493784"/>
    <w:rsid w:val="00493B2F"/>
    <w:rsid w:val="00494D25"/>
    <w:rsid w:val="004961A0"/>
    <w:rsid w:val="00496384"/>
    <w:rsid w:val="0049706C"/>
    <w:rsid w:val="0049737E"/>
    <w:rsid w:val="00497581"/>
    <w:rsid w:val="004A0B4D"/>
    <w:rsid w:val="004A0C78"/>
    <w:rsid w:val="004A1748"/>
    <w:rsid w:val="004A1785"/>
    <w:rsid w:val="004A179A"/>
    <w:rsid w:val="004A1908"/>
    <w:rsid w:val="004A2D7D"/>
    <w:rsid w:val="004A303C"/>
    <w:rsid w:val="004A3101"/>
    <w:rsid w:val="004A4397"/>
    <w:rsid w:val="004A4CEC"/>
    <w:rsid w:val="004A4DA6"/>
    <w:rsid w:val="004A4E74"/>
    <w:rsid w:val="004A6244"/>
    <w:rsid w:val="004A6637"/>
    <w:rsid w:val="004A69BE"/>
    <w:rsid w:val="004A7178"/>
    <w:rsid w:val="004B0263"/>
    <w:rsid w:val="004B075F"/>
    <w:rsid w:val="004B081D"/>
    <w:rsid w:val="004B0E71"/>
    <w:rsid w:val="004B12F1"/>
    <w:rsid w:val="004B153F"/>
    <w:rsid w:val="004B1547"/>
    <w:rsid w:val="004B229F"/>
    <w:rsid w:val="004B2A6E"/>
    <w:rsid w:val="004B3B8B"/>
    <w:rsid w:val="004B3FC6"/>
    <w:rsid w:val="004B4429"/>
    <w:rsid w:val="004B6D20"/>
    <w:rsid w:val="004B7DE4"/>
    <w:rsid w:val="004C0BE4"/>
    <w:rsid w:val="004C1974"/>
    <w:rsid w:val="004C20CB"/>
    <w:rsid w:val="004C21CD"/>
    <w:rsid w:val="004C28AF"/>
    <w:rsid w:val="004C353D"/>
    <w:rsid w:val="004C46C5"/>
    <w:rsid w:val="004C55C9"/>
    <w:rsid w:val="004C5B04"/>
    <w:rsid w:val="004C5E43"/>
    <w:rsid w:val="004C6668"/>
    <w:rsid w:val="004C6CBE"/>
    <w:rsid w:val="004C7008"/>
    <w:rsid w:val="004C7E0E"/>
    <w:rsid w:val="004D1540"/>
    <w:rsid w:val="004D2813"/>
    <w:rsid w:val="004D341C"/>
    <w:rsid w:val="004D4088"/>
    <w:rsid w:val="004D470D"/>
    <w:rsid w:val="004D513E"/>
    <w:rsid w:val="004D556F"/>
    <w:rsid w:val="004D779D"/>
    <w:rsid w:val="004D7ECC"/>
    <w:rsid w:val="004E0437"/>
    <w:rsid w:val="004E06BF"/>
    <w:rsid w:val="004E0CD6"/>
    <w:rsid w:val="004E1323"/>
    <w:rsid w:val="004E13B8"/>
    <w:rsid w:val="004E2274"/>
    <w:rsid w:val="004E2672"/>
    <w:rsid w:val="004E2C48"/>
    <w:rsid w:val="004E2D32"/>
    <w:rsid w:val="004E51B6"/>
    <w:rsid w:val="004E6BF5"/>
    <w:rsid w:val="004E7228"/>
    <w:rsid w:val="004E7783"/>
    <w:rsid w:val="004F05DA"/>
    <w:rsid w:val="004F0B73"/>
    <w:rsid w:val="004F0D49"/>
    <w:rsid w:val="004F20A7"/>
    <w:rsid w:val="004F21BD"/>
    <w:rsid w:val="004F232D"/>
    <w:rsid w:val="004F2365"/>
    <w:rsid w:val="004F29EB"/>
    <w:rsid w:val="004F2EAE"/>
    <w:rsid w:val="004F381D"/>
    <w:rsid w:val="004F3A94"/>
    <w:rsid w:val="004F676A"/>
    <w:rsid w:val="004F6D3E"/>
    <w:rsid w:val="004F6D40"/>
    <w:rsid w:val="004F6E7A"/>
    <w:rsid w:val="004F738A"/>
    <w:rsid w:val="004F7840"/>
    <w:rsid w:val="004F7FF9"/>
    <w:rsid w:val="00500022"/>
    <w:rsid w:val="005000E5"/>
    <w:rsid w:val="00500140"/>
    <w:rsid w:val="005002BA"/>
    <w:rsid w:val="00500499"/>
    <w:rsid w:val="0050068D"/>
    <w:rsid w:val="00500D21"/>
    <w:rsid w:val="00501E51"/>
    <w:rsid w:val="00502111"/>
    <w:rsid w:val="00502C7C"/>
    <w:rsid w:val="00502D63"/>
    <w:rsid w:val="00502D92"/>
    <w:rsid w:val="00502DCC"/>
    <w:rsid w:val="00502E0F"/>
    <w:rsid w:val="005037FE"/>
    <w:rsid w:val="00503FA3"/>
    <w:rsid w:val="005040C5"/>
    <w:rsid w:val="005051FA"/>
    <w:rsid w:val="005054A0"/>
    <w:rsid w:val="005058A2"/>
    <w:rsid w:val="00506A51"/>
    <w:rsid w:val="0050792A"/>
    <w:rsid w:val="005100D6"/>
    <w:rsid w:val="00510458"/>
    <w:rsid w:val="00511587"/>
    <w:rsid w:val="005115CE"/>
    <w:rsid w:val="00511E6E"/>
    <w:rsid w:val="00512AD0"/>
    <w:rsid w:val="00512C46"/>
    <w:rsid w:val="00512DE9"/>
    <w:rsid w:val="005147CC"/>
    <w:rsid w:val="00514DA8"/>
    <w:rsid w:val="005151A5"/>
    <w:rsid w:val="005161DF"/>
    <w:rsid w:val="00516726"/>
    <w:rsid w:val="00516AB6"/>
    <w:rsid w:val="00516AEB"/>
    <w:rsid w:val="00517038"/>
    <w:rsid w:val="0052033A"/>
    <w:rsid w:val="0052094C"/>
    <w:rsid w:val="005222B3"/>
    <w:rsid w:val="00522E67"/>
    <w:rsid w:val="005237BB"/>
    <w:rsid w:val="00523C2E"/>
    <w:rsid w:val="005243A3"/>
    <w:rsid w:val="005249DF"/>
    <w:rsid w:val="005252CF"/>
    <w:rsid w:val="0052538B"/>
    <w:rsid w:val="00525681"/>
    <w:rsid w:val="00525F4E"/>
    <w:rsid w:val="00526274"/>
    <w:rsid w:val="00526295"/>
    <w:rsid w:val="0052651D"/>
    <w:rsid w:val="00526A5F"/>
    <w:rsid w:val="00526F34"/>
    <w:rsid w:val="00527B82"/>
    <w:rsid w:val="00527CBB"/>
    <w:rsid w:val="00530811"/>
    <w:rsid w:val="00531561"/>
    <w:rsid w:val="00531682"/>
    <w:rsid w:val="0053210E"/>
    <w:rsid w:val="00532259"/>
    <w:rsid w:val="00532412"/>
    <w:rsid w:val="00532534"/>
    <w:rsid w:val="00532ABC"/>
    <w:rsid w:val="0053399F"/>
    <w:rsid w:val="00534141"/>
    <w:rsid w:val="00534893"/>
    <w:rsid w:val="00534BF7"/>
    <w:rsid w:val="00535733"/>
    <w:rsid w:val="00535E61"/>
    <w:rsid w:val="0053689F"/>
    <w:rsid w:val="00537D89"/>
    <w:rsid w:val="005400FD"/>
    <w:rsid w:val="005401AB"/>
    <w:rsid w:val="00540BF3"/>
    <w:rsid w:val="00541073"/>
    <w:rsid w:val="0054126D"/>
    <w:rsid w:val="00541553"/>
    <w:rsid w:val="00542846"/>
    <w:rsid w:val="00542A55"/>
    <w:rsid w:val="0054354C"/>
    <w:rsid w:val="00543B3E"/>
    <w:rsid w:val="005444FC"/>
    <w:rsid w:val="00544883"/>
    <w:rsid w:val="00544ABC"/>
    <w:rsid w:val="00544CC4"/>
    <w:rsid w:val="005450B4"/>
    <w:rsid w:val="00545486"/>
    <w:rsid w:val="005457C5"/>
    <w:rsid w:val="00545E68"/>
    <w:rsid w:val="005463EA"/>
    <w:rsid w:val="005465E1"/>
    <w:rsid w:val="00546CC1"/>
    <w:rsid w:val="00547154"/>
    <w:rsid w:val="005473DF"/>
    <w:rsid w:val="005500C6"/>
    <w:rsid w:val="00551899"/>
    <w:rsid w:val="00551AF2"/>
    <w:rsid w:val="00551E69"/>
    <w:rsid w:val="0055218A"/>
    <w:rsid w:val="005524D5"/>
    <w:rsid w:val="00553A0E"/>
    <w:rsid w:val="005543E4"/>
    <w:rsid w:val="00554E23"/>
    <w:rsid w:val="005551BB"/>
    <w:rsid w:val="00556400"/>
    <w:rsid w:val="00557800"/>
    <w:rsid w:val="00557EB5"/>
    <w:rsid w:val="00560843"/>
    <w:rsid w:val="00561B17"/>
    <w:rsid w:val="00561FC5"/>
    <w:rsid w:val="00562185"/>
    <w:rsid w:val="0056231A"/>
    <w:rsid w:val="005623AE"/>
    <w:rsid w:val="0056329E"/>
    <w:rsid w:val="00563422"/>
    <w:rsid w:val="005643C5"/>
    <w:rsid w:val="0056453E"/>
    <w:rsid w:val="00565096"/>
    <w:rsid w:val="005653DC"/>
    <w:rsid w:val="00565638"/>
    <w:rsid w:val="005660E7"/>
    <w:rsid w:val="005679E0"/>
    <w:rsid w:val="00567C17"/>
    <w:rsid w:val="00567CCC"/>
    <w:rsid w:val="00567FEB"/>
    <w:rsid w:val="00570599"/>
    <w:rsid w:val="0057095D"/>
    <w:rsid w:val="0057164E"/>
    <w:rsid w:val="005716F4"/>
    <w:rsid w:val="0057355B"/>
    <w:rsid w:val="00575F1E"/>
    <w:rsid w:val="0057764D"/>
    <w:rsid w:val="00577C7A"/>
    <w:rsid w:val="00577F00"/>
    <w:rsid w:val="0058008D"/>
    <w:rsid w:val="00580260"/>
    <w:rsid w:val="00580BBA"/>
    <w:rsid w:val="0058157D"/>
    <w:rsid w:val="00581658"/>
    <w:rsid w:val="00581932"/>
    <w:rsid w:val="00581CB5"/>
    <w:rsid w:val="0058309F"/>
    <w:rsid w:val="00583339"/>
    <w:rsid w:val="00583501"/>
    <w:rsid w:val="005842EE"/>
    <w:rsid w:val="005847DC"/>
    <w:rsid w:val="00585927"/>
    <w:rsid w:val="00586076"/>
    <w:rsid w:val="005864B1"/>
    <w:rsid w:val="00587EB7"/>
    <w:rsid w:val="00590995"/>
    <w:rsid w:val="00590AD0"/>
    <w:rsid w:val="00591378"/>
    <w:rsid w:val="005916EE"/>
    <w:rsid w:val="005917FB"/>
    <w:rsid w:val="00591EBD"/>
    <w:rsid w:val="00592088"/>
    <w:rsid w:val="0059240B"/>
    <w:rsid w:val="005930CB"/>
    <w:rsid w:val="00593146"/>
    <w:rsid w:val="0059531D"/>
    <w:rsid w:val="0059536F"/>
    <w:rsid w:val="005976CF"/>
    <w:rsid w:val="00597930"/>
    <w:rsid w:val="00597E0A"/>
    <w:rsid w:val="00597E3E"/>
    <w:rsid w:val="005A0188"/>
    <w:rsid w:val="005A024E"/>
    <w:rsid w:val="005A0704"/>
    <w:rsid w:val="005A10BD"/>
    <w:rsid w:val="005A16FD"/>
    <w:rsid w:val="005A2095"/>
    <w:rsid w:val="005A20A4"/>
    <w:rsid w:val="005A443C"/>
    <w:rsid w:val="005A4E68"/>
    <w:rsid w:val="005A50E8"/>
    <w:rsid w:val="005A59BD"/>
    <w:rsid w:val="005A5E6C"/>
    <w:rsid w:val="005A74CB"/>
    <w:rsid w:val="005B0169"/>
    <w:rsid w:val="005B05F0"/>
    <w:rsid w:val="005B1B70"/>
    <w:rsid w:val="005B214A"/>
    <w:rsid w:val="005B23DB"/>
    <w:rsid w:val="005B324E"/>
    <w:rsid w:val="005B3927"/>
    <w:rsid w:val="005B3B47"/>
    <w:rsid w:val="005B499F"/>
    <w:rsid w:val="005B50BF"/>
    <w:rsid w:val="005B579C"/>
    <w:rsid w:val="005B687A"/>
    <w:rsid w:val="005B6DD2"/>
    <w:rsid w:val="005C0A4F"/>
    <w:rsid w:val="005C1FAE"/>
    <w:rsid w:val="005C22D5"/>
    <w:rsid w:val="005C26F8"/>
    <w:rsid w:val="005C2DDC"/>
    <w:rsid w:val="005C3772"/>
    <w:rsid w:val="005C5828"/>
    <w:rsid w:val="005C62C7"/>
    <w:rsid w:val="005C66F5"/>
    <w:rsid w:val="005C71B2"/>
    <w:rsid w:val="005C7ABC"/>
    <w:rsid w:val="005C7F74"/>
    <w:rsid w:val="005D00EF"/>
    <w:rsid w:val="005D13C4"/>
    <w:rsid w:val="005D13CF"/>
    <w:rsid w:val="005D2C5C"/>
    <w:rsid w:val="005D2EA9"/>
    <w:rsid w:val="005D33D0"/>
    <w:rsid w:val="005D3B89"/>
    <w:rsid w:val="005D3E1F"/>
    <w:rsid w:val="005D4EBC"/>
    <w:rsid w:val="005D56B2"/>
    <w:rsid w:val="005D59C5"/>
    <w:rsid w:val="005D5A13"/>
    <w:rsid w:val="005D5C5C"/>
    <w:rsid w:val="005D60E3"/>
    <w:rsid w:val="005D65D0"/>
    <w:rsid w:val="005D6971"/>
    <w:rsid w:val="005D7B8C"/>
    <w:rsid w:val="005E066D"/>
    <w:rsid w:val="005E0AC2"/>
    <w:rsid w:val="005E0D06"/>
    <w:rsid w:val="005E110E"/>
    <w:rsid w:val="005E1C09"/>
    <w:rsid w:val="005E29E6"/>
    <w:rsid w:val="005E2A3B"/>
    <w:rsid w:val="005E4F4B"/>
    <w:rsid w:val="005E57D9"/>
    <w:rsid w:val="005E5ADE"/>
    <w:rsid w:val="005E5AF5"/>
    <w:rsid w:val="005E60FD"/>
    <w:rsid w:val="005E66BA"/>
    <w:rsid w:val="005E69B5"/>
    <w:rsid w:val="005E7657"/>
    <w:rsid w:val="005E7E39"/>
    <w:rsid w:val="005F0311"/>
    <w:rsid w:val="005F17AE"/>
    <w:rsid w:val="005F1ABA"/>
    <w:rsid w:val="005F2608"/>
    <w:rsid w:val="005F26FD"/>
    <w:rsid w:val="005F3A48"/>
    <w:rsid w:val="005F3C47"/>
    <w:rsid w:val="005F3E39"/>
    <w:rsid w:val="005F3FA2"/>
    <w:rsid w:val="005F47B5"/>
    <w:rsid w:val="005F5B4D"/>
    <w:rsid w:val="005F6210"/>
    <w:rsid w:val="005F67A0"/>
    <w:rsid w:val="005F780A"/>
    <w:rsid w:val="005F7CB2"/>
    <w:rsid w:val="00600784"/>
    <w:rsid w:val="00600C92"/>
    <w:rsid w:val="00600F72"/>
    <w:rsid w:val="00601418"/>
    <w:rsid w:val="00601B79"/>
    <w:rsid w:val="00602356"/>
    <w:rsid w:val="00602895"/>
    <w:rsid w:val="00602B66"/>
    <w:rsid w:val="00602F71"/>
    <w:rsid w:val="006037F9"/>
    <w:rsid w:val="00603AE3"/>
    <w:rsid w:val="00604350"/>
    <w:rsid w:val="006047C0"/>
    <w:rsid w:val="00604977"/>
    <w:rsid w:val="006055AF"/>
    <w:rsid w:val="00605A33"/>
    <w:rsid w:val="0060647D"/>
    <w:rsid w:val="00606C5A"/>
    <w:rsid w:val="00607645"/>
    <w:rsid w:val="006077C0"/>
    <w:rsid w:val="0060783B"/>
    <w:rsid w:val="00607CB6"/>
    <w:rsid w:val="0061033B"/>
    <w:rsid w:val="006105D7"/>
    <w:rsid w:val="00610640"/>
    <w:rsid w:val="0061293C"/>
    <w:rsid w:val="00613B59"/>
    <w:rsid w:val="00613C78"/>
    <w:rsid w:val="00614752"/>
    <w:rsid w:val="006148EA"/>
    <w:rsid w:val="00614DA5"/>
    <w:rsid w:val="006150C1"/>
    <w:rsid w:val="0061536E"/>
    <w:rsid w:val="006154A1"/>
    <w:rsid w:val="0061575D"/>
    <w:rsid w:val="00615943"/>
    <w:rsid w:val="00615D30"/>
    <w:rsid w:val="00616033"/>
    <w:rsid w:val="006164FD"/>
    <w:rsid w:val="00616890"/>
    <w:rsid w:val="00616BEB"/>
    <w:rsid w:val="00616EEB"/>
    <w:rsid w:val="00616F23"/>
    <w:rsid w:val="00617279"/>
    <w:rsid w:val="00620379"/>
    <w:rsid w:val="00621484"/>
    <w:rsid w:val="00622306"/>
    <w:rsid w:val="006227D5"/>
    <w:rsid w:val="00622C4C"/>
    <w:rsid w:val="00623BC9"/>
    <w:rsid w:val="00624925"/>
    <w:rsid w:val="00624F63"/>
    <w:rsid w:val="00625111"/>
    <w:rsid w:val="00625FA5"/>
    <w:rsid w:val="00626439"/>
    <w:rsid w:val="0062644E"/>
    <w:rsid w:val="00626DC1"/>
    <w:rsid w:val="0062719A"/>
    <w:rsid w:val="0062786C"/>
    <w:rsid w:val="00627CA8"/>
    <w:rsid w:val="006307D5"/>
    <w:rsid w:val="00630DBB"/>
    <w:rsid w:val="00630DCA"/>
    <w:rsid w:val="0063143D"/>
    <w:rsid w:val="00631949"/>
    <w:rsid w:val="00632386"/>
    <w:rsid w:val="00633423"/>
    <w:rsid w:val="00633EA5"/>
    <w:rsid w:val="0063405E"/>
    <w:rsid w:val="00634189"/>
    <w:rsid w:val="006344D0"/>
    <w:rsid w:val="00634561"/>
    <w:rsid w:val="0063492D"/>
    <w:rsid w:val="006355A4"/>
    <w:rsid w:val="00635B8D"/>
    <w:rsid w:val="00635C0C"/>
    <w:rsid w:val="006361EB"/>
    <w:rsid w:val="006401FC"/>
    <w:rsid w:val="0064088E"/>
    <w:rsid w:val="00640EBC"/>
    <w:rsid w:val="0064126E"/>
    <w:rsid w:val="00641511"/>
    <w:rsid w:val="0064156A"/>
    <w:rsid w:val="006415CD"/>
    <w:rsid w:val="0064179A"/>
    <w:rsid w:val="0064197A"/>
    <w:rsid w:val="006421B1"/>
    <w:rsid w:val="006422B5"/>
    <w:rsid w:val="00642A34"/>
    <w:rsid w:val="00643203"/>
    <w:rsid w:val="00643DF8"/>
    <w:rsid w:val="00643E34"/>
    <w:rsid w:val="00644E06"/>
    <w:rsid w:val="0064568E"/>
    <w:rsid w:val="00645718"/>
    <w:rsid w:val="0064599F"/>
    <w:rsid w:val="0064650F"/>
    <w:rsid w:val="006477E1"/>
    <w:rsid w:val="00647DA6"/>
    <w:rsid w:val="006502A0"/>
    <w:rsid w:val="00650E61"/>
    <w:rsid w:val="006510DC"/>
    <w:rsid w:val="00651F43"/>
    <w:rsid w:val="00651FA9"/>
    <w:rsid w:val="0065239F"/>
    <w:rsid w:val="00652432"/>
    <w:rsid w:val="0065286A"/>
    <w:rsid w:val="00652B47"/>
    <w:rsid w:val="0065381F"/>
    <w:rsid w:val="00654520"/>
    <w:rsid w:val="00654DA8"/>
    <w:rsid w:val="006550F7"/>
    <w:rsid w:val="006551AE"/>
    <w:rsid w:val="006558F6"/>
    <w:rsid w:val="006563BD"/>
    <w:rsid w:val="0065664C"/>
    <w:rsid w:val="00656C7F"/>
    <w:rsid w:val="00657439"/>
    <w:rsid w:val="006605F7"/>
    <w:rsid w:val="00660754"/>
    <w:rsid w:val="0066075F"/>
    <w:rsid w:val="00661ECD"/>
    <w:rsid w:val="006623FB"/>
    <w:rsid w:val="00662A4C"/>
    <w:rsid w:val="00663370"/>
    <w:rsid w:val="00663AC8"/>
    <w:rsid w:val="00664002"/>
    <w:rsid w:val="006640D7"/>
    <w:rsid w:val="006644BE"/>
    <w:rsid w:val="00664A1B"/>
    <w:rsid w:val="00664AB0"/>
    <w:rsid w:val="00664BCE"/>
    <w:rsid w:val="00665894"/>
    <w:rsid w:val="0066595F"/>
    <w:rsid w:val="006659D4"/>
    <w:rsid w:val="00666DB7"/>
    <w:rsid w:val="00667F70"/>
    <w:rsid w:val="00670BF7"/>
    <w:rsid w:val="006712A1"/>
    <w:rsid w:val="0067143F"/>
    <w:rsid w:val="00671D27"/>
    <w:rsid w:val="00672159"/>
    <w:rsid w:val="00672D29"/>
    <w:rsid w:val="00673044"/>
    <w:rsid w:val="0067363A"/>
    <w:rsid w:val="0067427D"/>
    <w:rsid w:val="006749CD"/>
    <w:rsid w:val="0067538B"/>
    <w:rsid w:val="00675434"/>
    <w:rsid w:val="00675636"/>
    <w:rsid w:val="00675C47"/>
    <w:rsid w:val="00675DD7"/>
    <w:rsid w:val="00675FF7"/>
    <w:rsid w:val="0067628B"/>
    <w:rsid w:val="0067629A"/>
    <w:rsid w:val="006773AA"/>
    <w:rsid w:val="00677578"/>
    <w:rsid w:val="00677A22"/>
    <w:rsid w:val="00680411"/>
    <w:rsid w:val="00680679"/>
    <w:rsid w:val="006812F6"/>
    <w:rsid w:val="00681F29"/>
    <w:rsid w:val="00682068"/>
    <w:rsid w:val="006821B3"/>
    <w:rsid w:val="00682B11"/>
    <w:rsid w:val="00682CC4"/>
    <w:rsid w:val="006830C5"/>
    <w:rsid w:val="00683193"/>
    <w:rsid w:val="0068320E"/>
    <w:rsid w:val="00683563"/>
    <w:rsid w:val="00683633"/>
    <w:rsid w:val="00683BAD"/>
    <w:rsid w:val="0068410B"/>
    <w:rsid w:val="006841A2"/>
    <w:rsid w:val="00684BD2"/>
    <w:rsid w:val="00684C4E"/>
    <w:rsid w:val="00684FBE"/>
    <w:rsid w:val="0068510F"/>
    <w:rsid w:val="00685531"/>
    <w:rsid w:val="00685EEB"/>
    <w:rsid w:val="00686018"/>
    <w:rsid w:val="006861DB"/>
    <w:rsid w:val="00686B4A"/>
    <w:rsid w:val="00686DC3"/>
    <w:rsid w:val="00686E58"/>
    <w:rsid w:val="00687A15"/>
    <w:rsid w:val="00687F12"/>
    <w:rsid w:val="00687FBC"/>
    <w:rsid w:val="006917D0"/>
    <w:rsid w:val="00691F0F"/>
    <w:rsid w:val="006928B6"/>
    <w:rsid w:val="00693223"/>
    <w:rsid w:val="00693441"/>
    <w:rsid w:val="00693659"/>
    <w:rsid w:val="0069366C"/>
    <w:rsid w:val="006936D5"/>
    <w:rsid w:val="006940A1"/>
    <w:rsid w:val="0069447B"/>
    <w:rsid w:val="00694695"/>
    <w:rsid w:val="00694D74"/>
    <w:rsid w:val="0069552D"/>
    <w:rsid w:val="00695BA2"/>
    <w:rsid w:val="00696019"/>
    <w:rsid w:val="0069607E"/>
    <w:rsid w:val="00697D28"/>
    <w:rsid w:val="006A0002"/>
    <w:rsid w:val="006A0057"/>
    <w:rsid w:val="006A1016"/>
    <w:rsid w:val="006A145B"/>
    <w:rsid w:val="006A15CA"/>
    <w:rsid w:val="006A1F26"/>
    <w:rsid w:val="006A20F0"/>
    <w:rsid w:val="006A2770"/>
    <w:rsid w:val="006A339B"/>
    <w:rsid w:val="006A526D"/>
    <w:rsid w:val="006A5415"/>
    <w:rsid w:val="006A5574"/>
    <w:rsid w:val="006A5C73"/>
    <w:rsid w:val="006A6098"/>
    <w:rsid w:val="006A61AE"/>
    <w:rsid w:val="006A6557"/>
    <w:rsid w:val="006A6773"/>
    <w:rsid w:val="006A6AB4"/>
    <w:rsid w:val="006A7E7F"/>
    <w:rsid w:val="006B042F"/>
    <w:rsid w:val="006B236F"/>
    <w:rsid w:val="006B23C3"/>
    <w:rsid w:val="006B2B53"/>
    <w:rsid w:val="006B3389"/>
    <w:rsid w:val="006B37BA"/>
    <w:rsid w:val="006B3DD5"/>
    <w:rsid w:val="006B4867"/>
    <w:rsid w:val="006B55AE"/>
    <w:rsid w:val="006B5A68"/>
    <w:rsid w:val="006B625D"/>
    <w:rsid w:val="006B645A"/>
    <w:rsid w:val="006B6AC4"/>
    <w:rsid w:val="006B6B51"/>
    <w:rsid w:val="006B7428"/>
    <w:rsid w:val="006B76DE"/>
    <w:rsid w:val="006B7789"/>
    <w:rsid w:val="006B7A40"/>
    <w:rsid w:val="006C038C"/>
    <w:rsid w:val="006C0B86"/>
    <w:rsid w:val="006C12E4"/>
    <w:rsid w:val="006C1632"/>
    <w:rsid w:val="006C1BE6"/>
    <w:rsid w:val="006C1C0E"/>
    <w:rsid w:val="006C221B"/>
    <w:rsid w:val="006C2F06"/>
    <w:rsid w:val="006C443D"/>
    <w:rsid w:val="006C4CF5"/>
    <w:rsid w:val="006C532F"/>
    <w:rsid w:val="006C54EC"/>
    <w:rsid w:val="006C571F"/>
    <w:rsid w:val="006C5C57"/>
    <w:rsid w:val="006C7357"/>
    <w:rsid w:val="006C76B0"/>
    <w:rsid w:val="006C7EAB"/>
    <w:rsid w:val="006D00FA"/>
    <w:rsid w:val="006D25C5"/>
    <w:rsid w:val="006D3351"/>
    <w:rsid w:val="006D4172"/>
    <w:rsid w:val="006D43BF"/>
    <w:rsid w:val="006D45C7"/>
    <w:rsid w:val="006D5364"/>
    <w:rsid w:val="006D5871"/>
    <w:rsid w:val="006D6995"/>
    <w:rsid w:val="006D6D72"/>
    <w:rsid w:val="006D71D9"/>
    <w:rsid w:val="006D7320"/>
    <w:rsid w:val="006D7532"/>
    <w:rsid w:val="006D7B3F"/>
    <w:rsid w:val="006D7C5A"/>
    <w:rsid w:val="006D7D11"/>
    <w:rsid w:val="006D7F02"/>
    <w:rsid w:val="006E00F3"/>
    <w:rsid w:val="006E0328"/>
    <w:rsid w:val="006E0469"/>
    <w:rsid w:val="006E1888"/>
    <w:rsid w:val="006E1C11"/>
    <w:rsid w:val="006E2E33"/>
    <w:rsid w:val="006E4240"/>
    <w:rsid w:val="006E45F3"/>
    <w:rsid w:val="006E5509"/>
    <w:rsid w:val="006E5C5C"/>
    <w:rsid w:val="006E63EB"/>
    <w:rsid w:val="006E6957"/>
    <w:rsid w:val="006E7CD3"/>
    <w:rsid w:val="006F0C6D"/>
    <w:rsid w:val="006F0FA0"/>
    <w:rsid w:val="006F0FC5"/>
    <w:rsid w:val="006F1574"/>
    <w:rsid w:val="006F175D"/>
    <w:rsid w:val="006F1C2F"/>
    <w:rsid w:val="006F1E1D"/>
    <w:rsid w:val="006F1E89"/>
    <w:rsid w:val="006F22B4"/>
    <w:rsid w:val="006F2430"/>
    <w:rsid w:val="006F28FE"/>
    <w:rsid w:val="006F2B00"/>
    <w:rsid w:val="006F34CD"/>
    <w:rsid w:val="006F45C3"/>
    <w:rsid w:val="006F4E6B"/>
    <w:rsid w:val="006F5040"/>
    <w:rsid w:val="006F544E"/>
    <w:rsid w:val="006F58AE"/>
    <w:rsid w:val="006F5F8C"/>
    <w:rsid w:val="006F7E46"/>
    <w:rsid w:val="007002E1"/>
    <w:rsid w:val="00700F14"/>
    <w:rsid w:val="00701315"/>
    <w:rsid w:val="00702279"/>
    <w:rsid w:val="007033E5"/>
    <w:rsid w:val="00703889"/>
    <w:rsid w:val="00703C64"/>
    <w:rsid w:val="00703D65"/>
    <w:rsid w:val="0070592E"/>
    <w:rsid w:val="00705AA4"/>
    <w:rsid w:val="00706208"/>
    <w:rsid w:val="007066D5"/>
    <w:rsid w:val="007106AE"/>
    <w:rsid w:val="007106E9"/>
    <w:rsid w:val="00710839"/>
    <w:rsid w:val="00711600"/>
    <w:rsid w:val="00711C51"/>
    <w:rsid w:val="00712182"/>
    <w:rsid w:val="0071247D"/>
    <w:rsid w:val="0071265B"/>
    <w:rsid w:val="0071382F"/>
    <w:rsid w:val="0071417E"/>
    <w:rsid w:val="00714575"/>
    <w:rsid w:val="00714803"/>
    <w:rsid w:val="00714FDA"/>
    <w:rsid w:val="007153C5"/>
    <w:rsid w:val="00715C58"/>
    <w:rsid w:val="0071668B"/>
    <w:rsid w:val="007167E8"/>
    <w:rsid w:val="00717714"/>
    <w:rsid w:val="00717D3D"/>
    <w:rsid w:val="00720997"/>
    <w:rsid w:val="007209C2"/>
    <w:rsid w:val="00720F37"/>
    <w:rsid w:val="00721C10"/>
    <w:rsid w:val="0072223F"/>
    <w:rsid w:val="007228C8"/>
    <w:rsid w:val="00723560"/>
    <w:rsid w:val="007239D2"/>
    <w:rsid w:val="007239E9"/>
    <w:rsid w:val="007249EF"/>
    <w:rsid w:val="00724D93"/>
    <w:rsid w:val="00724FE7"/>
    <w:rsid w:val="00726BFF"/>
    <w:rsid w:val="00726FA8"/>
    <w:rsid w:val="00727527"/>
    <w:rsid w:val="007276AA"/>
    <w:rsid w:val="007279C7"/>
    <w:rsid w:val="00727CF0"/>
    <w:rsid w:val="00730EB4"/>
    <w:rsid w:val="00731313"/>
    <w:rsid w:val="00731BD2"/>
    <w:rsid w:val="00732E29"/>
    <w:rsid w:val="00733178"/>
    <w:rsid w:val="0073381D"/>
    <w:rsid w:val="00734172"/>
    <w:rsid w:val="007342B7"/>
    <w:rsid w:val="00734CE8"/>
    <w:rsid w:val="00735246"/>
    <w:rsid w:val="00735DBF"/>
    <w:rsid w:val="0073656C"/>
    <w:rsid w:val="0073723B"/>
    <w:rsid w:val="00737A73"/>
    <w:rsid w:val="00737D77"/>
    <w:rsid w:val="00740032"/>
    <w:rsid w:val="0074042D"/>
    <w:rsid w:val="007418E7"/>
    <w:rsid w:val="0074237E"/>
    <w:rsid w:val="00742DC1"/>
    <w:rsid w:val="00742EA2"/>
    <w:rsid w:val="007431DA"/>
    <w:rsid w:val="0074548F"/>
    <w:rsid w:val="007454C2"/>
    <w:rsid w:val="00745A0B"/>
    <w:rsid w:val="007465F1"/>
    <w:rsid w:val="00746DFD"/>
    <w:rsid w:val="0074738C"/>
    <w:rsid w:val="007474AF"/>
    <w:rsid w:val="00747F67"/>
    <w:rsid w:val="00750779"/>
    <w:rsid w:val="00751771"/>
    <w:rsid w:val="0075183D"/>
    <w:rsid w:val="00751897"/>
    <w:rsid w:val="0075245E"/>
    <w:rsid w:val="00753184"/>
    <w:rsid w:val="007536CD"/>
    <w:rsid w:val="00753EB5"/>
    <w:rsid w:val="00754339"/>
    <w:rsid w:val="007551F5"/>
    <w:rsid w:val="00755647"/>
    <w:rsid w:val="00755900"/>
    <w:rsid w:val="00755B2D"/>
    <w:rsid w:val="00755DBF"/>
    <w:rsid w:val="00755EEB"/>
    <w:rsid w:val="0075610A"/>
    <w:rsid w:val="00756644"/>
    <w:rsid w:val="00756905"/>
    <w:rsid w:val="0075690E"/>
    <w:rsid w:val="00756CE0"/>
    <w:rsid w:val="00757D1F"/>
    <w:rsid w:val="00761C53"/>
    <w:rsid w:val="00762283"/>
    <w:rsid w:val="00762ABA"/>
    <w:rsid w:val="00762C4E"/>
    <w:rsid w:val="00762D2D"/>
    <w:rsid w:val="00763232"/>
    <w:rsid w:val="007635BE"/>
    <w:rsid w:val="00764ABE"/>
    <w:rsid w:val="00765CDF"/>
    <w:rsid w:val="00766293"/>
    <w:rsid w:val="0076747D"/>
    <w:rsid w:val="007674C1"/>
    <w:rsid w:val="00767F51"/>
    <w:rsid w:val="007707EC"/>
    <w:rsid w:val="00770ECF"/>
    <w:rsid w:val="007711C9"/>
    <w:rsid w:val="007713C8"/>
    <w:rsid w:val="007713F1"/>
    <w:rsid w:val="0077180B"/>
    <w:rsid w:val="00771926"/>
    <w:rsid w:val="007720FE"/>
    <w:rsid w:val="00772E5B"/>
    <w:rsid w:val="00772E68"/>
    <w:rsid w:val="0077421C"/>
    <w:rsid w:val="00774BD7"/>
    <w:rsid w:val="00776093"/>
    <w:rsid w:val="007761F5"/>
    <w:rsid w:val="00776FA7"/>
    <w:rsid w:val="00777314"/>
    <w:rsid w:val="00777B4A"/>
    <w:rsid w:val="00777EEB"/>
    <w:rsid w:val="00780E8A"/>
    <w:rsid w:val="00780EC7"/>
    <w:rsid w:val="00781444"/>
    <w:rsid w:val="007824CC"/>
    <w:rsid w:val="00782BAE"/>
    <w:rsid w:val="00783468"/>
    <w:rsid w:val="00783802"/>
    <w:rsid w:val="00784F23"/>
    <w:rsid w:val="0078572D"/>
    <w:rsid w:val="007857A9"/>
    <w:rsid w:val="00785992"/>
    <w:rsid w:val="007862AA"/>
    <w:rsid w:val="0078651E"/>
    <w:rsid w:val="00786EE9"/>
    <w:rsid w:val="007875A3"/>
    <w:rsid w:val="00790F54"/>
    <w:rsid w:val="00790F7A"/>
    <w:rsid w:val="007911A8"/>
    <w:rsid w:val="00791635"/>
    <w:rsid w:val="007926AC"/>
    <w:rsid w:val="007934B4"/>
    <w:rsid w:val="00793568"/>
    <w:rsid w:val="007939B3"/>
    <w:rsid w:val="00793B6F"/>
    <w:rsid w:val="00795963"/>
    <w:rsid w:val="007959AD"/>
    <w:rsid w:val="00796A17"/>
    <w:rsid w:val="0079781F"/>
    <w:rsid w:val="007A0A3B"/>
    <w:rsid w:val="007A0BFA"/>
    <w:rsid w:val="007A1A3C"/>
    <w:rsid w:val="007A1C19"/>
    <w:rsid w:val="007A2728"/>
    <w:rsid w:val="007A32DA"/>
    <w:rsid w:val="007A3338"/>
    <w:rsid w:val="007A3619"/>
    <w:rsid w:val="007A384C"/>
    <w:rsid w:val="007A42CA"/>
    <w:rsid w:val="007A430B"/>
    <w:rsid w:val="007A435E"/>
    <w:rsid w:val="007A4894"/>
    <w:rsid w:val="007A581C"/>
    <w:rsid w:val="007A5BB9"/>
    <w:rsid w:val="007A6784"/>
    <w:rsid w:val="007A683F"/>
    <w:rsid w:val="007B0072"/>
    <w:rsid w:val="007B0533"/>
    <w:rsid w:val="007B0883"/>
    <w:rsid w:val="007B22B7"/>
    <w:rsid w:val="007B242A"/>
    <w:rsid w:val="007B264F"/>
    <w:rsid w:val="007B3163"/>
    <w:rsid w:val="007B3993"/>
    <w:rsid w:val="007B43D8"/>
    <w:rsid w:val="007B479B"/>
    <w:rsid w:val="007B510A"/>
    <w:rsid w:val="007B5429"/>
    <w:rsid w:val="007B5EA5"/>
    <w:rsid w:val="007B6D6D"/>
    <w:rsid w:val="007B6FEF"/>
    <w:rsid w:val="007B7B23"/>
    <w:rsid w:val="007C0032"/>
    <w:rsid w:val="007C1D18"/>
    <w:rsid w:val="007C2987"/>
    <w:rsid w:val="007C2E1F"/>
    <w:rsid w:val="007C3424"/>
    <w:rsid w:val="007C3A24"/>
    <w:rsid w:val="007C4036"/>
    <w:rsid w:val="007C416A"/>
    <w:rsid w:val="007C430A"/>
    <w:rsid w:val="007C49EA"/>
    <w:rsid w:val="007C5514"/>
    <w:rsid w:val="007C5F7C"/>
    <w:rsid w:val="007C644D"/>
    <w:rsid w:val="007C6C08"/>
    <w:rsid w:val="007C6FB7"/>
    <w:rsid w:val="007C78E3"/>
    <w:rsid w:val="007C7FB6"/>
    <w:rsid w:val="007D000C"/>
    <w:rsid w:val="007D0B2D"/>
    <w:rsid w:val="007D0DE4"/>
    <w:rsid w:val="007D17CD"/>
    <w:rsid w:val="007D1B3B"/>
    <w:rsid w:val="007D1BA1"/>
    <w:rsid w:val="007D1C9A"/>
    <w:rsid w:val="007D1D14"/>
    <w:rsid w:val="007D2468"/>
    <w:rsid w:val="007D2E19"/>
    <w:rsid w:val="007D3F9E"/>
    <w:rsid w:val="007D42F0"/>
    <w:rsid w:val="007D4D05"/>
    <w:rsid w:val="007D4F39"/>
    <w:rsid w:val="007D6635"/>
    <w:rsid w:val="007D750F"/>
    <w:rsid w:val="007D75ED"/>
    <w:rsid w:val="007D7D5E"/>
    <w:rsid w:val="007D7D6C"/>
    <w:rsid w:val="007E0C84"/>
    <w:rsid w:val="007E1144"/>
    <w:rsid w:val="007E279B"/>
    <w:rsid w:val="007E2ADE"/>
    <w:rsid w:val="007E44C0"/>
    <w:rsid w:val="007E451C"/>
    <w:rsid w:val="007E4CA3"/>
    <w:rsid w:val="007E52FA"/>
    <w:rsid w:val="007E53EB"/>
    <w:rsid w:val="007E544F"/>
    <w:rsid w:val="007E594B"/>
    <w:rsid w:val="007E5FA2"/>
    <w:rsid w:val="007E5FDE"/>
    <w:rsid w:val="007E627F"/>
    <w:rsid w:val="007E652C"/>
    <w:rsid w:val="007E65DD"/>
    <w:rsid w:val="007E662F"/>
    <w:rsid w:val="007E674B"/>
    <w:rsid w:val="007E674D"/>
    <w:rsid w:val="007E6770"/>
    <w:rsid w:val="007E6DBD"/>
    <w:rsid w:val="007E76E4"/>
    <w:rsid w:val="007E786E"/>
    <w:rsid w:val="007E7AB7"/>
    <w:rsid w:val="007F0675"/>
    <w:rsid w:val="007F0BEA"/>
    <w:rsid w:val="007F0F22"/>
    <w:rsid w:val="007F2099"/>
    <w:rsid w:val="007F2F5B"/>
    <w:rsid w:val="007F3180"/>
    <w:rsid w:val="007F37AF"/>
    <w:rsid w:val="007F3861"/>
    <w:rsid w:val="007F4274"/>
    <w:rsid w:val="007F4386"/>
    <w:rsid w:val="007F4DB3"/>
    <w:rsid w:val="007F4F29"/>
    <w:rsid w:val="007F531C"/>
    <w:rsid w:val="007F7664"/>
    <w:rsid w:val="007F79AB"/>
    <w:rsid w:val="00800570"/>
    <w:rsid w:val="00800F13"/>
    <w:rsid w:val="00801177"/>
    <w:rsid w:val="0080123A"/>
    <w:rsid w:val="008014C9"/>
    <w:rsid w:val="00805224"/>
    <w:rsid w:val="00805705"/>
    <w:rsid w:val="00805E51"/>
    <w:rsid w:val="00805E6D"/>
    <w:rsid w:val="00805EB6"/>
    <w:rsid w:val="008060A8"/>
    <w:rsid w:val="00807653"/>
    <w:rsid w:val="00811813"/>
    <w:rsid w:val="00811B44"/>
    <w:rsid w:val="0081281B"/>
    <w:rsid w:val="00812FB9"/>
    <w:rsid w:val="00815C8E"/>
    <w:rsid w:val="008164E3"/>
    <w:rsid w:val="00817770"/>
    <w:rsid w:val="0082017A"/>
    <w:rsid w:val="0082042A"/>
    <w:rsid w:val="00820458"/>
    <w:rsid w:val="00820CBF"/>
    <w:rsid w:val="0082167F"/>
    <w:rsid w:val="00823208"/>
    <w:rsid w:val="0082391F"/>
    <w:rsid w:val="00823B41"/>
    <w:rsid w:val="00823FB2"/>
    <w:rsid w:val="0082468D"/>
    <w:rsid w:val="0082515C"/>
    <w:rsid w:val="00827812"/>
    <w:rsid w:val="00827A58"/>
    <w:rsid w:val="00827AE1"/>
    <w:rsid w:val="00827DBD"/>
    <w:rsid w:val="00827F50"/>
    <w:rsid w:val="00827F7C"/>
    <w:rsid w:val="00830B3E"/>
    <w:rsid w:val="00831327"/>
    <w:rsid w:val="00832123"/>
    <w:rsid w:val="0083256C"/>
    <w:rsid w:val="008329A3"/>
    <w:rsid w:val="00834047"/>
    <w:rsid w:val="008349DF"/>
    <w:rsid w:val="00834ED3"/>
    <w:rsid w:val="00836073"/>
    <w:rsid w:val="00836EC2"/>
    <w:rsid w:val="0083702D"/>
    <w:rsid w:val="008376B7"/>
    <w:rsid w:val="008401A4"/>
    <w:rsid w:val="008412CB"/>
    <w:rsid w:val="00841782"/>
    <w:rsid w:val="00841F2D"/>
    <w:rsid w:val="00842D12"/>
    <w:rsid w:val="00843394"/>
    <w:rsid w:val="00844179"/>
    <w:rsid w:val="00844199"/>
    <w:rsid w:val="008444CC"/>
    <w:rsid w:val="00844999"/>
    <w:rsid w:val="0084542E"/>
    <w:rsid w:val="00845E46"/>
    <w:rsid w:val="00846825"/>
    <w:rsid w:val="00846AE5"/>
    <w:rsid w:val="00846BB1"/>
    <w:rsid w:val="00846BF2"/>
    <w:rsid w:val="00846CC4"/>
    <w:rsid w:val="00847364"/>
    <w:rsid w:val="0084776C"/>
    <w:rsid w:val="0085087F"/>
    <w:rsid w:val="00850D96"/>
    <w:rsid w:val="008514BC"/>
    <w:rsid w:val="00851505"/>
    <w:rsid w:val="00851BB2"/>
    <w:rsid w:val="00852DFC"/>
    <w:rsid w:val="00854222"/>
    <w:rsid w:val="008542E6"/>
    <w:rsid w:val="008544A4"/>
    <w:rsid w:val="00855162"/>
    <w:rsid w:val="00855356"/>
    <w:rsid w:val="0085565D"/>
    <w:rsid w:val="008556E7"/>
    <w:rsid w:val="00855922"/>
    <w:rsid w:val="008559F7"/>
    <w:rsid w:val="008570E0"/>
    <w:rsid w:val="00857D3B"/>
    <w:rsid w:val="00862465"/>
    <w:rsid w:val="00863461"/>
    <w:rsid w:val="00863CF9"/>
    <w:rsid w:val="0086429B"/>
    <w:rsid w:val="008665E7"/>
    <w:rsid w:val="00866C1C"/>
    <w:rsid w:val="00867089"/>
    <w:rsid w:val="008674D7"/>
    <w:rsid w:val="00867856"/>
    <w:rsid w:val="00870A07"/>
    <w:rsid w:val="00870E8E"/>
    <w:rsid w:val="00871794"/>
    <w:rsid w:val="008720FC"/>
    <w:rsid w:val="0087381C"/>
    <w:rsid w:val="00873ABB"/>
    <w:rsid w:val="00873DD4"/>
    <w:rsid w:val="00874946"/>
    <w:rsid w:val="0087497F"/>
    <w:rsid w:val="008754CC"/>
    <w:rsid w:val="00880CA4"/>
    <w:rsid w:val="008815F7"/>
    <w:rsid w:val="00881894"/>
    <w:rsid w:val="008818AB"/>
    <w:rsid w:val="00881B89"/>
    <w:rsid w:val="00881FC2"/>
    <w:rsid w:val="008833EB"/>
    <w:rsid w:val="00886890"/>
    <w:rsid w:val="00886A4E"/>
    <w:rsid w:val="0088715C"/>
    <w:rsid w:val="008901EB"/>
    <w:rsid w:val="0089075E"/>
    <w:rsid w:val="008914C5"/>
    <w:rsid w:val="008917A0"/>
    <w:rsid w:val="00892741"/>
    <w:rsid w:val="008928BC"/>
    <w:rsid w:val="00892F4C"/>
    <w:rsid w:val="00893800"/>
    <w:rsid w:val="008941E9"/>
    <w:rsid w:val="00894B2A"/>
    <w:rsid w:val="00894F4B"/>
    <w:rsid w:val="00895422"/>
    <w:rsid w:val="00896BB2"/>
    <w:rsid w:val="00897BAB"/>
    <w:rsid w:val="00897F4C"/>
    <w:rsid w:val="008A256F"/>
    <w:rsid w:val="008A2950"/>
    <w:rsid w:val="008A2BB9"/>
    <w:rsid w:val="008A2C75"/>
    <w:rsid w:val="008A313B"/>
    <w:rsid w:val="008A38AD"/>
    <w:rsid w:val="008A3C7C"/>
    <w:rsid w:val="008A4213"/>
    <w:rsid w:val="008A4BD5"/>
    <w:rsid w:val="008A5F66"/>
    <w:rsid w:val="008A717A"/>
    <w:rsid w:val="008A75B5"/>
    <w:rsid w:val="008B1020"/>
    <w:rsid w:val="008B1784"/>
    <w:rsid w:val="008B18B0"/>
    <w:rsid w:val="008B2334"/>
    <w:rsid w:val="008B26D9"/>
    <w:rsid w:val="008B26F7"/>
    <w:rsid w:val="008B2994"/>
    <w:rsid w:val="008B2BCE"/>
    <w:rsid w:val="008B305C"/>
    <w:rsid w:val="008B4129"/>
    <w:rsid w:val="008B4E86"/>
    <w:rsid w:val="008B6070"/>
    <w:rsid w:val="008B6ADB"/>
    <w:rsid w:val="008B72EF"/>
    <w:rsid w:val="008B7654"/>
    <w:rsid w:val="008B7CA6"/>
    <w:rsid w:val="008C2137"/>
    <w:rsid w:val="008C299C"/>
    <w:rsid w:val="008C2AD9"/>
    <w:rsid w:val="008C345E"/>
    <w:rsid w:val="008C35A9"/>
    <w:rsid w:val="008C461F"/>
    <w:rsid w:val="008C4867"/>
    <w:rsid w:val="008C58AC"/>
    <w:rsid w:val="008C5D5D"/>
    <w:rsid w:val="008C6E6F"/>
    <w:rsid w:val="008C73CD"/>
    <w:rsid w:val="008C7DEB"/>
    <w:rsid w:val="008D052D"/>
    <w:rsid w:val="008D0AA0"/>
    <w:rsid w:val="008D0CFE"/>
    <w:rsid w:val="008D227F"/>
    <w:rsid w:val="008D25AE"/>
    <w:rsid w:val="008D39DF"/>
    <w:rsid w:val="008D4104"/>
    <w:rsid w:val="008D4417"/>
    <w:rsid w:val="008D4C59"/>
    <w:rsid w:val="008D5CEF"/>
    <w:rsid w:val="008D5E98"/>
    <w:rsid w:val="008D604A"/>
    <w:rsid w:val="008D7316"/>
    <w:rsid w:val="008D7AD4"/>
    <w:rsid w:val="008D7CB0"/>
    <w:rsid w:val="008E0E94"/>
    <w:rsid w:val="008E109A"/>
    <w:rsid w:val="008E1A92"/>
    <w:rsid w:val="008E1CC1"/>
    <w:rsid w:val="008E3258"/>
    <w:rsid w:val="008E3D12"/>
    <w:rsid w:val="008E3FD2"/>
    <w:rsid w:val="008E4775"/>
    <w:rsid w:val="008E4E22"/>
    <w:rsid w:val="008E4F55"/>
    <w:rsid w:val="008E5946"/>
    <w:rsid w:val="008E5B23"/>
    <w:rsid w:val="008E5CEE"/>
    <w:rsid w:val="008E5E3A"/>
    <w:rsid w:val="008E6105"/>
    <w:rsid w:val="008E7167"/>
    <w:rsid w:val="008E7526"/>
    <w:rsid w:val="008E792E"/>
    <w:rsid w:val="008E7959"/>
    <w:rsid w:val="008F1976"/>
    <w:rsid w:val="008F21BB"/>
    <w:rsid w:val="008F2292"/>
    <w:rsid w:val="008F26DE"/>
    <w:rsid w:val="008F2E27"/>
    <w:rsid w:val="008F2E9A"/>
    <w:rsid w:val="008F2F30"/>
    <w:rsid w:val="008F33E5"/>
    <w:rsid w:val="008F3E11"/>
    <w:rsid w:val="008F443B"/>
    <w:rsid w:val="008F548B"/>
    <w:rsid w:val="008F62C9"/>
    <w:rsid w:val="008F6413"/>
    <w:rsid w:val="008F643D"/>
    <w:rsid w:val="008F74DB"/>
    <w:rsid w:val="008F74F3"/>
    <w:rsid w:val="008F78D2"/>
    <w:rsid w:val="00900E29"/>
    <w:rsid w:val="00901230"/>
    <w:rsid w:val="009012A9"/>
    <w:rsid w:val="00901B69"/>
    <w:rsid w:val="0090375D"/>
    <w:rsid w:val="00904287"/>
    <w:rsid w:val="00904307"/>
    <w:rsid w:val="009047CC"/>
    <w:rsid w:val="00904CEE"/>
    <w:rsid w:val="00905275"/>
    <w:rsid w:val="009060DD"/>
    <w:rsid w:val="00906786"/>
    <w:rsid w:val="00906A28"/>
    <w:rsid w:val="00906B75"/>
    <w:rsid w:val="00907043"/>
    <w:rsid w:val="00907112"/>
    <w:rsid w:val="0090760C"/>
    <w:rsid w:val="009079EA"/>
    <w:rsid w:val="009101C7"/>
    <w:rsid w:val="009102AE"/>
    <w:rsid w:val="009103B2"/>
    <w:rsid w:val="00910B09"/>
    <w:rsid w:val="009110C5"/>
    <w:rsid w:val="009119D4"/>
    <w:rsid w:val="00911E49"/>
    <w:rsid w:val="00911FB2"/>
    <w:rsid w:val="009131F3"/>
    <w:rsid w:val="009131F9"/>
    <w:rsid w:val="00913264"/>
    <w:rsid w:val="00913AC8"/>
    <w:rsid w:val="00913C58"/>
    <w:rsid w:val="009144DD"/>
    <w:rsid w:val="009145F6"/>
    <w:rsid w:val="0091650D"/>
    <w:rsid w:val="0091719D"/>
    <w:rsid w:val="00917623"/>
    <w:rsid w:val="009178B0"/>
    <w:rsid w:val="00917D1E"/>
    <w:rsid w:val="0092091F"/>
    <w:rsid w:val="00920E29"/>
    <w:rsid w:val="00921001"/>
    <w:rsid w:val="00921618"/>
    <w:rsid w:val="00921E7A"/>
    <w:rsid w:val="009223CA"/>
    <w:rsid w:val="00923977"/>
    <w:rsid w:val="00923A19"/>
    <w:rsid w:val="00924386"/>
    <w:rsid w:val="00924BB4"/>
    <w:rsid w:val="00925385"/>
    <w:rsid w:val="00925A0C"/>
    <w:rsid w:val="00925D64"/>
    <w:rsid w:val="00926ADA"/>
    <w:rsid w:val="00927BD9"/>
    <w:rsid w:val="0093017C"/>
    <w:rsid w:val="009308AB"/>
    <w:rsid w:val="009314B6"/>
    <w:rsid w:val="009315DA"/>
    <w:rsid w:val="009322C6"/>
    <w:rsid w:val="0093237E"/>
    <w:rsid w:val="0093250C"/>
    <w:rsid w:val="009327C3"/>
    <w:rsid w:val="00932851"/>
    <w:rsid w:val="009336B3"/>
    <w:rsid w:val="00933FB8"/>
    <w:rsid w:val="009351E3"/>
    <w:rsid w:val="0093531F"/>
    <w:rsid w:val="00935380"/>
    <w:rsid w:val="00935517"/>
    <w:rsid w:val="009357E5"/>
    <w:rsid w:val="00935FD4"/>
    <w:rsid w:val="00936F1E"/>
    <w:rsid w:val="00937445"/>
    <w:rsid w:val="00937707"/>
    <w:rsid w:val="00937D1B"/>
    <w:rsid w:val="00937DB0"/>
    <w:rsid w:val="00940894"/>
    <w:rsid w:val="00941DA8"/>
    <w:rsid w:val="00942203"/>
    <w:rsid w:val="00942A72"/>
    <w:rsid w:val="009432A0"/>
    <w:rsid w:val="00943349"/>
    <w:rsid w:val="0094350B"/>
    <w:rsid w:val="009437F0"/>
    <w:rsid w:val="00943E16"/>
    <w:rsid w:val="00944E1C"/>
    <w:rsid w:val="009452CA"/>
    <w:rsid w:val="00945377"/>
    <w:rsid w:val="00946206"/>
    <w:rsid w:val="00946DDE"/>
    <w:rsid w:val="0094754C"/>
    <w:rsid w:val="00947BF7"/>
    <w:rsid w:val="00947D27"/>
    <w:rsid w:val="00950374"/>
    <w:rsid w:val="009503BF"/>
    <w:rsid w:val="0095221C"/>
    <w:rsid w:val="00952E65"/>
    <w:rsid w:val="009541D8"/>
    <w:rsid w:val="0095441C"/>
    <w:rsid w:val="00954FC0"/>
    <w:rsid w:val="009569E2"/>
    <w:rsid w:val="0095764F"/>
    <w:rsid w:val="009578B7"/>
    <w:rsid w:val="00960BAD"/>
    <w:rsid w:val="0096149A"/>
    <w:rsid w:val="00961770"/>
    <w:rsid w:val="00961A77"/>
    <w:rsid w:val="00961ED5"/>
    <w:rsid w:val="00962232"/>
    <w:rsid w:val="009630D6"/>
    <w:rsid w:val="0096335D"/>
    <w:rsid w:val="00963919"/>
    <w:rsid w:val="00964355"/>
    <w:rsid w:val="0096435C"/>
    <w:rsid w:val="00964517"/>
    <w:rsid w:val="00964EDF"/>
    <w:rsid w:val="00964FB2"/>
    <w:rsid w:val="00965228"/>
    <w:rsid w:val="00965321"/>
    <w:rsid w:val="00965833"/>
    <w:rsid w:val="00966554"/>
    <w:rsid w:val="00966FB1"/>
    <w:rsid w:val="00967B86"/>
    <w:rsid w:val="00970545"/>
    <w:rsid w:val="00970814"/>
    <w:rsid w:val="00970BA5"/>
    <w:rsid w:val="00971AB0"/>
    <w:rsid w:val="00971CC5"/>
    <w:rsid w:val="009734DF"/>
    <w:rsid w:val="009736DC"/>
    <w:rsid w:val="00974F0D"/>
    <w:rsid w:val="00975A71"/>
    <w:rsid w:val="00976050"/>
    <w:rsid w:val="00976984"/>
    <w:rsid w:val="00976EEB"/>
    <w:rsid w:val="009776D1"/>
    <w:rsid w:val="00977EC1"/>
    <w:rsid w:val="00977FF5"/>
    <w:rsid w:val="009816D2"/>
    <w:rsid w:val="00982DCA"/>
    <w:rsid w:val="00983509"/>
    <w:rsid w:val="00983DBA"/>
    <w:rsid w:val="0098429A"/>
    <w:rsid w:val="00985258"/>
    <w:rsid w:val="00985539"/>
    <w:rsid w:val="0098598B"/>
    <w:rsid w:val="0098614E"/>
    <w:rsid w:val="0098636A"/>
    <w:rsid w:val="0098680B"/>
    <w:rsid w:val="00986BDA"/>
    <w:rsid w:val="00986D6F"/>
    <w:rsid w:val="00986EEE"/>
    <w:rsid w:val="0099059E"/>
    <w:rsid w:val="0099130F"/>
    <w:rsid w:val="00991AA6"/>
    <w:rsid w:val="00992096"/>
    <w:rsid w:val="00992D34"/>
    <w:rsid w:val="00993304"/>
    <w:rsid w:val="0099338B"/>
    <w:rsid w:val="00993AA2"/>
    <w:rsid w:val="009945B0"/>
    <w:rsid w:val="00994EB7"/>
    <w:rsid w:val="00995ABE"/>
    <w:rsid w:val="009962D0"/>
    <w:rsid w:val="00997207"/>
    <w:rsid w:val="0099727F"/>
    <w:rsid w:val="00997DE9"/>
    <w:rsid w:val="009A0197"/>
    <w:rsid w:val="009A0DD9"/>
    <w:rsid w:val="009A0EBE"/>
    <w:rsid w:val="009A13EC"/>
    <w:rsid w:val="009A244B"/>
    <w:rsid w:val="009A269E"/>
    <w:rsid w:val="009A2CAF"/>
    <w:rsid w:val="009A345A"/>
    <w:rsid w:val="009A3732"/>
    <w:rsid w:val="009A3A5A"/>
    <w:rsid w:val="009A446C"/>
    <w:rsid w:val="009A46B3"/>
    <w:rsid w:val="009A481C"/>
    <w:rsid w:val="009A4AA2"/>
    <w:rsid w:val="009A4E78"/>
    <w:rsid w:val="009A58AF"/>
    <w:rsid w:val="009A6584"/>
    <w:rsid w:val="009A69E6"/>
    <w:rsid w:val="009A7426"/>
    <w:rsid w:val="009B0AA4"/>
    <w:rsid w:val="009B0FA2"/>
    <w:rsid w:val="009B1110"/>
    <w:rsid w:val="009B1B1B"/>
    <w:rsid w:val="009B1C41"/>
    <w:rsid w:val="009B1E56"/>
    <w:rsid w:val="009B1EAA"/>
    <w:rsid w:val="009B2770"/>
    <w:rsid w:val="009B2C11"/>
    <w:rsid w:val="009B2E5A"/>
    <w:rsid w:val="009B3309"/>
    <w:rsid w:val="009B4E82"/>
    <w:rsid w:val="009B50E1"/>
    <w:rsid w:val="009B5C01"/>
    <w:rsid w:val="009B5C3E"/>
    <w:rsid w:val="009B67E8"/>
    <w:rsid w:val="009B6A26"/>
    <w:rsid w:val="009B6D09"/>
    <w:rsid w:val="009B72FA"/>
    <w:rsid w:val="009B7478"/>
    <w:rsid w:val="009C106D"/>
    <w:rsid w:val="009C1475"/>
    <w:rsid w:val="009C230C"/>
    <w:rsid w:val="009C2580"/>
    <w:rsid w:val="009C2A55"/>
    <w:rsid w:val="009C2E86"/>
    <w:rsid w:val="009C3495"/>
    <w:rsid w:val="009C4102"/>
    <w:rsid w:val="009C6569"/>
    <w:rsid w:val="009C683F"/>
    <w:rsid w:val="009C70BE"/>
    <w:rsid w:val="009C7D5E"/>
    <w:rsid w:val="009C7E4D"/>
    <w:rsid w:val="009C7F03"/>
    <w:rsid w:val="009C7F92"/>
    <w:rsid w:val="009D0C12"/>
    <w:rsid w:val="009D0C8B"/>
    <w:rsid w:val="009D0FA9"/>
    <w:rsid w:val="009D1792"/>
    <w:rsid w:val="009D2182"/>
    <w:rsid w:val="009D26CD"/>
    <w:rsid w:val="009D2990"/>
    <w:rsid w:val="009D333B"/>
    <w:rsid w:val="009D4F54"/>
    <w:rsid w:val="009D5682"/>
    <w:rsid w:val="009D634F"/>
    <w:rsid w:val="009D6545"/>
    <w:rsid w:val="009D6686"/>
    <w:rsid w:val="009D673F"/>
    <w:rsid w:val="009D6CC2"/>
    <w:rsid w:val="009D7BF1"/>
    <w:rsid w:val="009E071D"/>
    <w:rsid w:val="009E094D"/>
    <w:rsid w:val="009E13EB"/>
    <w:rsid w:val="009E2203"/>
    <w:rsid w:val="009E2395"/>
    <w:rsid w:val="009E2A89"/>
    <w:rsid w:val="009E3F91"/>
    <w:rsid w:val="009E40C6"/>
    <w:rsid w:val="009E45DA"/>
    <w:rsid w:val="009E51B7"/>
    <w:rsid w:val="009E51BA"/>
    <w:rsid w:val="009E51EA"/>
    <w:rsid w:val="009E5C9D"/>
    <w:rsid w:val="009E5F3C"/>
    <w:rsid w:val="009E60D8"/>
    <w:rsid w:val="009E640D"/>
    <w:rsid w:val="009E6D1A"/>
    <w:rsid w:val="009E7263"/>
    <w:rsid w:val="009E7597"/>
    <w:rsid w:val="009E793F"/>
    <w:rsid w:val="009F0383"/>
    <w:rsid w:val="009F12F9"/>
    <w:rsid w:val="009F14FA"/>
    <w:rsid w:val="009F1B99"/>
    <w:rsid w:val="009F2489"/>
    <w:rsid w:val="009F3398"/>
    <w:rsid w:val="009F3B48"/>
    <w:rsid w:val="009F4592"/>
    <w:rsid w:val="009F46FE"/>
    <w:rsid w:val="009F5556"/>
    <w:rsid w:val="009F59C1"/>
    <w:rsid w:val="009F60ED"/>
    <w:rsid w:val="009F662A"/>
    <w:rsid w:val="009F66A8"/>
    <w:rsid w:val="009F6A4D"/>
    <w:rsid w:val="009F6D45"/>
    <w:rsid w:val="009F74EE"/>
    <w:rsid w:val="009F7803"/>
    <w:rsid w:val="00A005E2"/>
    <w:rsid w:val="00A013A5"/>
    <w:rsid w:val="00A0151B"/>
    <w:rsid w:val="00A02FA5"/>
    <w:rsid w:val="00A0312E"/>
    <w:rsid w:val="00A03332"/>
    <w:rsid w:val="00A03570"/>
    <w:rsid w:val="00A041D7"/>
    <w:rsid w:val="00A06B2F"/>
    <w:rsid w:val="00A06B43"/>
    <w:rsid w:val="00A10160"/>
    <w:rsid w:val="00A10870"/>
    <w:rsid w:val="00A1105E"/>
    <w:rsid w:val="00A11513"/>
    <w:rsid w:val="00A1332E"/>
    <w:rsid w:val="00A137DA"/>
    <w:rsid w:val="00A13A00"/>
    <w:rsid w:val="00A1499C"/>
    <w:rsid w:val="00A14C88"/>
    <w:rsid w:val="00A152D6"/>
    <w:rsid w:val="00A1551C"/>
    <w:rsid w:val="00A1586D"/>
    <w:rsid w:val="00A15A0F"/>
    <w:rsid w:val="00A1731C"/>
    <w:rsid w:val="00A176CD"/>
    <w:rsid w:val="00A17850"/>
    <w:rsid w:val="00A17B7B"/>
    <w:rsid w:val="00A20340"/>
    <w:rsid w:val="00A20C62"/>
    <w:rsid w:val="00A20D5E"/>
    <w:rsid w:val="00A21D87"/>
    <w:rsid w:val="00A2397C"/>
    <w:rsid w:val="00A239F5"/>
    <w:rsid w:val="00A23C3B"/>
    <w:rsid w:val="00A2413C"/>
    <w:rsid w:val="00A24C2F"/>
    <w:rsid w:val="00A2558C"/>
    <w:rsid w:val="00A25FDA"/>
    <w:rsid w:val="00A26777"/>
    <w:rsid w:val="00A26AA4"/>
    <w:rsid w:val="00A26C82"/>
    <w:rsid w:val="00A27C53"/>
    <w:rsid w:val="00A27F03"/>
    <w:rsid w:val="00A30070"/>
    <w:rsid w:val="00A30AD5"/>
    <w:rsid w:val="00A32591"/>
    <w:rsid w:val="00A330AB"/>
    <w:rsid w:val="00A34554"/>
    <w:rsid w:val="00A35096"/>
    <w:rsid w:val="00A3533D"/>
    <w:rsid w:val="00A35340"/>
    <w:rsid w:val="00A35602"/>
    <w:rsid w:val="00A3571B"/>
    <w:rsid w:val="00A35C4B"/>
    <w:rsid w:val="00A35F79"/>
    <w:rsid w:val="00A35FD3"/>
    <w:rsid w:val="00A36183"/>
    <w:rsid w:val="00A36345"/>
    <w:rsid w:val="00A365C3"/>
    <w:rsid w:val="00A36F07"/>
    <w:rsid w:val="00A37347"/>
    <w:rsid w:val="00A37381"/>
    <w:rsid w:val="00A37AEC"/>
    <w:rsid w:val="00A40BB5"/>
    <w:rsid w:val="00A42A32"/>
    <w:rsid w:val="00A42B7D"/>
    <w:rsid w:val="00A4300D"/>
    <w:rsid w:val="00A43102"/>
    <w:rsid w:val="00A44217"/>
    <w:rsid w:val="00A442A8"/>
    <w:rsid w:val="00A443ED"/>
    <w:rsid w:val="00A44481"/>
    <w:rsid w:val="00A448FE"/>
    <w:rsid w:val="00A456EE"/>
    <w:rsid w:val="00A457F4"/>
    <w:rsid w:val="00A45A96"/>
    <w:rsid w:val="00A45C09"/>
    <w:rsid w:val="00A45D42"/>
    <w:rsid w:val="00A500A2"/>
    <w:rsid w:val="00A50C83"/>
    <w:rsid w:val="00A51B01"/>
    <w:rsid w:val="00A531D5"/>
    <w:rsid w:val="00A531E3"/>
    <w:rsid w:val="00A53236"/>
    <w:rsid w:val="00A5340D"/>
    <w:rsid w:val="00A53C0C"/>
    <w:rsid w:val="00A53D83"/>
    <w:rsid w:val="00A53D8D"/>
    <w:rsid w:val="00A5468A"/>
    <w:rsid w:val="00A54A69"/>
    <w:rsid w:val="00A55764"/>
    <w:rsid w:val="00A557B0"/>
    <w:rsid w:val="00A56422"/>
    <w:rsid w:val="00A56466"/>
    <w:rsid w:val="00A56912"/>
    <w:rsid w:val="00A57437"/>
    <w:rsid w:val="00A578D7"/>
    <w:rsid w:val="00A57988"/>
    <w:rsid w:val="00A60961"/>
    <w:rsid w:val="00A60A9F"/>
    <w:rsid w:val="00A61B15"/>
    <w:rsid w:val="00A61E61"/>
    <w:rsid w:val="00A62FE5"/>
    <w:rsid w:val="00A64CD4"/>
    <w:rsid w:val="00A65969"/>
    <w:rsid w:val="00A6618A"/>
    <w:rsid w:val="00A66952"/>
    <w:rsid w:val="00A66B2D"/>
    <w:rsid w:val="00A67C53"/>
    <w:rsid w:val="00A70F70"/>
    <w:rsid w:val="00A71002"/>
    <w:rsid w:val="00A71C4B"/>
    <w:rsid w:val="00A72405"/>
    <w:rsid w:val="00A72C2C"/>
    <w:rsid w:val="00A7354D"/>
    <w:rsid w:val="00A751CF"/>
    <w:rsid w:val="00A75232"/>
    <w:rsid w:val="00A75902"/>
    <w:rsid w:val="00A767FD"/>
    <w:rsid w:val="00A7690F"/>
    <w:rsid w:val="00A76C8E"/>
    <w:rsid w:val="00A8048B"/>
    <w:rsid w:val="00A80494"/>
    <w:rsid w:val="00A8123A"/>
    <w:rsid w:val="00A81BC6"/>
    <w:rsid w:val="00A81C4C"/>
    <w:rsid w:val="00A81E36"/>
    <w:rsid w:val="00A81EBD"/>
    <w:rsid w:val="00A83A7D"/>
    <w:rsid w:val="00A843FA"/>
    <w:rsid w:val="00A845A5"/>
    <w:rsid w:val="00A847EE"/>
    <w:rsid w:val="00A84873"/>
    <w:rsid w:val="00A84DF6"/>
    <w:rsid w:val="00A84FE8"/>
    <w:rsid w:val="00A852BE"/>
    <w:rsid w:val="00A85D3D"/>
    <w:rsid w:val="00A8606A"/>
    <w:rsid w:val="00A86FB3"/>
    <w:rsid w:val="00A8704F"/>
    <w:rsid w:val="00A8747B"/>
    <w:rsid w:val="00A87E61"/>
    <w:rsid w:val="00A909AC"/>
    <w:rsid w:val="00A915BA"/>
    <w:rsid w:val="00A91CA1"/>
    <w:rsid w:val="00A93BDC"/>
    <w:rsid w:val="00A9555D"/>
    <w:rsid w:val="00A962F6"/>
    <w:rsid w:val="00A969F2"/>
    <w:rsid w:val="00A96A70"/>
    <w:rsid w:val="00A97295"/>
    <w:rsid w:val="00A975D4"/>
    <w:rsid w:val="00AA05E6"/>
    <w:rsid w:val="00AA0D13"/>
    <w:rsid w:val="00AA189D"/>
    <w:rsid w:val="00AA18DB"/>
    <w:rsid w:val="00AA19D3"/>
    <w:rsid w:val="00AA23B2"/>
    <w:rsid w:val="00AA31C1"/>
    <w:rsid w:val="00AA32A2"/>
    <w:rsid w:val="00AA32CD"/>
    <w:rsid w:val="00AA333E"/>
    <w:rsid w:val="00AA3847"/>
    <w:rsid w:val="00AA3A1E"/>
    <w:rsid w:val="00AA40C2"/>
    <w:rsid w:val="00AA4178"/>
    <w:rsid w:val="00AA466D"/>
    <w:rsid w:val="00AA49CB"/>
    <w:rsid w:val="00AA4C04"/>
    <w:rsid w:val="00AA4D97"/>
    <w:rsid w:val="00AA527E"/>
    <w:rsid w:val="00AA61A8"/>
    <w:rsid w:val="00AA6E75"/>
    <w:rsid w:val="00AA74BF"/>
    <w:rsid w:val="00AB03D6"/>
    <w:rsid w:val="00AB077A"/>
    <w:rsid w:val="00AB277F"/>
    <w:rsid w:val="00AB28CA"/>
    <w:rsid w:val="00AB2A22"/>
    <w:rsid w:val="00AB2D10"/>
    <w:rsid w:val="00AB32AD"/>
    <w:rsid w:val="00AB3C22"/>
    <w:rsid w:val="00AB4019"/>
    <w:rsid w:val="00AB403D"/>
    <w:rsid w:val="00AB4153"/>
    <w:rsid w:val="00AB4636"/>
    <w:rsid w:val="00AB5073"/>
    <w:rsid w:val="00AB5134"/>
    <w:rsid w:val="00AB5D65"/>
    <w:rsid w:val="00AB64D0"/>
    <w:rsid w:val="00AB6BEA"/>
    <w:rsid w:val="00AB7288"/>
    <w:rsid w:val="00AB77CB"/>
    <w:rsid w:val="00AB7844"/>
    <w:rsid w:val="00AB79FF"/>
    <w:rsid w:val="00AB7BEE"/>
    <w:rsid w:val="00AC00D8"/>
    <w:rsid w:val="00AC0A3A"/>
    <w:rsid w:val="00AC1714"/>
    <w:rsid w:val="00AC21C4"/>
    <w:rsid w:val="00AC3773"/>
    <w:rsid w:val="00AC3F84"/>
    <w:rsid w:val="00AC40F7"/>
    <w:rsid w:val="00AC45C0"/>
    <w:rsid w:val="00AC507B"/>
    <w:rsid w:val="00AC586B"/>
    <w:rsid w:val="00AC5EB7"/>
    <w:rsid w:val="00AC688B"/>
    <w:rsid w:val="00AC69F1"/>
    <w:rsid w:val="00AC76FA"/>
    <w:rsid w:val="00AC7B29"/>
    <w:rsid w:val="00AD11FE"/>
    <w:rsid w:val="00AD212D"/>
    <w:rsid w:val="00AD21D5"/>
    <w:rsid w:val="00AD225E"/>
    <w:rsid w:val="00AD2FCB"/>
    <w:rsid w:val="00AD403B"/>
    <w:rsid w:val="00AD4CC0"/>
    <w:rsid w:val="00AD573F"/>
    <w:rsid w:val="00AD5751"/>
    <w:rsid w:val="00AD59E0"/>
    <w:rsid w:val="00AD6559"/>
    <w:rsid w:val="00AD6C25"/>
    <w:rsid w:val="00AD7B68"/>
    <w:rsid w:val="00AE01A6"/>
    <w:rsid w:val="00AE02A1"/>
    <w:rsid w:val="00AE03FD"/>
    <w:rsid w:val="00AE05C6"/>
    <w:rsid w:val="00AE06FC"/>
    <w:rsid w:val="00AE0D88"/>
    <w:rsid w:val="00AE0F1E"/>
    <w:rsid w:val="00AE10B5"/>
    <w:rsid w:val="00AE1362"/>
    <w:rsid w:val="00AE1C67"/>
    <w:rsid w:val="00AE27BA"/>
    <w:rsid w:val="00AE2CA0"/>
    <w:rsid w:val="00AE3070"/>
    <w:rsid w:val="00AE36DB"/>
    <w:rsid w:val="00AE4B77"/>
    <w:rsid w:val="00AE50D9"/>
    <w:rsid w:val="00AE552B"/>
    <w:rsid w:val="00AE5786"/>
    <w:rsid w:val="00AE5862"/>
    <w:rsid w:val="00AE5A18"/>
    <w:rsid w:val="00AE5D87"/>
    <w:rsid w:val="00AE5EEF"/>
    <w:rsid w:val="00AE6180"/>
    <w:rsid w:val="00AE61CC"/>
    <w:rsid w:val="00AE6287"/>
    <w:rsid w:val="00AE66FA"/>
    <w:rsid w:val="00AE684F"/>
    <w:rsid w:val="00AE69B7"/>
    <w:rsid w:val="00AE6CCE"/>
    <w:rsid w:val="00AE776A"/>
    <w:rsid w:val="00AE77E8"/>
    <w:rsid w:val="00AF0836"/>
    <w:rsid w:val="00AF1488"/>
    <w:rsid w:val="00AF1876"/>
    <w:rsid w:val="00AF2099"/>
    <w:rsid w:val="00AF20C6"/>
    <w:rsid w:val="00AF32E7"/>
    <w:rsid w:val="00AF38EF"/>
    <w:rsid w:val="00AF4D7B"/>
    <w:rsid w:val="00AF6A6A"/>
    <w:rsid w:val="00AF7806"/>
    <w:rsid w:val="00AF7FE2"/>
    <w:rsid w:val="00B001C1"/>
    <w:rsid w:val="00B00587"/>
    <w:rsid w:val="00B00689"/>
    <w:rsid w:val="00B006EF"/>
    <w:rsid w:val="00B00A9E"/>
    <w:rsid w:val="00B00C62"/>
    <w:rsid w:val="00B00D93"/>
    <w:rsid w:val="00B01E08"/>
    <w:rsid w:val="00B01F0C"/>
    <w:rsid w:val="00B01F0E"/>
    <w:rsid w:val="00B02049"/>
    <w:rsid w:val="00B02677"/>
    <w:rsid w:val="00B02691"/>
    <w:rsid w:val="00B02AD3"/>
    <w:rsid w:val="00B033E4"/>
    <w:rsid w:val="00B03AFD"/>
    <w:rsid w:val="00B03FE1"/>
    <w:rsid w:val="00B05016"/>
    <w:rsid w:val="00B0562D"/>
    <w:rsid w:val="00B059DC"/>
    <w:rsid w:val="00B05BA4"/>
    <w:rsid w:val="00B05D42"/>
    <w:rsid w:val="00B06443"/>
    <w:rsid w:val="00B064D8"/>
    <w:rsid w:val="00B06EF4"/>
    <w:rsid w:val="00B10C74"/>
    <w:rsid w:val="00B131EC"/>
    <w:rsid w:val="00B13246"/>
    <w:rsid w:val="00B13859"/>
    <w:rsid w:val="00B142D5"/>
    <w:rsid w:val="00B14B23"/>
    <w:rsid w:val="00B14D56"/>
    <w:rsid w:val="00B15786"/>
    <w:rsid w:val="00B15E99"/>
    <w:rsid w:val="00B174A2"/>
    <w:rsid w:val="00B20003"/>
    <w:rsid w:val="00B207BB"/>
    <w:rsid w:val="00B2181B"/>
    <w:rsid w:val="00B22F30"/>
    <w:rsid w:val="00B230ED"/>
    <w:rsid w:val="00B237F7"/>
    <w:rsid w:val="00B24335"/>
    <w:rsid w:val="00B248C5"/>
    <w:rsid w:val="00B24D0A"/>
    <w:rsid w:val="00B25343"/>
    <w:rsid w:val="00B258DA"/>
    <w:rsid w:val="00B26CFC"/>
    <w:rsid w:val="00B2704C"/>
    <w:rsid w:val="00B271DB"/>
    <w:rsid w:val="00B273F3"/>
    <w:rsid w:val="00B278A2"/>
    <w:rsid w:val="00B27D1D"/>
    <w:rsid w:val="00B27F8F"/>
    <w:rsid w:val="00B30023"/>
    <w:rsid w:val="00B305B4"/>
    <w:rsid w:val="00B30C44"/>
    <w:rsid w:val="00B313B5"/>
    <w:rsid w:val="00B323EC"/>
    <w:rsid w:val="00B32501"/>
    <w:rsid w:val="00B327A3"/>
    <w:rsid w:val="00B34A72"/>
    <w:rsid w:val="00B36A55"/>
    <w:rsid w:val="00B36BCF"/>
    <w:rsid w:val="00B370BF"/>
    <w:rsid w:val="00B3798D"/>
    <w:rsid w:val="00B37CFC"/>
    <w:rsid w:val="00B4064C"/>
    <w:rsid w:val="00B41168"/>
    <w:rsid w:val="00B417FE"/>
    <w:rsid w:val="00B42227"/>
    <w:rsid w:val="00B42BFF"/>
    <w:rsid w:val="00B43296"/>
    <w:rsid w:val="00B43C05"/>
    <w:rsid w:val="00B43C47"/>
    <w:rsid w:val="00B43F1C"/>
    <w:rsid w:val="00B44E78"/>
    <w:rsid w:val="00B45054"/>
    <w:rsid w:val="00B45168"/>
    <w:rsid w:val="00B452C4"/>
    <w:rsid w:val="00B452FC"/>
    <w:rsid w:val="00B453BC"/>
    <w:rsid w:val="00B45448"/>
    <w:rsid w:val="00B457C2"/>
    <w:rsid w:val="00B45FF8"/>
    <w:rsid w:val="00B461C1"/>
    <w:rsid w:val="00B46C7D"/>
    <w:rsid w:val="00B47041"/>
    <w:rsid w:val="00B47BD6"/>
    <w:rsid w:val="00B50C8C"/>
    <w:rsid w:val="00B51D25"/>
    <w:rsid w:val="00B52077"/>
    <w:rsid w:val="00B526D0"/>
    <w:rsid w:val="00B52904"/>
    <w:rsid w:val="00B53698"/>
    <w:rsid w:val="00B53B30"/>
    <w:rsid w:val="00B540C7"/>
    <w:rsid w:val="00B54561"/>
    <w:rsid w:val="00B54B25"/>
    <w:rsid w:val="00B5503E"/>
    <w:rsid w:val="00B5544A"/>
    <w:rsid w:val="00B556CC"/>
    <w:rsid w:val="00B5643B"/>
    <w:rsid w:val="00B578D8"/>
    <w:rsid w:val="00B57FA7"/>
    <w:rsid w:val="00B6002C"/>
    <w:rsid w:val="00B60266"/>
    <w:rsid w:val="00B6080F"/>
    <w:rsid w:val="00B6218D"/>
    <w:rsid w:val="00B627FB"/>
    <w:rsid w:val="00B632C0"/>
    <w:rsid w:val="00B634A3"/>
    <w:rsid w:val="00B64ACA"/>
    <w:rsid w:val="00B65CC6"/>
    <w:rsid w:val="00B660CE"/>
    <w:rsid w:val="00B67FB9"/>
    <w:rsid w:val="00B7108E"/>
    <w:rsid w:val="00B719CB"/>
    <w:rsid w:val="00B71B2F"/>
    <w:rsid w:val="00B71C71"/>
    <w:rsid w:val="00B71ED7"/>
    <w:rsid w:val="00B72EB4"/>
    <w:rsid w:val="00B73229"/>
    <w:rsid w:val="00B73EBC"/>
    <w:rsid w:val="00B745BD"/>
    <w:rsid w:val="00B748A6"/>
    <w:rsid w:val="00B74DCE"/>
    <w:rsid w:val="00B75208"/>
    <w:rsid w:val="00B75263"/>
    <w:rsid w:val="00B7572C"/>
    <w:rsid w:val="00B7579F"/>
    <w:rsid w:val="00B75819"/>
    <w:rsid w:val="00B76F05"/>
    <w:rsid w:val="00B77402"/>
    <w:rsid w:val="00B7783B"/>
    <w:rsid w:val="00B8003B"/>
    <w:rsid w:val="00B80393"/>
    <w:rsid w:val="00B80FBE"/>
    <w:rsid w:val="00B81EB9"/>
    <w:rsid w:val="00B8208F"/>
    <w:rsid w:val="00B82829"/>
    <w:rsid w:val="00B82A0C"/>
    <w:rsid w:val="00B83319"/>
    <w:rsid w:val="00B833C8"/>
    <w:rsid w:val="00B83B04"/>
    <w:rsid w:val="00B83BBD"/>
    <w:rsid w:val="00B84120"/>
    <w:rsid w:val="00B8453C"/>
    <w:rsid w:val="00B84DBC"/>
    <w:rsid w:val="00B85423"/>
    <w:rsid w:val="00B85432"/>
    <w:rsid w:val="00B85B98"/>
    <w:rsid w:val="00B861D9"/>
    <w:rsid w:val="00B8709D"/>
    <w:rsid w:val="00B87915"/>
    <w:rsid w:val="00B87C5C"/>
    <w:rsid w:val="00B90753"/>
    <w:rsid w:val="00B90B3C"/>
    <w:rsid w:val="00B91627"/>
    <w:rsid w:val="00B9178D"/>
    <w:rsid w:val="00B91AA8"/>
    <w:rsid w:val="00B91BD3"/>
    <w:rsid w:val="00B91D6D"/>
    <w:rsid w:val="00B92A72"/>
    <w:rsid w:val="00B92D3A"/>
    <w:rsid w:val="00B92DFE"/>
    <w:rsid w:val="00B9437B"/>
    <w:rsid w:val="00B95A4E"/>
    <w:rsid w:val="00B95D3A"/>
    <w:rsid w:val="00B960DA"/>
    <w:rsid w:val="00B96803"/>
    <w:rsid w:val="00B96F71"/>
    <w:rsid w:val="00B9719D"/>
    <w:rsid w:val="00B97E4F"/>
    <w:rsid w:val="00BA0733"/>
    <w:rsid w:val="00BA1221"/>
    <w:rsid w:val="00BA3C90"/>
    <w:rsid w:val="00BA401D"/>
    <w:rsid w:val="00BA44F2"/>
    <w:rsid w:val="00BA49E2"/>
    <w:rsid w:val="00BA4EF8"/>
    <w:rsid w:val="00BA50BB"/>
    <w:rsid w:val="00BA5978"/>
    <w:rsid w:val="00BA603D"/>
    <w:rsid w:val="00BB0F40"/>
    <w:rsid w:val="00BB1E45"/>
    <w:rsid w:val="00BB224C"/>
    <w:rsid w:val="00BB4501"/>
    <w:rsid w:val="00BB4958"/>
    <w:rsid w:val="00BB495B"/>
    <w:rsid w:val="00BB6017"/>
    <w:rsid w:val="00BB6133"/>
    <w:rsid w:val="00BB6299"/>
    <w:rsid w:val="00BB6478"/>
    <w:rsid w:val="00BB7228"/>
    <w:rsid w:val="00BB7E10"/>
    <w:rsid w:val="00BC056C"/>
    <w:rsid w:val="00BC0594"/>
    <w:rsid w:val="00BC0956"/>
    <w:rsid w:val="00BC096C"/>
    <w:rsid w:val="00BC0EBF"/>
    <w:rsid w:val="00BC10D2"/>
    <w:rsid w:val="00BC168B"/>
    <w:rsid w:val="00BC18B3"/>
    <w:rsid w:val="00BC2BC7"/>
    <w:rsid w:val="00BC2CCA"/>
    <w:rsid w:val="00BC36BE"/>
    <w:rsid w:val="00BC5471"/>
    <w:rsid w:val="00BC5AA9"/>
    <w:rsid w:val="00BC69B6"/>
    <w:rsid w:val="00BC6C6D"/>
    <w:rsid w:val="00BC717A"/>
    <w:rsid w:val="00BC7318"/>
    <w:rsid w:val="00BC7934"/>
    <w:rsid w:val="00BD01EA"/>
    <w:rsid w:val="00BD02AC"/>
    <w:rsid w:val="00BD0BFC"/>
    <w:rsid w:val="00BD1260"/>
    <w:rsid w:val="00BD1642"/>
    <w:rsid w:val="00BD2901"/>
    <w:rsid w:val="00BD29B4"/>
    <w:rsid w:val="00BD2C40"/>
    <w:rsid w:val="00BD2E56"/>
    <w:rsid w:val="00BD3A93"/>
    <w:rsid w:val="00BD4F75"/>
    <w:rsid w:val="00BD5902"/>
    <w:rsid w:val="00BD72C0"/>
    <w:rsid w:val="00BE0664"/>
    <w:rsid w:val="00BE0A79"/>
    <w:rsid w:val="00BE0AD6"/>
    <w:rsid w:val="00BE0B39"/>
    <w:rsid w:val="00BE0DC8"/>
    <w:rsid w:val="00BE1349"/>
    <w:rsid w:val="00BE1729"/>
    <w:rsid w:val="00BE1BC9"/>
    <w:rsid w:val="00BE2A5B"/>
    <w:rsid w:val="00BE2B4B"/>
    <w:rsid w:val="00BE3172"/>
    <w:rsid w:val="00BE34F9"/>
    <w:rsid w:val="00BE3A89"/>
    <w:rsid w:val="00BE3BE9"/>
    <w:rsid w:val="00BE43AA"/>
    <w:rsid w:val="00BE6BDC"/>
    <w:rsid w:val="00BE6EC4"/>
    <w:rsid w:val="00BE77FB"/>
    <w:rsid w:val="00BF05F1"/>
    <w:rsid w:val="00BF1425"/>
    <w:rsid w:val="00BF18BB"/>
    <w:rsid w:val="00BF1AA2"/>
    <w:rsid w:val="00BF2102"/>
    <w:rsid w:val="00BF2603"/>
    <w:rsid w:val="00BF29DD"/>
    <w:rsid w:val="00BF2E38"/>
    <w:rsid w:val="00BF2FD9"/>
    <w:rsid w:val="00BF4482"/>
    <w:rsid w:val="00BF4A3E"/>
    <w:rsid w:val="00BF4A6B"/>
    <w:rsid w:val="00BF5508"/>
    <w:rsid w:val="00BF5AB6"/>
    <w:rsid w:val="00BF66F5"/>
    <w:rsid w:val="00BF66F9"/>
    <w:rsid w:val="00BF6830"/>
    <w:rsid w:val="00BF73D5"/>
    <w:rsid w:val="00C0092A"/>
    <w:rsid w:val="00C011D3"/>
    <w:rsid w:val="00C015BD"/>
    <w:rsid w:val="00C03BE5"/>
    <w:rsid w:val="00C03FDF"/>
    <w:rsid w:val="00C0431C"/>
    <w:rsid w:val="00C047ED"/>
    <w:rsid w:val="00C04A5A"/>
    <w:rsid w:val="00C04DB7"/>
    <w:rsid w:val="00C05160"/>
    <w:rsid w:val="00C057FF"/>
    <w:rsid w:val="00C062A7"/>
    <w:rsid w:val="00C068E5"/>
    <w:rsid w:val="00C0760E"/>
    <w:rsid w:val="00C07DED"/>
    <w:rsid w:val="00C100A4"/>
    <w:rsid w:val="00C10A0D"/>
    <w:rsid w:val="00C10DF8"/>
    <w:rsid w:val="00C10E0B"/>
    <w:rsid w:val="00C10F97"/>
    <w:rsid w:val="00C11842"/>
    <w:rsid w:val="00C11A0E"/>
    <w:rsid w:val="00C11ECC"/>
    <w:rsid w:val="00C11ED1"/>
    <w:rsid w:val="00C1249C"/>
    <w:rsid w:val="00C124CC"/>
    <w:rsid w:val="00C13F66"/>
    <w:rsid w:val="00C14102"/>
    <w:rsid w:val="00C145FC"/>
    <w:rsid w:val="00C147CE"/>
    <w:rsid w:val="00C14AA4"/>
    <w:rsid w:val="00C15054"/>
    <w:rsid w:val="00C150B8"/>
    <w:rsid w:val="00C156F7"/>
    <w:rsid w:val="00C15AA4"/>
    <w:rsid w:val="00C16619"/>
    <w:rsid w:val="00C16E71"/>
    <w:rsid w:val="00C16EAE"/>
    <w:rsid w:val="00C20643"/>
    <w:rsid w:val="00C20E9F"/>
    <w:rsid w:val="00C20F62"/>
    <w:rsid w:val="00C22957"/>
    <w:rsid w:val="00C229CF"/>
    <w:rsid w:val="00C23A39"/>
    <w:rsid w:val="00C23E00"/>
    <w:rsid w:val="00C245D2"/>
    <w:rsid w:val="00C25906"/>
    <w:rsid w:val="00C26475"/>
    <w:rsid w:val="00C30909"/>
    <w:rsid w:val="00C30ECB"/>
    <w:rsid w:val="00C31248"/>
    <w:rsid w:val="00C314AB"/>
    <w:rsid w:val="00C320AC"/>
    <w:rsid w:val="00C322A9"/>
    <w:rsid w:val="00C328A0"/>
    <w:rsid w:val="00C337FF"/>
    <w:rsid w:val="00C33981"/>
    <w:rsid w:val="00C34873"/>
    <w:rsid w:val="00C34B6A"/>
    <w:rsid w:val="00C3562C"/>
    <w:rsid w:val="00C357BB"/>
    <w:rsid w:val="00C36AEB"/>
    <w:rsid w:val="00C371E8"/>
    <w:rsid w:val="00C373A8"/>
    <w:rsid w:val="00C3780D"/>
    <w:rsid w:val="00C4024C"/>
    <w:rsid w:val="00C40F63"/>
    <w:rsid w:val="00C4175B"/>
    <w:rsid w:val="00C42502"/>
    <w:rsid w:val="00C425F1"/>
    <w:rsid w:val="00C42B41"/>
    <w:rsid w:val="00C4314E"/>
    <w:rsid w:val="00C4315D"/>
    <w:rsid w:val="00C432ED"/>
    <w:rsid w:val="00C43ADF"/>
    <w:rsid w:val="00C43D2D"/>
    <w:rsid w:val="00C43F72"/>
    <w:rsid w:val="00C44333"/>
    <w:rsid w:val="00C449DE"/>
    <w:rsid w:val="00C4518E"/>
    <w:rsid w:val="00C45627"/>
    <w:rsid w:val="00C456F3"/>
    <w:rsid w:val="00C457BD"/>
    <w:rsid w:val="00C462FF"/>
    <w:rsid w:val="00C47E6E"/>
    <w:rsid w:val="00C47F43"/>
    <w:rsid w:val="00C504ED"/>
    <w:rsid w:val="00C511DA"/>
    <w:rsid w:val="00C5195F"/>
    <w:rsid w:val="00C526B8"/>
    <w:rsid w:val="00C52DE9"/>
    <w:rsid w:val="00C5379F"/>
    <w:rsid w:val="00C53C1D"/>
    <w:rsid w:val="00C53D91"/>
    <w:rsid w:val="00C5451A"/>
    <w:rsid w:val="00C55441"/>
    <w:rsid w:val="00C554F6"/>
    <w:rsid w:val="00C561ED"/>
    <w:rsid w:val="00C57F83"/>
    <w:rsid w:val="00C60456"/>
    <w:rsid w:val="00C6092A"/>
    <w:rsid w:val="00C60B87"/>
    <w:rsid w:val="00C6155C"/>
    <w:rsid w:val="00C61D69"/>
    <w:rsid w:val="00C628DC"/>
    <w:rsid w:val="00C635D7"/>
    <w:rsid w:val="00C63FBD"/>
    <w:rsid w:val="00C6474D"/>
    <w:rsid w:val="00C65009"/>
    <w:rsid w:val="00C65EBB"/>
    <w:rsid w:val="00C6639C"/>
    <w:rsid w:val="00C66E23"/>
    <w:rsid w:val="00C706B4"/>
    <w:rsid w:val="00C70757"/>
    <w:rsid w:val="00C70D94"/>
    <w:rsid w:val="00C70E5C"/>
    <w:rsid w:val="00C71E50"/>
    <w:rsid w:val="00C72DF1"/>
    <w:rsid w:val="00C73EDA"/>
    <w:rsid w:val="00C74000"/>
    <w:rsid w:val="00C74639"/>
    <w:rsid w:val="00C7496C"/>
    <w:rsid w:val="00C7544B"/>
    <w:rsid w:val="00C767C2"/>
    <w:rsid w:val="00C8074A"/>
    <w:rsid w:val="00C810AC"/>
    <w:rsid w:val="00C81915"/>
    <w:rsid w:val="00C828D9"/>
    <w:rsid w:val="00C82C27"/>
    <w:rsid w:val="00C84488"/>
    <w:rsid w:val="00C84D47"/>
    <w:rsid w:val="00C84E20"/>
    <w:rsid w:val="00C85805"/>
    <w:rsid w:val="00C858C4"/>
    <w:rsid w:val="00C86A65"/>
    <w:rsid w:val="00C90BB6"/>
    <w:rsid w:val="00C91AA9"/>
    <w:rsid w:val="00C92615"/>
    <w:rsid w:val="00C92695"/>
    <w:rsid w:val="00C933E3"/>
    <w:rsid w:val="00C93906"/>
    <w:rsid w:val="00C94468"/>
    <w:rsid w:val="00C9469B"/>
    <w:rsid w:val="00C94AEE"/>
    <w:rsid w:val="00C94D3C"/>
    <w:rsid w:val="00C94E75"/>
    <w:rsid w:val="00C9579C"/>
    <w:rsid w:val="00C95CCC"/>
    <w:rsid w:val="00C962F8"/>
    <w:rsid w:val="00C96439"/>
    <w:rsid w:val="00C96DFB"/>
    <w:rsid w:val="00CA0625"/>
    <w:rsid w:val="00CA0C36"/>
    <w:rsid w:val="00CA2764"/>
    <w:rsid w:val="00CA28C4"/>
    <w:rsid w:val="00CA2C25"/>
    <w:rsid w:val="00CA333E"/>
    <w:rsid w:val="00CA3494"/>
    <w:rsid w:val="00CA35BB"/>
    <w:rsid w:val="00CA3FC4"/>
    <w:rsid w:val="00CA4846"/>
    <w:rsid w:val="00CA4961"/>
    <w:rsid w:val="00CA49BD"/>
    <w:rsid w:val="00CA4F7E"/>
    <w:rsid w:val="00CA51E5"/>
    <w:rsid w:val="00CA5813"/>
    <w:rsid w:val="00CA6978"/>
    <w:rsid w:val="00CA6ABD"/>
    <w:rsid w:val="00CA6ED2"/>
    <w:rsid w:val="00CA7615"/>
    <w:rsid w:val="00CB0260"/>
    <w:rsid w:val="00CB04E0"/>
    <w:rsid w:val="00CB09BF"/>
    <w:rsid w:val="00CB0A08"/>
    <w:rsid w:val="00CB0BDF"/>
    <w:rsid w:val="00CB1022"/>
    <w:rsid w:val="00CB1D84"/>
    <w:rsid w:val="00CB2620"/>
    <w:rsid w:val="00CB2711"/>
    <w:rsid w:val="00CB277A"/>
    <w:rsid w:val="00CB2F64"/>
    <w:rsid w:val="00CB48E6"/>
    <w:rsid w:val="00CB4ACC"/>
    <w:rsid w:val="00CB4BC9"/>
    <w:rsid w:val="00CB51A3"/>
    <w:rsid w:val="00CB5F96"/>
    <w:rsid w:val="00CB625B"/>
    <w:rsid w:val="00CB6907"/>
    <w:rsid w:val="00CB6FE3"/>
    <w:rsid w:val="00CB72E2"/>
    <w:rsid w:val="00CB74EF"/>
    <w:rsid w:val="00CB792B"/>
    <w:rsid w:val="00CB7C1F"/>
    <w:rsid w:val="00CC00A4"/>
    <w:rsid w:val="00CC06B5"/>
    <w:rsid w:val="00CC149E"/>
    <w:rsid w:val="00CC24DB"/>
    <w:rsid w:val="00CC2BDB"/>
    <w:rsid w:val="00CC339C"/>
    <w:rsid w:val="00CC3779"/>
    <w:rsid w:val="00CC391F"/>
    <w:rsid w:val="00CC3ADD"/>
    <w:rsid w:val="00CC416C"/>
    <w:rsid w:val="00CC4B72"/>
    <w:rsid w:val="00CC53D1"/>
    <w:rsid w:val="00CC5A10"/>
    <w:rsid w:val="00CC5F98"/>
    <w:rsid w:val="00CC614B"/>
    <w:rsid w:val="00CC7367"/>
    <w:rsid w:val="00CD1314"/>
    <w:rsid w:val="00CD15B6"/>
    <w:rsid w:val="00CD18AC"/>
    <w:rsid w:val="00CD20C9"/>
    <w:rsid w:val="00CD2604"/>
    <w:rsid w:val="00CD2708"/>
    <w:rsid w:val="00CD3B71"/>
    <w:rsid w:val="00CD4BC2"/>
    <w:rsid w:val="00CD57C5"/>
    <w:rsid w:val="00CD630B"/>
    <w:rsid w:val="00CD633A"/>
    <w:rsid w:val="00CD655E"/>
    <w:rsid w:val="00CD6690"/>
    <w:rsid w:val="00CE02AC"/>
    <w:rsid w:val="00CE0DF4"/>
    <w:rsid w:val="00CE0EDB"/>
    <w:rsid w:val="00CE1F99"/>
    <w:rsid w:val="00CE2158"/>
    <w:rsid w:val="00CE26D7"/>
    <w:rsid w:val="00CE359E"/>
    <w:rsid w:val="00CE4044"/>
    <w:rsid w:val="00CE41A9"/>
    <w:rsid w:val="00CE43A3"/>
    <w:rsid w:val="00CE482B"/>
    <w:rsid w:val="00CE4976"/>
    <w:rsid w:val="00CE5C5F"/>
    <w:rsid w:val="00CE6FF7"/>
    <w:rsid w:val="00CE73C2"/>
    <w:rsid w:val="00CE797F"/>
    <w:rsid w:val="00CF09B4"/>
    <w:rsid w:val="00CF0B17"/>
    <w:rsid w:val="00CF1DDC"/>
    <w:rsid w:val="00CF233D"/>
    <w:rsid w:val="00CF3761"/>
    <w:rsid w:val="00CF3AC2"/>
    <w:rsid w:val="00CF3C40"/>
    <w:rsid w:val="00CF3EDF"/>
    <w:rsid w:val="00CF4483"/>
    <w:rsid w:val="00CF4A39"/>
    <w:rsid w:val="00CF4AC1"/>
    <w:rsid w:val="00CF4DFD"/>
    <w:rsid w:val="00CF627C"/>
    <w:rsid w:val="00CF78D2"/>
    <w:rsid w:val="00CF7EAC"/>
    <w:rsid w:val="00D00A99"/>
    <w:rsid w:val="00D00B44"/>
    <w:rsid w:val="00D01038"/>
    <w:rsid w:val="00D0112A"/>
    <w:rsid w:val="00D0140E"/>
    <w:rsid w:val="00D01867"/>
    <w:rsid w:val="00D035F5"/>
    <w:rsid w:val="00D03E34"/>
    <w:rsid w:val="00D04BC2"/>
    <w:rsid w:val="00D04EC7"/>
    <w:rsid w:val="00D053D2"/>
    <w:rsid w:val="00D06DAB"/>
    <w:rsid w:val="00D071B7"/>
    <w:rsid w:val="00D07213"/>
    <w:rsid w:val="00D074DD"/>
    <w:rsid w:val="00D07543"/>
    <w:rsid w:val="00D07EF3"/>
    <w:rsid w:val="00D10029"/>
    <w:rsid w:val="00D10843"/>
    <w:rsid w:val="00D119B0"/>
    <w:rsid w:val="00D120C7"/>
    <w:rsid w:val="00D124A2"/>
    <w:rsid w:val="00D13262"/>
    <w:rsid w:val="00D13EE1"/>
    <w:rsid w:val="00D14003"/>
    <w:rsid w:val="00D14550"/>
    <w:rsid w:val="00D154B7"/>
    <w:rsid w:val="00D157B8"/>
    <w:rsid w:val="00D15B88"/>
    <w:rsid w:val="00D15F61"/>
    <w:rsid w:val="00D16560"/>
    <w:rsid w:val="00D175C8"/>
    <w:rsid w:val="00D17C28"/>
    <w:rsid w:val="00D2004F"/>
    <w:rsid w:val="00D20D11"/>
    <w:rsid w:val="00D21600"/>
    <w:rsid w:val="00D221EF"/>
    <w:rsid w:val="00D22606"/>
    <w:rsid w:val="00D22D3A"/>
    <w:rsid w:val="00D2328E"/>
    <w:rsid w:val="00D23B90"/>
    <w:rsid w:val="00D23E4C"/>
    <w:rsid w:val="00D24448"/>
    <w:rsid w:val="00D249ED"/>
    <w:rsid w:val="00D24A35"/>
    <w:rsid w:val="00D24AE8"/>
    <w:rsid w:val="00D25727"/>
    <w:rsid w:val="00D25DA8"/>
    <w:rsid w:val="00D26C3A"/>
    <w:rsid w:val="00D278EA"/>
    <w:rsid w:val="00D27F88"/>
    <w:rsid w:val="00D307E1"/>
    <w:rsid w:val="00D3249E"/>
    <w:rsid w:val="00D343BD"/>
    <w:rsid w:val="00D34C3C"/>
    <w:rsid w:val="00D34EE8"/>
    <w:rsid w:val="00D35597"/>
    <w:rsid w:val="00D3655E"/>
    <w:rsid w:val="00D36A48"/>
    <w:rsid w:val="00D36F26"/>
    <w:rsid w:val="00D370D9"/>
    <w:rsid w:val="00D378BD"/>
    <w:rsid w:val="00D37B52"/>
    <w:rsid w:val="00D40291"/>
    <w:rsid w:val="00D41738"/>
    <w:rsid w:val="00D41ED3"/>
    <w:rsid w:val="00D42094"/>
    <w:rsid w:val="00D420CC"/>
    <w:rsid w:val="00D428FF"/>
    <w:rsid w:val="00D43939"/>
    <w:rsid w:val="00D43D57"/>
    <w:rsid w:val="00D44DF8"/>
    <w:rsid w:val="00D454E6"/>
    <w:rsid w:val="00D45CF1"/>
    <w:rsid w:val="00D45D5E"/>
    <w:rsid w:val="00D45D91"/>
    <w:rsid w:val="00D46108"/>
    <w:rsid w:val="00D46D96"/>
    <w:rsid w:val="00D471DD"/>
    <w:rsid w:val="00D4786B"/>
    <w:rsid w:val="00D502C6"/>
    <w:rsid w:val="00D50C7B"/>
    <w:rsid w:val="00D50DE3"/>
    <w:rsid w:val="00D5195C"/>
    <w:rsid w:val="00D52331"/>
    <w:rsid w:val="00D525CF"/>
    <w:rsid w:val="00D52EAD"/>
    <w:rsid w:val="00D54C0F"/>
    <w:rsid w:val="00D54E23"/>
    <w:rsid w:val="00D55598"/>
    <w:rsid w:val="00D558B6"/>
    <w:rsid w:val="00D55F20"/>
    <w:rsid w:val="00D56623"/>
    <w:rsid w:val="00D56888"/>
    <w:rsid w:val="00D56F4D"/>
    <w:rsid w:val="00D61931"/>
    <w:rsid w:val="00D61B27"/>
    <w:rsid w:val="00D61B38"/>
    <w:rsid w:val="00D61EE7"/>
    <w:rsid w:val="00D624E0"/>
    <w:rsid w:val="00D6299F"/>
    <w:rsid w:val="00D629C9"/>
    <w:rsid w:val="00D62A44"/>
    <w:rsid w:val="00D62EC1"/>
    <w:rsid w:val="00D6357E"/>
    <w:rsid w:val="00D63D5C"/>
    <w:rsid w:val="00D647B1"/>
    <w:rsid w:val="00D64DF7"/>
    <w:rsid w:val="00D65083"/>
    <w:rsid w:val="00D657F9"/>
    <w:rsid w:val="00D6595F"/>
    <w:rsid w:val="00D65F43"/>
    <w:rsid w:val="00D670F5"/>
    <w:rsid w:val="00D676B7"/>
    <w:rsid w:val="00D678BF"/>
    <w:rsid w:val="00D67FA4"/>
    <w:rsid w:val="00D70547"/>
    <w:rsid w:val="00D7273C"/>
    <w:rsid w:val="00D72965"/>
    <w:rsid w:val="00D72F0D"/>
    <w:rsid w:val="00D73397"/>
    <w:rsid w:val="00D737F2"/>
    <w:rsid w:val="00D73D09"/>
    <w:rsid w:val="00D73D86"/>
    <w:rsid w:val="00D73F24"/>
    <w:rsid w:val="00D745AF"/>
    <w:rsid w:val="00D74B56"/>
    <w:rsid w:val="00D75840"/>
    <w:rsid w:val="00D75D85"/>
    <w:rsid w:val="00D75FAD"/>
    <w:rsid w:val="00D763D1"/>
    <w:rsid w:val="00D775A6"/>
    <w:rsid w:val="00D776D0"/>
    <w:rsid w:val="00D77873"/>
    <w:rsid w:val="00D77D58"/>
    <w:rsid w:val="00D807AA"/>
    <w:rsid w:val="00D80FDB"/>
    <w:rsid w:val="00D816AC"/>
    <w:rsid w:val="00D81CFE"/>
    <w:rsid w:val="00D83832"/>
    <w:rsid w:val="00D83CD5"/>
    <w:rsid w:val="00D83EC6"/>
    <w:rsid w:val="00D847E3"/>
    <w:rsid w:val="00D84B2D"/>
    <w:rsid w:val="00D86CD1"/>
    <w:rsid w:val="00D9030A"/>
    <w:rsid w:val="00D905CD"/>
    <w:rsid w:val="00D90BCE"/>
    <w:rsid w:val="00D915F7"/>
    <w:rsid w:val="00D9296C"/>
    <w:rsid w:val="00D92F58"/>
    <w:rsid w:val="00D9301E"/>
    <w:rsid w:val="00D9432F"/>
    <w:rsid w:val="00D9463E"/>
    <w:rsid w:val="00D94677"/>
    <w:rsid w:val="00D946A9"/>
    <w:rsid w:val="00D94EED"/>
    <w:rsid w:val="00D95265"/>
    <w:rsid w:val="00D952BA"/>
    <w:rsid w:val="00D9560A"/>
    <w:rsid w:val="00D95EE1"/>
    <w:rsid w:val="00D9661F"/>
    <w:rsid w:val="00D972D5"/>
    <w:rsid w:val="00DA06EE"/>
    <w:rsid w:val="00DA0F31"/>
    <w:rsid w:val="00DA1F6F"/>
    <w:rsid w:val="00DA27FA"/>
    <w:rsid w:val="00DA3D62"/>
    <w:rsid w:val="00DA4045"/>
    <w:rsid w:val="00DA418E"/>
    <w:rsid w:val="00DA48D0"/>
    <w:rsid w:val="00DA51F9"/>
    <w:rsid w:val="00DA598B"/>
    <w:rsid w:val="00DA5FC8"/>
    <w:rsid w:val="00DA62B2"/>
    <w:rsid w:val="00DA6848"/>
    <w:rsid w:val="00DA68F5"/>
    <w:rsid w:val="00DA6C31"/>
    <w:rsid w:val="00DA7405"/>
    <w:rsid w:val="00DA751C"/>
    <w:rsid w:val="00DA76EE"/>
    <w:rsid w:val="00DA7810"/>
    <w:rsid w:val="00DA7AEF"/>
    <w:rsid w:val="00DA7B78"/>
    <w:rsid w:val="00DB0602"/>
    <w:rsid w:val="00DB117C"/>
    <w:rsid w:val="00DB1CA2"/>
    <w:rsid w:val="00DB21D9"/>
    <w:rsid w:val="00DB235A"/>
    <w:rsid w:val="00DB3186"/>
    <w:rsid w:val="00DB3CDB"/>
    <w:rsid w:val="00DB3E58"/>
    <w:rsid w:val="00DB46F0"/>
    <w:rsid w:val="00DB4755"/>
    <w:rsid w:val="00DB48F2"/>
    <w:rsid w:val="00DB52C6"/>
    <w:rsid w:val="00DB59C4"/>
    <w:rsid w:val="00DB5EFD"/>
    <w:rsid w:val="00DB5FF7"/>
    <w:rsid w:val="00DB602B"/>
    <w:rsid w:val="00DB64AC"/>
    <w:rsid w:val="00DB6660"/>
    <w:rsid w:val="00DB6838"/>
    <w:rsid w:val="00DB7592"/>
    <w:rsid w:val="00DB7A43"/>
    <w:rsid w:val="00DB7D4B"/>
    <w:rsid w:val="00DC0C4C"/>
    <w:rsid w:val="00DC0FDF"/>
    <w:rsid w:val="00DC114D"/>
    <w:rsid w:val="00DC16F9"/>
    <w:rsid w:val="00DC1DF8"/>
    <w:rsid w:val="00DC208F"/>
    <w:rsid w:val="00DC2421"/>
    <w:rsid w:val="00DC2A13"/>
    <w:rsid w:val="00DC3134"/>
    <w:rsid w:val="00DC36DD"/>
    <w:rsid w:val="00DC448E"/>
    <w:rsid w:val="00DC4845"/>
    <w:rsid w:val="00DC52F3"/>
    <w:rsid w:val="00DC5CBE"/>
    <w:rsid w:val="00DC61D7"/>
    <w:rsid w:val="00DC6A95"/>
    <w:rsid w:val="00DC7E1E"/>
    <w:rsid w:val="00DD0002"/>
    <w:rsid w:val="00DD02ED"/>
    <w:rsid w:val="00DD0A20"/>
    <w:rsid w:val="00DD0BA4"/>
    <w:rsid w:val="00DD1A9D"/>
    <w:rsid w:val="00DD24EF"/>
    <w:rsid w:val="00DD26C8"/>
    <w:rsid w:val="00DD2E29"/>
    <w:rsid w:val="00DD3A87"/>
    <w:rsid w:val="00DD485D"/>
    <w:rsid w:val="00DD49FD"/>
    <w:rsid w:val="00DD57BE"/>
    <w:rsid w:val="00DD5959"/>
    <w:rsid w:val="00DD5A58"/>
    <w:rsid w:val="00DD5A75"/>
    <w:rsid w:val="00DD5D8F"/>
    <w:rsid w:val="00DD5F1A"/>
    <w:rsid w:val="00DD6AD8"/>
    <w:rsid w:val="00DD7426"/>
    <w:rsid w:val="00DD7AE6"/>
    <w:rsid w:val="00DD7BE5"/>
    <w:rsid w:val="00DE08EE"/>
    <w:rsid w:val="00DE0DD5"/>
    <w:rsid w:val="00DE2573"/>
    <w:rsid w:val="00DE2CF0"/>
    <w:rsid w:val="00DE31BC"/>
    <w:rsid w:val="00DE41A7"/>
    <w:rsid w:val="00DE424A"/>
    <w:rsid w:val="00DE4AAB"/>
    <w:rsid w:val="00DE4B6C"/>
    <w:rsid w:val="00DE65E2"/>
    <w:rsid w:val="00DE6716"/>
    <w:rsid w:val="00DE6C12"/>
    <w:rsid w:val="00DE77D3"/>
    <w:rsid w:val="00DE780A"/>
    <w:rsid w:val="00DF044F"/>
    <w:rsid w:val="00DF0992"/>
    <w:rsid w:val="00DF0E09"/>
    <w:rsid w:val="00DF12C5"/>
    <w:rsid w:val="00DF17F1"/>
    <w:rsid w:val="00DF1A09"/>
    <w:rsid w:val="00DF23EF"/>
    <w:rsid w:val="00DF2DE4"/>
    <w:rsid w:val="00DF3774"/>
    <w:rsid w:val="00DF452E"/>
    <w:rsid w:val="00DF5503"/>
    <w:rsid w:val="00DF627C"/>
    <w:rsid w:val="00DF6824"/>
    <w:rsid w:val="00DF7086"/>
    <w:rsid w:val="00DF708B"/>
    <w:rsid w:val="00DF7194"/>
    <w:rsid w:val="00DF7BD8"/>
    <w:rsid w:val="00E001F3"/>
    <w:rsid w:val="00E008EE"/>
    <w:rsid w:val="00E00A57"/>
    <w:rsid w:val="00E00C81"/>
    <w:rsid w:val="00E010EE"/>
    <w:rsid w:val="00E010F3"/>
    <w:rsid w:val="00E01225"/>
    <w:rsid w:val="00E014EF"/>
    <w:rsid w:val="00E01DF6"/>
    <w:rsid w:val="00E038A0"/>
    <w:rsid w:val="00E039BB"/>
    <w:rsid w:val="00E03C84"/>
    <w:rsid w:val="00E046AC"/>
    <w:rsid w:val="00E0478E"/>
    <w:rsid w:val="00E04DE8"/>
    <w:rsid w:val="00E05136"/>
    <w:rsid w:val="00E05158"/>
    <w:rsid w:val="00E057DE"/>
    <w:rsid w:val="00E06B5D"/>
    <w:rsid w:val="00E10D60"/>
    <w:rsid w:val="00E10E58"/>
    <w:rsid w:val="00E10F5A"/>
    <w:rsid w:val="00E1190F"/>
    <w:rsid w:val="00E126B8"/>
    <w:rsid w:val="00E1270D"/>
    <w:rsid w:val="00E129A9"/>
    <w:rsid w:val="00E12C64"/>
    <w:rsid w:val="00E13202"/>
    <w:rsid w:val="00E1377E"/>
    <w:rsid w:val="00E152F7"/>
    <w:rsid w:val="00E155E9"/>
    <w:rsid w:val="00E16430"/>
    <w:rsid w:val="00E16782"/>
    <w:rsid w:val="00E1733D"/>
    <w:rsid w:val="00E1781E"/>
    <w:rsid w:val="00E17A42"/>
    <w:rsid w:val="00E17EA3"/>
    <w:rsid w:val="00E21104"/>
    <w:rsid w:val="00E21470"/>
    <w:rsid w:val="00E21E1E"/>
    <w:rsid w:val="00E22119"/>
    <w:rsid w:val="00E22A9F"/>
    <w:rsid w:val="00E22E57"/>
    <w:rsid w:val="00E2312C"/>
    <w:rsid w:val="00E23409"/>
    <w:rsid w:val="00E237B8"/>
    <w:rsid w:val="00E23FDE"/>
    <w:rsid w:val="00E24F4E"/>
    <w:rsid w:val="00E25507"/>
    <w:rsid w:val="00E255BF"/>
    <w:rsid w:val="00E25643"/>
    <w:rsid w:val="00E25D20"/>
    <w:rsid w:val="00E25F96"/>
    <w:rsid w:val="00E26048"/>
    <w:rsid w:val="00E271F5"/>
    <w:rsid w:val="00E2733A"/>
    <w:rsid w:val="00E277D4"/>
    <w:rsid w:val="00E27F6B"/>
    <w:rsid w:val="00E30838"/>
    <w:rsid w:val="00E3085A"/>
    <w:rsid w:val="00E31B1B"/>
    <w:rsid w:val="00E31C2A"/>
    <w:rsid w:val="00E33407"/>
    <w:rsid w:val="00E33766"/>
    <w:rsid w:val="00E33C8D"/>
    <w:rsid w:val="00E35165"/>
    <w:rsid w:val="00E35A90"/>
    <w:rsid w:val="00E35E22"/>
    <w:rsid w:val="00E36373"/>
    <w:rsid w:val="00E36390"/>
    <w:rsid w:val="00E36A89"/>
    <w:rsid w:val="00E36AE1"/>
    <w:rsid w:val="00E37358"/>
    <w:rsid w:val="00E403FE"/>
    <w:rsid w:val="00E407DD"/>
    <w:rsid w:val="00E41726"/>
    <w:rsid w:val="00E41C63"/>
    <w:rsid w:val="00E41EC1"/>
    <w:rsid w:val="00E4302C"/>
    <w:rsid w:val="00E43150"/>
    <w:rsid w:val="00E4356E"/>
    <w:rsid w:val="00E439D2"/>
    <w:rsid w:val="00E44451"/>
    <w:rsid w:val="00E444BA"/>
    <w:rsid w:val="00E44967"/>
    <w:rsid w:val="00E46AFE"/>
    <w:rsid w:val="00E47146"/>
    <w:rsid w:val="00E51D96"/>
    <w:rsid w:val="00E52007"/>
    <w:rsid w:val="00E52F40"/>
    <w:rsid w:val="00E540F0"/>
    <w:rsid w:val="00E547EB"/>
    <w:rsid w:val="00E54B4C"/>
    <w:rsid w:val="00E555A4"/>
    <w:rsid w:val="00E578E1"/>
    <w:rsid w:val="00E57BCB"/>
    <w:rsid w:val="00E57ED0"/>
    <w:rsid w:val="00E604F2"/>
    <w:rsid w:val="00E60DF1"/>
    <w:rsid w:val="00E61B0D"/>
    <w:rsid w:val="00E62A9C"/>
    <w:rsid w:val="00E63264"/>
    <w:rsid w:val="00E633BD"/>
    <w:rsid w:val="00E63654"/>
    <w:rsid w:val="00E644A1"/>
    <w:rsid w:val="00E646AF"/>
    <w:rsid w:val="00E65049"/>
    <w:rsid w:val="00E654A4"/>
    <w:rsid w:val="00E65925"/>
    <w:rsid w:val="00E6639B"/>
    <w:rsid w:val="00E70ADB"/>
    <w:rsid w:val="00E70F4A"/>
    <w:rsid w:val="00E71E90"/>
    <w:rsid w:val="00E72367"/>
    <w:rsid w:val="00E72762"/>
    <w:rsid w:val="00E72BB2"/>
    <w:rsid w:val="00E72CC5"/>
    <w:rsid w:val="00E730C6"/>
    <w:rsid w:val="00E7374B"/>
    <w:rsid w:val="00E73EDE"/>
    <w:rsid w:val="00E7458F"/>
    <w:rsid w:val="00E74E59"/>
    <w:rsid w:val="00E757AA"/>
    <w:rsid w:val="00E75938"/>
    <w:rsid w:val="00E75999"/>
    <w:rsid w:val="00E75D94"/>
    <w:rsid w:val="00E76CB3"/>
    <w:rsid w:val="00E77040"/>
    <w:rsid w:val="00E7709E"/>
    <w:rsid w:val="00E80940"/>
    <w:rsid w:val="00E80A6C"/>
    <w:rsid w:val="00E80C80"/>
    <w:rsid w:val="00E820D1"/>
    <w:rsid w:val="00E823B9"/>
    <w:rsid w:val="00E82ED9"/>
    <w:rsid w:val="00E83327"/>
    <w:rsid w:val="00E8339C"/>
    <w:rsid w:val="00E836D6"/>
    <w:rsid w:val="00E837F8"/>
    <w:rsid w:val="00E866E4"/>
    <w:rsid w:val="00E86D4A"/>
    <w:rsid w:val="00E86F0E"/>
    <w:rsid w:val="00E87170"/>
    <w:rsid w:val="00E87AE5"/>
    <w:rsid w:val="00E87CCF"/>
    <w:rsid w:val="00E9168A"/>
    <w:rsid w:val="00E91EBF"/>
    <w:rsid w:val="00E92773"/>
    <w:rsid w:val="00E92CFF"/>
    <w:rsid w:val="00E92DC5"/>
    <w:rsid w:val="00E92FF2"/>
    <w:rsid w:val="00E94355"/>
    <w:rsid w:val="00E947C3"/>
    <w:rsid w:val="00E953D2"/>
    <w:rsid w:val="00E96123"/>
    <w:rsid w:val="00E966D4"/>
    <w:rsid w:val="00E975C2"/>
    <w:rsid w:val="00E976A2"/>
    <w:rsid w:val="00EA003F"/>
    <w:rsid w:val="00EA0D30"/>
    <w:rsid w:val="00EA17BD"/>
    <w:rsid w:val="00EA1EC7"/>
    <w:rsid w:val="00EA1FCB"/>
    <w:rsid w:val="00EA245E"/>
    <w:rsid w:val="00EA2BCE"/>
    <w:rsid w:val="00EA2FF7"/>
    <w:rsid w:val="00EA3310"/>
    <w:rsid w:val="00EA54BF"/>
    <w:rsid w:val="00EA66E0"/>
    <w:rsid w:val="00EA6BA6"/>
    <w:rsid w:val="00EA70D2"/>
    <w:rsid w:val="00EA7182"/>
    <w:rsid w:val="00EB051A"/>
    <w:rsid w:val="00EB0E81"/>
    <w:rsid w:val="00EB17C6"/>
    <w:rsid w:val="00EB1BD3"/>
    <w:rsid w:val="00EB21D4"/>
    <w:rsid w:val="00EB21DB"/>
    <w:rsid w:val="00EB3389"/>
    <w:rsid w:val="00EB3BF8"/>
    <w:rsid w:val="00EB422C"/>
    <w:rsid w:val="00EB4603"/>
    <w:rsid w:val="00EB49F7"/>
    <w:rsid w:val="00EB4A52"/>
    <w:rsid w:val="00EB5FA2"/>
    <w:rsid w:val="00EB60E0"/>
    <w:rsid w:val="00EB69CC"/>
    <w:rsid w:val="00EB6AEE"/>
    <w:rsid w:val="00EB7640"/>
    <w:rsid w:val="00EC0413"/>
    <w:rsid w:val="00EC04B5"/>
    <w:rsid w:val="00EC241B"/>
    <w:rsid w:val="00EC2B1B"/>
    <w:rsid w:val="00EC30F0"/>
    <w:rsid w:val="00EC36D5"/>
    <w:rsid w:val="00EC37A7"/>
    <w:rsid w:val="00EC39C0"/>
    <w:rsid w:val="00EC4627"/>
    <w:rsid w:val="00EC49CA"/>
    <w:rsid w:val="00EC4AB9"/>
    <w:rsid w:val="00EC5320"/>
    <w:rsid w:val="00EC59ED"/>
    <w:rsid w:val="00EC6514"/>
    <w:rsid w:val="00ED007B"/>
    <w:rsid w:val="00ED026A"/>
    <w:rsid w:val="00ED03F6"/>
    <w:rsid w:val="00ED0E65"/>
    <w:rsid w:val="00ED0ED9"/>
    <w:rsid w:val="00ED0F77"/>
    <w:rsid w:val="00ED1550"/>
    <w:rsid w:val="00ED1B36"/>
    <w:rsid w:val="00ED2142"/>
    <w:rsid w:val="00ED3B80"/>
    <w:rsid w:val="00ED43F5"/>
    <w:rsid w:val="00ED44FC"/>
    <w:rsid w:val="00ED46E4"/>
    <w:rsid w:val="00ED4FD6"/>
    <w:rsid w:val="00ED54F2"/>
    <w:rsid w:val="00ED5E45"/>
    <w:rsid w:val="00ED67FA"/>
    <w:rsid w:val="00ED686B"/>
    <w:rsid w:val="00ED70B9"/>
    <w:rsid w:val="00ED7191"/>
    <w:rsid w:val="00ED7E68"/>
    <w:rsid w:val="00EE049A"/>
    <w:rsid w:val="00EE07CD"/>
    <w:rsid w:val="00EE096E"/>
    <w:rsid w:val="00EE121E"/>
    <w:rsid w:val="00EE2164"/>
    <w:rsid w:val="00EE309D"/>
    <w:rsid w:val="00EE3388"/>
    <w:rsid w:val="00EE34FD"/>
    <w:rsid w:val="00EE4248"/>
    <w:rsid w:val="00EE48F6"/>
    <w:rsid w:val="00EE49A0"/>
    <w:rsid w:val="00EE4A22"/>
    <w:rsid w:val="00EE4B17"/>
    <w:rsid w:val="00EE58BD"/>
    <w:rsid w:val="00EE58FC"/>
    <w:rsid w:val="00EE7192"/>
    <w:rsid w:val="00EE73AB"/>
    <w:rsid w:val="00EF1351"/>
    <w:rsid w:val="00EF1B40"/>
    <w:rsid w:val="00EF1E45"/>
    <w:rsid w:val="00EF221C"/>
    <w:rsid w:val="00EF274D"/>
    <w:rsid w:val="00EF30BE"/>
    <w:rsid w:val="00EF3164"/>
    <w:rsid w:val="00EF345B"/>
    <w:rsid w:val="00EF3B7C"/>
    <w:rsid w:val="00EF3E8C"/>
    <w:rsid w:val="00EF3F3F"/>
    <w:rsid w:val="00EF4DFE"/>
    <w:rsid w:val="00EF4E44"/>
    <w:rsid w:val="00EF5262"/>
    <w:rsid w:val="00EF540D"/>
    <w:rsid w:val="00EF600B"/>
    <w:rsid w:val="00EF6570"/>
    <w:rsid w:val="00EF66CB"/>
    <w:rsid w:val="00EF68CF"/>
    <w:rsid w:val="00EF7721"/>
    <w:rsid w:val="00EF792A"/>
    <w:rsid w:val="00F00092"/>
    <w:rsid w:val="00F007CC"/>
    <w:rsid w:val="00F018D9"/>
    <w:rsid w:val="00F01927"/>
    <w:rsid w:val="00F032AA"/>
    <w:rsid w:val="00F04554"/>
    <w:rsid w:val="00F04CDE"/>
    <w:rsid w:val="00F0527B"/>
    <w:rsid w:val="00F056DF"/>
    <w:rsid w:val="00F0573F"/>
    <w:rsid w:val="00F061C8"/>
    <w:rsid w:val="00F065B3"/>
    <w:rsid w:val="00F068CB"/>
    <w:rsid w:val="00F0696B"/>
    <w:rsid w:val="00F06C15"/>
    <w:rsid w:val="00F06DEC"/>
    <w:rsid w:val="00F07265"/>
    <w:rsid w:val="00F07941"/>
    <w:rsid w:val="00F07A48"/>
    <w:rsid w:val="00F10B2F"/>
    <w:rsid w:val="00F11738"/>
    <w:rsid w:val="00F11CA5"/>
    <w:rsid w:val="00F125B4"/>
    <w:rsid w:val="00F12890"/>
    <w:rsid w:val="00F131B8"/>
    <w:rsid w:val="00F13A8F"/>
    <w:rsid w:val="00F13B2A"/>
    <w:rsid w:val="00F142CF"/>
    <w:rsid w:val="00F14359"/>
    <w:rsid w:val="00F14B56"/>
    <w:rsid w:val="00F1565C"/>
    <w:rsid w:val="00F1681B"/>
    <w:rsid w:val="00F16F64"/>
    <w:rsid w:val="00F20390"/>
    <w:rsid w:val="00F20569"/>
    <w:rsid w:val="00F20F34"/>
    <w:rsid w:val="00F212F9"/>
    <w:rsid w:val="00F21893"/>
    <w:rsid w:val="00F21B94"/>
    <w:rsid w:val="00F2206C"/>
    <w:rsid w:val="00F220F8"/>
    <w:rsid w:val="00F226BF"/>
    <w:rsid w:val="00F22887"/>
    <w:rsid w:val="00F22CD2"/>
    <w:rsid w:val="00F232EB"/>
    <w:rsid w:val="00F2360B"/>
    <w:rsid w:val="00F2389F"/>
    <w:rsid w:val="00F2396A"/>
    <w:rsid w:val="00F23A44"/>
    <w:rsid w:val="00F23F68"/>
    <w:rsid w:val="00F24BE8"/>
    <w:rsid w:val="00F24C43"/>
    <w:rsid w:val="00F26088"/>
    <w:rsid w:val="00F2642D"/>
    <w:rsid w:val="00F26490"/>
    <w:rsid w:val="00F27091"/>
    <w:rsid w:val="00F3099A"/>
    <w:rsid w:val="00F31B6F"/>
    <w:rsid w:val="00F321CB"/>
    <w:rsid w:val="00F323EF"/>
    <w:rsid w:val="00F327D1"/>
    <w:rsid w:val="00F33A97"/>
    <w:rsid w:val="00F33F99"/>
    <w:rsid w:val="00F3497A"/>
    <w:rsid w:val="00F34B31"/>
    <w:rsid w:val="00F352CE"/>
    <w:rsid w:val="00F3647B"/>
    <w:rsid w:val="00F36B02"/>
    <w:rsid w:val="00F36D24"/>
    <w:rsid w:val="00F37923"/>
    <w:rsid w:val="00F407D4"/>
    <w:rsid w:val="00F40E18"/>
    <w:rsid w:val="00F41347"/>
    <w:rsid w:val="00F4198D"/>
    <w:rsid w:val="00F41C39"/>
    <w:rsid w:val="00F437C4"/>
    <w:rsid w:val="00F448E1"/>
    <w:rsid w:val="00F44F70"/>
    <w:rsid w:val="00F4502C"/>
    <w:rsid w:val="00F4505D"/>
    <w:rsid w:val="00F457B1"/>
    <w:rsid w:val="00F45F7D"/>
    <w:rsid w:val="00F46309"/>
    <w:rsid w:val="00F46986"/>
    <w:rsid w:val="00F469D7"/>
    <w:rsid w:val="00F46EB7"/>
    <w:rsid w:val="00F47121"/>
    <w:rsid w:val="00F47193"/>
    <w:rsid w:val="00F47E8F"/>
    <w:rsid w:val="00F50F03"/>
    <w:rsid w:val="00F51157"/>
    <w:rsid w:val="00F51238"/>
    <w:rsid w:val="00F513C4"/>
    <w:rsid w:val="00F51719"/>
    <w:rsid w:val="00F52119"/>
    <w:rsid w:val="00F5286D"/>
    <w:rsid w:val="00F53616"/>
    <w:rsid w:val="00F53CB6"/>
    <w:rsid w:val="00F54DE9"/>
    <w:rsid w:val="00F567DC"/>
    <w:rsid w:val="00F56824"/>
    <w:rsid w:val="00F56955"/>
    <w:rsid w:val="00F57154"/>
    <w:rsid w:val="00F5737C"/>
    <w:rsid w:val="00F5747F"/>
    <w:rsid w:val="00F577E6"/>
    <w:rsid w:val="00F57EA9"/>
    <w:rsid w:val="00F60EC0"/>
    <w:rsid w:val="00F63270"/>
    <w:rsid w:val="00F63502"/>
    <w:rsid w:val="00F639AC"/>
    <w:rsid w:val="00F63EF1"/>
    <w:rsid w:val="00F65179"/>
    <w:rsid w:val="00F6580F"/>
    <w:rsid w:val="00F674E4"/>
    <w:rsid w:val="00F675E0"/>
    <w:rsid w:val="00F6795F"/>
    <w:rsid w:val="00F706AA"/>
    <w:rsid w:val="00F70D93"/>
    <w:rsid w:val="00F71010"/>
    <w:rsid w:val="00F71C11"/>
    <w:rsid w:val="00F72A2D"/>
    <w:rsid w:val="00F72E70"/>
    <w:rsid w:val="00F7349C"/>
    <w:rsid w:val="00F7587A"/>
    <w:rsid w:val="00F75B73"/>
    <w:rsid w:val="00F75C71"/>
    <w:rsid w:val="00F768B6"/>
    <w:rsid w:val="00F779CA"/>
    <w:rsid w:val="00F77F94"/>
    <w:rsid w:val="00F801E7"/>
    <w:rsid w:val="00F804FD"/>
    <w:rsid w:val="00F81137"/>
    <w:rsid w:val="00F81FAE"/>
    <w:rsid w:val="00F82271"/>
    <w:rsid w:val="00F82B98"/>
    <w:rsid w:val="00F8415A"/>
    <w:rsid w:val="00F8526A"/>
    <w:rsid w:val="00F854AE"/>
    <w:rsid w:val="00F8581B"/>
    <w:rsid w:val="00F85FBF"/>
    <w:rsid w:val="00F870AD"/>
    <w:rsid w:val="00F871BF"/>
    <w:rsid w:val="00F87B04"/>
    <w:rsid w:val="00F87E0D"/>
    <w:rsid w:val="00F908B5"/>
    <w:rsid w:val="00F90DE1"/>
    <w:rsid w:val="00F91555"/>
    <w:rsid w:val="00F91B5B"/>
    <w:rsid w:val="00F91EEF"/>
    <w:rsid w:val="00F9233F"/>
    <w:rsid w:val="00F960C9"/>
    <w:rsid w:val="00F962CB"/>
    <w:rsid w:val="00F962E4"/>
    <w:rsid w:val="00F96E43"/>
    <w:rsid w:val="00FA077B"/>
    <w:rsid w:val="00FA080A"/>
    <w:rsid w:val="00FA1585"/>
    <w:rsid w:val="00FA183E"/>
    <w:rsid w:val="00FA1A13"/>
    <w:rsid w:val="00FA1E8A"/>
    <w:rsid w:val="00FA2BE1"/>
    <w:rsid w:val="00FA2D03"/>
    <w:rsid w:val="00FA4737"/>
    <w:rsid w:val="00FA490D"/>
    <w:rsid w:val="00FA642B"/>
    <w:rsid w:val="00FA67A5"/>
    <w:rsid w:val="00FB01C8"/>
    <w:rsid w:val="00FB19C8"/>
    <w:rsid w:val="00FB2D8D"/>
    <w:rsid w:val="00FB2DF7"/>
    <w:rsid w:val="00FB3B7D"/>
    <w:rsid w:val="00FB3D7C"/>
    <w:rsid w:val="00FB40E1"/>
    <w:rsid w:val="00FB4CBA"/>
    <w:rsid w:val="00FB5AEF"/>
    <w:rsid w:val="00FB5E26"/>
    <w:rsid w:val="00FB6F7F"/>
    <w:rsid w:val="00FC044F"/>
    <w:rsid w:val="00FC0D2D"/>
    <w:rsid w:val="00FC1097"/>
    <w:rsid w:val="00FC10F6"/>
    <w:rsid w:val="00FC1177"/>
    <w:rsid w:val="00FC148F"/>
    <w:rsid w:val="00FC19FE"/>
    <w:rsid w:val="00FC1F47"/>
    <w:rsid w:val="00FC258A"/>
    <w:rsid w:val="00FC2C9C"/>
    <w:rsid w:val="00FC3667"/>
    <w:rsid w:val="00FC3C7B"/>
    <w:rsid w:val="00FC5367"/>
    <w:rsid w:val="00FC5766"/>
    <w:rsid w:val="00FC5FFF"/>
    <w:rsid w:val="00FC69C2"/>
    <w:rsid w:val="00FC7A2B"/>
    <w:rsid w:val="00FC7C36"/>
    <w:rsid w:val="00FD0451"/>
    <w:rsid w:val="00FD0643"/>
    <w:rsid w:val="00FD09D1"/>
    <w:rsid w:val="00FD123F"/>
    <w:rsid w:val="00FD141C"/>
    <w:rsid w:val="00FD19B7"/>
    <w:rsid w:val="00FD476C"/>
    <w:rsid w:val="00FD4BAD"/>
    <w:rsid w:val="00FD57CE"/>
    <w:rsid w:val="00FD5C5A"/>
    <w:rsid w:val="00FD6A96"/>
    <w:rsid w:val="00FD6ECA"/>
    <w:rsid w:val="00FD78DE"/>
    <w:rsid w:val="00FE06EC"/>
    <w:rsid w:val="00FE0A14"/>
    <w:rsid w:val="00FE0A56"/>
    <w:rsid w:val="00FE112A"/>
    <w:rsid w:val="00FE211D"/>
    <w:rsid w:val="00FE282C"/>
    <w:rsid w:val="00FE289B"/>
    <w:rsid w:val="00FE2C0F"/>
    <w:rsid w:val="00FE2D9B"/>
    <w:rsid w:val="00FE2F82"/>
    <w:rsid w:val="00FE471B"/>
    <w:rsid w:val="00FE4885"/>
    <w:rsid w:val="00FE58A7"/>
    <w:rsid w:val="00FE5B0D"/>
    <w:rsid w:val="00FE635A"/>
    <w:rsid w:val="00FE69E0"/>
    <w:rsid w:val="00FE7083"/>
    <w:rsid w:val="00FE778B"/>
    <w:rsid w:val="00FE7AB3"/>
    <w:rsid w:val="00FE7BF7"/>
    <w:rsid w:val="00FF07DB"/>
    <w:rsid w:val="00FF212A"/>
    <w:rsid w:val="00FF2812"/>
    <w:rsid w:val="00FF28F8"/>
    <w:rsid w:val="00FF2F1E"/>
    <w:rsid w:val="00FF3379"/>
    <w:rsid w:val="00FF377A"/>
    <w:rsid w:val="00FF38C9"/>
    <w:rsid w:val="00FF3C42"/>
    <w:rsid w:val="00FF4808"/>
    <w:rsid w:val="00FF5B0B"/>
    <w:rsid w:val="00FF5BE0"/>
    <w:rsid w:val="00FF7443"/>
    <w:rsid w:val="00FF7F3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3306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82E"/>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71C4B"/>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 w:type="paragraph" w:styleId="TOC1">
    <w:name w:val="toc 1"/>
    <w:basedOn w:val="Normal"/>
    <w:next w:val="Normal"/>
    <w:autoRedefine/>
    <w:uiPriority w:val="39"/>
    <w:unhideWhenUsed/>
    <w:rsid w:val="00041085"/>
    <w:pPr>
      <w:spacing w:before="100" w:beforeAutospacing="1" w:after="100" w:afterAutospacing="1" w:line="240" w:lineRule="auto"/>
      <w:contextualSpacing/>
    </w:pPr>
    <w:rPr>
      <w:rFonts w:ascii="Aptos" w:hAnsi="Aptos" w:cstheme="minorHAnsi"/>
      <w:b/>
      <w:bCs/>
      <w:caps/>
      <w:color w:val="0070C0"/>
      <w:u w:val="single"/>
    </w:rPr>
  </w:style>
  <w:style w:type="paragraph" w:styleId="TOC2">
    <w:name w:val="toc 2"/>
    <w:basedOn w:val="Normal"/>
    <w:next w:val="Normal"/>
    <w:autoRedefine/>
    <w:uiPriority w:val="39"/>
    <w:unhideWhenUsed/>
    <w:rsid w:val="00A531D5"/>
    <w:pPr>
      <w:spacing w:after="0"/>
    </w:pPr>
    <w:rPr>
      <w:rFonts w:cstheme="minorHAnsi"/>
      <w:b/>
      <w:bCs/>
      <w:smallCaps/>
    </w:rPr>
  </w:style>
  <w:style w:type="paragraph" w:styleId="TOC3">
    <w:name w:val="toc 3"/>
    <w:basedOn w:val="Normal"/>
    <w:next w:val="Normal"/>
    <w:autoRedefine/>
    <w:uiPriority w:val="39"/>
    <w:unhideWhenUsed/>
    <w:pPr>
      <w:spacing w:after="0"/>
    </w:pPr>
    <w:rPr>
      <w:rFonts w:cstheme="minorHAnsi"/>
      <w:smallCaps/>
    </w:rPr>
  </w:style>
  <w:style w:type="paragraph" w:styleId="TOC4">
    <w:name w:val="toc 4"/>
    <w:basedOn w:val="Normal"/>
    <w:next w:val="Normal"/>
    <w:autoRedefine/>
    <w:uiPriority w:val="39"/>
    <w:unhideWhenUsed/>
    <w:pPr>
      <w:spacing w:after="0"/>
    </w:pPr>
    <w:rPr>
      <w:rFonts w:cstheme="minorHAnsi"/>
    </w:rPr>
  </w:style>
  <w:style w:type="paragraph" w:styleId="TOC5">
    <w:name w:val="toc 5"/>
    <w:basedOn w:val="Normal"/>
    <w:next w:val="Normal"/>
    <w:autoRedefine/>
    <w:uiPriority w:val="39"/>
    <w:unhideWhenUsed/>
    <w:pPr>
      <w:spacing w:after="0"/>
    </w:pPr>
    <w:rPr>
      <w:rFonts w:cstheme="minorHAnsi"/>
    </w:rPr>
  </w:style>
  <w:style w:type="paragraph" w:styleId="TOC6">
    <w:name w:val="toc 6"/>
    <w:basedOn w:val="Normal"/>
    <w:next w:val="Normal"/>
    <w:autoRedefine/>
    <w:uiPriority w:val="39"/>
    <w:unhideWhenUsed/>
    <w:pPr>
      <w:spacing w:after="0"/>
    </w:pPr>
    <w:rPr>
      <w:rFonts w:cstheme="minorHAnsi"/>
    </w:rPr>
  </w:style>
  <w:style w:type="paragraph" w:styleId="TOC7">
    <w:name w:val="toc 7"/>
    <w:basedOn w:val="Normal"/>
    <w:next w:val="Normal"/>
    <w:autoRedefine/>
    <w:uiPriority w:val="39"/>
    <w:unhideWhenUsed/>
    <w:pPr>
      <w:spacing w:after="0"/>
    </w:pPr>
    <w:rPr>
      <w:rFonts w:cstheme="minorHAnsi"/>
    </w:rPr>
  </w:style>
  <w:style w:type="paragraph" w:styleId="TOC8">
    <w:name w:val="toc 8"/>
    <w:basedOn w:val="Normal"/>
    <w:next w:val="Normal"/>
    <w:autoRedefine/>
    <w:uiPriority w:val="39"/>
    <w:unhideWhenUsed/>
    <w:pPr>
      <w:spacing w:after="0"/>
    </w:pPr>
    <w:rPr>
      <w:rFonts w:cstheme="minorHAnsi"/>
    </w:rPr>
  </w:style>
  <w:style w:type="paragraph" w:styleId="TOC9">
    <w:name w:val="toc 9"/>
    <w:basedOn w:val="Normal"/>
    <w:next w:val="Normal"/>
    <w:autoRedefine/>
    <w:uiPriority w:val="39"/>
    <w:unhideWhenUsed/>
    <w:pPr>
      <w:spacing w:after="0"/>
    </w:pPr>
    <w:rPr>
      <w:rFonts w:cstheme="minorHAnsi"/>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H1">
    <w:name w:val="H1"/>
    <w:basedOn w:val="Normal"/>
    <w:next w:val="Normal"/>
    <w:uiPriority w:val="99"/>
    <w:pPr>
      <w:keepNext/>
      <w:autoSpaceDE w:val="0"/>
      <w:autoSpaceDN w:val="0"/>
      <w:adjustRightInd w:val="0"/>
      <w:spacing w:before="100" w:after="100" w:line="240" w:lineRule="auto"/>
      <w:outlineLvl w:val="1"/>
    </w:pPr>
    <w:rPr>
      <w:rFonts w:ascii="Times New Roman" w:hAnsi="Times New Roman" w:cs="Times New Roman"/>
      <w:b/>
      <w:bCs/>
      <w:kern w:val="36"/>
      <w:sz w:val="48"/>
      <w:szCs w:val="48"/>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FollowedHyperlink">
    <w:name w:val="FollowedHyperlink"/>
    <w:basedOn w:val="DefaultParagraphFont"/>
    <w:uiPriority w:val="99"/>
    <w:semiHidden/>
    <w:unhideWhenUsed/>
    <w:rPr>
      <w:color w:val="800080" w:themeColor="followed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itle">
    <w:name w:val="ptitle"/>
    <w:basedOn w:val="Normal"/>
    <w:pPr>
      <w:spacing w:before="100" w:beforeAutospacing="1" w:after="100" w:afterAutospacing="1" w:line="300" w:lineRule="atLeast"/>
    </w:pPr>
    <w:rPr>
      <w:rFonts w:ascii="Times New Roman" w:eastAsia="Times New Roman" w:hAnsi="Times New Roman" w:cs="Times New Roman"/>
      <w:b/>
      <w:bCs/>
      <w:color w:val="202020"/>
      <w:sz w:val="26"/>
      <w:szCs w:val="26"/>
    </w:rPr>
  </w:style>
  <w:style w:type="character" w:styleId="Emphasis">
    <w:name w:val="Emphasis"/>
    <w:basedOn w:val="DefaultParagraphFont"/>
    <w:uiPriority w:val="20"/>
    <w:qFormat/>
    <w:rPr>
      <w:i/>
      <w:iCs/>
    </w:rPr>
  </w:style>
  <w:style w:type="paragraph" w:customStyle="1" w:styleId="sgtosummary1">
    <w:name w:val="sgtosummary1"/>
    <w:basedOn w:val="Normal"/>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gtosupertitle">
    <w:name w:val="sgtosupertitle"/>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style>
  <w:style w:type="character" w:customStyle="1" w:styleId="time3">
    <w:name w:val="time3"/>
    <w:basedOn w:val="DefaultParagraphFont"/>
    <w:rPr>
      <w:b/>
      <w:bCs/>
      <w:caps/>
      <w:vanish w:val="0"/>
      <w:webHidden w:val="0"/>
      <w:color w:val="999999"/>
      <w:sz w:val="15"/>
      <w:szCs w:val="15"/>
      <w:specVanish w:val="0"/>
    </w:rPr>
  </w:style>
  <w:style w:type="character" w:styleId="Strong">
    <w:name w:val="Strong"/>
    <w:basedOn w:val="DefaultParagraphFont"/>
    <w:uiPriority w:val="22"/>
    <w:qFormat/>
    <w:rPr>
      <w:b/>
      <w:bCs/>
    </w:rPr>
  </w:style>
  <w:style w:type="paragraph" w:styleId="TOCHeading">
    <w:name w:val="TOC Heading"/>
    <w:basedOn w:val="Heading1"/>
    <w:next w:val="Normal"/>
    <w:uiPriority w:val="39"/>
    <w:semiHidden/>
    <w:unhideWhenUsed/>
    <w:qFormat/>
    <w:pPr>
      <w:outlineLvl w:val="9"/>
    </w:pPr>
  </w:style>
  <w:style w:type="paragraph" w:customStyle="1" w:styleId="title-type-1">
    <w:name w:val="title-type-1"/>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semiHidden/>
    <w:rPr>
      <w:rFonts w:ascii="Calibri" w:eastAsia="Times New Roman" w:hAnsi="Calibri"/>
      <w:szCs w:val="21"/>
    </w:rPr>
  </w:style>
  <w:style w:type="character" w:customStyle="1" w:styleId="pbody1">
    <w:name w:val="pbody1"/>
    <w:basedOn w:val="DefaultParagraphFont"/>
    <w:rPr>
      <w:vanish w:val="0"/>
      <w:webHidden w:val="0"/>
      <w:color w:val="000000"/>
      <w:sz w:val="18"/>
      <w:szCs w:val="18"/>
      <w:specVanish w:val="0"/>
    </w:rPr>
  </w:style>
  <w:style w:type="character" w:customStyle="1" w:styleId="meta-author">
    <w:name w:val="meta-author"/>
    <w:basedOn w:val="DefaultParagraphFont"/>
  </w:style>
  <w:style w:type="character" w:customStyle="1" w:styleId="stbutton">
    <w:name w:val="stbutton"/>
    <w:basedOn w:val="DefaultParagraphFont"/>
  </w:style>
  <w:style w:type="paragraph" w:customStyle="1" w:styleId="sgtosubtitle">
    <w:name w:val="sgtosubtitle"/>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3">
    <w:name w:val="H3"/>
    <w:basedOn w:val="Normal"/>
    <w:next w:val="Normal"/>
    <w:uiPriority w:val="99"/>
    <w:pPr>
      <w:keepNext/>
      <w:autoSpaceDE w:val="0"/>
      <w:autoSpaceDN w:val="0"/>
      <w:adjustRightInd w:val="0"/>
      <w:spacing w:before="100" w:after="100" w:line="240" w:lineRule="auto"/>
      <w:outlineLvl w:val="3"/>
    </w:pPr>
    <w:rPr>
      <w:rFonts w:ascii="Times New Roman" w:hAnsi="Times New Roman" w:cs="Times New Roman"/>
      <w:b/>
      <w:bCs/>
      <w:sz w:val="28"/>
      <w:szCs w:val="28"/>
    </w:rPr>
  </w:style>
  <w:style w:type="paragraph" w:customStyle="1" w:styleId="sgtosummary">
    <w:name w:val="sgtosummary"/>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1">
    <w:name w:val="Title1"/>
    <w:basedOn w:val="DefaultParagraphFont"/>
  </w:style>
  <w:style w:type="character" w:customStyle="1" w:styleId="ata11y">
    <w:name w:val="at_a11y"/>
    <w:basedOn w:val="DefaultParagraphFont"/>
  </w:style>
  <w:style w:type="paragraph" w:customStyle="1" w:styleId="contentart1">
    <w:name w:val="contentart1"/>
    <w:basedOn w:val="Normal"/>
    <w:pPr>
      <w:spacing w:before="100" w:beforeAutospacing="1" w:after="100" w:afterAutospacing="1" w:line="270" w:lineRule="atLeast"/>
    </w:pPr>
    <w:rPr>
      <w:rFonts w:ascii="Arial" w:eastAsia="Times New Roman" w:hAnsi="Arial" w:cs="Arial"/>
      <w:sz w:val="21"/>
      <w:szCs w:val="21"/>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character" w:customStyle="1" w:styleId="hps">
    <w:name w:val="hps"/>
    <w:basedOn w:val="DefaultParagraphFont"/>
  </w:style>
  <w:style w:type="character" w:customStyle="1" w:styleId="stbutton1">
    <w:name w:val="stbutton1"/>
    <w:basedOn w:val="DefaultParagraphFont"/>
    <w:rPr>
      <w:strike w:val="0"/>
      <w:dstrike w:val="0"/>
      <w:color w:val="000000"/>
      <w:sz w:val="17"/>
      <w:szCs w:val="17"/>
      <w:u w:val="none"/>
      <w:effect w:val="none"/>
    </w:rPr>
  </w:style>
  <w:style w:type="character" w:customStyle="1" w:styleId="stplusone">
    <w:name w:val="st_plusone"/>
    <w:basedOn w:val="DefaultParagraphFont"/>
  </w:style>
  <w:style w:type="paragraph" w:customStyle="1" w:styleId="wp-caption-text">
    <w:name w:val="wp-caption-text"/>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ad1">
    <w:name w:val="il_ad1"/>
    <w:basedOn w:val="DefaultParagraphFont"/>
    <w:rPr>
      <w:strike w:val="0"/>
      <w:dstrike w:val="0"/>
      <w:vanish w:val="0"/>
      <w:webHidden w:val="0"/>
      <w:color w:val="DD3C42"/>
      <w:u w:val="none"/>
      <w:effect w:val="none"/>
      <w:specVanish w:val="0"/>
    </w:rPr>
  </w:style>
  <w:style w:type="paragraph" w:customStyle="1" w:styleId="psubtitle">
    <w:name w:val="psubtitle"/>
    <w:basedOn w:val="Normal"/>
    <w:pPr>
      <w:spacing w:before="100" w:beforeAutospacing="1" w:after="100" w:afterAutospacing="1" w:line="240" w:lineRule="auto"/>
    </w:pPr>
    <w:rPr>
      <w:rFonts w:ascii="Times New Roman" w:eastAsia="Times New Roman" w:hAnsi="Times New Roman" w:cs="Times New Roman"/>
      <w:b/>
      <w:bCs/>
      <w:color w:val="0163BB"/>
      <w:sz w:val="20"/>
      <w:szCs w:val="20"/>
    </w:rPr>
  </w:style>
  <w:style w:type="character" w:customStyle="1" w:styleId="pbody">
    <w:name w:val="pbody"/>
    <w:basedOn w:val="DefaultParagraphFont"/>
  </w:style>
  <w:style w:type="character" w:customStyle="1" w:styleId="author5">
    <w:name w:val="author5"/>
    <w:basedOn w:val="DefaultParagraphFont"/>
    <w:rPr>
      <w:vanish w:val="0"/>
      <w:webHidden w:val="0"/>
      <w:specVanish w:val="0"/>
    </w:rPr>
  </w:style>
  <w:style w:type="character" w:customStyle="1" w:styleId="date5">
    <w:name w:val="date5"/>
    <w:basedOn w:val="DefaultParagraphFont"/>
    <w:rPr>
      <w:vanish w:val="0"/>
      <w:webHidden w:val="0"/>
      <w:specVanish w:val="0"/>
    </w:rPr>
  </w:style>
  <w:style w:type="character" w:customStyle="1" w:styleId="email13">
    <w:name w:val="email13"/>
    <w:basedOn w:val="DefaultParagraphFont"/>
    <w:rPr>
      <w:rFonts w:ascii="akzidenz-grotesk-std-bloom" w:hAnsi="akzidenz-grotesk-std-bloom" w:hint="default"/>
      <w:b/>
      <w:bCs/>
      <w:i w:val="0"/>
      <w:iCs w:val="0"/>
      <w:vanish/>
      <w:webHidden w:val="0"/>
      <w:specVanish w:val="0"/>
    </w:rPr>
  </w:style>
  <w:style w:type="character" w:customStyle="1" w:styleId="print13">
    <w:name w:val="print13"/>
    <w:basedOn w:val="DefaultParagraphFont"/>
    <w:rPr>
      <w:rFonts w:ascii="akzidenz-grotesk-std-bloom" w:hAnsi="akzidenz-grotesk-std-bloom" w:hint="default"/>
      <w:b/>
      <w:bCs/>
      <w:i w:val="0"/>
      <w:iCs w:val="0"/>
      <w:vanish/>
      <w:webHidden w:val="0"/>
      <w:specVanish w:val="0"/>
    </w:rPr>
  </w:style>
  <w:style w:type="paragraph" w:styleId="z-TopofForm">
    <w:name w:val="HTML Top of Form"/>
    <w:basedOn w:val="Normal"/>
    <w:next w:val="Normal"/>
    <w:link w:val="z-TopofFormChar"/>
    <w:hidden/>
    <w:uiPriority w:val="99"/>
    <w:semiHidden/>
    <w:unhideWhenUse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Pr>
      <w:rFonts w:ascii="Arial" w:eastAsia="Times New Roman" w:hAnsi="Arial" w:cs="Arial"/>
      <w:vanish/>
      <w:sz w:val="16"/>
      <w:szCs w:val="16"/>
    </w:rPr>
  </w:style>
  <w:style w:type="paragraph" w:customStyle="1" w:styleId="sgtocontent">
    <w:name w:val="sgtocontent"/>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catnewstitle">
    <w:name w:val="catnewstitle"/>
    <w:basedOn w:val="DefaultParagraphFont"/>
  </w:style>
  <w:style w:type="numbering" w:customStyle="1" w:styleId="NoList1">
    <w:name w:val="No List1"/>
    <w:next w:val="NoList"/>
    <w:uiPriority w:val="99"/>
    <w:semiHidden/>
    <w:unhideWhenUsed/>
  </w:style>
  <w:style w:type="paragraph" w:customStyle="1" w:styleId="style1">
    <w:name w:val="style1"/>
    <w:basedOn w:val="Normal"/>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ilad">
    <w:name w:val="il_ad"/>
    <w:basedOn w:val="DefaultParagraphFont"/>
  </w:style>
  <w:style w:type="paragraph" w:customStyle="1" w:styleId="normalpara">
    <w:name w:val="normalpara"/>
    <w:basedOn w:val="Normal"/>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numbering" w:customStyle="1" w:styleId="NoList2">
    <w:name w:val="No List2"/>
    <w:next w:val="NoList"/>
    <w:uiPriority w:val="99"/>
    <w:semiHidden/>
    <w:unhideWhenUsed/>
  </w:style>
  <w:style w:type="character" w:customStyle="1" w:styleId="EmailStyle19">
    <w:name w:val="EmailStyle19"/>
    <w:basedOn w:val="DefaultParagraphFont"/>
    <w:semiHidden/>
    <w:rPr>
      <w:rFonts w:ascii="Calibri" w:hAnsi="Calibri" w:cs="Times New Roman"/>
      <w:color w:val="auto"/>
    </w:rPr>
  </w:style>
  <w:style w:type="character" w:customStyle="1" w:styleId="EmailStyle20">
    <w:name w:val="EmailStyle20"/>
    <w:basedOn w:val="DefaultParagraphFont"/>
    <w:semiHidden/>
    <w:rPr>
      <w:rFonts w:ascii="Calibri" w:hAnsi="Calibri" w:cs="Times New Roman"/>
      <w:color w:val="1F497D"/>
    </w:rPr>
  </w:style>
  <w:style w:type="character" w:customStyle="1" w:styleId="EmailStyle21">
    <w:name w:val="EmailStyle21"/>
    <w:basedOn w:val="DefaultParagraphFont"/>
    <w:semiHidden/>
    <w:rPr>
      <w:rFonts w:ascii="Times New Roman" w:hAnsi="Times New Roman" w:cs="Times New Roman"/>
      <w:color w:val="1F497D"/>
      <w:sz w:val="22"/>
      <w:szCs w:val="2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paragraph" w:styleId="FootnoteText">
    <w:name w:val="footnote text"/>
    <w:basedOn w:val="Normal"/>
    <w:link w:val="FootnoteTextChar"/>
    <w:uiPriority w:val="99"/>
    <w:semiHidden/>
    <w:unhideWhenUsed/>
    <w:rsid w:val="001D69EF"/>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semiHidden/>
    <w:rsid w:val="001D69EF"/>
    <w:rPr>
      <w:rFonts w:eastAsiaTheme="minorHAnsi"/>
      <w:sz w:val="20"/>
      <w:szCs w:val="20"/>
    </w:rPr>
  </w:style>
  <w:style w:type="character" w:styleId="FootnoteReference">
    <w:name w:val="footnote reference"/>
    <w:basedOn w:val="DefaultParagraphFont"/>
    <w:uiPriority w:val="99"/>
    <w:semiHidden/>
    <w:unhideWhenUsed/>
    <w:rsid w:val="001D69EF"/>
    <w:rPr>
      <w:vertAlign w:val="superscript"/>
    </w:rPr>
  </w:style>
  <w:style w:type="paragraph" w:customStyle="1" w:styleId="p-subtitle">
    <w:name w:val="p-subtitle"/>
    <w:basedOn w:val="Normal"/>
    <w:rsid w:val="00FE28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
    <w:name w:val="bold"/>
    <w:basedOn w:val="Normal"/>
    <w:rsid w:val="009D29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
    <w:name w:val="author"/>
    <w:basedOn w:val="Normal"/>
    <w:rsid w:val="009D29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HeadingLevel2CQA">
    <w:name w:val="ACT Heading Level 2 CQA"/>
    <w:basedOn w:val="Normal"/>
    <w:qFormat/>
    <w:rsid w:val="004C7008"/>
    <w:pPr>
      <w:keepNext/>
      <w:spacing w:after="120" w:line="300" w:lineRule="atLeast"/>
      <w:jc w:val="both"/>
      <w:outlineLvl w:val="2"/>
    </w:pPr>
    <w:rPr>
      <w:rFonts w:ascii="Arial" w:eastAsia="Times New Roman" w:hAnsi="Times New Roman" w:cs="Times New Roman"/>
      <w:b/>
      <w:sz w:val="28"/>
      <w:szCs w:val="20"/>
      <w:lang w:val="en-GB"/>
    </w:rPr>
  </w:style>
  <w:style w:type="paragraph" w:customStyle="1" w:styleId="ACTParagraph">
    <w:name w:val="ACT Paragraph"/>
    <w:basedOn w:val="Normal"/>
    <w:link w:val="ACTParagraphChar"/>
    <w:qFormat/>
    <w:rsid w:val="004C7008"/>
    <w:pPr>
      <w:spacing w:after="120" w:line="300" w:lineRule="atLeast"/>
      <w:jc w:val="both"/>
    </w:pPr>
    <w:rPr>
      <w:rFonts w:ascii="Arial" w:eastAsia="Times New Roman" w:hAnsi="Arial" w:cs="Times New Roman"/>
      <w:szCs w:val="20"/>
      <w:lang w:val="en-GB"/>
    </w:rPr>
  </w:style>
  <w:style w:type="character" w:customStyle="1" w:styleId="ACTParagraphChar">
    <w:name w:val="ACT Paragraph Char"/>
    <w:link w:val="ACTParagraph"/>
    <w:rsid w:val="004C7008"/>
    <w:rPr>
      <w:rFonts w:ascii="Arial" w:eastAsia="Times New Roman" w:hAnsi="Arial" w:cs="Times New Roman"/>
      <w:szCs w:val="20"/>
      <w:lang w:val="en-GB"/>
    </w:rPr>
  </w:style>
  <w:style w:type="paragraph" w:customStyle="1" w:styleId="ACTBulletList1">
    <w:name w:val="ACT Bullet List 1"/>
    <w:aliases w:val="Bullet1"/>
    <w:basedOn w:val="Normal"/>
    <w:rsid w:val="004C7008"/>
    <w:pPr>
      <w:numPr>
        <w:numId w:val="1"/>
      </w:numPr>
      <w:tabs>
        <w:tab w:val="clear" w:pos="360"/>
        <w:tab w:val="num" w:pos="720"/>
      </w:tabs>
      <w:spacing w:after="240" w:line="300" w:lineRule="atLeast"/>
      <w:ind w:left="720"/>
      <w:jc w:val="both"/>
    </w:pPr>
    <w:rPr>
      <w:rFonts w:ascii="Arial" w:eastAsia="Times New Roman" w:hAnsi="Arial" w:cs="Times New Roman"/>
      <w:color w:val="000000"/>
      <w:szCs w:val="20"/>
      <w:lang w:val="en-GB"/>
    </w:rPr>
  </w:style>
  <w:style w:type="paragraph" w:customStyle="1" w:styleId="author-detail">
    <w:name w:val="author-detail"/>
    <w:basedOn w:val="Normal"/>
    <w:rsid w:val="00C118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1">
    <w:name w:val="Date1"/>
    <w:basedOn w:val="DefaultParagraphFont"/>
    <w:rsid w:val="00EE096E"/>
  </w:style>
  <w:style w:type="character" w:customStyle="1" w:styleId="formattime">
    <w:name w:val="format_time"/>
    <w:basedOn w:val="DefaultParagraphFont"/>
    <w:rsid w:val="00EE096E"/>
  </w:style>
  <w:style w:type="character" w:customStyle="1" w:styleId="formatdate">
    <w:name w:val="format_date"/>
    <w:basedOn w:val="DefaultParagraphFont"/>
    <w:rsid w:val="00EE096E"/>
  </w:style>
  <w:style w:type="character" w:customStyle="1" w:styleId="printarticle">
    <w:name w:val="print_article"/>
    <w:basedOn w:val="DefaultParagraphFont"/>
    <w:rsid w:val="00EE096E"/>
  </w:style>
  <w:style w:type="character" w:customStyle="1" w:styleId="fb-share-button">
    <w:name w:val="fb-share-button"/>
    <w:basedOn w:val="DefaultParagraphFont"/>
    <w:rsid w:val="00EE096E"/>
  </w:style>
  <w:style w:type="character" w:customStyle="1" w:styleId="Date2">
    <w:name w:val="Date2"/>
    <w:basedOn w:val="DefaultParagraphFont"/>
    <w:rsid w:val="00CD1314"/>
  </w:style>
  <w:style w:type="paragraph" w:customStyle="1" w:styleId="Normal1">
    <w:name w:val="Normal1"/>
    <w:basedOn w:val="Normal"/>
    <w:rsid w:val="00CD13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
    <w:name w:val="Normal2"/>
    <w:basedOn w:val="Normal"/>
    <w:rsid w:val="00322A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3">
    <w:name w:val="Date3"/>
    <w:basedOn w:val="DefaultParagraphFont"/>
    <w:rsid w:val="00B01F0C"/>
  </w:style>
  <w:style w:type="paragraph" w:customStyle="1" w:styleId="Normal3">
    <w:name w:val="Normal3"/>
    <w:basedOn w:val="Normal"/>
    <w:rsid w:val="006C4C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4">
    <w:name w:val="Date4"/>
    <w:basedOn w:val="DefaultParagraphFont"/>
    <w:rsid w:val="000B02E5"/>
  </w:style>
  <w:style w:type="paragraph" w:customStyle="1" w:styleId="Normal4">
    <w:name w:val="Normal4"/>
    <w:basedOn w:val="Normal"/>
    <w:rsid w:val="001321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5">
    <w:name w:val="Normal5"/>
    <w:basedOn w:val="Normal"/>
    <w:rsid w:val="009972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xemthem">
    <w:name w:val="text_xemthem"/>
    <w:basedOn w:val="DefaultParagraphFont"/>
    <w:rsid w:val="0099727F"/>
  </w:style>
  <w:style w:type="character" w:customStyle="1" w:styleId="Date50">
    <w:name w:val="Date5"/>
    <w:basedOn w:val="DefaultParagraphFont"/>
    <w:rsid w:val="003E0A05"/>
  </w:style>
  <w:style w:type="character" w:customStyle="1" w:styleId="Date6">
    <w:name w:val="Date6"/>
    <w:basedOn w:val="DefaultParagraphFont"/>
    <w:rsid w:val="00DA62B2"/>
  </w:style>
  <w:style w:type="character" w:customStyle="1" w:styleId="Date7">
    <w:name w:val="Date7"/>
    <w:basedOn w:val="DefaultParagraphFont"/>
    <w:rsid w:val="0004141F"/>
  </w:style>
  <w:style w:type="character" w:customStyle="1" w:styleId="Date8">
    <w:name w:val="Date8"/>
    <w:basedOn w:val="DefaultParagraphFont"/>
    <w:rsid w:val="00F870AD"/>
  </w:style>
  <w:style w:type="paragraph" w:customStyle="1" w:styleId="Normal6">
    <w:name w:val="Normal6"/>
    <w:basedOn w:val="Normal"/>
    <w:rsid w:val="006D7D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9">
    <w:name w:val="Date9"/>
    <w:basedOn w:val="DefaultParagraphFont"/>
    <w:rsid w:val="00F07A48"/>
  </w:style>
  <w:style w:type="character" w:customStyle="1" w:styleId="Date10">
    <w:name w:val="Date10"/>
    <w:basedOn w:val="DefaultParagraphFont"/>
    <w:rsid w:val="005D6971"/>
  </w:style>
  <w:style w:type="character" w:customStyle="1" w:styleId="Date11">
    <w:name w:val="Date11"/>
    <w:basedOn w:val="DefaultParagraphFont"/>
    <w:rsid w:val="003A5129"/>
  </w:style>
  <w:style w:type="character" w:customStyle="1" w:styleId="Date12">
    <w:name w:val="Date12"/>
    <w:basedOn w:val="DefaultParagraphFont"/>
    <w:rsid w:val="007F531C"/>
  </w:style>
  <w:style w:type="character" w:customStyle="1" w:styleId="Date13">
    <w:name w:val="Date13"/>
    <w:basedOn w:val="DefaultParagraphFont"/>
    <w:rsid w:val="0047102D"/>
  </w:style>
  <w:style w:type="character" w:customStyle="1" w:styleId="fmsidwidgetbtnlike">
    <w:name w:val="fmsidwidgetbtnlike"/>
    <w:basedOn w:val="DefaultParagraphFont"/>
    <w:rsid w:val="000833A7"/>
  </w:style>
  <w:style w:type="character" w:customStyle="1" w:styleId="num">
    <w:name w:val="num"/>
    <w:basedOn w:val="DefaultParagraphFont"/>
    <w:rsid w:val="000833A7"/>
  </w:style>
  <w:style w:type="character" w:customStyle="1" w:styleId="articledate">
    <w:name w:val="articledate"/>
    <w:basedOn w:val="DefaultParagraphFont"/>
    <w:rsid w:val="000833A7"/>
  </w:style>
  <w:style w:type="paragraph" w:customStyle="1" w:styleId="Normal7">
    <w:name w:val="Normal7"/>
    <w:basedOn w:val="Normal"/>
    <w:rsid w:val="002D41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age">
    <w:name w:val="image"/>
    <w:basedOn w:val="Normal"/>
    <w:rsid w:val="002D41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xttag">
    <w:name w:val="txt_tag"/>
    <w:basedOn w:val="DefaultParagraphFont"/>
    <w:rsid w:val="002D41E5"/>
  </w:style>
  <w:style w:type="character" w:customStyle="1" w:styleId="Date14">
    <w:name w:val="Date14"/>
    <w:basedOn w:val="DefaultParagraphFont"/>
    <w:rsid w:val="001E0DAB"/>
  </w:style>
  <w:style w:type="character" w:customStyle="1" w:styleId="chicklets">
    <w:name w:val="chicklets"/>
    <w:basedOn w:val="DefaultParagraphFont"/>
    <w:rsid w:val="00161CE8"/>
  </w:style>
  <w:style w:type="paragraph" w:customStyle="1" w:styleId="Normal8">
    <w:name w:val="Normal8"/>
    <w:basedOn w:val="Normal"/>
    <w:rsid w:val="005435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crboxheaderspan">
    <w:name w:val="trc_rbox_header_span"/>
    <w:basedOn w:val="DefaultParagraphFont"/>
    <w:rsid w:val="007106E9"/>
  </w:style>
  <w:style w:type="character" w:customStyle="1" w:styleId="video-label">
    <w:name w:val="video-label"/>
    <w:basedOn w:val="DefaultParagraphFont"/>
    <w:rsid w:val="007106E9"/>
  </w:style>
  <w:style w:type="character" w:customStyle="1" w:styleId="branding">
    <w:name w:val="branding"/>
    <w:basedOn w:val="DefaultParagraphFont"/>
    <w:rsid w:val="007106E9"/>
  </w:style>
  <w:style w:type="paragraph" w:customStyle="1" w:styleId="Normal9">
    <w:name w:val="Normal9"/>
    <w:basedOn w:val="Normal"/>
    <w:rsid w:val="007106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15">
    <w:name w:val="Date15"/>
    <w:basedOn w:val="DefaultParagraphFont"/>
    <w:rsid w:val="00C432ED"/>
  </w:style>
  <w:style w:type="character" w:customStyle="1" w:styleId="Date16">
    <w:name w:val="Date16"/>
    <w:basedOn w:val="DefaultParagraphFont"/>
    <w:rsid w:val="00DF044F"/>
  </w:style>
  <w:style w:type="character" w:customStyle="1" w:styleId="watch-title">
    <w:name w:val="watch-title"/>
    <w:basedOn w:val="DefaultParagraphFont"/>
    <w:rsid w:val="003F4B66"/>
    <w:rPr>
      <w:sz w:val="24"/>
      <w:szCs w:val="24"/>
      <w:bdr w:val="none" w:sz="0" w:space="0" w:color="auto" w:frame="1"/>
      <w:shd w:val="clear" w:color="auto" w:fill="auto"/>
    </w:rPr>
  </w:style>
  <w:style w:type="character" w:customStyle="1" w:styleId="Date17">
    <w:name w:val="Date17"/>
    <w:basedOn w:val="DefaultParagraphFont"/>
    <w:rsid w:val="00EB051A"/>
  </w:style>
  <w:style w:type="character" w:customStyle="1" w:styleId="Date18">
    <w:name w:val="Date18"/>
    <w:basedOn w:val="DefaultParagraphFont"/>
    <w:rsid w:val="00880CA4"/>
  </w:style>
  <w:style w:type="character" w:customStyle="1" w:styleId="Date19">
    <w:name w:val="Date19"/>
    <w:basedOn w:val="DefaultParagraphFont"/>
    <w:rsid w:val="00C328A0"/>
  </w:style>
  <w:style w:type="character" w:customStyle="1" w:styleId="Date20">
    <w:name w:val="Date20"/>
    <w:basedOn w:val="DefaultParagraphFont"/>
    <w:rsid w:val="0046628C"/>
  </w:style>
  <w:style w:type="character" w:customStyle="1" w:styleId="vnl-time-post">
    <w:name w:val="vnl-time-post"/>
    <w:basedOn w:val="DefaultParagraphFont"/>
    <w:rsid w:val="00F352CE"/>
  </w:style>
  <w:style w:type="paragraph" w:customStyle="1" w:styleId="Normal10">
    <w:name w:val="Normal10"/>
    <w:basedOn w:val="Normal"/>
    <w:rsid w:val="00BE34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21">
    <w:name w:val="Date21"/>
    <w:basedOn w:val="DefaultParagraphFont"/>
    <w:rsid w:val="00A36345"/>
  </w:style>
  <w:style w:type="paragraph" w:customStyle="1" w:styleId="t-c">
    <w:name w:val="t-c"/>
    <w:basedOn w:val="Normal"/>
    <w:rsid w:val="009905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
    <w:name w:val="italic"/>
    <w:basedOn w:val="DefaultParagraphFont"/>
    <w:rsid w:val="0099059E"/>
  </w:style>
  <w:style w:type="character" w:customStyle="1" w:styleId="Date22">
    <w:name w:val="Date22"/>
    <w:basedOn w:val="DefaultParagraphFont"/>
    <w:rsid w:val="0010165C"/>
  </w:style>
  <w:style w:type="character" w:customStyle="1" w:styleId="Date23">
    <w:name w:val="Date23"/>
    <w:basedOn w:val="DefaultParagraphFont"/>
    <w:rsid w:val="00277193"/>
  </w:style>
  <w:style w:type="character" w:customStyle="1" w:styleId="Date24">
    <w:name w:val="Date24"/>
    <w:basedOn w:val="DefaultParagraphFont"/>
    <w:rsid w:val="003F55E7"/>
  </w:style>
  <w:style w:type="character" w:customStyle="1" w:styleId="Date25">
    <w:name w:val="Date25"/>
    <w:basedOn w:val="DefaultParagraphFont"/>
    <w:rsid w:val="00502DCC"/>
  </w:style>
  <w:style w:type="character" w:customStyle="1" w:styleId="in-widget">
    <w:name w:val="in-widget"/>
    <w:basedOn w:val="DefaultParagraphFont"/>
    <w:rsid w:val="00502DCC"/>
  </w:style>
  <w:style w:type="character" w:customStyle="1" w:styleId="Date26">
    <w:name w:val="Date26"/>
    <w:basedOn w:val="DefaultParagraphFont"/>
    <w:rsid w:val="00B36A55"/>
  </w:style>
  <w:style w:type="character" w:styleId="CommentReference">
    <w:name w:val="annotation reference"/>
    <w:basedOn w:val="DefaultParagraphFont"/>
    <w:uiPriority w:val="99"/>
    <w:semiHidden/>
    <w:unhideWhenUsed/>
    <w:rsid w:val="00011053"/>
    <w:rPr>
      <w:sz w:val="16"/>
      <w:szCs w:val="16"/>
    </w:rPr>
  </w:style>
  <w:style w:type="paragraph" w:styleId="CommentText">
    <w:name w:val="annotation text"/>
    <w:basedOn w:val="Normal"/>
    <w:link w:val="CommentTextChar"/>
    <w:uiPriority w:val="99"/>
    <w:semiHidden/>
    <w:unhideWhenUsed/>
    <w:rsid w:val="00011053"/>
    <w:pPr>
      <w:spacing w:line="240" w:lineRule="auto"/>
    </w:pPr>
    <w:rPr>
      <w:sz w:val="20"/>
      <w:szCs w:val="20"/>
    </w:rPr>
  </w:style>
  <w:style w:type="character" w:customStyle="1" w:styleId="CommentTextChar">
    <w:name w:val="Comment Text Char"/>
    <w:basedOn w:val="DefaultParagraphFont"/>
    <w:link w:val="CommentText"/>
    <w:uiPriority w:val="99"/>
    <w:semiHidden/>
    <w:rsid w:val="00011053"/>
    <w:rPr>
      <w:sz w:val="20"/>
      <w:szCs w:val="20"/>
    </w:rPr>
  </w:style>
  <w:style w:type="paragraph" w:styleId="CommentSubject">
    <w:name w:val="annotation subject"/>
    <w:basedOn w:val="CommentText"/>
    <w:next w:val="CommentText"/>
    <w:link w:val="CommentSubjectChar"/>
    <w:uiPriority w:val="99"/>
    <w:semiHidden/>
    <w:unhideWhenUsed/>
    <w:rsid w:val="00011053"/>
    <w:rPr>
      <w:b/>
      <w:bCs/>
    </w:rPr>
  </w:style>
  <w:style w:type="character" w:customStyle="1" w:styleId="CommentSubjectChar">
    <w:name w:val="Comment Subject Char"/>
    <w:basedOn w:val="CommentTextChar"/>
    <w:link w:val="CommentSubject"/>
    <w:uiPriority w:val="99"/>
    <w:semiHidden/>
    <w:rsid w:val="00011053"/>
    <w:rPr>
      <w:b/>
      <w:bCs/>
      <w:sz w:val="20"/>
      <w:szCs w:val="20"/>
    </w:rPr>
  </w:style>
  <w:style w:type="character" w:customStyle="1" w:styleId="Date27">
    <w:name w:val="Date27"/>
    <w:basedOn w:val="DefaultParagraphFont"/>
    <w:rsid w:val="001F54ED"/>
  </w:style>
  <w:style w:type="character" w:customStyle="1" w:styleId="UnresolvedMention1">
    <w:name w:val="Unresolved Mention1"/>
    <w:basedOn w:val="DefaultParagraphFont"/>
    <w:uiPriority w:val="99"/>
    <w:semiHidden/>
    <w:unhideWhenUsed/>
    <w:rsid w:val="003E771F"/>
    <w:rPr>
      <w:color w:val="605E5C"/>
      <w:shd w:val="clear" w:color="auto" w:fill="E1DFDD"/>
    </w:rPr>
  </w:style>
  <w:style w:type="character" w:customStyle="1" w:styleId="Date28">
    <w:name w:val="Date28"/>
    <w:basedOn w:val="DefaultParagraphFont"/>
    <w:rsid w:val="00703889"/>
  </w:style>
  <w:style w:type="character" w:customStyle="1" w:styleId="Date29">
    <w:name w:val="Date29"/>
    <w:basedOn w:val="DefaultParagraphFont"/>
    <w:rsid w:val="00175536"/>
  </w:style>
  <w:style w:type="character" w:customStyle="1" w:styleId="Date30">
    <w:name w:val="Date30"/>
    <w:basedOn w:val="DefaultParagraphFont"/>
    <w:rsid w:val="00F70D93"/>
  </w:style>
  <w:style w:type="character" w:customStyle="1" w:styleId="leadpostdetail">
    <w:name w:val="lead_post_detail"/>
    <w:basedOn w:val="DefaultParagraphFont"/>
    <w:rsid w:val="000C0B66"/>
  </w:style>
  <w:style w:type="paragraph" w:customStyle="1" w:styleId="Normal11">
    <w:name w:val="Normal11"/>
    <w:basedOn w:val="Normal"/>
    <w:rsid w:val="000C0B6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drashshare">
    <w:name w:val="drash_share"/>
    <w:basedOn w:val="DefaultParagraphFont"/>
    <w:rsid w:val="009A0197"/>
  </w:style>
  <w:style w:type="paragraph" w:customStyle="1" w:styleId="Normal12">
    <w:name w:val="Normal12"/>
    <w:basedOn w:val="Normal"/>
    <w:rsid w:val="00340A1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Date31">
    <w:name w:val="Date31"/>
    <w:basedOn w:val="DefaultParagraphFont"/>
    <w:rsid w:val="004A4397"/>
  </w:style>
  <w:style w:type="character" w:customStyle="1" w:styleId="Date32">
    <w:name w:val="Date32"/>
    <w:basedOn w:val="DefaultParagraphFont"/>
    <w:rsid w:val="009E5F3C"/>
  </w:style>
  <w:style w:type="character" w:customStyle="1" w:styleId="UnresolvedMention2">
    <w:name w:val="Unresolved Mention2"/>
    <w:basedOn w:val="DefaultParagraphFont"/>
    <w:uiPriority w:val="99"/>
    <w:semiHidden/>
    <w:unhideWhenUsed/>
    <w:rsid w:val="00767F51"/>
    <w:rPr>
      <w:color w:val="605E5C"/>
      <w:shd w:val="clear" w:color="auto" w:fill="E1DFDD"/>
    </w:rPr>
  </w:style>
  <w:style w:type="paragraph" w:customStyle="1" w:styleId="Normal13">
    <w:name w:val="Normal13"/>
    <w:basedOn w:val="Normal"/>
    <w:rsid w:val="000330B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14">
    <w:name w:val="Normal14"/>
    <w:basedOn w:val="Normal"/>
    <w:rsid w:val="00DB64A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system-menu-list">
    <w:name w:val="system-menu-list"/>
    <w:basedOn w:val="Normal"/>
    <w:rsid w:val="00A5468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date-detail">
    <w:name w:val="date-detail"/>
    <w:basedOn w:val="DefaultParagraphFont"/>
    <w:rsid w:val="00341B88"/>
  </w:style>
  <w:style w:type="paragraph" w:customStyle="1" w:styleId="menu-item">
    <w:name w:val="menu-item"/>
    <w:basedOn w:val="Normal"/>
    <w:rsid w:val="007228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enu-alias">
    <w:name w:val="menu-alias"/>
    <w:basedOn w:val="Normal"/>
    <w:rsid w:val="00A42A3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article-info">
    <w:name w:val="article-info"/>
    <w:basedOn w:val="Normal"/>
    <w:rsid w:val="00A42A3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rticle-date">
    <w:name w:val="article-date"/>
    <w:basedOn w:val="DefaultParagraphFont"/>
    <w:rsid w:val="00A42A32"/>
  </w:style>
  <w:style w:type="paragraph" w:customStyle="1" w:styleId="Normal15">
    <w:name w:val="Normal15"/>
    <w:basedOn w:val="Normal"/>
    <w:rsid w:val="00917D1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rticle-detail-email">
    <w:name w:val="article-detail-email"/>
    <w:basedOn w:val="DefaultParagraphFont"/>
    <w:rsid w:val="00FC5367"/>
  </w:style>
  <w:style w:type="character" w:customStyle="1" w:styleId="article-detail-publish">
    <w:name w:val="article-detail-publish"/>
    <w:basedOn w:val="DefaultParagraphFont"/>
    <w:rsid w:val="00FC5367"/>
  </w:style>
  <w:style w:type="paragraph" w:customStyle="1" w:styleId="Normal16">
    <w:name w:val="Normal16"/>
    <w:basedOn w:val="Normal"/>
    <w:rsid w:val="009144D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17">
    <w:name w:val="Normal17"/>
    <w:basedOn w:val="Normal"/>
    <w:rsid w:val="00F457B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18">
    <w:name w:val="Normal18"/>
    <w:basedOn w:val="Normal"/>
    <w:rsid w:val="00164D3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video-label-box">
    <w:name w:val="video-label-box"/>
    <w:basedOn w:val="DefaultParagraphFont"/>
    <w:rsid w:val="00023081"/>
  </w:style>
  <w:style w:type="paragraph" w:customStyle="1" w:styleId="Normal19">
    <w:name w:val="Normal19"/>
    <w:basedOn w:val="Normal"/>
    <w:rsid w:val="0002308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0">
    <w:name w:val="Normal20"/>
    <w:basedOn w:val="Normal"/>
    <w:rsid w:val="00221D9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1">
    <w:name w:val="Normal21"/>
    <w:basedOn w:val="Normal"/>
    <w:rsid w:val="00C9269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2">
    <w:name w:val="Normal22"/>
    <w:basedOn w:val="Normal"/>
    <w:rsid w:val="003B4E2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3">
    <w:name w:val="Normal23"/>
    <w:basedOn w:val="Normal"/>
    <w:rsid w:val="00B43C4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4">
    <w:name w:val="Normal24"/>
    <w:basedOn w:val="Normal"/>
    <w:rsid w:val="001C468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UnresolvedMention3">
    <w:name w:val="Unresolved Mention3"/>
    <w:basedOn w:val="DefaultParagraphFont"/>
    <w:uiPriority w:val="99"/>
    <w:semiHidden/>
    <w:unhideWhenUsed/>
    <w:rsid w:val="00BD2901"/>
    <w:rPr>
      <w:color w:val="605E5C"/>
      <w:shd w:val="clear" w:color="auto" w:fill="E1DFDD"/>
    </w:rPr>
  </w:style>
  <w:style w:type="paragraph" w:customStyle="1" w:styleId="xxxxxydp29cd679fmsonormal">
    <w:name w:val="x_x_x_x_x_ydp29cd679fmsonormal"/>
    <w:basedOn w:val="Normal"/>
    <w:rsid w:val="00590A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5">
    <w:name w:val="Normal25"/>
    <w:basedOn w:val="Normal"/>
    <w:rsid w:val="00F75B7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m1934740836985495440contentpasted0">
    <w:name w:val="m_1934740836985495440contentpasted0"/>
    <w:basedOn w:val="DefaultParagraphFont"/>
    <w:rsid w:val="008833EB"/>
  </w:style>
  <w:style w:type="paragraph" w:customStyle="1" w:styleId="Normal26">
    <w:name w:val="Normal26"/>
    <w:basedOn w:val="Normal"/>
    <w:rsid w:val="00CD3B7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7">
    <w:name w:val="Normal27"/>
    <w:basedOn w:val="Normal"/>
    <w:rsid w:val="000768C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8">
    <w:name w:val="Normal28"/>
    <w:basedOn w:val="Normal"/>
    <w:rsid w:val="0014426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ydpadd877e6yiv1940681776ydp12860ccdmsonormal">
    <w:name w:val="x_ydpadd877e6yiv1940681776ydp12860ccdmsonormal"/>
    <w:basedOn w:val="Normal"/>
    <w:rsid w:val="00296A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semiHidden/>
    <w:rsid w:val="00A71C4B"/>
    <w:rPr>
      <w:rFonts w:asciiTheme="majorHAnsi" w:eastAsiaTheme="majorEastAsia" w:hAnsiTheme="majorHAnsi" w:cstheme="majorBidi"/>
      <w:color w:val="243F60" w:themeColor="accent1" w:themeShade="7F"/>
    </w:rPr>
  </w:style>
  <w:style w:type="paragraph" w:customStyle="1" w:styleId="Normal29">
    <w:name w:val="Normal29"/>
    <w:basedOn w:val="Normal"/>
    <w:rsid w:val="00E046A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0">
    <w:name w:val="Normal30"/>
    <w:basedOn w:val="Normal"/>
    <w:rsid w:val="00737D7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1">
    <w:name w:val="Normal31"/>
    <w:basedOn w:val="Normal"/>
    <w:rsid w:val="000868E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2">
    <w:name w:val="Normal32"/>
    <w:basedOn w:val="Normal"/>
    <w:rsid w:val="0046632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stt">
    <w:name w:val="stt"/>
    <w:basedOn w:val="DefaultParagraphFont"/>
    <w:rsid w:val="00397D14"/>
  </w:style>
  <w:style w:type="character" w:customStyle="1" w:styleId="txtnumcomment">
    <w:name w:val="txt_num_comment"/>
    <w:basedOn w:val="DefaultParagraphFont"/>
    <w:rsid w:val="00397D14"/>
  </w:style>
  <w:style w:type="paragraph" w:customStyle="1" w:styleId="bcx0">
    <w:name w:val="bcx0"/>
    <w:basedOn w:val="Normal"/>
    <w:rsid w:val="009079E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3">
    <w:name w:val="Normal33"/>
    <w:basedOn w:val="Normal"/>
    <w:rsid w:val="0016053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4">
    <w:name w:val="Normal34"/>
    <w:basedOn w:val="Normal"/>
    <w:rsid w:val="00CC06B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5">
    <w:name w:val="Normal35"/>
    <w:basedOn w:val="Normal"/>
    <w:rsid w:val="009E220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6">
    <w:name w:val="Normal36"/>
    <w:basedOn w:val="Normal"/>
    <w:rsid w:val="008349D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7">
    <w:name w:val="Normal37"/>
    <w:basedOn w:val="Normal"/>
    <w:rsid w:val="009F038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8">
    <w:name w:val="Normal38"/>
    <w:basedOn w:val="Normal"/>
    <w:rsid w:val="00F2649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9">
    <w:name w:val="Normal39"/>
    <w:basedOn w:val="Normal"/>
    <w:rsid w:val="00254B8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gem-c-lead-paragraph">
    <w:name w:val="gem-c-lead-paragraph"/>
    <w:basedOn w:val="Normal"/>
    <w:rsid w:val="005237B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msonormal">
    <w:name w:val="x_msonormal"/>
    <w:basedOn w:val="Normal"/>
    <w:rsid w:val="00D45D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40">
    <w:name w:val="Normal40"/>
    <w:basedOn w:val="Normal"/>
    <w:rsid w:val="00845E4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41">
    <w:name w:val="Normal41"/>
    <w:basedOn w:val="Normal"/>
    <w:rsid w:val="0078651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8136965847294978631ydp426c8df9msonormal">
    <w:name w:val="m_8136965847294978631ydp426c8df9msonormal"/>
    <w:basedOn w:val="Normal"/>
    <w:rsid w:val="00170E6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F72A2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author-top-content">
    <w:name w:val="detail-author-top-content"/>
    <w:basedOn w:val="Normal"/>
    <w:rsid w:val="00CA58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42">
    <w:name w:val="Normal42"/>
    <w:basedOn w:val="Normal"/>
    <w:rsid w:val="00964F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43">
    <w:name w:val="Normal43"/>
    <w:basedOn w:val="Normal"/>
    <w:rsid w:val="006551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
    <w:name w:val="s3"/>
    <w:basedOn w:val="Normal"/>
    <w:rsid w:val="00F3647B"/>
    <w:pPr>
      <w:spacing w:before="100" w:beforeAutospacing="1" w:after="100" w:afterAutospacing="1" w:line="240" w:lineRule="auto"/>
    </w:pPr>
    <w:rPr>
      <w:rFonts w:ascii="Aptos" w:eastAsia="Times New Roman" w:hAnsi="Aptos" w:cs="Aptos"/>
      <w:sz w:val="24"/>
      <w:szCs w:val="24"/>
    </w:rPr>
  </w:style>
  <w:style w:type="paragraph" w:customStyle="1" w:styleId="m-2818958692798318146elementtoproof">
    <w:name w:val="m_-2818958692798318146elementtoproof"/>
    <w:basedOn w:val="Normal"/>
    <w:rsid w:val="00EE71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justify">
    <w:name w:val="text-justify"/>
    <w:basedOn w:val="Normal"/>
    <w:rsid w:val="006D45C7"/>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C149E"/>
    <w:rPr>
      <w:color w:val="605E5C"/>
      <w:shd w:val="clear" w:color="auto" w:fill="E1DFDD"/>
    </w:rPr>
  </w:style>
  <w:style w:type="paragraph" w:customStyle="1" w:styleId="ACTBulletList2">
    <w:name w:val="ACT Bullet List 2"/>
    <w:aliases w:val="Bullet2"/>
    <w:basedOn w:val="Normal"/>
    <w:rsid w:val="00762ABA"/>
    <w:pPr>
      <w:numPr>
        <w:numId w:val="28"/>
      </w:numPr>
      <w:spacing w:after="120" w:line="240" w:lineRule="auto"/>
      <w:ind w:left="1080" w:hanging="720"/>
      <w:jc w:val="both"/>
    </w:pPr>
    <w:rPr>
      <w:rFonts w:ascii="Arial" w:eastAsia="Times New Roman" w:hAnsi="Arial" w:cs="Times New Roman"/>
      <w:szCs w:val="20"/>
      <w:lang w:val="en-GB"/>
    </w:rPr>
  </w:style>
  <w:style w:type="paragraph" w:customStyle="1" w:styleId="ACTListParagraphLevel1">
    <w:name w:val="ACT List Paragraph Level 1"/>
    <w:link w:val="ACTListParagraphLevel1Char"/>
    <w:rsid w:val="00762ABA"/>
    <w:pPr>
      <w:spacing w:after="120" w:line="240" w:lineRule="auto"/>
      <w:ind w:left="357"/>
      <w:jc w:val="both"/>
    </w:pPr>
    <w:rPr>
      <w:rFonts w:ascii="Arial" w:eastAsia="Times New Roman" w:hAnsi="Arial" w:cs="Times New Roman"/>
      <w:color w:val="000000" w:themeColor="text1"/>
      <w:szCs w:val="24"/>
    </w:rPr>
  </w:style>
  <w:style w:type="character" w:customStyle="1" w:styleId="ACTListParagraphLevel1Char">
    <w:name w:val="ACT List Paragraph Level 1 Char"/>
    <w:basedOn w:val="DefaultParagraphFont"/>
    <w:link w:val="ACTListParagraphLevel1"/>
    <w:rsid w:val="00762ABA"/>
    <w:rPr>
      <w:rFonts w:ascii="Arial" w:eastAsia="Times New Roman" w:hAnsi="Arial" w:cs="Times New Roman"/>
      <w:color w:val="000000" w:themeColor="text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165">
      <w:bodyDiv w:val="1"/>
      <w:marLeft w:val="0"/>
      <w:marRight w:val="0"/>
      <w:marTop w:val="0"/>
      <w:marBottom w:val="0"/>
      <w:divBdr>
        <w:top w:val="none" w:sz="0" w:space="0" w:color="auto"/>
        <w:left w:val="none" w:sz="0" w:space="0" w:color="auto"/>
        <w:bottom w:val="none" w:sz="0" w:space="0" w:color="auto"/>
        <w:right w:val="none" w:sz="0" w:space="0" w:color="auto"/>
      </w:divBdr>
      <w:divsChild>
        <w:div w:id="2086418816">
          <w:marLeft w:val="0"/>
          <w:marRight w:val="0"/>
          <w:marTop w:val="0"/>
          <w:marBottom w:val="0"/>
          <w:divBdr>
            <w:top w:val="none" w:sz="0" w:space="0" w:color="auto"/>
            <w:left w:val="none" w:sz="0" w:space="0" w:color="auto"/>
            <w:bottom w:val="none" w:sz="0" w:space="0" w:color="auto"/>
            <w:right w:val="none" w:sz="0" w:space="0" w:color="auto"/>
          </w:divBdr>
        </w:div>
      </w:divsChild>
    </w:div>
    <w:div w:id="398947">
      <w:bodyDiv w:val="1"/>
      <w:marLeft w:val="0"/>
      <w:marRight w:val="0"/>
      <w:marTop w:val="0"/>
      <w:marBottom w:val="0"/>
      <w:divBdr>
        <w:top w:val="none" w:sz="0" w:space="0" w:color="auto"/>
        <w:left w:val="none" w:sz="0" w:space="0" w:color="auto"/>
        <w:bottom w:val="none" w:sz="0" w:space="0" w:color="auto"/>
        <w:right w:val="none" w:sz="0" w:space="0" w:color="auto"/>
      </w:divBdr>
      <w:divsChild>
        <w:div w:id="1735394698">
          <w:marLeft w:val="0"/>
          <w:marRight w:val="0"/>
          <w:marTop w:val="0"/>
          <w:marBottom w:val="0"/>
          <w:divBdr>
            <w:top w:val="none" w:sz="0" w:space="0" w:color="auto"/>
            <w:left w:val="none" w:sz="0" w:space="0" w:color="auto"/>
            <w:bottom w:val="dotted" w:sz="6" w:space="4" w:color="DDDDDD"/>
            <w:right w:val="none" w:sz="0" w:space="0" w:color="auto"/>
          </w:divBdr>
          <w:divsChild>
            <w:div w:id="87585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491">
      <w:bodyDiv w:val="1"/>
      <w:marLeft w:val="0"/>
      <w:marRight w:val="0"/>
      <w:marTop w:val="0"/>
      <w:marBottom w:val="0"/>
      <w:divBdr>
        <w:top w:val="none" w:sz="0" w:space="0" w:color="auto"/>
        <w:left w:val="none" w:sz="0" w:space="0" w:color="auto"/>
        <w:bottom w:val="none" w:sz="0" w:space="0" w:color="auto"/>
        <w:right w:val="none" w:sz="0" w:space="0" w:color="auto"/>
      </w:divBdr>
      <w:divsChild>
        <w:div w:id="183983591">
          <w:marLeft w:val="0"/>
          <w:marRight w:val="0"/>
          <w:marTop w:val="0"/>
          <w:marBottom w:val="0"/>
          <w:divBdr>
            <w:top w:val="none" w:sz="0" w:space="0" w:color="auto"/>
            <w:left w:val="none" w:sz="0" w:space="0" w:color="auto"/>
            <w:bottom w:val="dotted" w:sz="6" w:space="4" w:color="DDDDDD"/>
            <w:right w:val="none" w:sz="0" w:space="0" w:color="auto"/>
          </w:divBdr>
          <w:divsChild>
            <w:div w:id="193451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783">
      <w:bodyDiv w:val="1"/>
      <w:marLeft w:val="0"/>
      <w:marRight w:val="0"/>
      <w:marTop w:val="0"/>
      <w:marBottom w:val="0"/>
      <w:divBdr>
        <w:top w:val="none" w:sz="0" w:space="0" w:color="auto"/>
        <w:left w:val="none" w:sz="0" w:space="0" w:color="auto"/>
        <w:bottom w:val="none" w:sz="0" w:space="0" w:color="auto"/>
        <w:right w:val="none" w:sz="0" w:space="0" w:color="auto"/>
      </w:divBdr>
      <w:divsChild>
        <w:div w:id="1458793259">
          <w:marLeft w:val="0"/>
          <w:marRight w:val="0"/>
          <w:marTop w:val="0"/>
          <w:marBottom w:val="0"/>
          <w:divBdr>
            <w:top w:val="none" w:sz="0" w:space="0" w:color="auto"/>
            <w:left w:val="none" w:sz="0" w:space="0" w:color="auto"/>
            <w:bottom w:val="none" w:sz="0" w:space="0" w:color="auto"/>
            <w:right w:val="none" w:sz="0" w:space="0" w:color="auto"/>
          </w:divBdr>
          <w:divsChild>
            <w:div w:id="817767047">
              <w:marLeft w:val="0"/>
              <w:marRight w:val="0"/>
              <w:marTop w:val="0"/>
              <w:marBottom w:val="150"/>
              <w:divBdr>
                <w:top w:val="none" w:sz="0" w:space="0" w:color="auto"/>
                <w:left w:val="none" w:sz="0" w:space="0" w:color="auto"/>
                <w:bottom w:val="none" w:sz="0" w:space="0" w:color="auto"/>
                <w:right w:val="none" w:sz="0" w:space="0" w:color="auto"/>
              </w:divBdr>
            </w:div>
            <w:div w:id="1552957827">
              <w:marLeft w:val="0"/>
              <w:marRight w:val="0"/>
              <w:marTop w:val="0"/>
              <w:marBottom w:val="0"/>
              <w:divBdr>
                <w:top w:val="none" w:sz="0" w:space="0" w:color="auto"/>
                <w:left w:val="none" w:sz="0" w:space="0" w:color="auto"/>
                <w:bottom w:val="none" w:sz="0" w:space="0" w:color="auto"/>
                <w:right w:val="none" w:sz="0" w:space="0" w:color="auto"/>
              </w:divBdr>
            </w:div>
          </w:divsChild>
        </w:div>
        <w:div w:id="1993947491">
          <w:marLeft w:val="0"/>
          <w:marRight w:val="0"/>
          <w:marTop w:val="0"/>
          <w:marBottom w:val="150"/>
          <w:divBdr>
            <w:top w:val="none" w:sz="0" w:space="0" w:color="auto"/>
            <w:left w:val="none" w:sz="0" w:space="0" w:color="auto"/>
            <w:bottom w:val="none" w:sz="0" w:space="0" w:color="auto"/>
            <w:right w:val="none" w:sz="0" w:space="0" w:color="auto"/>
          </w:divBdr>
          <w:divsChild>
            <w:div w:id="159778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550">
      <w:bodyDiv w:val="1"/>
      <w:marLeft w:val="0"/>
      <w:marRight w:val="0"/>
      <w:marTop w:val="0"/>
      <w:marBottom w:val="0"/>
      <w:divBdr>
        <w:top w:val="none" w:sz="0" w:space="0" w:color="auto"/>
        <w:left w:val="none" w:sz="0" w:space="0" w:color="auto"/>
        <w:bottom w:val="none" w:sz="0" w:space="0" w:color="auto"/>
        <w:right w:val="none" w:sz="0" w:space="0" w:color="auto"/>
      </w:divBdr>
    </w:div>
    <w:div w:id="1246733">
      <w:bodyDiv w:val="1"/>
      <w:marLeft w:val="0"/>
      <w:marRight w:val="0"/>
      <w:marTop w:val="0"/>
      <w:marBottom w:val="0"/>
      <w:divBdr>
        <w:top w:val="none" w:sz="0" w:space="0" w:color="auto"/>
        <w:left w:val="none" w:sz="0" w:space="0" w:color="auto"/>
        <w:bottom w:val="none" w:sz="0" w:space="0" w:color="auto"/>
        <w:right w:val="none" w:sz="0" w:space="0" w:color="auto"/>
      </w:divBdr>
    </w:div>
    <w:div w:id="1397745">
      <w:bodyDiv w:val="1"/>
      <w:marLeft w:val="0"/>
      <w:marRight w:val="0"/>
      <w:marTop w:val="0"/>
      <w:marBottom w:val="0"/>
      <w:divBdr>
        <w:top w:val="none" w:sz="0" w:space="0" w:color="auto"/>
        <w:left w:val="none" w:sz="0" w:space="0" w:color="auto"/>
        <w:bottom w:val="none" w:sz="0" w:space="0" w:color="auto"/>
        <w:right w:val="none" w:sz="0" w:space="0" w:color="auto"/>
      </w:divBdr>
      <w:divsChild>
        <w:div w:id="644355340">
          <w:marLeft w:val="0"/>
          <w:marRight w:val="0"/>
          <w:marTop w:val="0"/>
          <w:marBottom w:val="0"/>
          <w:divBdr>
            <w:top w:val="none" w:sz="0" w:space="0" w:color="auto"/>
            <w:left w:val="none" w:sz="0" w:space="0" w:color="auto"/>
            <w:bottom w:val="dotted" w:sz="6" w:space="4" w:color="DDDDDD"/>
            <w:right w:val="none" w:sz="0" w:space="0" w:color="auto"/>
          </w:divBdr>
          <w:divsChild>
            <w:div w:id="21674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929">
      <w:bodyDiv w:val="1"/>
      <w:marLeft w:val="0"/>
      <w:marRight w:val="0"/>
      <w:marTop w:val="439"/>
      <w:marBottom w:val="0"/>
      <w:divBdr>
        <w:top w:val="none" w:sz="0" w:space="0" w:color="auto"/>
        <w:left w:val="none" w:sz="0" w:space="0" w:color="auto"/>
        <w:bottom w:val="none" w:sz="0" w:space="0" w:color="auto"/>
        <w:right w:val="none" w:sz="0" w:space="0" w:color="auto"/>
      </w:divBdr>
      <w:divsChild>
        <w:div w:id="265701204">
          <w:marLeft w:val="0"/>
          <w:marRight w:val="0"/>
          <w:marTop w:val="0"/>
          <w:marBottom w:val="0"/>
          <w:divBdr>
            <w:top w:val="none" w:sz="0" w:space="0" w:color="auto"/>
            <w:left w:val="single" w:sz="6" w:space="0" w:color="ECECEC"/>
            <w:bottom w:val="none" w:sz="0" w:space="0" w:color="auto"/>
            <w:right w:val="single" w:sz="6" w:space="0" w:color="ECECEC"/>
          </w:divBdr>
          <w:divsChild>
            <w:div w:id="1246499655">
              <w:marLeft w:val="0"/>
              <w:marRight w:val="0"/>
              <w:marTop w:val="0"/>
              <w:marBottom w:val="0"/>
              <w:divBdr>
                <w:top w:val="none" w:sz="0" w:space="0" w:color="auto"/>
                <w:left w:val="none" w:sz="0" w:space="0" w:color="auto"/>
                <w:bottom w:val="none" w:sz="0" w:space="0" w:color="auto"/>
                <w:right w:val="none" w:sz="0" w:space="0" w:color="auto"/>
              </w:divBdr>
              <w:divsChild>
                <w:div w:id="316495369">
                  <w:marLeft w:val="0"/>
                  <w:marRight w:val="0"/>
                  <w:marTop w:val="0"/>
                  <w:marBottom w:val="0"/>
                  <w:divBdr>
                    <w:top w:val="none" w:sz="0" w:space="0" w:color="auto"/>
                    <w:left w:val="none" w:sz="0" w:space="0" w:color="auto"/>
                    <w:bottom w:val="none" w:sz="0" w:space="0" w:color="auto"/>
                    <w:right w:val="none" w:sz="0" w:space="0" w:color="auto"/>
                  </w:divBdr>
                  <w:divsChild>
                    <w:div w:id="615605552">
                      <w:marLeft w:val="0"/>
                      <w:marRight w:val="0"/>
                      <w:marTop w:val="0"/>
                      <w:marBottom w:val="0"/>
                      <w:divBdr>
                        <w:top w:val="none" w:sz="0" w:space="0" w:color="auto"/>
                        <w:left w:val="none" w:sz="0" w:space="0" w:color="auto"/>
                        <w:bottom w:val="none" w:sz="0" w:space="0" w:color="auto"/>
                        <w:right w:val="none" w:sz="0" w:space="0" w:color="auto"/>
                      </w:divBdr>
                      <w:divsChild>
                        <w:div w:id="546256967">
                          <w:marLeft w:val="0"/>
                          <w:marRight w:val="0"/>
                          <w:marTop w:val="0"/>
                          <w:marBottom w:val="0"/>
                          <w:divBdr>
                            <w:top w:val="none" w:sz="0" w:space="0" w:color="auto"/>
                            <w:left w:val="none" w:sz="0" w:space="0" w:color="auto"/>
                            <w:bottom w:val="none" w:sz="0" w:space="0" w:color="auto"/>
                            <w:right w:val="none" w:sz="0" w:space="0" w:color="auto"/>
                          </w:divBdr>
                          <w:divsChild>
                            <w:div w:id="132453705">
                              <w:marLeft w:val="0"/>
                              <w:marRight w:val="0"/>
                              <w:marTop w:val="0"/>
                              <w:marBottom w:val="0"/>
                              <w:divBdr>
                                <w:top w:val="none" w:sz="0" w:space="0" w:color="auto"/>
                                <w:left w:val="none" w:sz="0" w:space="0" w:color="auto"/>
                                <w:bottom w:val="none" w:sz="0" w:space="0" w:color="auto"/>
                                <w:right w:val="none" w:sz="0" w:space="0" w:color="auto"/>
                              </w:divBdr>
                              <w:divsChild>
                                <w:div w:id="61251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1750">
      <w:bodyDiv w:val="1"/>
      <w:marLeft w:val="0"/>
      <w:marRight w:val="0"/>
      <w:marTop w:val="0"/>
      <w:marBottom w:val="0"/>
      <w:divBdr>
        <w:top w:val="none" w:sz="0" w:space="0" w:color="auto"/>
        <w:left w:val="none" w:sz="0" w:space="0" w:color="auto"/>
        <w:bottom w:val="none" w:sz="0" w:space="0" w:color="auto"/>
        <w:right w:val="none" w:sz="0" w:space="0" w:color="auto"/>
      </w:divBdr>
      <w:divsChild>
        <w:div w:id="57630538">
          <w:marLeft w:val="0"/>
          <w:marRight w:val="0"/>
          <w:marTop w:val="0"/>
          <w:marBottom w:val="150"/>
          <w:divBdr>
            <w:top w:val="none" w:sz="0" w:space="0" w:color="auto"/>
            <w:left w:val="none" w:sz="0" w:space="0" w:color="auto"/>
            <w:bottom w:val="none" w:sz="0" w:space="0" w:color="auto"/>
            <w:right w:val="none" w:sz="0" w:space="0" w:color="auto"/>
          </w:divBdr>
        </w:div>
        <w:div w:id="971012058">
          <w:marLeft w:val="0"/>
          <w:marRight w:val="0"/>
          <w:marTop w:val="0"/>
          <w:marBottom w:val="0"/>
          <w:divBdr>
            <w:top w:val="none" w:sz="0" w:space="0" w:color="auto"/>
            <w:left w:val="none" w:sz="0" w:space="0" w:color="auto"/>
            <w:bottom w:val="none" w:sz="0" w:space="0" w:color="auto"/>
            <w:right w:val="none" w:sz="0" w:space="0" w:color="auto"/>
          </w:divBdr>
        </w:div>
      </w:divsChild>
    </w:div>
    <w:div w:id="1588322">
      <w:bodyDiv w:val="1"/>
      <w:marLeft w:val="0"/>
      <w:marRight w:val="0"/>
      <w:marTop w:val="0"/>
      <w:marBottom w:val="0"/>
      <w:divBdr>
        <w:top w:val="none" w:sz="0" w:space="0" w:color="auto"/>
        <w:left w:val="none" w:sz="0" w:space="0" w:color="auto"/>
        <w:bottom w:val="none" w:sz="0" w:space="0" w:color="auto"/>
        <w:right w:val="none" w:sz="0" w:space="0" w:color="auto"/>
      </w:divBdr>
      <w:divsChild>
        <w:div w:id="995574051">
          <w:marLeft w:val="0"/>
          <w:marRight w:val="0"/>
          <w:marTop w:val="0"/>
          <w:marBottom w:val="0"/>
          <w:divBdr>
            <w:top w:val="none" w:sz="0" w:space="0" w:color="auto"/>
            <w:left w:val="none" w:sz="0" w:space="0" w:color="auto"/>
            <w:bottom w:val="dotted" w:sz="6" w:space="4" w:color="DDDDDD"/>
            <w:right w:val="none" w:sz="0" w:space="0" w:color="auto"/>
          </w:divBdr>
        </w:div>
      </w:divsChild>
    </w:div>
    <w:div w:id="2704901">
      <w:bodyDiv w:val="1"/>
      <w:marLeft w:val="0"/>
      <w:marRight w:val="0"/>
      <w:marTop w:val="0"/>
      <w:marBottom w:val="0"/>
      <w:divBdr>
        <w:top w:val="none" w:sz="0" w:space="0" w:color="auto"/>
        <w:left w:val="none" w:sz="0" w:space="0" w:color="auto"/>
        <w:bottom w:val="none" w:sz="0" w:space="0" w:color="auto"/>
        <w:right w:val="none" w:sz="0" w:space="0" w:color="auto"/>
      </w:divBdr>
    </w:div>
    <w:div w:id="3015372">
      <w:bodyDiv w:val="1"/>
      <w:marLeft w:val="0"/>
      <w:marRight w:val="0"/>
      <w:marTop w:val="0"/>
      <w:marBottom w:val="0"/>
      <w:divBdr>
        <w:top w:val="none" w:sz="0" w:space="0" w:color="auto"/>
        <w:left w:val="none" w:sz="0" w:space="0" w:color="auto"/>
        <w:bottom w:val="none" w:sz="0" w:space="0" w:color="auto"/>
        <w:right w:val="none" w:sz="0" w:space="0" w:color="auto"/>
      </w:divBdr>
      <w:divsChild>
        <w:div w:id="738942729">
          <w:marLeft w:val="0"/>
          <w:marRight w:val="0"/>
          <w:marTop w:val="0"/>
          <w:marBottom w:val="0"/>
          <w:divBdr>
            <w:top w:val="none" w:sz="0" w:space="0" w:color="auto"/>
            <w:left w:val="none" w:sz="0" w:space="0" w:color="auto"/>
            <w:bottom w:val="none" w:sz="0" w:space="0" w:color="auto"/>
            <w:right w:val="none" w:sz="0" w:space="0" w:color="auto"/>
          </w:divBdr>
          <w:divsChild>
            <w:div w:id="3005051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47893">
      <w:bodyDiv w:val="1"/>
      <w:marLeft w:val="0"/>
      <w:marRight w:val="0"/>
      <w:marTop w:val="0"/>
      <w:marBottom w:val="0"/>
      <w:divBdr>
        <w:top w:val="none" w:sz="0" w:space="0" w:color="auto"/>
        <w:left w:val="none" w:sz="0" w:space="0" w:color="auto"/>
        <w:bottom w:val="none" w:sz="0" w:space="0" w:color="auto"/>
        <w:right w:val="none" w:sz="0" w:space="0" w:color="auto"/>
      </w:divBdr>
    </w:div>
    <w:div w:id="4092098">
      <w:bodyDiv w:val="1"/>
      <w:marLeft w:val="0"/>
      <w:marRight w:val="0"/>
      <w:marTop w:val="0"/>
      <w:marBottom w:val="0"/>
      <w:divBdr>
        <w:top w:val="none" w:sz="0" w:space="0" w:color="auto"/>
        <w:left w:val="none" w:sz="0" w:space="0" w:color="auto"/>
        <w:bottom w:val="none" w:sz="0" w:space="0" w:color="auto"/>
        <w:right w:val="none" w:sz="0" w:space="0" w:color="auto"/>
      </w:divBdr>
      <w:divsChild>
        <w:div w:id="1357582651">
          <w:marLeft w:val="0"/>
          <w:marRight w:val="0"/>
          <w:marTop w:val="0"/>
          <w:marBottom w:val="0"/>
          <w:divBdr>
            <w:top w:val="none" w:sz="0" w:space="0" w:color="auto"/>
            <w:left w:val="none" w:sz="0" w:space="0" w:color="auto"/>
            <w:bottom w:val="none" w:sz="0" w:space="0" w:color="auto"/>
            <w:right w:val="none" w:sz="0" w:space="0" w:color="auto"/>
          </w:divBdr>
          <w:divsChild>
            <w:div w:id="164172713">
              <w:marLeft w:val="0"/>
              <w:marRight w:val="0"/>
              <w:marTop w:val="0"/>
              <w:marBottom w:val="0"/>
              <w:divBdr>
                <w:top w:val="none" w:sz="0" w:space="0" w:color="auto"/>
                <w:left w:val="none" w:sz="0" w:space="0" w:color="auto"/>
                <w:bottom w:val="none" w:sz="0" w:space="0" w:color="auto"/>
                <w:right w:val="none" w:sz="0" w:space="0" w:color="auto"/>
              </w:divBdr>
              <w:divsChild>
                <w:div w:id="1140416616">
                  <w:marLeft w:val="0"/>
                  <w:marRight w:val="0"/>
                  <w:marTop w:val="0"/>
                  <w:marBottom w:val="0"/>
                  <w:divBdr>
                    <w:top w:val="none" w:sz="0" w:space="0" w:color="auto"/>
                    <w:left w:val="none" w:sz="0" w:space="0" w:color="auto"/>
                    <w:bottom w:val="none" w:sz="0" w:space="0" w:color="auto"/>
                    <w:right w:val="none" w:sz="0" w:space="0" w:color="auto"/>
                  </w:divBdr>
                  <w:divsChild>
                    <w:div w:id="1045443342">
                      <w:marLeft w:val="0"/>
                      <w:marRight w:val="0"/>
                      <w:marTop w:val="0"/>
                      <w:marBottom w:val="0"/>
                      <w:divBdr>
                        <w:top w:val="none" w:sz="0" w:space="0" w:color="auto"/>
                        <w:left w:val="none" w:sz="0" w:space="0" w:color="auto"/>
                        <w:bottom w:val="none" w:sz="0" w:space="0" w:color="auto"/>
                        <w:right w:val="none" w:sz="0" w:space="0" w:color="auto"/>
                      </w:divBdr>
                      <w:divsChild>
                        <w:div w:id="335159580">
                          <w:marLeft w:val="0"/>
                          <w:marRight w:val="0"/>
                          <w:marTop w:val="0"/>
                          <w:marBottom w:val="0"/>
                          <w:divBdr>
                            <w:top w:val="none" w:sz="0" w:space="0" w:color="auto"/>
                            <w:left w:val="none" w:sz="0" w:space="0" w:color="auto"/>
                            <w:bottom w:val="none" w:sz="0" w:space="0" w:color="auto"/>
                            <w:right w:val="none" w:sz="0" w:space="0" w:color="auto"/>
                          </w:divBdr>
                          <w:divsChild>
                            <w:div w:id="1541167541">
                              <w:marLeft w:val="0"/>
                              <w:marRight w:val="0"/>
                              <w:marTop w:val="0"/>
                              <w:marBottom w:val="0"/>
                              <w:divBdr>
                                <w:top w:val="none" w:sz="0" w:space="0" w:color="auto"/>
                                <w:left w:val="none" w:sz="0" w:space="0" w:color="auto"/>
                                <w:bottom w:val="none" w:sz="0" w:space="0" w:color="auto"/>
                                <w:right w:val="none" w:sz="0" w:space="0" w:color="auto"/>
                              </w:divBdr>
                              <w:divsChild>
                                <w:div w:id="1589577224">
                                  <w:marLeft w:val="0"/>
                                  <w:marRight w:val="0"/>
                                  <w:marTop w:val="0"/>
                                  <w:marBottom w:val="0"/>
                                  <w:divBdr>
                                    <w:top w:val="none" w:sz="0" w:space="0" w:color="auto"/>
                                    <w:left w:val="none" w:sz="0" w:space="0" w:color="auto"/>
                                    <w:bottom w:val="none" w:sz="0" w:space="0" w:color="auto"/>
                                    <w:right w:val="none" w:sz="0" w:space="0" w:color="auto"/>
                                  </w:divBdr>
                                  <w:divsChild>
                                    <w:div w:id="3327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33866">
      <w:bodyDiv w:val="1"/>
      <w:marLeft w:val="0"/>
      <w:marRight w:val="0"/>
      <w:marTop w:val="0"/>
      <w:marBottom w:val="0"/>
      <w:divBdr>
        <w:top w:val="none" w:sz="0" w:space="0" w:color="auto"/>
        <w:left w:val="none" w:sz="0" w:space="0" w:color="auto"/>
        <w:bottom w:val="none" w:sz="0" w:space="0" w:color="auto"/>
        <w:right w:val="none" w:sz="0" w:space="0" w:color="auto"/>
      </w:divBdr>
    </w:div>
    <w:div w:id="4400795">
      <w:bodyDiv w:val="1"/>
      <w:marLeft w:val="0"/>
      <w:marRight w:val="0"/>
      <w:marTop w:val="0"/>
      <w:marBottom w:val="0"/>
      <w:divBdr>
        <w:top w:val="none" w:sz="0" w:space="0" w:color="auto"/>
        <w:left w:val="none" w:sz="0" w:space="0" w:color="auto"/>
        <w:bottom w:val="none" w:sz="0" w:space="0" w:color="auto"/>
        <w:right w:val="none" w:sz="0" w:space="0" w:color="auto"/>
      </w:divBdr>
      <w:divsChild>
        <w:div w:id="1231624310">
          <w:marLeft w:val="0"/>
          <w:marRight w:val="0"/>
          <w:marTop w:val="0"/>
          <w:marBottom w:val="0"/>
          <w:divBdr>
            <w:top w:val="none" w:sz="0" w:space="0" w:color="auto"/>
            <w:left w:val="none" w:sz="0" w:space="0" w:color="auto"/>
            <w:bottom w:val="dotted" w:sz="6" w:space="4" w:color="DDDDDD"/>
            <w:right w:val="none" w:sz="0" w:space="0" w:color="auto"/>
          </w:divBdr>
          <w:divsChild>
            <w:div w:id="101360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3716">
      <w:bodyDiv w:val="1"/>
      <w:marLeft w:val="0"/>
      <w:marRight w:val="0"/>
      <w:marTop w:val="0"/>
      <w:marBottom w:val="0"/>
      <w:divBdr>
        <w:top w:val="none" w:sz="0" w:space="0" w:color="auto"/>
        <w:left w:val="none" w:sz="0" w:space="0" w:color="auto"/>
        <w:bottom w:val="none" w:sz="0" w:space="0" w:color="auto"/>
        <w:right w:val="none" w:sz="0" w:space="0" w:color="auto"/>
      </w:divBdr>
      <w:divsChild>
        <w:div w:id="337852497">
          <w:marLeft w:val="0"/>
          <w:marRight w:val="0"/>
          <w:marTop w:val="0"/>
          <w:marBottom w:val="150"/>
          <w:divBdr>
            <w:top w:val="none" w:sz="0" w:space="0" w:color="auto"/>
            <w:left w:val="none" w:sz="0" w:space="0" w:color="auto"/>
            <w:bottom w:val="none" w:sz="0" w:space="0" w:color="auto"/>
            <w:right w:val="none" w:sz="0" w:space="0" w:color="auto"/>
          </w:divBdr>
        </w:div>
        <w:div w:id="491222659">
          <w:marLeft w:val="0"/>
          <w:marRight w:val="0"/>
          <w:marTop w:val="0"/>
          <w:marBottom w:val="150"/>
          <w:divBdr>
            <w:top w:val="none" w:sz="0" w:space="0" w:color="auto"/>
            <w:left w:val="none" w:sz="0" w:space="0" w:color="auto"/>
            <w:bottom w:val="none" w:sz="0" w:space="0" w:color="auto"/>
            <w:right w:val="none" w:sz="0" w:space="0" w:color="auto"/>
          </w:divBdr>
        </w:div>
        <w:div w:id="884759105">
          <w:marLeft w:val="0"/>
          <w:marRight w:val="0"/>
          <w:marTop w:val="0"/>
          <w:marBottom w:val="150"/>
          <w:divBdr>
            <w:top w:val="none" w:sz="0" w:space="0" w:color="auto"/>
            <w:left w:val="none" w:sz="0" w:space="0" w:color="auto"/>
            <w:bottom w:val="none" w:sz="0" w:space="0" w:color="auto"/>
            <w:right w:val="none" w:sz="0" w:space="0" w:color="auto"/>
          </w:divBdr>
        </w:div>
        <w:div w:id="1987346168">
          <w:marLeft w:val="0"/>
          <w:marRight w:val="0"/>
          <w:marTop w:val="0"/>
          <w:marBottom w:val="150"/>
          <w:divBdr>
            <w:top w:val="none" w:sz="0" w:space="0" w:color="auto"/>
            <w:left w:val="none" w:sz="0" w:space="0" w:color="auto"/>
            <w:bottom w:val="none" w:sz="0" w:space="0" w:color="auto"/>
            <w:right w:val="none" w:sz="0" w:space="0" w:color="auto"/>
          </w:divBdr>
        </w:div>
      </w:divsChild>
    </w:div>
    <w:div w:id="4938957">
      <w:bodyDiv w:val="1"/>
      <w:marLeft w:val="0"/>
      <w:marRight w:val="0"/>
      <w:marTop w:val="0"/>
      <w:marBottom w:val="0"/>
      <w:divBdr>
        <w:top w:val="none" w:sz="0" w:space="0" w:color="auto"/>
        <w:left w:val="none" w:sz="0" w:space="0" w:color="auto"/>
        <w:bottom w:val="none" w:sz="0" w:space="0" w:color="auto"/>
        <w:right w:val="none" w:sz="0" w:space="0" w:color="auto"/>
      </w:divBdr>
    </w:div>
    <w:div w:id="5140704">
      <w:bodyDiv w:val="1"/>
      <w:marLeft w:val="0"/>
      <w:marRight w:val="0"/>
      <w:marTop w:val="0"/>
      <w:marBottom w:val="0"/>
      <w:divBdr>
        <w:top w:val="none" w:sz="0" w:space="0" w:color="auto"/>
        <w:left w:val="none" w:sz="0" w:space="0" w:color="auto"/>
        <w:bottom w:val="none" w:sz="0" w:space="0" w:color="auto"/>
        <w:right w:val="none" w:sz="0" w:space="0" w:color="auto"/>
      </w:divBdr>
      <w:divsChild>
        <w:div w:id="483930215">
          <w:marLeft w:val="0"/>
          <w:marRight w:val="0"/>
          <w:marTop w:val="0"/>
          <w:marBottom w:val="150"/>
          <w:divBdr>
            <w:top w:val="none" w:sz="0" w:space="0" w:color="auto"/>
            <w:left w:val="none" w:sz="0" w:space="0" w:color="auto"/>
            <w:bottom w:val="none" w:sz="0" w:space="0" w:color="auto"/>
            <w:right w:val="none" w:sz="0" w:space="0" w:color="auto"/>
          </w:divBdr>
        </w:div>
      </w:divsChild>
    </w:div>
    <w:div w:id="5712189">
      <w:bodyDiv w:val="1"/>
      <w:marLeft w:val="0"/>
      <w:marRight w:val="0"/>
      <w:marTop w:val="0"/>
      <w:marBottom w:val="0"/>
      <w:divBdr>
        <w:top w:val="none" w:sz="0" w:space="0" w:color="auto"/>
        <w:left w:val="none" w:sz="0" w:space="0" w:color="auto"/>
        <w:bottom w:val="none" w:sz="0" w:space="0" w:color="auto"/>
        <w:right w:val="none" w:sz="0" w:space="0" w:color="auto"/>
      </w:divBdr>
      <w:divsChild>
        <w:div w:id="1605847882">
          <w:marLeft w:val="0"/>
          <w:marRight w:val="0"/>
          <w:marTop w:val="0"/>
          <w:marBottom w:val="150"/>
          <w:divBdr>
            <w:top w:val="none" w:sz="0" w:space="0" w:color="auto"/>
            <w:left w:val="none" w:sz="0" w:space="0" w:color="auto"/>
            <w:bottom w:val="none" w:sz="0" w:space="0" w:color="auto"/>
            <w:right w:val="none" w:sz="0" w:space="0" w:color="auto"/>
          </w:divBdr>
        </w:div>
      </w:divsChild>
    </w:div>
    <w:div w:id="5907551">
      <w:bodyDiv w:val="1"/>
      <w:marLeft w:val="0"/>
      <w:marRight w:val="0"/>
      <w:marTop w:val="0"/>
      <w:marBottom w:val="0"/>
      <w:divBdr>
        <w:top w:val="none" w:sz="0" w:space="0" w:color="auto"/>
        <w:left w:val="none" w:sz="0" w:space="0" w:color="auto"/>
        <w:bottom w:val="none" w:sz="0" w:space="0" w:color="auto"/>
        <w:right w:val="none" w:sz="0" w:space="0" w:color="auto"/>
      </w:divBdr>
      <w:divsChild>
        <w:div w:id="383870306">
          <w:marLeft w:val="0"/>
          <w:marRight w:val="0"/>
          <w:marTop w:val="0"/>
          <w:marBottom w:val="0"/>
          <w:divBdr>
            <w:top w:val="none" w:sz="0" w:space="0" w:color="auto"/>
            <w:left w:val="none" w:sz="0" w:space="0" w:color="auto"/>
            <w:bottom w:val="dotted" w:sz="6" w:space="4" w:color="DDDDDD"/>
            <w:right w:val="none" w:sz="0" w:space="0" w:color="auto"/>
          </w:divBdr>
          <w:divsChild>
            <w:div w:id="141559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484">
      <w:bodyDiv w:val="1"/>
      <w:marLeft w:val="0"/>
      <w:marRight w:val="0"/>
      <w:marTop w:val="0"/>
      <w:marBottom w:val="0"/>
      <w:divBdr>
        <w:top w:val="none" w:sz="0" w:space="0" w:color="auto"/>
        <w:left w:val="none" w:sz="0" w:space="0" w:color="auto"/>
        <w:bottom w:val="none" w:sz="0" w:space="0" w:color="auto"/>
        <w:right w:val="none" w:sz="0" w:space="0" w:color="auto"/>
      </w:divBdr>
      <w:divsChild>
        <w:div w:id="2083600272">
          <w:marLeft w:val="0"/>
          <w:marRight w:val="0"/>
          <w:marTop w:val="0"/>
          <w:marBottom w:val="150"/>
          <w:divBdr>
            <w:top w:val="none" w:sz="0" w:space="0" w:color="auto"/>
            <w:left w:val="none" w:sz="0" w:space="0" w:color="auto"/>
            <w:bottom w:val="none" w:sz="0" w:space="0" w:color="auto"/>
            <w:right w:val="none" w:sz="0" w:space="0" w:color="auto"/>
          </w:divBdr>
          <w:divsChild>
            <w:div w:id="1134058939">
              <w:marLeft w:val="0"/>
              <w:marRight w:val="0"/>
              <w:marTop w:val="0"/>
              <w:marBottom w:val="0"/>
              <w:divBdr>
                <w:top w:val="none" w:sz="0" w:space="0" w:color="auto"/>
                <w:left w:val="none" w:sz="0" w:space="0" w:color="auto"/>
                <w:bottom w:val="none" w:sz="0" w:space="0" w:color="auto"/>
                <w:right w:val="none" w:sz="0" w:space="0" w:color="auto"/>
              </w:divBdr>
              <w:divsChild>
                <w:div w:id="797070500">
                  <w:marLeft w:val="0"/>
                  <w:marRight w:val="0"/>
                  <w:marTop w:val="0"/>
                  <w:marBottom w:val="0"/>
                  <w:divBdr>
                    <w:top w:val="none" w:sz="0" w:space="0" w:color="auto"/>
                    <w:left w:val="none" w:sz="0" w:space="0" w:color="auto"/>
                    <w:bottom w:val="none" w:sz="0" w:space="0" w:color="auto"/>
                    <w:right w:val="none" w:sz="0" w:space="0" w:color="auto"/>
                  </w:divBdr>
                  <w:divsChild>
                    <w:div w:id="1171799199">
                      <w:marLeft w:val="0"/>
                      <w:marRight w:val="150"/>
                      <w:marTop w:val="0"/>
                      <w:marBottom w:val="0"/>
                      <w:divBdr>
                        <w:top w:val="none" w:sz="0" w:space="0" w:color="auto"/>
                        <w:left w:val="none" w:sz="0" w:space="0" w:color="auto"/>
                        <w:bottom w:val="none" w:sz="0" w:space="0" w:color="auto"/>
                        <w:right w:val="none" w:sz="0" w:space="0" w:color="auto"/>
                      </w:divBdr>
                      <w:divsChild>
                        <w:div w:id="145085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037668">
          <w:marLeft w:val="0"/>
          <w:marRight w:val="0"/>
          <w:marTop w:val="0"/>
          <w:marBottom w:val="150"/>
          <w:divBdr>
            <w:top w:val="none" w:sz="0" w:space="0" w:color="auto"/>
            <w:left w:val="none" w:sz="0" w:space="0" w:color="auto"/>
            <w:bottom w:val="none" w:sz="0" w:space="0" w:color="auto"/>
            <w:right w:val="none" w:sz="0" w:space="0" w:color="auto"/>
          </w:divBdr>
        </w:div>
        <w:div w:id="63183580">
          <w:marLeft w:val="0"/>
          <w:marRight w:val="0"/>
          <w:marTop w:val="0"/>
          <w:marBottom w:val="0"/>
          <w:divBdr>
            <w:top w:val="none" w:sz="0" w:space="0" w:color="auto"/>
            <w:left w:val="none" w:sz="0" w:space="0" w:color="auto"/>
            <w:bottom w:val="none" w:sz="0" w:space="0" w:color="auto"/>
            <w:right w:val="none" w:sz="0" w:space="0" w:color="auto"/>
          </w:divBdr>
          <w:divsChild>
            <w:div w:id="139103087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341824">
      <w:bodyDiv w:val="1"/>
      <w:marLeft w:val="0"/>
      <w:marRight w:val="0"/>
      <w:marTop w:val="0"/>
      <w:marBottom w:val="0"/>
      <w:divBdr>
        <w:top w:val="none" w:sz="0" w:space="0" w:color="auto"/>
        <w:left w:val="none" w:sz="0" w:space="0" w:color="auto"/>
        <w:bottom w:val="none" w:sz="0" w:space="0" w:color="auto"/>
        <w:right w:val="none" w:sz="0" w:space="0" w:color="auto"/>
      </w:divBdr>
      <w:divsChild>
        <w:div w:id="2123071457">
          <w:marLeft w:val="0"/>
          <w:marRight w:val="0"/>
          <w:marTop w:val="0"/>
          <w:marBottom w:val="0"/>
          <w:divBdr>
            <w:top w:val="none" w:sz="0" w:space="0" w:color="auto"/>
            <w:left w:val="none" w:sz="0" w:space="0" w:color="auto"/>
            <w:bottom w:val="none" w:sz="0" w:space="0" w:color="auto"/>
            <w:right w:val="none" w:sz="0" w:space="0" w:color="auto"/>
          </w:divBdr>
          <w:divsChild>
            <w:div w:id="13760077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996433">
      <w:bodyDiv w:val="1"/>
      <w:marLeft w:val="0"/>
      <w:marRight w:val="0"/>
      <w:marTop w:val="0"/>
      <w:marBottom w:val="0"/>
      <w:divBdr>
        <w:top w:val="none" w:sz="0" w:space="0" w:color="auto"/>
        <w:left w:val="none" w:sz="0" w:space="0" w:color="auto"/>
        <w:bottom w:val="none" w:sz="0" w:space="0" w:color="auto"/>
        <w:right w:val="none" w:sz="0" w:space="0" w:color="auto"/>
      </w:divBdr>
      <w:divsChild>
        <w:div w:id="378941907">
          <w:marLeft w:val="0"/>
          <w:marRight w:val="0"/>
          <w:marTop w:val="0"/>
          <w:marBottom w:val="0"/>
          <w:divBdr>
            <w:top w:val="none" w:sz="0" w:space="0" w:color="auto"/>
            <w:left w:val="none" w:sz="0" w:space="0" w:color="auto"/>
            <w:bottom w:val="dotted" w:sz="6" w:space="4" w:color="DDDDDD"/>
            <w:right w:val="none" w:sz="0" w:space="0" w:color="auto"/>
          </w:divBdr>
          <w:divsChild>
            <w:div w:id="1983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646">
      <w:bodyDiv w:val="1"/>
      <w:marLeft w:val="0"/>
      <w:marRight w:val="0"/>
      <w:marTop w:val="0"/>
      <w:marBottom w:val="0"/>
      <w:divBdr>
        <w:top w:val="none" w:sz="0" w:space="0" w:color="auto"/>
        <w:left w:val="none" w:sz="0" w:space="0" w:color="auto"/>
        <w:bottom w:val="none" w:sz="0" w:space="0" w:color="auto"/>
        <w:right w:val="none" w:sz="0" w:space="0" w:color="auto"/>
      </w:divBdr>
      <w:divsChild>
        <w:div w:id="1789078928">
          <w:marLeft w:val="0"/>
          <w:marRight w:val="0"/>
          <w:marTop w:val="0"/>
          <w:marBottom w:val="0"/>
          <w:divBdr>
            <w:top w:val="none" w:sz="0" w:space="0" w:color="auto"/>
            <w:left w:val="none" w:sz="0" w:space="0" w:color="auto"/>
            <w:bottom w:val="none" w:sz="0" w:space="0" w:color="auto"/>
            <w:right w:val="none" w:sz="0" w:space="0" w:color="auto"/>
          </w:divBdr>
        </w:div>
      </w:divsChild>
    </w:div>
    <w:div w:id="8143152">
      <w:bodyDiv w:val="1"/>
      <w:marLeft w:val="0"/>
      <w:marRight w:val="0"/>
      <w:marTop w:val="0"/>
      <w:marBottom w:val="0"/>
      <w:divBdr>
        <w:top w:val="none" w:sz="0" w:space="0" w:color="auto"/>
        <w:left w:val="none" w:sz="0" w:space="0" w:color="auto"/>
        <w:bottom w:val="none" w:sz="0" w:space="0" w:color="auto"/>
        <w:right w:val="none" w:sz="0" w:space="0" w:color="auto"/>
      </w:divBdr>
      <w:divsChild>
        <w:div w:id="402261022">
          <w:marLeft w:val="0"/>
          <w:marRight w:val="0"/>
          <w:marTop w:val="0"/>
          <w:marBottom w:val="0"/>
          <w:divBdr>
            <w:top w:val="none" w:sz="0" w:space="0" w:color="auto"/>
            <w:left w:val="none" w:sz="0" w:space="0" w:color="auto"/>
            <w:bottom w:val="dotted" w:sz="6" w:space="4" w:color="DDDDDD"/>
            <w:right w:val="none" w:sz="0" w:space="0" w:color="auto"/>
          </w:divBdr>
          <w:divsChild>
            <w:div w:id="109925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1071">
      <w:bodyDiv w:val="1"/>
      <w:marLeft w:val="0"/>
      <w:marRight w:val="0"/>
      <w:marTop w:val="0"/>
      <w:marBottom w:val="0"/>
      <w:divBdr>
        <w:top w:val="none" w:sz="0" w:space="0" w:color="auto"/>
        <w:left w:val="none" w:sz="0" w:space="0" w:color="auto"/>
        <w:bottom w:val="none" w:sz="0" w:space="0" w:color="auto"/>
        <w:right w:val="none" w:sz="0" w:space="0" w:color="auto"/>
      </w:divBdr>
      <w:divsChild>
        <w:div w:id="387190347">
          <w:marLeft w:val="0"/>
          <w:marRight w:val="0"/>
          <w:marTop w:val="0"/>
          <w:marBottom w:val="0"/>
          <w:divBdr>
            <w:top w:val="none" w:sz="0" w:space="0" w:color="auto"/>
            <w:left w:val="none" w:sz="0" w:space="0" w:color="auto"/>
            <w:bottom w:val="none" w:sz="0" w:space="0" w:color="auto"/>
            <w:right w:val="none" w:sz="0" w:space="0" w:color="auto"/>
          </w:divBdr>
        </w:div>
        <w:div w:id="1879396047">
          <w:marLeft w:val="0"/>
          <w:marRight w:val="0"/>
          <w:marTop w:val="0"/>
          <w:marBottom w:val="0"/>
          <w:divBdr>
            <w:top w:val="none" w:sz="0" w:space="0" w:color="auto"/>
            <w:left w:val="none" w:sz="0" w:space="0" w:color="auto"/>
            <w:bottom w:val="none" w:sz="0" w:space="0" w:color="auto"/>
            <w:right w:val="none" w:sz="0" w:space="0" w:color="auto"/>
          </w:divBdr>
        </w:div>
      </w:divsChild>
    </w:div>
    <w:div w:id="8606189">
      <w:bodyDiv w:val="1"/>
      <w:marLeft w:val="0"/>
      <w:marRight w:val="0"/>
      <w:marTop w:val="0"/>
      <w:marBottom w:val="0"/>
      <w:divBdr>
        <w:top w:val="none" w:sz="0" w:space="0" w:color="auto"/>
        <w:left w:val="none" w:sz="0" w:space="0" w:color="auto"/>
        <w:bottom w:val="none" w:sz="0" w:space="0" w:color="auto"/>
        <w:right w:val="none" w:sz="0" w:space="0" w:color="auto"/>
      </w:divBdr>
      <w:divsChild>
        <w:div w:id="1566574759">
          <w:marLeft w:val="0"/>
          <w:marRight w:val="0"/>
          <w:marTop w:val="0"/>
          <w:marBottom w:val="0"/>
          <w:divBdr>
            <w:top w:val="none" w:sz="0" w:space="0" w:color="auto"/>
            <w:left w:val="none" w:sz="0" w:space="0" w:color="auto"/>
            <w:bottom w:val="none" w:sz="0" w:space="0" w:color="auto"/>
            <w:right w:val="none" w:sz="0" w:space="0" w:color="auto"/>
          </w:divBdr>
          <w:divsChild>
            <w:div w:id="929776634">
              <w:marLeft w:val="0"/>
              <w:marRight w:val="0"/>
              <w:marTop w:val="0"/>
              <w:marBottom w:val="0"/>
              <w:divBdr>
                <w:top w:val="none" w:sz="0" w:space="0" w:color="auto"/>
                <w:left w:val="none" w:sz="0" w:space="0" w:color="auto"/>
                <w:bottom w:val="none" w:sz="0" w:space="0" w:color="auto"/>
                <w:right w:val="none" w:sz="0" w:space="0" w:color="auto"/>
              </w:divBdr>
              <w:divsChild>
                <w:div w:id="1586761544">
                  <w:marLeft w:val="30"/>
                  <w:marRight w:val="30"/>
                  <w:marTop w:val="0"/>
                  <w:marBottom w:val="0"/>
                  <w:divBdr>
                    <w:top w:val="none" w:sz="0" w:space="0" w:color="auto"/>
                    <w:left w:val="none" w:sz="0" w:space="0" w:color="auto"/>
                    <w:bottom w:val="none" w:sz="0" w:space="0" w:color="auto"/>
                    <w:right w:val="none" w:sz="0" w:space="0" w:color="auto"/>
                  </w:divBdr>
                  <w:divsChild>
                    <w:div w:id="1567758060">
                      <w:marLeft w:val="0"/>
                      <w:marRight w:val="0"/>
                      <w:marTop w:val="0"/>
                      <w:marBottom w:val="0"/>
                      <w:divBdr>
                        <w:top w:val="none" w:sz="0" w:space="0" w:color="auto"/>
                        <w:left w:val="none" w:sz="0" w:space="0" w:color="auto"/>
                        <w:bottom w:val="none" w:sz="0" w:space="0" w:color="auto"/>
                        <w:right w:val="none" w:sz="0" w:space="0" w:color="auto"/>
                      </w:divBdr>
                      <w:divsChild>
                        <w:div w:id="706494127">
                          <w:marLeft w:val="0"/>
                          <w:marRight w:val="0"/>
                          <w:marTop w:val="0"/>
                          <w:marBottom w:val="0"/>
                          <w:divBdr>
                            <w:top w:val="none" w:sz="0" w:space="0" w:color="auto"/>
                            <w:left w:val="none" w:sz="0" w:space="0" w:color="auto"/>
                            <w:bottom w:val="none" w:sz="0" w:space="0" w:color="auto"/>
                            <w:right w:val="none" w:sz="0" w:space="0" w:color="auto"/>
                          </w:divBdr>
                          <w:divsChild>
                            <w:div w:id="1145701868">
                              <w:marLeft w:val="0"/>
                              <w:marRight w:val="0"/>
                              <w:marTop w:val="0"/>
                              <w:marBottom w:val="0"/>
                              <w:divBdr>
                                <w:top w:val="none" w:sz="0" w:space="0" w:color="auto"/>
                                <w:left w:val="none" w:sz="0" w:space="0" w:color="auto"/>
                                <w:bottom w:val="none" w:sz="0" w:space="0" w:color="auto"/>
                                <w:right w:val="none" w:sz="0" w:space="0" w:color="auto"/>
                              </w:divBdr>
                              <w:divsChild>
                                <w:div w:id="2114394315">
                                  <w:marLeft w:val="0"/>
                                  <w:marRight w:val="0"/>
                                  <w:marTop w:val="0"/>
                                  <w:marBottom w:val="0"/>
                                  <w:divBdr>
                                    <w:top w:val="none" w:sz="0" w:space="0" w:color="auto"/>
                                    <w:left w:val="none" w:sz="0" w:space="0" w:color="auto"/>
                                    <w:bottom w:val="none" w:sz="0" w:space="0" w:color="auto"/>
                                    <w:right w:val="none" w:sz="0" w:space="0" w:color="auto"/>
                                  </w:divBdr>
                                  <w:divsChild>
                                    <w:div w:id="131788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20049">
      <w:bodyDiv w:val="1"/>
      <w:marLeft w:val="0"/>
      <w:marRight w:val="0"/>
      <w:marTop w:val="0"/>
      <w:marBottom w:val="0"/>
      <w:divBdr>
        <w:top w:val="none" w:sz="0" w:space="0" w:color="auto"/>
        <w:left w:val="none" w:sz="0" w:space="0" w:color="auto"/>
        <w:bottom w:val="none" w:sz="0" w:space="0" w:color="auto"/>
        <w:right w:val="none" w:sz="0" w:space="0" w:color="auto"/>
      </w:divBdr>
      <w:divsChild>
        <w:div w:id="207038023">
          <w:marLeft w:val="0"/>
          <w:marRight w:val="0"/>
          <w:marTop w:val="0"/>
          <w:marBottom w:val="0"/>
          <w:divBdr>
            <w:top w:val="none" w:sz="0" w:space="0" w:color="auto"/>
            <w:left w:val="none" w:sz="0" w:space="0" w:color="auto"/>
            <w:bottom w:val="none" w:sz="0" w:space="0" w:color="auto"/>
            <w:right w:val="none" w:sz="0" w:space="0" w:color="auto"/>
          </w:divBdr>
          <w:divsChild>
            <w:div w:id="4642774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065850">
      <w:bodyDiv w:val="1"/>
      <w:marLeft w:val="0"/>
      <w:marRight w:val="0"/>
      <w:marTop w:val="0"/>
      <w:marBottom w:val="0"/>
      <w:divBdr>
        <w:top w:val="none" w:sz="0" w:space="0" w:color="auto"/>
        <w:left w:val="none" w:sz="0" w:space="0" w:color="auto"/>
        <w:bottom w:val="none" w:sz="0" w:space="0" w:color="auto"/>
        <w:right w:val="none" w:sz="0" w:space="0" w:color="auto"/>
      </w:divBdr>
    </w:div>
    <w:div w:id="9648573">
      <w:bodyDiv w:val="1"/>
      <w:marLeft w:val="0"/>
      <w:marRight w:val="0"/>
      <w:marTop w:val="0"/>
      <w:marBottom w:val="0"/>
      <w:divBdr>
        <w:top w:val="none" w:sz="0" w:space="0" w:color="auto"/>
        <w:left w:val="none" w:sz="0" w:space="0" w:color="auto"/>
        <w:bottom w:val="none" w:sz="0" w:space="0" w:color="auto"/>
        <w:right w:val="none" w:sz="0" w:space="0" w:color="auto"/>
      </w:divBdr>
      <w:divsChild>
        <w:div w:id="813566753">
          <w:marLeft w:val="0"/>
          <w:marRight w:val="0"/>
          <w:marTop w:val="0"/>
          <w:marBottom w:val="0"/>
          <w:divBdr>
            <w:top w:val="none" w:sz="0" w:space="0" w:color="auto"/>
            <w:left w:val="none" w:sz="0" w:space="0" w:color="auto"/>
            <w:bottom w:val="dotted" w:sz="6" w:space="4" w:color="DDDDDD"/>
            <w:right w:val="none" w:sz="0" w:space="0" w:color="auto"/>
          </w:divBdr>
          <w:divsChild>
            <w:div w:id="118371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7689">
      <w:bodyDiv w:val="1"/>
      <w:marLeft w:val="0"/>
      <w:marRight w:val="0"/>
      <w:marTop w:val="0"/>
      <w:marBottom w:val="0"/>
      <w:divBdr>
        <w:top w:val="none" w:sz="0" w:space="0" w:color="auto"/>
        <w:left w:val="none" w:sz="0" w:space="0" w:color="auto"/>
        <w:bottom w:val="none" w:sz="0" w:space="0" w:color="auto"/>
        <w:right w:val="none" w:sz="0" w:space="0" w:color="auto"/>
      </w:divBdr>
    </w:div>
    <w:div w:id="10227633">
      <w:bodyDiv w:val="1"/>
      <w:marLeft w:val="0"/>
      <w:marRight w:val="0"/>
      <w:marTop w:val="0"/>
      <w:marBottom w:val="0"/>
      <w:divBdr>
        <w:top w:val="none" w:sz="0" w:space="0" w:color="auto"/>
        <w:left w:val="none" w:sz="0" w:space="0" w:color="auto"/>
        <w:bottom w:val="none" w:sz="0" w:space="0" w:color="auto"/>
        <w:right w:val="none" w:sz="0" w:space="0" w:color="auto"/>
      </w:divBdr>
      <w:divsChild>
        <w:div w:id="104886947">
          <w:marLeft w:val="0"/>
          <w:marRight w:val="0"/>
          <w:marTop w:val="0"/>
          <w:marBottom w:val="0"/>
          <w:divBdr>
            <w:top w:val="none" w:sz="0" w:space="0" w:color="auto"/>
            <w:left w:val="none" w:sz="0" w:space="0" w:color="auto"/>
            <w:bottom w:val="none" w:sz="0" w:space="0" w:color="auto"/>
            <w:right w:val="none" w:sz="0" w:space="0" w:color="auto"/>
          </w:divBdr>
          <w:divsChild>
            <w:div w:id="157812363">
              <w:marLeft w:val="0"/>
              <w:marRight w:val="0"/>
              <w:marTop w:val="0"/>
              <w:marBottom w:val="0"/>
              <w:divBdr>
                <w:top w:val="none" w:sz="0" w:space="0" w:color="auto"/>
                <w:left w:val="none" w:sz="0" w:space="0" w:color="auto"/>
                <w:bottom w:val="none" w:sz="0" w:space="0" w:color="auto"/>
                <w:right w:val="none" w:sz="0" w:space="0" w:color="auto"/>
              </w:divBdr>
            </w:div>
            <w:div w:id="518811719">
              <w:marLeft w:val="0"/>
              <w:marRight w:val="0"/>
              <w:marTop w:val="0"/>
              <w:marBottom w:val="150"/>
              <w:divBdr>
                <w:top w:val="none" w:sz="0" w:space="0" w:color="auto"/>
                <w:left w:val="none" w:sz="0" w:space="0" w:color="auto"/>
                <w:bottom w:val="none" w:sz="0" w:space="0" w:color="auto"/>
                <w:right w:val="none" w:sz="0" w:space="0" w:color="auto"/>
              </w:divBdr>
            </w:div>
          </w:divsChild>
        </w:div>
        <w:div w:id="946035853">
          <w:marLeft w:val="0"/>
          <w:marRight w:val="0"/>
          <w:marTop w:val="0"/>
          <w:marBottom w:val="150"/>
          <w:divBdr>
            <w:top w:val="none" w:sz="0" w:space="0" w:color="auto"/>
            <w:left w:val="none" w:sz="0" w:space="0" w:color="auto"/>
            <w:bottom w:val="none" w:sz="0" w:space="0" w:color="auto"/>
            <w:right w:val="none" w:sz="0" w:space="0" w:color="auto"/>
          </w:divBdr>
          <w:divsChild>
            <w:div w:id="132955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686">
      <w:bodyDiv w:val="1"/>
      <w:marLeft w:val="0"/>
      <w:marRight w:val="0"/>
      <w:marTop w:val="0"/>
      <w:marBottom w:val="0"/>
      <w:divBdr>
        <w:top w:val="none" w:sz="0" w:space="0" w:color="auto"/>
        <w:left w:val="none" w:sz="0" w:space="0" w:color="auto"/>
        <w:bottom w:val="none" w:sz="0" w:space="0" w:color="auto"/>
        <w:right w:val="none" w:sz="0" w:space="0" w:color="auto"/>
      </w:divBdr>
      <w:divsChild>
        <w:div w:id="859439421">
          <w:marLeft w:val="0"/>
          <w:marRight w:val="0"/>
          <w:marTop w:val="0"/>
          <w:marBottom w:val="0"/>
          <w:divBdr>
            <w:top w:val="none" w:sz="0" w:space="0" w:color="auto"/>
            <w:left w:val="none" w:sz="0" w:space="0" w:color="auto"/>
            <w:bottom w:val="none" w:sz="0" w:space="0" w:color="auto"/>
            <w:right w:val="none" w:sz="0" w:space="0" w:color="auto"/>
          </w:divBdr>
        </w:div>
      </w:divsChild>
    </w:div>
    <w:div w:id="10881422">
      <w:bodyDiv w:val="1"/>
      <w:marLeft w:val="0"/>
      <w:marRight w:val="0"/>
      <w:marTop w:val="0"/>
      <w:marBottom w:val="0"/>
      <w:divBdr>
        <w:top w:val="none" w:sz="0" w:space="0" w:color="auto"/>
        <w:left w:val="none" w:sz="0" w:space="0" w:color="auto"/>
        <w:bottom w:val="none" w:sz="0" w:space="0" w:color="auto"/>
        <w:right w:val="none" w:sz="0" w:space="0" w:color="auto"/>
      </w:divBdr>
      <w:divsChild>
        <w:div w:id="339086009">
          <w:marLeft w:val="0"/>
          <w:marRight w:val="225"/>
          <w:marTop w:val="0"/>
          <w:marBottom w:val="0"/>
          <w:divBdr>
            <w:top w:val="none" w:sz="0" w:space="0" w:color="auto"/>
            <w:left w:val="none" w:sz="0" w:space="0" w:color="auto"/>
            <w:bottom w:val="none" w:sz="0" w:space="0" w:color="auto"/>
            <w:right w:val="none" w:sz="0" w:space="0" w:color="auto"/>
          </w:divBdr>
          <w:divsChild>
            <w:div w:id="1086460503">
              <w:marLeft w:val="0"/>
              <w:marRight w:val="0"/>
              <w:marTop w:val="225"/>
              <w:marBottom w:val="0"/>
              <w:divBdr>
                <w:top w:val="none" w:sz="0" w:space="0" w:color="auto"/>
                <w:left w:val="none" w:sz="0" w:space="0" w:color="auto"/>
                <w:bottom w:val="none" w:sz="0" w:space="0" w:color="auto"/>
                <w:right w:val="none" w:sz="0" w:space="0" w:color="auto"/>
              </w:divBdr>
              <w:divsChild>
                <w:div w:id="146342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6556">
      <w:bodyDiv w:val="1"/>
      <w:marLeft w:val="0"/>
      <w:marRight w:val="0"/>
      <w:marTop w:val="0"/>
      <w:marBottom w:val="0"/>
      <w:divBdr>
        <w:top w:val="none" w:sz="0" w:space="0" w:color="auto"/>
        <w:left w:val="none" w:sz="0" w:space="0" w:color="auto"/>
        <w:bottom w:val="none" w:sz="0" w:space="0" w:color="auto"/>
        <w:right w:val="none" w:sz="0" w:space="0" w:color="auto"/>
      </w:divBdr>
      <w:divsChild>
        <w:div w:id="605774421">
          <w:marLeft w:val="0"/>
          <w:marRight w:val="0"/>
          <w:marTop w:val="0"/>
          <w:marBottom w:val="0"/>
          <w:divBdr>
            <w:top w:val="none" w:sz="0" w:space="0" w:color="auto"/>
            <w:left w:val="none" w:sz="0" w:space="0" w:color="auto"/>
            <w:bottom w:val="none" w:sz="0" w:space="0" w:color="auto"/>
            <w:right w:val="none" w:sz="0" w:space="0" w:color="auto"/>
          </w:divBdr>
          <w:divsChild>
            <w:div w:id="1903904190">
              <w:marLeft w:val="0"/>
              <w:marRight w:val="0"/>
              <w:marTop w:val="0"/>
              <w:marBottom w:val="0"/>
              <w:divBdr>
                <w:top w:val="none" w:sz="0" w:space="0" w:color="auto"/>
                <w:left w:val="none" w:sz="0" w:space="0" w:color="auto"/>
                <w:bottom w:val="none" w:sz="0" w:space="0" w:color="auto"/>
                <w:right w:val="none" w:sz="0" w:space="0" w:color="auto"/>
              </w:divBdr>
              <w:divsChild>
                <w:div w:id="1593128833">
                  <w:marLeft w:val="0"/>
                  <w:marRight w:val="0"/>
                  <w:marTop w:val="0"/>
                  <w:marBottom w:val="0"/>
                  <w:divBdr>
                    <w:top w:val="none" w:sz="0" w:space="0" w:color="auto"/>
                    <w:left w:val="none" w:sz="0" w:space="0" w:color="auto"/>
                    <w:bottom w:val="none" w:sz="0" w:space="0" w:color="auto"/>
                    <w:right w:val="none" w:sz="0" w:space="0" w:color="auto"/>
                  </w:divBdr>
                  <w:divsChild>
                    <w:div w:id="1494881587">
                      <w:marLeft w:val="0"/>
                      <w:marRight w:val="0"/>
                      <w:marTop w:val="0"/>
                      <w:marBottom w:val="0"/>
                      <w:divBdr>
                        <w:top w:val="none" w:sz="0" w:space="0" w:color="auto"/>
                        <w:left w:val="none" w:sz="0" w:space="0" w:color="auto"/>
                        <w:bottom w:val="none" w:sz="0" w:space="0" w:color="auto"/>
                        <w:right w:val="none" w:sz="0" w:space="0" w:color="auto"/>
                      </w:divBdr>
                      <w:divsChild>
                        <w:div w:id="1305313184">
                          <w:marLeft w:val="0"/>
                          <w:marRight w:val="0"/>
                          <w:marTop w:val="0"/>
                          <w:marBottom w:val="0"/>
                          <w:divBdr>
                            <w:top w:val="none" w:sz="0" w:space="0" w:color="auto"/>
                            <w:left w:val="none" w:sz="0" w:space="0" w:color="auto"/>
                            <w:bottom w:val="none" w:sz="0" w:space="0" w:color="auto"/>
                            <w:right w:val="none" w:sz="0" w:space="0" w:color="auto"/>
                          </w:divBdr>
                          <w:divsChild>
                            <w:div w:id="466583243">
                              <w:marLeft w:val="0"/>
                              <w:marRight w:val="0"/>
                              <w:marTop w:val="0"/>
                              <w:marBottom w:val="0"/>
                              <w:divBdr>
                                <w:top w:val="none" w:sz="0" w:space="0" w:color="auto"/>
                                <w:left w:val="none" w:sz="0" w:space="0" w:color="auto"/>
                                <w:bottom w:val="none" w:sz="0" w:space="0" w:color="auto"/>
                                <w:right w:val="none" w:sz="0" w:space="0" w:color="auto"/>
                              </w:divBdr>
                              <w:divsChild>
                                <w:div w:id="2002349314">
                                  <w:marLeft w:val="0"/>
                                  <w:marRight w:val="0"/>
                                  <w:marTop w:val="0"/>
                                  <w:marBottom w:val="0"/>
                                  <w:divBdr>
                                    <w:top w:val="none" w:sz="0" w:space="0" w:color="auto"/>
                                    <w:left w:val="none" w:sz="0" w:space="0" w:color="auto"/>
                                    <w:bottom w:val="none" w:sz="0" w:space="0" w:color="auto"/>
                                    <w:right w:val="none" w:sz="0" w:space="0" w:color="auto"/>
                                  </w:divBdr>
                                  <w:divsChild>
                                    <w:div w:id="220483933">
                                      <w:marLeft w:val="0"/>
                                      <w:marRight w:val="0"/>
                                      <w:marTop w:val="0"/>
                                      <w:marBottom w:val="0"/>
                                      <w:divBdr>
                                        <w:top w:val="none" w:sz="0" w:space="0" w:color="auto"/>
                                        <w:left w:val="none" w:sz="0" w:space="0" w:color="auto"/>
                                        <w:bottom w:val="none" w:sz="0" w:space="0" w:color="auto"/>
                                        <w:right w:val="none" w:sz="0" w:space="0" w:color="auto"/>
                                      </w:divBdr>
                                      <w:divsChild>
                                        <w:div w:id="22553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36757">
      <w:bodyDiv w:val="1"/>
      <w:marLeft w:val="0"/>
      <w:marRight w:val="0"/>
      <w:marTop w:val="0"/>
      <w:marBottom w:val="0"/>
      <w:divBdr>
        <w:top w:val="none" w:sz="0" w:space="0" w:color="auto"/>
        <w:left w:val="none" w:sz="0" w:space="0" w:color="auto"/>
        <w:bottom w:val="none" w:sz="0" w:space="0" w:color="auto"/>
        <w:right w:val="none" w:sz="0" w:space="0" w:color="auto"/>
      </w:divBdr>
      <w:divsChild>
        <w:div w:id="523061629">
          <w:marLeft w:val="0"/>
          <w:marRight w:val="0"/>
          <w:marTop w:val="0"/>
          <w:marBottom w:val="150"/>
          <w:divBdr>
            <w:top w:val="none" w:sz="0" w:space="0" w:color="auto"/>
            <w:left w:val="none" w:sz="0" w:space="0" w:color="auto"/>
            <w:bottom w:val="none" w:sz="0" w:space="0" w:color="auto"/>
            <w:right w:val="none" w:sz="0" w:space="0" w:color="auto"/>
          </w:divBdr>
        </w:div>
        <w:div w:id="1086725145">
          <w:marLeft w:val="0"/>
          <w:marRight w:val="0"/>
          <w:marTop w:val="0"/>
          <w:marBottom w:val="0"/>
          <w:divBdr>
            <w:top w:val="none" w:sz="0" w:space="0" w:color="auto"/>
            <w:left w:val="none" w:sz="0" w:space="0" w:color="auto"/>
            <w:bottom w:val="none" w:sz="0" w:space="0" w:color="auto"/>
            <w:right w:val="none" w:sz="0" w:space="0" w:color="auto"/>
          </w:divBdr>
        </w:div>
      </w:divsChild>
    </w:div>
    <w:div w:id="13112768">
      <w:bodyDiv w:val="1"/>
      <w:marLeft w:val="0"/>
      <w:marRight w:val="0"/>
      <w:marTop w:val="0"/>
      <w:marBottom w:val="0"/>
      <w:divBdr>
        <w:top w:val="none" w:sz="0" w:space="0" w:color="auto"/>
        <w:left w:val="none" w:sz="0" w:space="0" w:color="auto"/>
        <w:bottom w:val="none" w:sz="0" w:space="0" w:color="auto"/>
        <w:right w:val="none" w:sz="0" w:space="0" w:color="auto"/>
      </w:divBdr>
      <w:divsChild>
        <w:div w:id="1431777840">
          <w:marLeft w:val="0"/>
          <w:marRight w:val="0"/>
          <w:marTop w:val="0"/>
          <w:marBottom w:val="0"/>
          <w:divBdr>
            <w:top w:val="none" w:sz="0" w:space="0" w:color="auto"/>
            <w:left w:val="none" w:sz="0" w:space="0" w:color="auto"/>
            <w:bottom w:val="none" w:sz="0" w:space="0" w:color="auto"/>
            <w:right w:val="none" w:sz="0" w:space="0" w:color="auto"/>
          </w:divBdr>
          <w:divsChild>
            <w:div w:id="1127043450">
              <w:marLeft w:val="0"/>
              <w:marRight w:val="0"/>
              <w:marTop w:val="0"/>
              <w:marBottom w:val="0"/>
              <w:divBdr>
                <w:top w:val="none" w:sz="0" w:space="0" w:color="auto"/>
                <w:left w:val="none" w:sz="0" w:space="0" w:color="auto"/>
                <w:bottom w:val="none" w:sz="0" w:space="0" w:color="auto"/>
                <w:right w:val="none" w:sz="0" w:space="0" w:color="auto"/>
              </w:divBdr>
              <w:divsChild>
                <w:div w:id="1034579227">
                  <w:marLeft w:val="0"/>
                  <w:marRight w:val="0"/>
                  <w:marTop w:val="0"/>
                  <w:marBottom w:val="0"/>
                  <w:divBdr>
                    <w:top w:val="none" w:sz="0" w:space="0" w:color="auto"/>
                    <w:left w:val="none" w:sz="0" w:space="0" w:color="auto"/>
                    <w:bottom w:val="none" w:sz="0" w:space="0" w:color="auto"/>
                    <w:right w:val="none" w:sz="0" w:space="0" w:color="auto"/>
                  </w:divBdr>
                  <w:divsChild>
                    <w:div w:id="1221283210">
                      <w:marLeft w:val="0"/>
                      <w:marRight w:val="0"/>
                      <w:marTop w:val="0"/>
                      <w:marBottom w:val="0"/>
                      <w:divBdr>
                        <w:top w:val="none" w:sz="0" w:space="0" w:color="auto"/>
                        <w:left w:val="none" w:sz="0" w:space="0" w:color="auto"/>
                        <w:bottom w:val="none" w:sz="0" w:space="0" w:color="auto"/>
                        <w:right w:val="none" w:sz="0" w:space="0" w:color="auto"/>
                      </w:divBdr>
                      <w:divsChild>
                        <w:div w:id="1192186384">
                          <w:marLeft w:val="0"/>
                          <w:marRight w:val="0"/>
                          <w:marTop w:val="0"/>
                          <w:marBottom w:val="0"/>
                          <w:divBdr>
                            <w:top w:val="none" w:sz="0" w:space="0" w:color="auto"/>
                            <w:left w:val="none" w:sz="0" w:space="0" w:color="auto"/>
                            <w:bottom w:val="none" w:sz="0" w:space="0" w:color="auto"/>
                            <w:right w:val="none" w:sz="0" w:space="0" w:color="auto"/>
                          </w:divBdr>
                          <w:divsChild>
                            <w:div w:id="1009528890">
                              <w:marLeft w:val="0"/>
                              <w:marRight w:val="0"/>
                              <w:marTop w:val="0"/>
                              <w:marBottom w:val="0"/>
                              <w:divBdr>
                                <w:top w:val="none" w:sz="0" w:space="0" w:color="auto"/>
                                <w:left w:val="none" w:sz="0" w:space="0" w:color="auto"/>
                                <w:bottom w:val="none" w:sz="0" w:space="0" w:color="auto"/>
                                <w:right w:val="none" w:sz="0" w:space="0" w:color="auto"/>
                              </w:divBdr>
                              <w:divsChild>
                                <w:div w:id="419528664">
                                  <w:marLeft w:val="0"/>
                                  <w:marRight w:val="0"/>
                                  <w:marTop w:val="0"/>
                                  <w:marBottom w:val="0"/>
                                  <w:divBdr>
                                    <w:top w:val="none" w:sz="0" w:space="0" w:color="auto"/>
                                    <w:left w:val="none" w:sz="0" w:space="0" w:color="auto"/>
                                    <w:bottom w:val="none" w:sz="0" w:space="0" w:color="auto"/>
                                    <w:right w:val="none" w:sz="0" w:space="0" w:color="auto"/>
                                  </w:divBdr>
                                  <w:divsChild>
                                    <w:div w:id="181124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75761">
      <w:bodyDiv w:val="1"/>
      <w:marLeft w:val="0"/>
      <w:marRight w:val="0"/>
      <w:marTop w:val="0"/>
      <w:marBottom w:val="0"/>
      <w:divBdr>
        <w:top w:val="none" w:sz="0" w:space="0" w:color="auto"/>
        <w:left w:val="none" w:sz="0" w:space="0" w:color="auto"/>
        <w:bottom w:val="none" w:sz="0" w:space="0" w:color="auto"/>
        <w:right w:val="none" w:sz="0" w:space="0" w:color="auto"/>
      </w:divBdr>
      <w:divsChild>
        <w:div w:id="2040660774">
          <w:marLeft w:val="0"/>
          <w:marRight w:val="0"/>
          <w:marTop w:val="0"/>
          <w:marBottom w:val="150"/>
          <w:divBdr>
            <w:top w:val="none" w:sz="0" w:space="0" w:color="auto"/>
            <w:left w:val="none" w:sz="0" w:space="0" w:color="auto"/>
            <w:bottom w:val="none" w:sz="0" w:space="0" w:color="auto"/>
            <w:right w:val="none" w:sz="0" w:space="0" w:color="auto"/>
          </w:divBdr>
          <w:divsChild>
            <w:div w:id="1797916345">
              <w:marLeft w:val="0"/>
              <w:marRight w:val="0"/>
              <w:marTop w:val="0"/>
              <w:marBottom w:val="0"/>
              <w:divBdr>
                <w:top w:val="none" w:sz="0" w:space="0" w:color="auto"/>
                <w:left w:val="none" w:sz="0" w:space="0" w:color="auto"/>
                <w:bottom w:val="none" w:sz="0" w:space="0" w:color="auto"/>
                <w:right w:val="none" w:sz="0" w:space="0" w:color="auto"/>
              </w:divBdr>
              <w:divsChild>
                <w:div w:id="1857814727">
                  <w:marLeft w:val="0"/>
                  <w:marRight w:val="0"/>
                  <w:marTop w:val="0"/>
                  <w:marBottom w:val="0"/>
                  <w:divBdr>
                    <w:top w:val="none" w:sz="0" w:space="0" w:color="auto"/>
                    <w:left w:val="none" w:sz="0" w:space="0" w:color="auto"/>
                    <w:bottom w:val="none" w:sz="0" w:space="0" w:color="auto"/>
                    <w:right w:val="none" w:sz="0" w:space="0" w:color="auto"/>
                  </w:divBdr>
                  <w:divsChild>
                    <w:div w:id="2137329371">
                      <w:marLeft w:val="0"/>
                      <w:marRight w:val="150"/>
                      <w:marTop w:val="0"/>
                      <w:marBottom w:val="0"/>
                      <w:divBdr>
                        <w:top w:val="none" w:sz="0" w:space="0" w:color="auto"/>
                        <w:left w:val="none" w:sz="0" w:space="0" w:color="auto"/>
                        <w:bottom w:val="none" w:sz="0" w:space="0" w:color="auto"/>
                        <w:right w:val="none" w:sz="0" w:space="0" w:color="auto"/>
                      </w:divBdr>
                      <w:divsChild>
                        <w:div w:id="212311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889758">
          <w:marLeft w:val="0"/>
          <w:marRight w:val="0"/>
          <w:marTop w:val="0"/>
          <w:marBottom w:val="150"/>
          <w:divBdr>
            <w:top w:val="none" w:sz="0" w:space="0" w:color="auto"/>
            <w:left w:val="none" w:sz="0" w:space="0" w:color="auto"/>
            <w:bottom w:val="none" w:sz="0" w:space="0" w:color="auto"/>
            <w:right w:val="none" w:sz="0" w:space="0" w:color="auto"/>
          </w:divBdr>
        </w:div>
        <w:div w:id="1060133280">
          <w:marLeft w:val="0"/>
          <w:marRight w:val="0"/>
          <w:marTop w:val="0"/>
          <w:marBottom w:val="0"/>
          <w:divBdr>
            <w:top w:val="none" w:sz="0" w:space="0" w:color="auto"/>
            <w:left w:val="none" w:sz="0" w:space="0" w:color="auto"/>
            <w:bottom w:val="none" w:sz="0" w:space="0" w:color="auto"/>
            <w:right w:val="none" w:sz="0" w:space="0" w:color="auto"/>
          </w:divBdr>
          <w:divsChild>
            <w:div w:id="13901560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655828">
      <w:bodyDiv w:val="1"/>
      <w:marLeft w:val="0"/>
      <w:marRight w:val="0"/>
      <w:marTop w:val="0"/>
      <w:marBottom w:val="0"/>
      <w:divBdr>
        <w:top w:val="none" w:sz="0" w:space="0" w:color="auto"/>
        <w:left w:val="none" w:sz="0" w:space="0" w:color="auto"/>
        <w:bottom w:val="none" w:sz="0" w:space="0" w:color="auto"/>
        <w:right w:val="none" w:sz="0" w:space="0" w:color="auto"/>
      </w:divBdr>
      <w:divsChild>
        <w:div w:id="338507286">
          <w:marLeft w:val="0"/>
          <w:marRight w:val="0"/>
          <w:marTop w:val="0"/>
          <w:marBottom w:val="0"/>
          <w:divBdr>
            <w:top w:val="none" w:sz="0" w:space="0" w:color="auto"/>
            <w:left w:val="none" w:sz="0" w:space="0" w:color="auto"/>
            <w:bottom w:val="none" w:sz="0" w:space="0" w:color="auto"/>
            <w:right w:val="none" w:sz="0" w:space="0" w:color="auto"/>
          </w:divBdr>
          <w:divsChild>
            <w:div w:id="1962757303">
              <w:marLeft w:val="0"/>
              <w:marRight w:val="0"/>
              <w:marTop w:val="0"/>
              <w:marBottom w:val="0"/>
              <w:divBdr>
                <w:top w:val="none" w:sz="0" w:space="0" w:color="auto"/>
                <w:left w:val="none" w:sz="0" w:space="0" w:color="auto"/>
                <w:bottom w:val="none" w:sz="0" w:space="0" w:color="auto"/>
                <w:right w:val="none" w:sz="0" w:space="0" w:color="auto"/>
              </w:divBdr>
              <w:divsChild>
                <w:div w:id="104622260">
                  <w:marLeft w:val="0"/>
                  <w:marRight w:val="0"/>
                  <w:marTop w:val="0"/>
                  <w:marBottom w:val="0"/>
                  <w:divBdr>
                    <w:top w:val="none" w:sz="0" w:space="0" w:color="auto"/>
                    <w:left w:val="none" w:sz="0" w:space="0" w:color="auto"/>
                    <w:bottom w:val="none" w:sz="0" w:space="0" w:color="auto"/>
                    <w:right w:val="none" w:sz="0" w:space="0" w:color="auto"/>
                  </w:divBdr>
                  <w:divsChild>
                    <w:div w:id="2107651703">
                      <w:marLeft w:val="0"/>
                      <w:marRight w:val="0"/>
                      <w:marTop w:val="0"/>
                      <w:marBottom w:val="300"/>
                      <w:divBdr>
                        <w:top w:val="none" w:sz="0" w:space="0" w:color="auto"/>
                        <w:left w:val="none" w:sz="0" w:space="0" w:color="auto"/>
                        <w:bottom w:val="none" w:sz="0" w:space="0" w:color="auto"/>
                        <w:right w:val="none" w:sz="0" w:space="0" w:color="auto"/>
                      </w:divBdr>
                      <w:divsChild>
                        <w:div w:id="1339237348">
                          <w:marLeft w:val="0"/>
                          <w:marRight w:val="0"/>
                          <w:marTop w:val="0"/>
                          <w:marBottom w:val="225"/>
                          <w:divBdr>
                            <w:top w:val="single" w:sz="6" w:space="11" w:color="E5E5E5"/>
                            <w:left w:val="single" w:sz="6" w:space="11" w:color="E5E5E5"/>
                            <w:bottom w:val="single" w:sz="6" w:space="1" w:color="E5E5E5"/>
                            <w:right w:val="single" w:sz="6" w:space="11" w:color="E5E5E5"/>
                          </w:divBdr>
                          <w:divsChild>
                            <w:div w:id="151908310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269585885">
          <w:marLeft w:val="0"/>
          <w:marRight w:val="0"/>
          <w:marTop w:val="0"/>
          <w:marBottom w:val="0"/>
          <w:divBdr>
            <w:top w:val="single" w:sz="6" w:space="0" w:color="E5E5E5"/>
            <w:left w:val="none" w:sz="0" w:space="0" w:color="auto"/>
            <w:bottom w:val="single" w:sz="18" w:space="0" w:color="000000"/>
            <w:right w:val="none" w:sz="0" w:space="0" w:color="auto"/>
          </w:divBdr>
          <w:divsChild>
            <w:div w:id="607933635">
              <w:marLeft w:val="0"/>
              <w:marRight w:val="0"/>
              <w:marTop w:val="0"/>
              <w:marBottom w:val="0"/>
              <w:divBdr>
                <w:top w:val="none" w:sz="0" w:space="0" w:color="auto"/>
                <w:left w:val="none" w:sz="0" w:space="0" w:color="auto"/>
                <w:bottom w:val="none" w:sz="0" w:space="0" w:color="auto"/>
                <w:right w:val="none" w:sz="0" w:space="0" w:color="auto"/>
              </w:divBdr>
              <w:divsChild>
                <w:div w:id="46165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8541">
      <w:bodyDiv w:val="1"/>
      <w:marLeft w:val="0"/>
      <w:marRight w:val="0"/>
      <w:marTop w:val="0"/>
      <w:marBottom w:val="0"/>
      <w:divBdr>
        <w:top w:val="none" w:sz="0" w:space="0" w:color="auto"/>
        <w:left w:val="none" w:sz="0" w:space="0" w:color="auto"/>
        <w:bottom w:val="none" w:sz="0" w:space="0" w:color="auto"/>
        <w:right w:val="none" w:sz="0" w:space="0" w:color="auto"/>
      </w:divBdr>
    </w:div>
    <w:div w:id="13847109">
      <w:bodyDiv w:val="1"/>
      <w:marLeft w:val="0"/>
      <w:marRight w:val="0"/>
      <w:marTop w:val="0"/>
      <w:marBottom w:val="0"/>
      <w:divBdr>
        <w:top w:val="none" w:sz="0" w:space="0" w:color="auto"/>
        <w:left w:val="none" w:sz="0" w:space="0" w:color="auto"/>
        <w:bottom w:val="none" w:sz="0" w:space="0" w:color="auto"/>
        <w:right w:val="none" w:sz="0" w:space="0" w:color="auto"/>
      </w:divBdr>
      <w:divsChild>
        <w:div w:id="233441754">
          <w:marLeft w:val="0"/>
          <w:marRight w:val="0"/>
          <w:marTop w:val="0"/>
          <w:marBottom w:val="0"/>
          <w:divBdr>
            <w:top w:val="none" w:sz="0" w:space="0" w:color="auto"/>
            <w:left w:val="none" w:sz="0" w:space="0" w:color="auto"/>
            <w:bottom w:val="dotted" w:sz="6" w:space="4" w:color="DDDDDD"/>
            <w:right w:val="none" w:sz="0" w:space="0" w:color="auto"/>
          </w:divBdr>
          <w:divsChild>
            <w:div w:id="65217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8415">
      <w:bodyDiv w:val="1"/>
      <w:marLeft w:val="0"/>
      <w:marRight w:val="0"/>
      <w:marTop w:val="0"/>
      <w:marBottom w:val="0"/>
      <w:divBdr>
        <w:top w:val="none" w:sz="0" w:space="0" w:color="auto"/>
        <w:left w:val="none" w:sz="0" w:space="0" w:color="auto"/>
        <w:bottom w:val="none" w:sz="0" w:space="0" w:color="auto"/>
        <w:right w:val="none" w:sz="0" w:space="0" w:color="auto"/>
      </w:divBdr>
      <w:divsChild>
        <w:div w:id="401681701">
          <w:marLeft w:val="0"/>
          <w:marRight w:val="0"/>
          <w:marTop w:val="0"/>
          <w:marBottom w:val="0"/>
          <w:divBdr>
            <w:top w:val="none" w:sz="0" w:space="0" w:color="auto"/>
            <w:left w:val="none" w:sz="0" w:space="0" w:color="auto"/>
            <w:bottom w:val="dotted" w:sz="6" w:space="4" w:color="DDDDDD"/>
            <w:right w:val="none" w:sz="0" w:space="0" w:color="auto"/>
          </w:divBdr>
          <w:divsChild>
            <w:div w:id="13608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4390">
      <w:bodyDiv w:val="1"/>
      <w:marLeft w:val="0"/>
      <w:marRight w:val="0"/>
      <w:marTop w:val="0"/>
      <w:marBottom w:val="0"/>
      <w:divBdr>
        <w:top w:val="none" w:sz="0" w:space="0" w:color="auto"/>
        <w:left w:val="none" w:sz="0" w:space="0" w:color="auto"/>
        <w:bottom w:val="none" w:sz="0" w:space="0" w:color="auto"/>
        <w:right w:val="none" w:sz="0" w:space="0" w:color="auto"/>
      </w:divBdr>
      <w:divsChild>
        <w:div w:id="1660770440">
          <w:marLeft w:val="0"/>
          <w:marRight w:val="0"/>
          <w:marTop w:val="0"/>
          <w:marBottom w:val="0"/>
          <w:divBdr>
            <w:top w:val="none" w:sz="0" w:space="0" w:color="auto"/>
            <w:left w:val="none" w:sz="0" w:space="0" w:color="auto"/>
            <w:bottom w:val="dotted" w:sz="6" w:space="4" w:color="DDDDDD"/>
            <w:right w:val="none" w:sz="0" w:space="0" w:color="auto"/>
          </w:divBdr>
          <w:divsChild>
            <w:div w:id="16004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7020">
      <w:bodyDiv w:val="1"/>
      <w:marLeft w:val="0"/>
      <w:marRight w:val="0"/>
      <w:marTop w:val="0"/>
      <w:marBottom w:val="0"/>
      <w:divBdr>
        <w:top w:val="none" w:sz="0" w:space="0" w:color="auto"/>
        <w:left w:val="none" w:sz="0" w:space="0" w:color="auto"/>
        <w:bottom w:val="none" w:sz="0" w:space="0" w:color="auto"/>
        <w:right w:val="none" w:sz="0" w:space="0" w:color="auto"/>
      </w:divBdr>
      <w:divsChild>
        <w:div w:id="482819760">
          <w:marLeft w:val="0"/>
          <w:marRight w:val="0"/>
          <w:marTop w:val="0"/>
          <w:marBottom w:val="75"/>
          <w:divBdr>
            <w:top w:val="none" w:sz="0" w:space="0" w:color="auto"/>
            <w:left w:val="none" w:sz="0" w:space="0" w:color="auto"/>
            <w:bottom w:val="none" w:sz="0" w:space="0" w:color="auto"/>
            <w:right w:val="none" w:sz="0" w:space="0" w:color="auto"/>
          </w:divBdr>
        </w:div>
        <w:div w:id="1405955186">
          <w:marLeft w:val="0"/>
          <w:marRight w:val="0"/>
          <w:marTop w:val="0"/>
          <w:marBottom w:val="0"/>
          <w:divBdr>
            <w:top w:val="none" w:sz="0" w:space="0" w:color="auto"/>
            <w:left w:val="none" w:sz="0" w:space="0" w:color="auto"/>
            <w:bottom w:val="none" w:sz="0" w:space="0" w:color="auto"/>
            <w:right w:val="none" w:sz="0" w:space="0" w:color="auto"/>
          </w:divBdr>
          <w:divsChild>
            <w:div w:id="2075540510">
              <w:marLeft w:val="0"/>
              <w:marRight w:val="0"/>
              <w:marTop w:val="0"/>
              <w:marBottom w:val="0"/>
              <w:divBdr>
                <w:top w:val="none" w:sz="0" w:space="0" w:color="auto"/>
                <w:left w:val="none" w:sz="0" w:space="0" w:color="auto"/>
                <w:bottom w:val="none" w:sz="0" w:space="0" w:color="auto"/>
                <w:right w:val="none" w:sz="0" w:space="0" w:color="auto"/>
              </w:divBdr>
              <w:divsChild>
                <w:div w:id="110939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08232">
          <w:marLeft w:val="0"/>
          <w:marRight w:val="0"/>
          <w:marTop w:val="0"/>
          <w:marBottom w:val="0"/>
          <w:divBdr>
            <w:top w:val="none" w:sz="0" w:space="0" w:color="auto"/>
            <w:left w:val="none" w:sz="0" w:space="0" w:color="auto"/>
            <w:bottom w:val="none" w:sz="0" w:space="0" w:color="auto"/>
            <w:right w:val="none" w:sz="0" w:space="0" w:color="auto"/>
          </w:divBdr>
        </w:div>
      </w:divsChild>
    </w:div>
    <w:div w:id="14966655">
      <w:bodyDiv w:val="1"/>
      <w:marLeft w:val="0"/>
      <w:marRight w:val="0"/>
      <w:marTop w:val="0"/>
      <w:marBottom w:val="0"/>
      <w:divBdr>
        <w:top w:val="none" w:sz="0" w:space="0" w:color="auto"/>
        <w:left w:val="none" w:sz="0" w:space="0" w:color="auto"/>
        <w:bottom w:val="none" w:sz="0" w:space="0" w:color="auto"/>
        <w:right w:val="none" w:sz="0" w:space="0" w:color="auto"/>
      </w:divBdr>
      <w:divsChild>
        <w:div w:id="974918360">
          <w:marLeft w:val="0"/>
          <w:marRight w:val="0"/>
          <w:marTop w:val="0"/>
          <w:marBottom w:val="0"/>
          <w:divBdr>
            <w:top w:val="none" w:sz="0" w:space="0" w:color="auto"/>
            <w:left w:val="none" w:sz="0" w:space="0" w:color="auto"/>
            <w:bottom w:val="none" w:sz="0" w:space="0" w:color="auto"/>
            <w:right w:val="none" w:sz="0" w:space="0" w:color="auto"/>
          </w:divBdr>
        </w:div>
      </w:divsChild>
    </w:div>
    <w:div w:id="16080915">
      <w:bodyDiv w:val="1"/>
      <w:marLeft w:val="0"/>
      <w:marRight w:val="0"/>
      <w:marTop w:val="0"/>
      <w:marBottom w:val="0"/>
      <w:divBdr>
        <w:top w:val="none" w:sz="0" w:space="0" w:color="auto"/>
        <w:left w:val="none" w:sz="0" w:space="0" w:color="auto"/>
        <w:bottom w:val="none" w:sz="0" w:space="0" w:color="auto"/>
        <w:right w:val="none" w:sz="0" w:space="0" w:color="auto"/>
      </w:divBdr>
      <w:divsChild>
        <w:div w:id="771900103">
          <w:marLeft w:val="0"/>
          <w:marRight w:val="0"/>
          <w:marTop w:val="0"/>
          <w:marBottom w:val="0"/>
          <w:divBdr>
            <w:top w:val="none" w:sz="0" w:space="0" w:color="auto"/>
            <w:left w:val="none" w:sz="0" w:space="0" w:color="auto"/>
            <w:bottom w:val="none" w:sz="0" w:space="0" w:color="auto"/>
            <w:right w:val="none" w:sz="0" w:space="0" w:color="auto"/>
          </w:divBdr>
          <w:divsChild>
            <w:div w:id="1244340504">
              <w:marLeft w:val="0"/>
              <w:marRight w:val="0"/>
              <w:marTop w:val="0"/>
              <w:marBottom w:val="0"/>
              <w:divBdr>
                <w:top w:val="none" w:sz="0" w:space="0" w:color="auto"/>
                <w:left w:val="none" w:sz="0" w:space="0" w:color="auto"/>
                <w:bottom w:val="none" w:sz="0" w:space="0" w:color="auto"/>
                <w:right w:val="none" w:sz="0" w:space="0" w:color="auto"/>
              </w:divBdr>
            </w:div>
          </w:divsChild>
        </w:div>
        <w:div w:id="1558012418">
          <w:marLeft w:val="0"/>
          <w:marRight w:val="0"/>
          <w:marTop w:val="240"/>
          <w:marBottom w:val="0"/>
          <w:divBdr>
            <w:top w:val="none" w:sz="0" w:space="0" w:color="auto"/>
            <w:left w:val="none" w:sz="0" w:space="0" w:color="auto"/>
            <w:bottom w:val="none" w:sz="0" w:space="0" w:color="auto"/>
            <w:right w:val="none" w:sz="0" w:space="0" w:color="auto"/>
          </w:divBdr>
        </w:div>
      </w:divsChild>
    </w:div>
    <w:div w:id="16742168">
      <w:bodyDiv w:val="1"/>
      <w:marLeft w:val="0"/>
      <w:marRight w:val="0"/>
      <w:marTop w:val="0"/>
      <w:marBottom w:val="0"/>
      <w:divBdr>
        <w:top w:val="none" w:sz="0" w:space="0" w:color="auto"/>
        <w:left w:val="none" w:sz="0" w:space="0" w:color="auto"/>
        <w:bottom w:val="none" w:sz="0" w:space="0" w:color="auto"/>
        <w:right w:val="none" w:sz="0" w:space="0" w:color="auto"/>
      </w:divBdr>
      <w:divsChild>
        <w:div w:id="954412045">
          <w:marLeft w:val="0"/>
          <w:marRight w:val="0"/>
          <w:marTop w:val="0"/>
          <w:marBottom w:val="150"/>
          <w:divBdr>
            <w:top w:val="none" w:sz="0" w:space="0" w:color="auto"/>
            <w:left w:val="none" w:sz="0" w:space="0" w:color="auto"/>
            <w:bottom w:val="none" w:sz="0" w:space="0" w:color="auto"/>
            <w:right w:val="none" w:sz="0" w:space="0" w:color="auto"/>
          </w:divBdr>
          <w:divsChild>
            <w:div w:id="562452067">
              <w:marLeft w:val="0"/>
              <w:marRight w:val="0"/>
              <w:marTop w:val="0"/>
              <w:marBottom w:val="0"/>
              <w:divBdr>
                <w:top w:val="none" w:sz="0" w:space="0" w:color="auto"/>
                <w:left w:val="none" w:sz="0" w:space="0" w:color="auto"/>
                <w:bottom w:val="none" w:sz="0" w:space="0" w:color="auto"/>
                <w:right w:val="none" w:sz="0" w:space="0" w:color="auto"/>
              </w:divBdr>
            </w:div>
          </w:divsChild>
        </w:div>
        <w:div w:id="2011563872">
          <w:marLeft w:val="0"/>
          <w:marRight w:val="0"/>
          <w:marTop w:val="0"/>
          <w:marBottom w:val="150"/>
          <w:divBdr>
            <w:top w:val="none" w:sz="0" w:space="0" w:color="auto"/>
            <w:left w:val="none" w:sz="0" w:space="0" w:color="auto"/>
            <w:bottom w:val="none" w:sz="0" w:space="0" w:color="auto"/>
            <w:right w:val="none" w:sz="0" w:space="0" w:color="auto"/>
          </w:divBdr>
        </w:div>
      </w:divsChild>
    </w:div>
    <w:div w:id="16975461">
      <w:bodyDiv w:val="1"/>
      <w:marLeft w:val="0"/>
      <w:marRight w:val="0"/>
      <w:marTop w:val="0"/>
      <w:marBottom w:val="0"/>
      <w:divBdr>
        <w:top w:val="none" w:sz="0" w:space="0" w:color="auto"/>
        <w:left w:val="none" w:sz="0" w:space="0" w:color="auto"/>
        <w:bottom w:val="none" w:sz="0" w:space="0" w:color="auto"/>
        <w:right w:val="none" w:sz="0" w:space="0" w:color="auto"/>
      </w:divBdr>
      <w:divsChild>
        <w:div w:id="671226715">
          <w:marLeft w:val="-9765"/>
          <w:marRight w:val="0"/>
          <w:marTop w:val="0"/>
          <w:marBottom w:val="0"/>
          <w:divBdr>
            <w:top w:val="none" w:sz="0" w:space="0" w:color="auto"/>
            <w:left w:val="none" w:sz="0" w:space="0" w:color="auto"/>
            <w:bottom w:val="none" w:sz="0" w:space="0" w:color="auto"/>
            <w:right w:val="none" w:sz="0" w:space="0" w:color="auto"/>
          </w:divBdr>
        </w:div>
        <w:div w:id="1555309941">
          <w:marLeft w:val="0"/>
          <w:marRight w:val="0"/>
          <w:marTop w:val="0"/>
          <w:marBottom w:val="0"/>
          <w:divBdr>
            <w:top w:val="none" w:sz="0" w:space="0" w:color="auto"/>
            <w:left w:val="none" w:sz="0" w:space="0" w:color="auto"/>
            <w:bottom w:val="none" w:sz="0" w:space="0" w:color="auto"/>
            <w:right w:val="none" w:sz="0" w:space="0" w:color="auto"/>
          </w:divBdr>
          <w:divsChild>
            <w:div w:id="587740566">
              <w:marLeft w:val="0"/>
              <w:marRight w:val="0"/>
              <w:marTop w:val="0"/>
              <w:marBottom w:val="225"/>
              <w:divBdr>
                <w:top w:val="none" w:sz="0" w:space="0" w:color="auto"/>
                <w:left w:val="none" w:sz="0" w:space="0" w:color="auto"/>
                <w:bottom w:val="none" w:sz="0" w:space="0" w:color="auto"/>
                <w:right w:val="none" w:sz="0" w:space="0" w:color="auto"/>
              </w:divBdr>
              <w:divsChild>
                <w:div w:id="912130286">
                  <w:marLeft w:val="750"/>
                  <w:marRight w:val="0"/>
                  <w:marTop w:val="0"/>
                  <w:marBottom w:val="225"/>
                  <w:divBdr>
                    <w:top w:val="none" w:sz="0" w:space="0" w:color="auto"/>
                    <w:left w:val="none" w:sz="0" w:space="0" w:color="auto"/>
                    <w:bottom w:val="none" w:sz="0" w:space="0" w:color="auto"/>
                    <w:right w:val="none" w:sz="0" w:space="0" w:color="auto"/>
                  </w:divBdr>
                </w:div>
              </w:divsChild>
            </w:div>
            <w:div w:id="1183591148">
              <w:marLeft w:val="0"/>
              <w:marRight w:val="0"/>
              <w:marTop w:val="0"/>
              <w:marBottom w:val="225"/>
              <w:divBdr>
                <w:top w:val="none" w:sz="0" w:space="0" w:color="auto"/>
                <w:left w:val="none" w:sz="0" w:space="0" w:color="auto"/>
                <w:bottom w:val="none" w:sz="0" w:space="0" w:color="auto"/>
                <w:right w:val="none" w:sz="0" w:space="0" w:color="auto"/>
              </w:divBdr>
              <w:divsChild>
                <w:div w:id="168107770">
                  <w:marLeft w:val="0"/>
                  <w:marRight w:val="0"/>
                  <w:marTop w:val="0"/>
                  <w:marBottom w:val="150"/>
                  <w:divBdr>
                    <w:top w:val="none" w:sz="0" w:space="0" w:color="auto"/>
                    <w:left w:val="none" w:sz="0" w:space="0" w:color="auto"/>
                    <w:bottom w:val="none" w:sz="0" w:space="0" w:color="auto"/>
                    <w:right w:val="none" w:sz="0" w:space="0" w:color="auto"/>
                  </w:divBdr>
                </w:div>
                <w:div w:id="198859714">
                  <w:marLeft w:val="0"/>
                  <w:marRight w:val="0"/>
                  <w:marTop w:val="0"/>
                  <w:marBottom w:val="150"/>
                  <w:divBdr>
                    <w:top w:val="none" w:sz="0" w:space="0" w:color="auto"/>
                    <w:left w:val="none" w:sz="0" w:space="0" w:color="auto"/>
                    <w:bottom w:val="none" w:sz="0" w:space="0" w:color="auto"/>
                    <w:right w:val="none" w:sz="0" w:space="0" w:color="auto"/>
                  </w:divBdr>
                </w:div>
                <w:div w:id="348944531">
                  <w:marLeft w:val="0"/>
                  <w:marRight w:val="0"/>
                  <w:marTop w:val="0"/>
                  <w:marBottom w:val="150"/>
                  <w:divBdr>
                    <w:top w:val="none" w:sz="0" w:space="0" w:color="auto"/>
                    <w:left w:val="none" w:sz="0" w:space="0" w:color="auto"/>
                    <w:bottom w:val="none" w:sz="0" w:space="0" w:color="auto"/>
                    <w:right w:val="none" w:sz="0" w:space="0" w:color="auto"/>
                  </w:divBdr>
                </w:div>
                <w:div w:id="443428924">
                  <w:marLeft w:val="0"/>
                  <w:marRight w:val="0"/>
                  <w:marTop w:val="0"/>
                  <w:marBottom w:val="150"/>
                  <w:divBdr>
                    <w:top w:val="none" w:sz="0" w:space="0" w:color="auto"/>
                    <w:left w:val="none" w:sz="0" w:space="0" w:color="auto"/>
                    <w:bottom w:val="none" w:sz="0" w:space="0" w:color="auto"/>
                    <w:right w:val="none" w:sz="0" w:space="0" w:color="auto"/>
                  </w:divBdr>
                </w:div>
                <w:div w:id="503861792">
                  <w:marLeft w:val="0"/>
                  <w:marRight w:val="0"/>
                  <w:marTop w:val="0"/>
                  <w:marBottom w:val="150"/>
                  <w:divBdr>
                    <w:top w:val="none" w:sz="0" w:space="0" w:color="auto"/>
                    <w:left w:val="none" w:sz="0" w:space="0" w:color="auto"/>
                    <w:bottom w:val="none" w:sz="0" w:space="0" w:color="auto"/>
                    <w:right w:val="none" w:sz="0" w:space="0" w:color="auto"/>
                  </w:divBdr>
                </w:div>
                <w:div w:id="613249432">
                  <w:marLeft w:val="0"/>
                  <w:marRight w:val="0"/>
                  <w:marTop w:val="0"/>
                  <w:marBottom w:val="150"/>
                  <w:divBdr>
                    <w:top w:val="none" w:sz="0" w:space="0" w:color="auto"/>
                    <w:left w:val="none" w:sz="0" w:space="0" w:color="auto"/>
                    <w:bottom w:val="none" w:sz="0" w:space="0" w:color="auto"/>
                    <w:right w:val="none" w:sz="0" w:space="0" w:color="auto"/>
                  </w:divBdr>
                </w:div>
                <w:div w:id="1090932265">
                  <w:marLeft w:val="0"/>
                  <w:marRight w:val="0"/>
                  <w:marTop w:val="0"/>
                  <w:marBottom w:val="150"/>
                  <w:divBdr>
                    <w:top w:val="none" w:sz="0" w:space="0" w:color="auto"/>
                    <w:left w:val="none" w:sz="0" w:space="0" w:color="auto"/>
                    <w:bottom w:val="none" w:sz="0" w:space="0" w:color="auto"/>
                    <w:right w:val="none" w:sz="0" w:space="0" w:color="auto"/>
                  </w:divBdr>
                </w:div>
                <w:div w:id="1092968492">
                  <w:marLeft w:val="0"/>
                  <w:marRight w:val="0"/>
                  <w:marTop w:val="0"/>
                  <w:marBottom w:val="150"/>
                  <w:divBdr>
                    <w:top w:val="none" w:sz="0" w:space="0" w:color="auto"/>
                    <w:left w:val="none" w:sz="0" w:space="0" w:color="auto"/>
                    <w:bottom w:val="none" w:sz="0" w:space="0" w:color="auto"/>
                    <w:right w:val="none" w:sz="0" w:space="0" w:color="auto"/>
                  </w:divBdr>
                </w:div>
                <w:div w:id="1565944580">
                  <w:marLeft w:val="0"/>
                  <w:marRight w:val="0"/>
                  <w:marTop w:val="0"/>
                  <w:marBottom w:val="150"/>
                  <w:divBdr>
                    <w:top w:val="none" w:sz="0" w:space="0" w:color="auto"/>
                    <w:left w:val="none" w:sz="0" w:space="0" w:color="auto"/>
                    <w:bottom w:val="none" w:sz="0" w:space="0" w:color="auto"/>
                    <w:right w:val="none" w:sz="0" w:space="0" w:color="auto"/>
                  </w:divBdr>
                  <w:divsChild>
                    <w:div w:id="1022784896">
                      <w:marLeft w:val="0"/>
                      <w:marRight w:val="0"/>
                      <w:marTop w:val="0"/>
                      <w:marBottom w:val="150"/>
                      <w:divBdr>
                        <w:top w:val="none" w:sz="0" w:space="0" w:color="auto"/>
                        <w:left w:val="none" w:sz="0" w:space="0" w:color="auto"/>
                        <w:bottom w:val="none" w:sz="0" w:space="0" w:color="auto"/>
                        <w:right w:val="none" w:sz="0" w:space="0" w:color="auto"/>
                      </w:divBdr>
                      <w:divsChild>
                        <w:div w:id="25401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8277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1144632">
          <w:marLeft w:val="0"/>
          <w:marRight w:val="0"/>
          <w:marTop w:val="0"/>
          <w:marBottom w:val="150"/>
          <w:divBdr>
            <w:top w:val="none" w:sz="0" w:space="0" w:color="auto"/>
            <w:left w:val="none" w:sz="0" w:space="0" w:color="auto"/>
            <w:bottom w:val="none" w:sz="0" w:space="0" w:color="auto"/>
            <w:right w:val="none" w:sz="0" w:space="0" w:color="auto"/>
          </w:divBdr>
        </w:div>
      </w:divsChild>
    </w:div>
    <w:div w:id="16976857">
      <w:bodyDiv w:val="1"/>
      <w:marLeft w:val="0"/>
      <w:marRight w:val="0"/>
      <w:marTop w:val="0"/>
      <w:marBottom w:val="0"/>
      <w:divBdr>
        <w:top w:val="none" w:sz="0" w:space="0" w:color="auto"/>
        <w:left w:val="none" w:sz="0" w:space="0" w:color="auto"/>
        <w:bottom w:val="none" w:sz="0" w:space="0" w:color="auto"/>
        <w:right w:val="none" w:sz="0" w:space="0" w:color="auto"/>
      </w:divBdr>
      <w:divsChild>
        <w:div w:id="128477121">
          <w:marLeft w:val="0"/>
          <w:marRight w:val="0"/>
          <w:marTop w:val="0"/>
          <w:marBottom w:val="0"/>
          <w:divBdr>
            <w:top w:val="none" w:sz="0" w:space="0" w:color="auto"/>
            <w:left w:val="none" w:sz="0" w:space="0" w:color="auto"/>
            <w:bottom w:val="none" w:sz="0" w:space="0" w:color="auto"/>
            <w:right w:val="none" w:sz="0" w:space="0" w:color="auto"/>
          </w:divBdr>
          <w:divsChild>
            <w:div w:id="582952259">
              <w:marLeft w:val="0"/>
              <w:marRight w:val="0"/>
              <w:marTop w:val="0"/>
              <w:marBottom w:val="0"/>
              <w:divBdr>
                <w:top w:val="none" w:sz="0" w:space="0" w:color="auto"/>
                <w:left w:val="none" w:sz="0" w:space="0" w:color="auto"/>
                <w:bottom w:val="none" w:sz="0" w:space="0" w:color="auto"/>
                <w:right w:val="none" w:sz="0" w:space="0" w:color="auto"/>
              </w:divBdr>
            </w:div>
          </w:divsChild>
        </w:div>
        <w:div w:id="649095871">
          <w:marLeft w:val="0"/>
          <w:marRight w:val="0"/>
          <w:marTop w:val="0"/>
          <w:marBottom w:val="150"/>
          <w:divBdr>
            <w:top w:val="none" w:sz="0" w:space="0" w:color="auto"/>
            <w:left w:val="none" w:sz="0" w:space="0" w:color="auto"/>
            <w:bottom w:val="none" w:sz="0" w:space="0" w:color="auto"/>
            <w:right w:val="none" w:sz="0" w:space="0" w:color="auto"/>
          </w:divBdr>
          <w:divsChild>
            <w:div w:id="1921985463">
              <w:marLeft w:val="0"/>
              <w:marRight w:val="0"/>
              <w:marTop w:val="0"/>
              <w:marBottom w:val="0"/>
              <w:divBdr>
                <w:top w:val="none" w:sz="0" w:space="0" w:color="auto"/>
                <w:left w:val="none" w:sz="0" w:space="0" w:color="auto"/>
                <w:bottom w:val="none" w:sz="0" w:space="0" w:color="auto"/>
                <w:right w:val="none" w:sz="0" w:space="0" w:color="auto"/>
              </w:divBdr>
            </w:div>
          </w:divsChild>
        </w:div>
        <w:div w:id="1370640567">
          <w:marLeft w:val="0"/>
          <w:marRight w:val="0"/>
          <w:marTop w:val="0"/>
          <w:marBottom w:val="150"/>
          <w:divBdr>
            <w:top w:val="none" w:sz="0" w:space="0" w:color="auto"/>
            <w:left w:val="none" w:sz="0" w:space="0" w:color="auto"/>
            <w:bottom w:val="none" w:sz="0" w:space="0" w:color="auto"/>
            <w:right w:val="none" w:sz="0" w:space="0" w:color="auto"/>
          </w:divBdr>
        </w:div>
      </w:divsChild>
    </w:div>
    <w:div w:id="17439658">
      <w:bodyDiv w:val="1"/>
      <w:marLeft w:val="0"/>
      <w:marRight w:val="0"/>
      <w:marTop w:val="0"/>
      <w:marBottom w:val="0"/>
      <w:divBdr>
        <w:top w:val="none" w:sz="0" w:space="0" w:color="auto"/>
        <w:left w:val="none" w:sz="0" w:space="0" w:color="auto"/>
        <w:bottom w:val="none" w:sz="0" w:space="0" w:color="auto"/>
        <w:right w:val="none" w:sz="0" w:space="0" w:color="auto"/>
      </w:divBdr>
      <w:divsChild>
        <w:div w:id="541019375">
          <w:marLeft w:val="0"/>
          <w:marRight w:val="0"/>
          <w:marTop w:val="0"/>
          <w:marBottom w:val="0"/>
          <w:divBdr>
            <w:top w:val="none" w:sz="0" w:space="0" w:color="auto"/>
            <w:left w:val="none" w:sz="0" w:space="0" w:color="auto"/>
            <w:bottom w:val="dotted" w:sz="6" w:space="4" w:color="DDDDDD"/>
            <w:right w:val="none" w:sz="0" w:space="0" w:color="auto"/>
          </w:divBdr>
        </w:div>
      </w:divsChild>
    </w:div>
    <w:div w:id="17507732">
      <w:bodyDiv w:val="1"/>
      <w:marLeft w:val="0"/>
      <w:marRight w:val="0"/>
      <w:marTop w:val="0"/>
      <w:marBottom w:val="0"/>
      <w:divBdr>
        <w:top w:val="none" w:sz="0" w:space="0" w:color="auto"/>
        <w:left w:val="none" w:sz="0" w:space="0" w:color="auto"/>
        <w:bottom w:val="none" w:sz="0" w:space="0" w:color="auto"/>
        <w:right w:val="none" w:sz="0" w:space="0" w:color="auto"/>
      </w:divBdr>
      <w:divsChild>
        <w:div w:id="806701695">
          <w:marLeft w:val="0"/>
          <w:marRight w:val="0"/>
          <w:marTop w:val="0"/>
          <w:marBottom w:val="0"/>
          <w:divBdr>
            <w:top w:val="none" w:sz="0" w:space="0" w:color="auto"/>
            <w:left w:val="none" w:sz="0" w:space="0" w:color="auto"/>
            <w:bottom w:val="dotted" w:sz="6" w:space="4" w:color="DDDDDD"/>
            <w:right w:val="none" w:sz="0" w:space="0" w:color="auto"/>
          </w:divBdr>
          <w:divsChild>
            <w:div w:id="68829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4069">
      <w:bodyDiv w:val="1"/>
      <w:marLeft w:val="0"/>
      <w:marRight w:val="0"/>
      <w:marTop w:val="0"/>
      <w:marBottom w:val="0"/>
      <w:divBdr>
        <w:top w:val="none" w:sz="0" w:space="0" w:color="auto"/>
        <w:left w:val="none" w:sz="0" w:space="0" w:color="auto"/>
        <w:bottom w:val="none" w:sz="0" w:space="0" w:color="auto"/>
        <w:right w:val="none" w:sz="0" w:space="0" w:color="auto"/>
      </w:divBdr>
      <w:divsChild>
        <w:div w:id="128599921">
          <w:marLeft w:val="0"/>
          <w:marRight w:val="0"/>
          <w:marTop w:val="0"/>
          <w:marBottom w:val="225"/>
          <w:divBdr>
            <w:top w:val="none" w:sz="0" w:space="0" w:color="auto"/>
            <w:left w:val="none" w:sz="0" w:space="0" w:color="auto"/>
            <w:bottom w:val="none" w:sz="0" w:space="0" w:color="auto"/>
            <w:right w:val="none" w:sz="0" w:space="0" w:color="auto"/>
          </w:divBdr>
        </w:div>
        <w:div w:id="289867179">
          <w:marLeft w:val="0"/>
          <w:marRight w:val="0"/>
          <w:marTop w:val="0"/>
          <w:marBottom w:val="225"/>
          <w:divBdr>
            <w:top w:val="none" w:sz="0" w:space="0" w:color="auto"/>
            <w:left w:val="none" w:sz="0" w:space="0" w:color="auto"/>
            <w:bottom w:val="none" w:sz="0" w:space="0" w:color="auto"/>
            <w:right w:val="none" w:sz="0" w:space="0" w:color="auto"/>
          </w:divBdr>
          <w:divsChild>
            <w:div w:id="1989480863">
              <w:marLeft w:val="0"/>
              <w:marRight w:val="0"/>
              <w:marTop w:val="0"/>
              <w:marBottom w:val="0"/>
              <w:divBdr>
                <w:top w:val="none" w:sz="0" w:space="0" w:color="auto"/>
                <w:left w:val="none" w:sz="0" w:space="0" w:color="auto"/>
                <w:bottom w:val="none" w:sz="0" w:space="0" w:color="auto"/>
                <w:right w:val="none" w:sz="0" w:space="0" w:color="auto"/>
              </w:divBdr>
              <w:divsChild>
                <w:div w:id="58866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1949">
      <w:bodyDiv w:val="1"/>
      <w:marLeft w:val="0"/>
      <w:marRight w:val="0"/>
      <w:marTop w:val="0"/>
      <w:marBottom w:val="0"/>
      <w:divBdr>
        <w:top w:val="none" w:sz="0" w:space="0" w:color="auto"/>
        <w:left w:val="none" w:sz="0" w:space="0" w:color="auto"/>
        <w:bottom w:val="none" w:sz="0" w:space="0" w:color="auto"/>
        <w:right w:val="none" w:sz="0" w:space="0" w:color="auto"/>
      </w:divBdr>
      <w:divsChild>
        <w:div w:id="990594480">
          <w:marLeft w:val="0"/>
          <w:marRight w:val="0"/>
          <w:marTop w:val="0"/>
          <w:marBottom w:val="150"/>
          <w:divBdr>
            <w:top w:val="none" w:sz="0" w:space="0" w:color="auto"/>
            <w:left w:val="none" w:sz="0" w:space="0" w:color="auto"/>
            <w:bottom w:val="none" w:sz="0" w:space="0" w:color="auto"/>
            <w:right w:val="none" w:sz="0" w:space="0" w:color="auto"/>
          </w:divBdr>
        </w:div>
      </w:divsChild>
    </w:div>
    <w:div w:id="18940835">
      <w:bodyDiv w:val="1"/>
      <w:marLeft w:val="0"/>
      <w:marRight w:val="0"/>
      <w:marTop w:val="0"/>
      <w:marBottom w:val="0"/>
      <w:divBdr>
        <w:top w:val="none" w:sz="0" w:space="0" w:color="auto"/>
        <w:left w:val="none" w:sz="0" w:space="0" w:color="auto"/>
        <w:bottom w:val="none" w:sz="0" w:space="0" w:color="auto"/>
        <w:right w:val="none" w:sz="0" w:space="0" w:color="auto"/>
      </w:divBdr>
      <w:divsChild>
        <w:div w:id="1313947486">
          <w:marLeft w:val="0"/>
          <w:marRight w:val="0"/>
          <w:marTop w:val="0"/>
          <w:marBottom w:val="0"/>
          <w:divBdr>
            <w:top w:val="none" w:sz="0" w:space="0" w:color="auto"/>
            <w:left w:val="none" w:sz="0" w:space="0" w:color="auto"/>
            <w:bottom w:val="none" w:sz="0" w:space="0" w:color="auto"/>
            <w:right w:val="none" w:sz="0" w:space="0" w:color="auto"/>
          </w:divBdr>
          <w:divsChild>
            <w:div w:id="789863226">
              <w:marLeft w:val="0"/>
              <w:marRight w:val="0"/>
              <w:marTop w:val="0"/>
              <w:marBottom w:val="150"/>
              <w:divBdr>
                <w:top w:val="none" w:sz="0" w:space="0" w:color="auto"/>
                <w:left w:val="none" w:sz="0" w:space="0" w:color="auto"/>
                <w:bottom w:val="none" w:sz="0" w:space="0" w:color="auto"/>
                <w:right w:val="none" w:sz="0" w:space="0" w:color="auto"/>
              </w:divBdr>
            </w:div>
            <w:div w:id="155033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686">
      <w:bodyDiv w:val="1"/>
      <w:marLeft w:val="0"/>
      <w:marRight w:val="0"/>
      <w:marTop w:val="0"/>
      <w:marBottom w:val="0"/>
      <w:divBdr>
        <w:top w:val="none" w:sz="0" w:space="0" w:color="auto"/>
        <w:left w:val="none" w:sz="0" w:space="0" w:color="auto"/>
        <w:bottom w:val="none" w:sz="0" w:space="0" w:color="auto"/>
        <w:right w:val="none" w:sz="0" w:space="0" w:color="auto"/>
      </w:divBdr>
    </w:div>
    <w:div w:id="19164769">
      <w:bodyDiv w:val="1"/>
      <w:marLeft w:val="0"/>
      <w:marRight w:val="0"/>
      <w:marTop w:val="0"/>
      <w:marBottom w:val="0"/>
      <w:divBdr>
        <w:top w:val="none" w:sz="0" w:space="0" w:color="auto"/>
        <w:left w:val="none" w:sz="0" w:space="0" w:color="auto"/>
        <w:bottom w:val="none" w:sz="0" w:space="0" w:color="auto"/>
        <w:right w:val="none" w:sz="0" w:space="0" w:color="auto"/>
      </w:divBdr>
      <w:divsChild>
        <w:div w:id="2089770641">
          <w:marLeft w:val="0"/>
          <w:marRight w:val="0"/>
          <w:marTop w:val="0"/>
          <w:marBottom w:val="0"/>
          <w:divBdr>
            <w:top w:val="none" w:sz="0" w:space="0" w:color="auto"/>
            <w:left w:val="none" w:sz="0" w:space="0" w:color="auto"/>
            <w:bottom w:val="none" w:sz="0" w:space="0" w:color="auto"/>
            <w:right w:val="none" w:sz="0" w:space="0" w:color="auto"/>
          </w:divBdr>
          <w:divsChild>
            <w:div w:id="1543592089">
              <w:marLeft w:val="0"/>
              <w:marRight w:val="0"/>
              <w:marTop w:val="0"/>
              <w:marBottom w:val="0"/>
              <w:divBdr>
                <w:top w:val="none" w:sz="0" w:space="0" w:color="auto"/>
                <w:left w:val="none" w:sz="0" w:space="0" w:color="auto"/>
                <w:bottom w:val="none" w:sz="0" w:space="0" w:color="auto"/>
                <w:right w:val="none" w:sz="0" w:space="0" w:color="auto"/>
              </w:divBdr>
              <w:divsChild>
                <w:div w:id="8409766">
                  <w:marLeft w:val="0"/>
                  <w:marRight w:val="0"/>
                  <w:marTop w:val="0"/>
                  <w:marBottom w:val="0"/>
                  <w:divBdr>
                    <w:top w:val="none" w:sz="0" w:space="0" w:color="auto"/>
                    <w:left w:val="none" w:sz="0" w:space="0" w:color="auto"/>
                    <w:bottom w:val="none" w:sz="0" w:space="0" w:color="auto"/>
                    <w:right w:val="none" w:sz="0" w:space="0" w:color="auto"/>
                  </w:divBdr>
                  <w:divsChild>
                    <w:div w:id="1013071102">
                      <w:marLeft w:val="0"/>
                      <w:marRight w:val="0"/>
                      <w:marTop w:val="0"/>
                      <w:marBottom w:val="0"/>
                      <w:divBdr>
                        <w:top w:val="none" w:sz="0" w:space="0" w:color="auto"/>
                        <w:left w:val="none" w:sz="0" w:space="0" w:color="auto"/>
                        <w:bottom w:val="none" w:sz="0" w:space="0" w:color="auto"/>
                        <w:right w:val="none" w:sz="0" w:space="0" w:color="auto"/>
                      </w:divBdr>
                      <w:divsChild>
                        <w:div w:id="151650335">
                          <w:marLeft w:val="0"/>
                          <w:marRight w:val="0"/>
                          <w:marTop w:val="0"/>
                          <w:marBottom w:val="0"/>
                          <w:divBdr>
                            <w:top w:val="none" w:sz="0" w:space="0" w:color="auto"/>
                            <w:left w:val="none" w:sz="0" w:space="0" w:color="auto"/>
                            <w:bottom w:val="none" w:sz="0" w:space="0" w:color="auto"/>
                            <w:right w:val="none" w:sz="0" w:space="0" w:color="auto"/>
                          </w:divBdr>
                          <w:divsChild>
                            <w:div w:id="192957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58369">
      <w:bodyDiv w:val="1"/>
      <w:marLeft w:val="0"/>
      <w:marRight w:val="0"/>
      <w:marTop w:val="0"/>
      <w:marBottom w:val="0"/>
      <w:divBdr>
        <w:top w:val="none" w:sz="0" w:space="0" w:color="auto"/>
        <w:left w:val="none" w:sz="0" w:space="0" w:color="auto"/>
        <w:bottom w:val="none" w:sz="0" w:space="0" w:color="auto"/>
        <w:right w:val="none" w:sz="0" w:space="0" w:color="auto"/>
      </w:divBdr>
      <w:divsChild>
        <w:div w:id="896093236">
          <w:marLeft w:val="0"/>
          <w:marRight w:val="0"/>
          <w:marTop w:val="0"/>
          <w:marBottom w:val="150"/>
          <w:divBdr>
            <w:top w:val="none" w:sz="0" w:space="0" w:color="auto"/>
            <w:left w:val="none" w:sz="0" w:space="0" w:color="auto"/>
            <w:bottom w:val="none" w:sz="0" w:space="0" w:color="auto"/>
            <w:right w:val="none" w:sz="0" w:space="0" w:color="auto"/>
          </w:divBdr>
          <w:divsChild>
            <w:div w:id="506945577">
              <w:marLeft w:val="0"/>
              <w:marRight w:val="0"/>
              <w:marTop w:val="0"/>
              <w:marBottom w:val="0"/>
              <w:divBdr>
                <w:top w:val="none" w:sz="0" w:space="0" w:color="auto"/>
                <w:left w:val="none" w:sz="0" w:space="0" w:color="auto"/>
                <w:bottom w:val="none" w:sz="0" w:space="0" w:color="auto"/>
                <w:right w:val="none" w:sz="0" w:space="0" w:color="auto"/>
              </w:divBdr>
              <w:divsChild>
                <w:div w:id="176202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30924">
          <w:marLeft w:val="0"/>
          <w:marRight w:val="0"/>
          <w:marTop w:val="0"/>
          <w:marBottom w:val="150"/>
          <w:divBdr>
            <w:top w:val="none" w:sz="0" w:space="0" w:color="auto"/>
            <w:left w:val="none" w:sz="0" w:space="0" w:color="auto"/>
            <w:bottom w:val="none" w:sz="0" w:space="0" w:color="auto"/>
            <w:right w:val="none" w:sz="0" w:space="0" w:color="auto"/>
          </w:divBdr>
        </w:div>
        <w:div w:id="1707750100">
          <w:marLeft w:val="0"/>
          <w:marRight w:val="0"/>
          <w:marTop w:val="0"/>
          <w:marBottom w:val="0"/>
          <w:divBdr>
            <w:top w:val="none" w:sz="0" w:space="0" w:color="auto"/>
            <w:left w:val="none" w:sz="0" w:space="0" w:color="auto"/>
            <w:bottom w:val="none" w:sz="0" w:space="0" w:color="auto"/>
            <w:right w:val="none" w:sz="0" w:space="0" w:color="auto"/>
          </w:divBdr>
          <w:divsChild>
            <w:div w:id="95086273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98779">
      <w:bodyDiv w:val="1"/>
      <w:marLeft w:val="0"/>
      <w:marRight w:val="0"/>
      <w:marTop w:val="0"/>
      <w:marBottom w:val="0"/>
      <w:divBdr>
        <w:top w:val="none" w:sz="0" w:space="0" w:color="auto"/>
        <w:left w:val="none" w:sz="0" w:space="0" w:color="auto"/>
        <w:bottom w:val="none" w:sz="0" w:space="0" w:color="auto"/>
        <w:right w:val="none" w:sz="0" w:space="0" w:color="auto"/>
      </w:divBdr>
      <w:divsChild>
        <w:div w:id="226117083">
          <w:marLeft w:val="0"/>
          <w:marRight w:val="0"/>
          <w:marTop w:val="0"/>
          <w:marBottom w:val="0"/>
          <w:divBdr>
            <w:top w:val="none" w:sz="0" w:space="0" w:color="auto"/>
            <w:left w:val="none" w:sz="0" w:space="0" w:color="auto"/>
            <w:bottom w:val="dotted" w:sz="6" w:space="4" w:color="DDDDDD"/>
            <w:right w:val="none" w:sz="0" w:space="0" w:color="auto"/>
          </w:divBdr>
        </w:div>
      </w:divsChild>
    </w:div>
    <w:div w:id="19401936">
      <w:bodyDiv w:val="1"/>
      <w:marLeft w:val="0"/>
      <w:marRight w:val="0"/>
      <w:marTop w:val="0"/>
      <w:marBottom w:val="0"/>
      <w:divBdr>
        <w:top w:val="none" w:sz="0" w:space="0" w:color="auto"/>
        <w:left w:val="none" w:sz="0" w:space="0" w:color="auto"/>
        <w:bottom w:val="none" w:sz="0" w:space="0" w:color="auto"/>
        <w:right w:val="none" w:sz="0" w:space="0" w:color="auto"/>
      </w:divBdr>
      <w:divsChild>
        <w:div w:id="15859979">
          <w:marLeft w:val="0"/>
          <w:marRight w:val="0"/>
          <w:marTop w:val="0"/>
          <w:marBottom w:val="0"/>
          <w:divBdr>
            <w:top w:val="none" w:sz="0" w:space="0" w:color="auto"/>
            <w:left w:val="none" w:sz="0" w:space="0" w:color="auto"/>
            <w:bottom w:val="dotted" w:sz="6" w:space="4" w:color="DDDDDD"/>
            <w:right w:val="none" w:sz="0" w:space="0" w:color="auto"/>
          </w:divBdr>
        </w:div>
      </w:divsChild>
    </w:div>
    <w:div w:id="19935717">
      <w:bodyDiv w:val="1"/>
      <w:marLeft w:val="0"/>
      <w:marRight w:val="0"/>
      <w:marTop w:val="0"/>
      <w:marBottom w:val="0"/>
      <w:divBdr>
        <w:top w:val="none" w:sz="0" w:space="0" w:color="auto"/>
        <w:left w:val="none" w:sz="0" w:space="0" w:color="auto"/>
        <w:bottom w:val="none" w:sz="0" w:space="0" w:color="auto"/>
        <w:right w:val="none" w:sz="0" w:space="0" w:color="auto"/>
      </w:divBdr>
      <w:divsChild>
        <w:div w:id="27612479">
          <w:marLeft w:val="0"/>
          <w:marRight w:val="0"/>
          <w:marTop w:val="0"/>
          <w:marBottom w:val="0"/>
          <w:divBdr>
            <w:top w:val="none" w:sz="0" w:space="0" w:color="auto"/>
            <w:left w:val="none" w:sz="0" w:space="0" w:color="auto"/>
            <w:bottom w:val="none" w:sz="0" w:space="0" w:color="auto"/>
            <w:right w:val="none" w:sz="0" w:space="0" w:color="auto"/>
          </w:divBdr>
          <w:divsChild>
            <w:div w:id="1895970536">
              <w:marLeft w:val="0"/>
              <w:marRight w:val="0"/>
              <w:marTop w:val="0"/>
              <w:marBottom w:val="0"/>
              <w:divBdr>
                <w:top w:val="none" w:sz="0" w:space="0" w:color="auto"/>
                <w:left w:val="none" w:sz="0" w:space="0" w:color="auto"/>
                <w:bottom w:val="none" w:sz="0" w:space="0" w:color="auto"/>
                <w:right w:val="none" w:sz="0" w:space="0" w:color="auto"/>
              </w:divBdr>
            </w:div>
          </w:divsChild>
        </w:div>
        <w:div w:id="438065555">
          <w:marLeft w:val="0"/>
          <w:marRight w:val="0"/>
          <w:marTop w:val="0"/>
          <w:marBottom w:val="150"/>
          <w:divBdr>
            <w:top w:val="none" w:sz="0" w:space="0" w:color="auto"/>
            <w:left w:val="none" w:sz="0" w:space="0" w:color="auto"/>
            <w:bottom w:val="none" w:sz="0" w:space="0" w:color="auto"/>
            <w:right w:val="none" w:sz="0" w:space="0" w:color="auto"/>
          </w:divBdr>
          <w:divsChild>
            <w:div w:id="1650743133">
              <w:marLeft w:val="0"/>
              <w:marRight w:val="0"/>
              <w:marTop w:val="0"/>
              <w:marBottom w:val="0"/>
              <w:divBdr>
                <w:top w:val="none" w:sz="0" w:space="0" w:color="auto"/>
                <w:left w:val="none" w:sz="0" w:space="0" w:color="auto"/>
                <w:bottom w:val="none" w:sz="0" w:space="0" w:color="auto"/>
                <w:right w:val="none" w:sz="0" w:space="0" w:color="auto"/>
              </w:divBdr>
            </w:div>
          </w:divsChild>
        </w:div>
        <w:div w:id="2078167260">
          <w:marLeft w:val="0"/>
          <w:marRight w:val="0"/>
          <w:marTop w:val="0"/>
          <w:marBottom w:val="150"/>
          <w:divBdr>
            <w:top w:val="none" w:sz="0" w:space="0" w:color="auto"/>
            <w:left w:val="none" w:sz="0" w:space="0" w:color="auto"/>
            <w:bottom w:val="none" w:sz="0" w:space="0" w:color="auto"/>
            <w:right w:val="none" w:sz="0" w:space="0" w:color="auto"/>
          </w:divBdr>
        </w:div>
      </w:divsChild>
    </w:div>
    <w:div w:id="20130492">
      <w:bodyDiv w:val="1"/>
      <w:marLeft w:val="0"/>
      <w:marRight w:val="0"/>
      <w:marTop w:val="0"/>
      <w:marBottom w:val="0"/>
      <w:divBdr>
        <w:top w:val="none" w:sz="0" w:space="0" w:color="auto"/>
        <w:left w:val="none" w:sz="0" w:space="0" w:color="auto"/>
        <w:bottom w:val="none" w:sz="0" w:space="0" w:color="auto"/>
        <w:right w:val="none" w:sz="0" w:space="0" w:color="auto"/>
      </w:divBdr>
      <w:divsChild>
        <w:div w:id="831146299">
          <w:marLeft w:val="0"/>
          <w:marRight w:val="0"/>
          <w:marTop w:val="0"/>
          <w:marBottom w:val="0"/>
          <w:divBdr>
            <w:top w:val="none" w:sz="0" w:space="0" w:color="auto"/>
            <w:left w:val="none" w:sz="0" w:space="0" w:color="auto"/>
            <w:bottom w:val="dotted" w:sz="6" w:space="4" w:color="DDDDDD"/>
            <w:right w:val="none" w:sz="0" w:space="0" w:color="auto"/>
          </w:divBdr>
        </w:div>
      </w:divsChild>
    </w:div>
    <w:div w:id="20320401">
      <w:bodyDiv w:val="1"/>
      <w:marLeft w:val="0"/>
      <w:marRight w:val="0"/>
      <w:marTop w:val="0"/>
      <w:marBottom w:val="0"/>
      <w:divBdr>
        <w:top w:val="none" w:sz="0" w:space="0" w:color="auto"/>
        <w:left w:val="none" w:sz="0" w:space="0" w:color="auto"/>
        <w:bottom w:val="none" w:sz="0" w:space="0" w:color="auto"/>
        <w:right w:val="none" w:sz="0" w:space="0" w:color="auto"/>
      </w:divBdr>
      <w:divsChild>
        <w:div w:id="1135296653">
          <w:marLeft w:val="0"/>
          <w:marRight w:val="0"/>
          <w:marTop w:val="0"/>
          <w:marBottom w:val="0"/>
          <w:divBdr>
            <w:top w:val="none" w:sz="0" w:space="0" w:color="auto"/>
            <w:left w:val="none" w:sz="0" w:space="0" w:color="auto"/>
            <w:bottom w:val="none" w:sz="0" w:space="0" w:color="auto"/>
            <w:right w:val="none" w:sz="0" w:space="0" w:color="auto"/>
          </w:divBdr>
        </w:div>
      </w:divsChild>
    </w:div>
    <w:div w:id="20592044">
      <w:bodyDiv w:val="1"/>
      <w:marLeft w:val="0"/>
      <w:marRight w:val="0"/>
      <w:marTop w:val="0"/>
      <w:marBottom w:val="0"/>
      <w:divBdr>
        <w:top w:val="none" w:sz="0" w:space="0" w:color="auto"/>
        <w:left w:val="none" w:sz="0" w:space="0" w:color="auto"/>
        <w:bottom w:val="none" w:sz="0" w:space="0" w:color="auto"/>
        <w:right w:val="none" w:sz="0" w:space="0" w:color="auto"/>
      </w:divBdr>
      <w:divsChild>
        <w:div w:id="2140298657">
          <w:marLeft w:val="0"/>
          <w:marRight w:val="0"/>
          <w:marTop w:val="0"/>
          <w:marBottom w:val="0"/>
          <w:divBdr>
            <w:top w:val="none" w:sz="0" w:space="0" w:color="auto"/>
            <w:left w:val="none" w:sz="0" w:space="0" w:color="auto"/>
            <w:bottom w:val="none" w:sz="0" w:space="0" w:color="auto"/>
            <w:right w:val="none" w:sz="0" w:space="0" w:color="auto"/>
          </w:divBdr>
          <w:divsChild>
            <w:div w:id="72749667">
              <w:marLeft w:val="0"/>
              <w:marRight w:val="0"/>
              <w:marTop w:val="0"/>
              <w:marBottom w:val="0"/>
              <w:divBdr>
                <w:top w:val="none" w:sz="0" w:space="0" w:color="auto"/>
                <w:left w:val="none" w:sz="0" w:space="0" w:color="auto"/>
                <w:bottom w:val="none" w:sz="0" w:space="0" w:color="auto"/>
                <w:right w:val="none" w:sz="0" w:space="0" w:color="auto"/>
              </w:divBdr>
              <w:divsChild>
                <w:div w:id="1189876530">
                  <w:marLeft w:val="0"/>
                  <w:marRight w:val="0"/>
                  <w:marTop w:val="0"/>
                  <w:marBottom w:val="0"/>
                  <w:divBdr>
                    <w:top w:val="none" w:sz="0" w:space="0" w:color="auto"/>
                    <w:left w:val="none" w:sz="0" w:space="0" w:color="auto"/>
                    <w:bottom w:val="none" w:sz="0" w:space="0" w:color="auto"/>
                    <w:right w:val="none" w:sz="0" w:space="0" w:color="auto"/>
                  </w:divBdr>
                  <w:divsChild>
                    <w:div w:id="355230669">
                      <w:marLeft w:val="0"/>
                      <w:marRight w:val="0"/>
                      <w:marTop w:val="0"/>
                      <w:marBottom w:val="0"/>
                      <w:divBdr>
                        <w:top w:val="none" w:sz="0" w:space="0" w:color="auto"/>
                        <w:left w:val="none" w:sz="0" w:space="0" w:color="auto"/>
                        <w:bottom w:val="none" w:sz="0" w:space="0" w:color="auto"/>
                        <w:right w:val="none" w:sz="0" w:space="0" w:color="auto"/>
                      </w:divBdr>
                      <w:divsChild>
                        <w:div w:id="751269740">
                          <w:marLeft w:val="0"/>
                          <w:marRight w:val="0"/>
                          <w:marTop w:val="0"/>
                          <w:marBottom w:val="0"/>
                          <w:divBdr>
                            <w:top w:val="none" w:sz="0" w:space="0" w:color="auto"/>
                            <w:left w:val="none" w:sz="0" w:space="0" w:color="auto"/>
                            <w:bottom w:val="none" w:sz="0" w:space="0" w:color="auto"/>
                            <w:right w:val="none" w:sz="0" w:space="0" w:color="auto"/>
                          </w:divBdr>
                          <w:divsChild>
                            <w:div w:id="1491826731">
                              <w:marLeft w:val="0"/>
                              <w:marRight w:val="0"/>
                              <w:marTop w:val="0"/>
                              <w:marBottom w:val="0"/>
                              <w:divBdr>
                                <w:top w:val="none" w:sz="0" w:space="0" w:color="auto"/>
                                <w:left w:val="none" w:sz="0" w:space="0" w:color="auto"/>
                                <w:bottom w:val="none" w:sz="0" w:space="0" w:color="auto"/>
                                <w:right w:val="none" w:sz="0" w:space="0" w:color="auto"/>
                              </w:divBdr>
                            </w:div>
                          </w:divsChild>
                        </w:div>
                        <w:div w:id="78708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64892">
      <w:bodyDiv w:val="1"/>
      <w:marLeft w:val="0"/>
      <w:marRight w:val="0"/>
      <w:marTop w:val="0"/>
      <w:marBottom w:val="0"/>
      <w:divBdr>
        <w:top w:val="none" w:sz="0" w:space="0" w:color="auto"/>
        <w:left w:val="none" w:sz="0" w:space="0" w:color="auto"/>
        <w:bottom w:val="none" w:sz="0" w:space="0" w:color="auto"/>
        <w:right w:val="none" w:sz="0" w:space="0" w:color="auto"/>
      </w:divBdr>
    </w:div>
    <w:div w:id="21323472">
      <w:bodyDiv w:val="1"/>
      <w:marLeft w:val="0"/>
      <w:marRight w:val="0"/>
      <w:marTop w:val="0"/>
      <w:marBottom w:val="0"/>
      <w:divBdr>
        <w:top w:val="none" w:sz="0" w:space="0" w:color="auto"/>
        <w:left w:val="none" w:sz="0" w:space="0" w:color="auto"/>
        <w:bottom w:val="none" w:sz="0" w:space="0" w:color="auto"/>
        <w:right w:val="none" w:sz="0" w:space="0" w:color="auto"/>
      </w:divBdr>
      <w:divsChild>
        <w:div w:id="923490683">
          <w:marLeft w:val="0"/>
          <w:marRight w:val="0"/>
          <w:marTop w:val="0"/>
          <w:marBottom w:val="150"/>
          <w:divBdr>
            <w:top w:val="none" w:sz="0" w:space="0" w:color="auto"/>
            <w:left w:val="none" w:sz="0" w:space="0" w:color="auto"/>
            <w:bottom w:val="none" w:sz="0" w:space="0" w:color="auto"/>
            <w:right w:val="none" w:sz="0" w:space="0" w:color="auto"/>
          </w:divBdr>
          <w:divsChild>
            <w:div w:id="841965409">
              <w:marLeft w:val="0"/>
              <w:marRight w:val="0"/>
              <w:marTop w:val="0"/>
              <w:marBottom w:val="0"/>
              <w:divBdr>
                <w:top w:val="none" w:sz="0" w:space="0" w:color="auto"/>
                <w:left w:val="none" w:sz="0" w:space="0" w:color="auto"/>
                <w:bottom w:val="none" w:sz="0" w:space="0" w:color="auto"/>
                <w:right w:val="none" w:sz="0" w:space="0" w:color="auto"/>
              </w:divBdr>
            </w:div>
          </w:divsChild>
        </w:div>
        <w:div w:id="1533422899">
          <w:marLeft w:val="0"/>
          <w:marRight w:val="0"/>
          <w:marTop w:val="0"/>
          <w:marBottom w:val="0"/>
          <w:divBdr>
            <w:top w:val="none" w:sz="0" w:space="0" w:color="auto"/>
            <w:left w:val="none" w:sz="0" w:space="0" w:color="auto"/>
            <w:bottom w:val="none" w:sz="0" w:space="0" w:color="auto"/>
            <w:right w:val="none" w:sz="0" w:space="0" w:color="auto"/>
          </w:divBdr>
          <w:divsChild>
            <w:div w:id="1481145665">
              <w:marLeft w:val="0"/>
              <w:marRight w:val="0"/>
              <w:marTop w:val="0"/>
              <w:marBottom w:val="0"/>
              <w:divBdr>
                <w:top w:val="none" w:sz="0" w:space="0" w:color="auto"/>
                <w:left w:val="none" w:sz="0" w:space="0" w:color="auto"/>
                <w:bottom w:val="none" w:sz="0" w:space="0" w:color="auto"/>
                <w:right w:val="none" w:sz="0" w:space="0" w:color="auto"/>
              </w:divBdr>
            </w:div>
          </w:divsChild>
        </w:div>
        <w:div w:id="1814251034">
          <w:marLeft w:val="0"/>
          <w:marRight w:val="0"/>
          <w:marTop w:val="0"/>
          <w:marBottom w:val="150"/>
          <w:divBdr>
            <w:top w:val="none" w:sz="0" w:space="0" w:color="auto"/>
            <w:left w:val="none" w:sz="0" w:space="0" w:color="auto"/>
            <w:bottom w:val="none" w:sz="0" w:space="0" w:color="auto"/>
            <w:right w:val="none" w:sz="0" w:space="0" w:color="auto"/>
          </w:divBdr>
        </w:div>
      </w:divsChild>
    </w:div>
    <w:div w:id="21515947">
      <w:bodyDiv w:val="1"/>
      <w:marLeft w:val="0"/>
      <w:marRight w:val="0"/>
      <w:marTop w:val="0"/>
      <w:marBottom w:val="0"/>
      <w:divBdr>
        <w:top w:val="none" w:sz="0" w:space="0" w:color="auto"/>
        <w:left w:val="none" w:sz="0" w:space="0" w:color="auto"/>
        <w:bottom w:val="none" w:sz="0" w:space="0" w:color="auto"/>
        <w:right w:val="none" w:sz="0" w:space="0" w:color="auto"/>
      </w:divBdr>
      <w:divsChild>
        <w:div w:id="556011664">
          <w:marLeft w:val="0"/>
          <w:marRight w:val="0"/>
          <w:marTop w:val="0"/>
          <w:marBottom w:val="0"/>
          <w:divBdr>
            <w:top w:val="none" w:sz="0" w:space="0" w:color="auto"/>
            <w:left w:val="none" w:sz="0" w:space="0" w:color="auto"/>
            <w:bottom w:val="none" w:sz="0" w:space="0" w:color="auto"/>
            <w:right w:val="none" w:sz="0" w:space="0" w:color="auto"/>
          </w:divBdr>
          <w:divsChild>
            <w:div w:id="1948734804">
              <w:marLeft w:val="0"/>
              <w:marRight w:val="0"/>
              <w:marTop w:val="225"/>
              <w:marBottom w:val="225"/>
              <w:divBdr>
                <w:top w:val="none" w:sz="0" w:space="0" w:color="auto"/>
                <w:left w:val="none" w:sz="0" w:space="0" w:color="auto"/>
                <w:bottom w:val="none" w:sz="0" w:space="0" w:color="auto"/>
                <w:right w:val="none" w:sz="0" w:space="0" w:color="auto"/>
              </w:divBdr>
            </w:div>
          </w:divsChild>
        </w:div>
        <w:div w:id="1603027453">
          <w:marLeft w:val="0"/>
          <w:marRight w:val="0"/>
          <w:marTop w:val="0"/>
          <w:marBottom w:val="150"/>
          <w:divBdr>
            <w:top w:val="none" w:sz="0" w:space="0" w:color="auto"/>
            <w:left w:val="none" w:sz="0" w:space="0" w:color="auto"/>
            <w:bottom w:val="none" w:sz="0" w:space="0" w:color="auto"/>
            <w:right w:val="none" w:sz="0" w:space="0" w:color="auto"/>
          </w:divBdr>
        </w:div>
        <w:div w:id="1900436329">
          <w:marLeft w:val="0"/>
          <w:marRight w:val="0"/>
          <w:marTop w:val="0"/>
          <w:marBottom w:val="150"/>
          <w:divBdr>
            <w:top w:val="none" w:sz="0" w:space="0" w:color="auto"/>
            <w:left w:val="none" w:sz="0" w:space="0" w:color="auto"/>
            <w:bottom w:val="none" w:sz="0" w:space="0" w:color="auto"/>
            <w:right w:val="none" w:sz="0" w:space="0" w:color="auto"/>
          </w:divBdr>
          <w:divsChild>
            <w:div w:id="540745947">
              <w:marLeft w:val="0"/>
              <w:marRight w:val="0"/>
              <w:marTop w:val="0"/>
              <w:marBottom w:val="0"/>
              <w:divBdr>
                <w:top w:val="none" w:sz="0" w:space="0" w:color="auto"/>
                <w:left w:val="none" w:sz="0" w:space="0" w:color="auto"/>
                <w:bottom w:val="none" w:sz="0" w:space="0" w:color="auto"/>
                <w:right w:val="none" w:sz="0" w:space="0" w:color="auto"/>
              </w:divBdr>
              <w:divsChild>
                <w:div w:id="164111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75288">
      <w:bodyDiv w:val="1"/>
      <w:marLeft w:val="0"/>
      <w:marRight w:val="0"/>
      <w:marTop w:val="0"/>
      <w:marBottom w:val="0"/>
      <w:divBdr>
        <w:top w:val="none" w:sz="0" w:space="0" w:color="auto"/>
        <w:left w:val="none" w:sz="0" w:space="0" w:color="auto"/>
        <w:bottom w:val="none" w:sz="0" w:space="0" w:color="auto"/>
        <w:right w:val="none" w:sz="0" w:space="0" w:color="auto"/>
      </w:divBdr>
    </w:div>
    <w:div w:id="22678519">
      <w:bodyDiv w:val="1"/>
      <w:marLeft w:val="0"/>
      <w:marRight w:val="0"/>
      <w:marTop w:val="0"/>
      <w:marBottom w:val="0"/>
      <w:divBdr>
        <w:top w:val="none" w:sz="0" w:space="0" w:color="auto"/>
        <w:left w:val="none" w:sz="0" w:space="0" w:color="auto"/>
        <w:bottom w:val="none" w:sz="0" w:space="0" w:color="auto"/>
        <w:right w:val="none" w:sz="0" w:space="0" w:color="auto"/>
      </w:divBdr>
      <w:divsChild>
        <w:div w:id="1458793272">
          <w:marLeft w:val="0"/>
          <w:marRight w:val="0"/>
          <w:marTop w:val="0"/>
          <w:marBottom w:val="150"/>
          <w:divBdr>
            <w:top w:val="none" w:sz="0" w:space="0" w:color="auto"/>
            <w:left w:val="none" w:sz="0" w:space="0" w:color="auto"/>
            <w:bottom w:val="none" w:sz="0" w:space="0" w:color="auto"/>
            <w:right w:val="none" w:sz="0" w:space="0" w:color="auto"/>
          </w:divBdr>
        </w:div>
      </w:divsChild>
    </w:div>
    <w:div w:id="23017623">
      <w:bodyDiv w:val="1"/>
      <w:marLeft w:val="0"/>
      <w:marRight w:val="0"/>
      <w:marTop w:val="0"/>
      <w:marBottom w:val="0"/>
      <w:divBdr>
        <w:top w:val="none" w:sz="0" w:space="0" w:color="auto"/>
        <w:left w:val="none" w:sz="0" w:space="0" w:color="auto"/>
        <w:bottom w:val="none" w:sz="0" w:space="0" w:color="auto"/>
        <w:right w:val="none" w:sz="0" w:space="0" w:color="auto"/>
      </w:divBdr>
    </w:div>
    <w:div w:id="23214713">
      <w:bodyDiv w:val="1"/>
      <w:marLeft w:val="0"/>
      <w:marRight w:val="0"/>
      <w:marTop w:val="0"/>
      <w:marBottom w:val="0"/>
      <w:divBdr>
        <w:top w:val="none" w:sz="0" w:space="0" w:color="auto"/>
        <w:left w:val="none" w:sz="0" w:space="0" w:color="auto"/>
        <w:bottom w:val="none" w:sz="0" w:space="0" w:color="auto"/>
        <w:right w:val="none" w:sz="0" w:space="0" w:color="auto"/>
      </w:divBdr>
      <w:divsChild>
        <w:div w:id="1875994184">
          <w:marLeft w:val="0"/>
          <w:marRight w:val="0"/>
          <w:marTop w:val="0"/>
          <w:marBottom w:val="0"/>
          <w:divBdr>
            <w:top w:val="none" w:sz="0" w:space="0" w:color="auto"/>
            <w:left w:val="none" w:sz="0" w:space="0" w:color="auto"/>
            <w:bottom w:val="none" w:sz="0" w:space="0" w:color="auto"/>
            <w:right w:val="none" w:sz="0" w:space="0" w:color="auto"/>
          </w:divBdr>
          <w:divsChild>
            <w:div w:id="603457426">
              <w:marLeft w:val="0"/>
              <w:marRight w:val="0"/>
              <w:marTop w:val="0"/>
              <w:marBottom w:val="0"/>
              <w:divBdr>
                <w:top w:val="none" w:sz="0" w:space="0" w:color="auto"/>
                <w:left w:val="none" w:sz="0" w:space="0" w:color="auto"/>
                <w:bottom w:val="none" w:sz="0" w:space="0" w:color="auto"/>
                <w:right w:val="none" w:sz="0" w:space="0" w:color="auto"/>
              </w:divBdr>
              <w:divsChild>
                <w:div w:id="629749788">
                  <w:marLeft w:val="0"/>
                  <w:marRight w:val="0"/>
                  <w:marTop w:val="0"/>
                  <w:marBottom w:val="0"/>
                  <w:divBdr>
                    <w:top w:val="none" w:sz="0" w:space="0" w:color="auto"/>
                    <w:left w:val="none" w:sz="0" w:space="0" w:color="auto"/>
                    <w:bottom w:val="none" w:sz="0" w:space="0" w:color="auto"/>
                    <w:right w:val="none" w:sz="0" w:space="0" w:color="auto"/>
                  </w:divBdr>
                  <w:divsChild>
                    <w:div w:id="674188351">
                      <w:marLeft w:val="0"/>
                      <w:marRight w:val="0"/>
                      <w:marTop w:val="0"/>
                      <w:marBottom w:val="0"/>
                      <w:divBdr>
                        <w:top w:val="none" w:sz="0" w:space="0" w:color="auto"/>
                        <w:left w:val="none" w:sz="0" w:space="0" w:color="auto"/>
                        <w:bottom w:val="none" w:sz="0" w:space="0" w:color="auto"/>
                        <w:right w:val="none" w:sz="0" w:space="0" w:color="auto"/>
                      </w:divBdr>
                      <w:divsChild>
                        <w:div w:id="1979065935">
                          <w:marLeft w:val="0"/>
                          <w:marRight w:val="0"/>
                          <w:marTop w:val="0"/>
                          <w:marBottom w:val="0"/>
                          <w:divBdr>
                            <w:top w:val="none" w:sz="0" w:space="0" w:color="auto"/>
                            <w:left w:val="none" w:sz="0" w:space="0" w:color="auto"/>
                            <w:bottom w:val="none" w:sz="0" w:space="0" w:color="auto"/>
                            <w:right w:val="none" w:sz="0" w:space="0" w:color="auto"/>
                          </w:divBdr>
                          <w:divsChild>
                            <w:div w:id="679425971">
                              <w:marLeft w:val="0"/>
                              <w:marRight w:val="0"/>
                              <w:marTop w:val="0"/>
                              <w:marBottom w:val="0"/>
                              <w:divBdr>
                                <w:top w:val="none" w:sz="0" w:space="0" w:color="auto"/>
                                <w:left w:val="none" w:sz="0" w:space="0" w:color="auto"/>
                                <w:bottom w:val="none" w:sz="0" w:space="0" w:color="auto"/>
                                <w:right w:val="none" w:sz="0" w:space="0" w:color="auto"/>
                              </w:divBdr>
                              <w:divsChild>
                                <w:div w:id="1245412655">
                                  <w:marLeft w:val="0"/>
                                  <w:marRight w:val="0"/>
                                  <w:marTop w:val="0"/>
                                  <w:marBottom w:val="0"/>
                                  <w:divBdr>
                                    <w:top w:val="none" w:sz="0" w:space="0" w:color="auto"/>
                                    <w:left w:val="none" w:sz="0" w:space="0" w:color="auto"/>
                                    <w:bottom w:val="none" w:sz="0" w:space="0" w:color="auto"/>
                                    <w:right w:val="none" w:sz="0" w:space="0" w:color="auto"/>
                                  </w:divBdr>
                                  <w:divsChild>
                                    <w:div w:id="1258902125">
                                      <w:marLeft w:val="0"/>
                                      <w:marRight w:val="0"/>
                                      <w:marTop w:val="0"/>
                                      <w:marBottom w:val="0"/>
                                      <w:divBdr>
                                        <w:top w:val="none" w:sz="0" w:space="0" w:color="auto"/>
                                        <w:left w:val="none" w:sz="0" w:space="0" w:color="auto"/>
                                        <w:bottom w:val="none" w:sz="0" w:space="0" w:color="auto"/>
                                        <w:right w:val="none" w:sz="0" w:space="0" w:color="auto"/>
                                      </w:divBdr>
                                      <w:divsChild>
                                        <w:div w:id="83684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216200">
      <w:bodyDiv w:val="1"/>
      <w:marLeft w:val="0"/>
      <w:marRight w:val="0"/>
      <w:marTop w:val="0"/>
      <w:marBottom w:val="0"/>
      <w:divBdr>
        <w:top w:val="none" w:sz="0" w:space="0" w:color="auto"/>
        <w:left w:val="none" w:sz="0" w:space="0" w:color="auto"/>
        <w:bottom w:val="none" w:sz="0" w:space="0" w:color="auto"/>
        <w:right w:val="none" w:sz="0" w:space="0" w:color="auto"/>
      </w:divBdr>
      <w:divsChild>
        <w:div w:id="1737700255">
          <w:marLeft w:val="0"/>
          <w:marRight w:val="0"/>
          <w:marTop w:val="0"/>
          <w:marBottom w:val="0"/>
          <w:divBdr>
            <w:top w:val="none" w:sz="0" w:space="0" w:color="auto"/>
            <w:left w:val="none" w:sz="0" w:space="0" w:color="auto"/>
            <w:bottom w:val="dotted" w:sz="6" w:space="4" w:color="DDDDDD"/>
            <w:right w:val="none" w:sz="0" w:space="0" w:color="auto"/>
          </w:divBdr>
        </w:div>
      </w:divsChild>
    </w:div>
    <w:div w:id="23403901">
      <w:bodyDiv w:val="1"/>
      <w:marLeft w:val="0"/>
      <w:marRight w:val="0"/>
      <w:marTop w:val="0"/>
      <w:marBottom w:val="0"/>
      <w:divBdr>
        <w:top w:val="none" w:sz="0" w:space="0" w:color="auto"/>
        <w:left w:val="none" w:sz="0" w:space="0" w:color="auto"/>
        <w:bottom w:val="none" w:sz="0" w:space="0" w:color="auto"/>
        <w:right w:val="none" w:sz="0" w:space="0" w:color="auto"/>
      </w:divBdr>
      <w:divsChild>
        <w:div w:id="1166166518">
          <w:marLeft w:val="0"/>
          <w:marRight w:val="0"/>
          <w:marTop w:val="0"/>
          <w:marBottom w:val="0"/>
          <w:divBdr>
            <w:top w:val="none" w:sz="0" w:space="0" w:color="auto"/>
            <w:left w:val="none" w:sz="0" w:space="0" w:color="auto"/>
            <w:bottom w:val="none" w:sz="0" w:space="0" w:color="auto"/>
            <w:right w:val="none" w:sz="0" w:space="0" w:color="auto"/>
          </w:divBdr>
          <w:divsChild>
            <w:div w:id="178156972">
              <w:marLeft w:val="0"/>
              <w:marRight w:val="0"/>
              <w:marTop w:val="0"/>
              <w:marBottom w:val="0"/>
              <w:divBdr>
                <w:top w:val="none" w:sz="0" w:space="0" w:color="auto"/>
                <w:left w:val="none" w:sz="0" w:space="0" w:color="auto"/>
                <w:bottom w:val="none" w:sz="0" w:space="0" w:color="auto"/>
                <w:right w:val="none" w:sz="0" w:space="0" w:color="auto"/>
              </w:divBdr>
            </w:div>
            <w:div w:id="2082173752">
              <w:marLeft w:val="0"/>
              <w:marRight w:val="150"/>
              <w:marTop w:val="0"/>
              <w:marBottom w:val="0"/>
              <w:divBdr>
                <w:top w:val="none" w:sz="0" w:space="0" w:color="auto"/>
                <w:left w:val="none" w:sz="0" w:space="0" w:color="auto"/>
                <w:bottom w:val="none" w:sz="0" w:space="0" w:color="auto"/>
                <w:right w:val="none" w:sz="0" w:space="0" w:color="auto"/>
              </w:divBdr>
            </w:div>
          </w:divsChild>
        </w:div>
        <w:div w:id="1417819560">
          <w:marLeft w:val="0"/>
          <w:marRight w:val="0"/>
          <w:marTop w:val="0"/>
          <w:marBottom w:val="0"/>
          <w:divBdr>
            <w:top w:val="none" w:sz="0" w:space="0" w:color="auto"/>
            <w:left w:val="none" w:sz="0" w:space="0" w:color="auto"/>
            <w:bottom w:val="none" w:sz="0" w:space="0" w:color="auto"/>
            <w:right w:val="none" w:sz="0" w:space="0" w:color="auto"/>
          </w:divBdr>
        </w:div>
      </w:divsChild>
    </w:div>
    <w:div w:id="24214540">
      <w:bodyDiv w:val="1"/>
      <w:marLeft w:val="0"/>
      <w:marRight w:val="0"/>
      <w:marTop w:val="0"/>
      <w:marBottom w:val="0"/>
      <w:divBdr>
        <w:top w:val="none" w:sz="0" w:space="0" w:color="auto"/>
        <w:left w:val="none" w:sz="0" w:space="0" w:color="auto"/>
        <w:bottom w:val="none" w:sz="0" w:space="0" w:color="auto"/>
        <w:right w:val="none" w:sz="0" w:space="0" w:color="auto"/>
      </w:divBdr>
      <w:divsChild>
        <w:div w:id="222373626">
          <w:marLeft w:val="0"/>
          <w:marRight w:val="0"/>
          <w:marTop w:val="0"/>
          <w:marBottom w:val="150"/>
          <w:divBdr>
            <w:top w:val="none" w:sz="0" w:space="0" w:color="auto"/>
            <w:left w:val="none" w:sz="0" w:space="0" w:color="auto"/>
            <w:bottom w:val="none" w:sz="0" w:space="0" w:color="auto"/>
            <w:right w:val="none" w:sz="0" w:space="0" w:color="auto"/>
          </w:divBdr>
          <w:divsChild>
            <w:div w:id="400981388">
              <w:marLeft w:val="0"/>
              <w:marRight w:val="0"/>
              <w:marTop w:val="0"/>
              <w:marBottom w:val="0"/>
              <w:divBdr>
                <w:top w:val="none" w:sz="0" w:space="0" w:color="auto"/>
                <w:left w:val="none" w:sz="0" w:space="0" w:color="auto"/>
                <w:bottom w:val="none" w:sz="0" w:space="0" w:color="auto"/>
                <w:right w:val="none" w:sz="0" w:space="0" w:color="auto"/>
              </w:divBdr>
              <w:divsChild>
                <w:div w:id="832334165">
                  <w:marLeft w:val="0"/>
                  <w:marRight w:val="0"/>
                  <w:marTop w:val="0"/>
                  <w:marBottom w:val="0"/>
                  <w:divBdr>
                    <w:top w:val="none" w:sz="0" w:space="0" w:color="auto"/>
                    <w:left w:val="none" w:sz="0" w:space="0" w:color="auto"/>
                    <w:bottom w:val="none" w:sz="0" w:space="0" w:color="auto"/>
                    <w:right w:val="none" w:sz="0" w:space="0" w:color="auto"/>
                  </w:divBdr>
                  <w:divsChild>
                    <w:div w:id="1499270203">
                      <w:marLeft w:val="0"/>
                      <w:marRight w:val="150"/>
                      <w:marTop w:val="0"/>
                      <w:marBottom w:val="0"/>
                      <w:divBdr>
                        <w:top w:val="none" w:sz="0" w:space="0" w:color="auto"/>
                        <w:left w:val="none" w:sz="0" w:space="0" w:color="auto"/>
                        <w:bottom w:val="none" w:sz="0" w:space="0" w:color="auto"/>
                        <w:right w:val="none" w:sz="0" w:space="0" w:color="auto"/>
                      </w:divBdr>
                      <w:divsChild>
                        <w:div w:id="12204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143805">
          <w:marLeft w:val="0"/>
          <w:marRight w:val="0"/>
          <w:marTop w:val="0"/>
          <w:marBottom w:val="150"/>
          <w:divBdr>
            <w:top w:val="none" w:sz="0" w:space="0" w:color="auto"/>
            <w:left w:val="none" w:sz="0" w:space="0" w:color="auto"/>
            <w:bottom w:val="none" w:sz="0" w:space="0" w:color="auto"/>
            <w:right w:val="none" w:sz="0" w:space="0" w:color="auto"/>
          </w:divBdr>
        </w:div>
        <w:div w:id="1152140416">
          <w:marLeft w:val="0"/>
          <w:marRight w:val="0"/>
          <w:marTop w:val="0"/>
          <w:marBottom w:val="0"/>
          <w:divBdr>
            <w:top w:val="none" w:sz="0" w:space="0" w:color="auto"/>
            <w:left w:val="none" w:sz="0" w:space="0" w:color="auto"/>
            <w:bottom w:val="none" w:sz="0" w:space="0" w:color="auto"/>
            <w:right w:val="none" w:sz="0" w:space="0" w:color="auto"/>
          </w:divBdr>
          <w:divsChild>
            <w:div w:id="5088384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4520808">
      <w:bodyDiv w:val="1"/>
      <w:marLeft w:val="0"/>
      <w:marRight w:val="0"/>
      <w:marTop w:val="0"/>
      <w:marBottom w:val="0"/>
      <w:divBdr>
        <w:top w:val="none" w:sz="0" w:space="0" w:color="auto"/>
        <w:left w:val="none" w:sz="0" w:space="0" w:color="auto"/>
        <w:bottom w:val="none" w:sz="0" w:space="0" w:color="auto"/>
        <w:right w:val="none" w:sz="0" w:space="0" w:color="auto"/>
      </w:divBdr>
      <w:divsChild>
        <w:div w:id="352196022">
          <w:marLeft w:val="0"/>
          <w:marRight w:val="0"/>
          <w:marTop w:val="0"/>
          <w:marBottom w:val="240"/>
          <w:divBdr>
            <w:top w:val="none" w:sz="0" w:space="0" w:color="auto"/>
            <w:left w:val="none" w:sz="0" w:space="0" w:color="auto"/>
            <w:bottom w:val="none" w:sz="0" w:space="0" w:color="auto"/>
            <w:right w:val="none" w:sz="0" w:space="0" w:color="auto"/>
          </w:divBdr>
        </w:div>
        <w:div w:id="848718771">
          <w:marLeft w:val="0"/>
          <w:marRight w:val="0"/>
          <w:marTop w:val="0"/>
          <w:marBottom w:val="240"/>
          <w:divBdr>
            <w:top w:val="none" w:sz="0" w:space="0" w:color="auto"/>
            <w:left w:val="none" w:sz="0" w:space="0" w:color="auto"/>
            <w:bottom w:val="none" w:sz="0" w:space="0" w:color="auto"/>
            <w:right w:val="none" w:sz="0" w:space="0" w:color="auto"/>
          </w:divBdr>
        </w:div>
        <w:div w:id="1504468822">
          <w:marLeft w:val="0"/>
          <w:marRight w:val="0"/>
          <w:marTop w:val="0"/>
          <w:marBottom w:val="240"/>
          <w:divBdr>
            <w:top w:val="none" w:sz="0" w:space="0" w:color="auto"/>
            <w:left w:val="none" w:sz="0" w:space="0" w:color="auto"/>
            <w:bottom w:val="none" w:sz="0" w:space="0" w:color="auto"/>
            <w:right w:val="none" w:sz="0" w:space="0" w:color="auto"/>
          </w:divBdr>
        </w:div>
        <w:div w:id="1693265828">
          <w:marLeft w:val="0"/>
          <w:marRight w:val="0"/>
          <w:marTop w:val="0"/>
          <w:marBottom w:val="240"/>
          <w:divBdr>
            <w:top w:val="none" w:sz="0" w:space="0" w:color="auto"/>
            <w:left w:val="none" w:sz="0" w:space="0" w:color="auto"/>
            <w:bottom w:val="none" w:sz="0" w:space="0" w:color="auto"/>
            <w:right w:val="none" w:sz="0" w:space="0" w:color="auto"/>
          </w:divBdr>
          <w:divsChild>
            <w:div w:id="2104036375">
              <w:marLeft w:val="0"/>
              <w:marRight w:val="0"/>
              <w:marTop w:val="0"/>
              <w:marBottom w:val="0"/>
              <w:divBdr>
                <w:top w:val="none" w:sz="0" w:space="0" w:color="auto"/>
                <w:left w:val="none" w:sz="0" w:space="0" w:color="auto"/>
                <w:bottom w:val="none" w:sz="0" w:space="0" w:color="auto"/>
                <w:right w:val="none" w:sz="0" w:space="0" w:color="auto"/>
              </w:divBdr>
              <w:divsChild>
                <w:div w:id="197571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878804">
          <w:marLeft w:val="0"/>
          <w:marRight w:val="0"/>
          <w:marTop w:val="0"/>
          <w:marBottom w:val="240"/>
          <w:divBdr>
            <w:top w:val="none" w:sz="0" w:space="0" w:color="auto"/>
            <w:left w:val="none" w:sz="0" w:space="0" w:color="auto"/>
            <w:bottom w:val="none" w:sz="0" w:space="0" w:color="auto"/>
            <w:right w:val="none" w:sz="0" w:space="0" w:color="auto"/>
          </w:divBdr>
        </w:div>
      </w:divsChild>
    </w:div>
    <w:div w:id="24721116">
      <w:bodyDiv w:val="1"/>
      <w:marLeft w:val="0"/>
      <w:marRight w:val="0"/>
      <w:marTop w:val="0"/>
      <w:marBottom w:val="0"/>
      <w:divBdr>
        <w:top w:val="none" w:sz="0" w:space="0" w:color="auto"/>
        <w:left w:val="none" w:sz="0" w:space="0" w:color="auto"/>
        <w:bottom w:val="none" w:sz="0" w:space="0" w:color="auto"/>
        <w:right w:val="none" w:sz="0" w:space="0" w:color="auto"/>
      </w:divBdr>
      <w:divsChild>
        <w:div w:id="1254558063">
          <w:marLeft w:val="0"/>
          <w:marRight w:val="0"/>
          <w:marTop w:val="0"/>
          <w:marBottom w:val="0"/>
          <w:divBdr>
            <w:top w:val="none" w:sz="0" w:space="0" w:color="auto"/>
            <w:left w:val="none" w:sz="0" w:space="0" w:color="auto"/>
            <w:bottom w:val="dotted" w:sz="6" w:space="4" w:color="DDDDDD"/>
            <w:right w:val="none" w:sz="0" w:space="0" w:color="auto"/>
          </w:divBdr>
        </w:div>
      </w:divsChild>
    </w:div>
    <w:div w:id="24987856">
      <w:bodyDiv w:val="1"/>
      <w:marLeft w:val="0"/>
      <w:marRight w:val="0"/>
      <w:marTop w:val="0"/>
      <w:marBottom w:val="0"/>
      <w:divBdr>
        <w:top w:val="none" w:sz="0" w:space="0" w:color="auto"/>
        <w:left w:val="none" w:sz="0" w:space="0" w:color="auto"/>
        <w:bottom w:val="none" w:sz="0" w:space="0" w:color="auto"/>
        <w:right w:val="none" w:sz="0" w:space="0" w:color="auto"/>
      </w:divBdr>
    </w:div>
    <w:div w:id="26100055">
      <w:bodyDiv w:val="1"/>
      <w:marLeft w:val="0"/>
      <w:marRight w:val="0"/>
      <w:marTop w:val="0"/>
      <w:marBottom w:val="0"/>
      <w:divBdr>
        <w:top w:val="none" w:sz="0" w:space="0" w:color="auto"/>
        <w:left w:val="none" w:sz="0" w:space="0" w:color="auto"/>
        <w:bottom w:val="none" w:sz="0" w:space="0" w:color="auto"/>
        <w:right w:val="none" w:sz="0" w:space="0" w:color="auto"/>
      </w:divBdr>
    </w:div>
    <w:div w:id="26567503">
      <w:bodyDiv w:val="1"/>
      <w:marLeft w:val="0"/>
      <w:marRight w:val="0"/>
      <w:marTop w:val="0"/>
      <w:marBottom w:val="0"/>
      <w:divBdr>
        <w:top w:val="none" w:sz="0" w:space="0" w:color="auto"/>
        <w:left w:val="none" w:sz="0" w:space="0" w:color="auto"/>
        <w:bottom w:val="none" w:sz="0" w:space="0" w:color="auto"/>
        <w:right w:val="none" w:sz="0" w:space="0" w:color="auto"/>
      </w:divBdr>
    </w:div>
    <w:div w:id="27340620">
      <w:bodyDiv w:val="1"/>
      <w:marLeft w:val="0"/>
      <w:marRight w:val="0"/>
      <w:marTop w:val="0"/>
      <w:marBottom w:val="0"/>
      <w:divBdr>
        <w:top w:val="none" w:sz="0" w:space="0" w:color="auto"/>
        <w:left w:val="none" w:sz="0" w:space="0" w:color="auto"/>
        <w:bottom w:val="none" w:sz="0" w:space="0" w:color="auto"/>
        <w:right w:val="none" w:sz="0" w:space="0" w:color="auto"/>
      </w:divBdr>
    </w:div>
    <w:div w:id="27687257">
      <w:bodyDiv w:val="1"/>
      <w:marLeft w:val="0"/>
      <w:marRight w:val="0"/>
      <w:marTop w:val="0"/>
      <w:marBottom w:val="0"/>
      <w:divBdr>
        <w:top w:val="none" w:sz="0" w:space="0" w:color="auto"/>
        <w:left w:val="none" w:sz="0" w:space="0" w:color="auto"/>
        <w:bottom w:val="none" w:sz="0" w:space="0" w:color="auto"/>
        <w:right w:val="none" w:sz="0" w:space="0" w:color="auto"/>
      </w:divBdr>
      <w:divsChild>
        <w:div w:id="1346862903">
          <w:marLeft w:val="0"/>
          <w:marRight w:val="0"/>
          <w:marTop w:val="0"/>
          <w:marBottom w:val="0"/>
          <w:divBdr>
            <w:top w:val="none" w:sz="0" w:space="0" w:color="auto"/>
            <w:left w:val="none" w:sz="0" w:space="0" w:color="auto"/>
            <w:bottom w:val="dotted" w:sz="6" w:space="4" w:color="DDDDDD"/>
            <w:right w:val="none" w:sz="0" w:space="0" w:color="auto"/>
          </w:divBdr>
        </w:div>
      </w:divsChild>
    </w:div>
    <w:div w:id="27922406">
      <w:bodyDiv w:val="1"/>
      <w:marLeft w:val="0"/>
      <w:marRight w:val="0"/>
      <w:marTop w:val="0"/>
      <w:marBottom w:val="0"/>
      <w:divBdr>
        <w:top w:val="none" w:sz="0" w:space="0" w:color="auto"/>
        <w:left w:val="none" w:sz="0" w:space="0" w:color="auto"/>
        <w:bottom w:val="none" w:sz="0" w:space="0" w:color="auto"/>
        <w:right w:val="none" w:sz="0" w:space="0" w:color="auto"/>
      </w:divBdr>
      <w:divsChild>
        <w:div w:id="1294213272">
          <w:marLeft w:val="0"/>
          <w:marRight w:val="0"/>
          <w:marTop w:val="0"/>
          <w:marBottom w:val="150"/>
          <w:divBdr>
            <w:top w:val="none" w:sz="0" w:space="0" w:color="auto"/>
            <w:left w:val="none" w:sz="0" w:space="0" w:color="auto"/>
            <w:bottom w:val="none" w:sz="0" w:space="0" w:color="auto"/>
            <w:right w:val="none" w:sz="0" w:space="0" w:color="auto"/>
          </w:divBdr>
        </w:div>
      </w:divsChild>
    </w:div>
    <w:div w:id="28074005">
      <w:bodyDiv w:val="1"/>
      <w:marLeft w:val="0"/>
      <w:marRight w:val="0"/>
      <w:marTop w:val="0"/>
      <w:marBottom w:val="0"/>
      <w:divBdr>
        <w:top w:val="none" w:sz="0" w:space="0" w:color="auto"/>
        <w:left w:val="none" w:sz="0" w:space="0" w:color="auto"/>
        <w:bottom w:val="none" w:sz="0" w:space="0" w:color="auto"/>
        <w:right w:val="none" w:sz="0" w:space="0" w:color="auto"/>
      </w:divBdr>
    </w:div>
    <w:div w:id="29109866">
      <w:bodyDiv w:val="1"/>
      <w:marLeft w:val="0"/>
      <w:marRight w:val="0"/>
      <w:marTop w:val="0"/>
      <w:marBottom w:val="0"/>
      <w:divBdr>
        <w:top w:val="none" w:sz="0" w:space="0" w:color="auto"/>
        <w:left w:val="none" w:sz="0" w:space="0" w:color="auto"/>
        <w:bottom w:val="none" w:sz="0" w:space="0" w:color="auto"/>
        <w:right w:val="none" w:sz="0" w:space="0" w:color="auto"/>
      </w:divBdr>
    </w:div>
    <w:div w:id="29453289">
      <w:bodyDiv w:val="1"/>
      <w:marLeft w:val="0"/>
      <w:marRight w:val="0"/>
      <w:marTop w:val="0"/>
      <w:marBottom w:val="0"/>
      <w:divBdr>
        <w:top w:val="none" w:sz="0" w:space="0" w:color="auto"/>
        <w:left w:val="none" w:sz="0" w:space="0" w:color="auto"/>
        <w:bottom w:val="none" w:sz="0" w:space="0" w:color="auto"/>
        <w:right w:val="none" w:sz="0" w:space="0" w:color="auto"/>
      </w:divBdr>
    </w:div>
    <w:div w:id="29654511">
      <w:bodyDiv w:val="1"/>
      <w:marLeft w:val="0"/>
      <w:marRight w:val="0"/>
      <w:marTop w:val="0"/>
      <w:marBottom w:val="0"/>
      <w:divBdr>
        <w:top w:val="none" w:sz="0" w:space="0" w:color="auto"/>
        <w:left w:val="none" w:sz="0" w:space="0" w:color="auto"/>
        <w:bottom w:val="none" w:sz="0" w:space="0" w:color="auto"/>
        <w:right w:val="none" w:sz="0" w:space="0" w:color="auto"/>
      </w:divBdr>
      <w:divsChild>
        <w:div w:id="168301629">
          <w:marLeft w:val="0"/>
          <w:marRight w:val="0"/>
          <w:marTop w:val="0"/>
          <w:marBottom w:val="0"/>
          <w:divBdr>
            <w:top w:val="none" w:sz="0" w:space="0" w:color="auto"/>
            <w:left w:val="none" w:sz="0" w:space="0" w:color="auto"/>
            <w:bottom w:val="none" w:sz="0" w:space="0" w:color="auto"/>
            <w:right w:val="none" w:sz="0" w:space="0" w:color="auto"/>
          </w:divBdr>
          <w:divsChild>
            <w:div w:id="610743433">
              <w:marLeft w:val="0"/>
              <w:marRight w:val="0"/>
              <w:marTop w:val="0"/>
              <w:marBottom w:val="0"/>
              <w:divBdr>
                <w:top w:val="none" w:sz="0" w:space="0" w:color="auto"/>
                <w:left w:val="none" w:sz="0" w:space="0" w:color="auto"/>
                <w:bottom w:val="none" w:sz="0" w:space="0" w:color="auto"/>
                <w:right w:val="none" w:sz="0" w:space="0" w:color="auto"/>
              </w:divBdr>
              <w:divsChild>
                <w:div w:id="2005745205">
                  <w:marLeft w:val="0"/>
                  <w:marRight w:val="0"/>
                  <w:marTop w:val="0"/>
                  <w:marBottom w:val="0"/>
                  <w:divBdr>
                    <w:top w:val="none" w:sz="0" w:space="0" w:color="auto"/>
                    <w:left w:val="none" w:sz="0" w:space="0" w:color="auto"/>
                    <w:bottom w:val="none" w:sz="0" w:space="0" w:color="auto"/>
                    <w:right w:val="none" w:sz="0" w:space="0" w:color="auto"/>
                  </w:divBdr>
                  <w:divsChild>
                    <w:div w:id="1193763813">
                      <w:marLeft w:val="0"/>
                      <w:marRight w:val="0"/>
                      <w:marTop w:val="0"/>
                      <w:marBottom w:val="0"/>
                      <w:divBdr>
                        <w:top w:val="none" w:sz="0" w:space="0" w:color="auto"/>
                        <w:left w:val="none" w:sz="0" w:space="0" w:color="auto"/>
                        <w:bottom w:val="none" w:sz="0" w:space="0" w:color="auto"/>
                        <w:right w:val="none" w:sz="0" w:space="0" w:color="auto"/>
                      </w:divBdr>
                      <w:divsChild>
                        <w:div w:id="1634675353">
                          <w:marLeft w:val="0"/>
                          <w:marRight w:val="0"/>
                          <w:marTop w:val="0"/>
                          <w:marBottom w:val="0"/>
                          <w:divBdr>
                            <w:top w:val="none" w:sz="0" w:space="0" w:color="auto"/>
                            <w:left w:val="none" w:sz="0" w:space="0" w:color="auto"/>
                            <w:bottom w:val="none" w:sz="0" w:space="0" w:color="auto"/>
                            <w:right w:val="none" w:sz="0" w:space="0" w:color="auto"/>
                          </w:divBdr>
                          <w:divsChild>
                            <w:div w:id="2054620873">
                              <w:marLeft w:val="0"/>
                              <w:marRight w:val="0"/>
                              <w:marTop w:val="0"/>
                              <w:marBottom w:val="0"/>
                              <w:divBdr>
                                <w:top w:val="none" w:sz="0" w:space="0" w:color="auto"/>
                                <w:left w:val="none" w:sz="0" w:space="0" w:color="auto"/>
                                <w:bottom w:val="none" w:sz="0" w:space="0" w:color="auto"/>
                                <w:right w:val="none" w:sz="0" w:space="0" w:color="auto"/>
                              </w:divBdr>
                              <w:divsChild>
                                <w:div w:id="151349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036929">
      <w:bodyDiv w:val="1"/>
      <w:marLeft w:val="0"/>
      <w:marRight w:val="0"/>
      <w:marTop w:val="0"/>
      <w:marBottom w:val="0"/>
      <w:divBdr>
        <w:top w:val="none" w:sz="0" w:space="0" w:color="auto"/>
        <w:left w:val="none" w:sz="0" w:space="0" w:color="auto"/>
        <w:bottom w:val="none" w:sz="0" w:space="0" w:color="auto"/>
        <w:right w:val="none" w:sz="0" w:space="0" w:color="auto"/>
      </w:divBdr>
      <w:divsChild>
        <w:div w:id="44765562">
          <w:marLeft w:val="0"/>
          <w:marRight w:val="0"/>
          <w:marTop w:val="0"/>
          <w:marBottom w:val="0"/>
          <w:divBdr>
            <w:top w:val="none" w:sz="0" w:space="0" w:color="auto"/>
            <w:left w:val="none" w:sz="0" w:space="0" w:color="auto"/>
            <w:bottom w:val="dotted" w:sz="6" w:space="4" w:color="DDDDDD"/>
            <w:right w:val="none" w:sz="0" w:space="0" w:color="auto"/>
          </w:divBdr>
        </w:div>
      </w:divsChild>
    </w:div>
    <w:div w:id="30612089">
      <w:bodyDiv w:val="1"/>
      <w:marLeft w:val="0"/>
      <w:marRight w:val="0"/>
      <w:marTop w:val="0"/>
      <w:marBottom w:val="0"/>
      <w:divBdr>
        <w:top w:val="none" w:sz="0" w:space="0" w:color="auto"/>
        <w:left w:val="none" w:sz="0" w:space="0" w:color="auto"/>
        <w:bottom w:val="none" w:sz="0" w:space="0" w:color="auto"/>
        <w:right w:val="none" w:sz="0" w:space="0" w:color="auto"/>
      </w:divBdr>
      <w:divsChild>
        <w:div w:id="516699967">
          <w:marLeft w:val="0"/>
          <w:marRight w:val="0"/>
          <w:marTop w:val="0"/>
          <w:marBottom w:val="0"/>
          <w:divBdr>
            <w:top w:val="none" w:sz="0" w:space="0" w:color="auto"/>
            <w:left w:val="none" w:sz="0" w:space="0" w:color="auto"/>
            <w:bottom w:val="dotted" w:sz="6" w:space="4" w:color="DDDDDD"/>
            <w:right w:val="none" w:sz="0" w:space="0" w:color="auto"/>
          </w:divBdr>
          <w:divsChild>
            <w:div w:id="77131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05534">
      <w:bodyDiv w:val="1"/>
      <w:marLeft w:val="0"/>
      <w:marRight w:val="0"/>
      <w:marTop w:val="0"/>
      <w:marBottom w:val="0"/>
      <w:divBdr>
        <w:top w:val="none" w:sz="0" w:space="0" w:color="auto"/>
        <w:left w:val="none" w:sz="0" w:space="0" w:color="auto"/>
        <w:bottom w:val="none" w:sz="0" w:space="0" w:color="auto"/>
        <w:right w:val="none" w:sz="0" w:space="0" w:color="auto"/>
      </w:divBdr>
    </w:div>
    <w:div w:id="31200240">
      <w:bodyDiv w:val="1"/>
      <w:marLeft w:val="0"/>
      <w:marRight w:val="0"/>
      <w:marTop w:val="0"/>
      <w:marBottom w:val="0"/>
      <w:divBdr>
        <w:top w:val="none" w:sz="0" w:space="0" w:color="auto"/>
        <w:left w:val="none" w:sz="0" w:space="0" w:color="auto"/>
        <w:bottom w:val="none" w:sz="0" w:space="0" w:color="auto"/>
        <w:right w:val="none" w:sz="0" w:space="0" w:color="auto"/>
      </w:divBdr>
      <w:divsChild>
        <w:div w:id="140465985">
          <w:marLeft w:val="0"/>
          <w:marRight w:val="0"/>
          <w:marTop w:val="0"/>
          <w:marBottom w:val="0"/>
          <w:divBdr>
            <w:top w:val="none" w:sz="0" w:space="0" w:color="auto"/>
            <w:left w:val="none" w:sz="0" w:space="0" w:color="auto"/>
            <w:bottom w:val="none" w:sz="0" w:space="0" w:color="auto"/>
            <w:right w:val="none" w:sz="0" w:space="0" w:color="auto"/>
          </w:divBdr>
          <w:divsChild>
            <w:div w:id="1141579531">
              <w:marLeft w:val="0"/>
              <w:marRight w:val="0"/>
              <w:marTop w:val="0"/>
              <w:marBottom w:val="0"/>
              <w:divBdr>
                <w:top w:val="none" w:sz="0" w:space="0" w:color="auto"/>
                <w:left w:val="none" w:sz="0" w:space="0" w:color="auto"/>
                <w:bottom w:val="none" w:sz="0" w:space="0" w:color="auto"/>
                <w:right w:val="none" w:sz="0" w:space="0" w:color="auto"/>
              </w:divBdr>
              <w:divsChild>
                <w:div w:id="1365249944">
                  <w:marLeft w:val="0"/>
                  <w:marRight w:val="0"/>
                  <w:marTop w:val="0"/>
                  <w:marBottom w:val="0"/>
                  <w:divBdr>
                    <w:top w:val="none" w:sz="0" w:space="0" w:color="auto"/>
                    <w:left w:val="none" w:sz="0" w:space="0" w:color="auto"/>
                    <w:bottom w:val="none" w:sz="0" w:space="0" w:color="auto"/>
                    <w:right w:val="none" w:sz="0" w:space="0" w:color="auto"/>
                  </w:divBdr>
                  <w:divsChild>
                    <w:div w:id="967055053">
                      <w:marLeft w:val="0"/>
                      <w:marRight w:val="0"/>
                      <w:marTop w:val="0"/>
                      <w:marBottom w:val="0"/>
                      <w:divBdr>
                        <w:top w:val="none" w:sz="0" w:space="0" w:color="auto"/>
                        <w:left w:val="none" w:sz="0" w:space="0" w:color="auto"/>
                        <w:bottom w:val="none" w:sz="0" w:space="0" w:color="auto"/>
                        <w:right w:val="none" w:sz="0" w:space="0" w:color="auto"/>
                      </w:divBdr>
                      <w:divsChild>
                        <w:div w:id="1126389958">
                          <w:marLeft w:val="0"/>
                          <w:marRight w:val="0"/>
                          <w:marTop w:val="0"/>
                          <w:marBottom w:val="0"/>
                          <w:divBdr>
                            <w:top w:val="none" w:sz="0" w:space="0" w:color="auto"/>
                            <w:left w:val="none" w:sz="0" w:space="0" w:color="auto"/>
                            <w:bottom w:val="none" w:sz="0" w:space="0" w:color="auto"/>
                            <w:right w:val="none" w:sz="0" w:space="0" w:color="auto"/>
                          </w:divBdr>
                          <w:divsChild>
                            <w:div w:id="1156651412">
                              <w:marLeft w:val="0"/>
                              <w:marRight w:val="0"/>
                              <w:marTop w:val="0"/>
                              <w:marBottom w:val="0"/>
                              <w:divBdr>
                                <w:top w:val="none" w:sz="0" w:space="0" w:color="auto"/>
                                <w:left w:val="none" w:sz="0" w:space="0" w:color="auto"/>
                                <w:bottom w:val="none" w:sz="0" w:space="0" w:color="auto"/>
                                <w:right w:val="none" w:sz="0" w:space="0" w:color="auto"/>
                              </w:divBdr>
                              <w:divsChild>
                                <w:div w:id="1667170819">
                                  <w:marLeft w:val="0"/>
                                  <w:marRight w:val="0"/>
                                  <w:marTop w:val="0"/>
                                  <w:marBottom w:val="75"/>
                                  <w:divBdr>
                                    <w:top w:val="none" w:sz="0" w:space="0" w:color="auto"/>
                                    <w:left w:val="none" w:sz="0" w:space="0" w:color="auto"/>
                                    <w:bottom w:val="none" w:sz="0" w:space="0" w:color="auto"/>
                                    <w:right w:val="none" w:sz="0" w:space="0" w:color="auto"/>
                                  </w:divBdr>
                                  <w:divsChild>
                                    <w:div w:id="1010184838">
                                      <w:marLeft w:val="0"/>
                                      <w:marRight w:val="0"/>
                                      <w:marTop w:val="0"/>
                                      <w:marBottom w:val="0"/>
                                      <w:divBdr>
                                        <w:top w:val="none" w:sz="0" w:space="0" w:color="auto"/>
                                        <w:left w:val="none" w:sz="0" w:space="0" w:color="auto"/>
                                        <w:bottom w:val="none" w:sz="0" w:space="0" w:color="auto"/>
                                        <w:right w:val="none" w:sz="0" w:space="0" w:color="auto"/>
                                      </w:divBdr>
                                      <w:divsChild>
                                        <w:div w:id="1686664071">
                                          <w:marLeft w:val="0"/>
                                          <w:marRight w:val="0"/>
                                          <w:marTop w:val="0"/>
                                          <w:marBottom w:val="0"/>
                                          <w:divBdr>
                                            <w:top w:val="none" w:sz="0" w:space="0" w:color="auto"/>
                                            <w:left w:val="none" w:sz="0" w:space="0" w:color="auto"/>
                                            <w:bottom w:val="none" w:sz="0" w:space="0" w:color="auto"/>
                                            <w:right w:val="none" w:sz="0" w:space="0" w:color="auto"/>
                                          </w:divBdr>
                                          <w:divsChild>
                                            <w:div w:id="155728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617279">
      <w:bodyDiv w:val="1"/>
      <w:marLeft w:val="0"/>
      <w:marRight w:val="0"/>
      <w:marTop w:val="0"/>
      <w:marBottom w:val="0"/>
      <w:divBdr>
        <w:top w:val="none" w:sz="0" w:space="0" w:color="auto"/>
        <w:left w:val="none" w:sz="0" w:space="0" w:color="auto"/>
        <w:bottom w:val="none" w:sz="0" w:space="0" w:color="auto"/>
        <w:right w:val="none" w:sz="0" w:space="0" w:color="auto"/>
      </w:divBdr>
    </w:div>
    <w:div w:id="31729387">
      <w:bodyDiv w:val="1"/>
      <w:marLeft w:val="0"/>
      <w:marRight w:val="0"/>
      <w:marTop w:val="0"/>
      <w:marBottom w:val="0"/>
      <w:divBdr>
        <w:top w:val="none" w:sz="0" w:space="0" w:color="auto"/>
        <w:left w:val="none" w:sz="0" w:space="0" w:color="auto"/>
        <w:bottom w:val="none" w:sz="0" w:space="0" w:color="auto"/>
        <w:right w:val="none" w:sz="0" w:space="0" w:color="auto"/>
      </w:divBdr>
      <w:divsChild>
        <w:div w:id="7757077">
          <w:marLeft w:val="0"/>
          <w:marRight w:val="0"/>
          <w:marTop w:val="0"/>
          <w:marBottom w:val="0"/>
          <w:divBdr>
            <w:top w:val="none" w:sz="0" w:space="0" w:color="auto"/>
            <w:left w:val="none" w:sz="0" w:space="0" w:color="auto"/>
            <w:bottom w:val="none" w:sz="0" w:space="0" w:color="auto"/>
            <w:right w:val="none" w:sz="0" w:space="0" w:color="auto"/>
          </w:divBdr>
          <w:divsChild>
            <w:div w:id="1381787231">
              <w:marLeft w:val="0"/>
              <w:marRight w:val="0"/>
              <w:marTop w:val="0"/>
              <w:marBottom w:val="0"/>
              <w:divBdr>
                <w:top w:val="none" w:sz="0" w:space="0" w:color="auto"/>
                <w:left w:val="none" w:sz="0" w:space="0" w:color="auto"/>
                <w:bottom w:val="none" w:sz="0" w:space="0" w:color="auto"/>
                <w:right w:val="none" w:sz="0" w:space="0" w:color="auto"/>
              </w:divBdr>
              <w:divsChild>
                <w:div w:id="118424221">
                  <w:marLeft w:val="0"/>
                  <w:marRight w:val="0"/>
                  <w:marTop w:val="0"/>
                  <w:marBottom w:val="0"/>
                  <w:divBdr>
                    <w:top w:val="none" w:sz="0" w:space="0" w:color="auto"/>
                    <w:left w:val="none" w:sz="0" w:space="0" w:color="auto"/>
                    <w:bottom w:val="none" w:sz="0" w:space="0" w:color="auto"/>
                    <w:right w:val="none" w:sz="0" w:space="0" w:color="auto"/>
                  </w:divBdr>
                  <w:divsChild>
                    <w:div w:id="1186751285">
                      <w:marLeft w:val="0"/>
                      <w:marRight w:val="0"/>
                      <w:marTop w:val="0"/>
                      <w:marBottom w:val="0"/>
                      <w:divBdr>
                        <w:top w:val="none" w:sz="0" w:space="0" w:color="auto"/>
                        <w:left w:val="none" w:sz="0" w:space="0" w:color="auto"/>
                        <w:bottom w:val="none" w:sz="0" w:space="0" w:color="auto"/>
                        <w:right w:val="none" w:sz="0" w:space="0" w:color="auto"/>
                      </w:divBdr>
                      <w:divsChild>
                        <w:div w:id="1049495027">
                          <w:marLeft w:val="0"/>
                          <w:marRight w:val="0"/>
                          <w:marTop w:val="0"/>
                          <w:marBottom w:val="0"/>
                          <w:divBdr>
                            <w:top w:val="none" w:sz="0" w:space="0" w:color="auto"/>
                            <w:left w:val="none" w:sz="0" w:space="0" w:color="auto"/>
                            <w:bottom w:val="none" w:sz="0" w:space="0" w:color="auto"/>
                            <w:right w:val="none" w:sz="0" w:space="0" w:color="auto"/>
                          </w:divBdr>
                          <w:divsChild>
                            <w:div w:id="454370408">
                              <w:marLeft w:val="0"/>
                              <w:marRight w:val="0"/>
                              <w:marTop w:val="0"/>
                              <w:marBottom w:val="0"/>
                              <w:divBdr>
                                <w:top w:val="none" w:sz="0" w:space="0" w:color="auto"/>
                                <w:left w:val="none" w:sz="0" w:space="0" w:color="auto"/>
                                <w:bottom w:val="none" w:sz="0" w:space="0" w:color="auto"/>
                                <w:right w:val="none" w:sz="0" w:space="0" w:color="auto"/>
                              </w:divBdr>
                              <w:divsChild>
                                <w:div w:id="1781299119">
                                  <w:marLeft w:val="0"/>
                                  <w:marRight w:val="0"/>
                                  <w:marTop w:val="0"/>
                                  <w:marBottom w:val="0"/>
                                  <w:divBdr>
                                    <w:top w:val="none" w:sz="0" w:space="0" w:color="auto"/>
                                    <w:left w:val="none" w:sz="0" w:space="0" w:color="auto"/>
                                    <w:bottom w:val="none" w:sz="0" w:space="0" w:color="auto"/>
                                    <w:right w:val="none" w:sz="0" w:space="0" w:color="auto"/>
                                  </w:divBdr>
                                  <w:divsChild>
                                    <w:div w:id="1176579031">
                                      <w:marLeft w:val="0"/>
                                      <w:marRight w:val="0"/>
                                      <w:marTop w:val="0"/>
                                      <w:marBottom w:val="0"/>
                                      <w:divBdr>
                                        <w:top w:val="none" w:sz="0" w:space="0" w:color="auto"/>
                                        <w:left w:val="none" w:sz="0" w:space="0" w:color="auto"/>
                                        <w:bottom w:val="none" w:sz="0" w:space="0" w:color="auto"/>
                                        <w:right w:val="none" w:sz="0" w:space="0" w:color="auto"/>
                                      </w:divBdr>
                                      <w:divsChild>
                                        <w:div w:id="86424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732252">
      <w:bodyDiv w:val="1"/>
      <w:marLeft w:val="0"/>
      <w:marRight w:val="0"/>
      <w:marTop w:val="0"/>
      <w:marBottom w:val="0"/>
      <w:divBdr>
        <w:top w:val="none" w:sz="0" w:space="0" w:color="auto"/>
        <w:left w:val="none" w:sz="0" w:space="0" w:color="auto"/>
        <w:bottom w:val="none" w:sz="0" w:space="0" w:color="auto"/>
        <w:right w:val="none" w:sz="0" w:space="0" w:color="auto"/>
      </w:divBdr>
      <w:divsChild>
        <w:div w:id="1444106035">
          <w:marLeft w:val="0"/>
          <w:marRight w:val="0"/>
          <w:marTop w:val="0"/>
          <w:marBottom w:val="0"/>
          <w:divBdr>
            <w:top w:val="none" w:sz="0" w:space="0" w:color="auto"/>
            <w:left w:val="none" w:sz="0" w:space="0" w:color="auto"/>
            <w:bottom w:val="none" w:sz="0" w:space="0" w:color="auto"/>
            <w:right w:val="none" w:sz="0" w:space="0" w:color="auto"/>
          </w:divBdr>
          <w:divsChild>
            <w:div w:id="40877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74726">
      <w:bodyDiv w:val="1"/>
      <w:marLeft w:val="0"/>
      <w:marRight w:val="0"/>
      <w:marTop w:val="0"/>
      <w:marBottom w:val="0"/>
      <w:divBdr>
        <w:top w:val="none" w:sz="0" w:space="0" w:color="auto"/>
        <w:left w:val="none" w:sz="0" w:space="0" w:color="auto"/>
        <w:bottom w:val="none" w:sz="0" w:space="0" w:color="auto"/>
        <w:right w:val="none" w:sz="0" w:space="0" w:color="auto"/>
      </w:divBdr>
      <w:divsChild>
        <w:div w:id="401878476">
          <w:marLeft w:val="0"/>
          <w:marRight w:val="0"/>
          <w:marTop w:val="0"/>
          <w:marBottom w:val="0"/>
          <w:divBdr>
            <w:top w:val="none" w:sz="0" w:space="0" w:color="auto"/>
            <w:left w:val="none" w:sz="0" w:space="0" w:color="auto"/>
            <w:bottom w:val="none" w:sz="0" w:space="0" w:color="auto"/>
            <w:right w:val="none" w:sz="0" w:space="0" w:color="auto"/>
          </w:divBdr>
          <w:divsChild>
            <w:div w:id="116065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36091">
      <w:bodyDiv w:val="1"/>
      <w:marLeft w:val="0"/>
      <w:marRight w:val="0"/>
      <w:marTop w:val="0"/>
      <w:marBottom w:val="0"/>
      <w:divBdr>
        <w:top w:val="none" w:sz="0" w:space="0" w:color="auto"/>
        <w:left w:val="none" w:sz="0" w:space="0" w:color="auto"/>
        <w:bottom w:val="none" w:sz="0" w:space="0" w:color="auto"/>
        <w:right w:val="none" w:sz="0" w:space="0" w:color="auto"/>
      </w:divBdr>
    </w:div>
    <w:div w:id="32580608">
      <w:bodyDiv w:val="1"/>
      <w:marLeft w:val="0"/>
      <w:marRight w:val="0"/>
      <w:marTop w:val="0"/>
      <w:marBottom w:val="0"/>
      <w:divBdr>
        <w:top w:val="none" w:sz="0" w:space="0" w:color="auto"/>
        <w:left w:val="none" w:sz="0" w:space="0" w:color="auto"/>
        <w:bottom w:val="none" w:sz="0" w:space="0" w:color="auto"/>
        <w:right w:val="none" w:sz="0" w:space="0" w:color="auto"/>
      </w:divBdr>
    </w:div>
    <w:div w:id="32584814">
      <w:bodyDiv w:val="1"/>
      <w:marLeft w:val="0"/>
      <w:marRight w:val="0"/>
      <w:marTop w:val="0"/>
      <w:marBottom w:val="0"/>
      <w:divBdr>
        <w:top w:val="none" w:sz="0" w:space="0" w:color="auto"/>
        <w:left w:val="none" w:sz="0" w:space="0" w:color="auto"/>
        <w:bottom w:val="none" w:sz="0" w:space="0" w:color="auto"/>
        <w:right w:val="none" w:sz="0" w:space="0" w:color="auto"/>
      </w:divBdr>
      <w:divsChild>
        <w:div w:id="1772621251">
          <w:marLeft w:val="0"/>
          <w:marRight w:val="0"/>
          <w:marTop w:val="0"/>
          <w:marBottom w:val="0"/>
          <w:divBdr>
            <w:top w:val="none" w:sz="0" w:space="0" w:color="auto"/>
            <w:left w:val="none" w:sz="0" w:space="0" w:color="auto"/>
            <w:bottom w:val="none" w:sz="0" w:space="0" w:color="auto"/>
            <w:right w:val="none" w:sz="0" w:space="0" w:color="auto"/>
          </w:divBdr>
          <w:divsChild>
            <w:div w:id="559750142">
              <w:marLeft w:val="0"/>
              <w:marRight w:val="0"/>
              <w:marTop w:val="0"/>
              <w:marBottom w:val="0"/>
              <w:divBdr>
                <w:top w:val="none" w:sz="0" w:space="0" w:color="auto"/>
                <w:left w:val="none" w:sz="0" w:space="0" w:color="auto"/>
                <w:bottom w:val="none" w:sz="0" w:space="0" w:color="auto"/>
                <w:right w:val="none" w:sz="0" w:space="0" w:color="auto"/>
              </w:divBdr>
              <w:divsChild>
                <w:div w:id="2000380819">
                  <w:marLeft w:val="0"/>
                  <w:marRight w:val="0"/>
                  <w:marTop w:val="0"/>
                  <w:marBottom w:val="0"/>
                  <w:divBdr>
                    <w:top w:val="none" w:sz="0" w:space="0" w:color="auto"/>
                    <w:left w:val="none" w:sz="0" w:space="0" w:color="auto"/>
                    <w:bottom w:val="none" w:sz="0" w:space="0" w:color="auto"/>
                    <w:right w:val="none" w:sz="0" w:space="0" w:color="auto"/>
                  </w:divBdr>
                  <w:divsChild>
                    <w:div w:id="659894909">
                      <w:marLeft w:val="0"/>
                      <w:marRight w:val="0"/>
                      <w:marTop w:val="0"/>
                      <w:marBottom w:val="0"/>
                      <w:divBdr>
                        <w:top w:val="none" w:sz="0" w:space="0" w:color="auto"/>
                        <w:left w:val="none" w:sz="0" w:space="0" w:color="auto"/>
                        <w:bottom w:val="none" w:sz="0" w:space="0" w:color="auto"/>
                        <w:right w:val="none" w:sz="0" w:space="0" w:color="auto"/>
                      </w:divBdr>
                      <w:divsChild>
                        <w:div w:id="787164784">
                          <w:marLeft w:val="0"/>
                          <w:marRight w:val="0"/>
                          <w:marTop w:val="0"/>
                          <w:marBottom w:val="0"/>
                          <w:divBdr>
                            <w:top w:val="none" w:sz="0" w:space="0" w:color="auto"/>
                            <w:left w:val="none" w:sz="0" w:space="0" w:color="auto"/>
                            <w:bottom w:val="none" w:sz="0" w:space="0" w:color="auto"/>
                            <w:right w:val="none" w:sz="0" w:space="0" w:color="auto"/>
                          </w:divBdr>
                          <w:divsChild>
                            <w:div w:id="1274484599">
                              <w:marLeft w:val="0"/>
                              <w:marRight w:val="0"/>
                              <w:marTop w:val="0"/>
                              <w:marBottom w:val="0"/>
                              <w:divBdr>
                                <w:top w:val="none" w:sz="0" w:space="0" w:color="auto"/>
                                <w:left w:val="none" w:sz="0" w:space="0" w:color="auto"/>
                                <w:bottom w:val="none" w:sz="0" w:space="0" w:color="auto"/>
                                <w:right w:val="none" w:sz="0" w:space="0" w:color="auto"/>
                              </w:divBdr>
                              <w:divsChild>
                                <w:div w:id="146304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19058">
      <w:bodyDiv w:val="1"/>
      <w:marLeft w:val="0"/>
      <w:marRight w:val="0"/>
      <w:marTop w:val="0"/>
      <w:marBottom w:val="0"/>
      <w:divBdr>
        <w:top w:val="none" w:sz="0" w:space="0" w:color="auto"/>
        <w:left w:val="none" w:sz="0" w:space="0" w:color="auto"/>
        <w:bottom w:val="none" w:sz="0" w:space="0" w:color="auto"/>
        <w:right w:val="none" w:sz="0" w:space="0" w:color="auto"/>
      </w:divBdr>
      <w:divsChild>
        <w:div w:id="47800982">
          <w:marLeft w:val="0"/>
          <w:marRight w:val="0"/>
          <w:marTop w:val="0"/>
          <w:marBottom w:val="150"/>
          <w:divBdr>
            <w:top w:val="none" w:sz="0" w:space="0" w:color="auto"/>
            <w:left w:val="none" w:sz="0" w:space="0" w:color="auto"/>
            <w:bottom w:val="none" w:sz="0" w:space="0" w:color="auto"/>
            <w:right w:val="none" w:sz="0" w:space="0" w:color="auto"/>
          </w:divBdr>
        </w:div>
        <w:div w:id="650451056">
          <w:marLeft w:val="0"/>
          <w:marRight w:val="0"/>
          <w:marTop w:val="0"/>
          <w:marBottom w:val="150"/>
          <w:divBdr>
            <w:top w:val="none" w:sz="0" w:space="0" w:color="auto"/>
            <w:left w:val="none" w:sz="0" w:space="0" w:color="auto"/>
            <w:bottom w:val="none" w:sz="0" w:space="0" w:color="auto"/>
            <w:right w:val="none" w:sz="0" w:space="0" w:color="auto"/>
          </w:divBdr>
          <w:divsChild>
            <w:div w:id="166752565">
              <w:marLeft w:val="0"/>
              <w:marRight w:val="0"/>
              <w:marTop w:val="0"/>
              <w:marBottom w:val="0"/>
              <w:divBdr>
                <w:top w:val="none" w:sz="0" w:space="0" w:color="auto"/>
                <w:left w:val="none" w:sz="0" w:space="0" w:color="auto"/>
                <w:bottom w:val="none" w:sz="0" w:space="0" w:color="auto"/>
                <w:right w:val="none" w:sz="0" w:space="0" w:color="auto"/>
              </w:divBdr>
            </w:div>
          </w:divsChild>
        </w:div>
        <w:div w:id="2112822120">
          <w:marLeft w:val="0"/>
          <w:marRight w:val="0"/>
          <w:marTop w:val="0"/>
          <w:marBottom w:val="0"/>
          <w:divBdr>
            <w:top w:val="none" w:sz="0" w:space="0" w:color="auto"/>
            <w:left w:val="none" w:sz="0" w:space="0" w:color="auto"/>
            <w:bottom w:val="none" w:sz="0" w:space="0" w:color="auto"/>
            <w:right w:val="none" w:sz="0" w:space="0" w:color="auto"/>
          </w:divBdr>
          <w:divsChild>
            <w:div w:id="55489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66475">
      <w:bodyDiv w:val="1"/>
      <w:marLeft w:val="0"/>
      <w:marRight w:val="0"/>
      <w:marTop w:val="0"/>
      <w:marBottom w:val="0"/>
      <w:divBdr>
        <w:top w:val="none" w:sz="0" w:space="0" w:color="auto"/>
        <w:left w:val="none" w:sz="0" w:space="0" w:color="auto"/>
        <w:bottom w:val="none" w:sz="0" w:space="0" w:color="auto"/>
        <w:right w:val="none" w:sz="0" w:space="0" w:color="auto"/>
      </w:divBdr>
      <w:divsChild>
        <w:div w:id="501745664">
          <w:marLeft w:val="0"/>
          <w:marRight w:val="0"/>
          <w:marTop w:val="0"/>
          <w:marBottom w:val="0"/>
          <w:divBdr>
            <w:top w:val="none" w:sz="0" w:space="0" w:color="auto"/>
            <w:left w:val="none" w:sz="0" w:space="0" w:color="auto"/>
            <w:bottom w:val="none" w:sz="0" w:space="0" w:color="auto"/>
            <w:right w:val="none" w:sz="0" w:space="0" w:color="auto"/>
          </w:divBdr>
        </w:div>
      </w:divsChild>
    </w:div>
    <w:div w:id="33239252">
      <w:bodyDiv w:val="1"/>
      <w:marLeft w:val="0"/>
      <w:marRight w:val="0"/>
      <w:marTop w:val="0"/>
      <w:marBottom w:val="0"/>
      <w:divBdr>
        <w:top w:val="none" w:sz="0" w:space="0" w:color="auto"/>
        <w:left w:val="none" w:sz="0" w:space="0" w:color="auto"/>
        <w:bottom w:val="none" w:sz="0" w:space="0" w:color="auto"/>
        <w:right w:val="none" w:sz="0" w:space="0" w:color="auto"/>
      </w:divBdr>
      <w:divsChild>
        <w:div w:id="1989703235">
          <w:marLeft w:val="0"/>
          <w:marRight w:val="0"/>
          <w:marTop w:val="0"/>
          <w:marBottom w:val="0"/>
          <w:divBdr>
            <w:top w:val="none" w:sz="0" w:space="0" w:color="auto"/>
            <w:left w:val="none" w:sz="0" w:space="0" w:color="auto"/>
            <w:bottom w:val="dotted" w:sz="6" w:space="4" w:color="DDDDDD"/>
            <w:right w:val="none" w:sz="0" w:space="0" w:color="auto"/>
          </w:divBdr>
        </w:div>
      </w:divsChild>
    </w:div>
    <w:div w:id="33847237">
      <w:bodyDiv w:val="1"/>
      <w:marLeft w:val="0"/>
      <w:marRight w:val="0"/>
      <w:marTop w:val="0"/>
      <w:marBottom w:val="0"/>
      <w:divBdr>
        <w:top w:val="none" w:sz="0" w:space="0" w:color="auto"/>
        <w:left w:val="none" w:sz="0" w:space="0" w:color="auto"/>
        <w:bottom w:val="none" w:sz="0" w:space="0" w:color="auto"/>
        <w:right w:val="none" w:sz="0" w:space="0" w:color="auto"/>
      </w:divBdr>
      <w:divsChild>
        <w:div w:id="640307848">
          <w:marLeft w:val="0"/>
          <w:marRight w:val="0"/>
          <w:marTop w:val="0"/>
          <w:marBottom w:val="450"/>
          <w:divBdr>
            <w:top w:val="none" w:sz="0" w:space="0" w:color="auto"/>
            <w:left w:val="none" w:sz="0" w:space="0" w:color="auto"/>
            <w:bottom w:val="single" w:sz="6" w:space="19" w:color="EEEEEE"/>
            <w:right w:val="none" w:sz="0" w:space="0" w:color="auto"/>
          </w:divBdr>
          <w:divsChild>
            <w:div w:id="1609040566">
              <w:marLeft w:val="0"/>
              <w:marRight w:val="0"/>
              <w:marTop w:val="0"/>
              <w:marBottom w:val="150"/>
              <w:divBdr>
                <w:top w:val="none" w:sz="0" w:space="0" w:color="auto"/>
                <w:left w:val="none" w:sz="0" w:space="0" w:color="auto"/>
                <w:bottom w:val="none" w:sz="0" w:space="0" w:color="auto"/>
                <w:right w:val="none" w:sz="0" w:space="0" w:color="auto"/>
              </w:divBdr>
              <w:divsChild>
                <w:div w:id="1438527514">
                  <w:marLeft w:val="0"/>
                  <w:marRight w:val="0"/>
                  <w:marTop w:val="0"/>
                  <w:marBottom w:val="0"/>
                  <w:divBdr>
                    <w:top w:val="none" w:sz="0" w:space="0" w:color="auto"/>
                    <w:left w:val="none" w:sz="0" w:space="0" w:color="auto"/>
                    <w:bottom w:val="none" w:sz="0" w:space="0" w:color="auto"/>
                    <w:right w:val="none" w:sz="0" w:space="0" w:color="auto"/>
                  </w:divBdr>
                </w:div>
              </w:divsChild>
            </w:div>
            <w:div w:id="2013290477">
              <w:marLeft w:val="0"/>
              <w:marRight w:val="0"/>
              <w:marTop w:val="0"/>
              <w:marBottom w:val="0"/>
              <w:divBdr>
                <w:top w:val="none" w:sz="0" w:space="0" w:color="auto"/>
                <w:left w:val="none" w:sz="0" w:space="0" w:color="auto"/>
                <w:bottom w:val="none" w:sz="0" w:space="0" w:color="auto"/>
                <w:right w:val="none" w:sz="0" w:space="0" w:color="auto"/>
              </w:divBdr>
            </w:div>
          </w:divsChild>
        </w:div>
        <w:div w:id="107553157">
          <w:marLeft w:val="0"/>
          <w:marRight w:val="0"/>
          <w:marTop w:val="0"/>
          <w:marBottom w:val="0"/>
          <w:divBdr>
            <w:top w:val="none" w:sz="0" w:space="0" w:color="auto"/>
            <w:left w:val="none" w:sz="0" w:space="0" w:color="auto"/>
            <w:bottom w:val="none" w:sz="0" w:space="0" w:color="auto"/>
            <w:right w:val="none" w:sz="0" w:space="0" w:color="auto"/>
          </w:divBdr>
          <w:divsChild>
            <w:div w:id="2063668759">
              <w:marLeft w:val="0"/>
              <w:marRight w:val="0"/>
              <w:marTop w:val="0"/>
              <w:marBottom w:val="0"/>
              <w:divBdr>
                <w:top w:val="none" w:sz="0" w:space="0" w:color="auto"/>
                <w:left w:val="none" w:sz="0" w:space="0" w:color="auto"/>
                <w:bottom w:val="none" w:sz="0" w:space="0" w:color="auto"/>
                <w:right w:val="none" w:sz="0" w:space="0" w:color="auto"/>
              </w:divBdr>
              <w:divsChild>
                <w:div w:id="1035891239">
                  <w:marLeft w:val="0"/>
                  <w:marRight w:val="0"/>
                  <w:marTop w:val="0"/>
                  <w:marBottom w:val="0"/>
                  <w:divBdr>
                    <w:top w:val="none" w:sz="0" w:space="0" w:color="auto"/>
                    <w:left w:val="none" w:sz="0" w:space="0" w:color="auto"/>
                    <w:bottom w:val="none" w:sz="0" w:space="0" w:color="auto"/>
                    <w:right w:val="none" w:sz="0" w:space="0" w:color="auto"/>
                  </w:divBdr>
                </w:div>
                <w:div w:id="207666405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34547962">
      <w:bodyDiv w:val="1"/>
      <w:marLeft w:val="0"/>
      <w:marRight w:val="0"/>
      <w:marTop w:val="0"/>
      <w:marBottom w:val="0"/>
      <w:divBdr>
        <w:top w:val="none" w:sz="0" w:space="0" w:color="auto"/>
        <w:left w:val="none" w:sz="0" w:space="0" w:color="auto"/>
        <w:bottom w:val="none" w:sz="0" w:space="0" w:color="auto"/>
        <w:right w:val="none" w:sz="0" w:space="0" w:color="auto"/>
      </w:divBdr>
      <w:divsChild>
        <w:div w:id="1864048412">
          <w:marLeft w:val="0"/>
          <w:marRight w:val="0"/>
          <w:marTop w:val="0"/>
          <w:marBottom w:val="0"/>
          <w:divBdr>
            <w:top w:val="none" w:sz="0" w:space="0" w:color="auto"/>
            <w:left w:val="none" w:sz="0" w:space="0" w:color="auto"/>
            <w:bottom w:val="none" w:sz="0" w:space="0" w:color="auto"/>
            <w:right w:val="none" w:sz="0" w:space="0" w:color="auto"/>
          </w:divBdr>
          <w:divsChild>
            <w:div w:id="1895044928">
              <w:marLeft w:val="0"/>
              <w:marRight w:val="0"/>
              <w:marTop w:val="0"/>
              <w:marBottom w:val="0"/>
              <w:divBdr>
                <w:top w:val="none" w:sz="0" w:space="0" w:color="auto"/>
                <w:left w:val="none" w:sz="0" w:space="0" w:color="auto"/>
                <w:bottom w:val="none" w:sz="0" w:space="0" w:color="auto"/>
                <w:right w:val="none" w:sz="0" w:space="0" w:color="auto"/>
              </w:divBdr>
              <w:divsChild>
                <w:div w:id="559050279">
                  <w:marLeft w:val="0"/>
                  <w:marRight w:val="0"/>
                  <w:marTop w:val="0"/>
                  <w:marBottom w:val="0"/>
                  <w:divBdr>
                    <w:top w:val="none" w:sz="0" w:space="0" w:color="auto"/>
                    <w:left w:val="none" w:sz="0" w:space="0" w:color="auto"/>
                    <w:bottom w:val="none" w:sz="0" w:space="0" w:color="auto"/>
                    <w:right w:val="none" w:sz="0" w:space="0" w:color="auto"/>
                  </w:divBdr>
                  <w:divsChild>
                    <w:div w:id="535776018">
                      <w:marLeft w:val="0"/>
                      <w:marRight w:val="0"/>
                      <w:marTop w:val="0"/>
                      <w:marBottom w:val="0"/>
                      <w:divBdr>
                        <w:top w:val="none" w:sz="0" w:space="0" w:color="auto"/>
                        <w:left w:val="none" w:sz="0" w:space="0" w:color="auto"/>
                        <w:bottom w:val="none" w:sz="0" w:space="0" w:color="auto"/>
                        <w:right w:val="none" w:sz="0" w:space="0" w:color="auto"/>
                      </w:divBdr>
                      <w:divsChild>
                        <w:div w:id="1229463945">
                          <w:marLeft w:val="0"/>
                          <w:marRight w:val="0"/>
                          <w:marTop w:val="0"/>
                          <w:marBottom w:val="0"/>
                          <w:divBdr>
                            <w:top w:val="none" w:sz="0" w:space="0" w:color="auto"/>
                            <w:left w:val="none" w:sz="0" w:space="0" w:color="auto"/>
                            <w:bottom w:val="none" w:sz="0" w:space="0" w:color="auto"/>
                            <w:right w:val="none" w:sz="0" w:space="0" w:color="auto"/>
                          </w:divBdr>
                          <w:divsChild>
                            <w:div w:id="399450393">
                              <w:marLeft w:val="0"/>
                              <w:marRight w:val="0"/>
                              <w:marTop w:val="0"/>
                              <w:marBottom w:val="0"/>
                              <w:divBdr>
                                <w:top w:val="none" w:sz="0" w:space="0" w:color="auto"/>
                                <w:left w:val="none" w:sz="0" w:space="0" w:color="auto"/>
                                <w:bottom w:val="none" w:sz="0" w:space="0" w:color="auto"/>
                                <w:right w:val="none" w:sz="0" w:space="0" w:color="auto"/>
                              </w:divBdr>
                              <w:divsChild>
                                <w:div w:id="1573662197">
                                  <w:marLeft w:val="0"/>
                                  <w:marRight w:val="0"/>
                                  <w:marTop w:val="0"/>
                                  <w:marBottom w:val="0"/>
                                  <w:divBdr>
                                    <w:top w:val="none" w:sz="0" w:space="0" w:color="auto"/>
                                    <w:left w:val="none" w:sz="0" w:space="0" w:color="auto"/>
                                    <w:bottom w:val="none" w:sz="0" w:space="0" w:color="auto"/>
                                    <w:right w:val="none" w:sz="0" w:space="0" w:color="auto"/>
                                  </w:divBdr>
                                  <w:divsChild>
                                    <w:div w:id="121388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816555">
      <w:bodyDiv w:val="1"/>
      <w:marLeft w:val="0"/>
      <w:marRight w:val="0"/>
      <w:marTop w:val="0"/>
      <w:marBottom w:val="0"/>
      <w:divBdr>
        <w:top w:val="none" w:sz="0" w:space="0" w:color="auto"/>
        <w:left w:val="none" w:sz="0" w:space="0" w:color="auto"/>
        <w:bottom w:val="none" w:sz="0" w:space="0" w:color="auto"/>
        <w:right w:val="none" w:sz="0" w:space="0" w:color="auto"/>
      </w:divBdr>
    </w:div>
    <w:div w:id="34933010">
      <w:bodyDiv w:val="1"/>
      <w:marLeft w:val="0"/>
      <w:marRight w:val="0"/>
      <w:marTop w:val="0"/>
      <w:marBottom w:val="0"/>
      <w:divBdr>
        <w:top w:val="none" w:sz="0" w:space="0" w:color="auto"/>
        <w:left w:val="none" w:sz="0" w:space="0" w:color="auto"/>
        <w:bottom w:val="none" w:sz="0" w:space="0" w:color="auto"/>
        <w:right w:val="none" w:sz="0" w:space="0" w:color="auto"/>
      </w:divBdr>
      <w:divsChild>
        <w:div w:id="717238746">
          <w:marLeft w:val="0"/>
          <w:marRight w:val="225"/>
          <w:marTop w:val="0"/>
          <w:marBottom w:val="75"/>
          <w:divBdr>
            <w:top w:val="none" w:sz="0" w:space="0" w:color="auto"/>
            <w:left w:val="none" w:sz="0" w:space="0" w:color="auto"/>
            <w:bottom w:val="none" w:sz="0" w:space="0" w:color="auto"/>
            <w:right w:val="none" w:sz="0" w:space="0" w:color="auto"/>
          </w:divBdr>
          <w:divsChild>
            <w:div w:id="367220253">
              <w:marLeft w:val="0"/>
              <w:marRight w:val="0"/>
              <w:marTop w:val="0"/>
              <w:marBottom w:val="0"/>
              <w:divBdr>
                <w:top w:val="none" w:sz="0" w:space="0" w:color="auto"/>
                <w:left w:val="none" w:sz="0" w:space="0" w:color="auto"/>
                <w:bottom w:val="none" w:sz="0" w:space="0" w:color="auto"/>
                <w:right w:val="none" w:sz="0" w:space="0" w:color="auto"/>
              </w:divBdr>
            </w:div>
          </w:divsChild>
        </w:div>
        <w:div w:id="1625193521">
          <w:marLeft w:val="0"/>
          <w:marRight w:val="0"/>
          <w:marTop w:val="0"/>
          <w:marBottom w:val="0"/>
          <w:divBdr>
            <w:top w:val="none" w:sz="0" w:space="0" w:color="auto"/>
            <w:left w:val="none" w:sz="0" w:space="0" w:color="auto"/>
            <w:bottom w:val="dotted" w:sz="6" w:space="4" w:color="DDDDDD"/>
            <w:right w:val="none" w:sz="0" w:space="0" w:color="auto"/>
          </w:divBdr>
        </w:div>
      </w:divsChild>
    </w:div>
    <w:div w:id="35324452">
      <w:bodyDiv w:val="1"/>
      <w:marLeft w:val="0"/>
      <w:marRight w:val="0"/>
      <w:marTop w:val="0"/>
      <w:marBottom w:val="0"/>
      <w:divBdr>
        <w:top w:val="none" w:sz="0" w:space="0" w:color="auto"/>
        <w:left w:val="none" w:sz="0" w:space="0" w:color="auto"/>
        <w:bottom w:val="none" w:sz="0" w:space="0" w:color="auto"/>
        <w:right w:val="none" w:sz="0" w:space="0" w:color="auto"/>
      </w:divBdr>
    </w:div>
    <w:div w:id="35936569">
      <w:bodyDiv w:val="1"/>
      <w:marLeft w:val="0"/>
      <w:marRight w:val="0"/>
      <w:marTop w:val="0"/>
      <w:marBottom w:val="0"/>
      <w:divBdr>
        <w:top w:val="none" w:sz="0" w:space="0" w:color="auto"/>
        <w:left w:val="none" w:sz="0" w:space="0" w:color="auto"/>
        <w:bottom w:val="none" w:sz="0" w:space="0" w:color="auto"/>
        <w:right w:val="none" w:sz="0" w:space="0" w:color="auto"/>
      </w:divBdr>
    </w:div>
    <w:div w:id="36048313">
      <w:bodyDiv w:val="1"/>
      <w:marLeft w:val="0"/>
      <w:marRight w:val="0"/>
      <w:marTop w:val="0"/>
      <w:marBottom w:val="0"/>
      <w:divBdr>
        <w:top w:val="none" w:sz="0" w:space="0" w:color="auto"/>
        <w:left w:val="none" w:sz="0" w:space="0" w:color="auto"/>
        <w:bottom w:val="none" w:sz="0" w:space="0" w:color="auto"/>
        <w:right w:val="none" w:sz="0" w:space="0" w:color="auto"/>
      </w:divBdr>
      <w:divsChild>
        <w:div w:id="617642319">
          <w:marLeft w:val="0"/>
          <w:marRight w:val="0"/>
          <w:marTop w:val="0"/>
          <w:marBottom w:val="225"/>
          <w:divBdr>
            <w:top w:val="none" w:sz="0" w:space="0" w:color="auto"/>
            <w:left w:val="none" w:sz="0" w:space="0" w:color="auto"/>
            <w:bottom w:val="none" w:sz="0" w:space="0" w:color="auto"/>
            <w:right w:val="none" w:sz="0" w:space="0" w:color="auto"/>
          </w:divBdr>
          <w:divsChild>
            <w:div w:id="856162685">
              <w:marLeft w:val="0"/>
              <w:marRight w:val="0"/>
              <w:marTop w:val="0"/>
              <w:marBottom w:val="0"/>
              <w:divBdr>
                <w:top w:val="none" w:sz="0" w:space="0" w:color="auto"/>
                <w:left w:val="none" w:sz="0" w:space="0" w:color="auto"/>
                <w:bottom w:val="none" w:sz="0" w:space="0" w:color="auto"/>
                <w:right w:val="none" w:sz="0" w:space="0" w:color="auto"/>
              </w:divBdr>
              <w:divsChild>
                <w:div w:id="209670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475265">
          <w:marLeft w:val="0"/>
          <w:marRight w:val="0"/>
          <w:marTop w:val="0"/>
          <w:marBottom w:val="225"/>
          <w:divBdr>
            <w:top w:val="none" w:sz="0" w:space="0" w:color="auto"/>
            <w:left w:val="none" w:sz="0" w:space="0" w:color="auto"/>
            <w:bottom w:val="none" w:sz="0" w:space="0" w:color="auto"/>
            <w:right w:val="none" w:sz="0" w:space="0" w:color="auto"/>
          </w:divBdr>
        </w:div>
      </w:divsChild>
    </w:div>
    <w:div w:id="37048510">
      <w:bodyDiv w:val="1"/>
      <w:marLeft w:val="0"/>
      <w:marRight w:val="0"/>
      <w:marTop w:val="0"/>
      <w:marBottom w:val="0"/>
      <w:divBdr>
        <w:top w:val="none" w:sz="0" w:space="0" w:color="auto"/>
        <w:left w:val="none" w:sz="0" w:space="0" w:color="auto"/>
        <w:bottom w:val="none" w:sz="0" w:space="0" w:color="auto"/>
        <w:right w:val="none" w:sz="0" w:space="0" w:color="auto"/>
      </w:divBdr>
      <w:divsChild>
        <w:div w:id="359211104">
          <w:marLeft w:val="0"/>
          <w:marRight w:val="0"/>
          <w:marTop w:val="0"/>
          <w:marBottom w:val="0"/>
          <w:divBdr>
            <w:top w:val="none" w:sz="0" w:space="0" w:color="auto"/>
            <w:left w:val="none" w:sz="0" w:space="0" w:color="auto"/>
            <w:bottom w:val="none" w:sz="0" w:space="0" w:color="auto"/>
            <w:right w:val="none" w:sz="0" w:space="0" w:color="auto"/>
          </w:divBdr>
          <w:divsChild>
            <w:div w:id="1211573761">
              <w:marLeft w:val="0"/>
              <w:marRight w:val="0"/>
              <w:marTop w:val="0"/>
              <w:marBottom w:val="0"/>
              <w:divBdr>
                <w:top w:val="none" w:sz="0" w:space="0" w:color="auto"/>
                <w:left w:val="none" w:sz="0" w:space="0" w:color="auto"/>
                <w:bottom w:val="none" w:sz="0" w:space="0" w:color="auto"/>
                <w:right w:val="none" w:sz="0" w:space="0" w:color="auto"/>
              </w:divBdr>
              <w:divsChild>
                <w:div w:id="1464886768">
                  <w:marLeft w:val="0"/>
                  <w:marRight w:val="0"/>
                  <w:marTop w:val="0"/>
                  <w:marBottom w:val="150"/>
                  <w:divBdr>
                    <w:top w:val="none" w:sz="0" w:space="0" w:color="auto"/>
                    <w:left w:val="none" w:sz="0" w:space="0" w:color="auto"/>
                    <w:bottom w:val="none" w:sz="0" w:space="0" w:color="auto"/>
                    <w:right w:val="none" w:sz="0" w:space="0" w:color="auto"/>
                  </w:divBdr>
                  <w:divsChild>
                    <w:div w:id="706755677">
                      <w:marLeft w:val="0"/>
                      <w:marRight w:val="0"/>
                      <w:marTop w:val="0"/>
                      <w:marBottom w:val="0"/>
                      <w:divBdr>
                        <w:top w:val="none" w:sz="0" w:space="0" w:color="auto"/>
                        <w:left w:val="none" w:sz="0" w:space="0" w:color="auto"/>
                        <w:bottom w:val="none" w:sz="0" w:space="0" w:color="auto"/>
                        <w:right w:val="none" w:sz="0" w:space="0" w:color="auto"/>
                      </w:divBdr>
                      <w:divsChild>
                        <w:div w:id="318267984">
                          <w:marLeft w:val="0"/>
                          <w:marRight w:val="0"/>
                          <w:marTop w:val="0"/>
                          <w:marBottom w:val="0"/>
                          <w:divBdr>
                            <w:top w:val="none" w:sz="0" w:space="0" w:color="auto"/>
                            <w:left w:val="none" w:sz="0" w:space="0" w:color="auto"/>
                            <w:bottom w:val="none" w:sz="0" w:space="0" w:color="auto"/>
                            <w:right w:val="none" w:sz="0" w:space="0" w:color="auto"/>
                          </w:divBdr>
                          <w:divsChild>
                            <w:div w:id="1726298280">
                              <w:marLeft w:val="0"/>
                              <w:marRight w:val="0"/>
                              <w:marTop w:val="0"/>
                              <w:marBottom w:val="0"/>
                              <w:divBdr>
                                <w:top w:val="none" w:sz="0" w:space="0" w:color="auto"/>
                                <w:left w:val="none" w:sz="0" w:space="0" w:color="auto"/>
                                <w:bottom w:val="none" w:sz="0" w:space="0" w:color="auto"/>
                                <w:right w:val="none" w:sz="0" w:space="0" w:color="auto"/>
                              </w:divBdr>
                              <w:divsChild>
                                <w:div w:id="1455169744">
                                  <w:marLeft w:val="0"/>
                                  <w:marRight w:val="0"/>
                                  <w:marTop w:val="0"/>
                                  <w:marBottom w:val="0"/>
                                  <w:divBdr>
                                    <w:top w:val="none" w:sz="0" w:space="0" w:color="auto"/>
                                    <w:left w:val="none" w:sz="0" w:space="0" w:color="auto"/>
                                    <w:bottom w:val="none" w:sz="0" w:space="0" w:color="auto"/>
                                    <w:right w:val="none" w:sz="0" w:space="0" w:color="auto"/>
                                  </w:divBdr>
                                  <w:divsChild>
                                    <w:div w:id="1757897237">
                                      <w:marLeft w:val="0"/>
                                      <w:marRight w:val="0"/>
                                      <w:marTop w:val="0"/>
                                      <w:marBottom w:val="0"/>
                                      <w:divBdr>
                                        <w:top w:val="none" w:sz="0" w:space="0" w:color="auto"/>
                                        <w:left w:val="none" w:sz="0" w:space="0" w:color="auto"/>
                                        <w:bottom w:val="none" w:sz="0" w:space="0" w:color="auto"/>
                                        <w:right w:val="none" w:sz="0" w:space="0" w:color="auto"/>
                                      </w:divBdr>
                                      <w:divsChild>
                                        <w:div w:id="81688150">
                                          <w:marLeft w:val="0"/>
                                          <w:marRight w:val="0"/>
                                          <w:marTop w:val="0"/>
                                          <w:marBottom w:val="0"/>
                                          <w:divBdr>
                                            <w:top w:val="none" w:sz="0" w:space="0" w:color="auto"/>
                                            <w:left w:val="none" w:sz="0" w:space="0" w:color="auto"/>
                                            <w:bottom w:val="none" w:sz="0" w:space="0" w:color="auto"/>
                                            <w:right w:val="none" w:sz="0" w:space="0" w:color="auto"/>
                                          </w:divBdr>
                                          <w:divsChild>
                                            <w:div w:id="32704089">
                                              <w:marLeft w:val="0"/>
                                              <w:marRight w:val="0"/>
                                              <w:marTop w:val="0"/>
                                              <w:marBottom w:val="0"/>
                                              <w:divBdr>
                                                <w:top w:val="none" w:sz="0" w:space="0" w:color="auto"/>
                                                <w:left w:val="none" w:sz="0" w:space="0" w:color="auto"/>
                                                <w:bottom w:val="none" w:sz="0" w:space="0" w:color="auto"/>
                                                <w:right w:val="none" w:sz="0" w:space="0" w:color="auto"/>
                                              </w:divBdr>
                                              <w:divsChild>
                                                <w:div w:id="172880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053725">
      <w:bodyDiv w:val="1"/>
      <w:marLeft w:val="0"/>
      <w:marRight w:val="0"/>
      <w:marTop w:val="0"/>
      <w:marBottom w:val="0"/>
      <w:divBdr>
        <w:top w:val="none" w:sz="0" w:space="0" w:color="auto"/>
        <w:left w:val="none" w:sz="0" w:space="0" w:color="auto"/>
        <w:bottom w:val="none" w:sz="0" w:space="0" w:color="auto"/>
        <w:right w:val="none" w:sz="0" w:space="0" w:color="auto"/>
      </w:divBdr>
      <w:divsChild>
        <w:div w:id="600182132">
          <w:marLeft w:val="0"/>
          <w:marRight w:val="0"/>
          <w:marTop w:val="0"/>
          <w:marBottom w:val="0"/>
          <w:divBdr>
            <w:top w:val="none" w:sz="0" w:space="0" w:color="auto"/>
            <w:left w:val="none" w:sz="0" w:space="0" w:color="auto"/>
            <w:bottom w:val="none" w:sz="0" w:space="0" w:color="auto"/>
            <w:right w:val="none" w:sz="0" w:space="0" w:color="auto"/>
          </w:divBdr>
          <w:divsChild>
            <w:div w:id="1753156690">
              <w:marLeft w:val="0"/>
              <w:marRight w:val="0"/>
              <w:marTop w:val="0"/>
              <w:marBottom w:val="0"/>
              <w:divBdr>
                <w:top w:val="none" w:sz="0" w:space="0" w:color="auto"/>
                <w:left w:val="none" w:sz="0" w:space="0" w:color="auto"/>
                <w:bottom w:val="none" w:sz="0" w:space="0" w:color="auto"/>
                <w:right w:val="none" w:sz="0" w:space="0" w:color="auto"/>
              </w:divBdr>
              <w:divsChild>
                <w:div w:id="52876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8742">
          <w:marLeft w:val="0"/>
          <w:marRight w:val="0"/>
          <w:marTop w:val="0"/>
          <w:marBottom w:val="300"/>
          <w:divBdr>
            <w:top w:val="none" w:sz="0" w:space="0" w:color="auto"/>
            <w:left w:val="none" w:sz="0" w:space="0" w:color="auto"/>
            <w:bottom w:val="none" w:sz="0" w:space="0" w:color="auto"/>
            <w:right w:val="none" w:sz="0" w:space="0" w:color="auto"/>
          </w:divBdr>
          <w:divsChild>
            <w:div w:id="1608342712">
              <w:marLeft w:val="0"/>
              <w:marRight w:val="0"/>
              <w:marTop w:val="0"/>
              <w:marBottom w:val="0"/>
              <w:divBdr>
                <w:top w:val="none" w:sz="0" w:space="0" w:color="auto"/>
                <w:left w:val="none" w:sz="0" w:space="0" w:color="auto"/>
                <w:bottom w:val="none" w:sz="0" w:space="0" w:color="auto"/>
                <w:right w:val="none" w:sz="0" w:space="0" w:color="auto"/>
              </w:divBdr>
            </w:div>
          </w:divsChild>
        </w:div>
        <w:div w:id="618222724">
          <w:marLeft w:val="0"/>
          <w:marRight w:val="0"/>
          <w:marTop w:val="0"/>
          <w:marBottom w:val="75"/>
          <w:divBdr>
            <w:top w:val="none" w:sz="0" w:space="0" w:color="auto"/>
            <w:left w:val="none" w:sz="0" w:space="0" w:color="auto"/>
            <w:bottom w:val="none" w:sz="0" w:space="0" w:color="auto"/>
            <w:right w:val="none" w:sz="0" w:space="0" w:color="auto"/>
          </w:divBdr>
        </w:div>
        <w:div w:id="732239907">
          <w:marLeft w:val="0"/>
          <w:marRight w:val="0"/>
          <w:marTop w:val="0"/>
          <w:marBottom w:val="0"/>
          <w:divBdr>
            <w:top w:val="none" w:sz="0" w:space="0" w:color="auto"/>
            <w:left w:val="none" w:sz="0" w:space="0" w:color="auto"/>
            <w:bottom w:val="none" w:sz="0" w:space="0" w:color="auto"/>
            <w:right w:val="none" w:sz="0" w:space="0" w:color="auto"/>
          </w:divBdr>
        </w:div>
      </w:divsChild>
    </w:div>
    <w:div w:id="37976609">
      <w:bodyDiv w:val="1"/>
      <w:marLeft w:val="0"/>
      <w:marRight w:val="0"/>
      <w:marTop w:val="0"/>
      <w:marBottom w:val="0"/>
      <w:divBdr>
        <w:top w:val="none" w:sz="0" w:space="0" w:color="auto"/>
        <w:left w:val="none" w:sz="0" w:space="0" w:color="auto"/>
        <w:bottom w:val="none" w:sz="0" w:space="0" w:color="auto"/>
        <w:right w:val="none" w:sz="0" w:space="0" w:color="auto"/>
      </w:divBdr>
    </w:div>
    <w:div w:id="38364133">
      <w:bodyDiv w:val="1"/>
      <w:marLeft w:val="0"/>
      <w:marRight w:val="0"/>
      <w:marTop w:val="0"/>
      <w:marBottom w:val="0"/>
      <w:divBdr>
        <w:top w:val="none" w:sz="0" w:space="0" w:color="auto"/>
        <w:left w:val="none" w:sz="0" w:space="0" w:color="auto"/>
        <w:bottom w:val="none" w:sz="0" w:space="0" w:color="auto"/>
        <w:right w:val="none" w:sz="0" w:space="0" w:color="auto"/>
      </w:divBdr>
      <w:divsChild>
        <w:div w:id="1855194396">
          <w:marLeft w:val="0"/>
          <w:marRight w:val="0"/>
          <w:marTop w:val="0"/>
          <w:marBottom w:val="450"/>
          <w:divBdr>
            <w:top w:val="none" w:sz="0" w:space="0" w:color="auto"/>
            <w:left w:val="none" w:sz="0" w:space="0" w:color="auto"/>
            <w:bottom w:val="single" w:sz="6" w:space="19" w:color="EEEEEE"/>
            <w:right w:val="none" w:sz="0" w:space="0" w:color="auto"/>
          </w:divBdr>
          <w:divsChild>
            <w:div w:id="1394305303">
              <w:marLeft w:val="0"/>
              <w:marRight w:val="0"/>
              <w:marTop w:val="0"/>
              <w:marBottom w:val="150"/>
              <w:divBdr>
                <w:top w:val="none" w:sz="0" w:space="0" w:color="auto"/>
                <w:left w:val="none" w:sz="0" w:space="0" w:color="auto"/>
                <w:bottom w:val="none" w:sz="0" w:space="0" w:color="auto"/>
                <w:right w:val="none" w:sz="0" w:space="0" w:color="auto"/>
              </w:divBdr>
              <w:divsChild>
                <w:div w:id="131142429">
                  <w:marLeft w:val="0"/>
                  <w:marRight w:val="0"/>
                  <w:marTop w:val="0"/>
                  <w:marBottom w:val="0"/>
                  <w:divBdr>
                    <w:top w:val="none" w:sz="0" w:space="0" w:color="auto"/>
                    <w:left w:val="none" w:sz="0" w:space="0" w:color="auto"/>
                    <w:bottom w:val="none" w:sz="0" w:space="0" w:color="auto"/>
                    <w:right w:val="none" w:sz="0" w:space="0" w:color="auto"/>
                  </w:divBdr>
                </w:div>
              </w:divsChild>
            </w:div>
            <w:div w:id="1195576727">
              <w:marLeft w:val="0"/>
              <w:marRight w:val="0"/>
              <w:marTop w:val="0"/>
              <w:marBottom w:val="0"/>
              <w:divBdr>
                <w:top w:val="none" w:sz="0" w:space="0" w:color="auto"/>
                <w:left w:val="none" w:sz="0" w:space="0" w:color="auto"/>
                <w:bottom w:val="none" w:sz="0" w:space="0" w:color="auto"/>
                <w:right w:val="none" w:sz="0" w:space="0" w:color="auto"/>
              </w:divBdr>
            </w:div>
          </w:divsChild>
        </w:div>
        <w:div w:id="697317727">
          <w:marLeft w:val="0"/>
          <w:marRight w:val="0"/>
          <w:marTop w:val="0"/>
          <w:marBottom w:val="0"/>
          <w:divBdr>
            <w:top w:val="none" w:sz="0" w:space="0" w:color="auto"/>
            <w:left w:val="none" w:sz="0" w:space="0" w:color="auto"/>
            <w:bottom w:val="none" w:sz="0" w:space="0" w:color="auto"/>
            <w:right w:val="none" w:sz="0" w:space="0" w:color="auto"/>
          </w:divBdr>
          <w:divsChild>
            <w:div w:id="1216086377">
              <w:marLeft w:val="0"/>
              <w:marRight w:val="0"/>
              <w:marTop w:val="0"/>
              <w:marBottom w:val="0"/>
              <w:divBdr>
                <w:top w:val="none" w:sz="0" w:space="0" w:color="auto"/>
                <w:left w:val="none" w:sz="0" w:space="0" w:color="auto"/>
                <w:bottom w:val="none" w:sz="0" w:space="0" w:color="auto"/>
                <w:right w:val="none" w:sz="0" w:space="0" w:color="auto"/>
              </w:divBdr>
              <w:divsChild>
                <w:div w:id="149529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64352">
      <w:bodyDiv w:val="1"/>
      <w:marLeft w:val="0"/>
      <w:marRight w:val="0"/>
      <w:marTop w:val="0"/>
      <w:marBottom w:val="0"/>
      <w:divBdr>
        <w:top w:val="none" w:sz="0" w:space="0" w:color="auto"/>
        <w:left w:val="none" w:sz="0" w:space="0" w:color="auto"/>
        <w:bottom w:val="none" w:sz="0" w:space="0" w:color="auto"/>
        <w:right w:val="none" w:sz="0" w:space="0" w:color="auto"/>
      </w:divBdr>
    </w:div>
    <w:div w:id="38554073">
      <w:bodyDiv w:val="1"/>
      <w:marLeft w:val="0"/>
      <w:marRight w:val="0"/>
      <w:marTop w:val="0"/>
      <w:marBottom w:val="0"/>
      <w:divBdr>
        <w:top w:val="none" w:sz="0" w:space="0" w:color="auto"/>
        <w:left w:val="none" w:sz="0" w:space="0" w:color="auto"/>
        <w:bottom w:val="none" w:sz="0" w:space="0" w:color="auto"/>
        <w:right w:val="none" w:sz="0" w:space="0" w:color="auto"/>
      </w:divBdr>
      <w:divsChild>
        <w:div w:id="111873609">
          <w:marLeft w:val="0"/>
          <w:marRight w:val="0"/>
          <w:marTop w:val="0"/>
          <w:marBottom w:val="150"/>
          <w:divBdr>
            <w:top w:val="none" w:sz="0" w:space="0" w:color="auto"/>
            <w:left w:val="none" w:sz="0" w:space="0" w:color="auto"/>
            <w:bottom w:val="none" w:sz="0" w:space="0" w:color="auto"/>
            <w:right w:val="none" w:sz="0" w:space="0" w:color="auto"/>
          </w:divBdr>
          <w:divsChild>
            <w:div w:id="847328296">
              <w:marLeft w:val="0"/>
              <w:marRight w:val="0"/>
              <w:marTop w:val="0"/>
              <w:marBottom w:val="0"/>
              <w:divBdr>
                <w:top w:val="none" w:sz="0" w:space="0" w:color="auto"/>
                <w:left w:val="none" w:sz="0" w:space="0" w:color="auto"/>
                <w:bottom w:val="none" w:sz="0" w:space="0" w:color="auto"/>
                <w:right w:val="none" w:sz="0" w:space="0" w:color="auto"/>
              </w:divBdr>
            </w:div>
          </w:divsChild>
        </w:div>
        <w:div w:id="265042007">
          <w:marLeft w:val="0"/>
          <w:marRight w:val="0"/>
          <w:marTop w:val="0"/>
          <w:marBottom w:val="0"/>
          <w:divBdr>
            <w:top w:val="none" w:sz="0" w:space="0" w:color="auto"/>
            <w:left w:val="none" w:sz="0" w:space="0" w:color="auto"/>
            <w:bottom w:val="none" w:sz="0" w:space="0" w:color="auto"/>
            <w:right w:val="none" w:sz="0" w:space="0" w:color="auto"/>
          </w:divBdr>
          <w:divsChild>
            <w:div w:id="429817642">
              <w:marLeft w:val="0"/>
              <w:marRight w:val="0"/>
              <w:marTop w:val="0"/>
              <w:marBottom w:val="0"/>
              <w:divBdr>
                <w:top w:val="none" w:sz="0" w:space="0" w:color="auto"/>
                <w:left w:val="none" w:sz="0" w:space="0" w:color="auto"/>
                <w:bottom w:val="none" w:sz="0" w:space="0" w:color="auto"/>
                <w:right w:val="none" w:sz="0" w:space="0" w:color="auto"/>
              </w:divBdr>
            </w:div>
          </w:divsChild>
        </w:div>
        <w:div w:id="500779377">
          <w:marLeft w:val="0"/>
          <w:marRight w:val="0"/>
          <w:marTop w:val="0"/>
          <w:marBottom w:val="150"/>
          <w:divBdr>
            <w:top w:val="none" w:sz="0" w:space="0" w:color="auto"/>
            <w:left w:val="none" w:sz="0" w:space="0" w:color="auto"/>
            <w:bottom w:val="none" w:sz="0" w:space="0" w:color="auto"/>
            <w:right w:val="none" w:sz="0" w:space="0" w:color="auto"/>
          </w:divBdr>
        </w:div>
      </w:divsChild>
    </w:div>
    <w:div w:id="38747090">
      <w:bodyDiv w:val="1"/>
      <w:marLeft w:val="0"/>
      <w:marRight w:val="0"/>
      <w:marTop w:val="0"/>
      <w:marBottom w:val="0"/>
      <w:divBdr>
        <w:top w:val="none" w:sz="0" w:space="0" w:color="auto"/>
        <w:left w:val="none" w:sz="0" w:space="0" w:color="auto"/>
        <w:bottom w:val="none" w:sz="0" w:space="0" w:color="auto"/>
        <w:right w:val="none" w:sz="0" w:space="0" w:color="auto"/>
      </w:divBdr>
      <w:divsChild>
        <w:div w:id="1592935095">
          <w:marLeft w:val="0"/>
          <w:marRight w:val="0"/>
          <w:marTop w:val="0"/>
          <w:marBottom w:val="0"/>
          <w:divBdr>
            <w:top w:val="none" w:sz="0" w:space="0" w:color="auto"/>
            <w:left w:val="none" w:sz="0" w:space="0" w:color="auto"/>
            <w:bottom w:val="none" w:sz="0" w:space="0" w:color="auto"/>
            <w:right w:val="none" w:sz="0" w:space="0" w:color="auto"/>
          </w:divBdr>
        </w:div>
      </w:divsChild>
    </w:div>
    <w:div w:id="39135831">
      <w:bodyDiv w:val="1"/>
      <w:marLeft w:val="0"/>
      <w:marRight w:val="0"/>
      <w:marTop w:val="0"/>
      <w:marBottom w:val="0"/>
      <w:divBdr>
        <w:top w:val="none" w:sz="0" w:space="0" w:color="auto"/>
        <w:left w:val="none" w:sz="0" w:space="0" w:color="auto"/>
        <w:bottom w:val="none" w:sz="0" w:space="0" w:color="auto"/>
        <w:right w:val="none" w:sz="0" w:space="0" w:color="auto"/>
      </w:divBdr>
      <w:divsChild>
        <w:div w:id="1073814600">
          <w:marLeft w:val="0"/>
          <w:marRight w:val="0"/>
          <w:marTop w:val="0"/>
          <w:marBottom w:val="0"/>
          <w:divBdr>
            <w:top w:val="none" w:sz="0" w:space="0" w:color="auto"/>
            <w:left w:val="none" w:sz="0" w:space="0" w:color="auto"/>
            <w:bottom w:val="none" w:sz="0" w:space="0" w:color="auto"/>
            <w:right w:val="none" w:sz="0" w:space="0" w:color="auto"/>
          </w:divBdr>
          <w:divsChild>
            <w:div w:id="934436118">
              <w:marLeft w:val="0"/>
              <w:marRight w:val="0"/>
              <w:marTop w:val="0"/>
              <w:marBottom w:val="0"/>
              <w:divBdr>
                <w:top w:val="none" w:sz="0" w:space="0" w:color="auto"/>
                <w:left w:val="none" w:sz="0" w:space="0" w:color="auto"/>
                <w:bottom w:val="none" w:sz="0" w:space="0" w:color="auto"/>
                <w:right w:val="none" w:sz="0" w:space="0" w:color="auto"/>
              </w:divBdr>
              <w:divsChild>
                <w:div w:id="289364503">
                  <w:marLeft w:val="0"/>
                  <w:marRight w:val="0"/>
                  <w:marTop w:val="0"/>
                  <w:marBottom w:val="0"/>
                  <w:divBdr>
                    <w:top w:val="none" w:sz="0" w:space="0" w:color="auto"/>
                    <w:left w:val="none" w:sz="0" w:space="0" w:color="auto"/>
                    <w:bottom w:val="none" w:sz="0" w:space="0" w:color="auto"/>
                    <w:right w:val="none" w:sz="0" w:space="0" w:color="auto"/>
                  </w:divBdr>
                  <w:divsChild>
                    <w:div w:id="286932623">
                      <w:marLeft w:val="0"/>
                      <w:marRight w:val="0"/>
                      <w:marTop w:val="0"/>
                      <w:marBottom w:val="0"/>
                      <w:divBdr>
                        <w:top w:val="none" w:sz="0" w:space="0" w:color="auto"/>
                        <w:left w:val="none" w:sz="0" w:space="0" w:color="auto"/>
                        <w:bottom w:val="none" w:sz="0" w:space="0" w:color="auto"/>
                        <w:right w:val="none" w:sz="0" w:space="0" w:color="auto"/>
                      </w:divBdr>
                      <w:divsChild>
                        <w:div w:id="930046209">
                          <w:marLeft w:val="0"/>
                          <w:marRight w:val="0"/>
                          <w:marTop w:val="0"/>
                          <w:marBottom w:val="0"/>
                          <w:divBdr>
                            <w:top w:val="none" w:sz="0" w:space="0" w:color="auto"/>
                            <w:left w:val="none" w:sz="0" w:space="0" w:color="auto"/>
                            <w:bottom w:val="none" w:sz="0" w:space="0" w:color="auto"/>
                            <w:right w:val="none" w:sz="0" w:space="0" w:color="auto"/>
                          </w:divBdr>
                          <w:divsChild>
                            <w:div w:id="491220738">
                              <w:marLeft w:val="0"/>
                              <w:marRight w:val="0"/>
                              <w:marTop w:val="0"/>
                              <w:marBottom w:val="0"/>
                              <w:divBdr>
                                <w:top w:val="none" w:sz="0" w:space="0" w:color="auto"/>
                                <w:left w:val="none" w:sz="0" w:space="0" w:color="auto"/>
                                <w:bottom w:val="none" w:sz="0" w:space="0" w:color="auto"/>
                                <w:right w:val="none" w:sz="0" w:space="0" w:color="auto"/>
                              </w:divBdr>
                              <w:divsChild>
                                <w:div w:id="1987777798">
                                  <w:marLeft w:val="0"/>
                                  <w:marRight w:val="0"/>
                                  <w:marTop w:val="0"/>
                                  <w:marBottom w:val="0"/>
                                  <w:divBdr>
                                    <w:top w:val="none" w:sz="0" w:space="0" w:color="auto"/>
                                    <w:left w:val="none" w:sz="0" w:space="0" w:color="auto"/>
                                    <w:bottom w:val="none" w:sz="0" w:space="0" w:color="auto"/>
                                    <w:right w:val="none" w:sz="0" w:space="0" w:color="auto"/>
                                  </w:divBdr>
                                  <w:divsChild>
                                    <w:div w:id="184485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87055">
      <w:bodyDiv w:val="1"/>
      <w:marLeft w:val="0"/>
      <w:marRight w:val="0"/>
      <w:marTop w:val="0"/>
      <w:marBottom w:val="0"/>
      <w:divBdr>
        <w:top w:val="none" w:sz="0" w:space="0" w:color="auto"/>
        <w:left w:val="none" w:sz="0" w:space="0" w:color="auto"/>
        <w:bottom w:val="none" w:sz="0" w:space="0" w:color="auto"/>
        <w:right w:val="none" w:sz="0" w:space="0" w:color="auto"/>
      </w:divBdr>
      <w:divsChild>
        <w:div w:id="554852462">
          <w:marLeft w:val="0"/>
          <w:marRight w:val="0"/>
          <w:marTop w:val="0"/>
          <w:marBottom w:val="0"/>
          <w:divBdr>
            <w:top w:val="none" w:sz="0" w:space="0" w:color="auto"/>
            <w:left w:val="none" w:sz="0" w:space="0" w:color="auto"/>
            <w:bottom w:val="dotted" w:sz="6" w:space="4" w:color="DDDDDD"/>
            <w:right w:val="none" w:sz="0" w:space="0" w:color="auto"/>
          </w:divBdr>
        </w:div>
      </w:divsChild>
    </w:div>
    <w:div w:id="39938687">
      <w:bodyDiv w:val="1"/>
      <w:marLeft w:val="0"/>
      <w:marRight w:val="0"/>
      <w:marTop w:val="0"/>
      <w:marBottom w:val="0"/>
      <w:divBdr>
        <w:top w:val="none" w:sz="0" w:space="0" w:color="auto"/>
        <w:left w:val="none" w:sz="0" w:space="0" w:color="auto"/>
        <w:bottom w:val="none" w:sz="0" w:space="0" w:color="auto"/>
        <w:right w:val="none" w:sz="0" w:space="0" w:color="auto"/>
      </w:divBdr>
    </w:div>
    <w:div w:id="40134561">
      <w:bodyDiv w:val="1"/>
      <w:marLeft w:val="0"/>
      <w:marRight w:val="0"/>
      <w:marTop w:val="0"/>
      <w:marBottom w:val="0"/>
      <w:divBdr>
        <w:top w:val="none" w:sz="0" w:space="0" w:color="auto"/>
        <w:left w:val="none" w:sz="0" w:space="0" w:color="auto"/>
        <w:bottom w:val="none" w:sz="0" w:space="0" w:color="auto"/>
        <w:right w:val="none" w:sz="0" w:space="0" w:color="auto"/>
      </w:divBdr>
      <w:divsChild>
        <w:div w:id="901135898">
          <w:marLeft w:val="0"/>
          <w:marRight w:val="0"/>
          <w:marTop w:val="0"/>
          <w:marBottom w:val="0"/>
          <w:divBdr>
            <w:top w:val="none" w:sz="0" w:space="0" w:color="auto"/>
            <w:left w:val="none" w:sz="0" w:space="0" w:color="auto"/>
            <w:bottom w:val="none" w:sz="0" w:space="0" w:color="auto"/>
            <w:right w:val="none" w:sz="0" w:space="0" w:color="auto"/>
          </w:divBdr>
          <w:divsChild>
            <w:div w:id="293101142">
              <w:marLeft w:val="0"/>
              <w:marRight w:val="0"/>
              <w:marTop w:val="0"/>
              <w:marBottom w:val="0"/>
              <w:divBdr>
                <w:top w:val="none" w:sz="0" w:space="0" w:color="auto"/>
                <w:left w:val="none" w:sz="0" w:space="0" w:color="auto"/>
                <w:bottom w:val="none" w:sz="0" w:space="0" w:color="auto"/>
                <w:right w:val="none" w:sz="0" w:space="0" w:color="auto"/>
              </w:divBdr>
              <w:divsChild>
                <w:div w:id="379788387">
                  <w:marLeft w:val="0"/>
                  <w:marRight w:val="0"/>
                  <w:marTop w:val="0"/>
                  <w:marBottom w:val="0"/>
                  <w:divBdr>
                    <w:top w:val="none" w:sz="0" w:space="0" w:color="auto"/>
                    <w:left w:val="none" w:sz="0" w:space="0" w:color="auto"/>
                    <w:bottom w:val="none" w:sz="0" w:space="0" w:color="auto"/>
                    <w:right w:val="none" w:sz="0" w:space="0" w:color="auto"/>
                  </w:divBdr>
                  <w:divsChild>
                    <w:div w:id="1174996172">
                      <w:marLeft w:val="0"/>
                      <w:marRight w:val="0"/>
                      <w:marTop w:val="0"/>
                      <w:marBottom w:val="0"/>
                      <w:divBdr>
                        <w:top w:val="none" w:sz="0" w:space="0" w:color="auto"/>
                        <w:left w:val="none" w:sz="0" w:space="0" w:color="auto"/>
                        <w:bottom w:val="none" w:sz="0" w:space="0" w:color="auto"/>
                        <w:right w:val="none" w:sz="0" w:space="0" w:color="auto"/>
                      </w:divBdr>
                      <w:divsChild>
                        <w:div w:id="2019386180">
                          <w:marLeft w:val="0"/>
                          <w:marRight w:val="0"/>
                          <w:marTop w:val="0"/>
                          <w:marBottom w:val="0"/>
                          <w:divBdr>
                            <w:top w:val="none" w:sz="0" w:space="0" w:color="auto"/>
                            <w:left w:val="none" w:sz="0" w:space="0" w:color="auto"/>
                            <w:bottom w:val="none" w:sz="0" w:space="0" w:color="auto"/>
                            <w:right w:val="none" w:sz="0" w:space="0" w:color="auto"/>
                          </w:divBdr>
                          <w:divsChild>
                            <w:div w:id="954169045">
                              <w:marLeft w:val="0"/>
                              <w:marRight w:val="0"/>
                              <w:marTop w:val="0"/>
                              <w:marBottom w:val="0"/>
                              <w:divBdr>
                                <w:top w:val="none" w:sz="0" w:space="0" w:color="auto"/>
                                <w:left w:val="none" w:sz="0" w:space="0" w:color="auto"/>
                                <w:bottom w:val="none" w:sz="0" w:space="0" w:color="auto"/>
                                <w:right w:val="none" w:sz="0" w:space="0" w:color="auto"/>
                              </w:divBdr>
                              <w:divsChild>
                                <w:div w:id="1602881398">
                                  <w:marLeft w:val="0"/>
                                  <w:marRight w:val="0"/>
                                  <w:marTop w:val="0"/>
                                  <w:marBottom w:val="0"/>
                                  <w:divBdr>
                                    <w:top w:val="none" w:sz="0" w:space="0" w:color="auto"/>
                                    <w:left w:val="none" w:sz="0" w:space="0" w:color="auto"/>
                                    <w:bottom w:val="none" w:sz="0" w:space="0" w:color="auto"/>
                                    <w:right w:val="none" w:sz="0" w:space="0" w:color="auto"/>
                                  </w:divBdr>
                                  <w:divsChild>
                                    <w:div w:id="715157247">
                                      <w:marLeft w:val="0"/>
                                      <w:marRight w:val="0"/>
                                      <w:marTop w:val="0"/>
                                      <w:marBottom w:val="0"/>
                                      <w:divBdr>
                                        <w:top w:val="none" w:sz="0" w:space="0" w:color="auto"/>
                                        <w:left w:val="none" w:sz="0" w:space="0" w:color="auto"/>
                                        <w:bottom w:val="none" w:sz="0" w:space="0" w:color="auto"/>
                                        <w:right w:val="none" w:sz="0" w:space="0" w:color="auto"/>
                                      </w:divBdr>
                                      <w:divsChild>
                                        <w:div w:id="184562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251093">
      <w:bodyDiv w:val="1"/>
      <w:marLeft w:val="0"/>
      <w:marRight w:val="0"/>
      <w:marTop w:val="0"/>
      <w:marBottom w:val="0"/>
      <w:divBdr>
        <w:top w:val="none" w:sz="0" w:space="0" w:color="auto"/>
        <w:left w:val="none" w:sz="0" w:space="0" w:color="auto"/>
        <w:bottom w:val="none" w:sz="0" w:space="0" w:color="auto"/>
        <w:right w:val="none" w:sz="0" w:space="0" w:color="auto"/>
      </w:divBdr>
      <w:divsChild>
        <w:div w:id="112867846">
          <w:marLeft w:val="0"/>
          <w:marRight w:val="0"/>
          <w:marTop w:val="0"/>
          <w:marBottom w:val="0"/>
          <w:divBdr>
            <w:top w:val="none" w:sz="0" w:space="0" w:color="auto"/>
            <w:left w:val="none" w:sz="0" w:space="0" w:color="auto"/>
            <w:bottom w:val="dotted" w:sz="6" w:space="4" w:color="DDDDDD"/>
            <w:right w:val="none" w:sz="0" w:space="0" w:color="auto"/>
          </w:divBdr>
        </w:div>
      </w:divsChild>
    </w:div>
    <w:div w:id="40786083">
      <w:bodyDiv w:val="1"/>
      <w:marLeft w:val="0"/>
      <w:marRight w:val="0"/>
      <w:marTop w:val="0"/>
      <w:marBottom w:val="0"/>
      <w:divBdr>
        <w:top w:val="none" w:sz="0" w:space="0" w:color="auto"/>
        <w:left w:val="none" w:sz="0" w:space="0" w:color="auto"/>
        <w:bottom w:val="none" w:sz="0" w:space="0" w:color="auto"/>
        <w:right w:val="none" w:sz="0" w:space="0" w:color="auto"/>
      </w:divBdr>
      <w:divsChild>
        <w:div w:id="944461453">
          <w:marLeft w:val="0"/>
          <w:marRight w:val="0"/>
          <w:marTop w:val="0"/>
          <w:marBottom w:val="0"/>
          <w:divBdr>
            <w:top w:val="none" w:sz="0" w:space="0" w:color="auto"/>
            <w:left w:val="none" w:sz="0" w:space="0" w:color="auto"/>
            <w:bottom w:val="dotted" w:sz="6" w:space="4" w:color="DDDDDD"/>
            <w:right w:val="none" w:sz="0" w:space="0" w:color="auto"/>
          </w:divBdr>
          <w:divsChild>
            <w:div w:id="142299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6163">
      <w:bodyDiv w:val="1"/>
      <w:marLeft w:val="0"/>
      <w:marRight w:val="0"/>
      <w:marTop w:val="0"/>
      <w:marBottom w:val="0"/>
      <w:divBdr>
        <w:top w:val="none" w:sz="0" w:space="0" w:color="auto"/>
        <w:left w:val="none" w:sz="0" w:space="0" w:color="auto"/>
        <w:bottom w:val="none" w:sz="0" w:space="0" w:color="auto"/>
        <w:right w:val="none" w:sz="0" w:space="0" w:color="auto"/>
      </w:divBdr>
      <w:divsChild>
        <w:div w:id="274102444">
          <w:marLeft w:val="0"/>
          <w:marRight w:val="0"/>
          <w:marTop w:val="0"/>
          <w:marBottom w:val="0"/>
          <w:divBdr>
            <w:top w:val="none" w:sz="0" w:space="0" w:color="auto"/>
            <w:left w:val="none" w:sz="0" w:space="0" w:color="auto"/>
            <w:bottom w:val="dotted" w:sz="6" w:space="4" w:color="DDDDDD"/>
            <w:right w:val="none" w:sz="0" w:space="0" w:color="auto"/>
          </w:divBdr>
        </w:div>
      </w:divsChild>
    </w:div>
    <w:div w:id="41951766">
      <w:bodyDiv w:val="1"/>
      <w:marLeft w:val="0"/>
      <w:marRight w:val="0"/>
      <w:marTop w:val="0"/>
      <w:marBottom w:val="0"/>
      <w:divBdr>
        <w:top w:val="none" w:sz="0" w:space="0" w:color="auto"/>
        <w:left w:val="none" w:sz="0" w:space="0" w:color="auto"/>
        <w:bottom w:val="none" w:sz="0" w:space="0" w:color="auto"/>
        <w:right w:val="none" w:sz="0" w:space="0" w:color="auto"/>
      </w:divBdr>
      <w:divsChild>
        <w:div w:id="1806317775">
          <w:marLeft w:val="0"/>
          <w:marRight w:val="0"/>
          <w:marTop w:val="0"/>
          <w:marBottom w:val="0"/>
          <w:divBdr>
            <w:top w:val="none" w:sz="0" w:space="0" w:color="auto"/>
            <w:left w:val="none" w:sz="0" w:space="0" w:color="auto"/>
            <w:bottom w:val="none" w:sz="0" w:space="0" w:color="auto"/>
            <w:right w:val="none" w:sz="0" w:space="0" w:color="auto"/>
          </w:divBdr>
          <w:divsChild>
            <w:div w:id="690495910">
              <w:marLeft w:val="0"/>
              <w:marRight w:val="0"/>
              <w:marTop w:val="0"/>
              <w:marBottom w:val="0"/>
              <w:divBdr>
                <w:top w:val="none" w:sz="0" w:space="0" w:color="auto"/>
                <w:left w:val="none" w:sz="0" w:space="0" w:color="auto"/>
                <w:bottom w:val="none" w:sz="0" w:space="0" w:color="auto"/>
                <w:right w:val="none" w:sz="0" w:space="0" w:color="auto"/>
              </w:divBdr>
              <w:divsChild>
                <w:div w:id="1060131763">
                  <w:marLeft w:val="0"/>
                  <w:marRight w:val="0"/>
                  <w:marTop w:val="0"/>
                  <w:marBottom w:val="0"/>
                  <w:divBdr>
                    <w:top w:val="none" w:sz="0" w:space="0" w:color="auto"/>
                    <w:left w:val="none" w:sz="0" w:space="0" w:color="auto"/>
                    <w:bottom w:val="none" w:sz="0" w:space="0" w:color="auto"/>
                    <w:right w:val="none" w:sz="0" w:space="0" w:color="auto"/>
                  </w:divBdr>
                  <w:divsChild>
                    <w:div w:id="1379401816">
                      <w:marLeft w:val="0"/>
                      <w:marRight w:val="0"/>
                      <w:marTop w:val="0"/>
                      <w:marBottom w:val="0"/>
                      <w:divBdr>
                        <w:top w:val="none" w:sz="0" w:space="0" w:color="auto"/>
                        <w:left w:val="none" w:sz="0" w:space="0" w:color="auto"/>
                        <w:bottom w:val="none" w:sz="0" w:space="0" w:color="auto"/>
                        <w:right w:val="none" w:sz="0" w:space="0" w:color="auto"/>
                      </w:divBdr>
                      <w:divsChild>
                        <w:div w:id="1920871092">
                          <w:marLeft w:val="0"/>
                          <w:marRight w:val="0"/>
                          <w:marTop w:val="0"/>
                          <w:marBottom w:val="0"/>
                          <w:divBdr>
                            <w:top w:val="none" w:sz="0" w:space="0" w:color="auto"/>
                            <w:left w:val="none" w:sz="0" w:space="0" w:color="auto"/>
                            <w:bottom w:val="none" w:sz="0" w:space="0" w:color="auto"/>
                            <w:right w:val="none" w:sz="0" w:space="0" w:color="auto"/>
                          </w:divBdr>
                          <w:divsChild>
                            <w:div w:id="520625153">
                              <w:marLeft w:val="0"/>
                              <w:marRight w:val="0"/>
                              <w:marTop w:val="0"/>
                              <w:marBottom w:val="0"/>
                              <w:divBdr>
                                <w:top w:val="none" w:sz="0" w:space="0" w:color="auto"/>
                                <w:left w:val="none" w:sz="0" w:space="0" w:color="auto"/>
                                <w:bottom w:val="none" w:sz="0" w:space="0" w:color="auto"/>
                                <w:right w:val="none" w:sz="0" w:space="0" w:color="auto"/>
                              </w:divBdr>
                              <w:divsChild>
                                <w:div w:id="1741517356">
                                  <w:marLeft w:val="0"/>
                                  <w:marRight w:val="0"/>
                                  <w:marTop w:val="0"/>
                                  <w:marBottom w:val="0"/>
                                  <w:divBdr>
                                    <w:top w:val="none" w:sz="0" w:space="0" w:color="auto"/>
                                    <w:left w:val="none" w:sz="0" w:space="0" w:color="auto"/>
                                    <w:bottom w:val="none" w:sz="0" w:space="0" w:color="auto"/>
                                    <w:right w:val="none" w:sz="0" w:space="0" w:color="auto"/>
                                  </w:divBdr>
                                  <w:divsChild>
                                    <w:div w:id="412169172">
                                      <w:marLeft w:val="0"/>
                                      <w:marRight w:val="0"/>
                                      <w:marTop w:val="0"/>
                                      <w:marBottom w:val="0"/>
                                      <w:divBdr>
                                        <w:top w:val="none" w:sz="0" w:space="0" w:color="auto"/>
                                        <w:left w:val="none" w:sz="0" w:space="0" w:color="auto"/>
                                        <w:bottom w:val="none" w:sz="0" w:space="0" w:color="auto"/>
                                        <w:right w:val="none" w:sz="0" w:space="0" w:color="auto"/>
                                      </w:divBdr>
                                      <w:divsChild>
                                        <w:div w:id="1056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89826">
      <w:bodyDiv w:val="1"/>
      <w:marLeft w:val="0"/>
      <w:marRight w:val="0"/>
      <w:marTop w:val="0"/>
      <w:marBottom w:val="0"/>
      <w:divBdr>
        <w:top w:val="none" w:sz="0" w:space="0" w:color="auto"/>
        <w:left w:val="none" w:sz="0" w:space="0" w:color="auto"/>
        <w:bottom w:val="none" w:sz="0" w:space="0" w:color="auto"/>
        <w:right w:val="none" w:sz="0" w:space="0" w:color="auto"/>
      </w:divBdr>
      <w:divsChild>
        <w:div w:id="1863781490">
          <w:marLeft w:val="0"/>
          <w:marRight w:val="0"/>
          <w:marTop w:val="0"/>
          <w:marBottom w:val="0"/>
          <w:divBdr>
            <w:top w:val="none" w:sz="0" w:space="0" w:color="auto"/>
            <w:left w:val="none" w:sz="0" w:space="0" w:color="auto"/>
            <w:bottom w:val="none" w:sz="0" w:space="0" w:color="auto"/>
            <w:right w:val="none" w:sz="0" w:space="0" w:color="auto"/>
          </w:divBdr>
        </w:div>
      </w:divsChild>
    </w:div>
    <w:div w:id="42413872">
      <w:bodyDiv w:val="1"/>
      <w:marLeft w:val="0"/>
      <w:marRight w:val="0"/>
      <w:marTop w:val="0"/>
      <w:marBottom w:val="0"/>
      <w:divBdr>
        <w:top w:val="none" w:sz="0" w:space="0" w:color="auto"/>
        <w:left w:val="none" w:sz="0" w:space="0" w:color="auto"/>
        <w:bottom w:val="none" w:sz="0" w:space="0" w:color="auto"/>
        <w:right w:val="none" w:sz="0" w:space="0" w:color="auto"/>
      </w:divBdr>
      <w:divsChild>
        <w:div w:id="1629510232">
          <w:marLeft w:val="0"/>
          <w:marRight w:val="0"/>
          <w:marTop w:val="0"/>
          <w:marBottom w:val="0"/>
          <w:divBdr>
            <w:top w:val="none" w:sz="0" w:space="0" w:color="auto"/>
            <w:left w:val="none" w:sz="0" w:space="0" w:color="auto"/>
            <w:bottom w:val="none" w:sz="0" w:space="0" w:color="auto"/>
            <w:right w:val="none" w:sz="0" w:space="0" w:color="auto"/>
          </w:divBdr>
          <w:divsChild>
            <w:div w:id="167557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0986">
      <w:bodyDiv w:val="1"/>
      <w:marLeft w:val="0"/>
      <w:marRight w:val="0"/>
      <w:marTop w:val="0"/>
      <w:marBottom w:val="0"/>
      <w:divBdr>
        <w:top w:val="none" w:sz="0" w:space="0" w:color="auto"/>
        <w:left w:val="none" w:sz="0" w:space="0" w:color="auto"/>
        <w:bottom w:val="none" w:sz="0" w:space="0" w:color="auto"/>
        <w:right w:val="none" w:sz="0" w:space="0" w:color="auto"/>
      </w:divBdr>
      <w:divsChild>
        <w:div w:id="159660419">
          <w:marLeft w:val="0"/>
          <w:marRight w:val="0"/>
          <w:marTop w:val="0"/>
          <w:marBottom w:val="450"/>
          <w:divBdr>
            <w:top w:val="none" w:sz="0" w:space="0" w:color="auto"/>
            <w:left w:val="none" w:sz="0" w:space="0" w:color="auto"/>
            <w:bottom w:val="single" w:sz="6" w:space="19" w:color="EEEEEE"/>
            <w:right w:val="none" w:sz="0" w:space="0" w:color="auto"/>
          </w:divBdr>
          <w:divsChild>
            <w:div w:id="181482511">
              <w:marLeft w:val="0"/>
              <w:marRight w:val="0"/>
              <w:marTop w:val="0"/>
              <w:marBottom w:val="150"/>
              <w:divBdr>
                <w:top w:val="none" w:sz="0" w:space="0" w:color="auto"/>
                <w:left w:val="none" w:sz="0" w:space="0" w:color="auto"/>
                <w:bottom w:val="none" w:sz="0" w:space="0" w:color="auto"/>
                <w:right w:val="none" w:sz="0" w:space="0" w:color="auto"/>
              </w:divBdr>
              <w:divsChild>
                <w:div w:id="1149446070">
                  <w:marLeft w:val="0"/>
                  <w:marRight w:val="0"/>
                  <w:marTop w:val="0"/>
                  <w:marBottom w:val="0"/>
                  <w:divBdr>
                    <w:top w:val="none" w:sz="0" w:space="0" w:color="auto"/>
                    <w:left w:val="none" w:sz="0" w:space="0" w:color="auto"/>
                    <w:bottom w:val="none" w:sz="0" w:space="0" w:color="auto"/>
                    <w:right w:val="none" w:sz="0" w:space="0" w:color="auto"/>
                  </w:divBdr>
                </w:div>
              </w:divsChild>
            </w:div>
            <w:div w:id="816217614">
              <w:marLeft w:val="0"/>
              <w:marRight w:val="0"/>
              <w:marTop w:val="0"/>
              <w:marBottom w:val="0"/>
              <w:divBdr>
                <w:top w:val="none" w:sz="0" w:space="0" w:color="auto"/>
                <w:left w:val="none" w:sz="0" w:space="0" w:color="auto"/>
                <w:bottom w:val="none" w:sz="0" w:space="0" w:color="auto"/>
                <w:right w:val="none" w:sz="0" w:space="0" w:color="auto"/>
              </w:divBdr>
            </w:div>
          </w:divsChild>
        </w:div>
        <w:div w:id="1943804549">
          <w:marLeft w:val="0"/>
          <w:marRight w:val="0"/>
          <w:marTop w:val="0"/>
          <w:marBottom w:val="0"/>
          <w:divBdr>
            <w:top w:val="none" w:sz="0" w:space="0" w:color="auto"/>
            <w:left w:val="none" w:sz="0" w:space="0" w:color="auto"/>
            <w:bottom w:val="none" w:sz="0" w:space="0" w:color="auto"/>
            <w:right w:val="none" w:sz="0" w:space="0" w:color="auto"/>
          </w:divBdr>
          <w:divsChild>
            <w:div w:id="2060546749">
              <w:marLeft w:val="0"/>
              <w:marRight w:val="0"/>
              <w:marTop w:val="0"/>
              <w:marBottom w:val="0"/>
              <w:divBdr>
                <w:top w:val="none" w:sz="0" w:space="0" w:color="auto"/>
                <w:left w:val="none" w:sz="0" w:space="0" w:color="auto"/>
                <w:bottom w:val="none" w:sz="0" w:space="0" w:color="auto"/>
                <w:right w:val="none" w:sz="0" w:space="0" w:color="auto"/>
              </w:divBdr>
              <w:divsChild>
                <w:div w:id="43444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65401">
      <w:bodyDiv w:val="1"/>
      <w:marLeft w:val="0"/>
      <w:marRight w:val="0"/>
      <w:marTop w:val="0"/>
      <w:marBottom w:val="0"/>
      <w:divBdr>
        <w:top w:val="none" w:sz="0" w:space="0" w:color="auto"/>
        <w:left w:val="none" w:sz="0" w:space="0" w:color="auto"/>
        <w:bottom w:val="none" w:sz="0" w:space="0" w:color="auto"/>
        <w:right w:val="none" w:sz="0" w:space="0" w:color="auto"/>
      </w:divBdr>
      <w:divsChild>
        <w:div w:id="195428922">
          <w:marLeft w:val="0"/>
          <w:marRight w:val="0"/>
          <w:marTop w:val="0"/>
          <w:marBottom w:val="0"/>
          <w:divBdr>
            <w:top w:val="none" w:sz="0" w:space="0" w:color="auto"/>
            <w:left w:val="none" w:sz="0" w:space="0" w:color="auto"/>
            <w:bottom w:val="dotted" w:sz="6" w:space="4" w:color="DDDDDD"/>
            <w:right w:val="none" w:sz="0" w:space="0" w:color="auto"/>
          </w:divBdr>
          <w:divsChild>
            <w:div w:id="166739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04766">
      <w:bodyDiv w:val="1"/>
      <w:marLeft w:val="0"/>
      <w:marRight w:val="0"/>
      <w:marTop w:val="0"/>
      <w:marBottom w:val="0"/>
      <w:divBdr>
        <w:top w:val="none" w:sz="0" w:space="0" w:color="auto"/>
        <w:left w:val="none" w:sz="0" w:space="0" w:color="auto"/>
        <w:bottom w:val="none" w:sz="0" w:space="0" w:color="auto"/>
        <w:right w:val="none" w:sz="0" w:space="0" w:color="auto"/>
      </w:divBdr>
    </w:div>
    <w:div w:id="42868125">
      <w:bodyDiv w:val="1"/>
      <w:marLeft w:val="0"/>
      <w:marRight w:val="0"/>
      <w:marTop w:val="0"/>
      <w:marBottom w:val="0"/>
      <w:divBdr>
        <w:top w:val="none" w:sz="0" w:space="0" w:color="auto"/>
        <w:left w:val="none" w:sz="0" w:space="0" w:color="auto"/>
        <w:bottom w:val="none" w:sz="0" w:space="0" w:color="auto"/>
        <w:right w:val="none" w:sz="0" w:space="0" w:color="auto"/>
      </w:divBdr>
      <w:divsChild>
        <w:div w:id="323553581">
          <w:marLeft w:val="0"/>
          <w:marRight w:val="0"/>
          <w:marTop w:val="0"/>
          <w:marBottom w:val="180"/>
          <w:divBdr>
            <w:top w:val="none" w:sz="0" w:space="0" w:color="auto"/>
            <w:left w:val="none" w:sz="0" w:space="0" w:color="auto"/>
            <w:bottom w:val="none" w:sz="0" w:space="0" w:color="auto"/>
            <w:right w:val="none" w:sz="0" w:space="0" w:color="auto"/>
          </w:divBdr>
        </w:div>
        <w:div w:id="437527355">
          <w:marLeft w:val="0"/>
          <w:marRight w:val="0"/>
          <w:marTop w:val="0"/>
          <w:marBottom w:val="180"/>
          <w:divBdr>
            <w:top w:val="none" w:sz="0" w:space="0" w:color="auto"/>
            <w:left w:val="none" w:sz="0" w:space="0" w:color="auto"/>
            <w:bottom w:val="none" w:sz="0" w:space="0" w:color="auto"/>
            <w:right w:val="none" w:sz="0" w:space="0" w:color="auto"/>
          </w:divBdr>
        </w:div>
        <w:div w:id="1807233194">
          <w:marLeft w:val="0"/>
          <w:marRight w:val="0"/>
          <w:marTop w:val="300"/>
          <w:marBottom w:val="0"/>
          <w:divBdr>
            <w:top w:val="none" w:sz="0" w:space="0" w:color="auto"/>
            <w:left w:val="none" w:sz="0" w:space="0" w:color="auto"/>
            <w:bottom w:val="none" w:sz="0" w:space="0" w:color="auto"/>
            <w:right w:val="none" w:sz="0" w:space="0" w:color="auto"/>
          </w:divBdr>
          <w:divsChild>
            <w:div w:id="685205964">
              <w:marLeft w:val="0"/>
              <w:marRight w:val="0"/>
              <w:marTop w:val="0"/>
              <w:marBottom w:val="0"/>
              <w:divBdr>
                <w:top w:val="none" w:sz="0" w:space="0" w:color="auto"/>
                <w:left w:val="none" w:sz="0" w:space="0" w:color="auto"/>
                <w:bottom w:val="none" w:sz="0" w:space="0" w:color="auto"/>
                <w:right w:val="none" w:sz="0" w:space="0" w:color="auto"/>
              </w:divBdr>
              <w:divsChild>
                <w:div w:id="1198393526">
                  <w:marLeft w:val="0"/>
                  <w:marRight w:val="0"/>
                  <w:marTop w:val="0"/>
                  <w:marBottom w:val="300"/>
                  <w:divBdr>
                    <w:top w:val="none" w:sz="0" w:space="0" w:color="auto"/>
                    <w:left w:val="none" w:sz="0" w:space="0" w:color="auto"/>
                    <w:bottom w:val="none" w:sz="0" w:space="0" w:color="auto"/>
                    <w:right w:val="none" w:sz="0" w:space="0" w:color="auto"/>
                  </w:divBdr>
                  <w:divsChild>
                    <w:div w:id="556168934">
                      <w:marLeft w:val="-1800"/>
                      <w:marRight w:val="0"/>
                      <w:marTop w:val="75"/>
                      <w:marBottom w:val="240"/>
                      <w:divBdr>
                        <w:top w:val="none" w:sz="0" w:space="0" w:color="auto"/>
                        <w:left w:val="none" w:sz="0" w:space="0" w:color="auto"/>
                        <w:bottom w:val="none" w:sz="0" w:space="0" w:color="auto"/>
                        <w:right w:val="none" w:sz="0" w:space="0" w:color="auto"/>
                      </w:divBdr>
                    </w:div>
                    <w:div w:id="1460490007">
                      <w:marLeft w:val="0"/>
                      <w:marRight w:val="0"/>
                      <w:marTop w:val="0"/>
                      <w:marBottom w:val="240"/>
                      <w:divBdr>
                        <w:top w:val="none" w:sz="0" w:space="0" w:color="auto"/>
                        <w:left w:val="none" w:sz="0" w:space="0" w:color="auto"/>
                        <w:bottom w:val="none" w:sz="0" w:space="0" w:color="auto"/>
                        <w:right w:val="none" w:sz="0" w:space="0" w:color="auto"/>
                      </w:divBdr>
                      <w:divsChild>
                        <w:div w:id="29537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77200">
      <w:bodyDiv w:val="1"/>
      <w:marLeft w:val="0"/>
      <w:marRight w:val="0"/>
      <w:marTop w:val="0"/>
      <w:marBottom w:val="0"/>
      <w:divBdr>
        <w:top w:val="none" w:sz="0" w:space="0" w:color="auto"/>
        <w:left w:val="none" w:sz="0" w:space="0" w:color="auto"/>
        <w:bottom w:val="none" w:sz="0" w:space="0" w:color="auto"/>
        <w:right w:val="none" w:sz="0" w:space="0" w:color="auto"/>
      </w:divBdr>
      <w:divsChild>
        <w:div w:id="68693212">
          <w:marLeft w:val="0"/>
          <w:marRight w:val="0"/>
          <w:marTop w:val="0"/>
          <w:marBottom w:val="150"/>
          <w:divBdr>
            <w:top w:val="none" w:sz="0" w:space="0" w:color="auto"/>
            <w:left w:val="none" w:sz="0" w:space="0" w:color="auto"/>
            <w:bottom w:val="none" w:sz="0" w:space="0" w:color="auto"/>
            <w:right w:val="none" w:sz="0" w:space="0" w:color="auto"/>
          </w:divBdr>
        </w:div>
      </w:divsChild>
    </w:div>
    <w:div w:id="42948307">
      <w:bodyDiv w:val="1"/>
      <w:marLeft w:val="0"/>
      <w:marRight w:val="0"/>
      <w:marTop w:val="0"/>
      <w:marBottom w:val="0"/>
      <w:divBdr>
        <w:top w:val="none" w:sz="0" w:space="0" w:color="auto"/>
        <w:left w:val="none" w:sz="0" w:space="0" w:color="auto"/>
        <w:bottom w:val="none" w:sz="0" w:space="0" w:color="auto"/>
        <w:right w:val="none" w:sz="0" w:space="0" w:color="auto"/>
      </w:divBdr>
      <w:divsChild>
        <w:div w:id="8605001">
          <w:marLeft w:val="0"/>
          <w:marRight w:val="0"/>
          <w:marTop w:val="0"/>
          <w:marBottom w:val="0"/>
          <w:divBdr>
            <w:top w:val="none" w:sz="0" w:space="0" w:color="auto"/>
            <w:left w:val="none" w:sz="0" w:space="0" w:color="auto"/>
            <w:bottom w:val="none" w:sz="0" w:space="0" w:color="auto"/>
            <w:right w:val="none" w:sz="0" w:space="0" w:color="auto"/>
          </w:divBdr>
        </w:div>
        <w:div w:id="76052008">
          <w:marLeft w:val="0"/>
          <w:marRight w:val="0"/>
          <w:marTop w:val="0"/>
          <w:marBottom w:val="0"/>
          <w:divBdr>
            <w:top w:val="none" w:sz="0" w:space="0" w:color="auto"/>
            <w:left w:val="none" w:sz="0" w:space="0" w:color="auto"/>
            <w:bottom w:val="none" w:sz="0" w:space="0" w:color="auto"/>
            <w:right w:val="none" w:sz="0" w:space="0" w:color="auto"/>
          </w:divBdr>
        </w:div>
      </w:divsChild>
    </w:div>
    <w:div w:id="42950553">
      <w:bodyDiv w:val="1"/>
      <w:marLeft w:val="0"/>
      <w:marRight w:val="0"/>
      <w:marTop w:val="0"/>
      <w:marBottom w:val="0"/>
      <w:divBdr>
        <w:top w:val="none" w:sz="0" w:space="0" w:color="auto"/>
        <w:left w:val="none" w:sz="0" w:space="0" w:color="auto"/>
        <w:bottom w:val="none" w:sz="0" w:space="0" w:color="auto"/>
        <w:right w:val="none" w:sz="0" w:space="0" w:color="auto"/>
      </w:divBdr>
    </w:div>
    <w:div w:id="43337994">
      <w:bodyDiv w:val="1"/>
      <w:marLeft w:val="0"/>
      <w:marRight w:val="0"/>
      <w:marTop w:val="0"/>
      <w:marBottom w:val="0"/>
      <w:divBdr>
        <w:top w:val="none" w:sz="0" w:space="0" w:color="auto"/>
        <w:left w:val="none" w:sz="0" w:space="0" w:color="auto"/>
        <w:bottom w:val="none" w:sz="0" w:space="0" w:color="auto"/>
        <w:right w:val="none" w:sz="0" w:space="0" w:color="auto"/>
      </w:divBdr>
      <w:divsChild>
        <w:div w:id="735055523">
          <w:marLeft w:val="0"/>
          <w:marRight w:val="0"/>
          <w:marTop w:val="0"/>
          <w:marBottom w:val="0"/>
          <w:divBdr>
            <w:top w:val="none" w:sz="0" w:space="0" w:color="auto"/>
            <w:left w:val="none" w:sz="0" w:space="0" w:color="auto"/>
            <w:bottom w:val="dotted" w:sz="6" w:space="4" w:color="DDDDDD"/>
            <w:right w:val="none" w:sz="0" w:space="0" w:color="auto"/>
          </w:divBdr>
          <w:divsChild>
            <w:div w:id="144383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23877">
      <w:bodyDiv w:val="1"/>
      <w:marLeft w:val="0"/>
      <w:marRight w:val="0"/>
      <w:marTop w:val="0"/>
      <w:marBottom w:val="0"/>
      <w:divBdr>
        <w:top w:val="none" w:sz="0" w:space="0" w:color="auto"/>
        <w:left w:val="none" w:sz="0" w:space="0" w:color="auto"/>
        <w:bottom w:val="none" w:sz="0" w:space="0" w:color="auto"/>
        <w:right w:val="none" w:sz="0" w:space="0" w:color="auto"/>
      </w:divBdr>
    </w:div>
    <w:div w:id="43647648">
      <w:bodyDiv w:val="1"/>
      <w:marLeft w:val="0"/>
      <w:marRight w:val="0"/>
      <w:marTop w:val="0"/>
      <w:marBottom w:val="0"/>
      <w:divBdr>
        <w:top w:val="none" w:sz="0" w:space="0" w:color="auto"/>
        <w:left w:val="none" w:sz="0" w:space="0" w:color="auto"/>
        <w:bottom w:val="none" w:sz="0" w:space="0" w:color="auto"/>
        <w:right w:val="none" w:sz="0" w:space="0" w:color="auto"/>
      </w:divBdr>
      <w:divsChild>
        <w:div w:id="922303816">
          <w:marLeft w:val="0"/>
          <w:marRight w:val="0"/>
          <w:marTop w:val="0"/>
          <w:marBottom w:val="0"/>
          <w:divBdr>
            <w:top w:val="none" w:sz="0" w:space="0" w:color="auto"/>
            <w:left w:val="none" w:sz="0" w:space="0" w:color="auto"/>
            <w:bottom w:val="none" w:sz="0" w:space="0" w:color="auto"/>
            <w:right w:val="none" w:sz="0" w:space="0" w:color="auto"/>
          </w:divBdr>
          <w:divsChild>
            <w:div w:id="1855729285">
              <w:marLeft w:val="0"/>
              <w:marRight w:val="0"/>
              <w:marTop w:val="0"/>
              <w:marBottom w:val="0"/>
              <w:divBdr>
                <w:top w:val="none" w:sz="0" w:space="0" w:color="auto"/>
                <w:left w:val="none" w:sz="0" w:space="0" w:color="auto"/>
                <w:bottom w:val="none" w:sz="0" w:space="0" w:color="auto"/>
                <w:right w:val="none" w:sz="0" w:space="0" w:color="auto"/>
              </w:divBdr>
              <w:divsChild>
                <w:div w:id="1267080737">
                  <w:marLeft w:val="0"/>
                  <w:marRight w:val="0"/>
                  <w:marTop w:val="0"/>
                  <w:marBottom w:val="0"/>
                  <w:divBdr>
                    <w:top w:val="none" w:sz="0" w:space="0" w:color="auto"/>
                    <w:left w:val="none" w:sz="0" w:space="0" w:color="auto"/>
                    <w:bottom w:val="none" w:sz="0" w:space="0" w:color="auto"/>
                    <w:right w:val="none" w:sz="0" w:space="0" w:color="auto"/>
                  </w:divBdr>
                  <w:divsChild>
                    <w:div w:id="1104112756">
                      <w:marLeft w:val="0"/>
                      <w:marRight w:val="0"/>
                      <w:marTop w:val="0"/>
                      <w:marBottom w:val="0"/>
                      <w:divBdr>
                        <w:top w:val="none" w:sz="0" w:space="0" w:color="auto"/>
                        <w:left w:val="none" w:sz="0" w:space="0" w:color="auto"/>
                        <w:bottom w:val="none" w:sz="0" w:space="0" w:color="auto"/>
                        <w:right w:val="none" w:sz="0" w:space="0" w:color="auto"/>
                      </w:divBdr>
                      <w:divsChild>
                        <w:div w:id="1527527436">
                          <w:marLeft w:val="0"/>
                          <w:marRight w:val="0"/>
                          <w:marTop w:val="0"/>
                          <w:marBottom w:val="0"/>
                          <w:divBdr>
                            <w:top w:val="none" w:sz="0" w:space="0" w:color="auto"/>
                            <w:left w:val="none" w:sz="0" w:space="0" w:color="auto"/>
                            <w:bottom w:val="none" w:sz="0" w:space="0" w:color="auto"/>
                            <w:right w:val="none" w:sz="0" w:space="0" w:color="auto"/>
                          </w:divBdr>
                          <w:divsChild>
                            <w:div w:id="2059083954">
                              <w:marLeft w:val="0"/>
                              <w:marRight w:val="0"/>
                              <w:marTop w:val="0"/>
                              <w:marBottom w:val="0"/>
                              <w:divBdr>
                                <w:top w:val="none" w:sz="0" w:space="0" w:color="auto"/>
                                <w:left w:val="none" w:sz="0" w:space="0" w:color="auto"/>
                                <w:bottom w:val="none" w:sz="0" w:space="0" w:color="auto"/>
                                <w:right w:val="none" w:sz="0" w:space="0" w:color="auto"/>
                              </w:divBdr>
                              <w:divsChild>
                                <w:div w:id="199460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674602">
      <w:bodyDiv w:val="1"/>
      <w:marLeft w:val="0"/>
      <w:marRight w:val="0"/>
      <w:marTop w:val="0"/>
      <w:marBottom w:val="0"/>
      <w:divBdr>
        <w:top w:val="none" w:sz="0" w:space="0" w:color="auto"/>
        <w:left w:val="none" w:sz="0" w:space="0" w:color="auto"/>
        <w:bottom w:val="none" w:sz="0" w:space="0" w:color="auto"/>
        <w:right w:val="none" w:sz="0" w:space="0" w:color="auto"/>
      </w:divBdr>
      <w:divsChild>
        <w:div w:id="68428199">
          <w:marLeft w:val="0"/>
          <w:marRight w:val="0"/>
          <w:marTop w:val="0"/>
          <w:marBottom w:val="0"/>
          <w:divBdr>
            <w:top w:val="none" w:sz="0" w:space="0" w:color="auto"/>
            <w:left w:val="none" w:sz="0" w:space="0" w:color="auto"/>
            <w:bottom w:val="none" w:sz="0" w:space="0" w:color="auto"/>
            <w:right w:val="none" w:sz="0" w:space="0" w:color="auto"/>
          </w:divBdr>
          <w:divsChild>
            <w:div w:id="929318657">
              <w:marLeft w:val="0"/>
              <w:marRight w:val="0"/>
              <w:marTop w:val="0"/>
              <w:marBottom w:val="0"/>
              <w:divBdr>
                <w:top w:val="none" w:sz="0" w:space="0" w:color="auto"/>
                <w:left w:val="none" w:sz="0" w:space="0" w:color="auto"/>
                <w:bottom w:val="none" w:sz="0" w:space="0" w:color="auto"/>
                <w:right w:val="none" w:sz="0" w:space="0" w:color="auto"/>
              </w:divBdr>
            </w:div>
          </w:divsChild>
        </w:div>
        <w:div w:id="236329865">
          <w:marLeft w:val="0"/>
          <w:marRight w:val="0"/>
          <w:marTop w:val="0"/>
          <w:marBottom w:val="150"/>
          <w:divBdr>
            <w:top w:val="none" w:sz="0" w:space="0" w:color="auto"/>
            <w:left w:val="none" w:sz="0" w:space="0" w:color="auto"/>
            <w:bottom w:val="none" w:sz="0" w:space="0" w:color="auto"/>
            <w:right w:val="none" w:sz="0" w:space="0" w:color="auto"/>
          </w:divBdr>
        </w:div>
        <w:div w:id="919292907">
          <w:marLeft w:val="0"/>
          <w:marRight w:val="0"/>
          <w:marTop w:val="0"/>
          <w:marBottom w:val="150"/>
          <w:divBdr>
            <w:top w:val="none" w:sz="0" w:space="0" w:color="auto"/>
            <w:left w:val="none" w:sz="0" w:space="0" w:color="auto"/>
            <w:bottom w:val="none" w:sz="0" w:space="0" w:color="auto"/>
            <w:right w:val="none" w:sz="0" w:space="0" w:color="auto"/>
          </w:divBdr>
          <w:divsChild>
            <w:div w:id="132685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6835">
      <w:bodyDiv w:val="1"/>
      <w:marLeft w:val="0"/>
      <w:marRight w:val="0"/>
      <w:marTop w:val="0"/>
      <w:marBottom w:val="0"/>
      <w:divBdr>
        <w:top w:val="none" w:sz="0" w:space="0" w:color="auto"/>
        <w:left w:val="none" w:sz="0" w:space="0" w:color="auto"/>
        <w:bottom w:val="none" w:sz="0" w:space="0" w:color="auto"/>
        <w:right w:val="none" w:sz="0" w:space="0" w:color="auto"/>
      </w:divBdr>
    </w:div>
    <w:div w:id="44261961">
      <w:bodyDiv w:val="1"/>
      <w:marLeft w:val="0"/>
      <w:marRight w:val="0"/>
      <w:marTop w:val="0"/>
      <w:marBottom w:val="0"/>
      <w:divBdr>
        <w:top w:val="none" w:sz="0" w:space="0" w:color="auto"/>
        <w:left w:val="none" w:sz="0" w:space="0" w:color="auto"/>
        <w:bottom w:val="none" w:sz="0" w:space="0" w:color="auto"/>
        <w:right w:val="none" w:sz="0" w:space="0" w:color="auto"/>
      </w:divBdr>
      <w:divsChild>
        <w:div w:id="804658555">
          <w:marLeft w:val="0"/>
          <w:marRight w:val="0"/>
          <w:marTop w:val="0"/>
          <w:marBottom w:val="150"/>
          <w:divBdr>
            <w:top w:val="none" w:sz="0" w:space="0" w:color="auto"/>
            <w:left w:val="none" w:sz="0" w:space="0" w:color="auto"/>
            <w:bottom w:val="none" w:sz="0" w:space="0" w:color="auto"/>
            <w:right w:val="none" w:sz="0" w:space="0" w:color="auto"/>
          </w:divBdr>
        </w:div>
        <w:div w:id="1421634485">
          <w:marLeft w:val="0"/>
          <w:marRight w:val="0"/>
          <w:marTop w:val="0"/>
          <w:marBottom w:val="150"/>
          <w:divBdr>
            <w:top w:val="none" w:sz="0" w:space="0" w:color="auto"/>
            <w:left w:val="none" w:sz="0" w:space="0" w:color="auto"/>
            <w:bottom w:val="none" w:sz="0" w:space="0" w:color="auto"/>
            <w:right w:val="none" w:sz="0" w:space="0" w:color="auto"/>
          </w:divBdr>
          <w:divsChild>
            <w:div w:id="154306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8434">
      <w:bodyDiv w:val="1"/>
      <w:marLeft w:val="0"/>
      <w:marRight w:val="0"/>
      <w:marTop w:val="0"/>
      <w:marBottom w:val="0"/>
      <w:divBdr>
        <w:top w:val="none" w:sz="0" w:space="0" w:color="auto"/>
        <w:left w:val="none" w:sz="0" w:space="0" w:color="auto"/>
        <w:bottom w:val="none" w:sz="0" w:space="0" w:color="auto"/>
        <w:right w:val="none" w:sz="0" w:space="0" w:color="auto"/>
      </w:divBdr>
    </w:div>
    <w:div w:id="44647195">
      <w:bodyDiv w:val="1"/>
      <w:marLeft w:val="0"/>
      <w:marRight w:val="0"/>
      <w:marTop w:val="0"/>
      <w:marBottom w:val="0"/>
      <w:divBdr>
        <w:top w:val="none" w:sz="0" w:space="0" w:color="auto"/>
        <w:left w:val="none" w:sz="0" w:space="0" w:color="auto"/>
        <w:bottom w:val="none" w:sz="0" w:space="0" w:color="auto"/>
        <w:right w:val="none" w:sz="0" w:space="0" w:color="auto"/>
      </w:divBdr>
      <w:divsChild>
        <w:div w:id="809978665">
          <w:marLeft w:val="0"/>
          <w:marRight w:val="150"/>
          <w:marTop w:val="0"/>
          <w:marBottom w:val="0"/>
          <w:divBdr>
            <w:top w:val="single" w:sz="12" w:space="6" w:color="CCCCCC"/>
            <w:left w:val="none" w:sz="0" w:space="0" w:color="auto"/>
            <w:bottom w:val="none" w:sz="0" w:space="0" w:color="auto"/>
            <w:right w:val="none" w:sz="0" w:space="0" w:color="auto"/>
          </w:divBdr>
          <w:divsChild>
            <w:div w:id="1153912729">
              <w:marLeft w:val="0"/>
              <w:marRight w:val="0"/>
              <w:marTop w:val="0"/>
              <w:marBottom w:val="0"/>
              <w:divBdr>
                <w:top w:val="none" w:sz="0" w:space="0" w:color="auto"/>
                <w:left w:val="none" w:sz="0" w:space="0" w:color="auto"/>
                <w:bottom w:val="none" w:sz="0" w:space="0" w:color="auto"/>
                <w:right w:val="none" w:sz="0" w:space="0" w:color="auto"/>
              </w:divBdr>
              <w:divsChild>
                <w:div w:id="165977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347715">
          <w:marLeft w:val="0"/>
          <w:marRight w:val="225"/>
          <w:marTop w:val="0"/>
          <w:marBottom w:val="0"/>
          <w:divBdr>
            <w:top w:val="none" w:sz="0" w:space="0" w:color="auto"/>
            <w:left w:val="none" w:sz="0" w:space="0" w:color="auto"/>
            <w:bottom w:val="none" w:sz="0" w:space="0" w:color="auto"/>
            <w:right w:val="none" w:sz="0" w:space="0" w:color="auto"/>
          </w:divBdr>
          <w:divsChild>
            <w:div w:id="1211454392">
              <w:marLeft w:val="0"/>
              <w:marRight w:val="0"/>
              <w:marTop w:val="225"/>
              <w:marBottom w:val="0"/>
              <w:divBdr>
                <w:top w:val="none" w:sz="0" w:space="0" w:color="auto"/>
                <w:left w:val="none" w:sz="0" w:space="0" w:color="auto"/>
                <w:bottom w:val="none" w:sz="0" w:space="0" w:color="auto"/>
                <w:right w:val="none" w:sz="0" w:space="0" w:color="auto"/>
              </w:divBdr>
              <w:divsChild>
                <w:div w:id="20888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182494">
          <w:marLeft w:val="150"/>
          <w:marRight w:val="150"/>
          <w:marTop w:val="0"/>
          <w:marBottom w:val="750"/>
          <w:divBdr>
            <w:top w:val="none" w:sz="0" w:space="0" w:color="auto"/>
            <w:left w:val="none" w:sz="0" w:space="0" w:color="auto"/>
            <w:bottom w:val="none" w:sz="0" w:space="0" w:color="auto"/>
            <w:right w:val="none" w:sz="0" w:space="0" w:color="auto"/>
          </w:divBdr>
          <w:divsChild>
            <w:div w:id="118377779">
              <w:marLeft w:val="0"/>
              <w:marRight w:val="0"/>
              <w:marTop w:val="105"/>
              <w:marBottom w:val="0"/>
              <w:divBdr>
                <w:top w:val="none" w:sz="0" w:space="0" w:color="auto"/>
                <w:left w:val="none" w:sz="0" w:space="0" w:color="auto"/>
                <w:bottom w:val="none" w:sz="0" w:space="0" w:color="auto"/>
                <w:right w:val="none" w:sz="0" w:space="0" w:color="auto"/>
              </w:divBdr>
            </w:div>
          </w:divsChild>
        </w:div>
        <w:div w:id="2055811960">
          <w:marLeft w:val="0"/>
          <w:marRight w:val="0"/>
          <w:marTop w:val="0"/>
          <w:marBottom w:val="0"/>
          <w:divBdr>
            <w:top w:val="none" w:sz="0" w:space="0" w:color="auto"/>
            <w:left w:val="none" w:sz="0" w:space="0" w:color="auto"/>
            <w:bottom w:val="none" w:sz="0" w:space="0" w:color="auto"/>
            <w:right w:val="none" w:sz="0" w:space="0" w:color="auto"/>
          </w:divBdr>
          <w:divsChild>
            <w:div w:id="1908763739">
              <w:marLeft w:val="0"/>
              <w:marRight w:val="0"/>
              <w:marTop w:val="0"/>
              <w:marBottom w:val="150"/>
              <w:divBdr>
                <w:top w:val="none" w:sz="0" w:space="0" w:color="auto"/>
                <w:left w:val="none" w:sz="0" w:space="0" w:color="auto"/>
                <w:bottom w:val="none" w:sz="0" w:space="0" w:color="auto"/>
                <w:right w:val="none" w:sz="0" w:space="0" w:color="auto"/>
              </w:divBdr>
              <w:divsChild>
                <w:div w:id="1916672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44912676">
      <w:bodyDiv w:val="1"/>
      <w:marLeft w:val="0"/>
      <w:marRight w:val="0"/>
      <w:marTop w:val="0"/>
      <w:marBottom w:val="0"/>
      <w:divBdr>
        <w:top w:val="none" w:sz="0" w:space="0" w:color="auto"/>
        <w:left w:val="none" w:sz="0" w:space="0" w:color="auto"/>
        <w:bottom w:val="none" w:sz="0" w:space="0" w:color="auto"/>
        <w:right w:val="none" w:sz="0" w:space="0" w:color="auto"/>
      </w:divBdr>
    </w:div>
    <w:div w:id="45302988">
      <w:bodyDiv w:val="1"/>
      <w:marLeft w:val="0"/>
      <w:marRight w:val="0"/>
      <w:marTop w:val="0"/>
      <w:marBottom w:val="0"/>
      <w:divBdr>
        <w:top w:val="none" w:sz="0" w:space="0" w:color="auto"/>
        <w:left w:val="none" w:sz="0" w:space="0" w:color="auto"/>
        <w:bottom w:val="none" w:sz="0" w:space="0" w:color="auto"/>
        <w:right w:val="none" w:sz="0" w:space="0" w:color="auto"/>
      </w:divBdr>
    </w:div>
    <w:div w:id="45570861">
      <w:bodyDiv w:val="1"/>
      <w:marLeft w:val="0"/>
      <w:marRight w:val="0"/>
      <w:marTop w:val="0"/>
      <w:marBottom w:val="0"/>
      <w:divBdr>
        <w:top w:val="none" w:sz="0" w:space="0" w:color="auto"/>
        <w:left w:val="none" w:sz="0" w:space="0" w:color="auto"/>
        <w:bottom w:val="none" w:sz="0" w:space="0" w:color="auto"/>
        <w:right w:val="none" w:sz="0" w:space="0" w:color="auto"/>
      </w:divBdr>
      <w:divsChild>
        <w:div w:id="1500921459">
          <w:marLeft w:val="0"/>
          <w:marRight w:val="0"/>
          <w:marTop w:val="0"/>
          <w:marBottom w:val="150"/>
          <w:divBdr>
            <w:top w:val="none" w:sz="0" w:space="0" w:color="auto"/>
            <w:left w:val="none" w:sz="0" w:space="0" w:color="auto"/>
            <w:bottom w:val="none" w:sz="0" w:space="0" w:color="auto"/>
            <w:right w:val="none" w:sz="0" w:space="0" w:color="auto"/>
          </w:divBdr>
          <w:divsChild>
            <w:div w:id="1494684315">
              <w:marLeft w:val="0"/>
              <w:marRight w:val="0"/>
              <w:marTop w:val="0"/>
              <w:marBottom w:val="0"/>
              <w:divBdr>
                <w:top w:val="none" w:sz="0" w:space="0" w:color="auto"/>
                <w:left w:val="none" w:sz="0" w:space="0" w:color="auto"/>
                <w:bottom w:val="none" w:sz="0" w:space="0" w:color="auto"/>
                <w:right w:val="none" w:sz="0" w:space="0" w:color="auto"/>
              </w:divBdr>
            </w:div>
          </w:divsChild>
        </w:div>
        <w:div w:id="1707026551">
          <w:marLeft w:val="0"/>
          <w:marRight w:val="0"/>
          <w:marTop w:val="0"/>
          <w:marBottom w:val="0"/>
          <w:divBdr>
            <w:top w:val="none" w:sz="0" w:space="0" w:color="auto"/>
            <w:left w:val="none" w:sz="0" w:space="0" w:color="auto"/>
            <w:bottom w:val="none" w:sz="0" w:space="0" w:color="auto"/>
            <w:right w:val="none" w:sz="0" w:space="0" w:color="auto"/>
          </w:divBdr>
          <w:divsChild>
            <w:div w:id="1603800011">
              <w:marLeft w:val="0"/>
              <w:marRight w:val="0"/>
              <w:marTop w:val="0"/>
              <w:marBottom w:val="150"/>
              <w:divBdr>
                <w:top w:val="none" w:sz="0" w:space="0" w:color="auto"/>
                <w:left w:val="none" w:sz="0" w:space="0" w:color="auto"/>
                <w:bottom w:val="none" w:sz="0" w:space="0" w:color="auto"/>
                <w:right w:val="none" w:sz="0" w:space="0" w:color="auto"/>
              </w:divBdr>
            </w:div>
            <w:div w:id="162249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72992">
      <w:bodyDiv w:val="1"/>
      <w:marLeft w:val="0"/>
      <w:marRight w:val="0"/>
      <w:marTop w:val="0"/>
      <w:marBottom w:val="0"/>
      <w:divBdr>
        <w:top w:val="none" w:sz="0" w:space="0" w:color="auto"/>
        <w:left w:val="none" w:sz="0" w:space="0" w:color="auto"/>
        <w:bottom w:val="none" w:sz="0" w:space="0" w:color="auto"/>
        <w:right w:val="none" w:sz="0" w:space="0" w:color="auto"/>
      </w:divBdr>
      <w:divsChild>
        <w:div w:id="2097288891">
          <w:marLeft w:val="0"/>
          <w:marRight w:val="0"/>
          <w:marTop w:val="0"/>
          <w:marBottom w:val="0"/>
          <w:divBdr>
            <w:top w:val="none" w:sz="0" w:space="0" w:color="auto"/>
            <w:left w:val="none" w:sz="0" w:space="0" w:color="auto"/>
            <w:bottom w:val="dotted" w:sz="6" w:space="4" w:color="DDDDDD"/>
            <w:right w:val="none" w:sz="0" w:space="0" w:color="auto"/>
          </w:divBdr>
          <w:divsChild>
            <w:div w:id="109806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60890">
      <w:bodyDiv w:val="1"/>
      <w:marLeft w:val="0"/>
      <w:marRight w:val="0"/>
      <w:marTop w:val="0"/>
      <w:marBottom w:val="0"/>
      <w:divBdr>
        <w:top w:val="none" w:sz="0" w:space="0" w:color="auto"/>
        <w:left w:val="none" w:sz="0" w:space="0" w:color="auto"/>
        <w:bottom w:val="none" w:sz="0" w:space="0" w:color="auto"/>
        <w:right w:val="none" w:sz="0" w:space="0" w:color="auto"/>
      </w:divBdr>
      <w:divsChild>
        <w:div w:id="100341334">
          <w:marLeft w:val="0"/>
          <w:marRight w:val="0"/>
          <w:marTop w:val="0"/>
          <w:marBottom w:val="0"/>
          <w:divBdr>
            <w:top w:val="none" w:sz="0" w:space="0" w:color="auto"/>
            <w:left w:val="none" w:sz="0" w:space="0" w:color="auto"/>
            <w:bottom w:val="none" w:sz="0" w:space="0" w:color="auto"/>
            <w:right w:val="none" w:sz="0" w:space="0" w:color="auto"/>
          </w:divBdr>
          <w:divsChild>
            <w:div w:id="321158196">
              <w:marLeft w:val="0"/>
              <w:marRight w:val="0"/>
              <w:marTop w:val="0"/>
              <w:marBottom w:val="0"/>
              <w:divBdr>
                <w:top w:val="none" w:sz="0" w:space="0" w:color="auto"/>
                <w:left w:val="none" w:sz="0" w:space="0" w:color="auto"/>
                <w:bottom w:val="none" w:sz="0" w:space="0" w:color="auto"/>
                <w:right w:val="none" w:sz="0" w:space="0" w:color="auto"/>
              </w:divBdr>
            </w:div>
            <w:div w:id="557666383">
              <w:marLeft w:val="0"/>
              <w:marRight w:val="0"/>
              <w:marTop w:val="0"/>
              <w:marBottom w:val="150"/>
              <w:divBdr>
                <w:top w:val="none" w:sz="0" w:space="0" w:color="auto"/>
                <w:left w:val="none" w:sz="0" w:space="0" w:color="auto"/>
                <w:bottom w:val="none" w:sz="0" w:space="0" w:color="auto"/>
                <w:right w:val="none" w:sz="0" w:space="0" w:color="auto"/>
              </w:divBdr>
            </w:div>
          </w:divsChild>
        </w:div>
        <w:div w:id="857692490">
          <w:marLeft w:val="0"/>
          <w:marRight w:val="0"/>
          <w:marTop w:val="0"/>
          <w:marBottom w:val="150"/>
          <w:divBdr>
            <w:top w:val="none" w:sz="0" w:space="0" w:color="auto"/>
            <w:left w:val="none" w:sz="0" w:space="0" w:color="auto"/>
            <w:bottom w:val="none" w:sz="0" w:space="0" w:color="auto"/>
            <w:right w:val="none" w:sz="0" w:space="0" w:color="auto"/>
          </w:divBdr>
          <w:divsChild>
            <w:div w:id="64311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65603">
      <w:bodyDiv w:val="1"/>
      <w:marLeft w:val="0"/>
      <w:marRight w:val="0"/>
      <w:marTop w:val="0"/>
      <w:marBottom w:val="0"/>
      <w:divBdr>
        <w:top w:val="none" w:sz="0" w:space="0" w:color="auto"/>
        <w:left w:val="none" w:sz="0" w:space="0" w:color="auto"/>
        <w:bottom w:val="none" w:sz="0" w:space="0" w:color="auto"/>
        <w:right w:val="none" w:sz="0" w:space="0" w:color="auto"/>
      </w:divBdr>
      <w:divsChild>
        <w:div w:id="1647205249">
          <w:marLeft w:val="0"/>
          <w:marRight w:val="0"/>
          <w:marTop w:val="0"/>
          <w:marBottom w:val="0"/>
          <w:divBdr>
            <w:top w:val="none" w:sz="0" w:space="0" w:color="auto"/>
            <w:left w:val="none" w:sz="0" w:space="0" w:color="auto"/>
            <w:bottom w:val="none" w:sz="0" w:space="0" w:color="auto"/>
            <w:right w:val="none" w:sz="0" w:space="0" w:color="auto"/>
          </w:divBdr>
          <w:divsChild>
            <w:div w:id="1514614299">
              <w:marLeft w:val="0"/>
              <w:marRight w:val="0"/>
              <w:marTop w:val="0"/>
              <w:marBottom w:val="0"/>
              <w:divBdr>
                <w:top w:val="none" w:sz="0" w:space="0" w:color="auto"/>
                <w:left w:val="none" w:sz="0" w:space="0" w:color="auto"/>
                <w:bottom w:val="none" w:sz="0" w:space="0" w:color="auto"/>
                <w:right w:val="none" w:sz="0" w:space="0" w:color="auto"/>
              </w:divBdr>
              <w:divsChild>
                <w:div w:id="1113014586">
                  <w:marLeft w:val="0"/>
                  <w:marRight w:val="0"/>
                  <w:marTop w:val="0"/>
                  <w:marBottom w:val="450"/>
                  <w:divBdr>
                    <w:top w:val="none" w:sz="0" w:space="0" w:color="auto"/>
                    <w:left w:val="none" w:sz="0" w:space="0" w:color="auto"/>
                    <w:bottom w:val="none" w:sz="0" w:space="0" w:color="auto"/>
                    <w:right w:val="none" w:sz="0" w:space="0" w:color="auto"/>
                  </w:divBdr>
                  <w:divsChild>
                    <w:div w:id="123741313">
                      <w:marLeft w:val="0"/>
                      <w:marRight w:val="0"/>
                      <w:marTop w:val="0"/>
                      <w:marBottom w:val="150"/>
                      <w:divBdr>
                        <w:top w:val="none" w:sz="0" w:space="0" w:color="auto"/>
                        <w:left w:val="none" w:sz="0" w:space="0" w:color="auto"/>
                        <w:bottom w:val="none" w:sz="0" w:space="0" w:color="auto"/>
                        <w:right w:val="none" w:sz="0" w:space="0" w:color="auto"/>
                      </w:divBdr>
                      <w:divsChild>
                        <w:div w:id="1821844439">
                          <w:marLeft w:val="0"/>
                          <w:marRight w:val="0"/>
                          <w:marTop w:val="0"/>
                          <w:marBottom w:val="0"/>
                          <w:divBdr>
                            <w:top w:val="none" w:sz="0" w:space="0" w:color="auto"/>
                            <w:left w:val="none" w:sz="0" w:space="0" w:color="auto"/>
                            <w:bottom w:val="none" w:sz="0" w:space="0" w:color="auto"/>
                            <w:right w:val="none" w:sz="0" w:space="0" w:color="auto"/>
                          </w:divBdr>
                        </w:div>
                      </w:divsChild>
                    </w:div>
                    <w:div w:id="1796216051">
                      <w:marLeft w:val="0"/>
                      <w:marRight w:val="0"/>
                      <w:marTop w:val="0"/>
                      <w:marBottom w:val="0"/>
                      <w:divBdr>
                        <w:top w:val="none" w:sz="0" w:space="0" w:color="auto"/>
                        <w:left w:val="none" w:sz="0" w:space="0" w:color="auto"/>
                        <w:bottom w:val="none" w:sz="0" w:space="0" w:color="auto"/>
                        <w:right w:val="none" w:sz="0" w:space="0" w:color="auto"/>
                      </w:divBdr>
                      <w:divsChild>
                        <w:div w:id="85464170">
                          <w:marLeft w:val="0"/>
                          <w:marRight w:val="0"/>
                          <w:marTop w:val="0"/>
                          <w:marBottom w:val="150"/>
                          <w:divBdr>
                            <w:top w:val="none" w:sz="0" w:space="0" w:color="auto"/>
                            <w:left w:val="none" w:sz="0" w:space="0" w:color="auto"/>
                            <w:bottom w:val="none" w:sz="0" w:space="0" w:color="auto"/>
                            <w:right w:val="none" w:sz="0" w:space="0" w:color="auto"/>
                          </w:divBdr>
                        </w:div>
                        <w:div w:id="1325015575">
                          <w:marLeft w:val="0"/>
                          <w:marRight w:val="0"/>
                          <w:marTop w:val="0"/>
                          <w:marBottom w:val="0"/>
                          <w:divBdr>
                            <w:top w:val="none" w:sz="0" w:space="0" w:color="auto"/>
                            <w:left w:val="none" w:sz="0" w:space="0" w:color="auto"/>
                            <w:bottom w:val="none" w:sz="0" w:space="0" w:color="auto"/>
                            <w:right w:val="none" w:sz="0" w:space="0" w:color="auto"/>
                          </w:divBdr>
                          <w:divsChild>
                            <w:div w:id="184077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370284">
          <w:marLeft w:val="0"/>
          <w:marRight w:val="0"/>
          <w:marTop w:val="0"/>
          <w:marBottom w:val="300"/>
          <w:divBdr>
            <w:top w:val="none" w:sz="0" w:space="0" w:color="auto"/>
            <w:left w:val="none" w:sz="0" w:space="0" w:color="auto"/>
            <w:bottom w:val="single" w:sz="6" w:space="0" w:color="E4E4E4"/>
            <w:right w:val="none" w:sz="0" w:space="0" w:color="auto"/>
          </w:divBdr>
        </w:div>
      </w:divsChild>
    </w:div>
    <w:div w:id="45953479">
      <w:bodyDiv w:val="1"/>
      <w:marLeft w:val="0"/>
      <w:marRight w:val="0"/>
      <w:marTop w:val="0"/>
      <w:marBottom w:val="0"/>
      <w:divBdr>
        <w:top w:val="none" w:sz="0" w:space="0" w:color="auto"/>
        <w:left w:val="none" w:sz="0" w:space="0" w:color="auto"/>
        <w:bottom w:val="none" w:sz="0" w:space="0" w:color="auto"/>
        <w:right w:val="none" w:sz="0" w:space="0" w:color="auto"/>
      </w:divBdr>
    </w:div>
    <w:div w:id="46028240">
      <w:bodyDiv w:val="1"/>
      <w:marLeft w:val="0"/>
      <w:marRight w:val="0"/>
      <w:marTop w:val="0"/>
      <w:marBottom w:val="0"/>
      <w:divBdr>
        <w:top w:val="none" w:sz="0" w:space="0" w:color="auto"/>
        <w:left w:val="none" w:sz="0" w:space="0" w:color="auto"/>
        <w:bottom w:val="none" w:sz="0" w:space="0" w:color="auto"/>
        <w:right w:val="none" w:sz="0" w:space="0" w:color="auto"/>
      </w:divBdr>
      <w:divsChild>
        <w:div w:id="1791588394">
          <w:marLeft w:val="0"/>
          <w:marRight w:val="0"/>
          <w:marTop w:val="0"/>
          <w:marBottom w:val="0"/>
          <w:divBdr>
            <w:top w:val="none" w:sz="0" w:space="0" w:color="auto"/>
            <w:left w:val="none" w:sz="0" w:space="0" w:color="auto"/>
            <w:bottom w:val="dotted" w:sz="6" w:space="4" w:color="DDDDDD"/>
            <w:right w:val="none" w:sz="0" w:space="0" w:color="auto"/>
          </w:divBdr>
        </w:div>
      </w:divsChild>
    </w:div>
    <w:div w:id="46029499">
      <w:bodyDiv w:val="1"/>
      <w:marLeft w:val="0"/>
      <w:marRight w:val="0"/>
      <w:marTop w:val="0"/>
      <w:marBottom w:val="0"/>
      <w:divBdr>
        <w:top w:val="none" w:sz="0" w:space="0" w:color="auto"/>
        <w:left w:val="none" w:sz="0" w:space="0" w:color="auto"/>
        <w:bottom w:val="none" w:sz="0" w:space="0" w:color="auto"/>
        <w:right w:val="none" w:sz="0" w:space="0" w:color="auto"/>
      </w:divBdr>
      <w:divsChild>
        <w:div w:id="312874239">
          <w:marLeft w:val="0"/>
          <w:marRight w:val="0"/>
          <w:marTop w:val="0"/>
          <w:marBottom w:val="150"/>
          <w:divBdr>
            <w:top w:val="none" w:sz="0" w:space="0" w:color="auto"/>
            <w:left w:val="none" w:sz="0" w:space="0" w:color="auto"/>
            <w:bottom w:val="none" w:sz="0" w:space="0" w:color="auto"/>
            <w:right w:val="none" w:sz="0" w:space="0" w:color="auto"/>
          </w:divBdr>
        </w:div>
      </w:divsChild>
    </w:div>
    <w:div w:id="46413133">
      <w:bodyDiv w:val="1"/>
      <w:marLeft w:val="0"/>
      <w:marRight w:val="0"/>
      <w:marTop w:val="0"/>
      <w:marBottom w:val="0"/>
      <w:divBdr>
        <w:top w:val="none" w:sz="0" w:space="0" w:color="auto"/>
        <w:left w:val="none" w:sz="0" w:space="0" w:color="auto"/>
        <w:bottom w:val="none" w:sz="0" w:space="0" w:color="auto"/>
        <w:right w:val="none" w:sz="0" w:space="0" w:color="auto"/>
      </w:divBdr>
      <w:divsChild>
        <w:div w:id="58603143">
          <w:marLeft w:val="0"/>
          <w:marRight w:val="0"/>
          <w:marTop w:val="0"/>
          <w:marBottom w:val="0"/>
          <w:divBdr>
            <w:top w:val="none" w:sz="0" w:space="8" w:color="auto"/>
            <w:left w:val="none" w:sz="0" w:space="2" w:color="auto"/>
            <w:bottom w:val="single" w:sz="6" w:space="8" w:color="DDDDDD"/>
            <w:right w:val="none" w:sz="0" w:space="0" w:color="auto"/>
          </w:divBdr>
        </w:div>
        <w:div w:id="194580221">
          <w:marLeft w:val="0"/>
          <w:marRight w:val="0"/>
          <w:marTop w:val="150"/>
          <w:marBottom w:val="0"/>
          <w:divBdr>
            <w:top w:val="none" w:sz="0" w:space="0" w:color="auto"/>
            <w:left w:val="none" w:sz="0" w:space="0" w:color="auto"/>
            <w:bottom w:val="none" w:sz="0" w:space="0" w:color="auto"/>
            <w:right w:val="none" w:sz="0" w:space="0" w:color="auto"/>
          </w:divBdr>
          <w:divsChild>
            <w:div w:id="188456054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46420207">
      <w:bodyDiv w:val="1"/>
      <w:marLeft w:val="0"/>
      <w:marRight w:val="0"/>
      <w:marTop w:val="0"/>
      <w:marBottom w:val="0"/>
      <w:divBdr>
        <w:top w:val="none" w:sz="0" w:space="0" w:color="auto"/>
        <w:left w:val="none" w:sz="0" w:space="0" w:color="auto"/>
        <w:bottom w:val="none" w:sz="0" w:space="0" w:color="auto"/>
        <w:right w:val="none" w:sz="0" w:space="0" w:color="auto"/>
      </w:divBdr>
    </w:div>
    <w:div w:id="46687263">
      <w:bodyDiv w:val="1"/>
      <w:marLeft w:val="0"/>
      <w:marRight w:val="0"/>
      <w:marTop w:val="0"/>
      <w:marBottom w:val="0"/>
      <w:divBdr>
        <w:top w:val="none" w:sz="0" w:space="0" w:color="auto"/>
        <w:left w:val="none" w:sz="0" w:space="0" w:color="auto"/>
        <w:bottom w:val="none" w:sz="0" w:space="0" w:color="auto"/>
        <w:right w:val="none" w:sz="0" w:space="0" w:color="auto"/>
      </w:divBdr>
    </w:div>
    <w:div w:id="48000774">
      <w:bodyDiv w:val="1"/>
      <w:marLeft w:val="0"/>
      <w:marRight w:val="0"/>
      <w:marTop w:val="0"/>
      <w:marBottom w:val="0"/>
      <w:divBdr>
        <w:top w:val="none" w:sz="0" w:space="0" w:color="auto"/>
        <w:left w:val="none" w:sz="0" w:space="0" w:color="auto"/>
        <w:bottom w:val="none" w:sz="0" w:space="0" w:color="auto"/>
        <w:right w:val="none" w:sz="0" w:space="0" w:color="auto"/>
      </w:divBdr>
      <w:divsChild>
        <w:div w:id="1569850271">
          <w:marLeft w:val="0"/>
          <w:marRight w:val="0"/>
          <w:marTop w:val="0"/>
          <w:marBottom w:val="0"/>
          <w:divBdr>
            <w:top w:val="none" w:sz="0" w:space="0" w:color="auto"/>
            <w:left w:val="none" w:sz="0" w:space="0" w:color="auto"/>
            <w:bottom w:val="none" w:sz="0" w:space="0" w:color="auto"/>
            <w:right w:val="none" w:sz="0" w:space="0" w:color="auto"/>
          </w:divBdr>
          <w:divsChild>
            <w:div w:id="93674281">
              <w:marLeft w:val="0"/>
              <w:marRight w:val="0"/>
              <w:marTop w:val="0"/>
              <w:marBottom w:val="0"/>
              <w:divBdr>
                <w:top w:val="none" w:sz="0" w:space="0" w:color="auto"/>
                <w:left w:val="none" w:sz="0" w:space="0" w:color="auto"/>
                <w:bottom w:val="none" w:sz="0" w:space="0" w:color="auto"/>
                <w:right w:val="none" w:sz="0" w:space="0" w:color="auto"/>
              </w:divBdr>
              <w:divsChild>
                <w:div w:id="2091079162">
                  <w:marLeft w:val="0"/>
                  <w:marRight w:val="0"/>
                  <w:marTop w:val="0"/>
                  <w:marBottom w:val="0"/>
                  <w:divBdr>
                    <w:top w:val="none" w:sz="0" w:space="0" w:color="auto"/>
                    <w:left w:val="none" w:sz="0" w:space="0" w:color="auto"/>
                    <w:bottom w:val="none" w:sz="0" w:space="0" w:color="auto"/>
                    <w:right w:val="none" w:sz="0" w:space="0" w:color="auto"/>
                  </w:divBdr>
                  <w:divsChild>
                    <w:div w:id="644897394">
                      <w:marLeft w:val="0"/>
                      <w:marRight w:val="0"/>
                      <w:marTop w:val="0"/>
                      <w:marBottom w:val="0"/>
                      <w:divBdr>
                        <w:top w:val="none" w:sz="0" w:space="0" w:color="auto"/>
                        <w:left w:val="none" w:sz="0" w:space="0" w:color="auto"/>
                        <w:bottom w:val="none" w:sz="0" w:space="0" w:color="auto"/>
                        <w:right w:val="none" w:sz="0" w:space="0" w:color="auto"/>
                      </w:divBdr>
                      <w:divsChild>
                        <w:div w:id="1847478378">
                          <w:marLeft w:val="0"/>
                          <w:marRight w:val="0"/>
                          <w:marTop w:val="0"/>
                          <w:marBottom w:val="0"/>
                          <w:divBdr>
                            <w:top w:val="none" w:sz="0" w:space="0" w:color="auto"/>
                            <w:left w:val="none" w:sz="0" w:space="0" w:color="auto"/>
                            <w:bottom w:val="none" w:sz="0" w:space="0" w:color="auto"/>
                            <w:right w:val="none" w:sz="0" w:space="0" w:color="auto"/>
                          </w:divBdr>
                          <w:divsChild>
                            <w:div w:id="893469567">
                              <w:marLeft w:val="0"/>
                              <w:marRight w:val="0"/>
                              <w:marTop w:val="0"/>
                              <w:marBottom w:val="0"/>
                              <w:divBdr>
                                <w:top w:val="none" w:sz="0" w:space="0" w:color="auto"/>
                                <w:left w:val="none" w:sz="0" w:space="0" w:color="auto"/>
                                <w:bottom w:val="none" w:sz="0" w:space="0" w:color="auto"/>
                                <w:right w:val="none" w:sz="0" w:space="0" w:color="auto"/>
                              </w:divBdr>
                              <w:divsChild>
                                <w:div w:id="829057686">
                                  <w:marLeft w:val="0"/>
                                  <w:marRight w:val="0"/>
                                  <w:marTop w:val="0"/>
                                  <w:marBottom w:val="0"/>
                                  <w:divBdr>
                                    <w:top w:val="none" w:sz="0" w:space="0" w:color="auto"/>
                                    <w:left w:val="none" w:sz="0" w:space="0" w:color="auto"/>
                                    <w:bottom w:val="none" w:sz="0" w:space="0" w:color="auto"/>
                                    <w:right w:val="none" w:sz="0" w:space="0" w:color="auto"/>
                                  </w:divBdr>
                                  <w:divsChild>
                                    <w:div w:id="176668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86800">
      <w:bodyDiv w:val="1"/>
      <w:marLeft w:val="0"/>
      <w:marRight w:val="0"/>
      <w:marTop w:val="0"/>
      <w:marBottom w:val="0"/>
      <w:divBdr>
        <w:top w:val="none" w:sz="0" w:space="0" w:color="auto"/>
        <w:left w:val="none" w:sz="0" w:space="0" w:color="auto"/>
        <w:bottom w:val="none" w:sz="0" w:space="0" w:color="auto"/>
        <w:right w:val="none" w:sz="0" w:space="0" w:color="auto"/>
      </w:divBdr>
      <w:divsChild>
        <w:div w:id="2061123952">
          <w:marLeft w:val="0"/>
          <w:marRight w:val="0"/>
          <w:marTop w:val="0"/>
          <w:marBottom w:val="0"/>
          <w:divBdr>
            <w:top w:val="none" w:sz="0" w:space="0" w:color="auto"/>
            <w:left w:val="none" w:sz="0" w:space="0" w:color="auto"/>
            <w:bottom w:val="dotted" w:sz="6" w:space="4" w:color="DDDDDD"/>
            <w:right w:val="none" w:sz="0" w:space="0" w:color="auto"/>
          </w:divBdr>
        </w:div>
      </w:divsChild>
    </w:div>
    <w:div w:id="48386040">
      <w:bodyDiv w:val="1"/>
      <w:marLeft w:val="0"/>
      <w:marRight w:val="0"/>
      <w:marTop w:val="0"/>
      <w:marBottom w:val="0"/>
      <w:divBdr>
        <w:top w:val="none" w:sz="0" w:space="0" w:color="auto"/>
        <w:left w:val="none" w:sz="0" w:space="0" w:color="auto"/>
        <w:bottom w:val="none" w:sz="0" w:space="0" w:color="auto"/>
        <w:right w:val="none" w:sz="0" w:space="0" w:color="auto"/>
      </w:divBdr>
      <w:divsChild>
        <w:div w:id="1935161551">
          <w:marLeft w:val="0"/>
          <w:marRight w:val="0"/>
          <w:marTop w:val="0"/>
          <w:marBottom w:val="0"/>
          <w:divBdr>
            <w:top w:val="none" w:sz="0" w:space="0" w:color="auto"/>
            <w:left w:val="none" w:sz="0" w:space="0" w:color="auto"/>
            <w:bottom w:val="dotted" w:sz="6" w:space="4" w:color="DDDDDD"/>
            <w:right w:val="none" w:sz="0" w:space="0" w:color="auto"/>
          </w:divBdr>
        </w:div>
      </w:divsChild>
    </w:div>
    <w:div w:id="49111018">
      <w:bodyDiv w:val="1"/>
      <w:marLeft w:val="0"/>
      <w:marRight w:val="0"/>
      <w:marTop w:val="0"/>
      <w:marBottom w:val="0"/>
      <w:divBdr>
        <w:top w:val="none" w:sz="0" w:space="0" w:color="auto"/>
        <w:left w:val="none" w:sz="0" w:space="0" w:color="auto"/>
        <w:bottom w:val="none" w:sz="0" w:space="0" w:color="auto"/>
        <w:right w:val="none" w:sz="0" w:space="0" w:color="auto"/>
      </w:divBdr>
      <w:divsChild>
        <w:div w:id="599529242">
          <w:marLeft w:val="0"/>
          <w:marRight w:val="0"/>
          <w:marTop w:val="0"/>
          <w:marBottom w:val="150"/>
          <w:divBdr>
            <w:top w:val="none" w:sz="0" w:space="0" w:color="auto"/>
            <w:left w:val="none" w:sz="0" w:space="0" w:color="auto"/>
            <w:bottom w:val="none" w:sz="0" w:space="0" w:color="auto"/>
            <w:right w:val="none" w:sz="0" w:space="0" w:color="auto"/>
          </w:divBdr>
          <w:divsChild>
            <w:div w:id="2061132090">
              <w:marLeft w:val="0"/>
              <w:marRight w:val="0"/>
              <w:marTop w:val="0"/>
              <w:marBottom w:val="0"/>
              <w:divBdr>
                <w:top w:val="none" w:sz="0" w:space="0" w:color="auto"/>
                <w:left w:val="none" w:sz="0" w:space="0" w:color="auto"/>
                <w:bottom w:val="none" w:sz="0" w:space="0" w:color="auto"/>
                <w:right w:val="none" w:sz="0" w:space="0" w:color="auto"/>
              </w:divBdr>
              <w:divsChild>
                <w:div w:id="53577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831871">
          <w:marLeft w:val="0"/>
          <w:marRight w:val="0"/>
          <w:marTop w:val="0"/>
          <w:marBottom w:val="150"/>
          <w:divBdr>
            <w:top w:val="none" w:sz="0" w:space="0" w:color="auto"/>
            <w:left w:val="none" w:sz="0" w:space="0" w:color="auto"/>
            <w:bottom w:val="none" w:sz="0" w:space="0" w:color="auto"/>
            <w:right w:val="none" w:sz="0" w:space="0" w:color="auto"/>
          </w:divBdr>
        </w:div>
        <w:div w:id="936210723">
          <w:marLeft w:val="0"/>
          <w:marRight w:val="0"/>
          <w:marTop w:val="0"/>
          <w:marBottom w:val="0"/>
          <w:divBdr>
            <w:top w:val="none" w:sz="0" w:space="0" w:color="auto"/>
            <w:left w:val="none" w:sz="0" w:space="0" w:color="auto"/>
            <w:bottom w:val="none" w:sz="0" w:space="0" w:color="auto"/>
            <w:right w:val="none" w:sz="0" w:space="0" w:color="auto"/>
          </w:divBdr>
          <w:divsChild>
            <w:div w:id="5903589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9426267">
      <w:bodyDiv w:val="1"/>
      <w:marLeft w:val="0"/>
      <w:marRight w:val="0"/>
      <w:marTop w:val="0"/>
      <w:marBottom w:val="0"/>
      <w:divBdr>
        <w:top w:val="none" w:sz="0" w:space="0" w:color="auto"/>
        <w:left w:val="none" w:sz="0" w:space="0" w:color="auto"/>
        <w:bottom w:val="none" w:sz="0" w:space="0" w:color="auto"/>
        <w:right w:val="none" w:sz="0" w:space="0" w:color="auto"/>
      </w:divBdr>
    </w:div>
    <w:div w:id="49573643">
      <w:bodyDiv w:val="1"/>
      <w:marLeft w:val="0"/>
      <w:marRight w:val="0"/>
      <w:marTop w:val="0"/>
      <w:marBottom w:val="0"/>
      <w:divBdr>
        <w:top w:val="none" w:sz="0" w:space="0" w:color="auto"/>
        <w:left w:val="none" w:sz="0" w:space="0" w:color="auto"/>
        <w:bottom w:val="none" w:sz="0" w:space="0" w:color="auto"/>
        <w:right w:val="none" w:sz="0" w:space="0" w:color="auto"/>
      </w:divBdr>
      <w:divsChild>
        <w:div w:id="719406565">
          <w:marLeft w:val="0"/>
          <w:marRight w:val="0"/>
          <w:marTop w:val="0"/>
          <w:marBottom w:val="0"/>
          <w:divBdr>
            <w:top w:val="none" w:sz="0" w:space="0" w:color="auto"/>
            <w:left w:val="none" w:sz="0" w:space="0" w:color="auto"/>
            <w:bottom w:val="none" w:sz="0" w:space="0" w:color="auto"/>
            <w:right w:val="none" w:sz="0" w:space="0" w:color="auto"/>
          </w:divBdr>
          <w:divsChild>
            <w:div w:id="7743996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352338">
      <w:bodyDiv w:val="1"/>
      <w:marLeft w:val="0"/>
      <w:marRight w:val="0"/>
      <w:marTop w:val="0"/>
      <w:marBottom w:val="0"/>
      <w:divBdr>
        <w:top w:val="none" w:sz="0" w:space="0" w:color="auto"/>
        <w:left w:val="none" w:sz="0" w:space="0" w:color="auto"/>
        <w:bottom w:val="none" w:sz="0" w:space="0" w:color="auto"/>
        <w:right w:val="none" w:sz="0" w:space="0" w:color="auto"/>
      </w:divBdr>
      <w:divsChild>
        <w:div w:id="679159554">
          <w:marLeft w:val="0"/>
          <w:marRight w:val="0"/>
          <w:marTop w:val="0"/>
          <w:marBottom w:val="0"/>
          <w:divBdr>
            <w:top w:val="none" w:sz="0" w:space="0" w:color="auto"/>
            <w:left w:val="none" w:sz="0" w:space="0" w:color="auto"/>
            <w:bottom w:val="dotted" w:sz="6" w:space="4" w:color="DDDDDD"/>
            <w:right w:val="none" w:sz="0" w:space="0" w:color="auto"/>
          </w:divBdr>
        </w:div>
      </w:divsChild>
    </w:div>
    <w:div w:id="50661641">
      <w:bodyDiv w:val="1"/>
      <w:marLeft w:val="0"/>
      <w:marRight w:val="0"/>
      <w:marTop w:val="0"/>
      <w:marBottom w:val="0"/>
      <w:divBdr>
        <w:top w:val="none" w:sz="0" w:space="0" w:color="auto"/>
        <w:left w:val="none" w:sz="0" w:space="0" w:color="auto"/>
        <w:bottom w:val="none" w:sz="0" w:space="0" w:color="auto"/>
        <w:right w:val="none" w:sz="0" w:space="0" w:color="auto"/>
      </w:divBdr>
    </w:div>
    <w:div w:id="51269678">
      <w:bodyDiv w:val="1"/>
      <w:marLeft w:val="0"/>
      <w:marRight w:val="0"/>
      <w:marTop w:val="0"/>
      <w:marBottom w:val="0"/>
      <w:divBdr>
        <w:top w:val="none" w:sz="0" w:space="0" w:color="auto"/>
        <w:left w:val="none" w:sz="0" w:space="0" w:color="auto"/>
        <w:bottom w:val="none" w:sz="0" w:space="0" w:color="auto"/>
        <w:right w:val="none" w:sz="0" w:space="0" w:color="auto"/>
      </w:divBdr>
      <w:divsChild>
        <w:div w:id="1444763227">
          <w:marLeft w:val="0"/>
          <w:marRight w:val="0"/>
          <w:marTop w:val="0"/>
          <w:marBottom w:val="0"/>
          <w:divBdr>
            <w:top w:val="none" w:sz="0" w:space="0" w:color="auto"/>
            <w:left w:val="none" w:sz="0" w:space="0" w:color="auto"/>
            <w:bottom w:val="dotted" w:sz="6" w:space="4" w:color="DDDDDD"/>
            <w:right w:val="none" w:sz="0" w:space="0" w:color="auto"/>
          </w:divBdr>
          <w:divsChild>
            <w:div w:id="68093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58945">
      <w:bodyDiv w:val="1"/>
      <w:marLeft w:val="0"/>
      <w:marRight w:val="0"/>
      <w:marTop w:val="0"/>
      <w:marBottom w:val="0"/>
      <w:divBdr>
        <w:top w:val="none" w:sz="0" w:space="0" w:color="auto"/>
        <w:left w:val="none" w:sz="0" w:space="0" w:color="auto"/>
        <w:bottom w:val="none" w:sz="0" w:space="0" w:color="auto"/>
        <w:right w:val="none" w:sz="0" w:space="0" w:color="auto"/>
      </w:divBdr>
      <w:divsChild>
        <w:div w:id="1851987476">
          <w:marLeft w:val="0"/>
          <w:marRight w:val="0"/>
          <w:marTop w:val="0"/>
          <w:marBottom w:val="0"/>
          <w:divBdr>
            <w:top w:val="none" w:sz="0" w:space="0" w:color="auto"/>
            <w:left w:val="none" w:sz="0" w:space="0" w:color="auto"/>
            <w:bottom w:val="dotted" w:sz="6" w:space="4" w:color="DDDDDD"/>
            <w:right w:val="none" w:sz="0" w:space="0" w:color="auto"/>
          </w:divBdr>
        </w:div>
      </w:divsChild>
    </w:div>
    <w:div w:id="51660747">
      <w:bodyDiv w:val="1"/>
      <w:marLeft w:val="0"/>
      <w:marRight w:val="0"/>
      <w:marTop w:val="0"/>
      <w:marBottom w:val="0"/>
      <w:divBdr>
        <w:top w:val="none" w:sz="0" w:space="0" w:color="auto"/>
        <w:left w:val="none" w:sz="0" w:space="0" w:color="auto"/>
        <w:bottom w:val="none" w:sz="0" w:space="0" w:color="auto"/>
        <w:right w:val="none" w:sz="0" w:space="0" w:color="auto"/>
      </w:divBdr>
    </w:div>
    <w:div w:id="52315742">
      <w:bodyDiv w:val="1"/>
      <w:marLeft w:val="0"/>
      <w:marRight w:val="0"/>
      <w:marTop w:val="0"/>
      <w:marBottom w:val="0"/>
      <w:divBdr>
        <w:top w:val="none" w:sz="0" w:space="0" w:color="auto"/>
        <w:left w:val="none" w:sz="0" w:space="0" w:color="auto"/>
        <w:bottom w:val="none" w:sz="0" w:space="0" w:color="auto"/>
        <w:right w:val="none" w:sz="0" w:space="0" w:color="auto"/>
      </w:divBdr>
      <w:divsChild>
        <w:div w:id="1854688146">
          <w:marLeft w:val="0"/>
          <w:marRight w:val="0"/>
          <w:marTop w:val="0"/>
          <w:marBottom w:val="0"/>
          <w:divBdr>
            <w:top w:val="none" w:sz="0" w:space="0" w:color="auto"/>
            <w:left w:val="none" w:sz="0" w:space="0" w:color="auto"/>
            <w:bottom w:val="none" w:sz="0" w:space="0" w:color="auto"/>
            <w:right w:val="none" w:sz="0" w:space="0" w:color="auto"/>
          </w:divBdr>
          <w:divsChild>
            <w:div w:id="1278246840">
              <w:marLeft w:val="0"/>
              <w:marRight w:val="0"/>
              <w:marTop w:val="0"/>
              <w:marBottom w:val="0"/>
              <w:divBdr>
                <w:top w:val="none" w:sz="0" w:space="0" w:color="auto"/>
                <w:left w:val="none" w:sz="0" w:space="0" w:color="auto"/>
                <w:bottom w:val="none" w:sz="0" w:space="0" w:color="auto"/>
                <w:right w:val="none" w:sz="0" w:space="0" w:color="auto"/>
              </w:divBdr>
            </w:div>
          </w:divsChild>
        </w:div>
        <w:div w:id="810250418">
          <w:marLeft w:val="0"/>
          <w:marRight w:val="0"/>
          <w:marTop w:val="0"/>
          <w:marBottom w:val="0"/>
          <w:divBdr>
            <w:top w:val="none" w:sz="0" w:space="0" w:color="auto"/>
            <w:left w:val="none" w:sz="0" w:space="0" w:color="auto"/>
            <w:bottom w:val="none" w:sz="0" w:space="0" w:color="auto"/>
            <w:right w:val="none" w:sz="0" w:space="0" w:color="auto"/>
          </w:divBdr>
        </w:div>
        <w:div w:id="1039430474">
          <w:marLeft w:val="0"/>
          <w:marRight w:val="0"/>
          <w:marTop w:val="0"/>
          <w:marBottom w:val="0"/>
          <w:divBdr>
            <w:top w:val="none" w:sz="0" w:space="0" w:color="auto"/>
            <w:left w:val="none" w:sz="0" w:space="0" w:color="auto"/>
            <w:bottom w:val="none" w:sz="0" w:space="0" w:color="auto"/>
            <w:right w:val="none" w:sz="0" w:space="0" w:color="auto"/>
          </w:divBdr>
          <w:divsChild>
            <w:div w:id="1358042118">
              <w:marLeft w:val="-225"/>
              <w:marRight w:val="-225"/>
              <w:marTop w:val="0"/>
              <w:marBottom w:val="0"/>
              <w:divBdr>
                <w:top w:val="none" w:sz="0" w:space="0" w:color="auto"/>
                <w:left w:val="none" w:sz="0" w:space="0" w:color="auto"/>
                <w:bottom w:val="none" w:sz="0" w:space="0" w:color="auto"/>
                <w:right w:val="none" w:sz="0" w:space="0" w:color="auto"/>
              </w:divBdr>
              <w:divsChild>
                <w:div w:id="650787662">
                  <w:marLeft w:val="0"/>
                  <w:marRight w:val="0"/>
                  <w:marTop w:val="0"/>
                  <w:marBottom w:val="0"/>
                  <w:divBdr>
                    <w:top w:val="none" w:sz="0" w:space="0" w:color="auto"/>
                    <w:left w:val="none" w:sz="0" w:space="0" w:color="auto"/>
                    <w:bottom w:val="none" w:sz="0" w:space="0" w:color="auto"/>
                    <w:right w:val="single" w:sz="6" w:space="0" w:color="000000"/>
                  </w:divBdr>
                  <w:divsChild>
                    <w:div w:id="1128010504">
                      <w:marLeft w:val="0"/>
                      <w:marRight w:val="0"/>
                      <w:marTop w:val="0"/>
                      <w:marBottom w:val="0"/>
                      <w:divBdr>
                        <w:top w:val="none" w:sz="0" w:space="0" w:color="auto"/>
                        <w:left w:val="none" w:sz="0" w:space="0" w:color="auto"/>
                        <w:bottom w:val="none" w:sz="0" w:space="0" w:color="auto"/>
                        <w:right w:val="none" w:sz="0" w:space="0" w:color="auto"/>
                      </w:divBdr>
                      <w:divsChild>
                        <w:div w:id="148249955">
                          <w:marLeft w:val="0"/>
                          <w:marRight w:val="0"/>
                          <w:marTop w:val="0"/>
                          <w:marBottom w:val="0"/>
                          <w:divBdr>
                            <w:top w:val="none" w:sz="0" w:space="0" w:color="auto"/>
                            <w:left w:val="none" w:sz="0" w:space="0" w:color="auto"/>
                            <w:bottom w:val="none" w:sz="0" w:space="0" w:color="auto"/>
                            <w:right w:val="none" w:sz="0" w:space="0" w:color="auto"/>
                          </w:divBdr>
                        </w:div>
                        <w:div w:id="2007785666">
                          <w:marLeft w:val="0"/>
                          <w:marRight w:val="0"/>
                          <w:marTop w:val="0"/>
                          <w:marBottom w:val="0"/>
                          <w:divBdr>
                            <w:top w:val="none" w:sz="0" w:space="0" w:color="auto"/>
                            <w:left w:val="none" w:sz="0" w:space="0" w:color="auto"/>
                            <w:bottom w:val="none" w:sz="0" w:space="0" w:color="auto"/>
                            <w:right w:val="none" w:sz="0" w:space="0" w:color="auto"/>
                          </w:divBdr>
                        </w:div>
                        <w:div w:id="236987911">
                          <w:marLeft w:val="0"/>
                          <w:marRight w:val="0"/>
                          <w:marTop w:val="0"/>
                          <w:marBottom w:val="0"/>
                          <w:divBdr>
                            <w:top w:val="none" w:sz="0" w:space="0" w:color="auto"/>
                            <w:left w:val="none" w:sz="0" w:space="0" w:color="auto"/>
                            <w:bottom w:val="none" w:sz="0" w:space="0" w:color="auto"/>
                            <w:right w:val="none" w:sz="0" w:space="0" w:color="auto"/>
                          </w:divBdr>
                        </w:div>
                        <w:div w:id="2085561856">
                          <w:marLeft w:val="0"/>
                          <w:marRight w:val="0"/>
                          <w:marTop w:val="0"/>
                          <w:marBottom w:val="0"/>
                          <w:divBdr>
                            <w:top w:val="none" w:sz="0" w:space="0" w:color="auto"/>
                            <w:left w:val="none" w:sz="0" w:space="0" w:color="auto"/>
                            <w:bottom w:val="none" w:sz="0" w:space="0" w:color="auto"/>
                            <w:right w:val="none" w:sz="0" w:space="0" w:color="auto"/>
                          </w:divBdr>
                        </w:div>
                        <w:div w:id="180488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69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11103">
      <w:bodyDiv w:val="1"/>
      <w:marLeft w:val="0"/>
      <w:marRight w:val="0"/>
      <w:marTop w:val="0"/>
      <w:marBottom w:val="0"/>
      <w:divBdr>
        <w:top w:val="none" w:sz="0" w:space="0" w:color="auto"/>
        <w:left w:val="none" w:sz="0" w:space="0" w:color="auto"/>
        <w:bottom w:val="none" w:sz="0" w:space="0" w:color="auto"/>
        <w:right w:val="none" w:sz="0" w:space="0" w:color="auto"/>
      </w:divBdr>
      <w:divsChild>
        <w:div w:id="1162426532">
          <w:marLeft w:val="0"/>
          <w:marRight w:val="0"/>
          <w:marTop w:val="0"/>
          <w:marBottom w:val="0"/>
          <w:divBdr>
            <w:top w:val="none" w:sz="0" w:space="0" w:color="auto"/>
            <w:left w:val="none" w:sz="0" w:space="0" w:color="auto"/>
            <w:bottom w:val="none" w:sz="0" w:space="0" w:color="auto"/>
            <w:right w:val="none" w:sz="0" w:space="0" w:color="auto"/>
          </w:divBdr>
          <w:divsChild>
            <w:div w:id="1558475512">
              <w:marLeft w:val="0"/>
              <w:marRight w:val="0"/>
              <w:marTop w:val="0"/>
              <w:marBottom w:val="0"/>
              <w:divBdr>
                <w:top w:val="none" w:sz="0" w:space="0" w:color="auto"/>
                <w:left w:val="none" w:sz="0" w:space="0" w:color="auto"/>
                <w:bottom w:val="none" w:sz="0" w:space="0" w:color="auto"/>
                <w:right w:val="none" w:sz="0" w:space="0" w:color="auto"/>
              </w:divBdr>
              <w:divsChild>
                <w:div w:id="1115053405">
                  <w:marLeft w:val="0"/>
                  <w:marRight w:val="0"/>
                  <w:marTop w:val="0"/>
                  <w:marBottom w:val="150"/>
                  <w:divBdr>
                    <w:top w:val="none" w:sz="0" w:space="0" w:color="auto"/>
                    <w:left w:val="none" w:sz="0" w:space="0" w:color="auto"/>
                    <w:bottom w:val="none" w:sz="0" w:space="0" w:color="auto"/>
                    <w:right w:val="none" w:sz="0" w:space="0" w:color="auto"/>
                  </w:divBdr>
                  <w:divsChild>
                    <w:div w:id="697391892">
                      <w:marLeft w:val="0"/>
                      <w:marRight w:val="0"/>
                      <w:marTop w:val="0"/>
                      <w:marBottom w:val="0"/>
                      <w:divBdr>
                        <w:top w:val="none" w:sz="0" w:space="0" w:color="auto"/>
                        <w:left w:val="none" w:sz="0" w:space="0" w:color="auto"/>
                        <w:bottom w:val="none" w:sz="0" w:space="0" w:color="auto"/>
                        <w:right w:val="none" w:sz="0" w:space="0" w:color="auto"/>
                      </w:divBdr>
                      <w:divsChild>
                        <w:div w:id="786776720">
                          <w:marLeft w:val="0"/>
                          <w:marRight w:val="0"/>
                          <w:marTop w:val="0"/>
                          <w:marBottom w:val="0"/>
                          <w:divBdr>
                            <w:top w:val="none" w:sz="0" w:space="0" w:color="auto"/>
                            <w:left w:val="none" w:sz="0" w:space="0" w:color="auto"/>
                            <w:bottom w:val="none" w:sz="0" w:space="0" w:color="auto"/>
                            <w:right w:val="none" w:sz="0" w:space="0" w:color="auto"/>
                          </w:divBdr>
                          <w:divsChild>
                            <w:div w:id="246964235">
                              <w:marLeft w:val="0"/>
                              <w:marRight w:val="0"/>
                              <w:marTop w:val="0"/>
                              <w:marBottom w:val="0"/>
                              <w:divBdr>
                                <w:top w:val="none" w:sz="0" w:space="0" w:color="auto"/>
                                <w:left w:val="none" w:sz="0" w:space="0" w:color="auto"/>
                                <w:bottom w:val="none" w:sz="0" w:space="0" w:color="auto"/>
                                <w:right w:val="none" w:sz="0" w:space="0" w:color="auto"/>
                              </w:divBdr>
                              <w:divsChild>
                                <w:div w:id="475293567">
                                  <w:marLeft w:val="0"/>
                                  <w:marRight w:val="0"/>
                                  <w:marTop w:val="0"/>
                                  <w:marBottom w:val="0"/>
                                  <w:divBdr>
                                    <w:top w:val="none" w:sz="0" w:space="0" w:color="auto"/>
                                    <w:left w:val="none" w:sz="0" w:space="0" w:color="auto"/>
                                    <w:bottom w:val="none" w:sz="0" w:space="0" w:color="auto"/>
                                    <w:right w:val="none" w:sz="0" w:space="0" w:color="auto"/>
                                  </w:divBdr>
                                  <w:divsChild>
                                    <w:div w:id="1990208773">
                                      <w:marLeft w:val="0"/>
                                      <w:marRight w:val="0"/>
                                      <w:marTop w:val="0"/>
                                      <w:marBottom w:val="0"/>
                                      <w:divBdr>
                                        <w:top w:val="none" w:sz="0" w:space="0" w:color="auto"/>
                                        <w:left w:val="none" w:sz="0" w:space="0" w:color="auto"/>
                                        <w:bottom w:val="none" w:sz="0" w:space="0" w:color="auto"/>
                                        <w:right w:val="none" w:sz="0" w:space="0" w:color="auto"/>
                                      </w:divBdr>
                                      <w:divsChild>
                                        <w:div w:id="238828678">
                                          <w:marLeft w:val="0"/>
                                          <w:marRight w:val="0"/>
                                          <w:marTop w:val="0"/>
                                          <w:marBottom w:val="0"/>
                                          <w:divBdr>
                                            <w:top w:val="none" w:sz="0" w:space="0" w:color="auto"/>
                                            <w:left w:val="none" w:sz="0" w:space="0" w:color="auto"/>
                                            <w:bottom w:val="none" w:sz="0" w:space="0" w:color="auto"/>
                                            <w:right w:val="none" w:sz="0" w:space="0" w:color="auto"/>
                                          </w:divBdr>
                                          <w:divsChild>
                                            <w:div w:id="1903172764">
                                              <w:marLeft w:val="0"/>
                                              <w:marRight w:val="0"/>
                                              <w:marTop w:val="0"/>
                                              <w:marBottom w:val="0"/>
                                              <w:divBdr>
                                                <w:top w:val="none" w:sz="0" w:space="0" w:color="auto"/>
                                                <w:left w:val="none" w:sz="0" w:space="0" w:color="auto"/>
                                                <w:bottom w:val="none" w:sz="0" w:space="0" w:color="auto"/>
                                                <w:right w:val="none" w:sz="0" w:space="0" w:color="auto"/>
                                              </w:divBdr>
                                              <w:divsChild>
                                                <w:div w:id="60315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702531">
      <w:bodyDiv w:val="1"/>
      <w:marLeft w:val="0"/>
      <w:marRight w:val="0"/>
      <w:marTop w:val="0"/>
      <w:marBottom w:val="0"/>
      <w:divBdr>
        <w:top w:val="none" w:sz="0" w:space="0" w:color="auto"/>
        <w:left w:val="none" w:sz="0" w:space="0" w:color="auto"/>
        <w:bottom w:val="none" w:sz="0" w:space="0" w:color="auto"/>
        <w:right w:val="none" w:sz="0" w:space="0" w:color="auto"/>
      </w:divBdr>
    </w:div>
    <w:div w:id="52779817">
      <w:bodyDiv w:val="1"/>
      <w:marLeft w:val="0"/>
      <w:marRight w:val="0"/>
      <w:marTop w:val="0"/>
      <w:marBottom w:val="0"/>
      <w:divBdr>
        <w:top w:val="none" w:sz="0" w:space="0" w:color="auto"/>
        <w:left w:val="none" w:sz="0" w:space="0" w:color="auto"/>
        <w:bottom w:val="none" w:sz="0" w:space="0" w:color="auto"/>
        <w:right w:val="none" w:sz="0" w:space="0" w:color="auto"/>
      </w:divBdr>
      <w:divsChild>
        <w:div w:id="1262881996">
          <w:marLeft w:val="0"/>
          <w:marRight w:val="0"/>
          <w:marTop w:val="0"/>
          <w:marBottom w:val="150"/>
          <w:divBdr>
            <w:top w:val="none" w:sz="0" w:space="0" w:color="auto"/>
            <w:left w:val="none" w:sz="0" w:space="0" w:color="auto"/>
            <w:bottom w:val="none" w:sz="0" w:space="0" w:color="auto"/>
            <w:right w:val="none" w:sz="0" w:space="0" w:color="auto"/>
          </w:divBdr>
        </w:div>
      </w:divsChild>
    </w:div>
    <w:div w:id="52781267">
      <w:bodyDiv w:val="1"/>
      <w:marLeft w:val="0"/>
      <w:marRight w:val="0"/>
      <w:marTop w:val="0"/>
      <w:marBottom w:val="0"/>
      <w:divBdr>
        <w:top w:val="none" w:sz="0" w:space="0" w:color="auto"/>
        <w:left w:val="none" w:sz="0" w:space="0" w:color="auto"/>
        <w:bottom w:val="none" w:sz="0" w:space="0" w:color="auto"/>
        <w:right w:val="none" w:sz="0" w:space="0" w:color="auto"/>
      </w:divBdr>
    </w:div>
    <w:div w:id="53361077">
      <w:bodyDiv w:val="1"/>
      <w:marLeft w:val="0"/>
      <w:marRight w:val="0"/>
      <w:marTop w:val="0"/>
      <w:marBottom w:val="0"/>
      <w:divBdr>
        <w:top w:val="none" w:sz="0" w:space="0" w:color="auto"/>
        <w:left w:val="none" w:sz="0" w:space="0" w:color="auto"/>
        <w:bottom w:val="none" w:sz="0" w:space="0" w:color="auto"/>
        <w:right w:val="none" w:sz="0" w:space="0" w:color="auto"/>
      </w:divBdr>
    </w:div>
    <w:div w:id="53893393">
      <w:bodyDiv w:val="1"/>
      <w:marLeft w:val="0"/>
      <w:marRight w:val="0"/>
      <w:marTop w:val="0"/>
      <w:marBottom w:val="0"/>
      <w:divBdr>
        <w:top w:val="none" w:sz="0" w:space="0" w:color="auto"/>
        <w:left w:val="none" w:sz="0" w:space="0" w:color="auto"/>
        <w:bottom w:val="none" w:sz="0" w:space="0" w:color="auto"/>
        <w:right w:val="none" w:sz="0" w:space="0" w:color="auto"/>
      </w:divBdr>
      <w:divsChild>
        <w:div w:id="1589386646">
          <w:marLeft w:val="0"/>
          <w:marRight w:val="0"/>
          <w:marTop w:val="0"/>
          <w:marBottom w:val="0"/>
          <w:divBdr>
            <w:top w:val="none" w:sz="0" w:space="0" w:color="auto"/>
            <w:left w:val="none" w:sz="0" w:space="0" w:color="auto"/>
            <w:bottom w:val="none" w:sz="0" w:space="0" w:color="auto"/>
            <w:right w:val="none" w:sz="0" w:space="0" w:color="auto"/>
          </w:divBdr>
          <w:divsChild>
            <w:div w:id="245190510">
              <w:marLeft w:val="0"/>
              <w:marRight w:val="0"/>
              <w:marTop w:val="0"/>
              <w:marBottom w:val="0"/>
              <w:divBdr>
                <w:top w:val="none" w:sz="0" w:space="0" w:color="auto"/>
                <w:left w:val="none" w:sz="0" w:space="0" w:color="auto"/>
                <w:bottom w:val="none" w:sz="0" w:space="0" w:color="auto"/>
                <w:right w:val="none" w:sz="0" w:space="0" w:color="auto"/>
              </w:divBdr>
              <w:divsChild>
                <w:div w:id="413551575">
                  <w:marLeft w:val="0"/>
                  <w:marRight w:val="0"/>
                  <w:marTop w:val="0"/>
                  <w:marBottom w:val="0"/>
                  <w:divBdr>
                    <w:top w:val="none" w:sz="0" w:space="0" w:color="auto"/>
                    <w:left w:val="none" w:sz="0" w:space="0" w:color="auto"/>
                    <w:bottom w:val="none" w:sz="0" w:space="0" w:color="auto"/>
                    <w:right w:val="none" w:sz="0" w:space="0" w:color="auto"/>
                  </w:divBdr>
                  <w:divsChild>
                    <w:div w:id="617372292">
                      <w:marLeft w:val="0"/>
                      <w:marRight w:val="0"/>
                      <w:marTop w:val="0"/>
                      <w:marBottom w:val="0"/>
                      <w:divBdr>
                        <w:top w:val="none" w:sz="0" w:space="0" w:color="auto"/>
                        <w:left w:val="none" w:sz="0" w:space="0" w:color="auto"/>
                        <w:bottom w:val="none" w:sz="0" w:space="0" w:color="auto"/>
                        <w:right w:val="none" w:sz="0" w:space="0" w:color="auto"/>
                      </w:divBdr>
                      <w:divsChild>
                        <w:div w:id="302388256">
                          <w:marLeft w:val="0"/>
                          <w:marRight w:val="0"/>
                          <w:marTop w:val="0"/>
                          <w:marBottom w:val="0"/>
                          <w:divBdr>
                            <w:top w:val="none" w:sz="0" w:space="0" w:color="auto"/>
                            <w:left w:val="none" w:sz="0" w:space="0" w:color="auto"/>
                            <w:bottom w:val="none" w:sz="0" w:space="0" w:color="auto"/>
                            <w:right w:val="none" w:sz="0" w:space="0" w:color="auto"/>
                          </w:divBdr>
                          <w:divsChild>
                            <w:div w:id="250550514">
                              <w:marLeft w:val="0"/>
                              <w:marRight w:val="0"/>
                              <w:marTop w:val="0"/>
                              <w:marBottom w:val="0"/>
                              <w:divBdr>
                                <w:top w:val="none" w:sz="0" w:space="0" w:color="auto"/>
                                <w:left w:val="none" w:sz="0" w:space="0" w:color="auto"/>
                                <w:bottom w:val="none" w:sz="0" w:space="0" w:color="auto"/>
                                <w:right w:val="none" w:sz="0" w:space="0" w:color="auto"/>
                              </w:divBdr>
                              <w:divsChild>
                                <w:div w:id="1371760451">
                                  <w:marLeft w:val="0"/>
                                  <w:marRight w:val="0"/>
                                  <w:marTop w:val="0"/>
                                  <w:marBottom w:val="0"/>
                                  <w:divBdr>
                                    <w:top w:val="none" w:sz="0" w:space="0" w:color="auto"/>
                                    <w:left w:val="none" w:sz="0" w:space="0" w:color="auto"/>
                                    <w:bottom w:val="none" w:sz="0" w:space="0" w:color="auto"/>
                                    <w:right w:val="none" w:sz="0" w:space="0" w:color="auto"/>
                                  </w:divBdr>
                                  <w:divsChild>
                                    <w:div w:id="142272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360086">
      <w:bodyDiv w:val="1"/>
      <w:marLeft w:val="0"/>
      <w:marRight w:val="0"/>
      <w:marTop w:val="0"/>
      <w:marBottom w:val="0"/>
      <w:divBdr>
        <w:top w:val="none" w:sz="0" w:space="0" w:color="auto"/>
        <w:left w:val="none" w:sz="0" w:space="0" w:color="auto"/>
        <w:bottom w:val="none" w:sz="0" w:space="0" w:color="auto"/>
        <w:right w:val="none" w:sz="0" w:space="0" w:color="auto"/>
      </w:divBdr>
    </w:div>
    <w:div w:id="54743917">
      <w:bodyDiv w:val="1"/>
      <w:marLeft w:val="0"/>
      <w:marRight w:val="0"/>
      <w:marTop w:val="0"/>
      <w:marBottom w:val="0"/>
      <w:divBdr>
        <w:top w:val="none" w:sz="0" w:space="0" w:color="auto"/>
        <w:left w:val="none" w:sz="0" w:space="0" w:color="auto"/>
        <w:bottom w:val="none" w:sz="0" w:space="0" w:color="auto"/>
        <w:right w:val="none" w:sz="0" w:space="0" w:color="auto"/>
      </w:divBdr>
      <w:divsChild>
        <w:div w:id="821654039">
          <w:marLeft w:val="0"/>
          <w:marRight w:val="0"/>
          <w:marTop w:val="0"/>
          <w:marBottom w:val="0"/>
          <w:divBdr>
            <w:top w:val="none" w:sz="0" w:space="0" w:color="auto"/>
            <w:left w:val="none" w:sz="0" w:space="0" w:color="auto"/>
            <w:bottom w:val="none" w:sz="0" w:space="0" w:color="auto"/>
            <w:right w:val="none" w:sz="0" w:space="0" w:color="auto"/>
          </w:divBdr>
          <w:divsChild>
            <w:div w:id="511451166">
              <w:marLeft w:val="0"/>
              <w:marRight w:val="0"/>
              <w:marTop w:val="0"/>
              <w:marBottom w:val="0"/>
              <w:divBdr>
                <w:top w:val="none" w:sz="0" w:space="0" w:color="auto"/>
                <w:left w:val="none" w:sz="0" w:space="0" w:color="auto"/>
                <w:bottom w:val="none" w:sz="0" w:space="0" w:color="auto"/>
                <w:right w:val="none" w:sz="0" w:space="0" w:color="auto"/>
              </w:divBdr>
              <w:divsChild>
                <w:div w:id="1597790675">
                  <w:marLeft w:val="0"/>
                  <w:marRight w:val="0"/>
                  <w:marTop w:val="0"/>
                  <w:marBottom w:val="0"/>
                  <w:divBdr>
                    <w:top w:val="none" w:sz="0" w:space="0" w:color="auto"/>
                    <w:left w:val="none" w:sz="0" w:space="0" w:color="auto"/>
                    <w:bottom w:val="none" w:sz="0" w:space="0" w:color="auto"/>
                    <w:right w:val="none" w:sz="0" w:space="0" w:color="auto"/>
                  </w:divBdr>
                  <w:divsChild>
                    <w:div w:id="876627608">
                      <w:marLeft w:val="0"/>
                      <w:marRight w:val="0"/>
                      <w:marTop w:val="0"/>
                      <w:marBottom w:val="300"/>
                      <w:divBdr>
                        <w:top w:val="none" w:sz="0" w:space="0" w:color="auto"/>
                        <w:left w:val="none" w:sz="0" w:space="0" w:color="auto"/>
                        <w:bottom w:val="none" w:sz="0" w:space="0" w:color="auto"/>
                        <w:right w:val="none" w:sz="0" w:space="0" w:color="auto"/>
                      </w:divBdr>
                      <w:divsChild>
                        <w:div w:id="256837564">
                          <w:marLeft w:val="0"/>
                          <w:marRight w:val="0"/>
                          <w:marTop w:val="0"/>
                          <w:marBottom w:val="225"/>
                          <w:divBdr>
                            <w:top w:val="single" w:sz="6" w:space="11" w:color="E5E5E5"/>
                            <w:left w:val="single" w:sz="6" w:space="11" w:color="E5E5E5"/>
                            <w:bottom w:val="single" w:sz="6" w:space="1" w:color="E5E5E5"/>
                            <w:right w:val="single" w:sz="6" w:space="11" w:color="E5E5E5"/>
                          </w:divBdr>
                          <w:divsChild>
                            <w:div w:id="98585811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382052897">
          <w:marLeft w:val="0"/>
          <w:marRight w:val="0"/>
          <w:marTop w:val="0"/>
          <w:marBottom w:val="0"/>
          <w:divBdr>
            <w:top w:val="single" w:sz="6" w:space="0" w:color="E5E5E5"/>
            <w:left w:val="none" w:sz="0" w:space="0" w:color="auto"/>
            <w:bottom w:val="single" w:sz="18" w:space="0" w:color="000000"/>
            <w:right w:val="none" w:sz="0" w:space="0" w:color="auto"/>
          </w:divBdr>
          <w:divsChild>
            <w:div w:id="2077892035">
              <w:marLeft w:val="0"/>
              <w:marRight w:val="0"/>
              <w:marTop w:val="0"/>
              <w:marBottom w:val="0"/>
              <w:divBdr>
                <w:top w:val="none" w:sz="0" w:space="0" w:color="auto"/>
                <w:left w:val="none" w:sz="0" w:space="0" w:color="auto"/>
                <w:bottom w:val="none" w:sz="0" w:space="0" w:color="auto"/>
                <w:right w:val="none" w:sz="0" w:space="0" w:color="auto"/>
              </w:divBdr>
              <w:divsChild>
                <w:div w:id="17485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25260">
      <w:bodyDiv w:val="1"/>
      <w:marLeft w:val="0"/>
      <w:marRight w:val="0"/>
      <w:marTop w:val="0"/>
      <w:marBottom w:val="0"/>
      <w:divBdr>
        <w:top w:val="none" w:sz="0" w:space="0" w:color="auto"/>
        <w:left w:val="none" w:sz="0" w:space="0" w:color="auto"/>
        <w:bottom w:val="none" w:sz="0" w:space="0" w:color="auto"/>
        <w:right w:val="none" w:sz="0" w:space="0" w:color="auto"/>
      </w:divBdr>
      <w:divsChild>
        <w:div w:id="340351097">
          <w:marLeft w:val="0"/>
          <w:marRight w:val="0"/>
          <w:marTop w:val="0"/>
          <w:marBottom w:val="150"/>
          <w:divBdr>
            <w:top w:val="none" w:sz="0" w:space="0" w:color="auto"/>
            <w:left w:val="none" w:sz="0" w:space="0" w:color="auto"/>
            <w:bottom w:val="none" w:sz="0" w:space="0" w:color="auto"/>
            <w:right w:val="none" w:sz="0" w:space="0" w:color="auto"/>
          </w:divBdr>
          <w:divsChild>
            <w:div w:id="544411730">
              <w:marLeft w:val="0"/>
              <w:marRight w:val="0"/>
              <w:marTop w:val="0"/>
              <w:marBottom w:val="0"/>
              <w:divBdr>
                <w:top w:val="none" w:sz="0" w:space="0" w:color="auto"/>
                <w:left w:val="none" w:sz="0" w:space="0" w:color="auto"/>
                <w:bottom w:val="none" w:sz="0" w:space="0" w:color="auto"/>
                <w:right w:val="none" w:sz="0" w:space="0" w:color="auto"/>
              </w:divBdr>
            </w:div>
          </w:divsChild>
        </w:div>
        <w:div w:id="459498456">
          <w:marLeft w:val="0"/>
          <w:marRight w:val="0"/>
          <w:marTop w:val="0"/>
          <w:marBottom w:val="0"/>
          <w:divBdr>
            <w:top w:val="none" w:sz="0" w:space="0" w:color="auto"/>
            <w:left w:val="none" w:sz="0" w:space="0" w:color="auto"/>
            <w:bottom w:val="none" w:sz="0" w:space="0" w:color="auto"/>
            <w:right w:val="none" w:sz="0" w:space="0" w:color="auto"/>
          </w:divBdr>
          <w:divsChild>
            <w:div w:id="2064402791">
              <w:marLeft w:val="0"/>
              <w:marRight w:val="0"/>
              <w:marTop w:val="0"/>
              <w:marBottom w:val="0"/>
              <w:divBdr>
                <w:top w:val="none" w:sz="0" w:space="0" w:color="auto"/>
                <w:left w:val="none" w:sz="0" w:space="0" w:color="auto"/>
                <w:bottom w:val="none" w:sz="0" w:space="0" w:color="auto"/>
                <w:right w:val="none" w:sz="0" w:space="0" w:color="auto"/>
              </w:divBdr>
            </w:div>
          </w:divsChild>
        </w:div>
        <w:div w:id="1070931083">
          <w:marLeft w:val="0"/>
          <w:marRight w:val="0"/>
          <w:marTop w:val="0"/>
          <w:marBottom w:val="150"/>
          <w:divBdr>
            <w:top w:val="none" w:sz="0" w:space="0" w:color="auto"/>
            <w:left w:val="none" w:sz="0" w:space="0" w:color="auto"/>
            <w:bottom w:val="none" w:sz="0" w:space="0" w:color="auto"/>
            <w:right w:val="none" w:sz="0" w:space="0" w:color="auto"/>
          </w:divBdr>
        </w:div>
      </w:divsChild>
    </w:div>
    <w:div w:id="55977546">
      <w:bodyDiv w:val="1"/>
      <w:marLeft w:val="0"/>
      <w:marRight w:val="0"/>
      <w:marTop w:val="0"/>
      <w:marBottom w:val="0"/>
      <w:divBdr>
        <w:top w:val="none" w:sz="0" w:space="0" w:color="auto"/>
        <w:left w:val="none" w:sz="0" w:space="0" w:color="auto"/>
        <w:bottom w:val="none" w:sz="0" w:space="0" w:color="auto"/>
        <w:right w:val="none" w:sz="0" w:space="0" w:color="auto"/>
      </w:divBdr>
      <w:divsChild>
        <w:div w:id="234702429">
          <w:marLeft w:val="0"/>
          <w:marRight w:val="0"/>
          <w:marTop w:val="0"/>
          <w:marBottom w:val="150"/>
          <w:divBdr>
            <w:top w:val="none" w:sz="0" w:space="0" w:color="auto"/>
            <w:left w:val="none" w:sz="0" w:space="0" w:color="auto"/>
            <w:bottom w:val="none" w:sz="0" w:space="0" w:color="auto"/>
            <w:right w:val="none" w:sz="0" w:space="0" w:color="auto"/>
          </w:divBdr>
          <w:divsChild>
            <w:div w:id="828717737">
              <w:marLeft w:val="0"/>
              <w:marRight w:val="0"/>
              <w:marTop w:val="0"/>
              <w:marBottom w:val="0"/>
              <w:divBdr>
                <w:top w:val="none" w:sz="0" w:space="0" w:color="auto"/>
                <w:left w:val="none" w:sz="0" w:space="0" w:color="auto"/>
                <w:bottom w:val="none" w:sz="0" w:space="0" w:color="auto"/>
                <w:right w:val="none" w:sz="0" w:space="0" w:color="auto"/>
              </w:divBdr>
            </w:div>
          </w:divsChild>
        </w:div>
        <w:div w:id="1920477257">
          <w:marLeft w:val="0"/>
          <w:marRight w:val="0"/>
          <w:marTop w:val="0"/>
          <w:marBottom w:val="0"/>
          <w:divBdr>
            <w:top w:val="none" w:sz="0" w:space="0" w:color="auto"/>
            <w:left w:val="none" w:sz="0" w:space="0" w:color="auto"/>
            <w:bottom w:val="none" w:sz="0" w:space="0" w:color="auto"/>
            <w:right w:val="none" w:sz="0" w:space="0" w:color="auto"/>
          </w:divBdr>
        </w:div>
      </w:divsChild>
    </w:div>
    <w:div w:id="55978250">
      <w:bodyDiv w:val="1"/>
      <w:marLeft w:val="0"/>
      <w:marRight w:val="0"/>
      <w:marTop w:val="0"/>
      <w:marBottom w:val="0"/>
      <w:divBdr>
        <w:top w:val="none" w:sz="0" w:space="0" w:color="auto"/>
        <w:left w:val="none" w:sz="0" w:space="0" w:color="auto"/>
        <w:bottom w:val="none" w:sz="0" w:space="0" w:color="auto"/>
        <w:right w:val="none" w:sz="0" w:space="0" w:color="auto"/>
      </w:divBdr>
      <w:divsChild>
        <w:div w:id="1392923200">
          <w:marLeft w:val="0"/>
          <w:marRight w:val="0"/>
          <w:marTop w:val="0"/>
          <w:marBottom w:val="150"/>
          <w:divBdr>
            <w:top w:val="none" w:sz="0" w:space="0" w:color="auto"/>
            <w:left w:val="none" w:sz="0" w:space="0" w:color="auto"/>
            <w:bottom w:val="none" w:sz="0" w:space="0" w:color="auto"/>
            <w:right w:val="none" w:sz="0" w:space="0" w:color="auto"/>
          </w:divBdr>
        </w:div>
      </w:divsChild>
    </w:div>
    <w:div w:id="57360422">
      <w:bodyDiv w:val="1"/>
      <w:marLeft w:val="0"/>
      <w:marRight w:val="0"/>
      <w:marTop w:val="0"/>
      <w:marBottom w:val="0"/>
      <w:divBdr>
        <w:top w:val="none" w:sz="0" w:space="0" w:color="auto"/>
        <w:left w:val="none" w:sz="0" w:space="0" w:color="auto"/>
        <w:bottom w:val="none" w:sz="0" w:space="0" w:color="auto"/>
        <w:right w:val="none" w:sz="0" w:space="0" w:color="auto"/>
      </w:divBdr>
      <w:divsChild>
        <w:div w:id="987634626">
          <w:marLeft w:val="0"/>
          <w:marRight w:val="0"/>
          <w:marTop w:val="0"/>
          <w:marBottom w:val="0"/>
          <w:divBdr>
            <w:top w:val="none" w:sz="0" w:space="0" w:color="auto"/>
            <w:left w:val="none" w:sz="0" w:space="0" w:color="auto"/>
            <w:bottom w:val="none" w:sz="0" w:space="0" w:color="auto"/>
            <w:right w:val="none" w:sz="0" w:space="0" w:color="auto"/>
          </w:divBdr>
          <w:divsChild>
            <w:div w:id="1808669172">
              <w:marLeft w:val="0"/>
              <w:marRight w:val="0"/>
              <w:marTop w:val="225"/>
              <w:marBottom w:val="225"/>
              <w:divBdr>
                <w:top w:val="none" w:sz="0" w:space="0" w:color="auto"/>
                <w:left w:val="none" w:sz="0" w:space="0" w:color="auto"/>
                <w:bottom w:val="none" w:sz="0" w:space="0" w:color="auto"/>
                <w:right w:val="none" w:sz="0" w:space="0" w:color="auto"/>
              </w:divBdr>
            </w:div>
          </w:divsChild>
        </w:div>
        <w:div w:id="1374425568">
          <w:marLeft w:val="0"/>
          <w:marRight w:val="0"/>
          <w:marTop w:val="0"/>
          <w:marBottom w:val="150"/>
          <w:divBdr>
            <w:top w:val="none" w:sz="0" w:space="0" w:color="auto"/>
            <w:left w:val="none" w:sz="0" w:space="0" w:color="auto"/>
            <w:bottom w:val="none" w:sz="0" w:space="0" w:color="auto"/>
            <w:right w:val="none" w:sz="0" w:space="0" w:color="auto"/>
          </w:divBdr>
          <w:divsChild>
            <w:div w:id="167528068">
              <w:marLeft w:val="0"/>
              <w:marRight w:val="0"/>
              <w:marTop w:val="0"/>
              <w:marBottom w:val="0"/>
              <w:divBdr>
                <w:top w:val="none" w:sz="0" w:space="0" w:color="auto"/>
                <w:left w:val="none" w:sz="0" w:space="0" w:color="auto"/>
                <w:bottom w:val="none" w:sz="0" w:space="0" w:color="auto"/>
                <w:right w:val="none" w:sz="0" w:space="0" w:color="auto"/>
              </w:divBdr>
              <w:divsChild>
                <w:div w:id="136651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898247">
          <w:marLeft w:val="0"/>
          <w:marRight w:val="0"/>
          <w:marTop w:val="0"/>
          <w:marBottom w:val="150"/>
          <w:divBdr>
            <w:top w:val="none" w:sz="0" w:space="0" w:color="auto"/>
            <w:left w:val="none" w:sz="0" w:space="0" w:color="auto"/>
            <w:bottom w:val="none" w:sz="0" w:space="0" w:color="auto"/>
            <w:right w:val="none" w:sz="0" w:space="0" w:color="auto"/>
          </w:divBdr>
        </w:div>
      </w:divsChild>
    </w:div>
    <w:div w:id="57360833">
      <w:bodyDiv w:val="1"/>
      <w:marLeft w:val="0"/>
      <w:marRight w:val="0"/>
      <w:marTop w:val="0"/>
      <w:marBottom w:val="0"/>
      <w:divBdr>
        <w:top w:val="none" w:sz="0" w:space="0" w:color="auto"/>
        <w:left w:val="none" w:sz="0" w:space="0" w:color="auto"/>
        <w:bottom w:val="none" w:sz="0" w:space="0" w:color="auto"/>
        <w:right w:val="none" w:sz="0" w:space="0" w:color="auto"/>
      </w:divBdr>
    </w:div>
    <w:div w:id="57364986">
      <w:bodyDiv w:val="1"/>
      <w:marLeft w:val="0"/>
      <w:marRight w:val="0"/>
      <w:marTop w:val="0"/>
      <w:marBottom w:val="0"/>
      <w:divBdr>
        <w:top w:val="none" w:sz="0" w:space="0" w:color="auto"/>
        <w:left w:val="none" w:sz="0" w:space="0" w:color="auto"/>
        <w:bottom w:val="none" w:sz="0" w:space="0" w:color="auto"/>
        <w:right w:val="none" w:sz="0" w:space="0" w:color="auto"/>
      </w:divBdr>
      <w:divsChild>
        <w:div w:id="1713504823">
          <w:marLeft w:val="0"/>
          <w:marRight w:val="0"/>
          <w:marTop w:val="0"/>
          <w:marBottom w:val="150"/>
          <w:divBdr>
            <w:top w:val="none" w:sz="0" w:space="0" w:color="auto"/>
            <w:left w:val="none" w:sz="0" w:space="0" w:color="auto"/>
            <w:bottom w:val="none" w:sz="0" w:space="0" w:color="auto"/>
            <w:right w:val="none" w:sz="0" w:space="0" w:color="auto"/>
          </w:divBdr>
        </w:div>
      </w:divsChild>
    </w:div>
    <w:div w:id="57632672">
      <w:bodyDiv w:val="1"/>
      <w:marLeft w:val="0"/>
      <w:marRight w:val="0"/>
      <w:marTop w:val="0"/>
      <w:marBottom w:val="0"/>
      <w:divBdr>
        <w:top w:val="none" w:sz="0" w:space="0" w:color="auto"/>
        <w:left w:val="none" w:sz="0" w:space="0" w:color="auto"/>
        <w:bottom w:val="none" w:sz="0" w:space="0" w:color="auto"/>
        <w:right w:val="none" w:sz="0" w:space="0" w:color="auto"/>
      </w:divBdr>
      <w:divsChild>
        <w:div w:id="828600128">
          <w:marLeft w:val="0"/>
          <w:marRight w:val="0"/>
          <w:marTop w:val="0"/>
          <w:marBottom w:val="0"/>
          <w:divBdr>
            <w:top w:val="none" w:sz="0" w:space="0" w:color="auto"/>
            <w:left w:val="none" w:sz="0" w:space="0" w:color="auto"/>
            <w:bottom w:val="none" w:sz="0" w:space="0" w:color="auto"/>
            <w:right w:val="none" w:sz="0" w:space="0" w:color="auto"/>
          </w:divBdr>
        </w:div>
      </w:divsChild>
    </w:div>
    <w:div w:id="58132724">
      <w:bodyDiv w:val="1"/>
      <w:marLeft w:val="0"/>
      <w:marRight w:val="0"/>
      <w:marTop w:val="0"/>
      <w:marBottom w:val="0"/>
      <w:divBdr>
        <w:top w:val="none" w:sz="0" w:space="0" w:color="auto"/>
        <w:left w:val="none" w:sz="0" w:space="0" w:color="auto"/>
        <w:bottom w:val="none" w:sz="0" w:space="0" w:color="auto"/>
        <w:right w:val="none" w:sz="0" w:space="0" w:color="auto"/>
      </w:divBdr>
    </w:div>
    <w:div w:id="58216029">
      <w:bodyDiv w:val="1"/>
      <w:marLeft w:val="0"/>
      <w:marRight w:val="0"/>
      <w:marTop w:val="0"/>
      <w:marBottom w:val="0"/>
      <w:divBdr>
        <w:top w:val="none" w:sz="0" w:space="0" w:color="auto"/>
        <w:left w:val="none" w:sz="0" w:space="0" w:color="auto"/>
        <w:bottom w:val="none" w:sz="0" w:space="0" w:color="auto"/>
        <w:right w:val="none" w:sz="0" w:space="0" w:color="auto"/>
      </w:divBdr>
      <w:divsChild>
        <w:div w:id="411003053">
          <w:marLeft w:val="0"/>
          <w:marRight w:val="0"/>
          <w:marTop w:val="0"/>
          <w:marBottom w:val="240"/>
          <w:divBdr>
            <w:top w:val="none" w:sz="0" w:space="0" w:color="auto"/>
            <w:left w:val="none" w:sz="0" w:space="0" w:color="auto"/>
            <w:bottom w:val="none" w:sz="0" w:space="0" w:color="auto"/>
            <w:right w:val="none" w:sz="0" w:space="0" w:color="auto"/>
          </w:divBdr>
        </w:div>
        <w:div w:id="604651490">
          <w:marLeft w:val="0"/>
          <w:marRight w:val="0"/>
          <w:marTop w:val="0"/>
          <w:marBottom w:val="240"/>
          <w:divBdr>
            <w:top w:val="none" w:sz="0" w:space="0" w:color="auto"/>
            <w:left w:val="none" w:sz="0" w:space="0" w:color="auto"/>
            <w:bottom w:val="none" w:sz="0" w:space="0" w:color="auto"/>
            <w:right w:val="none" w:sz="0" w:space="0" w:color="auto"/>
          </w:divBdr>
          <w:divsChild>
            <w:div w:id="1233125901">
              <w:marLeft w:val="0"/>
              <w:marRight w:val="0"/>
              <w:marTop w:val="0"/>
              <w:marBottom w:val="0"/>
              <w:divBdr>
                <w:top w:val="none" w:sz="0" w:space="0" w:color="auto"/>
                <w:left w:val="none" w:sz="0" w:space="0" w:color="auto"/>
                <w:bottom w:val="none" w:sz="0" w:space="0" w:color="auto"/>
                <w:right w:val="none" w:sz="0" w:space="0" w:color="auto"/>
              </w:divBdr>
              <w:divsChild>
                <w:div w:id="132902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612536">
          <w:marLeft w:val="0"/>
          <w:marRight w:val="0"/>
          <w:marTop w:val="0"/>
          <w:marBottom w:val="240"/>
          <w:divBdr>
            <w:top w:val="none" w:sz="0" w:space="0" w:color="auto"/>
            <w:left w:val="none" w:sz="0" w:space="0" w:color="auto"/>
            <w:bottom w:val="none" w:sz="0" w:space="0" w:color="auto"/>
            <w:right w:val="none" w:sz="0" w:space="0" w:color="auto"/>
          </w:divBdr>
        </w:div>
        <w:div w:id="1281306577">
          <w:marLeft w:val="0"/>
          <w:marRight w:val="0"/>
          <w:marTop w:val="0"/>
          <w:marBottom w:val="240"/>
          <w:divBdr>
            <w:top w:val="none" w:sz="0" w:space="0" w:color="auto"/>
            <w:left w:val="none" w:sz="0" w:space="0" w:color="auto"/>
            <w:bottom w:val="none" w:sz="0" w:space="0" w:color="auto"/>
            <w:right w:val="none" w:sz="0" w:space="0" w:color="auto"/>
          </w:divBdr>
        </w:div>
        <w:div w:id="1300961924">
          <w:marLeft w:val="0"/>
          <w:marRight w:val="0"/>
          <w:marTop w:val="0"/>
          <w:marBottom w:val="240"/>
          <w:divBdr>
            <w:top w:val="none" w:sz="0" w:space="0" w:color="auto"/>
            <w:left w:val="none" w:sz="0" w:space="0" w:color="auto"/>
            <w:bottom w:val="none" w:sz="0" w:space="0" w:color="auto"/>
            <w:right w:val="none" w:sz="0" w:space="0" w:color="auto"/>
          </w:divBdr>
        </w:div>
      </w:divsChild>
    </w:div>
    <w:div w:id="58597846">
      <w:bodyDiv w:val="1"/>
      <w:marLeft w:val="0"/>
      <w:marRight w:val="0"/>
      <w:marTop w:val="0"/>
      <w:marBottom w:val="0"/>
      <w:divBdr>
        <w:top w:val="none" w:sz="0" w:space="0" w:color="auto"/>
        <w:left w:val="none" w:sz="0" w:space="0" w:color="auto"/>
        <w:bottom w:val="none" w:sz="0" w:space="0" w:color="auto"/>
        <w:right w:val="none" w:sz="0" w:space="0" w:color="auto"/>
      </w:divBdr>
      <w:divsChild>
        <w:div w:id="1311246774">
          <w:marLeft w:val="0"/>
          <w:marRight w:val="0"/>
          <w:marTop w:val="0"/>
          <w:marBottom w:val="0"/>
          <w:divBdr>
            <w:top w:val="none" w:sz="0" w:space="0" w:color="auto"/>
            <w:left w:val="none" w:sz="0" w:space="0" w:color="auto"/>
            <w:bottom w:val="dotted" w:sz="6" w:space="4" w:color="DDDDDD"/>
            <w:right w:val="none" w:sz="0" w:space="0" w:color="auto"/>
          </w:divBdr>
          <w:divsChild>
            <w:div w:id="22978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0897">
      <w:bodyDiv w:val="1"/>
      <w:marLeft w:val="0"/>
      <w:marRight w:val="0"/>
      <w:marTop w:val="0"/>
      <w:marBottom w:val="0"/>
      <w:divBdr>
        <w:top w:val="none" w:sz="0" w:space="0" w:color="auto"/>
        <w:left w:val="none" w:sz="0" w:space="0" w:color="auto"/>
        <w:bottom w:val="none" w:sz="0" w:space="0" w:color="auto"/>
        <w:right w:val="none" w:sz="0" w:space="0" w:color="auto"/>
      </w:divBdr>
    </w:div>
    <w:div w:id="58745390">
      <w:bodyDiv w:val="1"/>
      <w:marLeft w:val="0"/>
      <w:marRight w:val="0"/>
      <w:marTop w:val="0"/>
      <w:marBottom w:val="0"/>
      <w:divBdr>
        <w:top w:val="none" w:sz="0" w:space="0" w:color="auto"/>
        <w:left w:val="none" w:sz="0" w:space="0" w:color="auto"/>
        <w:bottom w:val="none" w:sz="0" w:space="0" w:color="auto"/>
        <w:right w:val="none" w:sz="0" w:space="0" w:color="auto"/>
      </w:divBdr>
      <w:divsChild>
        <w:div w:id="2110006661">
          <w:marLeft w:val="0"/>
          <w:marRight w:val="0"/>
          <w:marTop w:val="0"/>
          <w:marBottom w:val="0"/>
          <w:divBdr>
            <w:top w:val="none" w:sz="0" w:space="0" w:color="auto"/>
            <w:left w:val="none" w:sz="0" w:space="0" w:color="auto"/>
            <w:bottom w:val="none" w:sz="0" w:space="0" w:color="auto"/>
            <w:right w:val="none" w:sz="0" w:space="0" w:color="auto"/>
          </w:divBdr>
          <w:divsChild>
            <w:div w:id="12391743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8943180">
      <w:bodyDiv w:val="1"/>
      <w:marLeft w:val="0"/>
      <w:marRight w:val="0"/>
      <w:marTop w:val="0"/>
      <w:marBottom w:val="0"/>
      <w:divBdr>
        <w:top w:val="none" w:sz="0" w:space="0" w:color="auto"/>
        <w:left w:val="none" w:sz="0" w:space="0" w:color="auto"/>
        <w:bottom w:val="none" w:sz="0" w:space="0" w:color="auto"/>
        <w:right w:val="none" w:sz="0" w:space="0" w:color="auto"/>
      </w:divBdr>
      <w:divsChild>
        <w:div w:id="2099323529">
          <w:marLeft w:val="0"/>
          <w:marRight w:val="0"/>
          <w:marTop w:val="0"/>
          <w:marBottom w:val="0"/>
          <w:divBdr>
            <w:top w:val="none" w:sz="0" w:space="0" w:color="auto"/>
            <w:left w:val="none" w:sz="0" w:space="0" w:color="auto"/>
            <w:bottom w:val="dotted" w:sz="6" w:space="4" w:color="DDDDDD"/>
            <w:right w:val="none" w:sz="0" w:space="0" w:color="auto"/>
          </w:divBdr>
          <w:divsChild>
            <w:div w:id="119511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28839">
      <w:bodyDiv w:val="1"/>
      <w:marLeft w:val="0"/>
      <w:marRight w:val="0"/>
      <w:marTop w:val="0"/>
      <w:marBottom w:val="0"/>
      <w:divBdr>
        <w:top w:val="none" w:sz="0" w:space="0" w:color="auto"/>
        <w:left w:val="none" w:sz="0" w:space="0" w:color="auto"/>
        <w:bottom w:val="none" w:sz="0" w:space="0" w:color="auto"/>
        <w:right w:val="none" w:sz="0" w:space="0" w:color="auto"/>
      </w:divBdr>
      <w:divsChild>
        <w:div w:id="505750434">
          <w:marLeft w:val="0"/>
          <w:marRight w:val="0"/>
          <w:marTop w:val="0"/>
          <w:marBottom w:val="0"/>
          <w:divBdr>
            <w:top w:val="none" w:sz="0" w:space="0" w:color="auto"/>
            <w:left w:val="none" w:sz="0" w:space="0" w:color="auto"/>
            <w:bottom w:val="none" w:sz="0" w:space="0" w:color="auto"/>
            <w:right w:val="none" w:sz="0" w:space="0" w:color="auto"/>
          </w:divBdr>
          <w:divsChild>
            <w:div w:id="1558973388">
              <w:marLeft w:val="0"/>
              <w:marRight w:val="0"/>
              <w:marTop w:val="0"/>
              <w:marBottom w:val="0"/>
              <w:divBdr>
                <w:top w:val="none" w:sz="0" w:space="0" w:color="auto"/>
                <w:left w:val="none" w:sz="0" w:space="0" w:color="auto"/>
                <w:bottom w:val="none" w:sz="0" w:space="0" w:color="auto"/>
                <w:right w:val="none" w:sz="0" w:space="0" w:color="auto"/>
              </w:divBdr>
              <w:divsChild>
                <w:div w:id="1021979373">
                  <w:marLeft w:val="0"/>
                  <w:marRight w:val="0"/>
                  <w:marTop w:val="0"/>
                  <w:marBottom w:val="0"/>
                  <w:divBdr>
                    <w:top w:val="none" w:sz="0" w:space="0" w:color="auto"/>
                    <w:left w:val="none" w:sz="0" w:space="0" w:color="auto"/>
                    <w:bottom w:val="none" w:sz="0" w:space="0" w:color="auto"/>
                    <w:right w:val="none" w:sz="0" w:space="0" w:color="auto"/>
                  </w:divBdr>
                  <w:divsChild>
                    <w:div w:id="137765562">
                      <w:marLeft w:val="0"/>
                      <w:marRight w:val="0"/>
                      <w:marTop w:val="0"/>
                      <w:marBottom w:val="0"/>
                      <w:divBdr>
                        <w:top w:val="none" w:sz="0" w:space="0" w:color="auto"/>
                        <w:left w:val="none" w:sz="0" w:space="0" w:color="auto"/>
                        <w:bottom w:val="none" w:sz="0" w:space="0" w:color="auto"/>
                        <w:right w:val="none" w:sz="0" w:space="0" w:color="auto"/>
                      </w:divBdr>
                      <w:divsChild>
                        <w:div w:id="967666222">
                          <w:marLeft w:val="0"/>
                          <w:marRight w:val="0"/>
                          <w:marTop w:val="0"/>
                          <w:marBottom w:val="0"/>
                          <w:divBdr>
                            <w:top w:val="none" w:sz="0" w:space="0" w:color="auto"/>
                            <w:left w:val="none" w:sz="0" w:space="0" w:color="auto"/>
                            <w:bottom w:val="none" w:sz="0" w:space="0" w:color="auto"/>
                            <w:right w:val="none" w:sz="0" w:space="0" w:color="auto"/>
                          </w:divBdr>
                          <w:divsChild>
                            <w:div w:id="625353935">
                              <w:marLeft w:val="0"/>
                              <w:marRight w:val="0"/>
                              <w:marTop w:val="0"/>
                              <w:marBottom w:val="0"/>
                              <w:divBdr>
                                <w:top w:val="none" w:sz="0" w:space="0" w:color="auto"/>
                                <w:left w:val="none" w:sz="0" w:space="0" w:color="auto"/>
                                <w:bottom w:val="none" w:sz="0" w:space="0" w:color="auto"/>
                                <w:right w:val="none" w:sz="0" w:space="0" w:color="auto"/>
                              </w:divBdr>
                              <w:divsChild>
                                <w:div w:id="63379692">
                                  <w:marLeft w:val="0"/>
                                  <w:marRight w:val="0"/>
                                  <w:marTop w:val="0"/>
                                  <w:marBottom w:val="0"/>
                                  <w:divBdr>
                                    <w:top w:val="none" w:sz="0" w:space="0" w:color="auto"/>
                                    <w:left w:val="none" w:sz="0" w:space="0" w:color="auto"/>
                                    <w:bottom w:val="none" w:sz="0" w:space="0" w:color="auto"/>
                                    <w:right w:val="none" w:sz="0" w:space="0" w:color="auto"/>
                                  </w:divBdr>
                                  <w:divsChild>
                                    <w:div w:id="1361512782">
                                      <w:marLeft w:val="0"/>
                                      <w:marRight w:val="0"/>
                                      <w:marTop w:val="0"/>
                                      <w:marBottom w:val="0"/>
                                      <w:divBdr>
                                        <w:top w:val="none" w:sz="0" w:space="0" w:color="auto"/>
                                        <w:left w:val="none" w:sz="0" w:space="0" w:color="auto"/>
                                        <w:bottom w:val="none" w:sz="0" w:space="0" w:color="auto"/>
                                        <w:right w:val="none" w:sz="0" w:space="0" w:color="auto"/>
                                      </w:divBdr>
                                      <w:divsChild>
                                        <w:div w:id="7420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178278">
      <w:bodyDiv w:val="1"/>
      <w:marLeft w:val="0"/>
      <w:marRight w:val="0"/>
      <w:marTop w:val="0"/>
      <w:marBottom w:val="0"/>
      <w:divBdr>
        <w:top w:val="none" w:sz="0" w:space="0" w:color="auto"/>
        <w:left w:val="none" w:sz="0" w:space="0" w:color="auto"/>
        <w:bottom w:val="none" w:sz="0" w:space="0" w:color="auto"/>
        <w:right w:val="none" w:sz="0" w:space="0" w:color="auto"/>
      </w:divBdr>
      <w:divsChild>
        <w:div w:id="840124314">
          <w:marLeft w:val="0"/>
          <w:marRight w:val="0"/>
          <w:marTop w:val="0"/>
          <w:marBottom w:val="225"/>
          <w:divBdr>
            <w:top w:val="none" w:sz="0" w:space="0" w:color="auto"/>
            <w:left w:val="none" w:sz="0" w:space="0" w:color="auto"/>
            <w:bottom w:val="none" w:sz="0" w:space="0" w:color="auto"/>
            <w:right w:val="none" w:sz="0" w:space="0" w:color="auto"/>
          </w:divBdr>
        </w:div>
        <w:div w:id="1247349165">
          <w:marLeft w:val="0"/>
          <w:marRight w:val="0"/>
          <w:marTop w:val="0"/>
          <w:marBottom w:val="0"/>
          <w:divBdr>
            <w:top w:val="none" w:sz="0" w:space="0" w:color="auto"/>
            <w:left w:val="none" w:sz="0" w:space="0" w:color="auto"/>
            <w:bottom w:val="none" w:sz="0" w:space="0" w:color="auto"/>
            <w:right w:val="none" w:sz="0" w:space="0" w:color="auto"/>
          </w:divBdr>
          <w:divsChild>
            <w:div w:id="919755381">
              <w:marLeft w:val="0"/>
              <w:marRight w:val="0"/>
              <w:marTop w:val="0"/>
              <w:marBottom w:val="300"/>
              <w:divBdr>
                <w:top w:val="none" w:sz="0" w:space="0" w:color="auto"/>
                <w:left w:val="none" w:sz="0" w:space="0" w:color="auto"/>
                <w:bottom w:val="none" w:sz="0" w:space="0" w:color="auto"/>
                <w:right w:val="none" w:sz="0" w:space="0" w:color="auto"/>
              </w:divBdr>
            </w:div>
          </w:divsChild>
        </w:div>
        <w:div w:id="1580359003">
          <w:marLeft w:val="0"/>
          <w:marRight w:val="0"/>
          <w:marTop w:val="0"/>
          <w:marBottom w:val="0"/>
          <w:divBdr>
            <w:top w:val="none" w:sz="0" w:space="0" w:color="auto"/>
            <w:left w:val="none" w:sz="0" w:space="0" w:color="auto"/>
            <w:bottom w:val="none" w:sz="0" w:space="0" w:color="auto"/>
            <w:right w:val="none" w:sz="0" w:space="0" w:color="auto"/>
          </w:divBdr>
          <w:divsChild>
            <w:div w:id="672295736">
              <w:marLeft w:val="0"/>
              <w:marRight w:val="0"/>
              <w:marTop w:val="0"/>
              <w:marBottom w:val="0"/>
              <w:divBdr>
                <w:top w:val="none" w:sz="0" w:space="0" w:color="auto"/>
                <w:left w:val="none" w:sz="0" w:space="0" w:color="auto"/>
                <w:bottom w:val="none" w:sz="0" w:space="0" w:color="auto"/>
                <w:right w:val="none" w:sz="0" w:space="0" w:color="auto"/>
              </w:divBdr>
              <w:divsChild>
                <w:div w:id="214253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782">
      <w:bodyDiv w:val="1"/>
      <w:marLeft w:val="0"/>
      <w:marRight w:val="0"/>
      <w:marTop w:val="0"/>
      <w:marBottom w:val="0"/>
      <w:divBdr>
        <w:top w:val="none" w:sz="0" w:space="0" w:color="auto"/>
        <w:left w:val="none" w:sz="0" w:space="0" w:color="auto"/>
        <w:bottom w:val="none" w:sz="0" w:space="0" w:color="auto"/>
        <w:right w:val="none" w:sz="0" w:space="0" w:color="auto"/>
      </w:divBdr>
      <w:divsChild>
        <w:div w:id="1639337536">
          <w:marLeft w:val="0"/>
          <w:marRight w:val="0"/>
          <w:marTop w:val="0"/>
          <w:marBottom w:val="0"/>
          <w:divBdr>
            <w:top w:val="none" w:sz="0" w:space="0" w:color="auto"/>
            <w:left w:val="none" w:sz="0" w:space="0" w:color="auto"/>
            <w:bottom w:val="none" w:sz="0" w:space="0" w:color="auto"/>
            <w:right w:val="none" w:sz="0" w:space="0" w:color="auto"/>
          </w:divBdr>
        </w:div>
      </w:divsChild>
    </w:div>
    <w:div w:id="60711779">
      <w:bodyDiv w:val="1"/>
      <w:marLeft w:val="0"/>
      <w:marRight w:val="0"/>
      <w:marTop w:val="0"/>
      <w:marBottom w:val="0"/>
      <w:divBdr>
        <w:top w:val="none" w:sz="0" w:space="0" w:color="auto"/>
        <w:left w:val="none" w:sz="0" w:space="0" w:color="auto"/>
        <w:bottom w:val="none" w:sz="0" w:space="0" w:color="auto"/>
        <w:right w:val="none" w:sz="0" w:space="0" w:color="auto"/>
      </w:divBdr>
      <w:divsChild>
        <w:div w:id="354965450">
          <w:marLeft w:val="0"/>
          <w:marRight w:val="0"/>
          <w:marTop w:val="0"/>
          <w:marBottom w:val="0"/>
          <w:divBdr>
            <w:top w:val="none" w:sz="0" w:space="0" w:color="auto"/>
            <w:left w:val="none" w:sz="0" w:space="0" w:color="auto"/>
            <w:bottom w:val="none" w:sz="0" w:space="0" w:color="auto"/>
            <w:right w:val="none" w:sz="0" w:space="0" w:color="auto"/>
          </w:divBdr>
          <w:divsChild>
            <w:div w:id="1341665380">
              <w:marLeft w:val="0"/>
              <w:marRight w:val="0"/>
              <w:marTop w:val="0"/>
              <w:marBottom w:val="0"/>
              <w:divBdr>
                <w:top w:val="none" w:sz="0" w:space="0" w:color="auto"/>
                <w:left w:val="none" w:sz="0" w:space="0" w:color="auto"/>
                <w:bottom w:val="none" w:sz="0" w:space="0" w:color="auto"/>
                <w:right w:val="none" w:sz="0" w:space="0" w:color="auto"/>
              </w:divBdr>
              <w:divsChild>
                <w:div w:id="272176712">
                  <w:marLeft w:val="0"/>
                  <w:marRight w:val="0"/>
                  <w:marTop w:val="0"/>
                  <w:marBottom w:val="0"/>
                  <w:divBdr>
                    <w:top w:val="none" w:sz="0" w:space="0" w:color="auto"/>
                    <w:left w:val="none" w:sz="0" w:space="0" w:color="auto"/>
                    <w:bottom w:val="none" w:sz="0" w:space="0" w:color="auto"/>
                    <w:right w:val="none" w:sz="0" w:space="0" w:color="auto"/>
                  </w:divBdr>
                  <w:divsChild>
                    <w:div w:id="1600214229">
                      <w:marLeft w:val="0"/>
                      <w:marRight w:val="0"/>
                      <w:marTop w:val="0"/>
                      <w:marBottom w:val="0"/>
                      <w:divBdr>
                        <w:top w:val="none" w:sz="0" w:space="0" w:color="auto"/>
                        <w:left w:val="none" w:sz="0" w:space="0" w:color="auto"/>
                        <w:bottom w:val="none" w:sz="0" w:space="0" w:color="auto"/>
                        <w:right w:val="none" w:sz="0" w:space="0" w:color="auto"/>
                      </w:divBdr>
                      <w:divsChild>
                        <w:div w:id="2018457042">
                          <w:marLeft w:val="0"/>
                          <w:marRight w:val="0"/>
                          <w:marTop w:val="0"/>
                          <w:marBottom w:val="0"/>
                          <w:divBdr>
                            <w:top w:val="none" w:sz="0" w:space="0" w:color="auto"/>
                            <w:left w:val="none" w:sz="0" w:space="0" w:color="auto"/>
                            <w:bottom w:val="none" w:sz="0" w:space="0" w:color="auto"/>
                            <w:right w:val="none" w:sz="0" w:space="0" w:color="auto"/>
                          </w:divBdr>
                          <w:divsChild>
                            <w:div w:id="957492534">
                              <w:marLeft w:val="0"/>
                              <w:marRight w:val="0"/>
                              <w:marTop w:val="0"/>
                              <w:marBottom w:val="0"/>
                              <w:divBdr>
                                <w:top w:val="none" w:sz="0" w:space="0" w:color="auto"/>
                                <w:left w:val="none" w:sz="0" w:space="0" w:color="auto"/>
                                <w:bottom w:val="none" w:sz="0" w:space="0" w:color="auto"/>
                                <w:right w:val="none" w:sz="0" w:space="0" w:color="auto"/>
                              </w:divBdr>
                              <w:divsChild>
                                <w:div w:id="262496728">
                                  <w:marLeft w:val="0"/>
                                  <w:marRight w:val="0"/>
                                  <w:marTop w:val="0"/>
                                  <w:marBottom w:val="0"/>
                                  <w:divBdr>
                                    <w:top w:val="none" w:sz="0" w:space="0" w:color="auto"/>
                                    <w:left w:val="none" w:sz="0" w:space="0" w:color="auto"/>
                                    <w:bottom w:val="none" w:sz="0" w:space="0" w:color="auto"/>
                                    <w:right w:val="none" w:sz="0" w:space="0" w:color="auto"/>
                                  </w:divBdr>
                                  <w:divsChild>
                                    <w:div w:id="1641374767">
                                      <w:marLeft w:val="0"/>
                                      <w:marRight w:val="0"/>
                                      <w:marTop w:val="0"/>
                                      <w:marBottom w:val="0"/>
                                      <w:divBdr>
                                        <w:top w:val="none" w:sz="0" w:space="0" w:color="auto"/>
                                        <w:left w:val="none" w:sz="0" w:space="0" w:color="auto"/>
                                        <w:bottom w:val="none" w:sz="0" w:space="0" w:color="auto"/>
                                        <w:right w:val="none" w:sz="0" w:space="0" w:color="auto"/>
                                      </w:divBdr>
                                      <w:divsChild>
                                        <w:div w:id="139646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949455">
      <w:bodyDiv w:val="1"/>
      <w:marLeft w:val="0"/>
      <w:marRight w:val="0"/>
      <w:marTop w:val="0"/>
      <w:marBottom w:val="0"/>
      <w:divBdr>
        <w:top w:val="none" w:sz="0" w:space="0" w:color="auto"/>
        <w:left w:val="none" w:sz="0" w:space="0" w:color="auto"/>
        <w:bottom w:val="none" w:sz="0" w:space="0" w:color="auto"/>
        <w:right w:val="none" w:sz="0" w:space="0" w:color="auto"/>
      </w:divBdr>
      <w:divsChild>
        <w:div w:id="1427579086">
          <w:marLeft w:val="0"/>
          <w:marRight w:val="0"/>
          <w:marTop w:val="0"/>
          <w:marBottom w:val="150"/>
          <w:divBdr>
            <w:top w:val="none" w:sz="0" w:space="0" w:color="auto"/>
            <w:left w:val="none" w:sz="0" w:space="0" w:color="auto"/>
            <w:bottom w:val="none" w:sz="0" w:space="0" w:color="auto"/>
            <w:right w:val="none" w:sz="0" w:space="0" w:color="auto"/>
          </w:divBdr>
          <w:divsChild>
            <w:div w:id="892347744">
              <w:marLeft w:val="0"/>
              <w:marRight w:val="0"/>
              <w:marTop w:val="0"/>
              <w:marBottom w:val="0"/>
              <w:divBdr>
                <w:top w:val="none" w:sz="0" w:space="0" w:color="auto"/>
                <w:left w:val="none" w:sz="0" w:space="0" w:color="auto"/>
                <w:bottom w:val="none" w:sz="0" w:space="0" w:color="auto"/>
                <w:right w:val="none" w:sz="0" w:space="0" w:color="auto"/>
              </w:divBdr>
              <w:divsChild>
                <w:div w:id="46323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422676">
          <w:marLeft w:val="0"/>
          <w:marRight w:val="0"/>
          <w:marTop w:val="0"/>
          <w:marBottom w:val="150"/>
          <w:divBdr>
            <w:top w:val="none" w:sz="0" w:space="0" w:color="auto"/>
            <w:left w:val="none" w:sz="0" w:space="0" w:color="auto"/>
            <w:bottom w:val="none" w:sz="0" w:space="0" w:color="auto"/>
            <w:right w:val="none" w:sz="0" w:space="0" w:color="auto"/>
          </w:divBdr>
        </w:div>
        <w:div w:id="1016544273">
          <w:marLeft w:val="0"/>
          <w:marRight w:val="0"/>
          <w:marTop w:val="0"/>
          <w:marBottom w:val="0"/>
          <w:divBdr>
            <w:top w:val="none" w:sz="0" w:space="0" w:color="auto"/>
            <w:left w:val="none" w:sz="0" w:space="0" w:color="auto"/>
            <w:bottom w:val="none" w:sz="0" w:space="0" w:color="auto"/>
            <w:right w:val="none" w:sz="0" w:space="0" w:color="auto"/>
          </w:divBdr>
          <w:divsChild>
            <w:div w:id="71685189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1488911">
      <w:bodyDiv w:val="1"/>
      <w:marLeft w:val="0"/>
      <w:marRight w:val="0"/>
      <w:marTop w:val="0"/>
      <w:marBottom w:val="0"/>
      <w:divBdr>
        <w:top w:val="none" w:sz="0" w:space="0" w:color="auto"/>
        <w:left w:val="none" w:sz="0" w:space="0" w:color="auto"/>
        <w:bottom w:val="none" w:sz="0" w:space="0" w:color="auto"/>
        <w:right w:val="none" w:sz="0" w:space="0" w:color="auto"/>
      </w:divBdr>
      <w:divsChild>
        <w:div w:id="693770725">
          <w:marLeft w:val="0"/>
          <w:marRight w:val="0"/>
          <w:marTop w:val="0"/>
          <w:marBottom w:val="0"/>
          <w:divBdr>
            <w:top w:val="none" w:sz="0" w:space="0" w:color="auto"/>
            <w:left w:val="none" w:sz="0" w:space="0" w:color="auto"/>
            <w:bottom w:val="none" w:sz="0" w:space="0" w:color="auto"/>
            <w:right w:val="none" w:sz="0" w:space="0" w:color="auto"/>
          </w:divBdr>
          <w:divsChild>
            <w:div w:id="712340344">
              <w:marLeft w:val="0"/>
              <w:marRight w:val="0"/>
              <w:marTop w:val="0"/>
              <w:marBottom w:val="150"/>
              <w:divBdr>
                <w:top w:val="none" w:sz="0" w:space="0" w:color="auto"/>
                <w:left w:val="none" w:sz="0" w:space="0" w:color="auto"/>
                <w:bottom w:val="none" w:sz="0" w:space="0" w:color="auto"/>
                <w:right w:val="none" w:sz="0" w:space="0" w:color="auto"/>
              </w:divBdr>
            </w:div>
            <w:div w:id="213694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80947">
      <w:bodyDiv w:val="1"/>
      <w:marLeft w:val="0"/>
      <w:marRight w:val="0"/>
      <w:marTop w:val="0"/>
      <w:marBottom w:val="0"/>
      <w:divBdr>
        <w:top w:val="none" w:sz="0" w:space="0" w:color="auto"/>
        <w:left w:val="none" w:sz="0" w:space="0" w:color="auto"/>
        <w:bottom w:val="none" w:sz="0" w:space="0" w:color="auto"/>
        <w:right w:val="none" w:sz="0" w:space="0" w:color="auto"/>
      </w:divBdr>
      <w:divsChild>
        <w:div w:id="1909680843">
          <w:marLeft w:val="0"/>
          <w:marRight w:val="0"/>
          <w:marTop w:val="0"/>
          <w:marBottom w:val="0"/>
          <w:divBdr>
            <w:top w:val="none" w:sz="0" w:space="0" w:color="auto"/>
            <w:left w:val="none" w:sz="0" w:space="0" w:color="auto"/>
            <w:bottom w:val="dotted" w:sz="6" w:space="4" w:color="DDDDDD"/>
            <w:right w:val="none" w:sz="0" w:space="0" w:color="auto"/>
          </w:divBdr>
        </w:div>
      </w:divsChild>
    </w:div>
    <w:div w:id="62140454">
      <w:bodyDiv w:val="1"/>
      <w:marLeft w:val="0"/>
      <w:marRight w:val="0"/>
      <w:marTop w:val="0"/>
      <w:marBottom w:val="0"/>
      <w:divBdr>
        <w:top w:val="none" w:sz="0" w:space="0" w:color="auto"/>
        <w:left w:val="none" w:sz="0" w:space="0" w:color="auto"/>
        <w:bottom w:val="none" w:sz="0" w:space="0" w:color="auto"/>
        <w:right w:val="none" w:sz="0" w:space="0" w:color="auto"/>
      </w:divBdr>
      <w:divsChild>
        <w:div w:id="1981879257">
          <w:marLeft w:val="0"/>
          <w:marRight w:val="0"/>
          <w:marTop w:val="0"/>
          <w:marBottom w:val="0"/>
          <w:divBdr>
            <w:top w:val="none" w:sz="0" w:space="0" w:color="auto"/>
            <w:left w:val="none" w:sz="0" w:space="0" w:color="auto"/>
            <w:bottom w:val="none" w:sz="0" w:space="0" w:color="auto"/>
            <w:right w:val="none" w:sz="0" w:space="0" w:color="auto"/>
          </w:divBdr>
          <w:divsChild>
            <w:div w:id="935789047">
              <w:marLeft w:val="0"/>
              <w:marRight w:val="0"/>
              <w:marTop w:val="0"/>
              <w:marBottom w:val="0"/>
              <w:divBdr>
                <w:top w:val="none" w:sz="0" w:space="0" w:color="auto"/>
                <w:left w:val="none" w:sz="0" w:space="0" w:color="auto"/>
                <w:bottom w:val="none" w:sz="0" w:space="0" w:color="auto"/>
                <w:right w:val="none" w:sz="0" w:space="0" w:color="auto"/>
              </w:divBdr>
              <w:divsChild>
                <w:div w:id="1902868630">
                  <w:marLeft w:val="0"/>
                  <w:marRight w:val="0"/>
                  <w:marTop w:val="0"/>
                  <w:marBottom w:val="0"/>
                  <w:divBdr>
                    <w:top w:val="none" w:sz="0" w:space="0" w:color="auto"/>
                    <w:left w:val="none" w:sz="0" w:space="0" w:color="auto"/>
                    <w:bottom w:val="none" w:sz="0" w:space="0" w:color="auto"/>
                    <w:right w:val="none" w:sz="0" w:space="0" w:color="auto"/>
                  </w:divBdr>
                  <w:divsChild>
                    <w:div w:id="2096434683">
                      <w:marLeft w:val="0"/>
                      <w:marRight w:val="0"/>
                      <w:marTop w:val="0"/>
                      <w:marBottom w:val="0"/>
                      <w:divBdr>
                        <w:top w:val="none" w:sz="0" w:space="0" w:color="auto"/>
                        <w:left w:val="none" w:sz="0" w:space="0" w:color="auto"/>
                        <w:bottom w:val="none" w:sz="0" w:space="0" w:color="auto"/>
                        <w:right w:val="none" w:sz="0" w:space="0" w:color="auto"/>
                      </w:divBdr>
                      <w:divsChild>
                        <w:div w:id="832839552">
                          <w:marLeft w:val="0"/>
                          <w:marRight w:val="0"/>
                          <w:marTop w:val="0"/>
                          <w:marBottom w:val="0"/>
                          <w:divBdr>
                            <w:top w:val="none" w:sz="0" w:space="0" w:color="auto"/>
                            <w:left w:val="none" w:sz="0" w:space="0" w:color="auto"/>
                            <w:bottom w:val="none" w:sz="0" w:space="0" w:color="auto"/>
                            <w:right w:val="none" w:sz="0" w:space="0" w:color="auto"/>
                          </w:divBdr>
                          <w:divsChild>
                            <w:div w:id="136723355">
                              <w:marLeft w:val="0"/>
                              <w:marRight w:val="0"/>
                              <w:marTop w:val="0"/>
                              <w:marBottom w:val="0"/>
                              <w:divBdr>
                                <w:top w:val="none" w:sz="0" w:space="0" w:color="auto"/>
                                <w:left w:val="none" w:sz="0" w:space="0" w:color="auto"/>
                                <w:bottom w:val="none" w:sz="0" w:space="0" w:color="auto"/>
                                <w:right w:val="none" w:sz="0" w:space="0" w:color="auto"/>
                              </w:divBdr>
                              <w:divsChild>
                                <w:div w:id="1437866036">
                                  <w:marLeft w:val="0"/>
                                  <w:marRight w:val="0"/>
                                  <w:marTop w:val="0"/>
                                  <w:marBottom w:val="0"/>
                                  <w:divBdr>
                                    <w:top w:val="none" w:sz="0" w:space="0" w:color="auto"/>
                                    <w:left w:val="none" w:sz="0" w:space="0" w:color="auto"/>
                                    <w:bottom w:val="none" w:sz="0" w:space="0" w:color="auto"/>
                                    <w:right w:val="none" w:sz="0" w:space="0" w:color="auto"/>
                                  </w:divBdr>
                                  <w:divsChild>
                                    <w:div w:id="203430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85233">
      <w:bodyDiv w:val="1"/>
      <w:marLeft w:val="0"/>
      <w:marRight w:val="0"/>
      <w:marTop w:val="0"/>
      <w:marBottom w:val="0"/>
      <w:divBdr>
        <w:top w:val="none" w:sz="0" w:space="0" w:color="auto"/>
        <w:left w:val="none" w:sz="0" w:space="0" w:color="auto"/>
        <w:bottom w:val="none" w:sz="0" w:space="0" w:color="auto"/>
        <w:right w:val="none" w:sz="0" w:space="0" w:color="auto"/>
      </w:divBdr>
    </w:div>
    <w:div w:id="62604072">
      <w:bodyDiv w:val="1"/>
      <w:marLeft w:val="0"/>
      <w:marRight w:val="0"/>
      <w:marTop w:val="0"/>
      <w:marBottom w:val="0"/>
      <w:divBdr>
        <w:top w:val="none" w:sz="0" w:space="0" w:color="auto"/>
        <w:left w:val="none" w:sz="0" w:space="0" w:color="auto"/>
        <w:bottom w:val="none" w:sz="0" w:space="0" w:color="auto"/>
        <w:right w:val="none" w:sz="0" w:space="0" w:color="auto"/>
      </w:divBdr>
      <w:divsChild>
        <w:div w:id="294526487">
          <w:marLeft w:val="0"/>
          <w:marRight w:val="0"/>
          <w:marTop w:val="0"/>
          <w:marBottom w:val="150"/>
          <w:divBdr>
            <w:top w:val="none" w:sz="0" w:space="0" w:color="auto"/>
            <w:left w:val="none" w:sz="0" w:space="0" w:color="auto"/>
            <w:bottom w:val="none" w:sz="0" w:space="0" w:color="auto"/>
            <w:right w:val="none" w:sz="0" w:space="0" w:color="auto"/>
          </w:divBdr>
          <w:divsChild>
            <w:div w:id="413741684">
              <w:marLeft w:val="0"/>
              <w:marRight w:val="0"/>
              <w:marTop w:val="0"/>
              <w:marBottom w:val="0"/>
              <w:divBdr>
                <w:top w:val="none" w:sz="0" w:space="0" w:color="auto"/>
                <w:left w:val="none" w:sz="0" w:space="0" w:color="auto"/>
                <w:bottom w:val="none" w:sz="0" w:space="0" w:color="auto"/>
                <w:right w:val="none" w:sz="0" w:space="0" w:color="auto"/>
              </w:divBdr>
            </w:div>
          </w:divsChild>
        </w:div>
        <w:div w:id="627929359">
          <w:marLeft w:val="0"/>
          <w:marRight w:val="0"/>
          <w:marTop w:val="0"/>
          <w:marBottom w:val="0"/>
          <w:divBdr>
            <w:top w:val="none" w:sz="0" w:space="0" w:color="auto"/>
            <w:left w:val="none" w:sz="0" w:space="0" w:color="auto"/>
            <w:bottom w:val="none" w:sz="0" w:space="0" w:color="auto"/>
            <w:right w:val="none" w:sz="0" w:space="0" w:color="auto"/>
          </w:divBdr>
          <w:divsChild>
            <w:div w:id="1552186384">
              <w:marLeft w:val="0"/>
              <w:marRight w:val="0"/>
              <w:marTop w:val="0"/>
              <w:marBottom w:val="0"/>
              <w:divBdr>
                <w:top w:val="none" w:sz="0" w:space="0" w:color="auto"/>
                <w:left w:val="none" w:sz="0" w:space="0" w:color="auto"/>
                <w:bottom w:val="none" w:sz="0" w:space="0" w:color="auto"/>
                <w:right w:val="none" w:sz="0" w:space="0" w:color="auto"/>
              </w:divBdr>
            </w:div>
          </w:divsChild>
        </w:div>
        <w:div w:id="1534414750">
          <w:marLeft w:val="0"/>
          <w:marRight w:val="0"/>
          <w:marTop w:val="0"/>
          <w:marBottom w:val="150"/>
          <w:divBdr>
            <w:top w:val="none" w:sz="0" w:space="0" w:color="auto"/>
            <w:left w:val="none" w:sz="0" w:space="0" w:color="auto"/>
            <w:bottom w:val="none" w:sz="0" w:space="0" w:color="auto"/>
            <w:right w:val="none" w:sz="0" w:space="0" w:color="auto"/>
          </w:divBdr>
        </w:div>
      </w:divsChild>
    </w:div>
    <w:div w:id="62920887">
      <w:bodyDiv w:val="1"/>
      <w:marLeft w:val="0"/>
      <w:marRight w:val="0"/>
      <w:marTop w:val="0"/>
      <w:marBottom w:val="0"/>
      <w:divBdr>
        <w:top w:val="none" w:sz="0" w:space="0" w:color="auto"/>
        <w:left w:val="none" w:sz="0" w:space="0" w:color="auto"/>
        <w:bottom w:val="none" w:sz="0" w:space="0" w:color="auto"/>
        <w:right w:val="none" w:sz="0" w:space="0" w:color="auto"/>
      </w:divBdr>
    </w:div>
    <w:div w:id="63141218">
      <w:bodyDiv w:val="1"/>
      <w:marLeft w:val="0"/>
      <w:marRight w:val="0"/>
      <w:marTop w:val="0"/>
      <w:marBottom w:val="0"/>
      <w:divBdr>
        <w:top w:val="none" w:sz="0" w:space="0" w:color="auto"/>
        <w:left w:val="none" w:sz="0" w:space="0" w:color="auto"/>
        <w:bottom w:val="none" w:sz="0" w:space="0" w:color="auto"/>
        <w:right w:val="none" w:sz="0" w:space="0" w:color="auto"/>
      </w:divBdr>
      <w:divsChild>
        <w:div w:id="1931506039">
          <w:marLeft w:val="0"/>
          <w:marRight w:val="0"/>
          <w:marTop w:val="0"/>
          <w:marBottom w:val="0"/>
          <w:divBdr>
            <w:top w:val="none" w:sz="0" w:space="0" w:color="auto"/>
            <w:left w:val="none" w:sz="0" w:space="0" w:color="auto"/>
            <w:bottom w:val="dotted" w:sz="6" w:space="4" w:color="DDDDDD"/>
            <w:right w:val="none" w:sz="0" w:space="0" w:color="auto"/>
          </w:divBdr>
        </w:div>
      </w:divsChild>
    </w:div>
    <w:div w:id="64190128">
      <w:bodyDiv w:val="1"/>
      <w:marLeft w:val="0"/>
      <w:marRight w:val="0"/>
      <w:marTop w:val="0"/>
      <w:marBottom w:val="0"/>
      <w:divBdr>
        <w:top w:val="none" w:sz="0" w:space="0" w:color="auto"/>
        <w:left w:val="none" w:sz="0" w:space="0" w:color="auto"/>
        <w:bottom w:val="none" w:sz="0" w:space="0" w:color="auto"/>
        <w:right w:val="none" w:sz="0" w:space="0" w:color="auto"/>
      </w:divBdr>
    </w:div>
    <w:div w:id="64650659">
      <w:bodyDiv w:val="1"/>
      <w:marLeft w:val="0"/>
      <w:marRight w:val="0"/>
      <w:marTop w:val="0"/>
      <w:marBottom w:val="0"/>
      <w:divBdr>
        <w:top w:val="none" w:sz="0" w:space="0" w:color="auto"/>
        <w:left w:val="none" w:sz="0" w:space="0" w:color="auto"/>
        <w:bottom w:val="none" w:sz="0" w:space="0" w:color="auto"/>
        <w:right w:val="none" w:sz="0" w:space="0" w:color="auto"/>
      </w:divBdr>
      <w:divsChild>
        <w:div w:id="1594170266">
          <w:marLeft w:val="0"/>
          <w:marRight w:val="0"/>
          <w:marTop w:val="0"/>
          <w:marBottom w:val="0"/>
          <w:divBdr>
            <w:top w:val="none" w:sz="0" w:space="0" w:color="auto"/>
            <w:left w:val="none" w:sz="0" w:space="0" w:color="auto"/>
            <w:bottom w:val="none" w:sz="0" w:space="0" w:color="auto"/>
            <w:right w:val="none" w:sz="0" w:space="0" w:color="auto"/>
          </w:divBdr>
        </w:div>
      </w:divsChild>
    </w:div>
    <w:div w:id="65148553">
      <w:bodyDiv w:val="1"/>
      <w:marLeft w:val="0"/>
      <w:marRight w:val="0"/>
      <w:marTop w:val="0"/>
      <w:marBottom w:val="0"/>
      <w:divBdr>
        <w:top w:val="none" w:sz="0" w:space="0" w:color="auto"/>
        <w:left w:val="none" w:sz="0" w:space="0" w:color="auto"/>
        <w:bottom w:val="none" w:sz="0" w:space="0" w:color="auto"/>
        <w:right w:val="none" w:sz="0" w:space="0" w:color="auto"/>
      </w:divBdr>
    </w:div>
    <w:div w:id="65763971">
      <w:bodyDiv w:val="1"/>
      <w:marLeft w:val="0"/>
      <w:marRight w:val="0"/>
      <w:marTop w:val="0"/>
      <w:marBottom w:val="0"/>
      <w:divBdr>
        <w:top w:val="none" w:sz="0" w:space="0" w:color="auto"/>
        <w:left w:val="none" w:sz="0" w:space="0" w:color="auto"/>
        <w:bottom w:val="none" w:sz="0" w:space="0" w:color="auto"/>
        <w:right w:val="none" w:sz="0" w:space="0" w:color="auto"/>
      </w:divBdr>
      <w:divsChild>
        <w:div w:id="1797988905">
          <w:marLeft w:val="0"/>
          <w:marRight w:val="0"/>
          <w:marTop w:val="0"/>
          <w:marBottom w:val="0"/>
          <w:divBdr>
            <w:top w:val="none" w:sz="0" w:space="0" w:color="auto"/>
            <w:left w:val="none" w:sz="0" w:space="0" w:color="auto"/>
            <w:bottom w:val="none" w:sz="0" w:space="0" w:color="auto"/>
            <w:right w:val="none" w:sz="0" w:space="0" w:color="auto"/>
          </w:divBdr>
          <w:divsChild>
            <w:div w:id="1342779882">
              <w:marLeft w:val="0"/>
              <w:marRight w:val="0"/>
              <w:marTop w:val="0"/>
              <w:marBottom w:val="0"/>
              <w:divBdr>
                <w:top w:val="none" w:sz="0" w:space="0" w:color="auto"/>
                <w:left w:val="none" w:sz="0" w:space="0" w:color="auto"/>
                <w:bottom w:val="none" w:sz="0" w:space="0" w:color="auto"/>
                <w:right w:val="none" w:sz="0" w:space="0" w:color="auto"/>
              </w:divBdr>
              <w:divsChild>
                <w:div w:id="831336754">
                  <w:marLeft w:val="0"/>
                  <w:marRight w:val="0"/>
                  <w:marTop w:val="0"/>
                  <w:marBottom w:val="0"/>
                  <w:divBdr>
                    <w:top w:val="none" w:sz="0" w:space="0" w:color="auto"/>
                    <w:left w:val="none" w:sz="0" w:space="0" w:color="auto"/>
                    <w:bottom w:val="none" w:sz="0" w:space="0" w:color="auto"/>
                    <w:right w:val="none" w:sz="0" w:space="0" w:color="auto"/>
                  </w:divBdr>
                  <w:divsChild>
                    <w:div w:id="185674699">
                      <w:marLeft w:val="0"/>
                      <w:marRight w:val="0"/>
                      <w:marTop w:val="0"/>
                      <w:marBottom w:val="0"/>
                      <w:divBdr>
                        <w:top w:val="none" w:sz="0" w:space="0" w:color="auto"/>
                        <w:left w:val="none" w:sz="0" w:space="0" w:color="auto"/>
                        <w:bottom w:val="none" w:sz="0" w:space="0" w:color="auto"/>
                        <w:right w:val="none" w:sz="0" w:space="0" w:color="auto"/>
                      </w:divBdr>
                      <w:divsChild>
                        <w:div w:id="873344594">
                          <w:marLeft w:val="0"/>
                          <w:marRight w:val="0"/>
                          <w:marTop w:val="0"/>
                          <w:marBottom w:val="0"/>
                          <w:divBdr>
                            <w:top w:val="none" w:sz="0" w:space="0" w:color="auto"/>
                            <w:left w:val="none" w:sz="0" w:space="0" w:color="auto"/>
                            <w:bottom w:val="none" w:sz="0" w:space="0" w:color="auto"/>
                            <w:right w:val="none" w:sz="0" w:space="0" w:color="auto"/>
                          </w:divBdr>
                          <w:divsChild>
                            <w:div w:id="1633557634">
                              <w:marLeft w:val="0"/>
                              <w:marRight w:val="0"/>
                              <w:marTop w:val="0"/>
                              <w:marBottom w:val="0"/>
                              <w:divBdr>
                                <w:top w:val="none" w:sz="0" w:space="0" w:color="auto"/>
                                <w:left w:val="none" w:sz="0" w:space="0" w:color="auto"/>
                                <w:bottom w:val="none" w:sz="0" w:space="0" w:color="auto"/>
                                <w:right w:val="none" w:sz="0" w:space="0" w:color="auto"/>
                              </w:divBdr>
                              <w:divsChild>
                                <w:div w:id="938175998">
                                  <w:marLeft w:val="0"/>
                                  <w:marRight w:val="0"/>
                                  <w:marTop w:val="0"/>
                                  <w:marBottom w:val="0"/>
                                  <w:divBdr>
                                    <w:top w:val="none" w:sz="0" w:space="0" w:color="auto"/>
                                    <w:left w:val="none" w:sz="0" w:space="0" w:color="auto"/>
                                    <w:bottom w:val="none" w:sz="0" w:space="0" w:color="auto"/>
                                    <w:right w:val="none" w:sz="0" w:space="0" w:color="auto"/>
                                  </w:divBdr>
                                  <w:divsChild>
                                    <w:div w:id="138020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807259">
      <w:bodyDiv w:val="1"/>
      <w:marLeft w:val="0"/>
      <w:marRight w:val="0"/>
      <w:marTop w:val="0"/>
      <w:marBottom w:val="0"/>
      <w:divBdr>
        <w:top w:val="none" w:sz="0" w:space="0" w:color="auto"/>
        <w:left w:val="none" w:sz="0" w:space="0" w:color="auto"/>
        <w:bottom w:val="none" w:sz="0" w:space="0" w:color="auto"/>
        <w:right w:val="none" w:sz="0" w:space="0" w:color="auto"/>
      </w:divBdr>
      <w:divsChild>
        <w:div w:id="1055350143">
          <w:marLeft w:val="0"/>
          <w:marRight w:val="0"/>
          <w:marTop w:val="0"/>
          <w:marBottom w:val="225"/>
          <w:divBdr>
            <w:top w:val="none" w:sz="0" w:space="0" w:color="auto"/>
            <w:left w:val="none" w:sz="0" w:space="0" w:color="auto"/>
            <w:bottom w:val="none" w:sz="0" w:space="0" w:color="auto"/>
            <w:right w:val="none" w:sz="0" w:space="0" w:color="auto"/>
          </w:divBdr>
          <w:divsChild>
            <w:div w:id="1369186761">
              <w:marLeft w:val="0"/>
              <w:marRight w:val="0"/>
              <w:marTop w:val="0"/>
              <w:marBottom w:val="0"/>
              <w:divBdr>
                <w:top w:val="none" w:sz="0" w:space="0" w:color="auto"/>
                <w:left w:val="none" w:sz="0" w:space="0" w:color="auto"/>
                <w:bottom w:val="none" w:sz="0" w:space="0" w:color="auto"/>
                <w:right w:val="none" w:sz="0" w:space="0" w:color="auto"/>
              </w:divBdr>
              <w:divsChild>
                <w:div w:id="131263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347179">
          <w:marLeft w:val="0"/>
          <w:marRight w:val="0"/>
          <w:marTop w:val="0"/>
          <w:marBottom w:val="225"/>
          <w:divBdr>
            <w:top w:val="none" w:sz="0" w:space="0" w:color="auto"/>
            <w:left w:val="none" w:sz="0" w:space="0" w:color="auto"/>
            <w:bottom w:val="none" w:sz="0" w:space="0" w:color="auto"/>
            <w:right w:val="none" w:sz="0" w:space="0" w:color="auto"/>
          </w:divBdr>
        </w:div>
      </w:divsChild>
    </w:div>
    <w:div w:id="66155737">
      <w:bodyDiv w:val="1"/>
      <w:marLeft w:val="0"/>
      <w:marRight w:val="0"/>
      <w:marTop w:val="0"/>
      <w:marBottom w:val="0"/>
      <w:divBdr>
        <w:top w:val="none" w:sz="0" w:space="0" w:color="auto"/>
        <w:left w:val="none" w:sz="0" w:space="0" w:color="auto"/>
        <w:bottom w:val="none" w:sz="0" w:space="0" w:color="auto"/>
        <w:right w:val="none" w:sz="0" w:space="0" w:color="auto"/>
      </w:divBdr>
      <w:divsChild>
        <w:div w:id="933898041">
          <w:marLeft w:val="0"/>
          <w:marRight w:val="0"/>
          <w:marTop w:val="0"/>
          <w:marBottom w:val="450"/>
          <w:divBdr>
            <w:top w:val="none" w:sz="0" w:space="0" w:color="auto"/>
            <w:left w:val="none" w:sz="0" w:space="0" w:color="auto"/>
            <w:bottom w:val="single" w:sz="6" w:space="19" w:color="EEEEEE"/>
            <w:right w:val="none" w:sz="0" w:space="0" w:color="auto"/>
          </w:divBdr>
          <w:divsChild>
            <w:div w:id="2069182637">
              <w:marLeft w:val="0"/>
              <w:marRight w:val="0"/>
              <w:marTop w:val="0"/>
              <w:marBottom w:val="150"/>
              <w:divBdr>
                <w:top w:val="none" w:sz="0" w:space="0" w:color="auto"/>
                <w:left w:val="none" w:sz="0" w:space="0" w:color="auto"/>
                <w:bottom w:val="none" w:sz="0" w:space="0" w:color="auto"/>
                <w:right w:val="none" w:sz="0" w:space="0" w:color="auto"/>
              </w:divBdr>
              <w:divsChild>
                <w:div w:id="1104960285">
                  <w:marLeft w:val="0"/>
                  <w:marRight w:val="0"/>
                  <w:marTop w:val="0"/>
                  <w:marBottom w:val="0"/>
                  <w:divBdr>
                    <w:top w:val="none" w:sz="0" w:space="0" w:color="auto"/>
                    <w:left w:val="none" w:sz="0" w:space="0" w:color="auto"/>
                    <w:bottom w:val="none" w:sz="0" w:space="0" w:color="auto"/>
                    <w:right w:val="none" w:sz="0" w:space="0" w:color="auto"/>
                  </w:divBdr>
                </w:div>
              </w:divsChild>
            </w:div>
            <w:div w:id="1881088881">
              <w:marLeft w:val="0"/>
              <w:marRight w:val="0"/>
              <w:marTop w:val="0"/>
              <w:marBottom w:val="0"/>
              <w:divBdr>
                <w:top w:val="none" w:sz="0" w:space="0" w:color="auto"/>
                <w:left w:val="none" w:sz="0" w:space="0" w:color="auto"/>
                <w:bottom w:val="none" w:sz="0" w:space="0" w:color="auto"/>
                <w:right w:val="none" w:sz="0" w:space="0" w:color="auto"/>
              </w:divBdr>
            </w:div>
          </w:divsChild>
        </w:div>
        <w:div w:id="304746080">
          <w:marLeft w:val="0"/>
          <w:marRight w:val="0"/>
          <w:marTop w:val="0"/>
          <w:marBottom w:val="0"/>
          <w:divBdr>
            <w:top w:val="none" w:sz="0" w:space="0" w:color="auto"/>
            <w:left w:val="none" w:sz="0" w:space="0" w:color="auto"/>
            <w:bottom w:val="none" w:sz="0" w:space="0" w:color="auto"/>
            <w:right w:val="none" w:sz="0" w:space="0" w:color="auto"/>
          </w:divBdr>
          <w:divsChild>
            <w:div w:id="1701931479">
              <w:marLeft w:val="0"/>
              <w:marRight w:val="0"/>
              <w:marTop w:val="0"/>
              <w:marBottom w:val="0"/>
              <w:divBdr>
                <w:top w:val="none" w:sz="0" w:space="0" w:color="auto"/>
                <w:left w:val="none" w:sz="0" w:space="0" w:color="auto"/>
                <w:bottom w:val="none" w:sz="0" w:space="0" w:color="auto"/>
                <w:right w:val="none" w:sz="0" w:space="0" w:color="auto"/>
              </w:divBdr>
              <w:divsChild>
                <w:div w:id="41008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47736">
      <w:bodyDiv w:val="1"/>
      <w:marLeft w:val="0"/>
      <w:marRight w:val="0"/>
      <w:marTop w:val="0"/>
      <w:marBottom w:val="0"/>
      <w:divBdr>
        <w:top w:val="none" w:sz="0" w:space="0" w:color="auto"/>
        <w:left w:val="none" w:sz="0" w:space="0" w:color="auto"/>
        <w:bottom w:val="none" w:sz="0" w:space="0" w:color="auto"/>
        <w:right w:val="none" w:sz="0" w:space="0" w:color="auto"/>
      </w:divBdr>
    </w:div>
    <w:div w:id="66459497">
      <w:bodyDiv w:val="1"/>
      <w:marLeft w:val="0"/>
      <w:marRight w:val="0"/>
      <w:marTop w:val="0"/>
      <w:marBottom w:val="0"/>
      <w:divBdr>
        <w:top w:val="none" w:sz="0" w:space="0" w:color="auto"/>
        <w:left w:val="none" w:sz="0" w:space="0" w:color="auto"/>
        <w:bottom w:val="none" w:sz="0" w:space="0" w:color="auto"/>
        <w:right w:val="none" w:sz="0" w:space="0" w:color="auto"/>
      </w:divBdr>
      <w:divsChild>
        <w:div w:id="154033119">
          <w:marLeft w:val="0"/>
          <w:marRight w:val="0"/>
          <w:marTop w:val="0"/>
          <w:marBottom w:val="150"/>
          <w:divBdr>
            <w:top w:val="none" w:sz="0" w:space="0" w:color="auto"/>
            <w:left w:val="none" w:sz="0" w:space="0" w:color="auto"/>
            <w:bottom w:val="none" w:sz="0" w:space="0" w:color="auto"/>
            <w:right w:val="none" w:sz="0" w:space="0" w:color="auto"/>
          </w:divBdr>
          <w:divsChild>
            <w:div w:id="150102383">
              <w:marLeft w:val="0"/>
              <w:marRight w:val="0"/>
              <w:marTop w:val="0"/>
              <w:marBottom w:val="0"/>
              <w:divBdr>
                <w:top w:val="none" w:sz="0" w:space="0" w:color="auto"/>
                <w:left w:val="none" w:sz="0" w:space="0" w:color="auto"/>
                <w:bottom w:val="none" w:sz="0" w:space="0" w:color="auto"/>
                <w:right w:val="none" w:sz="0" w:space="0" w:color="auto"/>
              </w:divBdr>
              <w:divsChild>
                <w:div w:id="160421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84146">
          <w:marLeft w:val="0"/>
          <w:marRight w:val="0"/>
          <w:marTop w:val="0"/>
          <w:marBottom w:val="150"/>
          <w:divBdr>
            <w:top w:val="none" w:sz="0" w:space="0" w:color="auto"/>
            <w:left w:val="none" w:sz="0" w:space="0" w:color="auto"/>
            <w:bottom w:val="none" w:sz="0" w:space="0" w:color="auto"/>
            <w:right w:val="none" w:sz="0" w:space="0" w:color="auto"/>
          </w:divBdr>
        </w:div>
        <w:div w:id="1966693793">
          <w:marLeft w:val="0"/>
          <w:marRight w:val="0"/>
          <w:marTop w:val="0"/>
          <w:marBottom w:val="0"/>
          <w:divBdr>
            <w:top w:val="none" w:sz="0" w:space="0" w:color="auto"/>
            <w:left w:val="none" w:sz="0" w:space="0" w:color="auto"/>
            <w:bottom w:val="none" w:sz="0" w:space="0" w:color="auto"/>
            <w:right w:val="none" w:sz="0" w:space="0" w:color="auto"/>
          </w:divBdr>
          <w:divsChild>
            <w:div w:id="3695029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7114975">
      <w:bodyDiv w:val="1"/>
      <w:marLeft w:val="0"/>
      <w:marRight w:val="0"/>
      <w:marTop w:val="0"/>
      <w:marBottom w:val="0"/>
      <w:divBdr>
        <w:top w:val="none" w:sz="0" w:space="0" w:color="auto"/>
        <w:left w:val="none" w:sz="0" w:space="0" w:color="auto"/>
        <w:bottom w:val="none" w:sz="0" w:space="0" w:color="auto"/>
        <w:right w:val="none" w:sz="0" w:space="0" w:color="auto"/>
      </w:divBdr>
      <w:divsChild>
        <w:div w:id="2088843732">
          <w:marLeft w:val="0"/>
          <w:marRight w:val="0"/>
          <w:marTop w:val="0"/>
          <w:marBottom w:val="150"/>
          <w:divBdr>
            <w:top w:val="none" w:sz="0" w:space="0" w:color="auto"/>
            <w:left w:val="none" w:sz="0" w:space="0" w:color="auto"/>
            <w:bottom w:val="none" w:sz="0" w:space="0" w:color="auto"/>
            <w:right w:val="none" w:sz="0" w:space="0" w:color="auto"/>
          </w:divBdr>
        </w:div>
      </w:divsChild>
    </w:div>
    <w:div w:id="67115639">
      <w:bodyDiv w:val="1"/>
      <w:marLeft w:val="0"/>
      <w:marRight w:val="0"/>
      <w:marTop w:val="0"/>
      <w:marBottom w:val="0"/>
      <w:divBdr>
        <w:top w:val="none" w:sz="0" w:space="0" w:color="auto"/>
        <w:left w:val="none" w:sz="0" w:space="0" w:color="auto"/>
        <w:bottom w:val="none" w:sz="0" w:space="0" w:color="auto"/>
        <w:right w:val="none" w:sz="0" w:space="0" w:color="auto"/>
      </w:divBdr>
      <w:divsChild>
        <w:div w:id="616569417">
          <w:marLeft w:val="0"/>
          <w:marRight w:val="0"/>
          <w:marTop w:val="0"/>
          <w:marBottom w:val="0"/>
          <w:divBdr>
            <w:top w:val="none" w:sz="0" w:space="0" w:color="auto"/>
            <w:left w:val="none" w:sz="0" w:space="0" w:color="auto"/>
            <w:bottom w:val="dotted" w:sz="6" w:space="4" w:color="DDDDDD"/>
            <w:right w:val="none" w:sz="0" w:space="0" w:color="auto"/>
          </w:divBdr>
          <w:divsChild>
            <w:div w:id="17781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6468">
      <w:bodyDiv w:val="1"/>
      <w:marLeft w:val="0"/>
      <w:marRight w:val="0"/>
      <w:marTop w:val="0"/>
      <w:marBottom w:val="0"/>
      <w:divBdr>
        <w:top w:val="none" w:sz="0" w:space="0" w:color="auto"/>
        <w:left w:val="none" w:sz="0" w:space="0" w:color="auto"/>
        <w:bottom w:val="none" w:sz="0" w:space="0" w:color="auto"/>
        <w:right w:val="none" w:sz="0" w:space="0" w:color="auto"/>
      </w:divBdr>
      <w:divsChild>
        <w:div w:id="670446035">
          <w:marLeft w:val="0"/>
          <w:marRight w:val="0"/>
          <w:marTop w:val="0"/>
          <w:marBottom w:val="0"/>
          <w:divBdr>
            <w:top w:val="none" w:sz="0" w:space="0" w:color="auto"/>
            <w:left w:val="single" w:sz="6" w:space="0" w:color="ECECEC"/>
            <w:bottom w:val="none" w:sz="0" w:space="0" w:color="auto"/>
            <w:right w:val="single" w:sz="6" w:space="0" w:color="ECECEC"/>
          </w:divBdr>
          <w:divsChild>
            <w:div w:id="281346639">
              <w:marLeft w:val="0"/>
              <w:marRight w:val="0"/>
              <w:marTop w:val="0"/>
              <w:marBottom w:val="0"/>
              <w:divBdr>
                <w:top w:val="none" w:sz="0" w:space="0" w:color="auto"/>
                <w:left w:val="none" w:sz="0" w:space="0" w:color="auto"/>
                <w:bottom w:val="none" w:sz="0" w:space="0" w:color="auto"/>
                <w:right w:val="none" w:sz="0" w:space="0" w:color="auto"/>
              </w:divBdr>
              <w:divsChild>
                <w:div w:id="1626348393">
                  <w:marLeft w:val="0"/>
                  <w:marRight w:val="0"/>
                  <w:marTop w:val="0"/>
                  <w:marBottom w:val="0"/>
                  <w:divBdr>
                    <w:top w:val="none" w:sz="0" w:space="0" w:color="auto"/>
                    <w:left w:val="none" w:sz="0" w:space="0" w:color="auto"/>
                    <w:bottom w:val="none" w:sz="0" w:space="0" w:color="auto"/>
                    <w:right w:val="none" w:sz="0" w:space="0" w:color="auto"/>
                  </w:divBdr>
                  <w:divsChild>
                    <w:div w:id="1662853291">
                      <w:marLeft w:val="0"/>
                      <w:marRight w:val="0"/>
                      <w:marTop w:val="0"/>
                      <w:marBottom w:val="0"/>
                      <w:divBdr>
                        <w:top w:val="none" w:sz="0" w:space="0" w:color="auto"/>
                        <w:left w:val="none" w:sz="0" w:space="0" w:color="auto"/>
                        <w:bottom w:val="none" w:sz="0" w:space="0" w:color="auto"/>
                        <w:right w:val="none" w:sz="0" w:space="0" w:color="auto"/>
                      </w:divBdr>
                      <w:divsChild>
                        <w:div w:id="1370373380">
                          <w:marLeft w:val="0"/>
                          <w:marRight w:val="0"/>
                          <w:marTop w:val="0"/>
                          <w:marBottom w:val="0"/>
                          <w:divBdr>
                            <w:top w:val="none" w:sz="0" w:space="0" w:color="auto"/>
                            <w:left w:val="none" w:sz="0" w:space="0" w:color="auto"/>
                            <w:bottom w:val="none" w:sz="0" w:space="0" w:color="auto"/>
                            <w:right w:val="none" w:sz="0" w:space="0" w:color="auto"/>
                          </w:divBdr>
                          <w:divsChild>
                            <w:div w:id="1363633348">
                              <w:marLeft w:val="0"/>
                              <w:marRight w:val="0"/>
                              <w:marTop w:val="0"/>
                              <w:marBottom w:val="0"/>
                              <w:divBdr>
                                <w:top w:val="none" w:sz="0" w:space="0" w:color="auto"/>
                                <w:left w:val="none" w:sz="0" w:space="0" w:color="auto"/>
                                <w:bottom w:val="none" w:sz="0" w:space="0" w:color="auto"/>
                                <w:right w:val="none" w:sz="0" w:space="0" w:color="auto"/>
                              </w:divBdr>
                              <w:divsChild>
                                <w:div w:id="17611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652101">
      <w:bodyDiv w:val="1"/>
      <w:marLeft w:val="0"/>
      <w:marRight w:val="0"/>
      <w:marTop w:val="0"/>
      <w:marBottom w:val="0"/>
      <w:divBdr>
        <w:top w:val="none" w:sz="0" w:space="0" w:color="auto"/>
        <w:left w:val="none" w:sz="0" w:space="0" w:color="auto"/>
        <w:bottom w:val="none" w:sz="0" w:space="0" w:color="auto"/>
        <w:right w:val="none" w:sz="0" w:space="0" w:color="auto"/>
      </w:divBdr>
      <w:divsChild>
        <w:div w:id="481115270">
          <w:marLeft w:val="0"/>
          <w:marRight w:val="0"/>
          <w:marTop w:val="0"/>
          <w:marBottom w:val="0"/>
          <w:divBdr>
            <w:top w:val="none" w:sz="0" w:space="0" w:color="auto"/>
            <w:left w:val="none" w:sz="0" w:space="0" w:color="auto"/>
            <w:bottom w:val="none" w:sz="0" w:space="0" w:color="auto"/>
            <w:right w:val="none" w:sz="0" w:space="0" w:color="auto"/>
          </w:divBdr>
        </w:div>
        <w:div w:id="1943340503">
          <w:marLeft w:val="0"/>
          <w:marRight w:val="0"/>
          <w:marTop w:val="0"/>
          <w:marBottom w:val="0"/>
          <w:divBdr>
            <w:top w:val="none" w:sz="0" w:space="0" w:color="auto"/>
            <w:left w:val="none" w:sz="0" w:space="0" w:color="auto"/>
            <w:bottom w:val="none" w:sz="0" w:space="0" w:color="auto"/>
            <w:right w:val="none" w:sz="0" w:space="0" w:color="auto"/>
          </w:divBdr>
        </w:div>
      </w:divsChild>
    </w:div>
    <w:div w:id="67927547">
      <w:bodyDiv w:val="1"/>
      <w:marLeft w:val="0"/>
      <w:marRight w:val="0"/>
      <w:marTop w:val="0"/>
      <w:marBottom w:val="0"/>
      <w:divBdr>
        <w:top w:val="none" w:sz="0" w:space="0" w:color="auto"/>
        <w:left w:val="none" w:sz="0" w:space="0" w:color="auto"/>
        <w:bottom w:val="none" w:sz="0" w:space="0" w:color="auto"/>
        <w:right w:val="none" w:sz="0" w:space="0" w:color="auto"/>
      </w:divBdr>
      <w:divsChild>
        <w:div w:id="498734582">
          <w:marLeft w:val="0"/>
          <w:marRight w:val="0"/>
          <w:marTop w:val="0"/>
          <w:marBottom w:val="0"/>
          <w:divBdr>
            <w:top w:val="none" w:sz="0" w:space="0" w:color="auto"/>
            <w:left w:val="none" w:sz="0" w:space="0" w:color="auto"/>
            <w:bottom w:val="none" w:sz="0" w:space="0" w:color="auto"/>
            <w:right w:val="none" w:sz="0" w:space="0" w:color="auto"/>
          </w:divBdr>
        </w:div>
      </w:divsChild>
    </w:div>
    <w:div w:id="68113860">
      <w:bodyDiv w:val="1"/>
      <w:marLeft w:val="0"/>
      <w:marRight w:val="0"/>
      <w:marTop w:val="0"/>
      <w:marBottom w:val="0"/>
      <w:divBdr>
        <w:top w:val="none" w:sz="0" w:space="0" w:color="auto"/>
        <w:left w:val="none" w:sz="0" w:space="0" w:color="auto"/>
        <w:bottom w:val="none" w:sz="0" w:space="0" w:color="auto"/>
        <w:right w:val="none" w:sz="0" w:space="0" w:color="auto"/>
      </w:divBdr>
      <w:divsChild>
        <w:div w:id="1220702696">
          <w:marLeft w:val="0"/>
          <w:marRight w:val="0"/>
          <w:marTop w:val="0"/>
          <w:marBottom w:val="0"/>
          <w:divBdr>
            <w:top w:val="none" w:sz="0" w:space="0" w:color="auto"/>
            <w:left w:val="none" w:sz="0" w:space="0" w:color="auto"/>
            <w:bottom w:val="none" w:sz="0" w:space="0" w:color="auto"/>
            <w:right w:val="none" w:sz="0" w:space="0" w:color="auto"/>
          </w:divBdr>
          <w:divsChild>
            <w:div w:id="1455560564">
              <w:marLeft w:val="0"/>
              <w:marRight w:val="0"/>
              <w:marTop w:val="0"/>
              <w:marBottom w:val="0"/>
              <w:divBdr>
                <w:top w:val="none" w:sz="0" w:space="0" w:color="auto"/>
                <w:left w:val="none" w:sz="0" w:space="0" w:color="auto"/>
                <w:bottom w:val="none" w:sz="0" w:space="0" w:color="auto"/>
                <w:right w:val="none" w:sz="0" w:space="0" w:color="auto"/>
              </w:divBdr>
              <w:divsChild>
                <w:div w:id="1693147959">
                  <w:marLeft w:val="0"/>
                  <w:marRight w:val="0"/>
                  <w:marTop w:val="0"/>
                  <w:marBottom w:val="0"/>
                  <w:divBdr>
                    <w:top w:val="none" w:sz="0" w:space="0" w:color="auto"/>
                    <w:left w:val="none" w:sz="0" w:space="0" w:color="auto"/>
                    <w:bottom w:val="none" w:sz="0" w:space="0" w:color="auto"/>
                    <w:right w:val="none" w:sz="0" w:space="0" w:color="auto"/>
                  </w:divBdr>
                  <w:divsChild>
                    <w:div w:id="1440953754">
                      <w:marLeft w:val="0"/>
                      <w:marRight w:val="0"/>
                      <w:marTop w:val="0"/>
                      <w:marBottom w:val="0"/>
                      <w:divBdr>
                        <w:top w:val="none" w:sz="0" w:space="0" w:color="auto"/>
                        <w:left w:val="none" w:sz="0" w:space="0" w:color="auto"/>
                        <w:bottom w:val="none" w:sz="0" w:space="0" w:color="auto"/>
                        <w:right w:val="none" w:sz="0" w:space="0" w:color="auto"/>
                      </w:divBdr>
                      <w:divsChild>
                        <w:div w:id="658113892">
                          <w:marLeft w:val="0"/>
                          <w:marRight w:val="0"/>
                          <w:marTop w:val="0"/>
                          <w:marBottom w:val="0"/>
                          <w:divBdr>
                            <w:top w:val="none" w:sz="0" w:space="0" w:color="auto"/>
                            <w:left w:val="none" w:sz="0" w:space="0" w:color="auto"/>
                            <w:bottom w:val="none" w:sz="0" w:space="0" w:color="auto"/>
                            <w:right w:val="none" w:sz="0" w:space="0" w:color="auto"/>
                          </w:divBdr>
                          <w:divsChild>
                            <w:div w:id="1302690375">
                              <w:marLeft w:val="0"/>
                              <w:marRight w:val="0"/>
                              <w:marTop w:val="0"/>
                              <w:marBottom w:val="0"/>
                              <w:divBdr>
                                <w:top w:val="none" w:sz="0" w:space="0" w:color="auto"/>
                                <w:left w:val="none" w:sz="0" w:space="0" w:color="auto"/>
                                <w:bottom w:val="none" w:sz="0" w:space="0" w:color="auto"/>
                                <w:right w:val="none" w:sz="0" w:space="0" w:color="auto"/>
                              </w:divBdr>
                              <w:divsChild>
                                <w:div w:id="1451511619">
                                  <w:marLeft w:val="0"/>
                                  <w:marRight w:val="0"/>
                                  <w:marTop w:val="0"/>
                                  <w:marBottom w:val="0"/>
                                  <w:divBdr>
                                    <w:top w:val="none" w:sz="0" w:space="0" w:color="auto"/>
                                    <w:left w:val="none" w:sz="0" w:space="0" w:color="auto"/>
                                    <w:bottom w:val="none" w:sz="0" w:space="0" w:color="auto"/>
                                    <w:right w:val="none" w:sz="0" w:space="0" w:color="auto"/>
                                  </w:divBdr>
                                  <w:divsChild>
                                    <w:div w:id="78951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620098">
      <w:bodyDiv w:val="1"/>
      <w:marLeft w:val="0"/>
      <w:marRight w:val="0"/>
      <w:marTop w:val="0"/>
      <w:marBottom w:val="0"/>
      <w:divBdr>
        <w:top w:val="none" w:sz="0" w:space="0" w:color="auto"/>
        <w:left w:val="none" w:sz="0" w:space="0" w:color="auto"/>
        <w:bottom w:val="none" w:sz="0" w:space="0" w:color="auto"/>
        <w:right w:val="none" w:sz="0" w:space="0" w:color="auto"/>
      </w:divBdr>
    </w:div>
    <w:div w:id="68968758">
      <w:bodyDiv w:val="1"/>
      <w:marLeft w:val="0"/>
      <w:marRight w:val="0"/>
      <w:marTop w:val="0"/>
      <w:marBottom w:val="0"/>
      <w:divBdr>
        <w:top w:val="none" w:sz="0" w:space="0" w:color="auto"/>
        <w:left w:val="none" w:sz="0" w:space="0" w:color="auto"/>
        <w:bottom w:val="none" w:sz="0" w:space="0" w:color="auto"/>
        <w:right w:val="none" w:sz="0" w:space="0" w:color="auto"/>
      </w:divBdr>
      <w:divsChild>
        <w:div w:id="475030004">
          <w:marLeft w:val="150"/>
          <w:marRight w:val="150"/>
          <w:marTop w:val="0"/>
          <w:marBottom w:val="150"/>
          <w:divBdr>
            <w:top w:val="single" w:sz="6" w:space="4" w:color="E5E5E5"/>
            <w:left w:val="single" w:sz="6" w:space="0" w:color="E5E5E5"/>
            <w:bottom w:val="single" w:sz="6" w:space="0" w:color="E5E5E5"/>
            <w:right w:val="single" w:sz="6" w:space="0" w:color="E5E5E5"/>
          </w:divBdr>
        </w:div>
      </w:divsChild>
    </w:div>
    <w:div w:id="69038381">
      <w:bodyDiv w:val="1"/>
      <w:marLeft w:val="0"/>
      <w:marRight w:val="0"/>
      <w:marTop w:val="0"/>
      <w:marBottom w:val="0"/>
      <w:divBdr>
        <w:top w:val="none" w:sz="0" w:space="0" w:color="auto"/>
        <w:left w:val="none" w:sz="0" w:space="0" w:color="auto"/>
        <w:bottom w:val="none" w:sz="0" w:space="0" w:color="auto"/>
        <w:right w:val="none" w:sz="0" w:space="0" w:color="auto"/>
      </w:divBdr>
    </w:div>
    <w:div w:id="69079916">
      <w:bodyDiv w:val="1"/>
      <w:marLeft w:val="0"/>
      <w:marRight w:val="0"/>
      <w:marTop w:val="0"/>
      <w:marBottom w:val="0"/>
      <w:divBdr>
        <w:top w:val="none" w:sz="0" w:space="0" w:color="auto"/>
        <w:left w:val="none" w:sz="0" w:space="0" w:color="auto"/>
        <w:bottom w:val="none" w:sz="0" w:space="0" w:color="auto"/>
        <w:right w:val="none" w:sz="0" w:space="0" w:color="auto"/>
      </w:divBdr>
      <w:divsChild>
        <w:div w:id="30961849">
          <w:marLeft w:val="0"/>
          <w:marRight w:val="0"/>
          <w:marTop w:val="0"/>
          <w:marBottom w:val="0"/>
          <w:divBdr>
            <w:top w:val="none" w:sz="0" w:space="0" w:color="auto"/>
            <w:left w:val="none" w:sz="0" w:space="0" w:color="auto"/>
            <w:bottom w:val="dotted" w:sz="6" w:space="4" w:color="DDDDDD"/>
            <w:right w:val="none" w:sz="0" w:space="0" w:color="auto"/>
          </w:divBdr>
          <w:divsChild>
            <w:div w:id="73886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8087">
      <w:bodyDiv w:val="1"/>
      <w:marLeft w:val="0"/>
      <w:marRight w:val="0"/>
      <w:marTop w:val="0"/>
      <w:marBottom w:val="0"/>
      <w:divBdr>
        <w:top w:val="none" w:sz="0" w:space="0" w:color="auto"/>
        <w:left w:val="none" w:sz="0" w:space="0" w:color="auto"/>
        <w:bottom w:val="none" w:sz="0" w:space="0" w:color="auto"/>
        <w:right w:val="none" w:sz="0" w:space="0" w:color="auto"/>
      </w:divBdr>
    </w:div>
    <w:div w:id="69350636">
      <w:bodyDiv w:val="1"/>
      <w:marLeft w:val="0"/>
      <w:marRight w:val="0"/>
      <w:marTop w:val="0"/>
      <w:marBottom w:val="0"/>
      <w:divBdr>
        <w:top w:val="none" w:sz="0" w:space="0" w:color="auto"/>
        <w:left w:val="none" w:sz="0" w:space="0" w:color="auto"/>
        <w:bottom w:val="none" w:sz="0" w:space="0" w:color="auto"/>
        <w:right w:val="none" w:sz="0" w:space="0" w:color="auto"/>
      </w:divBdr>
      <w:divsChild>
        <w:div w:id="518469863">
          <w:marLeft w:val="0"/>
          <w:marRight w:val="0"/>
          <w:marTop w:val="0"/>
          <w:marBottom w:val="0"/>
          <w:divBdr>
            <w:top w:val="none" w:sz="0" w:space="0" w:color="auto"/>
            <w:left w:val="none" w:sz="0" w:space="0" w:color="auto"/>
            <w:bottom w:val="none" w:sz="0" w:space="0" w:color="auto"/>
            <w:right w:val="none" w:sz="0" w:space="0" w:color="auto"/>
          </w:divBdr>
          <w:divsChild>
            <w:div w:id="1215234192">
              <w:marLeft w:val="0"/>
              <w:marRight w:val="0"/>
              <w:marTop w:val="225"/>
              <w:marBottom w:val="225"/>
              <w:divBdr>
                <w:top w:val="none" w:sz="0" w:space="0" w:color="auto"/>
                <w:left w:val="none" w:sz="0" w:space="0" w:color="auto"/>
                <w:bottom w:val="none" w:sz="0" w:space="0" w:color="auto"/>
                <w:right w:val="none" w:sz="0" w:space="0" w:color="auto"/>
              </w:divBdr>
            </w:div>
          </w:divsChild>
        </w:div>
        <w:div w:id="1339506872">
          <w:marLeft w:val="0"/>
          <w:marRight w:val="0"/>
          <w:marTop w:val="0"/>
          <w:marBottom w:val="150"/>
          <w:divBdr>
            <w:top w:val="none" w:sz="0" w:space="0" w:color="auto"/>
            <w:left w:val="none" w:sz="0" w:space="0" w:color="auto"/>
            <w:bottom w:val="none" w:sz="0" w:space="0" w:color="auto"/>
            <w:right w:val="none" w:sz="0" w:space="0" w:color="auto"/>
          </w:divBdr>
        </w:div>
        <w:div w:id="1783305166">
          <w:marLeft w:val="0"/>
          <w:marRight w:val="0"/>
          <w:marTop w:val="0"/>
          <w:marBottom w:val="150"/>
          <w:divBdr>
            <w:top w:val="none" w:sz="0" w:space="0" w:color="auto"/>
            <w:left w:val="none" w:sz="0" w:space="0" w:color="auto"/>
            <w:bottom w:val="none" w:sz="0" w:space="0" w:color="auto"/>
            <w:right w:val="none" w:sz="0" w:space="0" w:color="auto"/>
          </w:divBdr>
          <w:divsChild>
            <w:div w:id="1345208174">
              <w:marLeft w:val="0"/>
              <w:marRight w:val="0"/>
              <w:marTop w:val="0"/>
              <w:marBottom w:val="0"/>
              <w:divBdr>
                <w:top w:val="none" w:sz="0" w:space="0" w:color="auto"/>
                <w:left w:val="none" w:sz="0" w:space="0" w:color="auto"/>
                <w:bottom w:val="none" w:sz="0" w:space="0" w:color="auto"/>
                <w:right w:val="none" w:sz="0" w:space="0" w:color="auto"/>
              </w:divBdr>
              <w:divsChild>
                <w:div w:id="16551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73077">
      <w:bodyDiv w:val="1"/>
      <w:marLeft w:val="0"/>
      <w:marRight w:val="0"/>
      <w:marTop w:val="0"/>
      <w:marBottom w:val="0"/>
      <w:divBdr>
        <w:top w:val="none" w:sz="0" w:space="0" w:color="auto"/>
        <w:left w:val="none" w:sz="0" w:space="0" w:color="auto"/>
        <w:bottom w:val="none" w:sz="0" w:space="0" w:color="auto"/>
        <w:right w:val="none" w:sz="0" w:space="0" w:color="auto"/>
      </w:divBdr>
      <w:divsChild>
        <w:div w:id="92602937">
          <w:marLeft w:val="0"/>
          <w:marRight w:val="0"/>
          <w:marTop w:val="0"/>
          <w:marBottom w:val="150"/>
          <w:divBdr>
            <w:top w:val="none" w:sz="0" w:space="0" w:color="auto"/>
            <w:left w:val="none" w:sz="0" w:space="0" w:color="auto"/>
            <w:bottom w:val="none" w:sz="0" w:space="0" w:color="auto"/>
            <w:right w:val="none" w:sz="0" w:space="0" w:color="auto"/>
          </w:divBdr>
          <w:divsChild>
            <w:div w:id="748814650">
              <w:marLeft w:val="0"/>
              <w:marRight w:val="0"/>
              <w:marTop w:val="0"/>
              <w:marBottom w:val="0"/>
              <w:divBdr>
                <w:top w:val="none" w:sz="0" w:space="0" w:color="auto"/>
                <w:left w:val="none" w:sz="0" w:space="0" w:color="auto"/>
                <w:bottom w:val="none" w:sz="0" w:space="0" w:color="auto"/>
                <w:right w:val="none" w:sz="0" w:space="0" w:color="auto"/>
              </w:divBdr>
              <w:divsChild>
                <w:div w:id="333608876">
                  <w:marLeft w:val="0"/>
                  <w:marRight w:val="0"/>
                  <w:marTop w:val="0"/>
                  <w:marBottom w:val="0"/>
                  <w:divBdr>
                    <w:top w:val="none" w:sz="0" w:space="0" w:color="auto"/>
                    <w:left w:val="none" w:sz="0" w:space="0" w:color="auto"/>
                    <w:bottom w:val="none" w:sz="0" w:space="0" w:color="auto"/>
                    <w:right w:val="none" w:sz="0" w:space="0" w:color="auto"/>
                  </w:divBdr>
                  <w:divsChild>
                    <w:div w:id="1187139109">
                      <w:marLeft w:val="0"/>
                      <w:marRight w:val="150"/>
                      <w:marTop w:val="0"/>
                      <w:marBottom w:val="0"/>
                      <w:divBdr>
                        <w:top w:val="none" w:sz="0" w:space="0" w:color="auto"/>
                        <w:left w:val="none" w:sz="0" w:space="0" w:color="auto"/>
                        <w:bottom w:val="none" w:sz="0" w:space="0" w:color="auto"/>
                        <w:right w:val="none" w:sz="0" w:space="0" w:color="auto"/>
                      </w:divBdr>
                      <w:divsChild>
                        <w:div w:id="152444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881201">
          <w:marLeft w:val="0"/>
          <w:marRight w:val="0"/>
          <w:marTop w:val="0"/>
          <w:marBottom w:val="150"/>
          <w:divBdr>
            <w:top w:val="none" w:sz="0" w:space="0" w:color="auto"/>
            <w:left w:val="none" w:sz="0" w:space="0" w:color="auto"/>
            <w:bottom w:val="none" w:sz="0" w:space="0" w:color="auto"/>
            <w:right w:val="none" w:sz="0" w:space="0" w:color="auto"/>
          </w:divBdr>
        </w:div>
        <w:div w:id="422143777">
          <w:marLeft w:val="0"/>
          <w:marRight w:val="0"/>
          <w:marTop w:val="0"/>
          <w:marBottom w:val="0"/>
          <w:divBdr>
            <w:top w:val="none" w:sz="0" w:space="0" w:color="auto"/>
            <w:left w:val="none" w:sz="0" w:space="0" w:color="auto"/>
            <w:bottom w:val="none" w:sz="0" w:space="0" w:color="auto"/>
            <w:right w:val="none" w:sz="0" w:space="0" w:color="auto"/>
          </w:divBdr>
          <w:divsChild>
            <w:div w:id="172845684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9893542">
      <w:bodyDiv w:val="1"/>
      <w:marLeft w:val="0"/>
      <w:marRight w:val="0"/>
      <w:marTop w:val="0"/>
      <w:marBottom w:val="0"/>
      <w:divBdr>
        <w:top w:val="none" w:sz="0" w:space="0" w:color="auto"/>
        <w:left w:val="none" w:sz="0" w:space="0" w:color="auto"/>
        <w:bottom w:val="none" w:sz="0" w:space="0" w:color="auto"/>
        <w:right w:val="none" w:sz="0" w:space="0" w:color="auto"/>
      </w:divBdr>
      <w:divsChild>
        <w:div w:id="252402911">
          <w:marLeft w:val="0"/>
          <w:marRight w:val="0"/>
          <w:marTop w:val="0"/>
          <w:marBottom w:val="0"/>
          <w:divBdr>
            <w:top w:val="none" w:sz="0" w:space="0" w:color="auto"/>
            <w:left w:val="none" w:sz="0" w:space="0" w:color="auto"/>
            <w:bottom w:val="none" w:sz="0" w:space="0" w:color="auto"/>
            <w:right w:val="none" w:sz="0" w:space="0" w:color="auto"/>
          </w:divBdr>
          <w:divsChild>
            <w:div w:id="1242984313">
              <w:marLeft w:val="0"/>
              <w:marRight w:val="0"/>
              <w:marTop w:val="0"/>
              <w:marBottom w:val="0"/>
              <w:divBdr>
                <w:top w:val="none" w:sz="0" w:space="0" w:color="auto"/>
                <w:left w:val="none" w:sz="0" w:space="0" w:color="auto"/>
                <w:bottom w:val="none" w:sz="0" w:space="0" w:color="auto"/>
                <w:right w:val="none" w:sz="0" w:space="0" w:color="auto"/>
              </w:divBdr>
              <w:divsChild>
                <w:div w:id="1521968317">
                  <w:marLeft w:val="0"/>
                  <w:marRight w:val="0"/>
                  <w:marTop w:val="0"/>
                  <w:marBottom w:val="0"/>
                  <w:divBdr>
                    <w:top w:val="none" w:sz="0" w:space="0" w:color="auto"/>
                    <w:left w:val="none" w:sz="0" w:space="0" w:color="auto"/>
                    <w:bottom w:val="none" w:sz="0" w:space="0" w:color="auto"/>
                    <w:right w:val="none" w:sz="0" w:space="0" w:color="auto"/>
                  </w:divBdr>
                  <w:divsChild>
                    <w:div w:id="572161706">
                      <w:marLeft w:val="0"/>
                      <w:marRight w:val="0"/>
                      <w:marTop w:val="0"/>
                      <w:marBottom w:val="0"/>
                      <w:divBdr>
                        <w:top w:val="none" w:sz="0" w:space="0" w:color="auto"/>
                        <w:left w:val="none" w:sz="0" w:space="0" w:color="auto"/>
                        <w:bottom w:val="none" w:sz="0" w:space="0" w:color="auto"/>
                        <w:right w:val="none" w:sz="0" w:space="0" w:color="auto"/>
                      </w:divBdr>
                      <w:divsChild>
                        <w:div w:id="1974172815">
                          <w:marLeft w:val="0"/>
                          <w:marRight w:val="0"/>
                          <w:marTop w:val="0"/>
                          <w:marBottom w:val="0"/>
                          <w:divBdr>
                            <w:top w:val="none" w:sz="0" w:space="0" w:color="auto"/>
                            <w:left w:val="none" w:sz="0" w:space="0" w:color="auto"/>
                            <w:bottom w:val="none" w:sz="0" w:space="0" w:color="auto"/>
                            <w:right w:val="none" w:sz="0" w:space="0" w:color="auto"/>
                          </w:divBdr>
                          <w:divsChild>
                            <w:div w:id="1755010264">
                              <w:marLeft w:val="0"/>
                              <w:marRight w:val="0"/>
                              <w:marTop w:val="0"/>
                              <w:marBottom w:val="0"/>
                              <w:divBdr>
                                <w:top w:val="none" w:sz="0" w:space="0" w:color="auto"/>
                                <w:left w:val="none" w:sz="0" w:space="0" w:color="auto"/>
                                <w:bottom w:val="none" w:sz="0" w:space="0" w:color="auto"/>
                                <w:right w:val="none" w:sz="0" w:space="0" w:color="auto"/>
                              </w:divBdr>
                              <w:divsChild>
                                <w:div w:id="937057636">
                                  <w:marLeft w:val="0"/>
                                  <w:marRight w:val="0"/>
                                  <w:marTop w:val="0"/>
                                  <w:marBottom w:val="0"/>
                                  <w:divBdr>
                                    <w:top w:val="none" w:sz="0" w:space="0" w:color="auto"/>
                                    <w:left w:val="none" w:sz="0" w:space="0" w:color="auto"/>
                                    <w:bottom w:val="none" w:sz="0" w:space="0" w:color="auto"/>
                                    <w:right w:val="none" w:sz="0" w:space="0" w:color="auto"/>
                                  </w:divBdr>
                                  <w:divsChild>
                                    <w:div w:id="21241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33635">
      <w:bodyDiv w:val="1"/>
      <w:marLeft w:val="0"/>
      <w:marRight w:val="0"/>
      <w:marTop w:val="0"/>
      <w:marBottom w:val="0"/>
      <w:divBdr>
        <w:top w:val="none" w:sz="0" w:space="0" w:color="auto"/>
        <w:left w:val="none" w:sz="0" w:space="0" w:color="auto"/>
        <w:bottom w:val="none" w:sz="0" w:space="0" w:color="auto"/>
        <w:right w:val="none" w:sz="0" w:space="0" w:color="auto"/>
      </w:divBdr>
    </w:div>
    <w:div w:id="70008003">
      <w:bodyDiv w:val="1"/>
      <w:marLeft w:val="0"/>
      <w:marRight w:val="0"/>
      <w:marTop w:val="0"/>
      <w:marBottom w:val="0"/>
      <w:divBdr>
        <w:top w:val="none" w:sz="0" w:space="0" w:color="auto"/>
        <w:left w:val="none" w:sz="0" w:space="0" w:color="auto"/>
        <w:bottom w:val="none" w:sz="0" w:space="0" w:color="auto"/>
        <w:right w:val="none" w:sz="0" w:space="0" w:color="auto"/>
      </w:divBdr>
      <w:divsChild>
        <w:div w:id="337199678">
          <w:marLeft w:val="0"/>
          <w:marRight w:val="0"/>
          <w:marTop w:val="0"/>
          <w:marBottom w:val="240"/>
          <w:divBdr>
            <w:top w:val="none" w:sz="0" w:space="0" w:color="auto"/>
            <w:left w:val="none" w:sz="0" w:space="0" w:color="auto"/>
            <w:bottom w:val="none" w:sz="0" w:space="0" w:color="auto"/>
            <w:right w:val="none" w:sz="0" w:space="0" w:color="auto"/>
          </w:divBdr>
        </w:div>
        <w:div w:id="384256923">
          <w:marLeft w:val="0"/>
          <w:marRight w:val="0"/>
          <w:marTop w:val="0"/>
          <w:marBottom w:val="240"/>
          <w:divBdr>
            <w:top w:val="none" w:sz="0" w:space="0" w:color="auto"/>
            <w:left w:val="none" w:sz="0" w:space="0" w:color="auto"/>
            <w:bottom w:val="none" w:sz="0" w:space="0" w:color="auto"/>
            <w:right w:val="none" w:sz="0" w:space="0" w:color="auto"/>
          </w:divBdr>
          <w:divsChild>
            <w:div w:id="706639150">
              <w:marLeft w:val="0"/>
              <w:marRight w:val="0"/>
              <w:marTop w:val="0"/>
              <w:marBottom w:val="0"/>
              <w:divBdr>
                <w:top w:val="none" w:sz="0" w:space="0" w:color="auto"/>
                <w:left w:val="none" w:sz="0" w:space="0" w:color="auto"/>
                <w:bottom w:val="none" w:sz="0" w:space="0" w:color="auto"/>
                <w:right w:val="none" w:sz="0" w:space="0" w:color="auto"/>
              </w:divBdr>
              <w:divsChild>
                <w:div w:id="193921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134423">
          <w:marLeft w:val="0"/>
          <w:marRight w:val="0"/>
          <w:marTop w:val="0"/>
          <w:marBottom w:val="240"/>
          <w:divBdr>
            <w:top w:val="none" w:sz="0" w:space="0" w:color="auto"/>
            <w:left w:val="none" w:sz="0" w:space="0" w:color="auto"/>
            <w:bottom w:val="none" w:sz="0" w:space="0" w:color="auto"/>
            <w:right w:val="none" w:sz="0" w:space="0" w:color="auto"/>
          </w:divBdr>
        </w:div>
        <w:div w:id="746461816">
          <w:marLeft w:val="0"/>
          <w:marRight w:val="0"/>
          <w:marTop w:val="0"/>
          <w:marBottom w:val="240"/>
          <w:divBdr>
            <w:top w:val="none" w:sz="0" w:space="0" w:color="auto"/>
            <w:left w:val="none" w:sz="0" w:space="0" w:color="auto"/>
            <w:bottom w:val="none" w:sz="0" w:space="0" w:color="auto"/>
            <w:right w:val="none" w:sz="0" w:space="0" w:color="auto"/>
          </w:divBdr>
        </w:div>
        <w:div w:id="1818499157">
          <w:marLeft w:val="0"/>
          <w:marRight w:val="0"/>
          <w:marTop w:val="0"/>
          <w:marBottom w:val="240"/>
          <w:divBdr>
            <w:top w:val="none" w:sz="0" w:space="0" w:color="auto"/>
            <w:left w:val="none" w:sz="0" w:space="0" w:color="auto"/>
            <w:bottom w:val="none" w:sz="0" w:space="0" w:color="auto"/>
            <w:right w:val="none" w:sz="0" w:space="0" w:color="auto"/>
          </w:divBdr>
        </w:div>
      </w:divsChild>
    </w:div>
    <w:div w:id="70125372">
      <w:bodyDiv w:val="1"/>
      <w:marLeft w:val="0"/>
      <w:marRight w:val="0"/>
      <w:marTop w:val="0"/>
      <w:marBottom w:val="0"/>
      <w:divBdr>
        <w:top w:val="none" w:sz="0" w:space="0" w:color="auto"/>
        <w:left w:val="none" w:sz="0" w:space="0" w:color="auto"/>
        <w:bottom w:val="none" w:sz="0" w:space="0" w:color="auto"/>
        <w:right w:val="none" w:sz="0" w:space="0" w:color="auto"/>
      </w:divBdr>
    </w:div>
    <w:div w:id="70977225">
      <w:bodyDiv w:val="1"/>
      <w:marLeft w:val="0"/>
      <w:marRight w:val="0"/>
      <w:marTop w:val="0"/>
      <w:marBottom w:val="0"/>
      <w:divBdr>
        <w:top w:val="none" w:sz="0" w:space="0" w:color="auto"/>
        <w:left w:val="none" w:sz="0" w:space="0" w:color="auto"/>
        <w:bottom w:val="none" w:sz="0" w:space="0" w:color="auto"/>
        <w:right w:val="none" w:sz="0" w:space="0" w:color="auto"/>
      </w:divBdr>
      <w:divsChild>
        <w:div w:id="489633962">
          <w:marLeft w:val="0"/>
          <w:marRight w:val="0"/>
          <w:marTop w:val="0"/>
          <w:marBottom w:val="450"/>
          <w:divBdr>
            <w:top w:val="none" w:sz="0" w:space="0" w:color="auto"/>
            <w:left w:val="none" w:sz="0" w:space="0" w:color="auto"/>
            <w:bottom w:val="none" w:sz="0" w:space="0" w:color="auto"/>
            <w:right w:val="none" w:sz="0" w:space="0" w:color="auto"/>
          </w:divBdr>
          <w:divsChild>
            <w:div w:id="954020011">
              <w:marLeft w:val="0"/>
              <w:marRight w:val="0"/>
              <w:marTop w:val="0"/>
              <w:marBottom w:val="0"/>
              <w:divBdr>
                <w:top w:val="none" w:sz="0" w:space="0" w:color="auto"/>
                <w:left w:val="none" w:sz="0" w:space="0" w:color="auto"/>
                <w:bottom w:val="none" w:sz="0" w:space="0" w:color="auto"/>
                <w:right w:val="none" w:sz="0" w:space="0" w:color="auto"/>
              </w:divBdr>
              <w:divsChild>
                <w:div w:id="205265340">
                  <w:marLeft w:val="0"/>
                  <w:marRight w:val="0"/>
                  <w:marTop w:val="0"/>
                  <w:marBottom w:val="150"/>
                  <w:divBdr>
                    <w:top w:val="none" w:sz="0" w:space="0" w:color="auto"/>
                    <w:left w:val="none" w:sz="0" w:space="0" w:color="auto"/>
                    <w:bottom w:val="none" w:sz="0" w:space="0" w:color="auto"/>
                    <w:right w:val="none" w:sz="0" w:space="0" w:color="auto"/>
                  </w:divBdr>
                </w:div>
                <w:div w:id="1742602855">
                  <w:marLeft w:val="0"/>
                  <w:marRight w:val="0"/>
                  <w:marTop w:val="0"/>
                  <w:marBottom w:val="0"/>
                  <w:divBdr>
                    <w:top w:val="none" w:sz="0" w:space="0" w:color="auto"/>
                    <w:left w:val="none" w:sz="0" w:space="0" w:color="auto"/>
                    <w:bottom w:val="none" w:sz="0" w:space="0" w:color="auto"/>
                    <w:right w:val="none" w:sz="0" w:space="0" w:color="auto"/>
                  </w:divBdr>
                  <w:divsChild>
                    <w:div w:id="20364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406409">
              <w:marLeft w:val="0"/>
              <w:marRight w:val="0"/>
              <w:marTop w:val="0"/>
              <w:marBottom w:val="150"/>
              <w:divBdr>
                <w:top w:val="none" w:sz="0" w:space="0" w:color="auto"/>
                <w:left w:val="none" w:sz="0" w:space="0" w:color="auto"/>
                <w:bottom w:val="none" w:sz="0" w:space="0" w:color="auto"/>
                <w:right w:val="none" w:sz="0" w:space="0" w:color="auto"/>
              </w:divBdr>
              <w:divsChild>
                <w:div w:id="71762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602603">
          <w:marLeft w:val="0"/>
          <w:marRight w:val="0"/>
          <w:marTop w:val="0"/>
          <w:marBottom w:val="450"/>
          <w:divBdr>
            <w:top w:val="none" w:sz="0" w:space="0" w:color="auto"/>
            <w:left w:val="none" w:sz="0" w:space="0" w:color="auto"/>
            <w:bottom w:val="none" w:sz="0" w:space="0" w:color="auto"/>
            <w:right w:val="none" w:sz="0" w:space="0" w:color="auto"/>
          </w:divBdr>
        </w:div>
      </w:divsChild>
    </w:div>
    <w:div w:id="71051156">
      <w:bodyDiv w:val="1"/>
      <w:marLeft w:val="0"/>
      <w:marRight w:val="0"/>
      <w:marTop w:val="0"/>
      <w:marBottom w:val="0"/>
      <w:divBdr>
        <w:top w:val="none" w:sz="0" w:space="0" w:color="auto"/>
        <w:left w:val="none" w:sz="0" w:space="0" w:color="auto"/>
        <w:bottom w:val="none" w:sz="0" w:space="0" w:color="auto"/>
        <w:right w:val="none" w:sz="0" w:space="0" w:color="auto"/>
      </w:divBdr>
      <w:divsChild>
        <w:div w:id="1661418567">
          <w:marLeft w:val="0"/>
          <w:marRight w:val="0"/>
          <w:marTop w:val="0"/>
          <w:marBottom w:val="0"/>
          <w:divBdr>
            <w:top w:val="none" w:sz="0" w:space="0" w:color="auto"/>
            <w:left w:val="none" w:sz="0" w:space="0" w:color="auto"/>
            <w:bottom w:val="none" w:sz="0" w:space="0" w:color="auto"/>
            <w:right w:val="none" w:sz="0" w:space="0" w:color="auto"/>
          </w:divBdr>
        </w:div>
        <w:div w:id="2041274257">
          <w:marLeft w:val="0"/>
          <w:marRight w:val="0"/>
          <w:marTop w:val="0"/>
          <w:marBottom w:val="0"/>
          <w:divBdr>
            <w:top w:val="none" w:sz="0" w:space="0" w:color="auto"/>
            <w:left w:val="none" w:sz="0" w:space="0" w:color="auto"/>
            <w:bottom w:val="none" w:sz="0" w:space="0" w:color="auto"/>
            <w:right w:val="none" w:sz="0" w:space="0" w:color="auto"/>
          </w:divBdr>
          <w:divsChild>
            <w:div w:id="195906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8946">
      <w:bodyDiv w:val="1"/>
      <w:marLeft w:val="0"/>
      <w:marRight w:val="0"/>
      <w:marTop w:val="0"/>
      <w:marBottom w:val="0"/>
      <w:divBdr>
        <w:top w:val="none" w:sz="0" w:space="0" w:color="auto"/>
        <w:left w:val="none" w:sz="0" w:space="0" w:color="auto"/>
        <w:bottom w:val="none" w:sz="0" w:space="0" w:color="auto"/>
        <w:right w:val="none" w:sz="0" w:space="0" w:color="auto"/>
      </w:divBdr>
      <w:divsChild>
        <w:div w:id="247421952">
          <w:marLeft w:val="0"/>
          <w:marRight w:val="0"/>
          <w:marTop w:val="0"/>
          <w:marBottom w:val="0"/>
          <w:divBdr>
            <w:top w:val="none" w:sz="0" w:space="0" w:color="auto"/>
            <w:left w:val="none" w:sz="0" w:space="0" w:color="auto"/>
            <w:bottom w:val="none" w:sz="0" w:space="0" w:color="auto"/>
            <w:right w:val="none" w:sz="0" w:space="0" w:color="auto"/>
          </w:divBdr>
        </w:div>
      </w:divsChild>
    </w:div>
    <w:div w:id="72511144">
      <w:bodyDiv w:val="1"/>
      <w:marLeft w:val="0"/>
      <w:marRight w:val="0"/>
      <w:marTop w:val="0"/>
      <w:marBottom w:val="0"/>
      <w:divBdr>
        <w:top w:val="none" w:sz="0" w:space="0" w:color="auto"/>
        <w:left w:val="none" w:sz="0" w:space="0" w:color="auto"/>
        <w:bottom w:val="none" w:sz="0" w:space="0" w:color="auto"/>
        <w:right w:val="none" w:sz="0" w:space="0" w:color="auto"/>
      </w:divBdr>
    </w:div>
    <w:div w:id="72746542">
      <w:bodyDiv w:val="1"/>
      <w:marLeft w:val="0"/>
      <w:marRight w:val="0"/>
      <w:marTop w:val="0"/>
      <w:marBottom w:val="0"/>
      <w:divBdr>
        <w:top w:val="none" w:sz="0" w:space="0" w:color="auto"/>
        <w:left w:val="none" w:sz="0" w:space="0" w:color="auto"/>
        <w:bottom w:val="none" w:sz="0" w:space="0" w:color="auto"/>
        <w:right w:val="none" w:sz="0" w:space="0" w:color="auto"/>
      </w:divBdr>
      <w:divsChild>
        <w:div w:id="1311406272">
          <w:marLeft w:val="0"/>
          <w:marRight w:val="0"/>
          <w:marTop w:val="0"/>
          <w:marBottom w:val="0"/>
          <w:divBdr>
            <w:top w:val="single" w:sz="6" w:space="0" w:color="999999"/>
            <w:left w:val="single" w:sz="6" w:space="0" w:color="999999"/>
            <w:bottom w:val="single" w:sz="6" w:space="0" w:color="999999"/>
            <w:right w:val="single" w:sz="6" w:space="0" w:color="999999"/>
          </w:divBdr>
          <w:divsChild>
            <w:div w:id="759790926">
              <w:marLeft w:val="0"/>
              <w:marRight w:val="0"/>
              <w:marTop w:val="225"/>
              <w:marBottom w:val="0"/>
              <w:divBdr>
                <w:top w:val="single" w:sz="6" w:space="0" w:color="FFFFFF"/>
                <w:left w:val="none" w:sz="0" w:space="0" w:color="auto"/>
                <w:bottom w:val="none" w:sz="0" w:space="0" w:color="auto"/>
                <w:right w:val="none" w:sz="0" w:space="0" w:color="auto"/>
              </w:divBdr>
              <w:divsChild>
                <w:div w:id="1945189224">
                  <w:marLeft w:val="0"/>
                  <w:marRight w:val="0"/>
                  <w:marTop w:val="0"/>
                  <w:marBottom w:val="0"/>
                  <w:divBdr>
                    <w:top w:val="none" w:sz="0" w:space="0" w:color="auto"/>
                    <w:left w:val="none" w:sz="0" w:space="0" w:color="auto"/>
                    <w:bottom w:val="none" w:sz="0" w:space="0" w:color="auto"/>
                    <w:right w:val="none" w:sz="0" w:space="0" w:color="auto"/>
                  </w:divBdr>
                  <w:divsChild>
                    <w:div w:id="1998727828">
                      <w:marLeft w:val="0"/>
                      <w:marRight w:val="15"/>
                      <w:marTop w:val="0"/>
                      <w:marBottom w:val="0"/>
                      <w:divBdr>
                        <w:top w:val="none" w:sz="0" w:space="0" w:color="auto"/>
                        <w:left w:val="none" w:sz="0" w:space="0" w:color="auto"/>
                        <w:bottom w:val="none" w:sz="0" w:space="0" w:color="auto"/>
                        <w:right w:val="none" w:sz="0" w:space="0" w:color="auto"/>
                      </w:divBdr>
                      <w:divsChild>
                        <w:div w:id="401024453">
                          <w:marLeft w:val="0"/>
                          <w:marRight w:val="0"/>
                          <w:marTop w:val="0"/>
                          <w:marBottom w:val="0"/>
                          <w:divBdr>
                            <w:top w:val="none" w:sz="0" w:space="0" w:color="auto"/>
                            <w:left w:val="none" w:sz="0" w:space="0" w:color="auto"/>
                            <w:bottom w:val="none" w:sz="0" w:space="0" w:color="auto"/>
                            <w:right w:val="none" w:sz="0" w:space="0" w:color="auto"/>
                          </w:divBdr>
                          <w:divsChild>
                            <w:div w:id="2013797091">
                              <w:marLeft w:val="150"/>
                              <w:marRight w:val="105"/>
                              <w:marTop w:val="0"/>
                              <w:marBottom w:val="180"/>
                              <w:divBdr>
                                <w:top w:val="none" w:sz="0" w:space="0" w:color="auto"/>
                                <w:left w:val="none" w:sz="0" w:space="0" w:color="auto"/>
                                <w:bottom w:val="none" w:sz="0" w:space="0" w:color="auto"/>
                                <w:right w:val="none" w:sz="0" w:space="0" w:color="auto"/>
                              </w:divBdr>
                              <w:divsChild>
                                <w:div w:id="837041546">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823444">
      <w:bodyDiv w:val="1"/>
      <w:marLeft w:val="0"/>
      <w:marRight w:val="0"/>
      <w:marTop w:val="0"/>
      <w:marBottom w:val="0"/>
      <w:divBdr>
        <w:top w:val="none" w:sz="0" w:space="0" w:color="auto"/>
        <w:left w:val="none" w:sz="0" w:space="0" w:color="auto"/>
        <w:bottom w:val="none" w:sz="0" w:space="0" w:color="auto"/>
        <w:right w:val="none" w:sz="0" w:space="0" w:color="auto"/>
      </w:divBdr>
    </w:div>
    <w:div w:id="73010678">
      <w:bodyDiv w:val="1"/>
      <w:marLeft w:val="0"/>
      <w:marRight w:val="0"/>
      <w:marTop w:val="0"/>
      <w:marBottom w:val="0"/>
      <w:divBdr>
        <w:top w:val="none" w:sz="0" w:space="0" w:color="auto"/>
        <w:left w:val="none" w:sz="0" w:space="0" w:color="auto"/>
        <w:bottom w:val="none" w:sz="0" w:space="0" w:color="auto"/>
        <w:right w:val="none" w:sz="0" w:space="0" w:color="auto"/>
      </w:divBdr>
    </w:div>
    <w:div w:id="73554096">
      <w:bodyDiv w:val="1"/>
      <w:marLeft w:val="0"/>
      <w:marRight w:val="0"/>
      <w:marTop w:val="0"/>
      <w:marBottom w:val="0"/>
      <w:divBdr>
        <w:top w:val="none" w:sz="0" w:space="0" w:color="auto"/>
        <w:left w:val="none" w:sz="0" w:space="0" w:color="auto"/>
        <w:bottom w:val="none" w:sz="0" w:space="0" w:color="auto"/>
        <w:right w:val="none" w:sz="0" w:space="0" w:color="auto"/>
      </w:divBdr>
      <w:divsChild>
        <w:div w:id="1613703728">
          <w:marLeft w:val="0"/>
          <w:marRight w:val="0"/>
          <w:marTop w:val="0"/>
          <w:marBottom w:val="0"/>
          <w:divBdr>
            <w:top w:val="none" w:sz="0" w:space="0" w:color="auto"/>
            <w:left w:val="none" w:sz="0" w:space="0" w:color="auto"/>
            <w:bottom w:val="none" w:sz="0" w:space="0" w:color="auto"/>
            <w:right w:val="none" w:sz="0" w:space="0" w:color="auto"/>
          </w:divBdr>
        </w:div>
      </w:divsChild>
    </w:div>
    <w:div w:id="73670233">
      <w:bodyDiv w:val="1"/>
      <w:marLeft w:val="0"/>
      <w:marRight w:val="0"/>
      <w:marTop w:val="0"/>
      <w:marBottom w:val="0"/>
      <w:divBdr>
        <w:top w:val="none" w:sz="0" w:space="0" w:color="auto"/>
        <w:left w:val="none" w:sz="0" w:space="0" w:color="auto"/>
        <w:bottom w:val="none" w:sz="0" w:space="0" w:color="auto"/>
        <w:right w:val="none" w:sz="0" w:space="0" w:color="auto"/>
      </w:divBdr>
      <w:divsChild>
        <w:div w:id="1319961360">
          <w:marLeft w:val="0"/>
          <w:marRight w:val="0"/>
          <w:marTop w:val="0"/>
          <w:marBottom w:val="0"/>
          <w:divBdr>
            <w:top w:val="none" w:sz="0" w:space="0" w:color="auto"/>
            <w:left w:val="none" w:sz="0" w:space="0" w:color="auto"/>
            <w:bottom w:val="none" w:sz="0" w:space="0" w:color="auto"/>
            <w:right w:val="none" w:sz="0" w:space="0" w:color="auto"/>
          </w:divBdr>
          <w:divsChild>
            <w:div w:id="1647971841">
              <w:marLeft w:val="0"/>
              <w:marRight w:val="0"/>
              <w:marTop w:val="0"/>
              <w:marBottom w:val="0"/>
              <w:divBdr>
                <w:top w:val="none" w:sz="0" w:space="0" w:color="auto"/>
                <w:left w:val="none" w:sz="0" w:space="0" w:color="auto"/>
                <w:bottom w:val="none" w:sz="0" w:space="0" w:color="auto"/>
                <w:right w:val="none" w:sz="0" w:space="0" w:color="auto"/>
              </w:divBdr>
              <w:divsChild>
                <w:div w:id="1958020599">
                  <w:marLeft w:val="0"/>
                  <w:marRight w:val="0"/>
                  <w:marTop w:val="0"/>
                  <w:marBottom w:val="0"/>
                  <w:divBdr>
                    <w:top w:val="none" w:sz="0" w:space="0" w:color="auto"/>
                    <w:left w:val="none" w:sz="0" w:space="0" w:color="auto"/>
                    <w:bottom w:val="none" w:sz="0" w:space="0" w:color="auto"/>
                    <w:right w:val="none" w:sz="0" w:space="0" w:color="auto"/>
                  </w:divBdr>
                  <w:divsChild>
                    <w:div w:id="254869647">
                      <w:marLeft w:val="0"/>
                      <w:marRight w:val="0"/>
                      <w:marTop w:val="0"/>
                      <w:marBottom w:val="0"/>
                      <w:divBdr>
                        <w:top w:val="none" w:sz="0" w:space="0" w:color="auto"/>
                        <w:left w:val="none" w:sz="0" w:space="0" w:color="auto"/>
                        <w:bottom w:val="none" w:sz="0" w:space="0" w:color="auto"/>
                        <w:right w:val="none" w:sz="0" w:space="0" w:color="auto"/>
                      </w:divBdr>
                      <w:divsChild>
                        <w:div w:id="1953826873">
                          <w:marLeft w:val="0"/>
                          <w:marRight w:val="0"/>
                          <w:marTop w:val="0"/>
                          <w:marBottom w:val="0"/>
                          <w:divBdr>
                            <w:top w:val="none" w:sz="0" w:space="0" w:color="auto"/>
                            <w:left w:val="none" w:sz="0" w:space="0" w:color="auto"/>
                            <w:bottom w:val="none" w:sz="0" w:space="0" w:color="auto"/>
                            <w:right w:val="none" w:sz="0" w:space="0" w:color="auto"/>
                          </w:divBdr>
                          <w:divsChild>
                            <w:div w:id="1206412785">
                              <w:marLeft w:val="0"/>
                              <w:marRight w:val="0"/>
                              <w:marTop w:val="0"/>
                              <w:marBottom w:val="0"/>
                              <w:divBdr>
                                <w:top w:val="none" w:sz="0" w:space="0" w:color="auto"/>
                                <w:left w:val="none" w:sz="0" w:space="0" w:color="auto"/>
                                <w:bottom w:val="none" w:sz="0" w:space="0" w:color="auto"/>
                                <w:right w:val="none" w:sz="0" w:space="0" w:color="auto"/>
                              </w:divBdr>
                              <w:divsChild>
                                <w:div w:id="153421976">
                                  <w:marLeft w:val="0"/>
                                  <w:marRight w:val="0"/>
                                  <w:marTop w:val="0"/>
                                  <w:marBottom w:val="0"/>
                                  <w:divBdr>
                                    <w:top w:val="none" w:sz="0" w:space="0" w:color="auto"/>
                                    <w:left w:val="none" w:sz="0" w:space="0" w:color="auto"/>
                                    <w:bottom w:val="none" w:sz="0" w:space="0" w:color="auto"/>
                                    <w:right w:val="none" w:sz="0" w:space="0" w:color="auto"/>
                                  </w:divBdr>
                                  <w:divsChild>
                                    <w:div w:id="1383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865009">
      <w:bodyDiv w:val="1"/>
      <w:marLeft w:val="0"/>
      <w:marRight w:val="0"/>
      <w:marTop w:val="0"/>
      <w:marBottom w:val="0"/>
      <w:divBdr>
        <w:top w:val="none" w:sz="0" w:space="0" w:color="auto"/>
        <w:left w:val="none" w:sz="0" w:space="0" w:color="auto"/>
        <w:bottom w:val="none" w:sz="0" w:space="0" w:color="auto"/>
        <w:right w:val="none" w:sz="0" w:space="0" w:color="auto"/>
      </w:divBdr>
      <w:divsChild>
        <w:div w:id="1222642455">
          <w:marLeft w:val="0"/>
          <w:marRight w:val="0"/>
          <w:marTop w:val="0"/>
          <w:marBottom w:val="0"/>
          <w:divBdr>
            <w:top w:val="none" w:sz="0" w:space="0" w:color="auto"/>
            <w:left w:val="none" w:sz="0" w:space="0" w:color="auto"/>
            <w:bottom w:val="dotted" w:sz="6" w:space="4" w:color="DDDDDD"/>
            <w:right w:val="none" w:sz="0" w:space="0" w:color="auto"/>
          </w:divBdr>
          <w:divsChild>
            <w:div w:id="122494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98793">
      <w:bodyDiv w:val="1"/>
      <w:marLeft w:val="0"/>
      <w:marRight w:val="0"/>
      <w:marTop w:val="0"/>
      <w:marBottom w:val="0"/>
      <w:divBdr>
        <w:top w:val="none" w:sz="0" w:space="0" w:color="auto"/>
        <w:left w:val="none" w:sz="0" w:space="0" w:color="auto"/>
        <w:bottom w:val="none" w:sz="0" w:space="0" w:color="auto"/>
        <w:right w:val="none" w:sz="0" w:space="0" w:color="auto"/>
      </w:divBdr>
      <w:divsChild>
        <w:div w:id="53361940">
          <w:marLeft w:val="0"/>
          <w:marRight w:val="0"/>
          <w:marTop w:val="0"/>
          <w:marBottom w:val="240"/>
          <w:divBdr>
            <w:top w:val="none" w:sz="0" w:space="0" w:color="auto"/>
            <w:left w:val="none" w:sz="0" w:space="0" w:color="auto"/>
            <w:bottom w:val="none" w:sz="0" w:space="0" w:color="auto"/>
            <w:right w:val="none" w:sz="0" w:space="0" w:color="auto"/>
          </w:divBdr>
        </w:div>
        <w:div w:id="225183972">
          <w:marLeft w:val="0"/>
          <w:marRight w:val="0"/>
          <w:marTop w:val="0"/>
          <w:marBottom w:val="240"/>
          <w:divBdr>
            <w:top w:val="none" w:sz="0" w:space="0" w:color="auto"/>
            <w:left w:val="none" w:sz="0" w:space="0" w:color="auto"/>
            <w:bottom w:val="none" w:sz="0" w:space="0" w:color="auto"/>
            <w:right w:val="none" w:sz="0" w:space="0" w:color="auto"/>
          </w:divBdr>
        </w:div>
        <w:div w:id="1134298232">
          <w:marLeft w:val="0"/>
          <w:marRight w:val="0"/>
          <w:marTop w:val="0"/>
          <w:marBottom w:val="240"/>
          <w:divBdr>
            <w:top w:val="none" w:sz="0" w:space="0" w:color="auto"/>
            <w:left w:val="none" w:sz="0" w:space="0" w:color="auto"/>
            <w:bottom w:val="none" w:sz="0" w:space="0" w:color="auto"/>
            <w:right w:val="none" w:sz="0" w:space="0" w:color="auto"/>
          </w:divBdr>
        </w:div>
        <w:div w:id="1653364145">
          <w:marLeft w:val="0"/>
          <w:marRight w:val="0"/>
          <w:marTop w:val="0"/>
          <w:marBottom w:val="240"/>
          <w:divBdr>
            <w:top w:val="none" w:sz="0" w:space="0" w:color="auto"/>
            <w:left w:val="none" w:sz="0" w:space="0" w:color="auto"/>
            <w:bottom w:val="none" w:sz="0" w:space="0" w:color="auto"/>
            <w:right w:val="none" w:sz="0" w:space="0" w:color="auto"/>
          </w:divBdr>
        </w:div>
        <w:div w:id="2094931417">
          <w:marLeft w:val="0"/>
          <w:marRight w:val="0"/>
          <w:marTop w:val="0"/>
          <w:marBottom w:val="240"/>
          <w:divBdr>
            <w:top w:val="none" w:sz="0" w:space="0" w:color="auto"/>
            <w:left w:val="none" w:sz="0" w:space="0" w:color="auto"/>
            <w:bottom w:val="none" w:sz="0" w:space="0" w:color="auto"/>
            <w:right w:val="none" w:sz="0" w:space="0" w:color="auto"/>
          </w:divBdr>
          <w:divsChild>
            <w:div w:id="1912080918">
              <w:marLeft w:val="0"/>
              <w:marRight w:val="0"/>
              <w:marTop w:val="0"/>
              <w:marBottom w:val="0"/>
              <w:divBdr>
                <w:top w:val="none" w:sz="0" w:space="0" w:color="auto"/>
                <w:left w:val="none" w:sz="0" w:space="0" w:color="auto"/>
                <w:bottom w:val="none" w:sz="0" w:space="0" w:color="auto"/>
                <w:right w:val="none" w:sz="0" w:space="0" w:color="auto"/>
              </w:divBdr>
              <w:divsChild>
                <w:div w:id="103476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3092">
      <w:bodyDiv w:val="1"/>
      <w:marLeft w:val="0"/>
      <w:marRight w:val="0"/>
      <w:marTop w:val="0"/>
      <w:marBottom w:val="0"/>
      <w:divBdr>
        <w:top w:val="none" w:sz="0" w:space="0" w:color="auto"/>
        <w:left w:val="none" w:sz="0" w:space="0" w:color="auto"/>
        <w:bottom w:val="none" w:sz="0" w:space="0" w:color="auto"/>
        <w:right w:val="none" w:sz="0" w:space="0" w:color="auto"/>
      </w:divBdr>
      <w:divsChild>
        <w:div w:id="1260795520">
          <w:marLeft w:val="0"/>
          <w:marRight w:val="0"/>
          <w:marTop w:val="0"/>
          <w:marBottom w:val="150"/>
          <w:divBdr>
            <w:top w:val="none" w:sz="0" w:space="0" w:color="auto"/>
            <w:left w:val="none" w:sz="0" w:space="0" w:color="auto"/>
            <w:bottom w:val="none" w:sz="0" w:space="0" w:color="auto"/>
            <w:right w:val="none" w:sz="0" w:space="0" w:color="auto"/>
          </w:divBdr>
        </w:div>
        <w:div w:id="1443575778">
          <w:marLeft w:val="0"/>
          <w:marRight w:val="0"/>
          <w:marTop w:val="0"/>
          <w:marBottom w:val="0"/>
          <w:divBdr>
            <w:top w:val="none" w:sz="0" w:space="0" w:color="auto"/>
            <w:left w:val="none" w:sz="0" w:space="0" w:color="auto"/>
            <w:bottom w:val="none" w:sz="0" w:space="0" w:color="auto"/>
            <w:right w:val="none" w:sz="0" w:space="0" w:color="auto"/>
          </w:divBdr>
        </w:div>
      </w:divsChild>
    </w:div>
    <w:div w:id="74939968">
      <w:bodyDiv w:val="1"/>
      <w:marLeft w:val="0"/>
      <w:marRight w:val="0"/>
      <w:marTop w:val="0"/>
      <w:marBottom w:val="0"/>
      <w:divBdr>
        <w:top w:val="none" w:sz="0" w:space="0" w:color="auto"/>
        <w:left w:val="none" w:sz="0" w:space="0" w:color="auto"/>
        <w:bottom w:val="none" w:sz="0" w:space="0" w:color="auto"/>
        <w:right w:val="none" w:sz="0" w:space="0" w:color="auto"/>
      </w:divBdr>
      <w:divsChild>
        <w:div w:id="1960725319">
          <w:marLeft w:val="0"/>
          <w:marRight w:val="0"/>
          <w:marTop w:val="0"/>
          <w:marBottom w:val="0"/>
          <w:divBdr>
            <w:top w:val="none" w:sz="0" w:space="0" w:color="auto"/>
            <w:left w:val="none" w:sz="0" w:space="0" w:color="auto"/>
            <w:bottom w:val="none" w:sz="0" w:space="0" w:color="auto"/>
            <w:right w:val="none" w:sz="0" w:space="0" w:color="auto"/>
          </w:divBdr>
          <w:divsChild>
            <w:div w:id="843863503">
              <w:marLeft w:val="0"/>
              <w:marRight w:val="0"/>
              <w:marTop w:val="0"/>
              <w:marBottom w:val="0"/>
              <w:divBdr>
                <w:top w:val="none" w:sz="0" w:space="0" w:color="auto"/>
                <w:left w:val="none" w:sz="0" w:space="0" w:color="auto"/>
                <w:bottom w:val="none" w:sz="0" w:space="0" w:color="auto"/>
                <w:right w:val="none" w:sz="0" w:space="0" w:color="auto"/>
              </w:divBdr>
              <w:divsChild>
                <w:div w:id="582834887">
                  <w:marLeft w:val="0"/>
                  <w:marRight w:val="0"/>
                  <w:marTop w:val="0"/>
                  <w:marBottom w:val="0"/>
                  <w:divBdr>
                    <w:top w:val="none" w:sz="0" w:space="0" w:color="auto"/>
                    <w:left w:val="none" w:sz="0" w:space="0" w:color="auto"/>
                    <w:bottom w:val="none" w:sz="0" w:space="0" w:color="auto"/>
                    <w:right w:val="none" w:sz="0" w:space="0" w:color="auto"/>
                  </w:divBdr>
                  <w:divsChild>
                    <w:div w:id="731001040">
                      <w:marLeft w:val="0"/>
                      <w:marRight w:val="0"/>
                      <w:marTop w:val="0"/>
                      <w:marBottom w:val="0"/>
                      <w:divBdr>
                        <w:top w:val="none" w:sz="0" w:space="0" w:color="auto"/>
                        <w:left w:val="none" w:sz="0" w:space="0" w:color="auto"/>
                        <w:bottom w:val="none" w:sz="0" w:space="0" w:color="auto"/>
                        <w:right w:val="none" w:sz="0" w:space="0" w:color="auto"/>
                      </w:divBdr>
                      <w:divsChild>
                        <w:div w:id="896624498">
                          <w:marLeft w:val="0"/>
                          <w:marRight w:val="0"/>
                          <w:marTop w:val="0"/>
                          <w:marBottom w:val="0"/>
                          <w:divBdr>
                            <w:top w:val="none" w:sz="0" w:space="0" w:color="auto"/>
                            <w:left w:val="none" w:sz="0" w:space="0" w:color="auto"/>
                            <w:bottom w:val="none" w:sz="0" w:space="0" w:color="auto"/>
                            <w:right w:val="none" w:sz="0" w:space="0" w:color="auto"/>
                          </w:divBdr>
                          <w:divsChild>
                            <w:div w:id="990871212">
                              <w:marLeft w:val="0"/>
                              <w:marRight w:val="0"/>
                              <w:marTop w:val="0"/>
                              <w:marBottom w:val="0"/>
                              <w:divBdr>
                                <w:top w:val="none" w:sz="0" w:space="0" w:color="auto"/>
                                <w:left w:val="none" w:sz="0" w:space="0" w:color="auto"/>
                                <w:bottom w:val="none" w:sz="0" w:space="0" w:color="auto"/>
                                <w:right w:val="none" w:sz="0" w:space="0" w:color="auto"/>
                              </w:divBdr>
                              <w:divsChild>
                                <w:div w:id="1748764033">
                                  <w:marLeft w:val="0"/>
                                  <w:marRight w:val="0"/>
                                  <w:marTop w:val="0"/>
                                  <w:marBottom w:val="0"/>
                                  <w:divBdr>
                                    <w:top w:val="none" w:sz="0" w:space="0" w:color="auto"/>
                                    <w:left w:val="none" w:sz="0" w:space="0" w:color="auto"/>
                                    <w:bottom w:val="none" w:sz="0" w:space="0" w:color="auto"/>
                                    <w:right w:val="none" w:sz="0" w:space="0" w:color="auto"/>
                                  </w:divBdr>
                                  <w:divsChild>
                                    <w:div w:id="1469127431">
                                      <w:marLeft w:val="0"/>
                                      <w:marRight w:val="0"/>
                                      <w:marTop w:val="0"/>
                                      <w:marBottom w:val="0"/>
                                      <w:divBdr>
                                        <w:top w:val="none" w:sz="0" w:space="0" w:color="auto"/>
                                        <w:left w:val="none" w:sz="0" w:space="0" w:color="auto"/>
                                        <w:bottom w:val="none" w:sz="0" w:space="0" w:color="auto"/>
                                        <w:right w:val="none" w:sz="0" w:space="0" w:color="auto"/>
                                      </w:divBdr>
                                      <w:divsChild>
                                        <w:div w:id="36401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634040">
      <w:bodyDiv w:val="1"/>
      <w:marLeft w:val="0"/>
      <w:marRight w:val="0"/>
      <w:marTop w:val="0"/>
      <w:marBottom w:val="0"/>
      <w:divBdr>
        <w:top w:val="none" w:sz="0" w:space="0" w:color="auto"/>
        <w:left w:val="none" w:sz="0" w:space="0" w:color="auto"/>
        <w:bottom w:val="none" w:sz="0" w:space="0" w:color="auto"/>
        <w:right w:val="none" w:sz="0" w:space="0" w:color="auto"/>
      </w:divBdr>
      <w:divsChild>
        <w:div w:id="50540534">
          <w:marLeft w:val="0"/>
          <w:marRight w:val="0"/>
          <w:marTop w:val="0"/>
          <w:marBottom w:val="0"/>
          <w:divBdr>
            <w:top w:val="none" w:sz="0" w:space="0" w:color="auto"/>
            <w:left w:val="none" w:sz="0" w:space="0" w:color="auto"/>
            <w:bottom w:val="none" w:sz="0" w:space="0" w:color="auto"/>
            <w:right w:val="none" w:sz="0" w:space="0" w:color="auto"/>
          </w:divBdr>
          <w:divsChild>
            <w:div w:id="42646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77128">
      <w:bodyDiv w:val="1"/>
      <w:marLeft w:val="0"/>
      <w:marRight w:val="0"/>
      <w:marTop w:val="0"/>
      <w:marBottom w:val="0"/>
      <w:divBdr>
        <w:top w:val="none" w:sz="0" w:space="0" w:color="auto"/>
        <w:left w:val="none" w:sz="0" w:space="0" w:color="auto"/>
        <w:bottom w:val="none" w:sz="0" w:space="0" w:color="auto"/>
        <w:right w:val="none" w:sz="0" w:space="0" w:color="auto"/>
      </w:divBdr>
    </w:div>
    <w:div w:id="76749035">
      <w:bodyDiv w:val="1"/>
      <w:marLeft w:val="0"/>
      <w:marRight w:val="0"/>
      <w:marTop w:val="0"/>
      <w:marBottom w:val="0"/>
      <w:divBdr>
        <w:top w:val="none" w:sz="0" w:space="0" w:color="auto"/>
        <w:left w:val="none" w:sz="0" w:space="0" w:color="auto"/>
        <w:bottom w:val="none" w:sz="0" w:space="0" w:color="auto"/>
        <w:right w:val="none" w:sz="0" w:space="0" w:color="auto"/>
      </w:divBdr>
      <w:divsChild>
        <w:div w:id="1130438738">
          <w:marLeft w:val="0"/>
          <w:marRight w:val="0"/>
          <w:marTop w:val="0"/>
          <w:marBottom w:val="0"/>
          <w:divBdr>
            <w:top w:val="none" w:sz="0" w:space="0" w:color="auto"/>
            <w:left w:val="none" w:sz="0" w:space="0" w:color="auto"/>
            <w:bottom w:val="dotted" w:sz="6" w:space="4" w:color="DDDDDD"/>
            <w:right w:val="none" w:sz="0" w:space="0" w:color="auto"/>
          </w:divBdr>
          <w:divsChild>
            <w:div w:id="24742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5450">
      <w:bodyDiv w:val="1"/>
      <w:marLeft w:val="0"/>
      <w:marRight w:val="0"/>
      <w:marTop w:val="0"/>
      <w:marBottom w:val="0"/>
      <w:divBdr>
        <w:top w:val="none" w:sz="0" w:space="0" w:color="auto"/>
        <w:left w:val="none" w:sz="0" w:space="0" w:color="auto"/>
        <w:bottom w:val="none" w:sz="0" w:space="0" w:color="auto"/>
        <w:right w:val="none" w:sz="0" w:space="0" w:color="auto"/>
      </w:divBdr>
      <w:divsChild>
        <w:div w:id="664824343">
          <w:marLeft w:val="0"/>
          <w:marRight w:val="0"/>
          <w:marTop w:val="0"/>
          <w:marBottom w:val="150"/>
          <w:divBdr>
            <w:top w:val="none" w:sz="0" w:space="0" w:color="auto"/>
            <w:left w:val="none" w:sz="0" w:space="0" w:color="auto"/>
            <w:bottom w:val="none" w:sz="0" w:space="0" w:color="auto"/>
            <w:right w:val="none" w:sz="0" w:space="0" w:color="auto"/>
          </w:divBdr>
        </w:div>
      </w:divsChild>
    </w:div>
    <w:div w:id="76827068">
      <w:bodyDiv w:val="1"/>
      <w:marLeft w:val="0"/>
      <w:marRight w:val="0"/>
      <w:marTop w:val="0"/>
      <w:marBottom w:val="0"/>
      <w:divBdr>
        <w:top w:val="none" w:sz="0" w:space="0" w:color="auto"/>
        <w:left w:val="none" w:sz="0" w:space="0" w:color="auto"/>
        <w:bottom w:val="none" w:sz="0" w:space="0" w:color="auto"/>
        <w:right w:val="none" w:sz="0" w:space="0" w:color="auto"/>
      </w:divBdr>
    </w:div>
    <w:div w:id="77140107">
      <w:bodyDiv w:val="1"/>
      <w:marLeft w:val="0"/>
      <w:marRight w:val="0"/>
      <w:marTop w:val="0"/>
      <w:marBottom w:val="0"/>
      <w:divBdr>
        <w:top w:val="none" w:sz="0" w:space="0" w:color="auto"/>
        <w:left w:val="none" w:sz="0" w:space="0" w:color="auto"/>
        <w:bottom w:val="none" w:sz="0" w:space="0" w:color="auto"/>
        <w:right w:val="none" w:sz="0" w:space="0" w:color="auto"/>
      </w:divBdr>
      <w:divsChild>
        <w:div w:id="1901020488">
          <w:marLeft w:val="0"/>
          <w:marRight w:val="0"/>
          <w:marTop w:val="0"/>
          <w:marBottom w:val="150"/>
          <w:divBdr>
            <w:top w:val="none" w:sz="0" w:space="0" w:color="auto"/>
            <w:left w:val="none" w:sz="0" w:space="0" w:color="auto"/>
            <w:bottom w:val="none" w:sz="0" w:space="0" w:color="auto"/>
            <w:right w:val="none" w:sz="0" w:space="0" w:color="auto"/>
          </w:divBdr>
        </w:div>
      </w:divsChild>
    </w:div>
    <w:div w:id="77219536">
      <w:bodyDiv w:val="1"/>
      <w:marLeft w:val="0"/>
      <w:marRight w:val="0"/>
      <w:marTop w:val="0"/>
      <w:marBottom w:val="0"/>
      <w:divBdr>
        <w:top w:val="none" w:sz="0" w:space="0" w:color="auto"/>
        <w:left w:val="none" w:sz="0" w:space="0" w:color="auto"/>
        <w:bottom w:val="none" w:sz="0" w:space="0" w:color="auto"/>
        <w:right w:val="none" w:sz="0" w:space="0" w:color="auto"/>
      </w:divBdr>
      <w:divsChild>
        <w:div w:id="1539507807">
          <w:marLeft w:val="0"/>
          <w:marRight w:val="0"/>
          <w:marTop w:val="0"/>
          <w:marBottom w:val="150"/>
          <w:divBdr>
            <w:top w:val="none" w:sz="0" w:space="0" w:color="auto"/>
            <w:left w:val="none" w:sz="0" w:space="0" w:color="auto"/>
            <w:bottom w:val="none" w:sz="0" w:space="0" w:color="auto"/>
            <w:right w:val="none" w:sz="0" w:space="0" w:color="auto"/>
          </w:divBdr>
          <w:divsChild>
            <w:div w:id="1303998297">
              <w:marLeft w:val="0"/>
              <w:marRight w:val="0"/>
              <w:marTop w:val="0"/>
              <w:marBottom w:val="0"/>
              <w:divBdr>
                <w:top w:val="none" w:sz="0" w:space="0" w:color="auto"/>
                <w:left w:val="none" w:sz="0" w:space="0" w:color="auto"/>
                <w:bottom w:val="none" w:sz="0" w:space="0" w:color="auto"/>
                <w:right w:val="none" w:sz="0" w:space="0" w:color="auto"/>
              </w:divBdr>
              <w:divsChild>
                <w:div w:id="7918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199914">
          <w:marLeft w:val="0"/>
          <w:marRight w:val="0"/>
          <w:marTop w:val="0"/>
          <w:marBottom w:val="150"/>
          <w:divBdr>
            <w:top w:val="none" w:sz="0" w:space="0" w:color="auto"/>
            <w:left w:val="none" w:sz="0" w:space="0" w:color="auto"/>
            <w:bottom w:val="none" w:sz="0" w:space="0" w:color="auto"/>
            <w:right w:val="none" w:sz="0" w:space="0" w:color="auto"/>
          </w:divBdr>
        </w:div>
        <w:div w:id="118451134">
          <w:marLeft w:val="0"/>
          <w:marRight w:val="0"/>
          <w:marTop w:val="0"/>
          <w:marBottom w:val="0"/>
          <w:divBdr>
            <w:top w:val="none" w:sz="0" w:space="0" w:color="auto"/>
            <w:left w:val="none" w:sz="0" w:space="0" w:color="auto"/>
            <w:bottom w:val="none" w:sz="0" w:space="0" w:color="auto"/>
            <w:right w:val="none" w:sz="0" w:space="0" w:color="auto"/>
          </w:divBdr>
          <w:divsChild>
            <w:div w:id="89053448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7294434">
      <w:bodyDiv w:val="1"/>
      <w:marLeft w:val="0"/>
      <w:marRight w:val="0"/>
      <w:marTop w:val="0"/>
      <w:marBottom w:val="0"/>
      <w:divBdr>
        <w:top w:val="none" w:sz="0" w:space="0" w:color="auto"/>
        <w:left w:val="none" w:sz="0" w:space="0" w:color="auto"/>
        <w:bottom w:val="none" w:sz="0" w:space="0" w:color="auto"/>
        <w:right w:val="none" w:sz="0" w:space="0" w:color="auto"/>
      </w:divBdr>
      <w:divsChild>
        <w:div w:id="1493374204">
          <w:marLeft w:val="0"/>
          <w:marRight w:val="0"/>
          <w:marTop w:val="0"/>
          <w:marBottom w:val="150"/>
          <w:divBdr>
            <w:top w:val="none" w:sz="0" w:space="0" w:color="auto"/>
            <w:left w:val="none" w:sz="0" w:space="0" w:color="auto"/>
            <w:bottom w:val="none" w:sz="0" w:space="0" w:color="auto"/>
            <w:right w:val="none" w:sz="0" w:space="0" w:color="auto"/>
          </w:divBdr>
        </w:div>
      </w:divsChild>
    </w:div>
    <w:div w:id="77599417">
      <w:bodyDiv w:val="1"/>
      <w:marLeft w:val="0"/>
      <w:marRight w:val="0"/>
      <w:marTop w:val="0"/>
      <w:marBottom w:val="0"/>
      <w:divBdr>
        <w:top w:val="none" w:sz="0" w:space="0" w:color="auto"/>
        <w:left w:val="none" w:sz="0" w:space="0" w:color="auto"/>
        <w:bottom w:val="none" w:sz="0" w:space="0" w:color="auto"/>
        <w:right w:val="none" w:sz="0" w:space="0" w:color="auto"/>
      </w:divBdr>
      <w:divsChild>
        <w:div w:id="597366565">
          <w:marLeft w:val="0"/>
          <w:marRight w:val="0"/>
          <w:marTop w:val="0"/>
          <w:marBottom w:val="0"/>
          <w:divBdr>
            <w:top w:val="none" w:sz="0" w:space="0" w:color="auto"/>
            <w:left w:val="none" w:sz="0" w:space="0" w:color="auto"/>
            <w:bottom w:val="none" w:sz="0" w:space="0" w:color="auto"/>
            <w:right w:val="none" w:sz="0" w:space="0" w:color="auto"/>
          </w:divBdr>
        </w:div>
      </w:divsChild>
    </w:div>
    <w:div w:id="77793549">
      <w:bodyDiv w:val="1"/>
      <w:marLeft w:val="0"/>
      <w:marRight w:val="0"/>
      <w:marTop w:val="0"/>
      <w:marBottom w:val="0"/>
      <w:divBdr>
        <w:top w:val="none" w:sz="0" w:space="0" w:color="auto"/>
        <w:left w:val="none" w:sz="0" w:space="0" w:color="auto"/>
        <w:bottom w:val="none" w:sz="0" w:space="0" w:color="auto"/>
        <w:right w:val="none" w:sz="0" w:space="0" w:color="auto"/>
      </w:divBdr>
      <w:divsChild>
        <w:div w:id="381290483">
          <w:marLeft w:val="0"/>
          <w:marRight w:val="0"/>
          <w:marTop w:val="0"/>
          <w:marBottom w:val="0"/>
          <w:divBdr>
            <w:top w:val="none" w:sz="0" w:space="0" w:color="auto"/>
            <w:left w:val="none" w:sz="0" w:space="0" w:color="auto"/>
            <w:bottom w:val="none" w:sz="0" w:space="0" w:color="auto"/>
            <w:right w:val="none" w:sz="0" w:space="0" w:color="auto"/>
          </w:divBdr>
          <w:divsChild>
            <w:div w:id="287274029">
              <w:marLeft w:val="0"/>
              <w:marRight w:val="0"/>
              <w:marTop w:val="0"/>
              <w:marBottom w:val="0"/>
              <w:divBdr>
                <w:top w:val="none" w:sz="0" w:space="0" w:color="auto"/>
                <w:left w:val="none" w:sz="0" w:space="0" w:color="auto"/>
                <w:bottom w:val="none" w:sz="0" w:space="0" w:color="auto"/>
                <w:right w:val="none" w:sz="0" w:space="0" w:color="auto"/>
              </w:divBdr>
              <w:divsChild>
                <w:div w:id="1245216704">
                  <w:marLeft w:val="0"/>
                  <w:marRight w:val="0"/>
                  <w:marTop w:val="0"/>
                  <w:marBottom w:val="0"/>
                  <w:divBdr>
                    <w:top w:val="none" w:sz="0" w:space="0" w:color="auto"/>
                    <w:left w:val="none" w:sz="0" w:space="0" w:color="auto"/>
                    <w:bottom w:val="none" w:sz="0" w:space="0" w:color="auto"/>
                    <w:right w:val="none" w:sz="0" w:space="0" w:color="auto"/>
                  </w:divBdr>
                  <w:divsChild>
                    <w:div w:id="2129545296">
                      <w:marLeft w:val="0"/>
                      <w:marRight w:val="0"/>
                      <w:marTop w:val="0"/>
                      <w:marBottom w:val="0"/>
                      <w:divBdr>
                        <w:top w:val="none" w:sz="0" w:space="0" w:color="auto"/>
                        <w:left w:val="none" w:sz="0" w:space="0" w:color="auto"/>
                        <w:bottom w:val="none" w:sz="0" w:space="0" w:color="auto"/>
                        <w:right w:val="none" w:sz="0" w:space="0" w:color="auto"/>
                      </w:divBdr>
                      <w:divsChild>
                        <w:div w:id="193928257">
                          <w:marLeft w:val="0"/>
                          <w:marRight w:val="0"/>
                          <w:marTop w:val="0"/>
                          <w:marBottom w:val="0"/>
                          <w:divBdr>
                            <w:top w:val="none" w:sz="0" w:space="0" w:color="auto"/>
                            <w:left w:val="none" w:sz="0" w:space="0" w:color="auto"/>
                            <w:bottom w:val="none" w:sz="0" w:space="0" w:color="auto"/>
                            <w:right w:val="none" w:sz="0" w:space="0" w:color="auto"/>
                          </w:divBdr>
                          <w:divsChild>
                            <w:div w:id="971667394">
                              <w:marLeft w:val="0"/>
                              <w:marRight w:val="0"/>
                              <w:marTop w:val="0"/>
                              <w:marBottom w:val="0"/>
                              <w:divBdr>
                                <w:top w:val="none" w:sz="0" w:space="0" w:color="auto"/>
                                <w:left w:val="none" w:sz="0" w:space="0" w:color="auto"/>
                                <w:bottom w:val="none" w:sz="0" w:space="0" w:color="auto"/>
                                <w:right w:val="none" w:sz="0" w:space="0" w:color="auto"/>
                              </w:divBdr>
                              <w:divsChild>
                                <w:div w:id="170802285">
                                  <w:marLeft w:val="0"/>
                                  <w:marRight w:val="0"/>
                                  <w:marTop w:val="0"/>
                                  <w:marBottom w:val="0"/>
                                  <w:divBdr>
                                    <w:top w:val="none" w:sz="0" w:space="0" w:color="auto"/>
                                    <w:left w:val="none" w:sz="0" w:space="0" w:color="auto"/>
                                    <w:bottom w:val="none" w:sz="0" w:space="0" w:color="auto"/>
                                    <w:right w:val="none" w:sz="0" w:space="0" w:color="auto"/>
                                  </w:divBdr>
                                  <w:divsChild>
                                    <w:div w:id="157446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8811">
      <w:bodyDiv w:val="1"/>
      <w:marLeft w:val="0"/>
      <w:marRight w:val="0"/>
      <w:marTop w:val="0"/>
      <w:marBottom w:val="0"/>
      <w:divBdr>
        <w:top w:val="none" w:sz="0" w:space="0" w:color="auto"/>
        <w:left w:val="none" w:sz="0" w:space="0" w:color="auto"/>
        <w:bottom w:val="none" w:sz="0" w:space="0" w:color="auto"/>
        <w:right w:val="none" w:sz="0" w:space="0" w:color="auto"/>
      </w:divBdr>
      <w:divsChild>
        <w:div w:id="958072185">
          <w:marLeft w:val="0"/>
          <w:marRight w:val="0"/>
          <w:marTop w:val="0"/>
          <w:marBottom w:val="0"/>
          <w:divBdr>
            <w:top w:val="none" w:sz="0" w:space="0" w:color="auto"/>
            <w:left w:val="none" w:sz="0" w:space="0" w:color="auto"/>
            <w:bottom w:val="none" w:sz="0" w:space="0" w:color="auto"/>
            <w:right w:val="none" w:sz="0" w:space="0" w:color="auto"/>
          </w:divBdr>
          <w:divsChild>
            <w:div w:id="82144115">
              <w:marLeft w:val="0"/>
              <w:marRight w:val="0"/>
              <w:marTop w:val="0"/>
              <w:marBottom w:val="0"/>
              <w:divBdr>
                <w:top w:val="none" w:sz="0" w:space="0" w:color="auto"/>
                <w:left w:val="none" w:sz="0" w:space="0" w:color="auto"/>
                <w:bottom w:val="none" w:sz="0" w:space="0" w:color="auto"/>
                <w:right w:val="none" w:sz="0" w:space="0" w:color="auto"/>
              </w:divBdr>
              <w:divsChild>
                <w:div w:id="1425568546">
                  <w:marLeft w:val="0"/>
                  <w:marRight w:val="0"/>
                  <w:marTop w:val="0"/>
                  <w:marBottom w:val="0"/>
                  <w:divBdr>
                    <w:top w:val="none" w:sz="0" w:space="0" w:color="auto"/>
                    <w:left w:val="none" w:sz="0" w:space="0" w:color="auto"/>
                    <w:bottom w:val="none" w:sz="0" w:space="0" w:color="auto"/>
                    <w:right w:val="none" w:sz="0" w:space="0" w:color="auto"/>
                  </w:divBdr>
                  <w:divsChild>
                    <w:div w:id="565260770">
                      <w:marLeft w:val="0"/>
                      <w:marRight w:val="0"/>
                      <w:marTop w:val="0"/>
                      <w:marBottom w:val="0"/>
                      <w:divBdr>
                        <w:top w:val="none" w:sz="0" w:space="0" w:color="auto"/>
                        <w:left w:val="none" w:sz="0" w:space="0" w:color="auto"/>
                        <w:bottom w:val="none" w:sz="0" w:space="0" w:color="auto"/>
                        <w:right w:val="none" w:sz="0" w:space="0" w:color="auto"/>
                      </w:divBdr>
                      <w:divsChild>
                        <w:div w:id="294872902">
                          <w:marLeft w:val="0"/>
                          <w:marRight w:val="0"/>
                          <w:marTop w:val="0"/>
                          <w:marBottom w:val="0"/>
                          <w:divBdr>
                            <w:top w:val="none" w:sz="0" w:space="0" w:color="auto"/>
                            <w:left w:val="none" w:sz="0" w:space="0" w:color="auto"/>
                            <w:bottom w:val="none" w:sz="0" w:space="0" w:color="auto"/>
                            <w:right w:val="none" w:sz="0" w:space="0" w:color="auto"/>
                          </w:divBdr>
                          <w:divsChild>
                            <w:div w:id="1296833852">
                              <w:marLeft w:val="0"/>
                              <w:marRight w:val="0"/>
                              <w:marTop w:val="0"/>
                              <w:marBottom w:val="0"/>
                              <w:divBdr>
                                <w:top w:val="none" w:sz="0" w:space="0" w:color="auto"/>
                                <w:left w:val="none" w:sz="0" w:space="0" w:color="auto"/>
                                <w:bottom w:val="none" w:sz="0" w:space="0" w:color="auto"/>
                                <w:right w:val="none" w:sz="0" w:space="0" w:color="auto"/>
                              </w:divBdr>
                              <w:divsChild>
                                <w:div w:id="288825258">
                                  <w:marLeft w:val="0"/>
                                  <w:marRight w:val="0"/>
                                  <w:marTop w:val="0"/>
                                  <w:marBottom w:val="0"/>
                                  <w:divBdr>
                                    <w:top w:val="none" w:sz="0" w:space="0" w:color="auto"/>
                                    <w:left w:val="none" w:sz="0" w:space="0" w:color="auto"/>
                                    <w:bottom w:val="none" w:sz="0" w:space="0" w:color="auto"/>
                                    <w:right w:val="none" w:sz="0" w:space="0" w:color="auto"/>
                                  </w:divBdr>
                                  <w:divsChild>
                                    <w:div w:id="397367112">
                                      <w:marLeft w:val="0"/>
                                      <w:marRight w:val="0"/>
                                      <w:marTop w:val="0"/>
                                      <w:marBottom w:val="0"/>
                                      <w:divBdr>
                                        <w:top w:val="none" w:sz="0" w:space="0" w:color="auto"/>
                                        <w:left w:val="none" w:sz="0" w:space="0" w:color="auto"/>
                                        <w:bottom w:val="none" w:sz="0" w:space="0" w:color="auto"/>
                                        <w:right w:val="none" w:sz="0" w:space="0" w:color="auto"/>
                                      </w:divBdr>
                                      <w:divsChild>
                                        <w:div w:id="165833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213519">
      <w:bodyDiv w:val="1"/>
      <w:marLeft w:val="0"/>
      <w:marRight w:val="0"/>
      <w:marTop w:val="0"/>
      <w:marBottom w:val="0"/>
      <w:divBdr>
        <w:top w:val="none" w:sz="0" w:space="0" w:color="auto"/>
        <w:left w:val="none" w:sz="0" w:space="0" w:color="auto"/>
        <w:bottom w:val="none" w:sz="0" w:space="0" w:color="auto"/>
        <w:right w:val="none" w:sz="0" w:space="0" w:color="auto"/>
      </w:divBdr>
      <w:divsChild>
        <w:div w:id="815948927">
          <w:marLeft w:val="0"/>
          <w:marRight w:val="0"/>
          <w:marTop w:val="0"/>
          <w:marBottom w:val="0"/>
          <w:divBdr>
            <w:top w:val="none" w:sz="0" w:space="0" w:color="auto"/>
            <w:left w:val="none" w:sz="0" w:space="0" w:color="auto"/>
            <w:bottom w:val="dotted" w:sz="6" w:space="4" w:color="DDDDDD"/>
            <w:right w:val="none" w:sz="0" w:space="0" w:color="auto"/>
          </w:divBdr>
          <w:divsChild>
            <w:div w:id="116878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5434">
      <w:bodyDiv w:val="1"/>
      <w:marLeft w:val="0"/>
      <w:marRight w:val="0"/>
      <w:marTop w:val="0"/>
      <w:marBottom w:val="0"/>
      <w:divBdr>
        <w:top w:val="none" w:sz="0" w:space="0" w:color="auto"/>
        <w:left w:val="none" w:sz="0" w:space="0" w:color="auto"/>
        <w:bottom w:val="none" w:sz="0" w:space="0" w:color="auto"/>
        <w:right w:val="none" w:sz="0" w:space="0" w:color="auto"/>
      </w:divBdr>
      <w:divsChild>
        <w:div w:id="419369879">
          <w:marLeft w:val="0"/>
          <w:marRight w:val="0"/>
          <w:marTop w:val="0"/>
          <w:marBottom w:val="0"/>
          <w:divBdr>
            <w:top w:val="none" w:sz="0" w:space="0" w:color="auto"/>
            <w:left w:val="none" w:sz="0" w:space="0" w:color="auto"/>
            <w:bottom w:val="none" w:sz="0" w:space="0" w:color="auto"/>
            <w:right w:val="none" w:sz="0" w:space="0" w:color="auto"/>
          </w:divBdr>
          <w:divsChild>
            <w:div w:id="930744675">
              <w:marLeft w:val="0"/>
              <w:marRight w:val="0"/>
              <w:marTop w:val="0"/>
              <w:marBottom w:val="0"/>
              <w:divBdr>
                <w:top w:val="none" w:sz="0" w:space="0" w:color="auto"/>
                <w:left w:val="none" w:sz="0" w:space="0" w:color="auto"/>
                <w:bottom w:val="none" w:sz="0" w:space="0" w:color="auto"/>
                <w:right w:val="none" w:sz="0" w:space="0" w:color="auto"/>
              </w:divBdr>
              <w:divsChild>
                <w:div w:id="533688026">
                  <w:marLeft w:val="0"/>
                  <w:marRight w:val="0"/>
                  <w:marTop w:val="0"/>
                  <w:marBottom w:val="0"/>
                  <w:divBdr>
                    <w:top w:val="none" w:sz="0" w:space="0" w:color="auto"/>
                    <w:left w:val="none" w:sz="0" w:space="0" w:color="auto"/>
                    <w:bottom w:val="none" w:sz="0" w:space="0" w:color="auto"/>
                    <w:right w:val="none" w:sz="0" w:space="0" w:color="auto"/>
                  </w:divBdr>
                  <w:divsChild>
                    <w:div w:id="935211940">
                      <w:marLeft w:val="0"/>
                      <w:marRight w:val="0"/>
                      <w:marTop w:val="0"/>
                      <w:marBottom w:val="0"/>
                      <w:divBdr>
                        <w:top w:val="none" w:sz="0" w:space="0" w:color="auto"/>
                        <w:left w:val="none" w:sz="0" w:space="0" w:color="auto"/>
                        <w:bottom w:val="none" w:sz="0" w:space="0" w:color="auto"/>
                        <w:right w:val="none" w:sz="0" w:space="0" w:color="auto"/>
                      </w:divBdr>
                      <w:divsChild>
                        <w:div w:id="1548102957">
                          <w:marLeft w:val="0"/>
                          <w:marRight w:val="0"/>
                          <w:marTop w:val="0"/>
                          <w:marBottom w:val="0"/>
                          <w:divBdr>
                            <w:top w:val="none" w:sz="0" w:space="0" w:color="auto"/>
                            <w:left w:val="none" w:sz="0" w:space="0" w:color="auto"/>
                            <w:bottom w:val="none" w:sz="0" w:space="0" w:color="auto"/>
                            <w:right w:val="none" w:sz="0" w:space="0" w:color="auto"/>
                          </w:divBdr>
                          <w:divsChild>
                            <w:div w:id="269701638">
                              <w:marLeft w:val="0"/>
                              <w:marRight w:val="0"/>
                              <w:marTop w:val="0"/>
                              <w:marBottom w:val="0"/>
                              <w:divBdr>
                                <w:top w:val="none" w:sz="0" w:space="0" w:color="auto"/>
                                <w:left w:val="none" w:sz="0" w:space="0" w:color="auto"/>
                                <w:bottom w:val="none" w:sz="0" w:space="0" w:color="auto"/>
                                <w:right w:val="none" w:sz="0" w:space="0" w:color="auto"/>
                              </w:divBdr>
                              <w:divsChild>
                                <w:div w:id="783429455">
                                  <w:marLeft w:val="0"/>
                                  <w:marRight w:val="0"/>
                                  <w:marTop w:val="0"/>
                                  <w:marBottom w:val="0"/>
                                  <w:divBdr>
                                    <w:top w:val="none" w:sz="0" w:space="0" w:color="auto"/>
                                    <w:left w:val="none" w:sz="0" w:space="0" w:color="auto"/>
                                    <w:bottom w:val="none" w:sz="0" w:space="0" w:color="auto"/>
                                    <w:right w:val="none" w:sz="0" w:space="0" w:color="auto"/>
                                  </w:divBdr>
                                  <w:divsChild>
                                    <w:div w:id="96904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46548">
      <w:bodyDiv w:val="1"/>
      <w:marLeft w:val="0"/>
      <w:marRight w:val="0"/>
      <w:marTop w:val="0"/>
      <w:marBottom w:val="0"/>
      <w:divBdr>
        <w:top w:val="none" w:sz="0" w:space="0" w:color="auto"/>
        <w:left w:val="none" w:sz="0" w:space="0" w:color="auto"/>
        <w:bottom w:val="none" w:sz="0" w:space="0" w:color="auto"/>
        <w:right w:val="none" w:sz="0" w:space="0" w:color="auto"/>
      </w:divBdr>
    </w:div>
    <w:div w:id="78987941">
      <w:bodyDiv w:val="1"/>
      <w:marLeft w:val="0"/>
      <w:marRight w:val="0"/>
      <w:marTop w:val="0"/>
      <w:marBottom w:val="0"/>
      <w:divBdr>
        <w:top w:val="none" w:sz="0" w:space="0" w:color="auto"/>
        <w:left w:val="none" w:sz="0" w:space="0" w:color="auto"/>
        <w:bottom w:val="none" w:sz="0" w:space="0" w:color="auto"/>
        <w:right w:val="none" w:sz="0" w:space="0" w:color="auto"/>
      </w:divBdr>
      <w:divsChild>
        <w:div w:id="2069180753">
          <w:marLeft w:val="0"/>
          <w:marRight w:val="0"/>
          <w:marTop w:val="0"/>
          <w:marBottom w:val="0"/>
          <w:divBdr>
            <w:top w:val="none" w:sz="0" w:space="0" w:color="auto"/>
            <w:left w:val="none" w:sz="0" w:space="0" w:color="auto"/>
            <w:bottom w:val="none" w:sz="0" w:space="0" w:color="auto"/>
            <w:right w:val="none" w:sz="0" w:space="0" w:color="auto"/>
          </w:divBdr>
          <w:divsChild>
            <w:div w:id="720642200">
              <w:marLeft w:val="0"/>
              <w:marRight w:val="0"/>
              <w:marTop w:val="0"/>
              <w:marBottom w:val="0"/>
              <w:divBdr>
                <w:top w:val="none" w:sz="0" w:space="0" w:color="auto"/>
                <w:left w:val="none" w:sz="0" w:space="0" w:color="auto"/>
                <w:bottom w:val="none" w:sz="0" w:space="0" w:color="auto"/>
                <w:right w:val="none" w:sz="0" w:space="0" w:color="auto"/>
              </w:divBdr>
              <w:divsChild>
                <w:div w:id="986586752">
                  <w:marLeft w:val="0"/>
                  <w:marRight w:val="0"/>
                  <w:marTop w:val="0"/>
                  <w:marBottom w:val="0"/>
                  <w:divBdr>
                    <w:top w:val="none" w:sz="0" w:space="0" w:color="auto"/>
                    <w:left w:val="none" w:sz="0" w:space="0" w:color="auto"/>
                    <w:bottom w:val="none" w:sz="0" w:space="0" w:color="auto"/>
                    <w:right w:val="none" w:sz="0" w:space="0" w:color="auto"/>
                  </w:divBdr>
                  <w:divsChild>
                    <w:div w:id="1441990248">
                      <w:marLeft w:val="0"/>
                      <w:marRight w:val="0"/>
                      <w:marTop w:val="0"/>
                      <w:marBottom w:val="0"/>
                      <w:divBdr>
                        <w:top w:val="none" w:sz="0" w:space="0" w:color="auto"/>
                        <w:left w:val="none" w:sz="0" w:space="0" w:color="auto"/>
                        <w:bottom w:val="none" w:sz="0" w:space="0" w:color="auto"/>
                        <w:right w:val="none" w:sz="0" w:space="0" w:color="auto"/>
                      </w:divBdr>
                      <w:divsChild>
                        <w:div w:id="2006779203">
                          <w:marLeft w:val="0"/>
                          <w:marRight w:val="0"/>
                          <w:marTop w:val="0"/>
                          <w:marBottom w:val="0"/>
                          <w:divBdr>
                            <w:top w:val="none" w:sz="0" w:space="0" w:color="auto"/>
                            <w:left w:val="none" w:sz="0" w:space="0" w:color="auto"/>
                            <w:bottom w:val="none" w:sz="0" w:space="0" w:color="auto"/>
                            <w:right w:val="none" w:sz="0" w:space="0" w:color="auto"/>
                          </w:divBdr>
                          <w:divsChild>
                            <w:div w:id="88633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9471">
      <w:bodyDiv w:val="1"/>
      <w:marLeft w:val="0"/>
      <w:marRight w:val="0"/>
      <w:marTop w:val="0"/>
      <w:marBottom w:val="0"/>
      <w:divBdr>
        <w:top w:val="none" w:sz="0" w:space="0" w:color="auto"/>
        <w:left w:val="none" w:sz="0" w:space="0" w:color="auto"/>
        <w:bottom w:val="none" w:sz="0" w:space="0" w:color="auto"/>
        <w:right w:val="none" w:sz="0" w:space="0" w:color="auto"/>
      </w:divBdr>
      <w:divsChild>
        <w:div w:id="1094738741">
          <w:marLeft w:val="0"/>
          <w:marRight w:val="0"/>
          <w:marTop w:val="0"/>
          <w:marBottom w:val="0"/>
          <w:divBdr>
            <w:top w:val="none" w:sz="0" w:space="0" w:color="auto"/>
            <w:left w:val="none" w:sz="0" w:space="0" w:color="auto"/>
            <w:bottom w:val="none" w:sz="0" w:space="0" w:color="auto"/>
            <w:right w:val="none" w:sz="0" w:space="0" w:color="auto"/>
          </w:divBdr>
          <w:divsChild>
            <w:div w:id="618610551">
              <w:marLeft w:val="0"/>
              <w:marRight w:val="0"/>
              <w:marTop w:val="0"/>
              <w:marBottom w:val="0"/>
              <w:divBdr>
                <w:top w:val="none" w:sz="0" w:space="0" w:color="auto"/>
                <w:left w:val="none" w:sz="0" w:space="0" w:color="auto"/>
                <w:bottom w:val="none" w:sz="0" w:space="0" w:color="auto"/>
                <w:right w:val="none" w:sz="0" w:space="0" w:color="auto"/>
              </w:divBdr>
              <w:divsChild>
                <w:div w:id="951591596">
                  <w:marLeft w:val="0"/>
                  <w:marRight w:val="0"/>
                  <w:marTop w:val="0"/>
                  <w:marBottom w:val="0"/>
                  <w:divBdr>
                    <w:top w:val="none" w:sz="0" w:space="0" w:color="auto"/>
                    <w:left w:val="none" w:sz="0" w:space="0" w:color="auto"/>
                    <w:bottom w:val="none" w:sz="0" w:space="0" w:color="auto"/>
                    <w:right w:val="none" w:sz="0" w:space="0" w:color="auto"/>
                  </w:divBdr>
                  <w:divsChild>
                    <w:div w:id="345521051">
                      <w:marLeft w:val="0"/>
                      <w:marRight w:val="0"/>
                      <w:marTop w:val="0"/>
                      <w:marBottom w:val="0"/>
                      <w:divBdr>
                        <w:top w:val="none" w:sz="0" w:space="0" w:color="auto"/>
                        <w:left w:val="none" w:sz="0" w:space="0" w:color="auto"/>
                        <w:bottom w:val="none" w:sz="0" w:space="0" w:color="auto"/>
                        <w:right w:val="none" w:sz="0" w:space="0" w:color="auto"/>
                      </w:divBdr>
                      <w:divsChild>
                        <w:div w:id="525215500">
                          <w:marLeft w:val="0"/>
                          <w:marRight w:val="0"/>
                          <w:marTop w:val="0"/>
                          <w:marBottom w:val="0"/>
                          <w:divBdr>
                            <w:top w:val="none" w:sz="0" w:space="0" w:color="auto"/>
                            <w:left w:val="none" w:sz="0" w:space="0" w:color="auto"/>
                            <w:bottom w:val="none" w:sz="0" w:space="0" w:color="auto"/>
                            <w:right w:val="none" w:sz="0" w:space="0" w:color="auto"/>
                          </w:divBdr>
                          <w:divsChild>
                            <w:div w:id="356469919">
                              <w:marLeft w:val="0"/>
                              <w:marRight w:val="0"/>
                              <w:marTop w:val="0"/>
                              <w:marBottom w:val="0"/>
                              <w:divBdr>
                                <w:top w:val="none" w:sz="0" w:space="0" w:color="auto"/>
                                <w:left w:val="none" w:sz="0" w:space="0" w:color="auto"/>
                                <w:bottom w:val="none" w:sz="0" w:space="0" w:color="auto"/>
                                <w:right w:val="none" w:sz="0" w:space="0" w:color="auto"/>
                              </w:divBdr>
                              <w:divsChild>
                                <w:div w:id="635262429">
                                  <w:marLeft w:val="0"/>
                                  <w:marRight w:val="0"/>
                                  <w:marTop w:val="0"/>
                                  <w:marBottom w:val="0"/>
                                  <w:divBdr>
                                    <w:top w:val="none" w:sz="0" w:space="0" w:color="auto"/>
                                    <w:left w:val="none" w:sz="0" w:space="0" w:color="auto"/>
                                    <w:bottom w:val="none" w:sz="0" w:space="0" w:color="auto"/>
                                    <w:right w:val="none" w:sz="0" w:space="0" w:color="auto"/>
                                  </w:divBdr>
                                  <w:divsChild>
                                    <w:div w:id="137280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75202">
      <w:bodyDiv w:val="1"/>
      <w:marLeft w:val="0"/>
      <w:marRight w:val="0"/>
      <w:marTop w:val="0"/>
      <w:marBottom w:val="0"/>
      <w:divBdr>
        <w:top w:val="none" w:sz="0" w:space="0" w:color="auto"/>
        <w:left w:val="none" w:sz="0" w:space="0" w:color="auto"/>
        <w:bottom w:val="none" w:sz="0" w:space="0" w:color="auto"/>
        <w:right w:val="none" w:sz="0" w:space="0" w:color="auto"/>
      </w:divBdr>
      <w:divsChild>
        <w:div w:id="861625339">
          <w:marLeft w:val="0"/>
          <w:marRight w:val="0"/>
          <w:marTop w:val="0"/>
          <w:marBottom w:val="150"/>
          <w:divBdr>
            <w:top w:val="none" w:sz="0" w:space="0" w:color="auto"/>
            <w:left w:val="none" w:sz="0" w:space="0" w:color="auto"/>
            <w:bottom w:val="none" w:sz="0" w:space="0" w:color="auto"/>
            <w:right w:val="none" w:sz="0" w:space="0" w:color="auto"/>
          </w:divBdr>
        </w:div>
        <w:div w:id="969016068">
          <w:marLeft w:val="0"/>
          <w:marRight w:val="0"/>
          <w:marTop w:val="0"/>
          <w:marBottom w:val="150"/>
          <w:divBdr>
            <w:top w:val="none" w:sz="0" w:space="0" w:color="auto"/>
            <w:left w:val="none" w:sz="0" w:space="0" w:color="auto"/>
            <w:bottom w:val="none" w:sz="0" w:space="0" w:color="auto"/>
            <w:right w:val="none" w:sz="0" w:space="0" w:color="auto"/>
          </w:divBdr>
          <w:divsChild>
            <w:div w:id="624429952">
              <w:marLeft w:val="0"/>
              <w:marRight w:val="0"/>
              <w:marTop w:val="0"/>
              <w:marBottom w:val="0"/>
              <w:divBdr>
                <w:top w:val="none" w:sz="0" w:space="0" w:color="auto"/>
                <w:left w:val="none" w:sz="0" w:space="0" w:color="auto"/>
                <w:bottom w:val="none" w:sz="0" w:space="0" w:color="auto"/>
                <w:right w:val="none" w:sz="0" w:space="0" w:color="auto"/>
              </w:divBdr>
              <w:divsChild>
                <w:div w:id="101495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36031">
          <w:marLeft w:val="0"/>
          <w:marRight w:val="0"/>
          <w:marTop w:val="0"/>
          <w:marBottom w:val="0"/>
          <w:divBdr>
            <w:top w:val="none" w:sz="0" w:space="0" w:color="auto"/>
            <w:left w:val="none" w:sz="0" w:space="0" w:color="auto"/>
            <w:bottom w:val="none" w:sz="0" w:space="0" w:color="auto"/>
            <w:right w:val="none" w:sz="0" w:space="0" w:color="auto"/>
          </w:divBdr>
          <w:divsChild>
            <w:div w:id="185723252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9568777">
      <w:bodyDiv w:val="1"/>
      <w:marLeft w:val="0"/>
      <w:marRight w:val="0"/>
      <w:marTop w:val="0"/>
      <w:marBottom w:val="0"/>
      <w:divBdr>
        <w:top w:val="none" w:sz="0" w:space="0" w:color="auto"/>
        <w:left w:val="none" w:sz="0" w:space="0" w:color="auto"/>
        <w:bottom w:val="none" w:sz="0" w:space="0" w:color="auto"/>
        <w:right w:val="none" w:sz="0" w:space="0" w:color="auto"/>
      </w:divBdr>
      <w:divsChild>
        <w:div w:id="1325739101">
          <w:marLeft w:val="0"/>
          <w:marRight w:val="0"/>
          <w:marTop w:val="0"/>
          <w:marBottom w:val="0"/>
          <w:divBdr>
            <w:top w:val="none" w:sz="0" w:space="0" w:color="auto"/>
            <w:left w:val="none" w:sz="0" w:space="0" w:color="auto"/>
            <w:bottom w:val="dotted" w:sz="6" w:space="4" w:color="DDDDDD"/>
            <w:right w:val="none" w:sz="0" w:space="0" w:color="auto"/>
          </w:divBdr>
        </w:div>
      </w:divsChild>
    </w:div>
    <w:div w:id="79913565">
      <w:bodyDiv w:val="1"/>
      <w:marLeft w:val="0"/>
      <w:marRight w:val="0"/>
      <w:marTop w:val="0"/>
      <w:marBottom w:val="0"/>
      <w:divBdr>
        <w:top w:val="none" w:sz="0" w:space="0" w:color="auto"/>
        <w:left w:val="none" w:sz="0" w:space="0" w:color="auto"/>
        <w:bottom w:val="none" w:sz="0" w:space="0" w:color="auto"/>
        <w:right w:val="none" w:sz="0" w:space="0" w:color="auto"/>
      </w:divBdr>
      <w:divsChild>
        <w:div w:id="1717703087">
          <w:marLeft w:val="0"/>
          <w:marRight w:val="0"/>
          <w:marTop w:val="0"/>
          <w:marBottom w:val="0"/>
          <w:divBdr>
            <w:top w:val="none" w:sz="0" w:space="0" w:color="auto"/>
            <w:left w:val="none" w:sz="0" w:space="0" w:color="auto"/>
            <w:bottom w:val="none" w:sz="0" w:space="0" w:color="auto"/>
            <w:right w:val="none" w:sz="0" w:space="0" w:color="auto"/>
          </w:divBdr>
          <w:divsChild>
            <w:div w:id="147791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80712">
      <w:bodyDiv w:val="1"/>
      <w:marLeft w:val="0"/>
      <w:marRight w:val="0"/>
      <w:marTop w:val="0"/>
      <w:marBottom w:val="0"/>
      <w:divBdr>
        <w:top w:val="none" w:sz="0" w:space="0" w:color="auto"/>
        <w:left w:val="none" w:sz="0" w:space="0" w:color="auto"/>
        <w:bottom w:val="none" w:sz="0" w:space="0" w:color="auto"/>
        <w:right w:val="none" w:sz="0" w:space="0" w:color="auto"/>
      </w:divBdr>
      <w:divsChild>
        <w:div w:id="1719671359">
          <w:marLeft w:val="0"/>
          <w:marRight w:val="0"/>
          <w:marTop w:val="0"/>
          <w:marBottom w:val="0"/>
          <w:divBdr>
            <w:top w:val="none" w:sz="0" w:space="0" w:color="auto"/>
            <w:left w:val="none" w:sz="0" w:space="0" w:color="auto"/>
            <w:bottom w:val="none" w:sz="0" w:space="0" w:color="auto"/>
            <w:right w:val="none" w:sz="0" w:space="0" w:color="auto"/>
          </w:divBdr>
          <w:divsChild>
            <w:div w:id="3690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31446">
      <w:bodyDiv w:val="1"/>
      <w:marLeft w:val="0"/>
      <w:marRight w:val="0"/>
      <w:marTop w:val="0"/>
      <w:marBottom w:val="0"/>
      <w:divBdr>
        <w:top w:val="none" w:sz="0" w:space="0" w:color="auto"/>
        <w:left w:val="none" w:sz="0" w:space="0" w:color="auto"/>
        <w:bottom w:val="none" w:sz="0" w:space="0" w:color="auto"/>
        <w:right w:val="none" w:sz="0" w:space="0" w:color="auto"/>
      </w:divBdr>
    </w:div>
    <w:div w:id="80880335">
      <w:bodyDiv w:val="1"/>
      <w:marLeft w:val="0"/>
      <w:marRight w:val="0"/>
      <w:marTop w:val="0"/>
      <w:marBottom w:val="0"/>
      <w:divBdr>
        <w:top w:val="none" w:sz="0" w:space="0" w:color="auto"/>
        <w:left w:val="none" w:sz="0" w:space="0" w:color="auto"/>
        <w:bottom w:val="none" w:sz="0" w:space="0" w:color="auto"/>
        <w:right w:val="none" w:sz="0" w:space="0" w:color="auto"/>
      </w:divBdr>
      <w:divsChild>
        <w:div w:id="1847868674">
          <w:marLeft w:val="0"/>
          <w:marRight w:val="0"/>
          <w:marTop w:val="0"/>
          <w:marBottom w:val="0"/>
          <w:divBdr>
            <w:top w:val="none" w:sz="0" w:space="0" w:color="auto"/>
            <w:left w:val="none" w:sz="0" w:space="0" w:color="auto"/>
            <w:bottom w:val="none" w:sz="0" w:space="0" w:color="auto"/>
            <w:right w:val="none" w:sz="0" w:space="0" w:color="auto"/>
          </w:divBdr>
          <w:divsChild>
            <w:div w:id="381248355">
              <w:marLeft w:val="0"/>
              <w:marRight w:val="0"/>
              <w:marTop w:val="0"/>
              <w:marBottom w:val="0"/>
              <w:divBdr>
                <w:top w:val="none" w:sz="0" w:space="0" w:color="auto"/>
                <w:left w:val="none" w:sz="0" w:space="0" w:color="auto"/>
                <w:bottom w:val="none" w:sz="0" w:space="0" w:color="auto"/>
                <w:right w:val="none" w:sz="0" w:space="0" w:color="auto"/>
              </w:divBdr>
              <w:divsChild>
                <w:div w:id="1982954091">
                  <w:marLeft w:val="0"/>
                  <w:marRight w:val="0"/>
                  <w:marTop w:val="0"/>
                  <w:marBottom w:val="0"/>
                  <w:divBdr>
                    <w:top w:val="none" w:sz="0" w:space="0" w:color="auto"/>
                    <w:left w:val="none" w:sz="0" w:space="0" w:color="auto"/>
                    <w:bottom w:val="none" w:sz="0" w:space="0" w:color="auto"/>
                    <w:right w:val="none" w:sz="0" w:space="0" w:color="auto"/>
                  </w:divBdr>
                  <w:divsChild>
                    <w:div w:id="1848326371">
                      <w:marLeft w:val="0"/>
                      <w:marRight w:val="0"/>
                      <w:marTop w:val="0"/>
                      <w:marBottom w:val="0"/>
                      <w:divBdr>
                        <w:top w:val="none" w:sz="0" w:space="0" w:color="auto"/>
                        <w:left w:val="none" w:sz="0" w:space="0" w:color="auto"/>
                        <w:bottom w:val="none" w:sz="0" w:space="0" w:color="auto"/>
                        <w:right w:val="none" w:sz="0" w:space="0" w:color="auto"/>
                      </w:divBdr>
                      <w:divsChild>
                        <w:div w:id="729112188">
                          <w:marLeft w:val="0"/>
                          <w:marRight w:val="0"/>
                          <w:marTop w:val="0"/>
                          <w:marBottom w:val="0"/>
                          <w:divBdr>
                            <w:top w:val="none" w:sz="0" w:space="0" w:color="auto"/>
                            <w:left w:val="none" w:sz="0" w:space="0" w:color="auto"/>
                            <w:bottom w:val="none" w:sz="0" w:space="0" w:color="auto"/>
                            <w:right w:val="none" w:sz="0" w:space="0" w:color="auto"/>
                          </w:divBdr>
                          <w:divsChild>
                            <w:div w:id="1678269321">
                              <w:marLeft w:val="0"/>
                              <w:marRight w:val="0"/>
                              <w:marTop w:val="0"/>
                              <w:marBottom w:val="0"/>
                              <w:divBdr>
                                <w:top w:val="none" w:sz="0" w:space="0" w:color="auto"/>
                                <w:left w:val="none" w:sz="0" w:space="0" w:color="auto"/>
                                <w:bottom w:val="none" w:sz="0" w:space="0" w:color="auto"/>
                                <w:right w:val="none" w:sz="0" w:space="0" w:color="auto"/>
                              </w:divBdr>
                              <w:divsChild>
                                <w:div w:id="602306471">
                                  <w:marLeft w:val="0"/>
                                  <w:marRight w:val="0"/>
                                  <w:marTop w:val="0"/>
                                  <w:marBottom w:val="0"/>
                                  <w:divBdr>
                                    <w:top w:val="none" w:sz="0" w:space="0" w:color="auto"/>
                                    <w:left w:val="none" w:sz="0" w:space="0" w:color="auto"/>
                                    <w:bottom w:val="none" w:sz="0" w:space="0" w:color="auto"/>
                                    <w:right w:val="none" w:sz="0" w:space="0" w:color="auto"/>
                                  </w:divBdr>
                                  <w:divsChild>
                                    <w:div w:id="15757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949384">
      <w:bodyDiv w:val="1"/>
      <w:marLeft w:val="0"/>
      <w:marRight w:val="0"/>
      <w:marTop w:val="0"/>
      <w:marBottom w:val="0"/>
      <w:divBdr>
        <w:top w:val="none" w:sz="0" w:space="0" w:color="auto"/>
        <w:left w:val="none" w:sz="0" w:space="0" w:color="auto"/>
        <w:bottom w:val="none" w:sz="0" w:space="0" w:color="auto"/>
        <w:right w:val="none" w:sz="0" w:space="0" w:color="auto"/>
      </w:divBdr>
      <w:divsChild>
        <w:div w:id="615982970">
          <w:marLeft w:val="0"/>
          <w:marRight w:val="0"/>
          <w:marTop w:val="0"/>
          <w:marBottom w:val="0"/>
          <w:divBdr>
            <w:top w:val="none" w:sz="0" w:space="0" w:color="auto"/>
            <w:left w:val="none" w:sz="0" w:space="0" w:color="auto"/>
            <w:bottom w:val="dotted" w:sz="6" w:space="4" w:color="DDDDDD"/>
            <w:right w:val="none" w:sz="0" w:space="0" w:color="auto"/>
          </w:divBdr>
        </w:div>
      </w:divsChild>
    </w:div>
    <w:div w:id="80952325">
      <w:bodyDiv w:val="1"/>
      <w:marLeft w:val="0"/>
      <w:marRight w:val="0"/>
      <w:marTop w:val="0"/>
      <w:marBottom w:val="0"/>
      <w:divBdr>
        <w:top w:val="none" w:sz="0" w:space="0" w:color="auto"/>
        <w:left w:val="none" w:sz="0" w:space="0" w:color="auto"/>
        <w:bottom w:val="none" w:sz="0" w:space="0" w:color="auto"/>
        <w:right w:val="none" w:sz="0" w:space="0" w:color="auto"/>
      </w:divBdr>
      <w:divsChild>
        <w:div w:id="277301019">
          <w:marLeft w:val="0"/>
          <w:marRight w:val="0"/>
          <w:marTop w:val="0"/>
          <w:marBottom w:val="0"/>
          <w:divBdr>
            <w:top w:val="none" w:sz="0" w:space="0" w:color="auto"/>
            <w:left w:val="none" w:sz="0" w:space="0" w:color="auto"/>
            <w:bottom w:val="dotted" w:sz="6" w:space="4" w:color="DDDDDD"/>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52934">
      <w:bodyDiv w:val="1"/>
      <w:marLeft w:val="0"/>
      <w:marRight w:val="0"/>
      <w:marTop w:val="0"/>
      <w:marBottom w:val="0"/>
      <w:divBdr>
        <w:top w:val="none" w:sz="0" w:space="0" w:color="auto"/>
        <w:left w:val="none" w:sz="0" w:space="0" w:color="auto"/>
        <w:bottom w:val="none" w:sz="0" w:space="0" w:color="auto"/>
        <w:right w:val="none" w:sz="0" w:space="0" w:color="auto"/>
      </w:divBdr>
    </w:div>
    <w:div w:id="81220733">
      <w:bodyDiv w:val="1"/>
      <w:marLeft w:val="0"/>
      <w:marRight w:val="0"/>
      <w:marTop w:val="0"/>
      <w:marBottom w:val="0"/>
      <w:divBdr>
        <w:top w:val="none" w:sz="0" w:space="0" w:color="auto"/>
        <w:left w:val="none" w:sz="0" w:space="0" w:color="auto"/>
        <w:bottom w:val="none" w:sz="0" w:space="0" w:color="auto"/>
        <w:right w:val="none" w:sz="0" w:space="0" w:color="auto"/>
      </w:divBdr>
      <w:divsChild>
        <w:div w:id="1684088952">
          <w:marLeft w:val="0"/>
          <w:marRight w:val="0"/>
          <w:marTop w:val="0"/>
          <w:marBottom w:val="225"/>
          <w:divBdr>
            <w:top w:val="single" w:sz="6" w:space="11" w:color="E5E5E5"/>
            <w:left w:val="single" w:sz="6" w:space="11" w:color="E5E5E5"/>
            <w:bottom w:val="single" w:sz="6" w:space="1" w:color="E5E5E5"/>
            <w:right w:val="single" w:sz="6" w:space="11" w:color="E5E5E5"/>
          </w:divBdr>
          <w:divsChild>
            <w:div w:id="395931663">
              <w:marLeft w:val="0"/>
              <w:marRight w:val="0"/>
              <w:marTop w:val="0"/>
              <w:marBottom w:val="0"/>
              <w:divBdr>
                <w:top w:val="none" w:sz="0" w:space="0" w:color="auto"/>
                <w:left w:val="none" w:sz="0" w:space="0" w:color="auto"/>
                <w:bottom w:val="dotted" w:sz="6" w:space="4" w:color="DDDDDD"/>
                <w:right w:val="none" w:sz="0" w:space="0" w:color="auto"/>
              </w:divBdr>
              <w:divsChild>
                <w:div w:id="549918652">
                  <w:marLeft w:val="0"/>
                  <w:marRight w:val="0"/>
                  <w:marTop w:val="0"/>
                  <w:marBottom w:val="0"/>
                  <w:divBdr>
                    <w:top w:val="none" w:sz="0" w:space="0" w:color="auto"/>
                    <w:left w:val="none" w:sz="0" w:space="0" w:color="auto"/>
                    <w:bottom w:val="none" w:sz="0" w:space="0" w:color="auto"/>
                    <w:right w:val="none" w:sz="0" w:space="0" w:color="auto"/>
                  </w:divBdr>
                </w:div>
              </w:divsChild>
            </w:div>
            <w:div w:id="1491752542">
              <w:marLeft w:val="0"/>
              <w:marRight w:val="0"/>
              <w:marTop w:val="0"/>
              <w:marBottom w:val="0"/>
              <w:divBdr>
                <w:top w:val="none" w:sz="0" w:space="0" w:color="auto"/>
                <w:left w:val="none" w:sz="0" w:space="0" w:color="auto"/>
                <w:bottom w:val="none" w:sz="0" w:space="0" w:color="auto"/>
                <w:right w:val="none" w:sz="0" w:space="0" w:color="auto"/>
              </w:divBdr>
            </w:div>
            <w:div w:id="1553688372">
              <w:marLeft w:val="0"/>
              <w:marRight w:val="0"/>
              <w:marTop w:val="0"/>
              <w:marBottom w:val="0"/>
              <w:divBdr>
                <w:top w:val="none" w:sz="0" w:space="0" w:color="auto"/>
                <w:left w:val="none" w:sz="0" w:space="0" w:color="auto"/>
                <w:bottom w:val="none" w:sz="0" w:space="0" w:color="auto"/>
                <w:right w:val="none" w:sz="0" w:space="0" w:color="auto"/>
              </w:divBdr>
              <w:divsChild>
                <w:div w:id="49337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23051">
      <w:bodyDiv w:val="1"/>
      <w:marLeft w:val="0"/>
      <w:marRight w:val="0"/>
      <w:marTop w:val="0"/>
      <w:marBottom w:val="0"/>
      <w:divBdr>
        <w:top w:val="none" w:sz="0" w:space="0" w:color="auto"/>
        <w:left w:val="none" w:sz="0" w:space="0" w:color="auto"/>
        <w:bottom w:val="none" w:sz="0" w:space="0" w:color="auto"/>
        <w:right w:val="none" w:sz="0" w:space="0" w:color="auto"/>
      </w:divBdr>
      <w:divsChild>
        <w:div w:id="1365326607">
          <w:marLeft w:val="0"/>
          <w:marRight w:val="0"/>
          <w:marTop w:val="0"/>
          <w:marBottom w:val="150"/>
          <w:divBdr>
            <w:top w:val="none" w:sz="0" w:space="0" w:color="auto"/>
            <w:left w:val="none" w:sz="0" w:space="0" w:color="auto"/>
            <w:bottom w:val="none" w:sz="0" w:space="0" w:color="auto"/>
            <w:right w:val="none" w:sz="0" w:space="0" w:color="auto"/>
          </w:divBdr>
        </w:div>
        <w:div w:id="1608585014">
          <w:marLeft w:val="0"/>
          <w:marRight w:val="0"/>
          <w:marTop w:val="0"/>
          <w:marBottom w:val="0"/>
          <w:divBdr>
            <w:top w:val="none" w:sz="0" w:space="0" w:color="auto"/>
            <w:left w:val="none" w:sz="0" w:space="0" w:color="auto"/>
            <w:bottom w:val="none" w:sz="0" w:space="0" w:color="auto"/>
            <w:right w:val="none" w:sz="0" w:space="0" w:color="auto"/>
          </w:divBdr>
        </w:div>
      </w:divsChild>
    </w:div>
    <w:div w:id="81420274">
      <w:bodyDiv w:val="1"/>
      <w:marLeft w:val="0"/>
      <w:marRight w:val="0"/>
      <w:marTop w:val="0"/>
      <w:marBottom w:val="0"/>
      <w:divBdr>
        <w:top w:val="none" w:sz="0" w:space="0" w:color="auto"/>
        <w:left w:val="none" w:sz="0" w:space="0" w:color="auto"/>
        <w:bottom w:val="none" w:sz="0" w:space="0" w:color="auto"/>
        <w:right w:val="none" w:sz="0" w:space="0" w:color="auto"/>
      </w:divBdr>
      <w:divsChild>
        <w:div w:id="139461622">
          <w:marLeft w:val="0"/>
          <w:marRight w:val="0"/>
          <w:marTop w:val="0"/>
          <w:marBottom w:val="0"/>
          <w:divBdr>
            <w:top w:val="none" w:sz="0" w:space="0" w:color="auto"/>
            <w:left w:val="none" w:sz="0" w:space="0" w:color="auto"/>
            <w:bottom w:val="dotted" w:sz="6" w:space="4" w:color="DDDDDD"/>
            <w:right w:val="none" w:sz="0" w:space="0" w:color="auto"/>
          </w:divBdr>
          <w:divsChild>
            <w:div w:id="102278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12000">
      <w:bodyDiv w:val="1"/>
      <w:marLeft w:val="0"/>
      <w:marRight w:val="0"/>
      <w:marTop w:val="0"/>
      <w:marBottom w:val="0"/>
      <w:divBdr>
        <w:top w:val="none" w:sz="0" w:space="0" w:color="auto"/>
        <w:left w:val="none" w:sz="0" w:space="0" w:color="auto"/>
        <w:bottom w:val="none" w:sz="0" w:space="0" w:color="auto"/>
        <w:right w:val="none" w:sz="0" w:space="0" w:color="auto"/>
      </w:divBdr>
      <w:divsChild>
        <w:div w:id="1256095276">
          <w:marLeft w:val="0"/>
          <w:marRight w:val="0"/>
          <w:marTop w:val="0"/>
          <w:marBottom w:val="0"/>
          <w:divBdr>
            <w:top w:val="none" w:sz="0" w:space="0" w:color="auto"/>
            <w:left w:val="none" w:sz="0" w:space="0" w:color="auto"/>
            <w:bottom w:val="none" w:sz="0" w:space="0" w:color="auto"/>
            <w:right w:val="none" w:sz="0" w:space="0" w:color="auto"/>
          </w:divBdr>
          <w:divsChild>
            <w:div w:id="504126472">
              <w:marLeft w:val="0"/>
              <w:marRight w:val="0"/>
              <w:marTop w:val="0"/>
              <w:marBottom w:val="0"/>
              <w:divBdr>
                <w:top w:val="none" w:sz="0" w:space="0" w:color="auto"/>
                <w:left w:val="none" w:sz="0" w:space="0" w:color="auto"/>
                <w:bottom w:val="none" w:sz="0" w:space="0" w:color="auto"/>
                <w:right w:val="none" w:sz="0" w:space="0" w:color="auto"/>
              </w:divBdr>
              <w:divsChild>
                <w:div w:id="1820733831">
                  <w:marLeft w:val="0"/>
                  <w:marRight w:val="0"/>
                  <w:marTop w:val="0"/>
                  <w:marBottom w:val="0"/>
                  <w:divBdr>
                    <w:top w:val="none" w:sz="0" w:space="0" w:color="auto"/>
                    <w:left w:val="none" w:sz="0" w:space="0" w:color="auto"/>
                    <w:bottom w:val="none" w:sz="0" w:space="0" w:color="auto"/>
                    <w:right w:val="none" w:sz="0" w:space="0" w:color="auto"/>
                  </w:divBdr>
                  <w:divsChild>
                    <w:div w:id="1367565845">
                      <w:marLeft w:val="0"/>
                      <w:marRight w:val="0"/>
                      <w:marTop w:val="0"/>
                      <w:marBottom w:val="0"/>
                      <w:divBdr>
                        <w:top w:val="none" w:sz="0" w:space="0" w:color="auto"/>
                        <w:left w:val="none" w:sz="0" w:space="0" w:color="auto"/>
                        <w:bottom w:val="none" w:sz="0" w:space="0" w:color="auto"/>
                        <w:right w:val="none" w:sz="0" w:space="0" w:color="auto"/>
                      </w:divBdr>
                      <w:divsChild>
                        <w:div w:id="1224683996">
                          <w:marLeft w:val="0"/>
                          <w:marRight w:val="0"/>
                          <w:marTop w:val="0"/>
                          <w:marBottom w:val="0"/>
                          <w:divBdr>
                            <w:top w:val="none" w:sz="0" w:space="0" w:color="auto"/>
                            <w:left w:val="none" w:sz="0" w:space="0" w:color="auto"/>
                            <w:bottom w:val="none" w:sz="0" w:space="0" w:color="auto"/>
                            <w:right w:val="none" w:sz="0" w:space="0" w:color="auto"/>
                          </w:divBdr>
                          <w:divsChild>
                            <w:div w:id="1528060863">
                              <w:marLeft w:val="0"/>
                              <w:marRight w:val="0"/>
                              <w:marTop w:val="0"/>
                              <w:marBottom w:val="0"/>
                              <w:divBdr>
                                <w:top w:val="none" w:sz="0" w:space="0" w:color="auto"/>
                                <w:left w:val="none" w:sz="0" w:space="0" w:color="auto"/>
                                <w:bottom w:val="none" w:sz="0" w:space="0" w:color="auto"/>
                                <w:right w:val="none" w:sz="0" w:space="0" w:color="auto"/>
                              </w:divBdr>
                              <w:divsChild>
                                <w:div w:id="23016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579972">
      <w:bodyDiv w:val="1"/>
      <w:marLeft w:val="0"/>
      <w:marRight w:val="0"/>
      <w:marTop w:val="0"/>
      <w:marBottom w:val="0"/>
      <w:divBdr>
        <w:top w:val="none" w:sz="0" w:space="0" w:color="auto"/>
        <w:left w:val="none" w:sz="0" w:space="0" w:color="auto"/>
        <w:bottom w:val="none" w:sz="0" w:space="0" w:color="auto"/>
        <w:right w:val="none" w:sz="0" w:space="0" w:color="auto"/>
      </w:divBdr>
      <w:divsChild>
        <w:div w:id="469441576">
          <w:marLeft w:val="0"/>
          <w:marRight w:val="0"/>
          <w:marTop w:val="0"/>
          <w:marBottom w:val="150"/>
          <w:divBdr>
            <w:top w:val="none" w:sz="0" w:space="0" w:color="auto"/>
            <w:left w:val="none" w:sz="0" w:space="0" w:color="auto"/>
            <w:bottom w:val="none" w:sz="0" w:space="0" w:color="auto"/>
            <w:right w:val="none" w:sz="0" w:space="0" w:color="auto"/>
          </w:divBdr>
          <w:divsChild>
            <w:div w:id="1788772108">
              <w:marLeft w:val="0"/>
              <w:marRight w:val="0"/>
              <w:marTop w:val="0"/>
              <w:marBottom w:val="0"/>
              <w:divBdr>
                <w:top w:val="none" w:sz="0" w:space="0" w:color="auto"/>
                <w:left w:val="none" w:sz="0" w:space="0" w:color="auto"/>
                <w:bottom w:val="none" w:sz="0" w:space="0" w:color="auto"/>
                <w:right w:val="none" w:sz="0" w:space="0" w:color="auto"/>
              </w:divBdr>
              <w:divsChild>
                <w:div w:id="147418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153011">
          <w:marLeft w:val="0"/>
          <w:marRight w:val="0"/>
          <w:marTop w:val="0"/>
          <w:marBottom w:val="0"/>
          <w:divBdr>
            <w:top w:val="none" w:sz="0" w:space="0" w:color="auto"/>
            <w:left w:val="none" w:sz="0" w:space="0" w:color="auto"/>
            <w:bottom w:val="none" w:sz="0" w:space="0" w:color="auto"/>
            <w:right w:val="none" w:sz="0" w:space="0" w:color="auto"/>
          </w:divBdr>
          <w:divsChild>
            <w:div w:id="118495541">
              <w:marLeft w:val="0"/>
              <w:marRight w:val="0"/>
              <w:marTop w:val="225"/>
              <w:marBottom w:val="225"/>
              <w:divBdr>
                <w:top w:val="none" w:sz="0" w:space="0" w:color="auto"/>
                <w:left w:val="none" w:sz="0" w:space="0" w:color="auto"/>
                <w:bottom w:val="none" w:sz="0" w:space="0" w:color="auto"/>
                <w:right w:val="none" w:sz="0" w:space="0" w:color="auto"/>
              </w:divBdr>
            </w:div>
          </w:divsChild>
        </w:div>
        <w:div w:id="1180004856">
          <w:marLeft w:val="0"/>
          <w:marRight w:val="0"/>
          <w:marTop w:val="0"/>
          <w:marBottom w:val="150"/>
          <w:divBdr>
            <w:top w:val="none" w:sz="0" w:space="0" w:color="auto"/>
            <w:left w:val="none" w:sz="0" w:space="0" w:color="auto"/>
            <w:bottom w:val="none" w:sz="0" w:space="0" w:color="auto"/>
            <w:right w:val="none" w:sz="0" w:space="0" w:color="auto"/>
          </w:divBdr>
        </w:div>
      </w:divsChild>
    </w:div>
    <w:div w:id="82840921">
      <w:bodyDiv w:val="1"/>
      <w:marLeft w:val="0"/>
      <w:marRight w:val="0"/>
      <w:marTop w:val="0"/>
      <w:marBottom w:val="0"/>
      <w:divBdr>
        <w:top w:val="none" w:sz="0" w:space="0" w:color="auto"/>
        <w:left w:val="none" w:sz="0" w:space="0" w:color="auto"/>
        <w:bottom w:val="none" w:sz="0" w:space="0" w:color="auto"/>
        <w:right w:val="none" w:sz="0" w:space="0" w:color="auto"/>
      </w:divBdr>
    </w:div>
    <w:div w:id="83035031">
      <w:bodyDiv w:val="1"/>
      <w:marLeft w:val="0"/>
      <w:marRight w:val="0"/>
      <w:marTop w:val="0"/>
      <w:marBottom w:val="0"/>
      <w:divBdr>
        <w:top w:val="none" w:sz="0" w:space="0" w:color="auto"/>
        <w:left w:val="none" w:sz="0" w:space="0" w:color="auto"/>
        <w:bottom w:val="none" w:sz="0" w:space="0" w:color="auto"/>
        <w:right w:val="none" w:sz="0" w:space="0" w:color="auto"/>
      </w:divBdr>
      <w:divsChild>
        <w:div w:id="460271679">
          <w:marLeft w:val="0"/>
          <w:marRight w:val="0"/>
          <w:marTop w:val="0"/>
          <w:marBottom w:val="0"/>
          <w:divBdr>
            <w:top w:val="none" w:sz="0" w:space="0" w:color="auto"/>
            <w:left w:val="none" w:sz="0" w:space="0" w:color="auto"/>
            <w:bottom w:val="none" w:sz="0" w:space="0" w:color="auto"/>
            <w:right w:val="none" w:sz="0" w:space="0" w:color="auto"/>
          </w:divBdr>
          <w:divsChild>
            <w:div w:id="464585934">
              <w:marLeft w:val="0"/>
              <w:marRight w:val="0"/>
              <w:marTop w:val="0"/>
              <w:marBottom w:val="0"/>
              <w:divBdr>
                <w:top w:val="none" w:sz="0" w:space="0" w:color="auto"/>
                <w:left w:val="none" w:sz="0" w:space="0" w:color="auto"/>
                <w:bottom w:val="none" w:sz="0" w:space="0" w:color="auto"/>
                <w:right w:val="none" w:sz="0" w:space="0" w:color="auto"/>
              </w:divBdr>
            </w:div>
          </w:divsChild>
        </w:div>
        <w:div w:id="1008757434">
          <w:marLeft w:val="0"/>
          <w:marRight w:val="0"/>
          <w:marTop w:val="150"/>
          <w:marBottom w:val="0"/>
          <w:divBdr>
            <w:top w:val="none" w:sz="0" w:space="0" w:color="auto"/>
            <w:left w:val="none" w:sz="0" w:space="0" w:color="auto"/>
            <w:bottom w:val="none" w:sz="0" w:space="0" w:color="auto"/>
            <w:right w:val="none" w:sz="0" w:space="0" w:color="auto"/>
          </w:divBdr>
          <w:divsChild>
            <w:div w:id="1981229911">
              <w:marLeft w:val="0"/>
              <w:marRight w:val="0"/>
              <w:marTop w:val="0"/>
              <w:marBottom w:val="0"/>
              <w:divBdr>
                <w:top w:val="none" w:sz="0" w:space="0" w:color="auto"/>
                <w:left w:val="none" w:sz="0" w:space="0" w:color="auto"/>
                <w:bottom w:val="none" w:sz="0" w:space="0" w:color="auto"/>
                <w:right w:val="none" w:sz="0" w:space="0" w:color="auto"/>
              </w:divBdr>
              <w:divsChild>
                <w:div w:id="25351350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85105">
      <w:bodyDiv w:val="1"/>
      <w:marLeft w:val="0"/>
      <w:marRight w:val="0"/>
      <w:marTop w:val="0"/>
      <w:marBottom w:val="0"/>
      <w:divBdr>
        <w:top w:val="none" w:sz="0" w:space="0" w:color="auto"/>
        <w:left w:val="none" w:sz="0" w:space="0" w:color="auto"/>
        <w:bottom w:val="none" w:sz="0" w:space="0" w:color="auto"/>
        <w:right w:val="none" w:sz="0" w:space="0" w:color="auto"/>
      </w:divBdr>
      <w:divsChild>
        <w:div w:id="881359625">
          <w:marLeft w:val="0"/>
          <w:marRight w:val="0"/>
          <w:marTop w:val="0"/>
          <w:marBottom w:val="0"/>
          <w:divBdr>
            <w:top w:val="none" w:sz="0" w:space="0" w:color="auto"/>
            <w:left w:val="none" w:sz="0" w:space="0" w:color="auto"/>
            <w:bottom w:val="none" w:sz="0" w:space="0" w:color="auto"/>
            <w:right w:val="none" w:sz="0" w:space="0" w:color="auto"/>
          </w:divBdr>
        </w:div>
        <w:div w:id="934627737">
          <w:marLeft w:val="0"/>
          <w:marRight w:val="0"/>
          <w:marTop w:val="0"/>
          <w:marBottom w:val="0"/>
          <w:divBdr>
            <w:top w:val="none" w:sz="0" w:space="0" w:color="auto"/>
            <w:left w:val="none" w:sz="0" w:space="0" w:color="auto"/>
            <w:bottom w:val="none" w:sz="0" w:space="0" w:color="auto"/>
            <w:right w:val="none" w:sz="0" w:space="0" w:color="auto"/>
          </w:divBdr>
          <w:divsChild>
            <w:div w:id="788546760">
              <w:marLeft w:val="0"/>
              <w:marRight w:val="0"/>
              <w:marTop w:val="0"/>
              <w:marBottom w:val="0"/>
              <w:divBdr>
                <w:top w:val="none" w:sz="0" w:space="0" w:color="auto"/>
                <w:left w:val="none" w:sz="0" w:space="0" w:color="auto"/>
                <w:bottom w:val="none" w:sz="0" w:space="0" w:color="auto"/>
                <w:right w:val="none" w:sz="0" w:space="0" w:color="auto"/>
              </w:divBdr>
              <w:divsChild>
                <w:div w:id="65958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2464">
      <w:bodyDiv w:val="1"/>
      <w:marLeft w:val="0"/>
      <w:marRight w:val="0"/>
      <w:marTop w:val="0"/>
      <w:marBottom w:val="0"/>
      <w:divBdr>
        <w:top w:val="none" w:sz="0" w:space="0" w:color="auto"/>
        <w:left w:val="none" w:sz="0" w:space="0" w:color="auto"/>
        <w:bottom w:val="none" w:sz="0" w:space="0" w:color="auto"/>
        <w:right w:val="none" w:sz="0" w:space="0" w:color="auto"/>
      </w:divBdr>
      <w:divsChild>
        <w:div w:id="700739849">
          <w:marLeft w:val="0"/>
          <w:marRight w:val="0"/>
          <w:marTop w:val="0"/>
          <w:marBottom w:val="0"/>
          <w:divBdr>
            <w:top w:val="none" w:sz="0" w:space="0" w:color="auto"/>
            <w:left w:val="none" w:sz="0" w:space="0" w:color="auto"/>
            <w:bottom w:val="none" w:sz="0" w:space="0" w:color="auto"/>
            <w:right w:val="none" w:sz="0" w:space="0" w:color="auto"/>
          </w:divBdr>
          <w:divsChild>
            <w:div w:id="248737457">
              <w:marLeft w:val="0"/>
              <w:marRight w:val="0"/>
              <w:marTop w:val="0"/>
              <w:marBottom w:val="0"/>
              <w:divBdr>
                <w:top w:val="none" w:sz="0" w:space="0" w:color="auto"/>
                <w:left w:val="none" w:sz="0" w:space="0" w:color="auto"/>
                <w:bottom w:val="none" w:sz="0" w:space="0" w:color="auto"/>
                <w:right w:val="none" w:sz="0" w:space="0" w:color="auto"/>
              </w:divBdr>
              <w:divsChild>
                <w:div w:id="322315924">
                  <w:marLeft w:val="0"/>
                  <w:marRight w:val="0"/>
                  <w:marTop w:val="0"/>
                  <w:marBottom w:val="0"/>
                  <w:divBdr>
                    <w:top w:val="none" w:sz="0" w:space="0" w:color="auto"/>
                    <w:left w:val="none" w:sz="0" w:space="0" w:color="auto"/>
                    <w:bottom w:val="none" w:sz="0" w:space="0" w:color="auto"/>
                    <w:right w:val="none" w:sz="0" w:space="0" w:color="auto"/>
                  </w:divBdr>
                  <w:divsChild>
                    <w:div w:id="496505754">
                      <w:marLeft w:val="0"/>
                      <w:marRight w:val="0"/>
                      <w:marTop w:val="0"/>
                      <w:marBottom w:val="0"/>
                      <w:divBdr>
                        <w:top w:val="none" w:sz="0" w:space="0" w:color="auto"/>
                        <w:left w:val="none" w:sz="0" w:space="0" w:color="auto"/>
                        <w:bottom w:val="none" w:sz="0" w:space="0" w:color="auto"/>
                        <w:right w:val="none" w:sz="0" w:space="0" w:color="auto"/>
                      </w:divBdr>
                      <w:divsChild>
                        <w:div w:id="840269243">
                          <w:marLeft w:val="0"/>
                          <w:marRight w:val="0"/>
                          <w:marTop w:val="0"/>
                          <w:marBottom w:val="0"/>
                          <w:divBdr>
                            <w:top w:val="none" w:sz="0" w:space="0" w:color="auto"/>
                            <w:left w:val="none" w:sz="0" w:space="0" w:color="auto"/>
                            <w:bottom w:val="none" w:sz="0" w:space="0" w:color="auto"/>
                            <w:right w:val="none" w:sz="0" w:space="0" w:color="auto"/>
                          </w:divBdr>
                          <w:divsChild>
                            <w:div w:id="542255769">
                              <w:marLeft w:val="0"/>
                              <w:marRight w:val="0"/>
                              <w:marTop w:val="0"/>
                              <w:marBottom w:val="0"/>
                              <w:divBdr>
                                <w:top w:val="none" w:sz="0" w:space="0" w:color="auto"/>
                                <w:left w:val="none" w:sz="0" w:space="0" w:color="auto"/>
                                <w:bottom w:val="none" w:sz="0" w:space="0" w:color="auto"/>
                                <w:right w:val="none" w:sz="0" w:space="0" w:color="auto"/>
                              </w:divBdr>
                              <w:divsChild>
                                <w:div w:id="1442411452">
                                  <w:marLeft w:val="0"/>
                                  <w:marRight w:val="0"/>
                                  <w:marTop w:val="0"/>
                                  <w:marBottom w:val="0"/>
                                  <w:divBdr>
                                    <w:top w:val="none" w:sz="0" w:space="0" w:color="auto"/>
                                    <w:left w:val="none" w:sz="0" w:space="0" w:color="auto"/>
                                    <w:bottom w:val="none" w:sz="0" w:space="0" w:color="auto"/>
                                    <w:right w:val="none" w:sz="0" w:space="0" w:color="auto"/>
                                  </w:divBdr>
                                  <w:divsChild>
                                    <w:div w:id="65549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91964">
      <w:bodyDiv w:val="1"/>
      <w:marLeft w:val="0"/>
      <w:marRight w:val="0"/>
      <w:marTop w:val="0"/>
      <w:marBottom w:val="0"/>
      <w:divBdr>
        <w:top w:val="none" w:sz="0" w:space="0" w:color="auto"/>
        <w:left w:val="none" w:sz="0" w:space="0" w:color="auto"/>
        <w:bottom w:val="none" w:sz="0" w:space="0" w:color="auto"/>
        <w:right w:val="none" w:sz="0" w:space="0" w:color="auto"/>
      </w:divBdr>
      <w:divsChild>
        <w:div w:id="1089426705">
          <w:marLeft w:val="0"/>
          <w:marRight w:val="0"/>
          <w:marTop w:val="0"/>
          <w:marBottom w:val="150"/>
          <w:divBdr>
            <w:top w:val="none" w:sz="0" w:space="0" w:color="auto"/>
            <w:left w:val="none" w:sz="0" w:space="0" w:color="auto"/>
            <w:bottom w:val="none" w:sz="0" w:space="0" w:color="auto"/>
            <w:right w:val="none" w:sz="0" w:space="0" w:color="auto"/>
          </w:divBdr>
        </w:div>
      </w:divsChild>
    </w:div>
    <w:div w:id="84888091">
      <w:bodyDiv w:val="1"/>
      <w:marLeft w:val="0"/>
      <w:marRight w:val="0"/>
      <w:marTop w:val="0"/>
      <w:marBottom w:val="0"/>
      <w:divBdr>
        <w:top w:val="none" w:sz="0" w:space="0" w:color="auto"/>
        <w:left w:val="none" w:sz="0" w:space="0" w:color="auto"/>
        <w:bottom w:val="none" w:sz="0" w:space="0" w:color="auto"/>
        <w:right w:val="none" w:sz="0" w:space="0" w:color="auto"/>
      </w:divBdr>
    </w:div>
    <w:div w:id="85150369">
      <w:bodyDiv w:val="1"/>
      <w:marLeft w:val="0"/>
      <w:marRight w:val="0"/>
      <w:marTop w:val="0"/>
      <w:marBottom w:val="0"/>
      <w:divBdr>
        <w:top w:val="none" w:sz="0" w:space="0" w:color="auto"/>
        <w:left w:val="none" w:sz="0" w:space="0" w:color="auto"/>
        <w:bottom w:val="none" w:sz="0" w:space="0" w:color="auto"/>
        <w:right w:val="none" w:sz="0" w:space="0" w:color="auto"/>
      </w:divBdr>
      <w:divsChild>
        <w:div w:id="499079197">
          <w:marLeft w:val="0"/>
          <w:marRight w:val="0"/>
          <w:marTop w:val="0"/>
          <w:marBottom w:val="0"/>
          <w:divBdr>
            <w:top w:val="none" w:sz="0" w:space="0" w:color="auto"/>
            <w:left w:val="none" w:sz="0" w:space="0" w:color="auto"/>
            <w:bottom w:val="none" w:sz="0" w:space="0" w:color="auto"/>
            <w:right w:val="none" w:sz="0" w:space="0" w:color="auto"/>
          </w:divBdr>
          <w:divsChild>
            <w:div w:id="1455603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6389366">
      <w:bodyDiv w:val="1"/>
      <w:marLeft w:val="0"/>
      <w:marRight w:val="0"/>
      <w:marTop w:val="0"/>
      <w:marBottom w:val="0"/>
      <w:divBdr>
        <w:top w:val="none" w:sz="0" w:space="0" w:color="auto"/>
        <w:left w:val="none" w:sz="0" w:space="0" w:color="auto"/>
        <w:bottom w:val="none" w:sz="0" w:space="0" w:color="auto"/>
        <w:right w:val="none" w:sz="0" w:space="0" w:color="auto"/>
      </w:divBdr>
    </w:div>
    <w:div w:id="86507633">
      <w:bodyDiv w:val="1"/>
      <w:marLeft w:val="0"/>
      <w:marRight w:val="0"/>
      <w:marTop w:val="0"/>
      <w:marBottom w:val="0"/>
      <w:divBdr>
        <w:top w:val="none" w:sz="0" w:space="0" w:color="auto"/>
        <w:left w:val="none" w:sz="0" w:space="0" w:color="auto"/>
        <w:bottom w:val="none" w:sz="0" w:space="0" w:color="auto"/>
        <w:right w:val="none" w:sz="0" w:space="0" w:color="auto"/>
      </w:divBdr>
      <w:divsChild>
        <w:div w:id="27996297">
          <w:marLeft w:val="0"/>
          <w:marRight w:val="0"/>
          <w:marTop w:val="0"/>
          <w:marBottom w:val="0"/>
          <w:divBdr>
            <w:top w:val="none" w:sz="0" w:space="0" w:color="auto"/>
            <w:left w:val="none" w:sz="0" w:space="0" w:color="auto"/>
            <w:bottom w:val="none" w:sz="0" w:space="0" w:color="auto"/>
            <w:right w:val="none" w:sz="0" w:space="0" w:color="auto"/>
          </w:divBdr>
          <w:divsChild>
            <w:div w:id="152449029">
              <w:marLeft w:val="0"/>
              <w:marRight w:val="0"/>
              <w:marTop w:val="0"/>
              <w:marBottom w:val="0"/>
              <w:divBdr>
                <w:top w:val="none" w:sz="0" w:space="0" w:color="auto"/>
                <w:left w:val="none" w:sz="0" w:space="0" w:color="auto"/>
                <w:bottom w:val="none" w:sz="0" w:space="0" w:color="auto"/>
                <w:right w:val="none" w:sz="0" w:space="0" w:color="auto"/>
              </w:divBdr>
            </w:div>
            <w:div w:id="152992653">
              <w:marLeft w:val="0"/>
              <w:marRight w:val="0"/>
              <w:marTop w:val="0"/>
              <w:marBottom w:val="0"/>
              <w:divBdr>
                <w:top w:val="none" w:sz="0" w:space="0" w:color="auto"/>
                <w:left w:val="none" w:sz="0" w:space="0" w:color="auto"/>
                <w:bottom w:val="none" w:sz="0" w:space="0" w:color="auto"/>
                <w:right w:val="none" w:sz="0" w:space="0" w:color="auto"/>
              </w:divBdr>
            </w:div>
            <w:div w:id="237904384">
              <w:marLeft w:val="0"/>
              <w:marRight w:val="0"/>
              <w:marTop w:val="0"/>
              <w:marBottom w:val="0"/>
              <w:divBdr>
                <w:top w:val="none" w:sz="0" w:space="0" w:color="auto"/>
                <w:left w:val="none" w:sz="0" w:space="0" w:color="auto"/>
                <w:bottom w:val="none" w:sz="0" w:space="0" w:color="auto"/>
                <w:right w:val="none" w:sz="0" w:space="0" w:color="auto"/>
              </w:divBdr>
            </w:div>
            <w:div w:id="382020669">
              <w:marLeft w:val="0"/>
              <w:marRight w:val="0"/>
              <w:marTop w:val="0"/>
              <w:marBottom w:val="0"/>
              <w:divBdr>
                <w:top w:val="none" w:sz="0" w:space="0" w:color="auto"/>
                <w:left w:val="none" w:sz="0" w:space="0" w:color="auto"/>
                <w:bottom w:val="none" w:sz="0" w:space="0" w:color="auto"/>
                <w:right w:val="none" w:sz="0" w:space="0" w:color="auto"/>
              </w:divBdr>
            </w:div>
            <w:div w:id="383872036">
              <w:marLeft w:val="0"/>
              <w:marRight w:val="0"/>
              <w:marTop w:val="0"/>
              <w:marBottom w:val="0"/>
              <w:divBdr>
                <w:top w:val="none" w:sz="0" w:space="0" w:color="auto"/>
                <w:left w:val="none" w:sz="0" w:space="0" w:color="auto"/>
                <w:bottom w:val="none" w:sz="0" w:space="0" w:color="auto"/>
                <w:right w:val="none" w:sz="0" w:space="0" w:color="auto"/>
              </w:divBdr>
            </w:div>
            <w:div w:id="472255707">
              <w:marLeft w:val="0"/>
              <w:marRight w:val="0"/>
              <w:marTop w:val="0"/>
              <w:marBottom w:val="0"/>
              <w:divBdr>
                <w:top w:val="none" w:sz="0" w:space="0" w:color="auto"/>
                <w:left w:val="none" w:sz="0" w:space="0" w:color="auto"/>
                <w:bottom w:val="none" w:sz="0" w:space="0" w:color="auto"/>
                <w:right w:val="none" w:sz="0" w:space="0" w:color="auto"/>
              </w:divBdr>
            </w:div>
            <w:div w:id="525945441">
              <w:marLeft w:val="0"/>
              <w:marRight w:val="0"/>
              <w:marTop w:val="0"/>
              <w:marBottom w:val="0"/>
              <w:divBdr>
                <w:top w:val="none" w:sz="0" w:space="0" w:color="auto"/>
                <w:left w:val="none" w:sz="0" w:space="0" w:color="auto"/>
                <w:bottom w:val="none" w:sz="0" w:space="0" w:color="auto"/>
                <w:right w:val="none" w:sz="0" w:space="0" w:color="auto"/>
              </w:divBdr>
            </w:div>
            <w:div w:id="576674493">
              <w:marLeft w:val="0"/>
              <w:marRight w:val="0"/>
              <w:marTop w:val="0"/>
              <w:marBottom w:val="0"/>
              <w:divBdr>
                <w:top w:val="none" w:sz="0" w:space="0" w:color="auto"/>
                <w:left w:val="none" w:sz="0" w:space="0" w:color="auto"/>
                <w:bottom w:val="none" w:sz="0" w:space="0" w:color="auto"/>
                <w:right w:val="none" w:sz="0" w:space="0" w:color="auto"/>
              </w:divBdr>
            </w:div>
            <w:div w:id="576942657">
              <w:marLeft w:val="0"/>
              <w:marRight w:val="0"/>
              <w:marTop w:val="0"/>
              <w:marBottom w:val="0"/>
              <w:divBdr>
                <w:top w:val="none" w:sz="0" w:space="0" w:color="auto"/>
                <w:left w:val="none" w:sz="0" w:space="0" w:color="auto"/>
                <w:bottom w:val="none" w:sz="0" w:space="0" w:color="auto"/>
                <w:right w:val="none" w:sz="0" w:space="0" w:color="auto"/>
              </w:divBdr>
            </w:div>
            <w:div w:id="589773534">
              <w:marLeft w:val="0"/>
              <w:marRight w:val="0"/>
              <w:marTop w:val="0"/>
              <w:marBottom w:val="0"/>
              <w:divBdr>
                <w:top w:val="none" w:sz="0" w:space="0" w:color="auto"/>
                <w:left w:val="none" w:sz="0" w:space="0" w:color="auto"/>
                <w:bottom w:val="none" w:sz="0" w:space="0" w:color="auto"/>
                <w:right w:val="none" w:sz="0" w:space="0" w:color="auto"/>
              </w:divBdr>
            </w:div>
            <w:div w:id="645823097">
              <w:marLeft w:val="0"/>
              <w:marRight w:val="0"/>
              <w:marTop w:val="0"/>
              <w:marBottom w:val="0"/>
              <w:divBdr>
                <w:top w:val="none" w:sz="0" w:space="0" w:color="auto"/>
                <w:left w:val="none" w:sz="0" w:space="0" w:color="auto"/>
                <w:bottom w:val="none" w:sz="0" w:space="0" w:color="auto"/>
                <w:right w:val="none" w:sz="0" w:space="0" w:color="auto"/>
              </w:divBdr>
            </w:div>
            <w:div w:id="700085137">
              <w:marLeft w:val="0"/>
              <w:marRight w:val="0"/>
              <w:marTop w:val="0"/>
              <w:marBottom w:val="0"/>
              <w:divBdr>
                <w:top w:val="none" w:sz="0" w:space="0" w:color="auto"/>
                <w:left w:val="none" w:sz="0" w:space="0" w:color="auto"/>
                <w:bottom w:val="none" w:sz="0" w:space="0" w:color="auto"/>
                <w:right w:val="none" w:sz="0" w:space="0" w:color="auto"/>
              </w:divBdr>
            </w:div>
            <w:div w:id="704015515">
              <w:marLeft w:val="0"/>
              <w:marRight w:val="0"/>
              <w:marTop w:val="0"/>
              <w:marBottom w:val="0"/>
              <w:divBdr>
                <w:top w:val="none" w:sz="0" w:space="0" w:color="auto"/>
                <w:left w:val="none" w:sz="0" w:space="0" w:color="auto"/>
                <w:bottom w:val="none" w:sz="0" w:space="0" w:color="auto"/>
                <w:right w:val="none" w:sz="0" w:space="0" w:color="auto"/>
              </w:divBdr>
            </w:div>
            <w:div w:id="708336681">
              <w:marLeft w:val="0"/>
              <w:marRight w:val="0"/>
              <w:marTop w:val="0"/>
              <w:marBottom w:val="0"/>
              <w:divBdr>
                <w:top w:val="none" w:sz="0" w:space="0" w:color="auto"/>
                <w:left w:val="none" w:sz="0" w:space="0" w:color="auto"/>
                <w:bottom w:val="none" w:sz="0" w:space="0" w:color="auto"/>
                <w:right w:val="none" w:sz="0" w:space="0" w:color="auto"/>
              </w:divBdr>
            </w:div>
            <w:div w:id="845167942">
              <w:marLeft w:val="0"/>
              <w:marRight w:val="0"/>
              <w:marTop w:val="0"/>
              <w:marBottom w:val="0"/>
              <w:divBdr>
                <w:top w:val="none" w:sz="0" w:space="0" w:color="auto"/>
                <w:left w:val="none" w:sz="0" w:space="0" w:color="auto"/>
                <w:bottom w:val="none" w:sz="0" w:space="0" w:color="auto"/>
                <w:right w:val="none" w:sz="0" w:space="0" w:color="auto"/>
              </w:divBdr>
            </w:div>
            <w:div w:id="900141422">
              <w:marLeft w:val="0"/>
              <w:marRight w:val="0"/>
              <w:marTop w:val="0"/>
              <w:marBottom w:val="0"/>
              <w:divBdr>
                <w:top w:val="none" w:sz="0" w:space="0" w:color="auto"/>
                <w:left w:val="none" w:sz="0" w:space="0" w:color="auto"/>
                <w:bottom w:val="none" w:sz="0" w:space="0" w:color="auto"/>
                <w:right w:val="none" w:sz="0" w:space="0" w:color="auto"/>
              </w:divBdr>
            </w:div>
            <w:div w:id="931595895">
              <w:marLeft w:val="0"/>
              <w:marRight w:val="0"/>
              <w:marTop w:val="0"/>
              <w:marBottom w:val="0"/>
              <w:divBdr>
                <w:top w:val="none" w:sz="0" w:space="0" w:color="auto"/>
                <w:left w:val="none" w:sz="0" w:space="0" w:color="auto"/>
                <w:bottom w:val="none" w:sz="0" w:space="0" w:color="auto"/>
                <w:right w:val="none" w:sz="0" w:space="0" w:color="auto"/>
              </w:divBdr>
            </w:div>
            <w:div w:id="998852678">
              <w:marLeft w:val="0"/>
              <w:marRight w:val="0"/>
              <w:marTop w:val="0"/>
              <w:marBottom w:val="0"/>
              <w:divBdr>
                <w:top w:val="none" w:sz="0" w:space="0" w:color="auto"/>
                <w:left w:val="none" w:sz="0" w:space="0" w:color="auto"/>
                <w:bottom w:val="none" w:sz="0" w:space="0" w:color="auto"/>
                <w:right w:val="none" w:sz="0" w:space="0" w:color="auto"/>
              </w:divBdr>
            </w:div>
            <w:div w:id="1014503004">
              <w:marLeft w:val="0"/>
              <w:marRight w:val="0"/>
              <w:marTop w:val="0"/>
              <w:marBottom w:val="0"/>
              <w:divBdr>
                <w:top w:val="none" w:sz="0" w:space="0" w:color="auto"/>
                <w:left w:val="none" w:sz="0" w:space="0" w:color="auto"/>
                <w:bottom w:val="none" w:sz="0" w:space="0" w:color="auto"/>
                <w:right w:val="none" w:sz="0" w:space="0" w:color="auto"/>
              </w:divBdr>
            </w:div>
            <w:div w:id="1050685398">
              <w:marLeft w:val="0"/>
              <w:marRight w:val="0"/>
              <w:marTop w:val="0"/>
              <w:marBottom w:val="0"/>
              <w:divBdr>
                <w:top w:val="none" w:sz="0" w:space="0" w:color="auto"/>
                <w:left w:val="none" w:sz="0" w:space="0" w:color="auto"/>
                <w:bottom w:val="none" w:sz="0" w:space="0" w:color="auto"/>
                <w:right w:val="none" w:sz="0" w:space="0" w:color="auto"/>
              </w:divBdr>
            </w:div>
            <w:div w:id="1080373612">
              <w:marLeft w:val="0"/>
              <w:marRight w:val="0"/>
              <w:marTop w:val="0"/>
              <w:marBottom w:val="0"/>
              <w:divBdr>
                <w:top w:val="none" w:sz="0" w:space="0" w:color="auto"/>
                <w:left w:val="none" w:sz="0" w:space="0" w:color="auto"/>
                <w:bottom w:val="none" w:sz="0" w:space="0" w:color="auto"/>
                <w:right w:val="none" w:sz="0" w:space="0" w:color="auto"/>
              </w:divBdr>
            </w:div>
            <w:div w:id="1235897497">
              <w:marLeft w:val="0"/>
              <w:marRight w:val="0"/>
              <w:marTop w:val="0"/>
              <w:marBottom w:val="0"/>
              <w:divBdr>
                <w:top w:val="none" w:sz="0" w:space="0" w:color="auto"/>
                <w:left w:val="none" w:sz="0" w:space="0" w:color="auto"/>
                <w:bottom w:val="none" w:sz="0" w:space="0" w:color="auto"/>
                <w:right w:val="none" w:sz="0" w:space="0" w:color="auto"/>
              </w:divBdr>
            </w:div>
            <w:div w:id="1312825635">
              <w:marLeft w:val="0"/>
              <w:marRight w:val="0"/>
              <w:marTop w:val="0"/>
              <w:marBottom w:val="0"/>
              <w:divBdr>
                <w:top w:val="none" w:sz="0" w:space="0" w:color="auto"/>
                <w:left w:val="none" w:sz="0" w:space="0" w:color="auto"/>
                <w:bottom w:val="none" w:sz="0" w:space="0" w:color="auto"/>
                <w:right w:val="none" w:sz="0" w:space="0" w:color="auto"/>
              </w:divBdr>
            </w:div>
            <w:div w:id="1337461157">
              <w:marLeft w:val="0"/>
              <w:marRight w:val="0"/>
              <w:marTop w:val="0"/>
              <w:marBottom w:val="0"/>
              <w:divBdr>
                <w:top w:val="none" w:sz="0" w:space="0" w:color="auto"/>
                <w:left w:val="none" w:sz="0" w:space="0" w:color="auto"/>
                <w:bottom w:val="none" w:sz="0" w:space="0" w:color="auto"/>
                <w:right w:val="none" w:sz="0" w:space="0" w:color="auto"/>
              </w:divBdr>
            </w:div>
            <w:div w:id="1395931364">
              <w:marLeft w:val="0"/>
              <w:marRight w:val="0"/>
              <w:marTop w:val="0"/>
              <w:marBottom w:val="0"/>
              <w:divBdr>
                <w:top w:val="none" w:sz="0" w:space="0" w:color="auto"/>
                <w:left w:val="none" w:sz="0" w:space="0" w:color="auto"/>
                <w:bottom w:val="none" w:sz="0" w:space="0" w:color="auto"/>
                <w:right w:val="none" w:sz="0" w:space="0" w:color="auto"/>
              </w:divBdr>
            </w:div>
            <w:div w:id="1399936514">
              <w:marLeft w:val="0"/>
              <w:marRight w:val="0"/>
              <w:marTop w:val="0"/>
              <w:marBottom w:val="0"/>
              <w:divBdr>
                <w:top w:val="none" w:sz="0" w:space="0" w:color="auto"/>
                <w:left w:val="none" w:sz="0" w:space="0" w:color="auto"/>
                <w:bottom w:val="none" w:sz="0" w:space="0" w:color="auto"/>
                <w:right w:val="none" w:sz="0" w:space="0" w:color="auto"/>
              </w:divBdr>
            </w:div>
            <w:div w:id="1403022130">
              <w:marLeft w:val="0"/>
              <w:marRight w:val="0"/>
              <w:marTop w:val="0"/>
              <w:marBottom w:val="0"/>
              <w:divBdr>
                <w:top w:val="none" w:sz="0" w:space="0" w:color="auto"/>
                <w:left w:val="none" w:sz="0" w:space="0" w:color="auto"/>
                <w:bottom w:val="none" w:sz="0" w:space="0" w:color="auto"/>
                <w:right w:val="none" w:sz="0" w:space="0" w:color="auto"/>
              </w:divBdr>
            </w:div>
            <w:div w:id="1429234544">
              <w:marLeft w:val="0"/>
              <w:marRight w:val="0"/>
              <w:marTop w:val="0"/>
              <w:marBottom w:val="0"/>
              <w:divBdr>
                <w:top w:val="none" w:sz="0" w:space="0" w:color="auto"/>
                <w:left w:val="none" w:sz="0" w:space="0" w:color="auto"/>
                <w:bottom w:val="none" w:sz="0" w:space="0" w:color="auto"/>
                <w:right w:val="none" w:sz="0" w:space="0" w:color="auto"/>
              </w:divBdr>
            </w:div>
            <w:div w:id="1454440763">
              <w:marLeft w:val="0"/>
              <w:marRight w:val="0"/>
              <w:marTop w:val="0"/>
              <w:marBottom w:val="0"/>
              <w:divBdr>
                <w:top w:val="none" w:sz="0" w:space="0" w:color="auto"/>
                <w:left w:val="none" w:sz="0" w:space="0" w:color="auto"/>
                <w:bottom w:val="none" w:sz="0" w:space="0" w:color="auto"/>
                <w:right w:val="none" w:sz="0" w:space="0" w:color="auto"/>
              </w:divBdr>
            </w:div>
            <w:div w:id="1489009526">
              <w:marLeft w:val="0"/>
              <w:marRight w:val="0"/>
              <w:marTop w:val="0"/>
              <w:marBottom w:val="0"/>
              <w:divBdr>
                <w:top w:val="none" w:sz="0" w:space="0" w:color="auto"/>
                <w:left w:val="none" w:sz="0" w:space="0" w:color="auto"/>
                <w:bottom w:val="none" w:sz="0" w:space="0" w:color="auto"/>
                <w:right w:val="none" w:sz="0" w:space="0" w:color="auto"/>
              </w:divBdr>
            </w:div>
            <w:div w:id="1521165178">
              <w:marLeft w:val="0"/>
              <w:marRight w:val="0"/>
              <w:marTop w:val="0"/>
              <w:marBottom w:val="0"/>
              <w:divBdr>
                <w:top w:val="none" w:sz="0" w:space="0" w:color="auto"/>
                <w:left w:val="none" w:sz="0" w:space="0" w:color="auto"/>
                <w:bottom w:val="none" w:sz="0" w:space="0" w:color="auto"/>
                <w:right w:val="none" w:sz="0" w:space="0" w:color="auto"/>
              </w:divBdr>
            </w:div>
            <w:div w:id="1583904655">
              <w:marLeft w:val="0"/>
              <w:marRight w:val="0"/>
              <w:marTop w:val="0"/>
              <w:marBottom w:val="0"/>
              <w:divBdr>
                <w:top w:val="none" w:sz="0" w:space="0" w:color="auto"/>
                <w:left w:val="none" w:sz="0" w:space="0" w:color="auto"/>
                <w:bottom w:val="none" w:sz="0" w:space="0" w:color="auto"/>
                <w:right w:val="none" w:sz="0" w:space="0" w:color="auto"/>
              </w:divBdr>
            </w:div>
            <w:div w:id="1773817423">
              <w:marLeft w:val="0"/>
              <w:marRight w:val="0"/>
              <w:marTop w:val="0"/>
              <w:marBottom w:val="0"/>
              <w:divBdr>
                <w:top w:val="none" w:sz="0" w:space="0" w:color="auto"/>
                <w:left w:val="none" w:sz="0" w:space="0" w:color="auto"/>
                <w:bottom w:val="none" w:sz="0" w:space="0" w:color="auto"/>
                <w:right w:val="none" w:sz="0" w:space="0" w:color="auto"/>
              </w:divBdr>
            </w:div>
            <w:div w:id="1787264958">
              <w:marLeft w:val="0"/>
              <w:marRight w:val="0"/>
              <w:marTop w:val="0"/>
              <w:marBottom w:val="0"/>
              <w:divBdr>
                <w:top w:val="none" w:sz="0" w:space="0" w:color="auto"/>
                <w:left w:val="none" w:sz="0" w:space="0" w:color="auto"/>
                <w:bottom w:val="none" w:sz="0" w:space="0" w:color="auto"/>
                <w:right w:val="none" w:sz="0" w:space="0" w:color="auto"/>
              </w:divBdr>
            </w:div>
            <w:div w:id="1873608729">
              <w:marLeft w:val="0"/>
              <w:marRight w:val="0"/>
              <w:marTop w:val="0"/>
              <w:marBottom w:val="0"/>
              <w:divBdr>
                <w:top w:val="none" w:sz="0" w:space="0" w:color="auto"/>
                <w:left w:val="none" w:sz="0" w:space="0" w:color="auto"/>
                <w:bottom w:val="none" w:sz="0" w:space="0" w:color="auto"/>
                <w:right w:val="none" w:sz="0" w:space="0" w:color="auto"/>
              </w:divBdr>
            </w:div>
            <w:div w:id="1909801474">
              <w:marLeft w:val="0"/>
              <w:marRight w:val="0"/>
              <w:marTop w:val="0"/>
              <w:marBottom w:val="0"/>
              <w:divBdr>
                <w:top w:val="none" w:sz="0" w:space="0" w:color="auto"/>
                <w:left w:val="none" w:sz="0" w:space="0" w:color="auto"/>
                <w:bottom w:val="none" w:sz="0" w:space="0" w:color="auto"/>
                <w:right w:val="none" w:sz="0" w:space="0" w:color="auto"/>
              </w:divBdr>
            </w:div>
            <w:div w:id="2002930638">
              <w:marLeft w:val="0"/>
              <w:marRight w:val="0"/>
              <w:marTop w:val="0"/>
              <w:marBottom w:val="0"/>
              <w:divBdr>
                <w:top w:val="none" w:sz="0" w:space="0" w:color="auto"/>
                <w:left w:val="none" w:sz="0" w:space="0" w:color="auto"/>
                <w:bottom w:val="none" w:sz="0" w:space="0" w:color="auto"/>
                <w:right w:val="none" w:sz="0" w:space="0" w:color="auto"/>
              </w:divBdr>
            </w:div>
            <w:div w:id="2027511104">
              <w:marLeft w:val="0"/>
              <w:marRight w:val="0"/>
              <w:marTop w:val="0"/>
              <w:marBottom w:val="0"/>
              <w:divBdr>
                <w:top w:val="none" w:sz="0" w:space="0" w:color="auto"/>
                <w:left w:val="none" w:sz="0" w:space="0" w:color="auto"/>
                <w:bottom w:val="none" w:sz="0" w:space="0" w:color="auto"/>
                <w:right w:val="none" w:sz="0" w:space="0" w:color="auto"/>
              </w:divBdr>
            </w:div>
            <w:div w:id="2125271388">
              <w:marLeft w:val="0"/>
              <w:marRight w:val="0"/>
              <w:marTop w:val="0"/>
              <w:marBottom w:val="0"/>
              <w:divBdr>
                <w:top w:val="none" w:sz="0" w:space="0" w:color="auto"/>
                <w:left w:val="none" w:sz="0" w:space="0" w:color="auto"/>
                <w:bottom w:val="none" w:sz="0" w:space="0" w:color="auto"/>
                <w:right w:val="none" w:sz="0" w:space="0" w:color="auto"/>
              </w:divBdr>
            </w:div>
          </w:divsChild>
        </w:div>
        <w:div w:id="1930457368">
          <w:marLeft w:val="0"/>
          <w:marRight w:val="0"/>
          <w:marTop w:val="0"/>
          <w:marBottom w:val="150"/>
          <w:divBdr>
            <w:top w:val="none" w:sz="0" w:space="0" w:color="auto"/>
            <w:left w:val="none" w:sz="0" w:space="0" w:color="auto"/>
            <w:bottom w:val="none" w:sz="0" w:space="0" w:color="auto"/>
            <w:right w:val="none" w:sz="0" w:space="0" w:color="auto"/>
          </w:divBdr>
          <w:divsChild>
            <w:div w:id="1860268013">
              <w:marLeft w:val="0"/>
              <w:marRight w:val="0"/>
              <w:marTop w:val="0"/>
              <w:marBottom w:val="0"/>
              <w:divBdr>
                <w:top w:val="none" w:sz="0" w:space="0" w:color="auto"/>
                <w:left w:val="none" w:sz="0" w:space="0" w:color="auto"/>
                <w:bottom w:val="none" w:sz="0" w:space="0" w:color="auto"/>
                <w:right w:val="none" w:sz="0" w:space="0" w:color="auto"/>
              </w:divBdr>
              <w:divsChild>
                <w:div w:id="1807120669">
                  <w:marLeft w:val="0"/>
                  <w:marRight w:val="0"/>
                  <w:marTop w:val="0"/>
                  <w:marBottom w:val="0"/>
                  <w:divBdr>
                    <w:top w:val="none" w:sz="0" w:space="0" w:color="auto"/>
                    <w:left w:val="none" w:sz="0" w:space="0" w:color="auto"/>
                    <w:bottom w:val="none" w:sz="0" w:space="0" w:color="auto"/>
                    <w:right w:val="none" w:sz="0" w:space="0" w:color="auto"/>
                  </w:divBdr>
                  <w:divsChild>
                    <w:div w:id="73998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12146">
      <w:bodyDiv w:val="1"/>
      <w:marLeft w:val="0"/>
      <w:marRight w:val="0"/>
      <w:marTop w:val="0"/>
      <w:marBottom w:val="0"/>
      <w:divBdr>
        <w:top w:val="none" w:sz="0" w:space="0" w:color="auto"/>
        <w:left w:val="none" w:sz="0" w:space="0" w:color="auto"/>
        <w:bottom w:val="none" w:sz="0" w:space="0" w:color="auto"/>
        <w:right w:val="none" w:sz="0" w:space="0" w:color="auto"/>
      </w:divBdr>
      <w:divsChild>
        <w:div w:id="860094507">
          <w:marLeft w:val="0"/>
          <w:marRight w:val="0"/>
          <w:marTop w:val="0"/>
          <w:marBottom w:val="0"/>
          <w:divBdr>
            <w:top w:val="none" w:sz="0" w:space="0" w:color="auto"/>
            <w:left w:val="none" w:sz="0" w:space="0" w:color="auto"/>
            <w:bottom w:val="dotted" w:sz="6" w:space="4" w:color="DDDDDD"/>
            <w:right w:val="none" w:sz="0" w:space="0" w:color="auto"/>
          </w:divBdr>
          <w:divsChild>
            <w:div w:id="100343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1619">
      <w:bodyDiv w:val="1"/>
      <w:marLeft w:val="0"/>
      <w:marRight w:val="0"/>
      <w:marTop w:val="0"/>
      <w:marBottom w:val="0"/>
      <w:divBdr>
        <w:top w:val="none" w:sz="0" w:space="0" w:color="auto"/>
        <w:left w:val="none" w:sz="0" w:space="0" w:color="auto"/>
        <w:bottom w:val="none" w:sz="0" w:space="0" w:color="auto"/>
        <w:right w:val="none" w:sz="0" w:space="0" w:color="auto"/>
      </w:divBdr>
      <w:divsChild>
        <w:div w:id="1545174702">
          <w:marLeft w:val="0"/>
          <w:marRight w:val="0"/>
          <w:marTop w:val="0"/>
          <w:marBottom w:val="0"/>
          <w:divBdr>
            <w:top w:val="none" w:sz="0" w:space="0" w:color="auto"/>
            <w:left w:val="none" w:sz="0" w:space="0" w:color="auto"/>
            <w:bottom w:val="none" w:sz="0" w:space="0" w:color="auto"/>
            <w:right w:val="none" w:sz="0" w:space="0" w:color="auto"/>
          </w:divBdr>
          <w:divsChild>
            <w:div w:id="1694264617">
              <w:marLeft w:val="0"/>
              <w:marRight w:val="0"/>
              <w:marTop w:val="0"/>
              <w:marBottom w:val="0"/>
              <w:divBdr>
                <w:top w:val="none" w:sz="0" w:space="0" w:color="auto"/>
                <w:left w:val="none" w:sz="0" w:space="0" w:color="auto"/>
                <w:bottom w:val="none" w:sz="0" w:space="0" w:color="auto"/>
                <w:right w:val="none" w:sz="0" w:space="0" w:color="auto"/>
              </w:divBdr>
              <w:divsChild>
                <w:div w:id="1505363504">
                  <w:marLeft w:val="0"/>
                  <w:marRight w:val="0"/>
                  <w:marTop w:val="0"/>
                  <w:marBottom w:val="0"/>
                  <w:divBdr>
                    <w:top w:val="none" w:sz="0" w:space="0" w:color="auto"/>
                    <w:left w:val="none" w:sz="0" w:space="0" w:color="auto"/>
                    <w:bottom w:val="none" w:sz="0" w:space="0" w:color="auto"/>
                    <w:right w:val="none" w:sz="0" w:space="0" w:color="auto"/>
                  </w:divBdr>
                  <w:divsChild>
                    <w:div w:id="2117363578">
                      <w:marLeft w:val="0"/>
                      <w:marRight w:val="0"/>
                      <w:marTop w:val="0"/>
                      <w:marBottom w:val="0"/>
                      <w:divBdr>
                        <w:top w:val="none" w:sz="0" w:space="0" w:color="auto"/>
                        <w:left w:val="none" w:sz="0" w:space="0" w:color="auto"/>
                        <w:bottom w:val="none" w:sz="0" w:space="0" w:color="auto"/>
                        <w:right w:val="none" w:sz="0" w:space="0" w:color="auto"/>
                      </w:divBdr>
                      <w:divsChild>
                        <w:div w:id="1829438040">
                          <w:marLeft w:val="0"/>
                          <w:marRight w:val="0"/>
                          <w:marTop w:val="0"/>
                          <w:marBottom w:val="0"/>
                          <w:divBdr>
                            <w:top w:val="none" w:sz="0" w:space="0" w:color="auto"/>
                            <w:left w:val="none" w:sz="0" w:space="0" w:color="auto"/>
                            <w:bottom w:val="none" w:sz="0" w:space="0" w:color="auto"/>
                            <w:right w:val="none" w:sz="0" w:space="0" w:color="auto"/>
                          </w:divBdr>
                          <w:divsChild>
                            <w:div w:id="1687756701">
                              <w:marLeft w:val="0"/>
                              <w:marRight w:val="0"/>
                              <w:marTop w:val="0"/>
                              <w:marBottom w:val="0"/>
                              <w:divBdr>
                                <w:top w:val="none" w:sz="0" w:space="0" w:color="auto"/>
                                <w:left w:val="none" w:sz="0" w:space="0" w:color="auto"/>
                                <w:bottom w:val="none" w:sz="0" w:space="0" w:color="auto"/>
                                <w:right w:val="none" w:sz="0" w:space="0" w:color="auto"/>
                              </w:divBdr>
                              <w:divsChild>
                                <w:div w:id="17894340">
                                  <w:marLeft w:val="0"/>
                                  <w:marRight w:val="0"/>
                                  <w:marTop w:val="0"/>
                                  <w:marBottom w:val="0"/>
                                  <w:divBdr>
                                    <w:top w:val="none" w:sz="0" w:space="0" w:color="auto"/>
                                    <w:left w:val="none" w:sz="0" w:space="0" w:color="auto"/>
                                    <w:bottom w:val="none" w:sz="0" w:space="0" w:color="auto"/>
                                    <w:right w:val="none" w:sz="0" w:space="0" w:color="auto"/>
                                  </w:divBdr>
                                  <w:divsChild>
                                    <w:div w:id="570628221">
                                      <w:marLeft w:val="0"/>
                                      <w:marRight w:val="0"/>
                                      <w:marTop w:val="0"/>
                                      <w:marBottom w:val="0"/>
                                      <w:divBdr>
                                        <w:top w:val="none" w:sz="0" w:space="0" w:color="auto"/>
                                        <w:left w:val="none" w:sz="0" w:space="0" w:color="auto"/>
                                        <w:bottom w:val="none" w:sz="0" w:space="0" w:color="auto"/>
                                        <w:right w:val="none" w:sz="0" w:space="0" w:color="auto"/>
                                      </w:divBdr>
                                      <w:divsChild>
                                        <w:div w:id="19413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509563">
      <w:bodyDiv w:val="1"/>
      <w:marLeft w:val="0"/>
      <w:marRight w:val="0"/>
      <w:marTop w:val="0"/>
      <w:marBottom w:val="0"/>
      <w:divBdr>
        <w:top w:val="none" w:sz="0" w:space="0" w:color="auto"/>
        <w:left w:val="none" w:sz="0" w:space="0" w:color="auto"/>
        <w:bottom w:val="none" w:sz="0" w:space="0" w:color="auto"/>
        <w:right w:val="none" w:sz="0" w:space="0" w:color="auto"/>
      </w:divBdr>
      <w:divsChild>
        <w:div w:id="1803500986">
          <w:marLeft w:val="0"/>
          <w:marRight w:val="0"/>
          <w:marTop w:val="0"/>
          <w:marBottom w:val="0"/>
          <w:divBdr>
            <w:top w:val="none" w:sz="0" w:space="0" w:color="auto"/>
            <w:left w:val="none" w:sz="0" w:space="0" w:color="auto"/>
            <w:bottom w:val="none" w:sz="0" w:space="0" w:color="auto"/>
            <w:right w:val="none" w:sz="0" w:space="0" w:color="auto"/>
          </w:divBdr>
          <w:divsChild>
            <w:div w:id="645937315">
              <w:marLeft w:val="0"/>
              <w:marRight w:val="0"/>
              <w:marTop w:val="0"/>
              <w:marBottom w:val="0"/>
              <w:divBdr>
                <w:top w:val="none" w:sz="0" w:space="0" w:color="auto"/>
                <w:left w:val="none" w:sz="0" w:space="0" w:color="auto"/>
                <w:bottom w:val="none" w:sz="0" w:space="0" w:color="auto"/>
                <w:right w:val="none" w:sz="0" w:space="0" w:color="auto"/>
              </w:divBdr>
              <w:divsChild>
                <w:div w:id="144430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76864">
          <w:marLeft w:val="0"/>
          <w:marRight w:val="0"/>
          <w:marTop w:val="0"/>
          <w:marBottom w:val="75"/>
          <w:divBdr>
            <w:top w:val="none" w:sz="0" w:space="0" w:color="auto"/>
            <w:left w:val="none" w:sz="0" w:space="0" w:color="auto"/>
            <w:bottom w:val="none" w:sz="0" w:space="0" w:color="auto"/>
            <w:right w:val="none" w:sz="0" w:space="0" w:color="auto"/>
          </w:divBdr>
        </w:div>
        <w:div w:id="308439213">
          <w:marLeft w:val="0"/>
          <w:marRight w:val="0"/>
          <w:marTop w:val="0"/>
          <w:marBottom w:val="300"/>
          <w:divBdr>
            <w:top w:val="none" w:sz="0" w:space="0" w:color="auto"/>
            <w:left w:val="none" w:sz="0" w:space="0" w:color="auto"/>
            <w:bottom w:val="none" w:sz="0" w:space="0" w:color="auto"/>
            <w:right w:val="none" w:sz="0" w:space="0" w:color="auto"/>
          </w:divBdr>
          <w:divsChild>
            <w:div w:id="1312363382">
              <w:marLeft w:val="0"/>
              <w:marRight w:val="0"/>
              <w:marTop w:val="0"/>
              <w:marBottom w:val="0"/>
              <w:divBdr>
                <w:top w:val="none" w:sz="0" w:space="0" w:color="auto"/>
                <w:left w:val="none" w:sz="0" w:space="0" w:color="auto"/>
                <w:bottom w:val="none" w:sz="0" w:space="0" w:color="auto"/>
                <w:right w:val="none" w:sz="0" w:space="0" w:color="auto"/>
              </w:divBdr>
            </w:div>
          </w:divsChild>
        </w:div>
        <w:div w:id="822622702">
          <w:marLeft w:val="0"/>
          <w:marRight w:val="0"/>
          <w:marTop w:val="0"/>
          <w:marBottom w:val="0"/>
          <w:divBdr>
            <w:top w:val="none" w:sz="0" w:space="0" w:color="auto"/>
            <w:left w:val="none" w:sz="0" w:space="0" w:color="auto"/>
            <w:bottom w:val="none" w:sz="0" w:space="0" w:color="auto"/>
            <w:right w:val="none" w:sz="0" w:space="0" w:color="auto"/>
          </w:divBdr>
          <w:divsChild>
            <w:div w:id="1347946589">
              <w:marLeft w:val="0"/>
              <w:marRight w:val="0"/>
              <w:marTop w:val="0"/>
              <w:marBottom w:val="0"/>
              <w:divBdr>
                <w:top w:val="none" w:sz="0" w:space="0" w:color="auto"/>
                <w:left w:val="none" w:sz="0" w:space="0" w:color="auto"/>
                <w:bottom w:val="none" w:sz="0" w:space="0" w:color="auto"/>
                <w:right w:val="none" w:sz="0" w:space="0" w:color="auto"/>
              </w:divBdr>
              <w:divsChild>
                <w:div w:id="1866404787">
                  <w:marLeft w:val="0"/>
                  <w:marRight w:val="0"/>
                  <w:marTop w:val="0"/>
                  <w:marBottom w:val="0"/>
                  <w:divBdr>
                    <w:top w:val="none" w:sz="0" w:space="0" w:color="auto"/>
                    <w:left w:val="none" w:sz="0" w:space="0" w:color="auto"/>
                    <w:bottom w:val="none" w:sz="0" w:space="0" w:color="auto"/>
                    <w:right w:val="none" w:sz="0" w:space="0" w:color="auto"/>
                  </w:divBdr>
                </w:div>
              </w:divsChild>
            </w:div>
            <w:div w:id="1851793872">
              <w:marLeft w:val="0"/>
              <w:marRight w:val="0"/>
              <w:marTop w:val="0"/>
              <w:marBottom w:val="0"/>
              <w:divBdr>
                <w:top w:val="none" w:sz="0" w:space="0" w:color="auto"/>
                <w:left w:val="none" w:sz="0" w:space="0" w:color="auto"/>
                <w:bottom w:val="none" w:sz="0" w:space="0" w:color="auto"/>
                <w:right w:val="none" w:sz="0" w:space="0" w:color="auto"/>
              </w:divBdr>
              <w:divsChild>
                <w:div w:id="2127652674">
                  <w:marLeft w:val="0"/>
                  <w:marRight w:val="0"/>
                  <w:marTop w:val="0"/>
                  <w:marBottom w:val="150"/>
                  <w:divBdr>
                    <w:top w:val="none" w:sz="0" w:space="0" w:color="auto"/>
                    <w:left w:val="none" w:sz="0" w:space="0" w:color="auto"/>
                    <w:bottom w:val="none" w:sz="0" w:space="0" w:color="auto"/>
                    <w:right w:val="none" w:sz="0" w:space="0" w:color="auto"/>
                  </w:divBdr>
                  <w:divsChild>
                    <w:div w:id="19131551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7622020">
      <w:bodyDiv w:val="1"/>
      <w:marLeft w:val="0"/>
      <w:marRight w:val="0"/>
      <w:marTop w:val="0"/>
      <w:marBottom w:val="0"/>
      <w:divBdr>
        <w:top w:val="none" w:sz="0" w:space="0" w:color="auto"/>
        <w:left w:val="none" w:sz="0" w:space="0" w:color="auto"/>
        <w:bottom w:val="none" w:sz="0" w:space="0" w:color="auto"/>
        <w:right w:val="none" w:sz="0" w:space="0" w:color="auto"/>
      </w:divBdr>
    </w:div>
    <w:div w:id="87704655">
      <w:bodyDiv w:val="1"/>
      <w:marLeft w:val="0"/>
      <w:marRight w:val="0"/>
      <w:marTop w:val="0"/>
      <w:marBottom w:val="0"/>
      <w:divBdr>
        <w:top w:val="none" w:sz="0" w:space="0" w:color="auto"/>
        <w:left w:val="none" w:sz="0" w:space="0" w:color="auto"/>
        <w:bottom w:val="none" w:sz="0" w:space="0" w:color="auto"/>
        <w:right w:val="none" w:sz="0" w:space="0" w:color="auto"/>
      </w:divBdr>
      <w:divsChild>
        <w:div w:id="1827892505">
          <w:marLeft w:val="0"/>
          <w:marRight w:val="0"/>
          <w:marTop w:val="0"/>
          <w:marBottom w:val="0"/>
          <w:divBdr>
            <w:top w:val="none" w:sz="0" w:space="0" w:color="auto"/>
            <w:left w:val="none" w:sz="0" w:space="0" w:color="auto"/>
            <w:bottom w:val="dotted" w:sz="6" w:space="4" w:color="DDDDDD"/>
            <w:right w:val="none" w:sz="0" w:space="0" w:color="auto"/>
          </w:divBdr>
          <w:divsChild>
            <w:div w:id="76743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4875">
      <w:bodyDiv w:val="1"/>
      <w:marLeft w:val="0"/>
      <w:marRight w:val="0"/>
      <w:marTop w:val="0"/>
      <w:marBottom w:val="0"/>
      <w:divBdr>
        <w:top w:val="none" w:sz="0" w:space="0" w:color="auto"/>
        <w:left w:val="none" w:sz="0" w:space="0" w:color="auto"/>
        <w:bottom w:val="none" w:sz="0" w:space="0" w:color="auto"/>
        <w:right w:val="none" w:sz="0" w:space="0" w:color="auto"/>
      </w:divBdr>
    </w:div>
    <w:div w:id="88938459">
      <w:bodyDiv w:val="1"/>
      <w:marLeft w:val="0"/>
      <w:marRight w:val="0"/>
      <w:marTop w:val="0"/>
      <w:marBottom w:val="0"/>
      <w:divBdr>
        <w:top w:val="none" w:sz="0" w:space="0" w:color="auto"/>
        <w:left w:val="none" w:sz="0" w:space="0" w:color="auto"/>
        <w:bottom w:val="none" w:sz="0" w:space="0" w:color="auto"/>
        <w:right w:val="none" w:sz="0" w:space="0" w:color="auto"/>
      </w:divBdr>
      <w:divsChild>
        <w:div w:id="303655510">
          <w:marLeft w:val="0"/>
          <w:marRight w:val="0"/>
          <w:marTop w:val="0"/>
          <w:marBottom w:val="0"/>
          <w:divBdr>
            <w:top w:val="none" w:sz="0" w:space="0" w:color="auto"/>
            <w:left w:val="none" w:sz="0" w:space="0" w:color="auto"/>
            <w:bottom w:val="none" w:sz="0" w:space="0" w:color="auto"/>
            <w:right w:val="none" w:sz="0" w:space="0" w:color="auto"/>
          </w:divBdr>
        </w:div>
      </w:divsChild>
    </w:div>
    <w:div w:id="89206608">
      <w:bodyDiv w:val="1"/>
      <w:marLeft w:val="0"/>
      <w:marRight w:val="0"/>
      <w:marTop w:val="0"/>
      <w:marBottom w:val="0"/>
      <w:divBdr>
        <w:top w:val="none" w:sz="0" w:space="0" w:color="auto"/>
        <w:left w:val="none" w:sz="0" w:space="0" w:color="auto"/>
        <w:bottom w:val="none" w:sz="0" w:space="0" w:color="auto"/>
        <w:right w:val="none" w:sz="0" w:space="0" w:color="auto"/>
      </w:divBdr>
    </w:div>
    <w:div w:id="89354163">
      <w:bodyDiv w:val="1"/>
      <w:marLeft w:val="0"/>
      <w:marRight w:val="0"/>
      <w:marTop w:val="0"/>
      <w:marBottom w:val="0"/>
      <w:divBdr>
        <w:top w:val="none" w:sz="0" w:space="0" w:color="auto"/>
        <w:left w:val="none" w:sz="0" w:space="0" w:color="auto"/>
        <w:bottom w:val="none" w:sz="0" w:space="0" w:color="auto"/>
        <w:right w:val="none" w:sz="0" w:space="0" w:color="auto"/>
      </w:divBdr>
    </w:div>
    <w:div w:id="89931575">
      <w:bodyDiv w:val="1"/>
      <w:marLeft w:val="0"/>
      <w:marRight w:val="0"/>
      <w:marTop w:val="0"/>
      <w:marBottom w:val="0"/>
      <w:divBdr>
        <w:top w:val="none" w:sz="0" w:space="0" w:color="auto"/>
        <w:left w:val="none" w:sz="0" w:space="0" w:color="auto"/>
        <w:bottom w:val="none" w:sz="0" w:space="0" w:color="auto"/>
        <w:right w:val="none" w:sz="0" w:space="0" w:color="auto"/>
      </w:divBdr>
      <w:divsChild>
        <w:div w:id="1178277890">
          <w:marLeft w:val="0"/>
          <w:marRight w:val="0"/>
          <w:marTop w:val="0"/>
          <w:marBottom w:val="0"/>
          <w:divBdr>
            <w:top w:val="none" w:sz="0" w:space="0" w:color="auto"/>
            <w:left w:val="none" w:sz="0" w:space="0" w:color="auto"/>
            <w:bottom w:val="none" w:sz="0" w:space="0" w:color="auto"/>
            <w:right w:val="none" w:sz="0" w:space="0" w:color="auto"/>
          </w:divBdr>
        </w:div>
      </w:divsChild>
    </w:div>
    <w:div w:id="90127510">
      <w:bodyDiv w:val="1"/>
      <w:marLeft w:val="0"/>
      <w:marRight w:val="0"/>
      <w:marTop w:val="0"/>
      <w:marBottom w:val="0"/>
      <w:divBdr>
        <w:top w:val="none" w:sz="0" w:space="0" w:color="auto"/>
        <w:left w:val="none" w:sz="0" w:space="0" w:color="auto"/>
        <w:bottom w:val="none" w:sz="0" w:space="0" w:color="auto"/>
        <w:right w:val="none" w:sz="0" w:space="0" w:color="auto"/>
      </w:divBdr>
      <w:divsChild>
        <w:div w:id="466314474">
          <w:marLeft w:val="0"/>
          <w:marRight w:val="0"/>
          <w:marTop w:val="0"/>
          <w:marBottom w:val="0"/>
          <w:divBdr>
            <w:top w:val="none" w:sz="0" w:space="0" w:color="auto"/>
            <w:left w:val="none" w:sz="0" w:space="0" w:color="auto"/>
            <w:bottom w:val="none" w:sz="0" w:space="0" w:color="auto"/>
            <w:right w:val="none" w:sz="0" w:space="0" w:color="auto"/>
          </w:divBdr>
          <w:divsChild>
            <w:div w:id="889221425">
              <w:marLeft w:val="0"/>
              <w:marRight w:val="0"/>
              <w:marTop w:val="0"/>
              <w:marBottom w:val="0"/>
              <w:divBdr>
                <w:top w:val="none" w:sz="0" w:space="0" w:color="auto"/>
                <w:left w:val="none" w:sz="0" w:space="0" w:color="auto"/>
                <w:bottom w:val="none" w:sz="0" w:space="0" w:color="auto"/>
                <w:right w:val="none" w:sz="0" w:space="0" w:color="auto"/>
              </w:divBdr>
            </w:div>
            <w:div w:id="1436946839">
              <w:marLeft w:val="0"/>
              <w:marRight w:val="0"/>
              <w:marTop w:val="0"/>
              <w:marBottom w:val="150"/>
              <w:divBdr>
                <w:top w:val="none" w:sz="0" w:space="0" w:color="auto"/>
                <w:left w:val="none" w:sz="0" w:space="0" w:color="auto"/>
                <w:bottom w:val="none" w:sz="0" w:space="0" w:color="auto"/>
                <w:right w:val="none" w:sz="0" w:space="0" w:color="auto"/>
              </w:divBdr>
            </w:div>
          </w:divsChild>
        </w:div>
        <w:div w:id="1831748234">
          <w:marLeft w:val="0"/>
          <w:marRight w:val="0"/>
          <w:marTop w:val="0"/>
          <w:marBottom w:val="150"/>
          <w:divBdr>
            <w:top w:val="none" w:sz="0" w:space="0" w:color="auto"/>
            <w:left w:val="none" w:sz="0" w:space="0" w:color="auto"/>
            <w:bottom w:val="none" w:sz="0" w:space="0" w:color="auto"/>
            <w:right w:val="none" w:sz="0" w:space="0" w:color="auto"/>
          </w:divBdr>
          <w:divsChild>
            <w:div w:id="199120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48105">
      <w:bodyDiv w:val="1"/>
      <w:marLeft w:val="0"/>
      <w:marRight w:val="0"/>
      <w:marTop w:val="0"/>
      <w:marBottom w:val="0"/>
      <w:divBdr>
        <w:top w:val="none" w:sz="0" w:space="0" w:color="auto"/>
        <w:left w:val="none" w:sz="0" w:space="0" w:color="auto"/>
        <w:bottom w:val="none" w:sz="0" w:space="0" w:color="auto"/>
        <w:right w:val="none" w:sz="0" w:space="0" w:color="auto"/>
      </w:divBdr>
      <w:divsChild>
        <w:div w:id="2043435638">
          <w:marLeft w:val="0"/>
          <w:marRight w:val="0"/>
          <w:marTop w:val="0"/>
          <w:marBottom w:val="0"/>
          <w:divBdr>
            <w:top w:val="none" w:sz="0" w:space="0" w:color="auto"/>
            <w:left w:val="none" w:sz="0" w:space="0" w:color="auto"/>
            <w:bottom w:val="dotted" w:sz="6" w:space="4" w:color="DDDDDD"/>
            <w:right w:val="none" w:sz="0" w:space="0" w:color="auto"/>
          </w:divBdr>
          <w:divsChild>
            <w:div w:id="197486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48631">
      <w:bodyDiv w:val="1"/>
      <w:marLeft w:val="0"/>
      <w:marRight w:val="0"/>
      <w:marTop w:val="0"/>
      <w:marBottom w:val="0"/>
      <w:divBdr>
        <w:top w:val="none" w:sz="0" w:space="0" w:color="auto"/>
        <w:left w:val="none" w:sz="0" w:space="0" w:color="auto"/>
        <w:bottom w:val="none" w:sz="0" w:space="0" w:color="auto"/>
        <w:right w:val="none" w:sz="0" w:space="0" w:color="auto"/>
      </w:divBdr>
      <w:divsChild>
        <w:div w:id="228808377">
          <w:marLeft w:val="0"/>
          <w:marRight w:val="0"/>
          <w:marTop w:val="0"/>
          <w:marBottom w:val="150"/>
          <w:divBdr>
            <w:top w:val="none" w:sz="0" w:space="0" w:color="auto"/>
            <w:left w:val="none" w:sz="0" w:space="0" w:color="auto"/>
            <w:bottom w:val="none" w:sz="0" w:space="0" w:color="auto"/>
            <w:right w:val="none" w:sz="0" w:space="0" w:color="auto"/>
          </w:divBdr>
        </w:div>
        <w:div w:id="1534998085">
          <w:marLeft w:val="0"/>
          <w:marRight w:val="0"/>
          <w:marTop w:val="0"/>
          <w:marBottom w:val="150"/>
          <w:divBdr>
            <w:top w:val="none" w:sz="0" w:space="0" w:color="auto"/>
            <w:left w:val="none" w:sz="0" w:space="0" w:color="auto"/>
            <w:bottom w:val="none" w:sz="0" w:space="0" w:color="auto"/>
            <w:right w:val="none" w:sz="0" w:space="0" w:color="auto"/>
          </w:divBdr>
          <w:divsChild>
            <w:div w:id="1081410733">
              <w:marLeft w:val="0"/>
              <w:marRight w:val="0"/>
              <w:marTop w:val="0"/>
              <w:marBottom w:val="0"/>
              <w:divBdr>
                <w:top w:val="none" w:sz="0" w:space="0" w:color="auto"/>
                <w:left w:val="none" w:sz="0" w:space="0" w:color="auto"/>
                <w:bottom w:val="none" w:sz="0" w:space="0" w:color="auto"/>
                <w:right w:val="none" w:sz="0" w:space="0" w:color="auto"/>
              </w:divBdr>
            </w:div>
          </w:divsChild>
        </w:div>
        <w:div w:id="1761683509">
          <w:marLeft w:val="0"/>
          <w:marRight w:val="0"/>
          <w:marTop w:val="0"/>
          <w:marBottom w:val="0"/>
          <w:divBdr>
            <w:top w:val="none" w:sz="0" w:space="0" w:color="auto"/>
            <w:left w:val="none" w:sz="0" w:space="0" w:color="auto"/>
            <w:bottom w:val="none" w:sz="0" w:space="0" w:color="auto"/>
            <w:right w:val="none" w:sz="0" w:space="0" w:color="auto"/>
          </w:divBdr>
          <w:divsChild>
            <w:div w:id="25749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04879">
      <w:bodyDiv w:val="1"/>
      <w:marLeft w:val="0"/>
      <w:marRight w:val="0"/>
      <w:marTop w:val="0"/>
      <w:marBottom w:val="0"/>
      <w:divBdr>
        <w:top w:val="none" w:sz="0" w:space="0" w:color="auto"/>
        <w:left w:val="none" w:sz="0" w:space="0" w:color="auto"/>
        <w:bottom w:val="none" w:sz="0" w:space="0" w:color="auto"/>
        <w:right w:val="none" w:sz="0" w:space="0" w:color="auto"/>
      </w:divBdr>
      <w:divsChild>
        <w:div w:id="1516574051">
          <w:marLeft w:val="0"/>
          <w:marRight w:val="0"/>
          <w:marTop w:val="0"/>
          <w:marBottom w:val="150"/>
          <w:divBdr>
            <w:top w:val="none" w:sz="0" w:space="0" w:color="auto"/>
            <w:left w:val="none" w:sz="0" w:space="0" w:color="auto"/>
            <w:bottom w:val="none" w:sz="0" w:space="0" w:color="auto"/>
            <w:right w:val="none" w:sz="0" w:space="0" w:color="auto"/>
          </w:divBdr>
        </w:div>
      </w:divsChild>
    </w:div>
    <w:div w:id="90901151">
      <w:bodyDiv w:val="1"/>
      <w:marLeft w:val="0"/>
      <w:marRight w:val="0"/>
      <w:marTop w:val="0"/>
      <w:marBottom w:val="0"/>
      <w:divBdr>
        <w:top w:val="none" w:sz="0" w:space="0" w:color="auto"/>
        <w:left w:val="none" w:sz="0" w:space="0" w:color="auto"/>
        <w:bottom w:val="none" w:sz="0" w:space="0" w:color="auto"/>
        <w:right w:val="none" w:sz="0" w:space="0" w:color="auto"/>
      </w:divBdr>
      <w:divsChild>
        <w:div w:id="1308824360">
          <w:marLeft w:val="0"/>
          <w:marRight w:val="0"/>
          <w:marTop w:val="0"/>
          <w:marBottom w:val="0"/>
          <w:divBdr>
            <w:top w:val="none" w:sz="0" w:space="0" w:color="auto"/>
            <w:left w:val="none" w:sz="0" w:space="0" w:color="auto"/>
            <w:bottom w:val="none" w:sz="0" w:space="0" w:color="auto"/>
            <w:right w:val="none" w:sz="0" w:space="0" w:color="auto"/>
          </w:divBdr>
          <w:divsChild>
            <w:div w:id="8974018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0904801">
      <w:bodyDiv w:val="1"/>
      <w:marLeft w:val="0"/>
      <w:marRight w:val="0"/>
      <w:marTop w:val="0"/>
      <w:marBottom w:val="0"/>
      <w:divBdr>
        <w:top w:val="none" w:sz="0" w:space="0" w:color="auto"/>
        <w:left w:val="none" w:sz="0" w:space="0" w:color="auto"/>
        <w:bottom w:val="none" w:sz="0" w:space="0" w:color="auto"/>
        <w:right w:val="none" w:sz="0" w:space="0" w:color="auto"/>
      </w:divBdr>
      <w:divsChild>
        <w:div w:id="1227380172">
          <w:marLeft w:val="0"/>
          <w:marRight w:val="0"/>
          <w:marTop w:val="0"/>
          <w:marBottom w:val="0"/>
          <w:divBdr>
            <w:top w:val="none" w:sz="0" w:space="0" w:color="auto"/>
            <w:left w:val="none" w:sz="0" w:space="0" w:color="auto"/>
            <w:bottom w:val="none" w:sz="0" w:space="0" w:color="auto"/>
            <w:right w:val="none" w:sz="0" w:space="0" w:color="auto"/>
          </w:divBdr>
          <w:divsChild>
            <w:div w:id="58941058">
              <w:marLeft w:val="0"/>
              <w:marRight w:val="0"/>
              <w:marTop w:val="0"/>
              <w:marBottom w:val="0"/>
              <w:divBdr>
                <w:top w:val="none" w:sz="0" w:space="0" w:color="auto"/>
                <w:left w:val="none" w:sz="0" w:space="0" w:color="auto"/>
                <w:bottom w:val="none" w:sz="0" w:space="0" w:color="auto"/>
                <w:right w:val="none" w:sz="0" w:space="0" w:color="auto"/>
              </w:divBdr>
              <w:divsChild>
                <w:div w:id="1958874196">
                  <w:marLeft w:val="0"/>
                  <w:marRight w:val="0"/>
                  <w:marTop w:val="0"/>
                  <w:marBottom w:val="0"/>
                  <w:divBdr>
                    <w:top w:val="none" w:sz="0" w:space="0" w:color="auto"/>
                    <w:left w:val="none" w:sz="0" w:space="0" w:color="auto"/>
                    <w:bottom w:val="none" w:sz="0" w:space="0" w:color="auto"/>
                    <w:right w:val="none" w:sz="0" w:space="0" w:color="auto"/>
                  </w:divBdr>
                  <w:divsChild>
                    <w:div w:id="61880497">
                      <w:marLeft w:val="0"/>
                      <w:marRight w:val="0"/>
                      <w:marTop w:val="0"/>
                      <w:marBottom w:val="0"/>
                      <w:divBdr>
                        <w:top w:val="none" w:sz="0" w:space="0" w:color="auto"/>
                        <w:left w:val="none" w:sz="0" w:space="0" w:color="auto"/>
                        <w:bottom w:val="none" w:sz="0" w:space="0" w:color="auto"/>
                        <w:right w:val="none" w:sz="0" w:space="0" w:color="auto"/>
                      </w:divBdr>
                      <w:divsChild>
                        <w:div w:id="59905469">
                          <w:marLeft w:val="0"/>
                          <w:marRight w:val="0"/>
                          <w:marTop w:val="0"/>
                          <w:marBottom w:val="0"/>
                          <w:divBdr>
                            <w:top w:val="none" w:sz="0" w:space="0" w:color="auto"/>
                            <w:left w:val="none" w:sz="0" w:space="0" w:color="auto"/>
                            <w:bottom w:val="none" w:sz="0" w:space="0" w:color="auto"/>
                            <w:right w:val="none" w:sz="0" w:space="0" w:color="auto"/>
                          </w:divBdr>
                          <w:divsChild>
                            <w:div w:id="2016951754">
                              <w:marLeft w:val="0"/>
                              <w:marRight w:val="0"/>
                              <w:marTop w:val="0"/>
                              <w:marBottom w:val="0"/>
                              <w:divBdr>
                                <w:top w:val="none" w:sz="0" w:space="0" w:color="auto"/>
                                <w:left w:val="none" w:sz="0" w:space="0" w:color="auto"/>
                                <w:bottom w:val="none" w:sz="0" w:space="0" w:color="auto"/>
                                <w:right w:val="none" w:sz="0" w:space="0" w:color="auto"/>
                              </w:divBdr>
                              <w:divsChild>
                                <w:div w:id="1081832362">
                                  <w:marLeft w:val="0"/>
                                  <w:marRight w:val="0"/>
                                  <w:marTop w:val="0"/>
                                  <w:marBottom w:val="0"/>
                                  <w:divBdr>
                                    <w:top w:val="none" w:sz="0" w:space="0" w:color="auto"/>
                                    <w:left w:val="none" w:sz="0" w:space="0" w:color="auto"/>
                                    <w:bottom w:val="none" w:sz="0" w:space="0" w:color="auto"/>
                                    <w:right w:val="none" w:sz="0" w:space="0" w:color="auto"/>
                                  </w:divBdr>
                                  <w:divsChild>
                                    <w:div w:id="137044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929762">
      <w:bodyDiv w:val="1"/>
      <w:marLeft w:val="0"/>
      <w:marRight w:val="0"/>
      <w:marTop w:val="0"/>
      <w:marBottom w:val="0"/>
      <w:divBdr>
        <w:top w:val="none" w:sz="0" w:space="0" w:color="auto"/>
        <w:left w:val="none" w:sz="0" w:space="0" w:color="auto"/>
        <w:bottom w:val="none" w:sz="0" w:space="0" w:color="auto"/>
        <w:right w:val="none" w:sz="0" w:space="0" w:color="auto"/>
      </w:divBdr>
      <w:divsChild>
        <w:div w:id="1215237284">
          <w:marLeft w:val="0"/>
          <w:marRight w:val="0"/>
          <w:marTop w:val="0"/>
          <w:marBottom w:val="0"/>
          <w:divBdr>
            <w:top w:val="none" w:sz="0" w:space="0" w:color="auto"/>
            <w:left w:val="none" w:sz="0" w:space="0" w:color="auto"/>
            <w:bottom w:val="dotted" w:sz="6" w:space="4" w:color="DDDDDD"/>
            <w:right w:val="none" w:sz="0" w:space="0" w:color="auto"/>
          </w:divBdr>
        </w:div>
      </w:divsChild>
    </w:div>
    <w:div w:id="91364598">
      <w:bodyDiv w:val="1"/>
      <w:marLeft w:val="0"/>
      <w:marRight w:val="0"/>
      <w:marTop w:val="0"/>
      <w:marBottom w:val="0"/>
      <w:divBdr>
        <w:top w:val="none" w:sz="0" w:space="0" w:color="auto"/>
        <w:left w:val="none" w:sz="0" w:space="0" w:color="auto"/>
        <w:bottom w:val="none" w:sz="0" w:space="0" w:color="auto"/>
        <w:right w:val="none" w:sz="0" w:space="0" w:color="auto"/>
      </w:divBdr>
      <w:divsChild>
        <w:div w:id="767043930">
          <w:marLeft w:val="0"/>
          <w:marRight w:val="0"/>
          <w:marTop w:val="0"/>
          <w:marBottom w:val="0"/>
          <w:divBdr>
            <w:top w:val="none" w:sz="0" w:space="0" w:color="auto"/>
            <w:left w:val="none" w:sz="0" w:space="0" w:color="auto"/>
            <w:bottom w:val="dotted" w:sz="6" w:space="4" w:color="DDDDDD"/>
            <w:right w:val="none" w:sz="0" w:space="0" w:color="auto"/>
          </w:divBdr>
        </w:div>
      </w:divsChild>
    </w:div>
    <w:div w:id="91365390">
      <w:bodyDiv w:val="1"/>
      <w:marLeft w:val="0"/>
      <w:marRight w:val="0"/>
      <w:marTop w:val="0"/>
      <w:marBottom w:val="0"/>
      <w:divBdr>
        <w:top w:val="none" w:sz="0" w:space="0" w:color="auto"/>
        <w:left w:val="none" w:sz="0" w:space="0" w:color="auto"/>
        <w:bottom w:val="none" w:sz="0" w:space="0" w:color="auto"/>
        <w:right w:val="none" w:sz="0" w:space="0" w:color="auto"/>
      </w:divBdr>
      <w:divsChild>
        <w:div w:id="571084751">
          <w:marLeft w:val="0"/>
          <w:marRight w:val="0"/>
          <w:marTop w:val="150"/>
          <w:marBottom w:val="0"/>
          <w:divBdr>
            <w:top w:val="none" w:sz="0" w:space="0" w:color="auto"/>
            <w:left w:val="none" w:sz="0" w:space="0" w:color="auto"/>
            <w:bottom w:val="none" w:sz="0" w:space="0" w:color="auto"/>
            <w:right w:val="none" w:sz="0" w:space="0" w:color="auto"/>
          </w:divBdr>
          <w:divsChild>
            <w:div w:id="824858844">
              <w:marLeft w:val="0"/>
              <w:marRight w:val="150"/>
              <w:marTop w:val="0"/>
              <w:marBottom w:val="0"/>
              <w:divBdr>
                <w:top w:val="none" w:sz="0" w:space="0" w:color="auto"/>
                <w:left w:val="none" w:sz="0" w:space="0" w:color="auto"/>
                <w:bottom w:val="none" w:sz="0" w:space="0" w:color="auto"/>
                <w:right w:val="none" w:sz="0" w:space="0" w:color="auto"/>
              </w:divBdr>
            </w:div>
          </w:divsChild>
        </w:div>
        <w:div w:id="1003048096">
          <w:marLeft w:val="0"/>
          <w:marRight w:val="0"/>
          <w:marTop w:val="0"/>
          <w:marBottom w:val="0"/>
          <w:divBdr>
            <w:top w:val="none" w:sz="0" w:space="8" w:color="auto"/>
            <w:left w:val="none" w:sz="0" w:space="2" w:color="auto"/>
            <w:bottom w:val="single" w:sz="6" w:space="8" w:color="DDDDDD"/>
            <w:right w:val="none" w:sz="0" w:space="0" w:color="auto"/>
          </w:divBdr>
        </w:div>
      </w:divsChild>
    </w:div>
    <w:div w:id="91512369">
      <w:bodyDiv w:val="1"/>
      <w:marLeft w:val="0"/>
      <w:marRight w:val="0"/>
      <w:marTop w:val="0"/>
      <w:marBottom w:val="0"/>
      <w:divBdr>
        <w:top w:val="none" w:sz="0" w:space="0" w:color="auto"/>
        <w:left w:val="none" w:sz="0" w:space="0" w:color="auto"/>
        <w:bottom w:val="none" w:sz="0" w:space="0" w:color="auto"/>
        <w:right w:val="none" w:sz="0" w:space="0" w:color="auto"/>
      </w:divBdr>
      <w:divsChild>
        <w:div w:id="778528948">
          <w:marLeft w:val="0"/>
          <w:marRight w:val="0"/>
          <w:marTop w:val="0"/>
          <w:marBottom w:val="150"/>
          <w:divBdr>
            <w:top w:val="none" w:sz="0" w:space="0" w:color="auto"/>
            <w:left w:val="none" w:sz="0" w:space="0" w:color="auto"/>
            <w:bottom w:val="none" w:sz="0" w:space="0" w:color="auto"/>
            <w:right w:val="none" w:sz="0" w:space="0" w:color="auto"/>
          </w:divBdr>
          <w:divsChild>
            <w:div w:id="130640374">
              <w:marLeft w:val="0"/>
              <w:marRight w:val="0"/>
              <w:marTop w:val="0"/>
              <w:marBottom w:val="0"/>
              <w:divBdr>
                <w:top w:val="none" w:sz="0" w:space="0" w:color="auto"/>
                <w:left w:val="none" w:sz="0" w:space="0" w:color="auto"/>
                <w:bottom w:val="none" w:sz="0" w:space="0" w:color="auto"/>
                <w:right w:val="none" w:sz="0" w:space="0" w:color="auto"/>
              </w:divBdr>
              <w:divsChild>
                <w:div w:id="124953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914775">
          <w:marLeft w:val="0"/>
          <w:marRight w:val="0"/>
          <w:marTop w:val="0"/>
          <w:marBottom w:val="150"/>
          <w:divBdr>
            <w:top w:val="none" w:sz="0" w:space="0" w:color="auto"/>
            <w:left w:val="none" w:sz="0" w:space="0" w:color="auto"/>
            <w:bottom w:val="none" w:sz="0" w:space="0" w:color="auto"/>
            <w:right w:val="none" w:sz="0" w:space="0" w:color="auto"/>
          </w:divBdr>
        </w:div>
        <w:div w:id="1958028537">
          <w:marLeft w:val="0"/>
          <w:marRight w:val="0"/>
          <w:marTop w:val="0"/>
          <w:marBottom w:val="0"/>
          <w:divBdr>
            <w:top w:val="none" w:sz="0" w:space="0" w:color="auto"/>
            <w:left w:val="none" w:sz="0" w:space="0" w:color="auto"/>
            <w:bottom w:val="none" w:sz="0" w:space="0" w:color="auto"/>
            <w:right w:val="none" w:sz="0" w:space="0" w:color="auto"/>
          </w:divBdr>
          <w:divsChild>
            <w:div w:id="18297822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1554303">
      <w:bodyDiv w:val="1"/>
      <w:marLeft w:val="0"/>
      <w:marRight w:val="0"/>
      <w:marTop w:val="0"/>
      <w:marBottom w:val="0"/>
      <w:divBdr>
        <w:top w:val="none" w:sz="0" w:space="0" w:color="auto"/>
        <w:left w:val="none" w:sz="0" w:space="0" w:color="auto"/>
        <w:bottom w:val="none" w:sz="0" w:space="0" w:color="auto"/>
        <w:right w:val="none" w:sz="0" w:space="0" w:color="auto"/>
      </w:divBdr>
      <w:divsChild>
        <w:div w:id="761145922">
          <w:marLeft w:val="0"/>
          <w:marRight w:val="0"/>
          <w:marTop w:val="0"/>
          <w:marBottom w:val="150"/>
          <w:divBdr>
            <w:top w:val="none" w:sz="0" w:space="0" w:color="auto"/>
            <w:left w:val="none" w:sz="0" w:space="0" w:color="auto"/>
            <w:bottom w:val="none" w:sz="0" w:space="0" w:color="auto"/>
            <w:right w:val="none" w:sz="0" w:space="0" w:color="auto"/>
          </w:divBdr>
          <w:divsChild>
            <w:div w:id="142938034">
              <w:marLeft w:val="0"/>
              <w:marRight w:val="0"/>
              <w:marTop w:val="0"/>
              <w:marBottom w:val="0"/>
              <w:divBdr>
                <w:top w:val="none" w:sz="0" w:space="0" w:color="auto"/>
                <w:left w:val="none" w:sz="0" w:space="0" w:color="auto"/>
                <w:bottom w:val="none" w:sz="0" w:space="0" w:color="auto"/>
                <w:right w:val="none" w:sz="0" w:space="0" w:color="auto"/>
              </w:divBdr>
              <w:divsChild>
                <w:div w:id="107593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21839">
          <w:marLeft w:val="0"/>
          <w:marRight w:val="0"/>
          <w:marTop w:val="0"/>
          <w:marBottom w:val="150"/>
          <w:divBdr>
            <w:top w:val="none" w:sz="0" w:space="0" w:color="auto"/>
            <w:left w:val="none" w:sz="0" w:space="0" w:color="auto"/>
            <w:bottom w:val="none" w:sz="0" w:space="0" w:color="auto"/>
            <w:right w:val="none" w:sz="0" w:space="0" w:color="auto"/>
          </w:divBdr>
        </w:div>
        <w:div w:id="1352879069">
          <w:marLeft w:val="0"/>
          <w:marRight w:val="0"/>
          <w:marTop w:val="0"/>
          <w:marBottom w:val="0"/>
          <w:divBdr>
            <w:top w:val="none" w:sz="0" w:space="0" w:color="auto"/>
            <w:left w:val="none" w:sz="0" w:space="0" w:color="auto"/>
            <w:bottom w:val="none" w:sz="0" w:space="0" w:color="auto"/>
            <w:right w:val="none" w:sz="0" w:space="0" w:color="auto"/>
          </w:divBdr>
          <w:divsChild>
            <w:div w:id="158914795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1711697">
      <w:bodyDiv w:val="1"/>
      <w:marLeft w:val="0"/>
      <w:marRight w:val="0"/>
      <w:marTop w:val="0"/>
      <w:marBottom w:val="0"/>
      <w:divBdr>
        <w:top w:val="none" w:sz="0" w:space="0" w:color="auto"/>
        <w:left w:val="none" w:sz="0" w:space="0" w:color="auto"/>
        <w:bottom w:val="none" w:sz="0" w:space="0" w:color="auto"/>
        <w:right w:val="none" w:sz="0" w:space="0" w:color="auto"/>
      </w:divBdr>
    </w:div>
    <w:div w:id="92092629">
      <w:bodyDiv w:val="1"/>
      <w:marLeft w:val="0"/>
      <w:marRight w:val="0"/>
      <w:marTop w:val="0"/>
      <w:marBottom w:val="0"/>
      <w:divBdr>
        <w:top w:val="none" w:sz="0" w:space="0" w:color="auto"/>
        <w:left w:val="none" w:sz="0" w:space="0" w:color="auto"/>
        <w:bottom w:val="none" w:sz="0" w:space="0" w:color="auto"/>
        <w:right w:val="none" w:sz="0" w:space="0" w:color="auto"/>
      </w:divBdr>
      <w:divsChild>
        <w:div w:id="959991520">
          <w:marLeft w:val="0"/>
          <w:marRight w:val="0"/>
          <w:marTop w:val="0"/>
          <w:marBottom w:val="0"/>
          <w:divBdr>
            <w:top w:val="none" w:sz="0" w:space="0" w:color="auto"/>
            <w:left w:val="none" w:sz="0" w:space="0" w:color="auto"/>
            <w:bottom w:val="none" w:sz="0" w:space="0" w:color="auto"/>
            <w:right w:val="none" w:sz="0" w:space="0" w:color="auto"/>
          </w:divBdr>
          <w:divsChild>
            <w:div w:id="1152718371">
              <w:marLeft w:val="0"/>
              <w:marRight w:val="0"/>
              <w:marTop w:val="0"/>
              <w:marBottom w:val="0"/>
              <w:divBdr>
                <w:top w:val="none" w:sz="0" w:space="0" w:color="auto"/>
                <w:left w:val="none" w:sz="0" w:space="0" w:color="auto"/>
                <w:bottom w:val="none" w:sz="0" w:space="0" w:color="auto"/>
                <w:right w:val="none" w:sz="0" w:space="0" w:color="auto"/>
              </w:divBdr>
            </w:div>
          </w:divsChild>
        </w:div>
        <w:div w:id="1111975042">
          <w:marLeft w:val="0"/>
          <w:marRight w:val="0"/>
          <w:marTop w:val="0"/>
          <w:marBottom w:val="150"/>
          <w:divBdr>
            <w:top w:val="none" w:sz="0" w:space="0" w:color="auto"/>
            <w:left w:val="none" w:sz="0" w:space="0" w:color="auto"/>
            <w:bottom w:val="none" w:sz="0" w:space="0" w:color="auto"/>
            <w:right w:val="none" w:sz="0" w:space="0" w:color="auto"/>
          </w:divBdr>
          <w:divsChild>
            <w:div w:id="1108967248">
              <w:marLeft w:val="0"/>
              <w:marRight w:val="0"/>
              <w:marTop w:val="0"/>
              <w:marBottom w:val="0"/>
              <w:divBdr>
                <w:top w:val="none" w:sz="0" w:space="0" w:color="auto"/>
                <w:left w:val="none" w:sz="0" w:space="0" w:color="auto"/>
                <w:bottom w:val="none" w:sz="0" w:space="0" w:color="auto"/>
                <w:right w:val="none" w:sz="0" w:space="0" w:color="auto"/>
              </w:divBdr>
            </w:div>
          </w:divsChild>
        </w:div>
        <w:div w:id="1653367091">
          <w:marLeft w:val="0"/>
          <w:marRight w:val="0"/>
          <w:marTop w:val="0"/>
          <w:marBottom w:val="150"/>
          <w:divBdr>
            <w:top w:val="none" w:sz="0" w:space="0" w:color="auto"/>
            <w:left w:val="none" w:sz="0" w:space="0" w:color="auto"/>
            <w:bottom w:val="none" w:sz="0" w:space="0" w:color="auto"/>
            <w:right w:val="none" w:sz="0" w:space="0" w:color="auto"/>
          </w:divBdr>
        </w:div>
      </w:divsChild>
    </w:div>
    <w:div w:id="92215747">
      <w:bodyDiv w:val="1"/>
      <w:marLeft w:val="0"/>
      <w:marRight w:val="0"/>
      <w:marTop w:val="0"/>
      <w:marBottom w:val="0"/>
      <w:divBdr>
        <w:top w:val="none" w:sz="0" w:space="0" w:color="auto"/>
        <w:left w:val="none" w:sz="0" w:space="0" w:color="auto"/>
        <w:bottom w:val="none" w:sz="0" w:space="0" w:color="auto"/>
        <w:right w:val="none" w:sz="0" w:space="0" w:color="auto"/>
      </w:divBdr>
      <w:divsChild>
        <w:div w:id="1898853651">
          <w:marLeft w:val="0"/>
          <w:marRight w:val="0"/>
          <w:marTop w:val="0"/>
          <w:marBottom w:val="150"/>
          <w:divBdr>
            <w:top w:val="none" w:sz="0" w:space="0" w:color="auto"/>
            <w:left w:val="none" w:sz="0" w:space="0" w:color="auto"/>
            <w:bottom w:val="none" w:sz="0" w:space="0" w:color="auto"/>
            <w:right w:val="none" w:sz="0" w:space="0" w:color="auto"/>
          </w:divBdr>
          <w:divsChild>
            <w:div w:id="1027486266">
              <w:marLeft w:val="0"/>
              <w:marRight w:val="0"/>
              <w:marTop w:val="0"/>
              <w:marBottom w:val="0"/>
              <w:divBdr>
                <w:top w:val="none" w:sz="0" w:space="0" w:color="auto"/>
                <w:left w:val="none" w:sz="0" w:space="0" w:color="auto"/>
                <w:bottom w:val="none" w:sz="0" w:space="0" w:color="auto"/>
                <w:right w:val="none" w:sz="0" w:space="0" w:color="auto"/>
              </w:divBdr>
              <w:divsChild>
                <w:div w:id="28673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524135">
          <w:marLeft w:val="0"/>
          <w:marRight w:val="0"/>
          <w:marTop w:val="0"/>
          <w:marBottom w:val="150"/>
          <w:divBdr>
            <w:top w:val="none" w:sz="0" w:space="0" w:color="auto"/>
            <w:left w:val="none" w:sz="0" w:space="0" w:color="auto"/>
            <w:bottom w:val="none" w:sz="0" w:space="0" w:color="auto"/>
            <w:right w:val="none" w:sz="0" w:space="0" w:color="auto"/>
          </w:divBdr>
        </w:div>
        <w:div w:id="426846688">
          <w:marLeft w:val="0"/>
          <w:marRight w:val="0"/>
          <w:marTop w:val="0"/>
          <w:marBottom w:val="0"/>
          <w:divBdr>
            <w:top w:val="none" w:sz="0" w:space="0" w:color="auto"/>
            <w:left w:val="none" w:sz="0" w:space="0" w:color="auto"/>
            <w:bottom w:val="none" w:sz="0" w:space="0" w:color="auto"/>
            <w:right w:val="none" w:sz="0" w:space="0" w:color="auto"/>
          </w:divBdr>
          <w:divsChild>
            <w:div w:id="19266465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2482698">
      <w:bodyDiv w:val="1"/>
      <w:marLeft w:val="0"/>
      <w:marRight w:val="0"/>
      <w:marTop w:val="0"/>
      <w:marBottom w:val="0"/>
      <w:divBdr>
        <w:top w:val="none" w:sz="0" w:space="0" w:color="auto"/>
        <w:left w:val="none" w:sz="0" w:space="0" w:color="auto"/>
        <w:bottom w:val="none" w:sz="0" w:space="0" w:color="auto"/>
        <w:right w:val="none" w:sz="0" w:space="0" w:color="auto"/>
      </w:divBdr>
      <w:divsChild>
        <w:div w:id="1661807626">
          <w:marLeft w:val="0"/>
          <w:marRight w:val="0"/>
          <w:marTop w:val="0"/>
          <w:marBottom w:val="150"/>
          <w:divBdr>
            <w:top w:val="none" w:sz="0" w:space="0" w:color="auto"/>
            <w:left w:val="none" w:sz="0" w:space="0" w:color="auto"/>
            <w:bottom w:val="none" w:sz="0" w:space="0" w:color="auto"/>
            <w:right w:val="none" w:sz="0" w:space="0" w:color="auto"/>
          </w:divBdr>
        </w:div>
      </w:divsChild>
    </w:div>
    <w:div w:id="92821889">
      <w:bodyDiv w:val="1"/>
      <w:marLeft w:val="0"/>
      <w:marRight w:val="0"/>
      <w:marTop w:val="0"/>
      <w:marBottom w:val="0"/>
      <w:divBdr>
        <w:top w:val="none" w:sz="0" w:space="0" w:color="auto"/>
        <w:left w:val="none" w:sz="0" w:space="0" w:color="auto"/>
        <w:bottom w:val="none" w:sz="0" w:space="0" w:color="auto"/>
        <w:right w:val="none" w:sz="0" w:space="0" w:color="auto"/>
      </w:divBdr>
    </w:div>
    <w:div w:id="93134967">
      <w:bodyDiv w:val="1"/>
      <w:marLeft w:val="0"/>
      <w:marRight w:val="0"/>
      <w:marTop w:val="0"/>
      <w:marBottom w:val="0"/>
      <w:divBdr>
        <w:top w:val="none" w:sz="0" w:space="0" w:color="auto"/>
        <w:left w:val="none" w:sz="0" w:space="0" w:color="auto"/>
        <w:bottom w:val="none" w:sz="0" w:space="0" w:color="auto"/>
        <w:right w:val="none" w:sz="0" w:space="0" w:color="auto"/>
      </w:divBdr>
      <w:divsChild>
        <w:div w:id="1975720501">
          <w:marLeft w:val="0"/>
          <w:marRight w:val="0"/>
          <w:marTop w:val="0"/>
          <w:marBottom w:val="0"/>
          <w:divBdr>
            <w:top w:val="none" w:sz="0" w:space="0" w:color="auto"/>
            <w:left w:val="none" w:sz="0" w:space="0" w:color="auto"/>
            <w:bottom w:val="none" w:sz="0" w:space="0" w:color="auto"/>
            <w:right w:val="none" w:sz="0" w:space="0" w:color="auto"/>
          </w:divBdr>
          <w:divsChild>
            <w:div w:id="781805445">
              <w:marLeft w:val="0"/>
              <w:marRight w:val="0"/>
              <w:marTop w:val="0"/>
              <w:marBottom w:val="0"/>
              <w:divBdr>
                <w:top w:val="none" w:sz="0" w:space="0" w:color="auto"/>
                <w:left w:val="none" w:sz="0" w:space="0" w:color="auto"/>
                <w:bottom w:val="none" w:sz="0" w:space="0" w:color="auto"/>
                <w:right w:val="none" w:sz="0" w:space="0" w:color="auto"/>
              </w:divBdr>
              <w:divsChild>
                <w:div w:id="1407921833">
                  <w:marLeft w:val="0"/>
                  <w:marRight w:val="0"/>
                  <w:marTop w:val="0"/>
                  <w:marBottom w:val="0"/>
                  <w:divBdr>
                    <w:top w:val="none" w:sz="0" w:space="0" w:color="auto"/>
                    <w:left w:val="none" w:sz="0" w:space="0" w:color="auto"/>
                    <w:bottom w:val="none" w:sz="0" w:space="0" w:color="auto"/>
                    <w:right w:val="none" w:sz="0" w:space="0" w:color="auto"/>
                  </w:divBdr>
                  <w:divsChild>
                    <w:div w:id="287010062">
                      <w:marLeft w:val="0"/>
                      <w:marRight w:val="0"/>
                      <w:marTop w:val="0"/>
                      <w:marBottom w:val="0"/>
                      <w:divBdr>
                        <w:top w:val="none" w:sz="0" w:space="0" w:color="auto"/>
                        <w:left w:val="none" w:sz="0" w:space="0" w:color="auto"/>
                        <w:bottom w:val="none" w:sz="0" w:space="0" w:color="auto"/>
                        <w:right w:val="none" w:sz="0" w:space="0" w:color="auto"/>
                      </w:divBdr>
                      <w:divsChild>
                        <w:div w:id="1642924997">
                          <w:marLeft w:val="0"/>
                          <w:marRight w:val="0"/>
                          <w:marTop w:val="0"/>
                          <w:marBottom w:val="0"/>
                          <w:divBdr>
                            <w:top w:val="none" w:sz="0" w:space="0" w:color="auto"/>
                            <w:left w:val="none" w:sz="0" w:space="0" w:color="auto"/>
                            <w:bottom w:val="none" w:sz="0" w:space="0" w:color="auto"/>
                            <w:right w:val="none" w:sz="0" w:space="0" w:color="auto"/>
                          </w:divBdr>
                          <w:divsChild>
                            <w:div w:id="469246417">
                              <w:marLeft w:val="0"/>
                              <w:marRight w:val="0"/>
                              <w:marTop w:val="0"/>
                              <w:marBottom w:val="0"/>
                              <w:divBdr>
                                <w:top w:val="none" w:sz="0" w:space="0" w:color="auto"/>
                                <w:left w:val="none" w:sz="0" w:space="0" w:color="auto"/>
                                <w:bottom w:val="none" w:sz="0" w:space="0" w:color="auto"/>
                                <w:right w:val="none" w:sz="0" w:space="0" w:color="auto"/>
                              </w:divBdr>
                              <w:divsChild>
                                <w:div w:id="1674065354">
                                  <w:marLeft w:val="0"/>
                                  <w:marRight w:val="0"/>
                                  <w:marTop w:val="0"/>
                                  <w:marBottom w:val="0"/>
                                  <w:divBdr>
                                    <w:top w:val="none" w:sz="0" w:space="0" w:color="auto"/>
                                    <w:left w:val="none" w:sz="0" w:space="0" w:color="auto"/>
                                    <w:bottom w:val="none" w:sz="0" w:space="0" w:color="auto"/>
                                    <w:right w:val="none" w:sz="0" w:space="0" w:color="auto"/>
                                  </w:divBdr>
                                  <w:divsChild>
                                    <w:div w:id="112927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35468">
      <w:bodyDiv w:val="1"/>
      <w:marLeft w:val="0"/>
      <w:marRight w:val="0"/>
      <w:marTop w:val="0"/>
      <w:marBottom w:val="0"/>
      <w:divBdr>
        <w:top w:val="none" w:sz="0" w:space="0" w:color="auto"/>
        <w:left w:val="none" w:sz="0" w:space="0" w:color="auto"/>
        <w:bottom w:val="none" w:sz="0" w:space="0" w:color="auto"/>
        <w:right w:val="none" w:sz="0" w:space="0" w:color="auto"/>
      </w:divBdr>
      <w:divsChild>
        <w:div w:id="1632982786">
          <w:marLeft w:val="0"/>
          <w:marRight w:val="0"/>
          <w:marTop w:val="0"/>
          <w:marBottom w:val="0"/>
          <w:divBdr>
            <w:top w:val="none" w:sz="0" w:space="0" w:color="auto"/>
            <w:left w:val="none" w:sz="0" w:space="0" w:color="auto"/>
            <w:bottom w:val="none" w:sz="0" w:space="0" w:color="auto"/>
            <w:right w:val="none" w:sz="0" w:space="0" w:color="auto"/>
          </w:divBdr>
          <w:divsChild>
            <w:div w:id="1117067725">
              <w:marLeft w:val="0"/>
              <w:marRight w:val="0"/>
              <w:marTop w:val="0"/>
              <w:marBottom w:val="0"/>
              <w:divBdr>
                <w:top w:val="none" w:sz="0" w:space="0" w:color="auto"/>
                <w:left w:val="none" w:sz="0" w:space="0" w:color="auto"/>
                <w:bottom w:val="none" w:sz="0" w:space="0" w:color="auto"/>
                <w:right w:val="none" w:sz="0" w:space="0" w:color="auto"/>
              </w:divBdr>
              <w:divsChild>
                <w:div w:id="1550845851">
                  <w:marLeft w:val="0"/>
                  <w:marRight w:val="0"/>
                  <w:marTop w:val="0"/>
                  <w:marBottom w:val="0"/>
                  <w:divBdr>
                    <w:top w:val="none" w:sz="0" w:space="0" w:color="auto"/>
                    <w:left w:val="none" w:sz="0" w:space="0" w:color="auto"/>
                    <w:bottom w:val="none" w:sz="0" w:space="0" w:color="auto"/>
                    <w:right w:val="none" w:sz="0" w:space="0" w:color="auto"/>
                  </w:divBdr>
                  <w:divsChild>
                    <w:div w:id="1789542106">
                      <w:marLeft w:val="0"/>
                      <w:marRight w:val="0"/>
                      <w:marTop w:val="0"/>
                      <w:marBottom w:val="0"/>
                      <w:divBdr>
                        <w:top w:val="none" w:sz="0" w:space="0" w:color="auto"/>
                        <w:left w:val="none" w:sz="0" w:space="0" w:color="auto"/>
                        <w:bottom w:val="none" w:sz="0" w:space="0" w:color="auto"/>
                        <w:right w:val="none" w:sz="0" w:space="0" w:color="auto"/>
                      </w:divBdr>
                      <w:divsChild>
                        <w:div w:id="2129817223">
                          <w:marLeft w:val="0"/>
                          <w:marRight w:val="0"/>
                          <w:marTop w:val="0"/>
                          <w:marBottom w:val="0"/>
                          <w:divBdr>
                            <w:top w:val="none" w:sz="0" w:space="0" w:color="auto"/>
                            <w:left w:val="none" w:sz="0" w:space="0" w:color="auto"/>
                            <w:bottom w:val="none" w:sz="0" w:space="0" w:color="auto"/>
                            <w:right w:val="none" w:sz="0" w:space="0" w:color="auto"/>
                          </w:divBdr>
                          <w:divsChild>
                            <w:div w:id="93074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09803">
      <w:bodyDiv w:val="1"/>
      <w:marLeft w:val="0"/>
      <w:marRight w:val="0"/>
      <w:marTop w:val="0"/>
      <w:marBottom w:val="0"/>
      <w:divBdr>
        <w:top w:val="none" w:sz="0" w:space="0" w:color="auto"/>
        <w:left w:val="none" w:sz="0" w:space="0" w:color="auto"/>
        <w:bottom w:val="none" w:sz="0" w:space="0" w:color="auto"/>
        <w:right w:val="none" w:sz="0" w:space="0" w:color="auto"/>
      </w:divBdr>
    </w:div>
    <w:div w:id="94181874">
      <w:bodyDiv w:val="1"/>
      <w:marLeft w:val="0"/>
      <w:marRight w:val="0"/>
      <w:marTop w:val="0"/>
      <w:marBottom w:val="0"/>
      <w:divBdr>
        <w:top w:val="none" w:sz="0" w:space="0" w:color="auto"/>
        <w:left w:val="none" w:sz="0" w:space="0" w:color="auto"/>
        <w:bottom w:val="none" w:sz="0" w:space="0" w:color="auto"/>
        <w:right w:val="none" w:sz="0" w:space="0" w:color="auto"/>
      </w:divBdr>
      <w:divsChild>
        <w:div w:id="964654966">
          <w:marLeft w:val="0"/>
          <w:marRight w:val="0"/>
          <w:marTop w:val="0"/>
          <w:marBottom w:val="0"/>
          <w:divBdr>
            <w:top w:val="none" w:sz="0" w:space="0" w:color="auto"/>
            <w:left w:val="none" w:sz="0" w:space="0" w:color="auto"/>
            <w:bottom w:val="none" w:sz="0" w:space="0" w:color="auto"/>
            <w:right w:val="none" w:sz="0" w:space="0" w:color="auto"/>
          </w:divBdr>
          <w:divsChild>
            <w:div w:id="522288975">
              <w:marLeft w:val="0"/>
              <w:marRight w:val="0"/>
              <w:marTop w:val="0"/>
              <w:marBottom w:val="0"/>
              <w:divBdr>
                <w:top w:val="none" w:sz="0" w:space="0" w:color="auto"/>
                <w:left w:val="none" w:sz="0" w:space="0" w:color="auto"/>
                <w:bottom w:val="none" w:sz="0" w:space="0" w:color="auto"/>
                <w:right w:val="none" w:sz="0" w:space="0" w:color="auto"/>
              </w:divBdr>
              <w:divsChild>
                <w:div w:id="928393199">
                  <w:marLeft w:val="0"/>
                  <w:marRight w:val="0"/>
                  <w:marTop w:val="0"/>
                  <w:marBottom w:val="0"/>
                  <w:divBdr>
                    <w:top w:val="none" w:sz="0" w:space="0" w:color="auto"/>
                    <w:left w:val="none" w:sz="0" w:space="0" w:color="auto"/>
                    <w:bottom w:val="none" w:sz="0" w:space="0" w:color="auto"/>
                    <w:right w:val="none" w:sz="0" w:space="0" w:color="auto"/>
                  </w:divBdr>
                  <w:divsChild>
                    <w:div w:id="1659455007">
                      <w:marLeft w:val="0"/>
                      <w:marRight w:val="0"/>
                      <w:marTop w:val="0"/>
                      <w:marBottom w:val="0"/>
                      <w:divBdr>
                        <w:top w:val="none" w:sz="0" w:space="0" w:color="auto"/>
                        <w:left w:val="none" w:sz="0" w:space="0" w:color="auto"/>
                        <w:bottom w:val="none" w:sz="0" w:space="0" w:color="auto"/>
                        <w:right w:val="none" w:sz="0" w:space="0" w:color="auto"/>
                      </w:divBdr>
                      <w:divsChild>
                        <w:div w:id="1539388075">
                          <w:marLeft w:val="0"/>
                          <w:marRight w:val="0"/>
                          <w:marTop w:val="0"/>
                          <w:marBottom w:val="0"/>
                          <w:divBdr>
                            <w:top w:val="none" w:sz="0" w:space="0" w:color="auto"/>
                            <w:left w:val="none" w:sz="0" w:space="0" w:color="auto"/>
                            <w:bottom w:val="none" w:sz="0" w:space="0" w:color="auto"/>
                            <w:right w:val="none" w:sz="0" w:space="0" w:color="auto"/>
                          </w:divBdr>
                          <w:divsChild>
                            <w:div w:id="1304698975">
                              <w:marLeft w:val="0"/>
                              <w:marRight w:val="0"/>
                              <w:marTop w:val="0"/>
                              <w:marBottom w:val="0"/>
                              <w:divBdr>
                                <w:top w:val="none" w:sz="0" w:space="0" w:color="auto"/>
                                <w:left w:val="none" w:sz="0" w:space="0" w:color="auto"/>
                                <w:bottom w:val="none" w:sz="0" w:space="0" w:color="auto"/>
                                <w:right w:val="none" w:sz="0" w:space="0" w:color="auto"/>
                              </w:divBdr>
                              <w:divsChild>
                                <w:div w:id="1525945467">
                                  <w:marLeft w:val="0"/>
                                  <w:marRight w:val="0"/>
                                  <w:marTop w:val="0"/>
                                  <w:marBottom w:val="0"/>
                                  <w:divBdr>
                                    <w:top w:val="none" w:sz="0" w:space="0" w:color="auto"/>
                                    <w:left w:val="none" w:sz="0" w:space="0" w:color="auto"/>
                                    <w:bottom w:val="none" w:sz="0" w:space="0" w:color="auto"/>
                                    <w:right w:val="none" w:sz="0" w:space="0" w:color="auto"/>
                                  </w:divBdr>
                                  <w:divsChild>
                                    <w:div w:id="146369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324174">
      <w:bodyDiv w:val="1"/>
      <w:marLeft w:val="0"/>
      <w:marRight w:val="0"/>
      <w:marTop w:val="0"/>
      <w:marBottom w:val="0"/>
      <w:divBdr>
        <w:top w:val="none" w:sz="0" w:space="0" w:color="auto"/>
        <w:left w:val="none" w:sz="0" w:space="0" w:color="auto"/>
        <w:bottom w:val="none" w:sz="0" w:space="0" w:color="auto"/>
        <w:right w:val="none" w:sz="0" w:space="0" w:color="auto"/>
      </w:divBdr>
    </w:div>
    <w:div w:id="94374042">
      <w:bodyDiv w:val="1"/>
      <w:marLeft w:val="0"/>
      <w:marRight w:val="0"/>
      <w:marTop w:val="0"/>
      <w:marBottom w:val="0"/>
      <w:divBdr>
        <w:top w:val="none" w:sz="0" w:space="0" w:color="auto"/>
        <w:left w:val="none" w:sz="0" w:space="0" w:color="auto"/>
        <w:bottom w:val="none" w:sz="0" w:space="0" w:color="auto"/>
        <w:right w:val="none" w:sz="0" w:space="0" w:color="auto"/>
      </w:divBdr>
      <w:divsChild>
        <w:div w:id="993293323">
          <w:marLeft w:val="0"/>
          <w:marRight w:val="0"/>
          <w:marTop w:val="0"/>
          <w:marBottom w:val="0"/>
          <w:divBdr>
            <w:top w:val="none" w:sz="0" w:space="0" w:color="auto"/>
            <w:left w:val="none" w:sz="0" w:space="0" w:color="auto"/>
            <w:bottom w:val="none" w:sz="0" w:space="0" w:color="auto"/>
            <w:right w:val="none" w:sz="0" w:space="0" w:color="auto"/>
          </w:divBdr>
          <w:divsChild>
            <w:div w:id="237787357">
              <w:marLeft w:val="0"/>
              <w:marRight w:val="0"/>
              <w:marTop w:val="225"/>
              <w:marBottom w:val="225"/>
              <w:divBdr>
                <w:top w:val="none" w:sz="0" w:space="0" w:color="auto"/>
                <w:left w:val="none" w:sz="0" w:space="0" w:color="auto"/>
                <w:bottom w:val="none" w:sz="0" w:space="0" w:color="auto"/>
                <w:right w:val="none" w:sz="0" w:space="0" w:color="auto"/>
              </w:divBdr>
            </w:div>
          </w:divsChild>
        </w:div>
        <w:div w:id="1341657516">
          <w:marLeft w:val="0"/>
          <w:marRight w:val="0"/>
          <w:marTop w:val="0"/>
          <w:marBottom w:val="150"/>
          <w:divBdr>
            <w:top w:val="none" w:sz="0" w:space="0" w:color="auto"/>
            <w:left w:val="none" w:sz="0" w:space="0" w:color="auto"/>
            <w:bottom w:val="none" w:sz="0" w:space="0" w:color="auto"/>
            <w:right w:val="none" w:sz="0" w:space="0" w:color="auto"/>
          </w:divBdr>
          <w:divsChild>
            <w:div w:id="1772702717">
              <w:marLeft w:val="0"/>
              <w:marRight w:val="0"/>
              <w:marTop w:val="0"/>
              <w:marBottom w:val="0"/>
              <w:divBdr>
                <w:top w:val="none" w:sz="0" w:space="0" w:color="auto"/>
                <w:left w:val="none" w:sz="0" w:space="0" w:color="auto"/>
                <w:bottom w:val="none" w:sz="0" w:space="0" w:color="auto"/>
                <w:right w:val="none" w:sz="0" w:space="0" w:color="auto"/>
              </w:divBdr>
              <w:divsChild>
                <w:div w:id="189465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696142">
          <w:marLeft w:val="0"/>
          <w:marRight w:val="0"/>
          <w:marTop w:val="0"/>
          <w:marBottom w:val="150"/>
          <w:divBdr>
            <w:top w:val="none" w:sz="0" w:space="0" w:color="auto"/>
            <w:left w:val="none" w:sz="0" w:space="0" w:color="auto"/>
            <w:bottom w:val="none" w:sz="0" w:space="0" w:color="auto"/>
            <w:right w:val="none" w:sz="0" w:space="0" w:color="auto"/>
          </w:divBdr>
        </w:div>
      </w:divsChild>
    </w:div>
    <w:div w:id="94446859">
      <w:bodyDiv w:val="1"/>
      <w:marLeft w:val="0"/>
      <w:marRight w:val="0"/>
      <w:marTop w:val="0"/>
      <w:marBottom w:val="0"/>
      <w:divBdr>
        <w:top w:val="none" w:sz="0" w:space="0" w:color="auto"/>
        <w:left w:val="none" w:sz="0" w:space="0" w:color="auto"/>
        <w:bottom w:val="none" w:sz="0" w:space="0" w:color="auto"/>
        <w:right w:val="none" w:sz="0" w:space="0" w:color="auto"/>
      </w:divBdr>
      <w:divsChild>
        <w:div w:id="1042249153">
          <w:marLeft w:val="0"/>
          <w:marRight w:val="0"/>
          <w:marTop w:val="0"/>
          <w:marBottom w:val="0"/>
          <w:divBdr>
            <w:top w:val="none" w:sz="0" w:space="0" w:color="auto"/>
            <w:left w:val="none" w:sz="0" w:space="0" w:color="auto"/>
            <w:bottom w:val="none" w:sz="0" w:space="0" w:color="auto"/>
            <w:right w:val="none" w:sz="0" w:space="0" w:color="auto"/>
          </w:divBdr>
          <w:divsChild>
            <w:div w:id="1843085028">
              <w:marLeft w:val="0"/>
              <w:marRight w:val="0"/>
              <w:marTop w:val="0"/>
              <w:marBottom w:val="0"/>
              <w:divBdr>
                <w:top w:val="none" w:sz="0" w:space="0" w:color="auto"/>
                <w:left w:val="none" w:sz="0" w:space="0" w:color="auto"/>
                <w:bottom w:val="none" w:sz="0" w:space="0" w:color="auto"/>
                <w:right w:val="none" w:sz="0" w:space="0" w:color="auto"/>
              </w:divBdr>
              <w:divsChild>
                <w:div w:id="1545096367">
                  <w:marLeft w:val="0"/>
                  <w:marRight w:val="0"/>
                  <w:marTop w:val="0"/>
                  <w:marBottom w:val="0"/>
                  <w:divBdr>
                    <w:top w:val="none" w:sz="0" w:space="0" w:color="auto"/>
                    <w:left w:val="none" w:sz="0" w:space="0" w:color="auto"/>
                    <w:bottom w:val="none" w:sz="0" w:space="0" w:color="auto"/>
                    <w:right w:val="none" w:sz="0" w:space="0" w:color="auto"/>
                  </w:divBdr>
                  <w:divsChild>
                    <w:div w:id="576482064">
                      <w:marLeft w:val="0"/>
                      <w:marRight w:val="0"/>
                      <w:marTop w:val="0"/>
                      <w:marBottom w:val="0"/>
                      <w:divBdr>
                        <w:top w:val="none" w:sz="0" w:space="0" w:color="auto"/>
                        <w:left w:val="none" w:sz="0" w:space="0" w:color="auto"/>
                        <w:bottom w:val="none" w:sz="0" w:space="0" w:color="auto"/>
                        <w:right w:val="none" w:sz="0" w:space="0" w:color="auto"/>
                      </w:divBdr>
                      <w:divsChild>
                        <w:div w:id="1899781734">
                          <w:marLeft w:val="0"/>
                          <w:marRight w:val="0"/>
                          <w:marTop w:val="0"/>
                          <w:marBottom w:val="0"/>
                          <w:divBdr>
                            <w:top w:val="none" w:sz="0" w:space="0" w:color="auto"/>
                            <w:left w:val="none" w:sz="0" w:space="0" w:color="auto"/>
                            <w:bottom w:val="none" w:sz="0" w:space="0" w:color="auto"/>
                            <w:right w:val="none" w:sz="0" w:space="0" w:color="auto"/>
                          </w:divBdr>
                          <w:divsChild>
                            <w:div w:id="1927229897">
                              <w:marLeft w:val="0"/>
                              <w:marRight w:val="0"/>
                              <w:marTop w:val="0"/>
                              <w:marBottom w:val="0"/>
                              <w:divBdr>
                                <w:top w:val="none" w:sz="0" w:space="0" w:color="auto"/>
                                <w:left w:val="none" w:sz="0" w:space="0" w:color="auto"/>
                                <w:bottom w:val="none" w:sz="0" w:space="0" w:color="auto"/>
                                <w:right w:val="none" w:sz="0" w:space="0" w:color="auto"/>
                              </w:divBdr>
                              <w:divsChild>
                                <w:div w:id="1452096142">
                                  <w:marLeft w:val="0"/>
                                  <w:marRight w:val="0"/>
                                  <w:marTop w:val="0"/>
                                  <w:marBottom w:val="0"/>
                                  <w:divBdr>
                                    <w:top w:val="none" w:sz="0" w:space="0" w:color="auto"/>
                                    <w:left w:val="none" w:sz="0" w:space="0" w:color="auto"/>
                                    <w:bottom w:val="none" w:sz="0" w:space="0" w:color="auto"/>
                                    <w:right w:val="none" w:sz="0" w:space="0" w:color="auto"/>
                                  </w:divBdr>
                                  <w:divsChild>
                                    <w:div w:id="145335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904594">
      <w:bodyDiv w:val="1"/>
      <w:marLeft w:val="0"/>
      <w:marRight w:val="0"/>
      <w:marTop w:val="0"/>
      <w:marBottom w:val="0"/>
      <w:divBdr>
        <w:top w:val="none" w:sz="0" w:space="0" w:color="auto"/>
        <w:left w:val="none" w:sz="0" w:space="0" w:color="auto"/>
        <w:bottom w:val="none" w:sz="0" w:space="0" w:color="auto"/>
        <w:right w:val="none" w:sz="0" w:space="0" w:color="auto"/>
      </w:divBdr>
      <w:divsChild>
        <w:div w:id="339624381">
          <w:marLeft w:val="0"/>
          <w:marRight w:val="0"/>
          <w:marTop w:val="0"/>
          <w:marBottom w:val="0"/>
          <w:divBdr>
            <w:top w:val="none" w:sz="0" w:space="0" w:color="auto"/>
            <w:left w:val="none" w:sz="0" w:space="0" w:color="auto"/>
            <w:bottom w:val="none" w:sz="0" w:space="0" w:color="auto"/>
            <w:right w:val="none" w:sz="0" w:space="0" w:color="auto"/>
          </w:divBdr>
          <w:divsChild>
            <w:div w:id="2141798748">
              <w:marLeft w:val="0"/>
              <w:marRight w:val="0"/>
              <w:marTop w:val="0"/>
              <w:marBottom w:val="0"/>
              <w:divBdr>
                <w:top w:val="none" w:sz="0" w:space="0" w:color="auto"/>
                <w:left w:val="none" w:sz="0" w:space="0" w:color="auto"/>
                <w:bottom w:val="none" w:sz="0" w:space="0" w:color="auto"/>
                <w:right w:val="none" w:sz="0" w:space="0" w:color="auto"/>
              </w:divBdr>
              <w:divsChild>
                <w:div w:id="307364000">
                  <w:marLeft w:val="0"/>
                  <w:marRight w:val="0"/>
                  <w:marTop w:val="0"/>
                  <w:marBottom w:val="0"/>
                  <w:divBdr>
                    <w:top w:val="none" w:sz="0" w:space="0" w:color="auto"/>
                    <w:left w:val="none" w:sz="0" w:space="0" w:color="auto"/>
                    <w:bottom w:val="none" w:sz="0" w:space="0" w:color="auto"/>
                    <w:right w:val="none" w:sz="0" w:space="0" w:color="auto"/>
                  </w:divBdr>
                  <w:divsChild>
                    <w:div w:id="572011461">
                      <w:marLeft w:val="0"/>
                      <w:marRight w:val="0"/>
                      <w:marTop w:val="0"/>
                      <w:marBottom w:val="0"/>
                      <w:divBdr>
                        <w:top w:val="none" w:sz="0" w:space="0" w:color="auto"/>
                        <w:left w:val="none" w:sz="0" w:space="0" w:color="auto"/>
                        <w:bottom w:val="none" w:sz="0" w:space="0" w:color="auto"/>
                        <w:right w:val="none" w:sz="0" w:space="0" w:color="auto"/>
                      </w:divBdr>
                      <w:divsChild>
                        <w:div w:id="758520935">
                          <w:marLeft w:val="0"/>
                          <w:marRight w:val="0"/>
                          <w:marTop w:val="0"/>
                          <w:marBottom w:val="0"/>
                          <w:divBdr>
                            <w:top w:val="none" w:sz="0" w:space="0" w:color="auto"/>
                            <w:left w:val="none" w:sz="0" w:space="0" w:color="auto"/>
                            <w:bottom w:val="none" w:sz="0" w:space="0" w:color="auto"/>
                            <w:right w:val="none" w:sz="0" w:space="0" w:color="auto"/>
                          </w:divBdr>
                          <w:divsChild>
                            <w:div w:id="866257845">
                              <w:marLeft w:val="0"/>
                              <w:marRight w:val="0"/>
                              <w:marTop w:val="0"/>
                              <w:marBottom w:val="0"/>
                              <w:divBdr>
                                <w:top w:val="none" w:sz="0" w:space="0" w:color="auto"/>
                                <w:left w:val="none" w:sz="0" w:space="0" w:color="auto"/>
                                <w:bottom w:val="none" w:sz="0" w:space="0" w:color="auto"/>
                                <w:right w:val="none" w:sz="0" w:space="0" w:color="auto"/>
                              </w:divBdr>
                              <w:divsChild>
                                <w:div w:id="314455685">
                                  <w:marLeft w:val="0"/>
                                  <w:marRight w:val="0"/>
                                  <w:marTop w:val="0"/>
                                  <w:marBottom w:val="0"/>
                                  <w:divBdr>
                                    <w:top w:val="none" w:sz="0" w:space="0" w:color="auto"/>
                                    <w:left w:val="none" w:sz="0" w:space="0" w:color="auto"/>
                                    <w:bottom w:val="none" w:sz="0" w:space="0" w:color="auto"/>
                                    <w:right w:val="none" w:sz="0" w:space="0" w:color="auto"/>
                                  </w:divBdr>
                                  <w:divsChild>
                                    <w:div w:id="65931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907742">
      <w:bodyDiv w:val="1"/>
      <w:marLeft w:val="0"/>
      <w:marRight w:val="0"/>
      <w:marTop w:val="0"/>
      <w:marBottom w:val="0"/>
      <w:divBdr>
        <w:top w:val="none" w:sz="0" w:space="0" w:color="auto"/>
        <w:left w:val="none" w:sz="0" w:space="0" w:color="auto"/>
        <w:bottom w:val="none" w:sz="0" w:space="0" w:color="auto"/>
        <w:right w:val="none" w:sz="0" w:space="0" w:color="auto"/>
      </w:divBdr>
      <w:divsChild>
        <w:div w:id="380714318">
          <w:marLeft w:val="0"/>
          <w:marRight w:val="0"/>
          <w:marTop w:val="0"/>
          <w:marBottom w:val="0"/>
          <w:divBdr>
            <w:top w:val="none" w:sz="0" w:space="0" w:color="auto"/>
            <w:left w:val="none" w:sz="0" w:space="0" w:color="auto"/>
            <w:bottom w:val="dotted" w:sz="6" w:space="4" w:color="DDDDDD"/>
            <w:right w:val="none" w:sz="0" w:space="0" w:color="auto"/>
          </w:divBdr>
        </w:div>
      </w:divsChild>
    </w:div>
    <w:div w:id="94983842">
      <w:bodyDiv w:val="1"/>
      <w:marLeft w:val="0"/>
      <w:marRight w:val="0"/>
      <w:marTop w:val="0"/>
      <w:marBottom w:val="0"/>
      <w:divBdr>
        <w:top w:val="none" w:sz="0" w:space="0" w:color="auto"/>
        <w:left w:val="none" w:sz="0" w:space="0" w:color="auto"/>
        <w:bottom w:val="none" w:sz="0" w:space="0" w:color="auto"/>
        <w:right w:val="none" w:sz="0" w:space="0" w:color="auto"/>
      </w:divBdr>
      <w:divsChild>
        <w:div w:id="1364137719">
          <w:marLeft w:val="0"/>
          <w:marRight w:val="0"/>
          <w:marTop w:val="0"/>
          <w:marBottom w:val="0"/>
          <w:divBdr>
            <w:top w:val="none" w:sz="0" w:space="0" w:color="auto"/>
            <w:left w:val="none" w:sz="0" w:space="0" w:color="auto"/>
            <w:bottom w:val="none" w:sz="0" w:space="0" w:color="auto"/>
            <w:right w:val="none" w:sz="0" w:space="0" w:color="auto"/>
          </w:divBdr>
          <w:divsChild>
            <w:div w:id="872037610">
              <w:marLeft w:val="0"/>
              <w:marRight w:val="0"/>
              <w:marTop w:val="0"/>
              <w:marBottom w:val="150"/>
              <w:divBdr>
                <w:top w:val="none" w:sz="0" w:space="0" w:color="auto"/>
                <w:left w:val="none" w:sz="0" w:space="0" w:color="auto"/>
                <w:bottom w:val="none" w:sz="0" w:space="0" w:color="auto"/>
                <w:right w:val="none" w:sz="0" w:space="0" w:color="auto"/>
              </w:divBdr>
            </w:div>
            <w:div w:id="1531916327">
              <w:marLeft w:val="0"/>
              <w:marRight w:val="0"/>
              <w:marTop w:val="0"/>
              <w:marBottom w:val="0"/>
              <w:divBdr>
                <w:top w:val="none" w:sz="0" w:space="0" w:color="auto"/>
                <w:left w:val="none" w:sz="0" w:space="0" w:color="auto"/>
                <w:bottom w:val="none" w:sz="0" w:space="0" w:color="auto"/>
                <w:right w:val="none" w:sz="0" w:space="0" w:color="auto"/>
              </w:divBdr>
            </w:div>
          </w:divsChild>
        </w:div>
        <w:div w:id="1586839294">
          <w:marLeft w:val="0"/>
          <w:marRight w:val="0"/>
          <w:marTop w:val="0"/>
          <w:marBottom w:val="150"/>
          <w:divBdr>
            <w:top w:val="none" w:sz="0" w:space="0" w:color="auto"/>
            <w:left w:val="none" w:sz="0" w:space="0" w:color="auto"/>
            <w:bottom w:val="none" w:sz="0" w:space="0" w:color="auto"/>
            <w:right w:val="none" w:sz="0" w:space="0" w:color="auto"/>
          </w:divBdr>
          <w:divsChild>
            <w:div w:id="34806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95079">
      <w:bodyDiv w:val="1"/>
      <w:marLeft w:val="0"/>
      <w:marRight w:val="0"/>
      <w:marTop w:val="0"/>
      <w:marBottom w:val="0"/>
      <w:divBdr>
        <w:top w:val="none" w:sz="0" w:space="0" w:color="auto"/>
        <w:left w:val="none" w:sz="0" w:space="0" w:color="auto"/>
        <w:bottom w:val="none" w:sz="0" w:space="0" w:color="auto"/>
        <w:right w:val="none" w:sz="0" w:space="0" w:color="auto"/>
      </w:divBdr>
      <w:divsChild>
        <w:div w:id="2117478947">
          <w:marLeft w:val="0"/>
          <w:marRight w:val="0"/>
          <w:marTop w:val="0"/>
          <w:marBottom w:val="150"/>
          <w:divBdr>
            <w:top w:val="none" w:sz="0" w:space="0" w:color="auto"/>
            <w:left w:val="none" w:sz="0" w:space="0" w:color="auto"/>
            <w:bottom w:val="none" w:sz="0" w:space="0" w:color="auto"/>
            <w:right w:val="none" w:sz="0" w:space="0" w:color="auto"/>
          </w:divBdr>
          <w:divsChild>
            <w:div w:id="386342917">
              <w:marLeft w:val="0"/>
              <w:marRight w:val="0"/>
              <w:marTop w:val="0"/>
              <w:marBottom w:val="0"/>
              <w:divBdr>
                <w:top w:val="none" w:sz="0" w:space="0" w:color="auto"/>
                <w:left w:val="none" w:sz="0" w:space="0" w:color="auto"/>
                <w:bottom w:val="none" w:sz="0" w:space="0" w:color="auto"/>
                <w:right w:val="none" w:sz="0" w:space="0" w:color="auto"/>
              </w:divBdr>
              <w:divsChild>
                <w:div w:id="275672459">
                  <w:marLeft w:val="0"/>
                  <w:marRight w:val="0"/>
                  <w:marTop w:val="0"/>
                  <w:marBottom w:val="0"/>
                  <w:divBdr>
                    <w:top w:val="none" w:sz="0" w:space="0" w:color="auto"/>
                    <w:left w:val="none" w:sz="0" w:space="0" w:color="auto"/>
                    <w:bottom w:val="none" w:sz="0" w:space="0" w:color="auto"/>
                    <w:right w:val="none" w:sz="0" w:space="0" w:color="auto"/>
                  </w:divBdr>
                  <w:divsChild>
                    <w:div w:id="755826808">
                      <w:marLeft w:val="0"/>
                      <w:marRight w:val="150"/>
                      <w:marTop w:val="0"/>
                      <w:marBottom w:val="0"/>
                      <w:divBdr>
                        <w:top w:val="none" w:sz="0" w:space="0" w:color="auto"/>
                        <w:left w:val="none" w:sz="0" w:space="0" w:color="auto"/>
                        <w:bottom w:val="none" w:sz="0" w:space="0" w:color="auto"/>
                        <w:right w:val="none" w:sz="0" w:space="0" w:color="auto"/>
                      </w:divBdr>
                      <w:divsChild>
                        <w:div w:id="172379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474507">
          <w:marLeft w:val="0"/>
          <w:marRight w:val="0"/>
          <w:marTop w:val="0"/>
          <w:marBottom w:val="150"/>
          <w:divBdr>
            <w:top w:val="none" w:sz="0" w:space="0" w:color="auto"/>
            <w:left w:val="none" w:sz="0" w:space="0" w:color="auto"/>
            <w:bottom w:val="none" w:sz="0" w:space="0" w:color="auto"/>
            <w:right w:val="none" w:sz="0" w:space="0" w:color="auto"/>
          </w:divBdr>
        </w:div>
        <w:div w:id="66271600">
          <w:marLeft w:val="0"/>
          <w:marRight w:val="0"/>
          <w:marTop w:val="0"/>
          <w:marBottom w:val="0"/>
          <w:divBdr>
            <w:top w:val="none" w:sz="0" w:space="0" w:color="auto"/>
            <w:left w:val="none" w:sz="0" w:space="0" w:color="auto"/>
            <w:bottom w:val="none" w:sz="0" w:space="0" w:color="auto"/>
            <w:right w:val="none" w:sz="0" w:space="0" w:color="auto"/>
          </w:divBdr>
          <w:divsChild>
            <w:div w:id="12507702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5562603">
      <w:bodyDiv w:val="1"/>
      <w:marLeft w:val="0"/>
      <w:marRight w:val="0"/>
      <w:marTop w:val="0"/>
      <w:marBottom w:val="0"/>
      <w:divBdr>
        <w:top w:val="none" w:sz="0" w:space="0" w:color="auto"/>
        <w:left w:val="none" w:sz="0" w:space="0" w:color="auto"/>
        <w:bottom w:val="none" w:sz="0" w:space="0" w:color="auto"/>
        <w:right w:val="none" w:sz="0" w:space="0" w:color="auto"/>
      </w:divBdr>
      <w:divsChild>
        <w:div w:id="952907997">
          <w:marLeft w:val="0"/>
          <w:marRight w:val="0"/>
          <w:marTop w:val="0"/>
          <w:marBottom w:val="0"/>
          <w:divBdr>
            <w:top w:val="none" w:sz="0" w:space="0" w:color="auto"/>
            <w:left w:val="none" w:sz="0" w:space="0" w:color="auto"/>
            <w:bottom w:val="none" w:sz="0" w:space="0" w:color="auto"/>
            <w:right w:val="none" w:sz="0" w:space="0" w:color="auto"/>
          </w:divBdr>
          <w:divsChild>
            <w:div w:id="1869758059">
              <w:marLeft w:val="0"/>
              <w:marRight w:val="0"/>
              <w:marTop w:val="0"/>
              <w:marBottom w:val="0"/>
              <w:divBdr>
                <w:top w:val="none" w:sz="0" w:space="0" w:color="auto"/>
                <w:left w:val="none" w:sz="0" w:space="0" w:color="auto"/>
                <w:bottom w:val="none" w:sz="0" w:space="0" w:color="auto"/>
                <w:right w:val="none" w:sz="0" w:space="0" w:color="auto"/>
              </w:divBdr>
              <w:divsChild>
                <w:div w:id="692996404">
                  <w:marLeft w:val="0"/>
                  <w:marRight w:val="0"/>
                  <w:marTop w:val="0"/>
                  <w:marBottom w:val="0"/>
                  <w:divBdr>
                    <w:top w:val="none" w:sz="0" w:space="0" w:color="auto"/>
                    <w:left w:val="none" w:sz="0" w:space="0" w:color="auto"/>
                    <w:bottom w:val="none" w:sz="0" w:space="0" w:color="auto"/>
                    <w:right w:val="none" w:sz="0" w:space="0" w:color="auto"/>
                  </w:divBdr>
                  <w:divsChild>
                    <w:div w:id="1631865742">
                      <w:marLeft w:val="0"/>
                      <w:marRight w:val="0"/>
                      <w:marTop w:val="0"/>
                      <w:marBottom w:val="0"/>
                      <w:divBdr>
                        <w:top w:val="none" w:sz="0" w:space="0" w:color="auto"/>
                        <w:left w:val="none" w:sz="0" w:space="0" w:color="auto"/>
                        <w:bottom w:val="none" w:sz="0" w:space="0" w:color="auto"/>
                        <w:right w:val="none" w:sz="0" w:space="0" w:color="auto"/>
                      </w:divBdr>
                      <w:divsChild>
                        <w:div w:id="1713845965">
                          <w:marLeft w:val="0"/>
                          <w:marRight w:val="0"/>
                          <w:marTop w:val="0"/>
                          <w:marBottom w:val="0"/>
                          <w:divBdr>
                            <w:top w:val="none" w:sz="0" w:space="0" w:color="auto"/>
                            <w:left w:val="none" w:sz="0" w:space="0" w:color="auto"/>
                            <w:bottom w:val="none" w:sz="0" w:space="0" w:color="auto"/>
                            <w:right w:val="none" w:sz="0" w:space="0" w:color="auto"/>
                          </w:divBdr>
                          <w:divsChild>
                            <w:div w:id="2044986424">
                              <w:marLeft w:val="0"/>
                              <w:marRight w:val="0"/>
                              <w:marTop w:val="0"/>
                              <w:marBottom w:val="0"/>
                              <w:divBdr>
                                <w:top w:val="none" w:sz="0" w:space="0" w:color="auto"/>
                                <w:left w:val="none" w:sz="0" w:space="0" w:color="auto"/>
                                <w:bottom w:val="none" w:sz="0" w:space="0" w:color="auto"/>
                                <w:right w:val="none" w:sz="0" w:space="0" w:color="auto"/>
                              </w:divBdr>
                              <w:divsChild>
                                <w:div w:id="1781144131">
                                  <w:marLeft w:val="0"/>
                                  <w:marRight w:val="0"/>
                                  <w:marTop w:val="0"/>
                                  <w:marBottom w:val="0"/>
                                  <w:divBdr>
                                    <w:top w:val="none" w:sz="0" w:space="0" w:color="auto"/>
                                    <w:left w:val="none" w:sz="0" w:space="0" w:color="auto"/>
                                    <w:bottom w:val="none" w:sz="0" w:space="0" w:color="auto"/>
                                    <w:right w:val="none" w:sz="0" w:space="0" w:color="auto"/>
                                  </w:divBdr>
                                  <w:divsChild>
                                    <w:div w:id="165972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36329">
      <w:bodyDiv w:val="1"/>
      <w:marLeft w:val="0"/>
      <w:marRight w:val="0"/>
      <w:marTop w:val="0"/>
      <w:marBottom w:val="0"/>
      <w:divBdr>
        <w:top w:val="none" w:sz="0" w:space="0" w:color="auto"/>
        <w:left w:val="none" w:sz="0" w:space="0" w:color="auto"/>
        <w:bottom w:val="none" w:sz="0" w:space="0" w:color="auto"/>
        <w:right w:val="none" w:sz="0" w:space="0" w:color="auto"/>
      </w:divBdr>
      <w:divsChild>
        <w:div w:id="39477659">
          <w:marLeft w:val="0"/>
          <w:marRight w:val="0"/>
          <w:marTop w:val="0"/>
          <w:marBottom w:val="150"/>
          <w:divBdr>
            <w:top w:val="none" w:sz="0" w:space="0" w:color="auto"/>
            <w:left w:val="none" w:sz="0" w:space="0" w:color="auto"/>
            <w:bottom w:val="none" w:sz="0" w:space="0" w:color="auto"/>
            <w:right w:val="none" w:sz="0" w:space="0" w:color="auto"/>
          </w:divBdr>
        </w:div>
        <w:div w:id="1634016081">
          <w:marLeft w:val="0"/>
          <w:marRight w:val="0"/>
          <w:marTop w:val="0"/>
          <w:marBottom w:val="150"/>
          <w:divBdr>
            <w:top w:val="none" w:sz="0" w:space="0" w:color="auto"/>
            <w:left w:val="none" w:sz="0" w:space="0" w:color="auto"/>
            <w:bottom w:val="none" w:sz="0" w:space="0" w:color="auto"/>
            <w:right w:val="none" w:sz="0" w:space="0" w:color="auto"/>
          </w:divBdr>
          <w:divsChild>
            <w:div w:id="1797789957">
              <w:marLeft w:val="0"/>
              <w:marRight w:val="0"/>
              <w:marTop w:val="0"/>
              <w:marBottom w:val="0"/>
              <w:divBdr>
                <w:top w:val="none" w:sz="0" w:space="0" w:color="auto"/>
                <w:left w:val="none" w:sz="0" w:space="0" w:color="auto"/>
                <w:bottom w:val="none" w:sz="0" w:space="0" w:color="auto"/>
                <w:right w:val="none" w:sz="0" w:space="0" w:color="auto"/>
              </w:divBdr>
            </w:div>
          </w:divsChild>
        </w:div>
        <w:div w:id="1995375603">
          <w:marLeft w:val="0"/>
          <w:marRight w:val="0"/>
          <w:marTop w:val="0"/>
          <w:marBottom w:val="0"/>
          <w:divBdr>
            <w:top w:val="none" w:sz="0" w:space="0" w:color="auto"/>
            <w:left w:val="none" w:sz="0" w:space="0" w:color="auto"/>
            <w:bottom w:val="none" w:sz="0" w:space="0" w:color="auto"/>
            <w:right w:val="none" w:sz="0" w:space="0" w:color="auto"/>
          </w:divBdr>
          <w:divsChild>
            <w:div w:id="85754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1697">
      <w:bodyDiv w:val="1"/>
      <w:marLeft w:val="0"/>
      <w:marRight w:val="0"/>
      <w:marTop w:val="0"/>
      <w:marBottom w:val="0"/>
      <w:divBdr>
        <w:top w:val="none" w:sz="0" w:space="0" w:color="auto"/>
        <w:left w:val="none" w:sz="0" w:space="0" w:color="auto"/>
        <w:bottom w:val="none" w:sz="0" w:space="0" w:color="auto"/>
        <w:right w:val="none" w:sz="0" w:space="0" w:color="auto"/>
      </w:divBdr>
      <w:divsChild>
        <w:div w:id="823276718">
          <w:marLeft w:val="0"/>
          <w:marRight w:val="0"/>
          <w:marTop w:val="0"/>
          <w:marBottom w:val="0"/>
          <w:divBdr>
            <w:top w:val="none" w:sz="0" w:space="0" w:color="auto"/>
            <w:left w:val="none" w:sz="0" w:space="0" w:color="auto"/>
            <w:bottom w:val="none" w:sz="0" w:space="0" w:color="auto"/>
            <w:right w:val="none" w:sz="0" w:space="0" w:color="auto"/>
          </w:divBdr>
          <w:divsChild>
            <w:div w:id="1040281556">
              <w:marLeft w:val="0"/>
              <w:marRight w:val="0"/>
              <w:marTop w:val="0"/>
              <w:marBottom w:val="0"/>
              <w:divBdr>
                <w:top w:val="none" w:sz="0" w:space="0" w:color="auto"/>
                <w:left w:val="none" w:sz="0" w:space="0" w:color="auto"/>
                <w:bottom w:val="none" w:sz="0" w:space="0" w:color="auto"/>
                <w:right w:val="none" w:sz="0" w:space="0" w:color="auto"/>
              </w:divBdr>
              <w:divsChild>
                <w:div w:id="558130391">
                  <w:marLeft w:val="0"/>
                  <w:marRight w:val="0"/>
                  <w:marTop w:val="0"/>
                  <w:marBottom w:val="0"/>
                  <w:divBdr>
                    <w:top w:val="none" w:sz="0" w:space="0" w:color="auto"/>
                    <w:left w:val="none" w:sz="0" w:space="0" w:color="auto"/>
                    <w:bottom w:val="none" w:sz="0" w:space="0" w:color="auto"/>
                    <w:right w:val="none" w:sz="0" w:space="0" w:color="auto"/>
                  </w:divBdr>
                  <w:divsChild>
                    <w:div w:id="1577276109">
                      <w:marLeft w:val="0"/>
                      <w:marRight w:val="0"/>
                      <w:marTop w:val="0"/>
                      <w:marBottom w:val="0"/>
                      <w:divBdr>
                        <w:top w:val="none" w:sz="0" w:space="0" w:color="auto"/>
                        <w:left w:val="none" w:sz="0" w:space="0" w:color="auto"/>
                        <w:bottom w:val="none" w:sz="0" w:space="0" w:color="auto"/>
                        <w:right w:val="none" w:sz="0" w:space="0" w:color="auto"/>
                      </w:divBdr>
                      <w:divsChild>
                        <w:div w:id="1946498921">
                          <w:marLeft w:val="0"/>
                          <w:marRight w:val="0"/>
                          <w:marTop w:val="0"/>
                          <w:marBottom w:val="0"/>
                          <w:divBdr>
                            <w:top w:val="none" w:sz="0" w:space="0" w:color="auto"/>
                            <w:left w:val="none" w:sz="0" w:space="0" w:color="auto"/>
                            <w:bottom w:val="none" w:sz="0" w:space="0" w:color="auto"/>
                            <w:right w:val="none" w:sz="0" w:space="0" w:color="auto"/>
                          </w:divBdr>
                          <w:divsChild>
                            <w:div w:id="1869249020">
                              <w:marLeft w:val="0"/>
                              <w:marRight w:val="0"/>
                              <w:marTop w:val="0"/>
                              <w:marBottom w:val="0"/>
                              <w:divBdr>
                                <w:top w:val="none" w:sz="0" w:space="0" w:color="auto"/>
                                <w:left w:val="none" w:sz="0" w:space="0" w:color="auto"/>
                                <w:bottom w:val="none" w:sz="0" w:space="0" w:color="auto"/>
                                <w:right w:val="none" w:sz="0" w:space="0" w:color="auto"/>
                              </w:divBdr>
                              <w:divsChild>
                                <w:div w:id="1156410568">
                                  <w:marLeft w:val="0"/>
                                  <w:marRight w:val="0"/>
                                  <w:marTop w:val="0"/>
                                  <w:marBottom w:val="0"/>
                                  <w:divBdr>
                                    <w:top w:val="none" w:sz="0" w:space="0" w:color="auto"/>
                                    <w:left w:val="none" w:sz="0" w:space="0" w:color="auto"/>
                                    <w:bottom w:val="none" w:sz="0" w:space="0" w:color="auto"/>
                                    <w:right w:val="none" w:sz="0" w:space="0" w:color="auto"/>
                                  </w:divBdr>
                                  <w:divsChild>
                                    <w:div w:id="11556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950572">
      <w:bodyDiv w:val="1"/>
      <w:marLeft w:val="0"/>
      <w:marRight w:val="0"/>
      <w:marTop w:val="0"/>
      <w:marBottom w:val="0"/>
      <w:divBdr>
        <w:top w:val="none" w:sz="0" w:space="0" w:color="auto"/>
        <w:left w:val="none" w:sz="0" w:space="0" w:color="auto"/>
        <w:bottom w:val="none" w:sz="0" w:space="0" w:color="auto"/>
        <w:right w:val="none" w:sz="0" w:space="0" w:color="auto"/>
      </w:divBdr>
      <w:divsChild>
        <w:div w:id="1737700566">
          <w:marLeft w:val="0"/>
          <w:marRight w:val="0"/>
          <w:marTop w:val="0"/>
          <w:marBottom w:val="0"/>
          <w:divBdr>
            <w:top w:val="none" w:sz="0" w:space="0" w:color="auto"/>
            <w:left w:val="none" w:sz="0" w:space="0" w:color="auto"/>
            <w:bottom w:val="none" w:sz="0" w:space="0" w:color="auto"/>
            <w:right w:val="none" w:sz="0" w:space="0" w:color="auto"/>
          </w:divBdr>
          <w:divsChild>
            <w:div w:id="1415282679">
              <w:marLeft w:val="0"/>
              <w:marRight w:val="0"/>
              <w:marTop w:val="0"/>
              <w:marBottom w:val="0"/>
              <w:divBdr>
                <w:top w:val="none" w:sz="0" w:space="0" w:color="auto"/>
                <w:left w:val="none" w:sz="0" w:space="0" w:color="auto"/>
                <w:bottom w:val="none" w:sz="0" w:space="0" w:color="auto"/>
                <w:right w:val="none" w:sz="0" w:space="0" w:color="auto"/>
              </w:divBdr>
              <w:divsChild>
                <w:div w:id="1398285110">
                  <w:marLeft w:val="0"/>
                  <w:marRight w:val="0"/>
                  <w:marTop w:val="0"/>
                  <w:marBottom w:val="0"/>
                  <w:divBdr>
                    <w:top w:val="none" w:sz="0" w:space="0" w:color="auto"/>
                    <w:left w:val="none" w:sz="0" w:space="0" w:color="auto"/>
                    <w:bottom w:val="none" w:sz="0" w:space="0" w:color="auto"/>
                    <w:right w:val="none" w:sz="0" w:space="0" w:color="auto"/>
                  </w:divBdr>
                  <w:divsChild>
                    <w:div w:id="817459393">
                      <w:marLeft w:val="0"/>
                      <w:marRight w:val="0"/>
                      <w:marTop w:val="0"/>
                      <w:marBottom w:val="0"/>
                      <w:divBdr>
                        <w:top w:val="none" w:sz="0" w:space="0" w:color="auto"/>
                        <w:left w:val="none" w:sz="0" w:space="0" w:color="auto"/>
                        <w:bottom w:val="none" w:sz="0" w:space="0" w:color="auto"/>
                        <w:right w:val="none" w:sz="0" w:space="0" w:color="auto"/>
                      </w:divBdr>
                      <w:divsChild>
                        <w:div w:id="576981904">
                          <w:marLeft w:val="0"/>
                          <w:marRight w:val="0"/>
                          <w:marTop w:val="0"/>
                          <w:marBottom w:val="0"/>
                          <w:divBdr>
                            <w:top w:val="none" w:sz="0" w:space="0" w:color="auto"/>
                            <w:left w:val="none" w:sz="0" w:space="0" w:color="auto"/>
                            <w:bottom w:val="none" w:sz="0" w:space="0" w:color="auto"/>
                            <w:right w:val="none" w:sz="0" w:space="0" w:color="auto"/>
                          </w:divBdr>
                          <w:divsChild>
                            <w:div w:id="1639800316">
                              <w:marLeft w:val="0"/>
                              <w:marRight w:val="0"/>
                              <w:marTop w:val="0"/>
                              <w:marBottom w:val="0"/>
                              <w:divBdr>
                                <w:top w:val="none" w:sz="0" w:space="0" w:color="auto"/>
                                <w:left w:val="none" w:sz="0" w:space="0" w:color="auto"/>
                                <w:bottom w:val="none" w:sz="0" w:space="0" w:color="auto"/>
                                <w:right w:val="none" w:sz="0" w:space="0" w:color="auto"/>
                              </w:divBdr>
                              <w:divsChild>
                                <w:div w:id="1011954787">
                                  <w:marLeft w:val="0"/>
                                  <w:marRight w:val="0"/>
                                  <w:marTop w:val="0"/>
                                  <w:marBottom w:val="0"/>
                                  <w:divBdr>
                                    <w:top w:val="none" w:sz="0" w:space="0" w:color="auto"/>
                                    <w:left w:val="none" w:sz="0" w:space="0" w:color="auto"/>
                                    <w:bottom w:val="none" w:sz="0" w:space="0" w:color="auto"/>
                                    <w:right w:val="none" w:sz="0" w:space="0" w:color="auto"/>
                                  </w:divBdr>
                                  <w:divsChild>
                                    <w:div w:id="25809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04099">
      <w:bodyDiv w:val="1"/>
      <w:marLeft w:val="0"/>
      <w:marRight w:val="0"/>
      <w:marTop w:val="0"/>
      <w:marBottom w:val="0"/>
      <w:divBdr>
        <w:top w:val="none" w:sz="0" w:space="0" w:color="auto"/>
        <w:left w:val="none" w:sz="0" w:space="0" w:color="auto"/>
        <w:bottom w:val="none" w:sz="0" w:space="0" w:color="auto"/>
        <w:right w:val="none" w:sz="0" w:space="0" w:color="auto"/>
      </w:divBdr>
      <w:divsChild>
        <w:div w:id="123693030">
          <w:marLeft w:val="0"/>
          <w:marRight w:val="0"/>
          <w:marTop w:val="0"/>
          <w:marBottom w:val="0"/>
          <w:divBdr>
            <w:top w:val="none" w:sz="0" w:space="0" w:color="auto"/>
            <w:left w:val="none" w:sz="0" w:space="0" w:color="auto"/>
            <w:bottom w:val="dotted" w:sz="6" w:space="4" w:color="DDDDDD"/>
            <w:right w:val="none" w:sz="0" w:space="0" w:color="auto"/>
          </w:divBdr>
          <w:divsChild>
            <w:div w:id="10977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9784">
      <w:bodyDiv w:val="1"/>
      <w:marLeft w:val="0"/>
      <w:marRight w:val="0"/>
      <w:marTop w:val="0"/>
      <w:marBottom w:val="0"/>
      <w:divBdr>
        <w:top w:val="none" w:sz="0" w:space="0" w:color="auto"/>
        <w:left w:val="none" w:sz="0" w:space="0" w:color="auto"/>
        <w:bottom w:val="none" w:sz="0" w:space="0" w:color="auto"/>
        <w:right w:val="none" w:sz="0" w:space="0" w:color="auto"/>
      </w:divBdr>
      <w:divsChild>
        <w:div w:id="1364747328">
          <w:marLeft w:val="0"/>
          <w:marRight w:val="0"/>
          <w:marTop w:val="0"/>
          <w:marBottom w:val="0"/>
          <w:divBdr>
            <w:top w:val="none" w:sz="0" w:space="0" w:color="auto"/>
            <w:left w:val="none" w:sz="0" w:space="0" w:color="auto"/>
            <w:bottom w:val="dotted" w:sz="6" w:space="4" w:color="DDDDDD"/>
            <w:right w:val="none" w:sz="0" w:space="0" w:color="auto"/>
          </w:divBdr>
          <w:divsChild>
            <w:div w:id="113602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62903">
      <w:bodyDiv w:val="1"/>
      <w:marLeft w:val="0"/>
      <w:marRight w:val="0"/>
      <w:marTop w:val="0"/>
      <w:marBottom w:val="0"/>
      <w:divBdr>
        <w:top w:val="none" w:sz="0" w:space="0" w:color="auto"/>
        <w:left w:val="none" w:sz="0" w:space="0" w:color="auto"/>
        <w:bottom w:val="none" w:sz="0" w:space="0" w:color="auto"/>
        <w:right w:val="none" w:sz="0" w:space="0" w:color="auto"/>
      </w:divBdr>
      <w:divsChild>
        <w:div w:id="251159486">
          <w:marLeft w:val="0"/>
          <w:marRight w:val="0"/>
          <w:marTop w:val="0"/>
          <w:marBottom w:val="0"/>
          <w:divBdr>
            <w:top w:val="none" w:sz="0" w:space="0" w:color="auto"/>
            <w:left w:val="none" w:sz="0" w:space="0" w:color="auto"/>
            <w:bottom w:val="dotted" w:sz="6" w:space="4" w:color="DDDDDD"/>
            <w:right w:val="none" w:sz="0" w:space="0" w:color="auto"/>
          </w:divBdr>
          <w:divsChild>
            <w:div w:id="43051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5552">
      <w:bodyDiv w:val="1"/>
      <w:marLeft w:val="0"/>
      <w:marRight w:val="0"/>
      <w:marTop w:val="0"/>
      <w:marBottom w:val="0"/>
      <w:divBdr>
        <w:top w:val="none" w:sz="0" w:space="0" w:color="auto"/>
        <w:left w:val="none" w:sz="0" w:space="0" w:color="auto"/>
        <w:bottom w:val="none" w:sz="0" w:space="0" w:color="auto"/>
        <w:right w:val="none" w:sz="0" w:space="0" w:color="auto"/>
      </w:divBdr>
    </w:div>
    <w:div w:id="97456733">
      <w:bodyDiv w:val="1"/>
      <w:marLeft w:val="0"/>
      <w:marRight w:val="0"/>
      <w:marTop w:val="0"/>
      <w:marBottom w:val="0"/>
      <w:divBdr>
        <w:top w:val="none" w:sz="0" w:space="0" w:color="auto"/>
        <w:left w:val="none" w:sz="0" w:space="0" w:color="auto"/>
        <w:bottom w:val="none" w:sz="0" w:space="0" w:color="auto"/>
        <w:right w:val="none" w:sz="0" w:space="0" w:color="auto"/>
      </w:divBdr>
      <w:divsChild>
        <w:div w:id="1590194554">
          <w:marLeft w:val="0"/>
          <w:marRight w:val="0"/>
          <w:marTop w:val="0"/>
          <w:marBottom w:val="0"/>
          <w:divBdr>
            <w:top w:val="none" w:sz="0" w:space="0" w:color="auto"/>
            <w:left w:val="none" w:sz="0" w:space="0" w:color="auto"/>
            <w:bottom w:val="dotted" w:sz="6" w:space="4" w:color="DDDDDD"/>
            <w:right w:val="none" w:sz="0" w:space="0" w:color="auto"/>
          </w:divBdr>
          <w:divsChild>
            <w:div w:id="114042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9025">
      <w:bodyDiv w:val="1"/>
      <w:marLeft w:val="0"/>
      <w:marRight w:val="0"/>
      <w:marTop w:val="0"/>
      <w:marBottom w:val="0"/>
      <w:divBdr>
        <w:top w:val="none" w:sz="0" w:space="0" w:color="auto"/>
        <w:left w:val="none" w:sz="0" w:space="0" w:color="auto"/>
        <w:bottom w:val="none" w:sz="0" w:space="0" w:color="auto"/>
        <w:right w:val="none" w:sz="0" w:space="0" w:color="auto"/>
      </w:divBdr>
      <w:divsChild>
        <w:div w:id="630598989">
          <w:marLeft w:val="0"/>
          <w:marRight w:val="0"/>
          <w:marTop w:val="0"/>
          <w:marBottom w:val="0"/>
          <w:divBdr>
            <w:top w:val="none" w:sz="0" w:space="0" w:color="auto"/>
            <w:left w:val="none" w:sz="0" w:space="0" w:color="auto"/>
            <w:bottom w:val="dotted" w:sz="6" w:space="4" w:color="DDDDDD"/>
            <w:right w:val="none" w:sz="0" w:space="0" w:color="auto"/>
          </w:divBdr>
          <w:divsChild>
            <w:div w:id="147896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61995">
      <w:bodyDiv w:val="1"/>
      <w:marLeft w:val="0"/>
      <w:marRight w:val="0"/>
      <w:marTop w:val="0"/>
      <w:marBottom w:val="0"/>
      <w:divBdr>
        <w:top w:val="none" w:sz="0" w:space="0" w:color="auto"/>
        <w:left w:val="none" w:sz="0" w:space="0" w:color="auto"/>
        <w:bottom w:val="none" w:sz="0" w:space="0" w:color="auto"/>
        <w:right w:val="none" w:sz="0" w:space="0" w:color="auto"/>
      </w:divBdr>
    </w:div>
    <w:div w:id="98263355">
      <w:bodyDiv w:val="1"/>
      <w:marLeft w:val="0"/>
      <w:marRight w:val="0"/>
      <w:marTop w:val="0"/>
      <w:marBottom w:val="0"/>
      <w:divBdr>
        <w:top w:val="none" w:sz="0" w:space="0" w:color="auto"/>
        <w:left w:val="none" w:sz="0" w:space="0" w:color="auto"/>
        <w:bottom w:val="none" w:sz="0" w:space="0" w:color="auto"/>
        <w:right w:val="none" w:sz="0" w:space="0" w:color="auto"/>
      </w:divBdr>
      <w:divsChild>
        <w:div w:id="1793786540">
          <w:marLeft w:val="0"/>
          <w:marRight w:val="0"/>
          <w:marTop w:val="0"/>
          <w:marBottom w:val="0"/>
          <w:divBdr>
            <w:top w:val="none" w:sz="0" w:space="0" w:color="auto"/>
            <w:left w:val="none" w:sz="0" w:space="0" w:color="auto"/>
            <w:bottom w:val="dotted" w:sz="6" w:space="4" w:color="DDDDDD"/>
            <w:right w:val="none" w:sz="0" w:space="0" w:color="auto"/>
          </w:divBdr>
          <w:divsChild>
            <w:div w:id="6337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29042">
      <w:bodyDiv w:val="1"/>
      <w:marLeft w:val="0"/>
      <w:marRight w:val="0"/>
      <w:marTop w:val="0"/>
      <w:marBottom w:val="0"/>
      <w:divBdr>
        <w:top w:val="none" w:sz="0" w:space="0" w:color="auto"/>
        <w:left w:val="none" w:sz="0" w:space="0" w:color="auto"/>
        <w:bottom w:val="none" w:sz="0" w:space="0" w:color="auto"/>
        <w:right w:val="none" w:sz="0" w:space="0" w:color="auto"/>
      </w:divBdr>
      <w:divsChild>
        <w:div w:id="1043292267">
          <w:marLeft w:val="0"/>
          <w:marRight w:val="0"/>
          <w:marTop w:val="0"/>
          <w:marBottom w:val="0"/>
          <w:divBdr>
            <w:top w:val="none" w:sz="0" w:space="0" w:color="auto"/>
            <w:left w:val="none" w:sz="0" w:space="0" w:color="auto"/>
            <w:bottom w:val="none" w:sz="0" w:space="0" w:color="auto"/>
            <w:right w:val="none" w:sz="0" w:space="0" w:color="auto"/>
          </w:divBdr>
          <w:divsChild>
            <w:div w:id="1151362250">
              <w:marLeft w:val="0"/>
              <w:marRight w:val="0"/>
              <w:marTop w:val="225"/>
              <w:marBottom w:val="225"/>
              <w:divBdr>
                <w:top w:val="none" w:sz="0" w:space="0" w:color="auto"/>
                <w:left w:val="none" w:sz="0" w:space="0" w:color="auto"/>
                <w:bottom w:val="none" w:sz="0" w:space="0" w:color="auto"/>
                <w:right w:val="none" w:sz="0" w:space="0" w:color="auto"/>
              </w:divBdr>
            </w:div>
          </w:divsChild>
        </w:div>
        <w:div w:id="1268082159">
          <w:marLeft w:val="0"/>
          <w:marRight w:val="0"/>
          <w:marTop w:val="0"/>
          <w:marBottom w:val="150"/>
          <w:divBdr>
            <w:top w:val="none" w:sz="0" w:space="0" w:color="auto"/>
            <w:left w:val="none" w:sz="0" w:space="0" w:color="auto"/>
            <w:bottom w:val="none" w:sz="0" w:space="0" w:color="auto"/>
            <w:right w:val="none" w:sz="0" w:space="0" w:color="auto"/>
          </w:divBdr>
        </w:div>
        <w:div w:id="1699893145">
          <w:marLeft w:val="0"/>
          <w:marRight w:val="0"/>
          <w:marTop w:val="0"/>
          <w:marBottom w:val="150"/>
          <w:divBdr>
            <w:top w:val="none" w:sz="0" w:space="0" w:color="auto"/>
            <w:left w:val="none" w:sz="0" w:space="0" w:color="auto"/>
            <w:bottom w:val="none" w:sz="0" w:space="0" w:color="auto"/>
            <w:right w:val="none" w:sz="0" w:space="0" w:color="auto"/>
          </w:divBdr>
          <w:divsChild>
            <w:div w:id="2129353880">
              <w:marLeft w:val="0"/>
              <w:marRight w:val="0"/>
              <w:marTop w:val="0"/>
              <w:marBottom w:val="0"/>
              <w:divBdr>
                <w:top w:val="none" w:sz="0" w:space="0" w:color="auto"/>
                <w:left w:val="none" w:sz="0" w:space="0" w:color="auto"/>
                <w:bottom w:val="none" w:sz="0" w:space="0" w:color="auto"/>
                <w:right w:val="none" w:sz="0" w:space="0" w:color="auto"/>
              </w:divBdr>
              <w:divsChild>
                <w:div w:id="45286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97532">
      <w:bodyDiv w:val="1"/>
      <w:marLeft w:val="0"/>
      <w:marRight w:val="0"/>
      <w:marTop w:val="0"/>
      <w:marBottom w:val="0"/>
      <w:divBdr>
        <w:top w:val="none" w:sz="0" w:space="0" w:color="auto"/>
        <w:left w:val="none" w:sz="0" w:space="0" w:color="auto"/>
        <w:bottom w:val="none" w:sz="0" w:space="0" w:color="auto"/>
        <w:right w:val="none" w:sz="0" w:space="0" w:color="auto"/>
      </w:divBdr>
      <w:divsChild>
        <w:div w:id="1366716833">
          <w:marLeft w:val="0"/>
          <w:marRight w:val="0"/>
          <w:marTop w:val="0"/>
          <w:marBottom w:val="0"/>
          <w:divBdr>
            <w:top w:val="single" w:sz="6" w:space="0" w:color="E5E5E5"/>
            <w:left w:val="none" w:sz="0" w:space="0" w:color="auto"/>
            <w:bottom w:val="single" w:sz="18" w:space="0" w:color="000000"/>
            <w:right w:val="none" w:sz="0" w:space="0" w:color="auto"/>
          </w:divBdr>
          <w:divsChild>
            <w:div w:id="775053207">
              <w:marLeft w:val="0"/>
              <w:marRight w:val="0"/>
              <w:marTop w:val="0"/>
              <w:marBottom w:val="0"/>
              <w:divBdr>
                <w:top w:val="none" w:sz="0" w:space="0" w:color="auto"/>
                <w:left w:val="none" w:sz="0" w:space="0" w:color="auto"/>
                <w:bottom w:val="none" w:sz="0" w:space="0" w:color="auto"/>
                <w:right w:val="none" w:sz="0" w:space="0" w:color="auto"/>
              </w:divBdr>
              <w:divsChild>
                <w:div w:id="60982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158467">
          <w:marLeft w:val="0"/>
          <w:marRight w:val="0"/>
          <w:marTop w:val="0"/>
          <w:marBottom w:val="0"/>
          <w:divBdr>
            <w:top w:val="none" w:sz="0" w:space="0" w:color="auto"/>
            <w:left w:val="none" w:sz="0" w:space="0" w:color="auto"/>
            <w:bottom w:val="none" w:sz="0" w:space="0" w:color="auto"/>
            <w:right w:val="none" w:sz="0" w:space="0" w:color="auto"/>
          </w:divBdr>
          <w:divsChild>
            <w:div w:id="802769678">
              <w:marLeft w:val="0"/>
              <w:marRight w:val="0"/>
              <w:marTop w:val="0"/>
              <w:marBottom w:val="0"/>
              <w:divBdr>
                <w:top w:val="none" w:sz="0" w:space="0" w:color="auto"/>
                <w:left w:val="none" w:sz="0" w:space="0" w:color="auto"/>
                <w:bottom w:val="none" w:sz="0" w:space="0" w:color="auto"/>
                <w:right w:val="none" w:sz="0" w:space="0" w:color="auto"/>
              </w:divBdr>
              <w:divsChild>
                <w:div w:id="1049761681">
                  <w:marLeft w:val="0"/>
                  <w:marRight w:val="0"/>
                  <w:marTop w:val="0"/>
                  <w:marBottom w:val="0"/>
                  <w:divBdr>
                    <w:top w:val="none" w:sz="0" w:space="0" w:color="auto"/>
                    <w:left w:val="none" w:sz="0" w:space="0" w:color="auto"/>
                    <w:bottom w:val="none" w:sz="0" w:space="0" w:color="auto"/>
                    <w:right w:val="none" w:sz="0" w:space="0" w:color="auto"/>
                  </w:divBdr>
                  <w:divsChild>
                    <w:div w:id="438572375">
                      <w:marLeft w:val="0"/>
                      <w:marRight w:val="0"/>
                      <w:marTop w:val="0"/>
                      <w:marBottom w:val="300"/>
                      <w:divBdr>
                        <w:top w:val="none" w:sz="0" w:space="0" w:color="auto"/>
                        <w:left w:val="none" w:sz="0" w:space="0" w:color="auto"/>
                        <w:bottom w:val="none" w:sz="0" w:space="0" w:color="auto"/>
                        <w:right w:val="none" w:sz="0" w:space="0" w:color="auto"/>
                      </w:divBdr>
                      <w:divsChild>
                        <w:div w:id="928390237">
                          <w:marLeft w:val="0"/>
                          <w:marRight w:val="0"/>
                          <w:marTop w:val="0"/>
                          <w:marBottom w:val="225"/>
                          <w:divBdr>
                            <w:top w:val="single" w:sz="6" w:space="11" w:color="E5E5E5"/>
                            <w:left w:val="single" w:sz="6" w:space="11" w:color="E5E5E5"/>
                            <w:bottom w:val="single" w:sz="6" w:space="1" w:color="E5E5E5"/>
                            <w:right w:val="single" w:sz="6" w:space="11" w:color="E5E5E5"/>
                          </w:divBdr>
                          <w:divsChild>
                            <w:div w:id="1755584235">
                              <w:marLeft w:val="0"/>
                              <w:marRight w:val="0"/>
                              <w:marTop w:val="0"/>
                              <w:marBottom w:val="0"/>
                              <w:divBdr>
                                <w:top w:val="none" w:sz="0" w:space="0" w:color="auto"/>
                                <w:left w:val="none" w:sz="0" w:space="0" w:color="auto"/>
                                <w:bottom w:val="dotted" w:sz="6" w:space="4" w:color="DDDDDD"/>
                                <w:right w:val="none" w:sz="0" w:space="0" w:color="auto"/>
                              </w:divBdr>
                              <w:divsChild>
                                <w:div w:id="169549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647226">
      <w:bodyDiv w:val="1"/>
      <w:marLeft w:val="0"/>
      <w:marRight w:val="0"/>
      <w:marTop w:val="0"/>
      <w:marBottom w:val="0"/>
      <w:divBdr>
        <w:top w:val="none" w:sz="0" w:space="0" w:color="auto"/>
        <w:left w:val="none" w:sz="0" w:space="0" w:color="auto"/>
        <w:bottom w:val="none" w:sz="0" w:space="0" w:color="auto"/>
        <w:right w:val="none" w:sz="0" w:space="0" w:color="auto"/>
      </w:divBdr>
      <w:divsChild>
        <w:div w:id="601231571">
          <w:marLeft w:val="0"/>
          <w:marRight w:val="0"/>
          <w:marTop w:val="0"/>
          <w:marBottom w:val="0"/>
          <w:divBdr>
            <w:top w:val="none" w:sz="0" w:space="0" w:color="auto"/>
            <w:left w:val="none" w:sz="0" w:space="0" w:color="auto"/>
            <w:bottom w:val="dotted" w:sz="6" w:space="4" w:color="DDDDDD"/>
            <w:right w:val="none" w:sz="0" w:space="0" w:color="auto"/>
          </w:divBdr>
          <w:divsChild>
            <w:div w:id="87392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43647">
      <w:bodyDiv w:val="1"/>
      <w:marLeft w:val="0"/>
      <w:marRight w:val="0"/>
      <w:marTop w:val="0"/>
      <w:marBottom w:val="0"/>
      <w:divBdr>
        <w:top w:val="none" w:sz="0" w:space="0" w:color="auto"/>
        <w:left w:val="none" w:sz="0" w:space="0" w:color="auto"/>
        <w:bottom w:val="none" w:sz="0" w:space="0" w:color="auto"/>
        <w:right w:val="none" w:sz="0" w:space="0" w:color="auto"/>
      </w:divBdr>
      <w:divsChild>
        <w:div w:id="2036348625">
          <w:marLeft w:val="0"/>
          <w:marRight w:val="0"/>
          <w:marTop w:val="0"/>
          <w:marBottom w:val="150"/>
          <w:divBdr>
            <w:top w:val="none" w:sz="0" w:space="0" w:color="auto"/>
            <w:left w:val="none" w:sz="0" w:space="0" w:color="auto"/>
            <w:bottom w:val="none" w:sz="0" w:space="0" w:color="auto"/>
            <w:right w:val="none" w:sz="0" w:space="0" w:color="auto"/>
          </w:divBdr>
        </w:div>
      </w:divsChild>
    </w:div>
    <w:div w:id="100692262">
      <w:bodyDiv w:val="1"/>
      <w:marLeft w:val="0"/>
      <w:marRight w:val="0"/>
      <w:marTop w:val="0"/>
      <w:marBottom w:val="0"/>
      <w:divBdr>
        <w:top w:val="none" w:sz="0" w:space="0" w:color="auto"/>
        <w:left w:val="none" w:sz="0" w:space="0" w:color="auto"/>
        <w:bottom w:val="none" w:sz="0" w:space="0" w:color="auto"/>
        <w:right w:val="none" w:sz="0" w:space="0" w:color="auto"/>
      </w:divBdr>
      <w:divsChild>
        <w:div w:id="804081527">
          <w:marLeft w:val="0"/>
          <w:marRight w:val="0"/>
          <w:marTop w:val="0"/>
          <w:marBottom w:val="150"/>
          <w:divBdr>
            <w:top w:val="none" w:sz="0" w:space="0" w:color="auto"/>
            <w:left w:val="none" w:sz="0" w:space="0" w:color="auto"/>
            <w:bottom w:val="none" w:sz="0" w:space="0" w:color="auto"/>
            <w:right w:val="none" w:sz="0" w:space="0" w:color="auto"/>
          </w:divBdr>
          <w:divsChild>
            <w:div w:id="1033119835">
              <w:marLeft w:val="0"/>
              <w:marRight w:val="0"/>
              <w:marTop w:val="0"/>
              <w:marBottom w:val="0"/>
              <w:divBdr>
                <w:top w:val="none" w:sz="0" w:space="0" w:color="auto"/>
                <w:left w:val="none" w:sz="0" w:space="0" w:color="auto"/>
                <w:bottom w:val="none" w:sz="0" w:space="0" w:color="auto"/>
                <w:right w:val="none" w:sz="0" w:space="0" w:color="auto"/>
              </w:divBdr>
              <w:divsChild>
                <w:div w:id="84883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758165">
          <w:marLeft w:val="0"/>
          <w:marRight w:val="0"/>
          <w:marTop w:val="0"/>
          <w:marBottom w:val="150"/>
          <w:divBdr>
            <w:top w:val="none" w:sz="0" w:space="0" w:color="auto"/>
            <w:left w:val="none" w:sz="0" w:space="0" w:color="auto"/>
            <w:bottom w:val="none" w:sz="0" w:space="0" w:color="auto"/>
            <w:right w:val="none" w:sz="0" w:space="0" w:color="auto"/>
          </w:divBdr>
        </w:div>
        <w:div w:id="944264668">
          <w:marLeft w:val="0"/>
          <w:marRight w:val="0"/>
          <w:marTop w:val="0"/>
          <w:marBottom w:val="0"/>
          <w:divBdr>
            <w:top w:val="none" w:sz="0" w:space="0" w:color="auto"/>
            <w:left w:val="none" w:sz="0" w:space="0" w:color="auto"/>
            <w:bottom w:val="none" w:sz="0" w:space="0" w:color="auto"/>
            <w:right w:val="none" w:sz="0" w:space="0" w:color="auto"/>
          </w:divBdr>
          <w:divsChild>
            <w:div w:id="5057078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1189932">
      <w:bodyDiv w:val="1"/>
      <w:marLeft w:val="0"/>
      <w:marRight w:val="0"/>
      <w:marTop w:val="0"/>
      <w:marBottom w:val="0"/>
      <w:divBdr>
        <w:top w:val="none" w:sz="0" w:space="0" w:color="auto"/>
        <w:left w:val="none" w:sz="0" w:space="0" w:color="auto"/>
        <w:bottom w:val="none" w:sz="0" w:space="0" w:color="auto"/>
        <w:right w:val="none" w:sz="0" w:space="0" w:color="auto"/>
      </w:divBdr>
      <w:divsChild>
        <w:div w:id="65689481">
          <w:marLeft w:val="0"/>
          <w:marRight w:val="0"/>
          <w:marTop w:val="0"/>
          <w:marBottom w:val="150"/>
          <w:divBdr>
            <w:top w:val="none" w:sz="0" w:space="0" w:color="auto"/>
            <w:left w:val="none" w:sz="0" w:space="0" w:color="auto"/>
            <w:bottom w:val="none" w:sz="0" w:space="0" w:color="auto"/>
            <w:right w:val="none" w:sz="0" w:space="0" w:color="auto"/>
          </w:divBdr>
        </w:div>
      </w:divsChild>
    </w:div>
    <w:div w:id="101535224">
      <w:bodyDiv w:val="1"/>
      <w:marLeft w:val="0"/>
      <w:marRight w:val="0"/>
      <w:marTop w:val="0"/>
      <w:marBottom w:val="0"/>
      <w:divBdr>
        <w:top w:val="none" w:sz="0" w:space="0" w:color="auto"/>
        <w:left w:val="none" w:sz="0" w:space="0" w:color="auto"/>
        <w:bottom w:val="none" w:sz="0" w:space="0" w:color="auto"/>
        <w:right w:val="none" w:sz="0" w:space="0" w:color="auto"/>
      </w:divBdr>
      <w:divsChild>
        <w:div w:id="1985353543">
          <w:marLeft w:val="0"/>
          <w:marRight w:val="0"/>
          <w:marTop w:val="0"/>
          <w:marBottom w:val="0"/>
          <w:divBdr>
            <w:top w:val="none" w:sz="0" w:space="0" w:color="auto"/>
            <w:left w:val="none" w:sz="0" w:space="0" w:color="auto"/>
            <w:bottom w:val="none" w:sz="0" w:space="0" w:color="auto"/>
            <w:right w:val="none" w:sz="0" w:space="0" w:color="auto"/>
          </w:divBdr>
        </w:div>
      </w:divsChild>
    </w:div>
    <w:div w:id="101846636">
      <w:bodyDiv w:val="1"/>
      <w:marLeft w:val="0"/>
      <w:marRight w:val="0"/>
      <w:marTop w:val="0"/>
      <w:marBottom w:val="0"/>
      <w:divBdr>
        <w:top w:val="none" w:sz="0" w:space="0" w:color="auto"/>
        <w:left w:val="none" w:sz="0" w:space="0" w:color="auto"/>
        <w:bottom w:val="none" w:sz="0" w:space="0" w:color="auto"/>
        <w:right w:val="none" w:sz="0" w:space="0" w:color="auto"/>
      </w:divBdr>
      <w:divsChild>
        <w:div w:id="224606569">
          <w:marLeft w:val="0"/>
          <w:marRight w:val="0"/>
          <w:marTop w:val="0"/>
          <w:marBottom w:val="0"/>
          <w:divBdr>
            <w:top w:val="none" w:sz="0" w:space="0" w:color="auto"/>
            <w:left w:val="none" w:sz="0" w:space="0" w:color="auto"/>
            <w:bottom w:val="none" w:sz="0" w:space="0" w:color="auto"/>
            <w:right w:val="none" w:sz="0" w:space="0" w:color="auto"/>
          </w:divBdr>
          <w:divsChild>
            <w:div w:id="1037656635">
              <w:marLeft w:val="0"/>
              <w:marRight w:val="0"/>
              <w:marTop w:val="0"/>
              <w:marBottom w:val="0"/>
              <w:divBdr>
                <w:top w:val="none" w:sz="0" w:space="0" w:color="auto"/>
                <w:left w:val="none" w:sz="0" w:space="0" w:color="auto"/>
                <w:bottom w:val="none" w:sz="0" w:space="0" w:color="auto"/>
                <w:right w:val="none" w:sz="0" w:space="0" w:color="auto"/>
              </w:divBdr>
              <w:divsChild>
                <w:div w:id="20056293">
                  <w:marLeft w:val="0"/>
                  <w:marRight w:val="0"/>
                  <w:marTop w:val="0"/>
                  <w:marBottom w:val="0"/>
                  <w:divBdr>
                    <w:top w:val="none" w:sz="0" w:space="0" w:color="auto"/>
                    <w:left w:val="none" w:sz="0" w:space="0" w:color="auto"/>
                    <w:bottom w:val="none" w:sz="0" w:space="0" w:color="auto"/>
                    <w:right w:val="none" w:sz="0" w:space="0" w:color="auto"/>
                  </w:divBdr>
                  <w:divsChild>
                    <w:div w:id="2047832062">
                      <w:marLeft w:val="0"/>
                      <w:marRight w:val="0"/>
                      <w:marTop w:val="0"/>
                      <w:marBottom w:val="0"/>
                      <w:divBdr>
                        <w:top w:val="none" w:sz="0" w:space="0" w:color="auto"/>
                        <w:left w:val="none" w:sz="0" w:space="0" w:color="auto"/>
                        <w:bottom w:val="none" w:sz="0" w:space="0" w:color="auto"/>
                        <w:right w:val="none" w:sz="0" w:space="0" w:color="auto"/>
                      </w:divBdr>
                      <w:divsChild>
                        <w:div w:id="1693258476">
                          <w:marLeft w:val="0"/>
                          <w:marRight w:val="0"/>
                          <w:marTop w:val="0"/>
                          <w:marBottom w:val="0"/>
                          <w:divBdr>
                            <w:top w:val="none" w:sz="0" w:space="0" w:color="auto"/>
                            <w:left w:val="none" w:sz="0" w:space="0" w:color="auto"/>
                            <w:bottom w:val="none" w:sz="0" w:space="0" w:color="auto"/>
                            <w:right w:val="none" w:sz="0" w:space="0" w:color="auto"/>
                          </w:divBdr>
                          <w:divsChild>
                            <w:div w:id="43918871">
                              <w:marLeft w:val="0"/>
                              <w:marRight w:val="0"/>
                              <w:marTop w:val="0"/>
                              <w:marBottom w:val="0"/>
                              <w:divBdr>
                                <w:top w:val="none" w:sz="0" w:space="0" w:color="auto"/>
                                <w:left w:val="none" w:sz="0" w:space="0" w:color="auto"/>
                                <w:bottom w:val="none" w:sz="0" w:space="0" w:color="auto"/>
                                <w:right w:val="none" w:sz="0" w:space="0" w:color="auto"/>
                              </w:divBdr>
                              <w:divsChild>
                                <w:div w:id="1798180091">
                                  <w:marLeft w:val="0"/>
                                  <w:marRight w:val="0"/>
                                  <w:marTop w:val="0"/>
                                  <w:marBottom w:val="0"/>
                                  <w:divBdr>
                                    <w:top w:val="none" w:sz="0" w:space="0" w:color="auto"/>
                                    <w:left w:val="none" w:sz="0" w:space="0" w:color="auto"/>
                                    <w:bottom w:val="none" w:sz="0" w:space="0" w:color="auto"/>
                                    <w:right w:val="none" w:sz="0" w:space="0" w:color="auto"/>
                                  </w:divBdr>
                                  <w:divsChild>
                                    <w:div w:id="172860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264558">
      <w:bodyDiv w:val="1"/>
      <w:marLeft w:val="0"/>
      <w:marRight w:val="0"/>
      <w:marTop w:val="0"/>
      <w:marBottom w:val="0"/>
      <w:divBdr>
        <w:top w:val="none" w:sz="0" w:space="0" w:color="auto"/>
        <w:left w:val="none" w:sz="0" w:space="0" w:color="auto"/>
        <w:bottom w:val="none" w:sz="0" w:space="0" w:color="auto"/>
        <w:right w:val="none" w:sz="0" w:space="0" w:color="auto"/>
      </w:divBdr>
      <w:divsChild>
        <w:div w:id="444890448">
          <w:marLeft w:val="0"/>
          <w:marRight w:val="0"/>
          <w:marTop w:val="0"/>
          <w:marBottom w:val="0"/>
          <w:divBdr>
            <w:top w:val="none" w:sz="0" w:space="0" w:color="auto"/>
            <w:left w:val="none" w:sz="0" w:space="0" w:color="auto"/>
            <w:bottom w:val="none" w:sz="0" w:space="0" w:color="auto"/>
            <w:right w:val="none" w:sz="0" w:space="0" w:color="auto"/>
          </w:divBdr>
          <w:divsChild>
            <w:div w:id="1736851641">
              <w:marLeft w:val="0"/>
              <w:marRight w:val="0"/>
              <w:marTop w:val="0"/>
              <w:marBottom w:val="0"/>
              <w:divBdr>
                <w:top w:val="none" w:sz="0" w:space="0" w:color="auto"/>
                <w:left w:val="none" w:sz="0" w:space="0" w:color="auto"/>
                <w:bottom w:val="none" w:sz="0" w:space="0" w:color="auto"/>
                <w:right w:val="none" w:sz="0" w:space="0" w:color="auto"/>
              </w:divBdr>
              <w:divsChild>
                <w:div w:id="927925825">
                  <w:marLeft w:val="0"/>
                  <w:marRight w:val="0"/>
                  <w:marTop w:val="0"/>
                  <w:marBottom w:val="0"/>
                  <w:divBdr>
                    <w:top w:val="none" w:sz="0" w:space="0" w:color="auto"/>
                    <w:left w:val="none" w:sz="0" w:space="0" w:color="auto"/>
                    <w:bottom w:val="none" w:sz="0" w:space="0" w:color="auto"/>
                    <w:right w:val="none" w:sz="0" w:space="0" w:color="auto"/>
                  </w:divBdr>
                  <w:divsChild>
                    <w:div w:id="549420586">
                      <w:marLeft w:val="0"/>
                      <w:marRight w:val="0"/>
                      <w:marTop w:val="0"/>
                      <w:marBottom w:val="0"/>
                      <w:divBdr>
                        <w:top w:val="none" w:sz="0" w:space="0" w:color="auto"/>
                        <w:left w:val="none" w:sz="0" w:space="0" w:color="auto"/>
                        <w:bottom w:val="none" w:sz="0" w:space="0" w:color="auto"/>
                        <w:right w:val="none" w:sz="0" w:space="0" w:color="auto"/>
                      </w:divBdr>
                      <w:divsChild>
                        <w:div w:id="1974366080">
                          <w:marLeft w:val="0"/>
                          <w:marRight w:val="0"/>
                          <w:marTop w:val="0"/>
                          <w:marBottom w:val="0"/>
                          <w:divBdr>
                            <w:top w:val="none" w:sz="0" w:space="0" w:color="auto"/>
                            <w:left w:val="none" w:sz="0" w:space="0" w:color="auto"/>
                            <w:bottom w:val="none" w:sz="0" w:space="0" w:color="auto"/>
                            <w:right w:val="none" w:sz="0" w:space="0" w:color="auto"/>
                          </w:divBdr>
                          <w:divsChild>
                            <w:div w:id="32467698">
                              <w:marLeft w:val="0"/>
                              <w:marRight w:val="0"/>
                              <w:marTop w:val="0"/>
                              <w:marBottom w:val="0"/>
                              <w:divBdr>
                                <w:top w:val="none" w:sz="0" w:space="0" w:color="auto"/>
                                <w:left w:val="none" w:sz="0" w:space="0" w:color="auto"/>
                                <w:bottom w:val="none" w:sz="0" w:space="0" w:color="auto"/>
                                <w:right w:val="none" w:sz="0" w:space="0" w:color="auto"/>
                              </w:divBdr>
                              <w:divsChild>
                                <w:div w:id="1793279534">
                                  <w:marLeft w:val="0"/>
                                  <w:marRight w:val="0"/>
                                  <w:marTop w:val="0"/>
                                  <w:marBottom w:val="0"/>
                                  <w:divBdr>
                                    <w:top w:val="none" w:sz="0" w:space="0" w:color="auto"/>
                                    <w:left w:val="none" w:sz="0" w:space="0" w:color="auto"/>
                                    <w:bottom w:val="none" w:sz="0" w:space="0" w:color="auto"/>
                                    <w:right w:val="none" w:sz="0" w:space="0" w:color="auto"/>
                                  </w:divBdr>
                                  <w:divsChild>
                                    <w:div w:id="1528711189">
                                      <w:marLeft w:val="0"/>
                                      <w:marRight w:val="0"/>
                                      <w:marTop w:val="0"/>
                                      <w:marBottom w:val="0"/>
                                      <w:divBdr>
                                        <w:top w:val="none" w:sz="0" w:space="0" w:color="auto"/>
                                        <w:left w:val="none" w:sz="0" w:space="0" w:color="auto"/>
                                        <w:bottom w:val="none" w:sz="0" w:space="0" w:color="auto"/>
                                        <w:right w:val="none" w:sz="0" w:space="0" w:color="auto"/>
                                      </w:divBdr>
                                    </w:div>
                                    <w:div w:id="2110735534">
                                      <w:marLeft w:val="0"/>
                                      <w:marRight w:val="0"/>
                                      <w:marTop w:val="0"/>
                                      <w:marBottom w:val="0"/>
                                      <w:divBdr>
                                        <w:top w:val="none" w:sz="0" w:space="0" w:color="auto"/>
                                        <w:left w:val="none" w:sz="0" w:space="0" w:color="auto"/>
                                        <w:bottom w:val="none" w:sz="0" w:space="0" w:color="auto"/>
                                        <w:right w:val="none" w:sz="0" w:space="0" w:color="auto"/>
                                      </w:divBdr>
                                      <w:divsChild>
                                        <w:div w:id="1255751186">
                                          <w:marLeft w:val="0"/>
                                          <w:marRight w:val="0"/>
                                          <w:marTop w:val="0"/>
                                          <w:marBottom w:val="0"/>
                                          <w:divBdr>
                                            <w:top w:val="none" w:sz="0" w:space="0" w:color="auto"/>
                                            <w:left w:val="none" w:sz="0" w:space="0" w:color="auto"/>
                                            <w:bottom w:val="none" w:sz="0" w:space="0" w:color="auto"/>
                                            <w:right w:val="none" w:sz="0" w:space="0" w:color="auto"/>
                                          </w:divBdr>
                                        </w:div>
                                        <w:div w:id="165163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310542">
      <w:bodyDiv w:val="1"/>
      <w:marLeft w:val="0"/>
      <w:marRight w:val="0"/>
      <w:marTop w:val="0"/>
      <w:marBottom w:val="0"/>
      <w:divBdr>
        <w:top w:val="none" w:sz="0" w:space="0" w:color="auto"/>
        <w:left w:val="none" w:sz="0" w:space="0" w:color="auto"/>
        <w:bottom w:val="none" w:sz="0" w:space="0" w:color="auto"/>
        <w:right w:val="none" w:sz="0" w:space="0" w:color="auto"/>
      </w:divBdr>
      <w:divsChild>
        <w:div w:id="1255212993">
          <w:marLeft w:val="0"/>
          <w:marRight w:val="0"/>
          <w:marTop w:val="0"/>
          <w:marBottom w:val="0"/>
          <w:divBdr>
            <w:top w:val="none" w:sz="0" w:space="0" w:color="auto"/>
            <w:left w:val="none" w:sz="0" w:space="0" w:color="auto"/>
            <w:bottom w:val="dotted" w:sz="6" w:space="4" w:color="DDDDDD"/>
            <w:right w:val="none" w:sz="0" w:space="0" w:color="auto"/>
          </w:divBdr>
          <w:divsChild>
            <w:div w:id="168670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6943">
      <w:bodyDiv w:val="1"/>
      <w:marLeft w:val="0"/>
      <w:marRight w:val="0"/>
      <w:marTop w:val="0"/>
      <w:marBottom w:val="0"/>
      <w:divBdr>
        <w:top w:val="none" w:sz="0" w:space="0" w:color="auto"/>
        <w:left w:val="none" w:sz="0" w:space="0" w:color="auto"/>
        <w:bottom w:val="none" w:sz="0" w:space="0" w:color="auto"/>
        <w:right w:val="none" w:sz="0" w:space="0" w:color="auto"/>
      </w:divBdr>
    </w:div>
    <w:div w:id="103575336">
      <w:bodyDiv w:val="1"/>
      <w:marLeft w:val="0"/>
      <w:marRight w:val="0"/>
      <w:marTop w:val="0"/>
      <w:marBottom w:val="0"/>
      <w:divBdr>
        <w:top w:val="none" w:sz="0" w:space="0" w:color="auto"/>
        <w:left w:val="none" w:sz="0" w:space="0" w:color="auto"/>
        <w:bottom w:val="none" w:sz="0" w:space="0" w:color="auto"/>
        <w:right w:val="none" w:sz="0" w:space="0" w:color="auto"/>
      </w:divBdr>
      <w:divsChild>
        <w:div w:id="616835075">
          <w:marLeft w:val="0"/>
          <w:marRight w:val="0"/>
          <w:marTop w:val="0"/>
          <w:marBottom w:val="0"/>
          <w:divBdr>
            <w:top w:val="none" w:sz="0" w:space="0" w:color="auto"/>
            <w:left w:val="none" w:sz="0" w:space="0" w:color="auto"/>
            <w:bottom w:val="none" w:sz="0" w:space="0" w:color="auto"/>
            <w:right w:val="none" w:sz="0" w:space="0" w:color="auto"/>
          </w:divBdr>
          <w:divsChild>
            <w:div w:id="1212838507">
              <w:marLeft w:val="0"/>
              <w:marRight w:val="0"/>
              <w:marTop w:val="0"/>
              <w:marBottom w:val="0"/>
              <w:divBdr>
                <w:top w:val="none" w:sz="0" w:space="0" w:color="auto"/>
                <w:left w:val="none" w:sz="0" w:space="0" w:color="auto"/>
                <w:bottom w:val="none" w:sz="0" w:space="0" w:color="auto"/>
                <w:right w:val="none" w:sz="0" w:space="0" w:color="auto"/>
              </w:divBdr>
              <w:divsChild>
                <w:div w:id="992760186">
                  <w:marLeft w:val="0"/>
                  <w:marRight w:val="0"/>
                  <w:marTop w:val="0"/>
                  <w:marBottom w:val="0"/>
                  <w:divBdr>
                    <w:top w:val="none" w:sz="0" w:space="0" w:color="auto"/>
                    <w:left w:val="none" w:sz="0" w:space="0" w:color="auto"/>
                    <w:bottom w:val="none" w:sz="0" w:space="0" w:color="auto"/>
                    <w:right w:val="none" w:sz="0" w:space="0" w:color="auto"/>
                  </w:divBdr>
                  <w:divsChild>
                    <w:div w:id="1961183846">
                      <w:marLeft w:val="0"/>
                      <w:marRight w:val="0"/>
                      <w:marTop w:val="0"/>
                      <w:marBottom w:val="0"/>
                      <w:divBdr>
                        <w:top w:val="none" w:sz="0" w:space="0" w:color="auto"/>
                        <w:left w:val="none" w:sz="0" w:space="0" w:color="auto"/>
                        <w:bottom w:val="none" w:sz="0" w:space="0" w:color="auto"/>
                        <w:right w:val="none" w:sz="0" w:space="0" w:color="auto"/>
                      </w:divBdr>
                      <w:divsChild>
                        <w:div w:id="144401044">
                          <w:marLeft w:val="0"/>
                          <w:marRight w:val="0"/>
                          <w:marTop w:val="0"/>
                          <w:marBottom w:val="0"/>
                          <w:divBdr>
                            <w:top w:val="none" w:sz="0" w:space="0" w:color="auto"/>
                            <w:left w:val="none" w:sz="0" w:space="0" w:color="auto"/>
                            <w:bottom w:val="none" w:sz="0" w:space="0" w:color="auto"/>
                            <w:right w:val="none" w:sz="0" w:space="0" w:color="auto"/>
                          </w:divBdr>
                          <w:divsChild>
                            <w:div w:id="32072945">
                              <w:marLeft w:val="0"/>
                              <w:marRight w:val="0"/>
                              <w:marTop w:val="0"/>
                              <w:marBottom w:val="0"/>
                              <w:divBdr>
                                <w:top w:val="none" w:sz="0" w:space="0" w:color="auto"/>
                                <w:left w:val="none" w:sz="0" w:space="0" w:color="auto"/>
                                <w:bottom w:val="none" w:sz="0" w:space="0" w:color="auto"/>
                                <w:right w:val="none" w:sz="0" w:space="0" w:color="auto"/>
                              </w:divBdr>
                              <w:divsChild>
                                <w:div w:id="136533575">
                                  <w:marLeft w:val="0"/>
                                  <w:marRight w:val="0"/>
                                  <w:marTop w:val="0"/>
                                  <w:marBottom w:val="0"/>
                                  <w:divBdr>
                                    <w:top w:val="none" w:sz="0" w:space="0" w:color="auto"/>
                                    <w:left w:val="none" w:sz="0" w:space="0" w:color="auto"/>
                                    <w:bottom w:val="none" w:sz="0" w:space="0" w:color="auto"/>
                                    <w:right w:val="none" w:sz="0" w:space="0" w:color="auto"/>
                                  </w:divBdr>
                                  <w:divsChild>
                                    <w:div w:id="167518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03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8614">
          <w:marLeft w:val="0"/>
          <w:marRight w:val="0"/>
          <w:marTop w:val="0"/>
          <w:marBottom w:val="150"/>
          <w:divBdr>
            <w:top w:val="none" w:sz="0" w:space="0" w:color="auto"/>
            <w:left w:val="none" w:sz="0" w:space="0" w:color="auto"/>
            <w:bottom w:val="none" w:sz="0" w:space="0" w:color="auto"/>
            <w:right w:val="none" w:sz="0" w:space="0" w:color="auto"/>
          </w:divBdr>
        </w:div>
        <w:div w:id="1171289330">
          <w:marLeft w:val="0"/>
          <w:marRight w:val="0"/>
          <w:marTop w:val="0"/>
          <w:marBottom w:val="150"/>
          <w:divBdr>
            <w:top w:val="none" w:sz="0" w:space="0" w:color="auto"/>
            <w:left w:val="none" w:sz="0" w:space="0" w:color="auto"/>
            <w:bottom w:val="none" w:sz="0" w:space="0" w:color="auto"/>
            <w:right w:val="none" w:sz="0" w:space="0" w:color="auto"/>
          </w:divBdr>
          <w:divsChild>
            <w:div w:id="177088787">
              <w:marLeft w:val="0"/>
              <w:marRight w:val="0"/>
              <w:marTop w:val="0"/>
              <w:marBottom w:val="0"/>
              <w:divBdr>
                <w:top w:val="none" w:sz="0" w:space="0" w:color="auto"/>
                <w:left w:val="none" w:sz="0" w:space="0" w:color="auto"/>
                <w:bottom w:val="none" w:sz="0" w:space="0" w:color="auto"/>
                <w:right w:val="none" w:sz="0" w:space="0" w:color="auto"/>
              </w:divBdr>
            </w:div>
          </w:divsChild>
        </w:div>
        <w:div w:id="1968126847">
          <w:marLeft w:val="0"/>
          <w:marRight w:val="0"/>
          <w:marTop w:val="0"/>
          <w:marBottom w:val="0"/>
          <w:divBdr>
            <w:top w:val="none" w:sz="0" w:space="0" w:color="auto"/>
            <w:left w:val="none" w:sz="0" w:space="0" w:color="auto"/>
            <w:bottom w:val="none" w:sz="0" w:space="0" w:color="auto"/>
            <w:right w:val="none" w:sz="0" w:space="0" w:color="auto"/>
          </w:divBdr>
          <w:divsChild>
            <w:div w:id="23470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9787">
      <w:bodyDiv w:val="1"/>
      <w:marLeft w:val="0"/>
      <w:marRight w:val="0"/>
      <w:marTop w:val="0"/>
      <w:marBottom w:val="0"/>
      <w:divBdr>
        <w:top w:val="none" w:sz="0" w:space="0" w:color="auto"/>
        <w:left w:val="none" w:sz="0" w:space="0" w:color="auto"/>
        <w:bottom w:val="none" w:sz="0" w:space="0" w:color="auto"/>
        <w:right w:val="none" w:sz="0" w:space="0" w:color="auto"/>
      </w:divBdr>
      <w:divsChild>
        <w:div w:id="1351446025">
          <w:marLeft w:val="0"/>
          <w:marRight w:val="0"/>
          <w:marTop w:val="0"/>
          <w:marBottom w:val="0"/>
          <w:divBdr>
            <w:top w:val="none" w:sz="0" w:space="0" w:color="auto"/>
            <w:left w:val="none" w:sz="0" w:space="0" w:color="auto"/>
            <w:bottom w:val="none" w:sz="0" w:space="0" w:color="auto"/>
            <w:right w:val="none" w:sz="0" w:space="0" w:color="auto"/>
          </w:divBdr>
        </w:div>
      </w:divsChild>
    </w:div>
    <w:div w:id="104232264">
      <w:bodyDiv w:val="1"/>
      <w:marLeft w:val="0"/>
      <w:marRight w:val="0"/>
      <w:marTop w:val="0"/>
      <w:marBottom w:val="0"/>
      <w:divBdr>
        <w:top w:val="none" w:sz="0" w:space="0" w:color="auto"/>
        <w:left w:val="none" w:sz="0" w:space="0" w:color="auto"/>
        <w:bottom w:val="none" w:sz="0" w:space="0" w:color="auto"/>
        <w:right w:val="none" w:sz="0" w:space="0" w:color="auto"/>
      </w:divBdr>
      <w:divsChild>
        <w:div w:id="364333979">
          <w:marLeft w:val="0"/>
          <w:marRight w:val="0"/>
          <w:marTop w:val="0"/>
          <w:marBottom w:val="0"/>
          <w:divBdr>
            <w:top w:val="none" w:sz="0" w:space="0" w:color="auto"/>
            <w:left w:val="none" w:sz="0" w:space="0" w:color="auto"/>
            <w:bottom w:val="none" w:sz="0" w:space="0" w:color="auto"/>
            <w:right w:val="none" w:sz="0" w:space="0" w:color="auto"/>
          </w:divBdr>
          <w:divsChild>
            <w:div w:id="1139999636">
              <w:marLeft w:val="0"/>
              <w:marRight w:val="0"/>
              <w:marTop w:val="0"/>
              <w:marBottom w:val="0"/>
              <w:divBdr>
                <w:top w:val="none" w:sz="0" w:space="0" w:color="auto"/>
                <w:left w:val="none" w:sz="0" w:space="0" w:color="auto"/>
                <w:bottom w:val="none" w:sz="0" w:space="0" w:color="auto"/>
                <w:right w:val="none" w:sz="0" w:space="0" w:color="auto"/>
              </w:divBdr>
            </w:div>
          </w:divsChild>
        </w:div>
        <w:div w:id="927805615">
          <w:marLeft w:val="0"/>
          <w:marRight w:val="0"/>
          <w:marTop w:val="150"/>
          <w:marBottom w:val="0"/>
          <w:divBdr>
            <w:top w:val="none" w:sz="0" w:space="0" w:color="auto"/>
            <w:left w:val="none" w:sz="0" w:space="0" w:color="auto"/>
            <w:bottom w:val="none" w:sz="0" w:space="0" w:color="auto"/>
            <w:right w:val="none" w:sz="0" w:space="0" w:color="auto"/>
          </w:divBdr>
          <w:divsChild>
            <w:div w:id="1654675427">
              <w:marLeft w:val="0"/>
              <w:marRight w:val="0"/>
              <w:marTop w:val="0"/>
              <w:marBottom w:val="0"/>
              <w:divBdr>
                <w:top w:val="none" w:sz="0" w:space="0" w:color="auto"/>
                <w:left w:val="none" w:sz="0" w:space="0" w:color="auto"/>
                <w:bottom w:val="none" w:sz="0" w:space="0" w:color="auto"/>
                <w:right w:val="none" w:sz="0" w:space="0" w:color="auto"/>
              </w:divBdr>
              <w:divsChild>
                <w:div w:id="207758517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52160">
      <w:bodyDiv w:val="1"/>
      <w:marLeft w:val="0"/>
      <w:marRight w:val="0"/>
      <w:marTop w:val="0"/>
      <w:marBottom w:val="0"/>
      <w:divBdr>
        <w:top w:val="none" w:sz="0" w:space="0" w:color="auto"/>
        <w:left w:val="none" w:sz="0" w:space="0" w:color="auto"/>
        <w:bottom w:val="none" w:sz="0" w:space="0" w:color="auto"/>
        <w:right w:val="none" w:sz="0" w:space="0" w:color="auto"/>
      </w:divBdr>
      <w:divsChild>
        <w:div w:id="73475212">
          <w:marLeft w:val="0"/>
          <w:marRight w:val="0"/>
          <w:marTop w:val="0"/>
          <w:marBottom w:val="300"/>
          <w:divBdr>
            <w:top w:val="none" w:sz="0" w:space="0" w:color="auto"/>
            <w:left w:val="none" w:sz="0" w:space="0" w:color="auto"/>
            <w:bottom w:val="none" w:sz="0" w:space="0" w:color="auto"/>
            <w:right w:val="none" w:sz="0" w:space="0" w:color="auto"/>
          </w:divBdr>
          <w:divsChild>
            <w:div w:id="1773161531">
              <w:marLeft w:val="0"/>
              <w:marRight w:val="0"/>
              <w:marTop w:val="0"/>
              <w:marBottom w:val="0"/>
              <w:divBdr>
                <w:top w:val="none" w:sz="0" w:space="0" w:color="auto"/>
                <w:left w:val="none" w:sz="0" w:space="0" w:color="auto"/>
                <w:bottom w:val="none" w:sz="0" w:space="0" w:color="auto"/>
                <w:right w:val="none" w:sz="0" w:space="0" w:color="auto"/>
              </w:divBdr>
            </w:div>
          </w:divsChild>
        </w:div>
        <w:div w:id="597059968">
          <w:marLeft w:val="0"/>
          <w:marRight w:val="0"/>
          <w:marTop w:val="0"/>
          <w:marBottom w:val="75"/>
          <w:divBdr>
            <w:top w:val="none" w:sz="0" w:space="0" w:color="auto"/>
            <w:left w:val="none" w:sz="0" w:space="0" w:color="auto"/>
            <w:bottom w:val="none" w:sz="0" w:space="0" w:color="auto"/>
            <w:right w:val="none" w:sz="0" w:space="0" w:color="auto"/>
          </w:divBdr>
        </w:div>
        <w:div w:id="839078654">
          <w:marLeft w:val="0"/>
          <w:marRight w:val="0"/>
          <w:marTop w:val="0"/>
          <w:marBottom w:val="0"/>
          <w:divBdr>
            <w:top w:val="none" w:sz="0" w:space="0" w:color="auto"/>
            <w:left w:val="none" w:sz="0" w:space="0" w:color="auto"/>
            <w:bottom w:val="none" w:sz="0" w:space="0" w:color="auto"/>
            <w:right w:val="none" w:sz="0" w:space="0" w:color="auto"/>
          </w:divBdr>
        </w:div>
        <w:div w:id="2050832212">
          <w:marLeft w:val="0"/>
          <w:marRight w:val="0"/>
          <w:marTop w:val="0"/>
          <w:marBottom w:val="0"/>
          <w:divBdr>
            <w:top w:val="none" w:sz="0" w:space="0" w:color="auto"/>
            <w:left w:val="none" w:sz="0" w:space="0" w:color="auto"/>
            <w:bottom w:val="none" w:sz="0" w:space="0" w:color="auto"/>
            <w:right w:val="none" w:sz="0" w:space="0" w:color="auto"/>
          </w:divBdr>
          <w:divsChild>
            <w:div w:id="1074623202">
              <w:marLeft w:val="0"/>
              <w:marRight w:val="0"/>
              <w:marTop w:val="0"/>
              <w:marBottom w:val="0"/>
              <w:divBdr>
                <w:top w:val="none" w:sz="0" w:space="0" w:color="auto"/>
                <w:left w:val="none" w:sz="0" w:space="0" w:color="auto"/>
                <w:bottom w:val="none" w:sz="0" w:space="0" w:color="auto"/>
                <w:right w:val="none" w:sz="0" w:space="0" w:color="auto"/>
              </w:divBdr>
              <w:divsChild>
                <w:div w:id="56487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26170">
      <w:bodyDiv w:val="1"/>
      <w:marLeft w:val="0"/>
      <w:marRight w:val="0"/>
      <w:marTop w:val="0"/>
      <w:marBottom w:val="0"/>
      <w:divBdr>
        <w:top w:val="none" w:sz="0" w:space="0" w:color="auto"/>
        <w:left w:val="none" w:sz="0" w:space="0" w:color="auto"/>
        <w:bottom w:val="none" w:sz="0" w:space="0" w:color="auto"/>
        <w:right w:val="none" w:sz="0" w:space="0" w:color="auto"/>
      </w:divBdr>
      <w:divsChild>
        <w:div w:id="805897011">
          <w:marLeft w:val="0"/>
          <w:marRight w:val="0"/>
          <w:marTop w:val="0"/>
          <w:marBottom w:val="300"/>
          <w:divBdr>
            <w:top w:val="none" w:sz="0" w:space="0" w:color="auto"/>
            <w:left w:val="none" w:sz="0" w:space="0" w:color="auto"/>
            <w:bottom w:val="single" w:sz="6" w:space="0" w:color="E4E4E4"/>
            <w:right w:val="none" w:sz="0" w:space="0" w:color="auto"/>
          </w:divBdr>
        </w:div>
        <w:div w:id="1508667623">
          <w:marLeft w:val="0"/>
          <w:marRight w:val="0"/>
          <w:marTop w:val="0"/>
          <w:marBottom w:val="0"/>
          <w:divBdr>
            <w:top w:val="none" w:sz="0" w:space="0" w:color="auto"/>
            <w:left w:val="none" w:sz="0" w:space="0" w:color="auto"/>
            <w:bottom w:val="none" w:sz="0" w:space="0" w:color="auto"/>
            <w:right w:val="none" w:sz="0" w:space="0" w:color="auto"/>
          </w:divBdr>
          <w:divsChild>
            <w:div w:id="672999676">
              <w:marLeft w:val="0"/>
              <w:marRight w:val="0"/>
              <w:marTop w:val="0"/>
              <w:marBottom w:val="0"/>
              <w:divBdr>
                <w:top w:val="none" w:sz="0" w:space="0" w:color="auto"/>
                <w:left w:val="none" w:sz="0" w:space="0" w:color="auto"/>
                <w:bottom w:val="none" w:sz="0" w:space="0" w:color="auto"/>
                <w:right w:val="none" w:sz="0" w:space="0" w:color="auto"/>
              </w:divBdr>
              <w:divsChild>
                <w:div w:id="1025054849">
                  <w:marLeft w:val="0"/>
                  <w:marRight w:val="0"/>
                  <w:marTop w:val="0"/>
                  <w:marBottom w:val="450"/>
                  <w:divBdr>
                    <w:top w:val="none" w:sz="0" w:space="0" w:color="auto"/>
                    <w:left w:val="none" w:sz="0" w:space="0" w:color="auto"/>
                    <w:bottom w:val="none" w:sz="0" w:space="0" w:color="auto"/>
                    <w:right w:val="none" w:sz="0" w:space="0" w:color="auto"/>
                  </w:divBdr>
                  <w:divsChild>
                    <w:div w:id="539055625">
                      <w:marLeft w:val="0"/>
                      <w:marRight w:val="0"/>
                      <w:marTop w:val="0"/>
                      <w:marBottom w:val="0"/>
                      <w:divBdr>
                        <w:top w:val="none" w:sz="0" w:space="0" w:color="auto"/>
                        <w:left w:val="none" w:sz="0" w:space="0" w:color="auto"/>
                        <w:bottom w:val="none" w:sz="0" w:space="0" w:color="auto"/>
                        <w:right w:val="none" w:sz="0" w:space="0" w:color="auto"/>
                      </w:divBdr>
                      <w:divsChild>
                        <w:div w:id="1406806707">
                          <w:marLeft w:val="0"/>
                          <w:marRight w:val="0"/>
                          <w:marTop w:val="0"/>
                          <w:marBottom w:val="150"/>
                          <w:divBdr>
                            <w:top w:val="none" w:sz="0" w:space="0" w:color="auto"/>
                            <w:left w:val="none" w:sz="0" w:space="0" w:color="auto"/>
                            <w:bottom w:val="none" w:sz="0" w:space="0" w:color="auto"/>
                            <w:right w:val="none" w:sz="0" w:space="0" w:color="auto"/>
                          </w:divBdr>
                        </w:div>
                        <w:div w:id="1406950314">
                          <w:marLeft w:val="0"/>
                          <w:marRight w:val="0"/>
                          <w:marTop w:val="0"/>
                          <w:marBottom w:val="0"/>
                          <w:divBdr>
                            <w:top w:val="none" w:sz="0" w:space="0" w:color="auto"/>
                            <w:left w:val="none" w:sz="0" w:space="0" w:color="auto"/>
                            <w:bottom w:val="none" w:sz="0" w:space="0" w:color="auto"/>
                            <w:right w:val="none" w:sz="0" w:space="0" w:color="auto"/>
                          </w:divBdr>
                          <w:divsChild>
                            <w:div w:id="127975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416773">
                      <w:marLeft w:val="0"/>
                      <w:marRight w:val="0"/>
                      <w:marTop w:val="0"/>
                      <w:marBottom w:val="150"/>
                      <w:divBdr>
                        <w:top w:val="none" w:sz="0" w:space="0" w:color="auto"/>
                        <w:left w:val="none" w:sz="0" w:space="0" w:color="auto"/>
                        <w:bottom w:val="none" w:sz="0" w:space="0" w:color="auto"/>
                        <w:right w:val="none" w:sz="0" w:space="0" w:color="auto"/>
                      </w:divBdr>
                      <w:divsChild>
                        <w:div w:id="117460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904095">
          <w:marLeft w:val="0"/>
          <w:marRight w:val="0"/>
          <w:marTop w:val="0"/>
          <w:marBottom w:val="375"/>
          <w:divBdr>
            <w:top w:val="none" w:sz="0" w:space="0" w:color="auto"/>
            <w:left w:val="none" w:sz="0" w:space="0" w:color="auto"/>
            <w:bottom w:val="single" w:sz="6" w:space="0" w:color="005494"/>
            <w:right w:val="none" w:sz="0" w:space="0" w:color="auto"/>
          </w:divBdr>
        </w:div>
      </w:divsChild>
    </w:div>
    <w:div w:id="105348859">
      <w:bodyDiv w:val="1"/>
      <w:marLeft w:val="0"/>
      <w:marRight w:val="0"/>
      <w:marTop w:val="0"/>
      <w:marBottom w:val="0"/>
      <w:divBdr>
        <w:top w:val="none" w:sz="0" w:space="0" w:color="auto"/>
        <w:left w:val="none" w:sz="0" w:space="0" w:color="auto"/>
        <w:bottom w:val="none" w:sz="0" w:space="0" w:color="auto"/>
        <w:right w:val="none" w:sz="0" w:space="0" w:color="auto"/>
      </w:divBdr>
      <w:divsChild>
        <w:div w:id="85810293">
          <w:marLeft w:val="0"/>
          <w:marRight w:val="0"/>
          <w:marTop w:val="0"/>
          <w:marBottom w:val="0"/>
          <w:divBdr>
            <w:top w:val="none" w:sz="0" w:space="0" w:color="auto"/>
            <w:left w:val="none" w:sz="0" w:space="0" w:color="auto"/>
            <w:bottom w:val="none" w:sz="0" w:space="0" w:color="auto"/>
            <w:right w:val="none" w:sz="0" w:space="0" w:color="auto"/>
          </w:divBdr>
          <w:divsChild>
            <w:div w:id="171452389">
              <w:marLeft w:val="0"/>
              <w:marRight w:val="0"/>
              <w:marTop w:val="0"/>
              <w:marBottom w:val="0"/>
              <w:divBdr>
                <w:top w:val="none" w:sz="0" w:space="0" w:color="auto"/>
                <w:left w:val="none" w:sz="0" w:space="0" w:color="auto"/>
                <w:bottom w:val="none" w:sz="0" w:space="0" w:color="auto"/>
                <w:right w:val="none" w:sz="0" w:space="0" w:color="auto"/>
              </w:divBdr>
              <w:divsChild>
                <w:div w:id="1326129148">
                  <w:marLeft w:val="0"/>
                  <w:marRight w:val="0"/>
                  <w:marTop w:val="0"/>
                  <w:marBottom w:val="0"/>
                  <w:divBdr>
                    <w:top w:val="none" w:sz="0" w:space="0" w:color="auto"/>
                    <w:left w:val="none" w:sz="0" w:space="0" w:color="auto"/>
                    <w:bottom w:val="none" w:sz="0" w:space="0" w:color="auto"/>
                    <w:right w:val="none" w:sz="0" w:space="0" w:color="auto"/>
                  </w:divBdr>
                  <w:divsChild>
                    <w:div w:id="1766878474">
                      <w:marLeft w:val="0"/>
                      <w:marRight w:val="0"/>
                      <w:marTop w:val="0"/>
                      <w:marBottom w:val="0"/>
                      <w:divBdr>
                        <w:top w:val="none" w:sz="0" w:space="0" w:color="auto"/>
                        <w:left w:val="none" w:sz="0" w:space="0" w:color="auto"/>
                        <w:bottom w:val="none" w:sz="0" w:space="0" w:color="auto"/>
                        <w:right w:val="none" w:sz="0" w:space="0" w:color="auto"/>
                      </w:divBdr>
                      <w:divsChild>
                        <w:div w:id="1505511952">
                          <w:marLeft w:val="0"/>
                          <w:marRight w:val="0"/>
                          <w:marTop w:val="0"/>
                          <w:marBottom w:val="0"/>
                          <w:divBdr>
                            <w:top w:val="none" w:sz="0" w:space="0" w:color="auto"/>
                            <w:left w:val="none" w:sz="0" w:space="0" w:color="auto"/>
                            <w:bottom w:val="none" w:sz="0" w:space="0" w:color="auto"/>
                            <w:right w:val="none" w:sz="0" w:space="0" w:color="auto"/>
                          </w:divBdr>
                          <w:divsChild>
                            <w:div w:id="1062869897">
                              <w:marLeft w:val="0"/>
                              <w:marRight w:val="0"/>
                              <w:marTop w:val="0"/>
                              <w:marBottom w:val="0"/>
                              <w:divBdr>
                                <w:top w:val="none" w:sz="0" w:space="0" w:color="auto"/>
                                <w:left w:val="none" w:sz="0" w:space="0" w:color="auto"/>
                                <w:bottom w:val="none" w:sz="0" w:space="0" w:color="auto"/>
                                <w:right w:val="none" w:sz="0" w:space="0" w:color="auto"/>
                              </w:divBdr>
                              <w:divsChild>
                                <w:div w:id="762609588">
                                  <w:marLeft w:val="0"/>
                                  <w:marRight w:val="0"/>
                                  <w:marTop w:val="0"/>
                                  <w:marBottom w:val="0"/>
                                  <w:divBdr>
                                    <w:top w:val="none" w:sz="0" w:space="0" w:color="auto"/>
                                    <w:left w:val="none" w:sz="0" w:space="0" w:color="auto"/>
                                    <w:bottom w:val="none" w:sz="0" w:space="0" w:color="auto"/>
                                    <w:right w:val="none" w:sz="0" w:space="0" w:color="auto"/>
                                  </w:divBdr>
                                  <w:divsChild>
                                    <w:div w:id="142745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660399">
      <w:bodyDiv w:val="1"/>
      <w:marLeft w:val="0"/>
      <w:marRight w:val="0"/>
      <w:marTop w:val="0"/>
      <w:marBottom w:val="0"/>
      <w:divBdr>
        <w:top w:val="none" w:sz="0" w:space="0" w:color="auto"/>
        <w:left w:val="none" w:sz="0" w:space="0" w:color="auto"/>
        <w:bottom w:val="none" w:sz="0" w:space="0" w:color="auto"/>
        <w:right w:val="none" w:sz="0" w:space="0" w:color="auto"/>
      </w:divBdr>
      <w:divsChild>
        <w:div w:id="1254821859">
          <w:marLeft w:val="0"/>
          <w:marRight w:val="0"/>
          <w:marTop w:val="0"/>
          <w:marBottom w:val="150"/>
          <w:divBdr>
            <w:top w:val="none" w:sz="0" w:space="0" w:color="auto"/>
            <w:left w:val="none" w:sz="0" w:space="0" w:color="auto"/>
            <w:bottom w:val="none" w:sz="0" w:space="0" w:color="auto"/>
            <w:right w:val="none" w:sz="0" w:space="0" w:color="auto"/>
          </w:divBdr>
        </w:div>
      </w:divsChild>
    </w:div>
    <w:div w:id="105974173">
      <w:bodyDiv w:val="1"/>
      <w:marLeft w:val="0"/>
      <w:marRight w:val="0"/>
      <w:marTop w:val="0"/>
      <w:marBottom w:val="0"/>
      <w:divBdr>
        <w:top w:val="none" w:sz="0" w:space="0" w:color="auto"/>
        <w:left w:val="none" w:sz="0" w:space="0" w:color="auto"/>
        <w:bottom w:val="none" w:sz="0" w:space="0" w:color="auto"/>
        <w:right w:val="none" w:sz="0" w:space="0" w:color="auto"/>
      </w:divBdr>
      <w:divsChild>
        <w:div w:id="105779188">
          <w:marLeft w:val="0"/>
          <w:marRight w:val="0"/>
          <w:marTop w:val="0"/>
          <w:marBottom w:val="180"/>
          <w:divBdr>
            <w:top w:val="none" w:sz="0" w:space="0" w:color="auto"/>
            <w:left w:val="none" w:sz="0" w:space="0" w:color="auto"/>
            <w:bottom w:val="none" w:sz="0" w:space="0" w:color="auto"/>
            <w:right w:val="none" w:sz="0" w:space="0" w:color="auto"/>
          </w:divBdr>
        </w:div>
      </w:divsChild>
    </w:div>
    <w:div w:id="106508805">
      <w:bodyDiv w:val="1"/>
      <w:marLeft w:val="0"/>
      <w:marRight w:val="0"/>
      <w:marTop w:val="0"/>
      <w:marBottom w:val="0"/>
      <w:divBdr>
        <w:top w:val="none" w:sz="0" w:space="0" w:color="auto"/>
        <w:left w:val="none" w:sz="0" w:space="0" w:color="auto"/>
        <w:bottom w:val="none" w:sz="0" w:space="0" w:color="auto"/>
        <w:right w:val="none" w:sz="0" w:space="0" w:color="auto"/>
      </w:divBdr>
      <w:divsChild>
        <w:div w:id="262499633">
          <w:marLeft w:val="0"/>
          <w:marRight w:val="0"/>
          <w:marTop w:val="0"/>
          <w:marBottom w:val="0"/>
          <w:divBdr>
            <w:top w:val="none" w:sz="0" w:space="0" w:color="auto"/>
            <w:left w:val="none" w:sz="0" w:space="0" w:color="auto"/>
            <w:bottom w:val="none" w:sz="0" w:space="0" w:color="auto"/>
            <w:right w:val="none" w:sz="0" w:space="0" w:color="auto"/>
          </w:divBdr>
          <w:divsChild>
            <w:div w:id="135882219">
              <w:marLeft w:val="0"/>
              <w:marRight w:val="0"/>
              <w:marTop w:val="0"/>
              <w:marBottom w:val="0"/>
              <w:divBdr>
                <w:top w:val="none" w:sz="0" w:space="0" w:color="auto"/>
                <w:left w:val="none" w:sz="0" w:space="0" w:color="auto"/>
                <w:bottom w:val="none" w:sz="0" w:space="0" w:color="auto"/>
                <w:right w:val="none" w:sz="0" w:space="0" w:color="auto"/>
              </w:divBdr>
              <w:divsChild>
                <w:div w:id="1455171050">
                  <w:marLeft w:val="0"/>
                  <w:marRight w:val="0"/>
                  <w:marTop w:val="0"/>
                  <w:marBottom w:val="0"/>
                  <w:divBdr>
                    <w:top w:val="single" w:sz="18" w:space="4" w:color="F1F1F1"/>
                    <w:left w:val="none" w:sz="0" w:space="0" w:color="auto"/>
                    <w:bottom w:val="none" w:sz="0" w:space="0" w:color="auto"/>
                    <w:right w:val="none" w:sz="0" w:space="0" w:color="auto"/>
                  </w:divBdr>
                  <w:divsChild>
                    <w:div w:id="1251351116">
                      <w:marLeft w:val="-180"/>
                      <w:marRight w:val="-180"/>
                      <w:marTop w:val="0"/>
                      <w:marBottom w:val="150"/>
                      <w:divBdr>
                        <w:top w:val="none" w:sz="0" w:space="0" w:color="auto"/>
                        <w:left w:val="none" w:sz="0" w:space="0" w:color="auto"/>
                        <w:bottom w:val="none" w:sz="0" w:space="0" w:color="auto"/>
                        <w:right w:val="none" w:sz="0" w:space="0" w:color="auto"/>
                      </w:divBdr>
                      <w:divsChild>
                        <w:div w:id="381908267">
                          <w:marLeft w:val="0"/>
                          <w:marRight w:val="0"/>
                          <w:marTop w:val="0"/>
                          <w:marBottom w:val="225"/>
                          <w:divBdr>
                            <w:top w:val="none" w:sz="0" w:space="0" w:color="auto"/>
                            <w:left w:val="none" w:sz="0" w:space="0" w:color="auto"/>
                            <w:bottom w:val="none" w:sz="0" w:space="0" w:color="auto"/>
                            <w:right w:val="none" w:sz="0" w:space="0" w:color="auto"/>
                          </w:divBdr>
                          <w:divsChild>
                            <w:div w:id="7607241">
                              <w:marLeft w:val="0"/>
                              <w:marRight w:val="0"/>
                              <w:marTop w:val="0"/>
                              <w:marBottom w:val="0"/>
                              <w:divBdr>
                                <w:top w:val="none" w:sz="0" w:space="0" w:color="auto"/>
                                <w:left w:val="none" w:sz="0" w:space="0" w:color="auto"/>
                                <w:bottom w:val="none" w:sz="0" w:space="0" w:color="auto"/>
                                <w:right w:val="none" w:sz="0" w:space="0" w:color="auto"/>
                              </w:divBdr>
                              <w:divsChild>
                                <w:div w:id="1001491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10493357">
                          <w:marLeft w:val="0"/>
                          <w:marRight w:val="0"/>
                          <w:marTop w:val="0"/>
                          <w:marBottom w:val="225"/>
                          <w:divBdr>
                            <w:top w:val="none" w:sz="0" w:space="0" w:color="auto"/>
                            <w:left w:val="none" w:sz="0" w:space="0" w:color="auto"/>
                            <w:bottom w:val="none" w:sz="0" w:space="0" w:color="auto"/>
                            <w:right w:val="none" w:sz="0" w:space="0" w:color="auto"/>
                          </w:divBdr>
                          <w:divsChild>
                            <w:div w:id="1578977656">
                              <w:marLeft w:val="0"/>
                              <w:marRight w:val="0"/>
                              <w:marTop w:val="0"/>
                              <w:marBottom w:val="0"/>
                              <w:divBdr>
                                <w:top w:val="none" w:sz="0" w:space="0" w:color="auto"/>
                                <w:left w:val="none" w:sz="0" w:space="0" w:color="auto"/>
                                <w:bottom w:val="none" w:sz="0" w:space="0" w:color="auto"/>
                                <w:right w:val="none" w:sz="0" w:space="0" w:color="auto"/>
                              </w:divBdr>
                              <w:divsChild>
                                <w:div w:id="7582114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3992977">
                          <w:marLeft w:val="0"/>
                          <w:marRight w:val="0"/>
                          <w:marTop w:val="0"/>
                          <w:marBottom w:val="225"/>
                          <w:divBdr>
                            <w:top w:val="none" w:sz="0" w:space="0" w:color="auto"/>
                            <w:left w:val="none" w:sz="0" w:space="0" w:color="auto"/>
                            <w:bottom w:val="none" w:sz="0" w:space="0" w:color="auto"/>
                            <w:right w:val="none" w:sz="0" w:space="0" w:color="auto"/>
                          </w:divBdr>
                          <w:divsChild>
                            <w:div w:id="1420636741">
                              <w:marLeft w:val="0"/>
                              <w:marRight w:val="0"/>
                              <w:marTop w:val="0"/>
                              <w:marBottom w:val="0"/>
                              <w:divBdr>
                                <w:top w:val="none" w:sz="0" w:space="0" w:color="auto"/>
                                <w:left w:val="none" w:sz="0" w:space="0" w:color="auto"/>
                                <w:bottom w:val="none" w:sz="0" w:space="0" w:color="auto"/>
                                <w:right w:val="none" w:sz="0" w:space="0" w:color="auto"/>
                              </w:divBdr>
                              <w:divsChild>
                                <w:div w:id="16217619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30646741">
                          <w:marLeft w:val="0"/>
                          <w:marRight w:val="0"/>
                          <w:marTop w:val="0"/>
                          <w:marBottom w:val="225"/>
                          <w:divBdr>
                            <w:top w:val="none" w:sz="0" w:space="0" w:color="auto"/>
                            <w:left w:val="none" w:sz="0" w:space="0" w:color="auto"/>
                            <w:bottom w:val="none" w:sz="0" w:space="0" w:color="auto"/>
                            <w:right w:val="none" w:sz="0" w:space="0" w:color="auto"/>
                          </w:divBdr>
                          <w:divsChild>
                            <w:div w:id="478154301">
                              <w:marLeft w:val="0"/>
                              <w:marRight w:val="0"/>
                              <w:marTop w:val="0"/>
                              <w:marBottom w:val="0"/>
                              <w:divBdr>
                                <w:top w:val="none" w:sz="0" w:space="0" w:color="auto"/>
                                <w:left w:val="none" w:sz="0" w:space="0" w:color="auto"/>
                                <w:bottom w:val="none" w:sz="0" w:space="0" w:color="auto"/>
                                <w:right w:val="none" w:sz="0" w:space="0" w:color="auto"/>
                              </w:divBdr>
                              <w:divsChild>
                                <w:div w:id="1876477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08029713">
                          <w:marLeft w:val="0"/>
                          <w:marRight w:val="0"/>
                          <w:marTop w:val="0"/>
                          <w:marBottom w:val="225"/>
                          <w:divBdr>
                            <w:top w:val="none" w:sz="0" w:space="0" w:color="auto"/>
                            <w:left w:val="none" w:sz="0" w:space="0" w:color="auto"/>
                            <w:bottom w:val="none" w:sz="0" w:space="0" w:color="auto"/>
                            <w:right w:val="none" w:sz="0" w:space="0" w:color="auto"/>
                          </w:divBdr>
                          <w:divsChild>
                            <w:div w:id="1402097374">
                              <w:marLeft w:val="0"/>
                              <w:marRight w:val="0"/>
                              <w:marTop w:val="0"/>
                              <w:marBottom w:val="0"/>
                              <w:divBdr>
                                <w:top w:val="none" w:sz="0" w:space="0" w:color="auto"/>
                                <w:left w:val="none" w:sz="0" w:space="0" w:color="auto"/>
                                <w:bottom w:val="none" w:sz="0" w:space="0" w:color="auto"/>
                                <w:right w:val="none" w:sz="0" w:space="0" w:color="auto"/>
                              </w:divBdr>
                              <w:divsChild>
                                <w:div w:id="15217765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21088798">
                          <w:marLeft w:val="0"/>
                          <w:marRight w:val="0"/>
                          <w:marTop w:val="0"/>
                          <w:marBottom w:val="225"/>
                          <w:divBdr>
                            <w:top w:val="none" w:sz="0" w:space="0" w:color="auto"/>
                            <w:left w:val="none" w:sz="0" w:space="0" w:color="auto"/>
                            <w:bottom w:val="none" w:sz="0" w:space="0" w:color="auto"/>
                            <w:right w:val="none" w:sz="0" w:space="0" w:color="auto"/>
                          </w:divBdr>
                          <w:divsChild>
                            <w:div w:id="1504979195">
                              <w:marLeft w:val="0"/>
                              <w:marRight w:val="0"/>
                              <w:marTop w:val="0"/>
                              <w:marBottom w:val="0"/>
                              <w:divBdr>
                                <w:top w:val="none" w:sz="0" w:space="0" w:color="auto"/>
                                <w:left w:val="none" w:sz="0" w:space="0" w:color="auto"/>
                                <w:bottom w:val="none" w:sz="0" w:space="0" w:color="auto"/>
                                <w:right w:val="none" w:sz="0" w:space="0" w:color="auto"/>
                              </w:divBdr>
                              <w:divsChild>
                                <w:div w:id="6136816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8226402">
                          <w:marLeft w:val="0"/>
                          <w:marRight w:val="0"/>
                          <w:marTop w:val="0"/>
                          <w:marBottom w:val="225"/>
                          <w:divBdr>
                            <w:top w:val="none" w:sz="0" w:space="0" w:color="auto"/>
                            <w:left w:val="none" w:sz="0" w:space="0" w:color="auto"/>
                            <w:bottom w:val="none" w:sz="0" w:space="0" w:color="auto"/>
                            <w:right w:val="none" w:sz="0" w:space="0" w:color="auto"/>
                          </w:divBdr>
                          <w:divsChild>
                            <w:div w:id="99961142">
                              <w:marLeft w:val="0"/>
                              <w:marRight w:val="0"/>
                              <w:marTop w:val="0"/>
                              <w:marBottom w:val="0"/>
                              <w:divBdr>
                                <w:top w:val="none" w:sz="0" w:space="0" w:color="auto"/>
                                <w:left w:val="none" w:sz="0" w:space="0" w:color="auto"/>
                                <w:bottom w:val="none" w:sz="0" w:space="0" w:color="auto"/>
                                <w:right w:val="none" w:sz="0" w:space="0" w:color="auto"/>
                              </w:divBdr>
                              <w:divsChild>
                                <w:div w:id="4117066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10284231">
                          <w:marLeft w:val="0"/>
                          <w:marRight w:val="0"/>
                          <w:marTop w:val="0"/>
                          <w:marBottom w:val="225"/>
                          <w:divBdr>
                            <w:top w:val="none" w:sz="0" w:space="0" w:color="auto"/>
                            <w:left w:val="none" w:sz="0" w:space="0" w:color="auto"/>
                            <w:bottom w:val="none" w:sz="0" w:space="0" w:color="auto"/>
                            <w:right w:val="none" w:sz="0" w:space="0" w:color="auto"/>
                          </w:divBdr>
                          <w:divsChild>
                            <w:div w:id="1602253644">
                              <w:marLeft w:val="0"/>
                              <w:marRight w:val="0"/>
                              <w:marTop w:val="0"/>
                              <w:marBottom w:val="0"/>
                              <w:divBdr>
                                <w:top w:val="none" w:sz="0" w:space="0" w:color="auto"/>
                                <w:left w:val="none" w:sz="0" w:space="0" w:color="auto"/>
                                <w:bottom w:val="none" w:sz="0" w:space="0" w:color="auto"/>
                                <w:right w:val="none" w:sz="0" w:space="0" w:color="auto"/>
                              </w:divBdr>
                              <w:divsChild>
                                <w:div w:id="7239895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64926828">
              <w:marLeft w:val="0"/>
              <w:marRight w:val="0"/>
              <w:marTop w:val="0"/>
              <w:marBottom w:val="0"/>
              <w:divBdr>
                <w:top w:val="none" w:sz="0" w:space="0" w:color="auto"/>
                <w:left w:val="none" w:sz="0" w:space="0" w:color="auto"/>
                <w:bottom w:val="none" w:sz="0" w:space="0" w:color="auto"/>
                <w:right w:val="none" w:sz="0" w:space="0" w:color="auto"/>
              </w:divBdr>
              <w:divsChild>
                <w:div w:id="135881422">
                  <w:marLeft w:val="0"/>
                  <w:marRight w:val="0"/>
                  <w:marTop w:val="0"/>
                  <w:marBottom w:val="0"/>
                  <w:divBdr>
                    <w:top w:val="none" w:sz="0" w:space="0" w:color="auto"/>
                    <w:left w:val="none" w:sz="0" w:space="0" w:color="auto"/>
                    <w:bottom w:val="none" w:sz="0" w:space="0" w:color="auto"/>
                    <w:right w:val="none" w:sz="0" w:space="0" w:color="auto"/>
                  </w:divBdr>
                  <w:divsChild>
                    <w:div w:id="838694228">
                      <w:marLeft w:val="0"/>
                      <w:marRight w:val="0"/>
                      <w:marTop w:val="0"/>
                      <w:marBottom w:val="0"/>
                      <w:divBdr>
                        <w:top w:val="none" w:sz="0" w:space="0" w:color="auto"/>
                        <w:left w:val="none" w:sz="0" w:space="0" w:color="auto"/>
                        <w:bottom w:val="none" w:sz="0" w:space="0" w:color="auto"/>
                        <w:right w:val="none" w:sz="0" w:space="0" w:color="auto"/>
                      </w:divBdr>
                      <w:divsChild>
                        <w:div w:id="1629166028">
                          <w:marLeft w:val="0"/>
                          <w:marRight w:val="0"/>
                          <w:marTop w:val="0"/>
                          <w:marBottom w:val="225"/>
                          <w:divBdr>
                            <w:top w:val="single" w:sz="6" w:space="11" w:color="E2E2E3"/>
                            <w:left w:val="none" w:sz="0" w:space="0" w:color="auto"/>
                            <w:bottom w:val="none" w:sz="0" w:space="0" w:color="auto"/>
                            <w:right w:val="none" w:sz="0" w:space="0" w:color="auto"/>
                          </w:divBdr>
                          <w:divsChild>
                            <w:div w:id="12308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525083">
                      <w:marLeft w:val="0"/>
                      <w:marRight w:val="0"/>
                      <w:marTop w:val="0"/>
                      <w:marBottom w:val="300"/>
                      <w:divBdr>
                        <w:top w:val="none" w:sz="0" w:space="0" w:color="auto"/>
                        <w:left w:val="none" w:sz="0" w:space="0" w:color="auto"/>
                        <w:bottom w:val="none" w:sz="0" w:space="0" w:color="auto"/>
                        <w:right w:val="none" w:sz="0" w:space="0" w:color="auto"/>
                      </w:divBdr>
                    </w:div>
                    <w:div w:id="155322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382369">
              <w:marLeft w:val="0"/>
              <w:marRight w:val="0"/>
              <w:marTop w:val="0"/>
              <w:marBottom w:val="300"/>
              <w:divBdr>
                <w:top w:val="single" w:sz="6" w:space="8" w:color="F1F1F1"/>
                <w:left w:val="none" w:sz="0" w:space="0" w:color="auto"/>
                <w:bottom w:val="none" w:sz="0" w:space="0" w:color="auto"/>
                <w:right w:val="none" w:sz="0" w:space="0" w:color="auto"/>
              </w:divBdr>
            </w:div>
            <w:div w:id="1373532208">
              <w:marLeft w:val="0"/>
              <w:marRight w:val="0"/>
              <w:marTop w:val="0"/>
              <w:marBottom w:val="300"/>
              <w:divBdr>
                <w:top w:val="none" w:sz="0" w:space="0" w:color="auto"/>
                <w:left w:val="none" w:sz="0" w:space="0" w:color="auto"/>
                <w:bottom w:val="none" w:sz="0" w:space="0" w:color="auto"/>
                <w:right w:val="none" w:sz="0" w:space="0" w:color="auto"/>
              </w:divBdr>
              <w:divsChild>
                <w:div w:id="1686251098">
                  <w:marLeft w:val="0"/>
                  <w:marRight w:val="0"/>
                  <w:marTop w:val="0"/>
                  <w:marBottom w:val="0"/>
                  <w:divBdr>
                    <w:top w:val="none" w:sz="0" w:space="0" w:color="auto"/>
                    <w:left w:val="none" w:sz="0" w:space="0" w:color="auto"/>
                    <w:bottom w:val="none" w:sz="0" w:space="0" w:color="auto"/>
                    <w:right w:val="none" w:sz="0" w:space="0" w:color="auto"/>
                  </w:divBdr>
                  <w:divsChild>
                    <w:div w:id="504366543">
                      <w:marLeft w:val="0"/>
                      <w:marRight w:val="0"/>
                      <w:marTop w:val="0"/>
                      <w:marBottom w:val="0"/>
                      <w:divBdr>
                        <w:top w:val="none" w:sz="0" w:space="0" w:color="auto"/>
                        <w:left w:val="none" w:sz="0" w:space="0" w:color="auto"/>
                        <w:bottom w:val="none" w:sz="0" w:space="0" w:color="auto"/>
                        <w:right w:val="none" w:sz="0" w:space="0" w:color="auto"/>
                      </w:divBdr>
                      <w:divsChild>
                        <w:div w:id="1025442346">
                          <w:marLeft w:val="0"/>
                          <w:marRight w:val="0"/>
                          <w:marTop w:val="0"/>
                          <w:marBottom w:val="0"/>
                          <w:divBdr>
                            <w:top w:val="none" w:sz="0" w:space="0" w:color="auto"/>
                            <w:left w:val="none" w:sz="0" w:space="0" w:color="auto"/>
                            <w:bottom w:val="none" w:sz="0" w:space="0" w:color="auto"/>
                            <w:right w:val="none" w:sz="0" w:space="0" w:color="auto"/>
                          </w:divBdr>
                          <w:divsChild>
                            <w:div w:id="1942177485">
                              <w:marLeft w:val="0"/>
                              <w:marRight w:val="0"/>
                              <w:marTop w:val="15"/>
                              <w:marBottom w:val="0"/>
                              <w:divBdr>
                                <w:top w:val="none" w:sz="0" w:space="0" w:color="auto"/>
                                <w:left w:val="none" w:sz="0" w:space="0" w:color="auto"/>
                                <w:bottom w:val="none" w:sz="0" w:space="0" w:color="auto"/>
                                <w:right w:val="none" w:sz="0" w:space="0" w:color="auto"/>
                              </w:divBdr>
                              <w:divsChild>
                                <w:div w:id="56834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440633">
          <w:marLeft w:val="0"/>
          <w:marRight w:val="0"/>
          <w:marTop w:val="0"/>
          <w:marBottom w:val="0"/>
          <w:divBdr>
            <w:top w:val="none" w:sz="0" w:space="0" w:color="auto"/>
            <w:left w:val="none" w:sz="0" w:space="0" w:color="auto"/>
            <w:bottom w:val="none" w:sz="0" w:space="0" w:color="auto"/>
            <w:right w:val="none" w:sz="0" w:space="0" w:color="auto"/>
          </w:divBdr>
          <w:divsChild>
            <w:div w:id="587154206">
              <w:marLeft w:val="0"/>
              <w:marRight w:val="0"/>
              <w:marTop w:val="0"/>
              <w:marBottom w:val="0"/>
              <w:divBdr>
                <w:top w:val="single" w:sz="18" w:space="0" w:color="DCDCDC"/>
                <w:left w:val="none" w:sz="0" w:space="0" w:color="auto"/>
                <w:bottom w:val="none" w:sz="0" w:space="0" w:color="auto"/>
                <w:right w:val="none" w:sz="0" w:space="0" w:color="auto"/>
              </w:divBdr>
              <w:divsChild>
                <w:div w:id="633104901">
                  <w:marLeft w:val="0"/>
                  <w:marRight w:val="0"/>
                  <w:marTop w:val="0"/>
                  <w:marBottom w:val="0"/>
                  <w:divBdr>
                    <w:top w:val="single" w:sz="6" w:space="6" w:color="FFFFFF"/>
                    <w:left w:val="none" w:sz="0" w:space="0" w:color="auto"/>
                    <w:bottom w:val="single" w:sz="6" w:space="6" w:color="DCDCDC"/>
                    <w:right w:val="none" w:sz="0" w:space="0" w:color="auto"/>
                  </w:divBdr>
                </w:div>
                <w:div w:id="2096901120">
                  <w:marLeft w:val="0"/>
                  <w:marRight w:val="0"/>
                  <w:marTop w:val="0"/>
                  <w:marBottom w:val="0"/>
                  <w:divBdr>
                    <w:top w:val="none" w:sz="0" w:space="0" w:color="auto"/>
                    <w:left w:val="none" w:sz="0" w:space="0" w:color="auto"/>
                    <w:bottom w:val="none" w:sz="0" w:space="0" w:color="auto"/>
                    <w:right w:val="none" w:sz="0" w:space="0" w:color="auto"/>
                  </w:divBdr>
                  <w:divsChild>
                    <w:div w:id="1069617053">
                      <w:marLeft w:val="0"/>
                      <w:marRight w:val="0"/>
                      <w:marTop w:val="0"/>
                      <w:marBottom w:val="0"/>
                      <w:divBdr>
                        <w:top w:val="none" w:sz="0" w:space="0" w:color="auto"/>
                        <w:left w:val="none" w:sz="0" w:space="0" w:color="auto"/>
                        <w:bottom w:val="none" w:sz="0" w:space="0" w:color="auto"/>
                        <w:right w:val="none" w:sz="0" w:space="0" w:color="auto"/>
                      </w:divBdr>
                      <w:divsChild>
                        <w:div w:id="72044243">
                          <w:marLeft w:val="0"/>
                          <w:marRight w:val="0"/>
                          <w:marTop w:val="0"/>
                          <w:marBottom w:val="0"/>
                          <w:divBdr>
                            <w:top w:val="none" w:sz="0" w:space="0" w:color="auto"/>
                            <w:left w:val="none" w:sz="0" w:space="0" w:color="auto"/>
                            <w:bottom w:val="none" w:sz="0" w:space="0" w:color="auto"/>
                            <w:right w:val="none" w:sz="0" w:space="0" w:color="auto"/>
                          </w:divBdr>
                          <w:divsChild>
                            <w:div w:id="389305077">
                              <w:marLeft w:val="0"/>
                              <w:marRight w:val="0"/>
                              <w:marTop w:val="0"/>
                              <w:marBottom w:val="0"/>
                              <w:divBdr>
                                <w:top w:val="none" w:sz="0" w:space="0" w:color="auto"/>
                                <w:left w:val="none" w:sz="0" w:space="0" w:color="auto"/>
                                <w:bottom w:val="none" w:sz="0" w:space="0" w:color="auto"/>
                                <w:right w:val="none" w:sz="0" w:space="0" w:color="auto"/>
                              </w:divBdr>
                            </w:div>
                            <w:div w:id="497768281">
                              <w:marLeft w:val="0"/>
                              <w:marRight w:val="0"/>
                              <w:marTop w:val="0"/>
                              <w:marBottom w:val="0"/>
                              <w:divBdr>
                                <w:top w:val="none" w:sz="0" w:space="0" w:color="auto"/>
                                <w:left w:val="none" w:sz="0" w:space="0" w:color="auto"/>
                                <w:bottom w:val="none" w:sz="0" w:space="0" w:color="auto"/>
                                <w:right w:val="none" w:sz="0" w:space="0" w:color="auto"/>
                              </w:divBdr>
                            </w:div>
                            <w:div w:id="790392473">
                              <w:marLeft w:val="0"/>
                              <w:marRight w:val="0"/>
                              <w:marTop w:val="0"/>
                              <w:marBottom w:val="0"/>
                              <w:divBdr>
                                <w:top w:val="none" w:sz="0" w:space="0" w:color="auto"/>
                                <w:left w:val="none" w:sz="0" w:space="0" w:color="auto"/>
                                <w:bottom w:val="none" w:sz="0" w:space="0" w:color="auto"/>
                                <w:right w:val="none" w:sz="0" w:space="0" w:color="auto"/>
                              </w:divBdr>
                            </w:div>
                            <w:div w:id="1845893443">
                              <w:marLeft w:val="0"/>
                              <w:marRight w:val="0"/>
                              <w:marTop w:val="0"/>
                              <w:marBottom w:val="0"/>
                              <w:divBdr>
                                <w:top w:val="none" w:sz="0" w:space="0" w:color="auto"/>
                                <w:left w:val="none" w:sz="0" w:space="0" w:color="auto"/>
                                <w:bottom w:val="none" w:sz="0" w:space="0" w:color="auto"/>
                                <w:right w:val="none" w:sz="0" w:space="0" w:color="auto"/>
                              </w:divBdr>
                            </w:div>
                            <w:div w:id="1958681284">
                              <w:marLeft w:val="0"/>
                              <w:marRight w:val="0"/>
                              <w:marTop w:val="0"/>
                              <w:marBottom w:val="0"/>
                              <w:divBdr>
                                <w:top w:val="none" w:sz="0" w:space="0" w:color="auto"/>
                                <w:left w:val="none" w:sz="0" w:space="0" w:color="auto"/>
                                <w:bottom w:val="none" w:sz="0" w:space="0" w:color="auto"/>
                                <w:right w:val="none" w:sz="0" w:space="0" w:color="auto"/>
                              </w:divBdr>
                            </w:div>
                          </w:divsChild>
                        </w:div>
                        <w:div w:id="561209309">
                          <w:marLeft w:val="0"/>
                          <w:marRight w:val="0"/>
                          <w:marTop w:val="0"/>
                          <w:marBottom w:val="0"/>
                          <w:divBdr>
                            <w:top w:val="none" w:sz="0" w:space="0" w:color="auto"/>
                            <w:left w:val="none" w:sz="0" w:space="0" w:color="auto"/>
                            <w:bottom w:val="none" w:sz="0" w:space="0" w:color="auto"/>
                            <w:right w:val="none" w:sz="0" w:space="0" w:color="auto"/>
                          </w:divBdr>
                          <w:divsChild>
                            <w:div w:id="44986644">
                              <w:marLeft w:val="0"/>
                              <w:marRight w:val="0"/>
                              <w:marTop w:val="0"/>
                              <w:marBottom w:val="0"/>
                              <w:divBdr>
                                <w:top w:val="none" w:sz="0" w:space="0" w:color="auto"/>
                                <w:left w:val="none" w:sz="0" w:space="0" w:color="auto"/>
                                <w:bottom w:val="none" w:sz="0" w:space="0" w:color="auto"/>
                                <w:right w:val="none" w:sz="0" w:space="0" w:color="auto"/>
                              </w:divBdr>
                            </w:div>
                            <w:div w:id="697967827">
                              <w:marLeft w:val="0"/>
                              <w:marRight w:val="0"/>
                              <w:marTop w:val="0"/>
                              <w:marBottom w:val="0"/>
                              <w:divBdr>
                                <w:top w:val="none" w:sz="0" w:space="0" w:color="auto"/>
                                <w:left w:val="none" w:sz="0" w:space="0" w:color="auto"/>
                                <w:bottom w:val="none" w:sz="0" w:space="0" w:color="auto"/>
                                <w:right w:val="none" w:sz="0" w:space="0" w:color="auto"/>
                              </w:divBdr>
                            </w:div>
                            <w:div w:id="894122699">
                              <w:marLeft w:val="0"/>
                              <w:marRight w:val="0"/>
                              <w:marTop w:val="0"/>
                              <w:marBottom w:val="0"/>
                              <w:divBdr>
                                <w:top w:val="none" w:sz="0" w:space="0" w:color="auto"/>
                                <w:left w:val="none" w:sz="0" w:space="0" w:color="auto"/>
                                <w:bottom w:val="none" w:sz="0" w:space="0" w:color="auto"/>
                                <w:right w:val="none" w:sz="0" w:space="0" w:color="auto"/>
                              </w:divBdr>
                            </w:div>
                          </w:divsChild>
                        </w:div>
                        <w:div w:id="762385280">
                          <w:marLeft w:val="0"/>
                          <w:marRight w:val="0"/>
                          <w:marTop w:val="0"/>
                          <w:marBottom w:val="0"/>
                          <w:divBdr>
                            <w:top w:val="none" w:sz="0" w:space="0" w:color="auto"/>
                            <w:left w:val="none" w:sz="0" w:space="0" w:color="auto"/>
                            <w:bottom w:val="none" w:sz="0" w:space="0" w:color="auto"/>
                            <w:right w:val="none" w:sz="0" w:space="0" w:color="auto"/>
                          </w:divBdr>
                          <w:divsChild>
                            <w:div w:id="768963388">
                              <w:marLeft w:val="0"/>
                              <w:marRight w:val="0"/>
                              <w:marTop w:val="0"/>
                              <w:marBottom w:val="0"/>
                              <w:divBdr>
                                <w:top w:val="none" w:sz="0" w:space="0" w:color="auto"/>
                                <w:left w:val="none" w:sz="0" w:space="0" w:color="auto"/>
                                <w:bottom w:val="none" w:sz="0" w:space="0" w:color="auto"/>
                                <w:right w:val="none" w:sz="0" w:space="0" w:color="auto"/>
                              </w:divBdr>
                            </w:div>
                            <w:div w:id="1821385905">
                              <w:marLeft w:val="0"/>
                              <w:marRight w:val="0"/>
                              <w:marTop w:val="0"/>
                              <w:marBottom w:val="0"/>
                              <w:divBdr>
                                <w:top w:val="none" w:sz="0" w:space="0" w:color="auto"/>
                                <w:left w:val="none" w:sz="0" w:space="0" w:color="auto"/>
                                <w:bottom w:val="none" w:sz="0" w:space="0" w:color="auto"/>
                                <w:right w:val="none" w:sz="0" w:space="0" w:color="auto"/>
                              </w:divBdr>
                            </w:div>
                          </w:divsChild>
                        </w:div>
                        <w:div w:id="765343055">
                          <w:marLeft w:val="0"/>
                          <w:marRight w:val="0"/>
                          <w:marTop w:val="0"/>
                          <w:marBottom w:val="0"/>
                          <w:divBdr>
                            <w:top w:val="none" w:sz="0" w:space="0" w:color="auto"/>
                            <w:left w:val="none" w:sz="0" w:space="0" w:color="auto"/>
                            <w:bottom w:val="none" w:sz="0" w:space="0" w:color="auto"/>
                            <w:right w:val="none" w:sz="0" w:space="0" w:color="auto"/>
                          </w:divBdr>
                          <w:divsChild>
                            <w:div w:id="1445690294">
                              <w:marLeft w:val="0"/>
                              <w:marRight w:val="0"/>
                              <w:marTop w:val="0"/>
                              <w:marBottom w:val="0"/>
                              <w:divBdr>
                                <w:top w:val="none" w:sz="0" w:space="0" w:color="auto"/>
                                <w:left w:val="none" w:sz="0" w:space="0" w:color="auto"/>
                                <w:bottom w:val="none" w:sz="0" w:space="0" w:color="auto"/>
                                <w:right w:val="none" w:sz="0" w:space="0" w:color="auto"/>
                              </w:divBdr>
                            </w:div>
                          </w:divsChild>
                        </w:div>
                        <w:div w:id="1126194294">
                          <w:marLeft w:val="0"/>
                          <w:marRight w:val="0"/>
                          <w:marTop w:val="0"/>
                          <w:marBottom w:val="0"/>
                          <w:divBdr>
                            <w:top w:val="none" w:sz="0" w:space="0" w:color="auto"/>
                            <w:left w:val="none" w:sz="0" w:space="0" w:color="auto"/>
                            <w:bottom w:val="none" w:sz="0" w:space="0" w:color="auto"/>
                            <w:right w:val="none" w:sz="0" w:space="0" w:color="auto"/>
                          </w:divBdr>
                          <w:divsChild>
                            <w:div w:id="895822876">
                              <w:marLeft w:val="0"/>
                              <w:marRight w:val="0"/>
                              <w:marTop w:val="0"/>
                              <w:marBottom w:val="0"/>
                              <w:divBdr>
                                <w:top w:val="none" w:sz="0" w:space="0" w:color="auto"/>
                                <w:left w:val="none" w:sz="0" w:space="0" w:color="auto"/>
                                <w:bottom w:val="none" w:sz="0" w:space="0" w:color="auto"/>
                                <w:right w:val="none" w:sz="0" w:space="0" w:color="auto"/>
                              </w:divBdr>
                            </w:div>
                          </w:divsChild>
                        </w:div>
                        <w:div w:id="1467090179">
                          <w:marLeft w:val="0"/>
                          <w:marRight w:val="0"/>
                          <w:marTop w:val="0"/>
                          <w:marBottom w:val="0"/>
                          <w:divBdr>
                            <w:top w:val="none" w:sz="0" w:space="0" w:color="auto"/>
                            <w:left w:val="none" w:sz="0" w:space="0" w:color="auto"/>
                            <w:bottom w:val="none" w:sz="0" w:space="0" w:color="auto"/>
                            <w:right w:val="none" w:sz="0" w:space="0" w:color="auto"/>
                          </w:divBdr>
                          <w:divsChild>
                            <w:div w:id="1368990478">
                              <w:marLeft w:val="0"/>
                              <w:marRight w:val="0"/>
                              <w:marTop w:val="0"/>
                              <w:marBottom w:val="0"/>
                              <w:divBdr>
                                <w:top w:val="none" w:sz="0" w:space="0" w:color="auto"/>
                                <w:left w:val="none" w:sz="0" w:space="0" w:color="auto"/>
                                <w:bottom w:val="none" w:sz="0" w:space="0" w:color="auto"/>
                                <w:right w:val="none" w:sz="0" w:space="0" w:color="auto"/>
                              </w:divBdr>
                            </w:div>
                          </w:divsChild>
                        </w:div>
                        <w:div w:id="1787389600">
                          <w:marLeft w:val="0"/>
                          <w:marRight w:val="0"/>
                          <w:marTop w:val="0"/>
                          <w:marBottom w:val="0"/>
                          <w:divBdr>
                            <w:top w:val="none" w:sz="0" w:space="0" w:color="auto"/>
                            <w:left w:val="none" w:sz="0" w:space="0" w:color="auto"/>
                            <w:bottom w:val="none" w:sz="0" w:space="0" w:color="auto"/>
                            <w:right w:val="none" w:sz="0" w:space="0" w:color="auto"/>
                          </w:divBdr>
                          <w:divsChild>
                            <w:div w:id="813448459">
                              <w:marLeft w:val="0"/>
                              <w:marRight w:val="0"/>
                              <w:marTop w:val="0"/>
                              <w:marBottom w:val="0"/>
                              <w:divBdr>
                                <w:top w:val="none" w:sz="0" w:space="0" w:color="auto"/>
                                <w:left w:val="none" w:sz="0" w:space="0" w:color="auto"/>
                                <w:bottom w:val="none" w:sz="0" w:space="0" w:color="auto"/>
                                <w:right w:val="none" w:sz="0" w:space="0" w:color="auto"/>
                              </w:divBdr>
                            </w:div>
                          </w:divsChild>
                        </w:div>
                        <w:div w:id="2035571179">
                          <w:marLeft w:val="0"/>
                          <w:marRight w:val="0"/>
                          <w:marTop w:val="0"/>
                          <w:marBottom w:val="0"/>
                          <w:divBdr>
                            <w:top w:val="none" w:sz="0" w:space="0" w:color="auto"/>
                            <w:left w:val="single" w:sz="6" w:space="11" w:color="DCDCDC"/>
                            <w:bottom w:val="none" w:sz="0" w:space="0" w:color="auto"/>
                            <w:right w:val="none" w:sz="0" w:space="0" w:color="auto"/>
                          </w:divBdr>
                          <w:divsChild>
                            <w:div w:id="863397134">
                              <w:marLeft w:val="0"/>
                              <w:marRight w:val="0"/>
                              <w:marTop w:val="0"/>
                              <w:marBottom w:val="0"/>
                              <w:divBdr>
                                <w:top w:val="none" w:sz="0" w:space="0" w:color="auto"/>
                                <w:left w:val="none" w:sz="0" w:space="0" w:color="auto"/>
                                <w:bottom w:val="none" w:sz="0" w:space="0" w:color="auto"/>
                                <w:right w:val="none" w:sz="0" w:space="0" w:color="auto"/>
                              </w:divBdr>
                            </w:div>
                            <w:div w:id="1474181384">
                              <w:marLeft w:val="0"/>
                              <w:marRight w:val="0"/>
                              <w:marTop w:val="0"/>
                              <w:marBottom w:val="0"/>
                              <w:divBdr>
                                <w:top w:val="none" w:sz="0" w:space="0" w:color="auto"/>
                                <w:left w:val="none" w:sz="0" w:space="0" w:color="auto"/>
                                <w:bottom w:val="none" w:sz="0" w:space="0" w:color="auto"/>
                                <w:right w:val="none" w:sz="0" w:space="0" w:color="auto"/>
                              </w:divBdr>
                            </w:div>
                            <w:div w:id="1533767443">
                              <w:marLeft w:val="0"/>
                              <w:marRight w:val="0"/>
                              <w:marTop w:val="0"/>
                              <w:marBottom w:val="0"/>
                              <w:divBdr>
                                <w:top w:val="none" w:sz="0" w:space="0" w:color="auto"/>
                                <w:left w:val="none" w:sz="0" w:space="0" w:color="auto"/>
                                <w:bottom w:val="none" w:sz="0" w:space="0" w:color="auto"/>
                                <w:right w:val="none" w:sz="0" w:space="0" w:color="auto"/>
                              </w:divBdr>
                            </w:div>
                            <w:div w:id="1754928816">
                              <w:marLeft w:val="0"/>
                              <w:marRight w:val="0"/>
                              <w:marTop w:val="0"/>
                              <w:marBottom w:val="0"/>
                              <w:divBdr>
                                <w:top w:val="none" w:sz="0" w:space="0" w:color="auto"/>
                                <w:left w:val="none" w:sz="0" w:space="0" w:color="auto"/>
                                <w:bottom w:val="none" w:sz="0" w:space="0" w:color="auto"/>
                                <w:right w:val="none" w:sz="0" w:space="0" w:color="auto"/>
                              </w:divBdr>
                            </w:div>
                          </w:divsChild>
                        </w:div>
                        <w:div w:id="2118257111">
                          <w:marLeft w:val="0"/>
                          <w:marRight w:val="0"/>
                          <w:marTop w:val="0"/>
                          <w:marBottom w:val="0"/>
                          <w:divBdr>
                            <w:top w:val="none" w:sz="0" w:space="0" w:color="auto"/>
                            <w:left w:val="none" w:sz="0" w:space="0" w:color="auto"/>
                            <w:bottom w:val="none" w:sz="0" w:space="0" w:color="auto"/>
                            <w:right w:val="none" w:sz="0" w:space="0" w:color="auto"/>
                          </w:divBdr>
                          <w:divsChild>
                            <w:div w:id="1595816427">
                              <w:marLeft w:val="0"/>
                              <w:marRight w:val="0"/>
                              <w:marTop w:val="0"/>
                              <w:marBottom w:val="0"/>
                              <w:divBdr>
                                <w:top w:val="none" w:sz="0" w:space="0" w:color="auto"/>
                                <w:left w:val="none" w:sz="0" w:space="0" w:color="auto"/>
                                <w:bottom w:val="none" w:sz="0" w:space="0" w:color="auto"/>
                                <w:right w:val="none" w:sz="0" w:space="0" w:color="auto"/>
                              </w:divBdr>
                            </w:div>
                          </w:divsChild>
                        </w:div>
                        <w:div w:id="2121947481">
                          <w:marLeft w:val="0"/>
                          <w:marRight w:val="0"/>
                          <w:marTop w:val="0"/>
                          <w:marBottom w:val="0"/>
                          <w:divBdr>
                            <w:top w:val="none" w:sz="0" w:space="0" w:color="auto"/>
                            <w:left w:val="none" w:sz="0" w:space="0" w:color="auto"/>
                            <w:bottom w:val="none" w:sz="0" w:space="0" w:color="auto"/>
                            <w:right w:val="none" w:sz="0" w:space="0" w:color="auto"/>
                          </w:divBdr>
                          <w:divsChild>
                            <w:div w:id="61174659">
                              <w:marLeft w:val="0"/>
                              <w:marRight w:val="0"/>
                              <w:marTop w:val="0"/>
                              <w:marBottom w:val="0"/>
                              <w:divBdr>
                                <w:top w:val="none" w:sz="0" w:space="0" w:color="auto"/>
                                <w:left w:val="none" w:sz="0" w:space="0" w:color="auto"/>
                                <w:bottom w:val="none" w:sz="0" w:space="0" w:color="auto"/>
                                <w:right w:val="none" w:sz="0" w:space="0" w:color="auto"/>
                              </w:divBdr>
                            </w:div>
                            <w:div w:id="197276789">
                              <w:marLeft w:val="0"/>
                              <w:marRight w:val="0"/>
                              <w:marTop w:val="0"/>
                              <w:marBottom w:val="0"/>
                              <w:divBdr>
                                <w:top w:val="none" w:sz="0" w:space="0" w:color="auto"/>
                                <w:left w:val="none" w:sz="0" w:space="0" w:color="auto"/>
                                <w:bottom w:val="none" w:sz="0" w:space="0" w:color="auto"/>
                                <w:right w:val="none" w:sz="0" w:space="0" w:color="auto"/>
                              </w:divBdr>
                            </w:div>
                            <w:div w:id="1087383547">
                              <w:marLeft w:val="0"/>
                              <w:marRight w:val="0"/>
                              <w:marTop w:val="0"/>
                              <w:marBottom w:val="0"/>
                              <w:divBdr>
                                <w:top w:val="none" w:sz="0" w:space="0" w:color="auto"/>
                                <w:left w:val="none" w:sz="0" w:space="0" w:color="auto"/>
                                <w:bottom w:val="none" w:sz="0" w:space="0" w:color="auto"/>
                                <w:right w:val="none" w:sz="0" w:space="0" w:color="auto"/>
                              </w:divBdr>
                            </w:div>
                            <w:div w:id="166227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622582">
              <w:marLeft w:val="0"/>
              <w:marRight w:val="0"/>
              <w:marTop w:val="0"/>
              <w:marBottom w:val="0"/>
              <w:divBdr>
                <w:top w:val="none" w:sz="0" w:space="0" w:color="auto"/>
                <w:left w:val="none" w:sz="0" w:space="0" w:color="auto"/>
                <w:bottom w:val="none" w:sz="0" w:space="0" w:color="auto"/>
                <w:right w:val="none" w:sz="0" w:space="0" w:color="auto"/>
              </w:divBdr>
              <w:divsChild>
                <w:div w:id="4673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55645">
      <w:bodyDiv w:val="1"/>
      <w:marLeft w:val="0"/>
      <w:marRight w:val="0"/>
      <w:marTop w:val="0"/>
      <w:marBottom w:val="0"/>
      <w:divBdr>
        <w:top w:val="none" w:sz="0" w:space="0" w:color="auto"/>
        <w:left w:val="none" w:sz="0" w:space="0" w:color="auto"/>
        <w:bottom w:val="none" w:sz="0" w:space="0" w:color="auto"/>
        <w:right w:val="none" w:sz="0" w:space="0" w:color="auto"/>
      </w:divBdr>
      <w:divsChild>
        <w:div w:id="1147866039">
          <w:marLeft w:val="0"/>
          <w:marRight w:val="0"/>
          <w:marTop w:val="0"/>
          <w:marBottom w:val="300"/>
          <w:divBdr>
            <w:top w:val="none" w:sz="0" w:space="0" w:color="auto"/>
            <w:left w:val="none" w:sz="0" w:space="0" w:color="auto"/>
            <w:bottom w:val="none" w:sz="0" w:space="0" w:color="auto"/>
            <w:right w:val="none" w:sz="0" w:space="0" w:color="auto"/>
          </w:divBdr>
          <w:divsChild>
            <w:div w:id="10381888">
              <w:marLeft w:val="0"/>
              <w:marRight w:val="0"/>
              <w:marTop w:val="0"/>
              <w:marBottom w:val="0"/>
              <w:divBdr>
                <w:top w:val="none" w:sz="0" w:space="0" w:color="auto"/>
                <w:left w:val="none" w:sz="0" w:space="0" w:color="auto"/>
                <w:bottom w:val="none" w:sz="0" w:space="0" w:color="auto"/>
                <w:right w:val="none" w:sz="0" w:space="0" w:color="auto"/>
              </w:divBdr>
              <w:divsChild>
                <w:div w:id="1548297158">
                  <w:marLeft w:val="0"/>
                  <w:marRight w:val="0"/>
                  <w:marTop w:val="0"/>
                  <w:marBottom w:val="0"/>
                  <w:divBdr>
                    <w:top w:val="none" w:sz="0" w:space="0" w:color="auto"/>
                    <w:left w:val="none" w:sz="0" w:space="0" w:color="auto"/>
                    <w:bottom w:val="none" w:sz="0" w:space="0" w:color="auto"/>
                    <w:right w:val="none" w:sz="0" w:space="0" w:color="auto"/>
                  </w:divBdr>
                  <w:divsChild>
                    <w:div w:id="82186847">
                      <w:marLeft w:val="0"/>
                      <w:marRight w:val="0"/>
                      <w:marTop w:val="0"/>
                      <w:marBottom w:val="225"/>
                      <w:divBdr>
                        <w:top w:val="none" w:sz="0" w:space="0" w:color="2D2D2D"/>
                        <w:left w:val="none" w:sz="0" w:space="0" w:color="2D2D2D"/>
                        <w:bottom w:val="none" w:sz="0" w:space="0" w:color="2D2D2D"/>
                        <w:right w:val="none" w:sz="0" w:space="0" w:color="2D2D2D"/>
                      </w:divBdr>
                      <w:divsChild>
                        <w:div w:id="1020669892">
                          <w:marLeft w:val="0"/>
                          <w:marRight w:val="0"/>
                          <w:marTop w:val="120"/>
                          <w:marBottom w:val="150"/>
                          <w:divBdr>
                            <w:top w:val="none" w:sz="0" w:space="0" w:color="auto"/>
                            <w:left w:val="none" w:sz="0" w:space="0" w:color="auto"/>
                            <w:bottom w:val="none" w:sz="0" w:space="0" w:color="auto"/>
                            <w:right w:val="none" w:sz="0" w:space="0" w:color="auto"/>
                          </w:divBdr>
                          <w:divsChild>
                            <w:div w:id="37731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42647">
      <w:bodyDiv w:val="1"/>
      <w:marLeft w:val="0"/>
      <w:marRight w:val="0"/>
      <w:marTop w:val="0"/>
      <w:marBottom w:val="0"/>
      <w:divBdr>
        <w:top w:val="none" w:sz="0" w:space="0" w:color="auto"/>
        <w:left w:val="none" w:sz="0" w:space="0" w:color="auto"/>
        <w:bottom w:val="none" w:sz="0" w:space="0" w:color="auto"/>
        <w:right w:val="none" w:sz="0" w:space="0" w:color="auto"/>
      </w:divBdr>
      <w:divsChild>
        <w:div w:id="1684016429">
          <w:marLeft w:val="0"/>
          <w:marRight w:val="0"/>
          <w:marTop w:val="0"/>
          <w:marBottom w:val="300"/>
          <w:divBdr>
            <w:top w:val="none" w:sz="0" w:space="0" w:color="auto"/>
            <w:left w:val="none" w:sz="0" w:space="0" w:color="auto"/>
            <w:bottom w:val="none" w:sz="0" w:space="0" w:color="auto"/>
            <w:right w:val="none" w:sz="0" w:space="0" w:color="auto"/>
          </w:divBdr>
          <w:divsChild>
            <w:div w:id="1387487625">
              <w:marLeft w:val="0"/>
              <w:marRight w:val="0"/>
              <w:marTop w:val="0"/>
              <w:marBottom w:val="0"/>
              <w:divBdr>
                <w:top w:val="none" w:sz="0" w:space="0" w:color="auto"/>
                <w:left w:val="none" w:sz="0" w:space="0" w:color="auto"/>
                <w:bottom w:val="none" w:sz="0" w:space="0" w:color="auto"/>
                <w:right w:val="none" w:sz="0" w:space="0" w:color="auto"/>
              </w:divBdr>
              <w:divsChild>
                <w:div w:id="516889143">
                  <w:marLeft w:val="0"/>
                  <w:marRight w:val="0"/>
                  <w:marTop w:val="0"/>
                  <w:marBottom w:val="0"/>
                  <w:divBdr>
                    <w:top w:val="none" w:sz="0" w:space="0" w:color="auto"/>
                    <w:left w:val="none" w:sz="0" w:space="0" w:color="auto"/>
                    <w:bottom w:val="none" w:sz="0" w:space="0" w:color="auto"/>
                    <w:right w:val="none" w:sz="0" w:space="0" w:color="auto"/>
                  </w:divBdr>
                  <w:divsChild>
                    <w:div w:id="1275551998">
                      <w:marLeft w:val="0"/>
                      <w:marRight w:val="0"/>
                      <w:marTop w:val="0"/>
                      <w:marBottom w:val="225"/>
                      <w:divBdr>
                        <w:top w:val="none" w:sz="0" w:space="0" w:color="2D2D2D"/>
                        <w:left w:val="none" w:sz="0" w:space="0" w:color="2D2D2D"/>
                        <w:bottom w:val="none" w:sz="0" w:space="0" w:color="2D2D2D"/>
                        <w:right w:val="none" w:sz="0" w:space="0" w:color="2D2D2D"/>
                      </w:divBdr>
                      <w:divsChild>
                        <w:div w:id="169225087">
                          <w:marLeft w:val="0"/>
                          <w:marRight w:val="0"/>
                          <w:marTop w:val="120"/>
                          <w:marBottom w:val="150"/>
                          <w:divBdr>
                            <w:top w:val="none" w:sz="0" w:space="0" w:color="auto"/>
                            <w:left w:val="none" w:sz="0" w:space="0" w:color="auto"/>
                            <w:bottom w:val="none" w:sz="0" w:space="0" w:color="auto"/>
                            <w:right w:val="none" w:sz="0" w:space="0" w:color="auto"/>
                          </w:divBdr>
                          <w:divsChild>
                            <w:div w:id="25356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313335">
      <w:bodyDiv w:val="1"/>
      <w:marLeft w:val="0"/>
      <w:marRight w:val="0"/>
      <w:marTop w:val="0"/>
      <w:marBottom w:val="0"/>
      <w:divBdr>
        <w:top w:val="none" w:sz="0" w:space="0" w:color="auto"/>
        <w:left w:val="none" w:sz="0" w:space="0" w:color="auto"/>
        <w:bottom w:val="none" w:sz="0" w:space="0" w:color="auto"/>
        <w:right w:val="none" w:sz="0" w:space="0" w:color="auto"/>
      </w:divBdr>
    </w:div>
    <w:div w:id="107747327">
      <w:bodyDiv w:val="1"/>
      <w:marLeft w:val="0"/>
      <w:marRight w:val="0"/>
      <w:marTop w:val="0"/>
      <w:marBottom w:val="0"/>
      <w:divBdr>
        <w:top w:val="none" w:sz="0" w:space="0" w:color="auto"/>
        <w:left w:val="none" w:sz="0" w:space="0" w:color="auto"/>
        <w:bottom w:val="none" w:sz="0" w:space="0" w:color="auto"/>
        <w:right w:val="none" w:sz="0" w:space="0" w:color="auto"/>
      </w:divBdr>
      <w:divsChild>
        <w:div w:id="1289237084">
          <w:marLeft w:val="0"/>
          <w:marRight w:val="0"/>
          <w:marTop w:val="0"/>
          <w:marBottom w:val="0"/>
          <w:divBdr>
            <w:top w:val="none" w:sz="0" w:space="0" w:color="auto"/>
            <w:left w:val="none" w:sz="0" w:space="0" w:color="auto"/>
            <w:bottom w:val="none" w:sz="0" w:space="0" w:color="auto"/>
            <w:right w:val="none" w:sz="0" w:space="0" w:color="auto"/>
          </w:divBdr>
        </w:div>
      </w:divsChild>
    </w:div>
    <w:div w:id="108165099">
      <w:bodyDiv w:val="1"/>
      <w:marLeft w:val="0"/>
      <w:marRight w:val="0"/>
      <w:marTop w:val="0"/>
      <w:marBottom w:val="0"/>
      <w:divBdr>
        <w:top w:val="none" w:sz="0" w:space="0" w:color="auto"/>
        <w:left w:val="none" w:sz="0" w:space="0" w:color="auto"/>
        <w:bottom w:val="none" w:sz="0" w:space="0" w:color="auto"/>
        <w:right w:val="none" w:sz="0" w:space="0" w:color="auto"/>
      </w:divBdr>
      <w:divsChild>
        <w:div w:id="469178967">
          <w:marLeft w:val="0"/>
          <w:marRight w:val="0"/>
          <w:marTop w:val="0"/>
          <w:marBottom w:val="0"/>
          <w:divBdr>
            <w:top w:val="none" w:sz="0" w:space="0" w:color="auto"/>
            <w:left w:val="none" w:sz="0" w:space="0" w:color="auto"/>
            <w:bottom w:val="dotted" w:sz="6" w:space="4" w:color="DDDDDD"/>
            <w:right w:val="none" w:sz="0" w:space="0" w:color="auto"/>
          </w:divBdr>
          <w:divsChild>
            <w:div w:id="113144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61361">
      <w:bodyDiv w:val="1"/>
      <w:marLeft w:val="0"/>
      <w:marRight w:val="0"/>
      <w:marTop w:val="0"/>
      <w:marBottom w:val="0"/>
      <w:divBdr>
        <w:top w:val="none" w:sz="0" w:space="0" w:color="auto"/>
        <w:left w:val="none" w:sz="0" w:space="0" w:color="auto"/>
        <w:bottom w:val="none" w:sz="0" w:space="0" w:color="auto"/>
        <w:right w:val="none" w:sz="0" w:space="0" w:color="auto"/>
      </w:divBdr>
      <w:divsChild>
        <w:div w:id="371536986">
          <w:marLeft w:val="0"/>
          <w:marRight w:val="0"/>
          <w:marTop w:val="0"/>
          <w:marBottom w:val="180"/>
          <w:divBdr>
            <w:top w:val="none" w:sz="0" w:space="0" w:color="auto"/>
            <w:left w:val="none" w:sz="0" w:space="0" w:color="auto"/>
            <w:bottom w:val="none" w:sz="0" w:space="0" w:color="auto"/>
            <w:right w:val="none" w:sz="0" w:space="0" w:color="auto"/>
          </w:divBdr>
        </w:div>
      </w:divsChild>
    </w:div>
    <w:div w:id="108548176">
      <w:bodyDiv w:val="1"/>
      <w:marLeft w:val="0"/>
      <w:marRight w:val="0"/>
      <w:marTop w:val="0"/>
      <w:marBottom w:val="0"/>
      <w:divBdr>
        <w:top w:val="none" w:sz="0" w:space="0" w:color="auto"/>
        <w:left w:val="none" w:sz="0" w:space="0" w:color="auto"/>
        <w:bottom w:val="none" w:sz="0" w:space="0" w:color="auto"/>
        <w:right w:val="none" w:sz="0" w:space="0" w:color="auto"/>
      </w:divBdr>
    </w:div>
    <w:div w:id="108865125">
      <w:bodyDiv w:val="1"/>
      <w:marLeft w:val="0"/>
      <w:marRight w:val="0"/>
      <w:marTop w:val="0"/>
      <w:marBottom w:val="0"/>
      <w:divBdr>
        <w:top w:val="none" w:sz="0" w:space="0" w:color="auto"/>
        <w:left w:val="none" w:sz="0" w:space="0" w:color="auto"/>
        <w:bottom w:val="none" w:sz="0" w:space="0" w:color="auto"/>
        <w:right w:val="none" w:sz="0" w:space="0" w:color="auto"/>
      </w:divBdr>
    </w:div>
    <w:div w:id="108866611">
      <w:bodyDiv w:val="1"/>
      <w:marLeft w:val="0"/>
      <w:marRight w:val="0"/>
      <w:marTop w:val="0"/>
      <w:marBottom w:val="0"/>
      <w:divBdr>
        <w:top w:val="none" w:sz="0" w:space="0" w:color="auto"/>
        <w:left w:val="none" w:sz="0" w:space="0" w:color="auto"/>
        <w:bottom w:val="none" w:sz="0" w:space="0" w:color="auto"/>
        <w:right w:val="none" w:sz="0" w:space="0" w:color="auto"/>
      </w:divBdr>
      <w:divsChild>
        <w:div w:id="749735456">
          <w:marLeft w:val="0"/>
          <w:marRight w:val="0"/>
          <w:marTop w:val="0"/>
          <w:marBottom w:val="150"/>
          <w:divBdr>
            <w:top w:val="none" w:sz="0" w:space="0" w:color="auto"/>
            <w:left w:val="none" w:sz="0" w:space="0" w:color="auto"/>
            <w:bottom w:val="none" w:sz="0" w:space="0" w:color="auto"/>
            <w:right w:val="none" w:sz="0" w:space="0" w:color="auto"/>
          </w:divBdr>
          <w:divsChild>
            <w:div w:id="2081440250">
              <w:marLeft w:val="0"/>
              <w:marRight w:val="0"/>
              <w:marTop w:val="0"/>
              <w:marBottom w:val="0"/>
              <w:divBdr>
                <w:top w:val="none" w:sz="0" w:space="0" w:color="auto"/>
                <w:left w:val="none" w:sz="0" w:space="0" w:color="auto"/>
                <w:bottom w:val="none" w:sz="0" w:space="0" w:color="auto"/>
                <w:right w:val="none" w:sz="0" w:space="0" w:color="auto"/>
              </w:divBdr>
              <w:divsChild>
                <w:div w:id="38379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593739">
          <w:marLeft w:val="0"/>
          <w:marRight w:val="0"/>
          <w:marTop w:val="0"/>
          <w:marBottom w:val="0"/>
          <w:divBdr>
            <w:top w:val="none" w:sz="0" w:space="0" w:color="auto"/>
            <w:left w:val="none" w:sz="0" w:space="0" w:color="auto"/>
            <w:bottom w:val="none" w:sz="0" w:space="0" w:color="auto"/>
            <w:right w:val="none" w:sz="0" w:space="0" w:color="auto"/>
          </w:divBdr>
          <w:divsChild>
            <w:div w:id="241066720">
              <w:marLeft w:val="0"/>
              <w:marRight w:val="0"/>
              <w:marTop w:val="225"/>
              <w:marBottom w:val="225"/>
              <w:divBdr>
                <w:top w:val="none" w:sz="0" w:space="0" w:color="auto"/>
                <w:left w:val="none" w:sz="0" w:space="0" w:color="auto"/>
                <w:bottom w:val="none" w:sz="0" w:space="0" w:color="auto"/>
                <w:right w:val="none" w:sz="0" w:space="0" w:color="auto"/>
              </w:divBdr>
            </w:div>
          </w:divsChild>
        </w:div>
        <w:div w:id="1546795547">
          <w:marLeft w:val="0"/>
          <w:marRight w:val="0"/>
          <w:marTop w:val="0"/>
          <w:marBottom w:val="150"/>
          <w:divBdr>
            <w:top w:val="none" w:sz="0" w:space="0" w:color="auto"/>
            <w:left w:val="none" w:sz="0" w:space="0" w:color="auto"/>
            <w:bottom w:val="none" w:sz="0" w:space="0" w:color="auto"/>
            <w:right w:val="none" w:sz="0" w:space="0" w:color="auto"/>
          </w:divBdr>
        </w:div>
      </w:divsChild>
    </w:div>
    <w:div w:id="109130885">
      <w:bodyDiv w:val="1"/>
      <w:marLeft w:val="0"/>
      <w:marRight w:val="0"/>
      <w:marTop w:val="0"/>
      <w:marBottom w:val="0"/>
      <w:divBdr>
        <w:top w:val="none" w:sz="0" w:space="0" w:color="auto"/>
        <w:left w:val="none" w:sz="0" w:space="0" w:color="auto"/>
        <w:bottom w:val="none" w:sz="0" w:space="0" w:color="auto"/>
        <w:right w:val="none" w:sz="0" w:space="0" w:color="auto"/>
      </w:divBdr>
      <w:divsChild>
        <w:div w:id="1491212076">
          <w:marLeft w:val="0"/>
          <w:marRight w:val="0"/>
          <w:marTop w:val="0"/>
          <w:marBottom w:val="0"/>
          <w:divBdr>
            <w:top w:val="none" w:sz="0" w:space="0" w:color="auto"/>
            <w:left w:val="none" w:sz="0" w:space="0" w:color="auto"/>
            <w:bottom w:val="dotted" w:sz="6" w:space="4" w:color="DDDDDD"/>
            <w:right w:val="none" w:sz="0" w:space="0" w:color="auto"/>
          </w:divBdr>
        </w:div>
      </w:divsChild>
    </w:div>
    <w:div w:id="109280797">
      <w:bodyDiv w:val="1"/>
      <w:marLeft w:val="0"/>
      <w:marRight w:val="0"/>
      <w:marTop w:val="0"/>
      <w:marBottom w:val="0"/>
      <w:divBdr>
        <w:top w:val="none" w:sz="0" w:space="0" w:color="auto"/>
        <w:left w:val="none" w:sz="0" w:space="0" w:color="auto"/>
        <w:bottom w:val="none" w:sz="0" w:space="0" w:color="auto"/>
        <w:right w:val="none" w:sz="0" w:space="0" w:color="auto"/>
      </w:divBdr>
      <w:divsChild>
        <w:div w:id="397945886">
          <w:marLeft w:val="0"/>
          <w:marRight w:val="0"/>
          <w:marTop w:val="0"/>
          <w:marBottom w:val="150"/>
          <w:divBdr>
            <w:top w:val="none" w:sz="0" w:space="0" w:color="auto"/>
            <w:left w:val="none" w:sz="0" w:space="0" w:color="auto"/>
            <w:bottom w:val="none" w:sz="0" w:space="0" w:color="auto"/>
            <w:right w:val="none" w:sz="0" w:space="0" w:color="auto"/>
          </w:divBdr>
        </w:div>
      </w:divsChild>
    </w:div>
    <w:div w:id="109711396">
      <w:bodyDiv w:val="1"/>
      <w:marLeft w:val="0"/>
      <w:marRight w:val="0"/>
      <w:marTop w:val="0"/>
      <w:marBottom w:val="0"/>
      <w:divBdr>
        <w:top w:val="none" w:sz="0" w:space="0" w:color="auto"/>
        <w:left w:val="none" w:sz="0" w:space="0" w:color="auto"/>
        <w:bottom w:val="none" w:sz="0" w:space="0" w:color="auto"/>
        <w:right w:val="none" w:sz="0" w:space="0" w:color="auto"/>
      </w:divBdr>
    </w:div>
    <w:div w:id="109790405">
      <w:bodyDiv w:val="1"/>
      <w:marLeft w:val="0"/>
      <w:marRight w:val="0"/>
      <w:marTop w:val="0"/>
      <w:marBottom w:val="0"/>
      <w:divBdr>
        <w:top w:val="none" w:sz="0" w:space="0" w:color="auto"/>
        <w:left w:val="none" w:sz="0" w:space="0" w:color="auto"/>
        <w:bottom w:val="none" w:sz="0" w:space="0" w:color="auto"/>
        <w:right w:val="none" w:sz="0" w:space="0" w:color="auto"/>
      </w:divBdr>
      <w:divsChild>
        <w:div w:id="525827428">
          <w:marLeft w:val="0"/>
          <w:marRight w:val="0"/>
          <w:marTop w:val="0"/>
          <w:marBottom w:val="0"/>
          <w:divBdr>
            <w:top w:val="none" w:sz="0" w:space="0" w:color="auto"/>
            <w:left w:val="none" w:sz="0" w:space="0" w:color="auto"/>
            <w:bottom w:val="none" w:sz="0" w:space="0" w:color="auto"/>
            <w:right w:val="none" w:sz="0" w:space="0" w:color="auto"/>
          </w:divBdr>
        </w:div>
        <w:div w:id="2035956274">
          <w:marLeft w:val="0"/>
          <w:marRight w:val="0"/>
          <w:marTop w:val="0"/>
          <w:marBottom w:val="150"/>
          <w:divBdr>
            <w:top w:val="none" w:sz="0" w:space="0" w:color="auto"/>
            <w:left w:val="none" w:sz="0" w:space="0" w:color="auto"/>
            <w:bottom w:val="none" w:sz="0" w:space="0" w:color="auto"/>
            <w:right w:val="none" w:sz="0" w:space="0" w:color="auto"/>
          </w:divBdr>
        </w:div>
      </w:divsChild>
    </w:div>
    <w:div w:id="110170949">
      <w:bodyDiv w:val="1"/>
      <w:marLeft w:val="0"/>
      <w:marRight w:val="0"/>
      <w:marTop w:val="0"/>
      <w:marBottom w:val="0"/>
      <w:divBdr>
        <w:top w:val="none" w:sz="0" w:space="0" w:color="auto"/>
        <w:left w:val="none" w:sz="0" w:space="0" w:color="auto"/>
        <w:bottom w:val="none" w:sz="0" w:space="0" w:color="auto"/>
        <w:right w:val="none" w:sz="0" w:space="0" w:color="auto"/>
      </w:divBdr>
      <w:divsChild>
        <w:div w:id="1474761603">
          <w:marLeft w:val="0"/>
          <w:marRight w:val="0"/>
          <w:marTop w:val="0"/>
          <w:marBottom w:val="0"/>
          <w:divBdr>
            <w:top w:val="none" w:sz="0" w:space="0" w:color="auto"/>
            <w:left w:val="none" w:sz="0" w:space="0" w:color="auto"/>
            <w:bottom w:val="dotted" w:sz="6" w:space="4" w:color="DDDDDD"/>
            <w:right w:val="none" w:sz="0" w:space="0" w:color="auto"/>
          </w:divBdr>
          <w:divsChild>
            <w:div w:id="40857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0519">
      <w:bodyDiv w:val="1"/>
      <w:marLeft w:val="0"/>
      <w:marRight w:val="0"/>
      <w:marTop w:val="0"/>
      <w:marBottom w:val="0"/>
      <w:divBdr>
        <w:top w:val="none" w:sz="0" w:space="0" w:color="auto"/>
        <w:left w:val="none" w:sz="0" w:space="0" w:color="auto"/>
        <w:bottom w:val="none" w:sz="0" w:space="0" w:color="auto"/>
        <w:right w:val="none" w:sz="0" w:space="0" w:color="auto"/>
      </w:divBdr>
      <w:divsChild>
        <w:div w:id="152764586">
          <w:marLeft w:val="0"/>
          <w:marRight w:val="0"/>
          <w:marTop w:val="0"/>
          <w:marBottom w:val="150"/>
          <w:divBdr>
            <w:top w:val="none" w:sz="0" w:space="0" w:color="auto"/>
            <w:left w:val="none" w:sz="0" w:space="0" w:color="auto"/>
            <w:bottom w:val="none" w:sz="0" w:space="0" w:color="auto"/>
            <w:right w:val="none" w:sz="0" w:space="0" w:color="auto"/>
          </w:divBdr>
        </w:div>
      </w:divsChild>
    </w:div>
    <w:div w:id="111487508">
      <w:bodyDiv w:val="1"/>
      <w:marLeft w:val="0"/>
      <w:marRight w:val="0"/>
      <w:marTop w:val="0"/>
      <w:marBottom w:val="0"/>
      <w:divBdr>
        <w:top w:val="none" w:sz="0" w:space="0" w:color="auto"/>
        <w:left w:val="none" w:sz="0" w:space="0" w:color="auto"/>
        <w:bottom w:val="none" w:sz="0" w:space="0" w:color="auto"/>
        <w:right w:val="none" w:sz="0" w:space="0" w:color="auto"/>
      </w:divBdr>
      <w:divsChild>
        <w:div w:id="748386705">
          <w:marLeft w:val="0"/>
          <w:marRight w:val="0"/>
          <w:marTop w:val="0"/>
          <w:marBottom w:val="225"/>
          <w:divBdr>
            <w:top w:val="none" w:sz="0" w:space="0" w:color="auto"/>
            <w:left w:val="none" w:sz="0" w:space="0" w:color="auto"/>
            <w:bottom w:val="none" w:sz="0" w:space="0" w:color="auto"/>
            <w:right w:val="none" w:sz="0" w:space="0" w:color="auto"/>
          </w:divBdr>
        </w:div>
        <w:div w:id="441337678">
          <w:marLeft w:val="0"/>
          <w:marRight w:val="0"/>
          <w:marTop w:val="0"/>
          <w:marBottom w:val="225"/>
          <w:divBdr>
            <w:top w:val="none" w:sz="0" w:space="0" w:color="auto"/>
            <w:left w:val="none" w:sz="0" w:space="0" w:color="auto"/>
            <w:bottom w:val="none" w:sz="0" w:space="0" w:color="auto"/>
            <w:right w:val="none" w:sz="0" w:space="0" w:color="auto"/>
          </w:divBdr>
          <w:divsChild>
            <w:div w:id="849680793">
              <w:marLeft w:val="0"/>
              <w:marRight w:val="0"/>
              <w:marTop w:val="0"/>
              <w:marBottom w:val="0"/>
              <w:divBdr>
                <w:top w:val="none" w:sz="0" w:space="0" w:color="auto"/>
                <w:left w:val="none" w:sz="0" w:space="0" w:color="auto"/>
                <w:bottom w:val="none" w:sz="0" w:space="0" w:color="auto"/>
                <w:right w:val="none" w:sz="0" w:space="0" w:color="auto"/>
              </w:divBdr>
              <w:divsChild>
                <w:div w:id="128006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29673">
      <w:bodyDiv w:val="1"/>
      <w:marLeft w:val="0"/>
      <w:marRight w:val="0"/>
      <w:marTop w:val="0"/>
      <w:marBottom w:val="0"/>
      <w:divBdr>
        <w:top w:val="none" w:sz="0" w:space="0" w:color="auto"/>
        <w:left w:val="none" w:sz="0" w:space="0" w:color="auto"/>
        <w:bottom w:val="none" w:sz="0" w:space="0" w:color="auto"/>
        <w:right w:val="none" w:sz="0" w:space="0" w:color="auto"/>
      </w:divBdr>
      <w:divsChild>
        <w:div w:id="399989316">
          <w:marLeft w:val="0"/>
          <w:marRight w:val="0"/>
          <w:marTop w:val="0"/>
          <w:marBottom w:val="0"/>
          <w:divBdr>
            <w:top w:val="none" w:sz="0" w:space="0" w:color="auto"/>
            <w:left w:val="none" w:sz="0" w:space="0" w:color="auto"/>
            <w:bottom w:val="none" w:sz="0" w:space="0" w:color="auto"/>
            <w:right w:val="none" w:sz="0" w:space="0" w:color="auto"/>
          </w:divBdr>
          <w:divsChild>
            <w:div w:id="1148519828">
              <w:marLeft w:val="0"/>
              <w:marRight w:val="0"/>
              <w:marTop w:val="0"/>
              <w:marBottom w:val="0"/>
              <w:divBdr>
                <w:top w:val="none" w:sz="0" w:space="0" w:color="auto"/>
                <w:left w:val="none" w:sz="0" w:space="0" w:color="auto"/>
                <w:bottom w:val="none" w:sz="0" w:space="0" w:color="auto"/>
                <w:right w:val="none" w:sz="0" w:space="0" w:color="auto"/>
              </w:divBdr>
              <w:divsChild>
                <w:div w:id="1935937519">
                  <w:marLeft w:val="0"/>
                  <w:marRight w:val="0"/>
                  <w:marTop w:val="0"/>
                  <w:marBottom w:val="0"/>
                  <w:divBdr>
                    <w:top w:val="none" w:sz="0" w:space="0" w:color="auto"/>
                    <w:left w:val="none" w:sz="0" w:space="0" w:color="auto"/>
                    <w:bottom w:val="none" w:sz="0" w:space="0" w:color="auto"/>
                    <w:right w:val="none" w:sz="0" w:space="0" w:color="auto"/>
                  </w:divBdr>
                  <w:divsChild>
                    <w:div w:id="954294662">
                      <w:marLeft w:val="0"/>
                      <w:marRight w:val="0"/>
                      <w:marTop w:val="0"/>
                      <w:marBottom w:val="0"/>
                      <w:divBdr>
                        <w:top w:val="none" w:sz="0" w:space="0" w:color="auto"/>
                        <w:left w:val="none" w:sz="0" w:space="0" w:color="auto"/>
                        <w:bottom w:val="none" w:sz="0" w:space="0" w:color="auto"/>
                        <w:right w:val="none" w:sz="0" w:space="0" w:color="auto"/>
                      </w:divBdr>
                      <w:divsChild>
                        <w:div w:id="82578688">
                          <w:marLeft w:val="0"/>
                          <w:marRight w:val="0"/>
                          <w:marTop w:val="0"/>
                          <w:marBottom w:val="0"/>
                          <w:divBdr>
                            <w:top w:val="none" w:sz="0" w:space="0" w:color="auto"/>
                            <w:left w:val="none" w:sz="0" w:space="0" w:color="auto"/>
                            <w:bottom w:val="none" w:sz="0" w:space="0" w:color="auto"/>
                            <w:right w:val="none" w:sz="0" w:space="0" w:color="auto"/>
                          </w:divBdr>
                          <w:divsChild>
                            <w:div w:id="113986839">
                              <w:marLeft w:val="0"/>
                              <w:marRight w:val="0"/>
                              <w:marTop w:val="0"/>
                              <w:marBottom w:val="0"/>
                              <w:divBdr>
                                <w:top w:val="none" w:sz="0" w:space="0" w:color="auto"/>
                                <w:left w:val="none" w:sz="0" w:space="0" w:color="auto"/>
                                <w:bottom w:val="none" w:sz="0" w:space="0" w:color="auto"/>
                                <w:right w:val="none" w:sz="0" w:space="0" w:color="auto"/>
                              </w:divBdr>
                              <w:divsChild>
                                <w:div w:id="201885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632028">
      <w:bodyDiv w:val="1"/>
      <w:marLeft w:val="0"/>
      <w:marRight w:val="0"/>
      <w:marTop w:val="0"/>
      <w:marBottom w:val="0"/>
      <w:divBdr>
        <w:top w:val="none" w:sz="0" w:space="0" w:color="auto"/>
        <w:left w:val="none" w:sz="0" w:space="0" w:color="auto"/>
        <w:bottom w:val="none" w:sz="0" w:space="0" w:color="auto"/>
        <w:right w:val="none" w:sz="0" w:space="0" w:color="auto"/>
      </w:divBdr>
      <w:divsChild>
        <w:div w:id="655376673">
          <w:marLeft w:val="0"/>
          <w:marRight w:val="0"/>
          <w:marTop w:val="0"/>
          <w:marBottom w:val="150"/>
          <w:divBdr>
            <w:top w:val="none" w:sz="0" w:space="0" w:color="auto"/>
            <w:left w:val="none" w:sz="0" w:space="0" w:color="auto"/>
            <w:bottom w:val="none" w:sz="0" w:space="0" w:color="auto"/>
            <w:right w:val="none" w:sz="0" w:space="0" w:color="auto"/>
          </w:divBdr>
        </w:div>
        <w:div w:id="701713930">
          <w:marLeft w:val="0"/>
          <w:marRight w:val="0"/>
          <w:marTop w:val="0"/>
          <w:marBottom w:val="0"/>
          <w:divBdr>
            <w:top w:val="none" w:sz="0" w:space="0" w:color="auto"/>
            <w:left w:val="none" w:sz="0" w:space="0" w:color="auto"/>
            <w:bottom w:val="none" w:sz="0" w:space="0" w:color="auto"/>
            <w:right w:val="none" w:sz="0" w:space="0" w:color="auto"/>
          </w:divBdr>
          <w:divsChild>
            <w:div w:id="1752849512">
              <w:marLeft w:val="0"/>
              <w:marRight w:val="0"/>
              <w:marTop w:val="225"/>
              <w:marBottom w:val="225"/>
              <w:divBdr>
                <w:top w:val="none" w:sz="0" w:space="0" w:color="auto"/>
                <w:left w:val="none" w:sz="0" w:space="0" w:color="auto"/>
                <w:bottom w:val="none" w:sz="0" w:space="0" w:color="auto"/>
                <w:right w:val="none" w:sz="0" w:space="0" w:color="auto"/>
              </w:divBdr>
            </w:div>
          </w:divsChild>
        </w:div>
        <w:div w:id="1893809958">
          <w:marLeft w:val="0"/>
          <w:marRight w:val="0"/>
          <w:marTop w:val="0"/>
          <w:marBottom w:val="150"/>
          <w:divBdr>
            <w:top w:val="none" w:sz="0" w:space="0" w:color="auto"/>
            <w:left w:val="none" w:sz="0" w:space="0" w:color="auto"/>
            <w:bottom w:val="none" w:sz="0" w:space="0" w:color="auto"/>
            <w:right w:val="none" w:sz="0" w:space="0" w:color="auto"/>
          </w:divBdr>
          <w:divsChild>
            <w:div w:id="2092850239">
              <w:marLeft w:val="0"/>
              <w:marRight w:val="0"/>
              <w:marTop w:val="0"/>
              <w:marBottom w:val="0"/>
              <w:divBdr>
                <w:top w:val="none" w:sz="0" w:space="0" w:color="auto"/>
                <w:left w:val="none" w:sz="0" w:space="0" w:color="auto"/>
                <w:bottom w:val="none" w:sz="0" w:space="0" w:color="auto"/>
                <w:right w:val="none" w:sz="0" w:space="0" w:color="auto"/>
              </w:divBdr>
              <w:divsChild>
                <w:div w:id="20028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23836">
      <w:bodyDiv w:val="1"/>
      <w:marLeft w:val="0"/>
      <w:marRight w:val="0"/>
      <w:marTop w:val="0"/>
      <w:marBottom w:val="0"/>
      <w:divBdr>
        <w:top w:val="none" w:sz="0" w:space="0" w:color="auto"/>
        <w:left w:val="none" w:sz="0" w:space="0" w:color="auto"/>
        <w:bottom w:val="none" w:sz="0" w:space="0" w:color="auto"/>
        <w:right w:val="none" w:sz="0" w:space="0" w:color="auto"/>
      </w:divBdr>
      <w:divsChild>
        <w:div w:id="2048755">
          <w:marLeft w:val="0"/>
          <w:marRight w:val="0"/>
          <w:marTop w:val="0"/>
          <w:marBottom w:val="0"/>
          <w:divBdr>
            <w:top w:val="none" w:sz="0" w:space="0" w:color="auto"/>
            <w:left w:val="none" w:sz="0" w:space="0" w:color="auto"/>
            <w:bottom w:val="none" w:sz="0" w:space="0" w:color="auto"/>
            <w:right w:val="none" w:sz="0" w:space="0" w:color="auto"/>
          </w:divBdr>
          <w:divsChild>
            <w:div w:id="936989008">
              <w:marLeft w:val="0"/>
              <w:marRight w:val="0"/>
              <w:marTop w:val="0"/>
              <w:marBottom w:val="0"/>
              <w:divBdr>
                <w:top w:val="none" w:sz="0" w:space="0" w:color="auto"/>
                <w:left w:val="none" w:sz="0" w:space="0" w:color="auto"/>
                <w:bottom w:val="none" w:sz="0" w:space="0" w:color="auto"/>
                <w:right w:val="none" w:sz="0" w:space="0" w:color="auto"/>
              </w:divBdr>
              <w:divsChild>
                <w:div w:id="178399927">
                  <w:marLeft w:val="0"/>
                  <w:marRight w:val="0"/>
                  <w:marTop w:val="0"/>
                  <w:marBottom w:val="300"/>
                  <w:divBdr>
                    <w:top w:val="none" w:sz="0" w:space="0" w:color="auto"/>
                    <w:left w:val="none" w:sz="0" w:space="0" w:color="auto"/>
                    <w:bottom w:val="none" w:sz="0" w:space="0" w:color="auto"/>
                    <w:right w:val="none" w:sz="0" w:space="0" w:color="auto"/>
                  </w:divBdr>
                  <w:divsChild>
                    <w:div w:id="9473495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2095522">
      <w:bodyDiv w:val="1"/>
      <w:marLeft w:val="0"/>
      <w:marRight w:val="0"/>
      <w:marTop w:val="0"/>
      <w:marBottom w:val="0"/>
      <w:divBdr>
        <w:top w:val="none" w:sz="0" w:space="0" w:color="auto"/>
        <w:left w:val="none" w:sz="0" w:space="0" w:color="auto"/>
        <w:bottom w:val="none" w:sz="0" w:space="0" w:color="auto"/>
        <w:right w:val="none" w:sz="0" w:space="0" w:color="auto"/>
      </w:divBdr>
      <w:divsChild>
        <w:div w:id="249047713">
          <w:marLeft w:val="0"/>
          <w:marRight w:val="0"/>
          <w:marTop w:val="0"/>
          <w:marBottom w:val="0"/>
          <w:divBdr>
            <w:top w:val="none" w:sz="0" w:space="0" w:color="auto"/>
            <w:left w:val="none" w:sz="0" w:space="0" w:color="auto"/>
            <w:bottom w:val="none" w:sz="0" w:space="0" w:color="auto"/>
            <w:right w:val="none" w:sz="0" w:space="0" w:color="auto"/>
          </w:divBdr>
        </w:div>
        <w:div w:id="916212425">
          <w:marLeft w:val="0"/>
          <w:marRight w:val="0"/>
          <w:marTop w:val="0"/>
          <w:marBottom w:val="150"/>
          <w:divBdr>
            <w:top w:val="none" w:sz="0" w:space="0" w:color="auto"/>
            <w:left w:val="none" w:sz="0" w:space="0" w:color="auto"/>
            <w:bottom w:val="none" w:sz="0" w:space="0" w:color="auto"/>
            <w:right w:val="none" w:sz="0" w:space="0" w:color="auto"/>
          </w:divBdr>
        </w:div>
      </w:divsChild>
    </w:div>
    <w:div w:id="112790749">
      <w:bodyDiv w:val="1"/>
      <w:marLeft w:val="0"/>
      <w:marRight w:val="0"/>
      <w:marTop w:val="0"/>
      <w:marBottom w:val="0"/>
      <w:divBdr>
        <w:top w:val="none" w:sz="0" w:space="0" w:color="auto"/>
        <w:left w:val="none" w:sz="0" w:space="0" w:color="auto"/>
        <w:bottom w:val="none" w:sz="0" w:space="0" w:color="auto"/>
        <w:right w:val="none" w:sz="0" w:space="0" w:color="auto"/>
      </w:divBdr>
      <w:divsChild>
        <w:div w:id="1832022191">
          <w:marLeft w:val="0"/>
          <w:marRight w:val="0"/>
          <w:marTop w:val="0"/>
          <w:marBottom w:val="0"/>
          <w:divBdr>
            <w:top w:val="none" w:sz="0" w:space="0" w:color="auto"/>
            <w:left w:val="none" w:sz="0" w:space="0" w:color="auto"/>
            <w:bottom w:val="none" w:sz="0" w:space="0" w:color="auto"/>
            <w:right w:val="none" w:sz="0" w:space="0" w:color="auto"/>
          </w:divBdr>
          <w:divsChild>
            <w:div w:id="1289118960">
              <w:marLeft w:val="0"/>
              <w:marRight w:val="0"/>
              <w:marTop w:val="0"/>
              <w:marBottom w:val="0"/>
              <w:divBdr>
                <w:top w:val="none" w:sz="0" w:space="0" w:color="auto"/>
                <w:left w:val="none" w:sz="0" w:space="0" w:color="auto"/>
                <w:bottom w:val="none" w:sz="0" w:space="0" w:color="auto"/>
                <w:right w:val="none" w:sz="0" w:space="0" w:color="auto"/>
              </w:divBdr>
              <w:divsChild>
                <w:div w:id="1795174902">
                  <w:marLeft w:val="0"/>
                  <w:marRight w:val="0"/>
                  <w:marTop w:val="0"/>
                  <w:marBottom w:val="0"/>
                  <w:divBdr>
                    <w:top w:val="none" w:sz="0" w:space="0" w:color="auto"/>
                    <w:left w:val="none" w:sz="0" w:space="0" w:color="auto"/>
                    <w:bottom w:val="none" w:sz="0" w:space="0" w:color="auto"/>
                    <w:right w:val="none" w:sz="0" w:space="0" w:color="auto"/>
                  </w:divBdr>
                  <w:divsChild>
                    <w:div w:id="1890797466">
                      <w:marLeft w:val="0"/>
                      <w:marRight w:val="0"/>
                      <w:marTop w:val="0"/>
                      <w:marBottom w:val="0"/>
                      <w:divBdr>
                        <w:top w:val="none" w:sz="0" w:space="0" w:color="auto"/>
                        <w:left w:val="none" w:sz="0" w:space="0" w:color="auto"/>
                        <w:bottom w:val="none" w:sz="0" w:space="0" w:color="auto"/>
                        <w:right w:val="none" w:sz="0" w:space="0" w:color="auto"/>
                      </w:divBdr>
                      <w:divsChild>
                        <w:div w:id="1519074741">
                          <w:marLeft w:val="0"/>
                          <w:marRight w:val="0"/>
                          <w:marTop w:val="0"/>
                          <w:marBottom w:val="0"/>
                          <w:divBdr>
                            <w:top w:val="none" w:sz="0" w:space="0" w:color="auto"/>
                            <w:left w:val="none" w:sz="0" w:space="0" w:color="auto"/>
                            <w:bottom w:val="none" w:sz="0" w:space="0" w:color="auto"/>
                            <w:right w:val="none" w:sz="0" w:space="0" w:color="auto"/>
                          </w:divBdr>
                          <w:divsChild>
                            <w:div w:id="161050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942436">
      <w:bodyDiv w:val="1"/>
      <w:marLeft w:val="0"/>
      <w:marRight w:val="0"/>
      <w:marTop w:val="0"/>
      <w:marBottom w:val="0"/>
      <w:divBdr>
        <w:top w:val="none" w:sz="0" w:space="0" w:color="auto"/>
        <w:left w:val="none" w:sz="0" w:space="0" w:color="auto"/>
        <w:bottom w:val="none" w:sz="0" w:space="0" w:color="auto"/>
        <w:right w:val="none" w:sz="0" w:space="0" w:color="auto"/>
      </w:divBdr>
      <w:divsChild>
        <w:div w:id="881480133">
          <w:marLeft w:val="0"/>
          <w:marRight w:val="0"/>
          <w:marTop w:val="0"/>
          <w:marBottom w:val="0"/>
          <w:divBdr>
            <w:top w:val="none" w:sz="0" w:space="0" w:color="auto"/>
            <w:left w:val="none" w:sz="0" w:space="0" w:color="auto"/>
            <w:bottom w:val="none" w:sz="0" w:space="0" w:color="auto"/>
            <w:right w:val="none" w:sz="0" w:space="0" w:color="auto"/>
          </w:divBdr>
          <w:divsChild>
            <w:div w:id="421029903">
              <w:marLeft w:val="0"/>
              <w:marRight w:val="0"/>
              <w:marTop w:val="0"/>
              <w:marBottom w:val="0"/>
              <w:divBdr>
                <w:top w:val="none" w:sz="0" w:space="0" w:color="auto"/>
                <w:left w:val="none" w:sz="0" w:space="0" w:color="auto"/>
                <w:bottom w:val="none" w:sz="0" w:space="0" w:color="auto"/>
                <w:right w:val="none" w:sz="0" w:space="0" w:color="auto"/>
              </w:divBdr>
              <w:divsChild>
                <w:div w:id="1927418358">
                  <w:marLeft w:val="0"/>
                  <w:marRight w:val="0"/>
                  <w:marTop w:val="0"/>
                  <w:marBottom w:val="0"/>
                  <w:divBdr>
                    <w:top w:val="none" w:sz="0" w:space="0" w:color="auto"/>
                    <w:left w:val="none" w:sz="0" w:space="0" w:color="auto"/>
                    <w:bottom w:val="none" w:sz="0" w:space="0" w:color="auto"/>
                    <w:right w:val="none" w:sz="0" w:space="0" w:color="auto"/>
                  </w:divBdr>
                  <w:divsChild>
                    <w:div w:id="1388921627">
                      <w:marLeft w:val="0"/>
                      <w:marRight w:val="0"/>
                      <w:marTop w:val="0"/>
                      <w:marBottom w:val="0"/>
                      <w:divBdr>
                        <w:top w:val="none" w:sz="0" w:space="0" w:color="auto"/>
                        <w:left w:val="none" w:sz="0" w:space="0" w:color="auto"/>
                        <w:bottom w:val="none" w:sz="0" w:space="0" w:color="auto"/>
                        <w:right w:val="none" w:sz="0" w:space="0" w:color="auto"/>
                      </w:divBdr>
                      <w:divsChild>
                        <w:div w:id="353767314">
                          <w:marLeft w:val="0"/>
                          <w:marRight w:val="0"/>
                          <w:marTop w:val="0"/>
                          <w:marBottom w:val="0"/>
                          <w:divBdr>
                            <w:top w:val="none" w:sz="0" w:space="0" w:color="auto"/>
                            <w:left w:val="none" w:sz="0" w:space="0" w:color="auto"/>
                            <w:bottom w:val="none" w:sz="0" w:space="0" w:color="auto"/>
                            <w:right w:val="none" w:sz="0" w:space="0" w:color="auto"/>
                          </w:divBdr>
                          <w:divsChild>
                            <w:div w:id="1368332907">
                              <w:marLeft w:val="0"/>
                              <w:marRight w:val="0"/>
                              <w:marTop w:val="0"/>
                              <w:marBottom w:val="0"/>
                              <w:divBdr>
                                <w:top w:val="none" w:sz="0" w:space="0" w:color="auto"/>
                                <w:left w:val="none" w:sz="0" w:space="0" w:color="auto"/>
                                <w:bottom w:val="none" w:sz="0" w:space="0" w:color="auto"/>
                                <w:right w:val="none" w:sz="0" w:space="0" w:color="auto"/>
                              </w:divBdr>
                              <w:divsChild>
                                <w:div w:id="1787501785">
                                  <w:marLeft w:val="0"/>
                                  <w:marRight w:val="0"/>
                                  <w:marTop w:val="0"/>
                                  <w:marBottom w:val="0"/>
                                  <w:divBdr>
                                    <w:top w:val="none" w:sz="0" w:space="0" w:color="auto"/>
                                    <w:left w:val="none" w:sz="0" w:space="0" w:color="auto"/>
                                    <w:bottom w:val="none" w:sz="0" w:space="0" w:color="auto"/>
                                    <w:right w:val="none" w:sz="0" w:space="0" w:color="auto"/>
                                  </w:divBdr>
                                  <w:divsChild>
                                    <w:div w:id="66312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03349">
      <w:bodyDiv w:val="1"/>
      <w:marLeft w:val="0"/>
      <w:marRight w:val="0"/>
      <w:marTop w:val="0"/>
      <w:marBottom w:val="0"/>
      <w:divBdr>
        <w:top w:val="none" w:sz="0" w:space="0" w:color="auto"/>
        <w:left w:val="none" w:sz="0" w:space="0" w:color="auto"/>
        <w:bottom w:val="none" w:sz="0" w:space="0" w:color="auto"/>
        <w:right w:val="none" w:sz="0" w:space="0" w:color="auto"/>
      </w:divBdr>
      <w:divsChild>
        <w:div w:id="77560294">
          <w:marLeft w:val="0"/>
          <w:marRight w:val="0"/>
          <w:marTop w:val="0"/>
          <w:marBottom w:val="0"/>
          <w:divBdr>
            <w:top w:val="none" w:sz="0" w:space="0" w:color="auto"/>
            <w:left w:val="none" w:sz="0" w:space="0" w:color="auto"/>
            <w:bottom w:val="none" w:sz="0" w:space="0" w:color="auto"/>
            <w:right w:val="none" w:sz="0" w:space="0" w:color="auto"/>
          </w:divBdr>
          <w:divsChild>
            <w:div w:id="16566907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404481">
      <w:bodyDiv w:val="1"/>
      <w:marLeft w:val="0"/>
      <w:marRight w:val="0"/>
      <w:marTop w:val="0"/>
      <w:marBottom w:val="0"/>
      <w:divBdr>
        <w:top w:val="none" w:sz="0" w:space="0" w:color="auto"/>
        <w:left w:val="none" w:sz="0" w:space="0" w:color="auto"/>
        <w:bottom w:val="none" w:sz="0" w:space="0" w:color="auto"/>
        <w:right w:val="none" w:sz="0" w:space="0" w:color="auto"/>
      </w:divBdr>
      <w:divsChild>
        <w:div w:id="185560911">
          <w:marLeft w:val="0"/>
          <w:marRight w:val="0"/>
          <w:marTop w:val="0"/>
          <w:marBottom w:val="150"/>
          <w:divBdr>
            <w:top w:val="none" w:sz="0" w:space="0" w:color="auto"/>
            <w:left w:val="none" w:sz="0" w:space="0" w:color="auto"/>
            <w:bottom w:val="none" w:sz="0" w:space="0" w:color="auto"/>
            <w:right w:val="none" w:sz="0" w:space="0" w:color="auto"/>
          </w:divBdr>
          <w:divsChild>
            <w:div w:id="494230074">
              <w:marLeft w:val="0"/>
              <w:marRight w:val="0"/>
              <w:marTop w:val="0"/>
              <w:marBottom w:val="0"/>
              <w:divBdr>
                <w:top w:val="none" w:sz="0" w:space="0" w:color="auto"/>
                <w:left w:val="none" w:sz="0" w:space="0" w:color="auto"/>
                <w:bottom w:val="none" w:sz="0" w:space="0" w:color="auto"/>
                <w:right w:val="none" w:sz="0" w:space="0" w:color="auto"/>
              </w:divBdr>
            </w:div>
          </w:divsChild>
        </w:div>
        <w:div w:id="674302373">
          <w:marLeft w:val="0"/>
          <w:marRight w:val="0"/>
          <w:marTop w:val="0"/>
          <w:marBottom w:val="0"/>
          <w:divBdr>
            <w:top w:val="none" w:sz="0" w:space="0" w:color="auto"/>
            <w:left w:val="none" w:sz="0" w:space="0" w:color="auto"/>
            <w:bottom w:val="none" w:sz="0" w:space="0" w:color="auto"/>
            <w:right w:val="none" w:sz="0" w:space="0" w:color="auto"/>
          </w:divBdr>
          <w:divsChild>
            <w:div w:id="980963972">
              <w:marLeft w:val="0"/>
              <w:marRight w:val="0"/>
              <w:marTop w:val="0"/>
              <w:marBottom w:val="0"/>
              <w:divBdr>
                <w:top w:val="none" w:sz="0" w:space="0" w:color="auto"/>
                <w:left w:val="none" w:sz="0" w:space="0" w:color="auto"/>
                <w:bottom w:val="none" w:sz="0" w:space="0" w:color="auto"/>
                <w:right w:val="none" w:sz="0" w:space="0" w:color="auto"/>
              </w:divBdr>
            </w:div>
          </w:divsChild>
        </w:div>
        <w:div w:id="1240403589">
          <w:marLeft w:val="0"/>
          <w:marRight w:val="0"/>
          <w:marTop w:val="0"/>
          <w:marBottom w:val="150"/>
          <w:divBdr>
            <w:top w:val="none" w:sz="0" w:space="0" w:color="auto"/>
            <w:left w:val="none" w:sz="0" w:space="0" w:color="auto"/>
            <w:bottom w:val="none" w:sz="0" w:space="0" w:color="auto"/>
            <w:right w:val="none" w:sz="0" w:space="0" w:color="auto"/>
          </w:divBdr>
        </w:div>
      </w:divsChild>
    </w:div>
    <w:div w:id="113645405">
      <w:bodyDiv w:val="1"/>
      <w:marLeft w:val="0"/>
      <w:marRight w:val="0"/>
      <w:marTop w:val="0"/>
      <w:marBottom w:val="0"/>
      <w:divBdr>
        <w:top w:val="none" w:sz="0" w:space="0" w:color="auto"/>
        <w:left w:val="none" w:sz="0" w:space="0" w:color="auto"/>
        <w:bottom w:val="none" w:sz="0" w:space="0" w:color="auto"/>
        <w:right w:val="none" w:sz="0" w:space="0" w:color="auto"/>
      </w:divBdr>
      <w:divsChild>
        <w:div w:id="644745901">
          <w:marLeft w:val="0"/>
          <w:marRight w:val="0"/>
          <w:marTop w:val="0"/>
          <w:marBottom w:val="0"/>
          <w:divBdr>
            <w:top w:val="none" w:sz="0" w:space="0" w:color="auto"/>
            <w:left w:val="none" w:sz="0" w:space="0" w:color="auto"/>
            <w:bottom w:val="dotted" w:sz="6" w:space="4" w:color="DDDDDD"/>
            <w:right w:val="none" w:sz="0" w:space="0" w:color="auto"/>
          </w:divBdr>
        </w:div>
      </w:divsChild>
    </w:div>
    <w:div w:id="114298777">
      <w:bodyDiv w:val="1"/>
      <w:marLeft w:val="0"/>
      <w:marRight w:val="0"/>
      <w:marTop w:val="0"/>
      <w:marBottom w:val="0"/>
      <w:divBdr>
        <w:top w:val="none" w:sz="0" w:space="0" w:color="auto"/>
        <w:left w:val="none" w:sz="0" w:space="0" w:color="auto"/>
        <w:bottom w:val="none" w:sz="0" w:space="0" w:color="auto"/>
        <w:right w:val="none" w:sz="0" w:space="0" w:color="auto"/>
      </w:divBdr>
      <w:divsChild>
        <w:div w:id="446505555">
          <w:marLeft w:val="0"/>
          <w:marRight w:val="0"/>
          <w:marTop w:val="0"/>
          <w:marBottom w:val="150"/>
          <w:divBdr>
            <w:top w:val="none" w:sz="0" w:space="0" w:color="auto"/>
            <w:left w:val="none" w:sz="0" w:space="0" w:color="auto"/>
            <w:bottom w:val="none" w:sz="0" w:space="0" w:color="auto"/>
            <w:right w:val="none" w:sz="0" w:space="0" w:color="auto"/>
          </w:divBdr>
          <w:divsChild>
            <w:div w:id="353649980">
              <w:marLeft w:val="0"/>
              <w:marRight w:val="0"/>
              <w:marTop w:val="0"/>
              <w:marBottom w:val="0"/>
              <w:divBdr>
                <w:top w:val="none" w:sz="0" w:space="0" w:color="auto"/>
                <w:left w:val="none" w:sz="0" w:space="0" w:color="auto"/>
                <w:bottom w:val="none" w:sz="0" w:space="0" w:color="auto"/>
                <w:right w:val="none" w:sz="0" w:space="0" w:color="auto"/>
              </w:divBdr>
              <w:divsChild>
                <w:div w:id="19681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933754">
          <w:marLeft w:val="0"/>
          <w:marRight w:val="0"/>
          <w:marTop w:val="0"/>
          <w:marBottom w:val="0"/>
          <w:divBdr>
            <w:top w:val="none" w:sz="0" w:space="0" w:color="auto"/>
            <w:left w:val="none" w:sz="0" w:space="0" w:color="auto"/>
            <w:bottom w:val="none" w:sz="0" w:space="0" w:color="auto"/>
            <w:right w:val="none" w:sz="0" w:space="0" w:color="auto"/>
          </w:divBdr>
          <w:divsChild>
            <w:div w:id="664550936">
              <w:marLeft w:val="0"/>
              <w:marRight w:val="0"/>
              <w:marTop w:val="225"/>
              <w:marBottom w:val="225"/>
              <w:divBdr>
                <w:top w:val="none" w:sz="0" w:space="0" w:color="auto"/>
                <w:left w:val="none" w:sz="0" w:space="0" w:color="auto"/>
                <w:bottom w:val="none" w:sz="0" w:space="0" w:color="auto"/>
                <w:right w:val="none" w:sz="0" w:space="0" w:color="auto"/>
              </w:divBdr>
            </w:div>
          </w:divsChild>
        </w:div>
        <w:div w:id="1603882564">
          <w:marLeft w:val="0"/>
          <w:marRight w:val="0"/>
          <w:marTop w:val="0"/>
          <w:marBottom w:val="150"/>
          <w:divBdr>
            <w:top w:val="none" w:sz="0" w:space="0" w:color="auto"/>
            <w:left w:val="none" w:sz="0" w:space="0" w:color="auto"/>
            <w:bottom w:val="none" w:sz="0" w:space="0" w:color="auto"/>
            <w:right w:val="none" w:sz="0" w:space="0" w:color="auto"/>
          </w:divBdr>
        </w:div>
      </w:divsChild>
    </w:div>
    <w:div w:id="114641848">
      <w:bodyDiv w:val="1"/>
      <w:marLeft w:val="0"/>
      <w:marRight w:val="0"/>
      <w:marTop w:val="0"/>
      <w:marBottom w:val="0"/>
      <w:divBdr>
        <w:top w:val="none" w:sz="0" w:space="0" w:color="auto"/>
        <w:left w:val="none" w:sz="0" w:space="0" w:color="auto"/>
        <w:bottom w:val="none" w:sz="0" w:space="0" w:color="auto"/>
        <w:right w:val="none" w:sz="0" w:space="0" w:color="auto"/>
      </w:divBdr>
    </w:div>
    <w:div w:id="114760883">
      <w:bodyDiv w:val="1"/>
      <w:marLeft w:val="0"/>
      <w:marRight w:val="0"/>
      <w:marTop w:val="0"/>
      <w:marBottom w:val="0"/>
      <w:divBdr>
        <w:top w:val="none" w:sz="0" w:space="0" w:color="auto"/>
        <w:left w:val="none" w:sz="0" w:space="0" w:color="auto"/>
        <w:bottom w:val="none" w:sz="0" w:space="0" w:color="auto"/>
        <w:right w:val="none" w:sz="0" w:space="0" w:color="auto"/>
      </w:divBdr>
      <w:divsChild>
        <w:div w:id="872766776">
          <w:marLeft w:val="0"/>
          <w:marRight w:val="0"/>
          <w:marTop w:val="0"/>
          <w:marBottom w:val="150"/>
          <w:divBdr>
            <w:top w:val="none" w:sz="0" w:space="0" w:color="auto"/>
            <w:left w:val="none" w:sz="0" w:space="0" w:color="auto"/>
            <w:bottom w:val="none" w:sz="0" w:space="0" w:color="auto"/>
            <w:right w:val="none" w:sz="0" w:space="0" w:color="auto"/>
          </w:divBdr>
          <w:divsChild>
            <w:div w:id="627593076">
              <w:marLeft w:val="0"/>
              <w:marRight w:val="0"/>
              <w:marTop w:val="0"/>
              <w:marBottom w:val="0"/>
              <w:divBdr>
                <w:top w:val="none" w:sz="0" w:space="0" w:color="auto"/>
                <w:left w:val="none" w:sz="0" w:space="0" w:color="auto"/>
                <w:bottom w:val="none" w:sz="0" w:space="0" w:color="auto"/>
                <w:right w:val="none" w:sz="0" w:space="0" w:color="auto"/>
              </w:divBdr>
              <w:divsChild>
                <w:div w:id="1769814748">
                  <w:marLeft w:val="0"/>
                  <w:marRight w:val="0"/>
                  <w:marTop w:val="0"/>
                  <w:marBottom w:val="0"/>
                  <w:divBdr>
                    <w:top w:val="none" w:sz="0" w:space="0" w:color="auto"/>
                    <w:left w:val="none" w:sz="0" w:space="0" w:color="auto"/>
                    <w:bottom w:val="none" w:sz="0" w:space="0" w:color="auto"/>
                    <w:right w:val="none" w:sz="0" w:space="0" w:color="auto"/>
                  </w:divBdr>
                  <w:divsChild>
                    <w:div w:id="917447965">
                      <w:marLeft w:val="0"/>
                      <w:marRight w:val="150"/>
                      <w:marTop w:val="0"/>
                      <w:marBottom w:val="0"/>
                      <w:divBdr>
                        <w:top w:val="none" w:sz="0" w:space="0" w:color="auto"/>
                        <w:left w:val="none" w:sz="0" w:space="0" w:color="auto"/>
                        <w:bottom w:val="none" w:sz="0" w:space="0" w:color="auto"/>
                        <w:right w:val="none" w:sz="0" w:space="0" w:color="auto"/>
                      </w:divBdr>
                      <w:divsChild>
                        <w:div w:id="14531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821627">
          <w:marLeft w:val="0"/>
          <w:marRight w:val="0"/>
          <w:marTop w:val="0"/>
          <w:marBottom w:val="150"/>
          <w:divBdr>
            <w:top w:val="none" w:sz="0" w:space="0" w:color="auto"/>
            <w:left w:val="none" w:sz="0" w:space="0" w:color="auto"/>
            <w:bottom w:val="none" w:sz="0" w:space="0" w:color="auto"/>
            <w:right w:val="none" w:sz="0" w:space="0" w:color="auto"/>
          </w:divBdr>
        </w:div>
        <w:div w:id="297226125">
          <w:marLeft w:val="0"/>
          <w:marRight w:val="0"/>
          <w:marTop w:val="0"/>
          <w:marBottom w:val="0"/>
          <w:divBdr>
            <w:top w:val="none" w:sz="0" w:space="0" w:color="auto"/>
            <w:left w:val="none" w:sz="0" w:space="0" w:color="auto"/>
            <w:bottom w:val="none" w:sz="0" w:space="0" w:color="auto"/>
            <w:right w:val="none" w:sz="0" w:space="0" w:color="auto"/>
          </w:divBdr>
          <w:divsChild>
            <w:div w:id="58662155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4836226">
      <w:bodyDiv w:val="1"/>
      <w:marLeft w:val="0"/>
      <w:marRight w:val="0"/>
      <w:marTop w:val="0"/>
      <w:marBottom w:val="0"/>
      <w:divBdr>
        <w:top w:val="none" w:sz="0" w:space="0" w:color="auto"/>
        <w:left w:val="none" w:sz="0" w:space="0" w:color="auto"/>
        <w:bottom w:val="none" w:sz="0" w:space="0" w:color="auto"/>
        <w:right w:val="none" w:sz="0" w:space="0" w:color="auto"/>
      </w:divBdr>
      <w:divsChild>
        <w:div w:id="174997015">
          <w:marLeft w:val="-225"/>
          <w:marRight w:val="-225"/>
          <w:marTop w:val="0"/>
          <w:marBottom w:val="225"/>
          <w:divBdr>
            <w:top w:val="none" w:sz="0" w:space="0" w:color="auto"/>
            <w:left w:val="none" w:sz="0" w:space="0" w:color="auto"/>
            <w:bottom w:val="none" w:sz="0" w:space="0" w:color="auto"/>
            <w:right w:val="none" w:sz="0" w:space="0" w:color="auto"/>
          </w:divBdr>
          <w:divsChild>
            <w:div w:id="321323585">
              <w:marLeft w:val="0"/>
              <w:marRight w:val="0"/>
              <w:marTop w:val="0"/>
              <w:marBottom w:val="0"/>
              <w:divBdr>
                <w:top w:val="none" w:sz="0" w:space="0" w:color="auto"/>
                <w:left w:val="none" w:sz="0" w:space="0" w:color="auto"/>
                <w:bottom w:val="none" w:sz="0" w:space="0" w:color="auto"/>
                <w:right w:val="none" w:sz="0" w:space="0" w:color="auto"/>
              </w:divBdr>
            </w:div>
          </w:divsChild>
        </w:div>
        <w:div w:id="240411575">
          <w:marLeft w:val="-225"/>
          <w:marRight w:val="-225"/>
          <w:marTop w:val="0"/>
          <w:marBottom w:val="300"/>
          <w:divBdr>
            <w:top w:val="none" w:sz="0" w:space="0" w:color="auto"/>
            <w:left w:val="none" w:sz="0" w:space="0" w:color="auto"/>
            <w:bottom w:val="none" w:sz="0" w:space="0" w:color="auto"/>
            <w:right w:val="none" w:sz="0" w:space="0" w:color="auto"/>
          </w:divBdr>
          <w:divsChild>
            <w:div w:id="1163426822">
              <w:marLeft w:val="0"/>
              <w:marRight w:val="0"/>
              <w:marTop w:val="0"/>
              <w:marBottom w:val="0"/>
              <w:divBdr>
                <w:top w:val="none" w:sz="0" w:space="0" w:color="auto"/>
                <w:left w:val="none" w:sz="0" w:space="0" w:color="auto"/>
                <w:bottom w:val="none" w:sz="0" w:space="0" w:color="auto"/>
                <w:right w:val="none" w:sz="0" w:space="0" w:color="auto"/>
              </w:divBdr>
              <w:divsChild>
                <w:div w:id="30771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915397">
          <w:marLeft w:val="-225"/>
          <w:marRight w:val="-225"/>
          <w:marTop w:val="0"/>
          <w:marBottom w:val="180"/>
          <w:divBdr>
            <w:top w:val="none" w:sz="0" w:space="0" w:color="auto"/>
            <w:left w:val="none" w:sz="0" w:space="0" w:color="auto"/>
            <w:bottom w:val="none" w:sz="0" w:space="0" w:color="auto"/>
            <w:right w:val="none" w:sz="0" w:space="0" w:color="auto"/>
          </w:divBdr>
          <w:divsChild>
            <w:div w:id="18560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37981">
      <w:bodyDiv w:val="1"/>
      <w:marLeft w:val="0"/>
      <w:marRight w:val="0"/>
      <w:marTop w:val="0"/>
      <w:marBottom w:val="0"/>
      <w:divBdr>
        <w:top w:val="none" w:sz="0" w:space="0" w:color="auto"/>
        <w:left w:val="none" w:sz="0" w:space="0" w:color="auto"/>
        <w:bottom w:val="none" w:sz="0" w:space="0" w:color="auto"/>
        <w:right w:val="none" w:sz="0" w:space="0" w:color="auto"/>
      </w:divBdr>
      <w:divsChild>
        <w:div w:id="1613322753">
          <w:marLeft w:val="0"/>
          <w:marRight w:val="0"/>
          <w:marTop w:val="0"/>
          <w:marBottom w:val="0"/>
          <w:divBdr>
            <w:top w:val="none" w:sz="0" w:space="0" w:color="auto"/>
            <w:left w:val="none" w:sz="0" w:space="0" w:color="auto"/>
            <w:bottom w:val="dotted" w:sz="6" w:space="4" w:color="DDDDDD"/>
            <w:right w:val="none" w:sz="0" w:space="0" w:color="auto"/>
          </w:divBdr>
          <w:divsChild>
            <w:div w:id="52541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26297">
      <w:bodyDiv w:val="1"/>
      <w:marLeft w:val="0"/>
      <w:marRight w:val="0"/>
      <w:marTop w:val="0"/>
      <w:marBottom w:val="0"/>
      <w:divBdr>
        <w:top w:val="none" w:sz="0" w:space="0" w:color="auto"/>
        <w:left w:val="none" w:sz="0" w:space="0" w:color="auto"/>
        <w:bottom w:val="none" w:sz="0" w:space="0" w:color="auto"/>
        <w:right w:val="none" w:sz="0" w:space="0" w:color="auto"/>
      </w:divBdr>
    </w:div>
    <w:div w:id="115032520">
      <w:bodyDiv w:val="1"/>
      <w:marLeft w:val="0"/>
      <w:marRight w:val="0"/>
      <w:marTop w:val="0"/>
      <w:marBottom w:val="0"/>
      <w:divBdr>
        <w:top w:val="none" w:sz="0" w:space="0" w:color="auto"/>
        <w:left w:val="none" w:sz="0" w:space="0" w:color="auto"/>
        <w:bottom w:val="none" w:sz="0" w:space="0" w:color="auto"/>
        <w:right w:val="none" w:sz="0" w:space="0" w:color="auto"/>
      </w:divBdr>
      <w:divsChild>
        <w:div w:id="562569515">
          <w:marLeft w:val="0"/>
          <w:marRight w:val="0"/>
          <w:marTop w:val="0"/>
          <w:marBottom w:val="150"/>
          <w:divBdr>
            <w:top w:val="none" w:sz="0" w:space="0" w:color="auto"/>
            <w:left w:val="none" w:sz="0" w:space="0" w:color="auto"/>
            <w:bottom w:val="none" w:sz="0" w:space="0" w:color="auto"/>
            <w:right w:val="none" w:sz="0" w:space="0" w:color="auto"/>
          </w:divBdr>
        </w:div>
      </w:divsChild>
    </w:div>
    <w:div w:id="115102286">
      <w:bodyDiv w:val="1"/>
      <w:marLeft w:val="0"/>
      <w:marRight w:val="0"/>
      <w:marTop w:val="0"/>
      <w:marBottom w:val="0"/>
      <w:divBdr>
        <w:top w:val="none" w:sz="0" w:space="0" w:color="auto"/>
        <w:left w:val="none" w:sz="0" w:space="0" w:color="auto"/>
        <w:bottom w:val="none" w:sz="0" w:space="0" w:color="auto"/>
        <w:right w:val="none" w:sz="0" w:space="0" w:color="auto"/>
      </w:divBdr>
      <w:divsChild>
        <w:div w:id="304892753">
          <w:marLeft w:val="0"/>
          <w:marRight w:val="0"/>
          <w:marTop w:val="0"/>
          <w:marBottom w:val="0"/>
          <w:divBdr>
            <w:top w:val="none" w:sz="0" w:space="0" w:color="auto"/>
            <w:left w:val="none" w:sz="0" w:space="0" w:color="auto"/>
            <w:bottom w:val="none" w:sz="0" w:space="0" w:color="auto"/>
            <w:right w:val="none" w:sz="0" w:space="0" w:color="auto"/>
          </w:divBdr>
        </w:div>
      </w:divsChild>
    </w:div>
    <w:div w:id="115608795">
      <w:bodyDiv w:val="1"/>
      <w:marLeft w:val="0"/>
      <w:marRight w:val="0"/>
      <w:marTop w:val="0"/>
      <w:marBottom w:val="0"/>
      <w:divBdr>
        <w:top w:val="none" w:sz="0" w:space="0" w:color="auto"/>
        <w:left w:val="none" w:sz="0" w:space="0" w:color="auto"/>
        <w:bottom w:val="none" w:sz="0" w:space="0" w:color="auto"/>
        <w:right w:val="none" w:sz="0" w:space="0" w:color="auto"/>
      </w:divBdr>
    </w:div>
    <w:div w:id="115762500">
      <w:bodyDiv w:val="1"/>
      <w:marLeft w:val="0"/>
      <w:marRight w:val="0"/>
      <w:marTop w:val="0"/>
      <w:marBottom w:val="0"/>
      <w:divBdr>
        <w:top w:val="none" w:sz="0" w:space="0" w:color="auto"/>
        <w:left w:val="none" w:sz="0" w:space="0" w:color="auto"/>
        <w:bottom w:val="none" w:sz="0" w:space="0" w:color="auto"/>
        <w:right w:val="none" w:sz="0" w:space="0" w:color="auto"/>
      </w:divBdr>
      <w:divsChild>
        <w:div w:id="1699623486">
          <w:marLeft w:val="0"/>
          <w:marRight w:val="0"/>
          <w:marTop w:val="0"/>
          <w:marBottom w:val="0"/>
          <w:divBdr>
            <w:top w:val="none" w:sz="0" w:space="0" w:color="auto"/>
            <w:left w:val="none" w:sz="0" w:space="0" w:color="auto"/>
            <w:bottom w:val="dotted" w:sz="6" w:space="4" w:color="DDDDDD"/>
            <w:right w:val="none" w:sz="0" w:space="0" w:color="auto"/>
          </w:divBdr>
          <w:divsChild>
            <w:div w:id="204848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23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279">
          <w:marLeft w:val="0"/>
          <w:marRight w:val="0"/>
          <w:marTop w:val="0"/>
          <w:marBottom w:val="0"/>
          <w:divBdr>
            <w:top w:val="none" w:sz="0" w:space="0" w:color="auto"/>
            <w:left w:val="none" w:sz="0" w:space="0" w:color="auto"/>
            <w:bottom w:val="none" w:sz="0" w:space="0" w:color="auto"/>
            <w:right w:val="none" w:sz="0" w:space="0" w:color="auto"/>
          </w:divBdr>
          <w:divsChild>
            <w:div w:id="1604143354">
              <w:marLeft w:val="0"/>
              <w:marRight w:val="0"/>
              <w:marTop w:val="0"/>
              <w:marBottom w:val="0"/>
              <w:divBdr>
                <w:top w:val="none" w:sz="0" w:space="0" w:color="auto"/>
                <w:left w:val="none" w:sz="0" w:space="0" w:color="auto"/>
                <w:bottom w:val="none" w:sz="0" w:space="0" w:color="auto"/>
                <w:right w:val="none" w:sz="0" w:space="0" w:color="auto"/>
              </w:divBdr>
              <w:divsChild>
                <w:div w:id="898780862">
                  <w:marLeft w:val="0"/>
                  <w:marRight w:val="0"/>
                  <w:marTop w:val="0"/>
                  <w:marBottom w:val="0"/>
                  <w:divBdr>
                    <w:top w:val="none" w:sz="0" w:space="0" w:color="auto"/>
                    <w:left w:val="none" w:sz="0" w:space="0" w:color="auto"/>
                    <w:bottom w:val="none" w:sz="0" w:space="0" w:color="auto"/>
                    <w:right w:val="none" w:sz="0" w:space="0" w:color="auto"/>
                  </w:divBdr>
                  <w:divsChild>
                    <w:div w:id="1847670215">
                      <w:marLeft w:val="0"/>
                      <w:marRight w:val="0"/>
                      <w:marTop w:val="0"/>
                      <w:marBottom w:val="0"/>
                      <w:divBdr>
                        <w:top w:val="none" w:sz="0" w:space="0" w:color="auto"/>
                        <w:left w:val="none" w:sz="0" w:space="0" w:color="auto"/>
                        <w:bottom w:val="none" w:sz="0" w:space="0" w:color="auto"/>
                        <w:right w:val="none" w:sz="0" w:space="0" w:color="auto"/>
                      </w:divBdr>
                      <w:divsChild>
                        <w:div w:id="2049337004">
                          <w:marLeft w:val="0"/>
                          <w:marRight w:val="0"/>
                          <w:marTop w:val="0"/>
                          <w:marBottom w:val="0"/>
                          <w:divBdr>
                            <w:top w:val="none" w:sz="0" w:space="0" w:color="auto"/>
                            <w:left w:val="none" w:sz="0" w:space="0" w:color="auto"/>
                            <w:bottom w:val="none" w:sz="0" w:space="0" w:color="auto"/>
                            <w:right w:val="none" w:sz="0" w:space="0" w:color="auto"/>
                          </w:divBdr>
                          <w:divsChild>
                            <w:div w:id="50004511">
                              <w:marLeft w:val="0"/>
                              <w:marRight w:val="0"/>
                              <w:marTop w:val="0"/>
                              <w:marBottom w:val="0"/>
                              <w:divBdr>
                                <w:top w:val="none" w:sz="0" w:space="0" w:color="auto"/>
                                <w:left w:val="none" w:sz="0" w:space="0" w:color="auto"/>
                                <w:bottom w:val="none" w:sz="0" w:space="0" w:color="auto"/>
                                <w:right w:val="none" w:sz="0" w:space="0" w:color="auto"/>
                              </w:divBdr>
                              <w:divsChild>
                                <w:div w:id="726952273">
                                  <w:marLeft w:val="0"/>
                                  <w:marRight w:val="0"/>
                                  <w:marTop w:val="0"/>
                                  <w:marBottom w:val="0"/>
                                  <w:divBdr>
                                    <w:top w:val="none" w:sz="0" w:space="0" w:color="auto"/>
                                    <w:left w:val="none" w:sz="0" w:space="0" w:color="auto"/>
                                    <w:bottom w:val="none" w:sz="0" w:space="0" w:color="auto"/>
                                    <w:right w:val="none" w:sz="0" w:space="0" w:color="auto"/>
                                  </w:divBdr>
                                  <w:divsChild>
                                    <w:div w:id="2050035053">
                                      <w:marLeft w:val="0"/>
                                      <w:marRight w:val="0"/>
                                      <w:marTop w:val="0"/>
                                      <w:marBottom w:val="0"/>
                                      <w:divBdr>
                                        <w:top w:val="none" w:sz="0" w:space="0" w:color="auto"/>
                                        <w:left w:val="none" w:sz="0" w:space="0" w:color="auto"/>
                                        <w:bottom w:val="none" w:sz="0" w:space="0" w:color="auto"/>
                                        <w:right w:val="none" w:sz="0" w:space="0" w:color="auto"/>
                                      </w:divBdr>
                                      <w:divsChild>
                                        <w:div w:id="151238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338404">
      <w:bodyDiv w:val="1"/>
      <w:marLeft w:val="0"/>
      <w:marRight w:val="0"/>
      <w:marTop w:val="0"/>
      <w:marBottom w:val="0"/>
      <w:divBdr>
        <w:top w:val="none" w:sz="0" w:space="0" w:color="auto"/>
        <w:left w:val="none" w:sz="0" w:space="0" w:color="auto"/>
        <w:bottom w:val="none" w:sz="0" w:space="0" w:color="auto"/>
        <w:right w:val="none" w:sz="0" w:space="0" w:color="auto"/>
      </w:divBdr>
      <w:divsChild>
        <w:div w:id="964123717">
          <w:marLeft w:val="0"/>
          <w:marRight w:val="0"/>
          <w:marTop w:val="0"/>
          <w:marBottom w:val="150"/>
          <w:divBdr>
            <w:top w:val="none" w:sz="0" w:space="0" w:color="auto"/>
            <w:left w:val="none" w:sz="0" w:space="0" w:color="auto"/>
            <w:bottom w:val="none" w:sz="0" w:space="0" w:color="auto"/>
            <w:right w:val="none" w:sz="0" w:space="0" w:color="auto"/>
          </w:divBdr>
        </w:div>
        <w:div w:id="975528705">
          <w:marLeft w:val="0"/>
          <w:marRight w:val="0"/>
          <w:marTop w:val="0"/>
          <w:marBottom w:val="150"/>
          <w:divBdr>
            <w:top w:val="none" w:sz="0" w:space="0" w:color="auto"/>
            <w:left w:val="none" w:sz="0" w:space="0" w:color="auto"/>
            <w:bottom w:val="none" w:sz="0" w:space="0" w:color="auto"/>
            <w:right w:val="none" w:sz="0" w:space="0" w:color="auto"/>
          </w:divBdr>
          <w:divsChild>
            <w:div w:id="1588075477">
              <w:marLeft w:val="0"/>
              <w:marRight w:val="0"/>
              <w:marTop w:val="0"/>
              <w:marBottom w:val="0"/>
              <w:divBdr>
                <w:top w:val="none" w:sz="0" w:space="0" w:color="auto"/>
                <w:left w:val="none" w:sz="0" w:space="0" w:color="auto"/>
                <w:bottom w:val="none" w:sz="0" w:space="0" w:color="auto"/>
                <w:right w:val="none" w:sz="0" w:space="0" w:color="auto"/>
              </w:divBdr>
              <w:divsChild>
                <w:div w:id="161559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950227">
          <w:marLeft w:val="0"/>
          <w:marRight w:val="0"/>
          <w:marTop w:val="0"/>
          <w:marBottom w:val="0"/>
          <w:divBdr>
            <w:top w:val="none" w:sz="0" w:space="0" w:color="auto"/>
            <w:left w:val="none" w:sz="0" w:space="0" w:color="auto"/>
            <w:bottom w:val="none" w:sz="0" w:space="0" w:color="auto"/>
            <w:right w:val="none" w:sz="0" w:space="0" w:color="auto"/>
          </w:divBdr>
          <w:divsChild>
            <w:div w:id="17888882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6409696">
      <w:bodyDiv w:val="1"/>
      <w:marLeft w:val="0"/>
      <w:marRight w:val="0"/>
      <w:marTop w:val="0"/>
      <w:marBottom w:val="0"/>
      <w:divBdr>
        <w:top w:val="none" w:sz="0" w:space="0" w:color="auto"/>
        <w:left w:val="none" w:sz="0" w:space="0" w:color="auto"/>
        <w:bottom w:val="none" w:sz="0" w:space="0" w:color="auto"/>
        <w:right w:val="none" w:sz="0" w:space="0" w:color="auto"/>
      </w:divBdr>
      <w:divsChild>
        <w:div w:id="111167233">
          <w:marLeft w:val="0"/>
          <w:marRight w:val="0"/>
          <w:marTop w:val="0"/>
          <w:marBottom w:val="0"/>
          <w:divBdr>
            <w:top w:val="none" w:sz="0" w:space="0" w:color="auto"/>
            <w:left w:val="none" w:sz="0" w:space="0" w:color="auto"/>
            <w:bottom w:val="none" w:sz="0" w:space="0" w:color="auto"/>
            <w:right w:val="none" w:sz="0" w:space="0" w:color="auto"/>
          </w:divBdr>
          <w:divsChild>
            <w:div w:id="15045833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6533625">
      <w:bodyDiv w:val="1"/>
      <w:marLeft w:val="0"/>
      <w:marRight w:val="0"/>
      <w:marTop w:val="0"/>
      <w:marBottom w:val="0"/>
      <w:divBdr>
        <w:top w:val="none" w:sz="0" w:space="0" w:color="auto"/>
        <w:left w:val="none" w:sz="0" w:space="0" w:color="auto"/>
        <w:bottom w:val="none" w:sz="0" w:space="0" w:color="auto"/>
        <w:right w:val="none" w:sz="0" w:space="0" w:color="auto"/>
      </w:divBdr>
    </w:div>
    <w:div w:id="116990830">
      <w:bodyDiv w:val="1"/>
      <w:marLeft w:val="0"/>
      <w:marRight w:val="0"/>
      <w:marTop w:val="0"/>
      <w:marBottom w:val="0"/>
      <w:divBdr>
        <w:top w:val="none" w:sz="0" w:space="0" w:color="auto"/>
        <w:left w:val="none" w:sz="0" w:space="0" w:color="auto"/>
        <w:bottom w:val="none" w:sz="0" w:space="0" w:color="auto"/>
        <w:right w:val="none" w:sz="0" w:space="0" w:color="auto"/>
      </w:divBdr>
      <w:divsChild>
        <w:div w:id="1958949371">
          <w:marLeft w:val="0"/>
          <w:marRight w:val="0"/>
          <w:marTop w:val="0"/>
          <w:marBottom w:val="0"/>
          <w:divBdr>
            <w:top w:val="none" w:sz="0" w:space="0" w:color="auto"/>
            <w:left w:val="none" w:sz="0" w:space="0" w:color="auto"/>
            <w:bottom w:val="dotted" w:sz="6" w:space="4" w:color="DDDDDD"/>
            <w:right w:val="none" w:sz="0" w:space="0" w:color="auto"/>
          </w:divBdr>
          <w:divsChild>
            <w:div w:id="74522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95699">
      <w:bodyDiv w:val="1"/>
      <w:marLeft w:val="0"/>
      <w:marRight w:val="0"/>
      <w:marTop w:val="0"/>
      <w:marBottom w:val="0"/>
      <w:divBdr>
        <w:top w:val="none" w:sz="0" w:space="0" w:color="auto"/>
        <w:left w:val="none" w:sz="0" w:space="0" w:color="auto"/>
        <w:bottom w:val="none" w:sz="0" w:space="0" w:color="auto"/>
        <w:right w:val="none" w:sz="0" w:space="0" w:color="auto"/>
      </w:divBdr>
      <w:divsChild>
        <w:div w:id="1527717930">
          <w:marLeft w:val="0"/>
          <w:marRight w:val="0"/>
          <w:marTop w:val="0"/>
          <w:marBottom w:val="0"/>
          <w:divBdr>
            <w:top w:val="none" w:sz="0" w:space="0" w:color="auto"/>
            <w:left w:val="none" w:sz="0" w:space="0" w:color="auto"/>
            <w:bottom w:val="none" w:sz="0" w:space="0" w:color="auto"/>
            <w:right w:val="none" w:sz="0" w:space="0" w:color="auto"/>
          </w:divBdr>
        </w:div>
      </w:divsChild>
    </w:div>
    <w:div w:id="117263293">
      <w:bodyDiv w:val="1"/>
      <w:marLeft w:val="0"/>
      <w:marRight w:val="0"/>
      <w:marTop w:val="0"/>
      <w:marBottom w:val="0"/>
      <w:divBdr>
        <w:top w:val="none" w:sz="0" w:space="0" w:color="auto"/>
        <w:left w:val="none" w:sz="0" w:space="0" w:color="auto"/>
        <w:bottom w:val="none" w:sz="0" w:space="0" w:color="auto"/>
        <w:right w:val="none" w:sz="0" w:space="0" w:color="auto"/>
      </w:divBdr>
      <w:divsChild>
        <w:div w:id="820268718">
          <w:marLeft w:val="0"/>
          <w:marRight w:val="0"/>
          <w:marTop w:val="0"/>
          <w:marBottom w:val="0"/>
          <w:divBdr>
            <w:top w:val="none" w:sz="0" w:space="0" w:color="auto"/>
            <w:left w:val="none" w:sz="0" w:space="0" w:color="auto"/>
            <w:bottom w:val="dotted" w:sz="6" w:space="4" w:color="DDDDDD"/>
            <w:right w:val="none" w:sz="0" w:space="0" w:color="auto"/>
          </w:divBdr>
          <w:divsChild>
            <w:div w:id="65326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8553">
      <w:bodyDiv w:val="1"/>
      <w:marLeft w:val="0"/>
      <w:marRight w:val="0"/>
      <w:marTop w:val="0"/>
      <w:marBottom w:val="0"/>
      <w:divBdr>
        <w:top w:val="none" w:sz="0" w:space="0" w:color="auto"/>
        <w:left w:val="none" w:sz="0" w:space="0" w:color="auto"/>
        <w:bottom w:val="none" w:sz="0" w:space="0" w:color="auto"/>
        <w:right w:val="none" w:sz="0" w:space="0" w:color="auto"/>
      </w:divBdr>
      <w:divsChild>
        <w:div w:id="635183533">
          <w:marLeft w:val="0"/>
          <w:marRight w:val="0"/>
          <w:marTop w:val="0"/>
          <w:marBottom w:val="0"/>
          <w:divBdr>
            <w:top w:val="none" w:sz="0" w:space="0" w:color="auto"/>
            <w:left w:val="none" w:sz="0" w:space="0" w:color="auto"/>
            <w:bottom w:val="dotted" w:sz="6" w:space="4" w:color="DDDDDD"/>
            <w:right w:val="none" w:sz="0" w:space="0" w:color="auto"/>
          </w:divBdr>
          <w:divsChild>
            <w:div w:id="46362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74094">
      <w:bodyDiv w:val="1"/>
      <w:marLeft w:val="0"/>
      <w:marRight w:val="0"/>
      <w:marTop w:val="0"/>
      <w:marBottom w:val="0"/>
      <w:divBdr>
        <w:top w:val="none" w:sz="0" w:space="0" w:color="auto"/>
        <w:left w:val="none" w:sz="0" w:space="0" w:color="auto"/>
        <w:bottom w:val="none" w:sz="0" w:space="0" w:color="auto"/>
        <w:right w:val="none" w:sz="0" w:space="0" w:color="auto"/>
      </w:divBdr>
      <w:divsChild>
        <w:div w:id="1890875043">
          <w:marLeft w:val="0"/>
          <w:marRight w:val="0"/>
          <w:marTop w:val="0"/>
          <w:marBottom w:val="0"/>
          <w:divBdr>
            <w:top w:val="none" w:sz="0" w:space="0" w:color="auto"/>
            <w:left w:val="none" w:sz="0" w:space="0" w:color="auto"/>
            <w:bottom w:val="dotted" w:sz="6" w:space="4" w:color="DDDDDD"/>
            <w:right w:val="none" w:sz="0" w:space="0" w:color="auto"/>
          </w:divBdr>
        </w:div>
      </w:divsChild>
    </w:div>
    <w:div w:id="118032833">
      <w:bodyDiv w:val="1"/>
      <w:marLeft w:val="0"/>
      <w:marRight w:val="0"/>
      <w:marTop w:val="0"/>
      <w:marBottom w:val="0"/>
      <w:divBdr>
        <w:top w:val="none" w:sz="0" w:space="0" w:color="auto"/>
        <w:left w:val="none" w:sz="0" w:space="0" w:color="auto"/>
        <w:bottom w:val="none" w:sz="0" w:space="0" w:color="auto"/>
        <w:right w:val="none" w:sz="0" w:space="0" w:color="auto"/>
      </w:divBdr>
    </w:div>
    <w:div w:id="118377679">
      <w:bodyDiv w:val="1"/>
      <w:marLeft w:val="0"/>
      <w:marRight w:val="0"/>
      <w:marTop w:val="0"/>
      <w:marBottom w:val="0"/>
      <w:divBdr>
        <w:top w:val="none" w:sz="0" w:space="0" w:color="auto"/>
        <w:left w:val="none" w:sz="0" w:space="0" w:color="auto"/>
        <w:bottom w:val="none" w:sz="0" w:space="0" w:color="auto"/>
        <w:right w:val="none" w:sz="0" w:space="0" w:color="auto"/>
      </w:divBdr>
      <w:divsChild>
        <w:div w:id="168301810">
          <w:marLeft w:val="0"/>
          <w:marRight w:val="0"/>
          <w:marTop w:val="0"/>
          <w:marBottom w:val="0"/>
          <w:divBdr>
            <w:top w:val="none" w:sz="0" w:space="0" w:color="auto"/>
            <w:left w:val="none" w:sz="0" w:space="0" w:color="auto"/>
            <w:bottom w:val="dotted" w:sz="6" w:space="4" w:color="DDDDDD"/>
            <w:right w:val="none" w:sz="0" w:space="0" w:color="auto"/>
          </w:divBdr>
          <w:divsChild>
            <w:div w:id="29584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36789">
      <w:bodyDiv w:val="1"/>
      <w:marLeft w:val="0"/>
      <w:marRight w:val="0"/>
      <w:marTop w:val="0"/>
      <w:marBottom w:val="0"/>
      <w:divBdr>
        <w:top w:val="none" w:sz="0" w:space="0" w:color="auto"/>
        <w:left w:val="none" w:sz="0" w:space="0" w:color="auto"/>
        <w:bottom w:val="none" w:sz="0" w:space="0" w:color="auto"/>
        <w:right w:val="none" w:sz="0" w:space="0" w:color="auto"/>
      </w:divBdr>
      <w:divsChild>
        <w:div w:id="1485126767">
          <w:marLeft w:val="0"/>
          <w:marRight w:val="0"/>
          <w:marTop w:val="0"/>
          <w:marBottom w:val="150"/>
          <w:divBdr>
            <w:top w:val="none" w:sz="0" w:space="0" w:color="auto"/>
            <w:left w:val="none" w:sz="0" w:space="0" w:color="auto"/>
            <w:bottom w:val="none" w:sz="0" w:space="0" w:color="auto"/>
            <w:right w:val="none" w:sz="0" w:space="0" w:color="auto"/>
          </w:divBdr>
        </w:div>
        <w:div w:id="1539202454">
          <w:marLeft w:val="0"/>
          <w:marRight w:val="0"/>
          <w:marTop w:val="0"/>
          <w:marBottom w:val="150"/>
          <w:divBdr>
            <w:top w:val="none" w:sz="0" w:space="0" w:color="auto"/>
            <w:left w:val="none" w:sz="0" w:space="0" w:color="auto"/>
            <w:bottom w:val="none" w:sz="0" w:space="0" w:color="auto"/>
            <w:right w:val="none" w:sz="0" w:space="0" w:color="auto"/>
          </w:divBdr>
          <w:divsChild>
            <w:div w:id="8958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99105">
      <w:bodyDiv w:val="1"/>
      <w:marLeft w:val="0"/>
      <w:marRight w:val="0"/>
      <w:marTop w:val="0"/>
      <w:marBottom w:val="0"/>
      <w:divBdr>
        <w:top w:val="none" w:sz="0" w:space="0" w:color="auto"/>
        <w:left w:val="none" w:sz="0" w:space="0" w:color="auto"/>
        <w:bottom w:val="none" w:sz="0" w:space="0" w:color="auto"/>
        <w:right w:val="none" w:sz="0" w:space="0" w:color="auto"/>
      </w:divBdr>
      <w:divsChild>
        <w:div w:id="1498956615">
          <w:marLeft w:val="0"/>
          <w:marRight w:val="0"/>
          <w:marTop w:val="0"/>
          <w:marBottom w:val="150"/>
          <w:divBdr>
            <w:top w:val="none" w:sz="0" w:space="0" w:color="auto"/>
            <w:left w:val="none" w:sz="0" w:space="0" w:color="auto"/>
            <w:bottom w:val="none" w:sz="0" w:space="0" w:color="auto"/>
            <w:right w:val="none" w:sz="0" w:space="0" w:color="auto"/>
          </w:divBdr>
          <w:divsChild>
            <w:div w:id="1775324952">
              <w:marLeft w:val="0"/>
              <w:marRight w:val="0"/>
              <w:marTop w:val="0"/>
              <w:marBottom w:val="0"/>
              <w:divBdr>
                <w:top w:val="none" w:sz="0" w:space="0" w:color="auto"/>
                <w:left w:val="none" w:sz="0" w:space="0" w:color="auto"/>
                <w:bottom w:val="none" w:sz="0" w:space="0" w:color="auto"/>
                <w:right w:val="none" w:sz="0" w:space="0" w:color="auto"/>
              </w:divBdr>
            </w:div>
          </w:divsChild>
        </w:div>
        <w:div w:id="380910906">
          <w:marLeft w:val="0"/>
          <w:marRight w:val="0"/>
          <w:marTop w:val="0"/>
          <w:marBottom w:val="0"/>
          <w:divBdr>
            <w:top w:val="none" w:sz="0" w:space="0" w:color="auto"/>
            <w:left w:val="none" w:sz="0" w:space="0" w:color="auto"/>
            <w:bottom w:val="none" w:sz="0" w:space="0" w:color="auto"/>
            <w:right w:val="none" w:sz="0" w:space="0" w:color="auto"/>
          </w:divBdr>
        </w:div>
      </w:divsChild>
    </w:div>
    <w:div w:id="119419522">
      <w:bodyDiv w:val="1"/>
      <w:marLeft w:val="0"/>
      <w:marRight w:val="0"/>
      <w:marTop w:val="0"/>
      <w:marBottom w:val="0"/>
      <w:divBdr>
        <w:top w:val="none" w:sz="0" w:space="0" w:color="auto"/>
        <w:left w:val="none" w:sz="0" w:space="0" w:color="auto"/>
        <w:bottom w:val="none" w:sz="0" w:space="0" w:color="auto"/>
        <w:right w:val="none" w:sz="0" w:space="0" w:color="auto"/>
      </w:divBdr>
      <w:divsChild>
        <w:div w:id="1858345402">
          <w:marLeft w:val="0"/>
          <w:marRight w:val="0"/>
          <w:marTop w:val="0"/>
          <w:marBottom w:val="0"/>
          <w:divBdr>
            <w:top w:val="none" w:sz="0" w:space="0" w:color="auto"/>
            <w:left w:val="none" w:sz="0" w:space="0" w:color="auto"/>
            <w:bottom w:val="none" w:sz="0" w:space="0" w:color="auto"/>
            <w:right w:val="none" w:sz="0" w:space="0" w:color="auto"/>
          </w:divBdr>
          <w:divsChild>
            <w:div w:id="88880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80336">
      <w:bodyDiv w:val="1"/>
      <w:marLeft w:val="0"/>
      <w:marRight w:val="0"/>
      <w:marTop w:val="0"/>
      <w:marBottom w:val="0"/>
      <w:divBdr>
        <w:top w:val="none" w:sz="0" w:space="0" w:color="auto"/>
        <w:left w:val="none" w:sz="0" w:space="0" w:color="auto"/>
        <w:bottom w:val="none" w:sz="0" w:space="0" w:color="auto"/>
        <w:right w:val="none" w:sz="0" w:space="0" w:color="auto"/>
      </w:divBdr>
      <w:divsChild>
        <w:div w:id="1901667974">
          <w:marLeft w:val="0"/>
          <w:marRight w:val="0"/>
          <w:marTop w:val="0"/>
          <w:marBottom w:val="0"/>
          <w:divBdr>
            <w:top w:val="none" w:sz="0" w:space="0" w:color="auto"/>
            <w:left w:val="none" w:sz="0" w:space="0" w:color="auto"/>
            <w:bottom w:val="none" w:sz="0" w:space="0" w:color="auto"/>
            <w:right w:val="none" w:sz="0" w:space="0" w:color="auto"/>
          </w:divBdr>
        </w:div>
      </w:divsChild>
    </w:div>
    <w:div w:id="120661264">
      <w:bodyDiv w:val="1"/>
      <w:marLeft w:val="0"/>
      <w:marRight w:val="0"/>
      <w:marTop w:val="0"/>
      <w:marBottom w:val="0"/>
      <w:divBdr>
        <w:top w:val="none" w:sz="0" w:space="0" w:color="auto"/>
        <w:left w:val="none" w:sz="0" w:space="0" w:color="auto"/>
        <w:bottom w:val="none" w:sz="0" w:space="0" w:color="auto"/>
        <w:right w:val="none" w:sz="0" w:space="0" w:color="auto"/>
      </w:divBdr>
      <w:divsChild>
        <w:div w:id="3170270">
          <w:marLeft w:val="0"/>
          <w:marRight w:val="0"/>
          <w:marTop w:val="0"/>
          <w:marBottom w:val="150"/>
          <w:divBdr>
            <w:top w:val="none" w:sz="0" w:space="0" w:color="auto"/>
            <w:left w:val="none" w:sz="0" w:space="0" w:color="auto"/>
            <w:bottom w:val="none" w:sz="0" w:space="0" w:color="auto"/>
            <w:right w:val="none" w:sz="0" w:space="0" w:color="auto"/>
          </w:divBdr>
        </w:div>
        <w:div w:id="152451730">
          <w:marLeft w:val="0"/>
          <w:marRight w:val="0"/>
          <w:marTop w:val="0"/>
          <w:marBottom w:val="150"/>
          <w:divBdr>
            <w:top w:val="none" w:sz="0" w:space="0" w:color="auto"/>
            <w:left w:val="none" w:sz="0" w:space="0" w:color="auto"/>
            <w:bottom w:val="none" w:sz="0" w:space="0" w:color="auto"/>
            <w:right w:val="none" w:sz="0" w:space="0" w:color="auto"/>
          </w:divBdr>
        </w:div>
        <w:div w:id="152599795">
          <w:marLeft w:val="0"/>
          <w:marRight w:val="0"/>
          <w:marTop w:val="0"/>
          <w:marBottom w:val="150"/>
          <w:divBdr>
            <w:top w:val="none" w:sz="0" w:space="0" w:color="auto"/>
            <w:left w:val="none" w:sz="0" w:space="0" w:color="auto"/>
            <w:bottom w:val="none" w:sz="0" w:space="0" w:color="auto"/>
            <w:right w:val="none" w:sz="0" w:space="0" w:color="auto"/>
          </w:divBdr>
        </w:div>
        <w:div w:id="230502253">
          <w:marLeft w:val="0"/>
          <w:marRight w:val="0"/>
          <w:marTop w:val="0"/>
          <w:marBottom w:val="150"/>
          <w:divBdr>
            <w:top w:val="none" w:sz="0" w:space="0" w:color="auto"/>
            <w:left w:val="none" w:sz="0" w:space="0" w:color="auto"/>
            <w:bottom w:val="none" w:sz="0" w:space="0" w:color="auto"/>
            <w:right w:val="none" w:sz="0" w:space="0" w:color="auto"/>
          </w:divBdr>
        </w:div>
        <w:div w:id="244844987">
          <w:marLeft w:val="0"/>
          <w:marRight w:val="0"/>
          <w:marTop w:val="0"/>
          <w:marBottom w:val="150"/>
          <w:divBdr>
            <w:top w:val="none" w:sz="0" w:space="0" w:color="auto"/>
            <w:left w:val="none" w:sz="0" w:space="0" w:color="auto"/>
            <w:bottom w:val="none" w:sz="0" w:space="0" w:color="auto"/>
            <w:right w:val="none" w:sz="0" w:space="0" w:color="auto"/>
          </w:divBdr>
        </w:div>
        <w:div w:id="433014956">
          <w:marLeft w:val="0"/>
          <w:marRight w:val="0"/>
          <w:marTop w:val="0"/>
          <w:marBottom w:val="150"/>
          <w:divBdr>
            <w:top w:val="none" w:sz="0" w:space="0" w:color="auto"/>
            <w:left w:val="none" w:sz="0" w:space="0" w:color="auto"/>
            <w:bottom w:val="none" w:sz="0" w:space="0" w:color="auto"/>
            <w:right w:val="none" w:sz="0" w:space="0" w:color="auto"/>
          </w:divBdr>
        </w:div>
        <w:div w:id="491989579">
          <w:marLeft w:val="0"/>
          <w:marRight w:val="0"/>
          <w:marTop w:val="0"/>
          <w:marBottom w:val="150"/>
          <w:divBdr>
            <w:top w:val="none" w:sz="0" w:space="0" w:color="auto"/>
            <w:left w:val="none" w:sz="0" w:space="0" w:color="auto"/>
            <w:bottom w:val="none" w:sz="0" w:space="0" w:color="auto"/>
            <w:right w:val="none" w:sz="0" w:space="0" w:color="auto"/>
          </w:divBdr>
        </w:div>
        <w:div w:id="543254581">
          <w:marLeft w:val="0"/>
          <w:marRight w:val="0"/>
          <w:marTop w:val="0"/>
          <w:marBottom w:val="150"/>
          <w:divBdr>
            <w:top w:val="none" w:sz="0" w:space="0" w:color="auto"/>
            <w:left w:val="none" w:sz="0" w:space="0" w:color="auto"/>
            <w:bottom w:val="none" w:sz="0" w:space="0" w:color="auto"/>
            <w:right w:val="none" w:sz="0" w:space="0" w:color="auto"/>
          </w:divBdr>
        </w:div>
        <w:div w:id="712920626">
          <w:marLeft w:val="0"/>
          <w:marRight w:val="0"/>
          <w:marTop w:val="0"/>
          <w:marBottom w:val="150"/>
          <w:divBdr>
            <w:top w:val="none" w:sz="0" w:space="0" w:color="auto"/>
            <w:left w:val="none" w:sz="0" w:space="0" w:color="auto"/>
            <w:bottom w:val="none" w:sz="0" w:space="0" w:color="auto"/>
            <w:right w:val="none" w:sz="0" w:space="0" w:color="auto"/>
          </w:divBdr>
        </w:div>
        <w:div w:id="721832551">
          <w:marLeft w:val="0"/>
          <w:marRight w:val="0"/>
          <w:marTop w:val="0"/>
          <w:marBottom w:val="150"/>
          <w:divBdr>
            <w:top w:val="none" w:sz="0" w:space="0" w:color="auto"/>
            <w:left w:val="none" w:sz="0" w:space="0" w:color="auto"/>
            <w:bottom w:val="none" w:sz="0" w:space="0" w:color="auto"/>
            <w:right w:val="none" w:sz="0" w:space="0" w:color="auto"/>
          </w:divBdr>
        </w:div>
        <w:div w:id="749078625">
          <w:marLeft w:val="0"/>
          <w:marRight w:val="0"/>
          <w:marTop w:val="0"/>
          <w:marBottom w:val="150"/>
          <w:divBdr>
            <w:top w:val="none" w:sz="0" w:space="0" w:color="auto"/>
            <w:left w:val="none" w:sz="0" w:space="0" w:color="auto"/>
            <w:bottom w:val="none" w:sz="0" w:space="0" w:color="auto"/>
            <w:right w:val="none" w:sz="0" w:space="0" w:color="auto"/>
          </w:divBdr>
        </w:div>
        <w:div w:id="801383599">
          <w:marLeft w:val="0"/>
          <w:marRight w:val="0"/>
          <w:marTop w:val="0"/>
          <w:marBottom w:val="150"/>
          <w:divBdr>
            <w:top w:val="none" w:sz="0" w:space="0" w:color="auto"/>
            <w:left w:val="none" w:sz="0" w:space="0" w:color="auto"/>
            <w:bottom w:val="none" w:sz="0" w:space="0" w:color="auto"/>
            <w:right w:val="none" w:sz="0" w:space="0" w:color="auto"/>
          </w:divBdr>
        </w:div>
        <w:div w:id="805969929">
          <w:marLeft w:val="0"/>
          <w:marRight w:val="0"/>
          <w:marTop w:val="0"/>
          <w:marBottom w:val="150"/>
          <w:divBdr>
            <w:top w:val="none" w:sz="0" w:space="0" w:color="auto"/>
            <w:left w:val="none" w:sz="0" w:space="0" w:color="auto"/>
            <w:bottom w:val="none" w:sz="0" w:space="0" w:color="auto"/>
            <w:right w:val="none" w:sz="0" w:space="0" w:color="auto"/>
          </w:divBdr>
        </w:div>
        <w:div w:id="1010108953">
          <w:marLeft w:val="0"/>
          <w:marRight w:val="0"/>
          <w:marTop w:val="0"/>
          <w:marBottom w:val="150"/>
          <w:divBdr>
            <w:top w:val="none" w:sz="0" w:space="0" w:color="auto"/>
            <w:left w:val="none" w:sz="0" w:space="0" w:color="auto"/>
            <w:bottom w:val="none" w:sz="0" w:space="0" w:color="auto"/>
            <w:right w:val="none" w:sz="0" w:space="0" w:color="auto"/>
          </w:divBdr>
        </w:div>
        <w:div w:id="1155226437">
          <w:marLeft w:val="0"/>
          <w:marRight w:val="0"/>
          <w:marTop w:val="0"/>
          <w:marBottom w:val="150"/>
          <w:divBdr>
            <w:top w:val="none" w:sz="0" w:space="0" w:color="auto"/>
            <w:left w:val="none" w:sz="0" w:space="0" w:color="auto"/>
            <w:bottom w:val="none" w:sz="0" w:space="0" w:color="auto"/>
            <w:right w:val="none" w:sz="0" w:space="0" w:color="auto"/>
          </w:divBdr>
        </w:div>
        <w:div w:id="1165170603">
          <w:marLeft w:val="0"/>
          <w:marRight w:val="0"/>
          <w:marTop w:val="0"/>
          <w:marBottom w:val="150"/>
          <w:divBdr>
            <w:top w:val="none" w:sz="0" w:space="0" w:color="auto"/>
            <w:left w:val="none" w:sz="0" w:space="0" w:color="auto"/>
            <w:bottom w:val="none" w:sz="0" w:space="0" w:color="auto"/>
            <w:right w:val="none" w:sz="0" w:space="0" w:color="auto"/>
          </w:divBdr>
        </w:div>
        <w:div w:id="1295673077">
          <w:marLeft w:val="0"/>
          <w:marRight w:val="0"/>
          <w:marTop w:val="0"/>
          <w:marBottom w:val="150"/>
          <w:divBdr>
            <w:top w:val="none" w:sz="0" w:space="0" w:color="auto"/>
            <w:left w:val="none" w:sz="0" w:space="0" w:color="auto"/>
            <w:bottom w:val="none" w:sz="0" w:space="0" w:color="auto"/>
            <w:right w:val="none" w:sz="0" w:space="0" w:color="auto"/>
          </w:divBdr>
        </w:div>
        <w:div w:id="1341351082">
          <w:marLeft w:val="0"/>
          <w:marRight w:val="0"/>
          <w:marTop w:val="0"/>
          <w:marBottom w:val="150"/>
          <w:divBdr>
            <w:top w:val="none" w:sz="0" w:space="0" w:color="auto"/>
            <w:left w:val="none" w:sz="0" w:space="0" w:color="auto"/>
            <w:bottom w:val="none" w:sz="0" w:space="0" w:color="auto"/>
            <w:right w:val="none" w:sz="0" w:space="0" w:color="auto"/>
          </w:divBdr>
        </w:div>
        <w:div w:id="1407261746">
          <w:marLeft w:val="0"/>
          <w:marRight w:val="0"/>
          <w:marTop w:val="0"/>
          <w:marBottom w:val="150"/>
          <w:divBdr>
            <w:top w:val="none" w:sz="0" w:space="0" w:color="auto"/>
            <w:left w:val="none" w:sz="0" w:space="0" w:color="auto"/>
            <w:bottom w:val="none" w:sz="0" w:space="0" w:color="auto"/>
            <w:right w:val="none" w:sz="0" w:space="0" w:color="auto"/>
          </w:divBdr>
        </w:div>
        <w:div w:id="1468357997">
          <w:marLeft w:val="0"/>
          <w:marRight w:val="0"/>
          <w:marTop w:val="0"/>
          <w:marBottom w:val="150"/>
          <w:divBdr>
            <w:top w:val="none" w:sz="0" w:space="0" w:color="auto"/>
            <w:left w:val="none" w:sz="0" w:space="0" w:color="auto"/>
            <w:bottom w:val="none" w:sz="0" w:space="0" w:color="auto"/>
            <w:right w:val="none" w:sz="0" w:space="0" w:color="auto"/>
          </w:divBdr>
        </w:div>
        <w:div w:id="1494680980">
          <w:marLeft w:val="0"/>
          <w:marRight w:val="0"/>
          <w:marTop w:val="0"/>
          <w:marBottom w:val="150"/>
          <w:divBdr>
            <w:top w:val="none" w:sz="0" w:space="0" w:color="auto"/>
            <w:left w:val="none" w:sz="0" w:space="0" w:color="auto"/>
            <w:bottom w:val="none" w:sz="0" w:space="0" w:color="auto"/>
            <w:right w:val="none" w:sz="0" w:space="0" w:color="auto"/>
          </w:divBdr>
        </w:div>
        <w:div w:id="1653875928">
          <w:marLeft w:val="0"/>
          <w:marRight w:val="0"/>
          <w:marTop w:val="0"/>
          <w:marBottom w:val="150"/>
          <w:divBdr>
            <w:top w:val="none" w:sz="0" w:space="0" w:color="auto"/>
            <w:left w:val="none" w:sz="0" w:space="0" w:color="auto"/>
            <w:bottom w:val="none" w:sz="0" w:space="0" w:color="auto"/>
            <w:right w:val="none" w:sz="0" w:space="0" w:color="auto"/>
          </w:divBdr>
        </w:div>
        <w:div w:id="1755663895">
          <w:marLeft w:val="0"/>
          <w:marRight w:val="0"/>
          <w:marTop w:val="0"/>
          <w:marBottom w:val="150"/>
          <w:divBdr>
            <w:top w:val="none" w:sz="0" w:space="0" w:color="auto"/>
            <w:left w:val="none" w:sz="0" w:space="0" w:color="auto"/>
            <w:bottom w:val="none" w:sz="0" w:space="0" w:color="auto"/>
            <w:right w:val="none" w:sz="0" w:space="0" w:color="auto"/>
          </w:divBdr>
        </w:div>
        <w:div w:id="1769504538">
          <w:marLeft w:val="0"/>
          <w:marRight w:val="0"/>
          <w:marTop w:val="0"/>
          <w:marBottom w:val="150"/>
          <w:divBdr>
            <w:top w:val="none" w:sz="0" w:space="0" w:color="auto"/>
            <w:left w:val="none" w:sz="0" w:space="0" w:color="auto"/>
            <w:bottom w:val="none" w:sz="0" w:space="0" w:color="auto"/>
            <w:right w:val="none" w:sz="0" w:space="0" w:color="auto"/>
          </w:divBdr>
        </w:div>
        <w:div w:id="1821577446">
          <w:marLeft w:val="0"/>
          <w:marRight w:val="0"/>
          <w:marTop w:val="0"/>
          <w:marBottom w:val="150"/>
          <w:divBdr>
            <w:top w:val="none" w:sz="0" w:space="0" w:color="auto"/>
            <w:left w:val="none" w:sz="0" w:space="0" w:color="auto"/>
            <w:bottom w:val="none" w:sz="0" w:space="0" w:color="auto"/>
            <w:right w:val="none" w:sz="0" w:space="0" w:color="auto"/>
          </w:divBdr>
        </w:div>
        <w:div w:id="1861970292">
          <w:marLeft w:val="0"/>
          <w:marRight w:val="0"/>
          <w:marTop w:val="0"/>
          <w:marBottom w:val="150"/>
          <w:divBdr>
            <w:top w:val="none" w:sz="0" w:space="0" w:color="auto"/>
            <w:left w:val="none" w:sz="0" w:space="0" w:color="auto"/>
            <w:bottom w:val="none" w:sz="0" w:space="0" w:color="auto"/>
            <w:right w:val="none" w:sz="0" w:space="0" w:color="auto"/>
          </w:divBdr>
        </w:div>
        <w:div w:id="1875724609">
          <w:marLeft w:val="0"/>
          <w:marRight w:val="0"/>
          <w:marTop w:val="0"/>
          <w:marBottom w:val="150"/>
          <w:divBdr>
            <w:top w:val="none" w:sz="0" w:space="0" w:color="auto"/>
            <w:left w:val="none" w:sz="0" w:space="0" w:color="auto"/>
            <w:bottom w:val="none" w:sz="0" w:space="0" w:color="auto"/>
            <w:right w:val="none" w:sz="0" w:space="0" w:color="auto"/>
          </w:divBdr>
        </w:div>
        <w:div w:id="1950164952">
          <w:marLeft w:val="0"/>
          <w:marRight w:val="0"/>
          <w:marTop w:val="0"/>
          <w:marBottom w:val="150"/>
          <w:divBdr>
            <w:top w:val="none" w:sz="0" w:space="0" w:color="auto"/>
            <w:left w:val="none" w:sz="0" w:space="0" w:color="auto"/>
            <w:bottom w:val="none" w:sz="0" w:space="0" w:color="auto"/>
            <w:right w:val="none" w:sz="0" w:space="0" w:color="auto"/>
          </w:divBdr>
        </w:div>
        <w:div w:id="2004428569">
          <w:marLeft w:val="0"/>
          <w:marRight w:val="0"/>
          <w:marTop w:val="0"/>
          <w:marBottom w:val="150"/>
          <w:divBdr>
            <w:top w:val="none" w:sz="0" w:space="0" w:color="auto"/>
            <w:left w:val="none" w:sz="0" w:space="0" w:color="auto"/>
            <w:bottom w:val="none" w:sz="0" w:space="0" w:color="auto"/>
            <w:right w:val="none" w:sz="0" w:space="0" w:color="auto"/>
          </w:divBdr>
        </w:div>
        <w:div w:id="2084832466">
          <w:marLeft w:val="0"/>
          <w:marRight w:val="0"/>
          <w:marTop w:val="0"/>
          <w:marBottom w:val="150"/>
          <w:divBdr>
            <w:top w:val="none" w:sz="0" w:space="0" w:color="auto"/>
            <w:left w:val="none" w:sz="0" w:space="0" w:color="auto"/>
            <w:bottom w:val="none" w:sz="0" w:space="0" w:color="auto"/>
            <w:right w:val="none" w:sz="0" w:space="0" w:color="auto"/>
          </w:divBdr>
        </w:div>
        <w:div w:id="2095323905">
          <w:marLeft w:val="0"/>
          <w:marRight w:val="0"/>
          <w:marTop w:val="0"/>
          <w:marBottom w:val="150"/>
          <w:divBdr>
            <w:top w:val="none" w:sz="0" w:space="0" w:color="auto"/>
            <w:left w:val="none" w:sz="0" w:space="0" w:color="auto"/>
            <w:bottom w:val="none" w:sz="0" w:space="0" w:color="auto"/>
            <w:right w:val="none" w:sz="0" w:space="0" w:color="auto"/>
          </w:divBdr>
        </w:div>
        <w:div w:id="2114089643">
          <w:marLeft w:val="0"/>
          <w:marRight w:val="0"/>
          <w:marTop w:val="0"/>
          <w:marBottom w:val="150"/>
          <w:divBdr>
            <w:top w:val="none" w:sz="0" w:space="0" w:color="auto"/>
            <w:left w:val="none" w:sz="0" w:space="0" w:color="auto"/>
            <w:bottom w:val="none" w:sz="0" w:space="0" w:color="auto"/>
            <w:right w:val="none" w:sz="0" w:space="0" w:color="auto"/>
          </w:divBdr>
        </w:div>
        <w:div w:id="2119908000">
          <w:marLeft w:val="0"/>
          <w:marRight w:val="0"/>
          <w:marTop w:val="0"/>
          <w:marBottom w:val="150"/>
          <w:divBdr>
            <w:top w:val="none" w:sz="0" w:space="0" w:color="auto"/>
            <w:left w:val="none" w:sz="0" w:space="0" w:color="auto"/>
            <w:bottom w:val="none" w:sz="0" w:space="0" w:color="auto"/>
            <w:right w:val="none" w:sz="0" w:space="0" w:color="auto"/>
          </w:divBdr>
        </w:div>
      </w:divsChild>
    </w:div>
    <w:div w:id="121267332">
      <w:bodyDiv w:val="1"/>
      <w:marLeft w:val="0"/>
      <w:marRight w:val="0"/>
      <w:marTop w:val="0"/>
      <w:marBottom w:val="0"/>
      <w:divBdr>
        <w:top w:val="none" w:sz="0" w:space="0" w:color="auto"/>
        <w:left w:val="none" w:sz="0" w:space="0" w:color="auto"/>
        <w:bottom w:val="none" w:sz="0" w:space="0" w:color="auto"/>
        <w:right w:val="none" w:sz="0" w:space="0" w:color="auto"/>
      </w:divBdr>
      <w:divsChild>
        <w:div w:id="6567726">
          <w:marLeft w:val="0"/>
          <w:marRight w:val="0"/>
          <w:marTop w:val="0"/>
          <w:marBottom w:val="0"/>
          <w:divBdr>
            <w:top w:val="none" w:sz="0" w:space="0" w:color="auto"/>
            <w:left w:val="none" w:sz="0" w:space="0" w:color="auto"/>
            <w:bottom w:val="dotted" w:sz="6" w:space="4" w:color="DDDDDD"/>
            <w:right w:val="none" w:sz="0" w:space="0" w:color="auto"/>
          </w:divBdr>
        </w:div>
      </w:divsChild>
    </w:div>
    <w:div w:id="121270596">
      <w:bodyDiv w:val="1"/>
      <w:marLeft w:val="0"/>
      <w:marRight w:val="0"/>
      <w:marTop w:val="0"/>
      <w:marBottom w:val="0"/>
      <w:divBdr>
        <w:top w:val="none" w:sz="0" w:space="0" w:color="auto"/>
        <w:left w:val="none" w:sz="0" w:space="0" w:color="auto"/>
        <w:bottom w:val="none" w:sz="0" w:space="0" w:color="auto"/>
        <w:right w:val="none" w:sz="0" w:space="0" w:color="auto"/>
      </w:divBdr>
      <w:divsChild>
        <w:div w:id="409351509">
          <w:marLeft w:val="0"/>
          <w:marRight w:val="0"/>
          <w:marTop w:val="0"/>
          <w:marBottom w:val="0"/>
          <w:divBdr>
            <w:top w:val="none" w:sz="0" w:space="0" w:color="auto"/>
            <w:left w:val="none" w:sz="0" w:space="0" w:color="auto"/>
            <w:bottom w:val="none" w:sz="0" w:space="0" w:color="auto"/>
            <w:right w:val="none" w:sz="0" w:space="0" w:color="auto"/>
          </w:divBdr>
          <w:divsChild>
            <w:div w:id="352877337">
              <w:marLeft w:val="0"/>
              <w:marRight w:val="0"/>
              <w:marTop w:val="0"/>
              <w:marBottom w:val="0"/>
              <w:divBdr>
                <w:top w:val="none" w:sz="0" w:space="0" w:color="auto"/>
                <w:left w:val="none" w:sz="0" w:space="0" w:color="auto"/>
                <w:bottom w:val="none" w:sz="0" w:space="0" w:color="auto"/>
                <w:right w:val="none" w:sz="0" w:space="0" w:color="auto"/>
              </w:divBdr>
              <w:divsChild>
                <w:div w:id="2120878865">
                  <w:marLeft w:val="0"/>
                  <w:marRight w:val="0"/>
                  <w:marTop w:val="0"/>
                  <w:marBottom w:val="0"/>
                  <w:divBdr>
                    <w:top w:val="none" w:sz="0" w:space="0" w:color="auto"/>
                    <w:left w:val="none" w:sz="0" w:space="0" w:color="auto"/>
                    <w:bottom w:val="none" w:sz="0" w:space="0" w:color="auto"/>
                    <w:right w:val="none" w:sz="0" w:space="0" w:color="auto"/>
                  </w:divBdr>
                  <w:divsChild>
                    <w:div w:id="1092161987">
                      <w:marLeft w:val="0"/>
                      <w:marRight w:val="0"/>
                      <w:marTop w:val="0"/>
                      <w:marBottom w:val="0"/>
                      <w:divBdr>
                        <w:top w:val="none" w:sz="0" w:space="0" w:color="auto"/>
                        <w:left w:val="none" w:sz="0" w:space="0" w:color="auto"/>
                        <w:bottom w:val="none" w:sz="0" w:space="0" w:color="auto"/>
                        <w:right w:val="none" w:sz="0" w:space="0" w:color="auto"/>
                      </w:divBdr>
                      <w:divsChild>
                        <w:div w:id="1386877248">
                          <w:marLeft w:val="0"/>
                          <w:marRight w:val="0"/>
                          <w:marTop w:val="0"/>
                          <w:marBottom w:val="0"/>
                          <w:divBdr>
                            <w:top w:val="none" w:sz="0" w:space="0" w:color="auto"/>
                            <w:left w:val="none" w:sz="0" w:space="0" w:color="auto"/>
                            <w:bottom w:val="none" w:sz="0" w:space="0" w:color="auto"/>
                            <w:right w:val="none" w:sz="0" w:space="0" w:color="auto"/>
                          </w:divBdr>
                          <w:divsChild>
                            <w:div w:id="501969997">
                              <w:marLeft w:val="0"/>
                              <w:marRight w:val="0"/>
                              <w:marTop w:val="0"/>
                              <w:marBottom w:val="0"/>
                              <w:divBdr>
                                <w:top w:val="none" w:sz="0" w:space="0" w:color="auto"/>
                                <w:left w:val="none" w:sz="0" w:space="0" w:color="auto"/>
                                <w:bottom w:val="none" w:sz="0" w:space="0" w:color="auto"/>
                                <w:right w:val="none" w:sz="0" w:space="0" w:color="auto"/>
                              </w:divBdr>
                              <w:divsChild>
                                <w:div w:id="657222551">
                                  <w:marLeft w:val="0"/>
                                  <w:marRight w:val="0"/>
                                  <w:marTop w:val="0"/>
                                  <w:marBottom w:val="0"/>
                                  <w:divBdr>
                                    <w:top w:val="none" w:sz="0" w:space="0" w:color="auto"/>
                                    <w:left w:val="none" w:sz="0" w:space="0" w:color="auto"/>
                                    <w:bottom w:val="none" w:sz="0" w:space="0" w:color="auto"/>
                                    <w:right w:val="none" w:sz="0" w:space="0" w:color="auto"/>
                                  </w:divBdr>
                                  <w:divsChild>
                                    <w:div w:id="1880629354">
                                      <w:marLeft w:val="0"/>
                                      <w:marRight w:val="0"/>
                                      <w:marTop w:val="0"/>
                                      <w:marBottom w:val="0"/>
                                      <w:divBdr>
                                        <w:top w:val="none" w:sz="0" w:space="0" w:color="auto"/>
                                        <w:left w:val="none" w:sz="0" w:space="0" w:color="auto"/>
                                        <w:bottom w:val="none" w:sz="0" w:space="0" w:color="auto"/>
                                        <w:right w:val="none" w:sz="0" w:space="0" w:color="auto"/>
                                      </w:divBdr>
                                      <w:divsChild>
                                        <w:div w:id="902177337">
                                          <w:marLeft w:val="0"/>
                                          <w:marRight w:val="0"/>
                                          <w:marTop w:val="0"/>
                                          <w:marBottom w:val="0"/>
                                          <w:divBdr>
                                            <w:top w:val="none" w:sz="0" w:space="0" w:color="auto"/>
                                            <w:left w:val="none" w:sz="0" w:space="0" w:color="auto"/>
                                            <w:bottom w:val="none" w:sz="0" w:space="0" w:color="auto"/>
                                            <w:right w:val="none" w:sz="0" w:space="0" w:color="auto"/>
                                          </w:divBdr>
                                          <w:divsChild>
                                            <w:div w:id="33430011">
                                              <w:marLeft w:val="0"/>
                                              <w:marRight w:val="0"/>
                                              <w:marTop w:val="0"/>
                                              <w:marBottom w:val="0"/>
                                              <w:divBdr>
                                                <w:top w:val="none" w:sz="0" w:space="0" w:color="auto"/>
                                                <w:left w:val="none" w:sz="0" w:space="0" w:color="auto"/>
                                                <w:bottom w:val="none" w:sz="0" w:space="0" w:color="auto"/>
                                                <w:right w:val="none" w:sz="0" w:space="0" w:color="auto"/>
                                              </w:divBdr>
                                            </w:div>
                                            <w:div w:id="54858697">
                                              <w:marLeft w:val="0"/>
                                              <w:marRight w:val="0"/>
                                              <w:marTop w:val="0"/>
                                              <w:marBottom w:val="0"/>
                                              <w:divBdr>
                                                <w:top w:val="none" w:sz="0" w:space="0" w:color="auto"/>
                                                <w:left w:val="none" w:sz="0" w:space="0" w:color="auto"/>
                                                <w:bottom w:val="none" w:sz="0" w:space="0" w:color="auto"/>
                                                <w:right w:val="none" w:sz="0" w:space="0" w:color="auto"/>
                                              </w:divBdr>
                                            </w:div>
                                            <w:div w:id="178617471">
                                              <w:marLeft w:val="0"/>
                                              <w:marRight w:val="0"/>
                                              <w:marTop w:val="0"/>
                                              <w:marBottom w:val="0"/>
                                              <w:divBdr>
                                                <w:top w:val="none" w:sz="0" w:space="0" w:color="auto"/>
                                                <w:left w:val="none" w:sz="0" w:space="0" w:color="auto"/>
                                                <w:bottom w:val="none" w:sz="0" w:space="0" w:color="auto"/>
                                                <w:right w:val="none" w:sz="0" w:space="0" w:color="auto"/>
                                              </w:divBdr>
                                            </w:div>
                                            <w:div w:id="184680695">
                                              <w:marLeft w:val="0"/>
                                              <w:marRight w:val="0"/>
                                              <w:marTop w:val="0"/>
                                              <w:marBottom w:val="0"/>
                                              <w:divBdr>
                                                <w:top w:val="none" w:sz="0" w:space="0" w:color="auto"/>
                                                <w:left w:val="none" w:sz="0" w:space="0" w:color="auto"/>
                                                <w:bottom w:val="none" w:sz="0" w:space="0" w:color="auto"/>
                                                <w:right w:val="none" w:sz="0" w:space="0" w:color="auto"/>
                                              </w:divBdr>
                                            </w:div>
                                            <w:div w:id="196352561">
                                              <w:marLeft w:val="0"/>
                                              <w:marRight w:val="0"/>
                                              <w:marTop w:val="0"/>
                                              <w:marBottom w:val="0"/>
                                              <w:divBdr>
                                                <w:top w:val="none" w:sz="0" w:space="0" w:color="auto"/>
                                                <w:left w:val="none" w:sz="0" w:space="0" w:color="auto"/>
                                                <w:bottom w:val="none" w:sz="0" w:space="0" w:color="auto"/>
                                                <w:right w:val="none" w:sz="0" w:space="0" w:color="auto"/>
                                              </w:divBdr>
                                            </w:div>
                                            <w:div w:id="212541935">
                                              <w:marLeft w:val="0"/>
                                              <w:marRight w:val="0"/>
                                              <w:marTop w:val="0"/>
                                              <w:marBottom w:val="0"/>
                                              <w:divBdr>
                                                <w:top w:val="none" w:sz="0" w:space="0" w:color="auto"/>
                                                <w:left w:val="none" w:sz="0" w:space="0" w:color="auto"/>
                                                <w:bottom w:val="none" w:sz="0" w:space="0" w:color="auto"/>
                                                <w:right w:val="none" w:sz="0" w:space="0" w:color="auto"/>
                                              </w:divBdr>
                                            </w:div>
                                            <w:div w:id="281688514">
                                              <w:marLeft w:val="0"/>
                                              <w:marRight w:val="0"/>
                                              <w:marTop w:val="0"/>
                                              <w:marBottom w:val="0"/>
                                              <w:divBdr>
                                                <w:top w:val="none" w:sz="0" w:space="0" w:color="auto"/>
                                                <w:left w:val="none" w:sz="0" w:space="0" w:color="auto"/>
                                                <w:bottom w:val="none" w:sz="0" w:space="0" w:color="auto"/>
                                                <w:right w:val="none" w:sz="0" w:space="0" w:color="auto"/>
                                              </w:divBdr>
                                            </w:div>
                                            <w:div w:id="599916934">
                                              <w:marLeft w:val="0"/>
                                              <w:marRight w:val="0"/>
                                              <w:marTop w:val="0"/>
                                              <w:marBottom w:val="0"/>
                                              <w:divBdr>
                                                <w:top w:val="none" w:sz="0" w:space="0" w:color="auto"/>
                                                <w:left w:val="none" w:sz="0" w:space="0" w:color="auto"/>
                                                <w:bottom w:val="none" w:sz="0" w:space="0" w:color="auto"/>
                                                <w:right w:val="none" w:sz="0" w:space="0" w:color="auto"/>
                                              </w:divBdr>
                                            </w:div>
                                            <w:div w:id="841548480">
                                              <w:marLeft w:val="0"/>
                                              <w:marRight w:val="0"/>
                                              <w:marTop w:val="0"/>
                                              <w:marBottom w:val="0"/>
                                              <w:divBdr>
                                                <w:top w:val="none" w:sz="0" w:space="0" w:color="auto"/>
                                                <w:left w:val="none" w:sz="0" w:space="0" w:color="auto"/>
                                                <w:bottom w:val="none" w:sz="0" w:space="0" w:color="auto"/>
                                                <w:right w:val="none" w:sz="0" w:space="0" w:color="auto"/>
                                              </w:divBdr>
                                            </w:div>
                                            <w:div w:id="973484969">
                                              <w:marLeft w:val="0"/>
                                              <w:marRight w:val="0"/>
                                              <w:marTop w:val="0"/>
                                              <w:marBottom w:val="0"/>
                                              <w:divBdr>
                                                <w:top w:val="none" w:sz="0" w:space="0" w:color="auto"/>
                                                <w:left w:val="none" w:sz="0" w:space="0" w:color="auto"/>
                                                <w:bottom w:val="none" w:sz="0" w:space="0" w:color="auto"/>
                                                <w:right w:val="none" w:sz="0" w:space="0" w:color="auto"/>
                                              </w:divBdr>
                                            </w:div>
                                            <w:div w:id="1084377704">
                                              <w:marLeft w:val="0"/>
                                              <w:marRight w:val="0"/>
                                              <w:marTop w:val="0"/>
                                              <w:marBottom w:val="0"/>
                                              <w:divBdr>
                                                <w:top w:val="none" w:sz="0" w:space="0" w:color="auto"/>
                                                <w:left w:val="none" w:sz="0" w:space="0" w:color="auto"/>
                                                <w:bottom w:val="none" w:sz="0" w:space="0" w:color="auto"/>
                                                <w:right w:val="none" w:sz="0" w:space="0" w:color="auto"/>
                                              </w:divBdr>
                                            </w:div>
                                            <w:div w:id="1369601209">
                                              <w:marLeft w:val="0"/>
                                              <w:marRight w:val="0"/>
                                              <w:marTop w:val="0"/>
                                              <w:marBottom w:val="0"/>
                                              <w:divBdr>
                                                <w:top w:val="none" w:sz="0" w:space="0" w:color="auto"/>
                                                <w:left w:val="none" w:sz="0" w:space="0" w:color="auto"/>
                                                <w:bottom w:val="none" w:sz="0" w:space="0" w:color="auto"/>
                                                <w:right w:val="none" w:sz="0" w:space="0" w:color="auto"/>
                                              </w:divBdr>
                                            </w:div>
                                            <w:div w:id="1393384006">
                                              <w:marLeft w:val="0"/>
                                              <w:marRight w:val="0"/>
                                              <w:marTop w:val="0"/>
                                              <w:marBottom w:val="0"/>
                                              <w:divBdr>
                                                <w:top w:val="none" w:sz="0" w:space="0" w:color="auto"/>
                                                <w:left w:val="none" w:sz="0" w:space="0" w:color="auto"/>
                                                <w:bottom w:val="none" w:sz="0" w:space="0" w:color="auto"/>
                                                <w:right w:val="none" w:sz="0" w:space="0" w:color="auto"/>
                                              </w:divBdr>
                                            </w:div>
                                            <w:div w:id="1435323398">
                                              <w:marLeft w:val="0"/>
                                              <w:marRight w:val="0"/>
                                              <w:marTop w:val="0"/>
                                              <w:marBottom w:val="0"/>
                                              <w:divBdr>
                                                <w:top w:val="none" w:sz="0" w:space="0" w:color="auto"/>
                                                <w:left w:val="none" w:sz="0" w:space="0" w:color="auto"/>
                                                <w:bottom w:val="none" w:sz="0" w:space="0" w:color="auto"/>
                                                <w:right w:val="none" w:sz="0" w:space="0" w:color="auto"/>
                                              </w:divBdr>
                                            </w:div>
                                            <w:div w:id="152065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852428">
      <w:bodyDiv w:val="1"/>
      <w:marLeft w:val="0"/>
      <w:marRight w:val="0"/>
      <w:marTop w:val="0"/>
      <w:marBottom w:val="0"/>
      <w:divBdr>
        <w:top w:val="none" w:sz="0" w:space="0" w:color="auto"/>
        <w:left w:val="none" w:sz="0" w:space="0" w:color="auto"/>
        <w:bottom w:val="none" w:sz="0" w:space="0" w:color="auto"/>
        <w:right w:val="none" w:sz="0" w:space="0" w:color="auto"/>
      </w:divBdr>
      <w:divsChild>
        <w:div w:id="478424681">
          <w:marLeft w:val="0"/>
          <w:marRight w:val="0"/>
          <w:marTop w:val="0"/>
          <w:marBottom w:val="180"/>
          <w:divBdr>
            <w:top w:val="none" w:sz="0" w:space="0" w:color="auto"/>
            <w:left w:val="none" w:sz="0" w:space="0" w:color="auto"/>
            <w:bottom w:val="none" w:sz="0" w:space="0" w:color="auto"/>
            <w:right w:val="none" w:sz="0" w:space="0" w:color="auto"/>
          </w:divBdr>
        </w:div>
      </w:divsChild>
    </w:div>
    <w:div w:id="121925299">
      <w:bodyDiv w:val="1"/>
      <w:marLeft w:val="0"/>
      <w:marRight w:val="0"/>
      <w:marTop w:val="0"/>
      <w:marBottom w:val="0"/>
      <w:divBdr>
        <w:top w:val="none" w:sz="0" w:space="0" w:color="auto"/>
        <w:left w:val="none" w:sz="0" w:space="0" w:color="auto"/>
        <w:bottom w:val="none" w:sz="0" w:space="0" w:color="auto"/>
        <w:right w:val="none" w:sz="0" w:space="0" w:color="auto"/>
      </w:divBdr>
      <w:divsChild>
        <w:div w:id="954211790">
          <w:marLeft w:val="0"/>
          <w:marRight w:val="0"/>
          <w:marTop w:val="0"/>
          <w:marBottom w:val="0"/>
          <w:divBdr>
            <w:top w:val="none" w:sz="0" w:space="0" w:color="auto"/>
            <w:left w:val="none" w:sz="0" w:space="0" w:color="auto"/>
            <w:bottom w:val="dotted" w:sz="6" w:space="4" w:color="DDDDDD"/>
            <w:right w:val="none" w:sz="0" w:space="0" w:color="auto"/>
          </w:divBdr>
        </w:div>
      </w:divsChild>
    </w:div>
    <w:div w:id="122233157">
      <w:bodyDiv w:val="1"/>
      <w:marLeft w:val="0"/>
      <w:marRight w:val="0"/>
      <w:marTop w:val="0"/>
      <w:marBottom w:val="0"/>
      <w:divBdr>
        <w:top w:val="none" w:sz="0" w:space="0" w:color="auto"/>
        <w:left w:val="none" w:sz="0" w:space="0" w:color="auto"/>
        <w:bottom w:val="none" w:sz="0" w:space="0" w:color="auto"/>
        <w:right w:val="none" w:sz="0" w:space="0" w:color="auto"/>
      </w:divBdr>
    </w:div>
    <w:div w:id="122576051">
      <w:bodyDiv w:val="1"/>
      <w:marLeft w:val="0"/>
      <w:marRight w:val="0"/>
      <w:marTop w:val="0"/>
      <w:marBottom w:val="0"/>
      <w:divBdr>
        <w:top w:val="none" w:sz="0" w:space="0" w:color="auto"/>
        <w:left w:val="none" w:sz="0" w:space="0" w:color="auto"/>
        <w:bottom w:val="none" w:sz="0" w:space="0" w:color="auto"/>
        <w:right w:val="none" w:sz="0" w:space="0" w:color="auto"/>
      </w:divBdr>
    </w:div>
    <w:div w:id="122582762">
      <w:bodyDiv w:val="1"/>
      <w:marLeft w:val="0"/>
      <w:marRight w:val="0"/>
      <w:marTop w:val="0"/>
      <w:marBottom w:val="0"/>
      <w:divBdr>
        <w:top w:val="none" w:sz="0" w:space="0" w:color="auto"/>
        <w:left w:val="none" w:sz="0" w:space="0" w:color="auto"/>
        <w:bottom w:val="none" w:sz="0" w:space="0" w:color="auto"/>
        <w:right w:val="none" w:sz="0" w:space="0" w:color="auto"/>
      </w:divBdr>
      <w:divsChild>
        <w:div w:id="1612514795">
          <w:marLeft w:val="0"/>
          <w:marRight w:val="0"/>
          <w:marTop w:val="0"/>
          <w:marBottom w:val="150"/>
          <w:divBdr>
            <w:top w:val="none" w:sz="0" w:space="0" w:color="auto"/>
            <w:left w:val="none" w:sz="0" w:space="0" w:color="auto"/>
            <w:bottom w:val="none" w:sz="0" w:space="0" w:color="auto"/>
            <w:right w:val="none" w:sz="0" w:space="0" w:color="auto"/>
          </w:divBdr>
        </w:div>
      </w:divsChild>
    </w:div>
    <w:div w:id="123233195">
      <w:bodyDiv w:val="1"/>
      <w:marLeft w:val="0"/>
      <w:marRight w:val="0"/>
      <w:marTop w:val="0"/>
      <w:marBottom w:val="0"/>
      <w:divBdr>
        <w:top w:val="none" w:sz="0" w:space="0" w:color="auto"/>
        <w:left w:val="none" w:sz="0" w:space="0" w:color="auto"/>
        <w:bottom w:val="none" w:sz="0" w:space="0" w:color="auto"/>
        <w:right w:val="none" w:sz="0" w:space="0" w:color="auto"/>
      </w:divBdr>
      <w:divsChild>
        <w:div w:id="1153646984">
          <w:marLeft w:val="0"/>
          <w:marRight w:val="0"/>
          <w:marTop w:val="0"/>
          <w:marBottom w:val="150"/>
          <w:divBdr>
            <w:top w:val="none" w:sz="0" w:space="0" w:color="auto"/>
            <w:left w:val="none" w:sz="0" w:space="0" w:color="auto"/>
            <w:bottom w:val="none" w:sz="0" w:space="0" w:color="auto"/>
            <w:right w:val="none" w:sz="0" w:space="0" w:color="auto"/>
          </w:divBdr>
        </w:div>
      </w:divsChild>
    </w:div>
    <w:div w:id="123278829">
      <w:bodyDiv w:val="1"/>
      <w:marLeft w:val="0"/>
      <w:marRight w:val="0"/>
      <w:marTop w:val="0"/>
      <w:marBottom w:val="0"/>
      <w:divBdr>
        <w:top w:val="none" w:sz="0" w:space="0" w:color="auto"/>
        <w:left w:val="none" w:sz="0" w:space="0" w:color="auto"/>
        <w:bottom w:val="none" w:sz="0" w:space="0" w:color="auto"/>
        <w:right w:val="none" w:sz="0" w:space="0" w:color="auto"/>
      </w:divBdr>
      <w:divsChild>
        <w:div w:id="2030793790">
          <w:marLeft w:val="0"/>
          <w:marRight w:val="0"/>
          <w:marTop w:val="0"/>
          <w:marBottom w:val="0"/>
          <w:divBdr>
            <w:top w:val="none" w:sz="0" w:space="0" w:color="auto"/>
            <w:left w:val="none" w:sz="0" w:space="0" w:color="auto"/>
            <w:bottom w:val="none" w:sz="0" w:space="0" w:color="auto"/>
            <w:right w:val="none" w:sz="0" w:space="0" w:color="auto"/>
          </w:divBdr>
        </w:div>
      </w:divsChild>
    </w:div>
    <w:div w:id="123741174">
      <w:bodyDiv w:val="1"/>
      <w:marLeft w:val="0"/>
      <w:marRight w:val="0"/>
      <w:marTop w:val="0"/>
      <w:marBottom w:val="0"/>
      <w:divBdr>
        <w:top w:val="none" w:sz="0" w:space="0" w:color="auto"/>
        <w:left w:val="none" w:sz="0" w:space="0" w:color="auto"/>
        <w:bottom w:val="none" w:sz="0" w:space="0" w:color="auto"/>
        <w:right w:val="none" w:sz="0" w:space="0" w:color="auto"/>
      </w:divBdr>
      <w:divsChild>
        <w:div w:id="1731608063">
          <w:marLeft w:val="0"/>
          <w:marRight w:val="0"/>
          <w:marTop w:val="0"/>
          <w:marBottom w:val="0"/>
          <w:divBdr>
            <w:top w:val="none" w:sz="0" w:space="0" w:color="auto"/>
            <w:left w:val="none" w:sz="0" w:space="0" w:color="auto"/>
            <w:bottom w:val="none" w:sz="0" w:space="0" w:color="auto"/>
            <w:right w:val="none" w:sz="0" w:space="0" w:color="auto"/>
          </w:divBdr>
        </w:div>
      </w:divsChild>
    </w:div>
    <w:div w:id="124011761">
      <w:bodyDiv w:val="1"/>
      <w:marLeft w:val="0"/>
      <w:marRight w:val="0"/>
      <w:marTop w:val="0"/>
      <w:marBottom w:val="0"/>
      <w:divBdr>
        <w:top w:val="none" w:sz="0" w:space="0" w:color="auto"/>
        <w:left w:val="none" w:sz="0" w:space="0" w:color="auto"/>
        <w:bottom w:val="none" w:sz="0" w:space="0" w:color="auto"/>
        <w:right w:val="none" w:sz="0" w:space="0" w:color="auto"/>
      </w:divBdr>
    </w:div>
    <w:div w:id="124350597">
      <w:bodyDiv w:val="1"/>
      <w:marLeft w:val="0"/>
      <w:marRight w:val="0"/>
      <w:marTop w:val="0"/>
      <w:marBottom w:val="0"/>
      <w:divBdr>
        <w:top w:val="none" w:sz="0" w:space="0" w:color="auto"/>
        <w:left w:val="none" w:sz="0" w:space="0" w:color="auto"/>
        <w:bottom w:val="none" w:sz="0" w:space="0" w:color="auto"/>
        <w:right w:val="none" w:sz="0" w:space="0" w:color="auto"/>
      </w:divBdr>
      <w:divsChild>
        <w:div w:id="1061295175">
          <w:marLeft w:val="0"/>
          <w:marRight w:val="0"/>
          <w:marTop w:val="0"/>
          <w:marBottom w:val="0"/>
          <w:divBdr>
            <w:top w:val="none" w:sz="0" w:space="0" w:color="auto"/>
            <w:left w:val="none" w:sz="0" w:space="0" w:color="auto"/>
            <w:bottom w:val="dotted" w:sz="6" w:space="4" w:color="DDDDDD"/>
            <w:right w:val="none" w:sz="0" w:space="0" w:color="auto"/>
          </w:divBdr>
          <w:divsChild>
            <w:div w:id="186875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8597">
      <w:bodyDiv w:val="1"/>
      <w:marLeft w:val="0"/>
      <w:marRight w:val="0"/>
      <w:marTop w:val="0"/>
      <w:marBottom w:val="0"/>
      <w:divBdr>
        <w:top w:val="none" w:sz="0" w:space="0" w:color="auto"/>
        <w:left w:val="none" w:sz="0" w:space="0" w:color="auto"/>
        <w:bottom w:val="none" w:sz="0" w:space="0" w:color="auto"/>
        <w:right w:val="none" w:sz="0" w:space="0" w:color="auto"/>
      </w:divBdr>
      <w:divsChild>
        <w:div w:id="1001006066">
          <w:marLeft w:val="0"/>
          <w:marRight w:val="0"/>
          <w:marTop w:val="0"/>
          <w:marBottom w:val="150"/>
          <w:divBdr>
            <w:top w:val="none" w:sz="0" w:space="0" w:color="auto"/>
            <w:left w:val="none" w:sz="0" w:space="0" w:color="auto"/>
            <w:bottom w:val="none" w:sz="0" w:space="0" w:color="auto"/>
            <w:right w:val="none" w:sz="0" w:space="0" w:color="auto"/>
          </w:divBdr>
        </w:div>
      </w:divsChild>
    </w:div>
    <w:div w:id="124860209">
      <w:bodyDiv w:val="1"/>
      <w:marLeft w:val="0"/>
      <w:marRight w:val="0"/>
      <w:marTop w:val="0"/>
      <w:marBottom w:val="0"/>
      <w:divBdr>
        <w:top w:val="none" w:sz="0" w:space="0" w:color="auto"/>
        <w:left w:val="none" w:sz="0" w:space="0" w:color="auto"/>
        <w:bottom w:val="none" w:sz="0" w:space="0" w:color="auto"/>
        <w:right w:val="none" w:sz="0" w:space="0" w:color="auto"/>
      </w:divBdr>
      <w:divsChild>
        <w:div w:id="1461999371">
          <w:marLeft w:val="0"/>
          <w:marRight w:val="0"/>
          <w:marTop w:val="0"/>
          <w:marBottom w:val="0"/>
          <w:divBdr>
            <w:top w:val="none" w:sz="0" w:space="0" w:color="auto"/>
            <w:left w:val="none" w:sz="0" w:space="0" w:color="auto"/>
            <w:bottom w:val="none" w:sz="0" w:space="0" w:color="auto"/>
            <w:right w:val="none" w:sz="0" w:space="0" w:color="auto"/>
          </w:divBdr>
        </w:div>
        <w:div w:id="1515656430">
          <w:marLeft w:val="0"/>
          <w:marRight w:val="0"/>
          <w:marTop w:val="0"/>
          <w:marBottom w:val="0"/>
          <w:divBdr>
            <w:top w:val="none" w:sz="0" w:space="0" w:color="auto"/>
            <w:left w:val="none" w:sz="0" w:space="0" w:color="auto"/>
            <w:bottom w:val="none" w:sz="0" w:space="0" w:color="auto"/>
            <w:right w:val="none" w:sz="0" w:space="0" w:color="auto"/>
          </w:divBdr>
        </w:div>
      </w:divsChild>
    </w:div>
    <w:div w:id="125782100">
      <w:bodyDiv w:val="1"/>
      <w:marLeft w:val="0"/>
      <w:marRight w:val="0"/>
      <w:marTop w:val="0"/>
      <w:marBottom w:val="0"/>
      <w:divBdr>
        <w:top w:val="none" w:sz="0" w:space="0" w:color="auto"/>
        <w:left w:val="none" w:sz="0" w:space="0" w:color="auto"/>
        <w:bottom w:val="none" w:sz="0" w:space="0" w:color="auto"/>
        <w:right w:val="none" w:sz="0" w:space="0" w:color="auto"/>
      </w:divBdr>
    </w:div>
    <w:div w:id="126168235">
      <w:bodyDiv w:val="1"/>
      <w:marLeft w:val="0"/>
      <w:marRight w:val="0"/>
      <w:marTop w:val="0"/>
      <w:marBottom w:val="0"/>
      <w:divBdr>
        <w:top w:val="none" w:sz="0" w:space="0" w:color="auto"/>
        <w:left w:val="none" w:sz="0" w:space="0" w:color="auto"/>
        <w:bottom w:val="none" w:sz="0" w:space="0" w:color="auto"/>
        <w:right w:val="none" w:sz="0" w:space="0" w:color="auto"/>
      </w:divBdr>
      <w:divsChild>
        <w:div w:id="821656081">
          <w:marLeft w:val="0"/>
          <w:marRight w:val="0"/>
          <w:marTop w:val="0"/>
          <w:marBottom w:val="0"/>
          <w:divBdr>
            <w:top w:val="none" w:sz="0" w:space="0" w:color="auto"/>
            <w:left w:val="none" w:sz="0" w:space="0" w:color="auto"/>
            <w:bottom w:val="none" w:sz="0" w:space="0" w:color="auto"/>
            <w:right w:val="none" w:sz="0" w:space="0" w:color="auto"/>
          </w:divBdr>
          <w:divsChild>
            <w:div w:id="8432023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6359767">
      <w:bodyDiv w:val="1"/>
      <w:marLeft w:val="0"/>
      <w:marRight w:val="0"/>
      <w:marTop w:val="0"/>
      <w:marBottom w:val="0"/>
      <w:divBdr>
        <w:top w:val="none" w:sz="0" w:space="0" w:color="auto"/>
        <w:left w:val="none" w:sz="0" w:space="0" w:color="auto"/>
        <w:bottom w:val="none" w:sz="0" w:space="0" w:color="auto"/>
        <w:right w:val="none" w:sz="0" w:space="0" w:color="auto"/>
      </w:divBdr>
      <w:divsChild>
        <w:div w:id="1358196977">
          <w:marLeft w:val="0"/>
          <w:marRight w:val="0"/>
          <w:marTop w:val="0"/>
          <w:marBottom w:val="150"/>
          <w:divBdr>
            <w:top w:val="none" w:sz="0" w:space="0" w:color="auto"/>
            <w:left w:val="none" w:sz="0" w:space="0" w:color="auto"/>
            <w:bottom w:val="none" w:sz="0" w:space="0" w:color="auto"/>
            <w:right w:val="none" w:sz="0" w:space="0" w:color="auto"/>
          </w:divBdr>
        </w:div>
      </w:divsChild>
    </w:div>
    <w:div w:id="126508602">
      <w:bodyDiv w:val="1"/>
      <w:marLeft w:val="0"/>
      <w:marRight w:val="0"/>
      <w:marTop w:val="0"/>
      <w:marBottom w:val="0"/>
      <w:divBdr>
        <w:top w:val="none" w:sz="0" w:space="0" w:color="auto"/>
        <w:left w:val="none" w:sz="0" w:space="0" w:color="auto"/>
        <w:bottom w:val="none" w:sz="0" w:space="0" w:color="auto"/>
        <w:right w:val="none" w:sz="0" w:space="0" w:color="auto"/>
      </w:divBdr>
      <w:divsChild>
        <w:div w:id="2060745200">
          <w:marLeft w:val="0"/>
          <w:marRight w:val="0"/>
          <w:marTop w:val="0"/>
          <w:marBottom w:val="0"/>
          <w:divBdr>
            <w:top w:val="none" w:sz="0" w:space="0" w:color="auto"/>
            <w:left w:val="none" w:sz="0" w:space="0" w:color="auto"/>
            <w:bottom w:val="none" w:sz="0" w:space="0" w:color="auto"/>
            <w:right w:val="none" w:sz="0" w:space="0" w:color="auto"/>
          </w:divBdr>
          <w:divsChild>
            <w:div w:id="1618874185">
              <w:marLeft w:val="0"/>
              <w:marRight w:val="0"/>
              <w:marTop w:val="0"/>
              <w:marBottom w:val="0"/>
              <w:divBdr>
                <w:top w:val="none" w:sz="0" w:space="0" w:color="auto"/>
                <w:left w:val="none" w:sz="0" w:space="0" w:color="auto"/>
                <w:bottom w:val="none" w:sz="0" w:space="0" w:color="auto"/>
                <w:right w:val="none" w:sz="0" w:space="0" w:color="auto"/>
              </w:divBdr>
              <w:divsChild>
                <w:div w:id="1336687469">
                  <w:marLeft w:val="0"/>
                  <w:marRight w:val="0"/>
                  <w:marTop w:val="0"/>
                  <w:marBottom w:val="0"/>
                  <w:divBdr>
                    <w:top w:val="none" w:sz="0" w:space="0" w:color="auto"/>
                    <w:left w:val="none" w:sz="0" w:space="0" w:color="auto"/>
                    <w:bottom w:val="none" w:sz="0" w:space="0" w:color="auto"/>
                    <w:right w:val="none" w:sz="0" w:space="0" w:color="auto"/>
                  </w:divBdr>
                  <w:divsChild>
                    <w:div w:id="815415362">
                      <w:marLeft w:val="0"/>
                      <w:marRight w:val="0"/>
                      <w:marTop w:val="0"/>
                      <w:marBottom w:val="0"/>
                      <w:divBdr>
                        <w:top w:val="none" w:sz="0" w:space="0" w:color="auto"/>
                        <w:left w:val="none" w:sz="0" w:space="0" w:color="auto"/>
                        <w:bottom w:val="none" w:sz="0" w:space="0" w:color="auto"/>
                        <w:right w:val="none" w:sz="0" w:space="0" w:color="auto"/>
                      </w:divBdr>
                      <w:divsChild>
                        <w:div w:id="1418209804">
                          <w:marLeft w:val="0"/>
                          <w:marRight w:val="0"/>
                          <w:marTop w:val="0"/>
                          <w:marBottom w:val="0"/>
                          <w:divBdr>
                            <w:top w:val="none" w:sz="0" w:space="0" w:color="auto"/>
                            <w:left w:val="none" w:sz="0" w:space="0" w:color="auto"/>
                            <w:bottom w:val="none" w:sz="0" w:space="0" w:color="auto"/>
                            <w:right w:val="none" w:sz="0" w:space="0" w:color="auto"/>
                          </w:divBdr>
                          <w:divsChild>
                            <w:div w:id="292103940">
                              <w:marLeft w:val="0"/>
                              <w:marRight w:val="0"/>
                              <w:marTop w:val="0"/>
                              <w:marBottom w:val="0"/>
                              <w:divBdr>
                                <w:top w:val="none" w:sz="0" w:space="0" w:color="auto"/>
                                <w:left w:val="none" w:sz="0" w:space="0" w:color="auto"/>
                                <w:bottom w:val="none" w:sz="0" w:space="0" w:color="auto"/>
                                <w:right w:val="none" w:sz="0" w:space="0" w:color="auto"/>
                              </w:divBdr>
                              <w:divsChild>
                                <w:div w:id="479613097">
                                  <w:marLeft w:val="0"/>
                                  <w:marRight w:val="0"/>
                                  <w:marTop w:val="0"/>
                                  <w:marBottom w:val="0"/>
                                  <w:divBdr>
                                    <w:top w:val="none" w:sz="0" w:space="0" w:color="auto"/>
                                    <w:left w:val="none" w:sz="0" w:space="0" w:color="auto"/>
                                    <w:bottom w:val="none" w:sz="0" w:space="0" w:color="auto"/>
                                    <w:right w:val="none" w:sz="0" w:space="0" w:color="auto"/>
                                  </w:divBdr>
                                  <w:divsChild>
                                    <w:div w:id="299071921">
                                      <w:marLeft w:val="0"/>
                                      <w:marRight w:val="0"/>
                                      <w:marTop w:val="0"/>
                                      <w:marBottom w:val="0"/>
                                      <w:divBdr>
                                        <w:top w:val="none" w:sz="0" w:space="0" w:color="auto"/>
                                        <w:left w:val="none" w:sz="0" w:space="0" w:color="auto"/>
                                        <w:bottom w:val="none" w:sz="0" w:space="0" w:color="auto"/>
                                        <w:right w:val="none" w:sz="0" w:space="0" w:color="auto"/>
                                      </w:divBdr>
                                      <w:divsChild>
                                        <w:div w:id="39612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514957">
      <w:bodyDiv w:val="1"/>
      <w:marLeft w:val="0"/>
      <w:marRight w:val="0"/>
      <w:marTop w:val="0"/>
      <w:marBottom w:val="0"/>
      <w:divBdr>
        <w:top w:val="none" w:sz="0" w:space="0" w:color="auto"/>
        <w:left w:val="none" w:sz="0" w:space="0" w:color="auto"/>
        <w:bottom w:val="none" w:sz="0" w:space="0" w:color="auto"/>
        <w:right w:val="none" w:sz="0" w:space="0" w:color="auto"/>
      </w:divBdr>
      <w:divsChild>
        <w:div w:id="452330259">
          <w:marLeft w:val="0"/>
          <w:marRight w:val="0"/>
          <w:marTop w:val="0"/>
          <w:marBottom w:val="0"/>
          <w:divBdr>
            <w:top w:val="none" w:sz="0" w:space="0" w:color="auto"/>
            <w:left w:val="none" w:sz="0" w:space="0" w:color="auto"/>
            <w:bottom w:val="none" w:sz="0" w:space="0" w:color="auto"/>
            <w:right w:val="none" w:sz="0" w:space="0" w:color="auto"/>
          </w:divBdr>
          <w:divsChild>
            <w:div w:id="1832020480">
              <w:marLeft w:val="0"/>
              <w:marRight w:val="0"/>
              <w:marTop w:val="0"/>
              <w:marBottom w:val="0"/>
              <w:divBdr>
                <w:top w:val="none" w:sz="0" w:space="0" w:color="auto"/>
                <w:left w:val="none" w:sz="0" w:space="0" w:color="auto"/>
                <w:bottom w:val="none" w:sz="0" w:space="0" w:color="auto"/>
                <w:right w:val="none" w:sz="0" w:space="0" w:color="auto"/>
              </w:divBdr>
              <w:divsChild>
                <w:div w:id="667296436">
                  <w:marLeft w:val="0"/>
                  <w:marRight w:val="0"/>
                  <w:marTop w:val="0"/>
                  <w:marBottom w:val="0"/>
                  <w:divBdr>
                    <w:top w:val="none" w:sz="0" w:space="0" w:color="auto"/>
                    <w:left w:val="none" w:sz="0" w:space="0" w:color="auto"/>
                    <w:bottom w:val="none" w:sz="0" w:space="0" w:color="auto"/>
                    <w:right w:val="none" w:sz="0" w:space="0" w:color="auto"/>
                  </w:divBdr>
                  <w:divsChild>
                    <w:div w:id="1824272318">
                      <w:marLeft w:val="0"/>
                      <w:marRight w:val="0"/>
                      <w:marTop w:val="0"/>
                      <w:marBottom w:val="0"/>
                      <w:divBdr>
                        <w:top w:val="none" w:sz="0" w:space="0" w:color="auto"/>
                        <w:left w:val="none" w:sz="0" w:space="0" w:color="auto"/>
                        <w:bottom w:val="none" w:sz="0" w:space="0" w:color="auto"/>
                        <w:right w:val="none" w:sz="0" w:space="0" w:color="auto"/>
                      </w:divBdr>
                      <w:divsChild>
                        <w:div w:id="1831213557">
                          <w:marLeft w:val="0"/>
                          <w:marRight w:val="0"/>
                          <w:marTop w:val="0"/>
                          <w:marBottom w:val="0"/>
                          <w:divBdr>
                            <w:top w:val="none" w:sz="0" w:space="0" w:color="auto"/>
                            <w:left w:val="none" w:sz="0" w:space="0" w:color="auto"/>
                            <w:bottom w:val="none" w:sz="0" w:space="0" w:color="auto"/>
                            <w:right w:val="none" w:sz="0" w:space="0" w:color="auto"/>
                          </w:divBdr>
                          <w:divsChild>
                            <w:div w:id="90048989">
                              <w:marLeft w:val="0"/>
                              <w:marRight w:val="0"/>
                              <w:marTop w:val="0"/>
                              <w:marBottom w:val="0"/>
                              <w:divBdr>
                                <w:top w:val="none" w:sz="0" w:space="0" w:color="auto"/>
                                <w:left w:val="none" w:sz="0" w:space="0" w:color="auto"/>
                                <w:bottom w:val="none" w:sz="0" w:space="0" w:color="auto"/>
                                <w:right w:val="none" w:sz="0" w:space="0" w:color="auto"/>
                              </w:divBdr>
                              <w:divsChild>
                                <w:div w:id="727270238">
                                  <w:marLeft w:val="0"/>
                                  <w:marRight w:val="0"/>
                                  <w:marTop w:val="0"/>
                                  <w:marBottom w:val="0"/>
                                  <w:divBdr>
                                    <w:top w:val="none" w:sz="0" w:space="0" w:color="auto"/>
                                    <w:left w:val="none" w:sz="0" w:space="0" w:color="auto"/>
                                    <w:bottom w:val="none" w:sz="0" w:space="0" w:color="auto"/>
                                    <w:right w:val="none" w:sz="0" w:space="0" w:color="auto"/>
                                  </w:divBdr>
                                  <w:divsChild>
                                    <w:div w:id="44499325">
                                      <w:marLeft w:val="0"/>
                                      <w:marRight w:val="0"/>
                                      <w:marTop w:val="0"/>
                                      <w:marBottom w:val="0"/>
                                      <w:divBdr>
                                        <w:top w:val="none" w:sz="0" w:space="0" w:color="auto"/>
                                        <w:left w:val="none" w:sz="0" w:space="0" w:color="auto"/>
                                        <w:bottom w:val="none" w:sz="0" w:space="0" w:color="auto"/>
                                        <w:right w:val="none" w:sz="0" w:space="0" w:color="auto"/>
                                      </w:divBdr>
                                      <w:divsChild>
                                        <w:div w:id="107119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633179">
      <w:bodyDiv w:val="1"/>
      <w:marLeft w:val="0"/>
      <w:marRight w:val="0"/>
      <w:marTop w:val="0"/>
      <w:marBottom w:val="0"/>
      <w:divBdr>
        <w:top w:val="none" w:sz="0" w:space="0" w:color="auto"/>
        <w:left w:val="none" w:sz="0" w:space="0" w:color="auto"/>
        <w:bottom w:val="none" w:sz="0" w:space="0" w:color="auto"/>
        <w:right w:val="none" w:sz="0" w:space="0" w:color="auto"/>
      </w:divBdr>
    </w:div>
    <w:div w:id="126974694">
      <w:bodyDiv w:val="1"/>
      <w:marLeft w:val="0"/>
      <w:marRight w:val="0"/>
      <w:marTop w:val="0"/>
      <w:marBottom w:val="0"/>
      <w:divBdr>
        <w:top w:val="none" w:sz="0" w:space="0" w:color="auto"/>
        <w:left w:val="none" w:sz="0" w:space="0" w:color="auto"/>
        <w:bottom w:val="none" w:sz="0" w:space="0" w:color="auto"/>
        <w:right w:val="none" w:sz="0" w:space="0" w:color="auto"/>
      </w:divBdr>
    </w:div>
    <w:div w:id="127170197">
      <w:bodyDiv w:val="1"/>
      <w:marLeft w:val="0"/>
      <w:marRight w:val="0"/>
      <w:marTop w:val="0"/>
      <w:marBottom w:val="0"/>
      <w:divBdr>
        <w:top w:val="none" w:sz="0" w:space="0" w:color="auto"/>
        <w:left w:val="none" w:sz="0" w:space="0" w:color="auto"/>
        <w:bottom w:val="none" w:sz="0" w:space="0" w:color="auto"/>
        <w:right w:val="none" w:sz="0" w:space="0" w:color="auto"/>
      </w:divBdr>
      <w:divsChild>
        <w:div w:id="669216422">
          <w:marLeft w:val="0"/>
          <w:marRight w:val="0"/>
          <w:marTop w:val="0"/>
          <w:marBottom w:val="150"/>
          <w:divBdr>
            <w:top w:val="none" w:sz="0" w:space="0" w:color="auto"/>
            <w:left w:val="none" w:sz="0" w:space="0" w:color="auto"/>
            <w:bottom w:val="none" w:sz="0" w:space="0" w:color="auto"/>
            <w:right w:val="none" w:sz="0" w:space="0" w:color="auto"/>
          </w:divBdr>
        </w:div>
      </w:divsChild>
    </w:div>
    <w:div w:id="127359499">
      <w:bodyDiv w:val="1"/>
      <w:marLeft w:val="0"/>
      <w:marRight w:val="0"/>
      <w:marTop w:val="0"/>
      <w:marBottom w:val="0"/>
      <w:divBdr>
        <w:top w:val="none" w:sz="0" w:space="0" w:color="auto"/>
        <w:left w:val="none" w:sz="0" w:space="0" w:color="auto"/>
        <w:bottom w:val="none" w:sz="0" w:space="0" w:color="auto"/>
        <w:right w:val="none" w:sz="0" w:space="0" w:color="auto"/>
      </w:divBdr>
      <w:divsChild>
        <w:div w:id="864057009">
          <w:marLeft w:val="0"/>
          <w:marRight w:val="0"/>
          <w:marTop w:val="0"/>
          <w:marBottom w:val="0"/>
          <w:divBdr>
            <w:top w:val="none" w:sz="0" w:space="0" w:color="auto"/>
            <w:left w:val="none" w:sz="0" w:space="0" w:color="auto"/>
            <w:bottom w:val="none" w:sz="0" w:space="0" w:color="auto"/>
            <w:right w:val="none" w:sz="0" w:space="0" w:color="auto"/>
          </w:divBdr>
        </w:div>
        <w:div w:id="1027483365">
          <w:marLeft w:val="0"/>
          <w:marRight w:val="0"/>
          <w:marTop w:val="0"/>
          <w:marBottom w:val="150"/>
          <w:divBdr>
            <w:top w:val="none" w:sz="0" w:space="0" w:color="auto"/>
            <w:left w:val="none" w:sz="0" w:space="0" w:color="auto"/>
            <w:bottom w:val="none" w:sz="0" w:space="0" w:color="auto"/>
            <w:right w:val="none" w:sz="0" w:space="0" w:color="auto"/>
          </w:divBdr>
        </w:div>
      </w:divsChild>
    </w:div>
    <w:div w:id="128205069">
      <w:bodyDiv w:val="1"/>
      <w:marLeft w:val="0"/>
      <w:marRight w:val="0"/>
      <w:marTop w:val="0"/>
      <w:marBottom w:val="0"/>
      <w:divBdr>
        <w:top w:val="none" w:sz="0" w:space="0" w:color="auto"/>
        <w:left w:val="none" w:sz="0" w:space="0" w:color="auto"/>
        <w:bottom w:val="none" w:sz="0" w:space="0" w:color="auto"/>
        <w:right w:val="none" w:sz="0" w:space="0" w:color="auto"/>
      </w:divBdr>
      <w:divsChild>
        <w:div w:id="1322738381">
          <w:marLeft w:val="0"/>
          <w:marRight w:val="0"/>
          <w:marTop w:val="0"/>
          <w:marBottom w:val="150"/>
          <w:divBdr>
            <w:top w:val="none" w:sz="0" w:space="0" w:color="auto"/>
            <w:left w:val="none" w:sz="0" w:space="0" w:color="auto"/>
            <w:bottom w:val="none" w:sz="0" w:space="0" w:color="auto"/>
            <w:right w:val="none" w:sz="0" w:space="0" w:color="auto"/>
          </w:divBdr>
          <w:divsChild>
            <w:div w:id="86389045">
              <w:marLeft w:val="0"/>
              <w:marRight w:val="0"/>
              <w:marTop w:val="0"/>
              <w:marBottom w:val="0"/>
              <w:divBdr>
                <w:top w:val="none" w:sz="0" w:space="0" w:color="auto"/>
                <w:left w:val="none" w:sz="0" w:space="0" w:color="auto"/>
                <w:bottom w:val="none" w:sz="0" w:space="0" w:color="auto"/>
                <w:right w:val="none" w:sz="0" w:space="0" w:color="auto"/>
              </w:divBdr>
              <w:divsChild>
                <w:div w:id="520096992">
                  <w:marLeft w:val="0"/>
                  <w:marRight w:val="0"/>
                  <w:marTop w:val="0"/>
                  <w:marBottom w:val="0"/>
                  <w:divBdr>
                    <w:top w:val="none" w:sz="0" w:space="0" w:color="auto"/>
                    <w:left w:val="none" w:sz="0" w:space="0" w:color="auto"/>
                    <w:bottom w:val="none" w:sz="0" w:space="0" w:color="auto"/>
                    <w:right w:val="none" w:sz="0" w:space="0" w:color="auto"/>
                  </w:divBdr>
                  <w:divsChild>
                    <w:div w:id="281885901">
                      <w:marLeft w:val="0"/>
                      <w:marRight w:val="150"/>
                      <w:marTop w:val="0"/>
                      <w:marBottom w:val="0"/>
                      <w:divBdr>
                        <w:top w:val="none" w:sz="0" w:space="0" w:color="auto"/>
                        <w:left w:val="none" w:sz="0" w:space="0" w:color="auto"/>
                        <w:bottom w:val="none" w:sz="0" w:space="0" w:color="auto"/>
                        <w:right w:val="none" w:sz="0" w:space="0" w:color="auto"/>
                      </w:divBdr>
                      <w:divsChild>
                        <w:div w:id="116531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03010">
          <w:marLeft w:val="0"/>
          <w:marRight w:val="0"/>
          <w:marTop w:val="0"/>
          <w:marBottom w:val="150"/>
          <w:divBdr>
            <w:top w:val="none" w:sz="0" w:space="0" w:color="auto"/>
            <w:left w:val="none" w:sz="0" w:space="0" w:color="auto"/>
            <w:bottom w:val="none" w:sz="0" w:space="0" w:color="auto"/>
            <w:right w:val="none" w:sz="0" w:space="0" w:color="auto"/>
          </w:divBdr>
        </w:div>
        <w:div w:id="1474641477">
          <w:marLeft w:val="0"/>
          <w:marRight w:val="0"/>
          <w:marTop w:val="0"/>
          <w:marBottom w:val="0"/>
          <w:divBdr>
            <w:top w:val="none" w:sz="0" w:space="0" w:color="auto"/>
            <w:left w:val="none" w:sz="0" w:space="0" w:color="auto"/>
            <w:bottom w:val="none" w:sz="0" w:space="0" w:color="auto"/>
            <w:right w:val="none" w:sz="0" w:space="0" w:color="auto"/>
          </w:divBdr>
          <w:divsChild>
            <w:div w:id="10820680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9398421">
      <w:bodyDiv w:val="1"/>
      <w:marLeft w:val="0"/>
      <w:marRight w:val="0"/>
      <w:marTop w:val="0"/>
      <w:marBottom w:val="0"/>
      <w:divBdr>
        <w:top w:val="none" w:sz="0" w:space="0" w:color="auto"/>
        <w:left w:val="none" w:sz="0" w:space="0" w:color="auto"/>
        <w:bottom w:val="none" w:sz="0" w:space="0" w:color="auto"/>
        <w:right w:val="none" w:sz="0" w:space="0" w:color="auto"/>
      </w:divBdr>
      <w:divsChild>
        <w:div w:id="1013990375">
          <w:marLeft w:val="0"/>
          <w:marRight w:val="0"/>
          <w:marTop w:val="0"/>
          <w:marBottom w:val="0"/>
          <w:divBdr>
            <w:top w:val="none" w:sz="0" w:space="0" w:color="auto"/>
            <w:left w:val="none" w:sz="0" w:space="0" w:color="auto"/>
            <w:bottom w:val="none" w:sz="0" w:space="0" w:color="auto"/>
            <w:right w:val="none" w:sz="0" w:space="0" w:color="auto"/>
          </w:divBdr>
          <w:divsChild>
            <w:div w:id="1644308464">
              <w:marLeft w:val="0"/>
              <w:marRight w:val="0"/>
              <w:marTop w:val="0"/>
              <w:marBottom w:val="0"/>
              <w:divBdr>
                <w:top w:val="none" w:sz="0" w:space="0" w:color="auto"/>
                <w:left w:val="none" w:sz="0" w:space="0" w:color="auto"/>
                <w:bottom w:val="none" w:sz="0" w:space="0" w:color="auto"/>
                <w:right w:val="none" w:sz="0" w:space="0" w:color="auto"/>
              </w:divBdr>
              <w:divsChild>
                <w:div w:id="1523863597">
                  <w:marLeft w:val="0"/>
                  <w:marRight w:val="0"/>
                  <w:marTop w:val="0"/>
                  <w:marBottom w:val="0"/>
                  <w:divBdr>
                    <w:top w:val="none" w:sz="0" w:space="0" w:color="auto"/>
                    <w:left w:val="none" w:sz="0" w:space="0" w:color="auto"/>
                    <w:bottom w:val="none" w:sz="0" w:space="0" w:color="auto"/>
                    <w:right w:val="none" w:sz="0" w:space="0" w:color="auto"/>
                  </w:divBdr>
                  <w:divsChild>
                    <w:div w:id="1395395464">
                      <w:marLeft w:val="0"/>
                      <w:marRight w:val="0"/>
                      <w:marTop w:val="0"/>
                      <w:marBottom w:val="0"/>
                      <w:divBdr>
                        <w:top w:val="none" w:sz="0" w:space="0" w:color="auto"/>
                        <w:left w:val="none" w:sz="0" w:space="0" w:color="auto"/>
                        <w:bottom w:val="none" w:sz="0" w:space="0" w:color="auto"/>
                        <w:right w:val="none" w:sz="0" w:space="0" w:color="auto"/>
                      </w:divBdr>
                      <w:divsChild>
                        <w:div w:id="1036664595">
                          <w:marLeft w:val="0"/>
                          <w:marRight w:val="0"/>
                          <w:marTop w:val="0"/>
                          <w:marBottom w:val="0"/>
                          <w:divBdr>
                            <w:top w:val="none" w:sz="0" w:space="0" w:color="auto"/>
                            <w:left w:val="none" w:sz="0" w:space="0" w:color="auto"/>
                            <w:bottom w:val="none" w:sz="0" w:space="0" w:color="auto"/>
                            <w:right w:val="none" w:sz="0" w:space="0" w:color="auto"/>
                          </w:divBdr>
                          <w:divsChild>
                            <w:div w:id="381170813">
                              <w:marLeft w:val="0"/>
                              <w:marRight w:val="0"/>
                              <w:marTop w:val="0"/>
                              <w:marBottom w:val="0"/>
                              <w:divBdr>
                                <w:top w:val="none" w:sz="0" w:space="0" w:color="auto"/>
                                <w:left w:val="none" w:sz="0" w:space="0" w:color="auto"/>
                                <w:bottom w:val="none" w:sz="0" w:space="0" w:color="auto"/>
                                <w:right w:val="none" w:sz="0" w:space="0" w:color="auto"/>
                              </w:divBdr>
                              <w:divsChild>
                                <w:div w:id="212102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682610">
      <w:bodyDiv w:val="1"/>
      <w:marLeft w:val="0"/>
      <w:marRight w:val="0"/>
      <w:marTop w:val="0"/>
      <w:marBottom w:val="0"/>
      <w:divBdr>
        <w:top w:val="none" w:sz="0" w:space="0" w:color="auto"/>
        <w:left w:val="none" w:sz="0" w:space="0" w:color="auto"/>
        <w:bottom w:val="none" w:sz="0" w:space="0" w:color="auto"/>
        <w:right w:val="none" w:sz="0" w:space="0" w:color="auto"/>
      </w:divBdr>
      <w:divsChild>
        <w:div w:id="1936669807">
          <w:marLeft w:val="0"/>
          <w:marRight w:val="0"/>
          <w:marTop w:val="0"/>
          <w:marBottom w:val="0"/>
          <w:divBdr>
            <w:top w:val="none" w:sz="0" w:space="0" w:color="auto"/>
            <w:left w:val="none" w:sz="0" w:space="0" w:color="auto"/>
            <w:bottom w:val="none" w:sz="0" w:space="0" w:color="auto"/>
            <w:right w:val="none" w:sz="0" w:space="0" w:color="auto"/>
          </w:divBdr>
          <w:divsChild>
            <w:div w:id="1556508412">
              <w:marLeft w:val="0"/>
              <w:marRight w:val="0"/>
              <w:marTop w:val="0"/>
              <w:marBottom w:val="0"/>
              <w:divBdr>
                <w:top w:val="none" w:sz="0" w:space="0" w:color="auto"/>
                <w:left w:val="none" w:sz="0" w:space="0" w:color="auto"/>
                <w:bottom w:val="none" w:sz="0" w:space="0" w:color="auto"/>
                <w:right w:val="none" w:sz="0" w:space="0" w:color="auto"/>
              </w:divBdr>
              <w:divsChild>
                <w:div w:id="847141216">
                  <w:marLeft w:val="0"/>
                  <w:marRight w:val="0"/>
                  <w:marTop w:val="0"/>
                  <w:marBottom w:val="0"/>
                  <w:divBdr>
                    <w:top w:val="none" w:sz="0" w:space="0" w:color="auto"/>
                    <w:left w:val="none" w:sz="0" w:space="0" w:color="auto"/>
                    <w:bottom w:val="none" w:sz="0" w:space="0" w:color="auto"/>
                    <w:right w:val="none" w:sz="0" w:space="0" w:color="auto"/>
                  </w:divBdr>
                  <w:divsChild>
                    <w:div w:id="1190680053">
                      <w:marLeft w:val="0"/>
                      <w:marRight w:val="0"/>
                      <w:marTop w:val="0"/>
                      <w:marBottom w:val="0"/>
                      <w:divBdr>
                        <w:top w:val="none" w:sz="0" w:space="0" w:color="auto"/>
                        <w:left w:val="none" w:sz="0" w:space="0" w:color="auto"/>
                        <w:bottom w:val="none" w:sz="0" w:space="0" w:color="auto"/>
                        <w:right w:val="none" w:sz="0" w:space="0" w:color="auto"/>
                      </w:divBdr>
                      <w:divsChild>
                        <w:div w:id="410470380">
                          <w:marLeft w:val="0"/>
                          <w:marRight w:val="0"/>
                          <w:marTop w:val="0"/>
                          <w:marBottom w:val="0"/>
                          <w:divBdr>
                            <w:top w:val="none" w:sz="0" w:space="0" w:color="auto"/>
                            <w:left w:val="none" w:sz="0" w:space="0" w:color="auto"/>
                            <w:bottom w:val="none" w:sz="0" w:space="0" w:color="auto"/>
                            <w:right w:val="none" w:sz="0" w:space="0" w:color="auto"/>
                          </w:divBdr>
                          <w:divsChild>
                            <w:div w:id="1277130327">
                              <w:marLeft w:val="0"/>
                              <w:marRight w:val="0"/>
                              <w:marTop w:val="0"/>
                              <w:marBottom w:val="0"/>
                              <w:divBdr>
                                <w:top w:val="none" w:sz="0" w:space="0" w:color="auto"/>
                                <w:left w:val="none" w:sz="0" w:space="0" w:color="auto"/>
                                <w:bottom w:val="none" w:sz="0" w:space="0" w:color="auto"/>
                                <w:right w:val="none" w:sz="0" w:space="0" w:color="auto"/>
                              </w:divBdr>
                              <w:divsChild>
                                <w:div w:id="656615088">
                                  <w:marLeft w:val="0"/>
                                  <w:marRight w:val="0"/>
                                  <w:marTop w:val="0"/>
                                  <w:marBottom w:val="0"/>
                                  <w:divBdr>
                                    <w:top w:val="none" w:sz="0" w:space="0" w:color="auto"/>
                                    <w:left w:val="none" w:sz="0" w:space="0" w:color="auto"/>
                                    <w:bottom w:val="none" w:sz="0" w:space="0" w:color="auto"/>
                                    <w:right w:val="none" w:sz="0" w:space="0" w:color="auto"/>
                                  </w:divBdr>
                                  <w:divsChild>
                                    <w:div w:id="159647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754364">
      <w:bodyDiv w:val="1"/>
      <w:marLeft w:val="0"/>
      <w:marRight w:val="0"/>
      <w:marTop w:val="0"/>
      <w:marBottom w:val="0"/>
      <w:divBdr>
        <w:top w:val="none" w:sz="0" w:space="0" w:color="auto"/>
        <w:left w:val="none" w:sz="0" w:space="0" w:color="auto"/>
        <w:bottom w:val="none" w:sz="0" w:space="0" w:color="auto"/>
        <w:right w:val="none" w:sz="0" w:space="0" w:color="auto"/>
      </w:divBdr>
      <w:divsChild>
        <w:div w:id="177693276">
          <w:marLeft w:val="0"/>
          <w:marRight w:val="0"/>
          <w:marTop w:val="0"/>
          <w:marBottom w:val="0"/>
          <w:divBdr>
            <w:top w:val="none" w:sz="0" w:space="0" w:color="auto"/>
            <w:left w:val="none" w:sz="0" w:space="0" w:color="auto"/>
            <w:bottom w:val="none" w:sz="0" w:space="0" w:color="auto"/>
            <w:right w:val="none" w:sz="0" w:space="0" w:color="auto"/>
          </w:divBdr>
          <w:divsChild>
            <w:div w:id="1420322522">
              <w:marLeft w:val="0"/>
              <w:marRight w:val="0"/>
              <w:marTop w:val="0"/>
              <w:marBottom w:val="150"/>
              <w:divBdr>
                <w:top w:val="none" w:sz="0" w:space="0" w:color="auto"/>
                <w:left w:val="none" w:sz="0" w:space="0" w:color="auto"/>
                <w:bottom w:val="none" w:sz="0" w:space="0" w:color="auto"/>
                <w:right w:val="none" w:sz="0" w:space="0" w:color="auto"/>
              </w:divBdr>
            </w:div>
            <w:div w:id="1747068704">
              <w:marLeft w:val="0"/>
              <w:marRight w:val="0"/>
              <w:marTop w:val="0"/>
              <w:marBottom w:val="0"/>
              <w:divBdr>
                <w:top w:val="none" w:sz="0" w:space="0" w:color="auto"/>
                <w:left w:val="none" w:sz="0" w:space="0" w:color="auto"/>
                <w:bottom w:val="none" w:sz="0" w:space="0" w:color="auto"/>
                <w:right w:val="none" w:sz="0" w:space="0" w:color="auto"/>
              </w:divBdr>
            </w:div>
          </w:divsChild>
        </w:div>
        <w:div w:id="764761710">
          <w:marLeft w:val="0"/>
          <w:marRight w:val="0"/>
          <w:marTop w:val="0"/>
          <w:marBottom w:val="150"/>
          <w:divBdr>
            <w:top w:val="none" w:sz="0" w:space="0" w:color="auto"/>
            <w:left w:val="none" w:sz="0" w:space="0" w:color="auto"/>
            <w:bottom w:val="none" w:sz="0" w:space="0" w:color="auto"/>
            <w:right w:val="none" w:sz="0" w:space="0" w:color="auto"/>
          </w:divBdr>
          <w:divsChild>
            <w:div w:id="73636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18409">
      <w:bodyDiv w:val="1"/>
      <w:marLeft w:val="0"/>
      <w:marRight w:val="0"/>
      <w:marTop w:val="0"/>
      <w:marBottom w:val="0"/>
      <w:divBdr>
        <w:top w:val="none" w:sz="0" w:space="0" w:color="auto"/>
        <w:left w:val="none" w:sz="0" w:space="0" w:color="auto"/>
        <w:bottom w:val="none" w:sz="0" w:space="0" w:color="auto"/>
        <w:right w:val="none" w:sz="0" w:space="0" w:color="auto"/>
      </w:divBdr>
      <w:divsChild>
        <w:div w:id="955909847">
          <w:marLeft w:val="0"/>
          <w:marRight w:val="0"/>
          <w:marTop w:val="0"/>
          <w:marBottom w:val="150"/>
          <w:divBdr>
            <w:top w:val="none" w:sz="0" w:space="0" w:color="auto"/>
            <w:left w:val="none" w:sz="0" w:space="0" w:color="auto"/>
            <w:bottom w:val="none" w:sz="0" w:space="0" w:color="auto"/>
            <w:right w:val="none" w:sz="0" w:space="0" w:color="auto"/>
          </w:divBdr>
          <w:divsChild>
            <w:div w:id="241070346">
              <w:marLeft w:val="0"/>
              <w:marRight w:val="0"/>
              <w:marTop w:val="0"/>
              <w:marBottom w:val="0"/>
              <w:divBdr>
                <w:top w:val="none" w:sz="0" w:space="0" w:color="auto"/>
                <w:left w:val="none" w:sz="0" w:space="0" w:color="auto"/>
                <w:bottom w:val="none" w:sz="0" w:space="0" w:color="auto"/>
                <w:right w:val="none" w:sz="0" w:space="0" w:color="auto"/>
              </w:divBdr>
              <w:divsChild>
                <w:div w:id="6414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76780">
          <w:marLeft w:val="0"/>
          <w:marRight w:val="0"/>
          <w:marTop w:val="0"/>
          <w:marBottom w:val="0"/>
          <w:divBdr>
            <w:top w:val="none" w:sz="0" w:space="0" w:color="auto"/>
            <w:left w:val="none" w:sz="0" w:space="0" w:color="auto"/>
            <w:bottom w:val="none" w:sz="0" w:space="0" w:color="auto"/>
            <w:right w:val="none" w:sz="0" w:space="0" w:color="auto"/>
          </w:divBdr>
          <w:divsChild>
            <w:div w:id="134374719">
              <w:marLeft w:val="0"/>
              <w:marRight w:val="0"/>
              <w:marTop w:val="225"/>
              <w:marBottom w:val="225"/>
              <w:divBdr>
                <w:top w:val="none" w:sz="0" w:space="0" w:color="auto"/>
                <w:left w:val="none" w:sz="0" w:space="0" w:color="auto"/>
                <w:bottom w:val="none" w:sz="0" w:space="0" w:color="auto"/>
                <w:right w:val="none" w:sz="0" w:space="0" w:color="auto"/>
              </w:divBdr>
            </w:div>
          </w:divsChild>
        </w:div>
        <w:div w:id="1674455191">
          <w:marLeft w:val="0"/>
          <w:marRight w:val="0"/>
          <w:marTop w:val="0"/>
          <w:marBottom w:val="150"/>
          <w:divBdr>
            <w:top w:val="none" w:sz="0" w:space="0" w:color="auto"/>
            <w:left w:val="none" w:sz="0" w:space="0" w:color="auto"/>
            <w:bottom w:val="none" w:sz="0" w:space="0" w:color="auto"/>
            <w:right w:val="none" w:sz="0" w:space="0" w:color="auto"/>
          </w:divBdr>
        </w:div>
      </w:divsChild>
    </w:div>
    <w:div w:id="131026777">
      <w:bodyDiv w:val="1"/>
      <w:marLeft w:val="0"/>
      <w:marRight w:val="0"/>
      <w:marTop w:val="0"/>
      <w:marBottom w:val="0"/>
      <w:divBdr>
        <w:top w:val="none" w:sz="0" w:space="0" w:color="auto"/>
        <w:left w:val="none" w:sz="0" w:space="0" w:color="auto"/>
        <w:bottom w:val="none" w:sz="0" w:space="0" w:color="auto"/>
        <w:right w:val="none" w:sz="0" w:space="0" w:color="auto"/>
      </w:divBdr>
      <w:divsChild>
        <w:div w:id="1091851210">
          <w:marLeft w:val="0"/>
          <w:marRight w:val="0"/>
          <w:marTop w:val="0"/>
          <w:marBottom w:val="150"/>
          <w:divBdr>
            <w:top w:val="none" w:sz="0" w:space="0" w:color="auto"/>
            <w:left w:val="none" w:sz="0" w:space="0" w:color="auto"/>
            <w:bottom w:val="none" w:sz="0" w:space="0" w:color="auto"/>
            <w:right w:val="none" w:sz="0" w:space="0" w:color="auto"/>
          </w:divBdr>
        </w:div>
        <w:div w:id="2030639684">
          <w:marLeft w:val="0"/>
          <w:marRight w:val="0"/>
          <w:marTop w:val="0"/>
          <w:marBottom w:val="150"/>
          <w:divBdr>
            <w:top w:val="none" w:sz="0" w:space="0" w:color="auto"/>
            <w:left w:val="none" w:sz="0" w:space="0" w:color="auto"/>
            <w:bottom w:val="none" w:sz="0" w:space="0" w:color="auto"/>
            <w:right w:val="none" w:sz="0" w:space="0" w:color="auto"/>
          </w:divBdr>
          <w:divsChild>
            <w:div w:id="178338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98417">
      <w:bodyDiv w:val="1"/>
      <w:marLeft w:val="0"/>
      <w:marRight w:val="0"/>
      <w:marTop w:val="0"/>
      <w:marBottom w:val="0"/>
      <w:divBdr>
        <w:top w:val="none" w:sz="0" w:space="0" w:color="auto"/>
        <w:left w:val="none" w:sz="0" w:space="0" w:color="auto"/>
        <w:bottom w:val="none" w:sz="0" w:space="0" w:color="auto"/>
        <w:right w:val="none" w:sz="0" w:space="0" w:color="auto"/>
      </w:divBdr>
      <w:divsChild>
        <w:div w:id="1791825522">
          <w:marLeft w:val="0"/>
          <w:marRight w:val="0"/>
          <w:marTop w:val="0"/>
          <w:marBottom w:val="450"/>
          <w:divBdr>
            <w:top w:val="none" w:sz="0" w:space="0" w:color="auto"/>
            <w:left w:val="none" w:sz="0" w:space="0" w:color="auto"/>
            <w:bottom w:val="single" w:sz="6" w:space="19" w:color="EEEEEE"/>
            <w:right w:val="none" w:sz="0" w:space="0" w:color="auto"/>
          </w:divBdr>
          <w:divsChild>
            <w:div w:id="1597447902">
              <w:marLeft w:val="0"/>
              <w:marRight w:val="0"/>
              <w:marTop w:val="0"/>
              <w:marBottom w:val="150"/>
              <w:divBdr>
                <w:top w:val="none" w:sz="0" w:space="0" w:color="auto"/>
                <w:left w:val="none" w:sz="0" w:space="0" w:color="auto"/>
                <w:bottom w:val="none" w:sz="0" w:space="0" w:color="auto"/>
                <w:right w:val="none" w:sz="0" w:space="0" w:color="auto"/>
              </w:divBdr>
              <w:divsChild>
                <w:div w:id="1040478428">
                  <w:marLeft w:val="0"/>
                  <w:marRight w:val="0"/>
                  <w:marTop w:val="0"/>
                  <w:marBottom w:val="0"/>
                  <w:divBdr>
                    <w:top w:val="none" w:sz="0" w:space="0" w:color="auto"/>
                    <w:left w:val="none" w:sz="0" w:space="0" w:color="auto"/>
                    <w:bottom w:val="none" w:sz="0" w:space="0" w:color="auto"/>
                    <w:right w:val="none" w:sz="0" w:space="0" w:color="auto"/>
                  </w:divBdr>
                </w:div>
              </w:divsChild>
            </w:div>
            <w:div w:id="789668984">
              <w:marLeft w:val="0"/>
              <w:marRight w:val="0"/>
              <w:marTop w:val="0"/>
              <w:marBottom w:val="0"/>
              <w:divBdr>
                <w:top w:val="none" w:sz="0" w:space="0" w:color="auto"/>
                <w:left w:val="none" w:sz="0" w:space="0" w:color="auto"/>
                <w:bottom w:val="none" w:sz="0" w:space="0" w:color="auto"/>
                <w:right w:val="none" w:sz="0" w:space="0" w:color="auto"/>
              </w:divBdr>
            </w:div>
          </w:divsChild>
        </w:div>
        <w:div w:id="51579992">
          <w:marLeft w:val="0"/>
          <w:marRight w:val="0"/>
          <w:marTop w:val="0"/>
          <w:marBottom w:val="0"/>
          <w:divBdr>
            <w:top w:val="none" w:sz="0" w:space="0" w:color="auto"/>
            <w:left w:val="none" w:sz="0" w:space="0" w:color="auto"/>
            <w:bottom w:val="none" w:sz="0" w:space="0" w:color="auto"/>
            <w:right w:val="none" w:sz="0" w:space="0" w:color="auto"/>
          </w:divBdr>
          <w:divsChild>
            <w:div w:id="985671182">
              <w:marLeft w:val="0"/>
              <w:marRight w:val="0"/>
              <w:marTop w:val="0"/>
              <w:marBottom w:val="0"/>
              <w:divBdr>
                <w:top w:val="none" w:sz="0" w:space="0" w:color="auto"/>
                <w:left w:val="none" w:sz="0" w:space="0" w:color="auto"/>
                <w:bottom w:val="none" w:sz="0" w:space="0" w:color="auto"/>
                <w:right w:val="none" w:sz="0" w:space="0" w:color="auto"/>
              </w:divBdr>
              <w:divsChild>
                <w:div w:id="46763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7734">
      <w:bodyDiv w:val="1"/>
      <w:marLeft w:val="0"/>
      <w:marRight w:val="0"/>
      <w:marTop w:val="0"/>
      <w:marBottom w:val="0"/>
      <w:divBdr>
        <w:top w:val="none" w:sz="0" w:space="0" w:color="auto"/>
        <w:left w:val="none" w:sz="0" w:space="0" w:color="auto"/>
        <w:bottom w:val="none" w:sz="0" w:space="0" w:color="auto"/>
        <w:right w:val="none" w:sz="0" w:space="0" w:color="auto"/>
      </w:divBdr>
      <w:divsChild>
        <w:div w:id="672221159">
          <w:marLeft w:val="0"/>
          <w:marRight w:val="0"/>
          <w:marTop w:val="0"/>
          <w:marBottom w:val="0"/>
          <w:divBdr>
            <w:top w:val="none" w:sz="0" w:space="0" w:color="auto"/>
            <w:left w:val="none" w:sz="0" w:space="0" w:color="auto"/>
            <w:bottom w:val="dotted" w:sz="6" w:space="4" w:color="DDDDDD"/>
            <w:right w:val="none" w:sz="0" w:space="0" w:color="auto"/>
          </w:divBdr>
        </w:div>
      </w:divsChild>
    </w:div>
    <w:div w:id="131563447">
      <w:bodyDiv w:val="1"/>
      <w:marLeft w:val="0"/>
      <w:marRight w:val="0"/>
      <w:marTop w:val="0"/>
      <w:marBottom w:val="0"/>
      <w:divBdr>
        <w:top w:val="none" w:sz="0" w:space="0" w:color="auto"/>
        <w:left w:val="none" w:sz="0" w:space="0" w:color="auto"/>
        <w:bottom w:val="none" w:sz="0" w:space="0" w:color="auto"/>
        <w:right w:val="none" w:sz="0" w:space="0" w:color="auto"/>
      </w:divBdr>
      <w:divsChild>
        <w:div w:id="134223817">
          <w:marLeft w:val="0"/>
          <w:marRight w:val="0"/>
          <w:marTop w:val="0"/>
          <w:marBottom w:val="225"/>
          <w:divBdr>
            <w:top w:val="none" w:sz="0" w:space="0" w:color="auto"/>
            <w:left w:val="none" w:sz="0" w:space="0" w:color="auto"/>
            <w:bottom w:val="none" w:sz="0" w:space="0" w:color="auto"/>
            <w:right w:val="none" w:sz="0" w:space="0" w:color="auto"/>
          </w:divBdr>
          <w:divsChild>
            <w:div w:id="572474063">
              <w:marLeft w:val="0"/>
              <w:marRight w:val="0"/>
              <w:marTop w:val="0"/>
              <w:marBottom w:val="0"/>
              <w:divBdr>
                <w:top w:val="none" w:sz="0" w:space="0" w:color="auto"/>
                <w:left w:val="none" w:sz="0" w:space="0" w:color="auto"/>
                <w:bottom w:val="none" w:sz="0" w:space="0" w:color="auto"/>
                <w:right w:val="none" w:sz="0" w:space="0" w:color="auto"/>
              </w:divBdr>
              <w:divsChild>
                <w:div w:id="1425804678">
                  <w:marLeft w:val="0"/>
                  <w:marRight w:val="0"/>
                  <w:marTop w:val="0"/>
                  <w:marBottom w:val="120"/>
                  <w:divBdr>
                    <w:top w:val="none" w:sz="0" w:space="0" w:color="auto"/>
                    <w:left w:val="none" w:sz="0" w:space="0" w:color="auto"/>
                    <w:bottom w:val="none" w:sz="0" w:space="0" w:color="auto"/>
                    <w:right w:val="none" w:sz="0" w:space="0" w:color="auto"/>
                  </w:divBdr>
                </w:div>
                <w:div w:id="501747751">
                  <w:marLeft w:val="0"/>
                  <w:marRight w:val="0"/>
                  <w:marTop w:val="0"/>
                  <w:marBottom w:val="0"/>
                  <w:divBdr>
                    <w:top w:val="none" w:sz="0" w:space="0" w:color="auto"/>
                    <w:left w:val="none" w:sz="0" w:space="0" w:color="auto"/>
                    <w:bottom w:val="none" w:sz="0" w:space="0" w:color="auto"/>
                    <w:right w:val="none" w:sz="0" w:space="0" w:color="auto"/>
                  </w:divBdr>
                  <w:divsChild>
                    <w:div w:id="145127403">
                      <w:marLeft w:val="0"/>
                      <w:marRight w:val="0"/>
                      <w:marTop w:val="0"/>
                      <w:marBottom w:val="0"/>
                      <w:divBdr>
                        <w:top w:val="none" w:sz="0" w:space="0" w:color="auto"/>
                        <w:left w:val="none" w:sz="0" w:space="0" w:color="auto"/>
                        <w:bottom w:val="none" w:sz="0" w:space="0" w:color="auto"/>
                        <w:right w:val="none" w:sz="0" w:space="0" w:color="auto"/>
                      </w:divBdr>
                      <w:divsChild>
                        <w:div w:id="1101070393">
                          <w:marLeft w:val="0"/>
                          <w:marRight w:val="0"/>
                          <w:marTop w:val="0"/>
                          <w:marBottom w:val="0"/>
                          <w:divBdr>
                            <w:top w:val="none" w:sz="0" w:space="0" w:color="auto"/>
                            <w:left w:val="none" w:sz="0" w:space="0" w:color="auto"/>
                            <w:bottom w:val="none" w:sz="0" w:space="0" w:color="auto"/>
                            <w:right w:val="none" w:sz="0" w:space="0" w:color="auto"/>
                          </w:divBdr>
                          <w:divsChild>
                            <w:div w:id="1287156909">
                              <w:marLeft w:val="0"/>
                              <w:marRight w:val="0"/>
                              <w:marTop w:val="0"/>
                              <w:marBottom w:val="0"/>
                              <w:divBdr>
                                <w:top w:val="none" w:sz="0" w:space="0" w:color="auto"/>
                                <w:left w:val="none" w:sz="0" w:space="0" w:color="auto"/>
                                <w:bottom w:val="none" w:sz="0" w:space="0" w:color="auto"/>
                                <w:right w:val="none" w:sz="0" w:space="0" w:color="auto"/>
                              </w:divBdr>
                              <w:divsChild>
                                <w:div w:id="151541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795541">
      <w:bodyDiv w:val="1"/>
      <w:marLeft w:val="0"/>
      <w:marRight w:val="0"/>
      <w:marTop w:val="0"/>
      <w:marBottom w:val="0"/>
      <w:divBdr>
        <w:top w:val="none" w:sz="0" w:space="0" w:color="auto"/>
        <w:left w:val="none" w:sz="0" w:space="0" w:color="auto"/>
        <w:bottom w:val="none" w:sz="0" w:space="0" w:color="auto"/>
        <w:right w:val="none" w:sz="0" w:space="0" w:color="auto"/>
      </w:divBdr>
      <w:divsChild>
        <w:div w:id="1611235103">
          <w:marLeft w:val="0"/>
          <w:marRight w:val="0"/>
          <w:marTop w:val="0"/>
          <w:marBottom w:val="0"/>
          <w:divBdr>
            <w:top w:val="none" w:sz="0" w:space="0" w:color="auto"/>
            <w:left w:val="none" w:sz="0" w:space="0" w:color="auto"/>
            <w:bottom w:val="none" w:sz="0" w:space="0" w:color="auto"/>
            <w:right w:val="none" w:sz="0" w:space="0" w:color="auto"/>
          </w:divBdr>
          <w:divsChild>
            <w:div w:id="1270547809">
              <w:marLeft w:val="0"/>
              <w:marRight w:val="0"/>
              <w:marTop w:val="0"/>
              <w:marBottom w:val="0"/>
              <w:divBdr>
                <w:top w:val="none" w:sz="0" w:space="0" w:color="auto"/>
                <w:left w:val="none" w:sz="0" w:space="0" w:color="auto"/>
                <w:bottom w:val="none" w:sz="0" w:space="0" w:color="auto"/>
                <w:right w:val="none" w:sz="0" w:space="0" w:color="auto"/>
              </w:divBdr>
              <w:divsChild>
                <w:div w:id="367411386">
                  <w:marLeft w:val="0"/>
                  <w:marRight w:val="0"/>
                  <w:marTop w:val="0"/>
                  <w:marBottom w:val="0"/>
                  <w:divBdr>
                    <w:top w:val="none" w:sz="0" w:space="0" w:color="auto"/>
                    <w:left w:val="none" w:sz="0" w:space="0" w:color="auto"/>
                    <w:bottom w:val="none" w:sz="0" w:space="0" w:color="auto"/>
                    <w:right w:val="none" w:sz="0" w:space="0" w:color="auto"/>
                  </w:divBdr>
                  <w:divsChild>
                    <w:div w:id="1788697300">
                      <w:marLeft w:val="0"/>
                      <w:marRight w:val="0"/>
                      <w:marTop w:val="0"/>
                      <w:marBottom w:val="0"/>
                      <w:divBdr>
                        <w:top w:val="none" w:sz="0" w:space="0" w:color="auto"/>
                        <w:left w:val="none" w:sz="0" w:space="0" w:color="auto"/>
                        <w:bottom w:val="none" w:sz="0" w:space="0" w:color="auto"/>
                        <w:right w:val="none" w:sz="0" w:space="0" w:color="auto"/>
                      </w:divBdr>
                      <w:divsChild>
                        <w:div w:id="1308321562">
                          <w:marLeft w:val="0"/>
                          <w:marRight w:val="0"/>
                          <w:marTop w:val="0"/>
                          <w:marBottom w:val="0"/>
                          <w:divBdr>
                            <w:top w:val="none" w:sz="0" w:space="0" w:color="auto"/>
                            <w:left w:val="none" w:sz="0" w:space="0" w:color="auto"/>
                            <w:bottom w:val="none" w:sz="0" w:space="0" w:color="auto"/>
                            <w:right w:val="none" w:sz="0" w:space="0" w:color="auto"/>
                          </w:divBdr>
                          <w:divsChild>
                            <w:div w:id="1263295286">
                              <w:marLeft w:val="0"/>
                              <w:marRight w:val="0"/>
                              <w:marTop w:val="0"/>
                              <w:marBottom w:val="0"/>
                              <w:divBdr>
                                <w:top w:val="none" w:sz="0" w:space="0" w:color="auto"/>
                                <w:left w:val="none" w:sz="0" w:space="0" w:color="auto"/>
                                <w:bottom w:val="none" w:sz="0" w:space="0" w:color="auto"/>
                                <w:right w:val="none" w:sz="0" w:space="0" w:color="auto"/>
                              </w:divBdr>
                              <w:divsChild>
                                <w:div w:id="1448348214">
                                  <w:marLeft w:val="0"/>
                                  <w:marRight w:val="0"/>
                                  <w:marTop w:val="0"/>
                                  <w:marBottom w:val="0"/>
                                  <w:divBdr>
                                    <w:top w:val="none" w:sz="0" w:space="0" w:color="auto"/>
                                    <w:left w:val="none" w:sz="0" w:space="0" w:color="auto"/>
                                    <w:bottom w:val="none" w:sz="0" w:space="0" w:color="auto"/>
                                    <w:right w:val="none" w:sz="0" w:space="0" w:color="auto"/>
                                  </w:divBdr>
                                  <w:divsChild>
                                    <w:div w:id="44947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993593">
      <w:bodyDiv w:val="1"/>
      <w:marLeft w:val="0"/>
      <w:marRight w:val="0"/>
      <w:marTop w:val="0"/>
      <w:marBottom w:val="0"/>
      <w:divBdr>
        <w:top w:val="none" w:sz="0" w:space="0" w:color="auto"/>
        <w:left w:val="none" w:sz="0" w:space="0" w:color="auto"/>
        <w:bottom w:val="none" w:sz="0" w:space="0" w:color="auto"/>
        <w:right w:val="none" w:sz="0" w:space="0" w:color="auto"/>
      </w:divBdr>
      <w:divsChild>
        <w:div w:id="786659449">
          <w:marLeft w:val="0"/>
          <w:marRight w:val="0"/>
          <w:marTop w:val="0"/>
          <w:marBottom w:val="150"/>
          <w:divBdr>
            <w:top w:val="none" w:sz="0" w:space="0" w:color="auto"/>
            <w:left w:val="none" w:sz="0" w:space="0" w:color="auto"/>
            <w:bottom w:val="none" w:sz="0" w:space="0" w:color="auto"/>
            <w:right w:val="none" w:sz="0" w:space="0" w:color="auto"/>
          </w:divBdr>
        </w:div>
        <w:div w:id="1388839759">
          <w:marLeft w:val="0"/>
          <w:marRight w:val="0"/>
          <w:marTop w:val="0"/>
          <w:marBottom w:val="0"/>
          <w:divBdr>
            <w:top w:val="none" w:sz="0" w:space="0" w:color="auto"/>
            <w:left w:val="none" w:sz="0" w:space="0" w:color="auto"/>
            <w:bottom w:val="none" w:sz="0" w:space="0" w:color="auto"/>
            <w:right w:val="none" w:sz="0" w:space="0" w:color="auto"/>
          </w:divBdr>
          <w:divsChild>
            <w:div w:id="173887275">
              <w:marLeft w:val="0"/>
              <w:marRight w:val="0"/>
              <w:marTop w:val="0"/>
              <w:marBottom w:val="0"/>
              <w:divBdr>
                <w:top w:val="none" w:sz="0" w:space="0" w:color="auto"/>
                <w:left w:val="none" w:sz="0" w:space="0" w:color="auto"/>
                <w:bottom w:val="none" w:sz="0" w:space="0" w:color="auto"/>
                <w:right w:val="none" w:sz="0" w:space="0" w:color="auto"/>
              </w:divBdr>
            </w:div>
          </w:divsChild>
        </w:div>
        <w:div w:id="2140878413">
          <w:marLeft w:val="0"/>
          <w:marRight w:val="0"/>
          <w:marTop w:val="0"/>
          <w:marBottom w:val="150"/>
          <w:divBdr>
            <w:top w:val="none" w:sz="0" w:space="0" w:color="auto"/>
            <w:left w:val="none" w:sz="0" w:space="0" w:color="auto"/>
            <w:bottom w:val="none" w:sz="0" w:space="0" w:color="auto"/>
            <w:right w:val="none" w:sz="0" w:space="0" w:color="auto"/>
          </w:divBdr>
          <w:divsChild>
            <w:div w:id="74391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60505">
      <w:bodyDiv w:val="1"/>
      <w:marLeft w:val="0"/>
      <w:marRight w:val="0"/>
      <w:marTop w:val="0"/>
      <w:marBottom w:val="0"/>
      <w:divBdr>
        <w:top w:val="none" w:sz="0" w:space="0" w:color="auto"/>
        <w:left w:val="none" w:sz="0" w:space="0" w:color="auto"/>
        <w:bottom w:val="none" w:sz="0" w:space="0" w:color="auto"/>
        <w:right w:val="none" w:sz="0" w:space="0" w:color="auto"/>
      </w:divBdr>
      <w:divsChild>
        <w:div w:id="480730742">
          <w:marLeft w:val="0"/>
          <w:marRight w:val="0"/>
          <w:marTop w:val="0"/>
          <w:marBottom w:val="0"/>
          <w:divBdr>
            <w:top w:val="none" w:sz="0" w:space="0" w:color="auto"/>
            <w:left w:val="none" w:sz="0" w:space="0" w:color="auto"/>
            <w:bottom w:val="none" w:sz="0" w:space="0" w:color="auto"/>
            <w:right w:val="none" w:sz="0" w:space="0" w:color="auto"/>
          </w:divBdr>
          <w:divsChild>
            <w:div w:id="1022050379">
              <w:marLeft w:val="0"/>
              <w:marRight w:val="0"/>
              <w:marTop w:val="0"/>
              <w:marBottom w:val="0"/>
              <w:divBdr>
                <w:top w:val="none" w:sz="0" w:space="0" w:color="auto"/>
                <w:left w:val="none" w:sz="0" w:space="0" w:color="auto"/>
                <w:bottom w:val="none" w:sz="0" w:space="0" w:color="auto"/>
                <w:right w:val="none" w:sz="0" w:space="0" w:color="auto"/>
              </w:divBdr>
              <w:divsChild>
                <w:div w:id="1957907279">
                  <w:marLeft w:val="0"/>
                  <w:marRight w:val="0"/>
                  <w:marTop w:val="0"/>
                  <w:marBottom w:val="0"/>
                  <w:divBdr>
                    <w:top w:val="none" w:sz="0" w:space="0" w:color="auto"/>
                    <w:left w:val="none" w:sz="0" w:space="0" w:color="auto"/>
                    <w:bottom w:val="none" w:sz="0" w:space="0" w:color="auto"/>
                    <w:right w:val="none" w:sz="0" w:space="0" w:color="auto"/>
                  </w:divBdr>
                  <w:divsChild>
                    <w:div w:id="968625639">
                      <w:marLeft w:val="0"/>
                      <w:marRight w:val="0"/>
                      <w:marTop w:val="0"/>
                      <w:marBottom w:val="0"/>
                      <w:divBdr>
                        <w:top w:val="none" w:sz="0" w:space="0" w:color="auto"/>
                        <w:left w:val="none" w:sz="0" w:space="0" w:color="auto"/>
                        <w:bottom w:val="none" w:sz="0" w:space="0" w:color="auto"/>
                        <w:right w:val="none" w:sz="0" w:space="0" w:color="auto"/>
                      </w:divBdr>
                      <w:divsChild>
                        <w:div w:id="1833523895">
                          <w:marLeft w:val="0"/>
                          <w:marRight w:val="0"/>
                          <w:marTop w:val="0"/>
                          <w:marBottom w:val="0"/>
                          <w:divBdr>
                            <w:top w:val="none" w:sz="0" w:space="0" w:color="auto"/>
                            <w:left w:val="none" w:sz="0" w:space="0" w:color="auto"/>
                            <w:bottom w:val="none" w:sz="0" w:space="0" w:color="auto"/>
                            <w:right w:val="none" w:sz="0" w:space="0" w:color="auto"/>
                          </w:divBdr>
                          <w:divsChild>
                            <w:div w:id="1777675760">
                              <w:marLeft w:val="0"/>
                              <w:marRight w:val="0"/>
                              <w:marTop w:val="0"/>
                              <w:marBottom w:val="0"/>
                              <w:divBdr>
                                <w:top w:val="none" w:sz="0" w:space="0" w:color="auto"/>
                                <w:left w:val="none" w:sz="0" w:space="0" w:color="auto"/>
                                <w:bottom w:val="none" w:sz="0" w:space="0" w:color="auto"/>
                                <w:right w:val="none" w:sz="0" w:space="0" w:color="auto"/>
                              </w:divBdr>
                              <w:divsChild>
                                <w:div w:id="1608466522">
                                  <w:marLeft w:val="0"/>
                                  <w:marRight w:val="0"/>
                                  <w:marTop w:val="0"/>
                                  <w:marBottom w:val="0"/>
                                  <w:divBdr>
                                    <w:top w:val="none" w:sz="0" w:space="0" w:color="auto"/>
                                    <w:left w:val="none" w:sz="0" w:space="0" w:color="auto"/>
                                    <w:bottom w:val="none" w:sz="0" w:space="0" w:color="auto"/>
                                    <w:right w:val="none" w:sz="0" w:space="0" w:color="auto"/>
                                  </w:divBdr>
                                  <w:divsChild>
                                    <w:div w:id="36353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337991">
      <w:bodyDiv w:val="1"/>
      <w:marLeft w:val="0"/>
      <w:marRight w:val="0"/>
      <w:marTop w:val="0"/>
      <w:marBottom w:val="0"/>
      <w:divBdr>
        <w:top w:val="none" w:sz="0" w:space="0" w:color="auto"/>
        <w:left w:val="none" w:sz="0" w:space="0" w:color="auto"/>
        <w:bottom w:val="none" w:sz="0" w:space="0" w:color="auto"/>
        <w:right w:val="none" w:sz="0" w:space="0" w:color="auto"/>
      </w:divBdr>
      <w:divsChild>
        <w:div w:id="1724985650">
          <w:marLeft w:val="0"/>
          <w:marRight w:val="0"/>
          <w:marTop w:val="0"/>
          <w:marBottom w:val="450"/>
          <w:divBdr>
            <w:top w:val="none" w:sz="0" w:space="0" w:color="auto"/>
            <w:left w:val="none" w:sz="0" w:space="0" w:color="auto"/>
            <w:bottom w:val="single" w:sz="6" w:space="19" w:color="EEEEEE"/>
            <w:right w:val="none" w:sz="0" w:space="0" w:color="auto"/>
          </w:divBdr>
          <w:divsChild>
            <w:div w:id="331644248">
              <w:marLeft w:val="0"/>
              <w:marRight w:val="0"/>
              <w:marTop w:val="0"/>
              <w:marBottom w:val="150"/>
              <w:divBdr>
                <w:top w:val="none" w:sz="0" w:space="0" w:color="auto"/>
                <w:left w:val="none" w:sz="0" w:space="0" w:color="auto"/>
                <w:bottom w:val="none" w:sz="0" w:space="0" w:color="auto"/>
                <w:right w:val="none" w:sz="0" w:space="0" w:color="auto"/>
              </w:divBdr>
              <w:divsChild>
                <w:div w:id="1921214875">
                  <w:marLeft w:val="0"/>
                  <w:marRight w:val="0"/>
                  <w:marTop w:val="0"/>
                  <w:marBottom w:val="0"/>
                  <w:divBdr>
                    <w:top w:val="none" w:sz="0" w:space="0" w:color="auto"/>
                    <w:left w:val="none" w:sz="0" w:space="0" w:color="auto"/>
                    <w:bottom w:val="none" w:sz="0" w:space="0" w:color="auto"/>
                    <w:right w:val="none" w:sz="0" w:space="0" w:color="auto"/>
                  </w:divBdr>
                </w:div>
              </w:divsChild>
            </w:div>
            <w:div w:id="1500465390">
              <w:marLeft w:val="0"/>
              <w:marRight w:val="0"/>
              <w:marTop w:val="0"/>
              <w:marBottom w:val="0"/>
              <w:divBdr>
                <w:top w:val="none" w:sz="0" w:space="0" w:color="auto"/>
                <w:left w:val="none" w:sz="0" w:space="0" w:color="auto"/>
                <w:bottom w:val="none" w:sz="0" w:space="0" w:color="auto"/>
                <w:right w:val="none" w:sz="0" w:space="0" w:color="auto"/>
              </w:divBdr>
            </w:div>
          </w:divsChild>
        </w:div>
        <w:div w:id="100926848">
          <w:marLeft w:val="0"/>
          <w:marRight w:val="0"/>
          <w:marTop w:val="0"/>
          <w:marBottom w:val="0"/>
          <w:divBdr>
            <w:top w:val="none" w:sz="0" w:space="0" w:color="auto"/>
            <w:left w:val="none" w:sz="0" w:space="0" w:color="auto"/>
            <w:bottom w:val="none" w:sz="0" w:space="0" w:color="auto"/>
            <w:right w:val="none" w:sz="0" w:space="0" w:color="auto"/>
          </w:divBdr>
          <w:divsChild>
            <w:div w:id="1956674402">
              <w:marLeft w:val="0"/>
              <w:marRight w:val="0"/>
              <w:marTop w:val="0"/>
              <w:marBottom w:val="0"/>
              <w:divBdr>
                <w:top w:val="none" w:sz="0" w:space="0" w:color="auto"/>
                <w:left w:val="none" w:sz="0" w:space="0" w:color="auto"/>
                <w:bottom w:val="none" w:sz="0" w:space="0" w:color="auto"/>
                <w:right w:val="none" w:sz="0" w:space="0" w:color="auto"/>
              </w:divBdr>
              <w:divsChild>
                <w:div w:id="117892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18717">
      <w:bodyDiv w:val="1"/>
      <w:marLeft w:val="0"/>
      <w:marRight w:val="0"/>
      <w:marTop w:val="0"/>
      <w:marBottom w:val="0"/>
      <w:divBdr>
        <w:top w:val="none" w:sz="0" w:space="0" w:color="auto"/>
        <w:left w:val="none" w:sz="0" w:space="0" w:color="auto"/>
        <w:bottom w:val="none" w:sz="0" w:space="0" w:color="auto"/>
        <w:right w:val="none" w:sz="0" w:space="0" w:color="auto"/>
      </w:divBdr>
      <w:divsChild>
        <w:div w:id="991910172">
          <w:marLeft w:val="0"/>
          <w:marRight w:val="0"/>
          <w:marTop w:val="0"/>
          <w:marBottom w:val="450"/>
          <w:divBdr>
            <w:top w:val="none" w:sz="0" w:space="0" w:color="auto"/>
            <w:left w:val="none" w:sz="0" w:space="0" w:color="auto"/>
            <w:bottom w:val="single" w:sz="6" w:space="19" w:color="EEEEEE"/>
            <w:right w:val="none" w:sz="0" w:space="0" w:color="auto"/>
          </w:divBdr>
          <w:divsChild>
            <w:div w:id="54620476">
              <w:marLeft w:val="0"/>
              <w:marRight w:val="0"/>
              <w:marTop w:val="0"/>
              <w:marBottom w:val="150"/>
              <w:divBdr>
                <w:top w:val="none" w:sz="0" w:space="0" w:color="auto"/>
                <w:left w:val="none" w:sz="0" w:space="0" w:color="auto"/>
                <w:bottom w:val="none" w:sz="0" w:space="0" w:color="auto"/>
                <w:right w:val="none" w:sz="0" w:space="0" w:color="auto"/>
              </w:divBdr>
              <w:divsChild>
                <w:div w:id="634020347">
                  <w:marLeft w:val="0"/>
                  <w:marRight w:val="0"/>
                  <w:marTop w:val="0"/>
                  <w:marBottom w:val="0"/>
                  <w:divBdr>
                    <w:top w:val="none" w:sz="0" w:space="0" w:color="auto"/>
                    <w:left w:val="none" w:sz="0" w:space="0" w:color="auto"/>
                    <w:bottom w:val="none" w:sz="0" w:space="0" w:color="auto"/>
                    <w:right w:val="none" w:sz="0" w:space="0" w:color="auto"/>
                  </w:divBdr>
                </w:div>
              </w:divsChild>
            </w:div>
            <w:div w:id="921335044">
              <w:marLeft w:val="0"/>
              <w:marRight w:val="0"/>
              <w:marTop w:val="0"/>
              <w:marBottom w:val="0"/>
              <w:divBdr>
                <w:top w:val="none" w:sz="0" w:space="0" w:color="auto"/>
                <w:left w:val="none" w:sz="0" w:space="0" w:color="auto"/>
                <w:bottom w:val="none" w:sz="0" w:space="0" w:color="auto"/>
                <w:right w:val="none" w:sz="0" w:space="0" w:color="auto"/>
              </w:divBdr>
            </w:div>
          </w:divsChild>
        </w:div>
        <w:div w:id="481892060">
          <w:marLeft w:val="0"/>
          <w:marRight w:val="0"/>
          <w:marTop w:val="0"/>
          <w:marBottom w:val="0"/>
          <w:divBdr>
            <w:top w:val="none" w:sz="0" w:space="0" w:color="auto"/>
            <w:left w:val="none" w:sz="0" w:space="0" w:color="auto"/>
            <w:bottom w:val="none" w:sz="0" w:space="0" w:color="auto"/>
            <w:right w:val="none" w:sz="0" w:space="0" w:color="auto"/>
          </w:divBdr>
          <w:divsChild>
            <w:div w:id="183638118">
              <w:marLeft w:val="0"/>
              <w:marRight w:val="0"/>
              <w:marTop w:val="0"/>
              <w:marBottom w:val="0"/>
              <w:divBdr>
                <w:top w:val="none" w:sz="0" w:space="0" w:color="auto"/>
                <w:left w:val="none" w:sz="0" w:space="0" w:color="auto"/>
                <w:bottom w:val="none" w:sz="0" w:space="0" w:color="auto"/>
                <w:right w:val="none" w:sz="0" w:space="0" w:color="auto"/>
              </w:divBdr>
              <w:divsChild>
                <w:div w:id="11914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76749">
      <w:bodyDiv w:val="1"/>
      <w:marLeft w:val="0"/>
      <w:marRight w:val="0"/>
      <w:marTop w:val="0"/>
      <w:marBottom w:val="0"/>
      <w:divBdr>
        <w:top w:val="none" w:sz="0" w:space="0" w:color="auto"/>
        <w:left w:val="none" w:sz="0" w:space="0" w:color="auto"/>
        <w:bottom w:val="none" w:sz="0" w:space="0" w:color="auto"/>
        <w:right w:val="none" w:sz="0" w:space="0" w:color="auto"/>
      </w:divBdr>
      <w:divsChild>
        <w:div w:id="1102267263">
          <w:marLeft w:val="0"/>
          <w:marRight w:val="0"/>
          <w:marTop w:val="0"/>
          <w:marBottom w:val="0"/>
          <w:divBdr>
            <w:top w:val="none" w:sz="0" w:space="0" w:color="auto"/>
            <w:left w:val="none" w:sz="0" w:space="0" w:color="auto"/>
            <w:bottom w:val="none" w:sz="0" w:space="0" w:color="auto"/>
            <w:right w:val="none" w:sz="0" w:space="0" w:color="auto"/>
          </w:divBdr>
        </w:div>
      </w:divsChild>
    </w:div>
    <w:div w:id="133572029">
      <w:bodyDiv w:val="1"/>
      <w:marLeft w:val="0"/>
      <w:marRight w:val="0"/>
      <w:marTop w:val="0"/>
      <w:marBottom w:val="0"/>
      <w:divBdr>
        <w:top w:val="none" w:sz="0" w:space="0" w:color="auto"/>
        <w:left w:val="none" w:sz="0" w:space="0" w:color="auto"/>
        <w:bottom w:val="none" w:sz="0" w:space="0" w:color="auto"/>
        <w:right w:val="none" w:sz="0" w:space="0" w:color="auto"/>
      </w:divBdr>
      <w:divsChild>
        <w:div w:id="890576551">
          <w:marLeft w:val="0"/>
          <w:marRight w:val="0"/>
          <w:marTop w:val="0"/>
          <w:marBottom w:val="0"/>
          <w:divBdr>
            <w:top w:val="none" w:sz="0" w:space="0" w:color="auto"/>
            <w:left w:val="none" w:sz="0" w:space="0" w:color="auto"/>
            <w:bottom w:val="dotted" w:sz="6" w:space="4" w:color="DDDDDD"/>
            <w:right w:val="none" w:sz="0" w:space="0" w:color="auto"/>
          </w:divBdr>
        </w:div>
      </w:divsChild>
    </w:div>
    <w:div w:id="133910424">
      <w:bodyDiv w:val="1"/>
      <w:marLeft w:val="0"/>
      <w:marRight w:val="0"/>
      <w:marTop w:val="0"/>
      <w:marBottom w:val="0"/>
      <w:divBdr>
        <w:top w:val="none" w:sz="0" w:space="0" w:color="auto"/>
        <w:left w:val="none" w:sz="0" w:space="0" w:color="auto"/>
        <w:bottom w:val="none" w:sz="0" w:space="0" w:color="auto"/>
        <w:right w:val="none" w:sz="0" w:space="0" w:color="auto"/>
      </w:divBdr>
      <w:divsChild>
        <w:div w:id="1243684329">
          <w:marLeft w:val="0"/>
          <w:marRight w:val="0"/>
          <w:marTop w:val="0"/>
          <w:marBottom w:val="0"/>
          <w:divBdr>
            <w:top w:val="none" w:sz="0" w:space="0" w:color="auto"/>
            <w:left w:val="none" w:sz="0" w:space="0" w:color="auto"/>
            <w:bottom w:val="dotted" w:sz="6" w:space="4" w:color="DDDDDD"/>
            <w:right w:val="none" w:sz="0" w:space="0" w:color="auto"/>
          </w:divBdr>
          <w:divsChild>
            <w:div w:id="67076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93785">
      <w:bodyDiv w:val="1"/>
      <w:marLeft w:val="0"/>
      <w:marRight w:val="0"/>
      <w:marTop w:val="0"/>
      <w:marBottom w:val="0"/>
      <w:divBdr>
        <w:top w:val="none" w:sz="0" w:space="0" w:color="auto"/>
        <w:left w:val="none" w:sz="0" w:space="0" w:color="auto"/>
        <w:bottom w:val="none" w:sz="0" w:space="0" w:color="auto"/>
        <w:right w:val="none" w:sz="0" w:space="0" w:color="auto"/>
      </w:divBdr>
    </w:div>
    <w:div w:id="134874450">
      <w:bodyDiv w:val="1"/>
      <w:marLeft w:val="0"/>
      <w:marRight w:val="0"/>
      <w:marTop w:val="0"/>
      <w:marBottom w:val="0"/>
      <w:divBdr>
        <w:top w:val="none" w:sz="0" w:space="0" w:color="auto"/>
        <w:left w:val="none" w:sz="0" w:space="0" w:color="auto"/>
        <w:bottom w:val="none" w:sz="0" w:space="0" w:color="auto"/>
        <w:right w:val="none" w:sz="0" w:space="0" w:color="auto"/>
      </w:divBdr>
      <w:divsChild>
        <w:div w:id="157892816">
          <w:marLeft w:val="0"/>
          <w:marRight w:val="0"/>
          <w:marTop w:val="0"/>
          <w:marBottom w:val="150"/>
          <w:divBdr>
            <w:top w:val="none" w:sz="0" w:space="0" w:color="auto"/>
            <w:left w:val="none" w:sz="0" w:space="0" w:color="auto"/>
            <w:bottom w:val="none" w:sz="0" w:space="0" w:color="auto"/>
            <w:right w:val="none" w:sz="0" w:space="0" w:color="auto"/>
          </w:divBdr>
        </w:div>
      </w:divsChild>
    </w:div>
    <w:div w:id="135414861">
      <w:bodyDiv w:val="1"/>
      <w:marLeft w:val="0"/>
      <w:marRight w:val="0"/>
      <w:marTop w:val="0"/>
      <w:marBottom w:val="0"/>
      <w:divBdr>
        <w:top w:val="none" w:sz="0" w:space="0" w:color="auto"/>
        <w:left w:val="none" w:sz="0" w:space="0" w:color="auto"/>
        <w:bottom w:val="none" w:sz="0" w:space="0" w:color="auto"/>
        <w:right w:val="none" w:sz="0" w:space="0" w:color="auto"/>
      </w:divBdr>
      <w:divsChild>
        <w:div w:id="236861207">
          <w:marLeft w:val="0"/>
          <w:marRight w:val="0"/>
          <w:marTop w:val="0"/>
          <w:marBottom w:val="0"/>
          <w:divBdr>
            <w:top w:val="none" w:sz="0" w:space="0" w:color="auto"/>
            <w:left w:val="none" w:sz="0" w:space="0" w:color="auto"/>
            <w:bottom w:val="dotted" w:sz="6" w:space="4" w:color="DDDDDD"/>
            <w:right w:val="none" w:sz="0" w:space="0" w:color="auto"/>
          </w:divBdr>
          <w:divsChild>
            <w:div w:id="12794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18311">
      <w:bodyDiv w:val="1"/>
      <w:marLeft w:val="0"/>
      <w:marRight w:val="0"/>
      <w:marTop w:val="0"/>
      <w:marBottom w:val="0"/>
      <w:divBdr>
        <w:top w:val="none" w:sz="0" w:space="0" w:color="auto"/>
        <w:left w:val="none" w:sz="0" w:space="0" w:color="auto"/>
        <w:bottom w:val="none" w:sz="0" w:space="0" w:color="auto"/>
        <w:right w:val="none" w:sz="0" w:space="0" w:color="auto"/>
      </w:divBdr>
    </w:div>
    <w:div w:id="135609392">
      <w:bodyDiv w:val="1"/>
      <w:marLeft w:val="0"/>
      <w:marRight w:val="0"/>
      <w:marTop w:val="0"/>
      <w:marBottom w:val="0"/>
      <w:divBdr>
        <w:top w:val="none" w:sz="0" w:space="0" w:color="auto"/>
        <w:left w:val="none" w:sz="0" w:space="0" w:color="auto"/>
        <w:bottom w:val="none" w:sz="0" w:space="0" w:color="auto"/>
        <w:right w:val="none" w:sz="0" w:space="0" w:color="auto"/>
      </w:divBdr>
      <w:divsChild>
        <w:div w:id="1934968837">
          <w:marLeft w:val="0"/>
          <w:marRight w:val="0"/>
          <w:marTop w:val="0"/>
          <w:marBottom w:val="0"/>
          <w:divBdr>
            <w:top w:val="none" w:sz="0" w:space="0" w:color="auto"/>
            <w:left w:val="none" w:sz="0" w:space="0" w:color="auto"/>
            <w:bottom w:val="none" w:sz="0" w:space="0" w:color="auto"/>
            <w:right w:val="none" w:sz="0" w:space="0" w:color="auto"/>
          </w:divBdr>
          <w:divsChild>
            <w:div w:id="1310328392">
              <w:marLeft w:val="0"/>
              <w:marRight w:val="0"/>
              <w:marTop w:val="0"/>
              <w:marBottom w:val="0"/>
              <w:divBdr>
                <w:top w:val="none" w:sz="0" w:space="0" w:color="auto"/>
                <w:left w:val="none" w:sz="0" w:space="0" w:color="auto"/>
                <w:bottom w:val="none" w:sz="0" w:space="0" w:color="auto"/>
                <w:right w:val="none" w:sz="0" w:space="0" w:color="auto"/>
              </w:divBdr>
              <w:divsChild>
                <w:div w:id="2087532310">
                  <w:marLeft w:val="0"/>
                  <w:marRight w:val="0"/>
                  <w:marTop w:val="0"/>
                  <w:marBottom w:val="0"/>
                  <w:divBdr>
                    <w:top w:val="none" w:sz="0" w:space="0" w:color="auto"/>
                    <w:left w:val="none" w:sz="0" w:space="0" w:color="auto"/>
                    <w:bottom w:val="none" w:sz="0" w:space="0" w:color="auto"/>
                    <w:right w:val="none" w:sz="0" w:space="0" w:color="auto"/>
                  </w:divBdr>
                  <w:divsChild>
                    <w:div w:id="1172333912">
                      <w:marLeft w:val="0"/>
                      <w:marRight w:val="0"/>
                      <w:marTop w:val="0"/>
                      <w:marBottom w:val="0"/>
                      <w:divBdr>
                        <w:top w:val="none" w:sz="0" w:space="0" w:color="auto"/>
                        <w:left w:val="none" w:sz="0" w:space="0" w:color="auto"/>
                        <w:bottom w:val="none" w:sz="0" w:space="0" w:color="auto"/>
                        <w:right w:val="none" w:sz="0" w:space="0" w:color="auto"/>
                      </w:divBdr>
                      <w:divsChild>
                        <w:div w:id="1340885259">
                          <w:marLeft w:val="0"/>
                          <w:marRight w:val="0"/>
                          <w:marTop w:val="0"/>
                          <w:marBottom w:val="0"/>
                          <w:divBdr>
                            <w:top w:val="none" w:sz="0" w:space="0" w:color="auto"/>
                            <w:left w:val="none" w:sz="0" w:space="0" w:color="auto"/>
                            <w:bottom w:val="none" w:sz="0" w:space="0" w:color="auto"/>
                            <w:right w:val="none" w:sz="0" w:space="0" w:color="auto"/>
                          </w:divBdr>
                          <w:divsChild>
                            <w:div w:id="1571380446">
                              <w:marLeft w:val="0"/>
                              <w:marRight w:val="0"/>
                              <w:marTop w:val="0"/>
                              <w:marBottom w:val="0"/>
                              <w:divBdr>
                                <w:top w:val="none" w:sz="0" w:space="0" w:color="auto"/>
                                <w:left w:val="none" w:sz="0" w:space="0" w:color="auto"/>
                                <w:bottom w:val="none" w:sz="0" w:space="0" w:color="auto"/>
                                <w:right w:val="none" w:sz="0" w:space="0" w:color="auto"/>
                              </w:divBdr>
                              <w:divsChild>
                                <w:div w:id="1928928374">
                                  <w:marLeft w:val="0"/>
                                  <w:marRight w:val="0"/>
                                  <w:marTop w:val="0"/>
                                  <w:marBottom w:val="0"/>
                                  <w:divBdr>
                                    <w:top w:val="none" w:sz="0" w:space="0" w:color="auto"/>
                                    <w:left w:val="none" w:sz="0" w:space="0" w:color="auto"/>
                                    <w:bottom w:val="none" w:sz="0" w:space="0" w:color="auto"/>
                                    <w:right w:val="none" w:sz="0" w:space="0" w:color="auto"/>
                                  </w:divBdr>
                                  <w:divsChild>
                                    <w:div w:id="89184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803570">
      <w:bodyDiv w:val="1"/>
      <w:marLeft w:val="0"/>
      <w:marRight w:val="0"/>
      <w:marTop w:val="0"/>
      <w:marBottom w:val="0"/>
      <w:divBdr>
        <w:top w:val="none" w:sz="0" w:space="0" w:color="auto"/>
        <w:left w:val="none" w:sz="0" w:space="0" w:color="auto"/>
        <w:bottom w:val="none" w:sz="0" w:space="0" w:color="auto"/>
        <w:right w:val="none" w:sz="0" w:space="0" w:color="auto"/>
      </w:divBdr>
      <w:divsChild>
        <w:div w:id="33118543">
          <w:marLeft w:val="0"/>
          <w:marRight w:val="0"/>
          <w:marTop w:val="0"/>
          <w:marBottom w:val="450"/>
          <w:divBdr>
            <w:top w:val="none" w:sz="0" w:space="0" w:color="auto"/>
            <w:left w:val="none" w:sz="0" w:space="0" w:color="auto"/>
            <w:bottom w:val="single" w:sz="6" w:space="19" w:color="EEEEEE"/>
            <w:right w:val="none" w:sz="0" w:space="0" w:color="auto"/>
          </w:divBdr>
          <w:divsChild>
            <w:div w:id="306709891">
              <w:marLeft w:val="0"/>
              <w:marRight w:val="0"/>
              <w:marTop w:val="0"/>
              <w:marBottom w:val="150"/>
              <w:divBdr>
                <w:top w:val="none" w:sz="0" w:space="0" w:color="auto"/>
                <w:left w:val="none" w:sz="0" w:space="0" w:color="auto"/>
                <w:bottom w:val="none" w:sz="0" w:space="0" w:color="auto"/>
                <w:right w:val="none" w:sz="0" w:space="0" w:color="auto"/>
              </w:divBdr>
              <w:divsChild>
                <w:div w:id="144519195">
                  <w:marLeft w:val="0"/>
                  <w:marRight w:val="0"/>
                  <w:marTop w:val="0"/>
                  <w:marBottom w:val="0"/>
                  <w:divBdr>
                    <w:top w:val="none" w:sz="0" w:space="0" w:color="auto"/>
                    <w:left w:val="none" w:sz="0" w:space="0" w:color="auto"/>
                    <w:bottom w:val="none" w:sz="0" w:space="0" w:color="auto"/>
                    <w:right w:val="none" w:sz="0" w:space="0" w:color="auto"/>
                  </w:divBdr>
                </w:div>
              </w:divsChild>
            </w:div>
            <w:div w:id="2038969094">
              <w:marLeft w:val="0"/>
              <w:marRight w:val="0"/>
              <w:marTop w:val="0"/>
              <w:marBottom w:val="0"/>
              <w:divBdr>
                <w:top w:val="none" w:sz="0" w:space="0" w:color="auto"/>
                <w:left w:val="none" w:sz="0" w:space="0" w:color="auto"/>
                <w:bottom w:val="none" w:sz="0" w:space="0" w:color="auto"/>
                <w:right w:val="none" w:sz="0" w:space="0" w:color="auto"/>
              </w:divBdr>
            </w:div>
          </w:divsChild>
        </w:div>
        <w:div w:id="18431521">
          <w:marLeft w:val="0"/>
          <w:marRight w:val="0"/>
          <w:marTop w:val="0"/>
          <w:marBottom w:val="0"/>
          <w:divBdr>
            <w:top w:val="none" w:sz="0" w:space="0" w:color="auto"/>
            <w:left w:val="none" w:sz="0" w:space="0" w:color="auto"/>
            <w:bottom w:val="none" w:sz="0" w:space="0" w:color="auto"/>
            <w:right w:val="none" w:sz="0" w:space="0" w:color="auto"/>
          </w:divBdr>
          <w:divsChild>
            <w:div w:id="1698502514">
              <w:marLeft w:val="0"/>
              <w:marRight w:val="0"/>
              <w:marTop w:val="0"/>
              <w:marBottom w:val="0"/>
              <w:divBdr>
                <w:top w:val="none" w:sz="0" w:space="0" w:color="auto"/>
                <w:left w:val="none" w:sz="0" w:space="0" w:color="auto"/>
                <w:bottom w:val="none" w:sz="0" w:space="0" w:color="auto"/>
                <w:right w:val="none" w:sz="0" w:space="0" w:color="auto"/>
              </w:divBdr>
              <w:divsChild>
                <w:div w:id="30004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77262">
      <w:bodyDiv w:val="1"/>
      <w:marLeft w:val="0"/>
      <w:marRight w:val="0"/>
      <w:marTop w:val="0"/>
      <w:marBottom w:val="0"/>
      <w:divBdr>
        <w:top w:val="none" w:sz="0" w:space="0" w:color="auto"/>
        <w:left w:val="none" w:sz="0" w:space="0" w:color="auto"/>
        <w:bottom w:val="none" w:sz="0" w:space="0" w:color="auto"/>
        <w:right w:val="none" w:sz="0" w:space="0" w:color="auto"/>
      </w:divBdr>
    </w:div>
    <w:div w:id="135950076">
      <w:bodyDiv w:val="1"/>
      <w:marLeft w:val="0"/>
      <w:marRight w:val="0"/>
      <w:marTop w:val="0"/>
      <w:marBottom w:val="0"/>
      <w:divBdr>
        <w:top w:val="none" w:sz="0" w:space="0" w:color="auto"/>
        <w:left w:val="none" w:sz="0" w:space="0" w:color="auto"/>
        <w:bottom w:val="none" w:sz="0" w:space="0" w:color="auto"/>
        <w:right w:val="none" w:sz="0" w:space="0" w:color="auto"/>
      </w:divBdr>
      <w:divsChild>
        <w:div w:id="1039162925">
          <w:marLeft w:val="0"/>
          <w:marRight w:val="0"/>
          <w:marTop w:val="0"/>
          <w:marBottom w:val="0"/>
          <w:divBdr>
            <w:top w:val="none" w:sz="0" w:space="0" w:color="auto"/>
            <w:left w:val="none" w:sz="0" w:space="0" w:color="auto"/>
            <w:bottom w:val="dotted" w:sz="6" w:space="4" w:color="DDDDDD"/>
            <w:right w:val="none" w:sz="0" w:space="0" w:color="auto"/>
          </w:divBdr>
          <w:divsChild>
            <w:div w:id="175905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01417">
      <w:bodyDiv w:val="1"/>
      <w:marLeft w:val="0"/>
      <w:marRight w:val="0"/>
      <w:marTop w:val="0"/>
      <w:marBottom w:val="0"/>
      <w:divBdr>
        <w:top w:val="none" w:sz="0" w:space="0" w:color="auto"/>
        <w:left w:val="none" w:sz="0" w:space="0" w:color="auto"/>
        <w:bottom w:val="none" w:sz="0" w:space="0" w:color="auto"/>
        <w:right w:val="none" w:sz="0" w:space="0" w:color="auto"/>
      </w:divBdr>
      <w:divsChild>
        <w:div w:id="1261720162">
          <w:marLeft w:val="0"/>
          <w:marRight w:val="0"/>
          <w:marTop w:val="0"/>
          <w:marBottom w:val="0"/>
          <w:divBdr>
            <w:top w:val="none" w:sz="0" w:space="0" w:color="auto"/>
            <w:left w:val="none" w:sz="0" w:space="0" w:color="auto"/>
            <w:bottom w:val="none" w:sz="0" w:space="0" w:color="auto"/>
            <w:right w:val="none" w:sz="0" w:space="0" w:color="auto"/>
          </w:divBdr>
          <w:divsChild>
            <w:div w:id="1435008755">
              <w:marLeft w:val="0"/>
              <w:marRight w:val="0"/>
              <w:marTop w:val="0"/>
              <w:marBottom w:val="0"/>
              <w:divBdr>
                <w:top w:val="none" w:sz="0" w:space="0" w:color="auto"/>
                <w:left w:val="none" w:sz="0" w:space="0" w:color="auto"/>
                <w:bottom w:val="none" w:sz="0" w:space="0" w:color="auto"/>
                <w:right w:val="none" w:sz="0" w:space="0" w:color="auto"/>
              </w:divBdr>
              <w:divsChild>
                <w:div w:id="837617263">
                  <w:marLeft w:val="0"/>
                  <w:marRight w:val="0"/>
                  <w:marTop w:val="0"/>
                  <w:marBottom w:val="0"/>
                  <w:divBdr>
                    <w:top w:val="none" w:sz="0" w:space="0" w:color="auto"/>
                    <w:left w:val="none" w:sz="0" w:space="0" w:color="auto"/>
                    <w:bottom w:val="none" w:sz="0" w:space="0" w:color="auto"/>
                    <w:right w:val="none" w:sz="0" w:space="0" w:color="auto"/>
                  </w:divBdr>
                  <w:divsChild>
                    <w:div w:id="1594584863">
                      <w:marLeft w:val="0"/>
                      <w:marRight w:val="0"/>
                      <w:marTop w:val="0"/>
                      <w:marBottom w:val="0"/>
                      <w:divBdr>
                        <w:top w:val="none" w:sz="0" w:space="0" w:color="auto"/>
                        <w:left w:val="none" w:sz="0" w:space="0" w:color="auto"/>
                        <w:bottom w:val="none" w:sz="0" w:space="0" w:color="auto"/>
                        <w:right w:val="none" w:sz="0" w:space="0" w:color="auto"/>
                      </w:divBdr>
                      <w:divsChild>
                        <w:div w:id="453329490">
                          <w:marLeft w:val="0"/>
                          <w:marRight w:val="0"/>
                          <w:marTop w:val="0"/>
                          <w:marBottom w:val="0"/>
                          <w:divBdr>
                            <w:top w:val="none" w:sz="0" w:space="0" w:color="auto"/>
                            <w:left w:val="none" w:sz="0" w:space="0" w:color="auto"/>
                            <w:bottom w:val="none" w:sz="0" w:space="0" w:color="auto"/>
                            <w:right w:val="none" w:sz="0" w:space="0" w:color="auto"/>
                          </w:divBdr>
                          <w:divsChild>
                            <w:div w:id="8679139">
                              <w:marLeft w:val="0"/>
                              <w:marRight w:val="0"/>
                              <w:marTop w:val="0"/>
                              <w:marBottom w:val="0"/>
                              <w:divBdr>
                                <w:top w:val="none" w:sz="0" w:space="0" w:color="auto"/>
                                <w:left w:val="none" w:sz="0" w:space="0" w:color="auto"/>
                                <w:bottom w:val="none" w:sz="0" w:space="0" w:color="auto"/>
                                <w:right w:val="none" w:sz="0" w:space="0" w:color="auto"/>
                              </w:divBdr>
                              <w:divsChild>
                                <w:div w:id="357973957">
                                  <w:marLeft w:val="0"/>
                                  <w:marRight w:val="0"/>
                                  <w:marTop w:val="0"/>
                                  <w:marBottom w:val="0"/>
                                  <w:divBdr>
                                    <w:top w:val="none" w:sz="0" w:space="0" w:color="auto"/>
                                    <w:left w:val="none" w:sz="0" w:space="0" w:color="auto"/>
                                    <w:bottom w:val="none" w:sz="0" w:space="0" w:color="auto"/>
                                    <w:right w:val="none" w:sz="0" w:space="0" w:color="auto"/>
                                  </w:divBdr>
                                  <w:divsChild>
                                    <w:div w:id="46104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0435549">
                  <w:marLeft w:val="0"/>
                  <w:marRight w:val="0"/>
                  <w:marTop w:val="0"/>
                  <w:marBottom w:val="0"/>
                  <w:divBdr>
                    <w:top w:val="none" w:sz="0" w:space="0" w:color="auto"/>
                    <w:left w:val="none" w:sz="0" w:space="0" w:color="auto"/>
                    <w:bottom w:val="none" w:sz="0" w:space="0" w:color="auto"/>
                    <w:right w:val="none" w:sz="0" w:space="0" w:color="auto"/>
                  </w:divBdr>
                  <w:divsChild>
                    <w:div w:id="717126646">
                      <w:marLeft w:val="0"/>
                      <w:marRight w:val="0"/>
                      <w:marTop w:val="0"/>
                      <w:marBottom w:val="0"/>
                      <w:divBdr>
                        <w:top w:val="none" w:sz="0" w:space="0" w:color="auto"/>
                        <w:left w:val="none" w:sz="0" w:space="0" w:color="auto"/>
                        <w:bottom w:val="none" w:sz="0" w:space="0" w:color="auto"/>
                        <w:right w:val="none" w:sz="0" w:space="0" w:color="auto"/>
                      </w:divBdr>
                      <w:divsChild>
                        <w:div w:id="911623504">
                          <w:marLeft w:val="0"/>
                          <w:marRight w:val="0"/>
                          <w:marTop w:val="0"/>
                          <w:marBottom w:val="0"/>
                          <w:divBdr>
                            <w:top w:val="none" w:sz="0" w:space="0" w:color="auto"/>
                            <w:left w:val="none" w:sz="0" w:space="0" w:color="auto"/>
                            <w:bottom w:val="none" w:sz="0" w:space="0" w:color="auto"/>
                            <w:right w:val="none" w:sz="0" w:space="0" w:color="auto"/>
                          </w:divBdr>
                          <w:divsChild>
                            <w:div w:id="968317454">
                              <w:marLeft w:val="0"/>
                              <w:marRight w:val="0"/>
                              <w:marTop w:val="0"/>
                              <w:marBottom w:val="0"/>
                              <w:divBdr>
                                <w:top w:val="none" w:sz="0" w:space="0" w:color="auto"/>
                                <w:left w:val="none" w:sz="0" w:space="0" w:color="auto"/>
                                <w:bottom w:val="none" w:sz="0" w:space="0" w:color="auto"/>
                                <w:right w:val="none" w:sz="0" w:space="0" w:color="auto"/>
                              </w:divBdr>
                            </w:div>
                            <w:div w:id="179170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709868">
                  <w:marLeft w:val="0"/>
                  <w:marRight w:val="0"/>
                  <w:marTop w:val="0"/>
                  <w:marBottom w:val="0"/>
                  <w:divBdr>
                    <w:top w:val="none" w:sz="0" w:space="0" w:color="auto"/>
                    <w:left w:val="none" w:sz="0" w:space="0" w:color="auto"/>
                    <w:bottom w:val="none" w:sz="0" w:space="0" w:color="auto"/>
                    <w:right w:val="none" w:sz="0" w:space="0" w:color="auto"/>
                  </w:divBdr>
                  <w:divsChild>
                    <w:div w:id="1934242195">
                      <w:marLeft w:val="0"/>
                      <w:marRight w:val="0"/>
                      <w:marTop w:val="0"/>
                      <w:marBottom w:val="0"/>
                      <w:divBdr>
                        <w:top w:val="none" w:sz="0" w:space="0" w:color="auto"/>
                        <w:left w:val="none" w:sz="0" w:space="0" w:color="auto"/>
                        <w:bottom w:val="none" w:sz="0" w:space="0" w:color="auto"/>
                        <w:right w:val="none" w:sz="0" w:space="0" w:color="auto"/>
                      </w:divBdr>
                      <w:divsChild>
                        <w:div w:id="21358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573900">
      <w:bodyDiv w:val="1"/>
      <w:marLeft w:val="0"/>
      <w:marRight w:val="0"/>
      <w:marTop w:val="0"/>
      <w:marBottom w:val="0"/>
      <w:divBdr>
        <w:top w:val="none" w:sz="0" w:space="0" w:color="auto"/>
        <w:left w:val="none" w:sz="0" w:space="0" w:color="auto"/>
        <w:bottom w:val="none" w:sz="0" w:space="0" w:color="auto"/>
        <w:right w:val="none" w:sz="0" w:space="0" w:color="auto"/>
      </w:divBdr>
      <w:divsChild>
        <w:div w:id="2073649326">
          <w:marLeft w:val="0"/>
          <w:marRight w:val="0"/>
          <w:marTop w:val="0"/>
          <w:marBottom w:val="0"/>
          <w:divBdr>
            <w:top w:val="none" w:sz="0" w:space="0" w:color="auto"/>
            <w:left w:val="none" w:sz="0" w:space="0" w:color="auto"/>
            <w:bottom w:val="dotted" w:sz="6" w:space="4" w:color="DDDDDD"/>
            <w:right w:val="none" w:sz="0" w:space="0" w:color="auto"/>
          </w:divBdr>
          <w:divsChild>
            <w:div w:id="108444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36244">
      <w:bodyDiv w:val="1"/>
      <w:marLeft w:val="0"/>
      <w:marRight w:val="0"/>
      <w:marTop w:val="0"/>
      <w:marBottom w:val="0"/>
      <w:divBdr>
        <w:top w:val="none" w:sz="0" w:space="0" w:color="auto"/>
        <w:left w:val="none" w:sz="0" w:space="0" w:color="auto"/>
        <w:bottom w:val="none" w:sz="0" w:space="0" w:color="auto"/>
        <w:right w:val="none" w:sz="0" w:space="0" w:color="auto"/>
      </w:divBdr>
      <w:divsChild>
        <w:div w:id="965937736">
          <w:marLeft w:val="0"/>
          <w:marRight w:val="0"/>
          <w:marTop w:val="0"/>
          <w:marBottom w:val="0"/>
          <w:divBdr>
            <w:top w:val="none" w:sz="0" w:space="0" w:color="auto"/>
            <w:left w:val="none" w:sz="0" w:space="0" w:color="auto"/>
            <w:bottom w:val="none" w:sz="0" w:space="0" w:color="auto"/>
            <w:right w:val="none" w:sz="0" w:space="0" w:color="auto"/>
          </w:divBdr>
        </w:div>
      </w:divsChild>
    </w:div>
    <w:div w:id="138234881">
      <w:bodyDiv w:val="1"/>
      <w:marLeft w:val="0"/>
      <w:marRight w:val="0"/>
      <w:marTop w:val="0"/>
      <w:marBottom w:val="0"/>
      <w:divBdr>
        <w:top w:val="none" w:sz="0" w:space="0" w:color="auto"/>
        <w:left w:val="none" w:sz="0" w:space="0" w:color="auto"/>
        <w:bottom w:val="none" w:sz="0" w:space="0" w:color="auto"/>
        <w:right w:val="none" w:sz="0" w:space="0" w:color="auto"/>
      </w:divBdr>
      <w:divsChild>
        <w:div w:id="1149900538">
          <w:marLeft w:val="0"/>
          <w:marRight w:val="0"/>
          <w:marTop w:val="0"/>
          <w:marBottom w:val="0"/>
          <w:divBdr>
            <w:top w:val="none" w:sz="0" w:space="0" w:color="auto"/>
            <w:left w:val="none" w:sz="0" w:space="0" w:color="auto"/>
            <w:bottom w:val="dotted" w:sz="6" w:space="4" w:color="DDDDDD"/>
            <w:right w:val="none" w:sz="0" w:space="0" w:color="auto"/>
          </w:divBdr>
        </w:div>
      </w:divsChild>
    </w:div>
    <w:div w:id="138766214">
      <w:bodyDiv w:val="1"/>
      <w:marLeft w:val="0"/>
      <w:marRight w:val="0"/>
      <w:marTop w:val="0"/>
      <w:marBottom w:val="0"/>
      <w:divBdr>
        <w:top w:val="none" w:sz="0" w:space="0" w:color="auto"/>
        <w:left w:val="none" w:sz="0" w:space="0" w:color="auto"/>
        <w:bottom w:val="none" w:sz="0" w:space="0" w:color="auto"/>
        <w:right w:val="none" w:sz="0" w:space="0" w:color="auto"/>
      </w:divBdr>
      <w:divsChild>
        <w:div w:id="979962170">
          <w:marLeft w:val="0"/>
          <w:marRight w:val="0"/>
          <w:marTop w:val="0"/>
          <w:marBottom w:val="0"/>
          <w:divBdr>
            <w:top w:val="none" w:sz="0" w:space="0" w:color="auto"/>
            <w:left w:val="none" w:sz="0" w:space="0" w:color="auto"/>
            <w:bottom w:val="dotted" w:sz="6" w:space="4" w:color="DDDDDD"/>
            <w:right w:val="none" w:sz="0" w:space="0" w:color="auto"/>
          </w:divBdr>
          <w:divsChild>
            <w:div w:id="52378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8015">
      <w:bodyDiv w:val="1"/>
      <w:marLeft w:val="0"/>
      <w:marRight w:val="0"/>
      <w:marTop w:val="0"/>
      <w:marBottom w:val="0"/>
      <w:divBdr>
        <w:top w:val="none" w:sz="0" w:space="0" w:color="auto"/>
        <w:left w:val="none" w:sz="0" w:space="0" w:color="auto"/>
        <w:bottom w:val="none" w:sz="0" w:space="0" w:color="auto"/>
        <w:right w:val="none" w:sz="0" w:space="0" w:color="auto"/>
      </w:divBdr>
    </w:div>
    <w:div w:id="139883291">
      <w:bodyDiv w:val="1"/>
      <w:marLeft w:val="0"/>
      <w:marRight w:val="0"/>
      <w:marTop w:val="0"/>
      <w:marBottom w:val="0"/>
      <w:divBdr>
        <w:top w:val="none" w:sz="0" w:space="0" w:color="auto"/>
        <w:left w:val="none" w:sz="0" w:space="0" w:color="auto"/>
        <w:bottom w:val="none" w:sz="0" w:space="0" w:color="auto"/>
        <w:right w:val="none" w:sz="0" w:space="0" w:color="auto"/>
      </w:divBdr>
    </w:div>
    <w:div w:id="140580849">
      <w:bodyDiv w:val="1"/>
      <w:marLeft w:val="0"/>
      <w:marRight w:val="0"/>
      <w:marTop w:val="0"/>
      <w:marBottom w:val="0"/>
      <w:divBdr>
        <w:top w:val="none" w:sz="0" w:space="0" w:color="auto"/>
        <w:left w:val="none" w:sz="0" w:space="0" w:color="auto"/>
        <w:bottom w:val="none" w:sz="0" w:space="0" w:color="auto"/>
        <w:right w:val="none" w:sz="0" w:space="0" w:color="auto"/>
      </w:divBdr>
      <w:divsChild>
        <w:div w:id="1136798119">
          <w:marLeft w:val="0"/>
          <w:marRight w:val="0"/>
          <w:marTop w:val="0"/>
          <w:marBottom w:val="0"/>
          <w:divBdr>
            <w:top w:val="none" w:sz="0" w:space="0" w:color="auto"/>
            <w:left w:val="none" w:sz="0" w:space="0" w:color="auto"/>
            <w:bottom w:val="none" w:sz="0" w:space="0" w:color="auto"/>
            <w:right w:val="none" w:sz="0" w:space="0" w:color="auto"/>
          </w:divBdr>
          <w:divsChild>
            <w:div w:id="178908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9943">
      <w:bodyDiv w:val="1"/>
      <w:marLeft w:val="0"/>
      <w:marRight w:val="0"/>
      <w:marTop w:val="0"/>
      <w:marBottom w:val="0"/>
      <w:divBdr>
        <w:top w:val="none" w:sz="0" w:space="0" w:color="auto"/>
        <w:left w:val="none" w:sz="0" w:space="0" w:color="auto"/>
        <w:bottom w:val="none" w:sz="0" w:space="0" w:color="auto"/>
        <w:right w:val="none" w:sz="0" w:space="0" w:color="auto"/>
      </w:divBdr>
      <w:divsChild>
        <w:div w:id="559173941">
          <w:marLeft w:val="0"/>
          <w:marRight w:val="0"/>
          <w:marTop w:val="0"/>
          <w:marBottom w:val="0"/>
          <w:divBdr>
            <w:top w:val="none" w:sz="0" w:space="0" w:color="auto"/>
            <w:left w:val="none" w:sz="0" w:space="0" w:color="auto"/>
            <w:bottom w:val="dotted" w:sz="6" w:space="4" w:color="DDDDDD"/>
            <w:right w:val="none" w:sz="0" w:space="0" w:color="auto"/>
          </w:divBdr>
        </w:div>
      </w:divsChild>
    </w:div>
    <w:div w:id="141384657">
      <w:bodyDiv w:val="1"/>
      <w:marLeft w:val="0"/>
      <w:marRight w:val="0"/>
      <w:marTop w:val="0"/>
      <w:marBottom w:val="0"/>
      <w:divBdr>
        <w:top w:val="none" w:sz="0" w:space="0" w:color="auto"/>
        <w:left w:val="none" w:sz="0" w:space="0" w:color="auto"/>
        <w:bottom w:val="none" w:sz="0" w:space="0" w:color="auto"/>
        <w:right w:val="none" w:sz="0" w:space="0" w:color="auto"/>
      </w:divBdr>
      <w:divsChild>
        <w:div w:id="132842600">
          <w:marLeft w:val="0"/>
          <w:marRight w:val="0"/>
          <w:marTop w:val="0"/>
          <w:marBottom w:val="150"/>
          <w:divBdr>
            <w:top w:val="none" w:sz="0" w:space="0" w:color="auto"/>
            <w:left w:val="none" w:sz="0" w:space="0" w:color="auto"/>
            <w:bottom w:val="none" w:sz="0" w:space="0" w:color="auto"/>
            <w:right w:val="none" w:sz="0" w:space="0" w:color="auto"/>
          </w:divBdr>
        </w:div>
        <w:div w:id="209996215">
          <w:marLeft w:val="0"/>
          <w:marRight w:val="0"/>
          <w:marTop w:val="0"/>
          <w:marBottom w:val="150"/>
          <w:divBdr>
            <w:top w:val="none" w:sz="0" w:space="0" w:color="auto"/>
            <w:left w:val="none" w:sz="0" w:space="0" w:color="auto"/>
            <w:bottom w:val="none" w:sz="0" w:space="0" w:color="auto"/>
            <w:right w:val="none" w:sz="0" w:space="0" w:color="auto"/>
          </w:divBdr>
          <w:divsChild>
            <w:div w:id="211393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87437">
      <w:bodyDiv w:val="1"/>
      <w:marLeft w:val="0"/>
      <w:marRight w:val="0"/>
      <w:marTop w:val="0"/>
      <w:marBottom w:val="0"/>
      <w:divBdr>
        <w:top w:val="none" w:sz="0" w:space="0" w:color="auto"/>
        <w:left w:val="none" w:sz="0" w:space="0" w:color="auto"/>
        <w:bottom w:val="none" w:sz="0" w:space="0" w:color="auto"/>
        <w:right w:val="none" w:sz="0" w:space="0" w:color="auto"/>
      </w:divBdr>
      <w:divsChild>
        <w:div w:id="1198620254">
          <w:marLeft w:val="0"/>
          <w:marRight w:val="0"/>
          <w:marTop w:val="0"/>
          <w:marBottom w:val="0"/>
          <w:divBdr>
            <w:top w:val="none" w:sz="0" w:space="0" w:color="auto"/>
            <w:left w:val="none" w:sz="0" w:space="0" w:color="auto"/>
            <w:bottom w:val="none" w:sz="0" w:space="0" w:color="auto"/>
            <w:right w:val="none" w:sz="0" w:space="0" w:color="auto"/>
          </w:divBdr>
        </w:div>
      </w:divsChild>
    </w:div>
    <w:div w:id="141704787">
      <w:bodyDiv w:val="1"/>
      <w:marLeft w:val="0"/>
      <w:marRight w:val="0"/>
      <w:marTop w:val="0"/>
      <w:marBottom w:val="0"/>
      <w:divBdr>
        <w:top w:val="none" w:sz="0" w:space="0" w:color="auto"/>
        <w:left w:val="none" w:sz="0" w:space="0" w:color="auto"/>
        <w:bottom w:val="none" w:sz="0" w:space="0" w:color="auto"/>
        <w:right w:val="none" w:sz="0" w:space="0" w:color="auto"/>
      </w:divBdr>
      <w:divsChild>
        <w:div w:id="757599493">
          <w:marLeft w:val="0"/>
          <w:marRight w:val="0"/>
          <w:marTop w:val="0"/>
          <w:marBottom w:val="150"/>
          <w:divBdr>
            <w:top w:val="none" w:sz="0" w:space="0" w:color="auto"/>
            <w:left w:val="none" w:sz="0" w:space="0" w:color="auto"/>
            <w:bottom w:val="none" w:sz="0" w:space="0" w:color="auto"/>
            <w:right w:val="none" w:sz="0" w:space="0" w:color="auto"/>
          </w:divBdr>
        </w:div>
        <w:div w:id="836965057">
          <w:marLeft w:val="0"/>
          <w:marRight w:val="0"/>
          <w:marTop w:val="0"/>
          <w:marBottom w:val="0"/>
          <w:divBdr>
            <w:top w:val="none" w:sz="0" w:space="0" w:color="auto"/>
            <w:left w:val="none" w:sz="0" w:space="0" w:color="auto"/>
            <w:bottom w:val="none" w:sz="0" w:space="0" w:color="auto"/>
            <w:right w:val="none" w:sz="0" w:space="0" w:color="auto"/>
          </w:divBdr>
        </w:div>
      </w:divsChild>
    </w:div>
    <w:div w:id="141705462">
      <w:bodyDiv w:val="1"/>
      <w:marLeft w:val="0"/>
      <w:marRight w:val="0"/>
      <w:marTop w:val="0"/>
      <w:marBottom w:val="0"/>
      <w:divBdr>
        <w:top w:val="none" w:sz="0" w:space="0" w:color="auto"/>
        <w:left w:val="none" w:sz="0" w:space="0" w:color="auto"/>
        <w:bottom w:val="none" w:sz="0" w:space="0" w:color="auto"/>
        <w:right w:val="none" w:sz="0" w:space="0" w:color="auto"/>
      </w:divBdr>
      <w:divsChild>
        <w:div w:id="2098013559">
          <w:marLeft w:val="0"/>
          <w:marRight w:val="0"/>
          <w:marTop w:val="0"/>
          <w:marBottom w:val="150"/>
          <w:divBdr>
            <w:top w:val="none" w:sz="0" w:space="0" w:color="auto"/>
            <w:left w:val="none" w:sz="0" w:space="0" w:color="auto"/>
            <w:bottom w:val="none" w:sz="0" w:space="0" w:color="auto"/>
            <w:right w:val="none" w:sz="0" w:space="0" w:color="auto"/>
          </w:divBdr>
          <w:divsChild>
            <w:div w:id="1760252787">
              <w:marLeft w:val="0"/>
              <w:marRight w:val="0"/>
              <w:marTop w:val="0"/>
              <w:marBottom w:val="0"/>
              <w:divBdr>
                <w:top w:val="none" w:sz="0" w:space="0" w:color="auto"/>
                <w:left w:val="none" w:sz="0" w:space="0" w:color="auto"/>
                <w:bottom w:val="none" w:sz="0" w:space="0" w:color="auto"/>
                <w:right w:val="none" w:sz="0" w:space="0" w:color="auto"/>
              </w:divBdr>
              <w:divsChild>
                <w:div w:id="649670555">
                  <w:marLeft w:val="0"/>
                  <w:marRight w:val="0"/>
                  <w:marTop w:val="0"/>
                  <w:marBottom w:val="0"/>
                  <w:divBdr>
                    <w:top w:val="none" w:sz="0" w:space="0" w:color="auto"/>
                    <w:left w:val="none" w:sz="0" w:space="0" w:color="auto"/>
                    <w:bottom w:val="none" w:sz="0" w:space="0" w:color="auto"/>
                    <w:right w:val="none" w:sz="0" w:space="0" w:color="auto"/>
                  </w:divBdr>
                  <w:divsChild>
                    <w:div w:id="47801225">
                      <w:marLeft w:val="0"/>
                      <w:marRight w:val="150"/>
                      <w:marTop w:val="0"/>
                      <w:marBottom w:val="0"/>
                      <w:divBdr>
                        <w:top w:val="none" w:sz="0" w:space="0" w:color="auto"/>
                        <w:left w:val="none" w:sz="0" w:space="0" w:color="auto"/>
                        <w:bottom w:val="none" w:sz="0" w:space="0" w:color="auto"/>
                        <w:right w:val="none" w:sz="0" w:space="0" w:color="auto"/>
                      </w:divBdr>
                      <w:divsChild>
                        <w:div w:id="8219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839089">
          <w:marLeft w:val="0"/>
          <w:marRight w:val="0"/>
          <w:marTop w:val="0"/>
          <w:marBottom w:val="150"/>
          <w:divBdr>
            <w:top w:val="none" w:sz="0" w:space="0" w:color="auto"/>
            <w:left w:val="none" w:sz="0" w:space="0" w:color="auto"/>
            <w:bottom w:val="none" w:sz="0" w:space="0" w:color="auto"/>
            <w:right w:val="none" w:sz="0" w:space="0" w:color="auto"/>
          </w:divBdr>
        </w:div>
        <w:div w:id="1770849377">
          <w:marLeft w:val="0"/>
          <w:marRight w:val="0"/>
          <w:marTop w:val="0"/>
          <w:marBottom w:val="0"/>
          <w:divBdr>
            <w:top w:val="none" w:sz="0" w:space="0" w:color="auto"/>
            <w:left w:val="none" w:sz="0" w:space="0" w:color="auto"/>
            <w:bottom w:val="none" w:sz="0" w:space="0" w:color="auto"/>
            <w:right w:val="none" w:sz="0" w:space="0" w:color="auto"/>
          </w:divBdr>
          <w:divsChild>
            <w:div w:id="15349216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1846781">
      <w:bodyDiv w:val="1"/>
      <w:marLeft w:val="0"/>
      <w:marRight w:val="0"/>
      <w:marTop w:val="0"/>
      <w:marBottom w:val="0"/>
      <w:divBdr>
        <w:top w:val="none" w:sz="0" w:space="0" w:color="auto"/>
        <w:left w:val="none" w:sz="0" w:space="0" w:color="auto"/>
        <w:bottom w:val="none" w:sz="0" w:space="0" w:color="auto"/>
        <w:right w:val="none" w:sz="0" w:space="0" w:color="auto"/>
      </w:divBdr>
    </w:div>
    <w:div w:id="142084726">
      <w:bodyDiv w:val="1"/>
      <w:marLeft w:val="0"/>
      <w:marRight w:val="0"/>
      <w:marTop w:val="0"/>
      <w:marBottom w:val="0"/>
      <w:divBdr>
        <w:top w:val="none" w:sz="0" w:space="0" w:color="auto"/>
        <w:left w:val="none" w:sz="0" w:space="0" w:color="auto"/>
        <w:bottom w:val="none" w:sz="0" w:space="0" w:color="auto"/>
        <w:right w:val="none" w:sz="0" w:space="0" w:color="auto"/>
      </w:divBdr>
    </w:div>
    <w:div w:id="142434745">
      <w:bodyDiv w:val="1"/>
      <w:marLeft w:val="0"/>
      <w:marRight w:val="0"/>
      <w:marTop w:val="0"/>
      <w:marBottom w:val="0"/>
      <w:divBdr>
        <w:top w:val="none" w:sz="0" w:space="0" w:color="auto"/>
        <w:left w:val="none" w:sz="0" w:space="0" w:color="auto"/>
        <w:bottom w:val="none" w:sz="0" w:space="0" w:color="auto"/>
        <w:right w:val="none" w:sz="0" w:space="0" w:color="auto"/>
      </w:divBdr>
      <w:divsChild>
        <w:div w:id="1065836856">
          <w:marLeft w:val="0"/>
          <w:marRight w:val="0"/>
          <w:marTop w:val="0"/>
          <w:marBottom w:val="0"/>
          <w:divBdr>
            <w:top w:val="none" w:sz="0" w:space="0" w:color="auto"/>
            <w:left w:val="none" w:sz="0" w:space="0" w:color="auto"/>
            <w:bottom w:val="none" w:sz="0" w:space="0" w:color="auto"/>
            <w:right w:val="none" w:sz="0" w:space="0" w:color="auto"/>
          </w:divBdr>
          <w:divsChild>
            <w:div w:id="618420215">
              <w:marLeft w:val="0"/>
              <w:marRight w:val="0"/>
              <w:marTop w:val="0"/>
              <w:marBottom w:val="0"/>
              <w:divBdr>
                <w:top w:val="none" w:sz="0" w:space="0" w:color="auto"/>
                <w:left w:val="none" w:sz="0" w:space="0" w:color="auto"/>
                <w:bottom w:val="none" w:sz="0" w:space="0" w:color="auto"/>
                <w:right w:val="none" w:sz="0" w:space="0" w:color="auto"/>
              </w:divBdr>
              <w:divsChild>
                <w:div w:id="68131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99957">
          <w:marLeft w:val="0"/>
          <w:marRight w:val="0"/>
          <w:marTop w:val="0"/>
          <w:marBottom w:val="75"/>
          <w:divBdr>
            <w:top w:val="none" w:sz="0" w:space="0" w:color="auto"/>
            <w:left w:val="none" w:sz="0" w:space="0" w:color="auto"/>
            <w:bottom w:val="none" w:sz="0" w:space="0" w:color="auto"/>
            <w:right w:val="none" w:sz="0" w:space="0" w:color="auto"/>
          </w:divBdr>
        </w:div>
        <w:div w:id="151600908">
          <w:marLeft w:val="0"/>
          <w:marRight w:val="0"/>
          <w:marTop w:val="0"/>
          <w:marBottom w:val="300"/>
          <w:divBdr>
            <w:top w:val="none" w:sz="0" w:space="0" w:color="auto"/>
            <w:left w:val="none" w:sz="0" w:space="0" w:color="auto"/>
            <w:bottom w:val="none" w:sz="0" w:space="0" w:color="auto"/>
            <w:right w:val="none" w:sz="0" w:space="0" w:color="auto"/>
          </w:divBdr>
          <w:divsChild>
            <w:div w:id="1910459174">
              <w:marLeft w:val="0"/>
              <w:marRight w:val="0"/>
              <w:marTop w:val="0"/>
              <w:marBottom w:val="0"/>
              <w:divBdr>
                <w:top w:val="none" w:sz="0" w:space="0" w:color="auto"/>
                <w:left w:val="none" w:sz="0" w:space="0" w:color="auto"/>
                <w:bottom w:val="none" w:sz="0" w:space="0" w:color="auto"/>
                <w:right w:val="none" w:sz="0" w:space="0" w:color="auto"/>
              </w:divBdr>
            </w:div>
          </w:divsChild>
        </w:div>
        <w:div w:id="42412806">
          <w:marLeft w:val="0"/>
          <w:marRight w:val="0"/>
          <w:marTop w:val="0"/>
          <w:marBottom w:val="0"/>
          <w:divBdr>
            <w:top w:val="none" w:sz="0" w:space="0" w:color="auto"/>
            <w:left w:val="none" w:sz="0" w:space="0" w:color="auto"/>
            <w:bottom w:val="none" w:sz="0" w:space="0" w:color="auto"/>
            <w:right w:val="none" w:sz="0" w:space="0" w:color="auto"/>
          </w:divBdr>
          <w:divsChild>
            <w:div w:id="1747848186">
              <w:marLeft w:val="0"/>
              <w:marRight w:val="0"/>
              <w:marTop w:val="0"/>
              <w:marBottom w:val="0"/>
              <w:divBdr>
                <w:top w:val="none" w:sz="0" w:space="0" w:color="auto"/>
                <w:left w:val="none" w:sz="0" w:space="0" w:color="auto"/>
                <w:bottom w:val="none" w:sz="0" w:space="0" w:color="auto"/>
                <w:right w:val="none" w:sz="0" w:space="0" w:color="auto"/>
              </w:divBdr>
              <w:divsChild>
                <w:div w:id="790133531">
                  <w:marLeft w:val="0"/>
                  <w:marRight w:val="0"/>
                  <w:marTop w:val="0"/>
                  <w:marBottom w:val="450"/>
                  <w:divBdr>
                    <w:top w:val="none" w:sz="0" w:space="0" w:color="auto"/>
                    <w:left w:val="none" w:sz="0" w:space="0" w:color="auto"/>
                    <w:bottom w:val="none" w:sz="0" w:space="0" w:color="auto"/>
                    <w:right w:val="none" w:sz="0" w:space="0" w:color="auto"/>
                  </w:divBdr>
                  <w:divsChild>
                    <w:div w:id="14245703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42821725">
      <w:bodyDiv w:val="1"/>
      <w:marLeft w:val="0"/>
      <w:marRight w:val="0"/>
      <w:marTop w:val="0"/>
      <w:marBottom w:val="0"/>
      <w:divBdr>
        <w:top w:val="none" w:sz="0" w:space="0" w:color="auto"/>
        <w:left w:val="none" w:sz="0" w:space="0" w:color="auto"/>
        <w:bottom w:val="none" w:sz="0" w:space="0" w:color="auto"/>
        <w:right w:val="none" w:sz="0" w:space="0" w:color="auto"/>
      </w:divBdr>
      <w:divsChild>
        <w:div w:id="2019885830">
          <w:marLeft w:val="0"/>
          <w:marRight w:val="0"/>
          <w:marTop w:val="0"/>
          <w:marBottom w:val="0"/>
          <w:divBdr>
            <w:top w:val="none" w:sz="0" w:space="0" w:color="auto"/>
            <w:left w:val="none" w:sz="0" w:space="0" w:color="auto"/>
            <w:bottom w:val="dotted" w:sz="6" w:space="4" w:color="DDDDDD"/>
            <w:right w:val="none" w:sz="0" w:space="0" w:color="auto"/>
          </w:divBdr>
        </w:div>
      </w:divsChild>
    </w:div>
    <w:div w:id="143089849">
      <w:bodyDiv w:val="1"/>
      <w:marLeft w:val="0"/>
      <w:marRight w:val="0"/>
      <w:marTop w:val="0"/>
      <w:marBottom w:val="0"/>
      <w:divBdr>
        <w:top w:val="none" w:sz="0" w:space="0" w:color="auto"/>
        <w:left w:val="none" w:sz="0" w:space="0" w:color="auto"/>
        <w:bottom w:val="none" w:sz="0" w:space="0" w:color="auto"/>
        <w:right w:val="none" w:sz="0" w:space="0" w:color="auto"/>
      </w:divBdr>
    </w:div>
    <w:div w:id="143202267">
      <w:bodyDiv w:val="1"/>
      <w:marLeft w:val="0"/>
      <w:marRight w:val="0"/>
      <w:marTop w:val="0"/>
      <w:marBottom w:val="0"/>
      <w:divBdr>
        <w:top w:val="none" w:sz="0" w:space="0" w:color="auto"/>
        <w:left w:val="none" w:sz="0" w:space="0" w:color="auto"/>
        <w:bottom w:val="none" w:sz="0" w:space="0" w:color="auto"/>
        <w:right w:val="none" w:sz="0" w:space="0" w:color="auto"/>
      </w:divBdr>
      <w:divsChild>
        <w:div w:id="1181310319">
          <w:marLeft w:val="0"/>
          <w:marRight w:val="0"/>
          <w:marTop w:val="0"/>
          <w:marBottom w:val="0"/>
          <w:divBdr>
            <w:top w:val="none" w:sz="0" w:space="0" w:color="auto"/>
            <w:left w:val="none" w:sz="0" w:space="0" w:color="auto"/>
            <w:bottom w:val="none" w:sz="0" w:space="0" w:color="auto"/>
            <w:right w:val="none" w:sz="0" w:space="0" w:color="auto"/>
          </w:divBdr>
          <w:divsChild>
            <w:div w:id="658266637">
              <w:marLeft w:val="0"/>
              <w:marRight w:val="0"/>
              <w:marTop w:val="0"/>
              <w:marBottom w:val="0"/>
              <w:divBdr>
                <w:top w:val="none" w:sz="0" w:space="0" w:color="auto"/>
                <w:left w:val="none" w:sz="0" w:space="0" w:color="auto"/>
                <w:bottom w:val="none" w:sz="0" w:space="0" w:color="auto"/>
                <w:right w:val="none" w:sz="0" w:space="0" w:color="auto"/>
              </w:divBdr>
              <w:divsChild>
                <w:div w:id="1568684107">
                  <w:marLeft w:val="0"/>
                  <w:marRight w:val="0"/>
                  <w:marTop w:val="0"/>
                  <w:marBottom w:val="0"/>
                  <w:divBdr>
                    <w:top w:val="none" w:sz="0" w:space="0" w:color="auto"/>
                    <w:left w:val="none" w:sz="0" w:space="0" w:color="auto"/>
                    <w:bottom w:val="none" w:sz="0" w:space="0" w:color="auto"/>
                    <w:right w:val="none" w:sz="0" w:space="0" w:color="auto"/>
                  </w:divBdr>
                  <w:divsChild>
                    <w:div w:id="788013034">
                      <w:marLeft w:val="0"/>
                      <w:marRight w:val="0"/>
                      <w:marTop w:val="0"/>
                      <w:marBottom w:val="0"/>
                      <w:divBdr>
                        <w:top w:val="none" w:sz="0" w:space="0" w:color="auto"/>
                        <w:left w:val="none" w:sz="0" w:space="0" w:color="auto"/>
                        <w:bottom w:val="none" w:sz="0" w:space="0" w:color="auto"/>
                        <w:right w:val="none" w:sz="0" w:space="0" w:color="auto"/>
                      </w:divBdr>
                      <w:divsChild>
                        <w:div w:id="730930159">
                          <w:marLeft w:val="0"/>
                          <w:marRight w:val="0"/>
                          <w:marTop w:val="0"/>
                          <w:marBottom w:val="0"/>
                          <w:divBdr>
                            <w:top w:val="none" w:sz="0" w:space="0" w:color="auto"/>
                            <w:left w:val="none" w:sz="0" w:space="0" w:color="auto"/>
                            <w:bottom w:val="none" w:sz="0" w:space="0" w:color="auto"/>
                            <w:right w:val="none" w:sz="0" w:space="0" w:color="auto"/>
                          </w:divBdr>
                          <w:divsChild>
                            <w:div w:id="1038823465">
                              <w:marLeft w:val="0"/>
                              <w:marRight w:val="0"/>
                              <w:marTop w:val="0"/>
                              <w:marBottom w:val="0"/>
                              <w:divBdr>
                                <w:top w:val="none" w:sz="0" w:space="0" w:color="auto"/>
                                <w:left w:val="none" w:sz="0" w:space="0" w:color="auto"/>
                                <w:bottom w:val="none" w:sz="0" w:space="0" w:color="auto"/>
                                <w:right w:val="none" w:sz="0" w:space="0" w:color="auto"/>
                              </w:divBdr>
                              <w:divsChild>
                                <w:div w:id="1512258038">
                                  <w:marLeft w:val="0"/>
                                  <w:marRight w:val="0"/>
                                  <w:marTop w:val="0"/>
                                  <w:marBottom w:val="0"/>
                                  <w:divBdr>
                                    <w:top w:val="none" w:sz="0" w:space="0" w:color="auto"/>
                                    <w:left w:val="none" w:sz="0" w:space="0" w:color="auto"/>
                                    <w:bottom w:val="none" w:sz="0" w:space="0" w:color="auto"/>
                                    <w:right w:val="none" w:sz="0" w:space="0" w:color="auto"/>
                                  </w:divBdr>
                                  <w:divsChild>
                                    <w:div w:id="91686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93854">
      <w:bodyDiv w:val="1"/>
      <w:marLeft w:val="0"/>
      <w:marRight w:val="0"/>
      <w:marTop w:val="0"/>
      <w:marBottom w:val="0"/>
      <w:divBdr>
        <w:top w:val="none" w:sz="0" w:space="0" w:color="auto"/>
        <w:left w:val="none" w:sz="0" w:space="0" w:color="auto"/>
        <w:bottom w:val="none" w:sz="0" w:space="0" w:color="auto"/>
        <w:right w:val="none" w:sz="0" w:space="0" w:color="auto"/>
      </w:divBdr>
    </w:div>
    <w:div w:id="143670317">
      <w:bodyDiv w:val="1"/>
      <w:marLeft w:val="0"/>
      <w:marRight w:val="0"/>
      <w:marTop w:val="0"/>
      <w:marBottom w:val="0"/>
      <w:divBdr>
        <w:top w:val="none" w:sz="0" w:space="0" w:color="auto"/>
        <w:left w:val="none" w:sz="0" w:space="0" w:color="auto"/>
        <w:bottom w:val="none" w:sz="0" w:space="0" w:color="auto"/>
        <w:right w:val="none" w:sz="0" w:space="0" w:color="auto"/>
      </w:divBdr>
      <w:divsChild>
        <w:div w:id="612832092">
          <w:marLeft w:val="0"/>
          <w:marRight w:val="0"/>
          <w:marTop w:val="0"/>
          <w:marBottom w:val="150"/>
          <w:divBdr>
            <w:top w:val="none" w:sz="0" w:space="0" w:color="auto"/>
            <w:left w:val="none" w:sz="0" w:space="0" w:color="auto"/>
            <w:bottom w:val="none" w:sz="0" w:space="0" w:color="auto"/>
            <w:right w:val="none" w:sz="0" w:space="0" w:color="auto"/>
          </w:divBdr>
        </w:div>
        <w:div w:id="643050370">
          <w:marLeft w:val="0"/>
          <w:marRight w:val="0"/>
          <w:marTop w:val="0"/>
          <w:marBottom w:val="150"/>
          <w:divBdr>
            <w:top w:val="none" w:sz="0" w:space="0" w:color="auto"/>
            <w:left w:val="none" w:sz="0" w:space="0" w:color="auto"/>
            <w:bottom w:val="none" w:sz="0" w:space="0" w:color="auto"/>
            <w:right w:val="none" w:sz="0" w:space="0" w:color="auto"/>
          </w:divBdr>
        </w:div>
        <w:div w:id="645860037">
          <w:marLeft w:val="0"/>
          <w:marRight w:val="0"/>
          <w:marTop w:val="0"/>
          <w:marBottom w:val="150"/>
          <w:divBdr>
            <w:top w:val="none" w:sz="0" w:space="0" w:color="auto"/>
            <w:left w:val="none" w:sz="0" w:space="0" w:color="auto"/>
            <w:bottom w:val="none" w:sz="0" w:space="0" w:color="auto"/>
            <w:right w:val="none" w:sz="0" w:space="0" w:color="auto"/>
          </w:divBdr>
        </w:div>
        <w:div w:id="775751914">
          <w:marLeft w:val="0"/>
          <w:marRight w:val="0"/>
          <w:marTop w:val="0"/>
          <w:marBottom w:val="150"/>
          <w:divBdr>
            <w:top w:val="none" w:sz="0" w:space="0" w:color="auto"/>
            <w:left w:val="none" w:sz="0" w:space="0" w:color="auto"/>
            <w:bottom w:val="none" w:sz="0" w:space="0" w:color="auto"/>
            <w:right w:val="none" w:sz="0" w:space="0" w:color="auto"/>
          </w:divBdr>
        </w:div>
        <w:div w:id="841700517">
          <w:marLeft w:val="0"/>
          <w:marRight w:val="0"/>
          <w:marTop w:val="0"/>
          <w:marBottom w:val="150"/>
          <w:divBdr>
            <w:top w:val="none" w:sz="0" w:space="0" w:color="auto"/>
            <w:left w:val="none" w:sz="0" w:space="0" w:color="auto"/>
            <w:bottom w:val="none" w:sz="0" w:space="0" w:color="auto"/>
            <w:right w:val="none" w:sz="0" w:space="0" w:color="auto"/>
          </w:divBdr>
        </w:div>
        <w:div w:id="845174851">
          <w:marLeft w:val="0"/>
          <w:marRight w:val="0"/>
          <w:marTop w:val="0"/>
          <w:marBottom w:val="150"/>
          <w:divBdr>
            <w:top w:val="none" w:sz="0" w:space="0" w:color="auto"/>
            <w:left w:val="none" w:sz="0" w:space="0" w:color="auto"/>
            <w:bottom w:val="none" w:sz="0" w:space="0" w:color="auto"/>
            <w:right w:val="none" w:sz="0" w:space="0" w:color="auto"/>
          </w:divBdr>
        </w:div>
        <w:div w:id="924798956">
          <w:marLeft w:val="0"/>
          <w:marRight w:val="0"/>
          <w:marTop w:val="0"/>
          <w:marBottom w:val="150"/>
          <w:divBdr>
            <w:top w:val="none" w:sz="0" w:space="0" w:color="auto"/>
            <w:left w:val="none" w:sz="0" w:space="0" w:color="auto"/>
            <w:bottom w:val="none" w:sz="0" w:space="0" w:color="auto"/>
            <w:right w:val="none" w:sz="0" w:space="0" w:color="auto"/>
          </w:divBdr>
        </w:div>
        <w:div w:id="1052770318">
          <w:marLeft w:val="0"/>
          <w:marRight w:val="0"/>
          <w:marTop w:val="0"/>
          <w:marBottom w:val="150"/>
          <w:divBdr>
            <w:top w:val="none" w:sz="0" w:space="0" w:color="auto"/>
            <w:left w:val="none" w:sz="0" w:space="0" w:color="auto"/>
            <w:bottom w:val="none" w:sz="0" w:space="0" w:color="auto"/>
            <w:right w:val="none" w:sz="0" w:space="0" w:color="auto"/>
          </w:divBdr>
        </w:div>
        <w:div w:id="1835105266">
          <w:marLeft w:val="0"/>
          <w:marRight w:val="0"/>
          <w:marTop w:val="0"/>
          <w:marBottom w:val="150"/>
          <w:divBdr>
            <w:top w:val="none" w:sz="0" w:space="0" w:color="auto"/>
            <w:left w:val="none" w:sz="0" w:space="0" w:color="auto"/>
            <w:bottom w:val="none" w:sz="0" w:space="0" w:color="auto"/>
            <w:right w:val="none" w:sz="0" w:space="0" w:color="auto"/>
          </w:divBdr>
        </w:div>
      </w:divsChild>
    </w:div>
    <w:div w:id="144015276">
      <w:bodyDiv w:val="1"/>
      <w:marLeft w:val="0"/>
      <w:marRight w:val="0"/>
      <w:marTop w:val="0"/>
      <w:marBottom w:val="0"/>
      <w:divBdr>
        <w:top w:val="none" w:sz="0" w:space="0" w:color="auto"/>
        <w:left w:val="none" w:sz="0" w:space="0" w:color="auto"/>
        <w:bottom w:val="none" w:sz="0" w:space="0" w:color="auto"/>
        <w:right w:val="none" w:sz="0" w:space="0" w:color="auto"/>
      </w:divBdr>
      <w:divsChild>
        <w:div w:id="1751657101">
          <w:marLeft w:val="0"/>
          <w:marRight w:val="0"/>
          <w:marTop w:val="0"/>
          <w:marBottom w:val="0"/>
          <w:divBdr>
            <w:top w:val="none" w:sz="0" w:space="0" w:color="auto"/>
            <w:left w:val="none" w:sz="0" w:space="0" w:color="auto"/>
            <w:bottom w:val="none" w:sz="0" w:space="0" w:color="auto"/>
            <w:right w:val="none" w:sz="0" w:space="0" w:color="auto"/>
          </w:divBdr>
          <w:divsChild>
            <w:div w:id="713240508">
              <w:marLeft w:val="0"/>
              <w:marRight w:val="0"/>
              <w:marTop w:val="0"/>
              <w:marBottom w:val="0"/>
              <w:divBdr>
                <w:top w:val="none" w:sz="0" w:space="0" w:color="auto"/>
                <w:left w:val="none" w:sz="0" w:space="0" w:color="auto"/>
                <w:bottom w:val="none" w:sz="0" w:space="0" w:color="auto"/>
                <w:right w:val="none" w:sz="0" w:space="0" w:color="auto"/>
              </w:divBdr>
              <w:divsChild>
                <w:div w:id="957295416">
                  <w:marLeft w:val="0"/>
                  <w:marRight w:val="0"/>
                  <w:marTop w:val="0"/>
                  <w:marBottom w:val="0"/>
                  <w:divBdr>
                    <w:top w:val="none" w:sz="0" w:space="0" w:color="auto"/>
                    <w:left w:val="none" w:sz="0" w:space="0" w:color="auto"/>
                    <w:bottom w:val="none" w:sz="0" w:space="0" w:color="auto"/>
                    <w:right w:val="none" w:sz="0" w:space="0" w:color="auto"/>
                  </w:divBdr>
                  <w:divsChild>
                    <w:div w:id="291399161">
                      <w:marLeft w:val="0"/>
                      <w:marRight w:val="0"/>
                      <w:marTop w:val="0"/>
                      <w:marBottom w:val="0"/>
                      <w:divBdr>
                        <w:top w:val="none" w:sz="0" w:space="0" w:color="auto"/>
                        <w:left w:val="none" w:sz="0" w:space="0" w:color="auto"/>
                        <w:bottom w:val="none" w:sz="0" w:space="0" w:color="auto"/>
                        <w:right w:val="none" w:sz="0" w:space="0" w:color="auto"/>
                      </w:divBdr>
                      <w:divsChild>
                        <w:div w:id="281153567">
                          <w:marLeft w:val="0"/>
                          <w:marRight w:val="0"/>
                          <w:marTop w:val="0"/>
                          <w:marBottom w:val="0"/>
                          <w:divBdr>
                            <w:top w:val="none" w:sz="0" w:space="0" w:color="auto"/>
                            <w:left w:val="none" w:sz="0" w:space="0" w:color="auto"/>
                            <w:bottom w:val="none" w:sz="0" w:space="0" w:color="auto"/>
                            <w:right w:val="none" w:sz="0" w:space="0" w:color="auto"/>
                          </w:divBdr>
                          <w:divsChild>
                            <w:div w:id="1454441619">
                              <w:marLeft w:val="0"/>
                              <w:marRight w:val="0"/>
                              <w:marTop w:val="0"/>
                              <w:marBottom w:val="0"/>
                              <w:divBdr>
                                <w:top w:val="none" w:sz="0" w:space="0" w:color="auto"/>
                                <w:left w:val="none" w:sz="0" w:space="0" w:color="auto"/>
                                <w:bottom w:val="none" w:sz="0" w:space="0" w:color="auto"/>
                                <w:right w:val="none" w:sz="0" w:space="0" w:color="auto"/>
                              </w:divBdr>
                              <w:divsChild>
                                <w:div w:id="1820538652">
                                  <w:marLeft w:val="0"/>
                                  <w:marRight w:val="0"/>
                                  <w:marTop w:val="0"/>
                                  <w:marBottom w:val="0"/>
                                  <w:divBdr>
                                    <w:top w:val="none" w:sz="0" w:space="0" w:color="auto"/>
                                    <w:left w:val="none" w:sz="0" w:space="0" w:color="auto"/>
                                    <w:bottom w:val="none" w:sz="0" w:space="0" w:color="auto"/>
                                    <w:right w:val="none" w:sz="0" w:space="0" w:color="auto"/>
                                  </w:divBdr>
                                  <w:divsChild>
                                    <w:div w:id="57941990">
                                      <w:marLeft w:val="0"/>
                                      <w:marRight w:val="0"/>
                                      <w:marTop w:val="0"/>
                                      <w:marBottom w:val="0"/>
                                      <w:divBdr>
                                        <w:top w:val="none" w:sz="0" w:space="0" w:color="auto"/>
                                        <w:left w:val="none" w:sz="0" w:space="0" w:color="auto"/>
                                        <w:bottom w:val="none" w:sz="0" w:space="0" w:color="auto"/>
                                        <w:right w:val="none" w:sz="0" w:space="0" w:color="auto"/>
                                      </w:divBdr>
                                      <w:divsChild>
                                        <w:div w:id="10421402">
                                          <w:marLeft w:val="0"/>
                                          <w:marRight w:val="0"/>
                                          <w:marTop w:val="0"/>
                                          <w:marBottom w:val="0"/>
                                          <w:divBdr>
                                            <w:top w:val="none" w:sz="0" w:space="0" w:color="auto"/>
                                            <w:left w:val="none" w:sz="0" w:space="0" w:color="auto"/>
                                            <w:bottom w:val="none" w:sz="0" w:space="0" w:color="auto"/>
                                            <w:right w:val="none" w:sz="0" w:space="0" w:color="auto"/>
                                          </w:divBdr>
                                        </w:div>
                                        <w:div w:id="1397776484">
                                          <w:marLeft w:val="0"/>
                                          <w:marRight w:val="0"/>
                                          <w:marTop w:val="0"/>
                                          <w:marBottom w:val="0"/>
                                          <w:divBdr>
                                            <w:top w:val="none" w:sz="0" w:space="0" w:color="auto"/>
                                            <w:left w:val="none" w:sz="0" w:space="0" w:color="auto"/>
                                            <w:bottom w:val="none" w:sz="0" w:space="0" w:color="auto"/>
                                            <w:right w:val="none" w:sz="0" w:space="0" w:color="auto"/>
                                          </w:divBdr>
                                        </w:div>
                                      </w:divsChild>
                                    </w:div>
                                    <w:div w:id="2139031809">
                                      <w:marLeft w:val="0"/>
                                      <w:marRight w:val="0"/>
                                      <w:marTop w:val="0"/>
                                      <w:marBottom w:val="0"/>
                                      <w:divBdr>
                                        <w:top w:val="none" w:sz="0" w:space="0" w:color="auto"/>
                                        <w:left w:val="none" w:sz="0" w:space="0" w:color="auto"/>
                                        <w:bottom w:val="none" w:sz="0" w:space="0" w:color="auto"/>
                                        <w:right w:val="none" w:sz="0" w:space="0" w:color="auto"/>
                                      </w:divBdr>
                                      <w:divsChild>
                                        <w:div w:id="114223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051076">
      <w:bodyDiv w:val="1"/>
      <w:marLeft w:val="0"/>
      <w:marRight w:val="0"/>
      <w:marTop w:val="0"/>
      <w:marBottom w:val="0"/>
      <w:divBdr>
        <w:top w:val="none" w:sz="0" w:space="0" w:color="auto"/>
        <w:left w:val="none" w:sz="0" w:space="0" w:color="auto"/>
        <w:bottom w:val="none" w:sz="0" w:space="0" w:color="auto"/>
        <w:right w:val="none" w:sz="0" w:space="0" w:color="auto"/>
      </w:divBdr>
      <w:divsChild>
        <w:div w:id="267784750">
          <w:marLeft w:val="0"/>
          <w:marRight w:val="0"/>
          <w:marTop w:val="0"/>
          <w:marBottom w:val="150"/>
          <w:divBdr>
            <w:top w:val="none" w:sz="0" w:space="0" w:color="auto"/>
            <w:left w:val="none" w:sz="0" w:space="0" w:color="auto"/>
            <w:bottom w:val="none" w:sz="0" w:space="0" w:color="auto"/>
            <w:right w:val="none" w:sz="0" w:space="0" w:color="auto"/>
          </w:divBdr>
        </w:div>
      </w:divsChild>
    </w:div>
    <w:div w:id="144317104">
      <w:bodyDiv w:val="1"/>
      <w:marLeft w:val="0"/>
      <w:marRight w:val="0"/>
      <w:marTop w:val="0"/>
      <w:marBottom w:val="0"/>
      <w:divBdr>
        <w:top w:val="none" w:sz="0" w:space="0" w:color="auto"/>
        <w:left w:val="none" w:sz="0" w:space="0" w:color="auto"/>
        <w:bottom w:val="none" w:sz="0" w:space="0" w:color="auto"/>
        <w:right w:val="none" w:sz="0" w:space="0" w:color="auto"/>
      </w:divBdr>
      <w:divsChild>
        <w:div w:id="1348483536">
          <w:marLeft w:val="0"/>
          <w:marRight w:val="0"/>
          <w:marTop w:val="0"/>
          <w:marBottom w:val="0"/>
          <w:divBdr>
            <w:top w:val="none" w:sz="0" w:space="0" w:color="auto"/>
            <w:left w:val="none" w:sz="0" w:space="0" w:color="auto"/>
            <w:bottom w:val="none" w:sz="0" w:space="0" w:color="auto"/>
            <w:right w:val="none" w:sz="0" w:space="0" w:color="auto"/>
          </w:divBdr>
          <w:divsChild>
            <w:div w:id="846747029">
              <w:marLeft w:val="0"/>
              <w:marRight w:val="0"/>
              <w:marTop w:val="225"/>
              <w:marBottom w:val="225"/>
              <w:divBdr>
                <w:top w:val="none" w:sz="0" w:space="0" w:color="auto"/>
                <w:left w:val="none" w:sz="0" w:space="0" w:color="auto"/>
                <w:bottom w:val="none" w:sz="0" w:space="0" w:color="auto"/>
                <w:right w:val="none" w:sz="0" w:space="0" w:color="auto"/>
              </w:divBdr>
            </w:div>
          </w:divsChild>
        </w:div>
        <w:div w:id="1442189068">
          <w:marLeft w:val="0"/>
          <w:marRight w:val="0"/>
          <w:marTop w:val="0"/>
          <w:marBottom w:val="150"/>
          <w:divBdr>
            <w:top w:val="none" w:sz="0" w:space="0" w:color="auto"/>
            <w:left w:val="none" w:sz="0" w:space="0" w:color="auto"/>
            <w:bottom w:val="none" w:sz="0" w:space="0" w:color="auto"/>
            <w:right w:val="none" w:sz="0" w:space="0" w:color="auto"/>
          </w:divBdr>
        </w:div>
        <w:div w:id="1862627091">
          <w:marLeft w:val="0"/>
          <w:marRight w:val="0"/>
          <w:marTop w:val="0"/>
          <w:marBottom w:val="150"/>
          <w:divBdr>
            <w:top w:val="none" w:sz="0" w:space="0" w:color="auto"/>
            <w:left w:val="none" w:sz="0" w:space="0" w:color="auto"/>
            <w:bottom w:val="none" w:sz="0" w:space="0" w:color="auto"/>
            <w:right w:val="none" w:sz="0" w:space="0" w:color="auto"/>
          </w:divBdr>
          <w:divsChild>
            <w:div w:id="608467309">
              <w:marLeft w:val="0"/>
              <w:marRight w:val="0"/>
              <w:marTop w:val="0"/>
              <w:marBottom w:val="0"/>
              <w:divBdr>
                <w:top w:val="none" w:sz="0" w:space="0" w:color="auto"/>
                <w:left w:val="none" w:sz="0" w:space="0" w:color="auto"/>
                <w:bottom w:val="none" w:sz="0" w:space="0" w:color="auto"/>
                <w:right w:val="none" w:sz="0" w:space="0" w:color="auto"/>
              </w:divBdr>
              <w:divsChild>
                <w:div w:id="113934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74269">
      <w:bodyDiv w:val="1"/>
      <w:marLeft w:val="0"/>
      <w:marRight w:val="0"/>
      <w:marTop w:val="0"/>
      <w:marBottom w:val="0"/>
      <w:divBdr>
        <w:top w:val="none" w:sz="0" w:space="0" w:color="auto"/>
        <w:left w:val="none" w:sz="0" w:space="0" w:color="auto"/>
        <w:bottom w:val="none" w:sz="0" w:space="0" w:color="auto"/>
        <w:right w:val="none" w:sz="0" w:space="0" w:color="auto"/>
      </w:divBdr>
      <w:divsChild>
        <w:div w:id="449057113">
          <w:marLeft w:val="0"/>
          <w:marRight w:val="0"/>
          <w:marTop w:val="0"/>
          <w:marBottom w:val="150"/>
          <w:divBdr>
            <w:top w:val="none" w:sz="0" w:space="0" w:color="auto"/>
            <w:left w:val="none" w:sz="0" w:space="0" w:color="auto"/>
            <w:bottom w:val="none" w:sz="0" w:space="0" w:color="auto"/>
            <w:right w:val="none" w:sz="0" w:space="0" w:color="auto"/>
          </w:divBdr>
        </w:div>
      </w:divsChild>
    </w:div>
    <w:div w:id="145442890">
      <w:bodyDiv w:val="1"/>
      <w:marLeft w:val="0"/>
      <w:marRight w:val="0"/>
      <w:marTop w:val="0"/>
      <w:marBottom w:val="0"/>
      <w:divBdr>
        <w:top w:val="none" w:sz="0" w:space="0" w:color="auto"/>
        <w:left w:val="none" w:sz="0" w:space="0" w:color="auto"/>
        <w:bottom w:val="none" w:sz="0" w:space="0" w:color="auto"/>
        <w:right w:val="none" w:sz="0" w:space="0" w:color="auto"/>
      </w:divBdr>
      <w:divsChild>
        <w:div w:id="531192862">
          <w:marLeft w:val="0"/>
          <w:marRight w:val="0"/>
          <w:marTop w:val="0"/>
          <w:marBottom w:val="0"/>
          <w:divBdr>
            <w:top w:val="none" w:sz="0" w:space="0" w:color="auto"/>
            <w:left w:val="none" w:sz="0" w:space="0" w:color="auto"/>
            <w:bottom w:val="none" w:sz="0" w:space="0" w:color="auto"/>
            <w:right w:val="none" w:sz="0" w:space="0" w:color="auto"/>
          </w:divBdr>
          <w:divsChild>
            <w:div w:id="9937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8610">
      <w:bodyDiv w:val="1"/>
      <w:marLeft w:val="0"/>
      <w:marRight w:val="0"/>
      <w:marTop w:val="0"/>
      <w:marBottom w:val="0"/>
      <w:divBdr>
        <w:top w:val="none" w:sz="0" w:space="0" w:color="auto"/>
        <w:left w:val="none" w:sz="0" w:space="0" w:color="auto"/>
        <w:bottom w:val="none" w:sz="0" w:space="0" w:color="auto"/>
        <w:right w:val="none" w:sz="0" w:space="0" w:color="auto"/>
      </w:divBdr>
      <w:divsChild>
        <w:div w:id="597566590">
          <w:marLeft w:val="0"/>
          <w:marRight w:val="0"/>
          <w:marTop w:val="0"/>
          <w:marBottom w:val="0"/>
          <w:divBdr>
            <w:top w:val="none" w:sz="0" w:space="0" w:color="auto"/>
            <w:left w:val="none" w:sz="0" w:space="0" w:color="auto"/>
            <w:bottom w:val="dotted" w:sz="6" w:space="4" w:color="DDDDDD"/>
            <w:right w:val="none" w:sz="0" w:space="0" w:color="auto"/>
          </w:divBdr>
          <w:divsChild>
            <w:div w:id="175447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11666">
      <w:bodyDiv w:val="1"/>
      <w:marLeft w:val="0"/>
      <w:marRight w:val="0"/>
      <w:marTop w:val="0"/>
      <w:marBottom w:val="0"/>
      <w:divBdr>
        <w:top w:val="none" w:sz="0" w:space="0" w:color="auto"/>
        <w:left w:val="none" w:sz="0" w:space="0" w:color="auto"/>
        <w:bottom w:val="none" w:sz="0" w:space="0" w:color="auto"/>
        <w:right w:val="none" w:sz="0" w:space="0" w:color="auto"/>
      </w:divBdr>
      <w:divsChild>
        <w:div w:id="594167949">
          <w:marLeft w:val="0"/>
          <w:marRight w:val="0"/>
          <w:marTop w:val="0"/>
          <w:marBottom w:val="150"/>
          <w:divBdr>
            <w:top w:val="none" w:sz="0" w:space="0" w:color="auto"/>
            <w:left w:val="none" w:sz="0" w:space="0" w:color="auto"/>
            <w:bottom w:val="none" w:sz="0" w:space="0" w:color="auto"/>
            <w:right w:val="none" w:sz="0" w:space="0" w:color="auto"/>
          </w:divBdr>
          <w:divsChild>
            <w:div w:id="990140446">
              <w:marLeft w:val="0"/>
              <w:marRight w:val="0"/>
              <w:marTop w:val="0"/>
              <w:marBottom w:val="0"/>
              <w:divBdr>
                <w:top w:val="none" w:sz="0" w:space="0" w:color="auto"/>
                <w:left w:val="none" w:sz="0" w:space="0" w:color="auto"/>
                <w:bottom w:val="none" w:sz="0" w:space="0" w:color="auto"/>
                <w:right w:val="none" w:sz="0" w:space="0" w:color="auto"/>
              </w:divBdr>
              <w:divsChild>
                <w:div w:id="199610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910440">
          <w:marLeft w:val="0"/>
          <w:marRight w:val="0"/>
          <w:marTop w:val="0"/>
          <w:marBottom w:val="150"/>
          <w:divBdr>
            <w:top w:val="none" w:sz="0" w:space="0" w:color="auto"/>
            <w:left w:val="none" w:sz="0" w:space="0" w:color="auto"/>
            <w:bottom w:val="none" w:sz="0" w:space="0" w:color="auto"/>
            <w:right w:val="none" w:sz="0" w:space="0" w:color="auto"/>
          </w:divBdr>
        </w:div>
        <w:div w:id="2050950124">
          <w:marLeft w:val="0"/>
          <w:marRight w:val="0"/>
          <w:marTop w:val="0"/>
          <w:marBottom w:val="0"/>
          <w:divBdr>
            <w:top w:val="none" w:sz="0" w:space="0" w:color="auto"/>
            <w:left w:val="none" w:sz="0" w:space="0" w:color="auto"/>
            <w:bottom w:val="none" w:sz="0" w:space="0" w:color="auto"/>
            <w:right w:val="none" w:sz="0" w:space="0" w:color="auto"/>
          </w:divBdr>
          <w:divsChild>
            <w:div w:id="212160483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6018817">
      <w:bodyDiv w:val="1"/>
      <w:marLeft w:val="0"/>
      <w:marRight w:val="0"/>
      <w:marTop w:val="0"/>
      <w:marBottom w:val="0"/>
      <w:divBdr>
        <w:top w:val="none" w:sz="0" w:space="0" w:color="auto"/>
        <w:left w:val="none" w:sz="0" w:space="0" w:color="auto"/>
        <w:bottom w:val="none" w:sz="0" w:space="0" w:color="auto"/>
        <w:right w:val="none" w:sz="0" w:space="0" w:color="auto"/>
      </w:divBdr>
      <w:divsChild>
        <w:div w:id="1539855799">
          <w:marLeft w:val="0"/>
          <w:marRight w:val="0"/>
          <w:marTop w:val="0"/>
          <w:marBottom w:val="150"/>
          <w:divBdr>
            <w:top w:val="none" w:sz="0" w:space="0" w:color="auto"/>
            <w:left w:val="none" w:sz="0" w:space="0" w:color="auto"/>
            <w:bottom w:val="none" w:sz="0" w:space="0" w:color="auto"/>
            <w:right w:val="none" w:sz="0" w:space="0" w:color="auto"/>
          </w:divBdr>
        </w:div>
        <w:div w:id="1855264463">
          <w:marLeft w:val="0"/>
          <w:marRight w:val="0"/>
          <w:marTop w:val="0"/>
          <w:marBottom w:val="0"/>
          <w:divBdr>
            <w:top w:val="none" w:sz="0" w:space="0" w:color="auto"/>
            <w:left w:val="none" w:sz="0" w:space="0" w:color="auto"/>
            <w:bottom w:val="none" w:sz="0" w:space="0" w:color="auto"/>
            <w:right w:val="none" w:sz="0" w:space="0" w:color="auto"/>
          </w:divBdr>
        </w:div>
      </w:divsChild>
    </w:div>
    <w:div w:id="146096775">
      <w:bodyDiv w:val="1"/>
      <w:marLeft w:val="0"/>
      <w:marRight w:val="0"/>
      <w:marTop w:val="0"/>
      <w:marBottom w:val="0"/>
      <w:divBdr>
        <w:top w:val="none" w:sz="0" w:space="0" w:color="auto"/>
        <w:left w:val="none" w:sz="0" w:space="0" w:color="auto"/>
        <w:bottom w:val="none" w:sz="0" w:space="0" w:color="auto"/>
        <w:right w:val="none" w:sz="0" w:space="0" w:color="auto"/>
      </w:divBdr>
      <w:divsChild>
        <w:div w:id="356084729">
          <w:marLeft w:val="0"/>
          <w:marRight w:val="0"/>
          <w:marTop w:val="0"/>
          <w:marBottom w:val="150"/>
          <w:divBdr>
            <w:top w:val="none" w:sz="0" w:space="0" w:color="auto"/>
            <w:left w:val="none" w:sz="0" w:space="0" w:color="auto"/>
            <w:bottom w:val="none" w:sz="0" w:space="0" w:color="auto"/>
            <w:right w:val="none" w:sz="0" w:space="0" w:color="auto"/>
          </w:divBdr>
          <w:divsChild>
            <w:div w:id="2026907361">
              <w:marLeft w:val="0"/>
              <w:marRight w:val="0"/>
              <w:marTop w:val="0"/>
              <w:marBottom w:val="0"/>
              <w:divBdr>
                <w:top w:val="none" w:sz="0" w:space="0" w:color="auto"/>
                <w:left w:val="none" w:sz="0" w:space="0" w:color="auto"/>
                <w:bottom w:val="none" w:sz="0" w:space="0" w:color="auto"/>
                <w:right w:val="none" w:sz="0" w:space="0" w:color="auto"/>
              </w:divBdr>
              <w:divsChild>
                <w:div w:id="841700134">
                  <w:marLeft w:val="0"/>
                  <w:marRight w:val="0"/>
                  <w:marTop w:val="0"/>
                  <w:marBottom w:val="0"/>
                  <w:divBdr>
                    <w:top w:val="none" w:sz="0" w:space="0" w:color="auto"/>
                    <w:left w:val="none" w:sz="0" w:space="0" w:color="auto"/>
                    <w:bottom w:val="none" w:sz="0" w:space="0" w:color="auto"/>
                    <w:right w:val="none" w:sz="0" w:space="0" w:color="auto"/>
                  </w:divBdr>
                  <w:divsChild>
                    <w:div w:id="1878618822">
                      <w:marLeft w:val="0"/>
                      <w:marRight w:val="150"/>
                      <w:marTop w:val="0"/>
                      <w:marBottom w:val="0"/>
                      <w:divBdr>
                        <w:top w:val="none" w:sz="0" w:space="0" w:color="auto"/>
                        <w:left w:val="none" w:sz="0" w:space="0" w:color="auto"/>
                        <w:bottom w:val="none" w:sz="0" w:space="0" w:color="auto"/>
                        <w:right w:val="none" w:sz="0" w:space="0" w:color="auto"/>
                      </w:divBdr>
                      <w:divsChild>
                        <w:div w:id="37362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347101">
          <w:marLeft w:val="0"/>
          <w:marRight w:val="0"/>
          <w:marTop w:val="0"/>
          <w:marBottom w:val="150"/>
          <w:divBdr>
            <w:top w:val="none" w:sz="0" w:space="0" w:color="auto"/>
            <w:left w:val="none" w:sz="0" w:space="0" w:color="auto"/>
            <w:bottom w:val="none" w:sz="0" w:space="0" w:color="auto"/>
            <w:right w:val="none" w:sz="0" w:space="0" w:color="auto"/>
          </w:divBdr>
        </w:div>
        <w:div w:id="1513301648">
          <w:marLeft w:val="0"/>
          <w:marRight w:val="0"/>
          <w:marTop w:val="0"/>
          <w:marBottom w:val="0"/>
          <w:divBdr>
            <w:top w:val="none" w:sz="0" w:space="0" w:color="auto"/>
            <w:left w:val="none" w:sz="0" w:space="0" w:color="auto"/>
            <w:bottom w:val="none" w:sz="0" w:space="0" w:color="auto"/>
            <w:right w:val="none" w:sz="0" w:space="0" w:color="auto"/>
          </w:divBdr>
          <w:divsChild>
            <w:div w:id="205600628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6289142">
      <w:bodyDiv w:val="1"/>
      <w:marLeft w:val="0"/>
      <w:marRight w:val="0"/>
      <w:marTop w:val="0"/>
      <w:marBottom w:val="0"/>
      <w:divBdr>
        <w:top w:val="none" w:sz="0" w:space="0" w:color="auto"/>
        <w:left w:val="none" w:sz="0" w:space="0" w:color="auto"/>
        <w:bottom w:val="none" w:sz="0" w:space="0" w:color="auto"/>
        <w:right w:val="none" w:sz="0" w:space="0" w:color="auto"/>
      </w:divBdr>
      <w:divsChild>
        <w:div w:id="2032148956">
          <w:marLeft w:val="0"/>
          <w:marRight w:val="0"/>
          <w:marTop w:val="0"/>
          <w:marBottom w:val="0"/>
          <w:divBdr>
            <w:top w:val="none" w:sz="0" w:space="0" w:color="auto"/>
            <w:left w:val="none" w:sz="0" w:space="0" w:color="auto"/>
            <w:bottom w:val="dotted" w:sz="6" w:space="4" w:color="DDDDDD"/>
            <w:right w:val="none" w:sz="0" w:space="0" w:color="auto"/>
          </w:divBdr>
          <w:divsChild>
            <w:div w:id="28045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57291">
      <w:bodyDiv w:val="1"/>
      <w:marLeft w:val="0"/>
      <w:marRight w:val="0"/>
      <w:marTop w:val="0"/>
      <w:marBottom w:val="0"/>
      <w:divBdr>
        <w:top w:val="none" w:sz="0" w:space="0" w:color="auto"/>
        <w:left w:val="none" w:sz="0" w:space="0" w:color="auto"/>
        <w:bottom w:val="none" w:sz="0" w:space="0" w:color="auto"/>
        <w:right w:val="none" w:sz="0" w:space="0" w:color="auto"/>
      </w:divBdr>
      <w:divsChild>
        <w:div w:id="932710501">
          <w:marLeft w:val="0"/>
          <w:marRight w:val="0"/>
          <w:marTop w:val="0"/>
          <w:marBottom w:val="0"/>
          <w:divBdr>
            <w:top w:val="none" w:sz="0" w:space="0" w:color="auto"/>
            <w:left w:val="none" w:sz="0" w:space="0" w:color="auto"/>
            <w:bottom w:val="none" w:sz="0" w:space="0" w:color="auto"/>
            <w:right w:val="none" w:sz="0" w:space="0" w:color="auto"/>
          </w:divBdr>
          <w:divsChild>
            <w:div w:id="152651545">
              <w:marLeft w:val="0"/>
              <w:marRight w:val="0"/>
              <w:marTop w:val="0"/>
              <w:marBottom w:val="0"/>
              <w:divBdr>
                <w:top w:val="none" w:sz="0" w:space="0" w:color="auto"/>
                <w:left w:val="none" w:sz="0" w:space="0" w:color="auto"/>
                <w:bottom w:val="none" w:sz="0" w:space="0" w:color="auto"/>
                <w:right w:val="none" w:sz="0" w:space="0" w:color="auto"/>
              </w:divBdr>
              <w:divsChild>
                <w:div w:id="301694638">
                  <w:marLeft w:val="0"/>
                  <w:marRight w:val="0"/>
                  <w:marTop w:val="0"/>
                  <w:marBottom w:val="0"/>
                  <w:divBdr>
                    <w:top w:val="none" w:sz="0" w:space="0" w:color="auto"/>
                    <w:left w:val="none" w:sz="0" w:space="0" w:color="auto"/>
                    <w:bottom w:val="none" w:sz="0" w:space="0" w:color="auto"/>
                    <w:right w:val="none" w:sz="0" w:space="0" w:color="auto"/>
                  </w:divBdr>
                  <w:divsChild>
                    <w:div w:id="1264344378">
                      <w:marLeft w:val="0"/>
                      <w:marRight w:val="0"/>
                      <w:marTop w:val="0"/>
                      <w:marBottom w:val="0"/>
                      <w:divBdr>
                        <w:top w:val="none" w:sz="0" w:space="0" w:color="auto"/>
                        <w:left w:val="none" w:sz="0" w:space="0" w:color="auto"/>
                        <w:bottom w:val="none" w:sz="0" w:space="0" w:color="auto"/>
                        <w:right w:val="none" w:sz="0" w:space="0" w:color="auto"/>
                      </w:divBdr>
                      <w:divsChild>
                        <w:div w:id="384649430">
                          <w:marLeft w:val="0"/>
                          <w:marRight w:val="0"/>
                          <w:marTop w:val="0"/>
                          <w:marBottom w:val="0"/>
                          <w:divBdr>
                            <w:top w:val="none" w:sz="0" w:space="0" w:color="auto"/>
                            <w:left w:val="none" w:sz="0" w:space="0" w:color="auto"/>
                            <w:bottom w:val="none" w:sz="0" w:space="0" w:color="auto"/>
                            <w:right w:val="none" w:sz="0" w:space="0" w:color="auto"/>
                          </w:divBdr>
                          <w:divsChild>
                            <w:div w:id="104271917">
                              <w:marLeft w:val="0"/>
                              <w:marRight w:val="0"/>
                              <w:marTop w:val="0"/>
                              <w:marBottom w:val="0"/>
                              <w:divBdr>
                                <w:top w:val="none" w:sz="0" w:space="0" w:color="auto"/>
                                <w:left w:val="none" w:sz="0" w:space="0" w:color="auto"/>
                                <w:bottom w:val="none" w:sz="0" w:space="0" w:color="auto"/>
                                <w:right w:val="none" w:sz="0" w:space="0" w:color="auto"/>
                              </w:divBdr>
                              <w:divsChild>
                                <w:div w:id="316227622">
                                  <w:marLeft w:val="0"/>
                                  <w:marRight w:val="0"/>
                                  <w:marTop w:val="0"/>
                                  <w:marBottom w:val="0"/>
                                  <w:divBdr>
                                    <w:top w:val="none" w:sz="0" w:space="0" w:color="auto"/>
                                    <w:left w:val="none" w:sz="0" w:space="0" w:color="auto"/>
                                    <w:bottom w:val="none" w:sz="0" w:space="0" w:color="auto"/>
                                    <w:right w:val="none" w:sz="0" w:space="0" w:color="auto"/>
                                  </w:divBdr>
                                  <w:divsChild>
                                    <w:div w:id="614823588">
                                      <w:marLeft w:val="0"/>
                                      <w:marRight w:val="0"/>
                                      <w:marTop w:val="0"/>
                                      <w:marBottom w:val="0"/>
                                      <w:divBdr>
                                        <w:top w:val="none" w:sz="0" w:space="0" w:color="auto"/>
                                        <w:left w:val="none" w:sz="0" w:space="0" w:color="auto"/>
                                        <w:bottom w:val="none" w:sz="0" w:space="0" w:color="auto"/>
                                        <w:right w:val="none" w:sz="0" w:space="0" w:color="auto"/>
                                      </w:divBdr>
                                      <w:divsChild>
                                        <w:div w:id="19851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746077">
      <w:bodyDiv w:val="1"/>
      <w:marLeft w:val="0"/>
      <w:marRight w:val="0"/>
      <w:marTop w:val="0"/>
      <w:marBottom w:val="0"/>
      <w:divBdr>
        <w:top w:val="none" w:sz="0" w:space="0" w:color="auto"/>
        <w:left w:val="none" w:sz="0" w:space="0" w:color="auto"/>
        <w:bottom w:val="none" w:sz="0" w:space="0" w:color="auto"/>
        <w:right w:val="none" w:sz="0" w:space="0" w:color="auto"/>
      </w:divBdr>
    </w:div>
    <w:div w:id="147290762">
      <w:bodyDiv w:val="1"/>
      <w:marLeft w:val="0"/>
      <w:marRight w:val="0"/>
      <w:marTop w:val="0"/>
      <w:marBottom w:val="0"/>
      <w:divBdr>
        <w:top w:val="none" w:sz="0" w:space="0" w:color="auto"/>
        <w:left w:val="none" w:sz="0" w:space="0" w:color="auto"/>
        <w:bottom w:val="none" w:sz="0" w:space="0" w:color="auto"/>
        <w:right w:val="none" w:sz="0" w:space="0" w:color="auto"/>
      </w:divBdr>
    </w:div>
    <w:div w:id="147599137">
      <w:bodyDiv w:val="1"/>
      <w:marLeft w:val="0"/>
      <w:marRight w:val="0"/>
      <w:marTop w:val="0"/>
      <w:marBottom w:val="0"/>
      <w:divBdr>
        <w:top w:val="none" w:sz="0" w:space="0" w:color="auto"/>
        <w:left w:val="none" w:sz="0" w:space="0" w:color="auto"/>
        <w:bottom w:val="none" w:sz="0" w:space="0" w:color="auto"/>
        <w:right w:val="none" w:sz="0" w:space="0" w:color="auto"/>
      </w:divBdr>
      <w:divsChild>
        <w:div w:id="20784845">
          <w:marLeft w:val="0"/>
          <w:marRight w:val="0"/>
          <w:marTop w:val="0"/>
          <w:marBottom w:val="0"/>
          <w:divBdr>
            <w:top w:val="none" w:sz="0" w:space="0" w:color="auto"/>
            <w:left w:val="none" w:sz="0" w:space="0" w:color="auto"/>
            <w:bottom w:val="dotted" w:sz="6" w:space="4" w:color="DDDDDD"/>
            <w:right w:val="none" w:sz="0" w:space="0" w:color="auto"/>
          </w:divBdr>
          <w:divsChild>
            <w:div w:id="127821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944">
      <w:bodyDiv w:val="1"/>
      <w:marLeft w:val="0"/>
      <w:marRight w:val="0"/>
      <w:marTop w:val="0"/>
      <w:marBottom w:val="0"/>
      <w:divBdr>
        <w:top w:val="none" w:sz="0" w:space="0" w:color="auto"/>
        <w:left w:val="none" w:sz="0" w:space="0" w:color="auto"/>
        <w:bottom w:val="none" w:sz="0" w:space="0" w:color="auto"/>
        <w:right w:val="none" w:sz="0" w:space="0" w:color="auto"/>
      </w:divBdr>
      <w:divsChild>
        <w:div w:id="384989228">
          <w:marLeft w:val="0"/>
          <w:marRight w:val="0"/>
          <w:marTop w:val="0"/>
          <w:marBottom w:val="0"/>
          <w:divBdr>
            <w:top w:val="none" w:sz="0" w:space="0" w:color="auto"/>
            <w:left w:val="none" w:sz="0" w:space="0" w:color="auto"/>
            <w:bottom w:val="none" w:sz="0" w:space="0" w:color="auto"/>
            <w:right w:val="none" w:sz="0" w:space="0" w:color="auto"/>
          </w:divBdr>
        </w:div>
        <w:div w:id="1489056138">
          <w:marLeft w:val="0"/>
          <w:marRight w:val="0"/>
          <w:marTop w:val="0"/>
          <w:marBottom w:val="0"/>
          <w:divBdr>
            <w:top w:val="none" w:sz="0" w:space="0" w:color="auto"/>
            <w:left w:val="none" w:sz="0" w:space="0" w:color="auto"/>
            <w:bottom w:val="none" w:sz="0" w:space="0" w:color="auto"/>
            <w:right w:val="none" w:sz="0" w:space="0" w:color="auto"/>
          </w:divBdr>
        </w:div>
      </w:divsChild>
    </w:div>
    <w:div w:id="147988053">
      <w:bodyDiv w:val="1"/>
      <w:marLeft w:val="0"/>
      <w:marRight w:val="0"/>
      <w:marTop w:val="0"/>
      <w:marBottom w:val="0"/>
      <w:divBdr>
        <w:top w:val="none" w:sz="0" w:space="0" w:color="auto"/>
        <w:left w:val="none" w:sz="0" w:space="0" w:color="auto"/>
        <w:bottom w:val="none" w:sz="0" w:space="0" w:color="auto"/>
        <w:right w:val="none" w:sz="0" w:space="0" w:color="auto"/>
      </w:divBdr>
    </w:div>
    <w:div w:id="148062995">
      <w:bodyDiv w:val="1"/>
      <w:marLeft w:val="0"/>
      <w:marRight w:val="0"/>
      <w:marTop w:val="0"/>
      <w:marBottom w:val="0"/>
      <w:divBdr>
        <w:top w:val="none" w:sz="0" w:space="0" w:color="auto"/>
        <w:left w:val="none" w:sz="0" w:space="0" w:color="auto"/>
        <w:bottom w:val="none" w:sz="0" w:space="0" w:color="auto"/>
        <w:right w:val="none" w:sz="0" w:space="0" w:color="auto"/>
      </w:divBdr>
    </w:div>
    <w:div w:id="148718854">
      <w:bodyDiv w:val="1"/>
      <w:marLeft w:val="0"/>
      <w:marRight w:val="0"/>
      <w:marTop w:val="0"/>
      <w:marBottom w:val="0"/>
      <w:divBdr>
        <w:top w:val="none" w:sz="0" w:space="0" w:color="auto"/>
        <w:left w:val="none" w:sz="0" w:space="0" w:color="auto"/>
        <w:bottom w:val="none" w:sz="0" w:space="0" w:color="auto"/>
        <w:right w:val="none" w:sz="0" w:space="0" w:color="auto"/>
      </w:divBdr>
      <w:divsChild>
        <w:div w:id="930160492">
          <w:marLeft w:val="0"/>
          <w:marRight w:val="0"/>
          <w:marTop w:val="0"/>
          <w:marBottom w:val="0"/>
          <w:divBdr>
            <w:top w:val="none" w:sz="0" w:space="0" w:color="auto"/>
            <w:left w:val="none" w:sz="0" w:space="0" w:color="auto"/>
            <w:bottom w:val="dotted" w:sz="6" w:space="4" w:color="DDDDDD"/>
            <w:right w:val="none" w:sz="0" w:space="0" w:color="auto"/>
          </w:divBdr>
        </w:div>
      </w:divsChild>
    </w:div>
    <w:div w:id="149054471">
      <w:bodyDiv w:val="1"/>
      <w:marLeft w:val="0"/>
      <w:marRight w:val="0"/>
      <w:marTop w:val="0"/>
      <w:marBottom w:val="0"/>
      <w:divBdr>
        <w:top w:val="none" w:sz="0" w:space="0" w:color="auto"/>
        <w:left w:val="none" w:sz="0" w:space="0" w:color="auto"/>
        <w:bottom w:val="none" w:sz="0" w:space="0" w:color="auto"/>
        <w:right w:val="none" w:sz="0" w:space="0" w:color="auto"/>
      </w:divBdr>
      <w:divsChild>
        <w:div w:id="431122503">
          <w:marLeft w:val="0"/>
          <w:marRight w:val="0"/>
          <w:marTop w:val="0"/>
          <w:marBottom w:val="0"/>
          <w:divBdr>
            <w:top w:val="none" w:sz="0" w:space="0" w:color="auto"/>
            <w:left w:val="none" w:sz="0" w:space="0" w:color="auto"/>
            <w:bottom w:val="none" w:sz="0" w:space="0" w:color="auto"/>
            <w:right w:val="none" w:sz="0" w:space="0" w:color="auto"/>
          </w:divBdr>
          <w:divsChild>
            <w:div w:id="2123918207">
              <w:marLeft w:val="0"/>
              <w:marRight w:val="0"/>
              <w:marTop w:val="225"/>
              <w:marBottom w:val="225"/>
              <w:divBdr>
                <w:top w:val="none" w:sz="0" w:space="0" w:color="auto"/>
                <w:left w:val="none" w:sz="0" w:space="0" w:color="auto"/>
                <w:bottom w:val="none" w:sz="0" w:space="0" w:color="auto"/>
                <w:right w:val="none" w:sz="0" w:space="0" w:color="auto"/>
              </w:divBdr>
            </w:div>
          </w:divsChild>
        </w:div>
        <w:div w:id="757100034">
          <w:marLeft w:val="0"/>
          <w:marRight w:val="0"/>
          <w:marTop w:val="0"/>
          <w:marBottom w:val="150"/>
          <w:divBdr>
            <w:top w:val="none" w:sz="0" w:space="0" w:color="auto"/>
            <w:left w:val="none" w:sz="0" w:space="0" w:color="auto"/>
            <w:bottom w:val="none" w:sz="0" w:space="0" w:color="auto"/>
            <w:right w:val="none" w:sz="0" w:space="0" w:color="auto"/>
          </w:divBdr>
          <w:divsChild>
            <w:div w:id="2108303541">
              <w:marLeft w:val="0"/>
              <w:marRight w:val="0"/>
              <w:marTop w:val="0"/>
              <w:marBottom w:val="0"/>
              <w:divBdr>
                <w:top w:val="none" w:sz="0" w:space="0" w:color="auto"/>
                <w:left w:val="none" w:sz="0" w:space="0" w:color="auto"/>
                <w:bottom w:val="none" w:sz="0" w:space="0" w:color="auto"/>
                <w:right w:val="none" w:sz="0" w:space="0" w:color="auto"/>
              </w:divBdr>
              <w:divsChild>
                <w:div w:id="67870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76406">
          <w:marLeft w:val="0"/>
          <w:marRight w:val="0"/>
          <w:marTop w:val="0"/>
          <w:marBottom w:val="150"/>
          <w:divBdr>
            <w:top w:val="none" w:sz="0" w:space="0" w:color="auto"/>
            <w:left w:val="none" w:sz="0" w:space="0" w:color="auto"/>
            <w:bottom w:val="none" w:sz="0" w:space="0" w:color="auto"/>
            <w:right w:val="none" w:sz="0" w:space="0" w:color="auto"/>
          </w:divBdr>
        </w:div>
      </w:divsChild>
    </w:div>
    <w:div w:id="149638567">
      <w:bodyDiv w:val="1"/>
      <w:marLeft w:val="0"/>
      <w:marRight w:val="0"/>
      <w:marTop w:val="0"/>
      <w:marBottom w:val="0"/>
      <w:divBdr>
        <w:top w:val="none" w:sz="0" w:space="0" w:color="auto"/>
        <w:left w:val="none" w:sz="0" w:space="0" w:color="auto"/>
        <w:bottom w:val="none" w:sz="0" w:space="0" w:color="auto"/>
        <w:right w:val="none" w:sz="0" w:space="0" w:color="auto"/>
      </w:divBdr>
      <w:divsChild>
        <w:div w:id="831140559">
          <w:marLeft w:val="0"/>
          <w:marRight w:val="0"/>
          <w:marTop w:val="0"/>
          <w:marBottom w:val="0"/>
          <w:divBdr>
            <w:top w:val="none" w:sz="0" w:space="0" w:color="auto"/>
            <w:left w:val="none" w:sz="0" w:space="0" w:color="auto"/>
            <w:bottom w:val="none" w:sz="0" w:space="0" w:color="auto"/>
            <w:right w:val="none" w:sz="0" w:space="0" w:color="auto"/>
          </w:divBdr>
          <w:divsChild>
            <w:div w:id="367410075">
              <w:marLeft w:val="0"/>
              <w:marRight w:val="0"/>
              <w:marTop w:val="0"/>
              <w:marBottom w:val="150"/>
              <w:divBdr>
                <w:top w:val="none" w:sz="0" w:space="0" w:color="auto"/>
                <w:left w:val="none" w:sz="0" w:space="0" w:color="auto"/>
                <w:bottom w:val="none" w:sz="0" w:space="0" w:color="auto"/>
                <w:right w:val="none" w:sz="0" w:space="0" w:color="auto"/>
              </w:divBdr>
              <w:divsChild>
                <w:div w:id="788208684">
                  <w:marLeft w:val="0"/>
                  <w:marRight w:val="0"/>
                  <w:marTop w:val="0"/>
                  <w:marBottom w:val="0"/>
                  <w:divBdr>
                    <w:top w:val="none" w:sz="0" w:space="0" w:color="auto"/>
                    <w:left w:val="none" w:sz="0" w:space="0" w:color="auto"/>
                    <w:bottom w:val="none" w:sz="0" w:space="0" w:color="auto"/>
                    <w:right w:val="none" w:sz="0" w:space="0" w:color="auto"/>
                  </w:divBdr>
                  <w:divsChild>
                    <w:div w:id="1851943806">
                      <w:marLeft w:val="0"/>
                      <w:marRight w:val="0"/>
                      <w:marTop w:val="0"/>
                      <w:marBottom w:val="0"/>
                      <w:divBdr>
                        <w:top w:val="none" w:sz="0" w:space="0" w:color="auto"/>
                        <w:left w:val="none" w:sz="0" w:space="0" w:color="auto"/>
                        <w:bottom w:val="none" w:sz="0" w:space="0" w:color="auto"/>
                        <w:right w:val="none" w:sz="0" w:space="0" w:color="auto"/>
                      </w:divBdr>
                      <w:divsChild>
                        <w:div w:id="1456631882">
                          <w:marLeft w:val="0"/>
                          <w:marRight w:val="0"/>
                          <w:marTop w:val="0"/>
                          <w:marBottom w:val="0"/>
                          <w:divBdr>
                            <w:top w:val="none" w:sz="0" w:space="0" w:color="auto"/>
                            <w:left w:val="none" w:sz="0" w:space="0" w:color="auto"/>
                            <w:bottom w:val="none" w:sz="0" w:space="0" w:color="auto"/>
                            <w:right w:val="none" w:sz="0" w:space="0" w:color="auto"/>
                          </w:divBdr>
                          <w:divsChild>
                            <w:div w:id="10960503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025205883">
                  <w:marLeft w:val="75"/>
                  <w:marRight w:val="0"/>
                  <w:marTop w:val="0"/>
                  <w:marBottom w:val="0"/>
                  <w:divBdr>
                    <w:top w:val="none" w:sz="0" w:space="0" w:color="auto"/>
                    <w:left w:val="none" w:sz="0" w:space="0" w:color="auto"/>
                    <w:bottom w:val="none" w:sz="0" w:space="0" w:color="auto"/>
                    <w:right w:val="none" w:sz="0" w:space="0" w:color="auto"/>
                  </w:divBdr>
                  <w:divsChild>
                    <w:div w:id="948586950">
                      <w:marLeft w:val="0"/>
                      <w:marRight w:val="0"/>
                      <w:marTop w:val="0"/>
                      <w:marBottom w:val="0"/>
                      <w:divBdr>
                        <w:top w:val="none" w:sz="0" w:space="0" w:color="auto"/>
                        <w:left w:val="none" w:sz="0" w:space="0" w:color="auto"/>
                        <w:bottom w:val="none" w:sz="0" w:space="0" w:color="auto"/>
                        <w:right w:val="none" w:sz="0" w:space="0" w:color="auto"/>
                      </w:divBdr>
                    </w:div>
                  </w:divsChild>
                </w:div>
                <w:div w:id="1554271197">
                  <w:marLeft w:val="75"/>
                  <w:marRight w:val="0"/>
                  <w:marTop w:val="0"/>
                  <w:marBottom w:val="0"/>
                  <w:divBdr>
                    <w:top w:val="none" w:sz="0" w:space="0" w:color="auto"/>
                    <w:left w:val="none" w:sz="0" w:space="0" w:color="auto"/>
                    <w:bottom w:val="none" w:sz="0" w:space="0" w:color="auto"/>
                    <w:right w:val="none" w:sz="0" w:space="0" w:color="auto"/>
                  </w:divBdr>
                  <w:divsChild>
                    <w:div w:id="1863325833">
                      <w:marLeft w:val="0"/>
                      <w:marRight w:val="0"/>
                      <w:marTop w:val="0"/>
                      <w:marBottom w:val="0"/>
                      <w:divBdr>
                        <w:top w:val="none" w:sz="0" w:space="0" w:color="auto"/>
                        <w:left w:val="none" w:sz="0" w:space="0" w:color="auto"/>
                        <w:bottom w:val="none" w:sz="0" w:space="0" w:color="auto"/>
                        <w:right w:val="none" w:sz="0" w:space="0" w:color="auto"/>
                      </w:divBdr>
                    </w:div>
                  </w:divsChild>
                </w:div>
                <w:div w:id="1903441057">
                  <w:marLeft w:val="75"/>
                  <w:marRight w:val="0"/>
                  <w:marTop w:val="0"/>
                  <w:marBottom w:val="0"/>
                  <w:divBdr>
                    <w:top w:val="none" w:sz="0" w:space="0" w:color="auto"/>
                    <w:left w:val="none" w:sz="0" w:space="0" w:color="auto"/>
                    <w:bottom w:val="none" w:sz="0" w:space="0" w:color="auto"/>
                    <w:right w:val="none" w:sz="0" w:space="0" w:color="auto"/>
                  </w:divBdr>
                  <w:divsChild>
                    <w:div w:id="678310428">
                      <w:marLeft w:val="0"/>
                      <w:marRight w:val="7350"/>
                      <w:marTop w:val="0"/>
                      <w:marBottom w:val="0"/>
                      <w:divBdr>
                        <w:top w:val="none" w:sz="0" w:space="0" w:color="auto"/>
                        <w:left w:val="none" w:sz="0" w:space="0" w:color="auto"/>
                        <w:bottom w:val="none" w:sz="0" w:space="0" w:color="auto"/>
                        <w:right w:val="none" w:sz="0" w:space="0" w:color="auto"/>
                      </w:divBdr>
                    </w:div>
                  </w:divsChild>
                </w:div>
              </w:divsChild>
            </w:div>
          </w:divsChild>
        </w:div>
        <w:div w:id="1090548147">
          <w:marLeft w:val="0"/>
          <w:marRight w:val="0"/>
          <w:marTop w:val="0"/>
          <w:marBottom w:val="0"/>
          <w:divBdr>
            <w:top w:val="none" w:sz="0" w:space="0" w:color="auto"/>
            <w:left w:val="none" w:sz="0" w:space="0" w:color="auto"/>
            <w:bottom w:val="none" w:sz="0" w:space="0" w:color="auto"/>
            <w:right w:val="none" w:sz="0" w:space="0" w:color="auto"/>
          </w:divBdr>
          <w:divsChild>
            <w:div w:id="230891714">
              <w:marLeft w:val="0"/>
              <w:marRight w:val="0"/>
              <w:marTop w:val="0"/>
              <w:marBottom w:val="150"/>
              <w:divBdr>
                <w:top w:val="none" w:sz="0" w:space="0" w:color="auto"/>
                <w:left w:val="none" w:sz="0" w:space="0" w:color="auto"/>
                <w:bottom w:val="none" w:sz="0" w:space="0" w:color="auto"/>
                <w:right w:val="none" w:sz="0" w:space="0" w:color="auto"/>
              </w:divBdr>
            </w:div>
            <w:div w:id="4946874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0223279">
      <w:bodyDiv w:val="1"/>
      <w:marLeft w:val="0"/>
      <w:marRight w:val="0"/>
      <w:marTop w:val="0"/>
      <w:marBottom w:val="0"/>
      <w:divBdr>
        <w:top w:val="none" w:sz="0" w:space="0" w:color="auto"/>
        <w:left w:val="none" w:sz="0" w:space="0" w:color="auto"/>
        <w:bottom w:val="none" w:sz="0" w:space="0" w:color="auto"/>
        <w:right w:val="none" w:sz="0" w:space="0" w:color="auto"/>
      </w:divBdr>
      <w:divsChild>
        <w:div w:id="270090878">
          <w:marLeft w:val="0"/>
          <w:marRight w:val="0"/>
          <w:marTop w:val="0"/>
          <w:marBottom w:val="0"/>
          <w:divBdr>
            <w:top w:val="none" w:sz="0" w:space="0" w:color="auto"/>
            <w:left w:val="none" w:sz="0" w:space="0" w:color="auto"/>
            <w:bottom w:val="none" w:sz="0" w:space="0" w:color="auto"/>
            <w:right w:val="none" w:sz="0" w:space="0" w:color="auto"/>
          </w:divBdr>
          <w:divsChild>
            <w:div w:id="542669770">
              <w:marLeft w:val="0"/>
              <w:marRight w:val="0"/>
              <w:marTop w:val="0"/>
              <w:marBottom w:val="0"/>
              <w:divBdr>
                <w:top w:val="none" w:sz="0" w:space="0" w:color="auto"/>
                <w:left w:val="none" w:sz="0" w:space="0" w:color="auto"/>
                <w:bottom w:val="none" w:sz="0" w:space="0" w:color="auto"/>
                <w:right w:val="none" w:sz="0" w:space="0" w:color="auto"/>
              </w:divBdr>
              <w:divsChild>
                <w:div w:id="1420328906">
                  <w:marLeft w:val="0"/>
                  <w:marRight w:val="0"/>
                  <w:marTop w:val="0"/>
                  <w:marBottom w:val="0"/>
                  <w:divBdr>
                    <w:top w:val="none" w:sz="0" w:space="0" w:color="auto"/>
                    <w:left w:val="none" w:sz="0" w:space="0" w:color="auto"/>
                    <w:bottom w:val="none" w:sz="0" w:space="0" w:color="auto"/>
                    <w:right w:val="none" w:sz="0" w:space="0" w:color="auto"/>
                  </w:divBdr>
                  <w:divsChild>
                    <w:div w:id="1036660578">
                      <w:marLeft w:val="0"/>
                      <w:marRight w:val="0"/>
                      <w:marTop w:val="0"/>
                      <w:marBottom w:val="0"/>
                      <w:divBdr>
                        <w:top w:val="none" w:sz="0" w:space="0" w:color="auto"/>
                        <w:left w:val="none" w:sz="0" w:space="0" w:color="auto"/>
                        <w:bottom w:val="none" w:sz="0" w:space="0" w:color="auto"/>
                        <w:right w:val="none" w:sz="0" w:space="0" w:color="auto"/>
                      </w:divBdr>
                      <w:divsChild>
                        <w:div w:id="1311598214">
                          <w:marLeft w:val="0"/>
                          <w:marRight w:val="0"/>
                          <w:marTop w:val="0"/>
                          <w:marBottom w:val="0"/>
                          <w:divBdr>
                            <w:top w:val="none" w:sz="0" w:space="0" w:color="auto"/>
                            <w:left w:val="none" w:sz="0" w:space="0" w:color="auto"/>
                            <w:bottom w:val="none" w:sz="0" w:space="0" w:color="auto"/>
                            <w:right w:val="none" w:sz="0" w:space="0" w:color="auto"/>
                          </w:divBdr>
                          <w:divsChild>
                            <w:div w:id="1090470258">
                              <w:marLeft w:val="0"/>
                              <w:marRight w:val="0"/>
                              <w:marTop w:val="0"/>
                              <w:marBottom w:val="0"/>
                              <w:divBdr>
                                <w:top w:val="none" w:sz="0" w:space="0" w:color="auto"/>
                                <w:left w:val="none" w:sz="0" w:space="0" w:color="auto"/>
                                <w:bottom w:val="none" w:sz="0" w:space="0" w:color="auto"/>
                                <w:right w:val="none" w:sz="0" w:space="0" w:color="auto"/>
                              </w:divBdr>
                              <w:divsChild>
                                <w:div w:id="824207479">
                                  <w:marLeft w:val="0"/>
                                  <w:marRight w:val="0"/>
                                  <w:marTop w:val="0"/>
                                  <w:marBottom w:val="0"/>
                                  <w:divBdr>
                                    <w:top w:val="none" w:sz="0" w:space="0" w:color="auto"/>
                                    <w:left w:val="none" w:sz="0" w:space="0" w:color="auto"/>
                                    <w:bottom w:val="none" w:sz="0" w:space="0" w:color="auto"/>
                                    <w:right w:val="none" w:sz="0" w:space="0" w:color="auto"/>
                                  </w:divBdr>
                                  <w:divsChild>
                                    <w:div w:id="939414145">
                                      <w:marLeft w:val="0"/>
                                      <w:marRight w:val="0"/>
                                      <w:marTop w:val="0"/>
                                      <w:marBottom w:val="0"/>
                                      <w:divBdr>
                                        <w:top w:val="none" w:sz="0" w:space="0" w:color="auto"/>
                                        <w:left w:val="none" w:sz="0" w:space="0" w:color="auto"/>
                                        <w:bottom w:val="none" w:sz="0" w:space="0" w:color="auto"/>
                                        <w:right w:val="none" w:sz="0" w:space="0" w:color="auto"/>
                                      </w:divBdr>
                                      <w:divsChild>
                                        <w:div w:id="137527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366810">
      <w:bodyDiv w:val="1"/>
      <w:marLeft w:val="0"/>
      <w:marRight w:val="0"/>
      <w:marTop w:val="0"/>
      <w:marBottom w:val="0"/>
      <w:divBdr>
        <w:top w:val="none" w:sz="0" w:space="0" w:color="auto"/>
        <w:left w:val="none" w:sz="0" w:space="0" w:color="auto"/>
        <w:bottom w:val="none" w:sz="0" w:space="0" w:color="auto"/>
        <w:right w:val="none" w:sz="0" w:space="0" w:color="auto"/>
      </w:divBdr>
      <w:divsChild>
        <w:div w:id="1655792680">
          <w:marLeft w:val="0"/>
          <w:marRight w:val="0"/>
          <w:marTop w:val="0"/>
          <w:marBottom w:val="0"/>
          <w:divBdr>
            <w:top w:val="none" w:sz="0" w:space="0" w:color="auto"/>
            <w:left w:val="none" w:sz="0" w:space="0" w:color="auto"/>
            <w:bottom w:val="none" w:sz="0" w:space="0" w:color="auto"/>
            <w:right w:val="none" w:sz="0" w:space="0" w:color="auto"/>
          </w:divBdr>
          <w:divsChild>
            <w:div w:id="294797546">
              <w:marLeft w:val="0"/>
              <w:marRight w:val="0"/>
              <w:marTop w:val="0"/>
              <w:marBottom w:val="0"/>
              <w:divBdr>
                <w:top w:val="none" w:sz="0" w:space="0" w:color="auto"/>
                <w:left w:val="none" w:sz="0" w:space="0" w:color="auto"/>
                <w:bottom w:val="none" w:sz="0" w:space="0" w:color="auto"/>
                <w:right w:val="none" w:sz="0" w:space="0" w:color="auto"/>
              </w:divBdr>
              <w:divsChild>
                <w:div w:id="1940482453">
                  <w:marLeft w:val="0"/>
                  <w:marRight w:val="0"/>
                  <w:marTop w:val="0"/>
                  <w:marBottom w:val="0"/>
                  <w:divBdr>
                    <w:top w:val="none" w:sz="0" w:space="0" w:color="auto"/>
                    <w:left w:val="none" w:sz="0" w:space="0" w:color="auto"/>
                    <w:bottom w:val="none" w:sz="0" w:space="0" w:color="auto"/>
                    <w:right w:val="none" w:sz="0" w:space="0" w:color="auto"/>
                  </w:divBdr>
                  <w:divsChild>
                    <w:div w:id="1669168857">
                      <w:marLeft w:val="0"/>
                      <w:marRight w:val="0"/>
                      <w:marTop w:val="0"/>
                      <w:marBottom w:val="0"/>
                      <w:divBdr>
                        <w:top w:val="none" w:sz="0" w:space="0" w:color="auto"/>
                        <w:left w:val="none" w:sz="0" w:space="0" w:color="auto"/>
                        <w:bottom w:val="none" w:sz="0" w:space="0" w:color="auto"/>
                        <w:right w:val="none" w:sz="0" w:space="0" w:color="auto"/>
                      </w:divBdr>
                      <w:divsChild>
                        <w:div w:id="1968968107">
                          <w:marLeft w:val="0"/>
                          <w:marRight w:val="0"/>
                          <w:marTop w:val="0"/>
                          <w:marBottom w:val="0"/>
                          <w:divBdr>
                            <w:top w:val="none" w:sz="0" w:space="0" w:color="auto"/>
                            <w:left w:val="none" w:sz="0" w:space="0" w:color="auto"/>
                            <w:bottom w:val="none" w:sz="0" w:space="0" w:color="auto"/>
                            <w:right w:val="none" w:sz="0" w:space="0" w:color="auto"/>
                          </w:divBdr>
                          <w:divsChild>
                            <w:div w:id="1277253444">
                              <w:marLeft w:val="0"/>
                              <w:marRight w:val="0"/>
                              <w:marTop w:val="0"/>
                              <w:marBottom w:val="0"/>
                              <w:divBdr>
                                <w:top w:val="none" w:sz="0" w:space="0" w:color="auto"/>
                                <w:left w:val="none" w:sz="0" w:space="0" w:color="auto"/>
                                <w:bottom w:val="none" w:sz="0" w:space="0" w:color="auto"/>
                                <w:right w:val="none" w:sz="0" w:space="0" w:color="auto"/>
                              </w:divBdr>
                              <w:divsChild>
                                <w:div w:id="590042243">
                                  <w:marLeft w:val="0"/>
                                  <w:marRight w:val="0"/>
                                  <w:marTop w:val="0"/>
                                  <w:marBottom w:val="0"/>
                                  <w:divBdr>
                                    <w:top w:val="none" w:sz="0" w:space="0" w:color="auto"/>
                                    <w:left w:val="none" w:sz="0" w:space="0" w:color="auto"/>
                                    <w:bottom w:val="none" w:sz="0" w:space="0" w:color="auto"/>
                                    <w:right w:val="none" w:sz="0" w:space="0" w:color="auto"/>
                                  </w:divBdr>
                                  <w:divsChild>
                                    <w:div w:id="1846432861">
                                      <w:marLeft w:val="0"/>
                                      <w:marRight w:val="0"/>
                                      <w:marTop w:val="0"/>
                                      <w:marBottom w:val="0"/>
                                      <w:divBdr>
                                        <w:top w:val="none" w:sz="0" w:space="0" w:color="auto"/>
                                        <w:left w:val="none" w:sz="0" w:space="0" w:color="auto"/>
                                        <w:bottom w:val="none" w:sz="0" w:space="0" w:color="auto"/>
                                        <w:right w:val="none" w:sz="0" w:space="0" w:color="auto"/>
                                      </w:divBdr>
                                      <w:divsChild>
                                        <w:div w:id="148135245">
                                          <w:marLeft w:val="0"/>
                                          <w:marRight w:val="0"/>
                                          <w:marTop w:val="0"/>
                                          <w:marBottom w:val="0"/>
                                          <w:divBdr>
                                            <w:top w:val="none" w:sz="0" w:space="0" w:color="auto"/>
                                            <w:left w:val="none" w:sz="0" w:space="0" w:color="auto"/>
                                            <w:bottom w:val="none" w:sz="0" w:space="0" w:color="auto"/>
                                            <w:right w:val="none" w:sz="0" w:space="0" w:color="auto"/>
                                          </w:divBdr>
                                          <w:divsChild>
                                            <w:div w:id="5624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492335">
      <w:bodyDiv w:val="1"/>
      <w:marLeft w:val="0"/>
      <w:marRight w:val="0"/>
      <w:marTop w:val="0"/>
      <w:marBottom w:val="0"/>
      <w:divBdr>
        <w:top w:val="none" w:sz="0" w:space="0" w:color="auto"/>
        <w:left w:val="none" w:sz="0" w:space="0" w:color="auto"/>
        <w:bottom w:val="none" w:sz="0" w:space="0" w:color="auto"/>
        <w:right w:val="none" w:sz="0" w:space="0" w:color="auto"/>
      </w:divBdr>
    </w:div>
    <w:div w:id="151258707">
      <w:bodyDiv w:val="1"/>
      <w:marLeft w:val="0"/>
      <w:marRight w:val="0"/>
      <w:marTop w:val="0"/>
      <w:marBottom w:val="0"/>
      <w:divBdr>
        <w:top w:val="none" w:sz="0" w:space="0" w:color="auto"/>
        <w:left w:val="none" w:sz="0" w:space="0" w:color="auto"/>
        <w:bottom w:val="none" w:sz="0" w:space="0" w:color="auto"/>
        <w:right w:val="none" w:sz="0" w:space="0" w:color="auto"/>
      </w:divBdr>
      <w:divsChild>
        <w:div w:id="410203707">
          <w:marLeft w:val="0"/>
          <w:marRight w:val="0"/>
          <w:marTop w:val="0"/>
          <w:marBottom w:val="0"/>
          <w:divBdr>
            <w:top w:val="none" w:sz="0" w:space="0" w:color="auto"/>
            <w:left w:val="none" w:sz="0" w:space="0" w:color="auto"/>
            <w:bottom w:val="dotted" w:sz="6" w:space="4" w:color="DDDDDD"/>
            <w:right w:val="none" w:sz="0" w:space="0" w:color="auto"/>
          </w:divBdr>
        </w:div>
      </w:divsChild>
    </w:div>
    <w:div w:id="151916688">
      <w:bodyDiv w:val="1"/>
      <w:marLeft w:val="0"/>
      <w:marRight w:val="0"/>
      <w:marTop w:val="0"/>
      <w:marBottom w:val="0"/>
      <w:divBdr>
        <w:top w:val="none" w:sz="0" w:space="0" w:color="auto"/>
        <w:left w:val="none" w:sz="0" w:space="0" w:color="auto"/>
        <w:bottom w:val="none" w:sz="0" w:space="0" w:color="auto"/>
        <w:right w:val="none" w:sz="0" w:space="0" w:color="auto"/>
      </w:divBdr>
      <w:divsChild>
        <w:div w:id="13767982">
          <w:marLeft w:val="0"/>
          <w:marRight w:val="0"/>
          <w:marTop w:val="0"/>
          <w:marBottom w:val="0"/>
          <w:divBdr>
            <w:top w:val="none" w:sz="0" w:space="0" w:color="auto"/>
            <w:left w:val="none" w:sz="0" w:space="0" w:color="auto"/>
            <w:bottom w:val="dotted" w:sz="6" w:space="4" w:color="DDDDDD"/>
            <w:right w:val="none" w:sz="0" w:space="0" w:color="auto"/>
          </w:divBdr>
          <w:divsChild>
            <w:div w:id="193246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13850">
      <w:bodyDiv w:val="1"/>
      <w:marLeft w:val="0"/>
      <w:marRight w:val="0"/>
      <w:marTop w:val="0"/>
      <w:marBottom w:val="0"/>
      <w:divBdr>
        <w:top w:val="none" w:sz="0" w:space="0" w:color="auto"/>
        <w:left w:val="none" w:sz="0" w:space="0" w:color="auto"/>
        <w:bottom w:val="none" w:sz="0" w:space="0" w:color="auto"/>
        <w:right w:val="none" w:sz="0" w:space="0" w:color="auto"/>
      </w:divBdr>
      <w:divsChild>
        <w:div w:id="916014305">
          <w:marLeft w:val="0"/>
          <w:marRight w:val="0"/>
          <w:marTop w:val="0"/>
          <w:marBottom w:val="0"/>
          <w:divBdr>
            <w:top w:val="none" w:sz="0" w:space="0" w:color="auto"/>
            <w:left w:val="none" w:sz="0" w:space="0" w:color="auto"/>
            <w:bottom w:val="none" w:sz="0" w:space="0" w:color="auto"/>
            <w:right w:val="none" w:sz="0" w:space="0" w:color="auto"/>
          </w:divBdr>
          <w:divsChild>
            <w:div w:id="935021581">
              <w:marLeft w:val="0"/>
              <w:marRight w:val="0"/>
              <w:marTop w:val="0"/>
              <w:marBottom w:val="0"/>
              <w:divBdr>
                <w:top w:val="none" w:sz="0" w:space="0" w:color="auto"/>
                <w:left w:val="none" w:sz="0" w:space="0" w:color="auto"/>
                <w:bottom w:val="none" w:sz="0" w:space="0" w:color="auto"/>
                <w:right w:val="none" w:sz="0" w:space="0" w:color="auto"/>
              </w:divBdr>
              <w:divsChild>
                <w:div w:id="366488931">
                  <w:marLeft w:val="0"/>
                  <w:marRight w:val="0"/>
                  <w:marTop w:val="0"/>
                  <w:marBottom w:val="0"/>
                  <w:divBdr>
                    <w:top w:val="none" w:sz="0" w:space="0" w:color="auto"/>
                    <w:left w:val="none" w:sz="0" w:space="0" w:color="auto"/>
                    <w:bottom w:val="none" w:sz="0" w:space="0" w:color="auto"/>
                    <w:right w:val="none" w:sz="0" w:space="0" w:color="auto"/>
                  </w:divBdr>
                  <w:divsChild>
                    <w:div w:id="891114763">
                      <w:marLeft w:val="0"/>
                      <w:marRight w:val="0"/>
                      <w:marTop w:val="0"/>
                      <w:marBottom w:val="0"/>
                      <w:divBdr>
                        <w:top w:val="none" w:sz="0" w:space="0" w:color="auto"/>
                        <w:left w:val="none" w:sz="0" w:space="0" w:color="auto"/>
                        <w:bottom w:val="none" w:sz="0" w:space="0" w:color="auto"/>
                        <w:right w:val="none" w:sz="0" w:space="0" w:color="auto"/>
                      </w:divBdr>
                      <w:divsChild>
                        <w:div w:id="936403422">
                          <w:marLeft w:val="0"/>
                          <w:marRight w:val="0"/>
                          <w:marTop w:val="0"/>
                          <w:marBottom w:val="0"/>
                          <w:divBdr>
                            <w:top w:val="none" w:sz="0" w:space="0" w:color="auto"/>
                            <w:left w:val="none" w:sz="0" w:space="0" w:color="auto"/>
                            <w:bottom w:val="none" w:sz="0" w:space="0" w:color="auto"/>
                            <w:right w:val="none" w:sz="0" w:space="0" w:color="auto"/>
                          </w:divBdr>
                          <w:divsChild>
                            <w:div w:id="1701927794">
                              <w:marLeft w:val="0"/>
                              <w:marRight w:val="0"/>
                              <w:marTop w:val="0"/>
                              <w:marBottom w:val="0"/>
                              <w:divBdr>
                                <w:top w:val="none" w:sz="0" w:space="0" w:color="auto"/>
                                <w:left w:val="none" w:sz="0" w:space="0" w:color="auto"/>
                                <w:bottom w:val="none" w:sz="0" w:space="0" w:color="auto"/>
                                <w:right w:val="none" w:sz="0" w:space="0" w:color="auto"/>
                              </w:divBdr>
                              <w:divsChild>
                                <w:div w:id="216551706">
                                  <w:marLeft w:val="0"/>
                                  <w:marRight w:val="0"/>
                                  <w:marTop w:val="0"/>
                                  <w:marBottom w:val="0"/>
                                  <w:divBdr>
                                    <w:top w:val="none" w:sz="0" w:space="0" w:color="auto"/>
                                    <w:left w:val="none" w:sz="0" w:space="0" w:color="auto"/>
                                    <w:bottom w:val="none" w:sz="0" w:space="0" w:color="auto"/>
                                    <w:right w:val="none" w:sz="0" w:space="0" w:color="auto"/>
                                  </w:divBdr>
                                  <w:divsChild>
                                    <w:div w:id="107636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140743">
      <w:bodyDiv w:val="1"/>
      <w:marLeft w:val="0"/>
      <w:marRight w:val="0"/>
      <w:marTop w:val="0"/>
      <w:marBottom w:val="0"/>
      <w:divBdr>
        <w:top w:val="none" w:sz="0" w:space="0" w:color="auto"/>
        <w:left w:val="none" w:sz="0" w:space="0" w:color="auto"/>
        <w:bottom w:val="none" w:sz="0" w:space="0" w:color="auto"/>
        <w:right w:val="none" w:sz="0" w:space="0" w:color="auto"/>
      </w:divBdr>
      <w:divsChild>
        <w:div w:id="1443184354">
          <w:marLeft w:val="0"/>
          <w:marRight w:val="0"/>
          <w:marTop w:val="0"/>
          <w:marBottom w:val="0"/>
          <w:divBdr>
            <w:top w:val="none" w:sz="0" w:space="0" w:color="auto"/>
            <w:left w:val="none" w:sz="0" w:space="0" w:color="auto"/>
            <w:bottom w:val="none" w:sz="0" w:space="0" w:color="auto"/>
            <w:right w:val="none" w:sz="0" w:space="0" w:color="auto"/>
          </w:divBdr>
          <w:divsChild>
            <w:div w:id="2142529435">
              <w:marLeft w:val="0"/>
              <w:marRight w:val="0"/>
              <w:marTop w:val="0"/>
              <w:marBottom w:val="0"/>
              <w:divBdr>
                <w:top w:val="none" w:sz="0" w:space="0" w:color="auto"/>
                <w:left w:val="none" w:sz="0" w:space="0" w:color="auto"/>
                <w:bottom w:val="none" w:sz="0" w:space="0" w:color="auto"/>
                <w:right w:val="none" w:sz="0" w:space="0" w:color="auto"/>
              </w:divBdr>
              <w:divsChild>
                <w:div w:id="143203427">
                  <w:marLeft w:val="0"/>
                  <w:marRight w:val="0"/>
                  <w:marTop w:val="0"/>
                  <w:marBottom w:val="0"/>
                  <w:divBdr>
                    <w:top w:val="none" w:sz="0" w:space="0" w:color="auto"/>
                    <w:left w:val="none" w:sz="0" w:space="0" w:color="auto"/>
                    <w:bottom w:val="none" w:sz="0" w:space="0" w:color="auto"/>
                    <w:right w:val="none" w:sz="0" w:space="0" w:color="auto"/>
                  </w:divBdr>
                  <w:divsChild>
                    <w:div w:id="2113742237">
                      <w:marLeft w:val="0"/>
                      <w:marRight w:val="0"/>
                      <w:marTop w:val="0"/>
                      <w:marBottom w:val="0"/>
                      <w:divBdr>
                        <w:top w:val="none" w:sz="0" w:space="0" w:color="auto"/>
                        <w:left w:val="none" w:sz="0" w:space="0" w:color="auto"/>
                        <w:bottom w:val="none" w:sz="0" w:space="0" w:color="auto"/>
                        <w:right w:val="none" w:sz="0" w:space="0" w:color="auto"/>
                      </w:divBdr>
                      <w:divsChild>
                        <w:div w:id="284704512">
                          <w:marLeft w:val="0"/>
                          <w:marRight w:val="0"/>
                          <w:marTop w:val="0"/>
                          <w:marBottom w:val="0"/>
                          <w:divBdr>
                            <w:top w:val="none" w:sz="0" w:space="0" w:color="auto"/>
                            <w:left w:val="none" w:sz="0" w:space="0" w:color="auto"/>
                            <w:bottom w:val="none" w:sz="0" w:space="0" w:color="auto"/>
                            <w:right w:val="none" w:sz="0" w:space="0" w:color="auto"/>
                          </w:divBdr>
                          <w:divsChild>
                            <w:div w:id="1867406446">
                              <w:marLeft w:val="0"/>
                              <w:marRight w:val="0"/>
                              <w:marTop w:val="0"/>
                              <w:marBottom w:val="0"/>
                              <w:divBdr>
                                <w:top w:val="none" w:sz="0" w:space="0" w:color="auto"/>
                                <w:left w:val="none" w:sz="0" w:space="0" w:color="auto"/>
                                <w:bottom w:val="none" w:sz="0" w:space="0" w:color="auto"/>
                                <w:right w:val="none" w:sz="0" w:space="0" w:color="auto"/>
                              </w:divBdr>
                              <w:divsChild>
                                <w:div w:id="693306114">
                                  <w:marLeft w:val="0"/>
                                  <w:marRight w:val="0"/>
                                  <w:marTop w:val="0"/>
                                  <w:marBottom w:val="0"/>
                                  <w:divBdr>
                                    <w:top w:val="none" w:sz="0" w:space="0" w:color="auto"/>
                                    <w:left w:val="none" w:sz="0" w:space="0" w:color="auto"/>
                                    <w:bottom w:val="none" w:sz="0" w:space="0" w:color="auto"/>
                                    <w:right w:val="none" w:sz="0" w:space="0" w:color="auto"/>
                                  </w:divBdr>
                                  <w:divsChild>
                                    <w:div w:id="10316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331592">
      <w:bodyDiv w:val="1"/>
      <w:marLeft w:val="0"/>
      <w:marRight w:val="0"/>
      <w:marTop w:val="0"/>
      <w:marBottom w:val="0"/>
      <w:divBdr>
        <w:top w:val="none" w:sz="0" w:space="0" w:color="auto"/>
        <w:left w:val="none" w:sz="0" w:space="0" w:color="auto"/>
        <w:bottom w:val="none" w:sz="0" w:space="0" w:color="auto"/>
        <w:right w:val="none" w:sz="0" w:space="0" w:color="auto"/>
      </w:divBdr>
      <w:divsChild>
        <w:div w:id="1539271624">
          <w:marLeft w:val="0"/>
          <w:marRight w:val="0"/>
          <w:marTop w:val="150"/>
          <w:marBottom w:val="0"/>
          <w:divBdr>
            <w:top w:val="none" w:sz="0" w:space="0" w:color="auto"/>
            <w:left w:val="none" w:sz="0" w:space="0" w:color="auto"/>
            <w:bottom w:val="none" w:sz="0" w:space="0" w:color="auto"/>
            <w:right w:val="none" w:sz="0" w:space="0" w:color="auto"/>
          </w:divBdr>
          <w:divsChild>
            <w:div w:id="1544058844">
              <w:marLeft w:val="0"/>
              <w:marRight w:val="150"/>
              <w:marTop w:val="0"/>
              <w:marBottom w:val="0"/>
              <w:divBdr>
                <w:top w:val="none" w:sz="0" w:space="0" w:color="auto"/>
                <w:left w:val="none" w:sz="0" w:space="0" w:color="auto"/>
                <w:bottom w:val="none" w:sz="0" w:space="0" w:color="auto"/>
                <w:right w:val="none" w:sz="0" w:space="0" w:color="auto"/>
              </w:divBdr>
            </w:div>
          </w:divsChild>
        </w:div>
        <w:div w:id="2139059237">
          <w:marLeft w:val="0"/>
          <w:marRight w:val="0"/>
          <w:marTop w:val="0"/>
          <w:marBottom w:val="0"/>
          <w:divBdr>
            <w:top w:val="none" w:sz="0" w:space="8" w:color="auto"/>
            <w:left w:val="none" w:sz="0" w:space="2" w:color="auto"/>
            <w:bottom w:val="single" w:sz="6" w:space="8" w:color="DDDDDD"/>
            <w:right w:val="none" w:sz="0" w:space="0" w:color="auto"/>
          </w:divBdr>
        </w:div>
      </w:divsChild>
    </w:div>
    <w:div w:id="152380233">
      <w:bodyDiv w:val="1"/>
      <w:marLeft w:val="0"/>
      <w:marRight w:val="0"/>
      <w:marTop w:val="0"/>
      <w:marBottom w:val="0"/>
      <w:divBdr>
        <w:top w:val="none" w:sz="0" w:space="0" w:color="auto"/>
        <w:left w:val="none" w:sz="0" w:space="0" w:color="auto"/>
        <w:bottom w:val="none" w:sz="0" w:space="0" w:color="auto"/>
        <w:right w:val="none" w:sz="0" w:space="0" w:color="auto"/>
      </w:divBdr>
    </w:div>
    <w:div w:id="152531976">
      <w:bodyDiv w:val="1"/>
      <w:marLeft w:val="0"/>
      <w:marRight w:val="0"/>
      <w:marTop w:val="0"/>
      <w:marBottom w:val="0"/>
      <w:divBdr>
        <w:top w:val="none" w:sz="0" w:space="0" w:color="auto"/>
        <w:left w:val="none" w:sz="0" w:space="0" w:color="auto"/>
        <w:bottom w:val="none" w:sz="0" w:space="0" w:color="auto"/>
        <w:right w:val="none" w:sz="0" w:space="0" w:color="auto"/>
      </w:divBdr>
      <w:divsChild>
        <w:div w:id="899243600">
          <w:marLeft w:val="0"/>
          <w:marRight w:val="0"/>
          <w:marTop w:val="0"/>
          <w:marBottom w:val="150"/>
          <w:divBdr>
            <w:top w:val="none" w:sz="0" w:space="0" w:color="auto"/>
            <w:left w:val="none" w:sz="0" w:space="0" w:color="auto"/>
            <w:bottom w:val="none" w:sz="0" w:space="0" w:color="auto"/>
            <w:right w:val="none" w:sz="0" w:space="0" w:color="auto"/>
          </w:divBdr>
          <w:divsChild>
            <w:div w:id="440685055">
              <w:marLeft w:val="0"/>
              <w:marRight w:val="0"/>
              <w:marTop w:val="0"/>
              <w:marBottom w:val="0"/>
              <w:divBdr>
                <w:top w:val="none" w:sz="0" w:space="0" w:color="auto"/>
                <w:left w:val="none" w:sz="0" w:space="0" w:color="auto"/>
                <w:bottom w:val="none" w:sz="0" w:space="0" w:color="auto"/>
                <w:right w:val="none" w:sz="0" w:space="0" w:color="auto"/>
              </w:divBdr>
              <w:divsChild>
                <w:div w:id="18791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540547">
          <w:marLeft w:val="0"/>
          <w:marRight w:val="0"/>
          <w:marTop w:val="0"/>
          <w:marBottom w:val="150"/>
          <w:divBdr>
            <w:top w:val="none" w:sz="0" w:space="0" w:color="auto"/>
            <w:left w:val="none" w:sz="0" w:space="0" w:color="auto"/>
            <w:bottom w:val="none" w:sz="0" w:space="0" w:color="auto"/>
            <w:right w:val="none" w:sz="0" w:space="0" w:color="auto"/>
          </w:divBdr>
        </w:div>
        <w:div w:id="1027097371">
          <w:marLeft w:val="0"/>
          <w:marRight w:val="0"/>
          <w:marTop w:val="0"/>
          <w:marBottom w:val="0"/>
          <w:divBdr>
            <w:top w:val="none" w:sz="0" w:space="0" w:color="auto"/>
            <w:left w:val="none" w:sz="0" w:space="0" w:color="auto"/>
            <w:bottom w:val="none" w:sz="0" w:space="0" w:color="auto"/>
            <w:right w:val="none" w:sz="0" w:space="0" w:color="auto"/>
          </w:divBdr>
          <w:divsChild>
            <w:div w:id="20632073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2766372">
      <w:bodyDiv w:val="1"/>
      <w:marLeft w:val="0"/>
      <w:marRight w:val="0"/>
      <w:marTop w:val="0"/>
      <w:marBottom w:val="0"/>
      <w:divBdr>
        <w:top w:val="none" w:sz="0" w:space="0" w:color="auto"/>
        <w:left w:val="none" w:sz="0" w:space="0" w:color="auto"/>
        <w:bottom w:val="none" w:sz="0" w:space="0" w:color="auto"/>
        <w:right w:val="none" w:sz="0" w:space="0" w:color="auto"/>
      </w:divBdr>
      <w:divsChild>
        <w:div w:id="1251547231">
          <w:marLeft w:val="0"/>
          <w:marRight w:val="0"/>
          <w:marTop w:val="0"/>
          <w:marBottom w:val="0"/>
          <w:divBdr>
            <w:top w:val="none" w:sz="0" w:space="0" w:color="auto"/>
            <w:left w:val="none" w:sz="0" w:space="0" w:color="auto"/>
            <w:bottom w:val="none" w:sz="0" w:space="0" w:color="auto"/>
            <w:right w:val="none" w:sz="0" w:space="0" w:color="auto"/>
          </w:divBdr>
          <w:divsChild>
            <w:div w:id="1217743922">
              <w:marLeft w:val="0"/>
              <w:marRight w:val="0"/>
              <w:marTop w:val="0"/>
              <w:marBottom w:val="0"/>
              <w:divBdr>
                <w:top w:val="none" w:sz="0" w:space="0" w:color="auto"/>
                <w:left w:val="none" w:sz="0" w:space="0" w:color="auto"/>
                <w:bottom w:val="none" w:sz="0" w:space="0" w:color="auto"/>
                <w:right w:val="none" w:sz="0" w:space="0" w:color="auto"/>
              </w:divBdr>
              <w:divsChild>
                <w:div w:id="1436974764">
                  <w:marLeft w:val="0"/>
                  <w:marRight w:val="0"/>
                  <w:marTop w:val="0"/>
                  <w:marBottom w:val="0"/>
                  <w:divBdr>
                    <w:top w:val="none" w:sz="0" w:space="0" w:color="auto"/>
                    <w:left w:val="none" w:sz="0" w:space="0" w:color="auto"/>
                    <w:bottom w:val="none" w:sz="0" w:space="0" w:color="auto"/>
                    <w:right w:val="none" w:sz="0" w:space="0" w:color="auto"/>
                  </w:divBdr>
                  <w:divsChild>
                    <w:div w:id="1887181701">
                      <w:marLeft w:val="0"/>
                      <w:marRight w:val="0"/>
                      <w:marTop w:val="0"/>
                      <w:marBottom w:val="0"/>
                      <w:divBdr>
                        <w:top w:val="none" w:sz="0" w:space="0" w:color="auto"/>
                        <w:left w:val="none" w:sz="0" w:space="0" w:color="auto"/>
                        <w:bottom w:val="none" w:sz="0" w:space="0" w:color="auto"/>
                        <w:right w:val="none" w:sz="0" w:space="0" w:color="auto"/>
                      </w:divBdr>
                      <w:divsChild>
                        <w:div w:id="574432795">
                          <w:marLeft w:val="0"/>
                          <w:marRight w:val="0"/>
                          <w:marTop w:val="0"/>
                          <w:marBottom w:val="0"/>
                          <w:divBdr>
                            <w:top w:val="none" w:sz="0" w:space="0" w:color="auto"/>
                            <w:left w:val="none" w:sz="0" w:space="0" w:color="auto"/>
                            <w:bottom w:val="none" w:sz="0" w:space="0" w:color="auto"/>
                            <w:right w:val="none" w:sz="0" w:space="0" w:color="auto"/>
                          </w:divBdr>
                          <w:divsChild>
                            <w:div w:id="1314288372">
                              <w:marLeft w:val="0"/>
                              <w:marRight w:val="0"/>
                              <w:marTop w:val="0"/>
                              <w:marBottom w:val="0"/>
                              <w:divBdr>
                                <w:top w:val="none" w:sz="0" w:space="0" w:color="auto"/>
                                <w:left w:val="none" w:sz="0" w:space="0" w:color="auto"/>
                                <w:bottom w:val="none" w:sz="0" w:space="0" w:color="auto"/>
                                <w:right w:val="none" w:sz="0" w:space="0" w:color="auto"/>
                              </w:divBdr>
                              <w:divsChild>
                                <w:div w:id="1665863243">
                                  <w:marLeft w:val="0"/>
                                  <w:marRight w:val="0"/>
                                  <w:marTop w:val="0"/>
                                  <w:marBottom w:val="0"/>
                                  <w:divBdr>
                                    <w:top w:val="none" w:sz="0" w:space="0" w:color="auto"/>
                                    <w:left w:val="none" w:sz="0" w:space="0" w:color="auto"/>
                                    <w:bottom w:val="none" w:sz="0" w:space="0" w:color="auto"/>
                                    <w:right w:val="none" w:sz="0" w:space="0" w:color="auto"/>
                                  </w:divBdr>
                                  <w:divsChild>
                                    <w:div w:id="165290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033320">
      <w:bodyDiv w:val="1"/>
      <w:marLeft w:val="0"/>
      <w:marRight w:val="0"/>
      <w:marTop w:val="0"/>
      <w:marBottom w:val="0"/>
      <w:divBdr>
        <w:top w:val="none" w:sz="0" w:space="0" w:color="auto"/>
        <w:left w:val="none" w:sz="0" w:space="0" w:color="auto"/>
        <w:bottom w:val="none" w:sz="0" w:space="0" w:color="auto"/>
        <w:right w:val="none" w:sz="0" w:space="0" w:color="auto"/>
      </w:divBdr>
      <w:divsChild>
        <w:div w:id="965935308">
          <w:marLeft w:val="0"/>
          <w:marRight w:val="0"/>
          <w:marTop w:val="0"/>
          <w:marBottom w:val="0"/>
          <w:divBdr>
            <w:top w:val="none" w:sz="0" w:space="0" w:color="auto"/>
            <w:left w:val="none" w:sz="0" w:space="0" w:color="auto"/>
            <w:bottom w:val="dotted" w:sz="6" w:space="4" w:color="DDDDDD"/>
            <w:right w:val="none" w:sz="0" w:space="0" w:color="auto"/>
          </w:divBdr>
        </w:div>
      </w:divsChild>
    </w:div>
    <w:div w:id="153450905">
      <w:bodyDiv w:val="1"/>
      <w:marLeft w:val="0"/>
      <w:marRight w:val="0"/>
      <w:marTop w:val="0"/>
      <w:marBottom w:val="0"/>
      <w:divBdr>
        <w:top w:val="none" w:sz="0" w:space="0" w:color="auto"/>
        <w:left w:val="none" w:sz="0" w:space="0" w:color="auto"/>
        <w:bottom w:val="none" w:sz="0" w:space="0" w:color="auto"/>
        <w:right w:val="none" w:sz="0" w:space="0" w:color="auto"/>
      </w:divBdr>
      <w:divsChild>
        <w:div w:id="2078160917">
          <w:marLeft w:val="0"/>
          <w:marRight w:val="0"/>
          <w:marTop w:val="0"/>
          <w:marBottom w:val="0"/>
          <w:divBdr>
            <w:top w:val="none" w:sz="0" w:space="0" w:color="auto"/>
            <w:left w:val="none" w:sz="0" w:space="0" w:color="auto"/>
            <w:bottom w:val="none" w:sz="0" w:space="0" w:color="auto"/>
            <w:right w:val="none" w:sz="0" w:space="0" w:color="auto"/>
          </w:divBdr>
          <w:divsChild>
            <w:div w:id="127625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23992">
      <w:bodyDiv w:val="1"/>
      <w:marLeft w:val="0"/>
      <w:marRight w:val="0"/>
      <w:marTop w:val="0"/>
      <w:marBottom w:val="0"/>
      <w:divBdr>
        <w:top w:val="none" w:sz="0" w:space="0" w:color="auto"/>
        <w:left w:val="none" w:sz="0" w:space="0" w:color="auto"/>
        <w:bottom w:val="none" w:sz="0" w:space="0" w:color="auto"/>
        <w:right w:val="none" w:sz="0" w:space="0" w:color="auto"/>
      </w:divBdr>
      <w:divsChild>
        <w:div w:id="1881893619">
          <w:marLeft w:val="0"/>
          <w:marRight w:val="0"/>
          <w:marTop w:val="0"/>
          <w:marBottom w:val="150"/>
          <w:divBdr>
            <w:top w:val="none" w:sz="0" w:space="0" w:color="auto"/>
            <w:left w:val="none" w:sz="0" w:space="0" w:color="auto"/>
            <w:bottom w:val="none" w:sz="0" w:space="0" w:color="auto"/>
            <w:right w:val="none" w:sz="0" w:space="0" w:color="auto"/>
          </w:divBdr>
        </w:div>
      </w:divsChild>
    </w:div>
    <w:div w:id="154496683">
      <w:bodyDiv w:val="1"/>
      <w:marLeft w:val="0"/>
      <w:marRight w:val="0"/>
      <w:marTop w:val="0"/>
      <w:marBottom w:val="0"/>
      <w:divBdr>
        <w:top w:val="none" w:sz="0" w:space="0" w:color="auto"/>
        <w:left w:val="none" w:sz="0" w:space="0" w:color="auto"/>
        <w:bottom w:val="none" w:sz="0" w:space="0" w:color="auto"/>
        <w:right w:val="none" w:sz="0" w:space="0" w:color="auto"/>
      </w:divBdr>
    </w:div>
    <w:div w:id="154734359">
      <w:bodyDiv w:val="1"/>
      <w:marLeft w:val="0"/>
      <w:marRight w:val="0"/>
      <w:marTop w:val="0"/>
      <w:marBottom w:val="0"/>
      <w:divBdr>
        <w:top w:val="none" w:sz="0" w:space="0" w:color="auto"/>
        <w:left w:val="none" w:sz="0" w:space="0" w:color="auto"/>
        <w:bottom w:val="none" w:sz="0" w:space="0" w:color="auto"/>
        <w:right w:val="none" w:sz="0" w:space="0" w:color="auto"/>
      </w:divBdr>
    </w:div>
    <w:div w:id="154880710">
      <w:bodyDiv w:val="1"/>
      <w:marLeft w:val="0"/>
      <w:marRight w:val="0"/>
      <w:marTop w:val="0"/>
      <w:marBottom w:val="0"/>
      <w:divBdr>
        <w:top w:val="none" w:sz="0" w:space="0" w:color="auto"/>
        <w:left w:val="none" w:sz="0" w:space="0" w:color="auto"/>
        <w:bottom w:val="none" w:sz="0" w:space="0" w:color="auto"/>
        <w:right w:val="none" w:sz="0" w:space="0" w:color="auto"/>
      </w:divBdr>
    </w:div>
    <w:div w:id="155154324">
      <w:bodyDiv w:val="1"/>
      <w:marLeft w:val="0"/>
      <w:marRight w:val="0"/>
      <w:marTop w:val="0"/>
      <w:marBottom w:val="0"/>
      <w:divBdr>
        <w:top w:val="none" w:sz="0" w:space="0" w:color="auto"/>
        <w:left w:val="none" w:sz="0" w:space="0" w:color="auto"/>
        <w:bottom w:val="none" w:sz="0" w:space="0" w:color="auto"/>
        <w:right w:val="none" w:sz="0" w:space="0" w:color="auto"/>
      </w:divBdr>
      <w:divsChild>
        <w:div w:id="2107262861">
          <w:marLeft w:val="0"/>
          <w:marRight w:val="0"/>
          <w:marTop w:val="0"/>
          <w:marBottom w:val="0"/>
          <w:divBdr>
            <w:top w:val="none" w:sz="0" w:space="0" w:color="auto"/>
            <w:left w:val="none" w:sz="0" w:space="0" w:color="auto"/>
            <w:bottom w:val="none" w:sz="0" w:space="0" w:color="auto"/>
            <w:right w:val="none" w:sz="0" w:space="0" w:color="auto"/>
          </w:divBdr>
          <w:divsChild>
            <w:div w:id="483854890">
              <w:marLeft w:val="0"/>
              <w:marRight w:val="0"/>
              <w:marTop w:val="0"/>
              <w:marBottom w:val="0"/>
              <w:divBdr>
                <w:top w:val="none" w:sz="0" w:space="0" w:color="auto"/>
                <w:left w:val="none" w:sz="0" w:space="0" w:color="auto"/>
                <w:bottom w:val="none" w:sz="0" w:space="0" w:color="auto"/>
                <w:right w:val="none" w:sz="0" w:space="0" w:color="auto"/>
              </w:divBdr>
              <w:divsChild>
                <w:div w:id="1642270615">
                  <w:marLeft w:val="0"/>
                  <w:marRight w:val="0"/>
                  <w:marTop w:val="0"/>
                  <w:marBottom w:val="0"/>
                  <w:divBdr>
                    <w:top w:val="none" w:sz="0" w:space="0" w:color="auto"/>
                    <w:left w:val="none" w:sz="0" w:space="0" w:color="auto"/>
                    <w:bottom w:val="none" w:sz="0" w:space="0" w:color="auto"/>
                    <w:right w:val="none" w:sz="0" w:space="0" w:color="auto"/>
                  </w:divBdr>
                  <w:divsChild>
                    <w:div w:id="1750075348">
                      <w:marLeft w:val="0"/>
                      <w:marRight w:val="0"/>
                      <w:marTop w:val="0"/>
                      <w:marBottom w:val="0"/>
                      <w:divBdr>
                        <w:top w:val="none" w:sz="0" w:space="0" w:color="auto"/>
                        <w:left w:val="none" w:sz="0" w:space="0" w:color="auto"/>
                        <w:bottom w:val="none" w:sz="0" w:space="0" w:color="auto"/>
                        <w:right w:val="none" w:sz="0" w:space="0" w:color="auto"/>
                      </w:divBdr>
                      <w:divsChild>
                        <w:div w:id="1981377833">
                          <w:marLeft w:val="0"/>
                          <w:marRight w:val="0"/>
                          <w:marTop w:val="0"/>
                          <w:marBottom w:val="0"/>
                          <w:divBdr>
                            <w:top w:val="none" w:sz="0" w:space="0" w:color="auto"/>
                            <w:left w:val="none" w:sz="0" w:space="0" w:color="auto"/>
                            <w:bottom w:val="none" w:sz="0" w:space="0" w:color="auto"/>
                            <w:right w:val="none" w:sz="0" w:space="0" w:color="auto"/>
                          </w:divBdr>
                          <w:divsChild>
                            <w:div w:id="318534307">
                              <w:marLeft w:val="0"/>
                              <w:marRight w:val="0"/>
                              <w:marTop w:val="0"/>
                              <w:marBottom w:val="0"/>
                              <w:divBdr>
                                <w:top w:val="none" w:sz="0" w:space="0" w:color="auto"/>
                                <w:left w:val="none" w:sz="0" w:space="0" w:color="auto"/>
                                <w:bottom w:val="none" w:sz="0" w:space="0" w:color="auto"/>
                                <w:right w:val="none" w:sz="0" w:space="0" w:color="auto"/>
                              </w:divBdr>
                              <w:divsChild>
                                <w:div w:id="514003459">
                                  <w:marLeft w:val="0"/>
                                  <w:marRight w:val="0"/>
                                  <w:marTop w:val="0"/>
                                  <w:marBottom w:val="0"/>
                                  <w:divBdr>
                                    <w:top w:val="none" w:sz="0" w:space="0" w:color="auto"/>
                                    <w:left w:val="none" w:sz="0" w:space="0" w:color="auto"/>
                                    <w:bottom w:val="none" w:sz="0" w:space="0" w:color="auto"/>
                                    <w:right w:val="none" w:sz="0" w:space="0" w:color="auto"/>
                                  </w:divBdr>
                                  <w:divsChild>
                                    <w:div w:id="34933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802556">
      <w:bodyDiv w:val="1"/>
      <w:marLeft w:val="0"/>
      <w:marRight w:val="0"/>
      <w:marTop w:val="0"/>
      <w:marBottom w:val="0"/>
      <w:divBdr>
        <w:top w:val="none" w:sz="0" w:space="0" w:color="auto"/>
        <w:left w:val="none" w:sz="0" w:space="0" w:color="auto"/>
        <w:bottom w:val="none" w:sz="0" w:space="0" w:color="auto"/>
        <w:right w:val="none" w:sz="0" w:space="0" w:color="auto"/>
      </w:divBdr>
    </w:div>
    <w:div w:id="156262706">
      <w:bodyDiv w:val="1"/>
      <w:marLeft w:val="0"/>
      <w:marRight w:val="0"/>
      <w:marTop w:val="0"/>
      <w:marBottom w:val="0"/>
      <w:divBdr>
        <w:top w:val="none" w:sz="0" w:space="0" w:color="auto"/>
        <w:left w:val="none" w:sz="0" w:space="0" w:color="auto"/>
        <w:bottom w:val="none" w:sz="0" w:space="0" w:color="auto"/>
        <w:right w:val="none" w:sz="0" w:space="0" w:color="auto"/>
      </w:divBdr>
    </w:div>
    <w:div w:id="156268167">
      <w:bodyDiv w:val="1"/>
      <w:marLeft w:val="0"/>
      <w:marRight w:val="0"/>
      <w:marTop w:val="0"/>
      <w:marBottom w:val="0"/>
      <w:divBdr>
        <w:top w:val="none" w:sz="0" w:space="0" w:color="auto"/>
        <w:left w:val="none" w:sz="0" w:space="0" w:color="auto"/>
        <w:bottom w:val="none" w:sz="0" w:space="0" w:color="auto"/>
        <w:right w:val="none" w:sz="0" w:space="0" w:color="auto"/>
      </w:divBdr>
      <w:divsChild>
        <w:div w:id="1064838353">
          <w:marLeft w:val="0"/>
          <w:marRight w:val="0"/>
          <w:marTop w:val="0"/>
          <w:marBottom w:val="0"/>
          <w:divBdr>
            <w:top w:val="none" w:sz="0" w:space="0" w:color="auto"/>
            <w:left w:val="none" w:sz="0" w:space="0" w:color="auto"/>
            <w:bottom w:val="none" w:sz="0" w:space="0" w:color="auto"/>
            <w:right w:val="none" w:sz="0" w:space="0" w:color="auto"/>
          </w:divBdr>
          <w:divsChild>
            <w:div w:id="478421351">
              <w:marLeft w:val="0"/>
              <w:marRight w:val="0"/>
              <w:marTop w:val="0"/>
              <w:marBottom w:val="150"/>
              <w:divBdr>
                <w:top w:val="none" w:sz="0" w:space="0" w:color="auto"/>
                <w:left w:val="none" w:sz="0" w:space="0" w:color="auto"/>
                <w:bottom w:val="none" w:sz="0" w:space="0" w:color="auto"/>
                <w:right w:val="none" w:sz="0" w:space="0" w:color="auto"/>
              </w:divBdr>
            </w:div>
            <w:div w:id="180847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57199">
      <w:bodyDiv w:val="1"/>
      <w:marLeft w:val="0"/>
      <w:marRight w:val="0"/>
      <w:marTop w:val="0"/>
      <w:marBottom w:val="0"/>
      <w:divBdr>
        <w:top w:val="none" w:sz="0" w:space="0" w:color="auto"/>
        <w:left w:val="none" w:sz="0" w:space="0" w:color="auto"/>
        <w:bottom w:val="none" w:sz="0" w:space="0" w:color="auto"/>
        <w:right w:val="none" w:sz="0" w:space="0" w:color="auto"/>
      </w:divBdr>
    </w:div>
    <w:div w:id="156458297">
      <w:bodyDiv w:val="1"/>
      <w:marLeft w:val="0"/>
      <w:marRight w:val="0"/>
      <w:marTop w:val="0"/>
      <w:marBottom w:val="0"/>
      <w:divBdr>
        <w:top w:val="none" w:sz="0" w:space="0" w:color="auto"/>
        <w:left w:val="none" w:sz="0" w:space="0" w:color="auto"/>
        <w:bottom w:val="none" w:sz="0" w:space="0" w:color="auto"/>
        <w:right w:val="none" w:sz="0" w:space="0" w:color="auto"/>
      </w:divBdr>
      <w:divsChild>
        <w:div w:id="1001934694">
          <w:marLeft w:val="0"/>
          <w:marRight w:val="0"/>
          <w:marTop w:val="0"/>
          <w:marBottom w:val="150"/>
          <w:divBdr>
            <w:top w:val="none" w:sz="0" w:space="0" w:color="auto"/>
            <w:left w:val="none" w:sz="0" w:space="0" w:color="auto"/>
            <w:bottom w:val="none" w:sz="0" w:space="0" w:color="auto"/>
            <w:right w:val="none" w:sz="0" w:space="0" w:color="auto"/>
          </w:divBdr>
        </w:div>
      </w:divsChild>
    </w:div>
    <w:div w:id="156582454">
      <w:bodyDiv w:val="1"/>
      <w:marLeft w:val="0"/>
      <w:marRight w:val="0"/>
      <w:marTop w:val="0"/>
      <w:marBottom w:val="0"/>
      <w:divBdr>
        <w:top w:val="none" w:sz="0" w:space="0" w:color="auto"/>
        <w:left w:val="none" w:sz="0" w:space="0" w:color="auto"/>
        <w:bottom w:val="none" w:sz="0" w:space="0" w:color="auto"/>
        <w:right w:val="none" w:sz="0" w:space="0" w:color="auto"/>
      </w:divBdr>
    </w:div>
    <w:div w:id="156921682">
      <w:bodyDiv w:val="1"/>
      <w:marLeft w:val="0"/>
      <w:marRight w:val="0"/>
      <w:marTop w:val="0"/>
      <w:marBottom w:val="0"/>
      <w:divBdr>
        <w:top w:val="none" w:sz="0" w:space="0" w:color="auto"/>
        <w:left w:val="none" w:sz="0" w:space="0" w:color="auto"/>
        <w:bottom w:val="none" w:sz="0" w:space="0" w:color="auto"/>
        <w:right w:val="none" w:sz="0" w:space="0" w:color="auto"/>
      </w:divBdr>
      <w:divsChild>
        <w:div w:id="1867980812">
          <w:marLeft w:val="0"/>
          <w:marRight w:val="0"/>
          <w:marTop w:val="0"/>
          <w:marBottom w:val="0"/>
          <w:divBdr>
            <w:top w:val="none" w:sz="0" w:space="0" w:color="auto"/>
            <w:left w:val="none" w:sz="0" w:space="0" w:color="auto"/>
            <w:bottom w:val="none" w:sz="0" w:space="0" w:color="auto"/>
            <w:right w:val="none" w:sz="0" w:space="0" w:color="auto"/>
          </w:divBdr>
          <w:divsChild>
            <w:div w:id="661468694">
              <w:marLeft w:val="0"/>
              <w:marRight w:val="0"/>
              <w:marTop w:val="0"/>
              <w:marBottom w:val="0"/>
              <w:divBdr>
                <w:top w:val="none" w:sz="0" w:space="0" w:color="auto"/>
                <w:left w:val="none" w:sz="0" w:space="0" w:color="auto"/>
                <w:bottom w:val="none" w:sz="0" w:space="0" w:color="auto"/>
                <w:right w:val="none" w:sz="0" w:space="0" w:color="auto"/>
              </w:divBdr>
              <w:divsChild>
                <w:div w:id="247034399">
                  <w:marLeft w:val="0"/>
                  <w:marRight w:val="0"/>
                  <w:marTop w:val="0"/>
                  <w:marBottom w:val="0"/>
                  <w:divBdr>
                    <w:top w:val="none" w:sz="0" w:space="0" w:color="auto"/>
                    <w:left w:val="none" w:sz="0" w:space="0" w:color="auto"/>
                    <w:bottom w:val="none" w:sz="0" w:space="0" w:color="auto"/>
                    <w:right w:val="none" w:sz="0" w:space="0" w:color="auto"/>
                  </w:divBdr>
                  <w:divsChild>
                    <w:div w:id="1655335110">
                      <w:marLeft w:val="0"/>
                      <w:marRight w:val="0"/>
                      <w:marTop w:val="0"/>
                      <w:marBottom w:val="0"/>
                      <w:divBdr>
                        <w:top w:val="none" w:sz="0" w:space="0" w:color="auto"/>
                        <w:left w:val="none" w:sz="0" w:space="0" w:color="auto"/>
                        <w:bottom w:val="none" w:sz="0" w:space="0" w:color="auto"/>
                        <w:right w:val="none" w:sz="0" w:space="0" w:color="auto"/>
                      </w:divBdr>
                      <w:divsChild>
                        <w:div w:id="1091197964">
                          <w:marLeft w:val="0"/>
                          <w:marRight w:val="0"/>
                          <w:marTop w:val="0"/>
                          <w:marBottom w:val="0"/>
                          <w:divBdr>
                            <w:top w:val="none" w:sz="0" w:space="0" w:color="auto"/>
                            <w:left w:val="none" w:sz="0" w:space="0" w:color="auto"/>
                            <w:bottom w:val="none" w:sz="0" w:space="0" w:color="auto"/>
                            <w:right w:val="none" w:sz="0" w:space="0" w:color="auto"/>
                          </w:divBdr>
                          <w:divsChild>
                            <w:div w:id="2029989349">
                              <w:marLeft w:val="0"/>
                              <w:marRight w:val="0"/>
                              <w:marTop w:val="0"/>
                              <w:marBottom w:val="0"/>
                              <w:divBdr>
                                <w:top w:val="none" w:sz="0" w:space="0" w:color="auto"/>
                                <w:left w:val="none" w:sz="0" w:space="0" w:color="auto"/>
                                <w:bottom w:val="none" w:sz="0" w:space="0" w:color="auto"/>
                                <w:right w:val="none" w:sz="0" w:space="0" w:color="auto"/>
                              </w:divBdr>
                              <w:divsChild>
                                <w:div w:id="1540781721">
                                  <w:marLeft w:val="0"/>
                                  <w:marRight w:val="0"/>
                                  <w:marTop w:val="0"/>
                                  <w:marBottom w:val="0"/>
                                  <w:divBdr>
                                    <w:top w:val="none" w:sz="0" w:space="0" w:color="auto"/>
                                    <w:left w:val="none" w:sz="0" w:space="0" w:color="auto"/>
                                    <w:bottom w:val="none" w:sz="0" w:space="0" w:color="auto"/>
                                    <w:right w:val="none" w:sz="0" w:space="0" w:color="auto"/>
                                  </w:divBdr>
                                  <w:divsChild>
                                    <w:div w:id="142915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924764">
      <w:bodyDiv w:val="1"/>
      <w:marLeft w:val="0"/>
      <w:marRight w:val="0"/>
      <w:marTop w:val="0"/>
      <w:marBottom w:val="0"/>
      <w:divBdr>
        <w:top w:val="none" w:sz="0" w:space="0" w:color="auto"/>
        <w:left w:val="none" w:sz="0" w:space="0" w:color="auto"/>
        <w:bottom w:val="none" w:sz="0" w:space="0" w:color="auto"/>
        <w:right w:val="none" w:sz="0" w:space="0" w:color="auto"/>
      </w:divBdr>
      <w:divsChild>
        <w:div w:id="1791166782">
          <w:marLeft w:val="0"/>
          <w:marRight w:val="0"/>
          <w:marTop w:val="0"/>
          <w:marBottom w:val="0"/>
          <w:divBdr>
            <w:top w:val="none" w:sz="0" w:space="0" w:color="auto"/>
            <w:left w:val="none" w:sz="0" w:space="0" w:color="auto"/>
            <w:bottom w:val="none" w:sz="0" w:space="0" w:color="auto"/>
            <w:right w:val="none" w:sz="0" w:space="0" w:color="auto"/>
          </w:divBdr>
        </w:div>
      </w:divsChild>
    </w:div>
    <w:div w:id="157507154">
      <w:bodyDiv w:val="1"/>
      <w:marLeft w:val="0"/>
      <w:marRight w:val="0"/>
      <w:marTop w:val="0"/>
      <w:marBottom w:val="0"/>
      <w:divBdr>
        <w:top w:val="none" w:sz="0" w:space="0" w:color="auto"/>
        <w:left w:val="none" w:sz="0" w:space="0" w:color="auto"/>
        <w:bottom w:val="none" w:sz="0" w:space="0" w:color="auto"/>
        <w:right w:val="none" w:sz="0" w:space="0" w:color="auto"/>
      </w:divBdr>
    </w:div>
    <w:div w:id="157622034">
      <w:bodyDiv w:val="1"/>
      <w:marLeft w:val="0"/>
      <w:marRight w:val="0"/>
      <w:marTop w:val="0"/>
      <w:marBottom w:val="0"/>
      <w:divBdr>
        <w:top w:val="none" w:sz="0" w:space="0" w:color="auto"/>
        <w:left w:val="none" w:sz="0" w:space="0" w:color="auto"/>
        <w:bottom w:val="none" w:sz="0" w:space="0" w:color="auto"/>
        <w:right w:val="none" w:sz="0" w:space="0" w:color="auto"/>
      </w:divBdr>
    </w:div>
    <w:div w:id="159003226">
      <w:bodyDiv w:val="1"/>
      <w:marLeft w:val="0"/>
      <w:marRight w:val="0"/>
      <w:marTop w:val="0"/>
      <w:marBottom w:val="0"/>
      <w:divBdr>
        <w:top w:val="none" w:sz="0" w:space="0" w:color="auto"/>
        <w:left w:val="none" w:sz="0" w:space="0" w:color="auto"/>
        <w:bottom w:val="none" w:sz="0" w:space="0" w:color="auto"/>
        <w:right w:val="none" w:sz="0" w:space="0" w:color="auto"/>
      </w:divBdr>
      <w:divsChild>
        <w:div w:id="6366454">
          <w:marLeft w:val="0"/>
          <w:marRight w:val="0"/>
          <w:marTop w:val="0"/>
          <w:marBottom w:val="150"/>
          <w:divBdr>
            <w:top w:val="none" w:sz="0" w:space="0" w:color="auto"/>
            <w:left w:val="none" w:sz="0" w:space="0" w:color="auto"/>
            <w:bottom w:val="none" w:sz="0" w:space="0" w:color="auto"/>
            <w:right w:val="none" w:sz="0" w:space="0" w:color="auto"/>
          </w:divBdr>
          <w:divsChild>
            <w:div w:id="1129469568">
              <w:marLeft w:val="0"/>
              <w:marRight w:val="0"/>
              <w:marTop w:val="0"/>
              <w:marBottom w:val="0"/>
              <w:divBdr>
                <w:top w:val="none" w:sz="0" w:space="0" w:color="auto"/>
                <w:left w:val="none" w:sz="0" w:space="0" w:color="auto"/>
                <w:bottom w:val="none" w:sz="0" w:space="0" w:color="auto"/>
                <w:right w:val="none" w:sz="0" w:space="0" w:color="auto"/>
              </w:divBdr>
            </w:div>
          </w:divsChild>
        </w:div>
        <w:div w:id="295255950">
          <w:marLeft w:val="0"/>
          <w:marRight w:val="0"/>
          <w:marTop w:val="0"/>
          <w:marBottom w:val="150"/>
          <w:divBdr>
            <w:top w:val="none" w:sz="0" w:space="0" w:color="auto"/>
            <w:left w:val="none" w:sz="0" w:space="0" w:color="auto"/>
            <w:bottom w:val="none" w:sz="0" w:space="0" w:color="auto"/>
            <w:right w:val="none" w:sz="0" w:space="0" w:color="auto"/>
          </w:divBdr>
        </w:div>
        <w:div w:id="375272972">
          <w:marLeft w:val="0"/>
          <w:marRight w:val="0"/>
          <w:marTop w:val="0"/>
          <w:marBottom w:val="0"/>
          <w:divBdr>
            <w:top w:val="none" w:sz="0" w:space="0" w:color="auto"/>
            <w:left w:val="none" w:sz="0" w:space="0" w:color="auto"/>
            <w:bottom w:val="none" w:sz="0" w:space="0" w:color="auto"/>
            <w:right w:val="none" w:sz="0" w:space="0" w:color="auto"/>
          </w:divBdr>
          <w:divsChild>
            <w:div w:id="157164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10676">
      <w:bodyDiv w:val="1"/>
      <w:marLeft w:val="0"/>
      <w:marRight w:val="0"/>
      <w:marTop w:val="0"/>
      <w:marBottom w:val="0"/>
      <w:divBdr>
        <w:top w:val="none" w:sz="0" w:space="0" w:color="auto"/>
        <w:left w:val="none" w:sz="0" w:space="0" w:color="auto"/>
        <w:bottom w:val="none" w:sz="0" w:space="0" w:color="auto"/>
        <w:right w:val="none" w:sz="0" w:space="0" w:color="auto"/>
      </w:divBdr>
      <w:divsChild>
        <w:div w:id="1890873993">
          <w:marLeft w:val="0"/>
          <w:marRight w:val="0"/>
          <w:marTop w:val="0"/>
          <w:marBottom w:val="0"/>
          <w:divBdr>
            <w:top w:val="none" w:sz="0" w:space="0" w:color="auto"/>
            <w:left w:val="none" w:sz="0" w:space="0" w:color="auto"/>
            <w:bottom w:val="dotted" w:sz="6" w:space="4" w:color="DDDDDD"/>
            <w:right w:val="none" w:sz="0" w:space="0" w:color="auto"/>
          </w:divBdr>
          <w:divsChild>
            <w:div w:id="116250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2109">
      <w:bodyDiv w:val="1"/>
      <w:marLeft w:val="0"/>
      <w:marRight w:val="0"/>
      <w:marTop w:val="0"/>
      <w:marBottom w:val="0"/>
      <w:divBdr>
        <w:top w:val="none" w:sz="0" w:space="0" w:color="auto"/>
        <w:left w:val="none" w:sz="0" w:space="0" w:color="auto"/>
        <w:bottom w:val="none" w:sz="0" w:space="0" w:color="auto"/>
        <w:right w:val="none" w:sz="0" w:space="0" w:color="auto"/>
      </w:divBdr>
      <w:divsChild>
        <w:div w:id="1620332356">
          <w:marLeft w:val="0"/>
          <w:marRight w:val="0"/>
          <w:marTop w:val="0"/>
          <w:marBottom w:val="150"/>
          <w:divBdr>
            <w:top w:val="none" w:sz="0" w:space="0" w:color="auto"/>
            <w:left w:val="none" w:sz="0" w:space="0" w:color="auto"/>
            <w:bottom w:val="none" w:sz="0" w:space="0" w:color="auto"/>
            <w:right w:val="none" w:sz="0" w:space="0" w:color="auto"/>
          </w:divBdr>
        </w:div>
      </w:divsChild>
    </w:div>
    <w:div w:id="159320462">
      <w:bodyDiv w:val="1"/>
      <w:marLeft w:val="0"/>
      <w:marRight w:val="0"/>
      <w:marTop w:val="0"/>
      <w:marBottom w:val="0"/>
      <w:divBdr>
        <w:top w:val="none" w:sz="0" w:space="0" w:color="auto"/>
        <w:left w:val="none" w:sz="0" w:space="0" w:color="auto"/>
        <w:bottom w:val="none" w:sz="0" w:space="0" w:color="auto"/>
        <w:right w:val="none" w:sz="0" w:space="0" w:color="auto"/>
      </w:divBdr>
      <w:divsChild>
        <w:div w:id="89473139">
          <w:marLeft w:val="0"/>
          <w:marRight w:val="0"/>
          <w:marTop w:val="0"/>
          <w:marBottom w:val="0"/>
          <w:divBdr>
            <w:top w:val="none" w:sz="0" w:space="0" w:color="auto"/>
            <w:left w:val="none" w:sz="0" w:space="0" w:color="auto"/>
            <w:bottom w:val="none" w:sz="0" w:space="0" w:color="auto"/>
            <w:right w:val="none" w:sz="0" w:space="0" w:color="auto"/>
          </w:divBdr>
          <w:divsChild>
            <w:div w:id="920527821">
              <w:marLeft w:val="0"/>
              <w:marRight w:val="0"/>
              <w:marTop w:val="0"/>
              <w:marBottom w:val="0"/>
              <w:divBdr>
                <w:top w:val="none" w:sz="0" w:space="0" w:color="auto"/>
                <w:left w:val="none" w:sz="0" w:space="0" w:color="auto"/>
                <w:bottom w:val="none" w:sz="0" w:space="0" w:color="auto"/>
                <w:right w:val="none" w:sz="0" w:space="0" w:color="auto"/>
              </w:divBdr>
              <w:divsChild>
                <w:div w:id="1913077352">
                  <w:marLeft w:val="0"/>
                  <w:marRight w:val="0"/>
                  <w:marTop w:val="0"/>
                  <w:marBottom w:val="0"/>
                  <w:divBdr>
                    <w:top w:val="none" w:sz="0" w:space="0" w:color="auto"/>
                    <w:left w:val="none" w:sz="0" w:space="0" w:color="auto"/>
                    <w:bottom w:val="none" w:sz="0" w:space="0" w:color="auto"/>
                    <w:right w:val="none" w:sz="0" w:space="0" w:color="auto"/>
                  </w:divBdr>
                  <w:divsChild>
                    <w:div w:id="1294949462">
                      <w:marLeft w:val="0"/>
                      <w:marRight w:val="0"/>
                      <w:marTop w:val="0"/>
                      <w:marBottom w:val="0"/>
                      <w:divBdr>
                        <w:top w:val="none" w:sz="0" w:space="0" w:color="auto"/>
                        <w:left w:val="none" w:sz="0" w:space="0" w:color="auto"/>
                        <w:bottom w:val="none" w:sz="0" w:space="0" w:color="auto"/>
                        <w:right w:val="none" w:sz="0" w:space="0" w:color="auto"/>
                      </w:divBdr>
                      <w:divsChild>
                        <w:div w:id="1557625223">
                          <w:marLeft w:val="0"/>
                          <w:marRight w:val="0"/>
                          <w:marTop w:val="0"/>
                          <w:marBottom w:val="0"/>
                          <w:divBdr>
                            <w:top w:val="none" w:sz="0" w:space="0" w:color="auto"/>
                            <w:left w:val="none" w:sz="0" w:space="0" w:color="auto"/>
                            <w:bottom w:val="none" w:sz="0" w:space="0" w:color="auto"/>
                            <w:right w:val="none" w:sz="0" w:space="0" w:color="auto"/>
                          </w:divBdr>
                          <w:divsChild>
                            <w:div w:id="1829051009">
                              <w:marLeft w:val="0"/>
                              <w:marRight w:val="0"/>
                              <w:marTop w:val="0"/>
                              <w:marBottom w:val="0"/>
                              <w:divBdr>
                                <w:top w:val="none" w:sz="0" w:space="0" w:color="auto"/>
                                <w:left w:val="none" w:sz="0" w:space="0" w:color="auto"/>
                                <w:bottom w:val="none" w:sz="0" w:space="0" w:color="auto"/>
                                <w:right w:val="none" w:sz="0" w:space="0" w:color="auto"/>
                              </w:divBdr>
                              <w:divsChild>
                                <w:div w:id="624970576">
                                  <w:marLeft w:val="0"/>
                                  <w:marRight w:val="0"/>
                                  <w:marTop w:val="0"/>
                                  <w:marBottom w:val="0"/>
                                  <w:divBdr>
                                    <w:top w:val="none" w:sz="0" w:space="0" w:color="auto"/>
                                    <w:left w:val="none" w:sz="0" w:space="0" w:color="auto"/>
                                    <w:bottom w:val="none" w:sz="0" w:space="0" w:color="auto"/>
                                    <w:right w:val="none" w:sz="0" w:space="0" w:color="auto"/>
                                  </w:divBdr>
                                  <w:divsChild>
                                    <w:div w:id="875044507">
                                      <w:marLeft w:val="0"/>
                                      <w:marRight w:val="0"/>
                                      <w:marTop w:val="0"/>
                                      <w:marBottom w:val="0"/>
                                      <w:divBdr>
                                        <w:top w:val="none" w:sz="0" w:space="0" w:color="auto"/>
                                        <w:left w:val="none" w:sz="0" w:space="0" w:color="auto"/>
                                        <w:bottom w:val="none" w:sz="0" w:space="0" w:color="auto"/>
                                        <w:right w:val="none" w:sz="0" w:space="0" w:color="auto"/>
                                      </w:divBdr>
                                      <w:divsChild>
                                        <w:div w:id="1435322551">
                                          <w:marLeft w:val="0"/>
                                          <w:marRight w:val="0"/>
                                          <w:marTop w:val="0"/>
                                          <w:marBottom w:val="0"/>
                                          <w:divBdr>
                                            <w:top w:val="none" w:sz="0" w:space="0" w:color="auto"/>
                                            <w:left w:val="none" w:sz="0" w:space="0" w:color="auto"/>
                                            <w:bottom w:val="none" w:sz="0" w:space="0" w:color="auto"/>
                                            <w:right w:val="none" w:sz="0" w:space="0" w:color="auto"/>
                                          </w:divBdr>
                                          <w:divsChild>
                                            <w:div w:id="51060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463658">
      <w:bodyDiv w:val="1"/>
      <w:marLeft w:val="0"/>
      <w:marRight w:val="0"/>
      <w:marTop w:val="0"/>
      <w:marBottom w:val="0"/>
      <w:divBdr>
        <w:top w:val="none" w:sz="0" w:space="0" w:color="auto"/>
        <w:left w:val="none" w:sz="0" w:space="0" w:color="auto"/>
        <w:bottom w:val="none" w:sz="0" w:space="0" w:color="auto"/>
        <w:right w:val="none" w:sz="0" w:space="0" w:color="auto"/>
      </w:divBdr>
    </w:div>
    <w:div w:id="159544818">
      <w:bodyDiv w:val="1"/>
      <w:marLeft w:val="0"/>
      <w:marRight w:val="0"/>
      <w:marTop w:val="0"/>
      <w:marBottom w:val="0"/>
      <w:divBdr>
        <w:top w:val="none" w:sz="0" w:space="0" w:color="auto"/>
        <w:left w:val="none" w:sz="0" w:space="0" w:color="auto"/>
        <w:bottom w:val="none" w:sz="0" w:space="0" w:color="auto"/>
        <w:right w:val="none" w:sz="0" w:space="0" w:color="auto"/>
      </w:divBdr>
      <w:divsChild>
        <w:div w:id="922639010">
          <w:marLeft w:val="0"/>
          <w:marRight w:val="0"/>
          <w:marTop w:val="0"/>
          <w:marBottom w:val="0"/>
          <w:divBdr>
            <w:top w:val="none" w:sz="0" w:space="0" w:color="auto"/>
            <w:left w:val="none" w:sz="0" w:space="0" w:color="auto"/>
            <w:bottom w:val="none" w:sz="0" w:space="0" w:color="auto"/>
            <w:right w:val="none" w:sz="0" w:space="0" w:color="auto"/>
          </w:divBdr>
          <w:divsChild>
            <w:div w:id="1385838604">
              <w:marLeft w:val="0"/>
              <w:marRight w:val="0"/>
              <w:marTop w:val="0"/>
              <w:marBottom w:val="0"/>
              <w:divBdr>
                <w:top w:val="none" w:sz="0" w:space="0" w:color="auto"/>
                <w:left w:val="none" w:sz="0" w:space="0" w:color="auto"/>
                <w:bottom w:val="none" w:sz="0" w:space="0" w:color="auto"/>
                <w:right w:val="none" w:sz="0" w:space="0" w:color="auto"/>
              </w:divBdr>
              <w:divsChild>
                <w:div w:id="1441678817">
                  <w:marLeft w:val="0"/>
                  <w:marRight w:val="0"/>
                  <w:marTop w:val="0"/>
                  <w:marBottom w:val="0"/>
                  <w:divBdr>
                    <w:top w:val="none" w:sz="0" w:space="0" w:color="auto"/>
                    <w:left w:val="none" w:sz="0" w:space="0" w:color="auto"/>
                    <w:bottom w:val="none" w:sz="0" w:space="0" w:color="auto"/>
                    <w:right w:val="none" w:sz="0" w:space="0" w:color="auto"/>
                  </w:divBdr>
                  <w:divsChild>
                    <w:div w:id="1954512810">
                      <w:marLeft w:val="0"/>
                      <w:marRight w:val="0"/>
                      <w:marTop w:val="0"/>
                      <w:marBottom w:val="0"/>
                      <w:divBdr>
                        <w:top w:val="none" w:sz="0" w:space="0" w:color="auto"/>
                        <w:left w:val="none" w:sz="0" w:space="0" w:color="auto"/>
                        <w:bottom w:val="none" w:sz="0" w:space="0" w:color="auto"/>
                        <w:right w:val="none" w:sz="0" w:space="0" w:color="auto"/>
                      </w:divBdr>
                      <w:divsChild>
                        <w:div w:id="183791847">
                          <w:marLeft w:val="0"/>
                          <w:marRight w:val="0"/>
                          <w:marTop w:val="0"/>
                          <w:marBottom w:val="0"/>
                          <w:divBdr>
                            <w:top w:val="none" w:sz="0" w:space="0" w:color="auto"/>
                            <w:left w:val="none" w:sz="0" w:space="0" w:color="auto"/>
                            <w:bottom w:val="none" w:sz="0" w:space="0" w:color="auto"/>
                            <w:right w:val="none" w:sz="0" w:space="0" w:color="auto"/>
                          </w:divBdr>
                          <w:divsChild>
                            <w:div w:id="1047027982">
                              <w:marLeft w:val="0"/>
                              <w:marRight w:val="0"/>
                              <w:marTop w:val="0"/>
                              <w:marBottom w:val="0"/>
                              <w:divBdr>
                                <w:top w:val="none" w:sz="0" w:space="0" w:color="auto"/>
                                <w:left w:val="none" w:sz="0" w:space="0" w:color="auto"/>
                                <w:bottom w:val="none" w:sz="0" w:space="0" w:color="auto"/>
                                <w:right w:val="none" w:sz="0" w:space="0" w:color="auto"/>
                              </w:divBdr>
                              <w:divsChild>
                                <w:div w:id="146556347">
                                  <w:marLeft w:val="0"/>
                                  <w:marRight w:val="0"/>
                                  <w:marTop w:val="0"/>
                                  <w:marBottom w:val="0"/>
                                  <w:divBdr>
                                    <w:top w:val="none" w:sz="0" w:space="0" w:color="auto"/>
                                    <w:left w:val="none" w:sz="0" w:space="0" w:color="auto"/>
                                    <w:bottom w:val="none" w:sz="0" w:space="0" w:color="auto"/>
                                    <w:right w:val="none" w:sz="0" w:space="0" w:color="auto"/>
                                  </w:divBdr>
                                  <w:divsChild>
                                    <w:div w:id="162372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57492">
      <w:bodyDiv w:val="1"/>
      <w:marLeft w:val="0"/>
      <w:marRight w:val="0"/>
      <w:marTop w:val="0"/>
      <w:marBottom w:val="0"/>
      <w:divBdr>
        <w:top w:val="none" w:sz="0" w:space="0" w:color="auto"/>
        <w:left w:val="none" w:sz="0" w:space="0" w:color="auto"/>
        <w:bottom w:val="none" w:sz="0" w:space="0" w:color="auto"/>
        <w:right w:val="none" w:sz="0" w:space="0" w:color="auto"/>
      </w:divBdr>
    </w:div>
    <w:div w:id="160052469">
      <w:bodyDiv w:val="1"/>
      <w:marLeft w:val="0"/>
      <w:marRight w:val="0"/>
      <w:marTop w:val="0"/>
      <w:marBottom w:val="0"/>
      <w:divBdr>
        <w:top w:val="none" w:sz="0" w:space="0" w:color="auto"/>
        <w:left w:val="none" w:sz="0" w:space="0" w:color="auto"/>
        <w:bottom w:val="none" w:sz="0" w:space="0" w:color="auto"/>
        <w:right w:val="none" w:sz="0" w:space="0" w:color="auto"/>
      </w:divBdr>
    </w:div>
    <w:div w:id="160901649">
      <w:bodyDiv w:val="1"/>
      <w:marLeft w:val="0"/>
      <w:marRight w:val="0"/>
      <w:marTop w:val="0"/>
      <w:marBottom w:val="0"/>
      <w:divBdr>
        <w:top w:val="none" w:sz="0" w:space="0" w:color="auto"/>
        <w:left w:val="none" w:sz="0" w:space="0" w:color="auto"/>
        <w:bottom w:val="none" w:sz="0" w:space="0" w:color="auto"/>
        <w:right w:val="none" w:sz="0" w:space="0" w:color="auto"/>
      </w:divBdr>
      <w:divsChild>
        <w:div w:id="850526959">
          <w:marLeft w:val="0"/>
          <w:marRight w:val="0"/>
          <w:marTop w:val="0"/>
          <w:marBottom w:val="0"/>
          <w:divBdr>
            <w:top w:val="none" w:sz="0" w:space="0" w:color="auto"/>
            <w:left w:val="none" w:sz="0" w:space="0" w:color="auto"/>
            <w:bottom w:val="none" w:sz="0" w:space="0" w:color="auto"/>
            <w:right w:val="none" w:sz="0" w:space="0" w:color="auto"/>
          </w:divBdr>
          <w:divsChild>
            <w:div w:id="14177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18112">
      <w:bodyDiv w:val="1"/>
      <w:marLeft w:val="0"/>
      <w:marRight w:val="0"/>
      <w:marTop w:val="0"/>
      <w:marBottom w:val="0"/>
      <w:divBdr>
        <w:top w:val="none" w:sz="0" w:space="0" w:color="auto"/>
        <w:left w:val="none" w:sz="0" w:space="0" w:color="auto"/>
        <w:bottom w:val="none" w:sz="0" w:space="0" w:color="auto"/>
        <w:right w:val="none" w:sz="0" w:space="0" w:color="auto"/>
      </w:divBdr>
      <w:divsChild>
        <w:div w:id="250819891">
          <w:marLeft w:val="0"/>
          <w:marRight w:val="0"/>
          <w:marTop w:val="0"/>
          <w:marBottom w:val="0"/>
          <w:divBdr>
            <w:top w:val="none" w:sz="0" w:space="0" w:color="auto"/>
            <w:left w:val="none" w:sz="0" w:space="0" w:color="auto"/>
            <w:bottom w:val="none" w:sz="0" w:space="0" w:color="auto"/>
            <w:right w:val="none" w:sz="0" w:space="0" w:color="auto"/>
          </w:divBdr>
        </w:div>
        <w:div w:id="846215836">
          <w:marLeft w:val="0"/>
          <w:marRight w:val="0"/>
          <w:marTop w:val="0"/>
          <w:marBottom w:val="150"/>
          <w:divBdr>
            <w:top w:val="none" w:sz="0" w:space="0" w:color="auto"/>
            <w:left w:val="none" w:sz="0" w:space="0" w:color="auto"/>
            <w:bottom w:val="none" w:sz="0" w:space="0" w:color="auto"/>
            <w:right w:val="none" w:sz="0" w:space="0" w:color="auto"/>
          </w:divBdr>
        </w:div>
      </w:divsChild>
    </w:div>
    <w:div w:id="162017013">
      <w:bodyDiv w:val="1"/>
      <w:marLeft w:val="0"/>
      <w:marRight w:val="0"/>
      <w:marTop w:val="0"/>
      <w:marBottom w:val="0"/>
      <w:divBdr>
        <w:top w:val="none" w:sz="0" w:space="0" w:color="auto"/>
        <w:left w:val="none" w:sz="0" w:space="0" w:color="auto"/>
        <w:bottom w:val="none" w:sz="0" w:space="0" w:color="auto"/>
        <w:right w:val="none" w:sz="0" w:space="0" w:color="auto"/>
      </w:divBdr>
      <w:divsChild>
        <w:div w:id="1682703885">
          <w:marLeft w:val="0"/>
          <w:marRight w:val="0"/>
          <w:marTop w:val="0"/>
          <w:marBottom w:val="150"/>
          <w:divBdr>
            <w:top w:val="none" w:sz="0" w:space="0" w:color="auto"/>
            <w:left w:val="none" w:sz="0" w:space="0" w:color="auto"/>
            <w:bottom w:val="none" w:sz="0" w:space="0" w:color="auto"/>
            <w:right w:val="none" w:sz="0" w:space="0" w:color="auto"/>
          </w:divBdr>
          <w:divsChild>
            <w:div w:id="1743137521">
              <w:marLeft w:val="0"/>
              <w:marRight w:val="0"/>
              <w:marTop w:val="0"/>
              <w:marBottom w:val="0"/>
              <w:divBdr>
                <w:top w:val="none" w:sz="0" w:space="0" w:color="auto"/>
                <w:left w:val="none" w:sz="0" w:space="0" w:color="auto"/>
                <w:bottom w:val="none" w:sz="0" w:space="0" w:color="auto"/>
                <w:right w:val="none" w:sz="0" w:space="0" w:color="auto"/>
              </w:divBdr>
              <w:divsChild>
                <w:div w:id="259528548">
                  <w:marLeft w:val="0"/>
                  <w:marRight w:val="0"/>
                  <w:marTop w:val="0"/>
                  <w:marBottom w:val="0"/>
                  <w:divBdr>
                    <w:top w:val="none" w:sz="0" w:space="0" w:color="auto"/>
                    <w:left w:val="none" w:sz="0" w:space="0" w:color="auto"/>
                    <w:bottom w:val="none" w:sz="0" w:space="0" w:color="auto"/>
                    <w:right w:val="none" w:sz="0" w:space="0" w:color="auto"/>
                  </w:divBdr>
                  <w:divsChild>
                    <w:div w:id="1262565400">
                      <w:marLeft w:val="0"/>
                      <w:marRight w:val="150"/>
                      <w:marTop w:val="0"/>
                      <w:marBottom w:val="0"/>
                      <w:divBdr>
                        <w:top w:val="none" w:sz="0" w:space="0" w:color="auto"/>
                        <w:left w:val="none" w:sz="0" w:space="0" w:color="auto"/>
                        <w:bottom w:val="none" w:sz="0" w:space="0" w:color="auto"/>
                        <w:right w:val="none" w:sz="0" w:space="0" w:color="auto"/>
                      </w:divBdr>
                      <w:divsChild>
                        <w:div w:id="136046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793080">
          <w:marLeft w:val="0"/>
          <w:marRight w:val="0"/>
          <w:marTop w:val="0"/>
          <w:marBottom w:val="150"/>
          <w:divBdr>
            <w:top w:val="none" w:sz="0" w:space="0" w:color="auto"/>
            <w:left w:val="none" w:sz="0" w:space="0" w:color="auto"/>
            <w:bottom w:val="none" w:sz="0" w:space="0" w:color="auto"/>
            <w:right w:val="none" w:sz="0" w:space="0" w:color="auto"/>
          </w:divBdr>
        </w:div>
        <w:div w:id="1746564414">
          <w:marLeft w:val="0"/>
          <w:marRight w:val="0"/>
          <w:marTop w:val="0"/>
          <w:marBottom w:val="0"/>
          <w:divBdr>
            <w:top w:val="none" w:sz="0" w:space="0" w:color="auto"/>
            <w:left w:val="none" w:sz="0" w:space="0" w:color="auto"/>
            <w:bottom w:val="none" w:sz="0" w:space="0" w:color="auto"/>
            <w:right w:val="none" w:sz="0" w:space="0" w:color="auto"/>
          </w:divBdr>
          <w:divsChild>
            <w:div w:id="1859512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2598334">
      <w:bodyDiv w:val="1"/>
      <w:marLeft w:val="0"/>
      <w:marRight w:val="0"/>
      <w:marTop w:val="0"/>
      <w:marBottom w:val="0"/>
      <w:divBdr>
        <w:top w:val="none" w:sz="0" w:space="0" w:color="auto"/>
        <w:left w:val="none" w:sz="0" w:space="0" w:color="auto"/>
        <w:bottom w:val="none" w:sz="0" w:space="0" w:color="auto"/>
        <w:right w:val="none" w:sz="0" w:space="0" w:color="auto"/>
      </w:divBdr>
    </w:div>
    <w:div w:id="162745166">
      <w:bodyDiv w:val="1"/>
      <w:marLeft w:val="0"/>
      <w:marRight w:val="0"/>
      <w:marTop w:val="0"/>
      <w:marBottom w:val="0"/>
      <w:divBdr>
        <w:top w:val="none" w:sz="0" w:space="0" w:color="auto"/>
        <w:left w:val="none" w:sz="0" w:space="0" w:color="auto"/>
        <w:bottom w:val="none" w:sz="0" w:space="0" w:color="auto"/>
        <w:right w:val="none" w:sz="0" w:space="0" w:color="auto"/>
      </w:divBdr>
      <w:divsChild>
        <w:div w:id="672101530">
          <w:marLeft w:val="0"/>
          <w:marRight w:val="0"/>
          <w:marTop w:val="0"/>
          <w:marBottom w:val="0"/>
          <w:divBdr>
            <w:top w:val="none" w:sz="0" w:space="8" w:color="auto"/>
            <w:left w:val="none" w:sz="0" w:space="2" w:color="auto"/>
            <w:bottom w:val="single" w:sz="6" w:space="8" w:color="DDDDDD"/>
            <w:right w:val="none" w:sz="0" w:space="0" w:color="auto"/>
          </w:divBdr>
        </w:div>
        <w:div w:id="872424484">
          <w:marLeft w:val="0"/>
          <w:marRight w:val="0"/>
          <w:marTop w:val="150"/>
          <w:marBottom w:val="0"/>
          <w:divBdr>
            <w:top w:val="none" w:sz="0" w:space="0" w:color="auto"/>
            <w:left w:val="none" w:sz="0" w:space="0" w:color="auto"/>
            <w:bottom w:val="none" w:sz="0" w:space="0" w:color="auto"/>
            <w:right w:val="none" w:sz="0" w:space="0" w:color="auto"/>
          </w:divBdr>
          <w:divsChild>
            <w:div w:id="195232464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2815082">
      <w:bodyDiv w:val="1"/>
      <w:marLeft w:val="0"/>
      <w:marRight w:val="0"/>
      <w:marTop w:val="0"/>
      <w:marBottom w:val="0"/>
      <w:divBdr>
        <w:top w:val="none" w:sz="0" w:space="0" w:color="auto"/>
        <w:left w:val="none" w:sz="0" w:space="0" w:color="auto"/>
        <w:bottom w:val="none" w:sz="0" w:space="0" w:color="auto"/>
        <w:right w:val="none" w:sz="0" w:space="0" w:color="auto"/>
      </w:divBdr>
      <w:divsChild>
        <w:div w:id="372770877">
          <w:marLeft w:val="0"/>
          <w:marRight w:val="0"/>
          <w:marTop w:val="0"/>
          <w:marBottom w:val="0"/>
          <w:divBdr>
            <w:top w:val="none" w:sz="0" w:space="0" w:color="auto"/>
            <w:left w:val="none" w:sz="0" w:space="0" w:color="auto"/>
            <w:bottom w:val="none" w:sz="0" w:space="0" w:color="auto"/>
            <w:right w:val="none" w:sz="0" w:space="0" w:color="auto"/>
          </w:divBdr>
        </w:div>
      </w:divsChild>
    </w:div>
    <w:div w:id="162823715">
      <w:bodyDiv w:val="1"/>
      <w:marLeft w:val="0"/>
      <w:marRight w:val="0"/>
      <w:marTop w:val="0"/>
      <w:marBottom w:val="0"/>
      <w:divBdr>
        <w:top w:val="none" w:sz="0" w:space="0" w:color="auto"/>
        <w:left w:val="none" w:sz="0" w:space="0" w:color="auto"/>
        <w:bottom w:val="none" w:sz="0" w:space="0" w:color="auto"/>
        <w:right w:val="none" w:sz="0" w:space="0" w:color="auto"/>
      </w:divBdr>
      <w:divsChild>
        <w:div w:id="1898010043">
          <w:marLeft w:val="0"/>
          <w:marRight w:val="0"/>
          <w:marTop w:val="0"/>
          <w:marBottom w:val="0"/>
          <w:divBdr>
            <w:top w:val="none" w:sz="0" w:space="0" w:color="auto"/>
            <w:left w:val="none" w:sz="0" w:space="0" w:color="auto"/>
            <w:bottom w:val="none" w:sz="0" w:space="0" w:color="auto"/>
            <w:right w:val="none" w:sz="0" w:space="0" w:color="auto"/>
          </w:divBdr>
          <w:divsChild>
            <w:div w:id="1505826073">
              <w:marLeft w:val="0"/>
              <w:marRight w:val="0"/>
              <w:marTop w:val="0"/>
              <w:marBottom w:val="0"/>
              <w:divBdr>
                <w:top w:val="none" w:sz="0" w:space="0" w:color="auto"/>
                <w:left w:val="none" w:sz="0" w:space="0" w:color="auto"/>
                <w:bottom w:val="none" w:sz="0" w:space="0" w:color="auto"/>
                <w:right w:val="none" w:sz="0" w:space="0" w:color="auto"/>
              </w:divBdr>
              <w:divsChild>
                <w:div w:id="353263051">
                  <w:marLeft w:val="0"/>
                  <w:marRight w:val="0"/>
                  <w:marTop w:val="0"/>
                  <w:marBottom w:val="0"/>
                  <w:divBdr>
                    <w:top w:val="none" w:sz="0" w:space="0" w:color="auto"/>
                    <w:left w:val="none" w:sz="0" w:space="0" w:color="auto"/>
                    <w:bottom w:val="none" w:sz="0" w:space="0" w:color="auto"/>
                    <w:right w:val="none" w:sz="0" w:space="0" w:color="auto"/>
                  </w:divBdr>
                  <w:divsChild>
                    <w:div w:id="2069258220">
                      <w:marLeft w:val="0"/>
                      <w:marRight w:val="0"/>
                      <w:marTop w:val="0"/>
                      <w:marBottom w:val="0"/>
                      <w:divBdr>
                        <w:top w:val="none" w:sz="0" w:space="0" w:color="auto"/>
                        <w:left w:val="none" w:sz="0" w:space="0" w:color="auto"/>
                        <w:bottom w:val="none" w:sz="0" w:space="0" w:color="auto"/>
                        <w:right w:val="none" w:sz="0" w:space="0" w:color="auto"/>
                      </w:divBdr>
                      <w:divsChild>
                        <w:div w:id="264313761">
                          <w:marLeft w:val="0"/>
                          <w:marRight w:val="0"/>
                          <w:marTop w:val="0"/>
                          <w:marBottom w:val="0"/>
                          <w:divBdr>
                            <w:top w:val="none" w:sz="0" w:space="0" w:color="auto"/>
                            <w:left w:val="none" w:sz="0" w:space="0" w:color="auto"/>
                            <w:bottom w:val="none" w:sz="0" w:space="0" w:color="auto"/>
                            <w:right w:val="none" w:sz="0" w:space="0" w:color="auto"/>
                          </w:divBdr>
                          <w:divsChild>
                            <w:div w:id="1547135164">
                              <w:marLeft w:val="0"/>
                              <w:marRight w:val="0"/>
                              <w:marTop w:val="0"/>
                              <w:marBottom w:val="0"/>
                              <w:divBdr>
                                <w:top w:val="none" w:sz="0" w:space="0" w:color="auto"/>
                                <w:left w:val="none" w:sz="0" w:space="0" w:color="auto"/>
                                <w:bottom w:val="none" w:sz="0" w:space="0" w:color="auto"/>
                                <w:right w:val="none" w:sz="0" w:space="0" w:color="auto"/>
                              </w:divBdr>
                              <w:divsChild>
                                <w:div w:id="306328178">
                                  <w:marLeft w:val="0"/>
                                  <w:marRight w:val="0"/>
                                  <w:marTop w:val="0"/>
                                  <w:marBottom w:val="0"/>
                                  <w:divBdr>
                                    <w:top w:val="none" w:sz="0" w:space="0" w:color="auto"/>
                                    <w:left w:val="none" w:sz="0" w:space="0" w:color="auto"/>
                                    <w:bottom w:val="none" w:sz="0" w:space="0" w:color="auto"/>
                                    <w:right w:val="none" w:sz="0" w:space="0" w:color="auto"/>
                                  </w:divBdr>
                                  <w:divsChild>
                                    <w:div w:id="187007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05030">
      <w:bodyDiv w:val="1"/>
      <w:marLeft w:val="0"/>
      <w:marRight w:val="0"/>
      <w:marTop w:val="0"/>
      <w:marBottom w:val="0"/>
      <w:divBdr>
        <w:top w:val="none" w:sz="0" w:space="0" w:color="auto"/>
        <w:left w:val="none" w:sz="0" w:space="0" w:color="auto"/>
        <w:bottom w:val="none" w:sz="0" w:space="0" w:color="auto"/>
        <w:right w:val="none" w:sz="0" w:space="0" w:color="auto"/>
      </w:divBdr>
      <w:divsChild>
        <w:div w:id="2115635458">
          <w:marLeft w:val="0"/>
          <w:marRight w:val="0"/>
          <w:marTop w:val="0"/>
          <w:marBottom w:val="150"/>
          <w:divBdr>
            <w:top w:val="none" w:sz="0" w:space="0" w:color="auto"/>
            <w:left w:val="none" w:sz="0" w:space="0" w:color="auto"/>
            <w:bottom w:val="none" w:sz="0" w:space="0" w:color="auto"/>
            <w:right w:val="none" w:sz="0" w:space="0" w:color="auto"/>
          </w:divBdr>
        </w:div>
      </w:divsChild>
    </w:div>
    <w:div w:id="163936361">
      <w:bodyDiv w:val="1"/>
      <w:marLeft w:val="0"/>
      <w:marRight w:val="0"/>
      <w:marTop w:val="0"/>
      <w:marBottom w:val="0"/>
      <w:divBdr>
        <w:top w:val="none" w:sz="0" w:space="0" w:color="auto"/>
        <w:left w:val="none" w:sz="0" w:space="0" w:color="auto"/>
        <w:bottom w:val="none" w:sz="0" w:space="0" w:color="auto"/>
        <w:right w:val="none" w:sz="0" w:space="0" w:color="auto"/>
      </w:divBdr>
      <w:divsChild>
        <w:div w:id="415440779">
          <w:marLeft w:val="0"/>
          <w:marRight w:val="0"/>
          <w:marTop w:val="0"/>
          <w:marBottom w:val="0"/>
          <w:divBdr>
            <w:top w:val="none" w:sz="0" w:space="0" w:color="auto"/>
            <w:left w:val="none" w:sz="0" w:space="0" w:color="auto"/>
            <w:bottom w:val="none" w:sz="0" w:space="0" w:color="auto"/>
            <w:right w:val="none" w:sz="0" w:space="0" w:color="auto"/>
          </w:divBdr>
        </w:div>
        <w:div w:id="468285228">
          <w:marLeft w:val="0"/>
          <w:marRight w:val="0"/>
          <w:marTop w:val="0"/>
          <w:marBottom w:val="150"/>
          <w:divBdr>
            <w:top w:val="none" w:sz="0" w:space="0" w:color="auto"/>
            <w:left w:val="none" w:sz="0" w:space="0" w:color="auto"/>
            <w:bottom w:val="none" w:sz="0" w:space="0" w:color="auto"/>
            <w:right w:val="none" w:sz="0" w:space="0" w:color="auto"/>
          </w:divBdr>
        </w:div>
        <w:div w:id="1023553366">
          <w:marLeft w:val="0"/>
          <w:marRight w:val="0"/>
          <w:marTop w:val="0"/>
          <w:marBottom w:val="0"/>
          <w:divBdr>
            <w:top w:val="none" w:sz="0" w:space="0" w:color="auto"/>
            <w:left w:val="none" w:sz="0" w:space="0" w:color="auto"/>
            <w:bottom w:val="none" w:sz="0" w:space="0" w:color="auto"/>
            <w:right w:val="none" w:sz="0" w:space="0" w:color="auto"/>
          </w:divBdr>
          <w:divsChild>
            <w:div w:id="71586327">
              <w:marLeft w:val="0"/>
              <w:marRight w:val="0"/>
              <w:marTop w:val="0"/>
              <w:marBottom w:val="375"/>
              <w:divBdr>
                <w:top w:val="none" w:sz="0" w:space="0" w:color="auto"/>
                <w:left w:val="none" w:sz="0" w:space="0" w:color="auto"/>
                <w:bottom w:val="none" w:sz="0" w:space="0" w:color="auto"/>
                <w:right w:val="none" w:sz="0" w:space="0" w:color="auto"/>
              </w:divBdr>
            </w:div>
            <w:div w:id="317465998">
              <w:marLeft w:val="0"/>
              <w:marRight w:val="0"/>
              <w:marTop w:val="0"/>
              <w:marBottom w:val="225"/>
              <w:divBdr>
                <w:top w:val="none" w:sz="0" w:space="0" w:color="auto"/>
                <w:left w:val="none" w:sz="0" w:space="0" w:color="auto"/>
                <w:bottom w:val="none" w:sz="0" w:space="0" w:color="auto"/>
                <w:right w:val="none" w:sz="0" w:space="0" w:color="auto"/>
              </w:divBdr>
              <w:divsChild>
                <w:div w:id="30423333">
                  <w:marLeft w:val="0"/>
                  <w:marRight w:val="0"/>
                  <w:marTop w:val="0"/>
                  <w:marBottom w:val="150"/>
                  <w:divBdr>
                    <w:top w:val="none" w:sz="0" w:space="0" w:color="auto"/>
                    <w:left w:val="none" w:sz="0" w:space="0" w:color="auto"/>
                    <w:bottom w:val="none" w:sz="0" w:space="0" w:color="auto"/>
                    <w:right w:val="none" w:sz="0" w:space="0" w:color="auto"/>
                  </w:divBdr>
                </w:div>
                <w:div w:id="233246355">
                  <w:marLeft w:val="0"/>
                  <w:marRight w:val="0"/>
                  <w:marTop w:val="0"/>
                  <w:marBottom w:val="150"/>
                  <w:divBdr>
                    <w:top w:val="none" w:sz="0" w:space="0" w:color="auto"/>
                    <w:left w:val="none" w:sz="0" w:space="0" w:color="auto"/>
                    <w:bottom w:val="none" w:sz="0" w:space="0" w:color="auto"/>
                    <w:right w:val="none" w:sz="0" w:space="0" w:color="auto"/>
                  </w:divBdr>
                </w:div>
                <w:div w:id="242761336">
                  <w:marLeft w:val="0"/>
                  <w:marRight w:val="0"/>
                  <w:marTop w:val="0"/>
                  <w:marBottom w:val="150"/>
                  <w:divBdr>
                    <w:top w:val="none" w:sz="0" w:space="0" w:color="auto"/>
                    <w:left w:val="none" w:sz="0" w:space="0" w:color="auto"/>
                    <w:bottom w:val="none" w:sz="0" w:space="0" w:color="auto"/>
                    <w:right w:val="none" w:sz="0" w:space="0" w:color="auto"/>
                  </w:divBdr>
                </w:div>
                <w:div w:id="469984742">
                  <w:marLeft w:val="0"/>
                  <w:marRight w:val="0"/>
                  <w:marTop w:val="0"/>
                  <w:marBottom w:val="150"/>
                  <w:divBdr>
                    <w:top w:val="none" w:sz="0" w:space="0" w:color="auto"/>
                    <w:left w:val="none" w:sz="0" w:space="0" w:color="auto"/>
                    <w:bottom w:val="none" w:sz="0" w:space="0" w:color="auto"/>
                    <w:right w:val="none" w:sz="0" w:space="0" w:color="auto"/>
                  </w:divBdr>
                </w:div>
                <w:div w:id="496960388">
                  <w:marLeft w:val="0"/>
                  <w:marRight w:val="0"/>
                  <w:marTop w:val="0"/>
                  <w:marBottom w:val="150"/>
                  <w:divBdr>
                    <w:top w:val="none" w:sz="0" w:space="0" w:color="auto"/>
                    <w:left w:val="none" w:sz="0" w:space="0" w:color="auto"/>
                    <w:bottom w:val="none" w:sz="0" w:space="0" w:color="auto"/>
                    <w:right w:val="none" w:sz="0" w:space="0" w:color="auto"/>
                  </w:divBdr>
                </w:div>
                <w:div w:id="545410353">
                  <w:marLeft w:val="0"/>
                  <w:marRight w:val="0"/>
                  <w:marTop w:val="0"/>
                  <w:marBottom w:val="150"/>
                  <w:divBdr>
                    <w:top w:val="none" w:sz="0" w:space="0" w:color="auto"/>
                    <w:left w:val="none" w:sz="0" w:space="0" w:color="auto"/>
                    <w:bottom w:val="none" w:sz="0" w:space="0" w:color="auto"/>
                    <w:right w:val="none" w:sz="0" w:space="0" w:color="auto"/>
                  </w:divBdr>
                </w:div>
                <w:div w:id="625742534">
                  <w:marLeft w:val="0"/>
                  <w:marRight w:val="0"/>
                  <w:marTop w:val="0"/>
                  <w:marBottom w:val="150"/>
                  <w:divBdr>
                    <w:top w:val="none" w:sz="0" w:space="0" w:color="auto"/>
                    <w:left w:val="none" w:sz="0" w:space="0" w:color="auto"/>
                    <w:bottom w:val="none" w:sz="0" w:space="0" w:color="auto"/>
                    <w:right w:val="none" w:sz="0" w:space="0" w:color="auto"/>
                  </w:divBdr>
                </w:div>
                <w:div w:id="654912443">
                  <w:marLeft w:val="0"/>
                  <w:marRight w:val="0"/>
                  <w:marTop w:val="0"/>
                  <w:marBottom w:val="150"/>
                  <w:divBdr>
                    <w:top w:val="none" w:sz="0" w:space="0" w:color="auto"/>
                    <w:left w:val="none" w:sz="0" w:space="0" w:color="auto"/>
                    <w:bottom w:val="none" w:sz="0" w:space="0" w:color="auto"/>
                    <w:right w:val="none" w:sz="0" w:space="0" w:color="auto"/>
                  </w:divBdr>
                  <w:divsChild>
                    <w:div w:id="1626816761">
                      <w:marLeft w:val="0"/>
                      <w:marRight w:val="0"/>
                      <w:marTop w:val="0"/>
                      <w:marBottom w:val="150"/>
                      <w:divBdr>
                        <w:top w:val="none" w:sz="0" w:space="0" w:color="auto"/>
                        <w:left w:val="none" w:sz="0" w:space="0" w:color="auto"/>
                        <w:bottom w:val="none" w:sz="0" w:space="0" w:color="auto"/>
                        <w:right w:val="none" w:sz="0" w:space="0" w:color="auto"/>
                      </w:divBdr>
                      <w:divsChild>
                        <w:div w:id="143741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809704">
                  <w:marLeft w:val="0"/>
                  <w:marRight w:val="0"/>
                  <w:marTop w:val="0"/>
                  <w:marBottom w:val="150"/>
                  <w:divBdr>
                    <w:top w:val="none" w:sz="0" w:space="0" w:color="auto"/>
                    <w:left w:val="none" w:sz="0" w:space="0" w:color="auto"/>
                    <w:bottom w:val="none" w:sz="0" w:space="0" w:color="auto"/>
                    <w:right w:val="none" w:sz="0" w:space="0" w:color="auto"/>
                  </w:divBdr>
                </w:div>
                <w:div w:id="760611681">
                  <w:marLeft w:val="0"/>
                  <w:marRight w:val="0"/>
                  <w:marTop w:val="0"/>
                  <w:marBottom w:val="150"/>
                  <w:divBdr>
                    <w:top w:val="none" w:sz="0" w:space="0" w:color="auto"/>
                    <w:left w:val="none" w:sz="0" w:space="0" w:color="auto"/>
                    <w:bottom w:val="none" w:sz="0" w:space="0" w:color="auto"/>
                    <w:right w:val="none" w:sz="0" w:space="0" w:color="auto"/>
                  </w:divBdr>
                </w:div>
                <w:div w:id="954143571">
                  <w:marLeft w:val="0"/>
                  <w:marRight w:val="0"/>
                  <w:marTop w:val="0"/>
                  <w:marBottom w:val="150"/>
                  <w:divBdr>
                    <w:top w:val="none" w:sz="0" w:space="0" w:color="auto"/>
                    <w:left w:val="none" w:sz="0" w:space="0" w:color="auto"/>
                    <w:bottom w:val="none" w:sz="0" w:space="0" w:color="auto"/>
                    <w:right w:val="none" w:sz="0" w:space="0" w:color="auto"/>
                  </w:divBdr>
                </w:div>
                <w:div w:id="997808431">
                  <w:marLeft w:val="0"/>
                  <w:marRight w:val="0"/>
                  <w:marTop w:val="0"/>
                  <w:marBottom w:val="150"/>
                  <w:divBdr>
                    <w:top w:val="none" w:sz="0" w:space="0" w:color="auto"/>
                    <w:left w:val="none" w:sz="0" w:space="0" w:color="auto"/>
                    <w:bottom w:val="none" w:sz="0" w:space="0" w:color="auto"/>
                    <w:right w:val="none" w:sz="0" w:space="0" w:color="auto"/>
                  </w:divBdr>
                </w:div>
                <w:div w:id="1001549024">
                  <w:marLeft w:val="0"/>
                  <w:marRight w:val="0"/>
                  <w:marTop w:val="0"/>
                  <w:marBottom w:val="150"/>
                  <w:divBdr>
                    <w:top w:val="none" w:sz="0" w:space="0" w:color="auto"/>
                    <w:left w:val="none" w:sz="0" w:space="0" w:color="auto"/>
                    <w:bottom w:val="none" w:sz="0" w:space="0" w:color="auto"/>
                    <w:right w:val="none" w:sz="0" w:space="0" w:color="auto"/>
                  </w:divBdr>
                </w:div>
                <w:div w:id="1105886352">
                  <w:marLeft w:val="0"/>
                  <w:marRight w:val="0"/>
                  <w:marTop w:val="0"/>
                  <w:marBottom w:val="150"/>
                  <w:divBdr>
                    <w:top w:val="none" w:sz="0" w:space="0" w:color="auto"/>
                    <w:left w:val="none" w:sz="0" w:space="0" w:color="auto"/>
                    <w:bottom w:val="none" w:sz="0" w:space="0" w:color="auto"/>
                    <w:right w:val="none" w:sz="0" w:space="0" w:color="auto"/>
                  </w:divBdr>
                </w:div>
                <w:div w:id="1178151867">
                  <w:marLeft w:val="0"/>
                  <w:marRight w:val="0"/>
                  <w:marTop w:val="0"/>
                  <w:marBottom w:val="150"/>
                  <w:divBdr>
                    <w:top w:val="none" w:sz="0" w:space="0" w:color="auto"/>
                    <w:left w:val="none" w:sz="0" w:space="0" w:color="auto"/>
                    <w:bottom w:val="none" w:sz="0" w:space="0" w:color="auto"/>
                    <w:right w:val="none" w:sz="0" w:space="0" w:color="auto"/>
                  </w:divBdr>
                </w:div>
                <w:div w:id="1269000669">
                  <w:marLeft w:val="0"/>
                  <w:marRight w:val="0"/>
                  <w:marTop w:val="0"/>
                  <w:marBottom w:val="150"/>
                  <w:divBdr>
                    <w:top w:val="none" w:sz="0" w:space="0" w:color="auto"/>
                    <w:left w:val="none" w:sz="0" w:space="0" w:color="auto"/>
                    <w:bottom w:val="none" w:sz="0" w:space="0" w:color="auto"/>
                    <w:right w:val="none" w:sz="0" w:space="0" w:color="auto"/>
                  </w:divBdr>
                </w:div>
                <w:div w:id="1306620039">
                  <w:marLeft w:val="0"/>
                  <w:marRight w:val="0"/>
                  <w:marTop w:val="0"/>
                  <w:marBottom w:val="150"/>
                  <w:divBdr>
                    <w:top w:val="none" w:sz="0" w:space="0" w:color="auto"/>
                    <w:left w:val="none" w:sz="0" w:space="0" w:color="auto"/>
                    <w:bottom w:val="none" w:sz="0" w:space="0" w:color="auto"/>
                    <w:right w:val="none" w:sz="0" w:space="0" w:color="auto"/>
                  </w:divBdr>
                </w:div>
                <w:div w:id="1310746702">
                  <w:marLeft w:val="0"/>
                  <w:marRight w:val="0"/>
                  <w:marTop w:val="0"/>
                  <w:marBottom w:val="150"/>
                  <w:divBdr>
                    <w:top w:val="none" w:sz="0" w:space="0" w:color="auto"/>
                    <w:left w:val="none" w:sz="0" w:space="0" w:color="auto"/>
                    <w:bottom w:val="none" w:sz="0" w:space="0" w:color="auto"/>
                    <w:right w:val="none" w:sz="0" w:space="0" w:color="auto"/>
                  </w:divBdr>
                </w:div>
                <w:div w:id="1336305164">
                  <w:marLeft w:val="0"/>
                  <w:marRight w:val="0"/>
                  <w:marTop w:val="0"/>
                  <w:marBottom w:val="150"/>
                  <w:divBdr>
                    <w:top w:val="none" w:sz="0" w:space="0" w:color="auto"/>
                    <w:left w:val="none" w:sz="0" w:space="0" w:color="auto"/>
                    <w:bottom w:val="none" w:sz="0" w:space="0" w:color="auto"/>
                    <w:right w:val="none" w:sz="0" w:space="0" w:color="auto"/>
                  </w:divBdr>
                </w:div>
                <w:div w:id="1583030256">
                  <w:marLeft w:val="0"/>
                  <w:marRight w:val="0"/>
                  <w:marTop w:val="0"/>
                  <w:marBottom w:val="150"/>
                  <w:divBdr>
                    <w:top w:val="none" w:sz="0" w:space="0" w:color="auto"/>
                    <w:left w:val="none" w:sz="0" w:space="0" w:color="auto"/>
                    <w:bottom w:val="none" w:sz="0" w:space="0" w:color="auto"/>
                    <w:right w:val="none" w:sz="0" w:space="0" w:color="auto"/>
                  </w:divBdr>
                </w:div>
                <w:div w:id="1766027267">
                  <w:marLeft w:val="0"/>
                  <w:marRight w:val="0"/>
                  <w:marTop w:val="0"/>
                  <w:marBottom w:val="150"/>
                  <w:divBdr>
                    <w:top w:val="none" w:sz="0" w:space="0" w:color="auto"/>
                    <w:left w:val="none" w:sz="0" w:space="0" w:color="auto"/>
                    <w:bottom w:val="none" w:sz="0" w:space="0" w:color="auto"/>
                    <w:right w:val="none" w:sz="0" w:space="0" w:color="auto"/>
                  </w:divBdr>
                </w:div>
                <w:div w:id="1767532725">
                  <w:marLeft w:val="0"/>
                  <w:marRight w:val="0"/>
                  <w:marTop w:val="0"/>
                  <w:marBottom w:val="150"/>
                  <w:divBdr>
                    <w:top w:val="none" w:sz="0" w:space="0" w:color="auto"/>
                    <w:left w:val="none" w:sz="0" w:space="0" w:color="auto"/>
                    <w:bottom w:val="none" w:sz="0" w:space="0" w:color="auto"/>
                    <w:right w:val="none" w:sz="0" w:space="0" w:color="auto"/>
                  </w:divBdr>
                </w:div>
                <w:div w:id="20490649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3936882">
      <w:bodyDiv w:val="1"/>
      <w:marLeft w:val="0"/>
      <w:marRight w:val="0"/>
      <w:marTop w:val="0"/>
      <w:marBottom w:val="0"/>
      <w:divBdr>
        <w:top w:val="none" w:sz="0" w:space="0" w:color="auto"/>
        <w:left w:val="none" w:sz="0" w:space="0" w:color="auto"/>
        <w:bottom w:val="none" w:sz="0" w:space="0" w:color="auto"/>
        <w:right w:val="none" w:sz="0" w:space="0" w:color="auto"/>
      </w:divBdr>
      <w:divsChild>
        <w:div w:id="987245905">
          <w:marLeft w:val="0"/>
          <w:marRight w:val="0"/>
          <w:marTop w:val="0"/>
          <w:marBottom w:val="0"/>
          <w:divBdr>
            <w:top w:val="none" w:sz="0" w:space="0" w:color="auto"/>
            <w:left w:val="none" w:sz="0" w:space="0" w:color="auto"/>
            <w:bottom w:val="dotted" w:sz="6" w:space="4" w:color="DDDDDD"/>
            <w:right w:val="none" w:sz="0" w:space="0" w:color="auto"/>
          </w:divBdr>
        </w:div>
      </w:divsChild>
    </w:div>
    <w:div w:id="164320654">
      <w:bodyDiv w:val="1"/>
      <w:marLeft w:val="0"/>
      <w:marRight w:val="0"/>
      <w:marTop w:val="0"/>
      <w:marBottom w:val="0"/>
      <w:divBdr>
        <w:top w:val="none" w:sz="0" w:space="0" w:color="auto"/>
        <w:left w:val="none" w:sz="0" w:space="0" w:color="auto"/>
        <w:bottom w:val="none" w:sz="0" w:space="0" w:color="auto"/>
        <w:right w:val="none" w:sz="0" w:space="0" w:color="auto"/>
      </w:divBdr>
      <w:divsChild>
        <w:div w:id="1390882586">
          <w:marLeft w:val="0"/>
          <w:marRight w:val="0"/>
          <w:marTop w:val="0"/>
          <w:marBottom w:val="0"/>
          <w:divBdr>
            <w:top w:val="none" w:sz="0" w:space="0" w:color="auto"/>
            <w:left w:val="none" w:sz="0" w:space="0" w:color="auto"/>
            <w:bottom w:val="none" w:sz="0" w:space="0" w:color="auto"/>
            <w:right w:val="none" w:sz="0" w:space="0" w:color="auto"/>
          </w:divBdr>
          <w:divsChild>
            <w:div w:id="309944338">
              <w:marLeft w:val="0"/>
              <w:marRight w:val="0"/>
              <w:marTop w:val="0"/>
              <w:marBottom w:val="150"/>
              <w:divBdr>
                <w:top w:val="none" w:sz="0" w:space="0" w:color="auto"/>
                <w:left w:val="none" w:sz="0" w:space="0" w:color="auto"/>
                <w:bottom w:val="none" w:sz="0" w:space="0" w:color="auto"/>
                <w:right w:val="none" w:sz="0" w:space="0" w:color="auto"/>
              </w:divBdr>
            </w:div>
            <w:div w:id="211808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68671">
      <w:bodyDiv w:val="1"/>
      <w:marLeft w:val="0"/>
      <w:marRight w:val="0"/>
      <w:marTop w:val="0"/>
      <w:marBottom w:val="0"/>
      <w:divBdr>
        <w:top w:val="none" w:sz="0" w:space="0" w:color="auto"/>
        <w:left w:val="none" w:sz="0" w:space="0" w:color="auto"/>
        <w:bottom w:val="none" w:sz="0" w:space="0" w:color="auto"/>
        <w:right w:val="none" w:sz="0" w:space="0" w:color="auto"/>
      </w:divBdr>
      <w:divsChild>
        <w:div w:id="1266159574">
          <w:marLeft w:val="0"/>
          <w:marRight w:val="0"/>
          <w:marTop w:val="0"/>
          <w:marBottom w:val="0"/>
          <w:divBdr>
            <w:top w:val="none" w:sz="0" w:space="0" w:color="auto"/>
            <w:left w:val="none" w:sz="0" w:space="0" w:color="auto"/>
            <w:bottom w:val="none" w:sz="0" w:space="0" w:color="auto"/>
            <w:right w:val="none" w:sz="0" w:space="0" w:color="auto"/>
          </w:divBdr>
          <w:divsChild>
            <w:div w:id="1155729724">
              <w:marLeft w:val="0"/>
              <w:marRight w:val="0"/>
              <w:marTop w:val="0"/>
              <w:marBottom w:val="0"/>
              <w:divBdr>
                <w:top w:val="none" w:sz="0" w:space="0" w:color="auto"/>
                <w:left w:val="none" w:sz="0" w:space="0" w:color="auto"/>
                <w:bottom w:val="none" w:sz="0" w:space="0" w:color="auto"/>
                <w:right w:val="none" w:sz="0" w:space="0" w:color="auto"/>
              </w:divBdr>
              <w:divsChild>
                <w:div w:id="281084530">
                  <w:marLeft w:val="0"/>
                  <w:marRight w:val="0"/>
                  <w:marTop w:val="0"/>
                  <w:marBottom w:val="0"/>
                  <w:divBdr>
                    <w:top w:val="none" w:sz="0" w:space="0" w:color="auto"/>
                    <w:left w:val="none" w:sz="0" w:space="0" w:color="auto"/>
                    <w:bottom w:val="none" w:sz="0" w:space="0" w:color="auto"/>
                    <w:right w:val="none" w:sz="0" w:space="0" w:color="auto"/>
                  </w:divBdr>
                  <w:divsChild>
                    <w:div w:id="575287386">
                      <w:marLeft w:val="0"/>
                      <w:marRight w:val="0"/>
                      <w:marTop w:val="0"/>
                      <w:marBottom w:val="0"/>
                      <w:divBdr>
                        <w:top w:val="none" w:sz="0" w:space="0" w:color="auto"/>
                        <w:left w:val="none" w:sz="0" w:space="0" w:color="auto"/>
                        <w:bottom w:val="none" w:sz="0" w:space="0" w:color="auto"/>
                        <w:right w:val="none" w:sz="0" w:space="0" w:color="auto"/>
                      </w:divBdr>
                      <w:divsChild>
                        <w:div w:id="66733438">
                          <w:marLeft w:val="0"/>
                          <w:marRight w:val="0"/>
                          <w:marTop w:val="0"/>
                          <w:marBottom w:val="0"/>
                          <w:divBdr>
                            <w:top w:val="none" w:sz="0" w:space="0" w:color="auto"/>
                            <w:left w:val="none" w:sz="0" w:space="0" w:color="auto"/>
                            <w:bottom w:val="none" w:sz="0" w:space="0" w:color="auto"/>
                            <w:right w:val="none" w:sz="0" w:space="0" w:color="auto"/>
                          </w:divBdr>
                          <w:divsChild>
                            <w:div w:id="1875269128">
                              <w:marLeft w:val="0"/>
                              <w:marRight w:val="0"/>
                              <w:marTop w:val="0"/>
                              <w:marBottom w:val="0"/>
                              <w:divBdr>
                                <w:top w:val="none" w:sz="0" w:space="0" w:color="auto"/>
                                <w:left w:val="none" w:sz="0" w:space="0" w:color="auto"/>
                                <w:bottom w:val="none" w:sz="0" w:space="0" w:color="auto"/>
                                <w:right w:val="none" w:sz="0" w:space="0" w:color="auto"/>
                              </w:divBdr>
                              <w:divsChild>
                                <w:div w:id="334723750">
                                  <w:marLeft w:val="0"/>
                                  <w:marRight w:val="0"/>
                                  <w:marTop w:val="0"/>
                                  <w:marBottom w:val="75"/>
                                  <w:divBdr>
                                    <w:top w:val="none" w:sz="0" w:space="0" w:color="auto"/>
                                    <w:left w:val="none" w:sz="0" w:space="0" w:color="auto"/>
                                    <w:bottom w:val="none" w:sz="0" w:space="0" w:color="auto"/>
                                    <w:right w:val="none" w:sz="0" w:space="0" w:color="auto"/>
                                  </w:divBdr>
                                  <w:divsChild>
                                    <w:div w:id="909969476">
                                      <w:marLeft w:val="0"/>
                                      <w:marRight w:val="0"/>
                                      <w:marTop w:val="0"/>
                                      <w:marBottom w:val="0"/>
                                      <w:divBdr>
                                        <w:top w:val="none" w:sz="0" w:space="0" w:color="auto"/>
                                        <w:left w:val="none" w:sz="0" w:space="0" w:color="auto"/>
                                        <w:bottom w:val="none" w:sz="0" w:space="0" w:color="auto"/>
                                        <w:right w:val="none" w:sz="0" w:space="0" w:color="auto"/>
                                      </w:divBdr>
                                      <w:divsChild>
                                        <w:div w:id="1420905388">
                                          <w:marLeft w:val="0"/>
                                          <w:marRight w:val="0"/>
                                          <w:marTop w:val="0"/>
                                          <w:marBottom w:val="0"/>
                                          <w:divBdr>
                                            <w:top w:val="none" w:sz="0" w:space="0" w:color="auto"/>
                                            <w:left w:val="none" w:sz="0" w:space="0" w:color="auto"/>
                                            <w:bottom w:val="none" w:sz="0" w:space="0" w:color="auto"/>
                                            <w:right w:val="none" w:sz="0" w:space="0" w:color="auto"/>
                                          </w:divBdr>
                                          <w:divsChild>
                                            <w:div w:id="825049552">
                                              <w:marLeft w:val="0"/>
                                              <w:marRight w:val="0"/>
                                              <w:marTop w:val="0"/>
                                              <w:marBottom w:val="0"/>
                                              <w:divBdr>
                                                <w:top w:val="none" w:sz="0" w:space="0" w:color="auto"/>
                                                <w:left w:val="none" w:sz="0" w:space="0" w:color="auto"/>
                                                <w:bottom w:val="none" w:sz="0" w:space="0" w:color="auto"/>
                                                <w:right w:val="none" w:sz="0" w:space="0" w:color="auto"/>
                                              </w:divBdr>
                                              <w:divsChild>
                                                <w:div w:id="156487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445466">
      <w:bodyDiv w:val="1"/>
      <w:marLeft w:val="0"/>
      <w:marRight w:val="0"/>
      <w:marTop w:val="0"/>
      <w:marBottom w:val="0"/>
      <w:divBdr>
        <w:top w:val="none" w:sz="0" w:space="0" w:color="auto"/>
        <w:left w:val="none" w:sz="0" w:space="0" w:color="auto"/>
        <w:bottom w:val="none" w:sz="0" w:space="0" w:color="auto"/>
        <w:right w:val="none" w:sz="0" w:space="0" w:color="auto"/>
      </w:divBdr>
      <w:divsChild>
        <w:div w:id="1213269369">
          <w:marLeft w:val="0"/>
          <w:marRight w:val="0"/>
          <w:marTop w:val="0"/>
          <w:marBottom w:val="0"/>
          <w:divBdr>
            <w:top w:val="none" w:sz="0" w:space="0" w:color="auto"/>
            <w:left w:val="none" w:sz="0" w:space="0" w:color="auto"/>
            <w:bottom w:val="dotted" w:sz="6" w:space="4" w:color="DDDDDD"/>
            <w:right w:val="none" w:sz="0" w:space="0" w:color="auto"/>
          </w:divBdr>
          <w:divsChild>
            <w:div w:id="166628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7898">
      <w:bodyDiv w:val="1"/>
      <w:marLeft w:val="0"/>
      <w:marRight w:val="0"/>
      <w:marTop w:val="0"/>
      <w:marBottom w:val="0"/>
      <w:divBdr>
        <w:top w:val="none" w:sz="0" w:space="0" w:color="auto"/>
        <w:left w:val="none" w:sz="0" w:space="0" w:color="auto"/>
        <w:bottom w:val="none" w:sz="0" w:space="0" w:color="auto"/>
        <w:right w:val="none" w:sz="0" w:space="0" w:color="auto"/>
      </w:divBdr>
      <w:divsChild>
        <w:div w:id="717582487">
          <w:marLeft w:val="0"/>
          <w:marRight w:val="0"/>
          <w:marTop w:val="0"/>
          <w:marBottom w:val="0"/>
          <w:divBdr>
            <w:top w:val="none" w:sz="0" w:space="0" w:color="auto"/>
            <w:left w:val="none" w:sz="0" w:space="0" w:color="auto"/>
            <w:bottom w:val="none" w:sz="0" w:space="0" w:color="auto"/>
            <w:right w:val="none" w:sz="0" w:space="0" w:color="auto"/>
          </w:divBdr>
          <w:divsChild>
            <w:div w:id="611909753">
              <w:marLeft w:val="0"/>
              <w:marRight w:val="0"/>
              <w:marTop w:val="0"/>
              <w:marBottom w:val="0"/>
              <w:divBdr>
                <w:top w:val="none" w:sz="0" w:space="0" w:color="auto"/>
                <w:left w:val="none" w:sz="0" w:space="0" w:color="auto"/>
                <w:bottom w:val="none" w:sz="0" w:space="0" w:color="auto"/>
                <w:right w:val="none" w:sz="0" w:space="0" w:color="auto"/>
              </w:divBdr>
              <w:divsChild>
                <w:div w:id="629282148">
                  <w:marLeft w:val="0"/>
                  <w:marRight w:val="0"/>
                  <w:marTop w:val="0"/>
                  <w:marBottom w:val="0"/>
                  <w:divBdr>
                    <w:top w:val="none" w:sz="0" w:space="0" w:color="auto"/>
                    <w:left w:val="none" w:sz="0" w:space="0" w:color="auto"/>
                    <w:bottom w:val="none" w:sz="0" w:space="0" w:color="auto"/>
                    <w:right w:val="none" w:sz="0" w:space="0" w:color="auto"/>
                  </w:divBdr>
                  <w:divsChild>
                    <w:div w:id="462115760">
                      <w:marLeft w:val="0"/>
                      <w:marRight w:val="0"/>
                      <w:marTop w:val="0"/>
                      <w:marBottom w:val="0"/>
                      <w:divBdr>
                        <w:top w:val="none" w:sz="0" w:space="0" w:color="auto"/>
                        <w:left w:val="none" w:sz="0" w:space="0" w:color="auto"/>
                        <w:bottom w:val="none" w:sz="0" w:space="0" w:color="auto"/>
                        <w:right w:val="none" w:sz="0" w:space="0" w:color="auto"/>
                      </w:divBdr>
                      <w:divsChild>
                        <w:div w:id="960300610">
                          <w:marLeft w:val="0"/>
                          <w:marRight w:val="0"/>
                          <w:marTop w:val="0"/>
                          <w:marBottom w:val="0"/>
                          <w:divBdr>
                            <w:top w:val="none" w:sz="0" w:space="0" w:color="auto"/>
                            <w:left w:val="none" w:sz="0" w:space="0" w:color="auto"/>
                            <w:bottom w:val="none" w:sz="0" w:space="0" w:color="auto"/>
                            <w:right w:val="none" w:sz="0" w:space="0" w:color="auto"/>
                          </w:divBdr>
                          <w:divsChild>
                            <w:div w:id="427045052">
                              <w:marLeft w:val="0"/>
                              <w:marRight w:val="0"/>
                              <w:marTop w:val="0"/>
                              <w:marBottom w:val="0"/>
                              <w:divBdr>
                                <w:top w:val="none" w:sz="0" w:space="0" w:color="auto"/>
                                <w:left w:val="none" w:sz="0" w:space="0" w:color="auto"/>
                                <w:bottom w:val="none" w:sz="0" w:space="0" w:color="auto"/>
                                <w:right w:val="none" w:sz="0" w:space="0" w:color="auto"/>
                              </w:divBdr>
                              <w:divsChild>
                                <w:div w:id="1078558466">
                                  <w:marLeft w:val="0"/>
                                  <w:marRight w:val="0"/>
                                  <w:marTop w:val="0"/>
                                  <w:marBottom w:val="0"/>
                                  <w:divBdr>
                                    <w:top w:val="none" w:sz="0" w:space="0" w:color="auto"/>
                                    <w:left w:val="none" w:sz="0" w:space="0" w:color="auto"/>
                                    <w:bottom w:val="none" w:sz="0" w:space="0" w:color="auto"/>
                                    <w:right w:val="none" w:sz="0" w:space="0" w:color="auto"/>
                                  </w:divBdr>
                                  <w:divsChild>
                                    <w:div w:id="13286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753235">
      <w:bodyDiv w:val="1"/>
      <w:marLeft w:val="0"/>
      <w:marRight w:val="0"/>
      <w:marTop w:val="0"/>
      <w:marBottom w:val="0"/>
      <w:divBdr>
        <w:top w:val="none" w:sz="0" w:space="0" w:color="auto"/>
        <w:left w:val="none" w:sz="0" w:space="0" w:color="auto"/>
        <w:bottom w:val="none" w:sz="0" w:space="0" w:color="auto"/>
        <w:right w:val="none" w:sz="0" w:space="0" w:color="auto"/>
      </w:divBdr>
      <w:divsChild>
        <w:div w:id="137573863">
          <w:marLeft w:val="0"/>
          <w:marRight w:val="0"/>
          <w:marTop w:val="0"/>
          <w:marBottom w:val="0"/>
          <w:divBdr>
            <w:top w:val="none" w:sz="0" w:space="0" w:color="auto"/>
            <w:left w:val="none" w:sz="0" w:space="0" w:color="auto"/>
            <w:bottom w:val="none" w:sz="0" w:space="0" w:color="auto"/>
            <w:right w:val="none" w:sz="0" w:space="0" w:color="auto"/>
          </w:divBdr>
          <w:divsChild>
            <w:div w:id="403071787">
              <w:marLeft w:val="0"/>
              <w:marRight w:val="0"/>
              <w:marTop w:val="0"/>
              <w:marBottom w:val="0"/>
              <w:divBdr>
                <w:top w:val="none" w:sz="0" w:space="0" w:color="auto"/>
                <w:left w:val="none" w:sz="0" w:space="0" w:color="auto"/>
                <w:bottom w:val="none" w:sz="0" w:space="0" w:color="auto"/>
                <w:right w:val="none" w:sz="0" w:space="0" w:color="auto"/>
              </w:divBdr>
              <w:divsChild>
                <w:div w:id="336426069">
                  <w:marLeft w:val="0"/>
                  <w:marRight w:val="0"/>
                  <w:marTop w:val="0"/>
                  <w:marBottom w:val="0"/>
                  <w:divBdr>
                    <w:top w:val="none" w:sz="0" w:space="0" w:color="auto"/>
                    <w:left w:val="none" w:sz="0" w:space="0" w:color="auto"/>
                    <w:bottom w:val="none" w:sz="0" w:space="0" w:color="auto"/>
                    <w:right w:val="none" w:sz="0" w:space="0" w:color="auto"/>
                  </w:divBdr>
                  <w:divsChild>
                    <w:div w:id="2080324439">
                      <w:marLeft w:val="0"/>
                      <w:marRight w:val="0"/>
                      <w:marTop w:val="0"/>
                      <w:marBottom w:val="0"/>
                      <w:divBdr>
                        <w:top w:val="none" w:sz="0" w:space="0" w:color="auto"/>
                        <w:left w:val="none" w:sz="0" w:space="0" w:color="auto"/>
                        <w:bottom w:val="none" w:sz="0" w:space="0" w:color="auto"/>
                        <w:right w:val="none" w:sz="0" w:space="0" w:color="auto"/>
                      </w:divBdr>
                      <w:divsChild>
                        <w:div w:id="2101101836">
                          <w:marLeft w:val="0"/>
                          <w:marRight w:val="0"/>
                          <w:marTop w:val="0"/>
                          <w:marBottom w:val="0"/>
                          <w:divBdr>
                            <w:top w:val="none" w:sz="0" w:space="0" w:color="auto"/>
                            <w:left w:val="none" w:sz="0" w:space="0" w:color="auto"/>
                            <w:bottom w:val="none" w:sz="0" w:space="0" w:color="auto"/>
                            <w:right w:val="none" w:sz="0" w:space="0" w:color="auto"/>
                          </w:divBdr>
                          <w:divsChild>
                            <w:div w:id="47651044">
                              <w:marLeft w:val="0"/>
                              <w:marRight w:val="0"/>
                              <w:marTop w:val="0"/>
                              <w:marBottom w:val="0"/>
                              <w:divBdr>
                                <w:top w:val="none" w:sz="0" w:space="0" w:color="auto"/>
                                <w:left w:val="none" w:sz="0" w:space="0" w:color="auto"/>
                                <w:bottom w:val="none" w:sz="0" w:space="0" w:color="auto"/>
                                <w:right w:val="none" w:sz="0" w:space="0" w:color="auto"/>
                              </w:divBdr>
                              <w:divsChild>
                                <w:div w:id="1819569887">
                                  <w:marLeft w:val="0"/>
                                  <w:marRight w:val="0"/>
                                  <w:marTop w:val="0"/>
                                  <w:marBottom w:val="0"/>
                                  <w:divBdr>
                                    <w:top w:val="none" w:sz="0" w:space="0" w:color="auto"/>
                                    <w:left w:val="none" w:sz="0" w:space="0" w:color="auto"/>
                                    <w:bottom w:val="none" w:sz="0" w:space="0" w:color="auto"/>
                                    <w:right w:val="none" w:sz="0" w:space="0" w:color="auto"/>
                                  </w:divBdr>
                                  <w:divsChild>
                                    <w:div w:id="1627274417">
                                      <w:marLeft w:val="0"/>
                                      <w:marRight w:val="0"/>
                                      <w:marTop w:val="0"/>
                                      <w:marBottom w:val="0"/>
                                      <w:divBdr>
                                        <w:top w:val="none" w:sz="0" w:space="0" w:color="auto"/>
                                        <w:left w:val="none" w:sz="0" w:space="0" w:color="auto"/>
                                        <w:bottom w:val="none" w:sz="0" w:space="0" w:color="auto"/>
                                        <w:right w:val="none" w:sz="0" w:space="0" w:color="auto"/>
                                      </w:divBdr>
                                      <w:divsChild>
                                        <w:div w:id="87038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017188">
      <w:bodyDiv w:val="1"/>
      <w:marLeft w:val="0"/>
      <w:marRight w:val="0"/>
      <w:marTop w:val="0"/>
      <w:marBottom w:val="0"/>
      <w:divBdr>
        <w:top w:val="none" w:sz="0" w:space="0" w:color="auto"/>
        <w:left w:val="none" w:sz="0" w:space="0" w:color="auto"/>
        <w:bottom w:val="none" w:sz="0" w:space="0" w:color="auto"/>
        <w:right w:val="none" w:sz="0" w:space="0" w:color="auto"/>
      </w:divBdr>
      <w:divsChild>
        <w:div w:id="1676104246">
          <w:marLeft w:val="0"/>
          <w:marRight w:val="0"/>
          <w:marTop w:val="0"/>
          <w:marBottom w:val="150"/>
          <w:divBdr>
            <w:top w:val="none" w:sz="0" w:space="0" w:color="auto"/>
            <w:left w:val="none" w:sz="0" w:space="0" w:color="auto"/>
            <w:bottom w:val="none" w:sz="0" w:space="0" w:color="auto"/>
            <w:right w:val="none" w:sz="0" w:space="0" w:color="auto"/>
          </w:divBdr>
        </w:div>
      </w:divsChild>
    </w:div>
    <w:div w:id="166141953">
      <w:bodyDiv w:val="1"/>
      <w:marLeft w:val="0"/>
      <w:marRight w:val="0"/>
      <w:marTop w:val="0"/>
      <w:marBottom w:val="0"/>
      <w:divBdr>
        <w:top w:val="none" w:sz="0" w:space="0" w:color="auto"/>
        <w:left w:val="none" w:sz="0" w:space="0" w:color="auto"/>
        <w:bottom w:val="none" w:sz="0" w:space="0" w:color="auto"/>
        <w:right w:val="none" w:sz="0" w:space="0" w:color="auto"/>
      </w:divBdr>
    </w:div>
    <w:div w:id="166483580">
      <w:bodyDiv w:val="1"/>
      <w:marLeft w:val="0"/>
      <w:marRight w:val="0"/>
      <w:marTop w:val="0"/>
      <w:marBottom w:val="0"/>
      <w:divBdr>
        <w:top w:val="none" w:sz="0" w:space="0" w:color="auto"/>
        <w:left w:val="none" w:sz="0" w:space="0" w:color="auto"/>
        <w:bottom w:val="none" w:sz="0" w:space="0" w:color="auto"/>
        <w:right w:val="none" w:sz="0" w:space="0" w:color="auto"/>
      </w:divBdr>
      <w:divsChild>
        <w:div w:id="1798445748">
          <w:marLeft w:val="0"/>
          <w:marRight w:val="0"/>
          <w:marTop w:val="0"/>
          <w:marBottom w:val="0"/>
          <w:divBdr>
            <w:top w:val="none" w:sz="0" w:space="0" w:color="auto"/>
            <w:left w:val="none" w:sz="0" w:space="0" w:color="auto"/>
            <w:bottom w:val="dotted" w:sz="6" w:space="4" w:color="DDDDDD"/>
            <w:right w:val="none" w:sz="0" w:space="0" w:color="auto"/>
          </w:divBdr>
          <w:divsChild>
            <w:div w:id="77918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36773">
      <w:bodyDiv w:val="1"/>
      <w:marLeft w:val="0"/>
      <w:marRight w:val="0"/>
      <w:marTop w:val="0"/>
      <w:marBottom w:val="0"/>
      <w:divBdr>
        <w:top w:val="none" w:sz="0" w:space="0" w:color="auto"/>
        <w:left w:val="none" w:sz="0" w:space="0" w:color="auto"/>
        <w:bottom w:val="none" w:sz="0" w:space="0" w:color="auto"/>
        <w:right w:val="none" w:sz="0" w:space="0" w:color="auto"/>
      </w:divBdr>
      <w:divsChild>
        <w:div w:id="299962429">
          <w:marLeft w:val="0"/>
          <w:marRight w:val="0"/>
          <w:marTop w:val="0"/>
          <w:marBottom w:val="0"/>
          <w:divBdr>
            <w:top w:val="none" w:sz="0" w:space="0" w:color="auto"/>
            <w:left w:val="none" w:sz="0" w:space="0" w:color="auto"/>
            <w:bottom w:val="none" w:sz="0" w:space="0" w:color="auto"/>
            <w:right w:val="none" w:sz="0" w:space="0" w:color="auto"/>
          </w:divBdr>
        </w:div>
      </w:divsChild>
    </w:div>
    <w:div w:id="168181039">
      <w:bodyDiv w:val="1"/>
      <w:marLeft w:val="0"/>
      <w:marRight w:val="0"/>
      <w:marTop w:val="0"/>
      <w:marBottom w:val="0"/>
      <w:divBdr>
        <w:top w:val="none" w:sz="0" w:space="0" w:color="auto"/>
        <w:left w:val="none" w:sz="0" w:space="0" w:color="auto"/>
        <w:bottom w:val="none" w:sz="0" w:space="0" w:color="auto"/>
        <w:right w:val="none" w:sz="0" w:space="0" w:color="auto"/>
      </w:divBdr>
      <w:divsChild>
        <w:div w:id="357851350">
          <w:marLeft w:val="0"/>
          <w:marRight w:val="0"/>
          <w:marTop w:val="0"/>
          <w:marBottom w:val="0"/>
          <w:divBdr>
            <w:top w:val="none" w:sz="0" w:space="0" w:color="auto"/>
            <w:left w:val="none" w:sz="0" w:space="0" w:color="auto"/>
            <w:bottom w:val="none" w:sz="0" w:space="0" w:color="auto"/>
            <w:right w:val="none" w:sz="0" w:space="0" w:color="auto"/>
          </w:divBdr>
          <w:divsChild>
            <w:div w:id="402290013">
              <w:marLeft w:val="0"/>
              <w:marRight w:val="0"/>
              <w:marTop w:val="0"/>
              <w:marBottom w:val="0"/>
              <w:divBdr>
                <w:top w:val="none" w:sz="0" w:space="0" w:color="auto"/>
                <w:left w:val="none" w:sz="0" w:space="0" w:color="auto"/>
                <w:bottom w:val="none" w:sz="0" w:space="0" w:color="auto"/>
                <w:right w:val="none" w:sz="0" w:space="0" w:color="auto"/>
              </w:divBdr>
            </w:div>
          </w:divsChild>
        </w:div>
        <w:div w:id="1366371629">
          <w:marLeft w:val="0"/>
          <w:marRight w:val="0"/>
          <w:marTop w:val="0"/>
          <w:marBottom w:val="150"/>
          <w:divBdr>
            <w:top w:val="none" w:sz="0" w:space="0" w:color="auto"/>
            <w:left w:val="none" w:sz="0" w:space="0" w:color="auto"/>
            <w:bottom w:val="none" w:sz="0" w:space="0" w:color="auto"/>
            <w:right w:val="none" w:sz="0" w:space="0" w:color="auto"/>
          </w:divBdr>
        </w:div>
        <w:div w:id="1795980569">
          <w:marLeft w:val="0"/>
          <w:marRight w:val="0"/>
          <w:marTop w:val="0"/>
          <w:marBottom w:val="150"/>
          <w:divBdr>
            <w:top w:val="none" w:sz="0" w:space="0" w:color="auto"/>
            <w:left w:val="none" w:sz="0" w:space="0" w:color="auto"/>
            <w:bottom w:val="none" w:sz="0" w:space="0" w:color="auto"/>
            <w:right w:val="none" w:sz="0" w:space="0" w:color="auto"/>
          </w:divBdr>
          <w:divsChild>
            <w:div w:id="135044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52224">
      <w:bodyDiv w:val="1"/>
      <w:marLeft w:val="0"/>
      <w:marRight w:val="0"/>
      <w:marTop w:val="0"/>
      <w:marBottom w:val="0"/>
      <w:divBdr>
        <w:top w:val="none" w:sz="0" w:space="0" w:color="auto"/>
        <w:left w:val="none" w:sz="0" w:space="0" w:color="auto"/>
        <w:bottom w:val="none" w:sz="0" w:space="0" w:color="auto"/>
        <w:right w:val="none" w:sz="0" w:space="0" w:color="auto"/>
      </w:divBdr>
      <w:divsChild>
        <w:div w:id="394134022">
          <w:marLeft w:val="0"/>
          <w:marRight w:val="0"/>
          <w:marTop w:val="0"/>
          <w:marBottom w:val="150"/>
          <w:divBdr>
            <w:top w:val="none" w:sz="0" w:space="0" w:color="auto"/>
            <w:left w:val="none" w:sz="0" w:space="0" w:color="auto"/>
            <w:bottom w:val="none" w:sz="0" w:space="0" w:color="auto"/>
            <w:right w:val="none" w:sz="0" w:space="0" w:color="auto"/>
          </w:divBdr>
          <w:divsChild>
            <w:div w:id="88740242">
              <w:marLeft w:val="0"/>
              <w:marRight w:val="0"/>
              <w:marTop w:val="0"/>
              <w:marBottom w:val="0"/>
              <w:divBdr>
                <w:top w:val="none" w:sz="0" w:space="0" w:color="auto"/>
                <w:left w:val="none" w:sz="0" w:space="0" w:color="auto"/>
                <w:bottom w:val="none" w:sz="0" w:space="0" w:color="auto"/>
                <w:right w:val="none" w:sz="0" w:space="0" w:color="auto"/>
              </w:divBdr>
              <w:divsChild>
                <w:div w:id="1451823192">
                  <w:marLeft w:val="0"/>
                  <w:marRight w:val="0"/>
                  <w:marTop w:val="0"/>
                  <w:marBottom w:val="0"/>
                  <w:divBdr>
                    <w:top w:val="none" w:sz="0" w:space="0" w:color="auto"/>
                    <w:left w:val="none" w:sz="0" w:space="0" w:color="auto"/>
                    <w:bottom w:val="none" w:sz="0" w:space="0" w:color="auto"/>
                    <w:right w:val="none" w:sz="0" w:space="0" w:color="auto"/>
                  </w:divBdr>
                  <w:divsChild>
                    <w:div w:id="1196389079">
                      <w:marLeft w:val="0"/>
                      <w:marRight w:val="150"/>
                      <w:marTop w:val="0"/>
                      <w:marBottom w:val="0"/>
                      <w:divBdr>
                        <w:top w:val="none" w:sz="0" w:space="0" w:color="auto"/>
                        <w:left w:val="none" w:sz="0" w:space="0" w:color="auto"/>
                        <w:bottom w:val="none" w:sz="0" w:space="0" w:color="auto"/>
                        <w:right w:val="none" w:sz="0" w:space="0" w:color="auto"/>
                      </w:divBdr>
                      <w:divsChild>
                        <w:div w:id="76974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376502">
          <w:marLeft w:val="0"/>
          <w:marRight w:val="0"/>
          <w:marTop w:val="0"/>
          <w:marBottom w:val="150"/>
          <w:divBdr>
            <w:top w:val="none" w:sz="0" w:space="0" w:color="auto"/>
            <w:left w:val="none" w:sz="0" w:space="0" w:color="auto"/>
            <w:bottom w:val="none" w:sz="0" w:space="0" w:color="auto"/>
            <w:right w:val="none" w:sz="0" w:space="0" w:color="auto"/>
          </w:divBdr>
        </w:div>
        <w:div w:id="1883515026">
          <w:marLeft w:val="0"/>
          <w:marRight w:val="0"/>
          <w:marTop w:val="0"/>
          <w:marBottom w:val="0"/>
          <w:divBdr>
            <w:top w:val="none" w:sz="0" w:space="0" w:color="auto"/>
            <w:left w:val="none" w:sz="0" w:space="0" w:color="auto"/>
            <w:bottom w:val="none" w:sz="0" w:space="0" w:color="auto"/>
            <w:right w:val="none" w:sz="0" w:space="0" w:color="auto"/>
          </w:divBdr>
          <w:divsChild>
            <w:div w:id="10900801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8914784">
      <w:bodyDiv w:val="1"/>
      <w:marLeft w:val="0"/>
      <w:marRight w:val="0"/>
      <w:marTop w:val="0"/>
      <w:marBottom w:val="0"/>
      <w:divBdr>
        <w:top w:val="none" w:sz="0" w:space="0" w:color="auto"/>
        <w:left w:val="none" w:sz="0" w:space="0" w:color="auto"/>
        <w:bottom w:val="none" w:sz="0" w:space="0" w:color="auto"/>
        <w:right w:val="none" w:sz="0" w:space="0" w:color="auto"/>
      </w:divBdr>
      <w:divsChild>
        <w:div w:id="499931362">
          <w:marLeft w:val="0"/>
          <w:marRight w:val="0"/>
          <w:marTop w:val="0"/>
          <w:marBottom w:val="0"/>
          <w:divBdr>
            <w:top w:val="none" w:sz="0" w:space="0" w:color="auto"/>
            <w:left w:val="none" w:sz="0" w:space="0" w:color="auto"/>
            <w:bottom w:val="none" w:sz="0" w:space="0" w:color="auto"/>
            <w:right w:val="none" w:sz="0" w:space="0" w:color="auto"/>
          </w:divBdr>
          <w:divsChild>
            <w:div w:id="1313219394">
              <w:marLeft w:val="0"/>
              <w:marRight w:val="0"/>
              <w:marTop w:val="0"/>
              <w:marBottom w:val="0"/>
              <w:divBdr>
                <w:top w:val="none" w:sz="0" w:space="0" w:color="auto"/>
                <w:left w:val="none" w:sz="0" w:space="0" w:color="auto"/>
                <w:bottom w:val="none" w:sz="0" w:space="0" w:color="auto"/>
                <w:right w:val="none" w:sz="0" w:space="0" w:color="auto"/>
              </w:divBdr>
            </w:div>
            <w:div w:id="1862275897">
              <w:marLeft w:val="0"/>
              <w:marRight w:val="0"/>
              <w:marTop w:val="0"/>
              <w:marBottom w:val="150"/>
              <w:divBdr>
                <w:top w:val="none" w:sz="0" w:space="0" w:color="auto"/>
                <w:left w:val="none" w:sz="0" w:space="0" w:color="auto"/>
                <w:bottom w:val="none" w:sz="0" w:space="0" w:color="auto"/>
                <w:right w:val="none" w:sz="0" w:space="0" w:color="auto"/>
              </w:divBdr>
            </w:div>
          </w:divsChild>
        </w:div>
        <w:div w:id="523590368">
          <w:marLeft w:val="0"/>
          <w:marRight w:val="0"/>
          <w:marTop w:val="0"/>
          <w:marBottom w:val="150"/>
          <w:divBdr>
            <w:top w:val="none" w:sz="0" w:space="0" w:color="auto"/>
            <w:left w:val="none" w:sz="0" w:space="0" w:color="auto"/>
            <w:bottom w:val="none" w:sz="0" w:space="0" w:color="auto"/>
            <w:right w:val="none" w:sz="0" w:space="0" w:color="auto"/>
          </w:divBdr>
          <w:divsChild>
            <w:div w:id="2571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0598">
      <w:bodyDiv w:val="1"/>
      <w:marLeft w:val="0"/>
      <w:marRight w:val="0"/>
      <w:marTop w:val="0"/>
      <w:marBottom w:val="0"/>
      <w:divBdr>
        <w:top w:val="none" w:sz="0" w:space="0" w:color="auto"/>
        <w:left w:val="none" w:sz="0" w:space="0" w:color="auto"/>
        <w:bottom w:val="none" w:sz="0" w:space="0" w:color="auto"/>
        <w:right w:val="none" w:sz="0" w:space="0" w:color="auto"/>
      </w:divBdr>
      <w:divsChild>
        <w:div w:id="110590021">
          <w:marLeft w:val="0"/>
          <w:marRight w:val="0"/>
          <w:marTop w:val="0"/>
          <w:marBottom w:val="0"/>
          <w:divBdr>
            <w:top w:val="none" w:sz="0" w:space="0" w:color="auto"/>
            <w:left w:val="none" w:sz="0" w:space="0" w:color="auto"/>
            <w:bottom w:val="none" w:sz="0" w:space="0" w:color="auto"/>
            <w:right w:val="none" w:sz="0" w:space="0" w:color="auto"/>
          </w:divBdr>
          <w:divsChild>
            <w:div w:id="352726116">
              <w:marLeft w:val="0"/>
              <w:marRight w:val="0"/>
              <w:marTop w:val="225"/>
              <w:marBottom w:val="225"/>
              <w:divBdr>
                <w:top w:val="none" w:sz="0" w:space="0" w:color="auto"/>
                <w:left w:val="none" w:sz="0" w:space="0" w:color="auto"/>
                <w:bottom w:val="none" w:sz="0" w:space="0" w:color="auto"/>
                <w:right w:val="none" w:sz="0" w:space="0" w:color="auto"/>
              </w:divBdr>
            </w:div>
          </w:divsChild>
        </w:div>
        <w:div w:id="154106066">
          <w:marLeft w:val="0"/>
          <w:marRight w:val="0"/>
          <w:marTop w:val="0"/>
          <w:marBottom w:val="150"/>
          <w:divBdr>
            <w:top w:val="none" w:sz="0" w:space="0" w:color="auto"/>
            <w:left w:val="none" w:sz="0" w:space="0" w:color="auto"/>
            <w:bottom w:val="none" w:sz="0" w:space="0" w:color="auto"/>
            <w:right w:val="none" w:sz="0" w:space="0" w:color="auto"/>
          </w:divBdr>
          <w:divsChild>
            <w:div w:id="1582135211">
              <w:marLeft w:val="0"/>
              <w:marRight w:val="0"/>
              <w:marTop w:val="0"/>
              <w:marBottom w:val="0"/>
              <w:divBdr>
                <w:top w:val="none" w:sz="0" w:space="0" w:color="auto"/>
                <w:left w:val="none" w:sz="0" w:space="0" w:color="auto"/>
                <w:bottom w:val="none" w:sz="0" w:space="0" w:color="auto"/>
                <w:right w:val="none" w:sz="0" w:space="0" w:color="auto"/>
              </w:divBdr>
              <w:divsChild>
                <w:div w:id="67037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09987">
          <w:marLeft w:val="0"/>
          <w:marRight w:val="0"/>
          <w:marTop w:val="0"/>
          <w:marBottom w:val="150"/>
          <w:divBdr>
            <w:top w:val="none" w:sz="0" w:space="0" w:color="auto"/>
            <w:left w:val="none" w:sz="0" w:space="0" w:color="auto"/>
            <w:bottom w:val="none" w:sz="0" w:space="0" w:color="auto"/>
            <w:right w:val="none" w:sz="0" w:space="0" w:color="auto"/>
          </w:divBdr>
        </w:div>
      </w:divsChild>
    </w:div>
    <w:div w:id="169951723">
      <w:bodyDiv w:val="1"/>
      <w:marLeft w:val="0"/>
      <w:marRight w:val="0"/>
      <w:marTop w:val="0"/>
      <w:marBottom w:val="0"/>
      <w:divBdr>
        <w:top w:val="none" w:sz="0" w:space="0" w:color="auto"/>
        <w:left w:val="none" w:sz="0" w:space="0" w:color="auto"/>
        <w:bottom w:val="none" w:sz="0" w:space="0" w:color="auto"/>
        <w:right w:val="none" w:sz="0" w:space="0" w:color="auto"/>
      </w:divBdr>
      <w:divsChild>
        <w:div w:id="1143308287">
          <w:marLeft w:val="0"/>
          <w:marRight w:val="0"/>
          <w:marTop w:val="0"/>
          <w:marBottom w:val="150"/>
          <w:divBdr>
            <w:top w:val="none" w:sz="0" w:space="0" w:color="auto"/>
            <w:left w:val="none" w:sz="0" w:space="0" w:color="auto"/>
            <w:bottom w:val="none" w:sz="0" w:space="0" w:color="auto"/>
            <w:right w:val="none" w:sz="0" w:space="0" w:color="auto"/>
          </w:divBdr>
        </w:div>
      </w:divsChild>
    </w:div>
    <w:div w:id="170148387">
      <w:bodyDiv w:val="1"/>
      <w:marLeft w:val="0"/>
      <w:marRight w:val="0"/>
      <w:marTop w:val="0"/>
      <w:marBottom w:val="0"/>
      <w:divBdr>
        <w:top w:val="none" w:sz="0" w:space="0" w:color="auto"/>
        <w:left w:val="none" w:sz="0" w:space="0" w:color="auto"/>
        <w:bottom w:val="none" w:sz="0" w:space="0" w:color="auto"/>
        <w:right w:val="none" w:sz="0" w:space="0" w:color="auto"/>
      </w:divBdr>
    </w:div>
    <w:div w:id="170294645">
      <w:bodyDiv w:val="1"/>
      <w:marLeft w:val="0"/>
      <w:marRight w:val="0"/>
      <w:marTop w:val="0"/>
      <w:marBottom w:val="0"/>
      <w:divBdr>
        <w:top w:val="none" w:sz="0" w:space="0" w:color="auto"/>
        <w:left w:val="none" w:sz="0" w:space="0" w:color="auto"/>
        <w:bottom w:val="none" w:sz="0" w:space="0" w:color="auto"/>
        <w:right w:val="none" w:sz="0" w:space="0" w:color="auto"/>
      </w:divBdr>
      <w:divsChild>
        <w:div w:id="16002789">
          <w:marLeft w:val="0"/>
          <w:marRight w:val="0"/>
          <w:marTop w:val="0"/>
          <w:marBottom w:val="0"/>
          <w:divBdr>
            <w:top w:val="none" w:sz="0" w:space="0" w:color="auto"/>
            <w:left w:val="none" w:sz="0" w:space="0" w:color="auto"/>
            <w:bottom w:val="none" w:sz="0" w:space="0" w:color="auto"/>
            <w:right w:val="none" w:sz="0" w:space="0" w:color="auto"/>
          </w:divBdr>
          <w:divsChild>
            <w:div w:id="1135411318">
              <w:marLeft w:val="0"/>
              <w:marRight w:val="0"/>
              <w:marTop w:val="0"/>
              <w:marBottom w:val="0"/>
              <w:divBdr>
                <w:top w:val="none" w:sz="0" w:space="0" w:color="auto"/>
                <w:left w:val="none" w:sz="0" w:space="0" w:color="auto"/>
                <w:bottom w:val="none" w:sz="0" w:space="0" w:color="auto"/>
                <w:right w:val="none" w:sz="0" w:space="0" w:color="auto"/>
              </w:divBdr>
            </w:div>
          </w:divsChild>
        </w:div>
        <w:div w:id="2090424334">
          <w:marLeft w:val="0"/>
          <w:marRight w:val="0"/>
          <w:marTop w:val="150"/>
          <w:marBottom w:val="0"/>
          <w:divBdr>
            <w:top w:val="none" w:sz="0" w:space="0" w:color="auto"/>
            <w:left w:val="none" w:sz="0" w:space="0" w:color="auto"/>
            <w:bottom w:val="none" w:sz="0" w:space="0" w:color="auto"/>
            <w:right w:val="none" w:sz="0" w:space="0" w:color="auto"/>
          </w:divBdr>
          <w:divsChild>
            <w:div w:id="1082332945">
              <w:marLeft w:val="0"/>
              <w:marRight w:val="0"/>
              <w:marTop w:val="0"/>
              <w:marBottom w:val="0"/>
              <w:divBdr>
                <w:top w:val="none" w:sz="0" w:space="0" w:color="auto"/>
                <w:left w:val="none" w:sz="0" w:space="0" w:color="auto"/>
                <w:bottom w:val="none" w:sz="0" w:space="0" w:color="auto"/>
                <w:right w:val="none" w:sz="0" w:space="0" w:color="auto"/>
              </w:divBdr>
              <w:divsChild>
                <w:div w:id="8957037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01389">
      <w:bodyDiv w:val="1"/>
      <w:marLeft w:val="0"/>
      <w:marRight w:val="0"/>
      <w:marTop w:val="0"/>
      <w:marBottom w:val="0"/>
      <w:divBdr>
        <w:top w:val="none" w:sz="0" w:space="0" w:color="auto"/>
        <w:left w:val="none" w:sz="0" w:space="0" w:color="auto"/>
        <w:bottom w:val="none" w:sz="0" w:space="0" w:color="auto"/>
        <w:right w:val="none" w:sz="0" w:space="0" w:color="auto"/>
      </w:divBdr>
      <w:divsChild>
        <w:div w:id="1109398186">
          <w:marLeft w:val="0"/>
          <w:marRight w:val="0"/>
          <w:marTop w:val="0"/>
          <w:marBottom w:val="0"/>
          <w:divBdr>
            <w:top w:val="none" w:sz="0" w:space="0" w:color="auto"/>
            <w:left w:val="none" w:sz="0" w:space="0" w:color="auto"/>
            <w:bottom w:val="none" w:sz="0" w:space="0" w:color="auto"/>
            <w:right w:val="none" w:sz="0" w:space="0" w:color="auto"/>
          </w:divBdr>
        </w:div>
        <w:div w:id="2115051101">
          <w:marLeft w:val="0"/>
          <w:marRight w:val="0"/>
          <w:marTop w:val="0"/>
          <w:marBottom w:val="150"/>
          <w:divBdr>
            <w:top w:val="none" w:sz="0" w:space="0" w:color="auto"/>
            <w:left w:val="none" w:sz="0" w:space="0" w:color="auto"/>
            <w:bottom w:val="none" w:sz="0" w:space="0" w:color="auto"/>
            <w:right w:val="none" w:sz="0" w:space="0" w:color="auto"/>
          </w:divBdr>
          <w:divsChild>
            <w:div w:id="934482548">
              <w:marLeft w:val="0"/>
              <w:marRight w:val="0"/>
              <w:marTop w:val="0"/>
              <w:marBottom w:val="0"/>
              <w:divBdr>
                <w:top w:val="none" w:sz="0" w:space="0" w:color="auto"/>
                <w:left w:val="none" w:sz="0" w:space="0" w:color="auto"/>
                <w:bottom w:val="none" w:sz="0" w:space="0" w:color="auto"/>
                <w:right w:val="none" w:sz="0" w:space="0" w:color="auto"/>
              </w:divBdr>
              <w:divsChild>
                <w:div w:id="2111928493">
                  <w:marLeft w:val="0"/>
                  <w:marRight w:val="0"/>
                  <w:marTop w:val="0"/>
                  <w:marBottom w:val="0"/>
                  <w:divBdr>
                    <w:top w:val="none" w:sz="0" w:space="0" w:color="auto"/>
                    <w:left w:val="none" w:sz="0" w:space="0" w:color="auto"/>
                    <w:bottom w:val="none" w:sz="0" w:space="0" w:color="auto"/>
                    <w:right w:val="none" w:sz="0" w:space="0" w:color="auto"/>
                  </w:divBdr>
                  <w:divsChild>
                    <w:div w:id="208129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74344">
      <w:bodyDiv w:val="1"/>
      <w:marLeft w:val="0"/>
      <w:marRight w:val="0"/>
      <w:marTop w:val="0"/>
      <w:marBottom w:val="0"/>
      <w:divBdr>
        <w:top w:val="none" w:sz="0" w:space="0" w:color="auto"/>
        <w:left w:val="none" w:sz="0" w:space="0" w:color="auto"/>
        <w:bottom w:val="none" w:sz="0" w:space="0" w:color="auto"/>
        <w:right w:val="none" w:sz="0" w:space="0" w:color="auto"/>
      </w:divBdr>
    </w:div>
    <w:div w:id="170998958">
      <w:bodyDiv w:val="1"/>
      <w:marLeft w:val="0"/>
      <w:marRight w:val="0"/>
      <w:marTop w:val="0"/>
      <w:marBottom w:val="0"/>
      <w:divBdr>
        <w:top w:val="none" w:sz="0" w:space="0" w:color="auto"/>
        <w:left w:val="none" w:sz="0" w:space="0" w:color="auto"/>
        <w:bottom w:val="none" w:sz="0" w:space="0" w:color="auto"/>
        <w:right w:val="none" w:sz="0" w:space="0" w:color="auto"/>
      </w:divBdr>
      <w:divsChild>
        <w:div w:id="1100906228">
          <w:marLeft w:val="0"/>
          <w:marRight w:val="0"/>
          <w:marTop w:val="0"/>
          <w:marBottom w:val="150"/>
          <w:divBdr>
            <w:top w:val="none" w:sz="0" w:space="0" w:color="auto"/>
            <w:left w:val="none" w:sz="0" w:space="0" w:color="auto"/>
            <w:bottom w:val="none" w:sz="0" w:space="0" w:color="auto"/>
            <w:right w:val="none" w:sz="0" w:space="0" w:color="auto"/>
          </w:divBdr>
        </w:div>
        <w:div w:id="1287395009">
          <w:marLeft w:val="0"/>
          <w:marRight w:val="0"/>
          <w:marTop w:val="0"/>
          <w:marBottom w:val="0"/>
          <w:divBdr>
            <w:top w:val="none" w:sz="0" w:space="0" w:color="auto"/>
            <w:left w:val="none" w:sz="0" w:space="0" w:color="auto"/>
            <w:bottom w:val="none" w:sz="0" w:space="0" w:color="auto"/>
            <w:right w:val="none" w:sz="0" w:space="0" w:color="auto"/>
          </w:divBdr>
          <w:divsChild>
            <w:div w:id="453715532">
              <w:marLeft w:val="0"/>
              <w:marRight w:val="0"/>
              <w:marTop w:val="0"/>
              <w:marBottom w:val="0"/>
              <w:divBdr>
                <w:top w:val="none" w:sz="0" w:space="0" w:color="auto"/>
                <w:left w:val="none" w:sz="0" w:space="0" w:color="auto"/>
                <w:bottom w:val="none" w:sz="0" w:space="0" w:color="auto"/>
                <w:right w:val="none" w:sz="0" w:space="0" w:color="auto"/>
              </w:divBdr>
            </w:div>
          </w:divsChild>
        </w:div>
        <w:div w:id="1633635195">
          <w:marLeft w:val="0"/>
          <w:marRight w:val="0"/>
          <w:marTop w:val="0"/>
          <w:marBottom w:val="150"/>
          <w:divBdr>
            <w:top w:val="none" w:sz="0" w:space="0" w:color="auto"/>
            <w:left w:val="none" w:sz="0" w:space="0" w:color="auto"/>
            <w:bottom w:val="none" w:sz="0" w:space="0" w:color="auto"/>
            <w:right w:val="none" w:sz="0" w:space="0" w:color="auto"/>
          </w:divBdr>
          <w:divsChild>
            <w:div w:id="210865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15130">
      <w:bodyDiv w:val="1"/>
      <w:marLeft w:val="0"/>
      <w:marRight w:val="0"/>
      <w:marTop w:val="0"/>
      <w:marBottom w:val="0"/>
      <w:divBdr>
        <w:top w:val="none" w:sz="0" w:space="0" w:color="auto"/>
        <w:left w:val="none" w:sz="0" w:space="0" w:color="auto"/>
        <w:bottom w:val="none" w:sz="0" w:space="0" w:color="auto"/>
        <w:right w:val="none" w:sz="0" w:space="0" w:color="auto"/>
      </w:divBdr>
      <w:divsChild>
        <w:div w:id="1812209219">
          <w:marLeft w:val="0"/>
          <w:marRight w:val="0"/>
          <w:marTop w:val="0"/>
          <w:marBottom w:val="0"/>
          <w:divBdr>
            <w:top w:val="none" w:sz="0" w:space="0" w:color="auto"/>
            <w:left w:val="none" w:sz="0" w:space="0" w:color="auto"/>
            <w:bottom w:val="none" w:sz="0" w:space="0" w:color="auto"/>
            <w:right w:val="none" w:sz="0" w:space="0" w:color="auto"/>
          </w:divBdr>
        </w:div>
      </w:divsChild>
    </w:div>
    <w:div w:id="171146146">
      <w:bodyDiv w:val="1"/>
      <w:marLeft w:val="0"/>
      <w:marRight w:val="0"/>
      <w:marTop w:val="0"/>
      <w:marBottom w:val="0"/>
      <w:divBdr>
        <w:top w:val="none" w:sz="0" w:space="0" w:color="auto"/>
        <w:left w:val="none" w:sz="0" w:space="0" w:color="auto"/>
        <w:bottom w:val="none" w:sz="0" w:space="0" w:color="auto"/>
        <w:right w:val="none" w:sz="0" w:space="0" w:color="auto"/>
      </w:divBdr>
    </w:div>
    <w:div w:id="171334894">
      <w:bodyDiv w:val="1"/>
      <w:marLeft w:val="0"/>
      <w:marRight w:val="0"/>
      <w:marTop w:val="0"/>
      <w:marBottom w:val="0"/>
      <w:divBdr>
        <w:top w:val="none" w:sz="0" w:space="0" w:color="auto"/>
        <w:left w:val="none" w:sz="0" w:space="0" w:color="auto"/>
        <w:bottom w:val="none" w:sz="0" w:space="0" w:color="auto"/>
        <w:right w:val="none" w:sz="0" w:space="0" w:color="auto"/>
      </w:divBdr>
      <w:divsChild>
        <w:div w:id="34156311">
          <w:marLeft w:val="0"/>
          <w:marRight w:val="0"/>
          <w:marTop w:val="0"/>
          <w:marBottom w:val="0"/>
          <w:divBdr>
            <w:top w:val="none" w:sz="0" w:space="0" w:color="auto"/>
            <w:left w:val="none" w:sz="0" w:space="0" w:color="auto"/>
            <w:bottom w:val="none" w:sz="0" w:space="0" w:color="auto"/>
            <w:right w:val="none" w:sz="0" w:space="0" w:color="auto"/>
          </w:divBdr>
          <w:divsChild>
            <w:div w:id="261689759">
              <w:marLeft w:val="0"/>
              <w:marRight w:val="0"/>
              <w:marTop w:val="0"/>
              <w:marBottom w:val="0"/>
              <w:divBdr>
                <w:top w:val="none" w:sz="0" w:space="0" w:color="auto"/>
                <w:left w:val="none" w:sz="0" w:space="0" w:color="auto"/>
                <w:bottom w:val="none" w:sz="0" w:space="0" w:color="auto"/>
                <w:right w:val="none" w:sz="0" w:space="0" w:color="auto"/>
              </w:divBdr>
              <w:divsChild>
                <w:div w:id="397170441">
                  <w:marLeft w:val="0"/>
                  <w:marRight w:val="0"/>
                  <w:marTop w:val="0"/>
                  <w:marBottom w:val="0"/>
                  <w:divBdr>
                    <w:top w:val="none" w:sz="0" w:space="0" w:color="auto"/>
                    <w:left w:val="none" w:sz="0" w:space="0" w:color="auto"/>
                    <w:bottom w:val="none" w:sz="0" w:space="0" w:color="auto"/>
                    <w:right w:val="none" w:sz="0" w:space="0" w:color="auto"/>
                  </w:divBdr>
                  <w:divsChild>
                    <w:div w:id="1844776518">
                      <w:marLeft w:val="0"/>
                      <w:marRight w:val="0"/>
                      <w:marTop w:val="0"/>
                      <w:marBottom w:val="0"/>
                      <w:divBdr>
                        <w:top w:val="none" w:sz="0" w:space="0" w:color="auto"/>
                        <w:left w:val="none" w:sz="0" w:space="0" w:color="auto"/>
                        <w:bottom w:val="none" w:sz="0" w:space="0" w:color="auto"/>
                        <w:right w:val="none" w:sz="0" w:space="0" w:color="auto"/>
                      </w:divBdr>
                      <w:divsChild>
                        <w:div w:id="1991902588">
                          <w:marLeft w:val="0"/>
                          <w:marRight w:val="0"/>
                          <w:marTop w:val="0"/>
                          <w:marBottom w:val="0"/>
                          <w:divBdr>
                            <w:top w:val="none" w:sz="0" w:space="0" w:color="auto"/>
                            <w:left w:val="none" w:sz="0" w:space="0" w:color="auto"/>
                            <w:bottom w:val="none" w:sz="0" w:space="0" w:color="auto"/>
                            <w:right w:val="none" w:sz="0" w:space="0" w:color="auto"/>
                          </w:divBdr>
                          <w:divsChild>
                            <w:div w:id="1240871836">
                              <w:marLeft w:val="0"/>
                              <w:marRight w:val="0"/>
                              <w:marTop w:val="0"/>
                              <w:marBottom w:val="0"/>
                              <w:divBdr>
                                <w:top w:val="none" w:sz="0" w:space="0" w:color="auto"/>
                                <w:left w:val="none" w:sz="0" w:space="0" w:color="auto"/>
                                <w:bottom w:val="none" w:sz="0" w:space="0" w:color="auto"/>
                                <w:right w:val="none" w:sz="0" w:space="0" w:color="auto"/>
                              </w:divBdr>
                              <w:divsChild>
                                <w:div w:id="754785934">
                                  <w:marLeft w:val="0"/>
                                  <w:marRight w:val="0"/>
                                  <w:marTop w:val="0"/>
                                  <w:marBottom w:val="0"/>
                                  <w:divBdr>
                                    <w:top w:val="none" w:sz="0" w:space="0" w:color="auto"/>
                                    <w:left w:val="none" w:sz="0" w:space="0" w:color="auto"/>
                                    <w:bottom w:val="none" w:sz="0" w:space="0" w:color="auto"/>
                                    <w:right w:val="none" w:sz="0" w:space="0" w:color="auto"/>
                                  </w:divBdr>
                                  <w:divsChild>
                                    <w:div w:id="95082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30921">
      <w:bodyDiv w:val="1"/>
      <w:marLeft w:val="0"/>
      <w:marRight w:val="0"/>
      <w:marTop w:val="0"/>
      <w:marBottom w:val="0"/>
      <w:divBdr>
        <w:top w:val="none" w:sz="0" w:space="0" w:color="auto"/>
        <w:left w:val="none" w:sz="0" w:space="0" w:color="auto"/>
        <w:bottom w:val="none" w:sz="0" w:space="0" w:color="auto"/>
        <w:right w:val="none" w:sz="0" w:space="0" w:color="auto"/>
      </w:divBdr>
      <w:divsChild>
        <w:div w:id="1626960924">
          <w:marLeft w:val="0"/>
          <w:marRight w:val="0"/>
          <w:marTop w:val="0"/>
          <w:marBottom w:val="0"/>
          <w:divBdr>
            <w:top w:val="none" w:sz="0" w:space="0" w:color="auto"/>
            <w:left w:val="none" w:sz="0" w:space="0" w:color="auto"/>
            <w:bottom w:val="none" w:sz="0" w:space="0" w:color="auto"/>
            <w:right w:val="none" w:sz="0" w:space="0" w:color="auto"/>
          </w:divBdr>
          <w:divsChild>
            <w:div w:id="229274094">
              <w:marLeft w:val="0"/>
              <w:marRight w:val="0"/>
              <w:marTop w:val="0"/>
              <w:marBottom w:val="0"/>
              <w:divBdr>
                <w:top w:val="none" w:sz="0" w:space="0" w:color="auto"/>
                <w:left w:val="none" w:sz="0" w:space="0" w:color="auto"/>
                <w:bottom w:val="none" w:sz="0" w:space="0" w:color="auto"/>
                <w:right w:val="none" w:sz="0" w:space="0" w:color="auto"/>
              </w:divBdr>
              <w:divsChild>
                <w:div w:id="1353798372">
                  <w:marLeft w:val="0"/>
                  <w:marRight w:val="0"/>
                  <w:marTop w:val="0"/>
                  <w:marBottom w:val="0"/>
                  <w:divBdr>
                    <w:top w:val="none" w:sz="0" w:space="0" w:color="auto"/>
                    <w:left w:val="none" w:sz="0" w:space="0" w:color="auto"/>
                    <w:bottom w:val="none" w:sz="0" w:space="0" w:color="auto"/>
                    <w:right w:val="none" w:sz="0" w:space="0" w:color="auto"/>
                  </w:divBdr>
                </w:div>
              </w:divsChild>
            </w:div>
            <w:div w:id="18044229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1841537">
      <w:bodyDiv w:val="1"/>
      <w:marLeft w:val="0"/>
      <w:marRight w:val="0"/>
      <w:marTop w:val="0"/>
      <w:marBottom w:val="0"/>
      <w:divBdr>
        <w:top w:val="none" w:sz="0" w:space="0" w:color="auto"/>
        <w:left w:val="none" w:sz="0" w:space="0" w:color="auto"/>
        <w:bottom w:val="none" w:sz="0" w:space="0" w:color="auto"/>
        <w:right w:val="none" w:sz="0" w:space="0" w:color="auto"/>
      </w:divBdr>
      <w:divsChild>
        <w:div w:id="1166285853">
          <w:marLeft w:val="0"/>
          <w:marRight w:val="0"/>
          <w:marTop w:val="0"/>
          <w:marBottom w:val="0"/>
          <w:divBdr>
            <w:top w:val="none" w:sz="0" w:space="0" w:color="auto"/>
            <w:left w:val="none" w:sz="0" w:space="0" w:color="auto"/>
            <w:bottom w:val="none" w:sz="0" w:space="0" w:color="auto"/>
            <w:right w:val="none" w:sz="0" w:space="0" w:color="auto"/>
          </w:divBdr>
          <w:divsChild>
            <w:div w:id="819153231">
              <w:marLeft w:val="0"/>
              <w:marRight w:val="0"/>
              <w:marTop w:val="0"/>
              <w:marBottom w:val="375"/>
              <w:divBdr>
                <w:top w:val="none" w:sz="0" w:space="0" w:color="auto"/>
                <w:left w:val="none" w:sz="0" w:space="0" w:color="auto"/>
                <w:bottom w:val="none" w:sz="0" w:space="0" w:color="auto"/>
                <w:right w:val="none" w:sz="0" w:space="0" w:color="auto"/>
              </w:divBdr>
            </w:div>
            <w:div w:id="1864439644">
              <w:marLeft w:val="0"/>
              <w:marRight w:val="0"/>
              <w:marTop w:val="0"/>
              <w:marBottom w:val="225"/>
              <w:divBdr>
                <w:top w:val="none" w:sz="0" w:space="0" w:color="auto"/>
                <w:left w:val="none" w:sz="0" w:space="0" w:color="auto"/>
                <w:bottom w:val="none" w:sz="0" w:space="0" w:color="auto"/>
                <w:right w:val="none" w:sz="0" w:space="0" w:color="auto"/>
              </w:divBdr>
              <w:divsChild>
                <w:div w:id="224881706">
                  <w:marLeft w:val="0"/>
                  <w:marRight w:val="0"/>
                  <w:marTop w:val="0"/>
                  <w:marBottom w:val="150"/>
                  <w:divBdr>
                    <w:top w:val="none" w:sz="0" w:space="0" w:color="auto"/>
                    <w:left w:val="none" w:sz="0" w:space="0" w:color="auto"/>
                    <w:bottom w:val="none" w:sz="0" w:space="0" w:color="auto"/>
                    <w:right w:val="none" w:sz="0" w:space="0" w:color="auto"/>
                  </w:divBdr>
                </w:div>
                <w:div w:id="413674636">
                  <w:marLeft w:val="0"/>
                  <w:marRight w:val="0"/>
                  <w:marTop w:val="0"/>
                  <w:marBottom w:val="150"/>
                  <w:divBdr>
                    <w:top w:val="none" w:sz="0" w:space="0" w:color="auto"/>
                    <w:left w:val="none" w:sz="0" w:space="0" w:color="auto"/>
                    <w:bottom w:val="none" w:sz="0" w:space="0" w:color="auto"/>
                    <w:right w:val="none" w:sz="0" w:space="0" w:color="auto"/>
                  </w:divBdr>
                </w:div>
                <w:div w:id="657853499">
                  <w:marLeft w:val="0"/>
                  <w:marRight w:val="0"/>
                  <w:marTop w:val="0"/>
                  <w:marBottom w:val="150"/>
                  <w:divBdr>
                    <w:top w:val="none" w:sz="0" w:space="0" w:color="auto"/>
                    <w:left w:val="none" w:sz="0" w:space="0" w:color="auto"/>
                    <w:bottom w:val="none" w:sz="0" w:space="0" w:color="auto"/>
                    <w:right w:val="none" w:sz="0" w:space="0" w:color="auto"/>
                  </w:divBdr>
                  <w:divsChild>
                    <w:div w:id="1678196064">
                      <w:marLeft w:val="0"/>
                      <w:marRight w:val="0"/>
                      <w:marTop w:val="0"/>
                      <w:marBottom w:val="150"/>
                      <w:divBdr>
                        <w:top w:val="none" w:sz="0" w:space="0" w:color="auto"/>
                        <w:left w:val="none" w:sz="0" w:space="0" w:color="auto"/>
                        <w:bottom w:val="none" w:sz="0" w:space="0" w:color="auto"/>
                        <w:right w:val="none" w:sz="0" w:space="0" w:color="auto"/>
                      </w:divBdr>
                      <w:divsChild>
                        <w:div w:id="137777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747206">
                  <w:marLeft w:val="0"/>
                  <w:marRight w:val="0"/>
                  <w:marTop w:val="0"/>
                  <w:marBottom w:val="150"/>
                  <w:divBdr>
                    <w:top w:val="none" w:sz="0" w:space="0" w:color="auto"/>
                    <w:left w:val="none" w:sz="0" w:space="0" w:color="auto"/>
                    <w:bottom w:val="none" w:sz="0" w:space="0" w:color="auto"/>
                    <w:right w:val="none" w:sz="0" w:space="0" w:color="auto"/>
                  </w:divBdr>
                </w:div>
                <w:div w:id="868756055">
                  <w:marLeft w:val="0"/>
                  <w:marRight w:val="0"/>
                  <w:marTop w:val="0"/>
                  <w:marBottom w:val="150"/>
                  <w:divBdr>
                    <w:top w:val="none" w:sz="0" w:space="0" w:color="auto"/>
                    <w:left w:val="none" w:sz="0" w:space="0" w:color="auto"/>
                    <w:bottom w:val="none" w:sz="0" w:space="0" w:color="auto"/>
                    <w:right w:val="none" w:sz="0" w:space="0" w:color="auto"/>
                  </w:divBdr>
                </w:div>
                <w:div w:id="962154805">
                  <w:marLeft w:val="0"/>
                  <w:marRight w:val="0"/>
                  <w:marTop w:val="0"/>
                  <w:marBottom w:val="150"/>
                  <w:divBdr>
                    <w:top w:val="none" w:sz="0" w:space="0" w:color="auto"/>
                    <w:left w:val="none" w:sz="0" w:space="0" w:color="auto"/>
                    <w:bottom w:val="none" w:sz="0" w:space="0" w:color="auto"/>
                    <w:right w:val="none" w:sz="0" w:space="0" w:color="auto"/>
                  </w:divBdr>
                </w:div>
                <w:div w:id="1126006692">
                  <w:marLeft w:val="0"/>
                  <w:marRight w:val="0"/>
                  <w:marTop w:val="0"/>
                  <w:marBottom w:val="150"/>
                  <w:divBdr>
                    <w:top w:val="none" w:sz="0" w:space="0" w:color="auto"/>
                    <w:left w:val="none" w:sz="0" w:space="0" w:color="auto"/>
                    <w:bottom w:val="none" w:sz="0" w:space="0" w:color="auto"/>
                    <w:right w:val="none" w:sz="0" w:space="0" w:color="auto"/>
                  </w:divBdr>
                </w:div>
                <w:div w:id="1142497945">
                  <w:marLeft w:val="0"/>
                  <w:marRight w:val="0"/>
                  <w:marTop w:val="0"/>
                  <w:marBottom w:val="150"/>
                  <w:divBdr>
                    <w:top w:val="none" w:sz="0" w:space="0" w:color="auto"/>
                    <w:left w:val="none" w:sz="0" w:space="0" w:color="auto"/>
                    <w:bottom w:val="none" w:sz="0" w:space="0" w:color="auto"/>
                    <w:right w:val="none" w:sz="0" w:space="0" w:color="auto"/>
                  </w:divBdr>
                </w:div>
                <w:div w:id="1160122199">
                  <w:marLeft w:val="0"/>
                  <w:marRight w:val="0"/>
                  <w:marTop w:val="0"/>
                  <w:marBottom w:val="150"/>
                  <w:divBdr>
                    <w:top w:val="none" w:sz="0" w:space="0" w:color="auto"/>
                    <w:left w:val="none" w:sz="0" w:space="0" w:color="auto"/>
                    <w:bottom w:val="none" w:sz="0" w:space="0" w:color="auto"/>
                    <w:right w:val="none" w:sz="0" w:space="0" w:color="auto"/>
                  </w:divBdr>
                </w:div>
                <w:div w:id="1329821840">
                  <w:marLeft w:val="0"/>
                  <w:marRight w:val="0"/>
                  <w:marTop w:val="0"/>
                  <w:marBottom w:val="150"/>
                  <w:divBdr>
                    <w:top w:val="none" w:sz="0" w:space="0" w:color="auto"/>
                    <w:left w:val="none" w:sz="0" w:space="0" w:color="auto"/>
                    <w:bottom w:val="none" w:sz="0" w:space="0" w:color="auto"/>
                    <w:right w:val="none" w:sz="0" w:space="0" w:color="auto"/>
                  </w:divBdr>
                </w:div>
                <w:div w:id="1377122908">
                  <w:marLeft w:val="0"/>
                  <w:marRight w:val="0"/>
                  <w:marTop w:val="0"/>
                  <w:marBottom w:val="150"/>
                  <w:divBdr>
                    <w:top w:val="none" w:sz="0" w:space="0" w:color="auto"/>
                    <w:left w:val="none" w:sz="0" w:space="0" w:color="auto"/>
                    <w:bottom w:val="none" w:sz="0" w:space="0" w:color="auto"/>
                    <w:right w:val="none" w:sz="0" w:space="0" w:color="auto"/>
                  </w:divBdr>
                </w:div>
                <w:div w:id="1681081437">
                  <w:marLeft w:val="0"/>
                  <w:marRight w:val="0"/>
                  <w:marTop w:val="0"/>
                  <w:marBottom w:val="150"/>
                  <w:divBdr>
                    <w:top w:val="none" w:sz="0" w:space="0" w:color="auto"/>
                    <w:left w:val="none" w:sz="0" w:space="0" w:color="auto"/>
                    <w:bottom w:val="none" w:sz="0" w:space="0" w:color="auto"/>
                    <w:right w:val="none" w:sz="0" w:space="0" w:color="auto"/>
                  </w:divBdr>
                </w:div>
                <w:div w:id="1823546612">
                  <w:marLeft w:val="0"/>
                  <w:marRight w:val="0"/>
                  <w:marTop w:val="0"/>
                  <w:marBottom w:val="150"/>
                  <w:divBdr>
                    <w:top w:val="none" w:sz="0" w:space="0" w:color="auto"/>
                    <w:left w:val="none" w:sz="0" w:space="0" w:color="auto"/>
                    <w:bottom w:val="none" w:sz="0" w:space="0" w:color="auto"/>
                    <w:right w:val="none" w:sz="0" w:space="0" w:color="auto"/>
                  </w:divBdr>
                </w:div>
                <w:div w:id="1993944259">
                  <w:marLeft w:val="0"/>
                  <w:marRight w:val="0"/>
                  <w:marTop w:val="0"/>
                  <w:marBottom w:val="150"/>
                  <w:divBdr>
                    <w:top w:val="none" w:sz="0" w:space="0" w:color="auto"/>
                    <w:left w:val="none" w:sz="0" w:space="0" w:color="auto"/>
                    <w:bottom w:val="none" w:sz="0" w:space="0" w:color="auto"/>
                    <w:right w:val="none" w:sz="0" w:space="0" w:color="auto"/>
                  </w:divBdr>
                </w:div>
                <w:div w:id="2009477320">
                  <w:marLeft w:val="0"/>
                  <w:marRight w:val="0"/>
                  <w:marTop w:val="0"/>
                  <w:marBottom w:val="150"/>
                  <w:divBdr>
                    <w:top w:val="none" w:sz="0" w:space="0" w:color="auto"/>
                    <w:left w:val="none" w:sz="0" w:space="0" w:color="auto"/>
                    <w:bottom w:val="none" w:sz="0" w:space="0" w:color="auto"/>
                    <w:right w:val="none" w:sz="0" w:space="0" w:color="auto"/>
                  </w:divBdr>
                </w:div>
                <w:div w:id="21114617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76329793">
          <w:marLeft w:val="0"/>
          <w:marRight w:val="0"/>
          <w:marTop w:val="0"/>
          <w:marBottom w:val="150"/>
          <w:divBdr>
            <w:top w:val="none" w:sz="0" w:space="0" w:color="auto"/>
            <w:left w:val="none" w:sz="0" w:space="0" w:color="auto"/>
            <w:bottom w:val="none" w:sz="0" w:space="0" w:color="auto"/>
            <w:right w:val="none" w:sz="0" w:space="0" w:color="auto"/>
          </w:divBdr>
        </w:div>
      </w:divsChild>
    </w:div>
    <w:div w:id="172182481">
      <w:bodyDiv w:val="1"/>
      <w:marLeft w:val="0"/>
      <w:marRight w:val="0"/>
      <w:marTop w:val="0"/>
      <w:marBottom w:val="0"/>
      <w:divBdr>
        <w:top w:val="none" w:sz="0" w:space="0" w:color="auto"/>
        <w:left w:val="none" w:sz="0" w:space="0" w:color="auto"/>
        <w:bottom w:val="none" w:sz="0" w:space="0" w:color="auto"/>
        <w:right w:val="none" w:sz="0" w:space="0" w:color="auto"/>
      </w:divBdr>
    </w:div>
    <w:div w:id="172381485">
      <w:bodyDiv w:val="1"/>
      <w:marLeft w:val="0"/>
      <w:marRight w:val="0"/>
      <w:marTop w:val="0"/>
      <w:marBottom w:val="0"/>
      <w:divBdr>
        <w:top w:val="none" w:sz="0" w:space="0" w:color="auto"/>
        <w:left w:val="none" w:sz="0" w:space="0" w:color="auto"/>
        <w:bottom w:val="none" w:sz="0" w:space="0" w:color="auto"/>
        <w:right w:val="none" w:sz="0" w:space="0" w:color="auto"/>
      </w:divBdr>
      <w:divsChild>
        <w:div w:id="201283914">
          <w:marLeft w:val="0"/>
          <w:marRight w:val="0"/>
          <w:marTop w:val="0"/>
          <w:marBottom w:val="75"/>
          <w:divBdr>
            <w:top w:val="none" w:sz="0" w:space="0" w:color="auto"/>
            <w:left w:val="none" w:sz="0" w:space="0" w:color="auto"/>
            <w:bottom w:val="none" w:sz="0" w:space="0" w:color="auto"/>
            <w:right w:val="none" w:sz="0" w:space="0" w:color="auto"/>
          </w:divBdr>
        </w:div>
        <w:div w:id="1091048056">
          <w:marLeft w:val="0"/>
          <w:marRight w:val="0"/>
          <w:marTop w:val="0"/>
          <w:marBottom w:val="0"/>
          <w:divBdr>
            <w:top w:val="none" w:sz="0" w:space="0" w:color="auto"/>
            <w:left w:val="none" w:sz="0" w:space="0" w:color="auto"/>
            <w:bottom w:val="none" w:sz="0" w:space="0" w:color="auto"/>
            <w:right w:val="none" w:sz="0" w:space="0" w:color="auto"/>
          </w:divBdr>
          <w:divsChild>
            <w:div w:id="1995136765">
              <w:marLeft w:val="0"/>
              <w:marRight w:val="0"/>
              <w:marTop w:val="0"/>
              <w:marBottom w:val="0"/>
              <w:divBdr>
                <w:top w:val="none" w:sz="0" w:space="0" w:color="auto"/>
                <w:left w:val="none" w:sz="0" w:space="0" w:color="auto"/>
                <w:bottom w:val="none" w:sz="0" w:space="0" w:color="auto"/>
                <w:right w:val="none" w:sz="0" w:space="0" w:color="auto"/>
              </w:divBdr>
              <w:divsChild>
                <w:div w:id="38063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02089">
      <w:bodyDiv w:val="1"/>
      <w:marLeft w:val="0"/>
      <w:marRight w:val="0"/>
      <w:marTop w:val="0"/>
      <w:marBottom w:val="0"/>
      <w:divBdr>
        <w:top w:val="none" w:sz="0" w:space="0" w:color="auto"/>
        <w:left w:val="none" w:sz="0" w:space="0" w:color="auto"/>
        <w:bottom w:val="none" w:sz="0" w:space="0" w:color="auto"/>
        <w:right w:val="none" w:sz="0" w:space="0" w:color="auto"/>
      </w:divBdr>
    </w:div>
    <w:div w:id="172766414">
      <w:bodyDiv w:val="1"/>
      <w:marLeft w:val="0"/>
      <w:marRight w:val="0"/>
      <w:marTop w:val="0"/>
      <w:marBottom w:val="0"/>
      <w:divBdr>
        <w:top w:val="none" w:sz="0" w:space="0" w:color="auto"/>
        <w:left w:val="none" w:sz="0" w:space="0" w:color="auto"/>
        <w:bottom w:val="none" w:sz="0" w:space="0" w:color="auto"/>
        <w:right w:val="none" w:sz="0" w:space="0" w:color="auto"/>
      </w:divBdr>
      <w:divsChild>
        <w:div w:id="1992175325">
          <w:marLeft w:val="0"/>
          <w:marRight w:val="0"/>
          <w:marTop w:val="0"/>
          <w:marBottom w:val="150"/>
          <w:divBdr>
            <w:top w:val="none" w:sz="0" w:space="0" w:color="auto"/>
            <w:left w:val="none" w:sz="0" w:space="0" w:color="auto"/>
            <w:bottom w:val="none" w:sz="0" w:space="0" w:color="auto"/>
            <w:right w:val="none" w:sz="0" w:space="0" w:color="auto"/>
          </w:divBdr>
          <w:divsChild>
            <w:div w:id="1014303591">
              <w:marLeft w:val="0"/>
              <w:marRight w:val="0"/>
              <w:marTop w:val="0"/>
              <w:marBottom w:val="0"/>
              <w:divBdr>
                <w:top w:val="none" w:sz="0" w:space="0" w:color="auto"/>
                <w:left w:val="none" w:sz="0" w:space="0" w:color="auto"/>
                <w:bottom w:val="none" w:sz="0" w:space="0" w:color="auto"/>
                <w:right w:val="none" w:sz="0" w:space="0" w:color="auto"/>
              </w:divBdr>
              <w:divsChild>
                <w:div w:id="1702317400">
                  <w:marLeft w:val="0"/>
                  <w:marRight w:val="0"/>
                  <w:marTop w:val="0"/>
                  <w:marBottom w:val="0"/>
                  <w:divBdr>
                    <w:top w:val="none" w:sz="0" w:space="0" w:color="auto"/>
                    <w:left w:val="none" w:sz="0" w:space="0" w:color="auto"/>
                    <w:bottom w:val="none" w:sz="0" w:space="0" w:color="auto"/>
                    <w:right w:val="none" w:sz="0" w:space="0" w:color="auto"/>
                  </w:divBdr>
                  <w:divsChild>
                    <w:div w:id="1533575053">
                      <w:marLeft w:val="0"/>
                      <w:marRight w:val="150"/>
                      <w:marTop w:val="0"/>
                      <w:marBottom w:val="0"/>
                      <w:divBdr>
                        <w:top w:val="none" w:sz="0" w:space="0" w:color="auto"/>
                        <w:left w:val="none" w:sz="0" w:space="0" w:color="auto"/>
                        <w:bottom w:val="none" w:sz="0" w:space="0" w:color="auto"/>
                        <w:right w:val="none" w:sz="0" w:space="0" w:color="auto"/>
                      </w:divBdr>
                      <w:divsChild>
                        <w:div w:id="104864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344988">
          <w:marLeft w:val="0"/>
          <w:marRight w:val="0"/>
          <w:marTop w:val="0"/>
          <w:marBottom w:val="150"/>
          <w:divBdr>
            <w:top w:val="none" w:sz="0" w:space="0" w:color="auto"/>
            <w:left w:val="none" w:sz="0" w:space="0" w:color="auto"/>
            <w:bottom w:val="none" w:sz="0" w:space="0" w:color="auto"/>
            <w:right w:val="none" w:sz="0" w:space="0" w:color="auto"/>
          </w:divBdr>
        </w:div>
        <w:div w:id="2010986960">
          <w:marLeft w:val="0"/>
          <w:marRight w:val="0"/>
          <w:marTop w:val="0"/>
          <w:marBottom w:val="0"/>
          <w:divBdr>
            <w:top w:val="none" w:sz="0" w:space="0" w:color="auto"/>
            <w:left w:val="none" w:sz="0" w:space="0" w:color="auto"/>
            <w:bottom w:val="none" w:sz="0" w:space="0" w:color="auto"/>
            <w:right w:val="none" w:sz="0" w:space="0" w:color="auto"/>
          </w:divBdr>
          <w:divsChild>
            <w:div w:id="4134757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2844401">
      <w:bodyDiv w:val="1"/>
      <w:marLeft w:val="0"/>
      <w:marRight w:val="0"/>
      <w:marTop w:val="0"/>
      <w:marBottom w:val="0"/>
      <w:divBdr>
        <w:top w:val="none" w:sz="0" w:space="0" w:color="auto"/>
        <w:left w:val="none" w:sz="0" w:space="0" w:color="auto"/>
        <w:bottom w:val="none" w:sz="0" w:space="0" w:color="auto"/>
        <w:right w:val="none" w:sz="0" w:space="0" w:color="auto"/>
      </w:divBdr>
    </w:div>
    <w:div w:id="173032980">
      <w:bodyDiv w:val="1"/>
      <w:marLeft w:val="0"/>
      <w:marRight w:val="0"/>
      <w:marTop w:val="0"/>
      <w:marBottom w:val="0"/>
      <w:divBdr>
        <w:top w:val="none" w:sz="0" w:space="0" w:color="auto"/>
        <w:left w:val="none" w:sz="0" w:space="0" w:color="auto"/>
        <w:bottom w:val="none" w:sz="0" w:space="0" w:color="auto"/>
        <w:right w:val="none" w:sz="0" w:space="0" w:color="auto"/>
      </w:divBdr>
    </w:div>
    <w:div w:id="173232008">
      <w:bodyDiv w:val="1"/>
      <w:marLeft w:val="0"/>
      <w:marRight w:val="0"/>
      <w:marTop w:val="0"/>
      <w:marBottom w:val="0"/>
      <w:divBdr>
        <w:top w:val="none" w:sz="0" w:space="0" w:color="auto"/>
        <w:left w:val="none" w:sz="0" w:space="0" w:color="auto"/>
        <w:bottom w:val="none" w:sz="0" w:space="0" w:color="auto"/>
        <w:right w:val="none" w:sz="0" w:space="0" w:color="auto"/>
      </w:divBdr>
    </w:div>
    <w:div w:id="173616052">
      <w:bodyDiv w:val="1"/>
      <w:marLeft w:val="0"/>
      <w:marRight w:val="0"/>
      <w:marTop w:val="0"/>
      <w:marBottom w:val="0"/>
      <w:divBdr>
        <w:top w:val="none" w:sz="0" w:space="0" w:color="auto"/>
        <w:left w:val="none" w:sz="0" w:space="0" w:color="auto"/>
        <w:bottom w:val="none" w:sz="0" w:space="0" w:color="auto"/>
        <w:right w:val="none" w:sz="0" w:space="0" w:color="auto"/>
      </w:divBdr>
    </w:div>
    <w:div w:id="174005467">
      <w:bodyDiv w:val="1"/>
      <w:marLeft w:val="0"/>
      <w:marRight w:val="0"/>
      <w:marTop w:val="0"/>
      <w:marBottom w:val="0"/>
      <w:divBdr>
        <w:top w:val="none" w:sz="0" w:space="0" w:color="auto"/>
        <w:left w:val="none" w:sz="0" w:space="0" w:color="auto"/>
        <w:bottom w:val="none" w:sz="0" w:space="0" w:color="auto"/>
        <w:right w:val="none" w:sz="0" w:space="0" w:color="auto"/>
      </w:divBdr>
      <w:divsChild>
        <w:div w:id="803886334">
          <w:marLeft w:val="0"/>
          <w:marRight w:val="0"/>
          <w:marTop w:val="0"/>
          <w:marBottom w:val="150"/>
          <w:divBdr>
            <w:top w:val="none" w:sz="0" w:space="0" w:color="auto"/>
            <w:left w:val="none" w:sz="0" w:space="0" w:color="auto"/>
            <w:bottom w:val="none" w:sz="0" w:space="0" w:color="auto"/>
            <w:right w:val="none" w:sz="0" w:space="0" w:color="auto"/>
          </w:divBdr>
          <w:divsChild>
            <w:div w:id="1086532355">
              <w:marLeft w:val="0"/>
              <w:marRight w:val="0"/>
              <w:marTop w:val="0"/>
              <w:marBottom w:val="0"/>
              <w:divBdr>
                <w:top w:val="none" w:sz="0" w:space="0" w:color="auto"/>
                <w:left w:val="none" w:sz="0" w:space="0" w:color="auto"/>
                <w:bottom w:val="none" w:sz="0" w:space="0" w:color="auto"/>
                <w:right w:val="none" w:sz="0" w:space="0" w:color="auto"/>
              </w:divBdr>
              <w:divsChild>
                <w:div w:id="981427582">
                  <w:marLeft w:val="0"/>
                  <w:marRight w:val="0"/>
                  <w:marTop w:val="0"/>
                  <w:marBottom w:val="0"/>
                  <w:divBdr>
                    <w:top w:val="none" w:sz="0" w:space="0" w:color="auto"/>
                    <w:left w:val="none" w:sz="0" w:space="0" w:color="auto"/>
                    <w:bottom w:val="none" w:sz="0" w:space="0" w:color="auto"/>
                    <w:right w:val="none" w:sz="0" w:space="0" w:color="auto"/>
                  </w:divBdr>
                  <w:divsChild>
                    <w:div w:id="924653551">
                      <w:marLeft w:val="0"/>
                      <w:marRight w:val="150"/>
                      <w:marTop w:val="0"/>
                      <w:marBottom w:val="0"/>
                      <w:divBdr>
                        <w:top w:val="none" w:sz="0" w:space="0" w:color="auto"/>
                        <w:left w:val="none" w:sz="0" w:space="0" w:color="auto"/>
                        <w:bottom w:val="none" w:sz="0" w:space="0" w:color="auto"/>
                        <w:right w:val="none" w:sz="0" w:space="0" w:color="auto"/>
                      </w:divBdr>
                      <w:divsChild>
                        <w:div w:id="94851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507360">
          <w:marLeft w:val="0"/>
          <w:marRight w:val="0"/>
          <w:marTop w:val="0"/>
          <w:marBottom w:val="150"/>
          <w:divBdr>
            <w:top w:val="none" w:sz="0" w:space="0" w:color="auto"/>
            <w:left w:val="none" w:sz="0" w:space="0" w:color="auto"/>
            <w:bottom w:val="none" w:sz="0" w:space="0" w:color="auto"/>
            <w:right w:val="none" w:sz="0" w:space="0" w:color="auto"/>
          </w:divBdr>
        </w:div>
        <w:div w:id="1017007320">
          <w:marLeft w:val="0"/>
          <w:marRight w:val="0"/>
          <w:marTop w:val="0"/>
          <w:marBottom w:val="0"/>
          <w:divBdr>
            <w:top w:val="none" w:sz="0" w:space="0" w:color="auto"/>
            <w:left w:val="none" w:sz="0" w:space="0" w:color="auto"/>
            <w:bottom w:val="none" w:sz="0" w:space="0" w:color="auto"/>
            <w:right w:val="none" w:sz="0" w:space="0" w:color="auto"/>
          </w:divBdr>
          <w:divsChild>
            <w:div w:id="140432870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4611281">
      <w:bodyDiv w:val="1"/>
      <w:marLeft w:val="0"/>
      <w:marRight w:val="0"/>
      <w:marTop w:val="0"/>
      <w:marBottom w:val="0"/>
      <w:divBdr>
        <w:top w:val="none" w:sz="0" w:space="0" w:color="auto"/>
        <w:left w:val="none" w:sz="0" w:space="0" w:color="auto"/>
        <w:bottom w:val="none" w:sz="0" w:space="0" w:color="auto"/>
        <w:right w:val="none" w:sz="0" w:space="0" w:color="auto"/>
      </w:divBdr>
      <w:divsChild>
        <w:div w:id="1108769871">
          <w:marLeft w:val="0"/>
          <w:marRight w:val="0"/>
          <w:marTop w:val="0"/>
          <w:marBottom w:val="0"/>
          <w:divBdr>
            <w:top w:val="none" w:sz="0" w:space="0" w:color="auto"/>
            <w:left w:val="none" w:sz="0" w:space="0" w:color="auto"/>
            <w:bottom w:val="none" w:sz="0" w:space="0" w:color="auto"/>
            <w:right w:val="none" w:sz="0" w:space="0" w:color="auto"/>
          </w:divBdr>
          <w:divsChild>
            <w:div w:id="4660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53999">
      <w:bodyDiv w:val="1"/>
      <w:marLeft w:val="0"/>
      <w:marRight w:val="0"/>
      <w:marTop w:val="0"/>
      <w:marBottom w:val="0"/>
      <w:divBdr>
        <w:top w:val="none" w:sz="0" w:space="0" w:color="auto"/>
        <w:left w:val="none" w:sz="0" w:space="0" w:color="auto"/>
        <w:bottom w:val="none" w:sz="0" w:space="0" w:color="auto"/>
        <w:right w:val="none" w:sz="0" w:space="0" w:color="auto"/>
      </w:divBdr>
      <w:divsChild>
        <w:div w:id="1908958112">
          <w:marLeft w:val="0"/>
          <w:marRight w:val="0"/>
          <w:marTop w:val="0"/>
          <w:marBottom w:val="0"/>
          <w:divBdr>
            <w:top w:val="none" w:sz="0" w:space="0" w:color="auto"/>
            <w:left w:val="none" w:sz="0" w:space="0" w:color="auto"/>
            <w:bottom w:val="none" w:sz="0" w:space="0" w:color="auto"/>
            <w:right w:val="none" w:sz="0" w:space="0" w:color="auto"/>
          </w:divBdr>
        </w:div>
      </w:divsChild>
    </w:div>
    <w:div w:id="174921656">
      <w:bodyDiv w:val="1"/>
      <w:marLeft w:val="0"/>
      <w:marRight w:val="0"/>
      <w:marTop w:val="0"/>
      <w:marBottom w:val="0"/>
      <w:divBdr>
        <w:top w:val="none" w:sz="0" w:space="0" w:color="auto"/>
        <w:left w:val="none" w:sz="0" w:space="0" w:color="auto"/>
        <w:bottom w:val="none" w:sz="0" w:space="0" w:color="auto"/>
        <w:right w:val="none" w:sz="0" w:space="0" w:color="auto"/>
      </w:divBdr>
      <w:divsChild>
        <w:div w:id="560949706">
          <w:marLeft w:val="0"/>
          <w:marRight w:val="0"/>
          <w:marTop w:val="0"/>
          <w:marBottom w:val="0"/>
          <w:divBdr>
            <w:top w:val="none" w:sz="0" w:space="0" w:color="auto"/>
            <w:left w:val="none" w:sz="0" w:space="0" w:color="auto"/>
            <w:bottom w:val="none" w:sz="0" w:space="0" w:color="auto"/>
            <w:right w:val="none" w:sz="0" w:space="0" w:color="auto"/>
          </w:divBdr>
        </w:div>
      </w:divsChild>
    </w:div>
    <w:div w:id="175383527">
      <w:bodyDiv w:val="1"/>
      <w:marLeft w:val="0"/>
      <w:marRight w:val="0"/>
      <w:marTop w:val="0"/>
      <w:marBottom w:val="0"/>
      <w:divBdr>
        <w:top w:val="none" w:sz="0" w:space="0" w:color="auto"/>
        <w:left w:val="none" w:sz="0" w:space="0" w:color="auto"/>
        <w:bottom w:val="none" w:sz="0" w:space="0" w:color="auto"/>
        <w:right w:val="none" w:sz="0" w:space="0" w:color="auto"/>
      </w:divBdr>
      <w:divsChild>
        <w:div w:id="231083663">
          <w:marLeft w:val="0"/>
          <w:marRight w:val="0"/>
          <w:marTop w:val="0"/>
          <w:marBottom w:val="0"/>
          <w:divBdr>
            <w:top w:val="none" w:sz="0" w:space="0" w:color="auto"/>
            <w:left w:val="none" w:sz="0" w:space="0" w:color="auto"/>
            <w:bottom w:val="dotted" w:sz="6" w:space="4" w:color="DDDDDD"/>
            <w:right w:val="none" w:sz="0" w:space="0" w:color="auto"/>
          </w:divBdr>
          <w:divsChild>
            <w:div w:id="69291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5401">
      <w:bodyDiv w:val="1"/>
      <w:marLeft w:val="0"/>
      <w:marRight w:val="0"/>
      <w:marTop w:val="0"/>
      <w:marBottom w:val="0"/>
      <w:divBdr>
        <w:top w:val="none" w:sz="0" w:space="0" w:color="auto"/>
        <w:left w:val="none" w:sz="0" w:space="0" w:color="auto"/>
        <w:bottom w:val="none" w:sz="0" w:space="0" w:color="auto"/>
        <w:right w:val="none" w:sz="0" w:space="0" w:color="auto"/>
      </w:divBdr>
      <w:divsChild>
        <w:div w:id="1933857858">
          <w:marLeft w:val="0"/>
          <w:marRight w:val="0"/>
          <w:marTop w:val="0"/>
          <w:marBottom w:val="0"/>
          <w:divBdr>
            <w:top w:val="none" w:sz="0" w:space="0" w:color="auto"/>
            <w:left w:val="none" w:sz="0" w:space="0" w:color="auto"/>
            <w:bottom w:val="none" w:sz="0" w:space="0" w:color="auto"/>
            <w:right w:val="none" w:sz="0" w:space="0" w:color="auto"/>
          </w:divBdr>
          <w:divsChild>
            <w:div w:id="33249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56358">
      <w:bodyDiv w:val="1"/>
      <w:marLeft w:val="0"/>
      <w:marRight w:val="0"/>
      <w:marTop w:val="0"/>
      <w:marBottom w:val="0"/>
      <w:divBdr>
        <w:top w:val="none" w:sz="0" w:space="0" w:color="auto"/>
        <w:left w:val="none" w:sz="0" w:space="0" w:color="auto"/>
        <w:bottom w:val="none" w:sz="0" w:space="0" w:color="auto"/>
        <w:right w:val="none" w:sz="0" w:space="0" w:color="auto"/>
      </w:divBdr>
      <w:divsChild>
        <w:div w:id="821892798">
          <w:marLeft w:val="0"/>
          <w:marRight w:val="0"/>
          <w:marTop w:val="0"/>
          <w:marBottom w:val="0"/>
          <w:divBdr>
            <w:top w:val="none" w:sz="0" w:space="0" w:color="auto"/>
            <w:left w:val="none" w:sz="0" w:space="0" w:color="auto"/>
            <w:bottom w:val="dotted" w:sz="6" w:space="4" w:color="DDDDDD"/>
            <w:right w:val="none" w:sz="0" w:space="0" w:color="auto"/>
          </w:divBdr>
          <w:divsChild>
            <w:div w:id="140125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6797">
      <w:bodyDiv w:val="1"/>
      <w:marLeft w:val="0"/>
      <w:marRight w:val="0"/>
      <w:marTop w:val="0"/>
      <w:marBottom w:val="0"/>
      <w:divBdr>
        <w:top w:val="none" w:sz="0" w:space="0" w:color="auto"/>
        <w:left w:val="none" w:sz="0" w:space="0" w:color="auto"/>
        <w:bottom w:val="none" w:sz="0" w:space="0" w:color="auto"/>
        <w:right w:val="none" w:sz="0" w:space="0" w:color="auto"/>
      </w:divBdr>
      <w:divsChild>
        <w:div w:id="1417435082">
          <w:marLeft w:val="0"/>
          <w:marRight w:val="0"/>
          <w:marTop w:val="0"/>
          <w:marBottom w:val="0"/>
          <w:divBdr>
            <w:top w:val="none" w:sz="0" w:space="0" w:color="auto"/>
            <w:left w:val="none" w:sz="0" w:space="0" w:color="auto"/>
            <w:bottom w:val="dotted" w:sz="6" w:space="4" w:color="DDDDDD"/>
            <w:right w:val="none" w:sz="0" w:space="0" w:color="auto"/>
          </w:divBdr>
          <w:divsChild>
            <w:div w:id="15345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80461">
      <w:bodyDiv w:val="1"/>
      <w:marLeft w:val="0"/>
      <w:marRight w:val="0"/>
      <w:marTop w:val="0"/>
      <w:marBottom w:val="0"/>
      <w:divBdr>
        <w:top w:val="none" w:sz="0" w:space="0" w:color="auto"/>
        <w:left w:val="none" w:sz="0" w:space="0" w:color="auto"/>
        <w:bottom w:val="none" w:sz="0" w:space="0" w:color="auto"/>
        <w:right w:val="none" w:sz="0" w:space="0" w:color="auto"/>
      </w:divBdr>
      <w:divsChild>
        <w:div w:id="1650985405">
          <w:marLeft w:val="0"/>
          <w:marRight w:val="0"/>
          <w:marTop w:val="0"/>
          <w:marBottom w:val="450"/>
          <w:divBdr>
            <w:top w:val="none" w:sz="0" w:space="0" w:color="auto"/>
            <w:left w:val="none" w:sz="0" w:space="0" w:color="auto"/>
            <w:bottom w:val="single" w:sz="6" w:space="19" w:color="EEEEEE"/>
            <w:right w:val="none" w:sz="0" w:space="0" w:color="auto"/>
          </w:divBdr>
          <w:divsChild>
            <w:div w:id="506868358">
              <w:marLeft w:val="0"/>
              <w:marRight w:val="0"/>
              <w:marTop w:val="0"/>
              <w:marBottom w:val="150"/>
              <w:divBdr>
                <w:top w:val="none" w:sz="0" w:space="0" w:color="auto"/>
                <w:left w:val="none" w:sz="0" w:space="0" w:color="auto"/>
                <w:bottom w:val="none" w:sz="0" w:space="0" w:color="auto"/>
                <w:right w:val="none" w:sz="0" w:space="0" w:color="auto"/>
              </w:divBdr>
              <w:divsChild>
                <w:div w:id="976642169">
                  <w:marLeft w:val="0"/>
                  <w:marRight w:val="0"/>
                  <w:marTop w:val="0"/>
                  <w:marBottom w:val="0"/>
                  <w:divBdr>
                    <w:top w:val="none" w:sz="0" w:space="0" w:color="auto"/>
                    <w:left w:val="none" w:sz="0" w:space="0" w:color="auto"/>
                    <w:bottom w:val="none" w:sz="0" w:space="0" w:color="auto"/>
                    <w:right w:val="none" w:sz="0" w:space="0" w:color="auto"/>
                  </w:divBdr>
                </w:div>
              </w:divsChild>
            </w:div>
            <w:div w:id="1645698074">
              <w:marLeft w:val="0"/>
              <w:marRight w:val="0"/>
              <w:marTop w:val="0"/>
              <w:marBottom w:val="0"/>
              <w:divBdr>
                <w:top w:val="none" w:sz="0" w:space="0" w:color="auto"/>
                <w:left w:val="none" w:sz="0" w:space="0" w:color="auto"/>
                <w:bottom w:val="none" w:sz="0" w:space="0" w:color="auto"/>
                <w:right w:val="none" w:sz="0" w:space="0" w:color="auto"/>
              </w:divBdr>
            </w:div>
          </w:divsChild>
        </w:div>
        <w:div w:id="1593005729">
          <w:marLeft w:val="0"/>
          <w:marRight w:val="0"/>
          <w:marTop w:val="0"/>
          <w:marBottom w:val="0"/>
          <w:divBdr>
            <w:top w:val="none" w:sz="0" w:space="0" w:color="auto"/>
            <w:left w:val="none" w:sz="0" w:space="0" w:color="auto"/>
            <w:bottom w:val="none" w:sz="0" w:space="0" w:color="auto"/>
            <w:right w:val="none" w:sz="0" w:space="0" w:color="auto"/>
          </w:divBdr>
          <w:divsChild>
            <w:div w:id="1904221445">
              <w:marLeft w:val="0"/>
              <w:marRight w:val="0"/>
              <w:marTop w:val="0"/>
              <w:marBottom w:val="0"/>
              <w:divBdr>
                <w:top w:val="none" w:sz="0" w:space="0" w:color="auto"/>
                <w:left w:val="none" w:sz="0" w:space="0" w:color="auto"/>
                <w:bottom w:val="none" w:sz="0" w:space="0" w:color="auto"/>
                <w:right w:val="none" w:sz="0" w:space="0" w:color="auto"/>
              </w:divBdr>
              <w:divsChild>
                <w:div w:id="50378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65426">
      <w:bodyDiv w:val="1"/>
      <w:marLeft w:val="0"/>
      <w:marRight w:val="0"/>
      <w:marTop w:val="0"/>
      <w:marBottom w:val="0"/>
      <w:divBdr>
        <w:top w:val="none" w:sz="0" w:space="0" w:color="auto"/>
        <w:left w:val="none" w:sz="0" w:space="0" w:color="auto"/>
        <w:bottom w:val="none" w:sz="0" w:space="0" w:color="auto"/>
        <w:right w:val="none" w:sz="0" w:space="0" w:color="auto"/>
      </w:divBdr>
      <w:divsChild>
        <w:div w:id="157306509">
          <w:marLeft w:val="0"/>
          <w:marRight w:val="0"/>
          <w:marTop w:val="0"/>
          <w:marBottom w:val="0"/>
          <w:divBdr>
            <w:top w:val="none" w:sz="0" w:space="0" w:color="auto"/>
            <w:left w:val="none" w:sz="0" w:space="0" w:color="auto"/>
            <w:bottom w:val="none" w:sz="0" w:space="0" w:color="auto"/>
            <w:right w:val="none" w:sz="0" w:space="0" w:color="auto"/>
          </w:divBdr>
        </w:div>
        <w:div w:id="806362522">
          <w:marLeft w:val="0"/>
          <w:marRight w:val="0"/>
          <w:marTop w:val="0"/>
          <w:marBottom w:val="150"/>
          <w:divBdr>
            <w:top w:val="none" w:sz="0" w:space="0" w:color="auto"/>
            <w:left w:val="none" w:sz="0" w:space="0" w:color="auto"/>
            <w:bottom w:val="none" w:sz="0" w:space="0" w:color="auto"/>
            <w:right w:val="none" w:sz="0" w:space="0" w:color="auto"/>
          </w:divBdr>
        </w:div>
      </w:divsChild>
    </w:div>
    <w:div w:id="176966104">
      <w:bodyDiv w:val="1"/>
      <w:marLeft w:val="0"/>
      <w:marRight w:val="0"/>
      <w:marTop w:val="0"/>
      <w:marBottom w:val="0"/>
      <w:divBdr>
        <w:top w:val="none" w:sz="0" w:space="0" w:color="auto"/>
        <w:left w:val="none" w:sz="0" w:space="0" w:color="auto"/>
        <w:bottom w:val="none" w:sz="0" w:space="0" w:color="auto"/>
        <w:right w:val="none" w:sz="0" w:space="0" w:color="auto"/>
      </w:divBdr>
      <w:divsChild>
        <w:div w:id="38359834">
          <w:marLeft w:val="0"/>
          <w:marRight w:val="0"/>
          <w:marTop w:val="0"/>
          <w:marBottom w:val="0"/>
          <w:divBdr>
            <w:top w:val="none" w:sz="0" w:space="0" w:color="auto"/>
            <w:left w:val="none" w:sz="0" w:space="0" w:color="auto"/>
            <w:bottom w:val="dotted" w:sz="6" w:space="4" w:color="DDDDDD"/>
            <w:right w:val="none" w:sz="0" w:space="0" w:color="auto"/>
          </w:divBdr>
          <w:divsChild>
            <w:div w:id="1060398761">
              <w:marLeft w:val="0"/>
              <w:marRight w:val="0"/>
              <w:marTop w:val="0"/>
              <w:marBottom w:val="0"/>
              <w:divBdr>
                <w:top w:val="none" w:sz="0" w:space="0" w:color="auto"/>
                <w:left w:val="none" w:sz="0" w:space="0" w:color="auto"/>
                <w:bottom w:val="none" w:sz="0" w:space="0" w:color="auto"/>
                <w:right w:val="none" w:sz="0" w:space="0" w:color="auto"/>
              </w:divBdr>
            </w:div>
          </w:divsChild>
        </w:div>
        <w:div w:id="753431587">
          <w:marLeft w:val="0"/>
          <w:marRight w:val="0"/>
          <w:marTop w:val="0"/>
          <w:marBottom w:val="0"/>
          <w:divBdr>
            <w:top w:val="none" w:sz="0" w:space="0" w:color="auto"/>
            <w:left w:val="none" w:sz="0" w:space="0" w:color="auto"/>
            <w:bottom w:val="none" w:sz="0" w:space="0" w:color="auto"/>
            <w:right w:val="none" w:sz="0" w:space="0" w:color="auto"/>
          </w:divBdr>
        </w:div>
      </w:divsChild>
    </w:div>
    <w:div w:id="177236219">
      <w:bodyDiv w:val="1"/>
      <w:marLeft w:val="0"/>
      <w:marRight w:val="0"/>
      <w:marTop w:val="0"/>
      <w:marBottom w:val="0"/>
      <w:divBdr>
        <w:top w:val="none" w:sz="0" w:space="0" w:color="auto"/>
        <w:left w:val="none" w:sz="0" w:space="0" w:color="auto"/>
        <w:bottom w:val="none" w:sz="0" w:space="0" w:color="auto"/>
        <w:right w:val="none" w:sz="0" w:space="0" w:color="auto"/>
      </w:divBdr>
      <w:divsChild>
        <w:div w:id="2022120994">
          <w:marLeft w:val="0"/>
          <w:marRight w:val="0"/>
          <w:marTop w:val="0"/>
          <w:marBottom w:val="0"/>
          <w:divBdr>
            <w:top w:val="none" w:sz="0" w:space="0" w:color="auto"/>
            <w:left w:val="none" w:sz="0" w:space="0" w:color="auto"/>
            <w:bottom w:val="none" w:sz="0" w:space="0" w:color="auto"/>
            <w:right w:val="none" w:sz="0" w:space="0" w:color="auto"/>
          </w:divBdr>
          <w:divsChild>
            <w:div w:id="1887717047">
              <w:marLeft w:val="0"/>
              <w:marRight w:val="0"/>
              <w:marTop w:val="0"/>
              <w:marBottom w:val="0"/>
              <w:divBdr>
                <w:top w:val="none" w:sz="0" w:space="0" w:color="auto"/>
                <w:left w:val="none" w:sz="0" w:space="0" w:color="auto"/>
                <w:bottom w:val="none" w:sz="0" w:space="0" w:color="auto"/>
                <w:right w:val="none" w:sz="0" w:space="0" w:color="auto"/>
              </w:divBdr>
              <w:divsChild>
                <w:div w:id="1611274655">
                  <w:marLeft w:val="0"/>
                  <w:marRight w:val="0"/>
                  <w:marTop w:val="0"/>
                  <w:marBottom w:val="0"/>
                  <w:divBdr>
                    <w:top w:val="none" w:sz="0" w:space="0" w:color="auto"/>
                    <w:left w:val="none" w:sz="0" w:space="0" w:color="auto"/>
                    <w:bottom w:val="none" w:sz="0" w:space="0" w:color="auto"/>
                    <w:right w:val="none" w:sz="0" w:space="0" w:color="auto"/>
                  </w:divBdr>
                  <w:divsChild>
                    <w:div w:id="1207643719">
                      <w:marLeft w:val="0"/>
                      <w:marRight w:val="0"/>
                      <w:marTop w:val="0"/>
                      <w:marBottom w:val="0"/>
                      <w:divBdr>
                        <w:top w:val="none" w:sz="0" w:space="0" w:color="auto"/>
                        <w:left w:val="none" w:sz="0" w:space="0" w:color="auto"/>
                        <w:bottom w:val="none" w:sz="0" w:space="0" w:color="auto"/>
                        <w:right w:val="none" w:sz="0" w:space="0" w:color="auto"/>
                      </w:divBdr>
                      <w:divsChild>
                        <w:div w:id="983268296">
                          <w:marLeft w:val="0"/>
                          <w:marRight w:val="0"/>
                          <w:marTop w:val="0"/>
                          <w:marBottom w:val="0"/>
                          <w:divBdr>
                            <w:top w:val="none" w:sz="0" w:space="0" w:color="auto"/>
                            <w:left w:val="none" w:sz="0" w:space="0" w:color="auto"/>
                            <w:bottom w:val="none" w:sz="0" w:space="0" w:color="auto"/>
                            <w:right w:val="none" w:sz="0" w:space="0" w:color="auto"/>
                          </w:divBdr>
                          <w:divsChild>
                            <w:div w:id="106039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98199">
      <w:bodyDiv w:val="1"/>
      <w:marLeft w:val="0"/>
      <w:marRight w:val="0"/>
      <w:marTop w:val="0"/>
      <w:marBottom w:val="0"/>
      <w:divBdr>
        <w:top w:val="none" w:sz="0" w:space="0" w:color="auto"/>
        <w:left w:val="none" w:sz="0" w:space="0" w:color="auto"/>
        <w:bottom w:val="none" w:sz="0" w:space="0" w:color="auto"/>
        <w:right w:val="none" w:sz="0" w:space="0" w:color="auto"/>
      </w:divBdr>
      <w:divsChild>
        <w:div w:id="1305509005">
          <w:marLeft w:val="0"/>
          <w:marRight w:val="0"/>
          <w:marTop w:val="0"/>
          <w:marBottom w:val="150"/>
          <w:divBdr>
            <w:top w:val="none" w:sz="0" w:space="0" w:color="auto"/>
            <w:left w:val="none" w:sz="0" w:space="0" w:color="auto"/>
            <w:bottom w:val="none" w:sz="0" w:space="0" w:color="auto"/>
            <w:right w:val="none" w:sz="0" w:space="0" w:color="auto"/>
          </w:divBdr>
        </w:div>
        <w:div w:id="1891843243">
          <w:marLeft w:val="0"/>
          <w:marRight w:val="0"/>
          <w:marTop w:val="0"/>
          <w:marBottom w:val="0"/>
          <w:divBdr>
            <w:top w:val="none" w:sz="0" w:space="0" w:color="auto"/>
            <w:left w:val="none" w:sz="0" w:space="0" w:color="auto"/>
            <w:bottom w:val="none" w:sz="0" w:space="0" w:color="auto"/>
            <w:right w:val="none" w:sz="0" w:space="0" w:color="auto"/>
          </w:divBdr>
          <w:divsChild>
            <w:div w:id="1278100344">
              <w:marLeft w:val="0"/>
              <w:marRight w:val="0"/>
              <w:marTop w:val="225"/>
              <w:marBottom w:val="225"/>
              <w:divBdr>
                <w:top w:val="none" w:sz="0" w:space="0" w:color="auto"/>
                <w:left w:val="none" w:sz="0" w:space="0" w:color="auto"/>
                <w:bottom w:val="none" w:sz="0" w:space="0" w:color="auto"/>
                <w:right w:val="none" w:sz="0" w:space="0" w:color="auto"/>
              </w:divBdr>
            </w:div>
          </w:divsChild>
        </w:div>
        <w:div w:id="1947033695">
          <w:marLeft w:val="0"/>
          <w:marRight w:val="0"/>
          <w:marTop w:val="0"/>
          <w:marBottom w:val="150"/>
          <w:divBdr>
            <w:top w:val="none" w:sz="0" w:space="0" w:color="auto"/>
            <w:left w:val="none" w:sz="0" w:space="0" w:color="auto"/>
            <w:bottom w:val="none" w:sz="0" w:space="0" w:color="auto"/>
            <w:right w:val="none" w:sz="0" w:space="0" w:color="auto"/>
          </w:divBdr>
          <w:divsChild>
            <w:div w:id="1946110781">
              <w:marLeft w:val="0"/>
              <w:marRight w:val="0"/>
              <w:marTop w:val="0"/>
              <w:marBottom w:val="0"/>
              <w:divBdr>
                <w:top w:val="none" w:sz="0" w:space="0" w:color="auto"/>
                <w:left w:val="none" w:sz="0" w:space="0" w:color="auto"/>
                <w:bottom w:val="none" w:sz="0" w:space="0" w:color="auto"/>
                <w:right w:val="none" w:sz="0" w:space="0" w:color="auto"/>
              </w:divBdr>
              <w:divsChild>
                <w:div w:id="126795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56287">
      <w:bodyDiv w:val="1"/>
      <w:marLeft w:val="0"/>
      <w:marRight w:val="0"/>
      <w:marTop w:val="0"/>
      <w:marBottom w:val="0"/>
      <w:divBdr>
        <w:top w:val="none" w:sz="0" w:space="0" w:color="auto"/>
        <w:left w:val="none" w:sz="0" w:space="0" w:color="auto"/>
        <w:bottom w:val="none" w:sz="0" w:space="0" w:color="auto"/>
        <w:right w:val="none" w:sz="0" w:space="0" w:color="auto"/>
      </w:divBdr>
    </w:div>
    <w:div w:id="179054192">
      <w:bodyDiv w:val="1"/>
      <w:marLeft w:val="0"/>
      <w:marRight w:val="0"/>
      <w:marTop w:val="0"/>
      <w:marBottom w:val="0"/>
      <w:divBdr>
        <w:top w:val="none" w:sz="0" w:space="0" w:color="auto"/>
        <w:left w:val="none" w:sz="0" w:space="0" w:color="auto"/>
        <w:bottom w:val="none" w:sz="0" w:space="0" w:color="auto"/>
        <w:right w:val="none" w:sz="0" w:space="0" w:color="auto"/>
      </w:divBdr>
      <w:divsChild>
        <w:div w:id="349110402">
          <w:marLeft w:val="0"/>
          <w:marRight w:val="0"/>
          <w:marTop w:val="0"/>
          <w:marBottom w:val="150"/>
          <w:divBdr>
            <w:top w:val="none" w:sz="0" w:space="0" w:color="auto"/>
            <w:left w:val="none" w:sz="0" w:space="0" w:color="auto"/>
            <w:bottom w:val="none" w:sz="0" w:space="0" w:color="auto"/>
            <w:right w:val="none" w:sz="0" w:space="0" w:color="auto"/>
          </w:divBdr>
        </w:div>
        <w:div w:id="563027493">
          <w:marLeft w:val="0"/>
          <w:marRight w:val="0"/>
          <w:marTop w:val="0"/>
          <w:marBottom w:val="150"/>
          <w:divBdr>
            <w:top w:val="none" w:sz="0" w:space="0" w:color="auto"/>
            <w:left w:val="none" w:sz="0" w:space="0" w:color="auto"/>
            <w:bottom w:val="none" w:sz="0" w:space="0" w:color="auto"/>
            <w:right w:val="none" w:sz="0" w:space="0" w:color="auto"/>
          </w:divBdr>
        </w:div>
        <w:div w:id="1773354859">
          <w:marLeft w:val="0"/>
          <w:marRight w:val="0"/>
          <w:marTop w:val="0"/>
          <w:marBottom w:val="150"/>
          <w:divBdr>
            <w:top w:val="none" w:sz="0" w:space="0" w:color="auto"/>
            <w:left w:val="none" w:sz="0" w:space="0" w:color="auto"/>
            <w:bottom w:val="none" w:sz="0" w:space="0" w:color="auto"/>
            <w:right w:val="none" w:sz="0" w:space="0" w:color="auto"/>
          </w:divBdr>
        </w:div>
        <w:div w:id="1996031297">
          <w:marLeft w:val="0"/>
          <w:marRight w:val="0"/>
          <w:marTop w:val="0"/>
          <w:marBottom w:val="150"/>
          <w:divBdr>
            <w:top w:val="none" w:sz="0" w:space="0" w:color="auto"/>
            <w:left w:val="none" w:sz="0" w:space="0" w:color="auto"/>
            <w:bottom w:val="none" w:sz="0" w:space="0" w:color="auto"/>
            <w:right w:val="none" w:sz="0" w:space="0" w:color="auto"/>
          </w:divBdr>
        </w:div>
      </w:divsChild>
    </w:div>
    <w:div w:id="179123035">
      <w:bodyDiv w:val="1"/>
      <w:marLeft w:val="0"/>
      <w:marRight w:val="0"/>
      <w:marTop w:val="0"/>
      <w:marBottom w:val="0"/>
      <w:divBdr>
        <w:top w:val="none" w:sz="0" w:space="0" w:color="auto"/>
        <w:left w:val="none" w:sz="0" w:space="0" w:color="auto"/>
        <w:bottom w:val="none" w:sz="0" w:space="0" w:color="auto"/>
        <w:right w:val="none" w:sz="0" w:space="0" w:color="auto"/>
      </w:divBdr>
      <w:divsChild>
        <w:div w:id="713702685">
          <w:marLeft w:val="0"/>
          <w:marRight w:val="0"/>
          <w:marTop w:val="0"/>
          <w:marBottom w:val="0"/>
          <w:divBdr>
            <w:top w:val="none" w:sz="0" w:space="0" w:color="auto"/>
            <w:left w:val="none" w:sz="0" w:space="0" w:color="auto"/>
            <w:bottom w:val="none" w:sz="0" w:space="0" w:color="auto"/>
            <w:right w:val="none" w:sz="0" w:space="0" w:color="auto"/>
          </w:divBdr>
          <w:divsChild>
            <w:div w:id="497305606">
              <w:marLeft w:val="0"/>
              <w:marRight w:val="0"/>
              <w:marTop w:val="0"/>
              <w:marBottom w:val="0"/>
              <w:divBdr>
                <w:top w:val="none" w:sz="0" w:space="0" w:color="auto"/>
                <w:left w:val="none" w:sz="0" w:space="0" w:color="auto"/>
                <w:bottom w:val="none" w:sz="0" w:space="0" w:color="auto"/>
                <w:right w:val="none" w:sz="0" w:space="0" w:color="auto"/>
              </w:divBdr>
              <w:divsChild>
                <w:div w:id="253512213">
                  <w:marLeft w:val="0"/>
                  <w:marRight w:val="0"/>
                  <w:marTop w:val="0"/>
                  <w:marBottom w:val="0"/>
                  <w:divBdr>
                    <w:top w:val="none" w:sz="0" w:space="0" w:color="auto"/>
                    <w:left w:val="none" w:sz="0" w:space="0" w:color="auto"/>
                    <w:bottom w:val="none" w:sz="0" w:space="0" w:color="auto"/>
                    <w:right w:val="none" w:sz="0" w:space="0" w:color="auto"/>
                  </w:divBdr>
                  <w:divsChild>
                    <w:div w:id="1836875125">
                      <w:marLeft w:val="0"/>
                      <w:marRight w:val="0"/>
                      <w:marTop w:val="0"/>
                      <w:marBottom w:val="0"/>
                      <w:divBdr>
                        <w:top w:val="none" w:sz="0" w:space="0" w:color="auto"/>
                        <w:left w:val="none" w:sz="0" w:space="0" w:color="auto"/>
                        <w:bottom w:val="none" w:sz="0" w:space="0" w:color="auto"/>
                        <w:right w:val="none" w:sz="0" w:space="0" w:color="auto"/>
                      </w:divBdr>
                      <w:divsChild>
                        <w:div w:id="734666510">
                          <w:marLeft w:val="0"/>
                          <w:marRight w:val="0"/>
                          <w:marTop w:val="0"/>
                          <w:marBottom w:val="0"/>
                          <w:divBdr>
                            <w:top w:val="none" w:sz="0" w:space="0" w:color="auto"/>
                            <w:left w:val="none" w:sz="0" w:space="0" w:color="auto"/>
                            <w:bottom w:val="none" w:sz="0" w:space="0" w:color="auto"/>
                            <w:right w:val="none" w:sz="0" w:space="0" w:color="auto"/>
                          </w:divBdr>
                          <w:divsChild>
                            <w:div w:id="1131635223">
                              <w:marLeft w:val="0"/>
                              <w:marRight w:val="0"/>
                              <w:marTop w:val="0"/>
                              <w:marBottom w:val="0"/>
                              <w:divBdr>
                                <w:top w:val="none" w:sz="0" w:space="0" w:color="auto"/>
                                <w:left w:val="none" w:sz="0" w:space="0" w:color="auto"/>
                                <w:bottom w:val="none" w:sz="0" w:space="0" w:color="auto"/>
                                <w:right w:val="none" w:sz="0" w:space="0" w:color="auto"/>
                              </w:divBdr>
                              <w:divsChild>
                                <w:div w:id="553124963">
                                  <w:marLeft w:val="0"/>
                                  <w:marRight w:val="0"/>
                                  <w:marTop w:val="0"/>
                                  <w:marBottom w:val="0"/>
                                  <w:divBdr>
                                    <w:top w:val="none" w:sz="0" w:space="0" w:color="auto"/>
                                    <w:left w:val="none" w:sz="0" w:space="0" w:color="auto"/>
                                    <w:bottom w:val="none" w:sz="0" w:space="0" w:color="auto"/>
                                    <w:right w:val="none" w:sz="0" w:space="0" w:color="auto"/>
                                  </w:divBdr>
                                  <w:divsChild>
                                    <w:div w:id="68164707">
                                      <w:marLeft w:val="0"/>
                                      <w:marRight w:val="0"/>
                                      <w:marTop w:val="0"/>
                                      <w:marBottom w:val="0"/>
                                      <w:divBdr>
                                        <w:top w:val="none" w:sz="0" w:space="0" w:color="auto"/>
                                        <w:left w:val="none" w:sz="0" w:space="0" w:color="auto"/>
                                        <w:bottom w:val="none" w:sz="0" w:space="0" w:color="auto"/>
                                        <w:right w:val="none" w:sz="0" w:space="0" w:color="auto"/>
                                      </w:divBdr>
                                      <w:divsChild>
                                        <w:div w:id="172617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785684">
      <w:bodyDiv w:val="1"/>
      <w:marLeft w:val="0"/>
      <w:marRight w:val="0"/>
      <w:marTop w:val="0"/>
      <w:marBottom w:val="0"/>
      <w:divBdr>
        <w:top w:val="none" w:sz="0" w:space="0" w:color="auto"/>
        <w:left w:val="none" w:sz="0" w:space="0" w:color="auto"/>
        <w:bottom w:val="none" w:sz="0" w:space="0" w:color="auto"/>
        <w:right w:val="none" w:sz="0" w:space="0" w:color="auto"/>
      </w:divBdr>
      <w:divsChild>
        <w:div w:id="1689719493">
          <w:marLeft w:val="0"/>
          <w:marRight w:val="0"/>
          <w:marTop w:val="0"/>
          <w:marBottom w:val="0"/>
          <w:divBdr>
            <w:top w:val="none" w:sz="0" w:space="0" w:color="auto"/>
            <w:left w:val="none" w:sz="0" w:space="0" w:color="auto"/>
            <w:bottom w:val="none" w:sz="0" w:space="0" w:color="auto"/>
            <w:right w:val="none" w:sz="0" w:space="0" w:color="auto"/>
          </w:divBdr>
          <w:divsChild>
            <w:div w:id="1473522930">
              <w:marLeft w:val="0"/>
              <w:marRight w:val="0"/>
              <w:marTop w:val="0"/>
              <w:marBottom w:val="0"/>
              <w:divBdr>
                <w:top w:val="none" w:sz="0" w:space="0" w:color="auto"/>
                <w:left w:val="none" w:sz="0" w:space="0" w:color="auto"/>
                <w:bottom w:val="none" w:sz="0" w:space="0" w:color="auto"/>
                <w:right w:val="none" w:sz="0" w:space="0" w:color="auto"/>
              </w:divBdr>
            </w:div>
            <w:div w:id="16319383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9856842">
      <w:bodyDiv w:val="1"/>
      <w:marLeft w:val="0"/>
      <w:marRight w:val="0"/>
      <w:marTop w:val="0"/>
      <w:marBottom w:val="0"/>
      <w:divBdr>
        <w:top w:val="none" w:sz="0" w:space="0" w:color="auto"/>
        <w:left w:val="none" w:sz="0" w:space="0" w:color="auto"/>
        <w:bottom w:val="none" w:sz="0" w:space="0" w:color="auto"/>
        <w:right w:val="none" w:sz="0" w:space="0" w:color="auto"/>
      </w:divBdr>
      <w:divsChild>
        <w:div w:id="568618305">
          <w:marLeft w:val="0"/>
          <w:marRight w:val="0"/>
          <w:marTop w:val="0"/>
          <w:marBottom w:val="150"/>
          <w:divBdr>
            <w:top w:val="none" w:sz="0" w:space="0" w:color="auto"/>
            <w:left w:val="none" w:sz="0" w:space="0" w:color="auto"/>
            <w:bottom w:val="none" w:sz="0" w:space="0" w:color="auto"/>
            <w:right w:val="none" w:sz="0" w:space="0" w:color="auto"/>
          </w:divBdr>
        </w:div>
        <w:div w:id="1824421776">
          <w:marLeft w:val="0"/>
          <w:marRight w:val="0"/>
          <w:marTop w:val="0"/>
          <w:marBottom w:val="0"/>
          <w:divBdr>
            <w:top w:val="none" w:sz="0" w:space="0" w:color="auto"/>
            <w:left w:val="none" w:sz="0" w:space="0" w:color="auto"/>
            <w:bottom w:val="none" w:sz="0" w:space="0" w:color="auto"/>
            <w:right w:val="none" w:sz="0" w:space="0" w:color="auto"/>
          </w:divBdr>
          <w:divsChild>
            <w:div w:id="1190293518">
              <w:marLeft w:val="0"/>
              <w:marRight w:val="0"/>
              <w:marTop w:val="225"/>
              <w:marBottom w:val="225"/>
              <w:divBdr>
                <w:top w:val="none" w:sz="0" w:space="0" w:color="auto"/>
                <w:left w:val="none" w:sz="0" w:space="0" w:color="auto"/>
                <w:bottom w:val="none" w:sz="0" w:space="0" w:color="auto"/>
                <w:right w:val="none" w:sz="0" w:space="0" w:color="auto"/>
              </w:divBdr>
            </w:div>
          </w:divsChild>
        </w:div>
        <w:div w:id="2021203677">
          <w:marLeft w:val="0"/>
          <w:marRight w:val="0"/>
          <w:marTop w:val="0"/>
          <w:marBottom w:val="150"/>
          <w:divBdr>
            <w:top w:val="none" w:sz="0" w:space="0" w:color="auto"/>
            <w:left w:val="none" w:sz="0" w:space="0" w:color="auto"/>
            <w:bottom w:val="none" w:sz="0" w:space="0" w:color="auto"/>
            <w:right w:val="none" w:sz="0" w:space="0" w:color="auto"/>
          </w:divBdr>
          <w:divsChild>
            <w:div w:id="568733542">
              <w:marLeft w:val="0"/>
              <w:marRight w:val="0"/>
              <w:marTop w:val="0"/>
              <w:marBottom w:val="0"/>
              <w:divBdr>
                <w:top w:val="none" w:sz="0" w:space="0" w:color="auto"/>
                <w:left w:val="none" w:sz="0" w:space="0" w:color="auto"/>
                <w:bottom w:val="none" w:sz="0" w:space="0" w:color="auto"/>
                <w:right w:val="none" w:sz="0" w:space="0" w:color="auto"/>
              </w:divBdr>
              <w:divsChild>
                <w:div w:id="67275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57728">
      <w:bodyDiv w:val="1"/>
      <w:marLeft w:val="0"/>
      <w:marRight w:val="0"/>
      <w:marTop w:val="0"/>
      <w:marBottom w:val="0"/>
      <w:divBdr>
        <w:top w:val="none" w:sz="0" w:space="0" w:color="auto"/>
        <w:left w:val="none" w:sz="0" w:space="0" w:color="auto"/>
        <w:bottom w:val="none" w:sz="0" w:space="0" w:color="auto"/>
        <w:right w:val="none" w:sz="0" w:space="0" w:color="auto"/>
      </w:divBdr>
      <w:divsChild>
        <w:div w:id="1949042502">
          <w:marLeft w:val="0"/>
          <w:marRight w:val="0"/>
          <w:marTop w:val="0"/>
          <w:marBottom w:val="150"/>
          <w:divBdr>
            <w:top w:val="none" w:sz="0" w:space="0" w:color="auto"/>
            <w:left w:val="none" w:sz="0" w:space="0" w:color="auto"/>
            <w:bottom w:val="none" w:sz="0" w:space="0" w:color="auto"/>
            <w:right w:val="none" w:sz="0" w:space="0" w:color="auto"/>
          </w:divBdr>
        </w:div>
      </w:divsChild>
    </w:div>
    <w:div w:id="179903928">
      <w:bodyDiv w:val="1"/>
      <w:marLeft w:val="0"/>
      <w:marRight w:val="0"/>
      <w:marTop w:val="0"/>
      <w:marBottom w:val="0"/>
      <w:divBdr>
        <w:top w:val="none" w:sz="0" w:space="0" w:color="auto"/>
        <w:left w:val="none" w:sz="0" w:space="0" w:color="auto"/>
        <w:bottom w:val="none" w:sz="0" w:space="0" w:color="auto"/>
        <w:right w:val="none" w:sz="0" w:space="0" w:color="auto"/>
      </w:divBdr>
      <w:divsChild>
        <w:div w:id="1580361041">
          <w:marLeft w:val="0"/>
          <w:marRight w:val="0"/>
          <w:marTop w:val="0"/>
          <w:marBottom w:val="0"/>
          <w:divBdr>
            <w:top w:val="none" w:sz="0" w:space="0" w:color="auto"/>
            <w:left w:val="none" w:sz="0" w:space="0" w:color="auto"/>
            <w:bottom w:val="dotted" w:sz="6" w:space="4" w:color="DDDDDD"/>
            <w:right w:val="none" w:sz="0" w:space="0" w:color="auto"/>
          </w:divBdr>
          <w:divsChild>
            <w:div w:id="146566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56688">
      <w:bodyDiv w:val="1"/>
      <w:marLeft w:val="0"/>
      <w:marRight w:val="0"/>
      <w:marTop w:val="0"/>
      <w:marBottom w:val="0"/>
      <w:divBdr>
        <w:top w:val="none" w:sz="0" w:space="0" w:color="auto"/>
        <w:left w:val="none" w:sz="0" w:space="0" w:color="auto"/>
        <w:bottom w:val="none" w:sz="0" w:space="0" w:color="auto"/>
        <w:right w:val="none" w:sz="0" w:space="0" w:color="auto"/>
      </w:divBdr>
      <w:divsChild>
        <w:div w:id="629550560">
          <w:marLeft w:val="0"/>
          <w:marRight w:val="0"/>
          <w:marTop w:val="0"/>
          <w:marBottom w:val="0"/>
          <w:divBdr>
            <w:top w:val="none" w:sz="0" w:space="0" w:color="auto"/>
            <w:left w:val="none" w:sz="0" w:space="0" w:color="auto"/>
            <w:bottom w:val="none" w:sz="0" w:space="0" w:color="auto"/>
            <w:right w:val="none" w:sz="0" w:space="0" w:color="auto"/>
          </w:divBdr>
          <w:divsChild>
            <w:div w:id="1632318121">
              <w:marLeft w:val="0"/>
              <w:marRight w:val="0"/>
              <w:marTop w:val="0"/>
              <w:marBottom w:val="0"/>
              <w:divBdr>
                <w:top w:val="none" w:sz="0" w:space="0" w:color="auto"/>
                <w:left w:val="none" w:sz="0" w:space="0" w:color="auto"/>
                <w:bottom w:val="none" w:sz="0" w:space="0" w:color="auto"/>
                <w:right w:val="none" w:sz="0" w:space="0" w:color="auto"/>
              </w:divBdr>
              <w:divsChild>
                <w:div w:id="1939285591">
                  <w:marLeft w:val="0"/>
                  <w:marRight w:val="0"/>
                  <w:marTop w:val="0"/>
                  <w:marBottom w:val="0"/>
                  <w:divBdr>
                    <w:top w:val="none" w:sz="0" w:space="0" w:color="auto"/>
                    <w:left w:val="none" w:sz="0" w:space="0" w:color="auto"/>
                    <w:bottom w:val="none" w:sz="0" w:space="0" w:color="auto"/>
                    <w:right w:val="none" w:sz="0" w:space="0" w:color="auto"/>
                  </w:divBdr>
                  <w:divsChild>
                    <w:div w:id="455761729">
                      <w:marLeft w:val="0"/>
                      <w:marRight w:val="0"/>
                      <w:marTop w:val="0"/>
                      <w:marBottom w:val="0"/>
                      <w:divBdr>
                        <w:top w:val="none" w:sz="0" w:space="0" w:color="auto"/>
                        <w:left w:val="none" w:sz="0" w:space="0" w:color="auto"/>
                        <w:bottom w:val="none" w:sz="0" w:space="0" w:color="auto"/>
                        <w:right w:val="none" w:sz="0" w:space="0" w:color="auto"/>
                      </w:divBdr>
                      <w:divsChild>
                        <w:div w:id="1906449030">
                          <w:marLeft w:val="0"/>
                          <w:marRight w:val="0"/>
                          <w:marTop w:val="0"/>
                          <w:marBottom w:val="0"/>
                          <w:divBdr>
                            <w:top w:val="none" w:sz="0" w:space="0" w:color="auto"/>
                            <w:left w:val="none" w:sz="0" w:space="0" w:color="auto"/>
                            <w:bottom w:val="none" w:sz="0" w:space="0" w:color="auto"/>
                            <w:right w:val="none" w:sz="0" w:space="0" w:color="auto"/>
                          </w:divBdr>
                          <w:divsChild>
                            <w:div w:id="2130515315">
                              <w:marLeft w:val="0"/>
                              <w:marRight w:val="0"/>
                              <w:marTop w:val="0"/>
                              <w:marBottom w:val="0"/>
                              <w:divBdr>
                                <w:top w:val="none" w:sz="0" w:space="0" w:color="auto"/>
                                <w:left w:val="none" w:sz="0" w:space="0" w:color="auto"/>
                                <w:bottom w:val="none" w:sz="0" w:space="0" w:color="auto"/>
                                <w:right w:val="none" w:sz="0" w:space="0" w:color="auto"/>
                              </w:divBdr>
                              <w:divsChild>
                                <w:div w:id="245918117">
                                  <w:marLeft w:val="0"/>
                                  <w:marRight w:val="0"/>
                                  <w:marTop w:val="0"/>
                                  <w:marBottom w:val="0"/>
                                  <w:divBdr>
                                    <w:top w:val="none" w:sz="0" w:space="0" w:color="auto"/>
                                    <w:left w:val="none" w:sz="0" w:space="0" w:color="auto"/>
                                    <w:bottom w:val="none" w:sz="0" w:space="0" w:color="auto"/>
                                    <w:right w:val="none" w:sz="0" w:space="0" w:color="auto"/>
                                  </w:divBdr>
                                  <w:divsChild>
                                    <w:div w:id="207804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48725">
      <w:bodyDiv w:val="1"/>
      <w:marLeft w:val="0"/>
      <w:marRight w:val="0"/>
      <w:marTop w:val="0"/>
      <w:marBottom w:val="0"/>
      <w:divBdr>
        <w:top w:val="none" w:sz="0" w:space="0" w:color="auto"/>
        <w:left w:val="none" w:sz="0" w:space="0" w:color="auto"/>
        <w:bottom w:val="none" w:sz="0" w:space="0" w:color="auto"/>
        <w:right w:val="none" w:sz="0" w:space="0" w:color="auto"/>
      </w:divBdr>
      <w:divsChild>
        <w:div w:id="588780686">
          <w:marLeft w:val="0"/>
          <w:marRight w:val="0"/>
          <w:marTop w:val="0"/>
          <w:marBottom w:val="0"/>
          <w:divBdr>
            <w:top w:val="none" w:sz="0" w:space="0" w:color="auto"/>
            <w:left w:val="none" w:sz="0" w:space="0" w:color="auto"/>
            <w:bottom w:val="none" w:sz="0" w:space="0" w:color="auto"/>
            <w:right w:val="none" w:sz="0" w:space="0" w:color="auto"/>
          </w:divBdr>
        </w:div>
      </w:divsChild>
    </w:div>
    <w:div w:id="180751609">
      <w:bodyDiv w:val="1"/>
      <w:marLeft w:val="0"/>
      <w:marRight w:val="0"/>
      <w:marTop w:val="0"/>
      <w:marBottom w:val="0"/>
      <w:divBdr>
        <w:top w:val="none" w:sz="0" w:space="0" w:color="auto"/>
        <w:left w:val="none" w:sz="0" w:space="0" w:color="auto"/>
        <w:bottom w:val="none" w:sz="0" w:space="0" w:color="auto"/>
        <w:right w:val="none" w:sz="0" w:space="0" w:color="auto"/>
      </w:divBdr>
      <w:divsChild>
        <w:div w:id="473182739">
          <w:marLeft w:val="0"/>
          <w:marRight w:val="0"/>
          <w:marTop w:val="0"/>
          <w:marBottom w:val="0"/>
          <w:divBdr>
            <w:top w:val="none" w:sz="0" w:space="0" w:color="auto"/>
            <w:left w:val="none" w:sz="0" w:space="0" w:color="auto"/>
            <w:bottom w:val="none" w:sz="0" w:space="0" w:color="auto"/>
            <w:right w:val="none" w:sz="0" w:space="0" w:color="auto"/>
          </w:divBdr>
          <w:divsChild>
            <w:div w:id="1193684946">
              <w:marLeft w:val="0"/>
              <w:marRight w:val="0"/>
              <w:marTop w:val="0"/>
              <w:marBottom w:val="0"/>
              <w:divBdr>
                <w:top w:val="none" w:sz="0" w:space="0" w:color="auto"/>
                <w:left w:val="none" w:sz="0" w:space="0" w:color="auto"/>
                <w:bottom w:val="none" w:sz="0" w:space="0" w:color="auto"/>
                <w:right w:val="none" w:sz="0" w:space="0" w:color="auto"/>
              </w:divBdr>
              <w:divsChild>
                <w:div w:id="773018368">
                  <w:marLeft w:val="0"/>
                  <w:marRight w:val="0"/>
                  <w:marTop w:val="0"/>
                  <w:marBottom w:val="0"/>
                  <w:divBdr>
                    <w:top w:val="none" w:sz="0" w:space="0" w:color="auto"/>
                    <w:left w:val="none" w:sz="0" w:space="0" w:color="auto"/>
                    <w:bottom w:val="none" w:sz="0" w:space="0" w:color="auto"/>
                    <w:right w:val="none" w:sz="0" w:space="0" w:color="auto"/>
                  </w:divBdr>
                  <w:divsChild>
                    <w:div w:id="1188563496">
                      <w:marLeft w:val="0"/>
                      <w:marRight w:val="0"/>
                      <w:marTop w:val="0"/>
                      <w:marBottom w:val="0"/>
                      <w:divBdr>
                        <w:top w:val="none" w:sz="0" w:space="0" w:color="auto"/>
                        <w:left w:val="none" w:sz="0" w:space="0" w:color="auto"/>
                        <w:bottom w:val="none" w:sz="0" w:space="0" w:color="auto"/>
                        <w:right w:val="none" w:sz="0" w:space="0" w:color="auto"/>
                      </w:divBdr>
                      <w:divsChild>
                        <w:div w:id="1547643809">
                          <w:marLeft w:val="0"/>
                          <w:marRight w:val="0"/>
                          <w:marTop w:val="0"/>
                          <w:marBottom w:val="0"/>
                          <w:divBdr>
                            <w:top w:val="none" w:sz="0" w:space="0" w:color="auto"/>
                            <w:left w:val="none" w:sz="0" w:space="0" w:color="auto"/>
                            <w:bottom w:val="none" w:sz="0" w:space="0" w:color="auto"/>
                            <w:right w:val="none" w:sz="0" w:space="0" w:color="auto"/>
                          </w:divBdr>
                          <w:divsChild>
                            <w:div w:id="709888186">
                              <w:marLeft w:val="0"/>
                              <w:marRight w:val="0"/>
                              <w:marTop w:val="0"/>
                              <w:marBottom w:val="0"/>
                              <w:divBdr>
                                <w:top w:val="none" w:sz="0" w:space="0" w:color="auto"/>
                                <w:left w:val="none" w:sz="0" w:space="0" w:color="auto"/>
                                <w:bottom w:val="none" w:sz="0" w:space="0" w:color="auto"/>
                                <w:right w:val="none" w:sz="0" w:space="0" w:color="auto"/>
                              </w:divBdr>
                              <w:divsChild>
                                <w:div w:id="469439664">
                                  <w:marLeft w:val="0"/>
                                  <w:marRight w:val="0"/>
                                  <w:marTop w:val="0"/>
                                  <w:marBottom w:val="0"/>
                                  <w:divBdr>
                                    <w:top w:val="none" w:sz="0" w:space="0" w:color="auto"/>
                                    <w:left w:val="none" w:sz="0" w:space="0" w:color="auto"/>
                                    <w:bottom w:val="none" w:sz="0" w:space="0" w:color="auto"/>
                                    <w:right w:val="none" w:sz="0" w:space="0" w:color="auto"/>
                                  </w:divBdr>
                                  <w:divsChild>
                                    <w:div w:id="668102721">
                                      <w:marLeft w:val="0"/>
                                      <w:marRight w:val="0"/>
                                      <w:marTop w:val="0"/>
                                      <w:marBottom w:val="0"/>
                                      <w:divBdr>
                                        <w:top w:val="none" w:sz="0" w:space="0" w:color="auto"/>
                                        <w:left w:val="none" w:sz="0" w:space="0" w:color="auto"/>
                                        <w:bottom w:val="none" w:sz="0" w:space="0" w:color="auto"/>
                                        <w:right w:val="none" w:sz="0" w:space="0" w:color="auto"/>
                                      </w:divBdr>
                                      <w:divsChild>
                                        <w:div w:id="1882982682">
                                          <w:marLeft w:val="0"/>
                                          <w:marRight w:val="0"/>
                                          <w:marTop w:val="0"/>
                                          <w:marBottom w:val="0"/>
                                          <w:divBdr>
                                            <w:top w:val="none" w:sz="0" w:space="0" w:color="auto"/>
                                            <w:left w:val="none" w:sz="0" w:space="0" w:color="auto"/>
                                            <w:bottom w:val="none" w:sz="0" w:space="0" w:color="auto"/>
                                            <w:right w:val="none" w:sz="0" w:space="0" w:color="auto"/>
                                          </w:divBdr>
                                          <w:divsChild>
                                            <w:div w:id="87210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818587">
      <w:bodyDiv w:val="1"/>
      <w:marLeft w:val="0"/>
      <w:marRight w:val="0"/>
      <w:marTop w:val="0"/>
      <w:marBottom w:val="0"/>
      <w:divBdr>
        <w:top w:val="none" w:sz="0" w:space="0" w:color="auto"/>
        <w:left w:val="none" w:sz="0" w:space="0" w:color="auto"/>
        <w:bottom w:val="none" w:sz="0" w:space="0" w:color="auto"/>
        <w:right w:val="none" w:sz="0" w:space="0" w:color="auto"/>
      </w:divBdr>
      <w:divsChild>
        <w:div w:id="736903173">
          <w:marLeft w:val="0"/>
          <w:marRight w:val="0"/>
          <w:marTop w:val="0"/>
          <w:marBottom w:val="0"/>
          <w:divBdr>
            <w:top w:val="none" w:sz="0" w:space="0" w:color="auto"/>
            <w:left w:val="none" w:sz="0" w:space="0" w:color="auto"/>
            <w:bottom w:val="none" w:sz="0" w:space="0" w:color="auto"/>
            <w:right w:val="none" w:sz="0" w:space="0" w:color="auto"/>
          </w:divBdr>
        </w:div>
      </w:divsChild>
    </w:div>
    <w:div w:id="180824379">
      <w:bodyDiv w:val="1"/>
      <w:marLeft w:val="0"/>
      <w:marRight w:val="0"/>
      <w:marTop w:val="0"/>
      <w:marBottom w:val="0"/>
      <w:divBdr>
        <w:top w:val="none" w:sz="0" w:space="0" w:color="auto"/>
        <w:left w:val="none" w:sz="0" w:space="0" w:color="auto"/>
        <w:bottom w:val="none" w:sz="0" w:space="0" w:color="auto"/>
        <w:right w:val="none" w:sz="0" w:space="0" w:color="auto"/>
      </w:divBdr>
      <w:divsChild>
        <w:div w:id="516162767">
          <w:marLeft w:val="0"/>
          <w:marRight w:val="0"/>
          <w:marTop w:val="0"/>
          <w:marBottom w:val="150"/>
          <w:divBdr>
            <w:top w:val="none" w:sz="0" w:space="0" w:color="auto"/>
            <w:left w:val="none" w:sz="0" w:space="0" w:color="auto"/>
            <w:bottom w:val="none" w:sz="0" w:space="0" w:color="auto"/>
            <w:right w:val="none" w:sz="0" w:space="0" w:color="auto"/>
          </w:divBdr>
        </w:div>
      </w:divsChild>
    </w:div>
    <w:div w:id="181360173">
      <w:bodyDiv w:val="1"/>
      <w:marLeft w:val="0"/>
      <w:marRight w:val="0"/>
      <w:marTop w:val="0"/>
      <w:marBottom w:val="0"/>
      <w:divBdr>
        <w:top w:val="none" w:sz="0" w:space="0" w:color="auto"/>
        <w:left w:val="none" w:sz="0" w:space="0" w:color="auto"/>
        <w:bottom w:val="none" w:sz="0" w:space="0" w:color="auto"/>
        <w:right w:val="none" w:sz="0" w:space="0" w:color="auto"/>
      </w:divBdr>
    </w:div>
    <w:div w:id="181480660">
      <w:bodyDiv w:val="1"/>
      <w:marLeft w:val="0"/>
      <w:marRight w:val="0"/>
      <w:marTop w:val="0"/>
      <w:marBottom w:val="0"/>
      <w:divBdr>
        <w:top w:val="none" w:sz="0" w:space="0" w:color="auto"/>
        <w:left w:val="none" w:sz="0" w:space="0" w:color="auto"/>
        <w:bottom w:val="none" w:sz="0" w:space="0" w:color="auto"/>
        <w:right w:val="none" w:sz="0" w:space="0" w:color="auto"/>
      </w:divBdr>
      <w:divsChild>
        <w:div w:id="1534266612">
          <w:marLeft w:val="0"/>
          <w:marRight w:val="0"/>
          <w:marTop w:val="0"/>
          <w:marBottom w:val="0"/>
          <w:divBdr>
            <w:top w:val="none" w:sz="0" w:space="0" w:color="auto"/>
            <w:left w:val="none" w:sz="0" w:space="0" w:color="auto"/>
            <w:bottom w:val="dotted" w:sz="6" w:space="4" w:color="DDDDDD"/>
            <w:right w:val="none" w:sz="0" w:space="0" w:color="auto"/>
          </w:divBdr>
        </w:div>
      </w:divsChild>
    </w:div>
    <w:div w:id="181549672">
      <w:bodyDiv w:val="1"/>
      <w:marLeft w:val="0"/>
      <w:marRight w:val="0"/>
      <w:marTop w:val="0"/>
      <w:marBottom w:val="0"/>
      <w:divBdr>
        <w:top w:val="none" w:sz="0" w:space="0" w:color="auto"/>
        <w:left w:val="none" w:sz="0" w:space="0" w:color="auto"/>
        <w:bottom w:val="none" w:sz="0" w:space="0" w:color="auto"/>
        <w:right w:val="none" w:sz="0" w:space="0" w:color="auto"/>
      </w:divBdr>
    </w:div>
    <w:div w:id="181601395">
      <w:bodyDiv w:val="1"/>
      <w:marLeft w:val="0"/>
      <w:marRight w:val="0"/>
      <w:marTop w:val="0"/>
      <w:marBottom w:val="0"/>
      <w:divBdr>
        <w:top w:val="none" w:sz="0" w:space="0" w:color="auto"/>
        <w:left w:val="none" w:sz="0" w:space="0" w:color="auto"/>
        <w:bottom w:val="none" w:sz="0" w:space="0" w:color="auto"/>
        <w:right w:val="none" w:sz="0" w:space="0" w:color="auto"/>
      </w:divBdr>
      <w:divsChild>
        <w:div w:id="593826338">
          <w:marLeft w:val="0"/>
          <w:marRight w:val="0"/>
          <w:marTop w:val="0"/>
          <w:marBottom w:val="150"/>
          <w:divBdr>
            <w:top w:val="none" w:sz="0" w:space="0" w:color="auto"/>
            <w:left w:val="none" w:sz="0" w:space="0" w:color="auto"/>
            <w:bottom w:val="none" w:sz="0" w:space="0" w:color="auto"/>
            <w:right w:val="none" w:sz="0" w:space="0" w:color="auto"/>
          </w:divBdr>
        </w:div>
        <w:div w:id="1814103728">
          <w:marLeft w:val="0"/>
          <w:marRight w:val="0"/>
          <w:marTop w:val="0"/>
          <w:marBottom w:val="0"/>
          <w:divBdr>
            <w:top w:val="none" w:sz="0" w:space="0" w:color="auto"/>
            <w:left w:val="none" w:sz="0" w:space="0" w:color="auto"/>
            <w:bottom w:val="none" w:sz="0" w:space="0" w:color="auto"/>
            <w:right w:val="none" w:sz="0" w:space="0" w:color="auto"/>
          </w:divBdr>
        </w:div>
      </w:divsChild>
    </w:div>
    <w:div w:id="181629715">
      <w:bodyDiv w:val="1"/>
      <w:marLeft w:val="0"/>
      <w:marRight w:val="0"/>
      <w:marTop w:val="0"/>
      <w:marBottom w:val="0"/>
      <w:divBdr>
        <w:top w:val="none" w:sz="0" w:space="0" w:color="auto"/>
        <w:left w:val="none" w:sz="0" w:space="0" w:color="auto"/>
        <w:bottom w:val="none" w:sz="0" w:space="0" w:color="auto"/>
        <w:right w:val="none" w:sz="0" w:space="0" w:color="auto"/>
      </w:divBdr>
      <w:divsChild>
        <w:div w:id="99617076">
          <w:marLeft w:val="0"/>
          <w:marRight w:val="0"/>
          <w:marTop w:val="0"/>
          <w:marBottom w:val="0"/>
          <w:divBdr>
            <w:top w:val="none" w:sz="0" w:space="0" w:color="auto"/>
            <w:left w:val="none" w:sz="0" w:space="0" w:color="auto"/>
            <w:bottom w:val="none" w:sz="0" w:space="0" w:color="auto"/>
            <w:right w:val="none" w:sz="0" w:space="0" w:color="auto"/>
          </w:divBdr>
          <w:divsChild>
            <w:div w:id="2118676565">
              <w:marLeft w:val="0"/>
              <w:marRight w:val="0"/>
              <w:marTop w:val="225"/>
              <w:marBottom w:val="225"/>
              <w:divBdr>
                <w:top w:val="none" w:sz="0" w:space="0" w:color="auto"/>
                <w:left w:val="none" w:sz="0" w:space="0" w:color="auto"/>
                <w:bottom w:val="none" w:sz="0" w:space="0" w:color="auto"/>
                <w:right w:val="none" w:sz="0" w:space="0" w:color="auto"/>
              </w:divBdr>
            </w:div>
          </w:divsChild>
        </w:div>
        <w:div w:id="394857944">
          <w:marLeft w:val="0"/>
          <w:marRight w:val="0"/>
          <w:marTop w:val="0"/>
          <w:marBottom w:val="150"/>
          <w:divBdr>
            <w:top w:val="none" w:sz="0" w:space="0" w:color="auto"/>
            <w:left w:val="none" w:sz="0" w:space="0" w:color="auto"/>
            <w:bottom w:val="none" w:sz="0" w:space="0" w:color="auto"/>
            <w:right w:val="none" w:sz="0" w:space="0" w:color="auto"/>
          </w:divBdr>
        </w:div>
        <w:div w:id="1005090528">
          <w:marLeft w:val="0"/>
          <w:marRight w:val="0"/>
          <w:marTop w:val="0"/>
          <w:marBottom w:val="150"/>
          <w:divBdr>
            <w:top w:val="none" w:sz="0" w:space="0" w:color="auto"/>
            <w:left w:val="none" w:sz="0" w:space="0" w:color="auto"/>
            <w:bottom w:val="none" w:sz="0" w:space="0" w:color="auto"/>
            <w:right w:val="none" w:sz="0" w:space="0" w:color="auto"/>
          </w:divBdr>
          <w:divsChild>
            <w:div w:id="530610449">
              <w:marLeft w:val="0"/>
              <w:marRight w:val="0"/>
              <w:marTop w:val="0"/>
              <w:marBottom w:val="0"/>
              <w:divBdr>
                <w:top w:val="none" w:sz="0" w:space="0" w:color="auto"/>
                <w:left w:val="none" w:sz="0" w:space="0" w:color="auto"/>
                <w:bottom w:val="none" w:sz="0" w:space="0" w:color="auto"/>
                <w:right w:val="none" w:sz="0" w:space="0" w:color="auto"/>
              </w:divBdr>
              <w:divsChild>
                <w:div w:id="111483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74906">
      <w:bodyDiv w:val="1"/>
      <w:marLeft w:val="0"/>
      <w:marRight w:val="0"/>
      <w:marTop w:val="0"/>
      <w:marBottom w:val="0"/>
      <w:divBdr>
        <w:top w:val="none" w:sz="0" w:space="0" w:color="auto"/>
        <w:left w:val="none" w:sz="0" w:space="0" w:color="auto"/>
        <w:bottom w:val="none" w:sz="0" w:space="0" w:color="auto"/>
        <w:right w:val="none" w:sz="0" w:space="0" w:color="auto"/>
      </w:divBdr>
      <w:divsChild>
        <w:div w:id="63645564">
          <w:marLeft w:val="0"/>
          <w:marRight w:val="0"/>
          <w:marTop w:val="0"/>
          <w:marBottom w:val="0"/>
          <w:divBdr>
            <w:top w:val="none" w:sz="0" w:space="0" w:color="auto"/>
            <w:left w:val="none" w:sz="0" w:space="0" w:color="auto"/>
            <w:bottom w:val="none" w:sz="0" w:space="0" w:color="auto"/>
            <w:right w:val="none" w:sz="0" w:space="0" w:color="auto"/>
          </w:divBdr>
        </w:div>
        <w:div w:id="1135872761">
          <w:marLeft w:val="0"/>
          <w:marRight w:val="0"/>
          <w:marTop w:val="0"/>
          <w:marBottom w:val="0"/>
          <w:divBdr>
            <w:top w:val="none" w:sz="0" w:space="0" w:color="auto"/>
            <w:left w:val="none" w:sz="0" w:space="0" w:color="auto"/>
            <w:bottom w:val="none" w:sz="0" w:space="0" w:color="auto"/>
            <w:right w:val="none" w:sz="0" w:space="0" w:color="auto"/>
          </w:divBdr>
        </w:div>
      </w:divsChild>
    </w:div>
    <w:div w:id="181821047">
      <w:bodyDiv w:val="1"/>
      <w:marLeft w:val="0"/>
      <w:marRight w:val="0"/>
      <w:marTop w:val="0"/>
      <w:marBottom w:val="0"/>
      <w:divBdr>
        <w:top w:val="none" w:sz="0" w:space="0" w:color="auto"/>
        <w:left w:val="none" w:sz="0" w:space="0" w:color="auto"/>
        <w:bottom w:val="none" w:sz="0" w:space="0" w:color="auto"/>
        <w:right w:val="none" w:sz="0" w:space="0" w:color="auto"/>
      </w:divBdr>
      <w:divsChild>
        <w:div w:id="729308307">
          <w:marLeft w:val="0"/>
          <w:marRight w:val="0"/>
          <w:marTop w:val="0"/>
          <w:marBottom w:val="150"/>
          <w:divBdr>
            <w:top w:val="none" w:sz="0" w:space="0" w:color="auto"/>
            <w:left w:val="none" w:sz="0" w:space="0" w:color="auto"/>
            <w:bottom w:val="none" w:sz="0" w:space="0" w:color="auto"/>
            <w:right w:val="none" w:sz="0" w:space="0" w:color="auto"/>
          </w:divBdr>
        </w:div>
        <w:div w:id="834105869">
          <w:marLeft w:val="0"/>
          <w:marRight w:val="0"/>
          <w:marTop w:val="0"/>
          <w:marBottom w:val="0"/>
          <w:divBdr>
            <w:top w:val="none" w:sz="0" w:space="0" w:color="auto"/>
            <w:left w:val="none" w:sz="0" w:space="0" w:color="auto"/>
            <w:bottom w:val="none" w:sz="0" w:space="0" w:color="auto"/>
            <w:right w:val="none" w:sz="0" w:space="0" w:color="auto"/>
          </w:divBdr>
          <w:divsChild>
            <w:div w:id="624777521">
              <w:marLeft w:val="0"/>
              <w:marRight w:val="0"/>
              <w:marTop w:val="0"/>
              <w:marBottom w:val="375"/>
              <w:divBdr>
                <w:top w:val="none" w:sz="0" w:space="0" w:color="auto"/>
                <w:left w:val="none" w:sz="0" w:space="0" w:color="auto"/>
                <w:bottom w:val="none" w:sz="0" w:space="0" w:color="auto"/>
                <w:right w:val="none" w:sz="0" w:space="0" w:color="auto"/>
              </w:divBdr>
            </w:div>
            <w:div w:id="1809935072">
              <w:marLeft w:val="0"/>
              <w:marRight w:val="0"/>
              <w:marTop w:val="0"/>
              <w:marBottom w:val="225"/>
              <w:divBdr>
                <w:top w:val="none" w:sz="0" w:space="0" w:color="auto"/>
                <w:left w:val="none" w:sz="0" w:space="0" w:color="auto"/>
                <w:bottom w:val="none" w:sz="0" w:space="0" w:color="auto"/>
                <w:right w:val="none" w:sz="0" w:space="0" w:color="auto"/>
              </w:divBdr>
              <w:divsChild>
                <w:div w:id="15230748">
                  <w:marLeft w:val="0"/>
                  <w:marRight w:val="0"/>
                  <w:marTop w:val="0"/>
                  <w:marBottom w:val="150"/>
                  <w:divBdr>
                    <w:top w:val="none" w:sz="0" w:space="0" w:color="auto"/>
                    <w:left w:val="none" w:sz="0" w:space="0" w:color="auto"/>
                    <w:bottom w:val="none" w:sz="0" w:space="0" w:color="auto"/>
                    <w:right w:val="none" w:sz="0" w:space="0" w:color="auto"/>
                  </w:divBdr>
                </w:div>
                <w:div w:id="138160383">
                  <w:marLeft w:val="0"/>
                  <w:marRight w:val="0"/>
                  <w:marTop w:val="0"/>
                  <w:marBottom w:val="150"/>
                  <w:divBdr>
                    <w:top w:val="none" w:sz="0" w:space="0" w:color="auto"/>
                    <w:left w:val="none" w:sz="0" w:space="0" w:color="auto"/>
                    <w:bottom w:val="none" w:sz="0" w:space="0" w:color="auto"/>
                    <w:right w:val="none" w:sz="0" w:space="0" w:color="auto"/>
                  </w:divBdr>
                </w:div>
                <w:div w:id="188180253">
                  <w:marLeft w:val="0"/>
                  <w:marRight w:val="0"/>
                  <w:marTop w:val="0"/>
                  <w:marBottom w:val="150"/>
                  <w:divBdr>
                    <w:top w:val="none" w:sz="0" w:space="0" w:color="auto"/>
                    <w:left w:val="none" w:sz="0" w:space="0" w:color="auto"/>
                    <w:bottom w:val="none" w:sz="0" w:space="0" w:color="auto"/>
                    <w:right w:val="none" w:sz="0" w:space="0" w:color="auto"/>
                  </w:divBdr>
                </w:div>
                <w:div w:id="431435967">
                  <w:marLeft w:val="0"/>
                  <w:marRight w:val="0"/>
                  <w:marTop w:val="0"/>
                  <w:marBottom w:val="150"/>
                  <w:divBdr>
                    <w:top w:val="none" w:sz="0" w:space="0" w:color="auto"/>
                    <w:left w:val="none" w:sz="0" w:space="0" w:color="auto"/>
                    <w:bottom w:val="none" w:sz="0" w:space="0" w:color="auto"/>
                    <w:right w:val="none" w:sz="0" w:space="0" w:color="auto"/>
                  </w:divBdr>
                </w:div>
                <w:div w:id="500196236">
                  <w:marLeft w:val="0"/>
                  <w:marRight w:val="0"/>
                  <w:marTop w:val="0"/>
                  <w:marBottom w:val="150"/>
                  <w:divBdr>
                    <w:top w:val="none" w:sz="0" w:space="0" w:color="auto"/>
                    <w:left w:val="none" w:sz="0" w:space="0" w:color="auto"/>
                    <w:bottom w:val="none" w:sz="0" w:space="0" w:color="auto"/>
                    <w:right w:val="none" w:sz="0" w:space="0" w:color="auto"/>
                  </w:divBdr>
                </w:div>
                <w:div w:id="603150098">
                  <w:marLeft w:val="0"/>
                  <w:marRight w:val="0"/>
                  <w:marTop w:val="0"/>
                  <w:marBottom w:val="150"/>
                  <w:divBdr>
                    <w:top w:val="none" w:sz="0" w:space="0" w:color="auto"/>
                    <w:left w:val="none" w:sz="0" w:space="0" w:color="auto"/>
                    <w:bottom w:val="none" w:sz="0" w:space="0" w:color="auto"/>
                    <w:right w:val="none" w:sz="0" w:space="0" w:color="auto"/>
                  </w:divBdr>
                </w:div>
                <w:div w:id="647628959">
                  <w:marLeft w:val="0"/>
                  <w:marRight w:val="0"/>
                  <w:marTop w:val="0"/>
                  <w:marBottom w:val="150"/>
                  <w:divBdr>
                    <w:top w:val="none" w:sz="0" w:space="0" w:color="auto"/>
                    <w:left w:val="none" w:sz="0" w:space="0" w:color="auto"/>
                    <w:bottom w:val="none" w:sz="0" w:space="0" w:color="auto"/>
                    <w:right w:val="none" w:sz="0" w:space="0" w:color="auto"/>
                  </w:divBdr>
                </w:div>
                <w:div w:id="669870973">
                  <w:marLeft w:val="0"/>
                  <w:marRight w:val="0"/>
                  <w:marTop w:val="0"/>
                  <w:marBottom w:val="150"/>
                  <w:divBdr>
                    <w:top w:val="none" w:sz="0" w:space="0" w:color="auto"/>
                    <w:left w:val="none" w:sz="0" w:space="0" w:color="auto"/>
                    <w:bottom w:val="none" w:sz="0" w:space="0" w:color="auto"/>
                    <w:right w:val="none" w:sz="0" w:space="0" w:color="auto"/>
                  </w:divBdr>
                </w:div>
                <w:div w:id="749890388">
                  <w:marLeft w:val="0"/>
                  <w:marRight w:val="0"/>
                  <w:marTop w:val="0"/>
                  <w:marBottom w:val="150"/>
                  <w:divBdr>
                    <w:top w:val="none" w:sz="0" w:space="0" w:color="auto"/>
                    <w:left w:val="none" w:sz="0" w:space="0" w:color="auto"/>
                    <w:bottom w:val="none" w:sz="0" w:space="0" w:color="auto"/>
                    <w:right w:val="none" w:sz="0" w:space="0" w:color="auto"/>
                  </w:divBdr>
                </w:div>
                <w:div w:id="783378483">
                  <w:marLeft w:val="0"/>
                  <w:marRight w:val="0"/>
                  <w:marTop w:val="0"/>
                  <w:marBottom w:val="150"/>
                  <w:divBdr>
                    <w:top w:val="none" w:sz="0" w:space="0" w:color="auto"/>
                    <w:left w:val="none" w:sz="0" w:space="0" w:color="auto"/>
                    <w:bottom w:val="none" w:sz="0" w:space="0" w:color="auto"/>
                    <w:right w:val="none" w:sz="0" w:space="0" w:color="auto"/>
                  </w:divBdr>
                </w:div>
                <w:div w:id="820580317">
                  <w:marLeft w:val="0"/>
                  <w:marRight w:val="0"/>
                  <w:marTop w:val="0"/>
                  <w:marBottom w:val="150"/>
                  <w:divBdr>
                    <w:top w:val="none" w:sz="0" w:space="0" w:color="auto"/>
                    <w:left w:val="none" w:sz="0" w:space="0" w:color="auto"/>
                    <w:bottom w:val="none" w:sz="0" w:space="0" w:color="auto"/>
                    <w:right w:val="none" w:sz="0" w:space="0" w:color="auto"/>
                  </w:divBdr>
                </w:div>
                <w:div w:id="830682762">
                  <w:marLeft w:val="0"/>
                  <w:marRight w:val="0"/>
                  <w:marTop w:val="0"/>
                  <w:marBottom w:val="150"/>
                  <w:divBdr>
                    <w:top w:val="none" w:sz="0" w:space="0" w:color="auto"/>
                    <w:left w:val="none" w:sz="0" w:space="0" w:color="auto"/>
                    <w:bottom w:val="none" w:sz="0" w:space="0" w:color="auto"/>
                    <w:right w:val="none" w:sz="0" w:space="0" w:color="auto"/>
                  </w:divBdr>
                </w:div>
                <w:div w:id="853039315">
                  <w:marLeft w:val="0"/>
                  <w:marRight w:val="0"/>
                  <w:marTop w:val="0"/>
                  <w:marBottom w:val="150"/>
                  <w:divBdr>
                    <w:top w:val="none" w:sz="0" w:space="0" w:color="auto"/>
                    <w:left w:val="none" w:sz="0" w:space="0" w:color="auto"/>
                    <w:bottom w:val="none" w:sz="0" w:space="0" w:color="auto"/>
                    <w:right w:val="none" w:sz="0" w:space="0" w:color="auto"/>
                  </w:divBdr>
                </w:div>
                <w:div w:id="864101413">
                  <w:marLeft w:val="0"/>
                  <w:marRight w:val="0"/>
                  <w:marTop w:val="0"/>
                  <w:marBottom w:val="150"/>
                  <w:divBdr>
                    <w:top w:val="none" w:sz="0" w:space="0" w:color="auto"/>
                    <w:left w:val="none" w:sz="0" w:space="0" w:color="auto"/>
                    <w:bottom w:val="none" w:sz="0" w:space="0" w:color="auto"/>
                    <w:right w:val="none" w:sz="0" w:space="0" w:color="auto"/>
                  </w:divBdr>
                </w:div>
                <w:div w:id="1054427033">
                  <w:marLeft w:val="0"/>
                  <w:marRight w:val="0"/>
                  <w:marTop w:val="0"/>
                  <w:marBottom w:val="150"/>
                  <w:divBdr>
                    <w:top w:val="none" w:sz="0" w:space="0" w:color="auto"/>
                    <w:left w:val="none" w:sz="0" w:space="0" w:color="auto"/>
                    <w:bottom w:val="none" w:sz="0" w:space="0" w:color="auto"/>
                    <w:right w:val="none" w:sz="0" w:space="0" w:color="auto"/>
                  </w:divBdr>
                </w:div>
                <w:div w:id="1089305810">
                  <w:marLeft w:val="0"/>
                  <w:marRight w:val="0"/>
                  <w:marTop w:val="0"/>
                  <w:marBottom w:val="150"/>
                  <w:divBdr>
                    <w:top w:val="none" w:sz="0" w:space="0" w:color="auto"/>
                    <w:left w:val="none" w:sz="0" w:space="0" w:color="auto"/>
                    <w:bottom w:val="none" w:sz="0" w:space="0" w:color="auto"/>
                    <w:right w:val="none" w:sz="0" w:space="0" w:color="auto"/>
                  </w:divBdr>
                </w:div>
                <w:div w:id="1129782170">
                  <w:marLeft w:val="0"/>
                  <w:marRight w:val="0"/>
                  <w:marTop w:val="0"/>
                  <w:marBottom w:val="150"/>
                  <w:divBdr>
                    <w:top w:val="none" w:sz="0" w:space="0" w:color="auto"/>
                    <w:left w:val="none" w:sz="0" w:space="0" w:color="auto"/>
                    <w:bottom w:val="none" w:sz="0" w:space="0" w:color="auto"/>
                    <w:right w:val="none" w:sz="0" w:space="0" w:color="auto"/>
                  </w:divBdr>
                </w:div>
                <w:div w:id="1145970174">
                  <w:marLeft w:val="0"/>
                  <w:marRight w:val="0"/>
                  <w:marTop w:val="0"/>
                  <w:marBottom w:val="150"/>
                  <w:divBdr>
                    <w:top w:val="none" w:sz="0" w:space="0" w:color="auto"/>
                    <w:left w:val="none" w:sz="0" w:space="0" w:color="auto"/>
                    <w:bottom w:val="none" w:sz="0" w:space="0" w:color="auto"/>
                    <w:right w:val="none" w:sz="0" w:space="0" w:color="auto"/>
                  </w:divBdr>
                </w:div>
                <w:div w:id="1179856584">
                  <w:marLeft w:val="0"/>
                  <w:marRight w:val="0"/>
                  <w:marTop w:val="0"/>
                  <w:marBottom w:val="150"/>
                  <w:divBdr>
                    <w:top w:val="none" w:sz="0" w:space="0" w:color="auto"/>
                    <w:left w:val="none" w:sz="0" w:space="0" w:color="auto"/>
                    <w:bottom w:val="none" w:sz="0" w:space="0" w:color="auto"/>
                    <w:right w:val="none" w:sz="0" w:space="0" w:color="auto"/>
                  </w:divBdr>
                </w:div>
                <w:div w:id="1180504769">
                  <w:marLeft w:val="0"/>
                  <w:marRight w:val="0"/>
                  <w:marTop w:val="0"/>
                  <w:marBottom w:val="150"/>
                  <w:divBdr>
                    <w:top w:val="none" w:sz="0" w:space="0" w:color="auto"/>
                    <w:left w:val="none" w:sz="0" w:space="0" w:color="auto"/>
                    <w:bottom w:val="none" w:sz="0" w:space="0" w:color="auto"/>
                    <w:right w:val="none" w:sz="0" w:space="0" w:color="auto"/>
                  </w:divBdr>
                </w:div>
                <w:div w:id="1213689766">
                  <w:marLeft w:val="0"/>
                  <w:marRight w:val="0"/>
                  <w:marTop w:val="0"/>
                  <w:marBottom w:val="150"/>
                  <w:divBdr>
                    <w:top w:val="none" w:sz="0" w:space="0" w:color="auto"/>
                    <w:left w:val="none" w:sz="0" w:space="0" w:color="auto"/>
                    <w:bottom w:val="none" w:sz="0" w:space="0" w:color="auto"/>
                    <w:right w:val="none" w:sz="0" w:space="0" w:color="auto"/>
                  </w:divBdr>
                </w:div>
                <w:div w:id="1253007663">
                  <w:marLeft w:val="0"/>
                  <w:marRight w:val="0"/>
                  <w:marTop w:val="0"/>
                  <w:marBottom w:val="150"/>
                  <w:divBdr>
                    <w:top w:val="none" w:sz="0" w:space="0" w:color="auto"/>
                    <w:left w:val="none" w:sz="0" w:space="0" w:color="auto"/>
                    <w:bottom w:val="none" w:sz="0" w:space="0" w:color="auto"/>
                    <w:right w:val="none" w:sz="0" w:space="0" w:color="auto"/>
                  </w:divBdr>
                </w:div>
                <w:div w:id="1339116587">
                  <w:marLeft w:val="0"/>
                  <w:marRight w:val="0"/>
                  <w:marTop w:val="0"/>
                  <w:marBottom w:val="150"/>
                  <w:divBdr>
                    <w:top w:val="none" w:sz="0" w:space="0" w:color="auto"/>
                    <w:left w:val="none" w:sz="0" w:space="0" w:color="auto"/>
                    <w:bottom w:val="none" w:sz="0" w:space="0" w:color="auto"/>
                    <w:right w:val="none" w:sz="0" w:space="0" w:color="auto"/>
                  </w:divBdr>
                </w:div>
                <w:div w:id="1485855906">
                  <w:marLeft w:val="0"/>
                  <w:marRight w:val="0"/>
                  <w:marTop w:val="0"/>
                  <w:marBottom w:val="150"/>
                  <w:divBdr>
                    <w:top w:val="none" w:sz="0" w:space="0" w:color="auto"/>
                    <w:left w:val="none" w:sz="0" w:space="0" w:color="auto"/>
                    <w:bottom w:val="none" w:sz="0" w:space="0" w:color="auto"/>
                    <w:right w:val="none" w:sz="0" w:space="0" w:color="auto"/>
                  </w:divBdr>
                </w:div>
                <w:div w:id="1508865243">
                  <w:marLeft w:val="0"/>
                  <w:marRight w:val="0"/>
                  <w:marTop w:val="0"/>
                  <w:marBottom w:val="150"/>
                  <w:divBdr>
                    <w:top w:val="none" w:sz="0" w:space="0" w:color="auto"/>
                    <w:left w:val="none" w:sz="0" w:space="0" w:color="auto"/>
                    <w:bottom w:val="none" w:sz="0" w:space="0" w:color="auto"/>
                    <w:right w:val="none" w:sz="0" w:space="0" w:color="auto"/>
                  </w:divBdr>
                </w:div>
                <w:div w:id="1694111352">
                  <w:marLeft w:val="0"/>
                  <w:marRight w:val="0"/>
                  <w:marTop w:val="0"/>
                  <w:marBottom w:val="150"/>
                  <w:divBdr>
                    <w:top w:val="none" w:sz="0" w:space="0" w:color="auto"/>
                    <w:left w:val="none" w:sz="0" w:space="0" w:color="auto"/>
                    <w:bottom w:val="none" w:sz="0" w:space="0" w:color="auto"/>
                    <w:right w:val="none" w:sz="0" w:space="0" w:color="auto"/>
                  </w:divBdr>
                </w:div>
                <w:div w:id="1696539873">
                  <w:marLeft w:val="0"/>
                  <w:marRight w:val="0"/>
                  <w:marTop w:val="0"/>
                  <w:marBottom w:val="150"/>
                  <w:divBdr>
                    <w:top w:val="none" w:sz="0" w:space="0" w:color="auto"/>
                    <w:left w:val="none" w:sz="0" w:space="0" w:color="auto"/>
                    <w:bottom w:val="none" w:sz="0" w:space="0" w:color="auto"/>
                    <w:right w:val="none" w:sz="0" w:space="0" w:color="auto"/>
                  </w:divBdr>
                </w:div>
                <w:div w:id="1698314984">
                  <w:marLeft w:val="0"/>
                  <w:marRight w:val="0"/>
                  <w:marTop w:val="0"/>
                  <w:marBottom w:val="150"/>
                  <w:divBdr>
                    <w:top w:val="none" w:sz="0" w:space="0" w:color="auto"/>
                    <w:left w:val="none" w:sz="0" w:space="0" w:color="auto"/>
                    <w:bottom w:val="none" w:sz="0" w:space="0" w:color="auto"/>
                    <w:right w:val="none" w:sz="0" w:space="0" w:color="auto"/>
                  </w:divBdr>
                </w:div>
                <w:div w:id="1773436488">
                  <w:marLeft w:val="0"/>
                  <w:marRight w:val="0"/>
                  <w:marTop w:val="0"/>
                  <w:marBottom w:val="150"/>
                  <w:divBdr>
                    <w:top w:val="none" w:sz="0" w:space="0" w:color="auto"/>
                    <w:left w:val="none" w:sz="0" w:space="0" w:color="auto"/>
                    <w:bottom w:val="none" w:sz="0" w:space="0" w:color="auto"/>
                    <w:right w:val="none" w:sz="0" w:space="0" w:color="auto"/>
                  </w:divBdr>
                </w:div>
                <w:div w:id="1810442853">
                  <w:marLeft w:val="0"/>
                  <w:marRight w:val="0"/>
                  <w:marTop w:val="0"/>
                  <w:marBottom w:val="150"/>
                  <w:divBdr>
                    <w:top w:val="none" w:sz="0" w:space="0" w:color="auto"/>
                    <w:left w:val="none" w:sz="0" w:space="0" w:color="auto"/>
                    <w:bottom w:val="none" w:sz="0" w:space="0" w:color="auto"/>
                    <w:right w:val="none" w:sz="0" w:space="0" w:color="auto"/>
                  </w:divBdr>
                </w:div>
                <w:div w:id="1833567272">
                  <w:marLeft w:val="0"/>
                  <w:marRight w:val="0"/>
                  <w:marTop w:val="0"/>
                  <w:marBottom w:val="150"/>
                  <w:divBdr>
                    <w:top w:val="none" w:sz="0" w:space="0" w:color="auto"/>
                    <w:left w:val="none" w:sz="0" w:space="0" w:color="auto"/>
                    <w:bottom w:val="none" w:sz="0" w:space="0" w:color="auto"/>
                    <w:right w:val="none" w:sz="0" w:space="0" w:color="auto"/>
                  </w:divBdr>
                </w:div>
                <w:div w:id="1851748255">
                  <w:marLeft w:val="0"/>
                  <w:marRight w:val="0"/>
                  <w:marTop w:val="0"/>
                  <w:marBottom w:val="150"/>
                  <w:divBdr>
                    <w:top w:val="none" w:sz="0" w:space="0" w:color="auto"/>
                    <w:left w:val="none" w:sz="0" w:space="0" w:color="auto"/>
                    <w:bottom w:val="none" w:sz="0" w:space="0" w:color="auto"/>
                    <w:right w:val="none" w:sz="0" w:space="0" w:color="auto"/>
                  </w:divBdr>
                </w:div>
                <w:div w:id="2069568583">
                  <w:marLeft w:val="0"/>
                  <w:marRight w:val="0"/>
                  <w:marTop w:val="0"/>
                  <w:marBottom w:val="150"/>
                  <w:divBdr>
                    <w:top w:val="none" w:sz="0" w:space="0" w:color="auto"/>
                    <w:left w:val="none" w:sz="0" w:space="0" w:color="auto"/>
                    <w:bottom w:val="none" w:sz="0" w:space="0" w:color="auto"/>
                    <w:right w:val="none" w:sz="0" w:space="0" w:color="auto"/>
                  </w:divBdr>
                </w:div>
                <w:div w:id="20829484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11825441">
          <w:marLeft w:val="-9765"/>
          <w:marRight w:val="0"/>
          <w:marTop w:val="0"/>
          <w:marBottom w:val="0"/>
          <w:divBdr>
            <w:top w:val="none" w:sz="0" w:space="0" w:color="auto"/>
            <w:left w:val="none" w:sz="0" w:space="0" w:color="auto"/>
            <w:bottom w:val="none" w:sz="0" w:space="0" w:color="auto"/>
            <w:right w:val="none" w:sz="0" w:space="0" w:color="auto"/>
          </w:divBdr>
        </w:div>
      </w:divsChild>
    </w:div>
    <w:div w:id="182015862">
      <w:bodyDiv w:val="1"/>
      <w:marLeft w:val="0"/>
      <w:marRight w:val="0"/>
      <w:marTop w:val="0"/>
      <w:marBottom w:val="0"/>
      <w:divBdr>
        <w:top w:val="none" w:sz="0" w:space="0" w:color="auto"/>
        <w:left w:val="none" w:sz="0" w:space="0" w:color="auto"/>
        <w:bottom w:val="none" w:sz="0" w:space="0" w:color="auto"/>
        <w:right w:val="none" w:sz="0" w:space="0" w:color="auto"/>
      </w:divBdr>
      <w:divsChild>
        <w:div w:id="583419756">
          <w:marLeft w:val="0"/>
          <w:marRight w:val="0"/>
          <w:marTop w:val="0"/>
          <w:marBottom w:val="150"/>
          <w:divBdr>
            <w:top w:val="none" w:sz="0" w:space="0" w:color="auto"/>
            <w:left w:val="none" w:sz="0" w:space="0" w:color="auto"/>
            <w:bottom w:val="none" w:sz="0" w:space="0" w:color="auto"/>
            <w:right w:val="none" w:sz="0" w:space="0" w:color="auto"/>
          </w:divBdr>
        </w:div>
      </w:divsChild>
    </w:div>
    <w:div w:id="182062280">
      <w:bodyDiv w:val="1"/>
      <w:marLeft w:val="0"/>
      <w:marRight w:val="0"/>
      <w:marTop w:val="0"/>
      <w:marBottom w:val="0"/>
      <w:divBdr>
        <w:top w:val="none" w:sz="0" w:space="0" w:color="auto"/>
        <w:left w:val="none" w:sz="0" w:space="0" w:color="auto"/>
        <w:bottom w:val="none" w:sz="0" w:space="0" w:color="auto"/>
        <w:right w:val="none" w:sz="0" w:space="0" w:color="auto"/>
      </w:divBdr>
      <w:divsChild>
        <w:div w:id="43723289">
          <w:marLeft w:val="0"/>
          <w:marRight w:val="0"/>
          <w:marTop w:val="0"/>
          <w:marBottom w:val="0"/>
          <w:divBdr>
            <w:top w:val="none" w:sz="0" w:space="0" w:color="auto"/>
            <w:left w:val="none" w:sz="0" w:space="0" w:color="auto"/>
            <w:bottom w:val="none" w:sz="0" w:space="0" w:color="auto"/>
            <w:right w:val="none" w:sz="0" w:space="0" w:color="auto"/>
          </w:divBdr>
        </w:div>
      </w:divsChild>
    </w:div>
    <w:div w:id="182210395">
      <w:bodyDiv w:val="1"/>
      <w:marLeft w:val="0"/>
      <w:marRight w:val="0"/>
      <w:marTop w:val="0"/>
      <w:marBottom w:val="0"/>
      <w:divBdr>
        <w:top w:val="none" w:sz="0" w:space="0" w:color="auto"/>
        <w:left w:val="none" w:sz="0" w:space="0" w:color="auto"/>
        <w:bottom w:val="none" w:sz="0" w:space="0" w:color="auto"/>
        <w:right w:val="none" w:sz="0" w:space="0" w:color="auto"/>
      </w:divBdr>
    </w:div>
    <w:div w:id="182674530">
      <w:bodyDiv w:val="1"/>
      <w:marLeft w:val="0"/>
      <w:marRight w:val="0"/>
      <w:marTop w:val="0"/>
      <w:marBottom w:val="0"/>
      <w:divBdr>
        <w:top w:val="none" w:sz="0" w:space="0" w:color="auto"/>
        <w:left w:val="none" w:sz="0" w:space="0" w:color="auto"/>
        <w:bottom w:val="none" w:sz="0" w:space="0" w:color="auto"/>
        <w:right w:val="none" w:sz="0" w:space="0" w:color="auto"/>
      </w:divBdr>
      <w:divsChild>
        <w:div w:id="1287354527">
          <w:marLeft w:val="0"/>
          <w:marRight w:val="0"/>
          <w:marTop w:val="0"/>
          <w:marBottom w:val="225"/>
          <w:divBdr>
            <w:top w:val="none" w:sz="0" w:space="0" w:color="auto"/>
            <w:left w:val="none" w:sz="0" w:space="0" w:color="auto"/>
            <w:bottom w:val="none" w:sz="0" w:space="0" w:color="auto"/>
            <w:right w:val="none" w:sz="0" w:space="0" w:color="auto"/>
          </w:divBdr>
        </w:div>
      </w:divsChild>
    </w:div>
    <w:div w:id="182784488">
      <w:bodyDiv w:val="1"/>
      <w:marLeft w:val="0"/>
      <w:marRight w:val="0"/>
      <w:marTop w:val="0"/>
      <w:marBottom w:val="0"/>
      <w:divBdr>
        <w:top w:val="none" w:sz="0" w:space="0" w:color="auto"/>
        <w:left w:val="none" w:sz="0" w:space="0" w:color="auto"/>
        <w:bottom w:val="none" w:sz="0" w:space="0" w:color="auto"/>
        <w:right w:val="none" w:sz="0" w:space="0" w:color="auto"/>
      </w:divBdr>
      <w:divsChild>
        <w:div w:id="1795051209">
          <w:marLeft w:val="0"/>
          <w:marRight w:val="0"/>
          <w:marTop w:val="0"/>
          <w:marBottom w:val="0"/>
          <w:divBdr>
            <w:top w:val="none" w:sz="0" w:space="0" w:color="auto"/>
            <w:left w:val="none" w:sz="0" w:space="0" w:color="auto"/>
            <w:bottom w:val="none" w:sz="0" w:space="0" w:color="auto"/>
            <w:right w:val="none" w:sz="0" w:space="0" w:color="auto"/>
          </w:divBdr>
          <w:divsChild>
            <w:div w:id="111602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87495">
      <w:bodyDiv w:val="1"/>
      <w:marLeft w:val="0"/>
      <w:marRight w:val="0"/>
      <w:marTop w:val="0"/>
      <w:marBottom w:val="0"/>
      <w:divBdr>
        <w:top w:val="none" w:sz="0" w:space="0" w:color="auto"/>
        <w:left w:val="none" w:sz="0" w:space="0" w:color="auto"/>
        <w:bottom w:val="none" w:sz="0" w:space="0" w:color="auto"/>
        <w:right w:val="none" w:sz="0" w:space="0" w:color="auto"/>
      </w:divBdr>
      <w:divsChild>
        <w:div w:id="604659190">
          <w:marLeft w:val="0"/>
          <w:marRight w:val="0"/>
          <w:marTop w:val="150"/>
          <w:marBottom w:val="0"/>
          <w:divBdr>
            <w:top w:val="none" w:sz="0" w:space="0" w:color="auto"/>
            <w:left w:val="none" w:sz="0" w:space="0" w:color="auto"/>
            <w:bottom w:val="none" w:sz="0" w:space="0" w:color="auto"/>
            <w:right w:val="none" w:sz="0" w:space="0" w:color="auto"/>
          </w:divBdr>
          <w:divsChild>
            <w:div w:id="1502744544">
              <w:marLeft w:val="0"/>
              <w:marRight w:val="0"/>
              <w:marTop w:val="0"/>
              <w:marBottom w:val="0"/>
              <w:divBdr>
                <w:top w:val="none" w:sz="0" w:space="0" w:color="auto"/>
                <w:left w:val="none" w:sz="0" w:space="0" w:color="auto"/>
                <w:bottom w:val="single" w:sz="6" w:space="0" w:color="EFEFEF"/>
                <w:right w:val="none" w:sz="0" w:space="0" w:color="auto"/>
              </w:divBdr>
              <w:divsChild>
                <w:div w:id="422189150">
                  <w:marLeft w:val="0"/>
                  <w:marRight w:val="0"/>
                  <w:marTop w:val="0"/>
                  <w:marBottom w:val="0"/>
                  <w:divBdr>
                    <w:top w:val="none" w:sz="0" w:space="0" w:color="auto"/>
                    <w:left w:val="none" w:sz="0" w:space="0" w:color="auto"/>
                    <w:bottom w:val="none" w:sz="0" w:space="0" w:color="auto"/>
                    <w:right w:val="none" w:sz="0" w:space="0" w:color="auto"/>
                  </w:divBdr>
                </w:div>
                <w:div w:id="202358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72732">
          <w:marLeft w:val="0"/>
          <w:marRight w:val="0"/>
          <w:marTop w:val="300"/>
          <w:marBottom w:val="0"/>
          <w:divBdr>
            <w:top w:val="none" w:sz="0" w:space="0" w:color="auto"/>
            <w:left w:val="none" w:sz="0" w:space="0" w:color="auto"/>
            <w:bottom w:val="none" w:sz="0" w:space="0" w:color="auto"/>
            <w:right w:val="none" w:sz="0" w:space="0" w:color="auto"/>
          </w:divBdr>
          <w:divsChild>
            <w:div w:id="438306198">
              <w:marLeft w:val="-1350"/>
              <w:marRight w:val="0"/>
              <w:marTop w:val="0"/>
              <w:marBottom w:val="0"/>
              <w:divBdr>
                <w:top w:val="none" w:sz="0" w:space="0" w:color="auto"/>
                <w:left w:val="none" w:sz="0" w:space="0" w:color="auto"/>
                <w:bottom w:val="none" w:sz="0" w:space="0" w:color="auto"/>
                <w:right w:val="none" w:sz="0" w:space="0" w:color="auto"/>
              </w:divBdr>
              <w:divsChild>
                <w:div w:id="1672677190">
                  <w:marLeft w:val="0"/>
                  <w:marRight w:val="0"/>
                  <w:marTop w:val="0"/>
                  <w:marBottom w:val="0"/>
                  <w:divBdr>
                    <w:top w:val="none" w:sz="0" w:space="0" w:color="auto"/>
                    <w:left w:val="none" w:sz="0" w:space="0" w:color="auto"/>
                    <w:bottom w:val="none" w:sz="0" w:space="0" w:color="auto"/>
                    <w:right w:val="none" w:sz="0" w:space="0" w:color="auto"/>
                  </w:divBdr>
                  <w:divsChild>
                    <w:div w:id="1521384619">
                      <w:marLeft w:val="0"/>
                      <w:marRight w:val="0"/>
                      <w:marTop w:val="0"/>
                      <w:marBottom w:val="0"/>
                      <w:divBdr>
                        <w:top w:val="none" w:sz="0" w:space="0" w:color="auto"/>
                        <w:left w:val="none" w:sz="0" w:space="0" w:color="auto"/>
                        <w:bottom w:val="none" w:sz="0" w:space="0" w:color="auto"/>
                        <w:right w:val="none" w:sz="0" w:space="0" w:color="auto"/>
                      </w:divBdr>
                      <w:divsChild>
                        <w:div w:id="438523559">
                          <w:marLeft w:val="0"/>
                          <w:marRight w:val="0"/>
                          <w:marTop w:val="0"/>
                          <w:marBottom w:val="0"/>
                          <w:divBdr>
                            <w:top w:val="single" w:sz="6" w:space="0" w:color="C7C7C7"/>
                            <w:left w:val="single" w:sz="6" w:space="0" w:color="C7C7C7"/>
                            <w:bottom w:val="single" w:sz="6" w:space="0" w:color="C7C7C7"/>
                            <w:right w:val="single" w:sz="6" w:space="0" w:color="C7C7C7"/>
                          </w:divBdr>
                          <w:divsChild>
                            <w:div w:id="1393701340">
                              <w:marLeft w:val="0"/>
                              <w:marRight w:val="0"/>
                              <w:marTop w:val="100"/>
                              <w:marBottom w:val="100"/>
                              <w:divBdr>
                                <w:top w:val="none" w:sz="0" w:space="11" w:color="auto"/>
                                <w:left w:val="none" w:sz="0" w:space="0" w:color="auto"/>
                                <w:bottom w:val="single" w:sz="6" w:space="11" w:color="C7C7C7"/>
                                <w:right w:val="none" w:sz="0" w:space="0" w:color="auto"/>
                              </w:divBdr>
                            </w:div>
                            <w:div w:id="1530993083">
                              <w:marLeft w:val="0"/>
                              <w:marRight w:val="0"/>
                              <w:marTop w:val="100"/>
                              <w:marBottom w:val="100"/>
                              <w:divBdr>
                                <w:top w:val="none" w:sz="0" w:space="0" w:color="auto"/>
                                <w:left w:val="none" w:sz="0" w:space="0" w:color="auto"/>
                                <w:bottom w:val="none" w:sz="0" w:space="0" w:color="auto"/>
                                <w:right w:val="none" w:sz="0" w:space="0" w:color="auto"/>
                              </w:divBdr>
                            </w:div>
                            <w:div w:id="1716539503">
                              <w:marLeft w:val="0"/>
                              <w:marRight w:val="0"/>
                              <w:marTop w:val="100"/>
                              <w:marBottom w:val="100"/>
                              <w:divBdr>
                                <w:top w:val="none" w:sz="0" w:space="11" w:color="auto"/>
                                <w:left w:val="none" w:sz="0" w:space="0" w:color="auto"/>
                                <w:bottom w:val="single" w:sz="6" w:space="11" w:color="C7C7C7"/>
                                <w:right w:val="none" w:sz="0" w:space="0" w:color="auto"/>
                              </w:divBdr>
                            </w:div>
                            <w:div w:id="1744255583">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163156676">
              <w:marLeft w:val="0"/>
              <w:marRight w:val="0"/>
              <w:marTop w:val="0"/>
              <w:marBottom w:val="0"/>
              <w:divBdr>
                <w:top w:val="none" w:sz="0" w:space="0" w:color="auto"/>
                <w:left w:val="none" w:sz="0" w:space="0" w:color="auto"/>
                <w:bottom w:val="none" w:sz="0" w:space="0" w:color="auto"/>
                <w:right w:val="none" w:sz="0" w:space="0" w:color="auto"/>
              </w:divBdr>
              <w:divsChild>
                <w:div w:id="1525290671">
                  <w:marLeft w:val="0"/>
                  <w:marRight w:val="0"/>
                  <w:marTop w:val="0"/>
                  <w:marBottom w:val="0"/>
                  <w:divBdr>
                    <w:top w:val="none" w:sz="0" w:space="0" w:color="auto"/>
                    <w:left w:val="none" w:sz="0" w:space="0" w:color="auto"/>
                    <w:bottom w:val="none" w:sz="0" w:space="0" w:color="auto"/>
                    <w:right w:val="none" w:sz="0" w:space="0" w:color="auto"/>
                  </w:divBdr>
                  <w:divsChild>
                    <w:div w:id="471489270">
                      <w:marLeft w:val="0"/>
                      <w:marRight w:val="0"/>
                      <w:marTop w:val="0"/>
                      <w:marBottom w:val="0"/>
                      <w:divBdr>
                        <w:top w:val="none" w:sz="0" w:space="0" w:color="auto"/>
                        <w:left w:val="none" w:sz="0" w:space="0" w:color="auto"/>
                        <w:bottom w:val="none" w:sz="0" w:space="0" w:color="auto"/>
                        <w:right w:val="none" w:sz="0" w:space="0" w:color="auto"/>
                      </w:divBdr>
                    </w:div>
                  </w:divsChild>
                </w:div>
                <w:div w:id="1758625371">
                  <w:marLeft w:val="0"/>
                  <w:marRight w:val="0"/>
                  <w:marTop w:val="150"/>
                  <w:marBottom w:val="0"/>
                  <w:divBdr>
                    <w:top w:val="none" w:sz="0" w:space="0" w:color="auto"/>
                    <w:left w:val="none" w:sz="0" w:space="0" w:color="auto"/>
                    <w:bottom w:val="none" w:sz="0" w:space="0" w:color="auto"/>
                    <w:right w:val="none" w:sz="0" w:space="0" w:color="auto"/>
                  </w:divBdr>
                  <w:divsChild>
                    <w:div w:id="873813721">
                      <w:marLeft w:val="0"/>
                      <w:marRight w:val="0"/>
                      <w:marTop w:val="0"/>
                      <w:marBottom w:val="0"/>
                      <w:divBdr>
                        <w:top w:val="none" w:sz="0" w:space="0" w:color="auto"/>
                        <w:left w:val="none" w:sz="0" w:space="0" w:color="auto"/>
                        <w:bottom w:val="none" w:sz="0" w:space="0" w:color="auto"/>
                        <w:right w:val="none" w:sz="0" w:space="0" w:color="auto"/>
                      </w:divBdr>
                      <w:divsChild>
                        <w:div w:id="138321120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63350">
      <w:bodyDiv w:val="1"/>
      <w:marLeft w:val="0"/>
      <w:marRight w:val="0"/>
      <w:marTop w:val="0"/>
      <w:marBottom w:val="0"/>
      <w:divBdr>
        <w:top w:val="none" w:sz="0" w:space="0" w:color="auto"/>
        <w:left w:val="none" w:sz="0" w:space="0" w:color="auto"/>
        <w:bottom w:val="none" w:sz="0" w:space="0" w:color="auto"/>
        <w:right w:val="none" w:sz="0" w:space="0" w:color="auto"/>
      </w:divBdr>
      <w:divsChild>
        <w:div w:id="1395854047">
          <w:marLeft w:val="0"/>
          <w:marRight w:val="0"/>
          <w:marTop w:val="0"/>
          <w:marBottom w:val="0"/>
          <w:divBdr>
            <w:top w:val="none" w:sz="0" w:space="0" w:color="auto"/>
            <w:left w:val="none" w:sz="0" w:space="0" w:color="auto"/>
            <w:bottom w:val="none" w:sz="0" w:space="0" w:color="auto"/>
            <w:right w:val="none" w:sz="0" w:space="0" w:color="auto"/>
          </w:divBdr>
          <w:divsChild>
            <w:div w:id="664019832">
              <w:marLeft w:val="0"/>
              <w:marRight w:val="0"/>
              <w:marTop w:val="0"/>
              <w:marBottom w:val="0"/>
              <w:divBdr>
                <w:top w:val="none" w:sz="0" w:space="0" w:color="auto"/>
                <w:left w:val="none" w:sz="0" w:space="0" w:color="auto"/>
                <w:bottom w:val="none" w:sz="0" w:space="0" w:color="auto"/>
                <w:right w:val="none" w:sz="0" w:space="0" w:color="auto"/>
              </w:divBdr>
              <w:divsChild>
                <w:div w:id="939677810">
                  <w:marLeft w:val="0"/>
                  <w:marRight w:val="0"/>
                  <w:marTop w:val="0"/>
                  <w:marBottom w:val="0"/>
                  <w:divBdr>
                    <w:top w:val="none" w:sz="0" w:space="0" w:color="auto"/>
                    <w:left w:val="none" w:sz="0" w:space="0" w:color="auto"/>
                    <w:bottom w:val="none" w:sz="0" w:space="0" w:color="auto"/>
                    <w:right w:val="none" w:sz="0" w:space="0" w:color="auto"/>
                  </w:divBdr>
                  <w:divsChild>
                    <w:div w:id="693921697">
                      <w:marLeft w:val="0"/>
                      <w:marRight w:val="0"/>
                      <w:marTop w:val="0"/>
                      <w:marBottom w:val="0"/>
                      <w:divBdr>
                        <w:top w:val="none" w:sz="0" w:space="0" w:color="auto"/>
                        <w:left w:val="none" w:sz="0" w:space="0" w:color="auto"/>
                        <w:bottom w:val="none" w:sz="0" w:space="0" w:color="auto"/>
                        <w:right w:val="none" w:sz="0" w:space="0" w:color="auto"/>
                      </w:divBdr>
                      <w:divsChild>
                        <w:div w:id="827089931">
                          <w:marLeft w:val="0"/>
                          <w:marRight w:val="0"/>
                          <w:marTop w:val="0"/>
                          <w:marBottom w:val="0"/>
                          <w:divBdr>
                            <w:top w:val="none" w:sz="0" w:space="0" w:color="auto"/>
                            <w:left w:val="none" w:sz="0" w:space="0" w:color="auto"/>
                            <w:bottom w:val="none" w:sz="0" w:space="0" w:color="auto"/>
                            <w:right w:val="none" w:sz="0" w:space="0" w:color="auto"/>
                          </w:divBdr>
                          <w:divsChild>
                            <w:div w:id="14239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86890">
      <w:bodyDiv w:val="1"/>
      <w:marLeft w:val="0"/>
      <w:marRight w:val="0"/>
      <w:marTop w:val="0"/>
      <w:marBottom w:val="0"/>
      <w:divBdr>
        <w:top w:val="none" w:sz="0" w:space="0" w:color="auto"/>
        <w:left w:val="none" w:sz="0" w:space="0" w:color="auto"/>
        <w:bottom w:val="none" w:sz="0" w:space="0" w:color="auto"/>
        <w:right w:val="none" w:sz="0" w:space="0" w:color="auto"/>
      </w:divBdr>
    </w:div>
    <w:div w:id="183135313">
      <w:bodyDiv w:val="1"/>
      <w:marLeft w:val="0"/>
      <w:marRight w:val="0"/>
      <w:marTop w:val="0"/>
      <w:marBottom w:val="0"/>
      <w:divBdr>
        <w:top w:val="none" w:sz="0" w:space="0" w:color="auto"/>
        <w:left w:val="none" w:sz="0" w:space="0" w:color="auto"/>
        <w:bottom w:val="none" w:sz="0" w:space="0" w:color="auto"/>
        <w:right w:val="none" w:sz="0" w:space="0" w:color="auto"/>
      </w:divBdr>
    </w:div>
    <w:div w:id="183175971">
      <w:bodyDiv w:val="1"/>
      <w:marLeft w:val="0"/>
      <w:marRight w:val="0"/>
      <w:marTop w:val="0"/>
      <w:marBottom w:val="0"/>
      <w:divBdr>
        <w:top w:val="none" w:sz="0" w:space="0" w:color="auto"/>
        <w:left w:val="none" w:sz="0" w:space="0" w:color="auto"/>
        <w:bottom w:val="none" w:sz="0" w:space="0" w:color="auto"/>
        <w:right w:val="none" w:sz="0" w:space="0" w:color="auto"/>
      </w:divBdr>
      <w:divsChild>
        <w:div w:id="1103527248">
          <w:marLeft w:val="0"/>
          <w:marRight w:val="0"/>
          <w:marTop w:val="0"/>
          <w:marBottom w:val="0"/>
          <w:divBdr>
            <w:top w:val="none" w:sz="0" w:space="0" w:color="auto"/>
            <w:left w:val="none" w:sz="0" w:space="0" w:color="auto"/>
            <w:bottom w:val="dotted" w:sz="6" w:space="4" w:color="DDDDDD"/>
            <w:right w:val="none" w:sz="0" w:space="0" w:color="auto"/>
          </w:divBdr>
          <w:divsChild>
            <w:div w:id="9556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55135">
      <w:bodyDiv w:val="1"/>
      <w:marLeft w:val="0"/>
      <w:marRight w:val="0"/>
      <w:marTop w:val="0"/>
      <w:marBottom w:val="0"/>
      <w:divBdr>
        <w:top w:val="none" w:sz="0" w:space="0" w:color="auto"/>
        <w:left w:val="none" w:sz="0" w:space="0" w:color="auto"/>
        <w:bottom w:val="none" w:sz="0" w:space="0" w:color="auto"/>
        <w:right w:val="none" w:sz="0" w:space="0" w:color="auto"/>
      </w:divBdr>
      <w:divsChild>
        <w:div w:id="1378698088">
          <w:marLeft w:val="0"/>
          <w:marRight w:val="0"/>
          <w:marTop w:val="0"/>
          <w:marBottom w:val="150"/>
          <w:divBdr>
            <w:top w:val="none" w:sz="0" w:space="0" w:color="auto"/>
            <w:left w:val="none" w:sz="0" w:space="0" w:color="auto"/>
            <w:bottom w:val="none" w:sz="0" w:space="0" w:color="auto"/>
            <w:right w:val="none" w:sz="0" w:space="0" w:color="auto"/>
          </w:divBdr>
          <w:divsChild>
            <w:div w:id="747268943">
              <w:marLeft w:val="0"/>
              <w:marRight w:val="0"/>
              <w:marTop w:val="0"/>
              <w:marBottom w:val="0"/>
              <w:divBdr>
                <w:top w:val="none" w:sz="0" w:space="0" w:color="auto"/>
                <w:left w:val="none" w:sz="0" w:space="0" w:color="auto"/>
                <w:bottom w:val="none" w:sz="0" w:space="0" w:color="auto"/>
                <w:right w:val="none" w:sz="0" w:space="0" w:color="auto"/>
              </w:divBdr>
              <w:divsChild>
                <w:div w:id="1277327082">
                  <w:marLeft w:val="0"/>
                  <w:marRight w:val="0"/>
                  <w:marTop w:val="0"/>
                  <w:marBottom w:val="0"/>
                  <w:divBdr>
                    <w:top w:val="none" w:sz="0" w:space="0" w:color="auto"/>
                    <w:left w:val="none" w:sz="0" w:space="0" w:color="auto"/>
                    <w:bottom w:val="none" w:sz="0" w:space="0" w:color="auto"/>
                    <w:right w:val="none" w:sz="0" w:space="0" w:color="auto"/>
                  </w:divBdr>
                  <w:divsChild>
                    <w:div w:id="381902666">
                      <w:marLeft w:val="0"/>
                      <w:marRight w:val="150"/>
                      <w:marTop w:val="0"/>
                      <w:marBottom w:val="0"/>
                      <w:divBdr>
                        <w:top w:val="none" w:sz="0" w:space="0" w:color="auto"/>
                        <w:left w:val="none" w:sz="0" w:space="0" w:color="auto"/>
                        <w:bottom w:val="none" w:sz="0" w:space="0" w:color="auto"/>
                        <w:right w:val="none" w:sz="0" w:space="0" w:color="auto"/>
                      </w:divBdr>
                      <w:divsChild>
                        <w:div w:id="200161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6885">
          <w:marLeft w:val="0"/>
          <w:marRight w:val="0"/>
          <w:marTop w:val="0"/>
          <w:marBottom w:val="150"/>
          <w:divBdr>
            <w:top w:val="none" w:sz="0" w:space="0" w:color="auto"/>
            <w:left w:val="none" w:sz="0" w:space="0" w:color="auto"/>
            <w:bottom w:val="none" w:sz="0" w:space="0" w:color="auto"/>
            <w:right w:val="none" w:sz="0" w:space="0" w:color="auto"/>
          </w:divBdr>
        </w:div>
        <w:div w:id="1836531850">
          <w:marLeft w:val="0"/>
          <w:marRight w:val="0"/>
          <w:marTop w:val="0"/>
          <w:marBottom w:val="0"/>
          <w:divBdr>
            <w:top w:val="none" w:sz="0" w:space="0" w:color="auto"/>
            <w:left w:val="none" w:sz="0" w:space="0" w:color="auto"/>
            <w:bottom w:val="none" w:sz="0" w:space="0" w:color="auto"/>
            <w:right w:val="none" w:sz="0" w:space="0" w:color="auto"/>
          </w:divBdr>
          <w:divsChild>
            <w:div w:id="78927587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3639442">
      <w:bodyDiv w:val="1"/>
      <w:marLeft w:val="0"/>
      <w:marRight w:val="0"/>
      <w:marTop w:val="0"/>
      <w:marBottom w:val="0"/>
      <w:divBdr>
        <w:top w:val="none" w:sz="0" w:space="0" w:color="auto"/>
        <w:left w:val="none" w:sz="0" w:space="0" w:color="auto"/>
        <w:bottom w:val="none" w:sz="0" w:space="0" w:color="auto"/>
        <w:right w:val="none" w:sz="0" w:space="0" w:color="auto"/>
      </w:divBdr>
      <w:divsChild>
        <w:div w:id="1952929395">
          <w:marLeft w:val="0"/>
          <w:marRight w:val="0"/>
          <w:marTop w:val="0"/>
          <w:marBottom w:val="0"/>
          <w:divBdr>
            <w:top w:val="none" w:sz="0" w:space="0" w:color="auto"/>
            <w:left w:val="none" w:sz="0" w:space="0" w:color="auto"/>
            <w:bottom w:val="dotted" w:sz="6" w:space="4" w:color="DDDDDD"/>
            <w:right w:val="none" w:sz="0" w:space="0" w:color="auto"/>
          </w:divBdr>
          <w:divsChild>
            <w:div w:id="160210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4240">
      <w:bodyDiv w:val="1"/>
      <w:marLeft w:val="0"/>
      <w:marRight w:val="0"/>
      <w:marTop w:val="0"/>
      <w:marBottom w:val="0"/>
      <w:divBdr>
        <w:top w:val="none" w:sz="0" w:space="0" w:color="auto"/>
        <w:left w:val="none" w:sz="0" w:space="0" w:color="auto"/>
        <w:bottom w:val="none" w:sz="0" w:space="0" w:color="auto"/>
        <w:right w:val="none" w:sz="0" w:space="0" w:color="auto"/>
      </w:divBdr>
      <w:divsChild>
        <w:div w:id="286592972">
          <w:marLeft w:val="0"/>
          <w:marRight w:val="0"/>
          <w:marTop w:val="0"/>
          <w:marBottom w:val="0"/>
          <w:divBdr>
            <w:top w:val="none" w:sz="0" w:space="0" w:color="auto"/>
            <w:left w:val="none" w:sz="0" w:space="0" w:color="auto"/>
            <w:bottom w:val="none" w:sz="0" w:space="0" w:color="auto"/>
            <w:right w:val="none" w:sz="0" w:space="0" w:color="auto"/>
          </w:divBdr>
          <w:divsChild>
            <w:div w:id="1638994625">
              <w:marLeft w:val="0"/>
              <w:marRight w:val="0"/>
              <w:marTop w:val="0"/>
              <w:marBottom w:val="0"/>
              <w:divBdr>
                <w:top w:val="none" w:sz="0" w:space="0" w:color="auto"/>
                <w:left w:val="none" w:sz="0" w:space="0" w:color="auto"/>
                <w:bottom w:val="none" w:sz="0" w:space="0" w:color="auto"/>
                <w:right w:val="none" w:sz="0" w:space="0" w:color="auto"/>
              </w:divBdr>
              <w:divsChild>
                <w:div w:id="2789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990654">
          <w:marLeft w:val="0"/>
          <w:marRight w:val="0"/>
          <w:marTop w:val="0"/>
          <w:marBottom w:val="0"/>
          <w:divBdr>
            <w:top w:val="none" w:sz="0" w:space="0" w:color="auto"/>
            <w:left w:val="none" w:sz="0" w:space="0" w:color="auto"/>
            <w:bottom w:val="none" w:sz="0" w:space="0" w:color="auto"/>
            <w:right w:val="none" w:sz="0" w:space="0" w:color="auto"/>
          </w:divBdr>
          <w:divsChild>
            <w:div w:id="1585803713">
              <w:marLeft w:val="0"/>
              <w:marRight w:val="0"/>
              <w:marTop w:val="0"/>
              <w:marBottom w:val="0"/>
              <w:divBdr>
                <w:top w:val="none" w:sz="0" w:space="0" w:color="auto"/>
                <w:left w:val="none" w:sz="0" w:space="0" w:color="auto"/>
                <w:bottom w:val="none" w:sz="0" w:space="0" w:color="auto"/>
                <w:right w:val="none" w:sz="0" w:space="0" w:color="auto"/>
              </w:divBdr>
              <w:divsChild>
                <w:div w:id="584388098">
                  <w:marLeft w:val="0"/>
                  <w:marRight w:val="0"/>
                  <w:marTop w:val="0"/>
                  <w:marBottom w:val="0"/>
                  <w:divBdr>
                    <w:top w:val="none" w:sz="0" w:space="0" w:color="auto"/>
                    <w:left w:val="none" w:sz="0" w:space="0" w:color="auto"/>
                    <w:bottom w:val="none" w:sz="0" w:space="0" w:color="auto"/>
                    <w:right w:val="none" w:sz="0" w:space="0" w:color="auto"/>
                  </w:divBdr>
                  <w:divsChild>
                    <w:div w:id="26819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18031">
          <w:marLeft w:val="0"/>
          <w:marRight w:val="0"/>
          <w:marTop w:val="360"/>
          <w:marBottom w:val="576"/>
          <w:divBdr>
            <w:top w:val="none" w:sz="0" w:space="0" w:color="auto"/>
            <w:left w:val="none" w:sz="0" w:space="0" w:color="auto"/>
            <w:bottom w:val="none" w:sz="0" w:space="0" w:color="auto"/>
            <w:right w:val="none" w:sz="0" w:space="0" w:color="auto"/>
          </w:divBdr>
        </w:div>
      </w:divsChild>
    </w:div>
    <w:div w:id="184944982">
      <w:bodyDiv w:val="1"/>
      <w:marLeft w:val="0"/>
      <w:marRight w:val="0"/>
      <w:marTop w:val="0"/>
      <w:marBottom w:val="0"/>
      <w:divBdr>
        <w:top w:val="none" w:sz="0" w:space="0" w:color="auto"/>
        <w:left w:val="none" w:sz="0" w:space="0" w:color="auto"/>
        <w:bottom w:val="none" w:sz="0" w:space="0" w:color="auto"/>
        <w:right w:val="none" w:sz="0" w:space="0" w:color="auto"/>
      </w:divBdr>
      <w:divsChild>
        <w:div w:id="468405580">
          <w:marLeft w:val="0"/>
          <w:marRight w:val="0"/>
          <w:marTop w:val="0"/>
          <w:marBottom w:val="0"/>
          <w:divBdr>
            <w:top w:val="none" w:sz="0" w:space="0" w:color="auto"/>
            <w:left w:val="none" w:sz="0" w:space="0" w:color="auto"/>
            <w:bottom w:val="none" w:sz="0" w:space="0" w:color="auto"/>
            <w:right w:val="none" w:sz="0" w:space="0" w:color="auto"/>
          </w:divBdr>
          <w:divsChild>
            <w:div w:id="63853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5789">
      <w:bodyDiv w:val="1"/>
      <w:marLeft w:val="0"/>
      <w:marRight w:val="0"/>
      <w:marTop w:val="0"/>
      <w:marBottom w:val="0"/>
      <w:divBdr>
        <w:top w:val="none" w:sz="0" w:space="0" w:color="auto"/>
        <w:left w:val="none" w:sz="0" w:space="0" w:color="auto"/>
        <w:bottom w:val="none" w:sz="0" w:space="0" w:color="auto"/>
        <w:right w:val="none" w:sz="0" w:space="0" w:color="auto"/>
      </w:divBdr>
    </w:div>
    <w:div w:id="185486690">
      <w:bodyDiv w:val="1"/>
      <w:marLeft w:val="0"/>
      <w:marRight w:val="0"/>
      <w:marTop w:val="0"/>
      <w:marBottom w:val="0"/>
      <w:divBdr>
        <w:top w:val="none" w:sz="0" w:space="0" w:color="auto"/>
        <w:left w:val="none" w:sz="0" w:space="0" w:color="auto"/>
        <w:bottom w:val="none" w:sz="0" w:space="0" w:color="auto"/>
        <w:right w:val="none" w:sz="0" w:space="0" w:color="auto"/>
      </w:divBdr>
      <w:divsChild>
        <w:div w:id="695736949">
          <w:marLeft w:val="0"/>
          <w:marRight w:val="0"/>
          <w:marTop w:val="0"/>
          <w:marBottom w:val="150"/>
          <w:divBdr>
            <w:top w:val="none" w:sz="0" w:space="0" w:color="auto"/>
            <w:left w:val="none" w:sz="0" w:space="0" w:color="auto"/>
            <w:bottom w:val="none" w:sz="0" w:space="0" w:color="auto"/>
            <w:right w:val="none" w:sz="0" w:space="0" w:color="auto"/>
          </w:divBdr>
        </w:div>
      </w:divsChild>
    </w:div>
    <w:div w:id="185944608">
      <w:bodyDiv w:val="1"/>
      <w:marLeft w:val="0"/>
      <w:marRight w:val="0"/>
      <w:marTop w:val="0"/>
      <w:marBottom w:val="0"/>
      <w:divBdr>
        <w:top w:val="none" w:sz="0" w:space="0" w:color="auto"/>
        <w:left w:val="none" w:sz="0" w:space="0" w:color="auto"/>
        <w:bottom w:val="none" w:sz="0" w:space="0" w:color="auto"/>
        <w:right w:val="none" w:sz="0" w:space="0" w:color="auto"/>
      </w:divBdr>
      <w:divsChild>
        <w:div w:id="791022816">
          <w:marLeft w:val="0"/>
          <w:marRight w:val="0"/>
          <w:marTop w:val="0"/>
          <w:marBottom w:val="0"/>
          <w:divBdr>
            <w:top w:val="none" w:sz="0" w:space="0" w:color="auto"/>
            <w:left w:val="none" w:sz="0" w:space="0" w:color="auto"/>
            <w:bottom w:val="dotted" w:sz="6" w:space="4" w:color="DDDDDD"/>
            <w:right w:val="none" w:sz="0" w:space="0" w:color="auto"/>
          </w:divBdr>
        </w:div>
      </w:divsChild>
    </w:div>
    <w:div w:id="185946386">
      <w:bodyDiv w:val="1"/>
      <w:marLeft w:val="0"/>
      <w:marRight w:val="0"/>
      <w:marTop w:val="0"/>
      <w:marBottom w:val="0"/>
      <w:divBdr>
        <w:top w:val="none" w:sz="0" w:space="0" w:color="auto"/>
        <w:left w:val="none" w:sz="0" w:space="0" w:color="auto"/>
        <w:bottom w:val="none" w:sz="0" w:space="0" w:color="auto"/>
        <w:right w:val="none" w:sz="0" w:space="0" w:color="auto"/>
      </w:divBdr>
      <w:divsChild>
        <w:div w:id="58941932">
          <w:marLeft w:val="0"/>
          <w:marRight w:val="0"/>
          <w:marTop w:val="0"/>
          <w:marBottom w:val="150"/>
          <w:divBdr>
            <w:top w:val="none" w:sz="0" w:space="0" w:color="auto"/>
            <w:left w:val="none" w:sz="0" w:space="0" w:color="auto"/>
            <w:bottom w:val="none" w:sz="0" w:space="0" w:color="auto"/>
            <w:right w:val="none" w:sz="0" w:space="0" w:color="auto"/>
          </w:divBdr>
          <w:divsChild>
            <w:div w:id="1012412403">
              <w:marLeft w:val="0"/>
              <w:marRight w:val="0"/>
              <w:marTop w:val="0"/>
              <w:marBottom w:val="0"/>
              <w:divBdr>
                <w:top w:val="none" w:sz="0" w:space="0" w:color="auto"/>
                <w:left w:val="none" w:sz="0" w:space="0" w:color="auto"/>
                <w:bottom w:val="none" w:sz="0" w:space="0" w:color="auto"/>
                <w:right w:val="none" w:sz="0" w:space="0" w:color="auto"/>
              </w:divBdr>
            </w:div>
          </w:divsChild>
        </w:div>
        <w:div w:id="934096779">
          <w:marLeft w:val="0"/>
          <w:marRight w:val="0"/>
          <w:marTop w:val="0"/>
          <w:marBottom w:val="150"/>
          <w:divBdr>
            <w:top w:val="none" w:sz="0" w:space="0" w:color="auto"/>
            <w:left w:val="none" w:sz="0" w:space="0" w:color="auto"/>
            <w:bottom w:val="none" w:sz="0" w:space="0" w:color="auto"/>
            <w:right w:val="none" w:sz="0" w:space="0" w:color="auto"/>
          </w:divBdr>
        </w:div>
      </w:divsChild>
    </w:div>
    <w:div w:id="186143348">
      <w:bodyDiv w:val="1"/>
      <w:marLeft w:val="0"/>
      <w:marRight w:val="0"/>
      <w:marTop w:val="0"/>
      <w:marBottom w:val="0"/>
      <w:divBdr>
        <w:top w:val="none" w:sz="0" w:space="0" w:color="auto"/>
        <w:left w:val="none" w:sz="0" w:space="0" w:color="auto"/>
        <w:bottom w:val="none" w:sz="0" w:space="0" w:color="auto"/>
        <w:right w:val="none" w:sz="0" w:space="0" w:color="auto"/>
      </w:divBdr>
      <w:divsChild>
        <w:div w:id="1490168795">
          <w:marLeft w:val="0"/>
          <w:marRight w:val="0"/>
          <w:marTop w:val="0"/>
          <w:marBottom w:val="0"/>
          <w:divBdr>
            <w:top w:val="none" w:sz="0" w:space="0" w:color="auto"/>
            <w:left w:val="none" w:sz="0" w:space="0" w:color="auto"/>
            <w:bottom w:val="dotted" w:sz="6" w:space="4" w:color="DDDDDD"/>
            <w:right w:val="none" w:sz="0" w:space="0" w:color="auto"/>
          </w:divBdr>
          <w:divsChild>
            <w:div w:id="187218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60027">
      <w:bodyDiv w:val="1"/>
      <w:marLeft w:val="0"/>
      <w:marRight w:val="0"/>
      <w:marTop w:val="0"/>
      <w:marBottom w:val="0"/>
      <w:divBdr>
        <w:top w:val="none" w:sz="0" w:space="0" w:color="auto"/>
        <w:left w:val="none" w:sz="0" w:space="0" w:color="auto"/>
        <w:bottom w:val="none" w:sz="0" w:space="0" w:color="auto"/>
        <w:right w:val="none" w:sz="0" w:space="0" w:color="auto"/>
      </w:divBdr>
    </w:div>
    <w:div w:id="186524231">
      <w:bodyDiv w:val="1"/>
      <w:marLeft w:val="0"/>
      <w:marRight w:val="0"/>
      <w:marTop w:val="0"/>
      <w:marBottom w:val="0"/>
      <w:divBdr>
        <w:top w:val="none" w:sz="0" w:space="0" w:color="auto"/>
        <w:left w:val="none" w:sz="0" w:space="0" w:color="auto"/>
        <w:bottom w:val="none" w:sz="0" w:space="0" w:color="auto"/>
        <w:right w:val="none" w:sz="0" w:space="0" w:color="auto"/>
      </w:divBdr>
      <w:divsChild>
        <w:div w:id="1340474141">
          <w:marLeft w:val="0"/>
          <w:marRight w:val="0"/>
          <w:marTop w:val="0"/>
          <w:marBottom w:val="150"/>
          <w:divBdr>
            <w:top w:val="none" w:sz="0" w:space="0" w:color="auto"/>
            <w:left w:val="none" w:sz="0" w:space="0" w:color="auto"/>
            <w:bottom w:val="none" w:sz="0" w:space="0" w:color="auto"/>
            <w:right w:val="none" w:sz="0" w:space="0" w:color="auto"/>
          </w:divBdr>
          <w:divsChild>
            <w:div w:id="1812479146">
              <w:marLeft w:val="0"/>
              <w:marRight w:val="0"/>
              <w:marTop w:val="0"/>
              <w:marBottom w:val="0"/>
              <w:divBdr>
                <w:top w:val="none" w:sz="0" w:space="0" w:color="auto"/>
                <w:left w:val="none" w:sz="0" w:space="0" w:color="auto"/>
                <w:bottom w:val="none" w:sz="0" w:space="0" w:color="auto"/>
                <w:right w:val="none" w:sz="0" w:space="0" w:color="auto"/>
              </w:divBdr>
              <w:divsChild>
                <w:div w:id="6758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066822">
          <w:marLeft w:val="0"/>
          <w:marRight w:val="0"/>
          <w:marTop w:val="0"/>
          <w:marBottom w:val="0"/>
          <w:divBdr>
            <w:top w:val="none" w:sz="0" w:space="0" w:color="auto"/>
            <w:left w:val="none" w:sz="0" w:space="0" w:color="auto"/>
            <w:bottom w:val="none" w:sz="0" w:space="0" w:color="auto"/>
            <w:right w:val="none" w:sz="0" w:space="0" w:color="auto"/>
          </w:divBdr>
          <w:divsChild>
            <w:div w:id="1649168005">
              <w:marLeft w:val="0"/>
              <w:marRight w:val="0"/>
              <w:marTop w:val="0"/>
              <w:marBottom w:val="0"/>
              <w:divBdr>
                <w:top w:val="none" w:sz="0" w:space="0" w:color="auto"/>
                <w:left w:val="none" w:sz="0" w:space="0" w:color="auto"/>
                <w:bottom w:val="none" w:sz="0" w:space="0" w:color="auto"/>
                <w:right w:val="none" w:sz="0" w:space="0" w:color="auto"/>
              </w:divBdr>
              <w:divsChild>
                <w:div w:id="2021733959">
                  <w:marLeft w:val="0"/>
                  <w:marRight w:val="0"/>
                  <w:marTop w:val="225"/>
                  <w:marBottom w:val="225"/>
                  <w:divBdr>
                    <w:top w:val="none" w:sz="0" w:space="0" w:color="auto"/>
                    <w:left w:val="none" w:sz="0" w:space="0" w:color="auto"/>
                    <w:bottom w:val="none" w:sz="0" w:space="0" w:color="auto"/>
                    <w:right w:val="none" w:sz="0" w:space="0" w:color="auto"/>
                  </w:divBdr>
                </w:div>
              </w:divsChild>
            </w:div>
            <w:div w:id="17968737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6909449">
      <w:bodyDiv w:val="1"/>
      <w:marLeft w:val="0"/>
      <w:marRight w:val="0"/>
      <w:marTop w:val="0"/>
      <w:marBottom w:val="0"/>
      <w:divBdr>
        <w:top w:val="none" w:sz="0" w:space="0" w:color="auto"/>
        <w:left w:val="none" w:sz="0" w:space="0" w:color="auto"/>
        <w:bottom w:val="none" w:sz="0" w:space="0" w:color="auto"/>
        <w:right w:val="none" w:sz="0" w:space="0" w:color="auto"/>
      </w:divBdr>
    </w:div>
    <w:div w:id="187723855">
      <w:bodyDiv w:val="1"/>
      <w:marLeft w:val="0"/>
      <w:marRight w:val="0"/>
      <w:marTop w:val="0"/>
      <w:marBottom w:val="0"/>
      <w:divBdr>
        <w:top w:val="none" w:sz="0" w:space="0" w:color="auto"/>
        <w:left w:val="none" w:sz="0" w:space="0" w:color="auto"/>
        <w:bottom w:val="none" w:sz="0" w:space="0" w:color="auto"/>
        <w:right w:val="none" w:sz="0" w:space="0" w:color="auto"/>
      </w:divBdr>
    </w:div>
    <w:div w:id="188225531">
      <w:bodyDiv w:val="1"/>
      <w:marLeft w:val="0"/>
      <w:marRight w:val="0"/>
      <w:marTop w:val="0"/>
      <w:marBottom w:val="0"/>
      <w:divBdr>
        <w:top w:val="none" w:sz="0" w:space="0" w:color="auto"/>
        <w:left w:val="none" w:sz="0" w:space="0" w:color="auto"/>
        <w:bottom w:val="none" w:sz="0" w:space="0" w:color="auto"/>
        <w:right w:val="none" w:sz="0" w:space="0" w:color="auto"/>
      </w:divBdr>
      <w:divsChild>
        <w:div w:id="956644456">
          <w:marLeft w:val="0"/>
          <w:marRight w:val="0"/>
          <w:marTop w:val="0"/>
          <w:marBottom w:val="0"/>
          <w:divBdr>
            <w:top w:val="none" w:sz="0" w:space="0" w:color="auto"/>
            <w:left w:val="none" w:sz="0" w:space="0" w:color="auto"/>
            <w:bottom w:val="none" w:sz="0" w:space="0" w:color="auto"/>
            <w:right w:val="none" w:sz="0" w:space="0" w:color="auto"/>
          </w:divBdr>
          <w:divsChild>
            <w:div w:id="18650560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228115">
      <w:bodyDiv w:val="1"/>
      <w:marLeft w:val="0"/>
      <w:marRight w:val="0"/>
      <w:marTop w:val="0"/>
      <w:marBottom w:val="0"/>
      <w:divBdr>
        <w:top w:val="none" w:sz="0" w:space="0" w:color="auto"/>
        <w:left w:val="none" w:sz="0" w:space="0" w:color="auto"/>
        <w:bottom w:val="none" w:sz="0" w:space="0" w:color="auto"/>
        <w:right w:val="none" w:sz="0" w:space="0" w:color="auto"/>
      </w:divBdr>
    </w:div>
    <w:div w:id="188298370">
      <w:bodyDiv w:val="1"/>
      <w:marLeft w:val="0"/>
      <w:marRight w:val="0"/>
      <w:marTop w:val="0"/>
      <w:marBottom w:val="0"/>
      <w:divBdr>
        <w:top w:val="none" w:sz="0" w:space="0" w:color="auto"/>
        <w:left w:val="none" w:sz="0" w:space="0" w:color="auto"/>
        <w:bottom w:val="none" w:sz="0" w:space="0" w:color="auto"/>
        <w:right w:val="none" w:sz="0" w:space="0" w:color="auto"/>
      </w:divBdr>
      <w:divsChild>
        <w:div w:id="373384386">
          <w:marLeft w:val="0"/>
          <w:marRight w:val="0"/>
          <w:marTop w:val="0"/>
          <w:marBottom w:val="0"/>
          <w:divBdr>
            <w:top w:val="none" w:sz="0" w:space="0" w:color="auto"/>
            <w:left w:val="none" w:sz="0" w:space="0" w:color="auto"/>
            <w:bottom w:val="none" w:sz="0" w:space="0" w:color="auto"/>
            <w:right w:val="none" w:sz="0" w:space="0" w:color="auto"/>
          </w:divBdr>
          <w:divsChild>
            <w:div w:id="532033943">
              <w:marLeft w:val="0"/>
              <w:marRight w:val="0"/>
              <w:marTop w:val="225"/>
              <w:marBottom w:val="225"/>
              <w:divBdr>
                <w:top w:val="none" w:sz="0" w:space="0" w:color="auto"/>
                <w:left w:val="none" w:sz="0" w:space="0" w:color="auto"/>
                <w:bottom w:val="none" w:sz="0" w:space="0" w:color="auto"/>
                <w:right w:val="none" w:sz="0" w:space="0" w:color="auto"/>
              </w:divBdr>
            </w:div>
          </w:divsChild>
        </w:div>
        <w:div w:id="1294094284">
          <w:marLeft w:val="0"/>
          <w:marRight w:val="0"/>
          <w:marTop w:val="0"/>
          <w:marBottom w:val="150"/>
          <w:divBdr>
            <w:top w:val="none" w:sz="0" w:space="0" w:color="auto"/>
            <w:left w:val="none" w:sz="0" w:space="0" w:color="auto"/>
            <w:bottom w:val="none" w:sz="0" w:space="0" w:color="auto"/>
            <w:right w:val="none" w:sz="0" w:space="0" w:color="auto"/>
          </w:divBdr>
          <w:divsChild>
            <w:div w:id="1399085444">
              <w:marLeft w:val="0"/>
              <w:marRight w:val="0"/>
              <w:marTop w:val="0"/>
              <w:marBottom w:val="0"/>
              <w:divBdr>
                <w:top w:val="none" w:sz="0" w:space="0" w:color="auto"/>
                <w:left w:val="none" w:sz="0" w:space="0" w:color="auto"/>
                <w:bottom w:val="none" w:sz="0" w:space="0" w:color="auto"/>
                <w:right w:val="none" w:sz="0" w:space="0" w:color="auto"/>
              </w:divBdr>
              <w:divsChild>
                <w:div w:id="161887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525325">
          <w:marLeft w:val="0"/>
          <w:marRight w:val="0"/>
          <w:marTop w:val="0"/>
          <w:marBottom w:val="150"/>
          <w:divBdr>
            <w:top w:val="none" w:sz="0" w:space="0" w:color="auto"/>
            <w:left w:val="none" w:sz="0" w:space="0" w:color="auto"/>
            <w:bottom w:val="none" w:sz="0" w:space="0" w:color="auto"/>
            <w:right w:val="none" w:sz="0" w:space="0" w:color="auto"/>
          </w:divBdr>
        </w:div>
      </w:divsChild>
    </w:div>
    <w:div w:id="188446383">
      <w:bodyDiv w:val="1"/>
      <w:marLeft w:val="0"/>
      <w:marRight w:val="0"/>
      <w:marTop w:val="0"/>
      <w:marBottom w:val="0"/>
      <w:divBdr>
        <w:top w:val="none" w:sz="0" w:space="0" w:color="auto"/>
        <w:left w:val="none" w:sz="0" w:space="0" w:color="auto"/>
        <w:bottom w:val="none" w:sz="0" w:space="0" w:color="auto"/>
        <w:right w:val="none" w:sz="0" w:space="0" w:color="auto"/>
      </w:divBdr>
      <w:divsChild>
        <w:div w:id="2014532461">
          <w:marLeft w:val="0"/>
          <w:marRight w:val="0"/>
          <w:marTop w:val="0"/>
          <w:marBottom w:val="0"/>
          <w:divBdr>
            <w:top w:val="none" w:sz="0" w:space="0" w:color="auto"/>
            <w:left w:val="none" w:sz="0" w:space="0" w:color="auto"/>
            <w:bottom w:val="none" w:sz="0" w:space="0" w:color="auto"/>
            <w:right w:val="none" w:sz="0" w:space="0" w:color="auto"/>
          </w:divBdr>
          <w:divsChild>
            <w:div w:id="497623409">
              <w:marLeft w:val="0"/>
              <w:marRight w:val="0"/>
              <w:marTop w:val="0"/>
              <w:marBottom w:val="0"/>
              <w:divBdr>
                <w:top w:val="none" w:sz="0" w:space="0" w:color="auto"/>
                <w:left w:val="none" w:sz="0" w:space="0" w:color="auto"/>
                <w:bottom w:val="none" w:sz="0" w:space="0" w:color="auto"/>
                <w:right w:val="none" w:sz="0" w:space="0" w:color="auto"/>
              </w:divBdr>
              <w:divsChild>
                <w:div w:id="1937206107">
                  <w:marLeft w:val="0"/>
                  <w:marRight w:val="0"/>
                  <w:marTop w:val="0"/>
                  <w:marBottom w:val="0"/>
                  <w:divBdr>
                    <w:top w:val="none" w:sz="0" w:space="0" w:color="auto"/>
                    <w:left w:val="none" w:sz="0" w:space="0" w:color="auto"/>
                    <w:bottom w:val="none" w:sz="0" w:space="0" w:color="auto"/>
                    <w:right w:val="none" w:sz="0" w:space="0" w:color="auto"/>
                  </w:divBdr>
                  <w:divsChild>
                    <w:div w:id="797649482">
                      <w:marLeft w:val="0"/>
                      <w:marRight w:val="0"/>
                      <w:marTop w:val="0"/>
                      <w:marBottom w:val="0"/>
                      <w:divBdr>
                        <w:top w:val="none" w:sz="0" w:space="0" w:color="auto"/>
                        <w:left w:val="none" w:sz="0" w:space="0" w:color="auto"/>
                        <w:bottom w:val="none" w:sz="0" w:space="0" w:color="auto"/>
                        <w:right w:val="none" w:sz="0" w:space="0" w:color="auto"/>
                      </w:divBdr>
                      <w:divsChild>
                        <w:div w:id="582177829">
                          <w:marLeft w:val="0"/>
                          <w:marRight w:val="0"/>
                          <w:marTop w:val="0"/>
                          <w:marBottom w:val="0"/>
                          <w:divBdr>
                            <w:top w:val="none" w:sz="0" w:space="0" w:color="auto"/>
                            <w:left w:val="none" w:sz="0" w:space="0" w:color="auto"/>
                            <w:bottom w:val="none" w:sz="0" w:space="0" w:color="auto"/>
                            <w:right w:val="none" w:sz="0" w:space="0" w:color="auto"/>
                          </w:divBdr>
                          <w:divsChild>
                            <w:div w:id="221018181">
                              <w:marLeft w:val="0"/>
                              <w:marRight w:val="0"/>
                              <w:marTop w:val="0"/>
                              <w:marBottom w:val="0"/>
                              <w:divBdr>
                                <w:top w:val="none" w:sz="0" w:space="0" w:color="auto"/>
                                <w:left w:val="none" w:sz="0" w:space="0" w:color="auto"/>
                                <w:bottom w:val="none" w:sz="0" w:space="0" w:color="auto"/>
                                <w:right w:val="none" w:sz="0" w:space="0" w:color="auto"/>
                              </w:divBdr>
                              <w:divsChild>
                                <w:div w:id="210190194">
                                  <w:marLeft w:val="0"/>
                                  <w:marRight w:val="0"/>
                                  <w:marTop w:val="0"/>
                                  <w:marBottom w:val="0"/>
                                  <w:divBdr>
                                    <w:top w:val="none" w:sz="0" w:space="0" w:color="auto"/>
                                    <w:left w:val="none" w:sz="0" w:space="0" w:color="auto"/>
                                    <w:bottom w:val="none" w:sz="0" w:space="0" w:color="auto"/>
                                    <w:right w:val="none" w:sz="0" w:space="0" w:color="auto"/>
                                  </w:divBdr>
                                  <w:divsChild>
                                    <w:div w:id="46623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90750">
      <w:bodyDiv w:val="1"/>
      <w:marLeft w:val="0"/>
      <w:marRight w:val="0"/>
      <w:marTop w:val="0"/>
      <w:marBottom w:val="0"/>
      <w:divBdr>
        <w:top w:val="none" w:sz="0" w:space="0" w:color="auto"/>
        <w:left w:val="none" w:sz="0" w:space="0" w:color="auto"/>
        <w:bottom w:val="none" w:sz="0" w:space="0" w:color="auto"/>
        <w:right w:val="none" w:sz="0" w:space="0" w:color="auto"/>
      </w:divBdr>
      <w:divsChild>
        <w:div w:id="461311452">
          <w:marLeft w:val="0"/>
          <w:marRight w:val="0"/>
          <w:marTop w:val="0"/>
          <w:marBottom w:val="150"/>
          <w:divBdr>
            <w:top w:val="none" w:sz="0" w:space="0" w:color="auto"/>
            <w:left w:val="none" w:sz="0" w:space="0" w:color="auto"/>
            <w:bottom w:val="none" w:sz="0" w:space="0" w:color="auto"/>
            <w:right w:val="none" w:sz="0" w:space="0" w:color="auto"/>
          </w:divBdr>
          <w:divsChild>
            <w:div w:id="946079615">
              <w:marLeft w:val="0"/>
              <w:marRight w:val="0"/>
              <w:marTop w:val="0"/>
              <w:marBottom w:val="0"/>
              <w:divBdr>
                <w:top w:val="none" w:sz="0" w:space="0" w:color="auto"/>
                <w:left w:val="none" w:sz="0" w:space="0" w:color="auto"/>
                <w:bottom w:val="none" w:sz="0" w:space="0" w:color="auto"/>
                <w:right w:val="none" w:sz="0" w:space="0" w:color="auto"/>
              </w:divBdr>
            </w:div>
          </w:divsChild>
        </w:div>
        <w:div w:id="1036809431">
          <w:marLeft w:val="0"/>
          <w:marRight w:val="0"/>
          <w:marTop w:val="0"/>
          <w:marBottom w:val="150"/>
          <w:divBdr>
            <w:top w:val="none" w:sz="0" w:space="0" w:color="auto"/>
            <w:left w:val="none" w:sz="0" w:space="0" w:color="auto"/>
            <w:bottom w:val="none" w:sz="0" w:space="0" w:color="auto"/>
            <w:right w:val="none" w:sz="0" w:space="0" w:color="auto"/>
          </w:divBdr>
        </w:div>
        <w:div w:id="2102337442">
          <w:marLeft w:val="0"/>
          <w:marRight w:val="0"/>
          <w:marTop w:val="0"/>
          <w:marBottom w:val="0"/>
          <w:divBdr>
            <w:top w:val="none" w:sz="0" w:space="0" w:color="auto"/>
            <w:left w:val="none" w:sz="0" w:space="0" w:color="auto"/>
            <w:bottom w:val="none" w:sz="0" w:space="0" w:color="auto"/>
            <w:right w:val="none" w:sz="0" w:space="0" w:color="auto"/>
          </w:divBdr>
          <w:divsChild>
            <w:div w:id="155349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1183">
      <w:bodyDiv w:val="1"/>
      <w:marLeft w:val="0"/>
      <w:marRight w:val="0"/>
      <w:marTop w:val="0"/>
      <w:marBottom w:val="0"/>
      <w:divBdr>
        <w:top w:val="none" w:sz="0" w:space="0" w:color="auto"/>
        <w:left w:val="none" w:sz="0" w:space="0" w:color="auto"/>
        <w:bottom w:val="none" w:sz="0" w:space="0" w:color="auto"/>
        <w:right w:val="none" w:sz="0" w:space="0" w:color="auto"/>
      </w:divBdr>
      <w:divsChild>
        <w:div w:id="636033456">
          <w:marLeft w:val="0"/>
          <w:marRight w:val="0"/>
          <w:marTop w:val="0"/>
          <w:marBottom w:val="0"/>
          <w:divBdr>
            <w:top w:val="none" w:sz="0" w:space="0" w:color="auto"/>
            <w:left w:val="none" w:sz="0" w:space="0" w:color="auto"/>
            <w:bottom w:val="dotted" w:sz="6" w:space="4" w:color="DDDDDD"/>
            <w:right w:val="none" w:sz="0" w:space="0" w:color="auto"/>
          </w:divBdr>
          <w:divsChild>
            <w:div w:id="161802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70848">
      <w:bodyDiv w:val="1"/>
      <w:marLeft w:val="0"/>
      <w:marRight w:val="0"/>
      <w:marTop w:val="0"/>
      <w:marBottom w:val="0"/>
      <w:divBdr>
        <w:top w:val="none" w:sz="0" w:space="0" w:color="auto"/>
        <w:left w:val="none" w:sz="0" w:space="0" w:color="auto"/>
        <w:bottom w:val="none" w:sz="0" w:space="0" w:color="auto"/>
        <w:right w:val="none" w:sz="0" w:space="0" w:color="auto"/>
      </w:divBdr>
    </w:div>
    <w:div w:id="188684941">
      <w:bodyDiv w:val="1"/>
      <w:marLeft w:val="0"/>
      <w:marRight w:val="0"/>
      <w:marTop w:val="0"/>
      <w:marBottom w:val="0"/>
      <w:divBdr>
        <w:top w:val="none" w:sz="0" w:space="0" w:color="auto"/>
        <w:left w:val="none" w:sz="0" w:space="0" w:color="auto"/>
        <w:bottom w:val="none" w:sz="0" w:space="0" w:color="auto"/>
        <w:right w:val="none" w:sz="0" w:space="0" w:color="auto"/>
      </w:divBdr>
      <w:divsChild>
        <w:div w:id="776095622">
          <w:marLeft w:val="0"/>
          <w:marRight w:val="0"/>
          <w:marTop w:val="0"/>
          <w:marBottom w:val="0"/>
          <w:divBdr>
            <w:top w:val="none" w:sz="0" w:space="0" w:color="auto"/>
            <w:left w:val="none" w:sz="0" w:space="0" w:color="auto"/>
            <w:bottom w:val="none" w:sz="0" w:space="0" w:color="auto"/>
            <w:right w:val="none" w:sz="0" w:space="0" w:color="auto"/>
          </w:divBdr>
          <w:divsChild>
            <w:div w:id="263808488">
              <w:marLeft w:val="0"/>
              <w:marRight w:val="0"/>
              <w:marTop w:val="0"/>
              <w:marBottom w:val="0"/>
              <w:divBdr>
                <w:top w:val="none" w:sz="0" w:space="0" w:color="auto"/>
                <w:left w:val="none" w:sz="0" w:space="0" w:color="auto"/>
                <w:bottom w:val="none" w:sz="0" w:space="0" w:color="auto"/>
                <w:right w:val="none" w:sz="0" w:space="0" w:color="auto"/>
              </w:divBdr>
              <w:divsChild>
                <w:div w:id="118771037">
                  <w:marLeft w:val="0"/>
                  <w:marRight w:val="0"/>
                  <w:marTop w:val="0"/>
                  <w:marBottom w:val="0"/>
                  <w:divBdr>
                    <w:top w:val="none" w:sz="0" w:space="0" w:color="auto"/>
                    <w:left w:val="none" w:sz="0" w:space="0" w:color="auto"/>
                    <w:bottom w:val="none" w:sz="0" w:space="0" w:color="auto"/>
                    <w:right w:val="none" w:sz="0" w:space="0" w:color="auto"/>
                  </w:divBdr>
                  <w:divsChild>
                    <w:div w:id="1410425099">
                      <w:marLeft w:val="0"/>
                      <w:marRight w:val="0"/>
                      <w:marTop w:val="0"/>
                      <w:marBottom w:val="0"/>
                      <w:divBdr>
                        <w:top w:val="none" w:sz="0" w:space="0" w:color="auto"/>
                        <w:left w:val="none" w:sz="0" w:space="0" w:color="auto"/>
                        <w:bottom w:val="none" w:sz="0" w:space="0" w:color="auto"/>
                        <w:right w:val="none" w:sz="0" w:space="0" w:color="auto"/>
                      </w:divBdr>
                      <w:divsChild>
                        <w:div w:id="2005469477">
                          <w:marLeft w:val="0"/>
                          <w:marRight w:val="0"/>
                          <w:marTop w:val="0"/>
                          <w:marBottom w:val="0"/>
                          <w:divBdr>
                            <w:top w:val="none" w:sz="0" w:space="0" w:color="auto"/>
                            <w:left w:val="none" w:sz="0" w:space="0" w:color="auto"/>
                            <w:bottom w:val="none" w:sz="0" w:space="0" w:color="auto"/>
                            <w:right w:val="none" w:sz="0" w:space="0" w:color="auto"/>
                          </w:divBdr>
                          <w:divsChild>
                            <w:div w:id="536552066">
                              <w:marLeft w:val="0"/>
                              <w:marRight w:val="0"/>
                              <w:marTop w:val="0"/>
                              <w:marBottom w:val="0"/>
                              <w:divBdr>
                                <w:top w:val="none" w:sz="0" w:space="0" w:color="auto"/>
                                <w:left w:val="none" w:sz="0" w:space="0" w:color="auto"/>
                                <w:bottom w:val="none" w:sz="0" w:space="0" w:color="auto"/>
                                <w:right w:val="none" w:sz="0" w:space="0" w:color="auto"/>
                              </w:divBdr>
                              <w:divsChild>
                                <w:div w:id="110831102">
                                  <w:marLeft w:val="0"/>
                                  <w:marRight w:val="0"/>
                                  <w:marTop w:val="0"/>
                                  <w:marBottom w:val="0"/>
                                  <w:divBdr>
                                    <w:top w:val="none" w:sz="0" w:space="0" w:color="auto"/>
                                    <w:left w:val="none" w:sz="0" w:space="0" w:color="auto"/>
                                    <w:bottom w:val="none" w:sz="0" w:space="0" w:color="auto"/>
                                    <w:right w:val="none" w:sz="0" w:space="0" w:color="auto"/>
                                  </w:divBdr>
                                  <w:divsChild>
                                    <w:div w:id="16981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954595">
      <w:bodyDiv w:val="1"/>
      <w:marLeft w:val="0"/>
      <w:marRight w:val="0"/>
      <w:marTop w:val="0"/>
      <w:marBottom w:val="0"/>
      <w:divBdr>
        <w:top w:val="none" w:sz="0" w:space="0" w:color="auto"/>
        <w:left w:val="none" w:sz="0" w:space="0" w:color="auto"/>
        <w:bottom w:val="none" w:sz="0" w:space="0" w:color="auto"/>
        <w:right w:val="none" w:sz="0" w:space="0" w:color="auto"/>
      </w:divBdr>
      <w:divsChild>
        <w:div w:id="667441392">
          <w:marLeft w:val="0"/>
          <w:marRight w:val="0"/>
          <w:marTop w:val="0"/>
          <w:marBottom w:val="150"/>
          <w:divBdr>
            <w:top w:val="none" w:sz="0" w:space="0" w:color="auto"/>
            <w:left w:val="none" w:sz="0" w:space="0" w:color="auto"/>
            <w:bottom w:val="none" w:sz="0" w:space="0" w:color="auto"/>
            <w:right w:val="none" w:sz="0" w:space="0" w:color="auto"/>
          </w:divBdr>
        </w:div>
      </w:divsChild>
    </w:div>
    <w:div w:id="188956027">
      <w:bodyDiv w:val="1"/>
      <w:marLeft w:val="0"/>
      <w:marRight w:val="0"/>
      <w:marTop w:val="0"/>
      <w:marBottom w:val="0"/>
      <w:divBdr>
        <w:top w:val="none" w:sz="0" w:space="0" w:color="auto"/>
        <w:left w:val="none" w:sz="0" w:space="0" w:color="auto"/>
        <w:bottom w:val="none" w:sz="0" w:space="0" w:color="auto"/>
        <w:right w:val="none" w:sz="0" w:space="0" w:color="auto"/>
      </w:divBdr>
      <w:divsChild>
        <w:div w:id="409276037">
          <w:marLeft w:val="0"/>
          <w:marRight w:val="0"/>
          <w:marTop w:val="0"/>
          <w:marBottom w:val="0"/>
          <w:divBdr>
            <w:top w:val="none" w:sz="0" w:space="0" w:color="auto"/>
            <w:left w:val="none" w:sz="0" w:space="0" w:color="auto"/>
            <w:bottom w:val="none" w:sz="0" w:space="0" w:color="auto"/>
            <w:right w:val="none" w:sz="0" w:space="0" w:color="auto"/>
          </w:divBdr>
          <w:divsChild>
            <w:div w:id="1280794865">
              <w:marLeft w:val="0"/>
              <w:marRight w:val="0"/>
              <w:marTop w:val="225"/>
              <w:marBottom w:val="225"/>
              <w:divBdr>
                <w:top w:val="none" w:sz="0" w:space="0" w:color="auto"/>
                <w:left w:val="none" w:sz="0" w:space="0" w:color="auto"/>
                <w:bottom w:val="none" w:sz="0" w:space="0" w:color="auto"/>
                <w:right w:val="none" w:sz="0" w:space="0" w:color="auto"/>
              </w:divBdr>
            </w:div>
          </w:divsChild>
        </w:div>
        <w:div w:id="491721879">
          <w:marLeft w:val="0"/>
          <w:marRight w:val="0"/>
          <w:marTop w:val="0"/>
          <w:marBottom w:val="150"/>
          <w:divBdr>
            <w:top w:val="none" w:sz="0" w:space="0" w:color="auto"/>
            <w:left w:val="none" w:sz="0" w:space="0" w:color="auto"/>
            <w:bottom w:val="none" w:sz="0" w:space="0" w:color="auto"/>
            <w:right w:val="none" w:sz="0" w:space="0" w:color="auto"/>
          </w:divBdr>
        </w:div>
        <w:div w:id="944734194">
          <w:marLeft w:val="0"/>
          <w:marRight w:val="0"/>
          <w:marTop w:val="0"/>
          <w:marBottom w:val="150"/>
          <w:divBdr>
            <w:top w:val="none" w:sz="0" w:space="0" w:color="auto"/>
            <w:left w:val="none" w:sz="0" w:space="0" w:color="auto"/>
            <w:bottom w:val="none" w:sz="0" w:space="0" w:color="auto"/>
            <w:right w:val="none" w:sz="0" w:space="0" w:color="auto"/>
          </w:divBdr>
          <w:divsChild>
            <w:div w:id="196309321">
              <w:marLeft w:val="0"/>
              <w:marRight w:val="0"/>
              <w:marTop w:val="0"/>
              <w:marBottom w:val="0"/>
              <w:divBdr>
                <w:top w:val="none" w:sz="0" w:space="0" w:color="auto"/>
                <w:left w:val="none" w:sz="0" w:space="0" w:color="auto"/>
                <w:bottom w:val="none" w:sz="0" w:space="0" w:color="auto"/>
                <w:right w:val="none" w:sz="0" w:space="0" w:color="auto"/>
              </w:divBdr>
              <w:divsChild>
                <w:div w:id="91732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13506">
      <w:bodyDiv w:val="1"/>
      <w:marLeft w:val="0"/>
      <w:marRight w:val="0"/>
      <w:marTop w:val="0"/>
      <w:marBottom w:val="0"/>
      <w:divBdr>
        <w:top w:val="none" w:sz="0" w:space="0" w:color="auto"/>
        <w:left w:val="none" w:sz="0" w:space="0" w:color="auto"/>
        <w:bottom w:val="none" w:sz="0" w:space="0" w:color="auto"/>
        <w:right w:val="none" w:sz="0" w:space="0" w:color="auto"/>
      </w:divBdr>
      <w:divsChild>
        <w:div w:id="327366226">
          <w:marLeft w:val="0"/>
          <w:marRight w:val="0"/>
          <w:marTop w:val="0"/>
          <w:marBottom w:val="0"/>
          <w:divBdr>
            <w:top w:val="none" w:sz="0" w:space="0" w:color="auto"/>
            <w:left w:val="none" w:sz="0" w:space="0" w:color="auto"/>
            <w:bottom w:val="none" w:sz="0" w:space="0" w:color="auto"/>
            <w:right w:val="none" w:sz="0" w:space="0" w:color="auto"/>
          </w:divBdr>
          <w:divsChild>
            <w:div w:id="196085822">
              <w:marLeft w:val="0"/>
              <w:marRight w:val="0"/>
              <w:marTop w:val="0"/>
              <w:marBottom w:val="150"/>
              <w:divBdr>
                <w:top w:val="none" w:sz="0" w:space="0" w:color="auto"/>
                <w:left w:val="none" w:sz="0" w:space="0" w:color="auto"/>
                <w:bottom w:val="none" w:sz="0" w:space="0" w:color="auto"/>
                <w:right w:val="none" w:sz="0" w:space="0" w:color="auto"/>
              </w:divBdr>
            </w:div>
            <w:div w:id="941034123">
              <w:marLeft w:val="0"/>
              <w:marRight w:val="0"/>
              <w:marTop w:val="0"/>
              <w:marBottom w:val="0"/>
              <w:divBdr>
                <w:top w:val="none" w:sz="0" w:space="0" w:color="auto"/>
                <w:left w:val="none" w:sz="0" w:space="0" w:color="auto"/>
                <w:bottom w:val="none" w:sz="0" w:space="0" w:color="auto"/>
                <w:right w:val="none" w:sz="0" w:space="0" w:color="auto"/>
              </w:divBdr>
            </w:div>
          </w:divsChild>
        </w:div>
        <w:div w:id="1840271950">
          <w:marLeft w:val="0"/>
          <w:marRight w:val="0"/>
          <w:marTop w:val="0"/>
          <w:marBottom w:val="150"/>
          <w:divBdr>
            <w:top w:val="none" w:sz="0" w:space="0" w:color="auto"/>
            <w:left w:val="none" w:sz="0" w:space="0" w:color="auto"/>
            <w:bottom w:val="none" w:sz="0" w:space="0" w:color="auto"/>
            <w:right w:val="none" w:sz="0" w:space="0" w:color="auto"/>
          </w:divBdr>
          <w:divsChild>
            <w:div w:id="105612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4141">
      <w:bodyDiv w:val="1"/>
      <w:marLeft w:val="0"/>
      <w:marRight w:val="0"/>
      <w:marTop w:val="0"/>
      <w:marBottom w:val="0"/>
      <w:divBdr>
        <w:top w:val="none" w:sz="0" w:space="0" w:color="auto"/>
        <w:left w:val="none" w:sz="0" w:space="0" w:color="auto"/>
        <w:bottom w:val="none" w:sz="0" w:space="0" w:color="auto"/>
        <w:right w:val="none" w:sz="0" w:space="0" w:color="auto"/>
      </w:divBdr>
      <w:divsChild>
        <w:div w:id="1967881472">
          <w:marLeft w:val="0"/>
          <w:marRight w:val="0"/>
          <w:marTop w:val="0"/>
          <w:marBottom w:val="0"/>
          <w:divBdr>
            <w:top w:val="none" w:sz="0" w:space="0" w:color="auto"/>
            <w:left w:val="none" w:sz="0" w:space="0" w:color="auto"/>
            <w:bottom w:val="none" w:sz="0" w:space="0" w:color="auto"/>
            <w:right w:val="none" w:sz="0" w:space="0" w:color="auto"/>
          </w:divBdr>
          <w:divsChild>
            <w:div w:id="1647124632">
              <w:marLeft w:val="0"/>
              <w:marRight w:val="0"/>
              <w:marTop w:val="0"/>
              <w:marBottom w:val="0"/>
              <w:divBdr>
                <w:top w:val="none" w:sz="0" w:space="0" w:color="auto"/>
                <w:left w:val="none" w:sz="0" w:space="0" w:color="auto"/>
                <w:bottom w:val="none" w:sz="0" w:space="0" w:color="auto"/>
                <w:right w:val="none" w:sz="0" w:space="0" w:color="auto"/>
              </w:divBdr>
            </w:div>
          </w:divsChild>
        </w:div>
        <w:div w:id="639383389">
          <w:marLeft w:val="0"/>
          <w:marRight w:val="0"/>
          <w:marTop w:val="0"/>
          <w:marBottom w:val="0"/>
          <w:divBdr>
            <w:top w:val="none" w:sz="0" w:space="0" w:color="auto"/>
            <w:left w:val="none" w:sz="0" w:space="0" w:color="auto"/>
            <w:bottom w:val="none" w:sz="0" w:space="0" w:color="auto"/>
            <w:right w:val="none" w:sz="0" w:space="0" w:color="auto"/>
          </w:divBdr>
        </w:div>
      </w:divsChild>
    </w:div>
    <w:div w:id="190606571">
      <w:bodyDiv w:val="1"/>
      <w:marLeft w:val="0"/>
      <w:marRight w:val="0"/>
      <w:marTop w:val="0"/>
      <w:marBottom w:val="0"/>
      <w:divBdr>
        <w:top w:val="none" w:sz="0" w:space="0" w:color="auto"/>
        <w:left w:val="none" w:sz="0" w:space="0" w:color="auto"/>
        <w:bottom w:val="none" w:sz="0" w:space="0" w:color="auto"/>
        <w:right w:val="none" w:sz="0" w:space="0" w:color="auto"/>
      </w:divBdr>
      <w:divsChild>
        <w:div w:id="1427771062">
          <w:marLeft w:val="0"/>
          <w:marRight w:val="0"/>
          <w:marTop w:val="0"/>
          <w:marBottom w:val="240"/>
          <w:divBdr>
            <w:top w:val="none" w:sz="0" w:space="0" w:color="auto"/>
            <w:left w:val="none" w:sz="0" w:space="0" w:color="auto"/>
            <w:bottom w:val="none" w:sz="0" w:space="0" w:color="auto"/>
            <w:right w:val="none" w:sz="0" w:space="0" w:color="auto"/>
          </w:divBdr>
        </w:div>
        <w:div w:id="1729574004">
          <w:marLeft w:val="0"/>
          <w:marRight w:val="0"/>
          <w:marTop w:val="0"/>
          <w:marBottom w:val="240"/>
          <w:divBdr>
            <w:top w:val="none" w:sz="0" w:space="0" w:color="auto"/>
            <w:left w:val="none" w:sz="0" w:space="0" w:color="auto"/>
            <w:bottom w:val="none" w:sz="0" w:space="0" w:color="auto"/>
            <w:right w:val="none" w:sz="0" w:space="0" w:color="auto"/>
          </w:divBdr>
        </w:div>
        <w:div w:id="1539199583">
          <w:marLeft w:val="0"/>
          <w:marRight w:val="0"/>
          <w:marTop w:val="0"/>
          <w:marBottom w:val="240"/>
          <w:divBdr>
            <w:top w:val="none" w:sz="0" w:space="0" w:color="auto"/>
            <w:left w:val="none" w:sz="0" w:space="0" w:color="auto"/>
            <w:bottom w:val="none" w:sz="0" w:space="0" w:color="auto"/>
            <w:right w:val="none" w:sz="0" w:space="0" w:color="auto"/>
          </w:divBdr>
        </w:div>
        <w:div w:id="241062664">
          <w:marLeft w:val="0"/>
          <w:marRight w:val="0"/>
          <w:marTop w:val="0"/>
          <w:marBottom w:val="240"/>
          <w:divBdr>
            <w:top w:val="none" w:sz="0" w:space="0" w:color="auto"/>
            <w:left w:val="none" w:sz="0" w:space="0" w:color="auto"/>
            <w:bottom w:val="none" w:sz="0" w:space="0" w:color="auto"/>
            <w:right w:val="none" w:sz="0" w:space="0" w:color="auto"/>
          </w:divBdr>
        </w:div>
      </w:divsChild>
    </w:div>
    <w:div w:id="190730662">
      <w:bodyDiv w:val="1"/>
      <w:marLeft w:val="0"/>
      <w:marRight w:val="0"/>
      <w:marTop w:val="0"/>
      <w:marBottom w:val="0"/>
      <w:divBdr>
        <w:top w:val="none" w:sz="0" w:space="0" w:color="auto"/>
        <w:left w:val="none" w:sz="0" w:space="0" w:color="auto"/>
        <w:bottom w:val="none" w:sz="0" w:space="0" w:color="auto"/>
        <w:right w:val="none" w:sz="0" w:space="0" w:color="auto"/>
      </w:divBdr>
    </w:div>
    <w:div w:id="191384760">
      <w:bodyDiv w:val="1"/>
      <w:marLeft w:val="0"/>
      <w:marRight w:val="0"/>
      <w:marTop w:val="0"/>
      <w:marBottom w:val="0"/>
      <w:divBdr>
        <w:top w:val="none" w:sz="0" w:space="0" w:color="auto"/>
        <w:left w:val="none" w:sz="0" w:space="0" w:color="auto"/>
        <w:bottom w:val="none" w:sz="0" w:space="0" w:color="auto"/>
        <w:right w:val="none" w:sz="0" w:space="0" w:color="auto"/>
      </w:divBdr>
    </w:div>
    <w:div w:id="191462324">
      <w:bodyDiv w:val="1"/>
      <w:marLeft w:val="0"/>
      <w:marRight w:val="0"/>
      <w:marTop w:val="0"/>
      <w:marBottom w:val="0"/>
      <w:divBdr>
        <w:top w:val="none" w:sz="0" w:space="0" w:color="auto"/>
        <w:left w:val="none" w:sz="0" w:space="0" w:color="auto"/>
        <w:bottom w:val="none" w:sz="0" w:space="0" w:color="auto"/>
        <w:right w:val="none" w:sz="0" w:space="0" w:color="auto"/>
      </w:divBdr>
      <w:divsChild>
        <w:div w:id="1664551430">
          <w:marLeft w:val="0"/>
          <w:marRight w:val="0"/>
          <w:marTop w:val="0"/>
          <w:marBottom w:val="0"/>
          <w:divBdr>
            <w:top w:val="none" w:sz="0" w:space="0" w:color="auto"/>
            <w:left w:val="none" w:sz="0" w:space="0" w:color="auto"/>
            <w:bottom w:val="none" w:sz="0" w:space="0" w:color="auto"/>
            <w:right w:val="none" w:sz="0" w:space="0" w:color="auto"/>
          </w:divBdr>
        </w:div>
      </w:divsChild>
    </w:div>
    <w:div w:id="191577304">
      <w:bodyDiv w:val="1"/>
      <w:marLeft w:val="0"/>
      <w:marRight w:val="0"/>
      <w:marTop w:val="0"/>
      <w:marBottom w:val="0"/>
      <w:divBdr>
        <w:top w:val="none" w:sz="0" w:space="0" w:color="auto"/>
        <w:left w:val="none" w:sz="0" w:space="0" w:color="auto"/>
        <w:bottom w:val="none" w:sz="0" w:space="0" w:color="auto"/>
        <w:right w:val="none" w:sz="0" w:space="0" w:color="auto"/>
      </w:divBdr>
      <w:divsChild>
        <w:div w:id="186722387">
          <w:marLeft w:val="0"/>
          <w:marRight w:val="0"/>
          <w:marTop w:val="0"/>
          <w:marBottom w:val="176"/>
          <w:divBdr>
            <w:top w:val="none" w:sz="0" w:space="0" w:color="auto"/>
            <w:left w:val="none" w:sz="0" w:space="0" w:color="auto"/>
            <w:bottom w:val="none" w:sz="0" w:space="0" w:color="auto"/>
            <w:right w:val="none" w:sz="0" w:space="0" w:color="auto"/>
          </w:divBdr>
        </w:div>
        <w:div w:id="186873254">
          <w:marLeft w:val="0"/>
          <w:marRight w:val="0"/>
          <w:marTop w:val="0"/>
          <w:marBottom w:val="176"/>
          <w:divBdr>
            <w:top w:val="none" w:sz="0" w:space="0" w:color="auto"/>
            <w:left w:val="none" w:sz="0" w:space="0" w:color="auto"/>
            <w:bottom w:val="none" w:sz="0" w:space="0" w:color="auto"/>
            <w:right w:val="none" w:sz="0" w:space="0" w:color="auto"/>
          </w:divBdr>
        </w:div>
        <w:div w:id="195853690">
          <w:marLeft w:val="0"/>
          <w:marRight w:val="0"/>
          <w:marTop w:val="0"/>
          <w:marBottom w:val="176"/>
          <w:divBdr>
            <w:top w:val="none" w:sz="0" w:space="0" w:color="auto"/>
            <w:left w:val="none" w:sz="0" w:space="0" w:color="auto"/>
            <w:bottom w:val="none" w:sz="0" w:space="0" w:color="auto"/>
            <w:right w:val="none" w:sz="0" w:space="0" w:color="auto"/>
          </w:divBdr>
        </w:div>
        <w:div w:id="270935142">
          <w:marLeft w:val="0"/>
          <w:marRight w:val="0"/>
          <w:marTop w:val="0"/>
          <w:marBottom w:val="176"/>
          <w:divBdr>
            <w:top w:val="none" w:sz="0" w:space="0" w:color="auto"/>
            <w:left w:val="none" w:sz="0" w:space="0" w:color="auto"/>
            <w:bottom w:val="none" w:sz="0" w:space="0" w:color="auto"/>
            <w:right w:val="none" w:sz="0" w:space="0" w:color="auto"/>
          </w:divBdr>
        </w:div>
        <w:div w:id="368646210">
          <w:marLeft w:val="0"/>
          <w:marRight w:val="0"/>
          <w:marTop w:val="0"/>
          <w:marBottom w:val="176"/>
          <w:divBdr>
            <w:top w:val="none" w:sz="0" w:space="0" w:color="auto"/>
            <w:left w:val="none" w:sz="0" w:space="0" w:color="auto"/>
            <w:bottom w:val="none" w:sz="0" w:space="0" w:color="auto"/>
            <w:right w:val="none" w:sz="0" w:space="0" w:color="auto"/>
          </w:divBdr>
        </w:div>
        <w:div w:id="506091596">
          <w:marLeft w:val="0"/>
          <w:marRight w:val="0"/>
          <w:marTop w:val="0"/>
          <w:marBottom w:val="176"/>
          <w:divBdr>
            <w:top w:val="none" w:sz="0" w:space="0" w:color="auto"/>
            <w:left w:val="none" w:sz="0" w:space="0" w:color="auto"/>
            <w:bottom w:val="none" w:sz="0" w:space="0" w:color="auto"/>
            <w:right w:val="none" w:sz="0" w:space="0" w:color="auto"/>
          </w:divBdr>
        </w:div>
        <w:div w:id="607395785">
          <w:marLeft w:val="0"/>
          <w:marRight w:val="0"/>
          <w:marTop w:val="0"/>
          <w:marBottom w:val="176"/>
          <w:divBdr>
            <w:top w:val="none" w:sz="0" w:space="0" w:color="auto"/>
            <w:left w:val="none" w:sz="0" w:space="0" w:color="auto"/>
            <w:bottom w:val="none" w:sz="0" w:space="0" w:color="auto"/>
            <w:right w:val="none" w:sz="0" w:space="0" w:color="auto"/>
          </w:divBdr>
        </w:div>
        <w:div w:id="686953143">
          <w:marLeft w:val="0"/>
          <w:marRight w:val="0"/>
          <w:marTop w:val="0"/>
          <w:marBottom w:val="176"/>
          <w:divBdr>
            <w:top w:val="none" w:sz="0" w:space="0" w:color="auto"/>
            <w:left w:val="none" w:sz="0" w:space="0" w:color="auto"/>
            <w:bottom w:val="none" w:sz="0" w:space="0" w:color="auto"/>
            <w:right w:val="none" w:sz="0" w:space="0" w:color="auto"/>
          </w:divBdr>
        </w:div>
        <w:div w:id="1622878988">
          <w:marLeft w:val="0"/>
          <w:marRight w:val="0"/>
          <w:marTop w:val="0"/>
          <w:marBottom w:val="176"/>
          <w:divBdr>
            <w:top w:val="none" w:sz="0" w:space="0" w:color="auto"/>
            <w:left w:val="none" w:sz="0" w:space="0" w:color="auto"/>
            <w:bottom w:val="none" w:sz="0" w:space="0" w:color="auto"/>
            <w:right w:val="none" w:sz="0" w:space="0" w:color="auto"/>
          </w:divBdr>
        </w:div>
        <w:div w:id="1674994235">
          <w:marLeft w:val="0"/>
          <w:marRight w:val="0"/>
          <w:marTop w:val="0"/>
          <w:marBottom w:val="176"/>
          <w:divBdr>
            <w:top w:val="none" w:sz="0" w:space="0" w:color="auto"/>
            <w:left w:val="none" w:sz="0" w:space="0" w:color="auto"/>
            <w:bottom w:val="none" w:sz="0" w:space="0" w:color="auto"/>
            <w:right w:val="none" w:sz="0" w:space="0" w:color="auto"/>
          </w:divBdr>
        </w:div>
        <w:div w:id="1693724409">
          <w:marLeft w:val="0"/>
          <w:marRight w:val="0"/>
          <w:marTop w:val="0"/>
          <w:marBottom w:val="176"/>
          <w:divBdr>
            <w:top w:val="none" w:sz="0" w:space="0" w:color="auto"/>
            <w:left w:val="none" w:sz="0" w:space="0" w:color="auto"/>
            <w:bottom w:val="none" w:sz="0" w:space="0" w:color="auto"/>
            <w:right w:val="none" w:sz="0" w:space="0" w:color="auto"/>
          </w:divBdr>
        </w:div>
        <w:div w:id="1896502532">
          <w:marLeft w:val="0"/>
          <w:marRight w:val="0"/>
          <w:marTop w:val="0"/>
          <w:marBottom w:val="176"/>
          <w:divBdr>
            <w:top w:val="none" w:sz="0" w:space="0" w:color="auto"/>
            <w:left w:val="none" w:sz="0" w:space="0" w:color="auto"/>
            <w:bottom w:val="none" w:sz="0" w:space="0" w:color="auto"/>
            <w:right w:val="none" w:sz="0" w:space="0" w:color="auto"/>
          </w:divBdr>
        </w:div>
        <w:div w:id="2067295514">
          <w:marLeft w:val="0"/>
          <w:marRight w:val="0"/>
          <w:marTop w:val="0"/>
          <w:marBottom w:val="176"/>
          <w:divBdr>
            <w:top w:val="none" w:sz="0" w:space="0" w:color="auto"/>
            <w:left w:val="none" w:sz="0" w:space="0" w:color="auto"/>
            <w:bottom w:val="none" w:sz="0" w:space="0" w:color="auto"/>
            <w:right w:val="none" w:sz="0" w:space="0" w:color="auto"/>
          </w:divBdr>
        </w:div>
        <w:div w:id="2125076512">
          <w:marLeft w:val="0"/>
          <w:marRight w:val="0"/>
          <w:marTop w:val="0"/>
          <w:marBottom w:val="176"/>
          <w:divBdr>
            <w:top w:val="none" w:sz="0" w:space="0" w:color="auto"/>
            <w:left w:val="none" w:sz="0" w:space="0" w:color="auto"/>
            <w:bottom w:val="none" w:sz="0" w:space="0" w:color="auto"/>
            <w:right w:val="none" w:sz="0" w:space="0" w:color="auto"/>
          </w:divBdr>
        </w:div>
      </w:divsChild>
    </w:div>
    <w:div w:id="191845102">
      <w:bodyDiv w:val="1"/>
      <w:marLeft w:val="0"/>
      <w:marRight w:val="0"/>
      <w:marTop w:val="0"/>
      <w:marBottom w:val="0"/>
      <w:divBdr>
        <w:top w:val="none" w:sz="0" w:space="0" w:color="auto"/>
        <w:left w:val="none" w:sz="0" w:space="0" w:color="auto"/>
        <w:bottom w:val="none" w:sz="0" w:space="0" w:color="auto"/>
        <w:right w:val="none" w:sz="0" w:space="0" w:color="auto"/>
      </w:divBdr>
      <w:divsChild>
        <w:div w:id="603881127">
          <w:marLeft w:val="0"/>
          <w:marRight w:val="0"/>
          <w:marTop w:val="0"/>
          <w:marBottom w:val="150"/>
          <w:divBdr>
            <w:top w:val="none" w:sz="0" w:space="0" w:color="auto"/>
            <w:left w:val="none" w:sz="0" w:space="0" w:color="auto"/>
            <w:bottom w:val="none" w:sz="0" w:space="0" w:color="auto"/>
            <w:right w:val="none" w:sz="0" w:space="0" w:color="auto"/>
          </w:divBdr>
        </w:div>
      </w:divsChild>
    </w:div>
    <w:div w:id="192038674">
      <w:bodyDiv w:val="1"/>
      <w:marLeft w:val="0"/>
      <w:marRight w:val="0"/>
      <w:marTop w:val="0"/>
      <w:marBottom w:val="0"/>
      <w:divBdr>
        <w:top w:val="none" w:sz="0" w:space="0" w:color="auto"/>
        <w:left w:val="none" w:sz="0" w:space="0" w:color="auto"/>
        <w:bottom w:val="none" w:sz="0" w:space="0" w:color="auto"/>
        <w:right w:val="none" w:sz="0" w:space="0" w:color="auto"/>
      </w:divBdr>
    </w:div>
    <w:div w:id="192111206">
      <w:bodyDiv w:val="1"/>
      <w:marLeft w:val="0"/>
      <w:marRight w:val="0"/>
      <w:marTop w:val="0"/>
      <w:marBottom w:val="0"/>
      <w:divBdr>
        <w:top w:val="none" w:sz="0" w:space="0" w:color="auto"/>
        <w:left w:val="none" w:sz="0" w:space="0" w:color="auto"/>
        <w:bottom w:val="none" w:sz="0" w:space="0" w:color="auto"/>
        <w:right w:val="none" w:sz="0" w:space="0" w:color="auto"/>
      </w:divBdr>
    </w:div>
    <w:div w:id="192502722">
      <w:bodyDiv w:val="1"/>
      <w:marLeft w:val="0"/>
      <w:marRight w:val="0"/>
      <w:marTop w:val="0"/>
      <w:marBottom w:val="0"/>
      <w:divBdr>
        <w:top w:val="none" w:sz="0" w:space="0" w:color="auto"/>
        <w:left w:val="none" w:sz="0" w:space="0" w:color="auto"/>
        <w:bottom w:val="none" w:sz="0" w:space="0" w:color="auto"/>
        <w:right w:val="none" w:sz="0" w:space="0" w:color="auto"/>
      </w:divBdr>
      <w:divsChild>
        <w:div w:id="1885368993">
          <w:marLeft w:val="0"/>
          <w:marRight w:val="0"/>
          <w:marTop w:val="0"/>
          <w:marBottom w:val="150"/>
          <w:divBdr>
            <w:top w:val="none" w:sz="0" w:space="0" w:color="auto"/>
            <w:left w:val="none" w:sz="0" w:space="0" w:color="auto"/>
            <w:bottom w:val="none" w:sz="0" w:space="0" w:color="auto"/>
            <w:right w:val="none" w:sz="0" w:space="0" w:color="auto"/>
          </w:divBdr>
          <w:divsChild>
            <w:div w:id="1526016232">
              <w:marLeft w:val="0"/>
              <w:marRight w:val="0"/>
              <w:marTop w:val="0"/>
              <w:marBottom w:val="0"/>
              <w:divBdr>
                <w:top w:val="none" w:sz="0" w:space="0" w:color="auto"/>
                <w:left w:val="none" w:sz="0" w:space="0" w:color="auto"/>
                <w:bottom w:val="none" w:sz="0" w:space="0" w:color="auto"/>
                <w:right w:val="none" w:sz="0" w:space="0" w:color="auto"/>
              </w:divBdr>
              <w:divsChild>
                <w:div w:id="1492410113">
                  <w:marLeft w:val="0"/>
                  <w:marRight w:val="0"/>
                  <w:marTop w:val="0"/>
                  <w:marBottom w:val="0"/>
                  <w:divBdr>
                    <w:top w:val="none" w:sz="0" w:space="0" w:color="auto"/>
                    <w:left w:val="none" w:sz="0" w:space="0" w:color="auto"/>
                    <w:bottom w:val="none" w:sz="0" w:space="0" w:color="auto"/>
                    <w:right w:val="none" w:sz="0" w:space="0" w:color="auto"/>
                  </w:divBdr>
                  <w:divsChild>
                    <w:div w:id="8214390">
                      <w:marLeft w:val="0"/>
                      <w:marRight w:val="150"/>
                      <w:marTop w:val="0"/>
                      <w:marBottom w:val="0"/>
                      <w:divBdr>
                        <w:top w:val="none" w:sz="0" w:space="0" w:color="auto"/>
                        <w:left w:val="none" w:sz="0" w:space="0" w:color="auto"/>
                        <w:bottom w:val="none" w:sz="0" w:space="0" w:color="auto"/>
                        <w:right w:val="none" w:sz="0" w:space="0" w:color="auto"/>
                      </w:divBdr>
                      <w:divsChild>
                        <w:div w:id="168736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182232">
          <w:marLeft w:val="0"/>
          <w:marRight w:val="0"/>
          <w:marTop w:val="0"/>
          <w:marBottom w:val="150"/>
          <w:divBdr>
            <w:top w:val="none" w:sz="0" w:space="0" w:color="auto"/>
            <w:left w:val="none" w:sz="0" w:space="0" w:color="auto"/>
            <w:bottom w:val="none" w:sz="0" w:space="0" w:color="auto"/>
            <w:right w:val="none" w:sz="0" w:space="0" w:color="auto"/>
          </w:divBdr>
        </w:div>
        <w:div w:id="1896971296">
          <w:marLeft w:val="0"/>
          <w:marRight w:val="0"/>
          <w:marTop w:val="0"/>
          <w:marBottom w:val="0"/>
          <w:divBdr>
            <w:top w:val="none" w:sz="0" w:space="0" w:color="auto"/>
            <w:left w:val="none" w:sz="0" w:space="0" w:color="auto"/>
            <w:bottom w:val="none" w:sz="0" w:space="0" w:color="auto"/>
            <w:right w:val="none" w:sz="0" w:space="0" w:color="auto"/>
          </w:divBdr>
          <w:divsChild>
            <w:div w:id="141342575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2959269">
      <w:bodyDiv w:val="1"/>
      <w:marLeft w:val="0"/>
      <w:marRight w:val="0"/>
      <w:marTop w:val="0"/>
      <w:marBottom w:val="0"/>
      <w:divBdr>
        <w:top w:val="none" w:sz="0" w:space="0" w:color="auto"/>
        <w:left w:val="none" w:sz="0" w:space="0" w:color="auto"/>
        <w:bottom w:val="none" w:sz="0" w:space="0" w:color="auto"/>
        <w:right w:val="none" w:sz="0" w:space="0" w:color="auto"/>
      </w:divBdr>
      <w:divsChild>
        <w:div w:id="687830194">
          <w:marLeft w:val="0"/>
          <w:marRight w:val="0"/>
          <w:marTop w:val="0"/>
          <w:marBottom w:val="0"/>
          <w:divBdr>
            <w:top w:val="none" w:sz="0" w:space="0" w:color="auto"/>
            <w:left w:val="none" w:sz="0" w:space="0" w:color="auto"/>
            <w:bottom w:val="none" w:sz="0" w:space="0" w:color="auto"/>
            <w:right w:val="none" w:sz="0" w:space="0" w:color="auto"/>
          </w:divBdr>
          <w:divsChild>
            <w:div w:id="1051341051">
              <w:marLeft w:val="0"/>
              <w:marRight w:val="0"/>
              <w:marTop w:val="0"/>
              <w:marBottom w:val="0"/>
              <w:divBdr>
                <w:top w:val="none" w:sz="0" w:space="0" w:color="auto"/>
                <w:left w:val="none" w:sz="0" w:space="0" w:color="auto"/>
                <w:bottom w:val="none" w:sz="0" w:space="0" w:color="auto"/>
                <w:right w:val="none" w:sz="0" w:space="0" w:color="auto"/>
              </w:divBdr>
              <w:divsChild>
                <w:div w:id="133060312">
                  <w:marLeft w:val="0"/>
                  <w:marRight w:val="0"/>
                  <w:marTop w:val="0"/>
                  <w:marBottom w:val="0"/>
                  <w:divBdr>
                    <w:top w:val="none" w:sz="0" w:space="0" w:color="auto"/>
                    <w:left w:val="none" w:sz="0" w:space="0" w:color="auto"/>
                    <w:bottom w:val="none" w:sz="0" w:space="0" w:color="auto"/>
                    <w:right w:val="none" w:sz="0" w:space="0" w:color="auto"/>
                  </w:divBdr>
                  <w:divsChild>
                    <w:div w:id="1992250277">
                      <w:marLeft w:val="0"/>
                      <w:marRight w:val="0"/>
                      <w:marTop w:val="0"/>
                      <w:marBottom w:val="0"/>
                      <w:divBdr>
                        <w:top w:val="none" w:sz="0" w:space="0" w:color="auto"/>
                        <w:left w:val="none" w:sz="0" w:space="0" w:color="auto"/>
                        <w:bottom w:val="none" w:sz="0" w:space="0" w:color="auto"/>
                        <w:right w:val="none" w:sz="0" w:space="0" w:color="auto"/>
                      </w:divBdr>
                      <w:divsChild>
                        <w:div w:id="1682587328">
                          <w:marLeft w:val="0"/>
                          <w:marRight w:val="0"/>
                          <w:marTop w:val="0"/>
                          <w:marBottom w:val="180"/>
                          <w:divBdr>
                            <w:top w:val="none" w:sz="0" w:space="0" w:color="auto"/>
                            <w:left w:val="none" w:sz="0" w:space="0" w:color="auto"/>
                            <w:bottom w:val="none" w:sz="0" w:space="0" w:color="auto"/>
                            <w:right w:val="none" w:sz="0" w:space="0" w:color="auto"/>
                          </w:divBdr>
                          <w:divsChild>
                            <w:div w:id="59324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58905">
      <w:bodyDiv w:val="1"/>
      <w:marLeft w:val="0"/>
      <w:marRight w:val="0"/>
      <w:marTop w:val="0"/>
      <w:marBottom w:val="0"/>
      <w:divBdr>
        <w:top w:val="none" w:sz="0" w:space="0" w:color="auto"/>
        <w:left w:val="none" w:sz="0" w:space="0" w:color="auto"/>
        <w:bottom w:val="none" w:sz="0" w:space="0" w:color="auto"/>
        <w:right w:val="none" w:sz="0" w:space="0" w:color="auto"/>
      </w:divBdr>
      <w:divsChild>
        <w:div w:id="1136292711">
          <w:marLeft w:val="0"/>
          <w:marRight w:val="0"/>
          <w:marTop w:val="0"/>
          <w:marBottom w:val="150"/>
          <w:divBdr>
            <w:top w:val="none" w:sz="0" w:space="0" w:color="auto"/>
            <w:left w:val="none" w:sz="0" w:space="0" w:color="auto"/>
            <w:bottom w:val="none" w:sz="0" w:space="0" w:color="auto"/>
            <w:right w:val="none" w:sz="0" w:space="0" w:color="auto"/>
          </w:divBdr>
          <w:divsChild>
            <w:div w:id="684207472">
              <w:marLeft w:val="0"/>
              <w:marRight w:val="0"/>
              <w:marTop w:val="0"/>
              <w:marBottom w:val="0"/>
              <w:divBdr>
                <w:top w:val="none" w:sz="0" w:space="0" w:color="auto"/>
                <w:left w:val="none" w:sz="0" w:space="0" w:color="auto"/>
                <w:bottom w:val="none" w:sz="0" w:space="0" w:color="auto"/>
                <w:right w:val="none" w:sz="0" w:space="0" w:color="auto"/>
              </w:divBdr>
              <w:divsChild>
                <w:div w:id="177937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704845">
          <w:marLeft w:val="0"/>
          <w:marRight w:val="0"/>
          <w:marTop w:val="0"/>
          <w:marBottom w:val="0"/>
          <w:divBdr>
            <w:top w:val="none" w:sz="0" w:space="0" w:color="auto"/>
            <w:left w:val="none" w:sz="0" w:space="0" w:color="auto"/>
            <w:bottom w:val="none" w:sz="0" w:space="0" w:color="auto"/>
            <w:right w:val="none" w:sz="0" w:space="0" w:color="auto"/>
          </w:divBdr>
          <w:divsChild>
            <w:div w:id="1551725991">
              <w:marLeft w:val="0"/>
              <w:marRight w:val="0"/>
              <w:marTop w:val="0"/>
              <w:marBottom w:val="150"/>
              <w:divBdr>
                <w:top w:val="none" w:sz="0" w:space="0" w:color="auto"/>
                <w:left w:val="none" w:sz="0" w:space="0" w:color="auto"/>
                <w:bottom w:val="none" w:sz="0" w:space="0" w:color="auto"/>
                <w:right w:val="none" w:sz="0" w:space="0" w:color="auto"/>
              </w:divBdr>
            </w:div>
            <w:div w:id="1650091554">
              <w:marLeft w:val="0"/>
              <w:marRight w:val="0"/>
              <w:marTop w:val="0"/>
              <w:marBottom w:val="0"/>
              <w:divBdr>
                <w:top w:val="none" w:sz="0" w:space="0" w:color="auto"/>
                <w:left w:val="none" w:sz="0" w:space="0" w:color="auto"/>
                <w:bottom w:val="none" w:sz="0" w:space="0" w:color="auto"/>
                <w:right w:val="none" w:sz="0" w:space="0" w:color="auto"/>
              </w:divBdr>
              <w:divsChild>
                <w:div w:id="126749743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93542699">
      <w:bodyDiv w:val="1"/>
      <w:marLeft w:val="0"/>
      <w:marRight w:val="0"/>
      <w:marTop w:val="0"/>
      <w:marBottom w:val="0"/>
      <w:divBdr>
        <w:top w:val="none" w:sz="0" w:space="0" w:color="auto"/>
        <w:left w:val="none" w:sz="0" w:space="0" w:color="auto"/>
        <w:bottom w:val="none" w:sz="0" w:space="0" w:color="auto"/>
        <w:right w:val="none" w:sz="0" w:space="0" w:color="auto"/>
      </w:divBdr>
      <w:divsChild>
        <w:div w:id="741608895">
          <w:marLeft w:val="0"/>
          <w:marRight w:val="0"/>
          <w:marTop w:val="0"/>
          <w:marBottom w:val="150"/>
          <w:divBdr>
            <w:top w:val="none" w:sz="0" w:space="0" w:color="auto"/>
            <w:left w:val="none" w:sz="0" w:space="0" w:color="auto"/>
            <w:bottom w:val="none" w:sz="0" w:space="0" w:color="auto"/>
            <w:right w:val="none" w:sz="0" w:space="0" w:color="auto"/>
          </w:divBdr>
          <w:divsChild>
            <w:div w:id="361395206">
              <w:marLeft w:val="0"/>
              <w:marRight w:val="0"/>
              <w:marTop w:val="0"/>
              <w:marBottom w:val="0"/>
              <w:divBdr>
                <w:top w:val="none" w:sz="0" w:space="0" w:color="auto"/>
                <w:left w:val="none" w:sz="0" w:space="0" w:color="auto"/>
                <w:bottom w:val="none" w:sz="0" w:space="0" w:color="auto"/>
                <w:right w:val="none" w:sz="0" w:space="0" w:color="auto"/>
              </w:divBdr>
              <w:divsChild>
                <w:div w:id="182492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928377">
          <w:marLeft w:val="0"/>
          <w:marRight w:val="0"/>
          <w:marTop w:val="0"/>
          <w:marBottom w:val="150"/>
          <w:divBdr>
            <w:top w:val="none" w:sz="0" w:space="0" w:color="auto"/>
            <w:left w:val="none" w:sz="0" w:space="0" w:color="auto"/>
            <w:bottom w:val="none" w:sz="0" w:space="0" w:color="auto"/>
            <w:right w:val="none" w:sz="0" w:space="0" w:color="auto"/>
          </w:divBdr>
        </w:div>
        <w:div w:id="1143429200">
          <w:marLeft w:val="0"/>
          <w:marRight w:val="0"/>
          <w:marTop w:val="0"/>
          <w:marBottom w:val="0"/>
          <w:divBdr>
            <w:top w:val="none" w:sz="0" w:space="0" w:color="auto"/>
            <w:left w:val="none" w:sz="0" w:space="0" w:color="auto"/>
            <w:bottom w:val="none" w:sz="0" w:space="0" w:color="auto"/>
            <w:right w:val="none" w:sz="0" w:space="0" w:color="auto"/>
          </w:divBdr>
          <w:divsChild>
            <w:div w:id="164477471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659860">
      <w:bodyDiv w:val="1"/>
      <w:marLeft w:val="0"/>
      <w:marRight w:val="0"/>
      <w:marTop w:val="0"/>
      <w:marBottom w:val="0"/>
      <w:divBdr>
        <w:top w:val="none" w:sz="0" w:space="0" w:color="auto"/>
        <w:left w:val="none" w:sz="0" w:space="0" w:color="auto"/>
        <w:bottom w:val="none" w:sz="0" w:space="0" w:color="auto"/>
        <w:right w:val="none" w:sz="0" w:space="0" w:color="auto"/>
      </w:divBdr>
      <w:divsChild>
        <w:div w:id="2120562629">
          <w:marLeft w:val="0"/>
          <w:marRight w:val="0"/>
          <w:marTop w:val="0"/>
          <w:marBottom w:val="0"/>
          <w:divBdr>
            <w:top w:val="none" w:sz="0" w:space="0" w:color="auto"/>
            <w:left w:val="none" w:sz="0" w:space="0" w:color="auto"/>
            <w:bottom w:val="dotted" w:sz="6" w:space="4" w:color="DDDDDD"/>
            <w:right w:val="none" w:sz="0" w:space="0" w:color="auto"/>
          </w:divBdr>
          <w:divsChild>
            <w:div w:id="57281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84312">
      <w:bodyDiv w:val="1"/>
      <w:marLeft w:val="0"/>
      <w:marRight w:val="0"/>
      <w:marTop w:val="0"/>
      <w:marBottom w:val="0"/>
      <w:divBdr>
        <w:top w:val="none" w:sz="0" w:space="0" w:color="auto"/>
        <w:left w:val="none" w:sz="0" w:space="0" w:color="auto"/>
        <w:bottom w:val="none" w:sz="0" w:space="0" w:color="auto"/>
        <w:right w:val="none" w:sz="0" w:space="0" w:color="auto"/>
      </w:divBdr>
    </w:div>
    <w:div w:id="194773547">
      <w:bodyDiv w:val="1"/>
      <w:marLeft w:val="0"/>
      <w:marRight w:val="0"/>
      <w:marTop w:val="0"/>
      <w:marBottom w:val="0"/>
      <w:divBdr>
        <w:top w:val="none" w:sz="0" w:space="0" w:color="auto"/>
        <w:left w:val="none" w:sz="0" w:space="0" w:color="auto"/>
        <w:bottom w:val="none" w:sz="0" w:space="0" w:color="auto"/>
        <w:right w:val="none" w:sz="0" w:space="0" w:color="auto"/>
      </w:divBdr>
      <w:divsChild>
        <w:div w:id="292977810">
          <w:marLeft w:val="0"/>
          <w:marRight w:val="0"/>
          <w:marTop w:val="0"/>
          <w:marBottom w:val="150"/>
          <w:divBdr>
            <w:top w:val="none" w:sz="0" w:space="0" w:color="auto"/>
            <w:left w:val="none" w:sz="0" w:space="0" w:color="auto"/>
            <w:bottom w:val="none" w:sz="0" w:space="0" w:color="auto"/>
            <w:right w:val="none" w:sz="0" w:space="0" w:color="auto"/>
          </w:divBdr>
        </w:div>
        <w:div w:id="1812669870">
          <w:marLeft w:val="0"/>
          <w:marRight w:val="0"/>
          <w:marTop w:val="0"/>
          <w:marBottom w:val="0"/>
          <w:divBdr>
            <w:top w:val="none" w:sz="0" w:space="0" w:color="auto"/>
            <w:left w:val="none" w:sz="0" w:space="0" w:color="auto"/>
            <w:bottom w:val="none" w:sz="0" w:space="0" w:color="auto"/>
            <w:right w:val="none" w:sz="0" w:space="0" w:color="auto"/>
          </w:divBdr>
        </w:div>
      </w:divsChild>
    </w:div>
    <w:div w:id="195049302">
      <w:bodyDiv w:val="1"/>
      <w:marLeft w:val="0"/>
      <w:marRight w:val="0"/>
      <w:marTop w:val="0"/>
      <w:marBottom w:val="0"/>
      <w:divBdr>
        <w:top w:val="none" w:sz="0" w:space="0" w:color="auto"/>
        <w:left w:val="none" w:sz="0" w:space="0" w:color="auto"/>
        <w:bottom w:val="none" w:sz="0" w:space="0" w:color="auto"/>
        <w:right w:val="none" w:sz="0" w:space="0" w:color="auto"/>
      </w:divBdr>
      <w:divsChild>
        <w:div w:id="85348334">
          <w:marLeft w:val="0"/>
          <w:marRight w:val="0"/>
          <w:marTop w:val="0"/>
          <w:marBottom w:val="0"/>
          <w:divBdr>
            <w:top w:val="none" w:sz="0" w:space="0" w:color="auto"/>
            <w:left w:val="none" w:sz="0" w:space="0" w:color="auto"/>
            <w:bottom w:val="dotted" w:sz="6" w:space="4" w:color="DDDDDD"/>
            <w:right w:val="none" w:sz="0" w:space="0" w:color="auto"/>
          </w:divBdr>
          <w:divsChild>
            <w:div w:id="195914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41082">
      <w:bodyDiv w:val="1"/>
      <w:marLeft w:val="0"/>
      <w:marRight w:val="0"/>
      <w:marTop w:val="0"/>
      <w:marBottom w:val="0"/>
      <w:divBdr>
        <w:top w:val="none" w:sz="0" w:space="0" w:color="auto"/>
        <w:left w:val="none" w:sz="0" w:space="0" w:color="auto"/>
        <w:bottom w:val="none" w:sz="0" w:space="0" w:color="auto"/>
        <w:right w:val="none" w:sz="0" w:space="0" w:color="auto"/>
      </w:divBdr>
      <w:divsChild>
        <w:div w:id="1542009066">
          <w:marLeft w:val="0"/>
          <w:marRight w:val="0"/>
          <w:marTop w:val="0"/>
          <w:marBottom w:val="0"/>
          <w:divBdr>
            <w:top w:val="none" w:sz="0" w:space="0" w:color="auto"/>
            <w:left w:val="none" w:sz="0" w:space="0" w:color="auto"/>
            <w:bottom w:val="none" w:sz="0" w:space="0" w:color="auto"/>
            <w:right w:val="none" w:sz="0" w:space="0" w:color="auto"/>
          </w:divBdr>
          <w:divsChild>
            <w:div w:id="1604529981">
              <w:marLeft w:val="0"/>
              <w:marRight w:val="0"/>
              <w:marTop w:val="0"/>
              <w:marBottom w:val="0"/>
              <w:divBdr>
                <w:top w:val="none" w:sz="0" w:space="0" w:color="auto"/>
                <w:left w:val="none" w:sz="0" w:space="0" w:color="auto"/>
                <w:bottom w:val="none" w:sz="0" w:space="0" w:color="auto"/>
                <w:right w:val="none" w:sz="0" w:space="0" w:color="auto"/>
              </w:divBdr>
              <w:divsChild>
                <w:div w:id="1036545795">
                  <w:marLeft w:val="0"/>
                  <w:marRight w:val="0"/>
                  <w:marTop w:val="0"/>
                  <w:marBottom w:val="0"/>
                  <w:divBdr>
                    <w:top w:val="none" w:sz="0" w:space="0" w:color="auto"/>
                    <w:left w:val="none" w:sz="0" w:space="0" w:color="auto"/>
                    <w:bottom w:val="none" w:sz="0" w:space="0" w:color="auto"/>
                    <w:right w:val="none" w:sz="0" w:space="0" w:color="auto"/>
                  </w:divBdr>
                  <w:divsChild>
                    <w:div w:id="1965964500">
                      <w:marLeft w:val="0"/>
                      <w:marRight w:val="0"/>
                      <w:marTop w:val="0"/>
                      <w:marBottom w:val="0"/>
                      <w:divBdr>
                        <w:top w:val="none" w:sz="0" w:space="0" w:color="auto"/>
                        <w:left w:val="none" w:sz="0" w:space="0" w:color="auto"/>
                        <w:bottom w:val="none" w:sz="0" w:space="0" w:color="auto"/>
                        <w:right w:val="none" w:sz="0" w:space="0" w:color="auto"/>
                      </w:divBdr>
                      <w:divsChild>
                        <w:div w:id="1897350262">
                          <w:marLeft w:val="0"/>
                          <w:marRight w:val="0"/>
                          <w:marTop w:val="0"/>
                          <w:marBottom w:val="0"/>
                          <w:divBdr>
                            <w:top w:val="none" w:sz="0" w:space="0" w:color="auto"/>
                            <w:left w:val="none" w:sz="0" w:space="0" w:color="auto"/>
                            <w:bottom w:val="none" w:sz="0" w:space="0" w:color="auto"/>
                            <w:right w:val="none" w:sz="0" w:space="0" w:color="auto"/>
                          </w:divBdr>
                          <w:divsChild>
                            <w:div w:id="1364936652">
                              <w:marLeft w:val="0"/>
                              <w:marRight w:val="0"/>
                              <w:marTop w:val="0"/>
                              <w:marBottom w:val="0"/>
                              <w:divBdr>
                                <w:top w:val="none" w:sz="0" w:space="0" w:color="auto"/>
                                <w:left w:val="none" w:sz="0" w:space="0" w:color="auto"/>
                                <w:bottom w:val="none" w:sz="0" w:space="0" w:color="auto"/>
                                <w:right w:val="none" w:sz="0" w:space="0" w:color="auto"/>
                              </w:divBdr>
                              <w:divsChild>
                                <w:div w:id="1661494494">
                                  <w:marLeft w:val="0"/>
                                  <w:marRight w:val="0"/>
                                  <w:marTop w:val="0"/>
                                  <w:marBottom w:val="0"/>
                                  <w:divBdr>
                                    <w:top w:val="none" w:sz="0" w:space="0" w:color="auto"/>
                                    <w:left w:val="none" w:sz="0" w:space="0" w:color="auto"/>
                                    <w:bottom w:val="none" w:sz="0" w:space="0" w:color="auto"/>
                                    <w:right w:val="none" w:sz="0" w:space="0" w:color="auto"/>
                                  </w:divBdr>
                                  <w:divsChild>
                                    <w:div w:id="2046053497">
                                      <w:marLeft w:val="0"/>
                                      <w:marRight w:val="0"/>
                                      <w:marTop w:val="0"/>
                                      <w:marBottom w:val="0"/>
                                      <w:divBdr>
                                        <w:top w:val="none" w:sz="0" w:space="0" w:color="auto"/>
                                        <w:left w:val="none" w:sz="0" w:space="0" w:color="auto"/>
                                        <w:bottom w:val="none" w:sz="0" w:space="0" w:color="auto"/>
                                        <w:right w:val="none" w:sz="0" w:space="0" w:color="auto"/>
                                      </w:divBdr>
                                      <w:divsChild>
                                        <w:div w:id="3731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773256">
      <w:bodyDiv w:val="1"/>
      <w:marLeft w:val="0"/>
      <w:marRight w:val="0"/>
      <w:marTop w:val="0"/>
      <w:marBottom w:val="0"/>
      <w:divBdr>
        <w:top w:val="none" w:sz="0" w:space="0" w:color="auto"/>
        <w:left w:val="none" w:sz="0" w:space="0" w:color="auto"/>
        <w:bottom w:val="none" w:sz="0" w:space="0" w:color="auto"/>
        <w:right w:val="none" w:sz="0" w:space="0" w:color="auto"/>
      </w:divBdr>
      <w:divsChild>
        <w:div w:id="1540707471">
          <w:marLeft w:val="0"/>
          <w:marRight w:val="0"/>
          <w:marTop w:val="0"/>
          <w:marBottom w:val="0"/>
          <w:divBdr>
            <w:top w:val="none" w:sz="0" w:space="0" w:color="auto"/>
            <w:left w:val="none" w:sz="0" w:space="0" w:color="auto"/>
            <w:bottom w:val="none" w:sz="0" w:space="0" w:color="auto"/>
            <w:right w:val="none" w:sz="0" w:space="0" w:color="auto"/>
          </w:divBdr>
        </w:div>
        <w:div w:id="2048794297">
          <w:marLeft w:val="0"/>
          <w:marRight w:val="0"/>
          <w:marTop w:val="0"/>
          <w:marBottom w:val="150"/>
          <w:divBdr>
            <w:top w:val="none" w:sz="0" w:space="0" w:color="auto"/>
            <w:left w:val="none" w:sz="0" w:space="0" w:color="auto"/>
            <w:bottom w:val="none" w:sz="0" w:space="0" w:color="auto"/>
            <w:right w:val="none" w:sz="0" w:space="0" w:color="auto"/>
          </w:divBdr>
        </w:div>
      </w:divsChild>
    </w:div>
    <w:div w:id="195780550">
      <w:bodyDiv w:val="1"/>
      <w:marLeft w:val="0"/>
      <w:marRight w:val="0"/>
      <w:marTop w:val="0"/>
      <w:marBottom w:val="0"/>
      <w:divBdr>
        <w:top w:val="none" w:sz="0" w:space="0" w:color="auto"/>
        <w:left w:val="none" w:sz="0" w:space="0" w:color="auto"/>
        <w:bottom w:val="none" w:sz="0" w:space="0" w:color="auto"/>
        <w:right w:val="none" w:sz="0" w:space="0" w:color="auto"/>
      </w:divBdr>
      <w:divsChild>
        <w:div w:id="167716230">
          <w:marLeft w:val="0"/>
          <w:marRight w:val="0"/>
          <w:marTop w:val="0"/>
          <w:marBottom w:val="0"/>
          <w:divBdr>
            <w:top w:val="none" w:sz="0" w:space="0" w:color="auto"/>
            <w:left w:val="none" w:sz="0" w:space="0" w:color="auto"/>
            <w:bottom w:val="none" w:sz="0" w:space="0" w:color="auto"/>
            <w:right w:val="none" w:sz="0" w:space="0" w:color="auto"/>
          </w:divBdr>
          <w:divsChild>
            <w:div w:id="1419786568">
              <w:marLeft w:val="0"/>
              <w:marRight w:val="0"/>
              <w:marTop w:val="0"/>
              <w:marBottom w:val="0"/>
              <w:divBdr>
                <w:top w:val="none" w:sz="0" w:space="0" w:color="auto"/>
                <w:left w:val="none" w:sz="0" w:space="0" w:color="auto"/>
                <w:bottom w:val="none" w:sz="0" w:space="0" w:color="auto"/>
                <w:right w:val="none" w:sz="0" w:space="0" w:color="auto"/>
              </w:divBdr>
              <w:divsChild>
                <w:div w:id="2028632331">
                  <w:marLeft w:val="0"/>
                  <w:marRight w:val="0"/>
                  <w:marTop w:val="0"/>
                  <w:marBottom w:val="0"/>
                  <w:divBdr>
                    <w:top w:val="none" w:sz="0" w:space="0" w:color="auto"/>
                    <w:left w:val="none" w:sz="0" w:space="0" w:color="auto"/>
                    <w:bottom w:val="none" w:sz="0" w:space="0" w:color="auto"/>
                    <w:right w:val="none" w:sz="0" w:space="0" w:color="auto"/>
                  </w:divBdr>
                  <w:divsChild>
                    <w:div w:id="730158676">
                      <w:marLeft w:val="0"/>
                      <w:marRight w:val="0"/>
                      <w:marTop w:val="0"/>
                      <w:marBottom w:val="0"/>
                      <w:divBdr>
                        <w:top w:val="none" w:sz="0" w:space="0" w:color="auto"/>
                        <w:left w:val="none" w:sz="0" w:space="0" w:color="auto"/>
                        <w:bottom w:val="none" w:sz="0" w:space="0" w:color="auto"/>
                        <w:right w:val="none" w:sz="0" w:space="0" w:color="auto"/>
                      </w:divBdr>
                      <w:divsChild>
                        <w:div w:id="267927674">
                          <w:marLeft w:val="0"/>
                          <w:marRight w:val="0"/>
                          <w:marTop w:val="0"/>
                          <w:marBottom w:val="0"/>
                          <w:divBdr>
                            <w:top w:val="none" w:sz="0" w:space="0" w:color="auto"/>
                            <w:left w:val="none" w:sz="0" w:space="0" w:color="auto"/>
                            <w:bottom w:val="none" w:sz="0" w:space="0" w:color="auto"/>
                            <w:right w:val="none" w:sz="0" w:space="0" w:color="auto"/>
                          </w:divBdr>
                          <w:divsChild>
                            <w:div w:id="1078557995">
                              <w:marLeft w:val="0"/>
                              <w:marRight w:val="0"/>
                              <w:marTop w:val="0"/>
                              <w:marBottom w:val="0"/>
                              <w:divBdr>
                                <w:top w:val="none" w:sz="0" w:space="0" w:color="auto"/>
                                <w:left w:val="none" w:sz="0" w:space="0" w:color="auto"/>
                                <w:bottom w:val="none" w:sz="0" w:space="0" w:color="auto"/>
                                <w:right w:val="none" w:sz="0" w:space="0" w:color="auto"/>
                              </w:divBdr>
                              <w:divsChild>
                                <w:div w:id="1571768073">
                                  <w:marLeft w:val="0"/>
                                  <w:marRight w:val="0"/>
                                  <w:marTop w:val="0"/>
                                  <w:marBottom w:val="75"/>
                                  <w:divBdr>
                                    <w:top w:val="none" w:sz="0" w:space="0" w:color="auto"/>
                                    <w:left w:val="none" w:sz="0" w:space="0" w:color="auto"/>
                                    <w:bottom w:val="none" w:sz="0" w:space="0" w:color="auto"/>
                                    <w:right w:val="none" w:sz="0" w:space="0" w:color="auto"/>
                                  </w:divBdr>
                                  <w:divsChild>
                                    <w:div w:id="2019000275">
                                      <w:marLeft w:val="0"/>
                                      <w:marRight w:val="0"/>
                                      <w:marTop w:val="0"/>
                                      <w:marBottom w:val="0"/>
                                      <w:divBdr>
                                        <w:top w:val="none" w:sz="0" w:space="0" w:color="auto"/>
                                        <w:left w:val="none" w:sz="0" w:space="0" w:color="auto"/>
                                        <w:bottom w:val="none" w:sz="0" w:space="0" w:color="auto"/>
                                        <w:right w:val="none" w:sz="0" w:space="0" w:color="auto"/>
                                      </w:divBdr>
                                      <w:divsChild>
                                        <w:div w:id="640841169">
                                          <w:marLeft w:val="0"/>
                                          <w:marRight w:val="0"/>
                                          <w:marTop w:val="0"/>
                                          <w:marBottom w:val="0"/>
                                          <w:divBdr>
                                            <w:top w:val="none" w:sz="0" w:space="0" w:color="auto"/>
                                            <w:left w:val="none" w:sz="0" w:space="0" w:color="auto"/>
                                            <w:bottom w:val="none" w:sz="0" w:space="0" w:color="auto"/>
                                            <w:right w:val="none" w:sz="0" w:space="0" w:color="auto"/>
                                          </w:divBdr>
                                          <w:divsChild>
                                            <w:div w:id="250165153">
                                              <w:marLeft w:val="0"/>
                                              <w:marRight w:val="0"/>
                                              <w:marTop w:val="0"/>
                                              <w:marBottom w:val="0"/>
                                              <w:divBdr>
                                                <w:top w:val="none" w:sz="0" w:space="0" w:color="auto"/>
                                                <w:left w:val="none" w:sz="0" w:space="0" w:color="auto"/>
                                                <w:bottom w:val="none" w:sz="0" w:space="0" w:color="auto"/>
                                                <w:right w:val="none" w:sz="0" w:space="0" w:color="auto"/>
                                              </w:divBdr>
                                              <w:divsChild>
                                                <w:div w:id="172294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240519">
      <w:bodyDiv w:val="1"/>
      <w:marLeft w:val="0"/>
      <w:marRight w:val="0"/>
      <w:marTop w:val="0"/>
      <w:marBottom w:val="0"/>
      <w:divBdr>
        <w:top w:val="none" w:sz="0" w:space="0" w:color="auto"/>
        <w:left w:val="none" w:sz="0" w:space="0" w:color="auto"/>
        <w:bottom w:val="none" w:sz="0" w:space="0" w:color="auto"/>
        <w:right w:val="none" w:sz="0" w:space="0" w:color="auto"/>
      </w:divBdr>
      <w:divsChild>
        <w:div w:id="763113943">
          <w:marLeft w:val="0"/>
          <w:marRight w:val="0"/>
          <w:marTop w:val="0"/>
          <w:marBottom w:val="150"/>
          <w:divBdr>
            <w:top w:val="none" w:sz="0" w:space="0" w:color="auto"/>
            <w:left w:val="none" w:sz="0" w:space="0" w:color="auto"/>
            <w:bottom w:val="none" w:sz="0" w:space="0" w:color="auto"/>
            <w:right w:val="none" w:sz="0" w:space="0" w:color="auto"/>
          </w:divBdr>
        </w:div>
      </w:divsChild>
    </w:div>
    <w:div w:id="196623105">
      <w:bodyDiv w:val="1"/>
      <w:marLeft w:val="0"/>
      <w:marRight w:val="0"/>
      <w:marTop w:val="0"/>
      <w:marBottom w:val="0"/>
      <w:divBdr>
        <w:top w:val="none" w:sz="0" w:space="0" w:color="auto"/>
        <w:left w:val="none" w:sz="0" w:space="0" w:color="auto"/>
        <w:bottom w:val="none" w:sz="0" w:space="0" w:color="auto"/>
        <w:right w:val="none" w:sz="0" w:space="0" w:color="auto"/>
      </w:divBdr>
      <w:divsChild>
        <w:div w:id="1266966235">
          <w:marLeft w:val="0"/>
          <w:marRight w:val="0"/>
          <w:marTop w:val="0"/>
          <w:marBottom w:val="0"/>
          <w:divBdr>
            <w:top w:val="none" w:sz="0" w:space="0" w:color="auto"/>
            <w:left w:val="none" w:sz="0" w:space="0" w:color="auto"/>
            <w:bottom w:val="none" w:sz="0" w:space="0" w:color="auto"/>
            <w:right w:val="none" w:sz="0" w:space="0" w:color="auto"/>
          </w:divBdr>
          <w:divsChild>
            <w:div w:id="45035842">
              <w:marLeft w:val="0"/>
              <w:marRight w:val="0"/>
              <w:marTop w:val="0"/>
              <w:marBottom w:val="0"/>
              <w:divBdr>
                <w:top w:val="none" w:sz="0" w:space="0" w:color="auto"/>
                <w:left w:val="none" w:sz="0" w:space="0" w:color="auto"/>
                <w:bottom w:val="none" w:sz="0" w:space="0" w:color="auto"/>
                <w:right w:val="none" w:sz="0" w:space="0" w:color="auto"/>
              </w:divBdr>
              <w:divsChild>
                <w:div w:id="2134589514">
                  <w:marLeft w:val="0"/>
                  <w:marRight w:val="0"/>
                  <w:marTop w:val="0"/>
                  <w:marBottom w:val="0"/>
                  <w:divBdr>
                    <w:top w:val="none" w:sz="0" w:space="0" w:color="auto"/>
                    <w:left w:val="none" w:sz="0" w:space="0" w:color="auto"/>
                    <w:bottom w:val="none" w:sz="0" w:space="0" w:color="auto"/>
                    <w:right w:val="none" w:sz="0" w:space="0" w:color="auto"/>
                  </w:divBdr>
                  <w:divsChild>
                    <w:div w:id="80377057">
                      <w:marLeft w:val="0"/>
                      <w:marRight w:val="0"/>
                      <w:marTop w:val="0"/>
                      <w:marBottom w:val="0"/>
                      <w:divBdr>
                        <w:top w:val="none" w:sz="0" w:space="0" w:color="auto"/>
                        <w:left w:val="none" w:sz="0" w:space="0" w:color="auto"/>
                        <w:bottom w:val="none" w:sz="0" w:space="0" w:color="auto"/>
                        <w:right w:val="none" w:sz="0" w:space="0" w:color="auto"/>
                      </w:divBdr>
                      <w:divsChild>
                        <w:div w:id="230434929">
                          <w:marLeft w:val="0"/>
                          <w:marRight w:val="0"/>
                          <w:marTop w:val="0"/>
                          <w:marBottom w:val="0"/>
                          <w:divBdr>
                            <w:top w:val="none" w:sz="0" w:space="0" w:color="auto"/>
                            <w:left w:val="none" w:sz="0" w:space="0" w:color="auto"/>
                            <w:bottom w:val="none" w:sz="0" w:space="0" w:color="auto"/>
                            <w:right w:val="none" w:sz="0" w:space="0" w:color="auto"/>
                          </w:divBdr>
                          <w:divsChild>
                            <w:div w:id="1745255166">
                              <w:marLeft w:val="0"/>
                              <w:marRight w:val="0"/>
                              <w:marTop w:val="0"/>
                              <w:marBottom w:val="0"/>
                              <w:divBdr>
                                <w:top w:val="none" w:sz="0" w:space="0" w:color="auto"/>
                                <w:left w:val="none" w:sz="0" w:space="0" w:color="auto"/>
                                <w:bottom w:val="none" w:sz="0" w:space="0" w:color="auto"/>
                                <w:right w:val="none" w:sz="0" w:space="0" w:color="auto"/>
                              </w:divBdr>
                              <w:divsChild>
                                <w:div w:id="1585915963">
                                  <w:marLeft w:val="0"/>
                                  <w:marRight w:val="0"/>
                                  <w:marTop w:val="0"/>
                                  <w:marBottom w:val="0"/>
                                  <w:divBdr>
                                    <w:top w:val="none" w:sz="0" w:space="0" w:color="auto"/>
                                    <w:left w:val="none" w:sz="0" w:space="0" w:color="auto"/>
                                    <w:bottom w:val="none" w:sz="0" w:space="0" w:color="auto"/>
                                    <w:right w:val="none" w:sz="0" w:space="0" w:color="auto"/>
                                  </w:divBdr>
                                  <w:divsChild>
                                    <w:div w:id="132088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7388">
      <w:bodyDiv w:val="1"/>
      <w:marLeft w:val="0"/>
      <w:marRight w:val="0"/>
      <w:marTop w:val="0"/>
      <w:marBottom w:val="0"/>
      <w:divBdr>
        <w:top w:val="none" w:sz="0" w:space="0" w:color="auto"/>
        <w:left w:val="none" w:sz="0" w:space="0" w:color="auto"/>
        <w:bottom w:val="none" w:sz="0" w:space="0" w:color="auto"/>
        <w:right w:val="none" w:sz="0" w:space="0" w:color="auto"/>
      </w:divBdr>
    </w:div>
    <w:div w:id="197401161">
      <w:bodyDiv w:val="1"/>
      <w:marLeft w:val="0"/>
      <w:marRight w:val="0"/>
      <w:marTop w:val="0"/>
      <w:marBottom w:val="0"/>
      <w:divBdr>
        <w:top w:val="none" w:sz="0" w:space="0" w:color="auto"/>
        <w:left w:val="none" w:sz="0" w:space="0" w:color="auto"/>
        <w:bottom w:val="none" w:sz="0" w:space="0" w:color="auto"/>
        <w:right w:val="none" w:sz="0" w:space="0" w:color="auto"/>
      </w:divBdr>
      <w:divsChild>
        <w:div w:id="2116973076">
          <w:marLeft w:val="0"/>
          <w:marRight w:val="0"/>
          <w:marTop w:val="0"/>
          <w:marBottom w:val="0"/>
          <w:divBdr>
            <w:top w:val="none" w:sz="0" w:space="0" w:color="auto"/>
            <w:left w:val="none" w:sz="0" w:space="0" w:color="auto"/>
            <w:bottom w:val="none" w:sz="0" w:space="0" w:color="auto"/>
            <w:right w:val="none" w:sz="0" w:space="0" w:color="auto"/>
          </w:divBdr>
          <w:divsChild>
            <w:div w:id="1599095939">
              <w:marLeft w:val="0"/>
              <w:marRight w:val="0"/>
              <w:marTop w:val="0"/>
              <w:marBottom w:val="0"/>
              <w:divBdr>
                <w:top w:val="none" w:sz="0" w:space="0" w:color="auto"/>
                <w:left w:val="none" w:sz="0" w:space="0" w:color="auto"/>
                <w:bottom w:val="none" w:sz="0" w:space="0" w:color="auto"/>
                <w:right w:val="none" w:sz="0" w:space="0" w:color="auto"/>
              </w:divBdr>
            </w:div>
            <w:div w:id="18128198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7594071">
      <w:bodyDiv w:val="1"/>
      <w:marLeft w:val="0"/>
      <w:marRight w:val="0"/>
      <w:marTop w:val="0"/>
      <w:marBottom w:val="0"/>
      <w:divBdr>
        <w:top w:val="none" w:sz="0" w:space="0" w:color="auto"/>
        <w:left w:val="none" w:sz="0" w:space="0" w:color="auto"/>
        <w:bottom w:val="none" w:sz="0" w:space="0" w:color="auto"/>
        <w:right w:val="none" w:sz="0" w:space="0" w:color="auto"/>
      </w:divBdr>
      <w:divsChild>
        <w:div w:id="1488741276">
          <w:marLeft w:val="0"/>
          <w:marRight w:val="0"/>
          <w:marTop w:val="0"/>
          <w:marBottom w:val="450"/>
          <w:divBdr>
            <w:top w:val="none" w:sz="0" w:space="0" w:color="auto"/>
            <w:left w:val="none" w:sz="0" w:space="0" w:color="auto"/>
            <w:bottom w:val="none" w:sz="0" w:space="0" w:color="auto"/>
            <w:right w:val="none" w:sz="0" w:space="0" w:color="auto"/>
          </w:divBdr>
          <w:divsChild>
            <w:div w:id="571086258">
              <w:marLeft w:val="0"/>
              <w:marRight w:val="0"/>
              <w:marTop w:val="0"/>
              <w:marBottom w:val="0"/>
              <w:divBdr>
                <w:top w:val="none" w:sz="0" w:space="0" w:color="auto"/>
                <w:left w:val="none" w:sz="0" w:space="0" w:color="auto"/>
                <w:bottom w:val="none" w:sz="0" w:space="0" w:color="auto"/>
                <w:right w:val="none" w:sz="0" w:space="0" w:color="auto"/>
              </w:divBdr>
              <w:divsChild>
                <w:div w:id="531963436">
                  <w:marLeft w:val="0"/>
                  <w:marRight w:val="0"/>
                  <w:marTop w:val="0"/>
                  <w:marBottom w:val="0"/>
                  <w:divBdr>
                    <w:top w:val="none" w:sz="0" w:space="0" w:color="auto"/>
                    <w:left w:val="none" w:sz="0" w:space="0" w:color="auto"/>
                    <w:bottom w:val="none" w:sz="0" w:space="0" w:color="auto"/>
                    <w:right w:val="none" w:sz="0" w:space="0" w:color="auto"/>
                  </w:divBdr>
                  <w:divsChild>
                    <w:div w:id="122115539">
                      <w:marLeft w:val="0"/>
                      <w:marRight w:val="0"/>
                      <w:marTop w:val="0"/>
                      <w:marBottom w:val="0"/>
                      <w:divBdr>
                        <w:top w:val="none" w:sz="0" w:space="0" w:color="auto"/>
                        <w:left w:val="none" w:sz="0" w:space="0" w:color="auto"/>
                        <w:bottom w:val="none" w:sz="0" w:space="0" w:color="auto"/>
                        <w:right w:val="none" w:sz="0" w:space="0" w:color="auto"/>
                      </w:divBdr>
                      <w:divsChild>
                        <w:div w:id="1145316381">
                          <w:marLeft w:val="0"/>
                          <w:marRight w:val="0"/>
                          <w:marTop w:val="0"/>
                          <w:marBottom w:val="0"/>
                          <w:divBdr>
                            <w:top w:val="none" w:sz="0" w:space="0" w:color="auto"/>
                            <w:left w:val="none" w:sz="0" w:space="0" w:color="auto"/>
                            <w:bottom w:val="none" w:sz="0" w:space="0" w:color="auto"/>
                            <w:right w:val="none" w:sz="0" w:space="0" w:color="auto"/>
                          </w:divBdr>
                          <w:divsChild>
                            <w:div w:id="114104964">
                              <w:marLeft w:val="0"/>
                              <w:marRight w:val="0"/>
                              <w:marTop w:val="0"/>
                              <w:marBottom w:val="0"/>
                              <w:divBdr>
                                <w:top w:val="none" w:sz="0" w:space="0" w:color="auto"/>
                                <w:left w:val="none" w:sz="0" w:space="0" w:color="auto"/>
                                <w:bottom w:val="none" w:sz="0" w:space="0" w:color="auto"/>
                                <w:right w:val="none" w:sz="0" w:space="0" w:color="auto"/>
                              </w:divBdr>
                            </w:div>
                            <w:div w:id="308677220">
                              <w:marLeft w:val="0"/>
                              <w:marRight w:val="0"/>
                              <w:marTop w:val="0"/>
                              <w:marBottom w:val="0"/>
                              <w:divBdr>
                                <w:top w:val="none" w:sz="0" w:space="0" w:color="auto"/>
                                <w:left w:val="none" w:sz="0" w:space="0" w:color="auto"/>
                                <w:bottom w:val="none" w:sz="0" w:space="0" w:color="auto"/>
                                <w:right w:val="none" w:sz="0" w:space="0" w:color="auto"/>
                              </w:divBdr>
                            </w:div>
                            <w:div w:id="99418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21670">
                      <w:marLeft w:val="0"/>
                      <w:marRight w:val="0"/>
                      <w:marTop w:val="0"/>
                      <w:marBottom w:val="0"/>
                      <w:divBdr>
                        <w:top w:val="none" w:sz="0" w:space="0" w:color="auto"/>
                        <w:left w:val="none" w:sz="0" w:space="0" w:color="auto"/>
                        <w:bottom w:val="none" w:sz="0" w:space="0" w:color="auto"/>
                        <w:right w:val="none" w:sz="0" w:space="0" w:color="auto"/>
                      </w:divBdr>
                      <w:divsChild>
                        <w:div w:id="64265706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620405840">
          <w:marLeft w:val="0"/>
          <w:marRight w:val="0"/>
          <w:marTop w:val="0"/>
          <w:marBottom w:val="375"/>
          <w:divBdr>
            <w:top w:val="none" w:sz="0" w:space="0" w:color="auto"/>
            <w:left w:val="none" w:sz="0" w:space="0" w:color="auto"/>
            <w:bottom w:val="dotted" w:sz="6" w:space="14" w:color="C2C2C2"/>
            <w:right w:val="none" w:sz="0" w:space="0" w:color="auto"/>
          </w:divBdr>
          <w:divsChild>
            <w:div w:id="238756832">
              <w:marLeft w:val="0"/>
              <w:marRight w:val="0"/>
              <w:marTop w:val="0"/>
              <w:marBottom w:val="0"/>
              <w:divBdr>
                <w:top w:val="none" w:sz="0" w:space="0" w:color="auto"/>
                <w:left w:val="none" w:sz="0" w:space="0" w:color="auto"/>
                <w:bottom w:val="none" w:sz="0" w:space="0" w:color="auto"/>
                <w:right w:val="none" w:sz="0" w:space="0" w:color="auto"/>
              </w:divBdr>
              <w:divsChild>
                <w:div w:id="1062677177">
                  <w:marLeft w:val="0"/>
                  <w:marRight w:val="0"/>
                  <w:marTop w:val="0"/>
                  <w:marBottom w:val="0"/>
                  <w:divBdr>
                    <w:top w:val="none" w:sz="0" w:space="0" w:color="auto"/>
                    <w:left w:val="none" w:sz="0" w:space="0" w:color="auto"/>
                    <w:bottom w:val="none" w:sz="0" w:space="0" w:color="auto"/>
                    <w:right w:val="none" w:sz="0" w:space="0" w:color="auto"/>
                  </w:divBdr>
                  <w:divsChild>
                    <w:div w:id="1608155010">
                      <w:marLeft w:val="0"/>
                      <w:marRight w:val="0"/>
                      <w:marTop w:val="0"/>
                      <w:marBottom w:val="0"/>
                      <w:divBdr>
                        <w:top w:val="none" w:sz="0" w:space="0" w:color="auto"/>
                        <w:left w:val="none" w:sz="0" w:space="0" w:color="auto"/>
                        <w:bottom w:val="none" w:sz="0" w:space="0" w:color="auto"/>
                        <w:right w:val="none" w:sz="0" w:space="0" w:color="auto"/>
                      </w:divBdr>
                      <w:divsChild>
                        <w:div w:id="1520579006">
                          <w:marLeft w:val="0"/>
                          <w:marRight w:val="0"/>
                          <w:marTop w:val="0"/>
                          <w:marBottom w:val="0"/>
                          <w:divBdr>
                            <w:top w:val="none" w:sz="0" w:space="0" w:color="auto"/>
                            <w:left w:val="none" w:sz="0" w:space="0" w:color="auto"/>
                            <w:bottom w:val="none" w:sz="0" w:space="0" w:color="auto"/>
                            <w:right w:val="none" w:sz="0" w:space="0" w:color="auto"/>
                          </w:divBdr>
                          <w:divsChild>
                            <w:div w:id="204879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19056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7669170">
      <w:bodyDiv w:val="1"/>
      <w:marLeft w:val="0"/>
      <w:marRight w:val="0"/>
      <w:marTop w:val="0"/>
      <w:marBottom w:val="0"/>
      <w:divBdr>
        <w:top w:val="none" w:sz="0" w:space="0" w:color="auto"/>
        <w:left w:val="none" w:sz="0" w:space="0" w:color="auto"/>
        <w:bottom w:val="none" w:sz="0" w:space="0" w:color="auto"/>
        <w:right w:val="none" w:sz="0" w:space="0" w:color="auto"/>
      </w:divBdr>
    </w:div>
    <w:div w:id="198051427">
      <w:bodyDiv w:val="1"/>
      <w:marLeft w:val="0"/>
      <w:marRight w:val="0"/>
      <w:marTop w:val="0"/>
      <w:marBottom w:val="0"/>
      <w:divBdr>
        <w:top w:val="none" w:sz="0" w:space="0" w:color="auto"/>
        <w:left w:val="none" w:sz="0" w:space="0" w:color="auto"/>
        <w:bottom w:val="none" w:sz="0" w:space="0" w:color="auto"/>
        <w:right w:val="none" w:sz="0" w:space="0" w:color="auto"/>
      </w:divBdr>
      <w:divsChild>
        <w:div w:id="1270775013">
          <w:marLeft w:val="0"/>
          <w:marRight w:val="0"/>
          <w:marTop w:val="0"/>
          <w:marBottom w:val="0"/>
          <w:divBdr>
            <w:top w:val="none" w:sz="0" w:space="0" w:color="auto"/>
            <w:left w:val="none" w:sz="0" w:space="0" w:color="auto"/>
            <w:bottom w:val="dotted" w:sz="6" w:space="4" w:color="DDDDDD"/>
            <w:right w:val="none" w:sz="0" w:space="0" w:color="auto"/>
          </w:divBdr>
          <w:divsChild>
            <w:div w:id="181143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6758">
      <w:bodyDiv w:val="1"/>
      <w:marLeft w:val="0"/>
      <w:marRight w:val="0"/>
      <w:marTop w:val="0"/>
      <w:marBottom w:val="0"/>
      <w:divBdr>
        <w:top w:val="none" w:sz="0" w:space="0" w:color="auto"/>
        <w:left w:val="none" w:sz="0" w:space="0" w:color="auto"/>
        <w:bottom w:val="none" w:sz="0" w:space="0" w:color="auto"/>
        <w:right w:val="none" w:sz="0" w:space="0" w:color="auto"/>
      </w:divBdr>
    </w:div>
    <w:div w:id="198396147">
      <w:bodyDiv w:val="1"/>
      <w:marLeft w:val="0"/>
      <w:marRight w:val="0"/>
      <w:marTop w:val="0"/>
      <w:marBottom w:val="0"/>
      <w:divBdr>
        <w:top w:val="none" w:sz="0" w:space="0" w:color="auto"/>
        <w:left w:val="none" w:sz="0" w:space="0" w:color="auto"/>
        <w:bottom w:val="none" w:sz="0" w:space="0" w:color="auto"/>
        <w:right w:val="none" w:sz="0" w:space="0" w:color="auto"/>
      </w:divBdr>
      <w:divsChild>
        <w:div w:id="1003777259">
          <w:marLeft w:val="0"/>
          <w:marRight w:val="0"/>
          <w:marTop w:val="0"/>
          <w:marBottom w:val="0"/>
          <w:divBdr>
            <w:top w:val="none" w:sz="0" w:space="0" w:color="auto"/>
            <w:left w:val="none" w:sz="0" w:space="0" w:color="auto"/>
            <w:bottom w:val="none" w:sz="0" w:space="0" w:color="auto"/>
            <w:right w:val="none" w:sz="0" w:space="0" w:color="auto"/>
          </w:divBdr>
          <w:divsChild>
            <w:div w:id="3227836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8443764">
      <w:bodyDiv w:val="1"/>
      <w:marLeft w:val="0"/>
      <w:marRight w:val="0"/>
      <w:marTop w:val="0"/>
      <w:marBottom w:val="0"/>
      <w:divBdr>
        <w:top w:val="none" w:sz="0" w:space="0" w:color="auto"/>
        <w:left w:val="none" w:sz="0" w:space="0" w:color="auto"/>
        <w:bottom w:val="none" w:sz="0" w:space="0" w:color="auto"/>
        <w:right w:val="none" w:sz="0" w:space="0" w:color="auto"/>
      </w:divBdr>
      <w:divsChild>
        <w:div w:id="434181135">
          <w:marLeft w:val="0"/>
          <w:marRight w:val="0"/>
          <w:marTop w:val="0"/>
          <w:marBottom w:val="150"/>
          <w:divBdr>
            <w:top w:val="none" w:sz="0" w:space="0" w:color="auto"/>
            <w:left w:val="none" w:sz="0" w:space="0" w:color="auto"/>
            <w:bottom w:val="none" w:sz="0" w:space="0" w:color="auto"/>
            <w:right w:val="none" w:sz="0" w:space="0" w:color="auto"/>
          </w:divBdr>
        </w:div>
      </w:divsChild>
    </w:div>
    <w:div w:id="198470368">
      <w:bodyDiv w:val="1"/>
      <w:marLeft w:val="0"/>
      <w:marRight w:val="0"/>
      <w:marTop w:val="0"/>
      <w:marBottom w:val="0"/>
      <w:divBdr>
        <w:top w:val="none" w:sz="0" w:space="0" w:color="auto"/>
        <w:left w:val="none" w:sz="0" w:space="0" w:color="auto"/>
        <w:bottom w:val="none" w:sz="0" w:space="0" w:color="auto"/>
        <w:right w:val="none" w:sz="0" w:space="0" w:color="auto"/>
      </w:divBdr>
      <w:divsChild>
        <w:div w:id="637566131">
          <w:marLeft w:val="0"/>
          <w:marRight w:val="0"/>
          <w:marTop w:val="0"/>
          <w:marBottom w:val="150"/>
          <w:divBdr>
            <w:top w:val="none" w:sz="0" w:space="0" w:color="auto"/>
            <w:left w:val="none" w:sz="0" w:space="0" w:color="auto"/>
            <w:bottom w:val="none" w:sz="0" w:space="0" w:color="auto"/>
            <w:right w:val="none" w:sz="0" w:space="0" w:color="auto"/>
          </w:divBdr>
        </w:div>
      </w:divsChild>
    </w:div>
    <w:div w:id="198589668">
      <w:bodyDiv w:val="1"/>
      <w:marLeft w:val="0"/>
      <w:marRight w:val="0"/>
      <w:marTop w:val="0"/>
      <w:marBottom w:val="0"/>
      <w:divBdr>
        <w:top w:val="none" w:sz="0" w:space="0" w:color="auto"/>
        <w:left w:val="none" w:sz="0" w:space="0" w:color="auto"/>
        <w:bottom w:val="none" w:sz="0" w:space="0" w:color="auto"/>
        <w:right w:val="none" w:sz="0" w:space="0" w:color="auto"/>
      </w:divBdr>
      <w:divsChild>
        <w:div w:id="1612199396">
          <w:marLeft w:val="0"/>
          <w:marRight w:val="0"/>
          <w:marTop w:val="0"/>
          <w:marBottom w:val="0"/>
          <w:divBdr>
            <w:top w:val="none" w:sz="0" w:space="0" w:color="auto"/>
            <w:left w:val="none" w:sz="0" w:space="0" w:color="auto"/>
            <w:bottom w:val="none" w:sz="0" w:space="0" w:color="auto"/>
            <w:right w:val="none" w:sz="0" w:space="0" w:color="auto"/>
          </w:divBdr>
          <w:divsChild>
            <w:div w:id="1856461616">
              <w:marLeft w:val="0"/>
              <w:marRight w:val="0"/>
              <w:marTop w:val="0"/>
              <w:marBottom w:val="0"/>
              <w:divBdr>
                <w:top w:val="none" w:sz="0" w:space="0" w:color="auto"/>
                <w:left w:val="none" w:sz="0" w:space="0" w:color="auto"/>
                <w:bottom w:val="none" w:sz="0" w:space="0" w:color="auto"/>
                <w:right w:val="none" w:sz="0" w:space="0" w:color="auto"/>
              </w:divBdr>
              <w:divsChild>
                <w:div w:id="1628393527">
                  <w:marLeft w:val="0"/>
                  <w:marRight w:val="0"/>
                  <w:marTop w:val="0"/>
                  <w:marBottom w:val="0"/>
                  <w:divBdr>
                    <w:top w:val="none" w:sz="0" w:space="0" w:color="auto"/>
                    <w:left w:val="none" w:sz="0" w:space="0" w:color="auto"/>
                    <w:bottom w:val="none" w:sz="0" w:space="0" w:color="auto"/>
                    <w:right w:val="none" w:sz="0" w:space="0" w:color="auto"/>
                  </w:divBdr>
                  <w:divsChild>
                    <w:div w:id="978849128">
                      <w:marLeft w:val="0"/>
                      <w:marRight w:val="0"/>
                      <w:marTop w:val="0"/>
                      <w:marBottom w:val="0"/>
                      <w:divBdr>
                        <w:top w:val="none" w:sz="0" w:space="0" w:color="auto"/>
                        <w:left w:val="none" w:sz="0" w:space="0" w:color="auto"/>
                        <w:bottom w:val="none" w:sz="0" w:space="0" w:color="auto"/>
                        <w:right w:val="none" w:sz="0" w:space="0" w:color="auto"/>
                      </w:divBdr>
                      <w:divsChild>
                        <w:div w:id="108863768">
                          <w:marLeft w:val="0"/>
                          <w:marRight w:val="0"/>
                          <w:marTop w:val="0"/>
                          <w:marBottom w:val="0"/>
                          <w:divBdr>
                            <w:top w:val="none" w:sz="0" w:space="0" w:color="auto"/>
                            <w:left w:val="none" w:sz="0" w:space="0" w:color="auto"/>
                            <w:bottom w:val="none" w:sz="0" w:space="0" w:color="auto"/>
                            <w:right w:val="none" w:sz="0" w:space="0" w:color="auto"/>
                          </w:divBdr>
                          <w:divsChild>
                            <w:div w:id="530842821">
                              <w:marLeft w:val="0"/>
                              <w:marRight w:val="0"/>
                              <w:marTop w:val="0"/>
                              <w:marBottom w:val="0"/>
                              <w:divBdr>
                                <w:top w:val="none" w:sz="0" w:space="0" w:color="auto"/>
                                <w:left w:val="none" w:sz="0" w:space="0" w:color="auto"/>
                                <w:bottom w:val="none" w:sz="0" w:space="0" w:color="auto"/>
                                <w:right w:val="none" w:sz="0" w:space="0" w:color="auto"/>
                              </w:divBdr>
                              <w:divsChild>
                                <w:div w:id="1662394478">
                                  <w:marLeft w:val="0"/>
                                  <w:marRight w:val="0"/>
                                  <w:marTop w:val="0"/>
                                  <w:marBottom w:val="0"/>
                                  <w:divBdr>
                                    <w:top w:val="none" w:sz="0" w:space="0" w:color="auto"/>
                                    <w:left w:val="none" w:sz="0" w:space="0" w:color="auto"/>
                                    <w:bottom w:val="none" w:sz="0" w:space="0" w:color="auto"/>
                                    <w:right w:val="none" w:sz="0" w:space="0" w:color="auto"/>
                                  </w:divBdr>
                                  <w:divsChild>
                                    <w:div w:id="167360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9900">
      <w:bodyDiv w:val="1"/>
      <w:marLeft w:val="0"/>
      <w:marRight w:val="0"/>
      <w:marTop w:val="0"/>
      <w:marBottom w:val="0"/>
      <w:divBdr>
        <w:top w:val="none" w:sz="0" w:space="0" w:color="auto"/>
        <w:left w:val="none" w:sz="0" w:space="0" w:color="auto"/>
        <w:bottom w:val="none" w:sz="0" w:space="0" w:color="auto"/>
        <w:right w:val="none" w:sz="0" w:space="0" w:color="auto"/>
      </w:divBdr>
      <w:divsChild>
        <w:div w:id="31882625">
          <w:marLeft w:val="0"/>
          <w:marRight w:val="0"/>
          <w:marTop w:val="0"/>
          <w:marBottom w:val="150"/>
          <w:divBdr>
            <w:top w:val="none" w:sz="0" w:space="0" w:color="auto"/>
            <w:left w:val="none" w:sz="0" w:space="0" w:color="auto"/>
            <w:bottom w:val="none" w:sz="0" w:space="0" w:color="auto"/>
            <w:right w:val="none" w:sz="0" w:space="0" w:color="auto"/>
          </w:divBdr>
        </w:div>
        <w:div w:id="1346783934">
          <w:marLeft w:val="0"/>
          <w:marRight w:val="0"/>
          <w:marTop w:val="0"/>
          <w:marBottom w:val="0"/>
          <w:divBdr>
            <w:top w:val="none" w:sz="0" w:space="0" w:color="auto"/>
            <w:left w:val="none" w:sz="0" w:space="0" w:color="auto"/>
            <w:bottom w:val="none" w:sz="0" w:space="0" w:color="auto"/>
            <w:right w:val="none" w:sz="0" w:space="0" w:color="auto"/>
          </w:divBdr>
        </w:div>
      </w:divsChild>
    </w:div>
    <w:div w:id="198785701">
      <w:bodyDiv w:val="1"/>
      <w:marLeft w:val="0"/>
      <w:marRight w:val="0"/>
      <w:marTop w:val="0"/>
      <w:marBottom w:val="0"/>
      <w:divBdr>
        <w:top w:val="none" w:sz="0" w:space="0" w:color="auto"/>
        <w:left w:val="none" w:sz="0" w:space="0" w:color="auto"/>
        <w:bottom w:val="none" w:sz="0" w:space="0" w:color="auto"/>
        <w:right w:val="none" w:sz="0" w:space="0" w:color="auto"/>
      </w:divBdr>
    </w:div>
    <w:div w:id="199126982">
      <w:bodyDiv w:val="1"/>
      <w:marLeft w:val="0"/>
      <w:marRight w:val="0"/>
      <w:marTop w:val="0"/>
      <w:marBottom w:val="0"/>
      <w:divBdr>
        <w:top w:val="none" w:sz="0" w:space="0" w:color="auto"/>
        <w:left w:val="none" w:sz="0" w:space="0" w:color="auto"/>
        <w:bottom w:val="none" w:sz="0" w:space="0" w:color="auto"/>
        <w:right w:val="none" w:sz="0" w:space="0" w:color="auto"/>
      </w:divBdr>
    </w:div>
    <w:div w:id="199249329">
      <w:bodyDiv w:val="1"/>
      <w:marLeft w:val="0"/>
      <w:marRight w:val="0"/>
      <w:marTop w:val="0"/>
      <w:marBottom w:val="0"/>
      <w:divBdr>
        <w:top w:val="none" w:sz="0" w:space="0" w:color="auto"/>
        <w:left w:val="none" w:sz="0" w:space="0" w:color="auto"/>
        <w:bottom w:val="none" w:sz="0" w:space="0" w:color="auto"/>
        <w:right w:val="none" w:sz="0" w:space="0" w:color="auto"/>
      </w:divBdr>
      <w:divsChild>
        <w:div w:id="813569903">
          <w:marLeft w:val="0"/>
          <w:marRight w:val="0"/>
          <w:marTop w:val="0"/>
          <w:marBottom w:val="150"/>
          <w:divBdr>
            <w:top w:val="none" w:sz="0" w:space="0" w:color="auto"/>
            <w:left w:val="none" w:sz="0" w:space="0" w:color="auto"/>
            <w:bottom w:val="none" w:sz="0" w:space="0" w:color="auto"/>
            <w:right w:val="none" w:sz="0" w:space="0" w:color="auto"/>
          </w:divBdr>
        </w:div>
      </w:divsChild>
    </w:div>
    <w:div w:id="199437478">
      <w:bodyDiv w:val="1"/>
      <w:marLeft w:val="0"/>
      <w:marRight w:val="0"/>
      <w:marTop w:val="0"/>
      <w:marBottom w:val="0"/>
      <w:divBdr>
        <w:top w:val="none" w:sz="0" w:space="0" w:color="auto"/>
        <w:left w:val="none" w:sz="0" w:space="0" w:color="auto"/>
        <w:bottom w:val="none" w:sz="0" w:space="0" w:color="auto"/>
        <w:right w:val="none" w:sz="0" w:space="0" w:color="auto"/>
      </w:divBdr>
    </w:div>
    <w:div w:id="199514895">
      <w:bodyDiv w:val="1"/>
      <w:marLeft w:val="0"/>
      <w:marRight w:val="0"/>
      <w:marTop w:val="0"/>
      <w:marBottom w:val="0"/>
      <w:divBdr>
        <w:top w:val="none" w:sz="0" w:space="0" w:color="auto"/>
        <w:left w:val="none" w:sz="0" w:space="0" w:color="auto"/>
        <w:bottom w:val="none" w:sz="0" w:space="0" w:color="auto"/>
        <w:right w:val="none" w:sz="0" w:space="0" w:color="auto"/>
      </w:divBdr>
      <w:divsChild>
        <w:div w:id="1847672580">
          <w:marLeft w:val="0"/>
          <w:marRight w:val="0"/>
          <w:marTop w:val="0"/>
          <w:marBottom w:val="0"/>
          <w:divBdr>
            <w:top w:val="none" w:sz="0" w:space="0" w:color="auto"/>
            <w:left w:val="none" w:sz="0" w:space="0" w:color="auto"/>
            <w:bottom w:val="dotted" w:sz="6" w:space="4" w:color="DDDDDD"/>
            <w:right w:val="none" w:sz="0" w:space="0" w:color="auto"/>
          </w:divBdr>
        </w:div>
      </w:divsChild>
    </w:div>
    <w:div w:id="200748006">
      <w:bodyDiv w:val="1"/>
      <w:marLeft w:val="0"/>
      <w:marRight w:val="0"/>
      <w:marTop w:val="0"/>
      <w:marBottom w:val="0"/>
      <w:divBdr>
        <w:top w:val="none" w:sz="0" w:space="0" w:color="auto"/>
        <w:left w:val="none" w:sz="0" w:space="0" w:color="auto"/>
        <w:bottom w:val="none" w:sz="0" w:space="0" w:color="auto"/>
        <w:right w:val="none" w:sz="0" w:space="0" w:color="auto"/>
      </w:divBdr>
    </w:div>
    <w:div w:id="201090357">
      <w:bodyDiv w:val="1"/>
      <w:marLeft w:val="0"/>
      <w:marRight w:val="0"/>
      <w:marTop w:val="0"/>
      <w:marBottom w:val="0"/>
      <w:divBdr>
        <w:top w:val="none" w:sz="0" w:space="0" w:color="auto"/>
        <w:left w:val="none" w:sz="0" w:space="0" w:color="auto"/>
        <w:bottom w:val="none" w:sz="0" w:space="0" w:color="auto"/>
        <w:right w:val="none" w:sz="0" w:space="0" w:color="auto"/>
      </w:divBdr>
      <w:divsChild>
        <w:div w:id="1974173425">
          <w:marLeft w:val="0"/>
          <w:marRight w:val="0"/>
          <w:marTop w:val="0"/>
          <w:marBottom w:val="150"/>
          <w:divBdr>
            <w:top w:val="none" w:sz="0" w:space="0" w:color="auto"/>
            <w:left w:val="none" w:sz="0" w:space="0" w:color="auto"/>
            <w:bottom w:val="none" w:sz="0" w:space="0" w:color="auto"/>
            <w:right w:val="none" w:sz="0" w:space="0" w:color="auto"/>
          </w:divBdr>
        </w:div>
        <w:div w:id="2140612026">
          <w:marLeft w:val="0"/>
          <w:marRight w:val="0"/>
          <w:marTop w:val="0"/>
          <w:marBottom w:val="150"/>
          <w:divBdr>
            <w:top w:val="none" w:sz="0" w:space="0" w:color="auto"/>
            <w:left w:val="none" w:sz="0" w:space="0" w:color="auto"/>
            <w:bottom w:val="none" w:sz="0" w:space="0" w:color="auto"/>
            <w:right w:val="none" w:sz="0" w:space="0" w:color="auto"/>
          </w:divBdr>
          <w:divsChild>
            <w:div w:id="58222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40546">
      <w:bodyDiv w:val="1"/>
      <w:marLeft w:val="0"/>
      <w:marRight w:val="0"/>
      <w:marTop w:val="0"/>
      <w:marBottom w:val="0"/>
      <w:divBdr>
        <w:top w:val="none" w:sz="0" w:space="0" w:color="auto"/>
        <w:left w:val="none" w:sz="0" w:space="0" w:color="auto"/>
        <w:bottom w:val="none" w:sz="0" w:space="0" w:color="auto"/>
        <w:right w:val="none" w:sz="0" w:space="0" w:color="auto"/>
      </w:divBdr>
      <w:divsChild>
        <w:div w:id="975139301">
          <w:marLeft w:val="0"/>
          <w:marRight w:val="0"/>
          <w:marTop w:val="0"/>
          <w:marBottom w:val="0"/>
          <w:divBdr>
            <w:top w:val="none" w:sz="0" w:space="0" w:color="auto"/>
            <w:left w:val="none" w:sz="0" w:space="0" w:color="auto"/>
            <w:bottom w:val="none" w:sz="0" w:space="0" w:color="auto"/>
            <w:right w:val="none" w:sz="0" w:space="0" w:color="auto"/>
          </w:divBdr>
          <w:divsChild>
            <w:div w:id="1589075012">
              <w:marLeft w:val="0"/>
              <w:marRight w:val="0"/>
              <w:marTop w:val="0"/>
              <w:marBottom w:val="0"/>
              <w:divBdr>
                <w:top w:val="none" w:sz="0" w:space="0" w:color="auto"/>
                <w:left w:val="none" w:sz="0" w:space="0" w:color="auto"/>
                <w:bottom w:val="none" w:sz="0" w:space="0" w:color="auto"/>
                <w:right w:val="none" w:sz="0" w:space="0" w:color="auto"/>
              </w:divBdr>
              <w:divsChild>
                <w:div w:id="1596284173">
                  <w:marLeft w:val="0"/>
                  <w:marRight w:val="0"/>
                  <w:marTop w:val="0"/>
                  <w:marBottom w:val="0"/>
                  <w:divBdr>
                    <w:top w:val="none" w:sz="0" w:space="0" w:color="auto"/>
                    <w:left w:val="none" w:sz="0" w:space="0" w:color="auto"/>
                    <w:bottom w:val="none" w:sz="0" w:space="0" w:color="auto"/>
                    <w:right w:val="none" w:sz="0" w:space="0" w:color="auto"/>
                  </w:divBdr>
                  <w:divsChild>
                    <w:div w:id="813908886">
                      <w:marLeft w:val="0"/>
                      <w:marRight w:val="0"/>
                      <w:marTop w:val="0"/>
                      <w:marBottom w:val="0"/>
                      <w:divBdr>
                        <w:top w:val="none" w:sz="0" w:space="0" w:color="auto"/>
                        <w:left w:val="none" w:sz="0" w:space="0" w:color="auto"/>
                        <w:bottom w:val="none" w:sz="0" w:space="0" w:color="auto"/>
                        <w:right w:val="none" w:sz="0" w:space="0" w:color="auto"/>
                      </w:divBdr>
                      <w:divsChild>
                        <w:div w:id="126701198">
                          <w:marLeft w:val="0"/>
                          <w:marRight w:val="0"/>
                          <w:marTop w:val="0"/>
                          <w:marBottom w:val="0"/>
                          <w:divBdr>
                            <w:top w:val="none" w:sz="0" w:space="0" w:color="auto"/>
                            <w:left w:val="none" w:sz="0" w:space="0" w:color="auto"/>
                            <w:bottom w:val="none" w:sz="0" w:space="0" w:color="auto"/>
                            <w:right w:val="none" w:sz="0" w:space="0" w:color="auto"/>
                          </w:divBdr>
                          <w:divsChild>
                            <w:div w:id="173493350">
                              <w:marLeft w:val="0"/>
                              <w:marRight w:val="0"/>
                              <w:marTop w:val="0"/>
                              <w:marBottom w:val="0"/>
                              <w:divBdr>
                                <w:top w:val="none" w:sz="0" w:space="0" w:color="auto"/>
                                <w:left w:val="none" w:sz="0" w:space="0" w:color="auto"/>
                                <w:bottom w:val="none" w:sz="0" w:space="0" w:color="auto"/>
                                <w:right w:val="none" w:sz="0" w:space="0" w:color="auto"/>
                              </w:divBdr>
                              <w:divsChild>
                                <w:div w:id="59606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596835">
      <w:bodyDiv w:val="1"/>
      <w:marLeft w:val="0"/>
      <w:marRight w:val="0"/>
      <w:marTop w:val="0"/>
      <w:marBottom w:val="0"/>
      <w:divBdr>
        <w:top w:val="none" w:sz="0" w:space="0" w:color="auto"/>
        <w:left w:val="none" w:sz="0" w:space="0" w:color="auto"/>
        <w:bottom w:val="none" w:sz="0" w:space="0" w:color="auto"/>
        <w:right w:val="none" w:sz="0" w:space="0" w:color="auto"/>
      </w:divBdr>
      <w:divsChild>
        <w:div w:id="1388800434">
          <w:marLeft w:val="0"/>
          <w:marRight w:val="0"/>
          <w:marTop w:val="150"/>
          <w:marBottom w:val="0"/>
          <w:divBdr>
            <w:top w:val="none" w:sz="0" w:space="0" w:color="auto"/>
            <w:left w:val="none" w:sz="0" w:space="0" w:color="auto"/>
            <w:bottom w:val="none" w:sz="0" w:space="0" w:color="auto"/>
            <w:right w:val="none" w:sz="0" w:space="0" w:color="auto"/>
          </w:divBdr>
          <w:divsChild>
            <w:div w:id="1957102257">
              <w:marLeft w:val="0"/>
              <w:marRight w:val="0"/>
              <w:marTop w:val="0"/>
              <w:marBottom w:val="0"/>
              <w:divBdr>
                <w:top w:val="none" w:sz="0" w:space="0" w:color="auto"/>
                <w:left w:val="none" w:sz="0" w:space="0" w:color="auto"/>
                <w:bottom w:val="none" w:sz="0" w:space="0" w:color="auto"/>
                <w:right w:val="none" w:sz="0" w:space="0" w:color="auto"/>
              </w:divBdr>
              <w:divsChild>
                <w:div w:id="42311291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26884241">
          <w:marLeft w:val="0"/>
          <w:marRight w:val="0"/>
          <w:marTop w:val="0"/>
          <w:marBottom w:val="0"/>
          <w:divBdr>
            <w:top w:val="none" w:sz="0" w:space="0" w:color="auto"/>
            <w:left w:val="none" w:sz="0" w:space="0" w:color="auto"/>
            <w:bottom w:val="none" w:sz="0" w:space="0" w:color="auto"/>
            <w:right w:val="none" w:sz="0" w:space="0" w:color="auto"/>
          </w:divBdr>
          <w:divsChild>
            <w:div w:id="208594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51897">
      <w:bodyDiv w:val="1"/>
      <w:marLeft w:val="0"/>
      <w:marRight w:val="0"/>
      <w:marTop w:val="0"/>
      <w:marBottom w:val="0"/>
      <w:divBdr>
        <w:top w:val="none" w:sz="0" w:space="0" w:color="auto"/>
        <w:left w:val="none" w:sz="0" w:space="0" w:color="auto"/>
        <w:bottom w:val="none" w:sz="0" w:space="0" w:color="auto"/>
        <w:right w:val="none" w:sz="0" w:space="0" w:color="auto"/>
      </w:divBdr>
      <w:divsChild>
        <w:div w:id="1952977234">
          <w:marLeft w:val="0"/>
          <w:marRight w:val="0"/>
          <w:marTop w:val="0"/>
          <w:marBottom w:val="0"/>
          <w:divBdr>
            <w:top w:val="none" w:sz="0" w:space="0" w:color="auto"/>
            <w:left w:val="none" w:sz="0" w:space="0" w:color="auto"/>
            <w:bottom w:val="none" w:sz="0" w:space="0" w:color="auto"/>
            <w:right w:val="none" w:sz="0" w:space="0" w:color="auto"/>
          </w:divBdr>
          <w:divsChild>
            <w:div w:id="16703257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2064630">
      <w:bodyDiv w:val="1"/>
      <w:marLeft w:val="0"/>
      <w:marRight w:val="0"/>
      <w:marTop w:val="0"/>
      <w:marBottom w:val="0"/>
      <w:divBdr>
        <w:top w:val="none" w:sz="0" w:space="0" w:color="auto"/>
        <w:left w:val="none" w:sz="0" w:space="0" w:color="auto"/>
        <w:bottom w:val="none" w:sz="0" w:space="0" w:color="auto"/>
        <w:right w:val="none" w:sz="0" w:space="0" w:color="auto"/>
      </w:divBdr>
      <w:divsChild>
        <w:div w:id="1783262409">
          <w:marLeft w:val="0"/>
          <w:marRight w:val="0"/>
          <w:marTop w:val="0"/>
          <w:marBottom w:val="0"/>
          <w:divBdr>
            <w:top w:val="none" w:sz="0" w:space="0" w:color="auto"/>
            <w:left w:val="none" w:sz="0" w:space="0" w:color="auto"/>
            <w:bottom w:val="none" w:sz="0" w:space="0" w:color="auto"/>
            <w:right w:val="none" w:sz="0" w:space="0" w:color="auto"/>
          </w:divBdr>
          <w:divsChild>
            <w:div w:id="264654509">
              <w:marLeft w:val="0"/>
              <w:marRight w:val="0"/>
              <w:marTop w:val="0"/>
              <w:marBottom w:val="0"/>
              <w:divBdr>
                <w:top w:val="none" w:sz="0" w:space="0" w:color="auto"/>
                <w:left w:val="none" w:sz="0" w:space="0" w:color="auto"/>
                <w:bottom w:val="none" w:sz="0" w:space="0" w:color="auto"/>
                <w:right w:val="none" w:sz="0" w:space="0" w:color="auto"/>
              </w:divBdr>
              <w:divsChild>
                <w:div w:id="794522239">
                  <w:marLeft w:val="0"/>
                  <w:marRight w:val="0"/>
                  <w:marTop w:val="0"/>
                  <w:marBottom w:val="0"/>
                  <w:divBdr>
                    <w:top w:val="none" w:sz="0" w:space="0" w:color="auto"/>
                    <w:left w:val="none" w:sz="0" w:space="0" w:color="auto"/>
                    <w:bottom w:val="none" w:sz="0" w:space="0" w:color="auto"/>
                    <w:right w:val="none" w:sz="0" w:space="0" w:color="auto"/>
                  </w:divBdr>
                  <w:divsChild>
                    <w:div w:id="992488863">
                      <w:marLeft w:val="0"/>
                      <w:marRight w:val="0"/>
                      <w:marTop w:val="0"/>
                      <w:marBottom w:val="0"/>
                      <w:divBdr>
                        <w:top w:val="none" w:sz="0" w:space="0" w:color="auto"/>
                        <w:left w:val="none" w:sz="0" w:space="0" w:color="auto"/>
                        <w:bottom w:val="none" w:sz="0" w:space="0" w:color="auto"/>
                        <w:right w:val="none" w:sz="0" w:space="0" w:color="auto"/>
                      </w:divBdr>
                      <w:divsChild>
                        <w:div w:id="1666973951">
                          <w:marLeft w:val="0"/>
                          <w:marRight w:val="0"/>
                          <w:marTop w:val="0"/>
                          <w:marBottom w:val="0"/>
                          <w:divBdr>
                            <w:top w:val="none" w:sz="0" w:space="0" w:color="auto"/>
                            <w:left w:val="none" w:sz="0" w:space="0" w:color="auto"/>
                            <w:bottom w:val="none" w:sz="0" w:space="0" w:color="auto"/>
                            <w:right w:val="none" w:sz="0" w:space="0" w:color="auto"/>
                          </w:divBdr>
                          <w:divsChild>
                            <w:div w:id="493451972">
                              <w:marLeft w:val="0"/>
                              <w:marRight w:val="0"/>
                              <w:marTop w:val="0"/>
                              <w:marBottom w:val="0"/>
                              <w:divBdr>
                                <w:top w:val="none" w:sz="0" w:space="0" w:color="auto"/>
                                <w:left w:val="none" w:sz="0" w:space="0" w:color="auto"/>
                                <w:bottom w:val="none" w:sz="0" w:space="0" w:color="auto"/>
                                <w:right w:val="none" w:sz="0" w:space="0" w:color="auto"/>
                              </w:divBdr>
                              <w:divsChild>
                                <w:div w:id="1220895171">
                                  <w:marLeft w:val="0"/>
                                  <w:marRight w:val="0"/>
                                  <w:marTop w:val="0"/>
                                  <w:marBottom w:val="0"/>
                                  <w:divBdr>
                                    <w:top w:val="none" w:sz="0" w:space="0" w:color="auto"/>
                                    <w:left w:val="none" w:sz="0" w:space="0" w:color="auto"/>
                                    <w:bottom w:val="none" w:sz="0" w:space="0" w:color="auto"/>
                                    <w:right w:val="none" w:sz="0" w:space="0" w:color="auto"/>
                                  </w:divBdr>
                                  <w:divsChild>
                                    <w:div w:id="53053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327646">
      <w:bodyDiv w:val="1"/>
      <w:marLeft w:val="0"/>
      <w:marRight w:val="0"/>
      <w:marTop w:val="0"/>
      <w:marBottom w:val="0"/>
      <w:divBdr>
        <w:top w:val="none" w:sz="0" w:space="0" w:color="auto"/>
        <w:left w:val="none" w:sz="0" w:space="0" w:color="auto"/>
        <w:bottom w:val="none" w:sz="0" w:space="0" w:color="auto"/>
        <w:right w:val="none" w:sz="0" w:space="0" w:color="auto"/>
      </w:divBdr>
      <w:divsChild>
        <w:div w:id="714936702">
          <w:marLeft w:val="0"/>
          <w:marRight w:val="0"/>
          <w:marTop w:val="0"/>
          <w:marBottom w:val="0"/>
          <w:divBdr>
            <w:top w:val="none" w:sz="0" w:space="0" w:color="auto"/>
            <w:left w:val="none" w:sz="0" w:space="0" w:color="auto"/>
            <w:bottom w:val="dotted" w:sz="6" w:space="4" w:color="DDDDDD"/>
            <w:right w:val="none" w:sz="0" w:space="0" w:color="auto"/>
          </w:divBdr>
          <w:divsChild>
            <w:div w:id="169318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25004">
      <w:bodyDiv w:val="1"/>
      <w:marLeft w:val="0"/>
      <w:marRight w:val="0"/>
      <w:marTop w:val="0"/>
      <w:marBottom w:val="0"/>
      <w:divBdr>
        <w:top w:val="none" w:sz="0" w:space="0" w:color="auto"/>
        <w:left w:val="none" w:sz="0" w:space="0" w:color="auto"/>
        <w:bottom w:val="none" w:sz="0" w:space="0" w:color="auto"/>
        <w:right w:val="none" w:sz="0" w:space="0" w:color="auto"/>
      </w:divBdr>
      <w:divsChild>
        <w:div w:id="2023585323">
          <w:marLeft w:val="0"/>
          <w:marRight w:val="0"/>
          <w:marTop w:val="0"/>
          <w:marBottom w:val="0"/>
          <w:divBdr>
            <w:top w:val="none" w:sz="0" w:space="0" w:color="auto"/>
            <w:left w:val="none" w:sz="0" w:space="0" w:color="auto"/>
            <w:bottom w:val="dotted" w:sz="6" w:space="4" w:color="DDDDDD"/>
            <w:right w:val="none" w:sz="0" w:space="0" w:color="auto"/>
          </w:divBdr>
        </w:div>
      </w:divsChild>
    </w:div>
    <w:div w:id="202594539">
      <w:bodyDiv w:val="1"/>
      <w:marLeft w:val="0"/>
      <w:marRight w:val="0"/>
      <w:marTop w:val="0"/>
      <w:marBottom w:val="0"/>
      <w:divBdr>
        <w:top w:val="none" w:sz="0" w:space="0" w:color="auto"/>
        <w:left w:val="none" w:sz="0" w:space="0" w:color="auto"/>
        <w:bottom w:val="none" w:sz="0" w:space="0" w:color="auto"/>
        <w:right w:val="none" w:sz="0" w:space="0" w:color="auto"/>
      </w:divBdr>
      <w:divsChild>
        <w:div w:id="2121685002">
          <w:marLeft w:val="0"/>
          <w:marRight w:val="0"/>
          <w:marTop w:val="0"/>
          <w:marBottom w:val="0"/>
          <w:divBdr>
            <w:top w:val="none" w:sz="0" w:space="0" w:color="auto"/>
            <w:left w:val="none" w:sz="0" w:space="0" w:color="auto"/>
            <w:bottom w:val="dotted" w:sz="6" w:space="4" w:color="DDDDDD"/>
            <w:right w:val="none" w:sz="0" w:space="0" w:color="auto"/>
          </w:divBdr>
          <w:divsChild>
            <w:div w:id="29511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6422">
      <w:bodyDiv w:val="1"/>
      <w:marLeft w:val="0"/>
      <w:marRight w:val="0"/>
      <w:marTop w:val="0"/>
      <w:marBottom w:val="0"/>
      <w:divBdr>
        <w:top w:val="none" w:sz="0" w:space="0" w:color="auto"/>
        <w:left w:val="none" w:sz="0" w:space="0" w:color="auto"/>
        <w:bottom w:val="none" w:sz="0" w:space="0" w:color="auto"/>
        <w:right w:val="none" w:sz="0" w:space="0" w:color="auto"/>
      </w:divBdr>
      <w:divsChild>
        <w:div w:id="1991330107">
          <w:marLeft w:val="0"/>
          <w:marRight w:val="0"/>
          <w:marTop w:val="0"/>
          <w:marBottom w:val="0"/>
          <w:divBdr>
            <w:top w:val="none" w:sz="0" w:space="0" w:color="auto"/>
            <w:left w:val="none" w:sz="0" w:space="0" w:color="auto"/>
            <w:bottom w:val="dotted" w:sz="6" w:space="4" w:color="DDDDDD"/>
            <w:right w:val="none" w:sz="0" w:space="0" w:color="auto"/>
          </w:divBdr>
          <w:divsChild>
            <w:div w:id="12212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9250">
      <w:bodyDiv w:val="1"/>
      <w:marLeft w:val="0"/>
      <w:marRight w:val="0"/>
      <w:marTop w:val="0"/>
      <w:marBottom w:val="0"/>
      <w:divBdr>
        <w:top w:val="none" w:sz="0" w:space="0" w:color="auto"/>
        <w:left w:val="none" w:sz="0" w:space="0" w:color="auto"/>
        <w:bottom w:val="none" w:sz="0" w:space="0" w:color="auto"/>
        <w:right w:val="none" w:sz="0" w:space="0" w:color="auto"/>
      </w:divBdr>
      <w:divsChild>
        <w:div w:id="211424241">
          <w:marLeft w:val="0"/>
          <w:marRight w:val="0"/>
          <w:marTop w:val="0"/>
          <w:marBottom w:val="0"/>
          <w:divBdr>
            <w:top w:val="none" w:sz="0" w:space="0" w:color="auto"/>
            <w:left w:val="none" w:sz="0" w:space="0" w:color="auto"/>
            <w:bottom w:val="dotted" w:sz="6" w:space="4" w:color="DDDDDD"/>
            <w:right w:val="none" w:sz="0" w:space="0" w:color="auto"/>
          </w:divBdr>
        </w:div>
      </w:divsChild>
    </w:div>
    <w:div w:id="203178446">
      <w:bodyDiv w:val="1"/>
      <w:marLeft w:val="0"/>
      <w:marRight w:val="0"/>
      <w:marTop w:val="0"/>
      <w:marBottom w:val="0"/>
      <w:divBdr>
        <w:top w:val="none" w:sz="0" w:space="0" w:color="auto"/>
        <w:left w:val="none" w:sz="0" w:space="0" w:color="auto"/>
        <w:bottom w:val="none" w:sz="0" w:space="0" w:color="auto"/>
        <w:right w:val="none" w:sz="0" w:space="0" w:color="auto"/>
      </w:divBdr>
    </w:div>
    <w:div w:id="203369062">
      <w:bodyDiv w:val="1"/>
      <w:marLeft w:val="0"/>
      <w:marRight w:val="0"/>
      <w:marTop w:val="0"/>
      <w:marBottom w:val="0"/>
      <w:divBdr>
        <w:top w:val="none" w:sz="0" w:space="0" w:color="auto"/>
        <w:left w:val="none" w:sz="0" w:space="0" w:color="auto"/>
        <w:bottom w:val="none" w:sz="0" w:space="0" w:color="auto"/>
        <w:right w:val="none" w:sz="0" w:space="0" w:color="auto"/>
      </w:divBdr>
      <w:divsChild>
        <w:div w:id="227110637">
          <w:marLeft w:val="0"/>
          <w:marRight w:val="0"/>
          <w:marTop w:val="0"/>
          <w:marBottom w:val="375"/>
          <w:divBdr>
            <w:top w:val="none" w:sz="0" w:space="0" w:color="auto"/>
            <w:left w:val="none" w:sz="0" w:space="0" w:color="auto"/>
            <w:bottom w:val="dotted" w:sz="6" w:space="14" w:color="C2C2C2"/>
            <w:right w:val="none" w:sz="0" w:space="0" w:color="auto"/>
          </w:divBdr>
          <w:divsChild>
            <w:div w:id="298413277">
              <w:marLeft w:val="0"/>
              <w:marRight w:val="0"/>
              <w:marTop w:val="0"/>
              <w:marBottom w:val="0"/>
              <w:divBdr>
                <w:top w:val="none" w:sz="0" w:space="0" w:color="auto"/>
                <w:left w:val="none" w:sz="0" w:space="0" w:color="auto"/>
                <w:bottom w:val="none" w:sz="0" w:space="0" w:color="auto"/>
                <w:right w:val="none" w:sz="0" w:space="0" w:color="auto"/>
              </w:divBdr>
              <w:divsChild>
                <w:div w:id="1560088704">
                  <w:marLeft w:val="0"/>
                  <w:marRight w:val="0"/>
                  <w:marTop w:val="0"/>
                  <w:marBottom w:val="0"/>
                  <w:divBdr>
                    <w:top w:val="none" w:sz="0" w:space="0" w:color="auto"/>
                    <w:left w:val="none" w:sz="0" w:space="0" w:color="auto"/>
                    <w:bottom w:val="none" w:sz="0" w:space="0" w:color="auto"/>
                    <w:right w:val="none" w:sz="0" w:space="0" w:color="auto"/>
                  </w:divBdr>
                  <w:divsChild>
                    <w:div w:id="1898592409">
                      <w:marLeft w:val="0"/>
                      <w:marRight w:val="0"/>
                      <w:marTop w:val="0"/>
                      <w:marBottom w:val="0"/>
                      <w:divBdr>
                        <w:top w:val="none" w:sz="0" w:space="0" w:color="auto"/>
                        <w:left w:val="none" w:sz="0" w:space="0" w:color="auto"/>
                        <w:bottom w:val="none" w:sz="0" w:space="0" w:color="auto"/>
                        <w:right w:val="none" w:sz="0" w:space="0" w:color="auto"/>
                      </w:divBdr>
                      <w:divsChild>
                        <w:div w:id="414129397">
                          <w:marLeft w:val="0"/>
                          <w:marRight w:val="0"/>
                          <w:marTop w:val="0"/>
                          <w:marBottom w:val="0"/>
                          <w:divBdr>
                            <w:top w:val="none" w:sz="0" w:space="0" w:color="auto"/>
                            <w:left w:val="none" w:sz="0" w:space="0" w:color="auto"/>
                            <w:bottom w:val="none" w:sz="0" w:space="0" w:color="auto"/>
                            <w:right w:val="none" w:sz="0" w:space="0" w:color="auto"/>
                          </w:divBdr>
                          <w:divsChild>
                            <w:div w:id="156044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999299">
              <w:marLeft w:val="0"/>
              <w:marRight w:val="0"/>
              <w:marTop w:val="0"/>
              <w:marBottom w:val="180"/>
              <w:divBdr>
                <w:top w:val="none" w:sz="0" w:space="0" w:color="auto"/>
                <w:left w:val="none" w:sz="0" w:space="0" w:color="auto"/>
                <w:bottom w:val="none" w:sz="0" w:space="0" w:color="auto"/>
                <w:right w:val="none" w:sz="0" w:space="0" w:color="auto"/>
              </w:divBdr>
            </w:div>
          </w:divsChild>
        </w:div>
        <w:div w:id="1316449998">
          <w:marLeft w:val="0"/>
          <w:marRight w:val="0"/>
          <w:marTop w:val="0"/>
          <w:marBottom w:val="450"/>
          <w:divBdr>
            <w:top w:val="none" w:sz="0" w:space="0" w:color="auto"/>
            <w:left w:val="none" w:sz="0" w:space="0" w:color="auto"/>
            <w:bottom w:val="none" w:sz="0" w:space="0" w:color="auto"/>
            <w:right w:val="none" w:sz="0" w:space="0" w:color="auto"/>
          </w:divBdr>
          <w:divsChild>
            <w:div w:id="299381979">
              <w:marLeft w:val="0"/>
              <w:marRight w:val="0"/>
              <w:marTop w:val="0"/>
              <w:marBottom w:val="0"/>
              <w:divBdr>
                <w:top w:val="none" w:sz="0" w:space="0" w:color="auto"/>
                <w:left w:val="none" w:sz="0" w:space="0" w:color="auto"/>
                <w:bottom w:val="none" w:sz="0" w:space="0" w:color="auto"/>
                <w:right w:val="none" w:sz="0" w:space="0" w:color="auto"/>
              </w:divBdr>
              <w:divsChild>
                <w:div w:id="330374380">
                  <w:marLeft w:val="0"/>
                  <w:marRight w:val="0"/>
                  <w:marTop w:val="0"/>
                  <w:marBottom w:val="0"/>
                  <w:divBdr>
                    <w:top w:val="none" w:sz="0" w:space="0" w:color="auto"/>
                    <w:left w:val="none" w:sz="0" w:space="0" w:color="auto"/>
                    <w:bottom w:val="none" w:sz="0" w:space="0" w:color="auto"/>
                    <w:right w:val="none" w:sz="0" w:space="0" w:color="auto"/>
                  </w:divBdr>
                  <w:divsChild>
                    <w:div w:id="355932013">
                      <w:marLeft w:val="0"/>
                      <w:marRight w:val="0"/>
                      <w:marTop w:val="0"/>
                      <w:marBottom w:val="0"/>
                      <w:divBdr>
                        <w:top w:val="none" w:sz="0" w:space="0" w:color="auto"/>
                        <w:left w:val="none" w:sz="0" w:space="0" w:color="auto"/>
                        <w:bottom w:val="none" w:sz="0" w:space="0" w:color="auto"/>
                        <w:right w:val="none" w:sz="0" w:space="0" w:color="auto"/>
                      </w:divBdr>
                      <w:divsChild>
                        <w:div w:id="434862576">
                          <w:marLeft w:val="0"/>
                          <w:marRight w:val="0"/>
                          <w:marTop w:val="0"/>
                          <w:marBottom w:val="0"/>
                          <w:divBdr>
                            <w:top w:val="none" w:sz="0" w:space="0" w:color="auto"/>
                            <w:left w:val="none" w:sz="0" w:space="0" w:color="auto"/>
                            <w:bottom w:val="none" w:sz="0" w:space="0" w:color="auto"/>
                            <w:right w:val="none" w:sz="0" w:space="0" w:color="auto"/>
                          </w:divBdr>
                          <w:divsChild>
                            <w:div w:id="330723779">
                              <w:marLeft w:val="0"/>
                              <w:marRight w:val="0"/>
                              <w:marTop w:val="0"/>
                              <w:marBottom w:val="0"/>
                              <w:divBdr>
                                <w:top w:val="none" w:sz="0" w:space="0" w:color="auto"/>
                                <w:left w:val="none" w:sz="0" w:space="0" w:color="auto"/>
                                <w:bottom w:val="none" w:sz="0" w:space="0" w:color="auto"/>
                                <w:right w:val="none" w:sz="0" w:space="0" w:color="auto"/>
                              </w:divBdr>
                            </w:div>
                            <w:div w:id="484669883">
                              <w:marLeft w:val="0"/>
                              <w:marRight w:val="0"/>
                              <w:marTop w:val="0"/>
                              <w:marBottom w:val="0"/>
                              <w:divBdr>
                                <w:top w:val="none" w:sz="0" w:space="0" w:color="auto"/>
                                <w:left w:val="none" w:sz="0" w:space="0" w:color="auto"/>
                                <w:bottom w:val="none" w:sz="0" w:space="0" w:color="auto"/>
                                <w:right w:val="none" w:sz="0" w:space="0" w:color="auto"/>
                              </w:divBdr>
                            </w:div>
                            <w:div w:id="837306464">
                              <w:marLeft w:val="0"/>
                              <w:marRight w:val="0"/>
                              <w:marTop w:val="0"/>
                              <w:marBottom w:val="0"/>
                              <w:divBdr>
                                <w:top w:val="none" w:sz="0" w:space="0" w:color="auto"/>
                                <w:left w:val="none" w:sz="0" w:space="0" w:color="auto"/>
                                <w:bottom w:val="none" w:sz="0" w:space="0" w:color="auto"/>
                                <w:right w:val="none" w:sz="0" w:space="0" w:color="auto"/>
                              </w:divBdr>
                            </w:div>
                            <w:div w:id="21292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243070">
                      <w:marLeft w:val="0"/>
                      <w:marRight w:val="0"/>
                      <w:marTop w:val="0"/>
                      <w:marBottom w:val="0"/>
                      <w:divBdr>
                        <w:top w:val="none" w:sz="0" w:space="0" w:color="auto"/>
                        <w:left w:val="none" w:sz="0" w:space="0" w:color="auto"/>
                        <w:bottom w:val="none" w:sz="0" w:space="0" w:color="auto"/>
                        <w:right w:val="none" w:sz="0" w:space="0" w:color="auto"/>
                      </w:divBdr>
                      <w:divsChild>
                        <w:div w:id="1780056028">
                          <w:marLeft w:val="0"/>
                          <w:marRight w:val="0"/>
                          <w:marTop w:val="0"/>
                          <w:marBottom w:val="225"/>
                          <w:divBdr>
                            <w:top w:val="none" w:sz="0" w:space="0" w:color="auto"/>
                            <w:left w:val="none" w:sz="0" w:space="0" w:color="auto"/>
                            <w:bottom w:val="none" w:sz="0" w:space="0" w:color="auto"/>
                            <w:right w:val="none" w:sz="0" w:space="0" w:color="auto"/>
                          </w:divBdr>
                          <w:divsChild>
                            <w:div w:id="82170261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70912">
      <w:bodyDiv w:val="1"/>
      <w:marLeft w:val="0"/>
      <w:marRight w:val="0"/>
      <w:marTop w:val="0"/>
      <w:marBottom w:val="0"/>
      <w:divBdr>
        <w:top w:val="none" w:sz="0" w:space="0" w:color="auto"/>
        <w:left w:val="none" w:sz="0" w:space="0" w:color="auto"/>
        <w:bottom w:val="none" w:sz="0" w:space="0" w:color="auto"/>
        <w:right w:val="none" w:sz="0" w:space="0" w:color="auto"/>
      </w:divBdr>
      <w:divsChild>
        <w:div w:id="1612514948">
          <w:marLeft w:val="0"/>
          <w:marRight w:val="0"/>
          <w:marTop w:val="0"/>
          <w:marBottom w:val="0"/>
          <w:divBdr>
            <w:top w:val="none" w:sz="0" w:space="0" w:color="auto"/>
            <w:left w:val="none" w:sz="0" w:space="0" w:color="auto"/>
            <w:bottom w:val="dotted" w:sz="6" w:space="4" w:color="DDDDDD"/>
            <w:right w:val="none" w:sz="0" w:space="0" w:color="auto"/>
          </w:divBdr>
          <w:divsChild>
            <w:div w:id="191839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51055">
      <w:bodyDiv w:val="1"/>
      <w:marLeft w:val="0"/>
      <w:marRight w:val="0"/>
      <w:marTop w:val="0"/>
      <w:marBottom w:val="0"/>
      <w:divBdr>
        <w:top w:val="none" w:sz="0" w:space="0" w:color="auto"/>
        <w:left w:val="none" w:sz="0" w:space="0" w:color="auto"/>
        <w:bottom w:val="none" w:sz="0" w:space="0" w:color="auto"/>
        <w:right w:val="none" w:sz="0" w:space="0" w:color="auto"/>
      </w:divBdr>
    </w:div>
    <w:div w:id="203755203">
      <w:bodyDiv w:val="1"/>
      <w:marLeft w:val="0"/>
      <w:marRight w:val="0"/>
      <w:marTop w:val="0"/>
      <w:marBottom w:val="0"/>
      <w:divBdr>
        <w:top w:val="none" w:sz="0" w:space="0" w:color="auto"/>
        <w:left w:val="none" w:sz="0" w:space="0" w:color="auto"/>
        <w:bottom w:val="none" w:sz="0" w:space="0" w:color="auto"/>
        <w:right w:val="none" w:sz="0" w:space="0" w:color="auto"/>
      </w:divBdr>
      <w:divsChild>
        <w:div w:id="303315559">
          <w:marLeft w:val="0"/>
          <w:marRight w:val="0"/>
          <w:marTop w:val="0"/>
          <w:marBottom w:val="0"/>
          <w:divBdr>
            <w:top w:val="none" w:sz="0" w:space="0" w:color="auto"/>
            <w:left w:val="none" w:sz="0" w:space="0" w:color="auto"/>
            <w:bottom w:val="none" w:sz="0" w:space="0" w:color="auto"/>
            <w:right w:val="none" w:sz="0" w:space="0" w:color="auto"/>
          </w:divBdr>
          <w:divsChild>
            <w:div w:id="1194462326">
              <w:marLeft w:val="0"/>
              <w:marRight w:val="0"/>
              <w:marTop w:val="0"/>
              <w:marBottom w:val="0"/>
              <w:divBdr>
                <w:top w:val="none" w:sz="0" w:space="0" w:color="auto"/>
                <w:left w:val="none" w:sz="0" w:space="0" w:color="auto"/>
                <w:bottom w:val="none" w:sz="0" w:space="0" w:color="auto"/>
                <w:right w:val="none" w:sz="0" w:space="0" w:color="auto"/>
              </w:divBdr>
              <w:divsChild>
                <w:div w:id="1744523034">
                  <w:marLeft w:val="0"/>
                  <w:marRight w:val="0"/>
                  <w:marTop w:val="0"/>
                  <w:marBottom w:val="0"/>
                  <w:divBdr>
                    <w:top w:val="none" w:sz="0" w:space="0" w:color="auto"/>
                    <w:left w:val="none" w:sz="0" w:space="0" w:color="auto"/>
                    <w:bottom w:val="none" w:sz="0" w:space="0" w:color="auto"/>
                    <w:right w:val="none" w:sz="0" w:space="0" w:color="auto"/>
                  </w:divBdr>
                  <w:divsChild>
                    <w:div w:id="1766219812">
                      <w:marLeft w:val="0"/>
                      <w:marRight w:val="0"/>
                      <w:marTop w:val="0"/>
                      <w:marBottom w:val="0"/>
                      <w:divBdr>
                        <w:top w:val="none" w:sz="0" w:space="0" w:color="auto"/>
                        <w:left w:val="none" w:sz="0" w:space="0" w:color="auto"/>
                        <w:bottom w:val="none" w:sz="0" w:space="0" w:color="auto"/>
                        <w:right w:val="none" w:sz="0" w:space="0" w:color="auto"/>
                      </w:divBdr>
                      <w:divsChild>
                        <w:div w:id="41682377">
                          <w:marLeft w:val="0"/>
                          <w:marRight w:val="0"/>
                          <w:marTop w:val="0"/>
                          <w:marBottom w:val="0"/>
                          <w:divBdr>
                            <w:top w:val="none" w:sz="0" w:space="0" w:color="auto"/>
                            <w:left w:val="none" w:sz="0" w:space="0" w:color="auto"/>
                            <w:bottom w:val="none" w:sz="0" w:space="0" w:color="auto"/>
                            <w:right w:val="none" w:sz="0" w:space="0" w:color="auto"/>
                          </w:divBdr>
                          <w:divsChild>
                            <w:div w:id="915746392">
                              <w:marLeft w:val="0"/>
                              <w:marRight w:val="0"/>
                              <w:marTop w:val="0"/>
                              <w:marBottom w:val="0"/>
                              <w:divBdr>
                                <w:top w:val="none" w:sz="0" w:space="0" w:color="auto"/>
                                <w:left w:val="none" w:sz="0" w:space="0" w:color="auto"/>
                                <w:bottom w:val="none" w:sz="0" w:space="0" w:color="auto"/>
                                <w:right w:val="none" w:sz="0" w:space="0" w:color="auto"/>
                              </w:divBdr>
                              <w:divsChild>
                                <w:div w:id="1450466815">
                                  <w:marLeft w:val="0"/>
                                  <w:marRight w:val="0"/>
                                  <w:marTop w:val="0"/>
                                  <w:marBottom w:val="0"/>
                                  <w:divBdr>
                                    <w:top w:val="none" w:sz="0" w:space="0" w:color="auto"/>
                                    <w:left w:val="none" w:sz="0" w:space="0" w:color="auto"/>
                                    <w:bottom w:val="none" w:sz="0" w:space="0" w:color="auto"/>
                                    <w:right w:val="none" w:sz="0" w:space="0" w:color="auto"/>
                                  </w:divBdr>
                                  <w:divsChild>
                                    <w:div w:id="709502023">
                                      <w:marLeft w:val="0"/>
                                      <w:marRight w:val="0"/>
                                      <w:marTop w:val="0"/>
                                      <w:marBottom w:val="0"/>
                                      <w:divBdr>
                                        <w:top w:val="none" w:sz="0" w:space="0" w:color="auto"/>
                                        <w:left w:val="none" w:sz="0" w:space="0" w:color="auto"/>
                                        <w:bottom w:val="none" w:sz="0" w:space="0" w:color="auto"/>
                                        <w:right w:val="none" w:sz="0" w:space="0" w:color="auto"/>
                                      </w:divBdr>
                                      <w:divsChild>
                                        <w:div w:id="49711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836541">
      <w:bodyDiv w:val="1"/>
      <w:marLeft w:val="0"/>
      <w:marRight w:val="0"/>
      <w:marTop w:val="0"/>
      <w:marBottom w:val="0"/>
      <w:divBdr>
        <w:top w:val="none" w:sz="0" w:space="0" w:color="auto"/>
        <w:left w:val="none" w:sz="0" w:space="0" w:color="auto"/>
        <w:bottom w:val="none" w:sz="0" w:space="0" w:color="auto"/>
        <w:right w:val="none" w:sz="0" w:space="0" w:color="auto"/>
      </w:divBdr>
      <w:divsChild>
        <w:div w:id="403260257">
          <w:marLeft w:val="0"/>
          <w:marRight w:val="0"/>
          <w:marTop w:val="0"/>
          <w:marBottom w:val="0"/>
          <w:divBdr>
            <w:top w:val="none" w:sz="0" w:space="0" w:color="auto"/>
            <w:left w:val="none" w:sz="0" w:space="0" w:color="auto"/>
            <w:bottom w:val="none" w:sz="0" w:space="0" w:color="auto"/>
            <w:right w:val="none" w:sz="0" w:space="0" w:color="auto"/>
          </w:divBdr>
          <w:divsChild>
            <w:div w:id="407003654">
              <w:marLeft w:val="0"/>
              <w:marRight w:val="0"/>
              <w:marTop w:val="225"/>
              <w:marBottom w:val="225"/>
              <w:divBdr>
                <w:top w:val="none" w:sz="0" w:space="0" w:color="auto"/>
                <w:left w:val="none" w:sz="0" w:space="0" w:color="auto"/>
                <w:bottom w:val="none" w:sz="0" w:space="0" w:color="auto"/>
                <w:right w:val="none" w:sz="0" w:space="0" w:color="auto"/>
              </w:divBdr>
            </w:div>
          </w:divsChild>
        </w:div>
        <w:div w:id="868645946">
          <w:marLeft w:val="0"/>
          <w:marRight w:val="0"/>
          <w:marTop w:val="0"/>
          <w:marBottom w:val="150"/>
          <w:divBdr>
            <w:top w:val="none" w:sz="0" w:space="0" w:color="auto"/>
            <w:left w:val="none" w:sz="0" w:space="0" w:color="auto"/>
            <w:bottom w:val="none" w:sz="0" w:space="0" w:color="auto"/>
            <w:right w:val="none" w:sz="0" w:space="0" w:color="auto"/>
          </w:divBdr>
          <w:divsChild>
            <w:div w:id="1405832252">
              <w:marLeft w:val="0"/>
              <w:marRight w:val="0"/>
              <w:marTop w:val="0"/>
              <w:marBottom w:val="0"/>
              <w:divBdr>
                <w:top w:val="none" w:sz="0" w:space="0" w:color="auto"/>
                <w:left w:val="none" w:sz="0" w:space="0" w:color="auto"/>
                <w:bottom w:val="none" w:sz="0" w:space="0" w:color="auto"/>
                <w:right w:val="none" w:sz="0" w:space="0" w:color="auto"/>
              </w:divBdr>
              <w:divsChild>
                <w:div w:id="17314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259446">
          <w:marLeft w:val="0"/>
          <w:marRight w:val="0"/>
          <w:marTop w:val="0"/>
          <w:marBottom w:val="150"/>
          <w:divBdr>
            <w:top w:val="none" w:sz="0" w:space="0" w:color="auto"/>
            <w:left w:val="none" w:sz="0" w:space="0" w:color="auto"/>
            <w:bottom w:val="none" w:sz="0" w:space="0" w:color="auto"/>
            <w:right w:val="none" w:sz="0" w:space="0" w:color="auto"/>
          </w:divBdr>
        </w:div>
      </w:divsChild>
    </w:div>
    <w:div w:id="204219924">
      <w:bodyDiv w:val="1"/>
      <w:marLeft w:val="0"/>
      <w:marRight w:val="0"/>
      <w:marTop w:val="0"/>
      <w:marBottom w:val="0"/>
      <w:divBdr>
        <w:top w:val="none" w:sz="0" w:space="0" w:color="auto"/>
        <w:left w:val="none" w:sz="0" w:space="0" w:color="auto"/>
        <w:bottom w:val="none" w:sz="0" w:space="0" w:color="auto"/>
        <w:right w:val="none" w:sz="0" w:space="0" w:color="auto"/>
      </w:divBdr>
    </w:div>
    <w:div w:id="204291827">
      <w:bodyDiv w:val="1"/>
      <w:marLeft w:val="0"/>
      <w:marRight w:val="0"/>
      <w:marTop w:val="0"/>
      <w:marBottom w:val="0"/>
      <w:divBdr>
        <w:top w:val="none" w:sz="0" w:space="0" w:color="auto"/>
        <w:left w:val="none" w:sz="0" w:space="0" w:color="auto"/>
        <w:bottom w:val="none" w:sz="0" w:space="0" w:color="auto"/>
        <w:right w:val="none" w:sz="0" w:space="0" w:color="auto"/>
      </w:divBdr>
      <w:divsChild>
        <w:div w:id="786242268">
          <w:marLeft w:val="0"/>
          <w:marRight w:val="0"/>
          <w:marTop w:val="0"/>
          <w:marBottom w:val="0"/>
          <w:divBdr>
            <w:top w:val="none" w:sz="0" w:space="0" w:color="auto"/>
            <w:left w:val="none" w:sz="0" w:space="0" w:color="auto"/>
            <w:bottom w:val="none" w:sz="0" w:space="0" w:color="auto"/>
            <w:right w:val="none" w:sz="0" w:space="0" w:color="auto"/>
          </w:divBdr>
        </w:div>
        <w:div w:id="1541015043">
          <w:marLeft w:val="0"/>
          <w:marRight w:val="0"/>
          <w:marTop w:val="0"/>
          <w:marBottom w:val="150"/>
          <w:divBdr>
            <w:top w:val="none" w:sz="0" w:space="0" w:color="auto"/>
            <w:left w:val="none" w:sz="0" w:space="0" w:color="auto"/>
            <w:bottom w:val="none" w:sz="0" w:space="0" w:color="auto"/>
            <w:right w:val="none" w:sz="0" w:space="0" w:color="auto"/>
          </w:divBdr>
          <w:divsChild>
            <w:div w:id="517039507">
              <w:marLeft w:val="0"/>
              <w:marRight w:val="0"/>
              <w:marTop w:val="0"/>
              <w:marBottom w:val="0"/>
              <w:divBdr>
                <w:top w:val="none" w:sz="0" w:space="0" w:color="auto"/>
                <w:left w:val="none" w:sz="0" w:space="0" w:color="auto"/>
                <w:bottom w:val="none" w:sz="0" w:space="0" w:color="auto"/>
                <w:right w:val="none" w:sz="0" w:space="0" w:color="auto"/>
              </w:divBdr>
              <w:divsChild>
                <w:div w:id="1801025722">
                  <w:marLeft w:val="0"/>
                  <w:marRight w:val="0"/>
                  <w:marTop w:val="0"/>
                  <w:marBottom w:val="0"/>
                  <w:divBdr>
                    <w:top w:val="none" w:sz="0" w:space="0" w:color="auto"/>
                    <w:left w:val="none" w:sz="0" w:space="0" w:color="auto"/>
                    <w:bottom w:val="none" w:sz="0" w:space="0" w:color="auto"/>
                    <w:right w:val="none" w:sz="0" w:space="0" w:color="auto"/>
                  </w:divBdr>
                  <w:divsChild>
                    <w:div w:id="66836597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4413881">
      <w:bodyDiv w:val="1"/>
      <w:marLeft w:val="0"/>
      <w:marRight w:val="0"/>
      <w:marTop w:val="0"/>
      <w:marBottom w:val="0"/>
      <w:divBdr>
        <w:top w:val="none" w:sz="0" w:space="0" w:color="auto"/>
        <w:left w:val="none" w:sz="0" w:space="0" w:color="auto"/>
        <w:bottom w:val="none" w:sz="0" w:space="0" w:color="auto"/>
        <w:right w:val="none" w:sz="0" w:space="0" w:color="auto"/>
      </w:divBdr>
      <w:divsChild>
        <w:div w:id="1530801686">
          <w:marLeft w:val="0"/>
          <w:marRight w:val="0"/>
          <w:marTop w:val="0"/>
          <w:marBottom w:val="0"/>
          <w:divBdr>
            <w:top w:val="none" w:sz="0" w:space="0" w:color="auto"/>
            <w:left w:val="none" w:sz="0" w:space="0" w:color="auto"/>
            <w:bottom w:val="dotted" w:sz="6" w:space="4" w:color="DDDDDD"/>
            <w:right w:val="none" w:sz="0" w:space="0" w:color="auto"/>
          </w:divBdr>
        </w:div>
      </w:divsChild>
    </w:div>
    <w:div w:id="204417124">
      <w:bodyDiv w:val="1"/>
      <w:marLeft w:val="0"/>
      <w:marRight w:val="0"/>
      <w:marTop w:val="0"/>
      <w:marBottom w:val="0"/>
      <w:divBdr>
        <w:top w:val="none" w:sz="0" w:space="0" w:color="auto"/>
        <w:left w:val="none" w:sz="0" w:space="0" w:color="auto"/>
        <w:bottom w:val="none" w:sz="0" w:space="0" w:color="auto"/>
        <w:right w:val="none" w:sz="0" w:space="0" w:color="auto"/>
      </w:divBdr>
    </w:div>
    <w:div w:id="204417388">
      <w:bodyDiv w:val="1"/>
      <w:marLeft w:val="0"/>
      <w:marRight w:val="0"/>
      <w:marTop w:val="0"/>
      <w:marBottom w:val="0"/>
      <w:divBdr>
        <w:top w:val="none" w:sz="0" w:space="0" w:color="auto"/>
        <w:left w:val="none" w:sz="0" w:space="0" w:color="auto"/>
        <w:bottom w:val="none" w:sz="0" w:space="0" w:color="auto"/>
        <w:right w:val="none" w:sz="0" w:space="0" w:color="auto"/>
      </w:divBdr>
      <w:divsChild>
        <w:div w:id="1470783805">
          <w:marLeft w:val="0"/>
          <w:marRight w:val="0"/>
          <w:marTop w:val="0"/>
          <w:marBottom w:val="0"/>
          <w:divBdr>
            <w:top w:val="none" w:sz="0" w:space="0" w:color="auto"/>
            <w:left w:val="none" w:sz="0" w:space="0" w:color="auto"/>
            <w:bottom w:val="none" w:sz="0" w:space="0" w:color="auto"/>
            <w:right w:val="none" w:sz="0" w:space="0" w:color="auto"/>
          </w:divBdr>
          <w:divsChild>
            <w:div w:id="607080085">
              <w:marLeft w:val="0"/>
              <w:marRight w:val="0"/>
              <w:marTop w:val="0"/>
              <w:marBottom w:val="0"/>
              <w:divBdr>
                <w:top w:val="none" w:sz="0" w:space="0" w:color="auto"/>
                <w:left w:val="none" w:sz="0" w:space="0" w:color="auto"/>
                <w:bottom w:val="none" w:sz="0" w:space="0" w:color="auto"/>
                <w:right w:val="none" w:sz="0" w:space="0" w:color="auto"/>
              </w:divBdr>
              <w:divsChild>
                <w:div w:id="628359492">
                  <w:marLeft w:val="0"/>
                  <w:marRight w:val="0"/>
                  <w:marTop w:val="0"/>
                  <w:marBottom w:val="0"/>
                  <w:divBdr>
                    <w:top w:val="none" w:sz="0" w:space="0" w:color="auto"/>
                    <w:left w:val="none" w:sz="0" w:space="0" w:color="auto"/>
                    <w:bottom w:val="none" w:sz="0" w:space="0" w:color="auto"/>
                    <w:right w:val="none" w:sz="0" w:space="0" w:color="auto"/>
                  </w:divBdr>
                  <w:divsChild>
                    <w:div w:id="177279792">
                      <w:marLeft w:val="0"/>
                      <w:marRight w:val="0"/>
                      <w:marTop w:val="0"/>
                      <w:marBottom w:val="0"/>
                      <w:divBdr>
                        <w:top w:val="none" w:sz="0" w:space="0" w:color="auto"/>
                        <w:left w:val="none" w:sz="0" w:space="0" w:color="auto"/>
                        <w:bottom w:val="none" w:sz="0" w:space="0" w:color="auto"/>
                        <w:right w:val="none" w:sz="0" w:space="0" w:color="auto"/>
                      </w:divBdr>
                      <w:divsChild>
                        <w:div w:id="1138188602">
                          <w:marLeft w:val="0"/>
                          <w:marRight w:val="0"/>
                          <w:marTop w:val="0"/>
                          <w:marBottom w:val="0"/>
                          <w:divBdr>
                            <w:top w:val="none" w:sz="0" w:space="0" w:color="auto"/>
                            <w:left w:val="none" w:sz="0" w:space="0" w:color="auto"/>
                            <w:bottom w:val="none" w:sz="0" w:space="0" w:color="auto"/>
                            <w:right w:val="none" w:sz="0" w:space="0" w:color="auto"/>
                          </w:divBdr>
                          <w:divsChild>
                            <w:div w:id="1701273562">
                              <w:marLeft w:val="0"/>
                              <w:marRight w:val="0"/>
                              <w:marTop w:val="0"/>
                              <w:marBottom w:val="0"/>
                              <w:divBdr>
                                <w:top w:val="none" w:sz="0" w:space="0" w:color="auto"/>
                                <w:left w:val="none" w:sz="0" w:space="0" w:color="auto"/>
                                <w:bottom w:val="none" w:sz="0" w:space="0" w:color="auto"/>
                                <w:right w:val="none" w:sz="0" w:space="0" w:color="auto"/>
                              </w:divBdr>
                              <w:divsChild>
                                <w:div w:id="935790131">
                                  <w:marLeft w:val="0"/>
                                  <w:marRight w:val="0"/>
                                  <w:marTop w:val="0"/>
                                  <w:marBottom w:val="0"/>
                                  <w:divBdr>
                                    <w:top w:val="none" w:sz="0" w:space="0" w:color="auto"/>
                                    <w:left w:val="none" w:sz="0" w:space="0" w:color="auto"/>
                                    <w:bottom w:val="none" w:sz="0" w:space="0" w:color="auto"/>
                                    <w:right w:val="none" w:sz="0" w:space="0" w:color="auto"/>
                                  </w:divBdr>
                                  <w:divsChild>
                                    <w:div w:id="155381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563263">
      <w:bodyDiv w:val="1"/>
      <w:marLeft w:val="0"/>
      <w:marRight w:val="0"/>
      <w:marTop w:val="0"/>
      <w:marBottom w:val="0"/>
      <w:divBdr>
        <w:top w:val="none" w:sz="0" w:space="0" w:color="auto"/>
        <w:left w:val="none" w:sz="0" w:space="0" w:color="auto"/>
        <w:bottom w:val="none" w:sz="0" w:space="0" w:color="auto"/>
        <w:right w:val="none" w:sz="0" w:space="0" w:color="auto"/>
      </w:divBdr>
      <w:divsChild>
        <w:div w:id="269240979">
          <w:marLeft w:val="0"/>
          <w:marRight w:val="0"/>
          <w:marTop w:val="0"/>
          <w:marBottom w:val="150"/>
          <w:divBdr>
            <w:top w:val="none" w:sz="0" w:space="0" w:color="auto"/>
            <w:left w:val="none" w:sz="0" w:space="0" w:color="auto"/>
            <w:bottom w:val="none" w:sz="0" w:space="0" w:color="auto"/>
            <w:right w:val="none" w:sz="0" w:space="0" w:color="auto"/>
          </w:divBdr>
        </w:div>
        <w:div w:id="1700742786">
          <w:marLeft w:val="0"/>
          <w:marRight w:val="0"/>
          <w:marTop w:val="0"/>
          <w:marBottom w:val="150"/>
          <w:divBdr>
            <w:top w:val="none" w:sz="0" w:space="0" w:color="auto"/>
            <w:left w:val="none" w:sz="0" w:space="0" w:color="auto"/>
            <w:bottom w:val="none" w:sz="0" w:space="0" w:color="auto"/>
            <w:right w:val="none" w:sz="0" w:space="0" w:color="auto"/>
          </w:divBdr>
          <w:divsChild>
            <w:div w:id="66397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8544">
      <w:bodyDiv w:val="1"/>
      <w:marLeft w:val="0"/>
      <w:marRight w:val="0"/>
      <w:marTop w:val="0"/>
      <w:marBottom w:val="0"/>
      <w:divBdr>
        <w:top w:val="none" w:sz="0" w:space="0" w:color="auto"/>
        <w:left w:val="none" w:sz="0" w:space="0" w:color="auto"/>
        <w:bottom w:val="none" w:sz="0" w:space="0" w:color="auto"/>
        <w:right w:val="none" w:sz="0" w:space="0" w:color="auto"/>
      </w:divBdr>
      <w:divsChild>
        <w:div w:id="779377210">
          <w:marLeft w:val="0"/>
          <w:marRight w:val="0"/>
          <w:marTop w:val="0"/>
          <w:marBottom w:val="0"/>
          <w:divBdr>
            <w:top w:val="none" w:sz="0" w:space="0" w:color="auto"/>
            <w:left w:val="none" w:sz="0" w:space="0" w:color="auto"/>
            <w:bottom w:val="dotted" w:sz="6" w:space="4" w:color="DDDDDD"/>
            <w:right w:val="none" w:sz="0" w:space="0" w:color="auto"/>
          </w:divBdr>
          <w:divsChild>
            <w:div w:id="12000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3608">
      <w:bodyDiv w:val="1"/>
      <w:marLeft w:val="0"/>
      <w:marRight w:val="0"/>
      <w:marTop w:val="0"/>
      <w:marBottom w:val="0"/>
      <w:divBdr>
        <w:top w:val="none" w:sz="0" w:space="0" w:color="auto"/>
        <w:left w:val="none" w:sz="0" w:space="0" w:color="auto"/>
        <w:bottom w:val="none" w:sz="0" w:space="0" w:color="auto"/>
        <w:right w:val="none" w:sz="0" w:space="0" w:color="auto"/>
      </w:divBdr>
      <w:divsChild>
        <w:div w:id="1673991500">
          <w:marLeft w:val="0"/>
          <w:marRight w:val="0"/>
          <w:marTop w:val="0"/>
          <w:marBottom w:val="0"/>
          <w:divBdr>
            <w:top w:val="none" w:sz="0" w:space="0" w:color="auto"/>
            <w:left w:val="none" w:sz="0" w:space="0" w:color="auto"/>
            <w:bottom w:val="none" w:sz="0" w:space="0" w:color="auto"/>
            <w:right w:val="none" w:sz="0" w:space="0" w:color="auto"/>
          </w:divBdr>
          <w:divsChild>
            <w:div w:id="500199234">
              <w:marLeft w:val="0"/>
              <w:marRight w:val="0"/>
              <w:marTop w:val="0"/>
              <w:marBottom w:val="0"/>
              <w:divBdr>
                <w:top w:val="none" w:sz="0" w:space="0" w:color="auto"/>
                <w:left w:val="none" w:sz="0" w:space="0" w:color="auto"/>
                <w:bottom w:val="none" w:sz="0" w:space="0" w:color="auto"/>
                <w:right w:val="none" w:sz="0" w:space="0" w:color="auto"/>
              </w:divBdr>
              <w:divsChild>
                <w:div w:id="690106919">
                  <w:marLeft w:val="0"/>
                  <w:marRight w:val="0"/>
                  <w:marTop w:val="120"/>
                  <w:marBottom w:val="0"/>
                  <w:divBdr>
                    <w:top w:val="none" w:sz="0" w:space="0" w:color="auto"/>
                    <w:left w:val="none" w:sz="0" w:space="0" w:color="auto"/>
                    <w:bottom w:val="none" w:sz="0" w:space="0" w:color="auto"/>
                    <w:right w:val="none" w:sz="0" w:space="0" w:color="auto"/>
                  </w:divBdr>
                  <w:divsChild>
                    <w:div w:id="62924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766276">
          <w:marLeft w:val="0"/>
          <w:marRight w:val="0"/>
          <w:marTop w:val="0"/>
          <w:marBottom w:val="0"/>
          <w:divBdr>
            <w:top w:val="none" w:sz="0" w:space="0" w:color="auto"/>
            <w:left w:val="none" w:sz="0" w:space="0" w:color="auto"/>
            <w:bottom w:val="none" w:sz="0" w:space="0" w:color="auto"/>
            <w:right w:val="none" w:sz="0" w:space="0" w:color="auto"/>
          </w:divBdr>
          <w:divsChild>
            <w:div w:id="1283537710">
              <w:marLeft w:val="0"/>
              <w:marRight w:val="0"/>
              <w:marTop w:val="0"/>
              <w:marBottom w:val="0"/>
              <w:divBdr>
                <w:top w:val="none" w:sz="0" w:space="0" w:color="auto"/>
                <w:left w:val="none" w:sz="0" w:space="0" w:color="auto"/>
                <w:bottom w:val="none" w:sz="0" w:space="0" w:color="auto"/>
                <w:right w:val="none" w:sz="0" w:space="0" w:color="auto"/>
              </w:divBdr>
              <w:divsChild>
                <w:div w:id="28260176">
                  <w:marLeft w:val="0"/>
                  <w:marRight w:val="0"/>
                  <w:marTop w:val="0"/>
                  <w:marBottom w:val="360"/>
                  <w:divBdr>
                    <w:top w:val="none" w:sz="0" w:space="0" w:color="auto"/>
                    <w:left w:val="none" w:sz="0" w:space="0" w:color="auto"/>
                    <w:bottom w:val="none" w:sz="0" w:space="0" w:color="auto"/>
                    <w:right w:val="none" w:sz="0" w:space="0" w:color="auto"/>
                  </w:divBdr>
                  <w:divsChild>
                    <w:div w:id="1568883300">
                      <w:marLeft w:val="0"/>
                      <w:marRight w:val="0"/>
                      <w:marTop w:val="0"/>
                      <w:marBottom w:val="0"/>
                      <w:divBdr>
                        <w:top w:val="none" w:sz="0" w:space="0" w:color="auto"/>
                        <w:left w:val="none" w:sz="0" w:space="0" w:color="auto"/>
                        <w:bottom w:val="none" w:sz="0" w:space="0" w:color="auto"/>
                        <w:right w:val="none" w:sz="0" w:space="0" w:color="auto"/>
                      </w:divBdr>
                      <w:divsChild>
                        <w:div w:id="442775171">
                          <w:marLeft w:val="0"/>
                          <w:marRight w:val="0"/>
                          <w:marTop w:val="0"/>
                          <w:marBottom w:val="0"/>
                          <w:divBdr>
                            <w:top w:val="none" w:sz="0" w:space="0" w:color="auto"/>
                            <w:left w:val="none" w:sz="0" w:space="0" w:color="auto"/>
                            <w:bottom w:val="none" w:sz="0" w:space="0" w:color="auto"/>
                            <w:right w:val="none" w:sz="0" w:space="0" w:color="auto"/>
                          </w:divBdr>
                        </w:div>
                      </w:divsChild>
                    </w:div>
                    <w:div w:id="386879363">
                      <w:marLeft w:val="0"/>
                      <w:marRight w:val="0"/>
                      <w:marTop w:val="75"/>
                      <w:marBottom w:val="0"/>
                      <w:divBdr>
                        <w:top w:val="none" w:sz="0" w:space="0" w:color="auto"/>
                        <w:left w:val="none" w:sz="0" w:space="0" w:color="auto"/>
                        <w:bottom w:val="none" w:sz="0" w:space="0" w:color="auto"/>
                        <w:right w:val="none" w:sz="0" w:space="0" w:color="auto"/>
                      </w:divBdr>
                    </w:div>
                  </w:divsChild>
                </w:div>
                <w:div w:id="1596594877">
                  <w:marLeft w:val="0"/>
                  <w:marRight w:val="0"/>
                  <w:marTop w:val="0"/>
                  <w:marBottom w:val="0"/>
                  <w:divBdr>
                    <w:top w:val="none" w:sz="0" w:space="0" w:color="auto"/>
                    <w:left w:val="none" w:sz="0" w:space="0" w:color="auto"/>
                    <w:bottom w:val="none" w:sz="0" w:space="0" w:color="auto"/>
                    <w:right w:val="none" w:sz="0" w:space="0" w:color="auto"/>
                  </w:divBdr>
                  <w:divsChild>
                    <w:div w:id="1268386075">
                      <w:marLeft w:val="0"/>
                      <w:marRight w:val="0"/>
                      <w:marTop w:val="0"/>
                      <w:marBottom w:val="360"/>
                      <w:divBdr>
                        <w:top w:val="none" w:sz="0" w:space="0" w:color="auto"/>
                        <w:left w:val="none" w:sz="0" w:space="0" w:color="auto"/>
                        <w:bottom w:val="none" w:sz="0" w:space="0" w:color="auto"/>
                        <w:right w:val="none" w:sz="0" w:space="0" w:color="auto"/>
                      </w:divBdr>
                      <w:divsChild>
                        <w:div w:id="1886139341">
                          <w:marLeft w:val="0"/>
                          <w:marRight w:val="0"/>
                          <w:marTop w:val="0"/>
                          <w:marBottom w:val="0"/>
                          <w:divBdr>
                            <w:top w:val="none" w:sz="0" w:space="0" w:color="auto"/>
                            <w:left w:val="none" w:sz="0" w:space="0" w:color="auto"/>
                            <w:bottom w:val="single" w:sz="6" w:space="0" w:color="D0D0D0"/>
                            <w:right w:val="none" w:sz="0" w:space="0" w:color="auto"/>
                          </w:divBdr>
                        </w:div>
                        <w:div w:id="1135950777">
                          <w:marLeft w:val="0"/>
                          <w:marRight w:val="0"/>
                          <w:marTop w:val="0"/>
                          <w:marBottom w:val="0"/>
                          <w:divBdr>
                            <w:top w:val="none" w:sz="0" w:space="0" w:color="auto"/>
                            <w:left w:val="none" w:sz="0" w:space="0" w:color="auto"/>
                            <w:bottom w:val="none" w:sz="0" w:space="0" w:color="auto"/>
                            <w:right w:val="none" w:sz="0" w:space="0" w:color="auto"/>
                          </w:divBdr>
                        </w:div>
                      </w:divsChild>
                    </w:div>
                    <w:div w:id="1756243249">
                      <w:marLeft w:val="0"/>
                      <w:marRight w:val="0"/>
                      <w:marTop w:val="0"/>
                      <w:marBottom w:val="180"/>
                      <w:divBdr>
                        <w:top w:val="none" w:sz="0" w:space="0" w:color="auto"/>
                        <w:left w:val="none" w:sz="0" w:space="0" w:color="auto"/>
                        <w:bottom w:val="none" w:sz="0" w:space="0" w:color="auto"/>
                        <w:right w:val="none" w:sz="0" w:space="0" w:color="auto"/>
                      </w:divBdr>
                    </w:div>
                    <w:div w:id="1328749366">
                      <w:marLeft w:val="0"/>
                      <w:marRight w:val="0"/>
                      <w:marTop w:val="0"/>
                      <w:marBottom w:val="180"/>
                      <w:divBdr>
                        <w:top w:val="none" w:sz="0" w:space="0" w:color="auto"/>
                        <w:left w:val="none" w:sz="0" w:space="0" w:color="auto"/>
                        <w:bottom w:val="none" w:sz="0" w:space="0" w:color="auto"/>
                        <w:right w:val="none" w:sz="0" w:space="0" w:color="auto"/>
                      </w:divBdr>
                    </w:div>
                    <w:div w:id="1389498641">
                      <w:marLeft w:val="0"/>
                      <w:marRight w:val="0"/>
                      <w:marTop w:val="0"/>
                      <w:marBottom w:val="360"/>
                      <w:divBdr>
                        <w:top w:val="none" w:sz="0" w:space="0" w:color="auto"/>
                        <w:left w:val="none" w:sz="0" w:space="0" w:color="auto"/>
                        <w:bottom w:val="none" w:sz="0" w:space="0" w:color="auto"/>
                        <w:right w:val="none" w:sz="0" w:space="0" w:color="auto"/>
                      </w:divBdr>
                      <w:divsChild>
                        <w:div w:id="1101225702">
                          <w:marLeft w:val="0"/>
                          <w:marRight w:val="0"/>
                          <w:marTop w:val="360"/>
                          <w:marBottom w:val="360"/>
                          <w:divBdr>
                            <w:top w:val="none" w:sz="0" w:space="0" w:color="auto"/>
                            <w:left w:val="none" w:sz="0" w:space="0" w:color="auto"/>
                            <w:bottom w:val="none" w:sz="0" w:space="0" w:color="auto"/>
                            <w:right w:val="none" w:sz="0" w:space="0" w:color="auto"/>
                          </w:divBdr>
                          <w:divsChild>
                            <w:div w:id="252934838">
                              <w:marLeft w:val="0"/>
                              <w:marRight w:val="0"/>
                              <w:marTop w:val="0"/>
                              <w:marBottom w:val="0"/>
                              <w:divBdr>
                                <w:top w:val="single" w:sz="6" w:space="0" w:color="D0D0D0"/>
                                <w:left w:val="none" w:sz="0" w:space="0" w:color="auto"/>
                                <w:bottom w:val="single" w:sz="6" w:space="0" w:color="D0D0D0"/>
                                <w:right w:val="none" w:sz="0" w:space="0" w:color="auto"/>
                              </w:divBdr>
                              <w:divsChild>
                                <w:div w:id="1978488972">
                                  <w:marLeft w:val="0"/>
                                  <w:marRight w:val="0"/>
                                  <w:marTop w:val="100"/>
                                  <w:marBottom w:val="100"/>
                                  <w:divBdr>
                                    <w:top w:val="none" w:sz="0" w:space="0" w:color="auto"/>
                                    <w:left w:val="none" w:sz="0" w:space="0" w:color="auto"/>
                                    <w:bottom w:val="none" w:sz="0" w:space="0" w:color="auto"/>
                                    <w:right w:val="none" w:sz="0" w:space="0" w:color="auto"/>
                                  </w:divBdr>
                                  <w:divsChild>
                                    <w:div w:id="822889720">
                                      <w:marLeft w:val="0"/>
                                      <w:marRight w:val="0"/>
                                      <w:marTop w:val="0"/>
                                      <w:marBottom w:val="0"/>
                                      <w:divBdr>
                                        <w:top w:val="none" w:sz="0" w:space="0" w:color="auto"/>
                                        <w:left w:val="none" w:sz="0" w:space="0" w:color="auto"/>
                                        <w:bottom w:val="none" w:sz="0" w:space="0" w:color="auto"/>
                                        <w:right w:val="none" w:sz="0" w:space="0" w:color="auto"/>
                                      </w:divBdr>
                                      <w:divsChild>
                                        <w:div w:id="195890778">
                                          <w:marLeft w:val="0"/>
                                          <w:marRight w:val="0"/>
                                          <w:marTop w:val="0"/>
                                          <w:marBottom w:val="0"/>
                                          <w:divBdr>
                                            <w:top w:val="none" w:sz="0" w:space="0" w:color="auto"/>
                                            <w:left w:val="none" w:sz="0" w:space="0" w:color="auto"/>
                                            <w:bottom w:val="none" w:sz="0" w:space="0" w:color="auto"/>
                                            <w:right w:val="none" w:sz="0" w:space="0" w:color="auto"/>
                                          </w:divBdr>
                                          <w:divsChild>
                                            <w:div w:id="1162041027">
                                              <w:marLeft w:val="0"/>
                                              <w:marRight w:val="0"/>
                                              <w:marTop w:val="0"/>
                                              <w:marBottom w:val="0"/>
                                              <w:divBdr>
                                                <w:top w:val="none" w:sz="0" w:space="0" w:color="auto"/>
                                                <w:left w:val="none" w:sz="0" w:space="0" w:color="auto"/>
                                                <w:bottom w:val="none" w:sz="0" w:space="0" w:color="auto"/>
                                                <w:right w:val="none" w:sz="0" w:space="0" w:color="auto"/>
                                              </w:divBdr>
                                              <w:divsChild>
                                                <w:div w:id="209304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973532">
                      <w:marLeft w:val="0"/>
                      <w:marRight w:val="0"/>
                      <w:marTop w:val="0"/>
                      <w:marBottom w:val="180"/>
                      <w:divBdr>
                        <w:top w:val="none" w:sz="0" w:space="0" w:color="auto"/>
                        <w:left w:val="none" w:sz="0" w:space="0" w:color="auto"/>
                        <w:bottom w:val="none" w:sz="0" w:space="0" w:color="auto"/>
                        <w:right w:val="none" w:sz="0" w:space="0" w:color="auto"/>
                      </w:divBdr>
                    </w:div>
                    <w:div w:id="611592057">
                      <w:marLeft w:val="0"/>
                      <w:marRight w:val="0"/>
                      <w:marTop w:val="0"/>
                      <w:marBottom w:val="180"/>
                      <w:divBdr>
                        <w:top w:val="none" w:sz="0" w:space="0" w:color="auto"/>
                        <w:left w:val="none" w:sz="0" w:space="0" w:color="auto"/>
                        <w:bottom w:val="none" w:sz="0" w:space="0" w:color="auto"/>
                        <w:right w:val="none" w:sz="0" w:space="0" w:color="auto"/>
                      </w:divBdr>
                    </w:div>
                    <w:div w:id="1803376429">
                      <w:marLeft w:val="0"/>
                      <w:marRight w:val="0"/>
                      <w:marTop w:val="0"/>
                      <w:marBottom w:val="180"/>
                      <w:divBdr>
                        <w:top w:val="none" w:sz="0" w:space="0" w:color="auto"/>
                        <w:left w:val="none" w:sz="0" w:space="0" w:color="auto"/>
                        <w:bottom w:val="none" w:sz="0" w:space="0" w:color="auto"/>
                        <w:right w:val="none" w:sz="0" w:space="0" w:color="auto"/>
                      </w:divBdr>
                    </w:div>
                    <w:div w:id="36510264">
                      <w:marLeft w:val="0"/>
                      <w:marRight w:val="0"/>
                      <w:marTop w:val="0"/>
                      <w:marBottom w:val="180"/>
                      <w:divBdr>
                        <w:top w:val="none" w:sz="0" w:space="0" w:color="auto"/>
                        <w:left w:val="none" w:sz="0" w:space="0" w:color="auto"/>
                        <w:bottom w:val="none" w:sz="0" w:space="0" w:color="auto"/>
                        <w:right w:val="none" w:sz="0" w:space="0" w:color="auto"/>
                      </w:divBdr>
                    </w:div>
                    <w:div w:id="925265631">
                      <w:marLeft w:val="0"/>
                      <w:marRight w:val="0"/>
                      <w:marTop w:val="360"/>
                      <w:marBottom w:val="360"/>
                      <w:divBdr>
                        <w:top w:val="none" w:sz="0" w:space="0" w:color="auto"/>
                        <w:left w:val="none" w:sz="0" w:space="0" w:color="auto"/>
                        <w:bottom w:val="none" w:sz="0" w:space="0" w:color="auto"/>
                        <w:right w:val="none" w:sz="0" w:space="0" w:color="auto"/>
                      </w:divBdr>
                      <w:divsChild>
                        <w:div w:id="44373715">
                          <w:marLeft w:val="0"/>
                          <w:marRight w:val="0"/>
                          <w:marTop w:val="360"/>
                          <w:marBottom w:val="360"/>
                          <w:divBdr>
                            <w:top w:val="none" w:sz="0" w:space="0" w:color="auto"/>
                            <w:left w:val="none" w:sz="0" w:space="0" w:color="auto"/>
                            <w:bottom w:val="none" w:sz="0" w:space="0" w:color="auto"/>
                            <w:right w:val="none" w:sz="0" w:space="0" w:color="auto"/>
                          </w:divBdr>
                          <w:divsChild>
                            <w:div w:id="1612936280">
                              <w:marLeft w:val="0"/>
                              <w:marRight w:val="0"/>
                              <w:marTop w:val="0"/>
                              <w:marBottom w:val="0"/>
                              <w:divBdr>
                                <w:top w:val="single" w:sz="6" w:space="0" w:color="D0D0D0"/>
                                <w:left w:val="none" w:sz="0" w:space="0" w:color="auto"/>
                                <w:bottom w:val="single" w:sz="6" w:space="0" w:color="D0D0D0"/>
                                <w:right w:val="none" w:sz="0" w:space="0" w:color="auto"/>
                              </w:divBdr>
                              <w:divsChild>
                                <w:div w:id="940258250">
                                  <w:marLeft w:val="0"/>
                                  <w:marRight w:val="0"/>
                                  <w:marTop w:val="100"/>
                                  <w:marBottom w:val="100"/>
                                  <w:divBdr>
                                    <w:top w:val="none" w:sz="0" w:space="0" w:color="auto"/>
                                    <w:left w:val="none" w:sz="0" w:space="0" w:color="auto"/>
                                    <w:bottom w:val="none" w:sz="0" w:space="0" w:color="auto"/>
                                    <w:right w:val="none" w:sz="0" w:space="0" w:color="auto"/>
                                  </w:divBdr>
                                  <w:divsChild>
                                    <w:div w:id="512886596">
                                      <w:marLeft w:val="0"/>
                                      <w:marRight w:val="0"/>
                                      <w:marTop w:val="0"/>
                                      <w:marBottom w:val="0"/>
                                      <w:divBdr>
                                        <w:top w:val="none" w:sz="0" w:space="0" w:color="auto"/>
                                        <w:left w:val="none" w:sz="0" w:space="0" w:color="auto"/>
                                        <w:bottom w:val="none" w:sz="0" w:space="0" w:color="auto"/>
                                        <w:right w:val="none" w:sz="0" w:space="0" w:color="auto"/>
                                      </w:divBdr>
                                      <w:divsChild>
                                        <w:div w:id="1714496372">
                                          <w:marLeft w:val="0"/>
                                          <w:marRight w:val="0"/>
                                          <w:marTop w:val="0"/>
                                          <w:marBottom w:val="300"/>
                                          <w:divBdr>
                                            <w:top w:val="none" w:sz="0" w:space="0" w:color="auto"/>
                                            <w:left w:val="none" w:sz="0" w:space="0" w:color="auto"/>
                                            <w:bottom w:val="none" w:sz="0" w:space="0" w:color="auto"/>
                                            <w:right w:val="none" w:sz="0" w:space="0" w:color="auto"/>
                                          </w:divBdr>
                                          <w:divsChild>
                                            <w:div w:id="1787890858">
                                              <w:marLeft w:val="0"/>
                                              <w:marRight w:val="0"/>
                                              <w:marTop w:val="0"/>
                                              <w:marBottom w:val="0"/>
                                              <w:divBdr>
                                                <w:top w:val="none" w:sz="0" w:space="0" w:color="auto"/>
                                                <w:left w:val="none" w:sz="0" w:space="0" w:color="auto"/>
                                                <w:bottom w:val="none" w:sz="0" w:space="0" w:color="auto"/>
                                                <w:right w:val="none" w:sz="0" w:space="0" w:color="auto"/>
                                              </w:divBdr>
                                              <w:divsChild>
                                                <w:div w:id="156167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1054575">
                      <w:marLeft w:val="0"/>
                      <w:marRight w:val="0"/>
                      <w:marTop w:val="0"/>
                      <w:marBottom w:val="180"/>
                      <w:divBdr>
                        <w:top w:val="none" w:sz="0" w:space="0" w:color="auto"/>
                        <w:left w:val="none" w:sz="0" w:space="0" w:color="auto"/>
                        <w:bottom w:val="none" w:sz="0" w:space="0" w:color="auto"/>
                        <w:right w:val="none" w:sz="0" w:space="0" w:color="auto"/>
                      </w:divBdr>
                    </w:div>
                    <w:div w:id="1364284039">
                      <w:marLeft w:val="0"/>
                      <w:marRight w:val="0"/>
                      <w:marTop w:val="0"/>
                      <w:marBottom w:val="180"/>
                      <w:divBdr>
                        <w:top w:val="none" w:sz="0" w:space="0" w:color="auto"/>
                        <w:left w:val="none" w:sz="0" w:space="0" w:color="auto"/>
                        <w:bottom w:val="none" w:sz="0" w:space="0" w:color="auto"/>
                        <w:right w:val="none" w:sz="0" w:space="0" w:color="auto"/>
                      </w:divBdr>
                    </w:div>
                    <w:div w:id="579676308">
                      <w:marLeft w:val="0"/>
                      <w:marRight w:val="0"/>
                      <w:marTop w:val="0"/>
                      <w:marBottom w:val="180"/>
                      <w:divBdr>
                        <w:top w:val="none" w:sz="0" w:space="0" w:color="auto"/>
                        <w:left w:val="none" w:sz="0" w:space="0" w:color="auto"/>
                        <w:bottom w:val="none" w:sz="0" w:space="0" w:color="auto"/>
                        <w:right w:val="none" w:sz="0" w:space="0" w:color="auto"/>
                      </w:divBdr>
                    </w:div>
                    <w:div w:id="1042632833">
                      <w:marLeft w:val="0"/>
                      <w:marRight w:val="0"/>
                      <w:marTop w:val="0"/>
                      <w:marBottom w:val="180"/>
                      <w:divBdr>
                        <w:top w:val="none" w:sz="0" w:space="0" w:color="auto"/>
                        <w:left w:val="none" w:sz="0" w:space="0" w:color="auto"/>
                        <w:bottom w:val="none" w:sz="0" w:space="0" w:color="auto"/>
                        <w:right w:val="none" w:sz="0" w:space="0" w:color="auto"/>
                      </w:divBdr>
                    </w:div>
                    <w:div w:id="155003521">
                      <w:marLeft w:val="0"/>
                      <w:marRight w:val="0"/>
                      <w:marTop w:val="360"/>
                      <w:marBottom w:val="360"/>
                      <w:divBdr>
                        <w:top w:val="none" w:sz="0" w:space="0" w:color="auto"/>
                        <w:left w:val="none" w:sz="0" w:space="0" w:color="auto"/>
                        <w:bottom w:val="none" w:sz="0" w:space="0" w:color="auto"/>
                        <w:right w:val="none" w:sz="0" w:space="0" w:color="auto"/>
                      </w:divBdr>
                      <w:divsChild>
                        <w:div w:id="255331195">
                          <w:marLeft w:val="0"/>
                          <w:marRight w:val="0"/>
                          <w:marTop w:val="480"/>
                          <w:marBottom w:val="480"/>
                          <w:divBdr>
                            <w:top w:val="none" w:sz="0" w:space="0" w:color="auto"/>
                            <w:left w:val="none" w:sz="0" w:space="0" w:color="auto"/>
                            <w:bottom w:val="none" w:sz="0" w:space="0" w:color="auto"/>
                            <w:right w:val="none" w:sz="0" w:space="0" w:color="auto"/>
                          </w:divBdr>
                          <w:divsChild>
                            <w:div w:id="24006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467815">
                      <w:marLeft w:val="0"/>
                      <w:marRight w:val="0"/>
                      <w:marTop w:val="0"/>
                      <w:marBottom w:val="180"/>
                      <w:divBdr>
                        <w:top w:val="none" w:sz="0" w:space="0" w:color="auto"/>
                        <w:left w:val="none" w:sz="0" w:space="0" w:color="auto"/>
                        <w:bottom w:val="none" w:sz="0" w:space="0" w:color="auto"/>
                        <w:right w:val="none" w:sz="0" w:space="0" w:color="auto"/>
                      </w:divBdr>
                    </w:div>
                    <w:div w:id="823938548">
                      <w:marLeft w:val="0"/>
                      <w:marRight w:val="0"/>
                      <w:marTop w:val="0"/>
                      <w:marBottom w:val="180"/>
                      <w:divBdr>
                        <w:top w:val="none" w:sz="0" w:space="0" w:color="auto"/>
                        <w:left w:val="none" w:sz="0" w:space="0" w:color="auto"/>
                        <w:bottom w:val="none" w:sz="0" w:space="0" w:color="auto"/>
                        <w:right w:val="none" w:sz="0" w:space="0" w:color="auto"/>
                      </w:divBdr>
                    </w:div>
                    <w:div w:id="700712630">
                      <w:marLeft w:val="0"/>
                      <w:marRight w:val="0"/>
                      <w:marTop w:val="0"/>
                      <w:marBottom w:val="180"/>
                      <w:divBdr>
                        <w:top w:val="none" w:sz="0" w:space="0" w:color="auto"/>
                        <w:left w:val="none" w:sz="0" w:space="0" w:color="auto"/>
                        <w:bottom w:val="none" w:sz="0" w:space="0" w:color="auto"/>
                        <w:right w:val="none" w:sz="0" w:space="0" w:color="auto"/>
                      </w:divBdr>
                    </w:div>
                    <w:div w:id="2012441504">
                      <w:marLeft w:val="0"/>
                      <w:marRight w:val="0"/>
                      <w:marTop w:val="0"/>
                      <w:marBottom w:val="180"/>
                      <w:divBdr>
                        <w:top w:val="none" w:sz="0" w:space="0" w:color="auto"/>
                        <w:left w:val="none" w:sz="0" w:space="0" w:color="auto"/>
                        <w:bottom w:val="none" w:sz="0" w:space="0" w:color="auto"/>
                        <w:right w:val="none" w:sz="0" w:space="0" w:color="auto"/>
                      </w:divBdr>
                    </w:div>
                    <w:div w:id="30767402">
                      <w:marLeft w:val="0"/>
                      <w:marRight w:val="0"/>
                      <w:marTop w:val="0"/>
                      <w:marBottom w:val="180"/>
                      <w:divBdr>
                        <w:top w:val="none" w:sz="0" w:space="0" w:color="auto"/>
                        <w:left w:val="none" w:sz="0" w:space="0" w:color="auto"/>
                        <w:bottom w:val="none" w:sz="0" w:space="0" w:color="auto"/>
                        <w:right w:val="none" w:sz="0" w:space="0" w:color="auto"/>
                      </w:divBdr>
                    </w:div>
                    <w:div w:id="1889417800">
                      <w:marLeft w:val="0"/>
                      <w:marRight w:val="0"/>
                      <w:marTop w:val="0"/>
                      <w:marBottom w:val="180"/>
                      <w:divBdr>
                        <w:top w:val="none" w:sz="0" w:space="0" w:color="auto"/>
                        <w:left w:val="none" w:sz="0" w:space="0" w:color="auto"/>
                        <w:bottom w:val="none" w:sz="0" w:space="0" w:color="auto"/>
                        <w:right w:val="none" w:sz="0" w:space="0" w:color="auto"/>
                      </w:divBdr>
                    </w:div>
                    <w:div w:id="1717923597">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205724693">
      <w:bodyDiv w:val="1"/>
      <w:marLeft w:val="0"/>
      <w:marRight w:val="0"/>
      <w:marTop w:val="0"/>
      <w:marBottom w:val="0"/>
      <w:divBdr>
        <w:top w:val="none" w:sz="0" w:space="0" w:color="auto"/>
        <w:left w:val="none" w:sz="0" w:space="0" w:color="auto"/>
        <w:bottom w:val="none" w:sz="0" w:space="0" w:color="auto"/>
        <w:right w:val="none" w:sz="0" w:space="0" w:color="auto"/>
      </w:divBdr>
    </w:div>
    <w:div w:id="206065553">
      <w:bodyDiv w:val="1"/>
      <w:marLeft w:val="0"/>
      <w:marRight w:val="0"/>
      <w:marTop w:val="0"/>
      <w:marBottom w:val="0"/>
      <w:divBdr>
        <w:top w:val="none" w:sz="0" w:space="0" w:color="auto"/>
        <w:left w:val="none" w:sz="0" w:space="0" w:color="auto"/>
        <w:bottom w:val="none" w:sz="0" w:space="0" w:color="auto"/>
        <w:right w:val="none" w:sz="0" w:space="0" w:color="auto"/>
      </w:divBdr>
      <w:divsChild>
        <w:div w:id="138697378">
          <w:marLeft w:val="0"/>
          <w:marRight w:val="0"/>
          <w:marTop w:val="0"/>
          <w:marBottom w:val="150"/>
          <w:divBdr>
            <w:top w:val="none" w:sz="0" w:space="0" w:color="auto"/>
            <w:left w:val="none" w:sz="0" w:space="0" w:color="auto"/>
            <w:bottom w:val="none" w:sz="0" w:space="0" w:color="auto"/>
            <w:right w:val="none" w:sz="0" w:space="0" w:color="auto"/>
          </w:divBdr>
        </w:div>
      </w:divsChild>
    </w:div>
    <w:div w:id="206374726">
      <w:bodyDiv w:val="1"/>
      <w:marLeft w:val="0"/>
      <w:marRight w:val="0"/>
      <w:marTop w:val="0"/>
      <w:marBottom w:val="0"/>
      <w:divBdr>
        <w:top w:val="none" w:sz="0" w:space="0" w:color="auto"/>
        <w:left w:val="none" w:sz="0" w:space="0" w:color="auto"/>
        <w:bottom w:val="none" w:sz="0" w:space="0" w:color="auto"/>
        <w:right w:val="none" w:sz="0" w:space="0" w:color="auto"/>
      </w:divBdr>
    </w:div>
    <w:div w:id="206528659">
      <w:bodyDiv w:val="1"/>
      <w:marLeft w:val="0"/>
      <w:marRight w:val="0"/>
      <w:marTop w:val="0"/>
      <w:marBottom w:val="0"/>
      <w:divBdr>
        <w:top w:val="none" w:sz="0" w:space="0" w:color="auto"/>
        <w:left w:val="none" w:sz="0" w:space="0" w:color="auto"/>
        <w:bottom w:val="none" w:sz="0" w:space="0" w:color="auto"/>
        <w:right w:val="none" w:sz="0" w:space="0" w:color="auto"/>
      </w:divBdr>
    </w:div>
    <w:div w:id="206648300">
      <w:bodyDiv w:val="1"/>
      <w:marLeft w:val="0"/>
      <w:marRight w:val="0"/>
      <w:marTop w:val="0"/>
      <w:marBottom w:val="0"/>
      <w:divBdr>
        <w:top w:val="none" w:sz="0" w:space="0" w:color="auto"/>
        <w:left w:val="none" w:sz="0" w:space="0" w:color="auto"/>
        <w:bottom w:val="none" w:sz="0" w:space="0" w:color="auto"/>
        <w:right w:val="none" w:sz="0" w:space="0" w:color="auto"/>
      </w:divBdr>
    </w:div>
    <w:div w:id="206769622">
      <w:bodyDiv w:val="1"/>
      <w:marLeft w:val="0"/>
      <w:marRight w:val="0"/>
      <w:marTop w:val="0"/>
      <w:marBottom w:val="0"/>
      <w:divBdr>
        <w:top w:val="none" w:sz="0" w:space="0" w:color="auto"/>
        <w:left w:val="none" w:sz="0" w:space="0" w:color="auto"/>
        <w:bottom w:val="none" w:sz="0" w:space="0" w:color="auto"/>
        <w:right w:val="none" w:sz="0" w:space="0" w:color="auto"/>
      </w:divBdr>
      <w:divsChild>
        <w:div w:id="1311785715">
          <w:marLeft w:val="0"/>
          <w:marRight w:val="0"/>
          <w:marTop w:val="0"/>
          <w:marBottom w:val="0"/>
          <w:divBdr>
            <w:top w:val="none" w:sz="0" w:space="0" w:color="auto"/>
            <w:left w:val="none" w:sz="0" w:space="0" w:color="auto"/>
            <w:bottom w:val="none" w:sz="0" w:space="0" w:color="auto"/>
            <w:right w:val="none" w:sz="0" w:space="0" w:color="auto"/>
          </w:divBdr>
        </w:div>
      </w:divsChild>
    </w:div>
    <w:div w:id="207257368">
      <w:bodyDiv w:val="1"/>
      <w:marLeft w:val="0"/>
      <w:marRight w:val="0"/>
      <w:marTop w:val="0"/>
      <w:marBottom w:val="0"/>
      <w:divBdr>
        <w:top w:val="none" w:sz="0" w:space="0" w:color="auto"/>
        <w:left w:val="none" w:sz="0" w:space="0" w:color="auto"/>
        <w:bottom w:val="none" w:sz="0" w:space="0" w:color="auto"/>
        <w:right w:val="none" w:sz="0" w:space="0" w:color="auto"/>
      </w:divBdr>
      <w:divsChild>
        <w:div w:id="1925332733">
          <w:marLeft w:val="0"/>
          <w:marRight w:val="0"/>
          <w:marTop w:val="0"/>
          <w:marBottom w:val="0"/>
          <w:divBdr>
            <w:top w:val="none" w:sz="0" w:space="0" w:color="auto"/>
            <w:left w:val="none" w:sz="0" w:space="0" w:color="auto"/>
            <w:bottom w:val="dotted" w:sz="6" w:space="4" w:color="DDDDDD"/>
            <w:right w:val="none" w:sz="0" w:space="0" w:color="auto"/>
          </w:divBdr>
        </w:div>
      </w:divsChild>
    </w:div>
    <w:div w:id="207492065">
      <w:bodyDiv w:val="1"/>
      <w:marLeft w:val="0"/>
      <w:marRight w:val="0"/>
      <w:marTop w:val="0"/>
      <w:marBottom w:val="0"/>
      <w:divBdr>
        <w:top w:val="none" w:sz="0" w:space="0" w:color="auto"/>
        <w:left w:val="none" w:sz="0" w:space="0" w:color="auto"/>
        <w:bottom w:val="none" w:sz="0" w:space="0" w:color="auto"/>
        <w:right w:val="none" w:sz="0" w:space="0" w:color="auto"/>
      </w:divBdr>
      <w:divsChild>
        <w:div w:id="891887001">
          <w:marLeft w:val="0"/>
          <w:marRight w:val="0"/>
          <w:marTop w:val="0"/>
          <w:marBottom w:val="0"/>
          <w:divBdr>
            <w:top w:val="none" w:sz="0" w:space="0" w:color="auto"/>
            <w:left w:val="none" w:sz="0" w:space="0" w:color="auto"/>
            <w:bottom w:val="dotted" w:sz="6" w:space="4" w:color="DDDDDD"/>
            <w:right w:val="none" w:sz="0" w:space="0" w:color="auto"/>
          </w:divBdr>
          <w:divsChild>
            <w:div w:id="79930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2965">
      <w:bodyDiv w:val="1"/>
      <w:marLeft w:val="0"/>
      <w:marRight w:val="0"/>
      <w:marTop w:val="0"/>
      <w:marBottom w:val="0"/>
      <w:divBdr>
        <w:top w:val="none" w:sz="0" w:space="0" w:color="auto"/>
        <w:left w:val="none" w:sz="0" w:space="0" w:color="auto"/>
        <w:bottom w:val="none" w:sz="0" w:space="0" w:color="auto"/>
        <w:right w:val="none" w:sz="0" w:space="0" w:color="auto"/>
      </w:divBdr>
      <w:divsChild>
        <w:div w:id="1136214338">
          <w:marLeft w:val="0"/>
          <w:marRight w:val="0"/>
          <w:marTop w:val="0"/>
          <w:marBottom w:val="0"/>
          <w:divBdr>
            <w:top w:val="none" w:sz="0" w:space="0" w:color="auto"/>
            <w:left w:val="none" w:sz="0" w:space="0" w:color="auto"/>
            <w:bottom w:val="none" w:sz="0" w:space="0" w:color="auto"/>
            <w:right w:val="none" w:sz="0" w:space="0" w:color="auto"/>
          </w:divBdr>
          <w:divsChild>
            <w:div w:id="220019040">
              <w:marLeft w:val="0"/>
              <w:marRight w:val="0"/>
              <w:marTop w:val="0"/>
              <w:marBottom w:val="0"/>
              <w:divBdr>
                <w:top w:val="none" w:sz="0" w:space="0" w:color="auto"/>
                <w:left w:val="none" w:sz="0" w:space="0" w:color="auto"/>
                <w:bottom w:val="none" w:sz="0" w:space="0" w:color="auto"/>
                <w:right w:val="none" w:sz="0" w:space="0" w:color="auto"/>
              </w:divBdr>
              <w:divsChild>
                <w:div w:id="511383831">
                  <w:marLeft w:val="0"/>
                  <w:marRight w:val="0"/>
                  <w:marTop w:val="0"/>
                  <w:marBottom w:val="0"/>
                  <w:divBdr>
                    <w:top w:val="none" w:sz="0" w:space="0" w:color="auto"/>
                    <w:left w:val="none" w:sz="0" w:space="0" w:color="auto"/>
                    <w:bottom w:val="none" w:sz="0" w:space="0" w:color="auto"/>
                    <w:right w:val="none" w:sz="0" w:space="0" w:color="auto"/>
                  </w:divBdr>
                  <w:divsChild>
                    <w:div w:id="275135463">
                      <w:marLeft w:val="0"/>
                      <w:marRight w:val="0"/>
                      <w:marTop w:val="0"/>
                      <w:marBottom w:val="0"/>
                      <w:divBdr>
                        <w:top w:val="none" w:sz="0" w:space="0" w:color="auto"/>
                        <w:left w:val="none" w:sz="0" w:space="0" w:color="auto"/>
                        <w:bottom w:val="none" w:sz="0" w:space="0" w:color="auto"/>
                        <w:right w:val="none" w:sz="0" w:space="0" w:color="auto"/>
                      </w:divBdr>
                      <w:divsChild>
                        <w:div w:id="973145672">
                          <w:marLeft w:val="0"/>
                          <w:marRight w:val="0"/>
                          <w:marTop w:val="0"/>
                          <w:marBottom w:val="0"/>
                          <w:divBdr>
                            <w:top w:val="none" w:sz="0" w:space="0" w:color="auto"/>
                            <w:left w:val="none" w:sz="0" w:space="0" w:color="auto"/>
                            <w:bottom w:val="none" w:sz="0" w:space="0" w:color="auto"/>
                            <w:right w:val="none" w:sz="0" w:space="0" w:color="auto"/>
                          </w:divBdr>
                          <w:divsChild>
                            <w:div w:id="1561592673">
                              <w:marLeft w:val="0"/>
                              <w:marRight w:val="0"/>
                              <w:marTop w:val="0"/>
                              <w:marBottom w:val="0"/>
                              <w:divBdr>
                                <w:top w:val="none" w:sz="0" w:space="0" w:color="auto"/>
                                <w:left w:val="none" w:sz="0" w:space="0" w:color="auto"/>
                                <w:bottom w:val="none" w:sz="0" w:space="0" w:color="auto"/>
                                <w:right w:val="none" w:sz="0" w:space="0" w:color="auto"/>
                              </w:divBdr>
                              <w:divsChild>
                                <w:div w:id="1498688718">
                                  <w:marLeft w:val="0"/>
                                  <w:marRight w:val="0"/>
                                  <w:marTop w:val="0"/>
                                  <w:marBottom w:val="0"/>
                                  <w:divBdr>
                                    <w:top w:val="none" w:sz="0" w:space="0" w:color="auto"/>
                                    <w:left w:val="none" w:sz="0" w:space="0" w:color="auto"/>
                                    <w:bottom w:val="none" w:sz="0" w:space="0" w:color="auto"/>
                                    <w:right w:val="none" w:sz="0" w:space="0" w:color="auto"/>
                                  </w:divBdr>
                                  <w:divsChild>
                                    <w:div w:id="192545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88076">
      <w:bodyDiv w:val="1"/>
      <w:marLeft w:val="0"/>
      <w:marRight w:val="0"/>
      <w:marTop w:val="0"/>
      <w:marBottom w:val="0"/>
      <w:divBdr>
        <w:top w:val="none" w:sz="0" w:space="0" w:color="auto"/>
        <w:left w:val="none" w:sz="0" w:space="0" w:color="auto"/>
        <w:bottom w:val="none" w:sz="0" w:space="0" w:color="auto"/>
        <w:right w:val="none" w:sz="0" w:space="0" w:color="auto"/>
      </w:divBdr>
      <w:divsChild>
        <w:div w:id="25060484">
          <w:marLeft w:val="0"/>
          <w:marRight w:val="0"/>
          <w:marTop w:val="0"/>
          <w:marBottom w:val="150"/>
          <w:divBdr>
            <w:top w:val="none" w:sz="0" w:space="0" w:color="auto"/>
            <w:left w:val="none" w:sz="0" w:space="0" w:color="auto"/>
            <w:bottom w:val="none" w:sz="0" w:space="0" w:color="auto"/>
            <w:right w:val="none" w:sz="0" w:space="0" w:color="auto"/>
          </w:divBdr>
          <w:divsChild>
            <w:div w:id="1808626486">
              <w:marLeft w:val="0"/>
              <w:marRight w:val="0"/>
              <w:marTop w:val="0"/>
              <w:marBottom w:val="0"/>
              <w:divBdr>
                <w:top w:val="none" w:sz="0" w:space="0" w:color="auto"/>
                <w:left w:val="none" w:sz="0" w:space="0" w:color="auto"/>
                <w:bottom w:val="none" w:sz="0" w:space="0" w:color="auto"/>
                <w:right w:val="none" w:sz="0" w:space="0" w:color="auto"/>
              </w:divBdr>
            </w:div>
          </w:divsChild>
        </w:div>
        <w:div w:id="582418662">
          <w:marLeft w:val="0"/>
          <w:marRight w:val="0"/>
          <w:marTop w:val="0"/>
          <w:marBottom w:val="0"/>
          <w:divBdr>
            <w:top w:val="none" w:sz="0" w:space="0" w:color="auto"/>
            <w:left w:val="none" w:sz="0" w:space="0" w:color="auto"/>
            <w:bottom w:val="none" w:sz="0" w:space="0" w:color="auto"/>
            <w:right w:val="none" w:sz="0" w:space="0" w:color="auto"/>
          </w:divBdr>
          <w:divsChild>
            <w:div w:id="1015768042">
              <w:marLeft w:val="0"/>
              <w:marRight w:val="0"/>
              <w:marTop w:val="0"/>
              <w:marBottom w:val="0"/>
              <w:divBdr>
                <w:top w:val="none" w:sz="0" w:space="0" w:color="auto"/>
                <w:left w:val="none" w:sz="0" w:space="0" w:color="auto"/>
                <w:bottom w:val="none" w:sz="0" w:space="0" w:color="auto"/>
                <w:right w:val="none" w:sz="0" w:space="0" w:color="auto"/>
              </w:divBdr>
            </w:div>
          </w:divsChild>
        </w:div>
        <w:div w:id="899291960">
          <w:marLeft w:val="0"/>
          <w:marRight w:val="0"/>
          <w:marTop w:val="0"/>
          <w:marBottom w:val="150"/>
          <w:divBdr>
            <w:top w:val="none" w:sz="0" w:space="0" w:color="auto"/>
            <w:left w:val="none" w:sz="0" w:space="0" w:color="auto"/>
            <w:bottom w:val="none" w:sz="0" w:space="0" w:color="auto"/>
            <w:right w:val="none" w:sz="0" w:space="0" w:color="auto"/>
          </w:divBdr>
        </w:div>
      </w:divsChild>
    </w:div>
    <w:div w:id="208802769">
      <w:bodyDiv w:val="1"/>
      <w:marLeft w:val="0"/>
      <w:marRight w:val="0"/>
      <w:marTop w:val="0"/>
      <w:marBottom w:val="0"/>
      <w:divBdr>
        <w:top w:val="none" w:sz="0" w:space="0" w:color="auto"/>
        <w:left w:val="none" w:sz="0" w:space="0" w:color="auto"/>
        <w:bottom w:val="none" w:sz="0" w:space="0" w:color="auto"/>
        <w:right w:val="none" w:sz="0" w:space="0" w:color="auto"/>
      </w:divBdr>
      <w:divsChild>
        <w:div w:id="990720437">
          <w:marLeft w:val="0"/>
          <w:marRight w:val="0"/>
          <w:marTop w:val="0"/>
          <w:marBottom w:val="0"/>
          <w:divBdr>
            <w:top w:val="none" w:sz="0" w:space="0" w:color="auto"/>
            <w:left w:val="none" w:sz="0" w:space="0" w:color="auto"/>
            <w:bottom w:val="none" w:sz="0" w:space="0" w:color="auto"/>
            <w:right w:val="none" w:sz="0" w:space="0" w:color="auto"/>
          </w:divBdr>
          <w:divsChild>
            <w:div w:id="1809087595">
              <w:marLeft w:val="0"/>
              <w:marRight w:val="0"/>
              <w:marTop w:val="0"/>
              <w:marBottom w:val="0"/>
              <w:divBdr>
                <w:top w:val="none" w:sz="0" w:space="0" w:color="auto"/>
                <w:left w:val="none" w:sz="0" w:space="0" w:color="auto"/>
                <w:bottom w:val="none" w:sz="0" w:space="0" w:color="auto"/>
                <w:right w:val="none" w:sz="0" w:space="0" w:color="auto"/>
              </w:divBdr>
              <w:divsChild>
                <w:div w:id="969553449">
                  <w:marLeft w:val="0"/>
                  <w:marRight w:val="0"/>
                  <w:marTop w:val="0"/>
                  <w:marBottom w:val="0"/>
                  <w:divBdr>
                    <w:top w:val="none" w:sz="0" w:space="0" w:color="auto"/>
                    <w:left w:val="none" w:sz="0" w:space="0" w:color="auto"/>
                    <w:bottom w:val="none" w:sz="0" w:space="0" w:color="auto"/>
                    <w:right w:val="none" w:sz="0" w:space="0" w:color="auto"/>
                  </w:divBdr>
                  <w:divsChild>
                    <w:div w:id="87428839">
                      <w:marLeft w:val="0"/>
                      <w:marRight w:val="0"/>
                      <w:marTop w:val="0"/>
                      <w:marBottom w:val="0"/>
                      <w:divBdr>
                        <w:top w:val="none" w:sz="0" w:space="0" w:color="auto"/>
                        <w:left w:val="none" w:sz="0" w:space="0" w:color="auto"/>
                        <w:bottom w:val="none" w:sz="0" w:space="0" w:color="auto"/>
                        <w:right w:val="none" w:sz="0" w:space="0" w:color="auto"/>
                      </w:divBdr>
                      <w:divsChild>
                        <w:div w:id="890189878">
                          <w:marLeft w:val="0"/>
                          <w:marRight w:val="0"/>
                          <w:marTop w:val="0"/>
                          <w:marBottom w:val="0"/>
                          <w:divBdr>
                            <w:top w:val="none" w:sz="0" w:space="0" w:color="auto"/>
                            <w:left w:val="none" w:sz="0" w:space="0" w:color="auto"/>
                            <w:bottom w:val="none" w:sz="0" w:space="0" w:color="auto"/>
                            <w:right w:val="none" w:sz="0" w:space="0" w:color="auto"/>
                          </w:divBdr>
                          <w:divsChild>
                            <w:div w:id="380908322">
                              <w:marLeft w:val="0"/>
                              <w:marRight w:val="0"/>
                              <w:marTop w:val="0"/>
                              <w:marBottom w:val="0"/>
                              <w:divBdr>
                                <w:top w:val="none" w:sz="0" w:space="0" w:color="auto"/>
                                <w:left w:val="none" w:sz="0" w:space="0" w:color="auto"/>
                                <w:bottom w:val="none" w:sz="0" w:space="0" w:color="auto"/>
                                <w:right w:val="none" w:sz="0" w:space="0" w:color="auto"/>
                              </w:divBdr>
                              <w:divsChild>
                                <w:div w:id="135531651">
                                  <w:marLeft w:val="0"/>
                                  <w:marRight w:val="0"/>
                                  <w:marTop w:val="0"/>
                                  <w:marBottom w:val="0"/>
                                  <w:divBdr>
                                    <w:top w:val="none" w:sz="0" w:space="0" w:color="auto"/>
                                    <w:left w:val="none" w:sz="0" w:space="0" w:color="auto"/>
                                    <w:bottom w:val="none" w:sz="0" w:space="0" w:color="auto"/>
                                    <w:right w:val="none" w:sz="0" w:space="0" w:color="auto"/>
                                  </w:divBdr>
                                  <w:divsChild>
                                    <w:div w:id="1205368694">
                                      <w:marLeft w:val="0"/>
                                      <w:marRight w:val="0"/>
                                      <w:marTop w:val="0"/>
                                      <w:marBottom w:val="0"/>
                                      <w:divBdr>
                                        <w:top w:val="none" w:sz="0" w:space="0" w:color="auto"/>
                                        <w:left w:val="none" w:sz="0" w:space="0" w:color="auto"/>
                                        <w:bottom w:val="none" w:sz="0" w:space="0" w:color="auto"/>
                                        <w:right w:val="none" w:sz="0" w:space="0" w:color="auto"/>
                                      </w:divBdr>
                                      <w:divsChild>
                                        <w:div w:id="78099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09567">
      <w:bodyDiv w:val="1"/>
      <w:marLeft w:val="0"/>
      <w:marRight w:val="0"/>
      <w:marTop w:val="0"/>
      <w:marBottom w:val="0"/>
      <w:divBdr>
        <w:top w:val="none" w:sz="0" w:space="0" w:color="auto"/>
        <w:left w:val="none" w:sz="0" w:space="0" w:color="auto"/>
        <w:bottom w:val="none" w:sz="0" w:space="0" w:color="auto"/>
        <w:right w:val="none" w:sz="0" w:space="0" w:color="auto"/>
      </w:divBdr>
      <w:divsChild>
        <w:div w:id="1861507218">
          <w:marLeft w:val="0"/>
          <w:marRight w:val="0"/>
          <w:marTop w:val="0"/>
          <w:marBottom w:val="0"/>
          <w:divBdr>
            <w:top w:val="none" w:sz="0" w:space="0" w:color="auto"/>
            <w:left w:val="none" w:sz="0" w:space="0" w:color="auto"/>
            <w:bottom w:val="none" w:sz="0" w:space="0" w:color="auto"/>
            <w:right w:val="none" w:sz="0" w:space="0" w:color="auto"/>
          </w:divBdr>
          <w:divsChild>
            <w:div w:id="1898200862">
              <w:marLeft w:val="0"/>
              <w:marRight w:val="0"/>
              <w:marTop w:val="0"/>
              <w:marBottom w:val="450"/>
              <w:divBdr>
                <w:top w:val="none" w:sz="0" w:space="0" w:color="auto"/>
                <w:left w:val="none" w:sz="0" w:space="0" w:color="auto"/>
                <w:bottom w:val="none" w:sz="0" w:space="0" w:color="auto"/>
                <w:right w:val="none" w:sz="0" w:space="0" w:color="auto"/>
              </w:divBdr>
              <w:divsChild>
                <w:div w:id="632830679">
                  <w:marLeft w:val="0"/>
                  <w:marRight w:val="0"/>
                  <w:marTop w:val="0"/>
                  <w:marBottom w:val="0"/>
                  <w:divBdr>
                    <w:top w:val="none" w:sz="0" w:space="0" w:color="auto"/>
                    <w:left w:val="none" w:sz="0" w:space="0" w:color="auto"/>
                    <w:bottom w:val="none" w:sz="0" w:space="0" w:color="auto"/>
                    <w:right w:val="none" w:sz="0" w:space="0" w:color="auto"/>
                  </w:divBdr>
                  <w:divsChild>
                    <w:div w:id="1425882315">
                      <w:marLeft w:val="0"/>
                      <w:marRight w:val="0"/>
                      <w:marTop w:val="0"/>
                      <w:marBottom w:val="150"/>
                      <w:divBdr>
                        <w:top w:val="none" w:sz="0" w:space="0" w:color="auto"/>
                        <w:left w:val="none" w:sz="0" w:space="0" w:color="auto"/>
                        <w:bottom w:val="none" w:sz="0" w:space="0" w:color="auto"/>
                        <w:right w:val="none" w:sz="0" w:space="0" w:color="auto"/>
                      </w:divBdr>
                    </w:div>
                    <w:div w:id="1638534479">
                      <w:marLeft w:val="0"/>
                      <w:marRight w:val="0"/>
                      <w:marTop w:val="0"/>
                      <w:marBottom w:val="0"/>
                      <w:divBdr>
                        <w:top w:val="none" w:sz="0" w:space="0" w:color="auto"/>
                        <w:left w:val="none" w:sz="0" w:space="0" w:color="auto"/>
                        <w:bottom w:val="none" w:sz="0" w:space="0" w:color="auto"/>
                        <w:right w:val="none" w:sz="0" w:space="0" w:color="auto"/>
                      </w:divBdr>
                      <w:divsChild>
                        <w:div w:id="14367048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05913581">
                  <w:marLeft w:val="0"/>
                  <w:marRight w:val="0"/>
                  <w:marTop w:val="0"/>
                  <w:marBottom w:val="150"/>
                  <w:divBdr>
                    <w:top w:val="none" w:sz="0" w:space="0" w:color="auto"/>
                    <w:left w:val="none" w:sz="0" w:space="0" w:color="auto"/>
                    <w:bottom w:val="none" w:sz="0" w:space="0" w:color="auto"/>
                    <w:right w:val="none" w:sz="0" w:space="0" w:color="auto"/>
                  </w:divBdr>
                  <w:divsChild>
                    <w:div w:id="537546318">
                      <w:marLeft w:val="0"/>
                      <w:marRight w:val="0"/>
                      <w:marTop w:val="0"/>
                      <w:marBottom w:val="0"/>
                      <w:divBdr>
                        <w:top w:val="none" w:sz="0" w:space="0" w:color="auto"/>
                        <w:left w:val="none" w:sz="0" w:space="0" w:color="auto"/>
                        <w:bottom w:val="none" w:sz="0" w:space="0" w:color="auto"/>
                        <w:right w:val="none" w:sz="0" w:space="0" w:color="auto"/>
                      </w:divBdr>
                      <w:divsChild>
                        <w:div w:id="204243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505721">
          <w:marLeft w:val="0"/>
          <w:marRight w:val="0"/>
          <w:marTop w:val="0"/>
          <w:marBottom w:val="225"/>
          <w:divBdr>
            <w:top w:val="none" w:sz="0" w:space="0" w:color="auto"/>
            <w:left w:val="none" w:sz="0" w:space="0" w:color="auto"/>
            <w:bottom w:val="none" w:sz="0" w:space="0" w:color="auto"/>
            <w:right w:val="none" w:sz="0" w:space="0" w:color="auto"/>
          </w:divBdr>
          <w:divsChild>
            <w:div w:id="1218975942">
              <w:marLeft w:val="0"/>
              <w:marRight w:val="0"/>
              <w:marTop w:val="0"/>
              <w:marBottom w:val="0"/>
              <w:divBdr>
                <w:top w:val="none" w:sz="0" w:space="0" w:color="auto"/>
                <w:left w:val="none" w:sz="0" w:space="0" w:color="auto"/>
                <w:bottom w:val="single" w:sz="6" w:space="0" w:color="E4E4E4"/>
                <w:right w:val="none" w:sz="0" w:space="0" w:color="auto"/>
              </w:divBdr>
            </w:div>
          </w:divsChild>
        </w:div>
      </w:divsChild>
    </w:div>
    <w:div w:id="208997070">
      <w:bodyDiv w:val="1"/>
      <w:marLeft w:val="0"/>
      <w:marRight w:val="0"/>
      <w:marTop w:val="0"/>
      <w:marBottom w:val="0"/>
      <w:divBdr>
        <w:top w:val="none" w:sz="0" w:space="0" w:color="auto"/>
        <w:left w:val="none" w:sz="0" w:space="0" w:color="auto"/>
        <w:bottom w:val="none" w:sz="0" w:space="0" w:color="auto"/>
        <w:right w:val="none" w:sz="0" w:space="0" w:color="auto"/>
      </w:divBdr>
    </w:div>
    <w:div w:id="209541441">
      <w:bodyDiv w:val="1"/>
      <w:marLeft w:val="0"/>
      <w:marRight w:val="0"/>
      <w:marTop w:val="0"/>
      <w:marBottom w:val="0"/>
      <w:divBdr>
        <w:top w:val="none" w:sz="0" w:space="0" w:color="auto"/>
        <w:left w:val="none" w:sz="0" w:space="0" w:color="auto"/>
        <w:bottom w:val="none" w:sz="0" w:space="0" w:color="auto"/>
        <w:right w:val="none" w:sz="0" w:space="0" w:color="auto"/>
      </w:divBdr>
      <w:divsChild>
        <w:div w:id="1381128238">
          <w:marLeft w:val="0"/>
          <w:marRight w:val="0"/>
          <w:marTop w:val="0"/>
          <w:marBottom w:val="150"/>
          <w:divBdr>
            <w:top w:val="none" w:sz="0" w:space="0" w:color="auto"/>
            <w:left w:val="none" w:sz="0" w:space="0" w:color="auto"/>
            <w:bottom w:val="none" w:sz="0" w:space="0" w:color="auto"/>
            <w:right w:val="none" w:sz="0" w:space="0" w:color="auto"/>
          </w:divBdr>
          <w:divsChild>
            <w:div w:id="385876797">
              <w:marLeft w:val="0"/>
              <w:marRight w:val="0"/>
              <w:marTop w:val="0"/>
              <w:marBottom w:val="0"/>
              <w:divBdr>
                <w:top w:val="none" w:sz="0" w:space="0" w:color="auto"/>
                <w:left w:val="none" w:sz="0" w:space="0" w:color="auto"/>
                <w:bottom w:val="none" w:sz="0" w:space="0" w:color="auto"/>
                <w:right w:val="none" w:sz="0" w:space="0" w:color="auto"/>
              </w:divBdr>
              <w:divsChild>
                <w:div w:id="320236776">
                  <w:marLeft w:val="0"/>
                  <w:marRight w:val="0"/>
                  <w:marTop w:val="0"/>
                  <w:marBottom w:val="0"/>
                  <w:divBdr>
                    <w:top w:val="none" w:sz="0" w:space="0" w:color="auto"/>
                    <w:left w:val="none" w:sz="0" w:space="0" w:color="auto"/>
                    <w:bottom w:val="none" w:sz="0" w:space="0" w:color="auto"/>
                    <w:right w:val="none" w:sz="0" w:space="0" w:color="auto"/>
                  </w:divBdr>
                  <w:divsChild>
                    <w:div w:id="2058041035">
                      <w:marLeft w:val="0"/>
                      <w:marRight w:val="150"/>
                      <w:marTop w:val="0"/>
                      <w:marBottom w:val="0"/>
                      <w:divBdr>
                        <w:top w:val="none" w:sz="0" w:space="0" w:color="auto"/>
                        <w:left w:val="none" w:sz="0" w:space="0" w:color="auto"/>
                        <w:bottom w:val="none" w:sz="0" w:space="0" w:color="auto"/>
                        <w:right w:val="none" w:sz="0" w:space="0" w:color="auto"/>
                      </w:divBdr>
                      <w:divsChild>
                        <w:div w:id="17800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588767">
          <w:marLeft w:val="0"/>
          <w:marRight w:val="0"/>
          <w:marTop w:val="0"/>
          <w:marBottom w:val="150"/>
          <w:divBdr>
            <w:top w:val="none" w:sz="0" w:space="0" w:color="auto"/>
            <w:left w:val="none" w:sz="0" w:space="0" w:color="auto"/>
            <w:bottom w:val="none" w:sz="0" w:space="0" w:color="auto"/>
            <w:right w:val="none" w:sz="0" w:space="0" w:color="auto"/>
          </w:divBdr>
        </w:div>
        <w:div w:id="1749962120">
          <w:marLeft w:val="0"/>
          <w:marRight w:val="0"/>
          <w:marTop w:val="0"/>
          <w:marBottom w:val="0"/>
          <w:divBdr>
            <w:top w:val="none" w:sz="0" w:space="0" w:color="auto"/>
            <w:left w:val="none" w:sz="0" w:space="0" w:color="auto"/>
            <w:bottom w:val="none" w:sz="0" w:space="0" w:color="auto"/>
            <w:right w:val="none" w:sz="0" w:space="0" w:color="auto"/>
          </w:divBdr>
          <w:divsChild>
            <w:div w:id="26168944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9999028">
      <w:bodyDiv w:val="1"/>
      <w:marLeft w:val="0"/>
      <w:marRight w:val="0"/>
      <w:marTop w:val="0"/>
      <w:marBottom w:val="0"/>
      <w:divBdr>
        <w:top w:val="none" w:sz="0" w:space="0" w:color="auto"/>
        <w:left w:val="none" w:sz="0" w:space="0" w:color="auto"/>
        <w:bottom w:val="none" w:sz="0" w:space="0" w:color="auto"/>
        <w:right w:val="none" w:sz="0" w:space="0" w:color="auto"/>
      </w:divBdr>
      <w:divsChild>
        <w:div w:id="35812110">
          <w:marLeft w:val="0"/>
          <w:marRight w:val="0"/>
          <w:marTop w:val="0"/>
          <w:marBottom w:val="0"/>
          <w:divBdr>
            <w:top w:val="none" w:sz="0" w:space="0" w:color="auto"/>
            <w:left w:val="none" w:sz="0" w:space="0" w:color="auto"/>
            <w:bottom w:val="none" w:sz="0" w:space="0" w:color="auto"/>
            <w:right w:val="none" w:sz="0" w:space="0" w:color="auto"/>
          </w:divBdr>
          <w:divsChild>
            <w:div w:id="1205874981">
              <w:marLeft w:val="0"/>
              <w:marRight w:val="0"/>
              <w:marTop w:val="0"/>
              <w:marBottom w:val="0"/>
              <w:divBdr>
                <w:top w:val="none" w:sz="0" w:space="0" w:color="auto"/>
                <w:left w:val="none" w:sz="0" w:space="0" w:color="auto"/>
                <w:bottom w:val="none" w:sz="0" w:space="0" w:color="auto"/>
                <w:right w:val="none" w:sz="0" w:space="0" w:color="auto"/>
              </w:divBdr>
              <w:divsChild>
                <w:div w:id="1384868990">
                  <w:marLeft w:val="0"/>
                  <w:marRight w:val="0"/>
                  <w:marTop w:val="0"/>
                  <w:marBottom w:val="150"/>
                  <w:divBdr>
                    <w:top w:val="none" w:sz="0" w:space="0" w:color="auto"/>
                    <w:left w:val="none" w:sz="0" w:space="0" w:color="auto"/>
                    <w:bottom w:val="none" w:sz="0" w:space="0" w:color="auto"/>
                    <w:right w:val="none" w:sz="0" w:space="0" w:color="auto"/>
                  </w:divBdr>
                  <w:divsChild>
                    <w:div w:id="767896094">
                      <w:marLeft w:val="0"/>
                      <w:marRight w:val="0"/>
                      <w:marTop w:val="0"/>
                      <w:marBottom w:val="0"/>
                      <w:divBdr>
                        <w:top w:val="none" w:sz="0" w:space="0" w:color="auto"/>
                        <w:left w:val="none" w:sz="0" w:space="0" w:color="auto"/>
                        <w:bottom w:val="none" w:sz="0" w:space="0" w:color="auto"/>
                        <w:right w:val="none" w:sz="0" w:space="0" w:color="auto"/>
                      </w:divBdr>
                      <w:divsChild>
                        <w:div w:id="362095600">
                          <w:marLeft w:val="0"/>
                          <w:marRight w:val="0"/>
                          <w:marTop w:val="0"/>
                          <w:marBottom w:val="0"/>
                          <w:divBdr>
                            <w:top w:val="none" w:sz="0" w:space="0" w:color="auto"/>
                            <w:left w:val="none" w:sz="0" w:space="0" w:color="auto"/>
                            <w:bottom w:val="none" w:sz="0" w:space="0" w:color="auto"/>
                            <w:right w:val="none" w:sz="0" w:space="0" w:color="auto"/>
                          </w:divBdr>
                          <w:divsChild>
                            <w:div w:id="819494327">
                              <w:marLeft w:val="0"/>
                              <w:marRight w:val="0"/>
                              <w:marTop w:val="0"/>
                              <w:marBottom w:val="0"/>
                              <w:divBdr>
                                <w:top w:val="none" w:sz="0" w:space="0" w:color="auto"/>
                                <w:left w:val="none" w:sz="0" w:space="0" w:color="auto"/>
                                <w:bottom w:val="none" w:sz="0" w:space="0" w:color="auto"/>
                                <w:right w:val="none" w:sz="0" w:space="0" w:color="auto"/>
                              </w:divBdr>
                              <w:divsChild>
                                <w:div w:id="762839698">
                                  <w:marLeft w:val="0"/>
                                  <w:marRight w:val="0"/>
                                  <w:marTop w:val="0"/>
                                  <w:marBottom w:val="0"/>
                                  <w:divBdr>
                                    <w:top w:val="none" w:sz="0" w:space="0" w:color="auto"/>
                                    <w:left w:val="none" w:sz="0" w:space="0" w:color="auto"/>
                                    <w:bottom w:val="none" w:sz="0" w:space="0" w:color="auto"/>
                                    <w:right w:val="none" w:sz="0" w:space="0" w:color="auto"/>
                                  </w:divBdr>
                                  <w:divsChild>
                                    <w:div w:id="1825245603">
                                      <w:marLeft w:val="0"/>
                                      <w:marRight w:val="0"/>
                                      <w:marTop w:val="0"/>
                                      <w:marBottom w:val="0"/>
                                      <w:divBdr>
                                        <w:top w:val="none" w:sz="0" w:space="0" w:color="auto"/>
                                        <w:left w:val="none" w:sz="0" w:space="0" w:color="auto"/>
                                        <w:bottom w:val="none" w:sz="0" w:space="0" w:color="auto"/>
                                        <w:right w:val="none" w:sz="0" w:space="0" w:color="auto"/>
                                      </w:divBdr>
                                      <w:divsChild>
                                        <w:div w:id="1995836983">
                                          <w:marLeft w:val="0"/>
                                          <w:marRight w:val="0"/>
                                          <w:marTop w:val="0"/>
                                          <w:marBottom w:val="0"/>
                                          <w:divBdr>
                                            <w:top w:val="none" w:sz="0" w:space="0" w:color="auto"/>
                                            <w:left w:val="none" w:sz="0" w:space="0" w:color="auto"/>
                                            <w:bottom w:val="none" w:sz="0" w:space="0" w:color="auto"/>
                                            <w:right w:val="none" w:sz="0" w:space="0" w:color="auto"/>
                                          </w:divBdr>
                                          <w:divsChild>
                                            <w:div w:id="978998127">
                                              <w:marLeft w:val="0"/>
                                              <w:marRight w:val="0"/>
                                              <w:marTop w:val="0"/>
                                              <w:marBottom w:val="0"/>
                                              <w:divBdr>
                                                <w:top w:val="none" w:sz="0" w:space="0" w:color="auto"/>
                                                <w:left w:val="none" w:sz="0" w:space="0" w:color="auto"/>
                                                <w:bottom w:val="none" w:sz="0" w:space="0" w:color="auto"/>
                                                <w:right w:val="none" w:sz="0" w:space="0" w:color="auto"/>
                                              </w:divBdr>
                                              <w:divsChild>
                                                <w:div w:id="168331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579850">
      <w:bodyDiv w:val="1"/>
      <w:marLeft w:val="0"/>
      <w:marRight w:val="0"/>
      <w:marTop w:val="0"/>
      <w:marBottom w:val="0"/>
      <w:divBdr>
        <w:top w:val="none" w:sz="0" w:space="0" w:color="auto"/>
        <w:left w:val="none" w:sz="0" w:space="0" w:color="auto"/>
        <w:bottom w:val="none" w:sz="0" w:space="0" w:color="auto"/>
        <w:right w:val="none" w:sz="0" w:space="0" w:color="auto"/>
      </w:divBdr>
      <w:divsChild>
        <w:div w:id="930045071">
          <w:marLeft w:val="0"/>
          <w:marRight w:val="0"/>
          <w:marTop w:val="0"/>
          <w:marBottom w:val="0"/>
          <w:divBdr>
            <w:top w:val="none" w:sz="0" w:space="0" w:color="auto"/>
            <w:left w:val="none" w:sz="0" w:space="0" w:color="auto"/>
            <w:bottom w:val="dotted" w:sz="6" w:space="4" w:color="DDDDDD"/>
            <w:right w:val="none" w:sz="0" w:space="0" w:color="auto"/>
          </w:divBdr>
          <w:divsChild>
            <w:div w:id="93574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23904">
      <w:bodyDiv w:val="1"/>
      <w:marLeft w:val="0"/>
      <w:marRight w:val="0"/>
      <w:marTop w:val="0"/>
      <w:marBottom w:val="0"/>
      <w:divBdr>
        <w:top w:val="none" w:sz="0" w:space="0" w:color="auto"/>
        <w:left w:val="none" w:sz="0" w:space="0" w:color="auto"/>
        <w:bottom w:val="none" w:sz="0" w:space="0" w:color="auto"/>
        <w:right w:val="none" w:sz="0" w:space="0" w:color="auto"/>
      </w:divBdr>
      <w:divsChild>
        <w:div w:id="278338032">
          <w:marLeft w:val="0"/>
          <w:marRight w:val="0"/>
          <w:marTop w:val="0"/>
          <w:marBottom w:val="0"/>
          <w:divBdr>
            <w:top w:val="none" w:sz="0" w:space="0" w:color="auto"/>
            <w:left w:val="none" w:sz="0" w:space="0" w:color="auto"/>
            <w:bottom w:val="none" w:sz="0" w:space="0" w:color="auto"/>
            <w:right w:val="none" w:sz="0" w:space="0" w:color="auto"/>
          </w:divBdr>
          <w:divsChild>
            <w:div w:id="1154377045">
              <w:marLeft w:val="0"/>
              <w:marRight w:val="0"/>
              <w:marTop w:val="0"/>
              <w:marBottom w:val="0"/>
              <w:divBdr>
                <w:top w:val="none" w:sz="0" w:space="0" w:color="auto"/>
                <w:left w:val="none" w:sz="0" w:space="0" w:color="auto"/>
                <w:bottom w:val="none" w:sz="0" w:space="0" w:color="auto"/>
                <w:right w:val="none" w:sz="0" w:space="0" w:color="auto"/>
              </w:divBdr>
              <w:divsChild>
                <w:div w:id="1788695283">
                  <w:marLeft w:val="0"/>
                  <w:marRight w:val="0"/>
                  <w:marTop w:val="0"/>
                  <w:marBottom w:val="0"/>
                  <w:divBdr>
                    <w:top w:val="none" w:sz="0" w:space="0" w:color="auto"/>
                    <w:left w:val="none" w:sz="0" w:space="0" w:color="auto"/>
                    <w:bottom w:val="none" w:sz="0" w:space="0" w:color="auto"/>
                    <w:right w:val="none" w:sz="0" w:space="0" w:color="auto"/>
                  </w:divBdr>
                  <w:divsChild>
                    <w:div w:id="227543524">
                      <w:marLeft w:val="0"/>
                      <w:marRight w:val="0"/>
                      <w:marTop w:val="0"/>
                      <w:marBottom w:val="0"/>
                      <w:divBdr>
                        <w:top w:val="none" w:sz="0" w:space="0" w:color="auto"/>
                        <w:left w:val="none" w:sz="0" w:space="0" w:color="auto"/>
                        <w:bottom w:val="none" w:sz="0" w:space="0" w:color="auto"/>
                        <w:right w:val="none" w:sz="0" w:space="0" w:color="auto"/>
                      </w:divBdr>
                      <w:divsChild>
                        <w:div w:id="1381176292">
                          <w:marLeft w:val="0"/>
                          <w:marRight w:val="0"/>
                          <w:marTop w:val="0"/>
                          <w:marBottom w:val="0"/>
                          <w:divBdr>
                            <w:top w:val="none" w:sz="0" w:space="0" w:color="auto"/>
                            <w:left w:val="none" w:sz="0" w:space="0" w:color="auto"/>
                            <w:bottom w:val="none" w:sz="0" w:space="0" w:color="auto"/>
                            <w:right w:val="none" w:sz="0" w:space="0" w:color="auto"/>
                          </w:divBdr>
                          <w:divsChild>
                            <w:div w:id="1409694476">
                              <w:marLeft w:val="0"/>
                              <w:marRight w:val="0"/>
                              <w:marTop w:val="0"/>
                              <w:marBottom w:val="0"/>
                              <w:divBdr>
                                <w:top w:val="none" w:sz="0" w:space="0" w:color="auto"/>
                                <w:left w:val="none" w:sz="0" w:space="0" w:color="auto"/>
                                <w:bottom w:val="none" w:sz="0" w:space="0" w:color="auto"/>
                                <w:right w:val="none" w:sz="0" w:space="0" w:color="auto"/>
                              </w:divBdr>
                              <w:divsChild>
                                <w:div w:id="726339651">
                                  <w:marLeft w:val="0"/>
                                  <w:marRight w:val="0"/>
                                  <w:marTop w:val="0"/>
                                  <w:marBottom w:val="0"/>
                                  <w:divBdr>
                                    <w:top w:val="none" w:sz="0" w:space="0" w:color="auto"/>
                                    <w:left w:val="none" w:sz="0" w:space="0" w:color="auto"/>
                                    <w:bottom w:val="none" w:sz="0" w:space="0" w:color="auto"/>
                                    <w:right w:val="none" w:sz="0" w:space="0" w:color="auto"/>
                                  </w:divBdr>
                                  <w:divsChild>
                                    <w:div w:id="37743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119176">
      <w:bodyDiv w:val="1"/>
      <w:marLeft w:val="0"/>
      <w:marRight w:val="0"/>
      <w:marTop w:val="0"/>
      <w:marBottom w:val="0"/>
      <w:divBdr>
        <w:top w:val="none" w:sz="0" w:space="0" w:color="auto"/>
        <w:left w:val="none" w:sz="0" w:space="0" w:color="auto"/>
        <w:bottom w:val="none" w:sz="0" w:space="0" w:color="auto"/>
        <w:right w:val="none" w:sz="0" w:space="0" w:color="auto"/>
      </w:divBdr>
    </w:div>
    <w:div w:id="211158964">
      <w:bodyDiv w:val="1"/>
      <w:marLeft w:val="0"/>
      <w:marRight w:val="0"/>
      <w:marTop w:val="0"/>
      <w:marBottom w:val="0"/>
      <w:divBdr>
        <w:top w:val="none" w:sz="0" w:space="0" w:color="auto"/>
        <w:left w:val="none" w:sz="0" w:space="0" w:color="auto"/>
        <w:bottom w:val="none" w:sz="0" w:space="0" w:color="auto"/>
        <w:right w:val="none" w:sz="0" w:space="0" w:color="auto"/>
      </w:divBdr>
    </w:div>
    <w:div w:id="211507145">
      <w:bodyDiv w:val="1"/>
      <w:marLeft w:val="0"/>
      <w:marRight w:val="0"/>
      <w:marTop w:val="0"/>
      <w:marBottom w:val="0"/>
      <w:divBdr>
        <w:top w:val="none" w:sz="0" w:space="0" w:color="auto"/>
        <w:left w:val="none" w:sz="0" w:space="0" w:color="auto"/>
        <w:bottom w:val="none" w:sz="0" w:space="0" w:color="auto"/>
        <w:right w:val="none" w:sz="0" w:space="0" w:color="auto"/>
      </w:divBdr>
      <w:divsChild>
        <w:div w:id="36703994">
          <w:marLeft w:val="0"/>
          <w:marRight w:val="0"/>
          <w:marTop w:val="0"/>
          <w:marBottom w:val="0"/>
          <w:divBdr>
            <w:top w:val="none" w:sz="0" w:space="0" w:color="auto"/>
            <w:left w:val="none" w:sz="0" w:space="0" w:color="auto"/>
            <w:bottom w:val="dotted" w:sz="6" w:space="4" w:color="DDDDDD"/>
            <w:right w:val="none" w:sz="0" w:space="0" w:color="auto"/>
          </w:divBdr>
          <w:divsChild>
            <w:div w:id="100266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20531">
      <w:bodyDiv w:val="1"/>
      <w:marLeft w:val="0"/>
      <w:marRight w:val="0"/>
      <w:marTop w:val="0"/>
      <w:marBottom w:val="0"/>
      <w:divBdr>
        <w:top w:val="none" w:sz="0" w:space="0" w:color="auto"/>
        <w:left w:val="none" w:sz="0" w:space="0" w:color="auto"/>
        <w:bottom w:val="none" w:sz="0" w:space="0" w:color="auto"/>
        <w:right w:val="none" w:sz="0" w:space="0" w:color="auto"/>
      </w:divBdr>
      <w:divsChild>
        <w:div w:id="1606813703">
          <w:marLeft w:val="0"/>
          <w:marRight w:val="0"/>
          <w:marTop w:val="0"/>
          <w:marBottom w:val="0"/>
          <w:divBdr>
            <w:top w:val="none" w:sz="0" w:space="0" w:color="auto"/>
            <w:left w:val="none" w:sz="0" w:space="0" w:color="auto"/>
            <w:bottom w:val="none" w:sz="0" w:space="0" w:color="auto"/>
            <w:right w:val="none" w:sz="0" w:space="0" w:color="auto"/>
          </w:divBdr>
          <w:divsChild>
            <w:div w:id="939872881">
              <w:marLeft w:val="0"/>
              <w:marRight w:val="0"/>
              <w:marTop w:val="0"/>
              <w:marBottom w:val="0"/>
              <w:divBdr>
                <w:top w:val="none" w:sz="0" w:space="0" w:color="auto"/>
                <w:left w:val="none" w:sz="0" w:space="0" w:color="auto"/>
                <w:bottom w:val="none" w:sz="0" w:space="0" w:color="auto"/>
                <w:right w:val="none" w:sz="0" w:space="0" w:color="auto"/>
              </w:divBdr>
              <w:divsChild>
                <w:div w:id="1782336435">
                  <w:marLeft w:val="0"/>
                  <w:marRight w:val="0"/>
                  <w:marTop w:val="0"/>
                  <w:marBottom w:val="0"/>
                  <w:divBdr>
                    <w:top w:val="none" w:sz="0" w:space="0" w:color="auto"/>
                    <w:left w:val="none" w:sz="0" w:space="0" w:color="auto"/>
                    <w:bottom w:val="none" w:sz="0" w:space="0" w:color="auto"/>
                    <w:right w:val="none" w:sz="0" w:space="0" w:color="auto"/>
                  </w:divBdr>
                  <w:divsChild>
                    <w:div w:id="1817868816">
                      <w:marLeft w:val="0"/>
                      <w:marRight w:val="0"/>
                      <w:marTop w:val="0"/>
                      <w:marBottom w:val="0"/>
                      <w:divBdr>
                        <w:top w:val="none" w:sz="0" w:space="0" w:color="auto"/>
                        <w:left w:val="none" w:sz="0" w:space="0" w:color="auto"/>
                        <w:bottom w:val="none" w:sz="0" w:space="0" w:color="auto"/>
                        <w:right w:val="none" w:sz="0" w:space="0" w:color="auto"/>
                      </w:divBdr>
                      <w:divsChild>
                        <w:div w:id="1429497893">
                          <w:marLeft w:val="0"/>
                          <w:marRight w:val="0"/>
                          <w:marTop w:val="0"/>
                          <w:marBottom w:val="0"/>
                          <w:divBdr>
                            <w:top w:val="none" w:sz="0" w:space="0" w:color="auto"/>
                            <w:left w:val="none" w:sz="0" w:space="0" w:color="auto"/>
                            <w:bottom w:val="none" w:sz="0" w:space="0" w:color="auto"/>
                            <w:right w:val="none" w:sz="0" w:space="0" w:color="auto"/>
                          </w:divBdr>
                          <w:divsChild>
                            <w:div w:id="1160271637">
                              <w:marLeft w:val="0"/>
                              <w:marRight w:val="0"/>
                              <w:marTop w:val="0"/>
                              <w:marBottom w:val="0"/>
                              <w:divBdr>
                                <w:top w:val="none" w:sz="0" w:space="0" w:color="auto"/>
                                <w:left w:val="none" w:sz="0" w:space="0" w:color="auto"/>
                                <w:bottom w:val="none" w:sz="0" w:space="0" w:color="auto"/>
                                <w:right w:val="none" w:sz="0" w:space="0" w:color="auto"/>
                              </w:divBdr>
                              <w:divsChild>
                                <w:div w:id="254755036">
                                  <w:marLeft w:val="0"/>
                                  <w:marRight w:val="0"/>
                                  <w:marTop w:val="0"/>
                                  <w:marBottom w:val="0"/>
                                  <w:divBdr>
                                    <w:top w:val="none" w:sz="0" w:space="0" w:color="auto"/>
                                    <w:left w:val="none" w:sz="0" w:space="0" w:color="auto"/>
                                    <w:bottom w:val="none" w:sz="0" w:space="0" w:color="auto"/>
                                    <w:right w:val="none" w:sz="0" w:space="0" w:color="auto"/>
                                  </w:divBdr>
                                  <w:divsChild>
                                    <w:div w:id="120186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42923">
      <w:bodyDiv w:val="1"/>
      <w:marLeft w:val="0"/>
      <w:marRight w:val="0"/>
      <w:marTop w:val="0"/>
      <w:marBottom w:val="0"/>
      <w:divBdr>
        <w:top w:val="none" w:sz="0" w:space="0" w:color="auto"/>
        <w:left w:val="none" w:sz="0" w:space="0" w:color="auto"/>
        <w:bottom w:val="none" w:sz="0" w:space="0" w:color="auto"/>
        <w:right w:val="none" w:sz="0" w:space="0" w:color="auto"/>
      </w:divBdr>
    </w:div>
    <w:div w:id="212277592">
      <w:bodyDiv w:val="1"/>
      <w:marLeft w:val="0"/>
      <w:marRight w:val="0"/>
      <w:marTop w:val="0"/>
      <w:marBottom w:val="0"/>
      <w:divBdr>
        <w:top w:val="none" w:sz="0" w:space="0" w:color="auto"/>
        <w:left w:val="none" w:sz="0" w:space="0" w:color="auto"/>
        <w:bottom w:val="none" w:sz="0" w:space="0" w:color="auto"/>
        <w:right w:val="none" w:sz="0" w:space="0" w:color="auto"/>
      </w:divBdr>
      <w:divsChild>
        <w:div w:id="549269281">
          <w:marLeft w:val="0"/>
          <w:marRight w:val="0"/>
          <w:marTop w:val="0"/>
          <w:marBottom w:val="0"/>
          <w:divBdr>
            <w:top w:val="none" w:sz="0" w:space="0" w:color="auto"/>
            <w:left w:val="none" w:sz="0" w:space="0" w:color="auto"/>
            <w:bottom w:val="none" w:sz="0" w:space="0" w:color="auto"/>
            <w:right w:val="none" w:sz="0" w:space="0" w:color="auto"/>
          </w:divBdr>
        </w:div>
      </w:divsChild>
    </w:div>
    <w:div w:id="212351584">
      <w:bodyDiv w:val="1"/>
      <w:marLeft w:val="0"/>
      <w:marRight w:val="0"/>
      <w:marTop w:val="0"/>
      <w:marBottom w:val="0"/>
      <w:divBdr>
        <w:top w:val="none" w:sz="0" w:space="0" w:color="auto"/>
        <w:left w:val="none" w:sz="0" w:space="0" w:color="auto"/>
        <w:bottom w:val="none" w:sz="0" w:space="0" w:color="auto"/>
        <w:right w:val="none" w:sz="0" w:space="0" w:color="auto"/>
      </w:divBdr>
      <w:divsChild>
        <w:div w:id="830829358">
          <w:marLeft w:val="0"/>
          <w:marRight w:val="0"/>
          <w:marTop w:val="0"/>
          <w:marBottom w:val="150"/>
          <w:divBdr>
            <w:top w:val="none" w:sz="0" w:space="0" w:color="auto"/>
            <w:left w:val="none" w:sz="0" w:space="0" w:color="auto"/>
            <w:bottom w:val="none" w:sz="0" w:space="0" w:color="auto"/>
            <w:right w:val="none" w:sz="0" w:space="0" w:color="auto"/>
          </w:divBdr>
        </w:div>
        <w:div w:id="1349599845">
          <w:marLeft w:val="0"/>
          <w:marRight w:val="0"/>
          <w:marTop w:val="0"/>
          <w:marBottom w:val="150"/>
          <w:divBdr>
            <w:top w:val="none" w:sz="0" w:space="0" w:color="auto"/>
            <w:left w:val="none" w:sz="0" w:space="0" w:color="auto"/>
            <w:bottom w:val="none" w:sz="0" w:space="0" w:color="auto"/>
            <w:right w:val="none" w:sz="0" w:space="0" w:color="auto"/>
          </w:divBdr>
          <w:divsChild>
            <w:div w:id="1510751001">
              <w:marLeft w:val="0"/>
              <w:marRight w:val="0"/>
              <w:marTop w:val="0"/>
              <w:marBottom w:val="0"/>
              <w:divBdr>
                <w:top w:val="none" w:sz="0" w:space="0" w:color="auto"/>
                <w:left w:val="none" w:sz="0" w:space="0" w:color="auto"/>
                <w:bottom w:val="none" w:sz="0" w:space="0" w:color="auto"/>
                <w:right w:val="none" w:sz="0" w:space="0" w:color="auto"/>
              </w:divBdr>
              <w:divsChild>
                <w:div w:id="170552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450605">
          <w:marLeft w:val="0"/>
          <w:marRight w:val="0"/>
          <w:marTop w:val="0"/>
          <w:marBottom w:val="0"/>
          <w:divBdr>
            <w:top w:val="none" w:sz="0" w:space="0" w:color="auto"/>
            <w:left w:val="none" w:sz="0" w:space="0" w:color="auto"/>
            <w:bottom w:val="none" w:sz="0" w:space="0" w:color="auto"/>
            <w:right w:val="none" w:sz="0" w:space="0" w:color="auto"/>
          </w:divBdr>
          <w:divsChild>
            <w:div w:id="139758152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2474293">
      <w:bodyDiv w:val="1"/>
      <w:marLeft w:val="0"/>
      <w:marRight w:val="0"/>
      <w:marTop w:val="0"/>
      <w:marBottom w:val="0"/>
      <w:divBdr>
        <w:top w:val="none" w:sz="0" w:space="0" w:color="auto"/>
        <w:left w:val="none" w:sz="0" w:space="0" w:color="auto"/>
        <w:bottom w:val="none" w:sz="0" w:space="0" w:color="auto"/>
        <w:right w:val="none" w:sz="0" w:space="0" w:color="auto"/>
      </w:divBdr>
      <w:divsChild>
        <w:div w:id="1759984447">
          <w:marLeft w:val="0"/>
          <w:marRight w:val="0"/>
          <w:marTop w:val="0"/>
          <w:marBottom w:val="0"/>
          <w:divBdr>
            <w:top w:val="none" w:sz="0" w:space="0" w:color="auto"/>
            <w:left w:val="none" w:sz="0" w:space="0" w:color="auto"/>
            <w:bottom w:val="dotted" w:sz="6" w:space="4" w:color="DDDDDD"/>
            <w:right w:val="none" w:sz="0" w:space="0" w:color="auto"/>
          </w:divBdr>
        </w:div>
      </w:divsChild>
    </w:div>
    <w:div w:id="212691603">
      <w:bodyDiv w:val="1"/>
      <w:marLeft w:val="0"/>
      <w:marRight w:val="0"/>
      <w:marTop w:val="0"/>
      <w:marBottom w:val="0"/>
      <w:divBdr>
        <w:top w:val="none" w:sz="0" w:space="0" w:color="auto"/>
        <w:left w:val="none" w:sz="0" w:space="0" w:color="auto"/>
        <w:bottom w:val="none" w:sz="0" w:space="0" w:color="auto"/>
        <w:right w:val="none" w:sz="0" w:space="0" w:color="auto"/>
      </w:divBdr>
    </w:div>
    <w:div w:id="212809882">
      <w:bodyDiv w:val="1"/>
      <w:marLeft w:val="0"/>
      <w:marRight w:val="0"/>
      <w:marTop w:val="0"/>
      <w:marBottom w:val="0"/>
      <w:divBdr>
        <w:top w:val="none" w:sz="0" w:space="0" w:color="auto"/>
        <w:left w:val="none" w:sz="0" w:space="0" w:color="auto"/>
        <w:bottom w:val="none" w:sz="0" w:space="0" w:color="auto"/>
        <w:right w:val="none" w:sz="0" w:space="0" w:color="auto"/>
      </w:divBdr>
      <w:divsChild>
        <w:div w:id="198512194">
          <w:marLeft w:val="0"/>
          <w:marRight w:val="0"/>
          <w:marTop w:val="0"/>
          <w:marBottom w:val="150"/>
          <w:divBdr>
            <w:top w:val="none" w:sz="0" w:space="0" w:color="auto"/>
            <w:left w:val="none" w:sz="0" w:space="0" w:color="auto"/>
            <w:bottom w:val="none" w:sz="0" w:space="0" w:color="auto"/>
            <w:right w:val="none" w:sz="0" w:space="0" w:color="auto"/>
          </w:divBdr>
          <w:divsChild>
            <w:div w:id="1301038846">
              <w:marLeft w:val="0"/>
              <w:marRight w:val="0"/>
              <w:marTop w:val="0"/>
              <w:marBottom w:val="0"/>
              <w:divBdr>
                <w:top w:val="none" w:sz="0" w:space="0" w:color="auto"/>
                <w:left w:val="none" w:sz="0" w:space="0" w:color="auto"/>
                <w:bottom w:val="none" w:sz="0" w:space="0" w:color="auto"/>
                <w:right w:val="none" w:sz="0" w:space="0" w:color="auto"/>
              </w:divBdr>
              <w:divsChild>
                <w:div w:id="53472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190299">
          <w:marLeft w:val="0"/>
          <w:marRight w:val="0"/>
          <w:marTop w:val="0"/>
          <w:marBottom w:val="150"/>
          <w:divBdr>
            <w:top w:val="none" w:sz="0" w:space="0" w:color="auto"/>
            <w:left w:val="none" w:sz="0" w:space="0" w:color="auto"/>
            <w:bottom w:val="none" w:sz="0" w:space="0" w:color="auto"/>
            <w:right w:val="none" w:sz="0" w:space="0" w:color="auto"/>
          </w:divBdr>
        </w:div>
        <w:div w:id="720906170">
          <w:marLeft w:val="0"/>
          <w:marRight w:val="0"/>
          <w:marTop w:val="0"/>
          <w:marBottom w:val="0"/>
          <w:divBdr>
            <w:top w:val="none" w:sz="0" w:space="0" w:color="auto"/>
            <w:left w:val="none" w:sz="0" w:space="0" w:color="auto"/>
            <w:bottom w:val="none" w:sz="0" w:space="0" w:color="auto"/>
            <w:right w:val="none" w:sz="0" w:space="0" w:color="auto"/>
          </w:divBdr>
          <w:divsChild>
            <w:div w:id="5986080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3198952">
      <w:bodyDiv w:val="1"/>
      <w:marLeft w:val="0"/>
      <w:marRight w:val="0"/>
      <w:marTop w:val="0"/>
      <w:marBottom w:val="0"/>
      <w:divBdr>
        <w:top w:val="none" w:sz="0" w:space="0" w:color="auto"/>
        <w:left w:val="none" w:sz="0" w:space="0" w:color="auto"/>
        <w:bottom w:val="none" w:sz="0" w:space="0" w:color="auto"/>
        <w:right w:val="none" w:sz="0" w:space="0" w:color="auto"/>
      </w:divBdr>
      <w:divsChild>
        <w:div w:id="1369993547">
          <w:marLeft w:val="0"/>
          <w:marRight w:val="0"/>
          <w:marTop w:val="0"/>
          <w:marBottom w:val="150"/>
          <w:divBdr>
            <w:top w:val="none" w:sz="0" w:space="0" w:color="auto"/>
            <w:left w:val="none" w:sz="0" w:space="0" w:color="auto"/>
            <w:bottom w:val="none" w:sz="0" w:space="0" w:color="auto"/>
            <w:right w:val="none" w:sz="0" w:space="0" w:color="auto"/>
          </w:divBdr>
          <w:divsChild>
            <w:div w:id="1749842674">
              <w:marLeft w:val="0"/>
              <w:marRight w:val="0"/>
              <w:marTop w:val="0"/>
              <w:marBottom w:val="0"/>
              <w:divBdr>
                <w:top w:val="none" w:sz="0" w:space="0" w:color="auto"/>
                <w:left w:val="none" w:sz="0" w:space="0" w:color="auto"/>
                <w:bottom w:val="none" w:sz="0" w:space="0" w:color="auto"/>
                <w:right w:val="none" w:sz="0" w:space="0" w:color="auto"/>
              </w:divBdr>
              <w:divsChild>
                <w:div w:id="120594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28263">
          <w:marLeft w:val="0"/>
          <w:marRight w:val="0"/>
          <w:marTop w:val="0"/>
          <w:marBottom w:val="150"/>
          <w:divBdr>
            <w:top w:val="none" w:sz="0" w:space="0" w:color="auto"/>
            <w:left w:val="none" w:sz="0" w:space="0" w:color="auto"/>
            <w:bottom w:val="none" w:sz="0" w:space="0" w:color="auto"/>
            <w:right w:val="none" w:sz="0" w:space="0" w:color="auto"/>
          </w:divBdr>
        </w:div>
        <w:div w:id="1798256551">
          <w:marLeft w:val="0"/>
          <w:marRight w:val="0"/>
          <w:marTop w:val="0"/>
          <w:marBottom w:val="0"/>
          <w:divBdr>
            <w:top w:val="none" w:sz="0" w:space="0" w:color="auto"/>
            <w:left w:val="none" w:sz="0" w:space="0" w:color="auto"/>
            <w:bottom w:val="none" w:sz="0" w:space="0" w:color="auto"/>
            <w:right w:val="none" w:sz="0" w:space="0" w:color="auto"/>
          </w:divBdr>
          <w:divsChild>
            <w:div w:id="13935051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3583169">
      <w:bodyDiv w:val="1"/>
      <w:marLeft w:val="0"/>
      <w:marRight w:val="0"/>
      <w:marTop w:val="0"/>
      <w:marBottom w:val="0"/>
      <w:divBdr>
        <w:top w:val="none" w:sz="0" w:space="0" w:color="auto"/>
        <w:left w:val="none" w:sz="0" w:space="0" w:color="auto"/>
        <w:bottom w:val="none" w:sz="0" w:space="0" w:color="auto"/>
        <w:right w:val="none" w:sz="0" w:space="0" w:color="auto"/>
      </w:divBdr>
      <w:divsChild>
        <w:div w:id="69010569">
          <w:marLeft w:val="0"/>
          <w:marRight w:val="0"/>
          <w:marTop w:val="0"/>
          <w:marBottom w:val="0"/>
          <w:divBdr>
            <w:top w:val="none" w:sz="0" w:space="0" w:color="auto"/>
            <w:left w:val="none" w:sz="0" w:space="0" w:color="auto"/>
            <w:bottom w:val="dotted" w:sz="6" w:space="4" w:color="DDDDDD"/>
            <w:right w:val="none" w:sz="0" w:space="0" w:color="auto"/>
          </w:divBdr>
        </w:div>
      </w:divsChild>
    </w:div>
    <w:div w:id="214238965">
      <w:bodyDiv w:val="1"/>
      <w:marLeft w:val="0"/>
      <w:marRight w:val="0"/>
      <w:marTop w:val="0"/>
      <w:marBottom w:val="0"/>
      <w:divBdr>
        <w:top w:val="none" w:sz="0" w:space="0" w:color="auto"/>
        <w:left w:val="none" w:sz="0" w:space="0" w:color="auto"/>
        <w:bottom w:val="none" w:sz="0" w:space="0" w:color="auto"/>
        <w:right w:val="none" w:sz="0" w:space="0" w:color="auto"/>
      </w:divBdr>
      <w:divsChild>
        <w:div w:id="981467410">
          <w:marLeft w:val="0"/>
          <w:marRight w:val="0"/>
          <w:marTop w:val="0"/>
          <w:marBottom w:val="0"/>
          <w:divBdr>
            <w:top w:val="none" w:sz="0" w:space="0" w:color="auto"/>
            <w:left w:val="none" w:sz="0" w:space="0" w:color="auto"/>
            <w:bottom w:val="dotted" w:sz="6" w:space="4" w:color="DDDDDD"/>
            <w:right w:val="none" w:sz="0" w:space="0" w:color="auto"/>
          </w:divBdr>
          <w:divsChild>
            <w:div w:id="54109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09892">
      <w:bodyDiv w:val="1"/>
      <w:marLeft w:val="0"/>
      <w:marRight w:val="0"/>
      <w:marTop w:val="0"/>
      <w:marBottom w:val="0"/>
      <w:divBdr>
        <w:top w:val="none" w:sz="0" w:space="0" w:color="auto"/>
        <w:left w:val="none" w:sz="0" w:space="0" w:color="auto"/>
        <w:bottom w:val="none" w:sz="0" w:space="0" w:color="auto"/>
        <w:right w:val="none" w:sz="0" w:space="0" w:color="auto"/>
      </w:divBdr>
      <w:divsChild>
        <w:div w:id="118694274">
          <w:marLeft w:val="0"/>
          <w:marRight w:val="0"/>
          <w:marTop w:val="0"/>
          <w:marBottom w:val="0"/>
          <w:divBdr>
            <w:top w:val="none" w:sz="0" w:space="0" w:color="auto"/>
            <w:left w:val="none" w:sz="0" w:space="0" w:color="auto"/>
            <w:bottom w:val="none" w:sz="0" w:space="0" w:color="auto"/>
            <w:right w:val="none" w:sz="0" w:space="0" w:color="auto"/>
          </w:divBdr>
          <w:divsChild>
            <w:div w:id="17321579">
              <w:marLeft w:val="0"/>
              <w:marRight w:val="0"/>
              <w:marTop w:val="0"/>
              <w:marBottom w:val="0"/>
              <w:divBdr>
                <w:top w:val="none" w:sz="0" w:space="0" w:color="auto"/>
                <w:left w:val="none" w:sz="0" w:space="0" w:color="auto"/>
                <w:bottom w:val="none" w:sz="0" w:space="0" w:color="auto"/>
                <w:right w:val="none" w:sz="0" w:space="0" w:color="auto"/>
              </w:divBdr>
            </w:div>
            <w:div w:id="58990466">
              <w:marLeft w:val="0"/>
              <w:marRight w:val="0"/>
              <w:marTop w:val="0"/>
              <w:marBottom w:val="0"/>
              <w:divBdr>
                <w:top w:val="none" w:sz="0" w:space="0" w:color="auto"/>
                <w:left w:val="none" w:sz="0" w:space="0" w:color="auto"/>
                <w:bottom w:val="none" w:sz="0" w:space="0" w:color="auto"/>
                <w:right w:val="none" w:sz="0" w:space="0" w:color="auto"/>
              </w:divBdr>
            </w:div>
            <w:div w:id="84494102">
              <w:marLeft w:val="0"/>
              <w:marRight w:val="0"/>
              <w:marTop w:val="0"/>
              <w:marBottom w:val="0"/>
              <w:divBdr>
                <w:top w:val="none" w:sz="0" w:space="0" w:color="auto"/>
                <w:left w:val="none" w:sz="0" w:space="0" w:color="auto"/>
                <w:bottom w:val="none" w:sz="0" w:space="0" w:color="auto"/>
                <w:right w:val="none" w:sz="0" w:space="0" w:color="auto"/>
              </w:divBdr>
            </w:div>
            <w:div w:id="102194876">
              <w:marLeft w:val="0"/>
              <w:marRight w:val="0"/>
              <w:marTop w:val="0"/>
              <w:marBottom w:val="0"/>
              <w:divBdr>
                <w:top w:val="none" w:sz="0" w:space="0" w:color="auto"/>
                <w:left w:val="none" w:sz="0" w:space="0" w:color="auto"/>
                <w:bottom w:val="none" w:sz="0" w:space="0" w:color="auto"/>
                <w:right w:val="none" w:sz="0" w:space="0" w:color="auto"/>
              </w:divBdr>
            </w:div>
            <w:div w:id="103427907">
              <w:marLeft w:val="0"/>
              <w:marRight w:val="0"/>
              <w:marTop w:val="0"/>
              <w:marBottom w:val="0"/>
              <w:divBdr>
                <w:top w:val="none" w:sz="0" w:space="0" w:color="auto"/>
                <w:left w:val="none" w:sz="0" w:space="0" w:color="auto"/>
                <w:bottom w:val="none" w:sz="0" w:space="0" w:color="auto"/>
                <w:right w:val="none" w:sz="0" w:space="0" w:color="auto"/>
              </w:divBdr>
            </w:div>
            <w:div w:id="118644761">
              <w:marLeft w:val="0"/>
              <w:marRight w:val="0"/>
              <w:marTop w:val="0"/>
              <w:marBottom w:val="0"/>
              <w:divBdr>
                <w:top w:val="none" w:sz="0" w:space="0" w:color="auto"/>
                <w:left w:val="none" w:sz="0" w:space="0" w:color="auto"/>
                <w:bottom w:val="none" w:sz="0" w:space="0" w:color="auto"/>
                <w:right w:val="none" w:sz="0" w:space="0" w:color="auto"/>
              </w:divBdr>
            </w:div>
            <w:div w:id="140193279">
              <w:marLeft w:val="0"/>
              <w:marRight w:val="0"/>
              <w:marTop w:val="0"/>
              <w:marBottom w:val="0"/>
              <w:divBdr>
                <w:top w:val="none" w:sz="0" w:space="0" w:color="auto"/>
                <w:left w:val="none" w:sz="0" w:space="0" w:color="auto"/>
                <w:bottom w:val="none" w:sz="0" w:space="0" w:color="auto"/>
                <w:right w:val="none" w:sz="0" w:space="0" w:color="auto"/>
              </w:divBdr>
            </w:div>
            <w:div w:id="167183225">
              <w:marLeft w:val="0"/>
              <w:marRight w:val="0"/>
              <w:marTop w:val="0"/>
              <w:marBottom w:val="0"/>
              <w:divBdr>
                <w:top w:val="none" w:sz="0" w:space="0" w:color="auto"/>
                <w:left w:val="none" w:sz="0" w:space="0" w:color="auto"/>
                <w:bottom w:val="none" w:sz="0" w:space="0" w:color="auto"/>
                <w:right w:val="none" w:sz="0" w:space="0" w:color="auto"/>
              </w:divBdr>
            </w:div>
            <w:div w:id="196895562">
              <w:marLeft w:val="0"/>
              <w:marRight w:val="0"/>
              <w:marTop w:val="0"/>
              <w:marBottom w:val="0"/>
              <w:divBdr>
                <w:top w:val="none" w:sz="0" w:space="0" w:color="auto"/>
                <w:left w:val="none" w:sz="0" w:space="0" w:color="auto"/>
                <w:bottom w:val="none" w:sz="0" w:space="0" w:color="auto"/>
                <w:right w:val="none" w:sz="0" w:space="0" w:color="auto"/>
              </w:divBdr>
            </w:div>
            <w:div w:id="200092589">
              <w:marLeft w:val="0"/>
              <w:marRight w:val="0"/>
              <w:marTop w:val="0"/>
              <w:marBottom w:val="0"/>
              <w:divBdr>
                <w:top w:val="none" w:sz="0" w:space="0" w:color="auto"/>
                <w:left w:val="none" w:sz="0" w:space="0" w:color="auto"/>
                <w:bottom w:val="none" w:sz="0" w:space="0" w:color="auto"/>
                <w:right w:val="none" w:sz="0" w:space="0" w:color="auto"/>
              </w:divBdr>
            </w:div>
            <w:div w:id="215431547">
              <w:marLeft w:val="0"/>
              <w:marRight w:val="0"/>
              <w:marTop w:val="0"/>
              <w:marBottom w:val="0"/>
              <w:divBdr>
                <w:top w:val="none" w:sz="0" w:space="0" w:color="auto"/>
                <w:left w:val="none" w:sz="0" w:space="0" w:color="auto"/>
                <w:bottom w:val="none" w:sz="0" w:space="0" w:color="auto"/>
                <w:right w:val="none" w:sz="0" w:space="0" w:color="auto"/>
              </w:divBdr>
            </w:div>
            <w:div w:id="242379896">
              <w:marLeft w:val="0"/>
              <w:marRight w:val="0"/>
              <w:marTop w:val="0"/>
              <w:marBottom w:val="0"/>
              <w:divBdr>
                <w:top w:val="none" w:sz="0" w:space="0" w:color="auto"/>
                <w:left w:val="none" w:sz="0" w:space="0" w:color="auto"/>
                <w:bottom w:val="none" w:sz="0" w:space="0" w:color="auto"/>
                <w:right w:val="none" w:sz="0" w:space="0" w:color="auto"/>
              </w:divBdr>
            </w:div>
            <w:div w:id="270209880">
              <w:marLeft w:val="0"/>
              <w:marRight w:val="0"/>
              <w:marTop w:val="0"/>
              <w:marBottom w:val="0"/>
              <w:divBdr>
                <w:top w:val="none" w:sz="0" w:space="0" w:color="auto"/>
                <w:left w:val="none" w:sz="0" w:space="0" w:color="auto"/>
                <w:bottom w:val="none" w:sz="0" w:space="0" w:color="auto"/>
                <w:right w:val="none" w:sz="0" w:space="0" w:color="auto"/>
              </w:divBdr>
            </w:div>
            <w:div w:id="298995283">
              <w:marLeft w:val="0"/>
              <w:marRight w:val="0"/>
              <w:marTop w:val="0"/>
              <w:marBottom w:val="0"/>
              <w:divBdr>
                <w:top w:val="none" w:sz="0" w:space="0" w:color="auto"/>
                <w:left w:val="none" w:sz="0" w:space="0" w:color="auto"/>
                <w:bottom w:val="none" w:sz="0" w:space="0" w:color="auto"/>
                <w:right w:val="none" w:sz="0" w:space="0" w:color="auto"/>
              </w:divBdr>
            </w:div>
            <w:div w:id="384184817">
              <w:marLeft w:val="0"/>
              <w:marRight w:val="0"/>
              <w:marTop w:val="0"/>
              <w:marBottom w:val="0"/>
              <w:divBdr>
                <w:top w:val="none" w:sz="0" w:space="0" w:color="auto"/>
                <w:left w:val="none" w:sz="0" w:space="0" w:color="auto"/>
                <w:bottom w:val="none" w:sz="0" w:space="0" w:color="auto"/>
                <w:right w:val="none" w:sz="0" w:space="0" w:color="auto"/>
              </w:divBdr>
            </w:div>
            <w:div w:id="398945199">
              <w:marLeft w:val="0"/>
              <w:marRight w:val="0"/>
              <w:marTop w:val="0"/>
              <w:marBottom w:val="0"/>
              <w:divBdr>
                <w:top w:val="none" w:sz="0" w:space="0" w:color="auto"/>
                <w:left w:val="none" w:sz="0" w:space="0" w:color="auto"/>
                <w:bottom w:val="none" w:sz="0" w:space="0" w:color="auto"/>
                <w:right w:val="none" w:sz="0" w:space="0" w:color="auto"/>
              </w:divBdr>
            </w:div>
            <w:div w:id="430053760">
              <w:marLeft w:val="0"/>
              <w:marRight w:val="0"/>
              <w:marTop w:val="0"/>
              <w:marBottom w:val="0"/>
              <w:divBdr>
                <w:top w:val="none" w:sz="0" w:space="0" w:color="auto"/>
                <w:left w:val="none" w:sz="0" w:space="0" w:color="auto"/>
                <w:bottom w:val="none" w:sz="0" w:space="0" w:color="auto"/>
                <w:right w:val="none" w:sz="0" w:space="0" w:color="auto"/>
              </w:divBdr>
            </w:div>
            <w:div w:id="439573776">
              <w:marLeft w:val="0"/>
              <w:marRight w:val="0"/>
              <w:marTop w:val="0"/>
              <w:marBottom w:val="0"/>
              <w:divBdr>
                <w:top w:val="none" w:sz="0" w:space="0" w:color="auto"/>
                <w:left w:val="none" w:sz="0" w:space="0" w:color="auto"/>
                <w:bottom w:val="none" w:sz="0" w:space="0" w:color="auto"/>
                <w:right w:val="none" w:sz="0" w:space="0" w:color="auto"/>
              </w:divBdr>
            </w:div>
            <w:div w:id="464197138">
              <w:marLeft w:val="0"/>
              <w:marRight w:val="0"/>
              <w:marTop w:val="0"/>
              <w:marBottom w:val="0"/>
              <w:divBdr>
                <w:top w:val="none" w:sz="0" w:space="0" w:color="auto"/>
                <w:left w:val="none" w:sz="0" w:space="0" w:color="auto"/>
                <w:bottom w:val="none" w:sz="0" w:space="0" w:color="auto"/>
                <w:right w:val="none" w:sz="0" w:space="0" w:color="auto"/>
              </w:divBdr>
            </w:div>
            <w:div w:id="464391113">
              <w:marLeft w:val="0"/>
              <w:marRight w:val="0"/>
              <w:marTop w:val="0"/>
              <w:marBottom w:val="0"/>
              <w:divBdr>
                <w:top w:val="none" w:sz="0" w:space="0" w:color="auto"/>
                <w:left w:val="none" w:sz="0" w:space="0" w:color="auto"/>
                <w:bottom w:val="none" w:sz="0" w:space="0" w:color="auto"/>
                <w:right w:val="none" w:sz="0" w:space="0" w:color="auto"/>
              </w:divBdr>
            </w:div>
            <w:div w:id="574436603">
              <w:marLeft w:val="0"/>
              <w:marRight w:val="0"/>
              <w:marTop w:val="0"/>
              <w:marBottom w:val="0"/>
              <w:divBdr>
                <w:top w:val="none" w:sz="0" w:space="0" w:color="auto"/>
                <w:left w:val="none" w:sz="0" w:space="0" w:color="auto"/>
                <w:bottom w:val="none" w:sz="0" w:space="0" w:color="auto"/>
                <w:right w:val="none" w:sz="0" w:space="0" w:color="auto"/>
              </w:divBdr>
            </w:div>
            <w:div w:id="575433563">
              <w:marLeft w:val="0"/>
              <w:marRight w:val="0"/>
              <w:marTop w:val="0"/>
              <w:marBottom w:val="0"/>
              <w:divBdr>
                <w:top w:val="none" w:sz="0" w:space="0" w:color="auto"/>
                <w:left w:val="none" w:sz="0" w:space="0" w:color="auto"/>
                <w:bottom w:val="none" w:sz="0" w:space="0" w:color="auto"/>
                <w:right w:val="none" w:sz="0" w:space="0" w:color="auto"/>
              </w:divBdr>
            </w:div>
            <w:div w:id="586767597">
              <w:marLeft w:val="0"/>
              <w:marRight w:val="0"/>
              <w:marTop w:val="0"/>
              <w:marBottom w:val="0"/>
              <w:divBdr>
                <w:top w:val="none" w:sz="0" w:space="0" w:color="auto"/>
                <w:left w:val="none" w:sz="0" w:space="0" w:color="auto"/>
                <w:bottom w:val="none" w:sz="0" w:space="0" w:color="auto"/>
                <w:right w:val="none" w:sz="0" w:space="0" w:color="auto"/>
              </w:divBdr>
            </w:div>
            <w:div w:id="642320785">
              <w:marLeft w:val="0"/>
              <w:marRight w:val="0"/>
              <w:marTop w:val="0"/>
              <w:marBottom w:val="0"/>
              <w:divBdr>
                <w:top w:val="none" w:sz="0" w:space="0" w:color="auto"/>
                <w:left w:val="none" w:sz="0" w:space="0" w:color="auto"/>
                <w:bottom w:val="none" w:sz="0" w:space="0" w:color="auto"/>
                <w:right w:val="none" w:sz="0" w:space="0" w:color="auto"/>
              </w:divBdr>
            </w:div>
            <w:div w:id="651788005">
              <w:marLeft w:val="0"/>
              <w:marRight w:val="0"/>
              <w:marTop w:val="0"/>
              <w:marBottom w:val="0"/>
              <w:divBdr>
                <w:top w:val="none" w:sz="0" w:space="0" w:color="auto"/>
                <w:left w:val="none" w:sz="0" w:space="0" w:color="auto"/>
                <w:bottom w:val="none" w:sz="0" w:space="0" w:color="auto"/>
                <w:right w:val="none" w:sz="0" w:space="0" w:color="auto"/>
              </w:divBdr>
            </w:div>
            <w:div w:id="712463513">
              <w:marLeft w:val="0"/>
              <w:marRight w:val="0"/>
              <w:marTop w:val="0"/>
              <w:marBottom w:val="0"/>
              <w:divBdr>
                <w:top w:val="none" w:sz="0" w:space="0" w:color="auto"/>
                <w:left w:val="none" w:sz="0" w:space="0" w:color="auto"/>
                <w:bottom w:val="none" w:sz="0" w:space="0" w:color="auto"/>
                <w:right w:val="none" w:sz="0" w:space="0" w:color="auto"/>
              </w:divBdr>
            </w:div>
            <w:div w:id="732243154">
              <w:marLeft w:val="0"/>
              <w:marRight w:val="0"/>
              <w:marTop w:val="0"/>
              <w:marBottom w:val="0"/>
              <w:divBdr>
                <w:top w:val="none" w:sz="0" w:space="0" w:color="auto"/>
                <w:left w:val="none" w:sz="0" w:space="0" w:color="auto"/>
                <w:bottom w:val="none" w:sz="0" w:space="0" w:color="auto"/>
                <w:right w:val="none" w:sz="0" w:space="0" w:color="auto"/>
              </w:divBdr>
            </w:div>
            <w:div w:id="735402111">
              <w:marLeft w:val="0"/>
              <w:marRight w:val="0"/>
              <w:marTop w:val="0"/>
              <w:marBottom w:val="0"/>
              <w:divBdr>
                <w:top w:val="none" w:sz="0" w:space="0" w:color="auto"/>
                <w:left w:val="none" w:sz="0" w:space="0" w:color="auto"/>
                <w:bottom w:val="none" w:sz="0" w:space="0" w:color="auto"/>
                <w:right w:val="none" w:sz="0" w:space="0" w:color="auto"/>
              </w:divBdr>
            </w:div>
            <w:div w:id="737289174">
              <w:marLeft w:val="0"/>
              <w:marRight w:val="0"/>
              <w:marTop w:val="0"/>
              <w:marBottom w:val="0"/>
              <w:divBdr>
                <w:top w:val="none" w:sz="0" w:space="0" w:color="auto"/>
                <w:left w:val="none" w:sz="0" w:space="0" w:color="auto"/>
                <w:bottom w:val="none" w:sz="0" w:space="0" w:color="auto"/>
                <w:right w:val="none" w:sz="0" w:space="0" w:color="auto"/>
              </w:divBdr>
            </w:div>
            <w:div w:id="796411661">
              <w:marLeft w:val="0"/>
              <w:marRight w:val="0"/>
              <w:marTop w:val="0"/>
              <w:marBottom w:val="0"/>
              <w:divBdr>
                <w:top w:val="none" w:sz="0" w:space="0" w:color="auto"/>
                <w:left w:val="none" w:sz="0" w:space="0" w:color="auto"/>
                <w:bottom w:val="none" w:sz="0" w:space="0" w:color="auto"/>
                <w:right w:val="none" w:sz="0" w:space="0" w:color="auto"/>
              </w:divBdr>
            </w:div>
            <w:div w:id="878394137">
              <w:marLeft w:val="0"/>
              <w:marRight w:val="0"/>
              <w:marTop w:val="0"/>
              <w:marBottom w:val="0"/>
              <w:divBdr>
                <w:top w:val="none" w:sz="0" w:space="0" w:color="auto"/>
                <w:left w:val="none" w:sz="0" w:space="0" w:color="auto"/>
                <w:bottom w:val="none" w:sz="0" w:space="0" w:color="auto"/>
                <w:right w:val="none" w:sz="0" w:space="0" w:color="auto"/>
              </w:divBdr>
            </w:div>
            <w:div w:id="935091782">
              <w:marLeft w:val="0"/>
              <w:marRight w:val="0"/>
              <w:marTop w:val="0"/>
              <w:marBottom w:val="0"/>
              <w:divBdr>
                <w:top w:val="none" w:sz="0" w:space="0" w:color="auto"/>
                <w:left w:val="none" w:sz="0" w:space="0" w:color="auto"/>
                <w:bottom w:val="none" w:sz="0" w:space="0" w:color="auto"/>
                <w:right w:val="none" w:sz="0" w:space="0" w:color="auto"/>
              </w:divBdr>
            </w:div>
            <w:div w:id="946229971">
              <w:marLeft w:val="0"/>
              <w:marRight w:val="0"/>
              <w:marTop w:val="0"/>
              <w:marBottom w:val="0"/>
              <w:divBdr>
                <w:top w:val="none" w:sz="0" w:space="0" w:color="auto"/>
                <w:left w:val="none" w:sz="0" w:space="0" w:color="auto"/>
                <w:bottom w:val="none" w:sz="0" w:space="0" w:color="auto"/>
                <w:right w:val="none" w:sz="0" w:space="0" w:color="auto"/>
              </w:divBdr>
            </w:div>
            <w:div w:id="966550061">
              <w:marLeft w:val="0"/>
              <w:marRight w:val="0"/>
              <w:marTop w:val="0"/>
              <w:marBottom w:val="0"/>
              <w:divBdr>
                <w:top w:val="none" w:sz="0" w:space="0" w:color="auto"/>
                <w:left w:val="none" w:sz="0" w:space="0" w:color="auto"/>
                <w:bottom w:val="none" w:sz="0" w:space="0" w:color="auto"/>
                <w:right w:val="none" w:sz="0" w:space="0" w:color="auto"/>
              </w:divBdr>
            </w:div>
            <w:div w:id="1012410797">
              <w:marLeft w:val="0"/>
              <w:marRight w:val="0"/>
              <w:marTop w:val="0"/>
              <w:marBottom w:val="0"/>
              <w:divBdr>
                <w:top w:val="none" w:sz="0" w:space="0" w:color="auto"/>
                <w:left w:val="none" w:sz="0" w:space="0" w:color="auto"/>
                <w:bottom w:val="none" w:sz="0" w:space="0" w:color="auto"/>
                <w:right w:val="none" w:sz="0" w:space="0" w:color="auto"/>
              </w:divBdr>
            </w:div>
            <w:div w:id="1089812436">
              <w:marLeft w:val="0"/>
              <w:marRight w:val="0"/>
              <w:marTop w:val="0"/>
              <w:marBottom w:val="0"/>
              <w:divBdr>
                <w:top w:val="none" w:sz="0" w:space="0" w:color="auto"/>
                <w:left w:val="none" w:sz="0" w:space="0" w:color="auto"/>
                <w:bottom w:val="none" w:sz="0" w:space="0" w:color="auto"/>
                <w:right w:val="none" w:sz="0" w:space="0" w:color="auto"/>
              </w:divBdr>
            </w:div>
            <w:div w:id="1174683522">
              <w:marLeft w:val="0"/>
              <w:marRight w:val="0"/>
              <w:marTop w:val="0"/>
              <w:marBottom w:val="0"/>
              <w:divBdr>
                <w:top w:val="none" w:sz="0" w:space="0" w:color="auto"/>
                <w:left w:val="none" w:sz="0" w:space="0" w:color="auto"/>
                <w:bottom w:val="none" w:sz="0" w:space="0" w:color="auto"/>
                <w:right w:val="none" w:sz="0" w:space="0" w:color="auto"/>
              </w:divBdr>
            </w:div>
            <w:div w:id="1201556746">
              <w:marLeft w:val="0"/>
              <w:marRight w:val="0"/>
              <w:marTop w:val="0"/>
              <w:marBottom w:val="0"/>
              <w:divBdr>
                <w:top w:val="none" w:sz="0" w:space="0" w:color="auto"/>
                <w:left w:val="none" w:sz="0" w:space="0" w:color="auto"/>
                <w:bottom w:val="none" w:sz="0" w:space="0" w:color="auto"/>
                <w:right w:val="none" w:sz="0" w:space="0" w:color="auto"/>
              </w:divBdr>
            </w:div>
            <w:div w:id="1224947925">
              <w:marLeft w:val="0"/>
              <w:marRight w:val="0"/>
              <w:marTop w:val="0"/>
              <w:marBottom w:val="0"/>
              <w:divBdr>
                <w:top w:val="none" w:sz="0" w:space="0" w:color="auto"/>
                <w:left w:val="none" w:sz="0" w:space="0" w:color="auto"/>
                <w:bottom w:val="none" w:sz="0" w:space="0" w:color="auto"/>
                <w:right w:val="none" w:sz="0" w:space="0" w:color="auto"/>
              </w:divBdr>
            </w:div>
            <w:div w:id="1251239441">
              <w:marLeft w:val="0"/>
              <w:marRight w:val="0"/>
              <w:marTop w:val="0"/>
              <w:marBottom w:val="0"/>
              <w:divBdr>
                <w:top w:val="none" w:sz="0" w:space="0" w:color="auto"/>
                <w:left w:val="none" w:sz="0" w:space="0" w:color="auto"/>
                <w:bottom w:val="none" w:sz="0" w:space="0" w:color="auto"/>
                <w:right w:val="none" w:sz="0" w:space="0" w:color="auto"/>
              </w:divBdr>
            </w:div>
            <w:div w:id="1261061374">
              <w:marLeft w:val="0"/>
              <w:marRight w:val="0"/>
              <w:marTop w:val="0"/>
              <w:marBottom w:val="0"/>
              <w:divBdr>
                <w:top w:val="none" w:sz="0" w:space="0" w:color="auto"/>
                <w:left w:val="none" w:sz="0" w:space="0" w:color="auto"/>
                <w:bottom w:val="none" w:sz="0" w:space="0" w:color="auto"/>
                <w:right w:val="none" w:sz="0" w:space="0" w:color="auto"/>
              </w:divBdr>
            </w:div>
            <w:div w:id="1291980486">
              <w:marLeft w:val="0"/>
              <w:marRight w:val="0"/>
              <w:marTop w:val="0"/>
              <w:marBottom w:val="0"/>
              <w:divBdr>
                <w:top w:val="none" w:sz="0" w:space="0" w:color="auto"/>
                <w:left w:val="none" w:sz="0" w:space="0" w:color="auto"/>
                <w:bottom w:val="none" w:sz="0" w:space="0" w:color="auto"/>
                <w:right w:val="none" w:sz="0" w:space="0" w:color="auto"/>
              </w:divBdr>
            </w:div>
            <w:div w:id="1309557328">
              <w:marLeft w:val="0"/>
              <w:marRight w:val="0"/>
              <w:marTop w:val="0"/>
              <w:marBottom w:val="0"/>
              <w:divBdr>
                <w:top w:val="none" w:sz="0" w:space="0" w:color="auto"/>
                <w:left w:val="none" w:sz="0" w:space="0" w:color="auto"/>
                <w:bottom w:val="none" w:sz="0" w:space="0" w:color="auto"/>
                <w:right w:val="none" w:sz="0" w:space="0" w:color="auto"/>
              </w:divBdr>
            </w:div>
            <w:div w:id="1322924880">
              <w:marLeft w:val="0"/>
              <w:marRight w:val="0"/>
              <w:marTop w:val="0"/>
              <w:marBottom w:val="0"/>
              <w:divBdr>
                <w:top w:val="none" w:sz="0" w:space="0" w:color="auto"/>
                <w:left w:val="none" w:sz="0" w:space="0" w:color="auto"/>
                <w:bottom w:val="none" w:sz="0" w:space="0" w:color="auto"/>
                <w:right w:val="none" w:sz="0" w:space="0" w:color="auto"/>
              </w:divBdr>
            </w:div>
            <w:div w:id="1333140191">
              <w:marLeft w:val="0"/>
              <w:marRight w:val="0"/>
              <w:marTop w:val="0"/>
              <w:marBottom w:val="0"/>
              <w:divBdr>
                <w:top w:val="none" w:sz="0" w:space="0" w:color="auto"/>
                <w:left w:val="none" w:sz="0" w:space="0" w:color="auto"/>
                <w:bottom w:val="none" w:sz="0" w:space="0" w:color="auto"/>
                <w:right w:val="none" w:sz="0" w:space="0" w:color="auto"/>
              </w:divBdr>
            </w:div>
            <w:div w:id="1361278015">
              <w:marLeft w:val="0"/>
              <w:marRight w:val="0"/>
              <w:marTop w:val="0"/>
              <w:marBottom w:val="0"/>
              <w:divBdr>
                <w:top w:val="none" w:sz="0" w:space="0" w:color="auto"/>
                <w:left w:val="none" w:sz="0" w:space="0" w:color="auto"/>
                <w:bottom w:val="none" w:sz="0" w:space="0" w:color="auto"/>
                <w:right w:val="none" w:sz="0" w:space="0" w:color="auto"/>
              </w:divBdr>
            </w:div>
            <w:div w:id="1381174527">
              <w:marLeft w:val="0"/>
              <w:marRight w:val="0"/>
              <w:marTop w:val="0"/>
              <w:marBottom w:val="0"/>
              <w:divBdr>
                <w:top w:val="none" w:sz="0" w:space="0" w:color="auto"/>
                <w:left w:val="none" w:sz="0" w:space="0" w:color="auto"/>
                <w:bottom w:val="none" w:sz="0" w:space="0" w:color="auto"/>
                <w:right w:val="none" w:sz="0" w:space="0" w:color="auto"/>
              </w:divBdr>
            </w:div>
            <w:div w:id="1402798540">
              <w:marLeft w:val="0"/>
              <w:marRight w:val="0"/>
              <w:marTop w:val="0"/>
              <w:marBottom w:val="0"/>
              <w:divBdr>
                <w:top w:val="none" w:sz="0" w:space="0" w:color="auto"/>
                <w:left w:val="none" w:sz="0" w:space="0" w:color="auto"/>
                <w:bottom w:val="none" w:sz="0" w:space="0" w:color="auto"/>
                <w:right w:val="none" w:sz="0" w:space="0" w:color="auto"/>
              </w:divBdr>
            </w:div>
            <w:div w:id="1480338545">
              <w:marLeft w:val="0"/>
              <w:marRight w:val="0"/>
              <w:marTop w:val="0"/>
              <w:marBottom w:val="0"/>
              <w:divBdr>
                <w:top w:val="none" w:sz="0" w:space="0" w:color="auto"/>
                <w:left w:val="none" w:sz="0" w:space="0" w:color="auto"/>
                <w:bottom w:val="none" w:sz="0" w:space="0" w:color="auto"/>
                <w:right w:val="none" w:sz="0" w:space="0" w:color="auto"/>
              </w:divBdr>
            </w:div>
            <w:div w:id="1484542797">
              <w:marLeft w:val="0"/>
              <w:marRight w:val="0"/>
              <w:marTop w:val="0"/>
              <w:marBottom w:val="0"/>
              <w:divBdr>
                <w:top w:val="none" w:sz="0" w:space="0" w:color="auto"/>
                <w:left w:val="none" w:sz="0" w:space="0" w:color="auto"/>
                <w:bottom w:val="none" w:sz="0" w:space="0" w:color="auto"/>
                <w:right w:val="none" w:sz="0" w:space="0" w:color="auto"/>
              </w:divBdr>
            </w:div>
            <w:div w:id="1488285864">
              <w:marLeft w:val="0"/>
              <w:marRight w:val="0"/>
              <w:marTop w:val="0"/>
              <w:marBottom w:val="0"/>
              <w:divBdr>
                <w:top w:val="none" w:sz="0" w:space="0" w:color="auto"/>
                <w:left w:val="none" w:sz="0" w:space="0" w:color="auto"/>
                <w:bottom w:val="none" w:sz="0" w:space="0" w:color="auto"/>
                <w:right w:val="none" w:sz="0" w:space="0" w:color="auto"/>
              </w:divBdr>
            </w:div>
            <w:div w:id="1563635609">
              <w:marLeft w:val="0"/>
              <w:marRight w:val="0"/>
              <w:marTop w:val="0"/>
              <w:marBottom w:val="0"/>
              <w:divBdr>
                <w:top w:val="none" w:sz="0" w:space="0" w:color="auto"/>
                <w:left w:val="none" w:sz="0" w:space="0" w:color="auto"/>
                <w:bottom w:val="none" w:sz="0" w:space="0" w:color="auto"/>
                <w:right w:val="none" w:sz="0" w:space="0" w:color="auto"/>
              </w:divBdr>
            </w:div>
            <w:div w:id="1573732132">
              <w:marLeft w:val="0"/>
              <w:marRight w:val="0"/>
              <w:marTop w:val="0"/>
              <w:marBottom w:val="0"/>
              <w:divBdr>
                <w:top w:val="none" w:sz="0" w:space="0" w:color="auto"/>
                <w:left w:val="none" w:sz="0" w:space="0" w:color="auto"/>
                <w:bottom w:val="none" w:sz="0" w:space="0" w:color="auto"/>
                <w:right w:val="none" w:sz="0" w:space="0" w:color="auto"/>
              </w:divBdr>
            </w:div>
            <w:div w:id="1588341854">
              <w:marLeft w:val="0"/>
              <w:marRight w:val="0"/>
              <w:marTop w:val="0"/>
              <w:marBottom w:val="0"/>
              <w:divBdr>
                <w:top w:val="none" w:sz="0" w:space="0" w:color="auto"/>
                <w:left w:val="none" w:sz="0" w:space="0" w:color="auto"/>
                <w:bottom w:val="none" w:sz="0" w:space="0" w:color="auto"/>
                <w:right w:val="none" w:sz="0" w:space="0" w:color="auto"/>
              </w:divBdr>
            </w:div>
            <w:div w:id="1604726268">
              <w:marLeft w:val="0"/>
              <w:marRight w:val="0"/>
              <w:marTop w:val="0"/>
              <w:marBottom w:val="0"/>
              <w:divBdr>
                <w:top w:val="none" w:sz="0" w:space="0" w:color="auto"/>
                <w:left w:val="none" w:sz="0" w:space="0" w:color="auto"/>
                <w:bottom w:val="none" w:sz="0" w:space="0" w:color="auto"/>
                <w:right w:val="none" w:sz="0" w:space="0" w:color="auto"/>
              </w:divBdr>
            </w:div>
            <w:div w:id="1680424380">
              <w:marLeft w:val="0"/>
              <w:marRight w:val="0"/>
              <w:marTop w:val="0"/>
              <w:marBottom w:val="0"/>
              <w:divBdr>
                <w:top w:val="none" w:sz="0" w:space="0" w:color="auto"/>
                <w:left w:val="none" w:sz="0" w:space="0" w:color="auto"/>
                <w:bottom w:val="none" w:sz="0" w:space="0" w:color="auto"/>
                <w:right w:val="none" w:sz="0" w:space="0" w:color="auto"/>
              </w:divBdr>
            </w:div>
            <w:div w:id="1692492409">
              <w:marLeft w:val="0"/>
              <w:marRight w:val="0"/>
              <w:marTop w:val="0"/>
              <w:marBottom w:val="0"/>
              <w:divBdr>
                <w:top w:val="none" w:sz="0" w:space="0" w:color="auto"/>
                <w:left w:val="none" w:sz="0" w:space="0" w:color="auto"/>
                <w:bottom w:val="none" w:sz="0" w:space="0" w:color="auto"/>
                <w:right w:val="none" w:sz="0" w:space="0" w:color="auto"/>
              </w:divBdr>
            </w:div>
            <w:div w:id="1714572496">
              <w:marLeft w:val="0"/>
              <w:marRight w:val="0"/>
              <w:marTop w:val="0"/>
              <w:marBottom w:val="0"/>
              <w:divBdr>
                <w:top w:val="none" w:sz="0" w:space="0" w:color="auto"/>
                <w:left w:val="none" w:sz="0" w:space="0" w:color="auto"/>
                <w:bottom w:val="none" w:sz="0" w:space="0" w:color="auto"/>
                <w:right w:val="none" w:sz="0" w:space="0" w:color="auto"/>
              </w:divBdr>
            </w:div>
            <w:div w:id="1730808845">
              <w:marLeft w:val="0"/>
              <w:marRight w:val="0"/>
              <w:marTop w:val="0"/>
              <w:marBottom w:val="0"/>
              <w:divBdr>
                <w:top w:val="none" w:sz="0" w:space="0" w:color="auto"/>
                <w:left w:val="none" w:sz="0" w:space="0" w:color="auto"/>
                <w:bottom w:val="none" w:sz="0" w:space="0" w:color="auto"/>
                <w:right w:val="none" w:sz="0" w:space="0" w:color="auto"/>
              </w:divBdr>
            </w:div>
            <w:div w:id="1743142877">
              <w:marLeft w:val="0"/>
              <w:marRight w:val="0"/>
              <w:marTop w:val="0"/>
              <w:marBottom w:val="0"/>
              <w:divBdr>
                <w:top w:val="none" w:sz="0" w:space="0" w:color="auto"/>
                <w:left w:val="none" w:sz="0" w:space="0" w:color="auto"/>
                <w:bottom w:val="none" w:sz="0" w:space="0" w:color="auto"/>
                <w:right w:val="none" w:sz="0" w:space="0" w:color="auto"/>
              </w:divBdr>
            </w:div>
            <w:div w:id="1759207477">
              <w:marLeft w:val="0"/>
              <w:marRight w:val="0"/>
              <w:marTop w:val="0"/>
              <w:marBottom w:val="0"/>
              <w:divBdr>
                <w:top w:val="none" w:sz="0" w:space="0" w:color="auto"/>
                <w:left w:val="none" w:sz="0" w:space="0" w:color="auto"/>
                <w:bottom w:val="none" w:sz="0" w:space="0" w:color="auto"/>
                <w:right w:val="none" w:sz="0" w:space="0" w:color="auto"/>
              </w:divBdr>
            </w:div>
            <w:div w:id="1816482261">
              <w:marLeft w:val="0"/>
              <w:marRight w:val="0"/>
              <w:marTop w:val="0"/>
              <w:marBottom w:val="0"/>
              <w:divBdr>
                <w:top w:val="none" w:sz="0" w:space="0" w:color="auto"/>
                <w:left w:val="none" w:sz="0" w:space="0" w:color="auto"/>
                <w:bottom w:val="none" w:sz="0" w:space="0" w:color="auto"/>
                <w:right w:val="none" w:sz="0" w:space="0" w:color="auto"/>
              </w:divBdr>
            </w:div>
            <w:div w:id="1822652098">
              <w:marLeft w:val="0"/>
              <w:marRight w:val="0"/>
              <w:marTop w:val="0"/>
              <w:marBottom w:val="0"/>
              <w:divBdr>
                <w:top w:val="none" w:sz="0" w:space="0" w:color="auto"/>
                <w:left w:val="none" w:sz="0" w:space="0" w:color="auto"/>
                <w:bottom w:val="none" w:sz="0" w:space="0" w:color="auto"/>
                <w:right w:val="none" w:sz="0" w:space="0" w:color="auto"/>
              </w:divBdr>
            </w:div>
            <w:div w:id="1884445697">
              <w:marLeft w:val="0"/>
              <w:marRight w:val="0"/>
              <w:marTop w:val="0"/>
              <w:marBottom w:val="0"/>
              <w:divBdr>
                <w:top w:val="none" w:sz="0" w:space="0" w:color="auto"/>
                <w:left w:val="none" w:sz="0" w:space="0" w:color="auto"/>
                <w:bottom w:val="none" w:sz="0" w:space="0" w:color="auto"/>
                <w:right w:val="none" w:sz="0" w:space="0" w:color="auto"/>
              </w:divBdr>
            </w:div>
            <w:div w:id="1898466181">
              <w:marLeft w:val="0"/>
              <w:marRight w:val="0"/>
              <w:marTop w:val="0"/>
              <w:marBottom w:val="0"/>
              <w:divBdr>
                <w:top w:val="none" w:sz="0" w:space="0" w:color="auto"/>
                <w:left w:val="none" w:sz="0" w:space="0" w:color="auto"/>
                <w:bottom w:val="none" w:sz="0" w:space="0" w:color="auto"/>
                <w:right w:val="none" w:sz="0" w:space="0" w:color="auto"/>
              </w:divBdr>
            </w:div>
            <w:div w:id="1921216003">
              <w:marLeft w:val="0"/>
              <w:marRight w:val="0"/>
              <w:marTop w:val="0"/>
              <w:marBottom w:val="0"/>
              <w:divBdr>
                <w:top w:val="none" w:sz="0" w:space="0" w:color="auto"/>
                <w:left w:val="none" w:sz="0" w:space="0" w:color="auto"/>
                <w:bottom w:val="none" w:sz="0" w:space="0" w:color="auto"/>
                <w:right w:val="none" w:sz="0" w:space="0" w:color="auto"/>
              </w:divBdr>
            </w:div>
            <w:div w:id="1980919679">
              <w:marLeft w:val="0"/>
              <w:marRight w:val="0"/>
              <w:marTop w:val="0"/>
              <w:marBottom w:val="0"/>
              <w:divBdr>
                <w:top w:val="none" w:sz="0" w:space="0" w:color="auto"/>
                <w:left w:val="none" w:sz="0" w:space="0" w:color="auto"/>
                <w:bottom w:val="none" w:sz="0" w:space="0" w:color="auto"/>
                <w:right w:val="none" w:sz="0" w:space="0" w:color="auto"/>
              </w:divBdr>
            </w:div>
            <w:div w:id="213085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851218">
      <w:bodyDiv w:val="1"/>
      <w:marLeft w:val="0"/>
      <w:marRight w:val="0"/>
      <w:marTop w:val="0"/>
      <w:marBottom w:val="0"/>
      <w:divBdr>
        <w:top w:val="none" w:sz="0" w:space="0" w:color="auto"/>
        <w:left w:val="none" w:sz="0" w:space="0" w:color="auto"/>
        <w:bottom w:val="none" w:sz="0" w:space="0" w:color="auto"/>
        <w:right w:val="none" w:sz="0" w:space="0" w:color="auto"/>
      </w:divBdr>
      <w:divsChild>
        <w:div w:id="315381136">
          <w:marLeft w:val="0"/>
          <w:marRight w:val="0"/>
          <w:marTop w:val="0"/>
          <w:marBottom w:val="0"/>
          <w:divBdr>
            <w:top w:val="none" w:sz="0" w:space="0" w:color="auto"/>
            <w:left w:val="none" w:sz="0" w:space="0" w:color="auto"/>
            <w:bottom w:val="dotted" w:sz="6" w:space="4" w:color="DDDDDD"/>
            <w:right w:val="none" w:sz="0" w:space="0" w:color="auto"/>
          </w:divBdr>
        </w:div>
      </w:divsChild>
    </w:div>
    <w:div w:id="215431145">
      <w:bodyDiv w:val="1"/>
      <w:marLeft w:val="0"/>
      <w:marRight w:val="0"/>
      <w:marTop w:val="0"/>
      <w:marBottom w:val="0"/>
      <w:divBdr>
        <w:top w:val="none" w:sz="0" w:space="0" w:color="auto"/>
        <w:left w:val="none" w:sz="0" w:space="0" w:color="auto"/>
        <w:bottom w:val="none" w:sz="0" w:space="0" w:color="auto"/>
        <w:right w:val="none" w:sz="0" w:space="0" w:color="auto"/>
      </w:divBdr>
    </w:div>
    <w:div w:id="216400297">
      <w:bodyDiv w:val="1"/>
      <w:marLeft w:val="0"/>
      <w:marRight w:val="0"/>
      <w:marTop w:val="0"/>
      <w:marBottom w:val="0"/>
      <w:divBdr>
        <w:top w:val="none" w:sz="0" w:space="0" w:color="auto"/>
        <w:left w:val="none" w:sz="0" w:space="0" w:color="auto"/>
        <w:bottom w:val="none" w:sz="0" w:space="0" w:color="auto"/>
        <w:right w:val="none" w:sz="0" w:space="0" w:color="auto"/>
      </w:divBdr>
    </w:div>
    <w:div w:id="216404465">
      <w:bodyDiv w:val="1"/>
      <w:marLeft w:val="0"/>
      <w:marRight w:val="0"/>
      <w:marTop w:val="0"/>
      <w:marBottom w:val="0"/>
      <w:divBdr>
        <w:top w:val="none" w:sz="0" w:space="0" w:color="auto"/>
        <w:left w:val="none" w:sz="0" w:space="0" w:color="auto"/>
        <w:bottom w:val="none" w:sz="0" w:space="0" w:color="auto"/>
        <w:right w:val="none" w:sz="0" w:space="0" w:color="auto"/>
      </w:divBdr>
      <w:divsChild>
        <w:div w:id="484779001">
          <w:marLeft w:val="0"/>
          <w:marRight w:val="0"/>
          <w:marTop w:val="0"/>
          <w:marBottom w:val="0"/>
          <w:divBdr>
            <w:top w:val="none" w:sz="0" w:space="0" w:color="auto"/>
            <w:left w:val="none" w:sz="0" w:space="0" w:color="auto"/>
            <w:bottom w:val="none" w:sz="0" w:space="0" w:color="auto"/>
            <w:right w:val="none" w:sz="0" w:space="0" w:color="auto"/>
          </w:divBdr>
          <w:divsChild>
            <w:div w:id="485902782">
              <w:marLeft w:val="0"/>
              <w:marRight w:val="0"/>
              <w:marTop w:val="0"/>
              <w:marBottom w:val="0"/>
              <w:divBdr>
                <w:top w:val="none" w:sz="0" w:space="0" w:color="auto"/>
                <w:left w:val="none" w:sz="0" w:space="0" w:color="auto"/>
                <w:bottom w:val="none" w:sz="0" w:space="0" w:color="auto"/>
                <w:right w:val="none" w:sz="0" w:space="0" w:color="auto"/>
              </w:divBdr>
            </w:div>
          </w:divsChild>
        </w:div>
        <w:div w:id="851989976">
          <w:marLeft w:val="0"/>
          <w:marRight w:val="0"/>
          <w:marTop w:val="0"/>
          <w:marBottom w:val="150"/>
          <w:divBdr>
            <w:top w:val="none" w:sz="0" w:space="0" w:color="auto"/>
            <w:left w:val="none" w:sz="0" w:space="0" w:color="auto"/>
            <w:bottom w:val="none" w:sz="0" w:space="0" w:color="auto"/>
            <w:right w:val="none" w:sz="0" w:space="0" w:color="auto"/>
          </w:divBdr>
          <w:divsChild>
            <w:div w:id="1896431842">
              <w:marLeft w:val="0"/>
              <w:marRight w:val="0"/>
              <w:marTop w:val="0"/>
              <w:marBottom w:val="0"/>
              <w:divBdr>
                <w:top w:val="none" w:sz="0" w:space="0" w:color="auto"/>
                <w:left w:val="none" w:sz="0" w:space="0" w:color="auto"/>
                <w:bottom w:val="none" w:sz="0" w:space="0" w:color="auto"/>
                <w:right w:val="none" w:sz="0" w:space="0" w:color="auto"/>
              </w:divBdr>
            </w:div>
          </w:divsChild>
        </w:div>
        <w:div w:id="1921016545">
          <w:marLeft w:val="0"/>
          <w:marRight w:val="0"/>
          <w:marTop w:val="0"/>
          <w:marBottom w:val="150"/>
          <w:divBdr>
            <w:top w:val="none" w:sz="0" w:space="0" w:color="auto"/>
            <w:left w:val="none" w:sz="0" w:space="0" w:color="auto"/>
            <w:bottom w:val="none" w:sz="0" w:space="0" w:color="auto"/>
            <w:right w:val="none" w:sz="0" w:space="0" w:color="auto"/>
          </w:divBdr>
        </w:div>
      </w:divsChild>
    </w:div>
    <w:div w:id="216667520">
      <w:bodyDiv w:val="1"/>
      <w:marLeft w:val="0"/>
      <w:marRight w:val="0"/>
      <w:marTop w:val="0"/>
      <w:marBottom w:val="0"/>
      <w:divBdr>
        <w:top w:val="none" w:sz="0" w:space="0" w:color="auto"/>
        <w:left w:val="none" w:sz="0" w:space="0" w:color="auto"/>
        <w:bottom w:val="none" w:sz="0" w:space="0" w:color="auto"/>
        <w:right w:val="none" w:sz="0" w:space="0" w:color="auto"/>
      </w:divBdr>
      <w:divsChild>
        <w:div w:id="1529487713">
          <w:marLeft w:val="0"/>
          <w:marRight w:val="0"/>
          <w:marTop w:val="0"/>
          <w:marBottom w:val="0"/>
          <w:divBdr>
            <w:top w:val="none" w:sz="0" w:space="0" w:color="auto"/>
            <w:left w:val="none" w:sz="0" w:space="0" w:color="auto"/>
            <w:bottom w:val="none" w:sz="0" w:space="0" w:color="auto"/>
            <w:right w:val="none" w:sz="0" w:space="0" w:color="auto"/>
          </w:divBdr>
          <w:divsChild>
            <w:div w:id="1182860134">
              <w:marLeft w:val="0"/>
              <w:marRight w:val="0"/>
              <w:marTop w:val="0"/>
              <w:marBottom w:val="225"/>
              <w:divBdr>
                <w:top w:val="none" w:sz="0" w:space="0" w:color="auto"/>
                <w:left w:val="none" w:sz="0" w:space="0" w:color="auto"/>
                <w:bottom w:val="none" w:sz="0" w:space="0" w:color="auto"/>
                <w:right w:val="none" w:sz="0" w:space="0" w:color="auto"/>
              </w:divBdr>
              <w:divsChild>
                <w:div w:id="1644582539">
                  <w:marLeft w:val="225"/>
                  <w:marRight w:val="0"/>
                  <w:marTop w:val="0"/>
                  <w:marBottom w:val="0"/>
                  <w:divBdr>
                    <w:top w:val="none" w:sz="0" w:space="0" w:color="auto"/>
                    <w:left w:val="none" w:sz="0" w:space="0" w:color="auto"/>
                    <w:bottom w:val="none" w:sz="0" w:space="0" w:color="auto"/>
                    <w:right w:val="none" w:sz="0" w:space="0" w:color="auto"/>
                  </w:divBdr>
                  <w:divsChild>
                    <w:div w:id="148835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667521">
      <w:bodyDiv w:val="1"/>
      <w:marLeft w:val="0"/>
      <w:marRight w:val="0"/>
      <w:marTop w:val="0"/>
      <w:marBottom w:val="0"/>
      <w:divBdr>
        <w:top w:val="none" w:sz="0" w:space="0" w:color="auto"/>
        <w:left w:val="none" w:sz="0" w:space="0" w:color="auto"/>
        <w:bottom w:val="none" w:sz="0" w:space="0" w:color="auto"/>
        <w:right w:val="none" w:sz="0" w:space="0" w:color="auto"/>
      </w:divBdr>
      <w:divsChild>
        <w:div w:id="1582717698">
          <w:marLeft w:val="0"/>
          <w:marRight w:val="0"/>
          <w:marTop w:val="0"/>
          <w:marBottom w:val="0"/>
          <w:divBdr>
            <w:top w:val="none" w:sz="0" w:space="0" w:color="auto"/>
            <w:left w:val="none" w:sz="0" w:space="0" w:color="auto"/>
            <w:bottom w:val="dotted" w:sz="6" w:space="4" w:color="DDDDDD"/>
            <w:right w:val="none" w:sz="0" w:space="0" w:color="auto"/>
          </w:divBdr>
        </w:div>
      </w:divsChild>
    </w:div>
    <w:div w:id="216823753">
      <w:bodyDiv w:val="1"/>
      <w:marLeft w:val="0"/>
      <w:marRight w:val="0"/>
      <w:marTop w:val="0"/>
      <w:marBottom w:val="0"/>
      <w:divBdr>
        <w:top w:val="none" w:sz="0" w:space="0" w:color="auto"/>
        <w:left w:val="none" w:sz="0" w:space="0" w:color="auto"/>
        <w:bottom w:val="none" w:sz="0" w:space="0" w:color="auto"/>
        <w:right w:val="none" w:sz="0" w:space="0" w:color="auto"/>
      </w:divBdr>
    </w:div>
    <w:div w:id="216858742">
      <w:bodyDiv w:val="1"/>
      <w:marLeft w:val="0"/>
      <w:marRight w:val="0"/>
      <w:marTop w:val="0"/>
      <w:marBottom w:val="0"/>
      <w:divBdr>
        <w:top w:val="none" w:sz="0" w:space="0" w:color="auto"/>
        <w:left w:val="none" w:sz="0" w:space="0" w:color="auto"/>
        <w:bottom w:val="none" w:sz="0" w:space="0" w:color="auto"/>
        <w:right w:val="none" w:sz="0" w:space="0" w:color="auto"/>
      </w:divBdr>
      <w:divsChild>
        <w:div w:id="892814091">
          <w:marLeft w:val="0"/>
          <w:marRight w:val="0"/>
          <w:marTop w:val="0"/>
          <w:marBottom w:val="0"/>
          <w:divBdr>
            <w:top w:val="none" w:sz="0" w:space="0" w:color="auto"/>
            <w:left w:val="none" w:sz="0" w:space="0" w:color="auto"/>
            <w:bottom w:val="none" w:sz="0" w:space="0" w:color="auto"/>
            <w:right w:val="none" w:sz="0" w:space="0" w:color="auto"/>
          </w:divBdr>
          <w:divsChild>
            <w:div w:id="1062753070">
              <w:marLeft w:val="0"/>
              <w:marRight w:val="0"/>
              <w:marTop w:val="0"/>
              <w:marBottom w:val="0"/>
              <w:divBdr>
                <w:top w:val="none" w:sz="0" w:space="0" w:color="auto"/>
                <w:left w:val="none" w:sz="0" w:space="0" w:color="auto"/>
                <w:bottom w:val="none" w:sz="0" w:space="0" w:color="auto"/>
                <w:right w:val="none" w:sz="0" w:space="0" w:color="auto"/>
              </w:divBdr>
              <w:divsChild>
                <w:div w:id="628244209">
                  <w:marLeft w:val="0"/>
                  <w:marRight w:val="0"/>
                  <w:marTop w:val="0"/>
                  <w:marBottom w:val="0"/>
                  <w:divBdr>
                    <w:top w:val="none" w:sz="0" w:space="0" w:color="auto"/>
                    <w:left w:val="none" w:sz="0" w:space="0" w:color="auto"/>
                    <w:bottom w:val="none" w:sz="0" w:space="0" w:color="auto"/>
                    <w:right w:val="none" w:sz="0" w:space="0" w:color="auto"/>
                  </w:divBdr>
                  <w:divsChild>
                    <w:div w:id="1566792825">
                      <w:marLeft w:val="0"/>
                      <w:marRight w:val="0"/>
                      <w:marTop w:val="0"/>
                      <w:marBottom w:val="300"/>
                      <w:divBdr>
                        <w:top w:val="none" w:sz="0" w:space="0" w:color="auto"/>
                        <w:left w:val="none" w:sz="0" w:space="0" w:color="auto"/>
                        <w:bottom w:val="none" w:sz="0" w:space="0" w:color="auto"/>
                        <w:right w:val="none" w:sz="0" w:space="0" w:color="auto"/>
                      </w:divBdr>
                      <w:divsChild>
                        <w:div w:id="855382073">
                          <w:marLeft w:val="0"/>
                          <w:marRight w:val="0"/>
                          <w:marTop w:val="0"/>
                          <w:marBottom w:val="225"/>
                          <w:divBdr>
                            <w:top w:val="single" w:sz="6" w:space="11" w:color="E5E5E5"/>
                            <w:left w:val="single" w:sz="6" w:space="11" w:color="E5E5E5"/>
                            <w:bottom w:val="single" w:sz="6" w:space="1" w:color="E5E5E5"/>
                            <w:right w:val="single" w:sz="6" w:space="11" w:color="E5E5E5"/>
                          </w:divBdr>
                          <w:divsChild>
                            <w:div w:id="103573399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358312977">
          <w:marLeft w:val="0"/>
          <w:marRight w:val="0"/>
          <w:marTop w:val="0"/>
          <w:marBottom w:val="0"/>
          <w:divBdr>
            <w:top w:val="single" w:sz="6" w:space="0" w:color="E5E5E5"/>
            <w:left w:val="none" w:sz="0" w:space="0" w:color="auto"/>
            <w:bottom w:val="single" w:sz="18" w:space="0" w:color="000000"/>
            <w:right w:val="none" w:sz="0" w:space="0" w:color="auto"/>
          </w:divBdr>
          <w:divsChild>
            <w:div w:id="1000307115">
              <w:marLeft w:val="0"/>
              <w:marRight w:val="0"/>
              <w:marTop w:val="0"/>
              <w:marBottom w:val="0"/>
              <w:divBdr>
                <w:top w:val="none" w:sz="0" w:space="0" w:color="auto"/>
                <w:left w:val="none" w:sz="0" w:space="0" w:color="auto"/>
                <w:bottom w:val="none" w:sz="0" w:space="0" w:color="auto"/>
                <w:right w:val="none" w:sz="0" w:space="0" w:color="auto"/>
              </w:divBdr>
              <w:divsChild>
                <w:div w:id="123620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129417">
      <w:bodyDiv w:val="1"/>
      <w:marLeft w:val="0"/>
      <w:marRight w:val="0"/>
      <w:marTop w:val="0"/>
      <w:marBottom w:val="0"/>
      <w:divBdr>
        <w:top w:val="none" w:sz="0" w:space="0" w:color="auto"/>
        <w:left w:val="none" w:sz="0" w:space="0" w:color="auto"/>
        <w:bottom w:val="none" w:sz="0" w:space="0" w:color="auto"/>
        <w:right w:val="none" w:sz="0" w:space="0" w:color="auto"/>
      </w:divBdr>
      <w:divsChild>
        <w:div w:id="19283112">
          <w:marLeft w:val="0"/>
          <w:marRight w:val="0"/>
          <w:marTop w:val="0"/>
          <w:marBottom w:val="0"/>
          <w:divBdr>
            <w:top w:val="none" w:sz="0" w:space="0" w:color="auto"/>
            <w:left w:val="none" w:sz="0" w:space="0" w:color="auto"/>
            <w:bottom w:val="none" w:sz="0" w:space="0" w:color="auto"/>
            <w:right w:val="none" w:sz="0" w:space="0" w:color="auto"/>
          </w:divBdr>
          <w:divsChild>
            <w:div w:id="1811484029">
              <w:marLeft w:val="0"/>
              <w:marRight w:val="0"/>
              <w:marTop w:val="225"/>
              <w:marBottom w:val="225"/>
              <w:divBdr>
                <w:top w:val="none" w:sz="0" w:space="0" w:color="auto"/>
                <w:left w:val="none" w:sz="0" w:space="0" w:color="auto"/>
                <w:bottom w:val="none" w:sz="0" w:space="0" w:color="auto"/>
                <w:right w:val="none" w:sz="0" w:space="0" w:color="auto"/>
              </w:divBdr>
            </w:div>
          </w:divsChild>
        </w:div>
        <w:div w:id="1287932957">
          <w:marLeft w:val="0"/>
          <w:marRight w:val="0"/>
          <w:marTop w:val="0"/>
          <w:marBottom w:val="150"/>
          <w:divBdr>
            <w:top w:val="none" w:sz="0" w:space="0" w:color="auto"/>
            <w:left w:val="none" w:sz="0" w:space="0" w:color="auto"/>
            <w:bottom w:val="none" w:sz="0" w:space="0" w:color="auto"/>
            <w:right w:val="none" w:sz="0" w:space="0" w:color="auto"/>
          </w:divBdr>
        </w:div>
        <w:div w:id="1789005043">
          <w:marLeft w:val="0"/>
          <w:marRight w:val="0"/>
          <w:marTop w:val="0"/>
          <w:marBottom w:val="150"/>
          <w:divBdr>
            <w:top w:val="none" w:sz="0" w:space="0" w:color="auto"/>
            <w:left w:val="none" w:sz="0" w:space="0" w:color="auto"/>
            <w:bottom w:val="none" w:sz="0" w:space="0" w:color="auto"/>
            <w:right w:val="none" w:sz="0" w:space="0" w:color="auto"/>
          </w:divBdr>
          <w:divsChild>
            <w:div w:id="165287079">
              <w:marLeft w:val="0"/>
              <w:marRight w:val="0"/>
              <w:marTop w:val="0"/>
              <w:marBottom w:val="0"/>
              <w:divBdr>
                <w:top w:val="none" w:sz="0" w:space="0" w:color="auto"/>
                <w:left w:val="none" w:sz="0" w:space="0" w:color="auto"/>
                <w:bottom w:val="none" w:sz="0" w:space="0" w:color="auto"/>
                <w:right w:val="none" w:sz="0" w:space="0" w:color="auto"/>
              </w:divBdr>
              <w:divsChild>
                <w:div w:id="99989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325848">
      <w:bodyDiv w:val="1"/>
      <w:marLeft w:val="0"/>
      <w:marRight w:val="0"/>
      <w:marTop w:val="0"/>
      <w:marBottom w:val="0"/>
      <w:divBdr>
        <w:top w:val="none" w:sz="0" w:space="0" w:color="auto"/>
        <w:left w:val="none" w:sz="0" w:space="0" w:color="auto"/>
        <w:bottom w:val="none" w:sz="0" w:space="0" w:color="auto"/>
        <w:right w:val="none" w:sz="0" w:space="0" w:color="auto"/>
      </w:divBdr>
      <w:divsChild>
        <w:div w:id="212622893">
          <w:marLeft w:val="0"/>
          <w:marRight w:val="0"/>
          <w:marTop w:val="0"/>
          <w:marBottom w:val="75"/>
          <w:divBdr>
            <w:top w:val="none" w:sz="0" w:space="0" w:color="auto"/>
            <w:left w:val="none" w:sz="0" w:space="0" w:color="auto"/>
            <w:bottom w:val="none" w:sz="0" w:space="0" w:color="auto"/>
            <w:right w:val="none" w:sz="0" w:space="0" w:color="auto"/>
          </w:divBdr>
        </w:div>
        <w:div w:id="668600541">
          <w:marLeft w:val="0"/>
          <w:marRight w:val="0"/>
          <w:marTop w:val="0"/>
          <w:marBottom w:val="0"/>
          <w:divBdr>
            <w:top w:val="none" w:sz="0" w:space="0" w:color="auto"/>
            <w:left w:val="none" w:sz="0" w:space="0" w:color="auto"/>
            <w:bottom w:val="none" w:sz="0" w:space="0" w:color="auto"/>
            <w:right w:val="none" w:sz="0" w:space="0" w:color="auto"/>
          </w:divBdr>
        </w:div>
        <w:div w:id="930626038">
          <w:marLeft w:val="0"/>
          <w:marRight w:val="0"/>
          <w:marTop w:val="0"/>
          <w:marBottom w:val="300"/>
          <w:divBdr>
            <w:top w:val="none" w:sz="0" w:space="0" w:color="auto"/>
            <w:left w:val="none" w:sz="0" w:space="0" w:color="auto"/>
            <w:bottom w:val="none" w:sz="0" w:space="0" w:color="auto"/>
            <w:right w:val="none" w:sz="0" w:space="0" w:color="auto"/>
          </w:divBdr>
          <w:divsChild>
            <w:div w:id="182792670">
              <w:marLeft w:val="0"/>
              <w:marRight w:val="0"/>
              <w:marTop w:val="0"/>
              <w:marBottom w:val="0"/>
              <w:divBdr>
                <w:top w:val="none" w:sz="0" w:space="0" w:color="auto"/>
                <w:left w:val="none" w:sz="0" w:space="0" w:color="auto"/>
                <w:bottom w:val="none" w:sz="0" w:space="0" w:color="auto"/>
                <w:right w:val="none" w:sz="0" w:space="0" w:color="auto"/>
              </w:divBdr>
            </w:div>
          </w:divsChild>
        </w:div>
        <w:div w:id="1497114577">
          <w:marLeft w:val="0"/>
          <w:marRight w:val="0"/>
          <w:marTop w:val="0"/>
          <w:marBottom w:val="0"/>
          <w:divBdr>
            <w:top w:val="none" w:sz="0" w:space="0" w:color="auto"/>
            <w:left w:val="none" w:sz="0" w:space="0" w:color="auto"/>
            <w:bottom w:val="none" w:sz="0" w:space="0" w:color="auto"/>
            <w:right w:val="none" w:sz="0" w:space="0" w:color="auto"/>
          </w:divBdr>
          <w:divsChild>
            <w:div w:id="774902114">
              <w:marLeft w:val="0"/>
              <w:marRight w:val="0"/>
              <w:marTop w:val="0"/>
              <w:marBottom w:val="0"/>
              <w:divBdr>
                <w:top w:val="none" w:sz="0" w:space="0" w:color="auto"/>
                <w:left w:val="none" w:sz="0" w:space="0" w:color="auto"/>
                <w:bottom w:val="none" w:sz="0" w:space="0" w:color="auto"/>
                <w:right w:val="none" w:sz="0" w:space="0" w:color="auto"/>
              </w:divBdr>
              <w:divsChild>
                <w:div w:id="82917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477719">
      <w:bodyDiv w:val="1"/>
      <w:marLeft w:val="0"/>
      <w:marRight w:val="0"/>
      <w:marTop w:val="0"/>
      <w:marBottom w:val="0"/>
      <w:divBdr>
        <w:top w:val="none" w:sz="0" w:space="0" w:color="auto"/>
        <w:left w:val="none" w:sz="0" w:space="0" w:color="auto"/>
        <w:bottom w:val="none" w:sz="0" w:space="0" w:color="auto"/>
        <w:right w:val="none" w:sz="0" w:space="0" w:color="auto"/>
      </w:divBdr>
      <w:divsChild>
        <w:div w:id="1314023090">
          <w:marLeft w:val="0"/>
          <w:marRight w:val="0"/>
          <w:marTop w:val="0"/>
          <w:marBottom w:val="150"/>
          <w:divBdr>
            <w:top w:val="none" w:sz="0" w:space="0" w:color="auto"/>
            <w:left w:val="none" w:sz="0" w:space="0" w:color="auto"/>
            <w:bottom w:val="none" w:sz="0" w:space="0" w:color="auto"/>
            <w:right w:val="none" w:sz="0" w:space="0" w:color="auto"/>
          </w:divBdr>
          <w:divsChild>
            <w:div w:id="301235978">
              <w:marLeft w:val="0"/>
              <w:marRight w:val="0"/>
              <w:marTop w:val="0"/>
              <w:marBottom w:val="0"/>
              <w:divBdr>
                <w:top w:val="none" w:sz="0" w:space="0" w:color="auto"/>
                <w:left w:val="none" w:sz="0" w:space="0" w:color="auto"/>
                <w:bottom w:val="none" w:sz="0" w:space="0" w:color="auto"/>
                <w:right w:val="none" w:sz="0" w:space="0" w:color="auto"/>
              </w:divBdr>
              <w:divsChild>
                <w:div w:id="1725520195">
                  <w:marLeft w:val="0"/>
                  <w:marRight w:val="0"/>
                  <w:marTop w:val="0"/>
                  <w:marBottom w:val="0"/>
                  <w:divBdr>
                    <w:top w:val="none" w:sz="0" w:space="0" w:color="auto"/>
                    <w:left w:val="none" w:sz="0" w:space="0" w:color="auto"/>
                    <w:bottom w:val="none" w:sz="0" w:space="0" w:color="auto"/>
                    <w:right w:val="none" w:sz="0" w:space="0" w:color="auto"/>
                  </w:divBdr>
                  <w:divsChild>
                    <w:div w:id="1977300775">
                      <w:marLeft w:val="0"/>
                      <w:marRight w:val="150"/>
                      <w:marTop w:val="0"/>
                      <w:marBottom w:val="0"/>
                      <w:divBdr>
                        <w:top w:val="none" w:sz="0" w:space="0" w:color="auto"/>
                        <w:left w:val="none" w:sz="0" w:space="0" w:color="auto"/>
                        <w:bottom w:val="none" w:sz="0" w:space="0" w:color="auto"/>
                        <w:right w:val="none" w:sz="0" w:space="0" w:color="auto"/>
                      </w:divBdr>
                      <w:divsChild>
                        <w:div w:id="138244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083697">
          <w:marLeft w:val="0"/>
          <w:marRight w:val="0"/>
          <w:marTop w:val="0"/>
          <w:marBottom w:val="150"/>
          <w:divBdr>
            <w:top w:val="none" w:sz="0" w:space="0" w:color="auto"/>
            <w:left w:val="none" w:sz="0" w:space="0" w:color="auto"/>
            <w:bottom w:val="none" w:sz="0" w:space="0" w:color="auto"/>
            <w:right w:val="none" w:sz="0" w:space="0" w:color="auto"/>
          </w:divBdr>
        </w:div>
        <w:div w:id="2143190372">
          <w:marLeft w:val="0"/>
          <w:marRight w:val="0"/>
          <w:marTop w:val="0"/>
          <w:marBottom w:val="0"/>
          <w:divBdr>
            <w:top w:val="none" w:sz="0" w:space="0" w:color="auto"/>
            <w:left w:val="none" w:sz="0" w:space="0" w:color="auto"/>
            <w:bottom w:val="none" w:sz="0" w:space="0" w:color="auto"/>
            <w:right w:val="none" w:sz="0" w:space="0" w:color="auto"/>
          </w:divBdr>
          <w:divsChild>
            <w:div w:id="206872185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7478485">
      <w:bodyDiv w:val="1"/>
      <w:marLeft w:val="0"/>
      <w:marRight w:val="0"/>
      <w:marTop w:val="0"/>
      <w:marBottom w:val="0"/>
      <w:divBdr>
        <w:top w:val="none" w:sz="0" w:space="0" w:color="auto"/>
        <w:left w:val="none" w:sz="0" w:space="0" w:color="auto"/>
        <w:bottom w:val="none" w:sz="0" w:space="0" w:color="auto"/>
        <w:right w:val="none" w:sz="0" w:space="0" w:color="auto"/>
      </w:divBdr>
      <w:divsChild>
        <w:div w:id="847982712">
          <w:marLeft w:val="0"/>
          <w:marRight w:val="0"/>
          <w:marTop w:val="0"/>
          <w:marBottom w:val="0"/>
          <w:divBdr>
            <w:top w:val="none" w:sz="0" w:space="0" w:color="auto"/>
            <w:left w:val="none" w:sz="0" w:space="0" w:color="auto"/>
            <w:bottom w:val="none" w:sz="0" w:space="0" w:color="auto"/>
            <w:right w:val="none" w:sz="0" w:space="0" w:color="auto"/>
          </w:divBdr>
        </w:div>
      </w:divsChild>
    </w:div>
    <w:div w:id="217981235">
      <w:bodyDiv w:val="1"/>
      <w:marLeft w:val="0"/>
      <w:marRight w:val="0"/>
      <w:marTop w:val="0"/>
      <w:marBottom w:val="0"/>
      <w:divBdr>
        <w:top w:val="none" w:sz="0" w:space="0" w:color="auto"/>
        <w:left w:val="none" w:sz="0" w:space="0" w:color="auto"/>
        <w:bottom w:val="none" w:sz="0" w:space="0" w:color="auto"/>
        <w:right w:val="none" w:sz="0" w:space="0" w:color="auto"/>
      </w:divBdr>
      <w:divsChild>
        <w:div w:id="1018846652">
          <w:marLeft w:val="0"/>
          <w:marRight w:val="0"/>
          <w:marTop w:val="0"/>
          <w:marBottom w:val="150"/>
          <w:divBdr>
            <w:top w:val="none" w:sz="0" w:space="0" w:color="auto"/>
            <w:left w:val="none" w:sz="0" w:space="0" w:color="auto"/>
            <w:bottom w:val="none" w:sz="0" w:space="0" w:color="auto"/>
            <w:right w:val="none" w:sz="0" w:space="0" w:color="auto"/>
          </w:divBdr>
        </w:div>
      </w:divsChild>
    </w:div>
    <w:div w:id="217982251">
      <w:bodyDiv w:val="1"/>
      <w:marLeft w:val="0"/>
      <w:marRight w:val="0"/>
      <w:marTop w:val="0"/>
      <w:marBottom w:val="0"/>
      <w:divBdr>
        <w:top w:val="none" w:sz="0" w:space="0" w:color="auto"/>
        <w:left w:val="none" w:sz="0" w:space="0" w:color="auto"/>
        <w:bottom w:val="none" w:sz="0" w:space="0" w:color="auto"/>
        <w:right w:val="none" w:sz="0" w:space="0" w:color="auto"/>
      </w:divBdr>
      <w:divsChild>
        <w:div w:id="1471051638">
          <w:marLeft w:val="0"/>
          <w:marRight w:val="0"/>
          <w:marTop w:val="0"/>
          <w:marBottom w:val="0"/>
          <w:divBdr>
            <w:top w:val="none" w:sz="0" w:space="0" w:color="auto"/>
            <w:left w:val="none" w:sz="0" w:space="0" w:color="auto"/>
            <w:bottom w:val="none" w:sz="0" w:space="0" w:color="auto"/>
            <w:right w:val="none" w:sz="0" w:space="0" w:color="auto"/>
          </w:divBdr>
          <w:divsChild>
            <w:div w:id="77333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443904">
      <w:bodyDiv w:val="1"/>
      <w:marLeft w:val="0"/>
      <w:marRight w:val="0"/>
      <w:marTop w:val="0"/>
      <w:marBottom w:val="0"/>
      <w:divBdr>
        <w:top w:val="none" w:sz="0" w:space="0" w:color="auto"/>
        <w:left w:val="none" w:sz="0" w:space="0" w:color="auto"/>
        <w:bottom w:val="none" w:sz="0" w:space="0" w:color="auto"/>
        <w:right w:val="none" w:sz="0" w:space="0" w:color="auto"/>
      </w:divBdr>
      <w:divsChild>
        <w:div w:id="375081508">
          <w:marLeft w:val="0"/>
          <w:marRight w:val="0"/>
          <w:marTop w:val="0"/>
          <w:marBottom w:val="150"/>
          <w:divBdr>
            <w:top w:val="none" w:sz="0" w:space="0" w:color="auto"/>
            <w:left w:val="none" w:sz="0" w:space="0" w:color="auto"/>
            <w:bottom w:val="none" w:sz="0" w:space="0" w:color="auto"/>
            <w:right w:val="none" w:sz="0" w:space="0" w:color="auto"/>
          </w:divBdr>
          <w:divsChild>
            <w:div w:id="2139258289">
              <w:marLeft w:val="0"/>
              <w:marRight w:val="0"/>
              <w:marTop w:val="0"/>
              <w:marBottom w:val="0"/>
              <w:divBdr>
                <w:top w:val="none" w:sz="0" w:space="0" w:color="auto"/>
                <w:left w:val="none" w:sz="0" w:space="0" w:color="auto"/>
                <w:bottom w:val="none" w:sz="0" w:space="0" w:color="auto"/>
                <w:right w:val="none" w:sz="0" w:space="0" w:color="auto"/>
              </w:divBdr>
            </w:div>
          </w:divsChild>
        </w:div>
        <w:div w:id="647440257">
          <w:marLeft w:val="0"/>
          <w:marRight w:val="0"/>
          <w:marTop w:val="0"/>
          <w:marBottom w:val="0"/>
          <w:divBdr>
            <w:top w:val="none" w:sz="0" w:space="0" w:color="auto"/>
            <w:left w:val="none" w:sz="0" w:space="0" w:color="auto"/>
            <w:bottom w:val="none" w:sz="0" w:space="0" w:color="auto"/>
            <w:right w:val="none" w:sz="0" w:space="0" w:color="auto"/>
          </w:divBdr>
          <w:divsChild>
            <w:div w:id="884416915">
              <w:marLeft w:val="0"/>
              <w:marRight w:val="0"/>
              <w:marTop w:val="0"/>
              <w:marBottom w:val="0"/>
              <w:divBdr>
                <w:top w:val="none" w:sz="0" w:space="0" w:color="auto"/>
                <w:left w:val="none" w:sz="0" w:space="0" w:color="auto"/>
                <w:bottom w:val="none" w:sz="0" w:space="0" w:color="auto"/>
                <w:right w:val="none" w:sz="0" w:space="0" w:color="auto"/>
              </w:divBdr>
            </w:div>
          </w:divsChild>
        </w:div>
        <w:div w:id="1966958009">
          <w:marLeft w:val="0"/>
          <w:marRight w:val="0"/>
          <w:marTop w:val="0"/>
          <w:marBottom w:val="150"/>
          <w:divBdr>
            <w:top w:val="none" w:sz="0" w:space="0" w:color="auto"/>
            <w:left w:val="none" w:sz="0" w:space="0" w:color="auto"/>
            <w:bottom w:val="none" w:sz="0" w:space="0" w:color="auto"/>
            <w:right w:val="none" w:sz="0" w:space="0" w:color="auto"/>
          </w:divBdr>
        </w:div>
      </w:divsChild>
    </w:div>
    <w:div w:id="219249166">
      <w:bodyDiv w:val="1"/>
      <w:marLeft w:val="0"/>
      <w:marRight w:val="0"/>
      <w:marTop w:val="0"/>
      <w:marBottom w:val="0"/>
      <w:divBdr>
        <w:top w:val="none" w:sz="0" w:space="0" w:color="auto"/>
        <w:left w:val="none" w:sz="0" w:space="0" w:color="auto"/>
        <w:bottom w:val="none" w:sz="0" w:space="0" w:color="auto"/>
        <w:right w:val="none" w:sz="0" w:space="0" w:color="auto"/>
      </w:divBdr>
      <w:divsChild>
        <w:div w:id="1738824811">
          <w:marLeft w:val="0"/>
          <w:marRight w:val="0"/>
          <w:marTop w:val="0"/>
          <w:marBottom w:val="0"/>
          <w:divBdr>
            <w:top w:val="none" w:sz="0" w:space="0" w:color="auto"/>
            <w:left w:val="none" w:sz="0" w:space="0" w:color="auto"/>
            <w:bottom w:val="dotted" w:sz="6" w:space="4" w:color="DDDDDD"/>
            <w:right w:val="none" w:sz="0" w:space="0" w:color="auto"/>
          </w:divBdr>
          <w:divsChild>
            <w:div w:id="58989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40575">
      <w:bodyDiv w:val="1"/>
      <w:marLeft w:val="0"/>
      <w:marRight w:val="0"/>
      <w:marTop w:val="0"/>
      <w:marBottom w:val="0"/>
      <w:divBdr>
        <w:top w:val="none" w:sz="0" w:space="0" w:color="auto"/>
        <w:left w:val="none" w:sz="0" w:space="0" w:color="auto"/>
        <w:bottom w:val="none" w:sz="0" w:space="0" w:color="auto"/>
        <w:right w:val="none" w:sz="0" w:space="0" w:color="auto"/>
      </w:divBdr>
      <w:divsChild>
        <w:div w:id="1647856592">
          <w:marLeft w:val="0"/>
          <w:marRight w:val="0"/>
          <w:marTop w:val="0"/>
          <w:marBottom w:val="0"/>
          <w:divBdr>
            <w:top w:val="none" w:sz="0" w:space="0" w:color="auto"/>
            <w:left w:val="none" w:sz="0" w:space="0" w:color="auto"/>
            <w:bottom w:val="dotted" w:sz="6" w:space="4" w:color="DDDDDD"/>
            <w:right w:val="none" w:sz="0" w:space="0" w:color="auto"/>
          </w:divBdr>
          <w:divsChild>
            <w:div w:id="76357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678422">
      <w:bodyDiv w:val="1"/>
      <w:marLeft w:val="0"/>
      <w:marRight w:val="0"/>
      <w:marTop w:val="0"/>
      <w:marBottom w:val="0"/>
      <w:divBdr>
        <w:top w:val="none" w:sz="0" w:space="0" w:color="auto"/>
        <w:left w:val="none" w:sz="0" w:space="0" w:color="auto"/>
        <w:bottom w:val="none" w:sz="0" w:space="0" w:color="auto"/>
        <w:right w:val="none" w:sz="0" w:space="0" w:color="auto"/>
      </w:divBdr>
    </w:div>
    <w:div w:id="219900496">
      <w:bodyDiv w:val="1"/>
      <w:marLeft w:val="0"/>
      <w:marRight w:val="0"/>
      <w:marTop w:val="0"/>
      <w:marBottom w:val="0"/>
      <w:divBdr>
        <w:top w:val="none" w:sz="0" w:space="0" w:color="auto"/>
        <w:left w:val="none" w:sz="0" w:space="0" w:color="auto"/>
        <w:bottom w:val="none" w:sz="0" w:space="0" w:color="auto"/>
        <w:right w:val="none" w:sz="0" w:space="0" w:color="auto"/>
      </w:divBdr>
      <w:divsChild>
        <w:div w:id="1047992637">
          <w:marLeft w:val="0"/>
          <w:marRight w:val="0"/>
          <w:marTop w:val="0"/>
          <w:marBottom w:val="0"/>
          <w:divBdr>
            <w:top w:val="none" w:sz="0" w:space="8" w:color="auto"/>
            <w:left w:val="none" w:sz="0" w:space="2" w:color="auto"/>
            <w:bottom w:val="single" w:sz="6" w:space="8" w:color="DDDDDD"/>
            <w:right w:val="none" w:sz="0" w:space="0" w:color="auto"/>
          </w:divBdr>
        </w:div>
        <w:div w:id="1293101503">
          <w:marLeft w:val="0"/>
          <w:marRight w:val="0"/>
          <w:marTop w:val="150"/>
          <w:marBottom w:val="0"/>
          <w:divBdr>
            <w:top w:val="none" w:sz="0" w:space="0" w:color="auto"/>
            <w:left w:val="none" w:sz="0" w:space="0" w:color="auto"/>
            <w:bottom w:val="none" w:sz="0" w:space="0" w:color="auto"/>
            <w:right w:val="none" w:sz="0" w:space="0" w:color="auto"/>
          </w:divBdr>
          <w:divsChild>
            <w:div w:id="128885304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20873512">
      <w:bodyDiv w:val="1"/>
      <w:marLeft w:val="0"/>
      <w:marRight w:val="0"/>
      <w:marTop w:val="0"/>
      <w:marBottom w:val="0"/>
      <w:divBdr>
        <w:top w:val="none" w:sz="0" w:space="0" w:color="auto"/>
        <w:left w:val="none" w:sz="0" w:space="0" w:color="auto"/>
        <w:bottom w:val="none" w:sz="0" w:space="0" w:color="auto"/>
        <w:right w:val="none" w:sz="0" w:space="0" w:color="auto"/>
      </w:divBdr>
      <w:divsChild>
        <w:div w:id="1388457320">
          <w:marLeft w:val="0"/>
          <w:marRight w:val="0"/>
          <w:marTop w:val="0"/>
          <w:marBottom w:val="0"/>
          <w:divBdr>
            <w:top w:val="none" w:sz="0" w:space="0" w:color="auto"/>
            <w:left w:val="none" w:sz="0" w:space="0" w:color="auto"/>
            <w:bottom w:val="dotted" w:sz="6" w:space="4" w:color="DDDDDD"/>
            <w:right w:val="none" w:sz="0" w:space="0" w:color="auto"/>
          </w:divBdr>
          <w:divsChild>
            <w:div w:id="102636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450351">
      <w:bodyDiv w:val="1"/>
      <w:marLeft w:val="0"/>
      <w:marRight w:val="0"/>
      <w:marTop w:val="0"/>
      <w:marBottom w:val="0"/>
      <w:divBdr>
        <w:top w:val="none" w:sz="0" w:space="0" w:color="auto"/>
        <w:left w:val="none" w:sz="0" w:space="0" w:color="auto"/>
        <w:bottom w:val="none" w:sz="0" w:space="0" w:color="auto"/>
        <w:right w:val="none" w:sz="0" w:space="0" w:color="auto"/>
      </w:divBdr>
      <w:divsChild>
        <w:div w:id="1263538841">
          <w:marLeft w:val="0"/>
          <w:marRight w:val="0"/>
          <w:marTop w:val="0"/>
          <w:marBottom w:val="150"/>
          <w:divBdr>
            <w:top w:val="none" w:sz="0" w:space="0" w:color="auto"/>
            <w:left w:val="none" w:sz="0" w:space="0" w:color="auto"/>
            <w:bottom w:val="none" w:sz="0" w:space="0" w:color="auto"/>
            <w:right w:val="none" w:sz="0" w:space="0" w:color="auto"/>
          </w:divBdr>
          <w:divsChild>
            <w:div w:id="2028629478">
              <w:marLeft w:val="0"/>
              <w:marRight w:val="0"/>
              <w:marTop w:val="0"/>
              <w:marBottom w:val="0"/>
              <w:divBdr>
                <w:top w:val="none" w:sz="0" w:space="0" w:color="auto"/>
                <w:left w:val="none" w:sz="0" w:space="0" w:color="auto"/>
                <w:bottom w:val="none" w:sz="0" w:space="0" w:color="auto"/>
                <w:right w:val="none" w:sz="0" w:space="0" w:color="auto"/>
              </w:divBdr>
              <w:divsChild>
                <w:div w:id="1706635924">
                  <w:marLeft w:val="0"/>
                  <w:marRight w:val="0"/>
                  <w:marTop w:val="0"/>
                  <w:marBottom w:val="0"/>
                  <w:divBdr>
                    <w:top w:val="none" w:sz="0" w:space="0" w:color="auto"/>
                    <w:left w:val="none" w:sz="0" w:space="0" w:color="auto"/>
                    <w:bottom w:val="none" w:sz="0" w:space="0" w:color="auto"/>
                    <w:right w:val="none" w:sz="0" w:space="0" w:color="auto"/>
                  </w:divBdr>
                  <w:divsChild>
                    <w:div w:id="155608504">
                      <w:marLeft w:val="0"/>
                      <w:marRight w:val="150"/>
                      <w:marTop w:val="0"/>
                      <w:marBottom w:val="0"/>
                      <w:divBdr>
                        <w:top w:val="none" w:sz="0" w:space="0" w:color="auto"/>
                        <w:left w:val="none" w:sz="0" w:space="0" w:color="auto"/>
                        <w:bottom w:val="none" w:sz="0" w:space="0" w:color="auto"/>
                        <w:right w:val="none" w:sz="0" w:space="0" w:color="auto"/>
                      </w:divBdr>
                      <w:divsChild>
                        <w:div w:id="122004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802044">
          <w:marLeft w:val="0"/>
          <w:marRight w:val="0"/>
          <w:marTop w:val="0"/>
          <w:marBottom w:val="150"/>
          <w:divBdr>
            <w:top w:val="none" w:sz="0" w:space="0" w:color="auto"/>
            <w:left w:val="none" w:sz="0" w:space="0" w:color="auto"/>
            <w:bottom w:val="none" w:sz="0" w:space="0" w:color="auto"/>
            <w:right w:val="none" w:sz="0" w:space="0" w:color="auto"/>
          </w:divBdr>
        </w:div>
        <w:div w:id="282613519">
          <w:marLeft w:val="0"/>
          <w:marRight w:val="0"/>
          <w:marTop w:val="0"/>
          <w:marBottom w:val="0"/>
          <w:divBdr>
            <w:top w:val="none" w:sz="0" w:space="0" w:color="auto"/>
            <w:left w:val="none" w:sz="0" w:space="0" w:color="auto"/>
            <w:bottom w:val="none" w:sz="0" w:space="0" w:color="auto"/>
            <w:right w:val="none" w:sz="0" w:space="0" w:color="auto"/>
          </w:divBdr>
          <w:divsChild>
            <w:div w:id="52803094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21450706">
      <w:bodyDiv w:val="1"/>
      <w:marLeft w:val="0"/>
      <w:marRight w:val="0"/>
      <w:marTop w:val="0"/>
      <w:marBottom w:val="0"/>
      <w:divBdr>
        <w:top w:val="none" w:sz="0" w:space="0" w:color="auto"/>
        <w:left w:val="none" w:sz="0" w:space="0" w:color="auto"/>
        <w:bottom w:val="none" w:sz="0" w:space="0" w:color="auto"/>
        <w:right w:val="none" w:sz="0" w:space="0" w:color="auto"/>
      </w:divBdr>
      <w:divsChild>
        <w:div w:id="567425564">
          <w:marLeft w:val="0"/>
          <w:marRight w:val="0"/>
          <w:marTop w:val="0"/>
          <w:marBottom w:val="150"/>
          <w:divBdr>
            <w:top w:val="none" w:sz="0" w:space="0" w:color="auto"/>
            <w:left w:val="none" w:sz="0" w:space="0" w:color="auto"/>
            <w:bottom w:val="none" w:sz="0" w:space="0" w:color="auto"/>
            <w:right w:val="none" w:sz="0" w:space="0" w:color="auto"/>
          </w:divBdr>
        </w:div>
        <w:div w:id="1726949332">
          <w:marLeft w:val="0"/>
          <w:marRight w:val="0"/>
          <w:marTop w:val="0"/>
          <w:marBottom w:val="0"/>
          <w:divBdr>
            <w:top w:val="none" w:sz="0" w:space="0" w:color="auto"/>
            <w:left w:val="none" w:sz="0" w:space="0" w:color="auto"/>
            <w:bottom w:val="none" w:sz="0" w:space="0" w:color="auto"/>
            <w:right w:val="none" w:sz="0" w:space="0" w:color="auto"/>
          </w:divBdr>
        </w:div>
      </w:divsChild>
    </w:div>
    <w:div w:id="221601699">
      <w:bodyDiv w:val="1"/>
      <w:marLeft w:val="0"/>
      <w:marRight w:val="0"/>
      <w:marTop w:val="0"/>
      <w:marBottom w:val="0"/>
      <w:divBdr>
        <w:top w:val="none" w:sz="0" w:space="0" w:color="auto"/>
        <w:left w:val="none" w:sz="0" w:space="0" w:color="auto"/>
        <w:bottom w:val="none" w:sz="0" w:space="0" w:color="auto"/>
        <w:right w:val="none" w:sz="0" w:space="0" w:color="auto"/>
      </w:divBdr>
    </w:div>
    <w:div w:id="221718751">
      <w:bodyDiv w:val="1"/>
      <w:marLeft w:val="0"/>
      <w:marRight w:val="0"/>
      <w:marTop w:val="0"/>
      <w:marBottom w:val="0"/>
      <w:divBdr>
        <w:top w:val="none" w:sz="0" w:space="0" w:color="auto"/>
        <w:left w:val="none" w:sz="0" w:space="0" w:color="auto"/>
        <w:bottom w:val="none" w:sz="0" w:space="0" w:color="auto"/>
        <w:right w:val="none" w:sz="0" w:space="0" w:color="auto"/>
      </w:divBdr>
      <w:divsChild>
        <w:div w:id="89859096">
          <w:marLeft w:val="0"/>
          <w:marRight w:val="0"/>
          <w:marTop w:val="0"/>
          <w:marBottom w:val="150"/>
          <w:divBdr>
            <w:top w:val="none" w:sz="0" w:space="0" w:color="auto"/>
            <w:left w:val="none" w:sz="0" w:space="0" w:color="auto"/>
            <w:bottom w:val="none" w:sz="0" w:space="0" w:color="auto"/>
            <w:right w:val="none" w:sz="0" w:space="0" w:color="auto"/>
          </w:divBdr>
        </w:div>
        <w:div w:id="522133821">
          <w:marLeft w:val="0"/>
          <w:marRight w:val="0"/>
          <w:marTop w:val="0"/>
          <w:marBottom w:val="150"/>
          <w:divBdr>
            <w:top w:val="none" w:sz="0" w:space="0" w:color="auto"/>
            <w:left w:val="none" w:sz="0" w:space="0" w:color="auto"/>
            <w:bottom w:val="none" w:sz="0" w:space="0" w:color="auto"/>
            <w:right w:val="none" w:sz="0" w:space="0" w:color="auto"/>
          </w:divBdr>
        </w:div>
        <w:div w:id="708183496">
          <w:marLeft w:val="0"/>
          <w:marRight w:val="0"/>
          <w:marTop w:val="0"/>
          <w:marBottom w:val="150"/>
          <w:divBdr>
            <w:top w:val="none" w:sz="0" w:space="0" w:color="auto"/>
            <w:left w:val="none" w:sz="0" w:space="0" w:color="auto"/>
            <w:bottom w:val="none" w:sz="0" w:space="0" w:color="auto"/>
            <w:right w:val="none" w:sz="0" w:space="0" w:color="auto"/>
          </w:divBdr>
        </w:div>
        <w:div w:id="837621341">
          <w:marLeft w:val="0"/>
          <w:marRight w:val="0"/>
          <w:marTop w:val="0"/>
          <w:marBottom w:val="150"/>
          <w:divBdr>
            <w:top w:val="none" w:sz="0" w:space="0" w:color="auto"/>
            <w:left w:val="none" w:sz="0" w:space="0" w:color="auto"/>
            <w:bottom w:val="none" w:sz="0" w:space="0" w:color="auto"/>
            <w:right w:val="none" w:sz="0" w:space="0" w:color="auto"/>
          </w:divBdr>
        </w:div>
        <w:div w:id="875385598">
          <w:marLeft w:val="0"/>
          <w:marRight w:val="0"/>
          <w:marTop w:val="0"/>
          <w:marBottom w:val="150"/>
          <w:divBdr>
            <w:top w:val="none" w:sz="0" w:space="0" w:color="auto"/>
            <w:left w:val="none" w:sz="0" w:space="0" w:color="auto"/>
            <w:bottom w:val="none" w:sz="0" w:space="0" w:color="auto"/>
            <w:right w:val="none" w:sz="0" w:space="0" w:color="auto"/>
          </w:divBdr>
        </w:div>
        <w:div w:id="942228709">
          <w:marLeft w:val="0"/>
          <w:marRight w:val="0"/>
          <w:marTop w:val="0"/>
          <w:marBottom w:val="150"/>
          <w:divBdr>
            <w:top w:val="none" w:sz="0" w:space="0" w:color="auto"/>
            <w:left w:val="none" w:sz="0" w:space="0" w:color="auto"/>
            <w:bottom w:val="none" w:sz="0" w:space="0" w:color="auto"/>
            <w:right w:val="none" w:sz="0" w:space="0" w:color="auto"/>
          </w:divBdr>
        </w:div>
        <w:div w:id="1101268071">
          <w:marLeft w:val="0"/>
          <w:marRight w:val="0"/>
          <w:marTop w:val="0"/>
          <w:marBottom w:val="150"/>
          <w:divBdr>
            <w:top w:val="none" w:sz="0" w:space="0" w:color="auto"/>
            <w:left w:val="none" w:sz="0" w:space="0" w:color="auto"/>
            <w:bottom w:val="none" w:sz="0" w:space="0" w:color="auto"/>
            <w:right w:val="none" w:sz="0" w:space="0" w:color="auto"/>
          </w:divBdr>
        </w:div>
        <w:div w:id="1124272092">
          <w:marLeft w:val="0"/>
          <w:marRight w:val="0"/>
          <w:marTop w:val="0"/>
          <w:marBottom w:val="150"/>
          <w:divBdr>
            <w:top w:val="none" w:sz="0" w:space="0" w:color="auto"/>
            <w:left w:val="none" w:sz="0" w:space="0" w:color="auto"/>
            <w:bottom w:val="none" w:sz="0" w:space="0" w:color="auto"/>
            <w:right w:val="none" w:sz="0" w:space="0" w:color="auto"/>
          </w:divBdr>
        </w:div>
        <w:div w:id="1604992886">
          <w:marLeft w:val="0"/>
          <w:marRight w:val="0"/>
          <w:marTop w:val="0"/>
          <w:marBottom w:val="150"/>
          <w:divBdr>
            <w:top w:val="none" w:sz="0" w:space="0" w:color="auto"/>
            <w:left w:val="none" w:sz="0" w:space="0" w:color="auto"/>
            <w:bottom w:val="none" w:sz="0" w:space="0" w:color="auto"/>
            <w:right w:val="none" w:sz="0" w:space="0" w:color="auto"/>
          </w:divBdr>
        </w:div>
        <w:div w:id="1683235886">
          <w:marLeft w:val="0"/>
          <w:marRight w:val="0"/>
          <w:marTop w:val="0"/>
          <w:marBottom w:val="150"/>
          <w:divBdr>
            <w:top w:val="none" w:sz="0" w:space="0" w:color="auto"/>
            <w:left w:val="none" w:sz="0" w:space="0" w:color="auto"/>
            <w:bottom w:val="none" w:sz="0" w:space="0" w:color="auto"/>
            <w:right w:val="none" w:sz="0" w:space="0" w:color="auto"/>
          </w:divBdr>
        </w:div>
        <w:div w:id="1818960014">
          <w:marLeft w:val="0"/>
          <w:marRight w:val="0"/>
          <w:marTop w:val="0"/>
          <w:marBottom w:val="150"/>
          <w:divBdr>
            <w:top w:val="none" w:sz="0" w:space="0" w:color="auto"/>
            <w:left w:val="none" w:sz="0" w:space="0" w:color="auto"/>
            <w:bottom w:val="none" w:sz="0" w:space="0" w:color="auto"/>
            <w:right w:val="none" w:sz="0" w:space="0" w:color="auto"/>
          </w:divBdr>
        </w:div>
        <w:div w:id="1895771405">
          <w:marLeft w:val="0"/>
          <w:marRight w:val="0"/>
          <w:marTop w:val="0"/>
          <w:marBottom w:val="150"/>
          <w:divBdr>
            <w:top w:val="none" w:sz="0" w:space="0" w:color="auto"/>
            <w:left w:val="none" w:sz="0" w:space="0" w:color="auto"/>
            <w:bottom w:val="none" w:sz="0" w:space="0" w:color="auto"/>
            <w:right w:val="none" w:sz="0" w:space="0" w:color="auto"/>
          </w:divBdr>
        </w:div>
        <w:div w:id="2058238324">
          <w:marLeft w:val="0"/>
          <w:marRight w:val="0"/>
          <w:marTop w:val="0"/>
          <w:marBottom w:val="150"/>
          <w:divBdr>
            <w:top w:val="none" w:sz="0" w:space="0" w:color="auto"/>
            <w:left w:val="none" w:sz="0" w:space="0" w:color="auto"/>
            <w:bottom w:val="none" w:sz="0" w:space="0" w:color="auto"/>
            <w:right w:val="none" w:sz="0" w:space="0" w:color="auto"/>
          </w:divBdr>
        </w:div>
      </w:divsChild>
    </w:div>
    <w:div w:id="221791051">
      <w:bodyDiv w:val="1"/>
      <w:marLeft w:val="0"/>
      <w:marRight w:val="0"/>
      <w:marTop w:val="0"/>
      <w:marBottom w:val="0"/>
      <w:divBdr>
        <w:top w:val="none" w:sz="0" w:space="0" w:color="auto"/>
        <w:left w:val="none" w:sz="0" w:space="0" w:color="auto"/>
        <w:bottom w:val="none" w:sz="0" w:space="0" w:color="auto"/>
        <w:right w:val="none" w:sz="0" w:space="0" w:color="auto"/>
      </w:divBdr>
    </w:div>
    <w:div w:id="221870689">
      <w:bodyDiv w:val="1"/>
      <w:marLeft w:val="0"/>
      <w:marRight w:val="0"/>
      <w:marTop w:val="0"/>
      <w:marBottom w:val="0"/>
      <w:divBdr>
        <w:top w:val="none" w:sz="0" w:space="0" w:color="auto"/>
        <w:left w:val="none" w:sz="0" w:space="0" w:color="auto"/>
        <w:bottom w:val="none" w:sz="0" w:space="0" w:color="auto"/>
        <w:right w:val="none" w:sz="0" w:space="0" w:color="auto"/>
      </w:divBdr>
    </w:div>
    <w:div w:id="223028480">
      <w:bodyDiv w:val="1"/>
      <w:marLeft w:val="0"/>
      <w:marRight w:val="0"/>
      <w:marTop w:val="0"/>
      <w:marBottom w:val="0"/>
      <w:divBdr>
        <w:top w:val="none" w:sz="0" w:space="0" w:color="auto"/>
        <w:left w:val="none" w:sz="0" w:space="0" w:color="auto"/>
        <w:bottom w:val="none" w:sz="0" w:space="0" w:color="auto"/>
        <w:right w:val="none" w:sz="0" w:space="0" w:color="auto"/>
      </w:divBdr>
      <w:divsChild>
        <w:div w:id="1688173023">
          <w:marLeft w:val="0"/>
          <w:marRight w:val="0"/>
          <w:marTop w:val="0"/>
          <w:marBottom w:val="0"/>
          <w:divBdr>
            <w:top w:val="none" w:sz="0" w:space="0" w:color="auto"/>
            <w:left w:val="none" w:sz="0" w:space="0" w:color="auto"/>
            <w:bottom w:val="dotted" w:sz="6" w:space="4" w:color="DDDDDD"/>
            <w:right w:val="none" w:sz="0" w:space="0" w:color="auto"/>
          </w:divBdr>
          <w:divsChild>
            <w:div w:id="79379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301037">
      <w:bodyDiv w:val="1"/>
      <w:marLeft w:val="0"/>
      <w:marRight w:val="0"/>
      <w:marTop w:val="0"/>
      <w:marBottom w:val="0"/>
      <w:divBdr>
        <w:top w:val="none" w:sz="0" w:space="0" w:color="auto"/>
        <w:left w:val="none" w:sz="0" w:space="0" w:color="auto"/>
        <w:bottom w:val="none" w:sz="0" w:space="0" w:color="auto"/>
        <w:right w:val="none" w:sz="0" w:space="0" w:color="auto"/>
      </w:divBdr>
      <w:divsChild>
        <w:div w:id="251162392">
          <w:marLeft w:val="0"/>
          <w:marRight w:val="0"/>
          <w:marTop w:val="0"/>
          <w:marBottom w:val="0"/>
          <w:divBdr>
            <w:top w:val="none" w:sz="0" w:space="0" w:color="auto"/>
            <w:left w:val="none" w:sz="0" w:space="0" w:color="auto"/>
            <w:bottom w:val="dotted" w:sz="6" w:space="4" w:color="DDDDDD"/>
            <w:right w:val="none" w:sz="0" w:space="0" w:color="auto"/>
          </w:divBdr>
        </w:div>
      </w:divsChild>
    </w:div>
    <w:div w:id="224031673">
      <w:bodyDiv w:val="1"/>
      <w:marLeft w:val="0"/>
      <w:marRight w:val="0"/>
      <w:marTop w:val="0"/>
      <w:marBottom w:val="0"/>
      <w:divBdr>
        <w:top w:val="none" w:sz="0" w:space="0" w:color="auto"/>
        <w:left w:val="none" w:sz="0" w:space="0" w:color="auto"/>
        <w:bottom w:val="none" w:sz="0" w:space="0" w:color="auto"/>
        <w:right w:val="none" w:sz="0" w:space="0" w:color="auto"/>
      </w:divBdr>
    </w:div>
    <w:div w:id="224145936">
      <w:bodyDiv w:val="1"/>
      <w:marLeft w:val="0"/>
      <w:marRight w:val="0"/>
      <w:marTop w:val="0"/>
      <w:marBottom w:val="0"/>
      <w:divBdr>
        <w:top w:val="none" w:sz="0" w:space="0" w:color="auto"/>
        <w:left w:val="none" w:sz="0" w:space="0" w:color="auto"/>
        <w:bottom w:val="none" w:sz="0" w:space="0" w:color="auto"/>
        <w:right w:val="none" w:sz="0" w:space="0" w:color="auto"/>
      </w:divBdr>
      <w:divsChild>
        <w:div w:id="1079640418">
          <w:marLeft w:val="0"/>
          <w:marRight w:val="0"/>
          <w:marTop w:val="0"/>
          <w:marBottom w:val="0"/>
          <w:divBdr>
            <w:top w:val="none" w:sz="0" w:space="0" w:color="auto"/>
            <w:left w:val="none" w:sz="0" w:space="0" w:color="auto"/>
            <w:bottom w:val="none" w:sz="0" w:space="0" w:color="auto"/>
            <w:right w:val="none" w:sz="0" w:space="0" w:color="auto"/>
          </w:divBdr>
          <w:divsChild>
            <w:div w:id="2006784107">
              <w:marLeft w:val="0"/>
              <w:marRight w:val="0"/>
              <w:marTop w:val="0"/>
              <w:marBottom w:val="0"/>
              <w:divBdr>
                <w:top w:val="none" w:sz="0" w:space="0" w:color="auto"/>
                <w:left w:val="none" w:sz="0" w:space="0" w:color="auto"/>
                <w:bottom w:val="none" w:sz="0" w:space="0" w:color="auto"/>
                <w:right w:val="none" w:sz="0" w:space="0" w:color="auto"/>
              </w:divBdr>
              <w:divsChild>
                <w:div w:id="696127445">
                  <w:marLeft w:val="0"/>
                  <w:marRight w:val="0"/>
                  <w:marTop w:val="0"/>
                  <w:marBottom w:val="0"/>
                  <w:divBdr>
                    <w:top w:val="none" w:sz="0" w:space="0" w:color="auto"/>
                    <w:left w:val="none" w:sz="0" w:space="0" w:color="auto"/>
                    <w:bottom w:val="none" w:sz="0" w:space="0" w:color="auto"/>
                    <w:right w:val="none" w:sz="0" w:space="0" w:color="auto"/>
                  </w:divBdr>
                  <w:divsChild>
                    <w:div w:id="1672564199">
                      <w:marLeft w:val="0"/>
                      <w:marRight w:val="0"/>
                      <w:marTop w:val="0"/>
                      <w:marBottom w:val="0"/>
                      <w:divBdr>
                        <w:top w:val="none" w:sz="0" w:space="0" w:color="auto"/>
                        <w:left w:val="none" w:sz="0" w:space="0" w:color="auto"/>
                        <w:bottom w:val="none" w:sz="0" w:space="0" w:color="auto"/>
                        <w:right w:val="none" w:sz="0" w:space="0" w:color="auto"/>
                      </w:divBdr>
                      <w:divsChild>
                        <w:div w:id="865603274">
                          <w:marLeft w:val="0"/>
                          <w:marRight w:val="0"/>
                          <w:marTop w:val="0"/>
                          <w:marBottom w:val="0"/>
                          <w:divBdr>
                            <w:top w:val="none" w:sz="0" w:space="0" w:color="auto"/>
                            <w:left w:val="none" w:sz="0" w:space="0" w:color="auto"/>
                            <w:bottom w:val="none" w:sz="0" w:space="0" w:color="auto"/>
                            <w:right w:val="none" w:sz="0" w:space="0" w:color="auto"/>
                          </w:divBdr>
                          <w:divsChild>
                            <w:div w:id="2040743402">
                              <w:marLeft w:val="0"/>
                              <w:marRight w:val="0"/>
                              <w:marTop w:val="0"/>
                              <w:marBottom w:val="0"/>
                              <w:divBdr>
                                <w:top w:val="none" w:sz="0" w:space="0" w:color="auto"/>
                                <w:left w:val="none" w:sz="0" w:space="0" w:color="auto"/>
                                <w:bottom w:val="none" w:sz="0" w:space="0" w:color="auto"/>
                                <w:right w:val="none" w:sz="0" w:space="0" w:color="auto"/>
                              </w:divBdr>
                              <w:divsChild>
                                <w:div w:id="289168460">
                                  <w:marLeft w:val="0"/>
                                  <w:marRight w:val="0"/>
                                  <w:marTop w:val="0"/>
                                  <w:marBottom w:val="0"/>
                                  <w:divBdr>
                                    <w:top w:val="none" w:sz="0" w:space="0" w:color="auto"/>
                                    <w:left w:val="none" w:sz="0" w:space="0" w:color="auto"/>
                                    <w:bottom w:val="none" w:sz="0" w:space="0" w:color="auto"/>
                                    <w:right w:val="none" w:sz="0" w:space="0" w:color="auto"/>
                                  </w:divBdr>
                                  <w:divsChild>
                                    <w:div w:id="146285397">
                                      <w:marLeft w:val="0"/>
                                      <w:marRight w:val="0"/>
                                      <w:marTop w:val="0"/>
                                      <w:marBottom w:val="0"/>
                                      <w:divBdr>
                                        <w:top w:val="none" w:sz="0" w:space="0" w:color="auto"/>
                                        <w:left w:val="none" w:sz="0" w:space="0" w:color="auto"/>
                                        <w:bottom w:val="none" w:sz="0" w:space="0" w:color="auto"/>
                                        <w:right w:val="none" w:sz="0" w:space="0" w:color="auto"/>
                                      </w:divBdr>
                                      <w:divsChild>
                                        <w:div w:id="70486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4754619">
      <w:bodyDiv w:val="1"/>
      <w:marLeft w:val="0"/>
      <w:marRight w:val="0"/>
      <w:marTop w:val="0"/>
      <w:marBottom w:val="0"/>
      <w:divBdr>
        <w:top w:val="none" w:sz="0" w:space="0" w:color="auto"/>
        <w:left w:val="none" w:sz="0" w:space="0" w:color="auto"/>
        <w:bottom w:val="none" w:sz="0" w:space="0" w:color="auto"/>
        <w:right w:val="none" w:sz="0" w:space="0" w:color="auto"/>
      </w:divBdr>
    </w:div>
    <w:div w:id="224873525">
      <w:bodyDiv w:val="1"/>
      <w:marLeft w:val="0"/>
      <w:marRight w:val="0"/>
      <w:marTop w:val="0"/>
      <w:marBottom w:val="0"/>
      <w:divBdr>
        <w:top w:val="none" w:sz="0" w:space="0" w:color="auto"/>
        <w:left w:val="none" w:sz="0" w:space="0" w:color="auto"/>
        <w:bottom w:val="none" w:sz="0" w:space="0" w:color="auto"/>
        <w:right w:val="none" w:sz="0" w:space="0" w:color="auto"/>
      </w:divBdr>
      <w:divsChild>
        <w:div w:id="518588126">
          <w:marLeft w:val="0"/>
          <w:marRight w:val="0"/>
          <w:marTop w:val="0"/>
          <w:marBottom w:val="0"/>
          <w:divBdr>
            <w:top w:val="none" w:sz="0" w:space="0" w:color="auto"/>
            <w:left w:val="none" w:sz="0" w:space="0" w:color="auto"/>
            <w:bottom w:val="none" w:sz="0" w:space="0" w:color="auto"/>
            <w:right w:val="none" w:sz="0" w:space="0" w:color="auto"/>
          </w:divBdr>
          <w:divsChild>
            <w:div w:id="144226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343798">
      <w:bodyDiv w:val="1"/>
      <w:marLeft w:val="0"/>
      <w:marRight w:val="0"/>
      <w:marTop w:val="0"/>
      <w:marBottom w:val="0"/>
      <w:divBdr>
        <w:top w:val="none" w:sz="0" w:space="0" w:color="auto"/>
        <w:left w:val="none" w:sz="0" w:space="0" w:color="auto"/>
        <w:bottom w:val="none" w:sz="0" w:space="0" w:color="auto"/>
        <w:right w:val="none" w:sz="0" w:space="0" w:color="auto"/>
      </w:divBdr>
      <w:divsChild>
        <w:div w:id="1382901884">
          <w:marLeft w:val="0"/>
          <w:marRight w:val="0"/>
          <w:marTop w:val="0"/>
          <w:marBottom w:val="150"/>
          <w:divBdr>
            <w:top w:val="none" w:sz="0" w:space="0" w:color="auto"/>
            <w:left w:val="none" w:sz="0" w:space="0" w:color="auto"/>
            <w:bottom w:val="none" w:sz="0" w:space="0" w:color="auto"/>
            <w:right w:val="none" w:sz="0" w:space="0" w:color="auto"/>
          </w:divBdr>
        </w:div>
      </w:divsChild>
    </w:div>
    <w:div w:id="225846158">
      <w:bodyDiv w:val="1"/>
      <w:marLeft w:val="0"/>
      <w:marRight w:val="0"/>
      <w:marTop w:val="0"/>
      <w:marBottom w:val="0"/>
      <w:divBdr>
        <w:top w:val="none" w:sz="0" w:space="0" w:color="auto"/>
        <w:left w:val="none" w:sz="0" w:space="0" w:color="auto"/>
        <w:bottom w:val="none" w:sz="0" w:space="0" w:color="auto"/>
        <w:right w:val="none" w:sz="0" w:space="0" w:color="auto"/>
      </w:divBdr>
    </w:div>
    <w:div w:id="226458590">
      <w:bodyDiv w:val="1"/>
      <w:marLeft w:val="0"/>
      <w:marRight w:val="0"/>
      <w:marTop w:val="0"/>
      <w:marBottom w:val="0"/>
      <w:divBdr>
        <w:top w:val="none" w:sz="0" w:space="0" w:color="auto"/>
        <w:left w:val="none" w:sz="0" w:space="0" w:color="auto"/>
        <w:bottom w:val="none" w:sz="0" w:space="0" w:color="auto"/>
        <w:right w:val="none" w:sz="0" w:space="0" w:color="auto"/>
      </w:divBdr>
      <w:divsChild>
        <w:div w:id="841243635">
          <w:marLeft w:val="0"/>
          <w:marRight w:val="0"/>
          <w:marTop w:val="0"/>
          <w:marBottom w:val="0"/>
          <w:divBdr>
            <w:top w:val="none" w:sz="0" w:space="0" w:color="auto"/>
            <w:left w:val="none" w:sz="0" w:space="0" w:color="auto"/>
            <w:bottom w:val="dotted" w:sz="6" w:space="4" w:color="DDDDDD"/>
            <w:right w:val="none" w:sz="0" w:space="0" w:color="auto"/>
          </w:divBdr>
        </w:div>
      </w:divsChild>
    </w:div>
    <w:div w:id="226696741">
      <w:bodyDiv w:val="1"/>
      <w:marLeft w:val="0"/>
      <w:marRight w:val="0"/>
      <w:marTop w:val="0"/>
      <w:marBottom w:val="0"/>
      <w:divBdr>
        <w:top w:val="none" w:sz="0" w:space="0" w:color="auto"/>
        <w:left w:val="none" w:sz="0" w:space="0" w:color="auto"/>
        <w:bottom w:val="none" w:sz="0" w:space="0" w:color="auto"/>
        <w:right w:val="none" w:sz="0" w:space="0" w:color="auto"/>
      </w:divBdr>
    </w:div>
    <w:div w:id="226768517">
      <w:bodyDiv w:val="1"/>
      <w:marLeft w:val="0"/>
      <w:marRight w:val="0"/>
      <w:marTop w:val="0"/>
      <w:marBottom w:val="0"/>
      <w:divBdr>
        <w:top w:val="none" w:sz="0" w:space="0" w:color="auto"/>
        <w:left w:val="none" w:sz="0" w:space="0" w:color="auto"/>
        <w:bottom w:val="none" w:sz="0" w:space="0" w:color="auto"/>
        <w:right w:val="none" w:sz="0" w:space="0" w:color="auto"/>
      </w:divBdr>
    </w:div>
    <w:div w:id="227498176">
      <w:bodyDiv w:val="1"/>
      <w:marLeft w:val="0"/>
      <w:marRight w:val="0"/>
      <w:marTop w:val="0"/>
      <w:marBottom w:val="0"/>
      <w:divBdr>
        <w:top w:val="none" w:sz="0" w:space="0" w:color="auto"/>
        <w:left w:val="none" w:sz="0" w:space="0" w:color="auto"/>
        <w:bottom w:val="none" w:sz="0" w:space="0" w:color="auto"/>
        <w:right w:val="none" w:sz="0" w:space="0" w:color="auto"/>
      </w:divBdr>
      <w:divsChild>
        <w:div w:id="533269695">
          <w:marLeft w:val="0"/>
          <w:marRight w:val="225"/>
          <w:marTop w:val="0"/>
          <w:marBottom w:val="75"/>
          <w:divBdr>
            <w:top w:val="none" w:sz="0" w:space="0" w:color="auto"/>
            <w:left w:val="none" w:sz="0" w:space="0" w:color="auto"/>
            <w:bottom w:val="none" w:sz="0" w:space="0" w:color="auto"/>
            <w:right w:val="none" w:sz="0" w:space="0" w:color="auto"/>
          </w:divBdr>
          <w:divsChild>
            <w:div w:id="1748726709">
              <w:marLeft w:val="0"/>
              <w:marRight w:val="0"/>
              <w:marTop w:val="0"/>
              <w:marBottom w:val="0"/>
              <w:divBdr>
                <w:top w:val="none" w:sz="0" w:space="0" w:color="auto"/>
                <w:left w:val="none" w:sz="0" w:space="0" w:color="auto"/>
                <w:bottom w:val="none" w:sz="0" w:space="0" w:color="auto"/>
                <w:right w:val="none" w:sz="0" w:space="0" w:color="auto"/>
              </w:divBdr>
            </w:div>
          </w:divsChild>
        </w:div>
        <w:div w:id="1418940014">
          <w:marLeft w:val="0"/>
          <w:marRight w:val="0"/>
          <w:marTop w:val="0"/>
          <w:marBottom w:val="0"/>
          <w:divBdr>
            <w:top w:val="none" w:sz="0" w:space="0" w:color="auto"/>
            <w:left w:val="none" w:sz="0" w:space="0" w:color="auto"/>
            <w:bottom w:val="dotted" w:sz="6" w:space="4" w:color="DDDDDD"/>
            <w:right w:val="none" w:sz="0" w:space="0" w:color="auto"/>
          </w:divBdr>
        </w:div>
      </w:divsChild>
    </w:div>
    <w:div w:id="227695229">
      <w:bodyDiv w:val="1"/>
      <w:marLeft w:val="0"/>
      <w:marRight w:val="0"/>
      <w:marTop w:val="0"/>
      <w:marBottom w:val="0"/>
      <w:divBdr>
        <w:top w:val="none" w:sz="0" w:space="0" w:color="auto"/>
        <w:left w:val="none" w:sz="0" w:space="0" w:color="auto"/>
        <w:bottom w:val="none" w:sz="0" w:space="0" w:color="auto"/>
        <w:right w:val="none" w:sz="0" w:space="0" w:color="auto"/>
      </w:divBdr>
      <w:divsChild>
        <w:div w:id="309797038">
          <w:marLeft w:val="0"/>
          <w:marRight w:val="0"/>
          <w:marTop w:val="0"/>
          <w:marBottom w:val="150"/>
          <w:divBdr>
            <w:top w:val="none" w:sz="0" w:space="0" w:color="auto"/>
            <w:left w:val="none" w:sz="0" w:space="0" w:color="auto"/>
            <w:bottom w:val="none" w:sz="0" w:space="0" w:color="auto"/>
            <w:right w:val="none" w:sz="0" w:space="0" w:color="auto"/>
          </w:divBdr>
        </w:div>
        <w:div w:id="1071997983">
          <w:marLeft w:val="0"/>
          <w:marRight w:val="0"/>
          <w:marTop w:val="0"/>
          <w:marBottom w:val="150"/>
          <w:divBdr>
            <w:top w:val="none" w:sz="0" w:space="0" w:color="auto"/>
            <w:left w:val="none" w:sz="0" w:space="0" w:color="auto"/>
            <w:bottom w:val="none" w:sz="0" w:space="0" w:color="auto"/>
            <w:right w:val="none" w:sz="0" w:space="0" w:color="auto"/>
          </w:divBdr>
          <w:divsChild>
            <w:div w:id="456608468">
              <w:marLeft w:val="0"/>
              <w:marRight w:val="0"/>
              <w:marTop w:val="0"/>
              <w:marBottom w:val="0"/>
              <w:divBdr>
                <w:top w:val="none" w:sz="0" w:space="0" w:color="auto"/>
                <w:left w:val="none" w:sz="0" w:space="0" w:color="auto"/>
                <w:bottom w:val="none" w:sz="0" w:space="0" w:color="auto"/>
                <w:right w:val="none" w:sz="0" w:space="0" w:color="auto"/>
              </w:divBdr>
              <w:divsChild>
                <w:div w:id="140668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562790">
          <w:marLeft w:val="0"/>
          <w:marRight w:val="0"/>
          <w:marTop w:val="0"/>
          <w:marBottom w:val="0"/>
          <w:divBdr>
            <w:top w:val="none" w:sz="0" w:space="0" w:color="auto"/>
            <w:left w:val="none" w:sz="0" w:space="0" w:color="auto"/>
            <w:bottom w:val="none" w:sz="0" w:space="0" w:color="auto"/>
            <w:right w:val="none" w:sz="0" w:space="0" w:color="auto"/>
          </w:divBdr>
          <w:divsChild>
            <w:div w:id="20097490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27965111">
      <w:bodyDiv w:val="1"/>
      <w:marLeft w:val="0"/>
      <w:marRight w:val="0"/>
      <w:marTop w:val="0"/>
      <w:marBottom w:val="0"/>
      <w:divBdr>
        <w:top w:val="none" w:sz="0" w:space="0" w:color="auto"/>
        <w:left w:val="none" w:sz="0" w:space="0" w:color="auto"/>
        <w:bottom w:val="none" w:sz="0" w:space="0" w:color="auto"/>
        <w:right w:val="none" w:sz="0" w:space="0" w:color="auto"/>
      </w:divBdr>
      <w:divsChild>
        <w:div w:id="1286422786">
          <w:marLeft w:val="0"/>
          <w:marRight w:val="0"/>
          <w:marTop w:val="0"/>
          <w:marBottom w:val="150"/>
          <w:divBdr>
            <w:top w:val="none" w:sz="0" w:space="0" w:color="auto"/>
            <w:left w:val="none" w:sz="0" w:space="0" w:color="auto"/>
            <w:bottom w:val="none" w:sz="0" w:space="0" w:color="auto"/>
            <w:right w:val="none" w:sz="0" w:space="0" w:color="auto"/>
          </w:divBdr>
        </w:div>
      </w:divsChild>
    </w:div>
    <w:div w:id="227965171">
      <w:bodyDiv w:val="1"/>
      <w:marLeft w:val="0"/>
      <w:marRight w:val="0"/>
      <w:marTop w:val="0"/>
      <w:marBottom w:val="0"/>
      <w:divBdr>
        <w:top w:val="none" w:sz="0" w:space="0" w:color="auto"/>
        <w:left w:val="none" w:sz="0" w:space="0" w:color="auto"/>
        <w:bottom w:val="none" w:sz="0" w:space="0" w:color="auto"/>
        <w:right w:val="none" w:sz="0" w:space="0" w:color="auto"/>
      </w:divBdr>
      <w:divsChild>
        <w:div w:id="1814903332">
          <w:marLeft w:val="0"/>
          <w:marRight w:val="0"/>
          <w:marTop w:val="0"/>
          <w:marBottom w:val="0"/>
          <w:divBdr>
            <w:top w:val="none" w:sz="0" w:space="0" w:color="auto"/>
            <w:left w:val="none" w:sz="0" w:space="0" w:color="auto"/>
            <w:bottom w:val="dotted" w:sz="6" w:space="4" w:color="DDDDDD"/>
            <w:right w:val="none" w:sz="0" w:space="0" w:color="auto"/>
          </w:divBdr>
          <w:divsChild>
            <w:div w:id="140171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00343">
      <w:bodyDiv w:val="1"/>
      <w:marLeft w:val="0"/>
      <w:marRight w:val="0"/>
      <w:marTop w:val="0"/>
      <w:marBottom w:val="0"/>
      <w:divBdr>
        <w:top w:val="none" w:sz="0" w:space="0" w:color="auto"/>
        <w:left w:val="none" w:sz="0" w:space="0" w:color="auto"/>
        <w:bottom w:val="none" w:sz="0" w:space="0" w:color="auto"/>
        <w:right w:val="none" w:sz="0" w:space="0" w:color="auto"/>
      </w:divBdr>
      <w:divsChild>
        <w:div w:id="1340039105">
          <w:marLeft w:val="0"/>
          <w:marRight w:val="0"/>
          <w:marTop w:val="0"/>
          <w:marBottom w:val="0"/>
          <w:divBdr>
            <w:top w:val="none" w:sz="0" w:space="0" w:color="auto"/>
            <w:left w:val="none" w:sz="0" w:space="0" w:color="auto"/>
            <w:bottom w:val="none" w:sz="0" w:space="0" w:color="auto"/>
            <w:right w:val="none" w:sz="0" w:space="0" w:color="auto"/>
          </w:divBdr>
          <w:divsChild>
            <w:div w:id="1567766377">
              <w:marLeft w:val="0"/>
              <w:marRight w:val="0"/>
              <w:marTop w:val="0"/>
              <w:marBottom w:val="0"/>
              <w:divBdr>
                <w:top w:val="none" w:sz="0" w:space="0" w:color="auto"/>
                <w:left w:val="none" w:sz="0" w:space="0" w:color="auto"/>
                <w:bottom w:val="none" w:sz="0" w:space="0" w:color="auto"/>
                <w:right w:val="none" w:sz="0" w:space="0" w:color="auto"/>
              </w:divBdr>
              <w:divsChild>
                <w:div w:id="1552110884">
                  <w:marLeft w:val="0"/>
                  <w:marRight w:val="0"/>
                  <w:marTop w:val="0"/>
                  <w:marBottom w:val="0"/>
                  <w:divBdr>
                    <w:top w:val="none" w:sz="0" w:space="0" w:color="auto"/>
                    <w:left w:val="none" w:sz="0" w:space="0" w:color="auto"/>
                    <w:bottom w:val="none" w:sz="0" w:space="0" w:color="auto"/>
                    <w:right w:val="none" w:sz="0" w:space="0" w:color="auto"/>
                  </w:divBdr>
                  <w:divsChild>
                    <w:div w:id="906452414">
                      <w:marLeft w:val="0"/>
                      <w:marRight w:val="0"/>
                      <w:marTop w:val="0"/>
                      <w:marBottom w:val="0"/>
                      <w:divBdr>
                        <w:top w:val="none" w:sz="0" w:space="0" w:color="auto"/>
                        <w:left w:val="none" w:sz="0" w:space="0" w:color="auto"/>
                        <w:bottom w:val="none" w:sz="0" w:space="0" w:color="auto"/>
                        <w:right w:val="none" w:sz="0" w:space="0" w:color="auto"/>
                      </w:divBdr>
                      <w:divsChild>
                        <w:div w:id="1893886034">
                          <w:marLeft w:val="0"/>
                          <w:marRight w:val="0"/>
                          <w:marTop w:val="0"/>
                          <w:marBottom w:val="0"/>
                          <w:divBdr>
                            <w:top w:val="none" w:sz="0" w:space="0" w:color="auto"/>
                            <w:left w:val="none" w:sz="0" w:space="0" w:color="auto"/>
                            <w:bottom w:val="none" w:sz="0" w:space="0" w:color="auto"/>
                            <w:right w:val="none" w:sz="0" w:space="0" w:color="auto"/>
                          </w:divBdr>
                          <w:divsChild>
                            <w:div w:id="3434683">
                              <w:marLeft w:val="0"/>
                              <w:marRight w:val="0"/>
                              <w:marTop w:val="0"/>
                              <w:marBottom w:val="0"/>
                              <w:divBdr>
                                <w:top w:val="none" w:sz="0" w:space="0" w:color="auto"/>
                                <w:left w:val="none" w:sz="0" w:space="0" w:color="auto"/>
                                <w:bottom w:val="none" w:sz="0" w:space="0" w:color="auto"/>
                                <w:right w:val="none" w:sz="0" w:space="0" w:color="auto"/>
                              </w:divBdr>
                              <w:divsChild>
                                <w:div w:id="1247226616">
                                  <w:marLeft w:val="0"/>
                                  <w:marRight w:val="0"/>
                                  <w:marTop w:val="0"/>
                                  <w:marBottom w:val="0"/>
                                  <w:divBdr>
                                    <w:top w:val="none" w:sz="0" w:space="0" w:color="auto"/>
                                    <w:left w:val="none" w:sz="0" w:space="0" w:color="auto"/>
                                    <w:bottom w:val="none" w:sz="0" w:space="0" w:color="auto"/>
                                    <w:right w:val="none" w:sz="0" w:space="0" w:color="auto"/>
                                  </w:divBdr>
                                  <w:divsChild>
                                    <w:div w:id="1892839100">
                                      <w:marLeft w:val="0"/>
                                      <w:marRight w:val="0"/>
                                      <w:marTop w:val="0"/>
                                      <w:marBottom w:val="0"/>
                                      <w:divBdr>
                                        <w:top w:val="none" w:sz="0" w:space="0" w:color="auto"/>
                                        <w:left w:val="none" w:sz="0" w:space="0" w:color="auto"/>
                                        <w:bottom w:val="none" w:sz="0" w:space="0" w:color="auto"/>
                                        <w:right w:val="none" w:sz="0" w:space="0" w:color="auto"/>
                                      </w:divBdr>
                                      <w:divsChild>
                                        <w:div w:id="67411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8031424">
      <w:bodyDiv w:val="1"/>
      <w:marLeft w:val="0"/>
      <w:marRight w:val="0"/>
      <w:marTop w:val="0"/>
      <w:marBottom w:val="0"/>
      <w:divBdr>
        <w:top w:val="none" w:sz="0" w:space="0" w:color="auto"/>
        <w:left w:val="none" w:sz="0" w:space="0" w:color="auto"/>
        <w:bottom w:val="none" w:sz="0" w:space="0" w:color="auto"/>
        <w:right w:val="none" w:sz="0" w:space="0" w:color="auto"/>
      </w:divBdr>
      <w:divsChild>
        <w:div w:id="1131509885">
          <w:marLeft w:val="0"/>
          <w:marRight w:val="0"/>
          <w:marTop w:val="0"/>
          <w:marBottom w:val="0"/>
          <w:divBdr>
            <w:top w:val="none" w:sz="0" w:space="0" w:color="auto"/>
            <w:left w:val="none" w:sz="0" w:space="0" w:color="auto"/>
            <w:bottom w:val="none" w:sz="0" w:space="0" w:color="auto"/>
            <w:right w:val="none" w:sz="0" w:space="0" w:color="auto"/>
          </w:divBdr>
          <w:divsChild>
            <w:div w:id="941648578">
              <w:marLeft w:val="0"/>
              <w:marRight w:val="0"/>
              <w:marTop w:val="0"/>
              <w:marBottom w:val="0"/>
              <w:divBdr>
                <w:top w:val="none" w:sz="0" w:space="0" w:color="auto"/>
                <w:left w:val="none" w:sz="0" w:space="0" w:color="auto"/>
                <w:bottom w:val="none" w:sz="0" w:space="0" w:color="auto"/>
                <w:right w:val="none" w:sz="0" w:space="0" w:color="auto"/>
              </w:divBdr>
            </w:div>
            <w:div w:id="1555461931">
              <w:marLeft w:val="0"/>
              <w:marRight w:val="0"/>
              <w:marTop w:val="0"/>
              <w:marBottom w:val="150"/>
              <w:divBdr>
                <w:top w:val="none" w:sz="0" w:space="0" w:color="auto"/>
                <w:left w:val="none" w:sz="0" w:space="0" w:color="auto"/>
                <w:bottom w:val="none" w:sz="0" w:space="0" w:color="auto"/>
                <w:right w:val="none" w:sz="0" w:space="0" w:color="auto"/>
              </w:divBdr>
            </w:div>
          </w:divsChild>
        </w:div>
        <w:div w:id="1567522397">
          <w:marLeft w:val="0"/>
          <w:marRight w:val="0"/>
          <w:marTop w:val="0"/>
          <w:marBottom w:val="150"/>
          <w:divBdr>
            <w:top w:val="none" w:sz="0" w:space="0" w:color="auto"/>
            <w:left w:val="none" w:sz="0" w:space="0" w:color="auto"/>
            <w:bottom w:val="none" w:sz="0" w:space="0" w:color="auto"/>
            <w:right w:val="none" w:sz="0" w:space="0" w:color="auto"/>
          </w:divBdr>
          <w:divsChild>
            <w:div w:id="114172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342564">
      <w:bodyDiv w:val="1"/>
      <w:marLeft w:val="0"/>
      <w:marRight w:val="0"/>
      <w:marTop w:val="0"/>
      <w:marBottom w:val="0"/>
      <w:divBdr>
        <w:top w:val="none" w:sz="0" w:space="0" w:color="auto"/>
        <w:left w:val="none" w:sz="0" w:space="0" w:color="auto"/>
        <w:bottom w:val="none" w:sz="0" w:space="0" w:color="auto"/>
        <w:right w:val="none" w:sz="0" w:space="0" w:color="auto"/>
      </w:divBdr>
      <w:divsChild>
        <w:div w:id="1623075243">
          <w:marLeft w:val="0"/>
          <w:marRight w:val="0"/>
          <w:marTop w:val="0"/>
          <w:marBottom w:val="0"/>
          <w:divBdr>
            <w:top w:val="none" w:sz="0" w:space="0" w:color="auto"/>
            <w:left w:val="none" w:sz="0" w:space="0" w:color="auto"/>
            <w:bottom w:val="none" w:sz="0" w:space="0" w:color="auto"/>
            <w:right w:val="none" w:sz="0" w:space="0" w:color="auto"/>
          </w:divBdr>
          <w:divsChild>
            <w:div w:id="609243971">
              <w:marLeft w:val="0"/>
              <w:marRight w:val="0"/>
              <w:marTop w:val="0"/>
              <w:marBottom w:val="0"/>
              <w:divBdr>
                <w:top w:val="none" w:sz="0" w:space="0" w:color="auto"/>
                <w:left w:val="none" w:sz="0" w:space="0" w:color="auto"/>
                <w:bottom w:val="none" w:sz="0" w:space="0" w:color="auto"/>
                <w:right w:val="none" w:sz="0" w:space="0" w:color="auto"/>
              </w:divBdr>
            </w:div>
          </w:divsChild>
        </w:div>
        <w:div w:id="1778141203">
          <w:marLeft w:val="0"/>
          <w:marRight w:val="0"/>
          <w:marTop w:val="0"/>
          <w:marBottom w:val="150"/>
          <w:divBdr>
            <w:top w:val="none" w:sz="0" w:space="0" w:color="auto"/>
            <w:left w:val="none" w:sz="0" w:space="0" w:color="auto"/>
            <w:bottom w:val="none" w:sz="0" w:space="0" w:color="auto"/>
            <w:right w:val="none" w:sz="0" w:space="0" w:color="auto"/>
          </w:divBdr>
        </w:div>
        <w:div w:id="1995572704">
          <w:marLeft w:val="0"/>
          <w:marRight w:val="0"/>
          <w:marTop w:val="0"/>
          <w:marBottom w:val="150"/>
          <w:divBdr>
            <w:top w:val="none" w:sz="0" w:space="0" w:color="auto"/>
            <w:left w:val="none" w:sz="0" w:space="0" w:color="auto"/>
            <w:bottom w:val="none" w:sz="0" w:space="0" w:color="auto"/>
            <w:right w:val="none" w:sz="0" w:space="0" w:color="auto"/>
          </w:divBdr>
          <w:divsChild>
            <w:div w:id="108927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538837">
      <w:bodyDiv w:val="1"/>
      <w:marLeft w:val="0"/>
      <w:marRight w:val="0"/>
      <w:marTop w:val="0"/>
      <w:marBottom w:val="0"/>
      <w:divBdr>
        <w:top w:val="none" w:sz="0" w:space="0" w:color="auto"/>
        <w:left w:val="none" w:sz="0" w:space="0" w:color="auto"/>
        <w:bottom w:val="none" w:sz="0" w:space="0" w:color="auto"/>
        <w:right w:val="none" w:sz="0" w:space="0" w:color="auto"/>
      </w:divBdr>
    </w:div>
    <w:div w:id="228656478">
      <w:bodyDiv w:val="1"/>
      <w:marLeft w:val="0"/>
      <w:marRight w:val="0"/>
      <w:marTop w:val="0"/>
      <w:marBottom w:val="0"/>
      <w:divBdr>
        <w:top w:val="none" w:sz="0" w:space="0" w:color="auto"/>
        <w:left w:val="none" w:sz="0" w:space="0" w:color="auto"/>
        <w:bottom w:val="none" w:sz="0" w:space="0" w:color="auto"/>
        <w:right w:val="none" w:sz="0" w:space="0" w:color="auto"/>
      </w:divBdr>
      <w:divsChild>
        <w:div w:id="1175072944">
          <w:marLeft w:val="0"/>
          <w:marRight w:val="0"/>
          <w:marTop w:val="0"/>
          <w:marBottom w:val="150"/>
          <w:divBdr>
            <w:top w:val="none" w:sz="0" w:space="0" w:color="auto"/>
            <w:left w:val="none" w:sz="0" w:space="0" w:color="auto"/>
            <w:bottom w:val="none" w:sz="0" w:space="0" w:color="auto"/>
            <w:right w:val="none" w:sz="0" w:space="0" w:color="auto"/>
          </w:divBdr>
        </w:div>
        <w:div w:id="1786343282">
          <w:marLeft w:val="0"/>
          <w:marRight w:val="0"/>
          <w:marTop w:val="0"/>
          <w:marBottom w:val="0"/>
          <w:divBdr>
            <w:top w:val="none" w:sz="0" w:space="0" w:color="auto"/>
            <w:left w:val="none" w:sz="0" w:space="0" w:color="auto"/>
            <w:bottom w:val="none" w:sz="0" w:space="0" w:color="auto"/>
            <w:right w:val="none" w:sz="0" w:space="0" w:color="auto"/>
          </w:divBdr>
        </w:div>
      </w:divsChild>
    </w:div>
    <w:div w:id="228811345">
      <w:bodyDiv w:val="1"/>
      <w:marLeft w:val="0"/>
      <w:marRight w:val="0"/>
      <w:marTop w:val="0"/>
      <w:marBottom w:val="0"/>
      <w:divBdr>
        <w:top w:val="none" w:sz="0" w:space="0" w:color="auto"/>
        <w:left w:val="none" w:sz="0" w:space="0" w:color="auto"/>
        <w:bottom w:val="none" w:sz="0" w:space="0" w:color="auto"/>
        <w:right w:val="none" w:sz="0" w:space="0" w:color="auto"/>
      </w:divBdr>
      <w:divsChild>
        <w:div w:id="332605583">
          <w:marLeft w:val="0"/>
          <w:marRight w:val="0"/>
          <w:marTop w:val="0"/>
          <w:marBottom w:val="240"/>
          <w:divBdr>
            <w:top w:val="none" w:sz="0" w:space="0" w:color="auto"/>
            <w:left w:val="none" w:sz="0" w:space="0" w:color="auto"/>
            <w:bottom w:val="none" w:sz="0" w:space="0" w:color="auto"/>
            <w:right w:val="none" w:sz="0" w:space="0" w:color="auto"/>
          </w:divBdr>
        </w:div>
        <w:div w:id="453716692">
          <w:marLeft w:val="0"/>
          <w:marRight w:val="0"/>
          <w:marTop w:val="0"/>
          <w:marBottom w:val="240"/>
          <w:divBdr>
            <w:top w:val="none" w:sz="0" w:space="0" w:color="auto"/>
            <w:left w:val="none" w:sz="0" w:space="0" w:color="auto"/>
            <w:bottom w:val="none" w:sz="0" w:space="0" w:color="auto"/>
            <w:right w:val="none" w:sz="0" w:space="0" w:color="auto"/>
          </w:divBdr>
          <w:divsChild>
            <w:div w:id="1732001627">
              <w:marLeft w:val="0"/>
              <w:marRight w:val="0"/>
              <w:marTop w:val="0"/>
              <w:marBottom w:val="0"/>
              <w:divBdr>
                <w:top w:val="none" w:sz="0" w:space="0" w:color="auto"/>
                <w:left w:val="none" w:sz="0" w:space="0" w:color="auto"/>
                <w:bottom w:val="none" w:sz="0" w:space="0" w:color="auto"/>
                <w:right w:val="none" w:sz="0" w:space="0" w:color="auto"/>
              </w:divBdr>
              <w:divsChild>
                <w:div w:id="212619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452236">
          <w:marLeft w:val="0"/>
          <w:marRight w:val="0"/>
          <w:marTop w:val="0"/>
          <w:marBottom w:val="240"/>
          <w:divBdr>
            <w:top w:val="none" w:sz="0" w:space="0" w:color="auto"/>
            <w:left w:val="none" w:sz="0" w:space="0" w:color="auto"/>
            <w:bottom w:val="none" w:sz="0" w:space="0" w:color="auto"/>
            <w:right w:val="none" w:sz="0" w:space="0" w:color="auto"/>
          </w:divBdr>
        </w:div>
        <w:div w:id="1894198418">
          <w:marLeft w:val="0"/>
          <w:marRight w:val="0"/>
          <w:marTop w:val="0"/>
          <w:marBottom w:val="240"/>
          <w:divBdr>
            <w:top w:val="none" w:sz="0" w:space="0" w:color="auto"/>
            <w:left w:val="none" w:sz="0" w:space="0" w:color="auto"/>
            <w:bottom w:val="none" w:sz="0" w:space="0" w:color="auto"/>
            <w:right w:val="none" w:sz="0" w:space="0" w:color="auto"/>
          </w:divBdr>
        </w:div>
        <w:div w:id="1986353852">
          <w:marLeft w:val="0"/>
          <w:marRight w:val="0"/>
          <w:marTop w:val="0"/>
          <w:marBottom w:val="240"/>
          <w:divBdr>
            <w:top w:val="none" w:sz="0" w:space="0" w:color="auto"/>
            <w:left w:val="none" w:sz="0" w:space="0" w:color="auto"/>
            <w:bottom w:val="none" w:sz="0" w:space="0" w:color="auto"/>
            <w:right w:val="none" w:sz="0" w:space="0" w:color="auto"/>
          </w:divBdr>
        </w:div>
      </w:divsChild>
    </w:div>
    <w:div w:id="229000526">
      <w:bodyDiv w:val="1"/>
      <w:marLeft w:val="0"/>
      <w:marRight w:val="0"/>
      <w:marTop w:val="0"/>
      <w:marBottom w:val="0"/>
      <w:divBdr>
        <w:top w:val="none" w:sz="0" w:space="0" w:color="auto"/>
        <w:left w:val="none" w:sz="0" w:space="0" w:color="auto"/>
        <w:bottom w:val="none" w:sz="0" w:space="0" w:color="auto"/>
        <w:right w:val="none" w:sz="0" w:space="0" w:color="auto"/>
      </w:divBdr>
      <w:divsChild>
        <w:div w:id="823813531">
          <w:marLeft w:val="0"/>
          <w:marRight w:val="0"/>
          <w:marTop w:val="0"/>
          <w:marBottom w:val="0"/>
          <w:divBdr>
            <w:top w:val="none" w:sz="0" w:space="0" w:color="auto"/>
            <w:left w:val="none" w:sz="0" w:space="0" w:color="auto"/>
            <w:bottom w:val="none" w:sz="0" w:space="0" w:color="auto"/>
            <w:right w:val="none" w:sz="0" w:space="0" w:color="auto"/>
          </w:divBdr>
          <w:divsChild>
            <w:div w:id="1702435973">
              <w:marLeft w:val="0"/>
              <w:marRight w:val="0"/>
              <w:marTop w:val="0"/>
              <w:marBottom w:val="0"/>
              <w:divBdr>
                <w:top w:val="none" w:sz="0" w:space="0" w:color="auto"/>
                <w:left w:val="none" w:sz="0" w:space="0" w:color="auto"/>
                <w:bottom w:val="none" w:sz="0" w:space="0" w:color="auto"/>
                <w:right w:val="none" w:sz="0" w:space="0" w:color="auto"/>
              </w:divBdr>
              <w:divsChild>
                <w:div w:id="1045720571">
                  <w:marLeft w:val="0"/>
                  <w:marRight w:val="0"/>
                  <w:marTop w:val="0"/>
                  <w:marBottom w:val="0"/>
                  <w:divBdr>
                    <w:top w:val="none" w:sz="0" w:space="0" w:color="auto"/>
                    <w:left w:val="none" w:sz="0" w:space="0" w:color="auto"/>
                    <w:bottom w:val="none" w:sz="0" w:space="0" w:color="auto"/>
                    <w:right w:val="none" w:sz="0" w:space="0" w:color="auto"/>
                  </w:divBdr>
                  <w:divsChild>
                    <w:div w:id="506334624">
                      <w:marLeft w:val="0"/>
                      <w:marRight w:val="0"/>
                      <w:marTop w:val="0"/>
                      <w:marBottom w:val="0"/>
                      <w:divBdr>
                        <w:top w:val="none" w:sz="0" w:space="0" w:color="auto"/>
                        <w:left w:val="none" w:sz="0" w:space="0" w:color="auto"/>
                        <w:bottom w:val="none" w:sz="0" w:space="0" w:color="auto"/>
                        <w:right w:val="none" w:sz="0" w:space="0" w:color="auto"/>
                      </w:divBdr>
                      <w:divsChild>
                        <w:div w:id="418060294">
                          <w:marLeft w:val="0"/>
                          <w:marRight w:val="0"/>
                          <w:marTop w:val="0"/>
                          <w:marBottom w:val="0"/>
                          <w:divBdr>
                            <w:top w:val="none" w:sz="0" w:space="0" w:color="auto"/>
                            <w:left w:val="none" w:sz="0" w:space="0" w:color="auto"/>
                            <w:bottom w:val="none" w:sz="0" w:space="0" w:color="auto"/>
                            <w:right w:val="none" w:sz="0" w:space="0" w:color="auto"/>
                          </w:divBdr>
                          <w:divsChild>
                            <w:div w:id="1360542618">
                              <w:marLeft w:val="0"/>
                              <w:marRight w:val="0"/>
                              <w:marTop w:val="0"/>
                              <w:marBottom w:val="0"/>
                              <w:divBdr>
                                <w:top w:val="none" w:sz="0" w:space="0" w:color="auto"/>
                                <w:left w:val="none" w:sz="0" w:space="0" w:color="auto"/>
                                <w:bottom w:val="none" w:sz="0" w:space="0" w:color="auto"/>
                                <w:right w:val="none" w:sz="0" w:space="0" w:color="auto"/>
                              </w:divBdr>
                              <w:divsChild>
                                <w:div w:id="622081350">
                                  <w:marLeft w:val="0"/>
                                  <w:marRight w:val="0"/>
                                  <w:marTop w:val="0"/>
                                  <w:marBottom w:val="0"/>
                                  <w:divBdr>
                                    <w:top w:val="none" w:sz="0" w:space="0" w:color="auto"/>
                                    <w:left w:val="none" w:sz="0" w:space="0" w:color="auto"/>
                                    <w:bottom w:val="none" w:sz="0" w:space="0" w:color="auto"/>
                                    <w:right w:val="none" w:sz="0" w:space="0" w:color="auto"/>
                                  </w:divBdr>
                                  <w:divsChild>
                                    <w:div w:id="73886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198745">
      <w:bodyDiv w:val="1"/>
      <w:marLeft w:val="0"/>
      <w:marRight w:val="0"/>
      <w:marTop w:val="0"/>
      <w:marBottom w:val="0"/>
      <w:divBdr>
        <w:top w:val="none" w:sz="0" w:space="0" w:color="auto"/>
        <w:left w:val="none" w:sz="0" w:space="0" w:color="auto"/>
        <w:bottom w:val="none" w:sz="0" w:space="0" w:color="auto"/>
        <w:right w:val="none" w:sz="0" w:space="0" w:color="auto"/>
      </w:divBdr>
      <w:divsChild>
        <w:div w:id="1275136978">
          <w:marLeft w:val="0"/>
          <w:marRight w:val="0"/>
          <w:marTop w:val="0"/>
          <w:marBottom w:val="0"/>
          <w:divBdr>
            <w:top w:val="single" w:sz="6" w:space="7" w:color="CFE3EA"/>
            <w:left w:val="single" w:sz="6" w:space="11" w:color="CFE3EA"/>
            <w:bottom w:val="single" w:sz="6" w:space="7" w:color="CFE3EA"/>
            <w:right w:val="single" w:sz="6" w:space="11" w:color="CFE3EA"/>
          </w:divBdr>
        </w:div>
        <w:div w:id="1480539070">
          <w:marLeft w:val="0"/>
          <w:marRight w:val="0"/>
          <w:marTop w:val="300"/>
          <w:marBottom w:val="0"/>
          <w:divBdr>
            <w:top w:val="none" w:sz="0" w:space="0" w:color="auto"/>
            <w:left w:val="none" w:sz="0" w:space="0" w:color="auto"/>
            <w:bottom w:val="none" w:sz="0" w:space="0" w:color="auto"/>
            <w:right w:val="none" w:sz="0" w:space="0" w:color="auto"/>
          </w:divBdr>
          <w:divsChild>
            <w:div w:id="1193763549">
              <w:marLeft w:val="0"/>
              <w:marRight w:val="0"/>
              <w:marTop w:val="300"/>
              <w:marBottom w:val="0"/>
              <w:divBdr>
                <w:top w:val="none" w:sz="0" w:space="0" w:color="auto"/>
                <w:left w:val="none" w:sz="0" w:space="0" w:color="auto"/>
                <w:bottom w:val="none" w:sz="0" w:space="0" w:color="auto"/>
                <w:right w:val="none" w:sz="0" w:space="0" w:color="auto"/>
              </w:divBdr>
            </w:div>
            <w:div w:id="1832984003">
              <w:marLeft w:val="0"/>
              <w:marRight w:val="0"/>
              <w:marTop w:val="135"/>
              <w:marBottom w:val="0"/>
              <w:divBdr>
                <w:top w:val="none" w:sz="0" w:space="0" w:color="auto"/>
                <w:left w:val="none" w:sz="0" w:space="0" w:color="auto"/>
                <w:bottom w:val="none" w:sz="0" w:space="0" w:color="auto"/>
                <w:right w:val="none" w:sz="0" w:space="0" w:color="auto"/>
              </w:divBdr>
              <w:divsChild>
                <w:div w:id="1958027726">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229998241">
      <w:bodyDiv w:val="1"/>
      <w:marLeft w:val="0"/>
      <w:marRight w:val="0"/>
      <w:marTop w:val="0"/>
      <w:marBottom w:val="0"/>
      <w:divBdr>
        <w:top w:val="none" w:sz="0" w:space="0" w:color="auto"/>
        <w:left w:val="none" w:sz="0" w:space="0" w:color="auto"/>
        <w:bottom w:val="none" w:sz="0" w:space="0" w:color="auto"/>
        <w:right w:val="none" w:sz="0" w:space="0" w:color="auto"/>
      </w:divBdr>
      <w:divsChild>
        <w:div w:id="1434351611">
          <w:marLeft w:val="0"/>
          <w:marRight w:val="0"/>
          <w:marTop w:val="0"/>
          <w:marBottom w:val="0"/>
          <w:divBdr>
            <w:top w:val="none" w:sz="0" w:space="0" w:color="auto"/>
            <w:left w:val="none" w:sz="0" w:space="0" w:color="auto"/>
            <w:bottom w:val="none" w:sz="0" w:space="0" w:color="auto"/>
            <w:right w:val="none" w:sz="0" w:space="0" w:color="auto"/>
          </w:divBdr>
          <w:divsChild>
            <w:div w:id="395251301">
              <w:marLeft w:val="0"/>
              <w:marRight w:val="0"/>
              <w:marTop w:val="0"/>
              <w:marBottom w:val="0"/>
              <w:divBdr>
                <w:top w:val="none" w:sz="0" w:space="0" w:color="auto"/>
                <w:left w:val="none" w:sz="0" w:space="0" w:color="auto"/>
                <w:bottom w:val="none" w:sz="0" w:space="0" w:color="auto"/>
                <w:right w:val="none" w:sz="0" w:space="0" w:color="auto"/>
              </w:divBdr>
              <w:divsChild>
                <w:div w:id="1119488491">
                  <w:marLeft w:val="0"/>
                  <w:marRight w:val="0"/>
                  <w:marTop w:val="0"/>
                  <w:marBottom w:val="0"/>
                  <w:divBdr>
                    <w:top w:val="none" w:sz="0" w:space="0" w:color="auto"/>
                    <w:left w:val="none" w:sz="0" w:space="0" w:color="auto"/>
                    <w:bottom w:val="none" w:sz="0" w:space="0" w:color="auto"/>
                    <w:right w:val="none" w:sz="0" w:space="0" w:color="auto"/>
                  </w:divBdr>
                  <w:divsChild>
                    <w:div w:id="2023243505">
                      <w:marLeft w:val="0"/>
                      <w:marRight w:val="0"/>
                      <w:marTop w:val="0"/>
                      <w:marBottom w:val="0"/>
                      <w:divBdr>
                        <w:top w:val="none" w:sz="0" w:space="0" w:color="auto"/>
                        <w:left w:val="none" w:sz="0" w:space="0" w:color="auto"/>
                        <w:bottom w:val="none" w:sz="0" w:space="0" w:color="auto"/>
                        <w:right w:val="none" w:sz="0" w:space="0" w:color="auto"/>
                      </w:divBdr>
                      <w:divsChild>
                        <w:div w:id="65033982">
                          <w:marLeft w:val="0"/>
                          <w:marRight w:val="0"/>
                          <w:marTop w:val="0"/>
                          <w:marBottom w:val="0"/>
                          <w:divBdr>
                            <w:top w:val="none" w:sz="0" w:space="0" w:color="auto"/>
                            <w:left w:val="none" w:sz="0" w:space="0" w:color="auto"/>
                            <w:bottom w:val="none" w:sz="0" w:space="0" w:color="auto"/>
                            <w:right w:val="none" w:sz="0" w:space="0" w:color="auto"/>
                          </w:divBdr>
                          <w:divsChild>
                            <w:div w:id="592590762">
                              <w:marLeft w:val="0"/>
                              <w:marRight w:val="0"/>
                              <w:marTop w:val="0"/>
                              <w:marBottom w:val="0"/>
                              <w:divBdr>
                                <w:top w:val="none" w:sz="0" w:space="0" w:color="auto"/>
                                <w:left w:val="none" w:sz="0" w:space="0" w:color="auto"/>
                                <w:bottom w:val="none" w:sz="0" w:space="0" w:color="auto"/>
                                <w:right w:val="none" w:sz="0" w:space="0" w:color="auto"/>
                              </w:divBdr>
                              <w:divsChild>
                                <w:div w:id="1597327206">
                                  <w:marLeft w:val="0"/>
                                  <w:marRight w:val="0"/>
                                  <w:marTop w:val="0"/>
                                  <w:marBottom w:val="0"/>
                                  <w:divBdr>
                                    <w:top w:val="none" w:sz="0" w:space="0" w:color="auto"/>
                                    <w:left w:val="none" w:sz="0" w:space="0" w:color="auto"/>
                                    <w:bottom w:val="none" w:sz="0" w:space="0" w:color="auto"/>
                                    <w:right w:val="none" w:sz="0" w:space="0" w:color="auto"/>
                                  </w:divBdr>
                                  <w:divsChild>
                                    <w:div w:id="4137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0233221">
      <w:bodyDiv w:val="1"/>
      <w:marLeft w:val="0"/>
      <w:marRight w:val="0"/>
      <w:marTop w:val="0"/>
      <w:marBottom w:val="0"/>
      <w:divBdr>
        <w:top w:val="none" w:sz="0" w:space="0" w:color="auto"/>
        <w:left w:val="none" w:sz="0" w:space="0" w:color="auto"/>
        <w:bottom w:val="none" w:sz="0" w:space="0" w:color="auto"/>
        <w:right w:val="none" w:sz="0" w:space="0" w:color="auto"/>
      </w:divBdr>
      <w:divsChild>
        <w:div w:id="1651401708">
          <w:marLeft w:val="0"/>
          <w:marRight w:val="0"/>
          <w:marTop w:val="0"/>
          <w:marBottom w:val="0"/>
          <w:divBdr>
            <w:top w:val="none" w:sz="0" w:space="0" w:color="auto"/>
            <w:left w:val="none" w:sz="0" w:space="0" w:color="auto"/>
            <w:bottom w:val="dotted" w:sz="6" w:space="4" w:color="DDDDDD"/>
            <w:right w:val="none" w:sz="0" w:space="0" w:color="auto"/>
          </w:divBdr>
          <w:divsChild>
            <w:div w:id="3951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508845">
      <w:bodyDiv w:val="1"/>
      <w:marLeft w:val="0"/>
      <w:marRight w:val="0"/>
      <w:marTop w:val="0"/>
      <w:marBottom w:val="0"/>
      <w:divBdr>
        <w:top w:val="none" w:sz="0" w:space="0" w:color="auto"/>
        <w:left w:val="none" w:sz="0" w:space="0" w:color="auto"/>
        <w:bottom w:val="none" w:sz="0" w:space="0" w:color="auto"/>
        <w:right w:val="none" w:sz="0" w:space="0" w:color="auto"/>
      </w:divBdr>
      <w:divsChild>
        <w:div w:id="1794396723">
          <w:marLeft w:val="0"/>
          <w:marRight w:val="0"/>
          <w:marTop w:val="0"/>
          <w:marBottom w:val="0"/>
          <w:divBdr>
            <w:top w:val="none" w:sz="0" w:space="0" w:color="auto"/>
            <w:left w:val="none" w:sz="0" w:space="0" w:color="auto"/>
            <w:bottom w:val="dotted" w:sz="6" w:space="4" w:color="DDDDDD"/>
            <w:right w:val="none" w:sz="0" w:space="0" w:color="auto"/>
          </w:divBdr>
          <w:divsChild>
            <w:div w:id="152817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579178">
      <w:bodyDiv w:val="1"/>
      <w:marLeft w:val="0"/>
      <w:marRight w:val="0"/>
      <w:marTop w:val="0"/>
      <w:marBottom w:val="0"/>
      <w:divBdr>
        <w:top w:val="none" w:sz="0" w:space="0" w:color="auto"/>
        <w:left w:val="none" w:sz="0" w:space="0" w:color="auto"/>
        <w:bottom w:val="none" w:sz="0" w:space="0" w:color="auto"/>
        <w:right w:val="none" w:sz="0" w:space="0" w:color="auto"/>
      </w:divBdr>
    </w:div>
    <w:div w:id="230700600">
      <w:bodyDiv w:val="1"/>
      <w:marLeft w:val="0"/>
      <w:marRight w:val="0"/>
      <w:marTop w:val="0"/>
      <w:marBottom w:val="0"/>
      <w:divBdr>
        <w:top w:val="none" w:sz="0" w:space="0" w:color="auto"/>
        <w:left w:val="none" w:sz="0" w:space="0" w:color="auto"/>
        <w:bottom w:val="none" w:sz="0" w:space="0" w:color="auto"/>
        <w:right w:val="none" w:sz="0" w:space="0" w:color="auto"/>
      </w:divBdr>
    </w:div>
    <w:div w:id="230770270">
      <w:bodyDiv w:val="1"/>
      <w:marLeft w:val="0"/>
      <w:marRight w:val="0"/>
      <w:marTop w:val="0"/>
      <w:marBottom w:val="0"/>
      <w:divBdr>
        <w:top w:val="none" w:sz="0" w:space="0" w:color="auto"/>
        <w:left w:val="none" w:sz="0" w:space="0" w:color="auto"/>
        <w:bottom w:val="none" w:sz="0" w:space="0" w:color="auto"/>
        <w:right w:val="none" w:sz="0" w:space="0" w:color="auto"/>
      </w:divBdr>
    </w:div>
    <w:div w:id="231163925">
      <w:bodyDiv w:val="1"/>
      <w:marLeft w:val="0"/>
      <w:marRight w:val="0"/>
      <w:marTop w:val="0"/>
      <w:marBottom w:val="0"/>
      <w:divBdr>
        <w:top w:val="none" w:sz="0" w:space="0" w:color="auto"/>
        <w:left w:val="none" w:sz="0" w:space="0" w:color="auto"/>
        <w:bottom w:val="none" w:sz="0" w:space="0" w:color="auto"/>
        <w:right w:val="none" w:sz="0" w:space="0" w:color="auto"/>
      </w:divBdr>
    </w:div>
    <w:div w:id="231164410">
      <w:bodyDiv w:val="1"/>
      <w:marLeft w:val="0"/>
      <w:marRight w:val="0"/>
      <w:marTop w:val="0"/>
      <w:marBottom w:val="0"/>
      <w:divBdr>
        <w:top w:val="none" w:sz="0" w:space="0" w:color="auto"/>
        <w:left w:val="none" w:sz="0" w:space="0" w:color="auto"/>
        <w:bottom w:val="none" w:sz="0" w:space="0" w:color="auto"/>
        <w:right w:val="none" w:sz="0" w:space="0" w:color="auto"/>
      </w:divBdr>
      <w:divsChild>
        <w:div w:id="580484315">
          <w:marLeft w:val="0"/>
          <w:marRight w:val="0"/>
          <w:marTop w:val="0"/>
          <w:marBottom w:val="150"/>
          <w:divBdr>
            <w:top w:val="none" w:sz="0" w:space="0" w:color="auto"/>
            <w:left w:val="none" w:sz="0" w:space="0" w:color="auto"/>
            <w:bottom w:val="none" w:sz="0" w:space="0" w:color="auto"/>
            <w:right w:val="none" w:sz="0" w:space="0" w:color="auto"/>
          </w:divBdr>
        </w:div>
      </w:divsChild>
    </w:div>
    <w:div w:id="231235626">
      <w:bodyDiv w:val="1"/>
      <w:marLeft w:val="0"/>
      <w:marRight w:val="0"/>
      <w:marTop w:val="0"/>
      <w:marBottom w:val="0"/>
      <w:divBdr>
        <w:top w:val="none" w:sz="0" w:space="0" w:color="auto"/>
        <w:left w:val="none" w:sz="0" w:space="0" w:color="auto"/>
        <w:bottom w:val="none" w:sz="0" w:space="0" w:color="auto"/>
        <w:right w:val="none" w:sz="0" w:space="0" w:color="auto"/>
      </w:divBdr>
    </w:div>
    <w:div w:id="231356136">
      <w:bodyDiv w:val="1"/>
      <w:marLeft w:val="0"/>
      <w:marRight w:val="0"/>
      <w:marTop w:val="0"/>
      <w:marBottom w:val="0"/>
      <w:divBdr>
        <w:top w:val="none" w:sz="0" w:space="0" w:color="auto"/>
        <w:left w:val="none" w:sz="0" w:space="0" w:color="auto"/>
        <w:bottom w:val="none" w:sz="0" w:space="0" w:color="auto"/>
        <w:right w:val="none" w:sz="0" w:space="0" w:color="auto"/>
      </w:divBdr>
      <w:divsChild>
        <w:div w:id="1089615990">
          <w:marLeft w:val="0"/>
          <w:marRight w:val="0"/>
          <w:marTop w:val="0"/>
          <w:marBottom w:val="150"/>
          <w:divBdr>
            <w:top w:val="none" w:sz="0" w:space="0" w:color="auto"/>
            <w:left w:val="none" w:sz="0" w:space="0" w:color="auto"/>
            <w:bottom w:val="none" w:sz="0" w:space="0" w:color="auto"/>
            <w:right w:val="none" w:sz="0" w:space="0" w:color="auto"/>
          </w:divBdr>
          <w:divsChild>
            <w:div w:id="1835297915">
              <w:marLeft w:val="0"/>
              <w:marRight w:val="0"/>
              <w:marTop w:val="0"/>
              <w:marBottom w:val="0"/>
              <w:divBdr>
                <w:top w:val="none" w:sz="0" w:space="0" w:color="auto"/>
                <w:left w:val="none" w:sz="0" w:space="0" w:color="auto"/>
                <w:bottom w:val="none" w:sz="0" w:space="0" w:color="auto"/>
                <w:right w:val="none" w:sz="0" w:space="0" w:color="auto"/>
              </w:divBdr>
            </w:div>
          </w:divsChild>
        </w:div>
        <w:div w:id="1430351967">
          <w:marLeft w:val="0"/>
          <w:marRight w:val="0"/>
          <w:marTop w:val="0"/>
          <w:marBottom w:val="0"/>
          <w:divBdr>
            <w:top w:val="none" w:sz="0" w:space="0" w:color="auto"/>
            <w:left w:val="none" w:sz="0" w:space="0" w:color="auto"/>
            <w:bottom w:val="none" w:sz="0" w:space="0" w:color="auto"/>
            <w:right w:val="none" w:sz="0" w:space="0" w:color="auto"/>
          </w:divBdr>
          <w:divsChild>
            <w:div w:id="592399948">
              <w:marLeft w:val="0"/>
              <w:marRight w:val="0"/>
              <w:marTop w:val="0"/>
              <w:marBottom w:val="150"/>
              <w:divBdr>
                <w:top w:val="none" w:sz="0" w:space="0" w:color="auto"/>
                <w:left w:val="none" w:sz="0" w:space="0" w:color="auto"/>
                <w:bottom w:val="none" w:sz="0" w:space="0" w:color="auto"/>
                <w:right w:val="none" w:sz="0" w:space="0" w:color="auto"/>
              </w:divBdr>
            </w:div>
            <w:div w:id="111975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625218">
      <w:bodyDiv w:val="1"/>
      <w:marLeft w:val="0"/>
      <w:marRight w:val="0"/>
      <w:marTop w:val="0"/>
      <w:marBottom w:val="0"/>
      <w:divBdr>
        <w:top w:val="none" w:sz="0" w:space="0" w:color="auto"/>
        <w:left w:val="none" w:sz="0" w:space="0" w:color="auto"/>
        <w:bottom w:val="none" w:sz="0" w:space="0" w:color="auto"/>
        <w:right w:val="none" w:sz="0" w:space="0" w:color="auto"/>
      </w:divBdr>
      <w:divsChild>
        <w:div w:id="646327600">
          <w:marLeft w:val="0"/>
          <w:marRight w:val="0"/>
          <w:marTop w:val="0"/>
          <w:marBottom w:val="0"/>
          <w:divBdr>
            <w:top w:val="none" w:sz="0" w:space="0" w:color="auto"/>
            <w:left w:val="none" w:sz="0" w:space="0" w:color="auto"/>
            <w:bottom w:val="dotted" w:sz="6" w:space="4" w:color="DDDDDD"/>
            <w:right w:val="none" w:sz="0" w:space="0" w:color="auto"/>
          </w:divBdr>
          <w:divsChild>
            <w:div w:id="140020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894654">
      <w:bodyDiv w:val="1"/>
      <w:marLeft w:val="0"/>
      <w:marRight w:val="0"/>
      <w:marTop w:val="0"/>
      <w:marBottom w:val="0"/>
      <w:divBdr>
        <w:top w:val="none" w:sz="0" w:space="0" w:color="auto"/>
        <w:left w:val="none" w:sz="0" w:space="0" w:color="auto"/>
        <w:bottom w:val="none" w:sz="0" w:space="0" w:color="auto"/>
        <w:right w:val="none" w:sz="0" w:space="0" w:color="auto"/>
      </w:divBdr>
      <w:divsChild>
        <w:div w:id="1891111507">
          <w:marLeft w:val="0"/>
          <w:marRight w:val="0"/>
          <w:marTop w:val="0"/>
          <w:marBottom w:val="150"/>
          <w:divBdr>
            <w:top w:val="none" w:sz="0" w:space="0" w:color="auto"/>
            <w:left w:val="none" w:sz="0" w:space="0" w:color="auto"/>
            <w:bottom w:val="none" w:sz="0" w:space="0" w:color="auto"/>
            <w:right w:val="none" w:sz="0" w:space="0" w:color="auto"/>
          </w:divBdr>
          <w:divsChild>
            <w:div w:id="19938945">
              <w:marLeft w:val="0"/>
              <w:marRight w:val="0"/>
              <w:marTop w:val="0"/>
              <w:marBottom w:val="0"/>
              <w:divBdr>
                <w:top w:val="none" w:sz="0" w:space="0" w:color="auto"/>
                <w:left w:val="none" w:sz="0" w:space="0" w:color="auto"/>
                <w:bottom w:val="none" w:sz="0" w:space="0" w:color="auto"/>
                <w:right w:val="none" w:sz="0" w:space="0" w:color="auto"/>
              </w:divBdr>
              <w:divsChild>
                <w:div w:id="371004941">
                  <w:marLeft w:val="0"/>
                  <w:marRight w:val="0"/>
                  <w:marTop w:val="0"/>
                  <w:marBottom w:val="0"/>
                  <w:divBdr>
                    <w:top w:val="none" w:sz="0" w:space="0" w:color="auto"/>
                    <w:left w:val="none" w:sz="0" w:space="0" w:color="auto"/>
                    <w:bottom w:val="none" w:sz="0" w:space="0" w:color="auto"/>
                    <w:right w:val="none" w:sz="0" w:space="0" w:color="auto"/>
                  </w:divBdr>
                  <w:divsChild>
                    <w:div w:id="2008098435">
                      <w:marLeft w:val="0"/>
                      <w:marRight w:val="150"/>
                      <w:marTop w:val="0"/>
                      <w:marBottom w:val="0"/>
                      <w:divBdr>
                        <w:top w:val="none" w:sz="0" w:space="0" w:color="auto"/>
                        <w:left w:val="none" w:sz="0" w:space="0" w:color="auto"/>
                        <w:bottom w:val="none" w:sz="0" w:space="0" w:color="auto"/>
                        <w:right w:val="none" w:sz="0" w:space="0" w:color="auto"/>
                      </w:divBdr>
                      <w:divsChild>
                        <w:div w:id="4371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401114">
          <w:marLeft w:val="0"/>
          <w:marRight w:val="0"/>
          <w:marTop w:val="0"/>
          <w:marBottom w:val="150"/>
          <w:divBdr>
            <w:top w:val="none" w:sz="0" w:space="0" w:color="auto"/>
            <w:left w:val="none" w:sz="0" w:space="0" w:color="auto"/>
            <w:bottom w:val="none" w:sz="0" w:space="0" w:color="auto"/>
            <w:right w:val="none" w:sz="0" w:space="0" w:color="auto"/>
          </w:divBdr>
        </w:div>
        <w:div w:id="1706902736">
          <w:marLeft w:val="0"/>
          <w:marRight w:val="0"/>
          <w:marTop w:val="0"/>
          <w:marBottom w:val="0"/>
          <w:divBdr>
            <w:top w:val="none" w:sz="0" w:space="0" w:color="auto"/>
            <w:left w:val="none" w:sz="0" w:space="0" w:color="auto"/>
            <w:bottom w:val="none" w:sz="0" w:space="0" w:color="auto"/>
            <w:right w:val="none" w:sz="0" w:space="0" w:color="auto"/>
          </w:divBdr>
          <w:divsChild>
            <w:div w:id="143655522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32355918">
      <w:bodyDiv w:val="1"/>
      <w:marLeft w:val="0"/>
      <w:marRight w:val="0"/>
      <w:marTop w:val="0"/>
      <w:marBottom w:val="0"/>
      <w:divBdr>
        <w:top w:val="none" w:sz="0" w:space="0" w:color="auto"/>
        <w:left w:val="none" w:sz="0" w:space="0" w:color="auto"/>
        <w:bottom w:val="none" w:sz="0" w:space="0" w:color="auto"/>
        <w:right w:val="none" w:sz="0" w:space="0" w:color="auto"/>
      </w:divBdr>
      <w:divsChild>
        <w:div w:id="1460148079">
          <w:marLeft w:val="0"/>
          <w:marRight w:val="0"/>
          <w:marTop w:val="0"/>
          <w:marBottom w:val="0"/>
          <w:divBdr>
            <w:top w:val="none" w:sz="0" w:space="0" w:color="auto"/>
            <w:left w:val="none" w:sz="0" w:space="0" w:color="auto"/>
            <w:bottom w:val="none" w:sz="0" w:space="0" w:color="auto"/>
            <w:right w:val="none" w:sz="0" w:space="0" w:color="auto"/>
          </w:divBdr>
        </w:div>
      </w:divsChild>
    </w:div>
    <w:div w:id="232737481">
      <w:bodyDiv w:val="1"/>
      <w:marLeft w:val="0"/>
      <w:marRight w:val="0"/>
      <w:marTop w:val="0"/>
      <w:marBottom w:val="0"/>
      <w:divBdr>
        <w:top w:val="none" w:sz="0" w:space="0" w:color="auto"/>
        <w:left w:val="none" w:sz="0" w:space="0" w:color="auto"/>
        <w:bottom w:val="none" w:sz="0" w:space="0" w:color="auto"/>
        <w:right w:val="none" w:sz="0" w:space="0" w:color="auto"/>
      </w:divBdr>
    </w:div>
    <w:div w:id="233056295">
      <w:bodyDiv w:val="1"/>
      <w:marLeft w:val="0"/>
      <w:marRight w:val="0"/>
      <w:marTop w:val="0"/>
      <w:marBottom w:val="0"/>
      <w:divBdr>
        <w:top w:val="none" w:sz="0" w:space="0" w:color="auto"/>
        <w:left w:val="none" w:sz="0" w:space="0" w:color="auto"/>
        <w:bottom w:val="none" w:sz="0" w:space="0" w:color="auto"/>
        <w:right w:val="none" w:sz="0" w:space="0" w:color="auto"/>
      </w:divBdr>
      <w:divsChild>
        <w:div w:id="354379880">
          <w:marLeft w:val="0"/>
          <w:marRight w:val="600"/>
          <w:marTop w:val="0"/>
          <w:marBottom w:val="0"/>
          <w:divBdr>
            <w:top w:val="none" w:sz="0" w:space="0" w:color="auto"/>
            <w:left w:val="none" w:sz="0" w:space="0" w:color="auto"/>
            <w:bottom w:val="none" w:sz="0" w:space="0" w:color="auto"/>
            <w:right w:val="none" w:sz="0" w:space="0" w:color="auto"/>
          </w:divBdr>
          <w:divsChild>
            <w:div w:id="301545558">
              <w:marLeft w:val="0"/>
              <w:marRight w:val="0"/>
              <w:marTop w:val="0"/>
              <w:marBottom w:val="225"/>
              <w:divBdr>
                <w:top w:val="none" w:sz="0" w:space="0" w:color="auto"/>
                <w:left w:val="none" w:sz="0" w:space="0" w:color="auto"/>
                <w:bottom w:val="none" w:sz="0" w:space="0" w:color="auto"/>
                <w:right w:val="none" w:sz="0" w:space="0" w:color="auto"/>
              </w:divBdr>
            </w:div>
            <w:div w:id="495730276">
              <w:marLeft w:val="0"/>
              <w:marRight w:val="0"/>
              <w:marTop w:val="0"/>
              <w:marBottom w:val="0"/>
              <w:divBdr>
                <w:top w:val="none" w:sz="0" w:space="0" w:color="auto"/>
                <w:left w:val="none" w:sz="0" w:space="0" w:color="auto"/>
                <w:bottom w:val="none" w:sz="0" w:space="0" w:color="auto"/>
                <w:right w:val="none" w:sz="0" w:space="0" w:color="auto"/>
              </w:divBdr>
              <w:divsChild>
                <w:div w:id="475755549">
                  <w:marLeft w:val="0"/>
                  <w:marRight w:val="0"/>
                  <w:marTop w:val="0"/>
                  <w:marBottom w:val="300"/>
                  <w:divBdr>
                    <w:top w:val="none" w:sz="0" w:space="0" w:color="auto"/>
                    <w:left w:val="none" w:sz="0" w:space="0" w:color="auto"/>
                    <w:bottom w:val="none" w:sz="0" w:space="0" w:color="auto"/>
                    <w:right w:val="none" w:sz="0" w:space="0" w:color="auto"/>
                  </w:divBdr>
                </w:div>
              </w:divsChild>
            </w:div>
            <w:div w:id="547186562">
              <w:marLeft w:val="0"/>
              <w:marRight w:val="0"/>
              <w:marTop w:val="0"/>
              <w:marBottom w:val="0"/>
              <w:divBdr>
                <w:top w:val="none" w:sz="0" w:space="0" w:color="auto"/>
                <w:left w:val="none" w:sz="0" w:space="0" w:color="auto"/>
                <w:bottom w:val="none" w:sz="0" w:space="0" w:color="auto"/>
                <w:right w:val="none" w:sz="0" w:space="0" w:color="auto"/>
              </w:divBdr>
              <w:divsChild>
                <w:div w:id="812016861">
                  <w:marLeft w:val="0"/>
                  <w:marRight w:val="0"/>
                  <w:marTop w:val="0"/>
                  <w:marBottom w:val="0"/>
                  <w:divBdr>
                    <w:top w:val="none" w:sz="0" w:space="0" w:color="auto"/>
                    <w:left w:val="none" w:sz="0" w:space="0" w:color="auto"/>
                    <w:bottom w:val="none" w:sz="0" w:space="0" w:color="auto"/>
                    <w:right w:val="none" w:sz="0" w:space="0" w:color="auto"/>
                  </w:divBdr>
                  <w:divsChild>
                    <w:div w:id="158429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822916">
          <w:marLeft w:val="0"/>
          <w:marRight w:val="0"/>
          <w:marTop w:val="0"/>
          <w:marBottom w:val="0"/>
          <w:divBdr>
            <w:top w:val="none" w:sz="0" w:space="0" w:color="auto"/>
            <w:left w:val="none" w:sz="0" w:space="0" w:color="auto"/>
            <w:bottom w:val="none" w:sz="0" w:space="0" w:color="auto"/>
            <w:right w:val="none" w:sz="0" w:space="0" w:color="auto"/>
          </w:divBdr>
          <w:divsChild>
            <w:div w:id="330450982">
              <w:marLeft w:val="0"/>
              <w:marRight w:val="0"/>
              <w:marTop w:val="0"/>
              <w:marBottom w:val="150"/>
              <w:divBdr>
                <w:top w:val="none" w:sz="0" w:space="0" w:color="auto"/>
                <w:left w:val="none" w:sz="0" w:space="0" w:color="auto"/>
                <w:bottom w:val="none" w:sz="0" w:space="0" w:color="auto"/>
                <w:right w:val="none" w:sz="0" w:space="0" w:color="auto"/>
              </w:divBdr>
              <w:divsChild>
                <w:div w:id="1563054843">
                  <w:marLeft w:val="0"/>
                  <w:marRight w:val="0"/>
                  <w:marTop w:val="0"/>
                  <w:marBottom w:val="300"/>
                  <w:divBdr>
                    <w:top w:val="none" w:sz="0" w:space="0" w:color="auto"/>
                    <w:left w:val="none" w:sz="0" w:space="0" w:color="auto"/>
                    <w:bottom w:val="none" w:sz="0" w:space="0" w:color="auto"/>
                    <w:right w:val="none" w:sz="0" w:space="0" w:color="auto"/>
                  </w:divBdr>
                </w:div>
              </w:divsChild>
            </w:div>
            <w:div w:id="1117985493">
              <w:marLeft w:val="0"/>
              <w:marRight w:val="0"/>
              <w:marTop w:val="0"/>
              <w:marBottom w:val="150"/>
              <w:divBdr>
                <w:top w:val="none" w:sz="0" w:space="0" w:color="auto"/>
                <w:left w:val="none" w:sz="0" w:space="0" w:color="auto"/>
                <w:bottom w:val="none" w:sz="0" w:space="0" w:color="auto"/>
                <w:right w:val="none" w:sz="0" w:space="0" w:color="auto"/>
              </w:divBdr>
              <w:divsChild>
                <w:div w:id="1631326027">
                  <w:marLeft w:val="0"/>
                  <w:marRight w:val="0"/>
                  <w:marTop w:val="0"/>
                  <w:marBottom w:val="300"/>
                  <w:divBdr>
                    <w:top w:val="none" w:sz="0" w:space="0" w:color="auto"/>
                    <w:left w:val="none" w:sz="0" w:space="0" w:color="auto"/>
                    <w:bottom w:val="none" w:sz="0" w:space="0" w:color="auto"/>
                    <w:right w:val="none" w:sz="0" w:space="0" w:color="auto"/>
                  </w:divBdr>
                  <w:divsChild>
                    <w:div w:id="1681351266">
                      <w:marLeft w:val="0"/>
                      <w:marRight w:val="0"/>
                      <w:marTop w:val="0"/>
                      <w:marBottom w:val="0"/>
                      <w:divBdr>
                        <w:top w:val="none" w:sz="0" w:space="0" w:color="auto"/>
                        <w:left w:val="none" w:sz="0" w:space="0" w:color="auto"/>
                        <w:bottom w:val="none" w:sz="0" w:space="0" w:color="auto"/>
                        <w:right w:val="none" w:sz="0" w:space="0" w:color="auto"/>
                      </w:divBdr>
                      <w:divsChild>
                        <w:div w:id="1987205012">
                          <w:marLeft w:val="0"/>
                          <w:marRight w:val="0"/>
                          <w:marTop w:val="0"/>
                          <w:marBottom w:val="0"/>
                          <w:divBdr>
                            <w:top w:val="none" w:sz="0" w:space="0" w:color="auto"/>
                            <w:left w:val="none" w:sz="0" w:space="0" w:color="auto"/>
                            <w:bottom w:val="none" w:sz="0" w:space="0" w:color="auto"/>
                            <w:right w:val="none" w:sz="0" w:space="0" w:color="auto"/>
                          </w:divBdr>
                          <w:divsChild>
                            <w:div w:id="615407015">
                              <w:marLeft w:val="0"/>
                              <w:marRight w:val="0"/>
                              <w:marTop w:val="0"/>
                              <w:marBottom w:val="0"/>
                              <w:divBdr>
                                <w:top w:val="none" w:sz="0" w:space="0" w:color="auto"/>
                                <w:left w:val="none" w:sz="0" w:space="0" w:color="auto"/>
                                <w:bottom w:val="none" w:sz="0" w:space="0" w:color="auto"/>
                                <w:right w:val="none" w:sz="0" w:space="0" w:color="auto"/>
                              </w:divBdr>
                              <w:divsChild>
                                <w:div w:id="141965423">
                                  <w:marLeft w:val="0"/>
                                  <w:marRight w:val="0"/>
                                  <w:marTop w:val="0"/>
                                  <w:marBottom w:val="0"/>
                                  <w:divBdr>
                                    <w:top w:val="none" w:sz="0" w:space="0" w:color="auto"/>
                                    <w:left w:val="none" w:sz="0" w:space="0" w:color="auto"/>
                                    <w:bottom w:val="none" w:sz="0" w:space="0" w:color="auto"/>
                                    <w:right w:val="none" w:sz="0" w:space="0" w:color="auto"/>
                                  </w:divBdr>
                                  <w:divsChild>
                                    <w:div w:id="2706097">
                                      <w:marLeft w:val="0"/>
                                      <w:marRight w:val="0"/>
                                      <w:marTop w:val="0"/>
                                      <w:marBottom w:val="0"/>
                                      <w:divBdr>
                                        <w:top w:val="none" w:sz="0" w:space="0" w:color="auto"/>
                                        <w:left w:val="none" w:sz="0" w:space="0" w:color="auto"/>
                                        <w:bottom w:val="none" w:sz="0" w:space="0" w:color="auto"/>
                                        <w:right w:val="none" w:sz="0" w:space="0" w:color="auto"/>
                                      </w:divBdr>
                                      <w:divsChild>
                                        <w:div w:id="599488554">
                                          <w:marLeft w:val="0"/>
                                          <w:marRight w:val="0"/>
                                          <w:marTop w:val="0"/>
                                          <w:marBottom w:val="0"/>
                                          <w:divBdr>
                                            <w:top w:val="none" w:sz="0" w:space="0" w:color="auto"/>
                                            <w:left w:val="none" w:sz="0" w:space="0" w:color="auto"/>
                                            <w:bottom w:val="none" w:sz="0" w:space="0" w:color="auto"/>
                                            <w:right w:val="none" w:sz="0" w:space="0" w:color="auto"/>
                                          </w:divBdr>
                                          <w:divsChild>
                                            <w:div w:id="703022810">
                                              <w:marLeft w:val="0"/>
                                              <w:marRight w:val="0"/>
                                              <w:marTop w:val="0"/>
                                              <w:marBottom w:val="120"/>
                                              <w:divBdr>
                                                <w:top w:val="none" w:sz="0" w:space="0" w:color="auto"/>
                                                <w:left w:val="none" w:sz="0" w:space="0" w:color="auto"/>
                                                <w:bottom w:val="none" w:sz="0" w:space="0" w:color="auto"/>
                                                <w:right w:val="none" w:sz="0" w:space="0" w:color="auto"/>
                                              </w:divBdr>
                                              <w:divsChild>
                                                <w:div w:id="11298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6938477">
              <w:marLeft w:val="0"/>
              <w:marRight w:val="0"/>
              <w:marTop w:val="0"/>
              <w:marBottom w:val="0"/>
              <w:divBdr>
                <w:top w:val="none" w:sz="0" w:space="0" w:color="auto"/>
                <w:left w:val="none" w:sz="0" w:space="0" w:color="auto"/>
                <w:bottom w:val="none" w:sz="0" w:space="0" w:color="auto"/>
                <w:right w:val="none" w:sz="0" w:space="0" w:color="auto"/>
              </w:divBdr>
              <w:divsChild>
                <w:div w:id="1505783594">
                  <w:marLeft w:val="0"/>
                  <w:marRight w:val="0"/>
                  <w:marTop w:val="0"/>
                  <w:marBottom w:val="0"/>
                  <w:divBdr>
                    <w:top w:val="none" w:sz="0" w:space="0" w:color="auto"/>
                    <w:left w:val="none" w:sz="0" w:space="0" w:color="auto"/>
                    <w:bottom w:val="none" w:sz="0" w:space="0" w:color="auto"/>
                    <w:right w:val="none" w:sz="0" w:space="0" w:color="auto"/>
                  </w:divBdr>
                  <w:divsChild>
                    <w:div w:id="942767195">
                      <w:marLeft w:val="0"/>
                      <w:marRight w:val="0"/>
                      <w:marTop w:val="0"/>
                      <w:marBottom w:val="0"/>
                      <w:divBdr>
                        <w:top w:val="none" w:sz="0" w:space="0" w:color="auto"/>
                        <w:left w:val="none" w:sz="0" w:space="0" w:color="auto"/>
                        <w:bottom w:val="none" w:sz="0" w:space="0" w:color="auto"/>
                        <w:right w:val="none" w:sz="0" w:space="0" w:color="auto"/>
                      </w:divBdr>
                      <w:divsChild>
                        <w:div w:id="1033534266">
                          <w:marLeft w:val="0"/>
                          <w:marRight w:val="0"/>
                          <w:marTop w:val="0"/>
                          <w:marBottom w:val="300"/>
                          <w:divBdr>
                            <w:top w:val="none" w:sz="0" w:space="0" w:color="auto"/>
                            <w:left w:val="none" w:sz="0" w:space="0" w:color="auto"/>
                            <w:bottom w:val="none" w:sz="0" w:space="0" w:color="auto"/>
                            <w:right w:val="none" w:sz="0" w:space="0" w:color="auto"/>
                          </w:divBdr>
                          <w:divsChild>
                            <w:div w:id="1806270298">
                              <w:marLeft w:val="0"/>
                              <w:marRight w:val="0"/>
                              <w:marTop w:val="0"/>
                              <w:marBottom w:val="0"/>
                              <w:divBdr>
                                <w:top w:val="none" w:sz="0" w:space="0" w:color="auto"/>
                                <w:left w:val="none" w:sz="0" w:space="0" w:color="auto"/>
                                <w:bottom w:val="none" w:sz="0" w:space="0" w:color="auto"/>
                                <w:right w:val="none" w:sz="0" w:space="0" w:color="auto"/>
                              </w:divBdr>
                            </w:div>
                            <w:div w:id="2033024268">
                              <w:marLeft w:val="0"/>
                              <w:marRight w:val="225"/>
                              <w:marTop w:val="0"/>
                              <w:marBottom w:val="0"/>
                              <w:divBdr>
                                <w:top w:val="none" w:sz="0" w:space="0" w:color="auto"/>
                                <w:left w:val="none" w:sz="0" w:space="0" w:color="auto"/>
                                <w:bottom w:val="none" w:sz="0" w:space="0" w:color="auto"/>
                                <w:right w:val="none" w:sz="0" w:space="0" w:color="auto"/>
                              </w:divBdr>
                            </w:div>
                          </w:divsChild>
                        </w:div>
                        <w:div w:id="1622564750">
                          <w:marLeft w:val="0"/>
                          <w:marRight w:val="0"/>
                          <w:marTop w:val="0"/>
                          <w:marBottom w:val="300"/>
                          <w:divBdr>
                            <w:top w:val="none" w:sz="0" w:space="0" w:color="auto"/>
                            <w:left w:val="none" w:sz="0" w:space="0" w:color="auto"/>
                            <w:bottom w:val="none" w:sz="0" w:space="0" w:color="auto"/>
                            <w:right w:val="none" w:sz="0" w:space="0" w:color="auto"/>
                          </w:divBdr>
                          <w:divsChild>
                            <w:div w:id="896892223">
                              <w:marLeft w:val="0"/>
                              <w:marRight w:val="225"/>
                              <w:marTop w:val="0"/>
                              <w:marBottom w:val="0"/>
                              <w:divBdr>
                                <w:top w:val="none" w:sz="0" w:space="0" w:color="auto"/>
                                <w:left w:val="none" w:sz="0" w:space="0" w:color="auto"/>
                                <w:bottom w:val="none" w:sz="0" w:space="0" w:color="auto"/>
                                <w:right w:val="none" w:sz="0" w:space="0" w:color="auto"/>
                              </w:divBdr>
                            </w:div>
                            <w:div w:id="1958246281">
                              <w:marLeft w:val="0"/>
                              <w:marRight w:val="0"/>
                              <w:marTop w:val="0"/>
                              <w:marBottom w:val="0"/>
                              <w:divBdr>
                                <w:top w:val="none" w:sz="0" w:space="0" w:color="auto"/>
                                <w:left w:val="none" w:sz="0" w:space="0" w:color="auto"/>
                                <w:bottom w:val="none" w:sz="0" w:space="0" w:color="auto"/>
                                <w:right w:val="none" w:sz="0" w:space="0" w:color="auto"/>
                              </w:divBdr>
                            </w:div>
                          </w:divsChild>
                        </w:div>
                        <w:div w:id="2021274349">
                          <w:marLeft w:val="0"/>
                          <w:marRight w:val="0"/>
                          <w:marTop w:val="0"/>
                          <w:marBottom w:val="300"/>
                          <w:divBdr>
                            <w:top w:val="none" w:sz="0" w:space="0" w:color="auto"/>
                            <w:left w:val="none" w:sz="0" w:space="0" w:color="auto"/>
                            <w:bottom w:val="none" w:sz="0" w:space="0" w:color="auto"/>
                            <w:right w:val="none" w:sz="0" w:space="0" w:color="auto"/>
                          </w:divBdr>
                          <w:divsChild>
                            <w:div w:id="623538264">
                              <w:marLeft w:val="0"/>
                              <w:marRight w:val="0"/>
                              <w:marTop w:val="0"/>
                              <w:marBottom w:val="0"/>
                              <w:divBdr>
                                <w:top w:val="none" w:sz="0" w:space="0" w:color="auto"/>
                                <w:left w:val="none" w:sz="0" w:space="0" w:color="auto"/>
                                <w:bottom w:val="none" w:sz="0" w:space="0" w:color="auto"/>
                                <w:right w:val="none" w:sz="0" w:space="0" w:color="auto"/>
                              </w:divBdr>
                            </w:div>
                            <w:div w:id="1973048911">
                              <w:marLeft w:val="0"/>
                              <w:marRight w:val="225"/>
                              <w:marTop w:val="0"/>
                              <w:marBottom w:val="0"/>
                              <w:divBdr>
                                <w:top w:val="none" w:sz="0" w:space="0" w:color="auto"/>
                                <w:left w:val="none" w:sz="0" w:space="0" w:color="auto"/>
                                <w:bottom w:val="none" w:sz="0" w:space="0" w:color="auto"/>
                                <w:right w:val="none" w:sz="0" w:space="0" w:color="auto"/>
                              </w:divBdr>
                            </w:div>
                          </w:divsChild>
                        </w:div>
                        <w:div w:id="2130203045">
                          <w:marLeft w:val="0"/>
                          <w:marRight w:val="0"/>
                          <w:marTop w:val="0"/>
                          <w:marBottom w:val="300"/>
                          <w:divBdr>
                            <w:top w:val="none" w:sz="0" w:space="0" w:color="auto"/>
                            <w:left w:val="none" w:sz="0" w:space="0" w:color="auto"/>
                            <w:bottom w:val="none" w:sz="0" w:space="0" w:color="auto"/>
                            <w:right w:val="none" w:sz="0" w:space="0" w:color="auto"/>
                          </w:divBdr>
                          <w:divsChild>
                            <w:div w:id="288513515">
                              <w:marLeft w:val="0"/>
                              <w:marRight w:val="225"/>
                              <w:marTop w:val="0"/>
                              <w:marBottom w:val="0"/>
                              <w:divBdr>
                                <w:top w:val="none" w:sz="0" w:space="0" w:color="auto"/>
                                <w:left w:val="none" w:sz="0" w:space="0" w:color="auto"/>
                                <w:bottom w:val="none" w:sz="0" w:space="0" w:color="auto"/>
                                <w:right w:val="none" w:sz="0" w:space="0" w:color="auto"/>
                              </w:divBdr>
                            </w:div>
                            <w:div w:id="6671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517570">
      <w:bodyDiv w:val="1"/>
      <w:marLeft w:val="0"/>
      <w:marRight w:val="0"/>
      <w:marTop w:val="0"/>
      <w:marBottom w:val="0"/>
      <w:divBdr>
        <w:top w:val="none" w:sz="0" w:space="0" w:color="auto"/>
        <w:left w:val="none" w:sz="0" w:space="0" w:color="auto"/>
        <w:bottom w:val="none" w:sz="0" w:space="0" w:color="auto"/>
        <w:right w:val="none" w:sz="0" w:space="0" w:color="auto"/>
      </w:divBdr>
      <w:divsChild>
        <w:div w:id="1090731799">
          <w:marLeft w:val="0"/>
          <w:marRight w:val="0"/>
          <w:marTop w:val="0"/>
          <w:marBottom w:val="0"/>
          <w:divBdr>
            <w:top w:val="none" w:sz="0" w:space="0" w:color="auto"/>
            <w:left w:val="none" w:sz="0" w:space="0" w:color="auto"/>
            <w:bottom w:val="none" w:sz="0" w:space="0" w:color="auto"/>
            <w:right w:val="none" w:sz="0" w:space="0" w:color="auto"/>
          </w:divBdr>
        </w:div>
        <w:div w:id="1471093615">
          <w:marLeft w:val="0"/>
          <w:marRight w:val="0"/>
          <w:marTop w:val="0"/>
          <w:marBottom w:val="0"/>
          <w:divBdr>
            <w:top w:val="none" w:sz="0" w:space="0" w:color="auto"/>
            <w:left w:val="none" w:sz="0" w:space="0" w:color="auto"/>
            <w:bottom w:val="none" w:sz="0" w:space="0" w:color="auto"/>
            <w:right w:val="none" w:sz="0" w:space="0" w:color="auto"/>
          </w:divBdr>
          <w:divsChild>
            <w:div w:id="1633905937">
              <w:marLeft w:val="0"/>
              <w:marRight w:val="0"/>
              <w:marTop w:val="0"/>
              <w:marBottom w:val="0"/>
              <w:divBdr>
                <w:top w:val="none" w:sz="0" w:space="0" w:color="auto"/>
                <w:left w:val="none" w:sz="0" w:space="0" w:color="auto"/>
                <w:bottom w:val="none" w:sz="0" w:space="0" w:color="auto"/>
                <w:right w:val="none" w:sz="0" w:space="0" w:color="auto"/>
              </w:divBdr>
              <w:divsChild>
                <w:div w:id="194264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88294">
      <w:bodyDiv w:val="1"/>
      <w:marLeft w:val="0"/>
      <w:marRight w:val="0"/>
      <w:marTop w:val="0"/>
      <w:marBottom w:val="0"/>
      <w:divBdr>
        <w:top w:val="none" w:sz="0" w:space="0" w:color="auto"/>
        <w:left w:val="none" w:sz="0" w:space="0" w:color="auto"/>
        <w:bottom w:val="none" w:sz="0" w:space="0" w:color="auto"/>
        <w:right w:val="none" w:sz="0" w:space="0" w:color="auto"/>
      </w:divBdr>
      <w:divsChild>
        <w:div w:id="1806387092">
          <w:marLeft w:val="0"/>
          <w:marRight w:val="0"/>
          <w:marTop w:val="0"/>
          <w:marBottom w:val="0"/>
          <w:divBdr>
            <w:top w:val="none" w:sz="0" w:space="0" w:color="auto"/>
            <w:left w:val="none" w:sz="0" w:space="0" w:color="auto"/>
            <w:bottom w:val="none" w:sz="0" w:space="0" w:color="auto"/>
            <w:right w:val="none" w:sz="0" w:space="0" w:color="auto"/>
          </w:divBdr>
          <w:divsChild>
            <w:div w:id="1948344019">
              <w:marLeft w:val="0"/>
              <w:marRight w:val="0"/>
              <w:marTop w:val="0"/>
              <w:marBottom w:val="0"/>
              <w:divBdr>
                <w:top w:val="none" w:sz="0" w:space="0" w:color="auto"/>
                <w:left w:val="none" w:sz="0" w:space="0" w:color="auto"/>
                <w:bottom w:val="none" w:sz="0" w:space="0" w:color="auto"/>
                <w:right w:val="none" w:sz="0" w:space="0" w:color="auto"/>
              </w:divBdr>
              <w:divsChild>
                <w:div w:id="261647661">
                  <w:marLeft w:val="0"/>
                  <w:marRight w:val="0"/>
                  <w:marTop w:val="0"/>
                  <w:marBottom w:val="0"/>
                  <w:divBdr>
                    <w:top w:val="none" w:sz="0" w:space="0" w:color="auto"/>
                    <w:left w:val="none" w:sz="0" w:space="0" w:color="auto"/>
                    <w:bottom w:val="none" w:sz="0" w:space="0" w:color="auto"/>
                    <w:right w:val="none" w:sz="0" w:space="0" w:color="auto"/>
                  </w:divBdr>
                  <w:divsChild>
                    <w:div w:id="19429535">
                      <w:marLeft w:val="0"/>
                      <w:marRight w:val="0"/>
                      <w:marTop w:val="0"/>
                      <w:marBottom w:val="0"/>
                      <w:divBdr>
                        <w:top w:val="none" w:sz="0" w:space="0" w:color="auto"/>
                        <w:left w:val="none" w:sz="0" w:space="0" w:color="auto"/>
                        <w:bottom w:val="none" w:sz="0" w:space="0" w:color="auto"/>
                        <w:right w:val="none" w:sz="0" w:space="0" w:color="auto"/>
                      </w:divBdr>
                      <w:divsChild>
                        <w:div w:id="1502504500">
                          <w:marLeft w:val="0"/>
                          <w:marRight w:val="0"/>
                          <w:marTop w:val="0"/>
                          <w:marBottom w:val="0"/>
                          <w:divBdr>
                            <w:top w:val="none" w:sz="0" w:space="0" w:color="auto"/>
                            <w:left w:val="none" w:sz="0" w:space="0" w:color="auto"/>
                            <w:bottom w:val="none" w:sz="0" w:space="0" w:color="auto"/>
                            <w:right w:val="none" w:sz="0" w:space="0" w:color="auto"/>
                          </w:divBdr>
                          <w:divsChild>
                            <w:div w:id="1323781318">
                              <w:marLeft w:val="0"/>
                              <w:marRight w:val="0"/>
                              <w:marTop w:val="0"/>
                              <w:marBottom w:val="0"/>
                              <w:divBdr>
                                <w:top w:val="none" w:sz="0" w:space="0" w:color="auto"/>
                                <w:left w:val="none" w:sz="0" w:space="0" w:color="auto"/>
                                <w:bottom w:val="none" w:sz="0" w:space="0" w:color="auto"/>
                                <w:right w:val="none" w:sz="0" w:space="0" w:color="auto"/>
                              </w:divBdr>
                              <w:divsChild>
                                <w:div w:id="1005208189">
                                  <w:marLeft w:val="0"/>
                                  <w:marRight w:val="0"/>
                                  <w:marTop w:val="0"/>
                                  <w:marBottom w:val="0"/>
                                  <w:divBdr>
                                    <w:top w:val="none" w:sz="0" w:space="0" w:color="auto"/>
                                    <w:left w:val="none" w:sz="0" w:space="0" w:color="auto"/>
                                    <w:bottom w:val="none" w:sz="0" w:space="0" w:color="auto"/>
                                    <w:right w:val="none" w:sz="0" w:space="0" w:color="auto"/>
                                  </w:divBdr>
                                  <w:divsChild>
                                    <w:div w:id="517234466">
                                      <w:marLeft w:val="0"/>
                                      <w:marRight w:val="0"/>
                                      <w:marTop w:val="0"/>
                                      <w:marBottom w:val="0"/>
                                      <w:divBdr>
                                        <w:top w:val="none" w:sz="0" w:space="0" w:color="auto"/>
                                        <w:left w:val="none" w:sz="0" w:space="0" w:color="auto"/>
                                        <w:bottom w:val="none" w:sz="0" w:space="0" w:color="auto"/>
                                        <w:right w:val="none" w:sz="0" w:space="0" w:color="auto"/>
                                      </w:divBdr>
                                      <w:divsChild>
                                        <w:div w:id="3199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4048045">
      <w:bodyDiv w:val="1"/>
      <w:marLeft w:val="0"/>
      <w:marRight w:val="0"/>
      <w:marTop w:val="0"/>
      <w:marBottom w:val="0"/>
      <w:divBdr>
        <w:top w:val="none" w:sz="0" w:space="0" w:color="auto"/>
        <w:left w:val="none" w:sz="0" w:space="0" w:color="auto"/>
        <w:bottom w:val="none" w:sz="0" w:space="0" w:color="auto"/>
        <w:right w:val="none" w:sz="0" w:space="0" w:color="auto"/>
      </w:divBdr>
      <w:divsChild>
        <w:div w:id="484325644">
          <w:marLeft w:val="0"/>
          <w:marRight w:val="0"/>
          <w:marTop w:val="0"/>
          <w:marBottom w:val="0"/>
          <w:divBdr>
            <w:top w:val="none" w:sz="0" w:space="0" w:color="auto"/>
            <w:left w:val="none" w:sz="0" w:space="0" w:color="auto"/>
            <w:bottom w:val="dotted" w:sz="6" w:space="4" w:color="DDDDDD"/>
            <w:right w:val="none" w:sz="0" w:space="0" w:color="auto"/>
          </w:divBdr>
          <w:divsChild>
            <w:div w:id="194256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630374">
      <w:bodyDiv w:val="1"/>
      <w:marLeft w:val="0"/>
      <w:marRight w:val="0"/>
      <w:marTop w:val="0"/>
      <w:marBottom w:val="0"/>
      <w:divBdr>
        <w:top w:val="none" w:sz="0" w:space="0" w:color="auto"/>
        <w:left w:val="none" w:sz="0" w:space="0" w:color="auto"/>
        <w:bottom w:val="none" w:sz="0" w:space="0" w:color="auto"/>
        <w:right w:val="none" w:sz="0" w:space="0" w:color="auto"/>
      </w:divBdr>
      <w:divsChild>
        <w:div w:id="1220366028">
          <w:marLeft w:val="0"/>
          <w:marRight w:val="0"/>
          <w:marTop w:val="0"/>
          <w:marBottom w:val="150"/>
          <w:divBdr>
            <w:top w:val="none" w:sz="0" w:space="0" w:color="auto"/>
            <w:left w:val="none" w:sz="0" w:space="0" w:color="auto"/>
            <w:bottom w:val="none" w:sz="0" w:space="0" w:color="auto"/>
            <w:right w:val="none" w:sz="0" w:space="0" w:color="auto"/>
          </w:divBdr>
        </w:div>
      </w:divsChild>
    </w:div>
    <w:div w:id="235359775">
      <w:bodyDiv w:val="1"/>
      <w:marLeft w:val="0"/>
      <w:marRight w:val="0"/>
      <w:marTop w:val="0"/>
      <w:marBottom w:val="0"/>
      <w:divBdr>
        <w:top w:val="none" w:sz="0" w:space="0" w:color="auto"/>
        <w:left w:val="none" w:sz="0" w:space="0" w:color="auto"/>
        <w:bottom w:val="none" w:sz="0" w:space="0" w:color="auto"/>
        <w:right w:val="none" w:sz="0" w:space="0" w:color="auto"/>
      </w:divBdr>
      <w:divsChild>
        <w:div w:id="1809206448">
          <w:marLeft w:val="0"/>
          <w:marRight w:val="0"/>
          <w:marTop w:val="0"/>
          <w:marBottom w:val="0"/>
          <w:divBdr>
            <w:top w:val="none" w:sz="0" w:space="0" w:color="auto"/>
            <w:left w:val="none" w:sz="0" w:space="0" w:color="auto"/>
            <w:bottom w:val="none" w:sz="0" w:space="0" w:color="auto"/>
            <w:right w:val="none" w:sz="0" w:space="0" w:color="auto"/>
          </w:divBdr>
          <w:divsChild>
            <w:div w:id="90171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78614">
      <w:bodyDiv w:val="1"/>
      <w:marLeft w:val="0"/>
      <w:marRight w:val="0"/>
      <w:marTop w:val="0"/>
      <w:marBottom w:val="0"/>
      <w:divBdr>
        <w:top w:val="none" w:sz="0" w:space="0" w:color="auto"/>
        <w:left w:val="none" w:sz="0" w:space="0" w:color="auto"/>
        <w:bottom w:val="none" w:sz="0" w:space="0" w:color="auto"/>
        <w:right w:val="none" w:sz="0" w:space="0" w:color="auto"/>
      </w:divBdr>
      <w:divsChild>
        <w:div w:id="493226172">
          <w:marLeft w:val="0"/>
          <w:marRight w:val="0"/>
          <w:marTop w:val="0"/>
          <w:marBottom w:val="0"/>
          <w:divBdr>
            <w:top w:val="none" w:sz="0" w:space="0" w:color="auto"/>
            <w:left w:val="none" w:sz="0" w:space="0" w:color="auto"/>
            <w:bottom w:val="none" w:sz="0" w:space="0" w:color="auto"/>
            <w:right w:val="none" w:sz="0" w:space="0" w:color="auto"/>
          </w:divBdr>
          <w:divsChild>
            <w:div w:id="1314216723">
              <w:marLeft w:val="0"/>
              <w:marRight w:val="0"/>
              <w:marTop w:val="0"/>
              <w:marBottom w:val="0"/>
              <w:divBdr>
                <w:top w:val="none" w:sz="0" w:space="0" w:color="auto"/>
                <w:left w:val="none" w:sz="0" w:space="0" w:color="auto"/>
                <w:bottom w:val="none" w:sz="0" w:space="0" w:color="auto"/>
                <w:right w:val="none" w:sz="0" w:space="0" w:color="auto"/>
              </w:divBdr>
              <w:divsChild>
                <w:div w:id="384767516">
                  <w:marLeft w:val="0"/>
                  <w:marRight w:val="0"/>
                  <w:marTop w:val="0"/>
                  <w:marBottom w:val="0"/>
                  <w:divBdr>
                    <w:top w:val="none" w:sz="0" w:space="0" w:color="auto"/>
                    <w:left w:val="none" w:sz="0" w:space="0" w:color="auto"/>
                    <w:bottom w:val="none" w:sz="0" w:space="0" w:color="auto"/>
                    <w:right w:val="none" w:sz="0" w:space="0" w:color="auto"/>
                  </w:divBdr>
                  <w:divsChild>
                    <w:div w:id="1121923880">
                      <w:marLeft w:val="0"/>
                      <w:marRight w:val="0"/>
                      <w:marTop w:val="0"/>
                      <w:marBottom w:val="0"/>
                      <w:divBdr>
                        <w:top w:val="none" w:sz="0" w:space="0" w:color="auto"/>
                        <w:left w:val="none" w:sz="0" w:space="0" w:color="auto"/>
                        <w:bottom w:val="none" w:sz="0" w:space="0" w:color="auto"/>
                        <w:right w:val="none" w:sz="0" w:space="0" w:color="auto"/>
                      </w:divBdr>
                      <w:divsChild>
                        <w:div w:id="2118478240">
                          <w:marLeft w:val="0"/>
                          <w:marRight w:val="0"/>
                          <w:marTop w:val="0"/>
                          <w:marBottom w:val="0"/>
                          <w:divBdr>
                            <w:top w:val="none" w:sz="0" w:space="0" w:color="auto"/>
                            <w:left w:val="none" w:sz="0" w:space="0" w:color="auto"/>
                            <w:bottom w:val="none" w:sz="0" w:space="0" w:color="auto"/>
                            <w:right w:val="none" w:sz="0" w:space="0" w:color="auto"/>
                          </w:divBdr>
                          <w:divsChild>
                            <w:div w:id="38359012">
                              <w:marLeft w:val="0"/>
                              <w:marRight w:val="0"/>
                              <w:marTop w:val="0"/>
                              <w:marBottom w:val="0"/>
                              <w:divBdr>
                                <w:top w:val="none" w:sz="0" w:space="0" w:color="auto"/>
                                <w:left w:val="none" w:sz="0" w:space="0" w:color="auto"/>
                                <w:bottom w:val="none" w:sz="0" w:space="0" w:color="auto"/>
                                <w:right w:val="none" w:sz="0" w:space="0" w:color="auto"/>
                              </w:divBdr>
                              <w:divsChild>
                                <w:div w:id="703870586">
                                  <w:marLeft w:val="0"/>
                                  <w:marRight w:val="0"/>
                                  <w:marTop w:val="0"/>
                                  <w:marBottom w:val="0"/>
                                  <w:divBdr>
                                    <w:top w:val="none" w:sz="0" w:space="0" w:color="auto"/>
                                    <w:left w:val="none" w:sz="0" w:space="0" w:color="auto"/>
                                    <w:bottom w:val="none" w:sz="0" w:space="0" w:color="auto"/>
                                    <w:right w:val="none" w:sz="0" w:space="0" w:color="auto"/>
                                  </w:divBdr>
                                  <w:divsChild>
                                    <w:div w:id="42366021">
                                      <w:marLeft w:val="0"/>
                                      <w:marRight w:val="0"/>
                                      <w:marTop w:val="0"/>
                                      <w:marBottom w:val="0"/>
                                      <w:divBdr>
                                        <w:top w:val="none" w:sz="0" w:space="0" w:color="auto"/>
                                        <w:left w:val="none" w:sz="0" w:space="0" w:color="auto"/>
                                        <w:bottom w:val="none" w:sz="0" w:space="0" w:color="auto"/>
                                        <w:right w:val="none" w:sz="0" w:space="0" w:color="auto"/>
                                      </w:divBdr>
                                      <w:divsChild>
                                        <w:div w:id="152293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5550712">
      <w:bodyDiv w:val="1"/>
      <w:marLeft w:val="0"/>
      <w:marRight w:val="0"/>
      <w:marTop w:val="0"/>
      <w:marBottom w:val="0"/>
      <w:divBdr>
        <w:top w:val="none" w:sz="0" w:space="0" w:color="auto"/>
        <w:left w:val="none" w:sz="0" w:space="0" w:color="auto"/>
        <w:bottom w:val="none" w:sz="0" w:space="0" w:color="auto"/>
        <w:right w:val="none" w:sz="0" w:space="0" w:color="auto"/>
      </w:divBdr>
      <w:divsChild>
        <w:div w:id="770245382">
          <w:marLeft w:val="0"/>
          <w:marRight w:val="0"/>
          <w:marTop w:val="0"/>
          <w:marBottom w:val="0"/>
          <w:divBdr>
            <w:top w:val="none" w:sz="0" w:space="0" w:color="auto"/>
            <w:left w:val="none" w:sz="0" w:space="0" w:color="auto"/>
            <w:bottom w:val="none" w:sz="0" w:space="0" w:color="auto"/>
            <w:right w:val="none" w:sz="0" w:space="0" w:color="auto"/>
          </w:divBdr>
          <w:divsChild>
            <w:div w:id="1046829367">
              <w:marLeft w:val="0"/>
              <w:marRight w:val="0"/>
              <w:marTop w:val="0"/>
              <w:marBottom w:val="0"/>
              <w:divBdr>
                <w:top w:val="none" w:sz="0" w:space="0" w:color="auto"/>
                <w:left w:val="none" w:sz="0" w:space="0" w:color="auto"/>
                <w:bottom w:val="none" w:sz="0" w:space="0" w:color="auto"/>
                <w:right w:val="none" w:sz="0" w:space="0" w:color="auto"/>
              </w:divBdr>
              <w:divsChild>
                <w:div w:id="2055540121">
                  <w:marLeft w:val="0"/>
                  <w:marRight w:val="0"/>
                  <w:marTop w:val="0"/>
                  <w:marBottom w:val="0"/>
                  <w:divBdr>
                    <w:top w:val="none" w:sz="0" w:space="0" w:color="auto"/>
                    <w:left w:val="none" w:sz="0" w:space="0" w:color="auto"/>
                    <w:bottom w:val="none" w:sz="0" w:space="0" w:color="auto"/>
                    <w:right w:val="none" w:sz="0" w:space="0" w:color="auto"/>
                  </w:divBdr>
                  <w:divsChild>
                    <w:div w:id="77142047">
                      <w:marLeft w:val="0"/>
                      <w:marRight w:val="0"/>
                      <w:marTop w:val="0"/>
                      <w:marBottom w:val="0"/>
                      <w:divBdr>
                        <w:top w:val="none" w:sz="0" w:space="0" w:color="auto"/>
                        <w:left w:val="none" w:sz="0" w:space="0" w:color="auto"/>
                        <w:bottom w:val="none" w:sz="0" w:space="0" w:color="auto"/>
                        <w:right w:val="none" w:sz="0" w:space="0" w:color="auto"/>
                      </w:divBdr>
                      <w:divsChild>
                        <w:div w:id="2106418987">
                          <w:marLeft w:val="0"/>
                          <w:marRight w:val="0"/>
                          <w:marTop w:val="0"/>
                          <w:marBottom w:val="0"/>
                          <w:divBdr>
                            <w:top w:val="none" w:sz="0" w:space="0" w:color="auto"/>
                            <w:left w:val="none" w:sz="0" w:space="0" w:color="auto"/>
                            <w:bottom w:val="none" w:sz="0" w:space="0" w:color="auto"/>
                            <w:right w:val="none" w:sz="0" w:space="0" w:color="auto"/>
                          </w:divBdr>
                          <w:divsChild>
                            <w:div w:id="179244867">
                              <w:marLeft w:val="0"/>
                              <w:marRight w:val="0"/>
                              <w:marTop w:val="0"/>
                              <w:marBottom w:val="0"/>
                              <w:divBdr>
                                <w:top w:val="none" w:sz="0" w:space="0" w:color="auto"/>
                                <w:left w:val="none" w:sz="0" w:space="0" w:color="auto"/>
                                <w:bottom w:val="none" w:sz="0" w:space="0" w:color="auto"/>
                                <w:right w:val="none" w:sz="0" w:space="0" w:color="auto"/>
                              </w:divBdr>
                              <w:divsChild>
                                <w:div w:id="289407884">
                                  <w:marLeft w:val="0"/>
                                  <w:marRight w:val="0"/>
                                  <w:marTop w:val="0"/>
                                  <w:marBottom w:val="0"/>
                                  <w:divBdr>
                                    <w:top w:val="none" w:sz="0" w:space="0" w:color="auto"/>
                                    <w:left w:val="none" w:sz="0" w:space="0" w:color="auto"/>
                                    <w:bottom w:val="none" w:sz="0" w:space="0" w:color="auto"/>
                                    <w:right w:val="none" w:sz="0" w:space="0" w:color="auto"/>
                                  </w:divBdr>
                                  <w:divsChild>
                                    <w:div w:id="161031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5555611">
      <w:bodyDiv w:val="1"/>
      <w:marLeft w:val="0"/>
      <w:marRight w:val="0"/>
      <w:marTop w:val="0"/>
      <w:marBottom w:val="0"/>
      <w:divBdr>
        <w:top w:val="none" w:sz="0" w:space="0" w:color="auto"/>
        <w:left w:val="none" w:sz="0" w:space="0" w:color="auto"/>
        <w:bottom w:val="none" w:sz="0" w:space="0" w:color="auto"/>
        <w:right w:val="none" w:sz="0" w:space="0" w:color="auto"/>
      </w:divBdr>
    </w:div>
    <w:div w:id="235827078">
      <w:bodyDiv w:val="1"/>
      <w:marLeft w:val="0"/>
      <w:marRight w:val="0"/>
      <w:marTop w:val="0"/>
      <w:marBottom w:val="0"/>
      <w:divBdr>
        <w:top w:val="none" w:sz="0" w:space="0" w:color="auto"/>
        <w:left w:val="none" w:sz="0" w:space="0" w:color="auto"/>
        <w:bottom w:val="none" w:sz="0" w:space="0" w:color="auto"/>
        <w:right w:val="none" w:sz="0" w:space="0" w:color="auto"/>
      </w:divBdr>
      <w:divsChild>
        <w:div w:id="1524319073">
          <w:marLeft w:val="0"/>
          <w:marRight w:val="0"/>
          <w:marTop w:val="0"/>
          <w:marBottom w:val="0"/>
          <w:divBdr>
            <w:top w:val="none" w:sz="0" w:space="0" w:color="auto"/>
            <w:left w:val="none" w:sz="0" w:space="0" w:color="auto"/>
            <w:bottom w:val="none" w:sz="0" w:space="0" w:color="auto"/>
            <w:right w:val="none" w:sz="0" w:space="0" w:color="auto"/>
          </w:divBdr>
        </w:div>
      </w:divsChild>
    </w:div>
    <w:div w:id="236015256">
      <w:bodyDiv w:val="1"/>
      <w:marLeft w:val="0"/>
      <w:marRight w:val="0"/>
      <w:marTop w:val="0"/>
      <w:marBottom w:val="0"/>
      <w:divBdr>
        <w:top w:val="none" w:sz="0" w:space="0" w:color="auto"/>
        <w:left w:val="none" w:sz="0" w:space="0" w:color="auto"/>
        <w:bottom w:val="none" w:sz="0" w:space="0" w:color="auto"/>
        <w:right w:val="none" w:sz="0" w:space="0" w:color="auto"/>
      </w:divBdr>
      <w:divsChild>
        <w:div w:id="1082415030">
          <w:marLeft w:val="0"/>
          <w:marRight w:val="0"/>
          <w:marTop w:val="0"/>
          <w:marBottom w:val="0"/>
          <w:divBdr>
            <w:top w:val="none" w:sz="0" w:space="0" w:color="auto"/>
            <w:left w:val="none" w:sz="0" w:space="0" w:color="auto"/>
            <w:bottom w:val="none" w:sz="0" w:space="0" w:color="auto"/>
            <w:right w:val="none" w:sz="0" w:space="0" w:color="auto"/>
          </w:divBdr>
          <w:divsChild>
            <w:div w:id="651060069">
              <w:marLeft w:val="0"/>
              <w:marRight w:val="0"/>
              <w:marTop w:val="0"/>
              <w:marBottom w:val="0"/>
              <w:divBdr>
                <w:top w:val="none" w:sz="0" w:space="0" w:color="auto"/>
                <w:left w:val="none" w:sz="0" w:space="0" w:color="auto"/>
                <w:bottom w:val="none" w:sz="0" w:space="0" w:color="auto"/>
                <w:right w:val="none" w:sz="0" w:space="0" w:color="auto"/>
              </w:divBdr>
            </w:div>
            <w:div w:id="131336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131057">
      <w:bodyDiv w:val="1"/>
      <w:marLeft w:val="0"/>
      <w:marRight w:val="0"/>
      <w:marTop w:val="0"/>
      <w:marBottom w:val="0"/>
      <w:divBdr>
        <w:top w:val="none" w:sz="0" w:space="0" w:color="auto"/>
        <w:left w:val="none" w:sz="0" w:space="0" w:color="auto"/>
        <w:bottom w:val="none" w:sz="0" w:space="0" w:color="auto"/>
        <w:right w:val="none" w:sz="0" w:space="0" w:color="auto"/>
      </w:divBdr>
    </w:div>
    <w:div w:id="236328881">
      <w:bodyDiv w:val="1"/>
      <w:marLeft w:val="0"/>
      <w:marRight w:val="0"/>
      <w:marTop w:val="0"/>
      <w:marBottom w:val="0"/>
      <w:divBdr>
        <w:top w:val="none" w:sz="0" w:space="0" w:color="auto"/>
        <w:left w:val="none" w:sz="0" w:space="0" w:color="auto"/>
        <w:bottom w:val="none" w:sz="0" w:space="0" w:color="auto"/>
        <w:right w:val="none" w:sz="0" w:space="0" w:color="auto"/>
      </w:divBdr>
    </w:div>
    <w:div w:id="236600169">
      <w:bodyDiv w:val="1"/>
      <w:marLeft w:val="0"/>
      <w:marRight w:val="0"/>
      <w:marTop w:val="0"/>
      <w:marBottom w:val="0"/>
      <w:divBdr>
        <w:top w:val="none" w:sz="0" w:space="0" w:color="auto"/>
        <w:left w:val="none" w:sz="0" w:space="0" w:color="auto"/>
        <w:bottom w:val="none" w:sz="0" w:space="0" w:color="auto"/>
        <w:right w:val="none" w:sz="0" w:space="0" w:color="auto"/>
      </w:divBdr>
      <w:divsChild>
        <w:div w:id="2017464138">
          <w:marLeft w:val="0"/>
          <w:marRight w:val="0"/>
          <w:marTop w:val="0"/>
          <w:marBottom w:val="0"/>
          <w:divBdr>
            <w:top w:val="none" w:sz="0" w:space="0" w:color="auto"/>
            <w:left w:val="none" w:sz="0" w:space="0" w:color="auto"/>
            <w:bottom w:val="dotted" w:sz="6" w:space="4" w:color="DDDDDD"/>
            <w:right w:val="none" w:sz="0" w:space="0" w:color="auto"/>
          </w:divBdr>
          <w:divsChild>
            <w:div w:id="191431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867413">
      <w:bodyDiv w:val="1"/>
      <w:marLeft w:val="0"/>
      <w:marRight w:val="0"/>
      <w:marTop w:val="0"/>
      <w:marBottom w:val="0"/>
      <w:divBdr>
        <w:top w:val="none" w:sz="0" w:space="0" w:color="auto"/>
        <w:left w:val="none" w:sz="0" w:space="0" w:color="auto"/>
        <w:bottom w:val="none" w:sz="0" w:space="0" w:color="auto"/>
        <w:right w:val="none" w:sz="0" w:space="0" w:color="auto"/>
      </w:divBdr>
    </w:div>
    <w:div w:id="236869458">
      <w:bodyDiv w:val="1"/>
      <w:marLeft w:val="0"/>
      <w:marRight w:val="0"/>
      <w:marTop w:val="0"/>
      <w:marBottom w:val="0"/>
      <w:divBdr>
        <w:top w:val="none" w:sz="0" w:space="0" w:color="auto"/>
        <w:left w:val="none" w:sz="0" w:space="0" w:color="auto"/>
        <w:bottom w:val="none" w:sz="0" w:space="0" w:color="auto"/>
        <w:right w:val="none" w:sz="0" w:space="0" w:color="auto"/>
      </w:divBdr>
      <w:divsChild>
        <w:div w:id="143549981">
          <w:marLeft w:val="0"/>
          <w:marRight w:val="0"/>
          <w:marTop w:val="0"/>
          <w:marBottom w:val="0"/>
          <w:divBdr>
            <w:top w:val="none" w:sz="0" w:space="0" w:color="auto"/>
            <w:left w:val="none" w:sz="0" w:space="0" w:color="auto"/>
            <w:bottom w:val="none" w:sz="0" w:space="0" w:color="auto"/>
            <w:right w:val="none" w:sz="0" w:space="0" w:color="auto"/>
          </w:divBdr>
          <w:divsChild>
            <w:div w:id="861433871">
              <w:marLeft w:val="0"/>
              <w:marRight w:val="0"/>
              <w:marTop w:val="0"/>
              <w:marBottom w:val="0"/>
              <w:divBdr>
                <w:top w:val="none" w:sz="0" w:space="0" w:color="auto"/>
                <w:left w:val="none" w:sz="0" w:space="0" w:color="auto"/>
                <w:bottom w:val="none" w:sz="0" w:space="0" w:color="auto"/>
                <w:right w:val="none" w:sz="0" w:space="0" w:color="auto"/>
              </w:divBdr>
              <w:divsChild>
                <w:div w:id="205901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08843">
          <w:marLeft w:val="0"/>
          <w:marRight w:val="0"/>
          <w:marTop w:val="0"/>
          <w:marBottom w:val="75"/>
          <w:divBdr>
            <w:top w:val="none" w:sz="0" w:space="0" w:color="auto"/>
            <w:left w:val="none" w:sz="0" w:space="0" w:color="auto"/>
            <w:bottom w:val="none" w:sz="0" w:space="0" w:color="auto"/>
            <w:right w:val="none" w:sz="0" w:space="0" w:color="auto"/>
          </w:divBdr>
        </w:div>
        <w:div w:id="1987472225">
          <w:marLeft w:val="0"/>
          <w:marRight w:val="0"/>
          <w:marTop w:val="0"/>
          <w:marBottom w:val="0"/>
          <w:divBdr>
            <w:top w:val="none" w:sz="0" w:space="0" w:color="auto"/>
            <w:left w:val="none" w:sz="0" w:space="0" w:color="auto"/>
            <w:bottom w:val="none" w:sz="0" w:space="0" w:color="auto"/>
            <w:right w:val="none" w:sz="0" w:space="0" w:color="auto"/>
          </w:divBdr>
          <w:divsChild>
            <w:div w:id="1537698648">
              <w:marLeft w:val="0"/>
              <w:marRight w:val="0"/>
              <w:marTop w:val="0"/>
              <w:marBottom w:val="0"/>
              <w:divBdr>
                <w:top w:val="none" w:sz="0" w:space="0" w:color="auto"/>
                <w:left w:val="none" w:sz="0" w:space="0" w:color="auto"/>
                <w:bottom w:val="none" w:sz="0" w:space="0" w:color="auto"/>
                <w:right w:val="none" w:sz="0" w:space="0" w:color="auto"/>
              </w:divBdr>
              <w:divsChild>
                <w:div w:id="2094742141">
                  <w:marLeft w:val="0"/>
                  <w:marRight w:val="0"/>
                  <w:marTop w:val="0"/>
                  <w:marBottom w:val="300"/>
                  <w:divBdr>
                    <w:top w:val="none" w:sz="0" w:space="0" w:color="auto"/>
                    <w:left w:val="none" w:sz="0" w:space="0" w:color="auto"/>
                    <w:bottom w:val="none" w:sz="0" w:space="0" w:color="auto"/>
                    <w:right w:val="none" w:sz="0" w:space="0" w:color="auto"/>
                  </w:divBdr>
                  <w:divsChild>
                    <w:div w:id="13563500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37058657">
      <w:bodyDiv w:val="1"/>
      <w:marLeft w:val="0"/>
      <w:marRight w:val="0"/>
      <w:marTop w:val="0"/>
      <w:marBottom w:val="0"/>
      <w:divBdr>
        <w:top w:val="none" w:sz="0" w:space="0" w:color="auto"/>
        <w:left w:val="none" w:sz="0" w:space="0" w:color="auto"/>
        <w:bottom w:val="none" w:sz="0" w:space="0" w:color="auto"/>
        <w:right w:val="none" w:sz="0" w:space="0" w:color="auto"/>
      </w:divBdr>
      <w:divsChild>
        <w:div w:id="1441799588">
          <w:marLeft w:val="0"/>
          <w:marRight w:val="0"/>
          <w:marTop w:val="0"/>
          <w:marBottom w:val="150"/>
          <w:divBdr>
            <w:top w:val="none" w:sz="0" w:space="0" w:color="auto"/>
            <w:left w:val="none" w:sz="0" w:space="0" w:color="auto"/>
            <w:bottom w:val="none" w:sz="0" w:space="0" w:color="auto"/>
            <w:right w:val="none" w:sz="0" w:space="0" w:color="auto"/>
          </w:divBdr>
        </w:div>
        <w:div w:id="1811828018">
          <w:marLeft w:val="0"/>
          <w:marRight w:val="0"/>
          <w:marTop w:val="0"/>
          <w:marBottom w:val="0"/>
          <w:divBdr>
            <w:top w:val="none" w:sz="0" w:space="0" w:color="auto"/>
            <w:left w:val="none" w:sz="0" w:space="0" w:color="auto"/>
            <w:bottom w:val="none" w:sz="0" w:space="0" w:color="auto"/>
            <w:right w:val="none" w:sz="0" w:space="0" w:color="auto"/>
          </w:divBdr>
          <w:divsChild>
            <w:div w:id="612051153">
              <w:marLeft w:val="0"/>
              <w:marRight w:val="0"/>
              <w:marTop w:val="0"/>
              <w:marBottom w:val="0"/>
              <w:divBdr>
                <w:top w:val="none" w:sz="0" w:space="0" w:color="auto"/>
                <w:left w:val="none" w:sz="0" w:space="0" w:color="auto"/>
                <w:bottom w:val="none" w:sz="0" w:space="0" w:color="auto"/>
                <w:right w:val="none" w:sz="0" w:space="0" w:color="auto"/>
              </w:divBdr>
            </w:div>
          </w:divsChild>
        </w:div>
        <w:div w:id="1908690044">
          <w:marLeft w:val="0"/>
          <w:marRight w:val="0"/>
          <w:marTop w:val="0"/>
          <w:marBottom w:val="150"/>
          <w:divBdr>
            <w:top w:val="none" w:sz="0" w:space="0" w:color="auto"/>
            <w:left w:val="none" w:sz="0" w:space="0" w:color="auto"/>
            <w:bottom w:val="none" w:sz="0" w:space="0" w:color="auto"/>
            <w:right w:val="none" w:sz="0" w:space="0" w:color="auto"/>
          </w:divBdr>
          <w:divsChild>
            <w:div w:id="98234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8291">
      <w:bodyDiv w:val="1"/>
      <w:marLeft w:val="0"/>
      <w:marRight w:val="0"/>
      <w:marTop w:val="0"/>
      <w:marBottom w:val="0"/>
      <w:divBdr>
        <w:top w:val="none" w:sz="0" w:space="0" w:color="auto"/>
        <w:left w:val="none" w:sz="0" w:space="0" w:color="auto"/>
        <w:bottom w:val="none" w:sz="0" w:space="0" w:color="auto"/>
        <w:right w:val="none" w:sz="0" w:space="0" w:color="auto"/>
      </w:divBdr>
    </w:div>
    <w:div w:id="238096596">
      <w:bodyDiv w:val="1"/>
      <w:marLeft w:val="0"/>
      <w:marRight w:val="0"/>
      <w:marTop w:val="0"/>
      <w:marBottom w:val="0"/>
      <w:divBdr>
        <w:top w:val="none" w:sz="0" w:space="0" w:color="auto"/>
        <w:left w:val="none" w:sz="0" w:space="0" w:color="auto"/>
        <w:bottom w:val="none" w:sz="0" w:space="0" w:color="auto"/>
        <w:right w:val="none" w:sz="0" w:space="0" w:color="auto"/>
      </w:divBdr>
      <w:divsChild>
        <w:div w:id="1113400610">
          <w:marLeft w:val="0"/>
          <w:marRight w:val="0"/>
          <w:marTop w:val="0"/>
          <w:marBottom w:val="0"/>
          <w:divBdr>
            <w:top w:val="none" w:sz="0" w:space="0" w:color="auto"/>
            <w:left w:val="none" w:sz="0" w:space="0" w:color="auto"/>
            <w:bottom w:val="none" w:sz="0" w:space="0" w:color="auto"/>
            <w:right w:val="none" w:sz="0" w:space="0" w:color="auto"/>
          </w:divBdr>
        </w:div>
        <w:div w:id="1359164910">
          <w:marLeft w:val="0"/>
          <w:marRight w:val="0"/>
          <w:marTop w:val="0"/>
          <w:marBottom w:val="150"/>
          <w:divBdr>
            <w:top w:val="none" w:sz="0" w:space="0" w:color="auto"/>
            <w:left w:val="none" w:sz="0" w:space="0" w:color="auto"/>
            <w:bottom w:val="none" w:sz="0" w:space="0" w:color="auto"/>
            <w:right w:val="none" w:sz="0" w:space="0" w:color="auto"/>
          </w:divBdr>
        </w:div>
      </w:divsChild>
    </w:div>
    <w:div w:id="238634941">
      <w:bodyDiv w:val="1"/>
      <w:marLeft w:val="0"/>
      <w:marRight w:val="0"/>
      <w:marTop w:val="0"/>
      <w:marBottom w:val="0"/>
      <w:divBdr>
        <w:top w:val="none" w:sz="0" w:space="0" w:color="auto"/>
        <w:left w:val="none" w:sz="0" w:space="0" w:color="auto"/>
        <w:bottom w:val="none" w:sz="0" w:space="0" w:color="auto"/>
        <w:right w:val="none" w:sz="0" w:space="0" w:color="auto"/>
      </w:divBdr>
      <w:divsChild>
        <w:div w:id="1277979059">
          <w:marLeft w:val="0"/>
          <w:marRight w:val="0"/>
          <w:marTop w:val="0"/>
          <w:marBottom w:val="150"/>
          <w:divBdr>
            <w:top w:val="none" w:sz="0" w:space="0" w:color="auto"/>
            <w:left w:val="none" w:sz="0" w:space="0" w:color="auto"/>
            <w:bottom w:val="none" w:sz="0" w:space="0" w:color="auto"/>
            <w:right w:val="none" w:sz="0" w:space="0" w:color="auto"/>
          </w:divBdr>
        </w:div>
      </w:divsChild>
    </w:div>
    <w:div w:id="238635727">
      <w:bodyDiv w:val="1"/>
      <w:marLeft w:val="0"/>
      <w:marRight w:val="0"/>
      <w:marTop w:val="0"/>
      <w:marBottom w:val="0"/>
      <w:divBdr>
        <w:top w:val="none" w:sz="0" w:space="0" w:color="auto"/>
        <w:left w:val="none" w:sz="0" w:space="0" w:color="auto"/>
        <w:bottom w:val="none" w:sz="0" w:space="0" w:color="auto"/>
        <w:right w:val="none" w:sz="0" w:space="0" w:color="auto"/>
      </w:divBdr>
    </w:div>
    <w:div w:id="238757678">
      <w:bodyDiv w:val="1"/>
      <w:marLeft w:val="0"/>
      <w:marRight w:val="0"/>
      <w:marTop w:val="0"/>
      <w:marBottom w:val="0"/>
      <w:divBdr>
        <w:top w:val="none" w:sz="0" w:space="0" w:color="auto"/>
        <w:left w:val="none" w:sz="0" w:space="0" w:color="auto"/>
        <w:bottom w:val="none" w:sz="0" w:space="0" w:color="auto"/>
        <w:right w:val="none" w:sz="0" w:space="0" w:color="auto"/>
      </w:divBdr>
      <w:divsChild>
        <w:div w:id="587928187">
          <w:marLeft w:val="0"/>
          <w:marRight w:val="0"/>
          <w:marTop w:val="0"/>
          <w:marBottom w:val="0"/>
          <w:divBdr>
            <w:top w:val="none" w:sz="0" w:space="0" w:color="auto"/>
            <w:left w:val="none" w:sz="0" w:space="0" w:color="auto"/>
            <w:bottom w:val="none" w:sz="0" w:space="0" w:color="auto"/>
            <w:right w:val="none" w:sz="0" w:space="0" w:color="auto"/>
          </w:divBdr>
        </w:div>
        <w:div w:id="757408791">
          <w:marLeft w:val="0"/>
          <w:marRight w:val="0"/>
          <w:marTop w:val="0"/>
          <w:marBottom w:val="0"/>
          <w:divBdr>
            <w:top w:val="none" w:sz="0" w:space="0" w:color="auto"/>
            <w:left w:val="none" w:sz="0" w:space="0" w:color="auto"/>
            <w:bottom w:val="dotted" w:sz="6" w:space="4" w:color="DDDDDD"/>
            <w:right w:val="none" w:sz="0" w:space="0" w:color="auto"/>
          </w:divBdr>
        </w:div>
      </w:divsChild>
    </w:div>
    <w:div w:id="238828446">
      <w:bodyDiv w:val="1"/>
      <w:marLeft w:val="0"/>
      <w:marRight w:val="0"/>
      <w:marTop w:val="0"/>
      <w:marBottom w:val="0"/>
      <w:divBdr>
        <w:top w:val="none" w:sz="0" w:space="0" w:color="auto"/>
        <w:left w:val="none" w:sz="0" w:space="0" w:color="auto"/>
        <w:bottom w:val="none" w:sz="0" w:space="0" w:color="auto"/>
        <w:right w:val="none" w:sz="0" w:space="0" w:color="auto"/>
      </w:divBdr>
    </w:div>
    <w:div w:id="238829808">
      <w:bodyDiv w:val="1"/>
      <w:marLeft w:val="0"/>
      <w:marRight w:val="0"/>
      <w:marTop w:val="0"/>
      <w:marBottom w:val="0"/>
      <w:divBdr>
        <w:top w:val="none" w:sz="0" w:space="0" w:color="auto"/>
        <w:left w:val="none" w:sz="0" w:space="0" w:color="auto"/>
        <w:bottom w:val="none" w:sz="0" w:space="0" w:color="auto"/>
        <w:right w:val="none" w:sz="0" w:space="0" w:color="auto"/>
      </w:divBdr>
      <w:divsChild>
        <w:div w:id="1432166339">
          <w:marLeft w:val="0"/>
          <w:marRight w:val="0"/>
          <w:marTop w:val="0"/>
          <w:marBottom w:val="150"/>
          <w:divBdr>
            <w:top w:val="none" w:sz="0" w:space="0" w:color="auto"/>
            <w:left w:val="none" w:sz="0" w:space="0" w:color="auto"/>
            <w:bottom w:val="none" w:sz="0" w:space="0" w:color="auto"/>
            <w:right w:val="none" w:sz="0" w:space="0" w:color="auto"/>
          </w:divBdr>
        </w:div>
      </w:divsChild>
    </w:div>
    <w:div w:id="239173013">
      <w:bodyDiv w:val="1"/>
      <w:marLeft w:val="0"/>
      <w:marRight w:val="0"/>
      <w:marTop w:val="0"/>
      <w:marBottom w:val="0"/>
      <w:divBdr>
        <w:top w:val="none" w:sz="0" w:space="0" w:color="auto"/>
        <w:left w:val="none" w:sz="0" w:space="0" w:color="auto"/>
        <w:bottom w:val="none" w:sz="0" w:space="0" w:color="auto"/>
        <w:right w:val="none" w:sz="0" w:space="0" w:color="auto"/>
      </w:divBdr>
    </w:div>
    <w:div w:id="239557602">
      <w:bodyDiv w:val="1"/>
      <w:marLeft w:val="0"/>
      <w:marRight w:val="0"/>
      <w:marTop w:val="0"/>
      <w:marBottom w:val="0"/>
      <w:divBdr>
        <w:top w:val="none" w:sz="0" w:space="0" w:color="auto"/>
        <w:left w:val="none" w:sz="0" w:space="0" w:color="auto"/>
        <w:bottom w:val="none" w:sz="0" w:space="0" w:color="auto"/>
        <w:right w:val="none" w:sz="0" w:space="0" w:color="auto"/>
      </w:divBdr>
      <w:divsChild>
        <w:div w:id="1748264563">
          <w:marLeft w:val="0"/>
          <w:marRight w:val="0"/>
          <w:marTop w:val="0"/>
          <w:marBottom w:val="0"/>
          <w:divBdr>
            <w:top w:val="none" w:sz="0" w:space="0" w:color="auto"/>
            <w:left w:val="none" w:sz="0" w:space="0" w:color="auto"/>
            <w:bottom w:val="dotted" w:sz="6" w:space="4" w:color="DDDDDD"/>
            <w:right w:val="none" w:sz="0" w:space="0" w:color="auto"/>
          </w:divBdr>
        </w:div>
        <w:div w:id="2037149137">
          <w:marLeft w:val="0"/>
          <w:marRight w:val="225"/>
          <w:marTop w:val="0"/>
          <w:marBottom w:val="75"/>
          <w:divBdr>
            <w:top w:val="none" w:sz="0" w:space="0" w:color="auto"/>
            <w:left w:val="none" w:sz="0" w:space="0" w:color="auto"/>
            <w:bottom w:val="none" w:sz="0" w:space="0" w:color="auto"/>
            <w:right w:val="none" w:sz="0" w:space="0" w:color="auto"/>
          </w:divBdr>
          <w:divsChild>
            <w:div w:id="159246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25973">
      <w:bodyDiv w:val="1"/>
      <w:marLeft w:val="0"/>
      <w:marRight w:val="0"/>
      <w:marTop w:val="0"/>
      <w:marBottom w:val="0"/>
      <w:divBdr>
        <w:top w:val="none" w:sz="0" w:space="0" w:color="auto"/>
        <w:left w:val="none" w:sz="0" w:space="0" w:color="auto"/>
        <w:bottom w:val="none" w:sz="0" w:space="0" w:color="auto"/>
        <w:right w:val="none" w:sz="0" w:space="0" w:color="auto"/>
      </w:divBdr>
      <w:divsChild>
        <w:div w:id="1760978001">
          <w:marLeft w:val="0"/>
          <w:marRight w:val="0"/>
          <w:marTop w:val="0"/>
          <w:marBottom w:val="0"/>
          <w:divBdr>
            <w:top w:val="none" w:sz="0" w:space="0" w:color="auto"/>
            <w:left w:val="none" w:sz="0" w:space="0" w:color="auto"/>
            <w:bottom w:val="none" w:sz="0" w:space="0" w:color="auto"/>
            <w:right w:val="none" w:sz="0" w:space="0" w:color="auto"/>
          </w:divBdr>
          <w:divsChild>
            <w:div w:id="90511297">
              <w:marLeft w:val="0"/>
              <w:marRight w:val="0"/>
              <w:marTop w:val="0"/>
              <w:marBottom w:val="0"/>
              <w:divBdr>
                <w:top w:val="none" w:sz="0" w:space="0" w:color="auto"/>
                <w:left w:val="none" w:sz="0" w:space="0" w:color="auto"/>
                <w:bottom w:val="none" w:sz="0" w:space="0" w:color="auto"/>
                <w:right w:val="none" w:sz="0" w:space="0" w:color="auto"/>
              </w:divBdr>
              <w:divsChild>
                <w:div w:id="486938712">
                  <w:marLeft w:val="0"/>
                  <w:marRight w:val="0"/>
                  <w:marTop w:val="0"/>
                  <w:marBottom w:val="0"/>
                  <w:divBdr>
                    <w:top w:val="none" w:sz="0" w:space="0" w:color="auto"/>
                    <w:left w:val="none" w:sz="0" w:space="0" w:color="auto"/>
                    <w:bottom w:val="none" w:sz="0" w:space="0" w:color="auto"/>
                    <w:right w:val="none" w:sz="0" w:space="0" w:color="auto"/>
                  </w:divBdr>
                  <w:divsChild>
                    <w:div w:id="1282878991">
                      <w:marLeft w:val="0"/>
                      <w:marRight w:val="0"/>
                      <w:marTop w:val="0"/>
                      <w:marBottom w:val="0"/>
                      <w:divBdr>
                        <w:top w:val="none" w:sz="0" w:space="0" w:color="auto"/>
                        <w:left w:val="none" w:sz="0" w:space="0" w:color="auto"/>
                        <w:bottom w:val="none" w:sz="0" w:space="0" w:color="auto"/>
                        <w:right w:val="none" w:sz="0" w:space="0" w:color="auto"/>
                      </w:divBdr>
                      <w:divsChild>
                        <w:div w:id="279411232">
                          <w:marLeft w:val="0"/>
                          <w:marRight w:val="0"/>
                          <w:marTop w:val="0"/>
                          <w:marBottom w:val="0"/>
                          <w:divBdr>
                            <w:top w:val="none" w:sz="0" w:space="0" w:color="auto"/>
                            <w:left w:val="none" w:sz="0" w:space="0" w:color="auto"/>
                            <w:bottom w:val="none" w:sz="0" w:space="0" w:color="auto"/>
                            <w:right w:val="none" w:sz="0" w:space="0" w:color="auto"/>
                          </w:divBdr>
                          <w:divsChild>
                            <w:div w:id="373116093">
                              <w:marLeft w:val="0"/>
                              <w:marRight w:val="0"/>
                              <w:marTop w:val="0"/>
                              <w:marBottom w:val="0"/>
                              <w:divBdr>
                                <w:top w:val="none" w:sz="0" w:space="0" w:color="auto"/>
                                <w:left w:val="none" w:sz="0" w:space="0" w:color="auto"/>
                                <w:bottom w:val="none" w:sz="0" w:space="0" w:color="auto"/>
                                <w:right w:val="none" w:sz="0" w:space="0" w:color="auto"/>
                              </w:divBdr>
                              <w:divsChild>
                                <w:div w:id="816386820">
                                  <w:marLeft w:val="0"/>
                                  <w:marRight w:val="0"/>
                                  <w:marTop w:val="0"/>
                                  <w:marBottom w:val="0"/>
                                  <w:divBdr>
                                    <w:top w:val="none" w:sz="0" w:space="0" w:color="auto"/>
                                    <w:left w:val="none" w:sz="0" w:space="0" w:color="auto"/>
                                    <w:bottom w:val="none" w:sz="0" w:space="0" w:color="auto"/>
                                    <w:right w:val="none" w:sz="0" w:space="0" w:color="auto"/>
                                  </w:divBdr>
                                  <w:divsChild>
                                    <w:div w:id="153854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1573604">
      <w:bodyDiv w:val="1"/>
      <w:marLeft w:val="0"/>
      <w:marRight w:val="0"/>
      <w:marTop w:val="0"/>
      <w:marBottom w:val="0"/>
      <w:divBdr>
        <w:top w:val="none" w:sz="0" w:space="0" w:color="auto"/>
        <w:left w:val="none" w:sz="0" w:space="0" w:color="auto"/>
        <w:bottom w:val="none" w:sz="0" w:space="0" w:color="auto"/>
        <w:right w:val="none" w:sz="0" w:space="0" w:color="auto"/>
      </w:divBdr>
      <w:divsChild>
        <w:div w:id="746389591">
          <w:marLeft w:val="0"/>
          <w:marRight w:val="0"/>
          <w:marTop w:val="150"/>
          <w:marBottom w:val="0"/>
          <w:divBdr>
            <w:top w:val="none" w:sz="0" w:space="0" w:color="auto"/>
            <w:left w:val="none" w:sz="0" w:space="0" w:color="auto"/>
            <w:bottom w:val="none" w:sz="0" w:space="0" w:color="auto"/>
            <w:right w:val="none" w:sz="0" w:space="0" w:color="auto"/>
          </w:divBdr>
          <w:divsChild>
            <w:div w:id="1647541088">
              <w:marLeft w:val="0"/>
              <w:marRight w:val="0"/>
              <w:marTop w:val="0"/>
              <w:marBottom w:val="0"/>
              <w:divBdr>
                <w:top w:val="none" w:sz="0" w:space="0" w:color="auto"/>
                <w:left w:val="none" w:sz="0" w:space="0" w:color="auto"/>
                <w:bottom w:val="single" w:sz="6" w:space="0" w:color="EFEFEF"/>
                <w:right w:val="none" w:sz="0" w:space="0" w:color="auto"/>
              </w:divBdr>
              <w:divsChild>
                <w:div w:id="1547523617">
                  <w:marLeft w:val="0"/>
                  <w:marRight w:val="0"/>
                  <w:marTop w:val="0"/>
                  <w:marBottom w:val="0"/>
                  <w:divBdr>
                    <w:top w:val="none" w:sz="0" w:space="0" w:color="auto"/>
                    <w:left w:val="none" w:sz="0" w:space="0" w:color="auto"/>
                    <w:bottom w:val="none" w:sz="0" w:space="0" w:color="auto"/>
                    <w:right w:val="none" w:sz="0" w:space="0" w:color="auto"/>
                  </w:divBdr>
                </w:div>
                <w:div w:id="163933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9270">
          <w:marLeft w:val="0"/>
          <w:marRight w:val="0"/>
          <w:marTop w:val="300"/>
          <w:marBottom w:val="0"/>
          <w:divBdr>
            <w:top w:val="none" w:sz="0" w:space="0" w:color="auto"/>
            <w:left w:val="none" w:sz="0" w:space="0" w:color="auto"/>
            <w:bottom w:val="none" w:sz="0" w:space="0" w:color="auto"/>
            <w:right w:val="none" w:sz="0" w:space="0" w:color="auto"/>
          </w:divBdr>
          <w:divsChild>
            <w:div w:id="687105192">
              <w:marLeft w:val="0"/>
              <w:marRight w:val="0"/>
              <w:marTop w:val="0"/>
              <w:marBottom w:val="0"/>
              <w:divBdr>
                <w:top w:val="none" w:sz="0" w:space="0" w:color="auto"/>
                <w:left w:val="none" w:sz="0" w:space="0" w:color="auto"/>
                <w:bottom w:val="none" w:sz="0" w:space="0" w:color="auto"/>
                <w:right w:val="none" w:sz="0" w:space="0" w:color="auto"/>
              </w:divBdr>
              <w:divsChild>
                <w:div w:id="1110080758">
                  <w:marLeft w:val="0"/>
                  <w:marRight w:val="0"/>
                  <w:marTop w:val="150"/>
                  <w:marBottom w:val="0"/>
                  <w:divBdr>
                    <w:top w:val="none" w:sz="0" w:space="0" w:color="auto"/>
                    <w:left w:val="none" w:sz="0" w:space="0" w:color="auto"/>
                    <w:bottom w:val="none" w:sz="0" w:space="0" w:color="auto"/>
                    <w:right w:val="none" w:sz="0" w:space="0" w:color="auto"/>
                  </w:divBdr>
                  <w:divsChild>
                    <w:div w:id="1663578380">
                      <w:marLeft w:val="0"/>
                      <w:marRight w:val="0"/>
                      <w:marTop w:val="0"/>
                      <w:marBottom w:val="0"/>
                      <w:divBdr>
                        <w:top w:val="none" w:sz="0" w:space="0" w:color="auto"/>
                        <w:left w:val="none" w:sz="0" w:space="0" w:color="auto"/>
                        <w:bottom w:val="none" w:sz="0" w:space="0" w:color="auto"/>
                        <w:right w:val="none" w:sz="0" w:space="0" w:color="auto"/>
                      </w:divBdr>
                      <w:divsChild>
                        <w:div w:id="1050884071">
                          <w:marLeft w:val="0"/>
                          <w:marRight w:val="0"/>
                          <w:marTop w:val="0"/>
                          <w:marBottom w:val="0"/>
                          <w:divBdr>
                            <w:top w:val="none" w:sz="0" w:space="0" w:color="auto"/>
                            <w:left w:val="none" w:sz="0" w:space="0" w:color="auto"/>
                            <w:bottom w:val="none" w:sz="0" w:space="0" w:color="auto"/>
                            <w:right w:val="none" w:sz="0" w:space="0" w:color="auto"/>
                          </w:divBdr>
                        </w:div>
                        <w:div w:id="112253017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24610316">
                  <w:marLeft w:val="0"/>
                  <w:marRight w:val="0"/>
                  <w:marTop w:val="0"/>
                  <w:marBottom w:val="0"/>
                  <w:divBdr>
                    <w:top w:val="none" w:sz="0" w:space="0" w:color="auto"/>
                    <w:left w:val="none" w:sz="0" w:space="0" w:color="auto"/>
                    <w:bottom w:val="none" w:sz="0" w:space="0" w:color="auto"/>
                    <w:right w:val="none" w:sz="0" w:space="0" w:color="auto"/>
                  </w:divBdr>
                  <w:divsChild>
                    <w:div w:id="21523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293535">
              <w:marLeft w:val="-1350"/>
              <w:marRight w:val="0"/>
              <w:marTop w:val="0"/>
              <w:marBottom w:val="0"/>
              <w:divBdr>
                <w:top w:val="none" w:sz="0" w:space="0" w:color="auto"/>
                <w:left w:val="none" w:sz="0" w:space="0" w:color="auto"/>
                <w:bottom w:val="none" w:sz="0" w:space="0" w:color="auto"/>
                <w:right w:val="none" w:sz="0" w:space="0" w:color="auto"/>
              </w:divBdr>
              <w:divsChild>
                <w:div w:id="1102799857">
                  <w:marLeft w:val="0"/>
                  <w:marRight w:val="0"/>
                  <w:marTop w:val="0"/>
                  <w:marBottom w:val="0"/>
                  <w:divBdr>
                    <w:top w:val="none" w:sz="0" w:space="0" w:color="auto"/>
                    <w:left w:val="none" w:sz="0" w:space="0" w:color="auto"/>
                    <w:bottom w:val="none" w:sz="0" w:space="0" w:color="auto"/>
                    <w:right w:val="none" w:sz="0" w:space="0" w:color="auto"/>
                  </w:divBdr>
                  <w:divsChild>
                    <w:div w:id="1266041605">
                      <w:marLeft w:val="0"/>
                      <w:marRight w:val="0"/>
                      <w:marTop w:val="0"/>
                      <w:marBottom w:val="0"/>
                      <w:divBdr>
                        <w:top w:val="none" w:sz="0" w:space="0" w:color="auto"/>
                        <w:left w:val="none" w:sz="0" w:space="0" w:color="auto"/>
                        <w:bottom w:val="none" w:sz="0" w:space="0" w:color="auto"/>
                        <w:right w:val="none" w:sz="0" w:space="0" w:color="auto"/>
                      </w:divBdr>
                      <w:divsChild>
                        <w:div w:id="104464593">
                          <w:marLeft w:val="0"/>
                          <w:marRight w:val="0"/>
                          <w:marTop w:val="0"/>
                          <w:marBottom w:val="0"/>
                          <w:divBdr>
                            <w:top w:val="single" w:sz="6" w:space="0" w:color="C7C7C7"/>
                            <w:left w:val="single" w:sz="6" w:space="0" w:color="C7C7C7"/>
                            <w:bottom w:val="single" w:sz="6" w:space="0" w:color="C7C7C7"/>
                            <w:right w:val="single" w:sz="6" w:space="0" w:color="C7C7C7"/>
                          </w:divBdr>
                          <w:divsChild>
                            <w:div w:id="253974264">
                              <w:marLeft w:val="0"/>
                              <w:marRight w:val="0"/>
                              <w:marTop w:val="100"/>
                              <w:marBottom w:val="100"/>
                              <w:divBdr>
                                <w:top w:val="none" w:sz="0" w:space="0" w:color="auto"/>
                                <w:left w:val="none" w:sz="0" w:space="0" w:color="auto"/>
                                <w:bottom w:val="none" w:sz="0" w:space="0" w:color="auto"/>
                                <w:right w:val="none" w:sz="0" w:space="0" w:color="auto"/>
                              </w:divBdr>
                            </w:div>
                            <w:div w:id="525214477">
                              <w:marLeft w:val="0"/>
                              <w:marRight w:val="0"/>
                              <w:marTop w:val="100"/>
                              <w:marBottom w:val="100"/>
                              <w:divBdr>
                                <w:top w:val="none" w:sz="0" w:space="11" w:color="auto"/>
                                <w:left w:val="none" w:sz="0" w:space="0" w:color="auto"/>
                                <w:bottom w:val="single" w:sz="6" w:space="11" w:color="C7C7C7"/>
                                <w:right w:val="none" w:sz="0" w:space="0" w:color="auto"/>
                              </w:divBdr>
                            </w:div>
                            <w:div w:id="651450148">
                              <w:marLeft w:val="0"/>
                              <w:marRight w:val="0"/>
                              <w:marTop w:val="100"/>
                              <w:marBottom w:val="100"/>
                              <w:divBdr>
                                <w:top w:val="none" w:sz="0" w:space="11" w:color="auto"/>
                                <w:left w:val="none" w:sz="0" w:space="0" w:color="auto"/>
                                <w:bottom w:val="single" w:sz="6" w:space="11" w:color="C7C7C7"/>
                                <w:right w:val="none" w:sz="0" w:space="0" w:color="auto"/>
                              </w:divBdr>
                              <w:divsChild>
                                <w:div w:id="1494880682">
                                  <w:marLeft w:val="0"/>
                                  <w:marRight w:val="0"/>
                                  <w:marTop w:val="0"/>
                                  <w:marBottom w:val="0"/>
                                  <w:divBdr>
                                    <w:top w:val="none" w:sz="0" w:space="0" w:color="auto"/>
                                    <w:left w:val="none" w:sz="0" w:space="0" w:color="auto"/>
                                    <w:bottom w:val="none" w:sz="0" w:space="0" w:color="auto"/>
                                    <w:right w:val="none" w:sz="0" w:space="0" w:color="auto"/>
                                  </w:divBdr>
                                </w:div>
                              </w:divsChild>
                            </w:div>
                            <w:div w:id="781723566">
                              <w:marLeft w:val="0"/>
                              <w:marRight w:val="0"/>
                              <w:marTop w:val="100"/>
                              <w:marBottom w:val="100"/>
                              <w:divBdr>
                                <w:top w:val="none" w:sz="0" w:space="11" w:color="auto"/>
                                <w:left w:val="none" w:sz="0" w:space="0" w:color="auto"/>
                                <w:bottom w:val="single" w:sz="6" w:space="11" w:color="C7C7C7"/>
                                <w:right w:val="none" w:sz="0" w:space="0" w:color="auto"/>
                              </w:divBdr>
                            </w:div>
                            <w:div w:id="834497240">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242379873">
      <w:bodyDiv w:val="1"/>
      <w:marLeft w:val="0"/>
      <w:marRight w:val="0"/>
      <w:marTop w:val="0"/>
      <w:marBottom w:val="0"/>
      <w:divBdr>
        <w:top w:val="none" w:sz="0" w:space="0" w:color="auto"/>
        <w:left w:val="none" w:sz="0" w:space="0" w:color="auto"/>
        <w:bottom w:val="none" w:sz="0" w:space="0" w:color="auto"/>
        <w:right w:val="none" w:sz="0" w:space="0" w:color="auto"/>
      </w:divBdr>
      <w:divsChild>
        <w:div w:id="1220477442">
          <w:marLeft w:val="0"/>
          <w:marRight w:val="0"/>
          <w:marTop w:val="0"/>
          <w:marBottom w:val="0"/>
          <w:divBdr>
            <w:top w:val="none" w:sz="0" w:space="0" w:color="auto"/>
            <w:left w:val="none" w:sz="0" w:space="0" w:color="auto"/>
            <w:bottom w:val="dotted" w:sz="6" w:space="4" w:color="DDDDDD"/>
            <w:right w:val="none" w:sz="0" w:space="0" w:color="auto"/>
          </w:divBdr>
          <w:divsChild>
            <w:div w:id="93390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21938">
      <w:bodyDiv w:val="1"/>
      <w:marLeft w:val="0"/>
      <w:marRight w:val="0"/>
      <w:marTop w:val="0"/>
      <w:marBottom w:val="0"/>
      <w:divBdr>
        <w:top w:val="none" w:sz="0" w:space="0" w:color="auto"/>
        <w:left w:val="none" w:sz="0" w:space="0" w:color="auto"/>
        <w:bottom w:val="none" w:sz="0" w:space="0" w:color="auto"/>
        <w:right w:val="none" w:sz="0" w:space="0" w:color="auto"/>
      </w:divBdr>
      <w:divsChild>
        <w:div w:id="45420529">
          <w:marLeft w:val="0"/>
          <w:marRight w:val="0"/>
          <w:marTop w:val="0"/>
          <w:marBottom w:val="150"/>
          <w:divBdr>
            <w:top w:val="none" w:sz="0" w:space="0" w:color="auto"/>
            <w:left w:val="none" w:sz="0" w:space="0" w:color="auto"/>
            <w:bottom w:val="none" w:sz="0" w:space="0" w:color="auto"/>
            <w:right w:val="none" w:sz="0" w:space="0" w:color="auto"/>
          </w:divBdr>
        </w:div>
      </w:divsChild>
    </w:div>
    <w:div w:id="243416349">
      <w:bodyDiv w:val="1"/>
      <w:marLeft w:val="0"/>
      <w:marRight w:val="0"/>
      <w:marTop w:val="0"/>
      <w:marBottom w:val="0"/>
      <w:divBdr>
        <w:top w:val="none" w:sz="0" w:space="0" w:color="auto"/>
        <w:left w:val="none" w:sz="0" w:space="0" w:color="auto"/>
        <w:bottom w:val="none" w:sz="0" w:space="0" w:color="auto"/>
        <w:right w:val="none" w:sz="0" w:space="0" w:color="auto"/>
      </w:divBdr>
      <w:divsChild>
        <w:div w:id="711154715">
          <w:marLeft w:val="0"/>
          <w:marRight w:val="0"/>
          <w:marTop w:val="0"/>
          <w:marBottom w:val="0"/>
          <w:divBdr>
            <w:top w:val="none" w:sz="0" w:space="0" w:color="auto"/>
            <w:left w:val="none" w:sz="0" w:space="0" w:color="auto"/>
            <w:bottom w:val="dotted" w:sz="6" w:space="4" w:color="DDDDDD"/>
            <w:right w:val="none" w:sz="0" w:space="0" w:color="auto"/>
          </w:divBdr>
        </w:div>
      </w:divsChild>
    </w:div>
    <w:div w:id="243496503">
      <w:bodyDiv w:val="1"/>
      <w:marLeft w:val="0"/>
      <w:marRight w:val="0"/>
      <w:marTop w:val="0"/>
      <w:marBottom w:val="0"/>
      <w:divBdr>
        <w:top w:val="none" w:sz="0" w:space="0" w:color="auto"/>
        <w:left w:val="none" w:sz="0" w:space="0" w:color="auto"/>
        <w:bottom w:val="none" w:sz="0" w:space="0" w:color="auto"/>
        <w:right w:val="none" w:sz="0" w:space="0" w:color="auto"/>
      </w:divBdr>
      <w:divsChild>
        <w:div w:id="406803365">
          <w:marLeft w:val="0"/>
          <w:marRight w:val="0"/>
          <w:marTop w:val="0"/>
          <w:marBottom w:val="0"/>
          <w:divBdr>
            <w:top w:val="none" w:sz="0" w:space="0" w:color="auto"/>
            <w:left w:val="none" w:sz="0" w:space="0" w:color="auto"/>
            <w:bottom w:val="none" w:sz="0" w:space="0" w:color="auto"/>
            <w:right w:val="none" w:sz="0" w:space="0" w:color="auto"/>
          </w:divBdr>
          <w:divsChild>
            <w:div w:id="302853998">
              <w:marLeft w:val="0"/>
              <w:marRight w:val="0"/>
              <w:marTop w:val="0"/>
              <w:marBottom w:val="0"/>
              <w:divBdr>
                <w:top w:val="none" w:sz="0" w:space="0" w:color="auto"/>
                <w:left w:val="none" w:sz="0" w:space="0" w:color="auto"/>
                <w:bottom w:val="none" w:sz="0" w:space="0" w:color="auto"/>
                <w:right w:val="none" w:sz="0" w:space="0" w:color="auto"/>
              </w:divBdr>
            </w:div>
            <w:div w:id="1861241681">
              <w:marLeft w:val="0"/>
              <w:marRight w:val="0"/>
              <w:marTop w:val="0"/>
              <w:marBottom w:val="150"/>
              <w:divBdr>
                <w:top w:val="none" w:sz="0" w:space="0" w:color="auto"/>
                <w:left w:val="none" w:sz="0" w:space="0" w:color="auto"/>
                <w:bottom w:val="none" w:sz="0" w:space="0" w:color="auto"/>
                <w:right w:val="none" w:sz="0" w:space="0" w:color="auto"/>
              </w:divBdr>
            </w:div>
          </w:divsChild>
        </w:div>
        <w:div w:id="783309072">
          <w:marLeft w:val="0"/>
          <w:marRight w:val="0"/>
          <w:marTop w:val="0"/>
          <w:marBottom w:val="150"/>
          <w:divBdr>
            <w:top w:val="none" w:sz="0" w:space="0" w:color="auto"/>
            <w:left w:val="none" w:sz="0" w:space="0" w:color="auto"/>
            <w:bottom w:val="none" w:sz="0" w:space="0" w:color="auto"/>
            <w:right w:val="none" w:sz="0" w:space="0" w:color="auto"/>
          </w:divBdr>
          <w:divsChild>
            <w:div w:id="4595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954367">
      <w:bodyDiv w:val="1"/>
      <w:marLeft w:val="0"/>
      <w:marRight w:val="0"/>
      <w:marTop w:val="0"/>
      <w:marBottom w:val="0"/>
      <w:divBdr>
        <w:top w:val="none" w:sz="0" w:space="0" w:color="auto"/>
        <w:left w:val="none" w:sz="0" w:space="0" w:color="auto"/>
        <w:bottom w:val="none" w:sz="0" w:space="0" w:color="auto"/>
        <w:right w:val="none" w:sz="0" w:space="0" w:color="auto"/>
      </w:divBdr>
    </w:div>
    <w:div w:id="244535402">
      <w:bodyDiv w:val="1"/>
      <w:marLeft w:val="0"/>
      <w:marRight w:val="0"/>
      <w:marTop w:val="0"/>
      <w:marBottom w:val="0"/>
      <w:divBdr>
        <w:top w:val="none" w:sz="0" w:space="0" w:color="auto"/>
        <w:left w:val="none" w:sz="0" w:space="0" w:color="auto"/>
        <w:bottom w:val="none" w:sz="0" w:space="0" w:color="auto"/>
        <w:right w:val="none" w:sz="0" w:space="0" w:color="auto"/>
      </w:divBdr>
      <w:divsChild>
        <w:div w:id="1690645661">
          <w:marLeft w:val="0"/>
          <w:marRight w:val="0"/>
          <w:marTop w:val="0"/>
          <w:marBottom w:val="300"/>
          <w:divBdr>
            <w:top w:val="none" w:sz="0" w:space="0" w:color="auto"/>
            <w:left w:val="none" w:sz="0" w:space="0" w:color="auto"/>
            <w:bottom w:val="none" w:sz="0" w:space="0" w:color="auto"/>
            <w:right w:val="none" w:sz="0" w:space="0" w:color="auto"/>
          </w:divBdr>
          <w:divsChild>
            <w:div w:id="2031561560">
              <w:marLeft w:val="0"/>
              <w:marRight w:val="0"/>
              <w:marTop w:val="0"/>
              <w:marBottom w:val="0"/>
              <w:divBdr>
                <w:top w:val="none" w:sz="0" w:space="0" w:color="auto"/>
                <w:left w:val="none" w:sz="0" w:space="0" w:color="auto"/>
                <w:bottom w:val="none" w:sz="0" w:space="0" w:color="auto"/>
                <w:right w:val="none" w:sz="0" w:space="0" w:color="auto"/>
              </w:divBdr>
              <w:divsChild>
                <w:div w:id="1134713612">
                  <w:marLeft w:val="0"/>
                  <w:marRight w:val="0"/>
                  <w:marTop w:val="0"/>
                  <w:marBottom w:val="0"/>
                  <w:divBdr>
                    <w:top w:val="none" w:sz="0" w:space="0" w:color="auto"/>
                    <w:left w:val="none" w:sz="0" w:space="0" w:color="auto"/>
                    <w:bottom w:val="none" w:sz="0" w:space="0" w:color="auto"/>
                    <w:right w:val="none" w:sz="0" w:space="0" w:color="auto"/>
                  </w:divBdr>
                  <w:divsChild>
                    <w:div w:id="1609316498">
                      <w:marLeft w:val="0"/>
                      <w:marRight w:val="0"/>
                      <w:marTop w:val="0"/>
                      <w:marBottom w:val="225"/>
                      <w:divBdr>
                        <w:top w:val="none" w:sz="0" w:space="0" w:color="2D2D2D"/>
                        <w:left w:val="none" w:sz="0" w:space="0" w:color="2D2D2D"/>
                        <w:bottom w:val="none" w:sz="0" w:space="0" w:color="2D2D2D"/>
                        <w:right w:val="none" w:sz="0" w:space="0" w:color="2D2D2D"/>
                      </w:divBdr>
                      <w:divsChild>
                        <w:div w:id="824316615">
                          <w:marLeft w:val="0"/>
                          <w:marRight w:val="0"/>
                          <w:marTop w:val="120"/>
                          <w:marBottom w:val="150"/>
                          <w:divBdr>
                            <w:top w:val="none" w:sz="0" w:space="0" w:color="auto"/>
                            <w:left w:val="none" w:sz="0" w:space="0" w:color="auto"/>
                            <w:bottom w:val="none" w:sz="0" w:space="0" w:color="auto"/>
                            <w:right w:val="none" w:sz="0" w:space="0" w:color="auto"/>
                          </w:divBdr>
                          <w:divsChild>
                            <w:div w:id="95317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4612281">
      <w:bodyDiv w:val="1"/>
      <w:marLeft w:val="0"/>
      <w:marRight w:val="0"/>
      <w:marTop w:val="0"/>
      <w:marBottom w:val="0"/>
      <w:divBdr>
        <w:top w:val="none" w:sz="0" w:space="0" w:color="auto"/>
        <w:left w:val="none" w:sz="0" w:space="0" w:color="auto"/>
        <w:bottom w:val="none" w:sz="0" w:space="0" w:color="auto"/>
        <w:right w:val="none" w:sz="0" w:space="0" w:color="auto"/>
      </w:divBdr>
      <w:divsChild>
        <w:div w:id="1596673225">
          <w:marLeft w:val="0"/>
          <w:marRight w:val="0"/>
          <w:marTop w:val="0"/>
          <w:marBottom w:val="150"/>
          <w:divBdr>
            <w:top w:val="none" w:sz="0" w:space="0" w:color="auto"/>
            <w:left w:val="none" w:sz="0" w:space="0" w:color="auto"/>
            <w:bottom w:val="none" w:sz="0" w:space="0" w:color="auto"/>
            <w:right w:val="none" w:sz="0" w:space="0" w:color="auto"/>
          </w:divBdr>
        </w:div>
        <w:div w:id="1750421345">
          <w:marLeft w:val="0"/>
          <w:marRight w:val="0"/>
          <w:marTop w:val="0"/>
          <w:marBottom w:val="150"/>
          <w:divBdr>
            <w:top w:val="none" w:sz="0" w:space="0" w:color="auto"/>
            <w:left w:val="none" w:sz="0" w:space="0" w:color="auto"/>
            <w:bottom w:val="none" w:sz="0" w:space="0" w:color="auto"/>
            <w:right w:val="none" w:sz="0" w:space="0" w:color="auto"/>
          </w:divBdr>
          <w:divsChild>
            <w:div w:id="782191891">
              <w:marLeft w:val="0"/>
              <w:marRight w:val="0"/>
              <w:marTop w:val="0"/>
              <w:marBottom w:val="0"/>
              <w:divBdr>
                <w:top w:val="none" w:sz="0" w:space="0" w:color="auto"/>
                <w:left w:val="none" w:sz="0" w:space="0" w:color="auto"/>
                <w:bottom w:val="none" w:sz="0" w:space="0" w:color="auto"/>
                <w:right w:val="none" w:sz="0" w:space="0" w:color="auto"/>
              </w:divBdr>
            </w:div>
          </w:divsChild>
        </w:div>
        <w:div w:id="1916090012">
          <w:marLeft w:val="0"/>
          <w:marRight w:val="0"/>
          <w:marTop w:val="0"/>
          <w:marBottom w:val="0"/>
          <w:divBdr>
            <w:top w:val="none" w:sz="0" w:space="0" w:color="auto"/>
            <w:left w:val="none" w:sz="0" w:space="0" w:color="auto"/>
            <w:bottom w:val="none" w:sz="0" w:space="0" w:color="auto"/>
            <w:right w:val="none" w:sz="0" w:space="0" w:color="auto"/>
          </w:divBdr>
          <w:divsChild>
            <w:div w:id="148801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656305">
      <w:bodyDiv w:val="1"/>
      <w:marLeft w:val="0"/>
      <w:marRight w:val="0"/>
      <w:marTop w:val="0"/>
      <w:marBottom w:val="0"/>
      <w:divBdr>
        <w:top w:val="none" w:sz="0" w:space="0" w:color="auto"/>
        <w:left w:val="none" w:sz="0" w:space="0" w:color="auto"/>
        <w:bottom w:val="none" w:sz="0" w:space="0" w:color="auto"/>
        <w:right w:val="none" w:sz="0" w:space="0" w:color="auto"/>
      </w:divBdr>
      <w:divsChild>
        <w:div w:id="24527645">
          <w:marLeft w:val="0"/>
          <w:marRight w:val="0"/>
          <w:marTop w:val="0"/>
          <w:marBottom w:val="150"/>
          <w:divBdr>
            <w:top w:val="none" w:sz="0" w:space="0" w:color="auto"/>
            <w:left w:val="none" w:sz="0" w:space="0" w:color="auto"/>
            <w:bottom w:val="none" w:sz="0" w:space="0" w:color="auto"/>
            <w:right w:val="none" w:sz="0" w:space="0" w:color="auto"/>
          </w:divBdr>
        </w:div>
        <w:div w:id="765463339">
          <w:marLeft w:val="0"/>
          <w:marRight w:val="0"/>
          <w:marTop w:val="0"/>
          <w:marBottom w:val="150"/>
          <w:divBdr>
            <w:top w:val="none" w:sz="0" w:space="0" w:color="auto"/>
            <w:left w:val="none" w:sz="0" w:space="0" w:color="auto"/>
            <w:bottom w:val="none" w:sz="0" w:space="0" w:color="auto"/>
            <w:right w:val="none" w:sz="0" w:space="0" w:color="auto"/>
          </w:divBdr>
          <w:divsChild>
            <w:div w:id="681392026">
              <w:marLeft w:val="0"/>
              <w:marRight w:val="0"/>
              <w:marTop w:val="0"/>
              <w:marBottom w:val="0"/>
              <w:divBdr>
                <w:top w:val="none" w:sz="0" w:space="0" w:color="auto"/>
                <w:left w:val="none" w:sz="0" w:space="0" w:color="auto"/>
                <w:bottom w:val="none" w:sz="0" w:space="0" w:color="auto"/>
                <w:right w:val="none" w:sz="0" w:space="0" w:color="auto"/>
              </w:divBdr>
              <w:divsChild>
                <w:div w:id="88376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525451">
          <w:marLeft w:val="0"/>
          <w:marRight w:val="0"/>
          <w:marTop w:val="0"/>
          <w:marBottom w:val="0"/>
          <w:divBdr>
            <w:top w:val="none" w:sz="0" w:space="0" w:color="auto"/>
            <w:left w:val="none" w:sz="0" w:space="0" w:color="auto"/>
            <w:bottom w:val="none" w:sz="0" w:space="0" w:color="auto"/>
            <w:right w:val="none" w:sz="0" w:space="0" w:color="auto"/>
          </w:divBdr>
          <w:divsChild>
            <w:div w:id="8437397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45193734">
      <w:bodyDiv w:val="1"/>
      <w:marLeft w:val="0"/>
      <w:marRight w:val="0"/>
      <w:marTop w:val="0"/>
      <w:marBottom w:val="0"/>
      <w:divBdr>
        <w:top w:val="none" w:sz="0" w:space="0" w:color="auto"/>
        <w:left w:val="none" w:sz="0" w:space="0" w:color="auto"/>
        <w:bottom w:val="none" w:sz="0" w:space="0" w:color="auto"/>
        <w:right w:val="none" w:sz="0" w:space="0" w:color="auto"/>
      </w:divBdr>
      <w:divsChild>
        <w:div w:id="750590645">
          <w:marLeft w:val="0"/>
          <w:marRight w:val="0"/>
          <w:marTop w:val="0"/>
          <w:marBottom w:val="0"/>
          <w:divBdr>
            <w:top w:val="none" w:sz="0" w:space="0" w:color="auto"/>
            <w:left w:val="none" w:sz="0" w:space="0" w:color="auto"/>
            <w:bottom w:val="none" w:sz="0" w:space="0" w:color="auto"/>
            <w:right w:val="none" w:sz="0" w:space="0" w:color="auto"/>
          </w:divBdr>
          <w:divsChild>
            <w:div w:id="16433836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45261522">
      <w:bodyDiv w:val="1"/>
      <w:marLeft w:val="0"/>
      <w:marRight w:val="0"/>
      <w:marTop w:val="0"/>
      <w:marBottom w:val="0"/>
      <w:divBdr>
        <w:top w:val="none" w:sz="0" w:space="0" w:color="auto"/>
        <w:left w:val="none" w:sz="0" w:space="0" w:color="auto"/>
        <w:bottom w:val="none" w:sz="0" w:space="0" w:color="auto"/>
        <w:right w:val="none" w:sz="0" w:space="0" w:color="auto"/>
      </w:divBdr>
      <w:divsChild>
        <w:div w:id="853572870">
          <w:marLeft w:val="0"/>
          <w:marRight w:val="0"/>
          <w:marTop w:val="0"/>
          <w:marBottom w:val="0"/>
          <w:divBdr>
            <w:top w:val="none" w:sz="0" w:space="0" w:color="auto"/>
            <w:left w:val="none" w:sz="0" w:space="0" w:color="auto"/>
            <w:bottom w:val="none" w:sz="0" w:space="0" w:color="auto"/>
            <w:right w:val="none" w:sz="0" w:space="0" w:color="auto"/>
          </w:divBdr>
          <w:divsChild>
            <w:div w:id="13944315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45966723">
      <w:bodyDiv w:val="1"/>
      <w:marLeft w:val="0"/>
      <w:marRight w:val="0"/>
      <w:marTop w:val="0"/>
      <w:marBottom w:val="0"/>
      <w:divBdr>
        <w:top w:val="none" w:sz="0" w:space="0" w:color="auto"/>
        <w:left w:val="none" w:sz="0" w:space="0" w:color="auto"/>
        <w:bottom w:val="none" w:sz="0" w:space="0" w:color="auto"/>
        <w:right w:val="none" w:sz="0" w:space="0" w:color="auto"/>
      </w:divBdr>
      <w:divsChild>
        <w:div w:id="98725979">
          <w:marLeft w:val="0"/>
          <w:marRight w:val="0"/>
          <w:marTop w:val="0"/>
          <w:marBottom w:val="0"/>
          <w:divBdr>
            <w:top w:val="none" w:sz="0" w:space="0" w:color="auto"/>
            <w:left w:val="none" w:sz="0" w:space="0" w:color="auto"/>
            <w:bottom w:val="none" w:sz="0" w:space="0" w:color="auto"/>
            <w:right w:val="none" w:sz="0" w:space="0" w:color="auto"/>
          </w:divBdr>
          <w:divsChild>
            <w:div w:id="41298216">
              <w:marLeft w:val="0"/>
              <w:marRight w:val="0"/>
              <w:marTop w:val="0"/>
              <w:marBottom w:val="0"/>
              <w:divBdr>
                <w:top w:val="none" w:sz="0" w:space="0" w:color="auto"/>
                <w:left w:val="none" w:sz="0" w:space="0" w:color="auto"/>
                <w:bottom w:val="none" w:sz="0" w:space="0" w:color="auto"/>
                <w:right w:val="none" w:sz="0" w:space="0" w:color="auto"/>
              </w:divBdr>
            </w:div>
          </w:divsChild>
        </w:div>
        <w:div w:id="1236471522">
          <w:marLeft w:val="0"/>
          <w:marRight w:val="0"/>
          <w:marTop w:val="0"/>
          <w:marBottom w:val="150"/>
          <w:divBdr>
            <w:top w:val="none" w:sz="0" w:space="0" w:color="auto"/>
            <w:left w:val="none" w:sz="0" w:space="0" w:color="auto"/>
            <w:bottom w:val="none" w:sz="0" w:space="0" w:color="auto"/>
            <w:right w:val="none" w:sz="0" w:space="0" w:color="auto"/>
          </w:divBdr>
        </w:div>
        <w:div w:id="2102487243">
          <w:marLeft w:val="0"/>
          <w:marRight w:val="0"/>
          <w:marTop w:val="0"/>
          <w:marBottom w:val="150"/>
          <w:divBdr>
            <w:top w:val="none" w:sz="0" w:space="0" w:color="auto"/>
            <w:left w:val="none" w:sz="0" w:space="0" w:color="auto"/>
            <w:bottom w:val="none" w:sz="0" w:space="0" w:color="auto"/>
            <w:right w:val="none" w:sz="0" w:space="0" w:color="auto"/>
          </w:divBdr>
          <w:divsChild>
            <w:div w:id="106792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230368">
      <w:bodyDiv w:val="1"/>
      <w:marLeft w:val="0"/>
      <w:marRight w:val="0"/>
      <w:marTop w:val="0"/>
      <w:marBottom w:val="0"/>
      <w:divBdr>
        <w:top w:val="none" w:sz="0" w:space="0" w:color="auto"/>
        <w:left w:val="none" w:sz="0" w:space="0" w:color="auto"/>
        <w:bottom w:val="none" w:sz="0" w:space="0" w:color="auto"/>
        <w:right w:val="none" w:sz="0" w:space="0" w:color="auto"/>
      </w:divBdr>
      <w:divsChild>
        <w:div w:id="1271739856">
          <w:marLeft w:val="0"/>
          <w:marRight w:val="0"/>
          <w:marTop w:val="0"/>
          <w:marBottom w:val="0"/>
          <w:divBdr>
            <w:top w:val="none" w:sz="0" w:space="0" w:color="auto"/>
            <w:left w:val="none" w:sz="0" w:space="0" w:color="auto"/>
            <w:bottom w:val="none" w:sz="0" w:space="0" w:color="auto"/>
            <w:right w:val="none" w:sz="0" w:space="0" w:color="auto"/>
          </w:divBdr>
          <w:divsChild>
            <w:div w:id="1519613535">
              <w:marLeft w:val="0"/>
              <w:marRight w:val="0"/>
              <w:marTop w:val="0"/>
              <w:marBottom w:val="0"/>
              <w:divBdr>
                <w:top w:val="none" w:sz="0" w:space="0" w:color="auto"/>
                <w:left w:val="none" w:sz="0" w:space="0" w:color="auto"/>
                <w:bottom w:val="none" w:sz="0" w:space="0" w:color="auto"/>
                <w:right w:val="none" w:sz="0" w:space="0" w:color="auto"/>
              </w:divBdr>
              <w:divsChild>
                <w:div w:id="204216077">
                  <w:marLeft w:val="0"/>
                  <w:marRight w:val="0"/>
                  <w:marTop w:val="0"/>
                  <w:marBottom w:val="150"/>
                  <w:divBdr>
                    <w:top w:val="none" w:sz="0" w:space="0" w:color="auto"/>
                    <w:left w:val="none" w:sz="0" w:space="0" w:color="auto"/>
                    <w:bottom w:val="none" w:sz="0" w:space="0" w:color="auto"/>
                    <w:right w:val="none" w:sz="0" w:space="0" w:color="auto"/>
                  </w:divBdr>
                  <w:divsChild>
                    <w:div w:id="321392655">
                      <w:marLeft w:val="0"/>
                      <w:marRight w:val="0"/>
                      <w:marTop w:val="0"/>
                      <w:marBottom w:val="0"/>
                      <w:divBdr>
                        <w:top w:val="none" w:sz="0" w:space="0" w:color="auto"/>
                        <w:left w:val="none" w:sz="0" w:space="0" w:color="auto"/>
                        <w:bottom w:val="none" w:sz="0" w:space="0" w:color="auto"/>
                        <w:right w:val="none" w:sz="0" w:space="0" w:color="auto"/>
                      </w:divBdr>
                      <w:divsChild>
                        <w:div w:id="883830110">
                          <w:marLeft w:val="0"/>
                          <w:marRight w:val="0"/>
                          <w:marTop w:val="0"/>
                          <w:marBottom w:val="0"/>
                          <w:divBdr>
                            <w:top w:val="none" w:sz="0" w:space="0" w:color="auto"/>
                            <w:left w:val="none" w:sz="0" w:space="0" w:color="auto"/>
                            <w:bottom w:val="none" w:sz="0" w:space="0" w:color="auto"/>
                            <w:right w:val="none" w:sz="0" w:space="0" w:color="auto"/>
                          </w:divBdr>
                          <w:divsChild>
                            <w:div w:id="1371418919">
                              <w:marLeft w:val="0"/>
                              <w:marRight w:val="0"/>
                              <w:marTop w:val="0"/>
                              <w:marBottom w:val="0"/>
                              <w:divBdr>
                                <w:top w:val="none" w:sz="0" w:space="0" w:color="auto"/>
                                <w:left w:val="none" w:sz="0" w:space="0" w:color="auto"/>
                                <w:bottom w:val="none" w:sz="0" w:space="0" w:color="auto"/>
                                <w:right w:val="none" w:sz="0" w:space="0" w:color="auto"/>
                              </w:divBdr>
                              <w:divsChild>
                                <w:div w:id="1801651462">
                                  <w:marLeft w:val="0"/>
                                  <w:marRight w:val="0"/>
                                  <w:marTop w:val="0"/>
                                  <w:marBottom w:val="0"/>
                                  <w:divBdr>
                                    <w:top w:val="none" w:sz="0" w:space="0" w:color="auto"/>
                                    <w:left w:val="none" w:sz="0" w:space="0" w:color="auto"/>
                                    <w:bottom w:val="none" w:sz="0" w:space="0" w:color="auto"/>
                                    <w:right w:val="none" w:sz="0" w:space="0" w:color="auto"/>
                                  </w:divBdr>
                                  <w:divsChild>
                                    <w:div w:id="984359264">
                                      <w:marLeft w:val="0"/>
                                      <w:marRight w:val="0"/>
                                      <w:marTop w:val="0"/>
                                      <w:marBottom w:val="0"/>
                                      <w:divBdr>
                                        <w:top w:val="none" w:sz="0" w:space="0" w:color="auto"/>
                                        <w:left w:val="none" w:sz="0" w:space="0" w:color="auto"/>
                                        <w:bottom w:val="none" w:sz="0" w:space="0" w:color="auto"/>
                                        <w:right w:val="none" w:sz="0" w:space="0" w:color="auto"/>
                                      </w:divBdr>
                                      <w:divsChild>
                                        <w:div w:id="599142251">
                                          <w:marLeft w:val="0"/>
                                          <w:marRight w:val="0"/>
                                          <w:marTop w:val="0"/>
                                          <w:marBottom w:val="0"/>
                                          <w:divBdr>
                                            <w:top w:val="none" w:sz="0" w:space="0" w:color="auto"/>
                                            <w:left w:val="none" w:sz="0" w:space="0" w:color="auto"/>
                                            <w:bottom w:val="none" w:sz="0" w:space="0" w:color="auto"/>
                                            <w:right w:val="none" w:sz="0" w:space="0" w:color="auto"/>
                                          </w:divBdr>
                                          <w:divsChild>
                                            <w:div w:id="844250651">
                                              <w:marLeft w:val="0"/>
                                              <w:marRight w:val="0"/>
                                              <w:marTop w:val="0"/>
                                              <w:marBottom w:val="0"/>
                                              <w:divBdr>
                                                <w:top w:val="none" w:sz="0" w:space="0" w:color="auto"/>
                                                <w:left w:val="none" w:sz="0" w:space="0" w:color="auto"/>
                                                <w:bottom w:val="none" w:sz="0" w:space="0" w:color="auto"/>
                                                <w:right w:val="none" w:sz="0" w:space="0" w:color="auto"/>
                                              </w:divBdr>
                                              <w:divsChild>
                                                <w:div w:id="181522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6233159">
      <w:bodyDiv w:val="1"/>
      <w:marLeft w:val="0"/>
      <w:marRight w:val="0"/>
      <w:marTop w:val="0"/>
      <w:marBottom w:val="0"/>
      <w:divBdr>
        <w:top w:val="none" w:sz="0" w:space="0" w:color="auto"/>
        <w:left w:val="none" w:sz="0" w:space="0" w:color="auto"/>
        <w:bottom w:val="none" w:sz="0" w:space="0" w:color="auto"/>
        <w:right w:val="none" w:sz="0" w:space="0" w:color="auto"/>
      </w:divBdr>
      <w:divsChild>
        <w:div w:id="393041126">
          <w:marLeft w:val="0"/>
          <w:marRight w:val="0"/>
          <w:marTop w:val="0"/>
          <w:marBottom w:val="150"/>
          <w:divBdr>
            <w:top w:val="none" w:sz="0" w:space="0" w:color="auto"/>
            <w:left w:val="none" w:sz="0" w:space="0" w:color="auto"/>
            <w:bottom w:val="none" w:sz="0" w:space="0" w:color="auto"/>
            <w:right w:val="none" w:sz="0" w:space="0" w:color="auto"/>
          </w:divBdr>
        </w:div>
        <w:div w:id="1403871973">
          <w:marLeft w:val="0"/>
          <w:marRight w:val="0"/>
          <w:marTop w:val="0"/>
          <w:marBottom w:val="150"/>
          <w:divBdr>
            <w:top w:val="none" w:sz="0" w:space="0" w:color="auto"/>
            <w:left w:val="none" w:sz="0" w:space="0" w:color="auto"/>
            <w:bottom w:val="none" w:sz="0" w:space="0" w:color="auto"/>
            <w:right w:val="none" w:sz="0" w:space="0" w:color="auto"/>
          </w:divBdr>
          <w:divsChild>
            <w:div w:id="203117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303449">
      <w:bodyDiv w:val="1"/>
      <w:marLeft w:val="0"/>
      <w:marRight w:val="0"/>
      <w:marTop w:val="0"/>
      <w:marBottom w:val="0"/>
      <w:divBdr>
        <w:top w:val="none" w:sz="0" w:space="0" w:color="auto"/>
        <w:left w:val="none" w:sz="0" w:space="0" w:color="auto"/>
        <w:bottom w:val="none" w:sz="0" w:space="0" w:color="auto"/>
        <w:right w:val="none" w:sz="0" w:space="0" w:color="auto"/>
      </w:divBdr>
      <w:divsChild>
        <w:div w:id="546529424">
          <w:marLeft w:val="0"/>
          <w:marRight w:val="0"/>
          <w:marTop w:val="0"/>
          <w:marBottom w:val="0"/>
          <w:divBdr>
            <w:top w:val="none" w:sz="0" w:space="0" w:color="auto"/>
            <w:left w:val="none" w:sz="0" w:space="0" w:color="auto"/>
            <w:bottom w:val="dotted" w:sz="6" w:space="4" w:color="DDDDDD"/>
            <w:right w:val="none" w:sz="0" w:space="0" w:color="auto"/>
          </w:divBdr>
          <w:divsChild>
            <w:div w:id="4214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350455">
      <w:bodyDiv w:val="1"/>
      <w:marLeft w:val="0"/>
      <w:marRight w:val="0"/>
      <w:marTop w:val="0"/>
      <w:marBottom w:val="0"/>
      <w:divBdr>
        <w:top w:val="none" w:sz="0" w:space="0" w:color="auto"/>
        <w:left w:val="none" w:sz="0" w:space="0" w:color="auto"/>
        <w:bottom w:val="none" w:sz="0" w:space="0" w:color="auto"/>
        <w:right w:val="none" w:sz="0" w:space="0" w:color="auto"/>
      </w:divBdr>
    </w:div>
    <w:div w:id="246887277">
      <w:bodyDiv w:val="1"/>
      <w:marLeft w:val="0"/>
      <w:marRight w:val="0"/>
      <w:marTop w:val="0"/>
      <w:marBottom w:val="0"/>
      <w:divBdr>
        <w:top w:val="none" w:sz="0" w:space="0" w:color="auto"/>
        <w:left w:val="none" w:sz="0" w:space="0" w:color="auto"/>
        <w:bottom w:val="none" w:sz="0" w:space="0" w:color="auto"/>
        <w:right w:val="none" w:sz="0" w:space="0" w:color="auto"/>
      </w:divBdr>
      <w:divsChild>
        <w:div w:id="768934793">
          <w:marLeft w:val="0"/>
          <w:marRight w:val="0"/>
          <w:marTop w:val="0"/>
          <w:marBottom w:val="150"/>
          <w:divBdr>
            <w:top w:val="none" w:sz="0" w:space="0" w:color="auto"/>
            <w:left w:val="none" w:sz="0" w:space="0" w:color="auto"/>
            <w:bottom w:val="none" w:sz="0" w:space="0" w:color="auto"/>
            <w:right w:val="none" w:sz="0" w:space="0" w:color="auto"/>
          </w:divBdr>
        </w:div>
        <w:div w:id="1473326938">
          <w:marLeft w:val="0"/>
          <w:marRight w:val="0"/>
          <w:marTop w:val="0"/>
          <w:marBottom w:val="150"/>
          <w:divBdr>
            <w:top w:val="none" w:sz="0" w:space="0" w:color="auto"/>
            <w:left w:val="none" w:sz="0" w:space="0" w:color="auto"/>
            <w:bottom w:val="none" w:sz="0" w:space="0" w:color="auto"/>
            <w:right w:val="none" w:sz="0" w:space="0" w:color="auto"/>
          </w:divBdr>
          <w:divsChild>
            <w:div w:id="852956270">
              <w:marLeft w:val="0"/>
              <w:marRight w:val="0"/>
              <w:marTop w:val="0"/>
              <w:marBottom w:val="0"/>
              <w:divBdr>
                <w:top w:val="none" w:sz="0" w:space="0" w:color="auto"/>
                <w:left w:val="none" w:sz="0" w:space="0" w:color="auto"/>
                <w:bottom w:val="none" w:sz="0" w:space="0" w:color="auto"/>
                <w:right w:val="none" w:sz="0" w:space="0" w:color="auto"/>
              </w:divBdr>
              <w:divsChild>
                <w:div w:id="134532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89662">
          <w:marLeft w:val="0"/>
          <w:marRight w:val="0"/>
          <w:marTop w:val="0"/>
          <w:marBottom w:val="0"/>
          <w:divBdr>
            <w:top w:val="none" w:sz="0" w:space="0" w:color="auto"/>
            <w:left w:val="none" w:sz="0" w:space="0" w:color="auto"/>
            <w:bottom w:val="none" w:sz="0" w:space="0" w:color="auto"/>
            <w:right w:val="none" w:sz="0" w:space="0" w:color="auto"/>
          </w:divBdr>
          <w:divsChild>
            <w:div w:id="14226019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46958713">
      <w:bodyDiv w:val="1"/>
      <w:marLeft w:val="0"/>
      <w:marRight w:val="0"/>
      <w:marTop w:val="0"/>
      <w:marBottom w:val="0"/>
      <w:divBdr>
        <w:top w:val="none" w:sz="0" w:space="0" w:color="auto"/>
        <w:left w:val="none" w:sz="0" w:space="0" w:color="auto"/>
        <w:bottom w:val="none" w:sz="0" w:space="0" w:color="auto"/>
        <w:right w:val="none" w:sz="0" w:space="0" w:color="auto"/>
      </w:divBdr>
      <w:divsChild>
        <w:div w:id="1473936740">
          <w:marLeft w:val="0"/>
          <w:marRight w:val="0"/>
          <w:marTop w:val="0"/>
          <w:marBottom w:val="150"/>
          <w:divBdr>
            <w:top w:val="none" w:sz="0" w:space="0" w:color="auto"/>
            <w:left w:val="none" w:sz="0" w:space="0" w:color="auto"/>
            <w:bottom w:val="none" w:sz="0" w:space="0" w:color="auto"/>
            <w:right w:val="none" w:sz="0" w:space="0" w:color="auto"/>
          </w:divBdr>
        </w:div>
      </w:divsChild>
    </w:div>
    <w:div w:id="247006056">
      <w:bodyDiv w:val="1"/>
      <w:marLeft w:val="0"/>
      <w:marRight w:val="0"/>
      <w:marTop w:val="0"/>
      <w:marBottom w:val="0"/>
      <w:divBdr>
        <w:top w:val="none" w:sz="0" w:space="0" w:color="auto"/>
        <w:left w:val="none" w:sz="0" w:space="0" w:color="auto"/>
        <w:bottom w:val="none" w:sz="0" w:space="0" w:color="auto"/>
        <w:right w:val="none" w:sz="0" w:space="0" w:color="auto"/>
      </w:divBdr>
    </w:div>
    <w:div w:id="247231064">
      <w:bodyDiv w:val="1"/>
      <w:marLeft w:val="0"/>
      <w:marRight w:val="0"/>
      <w:marTop w:val="0"/>
      <w:marBottom w:val="0"/>
      <w:divBdr>
        <w:top w:val="none" w:sz="0" w:space="0" w:color="auto"/>
        <w:left w:val="none" w:sz="0" w:space="0" w:color="auto"/>
        <w:bottom w:val="none" w:sz="0" w:space="0" w:color="auto"/>
        <w:right w:val="none" w:sz="0" w:space="0" w:color="auto"/>
      </w:divBdr>
      <w:divsChild>
        <w:div w:id="10646603">
          <w:marLeft w:val="0"/>
          <w:marRight w:val="0"/>
          <w:marTop w:val="0"/>
          <w:marBottom w:val="225"/>
          <w:divBdr>
            <w:top w:val="none" w:sz="0" w:space="0" w:color="auto"/>
            <w:left w:val="none" w:sz="0" w:space="0" w:color="auto"/>
            <w:bottom w:val="none" w:sz="0" w:space="0" w:color="auto"/>
            <w:right w:val="none" w:sz="0" w:space="0" w:color="auto"/>
          </w:divBdr>
          <w:divsChild>
            <w:div w:id="1752237970">
              <w:marLeft w:val="0"/>
              <w:marRight w:val="0"/>
              <w:marTop w:val="0"/>
              <w:marBottom w:val="0"/>
              <w:divBdr>
                <w:top w:val="none" w:sz="0" w:space="0" w:color="auto"/>
                <w:left w:val="none" w:sz="0" w:space="0" w:color="auto"/>
                <w:bottom w:val="none" w:sz="0" w:space="0" w:color="auto"/>
                <w:right w:val="none" w:sz="0" w:space="0" w:color="auto"/>
              </w:divBdr>
              <w:divsChild>
                <w:div w:id="58361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821554">
          <w:marLeft w:val="0"/>
          <w:marRight w:val="0"/>
          <w:marTop w:val="0"/>
          <w:marBottom w:val="225"/>
          <w:divBdr>
            <w:top w:val="none" w:sz="0" w:space="0" w:color="auto"/>
            <w:left w:val="none" w:sz="0" w:space="0" w:color="auto"/>
            <w:bottom w:val="none" w:sz="0" w:space="0" w:color="auto"/>
            <w:right w:val="none" w:sz="0" w:space="0" w:color="auto"/>
          </w:divBdr>
        </w:div>
      </w:divsChild>
    </w:div>
    <w:div w:id="247424395">
      <w:bodyDiv w:val="1"/>
      <w:marLeft w:val="0"/>
      <w:marRight w:val="0"/>
      <w:marTop w:val="0"/>
      <w:marBottom w:val="0"/>
      <w:divBdr>
        <w:top w:val="none" w:sz="0" w:space="0" w:color="auto"/>
        <w:left w:val="none" w:sz="0" w:space="0" w:color="auto"/>
        <w:bottom w:val="none" w:sz="0" w:space="0" w:color="auto"/>
        <w:right w:val="none" w:sz="0" w:space="0" w:color="auto"/>
      </w:divBdr>
      <w:divsChild>
        <w:div w:id="25371714">
          <w:marLeft w:val="0"/>
          <w:marRight w:val="0"/>
          <w:marTop w:val="0"/>
          <w:marBottom w:val="0"/>
          <w:divBdr>
            <w:top w:val="none" w:sz="0" w:space="0" w:color="auto"/>
            <w:left w:val="none" w:sz="0" w:space="0" w:color="auto"/>
            <w:bottom w:val="dotted" w:sz="6" w:space="4" w:color="DDDDDD"/>
            <w:right w:val="none" w:sz="0" w:space="0" w:color="auto"/>
          </w:divBdr>
          <w:divsChild>
            <w:div w:id="170809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542687">
      <w:bodyDiv w:val="1"/>
      <w:marLeft w:val="0"/>
      <w:marRight w:val="0"/>
      <w:marTop w:val="0"/>
      <w:marBottom w:val="0"/>
      <w:divBdr>
        <w:top w:val="none" w:sz="0" w:space="0" w:color="auto"/>
        <w:left w:val="none" w:sz="0" w:space="0" w:color="auto"/>
        <w:bottom w:val="none" w:sz="0" w:space="0" w:color="auto"/>
        <w:right w:val="none" w:sz="0" w:space="0" w:color="auto"/>
      </w:divBdr>
      <w:divsChild>
        <w:div w:id="1275283548">
          <w:marLeft w:val="0"/>
          <w:marRight w:val="0"/>
          <w:marTop w:val="0"/>
          <w:marBottom w:val="0"/>
          <w:divBdr>
            <w:top w:val="none" w:sz="0" w:space="0" w:color="auto"/>
            <w:left w:val="none" w:sz="0" w:space="0" w:color="auto"/>
            <w:bottom w:val="none" w:sz="0" w:space="0" w:color="auto"/>
            <w:right w:val="none" w:sz="0" w:space="0" w:color="auto"/>
          </w:divBdr>
          <w:divsChild>
            <w:div w:id="2001156679">
              <w:marLeft w:val="0"/>
              <w:marRight w:val="0"/>
              <w:marTop w:val="0"/>
              <w:marBottom w:val="0"/>
              <w:divBdr>
                <w:top w:val="none" w:sz="0" w:space="0" w:color="auto"/>
                <w:left w:val="none" w:sz="0" w:space="0" w:color="auto"/>
                <w:bottom w:val="none" w:sz="0" w:space="0" w:color="auto"/>
                <w:right w:val="none" w:sz="0" w:space="0" w:color="auto"/>
              </w:divBdr>
              <w:divsChild>
                <w:div w:id="27031060">
                  <w:marLeft w:val="0"/>
                  <w:marRight w:val="0"/>
                  <w:marTop w:val="0"/>
                  <w:marBottom w:val="0"/>
                  <w:divBdr>
                    <w:top w:val="none" w:sz="0" w:space="0" w:color="auto"/>
                    <w:left w:val="none" w:sz="0" w:space="0" w:color="auto"/>
                    <w:bottom w:val="none" w:sz="0" w:space="0" w:color="auto"/>
                    <w:right w:val="none" w:sz="0" w:space="0" w:color="auto"/>
                  </w:divBdr>
                  <w:divsChild>
                    <w:div w:id="735855988">
                      <w:marLeft w:val="0"/>
                      <w:marRight w:val="0"/>
                      <w:marTop w:val="0"/>
                      <w:marBottom w:val="0"/>
                      <w:divBdr>
                        <w:top w:val="none" w:sz="0" w:space="0" w:color="auto"/>
                        <w:left w:val="none" w:sz="0" w:space="0" w:color="auto"/>
                        <w:bottom w:val="none" w:sz="0" w:space="0" w:color="auto"/>
                        <w:right w:val="none" w:sz="0" w:space="0" w:color="auto"/>
                      </w:divBdr>
                      <w:divsChild>
                        <w:div w:id="1937714404">
                          <w:marLeft w:val="0"/>
                          <w:marRight w:val="0"/>
                          <w:marTop w:val="0"/>
                          <w:marBottom w:val="0"/>
                          <w:divBdr>
                            <w:top w:val="none" w:sz="0" w:space="0" w:color="auto"/>
                            <w:left w:val="none" w:sz="0" w:space="0" w:color="auto"/>
                            <w:bottom w:val="none" w:sz="0" w:space="0" w:color="auto"/>
                            <w:right w:val="none" w:sz="0" w:space="0" w:color="auto"/>
                          </w:divBdr>
                          <w:divsChild>
                            <w:div w:id="46808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7615921">
      <w:bodyDiv w:val="1"/>
      <w:marLeft w:val="0"/>
      <w:marRight w:val="0"/>
      <w:marTop w:val="0"/>
      <w:marBottom w:val="0"/>
      <w:divBdr>
        <w:top w:val="none" w:sz="0" w:space="0" w:color="auto"/>
        <w:left w:val="none" w:sz="0" w:space="0" w:color="auto"/>
        <w:bottom w:val="none" w:sz="0" w:space="0" w:color="auto"/>
        <w:right w:val="none" w:sz="0" w:space="0" w:color="auto"/>
      </w:divBdr>
      <w:divsChild>
        <w:div w:id="1348412168">
          <w:marLeft w:val="0"/>
          <w:marRight w:val="0"/>
          <w:marTop w:val="0"/>
          <w:marBottom w:val="0"/>
          <w:divBdr>
            <w:top w:val="none" w:sz="0" w:space="0" w:color="auto"/>
            <w:left w:val="none" w:sz="0" w:space="0" w:color="auto"/>
            <w:bottom w:val="none" w:sz="0" w:space="0" w:color="auto"/>
            <w:right w:val="none" w:sz="0" w:space="0" w:color="auto"/>
          </w:divBdr>
          <w:divsChild>
            <w:div w:id="1230075861">
              <w:marLeft w:val="0"/>
              <w:marRight w:val="0"/>
              <w:marTop w:val="0"/>
              <w:marBottom w:val="0"/>
              <w:divBdr>
                <w:top w:val="none" w:sz="0" w:space="0" w:color="auto"/>
                <w:left w:val="none" w:sz="0" w:space="0" w:color="auto"/>
                <w:bottom w:val="none" w:sz="0" w:space="0" w:color="auto"/>
                <w:right w:val="none" w:sz="0" w:space="0" w:color="auto"/>
              </w:divBdr>
              <w:divsChild>
                <w:div w:id="1892887797">
                  <w:marLeft w:val="0"/>
                  <w:marRight w:val="0"/>
                  <w:marTop w:val="0"/>
                  <w:marBottom w:val="0"/>
                  <w:divBdr>
                    <w:top w:val="none" w:sz="0" w:space="0" w:color="auto"/>
                    <w:left w:val="none" w:sz="0" w:space="0" w:color="auto"/>
                    <w:bottom w:val="none" w:sz="0" w:space="0" w:color="auto"/>
                    <w:right w:val="none" w:sz="0" w:space="0" w:color="auto"/>
                  </w:divBdr>
                  <w:divsChild>
                    <w:div w:id="1356035987">
                      <w:marLeft w:val="0"/>
                      <w:marRight w:val="0"/>
                      <w:marTop w:val="0"/>
                      <w:marBottom w:val="0"/>
                      <w:divBdr>
                        <w:top w:val="none" w:sz="0" w:space="0" w:color="auto"/>
                        <w:left w:val="none" w:sz="0" w:space="0" w:color="auto"/>
                        <w:bottom w:val="none" w:sz="0" w:space="0" w:color="auto"/>
                        <w:right w:val="none" w:sz="0" w:space="0" w:color="auto"/>
                      </w:divBdr>
                      <w:divsChild>
                        <w:div w:id="1045956387">
                          <w:marLeft w:val="0"/>
                          <w:marRight w:val="0"/>
                          <w:marTop w:val="0"/>
                          <w:marBottom w:val="0"/>
                          <w:divBdr>
                            <w:top w:val="none" w:sz="0" w:space="0" w:color="auto"/>
                            <w:left w:val="none" w:sz="0" w:space="0" w:color="auto"/>
                            <w:bottom w:val="none" w:sz="0" w:space="0" w:color="auto"/>
                            <w:right w:val="none" w:sz="0" w:space="0" w:color="auto"/>
                          </w:divBdr>
                          <w:divsChild>
                            <w:div w:id="805582376">
                              <w:marLeft w:val="0"/>
                              <w:marRight w:val="0"/>
                              <w:marTop w:val="0"/>
                              <w:marBottom w:val="0"/>
                              <w:divBdr>
                                <w:top w:val="none" w:sz="0" w:space="0" w:color="auto"/>
                                <w:left w:val="none" w:sz="0" w:space="0" w:color="auto"/>
                                <w:bottom w:val="none" w:sz="0" w:space="0" w:color="auto"/>
                                <w:right w:val="none" w:sz="0" w:space="0" w:color="auto"/>
                              </w:divBdr>
                              <w:divsChild>
                                <w:div w:id="1356923955">
                                  <w:marLeft w:val="0"/>
                                  <w:marRight w:val="0"/>
                                  <w:marTop w:val="0"/>
                                  <w:marBottom w:val="0"/>
                                  <w:divBdr>
                                    <w:top w:val="none" w:sz="0" w:space="0" w:color="auto"/>
                                    <w:left w:val="none" w:sz="0" w:space="0" w:color="auto"/>
                                    <w:bottom w:val="none" w:sz="0" w:space="0" w:color="auto"/>
                                    <w:right w:val="none" w:sz="0" w:space="0" w:color="auto"/>
                                  </w:divBdr>
                                  <w:divsChild>
                                    <w:div w:id="185283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7621482">
      <w:bodyDiv w:val="1"/>
      <w:marLeft w:val="0"/>
      <w:marRight w:val="0"/>
      <w:marTop w:val="0"/>
      <w:marBottom w:val="0"/>
      <w:divBdr>
        <w:top w:val="none" w:sz="0" w:space="0" w:color="auto"/>
        <w:left w:val="none" w:sz="0" w:space="0" w:color="auto"/>
        <w:bottom w:val="none" w:sz="0" w:space="0" w:color="auto"/>
        <w:right w:val="none" w:sz="0" w:space="0" w:color="auto"/>
      </w:divBdr>
      <w:divsChild>
        <w:div w:id="1749424523">
          <w:marLeft w:val="0"/>
          <w:marRight w:val="0"/>
          <w:marTop w:val="0"/>
          <w:marBottom w:val="150"/>
          <w:divBdr>
            <w:top w:val="none" w:sz="0" w:space="0" w:color="auto"/>
            <w:left w:val="none" w:sz="0" w:space="0" w:color="auto"/>
            <w:bottom w:val="none" w:sz="0" w:space="0" w:color="auto"/>
            <w:right w:val="none" w:sz="0" w:space="0" w:color="auto"/>
          </w:divBdr>
        </w:div>
        <w:div w:id="2104103901">
          <w:marLeft w:val="0"/>
          <w:marRight w:val="0"/>
          <w:marTop w:val="0"/>
          <w:marBottom w:val="0"/>
          <w:divBdr>
            <w:top w:val="none" w:sz="0" w:space="0" w:color="auto"/>
            <w:left w:val="none" w:sz="0" w:space="0" w:color="auto"/>
            <w:bottom w:val="none" w:sz="0" w:space="0" w:color="auto"/>
            <w:right w:val="none" w:sz="0" w:space="0" w:color="auto"/>
          </w:divBdr>
        </w:div>
      </w:divsChild>
    </w:div>
    <w:div w:id="247810090">
      <w:bodyDiv w:val="1"/>
      <w:marLeft w:val="0"/>
      <w:marRight w:val="0"/>
      <w:marTop w:val="0"/>
      <w:marBottom w:val="0"/>
      <w:divBdr>
        <w:top w:val="none" w:sz="0" w:space="0" w:color="auto"/>
        <w:left w:val="none" w:sz="0" w:space="0" w:color="auto"/>
        <w:bottom w:val="none" w:sz="0" w:space="0" w:color="auto"/>
        <w:right w:val="none" w:sz="0" w:space="0" w:color="auto"/>
      </w:divBdr>
      <w:divsChild>
        <w:div w:id="924725048">
          <w:marLeft w:val="0"/>
          <w:marRight w:val="0"/>
          <w:marTop w:val="0"/>
          <w:marBottom w:val="0"/>
          <w:divBdr>
            <w:top w:val="none" w:sz="0" w:space="0" w:color="auto"/>
            <w:left w:val="none" w:sz="0" w:space="0" w:color="auto"/>
            <w:bottom w:val="none" w:sz="0" w:space="0" w:color="auto"/>
            <w:right w:val="none" w:sz="0" w:space="0" w:color="auto"/>
          </w:divBdr>
          <w:divsChild>
            <w:div w:id="737443323">
              <w:marLeft w:val="0"/>
              <w:marRight w:val="0"/>
              <w:marTop w:val="0"/>
              <w:marBottom w:val="0"/>
              <w:divBdr>
                <w:top w:val="none" w:sz="0" w:space="0" w:color="auto"/>
                <w:left w:val="none" w:sz="0" w:space="0" w:color="auto"/>
                <w:bottom w:val="none" w:sz="0" w:space="0" w:color="auto"/>
                <w:right w:val="none" w:sz="0" w:space="0" w:color="auto"/>
              </w:divBdr>
              <w:divsChild>
                <w:div w:id="1494371658">
                  <w:marLeft w:val="0"/>
                  <w:marRight w:val="0"/>
                  <w:marTop w:val="0"/>
                  <w:marBottom w:val="0"/>
                  <w:divBdr>
                    <w:top w:val="none" w:sz="0" w:space="0" w:color="auto"/>
                    <w:left w:val="none" w:sz="0" w:space="0" w:color="auto"/>
                    <w:bottom w:val="none" w:sz="0" w:space="0" w:color="auto"/>
                    <w:right w:val="none" w:sz="0" w:space="0" w:color="auto"/>
                  </w:divBdr>
                  <w:divsChild>
                    <w:div w:id="104353590">
                      <w:marLeft w:val="0"/>
                      <w:marRight w:val="0"/>
                      <w:marTop w:val="0"/>
                      <w:marBottom w:val="0"/>
                      <w:divBdr>
                        <w:top w:val="none" w:sz="0" w:space="0" w:color="auto"/>
                        <w:left w:val="none" w:sz="0" w:space="0" w:color="auto"/>
                        <w:bottom w:val="none" w:sz="0" w:space="0" w:color="auto"/>
                        <w:right w:val="none" w:sz="0" w:space="0" w:color="auto"/>
                      </w:divBdr>
                      <w:divsChild>
                        <w:div w:id="1377656108">
                          <w:marLeft w:val="0"/>
                          <w:marRight w:val="0"/>
                          <w:marTop w:val="0"/>
                          <w:marBottom w:val="0"/>
                          <w:divBdr>
                            <w:top w:val="none" w:sz="0" w:space="0" w:color="auto"/>
                            <w:left w:val="none" w:sz="0" w:space="0" w:color="auto"/>
                            <w:bottom w:val="none" w:sz="0" w:space="0" w:color="auto"/>
                            <w:right w:val="none" w:sz="0" w:space="0" w:color="auto"/>
                          </w:divBdr>
                          <w:divsChild>
                            <w:div w:id="903488810">
                              <w:marLeft w:val="0"/>
                              <w:marRight w:val="0"/>
                              <w:marTop w:val="0"/>
                              <w:marBottom w:val="0"/>
                              <w:divBdr>
                                <w:top w:val="none" w:sz="0" w:space="0" w:color="auto"/>
                                <w:left w:val="none" w:sz="0" w:space="0" w:color="auto"/>
                                <w:bottom w:val="none" w:sz="0" w:space="0" w:color="auto"/>
                                <w:right w:val="none" w:sz="0" w:space="0" w:color="auto"/>
                              </w:divBdr>
                              <w:divsChild>
                                <w:div w:id="822351404">
                                  <w:marLeft w:val="0"/>
                                  <w:marRight w:val="0"/>
                                  <w:marTop w:val="0"/>
                                  <w:marBottom w:val="0"/>
                                  <w:divBdr>
                                    <w:top w:val="none" w:sz="0" w:space="0" w:color="auto"/>
                                    <w:left w:val="none" w:sz="0" w:space="0" w:color="auto"/>
                                    <w:bottom w:val="none" w:sz="0" w:space="0" w:color="auto"/>
                                    <w:right w:val="none" w:sz="0" w:space="0" w:color="auto"/>
                                  </w:divBdr>
                                  <w:divsChild>
                                    <w:div w:id="166377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7927066">
      <w:bodyDiv w:val="1"/>
      <w:marLeft w:val="0"/>
      <w:marRight w:val="0"/>
      <w:marTop w:val="0"/>
      <w:marBottom w:val="0"/>
      <w:divBdr>
        <w:top w:val="none" w:sz="0" w:space="0" w:color="auto"/>
        <w:left w:val="none" w:sz="0" w:space="0" w:color="auto"/>
        <w:bottom w:val="none" w:sz="0" w:space="0" w:color="auto"/>
        <w:right w:val="none" w:sz="0" w:space="0" w:color="auto"/>
      </w:divBdr>
      <w:divsChild>
        <w:div w:id="934827765">
          <w:marLeft w:val="0"/>
          <w:marRight w:val="0"/>
          <w:marTop w:val="0"/>
          <w:marBottom w:val="0"/>
          <w:divBdr>
            <w:top w:val="none" w:sz="0" w:space="0" w:color="auto"/>
            <w:left w:val="none" w:sz="0" w:space="0" w:color="auto"/>
            <w:bottom w:val="none" w:sz="0" w:space="0" w:color="auto"/>
            <w:right w:val="none" w:sz="0" w:space="0" w:color="auto"/>
          </w:divBdr>
          <w:divsChild>
            <w:div w:id="277756343">
              <w:marLeft w:val="0"/>
              <w:marRight w:val="0"/>
              <w:marTop w:val="0"/>
              <w:marBottom w:val="0"/>
              <w:divBdr>
                <w:top w:val="none" w:sz="0" w:space="0" w:color="auto"/>
                <w:left w:val="none" w:sz="0" w:space="0" w:color="auto"/>
                <w:bottom w:val="none" w:sz="0" w:space="0" w:color="auto"/>
                <w:right w:val="none" w:sz="0" w:space="0" w:color="auto"/>
              </w:divBdr>
              <w:divsChild>
                <w:div w:id="158153906">
                  <w:marLeft w:val="0"/>
                  <w:marRight w:val="0"/>
                  <w:marTop w:val="0"/>
                  <w:marBottom w:val="0"/>
                  <w:divBdr>
                    <w:top w:val="none" w:sz="0" w:space="0" w:color="auto"/>
                    <w:left w:val="none" w:sz="0" w:space="0" w:color="auto"/>
                    <w:bottom w:val="none" w:sz="0" w:space="0" w:color="auto"/>
                    <w:right w:val="none" w:sz="0" w:space="0" w:color="auto"/>
                  </w:divBdr>
                  <w:divsChild>
                    <w:div w:id="1120874793">
                      <w:marLeft w:val="0"/>
                      <w:marRight w:val="0"/>
                      <w:marTop w:val="0"/>
                      <w:marBottom w:val="0"/>
                      <w:divBdr>
                        <w:top w:val="none" w:sz="0" w:space="0" w:color="auto"/>
                        <w:left w:val="none" w:sz="0" w:space="0" w:color="auto"/>
                        <w:bottom w:val="none" w:sz="0" w:space="0" w:color="auto"/>
                        <w:right w:val="none" w:sz="0" w:space="0" w:color="auto"/>
                      </w:divBdr>
                      <w:divsChild>
                        <w:div w:id="229967260">
                          <w:marLeft w:val="0"/>
                          <w:marRight w:val="0"/>
                          <w:marTop w:val="0"/>
                          <w:marBottom w:val="0"/>
                          <w:divBdr>
                            <w:top w:val="none" w:sz="0" w:space="0" w:color="auto"/>
                            <w:left w:val="none" w:sz="0" w:space="0" w:color="auto"/>
                            <w:bottom w:val="none" w:sz="0" w:space="0" w:color="auto"/>
                            <w:right w:val="none" w:sz="0" w:space="0" w:color="auto"/>
                          </w:divBdr>
                          <w:divsChild>
                            <w:div w:id="2040472705">
                              <w:marLeft w:val="0"/>
                              <w:marRight w:val="0"/>
                              <w:marTop w:val="0"/>
                              <w:marBottom w:val="0"/>
                              <w:divBdr>
                                <w:top w:val="none" w:sz="0" w:space="0" w:color="auto"/>
                                <w:left w:val="none" w:sz="0" w:space="0" w:color="auto"/>
                                <w:bottom w:val="none" w:sz="0" w:space="0" w:color="auto"/>
                                <w:right w:val="none" w:sz="0" w:space="0" w:color="auto"/>
                              </w:divBdr>
                              <w:divsChild>
                                <w:div w:id="1444029849">
                                  <w:marLeft w:val="0"/>
                                  <w:marRight w:val="0"/>
                                  <w:marTop w:val="0"/>
                                  <w:marBottom w:val="0"/>
                                  <w:divBdr>
                                    <w:top w:val="none" w:sz="0" w:space="0" w:color="auto"/>
                                    <w:left w:val="none" w:sz="0" w:space="0" w:color="auto"/>
                                    <w:bottom w:val="none" w:sz="0" w:space="0" w:color="auto"/>
                                    <w:right w:val="none" w:sz="0" w:space="0" w:color="auto"/>
                                  </w:divBdr>
                                  <w:divsChild>
                                    <w:div w:id="802385153">
                                      <w:marLeft w:val="0"/>
                                      <w:marRight w:val="0"/>
                                      <w:marTop w:val="0"/>
                                      <w:marBottom w:val="0"/>
                                      <w:divBdr>
                                        <w:top w:val="none" w:sz="0" w:space="0" w:color="auto"/>
                                        <w:left w:val="none" w:sz="0" w:space="0" w:color="auto"/>
                                        <w:bottom w:val="none" w:sz="0" w:space="0" w:color="auto"/>
                                        <w:right w:val="none" w:sz="0" w:space="0" w:color="auto"/>
                                      </w:divBdr>
                                      <w:divsChild>
                                        <w:div w:id="145162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8269092">
      <w:bodyDiv w:val="1"/>
      <w:marLeft w:val="0"/>
      <w:marRight w:val="0"/>
      <w:marTop w:val="0"/>
      <w:marBottom w:val="0"/>
      <w:divBdr>
        <w:top w:val="none" w:sz="0" w:space="0" w:color="auto"/>
        <w:left w:val="none" w:sz="0" w:space="0" w:color="auto"/>
        <w:bottom w:val="none" w:sz="0" w:space="0" w:color="auto"/>
        <w:right w:val="none" w:sz="0" w:space="0" w:color="auto"/>
      </w:divBdr>
      <w:divsChild>
        <w:div w:id="1682975574">
          <w:marLeft w:val="0"/>
          <w:marRight w:val="0"/>
          <w:marTop w:val="0"/>
          <w:marBottom w:val="0"/>
          <w:divBdr>
            <w:top w:val="none" w:sz="0" w:space="0" w:color="auto"/>
            <w:left w:val="none" w:sz="0" w:space="0" w:color="auto"/>
            <w:bottom w:val="none" w:sz="0" w:space="0" w:color="auto"/>
            <w:right w:val="none" w:sz="0" w:space="0" w:color="auto"/>
          </w:divBdr>
        </w:div>
      </w:divsChild>
    </w:div>
    <w:div w:id="248658978">
      <w:bodyDiv w:val="1"/>
      <w:marLeft w:val="0"/>
      <w:marRight w:val="0"/>
      <w:marTop w:val="0"/>
      <w:marBottom w:val="0"/>
      <w:divBdr>
        <w:top w:val="none" w:sz="0" w:space="0" w:color="auto"/>
        <w:left w:val="none" w:sz="0" w:space="0" w:color="auto"/>
        <w:bottom w:val="none" w:sz="0" w:space="0" w:color="auto"/>
        <w:right w:val="none" w:sz="0" w:space="0" w:color="auto"/>
      </w:divBdr>
      <w:divsChild>
        <w:div w:id="651518079">
          <w:marLeft w:val="0"/>
          <w:marRight w:val="0"/>
          <w:marTop w:val="0"/>
          <w:marBottom w:val="0"/>
          <w:divBdr>
            <w:top w:val="none" w:sz="0" w:space="0" w:color="auto"/>
            <w:left w:val="none" w:sz="0" w:space="0" w:color="auto"/>
            <w:bottom w:val="none" w:sz="0" w:space="0" w:color="auto"/>
            <w:right w:val="none" w:sz="0" w:space="0" w:color="auto"/>
          </w:divBdr>
          <w:divsChild>
            <w:div w:id="116623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664924">
      <w:bodyDiv w:val="1"/>
      <w:marLeft w:val="0"/>
      <w:marRight w:val="0"/>
      <w:marTop w:val="0"/>
      <w:marBottom w:val="0"/>
      <w:divBdr>
        <w:top w:val="none" w:sz="0" w:space="0" w:color="auto"/>
        <w:left w:val="none" w:sz="0" w:space="0" w:color="auto"/>
        <w:bottom w:val="none" w:sz="0" w:space="0" w:color="auto"/>
        <w:right w:val="none" w:sz="0" w:space="0" w:color="auto"/>
      </w:divBdr>
      <w:divsChild>
        <w:div w:id="858130216">
          <w:marLeft w:val="0"/>
          <w:marRight w:val="0"/>
          <w:marTop w:val="0"/>
          <w:marBottom w:val="0"/>
          <w:divBdr>
            <w:top w:val="none" w:sz="0" w:space="0" w:color="auto"/>
            <w:left w:val="none" w:sz="0" w:space="0" w:color="auto"/>
            <w:bottom w:val="dotted" w:sz="6" w:space="4" w:color="DDDDDD"/>
            <w:right w:val="none" w:sz="0" w:space="0" w:color="auto"/>
          </w:divBdr>
        </w:div>
      </w:divsChild>
    </w:div>
    <w:div w:id="248852362">
      <w:bodyDiv w:val="1"/>
      <w:marLeft w:val="0"/>
      <w:marRight w:val="0"/>
      <w:marTop w:val="0"/>
      <w:marBottom w:val="0"/>
      <w:divBdr>
        <w:top w:val="none" w:sz="0" w:space="0" w:color="auto"/>
        <w:left w:val="none" w:sz="0" w:space="0" w:color="auto"/>
        <w:bottom w:val="none" w:sz="0" w:space="0" w:color="auto"/>
        <w:right w:val="none" w:sz="0" w:space="0" w:color="auto"/>
      </w:divBdr>
      <w:divsChild>
        <w:div w:id="1090273493">
          <w:marLeft w:val="0"/>
          <w:marRight w:val="0"/>
          <w:marTop w:val="0"/>
          <w:marBottom w:val="0"/>
          <w:divBdr>
            <w:top w:val="none" w:sz="0" w:space="0" w:color="auto"/>
            <w:left w:val="none" w:sz="0" w:space="0" w:color="auto"/>
            <w:bottom w:val="none" w:sz="0" w:space="0" w:color="auto"/>
            <w:right w:val="none" w:sz="0" w:space="0" w:color="auto"/>
          </w:divBdr>
          <w:divsChild>
            <w:div w:id="991443203">
              <w:marLeft w:val="0"/>
              <w:marRight w:val="0"/>
              <w:marTop w:val="0"/>
              <w:marBottom w:val="0"/>
              <w:divBdr>
                <w:top w:val="none" w:sz="0" w:space="0" w:color="auto"/>
                <w:left w:val="none" w:sz="0" w:space="0" w:color="auto"/>
                <w:bottom w:val="none" w:sz="0" w:space="0" w:color="auto"/>
                <w:right w:val="none" w:sz="0" w:space="0" w:color="auto"/>
              </w:divBdr>
              <w:divsChild>
                <w:div w:id="144260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76827">
          <w:marLeft w:val="0"/>
          <w:marRight w:val="0"/>
          <w:marTop w:val="0"/>
          <w:marBottom w:val="75"/>
          <w:divBdr>
            <w:top w:val="none" w:sz="0" w:space="0" w:color="auto"/>
            <w:left w:val="none" w:sz="0" w:space="0" w:color="auto"/>
            <w:bottom w:val="none" w:sz="0" w:space="0" w:color="auto"/>
            <w:right w:val="none" w:sz="0" w:space="0" w:color="auto"/>
          </w:divBdr>
        </w:div>
        <w:div w:id="1818645030">
          <w:marLeft w:val="0"/>
          <w:marRight w:val="0"/>
          <w:marTop w:val="0"/>
          <w:marBottom w:val="0"/>
          <w:divBdr>
            <w:top w:val="none" w:sz="0" w:space="0" w:color="auto"/>
            <w:left w:val="none" w:sz="0" w:space="0" w:color="auto"/>
            <w:bottom w:val="none" w:sz="0" w:space="0" w:color="auto"/>
            <w:right w:val="none" w:sz="0" w:space="0" w:color="auto"/>
          </w:divBdr>
        </w:div>
      </w:divsChild>
    </w:div>
    <w:div w:id="248974048">
      <w:bodyDiv w:val="1"/>
      <w:marLeft w:val="0"/>
      <w:marRight w:val="0"/>
      <w:marTop w:val="0"/>
      <w:marBottom w:val="0"/>
      <w:divBdr>
        <w:top w:val="none" w:sz="0" w:space="0" w:color="auto"/>
        <w:left w:val="none" w:sz="0" w:space="0" w:color="auto"/>
        <w:bottom w:val="none" w:sz="0" w:space="0" w:color="auto"/>
        <w:right w:val="none" w:sz="0" w:space="0" w:color="auto"/>
      </w:divBdr>
      <w:divsChild>
        <w:div w:id="1369991609">
          <w:marLeft w:val="0"/>
          <w:marRight w:val="0"/>
          <w:marTop w:val="0"/>
          <w:marBottom w:val="0"/>
          <w:divBdr>
            <w:top w:val="none" w:sz="0" w:space="0" w:color="auto"/>
            <w:left w:val="none" w:sz="0" w:space="0" w:color="auto"/>
            <w:bottom w:val="dotted" w:sz="6" w:space="4" w:color="DDDDDD"/>
            <w:right w:val="none" w:sz="0" w:space="0" w:color="auto"/>
          </w:divBdr>
        </w:div>
      </w:divsChild>
    </w:div>
    <w:div w:id="249390911">
      <w:bodyDiv w:val="1"/>
      <w:marLeft w:val="0"/>
      <w:marRight w:val="0"/>
      <w:marTop w:val="0"/>
      <w:marBottom w:val="0"/>
      <w:divBdr>
        <w:top w:val="none" w:sz="0" w:space="0" w:color="auto"/>
        <w:left w:val="none" w:sz="0" w:space="0" w:color="auto"/>
        <w:bottom w:val="none" w:sz="0" w:space="0" w:color="auto"/>
        <w:right w:val="none" w:sz="0" w:space="0" w:color="auto"/>
      </w:divBdr>
    </w:div>
    <w:div w:id="249393636">
      <w:bodyDiv w:val="1"/>
      <w:marLeft w:val="0"/>
      <w:marRight w:val="0"/>
      <w:marTop w:val="0"/>
      <w:marBottom w:val="0"/>
      <w:divBdr>
        <w:top w:val="none" w:sz="0" w:space="0" w:color="auto"/>
        <w:left w:val="none" w:sz="0" w:space="0" w:color="auto"/>
        <w:bottom w:val="none" w:sz="0" w:space="0" w:color="auto"/>
        <w:right w:val="none" w:sz="0" w:space="0" w:color="auto"/>
      </w:divBdr>
      <w:divsChild>
        <w:div w:id="1080951972">
          <w:marLeft w:val="0"/>
          <w:marRight w:val="0"/>
          <w:marTop w:val="0"/>
          <w:marBottom w:val="0"/>
          <w:divBdr>
            <w:top w:val="none" w:sz="0" w:space="0" w:color="auto"/>
            <w:left w:val="none" w:sz="0" w:space="0" w:color="auto"/>
            <w:bottom w:val="none" w:sz="0" w:space="0" w:color="auto"/>
            <w:right w:val="none" w:sz="0" w:space="0" w:color="auto"/>
          </w:divBdr>
          <w:divsChild>
            <w:div w:id="125780188">
              <w:marLeft w:val="0"/>
              <w:marRight w:val="0"/>
              <w:marTop w:val="0"/>
              <w:marBottom w:val="0"/>
              <w:divBdr>
                <w:top w:val="none" w:sz="0" w:space="0" w:color="auto"/>
                <w:left w:val="none" w:sz="0" w:space="0" w:color="auto"/>
                <w:bottom w:val="none" w:sz="0" w:space="0" w:color="auto"/>
                <w:right w:val="none" w:sz="0" w:space="0" w:color="auto"/>
              </w:divBdr>
              <w:divsChild>
                <w:div w:id="1204714345">
                  <w:marLeft w:val="0"/>
                  <w:marRight w:val="0"/>
                  <w:marTop w:val="0"/>
                  <w:marBottom w:val="0"/>
                  <w:divBdr>
                    <w:top w:val="none" w:sz="0" w:space="0" w:color="auto"/>
                    <w:left w:val="none" w:sz="0" w:space="0" w:color="auto"/>
                    <w:bottom w:val="none" w:sz="0" w:space="0" w:color="auto"/>
                    <w:right w:val="none" w:sz="0" w:space="0" w:color="auto"/>
                  </w:divBdr>
                  <w:divsChild>
                    <w:div w:id="393552907">
                      <w:marLeft w:val="0"/>
                      <w:marRight w:val="0"/>
                      <w:marTop w:val="0"/>
                      <w:marBottom w:val="0"/>
                      <w:divBdr>
                        <w:top w:val="none" w:sz="0" w:space="0" w:color="auto"/>
                        <w:left w:val="none" w:sz="0" w:space="0" w:color="auto"/>
                        <w:bottom w:val="none" w:sz="0" w:space="0" w:color="auto"/>
                        <w:right w:val="none" w:sz="0" w:space="0" w:color="auto"/>
                      </w:divBdr>
                      <w:divsChild>
                        <w:div w:id="1033962153">
                          <w:marLeft w:val="0"/>
                          <w:marRight w:val="0"/>
                          <w:marTop w:val="0"/>
                          <w:marBottom w:val="0"/>
                          <w:divBdr>
                            <w:top w:val="none" w:sz="0" w:space="0" w:color="auto"/>
                            <w:left w:val="none" w:sz="0" w:space="0" w:color="auto"/>
                            <w:bottom w:val="none" w:sz="0" w:space="0" w:color="auto"/>
                            <w:right w:val="none" w:sz="0" w:space="0" w:color="auto"/>
                          </w:divBdr>
                          <w:divsChild>
                            <w:div w:id="776369112">
                              <w:marLeft w:val="0"/>
                              <w:marRight w:val="0"/>
                              <w:marTop w:val="0"/>
                              <w:marBottom w:val="0"/>
                              <w:divBdr>
                                <w:top w:val="none" w:sz="0" w:space="0" w:color="auto"/>
                                <w:left w:val="none" w:sz="0" w:space="0" w:color="auto"/>
                                <w:bottom w:val="none" w:sz="0" w:space="0" w:color="auto"/>
                                <w:right w:val="none" w:sz="0" w:space="0" w:color="auto"/>
                              </w:divBdr>
                              <w:divsChild>
                                <w:div w:id="12268165">
                                  <w:marLeft w:val="0"/>
                                  <w:marRight w:val="0"/>
                                  <w:marTop w:val="0"/>
                                  <w:marBottom w:val="0"/>
                                  <w:divBdr>
                                    <w:top w:val="none" w:sz="0" w:space="0" w:color="auto"/>
                                    <w:left w:val="none" w:sz="0" w:space="0" w:color="auto"/>
                                    <w:bottom w:val="none" w:sz="0" w:space="0" w:color="auto"/>
                                    <w:right w:val="none" w:sz="0" w:space="0" w:color="auto"/>
                                  </w:divBdr>
                                  <w:divsChild>
                                    <w:div w:id="76468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9584744">
      <w:bodyDiv w:val="1"/>
      <w:marLeft w:val="0"/>
      <w:marRight w:val="0"/>
      <w:marTop w:val="0"/>
      <w:marBottom w:val="0"/>
      <w:divBdr>
        <w:top w:val="none" w:sz="0" w:space="0" w:color="auto"/>
        <w:left w:val="none" w:sz="0" w:space="0" w:color="auto"/>
        <w:bottom w:val="none" w:sz="0" w:space="0" w:color="auto"/>
        <w:right w:val="none" w:sz="0" w:space="0" w:color="auto"/>
      </w:divBdr>
      <w:divsChild>
        <w:div w:id="655840803">
          <w:marLeft w:val="0"/>
          <w:marRight w:val="0"/>
          <w:marTop w:val="0"/>
          <w:marBottom w:val="0"/>
          <w:divBdr>
            <w:top w:val="none" w:sz="0" w:space="0" w:color="auto"/>
            <w:left w:val="none" w:sz="0" w:space="0" w:color="auto"/>
            <w:bottom w:val="none" w:sz="0" w:space="0" w:color="auto"/>
            <w:right w:val="none" w:sz="0" w:space="0" w:color="auto"/>
          </w:divBdr>
          <w:divsChild>
            <w:div w:id="1144128153">
              <w:marLeft w:val="0"/>
              <w:marRight w:val="0"/>
              <w:marTop w:val="0"/>
              <w:marBottom w:val="300"/>
              <w:divBdr>
                <w:top w:val="none" w:sz="0" w:space="0" w:color="auto"/>
                <w:left w:val="none" w:sz="0" w:space="0" w:color="auto"/>
                <w:bottom w:val="none" w:sz="0" w:space="0" w:color="auto"/>
                <w:right w:val="none" w:sz="0" w:space="0" w:color="auto"/>
              </w:divBdr>
              <w:divsChild>
                <w:div w:id="482090945">
                  <w:marLeft w:val="0"/>
                  <w:marRight w:val="0"/>
                  <w:marTop w:val="0"/>
                  <w:marBottom w:val="0"/>
                  <w:divBdr>
                    <w:top w:val="none" w:sz="0" w:space="0" w:color="auto"/>
                    <w:left w:val="none" w:sz="0" w:space="0" w:color="auto"/>
                    <w:bottom w:val="none" w:sz="0" w:space="0" w:color="auto"/>
                    <w:right w:val="none" w:sz="0" w:space="0" w:color="auto"/>
                  </w:divBdr>
                  <w:divsChild>
                    <w:div w:id="1316642797">
                      <w:marLeft w:val="0"/>
                      <w:marRight w:val="0"/>
                      <w:marTop w:val="0"/>
                      <w:marBottom w:val="0"/>
                      <w:divBdr>
                        <w:top w:val="none" w:sz="0" w:space="0" w:color="auto"/>
                        <w:left w:val="none" w:sz="0" w:space="0" w:color="auto"/>
                        <w:bottom w:val="none" w:sz="0" w:space="0" w:color="auto"/>
                        <w:right w:val="none" w:sz="0" w:space="0" w:color="auto"/>
                      </w:divBdr>
                      <w:divsChild>
                        <w:div w:id="1079253132">
                          <w:marLeft w:val="0"/>
                          <w:marRight w:val="0"/>
                          <w:marTop w:val="0"/>
                          <w:marBottom w:val="0"/>
                          <w:divBdr>
                            <w:top w:val="none" w:sz="0" w:space="0" w:color="auto"/>
                            <w:left w:val="none" w:sz="0" w:space="0" w:color="auto"/>
                            <w:bottom w:val="none" w:sz="0" w:space="0" w:color="auto"/>
                            <w:right w:val="none" w:sz="0" w:space="0" w:color="auto"/>
                          </w:divBdr>
                          <w:divsChild>
                            <w:div w:id="156094214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385912949">
              <w:marLeft w:val="0"/>
              <w:marRight w:val="0"/>
              <w:marTop w:val="0"/>
              <w:marBottom w:val="300"/>
              <w:divBdr>
                <w:top w:val="single" w:sz="6" w:space="8" w:color="F1F1F1"/>
                <w:left w:val="none" w:sz="0" w:space="0" w:color="auto"/>
                <w:bottom w:val="none" w:sz="0" w:space="0" w:color="auto"/>
                <w:right w:val="none" w:sz="0" w:space="0" w:color="auto"/>
              </w:divBdr>
            </w:div>
            <w:div w:id="2069185376">
              <w:marLeft w:val="0"/>
              <w:marRight w:val="0"/>
              <w:marTop w:val="0"/>
              <w:marBottom w:val="0"/>
              <w:divBdr>
                <w:top w:val="none" w:sz="0" w:space="0" w:color="auto"/>
                <w:left w:val="none" w:sz="0" w:space="0" w:color="auto"/>
                <w:bottom w:val="none" w:sz="0" w:space="0" w:color="auto"/>
                <w:right w:val="none" w:sz="0" w:space="0" w:color="auto"/>
              </w:divBdr>
              <w:divsChild>
                <w:div w:id="1005278277">
                  <w:marLeft w:val="0"/>
                  <w:marRight w:val="0"/>
                  <w:marTop w:val="0"/>
                  <w:marBottom w:val="0"/>
                  <w:divBdr>
                    <w:top w:val="none" w:sz="0" w:space="0" w:color="auto"/>
                    <w:left w:val="none" w:sz="0" w:space="0" w:color="auto"/>
                    <w:bottom w:val="none" w:sz="0" w:space="0" w:color="auto"/>
                    <w:right w:val="none" w:sz="0" w:space="0" w:color="auto"/>
                  </w:divBdr>
                  <w:divsChild>
                    <w:div w:id="366368160">
                      <w:marLeft w:val="0"/>
                      <w:marRight w:val="0"/>
                      <w:marTop w:val="0"/>
                      <w:marBottom w:val="75"/>
                      <w:divBdr>
                        <w:top w:val="none" w:sz="0" w:space="0" w:color="auto"/>
                        <w:left w:val="none" w:sz="0" w:space="0" w:color="auto"/>
                        <w:bottom w:val="none" w:sz="0" w:space="0" w:color="auto"/>
                        <w:right w:val="none" w:sz="0" w:space="0" w:color="auto"/>
                      </w:divBdr>
                    </w:div>
                    <w:div w:id="970786089">
                      <w:marLeft w:val="0"/>
                      <w:marRight w:val="0"/>
                      <w:marTop w:val="0"/>
                      <w:marBottom w:val="0"/>
                      <w:divBdr>
                        <w:top w:val="none" w:sz="0" w:space="0" w:color="auto"/>
                        <w:left w:val="none" w:sz="0" w:space="0" w:color="auto"/>
                        <w:bottom w:val="none" w:sz="0" w:space="0" w:color="auto"/>
                        <w:right w:val="none" w:sz="0" w:space="0" w:color="auto"/>
                      </w:divBdr>
                    </w:div>
                    <w:div w:id="1346832498">
                      <w:marLeft w:val="0"/>
                      <w:marRight w:val="0"/>
                      <w:marTop w:val="0"/>
                      <w:marBottom w:val="0"/>
                      <w:divBdr>
                        <w:top w:val="none" w:sz="0" w:space="0" w:color="auto"/>
                        <w:left w:val="none" w:sz="0" w:space="0" w:color="auto"/>
                        <w:bottom w:val="none" w:sz="0" w:space="0" w:color="auto"/>
                        <w:right w:val="none" w:sz="0" w:space="0" w:color="auto"/>
                      </w:divBdr>
                      <w:divsChild>
                        <w:div w:id="113600488">
                          <w:marLeft w:val="0"/>
                          <w:marRight w:val="0"/>
                          <w:marTop w:val="0"/>
                          <w:marBottom w:val="0"/>
                          <w:divBdr>
                            <w:top w:val="none" w:sz="0" w:space="0" w:color="auto"/>
                            <w:left w:val="none" w:sz="0" w:space="0" w:color="auto"/>
                            <w:bottom w:val="none" w:sz="0" w:space="0" w:color="auto"/>
                            <w:right w:val="none" w:sz="0" w:space="0" w:color="auto"/>
                          </w:divBdr>
                          <w:divsChild>
                            <w:div w:id="16216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7273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066804167">
          <w:marLeft w:val="0"/>
          <w:marRight w:val="0"/>
          <w:marTop w:val="0"/>
          <w:marBottom w:val="0"/>
          <w:divBdr>
            <w:top w:val="none" w:sz="0" w:space="0" w:color="auto"/>
            <w:left w:val="none" w:sz="0" w:space="0" w:color="auto"/>
            <w:bottom w:val="none" w:sz="0" w:space="0" w:color="auto"/>
            <w:right w:val="none" w:sz="0" w:space="0" w:color="auto"/>
          </w:divBdr>
          <w:divsChild>
            <w:div w:id="446238245">
              <w:marLeft w:val="0"/>
              <w:marRight w:val="0"/>
              <w:marTop w:val="0"/>
              <w:marBottom w:val="300"/>
              <w:divBdr>
                <w:top w:val="none" w:sz="0" w:space="0" w:color="auto"/>
                <w:left w:val="none" w:sz="0" w:space="0" w:color="auto"/>
                <w:bottom w:val="single" w:sz="6" w:space="0" w:color="F1F1F1"/>
                <w:right w:val="none" w:sz="0" w:space="0" w:color="auto"/>
              </w:divBdr>
              <w:divsChild>
                <w:div w:id="6384185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50431150">
      <w:bodyDiv w:val="1"/>
      <w:marLeft w:val="0"/>
      <w:marRight w:val="0"/>
      <w:marTop w:val="0"/>
      <w:marBottom w:val="0"/>
      <w:divBdr>
        <w:top w:val="none" w:sz="0" w:space="0" w:color="auto"/>
        <w:left w:val="none" w:sz="0" w:space="0" w:color="auto"/>
        <w:bottom w:val="none" w:sz="0" w:space="0" w:color="auto"/>
        <w:right w:val="none" w:sz="0" w:space="0" w:color="auto"/>
      </w:divBdr>
      <w:divsChild>
        <w:div w:id="1522233405">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428039281">
              <w:marLeft w:val="0"/>
              <w:marRight w:val="0"/>
              <w:marTop w:val="300"/>
              <w:marBottom w:val="300"/>
              <w:divBdr>
                <w:top w:val="none" w:sz="0" w:space="0" w:color="auto"/>
                <w:left w:val="none" w:sz="0" w:space="0" w:color="auto"/>
                <w:bottom w:val="none" w:sz="0" w:space="0" w:color="auto"/>
                <w:right w:val="none" w:sz="0" w:space="0" w:color="auto"/>
              </w:divBdr>
              <w:divsChild>
                <w:div w:id="421489280">
                  <w:marLeft w:val="0"/>
                  <w:marRight w:val="0"/>
                  <w:marTop w:val="0"/>
                  <w:marBottom w:val="0"/>
                  <w:divBdr>
                    <w:top w:val="none" w:sz="0" w:space="0" w:color="auto"/>
                    <w:left w:val="none" w:sz="0" w:space="0" w:color="auto"/>
                    <w:bottom w:val="none" w:sz="0" w:space="0" w:color="auto"/>
                    <w:right w:val="none" w:sz="0" w:space="0" w:color="auto"/>
                  </w:divBdr>
                  <w:divsChild>
                    <w:div w:id="1298142253">
                      <w:marLeft w:val="0"/>
                      <w:marRight w:val="0"/>
                      <w:marTop w:val="0"/>
                      <w:marBottom w:val="0"/>
                      <w:divBdr>
                        <w:top w:val="none" w:sz="0" w:space="0" w:color="auto"/>
                        <w:left w:val="none" w:sz="0" w:space="0" w:color="auto"/>
                        <w:bottom w:val="none" w:sz="0" w:space="0" w:color="auto"/>
                        <w:right w:val="none" w:sz="0" w:space="0" w:color="auto"/>
                      </w:divBdr>
                      <w:divsChild>
                        <w:div w:id="28832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0505718">
      <w:bodyDiv w:val="1"/>
      <w:marLeft w:val="0"/>
      <w:marRight w:val="0"/>
      <w:marTop w:val="0"/>
      <w:marBottom w:val="0"/>
      <w:divBdr>
        <w:top w:val="none" w:sz="0" w:space="0" w:color="auto"/>
        <w:left w:val="none" w:sz="0" w:space="0" w:color="auto"/>
        <w:bottom w:val="none" w:sz="0" w:space="0" w:color="auto"/>
        <w:right w:val="none" w:sz="0" w:space="0" w:color="auto"/>
      </w:divBdr>
      <w:divsChild>
        <w:div w:id="1038823297">
          <w:marLeft w:val="0"/>
          <w:marRight w:val="0"/>
          <w:marTop w:val="0"/>
          <w:marBottom w:val="0"/>
          <w:divBdr>
            <w:top w:val="none" w:sz="0" w:space="0" w:color="auto"/>
            <w:left w:val="none" w:sz="0" w:space="0" w:color="auto"/>
            <w:bottom w:val="none" w:sz="0" w:space="0" w:color="auto"/>
            <w:right w:val="none" w:sz="0" w:space="0" w:color="auto"/>
          </w:divBdr>
          <w:divsChild>
            <w:div w:id="245194764">
              <w:marLeft w:val="0"/>
              <w:marRight w:val="0"/>
              <w:marTop w:val="0"/>
              <w:marBottom w:val="0"/>
              <w:divBdr>
                <w:top w:val="none" w:sz="0" w:space="0" w:color="auto"/>
                <w:left w:val="none" w:sz="0" w:space="0" w:color="auto"/>
                <w:bottom w:val="none" w:sz="0" w:space="0" w:color="auto"/>
                <w:right w:val="none" w:sz="0" w:space="0" w:color="auto"/>
              </w:divBdr>
              <w:divsChild>
                <w:div w:id="1701855934">
                  <w:marLeft w:val="0"/>
                  <w:marRight w:val="0"/>
                  <w:marTop w:val="0"/>
                  <w:marBottom w:val="0"/>
                  <w:divBdr>
                    <w:top w:val="none" w:sz="0" w:space="0" w:color="auto"/>
                    <w:left w:val="none" w:sz="0" w:space="0" w:color="auto"/>
                    <w:bottom w:val="none" w:sz="0" w:space="0" w:color="auto"/>
                    <w:right w:val="none" w:sz="0" w:space="0" w:color="auto"/>
                  </w:divBdr>
                  <w:divsChild>
                    <w:div w:id="831484141">
                      <w:marLeft w:val="0"/>
                      <w:marRight w:val="0"/>
                      <w:marTop w:val="0"/>
                      <w:marBottom w:val="0"/>
                      <w:divBdr>
                        <w:top w:val="none" w:sz="0" w:space="0" w:color="auto"/>
                        <w:left w:val="none" w:sz="0" w:space="0" w:color="auto"/>
                        <w:bottom w:val="none" w:sz="0" w:space="0" w:color="auto"/>
                        <w:right w:val="none" w:sz="0" w:space="0" w:color="auto"/>
                      </w:divBdr>
                      <w:divsChild>
                        <w:div w:id="345130887">
                          <w:marLeft w:val="0"/>
                          <w:marRight w:val="0"/>
                          <w:marTop w:val="0"/>
                          <w:marBottom w:val="0"/>
                          <w:divBdr>
                            <w:top w:val="none" w:sz="0" w:space="0" w:color="auto"/>
                            <w:left w:val="none" w:sz="0" w:space="0" w:color="auto"/>
                            <w:bottom w:val="none" w:sz="0" w:space="0" w:color="auto"/>
                            <w:right w:val="none" w:sz="0" w:space="0" w:color="auto"/>
                          </w:divBdr>
                          <w:divsChild>
                            <w:div w:id="1256088063">
                              <w:marLeft w:val="0"/>
                              <w:marRight w:val="0"/>
                              <w:marTop w:val="0"/>
                              <w:marBottom w:val="0"/>
                              <w:divBdr>
                                <w:top w:val="none" w:sz="0" w:space="0" w:color="auto"/>
                                <w:left w:val="none" w:sz="0" w:space="0" w:color="auto"/>
                                <w:bottom w:val="none" w:sz="0" w:space="0" w:color="auto"/>
                                <w:right w:val="none" w:sz="0" w:space="0" w:color="auto"/>
                              </w:divBdr>
                              <w:divsChild>
                                <w:div w:id="70467757">
                                  <w:marLeft w:val="0"/>
                                  <w:marRight w:val="0"/>
                                  <w:marTop w:val="0"/>
                                  <w:marBottom w:val="88"/>
                                  <w:divBdr>
                                    <w:top w:val="none" w:sz="0" w:space="0" w:color="auto"/>
                                    <w:left w:val="none" w:sz="0" w:space="0" w:color="auto"/>
                                    <w:bottom w:val="none" w:sz="0" w:space="0" w:color="auto"/>
                                    <w:right w:val="none" w:sz="0" w:space="0" w:color="auto"/>
                                  </w:divBdr>
                                  <w:divsChild>
                                    <w:div w:id="325982640">
                                      <w:marLeft w:val="0"/>
                                      <w:marRight w:val="0"/>
                                      <w:marTop w:val="0"/>
                                      <w:marBottom w:val="0"/>
                                      <w:divBdr>
                                        <w:top w:val="none" w:sz="0" w:space="0" w:color="auto"/>
                                        <w:left w:val="none" w:sz="0" w:space="0" w:color="auto"/>
                                        <w:bottom w:val="none" w:sz="0" w:space="0" w:color="auto"/>
                                        <w:right w:val="none" w:sz="0" w:space="0" w:color="auto"/>
                                      </w:divBdr>
                                      <w:divsChild>
                                        <w:div w:id="153885638">
                                          <w:marLeft w:val="0"/>
                                          <w:marRight w:val="0"/>
                                          <w:marTop w:val="0"/>
                                          <w:marBottom w:val="0"/>
                                          <w:divBdr>
                                            <w:top w:val="none" w:sz="0" w:space="0" w:color="auto"/>
                                            <w:left w:val="none" w:sz="0" w:space="0" w:color="auto"/>
                                            <w:bottom w:val="none" w:sz="0" w:space="0" w:color="auto"/>
                                            <w:right w:val="none" w:sz="0" w:space="0" w:color="auto"/>
                                          </w:divBdr>
                                          <w:divsChild>
                                            <w:div w:id="224411269">
                                              <w:marLeft w:val="0"/>
                                              <w:marRight w:val="0"/>
                                              <w:marTop w:val="0"/>
                                              <w:marBottom w:val="0"/>
                                              <w:divBdr>
                                                <w:top w:val="none" w:sz="0" w:space="0" w:color="auto"/>
                                                <w:left w:val="none" w:sz="0" w:space="0" w:color="auto"/>
                                                <w:bottom w:val="none" w:sz="0" w:space="0" w:color="auto"/>
                                                <w:right w:val="none" w:sz="0" w:space="0" w:color="auto"/>
                                              </w:divBdr>
                                              <w:divsChild>
                                                <w:div w:id="1694573197">
                                                  <w:marLeft w:val="0"/>
                                                  <w:marRight w:val="0"/>
                                                  <w:marTop w:val="0"/>
                                                  <w:marBottom w:val="0"/>
                                                  <w:divBdr>
                                                    <w:top w:val="none" w:sz="0" w:space="0" w:color="auto"/>
                                                    <w:left w:val="none" w:sz="0" w:space="0" w:color="auto"/>
                                                    <w:bottom w:val="none" w:sz="0" w:space="0" w:color="auto"/>
                                                    <w:right w:val="none" w:sz="0" w:space="0" w:color="auto"/>
                                                  </w:divBdr>
                                                  <w:divsChild>
                                                    <w:div w:id="111285462">
                                                      <w:marLeft w:val="0"/>
                                                      <w:marRight w:val="0"/>
                                                      <w:marTop w:val="0"/>
                                                      <w:marBottom w:val="176"/>
                                                      <w:divBdr>
                                                        <w:top w:val="none" w:sz="0" w:space="0" w:color="auto"/>
                                                        <w:left w:val="none" w:sz="0" w:space="0" w:color="auto"/>
                                                        <w:bottom w:val="none" w:sz="0" w:space="0" w:color="auto"/>
                                                        <w:right w:val="none" w:sz="0" w:space="0" w:color="auto"/>
                                                      </w:divBdr>
                                                    </w:div>
                                                    <w:div w:id="137066579">
                                                      <w:marLeft w:val="0"/>
                                                      <w:marRight w:val="0"/>
                                                      <w:marTop w:val="0"/>
                                                      <w:marBottom w:val="176"/>
                                                      <w:divBdr>
                                                        <w:top w:val="none" w:sz="0" w:space="0" w:color="auto"/>
                                                        <w:left w:val="none" w:sz="0" w:space="0" w:color="auto"/>
                                                        <w:bottom w:val="none" w:sz="0" w:space="0" w:color="auto"/>
                                                        <w:right w:val="none" w:sz="0" w:space="0" w:color="auto"/>
                                                      </w:divBdr>
                                                    </w:div>
                                                    <w:div w:id="272788124">
                                                      <w:marLeft w:val="0"/>
                                                      <w:marRight w:val="0"/>
                                                      <w:marTop w:val="0"/>
                                                      <w:marBottom w:val="176"/>
                                                      <w:divBdr>
                                                        <w:top w:val="none" w:sz="0" w:space="0" w:color="auto"/>
                                                        <w:left w:val="none" w:sz="0" w:space="0" w:color="auto"/>
                                                        <w:bottom w:val="none" w:sz="0" w:space="0" w:color="auto"/>
                                                        <w:right w:val="none" w:sz="0" w:space="0" w:color="auto"/>
                                                      </w:divBdr>
                                                    </w:div>
                                                    <w:div w:id="520360423">
                                                      <w:marLeft w:val="0"/>
                                                      <w:marRight w:val="0"/>
                                                      <w:marTop w:val="0"/>
                                                      <w:marBottom w:val="176"/>
                                                      <w:divBdr>
                                                        <w:top w:val="none" w:sz="0" w:space="0" w:color="auto"/>
                                                        <w:left w:val="none" w:sz="0" w:space="0" w:color="auto"/>
                                                        <w:bottom w:val="none" w:sz="0" w:space="0" w:color="auto"/>
                                                        <w:right w:val="none" w:sz="0" w:space="0" w:color="auto"/>
                                                      </w:divBdr>
                                                    </w:div>
                                                    <w:div w:id="534343969">
                                                      <w:marLeft w:val="0"/>
                                                      <w:marRight w:val="0"/>
                                                      <w:marTop w:val="0"/>
                                                      <w:marBottom w:val="176"/>
                                                      <w:divBdr>
                                                        <w:top w:val="none" w:sz="0" w:space="0" w:color="auto"/>
                                                        <w:left w:val="none" w:sz="0" w:space="0" w:color="auto"/>
                                                        <w:bottom w:val="none" w:sz="0" w:space="0" w:color="auto"/>
                                                        <w:right w:val="none" w:sz="0" w:space="0" w:color="auto"/>
                                                      </w:divBdr>
                                                    </w:div>
                                                    <w:div w:id="711812030">
                                                      <w:marLeft w:val="0"/>
                                                      <w:marRight w:val="0"/>
                                                      <w:marTop w:val="0"/>
                                                      <w:marBottom w:val="176"/>
                                                      <w:divBdr>
                                                        <w:top w:val="none" w:sz="0" w:space="0" w:color="auto"/>
                                                        <w:left w:val="none" w:sz="0" w:space="0" w:color="auto"/>
                                                        <w:bottom w:val="none" w:sz="0" w:space="0" w:color="auto"/>
                                                        <w:right w:val="none" w:sz="0" w:space="0" w:color="auto"/>
                                                      </w:divBdr>
                                                    </w:div>
                                                    <w:div w:id="875777536">
                                                      <w:marLeft w:val="0"/>
                                                      <w:marRight w:val="0"/>
                                                      <w:marTop w:val="0"/>
                                                      <w:marBottom w:val="176"/>
                                                      <w:divBdr>
                                                        <w:top w:val="none" w:sz="0" w:space="0" w:color="auto"/>
                                                        <w:left w:val="none" w:sz="0" w:space="0" w:color="auto"/>
                                                        <w:bottom w:val="none" w:sz="0" w:space="0" w:color="auto"/>
                                                        <w:right w:val="none" w:sz="0" w:space="0" w:color="auto"/>
                                                      </w:divBdr>
                                                    </w:div>
                                                    <w:div w:id="1031539927">
                                                      <w:marLeft w:val="0"/>
                                                      <w:marRight w:val="0"/>
                                                      <w:marTop w:val="0"/>
                                                      <w:marBottom w:val="176"/>
                                                      <w:divBdr>
                                                        <w:top w:val="none" w:sz="0" w:space="0" w:color="auto"/>
                                                        <w:left w:val="none" w:sz="0" w:space="0" w:color="auto"/>
                                                        <w:bottom w:val="none" w:sz="0" w:space="0" w:color="auto"/>
                                                        <w:right w:val="none" w:sz="0" w:space="0" w:color="auto"/>
                                                      </w:divBdr>
                                                    </w:div>
                                                    <w:div w:id="1080760420">
                                                      <w:marLeft w:val="0"/>
                                                      <w:marRight w:val="0"/>
                                                      <w:marTop w:val="0"/>
                                                      <w:marBottom w:val="176"/>
                                                      <w:divBdr>
                                                        <w:top w:val="none" w:sz="0" w:space="0" w:color="auto"/>
                                                        <w:left w:val="none" w:sz="0" w:space="0" w:color="auto"/>
                                                        <w:bottom w:val="none" w:sz="0" w:space="0" w:color="auto"/>
                                                        <w:right w:val="none" w:sz="0" w:space="0" w:color="auto"/>
                                                      </w:divBdr>
                                                    </w:div>
                                                    <w:div w:id="1108503885">
                                                      <w:marLeft w:val="0"/>
                                                      <w:marRight w:val="0"/>
                                                      <w:marTop w:val="0"/>
                                                      <w:marBottom w:val="176"/>
                                                      <w:divBdr>
                                                        <w:top w:val="none" w:sz="0" w:space="0" w:color="auto"/>
                                                        <w:left w:val="none" w:sz="0" w:space="0" w:color="auto"/>
                                                        <w:bottom w:val="none" w:sz="0" w:space="0" w:color="auto"/>
                                                        <w:right w:val="none" w:sz="0" w:space="0" w:color="auto"/>
                                                      </w:divBdr>
                                                    </w:div>
                                                    <w:div w:id="1230768699">
                                                      <w:marLeft w:val="0"/>
                                                      <w:marRight w:val="0"/>
                                                      <w:marTop w:val="0"/>
                                                      <w:marBottom w:val="176"/>
                                                      <w:divBdr>
                                                        <w:top w:val="none" w:sz="0" w:space="0" w:color="auto"/>
                                                        <w:left w:val="none" w:sz="0" w:space="0" w:color="auto"/>
                                                        <w:bottom w:val="none" w:sz="0" w:space="0" w:color="auto"/>
                                                        <w:right w:val="none" w:sz="0" w:space="0" w:color="auto"/>
                                                      </w:divBdr>
                                                    </w:div>
                                                    <w:div w:id="1454520402">
                                                      <w:marLeft w:val="0"/>
                                                      <w:marRight w:val="0"/>
                                                      <w:marTop w:val="0"/>
                                                      <w:marBottom w:val="176"/>
                                                      <w:divBdr>
                                                        <w:top w:val="none" w:sz="0" w:space="0" w:color="auto"/>
                                                        <w:left w:val="none" w:sz="0" w:space="0" w:color="auto"/>
                                                        <w:bottom w:val="none" w:sz="0" w:space="0" w:color="auto"/>
                                                        <w:right w:val="none" w:sz="0" w:space="0" w:color="auto"/>
                                                      </w:divBdr>
                                                    </w:div>
                                                    <w:div w:id="1539587227">
                                                      <w:marLeft w:val="0"/>
                                                      <w:marRight w:val="0"/>
                                                      <w:marTop w:val="0"/>
                                                      <w:marBottom w:val="176"/>
                                                      <w:divBdr>
                                                        <w:top w:val="none" w:sz="0" w:space="0" w:color="auto"/>
                                                        <w:left w:val="none" w:sz="0" w:space="0" w:color="auto"/>
                                                        <w:bottom w:val="none" w:sz="0" w:space="0" w:color="auto"/>
                                                        <w:right w:val="none" w:sz="0" w:space="0" w:color="auto"/>
                                                      </w:divBdr>
                                                      <w:divsChild>
                                                        <w:div w:id="2133473279">
                                                          <w:marLeft w:val="0"/>
                                                          <w:marRight w:val="0"/>
                                                          <w:marTop w:val="0"/>
                                                          <w:marBottom w:val="176"/>
                                                          <w:divBdr>
                                                            <w:top w:val="none" w:sz="0" w:space="0" w:color="auto"/>
                                                            <w:left w:val="none" w:sz="0" w:space="0" w:color="auto"/>
                                                            <w:bottom w:val="none" w:sz="0" w:space="0" w:color="auto"/>
                                                            <w:right w:val="none" w:sz="0" w:space="0" w:color="auto"/>
                                                          </w:divBdr>
                                                        </w:div>
                                                      </w:divsChild>
                                                    </w:div>
                                                    <w:div w:id="1560821898">
                                                      <w:marLeft w:val="0"/>
                                                      <w:marRight w:val="0"/>
                                                      <w:marTop w:val="0"/>
                                                      <w:marBottom w:val="176"/>
                                                      <w:divBdr>
                                                        <w:top w:val="none" w:sz="0" w:space="0" w:color="auto"/>
                                                        <w:left w:val="none" w:sz="0" w:space="0" w:color="auto"/>
                                                        <w:bottom w:val="none" w:sz="0" w:space="0" w:color="auto"/>
                                                        <w:right w:val="none" w:sz="0" w:space="0" w:color="auto"/>
                                                      </w:divBdr>
                                                    </w:div>
                                                    <w:div w:id="1633294308">
                                                      <w:marLeft w:val="0"/>
                                                      <w:marRight w:val="0"/>
                                                      <w:marTop w:val="0"/>
                                                      <w:marBottom w:val="176"/>
                                                      <w:divBdr>
                                                        <w:top w:val="none" w:sz="0" w:space="0" w:color="auto"/>
                                                        <w:left w:val="none" w:sz="0" w:space="0" w:color="auto"/>
                                                        <w:bottom w:val="none" w:sz="0" w:space="0" w:color="auto"/>
                                                        <w:right w:val="none" w:sz="0" w:space="0" w:color="auto"/>
                                                      </w:divBdr>
                                                    </w:div>
                                                    <w:div w:id="1707751979">
                                                      <w:marLeft w:val="0"/>
                                                      <w:marRight w:val="0"/>
                                                      <w:marTop w:val="0"/>
                                                      <w:marBottom w:val="176"/>
                                                      <w:divBdr>
                                                        <w:top w:val="none" w:sz="0" w:space="0" w:color="auto"/>
                                                        <w:left w:val="none" w:sz="0" w:space="0" w:color="auto"/>
                                                        <w:bottom w:val="none" w:sz="0" w:space="0" w:color="auto"/>
                                                        <w:right w:val="none" w:sz="0" w:space="0" w:color="auto"/>
                                                      </w:divBdr>
                                                    </w:div>
                                                    <w:div w:id="1901400020">
                                                      <w:marLeft w:val="0"/>
                                                      <w:marRight w:val="0"/>
                                                      <w:marTop w:val="0"/>
                                                      <w:marBottom w:val="176"/>
                                                      <w:divBdr>
                                                        <w:top w:val="none" w:sz="0" w:space="0" w:color="auto"/>
                                                        <w:left w:val="none" w:sz="0" w:space="0" w:color="auto"/>
                                                        <w:bottom w:val="none" w:sz="0" w:space="0" w:color="auto"/>
                                                        <w:right w:val="none" w:sz="0" w:space="0" w:color="auto"/>
                                                      </w:divBdr>
                                                    </w:div>
                                                    <w:div w:id="2006471751">
                                                      <w:marLeft w:val="0"/>
                                                      <w:marRight w:val="0"/>
                                                      <w:marTop w:val="0"/>
                                                      <w:marBottom w:val="176"/>
                                                      <w:divBdr>
                                                        <w:top w:val="none" w:sz="0" w:space="0" w:color="auto"/>
                                                        <w:left w:val="none" w:sz="0" w:space="0" w:color="auto"/>
                                                        <w:bottom w:val="none" w:sz="0" w:space="0" w:color="auto"/>
                                                        <w:right w:val="none" w:sz="0" w:space="0" w:color="auto"/>
                                                      </w:divBdr>
                                                    </w:div>
                                                    <w:div w:id="2025475944">
                                                      <w:marLeft w:val="0"/>
                                                      <w:marRight w:val="0"/>
                                                      <w:marTop w:val="0"/>
                                                      <w:marBottom w:val="176"/>
                                                      <w:divBdr>
                                                        <w:top w:val="none" w:sz="0" w:space="0" w:color="auto"/>
                                                        <w:left w:val="none" w:sz="0" w:space="0" w:color="auto"/>
                                                        <w:bottom w:val="none" w:sz="0" w:space="0" w:color="auto"/>
                                                        <w:right w:val="none" w:sz="0" w:space="0" w:color="auto"/>
                                                      </w:divBdr>
                                                    </w:div>
                                                    <w:div w:id="2034266500">
                                                      <w:marLeft w:val="0"/>
                                                      <w:marRight w:val="0"/>
                                                      <w:marTop w:val="0"/>
                                                      <w:marBottom w:val="17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0743016">
      <w:bodyDiv w:val="1"/>
      <w:marLeft w:val="0"/>
      <w:marRight w:val="0"/>
      <w:marTop w:val="0"/>
      <w:marBottom w:val="0"/>
      <w:divBdr>
        <w:top w:val="none" w:sz="0" w:space="0" w:color="auto"/>
        <w:left w:val="none" w:sz="0" w:space="0" w:color="auto"/>
        <w:bottom w:val="none" w:sz="0" w:space="0" w:color="auto"/>
        <w:right w:val="none" w:sz="0" w:space="0" w:color="auto"/>
      </w:divBdr>
      <w:divsChild>
        <w:div w:id="1040084279">
          <w:marLeft w:val="0"/>
          <w:marRight w:val="0"/>
          <w:marTop w:val="0"/>
          <w:marBottom w:val="150"/>
          <w:divBdr>
            <w:top w:val="none" w:sz="0" w:space="0" w:color="auto"/>
            <w:left w:val="none" w:sz="0" w:space="0" w:color="auto"/>
            <w:bottom w:val="none" w:sz="0" w:space="0" w:color="auto"/>
            <w:right w:val="none" w:sz="0" w:space="0" w:color="auto"/>
          </w:divBdr>
        </w:div>
        <w:div w:id="1775782492">
          <w:marLeft w:val="0"/>
          <w:marRight w:val="0"/>
          <w:marTop w:val="0"/>
          <w:marBottom w:val="150"/>
          <w:divBdr>
            <w:top w:val="none" w:sz="0" w:space="0" w:color="auto"/>
            <w:left w:val="none" w:sz="0" w:space="0" w:color="auto"/>
            <w:bottom w:val="none" w:sz="0" w:space="0" w:color="auto"/>
            <w:right w:val="none" w:sz="0" w:space="0" w:color="auto"/>
          </w:divBdr>
          <w:divsChild>
            <w:div w:id="749696778">
              <w:marLeft w:val="0"/>
              <w:marRight w:val="0"/>
              <w:marTop w:val="0"/>
              <w:marBottom w:val="0"/>
              <w:divBdr>
                <w:top w:val="none" w:sz="0" w:space="0" w:color="auto"/>
                <w:left w:val="none" w:sz="0" w:space="0" w:color="auto"/>
                <w:bottom w:val="none" w:sz="0" w:space="0" w:color="auto"/>
                <w:right w:val="none" w:sz="0" w:space="0" w:color="auto"/>
              </w:divBdr>
              <w:divsChild>
                <w:div w:id="4583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398880">
      <w:bodyDiv w:val="1"/>
      <w:marLeft w:val="0"/>
      <w:marRight w:val="0"/>
      <w:marTop w:val="0"/>
      <w:marBottom w:val="0"/>
      <w:divBdr>
        <w:top w:val="none" w:sz="0" w:space="0" w:color="auto"/>
        <w:left w:val="none" w:sz="0" w:space="0" w:color="auto"/>
        <w:bottom w:val="none" w:sz="0" w:space="0" w:color="auto"/>
        <w:right w:val="none" w:sz="0" w:space="0" w:color="auto"/>
      </w:divBdr>
      <w:divsChild>
        <w:div w:id="493104627">
          <w:marLeft w:val="0"/>
          <w:marRight w:val="0"/>
          <w:marTop w:val="0"/>
          <w:marBottom w:val="0"/>
          <w:divBdr>
            <w:top w:val="none" w:sz="0" w:space="0" w:color="auto"/>
            <w:left w:val="none" w:sz="0" w:space="0" w:color="auto"/>
            <w:bottom w:val="none" w:sz="0" w:space="0" w:color="auto"/>
            <w:right w:val="none" w:sz="0" w:space="0" w:color="auto"/>
          </w:divBdr>
        </w:div>
        <w:div w:id="1247349054">
          <w:marLeft w:val="0"/>
          <w:marRight w:val="0"/>
          <w:marTop w:val="0"/>
          <w:marBottom w:val="0"/>
          <w:divBdr>
            <w:top w:val="none" w:sz="0" w:space="0" w:color="auto"/>
            <w:left w:val="none" w:sz="0" w:space="0" w:color="auto"/>
            <w:bottom w:val="none" w:sz="0" w:space="0" w:color="auto"/>
            <w:right w:val="none" w:sz="0" w:space="0" w:color="auto"/>
          </w:divBdr>
        </w:div>
        <w:div w:id="1773433194">
          <w:marLeft w:val="0"/>
          <w:marRight w:val="0"/>
          <w:marTop w:val="0"/>
          <w:marBottom w:val="0"/>
          <w:divBdr>
            <w:top w:val="none" w:sz="0" w:space="0" w:color="auto"/>
            <w:left w:val="none" w:sz="0" w:space="0" w:color="auto"/>
            <w:bottom w:val="none" w:sz="0" w:space="0" w:color="auto"/>
            <w:right w:val="none" w:sz="0" w:space="0" w:color="auto"/>
          </w:divBdr>
        </w:div>
      </w:divsChild>
    </w:div>
    <w:div w:id="251669786">
      <w:bodyDiv w:val="1"/>
      <w:marLeft w:val="0"/>
      <w:marRight w:val="0"/>
      <w:marTop w:val="0"/>
      <w:marBottom w:val="0"/>
      <w:divBdr>
        <w:top w:val="none" w:sz="0" w:space="0" w:color="auto"/>
        <w:left w:val="none" w:sz="0" w:space="0" w:color="auto"/>
        <w:bottom w:val="none" w:sz="0" w:space="0" w:color="auto"/>
        <w:right w:val="none" w:sz="0" w:space="0" w:color="auto"/>
      </w:divBdr>
      <w:divsChild>
        <w:div w:id="1501431832">
          <w:marLeft w:val="0"/>
          <w:marRight w:val="0"/>
          <w:marTop w:val="0"/>
          <w:marBottom w:val="150"/>
          <w:divBdr>
            <w:top w:val="none" w:sz="0" w:space="0" w:color="auto"/>
            <w:left w:val="none" w:sz="0" w:space="0" w:color="auto"/>
            <w:bottom w:val="none" w:sz="0" w:space="0" w:color="auto"/>
            <w:right w:val="none" w:sz="0" w:space="0" w:color="auto"/>
          </w:divBdr>
        </w:div>
        <w:div w:id="1874684010">
          <w:marLeft w:val="0"/>
          <w:marRight w:val="0"/>
          <w:marTop w:val="0"/>
          <w:marBottom w:val="150"/>
          <w:divBdr>
            <w:top w:val="none" w:sz="0" w:space="0" w:color="auto"/>
            <w:left w:val="none" w:sz="0" w:space="0" w:color="auto"/>
            <w:bottom w:val="none" w:sz="0" w:space="0" w:color="auto"/>
            <w:right w:val="none" w:sz="0" w:space="0" w:color="auto"/>
          </w:divBdr>
          <w:divsChild>
            <w:div w:id="188252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012699">
      <w:bodyDiv w:val="1"/>
      <w:marLeft w:val="0"/>
      <w:marRight w:val="0"/>
      <w:marTop w:val="0"/>
      <w:marBottom w:val="0"/>
      <w:divBdr>
        <w:top w:val="none" w:sz="0" w:space="0" w:color="auto"/>
        <w:left w:val="none" w:sz="0" w:space="0" w:color="auto"/>
        <w:bottom w:val="none" w:sz="0" w:space="0" w:color="auto"/>
        <w:right w:val="none" w:sz="0" w:space="0" w:color="auto"/>
      </w:divBdr>
      <w:divsChild>
        <w:div w:id="1044720633">
          <w:marLeft w:val="0"/>
          <w:marRight w:val="0"/>
          <w:marTop w:val="0"/>
          <w:marBottom w:val="0"/>
          <w:divBdr>
            <w:top w:val="none" w:sz="0" w:space="0" w:color="auto"/>
            <w:left w:val="none" w:sz="0" w:space="0" w:color="auto"/>
            <w:bottom w:val="none" w:sz="0" w:space="0" w:color="auto"/>
            <w:right w:val="none" w:sz="0" w:space="0" w:color="auto"/>
          </w:divBdr>
        </w:div>
        <w:div w:id="1078672430">
          <w:marLeft w:val="0"/>
          <w:marRight w:val="0"/>
          <w:marTop w:val="0"/>
          <w:marBottom w:val="75"/>
          <w:divBdr>
            <w:top w:val="none" w:sz="0" w:space="0" w:color="auto"/>
            <w:left w:val="none" w:sz="0" w:space="0" w:color="auto"/>
            <w:bottom w:val="none" w:sz="0" w:space="0" w:color="auto"/>
            <w:right w:val="none" w:sz="0" w:space="0" w:color="auto"/>
          </w:divBdr>
        </w:div>
        <w:div w:id="1970669914">
          <w:marLeft w:val="0"/>
          <w:marRight w:val="0"/>
          <w:marTop w:val="0"/>
          <w:marBottom w:val="0"/>
          <w:divBdr>
            <w:top w:val="none" w:sz="0" w:space="0" w:color="auto"/>
            <w:left w:val="none" w:sz="0" w:space="0" w:color="auto"/>
            <w:bottom w:val="none" w:sz="0" w:space="0" w:color="auto"/>
            <w:right w:val="none" w:sz="0" w:space="0" w:color="auto"/>
          </w:divBdr>
          <w:divsChild>
            <w:div w:id="1995185290">
              <w:marLeft w:val="0"/>
              <w:marRight w:val="0"/>
              <w:marTop w:val="0"/>
              <w:marBottom w:val="0"/>
              <w:divBdr>
                <w:top w:val="none" w:sz="0" w:space="0" w:color="auto"/>
                <w:left w:val="none" w:sz="0" w:space="0" w:color="auto"/>
                <w:bottom w:val="none" w:sz="0" w:space="0" w:color="auto"/>
                <w:right w:val="none" w:sz="0" w:space="0" w:color="auto"/>
              </w:divBdr>
              <w:divsChild>
                <w:div w:id="8842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016267">
      <w:bodyDiv w:val="1"/>
      <w:marLeft w:val="0"/>
      <w:marRight w:val="0"/>
      <w:marTop w:val="0"/>
      <w:marBottom w:val="0"/>
      <w:divBdr>
        <w:top w:val="none" w:sz="0" w:space="0" w:color="auto"/>
        <w:left w:val="none" w:sz="0" w:space="0" w:color="auto"/>
        <w:bottom w:val="none" w:sz="0" w:space="0" w:color="auto"/>
        <w:right w:val="none" w:sz="0" w:space="0" w:color="auto"/>
      </w:divBdr>
      <w:divsChild>
        <w:div w:id="25063102">
          <w:marLeft w:val="0"/>
          <w:marRight w:val="0"/>
          <w:marTop w:val="0"/>
          <w:marBottom w:val="0"/>
          <w:divBdr>
            <w:top w:val="none" w:sz="0" w:space="0" w:color="auto"/>
            <w:left w:val="none" w:sz="0" w:space="0" w:color="auto"/>
            <w:bottom w:val="none" w:sz="0" w:space="0" w:color="auto"/>
            <w:right w:val="none" w:sz="0" w:space="0" w:color="auto"/>
          </w:divBdr>
          <w:divsChild>
            <w:div w:id="1110393057">
              <w:marLeft w:val="0"/>
              <w:marRight w:val="0"/>
              <w:marTop w:val="0"/>
              <w:marBottom w:val="0"/>
              <w:divBdr>
                <w:top w:val="none" w:sz="0" w:space="0" w:color="auto"/>
                <w:left w:val="none" w:sz="0" w:space="0" w:color="auto"/>
                <w:bottom w:val="none" w:sz="0" w:space="0" w:color="auto"/>
                <w:right w:val="none" w:sz="0" w:space="0" w:color="auto"/>
              </w:divBdr>
              <w:divsChild>
                <w:div w:id="2104256721">
                  <w:marLeft w:val="0"/>
                  <w:marRight w:val="0"/>
                  <w:marTop w:val="0"/>
                  <w:marBottom w:val="0"/>
                  <w:divBdr>
                    <w:top w:val="none" w:sz="0" w:space="0" w:color="auto"/>
                    <w:left w:val="none" w:sz="0" w:space="0" w:color="auto"/>
                    <w:bottom w:val="none" w:sz="0" w:space="0" w:color="auto"/>
                    <w:right w:val="none" w:sz="0" w:space="0" w:color="auto"/>
                  </w:divBdr>
                  <w:divsChild>
                    <w:div w:id="1018583900">
                      <w:marLeft w:val="0"/>
                      <w:marRight w:val="0"/>
                      <w:marTop w:val="0"/>
                      <w:marBottom w:val="0"/>
                      <w:divBdr>
                        <w:top w:val="none" w:sz="0" w:space="0" w:color="auto"/>
                        <w:left w:val="none" w:sz="0" w:space="0" w:color="auto"/>
                        <w:bottom w:val="none" w:sz="0" w:space="0" w:color="auto"/>
                        <w:right w:val="none" w:sz="0" w:space="0" w:color="auto"/>
                      </w:divBdr>
                      <w:divsChild>
                        <w:div w:id="1050611311">
                          <w:marLeft w:val="0"/>
                          <w:marRight w:val="0"/>
                          <w:marTop w:val="0"/>
                          <w:marBottom w:val="0"/>
                          <w:divBdr>
                            <w:top w:val="none" w:sz="0" w:space="0" w:color="auto"/>
                            <w:left w:val="none" w:sz="0" w:space="0" w:color="auto"/>
                            <w:bottom w:val="none" w:sz="0" w:space="0" w:color="auto"/>
                            <w:right w:val="none" w:sz="0" w:space="0" w:color="auto"/>
                          </w:divBdr>
                          <w:divsChild>
                            <w:div w:id="1460995908">
                              <w:marLeft w:val="0"/>
                              <w:marRight w:val="0"/>
                              <w:marTop w:val="0"/>
                              <w:marBottom w:val="0"/>
                              <w:divBdr>
                                <w:top w:val="none" w:sz="0" w:space="0" w:color="auto"/>
                                <w:left w:val="none" w:sz="0" w:space="0" w:color="auto"/>
                                <w:bottom w:val="none" w:sz="0" w:space="0" w:color="auto"/>
                                <w:right w:val="none" w:sz="0" w:space="0" w:color="auto"/>
                              </w:divBdr>
                              <w:divsChild>
                                <w:div w:id="1881823083">
                                  <w:marLeft w:val="0"/>
                                  <w:marRight w:val="0"/>
                                  <w:marTop w:val="0"/>
                                  <w:marBottom w:val="0"/>
                                  <w:divBdr>
                                    <w:top w:val="none" w:sz="0" w:space="0" w:color="auto"/>
                                    <w:left w:val="none" w:sz="0" w:space="0" w:color="auto"/>
                                    <w:bottom w:val="none" w:sz="0" w:space="0" w:color="auto"/>
                                    <w:right w:val="none" w:sz="0" w:space="0" w:color="auto"/>
                                  </w:divBdr>
                                  <w:divsChild>
                                    <w:div w:id="12979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2056309">
      <w:bodyDiv w:val="1"/>
      <w:marLeft w:val="0"/>
      <w:marRight w:val="0"/>
      <w:marTop w:val="0"/>
      <w:marBottom w:val="0"/>
      <w:divBdr>
        <w:top w:val="none" w:sz="0" w:space="0" w:color="auto"/>
        <w:left w:val="none" w:sz="0" w:space="0" w:color="auto"/>
        <w:bottom w:val="none" w:sz="0" w:space="0" w:color="auto"/>
        <w:right w:val="none" w:sz="0" w:space="0" w:color="auto"/>
      </w:divBdr>
      <w:divsChild>
        <w:div w:id="346830669">
          <w:marLeft w:val="0"/>
          <w:marRight w:val="0"/>
          <w:marTop w:val="0"/>
          <w:marBottom w:val="0"/>
          <w:divBdr>
            <w:top w:val="none" w:sz="0" w:space="0" w:color="auto"/>
            <w:left w:val="none" w:sz="0" w:space="0" w:color="auto"/>
            <w:bottom w:val="none" w:sz="0" w:space="0" w:color="auto"/>
            <w:right w:val="none" w:sz="0" w:space="0" w:color="auto"/>
          </w:divBdr>
          <w:divsChild>
            <w:div w:id="130440706">
              <w:marLeft w:val="0"/>
              <w:marRight w:val="0"/>
              <w:marTop w:val="0"/>
              <w:marBottom w:val="0"/>
              <w:divBdr>
                <w:top w:val="none" w:sz="0" w:space="0" w:color="auto"/>
                <w:left w:val="none" w:sz="0" w:space="0" w:color="auto"/>
                <w:bottom w:val="none" w:sz="0" w:space="0" w:color="auto"/>
                <w:right w:val="none" w:sz="0" w:space="0" w:color="auto"/>
              </w:divBdr>
              <w:divsChild>
                <w:div w:id="1747418791">
                  <w:marLeft w:val="0"/>
                  <w:marRight w:val="0"/>
                  <w:marTop w:val="0"/>
                  <w:marBottom w:val="0"/>
                  <w:divBdr>
                    <w:top w:val="none" w:sz="0" w:space="0" w:color="auto"/>
                    <w:left w:val="none" w:sz="0" w:space="0" w:color="auto"/>
                    <w:bottom w:val="none" w:sz="0" w:space="0" w:color="auto"/>
                    <w:right w:val="none" w:sz="0" w:space="0" w:color="auto"/>
                  </w:divBdr>
                  <w:divsChild>
                    <w:div w:id="929310575">
                      <w:marLeft w:val="0"/>
                      <w:marRight w:val="0"/>
                      <w:marTop w:val="0"/>
                      <w:marBottom w:val="0"/>
                      <w:divBdr>
                        <w:top w:val="none" w:sz="0" w:space="0" w:color="auto"/>
                        <w:left w:val="none" w:sz="0" w:space="0" w:color="auto"/>
                        <w:bottom w:val="none" w:sz="0" w:space="0" w:color="auto"/>
                        <w:right w:val="none" w:sz="0" w:space="0" w:color="auto"/>
                      </w:divBdr>
                      <w:divsChild>
                        <w:div w:id="1331180262">
                          <w:marLeft w:val="0"/>
                          <w:marRight w:val="0"/>
                          <w:marTop w:val="0"/>
                          <w:marBottom w:val="0"/>
                          <w:divBdr>
                            <w:top w:val="none" w:sz="0" w:space="0" w:color="auto"/>
                            <w:left w:val="none" w:sz="0" w:space="0" w:color="auto"/>
                            <w:bottom w:val="none" w:sz="0" w:space="0" w:color="auto"/>
                            <w:right w:val="none" w:sz="0" w:space="0" w:color="auto"/>
                          </w:divBdr>
                          <w:divsChild>
                            <w:div w:id="1419643923">
                              <w:marLeft w:val="0"/>
                              <w:marRight w:val="0"/>
                              <w:marTop w:val="0"/>
                              <w:marBottom w:val="0"/>
                              <w:divBdr>
                                <w:top w:val="none" w:sz="0" w:space="0" w:color="auto"/>
                                <w:left w:val="none" w:sz="0" w:space="0" w:color="auto"/>
                                <w:bottom w:val="none" w:sz="0" w:space="0" w:color="auto"/>
                                <w:right w:val="none" w:sz="0" w:space="0" w:color="auto"/>
                              </w:divBdr>
                              <w:divsChild>
                                <w:div w:id="909462789">
                                  <w:marLeft w:val="0"/>
                                  <w:marRight w:val="0"/>
                                  <w:marTop w:val="0"/>
                                  <w:marBottom w:val="0"/>
                                  <w:divBdr>
                                    <w:top w:val="none" w:sz="0" w:space="0" w:color="auto"/>
                                    <w:left w:val="none" w:sz="0" w:space="0" w:color="auto"/>
                                    <w:bottom w:val="none" w:sz="0" w:space="0" w:color="auto"/>
                                    <w:right w:val="none" w:sz="0" w:space="0" w:color="auto"/>
                                  </w:divBdr>
                                  <w:divsChild>
                                    <w:div w:id="63494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2251316">
      <w:bodyDiv w:val="1"/>
      <w:marLeft w:val="0"/>
      <w:marRight w:val="0"/>
      <w:marTop w:val="0"/>
      <w:marBottom w:val="0"/>
      <w:divBdr>
        <w:top w:val="none" w:sz="0" w:space="0" w:color="auto"/>
        <w:left w:val="none" w:sz="0" w:space="0" w:color="auto"/>
        <w:bottom w:val="none" w:sz="0" w:space="0" w:color="auto"/>
        <w:right w:val="none" w:sz="0" w:space="0" w:color="auto"/>
      </w:divBdr>
    </w:div>
    <w:div w:id="252473652">
      <w:bodyDiv w:val="1"/>
      <w:marLeft w:val="0"/>
      <w:marRight w:val="0"/>
      <w:marTop w:val="0"/>
      <w:marBottom w:val="0"/>
      <w:divBdr>
        <w:top w:val="none" w:sz="0" w:space="0" w:color="auto"/>
        <w:left w:val="none" w:sz="0" w:space="0" w:color="auto"/>
        <w:bottom w:val="none" w:sz="0" w:space="0" w:color="auto"/>
        <w:right w:val="none" w:sz="0" w:space="0" w:color="auto"/>
      </w:divBdr>
      <w:divsChild>
        <w:div w:id="774862404">
          <w:marLeft w:val="0"/>
          <w:marRight w:val="0"/>
          <w:marTop w:val="0"/>
          <w:marBottom w:val="225"/>
          <w:divBdr>
            <w:top w:val="none" w:sz="0" w:space="0" w:color="auto"/>
            <w:left w:val="none" w:sz="0" w:space="0" w:color="auto"/>
            <w:bottom w:val="none" w:sz="0" w:space="0" w:color="auto"/>
            <w:right w:val="none" w:sz="0" w:space="0" w:color="auto"/>
          </w:divBdr>
        </w:div>
        <w:div w:id="1310204701">
          <w:marLeft w:val="0"/>
          <w:marRight w:val="0"/>
          <w:marTop w:val="0"/>
          <w:marBottom w:val="225"/>
          <w:divBdr>
            <w:top w:val="none" w:sz="0" w:space="0" w:color="auto"/>
            <w:left w:val="none" w:sz="0" w:space="0" w:color="auto"/>
            <w:bottom w:val="none" w:sz="0" w:space="0" w:color="auto"/>
            <w:right w:val="none" w:sz="0" w:space="0" w:color="auto"/>
          </w:divBdr>
          <w:divsChild>
            <w:div w:id="352999068">
              <w:marLeft w:val="0"/>
              <w:marRight w:val="0"/>
              <w:marTop w:val="0"/>
              <w:marBottom w:val="0"/>
              <w:divBdr>
                <w:top w:val="none" w:sz="0" w:space="0" w:color="auto"/>
                <w:left w:val="none" w:sz="0" w:space="0" w:color="auto"/>
                <w:bottom w:val="none" w:sz="0" w:space="0" w:color="auto"/>
                <w:right w:val="none" w:sz="0" w:space="0" w:color="auto"/>
              </w:divBdr>
              <w:divsChild>
                <w:div w:id="85912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16619">
      <w:bodyDiv w:val="1"/>
      <w:marLeft w:val="0"/>
      <w:marRight w:val="0"/>
      <w:marTop w:val="0"/>
      <w:marBottom w:val="0"/>
      <w:divBdr>
        <w:top w:val="none" w:sz="0" w:space="0" w:color="auto"/>
        <w:left w:val="none" w:sz="0" w:space="0" w:color="auto"/>
        <w:bottom w:val="none" w:sz="0" w:space="0" w:color="auto"/>
        <w:right w:val="none" w:sz="0" w:space="0" w:color="auto"/>
      </w:divBdr>
      <w:divsChild>
        <w:div w:id="1567573437">
          <w:marLeft w:val="0"/>
          <w:marRight w:val="0"/>
          <w:marTop w:val="0"/>
          <w:marBottom w:val="0"/>
          <w:divBdr>
            <w:top w:val="none" w:sz="0" w:space="0" w:color="auto"/>
            <w:left w:val="none" w:sz="0" w:space="0" w:color="auto"/>
            <w:bottom w:val="dotted" w:sz="6" w:space="4" w:color="DDDDDD"/>
            <w:right w:val="none" w:sz="0" w:space="0" w:color="auto"/>
          </w:divBdr>
          <w:divsChild>
            <w:div w:id="35457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42150">
      <w:bodyDiv w:val="1"/>
      <w:marLeft w:val="0"/>
      <w:marRight w:val="0"/>
      <w:marTop w:val="0"/>
      <w:marBottom w:val="0"/>
      <w:divBdr>
        <w:top w:val="none" w:sz="0" w:space="0" w:color="auto"/>
        <w:left w:val="none" w:sz="0" w:space="0" w:color="auto"/>
        <w:bottom w:val="none" w:sz="0" w:space="0" w:color="auto"/>
        <w:right w:val="none" w:sz="0" w:space="0" w:color="auto"/>
      </w:divBdr>
      <w:divsChild>
        <w:div w:id="358237925">
          <w:marLeft w:val="0"/>
          <w:marRight w:val="0"/>
          <w:marTop w:val="0"/>
          <w:marBottom w:val="150"/>
          <w:divBdr>
            <w:top w:val="none" w:sz="0" w:space="0" w:color="auto"/>
            <w:left w:val="none" w:sz="0" w:space="0" w:color="auto"/>
            <w:bottom w:val="none" w:sz="0" w:space="0" w:color="auto"/>
            <w:right w:val="none" w:sz="0" w:space="0" w:color="auto"/>
          </w:divBdr>
          <w:divsChild>
            <w:div w:id="1429230201">
              <w:marLeft w:val="0"/>
              <w:marRight w:val="0"/>
              <w:marTop w:val="0"/>
              <w:marBottom w:val="0"/>
              <w:divBdr>
                <w:top w:val="none" w:sz="0" w:space="0" w:color="auto"/>
                <w:left w:val="none" w:sz="0" w:space="0" w:color="auto"/>
                <w:bottom w:val="none" w:sz="0" w:space="0" w:color="auto"/>
                <w:right w:val="none" w:sz="0" w:space="0" w:color="auto"/>
              </w:divBdr>
              <w:divsChild>
                <w:div w:id="134107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844740">
          <w:marLeft w:val="0"/>
          <w:marRight w:val="0"/>
          <w:marTop w:val="0"/>
          <w:marBottom w:val="0"/>
          <w:divBdr>
            <w:top w:val="none" w:sz="0" w:space="0" w:color="auto"/>
            <w:left w:val="none" w:sz="0" w:space="0" w:color="auto"/>
            <w:bottom w:val="none" w:sz="0" w:space="0" w:color="auto"/>
            <w:right w:val="none" w:sz="0" w:space="0" w:color="auto"/>
          </w:divBdr>
          <w:divsChild>
            <w:div w:id="66807826">
              <w:marLeft w:val="0"/>
              <w:marRight w:val="0"/>
              <w:marTop w:val="225"/>
              <w:marBottom w:val="225"/>
              <w:divBdr>
                <w:top w:val="none" w:sz="0" w:space="0" w:color="auto"/>
                <w:left w:val="none" w:sz="0" w:space="0" w:color="auto"/>
                <w:bottom w:val="none" w:sz="0" w:space="0" w:color="auto"/>
                <w:right w:val="none" w:sz="0" w:space="0" w:color="auto"/>
              </w:divBdr>
            </w:div>
          </w:divsChild>
        </w:div>
        <w:div w:id="1753042948">
          <w:marLeft w:val="0"/>
          <w:marRight w:val="0"/>
          <w:marTop w:val="0"/>
          <w:marBottom w:val="150"/>
          <w:divBdr>
            <w:top w:val="none" w:sz="0" w:space="0" w:color="auto"/>
            <w:left w:val="none" w:sz="0" w:space="0" w:color="auto"/>
            <w:bottom w:val="none" w:sz="0" w:space="0" w:color="auto"/>
            <w:right w:val="none" w:sz="0" w:space="0" w:color="auto"/>
          </w:divBdr>
        </w:div>
      </w:divsChild>
    </w:div>
    <w:div w:id="253511777">
      <w:bodyDiv w:val="1"/>
      <w:marLeft w:val="0"/>
      <w:marRight w:val="0"/>
      <w:marTop w:val="0"/>
      <w:marBottom w:val="0"/>
      <w:divBdr>
        <w:top w:val="none" w:sz="0" w:space="0" w:color="auto"/>
        <w:left w:val="none" w:sz="0" w:space="0" w:color="auto"/>
        <w:bottom w:val="none" w:sz="0" w:space="0" w:color="auto"/>
        <w:right w:val="none" w:sz="0" w:space="0" w:color="auto"/>
      </w:divBdr>
      <w:divsChild>
        <w:div w:id="528882980">
          <w:marLeft w:val="0"/>
          <w:marRight w:val="0"/>
          <w:marTop w:val="0"/>
          <w:marBottom w:val="0"/>
          <w:divBdr>
            <w:top w:val="none" w:sz="0" w:space="0" w:color="auto"/>
            <w:left w:val="none" w:sz="0" w:space="0" w:color="auto"/>
            <w:bottom w:val="none" w:sz="0" w:space="0" w:color="auto"/>
            <w:right w:val="none" w:sz="0" w:space="0" w:color="auto"/>
          </w:divBdr>
          <w:divsChild>
            <w:div w:id="393892353">
              <w:marLeft w:val="0"/>
              <w:marRight w:val="0"/>
              <w:marTop w:val="0"/>
              <w:marBottom w:val="0"/>
              <w:divBdr>
                <w:top w:val="none" w:sz="0" w:space="0" w:color="auto"/>
                <w:left w:val="none" w:sz="0" w:space="0" w:color="auto"/>
                <w:bottom w:val="none" w:sz="0" w:space="0" w:color="auto"/>
                <w:right w:val="none" w:sz="0" w:space="0" w:color="auto"/>
              </w:divBdr>
              <w:divsChild>
                <w:div w:id="1501311330">
                  <w:marLeft w:val="0"/>
                  <w:marRight w:val="0"/>
                  <w:marTop w:val="0"/>
                  <w:marBottom w:val="0"/>
                  <w:divBdr>
                    <w:top w:val="none" w:sz="0" w:space="0" w:color="auto"/>
                    <w:left w:val="none" w:sz="0" w:space="0" w:color="auto"/>
                    <w:bottom w:val="none" w:sz="0" w:space="0" w:color="auto"/>
                    <w:right w:val="none" w:sz="0" w:space="0" w:color="auto"/>
                  </w:divBdr>
                  <w:divsChild>
                    <w:div w:id="1106463458">
                      <w:marLeft w:val="0"/>
                      <w:marRight w:val="0"/>
                      <w:marTop w:val="0"/>
                      <w:marBottom w:val="0"/>
                      <w:divBdr>
                        <w:top w:val="none" w:sz="0" w:space="0" w:color="auto"/>
                        <w:left w:val="none" w:sz="0" w:space="0" w:color="auto"/>
                        <w:bottom w:val="none" w:sz="0" w:space="0" w:color="auto"/>
                        <w:right w:val="none" w:sz="0" w:space="0" w:color="auto"/>
                      </w:divBdr>
                      <w:divsChild>
                        <w:div w:id="1091463751">
                          <w:marLeft w:val="0"/>
                          <w:marRight w:val="0"/>
                          <w:marTop w:val="0"/>
                          <w:marBottom w:val="0"/>
                          <w:divBdr>
                            <w:top w:val="none" w:sz="0" w:space="0" w:color="auto"/>
                            <w:left w:val="none" w:sz="0" w:space="0" w:color="auto"/>
                            <w:bottom w:val="none" w:sz="0" w:space="0" w:color="auto"/>
                            <w:right w:val="none" w:sz="0" w:space="0" w:color="auto"/>
                          </w:divBdr>
                          <w:divsChild>
                            <w:div w:id="1507356114">
                              <w:marLeft w:val="0"/>
                              <w:marRight w:val="0"/>
                              <w:marTop w:val="0"/>
                              <w:marBottom w:val="0"/>
                              <w:divBdr>
                                <w:top w:val="none" w:sz="0" w:space="0" w:color="auto"/>
                                <w:left w:val="none" w:sz="0" w:space="0" w:color="auto"/>
                                <w:bottom w:val="none" w:sz="0" w:space="0" w:color="auto"/>
                                <w:right w:val="none" w:sz="0" w:space="0" w:color="auto"/>
                              </w:divBdr>
                              <w:divsChild>
                                <w:div w:id="1599563772">
                                  <w:marLeft w:val="0"/>
                                  <w:marRight w:val="0"/>
                                  <w:marTop w:val="0"/>
                                  <w:marBottom w:val="0"/>
                                  <w:divBdr>
                                    <w:top w:val="none" w:sz="0" w:space="0" w:color="auto"/>
                                    <w:left w:val="none" w:sz="0" w:space="0" w:color="auto"/>
                                    <w:bottom w:val="none" w:sz="0" w:space="0" w:color="auto"/>
                                    <w:right w:val="none" w:sz="0" w:space="0" w:color="auto"/>
                                  </w:divBdr>
                                  <w:divsChild>
                                    <w:div w:id="64123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4746530">
      <w:bodyDiv w:val="1"/>
      <w:marLeft w:val="0"/>
      <w:marRight w:val="0"/>
      <w:marTop w:val="0"/>
      <w:marBottom w:val="0"/>
      <w:divBdr>
        <w:top w:val="none" w:sz="0" w:space="0" w:color="auto"/>
        <w:left w:val="none" w:sz="0" w:space="0" w:color="auto"/>
        <w:bottom w:val="none" w:sz="0" w:space="0" w:color="auto"/>
        <w:right w:val="none" w:sz="0" w:space="0" w:color="auto"/>
      </w:divBdr>
      <w:divsChild>
        <w:div w:id="139928556">
          <w:marLeft w:val="0"/>
          <w:marRight w:val="0"/>
          <w:marTop w:val="0"/>
          <w:marBottom w:val="150"/>
          <w:divBdr>
            <w:top w:val="none" w:sz="0" w:space="0" w:color="auto"/>
            <w:left w:val="none" w:sz="0" w:space="0" w:color="auto"/>
            <w:bottom w:val="none" w:sz="0" w:space="0" w:color="auto"/>
            <w:right w:val="none" w:sz="0" w:space="0" w:color="auto"/>
          </w:divBdr>
        </w:div>
        <w:div w:id="476923546">
          <w:marLeft w:val="0"/>
          <w:marRight w:val="0"/>
          <w:marTop w:val="0"/>
          <w:marBottom w:val="0"/>
          <w:divBdr>
            <w:top w:val="none" w:sz="0" w:space="0" w:color="auto"/>
            <w:left w:val="none" w:sz="0" w:space="0" w:color="auto"/>
            <w:bottom w:val="none" w:sz="0" w:space="0" w:color="auto"/>
            <w:right w:val="none" w:sz="0" w:space="0" w:color="auto"/>
          </w:divBdr>
          <w:divsChild>
            <w:div w:id="1901137785">
              <w:marLeft w:val="0"/>
              <w:marRight w:val="0"/>
              <w:marTop w:val="0"/>
              <w:marBottom w:val="0"/>
              <w:divBdr>
                <w:top w:val="none" w:sz="0" w:space="0" w:color="auto"/>
                <w:left w:val="none" w:sz="0" w:space="0" w:color="auto"/>
                <w:bottom w:val="none" w:sz="0" w:space="0" w:color="auto"/>
                <w:right w:val="none" w:sz="0" w:space="0" w:color="auto"/>
              </w:divBdr>
            </w:div>
          </w:divsChild>
        </w:div>
        <w:div w:id="1232735913">
          <w:marLeft w:val="0"/>
          <w:marRight w:val="0"/>
          <w:marTop w:val="0"/>
          <w:marBottom w:val="150"/>
          <w:divBdr>
            <w:top w:val="none" w:sz="0" w:space="0" w:color="auto"/>
            <w:left w:val="none" w:sz="0" w:space="0" w:color="auto"/>
            <w:bottom w:val="none" w:sz="0" w:space="0" w:color="auto"/>
            <w:right w:val="none" w:sz="0" w:space="0" w:color="auto"/>
          </w:divBdr>
          <w:divsChild>
            <w:div w:id="199768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91343">
      <w:bodyDiv w:val="1"/>
      <w:marLeft w:val="0"/>
      <w:marRight w:val="0"/>
      <w:marTop w:val="0"/>
      <w:marBottom w:val="0"/>
      <w:divBdr>
        <w:top w:val="none" w:sz="0" w:space="0" w:color="auto"/>
        <w:left w:val="none" w:sz="0" w:space="0" w:color="auto"/>
        <w:bottom w:val="none" w:sz="0" w:space="0" w:color="auto"/>
        <w:right w:val="none" w:sz="0" w:space="0" w:color="auto"/>
      </w:divBdr>
      <w:divsChild>
        <w:div w:id="489953458">
          <w:marLeft w:val="0"/>
          <w:marRight w:val="0"/>
          <w:marTop w:val="0"/>
          <w:marBottom w:val="150"/>
          <w:divBdr>
            <w:top w:val="none" w:sz="0" w:space="0" w:color="auto"/>
            <w:left w:val="none" w:sz="0" w:space="0" w:color="auto"/>
            <w:bottom w:val="none" w:sz="0" w:space="0" w:color="auto"/>
            <w:right w:val="none" w:sz="0" w:space="0" w:color="auto"/>
          </w:divBdr>
          <w:divsChild>
            <w:div w:id="2030250238">
              <w:marLeft w:val="0"/>
              <w:marRight w:val="0"/>
              <w:marTop w:val="0"/>
              <w:marBottom w:val="0"/>
              <w:divBdr>
                <w:top w:val="none" w:sz="0" w:space="0" w:color="auto"/>
                <w:left w:val="none" w:sz="0" w:space="0" w:color="auto"/>
                <w:bottom w:val="none" w:sz="0" w:space="0" w:color="auto"/>
                <w:right w:val="none" w:sz="0" w:space="0" w:color="auto"/>
              </w:divBdr>
            </w:div>
          </w:divsChild>
        </w:div>
        <w:div w:id="690492231">
          <w:marLeft w:val="0"/>
          <w:marRight w:val="0"/>
          <w:marTop w:val="0"/>
          <w:marBottom w:val="0"/>
          <w:divBdr>
            <w:top w:val="none" w:sz="0" w:space="0" w:color="auto"/>
            <w:left w:val="none" w:sz="0" w:space="0" w:color="auto"/>
            <w:bottom w:val="none" w:sz="0" w:space="0" w:color="auto"/>
            <w:right w:val="none" w:sz="0" w:space="0" w:color="auto"/>
          </w:divBdr>
          <w:divsChild>
            <w:div w:id="2049379957">
              <w:marLeft w:val="0"/>
              <w:marRight w:val="0"/>
              <w:marTop w:val="0"/>
              <w:marBottom w:val="0"/>
              <w:divBdr>
                <w:top w:val="none" w:sz="0" w:space="0" w:color="auto"/>
                <w:left w:val="none" w:sz="0" w:space="0" w:color="auto"/>
                <w:bottom w:val="none" w:sz="0" w:space="0" w:color="auto"/>
                <w:right w:val="none" w:sz="0" w:space="0" w:color="auto"/>
              </w:divBdr>
            </w:div>
          </w:divsChild>
        </w:div>
        <w:div w:id="1850366981">
          <w:marLeft w:val="0"/>
          <w:marRight w:val="0"/>
          <w:marTop w:val="0"/>
          <w:marBottom w:val="150"/>
          <w:divBdr>
            <w:top w:val="none" w:sz="0" w:space="0" w:color="auto"/>
            <w:left w:val="none" w:sz="0" w:space="0" w:color="auto"/>
            <w:bottom w:val="none" w:sz="0" w:space="0" w:color="auto"/>
            <w:right w:val="none" w:sz="0" w:space="0" w:color="auto"/>
          </w:divBdr>
        </w:div>
      </w:divsChild>
    </w:div>
    <w:div w:id="255406681">
      <w:bodyDiv w:val="1"/>
      <w:marLeft w:val="0"/>
      <w:marRight w:val="0"/>
      <w:marTop w:val="0"/>
      <w:marBottom w:val="0"/>
      <w:divBdr>
        <w:top w:val="none" w:sz="0" w:space="0" w:color="auto"/>
        <w:left w:val="none" w:sz="0" w:space="0" w:color="auto"/>
        <w:bottom w:val="none" w:sz="0" w:space="0" w:color="auto"/>
        <w:right w:val="none" w:sz="0" w:space="0" w:color="auto"/>
      </w:divBdr>
      <w:divsChild>
        <w:div w:id="1676758819">
          <w:marLeft w:val="0"/>
          <w:marRight w:val="0"/>
          <w:marTop w:val="0"/>
          <w:marBottom w:val="0"/>
          <w:divBdr>
            <w:top w:val="none" w:sz="0" w:space="0" w:color="auto"/>
            <w:left w:val="none" w:sz="0" w:space="0" w:color="auto"/>
            <w:bottom w:val="dotted" w:sz="6" w:space="4" w:color="DDDDDD"/>
            <w:right w:val="none" w:sz="0" w:space="0" w:color="auto"/>
          </w:divBdr>
        </w:div>
      </w:divsChild>
    </w:div>
    <w:div w:id="256016048">
      <w:bodyDiv w:val="1"/>
      <w:marLeft w:val="0"/>
      <w:marRight w:val="0"/>
      <w:marTop w:val="0"/>
      <w:marBottom w:val="0"/>
      <w:divBdr>
        <w:top w:val="none" w:sz="0" w:space="0" w:color="auto"/>
        <w:left w:val="none" w:sz="0" w:space="0" w:color="auto"/>
        <w:bottom w:val="none" w:sz="0" w:space="0" w:color="auto"/>
        <w:right w:val="none" w:sz="0" w:space="0" w:color="auto"/>
      </w:divBdr>
    </w:div>
    <w:div w:id="256720057">
      <w:bodyDiv w:val="1"/>
      <w:marLeft w:val="0"/>
      <w:marRight w:val="0"/>
      <w:marTop w:val="0"/>
      <w:marBottom w:val="0"/>
      <w:divBdr>
        <w:top w:val="none" w:sz="0" w:space="0" w:color="auto"/>
        <w:left w:val="none" w:sz="0" w:space="0" w:color="auto"/>
        <w:bottom w:val="none" w:sz="0" w:space="0" w:color="auto"/>
        <w:right w:val="none" w:sz="0" w:space="0" w:color="auto"/>
      </w:divBdr>
      <w:divsChild>
        <w:div w:id="797139805">
          <w:marLeft w:val="0"/>
          <w:marRight w:val="0"/>
          <w:marTop w:val="0"/>
          <w:marBottom w:val="0"/>
          <w:divBdr>
            <w:top w:val="none" w:sz="0" w:space="0" w:color="auto"/>
            <w:left w:val="none" w:sz="0" w:space="0" w:color="auto"/>
            <w:bottom w:val="none" w:sz="0" w:space="0" w:color="auto"/>
            <w:right w:val="none" w:sz="0" w:space="0" w:color="auto"/>
          </w:divBdr>
          <w:divsChild>
            <w:div w:id="172495437">
              <w:marLeft w:val="0"/>
              <w:marRight w:val="0"/>
              <w:marTop w:val="0"/>
              <w:marBottom w:val="0"/>
              <w:divBdr>
                <w:top w:val="none" w:sz="0" w:space="0" w:color="auto"/>
                <w:left w:val="none" w:sz="0" w:space="0" w:color="auto"/>
                <w:bottom w:val="none" w:sz="0" w:space="0" w:color="auto"/>
                <w:right w:val="none" w:sz="0" w:space="0" w:color="auto"/>
              </w:divBdr>
              <w:divsChild>
                <w:div w:id="704208269">
                  <w:marLeft w:val="0"/>
                  <w:marRight w:val="0"/>
                  <w:marTop w:val="0"/>
                  <w:marBottom w:val="450"/>
                  <w:divBdr>
                    <w:top w:val="none" w:sz="0" w:space="0" w:color="auto"/>
                    <w:left w:val="none" w:sz="0" w:space="0" w:color="auto"/>
                    <w:bottom w:val="none" w:sz="0" w:space="0" w:color="auto"/>
                    <w:right w:val="none" w:sz="0" w:space="0" w:color="auto"/>
                  </w:divBdr>
                  <w:divsChild>
                    <w:div w:id="410541940">
                      <w:marLeft w:val="0"/>
                      <w:marRight w:val="0"/>
                      <w:marTop w:val="0"/>
                      <w:marBottom w:val="150"/>
                      <w:divBdr>
                        <w:top w:val="none" w:sz="0" w:space="0" w:color="auto"/>
                        <w:left w:val="none" w:sz="0" w:space="0" w:color="auto"/>
                        <w:bottom w:val="none" w:sz="0" w:space="0" w:color="auto"/>
                        <w:right w:val="none" w:sz="0" w:space="0" w:color="auto"/>
                      </w:divBdr>
                      <w:divsChild>
                        <w:div w:id="1568571171">
                          <w:marLeft w:val="0"/>
                          <w:marRight w:val="0"/>
                          <w:marTop w:val="0"/>
                          <w:marBottom w:val="0"/>
                          <w:divBdr>
                            <w:top w:val="none" w:sz="0" w:space="0" w:color="auto"/>
                            <w:left w:val="none" w:sz="0" w:space="0" w:color="auto"/>
                            <w:bottom w:val="none" w:sz="0" w:space="0" w:color="auto"/>
                            <w:right w:val="none" w:sz="0" w:space="0" w:color="auto"/>
                          </w:divBdr>
                        </w:div>
                      </w:divsChild>
                    </w:div>
                    <w:div w:id="1268737636">
                      <w:marLeft w:val="0"/>
                      <w:marRight w:val="0"/>
                      <w:marTop w:val="0"/>
                      <w:marBottom w:val="0"/>
                      <w:divBdr>
                        <w:top w:val="none" w:sz="0" w:space="0" w:color="auto"/>
                        <w:left w:val="none" w:sz="0" w:space="0" w:color="auto"/>
                        <w:bottom w:val="none" w:sz="0" w:space="0" w:color="auto"/>
                        <w:right w:val="none" w:sz="0" w:space="0" w:color="auto"/>
                      </w:divBdr>
                      <w:divsChild>
                        <w:div w:id="66349185">
                          <w:marLeft w:val="0"/>
                          <w:marRight w:val="0"/>
                          <w:marTop w:val="0"/>
                          <w:marBottom w:val="150"/>
                          <w:divBdr>
                            <w:top w:val="none" w:sz="0" w:space="0" w:color="auto"/>
                            <w:left w:val="none" w:sz="0" w:space="0" w:color="auto"/>
                            <w:bottom w:val="none" w:sz="0" w:space="0" w:color="auto"/>
                            <w:right w:val="none" w:sz="0" w:space="0" w:color="auto"/>
                          </w:divBdr>
                        </w:div>
                        <w:div w:id="910964705">
                          <w:marLeft w:val="0"/>
                          <w:marRight w:val="0"/>
                          <w:marTop w:val="0"/>
                          <w:marBottom w:val="0"/>
                          <w:divBdr>
                            <w:top w:val="none" w:sz="0" w:space="0" w:color="auto"/>
                            <w:left w:val="none" w:sz="0" w:space="0" w:color="auto"/>
                            <w:bottom w:val="none" w:sz="0" w:space="0" w:color="auto"/>
                            <w:right w:val="none" w:sz="0" w:space="0" w:color="auto"/>
                          </w:divBdr>
                          <w:divsChild>
                            <w:div w:id="118759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3622780">
          <w:marLeft w:val="0"/>
          <w:marRight w:val="0"/>
          <w:marTop w:val="0"/>
          <w:marBottom w:val="375"/>
          <w:divBdr>
            <w:top w:val="none" w:sz="0" w:space="0" w:color="auto"/>
            <w:left w:val="none" w:sz="0" w:space="0" w:color="auto"/>
            <w:bottom w:val="single" w:sz="6" w:space="0" w:color="005494"/>
            <w:right w:val="none" w:sz="0" w:space="0" w:color="auto"/>
          </w:divBdr>
        </w:div>
        <w:div w:id="2045012118">
          <w:marLeft w:val="0"/>
          <w:marRight w:val="0"/>
          <w:marTop w:val="0"/>
          <w:marBottom w:val="300"/>
          <w:divBdr>
            <w:top w:val="none" w:sz="0" w:space="0" w:color="auto"/>
            <w:left w:val="none" w:sz="0" w:space="0" w:color="auto"/>
            <w:bottom w:val="single" w:sz="6" w:space="0" w:color="E4E4E4"/>
            <w:right w:val="none" w:sz="0" w:space="0" w:color="auto"/>
          </w:divBdr>
        </w:div>
      </w:divsChild>
    </w:div>
    <w:div w:id="256981286">
      <w:bodyDiv w:val="1"/>
      <w:marLeft w:val="0"/>
      <w:marRight w:val="0"/>
      <w:marTop w:val="0"/>
      <w:marBottom w:val="0"/>
      <w:divBdr>
        <w:top w:val="none" w:sz="0" w:space="0" w:color="auto"/>
        <w:left w:val="none" w:sz="0" w:space="0" w:color="auto"/>
        <w:bottom w:val="none" w:sz="0" w:space="0" w:color="auto"/>
        <w:right w:val="none" w:sz="0" w:space="0" w:color="auto"/>
      </w:divBdr>
      <w:divsChild>
        <w:div w:id="1110321509">
          <w:marLeft w:val="0"/>
          <w:marRight w:val="0"/>
          <w:marTop w:val="0"/>
          <w:marBottom w:val="0"/>
          <w:divBdr>
            <w:top w:val="none" w:sz="0" w:space="0" w:color="auto"/>
            <w:left w:val="none" w:sz="0" w:space="0" w:color="auto"/>
            <w:bottom w:val="none" w:sz="0" w:space="0" w:color="auto"/>
            <w:right w:val="none" w:sz="0" w:space="0" w:color="auto"/>
          </w:divBdr>
        </w:div>
      </w:divsChild>
    </w:div>
    <w:div w:id="257711554">
      <w:bodyDiv w:val="1"/>
      <w:marLeft w:val="0"/>
      <w:marRight w:val="0"/>
      <w:marTop w:val="375"/>
      <w:marBottom w:val="0"/>
      <w:divBdr>
        <w:top w:val="none" w:sz="0" w:space="0" w:color="auto"/>
        <w:left w:val="none" w:sz="0" w:space="0" w:color="auto"/>
        <w:bottom w:val="none" w:sz="0" w:space="0" w:color="auto"/>
        <w:right w:val="none" w:sz="0" w:space="0" w:color="auto"/>
      </w:divBdr>
      <w:divsChild>
        <w:div w:id="1094089517">
          <w:marLeft w:val="0"/>
          <w:marRight w:val="0"/>
          <w:marTop w:val="0"/>
          <w:marBottom w:val="0"/>
          <w:divBdr>
            <w:top w:val="none" w:sz="0" w:space="0" w:color="auto"/>
            <w:left w:val="single" w:sz="6" w:space="0" w:color="ECECEC"/>
            <w:bottom w:val="none" w:sz="0" w:space="0" w:color="auto"/>
            <w:right w:val="single" w:sz="6" w:space="0" w:color="ECECEC"/>
          </w:divBdr>
          <w:divsChild>
            <w:div w:id="150486949">
              <w:marLeft w:val="0"/>
              <w:marRight w:val="0"/>
              <w:marTop w:val="0"/>
              <w:marBottom w:val="0"/>
              <w:divBdr>
                <w:top w:val="none" w:sz="0" w:space="0" w:color="auto"/>
                <w:left w:val="none" w:sz="0" w:space="0" w:color="auto"/>
                <w:bottom w:val="none" w:sz="0" w:space="0" w:color="auto"/>
                <w:right w:val="none" w:sz="0" w:space="0" w:color="auto"/>
              </w:divBdr>
              <w:divsChild>
                <w:div w:id="1405445738">
                  <w:marLeft w:val="0"/>
                  <w:marRight w:val="0"/>
                  <w:marTop w:val="0"/>
                  <w:marBottom w:val="0"/>
                  <w:divBdr>
                    <w:top w:val="none" w:sz="0" w:space="0" w:color="auto"/>
                    <w:left w:val="none" w:sz="0" w:space="0" w:color="auto"/>
                    <w:bottom w:val="none" w:sz="0" w:space="0" w:color="auto"/>
                    <w:right w:val="none" w:sz="0" w:space="0" w:color="auto"/>
                  </w:divBdr>
                  <w:divsChild>
                    <w:div w:id="988047856">
                      <w:marLeft w:val="0"/>
                      <w:marRight w:val="0"/>
                      <w:marTop w:val="0"/>
                      <w:marBottom w:val="0"/>
                      <w:divBdr>
                        <w:top w:val="none" w:sz="0" w:space="0" w:color="auto"/>
                        <w:left w:val="none" w:sz="0" w:space="0" w:color="auto"/>
                        <w:bottom w:val="none" w:sz="0" w:space="0" w:color="auto"/>
                        <w:right w:val="none" w:sz="0" w:space="0" w:color="auto"/>
                      </w:divBdr>
                      <w:divsChild>
                        <w:div w:id="1090470715">
                          <w:marLeft w:val="0"/>
                          <w:marRight w:val="0"/>
                          <w:marTop w:val="0"/>
                          <w:marBottom w:val="0"/>
                          <w:divBdr>
                            <w:top w:val="none" w:sz="0" w:space="0" w:color="auto"/>
                            <w:left w:val="none" w:sz="0" w:space="0" w:color="auto"/>
                            <w:bottom w:val="none" w:sz="0" w:space="0" w:color="auto"/>
                            <w:right w:val="none" w:sz="0" w:space="0" w:color="auto"/>
                          </w:divBdr>
                          <w:divsChild>
                            <w:div w:id="446966809">
                              <w:marLeft w:val="0"/>
                              <w:marRight w:val="0"/>
                              <w:marTop w:val="0"/>
                              <w:marBottom w:val="0"/>
                              <w:divBdr>
                                <w:top w:val="none" w:sz="0" w:space="0" w:color="auto"/>
                                <w:left w:val="none" w:sz="0" w:space="0" w:color="auto"/>
                                <w:bottom w:val="none" w:sz="0" w:space="0" w:color="auto"/>
                                <w:right w:val="none" w:sz="0" w:space="0" w:color="auto"/>
                              </w:divBdr>
                              <w:divsChild>
                                <w:div w:id="170945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7712049">
      <w:bodyDiv w:val="1"/>
      <w:marLeft w:val="0"/>
      <w:marRight w:val="0"/>
      <w:marTop w:val="0"/>
      <w:marBottom w:val="0"/>
      <w:divBdr>
        <w:top w:val="none" w:sz="0" w:space="0" w:color="auto"/>
        <w:left w:val="none" w:sz="0" w:space="0" w:color="auto"/>
        <w:bottom w:val="none" w:sz="0" w:space="0" w:color="auto"/>
        <w:right w:val="none" w:sz="0" w:space="0" w:color="auto"/>
      </w:divBdr>
    </w:div>
    <w:div w:id="257712887">
      <w:bodyDiv w:val="1"/>
      <w:marLeft w:val="0"/>
      <w:marRight w:val="0"/>
      <w:marTop w:val="0"/>
      <w:marBottom w:val="0"/>
      <w:divBdr>
        <w:top w:val="none" w:sz="0" w:space="0" w:color="auto"/>
        <w:left w:val="none" w:sz="0" w:space="0" w:color="auto"/>
        <w:bottom w:val="none" w:sz="0" w:space="0" w:color="auto"/>
        <w:right w:val="none" w:sz="0" w:space="0" w:color="auto"/>
      </w:divBdr>
    </w:div>
    <w:div w:id="258294458">
      <w:bodyDiv w:val="1"/>
      <w:marLeft w:val="0"/>
      <w:marRight w:val="0"/>
      <w:marTop w:val="0"/>
      <w:marBottom w:val="0"/>
      <w:divBdr>
        <w:top w:val="none" w:sz="0" w:space="0" w:color="auto"/>
        <w:left w:val="none" w:sz="0" w:space="0" w:color="auto"/>
        <w:bottom w:val="none" w:sz="0" w:space="0" w:color="auto"/>
        <w:right w:val="none" w:sz="0" w:space="0" w:color="auto"/>
      </w:divBdr>
      <w:divsChild>
        <w:div w:id="1691373694">
          <w:marLeft w:val="0"/>
          <w:marRight w:val="0"/>
          <w:marTop w:val="0"/>
          <w:marBottom w:val="0"/>
          <w:divBdr>
            <w:top w:val="none" w:sz="0" w:space="0" w:color="auto"/>
            <w:left w:val="none" w:sz="0" w:space="0" w:color="auto"/>
            <w:bottom w:val="dotted" w:sz="6" w:space="4" w:color="DDDDDD"/>
            <w:right w:val="none" w:sz="0" w:space="0" w:color="auto"/>
          </w:divBdr>
          <w:divsChild>
            <w:div w:id="182905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485838">
      <w:bodyDiv w:val="1"/>
      <w:marLeft w:val="0"/>
      <w:marRight w:val="0"/>
      <w:marTop w:val="0"/>
      <w:marBottom w:val="0"/>
      <w:divBdr>
        <w:top w:val="none" w:sz="0" w:space="0" w:color="auto"/>
        <w:left w:val="none" w:sz="0" w:space="0" w:color="auto"/>
        <w:bottom w:val="none" w:sz="0" w:space="0" w:color="auto"/>
        <w:right w:val="none" w:sz="0" w:space="0" w:color="auto"/>
      </w:divBdr>
    </w:div>
    <w:div w:id="258874179">
      <w:bodyDiv w:val="1"/>
      <w:marLeft w:val="0"/>
      <w:marRight w:val="0"/>
      <w:marTop w:val="0"/>
      <w:marBottom w:val="0"/>
      <w:divBdr>
        <w:top w:val="none" w:sz="0" w:space="0" w:color="auto"/>
        <w:left w:val="none" w:sz="0" w:space="0" w:color="auto"/>
        <w:bottom w:val="none" w:sz="0" w:space="0" w:color="auto"/>
        <w:right w:val="none" w:sz="0" w:space="0" w:color="auto"/>
      </w:divBdr>
      <w:divsChild>
        <w:div w:id="90469469">
          <w:marLeft w:val="0"/>
          <w:marRight w:val="0"/>
          <w:marTop w:val="0"/>
          <w:marBottom w:val="150"/>
          <w:divBdr>
            <w:top w:val="none" w:sz="0" w:space="0" w:color="auto"/>
            <w:left w:val="none" w:sz="0" w:space="0" w:color="auto"/>
            <w:bottom w:val="none" w:sz="0" w:space="0" w:color="auto"/>
            <w:right w:val="none" w:sz="0" w:space="0" w:color="auto"/>
          </w:divBdr>
        </w:div>
      </w:divsChild>
    </w:div>
    <w:div w:id="259064458">
      <w:bodyDiv w:val="1"/>
      <w:marLeft w:val="0"/>
      <w:marRight w:val="0"/>
      <w:marTop w:val="0"/>
      <w:marBottom w:val="0"/>
      <w:divBdr>
        <w:top w:val="none" w:sz="0" w:space="0" w:color="auto"/>
        <w:left w:val="none" w:sz="0" w:space="0" w:color="auto"/>
        <w:bottom w:val="none" w:sz="0" w:space="0" w:color="auto"/>
        <w:right w:val="none" w:sz="0" w:space="0" w:color="auto"/>
      </w:divBdr>
      <w:divsChild>
        <w:div w:id="97255873">
          <w:marLeft w:val="-9765"/>
          <w:marRight w:val="0"/>
          <w:marTop w:val="0"/>
          <w:marBottom w:val="0"/>
          <w:divBdr>
            <w:top w:val="none" w:sz="0" w:space="0" w:color="auto"/>
            <w:left w:val="none" w:sz="0" w:space="0" w:color="auto"/>
            <w:bottom w:val="none" w:sz="0" w:space="0" w:color="auto"/>
            <w:right w:val="none" w:sz="0" w:space="0" w:color="auto"/>
          </w:divBdr>
        </w:div>
        <w:div w:id="1037120176">
          <w:marLeft w:val="0"/>
          <w:marRight w:val="0"/>
          <w:marTop w:val="0"/>
          <w:marBottom w:val="0"/>
          <w:divBdr>
            <w:top w:val="none" w:sz="0" w:space="0" w:color="auto"/>
            <w:left w:val="none" w:sz="0" w:space="0" w:color="auto"/>
            <w:bottom w:val="none" w:sz="0" w:space="0" w:color="auto"/>
            <w:right w:val="none" w:sz="0" w:space="0" w:color="auto"/>
          </w:divBdr>
          <w:divsChild>
            <w:div w:id="220412166">
              <w:marLeft w:val="0"/>
              <w:marRight w:val="0"/>
              <w:marTop w:val="0"/>
              <w:marBottom w:val="225"/>
              <w:divBdr>
                <w:top w:val="none" w:sz="0" w:space="0" w:color="auto"/>
                <w:left w:val="none" w:sz="0" w:space="0" w:color="auto"/>
                <w:bottom w:val="none" w:sz="0" w:space="0" w:color="auto"/>
                <w:right w:val="none" w:sz="0" w:space="0" w:color="auto"/>
              </w:divBdr>
              <w:divsChild>
                <w:div w:id="113453613">
                  <w:marLeft w:val="0"/>
                  <w:marRight w:val="0"/>
                  <w:marTop w:val="0"/>
                  <w:marBottom w:val="150"/>
                  <w:divBdr>
                    <w:top w:val="none" w:sz="0" w:space="0" w:color="auto"/>
                    <w:left w:val="none" w:sz="0" w:space="0" w:color="auto"/>
                    <w:bottom w:val="none" w:sz="0" w:space="0" w:color="auto"/>
                    <w:right w:val="none" w:sz="0" w:space="0" w:color="auto"/>
                  </w:divBdr>
                </w:div>
                <w:div w:id="284505580">
                  <w:marLeft w:val="0"/>
                  <w:marRight w:val="0"/>
                  <w:marTop w:val="0"/>
                  <w:marBottom w:val="150"/>
                  <w:divBdr>
                    <w:top w:val="none" w:sz="0" w:space="0" w:color="auto"/>
                    <w:left w:val="none" w:sz="0" w:space="0" w:color="auto"/>
                    <w:bottom w:val="none" w:sz="0" w:space="0" w:color="auto"/>
                    <w:right w:val="none" w:sz="0" w:space="0" w:color="auto"/>
                  </w:divBdr>
                </w:div>
                <w:div w:id="551234705">
                  <w:marLeft w:val="0"/>
                  <w:marRight w:val="0"/>
                  <w:marTop w:val="0"/>
                  <w:marBottom w:val="150"/>
                  <w:divBdr>
                    <w:top w:val="none" w:sz="0" w:space="0" w:color="auto"/>
                    <w:left w:val="none" w:sz="0" w:space="0" w:color="auto"/>
                    <w:bottom w:val="none" w:sz="0" w:space="0" w:color="auto"/>
                    <w:right w:val="none" w:sz="0" w:space="0" w:color="auto"/>
                  </w:divBdr>
                  <w:divsChild>
                    <w:div w:id="1711228693">
                      <w:marLeft w:val="0"/>
                      <w:marRight w:val="0"/>
                      <w:marTop w:val="0"/>
                      <w:marBottom w:val="150"/>
                      <w:divBdr>
                        <w:top w:val="none" w:sz="0" w:space="0" w:color="auto"/>
                        <w:left w:val="none" w:sz="0" w:space="0" w:color="auto"/>
                        <w:bottom w:val="none" w:sz="0" w:space="0" w:color="auto"/>
                        <w:right w:val="none" w:sz="0" w:space="0" w:color="auto"/>
                      </w:divBdr>
                    </w:div>
                  </w:divsChild>
                </w:div>
                <w:div w:id="1004547559">
                  <w:marLeft w:val="0"/>
                  <w:marRight w:val="0"/>
                  <w:marTop w:val="0"/>
                  <w:marBottom w:val="150"/>
                  <w:divBdr>
                    <w:top w:val="none" w:sz="0" w:space="0" w:color="auto"/>
                    <w:left w:val="none" w:sz="0" w:space="0" w:color="auto"/>
                    <w:bottom w:val="none" w:sz="0" w:space="0" w:color="auto"/>
                    <w:right w:val="none" w:sz="0" w:space="0" w:color="auto"/>
                  </w:divBdr>
                </w:div>
                <w:div w:id="1318537643">
                  <w:marLeft w:val="0"/>
                  <w:marRight w:val="0"/>
                  <w:marTop w:val="0"/>
                  <w:marBottom w:val="150"/>
                  <w:divBdr>
                    <w:top w:val="none" w:sz="0" w:space="0" w:color="auto"/>
                    <w:left w:val="none" w:sz="0" w:space="0" w:color="auto"/>
                    <w:bottom w:val="none" w:sz="0" w:space="0" w:color="auto"/>
                    <w:right w:val="none" w:sz="0" w:space="0" w:color="auto"/>
                  </w:divBdr>
                </w:div>
                <w:div w:id="1399015809">
                  <w:marLeft w:val="0"/>
                  <w:marRight w:val="0"/>
                  <w:marTop w:val="0"/>
                  <w:marBottom w:val="150"/>
                  <w:divBdr>
                    <w:top w:val="none" w:sz="0" w:space="0" w:color="auto"/>
                    <w:left w:val="none" w:sz="0" w:space="0" w:color="auto"/>
                    <w:bottom w:val="none" w:sz="0" w:space="0" w:color="auto"/>
                    <w:right w:val="none" w:sz="0" w:space="0" w:color="auto"/>
                  </w:divBdr>
                </w:div>
                <w:div w:id="1567063415">
                  <w:marLeft w:val="0"/>
                  <w:marRight w:val="0"/>
                  <w:marTop w:val="0"/>
                  <w:marBottom w:val="150"/>
                  <w:divBdr>
                    <w:top w:val="none" w:sz="0" w:space="0" w:color="auto"/>
                    <w:left w:val="none" w:sz="0" w:space="0" w:color="auto"/>
                    <w:bottom w:val="none" w:sz="0" w:space="0" w:color="auto"/>
                    <w:right w:val="none" w:sz="0" w:space="0" w:color="auto"/>
                  </w:divBdr>
                </w:div>
                <w:div w:id="1641613830">
                  <w:marLeft w:val="0"/>
                  <w:marRight w:val="0"/>
                  <w:marTop w:val="0"/>
                  <w:marBottom w:val="150"/>
                  <w:divBdr>
                    <w:top w:val="none" w:sz="0" w:space="0" w:color="auto"/>
                    <w:left w:val="none" w:sz="0" w:space="0" w:color="auto"/>
                    <w:bottom w:val="none" w:sz="0" w:space="0" w:color="auto"/>
                    <w:right w:val="none" w:sz="0" w:space="0" w:color="auto"/>
                  </w:divBdr>
                </w:div>
                <w:div w:id="2004116415">
                  <w:marLeft w:val="0"/>
                  <w:marRight w:val="0"/>
                  <w:marTop w:val="0"/>
                  <w:marBottom w:val="150"/>
                  <w:divBdr>
                    <w:top w:val="none" w:sz="0" w:space="0" w:color="auto"/>
                    <w:left w:val="none" w:sz="0" w:space="0" w:color="auto"/>
                    <w:bottom w:val="none" w:sz="0" w:space="0" w:color="auto"/>
                    <w:right w:val="none" w:sz="0" w:space="0" w:color="auto"/>
                  </w:divBdr>
                  <w:divsChild>
                    <w:div w:id="413816288">
                      <w:marLeft w:val="0"/>
                      <w:marRight w:val="0"/>
                      <w:marTop w:val="0"/>
                      <w:marBottom w:val="150"/>
                      <w:divBdr>
                        <w:top w:val="none" w:sz="0" w:space="0" w:color="auto"/>
                        <w:left w:val="none" w:sz="0" w:space="0" w:color="auto"/>
                        <w:bottom w:val="none" w:sz="0" w:space="0" w:color="auto"/>
                        <w:right w:val="none" w:sz="0" w:space="0" w:color="auto"/>
                      </w:divBdr>
                    </w:div>
                    <w:div w:id="4809236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285652000">
          <w:marLeft w:val="0"/>
          <w:marRight w:val="0"/>
          <w:marTop w:val="0"/>
          <w:marBottom w:val="150"/>
          <w:divBdr>
            <w:top w:val="none" w:sz="0" w:space="0" w:color="auto"/>
            <w:left w:val="none" w:sz="0" w:space="0" w:color="auto"/>
            <w:bottom w:val="none" w:sz="0" w:space="0" w:color="auto"/>
            <w:right w:val="none" w:sz="0" w:space="0" w:color="auto"/>
          </w:divBdr>
        </w:div>
      </w:divsChild>
    </w:div>
    <w:div w:id="259221422">
      <w:bodyDiv w:val="1"/>
      <w:marLeft w:val="0"/>
      <w:marRight w:val="0"/>
      <w:marTop w:val="0"/>
      <w:marBottom w:val="0"/>
      <w:divBdr>
        <w:top w:val="none" w:sz="0" w:space="0" w:color="auto"/>
        <w:left w:val="none" w:sz="0" w:space="0" w:color="auto"/>
        <w:bottom w:val="none" w:sz="0" w:space="0" w:color="auto"/>
        <w:right w:val="none" w:sz="0" w:space="0" w:color="auto"/>
      </w:divBdr>
      <w:divsChild>
        <w:div w:id="132448653">
          <w:marLeft w:val="0"/>
          <w:marRight w:val="0"/>
          <w:marTop w:val="0"/>
          <w:marBottom w:val="0"/>
          <w:divBdr>
            <w:top w:val="none" w:sz="0" w:space="0" w:color="auto"/>
            <w:left w:val="none" w:sz="0" w:space="0" w:color="auto"/>
            <w:bottom w:val="none" w:sz="0" w:space="0" w:color="auto"/>
            <w:right w:val="none" w:sz="0" w:space="0" w:color="auto"/>
          </w:divBdr>
          <w:divsChild>
            <w:div w:id="130364543">
              <w:marLeft w:val="0"/>
              <w:marRight w:val="0"/>
              <w:marTop w:val="0"/>
              <w:marBottom w:val="0"/>
              <w:divBdr>
                <w:top w:val="none" w:sz="0" w:space="0" w:color="auto"/>
                <w:left w:val="none" w:sz="0" w:space="0" w:color="auto"/>
                <w:bottom w:val="none" w:sz="0" w:space="0" w:color="auto"/>
                <w:right w:val="none" w:sz="0" w:space="0" w:color="auto"/>
              </w:divBdr>
              <w:divsChild>
                <w:div w:id="733086927">
                  <w:marLeft w:val="0"/>
                  <w:marRight w:val="0"/>
                  <w:marTop w:val="0"/>
                  <w:marBottom w:val="0"/>
                  <w:divBdr>
                    <w:top w:val="none" w:sz="0" w:space="0" w:color="auto"/>
                    <w:left w:val="none" w:sz="0" w:space="0" w:color="auto"/>
                    <w:bottom w:val="none" w:sz="0" w:space="0" w:color="auto"/>
                    <w:right w:val="none" w:sz="0" w:space="0" w:color="auto"/>
                  </w:divBdr>
                  <w:divsChild>
                    <w:div w:id="74591830">
                      <w:marLeft w:val="0"/>
                      <w:marRight w:val="0"/>
                      <w:marTop w:val="0"/>
                      <w:marBottom w:val="0"/>
                      <w:divBdr>
                        <w:top w:val="none" w:sz="0" w:space="0" w:color="auto"/>
                        <w:left w:val="none" w:sz="0" w:space="0" w:color="auto"/>
                        <w:bottom w:val="none" w:sz="0" w:space="0" w:color="auto"/>
                        <w:right w:val="none" w:sz="0" w:space="0" w:color="auto"/>
                      </w:divBdr>
                      <w:divsChild>
                        <w:div w:id="896011335">
                          <w:marLeft w:val="0"/>
                          <w:marRight w:val="0"/>
                          <w:marTop w:val="0"/>
                          <w:marBottom w:val="0"/>
                          <w:divBdr>
                            <w:top w:val="none" w:sz="0" w:space="0" w:color="auto"/>
                            <w:left w:val="none" w:sz="0" w:space="0" w:color="auto"/>
                            <w:bottom w:val="none" w:sz="0" w:space="0" w:color="auto"/>
                            <w:right w:val="none" w:sz="0" w:space="0" w:color="auto"/>
                          </w:divBdr>
                          <w:divsChild>
                            <w:div w:id="93671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223851">
      <w:bodyDiv w:val="1"/>
      <w:marLeft w:val="0"/>
      <w:marRight w:val="0"/>
      <w:marTop w:val="0"/>
      <w:marBottom w:val="0"/>
      <w:divBdr>
        <w:top w:val="none" w:sz="0" w:space="0" w:color="auto"/>
        <w:left w:val="none" w:sz="0" w:space="0" w:color="auto"/>
        <w:bottom w:val="none" w:sz="0" w:space="0" w:color="auto"/>
        <w:right w:val="none" w:sz="0" w:space="0" w:color="auto"/>
      </w:divBdr>
      <w:divsChild>
        <w:div w:id="598104284">
          <w:marLeft w:val="0"/>
          <w:marRight w:val="0"/>
          <w:marTop w:val="0"/>
          <w:marBottom w:val="150"/>
          <w:divBdr>
            <w:top w:val="none" w:sz="0" w:space="0" w:color="auto"/>
            <w:left w:val="none" w:sz="0" w:space="0" w:color="auto"/>
            <w:bottom w:val="none" w:sz="0" w:space="0" w:color="auto"/>
            <w:right w:val="none" w:sz="0" w:space="0" w:color="auto"/>
          </w:divBdr>
        </w:div>
      </w:divsChild>
    </w:div>
    <w:div w:id="260066125">
      <w:bodyDiv w:val="1"/>
      <w:marLeft w:val="0"/>
      <w:marRight w:val="0"/>
      <w:marTop w:val="0"/>
      <w:marBottom w:val="0"/>
      <w:divBdr>
        <w:top w:val="none" w:sz="0" w:space="0" w:color="auto"/>
        <w:left w:val="none" w:sz="0" w:space="0" w:color="auto"/>
        <w:bottom w:val="none" w:sz="0" w:space="0" w:color="auto"/>
        <w:right w:val="none" w:sz="0" w:space="0" w:color="auto"/>
      </w:divBdr>
      <w:divsChild>
        <w:div w:id="642346389">
          <w:marLeft w:val="0"/>
          <w:marRight w:val="0"/>
          <w:marTop w:val="0"/>
          <w:marBottom w:val="0"/>
          <w:divBdr>
            <w:top w:val="none" w:sz="0" w:space="0" w:color="auto"/>
            <w:left w:val="none" w:sz="0" w:space="0" w:color="auto"/>
            <w:bottom w:val="dotted" w:sz="6" w:space="4" w:color="DDDDDD"/>
            <w:right w:val="none" w:sz="0" w:space="0" w:color="auto"/>
          </w:divBdr>
          <w:divsChild>
            <w:div w:id="121157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071351">
      <w:bodyDiv w:val="1"/>
      <w:marLeft w:val="0"/>
      <w:marRight w:val="0"/>
      <w:marTop w:val="0"/>
      <w:marBottom w:val="0"/>
      <w:divBdr>
        <w:top w:val="none" w:sz="0" w:space="0" w:color="auto"/>
        <w:left w:val="none" w:sz="0" w:space="0" w:color="auto"/>
        <w:bottom w:val="none" w:sz="0" w:space="0" w:color="auto"/>
        <w:right w:val="none" w:sz="0" w:space="0" w:color="auto"/>
      </w:divBdr>
      <w:divsChild>
        <w:div w:id="1683167661">
          <w:marLeft w:val="0"/>
          <w:marRight w:val="0"/>
          <w:marTop w:val="0"/>
          <w:marBottom w:val="0"/>
          <w:divBdr>
            <w:top w:val="none" w:sz="0" w:space="0" w:color="auto"/>
            <w:left w:val="none" w:sz="0" w:space="0" w:color="auto"/>
            <w:bottom w:val="none" w:sz="0" w:space="0" w:color="auto"/>
            <w:right w:val="none" w:sz="0" w:space="0" w:color="auto"/>
          </w:divBdr>
          <w:divsChild>
            <w:div w:id="1642273706">
              <w:marLeft w:val="0"/>
              <w:marRight w:val="0"/>
              <w:marTop w:val="0"/>
              <w:marBottom w:val="0"/>
              <w:divBdr>
                <w:top w:val="none" w:sz="0" w:space="0" w:color="auto"/>
                <w:left w:val="none" w:sz="0" w:space="0" w:color="auto"/>
                <w:bottom w:val="none" w:sz="0" w:space="0" w:color="auto"/>
                <w:right w:val="none" w:sz="0" w:space="0" w:color="auto"/>
              </w:divBdr>
              <w:divsChild>
                <w:div w:id="1975795946">
                  <w:marLeft w:val="0"/>
                  <w:marRight w:val="0"/>
                  <w:marTop w:val="0"/>
                  <w:marBottom w:val="0"/>
                  <w:divBdr>
                    <w:top w:val="none" w:sz="0" w:space="0" w:color="auto"/>
                    <w:left w:val="none" w:sz="0" w:space="0" w:color="auto"/>
                    <w:bottom w:val="none" w:sz="0" w:space="0" w:color="auto"/>
                    <w:right w:val="none" w:sz="0" w:space="0" w:color="auto"/>
                  </w:divBdr>
                  <w:divsChild>
                    <w:div w:id="136848243">
                      <w:marLeft w:val="0"/>
                      <w:marRight w:val="0"/>
                      <w:marTop w:val="0"/>
                      <w:marBottom w:val="0"/>
                      <w:divBdr>
                        <w:top w:val="none" w:sz="0" w:space="0" w:color="auto"/>
                        <w:left w:val="none" w:sz="0" w:space="0" w:color="auto"/>
                        <w:bottom w:val="none" w:sz="0" w:space="0" w:color="auto"/>
                        <w:right w:val="none" w:sz="0" w:space="0" w:color="auto"/>
                      </w:divBdr>
                      <w:divsChild>
                        <w:div w:id="803280481">
                          <w:marLeft w:val="0"/>
                          <w:marRight w:val="0"/>
                          <w:marTop w:val="0"/>
                          <w:marBottom w:val="0"/>
                          <w:divBdr>
                            <w:top w:val="none" w:sz="0" w:space="0" w:color="auto"/>
                            <w:left w:val="none" w:sz="0" w:space="0" w:color="auto"/>
                            <w:bottom w:val="none" w:sz="0" w:space="0" w:color="auto"/>
                            <w:right w:val="none" w:sz="0" w:space="0" w:color="auto"/>
                          </w:divBdr>
                          <w:divsChild>
                            <w:div w:id="1612977898">
                              <w:marLeft w:val="0"/>
                              <w:marRight w:val="0"/>
                              <w:marTop w:val="0"/>
                              <w:marBottom w:val="0"/>
                              <w:divBdr>
                                <w:top w:val="none" w:sz="0" w:space="0" w:color="auto"/>
                                <w:left w:val="none" w:sz="0" w:space="0" w:color="auto"/>
                                <w:bottom w:val="none" w:sz="0" w:space="0" w:color="auto"/>
                                <w:right w:val="none" w:sz="0" w:space="0" w:color="auto"/>
                              </w:divBdr>
                              <w:divsChild>
                                <w:div w:id="308900724">
                                  <w:marLeft w:val="0"/>
                                  <w:marRight w:val="0"/>
                                  <w:marTop w:val="0"/>
                                  <w:marBottom w:val="0"/>
                                  <w:divBdr>
                                    <w:top w:val="none" w:sz="0" w:space="0" w:color="auto"/>
                                    <w:left w:val="none" w:sz="0" w:space="0" w:color="auto"/>
                                    <w:bottom w:val="none" w:sz="0" w:space="0" w:color="auto"/>
                                    <w:right w:val="none" w:sz="0" w:space="0" w:color="auto"/>
                                  </w:divBdr>
                                  <w:divsChild>
                                    <w:div w:id="52579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0139223">
      <w:bodyDiv w:val="1"/>
      <w:marLeft w:val="0"/>
      <w:marRight w:val="0"/>
      <w:marTop w:val="0"/>
      <w:marBottom w:val="0"/>
      <w:divBdr>
        <w:top w:val="none" w:sz="0" w:space="0" w:color="auto"/>
        <w:left w:val="none" w:sz="0" w:space="0" w:color="auto"/>
        <w:bottom w:val="none" w:sz="0" w:space="0" w:color="auto"/>
        <w:right w:val="none" w:sz="0" w:space="0" w:color="auto"/>
      </w:divBdr>
    </w:div>
    <w:div w:id="260913206">
      <w:bodyDiv w:val="1"/>
      <w:marLeft w:val="0"/>
      <w:marRight w:val="0"/>
      <w:marTop w:val="0"/>
      <w:marBottom w:val="0"/>
      <w:divBdr>
        <w:top w:val="none" w:sz="0" w:space="0" w:color="auto"/>
        <w:left w:val="none" w:sz="0" w:space="0" w:color="auto"/>
        <w:bottom w:val="none" w:sz="0" w:space="0" w:color="auto"/>
        <w:right w:val="none" w:sz="0" w:space="0" w:color="auto"/>
      </w:divBdr>
      <w:divsChild>
        <w:div w:id="384261427">
          <w:marLeft w:val="0"/>
          <w:marRight w:val="0"/>
          <w:marTop w:val="0"/>
          <w:marBottom w:val="150"/>
          <w:divBdr>
            <w:top w:val="none" w:sz="0" w:space="0" w:color="auto"/>
            <w:left w:val="none" w:sz="0" w:space="0" w:color="auto"/>
            <w:bottom w:val="none" w:sz="0" w:space="0" w:color="auto"/>
            <w:right w:val="none" w:sz="0" w:space="0" w:color="auto"/>
          </w:divBdr>
        </w:div>
      </w:divsChild>
    </w:div>
    <w:div w:id="261034845">
      <w:bodyDiv w:val="1"/>
      <w:marLeft w:val="0"/>
      <w:marRight w:val="0"/>
      <w:marTop w:val="0"/>
      <w:marBottom w:val="0"/>
      <w:divBdr>
        <w:top w:val="none" w:sz="0" w:space="0" w:color="auto"/>
        <w:left w:val="none" w:sz="0" w:space="0" w:color="auto"/>
        <w:bottom w:val="none" w:sz="0" w:space="0" w:color="auto"/>
        <w:right w:val="none" w:sz="0" w:space="0" w:color="auto"/>
      </w:divBdr>
      <w:divsChild>
        <w:div w:id="1407846694">
          <w:marLeft w:val="0"/>
          <w:marRight w:val="0"/>
          <w:marTop w:val="0"/>
          <w:marBottom w:val="0"/>
          <w:divBdr>
            <w:top w:val="none" w:sz="0" w:space="0" w:color="auto"/>
            <w:left w:val="none" w:sz="0" w:space="0" w:color="auto"/>
            <w:bottom w:val="none" w:sz="0" w:space="0" w:color="auto"/>
            <w:right w:val="none" w:sz="0" w:space="0" w:color="auto"/>
          </w:divBdr>
          <w:divsChild>
            <w:div w:id="405567969">
              <w:marLeft w:val="0"/>
              <w:marRight w:val="0"/>
              <w:marTop w:val="0"/>
              <w:marBottom w:val="0"/>
              <w:divBdr>
                <w:top w:val="none" w:sz="0" w:space="0" w:color="auto"/>
                <w:left w:val="none" w:sz="0" w:space="0" w:color="auto"/>
                <w:bottom w:val="none" w:sz="0" w:space="0" w:color="auto"/>
                <w:right w:val="none" w:sz="0" w:space="0" w:color="auto"/>
              </w:divBdr>
              <w:divsChild>
                <w:div w:id="2004041242">
                  <w:marLeft w:val="0"/>
                  <w:marRight w:val="0"/>
                  <w:marTop w:val="0"/>
                  <w:marBottom w:val="0"/>
                  <w:divBdr>
                    <w:top w:val="none" w:sz="0" w:space="0" w:color="auto"/>
                    <w:left w:val="none" w:sz="0" w:space="0" w:color="auto"/>
                    <w:bottom w:val="none" w:sz="0" w:space="0" w:color="auto"/>
                    <w:right w:val="none" w:sz="0" w:space="0" w:color="auto"/>
                  </w:divBdr>
                  <w:divsChild>
                    <w:div w:id="402992251">
                      <w:marLeft w:val="0"/>
                      <w:marRight w:val="0"/>
                      <w:marTop w:val="0"/>
                      <w:marBottom w:val="0"/>
                      <w:divBdr>
                        <w:top w:val="none" w:sz="0" w:space="0" w:color="auto"/>
                        <w:left w:val="none" w:sz="0" w:space="0" w:color="auto"/>
                        <w:bottom w:val="none" w:sz="0" w:space="0" w:color="auto"/>
                        <w:right w:val="none" w:sz="0" w:space="0" w:color="auto"/>
                      </w:divBdr>
                      <w:divsChild>
                        <w:div w:id="959646114">
                          <w:marLeft w:val="0"/>
                          <w:marRight w:val="0"/>
                          <w:marTop w:val="0"/>
                          <w:marBottom w:val="0"/>
                          <w:divBdr>
                            <w:top w:val="none" w:sz="0" w:space="0" w:color="auto"/>
                            <w:left w:val="none" w:sz="0" w:space="0" w:color="auto"/>
                            <w:bottom w:val="none" w:sz="0" w:space="0" w:color="auto"/>
                            <w:right w:val="none" w:sz="0" w:space="0" w:color="auto"/>
                          </w:divBdr>
                          <w:divsChild>
                            <w:div w:id="1636333237">
                              <w:marLeft w:val="0"/>
                              <w:marRight w:val="0"/>
                              <w:marTop w:val="0"/>
                              <w:marBottom w:val="0"/>
                              <w:divBdr>
                                <w:top w:val="none" w:sz="0" w:space="0" w:color="auto"/>
                                <w:left w:val="none" w:sz="0" w:space="0" w:color="auto"/>
                                <w:bottom w:val="none" w:sz="0" w:space="0" w:color="auto"/>
                                <w:right w:val="none" w:sz="0" w:space="0" w:color="auto"/>
                              </w:divBdr>
                              <w:divsChild>
                                <w:div w:id="860121852">
                                  <w:marLeft w:val="0"/>
                                  <w:marRight w:val="0"/>
                                  <w:marTop w:val="0"/>
                                  <w:marBottom w:val="0"/>
                                  <w:divBdr>
                                    <w:top w:val="none" w:sz="0" w:space="0" w:color="auto"/>
                                    <w:left w:val="none" w:sz="0" w:space="0" w:color="auto"/>
                                    <w:bottom w:val="none" w:sz="0" w:space="0" w:color="auto"/>
                                    <w:right w:val="none" w:sz="0" w:space="0" w:color="auto"/>
                                  </w:divBdr>
                                  <w:divsChild>
                                    <w:div w:id="214735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1184075">
      <w:bodyDiv w:val="1"/>
      <w:marLeft w:val="0"/>
      <w:marRight w:val="0"/>
      <w:marTop w:val="0"/>
      <w:marBottom w:val="0"/>
      <w:divBdr>
        <w:top w:val="none" w:sz="0" w:space="0" w:color="auto"/>
        <w:left w:val="none" w:sz="0" w:space="0" w:color="auto"/>
        <w:bottom w:val="none" w:sz="0" w:space="0" w:color="auto"/>
        <w:right w:val="none" w:sz="0" w:space="0" w:color="auto"/>
      </w:divBdr>
    </w:div>
    <w:div w:id="261299295">
      <w:bodyDiv w:val="1"/>
      <w:marLeft w:val="0"/>
      <w:marRight w:val="0"/>
      <w:marTop w:val="0"/>
      <w:marBottom w:val="0"/>
      <w:divBdr>
        <w:top w:val="none" w:sz="0" w:space="0" w:color="auto"/>
        <w:left w:val="none" w:sz="0" w:space="0" w:color="auto"/>
        <w:bottom w:val="none" w:sz="0" w:space="0" w:color="auto"/>
        <w:right w:val="none" w:sz="0" w:space="0" w:color="auto"/>
      </w:divBdr>
      <w:divsChild>
        <w:div w:id="910389439">
          <w:marLeft w:val="0"/>
          <w:marRight w:val="0"/>
          <w:marTop w:val="150"/>
          <w:marBottom w:val="0"/>
          <w:divBdr>
            <w:top w:val="none" w:sz="0" w:space="0" w:color="auto"/>
            <w:left w:val="none" w:sz="0" w:space="0" w:color="auto"/>
            <w:bottom w:val="none" w:sz="0" w:space="0" w:color="auto"/>
            <w:right w:val="none" w:sz="0" w:space="0" w:color="auto"/>
          </w:divBdr>
          <w:divsChild>
            <w:div w:id="460655695">
              <w:marLeft w:val="0"/>
              <w:marRight w:val="0"/>
              <w:marTop w:val="0"/>
              <w:marBottom w:val="0"/>
              <w:divBdr>
                <w:top w:val="none" w:sz="0" w:space="0" w:color="auto"/>
                <w:left w:val="none" w:sz="0" w:space="0" w:color="auto"/>
                <w:bottom w:val="none" w:sz="0" w:space="0" w:color="auto"/>
                <w:right w:val="none" w:sz="0" w:space="0" w:color="auto"/>
              </w:divBdr>
              <w:divsChild>
                <w:div w:id="81549420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37845823">
          <w:marLeft w:val="0"/>
          <w:marRight w:val="0"/>
          <w:marTop w:val="0"/>
          <w:marBottom w:val="0"/>
          <w:divBdr>
            <w:top w:val="none" w:sz="0" w:space="0" w:color="auto"/>
            <w:left w:val="none" w:sz="0" w:space="0" w:color="auto"/>
            <w:bottom w:val="none" w:sz="0" w:space="0" w:color="auto"/>
            <w:right w:val="none" w:sz="0" w:space="0" w:color="auto"/>
          </w:divBdr>
          <w:divsChild>
            <w:div w:id="28921681">
              <w:marLeft w:val="0"/>
              <w:marRight w:val="0"/>
              <w:marTop w:val="0"/>
              <w:marBottom w:val="0"/>
              <w:divBdr>
                <w:top w:val="none" w:sz="0" w:space="0" w:color="auto"/>
                <w:left w:val="none" w:sz="0" w:space="0" w:color="auto"/>
                <w:bottom w:val="none" w:sz="0" w:space="0" w:color="auto"/>
                <w:right w:val="none" w:sz="0" w:space="0" w:color="auto"/>
              </w:divBdr>
            </w:div>
            <w:div w:id="78333900">
              <w:marLeft w:val="0"/>
              <w:marRight w:val="0"/>
              <w:marTop w:val="150"/>
              <w:marBottom w:val="150"/>
              <w:divBdr>
                <w:top w:val="none" w:sz="0" w:space="0" w:color="auto"/>
                <w:left w:val="none" w:sz="0" w:space="0" w:color="auto"/>
                <w:bottom w:val="none" w:sz="0" w:space="0" w:color="auto"/>
                <w:right w:val="none" w:sz="0" w:space="0" w:color="auto"/>
              </w:divBdr>
            </w:div>
            <w:div w:id="827087915">
              <w:marLeft w:val="0"/>
              <w:marRight w:val="0"/>
              <w:marTop w:val="150"/>
              <w:marBottom w:val="150"/>
              <w:divBdr>
                <w:top w:val="none" w:sz="0" w:space="0" w:color="auto"/>
                <w:left w:val="none" w:sz="0" w:space="0" w:color="auto"/>
                <w:bottom w:val="none" w:sz="0" w:space="0" w:color="auto"/>
                <w:right w:val="none" w:sz="0" w:space="0" w:color="auto"/>
              </w:divBdr>
            </w:div>
            <w:div w:id="1175652744">
              <w:marLeft w:val="0"/>
              <w:marRight w:val="0"/>
              <w:marTop w:val="0"/>
              <w:marBottom w:val="0"/>
              <w:divBdr>
                <w:top w:val="none" w:sz="0" w:space="0" w:color="auto"/>
                <w:left w:val="none" w:sz="0" w:space="0" w:color="auto"/>
                <w:bottom w:val="none" w:sz="0" w:space="0" w:color="auto"/>
                <w:right w:val="none" w:sz="0" w:space="0" w:color="auto"/>
              </w:divBdr>
              <w:divsChild>
                <w:div w:id="647705799">
                  <w:marLeft w:val="0"/>
                  <w:marRight w:val="0"/>
                  <w:marTop w:val="0"/>
                  <w:marBottom w:val="0"/>
                  <w:divBdr>
                    <w:top w:val="none" w:sz="0" w:space="0" w:color="auto"/>
                    <w:left w:val="none" w:sz="0" w:space="0" w:color="auto"/>
                    <w:bottom w:val="none" w:sz="0" w:space="0" w:color="auto"/>
                    <w:right w:val="none" w:sz="0" w:space="0" w:color="auto"/>
                  </w:divBdr>
                  <w:divsChild>
                    <w:div w:id="1265452945">
                      <w:marLeft w:val="0"/>
                      <w:marRight w:val="0"/>
                      <w:marTop w:val="0"/>
                      <w:marBottom w:val="0"/>
                      <w:divBdr>
                        <w:top w:val="none" w:sz="0" w:space="0" w:color="auto"/>
                        <w:left w:val="none" w:sz="0" w:space="0" w:color="auto"/>
                        <w:bottom w:val="none" w:sz="0" w:space="0" w:color="auto"/>
                        <w:right w:val="none" w:sz="0" w:space="0" w:color="auto"/>
                      </w:divBdr>
                      <w:divsChild>
                        <w:div w:id="311952283">
                          <w:marLeft w:val="0"/>
                          <w:marRight w:val="0"/>
                          <w:marTop w:val="225"/>
                          <w:marBottom w:val="150"/>
                          <w:divBdr>
                            <w:top w:val="none" w:sz="0" w:space="4" w:color="auto"/>
                            <w:left w:val="none" w:sz="0" w:space="0" w:color="auto"/>
                            <w:bottom w:val="single" w:sz="6" w:space="4" w:color="CECECE"/>
                            <w:right w:val="none" w:sz="0" w:space="0" w:color="auto"/>
                          </w:divBdr>
                          <w:divsChild>
                            <w:div w:id="446973857">
                              <w:marLeft w:val="0"/>
                              <w:marRight w:val="0"/>
                              <w:marTop w:val="75"/>
                              <w:marBottom w:val="75"/>
                              <w:divBdr>
                                <w:top w:val="none" w:sz="0" w:space="0" w:color="auto"/>
                                <w:left w:val="none" w:sz="0" w:space="0" w:color="auto"/>
                                <w:bottom w:val="none" w:sz="0" w:space="0" w:color="auto"/>
                                <w:right w:val="none" w:sz="0" w:space="0" w:color="auto"/>
                              </w:divBdr>
                              <w:divsChild>
                                <w:div w:id="1037900072">
                                  <w:marLeft w:val="0"/>
                                  <w:marRight w:val="0"/>
                                  <w:marTop w:val="45"/>
                                  <w:marBottom w:val="0"/>
                                  <w:divBdr>
                                    <w:top w:val="none" w:sz="0" w:space="0" w:color="auto"/>
                                    <w:left w:val="none" w:sz="0" w:space="0" w:color="auto"/>
                                    <w:bottom w:val="none" w:sz="0" w:space="0" w:color="auto"/>
                                    <w:right w:val="none" w:sz="0" w:space="0" w:color="auto"/>
                                  </w:divBdr>
                                </w:div>
                                <w:div w:id="1690175623">
                                  <w:marLeft w:val="0"/>
                                  <w:marRight w:val="135"/>
                                  <w:marTop w:val="0"/>
                                  <w:marBottom w:val="0"/>
                                  <w:divBdr>
                                    <w:top w:val="none" w:sz="0" w:space="0" w:color="auto"/>
                                    <w:left w:val="none" w:sz="0" w:space="0" w:color="auto"/>
                                    <w:bottom w:val="none" w:sz="0" w:space="0" w:color="auto"/>
                                    <w:right w:val="none" w:sz="0" w:space="0" w:color="auto"/>
                                  </w:divBdr>
                                </w:div>
                              </w:divsChild>
                            </w:div>
                            <w:div w:id="115842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1500504">
      <w:bodyDiv w:val="1"/>
      <w:marLeft w:val="0"/>
      <w:marRight w:val="0"/>
      <w:marTop w:val="0"/>
      <w:marBottom w:val="0"/>
      <w:divBdr>
        <w:top w:val="none" w:sz="0" w:space="0" w:color="auto"/>
        <w:left w:val="none" w:sz="0" w:space="0" w:color="auto"/>
        <w:bottom w:val="none" w:sz="0" w:space="0" w:color="auto"/>
        <w:right w:val="none" w:sz="0" w:space="0" w:color="auto"/>
      </w:divBdr>
      <w:divsChild>
        <w:div w:id="47189370">
          <w:marLeft w:val="0"/>
          <w:marRight w:val="0"/>
          <w:marTop w:val="0"/>
          <w:marBottom w:val="0"/>
          <w:divBdr>
            <w:top w:val="none" w:sz="0" w:space="0" w:color="auto"/>
            <w:left w:val="none" w:sz="0" w:space="0" w:color="auto"/>
            <w:bottom w:val="none" w:sz="0" w:space="0" w:color="auto"/>
            <w:right w:val="none" w:sz="0" w:space="0" w:color="auto"/>
          </w:divBdr>
        </w:div>
      </w:divsChild>
    </w:div>
    <w:div w:id="261882974">
      <w:bodyDiv w:val="1"/>
      <w:marLeft w:val="0"/>
      <w:marRight w:val="0"/>
      <w:marTop w:val="0"/>
      <w:marBottom w:val="0"/>
      <w:divBdr>
        <w:top w:val="none" w:sz="0" w:space="0" w:color="auto"/>
        <w:left w:val="none" w:sz="0" w:space="0" w:color="auto"/>
        <w:bottom w:val="none" w:sz="0" w:space="0" w:color="auto"/>
        <w:right w:val="none" w:sz="0" w:space="0" w:color="auto"/>
      </w:divBdr>
      <w:divsChild>
        <w:div w:id="841897453">
          <w:marLeft w:val="0"/>
          <w:marRight w:val="0"/>
          <w:marTop w:val="0"/>
          <w:marBottom w:val="0"/>
          <w:divBdr>
            <w:top w:val="none" w:sz="0" w:space="0" w:color="auto"/>
            <w:left w:val="none" w:sz="0" w:space="0" w:color="auto"/>
            <w:bottom w:val="dotted" w:sz="6" w:space="4" w:color="DDDDDD"/>
            <w:right w:val="none" w:sz="0" w:space="0" w:color="auto"/>
          </w:divBdr>
          <w:divsChild>
            <w:div w:id="26596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424546">
      <w:bodyDiv w:val="1"/>
      <w:marLeft w:val="0"/>
      <w:marRight w:val="0"/>
      <w:marTop w:val="0"/>
      <w:marBottom w:val="0"/>
      <w:divBdr>
        <w:top w:val="none" w:sz="0" w:space="0" w:color="auto"/>
        <w:left w:val="none" w:sz="0" w:space="0" w:color="auto"/>
        <w:bottom w:val="none" w:sz="0" w:space="0" w:color="auto"/>
        <w:right w:val="none" w:sz="0" w:space="0" w:color="auto"/>
      </w:divBdr>
      <w:divsChild>
        <w:div w:id="644773233">
          <w:marLeft w:val="0"/>
          <w:marRight w:val="0"/>
          <w:marTop w:val="0"/>
          <w:marBottom w:val="0"/>
          <w:divBdr>
            <w:top w:val="none" w:sz="0" w:space="0" w:color="auto"/>
            <w:left w:val="none" w:sz="0" w:space="0" w:color="auto"/>
            <w:bottom w:val="none" w:sz="0" w:space="0" w:color="auto"/>
            <w:right w:val="none" w:sz="0" w:space="0" w:color="auto"/>
          </w:divBdr>
        </w:div>
      </w:divsChild>
    </w:div>
    <w:div w:id="263343414">
      <w:bodyDiv w:val="1"/>
      <w:marLeft w:val="0"/>
      <w:marRight w:val="0"/>
      <w:marTop w:val="0"/>
      <w:marBottom w:val="0"/>
      <w:divBdr>
        <w:top w:val="none" w:sz="0" w:space="0" w:color="auto"/>
        <w:left w:val="none" w:sz="0" w:space="0" w:color="auto"/>
        <w:bottom w:val="none" w:sz="0" w:space="0" w:color="auto"/>
        <w:right w:val="none" w:sz="0" w:space="0" w:color="auto"/>
      </w:divBdr>
      <w:divsChild>
        <w:div w:id="1296641691">
          <w:marLeft w:val="0"/>
          <w:marRight w:val="0"/>
          <w:marTop w:val="0"/>
          <w:marBottom w:val="0"/>
          <w:divBdr>
            <w:top w:val="none" w:sz="0" w:space="0" w:color="auto"/>
            <w:left w:val="none" w:sz="0" w:space="0" w:color="auto"/>
            <w:bottom w:val="none" w:sz="0" w:space="0" w:color="auto"/>
            <w:right w:val="none" w:sz="0" w:space="0" w:color="auto"/>
          </w:divBdr>
          <w:divsChild>
            <w:div w:id="1718816921">
              <w:marLeft w:val="0"/>
              <w:marRight w:val="0"/>
              <w:marTop w:val="0"/>
              <w:marBottom w:val="0"/>
              <w:divBdr>
                <w:top w:val="none" w:sz="0" w:space="0" w:color="auto"/>
                <w:left w:val="none" w:sz="0" w:space="0" w:color="auto"/>
                <w:bottom w:val="none" w:sz="0" w:space="0" w:color="auto"/>
                <w:right w:val="none" w:sz="0" w:space="0" w:color="auto"/>
              </w:divBdr>
              <w:divsChild>
                <w:div w:id="1335572026">
                  <w:marLeft w:val="0"/>
                  <w:marRight w:val="0"/>
                  <w:marTop w:val="0"/>
                  <w:marBottom w:val="0"/>
                  <w:divBdr>
                    <w:top w:val="none" w:sz="0" w:space="0" w:color="auto"/>
                    <w:left w:val="none" w:sz="0" w:space="0" w:color="auto"/>
                    <w:bottom w:val="none" w:sz="0" w:space="0" w:color="auto"/>
                    <w:right w:val="none" w:sz="0" w:space="0" w:color="auto"/>
                  </w:divBdr>
                  <w:divsChild>
                    <w:div w:id="68963722">
                      <w:marLeft w:val="0"/>
                      <w:marRight w:val="0"/>
                      <w:marTop w:val="0"/>
                      <w:marBottom w:val="0"/>
                      <w:divBdr>
                        <w:top w:val="none" w:sz="0" w:space="0" w:color="auto"/>
                        <w:left w:val="none" w:sz="0" w:space="0" w:color="auto"/>
                        <w:bottom w:val="none" w:sz="0" w:space="0" w:color="auto"/>
                        <w:right w:val="none" w:sz="0" w:space="0" w:color="auto"/>
                      </w:divBdr>
                      <w:divsChild>
                        <w:div w:id="1190728732">
                          <w:marLeft w:val="0"/>
                          <w:marRight w:val="0"/>
                          <w:marTop w:val="0"/>
                          <w:marBottom w:val="0"/>
                          <w:divBdr>
                            <w:top w:val="none" w:sz="0" w:space="0" w:color="auto"/>
                            <w:left w:val="none" w:sz="0" w:space="0" w:color="auto"/>
                            <w:bottom w:val="none" w:sz="0" w:space="0" w:color="auto"/>
                            <w:right w:val="none" w:sz="0" w:space="0" w:color="auto"/>
                          </w:divBdr>
                          <w:divsChild>
                            <w:div w:id="1362439533">
                              <w:marLeft w:val="0"/>
                              <w:marRight w:val="0"/>
                              <w:marTop w:val="0"/>
                              <w:marBottom w:val="0"/>
                              <w:divBdr>
                                <w:top w:val="none" w:sz="0" w:space="0" w:color="auto"/>
                                <w:left w:val="none" w:sz="0" w:space="0" w:color="auto"/>
                                <w:bottom w:val="none" w:sz="0" w:space="0" w:color="auto"/>
                                <w:right w:val="none" w:sz="0" w:space="0" w:color="auto"/>
                              </w:divBdr>
                              <w:divsChild>
                                <w:div w:id="1045564692">
                                  <w:marLeft w:val="0"/>
                                  <w:marRight w:val="0"/>
                                  <w:marTop w:val="0"/>
                                  <w:marBottom w:val="0"/>
                                  <w:divBdr>
                                    <w:top w:val="none" w:sz="0" w:space="0" w:color="auto"/>
                                    <w:left w:val="none" w:sz="0" w:space="0" w:color="auto"/>
                                    <w:bottom w:val="none" w:sz="0" w:space="0" w:color="auto"/>
                                    <w:right w:val="none" w:sz="0" w:space="0" w:color="auto"/>
                                  </w:divBdr>
                                  <w:divsChild>
                                    <w:div w:id="90317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345225">
      <w:bodyDiv w:val="1"/>
      <w:marLeft w:val="0"/>
      <w:marRight w:val="0"/>
      <w:marTop w:val="0"/>
      <w:marBottom w:val="0"/>
      <w:divBdr>
        <w:top w:val="none" w:sz="0" w:space="0" w:color="auto"/>
        <w:left w:val="none" w:sz="0" w:space="0" w:color="auto"/>
        <w:bottom w:val="none" w:sz="0" w:space="0" w:color="auto"/>
        <w:right w:val="none" w:sz="0" w:space="0" w:color="auto"/>
      </w:divBdr>
    </w:div>
    <w:div w:id="263537882">
      <w:bodyDiv w:val="1"/>
      <w:marLeft w:val="0"/>
      <w:marRight w:val="0"/>
      <w:marTop w:val="0"/>
      <w:marBottom w:val="0"/>
      <w:divBdr>
        <w:top w:val="none" w:sz="0" w:space="0" w:color="auto"/>
        <w:left w:val="none" w:sz="0" w:space="0" w:color="auto"/>
        <w:bottom w:val="none" w:sz="0" w:space="0" w:color="auto"/>
        <w:right w:val="none" w:sz="0" w:space="0" w:color="auto"/>
      </w:divBdr>
      <w:divsChild>
        <w:div w:id="1138643027">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557011769">
              <w:marLeft w:val="0"/>
              <w:marRight w:val="0"/>
              <w:marTop w:val="300"/>
              <w:marBottom w:val="300"/>
              <w:divBdr>
                <w:top w:val="none" w:sz="0" w:space="0" w:color="auto"/>
                <w:left w:val="none" w:sz="0" w:space="0" w:color="auto"/>
                <w:bottom w:val="none" w:sz="0" w:space="0" w:color="auto"/>
                <w:right w:val="none" w:sz="0" w:space="0" w:color="auto"/>
              </w:divBdr>
              <w:divsChild>
                <w:div w:id="228465904">
                  <w:marLeft w:val="0"/>
                  <w:marRight w:val="0"/>
                  <w:marTop w:val="0"/>
                  <w:marBottom w:val="0"/>
                  <w:divBdr>
                    <w:top w:val="none" w:sz="0" w:space="0" w:color="auto"/>
                    <w:left w:val="none" w:sz="0" w:space="0" w:color="auto"/>
                    <w:bottom w:val="none" w:sz="0" w:space="0" w:color="auto"/>
                    <w:right w:val="none" w:sz="0" w:space="0" w:color="auto"/>
                  </w:divBdr>
                  <w:divsChild>
                    <w:div w:id="1574311170">
                      <w:marLeft w:val="0"/>
                      <w:marRight w:val="0"/>
                      <w:marTop w:val="0"/>
                      <w:marBottom w:val="0"/>
                      <w:divBdr>
                        <w:top w:val="none" w:sz="0" w:space="0" w:color="auto"/>
                        <w:left w:val="none" w:sz="0" w:space="0" w:color="auto"/>
                        <w:bottom w:val="none" w:sz="0" w:space="0" w:color="auto"/>
                        <w:right w:val="none" w:sz="0" w:space="0" w:color="auto"/>
                      </w:divBdr>
                      <w:divsChild>
                        <w:div w:id="1318073583">
                          <w:marLeft w:val="0"/>
                          <w:marRight w:val="0"/>
                          <w:marTop w:val="0"/>
                          <w:marBottom w:val="0"/>
                          <w:divBdr>
                            <w:top w:val="none" w:sz="0" w:space="0" w:color="auto"/>
                            <w:left w:val="none" w:sz="0" w:space="0" w:color="auto"/>
                            <w:bottom w:val="none" w:sz="0" w:space="0" w:color="auto"/>
                            <w:right w:val="none" w:sz="0" w:space="0" w:color="auto"/>
                          </w:divBdr>
                          <w:divsChild>
                            <w:div w:id="51277066">
                              <w:marLeft w:val="0"/>
                              <w:marRight w:val="0"/>
                              <w:marTop w:val="0"/>
                              <w:marBottom w:val="0"/>
                              <w:divBdr>
                                <w:top w:val="none" w:sz="0" w:space="0" w:color="auto"/>
                                <w:left w:val="none" w:sz="0" w:space="0" w:color="auto"/>
                                <w:bottom w:val="none" w:sz="0" w:space="0" w:color="auto"/>
                                <w:right w:val="none" w:sz="0" w:space="0" w:color="auto"/>
                              </w:divBdr>
                              <w:divsChild>
                                <w:div w:id="1612740179">
                                  <w:marLeft w:val="0"/>
                                  <w:marRight w:val="0"/>
                                  <w:marTop w:val="0"/>
                                  <w:marBottom w:val="0"/>
                                  <w:divBdr>
                                    <w:top w:val="none" w:sz="0" w:space="0" w:color="auto"/>
                                    <w:left w:val="none" w:sz="0" w:space="0" w:color="auto"/>
                                    <w:bottom w:val="none" w:sz="0" w:space="0" w:color="auto"/>
                                    <w:right w:val="none" w:sz="0" w:space="0" w:color="auto"/>
                                  </w:divBdr>
                                  <w:divsChild>
                                    <w:div w:id="94753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4003411">
      <w:bodyDiv w:val="1"/>
      <w:marLeft w:val="0"/>
      <w:marRight w:val="0"/>
      <w:marTop w:val="0"/>
      <w:marBottom w:val="0"/>
      <w:divBdr>
        <w:top w:val="none" w:sz="0" w:space="0" w:color="auto"/>
        <w:left w:val="none" w:sz="0" w:space="0" w:color="auto"/>
        <w:bottom w:val="none" w:sz="0" w:space="0" w:color="auto"/>
        <w:right w:val="none" w:sz="0" w:space="0" w:color="auto"/>
      </w:divBdr>
    </w:div>
    <w:div w:id="264266755">
      <w:bodyDiv w:val="1"/>
      <w:marLeft w:val="0"/>
      <w:marRight w:val="0"/>
      <w:marTop w:val="0"/>
      <w:marBottom w:val="0"/>
      <w:divBdr>
        <w:top w:val="none" w:sz="0" w:space="0" w:color="auto"/>
        <w:left w:val="none" w:sz="0" w:space="0" w:color="auto"/>
        <w:bottom w:val="none" w:sz="0" w:space="0" w:color="auto"/>
        <w:right w:val="none" w:sz="0" w:space="0" w:color="auto"/>
      </w:divBdr>
    </w:div>
    <w:div w:id="265305822">
      <w:bodyDiv w:val="1"/>
      <w:marLeft w:val="0"/>
      <w:marRight w:val="0"/>
      <w:marTop w:val="0"/>
      <w:marBottom w:val="0"/>
      <w:divBdr>
        <w:top w:val="none" w:sz="0" w:space="0" w:color="auto"/>
        <w:left w:val="none" w:sz="0" w:space="0" w:color="auto"/>
        <w:bottom w:val="none" w:sz="0" w:space="0" w:color="auto"/>
        <w:right w:val="none" w:sz="0" w:space="0" w:color="auto"/>
      </w:divBdr>
      <w:divsChild>
        <w:div w:id="475413801">
          <w:marLeft w:val="0"/>
          <w:marRight w:val="0"/>
          <w:marTop w:val="0"/>
          <w:marBottom w:val="150"/>
          <w:divBdr>
            <w:top w:val="none" w:sz="0" w:space="0" w:color="auto"/>
            <w:left w:val="none" w:sz="0" w:space="0" w:color="auto"/>
            <w:bottom w:val="none" w:sz="0" w:space="0" w:color="auto"/>
            <w:right w:val="none" w:sz="0" w:space="0" w:color="auto"/>
          </w:divBdr>
        </w:div>
        <w:div w:id="503783108">
          <w:marLeft w:val="0"/>
          <w:marRight w:val="0"/>
          <w:marTop w:val="0"/>
          <w:marBottom w:val="150"/>
          <w:divBdr>
            <w:top w:val="none" w:sz="0" w:space="0" w:color="auto"/>
            <w:left w:val="none" w:sz="0" w:space="0" w:color="auto"/>
            <w:bottom w:val="none" w:sz="0" w:space="0" w:color="auto"/>
            <w:right w:val="none" w:sz="0" w:space="0" w:color="auto"/>
          </w:divBdr>
        </w:div>
        <w:div w:id="785075742">
          <w:marLeft w:val="0"/>
          <w:marRight w:val="0"/>
          <w:marTop w:val="0"/>
          <w:marBottom w:val="150"/>
          <w:divBdr>
            <w:top w:val="none" w:sz="0" w:space="0" w:color="auto"/>
            <w:left w:val="none" w:sz="0" w:space="0" w:color="auto"/>
            <w:bottom w:val="none" w:sz="0" w:space="0" w:color="auto"/>
            <w:right w:val="none" w:sz="0" w:space="0" w:color="auto"/>
          </w:divBdr>
        </w:div>
        <w:div w:id="838035671">
          <w:marLeft w:val="0"/>
          <w:marRight w:val="0"/>
          <w:marTop w:val="0"/>
          <w:marBottom w:val="150"/>
          <w:divBdr>
            <w:top w:val="none" w:sz="0" w:space="0" w:color="auto"/>
            <w:left w:val="none" w:sz="0" w:space="0" w:color="auto"/>
            <w:bottom w:val="none" w:sz="0" w:space="0" w:color="auto"/>
            <w:right w:val="none" w:sz="0" w:space="0" w:color="auto"/>
          </w:divBdr>
        </w:div>
        <w:div w:id="1077290628">
          <w:marLeft w:val="0"/>
          <w:marRight w:val="0"/>
          <w:marTop w:val="0"/>
          <w:marBottom w:val="150"/>
          <w:divBdr>
            <w:top w:val="none" w:sz="0" w:space="0" w:color="auto"/>
            <w:left w:val="none" w:sz="0" w:space="0" w:color="auto"/>
            <w:bottom w:val="none" w:sz="0" w:space="0" w:color="auto"/>
            <w:right w:val="none" w:sz="0" w:space="0" w:color="auto"/>
          </w:divBdr>
        </w:div>
        <w:div w:id="1292979000">
          <w:marLeft w:val="0"/>
          <w:marRight w:val="0"/>
          <w:marTop w:val="0"/>
          <w:marBottom w:val="150"/>
          <w:divBdr>
            <w:top w:val="none" w:sz="0" w:space="0" w:color="auto"/>
            <w:left w:val="none" w:sz="0" w:space="0" w:color="auto"/>
            <w:bottom w:val="none" w:sz="0" w:space="0" w:color="auto"/>
            <w:right w:val="none" w:sz="0" w:space="0" w:color="auto"/>
          </w:divBdr>
        </w:div>
        <w:div w:id="1643778501">
          <w:marLeft w:val="0"/>
          <w:marRight w:val="0"/>
          <w:marTop w:val="0"/>
          <w:marBottom w:val="150"/>
          <w:divBdr>
            <w:top w:val="none" w:sz="0" w:space="0" w:color="auto"/>
            <w:left w:val="none" w:sz="0" w:space="0" w:color="auto"/>
            <w:bottom w:val="none" w:sz="0" w:space="0" w:color="auto"/>
            <w:right w:val="none" w:sz="0" w:space="0" w:color="auto"/>
          </w:divBdr>
        </w:div>
        <w:div w:id="1715276551">
          <w:marLeft w:val="0"/>
          <w:marRight w:val="0"/>
          <w:marTop w:val="0"/>
          <w:marBottom w:val="150"/>
          <w:divBdr>
            <w:top w:val="none" w:sz="0" w:space="0" w:color="auto"/>
            <w:left w:val="none" w:sz="0" w:space="0" w:color="auto"/>
            <w:bottom w:val="none" w:sz="0" w:space="0" w:color="auto"/>
            <w:right w:val="none" w:sz="0" w:space="0" w:color="auto"/>
          </w:divBdr>
        </w:div>
        <w:div w:id="1765225004">
          <w:marLeft w:val="0"/>
          <w:marRight w:val="0"/>
          <w:marTop w:val="0"/>
          <w:marBottom w:val="150"/>
          <w:divBdr>
            <w:top w:val="none" w:sz="0" w:space="0" w:color="auto"/>
            <w:left w:val="none" w:sz="0" w:space="0" w:color="auto"/>
            <w:bottom w:val="none" w:sz="0" w:space="0" w:color="auto"/>
            <w:right w:val="none" w:sz="0" w:space="0" w:color="auto"/>
          </w:divBdr>
        </w:div>
      </w:divsChild>
    </w:div>
    <w:div w:id="265429127">
      <w:bodyDiv w:val="1"/>
      <w:marLeft w:val="0"/>
      <w:marRight w:val="0"/>
      <w:marTop w:val="0"/>
      <w:marBottom w:val="0"/>
      <w:divBdr>
        <w:top w:val="none" w:sz="0" w:space="0" w:color="auto"/>
        <w:left w:val="none" w:sz="0" w:space="0" w:color="auto"/>
        <w:bottom w:val="none" w:sz="0" w:space="0" w:color="auto"/>
        <w:right w:val="none" w:sz="0" w:space="0" w:color="auto"/>
      </w:divBdr>
      <w:divsChild>
        <w:div w:id="155609673">
          <w:marLeft w:val="0"/>
          <w:marRight w:val="0"/>
          <w:marTop w:val="0"/>
          <w:marBottom w:val="150"/>
          <w:divBdr>
            <w:top w:val="none" w:sz="0" w:space="0" w:color="auto"/>
            <w:left w:val="none" w:sz="0" w:space="0" w:color="auto"/>
            <w:bottom w:val="none" w:sz="0" w:space="0" w:color="auto"/>
            <w:right w:val="none" w:sz="0" w:space="0" w:color="auto"/>
          </w:divBdr>
        </w:div>
        <w:div w:id="732511066">
          <w:marLeft w:val="0"/>
          <w:marRight w:val="0"/>
          <w:marTop w:val="0"/>
          <w:marBottom w:val="0"/>
          <w:divBdr>
            <w:top w:val="none" w:sz="0" w:space="0" w:color="auto"/>
            <w:left w:val="none" w:sz="0" w:space="0" w:color="auto"/>
            <w:bottom w:val="none" w:sz="0" w:space="0" w:color="auto"/>
            <w:right w:val="none" w:sz="0" w:space="0" w:color="auto"/>
          </w:divBdr>
          <w:divsChild>
            <w:div w:id="108815204">
              <w:marLeft w:val="0"/>
              <w:marRight w:val="0"/>
              <w:marTop w:val="0"/>
              <w:marBottom w:val="0"/>
              <w:divBdr>
                <w:top w:val="none" w:sz="0" w:space="0" w:color="auto"/>
                <w:left w:val="none" w:sz="0" w:space="0" w:color="auto"/>
                <w:bottom w:val="none" w:sz="0" w:space="0" w:color="auto"/>
                <w:right w:val="none" w:sz="0" w:space="0" w:color="auto"/>
              </w:divBdr>
            </w:div>
          </w:divsChild>
        </w:div>
        <w:div w:id="1240092885">
          <w:marLeft w:val="0"/>
          <w:marRight w:val="0"/>
          <w:marTop w:val="0"/>
          <w:marBottom w:val="150"/>
          <w:divBdr>
            <w:top w:val="none" w:sz="0" w:space="0" w:color="auto"/>
            <w:left w:val="none" w:sz="0" w:space="0" w:color="auto"/>
            <w:bottom w:val="none" w:sz="0" w:space="0" w:color="auto"/>
            <w:right w:val="none" w:sz="0" w:space="0" w:color="auto"/>
          </w:divBdr>
          <w:divsChild>
            <w:div w:id="195979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89002">
      <w:bodyDiv w:val="1"/>
      <w:marLeft w:val="0"/>
      <w:marRight w:val="0"/>
      <w:marTop w:val="0"/>
      <w:marBottom w:val="0"/>
      <w:divBdr>
        <w:top w:val="none" w:sz="0" w:space="0" w:color="auto"/>
        <w:left w:val="none" w:sz="0" w:space="0" w:color="auto"/>
        <w:bottom w:val="none" w:sz="0" w:space="0" w:color="auto"/>
        <w:right w:val="none" w:sz="0" w:space="0" w:color="auto"/>
      </w:divBdr>
      <w:divsChild>
        <w:div w:id="1901624619">
          <w:marLeft w:val="0"/>
          <w:marRight w:val="0"/>
          <w:marTop w:val="0"/>
          <w:marBottom w:val="0"/>
          <w:divBdr>
            <w:top w:val="none" w:sz="0" w:space="0" w:color="auto"/>
            <w:left w:val="none" w:sz="0" w:space="0" w:color="auto"/>
            <w:bottom w:val="dotted" w:sz="6" w:space="4" w:color="DDDDDD"/>
            <w:right w:val="none" w:sz="0" w:space="0" w:color="auto"/>
          </w:divBdr>
          <w:divsChild>
            <w:div w:id="58808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280036">
      <w:bodyDiv w:val="1"/>
      <w:marLeft w:val="0"/>
      <w:marRight w:val="0"/>
      <w:marTop w:val="0"/>
      <w:marBottom w:val="0"/>
      <w:divBdr>
        <w:top w:val="none" w:sz="0" w:space="0" w:color="auto"/>
        <w:left w:val="none" w:sz="0" w:space="0" w:color="auto"/>
        <w:bottom w:val="none" w:sz="0" w:space="0" w:color="auto"/>
        <w:right w:val="none" w:sz="0" w:space="0" w:color="auto"/>
      </w:divBdr>
      <w:divsChild>
        <w:div w:id="1035928456">
          <w:marLeft w:val="0"/>
          <w:marRight w:val="0"/>
          <w:marTop w:val="0"/>
          <w:marBottom w:val="0"/>
          <w:divBdr>
            <w:top w:val="none" w:sz="0" w:space="0" w:color="auto"/>
            <w:left w:val="none" w:sz="0" w:space="0" w:color="auto"/>
            <w:bottom w:val="dotted" w:sz="6" w:space="4" w:color="DDDDDD"/>
            <w:right w:val="none" w:sz="0" w:space="0" w:color="auto"/>
          </w:divBdr>
          <w:divsChild>
            <w:div w:id="49599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348606">
      <w:bodyDiv w:val="1"/>
      <w:marLeft w:val="0"/>
      <w:marRight w:val="0"/>
      <w:marTop w:val="0"/>
      <w:marBottom w:val="0"/>
      <w:divBdr>
        <w:top w:val="none" w:sz="0" w:space="0" w:color="auto"/>
        <w:left w:val="none" w:sz="0" w:space="0" w:color="auto"/>
        <w:bottom w:val="none" w:sz="0" w:space="0" w:color="auto"/>
        <w:right w:val="none" w:sz="0" w:space="0" w:color="auto"/>
      </w:divBdr>
    </w:div>
    <w:div w:id="267468996">
      <w:bodyDiv w:val="1"/>
      <w:marLeft w:val="0"/>
      <w:marRight w:val="0"/>
      <w:marTop w:val="0"/>
      <w:marBottom w:val="0"/>
      <w:divBdr>
        <w:top w:val="none" w:sz="0" w:space="0" w:color="auto"/>
        <w:left w:val="none" w:sz="0" w:space="0" w:color="auto"/>
        <w:bottom w:val="none" w:sz="0" w:space="0" w:color="auto"/>
        <w:right w:val="none" w:sz="0" w:space="0" w:color="auto"/>
      </w:divBdr>
      <w:divsChild>
        <w:div w:id="1316836859">
          <w:marLeft w:val="0"/>
          <w:marRight w:val="0"/>
          <w:marTop w:val="0"/>
          <w:marBottom w:val="0"/>
          <w:divBdr>
            <w:top w:val="none" w:sz="0" w:space="0" w:color="auto"/>
            <w:left w:val="none" w:sz="0" w:space="0" w:color="auto"/>
            <w:bottom w:val="none" w:sz="0" w:space="0" w:color="auto"/>
            <w:right w:val="none" w:sz="0" w:space="0" w:color="auto"/>
          </w:divBdr>
          <w:divsChild>
            <w:div w:id="1137069680">
              <w:marLeft w:val="0"/>
              <w:marRight w:val="0"/>
              <w:marTop w:val="0"/>
              <w:marBottom w:val="0"/>
              <w:divBdr>
                <w:top w:val="none" w:sz="0" w:space="0" w:color="auto"/>
                <w:left w:val="none" w:sz="0" w:space="0" w:color="auto"/>
                <w:bottom w:val="none" w:sz="0" w:space="0" w:color="auto"/>
                <w:right w:val="none" w:sz="0" w:space="0" w:color="auto"/>
              </w:divBdr>
              <w:divsChild>
                <w:div w:id="1298605984">
                  <w:marLeft w:val="0"/>
                  <w:marRight w:val="0"/>
                  <w:marTop w:val="0"/>
                  <w:marBottom w:val="0"/>
                  <w:divBdr>
                    <w:top w:val="none" w:sz="0" w:space="0" w:color="auto"/>
                    <w:left w:val="none" w:sz="0" w:space="0" w:color="auto"/>
                    <w:bottom w:val="none" w:sz="0" w:space="0" w:color="auto"/>
                    <w:right w:val="none" w:sz="0" w:space="0" w:color="auto"/>
                  </w:divBdr>
                  <w:divsChild>
                    <w:div w:id="2056342792">
                      <w:marLeft w:val="0"/>
                      <w:marRight w:val="0"/>
                      <w:marTop w:val="0"/>
                      <w:marBottom w:val="0"/>
                      <w:divBdr>
                        <w:top w:val="none" w:sz="0" w:space="0" w:color="auto"/>
                        <w:left w:val="none" w:sz="0" w:space="0" w:color="auto"/>
                        <w:bottom w:val="none" w:sz="0" w:space="0" w:color="auto"/>
                        <w:right w:val="none" w:sz="0" w:space="0" w:color="auto"/>
                      </w:divBdr>
                      <w:divsChild>
                        <w:div w:id="1987854954">
                          <w:marLeft w:val="0"/>
                          <w:marRight w:val="0"/>
                          <w:marTop w:val="0"/>
                          <w:marBottom w:val="0"/>
                          <w:divBdr>
                            <w:top w:val="none" w:sz="0" w:space="0" w:color="auto"/>
                            <w:left w:val="none" w:sz="0" w:space="0" w:color="auto"/>
                            <w:bottom w:val="none" w:sz="0" w:space="0" w:color="auto"/>
                            <w:right w:val="none" w:sz="0" w:space="0" w:color="auto"/>
                          </w:divBdr>
                          <w:divsChild>
                            <w:div w:id="157118942">
                              <w:marLeft w:val="0"/>
                              <w:marRight w:val="0"/>
                              <w:marTop w:val="0"/>
                              <w:marBottom w:val="0"/>
                              <w:divBdr>
                                <w:top w:val="none" w:sz="0" w:space="0" w:color="auto"/>
                                <w:left w:val="none" w:sz="0" w:space="0" w:color="auto"/>
                                <w:bottom w:val="none" w:sz="0" w:space="0" w:color="auto"/>
                                <w:right w:val="none" w:sz="0" w:space="0" w:color="auto"/>
                              </w:divBdr>
                              <w:divsChild>
                                <w:div w:id="20712272">
                                  <w:marLeft w:val="0"/>
                                  <w:marRight w:val="0"/>
                                  <w:marTop w:val="0"/>
                                  <w:marBottom w:val="0"/>
                                  <w:divBdr>
                                    <w:top w:val="none" w:sz="0" w:space="0" w:color="auto"/>
                                    <w:left w:val="none" w:sz="0" w:space="0" w:color="auto"/>
                                    <w:bottom w:val="none" w:sz="0" w:space="0" w:color="auto"/>
                                    <w:right w:val="none" w:sz="0" w:space="0" w:color="auto"/>
                                  </w:divBdr>
                                  <w:divsChild>
                                    <w:div w:id="618220799">
                                      <w:marLeft w:val="0"/>
                                      <w:marRight w:val="0"/>
                                      <w:marTop w:val="0"/>
                                      <w:marBottom w:val="0"/>
                                      <w:divBdr>
                                        <w:top w:val="none" w:sz="0" w:space="0" w:color="auto"/>
                                        <w:left w:val="none" w:sz="0" w:space="0" w:color="auto"/>
                                        <w:bottom w:val="none" w:sz="0" w:space="0" w:color="auto"/>
                                        <w:right w:val="none" w:sz="0" w:space="0" w:color="auto"/>
                                      </w:divBdr>
                                      <w:divsChild>
                                        <w:div w:id="99537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7852226">
      <w:bodyDiv w:val="1"/>
      <w:marLeft w:val="0"/>
      <w:marRight w:val="0"/>
      <w:marTop w:val="0"/>
      <w:marBottom w:val="0"/>
      <w:divBdr>
        <w:top w:val="none" w:sz="0" w:space="0" w:color="auto"/>
        <w:left w:val="none" w:sz="0" w:space="0" w:color="auto"/>
        <w:bottom w:val="none" w:sz="0" w:space="0" w:color="auto"/>
        <w:right w:val="none" w:sz="0" w:space="0" w:color="auto"/>
      </w:divBdr>
    </w:div>
    <w:div w:id="269361152">
      <w:bodyDiv w:val="1"/>
      <w:marLeft w:val="0"/>
      <w:marRight w:val="0"/>
      <w:marTop w:val="0"/>
      <w:marBottom w:val="0"/>
      <w:divBdr>
        <w:top w:val="none" w:sz="0" w:space="0" w:color="auto"/>
        <w:left w:val="none" w:sz="0" w:space="0" w:color="auto"/>
        <w:bottom w:val="none" w:sz="0" w:space="0" w:color="auto"/>
        <w:right w:val="none" w:sz="0" w:space="0" w:color="auto"/>
      </w:divBdr>
    </w:div>
    <w:div w:id="269431617">
      <w:bodyDiv w:val="1"/>
      <w:marLeft w:val="0"/>
      <w:marRight w:val="0"/>
      <w:marTop w:val="0"/>
      <w:marBottom w:val="0"/>
      <w:divBdr>
        <w:top w:val="none" w:sz="0" w:space="0" w:color="auto"/>
        <w:left w:val="none" w:sz="0" w:space="0" w:color="auto"/>
        <w:bottom w:val="none" w:sz="0" w:space="0" w:color="auto"/>
        <w:right w:val="none" w:sz="0" w:space="0" w:color="auto"/>
      </w:divBdr>
    </w:div>
    <w:div w:id="269551345">
      <w:bodyDiv w:val="1"/>
      <w:marLeft w:val="0"/>
      <w:marRight w:val="0"/>
      <w:marTop w:val="0"/>
      <w:marBottom w:val="0"/>
      <w:divBdr>
        <w:top w:val="none" w:sz="0" w:space="0" w:color="auto"/>
        <w:left w:val="none" w:sz="0" w:space="0" w:color="auto"/>
        <w:bottom w:val="none" w:sz="0" w:space="0" w:color="auto"/>
        <w:right w:val="none" w:sz="0" w:space="0" w:color="auto"/>
      </w:divBdr>
      <w:divsChild>
        <w:div w:id="930969876">
          <w:marLeft w:val="0"/>
          <w:marRight w:val="0"/>
          <w:marTop w:val="0"/>
          <w:marBottom w:val="0"/>
          <w:divBdr>
            <w:top w:val="none" w:sz="0" w:space="0" w:color="auto"/>
            <w:left w:val="none" w:sz="0" w:space="0" w:color="auto"/>
            <w:bottom w:val="none" w:sz="0" w:space="0" w:color="auto"/>
            <w:right w:val="none" w:sz="0" w:space="0" w:color="auto"/>
          </w:divBdr>
          <w:divsChild>
            <w:div w:id="111829624">
              <w:marLeft w:val="0"/>
              <w:marRight w:val="0"/>
              <w:marTop w:val="0"/>
              <w:marBottom w:val="0"/>
              <w:divBdr>
                <w:top w:val="none" w:sz="0" w:space="0" w:color="auto"/>
                <w:left w:val="none" w:sz="0" w:space="0" w:color="auto"/>
                <w:bottom w:val="none" w:sz="0" w:space="0" w:color="auto"/>
                <w:right w:val="none" w:sz="0" w:space="0" w:color="auto"/>
              </w:divBdr>
              <w:divsChild>
                <w:div w:id="2110587300">
                  <w:marLeft w:val="0"/>
                  <w:marRight w:val="0"/>
                  <w:marTop w:val="0"/>
                  <w:marBottom w:val="0"/>
                  <w:divBdr>
                    <w:top w:val="none" w:sz="0" w:space="0" w:color="auto"/>
                    <w:left w:val="none" w:sz="0" w:space="0" w:color="auto"/>
                    <w:bottom w:val="none" w:sz="0" w:space="0" w:color="auto"/>
                    <w:right w:val="none" w:sz="0" w:space="0" w:color="auto"/>
                  </w:divBdr>
                  <w:divsChild>
                    <w:div w:id="1273631658">
                      <w:marLeft w:val="0"/>
                      <w:marRight w:val="0"/>
                      <w:marTop w:val="0"/>
                      <w:marBottom w:val="0"/>
                      <w:divBdr>
                        <w:top w:val="none" w:sz="0" w:space="0" w:color="auto"/>
                        <w:left w:val="none" w:sz="0" w:space="0" w:color="auto"/>
                        <w:bottom w:val="none" w:sz="0" w:space="0" w:color="auto"/>
                        <w:right w:val="none" w:sz="0" w:space="0" w:color="auto"/>
                      </w:divBdr>
                      <w:divsChild>
                        <w:div w:id="838034141">
                          <w:marLeft w:val="0"/>
                          <w:marRight w:val="0"/>
                          <w:marTop w:val="0"/>
                          <w:marBottom w:val="0"/>
                          <w:divBdr>
                            <w:top w:val="none" w:sz="0" w:space="0" w:color="auto"/>
                            <w:left w:val="none" w:sz="0" w:space="0" w:color="auto"/>
                            <w:bottom w:val="none" w:sz="0" w:space="0" w:color="auto"/>
                            <w:right w:val="none" w:sz="0" w:space="0" w:color="auto"/>
                          </w:divBdr>
                          <w:divsChild>
                            <w:div w:id="115811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705110">
      <w:bodyDiv w:val="1"/>
      <w:marLeft w:val="0"/>
      <w:marRight w:val="0"/>
      <w:marTop w:val="0"/>
      <w:marBottom w:val="0"/>
      <w:divBdr>
        <w:top w:val="none" w:sz="0" w:space="0" w:color="auto"/>
        <w:left w:val="none" w:sz="0" w:space="0" w:color="auto"/>
        <w:bottom w:val="none" w:sz="0" w:space="0" w:color="auto"/>
        <w:right w:val="none" w:sz="0" w:space="0" w:color="auto"/>
      </w:divBdr>
      <w:divsChild>
        <w:div w:id="589898856">
          <w:marLeft w:val="0"/>
          <w:marRight w:val="0"/>
          <w:marTop w:val="0"/>
          <w:marBottom w:val="150"/>
          <w:divBdr>
            <w:top w:val="none" w:sz="0" w:space="0" w:color="auto"/>
            <w:left w:val="none" w:sz="0" w:space="0" w:color="auto"/>
            <w:bottom w:val="none" w:sz="0" w:space="0" w:color="auto"/>
            <w:right w:val="none" w:sz="0" w:space="0" w:color="auto"/>
          </w:divBdr>
        </w:div>
        <w:div w:id="1227257097">
          <w:marLeft w:val="0"/>
          <w:marRight w:val="0"/>
          <w:marTop w:val="0"/>
          <w:marBottom w:val="0"/>
          <w:divBdr>
            <w:top w:val="none" w:sz="0" w:space="0" w:color="auto"/>
            <w:left w:val="none" w:sz="0" w:space="0" w:color="auto"/>
            <w:bottom w:val="none" w:sz="0" w:space="0" w:color="auto"/>
            <w:right w:val="none" w:sz="0" w:space="0" w:color="auto"/>
          </w:divBdr>
          <w:divsChild>
            <w:div w:id="1848403463">
              <w:marLeft w:val="0"/>
              <w:marRight w:val="0"/>
              <w:marTop w:val="0"/>
              <w:marBottom w:val="0"/>
              <w:divBdr>
                <w:top w:val="none" w:sz="0" w:space="0" w:color="auto"/>
                <w:left w:val="none" w:sz="0" w:space="0" w:color="auto"/>
                <w:bottom w:val="none" w:sz="0" w:space="0" w:color="auto"/>
                <w:right w:val="none" w:sz="0" w:space="0" w:color="auto"/>
              </w:divBdr>
            </w:div>
          </w:divsChild>
        </w:div>
        <w:div w:id="1436442615">
          <w:marLeft w:val="0"/>
          <w:marRight w:val="0"/>
          <w:marTop w:val="0"/>
          <w:marBottom w:val="150"/>
          <w:divBdr>
            <w:top w:val="none" w:sz="0" w:space="0" w:color="auto"/>
            <w:left w:val="none" w:sz="0" w:space="0" w:color="auto"/>
            <w:bottom w:val="none" w:sz="0" w:space="0" w:color="auto"/>
            <w:right w:val="none" w:sz="0" w:space="0" w:color="auto"/>
          </w:divBdr>
          <w:divsChild>
            <w:div w:id="99977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404285">
      <w:bodyDiv w:val="1"/>
      <w:marLeft w:val="0"/>
      <w:marRight w:val="0"/>
      <w:marTop w:val="0"/>
      <w:marBottom w:val="0"/>
      <w:divBdr>
        <w:top w:val="none" w:sz="0" w:space="0" w:color="auto"/>
        <w:left w:val="none" w:sz="0" w:space="0" w:color="auto"/>
        <w:bottom w:val="none" w:sz="0" w:space="0" w:color="auto"/>
        <w:right w:val="none" w:sz="0" w:space="0" w:color="auto"/>
      </w:divBdr>
      <w:divsChild>
        <w:div w:id="1588952927">
          <w:marLeft w:val="0"/>
          <w:marRight w:val="0"/>
          <w:marTop w:val="0"/>
          <w:marBottom w:val="0"/>
          <w:divBdr>
            <w:top w:val="none" w:sz="0" w:space="0" w:color="auto"/>
            <w:left w:val="none" w:sz="0" w:space="0" w:color="auto"/>
            <w:bottom w:val="none" w:sz="0" w:space="0" w:color="auto"/>
            <w:right w:val="none" w:sz="0" w:space="0" w:color="auto"/>
          </w:divBdr>
        </w:div>
      </w:divsChild>
    </w:div>
    <w:div w:id="270820812">
      <w:bodyDiv w:val="1"/>
      <w:marLeft w:val="0"/>
      <w:marRight w:val="0"/>
      <w:marTop w:val="0"/>
      <w:marBottom w:val="0"/>
      <w:divBdr>
        <w:top w:val="none" w:sz="0" w:space="0" w:color="auto"/>
        <w:left w:val="none" w:sz="0" w:space="0" w:color="auto"/>
        <w:bottom w:val="none" w:sz="0" w:space="0" w:color="auto"/>
        <w:right w:val="none" w:sz="0" w:space="0" w:color="auto"/>
      </w:divBdr>
      <w:divsChild>
        <w:div w:id="193419751">
          <w:marLeft w:val="0"/>
          <w:marRight w:val="0"/>
          <w:marTop w:val="0"/>
          <w:marBottom w:val="0"/>
          <w:divBdr>
            <w:top w:val="none" w:sz="0" w:space="0" w:color="auto"/>
            <w:left w:val="none" w:sz="0" w:space="0" w:color="auto"/>
            <w:bottom w:val="none" w:sz="0" w:space="0" w:color="auto"/>
            <w:right w:val="none" w:sz="0" w:space="0" w:color="auto"/>
          </w:divBdr>
          <w:divsChild>
            <w:div w:id="471143375">
              <w:marLeft w:val="0"/>
              <w:marRight w:val="0"/>
              <w:marTop w:val="0"/>
              <w:marBottom w:val="0"/>
              <w:divBdr>
                <w:top w:val="none" w:sz="0" w:space="0" w:color="auto"/>
                <w:left w:val="none" w:sz="0" w:space="0" w:color="auto"/>
                <w:bottom w:val="none" w:sz="0" w:space="0" w:color="auto"/>
                <w:right w:val="none" w:sz="0" w:space="0" w:color="auto"/>
              </w:divBdr>
            </w:div>
          </w:divsChild>
        </w:div>
        <w:div w:id="1338537263">
          <w:marLeft w:val="0"/>
          <w:marRight w:val="0"/>
          <w:marTop w:val="0"/>
          <w:marBottom w:val="150"/>
          <w:divBdr>
            <w:top w:val="none" w:sz="0" w:space="0" w:color="auto"/>
            <w:left w:val="none" w:sz="0" w:space="0" w:color="auto"/>
            <w:bottom w:val="none" w:sz="0" w:space="0" w:color="auto"/>
            <w:right w:val="none" w:sz="0" w:space="0" w:color="auto"/>
          </w:divBdr>
        </w:div>
      </w:divsChild>
    </w:div>
    <w:div w:id="271137195">
      <w:bodyDiv w:val="1"/>
      <w:marLeft w:val="0"/>
      <w:marRight w:val="0"/>
      <w:marTop w:val="0"/>
      <w:marBottom w:val="0"/>
      <w:divBdr>
        <w:top w:val="none" w:sz="0" w:space="0" w:color="auto"/>
        <w:left w:val="none" w:sz="0" w:space="0" w:color="auto"/>
        <w:bottom w:val="none" w:sz="0" w:space="0" w:color="auto"/>
        <w:right w:val="none" w:sz="0" w:space="0" w:color="auto"/>
      </w:divBdr>
      <w:divsChild>
        <w:div w:id="1714846015">
          <w:marLeft w:val="0"/>
          <w:marRight w:val="0"/>
          <w:marTop w:val="0"/>
          <w:marBottom w:val="450"/>
          <w:divBdr>
            <w:top w:val="none" w:sz="0" w:space="0" w:color="auto"/>
            <w:left w:val="none" w:sz="0" w:space="0" w:color="auto"/>
            <w:bottom w:val="single" w:sz="6" w:space="19" w:color="EEEEEE"/>
            <w:right w:val="none" w:sz="0" w:space="0" w:color="auto"/>
          </w:divBdr>
          <w:divsChild>
            <w:div w:id="2059626437">
              <w:marLeft w:val="0"/>
              <w:marRight w:val="0"/>
              <w:marTop w:val="0"/>
              <w:marBottom w:val="150"/>
              <w:divBdr>
                <w:top w:val="none" w:sz="0" w:space="0" w:color="auto"/>
                <w:left w:val="none" w:sz="0" w:space="0" w:color="auto"/>
                <w:bottom w:val="none" w:sz="0" w:space="0" w:color="auto"/>
                <w:right w:val="none" w:sz="0" w:space="0" w:color="auto"/>
              </w:divBdr>
              <w:divsChild>
                <w:div w:id="168175622">
                  <w:marLeft w:val="0"/>
                  <w:marRight w:val="0"/>
                  <w:marTop w:val="0"/>
                  <w:marBottom w:val="0"/>
                  <w:divBdr>
                    <w:top w:val="none" w:sz="0" w:space="0" w:color="auto"/>
                    <w:left w:val="none" w:sz="0" w:space="0" w:color="auto"/>
                    <w:bottom w:val="none" w:sz="0" w:space="0" w:color="auto"/>
                    <w:right w:val="none" w:sz="0" w:space="0" w:color="auto"/>
                  </w:divBdr>
                </w:div>
              </w:divsChild>
            </w:div>
            <w:div w:id="587809843">
              <w:marLeft w:val="0"/>
              <w:marRight w:val="0"/>
              <w:marTop w:val="0"/>
              <w:marBottom w:val="0"/>
              <w:divBdr>
                <w:top w:val="none" w:sz="0" w:space="0" w:color="auto"/>
                <w:left w:val="none" w:sz="0" w:space="0" w:color="auto"/>
                <w:bottom w:val="none" w:sz="0" w:space="0" w:color="auto"/>
                <w:right w:val="none" w:sz="0" w:space="0" w:color="auto"/>
              </w:divBdr>
            </w:div>
          </w:divsChild>
        </w:div>
        <w:div w:id="1947417484">
          <w:marLeft w:val="0"/>
          <w:marRight w:val="0"/>
          <w:marTop w:val="0"/>
          <w:marBottom w:val="0"/>
          <w:divBdr>
            <w:top w:val="none" w:sz="0" w:space="0" w:color="auto"/>
            <w:left w:val="none" w:sz="0" w:space="0" w:color="auto"/>
            <w:bottom w:val="none" w:sz="0" w:space="0" w:color="auto"/>
            <w:right w:val="none" w:sz="0" w:space="0" w:color="auto"/>
          </w:divBdr>
          <w:divsChild>
            <w:div w:id="1190410293">
              <w:marLeft w:val="0"/>
              <w:marRight w:val="0"/>
              <w:marTop w:val="0"/>
              <w:marBottom w:val="0"/>
              <w:divBdr>
                <w:top w:val="none" w:sz="0" w:space="0" w:color="auto"/>
                <w:left w:val="none" w:sz="0" w:space="0" w:color="auto"/>
                <w:bottom w:val="none" w:sz="0" w:space="0" w:color="auto"/>
                <w:right w:val="none" w:sz="0" w:space="0" w:color="auto"/>
              </w:divBdr>
              <w:divsChild>
                <w:div w:id="15648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329064">
      <w:bodyDiv w:val="1"/>
      <w:marLeft w:val="0"/>
      <w:marRight w:val="0"/>
      <w:marTop w:val="0"/>
      <w:marBottom w:val="0"/>
      <w:divBdr>
        <w:top w:val="none" w:sz="0" w:space="0" w:color="auto"/>
        <w:left w:val="none" w:sz="0" w:space="0" w:color="auto"/>
        <w:bottom w:val="none" w:sz="0" w:space="0" w:color="auto"/>
        <w:right w:val="none" w:sz="0" w:space="0" w:color="auto"/>
      </w:divBdr>
      <w:divsChild>
        <w:div w:id="188690253">
          <w:marLeft w:val="0"/>
          <w:marRight w:val="0"/>
          <w:marTop w:val="0"/>
          <w:marBottom w:val="176"/>
          <w:divBdr>
            <w:top w:val="none" w:sz="0" w:space="0" w:color="auto"/>
            <w:left w:val="none" w:sz="0" w:space="0" w:color="auto"/>
            <w:bottom w:val="none" w:sz="0" w:space="0" w:color="auto"/>
            <w:right w:val="none" w:sz="0" w:space="0" w:color="auto"/>
          </w:divBdr>
        </w:div>
        <w:div w:id="923999106">
          <w:marLeft w:val="0"/>
          <w:marRight w:val="0"/>
          <w:marTop w:val="0"/>
          <w:marBottom w:val="176"/>
          <w:divBdr>
            <w:top w:val="none" w:sz="0" w:space="0" w:color="auto"/>
            <w:left w:val="none" w:sz="0" w:space="0" w:color="auto"/>
            <w:bottom w:val="none" w:sz="0" w:space="0" w:color="auto"/>
            <w:right w:val="none" w:sz="0" w:space="0" w:color="auto"/>
          </w:divBdr>
          <w:divsChild>
            <w:div w:id="1296374997">
              <w:marLeft w:val="0"/>
              <w:marRight w:val="0"/>
              <w:marTop w:val="0"/>
              <w:marBottom w:val="0"/>
              <w:divBdr>
                <w:top w:val="none" w:sz="0" w:space="0" w:color="auto"/>
                <w:left w:val="none" w:sz="0" w:space="0" w:color="auto"/>
                <w:bottom w:val="none" w:sz="0" w:space="0" w:color="auto"/>
                <w:right w:val="none" w:sz="0" w:space="0" w:color="auto"/>
              </w:divBdr>
            </w:div>
          </w:divsChild>
        </w:div>
        <w:div w:id="990864288">
          <w:marLeft w:val="0"/>
          <w:marRight w:val="0"/>
          <w:marTop w:val="0"/>
          <w:marBottom w:val="176"/>
          <w:divBdr>
            <w:top w:val="none" w:sz="0" w:space="0" w:color="auto"/>
            <w:left w:val="none" w:sz="0" w:space="0" w:color="auto"/>
            <w:bottom w:val="none" w:sz="0" w:space="0" w:color="auto"/>
            <w:right w:val="none" w:sz="0" w:space="0" w:color="auto"/>
          </w:divBdr>
        </w:div>
        <w:div w:id="1029180003">
          <w:marLeft w:val="0"/>
          <w:marRight w:val="0"/>
          <w:marTop w:val="0"/>
          <w:marBottom w:val="176"/>
          <w:divBdr>
            <w:top w:val="none" w:sz="0" w:space="0" w:color="auto"/>
            <w:left w:val="none" w:sz="0" w:space="0" w:color="auto"/>
            <w:bottom w:val="none" w:sz="0" w:space="0" w:color="auto"/>
            <w:right w:val="none" w:sz="0" w:space="0" w:color="auto"/>
          </w:divBdr>
        </w:div>
        <w:div w:id="1393384032">
          <w:marLeft w:val="0"/>
          <w:marRight w:val="0"/>
          <w:marTop w:val="0"/>
          <w:marBottom w:val="176"/>
          <w:divBdr>
            <w:top w:val="none" w:sz="0" w:space="0" w:color="auto"/>
            <w:left w:val="none" w:sz="0" w:space="0" w:color="auto"/>
            <w:bottom w:val="none" w:sz="0" w:space="0" w:color="auto"/>
            <w:right w:val="none" w:sz="0" w:space="0" w:color="auto"/>
          </w:divBdr>
        </w:div>
      </w:divsChild>
    </w:div>
    <w:div w:id="271712800">
      <w:bodyDiv w:val="1"/>
      <w:marLeft w:val="0"/>
      <w:marRight w:val="0"/>
      <w:marTop w:val="0"/>
      <w:marBottom w:val="0"/>
      <w:divBdr>
        <w:top w:val="none" w:sz="0" w:space="0" w:color="auto"/>
        <w:left w:val="none" w:sz="0" w:space="0" w:color="auto"/>
        <w:bottom w:val="none" w:sz="0" w:space="0" w:color="auto"/>
        <w:right w:val="none" w:sz="0" w:space="0" w:color="auto"/>
      </w:divBdr>
      <w:divsChild>
        <w:div w:id="31005375">
          <w:marLeft w:val="0"/>
          <w:marRight w:val="0"/>
          <w:marTop w:val="0"/>
          <w:marBottom w:val="0"/>
          <w:divBdr>
            <w:top w:val="none" w:sz="0" w:space="0" w:color="auto"/>
            <w:left w:val="none" w:sz="0" w:space="0" w:color="auto"/>
            <w:bottom w:val="dotted" w:sz="6" w:space="4" w:color="DDDDDD"/>
            <w:right w:val="none" w:sz="0" w:space="0" w:color="auto"/>
          </w:divBdr>
        </w:div>
      </w:divsChild>
    </w:div>
    <w:div w:id="271791778">
      <w:bodyDiv w:val="1"/>
      <w:marLeft w:val="0"/>
      <w:marRight w:val="0"/>
      <w:marTop w:val="0"/>
      <w:marBottom w:val="0"/>
      <w:divBdr>
        <w:top w:val="none" w:sz="0" w:space="0" w:color="auto"/>
        <w:left w:val="none" w:sz="0" w:space="0" w:color="auto"/>
        <w:bottom w:val="none" w:sz="0" w:space="0" w:color="auto"/>
        <w:right w:val="none" w:sz="0" w:space="0" w:color="auto"/>
      </w:divBdr>
      <w:divsChild>
        <w:div w:id="187566154">
          <w:marLeft w:val="0"/>
          <w:marRight w:val="0"/>
          <w:marTop w:val="0"/>
          <w:marBottom w:val="0"/>
          <w:divBdr>
            <w:top w:val="none" w:sz="0" w:space="0" w:color="auto"/>
            <w:left w:val="none" w:sz="0" w:space="0" w:color="auto"/>
            <w:bottom w:val="none" w:sz="0" w:space="0" w:color="auto"/>
            <w:right w:val="none" w:sz="0" w:space="0" w:color="auto"/>
          </w:divBdr>
        </w:div>
      </w:divsChild>
    </w:div>
    <w:div w:id="272060644">
      <w:bodyDiv w:val="1"/>
      <w:marLeft w:val="0"/>
      <w:marRight w:val="0"/>
      <w:marTop w:val="0"/>
      <w:marBottom w:val="0"/>
      <w:divBdr>
        <w:top w:val="none" w:sz="0" w:space="0" w:color="auto"/>
        <w:left w:val="none" w:sz="0" w:space="0" w:color="auto"/>
        <w:bottom w:val="none" w:sz="0" w:space="0" w:color="auto"/>
        <w:right w:val="none" w:sz="0" w:space="0" w:color="auto"/>
      </w:divBdr>
    </w:div>
    <w:div w:id="272130472">
      <w:bodyDiv w:val="1"/>
      <w:marLeft w:val="0"/>
      <w:marRight w:val="0"/>
      <w:marTop w:val="0"/>
      <w:marBottom w:val="0"/>
      <w:divBdr>
        <w:top w:val="none" w:sz="0" w:space="0" w:color="auto"/>
        <w:left w:val="none" w:sz="0" w:space="0" w:color="auto"/>
        <w:bottom w:val="none" w:sz="0" w:space="0" w:color="auto"/>
        <w:right w:val="none" w:sz="0" w:space="0" w:color="auto"/>
      </w:divBdr>
    </w:div>
    <w:div w:id="272322235">
      <w:bodyDiv w:val="1"/>
      <w:marLeft w:val="0"/>
      <w:marRight w:val="0"/>
      <w:marTop w:val="0"/>
      <w:marBottom w:val="0"/>
      <w:divBdr>
        <w:top w:val="none" w:sz="0" w:space="0" w:color="auto"/>
        <w:left w:val="none" w:sz="0" w:space="0" w:color="auto"/>
        <w:bottom w:val="none" w:sz="0" w:space="0" w:color="auto"/>
        <w:right w:val="none" w:sz="0" w:space="0" w:color="auto"/>
      </w:divBdr>
    </w:div>
    <w:div w:id="272981191">
      <w:bodyDiv w:val="1"/>
      <w:marLeft w:val="0"/>
      <w:marRight w:val="0"/>
      <w:marTop w:val="0"/>
      <w:marBottom w:val="0"/>
      <w:divBdr>
        <w:top w:val="none" w:sz="0" w:space="0" w:color="auto"/>
        <w:left w:val="none" w:sz="0" w:space="0" w:color="auto"/>
        <w:bottom w:val="none" w:sz="0" w:space="0" w:color="auto"/>
        <w:right w:val="none" w:sz="0" w:space="0" w:color="auto"/>
      </w:divBdr>
      <w:divsChild>
        <w:div w:id="271474776">
          <w:marLeft w:val="0"/>
          <w:marRight w:val="0"/>
          <w:marTop w:val="0"/>
          <w:marBottom w:val="150"/>
          <w:divBdr>
            <w:top w:val="none" w:sz="0" w:space="0" w:color="auto"/>
            <w:left w:val="none" w:sz="0" w:space="0" w:color="auto"/>
            <w:bottom w:val="none" w:sz="0" w:space="0" w:color="auto"/>
            <w:right w:val="none" w:sz="0" w:space="0" w:color="auto"/>
          </w:divBdr>
          <w:divsChild>
            <w:div w:id="964044936">
              <w:marLeft w:val="0"/>
              <w:marRight w:val="0"/>
              <w:marTop w:val="0"/>
              <w:marBottom w:val="0"/>
              <w:divBdr>
                <w:top w:val="none" w:sz="0" w:space="0" w:color="auto"/>
                <w:left w:val="none" w:sz="0" w:space="0" w:color="auto"/>
                <w:bottom w:val="none" w:sz="0" w:space="0" w:color="auto"/>
                <w:right w:val="none" w:sz="0" w:space="0" w:color="auto"/>
              </w:divBdr>
              <w:divsChild>
                <w:div w:id="37928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155413">
          <w:marLeft w:val="0"/>
          <w:marRight w:val="0"/>
          <w:marTop w:val="0"/>
          <w:marBottom w:val="150"/>
          <w:divBdr>
            <w:top w:val="none" w:sz="0" w:space="0" w:color="auto"/>
            <w:left w:val="none" w:sz="0" w:space="0" w:color="auto"/>
            <w:bottom w:val="none" w:sz="0" w:space="0" w:color="auto"/>
            <w:right w:val="none" w:sz="0" w:space="0" w:color="auto"/>
          </w:divBdr>
        </w:div>
        <w:div w:id="1534347069">
          <w:marLeft w:val="0"/>
          <w:marRight w:val="0"/>
          <w:marTop w:val="0"/>
          <w:marBottom w:val="0"/>
          <w:divBdr>
            <w:top w:val="none" w:sz="0" w:space="0" w:color="auto"/>
            <w:left w:val="none" w:sz="0" w:space="0" w:color="auto"/>
            <w:bottom w:val="none" w:sz="0" w:space="0" w:color="auto"/>
            <w:right w:val="none" w:sz="0" w:space="0" w:color="auto"/>
          </w:divBdr>
          <w:divsChild>
            <w:div w:id="6063517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2981913">
      <w:bodyDiv w:val="1"/>
      <w:marLeft w:val="0"/>
      <w:marRight w:val="0"/>
      <w:marTop w:val="0"/>
      <w:marBottom w:val="0"/>
      <w:divBdr>
        <w:top w:val="none" w:sz="0" w:space="0" w:color="auto"/>
        <w:left w:val="none" w:sz="0" w:space="0" w:color="auto"/>
        <w:bottom w:val="none" w:sz="0" w:space="0" w:color="auto"/>
        <w:right w:val="none" w:sz="0" w:space="0" w:color="auto"/>
      </w:divBdr>
      <w:divsChild>
        <w:div w:id="218638054">
          <w:marLeft w:val="0"/>
          <w:marRight w:val="0"/>
          <w:marTop w:val="0"/>
          <w:marBottom w:val="150"/>
          <w:divBdr>
            <w:top w:val="none" w:sz="0" w:space="0" w:color="auto"/>
            <w:left w:val="none" w:sz="0" w:space="0" w:color="auto"/>
            <w:bottom w:val="none" w:sz="0" w:space="0" w:color="auto"/>
            <w:right w:val="none" w:sz="0" w:space="0" w:color="auto"/>
          </w:divBdr>
          <w:divsChild>
            <w:div w:id="1702625871">
              <w:marLeft w:val="0"/>
              <w:marRight w:val="0"/>
              <w:marTop w:val="0"/>
              <w:marBottom w:val="0"/>
              <w:divBdr>
                <w:top w:val="none" w:sz="0" w:space="0" w:color="auto"/>
                <w:left w:val="none" w:sz="0" w:space="0" w:color="auto"/>
                <w:bottom w:val="none" w:sz="0" w:space="0" w:color="auto"/>
                <w:right w:val="none" w:sz="0" w:space="0" w:color="auto"/>
              </w:divBdr>
              <w:divsChild>
                <w:div w:id="111243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571426">
          <w:marLeft w:val="0"/>
          <w:marRight w:val="0"/>
          <w:marTop w:val="0"/>
          <w:marBottom w:val="150"/>
          <w:divBdr>
            <w:top w:val="none" w:sz="0" w:space="0" w:color="auto"/>
            <w:left w:val="none" w:sz="0" w:space="0" w:color="auto"/>
            <w:bottom w:val="none" w:sz="0" w:space="0" w:color="auto"/>
            <w:right w:val="none" w:sz="0" w:space="0" w:color="auto"/>
          </w:divBdr>
        </w:div>
        <w:div w:id="1841848687">
          <w:marLeft w:val="0"/>
          <w:marRight w:val="0"/>
          <w:marTop w:val="0"/>
          <w:marBottom w:val="0"/>
          <w:divBdr>
            <w:top w:val="none" w:sz="0" w:space="0" w:color="auto"/>
            <w:left w:val="none" w:sz="0" w:space="0" w:color="auto"/>
            <w:bottom w:val="none" w:sz="0" w:space="0" w:color="auto"/>
            <w:right w:val="none" w:sz="0" w:space="0" w:color="auto"/>
          </w:divBdr>
          <w:divsChild>
            <w:div w:id="5633022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3169017">
      <w:bodyDiv w:val="1"/>
      <w:marLeft w:val="0"/>
      <w:marRight w:val="0"/>
      <w:marTop w:val="0"/>
      <w:marBottom w:val="0"/>
      <w:divBdr>
        <w:top w:val="none" w:sz="0" w:space="0" w:color="auto"/>
        <w:left w:val="none" w:sz="0" w:space="0" w:color="auto"/>
        <w:bottom w:val="none" w:sz="0" w:space="0" w:color="auto"/>
        <w:right w:val="none" w:sz="0" w:space="0" w:color="auto"/>
      </w:divBdr>
      <w:divsChild>
        <w:div w:id="724111031">
          <w:marLeft w:val="0"/>
          <w:marRight w:val="0"/>
          <w:marTop w:val="0"/>
          <w:marBottom w:val="0"/>
          <w:divBdr>
            <w:top w:val="none" w:sz="0" w:space="0" w:color="auto"/>
            <w:left w:val="none" w:sz="0" w:space="0" w:color="auto"/>
            <w:bottom w:val="none" w:sz="0" w:space="0" w:color="auto"/>
            <w:right w:val="none" w:sz="0" w:space="0" w:color="auto"/>
          </w:divBdr>
          <w:divsChild>
            <w:div w:id="1913344547">
              <w:marLeft w:val="0"/>
              <w:marRight w:val="0"/>
              <w:marTop w:val="0"/>
              <w:marBottom w:val="0"/>
              <w:divBdr>
                <w:top w:val="none" w:sz="0" w:space="0" w:color="auto"/>
                <w:left w:val="none" w:sz="0" w:space="0" w:color="auto"/>
                <w:bottom w:val="none" w:sz="0" w:space="0" w:color="auto"/>
                <w:right w:val="none" w:sz="0" w:space="0" w:color="auto"/>
              </w:divBdr>
            </w:div>
          </w:divsChild>
        </w:div>
        <w:div w:id="846672674">
          <w:marLeft w:val="0"/>
          <w:marRight w:val="0"/>
          <w:marTop w:val="0"/>
          <w:marBottom w:val="150"/>
          <w:divBdr>
            <w:top w:val="none" w:sz="0" w:space="0" w:color="auto"/>
            <w:left w:val="none" w:sz="0" w:space="0" w:color="auto"/>
            <w:bottom w:val="none" w:sz="0" w:space="0" w:color="auto"/>
            <w:right w:val="none" w:sz="0" w:space="0" w:color="auto"/>
          </w:divBdr>
          <w:divsChild>
            <w:div w:id="189346390">
              <w:marLeft w:val="0"/>
              <w:marRight w:val="0"/>
              <w:marTop w:val="0"/>
              <w:marBottom w:val="0"/>
              <w:divBdr>
                <w:top w:val="none" w:sz="0" w:space="0" w:color="auto"/>
                <w:left w:val="none" w:sz="0" w:space="0" w:color="auto"/>
                <w:bottom w:val="none" w:sz="0" w:space="0" w:color="auto"/>
                <w:right w:val="none" w:sz="0" w:space="0" w:color="auto"/>
              </w:divBdr>
            </w:div>
          </w:divsChild>
        </w:div>
        <w:div w:id="1142580526">
          <w:marLeft w:val="0"/>
          <w:marRight w:val="0"/>
          <w:marTop w:val="0"/>
          <w:marBottom w:val="150"/>
          <w:divBdr>
            <w:top w:val="none" w:sz="0" w:space="0" w:color="auto"/>
            <w:left w:val="none" w:sz="0" w:space="0" w:color="auto"/>
            <w:bottom w:val="none" w:sz="0" w:space="0" w:color="auto"/>
            <w:right w:val="none" w:sz="0" w:space="0" w:color="auto"/>
          </w:divBdr>
        </w:div>
      </w:divsChild>
    </w:div>
    <w:div w:id="273903092">
      <w:bodyDiv w:val="1"/>
      <w:marLeft w:val="0"/>
      <w:marRight w:val="0"/>
      <w:marTop w:val="0"/>
      <w:marBottom w:val="0"/>
      <w:divBdr>
        <w:top w:val="none" w:sz="0" w:space="0" w:color="auto"/>
        <w:left w:val="none" w:sz="0" w:space="0" w:color="auto"/>
        <w:bottom w:val="none" w:sz="0" w:space="0" w:color="auto"/>
        <w:right w:val="none" w:sz="0" w:space="0" w:color="auto"/>
      </w:divBdr>
      <w:divsChild>
        <w:div w:id="1453480069">
          <w:marLeft w:val="0"/>
          <w:marRight w:val="0"/>
          <w:marTop w:val="0"/>
          <w:marBottom w:val="0"/>
          <w:divBdr>
            <w:top w:val="none" w:sz="0" w:space="0" w:color="auto"/>
            <w:left w:val="none" w:sz="0" w:space="0" w:color="auto"/>
            <w:bottom w:val="none" w:sz="0" w:space="0" w:color="auto"/>
            <w:right w:val="none" w:sz="0" w:space="0" w:color="auto"/>
          </w:divBdr>
        </w:div>
      </w:divsChild>
    </w:div>
    <w:div w:id="273907263">
      <w:bodyDiv w:val="1"/>
      <w:marLeft w:val="0"/>
      <w:marRight w:val="0"/>
      <w:marTop w:val="0"/>
      <w:marBottom w:val="0"/>
      <w:divBdr>
        <w:top w:val="none" w:sz="0" w:space="0" w:color="auto"/>
        <w:left w:val="none" w:sz="0" w:space="0" w:color="auto"/>
        <w:bottom w:val="none" w:sz="0" w:space="0" w:color="auto"/>
        <w:right w:val="none" w:sz="0" w:space="0" w:color="auto"/>
      </w:divBdr>
    </w:div>
    <w:div w:id="274291929">
      <w:bodyDiv w:val="1"/>
      <w:marLeft w:val="0"/>
      <w:marRight w:val="0"/>
      <w:marTop w:val="0"/>
      <w:marBottom w:val="0"/>
      <w:divBdr>
        <w:top w:val="none" w:sz="0" w:space="0" w:color="auto"/>
        <w:left w:val="none" w:sz="0" w:space="0" w:color="auto"/>
        <w:bottom w:val="none" w:sz="0" w:space="0" w:color="auto"/>
        <w:right w:val="none" w:sz="0" w:space="0" w:color="auto"/>
      </w:divBdr>
    </w:div>
    <w:div w:id="274334621">
      <w:bodyDiv w:val="1"/>
      <w:marLeft w:val="0"/>
      <w:marRight w:val="0"/>
      <w:marTop w:val="0"/>
      <w:marBottom w:val="0"/>
      <w:divBdr>
        <w:top w:val="none" w:sz="0" w:space="0" w:color="auto"/>
        <w:left w:val="none" w:sz="0" w:space="0" w:color="auto"/>
        <w:bottom w:val="none" w:sz="0" w:space="0" w:color="auto"/>
        <w:right w:val="none" w:sz="0" w:space="0" w:color="auto"/>
      </w:divBdr>
      <w:divsChild>
        <w:div w:id="1158695026">
          <w:marLeft w:val="0"/>
          <w:marRight w:val="0"/>
          <w:marTop w:val="0"/>
          <w:marBottom w:val="150"/>
          <w:divBdr>
            <w:top w:val="none" w:sz="0" w:space="0" w:color="auto"/>
            <w:left w:val="none" w:sz="0" w:space="0" w:color="auto"/>
            <w:bottom w:val="none" w:sz="0" w:space="0" w:color="auto"/>
            <w:right w:val="none" w:sz="0" w:space="0" w:color="auto"/>
          </w:divBdr>
        </w:div>
      </w:divsChild>
    </w:div>
    <w:div w:id="274482038">
      <w:bodyDiv w:val="1"/>
      <w:marLeft w:val="0"/>
      <w:marRight w:val="0"/>
      <w:marTop w:val="0"/>
      <w:marBottom w:val="0"/>
      <w:divBdr>
        <w:top w:val="none" w:sz="0" w:space="0" w:color="auto"/>
        <w:left w:val="none" w:sz="0" w:space="0" w:color="auto"/>
        <w:bottom w:val="none" w:sz="0" w:space="0" w:color="auto"/>
        <w:right w:val="none" w:sz="0" w:space="0" w:color="auto"/>
      </w:divBdr>
      <w:divsChild>
        <w:div w:id="217212195">
          <w:marLeft w:val="0"/>
          <w:marRight w:val="0"/>
          <w:marTop w:val="0"/>
          <w:marBottom w:val="0"/>
          <w:divBdr>
            <w:top w:val="none" w:sz="0" w:space="0" w:color="auto"/>
            <w:left w:val="none" w:sz="0" w:space="0" w:color="auto"/>
            <w:bottom w:val="dotted" w:sz="6" w:space="4" w:color="DDDDDD"/>
            <w:right w:val="none" w:sz="0" w:space="0" w:color="auto"/>
          </w:divBdr>
          <w:divsChild>
            <w:div w:id="139619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756300">
      <w:bodyDiv w:val="1"/>
      <w:marLeft w:val="0"/>
      <w:marRight w:val="0"/>
      <w:marTop w:val="0"/>
      <w:marBottom w:val="0"/>
      <w:divBdr>
        <w:top w:val="none" w:sz="0" w:space="0" w:color="auto"/>
        <w:left w:val="none" w:sz="0" w:space="0" w:color="auto"/>
        <w:bottom w:val="none" w:sz="0" w:space="0" w:color="auto"/>
        <w:right w:val="none" w:sz="0" w:space="0" w:color="auto"/>
      </w:divBdr>
      <w:divsChild>
        <w:div w:id="63457399">
          <w:marLeft w:val="0"/>
          <w:marRight w:val="0"/>
          <w:marTop w:val="0"/>
          <w:marBottom w:val="0"/>
          <w:divBdr>
            <w:top w:val="none" w:sz="0" w:space="0" w:color="auto"/>
            <w:left w:val="none" w:sz="0" w:space="0" w:color="auto"/>
            <w:bottom w:val="none" w:sz="0" w:space="0" w:color="auto"/>
            <w:right w:val="none" w:sz="0" w:space="0" w:color="auto"/>
          </w:divBdr>
          <w:divsChild>
            <w:div w:id="376974753">
              <w:marLeft w:val="0"/>
              <w:marRight w:val="0"/>
              <w:marTop w:val="225"/>
              <w:marBottom w:val="225"/>
              <w:divBdr>
                <w:top w:val="none" w:sz="0" w:space="0" w:color="auto"/>
                <w:left w:val="none" w:sz="0" w:space="0" w:color="auto"/>
                <w:bottom w:val="none" w:sz="0" w:space="0" w:color="auto"/>
                <w:right w:val="none" w:sz="0" w:space="0" w:color="auto"/>
              </w:divBdr>
            </w:div>
          </w:divsChild>
        </w:div>
        <w:div w:id="478157614">
          <w:marLeft w:val="0"/>
          <w:marRight w:val="0"/>
          <w:marTop w:val="0"/>
          <w:marBottom w:val="150"/>
          <w:divBdr>
            <w:top w:val="none" w:sz="0" w:space="0" w:color="auto"/>
            <w:left w:val="none" w:sz="0" w:space="0" w:color="auto"/>
            <w:bottom w:val="none" w:sz="0" w:space="0" w:color="auto"/>
            <w:right w:val="none" w:sz="0" w:space="0" w:color="auto"/>
          </w:divBdr>
          <w:divsChild>
            <w:div w:id="240678340">
              <w:marLeft w:val="0"/>
              <w:marRight w:val="0"/>
              <w:marTop w:val="0"/>
              <w:marBottom w:val="0"/>
              <w:divBdr>
                <w:top w:val="none" w:sz="0" w:space="0" w:color="auto"/>
                <w:left w:val="none" w:sz="0" w:space="0" w:color="auto"/>
                <w:bottom w:val="none" w:sz="0" w:space="0" w:color="auto"/>
                <w:right w:val="none" w:sz="0" w:space="0" w:color="auto"/>
              </w:divBdr>
              <w:divsChild>
                <w:div w:id="191438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811352">
          <w:marLeft w:val="0"/>
          <w:marRight w:val="0"/>
          <w:marTop w:val="0"/>
          <w:marBottom w:val="150"/>
          <w:divBdr>
            <w:top w:val="none" w:sz="0" w:space="0" w:color="auto"/>
            <w:left w:val="none" w:sz="0" w:space="0" w:color="auto"/>
            <w:bottom w:val="none" w:sz="0" w:space="0" w:color="auto"/>
            <w:right w:val="none" w:sz="0" w:space="0" w:color="auto"/>
          </w:divBdr>
        </w:div>
      </w:divsChild>
    </w:div>
    <w:div w:id="274823902">
      <w:bodyDiv w:val="1"/>
      <w:marLeft w:val="0"/>
      <w:marRight w:val="0"/>
      <w:marTop w:val="0"/>
      <w:marBottom w:val="0"/>
      <w:divBdr>
        <w:top w:val="none" w:sz="0" w:space="0" w:color="auto"/>
        <w:left w:val="none" w:sz="0" w:space="0" w:color="auto"/>
        <w:bottom w:val="none" w:sz="0" w:space="0" w:color="auto"/>
        <w:right w:val="none" w:sz="0" w:space="0" w:color="auto"/>
      </w:divBdr>
      <w:divsChild>
        <w:div w:id="402458725">
          <w:marLeft w:val="0"/>
          <w:marRight w:val="0"/>
          <w:marTop w:val="0"/>
          <w:marBottom w:val="150"/>
          <w:divBdr>
            <w:top w:val="none" w:sz="0" w:space="0" w:color="auto"/>
            <w:left w:val="none" w:sz="0" w:space="0" w:color="auto"/>
            <w:bottom w:val="none" w:sz="0" w:space="0" w:color="auto"/>
            <w:right w:val="none" w:sz="0" w:space="0" w:color="auto"/>
          </w:divBdr>
        </w:div>
      </w:divsChild>
    </w:div>
    <w:div w:id="274869920">
      <w:bodyDiv w:val="1"/>
      <w:marLeft w:val="0"/>
      <w:marRight w:val="0"/>
      <w:marTop w:val="0"/>
      <w:marBottom w:val="0"/>
      <w:divBdr>
        <w:top w:val="none" w:sz="0" w:space="0" w:color="auto"/>
        <w:left w:val="none" w:sz="0" w:space="0" w:color="auto"/>
        <w:bottom w:val="none" w:sz="0" w:space="0" w:color="auto"/>
        <w:right w:val="none" w:sz="0" w:space="0" w:color="auto"/>
      </w:divBdr>
      <w:divsChild>
        <w:div w:id="1094402316">
          <w:marLeft w:val="0"/>
          <w:marRight w:val="0"/>
          <w:marTop w:val="150"/>
          <w:marBottom w:val="0"/>
          <w:divBdr>
            <w:top w:val="none" w:sz="0" w:space="0" w:color="auto"/>
            <w:left w:val="none" w:sz="0" w:space="0" w:color="auto"/>
            <w:bottom w:val="none" w:sz="0" w:space="0" w:color="auto"/>
            <w:right w:val="none" w:sz="0" w:space="0" w:color="auto"/>
          </w:divBdr>
          <w:divsChild>
            <w:div w:id="1782918886">
              <w:marLeft w:val="0"/>
              <w:marRight w:val="150"/>
              <w:marTop w:val="0"/>
              <w:marBottom w:val="0"/>
              <w:divBdr>
                <w:top w:val="none" w:sz="0" w:space="0" w:color="auto"/>
                <w:left w:val="none" w:sz="0" w:space="0" w:color="auto"/>
                <w:bottom w:val="none" w:sz="0" w:space="0" w:color="auto"/>
                <w:right w:val="none" w:sz="0" w:space="0" w:color="auto"/>
              </w:divBdr>
            </w:div>
          </w:divsChild>
        </w:div>
        <w:div w:id="2033261176">
          <w:marLeft w:val="0"/>
          <w:marRight w:val="0"/>
          <w:marTop w:val="0"/>
          <w:marBottom w:val="0"/>
          <w:divBdr>
            <w:top w:val="none" w:sz="0" w:space="8" w:color="auto"/>
            <w:left w:val="none" w:sz="0" w:space="2" w:color="auto"/>
            <w:bottom w:val="single" w:sz="6" w:space="8" w:color="DDDDDD"/>
            <w:right w:val="none" w:sz="0" w:space="0" w:color="auto"/>
          </w:divBdr>
        </w:div>
      </w:divsChild>
    </w:div>
    <w:div w:id="275018394">
      <w:bodyDiv w:val="1"/>
      <w:marLeft w:val="0"/>
      <w:marRight w:val="0"/>
      <w:marTop w:val="0"/>
      <w:marBottom w:val="0"/>
      <w:divBdr>
        <w:top w:val="none" w:sz="0" w:space="0" w:color="auto"/>
        <w:left w:val="none" w:sz="0" w:space="0" w:color="auto"/>
        <w:bottom w:val="none" w:sz="0" w:space="0" w:color="auto"/>
        <w:right w:val="none" w:sz="0" w:space="0" w:color="auto"/>
      </w:divBdr>
      <w:divsChild>
        <w:div w:id="1762263858">
          <w:marLeft w:val="0"/>
          <w:marRight w:val="0"/>
          <w:marTop w:val="0"/>
          <w:marBottom w:val="0"/>
          <w:divBdr>
            <w:top w:val="none" w:sz="0" w:space="0" w:color="auto"/>
            <w:left w:val="none" w:sz="0" w:space="0" w:color="auto"/>
            <w:bottom w:val="none" w:sz="0" w:space="0" w:color="auto"/>
            <w:right w:val="none" w:sz="0" w:space="0" w:color="auto"/>
          </w:divBdr>
          <w:divsChild>
            <w:div w:id="1461651366">
              <w:marLeft w:val="0"/>
              <w:marRight w:val="0"/>
              <w:marTop w:val="0"/>
              <w:marBottom w:val="0"/>
              <w:divBdr>
                <w:top w:val="none" w:sz="0" w:space="0" w:color="auto"/>
                <w:left w:val="none" w:sz="0" w:space="0" w:color="auto"/>
                <w:bottom w:val="none" w:sz="0" w:space="0" w:color="auto"/>
                <w:right w:val="none" w:sz="0" w:space="0" w:color="auto"/>
              </w:divBdr>
              <w:divsChild>
                <w:div w:id="658192774">
                  <w:marLeft w:val="0"/>
                  <w:marRight w:val="0"/>
                  <w:marTop w:val="0"/>
                  <w:marBottom w:val="150"/>
                  <w:divBdr>
                    <w:top w:val="none" w:sz="0" w:space="0" w:color="auto"/>
                    <w:left w:val="none" w:sz="0" w:space="0" w:color="auto"/>
                    <w:bottom w:val="none" w:sz="0" w:space="0" w:color="auto"/>
                    <w:right w:val="none" w:sz="0" w:space="0" w:color="auto"/>
                  </w:divBdr>
                  <w:divsChild>
                    <w:div w:id="2052337728">
                      <w:marLeft w:val="0"/>
                      <w:marRight w:val="0"/>
                      <w:marTop w:val="0"/>
                      <w:marBottom w:val="0"/>
                      <w:divBdr>
                        <w:top w:val="none" w:sz="0" w:space="0" w:color="auto"/>
                        <w:left w:val="none" w:sz="0" w:space="0" w:color="auto"/>
                        <w:bottom w:val="none" w:sz="0" w:space="0" w:color="auto"/>
                        <w:right w:val="none" w:sz="0" w:space="0" w:color="auto"/>
                      </w:divBdr>
                      <w:divsChild>
                        <w:div w:id="1237547093">
                          <w:marLeft w:val="0"/>
                          <w:marRight w:val="0"/>
                          <w:marTop w:val="0"/>
                          <w:marBottom w:val="0"/>
                          <w:divBdr>
                            <w:top w:val="none" w:sz="0" w:space="0" w:color="auto"/>
                            <w:left w:val="none" w:sz="0" w:space="0" w:color="auto"/>
                            <w:bottom w:val="none" w:sz="0" w:space="0" w:color="auto"/>
                            <w:right w:val="none" w:sz="0" w:space="0" w:color="auto"/>
                          </w:divBdr>
                          <w:divsChild>
                            <w:div w:id="1421869161">
                              <w:marLeft w:val="0"/>
                              <w:marRight w:val="0"/>
                              <w:marTop w:val="0"/>
                              <w:marBottom w:val="0"/>
                              <w:divBdr>
                                <w:top w:val="none" w:sz="0" w:space="0" w:color="auto"/>
                                <w:left w:val="none" w:sz="0" w:space="0" w:color="auto"/>
                                <w:bottom w:val="none" w:sz="0" w:space="0" w:color="auto"/>
                                <w:right w:val="none" w:sz="0" w:space="0" w:color="auto"/>
                              </w:divBdr>
                              <w:divsChild>
                                <w:div w:id="25109088">
                                  <w:marLeft w:val="0"/>
                                  <w:marRight w:val="0"/>
                                  <w:marTop w:val="0"/>
                                  <w:marBottom w:val="0"/>
                                  <w:divBdr>
                                    <w:top w:val="none" w:sz="0" w:space="0" w:color="auto"/>
                                    <w:left w:val="none" w:sz="0" w:space="0" w:color="auto"/>
                                    <w:bottom w:val="none" w:sz="0" w:space="0" w:color="auto"/>
                                    <w:right w:val="none" w:sz="0" w:space="0" w:color="auto"/>
                                  </w:divBdr>
                                  <w:divsChild>
                                    <w:div w:id="2053528799">
                                      <w:marLeft w:val="0"/>
                                      <w:marRight w:val="0"/>
                                      <w:marTop w:val="0"/>
                                      <w:marBottom w:val="0"/>
                                      <w:divBdr>
                                        <w:top w:val="none" w:sz="0" w:space="0" w:color="auto"/>
                                        <w:left w:val="none" w:sz="0" w:space="0" w:color="auto"/>
                                        <w:bottom w:val="none" w:sz="0" w:space="0" w:color="auto"/>
                                        <w:right w:val="none" w:sz="0" w:space="0" w:color="auto"/>
                                      </w:divBdr>
                                      <w:divsChild>
                                        <w:div w:id="1062408987">
                                          <w:marLeft w:val="0"/>
                                          <w:marRight w:val="0"/>
                                          <w:marTop w:val="0"/>
                                          <w:marBottom w:val="0"/>
                                          <w:divBdr>
                                            <w:top w:val="none" w:sz="0" w:space="0" w:color="auto"/>
                                            <w:left w:val="none" w:sz="0" w:space="0" w:color="auto"/>
                                            <w:bottom w:val="none" w:sz="0" w:space="0" w:color="auto"/>
                                            <w:right w:val="none" w:sz="0" w:space="0" w:color="auto"/>
                                          </w:divBdr>
                                          <w:divsChild>
                                            <w:div w:id="1436514421">
                                              <w:marLeft w:val="0"/>
                                              <w:marRight w:val="0"/>
                                              <w:marTop w:val="0"/>
                                              <w:marBottom w:val="0"/>
                                              <w:divBdr>
                                                <w:top w:val="none" w:sz="0" w:space="0" w:color="auto"/>
                                                <w:left w:val="none" w:sz="0" w:space="0" w:color="auto"/>
                                                <w:bottom w:val="none" w:sz="0" w:space="0" w:color="auto"/>
                                                <w:right w:val="none" w:sz="0" w:space="0" w:color="auto"/>
                                              </w:divBdr>
                                              <w:divsChild>
                                                <w:div w:id="26735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5453071">
      <w:bodyDiv w:val="1"/>
      <w:marLeft w:val="0"/>
      <w:marRight w:val="0"/>
      <w:marTop w:val="0"/>
      <w:marBottom w:val="0"/>
      <w:divBdr>
        <w:top w:val="none" w:sz="0" w:space="0" w:color="auto"/>
        <w:left w:val="none" w:sz="0" w:space="0" w:color="auto"/>
        <w:bottom w:val="none" w:sz="0" w:space="0" w:color="auto"/>
        <w:right w:val="none" w:sz="0" w:space="0" w:color="auto"/>
      </w:divBdr>
      <w:divsChild>
        <w:div w:id="89129247">
          <w:marLeft w:val="0"/>
          <w:marRight w:val="0"/>
          <w:marTop w:val="0"/>
          <w:marBottom w:val="0"/>
          <w:divBdr>
            <w:top w:val="none" w:sz="0" w:space="0" w:color="auto"/>
            <w:left w:val="none" w:sz="0" w:space="0" w:color="auto"/>
            <w:bottom w:val="none" w:sz="0" w:space="0" w:color="auto"/>
            <w:right w:val="none" w:sz="0" w:space="0" w:color="auto"/>
          </w:divBdr>
        </w:div>
      </w:divsChild>
    </w:div>
    <w:div w:id="275716064">
      <w:bodyDiv w:val="1"/>
      <w:marLeft w:val="0"/>
      <w:marRight w:val="0"/>
      <w:marTop w:val="0"/>
      <w:marBottom w:val="0"/>
      <w:divBdr>
        <w:top w:val="none" w:sz="0" w:space="0" w:color="auto"/>
        <w:left w:val="none" w:sz="0" w:space="0" w:color="auto"/>
        <w:bottom w:val="none" w:sz="0" w:space="0" w:color="auto"/>
        <w:right w:val="none" w:sz="0" w:space="0" w:color="auto"/>
      </w:divBdr>
      <w:divsChild>
        <w:div w:id="44987043">
          <w:marLeft w:val="0"/>
          <w:marRight w:val="0"/>
          <w:marTop w:val="0"/>
          <w:marBottom w:val="150"/>
          <w:divBdr>
            <w:top w:val="none" w:sz="0" w:space="0" w:color="auto"/>
            <w:left w:val="none" w:sz="0" w:space="0" w:color="auto"/>
            <w:bottom w:val="none" w:sz="0" w:space="0" w:color="auto"/>
            <w:right w:val="none" w:sz="0" w:space="0" w:color="auto"/>
          </w:divBdr>
        </w:div>
        <w:div w:id="294917395">
          <w:marLeft w:val="0"/>
          <w:marRight w:val="0"/>
          <w:marTop w:val="0"/>
          <w:marBottom w:val="150"/>
          <w:divBdr>
            <w:top w:val="none" w:sz="0" w:space="0" w:color="auto"/>
            <w:left w:val="none" w:sz="0" w:space="0" w:color="auto"/>
            <w:bottom w:val="none" w:sz="0" w:space="0" w:color="auto"/>
            <w:right w:val="none" w:sz="0" w:space="0" w:color="auto"/>
          </w:divBdr>
          <w:divsChild>
            <w:div w:id="1104693187">
              <w:marLeft w:val="0"/>
              <w:marRight w:val="0"/>
              <w:marTop w:val="0"/>
              <w:marBottom w:val="0"/>
              <w:divBdr>
                <w:top w:val="none" w:sz="0" w:space="0" w:color="auto"/>
                <w:left w:val="none" w:sz="0" w:space="0" w:color="auto"/>
                <w:bottom w:val="none" w:sz="0" w:space="0" w:color="auto"/>
                <w:right w:val="none" w:sz="0" w:space="0" w:color="auto"/>
              </w:divBdr>
              <w:divsChild>
                <w:div w:id="94754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455938">
          <w:marLeft w:val="0"/>
          <w:marRight w:val="0"/>
          <w:marTop w:val="0"/>
          <w:marBottom w:val="0"/>
          <w:divBdr>
            <w:top w:val="none" w:sz="0" w:space="0" w:color="auto"/>
            <w:left w:val="none" w:sz="0" w:space="0" w:color="auto"/>
            <w:bottom w:val="none" w:sz="0" w:space="0" w:color="auto"/>
            <w:right w:val="none" w:sz="0" w:space="0" w:color="auto"/>
          </w:divBdr>
          <w:divsChild>
            <w:div w:id="15704147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5796988">
      <w:bodyDiv w:val="1"/>
      <w:marLeft w:val="0"/>
      <w:marRight w:val="0"/>
      <w:marTop w:val="0"/>
      <w:marBottom w:val="0"/>
      <w:divBdr>
        <w:top w:val="none" w:sz="0" w:space="0" w:color="auto"/>
        <w:left w:val="none" w:sz="0" w:space="0" w:color="auto"/>
        <w:bottom w:val="none" w:sz="0" w:space="0" w:color="auto"/>
        <w:right w:val="none" w:sz="0" w:space="0" w:color="auto"/>
      </w:divBdr>
      <w:divsChild>
        <w:div w:id="1902211507">
          <w:marLeft w:val="0"/>
          <w:marRight w:val="0"/>
          <w:marTop w:val="0"/>
          <w:marBottom w:val="0"/>
          <w:divBdr>
            <w:top w:val="none" w:sz="0" w:space="0" w:color="auto"/>
            <w:left w:val="none" w:sz="0" w:space="0" w:color="auto"/>
            <w:bottom w:val="dotted" w:sz="6" w:space="4" w:color="DDDDDD"/>
            <w:right w:val="none" w:sz="0" w:space="0" w:color="auto"/>
          </w:divBdr>
          <w:divsChild>
            <w:div w:id="86305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866481">
      <w:bodyDiv w:val="1"/>
      <w:marLeft w:val="0"/>
      <w:marRight w:val="0"/>
      <w:marTop w:val="0"/>
      <w:marBottom w:val="0"/>
      <w:divBdr>
        <w:top w:val="none" w:sz="0" w:space="0" w:color="auto"/>
        <w:left w:val="none" w:sz="0" w:space="0" w:color="auto"/>
        <w:bottom w:val="none" w:sz="0" w:space="0" w:color="auto"/>
        <w:right w:val="none" w:sz="0" w:space="0" w:color="auto"/>
      </w:divBdr>
      <w:divsChild>
        <w:div w:id="1252541375">
          <w:marLeft w:val="0"/>
          <w:marRight w:val="0"/>
          <w:marTop w:val="0"/>
          <w:marBottom w:val="0"/>
          <w:divBdr>
            <w:top w:val="none" w:sz="0" w:space="0" w:color="auto"/>
            <w:left w:val="none" w:sz="0" w:space="0" w:color="auto"/>
            <w:bottom w:val="none" w:sz="0" w:space="0" w:color="auto"/>
            <w:right w:val="none" w:sz="0" w:space="0" w:color="auto"/>
          </w:divBdr>
        </w:div>
      </w:divsChild>
    </w:div>
    <w:div w:id="275989933">
      <w:bodyDiv w:val="1"/>
      <w:marLeft w:val="0"/>
      <w:marRight w:val="0"/>
      <w:marTop w:val="0"/>
      <w:marBottom w:val="0"/>
      <w:divBdr>
        <w:top w:val="none" w:sz="0" w:space="0" w:color="auto"/>
        <w:left w:val="none" w:sz="0" w:space="0" w:color="auto"/>
        <w:bottom w:val="none" w:sz="0" w:space="0" w:color="auto"/>
        <w:right w:val="none" w:sz="0" w:space="0" w:color="auto"/>
      </w:divBdr>
    </w:div>
    <w:div w:id="276061447">
      <w:bodyDiv w:val="1"/>
      <w:marLeft w:val="0"/>
      <w:marRight w:val="0"/>
      <w:marTop w:val="0"/>
      <w:marBottom w:val="0"/>
      <w:divBdr>
        <w:top w:val="none" w:sz="0" w:space="0" w:color="auto"/>
        <w:left w:val="none" w:sz="0" w:space="0" w:color="auto"/>
        <w:bottom w:val="none" w:sz="0" w:space="0" w:color="auto"/>
        <w:right w:val="none" w:sz="0" w:space="0" w:color="auto"/>
      </w:divBdr>
      <w:divsChild>
        <w:div w:id="1974409388">
          <w:marLeft w:val="0"/>
          <w:marRight w:val="0"/>
          <w:marTop w:val="0"/>
          <w:marBottom w:val="0"/>
          <w:divBdr>
            <w:top w:val="none" w:sz="0" w:space="0" w:color="auto"/>
            <w:left w:val="none" w:sz="0" w:space="0" w:color="auto"/>
            <w:bottom w:val="dotted" w:sz="6" w:space="4" w:color="DDDDDD"/>
            <w:right w:val="none" w:sz="0" w:space="0" w:color="auto"/>
          </w:divBdr>
          <w:divsChild>
            <w:div w:id="142279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454836">
      <w:bodyDiv w:val="1"/>
      <w:marLeft w:val="0"/>
      <w:marRight w:val="0"/>
      <w:marTop w:val="0"/>
      <w:marBottom w:val="0"/>
      <w:divBdr>
        <w:top w:val="none" w:sz="0" w:space="0" w:color="auto"/>
        <w:left w:val="none" w:sz="0" w:space="0" w:color="auto"/>
        <w:bottom w:val="none" w:sz="0" w:space="0" w:color="auto"/>
        <w:right w:val="none" w:sz="0" w:space="0" w:color="auto"/>
      </w:divBdr>
      <w:divsChild>
        <w:div w:id="1894732162">
          <w:marLeft w:val="0"/>
          <w:marRight w:val="0"/>
          <w:marTop w:val="0"/>
          <w:marBottom w:val="0"/>
          <w:divBdr>
            <w:top w:val="none" w:sz="0" w:space="0" w:color="auto"/>
            <w:left w:val="none" w:sz="0" w:space="0" w:color="auto"/>
            <w:bottom w:val="dotted" w:sz="6" w:space="4" w:color="DDDDDD"/>
            <w:right w:val="none" w:sz="0" w:space="0" w:color="auto"/>
          </w:divBdr>
          <w:divsChild>
            <w:div w:id="109408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16977">
      <w:bodyDiv w:val="1"/>
      <w:marLeft w:val="0"/>
      <w:marRight w:val="0"/>
      <w:marTop w:val="0"/>
      <w:marBottom w:val="0"/>
      <w:divBdr>
        <w:top w:val="none" w:sz="0" w:space="0" w:color="auto"/>
        <w:left w:val="none" w:sz="0" w:space="0" w:color="auto"/>
        <w:bottom w:val="none" w:sz="0" w:space="0" w:color="auto"/>
        <w:right w:val="none" w:sz="0" w:space="0" w:color="auto"/>
      </w:divBdr>
    </w:div>
    <w:div w:id="276760377">
      <w:bodyDiv w:val="1"/>
      <w:marLeft w:val="0"/>
      <w:marRight w:val="0"/>
      <w:marTop w:val="0"/>
      <w:marBottom w:val="0"/>
      <w:divBdr>
        <w:top w:val="none" w:sz="0" w:space="0" w:color="auto"/>
        <w:left w:val="none" w:sz="0" w:space="0" w:color="auto"/>
        <w:bottom w:val="none" w:sz="0" w:space="0" w:color="auto"/>
        <w:right w:val="none" w:sz="0" w:space="0" w:color="auto"/>
      </w:divBdr>
      <w:divsChild>
        <w:div w:id="1220484625">
          <w:marLeft w:val="0"/>
          <w:marRight w:val="0"/>
          <w:marTop w:val="0"/>
          <w:marBottom w:val="0"/>
          <w:divBdr>
            <w:top w:val="none" w:sz="0" w:space="0" w:color="auto"/>
            <w:left w:val="none" w:sz="0" w:space="0" w:color="auto"/>
            <w:bottom w:val="dotted" w:sz="6" w:space="4" w:color="DDDDDD"/>
            <w:right w:val="none" w:sz="0" w:space="0" w:color="auto"/>
          </w:divBdr>
          <w:divsChild>
            <w:div w:id="92399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987537">
      <w:bodyDiv w:val="1"/>
      <w:marLeft w:val="0"/>
      <w:marRight w:val="0"/>
      <w:marTop w:val="0"/>
      <w:marBottom w:val="0"/>
      <w:divBdr>
        <w:top w:val="none" w:sz="0" w:space="0" w:color="auto"/>
        <w:left w:val="none" w:sz="0" w:space="0" w:color="auto"/>
        <w:bottom w:val="none" w:sz="0" w:space="0" w:color="auto"/>
        <w:right w:val="none" w:sz="0" w:space="0" w:color="auto"/>
      </w:divBdr>
      <w:divsChild>
        <w:div w:id="1137379979">
          <w:marLeft w:val="0"/>
          <w:marRight w:val="0"/>
          <w:marTop w:val="0"/>
          <w:marBottom w:val="0"/>
          <w:divBdr>
            <w:top w:val="none" w:sz="0" w:space="0" w:color="auto"/>
            <w:left w:val="none" w:sz="0" w:space="0" w:color="auto"/>
            <w:bottom w:val="dotted" w:sz="6" w:space="4" w:color="DDDDDD"/>
            <w:right w:val="none" w:sz="0" w:space="0" w:color="auto"/>
          </w:divBdr>
          <w:divsChild>
            <w:div w:id="31418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299306">
      <w:bodyDiv w:val="1"/>
      <w:marLeft w:val="0"/>
      <w:marRight w:val="0"/>
      <w:marTop w:val="0"/>
      <w:marBottom w:val="0"/>
      <w:divBdr>
        <w:top w:val="none" w:sz="0" w:space="0" w:color="auto"/>
        <w:left w:val="none" w:sz="0" w:space="0" w:color="auto"/>
        <w:bottom w:val="none" w:sz="0" w:space="0" w:color="auto"/>
        <w:right w:val="none" w:sz="0" w:space="0" w:color="auto"/>
      </w:divBdr>
      <w:divsChild>
        <w:div w:id="424813400">
          <w:marLeft w:val="0"/>
          <w:marRight w:val="0"/>
          <w:marTop w:val="0"/>
          <w:marBottom w:val="150"/>
          <w:divBdr>
            <w:top w:val="none" w:sz="0" w:space="0" w:color="auto"/>
            <w:left w:val="none" w:sz="0" w:space="0" w:color="auto"/>
            <w:bottom w:val="none" w:sz="0" w:space="0" w:color="auto"/>
            <w:right w:val="none" w:sz="0" w:space="0" w:color="auto"/>
          </w:divBdr>
        </w:div>
        <w:div w:id="984965311">
          <w:marLeft w:val="0"/>
          <w:marRight w:val="0"/>
          <w:marTop w:val="0"/>
          <w:marBottom w:val="150"/>
          <w:divBdr>
            <w:top w:val="none" w:sz="0" w:space="0" w:color="auto"/>
            <w:left w:val="none" w:sz="0" w:space="0" w:color="auto"/>
            <w:bottom w:val="none" w:sz="0" w:space="0" w:color="auto"/>
            <w:right w:val="none" w:sz="0" w:space="0" w:color="auto"/>
          </w:divBdr>
          <w:divsChild>
            <w:div w:id="2141609325">
              <w:marLeft w:val="0"/>
              <w:marRight w:val="0"/>
              <w:marTop w:val="0"/>
              <w:marBottom w:val="0"/>
              <w:divBdr>
                <w:top w:val="none" w:sz="0" w:space="0" w:color="auto"/>
                <w:left w:val="none" w:sz="0" w:space="0" w:color="auto"/>
                <w:bottom w:val="none" w:sz="0" w:space="0" w:color="auto"/>
                <w:right w:val="none" w:sz="0" w:space="0" w:color="auto"/>
              </w:divBdr>
            </w:div>
          </w:divsChild>
        </w:div>
        <w:div w:id="2034719420">
          <w:marLeft w:val="0"/>
          <w:marRight w:val="0"/>
          <w:marTop w:val="0"/>
          <w:marBottom w:val="0"/>
          <w:divBdr>
            <w:top w:val="none" w:sz="0" w:space="0" w:color="auto"/>
            <w:left w:val="none" w:sz="0" w:space="0" w:color="auto"/>
            <w:bottom w:val="none" w:sz="0" w:space="0" w:color="auto"/>
            <w:right w:val="none" w:sz="0" w:space="0" w:color="auto"/>
          </w:divBdr>
          <w:divsChild>
            <w:div w:id="101234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564063">
      <w:bodyDiv w:val="1"/>
      <w:marLeft w:val="0"/>
      <w:marRight w:val="0"/>
      <w:marTop w:val="0"/>
      <w:marBottom w:val="0"/>
      <w:divBdr>
        <w:top w:val="none" w:sz="0" w:space="0" w:color="auto"/>
        <w:left w:val="none" w:sz="0" w:space="0" w:color="auto"/>
        <w:bottom w:val="none" w:sz="0" w:space="0" w:color="auto"/>
        <w:right w:val="none" w:sz="0" w:space="0" w:color="auto"/>
      </w:divBdr>
      <w:divsChild>
        <w:div w:id="784350587">
          <w:marLeft w:val="0"/>
          <w:marRight w:val="0"/>
          <w:marTop w:val="0"/>
          <w:marBottom w:val="150"/>
          <w:divBdr>
            <w:top w:val="none" w:sz="0" w:space="0" w:color="auto"/>
            <w:left w:val="none" w:sz="0" w:space="0" w:color="auto"/>
            <w:bottom w:val="none" w:sz="0" w:space="0" w:color="auto"/>
            <w:right w:val="none" w:sz="0" w:space="0" w:color="auto"/>
          </w:divBdr>
          <w:divsChild>
            <w:div w:id="577176367">
              <w:marLeft w:val="0"/>
              <w:marRight w:val="0"/>
              <w:marTop w:val="0"/>
              <w:marBottom w:val="0"/>
              <w:divBdr>
                <w:top w:val="none" w:sz="0" w:space="0" w:color="auto"/>
                <w:left w:val="none" w:sz="0" w:space="0" w:color="auto"/>
                <w:bottom w:val="none" w:sz="0" w:space="0" w:color="auto"/>
                <w:right w:val="none" w:sz="0" w:space="0" w:color="auto"/>
              </w:divBdr>
              <w:divsChild>
                <w:div w:id="147587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251869">
          <w:marLeft w:val="0"/>
          <w:marRight w:val="0"/>
          <w:marTop w:val="0"/>
          <w:marBottom w:val="150"/>
          <w:divBdr>
            <w:top w:val="none" w:sz="0" w:space="0" w:color="auto"/>
            <w:left w:val="none" w:sz="0" w:space="0" w:color="auto"/>
            <w:bottom w:val="none" w:sz="0" w:space="0" w:color="auto"/>
            <w:right w:val="none" w:sz="0" w:space="0" w:color="auto"/>
          </w:divBdr>
        </w:div>
        <w:div w:id="1270090183">
          <w:marLeft w:val="0"/>
          <w:marRight w:val="0"/>
          <w:marTop w:val="0"/>
          <w:marBottom w:val="0"/>
          <w:divBdr>
            <w:top w:val="none" w:sz="0" w:space="0" w:color="auto"/>
            <w:left w:val="none" w:sz="0" w:space="0" w:color="auto"/>
            <w:bottom w:val="none" w:sz="0" w:space="0" w:color="auto"/>
            <w:right w:val="none" w:sz="0" w:space="0" w:color="auto"/>
          </w:divBdr>
          <w:divsChild>
            <w:div w:id="16732971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7639127">
      <w:bodyDiv w:val="1"/>
      <w:marLeft w:val="0"/>
      <w:marRight w:val="0"/>
      <w:marTop w:val="0"/>
      <w:marBottom w:val="0"/>
      <w:divBdr>
        <w:top w:val="none" w:sz="0" w:space="0" w:color="auto"/>
        <w:left w:val="none" w:sz="0" w:space="0" w:color="auto"/>
        <w:bottom w:val="none" w:sz="0" w:space="0" w:color="auto"/>
        <w:right w:val="none" w:sz="0" w:space="0" w:color="auto"/>
      </w:divBdr>
    </w:div>
    <w:div w:id="277833779">
      <w:bodyDiv w:val="1"/>
      <w:marLeft w:val="0"/>
      <w:marRight w:val="0"/>
      <w:marTop w:val="0"/>
      <w:marBottom w:val="0"/>
      <w:divBdr>
        <w:top w:val="none" w:sz="0" w:space="0" w:color="auto"/>
        <w:left w:val="none" w:sz="0" w:space="0" w:color="auto"/>
        <w:bottom w:val="none" w:sz="0" w:space="0" w:color="auto"/>
        <w:right w:val="none" w:sz="0" w:space="0" w:color="auto"/>
      </w:divBdr>
      <w:divsChild>
        <w:div w:id="135488005">
          <w:marLeft w:val="0"/>
          <w:marRight w:val="0"/>
          <w:marTop w:val="0"/>
          <w:marBottom w:val="0"/>
          <w:divBdr>
            <w:top w:val="none" w:sz="0" w:space="0" w:color="auto"/>
            <w:left w:val="none" w:sz="0" w:space="0" w:color="auto"/>
            <w:bottom w:val="none" w:sz="0" w:space="0" w:color="auto"/>
            <w:right w:val="none" w:sz="0" w:space="0" w:color="auto"/>
          </w:divBdr>
          <w:divsChild>
            <w:div w:id="1536383950">
              <w:marLeft w:val="0"/>
              <w:marRight w:val="0"/>
              <w:marTop w:val="0"/>
              <w:marBottom w:val="0"/>
              <w:divBdr>
                <w:top w:val="none" w:sz="0" w:space="0" w:color="auto"/>
                <w:left w:val="none" w:sz="0" w:space="0" w:color="auto"/>
                <w:bottom w:val="none" w:sz="0" w:space="0" w:color="auto"/>
                <w:right w:val="none" w:sz="0" w:space="0" w:color="auto"/>
              </w:divBdr>
              <w:divsChild>
                <w:div w:id="1328704018">
                  <w:marLeft w:val="0"/>
                  <w:marRight w:val="0"/>
                  <w:marTop w:val="0"/>
                  <w:marBottom w:val="0"/>
                  <w:divBdr>
                    <w:top w:val="none" w:sz="0" w:space="0" w:color="auto"/>
                    <w:left w:val="none" w:sz="0" w:space="0" w:color="auto"/>
                    <w:bottom w:val="none" w:sz="0" w:space="0" w:color="auto"/>
                    <w:right w:val="none" w:sz="0" w:space="0" w:color="auto"/>
                  </w:divBdr>
                  <w:divsChild>
                    <w:div w:id="12196331">
                      <w:marLeft w:val="0"/>
                      <w:marRight w:val="0"/>
                      <w:marTop w:val="0"/>
                      <w:marBottom w:val="0"/>
                      <w:divBdr>
                        <w:top w:val="none" w:sz="0" w:space="0" w:color="auto"/>
                        <w:left w:val="none" w:sz="0" w:space="0" w:color="auto"/>
                        <w:bottom w:val="none" w:sz="0" w:space="0" w:color="auto"/>
                        <w:right w:val="none" w:sz="0" w:space="0" w:color="auto"/>
                      </w:divBdr>
                      <w:divsChild>
                        <w:div w:id="1259677645">
                          <w:marLeft w:val="0"/>
                          <w:marRight w:val="0"/>
                          <w:marTop w:val="0"/>
                          <w:marBottom w:val="0"/>
                          <w:divBdr>
                            <w:top w:val="none" w:sz="0" w:space="0" w:color="auto"/>
                            <w:left w:val="none" w:sz="0" w:space="0" w:color="auto"/>
                            <w:bottom w:val="none" w:sz="0" w:space="0" w:color="auto"/>
                            <w:right w:val="none" w:sz="0" w:space="0" w:color="auto"/>
                          </w:divBdr>
                          <w:divsChild>
                            <w:div w:id="692850681">
                              <w:marLeft w:val="0"/>
                              <w:marRight w:val="0"/>
                              <w:marTop w:val="0"/>
                              <w:marBottom w:val="0"/>
                              <w:divBdr>
                                <w:top w:val="none" w:sz="0" w:space="0" w:color="auto"/>
                                <w:left w:val="none" w:sz="0" w:space="0" w:color="auto"/>
                                <w:bottom w:val="none" w:sz="0" w:space="0" w:color="auto"/>
                                <w:right w:val="none" w:sz="0" w:space="0" w:color="auto"/>
                              </w:divBdr>
                              <w:divsChild>
                                <w:div w:id="1696424027">
                                  <w:marLeft w:val="0"/>
                                  <w:marRight w:val="0"/>
                                  <w:marTop w:val="0"/>
                                  <w:marBottom w:val="0"/>
                                  <w:divBdr>
                                    <w:top w:val="none" w:sz="0" w:space="0" w:color="auto"/>
                                    <w:left w:val="none" w:sz="0" w:space="0" w:color="auto"/>
                                    <w:bottom w:val="none" w:sz="0" w:space="0" w:color="auto"/>
                                    <w:right w:val="none" w:sz="0" w:space="0" w:color="auto"/>
                                  </w:divBdr>
                                  <w:divsChild>
                                    <w:div w:id="108052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7950455">
      <w:bodyDiv w:val="1"/>
      <w:marLeft w:val="0"/>
      <w:marRight w:val="0"/>
      <w:marTop w:val="0"/>
      <w:marBottom w:val="0"/>
      <w:divBdr>
        <w:top w:val="none" w:sz="0" w:space="0" w:color="auto"/>
        <w:left w:val="none" w:sz="0" w:space="0" w:color="auto"/>
        <w:bottom w:val="none" w:sz="0" w:space="0" w:color="auto"/>
        <w:right w:val="none" w:sz="0" w:space="0" w:color="auto"/>
      </w:divBdr>
      <w:divsChild>
        <w:div w:id="1600134870">
          <w:marLeft w:val="0"/>
          <w:marRight w:val="0"/>
          <w:marTop w:val="0"/>
          <w:marBottom w:val="0"/>
          <w:divBdr>
            <w:top w:val="none" w:sz="0" w:space="0" w:color="auto"/>
            <w:left w:val="none" w:sz="0" w:space="0" w:color="auto"/>
            <w:bottom w:val="dotted" w:sz="6" w:space="4" w:color="DDDDDD"/>
            <w:right w:val="none" w:sz="0" w:space="0" w:color="auto"/>
          </w:divBdr>
        </w:div>
      </w:divsChild>
    </w:div>
    <w:div w:id="278219890">
      <w:bodyDiv w:val="1"/>
      <w:marLeft w:val="0"/>
      <w:marRight w:val="0"/>
      <w:marTop w:val="0"/>
      <w:marBottom w:val="0"/>
      <w:divBdr>
        <w:top w:val="none" w:sz="0" w:space="0" w:color="auto"/>
        <w:left w:val="none" w:sz="0" w:space="0" w:color="auto"/>
        <w:bottom w:val="none" w:sz="0" w:space="0" w:color="auto"/>
        <w:right w:val="none" w:sz="0" w:space="0" w:color="auto"/>
      </w:divBdr>
      <w:divsChild>
        <w:div w:id="115608353">
          <w:marLeft w:val="0"/>
          <w:marRight w:val="0"/>
          <w:marTop w:val="0"/>
          <w:marBottom w:val="0"/>
          <w:divBdr>
            <w:top w:val="none" w:sz="0" w:space="0" w:color="auto"/>
            <w:left w:val="none" w:sz="0" w:space="0" w:color="auto"/>
            <w:bottom w:val="none" w:sz="0" w:space="0" w:color="auto"/>
            <w:right w:val="none" w:sz="0" w:space="0" w:color="auto"/>
          </w:divBdr>
        </w:div>
        <w:div w:id="876357904">
          <w:marLeft w:val="0"/>
          <w:marRight w:val="0"/>
          <w:marTop w:val="45"/>
          <w:marBottom w:val="0"/>
          <w:divBdr>
            <w:top w:val="none" w:sz="0" w:space="0" w:color="auto"/>
            <w:left w:val="none" w:sz="0" w:space="0" w:color="auto"/>
            <w:bottom w:val="none" w:sz="0" w:space="0" w:color="auto"/>
            <w:right w:val="none" w:sz="0" w:space="0" w:color="auto"/>
          </w:divBdr>
        </w:div>
        <w:div w:id="1696730823">
          <w:marLeft w:val="0"/>
          <w:marRight w:val="0"/>
          <w:marTop w:val="0"/>
          <w:marBottom w:val="45"/>
          <w:divBdr>
            <w:top w:val="none" w:sz="0" w:space="0" w:color="auto"/>
            <w:left w:val="none" w:sz="0" w:space="0" w:color="auto"/>
            <w:bottom w:val="none" w:sz="0" w:space="0" w:color="auto"/>
            <w:right w:val="none" w:sz="0" w:space="0" w:color="auto"/>
          </w:divBdr>
        </w:div>
      </w:divsChild>
    </w:div>
    <w:div w:id="278266434">
      <w:bodyDiv w:val="1"/>
      <w:marLeft w:val="0"/>
      <w:marRight w:val="0"/>
      <w:marTop w:val="0"/>
      <w:marBottom w:val="0"/>
      <w:divBdr>
        <w:top w:val="none" w:sz="0" w:space="0" w:color="auto"/>
        <w:left w:val="none" w:sz="0" w:space="0" w:color="auto"/>
        <w:bottom w:val="none" w:sz="0" w:space="0" w:color="auto"/>
        <w:right w:val="none" w:sz="0" w:space="0" w:color="auto"/>
      </w:divBdr>
      <w:divsChild>
        <w:div w:id="1229420964">
          <w:marLeft w:val="0"/>
          <w:marRight w:val="0"/>
          <w:marTop w:val="0"/>
          <w:marBottom w:val="150"/>
          <w:divBdr>
            <w:top w:val="none" w:sz="0" w:space="0" w:color="auto"/>
            <w:left w:val="none" w:sz="0" w:space="0" w:color="auto"/>
            <w:bottom w:val="none" w:sz="0" w:space="0" w:color="auto"/>
            <w:right w:val="none" w:sz="0" w:space="0" w:color="auto"/>
          </w:divBdr>
        </w:div>
        <w:div w:id="1905722912">
          <w:marLeft w:val="0"/>
          <w:marRight w:val="0"/>
          <w:marTop w:val="0"/>
          <w:marBottom w:val="0"/>
          <w:divBdr>
            <w:top w:val="none" w:sz="0" w:space="0" w:color="auto"/>
            <w:left w:val="none" w:sz="0" w:space="0" w:color="auto"/>
            <w:bottom w:val="none" w:sz="0" w:space="0" w:color="auto"/>
            <w:right w:val="none" w:sz="0" w:space="0" w:color="auto"/>
          </w:divBdr>
          <w:divsChild>
            <w:div w:id="840510253">
              <w:marLeft w:val="0"/>
              <w:marRight w:val="0"/>
              <w:marTop w:val="0"/>
              <w:marBottom w:val="0"/>
              <w:divBdr>
                <w:top w:val="none" w:sz="0" w:space="0" w:color="auto"/>
                <w:left w:val="none" w:sz="0" w:space="0" w:color="auto"/>
                <w:bottom w:val="none" w:sz="0" w:space="0" w:color="auto"/>
                <w:right w:val="none" w:sz="0" w:space="0" w:color="auto"/>
              </w:divBdr>
            </w:div>
          </w:divsChild>
        </w:div>
        <w:div w:id="1922711532">
          <w:marLeft w:val="0"/>
          <w:marRight w:val="0"/>
          <w:marTop w:val="0"/>
          <w:marBottom w:val="150"/>
          <w:divBdr>
            <w:top w:val="none" w:sz="0" w:space="0" w:color="auto"/>
            <w:left w:val="none" w:sz="0" w:space="0" w:color="auto"/>
            <w:bottom w:val="none" w:sz="0" w:space="0" w:color="auto"/>
            <w:right w:val="none" w:sz="0" w:space="0" w:color="auto"/>
          </w:divBdr>
          <w:divsChild>
            <w:div w:id="124587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418730">
      <w:bodyDiv w:val="1"/>
      <w:marLeft w:val="0"/>
      <w:marRight w:val="0"/>
      <w:marTop w:val="0"/>
      <w:marBottom w:val="0"/>
      <w:divBdr>
        <w:top w:val="none" w:sz="0" w:space="0" w:color="auto"/>
        <w:left w:val="none" w:sz="0" w:space="0" w:color="auto"/>
        <w:bottom w:val="none" w:sz="0" w:space="0" w:color="auto"/>
        <w:right w:val="none" w:sz="0" w:space="0" w:color="auto"/>
      </w:divBdr>
    </w:div>
    <w:div w:id="278530204">
      <w:bodyDiv w:val="1"/>
      <w:marLeft w:val="0"/>
      <w:marRight w:val="0"/>
      <w:marTop w:val="0"/>
      <w:marBottom w:val="0"/>
      <w:divBdr>
        <w:top w:val="none" w:sz="0" w:space="0" w:color="auto"/>
        <w:left w:val="none" w:sz="0" w:space="0" w:color="auto"/>
        <w:bottom w:val="none" w:sz="0" w:space="0" w:color="auto"/>
        <w:right w:val="none" w:sz="0" w:space="0" w:color="auto"/>
      </w:divBdr>
      <w:divsChild>
        <w:div w:id="324171221">
          <w:marLeft w:val="0"/>
          <w:marRight w:val="0"/>
          <w:marTop w:val="0"/>
          <w:marBottom w:val="0"/>
          <w:divBdr>
            <w:top w:val="none" w:sz="0" w:space="0" w:color="auto"/>
            <w:left w:val="none" w:sz="0" w:space="0" w:color="auto"/>
            <w:bottom w:val="none" w:sz="0" w:space="0" w:color="auto"/>
            <w:right w:val="none" w:sz="0" w:space="0" w:color="auto"/>
          </w:divBdr>
          <w:divsChild>
            <w:div w:id="744255276">
              <w:marLeft w:val="0"/>
              <w:marRight w:val="0"/>
              <w:marTop w:val="0"/>
              <w:marBottom w:val="0"/>
              <w:divBdr>
                <w:top w:val="none" w:sz="0" w:space="0" w:color="auto"/>
                <w:left w:val="none" w:sz="0" w:space="0" w:color="auto"/>
                <w:bottom w:val="none" w:sz="0" w:space="0" w:color="auto"/>
                <w:right w:val="none" w:sz="0" w:space="0" w:color="auto"/>
              </w:divBdr>
              <w:divsChild>
                <w:div w:id="2132505092">
                  <w:marLeft w:val="0"/>
                  <w:marRight w:val="0"/>
                  <w:marTop w:val="0"/>
                  <w:marBottom w:val="0"/>
                  <w:divBdr>
                    <w:top w:val="none" w:sz="0" w:space="0" w:color="auto"/>
                    <w:left w:val="none" w:sz="0" w:space="0" w:color="auto"/>
                    <w:bottom w:val="none" w:sz="0" w:space="0" w:color="auto"/>
                    <w:right w:val="none" w:sz="0" w:space="0" w:color="auto"/>
                  </w:divBdr>
                  <w:divsChild>
                    <w:div w:id="425738358">
                      <w:marLeft w:val="0"/>
                      <w:marRight w:val="0"/>
                      <w:marTop w:val="0"/>
                      <w:marBottom w:val="0"/>
                      <w:divBdr>
                        <w:top w:val="none" w:sz="0" w:space="0" w:color="auto"/>
                        <w:left w:val="none" w:sz="0" w:space="0" w:color="auto"/>
                        <w:bottom w:val="none" w:sz="0" w:space="0" w:color="auto"/>
                        <w:right w:val="none" w:sz="0" w:space="0" w:color="auto"/>
                      </w:divBdr>
                      <w:divsChild>
                        <w:div w:id="95047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605127">
      <w:bodyDiv w:val="1"/>
      <w:marLeft w:val="0"/>
      <w:marRight w:val="0"/>
      <w:marTop w:val="0"/>
      <w:marBottom w:val="0"/>
      <w:divBdr>
        <w:top w:val="none" w:sz="0" w:space="0" w:color="auto"/>
        <w:left w:val="none" w:sz="0" w:space="0" w:color="auto"/>
        <w:bottom w:val="none" w:sz="0" w:space="0" w:color="auto"/>
        <w:right w:val="none" w:sz="0" w:space="0" w:color="auto"/>
      </w:divBdr>
    </w:div>
    <w:div w:id="278727559">
      <w:bodyDiv w:val="1"/>
      <w:marLeft w:val="0"/>
      <w:marRight w:val="0"/>
      <w:marTop w:val="0"/>
      <w:marBottom w:val="0"/>
      <w:divBdr>
        <w:top w:val="none" w:sz="0" w:space="0" w:color="auto"/>
        <w:left w:val="none" w:sz="0" w:space="0" w:color="auto"/>
        <w:bottom w:val="none" w:sz="0" w:space="0" w:color="auto"/>
        <w:right w:val="none" w:sz="0" w:space="0" w:color="auto"/>
      </w:divBdr>
      <w:divsChild>
        <w:div w:id="1409615819">
          <w:marLeft w:val="0"/>
          <w:marRight w:val="0"/>
          <w:marTop w:val="0"/>
          <w:marBottom w:val="0"/>
          <w:divBdr>
            <w:top w:val="none" w:sz="0" w:space="0" w:color="auto"/>
            <w:left w:val="none" w:sz="0" w:space="0" w:color="auto"/>
            <w:bottom w:val="none" w:sz="0" w:space="0" w:color="auto"/>
            <w:right w:val="none" w:sz="0" w:space="0" w:color="auto"/>
          </w:divBdr>
          <w:divsChild>
            <w:div w:id="5520841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78952935">
      <w:bodyDiv w:val="1"/>
      <w:marLeft w:val="0"/>
      <w:marRight w:val="0"/>
      <w:marTop w:val="0"/>
      <w:marBottom w:val="0"/>
      <w:divBdr>
        <w:top w:val="none" w:sz="0" w:space="0" w:color="auto"/>
        <w:left w:val="none" w:sz="0" w:space="0" w:color="auto"/>
        <w:bottom w:val="none" w:sz="0" w:space="0" w:color="auto"/>
        <w:right w:val="none" w:sz="0" w:space="0" w:color="auto"/>
      </w:divBdr>
    </w:div>
    <w:div w:id="279386320">
      <w:bodyDiv w:val="1"/>
      <w:marLeft w:val="0"/>
      <w:marRight w:val="0"/>
      <w:marTop w:val="0"/>
      <w:marBottom w:val="0"/>
      <w:divBdr>
        <w:top w:val="none" w:sz="0" w:space="0" w:color="auto"/>
        <w:left w:val="none" w:sz="0" w:space="0" w:color="auto"/>
        <w:bottom w:val="none" w:sz="0" w:space="0" w:color="auto"/>
        <w:right w:val="none" w:sz="0" w:space="0" w:color="auto"/>
      </w:divBdr>
      <w:divsChild>
        <w:div w:id="1208647202">
          <w:marLeft w:val="0"/>
          <w:marRight w:val="0"/>
          <w:marTop w:val="0"/>
          <w:marBottom w:val="0"/>
          <w:divBdr>
            <w:top w:val="none" w:sz="0" w:space="0" w:color="auto"/>
            <w:left w:val="none" w:sz="0" w:space="0" w:color="auto"/>
            <w:bottom w:val="none" w:sz="0" w:space="0" w:color="auto"/>
            <w:right w:val="none" w:sz="0" w:space="0" w:color="auto"/>
          </w:divBdr>
          <w:divsChild>
            <w:div w:id="1010257707">
              <w:marLeft w:val="0"/>
              <w:marRight w:val="0"/>
              <w:marTop w:val="0"/>
              <w:marBottom w:val="0"/>
              <w:divBdr>
                <w:top w:val="none" w:sz="0" w:space="0" w:color="auto"/>
                <w:left w:val="none" w:sz="0" w:space="0" w:color="auto"/>
                <w:bottom w:val="none" w:sz="0" w:space="0" w:color="auto"/>
                <w:right w:val="none" w:sz="0" w:space="0" w:color="auto"/>
              </w:divBdr>
              <w:divsChild>
                <w:div w:id="1632393667">
                  <w:marLeft w:val="0"/>
                  <w:marRight w:val="0"/>
                  <w:marTop w:val="0"/>
                  <w:marBottom w:val="0"/>
                  <w:divBdr>
                    <w:top w:val="none" w:sz="0" w:space="0" w:color="auto"/>
                    <w:left w:val="none" w:sz="0" w:space="0" w:color="auto"/>
                    <w:bottom w:val="none" w:sz="0" w:space="0" w:color="auto"/>
                    <w:right w:val="none" w:sz="0" w:space="0" w:color="auto"/>
                  </w:divBdr>
                  <w:divsChild>
                    <w:div w:id="824123987">
                      <w:marLeft w:val="0"/>
                      <w:marRight w:val="0"/>
                      <w:marTop w:val="0"/>
                      <w:marBottom w:val="0"/>
                      <w:divBdr>
                        <w:top w:val="none" w:sz="0" w:space="0" w:color="auto"/>
                        <w:left w:val="none" w:sz="0" w:space="0" w:color="auto"/>
                        <w:bottom w:val="none" w:sz="0" w:space="0" w:color="auto"/>
                        <w:right w:val="none" w:sz="0" w:space="0" w:color="auto"/>
                      </w:divBdr>
                      <w:divsChild>
                        <w:div w:id="2114009550">
                          <w:marLeft w:val="0"/>
                          <w:marRight w:val="0"/>
                          <w:marTop w:val="0"/>
                          <w:marBottom w:val="0"/>
                          <w:divBdr>
                            <w:top w:val="none" w:sz="0" w:space="0" w:color="auto"/>
                            <w:left w:val="none" w:sz="0" w:space="0" w:color="auto"/>
                            <w:bottom w:val="none" w:sz="0" w:space="0" w:color="auto"/>
                            <w:right w:val="none" w:sz="0" w:space="0" w:color="auto"/>
                          </w:divBdr>
                          <w:divsChild>
                            <w:div w:id="1105803114">
                              <w:marLeft w:val="0"/>
                              <w:marRight w:val="0"/>
                              <w:marTop w:val="0"/>
                              <w:marBottom w:val="0"/>
                              <w:divBdr>
                                <w:top w:val="none" w:sz="0" w:space="0" w:color="auto"/>
                                <w:left w:val="none" w:sz="0" w:space="0" w:color="auto"/>
                                <w:bottom w:val="none" w:sz="0" w:space="0" w:color="auto"/>
                                <w:right w:val="none" w:sz="0" w:space="0" w:color="auto"/>
                              </w:divBdr>
                              <w:divsChild>
                                <w:div w:id="1234050128">
                                  <w:marLeft w:val="0"/>
                                  <w:marRight w:val="0"/>
                                  <w:marTop w:val="0"/>
                                  <w:marBottom w:val="0"/>
                                  <w:divBdr>
                                    <w:top w:val="none" w:sz="0" w:space="0" w:color="auto"/>
                                    <w:left w:val="none" w:sz="0" w:space="0" w:color="auto"/>
                                    <w:bottom w:val="none" w:sz="0" w:space="0" w:color="auto"/>
                                    <w:right w:val="none" w:sz="0" w:space="0" w:color="auto"/>
                                  </w:divBdr>
                                  <w:divsChild>
                                    <w:div w:id="2081906603">
                                      <w:marLeft w:val="0"/>
                                      <w:marRight w:val="0"/>
                                      <w:marTop w:val="0"/>
                                      <w:marBottom w:val="0"/>
                                      <w:divBdr>
                                        <w:top w:val="none" w:sz="0" w:space="0" w:color="auto"/>
                                        <w:left w:val="none" w:sz="0" w:space="0" w:color="auto"/>
                                        <w:bottom w:val="none" w:sz="0" w:space="0" w:color="auto"/>
                                        <w:right w:val="none" w:sz="0" w:space="0" w:color="auto"/>
                                      </w:divBdr>
                                      <w:divsChild>
                                        <w:div w:id="144534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9801326">
      <w:bodyDiv w:val="1"/>
      <w:marLeft w:val="0"/>
      <w:marRight w:val="0"/>
      <w:marTop w:val="0"/>
      <w:marBottom w:val="0"/>
      <w:divBdr>
        <w:top w:val="none" w:sz="0" w:space="0" w:color="auto"/>
        <w:left w:val="none" w:sz="0" w:space="0" w:color="auto"/>
        <w:bottom w:val="none" w:sz="0" w:space="0" w:color="auto"/>
        <w:right w:val="none" w:sz="0" w:space="0" w:color="auto"/>
      </w:divBdr>
      <w:divsChild>
        <w:div w:id="581067326">
          <w:marLeft w:val="0"/>
          <w:marRight w:val="0"/>
          <w:marTop w:val="0"/>
          <w:marBottom w:val="0"/>
          <w:divBdr>
            <w:top w:val="none" w:sz="0" w:space="0" w:color="auto"/>
            <w:left w:val="none" w:sz="0" w:space="0" w:color="auto"/>
            <w:bottom w:val="none" w:sz="0" w:space="0" w:color="auto"/>
            <w:right w:val="none" w:sz="0" w:space="0" w:color="auto"/>
          </w:divBdr>
          <w:divsChild>
            <w:div w:id="2091652362">
              <w:marLeft w:val="0"/>
              <w:marRight w:val="0"/>
              <w:marTop w:val="0"/>
              <w:marBottom w:val="0"/>
              <w:divBdr>
                <w:top w:val="none" w:sz="0" w:space="0" w:color="auto"/>
                <w:left w:val="none" w:sz="0" w:space="0" w:color="auto"/>
                <w:bottom w:val="none" w:sz="0" w:space="0" w:color="auto"/>
                <w:right w:val="none" w:sz="0" w:space="0" w:color="auto"/>
              </w:divBdr>
              <w:divsChild>
                <w:div w:id="687217729">
                  <w:marLeft w:val="0"/>
                  <w:marRight w:val="0"/>
                  <w:marTop w:val="0"/>
                  <w:marBottom w:val="0"/>
                  <w:divBdr>
                    <w:top w:val="none" w:sz="0" w:space="0" w:color="auto"/>
                    <w:left w:val="none" w:sz="0" w:space="0" w:color="auto"/>
                    <w:bottom w:val="none" w:sz="0" w:space="0" w:color="auto"/>
                    <w:right w:val="none" w:sz="0" w:space="0" w:color="auto"/>
                  </w:divBdr>
                  <w:divsChild>
                    <w:div w:id="741827875">
                      <w:marLeft w:val="0"/>
                      <w:marRight w:val="0"/>
                      <w:marTop w:val="0"/>
                      <w:marBottom w:val="0"/>
                      <w:divBdr>
                        <w:top w:val="none" w:sz="0" w:space="0" w:color="auto"/>
                        <w:left w:val="none" w:sz="0" w:space="0" w:color="auto"/>
                        <w:bottom w:val="none" w:sz="0" w:space="0" w:color="auto"/>
                        <w:right w:val="none" w:sz="0" w:space="0" w:color="auto"/>
                      </w:divBdr>
                      <w:divsChild>
                        <w:div w:id="1337346988">
                          <w:marLeft w:val="0"/>
                          <w:marRight w:val="0"/>
                          <w:marTop w:val="0"/>
                          <w:marBottom w:val="0"/>
                          <w:divBdr>
                            <w:top w:val="none" w:sz="0" w:space="0" w:color="auto"/>
                            <w:left w:val="none" w:sz="0" w:space="0" w:color="auto"/>
                            <w:bottom w:val="none" w:sz="0" w:space="0" w:color="auto"/>
                            <w:right w:val="none" w:sz="0" w:space="0" w:color="auto"/>
                          </w:divBdr>
                          <w:divsChild>
                            <w:div w:id="1313370255">
                              <w:marLeft w:val="0"/>
                              <w:marRight w:val="0"/>
                              <w:marTop w:val="0"/>
                              <w:marBottom w:val="0"/>
                              <w:divBdr>
                                <w:top w:val="none" w:sz="0" w:space="0" w:color="auto"/>
                                <w:left w:val="none" w:sz="0" w:space="0" w:color="auto"/>
                                <w:bottom w:val="none" w:sz="0" w:space="0" w:color="auto"/>
                                <w:right w:val="none" w:sz="0" w:space="0" w:color="auto"/>
                              </w:divBdr>
                              <w:divsChild>
                                <w:div w:id="412166422">
                                  <w:marLeft w:val="0"/>
                                  <w:marRight w:val="0"/>
                                  <w:marTop w:val="0"/>
                                  <w:marBottom w:val="0"/>
                                  <w:divBdr>
                                    <w:top w:val="none" w:sz="0" w:space="0" w:color="auto"/>
                                    <w:left w:val="none" w:sz="0" w:space="0" w:color="auto"/>
                                    <w:bottom w:val="none" w:sz="0" w:space="0" w:color="auto"/>
                                    <w:right w:val="none" w:sz="0" w:space="0" w:color="auto"/>
                                  </w:divBdr>
                                  <w:divsChild>
                                    <w:div w:id="35180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9922747">
      <w:bodyDiv w:val="1"/>
      <w:marLeft w:val="0"/>
      <w:marRight w:val="0"/>
      <w:marTop w:val="0"/>
      <w:marBottom w:val="0"/>
      <w:divBdr>
        <w:top w:val="none" w:sz="0" w:space="0" w:color="auto"/>
        <w:left w:val="none" w:sz="0" w:space="0" w:color="auto"/>
        <w:bottom w:val="none" w:sz="0" w:space="0" w:color="auto"/>
        <w:right w:val="none" w:sz="0" w:space="0" w:color="auto"/>
      </w:divBdr>
    </w:div>
    <w:div w:id="280041887">
      <w:bodyDiv w:val="1"/>
      <w:marLeft w:val="0"/>
      <w:marRight w:val="0"/>
      <w:marTop w:val="0"/>
      <w:marBottom w:val="0"/>
      <w:divBdr>
        <w:top w:val="none" w:sz="0" w:space="0" w:color="auto"/>
        <w:left w:val="none" w:sz="0" w:space="0" w:color="auto"/>
        <w:bottom w:val="none" w:sz="0" w:space="0" w:color="auto"/>
        <w:right w:val="none" w:sz="0" w:space="0" w:color="auto"/>
      </w:divBdr>
    </w:div>
    <w:div w:id="280454643">
      <w:bodyDiv w:val="1"/>
      <w:marLeft w:val="0"/>
      <w:marRight w:val="0"/>
      <w:marTop w:val="0"/>
      <w:marBottom w:val="0"/>
      <w:divBdr>
        <w:top w:val="none" w:sz="0" w:space="0" w:color="auto"/>
        <w:left w:val="none" w:sz="0" w:space="0" w:color="auto"/>
        <w:bottom w:val="none" w:sz="0" w:space="0" w:color="auto"/>
        <w:right w:val="none" w:sz="0" w:space="0" w:color="auto"/>
      </w:divBdr>
      <w:divsChild>
        <w:div w:id="1653214032">
          <w:marLeft w:val="0"/>
          <w:marRight w:val="0"/>
          <w:marTop w:val="0"/>
          <w:marBottom w:val="0"/>
          <w:divBdr>
            <w:top w:val="none" w:sz="0" w:space="0" w:color="auto"/>
            <w:left w:val="none" w:sz="0" w:space="0" w:color="auto"/>
            <w:bottom w:val="dotted" w:sz="6" w:space="4" w:color="DDDDDD"/>
            <w:right w:val="none" w:sz="0" w:space="0" w:color="auto"/>
          </w:divBdr>
        </w:div>
      </w:divsChild>
    </w:div>
    <w:div w:id="280458492">
      <w:bodyDiv w:val="1"/>
      <w:marLeft w:val="0"/>
      <w:marRight w:val="0"/>
      <w:marTop w:val="0"/>
      <w:marBottom w:val="0"/>
      <w:divBdr>
        <w:top w:val="none" w:sz="0" w:space="0" w:color="auto"/>
        <w:left w:val="none" w:sz="0" w:space="0" w:color="auto"/>
        <w:bottom w:val="none" w:sz="0" w:space="0" w:color="auto"/>
        <w:right w:val="none" w:sz="0" w:space="0" w:color="auto"/>
      </w:divBdr>
      <w:divsChild>
        <w:div w:id="885264612">
          <w:marLeft w:val="0"/>
          <w:marRight w:val="0"/>
          <w:marTop w:val="0"/>
          <w:marBottom w:val="0"/>
          <w:divBdr>
            <w:top w:val="none" w:sz="0" w:space="0" w:color="auto"/>
            <w:left w:val="none" w:sz="0" w:space="0" w:color="auto"/>
            <w:bottom w:val="none" w:sz="0" w:space="0" w:color="auto"/>
            <w:right w:val="none" w:sz="0" w:space="0" w:color="auto"/>
          </w:divBdr>
          <w:divsChild>
            <w:div w:id="17462959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80570925">
      <w:bodyDiv w:val="1"/>
      <w:marLeft w:val="0"/>
      <w:marRight w:val="0"/>
      <w:marTop w:val="0"/>
      <w:marBottom w:val="0"/>
      <w:divBdr>
        <w:top w:val="none" w:sz="0" w:space="0" w:color="auto"/>
        <w:left w:val="none" w:sz="0" w:space="0" w:color="auto"/>
        <w:bottom w:val="none" w:sz="0" w:space="0" w:color="auto"/>
        <w:right w:val="none" w:sz="0" w:space="0" w:color="auto"/>
      </w:divBdr>
    </w:div>
    <w:div w:id="280767494">
      <w:bodyDiv w:val="1"/>
      <w:marLeft w:val="0"/>
      <w:marRight w:val="0"/>
      <w:marTop w:val="0"/>
      <w:marBottom w:val="0"/>
      <w:divBdr>
        <w:top w:val="none" w:sz="0" w:space="0" w:color="auto"/>
        <w:left w:val="none" w:sz="0" w:space="0" w:color="auto"/>
        <w:bottom w:val="none" w:sz="0" w:space="0" w:color="auto"/>
        <w:right w:val="none" w:sz="0" w:space="0" w:color="auto"/>
      </w:divBdr>
      <w:divsChild>
        <w:div w:id="1698234455">
          <w:marLeft w:val="0"/>
          <w:marRight w:val="0"/>
          <w:marTop w:val="0"/>
          <w:marBottom w:val="150"/>
          <w:divBdr>
            <w:top w:val="none" w:sz="0" w:space="0" w:color="auto"/>
            <w:left w:val="none" w:sz="0" w:space="0" w:color="auto"/>
            <w:bottom w:val="none" w:sz="0" w:space="0" w:color="auto"/>
            <w:right w:val="none" w:sz="0" w:space="0" w:color="auto"/>
          </w:divBdr>
        </w:div>
      </w:divsChild>
    </w:div>
    <w:div w:id="281543530">
      <w:bodyDiv w:val="1"/>
      <w:marLeft w:val="0"/>
      <w:marRight w:val="0"/>
      <w:marTop w:val="0"/>
      <w:marBottom w:val="0"/>
      <w:divBdr>
        <w:top w:val="none" w:sz="0" w:space="0" w:color="auto"/>
        <w:left w:val="none" w:sz="0" w:space="0" w:color="auto"/>
        <w:bottom w:val="none" w:sz="0" w:space="0" w:color="auto"/>
        <w:right w:val="none" w:sz="0" w:space="0" w:color="auto"/>
      </w:divBdr>
      <w:divsChild>
        <w:div w:id="1732070502">
          <w:marLeft w:val="0"/>
          <w:marRight w:val="0"/>
          <w:marTop w:val="0"/>
          <w:marBottom w:val="0"/>
          <w:divBdr>
            <w:top w:val="none" w:sz="0" w:space="0" w:color="auto"/>
            <w:left w:val="none" w:sz="0" w:space="0" w:color="auto"/>
            <w:bottom w:val="none" w:sz="0" w:space="0" w:color="auto"/>
            <w:right w:val="none" w:sz="0" w:space="0" w:color="auto"/>
          </w:divBdr>
          <w:divsChild>
            <w:div w:id="12734370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81571207">
      <w:bodyDiv w:val="1"/>
      <w:marLeft w:val="0"/>
      <w:marRight w:val="0"/>
      <w:marTop w:val="0"/>
      <w:marBottom w:val="0"/>
      <w:divBdr>
        <w:top w:val="none" w:sz="0" w:space="0" w:color="auto"/>
        <w:left w:val="none" w:sz="0" w:space="0" w:color="auto"/>
        <w:bottom w:val="none" w:sz="0" w:space="0" w:color="auto"/>
        <w:right w:val="none" w:sz="0" w:space="0" w:color="auto"/>
      </w:divBdr>
      <w:divsChild>
        <w:div w:id="233202976">
          <w:marLeft w:val="0"/>
          <w:marRight w:val="0"/>
          <w:marTop w:val="0"/>
          <w:marBottom w:val="0"/>
          <w:divBdr>
            <w:top w:val="none" w:sz="0" w:space="0" w:color="auto"/>
            <w:left w:val="none" w:sz="0" w:space="0" w:color="auto"/>
            <w:bottom w:val="dotted" w:sz="6" w:space="4" w:color="DDDDDD"/>
            <w:right w:val="none" w:sz="0" w:space="0" w:color="auto"/>
          </w:divBdr>
        </w:div>
      </w:divsChild>
    </w:div>
    <w:div w:id="281619190">
      <w:bodyDiv w:val="1"/>
      <w:marLeft w:val="0"/>
      <w:marRight w:val="0"/>
      <w:marTop w:val="0"/>
      <w:marBottom w:val="0"/>
      <w:divBdr>
        <w:top w:val="none" w:sz="0" w:space="0" w:color="auto"/>
        <w:left w:val="none" w:sz="0" w:space="0" w:color="auto"/>
        <w:bottom w:val="none" w:sz="0" w:space="0" w:color="auto"/>
        <w:right w:val="none" w:sz="0" w:space="0" w:color="auto"/>
      </w:divBdr>
    </w:div>
    <w:div w:id="281884685">
      <w:bodyDiv w:val="1"/>
      <w:marLeft w:val="0"/>
      <w:marRight w:val="0"/>
      <w:marTop w:val="0"/>
      <w:marBottom w:val="0"/>
      <w:divBdr>
        <w:top w:val="none" w:sz="0" w:space="0" w:color="auto"/>
        <w:left w:val="none" w:sz="0" w:space="0" w:color="auto"/>
        <w:bottom w:val="none" w:sz="0" w:space="0" w:color="auto"/>
        <w:right w:val="none" w:sz="0" w:space="0" w:color="auto"/>
      </w:divBdr>
      <w:divsChild>
        <w:div w:id="451091435">
          <w:marLeft w:val="0"/>
          <w:marRight w:val="0"/>
          <w:marTop w:val="0"/>
          <w:marBottom w:val="0"/>
          <w:divBdr>
            <w:top w:val="none" w:sz="0" w:space="0" w:color="auto"/>
            <w:left w:val="none" w:sz="0" w:space="0" w:color="auto"/>
            <w:bottom w:val="dotted" w:sz="6" w:space="4" w:color="DDDDDD"/>
            <w:right w:val="none" w:sz="0" w:space="0" w:color="auto"/>
          </w:divBdr>
        </w:div>
      </w:divsChild>
    </w:div>
    <w:div w:id="281958665">
      <w:bodyDiv w:val="1"/>
      <w:marLeft w:val="0"/>
      <w:marRight w:val="0"/>
      <w:marTop w:val="0"/>
      <w:marBottom w:val="0"/>
      <w:divBdr>
        <w:top w:val="none" w:sz="0" w:space="0" w:color="auto"/>
        <w:left w:val="none" w:sz="0" w:space="0" w:color="auto"/>
        <w:bottom w:val="none" w:sz="0" w:space="0" w:color="auto"/>
        <w:right w:val="none" w:sz="0" w:space="0" w:color="auto"/>
      </w:divBdr>
      <w:divsChild>
        <w:div w:id="148913023">
          <w:marLeft w:val="0"/>
          <w:marRight w:val="0"/>
          <w:marTop w:val="0"/>
          <w:marBottom w:val="0"/>
          <w:divBdr>
            <w:top w:val="none" w:sz="0" w:space="0" w:color="auto"/>
            <w:left w:val="none" w:sz="0" w:space="0" w:color="auto"/>
            <w:bottom w:val="none" w:sz="0" w:space="0" w:color="auto"/>
            <w:right w:val="none" w:sz="0" w:space="0" w:color="auto"/>
          </w:divBdr>
        </w:div>
      </w:divsChild>
    </w:div>
    <w:div w:id="282153961">
      <w:bodyDiv w:val="1"/>
      <w:marLeft w:val="0"/>
      <w:marRight w:val="0"/>
      <w:marTop w:val="0"/>
      <w:marBottom w:val="0"/>
      <w:divBdr>
        <w:top w:val="none" w:sz="0" w:space="0" w:color="auto"/>
        <w:left w:val="none" w:sz="0" w:space="0" w:color="auto"/>
        <w:bottom w:val="none" w:sz="0" w:space="0" w:color="auto"/>
        <w:right w:val="none" w:sz="0" w:space="0" w:color="auto"/>
      </w:divBdr>
      <w:divsChild>
        <w:div w:id="436632445">
          <w:marLeft w:val="0"/>
          <w:marRight w:val="0"/>
          <w:marTop w:val="0"/>
          <w:marBottom w:val="0"/>
          <w:divBdr>
            <w:top w:val="none" w:sz="0" w:space="0" w:color="auto"/>
            <w:left w:val="none" w:sz="0" w:space="0" w:color="auto"/>
            <w:bottom w:val="none" w:sz="0" w:space="0" w:color="auto"/>
            <w:right w:val="none" w:sz="0" w:space="0" w:color="auto"/>
          </w:divBdr>
          <w:divsChild>
            <w:div w:id="734278673">
              <w:marLeft w:val="0"/>
              <w:marRight w:val="0"/>
              <w:marTop w:val="0"/>
              <w:marBottom w:val="0"/>
              <w:divBdr>
                <w:top w:val="none" w:sz="0" w:space="0" w:color="auto"/>
                <w:left w:val="none" w:sz="0" w:space="0" w:color="auto"/>
                <w:bottom w:val="none" w:sz="0" w:space="0" w:color="auto"/>
                <w:right w:val="none" w:sz="0" w:space="0" w:color="auto"/>
              </w:divBdr>
              <w:divsChild>
                <w:div w:id="2045867251">
                  <w:marLeft w:val="0"/>
                  <w:marRight w:val="0"/>
                  <w:marTop w:val="0"/>
                  <w:marBottom w:val="0"/>
                  <w:divBdr>
                    <w:top w:val="none" w:sz="0" w:space="0" w:color="auto"/>
                    <w:left w:val="none" w:sz="0" w:space="0" w:color="auto"/>
                    <w:bottom w:val="none" w:sz="0" w:space="0" w:color="auto"/>
                    <w:right w:val="none" w:sz="0" w:space="0" w:color="auto"/>
                  </w:divBdr>
                  <w:divsChild>
                    <w:div w:id="620065623">
                      <w:marLeft w:val="0"/>
                      <w:marRight w:val="0"/>
                      <w:marTop w:val="0"/>
                      <w:marBottom w:val="0"/>
                      <w:divBdr>
                        <w:top w:val="none" w:sz="0" w:space="0" w:color="auto"/>
                        <w:left w:val="none" w:sz="0" w:space="0" w:color="auto"/>
                        <w:bottom w:val="none" w:sz="0" w:space="0" w:color="auto"/>
                        <w:right w:val="none" w:sz="0" w:space="0" w:color="auto"/>
                      </w:divBdr>
                      <w:divsChild>
                        <w:div w:id="1171410316">
                          <w:marLeft w:val="0"/>
                          <w:marRight w:val="0"/>
                          <w:marTop w:val="0"/>
                          <w:marBottom w:val="0"/>
                          <w:divBdr>
                            <w:top w:val="none" w:sz="0" w:space="0" w:color="auto"/>
                            <w:left w:val="none" w:sz="0" w:space="0" w:color="auto"/>
                            <w:bottom w:val="none" w:sz="0" w:space="0" w:color="auto"/>
                            <w:right w:val="none" w:sz="0" w:space="0" w:color="auto"/>
                          </w:divBdr>
                          <w:divsChild>
                            <w:div w:id="960644610">
                              <w:marLeft w:val="0"/>
                              <w:marRight w:val="0"/>
                              <w:marTop w:val="0"/>
                              <w:marBottom w:val="0"/>
                              <w:divBdr>
                                <w:top w:val="none" w:sz="0" w:space="0" w:color="auto"/>
                                <w:left w:val="none" w:sz="0" w:space="0" w:color="auto"/>
                                <w:bottom w:val="none" w:sz="0" w:space="0" w:color="auto"/>
                                <w:right w:val="none" w:sz="0" w:space="0" w:color="auto"/>
                              </w:divBdr>
                              <w:divsChild>
                                <w:div w:id="42825671">
                                  <w:marLeft w:val="0"/>
                                  <w:marRight w:val="0"/>
                                  <w:marTop w:val="0"/>
                                  <w:marBottom w:val="0"/>
                                  <w:divBdr>
                                    <w:top w:val="none" w:sz="0" w:space="0" w:color="auto"/>
                                    <w:left w:val="none" w:sz="0" w:space="0" w:color="auto"/>
                                    <w:bottom w:val="none" w:sz="0" w:space="0" w:color="auto"/>
                                    <w:right w:val="none" w:sz="0" w:space="0" w:color="auto"/>
                                  </w:divBdr>
                                  <w:divsChild>
                                    <w:div w:id="2102678450">
                                      <w:marLeft w:val="0"/>
                                      <w:marRight w:val="0"/>
                                      <w:marTop w:val="0"/>
                                      <w:marBottom w:val="0"/>
                                      <w:divBdr>
                                        <w:top w:val="none" w:sz="0" w:space="0" w:color="auto"/>
                                        <w:left w:val="none" w:sz="0" w:space="0" w:color="auto"/>
                                        <w:bottom w:val="none" w:sz="0" w:space="0" w:color="auto"/>
                                        <w:right w:val="none" w:sz="0" w:space="0" w:color="auto"/>
                                      </w:divBdr>
                                      <w:divsChild>
                                        <w:div w:id="48920024">
                                          <w:marLeft w:val="0"/>
                                          <w:marRight w:val="0"/>
                                          <w:marTop w:val="0"/>
                                          <w:marBottom w:val="0"/>
                                          <w:divBdr>
                                            <w:top w:val="none" w:sz="0" w:space="0" w:color="auto"/>
                                            <w:left w:val="none" w:sz="0" w:space="0" w:color="auto"/>
                                            <w:bottom w:val="none" w:sz="0" w:space="0" w:color="auto"/>
                                            <w:right w:val="none" w:sz="0" w:space="0" w:color="auto"/>
                                          </w:divBdr>
                                          <w:divsChild>
                                            <w:div w:id="359210623">
                                              <w:marLeft w:val="0"/>
                                              <w:marRight w:val="0"/>
                                              <w:marTop w:val="0"/>
                                              <w:marBottom w:val="0"/>
                                              <w:divBdr>
                                                <w:top w:val="none" w:sz="0" w:space="0" w:color="auto"/>
                                                <w:left w:val="none" w:sz="0" w:space="0" w:color="auto"/>
                                                <w:bottom w:val="none" w:sz="0" w:space="0" w:color="auto"/>
                                                <w:right w:val="none" w:sz="0" w:space="0" w:color="auto"/>
                                              </w:divBdr>
                                            </w:div>
                                            <w:div w:id="498008256">
                                              <w:marLeft w:val="0"/>
                                              <w:marRight w:val="0"/>
                                              <w:marTop w:val="0"/>
                                              <w:marBottom w:val="0"/>
                                              <w:divBdr>
                                                <w:top w:val="none" w:sz="0" w:space="0" w:color="auto"/>
                                                <w:left w:val="none" w:sz="0" w:space="0" w:color="auto"/>
                                                <w:bottom w:val="none" w:sz="0" w:space="0" w:color="auto"/>
                                                <w:right w:val="none" w:sz="0" w:space="0" w:color="auto"/>
                                              </w:divBdr>
                                            </w:div>
                                            <w:div w:id="521550343">
                                              <w:marLeft w:val="0"/>
                                              <w:marRight w:val="0"/>
                                              <w:marTop w:val="0"/>
                                              <w:marBottom w:val="0"/>
                                              <w:divBdr>
                                                <w:top w:val="none" w:sz="0" w:space="0" w:color="auto"/>
                                                <w:left w:val="none" w:sz="0" w:space="0" w:color="auto"/>
                                                <w:bottom w:val="none" w:sz="0" w:space="0" w:color="auto"/>
                                                <w:right w:val="none" w:sz="0" w:space="0" w:color="auto"/>
                                              </w:divBdr>
                                            </w:div>
                                            <w:div w:id="646396536">
                                              <w:marLeft w:val="0"/>
                                              <w:marRight w:val="0"/>
                                              <w:marTop w:val="0"/>
                                              <w:marBottom w:val="0"/>
                                              <w:divBdr>
                                                <w:top w:val="none" w:sz="0" w:space="0" w:color="auto"/>
                                                <w:left w:val="none" w:sz="0" w:space="0" w:color="auto"/>
                                                <w:bottom w:val="none" w:sz="0" w:space="0" w:color="auto"/>
                                                <w:right w:val="none" w:sz="0" w:space="0" w:color="auto"/>
                                              </w:divBdr>
                                            </w:div>
                                            <w:div w:id="1129008543">
                                              <w:marLeft w:val="0"/>
                                              <w:marRight w:val="0"/>
                                              <w:marTop w:val="0"/>
                                              <w:marBottom w:val="0"/>
                                              <w:divBdr>
                                                <w:top w:val="none" w:sz="0" w:space="0" w:color="auto"/>
                                                <w:left w:val="none" w:sz="0" w:space="0" w:color="auto"/>
                                                <w:bottom w:val="none" w:sz="0" w:space="0" w:color="auto"/>
                                                <w:right w:val="none" w:sz="0" w:space="0" w:color="auto"/>
                                              </w:divBdr>
                                            </w:div>
                                            <w:div w:id="1133671792">
                                              <w:marLeft w:val="0"/>
                                              <w:marRight w:val="0"/>
                                              <w:marTop w:val="0"/>
                                              <w:marBottom w:val="0"/>
                                              <w:divBdr>
                                                <w:top w:val="none" w:sz="0" w:space="0" w:color="auto"/>
                                                <w:left w:val="none" w:sz="0" w:space="0" w:color="auto"/>
                                                <w:bottom w:val="none" w:sz="0" w:space="0" w:color="auto"/>
                                                <w:right w:val="none" w:sz="0" w:space="0" w:color="auto"/>
                                              </w:divBdr>
                                            </w:div>
                                            <w:div w:id="1167669475">
                                              <w:marLeft w:val="0"/>
                                              <w:marRight w:val="0"/>
                                              <w:marTop w:val="0"/>
                                              <w:marBottom w:val="0"/>
                                              <w:divBdr>
                                                <w:top w:val="none" w:sz="0" w:space="0" w:color="auto"/>
                                                <w:left w:val="none" w:sz="0" w:space="0" w:color="auto"/>
                                                <w:bottom w:val="none" w:sz="0" w:space="0" w:color="auto"/>
                                                <w:right w:val="none" w:sz="0" w:space="0" w:color="auto"/>
                                              </w:divBdr>
                                            </w:div>
                                            <w:div w:id="1226407058">
                                              <w:marLeft w:val="0"/>
                                              <w:marRight w:val="0"/>
                                              <w:marTop w:val="0"/>
                                              <w:marBottom w:val="0"/>
                                              <w:divBdr>
                                                <w:top w:val="none" w:sz="0" w:space="0" w:color="auto"/>
                                                <w:left w:val="none" w:sz="0" w:space="0" w:color="auto"/>
                                                <w:bottom w:val="none" w:sz="0" w:space="0" w:color="auto"/>
                                                <w:right w:val="none" w:sz="0" w:space="0" w:color="auto"/>
                                              </w:divBdr>
                                            </w:div>
                                            <w:div w:id="1768770721">
                                              <w:marLeft w:val="0"/>
                                              <w:marRight w:val="0"/>
                                              <w:marTop w:val="0"/>
                                              <w:marBottom w:val="0"/>
                                              <w:divBdr>
                                                <w:top w:val="none" w:sz="0" w:space="0" w:color="auto"/>
                                                <w:left w:val="none" w:sz="0" w:space="0" w:color="auto"/>
                                                <w:bottom w:val="none" w:sz="0" w:space="0" w:color="auto"/>
                                                <w:right w:val="none" w:sz="0" w:space="0" w:color="auto"/>
                                              </w:divBdr>
                                            </w:div>
                                            <w:div w:id="1824616255">
                                              <w:marLeft w:val="0"/>
                                              <w:marRight w:val="0"/>
                                              <w:marTop w:val="0"/>
                                              <w:marBottom w:val="0"/>
                                              <w:divBdr>
                                                <w:top w:val="none" w:sz="0" w:space="0" w:color="auto"/>
                                                <w:left w:val="none" w:sz="0" w:space="0" w:color="auto"/>
                                                <w:bottom w:val="none" w:sz="0" w:space="0" w:color="auto"/>
                                                <w:right w:val="none" w:sz="0" w:space="0" w:color="auto"/>
                                              </w:divBdr>
                                            </w:div>
                                            <w:div w:id="1830827030">
                                              <w:marLeft w:val="0"/>
                                              <w:marRight w:val="0"/>
                                              <w:marTop w:val="0"/>
                                              <w:marBottom w:val="0"/>
                                              <w:divBdr>
                                                <w:top w:val="none" w:sz="0" w:space="0" w:color="auto"/>
                                                <w:left w:val="none" w:sz="0" w:space="0" w:color="auto"/>
                                                <w:bottom w:val="none" w:sz="0" w:space="0" w:color="auto"/>
                                                <w:right w:val="none" w:sz="0" w:space="0" w:color="auto"/>
                                              </w:divBdr>
                                            </w:div>
                                            <w:div w:id="1945262791">
                                              <w:marLeft w:val="0"/>
                                              <w:marRight w:val="0"/>
                                              <w:marTop w:val="0"/>
                                              <w:marBottom w:val="0"/>
                                              <w:divBdr>
                                                <w:top w:val="none" w:sz="0" w:space="0" w:color="auto"/>
                                                <w:left w:val="none" w:sz="0" w:space="0" w:color="auto"/>
                                                <w:bottom w:val="none" w:sz="0" w:space="0" w:color="auto"/>
                                                <w:right w:val="none" w:sz="0" w:space="0" w:color="auto"/>
                                              </w:divBdr>
                                            </w:div>
                                            <w:div w:id="207476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2348081">
      <w:bodyDiv w:val="1"/>
      <w:marLeft w:val="0"/>
      <w:marRight w:val="0"/>
      <w:marTop w:val="0"/>
      <w:marBottom w:val="0"/>
      <w:divBdr>
        <w:top w:val="none" w:sz="0" w:space="0" w:color="auto"/>
        <w:left w:val="none" w:sz="0" w:space="0" w:color="auto"/>
        <w:bottom w:val="none" w:sz="0" w:space="0" w:color="auto"/>
        <w:right w:val="none" w:sz="0" w:space="0" w:color="auto"/>
      </w:divBdr>
      <w:divsChild>
        <w:div w:id="456947751">
          <w:marLeft w:val="0"/>
          <w:marRight w:val="0"/>
          <w:marTop w:val="0"/>
          <w:marBottom w:val="150"/>
          <w:divBdr>
            <w:top w:val="none" w:sz="0" w:space="0" w:color="auto"/>
            <w:left w:val="none" w:sz="0" w:space="0" w:color="auto"/>
            <w:bottom w:val="none" w:sz="0" w:space="0" w:color="auto"/>
            <w:right w:val="none" w:sz="0" w:space="0" w:color="auto"/>
          </w:divBdr>
        </w:div>
      </w:divsChild>
    </w:div>
    <w:div w:id="282856238">
      <w:bodyDiv w:val="1"/>
      <w:marLeft w:val="0"/>
      <w:marRight w:val="0"/>
      <w:marTop w:val="0"/>
      <w:marBottom w:val="0"/>
      <w:divBdr>
        <w:top w:val="none" w:sz="0" w:space="0" w:color="auto"/>
        <w:left w:val="none" w:sz="0" w:space="0" w:color="auto"/>
        <w:bottom w:val="none" w:sz="0" w:space="0" w:color="auto"/>
        <w:right w:val="none" w:sz="0" w:space="0" w:color="auto"/>
      </w:divBdr>
      <w:divsChild>
        <w:div w:id="1353337381">
          <w:marLeft w:val="0"/>
          <w:marRight w:val="0"/>
          <w:marTop w:val="0"/>
          <w:marBottom w:val="0"/>
          <w:divBdr>
            <w:top w:val="none" w:sz="0" w:space="0" w:color="auto"/>
            <w:left w:val="none" w:sz="0" w:space="0" w:color="auto"/>
            <w:bottom w:val="none" w:sz="0" w:space="0" w:color="auto"/>
            <w:right w:val="none" w:sz="0" w:space="0" w:color="auto"/>
          </w:divBdr>
          <w:divsChild>
            <w:div w:id="193809458">
              <w:marLeft w:val="0"/>
              <w:marRight w:val="0"/>
              <w:marTop w:val="0"/>
              <w:marBottom w:val="150"/>
              <w:divBdr>
                <w:top w:val="none" w:sz="0" w:space="0" w:color="auto"/>
                <w:left w:val="none" w:sz="0" w:space="0" w:color="auto"/>
                <w:bottom w:val="none" w:sz="0" w:space="0" w:color="auto"/>
                <w:right w:val="none" w:sz="0" w:space="0" w:color="auto"/>
              </w:divBdr>
            </w:div>
            <w:div w:id="2080057189">
              <w:marLeft w:val="0"/>
              <w:marRight w:val="0"/>
              <w:marTop w:val="0"/>
              <w:marBottom w:val="0"/>
              <w:divBdr>
                <w:top w:val="none" w:sz="0" w:space="0" w:color="auto"/>
                <w:left w:val="none" w:sz="0" w:space="0" w:color="auto"/>
                <w:bottom w:val="none" w:sz="0" w:space="0" w:color="auto"/>
                <w:right w:val="none" w:sz="0" w:space="0" w:color="auto"/>
              </w:divBdr>
              <w:divsChild>
                <w:div w:id="17407819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6488287">
          <w:marLeft w:val="0"/>
          <w:marRight w:val="0"/>
          <w:marTop w:val="0"/>
          <w:marBottom w:val="150"/>
          <w:divBdr>
            <w:top w:val="none" w:sz="0" w:space="0" w:color="auto"/>
            <w:left w:val="none" w:sz="0" w:space="0" w:color="auto"/>
            <w:bottom w:val="none" w:sz="0" w:space="0" w:color="auto"/>
            <w:right w:val="none" w:sz="0" w:space="0" w:color="auto"/>
          </w:divBdr>
          <w:divsChild>
            <w:div w:id="1375425671">
              <w:marLeft w:val="0"/>
              <w:marRight w:val="0"/>
              <w:marTop w:val="0"/>
              <w:marBottom w:val="0"/>
              <w:divBdr>
                <w:top w:val="none" w:sz="0" w:space="0" w:color="auto"/>
                <w:left w:val="none" w:sz="0" w:space="0" w:color="auto"/>
                <w:bottom w:val="none" w:sz="0" w:space="0" w:color="auto"/>
                <w:right w:val="none" w:sz="0" w:space="0" w:color="auto"/>
              </w:divBdr>
              <w:divsChild>
                <w:div w:id="6904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928732">
      <w:bodyDiv w:val="1"/>
      <w:marLeft w:val="0"/>
      <w:marRight w:val="0"/>
      <w:marTop w:val="0"/>
      <w:marBottom w:val="0"/>
      <w:divBdr>
        <w:top w:val="none" w:sz="0" w:space="0" w:color="auto"/>
        <w:left w:val="none" w:sz="0" w:space="0" w:color="auto"/>
        <w:bottom w:val="none" w:sz="0" w:space="0" w:color="auto"/>
        <w:right w:val="none" w:sz="0" w:space="0" w:color="auto"/>
      </w:divBdr>
      <w:divsChild>
        <w:div w:id="673148779">
          <w:marLeft w:val="0"/>
          <w:marRight w:val="0"/>
          <w:marTop w:val="0"/>
          <w:marBottom w:val="0"/>
          <w:divBdr>
            <w:top w:val="none" w:sz="0" w:space="0" w:color="auto"/>
            <w:left w:val="none" w:sz="0" w:space="0" w:color="auto"/>
            <w:bottom w:val="none" w:sz="0" w:space="0" w:color="auto"/>
            <w:right w:val="none" w:sz="0" w:space="0" w:color="auto"/>
          </w:divBdr>
        </w:div>
      </w:divsChild>
    </w:div>
    <w:div w:id="282929934">
      <w:bodyDiv w:val="1"/>
      <w:marLeft w:val="0"/>
      <w:marRight w:val="0"/>
      <w:marTop w:val="0"/>
      <w:marBottom w:val="0"/>
      <w:divBdr>
        <w:top w:val="none" w:sz="0" w:space="0" w:color="auto"/>
        <w:left w:val="none" w:sz="0" w:space="0" w:color="auto"/>
        <w:bottom w:val="none" w:sz="0" w:space="0" w:color="auto"/>
        <w:right w:val="none" w:sz="0" w:space="0" w:color="auto"/>
      </w:divBdr>
      <w:divsChild>
        <w:div w:id="1756323570">
          <w:marLeft w:val="0"/>
          <w:marRight w:val="0"/>
          <w:marTop w:val="0"/>
          <w:marBottom w:val="0"/>
          <w:divBdr>
            <w:top w:val="none" w:sz="0" w:space="0" w:color="auto"/>
            <w:left w:val="none" w:sz="0" w:space="0" w:color="auto"/>
            <w:bottom w:val="none" w:sz="0" w:space="0" w:color="auto"/>
            <w:right w:val="none" w:sz="0" w:space="0" w:color="auto"/>
          </w:divBdr>
          <w:divsChild>
            <w:div w:id="1331719542">
              <w:marLeft w:val="0"/>
              <w:marRight w:val="0"/>
              <w:marTop w:val="0"/>
              <w:marBottom w:val="0"/>
              <w:divBdr>
                <w:top w:val="none" w:sz="0" w:space="0" w:color="auto"/>
                <w:left w:val="none" w:sz="0" w:space="0" w:color="auto"/>
                <w:bottom w:val="none" w:sz="0" w:space="0" w:color="auto"/>
                <w:right w:val="none" w:sz="0" w:space="0" w:color="auto"/>
              </w:divBdr>
              <w:divsChild>
                <w:div w:id="2092045325">
                  <w:marLeft w:val="0"/>
                  <w:marRight w:val="0"/>
                  <w:marTop w:val="0"/>
                  <w:marBottom w:val="0"/>
                  <w:divBdr>
                    <w:top w:val="none" w:sz="0" w:space="0" w:color="auto"/>
                    <w:left w:val="none" w:sz="0" w:space="0" w:color="auto"/>
                    <w:bottom w:val="none" w:sz="0" w:space="0" w:color="auto"/>
                    <w:right w:val="none" w:sz="0" w:space="0" w:color="auto"/>
                  </w:divBdr>
                  <w:divsChild>
                    <w:div w:id="629242752">
                      <w:marLeft w:val="0"/>
                      <w:marRight w:val="0"/>
                      <w:marTop w:val="0"/>
                      <w:marBottom w:val="0"/>
                      <w:divBdr>
                        <w:top w:val="none" w:sz="0" w:space="0" w:color="auto"/>
                        <w:left w:val="none" w:sz="0" w:space="0" w:color="auto"/>
                        <w:bottom w:val="none" w:sz="0" w:space="0" w:color="auto"/>
                        <w:right w:val="none" w:sz="0" w:space="0" w:color="auto"/>
                      </w:divBdr>
                      <w:divsChild>
                        <w:div w:id="1578443039">
                          <w:marLeft w:val="0"/>
                          <w:marRight w:val="0"/>
                          <w:marTop w:val="0"/>
                          <w:marBottom w:val="0"/>
                          <w:divBdr>
                            <w:top w:val="none" w:sz="0" w:space="0" w:color="auto"/>
                            <w:left w:val="none" w:sz="0" w:space="0" w:color="auto"/>
                            <w:bottom w:val="none" w:sz="0" w:space="0" w:color="auto"/>
                            <w:right w:val="none" w:sz="0" w:space="0" w:color="auto"/>
                          </w:divBdr>
                          <w:divsChild>
                            <w:div w:id="2028558955">
                              <w:marLeft w:val="0"/>
                              <w:marRight w:val="0"/>
                              <w:marTop w:val="0"/>
                              <w:marBottom w:val="0"/>
                              <w:divBdr>
                                <w:top w:val="none" w:sz="0" w:space="0" w:color="auto"/>
                                <w:left w:val="none" w:sz="0" w:space="0" w:color="auto"/>
                                <w:bottom w:val="none" w:sz="0" w:space="0" w:color="auto"/>
                                <w:right w:val="none" w:sz="0" w:space="0" w:color="auto"/>
                              </w:divBdr>
                              <w:divsChild>
                                <w:div w:id="791168542">
                                  <w:marLeft w:val="0"/>
                                  <w:marRight w:val="0"/>
                                  <w:marTop w:val="0"/>
                                  <w:marBottom w:val="0"/>
                                  <w:divBdr>
                                    <w:top w:val="none" w:sz="0" w:space="0" w:color="auto"/>
                                    <w:left w:val="none" w:sz="0" w:space="0" w:color="auto"/>
                                    <w:bottom w:val="none" w:sz="0" w:space="0" w:color="auto"/>
                                    <w:right w:val="none" w:sz="0" w:space="0" w:color="auto"/>
                                  </w:divBdr>
                                  <w:divsChild>
                                    <w:div w:id="205954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3730295">
      <w:bodyDiv w:val="1"/>
      <w:marLeft w:val="0"/>
      <w:marRight w:val="0"/>
      <w:marTop w:val="0"/>
      <w:marBottom w:val="0"/>
      <w:divBdr>
        <w:top w:val="none" w:sz="0" w:space="0" w:color="auto"/>
        <w:left w:val="none" w:sz="0" w:space="0" w:color="auto"/>
        <w:bottom w:val="none" w:sz="0" w:space="0" w:color="auto"/>
        <w:right w:val="none" w:sz="0" w:space="0" w:color="auto"/>
      </w:divBdr>
    </w:div>
    <w:div w:id="284578798">
      <w:bodyDiv w:val="1"/>
      <w:marLeft w:val="0"/>
      <w:marRight w:val="0"/>
      <w:marTop w:val="0"/>
      <w:marBottom w:val="0"/>
      <w:divBdr>
        <w:top w:val="none" w:sz="0" w:space="0" w:color="auto"/>
        <w:left w:val="none" w:sz="0" w:space="0" w:color="auto"/>
        <w:bottom w:val="none" w:sz="0" w:space="0" w:color="auto"/>
        <w:right w:val="none" w:sz="0" w:space="0" w:color="auto"/>
      </w:divBdr>
    </w:div>
    <w:div w:id="284778629">
      <w:bodyDiv w:val="1"/>
      <w:marLeft w:val="0"/>
      <w:marRight w:val="0"/>
      <w:marTop w:val="0"/>
      <w:marBottom w:val="0"/>
      <w:divBdr>
        <w:top w:val="none" w:sz="0" w:space="0" w:color="auto"/>
        <w:left w:val="none" w:sz="0" w:space="0" w:color="auto"/>
        <w:bottom w:val="none" w:sz="0" w:space="0" w:color="auto"/>
        <w:right w:val="none" w:sz="0" w:space="0" w:color="auto"/>
      </w:divBdr>
      <w:divsChild>
        <w:div w:id="2097288240">
          <w:marLeft w:val="0"/>
          <w:marRight w:val="0"/>
          <w:marTop w:val="0"/>
          <w:marBottom w:val="0"/>
          <w:divBdr>
            <w:top w:val="none" w:sz="0" w:space="0" w:color="auto"/>
            <w:left w:val="none" w:sz="0" w:space="0" w:color="auto"/>
            <w:bottom w:val="dotted" w:sz="6" w:space="4" w:color="DDDDDD"/>
            <w:right w:val="none" w:sz="0" w:space="0" w:color="auto"/>
          </w:divBdr>
        </w:div>
      </w:divsChild>
    </w:div>
    <w:div w:id="285358054">
      <w:bodyDiv w:val="1"/>
      <w:marLeft w:val="0"/>
      <w:marRight w:val="0"/>
      <w:marTop w:val="0"/>
      <w:marBottom w:val="0"/>
      <w:divBdr>
        <w:top w:val="none" w:sz="0" w:space="0" w:color="auto"/>
        <w:left w:val="none" w:sz="0" w:space="0" w:color="auto"/>
        <w:bottom w:val="none" w:sz="0" w:space="0" w:color="auto"/>
        <w:right w:val="none" w:sz="0" w:space="0" w:color="auto"/>
      </w:divBdr>
      <w:divsChild>
        <w:div w:id="205945510">
          <w:marLeft w:val="0"/>
          <w:marRight w:val="0"/>
          <w:marTop w:val="0"/>
          <w:marBottom w:val="0"/>
          <w:divBdr>
            <w:top w:val="none" w:sz="0" w:space="8" w:color="auto"/>
            <w:left w:val="none" w:sz="0" w:space="2" w:color="auto"/>
            <w:bottom w:val="single" w:sz="6" w:space="8" w:color="DDDDDD"/>
            <w:right w:val="none" w:sz="0" w:space="0" w:color="auto"/>
          </w:divBdr>
        </w:div>
        <w:div w:id="702248542">
          <w:marLeft w:val="0"/>
          <w:marRight w:val="0"/>
          <w:marTop w:val="150"/>
          <w:marBottom w:val="0"/>
          <w:divBdr>
            <w:top w:val="none" w:sz="0" w:space="0" w:color="auto"/>
            <w:left w:val="none" w:sz="0" w:space="0" w:color="auto"/>
            <w:bottom w:val="none" w:sz="0" w:space="0" w:color="auto"/>
            <w:right w:val="none" w:sz="0" w:space="0" w:color="auto"/>
          </w:divBdr>
          <w:divsChild>
            <w:div w:id="686255149">
              <w:marLeft w:val="0"/>
              <w:marRight w:val="150"/>
              <w:marTop w:val="0"/>
              <w:marBottom w:val="0"/>
              <w:divBdr>
                <w:top w:val="none" w:sz="0" w:space="0" w:color="auto"/>
                <w:left w:val="none" w:sz="0" w:space="0" w:color="auto"/>
                <w:bottom w:val="none" w:sz="0" w:space="0" w:color="auto"/>
                <w:right w:val="none" w:sz="0" w:space="0" w:color="auto"/>
              </w:divBdr>
              <w:divsChild>
                <w:div w:id="167793974">
                  <w:marLeft w:val="0"/>
                  <w:marRight w:val="0"/>
                  <w:marTop w:val="75"/>
                  <w:marBottom w:val="0"/>
                  <w:divBdr>
                    <w:top w:val="none" w:sz="0" w:space="0" w:color="auto"/>
                    <w:left w:val="none" w:sz="0" w:space="0" w:color="auto"/>
                    <w:bottom w:val="none" w:sz="0" w:space="0" w:color="auto"/>
                    <w:right w:val="none" w:sz="0" w:space="0" w:color="auto"/>
                  </w:divBdr>
                </w:div>
                <w:div w:id="443379445">
                  <w:marLeft w:val="-630"/>
                  <w:marRight w:val="0"/>
                  <w:marTop w:val="0"/>
                  <w:marBottom w:val="0"/>
                  <w:divBdr>
                    <w:top w:val="none" w:sz="0" w:space="0" w:color="auto"/>
                    <w:left w:val="none" w:sz="0" w:space="0" w:color="auto"/>
                    <w:bottom w:val="none" w:sz="0" w:space="0" w:color="auto"/>
                    <w:right w:val="none" w:sz="0" w:space="0" w:color="auto"/>
                  </w:divBdr>
                </w:div>
                <w:div w:id="1148397264">
                  <w:marLeft w:val="0"/>
                  <w:marRight w:val="0"/>
                  <w:marTop w:val="0"/>
                  <w:marBottom w:val="0"/>
                  <w:divBdr>
                    <w:top w:val="none" w:sz="0" w:space="0" w:color="auto"/>
                    <w:left w:val="none" w:sz="0" w:space="0" w:color="auto"/>
                    <w:bottom w:val="none" w:sz="0" w:space="0" w:color="auto"/>
                    <w:right w:val="none" w:sz="0" w:space="0" w:color="auto"/>
                  </w:divBdr>
                </w:div>
                <w:div w:id="155276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620714">
      <w:bodyDiv w:val="1"/>
      <w:marLeft w:val="0"/>
      <w:marRight w:val="0"/>
      <w:marTop w:val="0"/>
      <w:marBottom w:val="0"/>
      <w:divBdr>
        <w:top w:val="none" w:sz="0" w:space="0" w:color="auto"/>
        <w:left w:val="none" w:sz="0" w:space="0" w:color="auto"/>
        <w:bottom w:val="none" w:sz="0" w:space="0" w:color="auto"/>
        <w:right w:val="none" w:sz="0" w:space="0" w:color="auto"/>
      </w:divBdr>
      <w:divsChild>
        <w:div w:id="1859080802">
          <w:marLeft w:val="0"/>
          <w:marRight w:val="0"/>
          <w:marTop w:val="0"/>
          <w:marBottom w:val="0"/>
          <w:divBdr>
            <w:top w:val="none" w:sz="0" w:space="0" w:color="auto"/>
            <w:left w:val="none" w:sz="0" w:space="0" w:color="auto"/>
            <w:bottom w:val="none" w:sz="0" w:space="0" w:color="auto"/>
            <w:right w:val="none" w:sz="0" w:space="0" w:color="auto"/>
          </w:divBdr>
          <w:divsChild>
            <w:div w:id="1470396584">
              <w:marLeft w:val="0"/>
              <w:marRight w:val="0"/>
              <w:marTop w:val="0"/>
              <w:marBottom w:val="0"/>
              <w:divBdr>
                <w:top w:val="none" w:sz="0" w:space="0" w:color="auto"/>
                <w:left w:val="none" w:sz="0" w:space="0" w:color="auto"/>
                <w:bottom w:val="none" w:sz="0" w:space="0" w:color="auto"/>
                <w:right w:val="none" w:sz="0" w:space="0" w:color="auto"/>
              </w:divBdr>
              <w:divsChild>
                <w:div w:id="523135112">
                  <w:marLeft w:val="0"/>
                  <w:marRight w:val="0"/>
                  <w:marTop w:val="0"/>
                  <w:marBottom w:val="0"/>
                  <w:divBdr>
                    <w:top w:val="none" w:sz="0" w:space="0" w:color="auto"/>
                    <w:left w:val="none" w:sz="0" w:space="0" w:color="auto"/>
                    <w:bottom w:val="none" w:sz="0" w:space="0" w:color="auto"/>
                    <w:right w:val="none" w:sz="0" w:space="0" w:color="auto"/>
                  </w:divBdr>
                  <w:divsChild>
                    <w:div w:id="1225022428">
                      <w:marLeft w:val="0"/>
                      <w:marRight w:val="0"/>
                      <w:marTop w:val="0"/>
                      <w:marBottom w:val="0"/>
                      <w:divBdr>
                        <w:top w:val="none" w:sz="0" w:space="0" w:color="auto"/>
                        <w:left w:val="none" w:sz="0" w:space="0" w:color="auto"/>
                        <w:bottom w:val="none" w:sz="0" w:space="0" w:color="auto"/>
                        <w:right w:val="none" w:sz="0" w:space="0" w:color="auto"/>
                      </w:divBdr>
                      <w:divsChild>
                        <w:div w:id="539703048">
                          <w:marLeft w:val="0"/>
                          <w:marRight w:val="0"/>
                          <w:marTop w:val="0"/>
                          <w:marBottom w:val="0"/>
                          <w:divBdr>
                            <w:top w:val="none" w:sz="0" w:space="0" w:color="auto"/>
                            <w:left w:val="none" w:sz="0" w:space="0" w:color="auto"/>
                            <w:bottom w:val="none" w:sz="0" w:space="0" w:color="auto"/>
                            <w:right w:val="none" w:sz="0" w:space="0" w:color="auto"/>
                          </w:divBdr>
                          <w:divsChild>
                            <w:div w:id="1466968691">
                              <w:marLeft w:val="0"/>
                              <w:marRight w:val="0"/>
                              <w:marTop w:val="0"/>
                              <w:marBottom w:val="0"/>
                              <w:divBdr>
                                <w:top w:val="none" w:sz="0" w:space="0" w:color="auto"/>
                                <w:left w:val="none" w:sz="0" w:space="0" w:color="auto"/>
                                <w:bottom w:val="none" w:sz="0" w:space="0" w:color="auto"/>
                                <w:right w:val="none" w:sz="0" w:space="0" w:color="auto"/>
                              </w:divBdr>
                              <w:divsChild>
                                <w:div w:id="146166455">
                                  <w:marLeft w:val="0"/>
                                  <w:marRight w:val="0"/>
                                  <w:marTop w:val="0"/>
                                  <w:marBottom w:val="0"/>
                                  <w:divBdr>
                                    <w:top w:val="none" w:sz="0" w:space="0" w:color="auto"/>
                                    <w:left w:val="none" w:sz="0" w:space="0" w:color="auto"/>
                                    <w:bottom w:val="none" w:sz="0" w:space="0" w:color="auto"/>
                                    <w:right w:val="none" w:sz="0" w:space="0" w:color="auto"/>
                                  </w:divBdr>
                                  <w:divsChild>
                                    <w:div w:id="1257137076">
                                      <w:marLeft w:val="0"/>
                                      <w:marRight w:val="0"/>
                                      <w:marTop w:val="0"/>
                                      <w:marBottom w:val="0"/>
                                      <w:divBdr>
                                        <w:top w:val="none" w:sz="0" w:space="0" w:color="auto"/>
                                        <w:left w:val="none" w:sz="0" w:space="0" w:color="auto"/>
                                        <w:bottom w:val="none" w:sz="0" w:space="0" w:color="auto"/>
                                        <w:right w:val="none" w:sz="0" w:space="0" w:color="auto"/>
                                      </w:divBdr>
                                      <w:divsChild>
                                        <w:div w:id="52625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5621256">
      <w:bodyDiv w:val="1"/>
      <w:marLeft w:val="0"/>
      <w:marRight w:val="0"/>
      <w:marTop w:val="0"/>
      <w:marBottom w:val="0"/>
      <w:divBdr>
        <w:top w:val="none" w:sz="0" w:space="0" w:color="auto"/>
        <w:left w:val="none" w:sz="0" w:space="0" w:color="auto"/>
        <w:bottom w:val="none" w:sz="0" w:space="0" w:color="auto"/>
        <w:right w:val="none" w:sz="0" w:space="0" w:color="auto"/>
      </w:divBdr>
      <w:divsChild>
        <w:div w:id="66657879">
          <w:marLeft w:val="0"/>
          <w:marRight w:val="0"/>
          <w:marTop w:val="0"/>
          <w:marBottom w:val="225"/>
          <w:divBdr>
            <w:top w:val="none" w:sz="0" w:space="0" w:color="auto"/>
            <w:left w:val="none" w:sz="0" w:space="0" w:color="auto"/>
            <w:bottom w:val="none" w:sz="0" w:space="0" w:color="auto"/>
            <w:right w:val="none" w:sz="0" w:space="0" w:color="auto"/>
          </w:divBdr>
        </w:div>
      </w:divsChild>
    </w:div>
    <w:div w:id="285745574">
      <w:bodyDiv w:val="1"/>
      <w:marLeft w:val="0"/>
      <w:marRight w:val="0"/>
      <w:marTop w:val="0"/>
      <w:marBottom w:val="0"/>
      <w:divBdr>
        <w:top w:val="none" w:sz="0" w:space="0" w:color="auto"/>
        <w:left w:val="none" w:sz="0" w:space="0" w:color="auto"/>
        <w:bottom w:val="none" w:sz="0" w:space="0" w:color="auto"/>
        <w:right w:val="none" w:sz="0" w:space="0" w:color="auto"/>
      </w:divBdr>
      <w:divsChild>
        <w:div w:id="208687663">
          <w:marLeft w:val="0"/>
          <w:marRight w:val="0"/>
          <w:marTop w:val="0"/>
          <w:marBottom w:val="0"/>
          <w:divBdr>
            <w:top w:val="none" w:sz="0" w:space="0" w:color="auto"/>
            <w:left w:val="none" w:sz="0" w:space="0" w:color="auto"/>
            <w:bottom w:val="none" w:sz="0" w:space="0" w:color="auto"/>
            <w:right w:val="none" w:sz="0" w:space="0" w:color="auto"/>
          </w:divBdr>
          <w:divsChild>
            <w:div w:id="718823908">
              <w:marLeft w:val="0"/>
              <w:marRight w:val="0"/>
              <w:marTop w:val="0"/>
              <w:marBottom w:val="300"/>
              <w:divBdr>
                <w:top w:val="none" w:sz="0" w:space="0" w:color="auto"/>
                <w:left w:val="none" w:sz="0" w:space="0" w:color="auto"/>
                <w:bottom w:val="single" w:sz="6" w:space="0" w:color="F1F1F1"/>
                <w:right w:val="none" w:sz="0" w:space="0" w:color="auto"/>
              </w:divBdr>
              <w:divsChild>
                <w:div w:id="10941352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18558288">
          <w:marLeft w:val="0"/>
          <w:marRight w:val="0"/>
          <w:marTop w:val="0"/>
          <w:marBottom w:val="0"/>
          <w:divBdr>
            <w:top w:val="none" w:sz="0" w:space="0" w:color="auto"/>
            <w:left w:val="none" w:sz="0" w:space="0" w:color="auto"/>
            <w:bottom w:val="none" w:sz="0" w:space="0" w:color="auto"/>
            <w:right w:val="none" w:sz="0" w:space="0" w:color="auto"/>
          </w:divBdr>
          <w:divsChild>
            <w:div w:id="2109426511">
              <w:marLeft w:val="0"/>
              <w:marRight w:val="0"/>
              <w:marTop w:val="0"/>
              <w:marBottom w:val="0"/>
              <w:divBdr>
                <w:top w:val="none" w:sz="0" w:space="0" w:color="auto"/>
                <w:left w:val="none" w:sz="0" w:space="0" w:color="auto"/>
                <w:bottom w:val="none" w:sz="0" w:space="0" w:color="auto"/>
                <w:right w:val="none" w:sz="0" w:space="0" w:color="auto"/>
              </w:divBdr>
              <w:divsChild>
                <w:div w:id="372080018">
                  <w:marLeft w:val="0"/>
                  <w:marRight w:val="0"/>
                  <w:marTop w:val="0"/>
                  <w:marBottom w:val="0"/>
                  <w:divBdr>
                    <w:top w:val="none" w:sz="0" w:space="0" w:color="auto"/>
                    <w:left w:val="none" w:sz="0" w:space="0" w:color="auto"/>
                    <w:bottom w:val="none" w:sz="0" w:space="0" w:color="auto"/>
                    <w:right w:val="none" w:sz="0" w:space="0" w:color="auto"/>
                  </w:divBdr>
                  <w:divsChild>
                    <w:div w:id="173542108">
                      <w:marLeft w:val="0"/>
                      <w:marRight w:val="0"/>
                      <w:marTop w:val="0"/>
                      <w:marBottom w:val="0"/>
                      <w:divBdr>
                        <w:top w:val="none" w:sz="0" w:space="0" w:color="auto"/>
                        <w:left w:val="none" w:sz="0" w:space="0" w:color="auto"/>
                        <w:bottom w:val="none" w:sz="0" w:space="0" w:color="auto"/>
                        <w:right w:val="none" w:sz="0" w:space="0" w:color="auto"/>
                      </w:divBdr>
                    </w:div>
                    <w:div w:id="1887446591">
                      <w:marLeft w:val="0"/>
                      <w:marRight w:val="0"/>
                      <w:marTop w:val="0"/>
                      <w:marBottom w:val="75"/>
                      <w:divBdr>
                        <w:top w:val="none" w:sz="0" w:space="0" w:color="auto"/>
                        <w:left w:val="none" w:sz="0" w:space="0" w:color="auto"/>
                        <w:bottom w:val="none" w:sz="0" w:space="0" w:color="auto"/>
                        <w:right w:val="none" w:sz="0" w:space="0" w:color="auto"/>
                      </w:divBdr>
                    </w:div>
                    <w:div w:id="2045517589">
                      <w:marLeft w:val="0"/>
                      <w:marRight w:val="0"/>
                      <w:marTop w:val="0"/>
                      <w:marBottom w:val="0"/>
                      <w:divBdr>
                        <w:top w:val="none" w:sz="0" w:space="0" w:color="auto"/>
                        <w:left w:val="none" w:sz="0" w:space="0" w:color="auto"/>
                        <w:bottom w:val="none" w:sz="0" w:space="0" w:color="auto"/>
                        <w:right w:val="none" w:sz="0" w:space="0" w:color="auto"/>
                      </w:divBdr>
                      <w:divsChild>
                        <w:div w:id="1471630017">
                          <w:marLeft w:val="0"/>
                          <w:marRight w:val="0"/>
                          <w:marTop w:val="0"/>
                          <w:marBottom w:val="0"/>
                          <w:divBdr>
                            <w:top w:val="none" w:sz="0" w:space="0" w:color="auto"/>
                            <w:left w:val="none" w:sz="0" w:space="0" w:color="auto"/>
                            <w:bottom w:val="none" w:sz="0" w:space="0" w:color="auto"/>
                            <w:right w:val="none" w:sz="0" w:space="0" w:color="auto"/>
                          </w:divBdr>
                          <w:divsChild>
                            <w:div w:id="165421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818230">
                      <w:marLeft w:val="0"/>
                      <w:marRight w:val="0"/>
                      <w:marTop w:val="0"/>
                      <w:marBottom w:val="300"/>
                      <w:divBdr>
                        <w:top w:val="none" w:sz="0" w:space="0" w:color="auto"/>
                        <w:left w:val="none" w:sz="0" w:space="0" w:color="auto"/>
                        <w:bottom w:val="none" w:sz="0" w:space="0" w:color="auto"/>
                        <w:right w:val="none" w:sz="0" w:space="0" w:color="auto"/>
                      </w:divBdr>
                      <w:divsChild>
                        <w:div w:id="117997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399618">
      <w:bodyDiv w:val="1"/>
      <w:marLeft w:val="0"/>
      <w:marRight w:val="0"/>
      <w:marTop w:val="0"/>
      <w:marBottom w:val="0"/>
      <w:divBdr>
        <w:top w:val="none" w:sz="0" w:space="0" w:color="auto"/>
        <w:left w:val="none" w:sz="0" w:space="0" w:color="auto"/>
        <w:bottom w:val="none" w:sz="0" w:space="0" w:color="auto"/>
        <w:right w:val="none" w:sz="0" w:space="0" w:color="auto"/>
      </w:divBdr>
    </w:div>
    <w:div w:id="286473236">
      <w:bodyDiv w:val="1"/>
      <w:marLeft w:val="0"/>
      <w:marRight w:val="0"/>
      <w:marTop w:val="0"/>
      <w:marBottom w:val="0"/>
      <w:divBdr>
        <w:top w:val="none" w:sz="0" w:space="0" w:color="auto"/>
        <w:left w:val="none" w:sz="0" w:space="0" w:color="auto"/>
        <w:bottom w:val="none" w:sz="0" w:space="0" w:color="auto"/>
        <w:right w:val="none" w:sz="0" w:space="0" w:color="auto"/>
      </w:divBdr>
      <w:divsChild>
        <w:div w:id="1489905565">
          <w:marLeft w:val="0"/>
          <w:marRight w:val="0"/>
          <w:marTop w:val="0"/>
          <w:marBottom w:val="150"/>
          <w:divBdr>
            <w:top w:val="none" w:sz="0" w:space="0" w:color="auto"/>
            <w:left w:val="none" w:sz="0" w:space="0" w:color="auto"/>
            <w:bottom w:val="none" w:sz="0" w:space="0" w:color="auto"/>
            <w:right w:val="none" w:sz="0" w:space="0" w:color="auto"/>
          </w:divBdr>
        </w:div>
        <w:div w:id="1822844415">
          <w:marLeft w:val="0"/>
          <w:marRight w:val="0"/>
          <w:marTop w:val="0"/>
          <w:marBottom w:val="0"/>
          <w:divBdr>
            <w:top w:val="none" w:sz="0" w:space="0" w:color="auto"/>
            <w:left w:val="none" w:sz="0" w:space="0" w:color="auto"/>
            <w:bottom w:val="none" w:sz="0" w:space="0" w:color="auto"/>
            <w:right w:val="none" w:sz="0" w:space="0" w:color="auto"/>
          </w:divBdr>
          <w:divsChild>
            <w:div w:id="1510824739">
              <w:marLeft w:val="0"/>
              <w:marRight w:val="0"/>
              <w:marTop w:val="225"/>
              <w:marBottom w:val="225"/>
              <w:divBdr>
                <w:top w:val="none" w:sz="0" w:space="0" w:color="auto"/>
                <w:left w:val="none" w:sz="0" w:space="0" w:color="auto"/>
                <w:bottom w:val="none" w:sz="0" w:space="0" w:color="auto"/>
                <w:right w:val="none" w:sz="0" w:space="0" w:color="auto"/>
              </w:divBdr>
            </w:div>
          </w:divsChild>
        </w:div>
        <w:div w:id="1938907669">
          <w:marLeft w:val="0"/>
          <w:marRight w:val="0"/>
          <w:marTop w:val="0"/>
          <w:marBottom w:val="150"/>
          <w:divBdr>
            <w:top w:val="none" w:sz="0" w:space="0" w:color="auto"/>
            <w:left w:val="none" w:sz="0" w:space="0" w:color="auto"/>
            <w:bottom w:val="none" w:sz="0" w:space="0" w:color="auto"/>
            <w:right w:val="none" w:sz="0" w:space="0" w:color="auto"/>
          </w:divBdr>
          <w:divsChild>
            <w:div w:id="664017444">
              <w:marLeft w:val="0"/>
              <w:marRight w:val="0"/>
              <w:marTop w:val="0"/>
              <w:marBottom w:val="0"/>
              <w:divBdr>
                <w:top w:val="none" w:sz="0" w:space="0" w:color="auto"/>
                <w:left w:val="none" w:sz="0" w:space="0" w:color="auto"/>
                <w:bottom w:val="none" w:sz="0" w:space="0" w:color="auto"/>
                <w:right w:val="none" w:sz="0" w:space="0" w:color="auto"/>
              </w:divBdr>
              <w:divsChild>
                <w:div w:id="89492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663481">
      <w:bodyDiv w:val="1"/>
      <w:marLeft w:val="0"/>
      <w:marRight w:val="0"/>
      <w:marTop w:val="0"/>
      <w:marBottom w:val="0"/>
      <w:divBdr>
        <w:top w:val="none" w:sz="0" w:space="0" w:color="auto"/>
        <w:left w:val="none" w:sz="0" w:space="0" w:color="auto"/>
        <w:bottom w:val="none" w:sz="0" w:space="0" w:color="auto"/>
        <w:right w:val="none" w:sz="0" w:space="0" w:color="auto"/>
      </w:divBdr>
      <w:divsChild>
        <w:div w:id="1368216068">
          <w:marLeft w:val="0"/>
          <w:marRight w:val="0"/>
          <w:marTop w:val="0"/>
          <w:marBottom w:val="0"/>
          <w:divBdr>
            <w:top w:val="none" w:sz="0" w:space="0" w:color="auto"/>
            <w:left w:val="none" w:sz="0" w:space="0" w:color="auto"/>
            <w:bottom w:val="none" w:sz="0" w:space="0" w:color="auto"/>
            <w:right w:val="none" w:sz="0" w:space="0" w:color="auto"/>
          </w:divBdr>
          <w:divsChild>
            <w:div w:id="884104731">
              <w:marLeft w:val="0"/>
              <w:marRight w:val="0"/>
              <w:marTop w:val="0"/>
              <w:marBottom w:val="0"/>
              <w:divBdr>
                <w:top w:val="none" w:sz="0" w:space="0" w:color="auto"/>
                <w:left w:val="none" w:sz="0" w:space="0" w:color="auto"/>
                <w:bottom w:val="none" w:sz="0" w:space="0" w:color="auto"/>
                <w:right w:val="none" w:sz="0" w:space="0" w:color="auto"/>
              </w:divBdr>
              <w:divsChild>
                <w:div w:id="616329392">
                  <w:marLeft w:val="0"/>
                  <w:marRight w:val="0"/>
                  <w:marTop w:val="0"/>
                  <w:marBottom w:val="0"/>
                  <w:divBdr>
                    <w:top w:val="none" w:sz="0" w:space="0" w:color="auto"/>
                    <w:left w:val="none" w:sz="0" w:space="0" w:color="auto"/>
                    <w:bottom w:val="none" w:sz="0" w:space="0" w:color="auto"/>
                    <w:right w:val="none" w:sz="0" w:space="0" w:color="auto"/>
                  </w:divBdr>
                  <w:divsChild>
                    <w:div w:id="341780163">
                      <w:marLeft w:val="0"/>
                      <w:marRight w:val="0"/>
                      <w:marTop w:val="0"/>
                      <w:marBottom w:val="0"/>
                      <w:divBdr>
                        <w:top w:val="none" w:sz="0" w:space="0" w:color="auto"/>
                        <w:left w:val="none" w:sz="0" w:space="0" w:color="auto"/>
                        <w:bottom w:val="none" w:sz="0" w:space="0" w:color="auto"/>
                        <w:right w:val="none" w:sz="0" w:space="0" w:color="auto"/>
                      </w:divBdr>
                      <w:divsChild>
                        <w:div w:id="94980659">
                          <w:marLeft w:val="0"/>
                          <w:marRight w:val="0"/>
                          <w:marTop w:val="225"/>
                          <w:marBottom w:val="150"/>
                          <w:divBdr>
                            <w:top w:val="none" w:sz="0" w:space="4" w:color="auto"/>
                            <w:left w:val="none" w:sz="0" w:space="0" w:color="auto"/>
                            <w:bottom w:val="single" w:sz="6" w:space="4" w:color="CECECE"/>
                            <w:right w:val="none" w:sz="0" w:space="0" w:color="auto"/>
                          </w:divBdr>
                          <w:divsChild>
                            <w:div w:id="83037248">
                              <w:marLeft w:val="0"/>
                              <w:marRight w:val="0"/>
                              <w:marTop w:val="0"/>
                              <w:marBottom w:val="0"/>
                              <w:divBdr>
                                <w:top w:val="none" w:sz="0" w:space="0" w:color="auto"/>
                                <w:left w:val="none" w:sz="0" w:space="0" w:color="auto"/>
                                <w:bottom w:val="none" w:sz="0" w:space="0" w:color="auto"/>
                                <w:right w:val="none" w:sz="0" w:space="0" w:color="auto"/>
                              </w:divBdr>
                              <w:divsChild>
                                <w:div w:id="2096855012">
                                  <w:marLeft w:val="0"/>
                                  <w:marRight w:val="0"/>
                                  <w:marTop w:val="0"/>
                                  <w:marBottom w:val="0"/>
                                  <w:divBdr>
                                    <w:top w:val="none" w:sz="0" w:space="0" w:color="auto"/>
                                    <w:left w:val="none" w:sz="0" w:space="0" w:color="auto"/>
                                    <w:bottom w:val="none" w:sz="0" w:space="0" w:color="auto"/>
                                    <w:right w:val="none" w:sz="0" w:space="0" w:color="auto"/>
                                  </w:divBdr>
                                  <w:divsChild>
                                    <w:div w:id="16809088">
                                      <w:marLeft w:val="0"/>
                                      <w:marRight w:val="135"/>
                                      <w:marTop w:val="0"/>
                                      <w:marBottom w:val="0"/>
                                      <w:divBdr>
                                        <w:top w:val="none" w:sz="0" w:space="0" w:color="auto"/>
                                        <w:left w:val="none" w:sz="0" w:space="0" w:color="auto"/>
                                        <w:bottom w:val="none" w:sz="0" w:space="0" w:color="auto"/>
                                        <w:right w:val="none" w:sz="0" w:space="0" w:color="auto"/>
                                      </w:divBdr>
                                    </w:div>
                                    <w:div w:id="203483817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30858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792143">
              <w:marLeft w:val="0"/>
              <w:marRight w:val="0"/>
              <w:marTop w:val="0"/>
              <w:marBottom w:val="0"/>
              <w:divBdr>
                <w:top w:val="none" w:sz="0" w:space="0" w:color="auto"/>
                <w:left w:val="none" w:sz="0" w:space="0" w:color="auto"/>
                <w:bottom w:val="none" w:sz="0" w:space="0" w:color="auto"/>
                <w:right w:val="none" w:sz="0" w:space="0" w:color="auto"/>
              </w:divBdr>
            </w:div>
          </w:divsChild>
        </w:div>
        <w:div w:id="1781532054">
          <w:marLeft w:val="0"/>
          <w:marRight w:val="0"/>
          <w:marTop w:val="150"/>
          <w:marBottom w:val="0"/>
          <w:divBdr>
            <w:top w:val="none" w:sz="0" w:space="0" w:color="auto"/>
            <w:left w:val="none" w:sz="0" w:space="0" w:color="auto"/>
            <w:bottom w:val="none" w:sz="0" w:space="0" w:color="auto"/>
            <w:right w:val="none" w:sz="0" w:space="0" w:color="auto"/>
          </w:divBdr>
          <w:divsChild>
            <w:div w:id="803304662">
              <w:marLeft w:val="0"/>
              <w:marRight w:val="0"/>
              <w:marTop w:val="0"/>
              <w:marBottom w:val="0"/>
              <w:divBdr>
                <w:top w:val="none" w:sz="0" w:space="0" w:color="auto"/>
                <w:left w:val="none" w:sz="0" w:space="0" w:color="auto"/>
                <w:bottom w:val="none" w:sz="0" w:space="0" w:color="auto"/>
                <w:right w:val="none" w:sz="0" w:space="0" w:color="auto"/>
              </w:divBdr>
              <w:divsChild>
                <w:div w:id="200543226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937942">
      <w:bodyDiv w:val="1"/>
      <w:marLeft w:val="0"/>
      <w:marRight w:val="0"/>
      <w:marTop w:val="0"/>
      <w:marBottom w:val="0"/>
      <w:divBdr>
        <w:top w:val="none" w:sz="0" w:space="0" w:color="auto"/>
        <w:left w:val="none" w:sz="0" w:space="0" w:color="auto"/>
        <w:bottom w:val="none" w:sz="0" w:space="0" w:color="auto"/>
        <w:right w:val="none" w:sz="0" w:space="0" w:color="auto"/>
      </w:divBdr>
    </w:div>
    <w:div w:id="287323864">
      <w:bodyDiv w:val="1"/>
      <w:marLeft w:val="0"/>
      <w:marRight w:val="0"/>
      <w:marTop w:val="0"/>
      <w:marBottom w:val="0"/>
      <w:divBdr>
        <w:top w:val="none" w:sz="0" w:space="0" w:color="auto"/>
        <w:left w:val="none" w:sz="0" w:space="0" w:color="auto"/>
        <w:bottom w:val="none" w:sz="0" w:space="0" w:color="auto"/>
        <w:right w:val="none" w:sz="0" w:space="0" w:color="auto"/>
      </w:divBdr>
      <w:divsChild>
        <w:div w:id="282082343">
          <w:marLeft w:val="0"/>
          <w:marRight w:val="0"/>
          <w:marTop w:val="0"/>
          <w:marBottom w:val="150"/>
          <w:divBdr>
            <w:top w:val="none" w:sz="0" w:space="0" w:color="auto"/>
            <w:left w:val="none" w:sz="0" w:space="0" w:color="auto"/>
            <w:bottom w:val="none" w:sz="0" w:space="0" w:color="auto"/>
            <w:right w:val="none" w:sz="0" w:space="0" w:color="auto"/>
          </w:divBdr>
          <w:divsChild>
            <w:div w:id="1253706943">
              <w:marLeft w:val="0"/>
              <w:marRight w:val="0"/>
              <w:marTop w:val="0"/>
              <w:marBottom w:val="0"/>
              <w:divBdr>
                <w:top w:val="none" w:sz="0" w:space="0" w:color="auto"/>
                <w:left w:val="none" w:sz="0" w:space="0" w:color="auto"/>
                <w:bottom w:val="none" w:sz="0" w:space="0" w:color="auto"/>
                <w:right w:val="none" w:sz="0" w:space="0" w:color="auto"/>
              </w:divBdr>
              <w:divsChild>
                <w:div w:id="180946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7985">
          <w:marLeft w:val="0"/>
          <w:marRight w:val="0"/>
          <w:marTop w:val="0"/>
          <w:marBottom w:val="150"/>
          <w:divBdr>
            <w:top w:val="none" w:sz="0" w:space="0" w:color="auto"/>
            <w:left w:val="none" w:sz="0" w:space="0" w:color="auto"/>
            <w:bottom w:val="none" w:sz="0" w:space="0" w:color="auto"/>
            <w:right w:val="none" w:sz="0" w:space="0" w:color="auto"/>
          </w:divBdr>
        </w:div>
        <w:div w:id="983042686">
          <w:marLeft w:val="0"/>
          <w:marRight w:val="0"/>
          <w:marTop w:val="0"/>
          <w:marBottom w:val="0"/>
          <w:divBdr>
            <w:top w:val="none" w:sz="0" w:space="0" w:color="auto"/>
            <w:left w:val="none" w:sz="0" w:space="0" w:color="auto"/>
            <w:bottom w:val="none" w:sz="0" w:space="0" w:color="auto"/>
            <w:right w:val="none" w:sz="0" w:space="0" w:color="auto"/>
          </w:divBdr>
          <w:divsChild>
            <w:div w:id="118983306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87903521">
      <w:bodyDiv w:val="1"/>
      <w:marLeft w:val="0"/>
      <w:marRight w:val="0"/>
      <w:marTop w:val="0"/>
      <w:marBottom w:val="0"/>
      <w:divBdr>
        <w:top w:val="none" w:sz="0" w:space="0" w:color="auto"/>
        <w:left w:val="none" w:sz="0" w:space="0" w:color="auto"/>
        <w:bottom w:val="none" w:sz="0" w:space="0" w:color="auto"/>
        <w:right w:val="none" w:sz="0" w:space="0" w:color="auto"/>
      </w:divBdr>
      <w:divsChild>
        <w:div w:id="1639725494">
          <w:marLeft w:val="0"/>
          <w:marRight w:val="0"/>
          <w:marTop w:val="0"/>
          <w:marBottom w:val="0"/>
          <w:divBdr>
            <w:top w:val="none" w:sz="0" w:space="0" w:color="auto"/>
            <w:left w:val="none" w:sz="0" w:space="0" w:color="auto"/>
            <w:bottom w:val="dotted" w:sz="6" w:space="4" w:color="DDDDDD"/>
            <w:right w:val="none" w:sz="0" w:space="0" w:color="auto"/>
          </w:divBdr>
        </w:div>
      </w:divsChild>
    </w:div>
    <w:div w:id="288051763">
      <w:bodyDiv w:val="1"/>
      <w:marLeft w:val="0"/>
      <w:marRight w:val="0"/>
      <w:marTop w:val="0"/>
      <w:marBottom w:val="0"/>
      <w:divBdr>
        <w:top w:val="none" w:sz="0" w:space="0" w:color="auto"/>
        <w:left w:val="none" w:sz="0" w:space="0" w:color="auto"/>
        <w:bottom w:val="none" w:sz="0" w:space="0" w:color="auto"/>
        <w:right w:val="none" w:sz="0" w:space="0" w:color="auto"/>
      </w:divBdr>
      <w:divsChild>
        <w:div w:id="608513888">
          <w:marLeft w:val="0"/>
          <w:marRight w:val="0"/>
          <w:marTop w:val="0"/>
          <w:marBottom w:val="0"/>
          <w:divBdr>
            <w:top w:val="none" w:sz="0" w:space="0" w:color="auto"/>
            <w:left w:val="none" w:sz="0" w:space="0" w:color="auto"/>
            <w:bottom w:val="dotted" w:sz="6" w:space="4" w:color="DDDDDD"/>
            <w:right w:val="none" w:sz="0" w:space="0" w:color="auto"/>
          </w:divBdr>
        </w:div>
      </w:divsChild>
    </w:div>
    <w:div w:id="288559488">
      <w:bodyDiv w:val="1"/>
      <w:marLeft w:val="0"/>
      <w:marRight w:val="0"/>
      <w:marTop w:val="0"/>
      <w:marBottom w:val="0"/>
      <w:divBdr>
        <w:top w:val="none" w:sz="0" w:space="0" w:color="auto"/>
        <w:left w:val="none" w:sz="0" w:space="0" w:color="auto"/>
        <w:bottom w:val="none" w:sz="0" w:space="0" w:color="auto"/>
        <w:right w:val="none" w:sz="0" w:space="0" w:color="auto"/>
      </w:divBdr>
      <w:divsChild>
        <w:div w:id="2051957400">
          <w:marLeft w:val="0"/>
          <w:marRight w:val="0"/>
          <w:marTop w:val="0"/>
          <w:marBottom w:val="0"/>
          <w:divBdr>
            <w:top w:val="none" w:sz="0" w:space="0" w:color="auto"/>
            <w:left w:val="none" w:sz="0" w:space="0" w:color="auto"/>
            <w:bottom w:val="none" w:sz="0" w:space="0" w:color="auto"/>
            <w:right w:val="none" w:sz="0" w:space="0" w:color="auto"/>
          </w:divBdr>
          <w:divsChild>
            <w:div w:id="811942966">
              <w:marLeft w:val="0"/>
              <w:marRight w:val="0"/>
              <w:marTop w:val="0"/>
              <w:marBottom w:val="0"/>
              <w:divBdr>
                <w:top w:val="none" w:sz="0" w:space="0" w:color="auto"/>
                <w:left w:val="none" w:sz="0" w:space="0" w:color="auto"/>
                <w:bottom w:val="none" w:sz="0" w:space="0" w:color="auto"/>
                <w:right w:val="none" w:sz="0" w:space="0" w:color="auto"/>
              </w:divBdr>
              <w:divsChild>
                <w:div w:id="330062672">
                  <w:marLeft w:val="0"/>
                  <w:marRight w:val="0"/>
                  <w:marTop w:val="0"/>
                  <w:marBottom w:val="0"/>
                  <w:divBdr>
                    <w:top w:val="none" w:sz="0" w:space="0" w:color="auto"/>
                    <w:left w:val="none" w:sz="0" w:space="0" w:color="auto"/>
                    <w:bottom w:val="none" w:sz="0" w:space="0" w:color="auto"/>
                    <w:right w:val="none" w:sz="0" w:space="0" w:color="auto"/>
                  </w:divBdr>
                  <w:divsChild>
                    <w:div w:id="306319321">
                      <w:marLeft w:val="0"/>
                      <w:marRight w:val="0"/>
                      <w:marTop w:val="0"/>
                      <w:marBottom w:val="0"/>
                      <w:divBdr>
                        <w:top w:val="none" w:sz="0" w:space="0" w:color="auto"/>
                        <w:left w:val="none" w:sz="0" w:space="0" w:color="auto"/>
                        <w:bottom w:val="none" w:sz="0" w:space="0" w:color="auto"/>
                        <w:right w:val="none" w:sz="0" w:space="0" w:color="auto"/>
                      </w:divBdr>
                      <w:divsChild>
                        <w:div w:id="122189085">
                          <w:marLeft w:val="0"/>
                          <w:marRight w:val="0"/>
                          <w:marTop w:val="0"/>
                          <w:marBottom w:val="0"/>
                          <w:divBdr>
                            <w:top w:val="none" w:sz="0" w:space="0" w:color="auto"/>
                            <w:left w:val="none" w:sz="0" w:space="0" w:color="auto"/>
                            <w:bottom w:val="none" w:sz="0" w:space="0" w:color="auto"/>
                            <w:right w:val="none" w:sz="0" w:space="0" w:color="auto"/>
                          </w:divBdr>
                          <w:divsChild>
                            <w:div w:id="10505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8824559">
      <w:bodyDiv w:val="1"/>
      <w:marLeft w:val="0"/>
      <w:marRight w:val="0"/>
      <w:marTop w:val="0"/>
      <w:marBottom w:val="0"/>
      <w:divBdr>
        <w:top w:val="none" w:sz="0" w:space="0" w:color="auto"/>
        <w:left w:val="none" w:sz="0" w:space="0" w:color="auto"/>
        <w:bottom w:val="none" w:sz="0" w:space="0" w:color="auto"/>
        <w:right w:val="none" w:sz="0" w:space="0" w:color="auto"/>
      </w:divBdr>
      <w:divsChild>
        <w:div w:id="1737701894">
          <w:marLeft w:val="0"/>
          <w:marRight w:val="0"/>
          <w:marTop w:val="0"/>
          <w:marBottom w:val="0"/>
          <w:divBdr>
            <w:top w:val="none" w:sz="0" w:space="0" w:color="auto"/>
            <w:left w:val="none" w:sz="0" w:space="0" w:color="auto"/>
            <w:bottom w:val="none" w:sz="0" w:space="0" w:color="auto"/>
            <w:right w:val="none" w:sz="0" w:space="0" w:color="auto"/>
          </w:divBdr>
          <w:divsChild>
            <w:div w:id="1035273432">
              <w:marLeft w:val="0"/>
              <w:marRight w:val="0"/>
              <w:marTop w:val="0"/>
              <w:marBottom w:val="0"/>
              <w:divBdr>
                <w:top w:val="none" w:sz="0" w:space="0" w:color="auto"/>
                <w:left w:val="none" w:sz="0" w:space="0" w:color="auto"/>
                <w:bottom w:val="none" w:sz="0" w:space="0" w:color="auto"/>
                <w:right w:val="none" w:sz="0" w:space="0" w:color="auto"/>
              </w:divBdr>
              <w:divsChild>
                <w:div w:id="1597010777">
                  <w:marLeft w:val="0"/>
                  <w:marRight w:val="0"/>
                  <w:marTop w:val="0"/>
                  <w:marBottom w:val="0"/>
                  <w:divBdr>
                    <w:top w:val="none" w:sz="0" w:space="0" w:color="auto"/>
                    <w:left w:val="none" w:sz="0" w:space="0" w:color="auto"/>
                    <w:bottom w:val="none" w:sz="0" w:space="0" w:color="auto"/>
                    <w:right w:val="none" w:sz="0" w:space="0" w:color="auto"/>
                  </w:divBdr>
                  <w:divsChild>
                    <w:div w:id="1990403974">
                      <w:marLeft w:val="0"/>
                      <w:marRight w:val="0"/>
                      <w:marTop w:val="0"/>
                      <w:marBottom w:val="0"/>
                      <w:divBdr>
                        <w:top w:val="none" w:sz="0" w:space="0" w:color="auto"/>
                        <w:left w:val="none" w:sz="0" w:space="0" w:color="auto"/>
                        <w:bottom w:val="none" w:sz="0" w:space="0" w:color="auto"/>
                        <w:right w:val="none" w:sz="0" w:space="0" w:color="auto"/>
                      </w:divBdr>
                      <w:divsChild>
                        <w:div w:id="1355184236">
                          <w:marLeft w:val="0"/>
                          <w:marRight w:val="0"/>
                          <w:marTop w:val="0"/>
                          <w:marBottom w:val="0"/>
                          <w:divBdr>
                            <w:top w:val="none" w:sz="0" w:space="0" w:color="auto"/>
                            <w:left w:val="none" w:sz="0" w:space="0" w:color="auto"/>
                            <w:bottom w:val="none" w:sz="0" w:space="0" w:color="auto"/>
                            <w:right w:val="none" w:sz="0" w:space="0" w:color="auto"/>
                          </w:divBdr>
                          <w:divsChild>
                            <w:div w:id="1730878671">
                              <w:marLeft w:val="0"/>
                              <w:marRight w:val="0"/>
                              <w:marTop w:val="0"/>
                              <w:marBottom w:val="0"/>
                              <w:divBdr>
                                <w:top w:val="none" w:sz="0" w:space="0" w:color="auto"/>
                                <w:left w:val="none" w:sz="0" w:space="0" w:color="auto"/>
                                <w:bottom w:val="none" w:sz="0" w:space="0" w:color="auto"/>
                                <w:right w:val="none" w:sz="0" w:space="0" w:color="auto"/>
                              </w:divBdr>
                              <w:divsChild>
                                <w:div w:id="262567206">
                                  <w:marLeft w:val="0"/>
                                  <w:marRight w:val="0"/>
                                  <w:marTop w:val="0"/>
                                  <w:marBottom w:val="0"/>
                                  <w:divBdr>
                                    <w:top w:val="none" w:sz="0" w:space="0" w:color="auto"/>
                                    <w:left w:val="none" w:sz="0" w:space="0" w:color="auto"/>
                                    <w:bottom w:val="none" w:sz="0" w:space="0" w:color="auto"/>
                                    <w:right w:val="none" w:sz="0" w:space="0" w:color="auto"/>
                                  </w:divBdr>
                                  <w:divsChild>
                                    <w:div w:id="1739550485">
                                      <w:marLeft w:val="0"/>
                                      <w:marRight w:val="0"/>
                                      <w:marTop w:val="0"/>
                                      <w:marBottom w:val="0"/>
                                      <w:divBdr>
                                        <w:top w:val="none" w:sz="0" w:space="0" w:color="auto"/>
                                        <w:left w:val="none" w:sz="0" w:space="0" w:color="auto"/>
                                        <w:bottom w:val="none" w:sz="0" w:space="0" w:color="auto"/>
                                        <w:right w:val="none" w:sz="0" w:space="0" w:color="auto"/>
                                      </w:divBdr>
                                      <w:divsChild>
                                        <w:div w:id="2010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9169565">
      <w:bodyDiv w:val="1"/>
      <w:marLeft w:val="0"/>
      <w:marRight w:val="0"/>
      <w:marTop w:val="0"/>
      <w:marBottom w:val="0"/>
      <w:divBdr>
        <w:top w:val="none" w:sz="0" w:space="0" w:color="auto"/>
        <w:left w:val="none" w:sz="0" w:space="0" w:color="auto"/>
        <w:bottom w:val="none" w:sz="0" w:space="0" w:color="auto"/>
        <w:right w:val="none" w:sz="0" w:space="0" w:color="auto"/>
      </w:divBdr>
    </w:div>
    <w:div w:id="289169609">
      <w:bodyDiv w:val="1"/>
      <w:marLeft w:val="0"/>
      <w:marRight w:val="0"/>
      <w:marTop w:val="0"/>
      <w:marBottom w:val="0"/>
      <w:divBdr>
        <w:top w:val="none" w:sz="0" w:space="0" w:color="auto"/>
        <w:left w:val="none" w:sz="0" w:space="0" w:color="auto"/>
        <w:bottom w:val="none" w:sz="0" w:space="0" w:color="auto"/>
        <w:right w:val="none" w:sz="0" w:space="0" w:color="auto"/>
      </w:divBdr>
    </w:div>
    <w:div w:id="289748198">
      <w:bodyDiv w:val="1"/>
      <w:marLeft w:val="0"/>
      <w:marRight w:val="0"/>
      <w:marTop w:val="0"/>
      <w:marBottom w:val="0"/>
      <w:divBdr>
        <w:top w:val="none" w:sz="0" w:space="0" w:color="auto"/>
        <w:left w:val="none" w:sz="0" w:space="0" w:color="auto"/>
        <w:bottom w:val="none" w:sz="0" w:space="0" w:color="auto"/>
        <w:right w:val="none" w:sz="0" w:space="0" w:color="auto"/>
      </w:divBdr>
      <w:divsChild>
        <w:div w:id="383602317">
          <w:marLeft w:val="0"/>
          <w:marRight w:val="0"/>
          <w:marTop w:val="0"/>
          <w:marBottom w:val="0"/>
          <w:divBdr>
            <w:top w:val="none" w:sz="0" w:space="0" w:color="auto"/>
            <w:left w:val="none" w:sz="0" w:space="0" w:color="auto"/>
            <w:bottom w:val="dotted" w:sz="6" w:space="4" w:color="DDDDDD"/>
            <w:right w:val="none" w:sz="0" w:space="0" w:color="auto"/>
          </w:divBdr>
          <w:divsChild>
            <w:div w:id="109525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136393">
      <w:bodyDiv w:val="1"/>
      <w:marLeft w:val="0"/>
      <w:marRight w:val="0"/>
      <w:marTop w:val="0"/>
      <w:marBottom w:val="0"/>
      <w:divBdr>
        <w:top w:val="none" w:sz="0" w:space="0" w:color="auto"/>
        <w:left w:val="none" w:sz="0" w:space="0" w:color="auto"/>
        <w:bottom w:val="none" w:sz="0" w:space="0" w:color="auto"/>
        <w:right w:val="none" w:sz="0" w:space="0" w:color="auto"/>
      </w:divBdr>
    </w:div>
    <w:div w:id="290212261">
      <w:bodyDiv w:val="1"/>
      <w:marLeft w:val="0"/>
      <w:marRight w:val="0"/>
      <w:marTop w:val="0"/>
      <w:marBottom w:val="0"/>
      <w:divBdr>
        <w:top w:val="none" w:sz="0" w:space="0" w:color="auto"/>
        <w:left w:val="none" w:sz="0" w:space="0" w:color="auto"/>
        <w:bottom w:val="none" w:sz="0" w:space="0" w:color="auto"/>
        <w:right w:val="none" w:sz="0" w:space="0" w:color="auto"/>
      </w:divBdr>
      <w:divsChild>
        <w:div w:id="2000841182">
          <w:marLeft w:val="0"/>
          <w:marRight w:val="0"/>
          <w:marTop w:val="0"/>
          <w:marBottom w:val="0"/>
          <w:divBdr>
            <w:top w:val="none" w:sz="0" w:space="0" w:color="auto"/>
            <w:left w:val="none" w:sz="0" w:space="0" w:color="auto"/>
            <w:bottom w:val="dotted" w:sz="6" w:space="4" w:color="DDDDDD"/>
            <w:right w:val="none" w:sz="0" w:space="0" w:color="auto"/>
          </w:divBdr>
        </w:div>
      </w:divsChild>
    </w:div>
    <w:div w:id="290404731">
      <w:bodyDiv w:val="1"/>
      <w:marLeft w:val="0"/>
      <w:marRight w:val="0"/>
      <w:marTop w:val="0"/>
      <w:marBottom w:val="0"/>
      <w:divBdr>
        <w:top w:val="none" w:sz="0" w:space="0" w:color="auto"/>
        <w:left w:val="none" w:sz="0" w:space="0" w:color="auto"/>
        <w:bottom w:val="none" w:sz="0" w:space="0" w:color="auto"/>
        <w:right w:val="none" w:sz="0" w:space="0" w:color="auto"/>
      </w:divBdr>
      <w:divsChild>
        <w:div w:id="1561088169">
          <w:marLeft w:val="0"/>
          <w:marRight w:val="0"/>
          <w:marTop w:val="0"/>
          <w:marBottom w:val="0"/>
          <w:divBdr>
            <w:top w:val="none" w:sz="0" w:space="0" w:color="auto"/>
            <w:left w:val="none" w:sz="0" w:space="0" w:color="auto"/>
            <w:bottom w:val="dotted" w:sz="6" w:space="4" w:color="DDDDDD"/>
            <w:right w:val="none" w:sz="0" w:space="0" w:color="auto"/>
          </w:divBdr>
          <w:divsChild>
            <w:div w:id="20526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404941">
      <w:bodyDiv w:val="1"/>
      <w:marLeft w:val="0"/>
      <w:marRight w:val="0"/>
      <w:marTop w:val="0"/>
      <w:marBottom w:val="0"/>
      <w:divBdr>
        <w:top w:val="none" w:sz="0" w:space="0" w:color="auto"/>
        <w:left w:val="none" w:sz="0" w:space="0" w:color="auto"/>
        <w:bottom w:val="none" w:sz="0" w:space="0" w:color="auto"/>
        <w:right w:val="none" w:sz="0" w:space="0" w:color="auto"/>
      </w:divBdr>
      <w:divsChild>
        <w:div w:id="1268657536">
          <w:marLeft w:val="0"/>
          <w:marRight w:val="0"/>
          <w:marTop w:val="0"/>
          <w:marBottom w:val="0"/>
          <w:divBdr>
            <w:top w:val="none" w:sz="0" w:space="0" w:color="auto"/>
            <w:left w:val="none" w:sz="0" w:space="0" w:color="auto"/>
            <w:bottom w:val="none" w:sz="0" w:space="0" w:color="auto"/>
            <w:right w:val="none" w:sz="0" w:space="0" w:color="auto"/>
          </w:divBdr>
          <w:divsChild>
            <w:div w:id="843975316">
              <w:marLeft w:val="0"/>
              <w:marRight w:val="0"/>
              <w:marTop w:val="0"/>
              <w:marBottom w:val="0"/>
              <w:divBdr>
                <w:top w:val="none" w:sz="0" w:space="0" w:color="auto"/>
                <w:left w:val="none" w:sz="0" w:space="0" w:color="auto"/>
                <w:bottom w:val="none" w:sz="0" w:space="0" w:color="auto"/>
                <w:right w:val="none" w:sz="0" w:space="0" w:color="auto"/>
              </w:divBdr>
              <w:divsChild>
                <w:div w:id="627006488">
                  <w:marLeft w:val="0"/>
                  <w:marRight w:val="0"/>
                  <w:marTop w:val="0"/>
                  <w:marBottom w:val="0"/>
                  <w:divBdr>
                    <w:top w:val="none" w:sz="0" w:space="0" w:color="auto"/>
                    <w:left w:val="none" w:sz="0" w:space="0" w:color="auto"/>
                    <w:bottom w:val="none" w:sz="0" w:space="0" w:color="auto"/>
                    <w:right w:val="none" w:sz="0" w:space="0" w:color="auto"/>
                  </w:divBdr>
                  <w:divsChild>
                    <w:div w:id="1065949704">
                      <w:marLeft w:val="0"/>
                      <w:marRight w:val="0"/>
                      <w:marTop w:val="0"/>
                      <w:marBottom w:val="0"/>
                      <w:divBdr>
                        <w:top w:val="none" w:sz="0" w:space="0" w:color="auto"/>
                        <w:left w:val="none" w:sz="0" w:space="0" w:color="auto"/>
                        <w:bottom w:val="none" w:sz="0" w:space="0" w:color="auto"/>
                        <w:right w:val="none" w:sz="0" w:space="0" w:color="auto"/>
                      </w:divBdr>
                      <w:divsChild>
                        <w:div w:id="1096709964">
                          <w:marLeft w:val="0"/>
                          <w:marRight w:val="0"/>
                          <w:marTop w:val="0"/>
                          <w:marBottom w:val="0"/>
                          <w:divBdr>
                            <w:top w:val="none" w:sz="0" w:space="0" w:color="auto"/>
                            <w:left w:val="none" w:sz="0" w:space="0" w:color="auto"/>
                            <w:bottom w:val="none" w:sz="0" w:space="0" w:color="auto"/>
                            <w:right w:val="none" w:sz="0" w:space="0" w:color="auto"/>
                          </w:divBdr>
                          <w:divsChild>
                            <w:div w:id="1901405959">
                              <w:marLeft w:val="0"/>
                              <w:marRight w:val="0"/>
                              <w:marTop w:val="0"/>
                              <w:marBottom w:val="0"/>
                              <w:divBdr>
                                <w:top w:val="none" w:sz="0" w:space="0" w:color="auto"/>
                                <w:left w:val="none" w:sz="0" w:space="0" w:color="auto"/>
                                <w:bottom w:val="none" w:sz="0" w:space="0" w:color="auto"/>
                                <w:right w:val="none" w:sz="0" w:space="0" w:color="auto"/>
                              </w:divBdr>
                              <w:divsChild>
                                <w:div w:id="556746436">
                                  <w:marLeft w:val="0"/>
                                  <w:marRight w:val="0"/>
                                  <w:marTop w:val="0"/>
                                  <w:marBottom w:val="0"/>
                                  <w:divBdr>
                                    <w:top w:val="none" w:sz="0" w:space="0" w:color="auto"/>
                                    <w:left w:val="none" w:sz="0" w:space="0" w:color="auto"/>
                                    <w:bottom w:val="none" w:sz="0" w:space="0" w:color="auto"/>
                                    <w:right w:val="none" w:sz="0" w:space="0" w:color="auto"/>
                                  </w:divBdr>
                                  <w:divsChild>
                                    <w:div w:id="156575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944681">
      <w:bodyDiv w:val="1"/>
      <w:marLeft w:val="0"/>
      <w:marRight w:val="0"/>
      <w:marTop w:val="0"/>
      <w:marBottom w:val="0"/>
      <w:divBdr>
        <w:top w:val="none" w:sz="0" w:space="0" w:color="auto"/>
        <w:left w:val="none" w:sz="0" w:space="0" w:color="auto"/>
        <w:bottom w:val="none" w:sz="0" w:space="0" w:color="auto"/>
        <w:right w:val="none" w:sz="0" w:space="0" w:color="auto"/>
      </w:divBdr>
    </w:div>
    <w:div w:id="290981100">
      <w:bodyDiv w:val="1"/>
      <w:marLeft w:val="0"/>
      <w:marRight w:val="0"/>
      <w:marTop w:val="0"/>
      <w:marBottom w:val="0"/>
      <w:divBdr>
        <w:top w:val="none" w:sz="0" w:space="0" w:color="auto"/>
        <w:left w:val="none" w:sz="0" w:space="0" w:color="auto"/>
        <w:bottom w:val="none" w:sz="0" w:space="0" w:color="auto"/>
        <w:right w:val="none" w:sz="0" w:space="0" w:color="auto"/>
      </w:divBdr>
      <w:divsChild>
        <w:div w:id="1763064296">
          <w:marLeft w:val="0"/>
          <w:marRight w:val="0"/>
          <w:marTop w:val="0"/>
          <w:marBottom w:val="0"/>
          <w:divBdr>
            <w:top w:val="none" w:sz="0" w:space="0" w:color="auto"/>
            <w:left w:val="none" w:sz="0" w:space="0" w:color="auto"/>
            <w:bottom w:val="none" w:sz="0" w:space="0" w:color="auto"/>
            <w:right w:val="none" w:sz="0" w:space="0" w:color="auto"/>
          </w:divBdr>
          <w:divsChild>
            <w:div w:id="975988079">
              <w:marLeft w:val="0"/>
              <w:marRight w:val="0"/>
              <w:marTop w:val="0"/>
              <w:marBottom w:val="0"/>
              <w:divBdr>
                <w:top w:val="none" w:sz="0" w:space="0" w:color="auto"/>
                <w:left w:val="none" w:sz="0" w:space="0" w:color="auto"/>
                <w:bottom w:val="none" w:sz="0" w:space="0" w:color="auto"/>
                <w:right w:val="none" w:sz="0" w:space="0" w:color="auto"/>
              </w:divBdr>
              <w:divsChild>
                <w:div w:id="769739235">
                  <w:marLeft w:val="0"/>
                  <w:marRight w:val="0"/>
                  <w:marTop w:val="0"/>
                  <w:marBottom w:val="0"/>
                  <w:divBdr>
                    <w:top w:val="none" w:sz="0" w:space="0" w:color="auto"/>
                    <w:left w:val="none" w:sz="0" w:space="0" w:color="auto"/>
                    <w:bottom w:val="none" w:sz="0" w:space="0" w:color="auto"/>
                    <w:right w:val="none" w:sz="0" w:space="0" w:color="auto"/>
                  </w:divBdr>
                  <w:divsChild>
                    <w:div w:id="128206127">
                      <w:marLeft w:val="0"/>
                      <w:marRight w:val="0"/>
                      <w:marTop w:val="0"/>
                      <w:marBottom w:val="0"/>
                      <w:divBdr>
                        <w:top w:val="none" w:sz="0" w:space="0" w:color="auto"/>
                        <w:left w:val="none" w:sz="0" w:space="0" w:color="auto"/>
                        <w:bottom w:val="none" w:sz="0" w:space="0" w:color="auto"/>
                        <w:right w:val="none" w:sz="0" w:space="0" w:color="auto"/>
                      </w:divBdr>
                      <w:divsChild>
                        <w:div w:id="883757861">
                          <w:marLeft w:val="0"/>
                          <w:marRight w:val="0"/>
                          <w:marTop w:val="0"/>
                          <w:marBottom w:val="0"/>
                          <w:divBdr>
                            <w:top w:val="none" w:sz="0" w:space="0" w:color="auto"/>
                            <w:left w:val="none" w:sz="0" w:space="0" w:color="auto"/>
                            <w:bottom w:val="none" w:sz="0" w:space="0" w:color="auto"/>
                            <w:right w:val="none" w:sz="0" w:space="0" w:color="auto"/>
                          </w:divBdr>
                          <w:divsChild>
                            <w:div w:id="1888909722">
                              <w:marLeft w:val="0"/>
                              <w:marRight w:val="0"/>
                              <w:marTop w:val="0"/>
                              <w:marBottom w:val="0"/>
                              <w:divBdr>
                                <w:top w:val="none" w:sz="0" w:space="0" w:color="auto"/>
                                <w:left w:val="none" w:sz="0" w:space="0" w:color="auto"/>
                                <w:bottom w:val="none" w:sz="0" w:space="0" w:color="auto"/>
                                <w:right w:val="none" w:sz="0" w:space="0" w:color="auto"/>
                              </w:divBdr>
                              <w:divsChild>
                                <w:div w:id="1127892553">
                                  <w:marLeft w:val="0"/>
                                  <w:marRight w:val="0"/>
                                  <w:marTop w:val="0"/>
                                  <w:marBottom w:val="0"/>
                                  <w:divBdr>
                                    <w:top w:val="none" w:sz="0" w:space="0" w:color="auto"/>
                                    <w:left w:val="none" w:sz="0" w:space="0" w:color="auto"/>
                                    <w:bottom w:val="none" w:sz="0" w:space="0" w:color="auto"/>
                                    <w:right w:val="none" w:sz="0" w:space="0" w:color="auto"/>
                                  </w:divBdr>
                                  <w:divsChild>
                                    <w:div w:id="1634673601">
                                      <w:marLeft w:val="0"/>
                                      <w:marRight w:val="0"/>
                                      <w:marTop w:val="0"/>
                                      <w:marBottom w:val="0"/>
                                      <w:divBdr>
                                        <w:top w:val="none" w:sz="0" w:space="0" w:color="auto"/>
                                        <w:left w:val="none" w:sz="0" w:space="0" w:color="auto"/>
                                        <w:bottom w:val="none" w:sz="0" w:space="0" w:color="auto"/>
                                        <w:right w:val="none" w:sz="0" w:space="0" w:color="auto"/>
                                      </w:divBdr>
                                      <w:divsChild>
                                        <w:div w:id="111405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1520159">
      <w:bodyDiv w:val="1"/>
      <w:marLeft w:val="0"/>
      <w:marRight w:val="0"/>
      <w:marTop w:val="0"/>
      <w:marBottom w:val="0"/>
      <w:divBdr>
        <w:top w:val="none" w:sz="0" w:space="0" w:color="auto"/>
        <w:left w:val="none" w:sz="0" w:space="0" w:color="auto"/>
        <w:bottom w:val="none" w:sz="0" w:space="0" w:color="auto"/>
        <w:right w:val="none" w:sz="0" w:space="0" w:color="auto"/>
      </w:divBdr>
      <w:divsChild>
        <w:div w:id="1162504446">
          <w:marLeft w:val="0"/>
          <w:marRight w:val="0"/>
          <w:marTop w:val="0"/>
          <w:marBottom w:val="150"/>
          <w:divBdr>
            <w:top w:val="none" w:sz="0" w:space="0" w:color="auto"/>
            <w:left w:val="none" w:sz="0" w:space="0" w:color="auto"/>
            <w:bottom w:val="none" w:sz="0" w:space="0" w:color="auto"/>
            <w:right w:val="none" w:sz="0" w:space="0" w:color="auto"/>
          </w:divBdr>
        </w:div>
      </w:divsChild>
    </w:div>
    <w:div w:id="291863433">
      <w:bodyDiv w:val="1"/>
      <w:marLeft w:val="0"/>
      <w:marRight w:val="0"/>
      <w:marTop w:val="0"/>
      <w:marBottom w:val="0"/>
      <w:divBdr>
        <w:top w:val="none" w:sz="0" w:space="0" w:color="auto"/>
        <w:left w:val="none" w:sz="0" w:space="0" w:color="auto"/>
        <w:bottom w:val="none" w:sz="0" w:space="0" w:color="auto"/>
        <w:right w:val="none" w:sz="0" w:space="0" w:color="auto"/>
      </w:divBdr>
      <w:divsChild>
        <w:div w:id="606542296">
          <w:marLeft w:val="0"/>
          <w:marRight w:val="0"/>
          <w:marTop w:val="0"/>
          <w:marBottom w:val="0"/>
          <w:divBdr>
            <w:top w:val="none" w:sz="0" w:space="0" w:color="auto"/>
            <w:left w:val="none" w:sz="0" w:space="0" w:color="auto"/>
            <w:bottom w:val="none" w:sz="0" w:space="0" w:color="auto"/>
            <w:right w:val="none" w:sz="0" w:space="0" w:color="auto"/>
          </w:divBdr>
          <w:divsChild>
            <w:div w:id="161313487">
              <w:marLeft w:val="0"/>
              <w:marRight w:val="0"/>
              <w:marTop w:val="0"/>
              <w:marBottom w:val="0"/>
              <w:divBdr>
                <w:top w:val="none" w:sz="0" w:space="0" w:color="auto"/>
                <w:left w:val="none" w:sz="0" w:space="0" w:color="auto"/>
                <w:bottom w:val="none" w:sz="0" w:space="0" w:color="auto"/>
                <w:right w:val="none" w:sz="0" w:space="0" w:color="auto"/>
              </w:divBdr>
              <w:divsChild>
                <w:div w:id="1007830411">
                  <w:marLeft w:val="0"/>
                  <w:marRight w:val="0"/>
                  <w:marTop w:val="0"/>
                  <w:marBottom w:val="0"/>
                  <w:divBdr>
                    <w:top w:val="none" w:sz="0" w:space="0" w:color="auto"/>
                    <w:left w:val="none" w:sz="0" w:space="0" w:color="auto"/>
                    <w:bottom w:val="none" w:sz="0" w:space="0" w:color="auto"/>
                    <w:right w:val="none" w:sz="0" w:space="0" w:color="auto"/>
                  </w:divBdr>
                  <w:divsChild>
                    <w:div w:id="1554461307">
                      <w:marLeft w:val="0"/>
                      <w:marRight w:val="0"/>
                      <w:marTop w:val="0"/>
                      <w:marBottom w:val="0"/>
                      <w:divBdr>
                        <w:top w:val="none" w:sz="0" w:space="0" w:color="auto"/>
                        <w:left w:val="none" w:sz="0" w:space="0" w:color="auto"/>
                        <w:bottom w:val="none" w:sz="0" w:space="0" w:color="auto"/>
                        <w:right w:val="none" w:sz="0" w:space="0" w:color="auto"/>
                      </w:divBdr>
                      <w:divsChild>
                        <w:div w:id="913469844">
                          <w:marLeft w:val="0"/>
                          <w:marRight w:val="0"/>
                          <w:marTop w:val="0"/>
                          <w:marBottom w:val="0"/>
                          <w:divBdr>
                            <w:top w:val="none" w:sz="0" w:space="0" w:color="auto"/>
                            <w:left w:val="none" w:sz="0" w:space="0" w:color="auto"/>
                            <w:bottom w:val="none" w:sz="0" w:space="0" w:color="auto"/>
                            <w:right w:val="none" w:sz="0" w:space="0" w:color="auto"/>
                          </w:divBdr>
                          <w:divsChild>
                            <w:div w:id="980770150">
                              <w:marLeft w:val="0"/>
                              <w:marRight w:val="0"/>
                              <w:marTop w:val="0"/>
                              <w:marBottom w:val="0"/>
                              <w:divBdr>
                                <w:top w:val="none" w:sz="0" w:space="0" w:color="auto"/>
                                <w:left w:val="none" w:sz="0" w:space="0" w:color="auto"/>
                                <w:bottom w:val="none" w:sz="0" w:space="0" w:color="auto"/>
                                <w:right w:val="none" w:sz="0" w:space="0" w:color="auto"/>
                              </w:divBdr>
                              <w:divsChild>
                                <w:div w:id="529075122">
                                  <w:marLeft w:val="0"/>
                                  <w:marRight w:val="0"/>
                                  <w:marTop w:val="0"/>
                                  <w:marBottom w:val="0"/>
                                  <w:divBdr>
                                    <w:top w:val="none" w:sz="0" w:space="0" w:color="auto"/>
                                    <w:left w:val="none" w:sz="0" w:space="0" w:color="auto"/>
                                    <w:bottom w:val="none" w:sz="0" w:space="0" w:color="auto"/>
                                    <w:right w:val="none" w:sz="0" w:space="0" w:color="auto"/>
                                  </w:divBdr>
                                  <w:divsChild>
                                    <w:div w:id="201865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180405">
      <w:bodyDiv w:val="1"/>
      <w:marLeft w:val="0"/>
      <w:marRight w:val="0"/>
      <w:marTop w:val="0"/>
      <w:marBottom w:val="0"/>
      <w:divBdr>
        <w:top w:val="none" w:sz="0" w:space="0" w:color="auto"/>
        <w:left w:val="none" w:sz="0" w:space="0" w:color="auto"/>
        <w:bottom w:val="none" w:sz="0" w:space="0" w:color="auto"/>
        <w:right w:val="none" w:sz="0" w:space="0" w:color="auto"/>
      </w:divBdr>
      <w:divsChild>
        <w:div w:id="1994792662">
          <w:marLeft w:val="0"/>
          <w:marRight w:val="0"/>
          <w:marTop w:val="0"/>
          <w:marBottom w:val="0"/>
          <w:divBdr>
            <w:top w:val="none" w:sz="0" w:space="0" w:color="auto"/>
            <w:left w:val="none" w:sz="0" w:space="0" w:color="auto"/>
            <w:bottom w:val="none" w:sz="0" w:space="0" w:color="auto"/>
            <w:right w:val="none" w:sz="0" w:space="0" w:color="auto"/>
          </w:divBdr>
          <w:divsChild>
            <w:div w:id="1431311761">
              <w:marLeft w:val="0"/>
              <w:marRight w:val="0"/>
              <w:marTop w:val="0"/>
              <w:marBottom w:val="0"/>
              <w:divBdr>
                <w:top w:val="none" w:sz="0" w:space="0" w:color="auto"/>
                <w:left w:val="none" w:sz="0" w:space="0" w:color="auto"/>
                <w:bottom w:val="none" w:sz="0" w:space="0" w:color="auto"/>
                <w:right w:val="none" w:sz="0" w:space="0" w:color="auto"/>
              </w:divBdr>
              <w:divsChild>
                <w:div w:id="1247693564">
                  <w:marLeft w:val="0"/>
                  <w:marRight w:val="0"/>
                  <w:marTop w:val="0"/>
                  <w:marBottom w:val="0"/>
                  <w:divBdr>
                    <w:top w:val="none" w:sz="0" w:space="0" w:color="auto"/>
                    <w:left w:val="none" w:sz="0" w:space="0" w:color="auto"/>
                    <w:bottom w:val="none" w:sz="0" w:space="0" w:color="auto"/>
                    <w:right w:val="none" w:sz="0" w:space="0" w:color="auto"/>
                  </w:divBdr>
                  <w:divsChild>
                    <w:div w:id="245071162">
                      <w:marLeft w:val="0"/>
                      <w:marRight w:val="0"/>
                      <w:marTop w:val="0"/>
                      <w:marBottom w:val="0"/>
                      <w:divBdr>
                        <w:top w:val="none" w:sz="0" w:space="0" w:color="auto"/>
                        <w:left w:val="none" w:sz="0" w:space="0" w:color="auto"/>
                        <w:bottom w:val="none" w:sz="0" w:space="0" w:color="auto"/>
                        <w:right w:val="none" w:sz="0" w:space="0" w:color="auto"/>
                      </w:divBdr>
                      <w:divsChild>
                        <w:div w:id="1385984298">
                          <w:marLeft w:val="0"/>
                          <w:marRight w:val="0"/>
                          <w:marTop w:val="0"/>
                          <w:marBottom w:val="0"/>
                          <w:divBdr>
                            <w:top w:val="none" w:sz="0" w:space="0" w:color="auto"/>
                            <w:left w:val="none" w:sz="0" w:space="0" w:color="auto"/>
                            <w:bottom w:val="none" w:sz="0" w:space="0" w:color="auto"/>
                            <w:right w:val="none" w:sz="0" w:space="0" w:color="auto"/>
                          </w:divBdr>
                          <w:divsChild>
                            <w:div w:id="1739203645">
                              <w:marLeft w:val="0"/>
                              <w:marRight w:val="0"/>
                              <w:marTop w:val="0"/>
                              <w:marBottom w:val="0"/>
                              <w:divBdr>
                                <w:top w:val="none" w:sz="0" w:space="0" w:color="auto"/>
                                <w:left w:val="none" w:sz="0" w:space="0" w:color="auto"/>
                                <w:bottom w:val="none" w:sz="0" w:space="0" w:color="auto"/>
                                <w:right w:val="none" w:sz="0" w:space="0" w:color="auto"/>
                              </w:divBdr>
                              <w:divsChild>
                                <w:div w:id="2099405673">
                                  <w:marLeft w:val="0"/>
                                  <w:marRight w:val="0"/>
                                  <w:marTop w:val="0"/>
                                  <w:marBottom w:val="0"/>
                                  <w:divBdr>
                                    <w:top w:val="none" w:sz="0" w:space="0" w:color="auto"/>
                                    <w:left w:val="none" w:sz="0" w:space="0" w:color="auto"/>
                                    <w:bottom w:val="none" w:sz="0" w:space="0" w:color="auto"/>
                                    <w:right w:val="none" w:sz="0" w:space="0" w:color="auto"/>
                                  </w:divBdr>
                                  <w:divsChild>
                                    <w:div w:id="4456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252385">
      <w:bodyDiv w:val="1"/>
      <w:marLeft w:val="0"/>
      <w:marRight w:val="0"/>
      <w:marTop w:val="0"/>
      <w:marBottom w:val="0"/>
      <w:divBdr>
        <w:top w:val="none" w:sz="0" w:space="0" w:color="auto"/>
        <w:left w:val="none" w:sz="0" w:space="0" w:color="auto"/>
        <w:bottom w:val="none" w:sz="0" w:space="0" w:color="auto"/>
        <w:right w:val="none" w:sz="0" w:space="0" w:color="auto"/>
      </w:divBdr>
      <w:divsChild>
        <w:div w:id="1292176932">
          <w:marLeft w:val="0"/>
          <w:marRight w:val="0"/>
          <w:marTop w:val="0"/>
          <w:marBottom w:val="0"/>
          <w:divBdr>
            <w:top w:val="none" w:sz="0" w:space="0" w:color="auto"/>
            <w:left w:val="none" w:sz="0" w:space="0" w:color="auto"/>
            <w:bottom w:val="dotted" w:sz="6" w:space="4" w:color="DDDDDD"/>
            <w:right w:val="none" w:sz="0" w:space="0" w:color="auto"/>
          </w:divBdr>
          <w:divsChild>
            <w:div w:id="151522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368061">
      <w:bodyDiv w:val="1"/>
      <w:marLeft w:val="0"/>
      <w:marRight w:val="0"/>
      <w:marTop w:val="0"/>
      <w:marBottom w:val="0"/>
      <w:divBdr>
        <w:top w:val="none" w:sz="0" w:space="0" w:color="auto"/>
        <w:left w:val="none" w:sz="0" w:space="0" w:color="auto"/>
        <w:bottom w:val="none" w:sz="0" w:space="0" w:color="auto"/>
        <w:right w:val="none" w:sz="0" w:space="0" w:color="auto"/>
      </w:divBdr>
      <w:divsChild>
        <w:div w:id="1849518578">
          <w:marLeft w:val="0"/>
          <w:marRight w:val="0"/>
          <w:marTop w:val="0"/>
          <w:marBottom w:val="150"/>
          <w:divBdr>
            <w:top w:val="none" w:sz="0" w:space="0" w:color="auto"/>
            <w:left w:val="none" w:sz="0" w:space="0" w:color="auto"/>
            <w:bottom w:val="none" w:sz="0" w:space="0" w:color="auto"/>
            <w:right w:val="none" w:sz="0" w:space="0" w:color="auto"/>
          </w:divBdr>
        </w:div>
      </w:divsChild>
    </w:div>
    <w:div w:id="293366906">
      <w:bodyDiv w:val="1"/>
      <w:marLeft w:val="0"/>
      <w:marRight w:val="0"/>
      <w:marTop w:val="0"/>
      <w:marBottom w:val="0"/>
      <w:divBdr>
        <w:top w:val="none" w:sz="0" w:space="0" w:color="auto"/>
        <w:left w:val="none" w:sz="0" w:space="0" w:color="auto"/>
        <w:bottom w:val="none" w:sz="0" w:space="0" w:color="auto"/>
        <w:right w:val="none" w:sz="0" w:space="0" w:color="auto"/>
      </w:divBdr>
      <w:divsChild>
        <w:div w:id="565342878">
          <w:marLeft w:val="0"/>
          <w:marRight w:val="0"/>
          <w:marTop w:val="0"/>
          <w:marBottom w:val="300"/>
          <w:divBdr>
            <w:top w:val="none" w:sz="0" w:space="0" w:color="auto"/>
            <w:left w:val="none" w:sz="0" w:space="0" w:color="auto"/>
            <w:bottom w:val="none" w:sz="0" w:space="0" w:color="auto"/>
            <w:right w:val="none" w:sz="0" w:space="0" w:color="auto"/>
          </w:divBdr>
          <w:divsChild>
            <w:div w:id="781148007">
              <w:marLeft w:val="0"/>
              <w:marRight w:val="0"/>
              <w:marTop w:val="0"/>
              <w:marBottom w:val="0"/>
              <w:divBdr>
                <w:top w:val="none" w:sz="0" w:space="0" w:color="auto"/>
                <w:left w:val="none" w:sz="0" w:space="0" w:color="auto"/>
                <w:bottom w:val="none" w:sz="0" w:space="0" w:color="auto"/>
                <w:right w:val="none" w:sz="0" w:space="0" w:color="auto"/>
              </w:divBdr>
            </w:div>
          </w:divsChild>
        </w:div>
        <w:div w:id="906839269">
          <w:marLeft w:val="0"/>
          <w:marRight w:val="0"/>
          <w:marTop w:val="0"/>
          <w:marBottom w:val="0"/>
          <w:divBdr>
            <w:top w:val="none" w:sz="0" w:space="0" w:color="auto"/>
            <w:left w:val="none" w:sz="0" w:space="0" w:color="auto"/>
            <w:bottom w:val="none" w:sz="0" w:space="0" w:color="auto"/>
            <w:right w:val="none" w:sz="0" w:space="0" w:color="auto"/>
          </w:divBdr>
        </w:div>
        <w:div w:id="1431782734">
          <w:marLeft w:val="0"/>
          <w:marRight w:val="0"/>
          <w:marTop w:val="0"/>
          <w:marBottom w:val="0"/>
          <w:divBdr>
            <w:top w:val="none" w:sz="0" w:space="0" w:color="auto"/>
            <w:left w:val="none" w:sz="0" w:space="0" w:color="auto"/>
            <w:bottom w:val="none" w:sz="0" w:space="0" w:color="auto"/>
            <w:right w:val="none" w:sz="0" w:space="0" w:color="auto"/>
          </w:divBdr>
          <w:divsChild>
            <w:div w:id="339281439">
              <w:marLeft w:val="0"/>
              <w:marRight w:val="0"/>
              <w:marTop w:val="0"/>
              <w:marBottom w:val="0"/>
              <w:divBdr>
                <w:top w:val="none" w:sz="0" w:space="0" w:color="auto"/>
                <w:left w:val="none" w:sz="0" w:space="0" w:color="auto"/>
                <w:bottom w:val="none" w:sz="0" w:space="0" w:color="auto"/>
                <w:right w:val="none" w:sz="0" w:space="0" w:color="auto"/>
              </w:divBdr>
              <w:divsChild>
                <w:div w:id="1910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699118">
          <w:marLeft w:val="0"/>
          <w:marRight w:val="0"/>
          <w:marTop w:val="0"/>
          <w:marBottom w:val="75"/>
          <w:divBdr>
            <w:top w:val="none" w:sz="0" w:space="0" w:color="auto"/>
            <w:left w:val="none" w:sz="0" w:space="0" w:color="auto"/>
            <w:bottom w:val="none" w:sz="0" w:space="0" w:color="auto"/>
            <w:right w:val="none" w:sz="0" w:space="0" w:color="auto"/>
          </w:divBdr>
        </w:div>
      </w:divsChild>
    </w:div>
    <w:div w:id="293491392">
      <w:bodyDiv w:val="1"/>
      <w:marLeft w:val="0"/>
      <w:marRight w:val="0"/>
      <w:marTop w:val="0"/>
      <w:marBottom w:val="0"/>
      <w:divBdr>
        <w:top w:val="none" w:sz="0" w:space="0" w:color="auto"/>
        <w:left w:val="none" w:sz="0" w:space="0" w:color="auto"/>
        <w:bottom w:val="none" w:sz="0" w:space="0" w:color="auto"/>
        <w:right w:val="none" w:sz="0" w:space="0" w:color="auto"/>
      </w:divBdr>
      <w:divsChild>
        <w:div w:id="995379049">
          <w:marLeft w:val="0"/>
          <w:marRight w:val="0"/>
          <w:marTop w:val="0"/>
          <w:marBottom w:val="0"/>
          <w:divBdr>
            <w:top w:val="none" w:sz="0" w:space="0" w:color="auto"/>
            <w:left w:val="none" w:sz="0" w:space="0" w:color="auto"/>
            <w:bottom w:val="none" w:sz="0" w:space="0" w:color="auto"/>
            <w:right w:val="none" w:sz="0" w:space="0" w:color="auto"/>
          </w:divBdr>
        </w:div>
      </w:divsChild>
    </w:div>
    <w:div w:id="293560412">
      <w:bodyDiv w:val="1"/>
      <w:marLeft w:val="0"/>
      <w:marRight w:val="0"/>
      <w:marTop w:val="0"/>
      <w:marBottom w:val="0"/>
      <w:divBdr>
        <w:top w:val="none" w:sz="0" w:space="0" w:color="auto"/>
        <w:left w:val="none" w:sz="0" w:space="0" w:color="auto"/>
        <w:bottom w:val="none" w:sz="0" w:space="0" w:color="auto"/>
        <w:right w:val="none" w:sz="0" w:space="0" w:color="auto"/>
      </w:divBdr>
    </w:div>
    <w:div w:id="293948427">
      <w:bodyDiv w:val="1"/>
      <w:marLeft w:val="0"/>
      <w:marRight w:val="0"/>
      <w:marTop w:val="0"/>
      <w:marBottom w:val="0"/>
      <w:divBdr>
        <w:top w:val="none" w:sz="0" w:space="0" w:color="auto"/>
        <w:left w:val="none" w:sz="0" w:space="0" w:color="auto"/>
        <w:bottom w:val="none" w:sz="0" w:space="0" w:color="auto"/>
        <w:right w:val="none" w:sz="0" w:space="0" w:color="auto"/>
      </w:divBdr>
      <w:divsChild>
        <w:div w:id="1013844516">
          <w:marLeft w:val="0"/>
          <w:marRight w:val="0"/>
          <w:marTop w:val="0"/>
          <w:marBottom w:val="150"/>
          <w:divBdr>
            <w:top w:val="none" w:sz="0" w:space="0" w:color="auto"/>
            <w:left w:val="none" w:sz="0" w:space="0" w:color="auto"/>
            <w:bottom w:val="none" w:sz="0" w:space="0" w:color="auto"/>
            <w:right w:val="none" w:sz="0" w:space="0" w:color="auto"/>
          </w:divBdr>
        </w:div>
      </w:divsChild>
    </w:div>
    <w:div w:id="293951662">
      <w:bodyDiv w:val="1"/>
      <w:marLeft w:val="0"/>
      <w:marRight w:val="0"/>
      <w:marTop w:val="0"/>
      <w:marBottom w:val="0"/>
      <w:divBdr>
        <w:top w:val="none" w:sz="0" w:space="0" w:color="auto"/>
        <w:left w:val="none" w:sz="0" w:space="0" w:color="auto"/>
        <w:bottom w:val="none" w:sz="0" w:space="0" w:color="auto"/>
        <w:right w:val="none" w:sz="0" w:space="0" w:color="auto"/>
      </w:divBdr>
    </w:div>
    <w:div w:id="294145152">
      <w:bodyDiv w:val="1"/>
      <w:marLeft w:val="0"/>
      <w:marRight w:val="0"/>
      <w:marTop w:val="0"/>
      <w:marBottom w:val="0"/>
      <w:divBdr>
        <w:top w:val="none" w:sz="0" w:space="0" w:color="auto"/>
        <w:left w:val="none" w:sz="0" w:space="0" w:color="auto"/>
        <w:bottom w:val="none" w:sz="0" w:space="0" w:color="auto"/>
        <w:right w:val="none" w:sz="0" w:space="0" w:color="auto"/>
      </w:divBdr>
      <w:divsChild>
        <w:div w:id="24257776">
          <w:marLeft w:val="0"/>
          <w:marRight w:val="0"/>
          <w:marTop w:val="0"/>
          <w:marBottom w:val="0"/>
          <w:divBdr>
            <w:top w:val="none" w:sz="0" w:space="0" w:color="auto"/>
            <w:left w:val="none" w:sz="0" w:space="0" w:color="auto"/>
            <w:bottom w:val="dotted" w:sz="6" w:space="4" w:color="DDDDDD"/>
            <w:right w:val="none" w:sz="0" w:space="0" w:color="auto"/>
          </w:divBdr>
          <w:divsChild>
            <w:div w:id="191824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457960">
      <w:bodyDiv w:val="1"/>
      <w:marLeft w:val="0"/>
      <w:marRight w:val="0"/>
      <w:marTop w:val="0"/>
      <w:marBottom w:val="0"/>
      <w:divBdr>
        <w:top w:val="none" w:sz="0" w:space="0" w:color="auto"/>
        <w:left w:val="none" w:sz="0" w:space="0" w:color="auto"/>
        <w:bottom w:val="none" w:sz="0" w:space="0" w:color="auto"/>
        <w:right w:val="none" w:sz="0" w:space="0" w:color="auto"/>
      </w:divBdr>
      <w:divsChild>
        <w:div w:id="345136166">
          <w:marLeft w:val="0"/>
          <w:marRight w:val="0"/>
          <w:marTop w:val="0"/>
          <w:marBottom w:val="150"/>
          <w:divBdr>
            <w:top w:val="none" w:sz="0" w:space="0" w:color="auto"/>
            <w:left w:val="none" w:sz="0" w:space="0" w:color="auto"/>
            <w:bottom w:val="none" w:sz="0" w:space="0" w:color="auto"/>
            <w:right w:val="none" w:sz="0" w:space="0" w:color="auto"/>
          </w:divBdr>
          <w:divsChild>
            <w:div w:id="1191913542">
              <w:marLeft w:val="0"/>
              <w:marRight w:val="0"/>
              <w:marTop w:val="0"/>
              <w:marBottom w:val="0"/>
              <w:divBdr>
                <w:top w:val="none" w:sz="0" w:space="0" w:color="auto"/>
                <w:left w:val="none" w:sz="0" w:space="0" w:color="auto"/>
                <w:bottom w:val="none" w:sz="0" w:space="0" w:color="auto"/>
                <w:right w:val="none" w:sz="0" w:space="0" w:color="auto"/>
              </w:divBdr>
            </w:div>
          </w:divsChild>
        </w:div>
        <w:div w:id="1171262805">
          <w:marLeft w:val="0"/>
          <w:marRight w:val="0"/>
          <w:marTop w:val="0"/>
          <w:marBottom w:val="0"/>
          <w:divBdr>
            <w:top w:val="none" w:sz="0" w:space="0" w:color="auto"/>
            <w:left w:val="none" w:sz="0" w:space="0" w:color="auto"/>
            <w:bottom w:val="none" w:sz="0" w:space="0" w:color="auto"/>
            <w:right w:val="none" w:sz="0" w:space="0" w:color="auto"/>
          </w:divBdr>
          <w:divsChild>
            <w:div w:id="784426870">
              <w:marLeft w:val="0"/>
              <w:marRight w:val="0"/>
              <w:marTop w:val="0"/>
              <w:marBottom w:val="0"/>
              <w:divBdr>
                <w:top w:val="none" w:sz="0" w:space="0" w:color="auto"/>
                <w:left w:val="none" w:sz="0" w:space="0" w:color="auto"/>
                <w:bottom w:val="none" w:sz="0" w:space="0" w:color="auto"/>
                <w:right w:val="none" w:sz="0" w:space="0" w:color="auto"/>
              </w:divBdr>
            </w:div>
            <w:div w:id="13786999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94793630">
      <w:bodyDiv w:val="1"/>
      <w:marLeft w:val="0"/>
      <w:marRight w:val="0"/>
      <w:marTop w:val="0"/>
      <w:marBottom w:val="0"/>
      <w:divBdr>
        <w:top w:val="none" w:sz="0" w:space="0" w:color="auto"/>
        <w:left w:val="none" w:sz="0" w:space="0" w:color="auto"/>
        <w:bottom w:val="none" w:sz="0" w:space="0" w:color="auto"/>
        <w:right w:val="none" w:sz="0" w:space="0" w:color="auto"/>
      </w:divBdr>
      <w:divsChild>
        <w:div w:id="1373963938">
          <w:marLeft w:val="0"/>
          <w:marRight w:val="0"/>
          <w:marTop w:val="0"/>
          <w:marBottom w:val="0"/>
          <w:divBdr>
            <w:top w:val="none" w:sz="0" w:space="0" w:color="auto"/>
            <w:left w:val="none" w:sz="0" w:space="0" w:color="auto"/>
            <w:bottom w:val="dotted" w:sz="6" w:space="4" w:color="DDDDDD"/>
            <w:right w:val="none" w:sz="0" w:space="0" w:color="auto"/>
          </w:divBdr>
          <w:divsChild>
            <w:div w:id="20179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795729">
      <w:bodyDiv w:val="1"/>
      <w:marLeft w:val="0"/>
      <w:marRight w:val="0"/>
      <w:marTop w:val="0"/>
      <w:marBottom w:val="0"/>
      <w:divBdr>
        <w:top w:val="none" w:sz="0" w:space="0" w:color="auto"/>
        <w:left w:val="none" w:sz="0" w:space="0" w:color="auto"/>
        <w:bottom w:val="none" w:sz="0" w:space="0" w:color="auto"/>
        <w:right w:val="none" w:sz="0" w:space="0" w:color="auto"/>
      </w:divBdr>
      <w:divsChild>
        <w:div w:id="2083483155">
          <w:marLeft w:val="0"/>
          <w:marRight w:val="225"/>
          <w:marTop w:val="0"/>
          <w:marBottom w:val="0"/>
          <w:divBdr>
            <w:top w:val="none" w:sz="0" w:space="0" w:color="auto"/>
            <w:left w:val="none" w:sz="0" w:space="0" w:color="auto"/>
            <w:bottom w:val="none" w:sz="0" w:space="0" w:color="auto"/>
            <w:right w:val="none" w:sz="0" w:space="0" w:color="auto"/>
          </w:divBdr>
          <w:divsChild>
            <w:div w:id="1138840722">
              <w:marLeft w:val="0"/>
              <w:marRight w:val="0"/>
              <w:marTop w:val="225"/>
              <w:marBottom w:val="0"/>
              <w:divBdr>
                <w:top w:val="none" w:sz="0" w:space="0" w:color="auto"/>
                <w:left w:val="none" w:sz="0" w:space="0" w:color="auto"/>
                <w:bottom w:val="none" w:sz="0" w:space="0" w:color="auto"/>
                <w:right w:val="none" w:sz="0" w:space="0" w:color="auto"/>
              </w:divBdr>
              <w:divsChild>
                <w:div w:id="202829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185993">
      <w:bodyDiv w:val="1"/>
      <w:marLeft w:val="0"/>
      <w:marRight w:val="0"/>
      <w:marTop w:val="0"/>
      <w:marBottom w:val="0"/>
      <w:divBdr>
        <w:top w:val="none" w:sz="0" w:space="0" w:color="auto"/>
        <w:left w:val="none" w:sz="0" w:space="0" w:color="auto"/>
        <w:bottom w:val="none" w:sz="0" w:space="0" w:color="auto"/>
        <w:right w:val="none" w:sz="0" w:space="0" w:color="auto"/>
      </w:divBdr>
    </w:div>
    <w:div w:id="295449850">
      <w:bodyDiv w:val="1"/>
      <w:marLeft w:val="0"/>
      <w:marRight w:val="0"/>
      <w:marTop w:val="0"/>
      <w:marBottom w:val="0"/>
      <w:divBdr>
        <w:top w:val="none" w:sz="0" w:space="0" w:color="auto"/>
        <w:left w:val="none" w:sz="0" w:space="0" w:color="auto"/>
        <w:bottom w:val="none" w:sz="0" w:space="0" w:color="auto"/>
        <w:right w:val="none" w:sz="0" w:space="0" w:color="auto"/>
      </w:divBdr>
      <w:divsChild>
        <w:div w:id="1976520600">
          <w:marLeft w:val="0"/>
          <w:marRight w:val="0"/>
          <w:marTop w:val="0"/>
          <w:marBottom w:val="0"/>
          <w:divBdr>
            <w:top w:val="none" w:sz="0" w:space="0" w:color="auto"/>
            <w:left w:val="none" w:sz="0" w:space="0" w:color="auto"/>
            <w:bottom w:val="dotted" w:sz="6" w:space="4" w:color="DDDDDD"/>
            <w:right w:val="none" w:sz="0" w:space="0" w:color="auto"/>
          </w:divBdr>
          <w:divsChild>
            <w:div w:id="55118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568418">
      <w:bodyDiv w:val="1"/>
      <w:marLeft w:val="0"/>
      <w:marRight w:val="0"/>
      <w:marTop w:val="0"/>
      <w:marBottom w:val="0"/>
      <w:divBdr>
        <w:top w:val="none" w:sz="0" w:space="0" w:color="auto"/>
        <w:left w:val="none" w:sz="0" w:space="0" w:color="auto"/>
        <w:bottom w:val="none" w:sz="0" w:space="0" w:color="auto"/>
        <w:right w:val="none" w:sz="0" w:space="0" w:color="auto"/>
      </w:divBdr>
    </w:div>
    <w:div w:id="296181976">
      <w:bodyDiv w:val="1"/>
      <w:marLeft w:val="0"/>
      <w:marRight w:val="0"/>
      <w:marTop w:val="0"/>
      <w:marBottom w:val="0"/>
      <w:divBdr>
        <w:top w:val="none" w:sz="0" w:space="0" w:color="auto"/>
        <w:left w:val="none" w:sz="0" w:space="0" w:color="auto"/>
        <w:bottom w:val="none" w:sz="0" w:space="0" w:color="auto"/>
        <w:right w:val="none" w:sz="0" w:space="0" w:color="auto"/>
      </w:divBdr>
      <w:divsChild>
        <w:div w:id="577908313">
          <w:marLeft w:val="0"/>
          <w:marRight w:val="0"/>
          <w:marTop w:val="0"/>
          <w:marBottom w:val="225"/>
          <w:divBdr>
            <w:top w:val="single" w:sz="6" w:space="11" w:color="E5E5E5"/>
            <w:left w:val="single" w:sz="6" w:space="11" w:color="E5E5E5"/>
            <w:bottom w:val="single" w:sz="6" w:space="1" w:color="E5E5E5"/>
            <w:right w:val="single" w:sz="6" w:space="11" w:color="E5E5E5"/>
          </w:divBdr>
          <w:divsChild>
            <w:div w:id="650793323">
              <w:marLeft w:val="0"/>
              <w:marRight w:val="0"/>
              <w:marTop w:val="0"/>
              <w:marBottom w:val="0"/>
              <w:divBdr>
                <w:top w:val="none" w:sz="0" w:space="0" w:color="auto"/>
                <w:left w:val="none" w:sz="0" w:space="0" w:color="auto"/>
                <w:bottom w:val="none" w:sz="0" w:space="0" w:color="auto"/>
                <w:right w:val="none" w:sz="0" w:space="0" w:color="auto"/>
              </w:divBdr>
              <w:divsChild>
                <w:div w:id="1092628938">
                  <w:marLeft w:val="0"/>
                  <w:marRight w:val="0"/>
                  <w:marTop w:val="0"/>
                  <w:marBottom w:val="0"/>
                  <w:divBdr>
                    <w:top w:val="none" w:sz="0" w:space="0" w:color="auto"/>
                    <w:left w:val="none" w:sz="0" w:space="0" w:color="auto"/>
                    <w:bottom w:val="none" w:sz="0" w:space="0" w:color="auto"/>
                    <w:right w:val="none" w:sz="0" w:space="0" w:color="auto"/>
                  </w:divBdr>
                </w:div>
              </w:divsChild>
            </w:div>
            <w:div w:id="136231493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 w:id="296302936">
      <w:bodyDiv w:val="1"/>
      <w:marLeft w:val="0"/>
      <w:marRight w:val="0"/>
      <w:marTop w:val="0"/>
      <w:marBottom w:val="0"/>
      <w:divBdr>
        <w:top w:val="none" w:sz="0" w:space="0" w:color="auto"/>
        <w:left w:val="none" w:sz="0" w:space="0" w:color="auto"/>
        <w:bottom w:val="none" w:sz="0" w:space="0" w:color="auto"/>
        <w:right w:val="none" w:sz="0" w:space="0" w:color="auto"/>
      </w:divBdr>
    </w:div>
    <w:div w:id="296374612">
      <w:bodyDiv w:val="1"/>
      <w:marLeft w:val="0"/>
      <w:marRight w:val="0"/>
      <w:marTop w:val="0"/>
      <w:marBottom w:val="0"/>
      <w:divBdr>
        <w:top w:val="none" w:sz="0" w:space="0" w:color="auto"/>
        <w:left w:val="none" w:sz="0" w:space="0" w:color="auto"/>
        <w:bottom w:val="none" w:sz="0" w:space="0" w:color="auto"/>
        <w:right w:val="none" w:sz="0" w:space="0" w:color="auto"/>
      </w:divBdr>
      <w:divsChild>
        <w:div w:id="408113478">
          <w:marLeft w:val="0"/>
          <w:marRight w:val="0"/>
          <w:marTop w:val="0"/>
          <w:marBottom w:val="0"/>
          <w:divBdr>
            <w:top w:val="none" w:sz="0" w:space="0" w:color="auto"/>
            <w:left w:val="none" w:sz="0" w:space="0" w:color="auto"/>
            <w:bottom w:val="none" w:sz="0" w:space="0" w:color="auto"/>
            <w:right w:val="none" w:sz="0" w:space="0" w:color="auto"/>
          </w:divBdr>
          <w:divsChild>
            <w:div w:id="1418746527">
              <w:marLeft w:val="0"/>
              <w:marRight w:val="0"/>
              <w:marTop w:val="0"/>
              <w:marBottom w:val="0"/>
              <w:divBdr>
                <w:top w:val="none" w:sz="0" w:space="0" w:color="auto"/>
                <w:left w:val="none" w:sz="0" w:space="0" w:color="auto"/>
                <w:bottom w:val="none" w:sz="0" w:space="0" w:color="auto"/>
                <w:right w:val="none" w:sz="0" w:space="0" w:color="auto"/>
              </w:divBdr>
              <w:divsChild>
                <w:div w:id="2111847884">
                  <w:marLeft w:val="0"/>
                  <w:marRight w:val="0"/>
                  <w:marTop w:val="0"/>
                  <w:marBottom w:val="0"/>
                  <w:divBdr>
                    <w:top w:val="none" w:sz="0" w:space="0" w:color="auto"/>
                    <w:left w:val="none" w:sz="0" w:space="0" w:color="auto"/>
                    <w:bottom w:val="none" w:sz="0" w:space="0" w:color="auto"/>
                    <w:right w:val="none" w:sz="0" w:space="0" w:color="auto"/>
                  </w:divBdr>
                  <w:divsChild>
                    <w:div w:id="1417551831">
                      <w:marLeft w:val="0"/>
                      <w:marRight w:val="0"/>
                      <w:marTop w:val="0"/>
                      <w:marBottom w:val="0"/>
                      <w:divBdr>
                        <w:top w:val="none" w:sz="0" w:space="0" w:color="auto"/>
                        <w:left w:val="none" w:sz="0" w:space="0" w:color="auto"/>
                        <w:bottom w:val="none" w:sz="0" w:space="0" w:color="auto"/>
                        <w:right w:val="none" w:sz="0" w:space="0" w:color="auto"/>
                      </w:divBdr>
                      <w:divsChild>
                        <w:div w:id="1659455375">
                          <w:marLeft w:val="0"/>
                          <w:marRight w:val="0"/>
                          <w:marTop w:val="0"/>
                          <w:marBottom w:val="0"/>
                          <w:divBdr>
                            <w:top w:val="none" w:sz="0" w:space="0" w:color="auto"/>
                            <w:left w:val="none" w:sz="0" w:space="0" w:color="auto"/>
                            <w:bottom w:val="none" w:sz="0" w:space="0" w:color="auto"/>
                            <w:right w:val="none" w:sz="0" w:space="0" w:color="auto"/>
                          </w:divBdr>
                          <w:divsChild>
                            <w:div w:id="387918173">
                              <w:marLeft w:val="0"/>
                              <w:marRight w:val="0"/>
                              <w:marTop w:val="0"/>
                              <w:marBottom w:val="0"/>
                              <w:divBdr>
                                <w:top w:val="none" w:sz="0" w:space="0" w:color="auto"/>
                                <w:left w:val="none" w:sz="0" w:space="0" w:color="auto"/>
                                <w:bottom w:val="none" w:sz="0" w:space="0" w:color="auto"/>
                                <w:right w:val="none" w:sz="0" w:space="0" w:color="auto"/>
                              </w:divBdr>
                              <w:divsChild>
                                <w:div w:id="1380134342">
                                  <w:marLeft w:val="0"/>
                                  <w:marRight w:val="0"/>
                                  <w:marTop w:val="0"/>
                                  <w:marBottom w:val="0"/>
                                  <w:divBdr>
                                    <w:top w:val="none" w:sz="0" w:space="0" w:color="auto"/>
                                    <w:left w:val="none" w:sz="0" w:space="0" w:color="auto"/>
                                    <w:bottom w:val="none" w:sz="0" w:space="0" w:color="auto"/>
                                    <w:right w:val="none" w:sz="0" w:space="0" w:color="auto"/>
                                  </w:divBdr>
                                  <w:divsChild>
                                    <w:div w:id="82327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421038">
      <w:bodyDiv w:val="1"/>
      <w:marLeft w:val="0"/>
      <w:marRight w:val="0"/>
      <w:marTop w:val="0"/>
      <w:marBottom w:val="0"/>
      <w:divBdr>
        <w:top w:val="none" w:sz="0" w:space="0" w:color="auto"/>
        <w:left w:val="none" w:sz="0" w:space="0" w:color="auto"/>
        <w:bottom w:val="none" w:sz="0" w:space="0" w:color="auto"/>
        <w:right w:val="none" w:sz="0" w:space="0" w:color="auto"/>
      </w:divBdr>
      <w:divsChild>
        <w:div w:id="30570501">
          <w:marLeft w:val="0"/>
          <w:marRight w:val="0"/>
          <w:marTop w:val="0"/>
          <w:marBottom w:val="150"/>
          <w:divBdr>
            <w:top w:val="none" w:sz="0" w:space="0" w:color="auto"/>
            <w:left w:val="none" w:sz="0" w:space="0" w:color="auto"/>
            <w:bottom w:val="none" w:sz="0" w:space="0" w:color="auto"/>
            <w:right w:val="none" w:sz="0" w:space="0" w:color="auto"/>
          </w:divBdr>
        </w:div>
      </w:divsChild>
    </w:div>
    <w:div w:id="296451296">
      <w:bodyDiv w:val="1"/>
      <w:marLeft w:val="0"/>
      <w:marRight w:val="0"/>
      <w:marTop w:val="0"/>
      <w:marBottom w:val="0"/>
      <w:divBdr>
        <w:top w:val="none" w:sz="0" w:space="0" w:color="auto"/>
        <w:left w:val="none" w:sz="0" w:space="0" w:color="auto"/>
        <w:bottom w:val="none" w:sz="0" w:space="0" w:color="auto"/>
        <w:right w:val="none" w:sz="0" w:space="0" w:color="auto"/>
      </w:divBdr>
      <w:divsChild>
        <w:div w:id="223831212">
          <w:marLeft w:val="0"/>
          <w:marRight w:val="0"/>
          <w:marTop w:val="0"/>
          <w:marBottom w:val="0"/>
          <w:divBdr>
            <w:top w:val="none" w:sz="0" w:space="0" w:color="auto"/>
            <w:left w:val="none" w:sz="0" w:space="0" w:color="auto"/>
            <w:bottom w:val="none" w:sz="0" w:space="0" w:color="auto"/>
            <w:right w:val="none" w:sz="0" w:space="0" w:color="auto"/>
          </w:divBdr>
          <w:divsChild>
            <w:div w:id="198057216">
              <w:marLeft w:val="0"/>
              <w:marRight w:val="0"/>
              <w:marTop w:val="0"/>
              <w:marBottom w:val="0"/>
              <w:divBdr>
                <w:top w:val="none" w:sz="0" w:space="0" w:color="auto"/>
                <w:left w:val="none" w:sz="0" w:space="0" w:color="auto"/>
                <w:bottom w:val="none" w:sz="0" w:space="0" w:color="auto"/>
                <w:right w:val="none" w:sz="0" w:space="0" w:color="auto"/>
              </w:divBdr>
              <w:divsChild>
                <w:div w:id="92171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55648">
          <w:marLeft w:val="0"/>
          <w:marRight w:val="0"/>
          <w:marTop w:val="0"/>
          <w:marBottom w:val="75"/>
          <w:divBdr>
            <w:top w:val="none" w:sz="0" w:space="0" w:color="auto"/>
            <w:left w:val="none" w:sz="0" w:space="0" w:color="auto"/>
            <w:bottom w:val="none" w:sz="0" w:space="0" w:color="auto"/>
            <w:right w:val="none" w:sz="0" w:space="0" w:color="auto"/>
          </w:divBdr>
        </w:div>
        <w:div w:id="1460417196">
          <w:marLeft w:val="0"/>
          <w:marRight w:val="0"/>
          <w:marTop w:val="0"/>
          <w:marBottom w:val="0"/>
          <w:divBdr>
            <w:top w:val="none" w:sz="0" w:space="0" w:color="auto"/>
            <w:left w:val="none" w:sz="0" w:space="0" w:color="auto"/>
            <w:bottom w:val="none" w:sz="0" w:space="0" w:color="auto"/>
            <w:right w:val="none" w:sz="0" w:space="0" w:color="auto"/>
          </w:divBdr>
          <w:divsChild>
            <w:div w:id="390345417">
              <w:marLeft w:val="0"/>
              <w:marRight w:val="0"/>
              <w:marTop w:val="0"/>
              <w:marBottom w:val="0"/>
              <w:divBdr>
                <w:top w:val="none" w:sz="0" w:space="0" w:color="auto"/>
                <w:left w:val="none" w:sz="0" w:space="0" w:color="auto"/>
                <w:bottom w:val="none" w:sz="0" w:space="0" w:color="auto"/>
                <w:right w:val="none" w:sz="0" w:space="0" w:color="auto"/>
              </w:divBdr>
              <w:divsChild>
                <w:div w:id="2000620735">
                  <w:marLeft w:val="0"/>
                  <w:marRight w:val="0"/>
                  <w:marTop w:val="0"/>
                  <w:marBottom w:val="300"/>
                  <w:divBdr>
                    <w:top w:val="none" w:sz="0" w:space="0" w:color="auto"/>
                    <w:left w:val="none" w:sz="0" w:space="0" w:color="auto"/>
                    <w:bottom w:val="none" w:sz="0" w:space="0" w:color="auto"/>
                    <w:right w:val="none" w:sz="0" w:space="0" w:color="auto"/>
                  </w:divBdr>
                  <w:divsChild>
                    <w:div w:id="11464299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96499026">
      <w:bodyDiv w:val="1"/>
      <w:marLeft w:val="0"/>
      <w:marRight w:val="0"/>
      <w:marTop w:val="0"/>
      <w:marBottom w:val="0"/>
      <w:divBdr>
        <w:top w:val="none" w:sz="0" w:space="0" w:color="auto"/>
        <w:left w:val="none" w:sz="0" w:space="0" w:color="auto"/>
        <w:bottom w:val="none" w:sz="0" w:space="0" w:color="auto"/>
        <w:right w:val="none" w:sz="0" w:space="0" w:color="auto"/>
      </w:divBdr>
    </w:div>
    <w:div w:id="297298760">
      <w:bodyDiv w:val="1"/>
      <w:marLeft w:val="0"/>
      <w:marRight w:val="0"/>
      <w:marTop w:val="0"/>
      <w:marBottom w:val="0"/>
      <w:divBdr>
        <w:top w:val="none" w:sz="0" w:space="0" w:color="auto"/>
        <w:left w:val="none" w:sz="0" w:space="0" w:color="auto"/>
        <w:bottom w:val="none" w:sz="0" w:space="0" w:color="auto"/>
        <w:right w:val="none" w:sz="0" w:space="0" w:color="auto"/>
      </w:divBdr>
    </w:div>
    <w:div w:id="297490007">
      <w:bodyDiv w:val="1"/>
      <w:marLeft w:val="0"/>
      <w:marRight w:val="0"/>
      <w:marTop w:val="0"/>
      <w:marBottom w:val="0"/>
      <w:divBdr>
        <w:top w:val="none" w:sz="0" w:space="0" w:color="auto"/>
        <w:left w:val="none" w:sz="0" w:space="0" w:color="auto"/>
        <w:bottom w:val="none" w:sz="0" w:space="0" w:color="auto"/>
        <w:right w:val="none" w:sz="0" w:space="0" w:color="auto"/>
      </w:divBdr>
    </w:div>
    <w:div w:id="297491378">
      <w:bodyDiv w:val="1"/>
      <w:marLeft w:val="0"/>
      <w:marRight w:val="0"/>
      <w:marTop w:val="0"/>
      <w:marBottom w:val="0"/>
      <w:divBdr>
        <w:top w:val="none" w:sz="0" w:space="0" w:color="auto"/>
        <w:left w:val="none" w:sz="0" w:space="0" w:color="auto"/>
        <w:bottom w:val="none" w:sz="0" w:space="0" w:color="auto"/>
        <w:right w:val="none" w:sz="0" w:space="0" w:color="auto"/>
      </w:divBdr>
      <w:divsChild>
        <w:div w:id="2057661605">
          <w:marLeft w:val="0"/>
          <w:marRight w:val="0"/>
          <w:marTop w:val="0"/>
          <w:marBottom w:val="0"/>
          <w:divBdr>
            <w:top w:val="none" w:sz="0" w:space="0" w:color="auto"/>
            <w:left w:val="none" w:sz="0" w:space="0" w:color="auto"/>
            <w:bottom w:val="none" w:sz="0" w:space="0" w:color="auto"/>
            <w:right w:val="none" w:sz="0" w:space="0" w:color="auto"/>
          </w:divBdr>
          <w:divsChild>
            <w:div w:id="4094447">
              <w:marLeft w:val="0"/>
              <w:marRight w:val="0"/>
              <w:marTop w:val="0"/>
              <w:marBottom w:val="0"/>
              <w:divBdr>
                <w:top w:val="none" w:sz="0" w:space="0" w:color="auto"/>
                <w:left w:val="none" w:sz="0" w:space="0" w:color="auto"/>
                <w:bottom w:val="none" w:sz="0" w:space="0" w:color="auto"/>
                <w:right w:val="none" w:sz="0" w:space="0" w:color="auto"/>
              </w:divBdr>
            </w:div>
            <w:div w:id="17610970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97497862">
      <w:bodyDiv w:val="1"/>
      <w:marLeft w:val="0"/>
      <w:marRight w:val="0"/>
      <w:marTop w:val="0"/>
      <w:marBottom w:val="0"/>
      <w:divBdr>
        <w:top w:val="none" w:sz="0" w:space="0" w:color="auto"/>
        <w:left w:val="none" w:sz="0" w:space="0" w:color="auto"/>
        <w:bottom w:val="none" w:sz="0" w:space="0" w:color="auto"/>
        <w:right w:val="none" w:sz="0" w:space="0" w:color="auto"/>
      </w:divBdr>
      <w:divsChild>
        <w:div w:id="1420297397">
          <w:marLeft w:val="0"/>
          <w:marRight w:val="0"/>
          <w:marTop w:val="0"/>
          <w:marBottom w:val="0"/>
          <w:divBdr>
            <w:top w:val="none" w:sz="0" w:space="0" w:color="auto"/>
            <w:left w:val="none" w:sz="0" w:space="0" w:color="auto"/>
            <w:bottom w:val="dotted" w:sz="6" w:space="4" w:color="DDDDDD"/>
            <w:right w:val="none" w:sz="0" w:space="0" w:color="auto"/>
          </w:divBdr>
          <w:divsChild>
            <w:div w:id="198157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610007">
      <w:bodyDiv w:val="1"/>
      <w:marLeft w:val="0"/>
      <w:marRight w:val="0"/>
      <w:marTop w:val="0"/>
      <w:marBottom w:val="0"/>
      <w:divBdr>
        <w:top w:val="none" w:sz="0" w:space="0" w:color="auto"/>
        <w:left w:val="none" w:sz="0" w:space="0" w:color="auto"/>
        <w:bottom w:val="none" w:sz="0" w:space="0" w:color="auto"/>
        <w:right w:val="none" w:sz="0" w:space="0" w:color="auto"/>
      </w:divBdr>
      <w:divsChild>
        <w:div w:id="485244586">
          <w:marLeft w:val="0"/>
          <w:marRight w:val="0"/>
          <w:marTop w:val="0"/>
          <w:marBottom w:val="0"/>
          <w:divBdr>
            <w:top w:val="none" w:sz="0" w:space="0" w:color="auto"/>
            <w:left w:val="none" w:sz="0" w:space="0" w:color="auto"/>
            <w:bottom w:val="dotted" w:sz="6" w:space="4" w:color="DDDDDD"/>
            <w:right w:val="none" w:sz="0" w:space="0" w:color="auto"/>
          </w:divBdr>
          <w:divsChild>
            <w:div w:id="198458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345154">
      <w:bodyDiv w:val="1"/>
      <w:marLeft w:val="0"/>
      <w:marRight w:val="0"/>
      <w:marTop w:val="0"/>
      <w:marBottom w:val="0"/>
      <w:divBdr>
        <w:top w:val="none" w:sz="0" w:space="0" w:color="auto"/>
        <w:left w:val="none" w:sz="0" w:space="0" w:color="auto"/>
        <w:bottom w:val="none" w:sz="0" w:space="0" w:color="auto"/>
        <w:right w:val="none" w:sz="0" w:space="0" w:color="auto"/>
      </w:divBdr>
      <w:divsChild>
        <w:div w:id="1678800855">
          <w:marLeft w:val="0"/>
          <w:marRight w:val="0"/>
          <w:marTop w:val="0"/>
          <w:marBottom w:val="0"/>
          <w:divBdr>
            <w:top w:val="none" w:sz="0" w:space="0" w:color="auto"/>
            <w:left w:val="none" w:sz="0" w:space="0" w:color="auto"/>
            <w:bottom w:val="dotted" w:sz="6" w:space="4" w:color="DDDDDD"/>
            <w:right w:val="none" w:sz="0" w:space="0" w:color="auto"/>
          </w:divBdr>
        </w:div>
      </w:divsChild>
    </w:div>
    <w:div w:id="298386186">
      <w:bodyDiv w:val="1"/>
      <w:marLeft w:val="0"/>
      <w:marRight w:val="0"/>
      <w:marTop w:val="0"/>
      <w:marBottom w:val="0"/>
      <w:divBdr>
        <w:top w:val="none" w:sz="0" w:space="0" w:color="auto"/>
        <w:left w:val="none" w:sz="0" w:space="0" w:color="auto"/>
        <w:bottom w:val="none" w:sz="0" w:space="0" w:color="auto"/>
        <w:right w:val="none" w:sz="0" w:space="0" w:color="auto"/>
      </w:divBdr>
      <w:divsChild>
        <w:div w:id="140926225">
          <w:marLeft w:val="0"/>
          <w:marRight w:val="0"/>
          <w:marTop w:val="0"/>
          <w:marBottom w:val="150"/>
          <w:divBdr>
            <w:top w:val="none" w:sz="0" w:space="0" w:color="auto"/>
            <w:left w:val="none" w:sz="0" w:space="0" w:color="auto"/>
            <w:bottom w:val="none" w:sz="0" w:space="0" w:color="auto"/>
            <w:right w:val="none" w:sz="0" w:space="0" w:color="auto"/>
          </w:divBdr>
          <w:divsChild>
            <w:div w:id="79060382">
              <w:marLeft w:val="0"/>
              <w:marRight w:val="0"/>
              <w:marTop w:val="0"/>
              <w:marBottom w:val="0"/>
              <w:divBdr>
                <w:top w:val="none" w:sz="0" w:space="0" w:color="auto"/>
                <w:left w:val="none" w:sz="0" w:space="0" w:color="auto"/>
                <w:bottom w:val="none" w:sz="0" w:space="0" w:color="auto"/>
                <w:right w:val="none" w:sz="0" w:space="0" w:color="auto"/>
              </w:divBdr>
              <w:divsChild>
                <w:div w:id="91901063">
                  <w:marLeft w:val="0"/>
                  <w:marRight w:val="0"/>
                  <w:marTop w:val="0"/>
                  <w:marBottom w:val="0"/>
                  <w:divBdr>
                    <w:top w:val="none" w:sz="0" w:space="0" w:color="auto"/>
                    <w:left w:val="none" w:sz="0" w:space="0" w:color="auto"/>
                    <w:bottom w:val="none" w:sz="0" w:space="0" w:color="auto"/>
                    <w:right w:val="none" w:sz="0" w:space="0" w:color="auto"/>
                  </w:divBdr>
                  <w:divsChild>
                    <w:div w:id="550619">
                      <w:marLeft w:val="0"/>
                      <w:marRight w:val="150"/>
                      <w:marTop w:val="0"/>
                      <w:marBottom w:val="0"/>
                      <w:divBdr>
                        <w:top w:val="none" w:sz="0" w:space="0" w:color="auto"/>
                        <w:left w:val="none" w:sz="0" w:space="0" w:color="auto"/>
                        <w:bottom w:val="none" w:sz="0" w:space="0" w:color="auto"/>
                        <w:right w:val="none" w:sz="0" w:space="0" w:color="auto"/>
                      </w:divBdr>
                      <w:divsChild>
                        <w:div w:id="95371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849599">
          <w:marLeft w:val="0"/>
          <w:marRight w:val="0"/>
          <w:marTop w:val="0"/>
          <w:marBottom w:val="150"/>
          <w:divBdr>
            <w:top w:val="none" w:sz="0" w:space="0" w:color="auto"/>
            <w:left w:val="none" w:sz="0" w:space="0" w:color="auto"/>
            <w:bottom w:val="none" w:sz="0" w:space="0" w:color="auto"/>
            <w:right w:val="none" w:sz="0" w:space="0" w:color="auto"/>
          </w:divBdr>
        </w:div>
        <w:div w:id="2113699189">
          <w:marLeft w:val="0"/>
          <w:marRight w:val="0"/>
          <w:marTop w:val="0"/>
          <w:marBottom w:val="0"/>
          <w:divBdr>
            <w:top w:val="none" w:sz="0" w:space="0" w:color="auto"/>
            <w:left w:val="none" w:sz="0" w:space="0" w:color="auto"/>
            <w:bottom w:val="none" w:sz="0" w:space="0" w:color="auto"/>
            <w:right w:val="none" w:sz="0" w:space="0" w:color="auto"/>
          </w:divBdr>
          <w:divsChild>
            <w:div w:id="110934830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98651151">
      <w:bodyDiv w:val="1"/>
      <w:marLeft w:val="0"/>
      <w:marRight w:val="0"/>
      <w:marTop w:val="0"/>
      <w:marBottom w:val="0"/>
      <w:divBdr>
        <w:top w:val="none" w:sz="0" w:space="0" w:color="auto"/>
        <w:left w:val="none" w:sz="0" w:space="0" w:color="auto"/>
        <w:bottom w:val="none" w:sz="0" w:space="0" w:color="auto"/>
        <w:right w:val="none" w:sz="0" w:space="0" w:color="auto"/>
      </w:divBdr>
      <w:divsChild>
        <w:div w:id="300889793">
          <w:marLeft w:val="0"/>
          <w:marRight w:val="0"/>
          <w:marTop w:val="0"/>
          <w:marBottom w:val="150"/>
          <w:divBdr>
            <w:top w:val="none" w:sz="0" w:space="0" w:color="auto"/>
            <w:left w:val="none" w:sz="0" w:space="0" w:color="auto"/>
            <w:bottom w:val="none" w:sz="0" w:space="0" w:color="auto"/>
            <w:right w:val="none" w:sz="0" w:space="0" w:color="auto"/>
          </w:divBdr>
        </w:div>
        <w:div w:id="1226835885">
          <w:marLeft w:val="0"/>
          <w:marRight w:val="0"/>
          <w:marTop w:val="0"/>
          <w:marBottom w:val="0"/>
          <w:divBdr>
            <w:top w:val="none" w:sz="0" w:space="0" w:color="auto"/>
            <w:left w:val="none" w:sz="0" w:space="0" w:color="auto"/>
            <w:bottom w:val="none" w:sz="0" w:space="0" w:color="auto"/>
            <w:right w:val="none" w:sz="0" w:space="0" w:color="auto"/>
          </w:divBdr>
          <w:divsChild>
            <w:div w:id="1771001450">
              <w:marLeft w:val="0"/>
              <w:marRight w:val="0"/>
              <w:marTop w:val="0"/>
              <w:marBottom w:val="0"/>
              <w:divBdr>
                <w:top w:val="none" w:sz="0" w:space="0" w:color="auto"/>
                <w:left w:val="none" w:sz="0" w:space="0" w:color="auto"/>
                <w:bottom w:val="none" w:sz="0" w:space="0" w:color="auto"/>
                <w:right w:val="none" w:sz="0" w:space="0" w:color="auto"/>
              </w:divBdr>
            </w:div>
          </w:divsChild>
        </w:div>
        <w:div w:id="1420298618">
          <w:marLeft w:val="0"/>
          <w:marRight w:val="0"/>
          <w:marTop w:val="0"/>
          <w:marBottom w:val="150"/>
          <w:divBdr>
            <w:top w:val="none" w:sz="0" w:space="0" w:color="auto"/>
            <w:left w:val="none" w:sz="0" w:space="0" w:color="auto"/>
            <w:bottom w:val="none" w:sz="0" w:space="0" w:color="auto"/>
            <w:right w:val="none" w:sz="0" w:space="0" w:color="auto"/>
          </w:divBdr>
          <w:divsChild>
            <w:div w:id="151704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05527">
      <w:bodyDiv w:val="1"/>
      <w:marLeft w:val="0"/>
      <w:marRight w:val="0"/>
      <w:marTop w:val="0"/>
      <w:marBottom w:val="0"/>
      <w:divBdr>
        <w:top w:val="none" w:sz="0" w:space="0" w:color="auto"/>
        <w:left w:val="none" w:sz="0" w:space="0" w:color="auto"/>
        <w:bottom w:val="none" w:sz="0" w:space="0" w:color="auto"/>
        <w:right w:val="none" w:sz="0" w:space="0" w:color="auto"/>
      </w:divBdr>
      <w:divsChild>
        <w:div w:id="194732182">
          <w:marLeft w:val="0"/>
          <w:marRight w:val="0"/>
          <w:marTop w:val="0"/>
          <w:marBottom w:val="0"/>
          <w:divBdr>
            <w:top w:val="none" w:sz="0" w:space="0" w:color="auto"/>
            <w:left w:val="none" w:sz="0" w:space="0" w:color="auto"/>
            <w:bottom w:val="dotted" w:sz="6" w:space="4" w:color="DDDDDD"/>
            <w:right w:val="none" w:sz="0" w:space="0" w:color="auto"/>
          </w:divBdr>
        </w:div>
      </w:divsChild>
    </w:div>
    <w:div w:id="298994055">
      <w:bodyDiv w:val="1"/>
      <w:marLeft w:val="0"/>
      <w:marRight w:val="0"/>
      <w:marTop w:val="0"/>
      <w:marBottom w:val="0"/>
      <w:divBdr>
        <w:top w:val="none" w:sz="0" w:space="0" w:color="auto"/>
        <w:left w:val="none" w:sz="0" w:space="0" w:color="auto"/>
        <w:bottom w:val="none" w:sz="0" w:space="0" w:color="auto"/>
        <w:right w:val="none" w:sz="0" w:space="0" w:color="auto"/>
      </w:divBdr>
    </w:div>
    <w:div w:id="299189855">
      <w:bodyDiv w:val="1"/>
      <w:marLeft w:val="0"/>
      <w:marRight w:val="0"/>
      <w:marTop w:val="0"/>
      <w:marBottom w:val="0"/>
      <w:divBdr>
        <w:top w:val="none" w:sz="0" w:space="0" w:color="auto"/>
        <w:left w:val="none" w:sz="0" w:space="0" w:color="auto"/>
        <w:bottom w:val="none" w:sz="0" w:space="0" w:color="auto"/>
        <w:right w:val="none" w:sz="0" w:space="0" w:color="auto"/>
      </w:divBdr>
      <w:divsChild>
        <w:div w:id="634020377">
          <w:marLeft w:val="0"/>
          <w:marRight w:val="0"/>
          <w:marTop w:val="0"/>
          <w:marBottom w:val="0"/>
          <w:divBdr>
            <w:top w:val="single" w:sz="6" w:space="0" w:color="E5E5E5"/>
            <w:left w:val="none" w:sz="0" w:space="0" w:color="auto"/>
            <w:bottom w:val="single" w:sz="18" w:space="0" w:color="000000"/>
            <w:right w:val="none" w:sz="0" w:space="0" w:color="auto"/>
          </w:divBdr>
          <w:divsChild>
            <w:div w:id="33698030">
              <w:marLeft w:val="0"/>
              <w:marRight w:val="0"/>
              <w:marTop w:val="0"/>
              <w:marBottom w:val="0"/>
              <w:divBdr>
                <w:top w:val="none" w:sz="0" w:space="0" w:color="auto"/>
                <w:left w:val="none" w:sz="0" w:space="0" w:color="auto"/>
                <w:bottom w:val="none" w:sz="0" w:space="0" w:color="auto"/>
                <w:right w:val="none" w:sz="0" w:space="0" w:color="auto"/>
              </w:divBdr>
              <w:divsChild>
                <w:div w:id="131873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692767">
          <w:marLeft w:val="0"/>
          <w:marRight w:val="0"/>
          <w:marTop w:val="0"/>
          <w:marBottom w:val="0"/>
          <w:divBdr>
            <w:top w:val="none" w:sz="0" w:space="0" w:color="auto"/>
            <w:left w:val="none" w:sz="0" w:space="0" w:color="auto"/>
            <w:bottom w:val="none" w:sz="0" w:space="0" w:color="auto"/>
            <w:right w:val="none" w:sz="0" w:space="0" w:color="auto"/>
          </w:divBdr>
          <w:divsChild>
            <w:div w:id="1808277311">
              <w:marLeft w:val="0"/>
              <w:marRight w:val="0"/>
              <w:marTop w:val="0"/>
              <w:marBottom w:val="0"/>
              <w:divBdr>
                <w:top w:val="none" w:sz="0" w:space="0" w:color="auto"/>
                <w:left w:val="none" w:sz="0" w:space="0" w:color="auto"/>
                <w:bottom w:val="none" w:sz="0" w:space="0" w:color="auto"/>
                <w:right w:val="none" w:sz="0" w:space="0" w:color="auto"/>
              </w:divBdr>
              <w:divsChild>
                <w:div w:id="1780953921">
                  <w:marLeft w:val="0"/>
                  <w:marRight w:val="0"/>
                  <w:marTop w:val="0"/>
                  <w:marBottom w:val="0"/>
                  <w:divBdr>
                    <w:top w:val="none" w:sz="0" w:space="0" w:color="auto"/>
                    <w:left w:val="none" w:sz="0" w:space="0" w:color="auto"/>
                    <w:bottom w:val="none" w:sz="0" w:space="0" w:color="auto"/>
                    <w:right w:val="none" w:sz="0" w:space="0" w:color="auto"/>
                  </w:divBdr>
                  <w:divsChild>
                    <w:div w:id="753553496">
                      <w:marLeft w:val="0"/>
                      <w:marRight w:val="0"/>
                      <w:marTop w:val="0"/>
                      <w:marBottom w:val="300"/>
                      <w:divBdr>
                        <w:top w:val="none" w:sz="0" w:space="0" w:color="auto"/>
                        <w:left w:val="none" w:sz="0" w:space="0" w:color="auto"/>
                        <w:bottom w:val="none" w:sz="0" w:space="0" w:color="auto"/>
                        <w:right w:val="none" w:sz="0" w:space="0" w:color="auto"/>
                      </w:divBdr>
                      <w:divsChild>
                        <w:div w:id="1437556490">
                          <w:marLeft w:val="0"/>
                          <w:marRight w:val="0"/>
                          <w:marTop w:val="0"/>
                          <w:marBottom w:val="225"/>
                          <w:divBdr>
                            <w:top w:val="single" w:sz="6" w:space="11" w:color="E5E5E5"/>
                            <w:left w:val="single" w:sz="6" w:space="11" w:color="E5E5E5"/>
                            <w:bottom w:val="single" w:sz="6" w:space="1" w:color="E5E5E5"/>
                            <w:right w:val="single" w:sz="6" w:space="11" w:color="E5E5E5"/>
                          </w:divBdr>
                          <w:divsChild>
                            <w:div w:id="192205820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299264410">
      <w:bodyDiv w:val="1"/>
      <w:marLeft w:val="0"/>
      <w:marRight w:val="0"/>
      <w:marTop w:val="0"/>
      <w:marBottom w:val="0"/>
      <w:divBdr>
        <w:top w:val="none" w:sz="0" w:space="0" w:color="auto"/>
        <w:left w:val="none" w:sz="0" w:space="0" w:color="auto"/>
        <w:bottom w:val="none" w:sz="0" w:space="0" w:color="auto"/>
        <w:right w:val="none" w:sz="0" w:space="0" w:color="auto"/>
      </w:divBdr>
    </w:div>
    <w:div w:id="299381195">
      <w:bodyDiv w:val="1"/>
      <w:marLeft w:val="0"/>
      <w:marRight w:val="0"/>
      <w:marTop w:val="0"/>
      <w:marBottom w:val="0"/>
      <w:divBdr>
        <w:top w:val="none" w:sz="0" w:space="0" w:color="auto"/>
        <w:left w:val="none" w:sz="0" w:space="0" w:color="auto"/>
        <w:bottom w:val="none" w:sz="0" w:space="0" w:color="auto"/>
        <w:right w:val="none" w:sz="0" w:space="0" w:color="auto"/>
      </w:divBdr>
    </w:div>
    <w:div w:id="299842846">
      <w:bodyDiv w:val="1"/>
      <w:marLeft w:val="0"/>
      <w:marRight w:val="0"/>
      <w:marTop w:val="0"/>
      <w:marBottom w:val="0"/>
      <w:divBdr>
        <w:top w:val="none" w:sz="0" w:space="0" w:color="auto"/>
        <w:left w:val="none" w:sz="0" w:space="0" w:color="auto"/>
        <w:bottom w:val="none" w:sz="0" w:space="0" w:color="auto"/>
        <w:right w:val="none" w:sz="0" w:space="0" w:color="auto"/>
      </w:divBdr>
      <w:divsChild>
        <w:div w:id="1729307478">
          <w:marLeft w:val="0"/>
          <w:marRight w:val="0"/>
          <w:marTop w:val="0"/>
          <w:marBottom w:val="150"/>
          <w:divBdr>
            <w:top w:val="none" w:sz="0" w:space="0" w:color="auto"/>
            <w:left w:val="none" w:sz="0" w:space="0" w:color="auto"/>
            <w:bottom w:val="none" w:sz="0" w:space="0" w:color="auto"/>
            <w:right w:val="none" w:sz="0" w:space="0" w:color="auto"/>
          </w:divBdr>
        </w:div>
        <w:div w:id="1897545726">
          <w:marLeft w:val="0"/>
          <w:marRight w:val="0"/>
          <w:marTop w:val="0"/>
          <w:marBottom w:val="0"/>
          <w:divBdr>
            <w:top w:val="none" w:sz="0" w:space="0" w:color="auto"/>
            <w:left w:val="none" w:sz="0" w:space="0" w:color="auto"/>
            <w:bottom w:val="none" w:sz="0" w:space="0" w:color="auto"/>
            <w:right w:val="none" w:sz="0" w:space="0" w:color="auto"/>
          </w:divBdr>
        </w:div>
      </w:divsChild>
    </w:div>
    <w:div w:id="300186083">
      <w:bodyDiv w:val="1"/>
      <w:marLeft w:val="0"/>
      <w:marRight w:val="0"/>
      <w:marTop w:val="0"/>
      <w:marBottom w:val="0"/>
      <w:divBdr>
        <w:top w:val="none" w:sz="0" w:space="0" w:color="auto"/>
        <w:left w:val="none" w:sz="0" w:space="0" w:color="auto"/>
        <w:bottom w:val="none" w:sz="0" w:space="0" w:color="auto"/>
        <w:right w:val="none" w:sz="0" w:space="0" w:color="auto"/>
      </w:divBdr>
      <w:divsChild>
        <w:div w:id="1661499614">
          <w:marLeft w:val="0"/>
          <w:marRight w:val="0"/>
          <w:marTop w:val="0"/>
          <w:marBottom w:val="0"/>
          <w:divBdr>
            <w:top w:val="none" w:sz="0" w:space="0" w:color="auto"/>
            <w:left w:val="none" w:sz="0" w:space="0" w:color="auto"/>
            <w:bottom w:val="none" w:sz="0" w:space="0" w:color="auto"/>
            <w:right w:val="none" w:sz="0" w:space="0" w:color="auto"/>
          </w:divBdr>
          <w:divsChild>
            <w:div w:id="11435467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00237603">
      <w:bodyDiv w:val="1"/>
      <w:marLeft w:val="0"/>
      <w:marRight w:val="0"/>
      <w:marTop w:val="0"/>
      <w:marBottom w:val="0"/>
      <w:divBdr>
        <w:top w:val="none" w:sz="0" w:space="0" w:color="auto"/>
        <w:left w:val="none" w:sz="0" w:space="0" w:color="auto"/>
        <w:bottom w:val="none" w:sz="0" w:space="0" w:color="auto"/>
        <w:right w:val="none" w:sz="0" w:space="0" w:color="auto"/>
      </w:divBdr>
      <w:divsChild>
        <w:div w:id="1537306829">
          <w:marLeft w:val="0"/>
          <w:marRight w:val="0"/>
          <w:marTop w:val="0"/>
          <w:marBottom w:val="0"/>
          <w:divBdr>
            <w:top w:val="none" w:sz="0" w:space="0" w:color="auto"/>
            <w:left w:val="none" w:sz="0" w:space="0" w:color="auto"/>
            <w:bottom w:val="dotted" w:sz="6" w:space="4" w:color="DDDDDD"/>
            <w:right w:val="none" w:sz="0" w:space="0" w:color="auto"/>
          </w:divBdr>
        </w:div>
      </w:divsChild>
    </w:div>
    <w:div w:id="300426022">
      <w:bodyDiv w:val="1"/>
      <w:marLeft w:val="0"/>
      <w:marRight w:val="0"/>
      <w:marTop w:val="0"/>
      <w:marBottom w:val="0"/>
      <w:divBdr>
        <w:top w:val="none" w:sz="0" w:space="0" w:color="auto"/>
        <w:left w:val="none" w:sz="0" w:space="0" w:color="auto"/>
        <w:bottom w:val="none" w:sz="0" w:space="0" w:color="auto"/>
        <w:right w:val="none" w:sz="0" w:space="0" w:color="auto"/>
      </w:divBdr>
    </w:div>
    <w:div w:id="300501513">
      <w:bodyDiv w:val="1"/>
      <w:marLeft w:val="0"/>
      <w:marRight w:val="0"/>
      <w:marTop w:val="0"/>
      <w:marBottom w:val="0"/>
      <w:divBdr>
        <w:top w:val="none" w:sz="0" w:space="0" w:color="auto"/>
        <w:left w:val="none" w:sz="0" w:space="0" w:color="auto"/>
        <w:bottom w:val="none" w:sz="0" w:space="0" w:color="auto"/>
        <w:right w:val="none" w:sz="0" w:space="0" w:color="auto"/>
      </w:divBdr>
      <w:divsChild>
        <w:div w:id="1335065994">
          <w:marLeft w:val="0"/>
          <w:marRight w:val="0"/>
          <w:marTop w:val="0"/>
          <w:marBottom w:val="150"/>
          <w:divBdr>
            <w:top w:val="none" w:sz="0" w:space="0" w:color="auto"/>
            <w:left w:val="none" w:sz="0" w:space="0" w:color="auto"/>
            <w:bottom w:val="none" w:sz="0" w:space="0" w:color="auto"/>
            <w:right w:val="none" w:sz="0" w:space="0" w:color="auto"/>
          </w:divBdr>
          <w:divsChild>
            <w:div w:id="1576820948">
              <w:marLeft w:val="0"/>
              <w:marRight w:val="0"/>
              <w:marTop w:val="0"/>
              <w:marBottom w:val="0"/>
              <w:divBdr>
                <w:top w:val="none" w:sz="0" w:space="0" w:color="auto"/>
                <w:left w:val="none" w:sz="0" w:space="0" w:color="auto"/>
                <w:bottom w:val="none" w:sz="0" w:space="0" w:color="auto"/>
                <w:right w:val="none" w:sz="0" w:space="0" w:color="auto"/>
              </w:divBdr>
              <w:divsChild>
                <w:div w:id="2078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563983">
          <w:marLeft w:val="0"/>
          <w:marRight w:val="0"/>
          <w:marTop w:val="0"/>
          <w:marBottom w:val="150"/>
          <w:divBdr>
            <w:top w:val="none" w:sz="0" w:space="0" w:color="auto"/>
            <w:left w:val="none" w:sz="0" w:space="0" w:color="auto"/>
            <w:bottom w:val="none" w:sz="0" w:space="0" w:color="auto"/>
            <w:right w:val="none" w:sz="0" w:space="0" w:color="auto"/>
          </w:divBdr>
        </w:div>
        <w:div w:id="1314482020">
          <w:marLeft w:val="0"/>
          <w:marRight w:val="0"/>
          <w:marTop w:val="0"/>
          <w:marBottom w:val="0"/>
          <w:divBdr>
            <w:top w:val="none" w:sz="0" w:space="0" w:color="auto"/>
            <w:left w:val="none" w:sz="0" w:space="0" w:color="auto"/>
            <w:bottom w:val="none" w:sz="0" w:space="0" w:color="auto"/>
            <w:right w:val="none" w:sz="0" w:space="0" w:color="auto"/>
          </w:divBdr>
          <w:divsChild>
            <w:div w:id="202601202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01036382">
      <w:bodyDiv w:val="1"/>
      <w:marLeft w:val="0"/>
      <w:marRight w:val="0"/>
      <w:marTop w:val="0"/>
      <w:marBottom w:val="0"/>
      <w:divBdr>
        <w:top w:val="none" w:sz="0" w:space="0" w:color="auto"/>
        <w:left w:val="none" w:sz="0" w:space="0" w:color="auto"/>
        <w:bottom w:val="none" w:sz="0" w:space="0" w:color="auto"/>
        <w:right w:val="none" w:sz="0" w:space="0" w:color="auto"/>
      </w:divBdr>
    </w:div>
    <w:div w:id="301160714">
      <w:bodyDiv w:val="1"/>
      <w:marLeft w:val="0"/>
      <w:marRight w:val="0"/>
      <w:marTop w:val="0"/>
      <w:marBottom w:val="0"/>
      <w:divBdr>
        <w:top w:val="none" w:sz="0" w:space="0" w:color="auto"/>
        <w:left w:val="none" w:sz="0" w:space="0" w:color="auto"/>
        <w:bottom w:val="none" w:sz="0" w:space="0" w:color="auto"/>
        <w:right w:val="none" w:sz="0" w:space="0" w:color="auto"/>
      </w:divBdr>
    </w:div>
    <w:div w:id="301160910">
      <w:bodyDiv w:val="1"/>
      <w:marLeft w:val="0"/>
      <w:marRight w:val="0"/>
      <w:marTop w:val="0"/>
      <w:marBottom w:val="0"/>
      <w:divBdr>
        <w:top w:val="none" w:sz="0" w:space="0" w:color="auto"/>
        <w:left w:val="none" w:sz="0" w:space="0" w:color="auto"/>
        <w:bottom w:val="none" w:sz="0" w:space="0" w:color="auto"/>
        <w:right w:val="none" w:sz="0" w:space="0" w:color="auto"/>
      </w:divBdr>
      <w:divsChild>
        <w:div w:id="412748260">
          <w:marLeft w:val="0"/>
          <w:marRight w:val="0"/>
          <w:marTop w:val="0"/>
          <w:marBottom w:val="150"/>
          <w:divBdr>
            <w:top w:val="none" w:sz="0" w:space="0" w:color="auto"/>
            <w:left w:val="none" w:sz="0" w:space="0" w:color="auto"/>
            <w:bottom w:val="none" w:sz="0" w:space="0" w:color="auto"/>
            <w:right w:val="none" w:sz="0" w:space="0" w:color="auto"/>
          </w:divBdr>
        </w:div>
        <w:div w:id="1743479699">
          <w:marLeft w:val="0"/>
          <w:marRight w:val="0"/>
          <w:marTop w:val="0"/>
          <w:marBottom w:val="0"/>
          <w:divBdr>
            <w:top w:val="none" w:sz="0" w:space="0" w:color="auto"/>
            <w:left w:val="none" w:sz="0" w:space="0" w:color="auto"/>
            <w:bottom w:val="none" w:sz="0" w:space="0" w:color="auto"/>
            <w:right w:val="none" w:sz="0" w:space="0" w:color="auto"/>
          </w:divBdr>
        </w:div>
      </w:divsChild>
    </w:div>
    <w:div w:id="301427614">
      <w:bodyDiv w:val="1"/>
      <w:marLeft w:val="0"/>
      <w:marRight w:val="0"/>
      <w:marTop w:val="0"/>
      <w:marBottom w:val="0"/>
      <w:divBdr>
        <w:top w:val="none" w:sz="0" w:space="0" w:color="auto"/>
        <w:left w:val="none" w:sz="0" w:space="0" w:color="auto"/>
        <w:bottom w:val="none" w:sz="0" w:space="0" w:color="auto"/>
        <w:right w:val="none" w:sz="0" w:space="0" w:color="auto"/>
      </w:divBdr>
    </w:div>
    <w:div w:id="301734896">
      <w:bodyDiv w:val="1"/>
      <w:marLeft w:val="0"/>
      <w:marRight w:val="0"/>
      <w:marTop w:val="0"/>
      <w:marBottom w:val="0"/>
      <w:divBdr>
        <w:top w:val="none" w:sz="0" w:space="0" w:color="auto"/>
        <w:left w:val="none" w:sz="0" w:space="0" w:color="auto"/>
        <w:bottom w:val="none" w:sz="0" w:space="0" w:color="auto"/>
        <w:right w:val="none" w:sz="0" w:space="0" w:color="auto"/>
      </w:divBdr>
      <w:divsChild>
        <w:div w:id="231891311">
          <w:marLeft w:val="0"/>
          <w:marRight w:val="0"/>
          <w:marTop w:val="0"/>
          <w:marBottom w:val="0"/>
          <w:divBdr>
            <w:top w:val="none" w:sz="0" w:space="0" w:color="auto"/>
            <w:left w:val="none" w:sz="0" w:space="0" w:color="auto"/>
            <w:bottom w:val="none" w:sz="0" w:space="0" w:color="auto"/>
            <w:right w:val="none" w:sz="0" w:space="0" w:color="auto"/>
          </w:divBdr>
          <w:divsChild>
            <w:div w:id="820730196">
              <w:marLeft w:val="-225"/>
              <w:marRight w:val="-225"/>
              <w:marTop w:val="0"/>
              <w:marBottom w:val="0"/>
              <w:divBdr>
                <w:top w:val="none" w:sz="0" w:space="0" w:color="auto"/>
                <w:left w:val="none" w:sz="0" w:space="0" w:color="auto"/>
                <w:bottom w:val="none" w:sz="0" w:space="0" w:color="auto"/>
                <w:right w:val="none" w:sz="0" w:space="0" w:color="auto"/>
              </w:divBdr>
              <w:divsChild>
                <w:div w:id="14339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78025">
          <w:marLeft w:val="0"/>
          <w:marRight w:val="0"/>
          <w:marTop w:val="0"/>
          <w:marBottom w:val="0"/>
          <w:divBdr>
            <w:top w:val="none" w:sz="0" w:space="0" w:color="auto"/>
            <w:left w:val="none" w:sz="0" w:space="0" w:color="auto"/>
            <w:bottom w:val="none" w:sz="0" w:space="0" w:color="auto"/>
            <w:right w:val="none" w:sz="0" w:space="0" w:color="auto"/>
          </w:divBdr>
        </w:div>
      </w:divsChild>
    </w:div>
    <w:div w:id="302125567">
      <w:bodyDiv w:val="1"/>
      <w:marLeft w:val="0"/>
      <w:marRight w:val="0"/>
      <w:marTop w:val="0"/>
      <w:marBottom w:val="0"/>
      <w:divBdr>
        <w:top w:val="none" w:sz="0" w:space="0" w:color="auto"/>
        <w:left w:val="none" w:sz="0" w:space="0" w:color="auto"/>
        <w:bottom w:val="none" w:sz="0" w:space="0" w:color="auto"/>
        <w:right w:val="none" w:sz="0" w:space="0" w:color="auto"/>
      </w:divBdr>
    </w:div>
    <w:div w:id="302202746">
      <w:bodyDiv w:val="1"/>
      <w:marLeft w:val="0"/>
      <w:marRight w:val="0"/>
      <w:marTop w:val="0"/>
      <w:marBottom w:val="0"/>
      <w:divBdr>
        <w:top w:val="none" w:sz="0" w:space="0" w:color="auto"/>
        <w:left w:val="none" w:sz="0" w:space="0" w:color="auto"/>
        <w:bottom w:val="none" w:sz="0" w:space="0" w:color="auto"/>
        <w:right w:val="none" w:sz="0" w:space="0" w:color="auto"/>
      </w:divBdr>
      <w:divsChild>
        <w:div w:id="549539899">
          <w:marLeft w:val="0"/>
          <w:marRight w:val="0"/>
          <w:marTop w:val="0"/>
          <w:marBottom w:val="0"/>
          <w:divBdr>
            <w:top w:val="none" w:sz="0" w:space="0" w:color="auto"/>
            <w:left w:val="none" w:sz="0" w:space="0" w:color="auto"/>
            <w:bottom w:val="none" w:sz="0" w:space="0" w:color="auto"/>
            <w:right w:val="none" w:sz="0" w:space="0" w:color="auto"/>
          </w:divBdr>
          <w:divsChild>
            <w:div w:id="11937690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02346521">
      <w:bodyDiv w:val="1"/>
      <w:marLeft w:val="0"/>
      <w:marRight w:val="0"/>
      <w:marTop w:val="0"/>
      <w:marBottom w:val="0"/>
      <w:divBdr>
        <w:top w:val="none" w:sz="0" w:space="0" w:color="auto"/>
        <w:left w:val="none" w:sz="0" w:space="0" w:color="auto"/>
        <w:bottom w:val="none" w:sz="0" w:space="0" w:color="auto"/>
        <w:right w:val="none" w:sz="0" w:space="0" w:color="auto"/>
      </w:divBdr>
    </w:div>
    <w:div w:id="302734484">
      <w:bodyDiv w:val="1"/>
      <w:marLeft w:val="0"/>
      <w:marRight w:val="0"/>
      <w:marTop w:val="0"/>
      <w:marBottom w:val="0"/>
      <w:divBdr>
        <w:top w:val="none" w:sz="0" w:space="0" w:color="auto"/>
        <w:left w:val="none" w:sz="0" w:space="0" w:color="auto"/>
        <w:bottom w:val="none" w:sz="0" w:space="0" w:color="auto"/>
        <w:right w:val="none" w:sz="0" w:space="0" w:color="auto"/>
      </w:divBdr>
      <w:divsChild>
        <w:div w:id="679967556">
          <w:marLeft w:val="0"/>
          <w:marRight w:val="0"/>
          <w:marTop w:val="0"/>
          <w:marBottom w:val="0"/>
          <w:divBdr>
            <w:top w:val="none" w:sz="0" w:space="0" w:color="auto"/>
            <w:left w:val="none" w:sz="0" w:space="0" w:color="auto"/>
            <w:bottom w:val="dotted" w:sz="6" w:space="4" w:color="DDDDDD"/>
            <w:right w:val="none" w:sz="0" w:space="0" w:color="auto"/>
          </w:divBdr>
        </w:div>
      </w:divsChild>
    </w:div>
    <w:div w:id="302776979">
      <w:bodyDiv w:val="1"/>
      <w:marLeft w:val="0"/>
      <w:marRight w:val="0"/>
      <w:marTop w:val="0"/>
      <w:marBottom w:val="0"/>
      <w:divBdr>
        <w:top w:val="none" w:sz="0" w:space="0" w:color="auto"/>
        <w:left w:val="none" w:sz="0" w:space="0" w:color="auto"/>
        <w:bottom w:val="none" w:sz="0" w:space="0" w:color="auto"/>
        <w:right w:val="none" w:sz="0" w:space="0" w:color="auto"/>
      </w:divBdr>
      <w:divsChild>
        <w:div w:id="66732613">
          <w:marLeft w:val="0"/>
          <w:marRight w:val="0"/>
          <w:marTop w:val="0"/>
          <w:marBottom w:val="150"/>
          <w:divBdr>
            <w:top w:val="none" w:sz="0" w:space="0" w:color="auto"/>
            <w:left w:val="none" w:sz="0" w:space="0" w:color="auto"/>
            <w:bottom w:val="none" w:sz="0" w:space="0" w:color="auto"/>
            <w:right w:val="none" w:sz="0" w:space="0" w:color="auto"/>
          </w:divBdr>
        </w:div>
      </w:divsChild>
    </w:div>
    <w:div w:id="302851653">
      <w:bodyDiv w:val="1"/>
      <w:marLeft w:val="0"/>
      <w:marRight w:val="0"/>
      <w:marTop w:val="0"/>
      <w:marBottom w:val="0"/>
      <w:divBdr>
        <w:top w:val="none" w:sz="0" w:space="0" w:color="auto"/>
        <w:left w:val="none" w:sz="0" w:space="0" w:color="auto"/>
        <w:bottom w:val="none" w:sz="0" w:space="0" w:color="auto"/>
        <w:right w:val="none" w:sz="0" w:space="0" w:color="auto"/>
      </w:divBdr>
    </w:div>
    <w:div w:id="302856056">
      <w:bodyDiv w:val="1"/>
      <w:marLeft w:val="0"/>
      <w:marRight w:val="0"/>
      <w:marTop w:val="0"/>
      <w:marBottom w:val="0"/>
      <w:divBdr>
        <w:top w:val="none" w:sz="0" w:space="0" w:color="auto"/>
        <w:left w:val="none" w:sz="0" w:space="0" w:color="auto"/>
        <w:bottom w:val="none" w:sz="0" w:space="0" w:color="auto"/>
        <w:right w:val="none" w:sz="0" w:space="0" w:color="auto"/>
      </w:divBdr>
      <w:divsChild>
        <w:div w:id="1228804861">
          <w:marLeft w:val="0"/>
          <w:marRight w:val="0"/>
          <w:marTop w:val="0"/>
          <w:marBottom w:val="0"/>
          <w:divBdr>
            <w:top w:val="none" w:sz="0" w:space="0" w:color="auto"/>
            <w:left w:val="none" w:sz="0" w:space="0" w:color="auto"/>
            <w:bottom w:val="none" w:sz="0" w:space="0" w:color="auto"/>
            <w:right w:val="none" w:sz="0" w:space="0" w:color="auto"/>
          </w:divBdr>
        </w:div>
      </w:divsChild>
    </w:div>
    <w:div w:id="303505890">
      <w:bodyDiv w:val="1"/>
      <w:marLeft w:val="0"/>
      <w:marRight w:val="0"/>
      <w:marTop w:val="0"/>
      <w:marBottom w:val="0"/>
      <w:divBdr>
        <w:top w:val="none" w:sz="0" w:space="0" w:color="auto"/>
        <w:left w:val="none" w:sz="0" w:space="0" w:color="auto"/>
        <w:bottom w:val="none" w:sz="0" w:space="0" w:color="auto"/>
        <w:right w:val="none" w:sz="0" w:space="0" w:color="auto"/>
      </w:divBdr>
      <w:divsChild>
        <w:div w:id="1941987672">
          <w:marLeft w:val="0"/>
          <w:marRight w:val="0"/>
          <w:marTop w:val="0"/>
          <w:marBottom w:val="0"/>
          <w:divBdr>
            <w:top w:val="none" w:sz="0" w:space="0" w:color="auto"/>
            <w:left w:val="none" w:sz="0" w:space="0" w:color="auto"/>
            <w:bottom w:val="none" w:sz="0" w:space="0" w:color="auto"/>
            <w:right w:val="none" w:sz="0" w:space="0" w:color="auto"/>
          </w:divBdr>
        </w:div>
      </w:divsChild>
    </w:div>
    <w:div w:id="303628331">
      <w:bodyDiv w:val="1"/>
      <w:marLeft w:val="0"/>
      <w:marRight w:val="0"/>
      <w:marTop w:val="0"/>
      <w:marBottom w:val="0"/>
      <w:divBdr>
        <w:top w:val="none" w:sz="0" w:space="0" w:color="auto"/>
        <w:left w:val="none" w:sz="0" w:space="0" w:color="auto"/>
        <w:bottom w:val="none" w:sz="0" w:space="0" w:color="auto"/>
        <w:right w:val="none" w:sz="0" w:space="0" w:color="auto"/>
      </w:divBdr>
      <w:divsChild>
        <w:div w:id="53743804">
          <w:marLeft w:val="0"/>
          <w:marRight w:val="0"/>
          <w:marTop w:val="0"/>
          <w:marBottom w:val="0"/>
          <w:divBdr>
            <w:top w:val="none" w:sz="0" w:space="0" w:color="auto"/>
            <w:left w:val="none" w:sz="0" w:space="0" w:color="auto"/>
            <w:bottom w:val="none" w:sz="0" w:space="0" w:color="auto"/>
            <w:right w:val="none" w:sz="0" w:space="0" w:color="auto"/>
          </w:divBdr>
          <w:divsChild>
            <w:div w:id="1748920864">
              <w:marLeft w:val="0"/>
              <w:marRight w:val="0"/>
              <w:marTop w:val="0"/>
              <w:marBottom w:val="0"/>
              <w:divBdr>
                <w:top w:val="none" w:sz="0" w:space="0" w:color="auto"/>
                <w:left w:val="none" w:sz="0" w:space="0" w:color="auto"/>
                <w:bottom w:val="none" w:sz="0" w:space="0" w:color="auto"/>
                <w:right w:val="none" w:sz="0" w:space="0" w:color="auto"/>
              </w:divBdr>
              <w:divsChild>
                <w:div w:id="574170464">
                  <w:marLeft w:val="0"/>
                  <w:marRight w:val="0"/>
                  <w:marTop w:val="0"/>
                  <w:marBottom w:val="0"/>
                  <w:divBdr>
                    <w:top w:val="none" w:sz="0" w:space="0" w:color="auto"/>
                    <w:left w:val="none" w:sz="0" w:space="0" w:color="auto"/>
                    <w:bottom w:val="none" w:sz="0" w:space="0" w:color="auto"/>
                    <w:right w:val="none" w:sz="0" w:space="0" w:color="auto"/>
                  </w:divBdr>
                  <w:divsChild>
                    <w:div w:id="209921975">
                      <w:marLeft w:val="0"/>
                      <w:marRight w:val="0"/>
                      <w:marTop w:val="0"/>
                      <w:marBottom w:val="0"/>
                      <w:divBdr>
                        <w:top w:val="none" w:sz="0" w:space="0" w:color="auto"/>
                        <w:left w:val="none" w:sz="0" w:space="0" w:color="auto"/>
                        <w:bottom w:val="none" w:sz="0" w:space="0" w:color="auto"/>
                        <w:right w:val="none" w:sz="0" w:space="0" w:color="auto"/>
                      </w:divBdr>
                      <w:divsChild>
                        <w:div w:id="1352075201">
                          <w:marLeft w:val="0"/>
                          <w:marRight w:val="0"/>
                          <w:marTop w:val="0"/>
                          <w:marBottom w:val="0"/>
                          <w:divBdr>
                            <w:top w:val="none" w:sz="0" w:space="0" w:color="auto"/>
                            <w:left w:val="none" w:sz="0" w:space="0" w:color="auto"/>
                            <w:bottom w:val="none" w:sz="0" w:space="0" w:color="auto"/>
                            <w:right w:val="none" w:sz="0" w:space="0" w:color="auto"/>
                          </w:divBdr>
                          <w:divsChild>
                            <w:div w:id="988442263">
                              <w:marLeft w:val="0"/>
                              <w:marRight w:val="0"/>
                              <w:marTop w:val="0"/>
                              <w:marBottom w:val="0"/>
                              <w:divBdr>
                                <w:top w:val="none" w:sz="0" w:space="0" w:color="auto"/>
                                <w:left w:val="none" w:sz="0" w:space="0" w:color="auto"/>
                                <w:bottom w:val="none" w:sz="0" w:space="0" w:color="auto"/>
                                <w:right w:val="none" w:sz="0" w:space="0" w:color="auto"/>
                              </w:divBdr>
                              <w:divsChild>
                                <w:div w:id="29885685">
                                  <w:marLeft w:val="0"/>
                                  <w:marRight w:val="0"/>
                                  <w:marTop w:val="0"/>
                                  <w:marBottom w:val="0"/>
                                  <w:divBdr>
                                    <w:top w:val="none" w:sz="0" w:space="0" w:color="auto"/>
                                    <w:left w:val="none" w:sz="0" w:space="0" w:color="auto"/>
                                    <w:bottom w:val="none" w:sz="0" w:space="0" w:color="auto"/>
                                    <w:right w:val="none" w:sz="0" w:space="0" w:color="auto"/>
                                  </w:divBdr>
                                  <w:divsChild>
                                    <w:div w:id="5834045">
                                      <w:marLeft w:val="0"/>
                                      <w:marRight w:val="0"/>
                                      <w:marTop w:val="0"/>
                                      <w:marBottom w:val="0"/>
                                      <w:divBdr>
                                        <w:top w:val="none" w:sz="0" w:space="0" w:color="auto"/>
                                        <w:left w:val="none" w:sz="0" w:space="0" w:color="auto"/>
                                        <w:bottom w:val="none" w:sz="0" w:space="0" w:color="auto"/>
                                        <w:right w:val="none" w:sz="0" w:space="0" w:color="auto"/>
                                      </w:divBdr>
                                      <w:divsChild>
                                        <w:div w:id="207103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4550938">
      <w:bodyDiv w:val="1"/>
      <w:marLeft w:val="0"/>
      <w:marRight w:val="0"/>
      <w:marTop w:val="0"/>
      <w:marBottom w:val="0"/>
      <w:divBdr>
        <w:top w:val="none" w:sz="0" w:space="0" w:color="auto"/>
        <w:left w:val="none" w:sz="0" w:space="0" w:color="auto"/>
        <w:bottom w:val="none" w:sz="0" w:space="0" w:color="auto"/>
        <w:right w:val="none" w:sz="0" w:space="0" w:color="auto"/>
      </w:divBdr>
      <w:divsChild>
        <w:div w:id="262106273">
          <w:marLeft w:val="0"/>
          <w:marRight w:val="0"/>
          <w:marTop w:val="0"/>
          <w:marBottom w:val="0"/>
          <w:divBdr>
            <w:top w:val="none" w:sz="0" w:space="8" w:color="auto"/>
            <w:left w:val="none" w:sz="0" w:space="2" w:color="auto"/>
            <w:bottom w:val="single" w:sz="6" w:space="8" w:color="DDDDDD"/>
            <w:right w:val="none" w:sz="0" w:space="0" w:color="auto"/>
          </w:divBdr>
        </w:div>
        <w:div w:id="918490173">
          <w:marLeft w:val="0"/>
          <w:marRight w:val="0"/>
          <w:marTop w:val="150"/>
          <w:marBottom w:val="0"/>
          <w:divBdr>
            <w:top w:val="none" w:sz="0" w:space="0" w:color="auto"/>
            <w:left w:val="none" w:sz="0" w:space="0" w:color="auto"/>
            <w:bottom w:val="none" w:sz="0" w:space="0" w:color="auto"/>
            <w:right w:val="none" w:sz="0" w:space="0" w:color="auto"/>
          </w:divBdr>
          <w:divsChild>
            <w:div w:id="31923543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304816083">
      <w:bodyDiv w:val="1"/>
      <w:marLeft w:val="0"/>
      <w:marRight w:val="0"/>
      <w:marTop w:val="0"/>
      <w:marBottom w:val="0"/>
      <w:divBdr>
        <w:top w:val="none" w:sz="0" w:space="0" w:color="auto"/>
        <w:left w:val="none" w:sz="0" w:space="0" w:color="auto"/>
        <w:bottom w:val="none" w:sz="0" w:space="0" w:color="auto"/>
        <w:right w:val="none" w:sz="0" w:space="0" w:color="auto"/>
      </w:divBdr>
      <w:divsChild>
        <w:div w:id="166480805">
          <w:marLeft w:val="0"/>
          <w:marRight w:val="0"/>
          <w:marTop w:val="0"/>
          <w:marBottom w:val="0"/>
          <w:divBdr>
            <w:top w:val="none" w:sz="0" w:space="0" w:color="auto"/>
            <w:left w:val="none" w:sz="0" w:space="0" w:color="auto"/>
            <w:bottom w:val="dotted" w:sz="6" w:space="4" w:color="DDDDDD"/>
            <w:right w:val="none" w:sz="0" w:space="0" w:color="auto"/>
          </w:divBdr>
          <w:divsChild>
            <w:div w:id="178265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401420">
      <w:bodyDiv w:val="1"/>
      <w:marLeft w:val="0"/>
      <w:marRight w:val="0"/>
      <w:marTop w:val="0"/>
      <w:marBottom w:val="0"/>
      <w:divBdr>
        <w:top w:val="none" w:sz="0" w:space="0" w:color="auto"/>
        <w:left w:val="none" w:sz="0" w:space="0" w:color="auto"/>
        <w:bottom w:val="none" w:sz="0" w:space="0" w:color="auto"/>
        <w:right w:val="none" w:sz="0" w:space="0" w:color="auto"/>
      </w:divBdr>
      <w:divsChild>
        <w:div w:id="1768193864">
          <w:marLeft w:val="0"/>
          <w:marRight w:val="0"/>
          <w:marTop w:val="0"/>
          <w:marBottom w:val="0"/>
          <w:divBdr>
            <w:top w:val="none" w:sz="0" w:space="0" w:color="auto"/>
            <w:left w:val="none" w:sz="0" w:space="0" w:color="auto"/>
            <w:bottom w:val="dotted" w:sz="6" w:space="4" w:color="DDDDDD"/>
            <w:right w:val="none" w:sz="0" w:space="0" w:color="auto"/>
          </w:divBdr>
          <w:divsChild>
            <w:div w:id="172008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623129">
      <w:bodyDiv w:val="1"/>
      <w:marLeft w:val="0"/>
      <w:marRight w:val="0"/>
      <w:marTop w:val="0"/>
      <w:marBottom w:val="0"/>
      <w:divBdr>
        <w:top w:val="none" w:sz="0" w:space="0" w:color="auto"/>
        <w:left w:val="none" w:sz="0" w:space="0" w:color="auto"/>
        <w:bottom w:val="none" w:sz="0" w:space="0" w:color="auto"/>
        <w:right w:val="none" w:sz="0" w:space="0" w:color="auto"/>
      </w:divBdr>
      <w:divsChild>
        <w:div w:id="961107387">
          <w:marLeft w:val="0"/>
          <w:marRight w:val="0"/>
          <w:marTop w:val="0"/>
          <w:marBottom w:val="0"/>
          <w:divBdr>
            <w:top w:val="none" w:sz="0" w:space="0" w:color="auto"/>
            <w:left w:val="none" w:sz="0" w:space="0" w:color="auto"/>
            <w:bottom w:val="none" w:sz="0" w:space="0" w:color="auto"/>
            <w:right w:val="none" w:sz="0" w:space="0" w:color="auto"/>
          </w:divBdr>
          <w:divsChild>
            <w:div w:id="1131479118">
              <w:marLeft w:val="0"/>
              <w:marRight w:val="0"/>
              <w:marTop w:val="0"/>
              <w:marBottom w:val="0"/>
              <w:divBdr>
                <w:top w:val="none" w:sz="0" w:space="0" w:color="auto"/>
                <w:left w:val="none" w:sz="0" w:space="0" w:color="auto"/>
                <w:bottom w:val="none" w:sz="0" w:space="0" w:color="auto"/>
                <w:right w:val="none" w:sz="0" w:space="0" w:color="auto"/>
              </w:divBdr>
              <w:divsChild>
                <w:div w:id="341587016">
                  <w:marLeft w:val="0"/>
                  <w:marRight w:val="0"/>
                  <w:marTop w:val="0"/>
                  <w:marBottom w:val="0"/>
                  <w:divBdr>
                    <w:top w:val="none" w:sz="0" w:space="0" w:color="auto"/>
                    <w:left w:val="none" w:sz="0" w:space="0" w:color="auto"/>
                    <w:bottom w:val="none" w:sz="0" w:space="0" w:color="auto"/>
                    <w:right w:val="none" w:sz="0" w:space="0" w:color="auto"/>
                  </w:divBdr>
                  <w:divsChild>
                    <w:div w:id="2122524879">
                      <w:marLeft w:val="0"/>
                      <w:marRight w:val="0"/>
                      <w:marTop w:val="0"/>
                      <w:marBottom w:val="0"/>
                      <w:divBdr>
                        <w:top w:val="none" w:sz="0" w:space="0" w:color="auto"/>
                        <w:left w:val="none" w:sz="0" w:space="0" w:color="auto"/>
                        <w:bottom w:val="none" w:sz="0" w:space="0" w:color="auto"/>
                        <w:right w:val="none" w:sz="0" w:space="0" w:color="auto"/>
                      </w:divBdr>
                      <w:divsChild>
                        <w:div w:id="1139344534">
                          <w:marLeft w:val="0"/>
                          <w:marRight w:val="0"/>
                          <w:marTop w:val="0"/>
                          <w:marBottom w:val="0"/>
                          <w:divBdr>
                            <w:top w:val="none" w:sz="0" w:space="0" w:color="auto"/>
                            <w:left w:val="none" w:sz="0" w:space="0" w:color="auto"/>
                            <w:bottom w:val="none" w:sz="0" w:space="0" w:color="auto"/>
                            <w:right w:val="none" w:sz="0" w:space="0" w:color="auto"/>
                          </w:divBdr>
                          <w:divsChild>
                            <w:div w:id="766345043">
                              <w:marLeft w:val="0"/>
                              <w:marRight w:val="0"/>
                              <w:marTop w:val="0"/>
                              <w:marBottom w:val="0"/>
                              <w:divBdr>
                                <w:top w:val="none" w:sz="0" w:space="0" w:color="auto"/>
                                <w:left w:val="none" w:sz="0" w:space="0" w:color="auto"/>
                                <w:bottom w:val="none" w:sz="0" w:space="0" w:color="auto"/>
                                <w:right w:val="none" w:sz="0" w:space="0" w:color="auto"/>
                              </w:divBdr>
                              <w:divsChild>
                                <w:div w:id="20683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5745493">
      <w:bodyDiv w:val="1"/>
      <w:marLeft w:val="0"/>
      <w:marRight w:val="0"/>
      <w:marTop w:val="0"/>
      <w:marBottom w:val="0"/>
      <w:divBdr>
        <w:top w:val="none" w:sz="0" w:space="0" w:color="auto"/>
        <w:left w:val="none" w:sz="0" w:space="0" w:color="auto"/>
        <w:bottom w:val="none" w:sz="0" w:space="0" w:color="auto"/>
        <w:right w:val="none" w:sz="0" w:space="0" w:color="auto"/>
      </w:divBdr>
      <w:divsChild>
        <w:div w:id="590741746">
          <w:marLeft w:val="0"/>
          <w:marRight w:val="0"/>
          <w:marTop w:val="0"/>
          <w:marBottom w:val="150"/>
          <w:divBdr>
            <w:top w:val="none" w:sz="0" w:space="0" w:color="auto"/>
            <w:left w:val="none" w:sz="0" w:space="0" w:color="auto"/>
            <w:bottom w:val="none" w:sz="0" w:space="0" w:color="auto"/>
            <w:right w:val="none" w:sz="0" w:space="0" w:color="auto"/>
          </w:divBdr>
        </w:div>
        <w:div w:id="730427544">
          <w:marLeft w:val="0"/>
          <w:marRight w:val="0"/>
          <w:marTop w:val="0"/>
          <w:marBottom w:val="0"/>
          <w:divBdr>
            <w:top w:val="none" w:sz="0" w:space="0" w:color="auto"/>
            <w:left w:val="none" w:sz="0" w:space="0" w:color="auto"/>
            <w:bottom w:val="none" w:sz="0" w:space="0" w:color="auto"/>
            <w:right w:val="none" w:sz="0" w:space="0" w:color="auto"/>
          </w:divBdr>
          <w:divsChild>
            <w:div w:id="30111747">
              <w:marLeft w:val="0"/>
              <w:marRight w:val="0"/>
              <w:marTop w:val="0"/>
              <w:marBottom w:val="0"/>
              <w:divBdr>
                <w:top w:val="none" w:sz="0" w:space="0" w:color="auto"/>
                <w:left w:val="none" w:sz="0" w:space="0" w:color="auto"/>
                <w:bottom w:val="none" w:sz="0" w:space="0" w:color="auto"/>
                <w:right w:val="none" w:sz="0" w:space="0" w:color="auto"/>
              </w:divBdr>
            </w:div>
          </w:divsChild>
        </w:div>
        <w:div w:id="772632888">
          <w:marLeft w:val="0"/>
          <w:marRight w:val="0"/>
          <w:marTop w:val="0"/>
          <w:marBottom w:val="150"/>
          <w:divBdr>
            <w:top w:val="none" w:sz="0" w:space="0" w:color="auto"/>
            <w:left w:val="none" w:sz="0" w:space="0" w:color="auto"/>
            <w:bottom w:val="none" w:sz="0" w:space="0" w:color="auto"/>
            <w:right w:val="none" w:sz="0" w:space="0" w:color="auto"/>
          </w:divBdr>
          <w:divsChild>
            <w:div w:id="161652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746121">
      <w:bodyDiv w:val="1"/>
      <w:marLeft w:val="0"/>
      <w:marRight w:val="0"/>
      <w:marTop w:val="0"/>
      <w:marBottom w:val="0"/>
      <w:divBdr>
        <w:top w:val="none" w:sz="0" w:space="0" w:color="auto"/>
        <w:left w:val="none" w:sz="0" w:space="0" w:color="auto"/>
        <w:bottom w:val="none" w:sz="0" w:space="0" w:color="auto"/>
        <w:right w:val="none" w:sz="0" w:space="0" w:color="auto"/>
      </w:divBdr>
      <w:divsChild>
        <w:div w:id="1283077094">
          <w:marLeft w:val="0"/>
          <w:marRight w:val="0"/>
          <w:marTop w:val="0"/>
          <w:marBottom w:val="0"/>
          <w:divBdr>
            <w:top w:val="none" w:sz="0" w:space="0" w:color="auto"/>
            <w:left w:val="none" w:sz="0" w:space="0" w:color="auto"/>
            <w:bottom w:val="dotted" w:sz="6" w:space="4" w:color="DDDDDD"/>
            <w:right w:val="none" w:sz="0" w:space="0" w:color="auto"/>
          </w:divBdr>
        </w:div>
      </w:divsChild>
    </w:div>
    <w:div w:id="306013327">
      <w:bodyDiv w:val="1"/>
      <w:marLeft w:val="0"/>
      <w:marRight w:val="0"/>
      <w:marTop w:val="0"/>
      <w:marBottom w:val="0"/>
      <w:divBdr>
        <w:top w:val="none" w:sz="0" w:space="0" w:color="auto"/>
        <w:left w:val="none" w:sz="0" w:space="0" w:color="auto"/>
        <w:bottom w:val="none" w:sz="0" w:space="0" w:color="auto"/>
        <w:right w:val="none" w:sz="0" w:space="0" w:color="auto"/>
      </w:divBdr>
    </w:div>
    <w:div w:id="306056403">
      <w:bodyDiv w:val="1"/>
      <w:marLeft w:val="0"/>
      <w:marRight w:val="0"/>
      <w:marTop w:val="0"/>
      <w:marBottom w:val="0"/>
      <w:divBdr>
        <w:top w:val="none" w:sz="0" w:space="0" w:color="auto"/>
        <w:left w:val="none" w:sz="0" w:space="0" w:color="auto"/>
        <w:bottom w:val="none" w:sz="0" w:space="0" w:color="auto"/>
        <w:right w:val="none" w:sz="0" w:space="0" w:color="auto"/>
      </w:divBdr>
      <w:divsChild>
        <w:div w:id="605045286">
          <w:marLeft w:val="0"/>
          <w:marRight w:val="0"/>
          <w:marTop w:val="0"/>
          <w:marBottom w:val="150"/>
          <w:divBdr>
            <w:top w:val="none" w:sz="0" w:space="0" w:color="auto"/>
            <w:left w:val="none" w:sz="0" w:space="0" w:color="auto"/>
            <w:bottom w:val="none" w:sz="0" w:space="0" w:color="auto"/>
            <w:right w:val="none" w:sz="0" w:space="0" w:color="auto"/>
          </w:divBdr>
        </w:div>
        <w:div w:id="1247616116">
          <w:marLeft w:val="0"/>
          <w:marRight w:val="0"/>
          <w:marTop w:val="0"/>
          <w:marBottom w:val="0"/>
          <w:divBdr>
            <w:top w:val="none" w:sz="0" w:space="0" w:color="auto"/>
            <w:left w:val="none" w:sz="0" w:space="0" w:color="auto"/>
            <w:bottom w:val="none" w:sz="0" w:space="0" w:color="auto"/>
            <w:right w:val="none" w:sz="0" w:space="0" w:color="auto"/>
          </w:divBdr>
        </w:div>
      </w:divsChild>
    </w:div>
    <w:div w:id="306133629">
      <w:bodyDiv w:val="1"/>
      <w:marLeft w:val="0"/>
      <w:marRight w:val="0"/>
      <w:marTop w:val="0"/>
      <w:marBottom w:val="0"/>
      <w:divBdr>
        <w:top w:val="none" w:sz="0" w:space="0" w:color="auto"/>
        <w:left w:val="none" w:sz="0" w:space="0" w:color="auto"/>
        <w:bottom w:val="none" w:sz="0" w:space="0" w:color="auto"/>
        <w:right w:val="none" w:sz="0" w:space="0" w:color="auto"/>
      </w:divBdr>
    </w:div>
    <w:div w:id="306323358">
      <w:bodyDiv w:val="1"/>
      <w:marLeft w:val="0"/>
      <w:marRight w:val="0"/>
      <w:marTop w:val="0"/>
      <w:marBottom w:val="0"/>
      <w:divBdr>
        <w:top w:val="none" w:sz="0" w:space="0" w:color="auto"/>
        <w:left w:val="none" w:sz="0" w:space="0" w:color="auto"/>
        <w:bottom w:val="none" w:sz="0" w:space="0" w:color="auto"/>
        <w:right w:val="none" w:sz="0" w:space="0" w:color="auto"/>
      </w:divBdr>
      <w:divsChild>
        <w:div w:id="1429816972">
          <w:marLeft w:val="0"/>
          <w:marRight w:val="0"/>
          <w:marTop w:val="0"/>
          <w:marBottom w:val="0"/>
          <w:divBdr>
            <w:top w:val="none" w:sz="0" w:space="0" w:color="auto"/>
            <w:left w:val="none" w:sz="0" w:space="0" w:color="auto"/>
            <w:bottom w:val="none" w:sz="0" w:space="0" w:color="auto"/>
            <w:right w:val="none" w:sz="0" w:space="0" w:color="auto"/>
          </w:divBdr>
        </w:div>
      </w:divsChild>
    </w:div>
    <w:div w:id="306671254">
      <w:bodyDiv w:val="1"/>
      <w:marLeft w:val="0"/>
      <w:marRight w:val="0"/>
      <w:marTop w:val="0"/>
      <w:marBottom w:val="0"/>
      <w:divBdr>
        <w:top w:val="none" w:sz="0" w:space="0" w:color="auto"/>
        <w:left w:val="none" w:sz="0" w:space="0" w:color="auto"/>
        <w:bottom w:val="none" w:sz="0" w:space="0" w:color="auto"/>
        <w:right w:val="none" w:sz="0" w:space="0" w:color="auto"/>
      </w:divBdr>
      <w:divsChild>
        <w:div w:id="318265280">
          <w:marLeft w:val="0"/>
          <w:marRight w:val="0"/>
          <w:marTop w:val="0"/>
          <w:marBottom w:val="0"/>
          <w:divBdr>
            <w:top w:val="none" w:sz="0" w:space="0" w:color="auto"/>
            <w:left w:val="none" w:sz="0" w:space="0" w:color="auto"/>
            <w:bottom w:val="none" w:sz="0" w:space="0" w:color="auto"/>
            <w:right w:val="none" w:sz="0" w:space="0" w:color="auto"/>
          </w:divBdr>
        </w:div>
      </w:divsChild>
    </w:div>
    <w:div w:id="306709377">
      <w:bodyDiv w:val="1"/>
      <w:marLeft w:val="0"/>
      <w:marRight w:val="0"/>
      <w:marTop w:val="0"/>
      <w:marBottom w:val="0"/>
      <w:divBdr>
        <w:top w:val="none" w:sz="0" w:space="0" w:color="auto"/>
        <w:left w:val="none" w:sz="0" w:space="0" w:color="auto"/>
        <w:bottom w:val="none" w:sz="0" w:space="0" w:color="auto"/>
        <w:right w:val="none" w:sz="0" w:space="0" w:color="auto"/>
      </w:divBdr>
      <w:divsChild>
        <w:div w:id="1643268864">
          <w:marLeft w:val="0"/>
          <w:marRight w:val="0"/>
          <w:marTop w:val="0"/>
          <w:marBottom w:val="240"/>
          <w:divBdr>
            <w:top w:val="none" w:sz="0" w:space="0" w:color="auto"/>
            <w:left w:val="none" w:sz="0" w:space="0" w:color="auto"/>
            <w:bottom w:val="none" w:sz="0" w:space="0" w:color="auto"/>
            <w:right w:val="none" w:sz="0" w:space="0" w:color="auto"/>
          </w:divBdr>
        </w:div>
        <w:div w:id="1799715944">
          <w:marLeft w:val="0"/>
          <w:marRight w:val="0"/>
          <w:marTop w:val="0"/>
          <w:marBottom w:val="240"/>
          <w:divBdr>
            <w:top w:val="none" w:sz="0" w:space="0" w:color="auto"/>
            <w:left w:val="none" w:sz="0" w:space="0" w:color="auto"/>
            <w:bottom w:val="none" w:sz="0" w:space="0" w:color="auto"/>
            <w:right w:val="none" w:sz="0" w:space="0" w:color="auto"/>
          </w:divBdr>
        </w:div>
        <w:div w:id="1086802024">
          <w:marLeft w:val="0"/>
          <w:marRight w:val="0"/>
          <w:marTop w:val="0"/>
          <w:marBottom w:val="240"/>
          <w:divBdr>
            <w:top w:val="none" w:sz="0" w:space="0" w:color="auto"/>
            <w:left w:val="none" w:sz="0" w:space="0" w:color="auto"/>
            <w:bottom w:val="none" w:sz="0" w:space="0" w:color="auto"/>
            <w:right w:val="none" w:sz="0" w:space="0" w:color="auto"/>
          </w:divBdr>
        </w:div>
        <w:div w:id="854224914">
          <w:marLeft w:val="0"/>
          <w:marRight w:val="0"/>
          <w:marTop w:val="0"/>
          <w:marBottom w:val="240"/>
          <w:divBdr>
            <w:top w:val="none" w:sz="0" w:space="0" w:color="auto"/>
            <w:left w:val="none" w:sz="0" w:space="0" w:color="auto"/>
            <w:bottom w:val="none" w:sz="0" w:space="0" w:color="auto"/>
            <w:right w:val="none" w:sz="0" w:space="0" w:color="auto"/>
          </w:divBdr>
        </w:div>
      </w:divsChild>
    </w:div>
    <w:div w:id="307394394">
      <w:bodyDiv w:val="1"/>
      <w:marLeft w:val="0"/>
      <w:marRight w:val="0"/>
      <w:marTop w:val="0"/>
      <w:marBottom w:val="0"/>
      <w:divBdr>
        <w:top w:val="none" w:sz="0" w:space="0" w:color="auto"/>
        <w:left w:val="none" w:sz="0" w:space="0" w:color="auto"/>
        <w:bottom w:val="none" w:sz="0" w:space="0" w:color="auto"/>
        <w:right w:val="none" w:sz="0" w:space="0" w:color="auto"/>
      </w:divBdr>
      <w:divsChild>
        <w:div w:id="741215640">
          <w:marLeft w:val="0"/>
          <w:marRight w:val="0"/>
          <w:marTop w:val="0"/>
          <w:marBottom w:val="0"/>
          <w:divBdr>
            <w:top w:val="none" w:sz="0" w:space="0" w:color="auto"/>
            <w:left w:val="none" w:sz="0" w:space="0" w:color="auto"/>
            <w:bottom w:val="none" w:sz="0" w:space="0" w:color="auto"/>
            <w:right w:val="none" w:sz="0" w:space="0" w:color="auto"/>
          </w:divBdr>
        </w:div>
        <w:div w:id="902833566">
          <w:marLeft w:val="0"/>
          <w:marRight w:val="0"/>
          <w:marTop w:val="0"/>
          <w:marBottom w:val="0"/>
          <w:divBdr>
            <w:top w:val="none" w:sz="0" w:space="0" w:color="auto"/>
            <w:left w:val="none" w:sz="0" w:space="0" w:color="auto"/>
            <w:bottom w:val="none" w:sz="0" w:space="0" w:color="auto"/>
            <w:right w:val="none" w:sz="0" w:space="0" w:color="auto"/>
          </w:divBdr>
        </w:div>
      </w:divsChild>
    </w:div>
    <w:div w:id="307520562">
      <w:bodyDiv w:val="1"/>
      <w:marLeft w:val="0"/>
      <w:marRight w:val="0"/>
      <w:marTop w:val="0"/>
      <w:marBottom w:val="0"/>
      <w:divBdr>
        <w:top w:val="none" w:sz="0" w:space="0" w:color="auto"/>
        <w:left w:val="none" w:sz="0" w:space="0" w:color="auto"/>
        <w:bottom w:val="none" w:sz="0" w:space="0" w:color="auto"/>
        <w:right w:val="none" w:sz="0" w:space="0" w:color="auto"/>
      </w:divBdr>
      <w:divsChild>
        <w:div w:id="1543591382">
          <w:marLeft w:val="0"/>
          <w:marRight w:val="0"/>
          <w:marTop w:val="0"/>
          <w:marBottom w:val="0"/>
          <w:divBdr>
            <w:top w:val="none" w:sz="0" w:space="0" w:color="auto"/>
            <w:left w:val="none" w:sz="0" w:space="0" w:color="auto"/>
            <w:bottom w:val="none" w:sz="0" w:space="0" w:color="auto"/>
            <w:right w:val="none" w:sz="0" w:space="0" w:color="auto"/>
          </w:divBdr>
          <w:divsChild>
            <w:div w:id="577207167">
              <w:marLeft w:val="0"/>
              <w:marRight w:val="0"/>
              <w:marTop w:val="0"/>
              <w:marBottom w:val="0"/>
              <w:divBdr>
                <w:top w:val="none" w:sz="0" w:space="0" w:color="auto"/>
                <w:left w:val="none" w:sz="0" w:space="0" w:color="auto"/>
                <w:bottom w:val="none" w:sz="0" w:space="0" w:color="auto"/>
                <w:right w:val="none" w:sz="0" w:space="0" w:color="auto"/>
              </w:divBdr>
              <w:divsChild>
                <w:div w:id="1840080697">
                  <w:marLeft w:val="0"/>
                  <w:marRight w:val="0"/>
                  <w:marTop w:val="0"/>
                  <w:marBottom w:val="150"/>
                  <w:divBdr>
                    <w:top w:val="none" w:sz="0" w:space="0" w:color="auto"/>
                    <w:left w:val="none" w:sz="0" w:space="0" w:color="auto"/>
                    <w:bottom w:val="none" w:sz="0" w:space="0" w:color="auto"/>
                    <w:right w:val="none" w:sz="0" w:space="0" w:color="auto"/>
                  </w:divBdr>
                  <w:divsChild>
                    <w:div w:id="1493450452">
                      <w:marLeft w:val="0"/>
                      <w:marRight w:val="0"/>
                      <w:marTop w:val="0"/>
                      <w:marBottom w:val="0"/>
                      <w:divBdr>
                        <w:top w:val="none" w:sz="0" w:space="0" w:color="auto"/>
                        <w:left w:val="none" w:sz="0" w:space="0" w:color="auto"/>
                        <w:bottom w:val="none" w:sz="0" w:space="0" w:color="auto"/>
                        <w:right w:val="none" w:sz="0" w:space="0" w:color="auto"/>
                      </w:divBdr>
                      <w:divsChild>
                        <w:div w:id="1677683054">
                          <w:marLeft w:val="0"/>
                          <w:marRight w:val="0"/>
                          <w:marTop w:val="0"/>
                          <w:marBottom w:val="0"/>
                          <w:divBdr>
                            <w:top w:val="none" w:sz="0" w:space="0" w:color="auto"/>
                            <w:left w:val="none" w:sz="0" w:space="0" w:color="auto"/>
                            <w:bottom w:val="none" w:sz="0" w:space="0" w:color="auto"/>
                            <w:right w:val="none" w:sz="0" w:space="0" w:color="auto"/>
                          </w:divBdr>
                          <w:divsChild>
                            <w:div w:id="444227390">
                              <w:marLeft w:val="0"/>
                              <w:marRight w:val="0"/>
                              <w:marTop w:val="0"/>
                              <w:marBottom w:val="0"/>
                              <w:divBdr>
                                <w:top w:val="none" w:sz="0" w:space="0" w:color="auto"/>
                                <w:left w:val="none" w:sz="0" w:space="0" w:color="auto"/>
                                <w:bottom w:val="none" w:sz="0" w:space="0" w:color="auto"/>
                                <w:right w:val="none" w:sz="0" w:space="0" w:color="auto"/>
                              </w:divBdr>
                              <w:divsChild>
                                <w:div w:id="2000500373">
                                  <w:marLeft w:val="0"/>
                                  <w:marRight w:val="0"/>
                                  <w:marTop w:val="0"/>
                                  <w:marBottom w:val="0"/>
                                  <w:divBdr>
                                    <w:top w:val="none" w:sz="0" w:space="0" w:color="auto"/>
                                    <w:left w:val="none" w:sz="0" w:space="0" w:color="auto"/>
                                    <w:bottom w:val="none" w:sz="0" w:space="0" w:color="auto"/>
                                    <w:right w:val="none" w:sz="0" w:space="0" w:color="auto"/>
                                  </w:divBdr>
                                  <w:divsChild>
                                    <w:div w:id="891648725">
                                      <w:marLeft w:val="0"/>
                                      <w:marRight w:val="0"/>
                                      <w:marTop w:val="0"/>
                                      <w:marBottom w:val="0"/>
                                      <w:divBdr>
                                        <w:top w:val="none" w:sz="0" w:space="0" w:color="auto"/>
                                        <w:left w:val="none" w:sz="0" w:space="0" w:color="auto"/>
                                        <w:bottom w:val="none" w:sz="0" w:space="0" w:color="auto"/>
                                        <w:right w:val="none" w:sz="0" w:space="0" w:color="auto"/>
                                      </w:divBdr>
                                      <w:divsChild>
                                        <w:div w:id="369958882">
                                          <w:marLeft w:val="0"/>
                                          <w:marRight w:val="0"/>
                                          <w:marTop w:val="0"/>
                                          <w:marBottom w:val="0"/>
                                          <w:divBdr>
                                            <w:top w:val="none" w:sz="0" w:space="0" w:color="auto"/>
                                            <w:left w:val="none" w:sz="0" w:space="0" w:color="auto"/>
                                            <w:bottom w:val="none" w:sz="0" w:space="0" w:color="auto"/>
                                            <w:right w:val="none" w:sz="0" w:space="0" w:color="auto"/>
                                          </w:divBdr>
                                          <w:divsChild>
                                            <w:div w:id="597298928">
                                              <w:marLeft w:val="0"/>
                                              <w:marRight w:val="0"/>
                                              <w:marTop w:val="0"/>
                                              <w:marBottom w:val="0"/>
                                              <w:divBdr>
                                                <w:top w:val="none" w:sz="0" w:space="0" w:color="auto"/>
                                                <w:left w:val="none" w:sz="0" w:space="0" w:color="auto"/>
                                                <w:bottom w:val="none" w:sz="0" w:space="0" w:color="auto"/>
                                                <w:right w:val="none" w:sz="0" w:space="0" w:color="auto"/>
                                              </w:divBdr>
                                              <w:divsChild>
                                                <w:div w:id="93247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7831145">
      <w:bodyDiv w:val="1"/>
      <w:marLeft w:val="0"/>
      <w:marRight w:val="0"/>
      <w:marTop w:val="0"/>
      <w:marBottom w:val="0"/>
      <w:divBdr>
        <w:top w:val="none" w:sz="0" w:space="0" w:color="auto"/>
        <w:left w:val="none" w:sz="0" w:space="0" w:color="auto"/>
        <w:bottom w:val="none" w:sz="0" w:space="0" w:color="auto"/>
        <w:right w:val="none" w:sz="0" w:space="0" w:color="auto"/>
      </w:divBdr>
    </w:div>
    <w:div w:id="308021742">
      <w:bodyDiv w:val="1"/>
      <w:marLeft w:val="0"/>
      <w:marRight w:val="0"/>
      <w:marTop w:val="0"/>
      <w:marBottom w:val="0"/>
      <w:divBdr>
        <w:top w:val="none" w:sz="0" w:space="0" w:color="auto"/>
        <w:left w:val="none" w:sz="0" w:space="0" w:color="auto"/>
        <w:bottom w:val="none" w:sz="0" w:space="0" w:color="auto"/>
        <w:right w:val="none" w:sz="0" w:space="0" w:color="auto"/>
      </w:divBdr>
      <w:divsChild>
        <w:div w:id="1368796473">
          <w:marLeft w:val="0"/>
          <w:marRight w:val="0"/>
          <w:marTop w:val="0"/>
          <w:marBottom w:val="0"/>
          <w:divBdr>
            <w:top w:val="none" w:sz="0" w:space="8" w:color="auto"/>
            <w:left w:val="none" w:sz="0" w:space="2" w:color="auto"/>
            <w:bottom w:val="single" w:sz="6" w:space="8" w:color="DDDDDD"/>
            <w:right w:val="none" w:sz="0" w:space="0" w:color="auto"/>
          </w:divBdr>
        </w:div>
        <w:div w:id="2096511344">
          <w:marLeft w:val="0"/>
          <w:marRight w:val="0"/>
          <w:marTop w:val="150"/>
          <w:marBottom w:val="0"/>
          <w:divBdr>
            <w:top w:val="none" w:sz="0" w:space="0" w:color="auto"/>
            <w:left w:val="none" w:sz="0" w:space="0" w:color="auto"/>
            <w:bottom w:val="none" w:sz="0" w:space="0" w:color="auto"/>
            <w:right w:val="none" w:sz="0" w:space="0" w:color="auto"/>
          </w:divBdr>
          <w:divsChild>
            <w:div w:id="18436360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308243791">
      <w:bodyDiv w:val="1"/>
      <w:marLeft w:val="0"/>
      <w:marRight w:val="0"/>
      <w:marTop w:val="0"/>
      <w:marBottom w:val="0"/>
      <w:divBdr>
        <w:top w:val="none" w:sz="0" w:space="0" w:color="auto"/>
        <w:left w:val="none" w:sz="0" w:space="0" w:color="auto"/>
        <w:bottom w:val="none" w:sz="0" w:space="0" w:color="auto"/>
        <w:right w:val="none" w:sz="0" w:space="0" w:color="auto"/>
      </w:divBdr>
      <w:divsChild>
        <w:div w:id="1127503822">
          <w:marLeft w:val="0"/>
          <w:marRight w:val="0"/>
          <w:marTop w:val="0"/>
          <w:marBottom w:val="0"/>
          <w:divBdr>
            <w:top w:val="none" w:sz="0" w:space="0" w:color="auto"/>
            <w:left w:val="none" w:sz="0" w:space="0" w:color="auto"/>
            <w:bottom w:val="none" w:sz="0" w:space="0" w:color="auto"/>
            <w:right w:val="none" w:sz="0" w:space="0" w:color="auto"/>
          </w:divBdr>
          <w:divsChild>
            <w:div w:id="438916214">
              <w:marLeft w:val="0"/>
              <w:marRight w:val="0"/>
              <w:marTop w:val="0"/>
              <w:marBottom w:val="0"/>
              <w:divBdr>
                <w:top w:val="none" w:sz="0" w:space="0" w:color="auto"/>
                <w:left w:val="none" w:sz="0" w:space="0" w:color="auto"/>
                <w:bottom w:val="none" w:sz="0" w:space="0" w:color="auto"/>
                <w:right w:val="none" w:sz="0" w:space="0" w:color="auto"/>
              </w:divBdr>
              <w:divsChild>
                <w:div w:id="913125276">
                  <w:marLeft w:val="0"/>
                  <w:marRight w:val="0"/>
                  <w:marTop w:val="0"/>
                  <w:marBottom w:val="0"/>
                  <w:divBdr>
                    <w:top w:val="none" w:sz="0" w:space="0" w:color="auto"/>
                    <w:left w:val="none" w:sz="0" w:space="0" w:color="auto"/>
                    <w:bottom w:val="none" w:sz="0" w:space="0" w:color="auto"/>
                    <w:right w:val="none" w:sz="0" w:space="0" w:color="auto"/>
                  </w:divBdr>
                  <w:divsChild>
                    <w:div w:id="2016835083">
                      <w:marLeft w:val="0"/>
                      <w:marRight w:val="0"/>
                      <w:marTop w:val="0"/>
                      <w:marBottom w:val="0"/>
                      <w:divBdr>
                        <w:top w:val="none" w:sz="0" w:space="0" w:color="auto"/>
                        <w:left w:val="none" w:sz="0" w:space="0" w:color="auto"/>
                        <w:bottom w:val="none" w:sz="0" w:space="0" w:color="auto"/>
                        <w:right w:val="none" w:sz="0" w:space="0" w:color="auto"/>
                      </w:divBdr>
                      <w:divsChild>
                        <w:div w:id="1653829006">
                          <w:marLeft w:val="0"/>
                          <w:marRight w:val="0"/>
                          <w:marTop w:val="0"/>
                          <w:marBottom w:val="0"/>
                          <w:divBdr>
                            <w:top w:val="none" w:sz="0" w:space="0" w:color="auto"/>
                            <w:left w:val="none" w:sz="0" w:space="0" w:color="auto"/>
                            <w:bottom w:val="none" w:sz="0" w:space="0" w:color="auto"/>
                            <w:right w:val="none" w:sz="0" w:space="0" w:color="auto"/>
                          </w:divBdr>
                          <w:divsChild>
                            <w:div w:id="2032948970">
                              <w:marLeft w:val="0"/>
                              <w:marRight w:val="0"/>
                              <w:marTop w:val="0"/>
                              <w:marBottom w:val="0"/>
                              <w:divBdr>
                                <w:top w:val="none" w:sz="0" w:space="0" w:color="auto"/>
                                <w:left w:val="none" w:sz="0" w:space="0" w:color="auto"/>
                                <w:bottom w:val="none" w:sz="0" w:space="0" w:color="auto"/>
                                <w:right w:val="none" w:sz="0" w:space="0" w:color="auto"/>
                              </w:divBdr>
                              <w:divsChild>
                                <w:div w:id="11641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8633382">
      <w:bodyDiv w:val="1"/>
      <w:marLeft w:val="0"/>
      <w:marRight w:val="0"/>
      <w:marTop w:val="0"/>
      <w:marBottom w:val="0"/>
      <w:divBdr>
        <w:top w:val="none" w:sz="0" w:space="0" w:color="auto"/>
        <w:left w:val="none" w:sz="0" w:space="0" w:color="auto"/>
        <w:bottom w:val="none" w:sz="0" w:space="0" w:color="auto"/>
        <w:right w:val="none" w:sz="0" w:space="0" w:color="auto"/>
      </w:divBdr>
    </w:div>
    <w:div w:id="308871495">
      <w:bodyDiv w:val="1"/>
      <w:marLeft w:val="0"/>
      <w:marRight w:val="0"/>
      <w:marTop w:val="0"/>
      <w:marBottom w:val="0"/>
      <w:divBdr>
        <w:top w:val="none" w:sz="0" w:space="0" w:color="auto"/>
        <w:left w:val="none" w:sz="0" w:space="0" w:color="auto"/>
        <w:bottom w:val="none" w:sz="0" w:space="0" w:color="auto"/>
        <w:right w:val="none" w:sz="0" w:space="0" w:color="auto"/>
      </w:divBdr>
      <w:divsChild>
        <w:div w:id="1088624135">
          <w:marLeft w:val="0"/>
          <w:marRight w:val="0"/>
          <w:marTop w:val="0"/>
          <w:marBottom w:val="0"/>
          <w:divBdr>
            <w:top w:val="none" w:sz="0" w:space="0" w:color="auto"/>
            <w:left w:val="none" w:sz="0" w:space="0" w:color="auto"/>
            <w:bottom w:val="none" w:sz="0" w:space="0" w:color="auto"/>
            <w:right w:val="none" w:sz="0" w:space="0" w:color="auto"/>
          </w:divBdr>
          <w:divsChild>
            <w:div w:id="308293126">
              <w:marLeft w:val="0"/>
              <w:marRight w:val="0"/>
              <w:marTop w:val="0"/>
              <w:marBottom w:val="0"/>
              <w:divBdr>
                <w:top w:val="none" w:sz="0" w:space="0" w:color="auto"/>
                <w:left w:val="none" w:sz="0" w:space="0" w:color="auto"/>
                <w:bottom w:val="none" w:sz="0" w:space="0" w:color="auto"/>
                <w:right w:val="none" w:sz="0" w:space="0" w:color="auto"/>
              </w:divBdr>
            </w:div>
            <w:div w:id="1843081731">
              <w:marLeft w:val="0"/>
              <w:marRight w:val="0"/>
              <w:marTop w:val="0"/>
              <w:marBottom w:val="150"/>
              <w:divBdr>
                <w:top w:val="none" w:sz="0" w:space="0" w:color="auto"/>
                <w:left w:val="none" w:sz="0" w:space="0" w:color="auto"/>
                <w:bottom w:val="none" w:sz="0" w:space="0" w:color="auto"/>
                <w:right w:val="none" w:sz="0" w:space="0" w:color="auto"/>
              </w:divBdr>
            </w:div>
          </w:divsChild>
        </w:div>
        <w:div w:id="1942563412">
          <w:marLeft w:val="0"/>
          <w:marRight w:val="0"/>
          <w:marTop w:val="0"/>
          <w:marBottom w:val="150"/>
          <w:divBdr>
            <w:top w:val="none" w:sz="0" w:space="0" w:color="auto"/>
            <w:left w:val="none" w:sz="0" w:space="0" w:color="auto"/>
            <w:bottom w:val="none" w:sz="0" w:space="0" w:color="auto"/>
            <w:right w:val="none" w:sz="0" w:space="0" w:color="auto"/>
          </w:divBdr>
          <w:divsChild>
            <w:div w:id="50452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483582">
      <w:bodyDiv w:val="1"/>
      <w:marLeft w:val="0"/>
      <w:marRight w:val="0"/>
      <w:marTop w:val="0"/>
      <w:marBottom w:val="0"/>
      <w:divBdr>
        <w:top w:val="none" w:sz="0" w:space="0" w:color="auto"/>
        <w:left w:val="none" w:sz="0" w:space="0" w:color="auto"/>
        <w:bottom w:val="none" w:sz="0" w:space="0" w:color="auto"/>
        <w:right w:val="none" w:sz="0" w:space="0" w:color="auto"/>
      </w:divBdr>
      <w:divsChild>
        <w:div w:id="819275819">
          <w:marLeft w:val="0"/>
          <w:marRight w:val="0"/>
          <w:marTop w:val="0"/>
          <w:marBottom w:val="150"/>
          <w:divBdr>
            <w:top w:val="none" w:sz="0" w:space="0" w:color="auto"/>
            <w:left w:val="none" w:sz="0" w:space="0" w:color="auto"/>
            <w:bottom w:val="none" w:sz="0" w:space="0" w:color="auto"/>
            <w:right w:val="none" w:sz="0" w:space="0" w:color="auto"/>
          </w:divBdr>
        </w:div>
        <w:div w:id="997266177">
          <w:marLeft w:val="0"/>
          <w:marRight w:val="0"/>
          <w:marTop w:val="0"/>
          <w:marBottom w:val="0"/>
          <w:divBdr>
            <w:top w:val="none" w:sz="0" w:space="0" w:color="auto"/>
            <w:left w:val="none" w:sz="0" w:space="0" w:color="auto"/>
            <w:bottom w:val="none" w:sz="0" w:space="0" w:color="auto"/>
            <w:right w:val="none" w:sz="0" w:space="0" w:color="auto"/>
          </w:divBdr>
        </w:div>
      </w:divsChild>
    </w:div>
    <w:div w:id="309671096">
      <w:bodyDiv w:val="1"/>
      <w:marLeft w:val="0"/>
      <w:marRight w:val="0"/>
      <w:marTop w:val="0"/>
      <w:marBottom w:val="0"/>
      <w:divBdr>
        <w:top w:val="none" w:sz="0" w:space="0" w:color="auto"/>
        <w:left w:val="none" w:sz="0" w:space="0" w:color="auto"/>
        <w:bottom w:val="none" w:sz="0" w:space="0" w:color="auto"/>
        <w:right w:val="none" w:sz="0" w:space="0" w:color="auto"/>
      </w:divBdr>
      <w:divsChild>
        <w:div w:id="132411283">
          <w:marLeft w:val="0"/>
          <w:marRight w:val="0"/>
          <w:marTop w:val="0"/>
          <w:marBottom w:val="0"/>
          <w:divBdr>
            <w:top w:val="none" w:sz="0" w:space="0" w:color="auto"/>
            <w:left w:val="none" w:sz="0" w:space="0" w:color="auto"/>
            <w:bottom w:val="dotted" w:sz="6" w:space="4" w:color="DDDDDD"/>
            <w:right w:val="none" w:sz="0" w:space="0" w:color="auto"/>
          </w:divBdr>
          <w:divsChild>
            <w:div w:id="38752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065570">
      <w:bodyDiv w:val="1"/>
      <w:marLeft w:val="0"/>
      <w:marRight w:val="0"/>
      <w:marTop w:val="0"/>
      <w:marBottom w:val="0"/>
      <w:divBdr>
        <w:top w:val="none" w:sz="0" w:space="0" w:color="auto"/>
        <w:left w:val="none" w:sz="0" w:space="0" w:color="auto"/>
        <w:bottom w:val="none" w:sz="0" w:space="0" w:color="auto"/>
        <w:right w:val="none" w:sz="0" w:space="0" w:color="auto"/>
      </w:divBdr>
      <w:divsChild>
        <w:div w:id="576331422">
          <w:marLeft w:val="0"/>
          <w:marRight w:val="0"/>
          <w:marTop w:val="0"/>
          <w:marBottom w:val="0"/>
          <w:divBdr>
            <w:top w:val="none" w:sz="0" w:space="0" w:color="auto"/>
            <w:left w:val="none" w:sz="0" w:space="0" w:color="auto"/>
            <w:bottom w:val="none" w:sz="0" w:space="0" w:color="auto"/>
            <w:right w:val="none" w:sz="0" w:space="0" w:color="auto"/>
          </w:divBdr>
        </w:div>
        <w:div w:id="2013146990">
          <w:marLeft w:val="0"/>
          <w:marRight w:val="0"/>
          <w:marTop w:val="0"/>
          <w:marBottom w:val="150"/>
          <w:divBdr>
            <w:top w:val="none" w:sz="0" w:space="0" w:color="auto"/>
            <w:left w:val="none" w:sz="0" w:space="0" w:color="auto"/>
            <w:bottom w:val="none" w:sz="0" w:space="0" w:color="auto"/>
            <w:right w:val="none" w:sz="0" w:space="0" w:color="auto"/>
          </w:divBdr>
        </w:div>
      </w:divsChild>
    </w:div>
    <w:div w:id="310641267">
      <w:bodyDiv w:val="1"/>
      <w:marLeft w:val="0"/>
      <w:marRight w:val="0"/>
      <w:marTop w:val="0"/>
      <w:marBottom w:val="0"/>
      <w:divBdr>
        <w:top w:val="none" w:sz="0" w:space="0" w:color="auto"/>
        <w:left w:val="none" w:sz="0" w:space="0" w:color="auto"/>
        <w:bottom w:val="none" w:sz="0" w:space="0" w:color="auto"/>
        <w:right w:val="none" w:sz="0" w:space="0" w:color="auto"/>
      </w:divBdr>
      <w:divsChild>
        <w:div w:id="594830574">
          <w:marLeft w:val="0"/>
          <w:marRight w:val="0"/>
          <w:marTop w:val="0"/>
          <w:marBottom w:val="0"/>
          <w:divBdr>
            <w:top w:val="none" w:sz="0" w:space="0" w:color="auto"/>
            <w:left w:val="none" w:sz="0" w:space="0" w:color="auto"/>
            <w:bottom w:val="none" w:sz="0" w:space="0" w:color="auto"/>
            <w:right w:val="none" w:sz="0" w:space="0" w:color="auto"/>
          </w:divBdr>
          <w:divsChild>
            <w:div w:id="212546248">
              <w:marLeft w:val="0"/>
              <w:marRight w:val="0"/>
              <w:marTop w:val="0"/>
              <w:marBottom w:val="0"/>
              <w:divBdr>
                <w:top w:val="none" w:sz="0" w:space="0" w:color="auto"/>
                <w:left w:val="none" w:sz="0" w:space="0" w:color="auto"/>
                <w:bottom w:val="none" w:sz="0" w:space="0" w:color="auto"/>
                <w:right w:val="none" w:sz="0" w:space="0" w:color="auto"/>
              </w:divBdr>
            </w:div>
            <w:div w:id="999887954">
              <w:marLeft w:val="0"/>
              <w:marRight w:val="150"/>
              <w:marTop w:val="0"/>
              <w:marBottom w:val="0"/>
              <w:divBdr>
                <w:top w:val="none" w:sz="0" w:space="0" w:color="auto"/>
                <w:left w:val="none" w:sz="0" w:space="0" w:color="auto"/>
                <w:bottom w:val="none" w:sz="0" w:space="0" w:color="auto"/>
                <w:right w:val="none" w:sz="0" w:space="0" w:color="auto"/>
              </w:divBdr>
            </w:div>
          </w:divsChild>
        </w:div>
        <w:div w:id="1198662055">
          <w:marLeft w:val="0"/>
          <w:marRight w:val="0"/>
          <w:marTop w:val="0"/>
          <w:marBottom w:val="0"/>
          <w:divBdr>
            <w:top w:val="none" w:sz="0" w:space="0" w:color="auto"/>
            <w:left w:val="none" w:sz="0" w:space="0" w:color="auto"/>
            <w:bottom w:val="none" w:sz="0" w:space="0" w:color="auto"/>
            <w:right w:val="none" w:sz="0" w:space="0" w:color="auto"/>
          </w:divBdr>
        </w:div>
      </w:divsChild>
    </w:div>
    <w:div w:id="310791308">
      <w:bodyDiv w:val="1"/>
      <w:marLeft w:val="0"/>
      <w:marRight w:val="0"/>
      <w:marTop w:val="0"/>
      <w:marBottom w:val="0"/>
      <w:divBdr>
        <w:top w:val="none" w:sz="0" w:space="0" w:color="auto"/>
        <w:left w:val="none" w:sz="0" w:space="0" w:color="auto"/>
        <w:bottom w:val="none" w:sz="0" w:space="0" w:color="auto"/>
        <w:right w:val="none" w:sz="0" w:space="0" w:color="auto"/>
      </w:divBdr>
    </w:div>
    <w:div w:id="310795366">
      <w:bodyDiv w:val="1"/>
      <w:marLeft w:val="0"/>
      <w:marRight w:val="0"/>
      <w:marTop w:val="0"/>
      <w:marBottom w:val="0"/>
      <w:divBdr>
        <w:top w:val="none" w:sz="0" w:space="0" w:color="auto"/>
        <w:left w:val="none" w:sz="0" w:space="0" w:color="auto"/>
        <w:bottom w:val="none" w:sz="0" w:space="0" w:color="auto"/>
        <w:right w:val="none" w:sz="0" w:space="0" w:color="auto"/>
      </w:divBdr>
    </w:div>
    <w:div w:id="310983039">
      <w:bodyDiv w:val="1"/>
      <w:marLeft w:val="0"/>
      <w:marRight w:val="0"/>
      <w:marTop w:val="0"/>
      <w:marBottom w:val="0"/>
      <w:divBdr>
        <w:top w:val="none" w:sz="0" w:space="0" w:color="auto"/>
        <w:left w:val="none" w:sz="0" w:space="0" w:color="auto"/>
        <w:bottom w:val="none" w:sz="0" w:space="0" w:color="auto"/>
        <w:right w:val="none" w:sz="0" w:space="0" w:color="auto"/>
      </w:divBdr>
    </w:div>
    <w:div w:id="311184305">
      <w:bodyDiv w:val="1"/>
      <w:marLeft w:val="0"/>
      <w:marRight w:val="0"/>
      <w:marTop w:val="0"/>
      <w:marBottom w:val="0"/>
      <w:divBdr>
        <w:top w:val="none" w:sz="0" w:space="0" w:color="auto"/>
        <w:left w:val="none" w:sz="0" w:space="0" w:color="auto"/>
        <w:bottom w:val="none" w:sz="0" w:space="0" w:color="auto"/>
        <w:right w:val="none" w:sz="0" w:space="0" w:color="auto"/>
      </w:divBdr>
    </w:div>
    <w:div w:id="311636553">
      <w:bodyDiv w:val="1"/>
      <w:marLeft w:val="0"/>
      <w:marRight w:val="0"/>
      <w:marTop w:val="0"/>
      <w:marBottom w:val="0"/>
      <w:divBdr>
        <w:top w:val="none" w:sz="0" w:space="0" w:color="auto"/>
        <w:left w:val="none" w:sz="0" w:space="0" w:color="auto"/>
        <w:bottom w:val="none" w:sz="0" w:space="0" w:color="auto"/>
        <w:right w:val="none" w:sz="0" w:space="0" w:color="auto"/>
      </w:divBdr>
      <w:divsChild>
        <w:div w:id="1214124958">
          <w:marLeft w:val="0"/>
          <w:marRight w:val="0"/>
          <w:marTop w:val="0"/>
          <w:marBottom w:val="180"/>
          <w:divBdr>
            <w:top w:val="none" w:sz="0" w:space="0" w:color="auto"/>
            <w:left w:val="none" w:sz="0" w:space="0" w:color="auto"/>
            <w:bottom w:val="none" w:sz="0" w:space="0" w:color="auto"/>
            <w:right w:val="none" w:sz="0" w:space="0" w:color="auto"/>
          </w:divBdr>
        </w:div>
      </w:divsChild>
    </w:div>
    <w:div w:id="312026736">
      <w:bodyDiv w:val="1"/>
      <w:marLeft w:val="0"/>
      <w:marRight w:val="0"/>
      <w:marTop w:val="0"/>
      <w:marBottom w:val="0"/>
      <w:divBdr>
        <w:top w:val="none" w:sz="0" w:space="0" w:color="auto"/>
        <w:left w:val="none" w:sz="0" w:space="0" w:color="auto"/>
        <w:bottom w:val="none" w:sz="0" w:space="0" w:color="auto"/>
        <w:right w:val="none" w:sz="0" w:space="0" w:color="auto"/>
      </w:divBdr>
      <w:divsChild>
        <w:div w:id="130830831">
          <w:marLeft w:val="0"/>
          <w:marRight w:val="0"/>
          <w:marTop w:val="0"/>
          <w:marBottom w:val="150"/>
          <w:divBdr>
            <w:top w:val="none" w:sz="0" w:space="0" w:color="auto"/>
            <w:left w:val="none" w:sz="0" w:space="0" w:color="auto"/>
            <w:bottom w:val="none" w:sz="0" w:space="0" w:color="auto"/>
            <w:right w:val="none" w:sz="0" w:space="0" w:color="auto"/>
          </w:divBdr>
        </w:div>
        <w:div w:id="374817819">
          <w:marLeft w:val="0"/>
          <w:marRight w:val="0"/>
          <w:marTop w:val="0"/>
          <w:marBottom w:val="150"/>
          <w:divBdr>
            <w:top w:val="none" w:sz="0" w:space="0" w:color="auto"/>
            <w:left w:val="none" w:sz="0" w:space="0" w:color="auto"/>
            <w:bottom w:val="none" w:sz="0" w:space="0" w:color="auto"/>
            <w:right w:val="none" w:sz="0" w:space="0" w:color="auto"/>
          </w:divBdr>
        </w:div>
        <w:div w:id="1229652465">
          <w:marLeft w:val="0"/>
          <w:marRight w:val="0"/>
          <w:marTop w:val="0"/>
          <w:marBottom w:val="150"/>
          <w:divBdr>
            <w:top w:val="none" w:sz="0" w:space="0" w:color="auto"/>
            <w:left w:val="none" w:sz="0" w:space="0" w:color="auto"/>
            <w:bottom w:val="none" w:sz="0" w:space="0" w:color="auto"/>
            <w:right w:val="none" w:sz="0" w:space="0" w:color="auto"/>
          </w:divBdr>
        </w:div>
        <w:div w:id="1327436037">
          <w:marLeft w:val="0"/>
          <w:marRight w:val="0"/>
          <w:marTop w:val="0"/>
          <w:marBottom w:val="150"/>
          <w:divBdr>
            <w:top w:val="none" w:sz="0" w:space="0" w:color="auto"/>
            <w:left w:val="none" w:sz="0" w:space="0" w:color="auto"/>
            <w:bottom w:val="none" w:sz="0" w:space="0" w:color="auto"/>
            <w:right w:val="none" w:sz="0" w:space="0" w:color="auto"/>
          </w:divBdr>
        </w:div>
        <w:div w:id="1986545789">
          <w:marLeft w:val="0"/>
          <w:marRight w:val="0"/>
          <w:marTop w:val="0"/>
          <w:marBottom w:val="150"/>
          <w:divBdr>
            <w:top w:val="none" w:sz="0" w:space="0" w:color="auto"/>
            <w:left w:val="none" w:sz="0" w:space="0" w:color="auto"/>
            <w:bottom w:val="none" w:sz="0" w:space="0" w:color="auto"/>
            <w:right w:val="none" w:sz="0" w:space="0" w:color="auto"/>
          </w:divBdr>
        </w:div>
        <w:div w:id="2103866372">
          <w:marLeft w:val="0"/>
          <w:marRight w:val="0"/>
          <w:marTop w:val="0"/>
          <w:marBottom w:val="150"/>
          <w:divBdr>
            <w:top w:val="none" w:sz="0" w:space="0" w:color="auto"/>
            <w:left w:val="none" w:sz="0" w:space="0" w:color="auto"/>
            <w:bottom w:val="none" w:sz="0" w:space="0" w:color="auto"/>
            <w:right w:val="none" w:sz="0" w:space="0" w:color="auto"/>
          </w:divBdr>
        </w:div>
      </w:divsChild>
    </w:div>
    <w:div w:id="312100980">
      <w:bodyDiv w:val="1"/>
      <w:marLeft w:val="0"/>
      <w:marRight w:val="0"/>
      <w:marTop w:val="0"/>
      <w:marBottom w:val="0"/>
      <w:divBdr>
        <w:top w:val="none" w:sz="0" w:space="0" w:color="auto"/>
        <w:left w:val="none" w:sz="0" w:space="0" w:color="auto"/>
        <w:bottom w:val="none" w:sz="0" w:space="0" w:color="auto"/>
        <w:right w:val="none" w:sz="0" w:space="0" w:color="auto"/>
      </w:divBdr>
      <w:divsChild>
        <w:div w:id="1757970098">
          <w:marLeft w:val="0"/>
          <w:marRight w:val="0"/>
          <w:marTop w:val="0"/>
          <w:marBottom w:val="0"/>
          <w:divBdr>
            <w:top w:val="none" w:sz="0" w:space="0" w:color="auto"/>
            <w:left w:val="none" w:sz="0" w:space="0" w:color="auto"/>
            <w:bottom w:val="none" w:sz="0" w:space="0" w:color="auto"/>
            <w:right w:val="none" w:sz="0" w:space="0" w:color="auto"/>
          </w:divBdr>
          <w:divsChild>
            <w:div w:id="1561940023">
              <w:marLeft w:val="0"/>
              <w:marRight w:val="0"/>
              <w:marTop w:val="0"/>
              <w:marBottom w:val="0"/>
              <w:divBdr>
                <w:top w:val="none" w:sz="0" w:space="0" w:color="auto"/>
                <w:left w:val="none" w:sz="0" w:space="0" w:color="auto"/>
                <w:bottom w:val="none" w:sz="0" w:space="0" w:color="auto"/>
                <w:right w:val="none" w:sz="0" w:space="0" w:color="auto"/>
              </w:divBdr>
              <w:divsChild>
                <w:div w:id="1389957424">
                  <w:marLeft w:val="0"/>
                  <w:marRight w:val="0"/>
                  <w:marTop w:val="0"/>
                  <w:marBottom w:val="0"/>
                  <w:divBdr>
                    <w:top w:val="none" w:sz="0" w:space="0" w:color="auto"/>
                    <w:left w:val="none" w:sz="0" w:space="0" w:color="auto"/>
                    <w:bottom w:val="none" w:sz="0" w:space="0" w:color="auto"/>
                    <w:right w:val="none" w:sz="0" w:space="0" w:color="auto"/>
                  </w:divBdr>
                  <w:divsChild>
                    <w:div w:id="1007176274">
                      <w:marLeft w:val="0"/>
                      <w:marRight w:val="0"/>
                      <w:marTop w:val="0"/>
                      <w:marBottom w:val="0"/>
                      <w:divBdr>
                        <w:top w:val="none" w:sz="0" w:space="0" w:color="auto"/>
                        <w:left w:val="none" w:sz="0" w:space="0" w:color="auto"/>
                        <w:bottom w:val="none" w:sz="0" w:space="0" w:color="auto"/>
                        <w:right w:val="none" w:sz="0" w:space="0" w:color="auto"/>
                      </w:divBdr>
                      <w:divsChild>
                        <w:div w:id="1310552333">
                          <w:marLeft w:val="0"/>
                          <w:marRight w:val="0"/>
                          <w:marTop w:val="0"/>
                          <w:marBottom w:val="0"/>
                          <w:divBdr>
                            <w:top w:val="none" w:sz="0" w:space="0" w:color="auto"/>
                            <w:left w:val="none" w:sz="0" w:space="0" w:color="auto"/>
                            <w:bottom w:val="none" w:sz="0" w:space="0" w:color="auto"/>
                            <w:right w:val="none" w:sz="0" w:space="0" w:color="auto"/>
                          </w:divBdr>
                          <w:divsChild>
                            <w:div w:id="409888941">
                              <w:marLeft w:val="0"/>
                              <w:marRight w:val="0"/>
                              <w:marTop w:val="0"/>
                              <w:marBottom w:val="0"/>
                              <w:divBdr>
                                <w:top w:val="none" w:sz="0" w:space="0" w:color="auto"/>
                                <w:left w:val="none" w:sz="0" w:space="0" w:color="auto"/>
                                <w:bottom w:val="none" w:sz="0" w:space="0" w:color="auto"/>
                                <w:right w:val="none" w:sz="0" w:space="0" w:color="auto"/>
                              </w:divBdr>
                              <w:divsChild>
                                <w:div w:id="1907450177">
                                  <w:marLeft w:val="0"/>
                                  <w:marRight w:val="0"/>
                                  <w:marTop w:val="0"/>
                                  <w:marBottom w:val="0"/>
                                  <w:divBdr>
                                    <w:top w:val="none" w:sz="0" w:space="0" w:color="auto"/>
                                    <w:left w:val="none" w:sz="0" w:space="0" w:color="auto"/>
                                    <w:bottom w:val="none" w:sz="0" w:space="0" w:color="auto"/>
                                    <w:right w:val="none" w:sz="0" w:space="0" w:color="auto"/>
                                  </w:divBdr>
                                  <w:divsChild>
                                    <w:div w:id="1875650542">
                                      <w:marLeft w:val="0"/>
                                      <w:marRight w:val="0"/>
                                      <w:marTop w:val="0"/>
                                      <w:marBottom w:val="0"/>
                                      <w:divBdr>
                                        <w:top w:val="none" w:sz="0" w:space="0" w:color="auto"/>
                                        <w:left w:val="none" w:sz="0" w:space="0" w:color="auto"/>
                                        <w:bottom w:val="none" w:sz="0" w:space="0" w:color="auto"/>
                                        <w:right w:val="none" w:sz="0" w:space="0" w:color="auto"/>
                                      </w:divBdr>
                                      <w:divsChild>
                                        <w:div w:id="166049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2566289">
      <w:bodyDiv w:val="1"/>
      <w:marLeft w:val="0"/>
      <w:marRight w:val="0"/>
      <w:marTop w:val="0"/>
      <w:marBottom w:val="0"/>
      <w:divBdr>
        <w:top w:val="none" w:sz="0" w:space="0" w:color="auto"/>
        <w:left w:val="none" w:sz="0" w:space="0" w:color="auto"/>
        <w:bottom w:val="none" w:sz="0" w:space="0" w:color="auto"/>
        <w:right w:val="none" w:sz="0" w:space="0" w:color="auto"/>
      </w:divBdr>
      <w:divsChild>
        <w:div w:id="1413119706">
          <w:marLeft w:val="0"/>
          <w:marRight w:val="0"/>
          <w:marTop w:val="0"/>
          <w:marBottom w:val="0"/>
          <w:divBdr>
            <w:top w:val="none" w:sz="0" w:space="0" w:color="auto"/>
            <w:left w:val="none" w:sz="0" w:space="0" w:color="auto"/>
            <w:bottom w:val="dotted" w:sz="6" w:space="4" w:color="DDDDDD"/>
            <w:right w:val="none" w:sz="0" w:space="0" w:color="auto"/>
          </w:divBdr>
        </w:div>
      </w:divsChild>
    </w:div>
    <w:div w:id="313031789">
      <w:bodyDiv w:val="1"/>
      <w:marLeft w:val="0"/>
      <w:marRight w:val="0"/>
      <w:marTop w:val="0"/>
      <w:marBottom w:val="0"/>
      <w:divBdr>
        <w:top w:val="none" w:sz="0" w:space="0" w:color="auto"/>
        <w:left w:val="none" w:sz="0" w:space="0" w:color="auto"/>
        <w:bottom w:val="none" w:sz="0" w:space="0" w:color="auto"/>
        <w:right w:val="none" w:sz="0" w:space="0" w:color="auto"/>
      </w:divBdr>
      <w:divsChild>
        <w:div w:id="1485658045">
          <w:marLeft w:val="0"/>
          <w:marRight w:val="0"/>
          <w:marTop w:val="0"/>
          <w:marBottom w:val="150"/>
          <w:divBdr>
            <w:top w:val="none" w:sz="0" w:space="0" w:color="auto"/>
            <w:left w:val="none" w:sz="0" w:space="0" w:color="auto"/>
            <w:bottom w:val="none" w:sz="0" w:space="0" w:color="auto"/>
            <w:right w:val="none" w:sz="0" w:space="0" w:color="auto"/>
          </w:divBdr>
        </w:div>
      </w:divsChild>
    </w:div>
    <w:div w:id="313534139">
      <w:bodyDiv w:val="1"/>
      <w:marLeft w:val="0"/>
      <w:marRight w:val="0"/>
      <w:marTop w:val="0"/>
      <w:marBottom w:val="0"/>
      <w:divBdr>
        <w:top w:val="none" w:sz="0" w:space="0" w:color="auto"/>
        <w:left w:val="none" w:sz="0" w:space="0" w:color="auto"/>
        <w:bottom w:val="none" w:sz="0" w:space="0" w:color="auto"/>
        <w:right w:val="none" w:sz="0" w:space="0" w:color="auto"/>
      </w:divBdr>
    </w:div>
    <w:div w:id="313605018">
      <w:bodyDiv w:val="1"/>
      <w:marLeft w:val="0"/>
      <w:marRight w:val="0"/>
      <w:marTop w:val="0"/>
      <w:marBottom w:val="0"/>
      <w:divBdr>
        <w:top w:val="none" w:sz="0" w:space="0" w:color="auto"/>
        <w:left w:val="none" w:sz="0" w:space="0" w:color="auto"/>
        <w:bottom w:val="none" w:sz="0" w:space="0" w:color="auto"/>
        <w:right w:val="none" w:sz="0" w:space="0" w:color="auto"/>
      </w:divBdr>
      <w:divsChild>
        <w:div w:id="410856225">
          <w:marLeft w:val="0"/>
          <w:marRight w:val="0"/>
          <w:marTop w:val="0"/>
          <w:marBottom w:val="0"/>
          <w:divBdr>
            <w:top w:val="none" w:sz="0" w:space="0" w:color="auto"/>
            <w:left w:val="none" w:sz="0" w:space="0" w:color="auto"/>
            <w:bottom w:val="none" w:sz="0" w:space="0" w:color="auto"/>
            <w:right w:val="none" w:sz="0" w:space="0" w:color="auto"/>
          </w:divBdr>
          <w:divsChild>
            <w:div w:id="117133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53292">
      <w:bodyDiv w:val="1"/>
      <w:marLeft w:val="0"/>
      <w:marRight w:val="0"/>
      <w:marTop w:val="0"/>
      <w:marBottom w:val="0"/>
      <w:divBdr>
        <w:top w:val="none" w:sz="0" w:space="0" w:color="auto"/>
        <w:left w:val="none" w:sz="0" w:space="0" w:color="auto"/>
        <w:bottom w:val="none" w:sz="0" w:space="0" w:color="auto"/>
        <w:right w:val="none" w:sz="0" w:space="0" w:color="auto"/>
      </w:divBdr>
      <w:divsChild>
        <w:div w:id="287513989">
          <w:marLeft w:val="0"/>
          <w:marRight w:val="0"/>
          <w:marTop w:val="0"/>
          <w:marBottom w:val="150"/>
          <w:divBdr>
            <w:top w:val="none" w:sz="0" w:space="0" w:color="auto"/>
            <w:left w:val="none" w:sz="0" w:space="0" w:color="auto"/>
            <w:bottom w:val="none" w:sz="0" w:space="0" w:color="auto"/>
            <w:right w:val="none" w:sz="0" w:space="0" w:color="auto"/>
          </w:divBdr>
        </w:div>
        <w:div w:id="2022538242">
          <w:marLeft w:val="0"/>
          <w:marRight w:val="0"/>
          <w:marTop w:val="0"/>
          <w:marBottom w:val="150"/>
          <w:divBdr>
            <w:top w:val="none" w:sz="0" w:space="0" w:color="auto"/>
            <w:left w:val="none" w:sz="0" w:space="0" w:color="auto"/>
            <w:bottom w:val="none" w:sz="0" w:space="0" w:color="auto"/>
            <w:right w:val="none" w:sz="0" w:space="0" w:color="auto"/>
          </w:divBdr>
          <w:divsChild>
            <w:div w:id="20645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803982">
      <w:bodyDiv w:val="1"/>
      <w:marLeft w:val="0"/>
      <w:marRight w:val="0"/>
      <w:marTop w:val="0"/>
      <w:marBottom w:val="0"/>
      <w:divBdr>
        <w:top w:val="none" w:sz="0" w:space="0" w:color="auto"/>
        <w:left w:val="none" w:sz="0" w:space="0" w:color="auto"/>
        <w:bottom w:val="none" w:sz="0" w:space="0" w:color="auto"/>
        <w:right w:val="none" w:sz="0" w:space="0" w:color="auto"/>
      </w:divBdr>
      <w:divsChild>
        <w:div w:id="979503876">
          <w:marLeft w:val="0"/>
          <w:marRight w:val="0"/>
          <w:marTop w:val="0"/>
          <w:marBottom w:val="0"/>
          <w:divBdr>
            <w:top w:val="none" w:sz="0" w:space="0" w:color="auto"/>
            <w:left w:val="none" w:sz="0" w:space="0" w:color="auto"/>
            <w:bottom w:val="dotted" w:sz="6" w:space="4" w:color="DDDDDD"/>
            <w:right w:val="none" w:sz="0" w:space="0" w:color="auto"/>
          </w:divBdr>
        </w:div>
      </w:divsChild>
    </w:div>
    <w:div w:id="314139654">
      <w:bodyDiv w:val="1"/>
      <w:marLeft w:val="0"/>
      <w:marRight w:val="0"/>
      <w:marTop w:val="0"/>
      <w:marBottom w:val="0"/>
      <w:divBdr>
        <w:top w:val="none" w:sz="0" w:space="0" w:color="auto"/>
        <w:left w:val="none" w:sz="0" w:space="0" w:color="auto"/>
        <w:bottom w:val="none" w:sz="0" w:space="0" w:color="auto"/>
        <w:right w:val="none" w:sz="0" w:space="0" w:color="auto"/>
      </w:divBdr>
    </w:div>
    <w:div w:id="314338975">
      <w:bodyDiv w:val="1"/>
      <w:marLeft w:val="0"/>
      <w:marRight w:val="0"/>
      <w:marTop w:val="0"/>
      <w:marBottom w:val="0"/>
      <w:divBdr>
        <w:top w:val="none" w:sz="0" w:space="0" w:color="auto"/>
        <w:left w:val="none" w:sz="0" w:space="0" w:color="auto"/>
        <w:bottom w:val="none" w:sz="0" w:space="0" w:color="auto"/>
        <w:right w:val="none" w:sz="0" w:space="0" w:color="auto"/>
      </w:divBdr>
    </w:div>
    <w:div w:id="315300312">
      <w:bodyDiv w:val="1"/>
      <w:marLeft w:val="0"/>
      <w:marRight w:val="0"/>
      <w:marTop w:val="0"/>
      <w:marBottom w:val="0"/>
      <w:divBdr>
        <w:top w:val="none" w:sz="0" w:space="0" w:color="auto"/>
        <w:left w:val="none" w:sz="0" w:space="0" w:color="auto"/>
        <w:bottom w:val="none" w:sz="0" w:space="0" w:color="auto"/>
        <w:right w:val="none" w:sz="0" w:space="0" w:color="auto"/>
      </w:divBdr>
      <w:divsChild>
        <w:div w:id="86661180">
          <w:marLeft w:val="0"/>
          <w:marRight w:val="0"/>
          <w:marTop w:val="0"/>
          <w:marBottom w:val="0"/>
          <w:divBdr>
            <w:top w:val="none" w:sz="0" w:space="0" w:color="auto"/>
            <w:left w:val="none" w:sz="0" w:space="0" w:color="auto"/>
            <w:bottom w:val="none" w:sz="0" w:space="0" w:color="auto"/>
            <w:right w:val="none" w:sz="0" w:space="0" w:color="auto"/>
          </w:divBdr>
          <w:divsChild>
            <w:div w:id="21030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694531">
      <w:bodyDiv w:val="1"/>
      <w:marLeft w:val="0"/>
      <w:marRight w:val="0"/>
      <w:marTop w:val="0"/>
      <w:marBottom w:val="0"/>
      <w:divBdr>
        <w:top w:val="none" w:sz="0" w:space="0" w:color="auto"/>
        <w:left w:val="none" w:sz="0" w:space="0" w:color="auto"/>
        <w:bottom w:val="none" w:sz="0" w:space="0" w:color="auto"/>
        <w:right w:val="none" w:sz="0" w:space="0" w:color="auto"/>
      </w:divBdr>
      <w:divsChild>
        <w:div w:id="1872496120">
          <w:marLeft w:val="0"/>
          <w:marRight w:val="0"/>
          <w:marTop w:val="0"/>
          <w:marBottom w:val="0"/>
          <w:divBdr>
            <w:top w:val="none" w:sz="0" w:space="0" w:color="auto"/>
            <w:left w:val="none" w:sz="0" w:space="0" w:color="auto"/>
            <w:bottom w:val="none" w:sz="0" w:space="0" w:color="auto"/>
            <w:right w:val="none" w:sz="0" w:space="0" w:color="auto"/>
          </w:divBdr>
          <w:divsChild>
            <w:div w:id="150368647">
              <w:marLeft w:val="0"/>
              <w:marRight w:val="0"/>
              <w:marTop w:val="0"/>
              <w:marBottom w:val="0"/>
              <w:divBdr>
                <w:top w:val="none" w:sz="0" w:space="0" w:color="auto"/>
                <w:left w:val="none" w:sz="0" w:space="0" w:color="auto"/>
                <w:bottom w:val="none" w:sz="0" w:space="0" w:color="auto"/>
                <w:right w:val="none" w:sz="0" w:space="0" w:color="auto"/>
              </w:divBdr>
              <w:divsChild>
                <w:div w:id="1238516591">
                  <w:marLeft w:val="0"/>
                  <w:marRight w:val="0"/>
                  <w:marTop w:val="0"/>
                  <w:marBottom w:val="0"/>
                  <w:divBdr>
                    <w:top w:val="none" w:sz="0" w:space="0" w:color="auto"/>
                    <w:left w:val="none" w:sz="0" w:space="0" w:color="auto"/>
                    <w:bottom w:val="none" w:sz="0" w:space="0" w:color="auto"/>
                    <w:right w:val="none" w:sz="0" w:space="0" w:color="auto"/>
                  </w:divBdr>
                  <w:divsChild>
                    <w:div w:id="1380939810">
                      <w:marLeft w:val="0"/>
                      <w:marRight w:val="0"/>
                      <w:marTop w:val="0"/>
                      <w:marBottom w:val="0"/>
                      <w:divBdr>
                        <w:top w:val="none" w:sz="0" w:space="0" w:color="auto"/>
                        <w:left w:val="none" w:sz="0" w:space="0" w:color="auto"/>
                        <w:bottom w:val="none" w:sz="0" w:space="0" w:color="auto"/>
                        <w:right w:val="none" w:sz="0" w:space="0" w:color="auto"/>
                      </w:divBdr>
                      <w:divsChild>
                        <w:div w:id="2083985989">
                          <w:marLeft w:val="0"/>
                          <w:marRight w:val="0"/>
                          <w:marTop w:val="0"/>
                          <w:marBottom w:val="0"/>
                          <w:divBdr>
                            <w:top w:val="none" w:sz="0" w:space="0" w:color="auto"/>
                            <w:left w:val="none" w:sz="0" w:space="0" w:color="auto"/>
                            <w:bottom w:val="none" w:sz="0" w:space="0" w:color="auto"/>
                            <w:right w:val="none" w:sz="0" w:space="0" w:color="auto"/>
                          </w:divBdr>
                          <w:divsChild>
                            <w:div w:id="1549103278">
                              <w:marLeft w:val="0"/>
                              <w:marRight w:val="0"/>
                              <w:marTop w:val="0"/>
                              <w:marBottom w:val="0"/>
                              <w:divBdr>
                                <w:top w:val="none" w:sz="0" w:space="0" w:color="auto"/>
                                <w:left w:val="none" w:sz="0" w:space="0" w:color="auto"/>
                                <w:bottom w:val="none" w:sz="0" w:space="0" w:color="auto"/>
                                <w:right w:val="none" w:sz="0" w:space="0" w:color="auto"/>
                              </w:divBdr>
                              <w:divsChild>
                                <w:div w:id="1577788551">
                                  <w:marLeft w:val="0"/>
                                  <w:marRight w:val="0"/>
                                  <w:marTop w:val="0"/>
                                  <w:marBottom w:val="0"/>
                                  <w:divBdr>
                                    <w:top w:val="none" w:sz="0" w:space="0" w:color="auto"/>
                                    <w:left w:val="none" w:sz="0" w:space="0" w:color="auto"/>
                                    <w:bottom w:val="none" w:sz="0" w:space="0" w:color="auto"/>
                                    <w:right w:val="none" w:sz="0" w:space="0" w:color="auto"/>
                                  </w:divBdr>
                                  <w:divsChild>
                                    <w:div w:id="1973249377">
                                      <w:marLeft w:val="0"/>
                                      <w:marRight w:val="0"/>
                                      <w:marTop w:val="0"/>
                                      <w:marBottom w:val="0"/>
                                      <w:divBdr>
                                        <w:top w:val="none" w:sz="0" w:space="0" w:color="auto"/>
                                        <w:left w:val="none" w:sz="0" w:space="0" w:color="auto"/>
                                        <w:bottom w:val="none" w:sz="0" w:space="0" w:color="auto"/>
                                        <w:right w:val="none" w:sz="0" w:space="0" w:color="auto"/>
                                      </w:divBdr>
                                      <w:divsChild>
                                        <w:div w:id="540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5962812">
      <w:bodyDiv w:val="1"/>
      <w:marLeft w:val="0"/>
      <w:marRight w:val="0"/>
      <w:marTop w:val="0"/>
      <w:marBottom w:val="0"/>
      <w:divBdr>
        <w:top w:val="none" w:sz="0" w:space="0" w:color="auto"/>
        <w:left w:val="none" w:sz="0" w:space="0" w:color="auto"/>
        <w:bottom w:val="none" w:sz="0" w:space="0" w:color="auto"/>
        <w:right w:val="none" w:sz="0" w:space="0" w:color="auto"/>
      </w:divBdr>
      <w:divsChild>
        <w:div w:id="121731191">
          <w:marLeft w:val="0"/>
          <w:marRight w:val="0"/>
          <w:marTop w:val="0"/>
          <w:marBottom w:val="150"/>
          <w:divBdr>
            <w:top w:val="none" w:sz="0" w:space="0" w:color="auto"/>
            <w:left w:val="none" w:sz="0" w:space="0" w:color="auto"/>
            <w:bottom w:val="none" w:sz="0" w:space="0" w:color="auto"/>
            <w:right w:val="none" w:sz="0" w:space="0" w:color="auto"/>
          </w:divBdr>
          <w:divsChild>
            <w:div w:id="866526864">
              <w:marLeft w:val="0"/>
              <w:marRight w:val="0"/>
              <w:marTop w:val="0"/>
              <w:marBottom w:val="0"/>
              <w:divBdr>
                <w:top w:val="none" w:sz="0" w:space="0" w:color="auto"/>
                <w:left w:val="none" w:sz="0" w:space="0" w:color="auto"/>
                <w:bottom w:val="none" w:sz="0" w:space="0" w:color="auto"/>
                <w:right w:val="none" w:sz="0" w:space="0" w:color="auto"/>
              </w:divBdr>
            </w:div>
          </w:divsChild>
        </w:div>
        <w:div w:id="232397516">
          <w:marLeft w:val="0"/>
          <w:marRight w:val="0"/>
          <w:marTop w:val="0"/>
          <w:marBottom w:val="0"/>
          <w:divBdr>
            <w:top w:val="none" w:sz="0" w:space="0" w:color="auto"/>
            <w:left w:val="none" w:sz="0" w:space="0" w:color="auto"/>
            <w:bottom w:val="none" w:sz="0" w:space="0" w:color="auto"/>
            <w:right w:val="none" w:sz="0" w:space="0" w:color="auto"/>
          </w:divBdr>
          <w:divsChild>
            <w:div w:id="121002057">
              <w:marLeft w:val="0"/>
              <w:marRight w:val="0"/>
              <w:marTop w:val="0"/>
              <w:marBottom w:val="0"/>
              <w:divBdr>
                <w:top w:val="none" w:sz="0" w:space="0" w:color="auto"/>
                <w:left w:val="none" w:sz="0" w:space="0" w:color="auto"/>
                <w:bottom w:val="none" w:sz="0" w:space="0" w:color="auto"/>
                <w:right w:val="none" w:sz="0" w:space="0" w:color="auto"/>
              </w:divBdr>
            </w:div>
          </w:divsChild>
        </w:div>
        <w:div w:id="272057371">
          <w:marLeft w:val="0"/>
          <w:marRight w:val="0"/>
          <w:marTop w:val="0"/>
          <w:marBottom w:val="150"/>
          <w:divBdr>
            <w:top w:val="none" w:sz="0" w:space="0" w:color="auto"/>
            <w:left w:val="none" w:sz="0" w:space="0" w:color="auto"/>
            <w:bottom w:val="none" w:sz="0" w:space="0" w:color="auto"/>
            <w:right w:val="none" w:sz="0" w:space="0" w:color="auto"/>
          </w:divBdr>
        </w:div>
      </w:divsChild>
    </w:div>
    <w:div w:id="316306040">
      <w:bodyDiv w:val="1"/>
      <w:marLeft w:val="0"/>
      <w:marRight w:val="0"/>
      <w:marTop w:val="0"/>
      <w:marBottom w:val="0"/>
      <w:divBdr>
        <w:top w:val="none" w:sz="0" w:space="0" w:color="auto"/>
        <w:left w:val="none" w:sz="0" w:space="0" w:color="auto"/>
        <w:bottom w:val="none" w:sz="0" w:space="0" w:color="auto"/>
        <w:right w:val="none" w:sz="0" w:space="0" w:color="auto"/>
      </w:divBdr>
      <w:divsChild>
        <w:div w:id="499541563">
          <w:marLeft w:val="0"/>
          <w:marRight w:val="0"/>
          <w:marTop w:val="0"/>
          <w:marBottom w:val="0"/>
          <w:divBdr>
            <w:top w:val="none" w:sz="0" w:space="0" w:color="auto"/>
            <w:left w:val="none" w:sz="0" w:space="0" w:color="auto"/>
            <w:bottom w:val="dotted" w:sz="6" w:space="4" w:color="DDDDDD"/>
            <w:right w:val="none" w:sz="0" w:space="0" w:color="auto"/>
          </w:divBdr>
          <w:divsChild>
            <w:div w:id="44770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345018">
      <w:bodyDiv w:val="1"/>
      <w:marLeft w:val="0"/>
      <w:marRight w:val="0"/>
      <w:marTop w:val="0"/>
      <w:marBottom w:val="0"/>
      <w:divBdr>
        <w:top w:val="none" w:sz="0" w:space="0" w:color="auto"/>
        <w:left w:val="none" w:sz="0" w:space="0" w:color="auto"/>
        <w:bottom w:val="none" w:sz="0" w:space="0" w:color="auto"/>
        <w:right w:val="none" w:sz="0" w:space="0" w:color="auto"/>
      </w:divBdr>
      <w:divsChild>
        <w:div w:id="472871507">
          <w:marLeft w:val="0"/>
          <w:marRight w:val="0"/>
          <w:marTop w:val="0"/>
          <w:marBottom w:val="0"/>
          <w:divBdr>
            <w:top w:val="none" w:sz="0" w:space="0" w:color="auto"/>
            <w:left w:val="none" w:sz="0" w:space="0" w:color="auto"/>
            <w:bottom w:val="none" w:sz="0" w:space="0" w:color="auto"/>
            <w:right w:val="none" w:sz="0" w:space="0" w:color="auto"/>
          </w:divBdr>
        </w:div>
      </w:divsChild>
    </w:div>
    <w:div w:id="316419140">
      <w:bodyDiv w:val="1"/>
      <w:marLeft w:val="0"/>
      <w:marRight w:val="0"/>
      <w:marTop w:val="0"/>
      <w:marBottom w:val="0"/>
      <w:divBdr>
        <w:top w:val="none" w:sz="0" w:space="0" w:color="auto"/>
        <w:left w:val="none" w:sz="0" w:space="0" w:color="auto"/>
        <w:bottom w:val="none" w:sz="0" w:space="0" w:color="auto"/>
        <w:right w:val="none" w:sz="0" w:space="0" w:color="auto"/>
      </w:divBdr>
      <w:divsChild>
        <w:div w:id="269511687">
          <w:marLeft w:val="0"/>
          <w:marRight w:val="0"/>
          <w:marTop w:val="0"/>
          <w:marBottom w:val="0"/>
          <w:divBdr>
            <w:top w:val="none" w:sz="0" w:space="0" w:color="auto"/>
            <w:left w:val="none" w:sz="0" w:space="0" w:color="auto"/>
            <w:bottom w:val="none" w:sz="0" w:space="0" w:color="auto"/>
            <w:right w:val="none" w:sz="0" w:space="0" w:color="auto"/>
          </w:divBdr>
          <w:divsChild>
            <w:div w:id="1510830542">
              <w:marLeft w:val="0"/>
              <w:marRight w:val="0"/>
              <w:marTop w:val="0"/>
              <w:marBottom w:val="0"/>
              <w:divBdr>
                <w:top w:val="none" w:sz="0" w:space="0" w:color="auto"/>
                <w:left w:val="none" w:sz="0" w:space="0" w:color="auto"/>
                <w:bottom w:val="none" w:sz="0" w:space="0" w:color="auto"/>
                <w:right w:val="none" w:sz="0" w:space="0" w:color="auto"/>
              </w:divBdr>
              <w:divsChild>
                <w:div w:id="28986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269530">
          <w:marLeft w:val="0"/>
          <w:marRight w:val="0"/>
          <w:marTop w:val="0"/>
          <w:marBottom w:val="75"/>
          <w:divBdr>
            <w:top w:val="none" w:sz="0" w:space="0" w:color="auto"/>
            <w:left w:val="none" w:sz="0" w:space="0" w:color="auto"/>
            <w:bottom w:val="none" w:sz="0" w:space="0" w:color="auto"/>
            <w:right w:val="none" w:sz="0" w:space="0" w:color="auto"/>
          </w:divBdr>
        </w:div>
        <w:div w:id="378093119">
          <w:marLeft w:val="0"/>
          <w:marRight w:val="0"/>
          <w:marTop w:val="0"/>
          <w:marBottom w:val="0"/>
          <w:divBdr>
            <w:top w:val="none" w:sz="0" w:space="0" w:color="auto"/>
            <w:left w:val="none" w:sz="0" w:space="0" w:color="auto"/>
            <w:bottom w:val="none" w:sz="0" w:space="0" w:color="auto"/>
            <w:right w:val="none" w:sz="0" w:space="0" w:color="auto"/>
          </w:divBdr>
          <w:divsChild>
            <w:div w:id="516192488">
              <w:marLeft w:val="0"/>
              <w:marRight w:val="0"/>
              <w:marTop w:val="0"/>
              <w:marBottom w:val="0"/>
              <w:divBdr>
                <w:top w:val="none" w:sz="0" w:space="0" w:color="auto"/>
                <w:left w:val="none" w:sz="0" w:space="0" w:color="auto"/>
                <w:bottom w:val="none" w:sz="0" w:space="0" w:color="auto"/>
                <w:right w:val="none" w:sz="0" w:space="0" w:color="auto"/>
              </w:divBdr>
              <w:divsChild>
                <w:div w:id="682589003">
                  <w:marLeft w:val="0"/>
                  <w:marRight w:val="0"/>
                  <w:marTop w:val="0"/>
                  <w:marBottom w:val="450"/>
                  <w:divBdr>
                    <w:top w:val="none" w:sz="0" w:space="0" w:color="auto"/>
                    <w:left w:val="none" w:sz="0" w:space="0" w:color="auto"/>
                    <w:bottom w:val="none" w:sz="0" w:space="0" w:color="auto"/>
                    <w:right w:val="none" w:sz="0" w:space="0" w:color="auto"/>
                  </w:divBdr>
                  <w:divsChild>
                    <w:div w:id="13243564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316419204">
      <w:bodyDiv w:val="1"/>
      <w:marLeft w:val="0"/>
      <w:marRight w:val="0"/>
      <w:marTop w:val="0"/>
      <w:marBottom w:val="0"/>
      <w:divBdr>
        <w:top w:val="none" w:sz="0" w:space="0" w:color="auto"/>
        <w:left w:val="none" w:sz="0" w:space="0" w:color="auto"/>
        <w:bottom w:val="none" w:sz="0" w:space="0" w:color="auto"/>
        <w:right w:val="none" w:sz="0" w:space="0" w:color="auto"/>
      </w:divBdr>
      <w:divsChild>
        <w:div w:id="1754357817">
          <w:marLeft w:val="0"/>
          <w:marRight w:val="0"/>
          <w:marTop w:val="0"/>
          <w:marBottom w:val="150"/>
          <w:divBdr>
            <w:top w:val="none" w:sz="0" w:space="0" w:color="auto"/>
            <w:left w:val="none" w:sz="0" w:space="0" w:color="auto"/>
            <w:bottom w:val="none" w:sz="0" w:space="0" w:color="auto"/>
            <w:right w:val="none" w:sz="0" w:space="0" w:color="auto"/>
          </w:divBdr>
        </w:div>
      </w:divsChild>
    </w:div>
    <w:div w:id="316420487">
      <w:bodyDiv w:val="1"/>
      <w:marLeft w:val="0"/>
      <w:marRight w:val="0"/>
      <w:marTop w:val="0"/>
      <w:marBottom w:val="0"/>
      <w:divBdr>
        <w:top w:val="none" w:sz="0" w:space="0" w:color="auto"/>
        <w:left w:val="none" w:sz="0" w:space="0" w:color="auto"/>
        <w:bottom w:val="none" w:sz="0" w:space="0" w:color="auto"/>
        <w:right w:val="none" w:sz="0" w:space="0" w:color="auto"/>
      </w:divBdr>
      <w:divsChild>
        <w:div w:id="331571839">
          <w:marLeft w:val="0"/>
          <w:marRight w:val="0"/>
          <w:marTop w:val="0"/>
          <w:marBottom w:val="150"/>
          <w:divBdr>
            <w:top w:val="none" w:sz="0" w:space="0" w:color="auto"/>
            <w:left w:val="none" w:sz="0" w:space="0" w:color="auto"/>
            <w:bottom w:val="none" w:sz="0" w:space="0" w:color="auto"/>
            <w:right w:val="none" w:sz="0" w:space="0" w:color="auto"/>
          </w:divBdr>
          <w:divsChild>
            <w:div w:id="1330671234">
              <w:marLeft w:val="0"/>
              <w:marRight w:val="0"/>
              <w:marTop w:val="0"/>
              <w:marBottom w:val="0"/>
              <w:divBdr>
                <w:top w:val="none" w:sz="0" w:space="0" w:color="auto"/>
                <w:left w:val="none" w:sz="0" w:space="0" w:color="auto"/>
                <w:bottom w:val="none" w:sz="0" w:space="0" w:color="auto"/>
                <w:right w:val="none" w:sz="0" w:space="0" w:color="auto"/>
              </w:divBdr>
              <w:divsChild>
                <w:div w:id="1607423581">
                  <w:marLeft w:val="0"/>
                  <w:marRight w:val="0"/>
                  <w:marTop w:val="0"/>
                  <w:marBottom w:val="0"/>
                  <w:divBdr>
                    <w:top w:val="none" w:sz="0" w:space="0" w:color="auto"/>
                    <w:left w:val="none" w:sz="0" w:space="0" w:color="auto"/>
                    <w:bottom w:val="none" w:sz="0" w:space="0" w:color="auto"/>
                    <w:right w:val="none" w:sz="0" w:space="0" w:color="auto"/>
                  </w:divBdr>
                  <w:divsChild>
                    <w:div w:id="894700117">
                      <w:marLeft w:val="0"/>
                      <w:marRight w:val="150"/>
                      <w:marTop w:val="0"/>
                      <w:marBottom w:val="0"/>
                      <w:divBdr>
                        <w:top w:val="none" w:sz="0" w:space="0" w:color="auto"/>
                        <w:left w:val="none" w:sz="0" w:space="0" w:color="auto"/>
                        <w:bottom w:val="none" w:sz="0" w:space="0" w:color="auto"/>
                        <w:right w:val="none" w:sz="0" w:space="0" w:color="auto"/>
                      </w:divBdr>
                      <w:divsChild>
                        <w:div w:id="106942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798800">
          <w:marLeft w:val="0"/>
          <w:marRight w:val="0"/>
          <w:marTop w:val="0"/>
          <w:marBottom w:val="150"/>
          <w:divBdr>
            <w:top w:val="none" w:sz="0" w:space="0" w:color="auto"/>
            <w:left w:val="none" w:sz="0" w:space="0" w:color="auto"/>
            <w:bottom w:val="none" w:sz="0" w:space="0" w:color="auto"/>
            <w:right w:val="none" w:sz="0" w:space="0" w:color="auto"/>
          </w:divBdr>
        </w:div>
        <w:div w:id="294799716">
          <w:marLeft w:val="0"/>
          <w:marRight w:val="0"/>
          <w:marTop w:val="0"/>
          <w:marBottom w:val="0"/>
          <w:divBdr>
            <w:top w:val="none" w:sz="0" w:space="0" w:color="auto"/>
            <w:left w:val="none" w:sz="0" w:space="0" w:color="auto"/>
            <w:bottom w:val="none" w:sz="0" w:space="0" w:color="auto"/>
            <w:right w:val="none" w:sz="0" w:space="0" w:color="auto"/>
          </w:divBdr>
          <w:divsChild>
            <w:div w:id="84772172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16958991">
      <w:bodyDiv w:val="1"/>
      <w:marLeft w:val="0"/>
      <w:marRight w:val="0"/>
      <w:marTop w:val="0"/>
      <w:marBottom w:val="0"/>
      <w:divBdr>
        <w:top w:val="none" w:sz="0" w:space="0" w:color="auto"/>
        <w:left w:val="none" w:sz="0" w:space="0" w:color="auto"/>
        <w:bottom w:val="none" w:sz="0" w:space="0" w:color="auto"/>
        <w:right w:val="none" w:sz="0" w:space="0" w:color="auto"/>
      </w:divBdr>
    </w:div>
    <w:div w:id="317265343">
      <w:bodyDiv w:val="1"/>
      <w:marLeft w:val="0"/>
      <w:marRight w:val="0"/>
      <w:marTop w:val="0"/>
      <w:marBottom w:val="0"/>
      <w:divBdr>
        <w:top w:val="none" w:sz="0" w:space="0" w:color="auto"/>
        <w:left w:val="none" w:sz="0" w:space="0" w:color="auto"/>
        <w:bottom w:val="none" w:sz="0" w:space="0" w:color="auto"/>
        <w:right w:val="none" w:sz="0" w:space="0" w:color="auto"/>
      </w:divBdr>
    </w:div>
    <w:div w:id="317344670">
      <w:bodyDiv w:val="1"/>
      <w:marLeft w:val="0"/>
      <w:marRight w:val="0"/>
      <w:marTop w:val="0"/>
      <w:marBottom w:val="0"/>
      <w:divBdr>
        <w:top w:val="none" w:sz="0" w:space="0" w:color="auto"/>
        <w:left w:val="none" w:sz="0" w:space="0" w:color="auto"/>
        <w:bottom w:val="none" w:sz="0" w:space="0" w:color="auto"/>
        <w:right w:val="none" w:sz="0" w:space="0" w:color="auto"/>
      </w:divBdr>
      <w:divsChild>
        <w:div w:id="100152321">
          <w:marLeft w:val="0"/>
          <w:marRight w:val="0"/>
          <w:marTop w:val="0"/>
          <w:marBottom w:val="0"/>
          <w:divBdr>
            <w:top w:val="none" w:sz="0" w:space="0" w:color="auto"/>
            <w:left w:val="none" w:sz="0" w:space="0" w:color="auto"/>
            <w:bottom w:val="dotted" w:sz="6" w:space="4" w:color="DDDDDD"/>
            <w:right w:val="none" w:sz="0" w:space="0" w:color="auto"/>
          </w:divBdr>
        </w:div>
      </w:divsChild>
    </w:div>
    <w:div w:id="317350296">
      <w:bodyDiv w:val="1"/>
      <w:marLeft w:val="0"/>
      <w:marRight w:val="0"/>
      <w:marTop w:val="0"/>
      <w:marBottom w:val="0"/>
      <w:divBdr>
        <w:top w:val="none" w:sz="0" w:space="0" w:color="auto"/>
        <w:left w:val="none" w:sz="0" w:space="0" w:color="auto"/>
        <w:bottom w:val="none" w:sz="0" w:space="0" w:color="auto"/>
        <w:right w:val="none" w:sz="0" w:space="0" w:color="auto"/>
      </w:divBdr>
      <w:divsChild>
        <w:div w:id="1693451858">
          <w:marLeft w:val="0"/>
          <w:marRight w:val="0"/>
          <w:marTop w:val="0"/>
          <w:marBottom w:val="0"/>
          <w:divBdr>
            <w:top w:val="none" w:sz="0" w:space="0" w:color="auto"/>
            <w:left w:val="none" w:sz="0" w:space="0" w:color="auto"/>
            <w:bottom w:val="none" w:sz="0" w:space="0" w:color="auto"/>
            <w:right w:val="none" w:sz="0" w:space="0" w:color="auto"/>
          </w:divBdr>
          <w:divsChild>
            <w:div w:id="1653488877">
              <w:marLeft w:val="0"/>
              <w:marRight w:val="0"/>
              <w:marTop w:val="0"/>
              <w:marBottom w:val="0"/>
              <w:divBdr>
                <w:top w:val="none" w:sz="0" w:space="0" w:color="auto"/>
                <w:left w:val="none" w:sz="0" w:space="0" w:color="auto"/>
                <w:bottom w:val="none" w:sz="0" w:space="0" w:color="auto"/>
                <w:right w:val="none" w:sz="0" w:space="0" w:color="auto"/>
              </w:divBdr>
              <w:divsChild>
                <w:div w:id="1595162761">
                  <w:marLeft w:val="0"/>
                  <w:marRight w:val="0"/>
                  <w:marTop w:val="0"/>
                  <w:marBottom w:val="0"/>
                  <w:divBdr>
                    <w:top w:val="none" w:sz="0" w:space="0" w:color="auto"/>
                    <w:left w:val="none" w:sz="0" w:space="0" w:color="auto"/>
                    <w:bottom w:val="none" w:sz="0" w:space="0" w:color="auto"/>
                    <w:right w:val="none" w:sz="0" w:space="0" w:color="auto"/>
                  </w:divBdr>
                  <w:divsChild>
                    <w:div w:id="1919441952">
                      <w:marLeft w:val="0"/>
                      <w:marRight w:val="0"/>
                      <w:marTop w:val="0"/>
                      <w:marBottom w:val="0"/>
                      <w:divBdr>
                        <w:top w:val="none" w:sz="0" w:space="0" w:color="auto"/>
                        <w:left w:val="none" w:sz="0" w:space="0" w:color="auto"/>
                        <w:bottom w:val="none" w:sz="0" w:space="0" w:color="auto"/>
                        <w:right w:val="none" w:sz="0" w:space="0" w:color="auto"/>
                      </w:divBdr>
                      <w:divsChild>
                        <w:div w:id="1305239972">
                          <w:marLeft w:val="0"/>
                          <w:marRight w:val="0"/>
                          <w:marTop w:val="0"/>
                          <w:marBottom w:val="0"/>
                          <w:divBdr>
                            <w:top w:val="none" w:sz="0" w:space="0" w:color="auto"/>
                            <w:left w:val="none" w:sz="0" w:space="0" w:color="auto"/>
                            <w:bottom w:val="none" w:sz="0" w:space="0" w:color="auto"/>
                            <w:right w:val="none" w:sz="0" w:space="0" w:color="auto"/>
                          </w:divBdr>
                          <w:divsChild>
                            <w:div w:id="127743879">
                              <w:marLeft w:val="0"/>
                              <w:marRight w:val="0"/>
                              <w:marTop w:val="0"/>
                              <w:marBottom w:val="0"/>
                              <w:divBdr>
                                <w:top w:val="none" w:sz="0" w:space="0" w:color="auto"/>
                                <w:left w:val="none" w:sz="0" w:space="0" w:color="auto"/>
                                <w:bottom w:val="none" w:sz="0" w:space="0" w:color="auto"/>
                                <w:right w:val="none" w:sz="0" w:space="0" w:color="auto"/>
                              </w:divBdr>
                              <w:divsChild>
                                <w:div w:id="1301961828">
                                  <w:marLeft w:val="0"/>
                                  <w:marRight w:val="0"/>
                                  <w:marTop w:val="0"/>
                                  <w:marBottom w:val="0"/>
                                  <w:divBdr>
                                    <w:top w:val="none" w:sz="0" w:space="0" w:color="auto"/>
                                    <w:left w:val="none" w:sz="0" w:space="0" w:color="auto"/>
                                    <w:bottom w:val="none" w:sz="0" w:space="0" w:color="auto"/>
                                    <w:right w:val="none" w:sz="0" w:space="0" w:color="auto"/>
                                  </w:divBdr>
                                  <w:divsChild>
                                    <w:div w:id="204493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7466277">
      <w:bodyDiv w:val="1"/>
      <w:marLeft w:val="0"/>
      <w:marRight w:val="0"/>
      <w:marTop w:val="0"/>
      <w:marBottom w:val="0"/>
      <w:divBdr>
        <w:top w:val="none" w:sz="0" w:space="0" w:color="auto"/>
        <w:left w:val="none" w:sz="0" w:space="0" w:color="auto"/>
        <w:bottom w:val="none" w:sz="0" w:space="0" w:color="auto"/>
        <w:right w:val="none" w:sz="0" w:space="0" w:color="auto"/>
      </w:divBdr>
      <w:divsChild>
        <w:div w:id="1055474880">
          <w:marLeft w:val="0"/>
          <w:marRight w:val="0"/>
          <w:marTop w:val="0"/>
          <w:marBottom w:val="0"/>
          <w:divBdr>
            <w:top w:val="none" w:sz="0" w:space="0" w:color="auto"/>
            <w:left w:val="none" w:sz="0" w:space="0" w:color="auto"/>
            <w:bottom w:val="none" w:sz="0" w:space="0" w:color="auto"/>
            <w:right w:val="none" w:sz="0" w:space="0" w:color="auto"/>
          </w:divBdr>
          <w:divsChild>
            <w:div w:id="642077120">
              <w:marLeft w:val="0"/>
              <w:marRight w:val="0"/>
              <w:marTop w:val="0"/>
              <w:marBottom w:val="150"/>
              <w:divBdr>
                <w:top w:val="none" w:sz="0" w:space="0" w:color="auto"/>
                <w:left w:val="none" w:sz="0" w:space="0" w:color="auto"/>
                <w:bottom w:val="none" w:sz="0" w:space="0" w:color="auto"/>
                <w:right w:val="none" w:sz="0" w:space="0" w:color="auto"/>
              </w:divBdr>
            </w:div>
            <w:div w:id="186045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617661">
      <w:bodyDiv w:val="1"/>
      <w:marLeft w:val="0"/>
      <w:marRight w:val="0"/>
      <w:marTop w:val="0"/>
      <w:marBottom w:val="0"/>
      <w:divBdr>
        <w:top w:val="none" w:sz="0" w:space="0" w:color="auto"/>
        <w:left w:val="none" w:sz="0" w:space="0" w:color="auto"/>
        <w:bottom w:val="none" w:sz="0" w:space="0" w:color="auto"/>
        <w:right w:val="none" w:sz="0" w:space="0" w:color="auto"/>
      </w:divBdr>
      <w:divsChild>
        <w:div w:id="686517273">
          <w:marLeft w:val="0"/>
          <w:marRight w:val="0"/>
          <w:marTop w:val="0"/>
          <w:marBottom w:val="0"/>
          <w:divBdr>
            <w:top w:val="none" w:sz="0" w:space="0" w:color="auto"/>
            <w:left w:val="none" w:sz="0" w:space="0" w:color="auto"/>
            <w:bottom w:val="dotted" w:sz="6" w:space="4" w:color="DDDDDD"/>
            <w:right w:val="none" w:sz="0" w:space="0" w:color="auto"/>
          </w:divBdr>
          <w:divsChild>
            <w:div w:id="142141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657401">
      <w:bodyDiv w:val="1"/>
      <w:marLeft w:val="0"/>
      <w:marRight w:val="0"/>
      <w:marTop w:val="0"/>
      <w:marBottom w:val="0"/>
      <w:divBdr>
        <w:top w:val="none" w:sz="0" w:space="0" w:color="auto"/>
        <w:left w:val="none" w:sz="0" w:space="0" w:color="auto"/>
        <w:bottom w:val="none" w:sz="0" w:space="0" w:color="auto"/>
        <w:right w:val="none" w:sz="0" w:space="0" w:color="auto"/>
      </w:divBdr>
      <w:divsChild>
        <w:div w:id="2026133309">
          <w:marLeft w:val="0"/>
          <w:marRight w:val="0"/>
          <w:marTop w:val="0"/>
          <w:marBottom w:val="150"/>
          <w:divBdr>
            <w:top w:val="none" w:sz="0" w:space="0" w:color="auto"/>
            <w:left w:val="none" w:sz="0" w:space="0" w:color="auto"/>
            <w:bottom w:val="none" w:sz="0" w:space="0" w:color="auto"/>
            <w:right w:val="none" w:sz="0" w:space="0" w:color="auto"/>
          </w:divBdr>
          <w:divsChild>
            <w:div w:id="780808238">
              <w:marLeft w:val="0"/>
              <w:marRight w:val="0"/>
              <w:marTop w:val="0"/>
              <w:marBottom w:val="0"/>
              <w:divBdr>
                <w:top w:val="none" w:sz="0" w:space="0" w:color="auto"/>
                <w:left w:val="none" w:sz="0" w:space="0" w:color="auto"/>
                <w:bottom w:val="none" w:sz="0" w:space="0" w:color="auto"/>
                <w:right w:val="none" w:sz="0" w:space="0" w:color="auto"/>
              </w:divBdr>
            </w:div>
          </w:divsChild>
        </w:div>
        <w:div w:id="1812671581">
          <w:marLeft w:val="0"/>
          <w:marRight w:val="0"/>
          <w:marTop w:val="0"/>
          <w:marBottom w:val="0"/>
          <w:divBdr>
            <w:top w:val="none" w:sz="0" w:space="0" w:color="auto"/>
            <w:left w:val="none" w:sz="0" w:space="0" w:color="auto"/>
            <w:bottom w:val="none" w:sz="0" w:space="0" w:color="auto"/>
            <w:right w:val="none" w:sz="0" w:space="0" w:color="auto"/>
          </w:divBdr>
        </w:div>
      </w:divsChild>
    </w:div>
    <w:div w:id="318271257">
      <w:bodyDiv w:val="1"/>
      <w:marLeft w:val="0"/>
      <w:marRight w:val="0"/>
      <w:marTop w:val="0"/>
      <w:marBottom w:val="0"/>
      <w:divBdr>
        <w:top w:val="none" w:sz="0" w:space="0" w:color="auto"/>
        <w:left w:val="none" w:sz="0" w:space="0" w:color="auto"/>
        <w:bottom w:val="none" w:sz="0" w:space="0" w:color="auto"/>
        <w:right w:val="none" w:sz="0" w:space="0" w:color="auto"/>
      </w:divBdr>
      <w:divsChild>
        <w:div w:id="796460073">
          <w:marLeft w:val="0"/>
          <w:marRight w:val="0"/>
          <w:marTop w:val="0"/>
          <w:marBottom w:val="0"/>
          <w:divBdr>
            <w:top w:val="none" w:sz="0" w:space="0" w:color="auto"/>
            <w:left w:val="none" w:sz="0" w:space="0" w:color="auto"/>
            <w:bottom w:val="none" w:sz="0" w:space="0" w:color="auto"/>
            <w:right w:val="none" w:sz="0" w:space="0" w:color="auto"/>
          </w:divBdr>
          <w:divsChild>
            <w:div w:id="1477454338">
              <w:marLeft w:val="0"/>
              <w:marRight w:val="0"/>
              <w:marTop w:val="0"/>
              <w:marBottom w:val="0"/>
              <w:divBdr>
                <w:top w:val="none" w:sz="0" w:space="0" w:color="auto"/>
                <w:left w:val="none" w:sz="0" w:space="0" w:color="auto"/>
                <w:bottom w:val="none" w:sz="0" w:space="0" w:color="auto"/>
                <w:right w:val="none" w:sz="0" w:space="0" w:color="auto"/>
              </w:divBdr>
              <w:divsChild>
                <w:div w:id="995955685">
                  <w:marLeft w:val="0"/>
                  <w:marRight w:val="0"/>
                  <w:marTop w:val="0"/>
                  <w:marBottom w:val="0"/>
                  <w:divBdr>
                    <w:top w:val="none" w:sz="0" w:space="0" w:color="auto"/>
                    <w:left w:val="none" w:sz="0" w:space="0" w:color="auto"/>
                    <w:bottom w:val="none" w:sz="0" w:space="0" w:color="auto"/>
                    <w:right w:val="none" w:sz="0" w:space="0" w:color="auto"/>
                  </w:divBdr>
                  <w:divsChild>
                    <w:div w:id="192575194">
                      <w:marLeft w:val="0"/>
                      <w:marRight w:val="0"/>
                      <w:marTop w:val="0"/>
                      <w:marBottom w:val="0"/>
                      <w:divBdr>
                        <w:top w:val="none" w:sz="0" w:space="0" w:color="auto"/>
                        <w:left w:val="none" w:sz="0" w:space="0" w:color="auto"/>
                        <w:bottom w:val="none" w:sz="0" w:space="0" w:color="auto"/>
                        <w:right w:val="none" w:sz="0" w:space="0" w:color="auto"/>
                      </w:divBdr>
                      <w:divsChild>
                        <w:div w:id="1612320029">
                          <w:marLeft w:val="0"/>
                          <w:marRight w:val="0"/>
                          <w:marTop w:val="0"/>
                          <w:marBottom w:val="0"/>
                          <w:divBdr>
                            <w:top w:val="none" w:sz="0" w:space="0" w:color="auto"/>
                            <w:left w:val="none" w:sz="0" w:space="0" w:color="auto"/>
                            <w:bottom w:val="none" w:sz="0" w:space="0" w:color="auto"/>
                            <w:right w:val="none" w:sz="0" w:space="0" w:color="auto"/>
                          </w:divBdr>
                          <w:divsChild>
                            <w:div w:id="870874930">
                              <w:marLeft w:val="0"/>
                              <w:marRight w:val="0"/>
                              <w:marTop w:val="0"/>
                              <w:marBottom w:val="0"/>
                              <w:divBdr>
                                <w:top w:val="none" w:sz="0" w:space="0" w:color="auto"/>
                                <w:left w:val="none" w:sz="0" w:space="0" w:color="auto"/>
                                <w:bottom w:val="none" w:sz="0" w:space="0" w:color="auto"/>
                                <w:right w:val="none" w:sz="0" w:space="0" w:color="auto"/>
                              </w:divBdr>
                              <w:divsChild>
                                <w:div w:id="1868718035">
                                  <w:marLeft w:val="0"/>
                                  <w:marRight w:val="0"/>
                                  <w:marTop w:val="0"/>
                                  <w:marBottom w:val="0"/>
                                  <w:divBdr>
                                    <w:top w:val="none" w:sz="0" w:space="0" w:color="auto"/>
                                    <w:left w:val="none" w:sz="0" w:space="0" w:color="auto"/>
                                    <w:bottom w:val="none" w:sz="0" w:space="0" w:color="auto"/>
                                    <w:right w:val="none" w:sz="0" w:space="0" w:color="auto"/>
                                  </w:divBdr>
                                  <w:divsChild>
                                    <w:div w:id="55944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272946">
      <w:bodyDiv w:val="1"/>
      <w:marLeft w:val="0"/>
      <w:marRight w:val="0"/>
      <w:marTop w:val="0"/>
      <w:marBottom w:val="0"/>
      <w:divBdr>
        <w:top w:val="none" w:sz="0" w:space="0" w:color="auto"/>
        <w:left w:val="none" w:sz="0" w:space="0" w:color="auto"/>
        <w:bottom w:val="none" w:sz="0" w:space="0" w:color="auto"/>
        <w:right w:val="none" w:sz="0" w:space="0" w:color="auto"/>
      </w:divBdr>
      <w:divsChild>
        <w:div w:id="1278950607">
          <w:marLeft w:val="0"/>
          <w:marRight w:val="0"/>
          <w:marTop w:val="0"/>
          <w:marBottom w:val="150"/>
          <w:divBdr>
            <w:top w:val="none" w:sz="0" w:space="0" w:color="auto"/>
            <w:left w:val="none" w:sz="0" w:space="0" w:color="auto"/>
            <w:bottom w:val="none" w:sz="0" w:space="0" w:color="auto"/>
            <w:right w:val="none" w:sz="0" w:space="0" w:color="auto"/>
          </w:divBdr>
          <w:divsChild>
            <w:div w:id="938369737">
              <w:marLeft w:val="0"/>
              <w:marRight w:val="0"/>
              <w:marTop w:val="0"/>
              <w:marBottom w:val="0"/>
              <w:divBdr>
                <w:top w:val="none" w:sz="0" w:space="0" w:color="auto"/>
                <w:left w:val="none" w:sz="0" w:space="0" w:color="auto"/>
                <w:bottom w:val="none" w:sz="0" w:space="0" w:color="auto"/>
                <w:right w:val="none" w:sz="0" w:space="0" w:color="auto"/>
              </w:divBdr>
              <w:divsChild>
                <w:div w:id="65033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96359">
          <w:marLeft w:val="0"/>
          <w:marRight w:val="0"/>
          <w:marTop w:val="0"/>
          <w:marBottom w:val="150"/>
          <w:divBdr>
            <w:top w:val="none" w:sz="0" w:space="0" w:color="auto"/>
            <w:left w:val="none" w:sz="0" w:space="0" w:color="auto"/>
            <w:bottom w:val="none" w:sz="0" w:space="0" w:color="auto"/>
            <w:right w:val="none" w:sz="0" w:space="0" w:color="auto"/>
          </w:divBdr>
        </w:div>
        <w:div w:id="55403107">
          <w:marLeft w:val="0"/>
          <w:marRight w:val="0"/>
          <w:marTop w:val="0"/>
          <w:marBottom w:val="0"/>
          <w:divBdr>
            <w:top w:val="none" w:sz="0" w:space="0" w:color="auto"/>
            <w:left w:val="none" w:sz="0" w:space="0" w:color="auto"/>
            <w:bottom w:val="none" w:sz="0" w:space="0" w:color="auto"/>
            <w:right w:val="none" w:sz="0" w:space="0" w:color="auto"/>
          </w:divBdr>
          <w:divsChild>
            <w:div w:id="9952615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18652242">
      <w:bodyDiv w:val="1"/>
      <w:marLeft w:val="0"/>
      <w:marRight w:val="0"/>
      <w:marTop w:val="0"/>
      <w:marBottom w:val="0"/>
      <w:divBdr>
        <w:top w:val="none" w:sz="0" w:space="0" w:color="auto"/>
        <w:left w:val="none" w:sz="0" w:space="0" w:color="auto"/>
        <w:bottom w:val="none" w:sz="0" w:space="0" w:color="auto"/>
        <w:right w:val="none" w:sz="0" w:space="0" w:color="auto"/>
      </w:divBdr>
    </w:div>
    <w:div w:id="318774077">
      <w:bodyDiv w:val="1"/>
      <w:marLeft w:val="0"/>
      <w:marRight w:val="0"/>
      <w:marTop w:val="0"/>
      <w:marBottom w:val="0"/>
      <w:divBdr>
        <w:top w:val="none" w:sz="0" w:space="0" w:color="auto"/>
        <w:left w:val="none" w:sz="0" w:space="0" w:color="auto"/>
        <w:bottom w:val="none" w:sz="0" w:space="0" w:color="auto"/>
        <w:right w:val="none" w:sz="0" w:space="0" w:color="auto"/>
      </w:divBdr>
      <w:divsChild>
        <w:div w:id="2006204618">
          <w:marLeft w:val="0"/>
          <w:marRight w:val="0"/>
          <w:marTop w:val="0"/>
          <w:marBottom w:val="150"/>
          <w:divBdr>
            <w:top w:val="none" w:sz="0" w:space="0" w:color="auto"/>
            <w:left w:val="none" w:sz="0" w:space="0" w:color="auto"/>
            <w:bottom w:val="none" w:sz="0" w:space="0" w:color="auto"/>
            <w:right w:val="none" w:sz="0" w:space="0" w:color="auto"/>
          </w:divBdr>
        </w:div>
      </w:divsChild>
    </w:div>
    <w:div w:id="318995267">
      <w:bodyDiv w:val="1"/>
      <w:marLeft w:val="0"/>
      <w:marRight w:val="0"/>
      <w:marTop w:val="0"/>
      <w:marBottom w:val="0"/>
      <w:divBdr>
        <w:top w:val="none" w:sz="0" w:space="0" w:color="auto"/>
        <w:left w:val="none" w:sz="0" w:space="0" w:color="auto"/>
        <w:bottom w:val="none" w:sz="0" w:space="0" w:color="auto"/>
        <w:right w:val="none" w:sz="0" w:space="0" w:color="auto"/>
      </w:divBdr>
      <w:divsChild>
        <w:div w:id="1749034254">
          <w:marLeft w:val="0"/>
          <w:marRight w:val="0"/>
          <w:marTop w:val="0"/>
          <w:marBottom w:val="0"/>
          <w:divBdr>
            <w:top w:val="none" w:sz="0" w:space="0" w:color="auto"/>
            <w:left w:val="none" w:sz="0" w:space="0" w:color="auto"/>
            <w:bottom w:val="dotted" w:sz="6" w:space="4" w:color="DDDDDD"/>
            <w:right w:val="none" w:sz="0" w:space="0" w:color="auto"/>
          </w:divBdr>
          <w:divsChild>
            <w:div w:id="34737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235012">
      <w:bodyDiv w:val="1"/>
      <w:marLeft w:val="0"/>
      <w:marRight w:val="0"/>
      <w:marTop w:val="0"/>
      <w:marBottom w:val="0"/>
      <w:divBdr>
        <w:top w:val="none" w:sz="0" w:space="0" w:color="auto"/>
        <w:left w:val="none" w:sz="0" w:space="0" w:color="auto"/>
        <w:bottom w:val="none" w:sz="0" w:space="0" w:color="auto"/>
        <w:right w:val="none" w:sz="0" w:space="0" w:color="auto"/>
      </w:divBdr>
      <w:divsChild>
        <w:div w:id="63063802">
          <w:marLeft w:val="0"/>
          <w:marRight w:val="0"/>
          <w:marTop w:val="0"/>
          <w:marBottom w:val="0"/>
          <w:divBdr>
            <w:top w:val="none" w:sz="0" w:space="0" w:color="auto"/>
            <w:left w:val="none" w:sz="0" w:space="0" w:color="auto"/>
            <w:bottom w:val="none" w:sz="0" w:space="0" w:color="auto"/>
            <w:right w:val="none" w:sz="0" w:space="0" w:color="auto"/>
          </w:divBdr>
        </w:div>
        <w:div w:id="783039429">
          <w:marLeft w:val="0"/>
          <w:marRight w:val="0"/>
          <w:marTop w:val="0"/>
          <w:marBottom w:val="300"/>
          <w:divBdr>
            <w:top w:val="none" w:sz="0" w:space="0" w:color="auto"/>
            <w:left w:val="none" w:sz="0" w:space="0" w:color="auto"/>
            <w:bottom w:val="none" w:sz="0" w:space="0" w:color="auto"/>
            <w:right w:val="none" w:sz="0" w:space="0" w:color="auto"/>
          </w:divBdr>
          <w:divsChild>
            <w:div w:id="1299533691">
              <w:marLeft w:val="0"/>
              <w:marRight w:val="0"/>
              <w:marTop w:val="0"/>
              <w:marBottom w:val="0"/>
              <w:divBdr>
                <w:top w:val="none" w:sz="0" w:space="0" w:color="auto"/>
                <w:left w:val="none" w:sz="0" w:space="0" w:color="auto"/>
                <w:bottom w:val="none" w:sz="0" w:space="0" w:color="auto"/>
                <w:right w:val="none" w:sz="0" w:space="0" w:color="auto"/>
              </w:divBdr>
            </w:div>
          </w:divsChild>
        </w:div>
        <w:div w:id="1425035516">
          <w:marLeft w:val="0"/>
          <w:marRight w:val="0"/>
          <w:marTop w:val="0"/>
          <w:marBottom w:val="0"/>
          <w:divBdr>
            <w:top w:val="none" w:sz="0" w:space="0" w:color="auto"/>
            <w:left w:val="none" w:sz="0" w:space="0" w:color="auto"/>
            <w:bottom w:val="none" w:sz="0" w:space="0" w:color="auto"/>
            <w:right w:val="none" w:sz="0" w:space="0" w:color="auto"/>
          </w:divBdr>
          <w:divsChild>
            <w:div w:id="1818297209">
              <w:marLeft w:val="0"/>
              <w:marRight w:val="0"/>
              <w:marTop w:val="0"/>
              <w:marBottom w:val="0"/>
              <w:divBdr>
                <w:top w:val="none" w:sz="0" w:space="0" w:color="auto"/>
                <w:left w:val="none" w:sz="0" w:space="0" w:color="auto"/>
                <w:bottom w:val="none" w:sz="0" w:space="0" w:color="auto"/>
                <w:right w:val="none" w:sz="0" w:space="0" w:color="auto"/>
              </w:divBdr>
              <w:divsChild>
                <w:div w:id="651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74259">
          <w:marLeft w:val="0"/>
          <w:marRight w:val="0"/>
          <w:marTop w:val="0"/>
          <w:marBottom w:val="75"/>
          <w:divBdr>
            <w:top w:val="none" w:sz="0" w:space="0" w:color="auto"/>
            <w:left w:val="none" w:sz="0" w:space="0" w:color="auto"/>
            <w:bottom w:val="none" w:sz="0" w:space="0" w:color="auto"/>
            <w:right w:val="none" w:sz="0" w:space="0" w:color="auto"/>
          </w:divBdr>
        </w:div>
      </w:divsChild>
    </w:div>
    <w:div w:id="319887440">
      <w:bodyDiv w:val="1"/>
      <w:marLeft w:val="0"/>
      <w:marRight w:val="0"/>
      <w:marTop w:val="0"/>
      <w:marBottom w:val="0"/>
      <w:divBdr>
        <w:top w:val="none" w:sz="0" w:space="0" w:color="auto"/>
        <w:left w:val="none" w:sz="0" w:space="0" w:color="auto"/>
        <w:bottom w:val="none" w:sz="0" w:space="0" w:color="auto"/>
        <w:right w:val="none" w:sz="0" w:space="0" w:color="auto"/>
      </w:divBdr>
    </w:div>
    <w:div w:id="319888912">
      <w:bodyDiv w:val="1"/>
      <w:marLeft w:val="0"/>
      <w:marRight w:val="0"/>
      <w:marTop w:val="0"/>
      <w:marBottom w:val="0"/>
      <w:divBdr>
        <w:top w:val="none" w:sz="0" w:space="0" w:color="auto"/>
        <w:left w:val="none" w:sz="0" w:space="0" w:color="auto"/>
        <w:bottom w:val="none" w:sz="0" w:space="0" w:color="auto"/>
        <w:right w:val="none" w:sz="0" w:space="0" w:color="auto"/>
      </w:divBdr>
      <w:divsChild>
        <w:div w:id="1787264850">
          <w:marLeft w:val="0"/>
          <w:marRight w:val="0"/>
          <w:marTop w:val="0"/>
          <w:marBottom w:val="0"/>
          <w:divBdr>
            <w:top w:val="none" w:sz="0" w:space="0" w:color="auto"/>
            <w:left w:val="none" w:sz="0" w:space="0" w:color="auto"/>
            <w:bottom w:val="dotted" w:sz="6" w:space="4" w:color="DDDDDD"/>
            <w:right w:val="none" w:sz="0" w:space="0" w:color="auto"/>
          </w:divBdr>
          <w:divsChild>
            <w:div w:id="7505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969637">
      <w:bodyDiv w:val="1"/>
      <w:marLeft w:val="0"/>
      <w:marRight w:val="0"/>
      <w:marTop w:val="0"/>
      <w:marBottom w:val="0"/>
      <w:divBdr>
        <w:top w:val="none" w:sz="0" w:space="0" w:color="auto"/>
        <w:left w:val="none" w:sz="0" w:space="0" w:color="auto"/>
        <w:bottom w:val="none" w:sz="0" w:space="0" w:color="auto"/>
        <w:right w:val="none" w:sz="0" w:space="0" w:color="auto"/>
      </w:divBdr>
      <w:divsChild>
        <w:div w:id="51395419">
          <w:marLeft w:val="0"/>
          <w:marRight w:val="0"/>
          <w:marTop w:val="0"/>
          <w:marBottom w:val="0"/>
          <w:divBdr>
            <w:top w:val="none" w:sz="0" w:space="0" w:color="auto"/>
            <w:left w:val="none" w:sz="0" w:space="0" w:color="auto"/>
            <w:bottom w:val="dotted" w:sz="6" w:space="4" w:color="DDDDDD"/>
            <w:right w:val="none" w:sz="0" w:space="0" w:color="auto"/>
          </w:divBdr>
        </w:div>
        <w:div w:id="495610825">
          <w:marLeft w:val="0"/>
          <w:marRight w:val="225"/>
          <w:marTop w:val="0"/>
          <w:marBottom w:val="75"/>
          <w:divBdr>
            <w:top w:val="none" w:sz="0" w:space="0" w:color="auto"/>
            <w:left w:val="none" w:sz="0" w:space="0" w:color="auto"/>
            <w:bottom w:val="none" w:sz="0" w:space="0" w:color="auto"/>
            <w:right w:val="none" w:sz="0" w:space="0" w:color="auto"/>
          </w:divBdr>
          <w:divsChild>
            <w:div w:id="63205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13963">
      <w:bodyDiv w:val="1"/>
      <w:marLeft w:val="0"/>
      <w:marRight w:val="0"/>
      <w:marTop w:val="0"/>
      <w:marBottom w:val="0"/>
      <w:divBdr>
        <w:top w:val="none" w:sz="0" w:space="0" w:color="auto"/>
        <w:left w:val="none" w:sz="0" w:space="0" w:color="auto"/>
        <w:bottom w:val="none" w:sz="0" w:space="0" w:color="auto"/>
        <w:right w:val="none" w:sz="0" w:space="0" w:color="auto"/>
      </w:divBdr>
      <w:divsChild>
        <w:div w:id="577251588">
          <w:marLeft w:val="0"/>
          <w:marRight w:val="0"/>
          <w:marTop w:val="150"/>
          <w:marBottom w:val="150"/>
          <w:divBdr>
            <w:top w:val="single" w:sz="2" w:space="0" w:color="CCCCCC"/>
            <w:left w:val="single" w:sz="2" w:space="0" w:color="CCCCCC"/>
            <w:bottom w:val="single" w:sz="2" w:space="0" w:color="CCCCCC"/>
            <w:right w:val="single" w:sz="2" w:space="0" w:color="CCCCCC"/>
          </w:divBdr>
          <w:divsChild>
            <w:div w:id="819158557">
              <w:marLeft w:val="0"/>
              <w:marRight w:val="0"/>
              <w:marTop w:val="0"/>
              <w:marBottom w:val="0"/>
              <w:divBdr>
                <w:top w:val="none" w:sz="0" w:space="0" w:color="auto"/>
                <w:left w:val="none" w:sz="0" w:space="0" w:color="auto"/>
                <w:bottom w:val="none" w:sz="0" w:space="0" w:color="auto"/>
                <w:right w:val="none" w:sz="0" w:space="0" w:color="auto"/>
              </w:divBdr>
              <w:divsChild>
                <w:div w:id="1430732422">
                  <w:marLeft w:val="255"/>
                  <w:marRight w:val="0"/>
                  <w:marTop w:val="0"/>
                  <w:marBottom w:val="0"/>
                  <w:divBdr>
                    <w:top w:val="none" w:sz="0" w:space="0" w:color="auto"/>
                    <w:left w:val="none" w:sz="0" w:space="0" w:color="auto"/>
                    <w:bottom w:val="none" w:sz="0" w:space="0" w:color="auto"/>
                    <w:right w:val="none" w:sz="0" w:space="0" w:color="auto"/>
                  </w:divBdr>
                  <w:divsChild>
                    <w:div w:id="1175800599">
                      <w:marLeft w:val="0"/>
                      <w:marRight w:val="0"/>
                      <w:marTop w:val="240"/>
                      <w:marBottom w:val="15"/>
                      <w:divBdr>
                        <w:top w:val="none" w:sz="0" w:space="0" w:color="auto"/>
                        <w:left w:val="none" w:sz="0" w:space="0" w:color="auto"/>
                        <w:bottom w:val="none" w:sz="0" w:space="0" w:color="auto"/>
                        <w:right w:val="none" w:sz="0" w:space="0" w:color="auto"/>
                      </w:divBdr>
                    </w:div>
                  </w:divsChild>
                </w:div>
              </w:divsChild>
            </w:div>
          </w:divsChild>
        </w:div>
      </w:divsChild>
    </w:div>
    <w:div w:id="320348570">
      <w:bodyDiv w:val="1"/>
      <w:marLeft w:val="0"/>
      <w:marRight w:val="0"/>
      <w:marTop w:val="0"/>
      <w:marBottom w:val="0"/>
      <w:divBdr>
        <w:top w:val="none" w:sz="0" w:space="0" w:color="auto"/>
        <w:left w:val="none" w:sz="0" w:space="0" w:color="auto"/>
        <w:bottom w:val="none" w:sz="0" w:space="0" w:color="auto"/>
        <w:right w:val="none" w:sz="0" w:space="0" w:color="auto"/>
      </w:divBdr>
      <w:divsChild>
        <w:div w:id="57750876">
          <w:marLeft w:val="0"/>
          <w:marRight w:val="0"/>
          <w:marTop w:val="0"/>
          <w:marBottom w:val="0"/>
          <w:divBdr>
            <w:top w:val="none" w:sz="0" w:space="0" w:color="auto"/>
            <w:left w:val="none" w:sz="0" w:space="0" w:color="auto"/>
            <w:bottom w:val="none" w:sz="0" w:space="0" w:color="auto"/>
            <w:right w:val="none" w:sz="0" w:space="0" w:color="auto"/>
          </w:divBdr>
          <w:divsChild>
            <w:div w:id="171569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429281">
      <w:bodyDiv w:val="1"/>
      <w:marLeft w:val="0"/>
      <w:marRight w:val="0"/>
      <w:marTop w:val="0"/>
      <w:marBottom w:val="0"/>
      <w:divBdr>
        <w:top w:val="none" w:sz="0" w:space="0" w:color="auto"/>
        <w:left w:val="none" w:sz="0" w:space="0" w:color="auto"/>
        <w:bottom w:val="none" w:sz="0" w:space="0" w:color="auto"/>
        <w:right w:val="none" w:sz="0" w:space="0" w:color="auto"/>
      </w:divBdr>
      <w:divsChild>
        <w:div w:id="1460490223">
          <w:marLeft w:val="0"/>
          <w:marRight w:val="0"/>
          <w:marTop w:val="0"/>
          <w:marBottom w:val="225"/>
          <w:divBdr>
            <w:top w:val="none" w:sz="0" w:space="0" w:color="auto"/>
            <w:left w:val="none" w:sz="0" w:space="0" w:color="auto"/>
            <w:bottom w:val="none" w:sz="0" w:space="0" w:color="auto"/>
            <w:right w:val="none" w:sz="0" w:space="0" w:color="auto"/>
          </w:divBdr>
        </w:div>
        <w:div w:id="1217201029">
          <w:marLeft w:val="0"/>
          <w:marRight w:val="0"/>
          <w:marTop w:val="0"/>
          <w:marBottom w:val="225"/>
          <w:divBdr>
            <w:top w:val="none" w:sz="0" w:space="0" w:color="auto"/>
            <w:left w:val="none" w:sz="0" w:space="0" w:color="auto"/>
            <w:bottom w:val="none" w:sz="0" w:space="0" w:color="auto"/>
            <w:right w:val="none" w:sz="0" w:space="0" w:color="auto"/>
          </w:divBdr>
          <w:divsChild>
            <w:div w:id="1157377753">
              <w:marLeft w:val="0"/>
              <w:marRight w:val="0"/>
              <w:marTop w:val="0"/>
              <w:marBottom w:val="0"/>
              <w:divBdr>
                <w:top w:val="none" w:sz="0" w:space="0" w:color="auto"/>
                <w:left w:val="none" w:sz="0" w:space="0" w:color="auto"/>
                <w:bottom w:val="none" w:sz="0" w:space="0" w:color="auto"/>
                <w:right w:val="none" w:sz="0" w:space="0" w:color="auto"/>
              </w:divBdr>
              <w:divsChild>
                <w:div w:id="103588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475332">
      <w:bodyDiv w:val="1"/>
      <w:marLeft w:val="0"/>
      <w:marRight w:val="0"/>
      <w:marTop w:val="0"/>
      <w:marBottom w:val="0"/>
      <w:divBdr>
        <w:top w:val="none" w:sz="0" w:space="0" w:color="auto"/>
        <w:left w:val="none" w:sz="0" w:space="0" w:color="auto"/>
        <w:bottom w:val="none" w:sz="0" w:space="0" w:color="auto"/>
        <w:right w:val="none" w:sz="0" w:space="0" w:color="auto"/>
      </w:divBdr>
    </w:div>
    <w:div w:id="320624169">
      <w:bodyDiv w:val="1"/>
      <w:marLeft w:val="0"/>
      <w:marRight w:val="0"/>
      <w:marTop w:val="0"/>
      <w:marBottom w:val="0"/>
      <w:divBdr>
        <w:top w:val="none" w:sz="0" w:space="0" w:color="auto"/>
        <w:left w:val="none" w:sz="0" w:space="0" w:color="auto"/>
        <w:bottom w:val="none" w:sz="0" w:space="0" w:color="auto"/>
        <w:right w:val="none" w:sz="0" w:space="0" w:color="auto"/>
      </w:divBdr>
    </w:div>
    <w:div w:id="320889110">
      <w:bodyDiv w:val="1"/>
      <w:marLeft w:val="0"/>
      <w:marRight w:val="0"/>
      <w:marTop w:val="0"/>
      <w:marBottom w:val="0"/>
      <w:divBdr>
        <w:top w:val="none" w:sz="0" w:space="0" w:color="auto"/>
        <w:left w:val="none" w:sz="0" w:space="0" w:color="auto"/>
        <w:bottom w:val="none" w:sz="0" w:space="0" w:color="auto"/>
        <w:right w:val="none" w:sz="0" w:space="0" w:color="auto"/>
      </w:divBdr>
      <w:divsChild>
        <w:div w:id="74480123">
          <w:marLeft w:val="0"/>
          <w:marRight w:val="0"/>
          <w:marTop w:val="0"/>
          <w:marBottom w:val="150"/>
          <w:divBdr>
            <w:top w:val="none" w:sz="0" w:space="0" w:color="auto"/>
            <w:left w:val="none" w:sz="0" w:space="0" w:color="auto"/>
            <w:bottom w:val="none" w:sz="0" w:space="0" w:color="auto"/>
            <w:right w:val="none" w:sz="0" w:space="0" w:color="auto"/>
          </w:divBdr>
        </w:div>
        <w:div w:id="340472695">
          <w:marLeft w:val="0"/>
          <w:marRight w:val="0"/>
          <w:marTop w:val="0"/>
          <w:marBottom w:val="150"/>
          <w:divBdr>
            <w:top w:val="none" w:sz="0" w:space="0" w:color="auto"/>
            <w:left w:val="none" w:sz="0" w:space="0" w:color="auto"/>
            <w:bottom w:val="none" w:sz="0" w:space="0" w:color="auto"/>
            <w:right w:val="none" w:sz="0" w:space="0" w:color="auto"/>
          </w:divBdr>
          <w:divsChild>
            <w:div w:id="621961003">
              <w:marLeft w:val="0"/>
              <w:marRight w:val="0"/>
              <w:marTop w:val="0"/>
              <w:marBottom w:val="0"/>
              <w:divBdr>
                <w:top w:val="none" w:sz="0" w:space="0" w:color="auto"/>
                <w:left w:val="none" w:sz="0" w:space="0" w:color="auto"/>
                <w:bottom w:val="none" w:sz="0" w:space="0" w:color="auto"/>
                <w:right w:val="none" w:sz="0" w:space="0" w:color="auto"/>
              </w:divBdr>
            </w:div>
          </w:divsChild>
        </w:div>
        <w:div w:id="368066328">
          <w:marLeft w:val="0"/>
          <w:marRight w:val="0"/>
          <w:marTop w:val="0"/>
          <w:marBottom w:val="0"/>
          <w:divBdr>
            <w:top w:val="none" w:sz="0" w:space="0" w:color="auto"/>
            <w:left w:val="none" w:sz="0" w:space="0" w:color="auto"/>
            <w:bottom w:val="none" w:sz="0" w:space="0" w:color="auto"/>
            <w:right w:val="none" w:sz="0" w:space="0" w:color="auto"/>
          </w:divBdr>
          <w:divsChild>
            <w:div w:id="3901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933375">
      <w:bodyDiv w:val="1"/>
      <w:marLeft w:val="0"/>
      <w:marRight w:val="0"/>
      <w:marTop w:val="0"/>
      <w:marBottom w:val="0"/>
      <w:divBdr>
        <w:top w:val="none" w:sz="0" w:space="0" w:color="auto"/>
        <w:left w:val="none" w:sz="0" w:space="0" w:color="auto"/>
        <w:bottom w:val="none" w:sz="0" w:space="0" w:color="auto"/>
        <w:right w:val="none" w:sz="0" w:space="0" w:color="auto"/>
      </w:divBdr>
      <w:divsChild>
        <w:div w:id="972907247">
          <w:marLeft w:val="0"/>
          <w:marRight w:val="0"/>
          <w:marTop w:val="0"/>
          <w:marBottom w:val="285"/>
          <w:divBdr>
            <w:top w:val="none" w:sz="0" w:space="0" w:color="auto"/>
            <w:left w:val="none" w:sz="0" w:space="0" w:color="auto"/>
            <w:bottom w:val="none" w:sz="0" w:space="0" w:color="auto"/>
            <w:right w:val="none" w:sz="0" w:space="0" w:color="auto"/>
          </w:divBdr>
          <w:divsChild>
            <w:div w:id="172471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84541">
      <w:bodyDiv w:val="1"/>
      <w:marLeft w:val="0"/>
      <w:marRight w:val="0"/>
      <w:marTop w:val="0"/>
      <w:marBottom w:val="0"/>
      <w:divBdr>
        <w:top w:val="none" w:sz="0" w:space="0" w:color="auto"/>
        <w:left w:val="none" w:sz="0" w:space="0" w:color="auto"/>
        <w:bottom w:val="none" w:sz="0" w:space="0" w:color="auto"/>
        <w:right w:val="none" w:sz="0" w:space="0" w:color="auto"/>
      </w:divBdr>
      <w:divsChild>
        <w:div w:id="366681998">
          <w:marLeft w:val="0"/>
          <w:marRight w:val="0"/>
          <w:marTop w:val="0"/>
          <w:marBottom w:val="0"/>
          <w:divBdr>
            <w:top w:val="none" w:sz="0" w:space="0" w:color="auto"/>
            <w:left w:val="none" w:sz="0" w:space="0" w:color="auto"/>
            <w:bottom w:val="none" w:sz="0" w:space="0" w:color="auto"/>
            <w:right w:val="none" w:sz="0" w:space="0" w:color="auto"/>
          </w:divBdr>
          <w:divsChild>
            <w:div w:id="73597856">
              <w:marLeft w:val="0"/>
              <w:marRight w:val="0"/>
              <w:marTop w:val="0"/>
              <w:marBottom w:val="0"/>
              <w:divBdr>
                <w:top w:val="none" w:sz="0" w:space="0" w:color="auto"/>
                <w:left w:val="none" w:sz="0" w:space="0" w:color="auto"/>
                <w:bottom w:val="none" w:sz="0" w:space="0" w:color="auto"/>
                <w:right w:val="none" w:sz="0" w:space="0" w:color="auto"/>
              </w:divBdr>
              <w:divsChild>
                <w:div w:id="188183060">
                  <w:marLeft w:val="0"/>
                  <w:marRight w:val="0"/>
                  <w:marTop w:val="0"/>
                  <w:marBottom w:val="0"/>
                  <w:divBdr>
                    <w:top w:val="none" w:sz="0" w:space="0" w:color="auto"/>
                    <w:left w:val="none" w:sz="0" w:space="0" w:color="auto"/>
                    <w:bottom w:val="none" w:sz="0" w:space="0" w:color="auto"/>
                    <w:right w:val="none" w:sz="0" w:space="0" w:color="auto"/>
                  </w:divBdr>
                  <w:divsChild>
                    <w:div w:id="600724282">
                      <w:marLeft w:val="0"/>
                      <w:marRight w:val="0"/>
                      <w:marTop w:val="0"/>
                      <w:marBottom w:val="300"/>
                      <w:divBdr>
                        <w:top w:val="none" w:sz="0" w:space="0" w:color="auto"/>
                        <w:left w:val="none" w:sz="0" w:space="0" w:color="auto"/>
                        <w:bottom w:val="none" w:sz="0" w:space="0" w:color="auto"/>
                        <w:right w:val="none" w:sz="0" w:space="0" w:color="auto"/>
                      </w:divBdr>
                      <w:divsChild>
                        <w:div w:id="1647783330">
                          <w:marLeft w:val="0"/>
                          <w:marRight w:val="0"/>
                          <w:marTop w:val="0"/>
                          <w:marBottom w:val="225"/>
                          <w:divBdr>
                            <w:top w:val="single" w:sz="6" w:space="11" w:color="E5E5E5"/>
                            <w:left w:val="single" w:sz="6" w:space="11" w:color="E5E5E5"/>
                            <w:bottom w:val="single" w:sz="6" w:space="1" w:color="E5E5E5"/>
                            <w:right w:val="single" w:sz="6" w:space="11" w:color="E5E5E5"/>
                          </w:divBdr>
                          <w:divsChild>
                            <w:div w:id="667756829">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2054620618">
          <w:marLeft w:val="0"/>
          <w:marRight w:val="0"/>
          <w:marTop w:val="0"/>
          <w:marBottom w:val="0"/>
          <w:divBdr>
            <w:top w:val="single" w:sz="6" w:space="0" w:color="E5E5E5"/>
            <w:left w:val="none" w:sz="0" w:space="0" w:color="auto"/>
            <w:bottom w:val="single" w:sz="18" w:space="0" w:color="000000"/>
            <w:right w:val="none" w:sz="0" w:space="0" w:color="auto"/>
          </w:divBdr>
          <w:divsChild>
            <w:div w:id="1604846091">
              <w:marLeft w:val="0"/>
              <w:marRight w:val="0"/>
              <w:marTop w:val="0"/>
              <w:marBottom w:val="0"/>
              <w:divBdr>
                <w:top w:val="none" w:sz="0" w:space="0" w:color="auto"/>
                <w:left w:val="none" w:sz="0" w:space="0" w:color="auto"/>
                <w:bottom w:val="none" w:sz="0" w:space="0" w:color="auto"/>
                <w:right w:val="none" w:sz="0" w:space="0" w:color="auto"/>
              </w:divBdr>
              <w:divsChild>
                <w:div w:id="65845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474066">
      <w:bodyDiv w:val="1"/>
      <w:marLeft w:val="0"/>
      <w:marRight w:val="0"/>
      <w:marTop w:val="0"/>
      <w:marBottom w:val="0"/>
      <w:divBdr>
        <w:top w:val="none" w:sz="0" w:space="0" w:color="auto"/>
        <w:left w:val="none" w:sz="0" w:space="0" w:color="auto"/>
        <w:bottom w:val="none" w:sz="0" w:space="0" w:color="auto"/>
        <w:right w:val="none" w:sz="0" w:space="0" w:color="auto"/>
      </w:divBdr>
    </w:div>
    <w:div w:id="321590120">
      <w:bodyDiv w:val="1"/>
      <w:marLeft w:val="0"/>
      <w:marRight w:val="0"/>
      <w:marTop w:val="0"/>
      <w:marBottom w:val="0"/>
      <w:divBdr>
        <w:top w:val="none" w:sz="0" w:space="0" w:color="auto"/>
        <w:left w:val="none" w:sz="0" w:space="0" w:color="auto"/>
        <w:bottom w:val="none" w:sz="0" w:space="0" w:color="auto"/>
        <w:right w:val="none" w:sz="0" w:space="0" w:color="auto"/>
      </w:divBdr>
      <w:divsChild>
        <w:div w:id="842430106">
          <w:marLeft w:val="0"/>
          <w:marRight w:val="0"/>
          <w:marTop w:val="0"/>
          <w:marBottom w:val="0"/>
          <w:divBdr>
            <w:top w:val="none" w:sz="0" w:space="0" w:color="auto"/>
            <w:left w:val="none" w:sz="0" w:space="0" w:color="auto"/>
            <w:bottom w:val="dotted" w:sz="6" w:space="4" w:color="DDDDDD"/>
            <w:right w:val="none" w:sz="0" w:space="0" w:color="auto"/>
          </w:divBdr>
        </w:div>
      </w:divsChild>
    </w:div>
    <w:div w:id="321666875">
      <w:bodyDiv w:val="1"/>
      <w:marLeft w:val="0"/>
      <w:marRight w:val="0"/>
      <w:marTop w:val="0"/>
      <w:marBottom w:val="0"/>
      <w:divBdr>
        <w:top w:val="none" w:sz="0" w:space="0" w:color="auto"/>
        <w:left w:val="none" w:sz="0" w:space="0" w:color="auto"/>
        <w:bottom w:val="none" w:sz="0" w:space="0" w:color="auto"/>
        <w:right w:val="none" w:sz="0" w:space="0" w:color="auto"/>
      </w:divBdr>
      <w:divsChild>
        <w:div w:id="1952473993">
          <w:marLeft w:val="0"/>
          <w:marRight w:val="0"/>
          <w:marTop w:val="0"/>
          <w:marBottom w:val="0"/>
          <w:divBdr>
            <w:top w:val="none" w:sz="0" w:space="0" w:color="auto"/>
            <w:left w:val="none" w:sz="0" w:space="0" w:color="auto"/>
            <w:bottom w:val="dotted" w:sz="6" w:space="4" w:color="DDDDDD"/>
            <w:right w:val="none" w:sz="0" w:space="0" w:color="auto"/>
          </w:divBdr>
          <w:divsChild>
            <w:div w:id="181089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054684">
      <w:bodyDiv w:val="1"/>
      <w:marLeft w:val="0"/>
      <w:marRight w:val="0"/>
      <w:marTop w:val="0"/>
      <w:marBottom w:val="0"/>
      <w:divBdr>
        <w:top w:val="none" w:sz="0" w:space="0" w:color="auto"/>
        <w:left w:val="none" w:sz="0" w:space="0" w:color="auto"/>
        <w:bottom w:val="none" w:sz="0" w:space="0" w:color="auto"/>
        <w:right w:val="none" w:sz="0" w:space="0" w:color="auto"/>
      </w:divBdr>
      <w:divsChild>
        <w:div w:id="1324775086">
          <w:marLeft w:val="0"/>
          <w:marRight w:val="0"/>
          <w:marTop w:val="0"/>
          <w:marBottom w:val="0"/>
          <w:divBdr>
            <w:top w:val="none" w:sz="0" w:space="0" w:color="auto"/>
            <w:left w:val="none" w:sz="0" w:space="0" w:color="auto"/>
            <w:bottom w:val="none" w:sz="0" w:space="0" w:color="auto"/>
            <w:right w:val="none" w:sz="0" w:space="0" w:color="auto"/>
          </w:divBdr>
          <w:divsChild>
            <w:div w:id="1836920924">
              <w:marLeft w:val="0"/>
              <w:marRight w:val="0"/>
              <w:marTop w:val="0"/>
              <w:marBottom w:val="0"/>
              <w:divBdr>
                <w:top w:val="none" w:sz="0" w:space="0" w:color="auto"/>
                <w:left w:val="none" w:sz="0" w:space="0" w:color="auto"/>
                <w:bottom w:val="none" w:sz="0" w:space="0" w:color="auto"/>
                <w:right w:val="none" w:sz="0" w:space="0" w:color="auto"/>
              </w:divBdr>
              <w:divsChild>
                <w:div w:id="970744208">
                  <w:marLeft w:val="0"/>
                  <w:marRight w:val="0"/>
                  <w:marTop w:val="0"/>
                  <w:marBottom w:val="0"/>
                  <w:divBdr>
                    <w:top w:val="none" w:sz="0" w:space="0" w:color="auto"/>
                    <w:left w:val="none" w:sz="0" w:space="0" w:color="auto"/>
                    <w:bottom w:val="none" w:sz="0" w:space="0" w:color="auto"/>
                    <w:right w:val="none" w:sz="0" w:space="0" w:color="auto"/>
                  </w:divBdr>
                  <w:divsChild>
                    <w:div w:id="901989572">
                      <w:marLeft w:val="0"/>
                      <w:marRight w:val="0"/>
                      <w:marTop w:val="0"/>
                      <w:marBottom w:val="0"/>
                      <w:divBdr>
                        <w:top w:val="none" w:sz="0" w:space="0" w:color="auto"/>
                        <w:left w:val="none" w:sz="0" w:space="0" w:color="auto"/>
                        <w:bottom w:val="none" w:sz="0" w:space="0" w:color="auto"/>
                        <w:right w:val="none" w:sz="0" w:space="0" w:color="auto"/>
                      </w:divBdr>
                      <w:divsChild>
                        <w:div w:id="1579095930">
                          <w:marLeft w:val="0"/>
                          <w:marRight w:val="0"/>
                          <w:marTop w:val="0"/>
                          <w:marBottom w:val="0"/>
                          <w:divBdr>
                            <w:top w:val="none" w:sz="0" w:space="0" w:color="auto"/>
                            <w:left w:val="none" w:sz="0" w:space="0" w:color="auto"/>
                            <w:bottom w:val="none" w:sz="0" w:space="0" w:color="auto"/>
                            <w:right w:val="none" w:sz="0" w:space="0" w:color="auto"/>
                          </w:divBdr>
                          <w:divsChild>
                            <w:div w:id="137843784">
                              <w:marLeft w:val="0"/>
                              <w:marRight w:val="0"/>
                              <w:marTop w:val="0"/>
                              <w:marBottom w:val="0"/>
                              <w:divBdr>
                                <w:top w:val="none" w:sz="0" w:space="0" w:color="auto"/>
                                <w:left w:val="none" w:sz="0" w:space="0" w:color="auto"/>
                                <w:bottom w:val="none" w:sz="0" w:space="0" w:color="auto"/>
                                <w:right w:val="none" w:sz="0" w:space="0" w:color="auto"/>
                              </w:divBdr>
                              <w:divsChild>
                                <w:div w:id="266813838">
                                  <w:marLeft w:val="0"/>
                                  <w:marRight w:val="0"/>
                                  <w:marTop w:val="0"/>
                                  <w:marBottom w:val="0"/>
                                  <w:divBdr>
                                    <w:top w:val="none" w:sz="0" w:space="0" w:color="auto"/>
                                    <w:left w:val="none" w:sz="0" w:space="0" w:color="auto"/>
                                    <w:bottom w:val="none" w:sz="0" w:space="0" w:color="auto"/>
                                    <w:right w:val="none" w:sz="0" w:space="0" w:color="auto"/>
                                  </w:divBdr>
                                  <w:divsChild>
                                    <w:div w:id="14597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2391294">
      <w:bodyDiv w:val="1"/>
      <w:marLeft w:val="0"/>
      <w:marRight w:val="0"/>
      <w:marTop w:val="0"/>
      <w:marBottom w:val="0"/>
      <w:divBdr>
        <w:top w:val="none" w:sz="0" w:space="0" w:color="auto"/>
        <w:left w:val="none" w:sz="0" w:space="0" w:color="auto"/>
        <w:bottom w:val="none" w:sz="0" w:space="0" w:color="auto"/>
        <w:right w:val="none" w:sz="0" w:space="0" w:color="auto"/>
      </w:divBdr>
    </w:div>
    <w:div w:id="322662255">
      <w:bodyDiv w:val="1"/>
      <w:marLeft w:val="0"/>
      <w:marRight w:val="0"/>
      <w:marTop w:val="0"/>
      <w:marBottom w:val="0"/>
      <w:divBdr>
        <w:top w:val="none" w:sz="0" w:space="0" w:color="auto"/>
        <w:left w:val="none" w:sz="0" w:space="0" w:color="auto"/>
        <w:bottom w:val="none" w:sz="0" w:space="0" w:color="auto"/>
        <w:right w:val="none" w:sz="0" w:space="0" w:color="auto"/>
      </w:divBdr>
    </w:div>
    <w:div w:id="322702635">
      <w:bodyDiv w:val="1"/>
      <w:marLeft w:val="0"/>
      <w:marRight w:val="0"/>
      <w:marTop w:val="0"/>
      <w:marBottom w:val="0"/>
      <w:divBdr>
        <w:top w:val="none" w:sz="0" w:space="0" w:color="auto"/>
        <w:left w:val="none" w:sz="0" w:space="0" w:color="auto"/>
        <w:bottom w:val="none" w:sz="0" w:space="0" w:color="auto"/>
        <w:right w:val="none" w:sz="0" w:space="0" w:color="auto"/>
      </w:divBdr>
      <w:divsChild>
        <w:div w:id="817576060">
          <w:marLeft w:val="0"/>
          <w:marRight w:val="0"/>
          <w:marTop w:val="0"/>
          <w:marBottom w:val="0"/>
          <w:divBdr>
            <w:top w:val="none" w:sz="0" w:space="0" w:color="auto"/>
            <w:left w:val="none" w:sz="0" w:space="0" w:color="auto"/>
            <w:bottom w:val="dotted" w:sz="6" w:space="4" w:color="DDDDDD"/>
            <w:right w:val="none" w:sz="0" w:space="0" w:color="auto"/>
          </w:divBdr>
        </w:div>
      </w:divsChild>
    </w:div>
    <w:div w:id="322777469">
      <w:bodyDiv w:val="1"/>
      <w:marLeft w:val="0"/>
      <w:marRight w:val="0"/>
      <w:marTop w:val="0"/>
      <w:marBottom w:val="0"/>
      <w:divBdr>
        <w:top w:val="none" w:sz="0" w:space="0" w:color="auto"/>
        <w:left w:val="none" w:sz="0" w:space="0" w:color="auto"/>
        <w:bottom w:val="none" w:sz="0" w:space="0" w:color="auto"/>
        <w:right w:val="none" w:sz="0" w:space="0" w:color="auto"/>
      </w:divBdr>
      <w:divsChild>
        <w:div w:id="1060904495">
          <w:marLeft w:val="0"/>
          <w:marRight w:val="0"/>
          <w:marTop w:val="0"/>
          <w:marBottom w:val="0"/>
          <w:divBdr>
            <w:top w:val="none" w:sz="0" w:space="0" w:color="auto"/>
            <w:left w:val="none" w:sz="0" w:space="0" w:color="auto"/>
            <w:bottom w:val="none" w:sz="0" w:space="0" w:color="auto"/>
            <w:right w:val="none" w:sz="0" w:space="0" w:color="auto"/>
          </w:divBdr>
          <w:divsChild>
            <w:div w:id="745494879">
              <w:marLeft w:val="0"/>
              <w:marRight w:val="0"/>
              <w:marTop w:val="0"/>
              <w:marBottom w:val="0"/>
              <w:divBdr>
                <w:top w:val="none" w:sz="0" w:space="0" w:color="auto"/>
                <w:left w:val="none" w:sz="0" w:space="0" w:color="auto"/>
                <w:bottom w:val="none" w:sz="0" w:space="0" w:color="auto"/>
                <w:right w:val="none" w:sz="0" w:space="0" w:color="auto"/>
              </w:divBdr>
              <w:divsChild>
                <w:div w:id="530264652">
                  <w:marLeft w:val="0"/>
                  <w:marRight w:val="0"/>
                  <w:marTop w:val="0"/>
                  <w:marBottom w:val="0"/>
                  <w:divBdr>
                    <w:top w:val="none" w:sz="0" w:space="0" w:color="auto"/>
                    <w:left w:val="none" w:sz="0" w:space="0" w:color="auto"/>
                    <w:bottom w:val="none" w:sz="0" w:space="0" w:color="auto"/>
                    <w:right w:val="none" w:sz="0" w:space="0" w:color="auto"/>
                  </w:divBdr>
                  <w:divsChild>
                    <w:div w:id="1695576009">
                      <w:marLeft w:val="0"/>
                      <w:marRight w:val="0"/>
                      <w:marTop w:val="0"/>
                      <w:marBottom w:val="0"/>
                      <w:divBdr>
                        <w:top w:val="none" w:sz="0" w:space="0" w:color="auto"/>
                        <w:left w:val="none" w:sz="0" w:space="0" w:color="auto"/>
                        <w:bottom w:val="none" w:sz="0" w:space="0" w:color="auto"/>
                        <w:right w:val="none" w:sz="0" w:space="0" w:color="auto"/>
                      </w:divBdr>
                      <w:divsChild>
                        <w:div w:id="482238767">
                          <w:marLeft w:val="0"/>
                          <w:marRight w:val="0"/>
                          <w:marTop w:val="0"/>
                          <w:marBottom w:val="0"/>
                          <w:divBdr>
                            <w:top w:val="none" w:sz="0" w:space="0" w:color="auto"/>
                            <w:left w:val="none" w:sz="0" w:space="0" w:color="auto"/>
                            <w:bottom w:val="none" w:sz="0" w:space="0" w:color="auto"/>
                            <w:right w:val="none" w:sz="0" w:space="0" w:color="auto"/>
                          </w:divBdr>
                          <w:divsChild>
                            <w:div w:id="56830126">
                              <w:marLeft w:val="0"/>
                              <w:marRight w:val="0"/>
                              <w:marTop w:val="0"/>
                              <w:marBottom w:val="0"/>
                              <w:divBdr>
                                <w:top w:val="none" w:sz="0" w:space="0" w:color="auto"/>
                                <w:left w:val="none" w:sz="0" w:space="0" w:color="auto"/>
                                <w:bottom w:val="none" w:sz="0" w:space="0" w:color="auto"/>
                                <w:right w:val="none" w:sz="0" w:space="0" w:color="auto"/>
                              </w:divBdr>
                              <w:divsChild>
                                <w:div w:id="1886141277">
                                  <w:marLeft w:val="0"/>
                                  <w:marRight w:val="0"/>
                                  <w:marTop w:val="0"/>
                                  <w:marBottom w:val="0"/>
                                  <w:divBdr>
                                    <w:top w:val="none" w:sz="0" w:space="0" w:color="auto"/>
                                    <w:left w:val="none" w:sz="0" w:space="0" w:color="auto"/>
                                    <w:bottom w:val="none" w:sz="0" w:space="0" w:color="auto"/>
                                    <w:right w:val="none" w:sz="0" w:space="0" w:color="auto"/>
                                  </w:divBdr>
                                  <w:divsChild>
                                    <w:div w:id="26542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318933">
      <w:bodyDiv w:val="1"/>
      <w:marLeft w:val="0"/>
      <w:marRight w:val="0"/>
      <w:marTop w:val="0"/>
      <w:marBottom w:val="0"/>
      <w:divBdr>
        <w:top w:val="none" w:sz="0" w:space="0" w:color="auto"/>
        <w:left w:val="none" w:sz="0" w:space="0" w:color="auto"/>
        <w:bottom w:val="none" w:sz="0" w:space="0" w:color="auto"/>
        <w:right w:val="none" w:sz="0" w:space="0" w:color="auto"/>
      </w:divBdr>
      <w:divsChild>
        <w:div w:id="1223981792">
          <w:marLeft w:val="0"/>
          <w:marRight w:val="0"/>
          <w:marTop w:val="0"/>
          <w:marBottom w:val="0"/>
          <w:divBdr>
            <w:top w:val="none" w:sz="0" w:space="0" w:color="auto"/>
            <w:left w:val="none" w:sz="0" w:space="0" w:color="auto"/>
            <w:bottom w:val="none" w:sz="0" w:space="0" w:color="auto"/>
            <w:right w:val="none" w:sz="0" w:space="0" w:color="auto"/>
          </w:divBdr>
          <w:divsChild>
            <w:div w:id="8002247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23824805">
      <w:bodyDiv w:val="1"/>
      <w:marLeft w:val="0"/>
      <w:marRight w:val="0"/>
      <w:marTop w:val="0"/>
      <w:marBottom w:val="0"/>
      <w:divBdr>
        <w:top w:val="none" w:sz="0" w:space="0" w:color="auto"/>
        <w:left w:val="none" w:sz="0" w:space="0" w:color="auto"/>
        <w:bottom w:val="none" w:sz="0" w:space="0" w:color="auto"/>
        <w:right w:val="none" w:sz="0" w:space="0" w:color="auto"/>
      </w:divBdr>
    </w:div>
    <w:div w:id="324435786">
      <w:bodyDiv w:val="1"/>
      <w:marLeft w:val="0"/>
      <w:marRight w:val="0"/>
      <w:marTop w:val="0"/>
      <w:marBottom w:val="0"/>
      <w:divBdr>
        <w:top w:val="none" w:sz="0" w:space="0" w:color="auto"/>
        <w:left w:val="none" w:sz="0" w:space="0" w:color="auto"/>
        <w:bottom w:val="none" w:sz="0" w:space="0" w:color="auto"/>
        <w:right w:val="none" w:sz="0" w:space="0" w:color="auto"/>
      </w:divBdr>
      <w:divsChild>
        <w:div w:id="1226841928">
          <w:marLeft w:val="0"/>
          <w:marRight w:val="0"/>
          <w:marTop w:val="0"/>
          <w:marBottom w:val="150"/>
          <w:divBdr>
            <w:top w:val="none" w:sz="0" w:space="0" w:color="auto"/>
            <w:left w:val="none" w:sz="0" w:space="0" w:color="auto"/>
            <w:bottom w:val="none" w:sz="0" w:space="0" w:color="auto"/>
            <w:right w:val="none" w:sz="0" w:space="0" w:color="auto"/>
          </w:divBdr>
        </w:div>
      </w:divsChild>
    </w:div>
    <w:div w:id="325131681">
      <w:bodyDiv w:val="1"/>
      <w:marLeft w:val="0"/>
      <w:marRight w:val="0"/>
      <w:marTop w:val="0"/>
      <w:marBottom w:val="0"/>
      <w:divBdr>
        <w:top w:val="none" w:sz="0" w:space="0" w:color="auto"/>
        <w:left w:val="none" w:sz="0" w:space="0" w:color="auto"/>
        <w:bottom w:val="none" w:sz="0" w:space="0" w:color="auto"/>
        <w:right w:val="none" w:sz="0" w:space="0" w:color="auto"/>
      </w:divBdr>
      <w:divsChild>
        <w:div w:id="2019889560">
          <w:marLeft w:val="0"/>
          <w:marRight w:val="0"/>
          <w:marTop w:val="0"/>
          <w:marBottom w:val="0"/>
          <w:divBdr>
            <w:top w:val="none" w:sz="0" w:space="0" w:color="auto"/>
            <w:left w:val="none" w:sz="0" w:space="0" w:color="auto"/>
            <w:bottom w:val="none" w:sz="0" w:space="0" w:color="auto"/>
            <w:right w:val="none" w:sz="0" w:space="0" w:color="auto"/>
          </w:divBdr>
          <w:divsChild>
            <w:div w:id="77170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134962">
      <w:bodyDiv w:val="1"/>
      <w:marLeft w:val="0"/>
      <w:marRight w:val="0"/>
      <w:marTop w:val="0"/>
      <w:marBottom w:val="0"/>
      <w:divBdr>
        <w:top w:val="none" w:sz="0" w:space="0" w:color="auto"/>
        <w:left w:val="none" w:sz="0" w:space="0" w:color="auto"/>
        <w:bottom w:val="none" w:sz="0" w:space="0" w:color="auto"/>
        <w:right w:val="none" w:sz="0" w:space="0" w:color="auto"/>
      </w:divBdr>
    </w:div>
    <w:div w:id="325784826">
      <w:bodyDiv w:val="1"/>
      <w:marLeft w:val="0"/>
      <w:marRight w:val="0"/>
      <w:marTop w:val="0"/>
      <w:marBottom w:val="0"/>
      <w:divBdr>
        <w:top w:val="none" w:sz="0" w:space="0" w:color="auto"/>
        <w:left w:val="none" w:sz="0" w:space="0" w:color="auto"/>
        <w:bottom w:val="none" w:sz="0" w:space="0" w:color="auto"/>
        <w:right w:val="none" w:sz="0" w:space="0" w:color="auto"/>
      </w:divBdr>
      <w:divsChild>
        <w:div w:id="358775525">
          <w:marLeft w:val="0"/>
          <w:marRight w:val="0"/>
          <w:marTop w:val="0"/>
          <w:marBottom w:val="150"/>
          <w:divBdr>
            <w:top w:val="none" w:sz="0" w:space="0" w:color="auto"/>
            <w:left w:val="none" w:sz="0" w:space="0" w:color="auto"/>
            <w:bottom w:val="none" w:sz="0" w:space="0" w:color="auto"/>
            <w:right w:val="none" w:sz="0" w:space="0" w:color="auto"/>
          </w:divBdr>
        </w:div>
      </w:divsChild>
    </w:div>
    <w:div w:id="325863662">
      <w:bodyDiv w:val="1"/>
      <w:marLeft w:val="0"/>
      <w:marRight w:val="0"/>
      <w:marTop w:val="0"/>
      <w:marBottom w:val="0"/>
      <w:divBdr>
        <w:top w:val="none" w:sz="0" w:space="0" w:color="auto"/>
        <w:left w:val="none" w:sz="0" w:space="0" w:color="auto"/>
        <w:bottom w:val="none" w:sz="0" w:space="0" w:color="auto"/>
        <w:right w:val="none" w:sz="0" w:space="0" w:color="auto"/>
      </w:divBdr>
      <w:divsChild>
        <w:div w:id="2033726556">
          <w:marLeft w:val="0"/>
          <w:marRight w:val="0"/>
          <w:marTop w:val="0"/>
          <w:marBottom w:val="0"/>
          <w:divBdr>
            <w:top w:val="none" w:sz="0" w:space="0" w:color="auto"/>
            <w:left w:val="none" w:sz="0" w:space="0" w:color="auto"/>
            <w:bottom w:val="none" w:sz="0" w:space="0" w:color="auto"/>
            <w:right w:val="none" w:sz="0" w:space="0" w:color="auto"/>
          </w:divBdr>
          <w:divsChild>
            <w:div w:id="2111244038">
              <w:marLeft w:val="0"/>
              <w:marRight w:val="0"/>
              <w:marTop w:val="0"/>
              <w:marBottom w:val="0"/>
              <w:divBdr>
                <w:top w:val="none" w:sz="0" w:space="0" w:color="auto"/>
                <w:left w:val="none" w:sz="0" w:space="0" w:color="auto"/>
                <w:bottom w:val="none" w:sz="0" w:space="0" w:color="auto"/>
                <w:right w:val="none" w:sz="0" w:space="0" w:color="auto"/>
              </w:divBdr>
            </w:div>
          </w:divsChild>
        </w:div>
        <w:div w:id="993339360">
          <w:marLeft w:val="0"/>
          <w:marRight w:val="0"/>
          <w:marTop w:val="240"/>
          <w:marBottom w:val="0"/>
          <w:divBdr>
            <w:top w:val="none" w:sz="0" w:space="0" w:color="auto"/>
            <w:left w:val="none" w:sz="0" w:space="0" w:color="auto"/>
            <w:bottom w:val="none" w:sz="0" w:space="0" w:color="auto"/>
            <w:right w:val="none" w:sz="0" w:space="0" w:color="auto"/>
          </w:divBdr>
        </w:div>
        <w:div w:id="1553955205">
          <w:marLeft w:val="0"/>
          <w:marRight w:val="0"/>
          <w:marTop w:val="0"/>
          <w:marBottom w:val="0"/>
          <w:divBdr>
            <w:top w:val="none" w:sz="0" w:space="0" w:color="auto"/>
            <w:left w:val="none" w:sz="0" w:space="0" w:color="auto"/>
            <w:bottom w:val="none" w:sz="0" w:space="0" w:color="auto"/>
            <w:right w:val="none" w:sz="0" w:space="0" w:color="auto"/>
          </w:divBdr>
          <w:divsChild>
            <w:div w:id="371617615">
              <w:marLeft w:val="-225"/>
              <w:marRight w:val="-225"/>
              <w:marTop w:val="0"/>
              <w:marBottom w:val="0"/>
              <w:divBdr>
                <w:top w:val="none" w:sz="0" w:space="0" w:color="auto"/>
                <w:left w:val="none" w:sz="0" w:space="0" w:color="auto"/>
                <w:bottom w:val="none" w:sz="0" w:space="0" w:color="auto"/>
                <w:right w:val="none" w:sz="0" w:space="0" w:color="auto"/>
              </w:divBdr>
              <w:divsChild>
                <w:div w:id="2086026812">
                  <w:marLeft w:val="0"/>
                  <w:marRight w:val="0"/>
                  <w:marTop w:val="0"/>
                  <w:marBottom w:val="0"/>
                  <w:divBdr>
                    <w:top w:val="none" w:sz="0" w:space="0" w:color="auto"/>
                    <w:left w:val="none" w:sz="0" w:space="0" w:color="auto"/>
                    <w:bottom w:val="none" w:sz="0" w:space="0" w:color="auto"/>
                    <w:right w:val="single" w:sz="6" w:space="0" w:color="000000"/>
                  </w:divBdr>
                  <w:divsChild>
                    <w:div w:id="128285711">
                      <w:marLeft w:val="0"/>
                      <w:marRight w:val="0"/>
                      <w:marTop w:val="0"/>
                      <w:marBottom w:val="0"/>
                      <w:divBdr>
                        <w:top w:val="none" w:sz="0" w:space="0" w:color="auto"/>
                        <w:left w:val="none" w:sz="0" w:space="0" w:color="auto"/>
                        <w:bottom w:val="none" w:sz="0" w:space="0" w:color="auto"/>
                        <w:right w:val="none" w:sz="0" w:space="0" w:color="auto"/>
                      </w:divBdr>
                      <w:divsChild>
                        <w:div w:id="1523131609">
                          <w:marLeft w:val="0"/>
                          <w:marRight w:val="0"/>
                          <w:marTop w:val="0"/>
                          <w:marBottom w:val="0"/>
                          <w:divBdr>
                            <w:top w:val="none" w:sz="0" w:space="0" w:color="auto"/>
                            <w:left w:val="none" w:sz="0" w:space="0" w:color="auto"/>
                            <w:bottom w:val="none" w:sz="0" w:space="0" w:color="auto"/>
                            <w:right w:val="none" w:sz="0" w:space="0" w:color="auto"/>
                          </w:divBdr>
                        </w:div>
                        <w:div w:id="518082421">
                          <w:marLeft w:val="0"/>
                          <w:marRight w:val="0"/>
                          <w:marTop w:val="0"/>
                          <w:marBottom w:val="0"/>
                          <w:divBdr>
                            <w:top w:val="none" w:sz="0" w:space="0" w:color="auto"/>
                            <w:left w:val="none" w:sz="0" w:space="0" w:color="auto"/>
                            <w:bottom w:val="none" w:sz="0" w:space="0" w:color="auto"/>
                            <w:right w:val="none" w:sz="0" w:space="0" w:color="auto"/>
                          </w:divBdr>
                        </w:div>
                        <w:div w:id="1304001200">
                          <w:marLeft w:val="0"/>
                          <w:marRight w:val="0"/>
                          <w:marTop w:val="0"/>
                          <w:marBottom w:val="0"/>
                          <w:divBdr>
                            <w:top w:val="none" w:sz="0" w:space="0" w:color="auto"/>
                            <w:left w:val="none" w:sz="0" w:space="0" w:color="auto"/>
                            <w:bottom w:val="none" w:sz="0" w:space="0" w:color="auto"/>
                            <w:right w:val="none" w:sz="0" w:space="0" w:color="auto"/>
                          </w:divBdr>
                        </w:div>
                        <w:div w:id="1481002994">
                          <w:marLeft w:val="0"/>
                          <w:marRight w:val="0"/>
                          <w:marTop w:val="0"/>
                          <w:marBottom w:val="0"/>
                          <w:divBdr>
                            <w:top w:val="none" w:sz="0" w:space="0" w:color="auto"/>
                            <w:left w:val="none" w:sz="0" w:space="0" w:color="auto"/>
                            <w:bottom w:val="none" w:sz="0" w:space="0" w:color="auto"/>
                            <w:right w:val="none" w:sz="0" w:space="0" w:color="auto"/>
                          </w:divBdr>
                        </w:div>
                        <w:div w:id="53137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27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935757">
      <w:bodyDiv w:val="1"/>
      <w:marLeft w:val="0"/>
      <w:marRight w:val="0"/>
      <w:marTop w:val="0"/>
      <w:marBottom w:val="0"/>
      <w:divBdr>
        <w:top w:val="none" w:sz="0" w:space="0" w:color="auto"/>
        <w:left w:val="none" w:sz="0" w:space="0" w:color="auto"/>
        <w:bottom w:val="none" w:sz="0" w:space="0" w:color="auto"/>
        <w:right w:val="none" w:sz="0" w:space="0" w:color="auto"/>
      </w:divBdr>
      <w:divsChild>
        <w:div w:id="295335307">
          <w:marLeft w:val="0"/>
          <w:marRight w:val="0"/>
          <w:marTop w:val="0"/>
          <w:marBottom w:val="150"/>
          <w:divBdr>
            <w:top w:val="none" w:sz="0" w:space="0" w:color="auto"/>
            <w:left w:val="none" w:sz="0" w:space="0" w:color="auto"/>
            <w:bottom w:val="none" w:sz="0" w:space="0" w:color="auto"/>
            <w:right w:val="none" w:sz="0" w:space="0" w:color="auto"/>
          </w:divBdr>
        </w:div>
      </w:divsChild>
    </w:div>
    <w:div w:id="326910719">
      <w:bodyDiv w:val="1"/>
      <w:marLeft w:val="0"/>
      <w:marRight w:val="0"/>
      <w:marTop w:val="0"/>
      <w:marBottom w:val="0"/>
      <w:divBdr>
        <w:top w:val="none" w:sz="0" w:space="0" w:color="auto"/>
        <w:left w:val="none" w:sz="0" w:space="0" w:color="auto"/>
        <w:bottom w:val="none" w:sz="0" w:space="0" w:color="auto"/>
        <w:right w:val="none" w:sz="0" w:space="0" w:color="auto"/>
      </w:divBdr>
      <w:divsChild>
        <w:div w:id="768083288">
          <w:marLeft w:val="0"/>
          <w:marRight w:val="0"/>
          <w:marTop w:val="0"/>
          <w:marBottom w:val="0"/>
          <w:divBdr>
            <w:top w:val="none" w:sz="0" w:space="0" w:color="auto"/>
            <w:left w:val="none" w:sz="0" w:space="0" w:color="auto"/>
            <w:bottom w:val="dotted" w:sz="6" w:space="4" w:color="DDDDDD"/>
            <w:right w:val="none" w:sz="0" w:space="0" w:color="auto"/>
          </w:divBdr>
          <w:divsChild>
            <w:div w:id="170370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053324">
      <w:bodyDiv w:val="1"/>
      <w:marLeft w:val="0"/>
      <w:marRight w:val="0"/>
      <w:marTop w:val="0"/>
      <w:marBottom w:val="0"/>
      <w:divBdr>
        <w:top w:val="none" w:sz="0" w:space="0" w:color="auto"/>
        <w:left w:val="none" w:sz="0" w:space="0" w:color="auto"/>
        <w:bottom w:val="none" w:sz="0" w:space="0" w:color="auto"/>
        <w:right w:val="none" w:sz="0" w:space="0" w:color="auto"/>
      </w:divBdr>
    </w:div>
    <w:div w:id="327369221">
      <w:bodyDiv w:val="1"/>
      <w:marLeft w:val="0"/>
      <w:marRight w:val="0"/>
      <w:marTop w:val="0"/>
      <w:marBottom w:val="0"/>
      <w:divBdr>
        <w:top w:val="none" w:sz="0" w:space="0" w:color="auto"/>
        <w:left w:val="none" w:sz="0" w:space="0" w:color="auto"/>
        <w:bottom w:val="none" w:sz="0" w:space="0" w:color="auto"/>
        <w:right w:val="none" w:sz="0" w:space="0" w:color="auto"/>
      </w:divBdr>
    </w:div>
    <w:div w:id="328098737">
      <w:bodyDiv w:val="1"/>
      <w:marLeft w:val="0"/>
      <w:marRight w:val="0"/>
      <w:marTop w:val="0"/>
      <w:marBottom w:val="0"/>
      <w:divBdr>
        <w:top w:val="none" w:sz="0" w:space="0" w:color="auto"/>
        <w:left w:val="none" w:sz="0" w:space="0" w:color="auto"/>
        <w:bottom w:val="none" w:sz="0" w:space="0" w:color="auto"/>
        <w:right w:val="none" w:sz="0" w:space="0" w:color="auto"/>
      </w:divBdr>
      <w:divsChild>
        <w:div w:id="463082655">
          <w:marLeft w:val="0"/>
          <w:marRight w:val="0"/>
          <w:marTop w:val="0"/>
          <w:marBottom w:val="0"/>
          <w:divBdr>
            <w:top w:val="none" w:sz="0" w:space="0" w:color="auto"/>
            <w:left w:val="none" w:sz="0" w:space="0" w:color="auto"/>
            <w:bottom w:val="dotted" w:sz="6" w:space="4" w:color="DDDDDD"/>
            <w:right w:val="none" w:sz="0" w:space="0" w:color="auto"/>
          </w:divBdr>
        </w:div>
      </w:divsChild>
    </w:div>
    <w:div w:id="328290081">
      <w:bodyDiv w:val="1"/>
      <w:marLeft w:val="0"/>
      <w:marRight w:val="0"/>
      <w:marTop w:val="0"/>
      <w:marBottom w:val="0"/>
      <w:divBdr>
        <w:top w:val="none" w:sz="0" w:space="0" w:color="auto"/>
        <w:left w:val="none" w:sz="0" w:space="0" w:color="auto"/>
        <w:bottom w:val="none" w:sz="0" w:space="0" w:color="auto"/>
        <w:right w:val="none" w:sz="0" w:space="0" w:color="auto"/>
      </w:divBdr>
    </w:div>
    <w:div w:id="328294674">
      <w:bodyDiv w:val="1"/>
      <w:marLeft w:val="0"/>
      <w:marRight w:val="0"/>
      <w:marTop w:val="0"/>
      <w:marBottom w:val="0"/>
      <w:divBdr>
        <w:top w:val="none" w:sz="0" w:space="0" w:color="auto"/>
        <w:left w:val="none" w:sz="0" w:space="0" w:color="auto"/>
        <w:bottom w:val="none" w:sz="0" w:space="0" w:color="auto"/>
        <w:right w:val="none" w:sz="0" w:space="0" w:color="auto"/>
      </w:divBdr>
      <w:divsChild>
        <w:div w:id="1091664765">
          <w:marLeft w:val="0"/>
          <w:marRight w:val="0"/>
          <w:marTop w:val="0"/>
          <w:marBottom w:val="0"/>
          <w:divBdr>
            <w:top w:val="none" w:sz="0" w:space="0" w:color="auto"/>
            <w:left w:val="none" w:sz="0" w:space="0" w:color="auto"/>
            <w:bottom w:val="none" w:sz="0" w:space="0" w:color="auto"/>
            <w:right w:val="none" w:sz="0" w:space="0" w:color="auto"/>
          </w:divBdr>
        </w:div>
      </w:divsChild>
    </w:div>
    <w:div w:id="328337164">
      <w:bodyDiv w:val="1"/>
      <w:marLeft w:val="0"/>
      <w:marRight w:val="0"/>
      <w:marTop w:val="0"/>
      <w:marBottom w:val="0"/>
      <w:divBdr>
        <w:top w:val="none" w:sz="0" w:space="0" w:color="auto"/>
        <w:left w:val="none" w:sz="0" w:space="0" w:color="auto"/>
        <w:bottom w:val="none" w:sz="0" w:space="0" w:color="auto"/>
        <w:right w:val="none" w:sz="0" w:space="0" w:color="auto"/>
      </w:divBdr>
      <w:divsChild>
        <w:div w:id="329793007">
          <w:marLeft w:val="0"/>
          <w:marRight w:val="0"/>
          <w:marTop w:val="0"/>
          <w:marBottom w:val="0"/>
          <w:divBdr>
            <w:top w:val="none" w:sz="0" w:space="0" w:color="auto"/>
            <w:left w:val="none" w:sz="0" w:space="0" w:color="auto"/>
            <w:bottom w:val="none" w:sz="0" w:space="0" w:color="auto"/>
            <w:right w:val="none" w:sz="0" w:space="0" w:color="auto"/>
          </w:divBdr>
          <w:divsChild>
            <w:div w:id="529300472">
              <w:marLeft w:val="0"/>
              <w:marRight w:val="0"/>
              <w:marTop w:val="0"/>
              <w:marBottom w:val="0"/>
              <w:divBdr>
                <w:top w:val="none" w:sz="0" w:space="0" w:color="auto"/>
                <w:left w:val="none" w:sz="0" w:space="0" w:color="auto"/>
                <w:bottom w:val="none" w:sz="0" w:space="0" w:color="auto"/>
                <w:right w:val="none" w:sz="0" w:space="0" w:color="auto"/>
              </w:divBdr>
            </w:div>
          </w:divsChild>
        </w:div>
        <w:div w:id="525824553">
          <w:marLeft w:val="0"/>
          <w:marRight w:val="0"/>
          <w:marTop w:val="0"/>
          <w:marBottom w:val="150"/>
          <w:divBdr>
            <w:top w:val="none" w:sz="0" w:space="0" w:color="auto"/>
            <w:left w:val="none" w:sz="0" w:space="0" w:color="auto"/>
            <w:bottom w:val="none" w:sz="0" w:space="0" w:color="auto"/>
            <w:right w:val="none" w:sz="0" w:space="0" w:color="auto"/>
          </w:divBdr>
        </w:div>
        <w:div w:id="1995915536">
          <w:marLeft w:val="0"/>
          <w:marRight w:val="0"/>
          <w:marTop w:val="0"/>
          <w:marBottom w:val="150"/>
          <w:divBdr>
            <w:top w:val="none" w:sz="0" w:space="0" w:color="auto"/>
            <w:left w:val="none" w:sz="0" w:space="0" w:color="auto"/>
            <w:bottom w:val="none" w:sz="0" w:space="0" w:color="auto"/>
            <w:right w:val="none" w:sz="0" w:space="0" w:color="auto"/>
          </w:divBdr>
          <w:divsChild>
            <w:div w:id="189349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560590">
      <w:bodyDiv w:val="1"/>
      <w:marLeft w:val="0"/>
      <w:marRight w:val="0"/>
      <w:marTop w:val="0"/>
      <w:marBottom w:val="0"/>
      <w:divBdr>
        <w:top w:val="none" w:sz="0" w:space="0" w:color="auto"/>
        <w:left w:val="none" w:sz="0" w:space="0" w:color="auto"/>
        <w:bottom w:val="none" w:sz="0" w:space="0" w:color="auto"/>
        <w:right w:val="none" w:sz="0" w:space="0" w:color="auto"/>
      </w:divBdr>
    </w:div>
    <w:div w:id="328682608">
      <w:bodyDiv w:val="1"/>
      <w:marLeft w:val="0"/>
      <w:marRight w:val="0"/>
      <w:marTop w:val="0"/>
      <w:marBottom w:val="0"/>
      <w:divBdr>
        <w:top w:val="none" w:sz="0" w:space="0" w:color="auto"/>
        <w:left w:val="none" w:sz="0" w:space="0" w:color="auto"/>
        <w:bottom w:val="none" w:sz="0" w:space="0" w:color="auto"/>
        <w:right w:val="none" w:sz="0" w:space="0" w:color="auto"/>
      </w:divBdr>
      <w:divsChild>
        <w:div w:id="47651816">
          <w:marLeft w:val="0"/>
          <w:marRight w:val="0"/>
          <w:marTop w:val="0"/>
          <w:marBottom w:val="0"/>
          <w:divBdr>
            <w:top w:val="none" w:sz="0" w:space="0" w:color="auto"/>
            <w:left w:val="none" w:sz="0" w:space="0" w:color="auto"/>
            <w:bottom w:val="dotted" w:sz="6" w:space="4" w:color="DDDDDD"/>
            <w:right w:val="none" w:sz="0" w:space="0" w:color="auto"/>
          </w:divBdr>
        </w:div>
      </w:divsChild>
    </w:div>
    <w:div w:id="329068623">
      <w:bodyDiv w:val="1"/>
      <w:marLeft w:val="0"/>
      <w:marRight w:val="0"/>
      <w:marTop w:val="0"/>
      <w:marBottom w:val="0"/>
      <w:divBdr>
        <w:top w:val="none" w:sz="0" w:space="0" w:color="auto"/>
        <w:left w:val="none" w:sz="0" w:space="0" w:color="auto"/>
        <w:bottom w:val="none" w:sz="0" w:space="0" w:color="auto"/>
        <w:right w:val="none" w:sz="0" w:space="0" w:color="auto"/>
      </w:divBdr>
    </w:div>
    <w:div w:id="329211192">
      <w:bodyDiv w:val="1"/>
      <w:marLeft w:val="0"/>
      <w:marRight w:val="0"/>
      <w:marTop w:val="0"/>
      <w:marBottom w:val="0"/>
      <w:divBdr>
        <w:top w:val="none" w:sz="0" w:space="0" w:color="auto"/>
        <w:left w:val="none" w:sz="0" w:space="0" w:color="auto"/>
        <w:bottom w:val="none" w:sz="0" w:space="0" w:color="auto"/>
        <w:right w:val="none" w:sz="0" w:space="0" w:color="auto"/>
      </w:divBdr>
    </w:div>
    <w:div w:id="329328841">
      <w:bodyDiv w:val="1"/>
      <w:marLeft w:val="0"/>
      <w:marRight w:val="0"/>
      <w:marTop w:val="0"/>
      <w:marBottom w:val="0"/>
      <w:divBdr>
        <w:top w:val="none" w:sz="0" w:space="0" w:color="auto"/>
        <w:left w:val="none" w:sz="0" w:space="0" w:color="auto"/>
        <w:bottom w:val="none" w:sz="0" w:space="0" w:color="auto"/>
        <w:right w:val="none" w:sz="0" w:space="0" w:color="auto"/>
      </w:divBdr>
      <w:divsChild>
        <w:div w:id="1469278199">
          <w:marLeft w:val="0"/>
          <w:marRight w:val="0"/>
          <w:marTop w:val="0"/>
          <w:marBottom w:val="0"/>
          <w:divBdr>
            <w:top w:val="none" w:sz="0" w:space="0" w:color="auto"/>
            <w:left w:val="none" w:sz="0" w:space="0" w:color="auto"/>
            <w:bottom w:val="none" w:sz="0" w:space="0" w:color="auto"/>
            <w:right w:val="none" w:sz="0" w:space="0" w:color="auto"/>
          </w:divBdr>
        </w:div>
      </w:divsChild>
    </w:div>
    <w:div w:id="329718267">
      <w:bodyDiv w:val="1"/>
      <w:marLeft w:val="0"/>
      <w:marRight w:val="0"/>
      <w:marTop w:val="0"/>
      <w:marBottom w:val="0"/>
      <w:divBdr>
        <w:top w:val="none" w:sz="0" w:space="0" w:color="auto"/>
        <w:left w:val="none" w:sz="0" w:space="0" w:color="auto"/>
        <w:bottom w:val="none" w:sz="0" w:space="0" w:color="auto"/>
        <w:right w:val="none" w:sz="0" w:space="0" w:color="auto"/>
      </w:divBdr>
    </w:div>
    <w:div w:id="329915364">
      <w:bodyDiv w:val="1"/>
      <w:marLeft w:val="0"/>
      <w:marRight w:val="0"/>
      <w:marTop w:val="0"/>
      <w:marBottom w:val="0"/>
      <w:divBdr>
        <w:top w:val="none" w:sz="0" w:space="0" w:color="auto"/>
        <w:left w:val="none" w:sz="0" w:space="0" w:color="auto"/>
        <w:bottom w:val="none" w:sz="0" w:space="0" w:color="auto"/>
        <w:right w:val="none" w:sz="0" w:space="0" w:color="auto"/>
      </w:divBdr>
      <w:divsChild>
        <w:div w:id="413212725">
          <w:marLeft w:val="0"/>
          <w:marRight w:val="0"/>
          <w:marTop w:val="0"/>
          <w:marBottom w:val="150"/>
          <w:divBdr>
            <w:top w:val="none" w:sz="0" w:space="0" w:color="auto"/>
            <w:left w:val="none" w:sz="0" w:space="0" w:color="auto"/>
            <w:bottom w:val="none" w:sz="0" w:space="0" w:color="auto"/>
            <w:right w:val="none" w:sz="0" w:space="0" w:color="auto"/>
          </w:divBdr>
        </w:div>
        <w:div w:id="759569200">
          <w:marLeft w:val="0"/>
          <w:marRight w:val="0"/>
          <w:marTop w:val="0"/>
          <w:marBottom w:val="150"/>
          <w:divBdr>
            <w:top w:val="none" w:sz="0" w:space="0" w:color="auto"/>
            <w:left w:val="none" w:sz="0" w:space="0" w:color="auto"/>
            <w:bottom w:val="none" w:sz="0" w:space="0" w:color="auto"/>
            <w:right w:val="none" w:sz="0" w:space="0" w:color="auto"/>
          </w:divBdr>
          <w:divsChild>
            <w:div w:id="1246767548">
              <w:marLeft w:val="0"/>
              <w:marRight w:val="0"/>
              <w:marTop w:val="0"/>
              <w:marBottom w:val="0"/>
              <w:divBdr>
                <w:top w:val="none" w:sz="0" w:space="0" w:color="auto"/>
                <w:left w:val="none" w:sz="0" w:space="0" w:color="auto"/>
                <w:bottom w:val="none" w:sz="0" w:space="0" w:color="auto"/>
                <w:right w:val="none" w:sz="0" w:space="0" w:color="auto"/>
              </w:divBdr>
            </w:div>
          </w:divsChild>
        </w:div>
        <w:div w:id="1756785805">
          <w:marLeft w:val="0"/>
          <w:marRight w:val="0"/>
          <w:marTop w:val="0"/>
          <w:marBottom w:val="0"/>
          <w:divBdr>
            <w:top w:val="none" w:sz="0" w:space="0" w:color="auto"/>
            <w:left w:val="none" w:sz="0" w:space="0" w:color="auto"/>
            <w:bottom w:val="none" w:sz="0" w:space="0" w:color="auto"/>
            <w:right w:val="none" w:sz="0" w:space="0" w:color="auto"/>
          </w:divBdr>
          <w:divsChild>
            <w:div w:id="129552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84543">
      <w:bodyDiv w:val="1"/>
      <w:marLeft w:val="0"/>
      <w:marRight w:val="0"/>
      <w:marTop w:val="0"/>
      <w:marBottom w:val="0"/>
      <w:divBdr>
        <w:top w:val="none" w:sz="0" w:space="0" w:color="auto"/>
        <w:left w:val="none" w:sz="0" w:space="0" w:color="auto"/>
        <w:bottom w:val="none" w:sz="0" w:space="0" w:color="auto"/>
        <w:right w:val="none" w:sz="0" w:space="0" w:color="auto"/>
      </w:divBdr>
    </w:div>
    <w:div w:id="329987704">
      <w:bodyDiv w:val="1"/>
      <w:marLeft w:val="0"/>
      <w:marRight w:val="0"/>
      <w:marTop w:val="0"/>
      <w:marBottom w:val="0"/>
      <w:divBdr>
        <w:top w:val="none" w:sz="0" w:space="0" w:color="auto"/>
        <w:left w:val="none" w:sz="0" w:space="0" w:color="auto"/>
        <w:bottom w:val="none" w:sz="0" w:space="0" w:color="auto"/>
        <w:right w:val="none" w:sz="0" w:space="0" w:color="auto"/>
      </w:divBdr>
    </w:div>
    <w:div w:id="330108777">
      <w:bodyDiv w:val="1"/>
      <w:marLeft w:val="0"/>
      <w:marRight w:val="0"/>
      <w:marTop w:val="0"/>
      <w:marBottom w:val="0"/>
      <w:divBdr>
        <w:top w:val="none" w:sz="0" w:space="0" w:color="auto"/>
        <w:left w:val="none" w:sz="0" w:space="0" w:color="auto"/>
        <w:bottom w:val="none" w:sz="0" w:space="0" w:color="auto"/>
        <w:right w:val="none" w:sz="0" w:space="0" w:color="auto"/>
      </w:divBdr>
      <w:divsChild>
        <w:div w:id="799764594">
          <w:marLeft w:val="0"/>
          <w:marRight w:val="0"/>
          <w:marTop w:val="0"/>
          <w:marBottom w:val="150"/>
          <w:divBdr>
            <w:top w:val="none" w:sz="0" w:space="0" w:color="auto"/>
            <w:left w:val="none" w:sz="0" w:space="0" w:color="auto"/>
            <w:bottom w:val="none" w:sz="0" w:space="0" w:color="auto"/>
            <w:right w:val="none" w:sz="0" w:space="0" w:color="auto"/>
          </w:divBdr>
        </w:div>
        <w:div w:id="1595242521">
          <w:marLeft w:val="0"/>
          <w:marRight w:val="0"/>
          <w:marTop w:val="0"/>
          <w:marBottom w:val="0"/>
          <w:divBdr>
            <w:top w:val="none" w:sz="0" w:space="0" w:color="auto"/>
            <w:left w:val="none" w:sz="0" w:space="0" w:color="auto"/>
            <w:bottom w:val="none" w:sz="0" w:space="0" w:color="auto"/>
            <w:right w:val="none" w:sz="0" w:space="0" w:color="auto"/>
          </w:divBdr>
          <w:divsChild>
            <w:div w:id="1274676971">
              <w:marLeft w:val="0"/>
              <w:marRight w:val="0"/>
              <w:marTop w:val="0"/>
              <w:marBottom w:val="0"/>
              <w:divBdr>
                <w:top w:val="none" w:sz="0" w:space="0" w:color="auto"/>
                <w:left w:val="none" w:sz="0" w:space="0" w:color="auto"/>
                <w:bottom w:val="none" w:sz="0" w:space="0" w:color="auto"/>
                <w:right w:val="none" w:sz="0" w:space="0" w:color="auto"/>
              </w:divBdr>
            </w:div>
          </w:divsChild>
        </w:div>
        <w:div w:id="1934510290">
          <w:marLeft w:val="0"/>
          <w:marRight w:val="0"/>
          <w:marTop w:val="0"/>
          <w:marBottom w:val="150"/>
          <w:divBdr>
            <w:top w:val="none" w:sz="0" w:space="0" w:color="auto"/>
            <w:left w:val="none" w:sz="0" w:space="0" w:color="auto"/>
            <w:bottom w:val="none" w:sz="0" w:space="0" w:color="auto"/>
            <w:right w:val="none" w:sz="0" w:space="0" w:color="auto"/>
          </w:divBdr>
          <w:divsChild>
            <w:div w:id="151572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330311">
      <w:bodyDiv w:val="1"/>
      <w:marLeft w:val="0"/>
      <w:marRight w:val="0"/>
      <w:marTop w:val="0"/>
      <w:marBottom w:val="0"/>
      <w:divBdr>
        <w:top w:val="none" w:sz="0" w:space="0" w:color="auto"/>
        <w:left w:val="none" w:sz="0" w:space="0" w:color="auto"/>
        <w:bottom w:val="none" w:sz="0" w:space="0" w:color="auto"/>
        <w:right w:val="none" w:sz="0" w:space="0" w:color="auto"/>
      </w:divBdr>
      <w:divsChild>
        <w:div w:id="678577494">
          <w:marLeft w:val="0"/>
          <w:marRight w:val="0"/>
          <w:marTop w:val="0"/>
          <w:marBottom w:val="0"/>
          <w:divBdr>
            <w:top w:val="none" w:sz="0" w:space="0" w:color="auto"/>
            <w:left w:val="none" w:sz="0" w:space="0" w:color="auto"/>
            <w:bottom w:val="none" w:sz="0" w:space="0" w:color="auto"/>
            <w:right w:val="none" w:sz="0" w:space="0" w:color="auto"/>
          </w:divBdr>
          <w:divsChild>
            <w:div w:id="1918317626">
              <w:marLeft w:val="0"/>
              <w:marRight w:val="0"/>
              <w:marTop w:val="0"/>
              <w:marBottom w:val="225"/>
              <w:divBdr>
                <w:top w:val="none" w:sz="0" w:space="0" w:color="auto"/>
                <w:left w:val="none" w:sz="0" w:space="0" w:color="auto"/>
                <w:bottom w:val="none" w:sz="0" w:space="0" w:color="auto"/>
                <w:right w:val="none" w:sz="0" w:space="0" w:color="auto"/>
              </w:divBdr>
              <w:divsChild>
                <w:div w:id="679505630">
                  <w:marLeft w:val="225"/>
                  <w:marRight w:val="0"/>
                  <w:marTop w:val="0"/>
                  <w:marBottom w:val="0"/>
                  <w:divBdr>
                    <w:top w:val="none" w:sz="0" w:space="0" w:color="auto"/>
                    <w:left w:val="none" w:sz="0" w:space="0" w:color="auto"/>
                    <w:bottom w:val="none" w:sz="0" w:space="0" w:color="auto"/>
                    <w:right w:val="none" w:sz="0" w:space="0" w:color="auto"/>
                  </w:divBdr>
                  <w:divsChild>
                    <w:div w:id="31957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184236">
      <w:bodyDiv w:val="1"/>
      <w:marLeft w:val="0"/>
      <w:marRight w:val="0"/>
      <w:marTop w:val="0"/>
      <w:marBottom w:val="0"/>
      <w:divBdr>
        <w:top w:val="none" w:sz="0" w:space="0" w:color="auto"/>
        <w:left w:val="none" w:sz="0" w:space="0" w:color="auto"/>
        <w:bottom w:val="none" w:sz="0" w:space="0" w:color="auto"/>
        <w:right w:val="none" w:sz="0" w:space="0" w:color="auto"/>
      </w:divBdr>
      <w:divsChild>
        <w:div w:id="1980915435">
          <w:marLeft w:val="0"/>
          <w:marRight w:val="0"/>
          <w:marTop w:val="0"/>
          <w:marBottom w:val="0"/>
          <w:divBdr>
            <w:top w:val="none" w:sz="0" w:space="0" w:color="auto"/>
            <w:left w:val="none" w:sz="0" w:space="0" w:color="auto"/>
            <w:bottom w:val="dotted" w:sz="6" w:space="4" w:color="DDDDDD"/>
            <w:right w:val="none" w:sz="0" w:space="0" w:color="auto"/>
          </w:divBdr>
          <w:divsChild>
            <w:div w:id="202474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762926">
      <w:bodyDiv w:val="1"/>
      <w:marLeft w:val="0"/>
      <w:marRight w:val="0"/>
      <w:marTop w:val="0"/>
      <w:marBottom w:val="0"/>
      <w:divBdr>
        <w:top w:val="none" w:sz="0" w:space="0" w:color="auto"/>
        <w:left w:val="none" w:sz="0" w:space="0" w:color="auto"/>
        <w:bottom w:val="none" w:sz="0" w:space="0" w:color="auto"/>
        <w:right w:val="none" w:sz="0" w:space="0" w:color="auto"/>
      </w:divBdr>
      <w:divsChild>
        <w:div w:id="1403329698">
          <w:marLeft w:val="0"/>
          <w:marRight w:val="0"/>
          <w:marTop w:val="0"/>
          <w:marBottom w:val="150"/>
          <w:divBdr>
            <w:top w:val="none" w:sz="0" w:space="0" w:color="auto"/>
            <w:left w:val="none" w:sz="0" w:space="0" w:color="auto"/>
            <w:bottom w:val="none" w:sz="0" w:space="0" w:color="auto"/>
            <w:right w:val="none" w:sz="0" w:space="0" w:color="auto"/>
          </w:divBdr>
        </w:div>
      </w:divsChild>
    </w:div>
    <w:div w:id="331878791">
      <w:bodyDiv w:val="1"/>
      <w:marLeft w:val="0"/>
      <w:marRight w:val="0"/>
      <w:marTop w:val="0"/>
      <w:marBottom w:val="0"/>
      <w:divBdr>
        <w:top w:val="none" w:sz="0" w:space="0" w:color="auto"/>
        <w:left w:val="none" w:sz="0" w:space="0" w:color="auto"/>
        <w:bottom w:val="none" w:sz="0" w:space="0" w:color="auto"/>
        <w:right w:val="none" w:sz="0" w:space="0" w:color="auto"/>
      </w:divBdr>
      <w:divsChild>
        <w:div w:id="1812359699">
          <w:marLeft w:val="0"/>
          <w:marRight w:val="0"/>
          <w:marTop w:val="0"/>
          <w:marBottom w:val="0"/>
          <w:divBdr>
            <w:top w:val="none" w:sz="0" w:space="0" w:color="auto"/>
            <w:left w:val="none" w:sz="0" w:space="0" w:color="auto"/>
            <w:bottom w:val="dotted" w:sz="6" w:space="4" w:color="DDDDDD"/>
            <w:right w:val="none" w:sz="0" w:space="0" w:color="auto"/>
          </w:divBdr>
        </w:div>
      </w:divsChild>
    </w:div>
    <w:div w:id="331881911">
      <w:bodyDiv w:val="1"/>
      <w:marLeft w:val="0"/>
      <w:marRight w:val="0"/>
      <w:marTop w:val="0"/>
      <w:marBottom w:val="0"/>
      <w:divBdr>
        <w:top w:val="none" w:sz="0" w:space="0" w:color="auto"/>
        <w:left w:val="none" w:sz="0" w:space="0" w:color="auto"/>
        <w:bottom w:val="none" w:sz="0" w:space="0" w:color="auto"/>
        <w:right w:val="none" w:sz="0" w:space="0" w:color="auto"/>
      </w:divBdr>
      <w:divsChild>
        <w:div w:id="1359429092">
          <w:marLeft w:val="300"/>
          <w:marRight w:val="0"/>
          <w:marTop w:val="0"/>
          <w:marBottom w:val="0"/>
          <w:divBdr>
            <w:top w:val="none" w:sz="0" w:space="0" w:color="auto"/>
            <w:left w:val="none" w:sz="0" w:space="0" w:color="auto"/>
            <w:bottom w:val="single" w:sz="6" w:space="0" w:color="DCDCDC"/>
            <w:right w:val="none" w:sz="0" w:space="0" w:color="auto"/>
          </w:divBdr>
        </w:div>
      </w:divsChild>
    </w:div>
    <w:div w:id="332875291">
      <w:bodyDiv w:val="1"/>
      <w:marLeft w:val="0"/>
      <w:marRight w:val="0"/>
      <w:marTop w:val="0"/>
      <w:marBottom w:val="0"/>
      <w:divBdr>
        <w:top w:val="none" w:sz="0" w:space="0" w:color="auto"/>
        <w:left w:val="none" w:sz="0" w:space="0" w:color="auto"/>
        <w:bottom w:val="none" w:sz="0" w:space="0" w:color="auto"/>
        <w:right w:val="none" w:sz="0" w:space="0" w:color="auto"/>
      </w:divBdr>
    </w:div>
    <w:div w:id="333342174">
      <w:bodyDiv w:val="1"/>
      <w:marLeft w:val="0"/>
      <w:marRight w:val="0"/>
      <w:marTop w:val="0"/>
      <w:marBottom w:val="0"/>
      <w:divBdr>
        <w:top w:val="none" w:sz="0" w:space="0" w:color="auto"/>
        <w:left w:val="none" w:sz="0" w:space="0" w:color="auto"/>
        <w:bottom w:val="none" w:sz="0" w:space="0" w:color="auto"/>
        <w:right w:val="none" w:sz="0" w:space="0" w:color="auto"/>
      </w:divBdr>
      <w:divsChild>
        <w:div w:id="1116409344">
          <w:marLeft w:val="0"/>
          <w:marRight w:val="0"/>
          <w:marTop w:val="0"/>
          <w:marBottom w:val="0"/>
          <w:divBdr>
            <w:top w:val="none" w:sz="0" w:space="0" w:color="auto"/>
            <w:left w:val="none" w:sz="0" w:space="0" w:color="auto"/>
            <w:bottom w:val="none" w:sz="0" w:space="0" w:color="auto"/>
            <w:right w:val="none" w:sz="0" w:space="0" w:color="auto"/>
          </w:divBdr>
        </w:div>
      </w:divsChild>
    </w:div>
    <w:div w:id="333724311">
      <w:bodyDiv w:val="1"/>
      <w:marLeft w:val="0"/>
      <w:marRight w:val="0"/>
      <w:marTop w:val="0"/>
      <w:marBottom w:val="0"/>
      <w:divBdr>
        <w:top w:val="none" w:sz="0" w:space="0" w:color="auto"/>
        <w:left w:val="none" w:sz="0" w:space="0" w:color="auto"/>
        <w:bottom w:val="none" w:sz="0" w:space="0" w:color="auto"/>
        <w:right w:val="none" w:sz="0" w:space="0" w:color="auto"/>
      </w:divBdr>
      <w:divsChild>
        <w:div w:id="1056710088">
          <w:marLeft w:val="0"/>
          <w:marRight w:val="0"/>
          <w:marTop w:val="0"/>
          <w:marBottom w:val="150"/>
          <w:divBdr>
            <w:top w:val="none" w:sz="0" w:space="0" w:color="auto"/>
            <w:left w:val="none" w:sz="0" w:space="0" w:color="auto"/>
            <w:bottom w:val="none" w:sz="0" w:space="0" w:color="auto"/>
            <w:right w:val="none" w:sz="0" w:space="0" w:color="auto"/>
          </w:divBdr>
          <w:divsChild>
            <w:div w:id="2057199464">
              <w:marLeft w:val="0"/>
              <w:marRight w:val="0"/>
              <w:marTop w:val="0"/>
              <w:marBottom w:val="0"/>
              <w:divBdr>
                <w:top w:val="none" w:sz="0" w:space="0" w:color="auto"/>
                <w:left w:val="none" w:sz="0" w:space="0" w:color="auto"/>
                <w:bottom w:val="none" w:sz="0" w:space="0" w:color="auto"/>
                <w:right w:val="none" w:sz="0" w:space="0" w:color="auto"/>
              </w:divBdr>
            </w:div>
          </w:divsChild>
        </w:div>
        <w:div w:id="1557274139">
          <w:marLeft w:val="0"/>
          <w:marRight w:val="0"/>
          <w:marTop w:val="0"/>
          <w:marBottom w:val="0"/>
          <w:divBdr>
            <w:top w:val="none" w:sz="0" w:space="0" w:color="auto"/>
            <w:left w:val="none" w:sz="0" w:space="0" w:color="auto"/>
            <w:bottom w:val="none" w:sz="0" w:space="0" w:color="auto"/>
            <w:right w:val="none" w:sz="0" w:space="0" w:color="auto"/>
          </w:divBdr>
          <w:divsChild>
            <w:div w:id="230388630">
              <w:marLeft w:val="0"/>
              <w:marRight w:val="0"/>
              <w:marTop w:val="0"/>
              <w:marBottom w:val="0"/>
              <w:divBdr>
                <w:top w:val="none" w:sz="0" w:space="0" w:color="auto"/>
                <w:left w:val="none" w:sz="0" w:space="0" w:color="auto"/>
                <w:bottom w:val="none" w:sz="0" w:space="0" w:color="auto"/>
                <w:right w:val="none" w:sz="0" w:space="0" w:color="auto"/>
              </w:divBdr>
            </w:div>
            <w:div w:id="3680652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33847574">
      <w:bodyDiv w:val="1"/>
      <w:marLeft w:val="0"/>
      <w:marRight w:val="0"/>
      <w:marTop w:val="0"/>
      <w:marBottom w:val="0"/>
      <w:divBdr>
        <w:top w:val="none" w:sz="0" w:space="0" w:color="auto"/>
        <w:left w:val="none" w:sz="0" w:space="0" w:color="auto"/>
        <w:bottom w:val="none" w:sz="0" w:space="0" w:color="auto"/>
        <w:right w:val="none" w:sz="0" w:space="0" w:color="auto"/>
      </w:divBdr>
      <w:divsChild>
        <w:div w:id="484587071">
          <w:marLeft w:val="0"/>
          <w:marRight w:val="0"/>
          <w:marTop w:val="0"/>
          <w:marBottom w:val="0"/>
          <w:divBdr>
            <w:top w:val="none" w:sz="0" w:space="0" w:color="auto"/>
            <w:left w:val="none" w:sz="0" w:space="0" w:color="auto"/>
            <w:bottom w:val="dotted" w:sz="6" w:space="4" w:color="DDDDDD"/>
            <w:right w:val="none" w:sz="0" w:space="0" w:color="auto"/>
          </w:divBdr>
          <w:divsChild>
            <w:div w:id="35246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42217">
      <w:bodyDiv w:val="1"/>
      <w:marLeft w:val="0"/>
      <w:marRight w:val="0"/>
      <w:marTop w:val="0"/>
      <w:marBottom w:val="0"/>
      <w:divBdr>
        <w:top w:val="none" w:sz="0" w:space="0" w:color="auto"/>
        <w:left w:val="none" w:sz="0" w:space="0" w:color="auto"/>
        <w:bottom w:val="none" w:sz="0" w:space="0" w:color="auto"/>
        <w:right w:val="none" w:sz="0" w:space="0" w:color="auto"/>
      </w:divBdr>
    </w:div>
    <w:div w:id="334185463">
      <w:bodyDiv w:val="1"/>
      <w:marLeft w:val="0"/>
      <w:marRight w:val="0"/>
      <w:marTop w:val="0"/>
      <w:marBottom w:val="0"/>
      <w:divBdr>
        <w:top w:val="none" w:sz="0" w:space="0" w:color="auto"/>
        <w:left w:val="none" w:sz="0" w:space="0" w:color="auto"/>
        <w:bottom w:val="none" w:sz="0" w:space="0" w:color="auto"/>
        <w:right w:val="none" w:sz="0" w:space="0" w:color="auto"/>
      </w:divBdr>
      <w:divsChild>
        <w:div w:id="2056660281">
          <w:marLeft w:val="0"/>
          <w:marRight w:val="0"/>
          <w:marTop w:val="0"/>
          <w:marBottom w:val="150"/>
          <w:divBdr>
            <w:top w:val="none" w:sz="0" w:space="0" w:color="auto"/>
            <w:left w:val="none" w:sz="0" w:space="0" w:color="auto"/>
            <w:bottom w:val="none" w:sz="0" w:space="0" w:color="auto"/>
            <w:right w:val="none" w:sz="0" w:space="0" w:color="auto"/>
          </w:divBdr>
        </w:div>
      </w:divsChild>
    </w:div>
    <w:div w:id="334186284">
      <w:bodyDiv w:val="1"/>
      <w:marLeft w:val="0"/>
      <w:marRight w:val="0"/>
      <w:marTop w:val="0"/>
      <w:marBottom w:val="0"/>
      <w:divBdr>
        <w:top w:val="none" w:sz="0" w:space="0" w:color="auto"/>
        <w:left w:val="none" w:sz="0" w:space="0" w:color="auto"/>
        <w:bottom w:val="none" w:sz="0" w:space="0" w:color="auto"/>
        <w:right w:val="none" w:sz="0" w:space="0" w:color="auto"/>
      </w:divBdr>
    </w:div>
    <w:div w:id="334917198">
      <w:bodyDiv w:val="1"/>
      <w:marLeft w:val="0"/>
      <w:marRight w:val="0"/>
      <w:marTop w:val="0"/>
      <w:marBottom w:val="0"/>
      <w:divBdr>
        <w:top w:val="none" w:sz="0" w:space="0" w:color="auto"/>
        <w:left w:val="none" w:sz="0" w:space="0" w:color="auto"/>
        <w:bottom w:val="none" w:sz="0" w:space="0" w:color="auto"/>
        <w:right w:val="none" w:sz="0" w:space="0" w:color="auto"/>
      </w:divBdr>
      <w:divsChild>
        <w:div w:id="507868673">
          <w:marLeft w:val="0"/>
          <w:marRight w:val="0"/>
          <w:marTop w:val="0"/>
          <w:marBottom w:val="0"/>
          <w:divBdr>
            <w:top w:val="none" w:sz="0" w:space="0" w:color="auto"/>
            <w:left w:val="none" w:sz="0" w:space="0" w:color="auto"/>
            <w:bottom w:val="none" w:sz="0" w:space="0" w:color="auto"/>
            <w:right w:val="none" w:sz="0" w:space="0" w:color="auto"/>
          </w:divBdr>
          <w:divsChild>
            <w:div w:id="807208491">
              <w:marLeft w:val="0"/>
              <w:marRight w:val="0"/>
              <w:marTop w:val="0"/>
              <w:marBottom w:val="0"/>
              <w:divBdr>
                <w:top w:val="none" w:sz="0" w:space="0" w:color="auto"/>
                <w:left w:val="none" w:sz="0" w:space="0" w:color="auto"/>
                <w:bottom w:val="none" w:sz="0" w:space="0" w:color="auto"/>
                <w:right w:val="none" w:sz="0" w:space="0" w:color="auto"/>
              </w:divBdr>
            </w:div>
          </w:divsChild>
        </w:div>
        <w:div w:id="675152070">
          <w:marLeft w:val="0"/>
          <w:marRight w:val="0"/>
          <w:marTop w:val="0"/>
          <w:marBottom w:val="0"/>
          <w:divBdr>
            <w:top w:val="none" w:sz="0" w:space="0" w:color="auto"/>
            <w:left w:val="none" w:sz="0" w:space="0" w:color="auto"/>
            <w:bottom w:val="none" w:sz="0" w:space="0" w:color="auto"/>
            <w:right w:val="none" w:sz="0" w:space="0" w:color="auto"/>
          </w:divBdr>
        </w:div>
        <w:div w:id="1582333311">
          <w:marLeft w:val="0"/>
          <w:marRight w:val="0"/>
          <w:marTop w:val="0"/>
          <w:marBottom w:val="0"/>
          <w:divBdr>
            <w:top w:val="none" w:sz="0" w:space="0" w:color="auto"/>
            <w:left w:val="none" w:sz="0" w:space="0" w:color="auto"/>
            <w:bottom w:val="none" w:sz="0" w:space="0" w:color="auto"/>
            <w:right w:val="none" w:sz="0" w:space="0" w:color="auto"/>
          </w:divBdr>
          <w:divsChild>
            <w:div w:id="905258776">
              <w:marLeft w:val="-225"/>
              <w:marRight w:val="-225"/>
              <w:marTop w:val="0"/>
              <w:marBottom w:val="0"/>
              <w:divBdr>
                <w:top w:val="none" w:sz="0" w:space="0" w:color="auto"/>
                <w:left w:val="none" w:sz="0" w:space="0" w:color="auto"/>
                <w:bottom w:val="none" w:sz="0" w:space="0" w:color="auto"/>
                <w:right w:val="none" w:sz="0" w:space="0" w:color="auto"/>
              </w:divBdr>
              <w:divsChild>
                <w:div w:id="1566329763">
                  <w:marLeft w:val="0"/>
                  <w:marRight w:val="0"/>
                  <w:marTop w:val="0"/>
                  <w:marBottom w:val="0"/>
                  <w:divBdr>
                    <w:top w:val="none" w:sz="0" w:space="0" w:color="auto"/>
                    <w:left w:val="none" w:sz="0" w:space="0" w:color="auto"/>
                    <w:bottom w:val="none" w:sz="0" w:space="0" w:color="auto"/>
                    <w:right w:val="single" w:sz="6" w:space="0" w:color="000000"/>
                  </w:divBdr>
                  <w:divsChild>
                    <w:div w:id="336664436">
                      <w:marLeft w:val="0"/>
                      <w:marRight w:val="0"/>
                      <w:marTop w:val="0"/>
                      <w:marBottom w:val="0"/>
                      <w:divBdr>
                        <w:top w:val="none" w:sz="0" w:space="0" w:color="auto"/>
                        <w:left w:val="none" w:sz="0" w:space="0" w:color="auto"/>
                        <w:bottom w:val="none" w:sz="0" w:space="0" w:color="auto"/>
                        <w:right w:val="none" w:sz="0" w:space="0" w:color="auto"/>
                      </w:divBdr>
                      <w:divsChild>
                        <w:div w:id="1190797395">
                          <w:marLeft w:val="0"/>
                          <w:marRight w:val="0"/>
                          <w:marTop w:val="0"/>
                          <w:marBottom w:val="0"/>
                          <w:divBdr>
                            <w:top w:val="none" w:sz="0" w:space="0" w:color="auto"/>
                            <w:left w:val="none" w:sz="0" w:space="0" w:color="auto"/>
                            <w:bottom w:val="none" w:sz="0" w:space="0" w:color="auto"/>
                            <w:right w:val="none" w:sz="0" w:space="0" w:color="auto"/>
                          </w:divBdr>
                        </w:div>
                        <w:div w:id="727194911">
                          <w:marLeft w:val="0"/>
                          <w:marRight w:val="0"/>
                          <w:marTop w:val="0"/>
                          <w:marBottom w:val="0"/>
                          <w:divBdr>
                            <w:top w:val="none" w:sz="0" w:space="0" w:color="auto"/>
                            <w:left w:val="none" w:sz="0" w:space="0" w:color="auto"/>
                            <w:bottom w:val="none" w:sz="0" w:space="0" w:color="auto"/>
                            <w:right w:val="none" w:sz="0" w:space="0" w:color="auto"/>
                          </w:divBdr>
                        </w:div>
                        <w:div w:id="1183587461">
                          <w:marLeft w:val="0"/>
                          <w:marRight w:val="0"/>
                          <w:marTop w:val="0"/>
                          <w:marBottom w:val="0"/>
                          <w:divBdr>
                            <w:top w:val="none" w:sz="0" w:space="0" w:color="auto"/>
                            <w:left w:val="none" w:sz="0" w:space="0" w:color="auto"/>
                            <w:bottom w:val="none" w:sz="0" w:space="0" w:color="auto"/>
                            <w:right w:val="none" w:sz="0" w:space="0" w:color="auto"/>
                          </w:divBdr>
                        </w:div>
                        <w:div w:id="901986641">
                          <w:marLeft w:val="0"/>
                          <w:marRight w:val="0"/>
                          <w:marTop w:val="0"/>
                          <w:marBottom w:val="0"/>
                          <w:divBdr>
                            <w:top w:val="none" w:sz="0" w:space="0" w:color="auto"/>
                            <w:left w:val="none" w:sz="0" w:space="0" w:color="auto"/>
                            <w:bottom w:val="none" w:sz="0" w:space="0" w:color="auto"/>
                            <w:right w:val="none" w:sz="0" w:space="0" w:color="auto"/>
                          </w:divBdr>
                        </w:div>
                        <w:div w:id="187199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6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498894">
      <w:bodyDiv w:val="1"/>
      <w:marLeft w:val="0"/>
      <w:marRight w:val="0"/>
      <w:marTop w:val="0"/>
      <w:marBottom w:val="0"/>
      <w:divBdr>
        <w:top w:val="none" w:sz="0" w:space="0" w:color="auto"/>
        <w:left w:val="none" w:sz="0" w:space="0" w:color="auto"/>
        <w:bottom w:val="none" w:sz="0" w:space="0" w:color="auto"/>
        <w:right w:val="none" w:sz="0" w:space="0" w:color="auto"/>
      </w:divBdr>
      <w:divsChild>
        <w:div w:id="1884245702">
          <w:marLeft w:val="0"/>
          <w:marRight w:val="0"/>
          <w:marTop w:val="0"/>
          <w:marBottom w:val="0"/>
          <w:divBdr>
            <w:top w:val="none" w:sz="0" w:space="0" w:color="auto"/>
            <w:left w:val="none" w:sz="0" w:space="0" w:color="auto"/>
            <w:bottom w:val="dotted" w:sz="6" w:space="4" w:color="DDDDDD"/>
            <w:right w:val="none" w:sz="0" w:space="0" w:color="auto"/>
          </w:divBdr>
          <w:divsChild>
            <w:div w:id="52436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961574">
      <w:bodyDiv w:val="1"/>
      <w:marLeft w:val="0"/>
      <w:marRight w:val="0"/>
      <w:marTop w:val="0"/>
      <w:marBottom w:val="0"/>
      <w:divBdr>
        <w:top w:val="none" w:sz="0" w:space="0" w:color="auto"/>
        <w:left w:val="none" w:sz="0" w:space="0" w:color="auto"/>
        <w:bottom w:val="none" w:sz="0" w:space="0" w:color="auto"/>
        <w:right w:val="none" w:sz="0" w:space="0" w:color="auto"/>
      </w:divBdr>
    </w:div>
    <w:div w:id="336008139">
      <w:bodyDiv w:val="1"/>
      <w:marLeft w:val="0"/>
      <w:marRight w:val="0"/>
      <w:marTop w:val="0"/>
      <w:marBottom w:val="0"/>
      <w:divBdr>
        <w:top w:val="none" w:sz="0" w:space="0" w:color="auto"/>
        <w:left w:val="none" w:sz="0" w:space="0" w:color="auto"/>
        <w:bottom w:val="none" w:sz="0" w:space="0" w:color="auto"/>
        <w:right w:val="none" w:sz="0" w:space="0" w:color="auto"/>
      </w:divBdr>
    </w:div>
    <w:div w:id="336075312">
      <w:bodyDiv w:val="1"/>
      <w:marLeft w:val="0"/>
      <w:marRight w:val="0"/>
      <w:marTop w:val="0"/>
      <w:marBottom w:val="0"/>
      <w:divBdr>
        <w:top w:val="none" w:sz="0" w:space="0" w:color="auto"/>
        <w:left w:val="none" w:sz="0" w:space="0" w:color="auto"/>
        <w:bottom w:val="none" w:sz="0" w:space="0" w:color="auto"/>
        <w:right w:val="none" w:sz="0" w:space="0" w:color="auto"/>
      </w:divBdr>
      <w:divsChild>
        <w:div w:id="907887390">
          <w:marLeft w:val="0"/>
          <w:marRight w:val="0"/>
          <w:marTop w:val="0"/>
          <w:marBottom w:val="150"/>
          <w:divBdr>
            <w:top w:val="none" w:sz="0" w:space="0" w:color="auto"/>
            <w:left w:val="none" w:sz="0" w:space="0" w:color="auto"/>
            <w:bottom w:val="none" w:sz="0" w:space="0" w:color="auto"/>
            <w:right w:val="none" w:sz="0" w:space="0" w:color="auto"/>
          </w:divBdr>
          <w:divsChild>
            <w:div w:id="1975716022">
              <w:marLeft w:val="0"/>
              <w:marRight w:val="0"/>
              <w:marTop w:val="0"/>
              <w:marBottom w:val="0"/>
              <w:divBdr>
                <w:top w:val="none" w:sz="0" w:space="0" w:color="auto"/>
                <w:left w:val="none" w:sz="0" w:space="0" w:color="auto"/>
                <w:bottom w:val="none" w:sz="0" w:space="0" w:color="auto"/>
                <w:right w:val="none" w:sz="0" w:space="0" w:color="auto"/>
              </w:divBdr>
            </w:div>
          </w:divsChild>
        </w:div>
        <w:div w:id="1479147947">
          <w:marLeft w:val="0"/>
          <w:marRight w:val="0"/>
          <w:marTop w:val="0"/>
          <w:marBottom w:val="0"/>
          <w:divBdr>
            <w:top w:val="none" w:sz="0" w:space="0" w:color="auto"/>
            <w:left w:val="none" w:sz="0" w:space="0" w:color="auto"/>
            <w:bottom w:val="none" w:sz="0" w:space="0" w:color="auto"/>
            <w:right w:val="none" w:sz="0" w:space="0" w:color="auto"/>
          </w:divBdr>
          <w:divsChild>
            <w:div w:id="1717702292">
              <w:marLeft w:val="0"/>
              <w:marRight w:val="0"/>
              <w:marTop w:val="0"/>
              <w:marBottom w:val="0"/>
              <w:divBdr>
                <w:top w:val="none" w:sz="0" w:space="0" w:color="auto"/>
                <w:left w:val="none" w:sz="0" w:space="0" w:color="auto"/>
                <w:bottom w:val="none" w:sz="0" w:space="0" w:color="auto"/>
                <w:right w:val="none" w:sz="0" w:space="0" w:color="auto"/>
              </w:divBdr>
            </w:div>
          </w:divsChild>
        </w:div>
        <w:div w:id="1759517194">
          <w:marLeft w:val="0"/>
          <w:marRight w:val="0"/>
          <w:marTop w:val="0"/>
          <w:marBottom w:val="150"/>
          <w:divBdr>
            <w:top w:val="none" w:sz="0" w:space="0" w:color="auto"/>
            <w:left w:val="none" w:sz="0" w:space="0" w:color="auto"/>
            <w:bottom w:val="none" w:sz="0" w:space="0" w:color="auto"/>
            <w:right w:val="none" w:sz="0" w:space="0" w:color="auto"/>
          </w:divBdr>
        </w:div>
      </w:divsChild>
    </w:div>
    <w:div w:id="336428242">
      <w:bodyDiv w:val="1"/>
      <w:marLeft w:val="0"/>
      <w:marRight w:val="0"/>
      <w:marTop w:val="0"/>
      <w:marBottom w:val="0"/>
      <w:divBdr>
        <w:top w:val="none" w:sz="0" w:space="0" w:color="auto"/>
        <w:left w:val="none" w:sz="0" w:space="0" w:color="auto"/>
        <w:bottom w:val="none" w:sz="0" w:space="0" w:color="auto"/>
        <w:right w:val="none" w:sz="0" w:space="0" w:color="auto"/>
      </w:divBdr>
      <w:divsChild>
        <w:div w:id="1849905745">
          <w:marLeft w:val="0"/>
          <w:marRight w:val="0"/>
          <w:marTop w:val="0"/>
          <w:marBottom w:val="0"/>
          <w:divBdr>
            <w:top w:val="none" w:sz="0" w:space="0" w:color="auto"/>
            <w:left w:val="none" w:sz="0" w:space="0" w:color="auto"/>
            <w:bottom w:val="none" w:sz="0" w:space="0" w:color="auto"/>
            <w:right w:val="none" w:sz="0" w:space="0" w:color="auto"/>
          </w:divBdr>
          <w:divsChild>
            <w:div w:id="430901825">
              <w:marLeft w:val="0"/>
              <w:marRight w:val="0"/>
              <w:marTop w:val="0"/>
              <w:marBottom w:val="0"/>
              <w:divBdr>
                <w:top w:val="none" w:sz="0" w:space="0" w:color="auto"/>
                <w:left w:val="none" w:sz="0" w:space="0" w:color="auto"/>
                <w:bottom w:val="none" w:sz="0" w:space="0" w:color="auto"/>
                <w:right w:val="none" w:sz="0" w:space="0" w:color="auto"/>
              </w:divBdr>
              <w:divsChild>
                <w:div w:id="102922436">
                  <w:marLeft w:val="0"/>
                  <w:marRight w:val="0"/>
                  <w:marTop w:val="0"/>
                  <w:marBottom w:val="0"/>
                  <w:divBdr>
                    <w:top w:val="none" w:sz="0" w:space="0" w:color="auto"/>
                    <w:left w:val="none" w:sz="0" w:space="0" w:color="auto"/>
                    <w:bottom w:val="none" w:sz="0" w:space="0" w:color="auto"/>
                    <w:right w:val="none" w:sz="0" w:space="0" w:color="auto"/>
                  </w:divBdr>
                  <w:divsChild>
                    <w:div w:id="1631935718">
                      <w:marLeft w:val="0"/>
                      <w:marRight w:val="0"/>
                      <w:marTop w:val="0"/>
                      <w:marBottom w:val="0"/>
                      <w:divBdr>
                        <w:top w:val="none" w:sz="0" w:space="0" w:color="auto"/>
                        <w:left w:val="none" w:sz="0" w:space="0" w:color="auto"/>
                        <w:bottom w:val="none" w:sz="0" w:space="0" w:color="auto"/>
                        <w:right w:val="none" w:sz="0" w:space="0" w:color="auto"/>
                      </w:divBdr>
                      <w:divsChild>
                        <w:div w:id="724916249">
                          <w:marLeft w:val="0"/>
                          <w:marRight w:val="0"/>
                          <w:marTop w:val="0"/>
                          <w:marBottom w:val="0"/>
                          <w:divBdr>
                            <w:top w:val="none" w:sz="0" w:space="0" w:color="auto"/>
                            <w:left w:val="none" w:sz="0" w:space="0" w:color="auto"/>
                            <w:bottom w:val="none" w:sz="0" w:space="0" w:color="auto"/>
                            <w:right w:val="none" w:sz="0" w:space="0" w:color="auto"/>
                          </w:divBdr>
                          <w:divsChild>
                            <w:div w:id="1673988855">
                              <w:marLeft w:val="0"/>
                              <w:marRight w:val="0"/>
                              <w:marTop w:val="0"/>
                              <w:marBottom w:val="0"/>
                              <w:divBdr>
                                <w:top w:val="none" w:sz="0" w:space="0" w:color="auto"/>
                                <w:left w:val="none" w:sz="0" w:space="0" w:color="auto"/>
                                <w:bottom w:val="none" w:sz="0" w:space="0" w:color="auto"/>
                                <w:right w:val="none" w:sz="0" w:space="0" w:color="auto"/>
                              </w:divBdr>
                              <w:divsChild>
                                <w:div w:id="551968053">
                                  <w:marLeft w:val="0"/>
                                  <w:marRight w:val="0"/>
                                  <w:marTop w:val="0"/>
                                  <w:marBottom w:val="0"/>
                                  <w:divBdr>
                                    <w:top w:val="none" w:sz="0" w:space="0" w:color="auto"/>
                                    <w:left w:val="none" w:sz="0" w:space="0" w:color="auto"/>
                                    <w:bottom w:val="none" w:sz="0" w:space="0" w:color="auto"/>
                                    <w:right w:val="none" w:sz="0" w:space="0" w:color="auto"/>
                                  </w:divBdr>
                                  <w:divsChild>
                                    <w:div w:id="1838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466061">
      <w:bodyDiv w:val="1"/>
      <w:marLeft w:val="0"/>
      <w:marRight w:val="0"/>
      <w:marTop w:val="0"/>
      <w:marBottom w:val="0"/>
      <w:divBdr>
        <w:top w:val="none" w:sz="0" w:space="0" w:color="auto"/>
        <w:left w:val="none" w:sz="0" w:space="0" w:color="auto"/>
        <w:bottom w:val="none" w:sz="0" w:space="0" w:color="auto"/>
        <w:right w:val="none" w:sz="0" w:space="0" w:color="auto"/>
      </w:divBdr>
      <w:divsChild>
        <w:div w:id="1240293089">
          <w:marLeft w:val="0"/>
          <w:marRight w:val="0"/>
          <w:marTop w:val="0"/>
          <w:marBottom w:val="0"/>
          <w:divBdr>
            <w:top w:val="none" w:sz="0" w:space="0" w:color="auto"/>
            <w:left w:val="none" w:sz="0" w:space="0" w:color="auto"/>
            <w:bottom w:val="dotted" w:sz="6" w:space="4" w:color="DDDDDD"/>
            <w:right w:val="none" w:sz="0" w:space="0" w:color="auto"/>
          </w:divBdr>
        </w:div>
      </w:divsChild>
    </w:div>
    <w:div w:id="336613656">
      <w:bodyDiv w:val="1"/>
      <w:marLeft w:val="0"/>
      <w:marRight w:val="0"/>
      <w:marTop w:val="0"/>
      <w:marBottom w:val="0"/>
      <w:divBdr>
        <w:top w:val="none" w:sz="0" w:space="0" w:color="auto"/>
        <w:left w:val="none" w:sz="0" w:space="0" w:color="auto"/>
        <w:bottom w:val="none" w:sz="0" w:space="0" w:color="auto"/>
        <w:right w:val="none" w:sz="0" w:space="0" w:color="auto"/>
      </w:divBdr>
    </w:div>
    <w:div w:id="336616432">
      <w:bodyDiv w:val="1"/>
      <w:marLeft w:val="0"/>
      <w:marRight w:val="0"/>
      <w:marTop w:val="0"/>
      <w:marBottom w:val="0"/>
      <w:divBdr>
        <w:top w:val="none" w:sz="0" w:space="0" w:color="auto"/>
        <w:left w:val="none" w:sz="0" w:space="0" w:color="auto"/>
        <w:bottom w:val="none" w:sz="0" w:space="0" w:color="auto"/>
        <w:right w:val="none" w:sz="0" w:space="0" w:color="auto"/>
      </w:divBdr>
    </w:div>
    <w:div w:id="336880747">
      <w:bodyDiv w:val="1"/>
      <w:marLeft w:val="0"/>
      <w:marRight w:val="0"/>
      <w:marTop w:val="0"/>
      <w:marBottom w:val="0"/>
      <w:divBdr>
        <w:top w:val="none" w:sz="0" w:space="0" w:color="auto"/>
        <w:left w:val="none" w:sz="0" w:space="0" w:color="auto"/>
        <w:bottom w:val="none" w:sz="0" w:space="0" w:color="auto"/>
        <w:right w:val="none" w:sz="0" w:space="0" w:color="auto"/>
      </w:divBdr>
    </w:div>
    <w:div w:id="337081049">
      <w:bodyDiv w:val="1"/>
      <w:marLeft w:val="0"/>
      <w:marRight w:val="0"/>
      <w:marTop w:val="0"/>
      <w:marBottom w:val="0"/>
      <w:divBdr>
        <w:top w:val="none" w:sz="0" w:space="0" w:color="auto"/>
        <w:left w:val="none" w:sz="0" w:space="0" w:color="auto"/>
        <w:bottom w:val="none" w:sz="0" w:space="0" w:color="auto"/>
        <w:right w:val="none" w:sz="0" w:space="0" w:color="auto"/>
      </w:divBdr>
      <w:divsChild>
        <w:div w:id="981957271">
          <w:marLeft w:val="0"/>
          <w:marRight w:val="0"/>
          <w:marTop w:val="0"/>
          <w:marBottom w:val="0"/>
          <w:divBdr>
            <w:top w:val="none" w:sz="0" w:space="0" w:color="auto"/>
            <w:left w:val="none" w:sz="0" w:space="0" w:color="auto"/>
            <w:bottom w:val="dotted" w:sz="6" w:space="4" w:color="DDDDDD"/>
            <w:right w:val="none" w:sz="0" w:space="0" w:color="auto"/>
          </w:divBdr>
          <w:divsChild>
            <w:div w:id="138525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118640">
      <w:bodyDiv w:val="1"/>
      <w:marLeft w:val="0"/>
      <w:marRight w:val="0"/>
      <w:marTop w:val="0"/>
      <w:marBottom w:val="0"/>
      <w:divBdr>
        <w:top w:val="none" w:sz="0" w:space="0" w:color="auto"/>
        <w:left w:val="none" w:sz="0" w:space="0" w:color="auto"/>
        <w:bottom w:val="none" w:sz="0" w:space="0" w:color="auto"/>
        <w:right w:val="none" w:sz="0" w:space="0" w:color="auto"/>
      </w:divBdr>
      <w:divsChild>
        <w:div w:id="229466016">
          <w:marLeft w:val="0"/>
          <w:marRight w:val="0"/>
          <w:marTop w:val="150"/>
          <w:marBottom w:val="0"/>
          <w:divBdr>
            <w:top w:val="none" w:sz="0" w:space="0" w:color="auto"/>
            <w:left w:val="none" w:sz="0" w:space="0" w:color="auto"/>
            <w:bottom w:val="none" w:sz="0" w:space="0" w:color="auto"/>
            <w:right w:val="none" w:sz="0" w:space="0" w:color="auto"/>
          </w:divBdr>
          <w:divsChild>
            <w:div w:id="875311948">
              <w:marLeft w:val="0"/>
              <w:marRight w:val="0"/>
              <w:marTop w:val="0"/>
              <w:marBottom w:val="0"/>
              <w:divBdr>
                <w:top w:val="none" w:sz="0" w:space="0" w:color="auto"/>
                <w:left w:val="none" w:sz="0" w:space="0" w:color="auto"/>
                <w:bottom w:val="none" w:sz="0" w:space="0" w:color="auto"/>
                <w:right w:val="none" w:sz="0" w:space="0" w:color="auto"/>
              </w:divBdr>
              <w:divsChild>
                <w:div w:id="68244203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46616559">
          <w:marLeft w:val="0"/>
          <w:marRight w:val="0"/>
          <w:marTop w:val="0"/>
          <w:marBottom w:val="0"/>
          <w:divBdr>
            <w:top w:val="none" w:sz="0" w:space="0" w:color="auto"/>
            <w:left w:val="none" w:sz="0" w:space="0" w:color="auto"/>
            <w:bottom w:val="none" w:sz="0" w:space="0" w:color="auto"/>
            <w:right w:val="none" w:sz="0" w:space="0" w:color="auto"/>
          </w:divBdr>
          <w:divsChild>
            <w:div w:id="88055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193441">
      <w:bodyDiv w:val="1"/>
      <w:marLeft w:val="0"/>
      <w:marRight w:val="0"/>
      <w:marTop w:val="0"/>
      <w:marBottom w:val="0"/>
      <w:divBdr>
        <w:top w:val="none" w:sz="0" w:space="0" w:color="auto"/>
        <w:left w:val="none" w:sz="0" w:space="0" w:color="auto"/>
        <w:bottom w:val="none" w:sz="0" w:space="0" w:color="auto"/>
        <w:right w:val="none" w:sz="0" w:space="0" w:color="auto"/>
      </w:divBdr>
    </w:div>
    <w:div w:id="337196154">
      <w:bodyDiv w:val="1"/>
      <w:marLeft w:val="0"/>
      <w:marRight w:val="0"/>
      <w:marTop w:val="0"/>
      <w:marBottom w:val="0"/>
      <w:divBdr>
        <w:top w:val="none" w:sz="0" w:space="0" w:color="auto"/>
        <w:left w:val="none" w:sz="0" w:space="0" w:color="auto"/>
        <w:bottom w:val="none" w:sz="0" w:space="0" w:color="auto"/>
        <w:right w:val="none" w:sz="0" w:space="0" w:color="auto"/>
      </w:divBdr>
      <w:divsChild>
        <w:div w:id="415786939">
          <w:marLeft w:val="0"/>
          <w:marRight w:val="0"/>
          <w:marTop w:val="0"/>
          <w:marBottom w:val="0"/>
          <w:divBdr>
            <w:top w:val="none" w:sz="0" w:space="0" w:color="auto"/>
            <w:left w:val="none" w:sz="0" w:space="0" w:color="auto"/>
            <w:bottom w:val="none" w:sz="0" w:space="0" w:color="auto"/>
            <w:right w:val="none" w:sz="0" w:space="0" w:color="auto"/>
          </w:divBdr>
          <w:divsChild>
            <w:div w:id="1873418012">
              <w:marLeft w:val="0"/>
              <w:marRight w:val="0"/>
              <w:marTop w:val="0"/>
              <w:marBottom w:val="0"/>
              <w:divBdr>
                <w:top w:val="none" w:sz="0" w:space="0" w:color="auto"/>
                <w:left w:val="none" w:sz="0" w:space="0" w:color="auto"/>
                <w:bottom w:val="none" w:sz="0" w:space="0" w:color="auto"/>
                <w:right w:val="none" w:sz="0" w:space="0" w:color="auto"/>
              </w:divBdr>
              <w:divsChild>
                <w:div w:id="40063051">
                  <w:marLeft w:val="0"/>
                  <w:marRight w:val="0"/>
                  <w:marTop w:val="0"/>
                  <w:marBottom w:val="0"/>
                  <w:divBdr>
                    <w:top w:val="none" w:sz="0" w:space="0" w:color="auto"/>
                    <w:left w:val="none" w:sz="0" w:space="0" w:color="auto"/>
                    <w:bottom w:val="none" w:sz="0" w:space="0" w:color="auto"/>
                    <w:right w:val="none" w:sz="0" w:space="0" w:color="auto"/>
                  </w:divBdr>
                  <w:divsChild>
                    <w:div w:id="1894922651">
                      <w:marLeft w:val="0"/>
                      <w:marRight w:val="0"/>
                      <w:marTop w:val="0"/>
                      <w:marBottom w:val="0"/>
                      <w:divBdr>
                        <w:top w:val="none" w:sz="0" w:space="0" w:color="auto"/>
                        <w:left w:val="none" w:sz="0" w:space="0" w:color="auto"/>
                        <w:bottom w:val="none" w:sz="0" w:space="0" w:color="auto"/>
                        <w:right w:val="none" w:sz="0" w:space="0" w:color="auto"/>
                      </w:divBdr>
                      <w:divsChild>
                        <w:div w:id="235406105">
                          <w:marLeft w:val="0"/>
                          <w:marRight w:val="0"/>
                          <w:marTop w:val="0"/>
                          <w:marBottom w:val="0"/>
                          <w:divBdr>
                            <w:top w:val="none" w:sz="0" w:space="0" w:color="auto"/>
                            <w:left w:val="none" w:sz="0" w:space="0" w:color="auto"/>
                            <w:bottom w:val="none" w:sz="0" w:space="0" w:color="auto"/>
                            <w:right w:val="none" w:sz="0" w:space="0" w:color="auto"/>
                          </w:divBdr>
                          <w:divsChild>
                            <w:div w:id="202744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267565">
      <w:bodyDiv w:val="1"/>
      <w:marLeft w:val="0"/>
      <w:marRight w:val="0"/>
      <w:marTop w:val="0"/>
      <w:marBottom w:val="0"/>
      <w:divBdr>
        <w:top w:val="none" w:sz="0" w:space="0" w:color="auto"/>
        <w:left w:val="none" w:sz="0" w:space="0" w:color="auto"/>
        <w:bottom w:val="none" w:sz="0" w:space="0" w:color="auto"/>
        <w:right w:val="none" w:sz="0" w:space="0" w:color="auto"/>
      </w:divBdr>
    </w:div>
    <w:div w:id="337345235">
      <w:bodyDiv w:val="1"/>
      <w:marLeft w:val="0"/>
      <w:marRight w:val="0"/>
      <w:marTop w:val="0"/>
      <w:marBottom w:val="0"/>
      <w:divBdr>
        <w:top w:val="none" w:sz="0" w:space="0" w:color="auto"/>
        <w:left w:val="none" w:sz="0" w:space="0" w:color="auto"/>
        <w:bottom w:val="none" w:sz="0" w:space="0" w:color="auto"/>
        <w:right w:val="none" w:sz="0" w:space="0" w:color="auto"/>
      </w:divBdr>
      <w:divsChild>
        <w:div w:id="744230219">
          <w:marLeft w:val="0"/>
          <w:marRight w:val="0"/>
          <w:marTop w:val="0"/>
          <w:marBottom w:val="0"/>
          <w:divBdr>
            <w:top w:val="none" w:sz="0" w:space="0" w:color="auto"/>
            <w:left w:val="none" w:sz="0" w:space="0" w:color="auto"/>
            <w:bottom w:val="none" w:sz="0" w:space="0" w:color="auto"/>
            <w:right w:val="none" w:sz="0" w:space="0" w:color="auto"/>
          </w:divBdr>
          <w:divsChild>
            <w:div w:id="607808884">
              <w:marLeft w:val="0"/>
              <w:marRight w:val="0"/>
              <w:marTop w:val="0"/>
              <w:marBottom w:val="0"/>
              <w:divBdr>
                <w:top w:val="none" w:sz="0" w:space="0" w:color="auto"/>
                <w:left w:val="none" w:sz="0" w:space="0" w:color="auto"/>
                <w:bottom w:val="none" w:sz="0" w:space="0" w:color="auto"/>
                <w:right w:val="none" w:sz="0" w:space="0" w:color="auto"/>
              </w:divBdr>
            </w:div>
          </w:divsChild>
        </w:div>
        <w:div w:id="1266113301">
          <w:marLeft w:val="0"/>
          <w:marRight w:val="0"/>
          <w:marTop w:val="0"/>
          <w:marBottom w:val="150"/>
          <w:divBdr>
            <w:top w:val="none" w:sz="0" w:space="0" w:color="auto"/>
            <w:left w:val="none" w:sz="0" w:space="0" w:color="auto"/>
            <w:bottom w:val="none" w:sz="0" w:space="0" w:color="auto"/>
            <w:right w:val="none" w:sz="0" w:space="0" w:color="auto"/>
          </w:divBdr>
        </w:div>
        <w:div w:id="1997299273">
          <w:marLeft w:val="0"/>
          <w:marRight w:val="0"/>
          <w:marTop w:val="0"/>
          <w:marBottom w:val="150"/>
          <w:divBdr>
            <w:top w:val="none" w:sz="0" w:space="0" w:color="auto"/>
            <w:left w:val="none" w:sz="0" w:space="0" w:color="auto"/>
            <w:bottom w:val="none" w:sz="0" w:space="0" w:color="auto"/>
            <w:right w:val="none" w:sz="0" w:space="0" w:color="auto"/>
          </w:divBdr>
          <w:divsChild>
            <w:div w:id="143170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586924">
      <w:bodyDiv w:val="1"/>
      <w:marLeft w:val="0"/>
      <w:marRight w:val="0"/>
      <w:marTop w:val="0"/>
      <w:marBottom w:val="0"/>
      <w:divBdr>
        <w:top w:val="none" w:sz="0" w:space="0" w:color="auto"/>
        <w:left w:val="none" w:sz="0" w:space="0" w:color="auto"/>
        <w:bottom w:val="none" w:sz="0" w:space="0" w:color="auto"/>
        <w:right w:val="none" w:sz="0" w:space="0" w:color="auto"/>
      </w:divBdr>
      <w:divsChild>
        <w:div w:id="1536968052">
          <w:marLeft w:val="0"/>
          <w:marRight w:val="0"/>
          <w:marTop w:val="0"/>
          <w:marBottom w:val="0"/>
          <w:divBdr>
            <w:top w:val="none" w:sz="0" w:space="0" w:color="auto"/>
            <w:left w:val="none" w:sz="0" w:space="0" w:color="auto"/>
            <w:bottom w:val="none" w:sz="0" w:space="0" w:color="auto"/>
            <w:right w:val="none" w:sz="0" w:space="0" w:color="auto"/>
          </w:divBdr>
          <w:divsChild>
            <w:div w:id="1324090901">
              <w:marLeft w:val="0"/>
              <w:marRight w:val="0"/>
              <w:marTop w:val="0"/>
              <w:marBottom w:val="0"/>
              <w:divBdr>
                <w:top w:val="none" w:sz="0" w:space="0" w:color="auto"/>
                <w:left w:val="none" w:sz="0" w:space="0" w:color="auto"/>
                <w:bottom w:val="none" w:sz="0" w:space="0" w:color="auto"/>
                <w:right w:val="none" w:sz="0" w:space="0" w:color="auto"/>
              </w:divBdr>
              <w:divsChild>
                <w:div w:id="1022366256">
                  <w:marLeft w:val="0"/>
                  <w:marRight w:val="0"/>
                  <w:marTop w:val="0"/>
                  <w:marBottom w:val="150"/>
                  <w:divBdr>
                    <w:top w:val="none" w:sz="0" w:space="0" w:color="auto"/>
                    <w:left w:val="none" w:sz="0" w:space="0" w:color="auto"/>
                    <w:bottom w:val="none" w:sz="0" w:space="0" w:color="auto"/>
                    <w:right w:val="none" w:sz="0" w:space="0" w:color="auto"/>
                  </w:divBdr>
                  <w:divsChild>
                    <w:div w:id="943460264">
                      <w:marLeft w:val="0"/>
                      <w:marRight w:val="0"/>
                      <w:marTop w:val="0"/>
                      <w:marBottom w:val="0"/>
                      <w:divBdr>
                        <w:top w:val="none" w:sz="0" w:space="0" w:color="auto"/>
                        <w:left w:val="none" w:sz="0" w:space="0" w:color="auto"/>
                        <w:bottom w:val="none" w:sz="0" w:space="0" w:color="auto"/>
                        <w:right w:val="none" w:sz="0" w:space="0" w:color="auto"/>
                      </w:divBdr>
                      <w:divsChild>
                        <w:div w:id="656350461">
                          <w:marLeft w:val="0"/>
                          <w:marRight w:val="0"/>
                          <w:marTop w:val="0"/>
                          <w:marBottom w:val="0"/>
                          <w:divBdr>
                            <w:top w:val="none" w:sz="0" w:space="0" w:color="auto"/>
                            <w:left w:val="none" w:sz="0" w:space="0" w:color="auto"/>
                            <w:bottom w:val="none" w:sz="0" w:space="0" w:color="auto"/>
                            <w:right w:val="none" w:sz="0" w:space="0" w:color="auto"/>
                          </w:divBdr>
                          <w:divsChild>
                            <w:div w:id="437221629">
                              <w:marLeft w:val="0"/>
                              <w:marRight w:val="0"/>
                              <w:marTop w:val="0"/>
                              <w:marBottom w:val="0"/>
                              <w:divBdr>
                                <w:top w:val="none" w:sz="0" w:space="0" w:color="auto"/>
                                <w:left w:val="none" w:sz="0" w:space="0" w:color="auto"/>
                                <w:bottom w:val="none" w:sz="0" w:space="0" w:color="auto"/>
                                <w:right w:val="none" w:sz="0" w:space="0" w:color="auto"/>
                              </w:divBdr>
                              <w:divsChild>
                                <w:div w:id="1945726280">
                                  <w:marLeft w:val="0"/>
                                  <w:marRight w:val="0"/>
                                  <w:marTop w:val="0"/>
                                  <w:marBottom w:val="0"/>
                                  <w:divBdr>
                                    <w:top w:val="none" w:sz="0" w:space="0" w:color="auto"/>
                                    <w:left w:val="none" w:sz="0" w:space="0" w:color="auto"/>
                                    <w:bottom w:val="none" w:sz="0" w:space="0" w:color="auto"/>
                                    <w:right w:val="none" w:sz="0" w:space="0" w:color="auto"/>
                                  </w:divBdr>
                                  <w:divsChild>
                                    <w:div w:id="86317621">
                                      <w:marLeft w:val="0"/>
                                      <w:marRight w:val="0"/>
                                      <w:marTop w:val="0"/>
                                      <w:marBottom w:val="0"/>
                                      <w:divBdr>
                                        <w:top w:val="none" w:sz="0" w:space="0" w:color="auto"/>
                                        <w:left w:val="none" w:sz="0" w:space="0" w:color="auto"/>
                                        <w:bottom w:val="none" w:sz="0" w:space="0" w:color="auto"/>
                                        <w:right w:val="none" w:sz="0" w:space="0" w:color="auto"/>
                                      </w:divBdr>
                                      <w:divsChild>
                                        <w:div w:id="762651313">
                                          <w:marLeft w:val="0"/>
                                          <w:marRight w:val="0"/>
                                          <w:marTop w:val="0"/>
                                          <w:marBottom w:val="0"/>
                                          <w:divBdr>
                                            <w:top w:val="none" w:sz="0" w:space="0" w:color="auto"/>
                                            <w:left w:val="none" w:sz="0" w:space="0" w:color="auto"/>
                                            <w:bottom w:val="none" w:sz="0" w:space="0" w:color="auto"/>
                                            <w:right w:val="none" w:sz="0" w:space="0" w:color="auto"/>
                                          </w:divBdr>
                                          <w:divsChild>
                                            <w:div w:id="1934433363">
                                              <w:marLeft w:val="0"/>
                                              <w:marRight w:val="0"/>
                                              <w:marTop w:val="0"/>
                                              <w:marBottom w:val="0"/>
                                              <w:divBdr>
                                                <w:top w:val="none" w:sz="0" w:space="0" w:color="auto"/>
                                                <w:left w:val="none" w:sz="0" w:space="0" w:color="auto"/>
                                                <w:bottom w:val="none" w:sz="0" w:space="0" w:color="auto"/>
                                                <w:right w:val="none" w:sz="0" w:space="0" w:color="auto"/>
                                              </w:divBdr>
                                              <w:divsChild>
                                                <w:div w:id="51164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7974092">
      <w:bodyDiv w:val="1"/>
      <w:marLeft w:val="0"/>
      <w:marRight w:val="0"/>
      <w:marTop w:val="0"/>
      <w:marBottom w:val="0"/>
      <w:divBdr>
        <w:top w:val="none" w:sz="0" w:space="0" w:color="auto"/>
        <w:left w:val="none" w:sz="0" w:space="0" w:color="auto"/>
        <w:bottom w:val="none" w:sz="0" w:space="0" w:color="auto"/>
        <w:right w:val="none" w:sz="0" w:space="0" w:color="auto"/>
      </w:divBdr>
      <w:divsChild>
        <w:div w:id="1032069660">
          <w:marLeft w:val="0"/>
          <w:marRight w:val="0"/>
          <w:marTop w:val="0"/>
          <w:marBottom w:val="0"/>
          <w:divBdr>
            <w:top w:val="none" w:sz="0" w:space="0" w:color="auto"/>
            <w:left w:val="none" w:sz="0" w:space="0" w:color="auto"/>
            <w:bottom w:val="dotted" w:sz="6" w:space="4" w:color="DDDDDD"/>
            <w:right w:val="none" w:sz="0" w:space="0" w:color="auto"/>
          </w:divBdr>
        </w:div>
      </w:divsChild>
    </w:div>
    <w:div w:id="338001515">
      <w:bodyDiv w:val="1"/>
      <w:marLeft w:val="0"/>
      <w:marRight w:val="0"/>
      <w:marTop w:val="0"/>
      <w:marBottom w:val="0"/>
      <w:divBdr>
        <w:top w:val="none" w:sz="0" w:space="0" w:color="auto"/>
        <w:left w:val="none" w:sz="0" w:space="0" w:color="auto"/>
        <w:bottom w:val="none" w:sz="0" w:space="0" w:color="auto"/>
        <w:right w:val="none" w:sz="0" w:space="0" w:color="auto"/>
      </w:divBdr>
    </w:div>
    <w:div w:id="338116700">
      <w:bodyDiv w:val="1"/>
      <w:marLeft w:val="0"/>
      <w:marRight w:val="0"/>
      <w:marTop w:val="0"/>
      <w:marBottom w:val="0"/>
      <w:divBdr>
        <w:top w:val="none" w:sz="0" w:space="0" w:color="auto"/>
        <w:left w:val="none" w:sz="0" w:space="0" w:color="auto"/>
        <w:bottom w:val="none" w:sz="0" w:space="0" w:color="auto"/>
        <w:right w:val="none" w:sz="0" w:space="0" w:color="auto"/>
      </w:divBdr>
      <w:divsChild>
        <w:div w:id="742751734">
          <w:marLeft w:val="0"/>
          <w:marRight w:val="0"/>
          <w:marTop w:val="0"/>
          <w:marBottom w:val="150"/>
          <w:divBdr>
            <w:top w:val="none" w:sz="0" w:space="0" w:color="auto"/>
            <w:left w:val="none" w:sz="0" w:space="0" w:color="auto"/>
            <w:bottom w:val="none" w:sz="0" w:space="0" w:color="auto"/>
            <w:right w:val="none" w:sz="0" w:space="0" w:color="auto"/>
          </w:divBdr>
          <w:divsChild>
            <w:div w:id="1575092505">
              <w:marLeft w:val="0"/>
              <w:marRight w:val="0"/>
              <w:marTop w:val="0"/>
              <w:marBottom w:val="0"/>
              <w:divBdr>
                <w:top w:val="none" w:sz="0" w:space="0" w:color="auto"/>
                <w:left w:val="none" w:sz="0" w:space="0" w:color="auto"/>
                <w:bottom w:val="none" w:sz="0" w:space="0" w:color="auto"/>
                <w:right w:val="none" w:sz="0" w:space="0" w:color="auto"/>
              </w:divBdr>
            </w:div>
          </w:divsChild>
        </w:div>
        <w:div w:id="1641185163">
          <w:marLeft w:val="0"/>
          <w:marRight w:val="0"/>
          <w:marTop w:val="0"/>
          <w:marBottom w:val="0"/>
          <w:divBdr>
            <w:top w:val="none" w:sz="0" w:space="0" w:color="auto"/>
            <w:left w:val="none" w:sz="0" w:space="0" w:color="auto"/>
            <w:bottom w:val="none" w:sz="0" w:space="0" w:color="auto"/>
            <w:right w:val="none" w:sz="0" w:space="0" w:color="auto"/>
          </w:divBdr>
          <w:divsChild>
            <w:div w:id="1292519375">
              <w:marLeft w:val="0"/>
              <w:marRight w:val="0"/>
              <w:marTop w:val="0"/>
              <w:marBottom w:val="0"/>
              <w:divBdr>
                <w:top w:val="none" w:sz="0" w:space="0" w:color="auto"/>
                <w:left w:val="none" w:sz="0" w:space="0" w:color="auto"/>
                <w:bottom w:val="none" w:sz="0" w:space="0" w:color="auto"/>
                <w:right w:val="none" w:sz="0" w:space="0" w:color="auto"/>
              </w:divBdr>
            </w:div>
          </w:divsChild>
        </w:div>
        <w:div w:id="1967664694">
          <w:marLeft w:val="0"/>
          <w:marRight w:val="0"/>
          <w:marTop w:val="0"/>
          <w:marBottom w:val="150"/>
          <w:divBdr>
            <w:top w:val="none" w:sz="0" w:space="0" w:color="auto"/>
            <w:left w:val="none" w:sz="0" w:space="0" w:color="auto"/>
            <w:bottom w:val="none" w:sz="0" w:space="0" w:color="auto"/>
            <w:right w:val="none" w:sz="0" w:space="0" w:color="auto"/>
          </w:divBdr>
        </w:div>
      </w:divsChild>
    </w:div>
    <w:div w:id="338705634">
      <w:bodyDiv w:val="1"/>
      <w:marLeft w:val="0"/>
      <w:marRight w:val="0"/>
      <w:marTop w:val="0"/>
      <w:marBottom w:val="0"/>
      <w:divBdr>
        <w:top w:val="none" w:sz="0" w:space="0" w:color="auto"/>
        <w:left w:val="none" w:sz="0" w:space="0" w:color="auto"/>
        <w:bottom w:val="none" w:sz="0" w:space="0" w:color="auto"/>
        <w:right w:val="none" w:sz="0" w:space="0" w:color="auto"/>
      </w:divBdr>
      <w:divsChild>
        <w:div w:id="1403017032">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960254371">
              <w:marLeft w:val="0"/>
              <w:marRight w:val="0"/>
              <w:marTop w:val="300"/>
              <w:marBottom w:val="300"/>
              <w:divBdr>
                <w:top w:val="none" w:sz="0" w:space="0" w:color="auto"/>
                <w:left w:val="none" w:sz="0" w:space="0" w:color="auto"/>
                <w:bottom w:val="none" w:sz="0" w:space="0" w:color="auto"/>
                <w:right w:val="none" w:sz="0" w:space="0" w:color="auto"/>
              </w:divBdr>
              <w:divsChild>
                <w:div w:id="548998111">
                  <w:marLeft w:val="0"/>
                  <w:marRight w:val="0"/>
                  <w:marTop w:val="0"/>
                  <w:marBottom w:val="0"/>
                  <w:divBdr>
                    <w:top w:val="none" w:sz="0" w:space="0" w:color="auto"/>
                    <w:left w:val="none" w:sz="0" w:space="0" w:color="auto"/>
                    <w:bottom w:val="none" w:sz="0" w:space="0" w:color="auto"/>
                    <w:right w:val="none" w:sz="0" w:space="0" w:color="auto"/>
                  </w:divBdr>
                  <w:divsChild>
                    <w:div w:id="25328613">
                      <w:marLeft w:val="0"/>
                      <w:marRight w:val="0"/>
                      <w:marTop w:val="0"/>
                      <w:marBottom w:val="0"/>
                      <w:divBdr>
                        <w:top w:val="none" w:sz="0" w:space="0" w:color="auto"/>
                        <w:left w:val="none" w:sz="0" w:space="0" w:color="auto"/>
                        <w:bottom w:val="none" w:sz="0" w:space="0" w:color="auto"/>
                        <w:right w:val="none" w:sz="0" w:space="0" w:color="auto"/>
                      </w:divBdr>
                      <w:divsChild>
                        <w:div w:id="882835729">
                          <w:marLeft w:val="0"/>
                          <w:marRight w:val="0"/>
                          <w:marTop w:val="0"/>
                          <w:marBottom w:val="0"/>
                          <w:divBdr>
                            <w:top w:val="none" w:sz="0" w:space="0" w:color="auto"/>
                            <w:left w:val="none" w:sz="0" w:space="0" w:color="auto"/>
                            <w:bottom w:val="none" w:sz="0" w:space="0" w:color="auto"/>
                            <w:right w:val="none" w:sz="0" w:space="0" w:color="auto"/>
                          </w:divBdr>
                          <w:divsChild>
                            <w:div w:id="588462983">
                              <w:marLeft w:val="0"/>
                              <w:marRight w:val="0"/>
                              <w:marTop w:val="0"/>
                              <w:marBottom w:val="0"/>
                              <w:divBdr>
                                <w:top w:val="none" w:sz="0" w:space="0" w:color="auto"/>
                                <w:left w:val="none" w:sz="0" w:space="0" w:color="auto"/>
                                <w:bottom w:val="none" w:sz="0" w:space="0" w:color="auto"/>
                                <w:right w:val="none" w:sz="0" w:space="0" w:color="auto"/>
                              </w:divBdr>
                              <w:divsChild>
                                <w:div w:id="1780028772">
                                  <w:marLeft w:val="0"/>
                                  <w:marRight w:val="0"/>
                                  <w:marTop w:val="0"/>
                                  <w:marBottom w:val="0"/>
                                  <w:divBdr>
                                    <w:top w:val="none" w:sz="0" w:space="0" w:color="auto"/>
                                    <w:left w:val="none" w:sz="0" w:space="0" w:color="auto"/>
                                    <w:bottom w:val="none" w:sz="0" w:space="0" w:color="auto"/>
                                    <w:right w:val="none" w:sz="0" w:space="0" w:color="auto"/>
                                  </w:divBdr>
                                  <w:divsChild>
                                    <w:div w:id="87392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8773600">
      <w:bodyDiv w:val="1"/>
      <w:marLeft w:val="0"/>
      <w:marRight w:val="0"/>
      <w:marTop w:val="0"/>
      <w:marBottom w:val="0"/>
      <w:divBdr>
        <w:top w:val="none" w:sz="0" w:space="0" w:color="auto"/>
        <w:left w:val="none" w:sz="0" w:space="0" w:color="auto"/>
        <w:bottom w:val="none" w:sz="0" w:space="0" w:color="auto"/>
        <w:right w:val="none" w:sz="0" w:space="0" w:color="auto"/>
      </w:divBdr>
      <w:divsChild>
        <w:div w:id="312953014">
          <w:marLeft w:val="0"/>
          <w:marRight w:val="0"/>
          <w:marTop w:val="150"/>
          <w:marBottom w:val="0"/>
          <w:divBdr>
            <w:top w:val="none" w:sz="0" w:space="0" w:color="auto"/>
            <w:left w:val="none" w:sz="0" w:space="0" w:color="auto"/>
            <w:bottom w:val="none" w:sz="0" w:space="0" w:color="auto"/>
            <w:right w:val="none" w:sz="0" w:space="0" w:color="auto"/>
          </w:divBdr>
          <w:divsChild>
            <w:div w:id="71971100">
              <w:marLeft w:val="0"/>
              <w:marRight w:val="150"/>
              <w:marTop w:val="0"/>
              <w:marBottom w:val="0"/>
              <w:divBdr>
                <w:top w:val="none" w:sz="0" w:space="0" w:color="auto"/>
                <w:left w:val="none" w:sz="0" w:space="0" w:color="auto"/>
                <w:bottom w:val="none" w:sz="0" w:space="0" w:color="auto"/>
                <w:right w:val="none" w:sz="0" w:space="0" w:color="auto"/>
              </w:divBdr>
            </w:div>
          </w:divsChild>
        </w:div>
        <w:div w:id="994186665">
          <w:marLeft w:val="0"/>
          <w:marRight w:val="0"/>
          <w:marTop w:val="0"/>
          <w:marBottom w:val="0"/>
          <w:divBdr>
            <w:top w:val="none" w:sz="0" w:space="8" w:color="auto"/>
            <w:left w:val="none" w:sz="0" w:space="2" w:color="auto"/>
            <w:bottom w:val="single" w:sz="6" w:space="8" w:color="DDDDDD"/>
            <w:right w:val="none" w:sz="0" w:space="0" w:color="auto"/>
          </w:divBdr>
        </w:div>
      </w:divsChild>
    </w:div>
    <w:div w:id="338779499">
      <w:bodyDiv w:val="1"/>
      <w:marLeft w:val="0"/>
      <w:marRight w:val="0"/>
      <w:marTop w:val="0"/>
      <w:marBottom w:val="0"/>
      <w:divBdr>
        <w:top w:val="none" w:sz="0" w:space="0" w:color="auto"/>
        <w:left w:val="none" w:sz="0" w:space="0" w:color="auto"/>
        <w:bottom w:val="none" w:sz="0" w:space="0" w:color="auto"/>
        <w:right w:val="none" w:sz="0" w:space="0" w:color="auto"/>
      </w:divBdr>
      <w:divsChild>
        <w:div w:id="918487621">
          <w:marLeft w:val="0"/>
          <w:marRight w:val="0"/>
          <w:marTop w:val="0"/>
          <w:marBottom w:val="0"/>
          <w:divBdr>
            <w:top w:val="none" w:sz="0" w:space="0" w:color="auto"/>
            <w:left w:val="none" w:sz="0" w:space="0" w:color="auto"/>
            <w:bottom w:val="dotted" w:sz="6" w:space="4" w:color="DDDDDD"/>
            <w:right w:val="none" w:sz="0" w:space="0" w:color="auto"/>
          </w:divBdr>
          <w:divsChild>
            <w:div w:id="152550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165956">
      <w:bodyDiv w:val="1"/>
      <w:marLeft w:val="0"/>
      <w:marRight w:val="0"/>
      <w:marTop w:val="0"/>
      <w:marBottom w:val="0"/>
      <w:divBdr>
        <w:top w:val="none" w:sz="0" w:space="0" w:color="auto"/>
        <w:left w:val="none" w:sz="0" w:space="0" w:color="auto"/>
        <w:bottom w:val="none" w:sz="0" w:space="0" w:color="auto"/>
        <w:right w:val="none" w:sz="0" w:space="0" w:color="auto"/>
      </w:divBdr>
      <w:divsChild>
        <w:div w:id="820998336">
          <w:marLeft w:val="0"/>
          <w:marRight w:val="0"/>
          <w:marTop w:val="0"/>
          <w:marBottom w:val="0"/>
          <w:divBdr>
            <w:top w:val="none" w:sz="0" w:space="0" w:color="auto"/>
            <w:left w:val="none" w:sz="0" w:space="0" w:color="auto"/>
            <w:bottom w:val="none" w:sz="0" w:space="0" w:color="auto"/>
            <w:right w:val="none" w:sz="0" w:space="0" w:color="auto"/>
          </w:divBdr>
          <w:divsChild>
            <w:div w:id="1720200300">
              <w:marLeft w:val="0"/>
              <w:marRight w:val="0"/>
              <w:marTop w:val="0"/>
              <w:marBottom w:val="0"/>
              <w:divBdr>
                <w:top w:val="none" w:sz="0" w:space="0" w:color="auto"/>
                <w:left w:val="none" w:sz="0" w:space="0" w:color="auto"/>
                <w:bottom w:val="none" w:sz="0" w:space="0" w:color="auto"/>
                <w:right w:val="none" w:sz="0" w:space="0" w:color="auto"/>
              </w:divBdr>
              <w:divsChild>
                <w:div w:id="686711167">
                  <w:marLeft w:val="0"/>
                  <w:marRight w:val="0"/>
                  <w:marTop w:val="0"/>
                  <w:marBottom w:val="0"/>
                  <w:divBdr>
                    <w:top w:val="none" w:sz="0" w:space="0" w:color="auto"/>
                    <w:left w:val="none" w:sz="0" w:space="0" w:color="auto"/>
                    <w:bottom w:val="none" w:sz="0" w:space="0" w:color="auto"/>
                    <w:right w:val="none" w:sz="0" w:space="0" w:color="auto"/>
                  </w:divBdr>
                  <w:divsChild>
                    <w:div w:id="1301838571">
                      <w:marLeft w:val="0"/>
                      <w:marRight w:val="0"/>
                      <w:marTop w:val="0"/>
                      <w:marBottom w:val="0"/>
                      <w:divBdr>
                        <w:top w:val="none" w:sz="0" w:space="0" w:color="auto"/>
                        <w:left w:val="none" w:sz="0" w:space="0" w:color="auto"/>
                        <w:bottom w:val="none" w:sz="0" w:space="0" w:color="auto"/>
                        <w:right w:val="none" w:sz="0" w:space="0" w:color="auto"/>
                      </w:divBdr>
                      <w:divsChild>
                        <w:div w:id="1983928845">
                          <w:marLeft w:val="0"/>
                          <w:marRight w:val="0"/>
                          <w:marTop w:val="0"/>
                          <w:marBottom w:val="0"/>
                          <w:divBdr>
                            <w:top w:val="none" w:sz="0" w:space="0" w:color="auto"/>
                            <w:left w:val="none" w:sz="0" w:space="0" w:color="auto"/>
                            <w:bottom w:val="none" w:sz="0" w:space="0" w:color="auto"/>
                            <w:right w:val="none" w:sz="0" w:space="0" w:color="auto"/>
                          </w:divBdr>
                          <w:divsChild>
                            <w:div w:id="1870990834">
                              <w:marLeft w:val="0"/>
                              <w:marRight w:val="0"/>
                              <w:marTop w:val="0"/>
                              <w:marBottom w:val="0"/>
                              <w:divBdr>
                                <w:top w:val="none" w:sz="0" w:space="0" w:color="auto"/>
                                <w:left w:val="none" w:sz="0" w:space="0" w:color="auto"/>
                                <w:bottom w:val="none" w:sz="0" w:space="0" w:color="auto"/>
                                <w:right w:val="none" w:sz="0" w:space="0" w:color="auto"/>
                              </w:divBdr>
                              <w:divsChild>
                                <w:div w:id="1739668527">
                                  <w:marLeft w:val="0"/>
                                  <w:marRight w:val="0"/>
                                  <w:marTop w:val="0"/>
                                  <w:marBottom w:val="0"/>
                                  <w:divBdr>
                                    <w:top w:val="none" w:sz="0" w:space="0" w:color="auto"/>
                                    <w:left w:val="none" w:sz="0" w:space="0" w:color="auto"/>
                                    <w:bottom w:val="none" w:sz="0" w:space="0" w:color="auto"/>
                                    <w:right w:val="none" w:sz="0" w:space="0" w:color="auto"/>
                                  </w:divBdr>
                                  <w:divsChild>
                                    <w:div w:id="155203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696082">
      <w:bodyDiv w:val="1"/>
      <w:marLeft w:val="0"/>
      <w:marRight w:val="0"/>
      <w:marTop w:val="0"/>
      <w:marBottom w:val="0"/>
      <w:divBdr>
        <w:top w:val="none" w:sz="0" w:space="0" w:color="auto"/>
        <w:left w:val="none" w:sz="0" w:space="0" w:color="auto"/>
        <w:bottom w:val="none" w:sz="0" w:space="0" w:color="auto"/>
        <w:right w:val="none" w:sz="0" w:space="0" w:color="auto"/>
      </w:divBdr>
      <w:divsChild>
        <w:div w:id="563953068">
          <w:marLeft w:val="0"/>
          <w:marRight w:val="0"/>
          <w:marTop w:val="0"/>
          <w:marBottom w:val="0"/>
          <w:divBdr>
            <w:top w:val="none" w:sz="0" w:space="0" w:color="auto"/>
            <w:left w:val="none" w:sz="0" w:space="0" w:color="auto"/>
            <w:bottom w:val="dotted" w:sz="6" w:space="4" w:color="DDDDDD"/>
            <w:right w:val="none" w:sz="0" w:space="0" w:color="auto"/>
          </w:divBdr>
          <w:divsChild>
            <w:div w:id="89759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03152">
      <w:bodyDiv w:val="1"/>
      <w:marLeft w:val="0"/>
      <w:marRight w:val="0"/>
      <w:marTop w:val="0"/>
      <w:marBottom w:val="0"/>
      <w:divBdr>
        <w:top w:val="none" w:sz="0" w:space="0" w:color="auto"/>
        <w:left w:val="none" w:sz="0" w:space="0" w:color="auto"/>
        <w:bottom w:val="none" w:sz="0" w:space="0" w:color="auto"/>
        <w:right w:val="none" w:sz="0" w:space="0" w:color="auto"/>
      </w:divBdr>
      <w:divsChild>
        <w:div w:id="412625847">
          <w:marLeft w:val="0"/>
          <w:marRight w:val="0"/>
          <w:marTop w:val="0"/>
          <w:marBottom w:val="0"/>
          <w:divBdr>
            <w:top w:val="none" w:sz="0" w:space="0" w:color="auto"/>
            <w:left w:val="none" w:sz="0" w:space="0" w:color="auto"/>
            <w:bottom w:val="none" w:sz="0" w:space="0" w:color="auto"/>
            <w:right w:val="none" w:sz="0" w:space="0" w:color="auto"/>
          </w:divBdr>
        </w:div>
      </w:divsChild>
    </w:div>
    <w:div w:id="340205170">
      <w:bodyDiv w:val="1"/>
      <w:marLeft w:val="0"/>
      <w:marRight w:val="0"/>
      <w:marTop w:val="0"/>
      <w:marBottom w:val="0"/>
      <w:divBdr>
        <w:top w:val="none" w:sz="0" w:space="0" w:color="auto"/>
        <w:left w:val="none" w:sz="0" w:space="0" w:color="auto"/>
        <w:bottom w:val="none" w:sz="0" w:space="0" w:color="auto"/>
        <w:right w:val="none" w:sz="0" w:space="0" w:color="auto"/>
      </w:divBdr>
    </w:div>
    <w:div w:id="340396087">
      <w:bodyDiv w:val="1"/>
      <w:marLeft w:val="0"/>
      <w:marRight w:val="0"/>
      <w:marTop w:val="0"/>
      <w:marBottom w:val="0"/>
      <w:divBdr>
        <w:top w:val="none" w:sz="0" w:space="0" w:color="auto"/>
        <w:left w:val="none" w:sz="0" w:space="0" w:color="auto"/>
        <w:bottom w:val="none" w:sz="0" w:space="0" w:color="auto"/>
        <w:right w:val="none" w:sz="0" w:space="0" w:color="auto"/>
      </w:divBdr>
      <w:divsChild>
        <w:div w:id="575019063">
          <w:marLeft w:val="0"/>
          <w:marRight w:val="0"/>
          <w:marTop w:val="0"/>
          <w:marBottom w:val="0"/>
          <w:divBdr>
            <w:top w:val="none" w:sz="0" w:space="0" w:color="auto"/>
            <w:left w:val="none" w:sz="0" w:space="0" w:color="auto"/>
            <w:bottom w:val="none" w:sz="0" w:space="0" w:color="auto"/>
            <w:right w:val="none" w:sz="0" w:space="0" w:color="auto"/>
          </w:divBdr>
          <w:divsChild>
            <w:div w:id="4314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547720">
      <w:bodyDiv w:val="1"/>
      <w:marLeft w:val="0"/>
      <w:marRight w:val="0"/>
      <w:marTop w:val="0"/>
      <w:marBottom w:val="0"/>
      <w:divBdr>
        <w:top w:val="none" w:sz="0" w:space="0" w:color="auto"/>
        <w:left w:val="none" w:sz="0" w:space="0" w:color="auto"/>
        <w:bottom w:val="none" w:sz="0" w:space="0" w:color="auto"/>
        <w:right w:val="none" w:sz="0" w:space="0" w:color="auto"/>
      </w:divBdr>
      <w:divsChild>
        <w:div w:id="1683238445">
          <w:marLeft w:val="0"/>
          <w:marRight w:val="0"/>
          <w:marTop w:val="0"/>
          <w:marBottom w:val="0"/>
          <w:divBdr>
            <w:top w:val="none" w:sz="0" w:space="0" w:color="auto"/>
            <w:left w:val="none" w:sz="0" w:space="0" w:color="auto"/>
            <w:bottom w:val="none" w:sz="0" w:space="0" w:color="auto"/>
            <w:right w:val="none" w:sz="0" w:space="0" w:color="auto"/>
          </w:divBdr>
          <w:divsChild>
            <w:div w:id="2881652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40622375">
      <w:bodyDiv w:val="1"/>
      <w:marLeft w:val="0"/>
      <w:marRight w:val="0"/>
      <w:marTop w:val="0"/>
      <w:marBottom w:val="0"/>
      <w:divBdr>
        <w:top w:val="none" w:sz="0" w:space="0" w:color="auto"/>
        <w:left w:val="none" w:sz="0" w:space="0" w:color="auto"/>
        <w:bottom w:val="none" w:sz="0" w:space="0" w:color="auto"/>
        <w:right w:val="none" w:sz="0" w:space="0" w:color="auto"/>
      </w:divBdr>
    </w:div>
    <w:div w:id="340934185">
      <w:bodyDiv w:val="1"/>
      <w:marLeft w:val="0"/>
      <w:marRight w:val="0"/>
      <w:marTop w:val="0"/>
      <w:marBottom w:val="0"/>
      <w:divBdr>
        <w:top w:val="none" w:sz="0" w:space="0" w:color="auto"/>
        <w:left w:val="none" w:sz="0" w:space="0" w:color="auto"/>
        <w:bottom w:val="none" w:sz="0" w:space="0" w:color="auto"/>
        <w:right w:val="none" w:sz="0" w:space="0" w:color="auto"/>
      </w:divBdr>
      <w:divsChild>
        <w:div w:id="706107178">
          <w:marLeft w:val="0"/>
          <w:marRight w:val="0"/>
          <w:marTop w:val="0"/>
          <w:marBottom w:val="0"/>
          <w:divBdr>
            <w:top w:val="none" w:sz="0" w:space="0" w:color="auto"/>
            <w:left w:val="none" w:sz="0" w:space="0" w:color="auto"/>
            <w:bottom w:val="none" w:sz="0" w:space="0" w:color="auto"/>
            <w:right w:val="none" w:sz="0" w:space="0" w:color="auto"/>
          </w:divBdr>
        </w:div>
      </w:divsChild>
    </w:div>
    <w:div w:id="341131756">
      <w:bodyDiv w:val="1"/>
      <w:marLeft w:val="0"/>
      <w:marRight w:val="0"/>
      <w:marTop w:val="0"/>
      <w:marBottom w:val="0"/>
      <w:divBdr>
        <w:top w:val="none" w:sz="0" w:space="0" w:color="auto"/>
        <w:left w:val="none" w:sz="0" w:space="0" w:color="auto"/>
        <w:bottom w:val="none" w:sz="0" w:space="0" w:color="auto"/>
        <w:right w:val="none" w:sz="0" w:space="0" w:color="auto"/>
      </w:divBdr>
      <w:divsChild>
        <w:div w:id="1371806025">
          <w:marLeft w:val="0"/>
          <w:marRight w:val="0"/>
          <w:marTop w:val="0"/>
          <w:marBottom w:val="0"/>
          <w:divBdr>
            <w:top w:val="none" w:sz="0" w:space="0" w:color="auto"/>
            <w:left w:val="none" w:sz="0" w:space="0" w:color="auto"/>
            <w:bottom w:val="none" w:sz="0" w:space="0" w:color="auto"/>
            <w:right w:val="none" w:sz="0" w:space="0" w:color="auto"/>
          </w:divBdr>
          <w:divsChild>
            <w:div w:id="758062041">
              <w:marLeft w:val="2700"/>
              <w:marRight w:val="0"/>
              <w:marTop w:val="0"/>
              <w:marBottom w:val="0"/>
              <w:divBdr>
                <w:top w:val="none" w:sz="0" w:space="0" w:color="auto"/>
                <w:left w:val="none" w:sz="0" w:space="0" w:color="auto"/>
                <w:bottom w:val="none" w:sz="0" w:space="0" w:color="auto"/>
                <w:right w:val="none" w:sz="0" w:space="0" w:color="auto"/>
              </w:divBdr>
              <w:divsChild>
                <w:div w:id="61166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396569">
      <w:bodyDiv w:val="1"/>
      <w:marLeft w:val="0"/>
      <w:marRight w:val="0"/>
      <w:marTop w:val="0"/>
      <w:marBottom w:val="0"/>
      <w:divBdr>
        <w:top w:val="none" w:sz="0" w:space="0" w:color="auto"/>
        <w:left w:val="none" w:sz="0" w:space="0" w:color="auto"/>
        <w:bottom w:val="none" w:sz="0" w:space="0" w:color="auto"/>
        <w:right w:val="none" w:sz="0" w:space="0" w:color="auto"/>
      </w:divBdr>
    </w:div>
    <w:div w:id="341471778">
      <w:bodyDiv w:val="1"/>
      <w:marLeft w:val="0"/>
      <w:marRight w:val="0"/>
      <w:marTop w:val="0"/>
      <w:marBottom w:val="0"/>
      <w:divBdr>
        <w:top w:val="none" w:sz="0" w:space="0" w:color="auto"/>
        <w:left w:val="none" w:sz="0" w:space="0" w:color="auto"/>
        <w:bottom w:val="none" w:sz="0" w:space="0" w:color="auto"/>
        <w:right w:val="none" w:sz="0" w:space="0" w:color="auto"/>
      </w:divBdr>
    </w:div>
    <w:div w:id="341663830">
      <w:bodyDiv w:val="1"/>
      <w:marLeft w:val="0"/>
      <w:marRight w:val="0"/>
      <w:marTop w:val="0"/>
      <w:marBottom w:val="0"/>
      <w:divBdr>
        <w:top w:val="none" w:sz="0" w:space="0" w:color="auto"/>
        <w:left w:val="none" w:sz="0" w:space="0" w:color="auto"/>
        <w:bottom w:val="none" w:sz="0" w:space="0" w:color="auto"/>
        <w:right w:val="none" w:sz="0" w:space="0" w:color="auto"/>
      </w:divBdr>
    </w:div>
    <w:div w:id="341861019">
      <w:bodyDiv w:val="1"/>
      <w:marLeft w:val="0"/>
      <w:marRight w:val="0"/>
      <w:marTop w:val="0"/>
      <w:marBottom w:val="0"/>
      <w:divBdr>
        <w:top w:val="none" w:sz="0" w:space="0" w:color="auto"/>
        <w:left w:val="none" w:sz="0" w:space="0" w:color="auto"/>
        <w:bottom w:val="none" w:sz="0" w:space="0" w:color="auto"/>
        <w:right w:val="none" w:sz="0" w:space="0" w:color="auto"/>
      </w:divBdr>
      <w:divsChild>
        <w:div w:id="392049338">
          <w:marLeft w:val="0"/>
          <w:marRight w:val="0"/>
          <w:marTop w:val="0"/>
          <w:marBottom w:val="0"/>
          <w:divBdr>
            <w:top w:val="none" w:sz="0" w:space="0" w:color="auto"/>
            <w:left w:val="none" w:sz="0" w:space="0" w:color="auto"/>
            <w:bottom w:val="none" w:sz="0" w:space="0" w:color="auto"/>
            <w:right w:val="none" w:sz="0" w:space="0" w:color="auto"/>
          </w:divBdr>
          <w:divsChild>
            <w:div w:id="1745644612">
              <w:marLeft w:val="0"/>
              <w:marRight w:val="0"/>
              <w:marTop w:val="0"/>
              <w:marBottom w:val="0"/>
              <w:divBdr>
                <w:top w:val="none" w:sz="0" w:space="0" w:color="auto"/>
                <w:left w:val="none" w:sz="0" w:space="0" w:color="auto"/>
                <w:bottom w:val="none" w:sz="0" w:space="0" w:color="auto"/>
                <w:right w:val="none" w:sz="0" w:space="0" w:color="auto"/>
              </w:divBdr>
              <w:divsChild>
                <w:div w:id="1867133401">
                  <w:marLeft w:val="0"/>
                  <w:marRight w:val="0"/>
                  <w:marTop w:val="0"/>
                  <w:marBottom w:val="0"/>
                  <w:divBdr>
                    <w:top w:val="none" w:sz="0" w:space="0" w:color="auto"/>
                    <w:left w:val="none" w:sz="0" w:space="0" w:color="auto"/>
                    <w:bottom w:val="none" w:sz="0" w:space="0" w:color="auto"/>
                    <w:right w:val="none" w:sz="0" w:space="0" w:color="auto"/>
                  </w:divBdr>
                  <w:divsChild>
                    <w:div w:id="1279217903">
                      <w:marLeft w:val="0"/>
                      <w:marRight w:val="0"/>
                      <w:marTop w:val="0"/>
                      <w:marBottom w:val="0"/>
                      <w:divBdr>
                        <w:top w:val="none" w:sz="0" w:space="0" w:color="auto"/>
                        <w:left w:val="none" w:sz="0" w:space="0" w:color="auto"/>
                        <w:bottom w:val="none" w:sz="0" w:space="0" w:color="auto"/>
                        <w:right w:val="none" w:sz="0" w:space="0" w:color="auto"/>
                      </w:divBdr>
                      <w:divsChild>
                        <w:div w:id="21634656">
                          <w:marLeft w:val="0"/>
                          <w:marRight w:val="0"/>
                          <w:marTop w:val="0"/>
                          <w:marBottom w:val="0"/>
                          <w:divBdr>
                            <w:top w:val="none" w:sz="0" w:space="0" w:color="auto"/>
                            <w:left w:val="none" w:sz="0" w:space="0" w:color="auto"/>
                            <w:bottom w:val="none" w:sz="0" w:space="0" w:color="auto"/>
                            <w:right w:val="none" w:sz="0" w:space="0" w:color="auto"/>
                          </w:divBdr>
                          <w:divsChild>
                            <w:div w:id="325130805">
                              <w:marLeft w:val="0"/>
                              <w:marRight w:val="0"/>
                              <w:marTop w:val="0"/>
                              <w:marBottom w:val="0"/>
                              <w:divBdr>
                                <w:top w:val="none" w:sz="0" w:space="0" w:color="auto"/>
                                <w:left w:val="none" w:sz="0" w:space="0" w:color="auto"/>
                                <w:bottom w:val="none" w:sz="0" w:space="0" w:color="auto"/>
                                <w:right w:val="none" w:sz="0" w:space="0" w:color="auto"/>
                              </w:divBdr>
                              <w:divsChild>
                                <w:div w:id="1498380117">
                                  <w:marLeft w:val="0"/>
                                  <w:marRight w:val="0"/>
                                  <w:marTop w:val="0"/>
                                  <w:marBottom w:val="0"/>
                                  <w:divBdr>
                                    <w:top w:val="none" w:sz="0" w:space="0" w:color="auto"/>
                                    <w:left w:val="none" w:sz="0" w:space="0" w:color="auto"/>
                                    <w:bottom w:val="none" w:sz="0" w:space="0" w:color="auto"/>
                                    <w:right w:val="none" w:sz="0" w:space="0" w:color="auto"/>
                                  </w:divBdr>
                                  <w:divsChild>
                                    <w:div w:id="86628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2055182">
      <w:bodyDiv w:val="1"/>
      <w:marLeft w:val="0"/>
      <w:marRight w:val="0"/>
      <w:marTop w:val="0"/>
      <w:marBottom w:val="0"/>
      <w:divBdr>
        <w:top w:val="none" w:sz="0" w:space="0" w:color="auto"/>
        <w:left w:val="none" w:sz="0" w:space="0" w:color="auto"/>
        <w:bottom w:val="none" w:sz="0" w:space="0" w:color="auto"/>
        <w:right w:val="none" w:sz="0" w:space="0" w:color="auto"/>
      </w:divBdr>
      <w:divsChild>
        <w:div w:id="564073420">
          <w:marLeft w:val="0"/>
          <w:marRight w:val="0"/>
          <w:marTop w:val="0"/>
          <w:marBottom w:val="150"/>
          <w:divBdr>
            <w:top w:val="none" w:sz="0" w:space="0" w:color="auto"/>
            <w:left w:val="none" w:sz="0" w:space="0" w:color="auto"/>
            <w:bottom w:val="none" w:sz="0" w:space="0" w:color="auto"/>
            <w:right w:val="none" w:sz="0" w:space="0" w:color="auto"/>
          </w:divBdr>
        </w:div>
      </w:divsChild>
    </w:div>
    <w:div w:id="342241426">
      <w:bodyDiv w:val="1"/>
      <w:marLeft w:val="0"/>
      <w:marRight w:val="0"/>
      <w:marTop w:val="0"/>
      <w:marBottom w:val="0"/>
      <w:divBdr>
        <w:top w:val="none" w:sz="0" w:space="0" w:color="auto"/>
        <w:left w:val="none" w:sz="0" w:space="0" w:color="auto"/>
        <w:bottom w:val="none" w:sz="0" w:space="0" w:color="auto"/>
        <w:right w:val="none" w:sz="0" w:space="0" w:color="auto"/>
      </w:divBdr>
    </w:div>
    <w:div w:id="342250022">
      <w:bodyDiv w:val="1"/>
      <w:marLeft w:val="0"/>
      <w:marRight w:val="0"/>
      <w:marTop w:val="0"/>
      <w:marBottom w:val="0"/>
      <w:divBdr>
        <w:top w:val="none" w:sz="0" w:space="0" w:color="auto"/>
        <w:left w:val="none" w:sz="0" w:space="0" w:color="auto"/>
        <w:bottom w:val="none" w:sz="0" w:space="0" w:color="auto"/>
        <w:right w:val="none" w:sz="0" w:space="0" w:color="auto"/>
      </w:divBdr>
    </w:div>
    <w:div w:id="342514602">
      <w:bodyDiv w:val="1"/>
      <w:marLeft w:val="0"/>
      <w:marRight w:val="0"/>
      <w:marTop w:val="0"/>
      <w:marBottom w:val="0"/>
      <w:divBdr>
        <w:top w:val="none" w:sz="0" w:space="0" w:color="auto"/>
        <w:left w:val="none" w:sz="0" w:space="0" w:color="auto"/>
        <w:bottom w:val="none" w:sz="0" w:space="0" w:color="auto"/>
        <w:right w:val="none" w:sz="0" w:space="0" w:color="auto"/>
      </w:divBdr>
      <w:divsChild>
        <w:div w:id="1687436770">
          <w:marLeft w:val="0"/>
          <w:marRight w:val="0"/>
          <w:marTop w:val="0"/>
          <w:marBottom w:val="0"/>
          <w:divBdr>
            <w:top w:val="none" w:sz="0" w:space="0" w:color="auto"/>
            <w:left w:val="none" w:sz="0" w:space="0" w:color="auto"/>
            <w:bottom w:val="none" w:sz="0" w:space="0" w:color="auto"/>
            <w:right w:val="none" w:sz="0" w:space="0" w:color="auto"/>
          </w:divBdr>
        </w:div>
      </w:divsChild>
    </w:div>
    <w:div w:id="342779225">
      <w:bodyDiv w:val="1"/>
      <w:marLeft w:val="0"/>
      <w:marRight w:val="0"/>
      <w:marTop w:val="0"/>
      <w:marBottom w:val="0"/>
      <w:divBdr>
        <w:top w:val="none" w:sz="0" w:space="0" w:color="auto"/>
        <w:left w:val="none" w:sz="0" w:space="0" w:color="auto"/>
        <w:bottom w:val="none" w:sz="0" w:space="0" w:color="auto"/>
        <w:right w:val="none" w:sz="0" w:space="0" w:color="auto"/>
      </w:divBdr>
      <w:divsChild>
        <w:div w:id="1256088260">
          <w:marLeft w:val="0"/>
          <w:marRight w:val="0"/>
          <w:marTop w:val="0"/>
          <w:marBottom w:val="0"/>
          <w:divBdr>
            <w:top w:val="none" w:sz="0" w:space="0" w:color="auto"/>
            <w:left w:val="none" w:sz="0" w:space="0" w:color="auto"/>
            <w:bottom w:val="dotted" w:sz="6" w:space="4" w:color="DDDDDD"/>
            <w:right w:val="none" w:sz="0" w:space="0" w:color="auto"/>
          </w:divBdr>
          <w:divsChild>
            <w:div w:id="154822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03958">
      <w:bodyDiv w:val="1"/>
      <w:marLeft w:val="0"/>
      <w:marRight w:val="0"/>
      <w:marTop w:val="0"/>
      <w:marBottom w:val="0"/>
      <w:divBdr>
        <w:top w:val="none" w:sz="0" w:space="0" w:color="auto"/>
        <w:left w:val="none" w:sz="0" w:space="0" w:color="auto"/>
        <w:bottom w:val="none" w:sz="0" w:space="0" w:color="auto"/>
        <w:right w:val="none" w:sz="0" w:space="0" w:color="auto"/>
      </w:divBdr>
      <w:divsChild>
        <w:div w:id="1521502517">
          <w:marLeft w:val="0"/>
          <w:marRight w:val="0"/>
          <w:marTop w:val="0"/>
          <w:marBottom w:val="0"/>
          <w:divBdr>
            <w:top w:val="none" w:sz="0" w:space="0" w:color="auto"/>
            <w:left w:val="none" w:sz="0" w:space="0" w:color="auto"/>
            <w:bottom w:val="none" w:sz="0" w:space="0" w:color="auto"/>
            <w:right w:val="none" w:sz="0" w:space="0" w:color="auto"/>
          </w:divBdr>
          <w:divsChild>
            <w:div w:id="679628391">
              <w:marLeft w:val="0"/>
              <w:marRight w:val="0"/>
              <w:marTop w:val="0"/>
              <w:marBottom w:val="0"/>
              <w:divBdr>
                <w:top w:val="none" w:sz="0" w:space="0" w:color="auto"/>
                <w:left w:val="none" w:sz="0" w:space="0" w:color="auto"/>
                <w:bottom w:val="none" w:sz="0" w:space="0" w:color="auto"/>
                <w:right w:val="none" w:sz="0" w:space="0" w:color="auto"/>
              </w:divBdr>
            </w:div>
          </w:divsChild>
        </w:div>
        <w:div w:id="979190626">
          <w:marLeft w:val="0"/>
          <w:marRight w:val="0"/>
          <w:marTop w:val="0"/>
          <w:marBottom w:val="0"/>
          <w:divBdr>
            <w:top w:val="none" w:sz="0" w:space="0" w:color="auto"/>
            <w:left w:val="none" w:sz="0" w:space="0" w:color="auto"/>
            <w:bottom w:val="none" w:sz="0" w:space="0" w:color="auto"/>
            <w:right w:val="none" w:sz="0" w:space="0" w:color="auto"/>
          </w:divBdr>
          <w:divsChild>
            <w:div w:id="1395082870">
              <w:marLeft w:val="0"/>
              <w:marRight w:val="0"/>
              <w:marTop w:val="0"/>
              <w:marBottom w:val="0"/>
              <w:divBdr>
                <w:top w:val="none" w:sz="0" w:space="0" w:color="auto"/>
                <w:left w:val="none" w:sz="0" w:space="0" w:color="auto"/>
                <w:bottom w:val="none" w:sz="0" w:space="0" w:color="auto"/>
                <w:right w:val="none" w:sz="0" w:space="0" w:color="auto"/>
              </w:divBdr>
              <w:divsChild>
                <w:div w:id="269048320">
                  <w:marLeft w:val="0"/>
                  <w:marRight w:val="0"/>
                  <w:marTop w:val="0"/>
                  <w:marBottom w:val="0"/>
                  <w:divBdr>
                    <w:top w:val="none" w:sz="0" w:space="0" w:color="auto"/>
                    <w:left w:val="none" w:sz="0" w:space="0" w:color="auto"/>
                    <w:bottom w:val="none" w:sz="0" w:space="0" w:color="auto"/>
                    <w:right w:val="none" w:sz="0" w:space="0" w:color="auto"/>
                  </w:divBdr>
                  <w:divsChild>
                    <w:div w:id="171529015">
                      <w:marLeft w:val="0"/>
                      <w:marRight w:val="0"/>
                      <w:marTop w:val="0"/>
                      <w:marBottom w:val="300"/>
                      <w:divBdr>
                        <w:top w:val="none" w:sz="0" w:space="0" w:color="auto"/>
                        <w:left w:val="none" w:sz="0" w:space="0" w:color="auto"/>
                        <w:bottom w:val="none" w:sz="0" w:space="0" w:color="auto"/>
                        <w:right w:val="none" w:sz="0" w:space="0" w:color="auto"/>
                      </w:divBdr>
                      <w:divsChild>
                        <w:div w:id="332997870">
                          <w:marLeft w:val="0"/>
                          <w:marRight w:val="0"/>
                          <w:marTop w:val="0"/>
                          <w:marBottom w:val="120"/>
                          <w:divBdr>
                            <w:top w:val="none" w:sz="0" w:space="0" w:color="auto"/>
                            <w:left w:val="none" w:sz="0" w:space="0" w:color="auto"/>
                            <w:bottom w:val="single" w:sz="12" w:space="6" w:color="BBDEFE"/>
                            <w:right w:val="none" w:sz="0" w:space="0" w:color="auto"/>
                          </w:divBdr>
                        </w:div>
                        <w:div w:id="1835950280">
                          <w:marLeft w:val="0"/>
                          <w:marRight w:val="0"/>
                          <w:marTop w:val="0"/>
                          <w:marBottom w:val="0"/>
                          <w:divBdr>
                            <w:top w:val="none" w:sz="0" w:space="0" w:color="auto"/>
                            <w:left w:val="none" w:sz="0" w:space="0" w:color="auto"/>
                            <w:bottom w:val="none" w:sz="0" w:space="0" w:color="auto"/>
                            <w:right w:val="none" w:sz="0" w:space="0" w:color="auto"/>
                          </w:divBdr>
                          <w:divsChild>
                            <w:div w:id="99228203">
                              <w:marLeft w:val="0"/>
                              <w:marRight w:val="0"/>
                              <w:marTop w:val="0"/>
                              <w:marBottom w:val="0"/>
                              <w:divBdr>
                                <w:top w:val="none" w:sz="0" w:space="0" w:color="auto"/>
                                <w:left w:val="none" w:sz="0" w:space="0" w:color="auto"/>
                                <w:bottom w:val="none" w:sz="0" w:space="0" w:color="auto"/>
                                <w:right w:val="none" w:sz="0" w:space="0" w:color="auto"/>
                              </w:divBdr>
                              <w:divsChild>
                                <w:div w:id="792361602">
                                  <w:marLeft w:val="0"/>
                                  <w:marRight w:val="600"/>
                                  <w:marTop w:val="0"/>
                                  <w:marBottom w:val="0"/>
                                  <w:divBdr>
                                    <w:top w:val="none" w:sz="0" w:space="0" w:color="auto"/>
                                    <w:left w:val="none" w:sz="0" w:space="0" w:color="auto"/>
                                    <w:bottom w:val="none" w:sz="0" w:space="0" w:color="auto"/>
                                    <w:right w:val="none" w:sz="0" w:space="0" w:color="auto"/>
                                  </w:divBdr>
                                  <w:divsChild>
                                    <w:div w:id="1907837955">
                                      <w:marLeft w:val="0"/>
                                      <w:marRight w:val="0"/>
                                      <w:marTop w:val="0"/>
                                      <w:marBottom w:val="120"/>
                                      <w:divBdr>
                                        <w:top w:val="none" w:sz="0" w:space="0" w:color="auto"/>
                                        <w:left w:val="none" w:sz="0" w:space="0" w:color="auto"/>
                                        <w:bottom w:val="single" w:sz="6" w:space="6" w:color="EEEEEE"/>
                                        <w:right w:val="none" w:sz="0" w:space="0" w:color="auto"/>
                                      </w:divBdr>
                                      <w:divsChild>
                                        <w:div w:id="1268780536">
                                          <w:marLeft w:val="0"/>
                                          <w:marRight w:val="0"/>
                                          <w:marTop w:val="0"/>
                                          <w:marBottom w:val="0"/>
                                          <w:divBdr>
                                            <w:top w:val="none" w:sz="0" w:space="0" w:color="auto"/>
                                            <w:left w:val="none" w:sz="0" w:space="0" w:color="auto"/>
                                            <w:bottom w:val="none" w:sz="0" w:space="0" w:color="auto"/>
                                            <w:right w:val="none" w:sz="0" w:space="0" w:color="auto"/>
                                          </w:divBdr>
                                        </w:div>
                                      </w:divsChild>
                                    </w:div>
                                    <w:div w:id="2018384737">
                                      <w:marLeft w:val="0"/>
                                      <w:marRight w:val="0"/>
                                      <w:marTop w:val="0"/>
                                      <w:marBottom w:val="120"/>
                                      <w:divBdr>
                                        <w:top w:val="none" w:sz="0" w:space="0" w:color="auto"/>
                                        <w:left w:val="none" w:sz="0" w:space="0" w:color="auto"/>
                                        <w:bottom w:val="single" w:sz="6" w:space="6" w:color="EEEEEE"/>
                                        <w:right w:val="none" w:sz="0" w:space="0" w:color="auto"/>
                                      </w:divBdr>
                                      <w:divsChild>
                                        <w:div w:id="535702147">
                                          <w:marLeft w:val="0"/>
                                          <w:marRight w:val="0"/>
                                          <w:marTop w:val="0"/>
                                          <w:marBottom w:val="0"/>
                                          <w:divBdr>
                                            <w:top w:val="none" w:sz="0" w:space="0" w:color="auto"/>
                                            <w:left w:val="none" w:sz="0" w:space="0" w:color="auto"/>
                                            <w:bottom w:val="none" w:sz="0" w:space="0" w:color="auto"/>
                                            <w:right w:val="none" w:sz="0" w:space="0" w:color="auto"/>
                                          </w:divBdr>
                                        </w:div>
                                      </w:divsChild>
                                    </w:div>
                                    <w:div w:id="433209477">
                                      <w:marLeft w:val="0"/>
                                      <w:marRight w:val="0"/>
                                      <w:marTop w:val="0"/>
                                      <w:marBottom w:val="120"/>
                                      <w:divBdr>
                                        <w:top w:val="none" w:sz="0" w:space="0" w:color="auto"/>
                                        <w:left w:val="none" w:sz="0" w:space="0" w:color="auto"/>
                                        <w:bottom w:val="single" w:sz="6" w:space="6" w:color="EEEEEE"/>
                                        <w:right w:val="none" w:sz="0" w:space="0" w:color="auto"/>
                                      </w:divBdr>
                                      <w:divsChild>
                                        <w:div w:id="1553274949">
                                          <w:marLeft w:val="0"/>
                                          <w:marRight w:val="0"/>
                                          <w:marTop w:val="0"/>
                                          <w:marBottom w:val="0"/>
                                          <w:divBdr>
                                            <w:top w:val="none" w:sz="0" w:space="0" w:color="auto"/>
                                            <w:left w:val="none" w:sz="0" w:space="0" w:color="auto"/>
                                            <w:bottom w:val="none" w:sz="0" w:space="0" w:color="auto"/>
                                            <w:right w:val="none" w:sz="0" w:space="0" w:color="auto"/>
                                          </w:divBdr>
                                        </w:div>
                                      </w:divsChild>
                                    </w:div>
                                    <w:div w:id="1686714086">
                                      <w:marLeft w:val="0"/>
                                      <w:marRight w:val="0"/>
                                      <w:marTop w:val="0"/>
                                      <w:marBottom w:val="120"/>
                                      <w:divBdr>
                                        <w:top w:val="none" w:sz="0" w:space="0" w:color="auto"/>
                                        <w:left w:val="none" w:sz="0" w:space="0" w:color="auto"/>
                                        <w:bottom w:val="single" w:sz="6" w:space="6" w:color="EEEEEE"/>
                                        <w:right w:val="none" w:sz="0" w:space="0" w:color="auto"/>
                                      </w:divBdr>
                                      <w:divsChild>
                                        <w:div w:id="991105471">
                                          <w:marLeft w:val="0"/>
                                          <w:marRight w:val="0"/>
                                          <w:marTop w:val="0"/>
                                          <w:marBottom w:val="0"/>
                                          <w:divBdr>
                                            <w:top w:val="none" w:sz="0" w:space="0" w:color="auto"/>
                                            <w:left w:val="none" w:sz="0" w:space="0" w:color="auto"/>
                                            <w:bottom w:val="none" w:sz="0" w:space="0" w:color="auto"/>
                                            <w:right w:val="none" w:sz="0" w:space="0" w:color="auto"/>
                                          </w:divBdr>
                                        </w:div>
                                      </w:divsChild>
                                    </w:div>
                                    <w:div w:id="1091049291">
                                      <w:marLeft w:val="0"/>
                                      <w:marRight w:val="0"/>
                                      <w:marTop w:val="0"/>
                                      <w:marBottom w:val="120"/>
                                      <w:divBdr>
                                        <w:top w:val="none" w:sz="0" w:space="0" w:color="auto"/>
                                        <w:left w:val="none" w:sz="0" w:space="0" w:color="auto"/>
                                        <w:bottom w:val="none" w:sz="0" w:space="0" w:color="auto"/>
                                        <w:right w:val="none" w:sz="0" w:space="0" w:color="auto"/>
                                      </w:divBdr>
                                      <w:divsChild>
                                        <w:div w:id="74750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531126">
                                  <w:marLeft w:val="0"/>
                                  <w:marRight w:val="600"/>
                                  <w:marTop w:val="0"/>
                                  <w:marBottom w:val="0"/>
                                  <w:divBdr>
                                    <w:top w:val="none" w:sz="0" w:space="0" w:color="auto"/>
                                    <w:left w:val="none" w:sz="0" w:space="0" w:color="auto"/>
                                    <w:bottom w:val="none" w:sz="0" w:space="0" w:color="auto"/>
                                    <w:right w:val="none" w:sz="0" w:space="0" w:color="auto"/>
                                  </w:divBdr>
                                  <w:divsChild>
                                    <w:div w:id="174393501">
                                      <w:marLeft w:val="0"/>
                                      <w:marRight w:val="0"/>
                                      <w:marTop w:val="0"/>
                                      <w:marBottom w:val="120"/>
                                      <w:divBdr>
                                        <w:top w:val="none" w:sz="0" w:space="0" w:color="auto"/>
                                        <w:left w:val="none" w:sz="0" w:space="0" w:color="auto"/>
                                        <w:bottom w:val="single" w:sz="6" w:space="6" w:color="EEEEEE"/>
                                        <w:right w:val="none" w:sz="0" w:space="0" w:color="auto"/>
                                      </w:divBdr>
                                      <w:divsChild>
                                        <w:div w:id="2066564151">
                                          <w:marLeft w:val="0"/>
                                          <w:marRight w:val="0"/>
                                          <w:marTop w:val="0"/>
                                          <w:marBottom w:val="0"/>
                                          <w:divBdr>
                                            <w:top w:val="none" w:sz="0" w:space="0" w:color="auto"/>
                                            <w:left w:val="none" w:sz="0" w:space="0" w:color="auto"/>
                                            <w:bottom w:val="none" w:sz="0" w:space="0" w:color="auto"/>
                                            <w:right w:val="none" w:sz="0" w:space="0" w:color="auto"/>
                                          </w:divBdr>
                                        </w:div>
                                      </w:divsChild>
                                    </w:div>
                                    <w:div w:id="2090074395">
                                      <w:marLeft w:val="0"/>
                                      <w:marRight w:val="0"/>
                                      <w:marTop w:val="0"/>
                                      <w:marBottom w:val="120"/>
                                      <w:divBdr>
                                        <w:top w:val="none" w:sz="0" w:space="0" w:color="auto"/>
                                        <w:left w:val="none" w:sz="0" w:space="0" w:color="auto"/>
                                        <w:bottom w:val="single" w:sz="6" w:space="6" w:color="EEEEEE"/>
                                        <w:right w:val="none" w:sz="0" w:space="0" w:color="auto"/>
                                      </w:divBdr>
                                      <w:divsChild>
                                        <w:div w:id="53936538">
                                          <w:marLeft w:val="0"/>
                                          <w:marRight w:val="0"/>
                                          <w:marTop w:val="0"/>
                                          <w:marBottom w:val="0"/>
                                          <w:divBdr>
                                            <w:top w:val="none" w:sz="0" w:space="0" w:color="auto"/>
                                            <w:left w:val="none" w:sz="0" w:space="0" w:color="auto"/>
                                            <w:bottom w:val="none" w:sz="0" w:space="0" w:color="auto"/>
                                            <w:right w:val="none" w:sz="0" w:space="0" w:color="auto"/>
                                          </w:divBdr>
                                        </w:div>
                                      </w:divsChild>
                                    </w:div>
                                    <w:div w:id="649094211">
                                      <w:marLeft w:val="0"/>
                                      <w:marRight w:val="0"/>
                                      <w:marTop w:val="0"/>
                                      <w:marBottom w:val="120"/>
                                      <w:divBdr>
                                        <w:top w:val="none" w:sz="0" w:space="0" w:color="auto"/>
                                        <w:left w:val="none" w:sz="0" w:space="0" w:color="auto"/>
                                        <w:bottom w:val="single" w:sz="6" w:space="6" w:color="EEEEEE"/>
                                        <w:right w:val="none" w:sz="0" w:space="0" w:color="auto"/>
                                      </w:divBdr>
                                      <w:divsChild>
                                        <w:div w:id="2027900888">
                                          <w:marLeft w:val="0"/>
                                          <w:marRight w:val="0"/>
                                          <w:marTop w:val="0"/>
                                          <w:marBottom w:val="0"/>
                                          <w:divBdr>
                                            <w:top w:val="none" w:sz="0" w:space="0" w:color="auto"/>
                                            <w:left w:val="none" w:sz="0" w:space="0" w:color="auto"/>
                                            <w:bottom w:val="none" w:sz="0" w:space="0" w:color="auto"/>
                                            <w:right w:val="none" w:sz="0" w:space="0" w:color="auto"/>
                                          </w:divBdr>
                                        </w:div>
                                      </w:divsChild>
                                    </w:div>
                                    <w:div w:id="1853911584">
                                      <w:marLeft w:val="0"/>
                                      <w:marRight w:val="0"/>
                                      <w:marTop w:val="0"/>
                                      <w:marBottom w:val="120"/>
                                      <w:divBdr>
                                        <w:top w:val="none" w:sz="0" w:space="0" w:color="auto"/>
                                        <w:left w:val="none" w:sz="0" w:space="0" w:color="auto"/>
                                        <w:bottom w:val="single" w:sz="6" w:space="6" w:color="EEEEEE"/>
                                        <w:right w:val="none" w:sz="0" w:space="0" w:color="auto"/>
                                      </w:divBdr>
                                      <w:divsChild>
                                        <w:div w:id="2066709449">
                                          <w:marLeft w:val="0"/>
                                          <w:marRight w:val="0"/>
                                          <w:marTop w:val="0"/>
                                          <w:marBottom w:val="0"/>
                                          <w:divBdr>
                                            <w:top w:val="none" w:sz="0" w:space="0" w:color="auto"/>
                                            <w:left w:val="none" w:sz="0" w:space="0" w:color="auto"/>
                                            <w:bottom w:val="none" w:sz="0" w:space="0" w:color="auto"/>
                                            <w:right w:val="none" w:sz="0" w:space="0" w:color="auto"/>
                                          </w:divBdr>
                                        </w:div>
                                      </w:divsChild>
                                    </w:div>
                                    <w:div w:id="1991791266">
                                      <w:marLeft w:val="0"/>
                                      <w:marRight w:val="0"/>
                                      <w:marTop w:val="0"/>
                                      <w:marBottom w:val="120"/>
                                      <w:divBdr>
                                        <w:top w:val="none" w:sz="0" w:space="0" w:color="auto"/>
                                        <w:left w:val="none" w:sz="0" w:space="0" w:color="auto"/>
                                        <w:bottom w:val="none" w:sz="0" w:space="0" w:color="auto"/>
                                        <w:right w:val="none" w:sz="0" w:space="0" w:color="auto"/>
                                      </w:divBdr>
                                      <w:divsChild>
                                        <w:div w:id="148493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3574743">
                      <w:marLeft w:val="0"/>
                      <w:marRight w:val="0"/>
                      <w:marTop w:val="0"/>
                      <w:marBottom w:val="300"/>
                      <w:divBdr>
                        <w:top w:val="none" w:sz="0" w:space="0" w:color="auto"/>
                        <w:left w:val="none" w:sz="0" w:space="0" w:color="auto"/>
                        <w:bottom w:val="none" w:sz="0" w:space="0" w:color="auto"/>
                        <w:right w:val="none" w:sz="0" w:space="0" w:color="auto"/>
                      </w:divBdr>
                      <w:divsChild>
                        <w:div w:id="1961571703">
                          <w:marLeft w:val="0"/>
                          <w:marRight w:val="0"/>
                          <w:marTop w:val="0"/>
                          <w:marBottom w:val="300"/>
                          <w:divBdr>
                            <w:top w:val="none" w:sz="0" w:space="0" w:color="auto"/>
                            <w:left w:val="none" w:sz="0" w:space="0" w:color="auto"/>
                            <w:bottom w:val="single" w:sz="6" w:space="0" w:color="E5E5E5"/>
                            <w:right w:val="none" w:sz="0" w:space="0" w:color="auto"/>
                          </w:divBdr>
                        </w:div>
                        <w:div w:id="746656145">
                          <w:marLeft w:val="0"/>
                          <w:marRight w:val="0"/>
                          <w:marTop w:val="0"/>
                          <w:marBottom w:val="0"/>
                          <w:divBdr>
                            <w:top w:val="none" w:sz="0" w:space="0" w:color="auto"/>
                            <w:left w:val="none" w:sz="0" w:space="0" w:color="auto"/>
                            <w:bottom w:val="none" w:sz="0" w:space="0" w:color="auto"/>
                            <w:right w:val="none" w:sz="0" w:space="0" w:color="auto"/>
                          </w:divBdr>
                          <w:divsChild>
                            <w:div w:id="1680038344">
                              <w:marLeft w:val="0"/>
                              <w:marRight w:val="0"/>
                              <w:marTop w:val="0"/>
                              <w:marBottom w:val="225"/>
                              <w:divBdr>
                                <w:top w:val="none" w:sz="0" w:space="0" w:color="auto"/>
                                <w:left w:val="none" w:sz="0" w:space="0" w:color="auto"/>
                                <w:bottom w:val="none" w:sz="0" w:space="0" w:color="auto"/>
                                <w:right w:val="none" w:sz="0" w:space="0" w:color="auto"/>
                              </w:divBdr>
                              <w:divsChild>
                                <w:div w:id="976838151">
                                  <w:marLeft w:val="0"/>
                                  <w:marRight w:val="150"/>
                                  <w:marTop w:val="0"/>
                                  <w:marBottom w:val="0"/>
                                  <w:divBdr>
                                    <w:top w:val="none" w:sz="0" w:space="0" w:color="auto"/>
                                    <w:left w:val="none" w:sz="0" w:space="0" w:color="auto"/>
                                    <w:bottom w:val="none" w:sz="0" w:space="0" w:color="auto"/>
                                    <w:right w:val="none" w:sz="0" w:space="0" w:color="auto"/>
                                  </w:divBdr>
                                </w:div>
                              </w:divsChild>
                            </w:div>
                            <w:div w:id="1101799695">
                              <w:marLeft w:val="0"/>
                              <w:marRight w:val="0"/>
                              <w:marTop w:val="0"/>
                              <w:marBottom w:val="225"/>
                              <w:divBdr>
                                <w:top w:val="none" w:sz="0" w:space="0" w:color="auto"/>
                                <w:left w:val="none" w:sz="0" w:space="0" w:color="auto"/>
                                <w:bottom w:val="none" w:sz="0" w:space="0" w:color="auto"/>
                                <w:right w:val="none" w:sz="0" w:space="0" w:color="auto"/>
                              </w:divBdr>
                              <w:divsChild>
                                <w:div w:id="1861896375">
                                  <w:marLeft w:val="0"/>
                                  <w:marRight w:val="150"/>
                                  <w:marTop w:val="0"/>
                                  <w:marBottom w:val="0"/>
                                  <w:divBdr>
                                    <w:top w:val="none" w:sz="0" w:space="0" w:color="auto"/>
                                    <w:left w:val="none" w:sz="0" w:space="0" w:color="auto"/>
                                    <w:bottom w:val="none" w:sz="0" w:space="0" w:color="auto"/>
                                    <w:right w:val="none" w:sz="0" w:space="0" w:color="auto"/>
                                  </w:divBdr>
                                </w:div>
                              </w:divsChild>
                            </w:div>
                            <w:div w:id="29697145">
                              <w:marLeft w:val="0"/>
                              <w:marRight w:val="0"/>
                              <w:marTop w:val="0"/>
                              <w:marBottom w:val="225"/>
                              <w:divBdr>
                                <w:top w:val="none" w:sz="0" w:space="0" w:color="auto"/>
                                <w:left w:val="none" w:sz="0" w:space="0" w:color="auto"/>
                                <w:bottom w:val="none" w:sz="0" w:space="0" w:color="auto"/>
                                <w:right w:val="none" w:sz="0" w:space="0" w:color="auto"/>
                              </w:divBdr>
                              <w:divsChild>
                                <w:div w:id="1492021352">
                                  <w:marLeft w:val="0"/>
                                  <w:marRight w:val="150"/>
                                  <w:marTop w:val="0"/>
                                  <w:marBottom w:val="0"/>
                                  <w:divBdr>
                                    <w:top w:val="none" w:sz="0" w:space="0" w:color="auto"/>
                                    <w:left w:val="none" w:sz="0" w:space="0" w:color="auto"/>
                                    <w:bottom w:val="none" w:sz="0" w:space="0" w:color="auto"/>
                                    <w:right w:val="none" w:sz="0" w:space="0" w:color="auto"/>
                                  </w:divBdr>
                                </w:div>
                              </w:divsChild>
                            </w:div>
                            <w:div w:id="1381200776">
                              <w:marLeft w:val="0"/>
                              <w:marRight w:val="0"/>
                              <w:marTop w:val="0"/>
                              <w:marBottom w:val="225"/>
                              <w:divBdr>
                                <w:top w:val="none" w:sz="0" w:space="0" w:color="auto"/>
                                <w:left w:val="none" w:sz="0" w:space="0" w:color="auto"/>
                                <w:bottom w:val="none" w:sz="0" w:space="0" w:color="auto"/>
                                <w:right w:val="none" w:sz="0" w:space="0" w:color="auto"/>
                              </w:divBdr>
                              <w:divsChild>
                                <w:div w:id="1534418773">
                                  <w:marLeft w:val="0"/>
                                  <w:marRight w:val="150"/>
                                  <w:marTop w:val="0"/>
                                  <w:marBottom w:val="0"/>
                                  <w:divBdr>
                                    <w:top w:val="none" w:sz="0" w:space="0" w:color="auto"/>
                                    <w:left w:val="none" w:sz="0" w:space="0" w:color="auto"/>
                                    <w:bottom w:val="none" w:sz="0" w:space="0" w:color="auto"/>
                                    <w:right w:val="none" w:sz="0" w:space="0" w:color="auto"/>
                                  </w:divBdr>
                                </w:div>
                              </w:divsChild>
                            </w:div>
                            <w:div w:id="1209493406">
                              <w:marLeft w:val="0"/>
                              <w:marRight w:val="0"/>
                              <w:marTop w:val="0"/>
                              <w:marBottom w:val="0"/>
                              <w:divBdr>
                                <w:top w:val="none" w:sz="0" w:space="0" w:color="auto"/>
                                <w:left w:val="none" w:sz="0" w:space="0" w:color="auto"/>
                                <w:bottom w:val="none" w:sz="0" w:space="0" w:color="auto"/>
                                <w:right w:val="none" w:sz="0" w:space="0" w:color="auto"/>
                              </w:divBdr>
                              <w:divsChild>
                                <w:div w:id="152810573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832981305">
                      <w:marLeft w:val="0"/>
                      <w:marRight w:val="0"/>
                      <w:marTop w:val="0"/>
                      <w:marBottom w:val="300"/>
                      <w:divBdr>
                        <w:top w:val="none" w:sz="0" w:space="0" w:color="auto"/>
                        <w:left w:val="none" w:sz="0" w:space="0" w:color="auto"/>
                        <w:bottom w:val="none" w:sz="0" w:space="0" w:color="auto"/>
                        <w:right w:val="none" w:sz="0" w:space="0" w:color="auto"/>
                      </w:divBdr>
                      <w:divsChild>
                        <w:div w:id="960502375">
                          <w:marLeft w:val="0"/>
                          <w:marRight w:val="0"/>
                          <w:marTop w:val="45"/>
                          <w:marBottom w:val="0"/>
                          <w:divBdr>
                            <w:top w:val="none" w:sz="0" w:space="0" w:color="auto"/>
                            <w:left w:val="none" w:sz="0" w:space="0" w:color="auto"/>
                            <w:bottom w:val="none" w:sz="0" w:space="0" w:color="auto"/>
                            <w:right w:val="none" w:sz="0" w:space="0" w:color="auto"/>
                          </w:divBdr>
                          <w:divsChild>
                            <w:div w:id="453409326">
                              <w:marLeft w:val="0"/>
                              <w:marRight w:val="0"/>
                              <w:marTop w:val="0"/>
                              <w:marBottom w:val="0"/>
                              <w:divBdr>
                                <w:top w:val="none" w:sz="0" w:space="0" w:color="auto"/>
                                <w:left w:val="none" w:sz="0" w:space="0" w:color="auto"/>
                                <w:bottom w:val="none" w:sz="0" w:space="0" w:color="auto"/>
                                <w:right w:val="none" w:sz="0" w:space="0" w:color="auto"/>
                              </w:divBdr>
                              <w:divsChild>
                                <w:div w:id="242642425">
                                  <w:marLeft w:val="0"/>
                                  <w:marRight w:val="0"/>
                                  <w:marTop w:val="0"/>
                                  <w:marBottom w:val="150"/>
                                  <w:divBdr>
                                    <w:top w:val="none" w:sz="0" w:space="0" w:color="auto"/>
                                    <w:left w:val="none" w:sz="0" w:space="0" w:color="auto"/>
                                    <w:bottom w:val="none" w:sz="0" w:space="0" w:color="auto"/>
                                    <w:right w:val="none" w:sz="0" w:space="0" w:color="auto"/>
                                  </w:divBdr>
                                  <w:divsChild>
                                    <w:div w:id="2135907048">
                                      <w:marLeft w:val="0"/>
                                      <w:marRight w:val="0"/>
                                      <w:marTop w:val="0"/>
                                      <w:marBottom w:val="0"/>
                                      <w:divBdr>
                                        <w:top w:val="none" w:sz="0" w:space="0" w:color="auto"/>
                                        <w:left w:val="none" w:sz="0" w:space="0" w:color="auto"/>
                                        <w:bottom w:val="none" w:sz="0" w:space="0" w:color="auto"/>
                                        <w:right w:val="none" w:sz="0" w:space="0" w:color="auto"/>
                                      </w:divBdr>
                                      <w:divsChild>
                                        <w:div w:id="479729982">
                                          <w:marLeft w:val="0"/>
                                          <w:marRight w:val="0"/>
                                          <w:marTop w:val="100"/>
                                          <w:marBottom w:val="100"/>
                                          <w:divBdr>
                                            <w:top w:val="single" w:sz="2" w:space="0" w:color="DFDFDF"/>
                                            <w:left w:val="single" w:sz="2" w:space="0" w:color="DFDFDF"/>
                                            <w:bottom w:val="single" w:sz="2" w:space="0" w:color="DFDFDF"/>
                                            <w:right w:val="single" w:sz="2" w:space="0" w:color="DFDFDF"/>
                                          </w:divBdr>
                                          <w:divsChild>
                                            <w:div w:id="1094396384">
                                              <w:marLeft w:val="0"/>
                                              <w:marRight w:val="0"/>
                                              <w:marTop w:val="0"/>
                                              <w:marBottom w:val="0"/>
                                              <w:divBdr>
                                                <w:top w:val="none" w:sz="0" w:space="0" w:color="auto"/>
                                                <w:left w:val="none" w:sz="0" w:space="0" w:color="auto"/>
                                                <w:bottom w:val="none" w:sz="0" w:space="0" w:color="auto"/>
                                                <w:right w:val="none" w:sz="0" w:space="0" w:color="auto"/>
                                              </w:divBdr>
                                              <w:divsChild>
                                                <w:div w:id="740562944">
                                                  <w:marLeft w:val="0"/>
                                                  <w:marRight w:val="0"/>
                                                  <w:marTop w:val="0"/>
                                                  <w:marBottom w:val="0"/>
                                                  <w:divBdr>
                                                    <w:top w:val="single" w:sz="2" w:space="0" w:color="A9A9A9"/>
                                                    <w:left w:val="single" w:sz="2" w:space="0" w:color="A9A9A9"/>
                                                    <w:bottom w:val="single" w:sz="2" w:space="0" w:color="A9A9A9"/>
                                                    <w:right w:val="single" w:sz="2" w:space="0" w:color="A9A9A9"/>
                                                  </w:divBdr>
                                                  <w:divsChild>
                                                    <w:div w:id="642194048">
                                                      <w:marLeft w:val="0"/>
                                                      <w:marRight w:val="0"/>
                                                      <w:marTop w:val="0"/>
                                                      <w:marBottom w:val="0"/>
                                                      <w:divBdr>
                                                        <w:top w:val="none" w:sz="0" w:space="0" w:color="auto"/>
                                                        <w:left w:val="none" w:sz="0" w:space="0" w:color="auto"/>
                                                        <w:bottom w:val="none" w:sz="0" w:space="0" w:color="auto"/>
                                                        <w:right w:val="none" w:sz="0" w:space="0" w:color="auto"/>
                                                      </w:divBdr>
                                                      <w:divsChild>
                                                        <w:div w:id="947857238">
                                                          <w:marLeft w:val="0"/>
                                                          <w:marRight w:val="0"/>
                                                          <w:marTop w:val="0"/>
                                                          <w:marBottom w:val="0"/>
                                                          <w:divBdr>
                                                            <w:top w:val="single" w:sz="2" w:space="0" w:color="E4E4E4"/>
                                                            <w:left w:val="single" w:sz="2" w:space="0" w:color="E4E4E4"/>
                                                            <w:bottom w:val="single" w:sz="2" w:space="0" w:color="E4E4E4"/>
                                                            <w:right w:val="single" w:sz="2" w:space="0" w:color="E4E4E4"/>
                                                          </w:divBdr>
                                                        </w:div>
                                                        <w:div w:id="100031911">
                                                          <w:marLeft w:val="0"/>
                                                          <w:marRight w:val="0"/>
                                                          <w:marTop w:val="0"/>
                                                          <w:marBottom w:val="0"/>
                                                          <w:divBdr>
                                                            <w:top w:val="single" w:sz="2" w:space="0" w:color="E4E4E4"/>
                                                            <w:left w:val="single" w:sz="2" w:space="0" w:color="E4E4E4"/>
                                                            <w:bottom w:val="single" w:sz="2" w:space="0" w:color="E4E4E4"/>
                                                            <w:right w:val="single" w:sz="2" w:space="0" w:color="E4E4E4"/>
                                                          </w:divBdr>
                                                        </w:div>
                                                        <w:div w:id="1736246506">
                                                          <w:marLeft w:val="0"/>
                                                          <w:marRight w:val="0"/>
                                                          <w:marTop w:val="0"/>
                                                          <w:marBottom w:val="0"/>
                                                          <w:divBdr>
                                                            <w:top w:val="single" w:sz="2" w:space="0" w:color="E4E4E4"/>
                                                            <w:left w:val="single" w:sz="2" w:space="0" w:color="E4E4E4"/>
                                                            <w:bottom w:val="single" w:sz="2" w:space="0" w:color="E4E4E4"/>
                                                            <w:right w:val="single" w:sz="2" w:space="0" w:color="E4E4E4"/>
                                                          </w:divBdr>
                                                          <w:divsChild>
                                                            <w:div w:id="2020766274">
                                                              <w:marLeft w:val="0"/>
                                                              <w:marRight w:val="0"/>
                                                              <w:marTop w:val="0"/>
                                                              <w:marBottom w:val="0"/>
                                                              <w:divBdr>
                                                                <w:top w:val="none" w:sz="0" w:space="0" w:color="auto"/>
                                                                <w:left w:val="none" w:sz="0" w:space="0" w:color="auto"/>
                                                                <w:bottom w:val="none" w:sz="0" w:space="0" w:color="auto"/>
                                                                <w:right w:val="none" w:sz="0" w:space="0" w:color="auto"/>
                                                              </w:divBdr>
                                                            </w:div>
                                                          </w:divsChild>
                                                        </w:div>
                                                        <w:div w:id="665665248">
                                                          <w:marLeft w:val="0"/>
                                                          <w:marRight w:val="0"/>
                                                          <w:marTop w:val="0"/>
                                                          <w:marBottom w:val="0"/>
                                                          <w:divBdr>
                                                            <w:top w:val="single" w:sz="2" w:space="0" w:color="E4E4E4"/>
                                                            <w:left w:val="single" w:sz="2" w:space="0" w:color="E4E4E4"/>
                                                            <w:bottom w:val="single" w:sz="2" w:space="0" w:color="E4E4E4"/>
                                                            <w:right w:val="single" w:sz="2" w:space="0" w:color="E4E4E4"/>
                                                          </w:divBdr>
                                                        </w:div>
                                                        <w:div w:id="631178748">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781684655">
                              <w:marLeft w:val="0"/>
                              <w:marRight w:val="0"/>
                              <w:marTop w:val="0"/>
                              <w:marBottom w:val="330"/>
                              <w:divBdr>
                                <w:top w:val="none" w:sz="0" w:space="0" w:color="auto"/>
                                <w:left w:val="none" w:sz="0" w:space="0" w:color="auto"/>
                                <w:bottom w:val="none" w:sz="0" w:space="0" w:color="auto"/>
                                <w:right w:val="none" w:sz="0" w:space="0" w:color="auto"/>
                              </w:divBdr>
                              <w:divsChild>
                                <w:div w:id="1016155785">
                                  <w:marLeft w:val="0"/>
                                  <w:marRight w:val="0"/>
                                  <w:marTop w:val="0"/>
                                  <w:marBottom w:val="0"/>
                                  <w:divBdr>
                                    <w:top w:val="none" w:sz="0" w:space="0" w:color="auto"/>
                                    <w:left w:val="none" w:sz="0" w:space="0" w:color="auto"/>
                                    <w:bottom w:val="none" w:sz="0" w:space="0" w:color="auto"/>
                                    <w:right w:val="none" w:sz="0" w:space="0" w:color="auto"/>
                                  </w:divBdr>
                                  <w:divsChild>
                                    <w:div w:id="1679964362">
                                      <w:marLeft w:val="0"/>
                                      <w:marRight w:val="0"/>
                                      <w:marTop w:val="0"/>
                                      <w:marBottom w:val="0"/>
                                      <w:divBdr>
                                        <w:top w:val="single" w:sz="2" w:space="0" w:color="DFDFDF"/>
                                        <w:left w:val="single" w:sz="2" w:space="0" w:color="DFDFDF"/>
                                        <w:bottom w:val="single" w:sz="2" w:space="0" w:color="DFDFDF"/>
                                        <w:right w:val="single" w:sz="2" w:space="0" w:color="DFDFDF"/>
                                      </w:divBdr>
                                      <w:divsChild>
                                        <w:div w:id="1112480605">
                                          <w:marLeft w:val="0"/>
                                          <w:marRight w:val="0"/>
                                          <w:marTop w:val="0"/>
                                          <w:marBottom w:val="270"/>
                                          <w:divBdr>
                                            <w:top w:val="none" w:sz="0" w:space="0" w:color="auto"/>
                                            <w:left w:val="none" w:sz="0" w:space="0" w:color="auto"/>
                                            <w:bottom w:val="single" w:sz="12" w:space="5" w:color="DADADA"/>
                                            <w:right w:val="none" w:sz="0" w:space="0" w:color="auto"/>
                                          </w:divBdr>
                                          <w:divsChild>
                                            <w:div w:id="1911496034">
                                              <w:marLeft w:val="0"/>
                                              <w:marRight w:val="0"/>
                                              <w:marTop w:val="0"/>
                                              <w:marBottom w:val="0"/>
                                              <w:divBdr>
                                                <w:top w:val="none" w:sz="0" w:space="0" w:color="auto"/>
                                                <w:left w:val="none" w:sz="0" w:space="0" w:color="auto"/>
                                                <w:bottom w:val="none" w:sz="0" w:space="0" w:color="auto"/>
                                                <w:right w:val="none" w:sz="0" w:space="0" w:color="auto"/>
                                              </w:divBdr>
                                            </w:div>
                                          </w:divsChild>
                                        </w:div>
                                        <w:div w:id="156115673">
                                          <w:marLeft w:val="-90"/>
                                          <w:marRight w:val="0"/>
                                          <w:marTop w:val="0"/>
                                          <w:marBottom w:val="0"/>
                                          <w:divBdr>
                                            <w:top w:val="none" w:sz="0" w:space="0" w:color="auto"/>
                                            <w:left w:val="none" w:sz="0" w:space="0" w:color="auto"/>
                                            <w:bottom w:val="none" w:sz="0" w:space="0" w:color="auto"/>
                                            <w:right w:val="none" w:sz="0" w:space="0" w:color="auto"/>
                                          </w:divBdr>
                                          <w:divsChild>
                                            <w:div w:id="226763101">
                                              <w:marLeft w:val="0"/>
                                              <w:marRight w:val="0"/>
                                              <w:marTop w:val="0"/>
                                              <w:marBottom w:val="45"/>
                                              <w:divBdr>
                                                <w:top w:val="single" w:sz="2" w:space="0" w:color="A9A9A9"/>
                                                <w:left w:val="single" w:sz="2" w:space="0" w:color="A9A9A9"/>
                                                <w:bottom w:val="single" w:sz="2" w:space="0" w:color="A9A9A9"/>
                                                <w:right w:val="single" w:sz="2" w:space="0" w:color="A9A9A9"/>
                                              </w:divBdr>
                                              <w:divsChild>
                                                <w:div w:id="1246498944">
                                                  <w:marLeft w:val="0"/>
                                                  <w:marRight w:val="0"/>
                                                  <w:marTop w:val="0"/>
                                                  <w:marBottom w:val="0"/>
                                                  <w:divBdr>
                                                    <w:top w:val="none" w:sz="0" w:space="0" w:color="auto"/>
                                                    <w:left w:val="none" w:sz="0" w:space="0" w:color="auto"/>
                                                    <w:bottom w:val="none" w:sz="0" w:space="0" w:color="auto"/>
                                                    <w:right w:val="none" w:sz="0" w:space="0" w:color="auto"/>
                                                  </w:divBdr>
                                                  <w:divsChild>
                                                    <w:div w:id="904754356">
                                                      <w:marLeft w:val="92"/>
                                                      <w:marRight w:val="0"/>
                                                      <w:marTop w:val="0"/>
                                                      <w:marBottom w:val="150"/>
                                                      <w:divBdr>
                                                        <w:top w:val="single" w:sz="2" w:space="0" w:color="E4E4E4"/>
                                                        <w:left w:val="single" w:sz="2" w:space="0" w:color="E4E4E4"/>
                                                        <w:bottom w:val="single" w:sz="2" w:space="0" w:color="E4E4E4"/>
                                                        <w:right w:val="single" w:sz="2" w:space="0" w:color="E4E4E4"/>
                                                      </w:divBdr>
                                                      <w:divsChild>
                                                        <w:div w:id="111459115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0963681">
                              <w:marLeft w:val="0"/>
                              <w:marRight w:val="0"/>
                              <w:marTop w:val="0"/>
                              <w:marBottom w:val="330"/>
                              <w:divBdr>
                                <w:top w:val="none" w:sz="0" w:space="0" w:color="auto"/>
                                <w:left w:val="none" w:sz="0" w:space="0" w:color="auto"/>
                                <w:bottom w:val="none" w:sz="0" w:space="0" w:color="auto"/>
                                <w:right w:val="none" w:sz="0" w:space="0" w:color="auto"/>
                              </w:divBdr>
                              <w:divsChild>
                                <w:div w:id="383873531">
                                  <w:marLeft w:val="0"/>
                                  <w:marRight w:val="0"/>
                                  <w:marTop w:val="0"/>
                                  <w:marBottom w:val="0"/>
                                  <w:divBdr>
                                    <w:top w:val="none" w:sz="0" w:space="0" w:color="auto"/>
                                    <w:left w:val="none" w:sz="0" w:space="0" w:color="auto"/>
                                    <w:bottom w:val="none" w:sz="0" w:space="0" w:color="auto"/>
                                    <w:right w:val="none" w:sz="0" w:space="0" w:color="auto"/>
                                  </w:divBdr>
                                  <w:divsChild>
                                    <w:div w:id="1913196098">
                                      <w:marLeft w:val="0"/>
                                      <w:marRight w:val="0"/>
                                      <w:marTop w:val="0"/>
                                      <w:marBottom w:val="0"/>
                                      <w:divBdr>
                                        <w:top w:val="single" w:sz="2" w:space="0" w:color="DFDFDF"/>
                                        <w:left w:val="single" w:sz="2" w:space="0" w:color="DFDFDF"/>
                                        <w:bottom w:val="single" w:sz="2" w:space="0" w:color="DFDFDF"/>
                                        <w:right w:val="single" w:sz="2" w:space="0" w:color="DFDFDF"/>
                                      </w:divBdr>
                                      <w:divsChild>
                                        <w:div w:id="329527596">
                                          <w:marLeft w:val="-90"/>
                                          <w:marRight w:val="0"/>
                                          <w:marTop w:val="0"/>
                                          <w:marBottom w:val="0"/>
                                          <w:divBdr>
                                            <w:top w:val="none" w:sz="0" w:space="0" w:color="auto"/>
                                            <w:left w:val="none" w:sz="0" w:space="0" w:color="auto"/>
                                            <w:bottom w:val="none" w:sz="0" w:space="0" w:color="auto"/>
                                            <w:right w:val="none" w:sz="0" w:space="0" w:color="auto"/>
                                          </w:divBdr>
                                          <w:divsChild>
                                            <w:div w:id="533034086">
                                              <w:marLeft w:val="0"/>
                                              <w:marRight w:val="0"/>
                                              <w:marTop w:val="0"/>
                                              <w:marBottom w:val="45"/>
                                              <w:divBdr>
                                                <w:top w:val="single" w:sz="2" w:space="0" w:color="A9A9A9"/>
                                                <w:left w:val="single" w:sz="2" w:space="0" w:color="A9A9A9"/>
                                                <w:bottom w:val="single" w:sz="2" w:space="0" w:color="A9A9A9"/>
                                                <w:right w:val="single" w:sz="2" w:space="0" w:color="A9A9A9"/>
                                              </w:divBdr>
                                              <w:divsChild>
                                                <w:div w:id="2135322619">
                                                  <w:marLeft w:val="0"/>
                                                  <w:marRight w:val="0"/>
                                                  <w:marTop w:val="0"/>
                                                  <w:marBottom w:val="0"/>
                                                  <w:divBdr>
                                                    <w:top w:val="none" w:sz="0" w:space="0" w:color="auto"/>
                                                    <w:left w:val="none" w:sz="0" w:space="0" w:color="auto"/>
                                                    <w:bottom w:val="none" w:sz="0" w:space="0" w:color="auto"/>
                                                    <w:right w:val="none" w:sz="0" w:space="0" w:color="auto"/>
                                                  </w:divBdr>
                                                  <w:divsChild>
                                                    <w:div w:id="1940408769">
                                                      <w:marLeft w:val="92"/>
                                                      <w:marRight w:val="0"/>
                                                      <w:marTop w:val="0"/>
                                                      <w:marBottom w:val="150"/>
                                                      <w:divBdr>
                                                        <w:top w:val="single" w:sz="2" w:space="0" w:color="E4E4E4"/>
                                                        <w:left w:val="single" w:sz="2" w:space="0" w:color="E4E4E4"/>
                                                        <w:bottom w:val="single" w:sz="2" w:space="0" w:color="E4E4E4"/>
                                                        <w:right w:val="single" w:sz="2" w:space="0" w:color="E4E4E4"/>
                                                      </w:divBdr>
                                                      <w:divsChild>
                                                        <w:div w:id="572085284">
                                                          <w:marLeft w:val="0"/>
                                                          <w:marRight w:val="0"/>
                                                          <w:marTop w:val="0"/>
                                                          <w:marBottom w:val="0"/>
                                                          <w:divBdr>
                                                            <w:top w:val="none" w:sz="0" w:space="0" w:color="auto"/>
                                                            <w:left w:val="none" w:sz="0" w:space="0" w:color="auto"/>
                                                            <w:bottom w:val="none" w:sz="0" w:space="0" w:color="auto"/>
                                                            <w:right w:val="none" w:sz="0" w:space="0" w:color="auto"/>
                                                          </w:divBdr>
                                                        </w:div>
                                                        <w:div w:id="208202540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438487">
                              <w:marLeft w:val="0"/>
                              <w:marRight w:val="0"/>
                              <w:marTop w:val="0"/>
                              <w:marBottom w:val="330"/>
                              <w:divBdr>
                                <w:top w:val="none" w:sz="0" w:space="0" w:color="auto"/>
                                <w:left w:val="none" w:sz="0" w:space="0" w:color="auto"/>
                                <w:bottom w:val="none" w:sz="0" w:space="0" w:color="auto"/>
                                <w:right w:val="none" w:sz="0" w:space="0" w:color="auto"/>
                              </w:divBdr>
                              <w:divsChild>
                                <w:div w:id="1110006197">
                                  <w:marLeft w:val="0"/>
                                  <w:marRight w:val="0"/>
                                  <w:marTop w:val="0"/>
                                  <w:marBottom w:val="0"/>
                                  <w:divBdr>
                                    <w:top w:val="none" w:sz="0" w:space="0" w:color="auto"/>
                                    <w:left w:val="none" w:sz="0" w:space="0" w:color="auto"/>
                                    <w:bottom w:val="none" w:sz="0" w:space="0" w:color="auto"/>
                                    <w:right w:val="none" w:sz="0" w:space="0" w:color="auto"/>
                                  </w:divBdr>
                                  <w:divsChild>
                                    <w:div w:id="1741632677">
                                      <w:marLeft w:val="0"/>
                                      <w:marRight w:val="0"/>
                                      <w:marTop w:val="0"/>
                                      <w:marBottom w:val="0"/>
                                      <w:divBdr>
                                        <w:top w:val="single" w:sz="2" w:space="0" w:color="DFDFDF"/>
                                        <w:left w:val="single" w:sz="2" w:space="0" w:color="DFDFDF"/>
                                        <w:bottom w:val="single" w:sz="2" w:space="0" w:color="DFDFDF"/>
                                        <w:right w:val="single" w:sz="2" w:space="0" w:color="DFDFDF"/>
                                      </w:divBdr>
                                      <w:divsChild>
                                        <w:div w:id="2115858716">
                                          <w:marLeft w:val="-90"/>
                                          <w:marRight w:val="0"/>
                                          <w:marTop w:val="0"/>
                                          <w:marBottom w:val="0"/>
                                          <w:divBdr>
                                            <w:top w:val="none" w:sz="0" w:space="0" w:color="auto"/>
                                            <w:left w:val="none" w:sz="0" w:space="0" w:color="auto"/>
                                            <w:bottom w:val="none" w:sz="0" w:space="0" w:color="auto"/>
                                            <w:right w:val="none" w:sz="0" w:space="0" w:color="auto"/>
                                          </w:divBdr>
                                          <w:divsChild>
                                            <w:div w:id="1809933329">
                                              <w:marLeft w:val="0"/>
                                              <w:marRight w:val="0"/>
                                              <w:marTop w:val="0"/>
                                              <w:marBottom w:val="45"/>
                                              <w:divBdr>
                                                <w:top w:val="single" w:sz="2" w:space="0" w:color="A9A9A9"/>
                                                <w:left w:val="single" w:sz="2" w:space="0" w:color="A9A9A9"/>
                                                <w:bottom w:val="single" w:sz="2" w:space="0" w:color="A9A9A9"/>
                                                <w:right w:val="single" w:sz="2" w:space="0" w:color="A9A9A9"/>
                                              </w:divBdr>
                                              <w:divsChild>
                                                <w:div w:id="1150906222">
                                                  <w:marLeft w:val="0"/>
                                                  <w:marRight w:val="0"/>
                                                  <w:marTop w:val="0"/>
                                                  <w:marBottom w:val="0"/>
                                                  <w:divBdr>
                                                    <w:top w:val="none" w:sz="0" w:space="0" w:color="auto"/>
                                                    <w:left w:val="none" w:sz="0" w:space="0" w:color="auto"/>
                                                    <w:bottom w:val="none" w:sz="0" w:space="0" w:color="auto"/>
                                                    <w:right w:val="none" w:sz="0" w:space="0" w:color="auto"/>
                                                  </w:divBdr>
                                                  <w:divsChild>
                                                    <w:div w:id="2133866912">
                                                      <w:marLeft w:val="92"/>
                                                      <w:marRight w:val="0"/>
                                                      <w:marTop w:val="0"/>
                                                      <w:marBottom w:val="150"/>
                                                      <w:divBdr>
                                                        <w:top w:val="single" w:sz="2" w:space="0" w:color="E4E4E4"/>
                                                        <w:left w:val="single" w:sz="2" w:space="0" w:color="E4E4E4"/>
                                                        <w:bottom w:val="single" w:sz="2" w:space="0" w:color="E4E4E4"/>
                                                        <w:right w:val="single" w:sz="2" w:space="0" w:color="E4E4E4"/>
                                                      </w:divBdr>
                                                      <w:divsChild>
                                                        <w:div w:id="1914243257">
                                                          <w:marLeft w:val="0"/>
                                                          <w:marRight w:val="0"/>
                                                          <w:marTop w:val="0"/>
                                                          <w:marBottom w:val="0"/>
                                                          <w:divBdr>
                                                            <w:top w:val="none" w:sz="0" w:space="0" w:color="auto"/>
                                                            <w:left w:val="none" w:sz="0" w:space="0" w:color="auto"/>
                                                            <w:bottom w:val="none" w:sz="0" w:space="0" w:color="auto"/>
                                                            <w:right w:val="none" w:sz="0" w:space="0" w:color="auto"/>
                                                          </w:divBdr>
                                                        </w:div>
                                                        <w:div w:id="105219377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402010">
                          <w:marLeft w:val="0"/>
                          <w:marRight w:val="0"/>
                          <w:marTop w:val="45"/>
                          <w:marBottom w:val="0"/>
                          <w:divBdr>
                            <w:top w:val="none" w:sz="0" w:space="0" w:color="auto"/>
                            <w:left w:val="none" w:sz="0" w:space="0" w:color="auto"/>
                            <w:bottom w:val="none" w:sz="0" w:space="0" w:color="auto"/>
                            <w:right w:val="none" w:sz="0" w:space="0" w:color="auto"/>
                          </w:divBdr>
                          <w:divsChild>
                            <w:div w:id="1233269857">
                              <w:marLeft w:val="0"/>
                              <w:marRight w:val="0"/>
                              <w:marTop w:val="0"/>
                              <w:marBottom w:val="330"/>
                              <w:divBdr>
                                <w:top w:val="none" w:sz="0" w:space="0" w:color="auto"/>
                                <w:left w:val="none" w:sz="0" w:space="0" w:color="auto"/>
                                <w:bottom w:val="none" w:sz="0" w:space="0" w:color="auto"/>
                                <w:right w:val="none" w:sz="0" w:space="0" w:color="auto"/>
                              </w:divBdr>
                              <w:divsChild>
                                <w:div w:id="280919631">
                                  <w:marLeft w:val="0"/>
                                  <w:marRight w:val="0"/>
                                  <w:marTop w:val="0"/>
                                  <w:marBottom w:val="0"/>
                                  <w:divBdr>
                                    <w:top w:val="none" w:sz="0" w:space="0" w:color="auto"/>
                                    <w:left w:val="none" w:sz="0" w:space="0" w:color="auto"/>
                                    <w:bottom w:val="none" w:sz="0" w:space="0" w:color="auto"/>
                                    <w:right w:val="none" w:sz="0" w:space="0" w:color="auto"/>
                                  </w:divBdr>
                                  <w:divsChild>
                                    <w:div w:id="1956866693">
                                      <w:marLeft w:val="0"/>
                                      <w:marRight w:val="0"/>
                                      <w:marTop w:val="0"/>
                                      <w:marBottom w:val="0"/>
                                      <w:divBdr>
                                        <w:top w:val="single" w:sz="2" w:space="0" w:color="DFDFDF"/>
                                        <w:left w:val="single" w:sz="2" w:space="0" w:color="DFDFDF"/>
                                        <w:bottom w:val="single" w:sz="2" w:space="0" w:color="DFDFDF"/>
                                        <w:right w:val="single" w:sz="2" w:space="0" w:color="DFDFDF"/>
                                      </w:divBdr>
                                      <w:divsChild>
                                        <w:div w:id="62140325">
                                          <w:marLeft w:val="-90"/>
                                          <w:marRight w:val="0"/>
                                          <w:marTop w:val="0"/>
                                          <w:marBottom w:val="0"/>
                                          <w:divBdr>
                                            <w:top w:val="none" w:sz="0" w:space="0" w:color="auto"/>
                                            <w:left w:val="none" w:sz="0" w:space="0" w:color="auto"/>
                                            <w:bottom w:val="none" w:sz="0" w:space="0" w:color="auto"/>
                                            <w:right w:val="none" w:sz="0" w:space="0" w:color="auto"/>
                                          </w:divBdr>
                                          <w:divsChild>
                                            <w:div w:id="1564680041">
                                              <w:marLeft w:val="0"/>
                                              <w:marRight w:val="0"/>
                                              <w:marTop w:val="0"/>
                                              <w:marBottom w:val="45"/>
                                              <w:divBdr>
                                                <w:top w:val="single" w:sz="2" w:space="0" w:color="A9A9A9"/>
                                                <w:left w:val="single" w:sz="2" w:space="0" w:color="A9A9A9"/>
                                                <w:bottom w:val="single" w:sz="2" w:space="0" w:color="A9A9A9"/>
                                                <w:right w:val="single" w:sz="2" w:space="0" w:color="A9A9A9"/>
                                              </w:divBdr>
                                              <w:divsChild>
                                                <w:div w:id="531110743">
                                                  <w:marLeft w:val="0"/>
                                                  <w:marRight w:val="0"/>
                                                  <w:marTop w:val="0"/>
                                                  <w:marBottom w:val="0"/>
                                                  <w:divBdr>
                                                    <w:top w:val="none" w:sz="0" w:space="0" w:color="auto"/>
                                                    <w:left w:val="none" w:sz="0" w:space="0" w:color="auto"/>
                                                    <w:bottom w:val="none" w:sz="0" w:space="0" w:color="auto"/>
                                                    <w:right w:val="none" w:sz="0" w:space="0" w:color="auto"/>
                                                  </w:divBdr>
                                                  <w:divsChild>
                                                    <w:div w:id="935212747">
                                                      <w:marLeft w:val="92"/>
                                                      <w:marRight w:val="0"/>
                                                      <w:marTop w:val="0"/>
                                                      <w:marBottom w:val="150"/>
                                                      <w:divBdr>
                                                        <w:top w:val="single" w:sz="2" w:space="0" w:color="E4E4E4"/>
                                                        <w:left w:val="single" w:sz="2" w:space="0" w:color="E4E4E4"/>
                                                        <w:bottom w:val="single" w:sz="2" w:space="0" w:color="E4E4E4"/>
                                                        <w:right w:val="single" w:sz="2" w:space="0" w:color="E4E4E4"/>
                                                      </w:divBdr>
                                                      <w:divsChild>
                                                        <w:div w:id="1727026288">
                                                          <w:marLeft w:val="0"/>
                                                          <w:marRight w:val="0"/>
                                                          <w:marTop w:val="0"/>
                                                          <w:marBottom w:val="0"/>
                                                          <w:divBdr>
                                                            <w:top w:val="none" w:sz="0" w:space="0" w:color="auto"/>
                                                            <w:left w:val="none" w:sz="0" w:space="0" w:color="auto"/>
                                                            <w:bottom w:val="none" w:sz="0" w:space="0" w:color="auto"/>
                                                            <w:right w:val="none" w:sz="0" w:space="0" w:color="auto"/>
                                                          </w:divBdr>
                                                        </w:div>
                                                        <w:div w:id="162812447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3125824">
                              <w:marLeft w:val="0"/>
                              <w:marRight w:val="0"/>
                              <w:marTop w:val="0"/>
                              <w:marBottom w:val="330"/>
                              <w:divBdr>
                                <w:top w:val="none" w:sz="0" w:space="0" w:color="auto"/>
                                <w:left w:val="none" w:sz="0" w:space="0" w:color="auto"/>
                                <w:bottom w:val="none" w:sz="0" w:space="0" w:color="auto"/>
                                <w:right w:val="none" w:sz="0" w:space="0" w:color="auto"/>
                              </w:divBdr>
                              <w:divsChild>
                                <w:div w:id="1020818362">
                                  <w:marLeft w:val="0"/>
                                  <w:marRight w:val="0"/>
                                  <w:marTop w:val="0"/>
                                  <w:marBottom w:val="0"/>
                                  <w:divBdr>
                                    <w:top w:val="none" w:sz="0" w:space="0" w:color="auto"/>
                                    <w:left w:val="none" w:sz="0" w:space="0" w:color="auto"/>
                                    <w:bottom w:val="none" w:sz="0" w:space="0" w:color="auto"/>
                                    <w:right w:val="none" w:sz="0" w:space="0" w:color="auto"/>
                                  </w:divBdr>
                                  <w:divsChild>
                                    <w:div w:id="1851680707">
                                      <w:marLeft w:val="0"/>
                                      <w:marRight w:val="0"/>
                                      <w:marTop w:val="0"/>
                                      <w:marBottom w:val="0"/>
                                      <w:divBdr>
                                        <w:top w:val="single" w:sz="2" w:space="0" w:color="DFDFDF"/>
                                        <w:left w:val="single" w:sz="2" w:space="0" w:color="DFDFDF"/>
                                        <w:bottom w:val="single" w:sz="2" w:space="0" w:color="DFDFDF"/>
                                        <w:right w:val="single" w:sz="2" w:space="0" w:color="DFDFDF"/>
                                      </w:divBdr>
                                      <w:divsChild>
                                        <w:div w:id="821194175">
                                          <w:marLeft w:val="-90"/>
                                          <w:marRight w:val="0"/>
                                          <w:marTop w:val="0"/>
                                          <w:marBottom w:val="0"/>
                                          <w:divBdr>
                                            <w:top w:val="none" w:sz="0" w:space="0" w:color="auto"/>
                                            <w:left w:val="none" w:sz="0" w:space="0" w:color="auto"/>
                                            <w:bottom w:val="none" w:sz="0" w:space="0" w:color="auto"/>
                                            <w:right w:val="none" w:sz="0" w:space="0" w:color="auto"/>
                                          </w:divBdr>
                                          <w:divsChild>
                                            <w:div w:id="2127194057">
                                              <w:marLeft w:val="0"/>
                                              <w:marRight w:val="0"/>
                                              <w:marTop w:val="0"/>
                                              <w:marBottom w:val="45"/>
                                              <w:divBdr>
                                                <w:top w:val="single" w:sz="2" w:space="0" w:color="A9A9A9"/>
                                                <w:left w:val="single" w:sz="2" w:space="0" w:color="A9A9A9"/>
                                                <w:bottom w:val="single" w:sz="2" w:space="0" w:color="A9A9A9"/>
                                                <w:right w:val="single" w:sz="2" w:space="0" w:color="A9A9A9"/>
                                              </w:divBdr>
                                              <w:divsChild>
                                                <w:div w:id="2003460093">
                                                  <w:marLeft w:val="0"/>
                                                  <w:marRight w:val="0"/>
                                                  <w:marTop w:val="0"/>
                                                  <w:marBottom w:val="0"/>
                                                  <w:divBdr>
                                                    <w:top w:val="none" w:sz="0" w:space="0" w:color="auto"/>
                                                    <w:left w:val="none" w:sz="0" w:space="0" w:color="auto"/>
                                                    <w:bottom w:val="none" w:sz="0" w:space="0" w:color="auto"/>
                                                    <w:right w:val="none" w:sz="0" w:space="0" w:color="auto"/>
                                                  </w:divBdr>
                                                  <w:divsChild>
                                                    <w:div w:id="648753038">
                                                      <w:marLeft w:val="92"/>
                                                      <w:marRight w:val="0"/>
                                                      <w:marTop w:val="0"/>
                                                      <w:marBottom w:val="150"/>
                                                      <w:divBdr>
                                                        <w:top w:val="single" w:sz="2" w:space="0" w:color="E4E4E4"/>
                                                        <w:left w:val="single" w:sz="2" w:space="0" w:color="E4E4E4"/>
                                                        <w:bottom w:val="single" w:sz="2" w:space="0" w:color="E4E4E4"/>
                                                        <w:right w:val="single" w:sz="2" w:space="0" w:color="E4E4E4"/>
                                                      </w:divBdr>
                                                      <w:divsChild>
                                                        <w:div w:id="48387110">
                                                          <w:marLeft w:val="0"/>
                                                          <w:marRight w:val="0"/>
                                                          <w:marTop w:val="0"/>
                                                          <w:marBottom w:val="0"/>
                                                          <w:divBdr>
                                                            <w:top w:val="none" w:sz="0" w:space="0" w:color="auto"/>
                                                            <w:left w:val="none" w:sz="0" w:space="0" w:color="auto"/>
                                                            <w:bottom w:val="none" w:sz="0" w:space="0" w:color="auto"/>
                                                            <w:right w:val="none" w:sz="0" w:space="0" w:color="auto"/>
                                                          </w:divBdr>
                                                        </w:div>
                                                        <w:div w:id="121543535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4050982">
                              <w:marLeft w:val="0"/>
                              <w:marRight w:val="0"/>
                              <w:marTop w:val="0"/>
                              <w:marBottom w:val="330"/>
                              <w:divBdr>
                                <w:top w:val="none" w:sz="0" w:space="0" w:color="auto"/>
                                <w:left w:val="none" w:sz="0" w:space="0" w:color="auto"/>
                                <w:bottom w:val="none" w:sz="0" w:space="0" w:color="auto"/>
                                <w:right w:val="none" w:sz="0" w:space="0" w:color="auto"/>
                              </w:divBdr>
                              <w:divsChild>
                                <w:div w:id="1419254026">
                                  <w:marLeft w:val="0"/>
                                  <w:marRight w:val="0"/>
                                  <w:marTop w:val="0"/>
                                  <w:marBottom w:val="0"/>
                                  <w:divBdr>
                                    <w:top w:val="none" w:sz="0" w:space="0" w:color="auto"/>
                                    <w:left w:val="none" w:sz="0" w:space="0" w:color="auto"/>
                                    <w:bottom w:val="none" w:sz="0" w:space="0" w:color="auto"/>
                                    <w:right w:val="none" w:sz="0" w:space="0" w:color="auto"/>
                                  </w:divBdr>
                                  <w:divsChild>
                                    <w:div w:id="213350330">
                                      <w:marLeft w:val="0"/>
                                      <w:marRight w:val="0"/>
                                      <w:marTop w:val="0"/>
                                      <w:marBottom w:val="0"/>
                                      <w:divBdr>
                                        <w:top w:val="single" w:sz="2" w:space="0" w:color="DFDFDF"/>
                                        <w:left w:val="single" w:sz="2" w:space="0" w:color="DFDFDF"/>
                                        <w:bottom w:val="single" w:sz="2" w:space="0" w:color="DFDFDF"/>
                                        <w:right w:val="single" w:sz="2" w:space="0" w:color="DFDFDF"/>
                                      </w:divBdr>
                                      <w:divsChild>
                                        <w:div w:id="595403355">
                                          <w:marLeft w:val="-90"/>
                                          <w:marRight w:val="0"/>
                                          <w:marTop w:val="0"/>
                                          <w:marBottom w:val="0"/>
                                          <w:divBdr>
                                            <w:top w:val="none" w:sz="0" w:space="0" w:color="auto"/>
                                            <w:left w:val="none" w:sz="0" w:space="0" w:color="auto"/>
                                            <w:bottom w:val="none" w:sz="0" w:space="0" w:color="auto"/>
                                            <w:right w:val="none" w:sz="0" w:space="0" w:color="auto"/>
                                          </w:divBdr>
                                          <w:divsChild>
                                            <w:div w:id="1172911866">
                                              <w:marLeft w:val="0"/>
                                              <w:marRight w:val="0"/>
                                              <w:marTop w:val="0"/>
                                              <w:marBottom w:val="45"/>
                                              <w:divBdr>
                                                <w:top w:val="single" w:sz="2" w:space="0" w:color="A9A9A9"/>
                                                <w:left w:val="single" w:sz="2" w:space="0" w:color="A9A9A9"/>
                                                <w:bottom w:val="single" w:sz="2" w:space="0" w:color="A9A9A9"/>
                                                <w:right w:val="single" w:sz="2" w:space="0" w:color="A9A9A9"/>
                                              </w:divBdr>
                                              <w:divsChild>
                                                <w:div w:id="1565221046">
                                                  <w:marLeft w:val="0"/>
                                                  <w:marRight w:val="0"/>
                                                  <w:marTop w:val="0"/>
                                                  <w:marBottom w:val="0"/>
                                                  <w:divBdr>
                                                    <w:top w:val="none" w:sz="0" w:space="0" w:color="auto"/>
                                                    <w:left w:val="none" w:sz="0" w:space="0" w:color="auto"/>
                                                    <w:bottom w:val="none" w:sz="0" w:space="0" w:color="auto"/>
                                                    <w:right w:val="none" w:sz="0" w:space="0" w:color="auto"/>
                                                  </w:divBdr>
                                                  <w:divsChild>
                                                    <w:div w:id="1657221916">
                                                      <w:marLeft w:val="92"/>
                                                      <w:marRight w:val="0"/>
                                                      <w:marTop w:val="0"/>
                                                      <w:marBottom w:val="150"/>
                                                      <w:divBdr>
                                                        <w:top w:val="single" w:sz="2" w:space="0" w:color="E4E4E4"/>
                                                        <w:left w:val="single" w:sz="2" w:space="0" w:color="E4E4E4"/>
                                                        <w:bottom w:val="single" w:sz="2" w:space="0" w:color="E4E4E4"/>
                                                        <w:right w:val="single" w:sz="2" w:space="0" w:color="E4E4E4"/>
                                                      </w:divBdr>
                                                      <w:divsChild>
                                                        <w:div w:id="1022122287">
                                                          <w:marLeft w:val="0"/>
                                                          <w:marRight w:val="0"/>
                                                          <w:marTop w:val="0"/>
                                                          <w:marBottom w:val="0"/>
                                                          <w:divBdr>
                                                            <w:top w:val="none" w:sz="0" w:space="0" w:color="auto"/>
                                                            <w:left w:val="none" w:sz="0" w:space="0" w:color="auto"/>
                                                            <w:bottom w:val="none" w:sz="0" w:space="0" w:color="auto"/>
                                                            <w:right w:val="none" w:sz="0" w:space="0" w:color="auto"/>
                                                          </w:divBdr>
                                                        </w:div>
                                                        <w:div w:id="27028587">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1829228">
                              <w:marLeft w:val="0"/>
                              <w:marRight w:val="0"/>
                              <w:marTop w:val="0"/>
                              <w:marBottom w:val="330"/>
                              <w:divBdr>
                                <w:top w:val="none" w:sz="0" w:space="0" w:color="auto"/>
                                <w:left w:val="none" w:sz="0" w:space="0" w:color="auto"/>
                                <w:bottom w:val="none" w:sz="0" w:space="0" w:color="auto"/>
                                <w:right w:val="none" w:sz="0" w:space="0" w:color="auto"/>
                              </w:divBdr>
                              <w:divsChild>
                                <w:div w:id="1732463793">
                                  <w:marLeft w:val="0"/>
                                  <w:marRight w:val="0"/>
                                  <w:marTop w:val="0"/>
                                  <w:marBottom w:val="0"/>
                                  <w:divBdr>
                                    <w:top w:val="none" w:sz="0" w:space="0" w:color="auto"/>
                                    <w:left w:val="none" w:sz="0" w:space="0" w:color="auto"/>
                                    <w:bottom w:val="none" w:sz="0" w:space="0" w:color="auto"/>
                                    <w:right w:val="none" w:sz="0" w:space="0" w:color="auto"/>
                                  </w:divBdr>
                                  <w:divsChild>
                                    <w:div w:id="1887791404">
                                      <w:marLeft w:val="0"/>
                                      <w:marRight w:val="0"/>
                                      <w:marTop w:val="0"/>
                                      <w:marBottom w:val="0"/>
                                      <w:divBdr>
                                        <w:top w:val="single" w:sz="2" w:space="0" w:color="DFDFDF"/>
                                        <w:left w:val="single" w:sz="2" w:space="0" w:color="DFDFDF"/>
                                        <w:bottom w:val="single" w:sz="2" w:space="0" w:color="DFDFDF"/>
                                        <w:right w:val="single" w:sz="2" w:space="0" w:color="DFDFDF"/>
                                      </w:divBdr>
                                      <w:divsChild>
                                        <w:div w:id="1306279556">
                                          <w:marLeft w:val="-90"/>
                                          <w:marRight w:val="0"/>
                                          <w:marTop w:val="0"/>
                                          <w:marBottom w:val="0"/>
                                          <w:divBdr>
                                            <w:top w:val="none" w:sz="0" w:space="0" w:color="auto"/>
                                            <w:left w:val="none" w:sz="0" w:space="0" w:color="auto"/>
                                            <w:bottom w:val="none" w:sz="0" w:space="0" w:color="auto"/>
                                            <w:right w:val="none" w:sz="0" w:space="0" w:color="auto"/>
                                          </w:divBdr>
                                          <w:divsChild>
                                            <w:div w:id="1898317920">
                                              <w:marLeft w:val="0"/>
                                              <w:marRight w:val="0"/>
                                              <w:marTop w:val="0"/>
                                              <w:marBottom w:val="45"/>
                                              <w:divBdr>
                                                <w:top w:val="single" w:sz="2" w:space="0" w:color="A9A9A9"/>
                                                <w:left w:val="single" w:sz="2" w:space="0" w:color="A9A9A9"/>
                                                <w:bottom w:val="single" w:sz="2" w:space="0" w:color="A9A9A9"/>
                                                <w:right w:val="single" w:sz="2" w:space="0" w:color="A9A9A9"/>
                                              </w:divBdr>
                                              <w:divsChild>
                                                <w:div w:id="1528332120">
                                                  <w:marLeft w:val="0"/>
                                                  <w:marRight w:val="0"/>
                                                  <w:marTop w:val="0"/>
                                                  <w:marBottom w:val="0"/>
                                                  <w:divBdr>
                                                    <w:top w:val="none" w:sz="0" w:space="0" w:color="auto"/>
                                                    <w:left w:val="none" w:sz="0" w:space="0" w:color="auto"/>
                                                    <w:bottom w:val="none" w:sz="0" w:space="0" w:color="auto"/>
                                                    <w:right w:val="none" w:sz="0" w:space="0" w:color="auto"/>
                                                  </w:divBdr>
                                                  <w:divsChild>
                                                    <w:div w:id="1557355302">
                                                      <w:marLeft w:val="92"/>
                                                      <w:marRight w:val="0"/>
                                                      <w:marTop w:val="0"/>
                                                      <w:marBottom w:val="150"/>
                                                      <w:divBdr>
                                                        <w:top w:val="single" w:sz="2" w:space="0" w:color="E4E4E4"/>
                                                        <w:left w:val="single" w:sz="2" w:space="0" w:color="E4E4E4"/>
                                                        <w:bottom w:val="single" w:sz="2" w:space="0" w:color="E4E4E4"/>
                                                        <w:right w:val="single" w:sz="2" w:space="0" w:color="E4E4E4"/>
                                                      </w:divBdr>
                                                      <w:divsChild>
                                                        <w:div w:id="2099016938">
                                                          <w:marLeft w:val="0"/>
                                                          <w:marRight w:val="0"/>
                                                          <w:marTop w:val="0"/>
                                                          <w:marBottom w:val="0"/>
                                                          <w:divBdr>
                                                            <w:top w:val="none" w:sz="0" w:space="0" w:color="auto"/>
                                                            <w:left w:val="none" w:sz="0" w:space="0" w:color="auto"/>
                                                            <w:bottom w:val="none" w:sz="0" w:space="0" w:color="auto"/>
                                                            <w:right w:val="none" w:sz="0" w:space="0" w:color="auto"/>
                                                          </w:divBdr>
                                                        </w:div>
                                                        <w:div w:id="158827383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5674381">
                  <w:marLeft w:val="0"/>
                  <w:marRight w:val="0"/>
                  <w:marTop w:val="0"/>
                  <w:marBottom w:val="0"/>
                  <w:divBdr>
                    <w:top w:val="none" w:sz="0" w:space="0" w:color="auto"/>
                    <w:left w:val="none" w:sz="0" w:space="0" w:color="auto"/>
                    <w:bottom w:val="none" w:sz="0" w:space="0" w:color="auto"/>
                    <w:right w:val="none" w:sz="0" w:space="0" w:color="auto"/>
                  </w:divBdr>
                  <w:divsChild>
                    <w:div w:id="1250116667">
                      <w:marLeft w:val="0"/>
                      <w:marRight w:val="0"/>
                      <w:marTop w:val="0"/>
                      <w:marBottom w:val="0"/>
                      <w:divBdr>
                        <w:top w:val="none" w:sz="0" w:space="0" w:color="auto"/>
                        <w:left w:val="none" w:sz="0" w:space="0" w:color="auto"/>
                        <w:bottom w:val="none" w:sz="0" w:space="0" w:color="auto"/>
                        <w:right w:val="none" w:sz="0" w:space="0" w:color="auto"/>
                      </w:divBdr>
                      <w:divsChild>
                        <w:div w:id="1825513813">
                          <w:marLeft w:val="0"/>
                          <w:marRight w:val="0"/>
                          <w:marTop w:val="0"/>
                          <w:marBottom w:val="0"/>
                          <w:divBdr>
                            <w:top w:val="none" w:sz="0" w:space="0" w:color="auto"/>
                            <w:left w:val="none" w:sz="0" w:space="0" w:color="auto"/>
                            <w:bottom w:val="none" w:sz="0" w:space="0" w:color="auto"/>
                            <w:right w:val="none" w:sz="0" w:space="0" w:color="auto"/>
                          </w:divBdr>
                          <w:divsChild>
                            <w:div w:id="163205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948091">
                      <w:marLeft w:val="0"/>
                      <w:marRight w:val="0"/>
                      <w:marTop w:val="0"/>
                      <w:marBottom w:val="75"/>
                      <w:divBdr>
                        <w:top w:val="none" w:sz="0" w:space="0" w:color="auto"/>
                        <w:left w:val="none" w:sz="0" w:space="0" w:color="auto"/>
                        <w:bottom w:val="none" w:sz="0" w:space="0" w:color="auto"/>
                        <w:right w:val="none" w:sz="0" w:space="0" w:color="auto"/>
                      </w:divBdr>
                    </w:div>
                    <w:div w:id="598754049">
                      <w:marLeft w:val="0"/>
                      <w:marRight w:val="0"/>
                      <w:marTop w:val="0"/>
                      <w:marBottom w:val="300"/>
                      <w:divBdr>
                        <w:top w:val="none" w:sz="0" w:space="0" w:color="auto"/>
                        <w:left w:val="none" w:sz="0" w:space="0" w:color="auto"/>
                        <w:bottom w:val="none" w:sz="0" w:space="0" w:color="auto"/>
                        <w:right w:val="none" w:sz="0" w:space="0" w:color="auto"/>
                      </w:divBdr>
                      <w:divsChild>
                        <w:div w:id="1618558764">
                          <w:marLeft w:val="0"/>
                          <w:marRight w:val="0"/>
                          <w:marTop w:val="0"/>
                          <w:marBottom w:val="0"/>
                          <w:divBdr>
                            <w:top w:val="none" w:sz="0" w:space="0" w:color="auto"/>
                            <w:left w:val="none" w:sz="0" w:space="0" w:color="auto"/>
                            <w:bottom w:val="none" w:sz="0" w:space="0" w:color="auto"/>
                            <w:right w:val="none" w:sz="0" w:space="0" w:color="auto"/>
                          </w:divBdr>
                        </w:div>
                      </w:divsChild>
                    </w:div>
                    <w:div w:id="1298414994">
                      <w:marLeft w:val="0"/>
                      <w:marRight w:val="0"/>
                      <w:marTop w:val="0"/>
                      <w:marBottom w:val="0"/>
                      <w:divBdr>
                        <w:top w:val="none" w:sz="0" w:space="0" w:color="auto"/>
                        <w:left w:val="none" w:sz="0" w:space="0" w:color="auto"/>
                        <w:bottom w:val="none" w:sz="0" w:space="0" w:color="auto"/>
                        <w:right w:val="none" w:sz="0" w:space="0" w:color="auto"/>
                      </w:divBdr>
                      <w:divsChild>
                        <w:div w:id="797147045">
                          <w:marLeft w:val="0"/>
                          <w:marRight w:val="0"/>
                          <w:marTop w:val="0"/>
                          <w:marBottom w:val="0"/>
                          <w:divBdr>
                            <w:top w:val="none" w:sz="0" w:space="0" w:color="auto"/>
                            <w:left w:val="none" w:sz="0" w:space="0" w:color="auto"/>
                            <w:bottom w:val="none" w:sz="0" w:space="0" w:color="auto"/>
                            <w:right w:val="none" w:sz="0" w:space="0" w:color="auto"/>
                          </w:divBdr>
                          <w:divsChild>
                            <w:div w:id="485975679">
                              <w:marLeft w:val="0"/>
                              <w:marRight w:val="0"/>
                              <w:marTop w:val="0"/>
                              <w:marBottom w:val="0"/>
                              <w:divBdr>
                                <w:top w:val="none" w:sz="0" w:space="0" w:color="auto"/>
                                <w:left w:val="none" w:sz="0" w:space="0" w:color="auto"/>
                                <w:bottom w:val="none" w:sz="0" w:space="0" w:color="auto"/>
                                <w:right w:val="none" w:sz="0" w:space="0" w:color="auto"/>
                              </w:divBdr>
                            </w:div>
                          </w:divsChild>
                        </w:div>
                        <w:div w:id="591016265">
                          <w:marLeft w:val="0"/>
                          <w:marRight w:val="0"/>
                          <w:marTop w:val="0"/>
                          <w:marBottom w:val="0"/>
                          <w:divBdr>
                            <w:top w:val="none" w:sz="0" w:space="0" w:color="auto"/>
                            <w:left w:val="none" w:sz="0" w:space="0" w:color="auto"/>
                            <w:bottom w:val="none" w:sz="0" w:space="0" w:color="auto"/>
                            <w:right w:val="none" w:sz="0" w:space="0" w:color="auto"/>
                          </w:divBdr>
                          <w:divsChild>
                            <w:div w:id="583076405">
                              <w:marLeft w:val="0"/>
                              <w:marRight w:val="0"/>
                              <w:marTop w:val="0"/>
                              <w:marBottom w:val="450"/>
                              <w:divBdr>
                                <w:top w:val="none" w:sz="0" w:space="0" w:color="auto"/>
                                <w:left w:val="none" w:sz="0" w:space="0" w:color="auto"/>
                                <w:bottom w:val="none" w:sz="0" w:space="0" w:color="auto"/>
                                <w:right w:val="none" w:sz="0" w:space="0" w:color="auto"/>
                              </w:divBdr>
                              <w:divsChild>
                                <w:div w:id="20324853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2979906">
      <w:bodyDiv w:val="1"/>
      <w:marLeft w:val="0"/>
      <w:marRight w:val="0"/>
      <w:marTop w:val="0"/>
      <w:marBottom w:val="0"/>
      <w:divBdr>
        <w:top w:val="none" w:sz="0" w:space="0" w:color="auto"/>
        <w:left w:val="none" w:sz="0" w:space="0" w:color="auto"/>
        <w:bottom w:val="none" w:sz="0" w:space="0" w:color="auto"/>
        <w:right w:val="none" w:sz="0" w:space="0" w:color="auto"/>
      </w:divBdr>
      <w:divsChild>
        <w:div w:id="2104448640">
          <w:marLeft w:val="0"/>
          <w:marRight w:val="0"/>
          <w:marTop w:val="0"/>
          <w:marBottom w:val="0"/>
          <w:divBdr>
            <w:top w:val="none" w:sz="0" w:space="0" w:color="auto"/>
            <w:left w:val="none" w:sz="0" w:space="0" w:color="auto"/>
            <w:bottom w:val="none" w:sz="0" w:space="0" w:color="auto"/>
            <w:right w:val="none" w:sz="0" w:space="0" w:color="auto"/>
          </w:divBdr>
          <w:divsChild>
            <w:div w:id="1668249018">
              <w:marLeft w:val="0"/>
              <w:marRight w:val="0"/>
              <w:marTop w:val="0"/>
              <w:marBottom w:val="0"/>
              <w:divBdr>
                <w:top w:val="none" w:sz="0" w:space="0" w:color="auto"/>
                <w:left w:val="none" w:sz="0" w:space="0" w:color="auto"/>
                <w:bottom w:val="none" w:sz="0" w:space="0" w:color="auto"/>
                <w:right w:val="none" w:sz="0" w:space="0" w:color="auto"/>
              </w:divBdr>
              <w:divsChild>
                <w:div w:id="1224216603">
                  <w:marLeft w:val="0"/>
                  <w:marRight w:val="0"/>
                  <w:marTop w:val="0"/>
                  <w:marBottom w:val="0"/>
                  <w:divBdr>
                    <w:top w:val="none" w:sz="0" w:space="0" w:color="auto"/>
                    <w:left w:val="none" w:sz="0" w:space="0" w:color="auto"/>
                    <w:bottom w:val="none" w:sz="0" w:space="0" w:color="auto"/>
                    <w:right w:val="none" w:sz="0" w:space="0" w:color="auto"/>
                  </w:divBdr>
                  <w:divsChild>
                    <w:div w:id="1568299580">
                      <w:marLeft w:val="0"/>
                      <w:marRight w:val="0"/>
                      <w:marTop w:val="0"/>
                      <w:marBottom w:val="0"/>
                      <w:divBdr>
                        <w:top w:val="none" w:sz="0" w:space="0" w:color="auto"/>
                        <w:left w:val="none" w:sz="0" w:space="0" w:color="auto"/>
                        <w:bottom w:val="none" w:sz="0" w:space="0" w:color="auto"/>
                        <w:right w:val="none" w:sz="0" w:space="0" w:color="auto"/>
                      </w:divBdr>
                      <w:divsChild>
                        <w:div w:id="816068187">
                          <w:marLeft w:val="0"/>
                          <w:marRight w:val="0"/>
                          <w:marTop w:val="0"/>
                          <w:marBottom w:val="0"/>
                          <w:divBdr>
                            <w:top w:val="none" w:sz="0" w:space="0" w:color="auto"/>
                            <w:left w:val="none" w:sz="0" w:space="0" w:color="auto"/>
                            <w:bottom w:val="none" w:sz="0" w:space="0" w:color="auto"/>
                            <w:right w:val="none" w:sz="0" w:space="0" w:color="auto"/>
                          </w:divBdr>
                          <w:divsChild>
                            <w:div w:id="1591280044">
                              <w:marLeft w:val="0"/>
                              <w:marRight w:val="0"/>
                              <w:marTop w:val="0"/>
                              <w:marBottom w:val="0"/>
                              <w:divBdr>
                                <w:top w:val="none" w:sz="0" w:space="0" w:color="auto"/>
                                <w:left w:val="none" w:sz="0" w:space="0" w:color="auto"/>
                                <w:bottom w:val="none" w:sz="0" w:space="0" w:color="auto"/>
                                <w:right w:val="none" w:sz="0" w:space="0" w:color="auto"/>
                              </w:divBdr>
                              <w:divsChild>
                                <w:div w:id="1494680212">
                                  <w:marLeft w:val="0"/>
                                  <w:marRight w:val="0"/>
                                  <w:marTop w:val="0"/>
                                  <w:marBottom w:val="0"/>
                                  <w:divBdr>
                                    <w:top w:val="none" w:sz="0" w:space="0" w:color="auto"/>
                                    <w:left w:val="none" w:sz="0" w:space="0" w:color="auto"/>
                                    <w:bottom w:val="none" w:sz="0" w:space="0" w:color="auto"/>
                                    <w:right w:val="none" w:sz="0" w:space="0" w:color="auto"/>
                                  </w:divBdr>
                                  <w:divsChild>
                                    <w:div w:id="1534267812">
                                      <w:marLeft w:val="0"/>
                                      <w:marRight w:val="0"/>
                                      <w:marTop w:val="0"/>
                                      <w:marBottom w:val="0"/>
                                      <w:divBdr>
                                        <w:top w:val="none" w:sz="0" w:space="0" w:color="auto"/>
                                        <w:left w:val="none" w:sz="0" w:space="0" w:color="auto"/>
                                        <w:bottom w:val="none" w:sz="0" w:space="0" w:color="auto"/>
                                        <w:right w:val="none" w:sz="0" w:space="0" w:color="auto"/>
                                      </w:divBdr>
                                      <w:divsChild>
                                        <w:div w:id="128615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3097399">
      <w:bodyDiv w:val="1"/>
      <w:marLeft w:val="0"/>
      <w:marRight w:val="0"/>
      <w:marTop w:val="0"/>
      <w:marBottom w:val="0"/>
      <w:divBdr>
        <w:top w:val="none" w:sz="0" w:space="0" w:color="auto"/>
        <w:left w:val="none" w:sz="0" w:space="0" w:color="auto"/>
        <w:bottom w:val="none" w:sz="0" w:space="0" w:color="auto"/>
        <w:right w:val="none" w:sz="0" w:space="0" w:color="auto"/>
      </w:divBdr>
    </w:div>
    <w:div w:id="343433742">
      <w:bodyDiv w:val="1"/>
      <w:marLeft w:val="0"/>
      <w:marRight w:val="0"/>
      <w:marTop w:val="0"/>
      <w:marBottom w:val="0"/>
      <w:divBdr>
        <w:top w:val="none" w:sz="0" w:space="0" w:color="auto"/>
        <w:left w:val="none" w:sz="0" w:space="0" w:color="auto"/>
        <w:bottom w:val="none" w:sz="0" w:space="0" w:color="auto"/>
        <w:right w:val="none" w:sz="0" w:space="0" w:color="auto"/>
      </w:divBdr>
      <w:divsChild>
        <w:div w:id="183131405">
          <w:marLeft w:val="0"/>
          <w:marRight w:val="0"/>
          <w:marTop w:val="0"/>
          <w:marBottom w:val="150"/>
          <w:divBdr>
            <w:top w:val="none" w:sz="0" w:space="0" w:color="auto"/>
            <w:left w:val="none" w:sz="0" w:space="0" w:color="auto"/>
            <w:bottom w:val="none" w:sz="0" w:space="0" w:color="auto"/>
            <w:right w:val="none" w:sz="0" w:space="0" w:color="auto"/>
          </w:divBdr>
        </w:div>
        <w:div w:id="1435982147">
          <w:marLeft w:val="0"/>
          <w:marRight w:val="0"/>
          <w:marTop w:val="0"/>
          <w:marBottom w:val="150"/>
          <w:divBdr>
            <w:top w:val="none" w:sz="0" w:space="0" w:color="auto"/>
            <w:left w:val="none" w:sz="0" w:space="0" w:color="auto"/>
            <w:bottom w:val="none" w:sz="0" w:space="0" w:color="auto"/>
            <w:right w:val="none" w:sz="0" w:space="0" w:color="auto"/>
          </w:divBdr>
          <w:divsChild>
            <w:div w:id="719667213">
              <w:marLeft w:val="0"/>
              <w:marRight w:val="0"/>
              <w:marTop w:val="0"/>
              <w:marBottom w:val="0"/>
              <w:divBdr>
                <w:top w:val="none" w:sz="0" w:space="0" w:color="auto"/>
                <w:left w:val="none" w:sz="0" w:space="0" w:color="auto"/>
                <w:bottom w:val="none" w:sz="0" w:space="0" w:color="auto"/>
                <w:right w:val="none" w:sz="0" w:space="0" w:color="auto"/>
              </w:divBdr>
            </w:div>
          </w:divsChild>
        </w:div>
        <w:div w:id="1694190951">
          <w:marLeft w:val="0"/>
          <w:marRight w:val="0"/>
          <w:marTop w:val="0"/>
          <w:marBottom w:val="0"/>
          <w:divBdr>
            <w:top w:val="none" w:sz="0" w:space="0" w:color="auto"/>
            <w:left w:val="none" w:sz="0" w:space="0" w:color="auto"/>
            <w:bottom w:val="none" w:sz="0" w:space="0" w:color="auto"/>
            <w:right w:val="none" w:sz="0" w:space="0" w:color="auto"/>
          </w:divBdr>
          <w:divsChild>
            <w:div w:id="189287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478220">
      <w:bodyDiv w:val="1"/>
      <w:marLeft w:val="0"/>
      <w:marRight w:val="0"/>
      <w:marTop w:val="0"/>
      <w:marBottom w:val="0"/>
      <w:divBdr>
        <w:top w:val="none" w:sz="0" w:space="0" w:color="auto"/>
        <w:left w:val="none" w:sz="0" w:space="0" w:color="auto"/>
        <w:bottom w:val="none" w:sz="0" w:space="0" w:color="auto"/>
        <w:right w:val="none" w:sz="0" w:space="0" w:color="auto"/>
      </w:divBdr>
      <w:divsChild>
        <w:div w:id="609824460">
          <w:marLeft w:val="0"/>
          <w:marRight w:val="0"/>
          <w:marTop w:val="0"/>
          <w:marBottom w:val="150"/>
          <w:divBdr>
            <w:top w:val="none" w:sz="0" w:space="0" w:color="auto"/>
            <w:left w:val="none" w:sz="0" w:space="0" w:color="auto"/>
            <w:bottom w:val="none" w:sz="0" w:space="0" w:color="auto"/>
            <w:right w:val="none" w:sz="0" w:space="0" w:color="auto"/>
          </w:divBdr>
        </w:div>
        <w:div w:id="2137210621">
          <w:marLeft w:val="0"/>
          <w:marRight w:val="0"/>
          <w:marTop w:val="0"/>
          <w:marBottom w:val="0"/>
          <w:divBdr>
            <w:top w:val="none" w:sz="0" w:space="0" w:color="auto"/>
            <w:left w:val="none" w:sz="0" w:space="0" w:color="auto"/>
            <w:bottom w:val="none" w:sz="0" w:space="0" w:color="auto"/>
            <w:right w:val="none" w:sz="0" w:space="0" w:color="auto"/>
          </w:divBdr>
        </w:div>
      </w:divsChild>
    </w:div>
    <w:div w:id="343482297">
      <w:bodyDiv w:val="1"/>
      <w:marLeft w:val="0"/>
      <w:marRight w:val="0"/>
      <w:marTop w:val="0"/>
      <w:marBottom w:val="0"/>
      <w:divBdr>
        <w:top w:val="none" w:sz="0" w:space="0" w:color="auto"/>
        <w:left w:val="none" w:sz="0" w:space="0" w:color="auto"/>
        <w:bottom w:val="none" w:sz="0" w:space="0" w:color="auto"/>
        <w:right w:val="none" w:sz="0" w:space="0" w:color="auto"/>
      </w:divBdr>
      <w:divsChild>
        <w:div w:id="355346932">
          <w:marLeft w:val="0"/>
          <w:marRight w:val="0"/>
          <w:marTop w:val="0"/>
          <w:marBottom w:val="0"/>
          <w:divBdr>
            <w:top w:val="none" w:sz="0" w:space="0" w:color="auto"/>
            <w:left w:val="none" w:sz="0" w:space="0" w:color="auto"/>
            <w:bottom w:val="none" w:sz="0" w:space="0" w:color="auto"/>
            <w:right w:val="none" w:sz="0" w:space="0" w:color="auto"/>
          </w:divBdr>
          <w:divsChild>
            <w:div w:id="792556528">
              <w:marLeft w:val="0"/>
              <w:marRight w:val="0"/>
              <w:marTop w:val="0"/>
              <w:marBottom w:val="150"/>
              <w:divBdr>
                <w:top w:val="none" w:sz="0" w:space="0" w:color="auto"/>
                <w:left w:val="none" w:sz="0" w:space="0" w:color="auto"/>
                <w:bottom w:val="none" w:sz="0" w:space="0" w:color="auto"/>
                <w:right w:val="none" w:sz="0" w:space="0" w:color="auto"/>
              </w:divBdr>
            </w:div>
            <w:div w:id="2026053178">
              <w:marLeft w:val="0"/>
              <w:marRight w:val="0"/>
              <w:marTop w:val="0"/>
              <w:marBottom w:val="0"/>
              <w:divBdr>
                <w:top w:val="none" w:sz="0" w:space="0" w:color="auto"/>
                <w:left w:val="none" w:sz="0" w:space="0" w:color="auto"/>
                <w:bottom w:val="none" w:sz="0" w:space="0" w:color="auto"/>
                <w:right w:val="none" w:sz="0" w:space="0" w:color="auto"/>
              </w:divBdr>
              <w:divsChild>
                <w:div w:id="65287543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62596294">
          <w:marLeft w:val="0"/>
          <w:marRight w:val="0"/>
          <w:marTop w:val="0"/>
          <w:marBottom w:val="150"/>
          <w:divBdr>
            <w:top w:val="none" w:sz="0" w:space="0" w:color="auto"/>
            <w:left w:val="none" w:sz="0" w:space="0" w:color="auto"/>
            <w:bottom w:val="none" w:sz="0" w:space="0" w:color="auto"/>
            <w:right w:val="none" w:sz="0" w:space="0" w:color="auto"/>
          </w:divBdr>
          <w:divsChild>
            <w:div w:id="214239267">
              <w:marLeft w:val="0"/>
              <w:marRight w:val="0"/>
              <w:marTop w:val="0"/>
              <w:marBottom w:val="0"/>
              <w:divBdr>
                <w:top w:val="none" w:sz="0" w:space="0" w:color="auto"/>
                <w:left w:val="none" w:sz="0" w:space="0" w:color="auto"/>
                <w:bottom w:val="none" w:sz="0" w:space="0" w:color="auto"/>
                <w:right w:val="none" w:sz="0" w:space="0" w:color="auto"/>
              </w:divBdr>
              <w:divsChild>
                <w:div w:id="118694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483888">
      <w:bodyDiv w:val="1"/>
      <w:marLeft w:val="0"/>
      <w:marRight w:val="0"/>
      <w:marTop w:val="0"/>
      <w:marBottom w:val="0"/>
      <w:divBdr>
        <w:top w:val="none" w:sz="0" w:space="0" w:color="auto"/>
        <w:left w:val="none" w:sz="0" w:space="0" w:color="auto"/>
        <w:bottom w:val="none" w:sz="0" w:space="0" w:color="auto"/>
        <w:right w:val="none" w:sz="0" w:space="0" w:color="auto"/>
      </w:divBdr>
      <w:divsChild>
        <w:div w:id="1804734692">
          <w:marLeft w:val="0"/>
          <w:marRight w:val="0"/>
          <w:marTop w:val="0"/>
          <w:marBottom w:val="0"/>
          <w:divBdr>
            <w:top w:val="none" w:sz="0" w:space="0" w:color="auto"/>
            <w:left w:val="none" w:sz="0" w:space="0" w:color="auto"/>
            <w:bottom w:val="dotted" w:sz="6" w:space="4" w:color="DDDDDD"/>
            <w:right w:val="none" w:sz="0" w:space="0" w:color="auto"/>
          </w:divBdr>
          <w:divsChild>
            <w:div w:id="193698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6039">
      <w:bodyDiv w:val="1"/>
      <w:marLeft w:val="0"/>
      <w:marRight w:val="0"/>
      <w:marTop w:val="0"/>
      <w:marBottom w:val="0"/>
      <w:divBdr>
        <w:top w:val="none" w:sz="0" w:space="0" w:color="auto"/>
        <w:left w:val="none" w:sz="0" w:space="0" w:color="auto"/>
        <w:bottom w:val="none" w:sz="0" w:space="0" w:color="auto"/>
        <w:right w:val="none" w:sz="0" w:space="0" w:color="auto"/>
      </w:divBdr>
    </w:div>
    <w:div w:id="344786846">
      <w:bodyDiv w:val="1"/>
      <w:marLeft w:val="0"/>
      <w:marRight w:val="0"/>
      <w:marTop w:val="0"/>
      <w:marBottom w:val="0"/>
      <w:divBdr>
        <w:top w:val="none" w:sz="0" w:space="0" w:color="auto"/>
        <w:left w:val="none" w:sz="0" w:space="0" w:color="auto"/>
        <w:bottom w:val="none" w:sz="0" w:space="0" w:color="auto"/>
        <w:right w:val="none" w:sz="0" w:space="0" w:color="auto"/>
      </w:divBdr>
    </w:div>
    <w:div w:id="344863529">
      <w:bodyDiv w:val="1"/>
      <w:marLeft w:val="0"/>
      <w:marRight w:val="0"/>
      <w:marTop w:val="0"/>
      <w:marBottom w:val="0"/>
      <w:divBdr>
        <w:top w:val="none" w:sz="0" w:space="0" w:color="auto"/>
        <w:left w:val="none" w:sz="0" w:space="0" w:color="auto"/>
        <w:bottom w:val="none" w:sz="0" w:space="0" w:color="auto"/>
        <w:right w:val="none" w:sz="0" w:space="0" w:color="auto"/>
      </w:divBdr>
    </w:div>
    <w:div w:id="344982977">
      <w:bodyDiv w:val="1"/>
      <w:marLeft w:val="0"/>
      <w:marRight w:val="0"/>
      <w:marTop w:val="0"/>
      <w:marBottom w:val="0"/>
      <w:divBdr>
        <w:top w:val="none" w:sz="0" w:space="0" w:color="auto"/>
        <w:left w:val="none" w:sz="0" w:space="0" w:color="auto"/>
        <w:bottom w:val="none" w:sz="0" w:space="0" w:color="auto"/>
        <w:right w:val="none" w:sz="0" w:space="0" w:color="auto"/>
      </w:divBdr>
      <w:divsChild>
        <w:div w:id="1835603703">
          <w:marLeft w:val="0"/>
          <w:marRight w:val="0"/>
          <w:marTop w:val="0"/>
          <w:marBottom w:val="0"/>
          <w:divBdr>
            <w:top w:val="none" w:sz="0" w:space="0" w:color="auto"/>
            <w:left w:val="none" w:sz="0" w:space="0" w:color="auto"/>
            <w:bottom w:val="none" w:sz="0" w:space="0" w:color="auto"/>
            <w:right w:val="none" w:sz="0" w:space="0" w:color="auto"/>
          </w:divBdr>
        </w:div>
      </w:divsChild>
    </w:div>
    <w:div w:id="345139281">
      <w:bodyDiv w:val="1"/>
      <w:marLeft w:val="0"/>
      <w:marRight w:val="0"/>
      <w:marTop w:val="0"/>
      <w:marBottom w:val="0"/>
      <w:divBdr>
        <w:top w:val="none" w:sz="0" w:space="0" w:color="auto"/>
        <w:left w:val="none" w:sz="0" w:space="0" w:color="auto"/>
        <w:bottom w:val="none" w:sz="0" w:space="0" w:color="auto"/>
        <w:right w:val="none" w:sz="0" w:space="0" w:color="auto"/>
      </w:divBdr>
      <w:divsChild>
        <w:div w:id="1292323886">
          <w:marLeft w:val="0"/>
          <w:marRight w:val="0"/>
          <w:marTop w:val="0"/>
          <w:marBottom w:val="150"/>
          <w:divBdr>
            <w:top w:val="none" w:sz="0" w:space="0" w:color="auto"/>
            <w:left w:val="none" w:sz="0" w:space="0" w:color="auto"/>
            <w:bottom w:val="none" w:sz="0" w:space="0" w:color="auto"/>
            <w:right w:val="none" w:sz="0" w:space="0" w:color="auto"/>
          </w:divBdr>
        </w:div>
        <w:div w:id="1507819082">
          <w:marLeft w:val="0"/>
          <w:marRight w:val="0"/>
          <w:marTop w:val="0"/>
          <w:marBottom w:val="0"/>
          <w:divBdr>
            <w:top w:val="none" w:sz="0" w:space="0" w:color="auto"/>
            <w:left w:val="none" w:sz="0" w:space="0" w:color="auto"/>
            <w:bottom w:val="none" w:sz="0" w:space="0" w:color="auto"/>
            <w:right w:val="none" w:sz="0" w:space="0" w:color="auto"/>
          </w:divBdr>
          <w:divsChild>
            <w:div w:id="1384595860">
              <w:marLeft w:val="0"/>
              <w:marRight w:val="0"/>
              <w:marTop w:val="225"/>
              <w:marBottom w:val="225"/>
              <w:divBdr>
                <w:top w:val="none" w:sz="0" w:space="0" w:color="auto"/>
                <w:left w:val="none" w:sz="0" w:space="0" w:color="auto"/>
                <w:bottom w:val="none" w:sz="0" w:space="0" w:color="auto"/>
                <w:right w:val="none" w:sz="0" w:space="0" w:color="auto"/>
              </w:divBdr>
            </w:div>
          </w:divsChild>
        </w:div>
        <w:div w:id="1729568288">
          <w:marLeft w:val="0"/>
          <w:marRight w:val="0"/>
          <w:marTop w:val="0"/>
          <w:marBottom w:val="150"/>
          <w:divBdr>
            <w:top w:val="none" w:sz="0" w:space="0" w:color="auto"/>
            <w:left w:val="none" w:sz="0" w:space="0" w:color="auto"/>
            <w:bottom w:val="none" w:sz="0" w:space="0" w:color="auto"/>
            <w:right w:val="none" w:sz="0" w:space="0" w:color="auto"/>
          </w:divBdr>
          <w:divsChild>
            <w:div w:id="1436486736">
              <w:marLeft w:val="0"/>
              <w:marRight w:val="0"/>
              <w:marTop w:val="0"/>
              <w:marBottom w:val="0"/>
              <w:divBdr>
                <w:top w:val="none" w:sz="0" w:space="0" w:color="auto"/>
                <w:left w:val="none" w:sz="0" w:space="0" w:color="auto"/>
                <w:bottom w:val="none" w:sz="0" w:space="0" w:color="auto"/>
                <w:right w:val="none" w:sz="0" w:space="0" w:color="auto"/>
              </w:divBdr>
              <w:divsChild>
                <w:div w:id="105816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668316">
      <w:bodyDiv w:val="1"/>
      <w:marLeft w:val="0"/>
      <w:marRight w:val="0"/>
      <w:marTop w:val="0"/>
      <w:marBottom w:val="0"/>
      <w:divBdr>
        <w:top w:val="none" w:sz="0" w:space="0" w:color="auto"/>
        <w:left w:val="none" w:sz="0" w:space="0" w:color="auto"/>
        <w:bottom w:val="none" w:sz="0" w:space="0" w:color="auto"/>
        <w:right w:val="none" w:sz="0" w:space="0" w:color="auto"/>
      </w:divBdr>
      <w:divsChild>
        <w:div w:id="1963070933">
          <w:marLeft w:val="0"/>
          <w:marRight w:val="0"/>
          <w:marTop w:val="0"/>
          <w:marBottom w:val="150"/>
          <w:divBdr>
            <w:top w:val="none" w:sz="0" w:space="0" w:color="auto"/>
            <w:left w:val="none" w:sz="0" w:space="0" w:color="auto"/>
            <w:bottom w:val="none" w:sz="0" w:space="0" w:color="auto"/>
            <w:right w:val="none" w:sz="0" w:space="0" w:color="auto"/>
          </w:divBdr>
        </w:div>
      </w:divsChild>
    </w:div>
    <w:div w:id="345718569">
      <w:bodyDiv w:val="1"/>
      <w:marLeft w:val="0"/>
      <w:marRight w:val="0"/>
      <w:marTop w:val="0"/>
      <w:marBottom w:val="0"/>
      <w:divBdr>
        <w:top w:val="none" w:sz="0" w:space="0" w:color="auto"/>
        <w:left w:val="none" w:sz="0" w:space="0" w:color="auto"/>
        <w:bottom w:val="none" w:sz="0" w:space="0" w:color="auto"/>
        <w:right w:val="none" w:sz="0" w:space="0" w:color="auto"/>
      </w:divBdr>
      <w:divsChild>
        <w:div w:id="1624535469">
          <w:marLeft w:val="0"/>
          <w:marRight w:val="0"/>
          <w:marTop w:val="0"/>
          <w:marBottom w:val="150"/>
          <w:divBdr>
            <w:top w:val="none" w:sz="0" w:space="0" w:color="auto"/>
            <w:left w:val="none" w:sz="0" w:space="0" w:color="auto"/>
            <w:bottom w:val="none" w:sz="0" w:space="0" w:color="auto"/>
            <w:right w:val="none" w:sz="0" w:space="0" w:color="auto"/>
          </w:divBdr>
        </w:div>
      </w:divsChild>
    </w:div>
    <w:div w:id="345985656">
      <w:bodyDiv w:val="1"/>
      <w:marLeft w:val="0"/>
      <w:marRight w:val="0"/>
      <w:marTop w:val="0"/>
      <w:marBottom w:val="0"/>
      <w:divBdr>
        <w:top w:val="none" w:sz="0" w:space="0" w:color="auto"/>
        <w:left w:val="none" w:sz="0" w:space="0" w:color="auto"/>
        <w:bottom w:val="none" w:sz="0" w:space="0" w:color="auto"/>
        <w:right w:val="none" w:sz="0" w:space="0" w:color="auto"/>
      </w:divBdr>
      <w:divsChild>
        <w:div w:id="1650480750">
          <w:marLeft w:val="0"/>
          <w:marRight w:val="0"/>
          <w:marTop w:val="0"/>
          <w:marBottom w:val="150"/>
          <w:divBdr>
            <w:top w:val="none" w:sz="0" w:space="0" w:color="auto"/>
            <w:left w:val="none" w:sz="0" w:space="0" w:color="auto"/>
            <w:bottom w:val="none" w:sz="0" w:space="0" w:color="auto"/>
            <w:right w:val="none" w:sz="0" w:space="0" w:color="auto"/>
          </w:divBdr>
        </w:div>
        <w:div w:id="1743331361">
          <w:marLeft w:val="0"/>
          <w:marRight w:val="0"/>
          <w:marTop w:val="0"/>
          <w:marBottom w:val="0"/>
          <w:divBdr>
            <w:top w:val="none" w:sz="0" w:space="0" w:color="auto"/>
            <w:left w:val="none" w:sz="0" w:space="0" w:color="auto"/>
            <w:bottom w:val="none" w:sz="0" w:space="0" w:color="auto"/>
            <w:right w:val="none" w:sz="0" w:space="0" w:color="auto"/>
          </w:divBdr>
        </w:div>
      </w:divsChild>
    </w:div>
    <w:div w:id="346297345">
      <w:bodyDiv w:val="1"/>
      <w:marLeft w:val="0"/>
      <w:marRight w:val="0"/>
      <w:marTop w:val="0"/>
      <w:marBottom w:val="0"/>
      <w:divBdr>
        <w:top w:val="none" w:sz="0" w:space="0" w:color="auto"/>
        <w:left w:val="none" w:sz="0" w:space="0" w:color="auto"/>
        <w:bottom w:val="none" w:sz="0" w:space="0" w:color="auto"/>
        <w:right w:val="none" w:sz="0" w:space="0" w:color="auto"/>
      </w:divBdr>
      <w:divsChild>
        <w:div w:id="1537625017">
          <w:marLeft w:val="0"/>
          <w:marRight w:val="0"/>
          <w:marTop w:val="0"/>
          <w:marBottom w:val="0"/>
          <w:divBdr>
            <w:top w:val="none" w:sz="0" w:space="0" w:color="auto"/>
            <w:left w:val="none" w:sz="0" w:space="0" w:color="auto"/>
            <w:bottom w:val="none" w:sz="0" w:space="0" w:color="auto"/>
            <w:right w:val="none" w:sz="0" w:space="0" w:color="auto"/>
          </w:divBdr>
          <w:divsChild>
            <w:div w:id="580256884">
              <w:marLeft w:val="0"/>
              <w:marRight w:val="0"/>
              <w:marTop w:val="0"/>
              <w:marBottom w:val="0"/>
              <w:divBdr>
                <w:top w:val="none" w:sz="0" w:space="0" w:color="auto"/>
                <w:left w:val="none" w:sz="0" w:space="0" w:color="auto"/>
                <w:bottom w:val="none" w:sz="0" w:space="0" w:color="auto"/>
                <w:right w:val="none" w:sz="0" w:space="0" w:color="auto"/>
              </w:divBdr>
              <w:divsChild>
                <w:div w:id="1341590246">
                  <w:marLeft w:val="0"/>
                  <w:marRight w:val="0"/>
                  <w:marTop w:val="0"/>
                  <w:marBottom w:val="0"/>
                  <w:divBdr>
                    <w:top w:val="none" w:sz="0" w:space="0" w:color="auto"/>
                    <w:left w:val="none" w:sz="0" w:space="0" w:color="auto"/>
                    <w:bottom w:val="none" w:sz="0" w:space="0" w:color="auto"/>
                    <w:right w:val="none" w:sz="0" w:space="0" w:color="auto"/>
                  </w:divBdr>
                  <w:divsChild>
                    <w:div w:id="81074877">
                      <w:marLeft w:val="0"/>
                      <w:marRight w:val="0"/>
                      <w:marTop w:val="0"/>
                      <w:marBottom w:val="0"/>
                      <w:divBdr>
                        <w:top w:val="none" w:sz="0" w:space="0" w:color="auto"/>
                        <w:left w:val="none" w:sz="0" w:space="0" w:color="auto"/>
                        <w:bottom w:val="none" w:sz="0" w:space="0" w:color="auto"/>
                        <w:right w:val="none" w:sz="0" w:space="0" w:color="auto"/>
                      </w:divBdr>
                      <w:divsChild>
                        <w:div w:id="586503374">
                          <w:marLeft w:val="0"/>
                          <w:marRight w:val="0"/>
                          <w:marTop w:val="0"/>
                          <w:marBottom w:val="0"/>
                          <w:divBdr>
                            <w:top w:val="none" w:sz="0" w:space="0" w:color="auto"/>
                            <w:left w:val="none" w:sz="0" w:space="0" w:color="auto"/>
                            <w:bottom w:val="none" w:sz="0" w:space="0" w:color="auto"/>
                            <w:right w:val="none" w:sz="0" w:space="0" w:color="auto"/>
                          </w:divBdr>
                          <w:divsChild>
                            <w:div w:id="1428968288">
                              <w:marLeft w:val="0"/>
                              <w:marRight w:val="0"/>
                              <w:marTop w:val="0"/>
                              <w:marBottom w:val="0"/>
                              <w:divBdr>
                                <w:top w:val="none" w:sz="0" w:space="0" w:color="auto"/>
                                <w:left w:val="none" w:sz="0" w:space="0" w:color="auto"/>
                                <w:bottom w:val="none" w:sz="0" w:space="0" w:color="auto"/>
                                <w:right w:val="none" w:sz="0" w:space="0" w:color="auto"/>
                              </w:divBdr>
                              <w:divsChild>
                                <w:div w:id="463233607">
                                  <w:marLeft w:val="0"/>
                                  <w:marRight w:val="0"/>
                                  <w:marTop w:val="0"/>
                                  <w:marBottom w:val="0"/>
                                  <w:divBdr>
                                    <w:top w:val="none" w:sz="0" w:space="0" w:color="auto"/>
                                    <w:left w:val="none" w:sz="0" w:space="0" w:color="auto"/>
                                    <w:bottom w:val="none" w:sz="0" w:space="0" w:color="auto"/>
                                    <w:right w:val="none" w:sz="0" w:space="0" w:color="auto"/>
                                  </w:divBdr>
                                  <w:divsChild>
                                    <w:div w:id="65156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6903955">
      <w:bodyDiv w:val="1"/>
      <w:marLeft w:val="0"/>
      <w:marRight w:val="0"/>
      <w:marTop w:val="0"/>
      <w:marBottom w:val="0"/>
      <w:divBdr>
        <w:top w:val="none" w:sz="0" w:space="0" w:color="auto"/>
        <w:left w:val="none" w:sz="0" w:space="0" w:color="auto"/>
        <w:bottom w:val="none" w:sz="0" w:space="0" w:color="auto"/>
        <w:right w:val="none" w:sz="0" w:space="0" w:color="auto"/>
      </w:divBdr>
      <w:divsChild>
        <w:div w:id="536089124">
          <w:marLeft w:val="0"/>
          <w:marRight w:val="0"/>
          <w:marTop w:val="0"/>
          <w:marBottom w:val="450"/>
          <w:divBdr>
            <w:top w:val="none" w:sz="0" w:space="0" w:color="auto"/>
            <w:left w:val="none" w:sz="0" w:space="0" w:color="auto"/>
            <w:bottom w:val="single" w:sz="6" w:space="19" w:color="EEEEEE"/>
            <w:right w:val="none" w:sz="0" w:space="0" w:color="auto"/>
          </w:divBdr>
          <w:divsChild>
            <w:div w:id="218441525">
              <w:marLeft w:val="0"/>
              <w:marRight w:val="0"/>
              <w:marTop w:val="0"/>
              <w:marBottom w:val="150"/>
              <w:divBdr>
                <w:top w:val="none" w:sz="0" w:space="0" w:color="auto"/>
                <w:left w:val="none" w:sz="0" w:space="0" w:color="auto"/>
                <w:bottom w:val="none" w:sz="0" w:space="0" w:color="auto"/>
                <w:right w:val="none" w:sz="0" w:space="0" w:color="auto"/>
              </w:divBdr>
              <w:divsChild>
                <w:div w:id="862519476">
                  <w:marLeft w:val="0"/>
                  <w:marRight w:val="0"/>
                  <w:marTop w:val="0"/>
                  <w:marBottom w:val="0"/>
                  <w:divBdr>
                    <w:top w:val="none" w:sz="0" w:space="0" w:color="auto"/>
                    <w:left w:val="none" w:sz="0" w:space="0" w:color="auto"/>
                    <w:bottom w:val="none" w:sz="0" w:space="0" w:color="auto"/>
                    <w:right w:val="none" w:sz="0" w:space="0" w:color="auto"/>
                  </w:divBdr>
                </w:div>
              </w:divsChild>
            </w:div>
            <w:div w:id="772700746">
              <w:marLeft w:val="0"/>
              <w:marRight w:val="0"/>
              <w:marTop w:val="0"/>
              <w:marBottom w:val="0"/>
              <w:divBdr>
                <w:top w:val="none" w:sz="0" w:space="0" w:color="auto"/>
                <w:left w:val="none" w:sz="0" w:space="0" w:color="auto"/>
                <w:bottom w:val="none" w:sz="0" w:space="0" w:color="auto"/>
                <w:right w:val="none" w:sz="0" w:space="0" w:color="auto"/>
              </w:divBdr>
            </w:div>
          </w:divsChild>
        </w:div>
        <w:div w:id="231742253">
          <w:marLeft w:val="0"/>
          <w:marRight w:val="0"/>
          <w:marTop w:val="0"/>
          <w:marBottom w:val="0"/>
          <w:divBdr>
            <w:top w:val="none" w:sz="0" w:space="0" w:color="auto"/>
            <w:left w:val="none" w:sz="0" w:space="0" w:color="auto"/>
            <w:bottom w:val="none" w:sz="0" w:space="0" w:color="auto"/>
            <w:right w:val="none" w:sz="0" w:space="0" w:color="auto"/>
          </w:divBdr>
          <w:divsChild>
            <w:div w:id="70587657">
              <w:marLeft w:val="0"/>
              <w:marRight w:val="0"/>
              <w:marTop w:val="0"/>
              <w:marBottom w:val="0"/>
              <w:divBdr>
                <w:top w:val="none" w:sz="0" w:space="0" w:color="auto"/>
                <w:left w:val="none" w:sz="0" w:space="0" w:color="auto"/>
                <w:bottom w:val="none" w:sz="0" w:space="0" w:color="auto"/>
                <w:right w:val="none" w:sz="0" w:space="0" w:color="auto"/>
              </w:divBdr>
              <w:divsChild>
                <w:div w:id="205311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978651">
      <w:bodyDiv w:val="1"/>
      <w:marLeft w:val="0"/>
      <w:marRight w:val="0"/>
      <w:marTop w:val="0"/>
      <w:marBottom w:val="0"/>
      <w:divBdr>
        <w:top w:val="none" w:sz="0" w:space="0" w:color="auto"/>
        <w:left w:val="none" w:sz="0" w:space="0" w:color="auto"/>
        <w:bottom w:val="none" w:sz="0" w:space="0" w:color="auto"/>
        <w:right w:val="none" w:sz="0" w:space="0" w:color="auto"/>
      </w:divBdr>
      <w:divsChild>
        <w:div w:id="363211085">
          <w:marLeft w:val="0"/>
          <w:marRight w:val="0"/>
          <w:marTop w:val="0"/>
          <w:marBottom w:val="150"/>
          <w:divBdr>
            <w:top w:val="none" w:sz="0" w:space="0" w:color="auto"/>
            <w:left w:val="none" w:sz="0" w:space="0" w:color="auto"/>
            <w:bottom w:val="none" w:sz="0" w:space="0" w:color="auto"/>
            <w:right w:val="none" w:sz="0" w:space="0" w:color="auto"/>
          </w:divBdr>
        </w:div>
      </w:divsChild>
    </w:div>
    <w:div w:id="347679153">
      <w:bodyDiv w:val="1"/>
      <w:marLeft w:val="0"/>
      <w:marRight w:val="0"/>
      <w:marTop w:val="0"/>
      <w:marBottom w:val="0"/>
      <w:divBdr>
        <w:top w:val="none" w:sz="0" w:space="0" w:color="auto"/>
        <w:left w:val="none" w:sz="0" w:space="0" w:color="auto"/>
        <w:bottom w:val="none" w:sz="0" w:space="0" w:color="auto"/>
        <w:right w:val="none" w:sz="0" w:space="0" w:color="auto"/>
      </w:divBdr>
      <w:divsChild>
        <w:div w:id="621569378">
          <w:marLeft w:val="0"/>
          <w:marRight w:val="0"/>
          <w:marTop w:val="0"/>
          <w:marBottom w:val="0"/>
          <w:divBdr>
            <w:top w:val="none" w:sz="0" w:space="0" w:color="auto"/>
            <w:left w:val="none" w:sz="0" w:space="0" w:color="auto"/>
            <w:bottom w:val="dotted" w:sz="6" w:space="4" w:color="DDDDDD"/>
            <w:right w:val="none" w:sz="0" w:space="0" w:color="auto"/>
          </w:divBdr>
        </w:div>
      </w:divsChild>
    </w:div>
    <w:div w:id="347685122">
      <w:bodyDiv w:val="1"/>
      <w:marLeft w:val="0"/>
      <w:marRight w:val="0"/>
      <w:marTop w:val="0"/>
      <w:marBottom w:val="0"/>
      <w:divBdr>
        <w:top w:val="none" w:sz="0" w:space="0" w:color="auto"/>
        <w:left w:val="none" w:sz="0" w:space="0" w:color="auto"/>
        <w:bottom w:val="none" w:sz="0" w:space="0" w:color="auto"/>
        <w:right w:val="none" w:sz="0" w:space="0" w:color="auto"/>
      </w:divBdr>
      <w:divsChild>
        <w:div w:id="138767945">
          <w:marLeft w:val="0"/>
          <w:marRight w:val="0"/>
          <w:marTop w:val="0"/>
          <w:marBottom w:val="0"/>
          <w:divBdr>
            <w:top w:val="none" w:sz="0" w:space="0" w:color="auto"/>
            <w:left w:val="none" w:sz="0" w:space="0" w:color="auto"/>
            <w:bottom w:val="dotted" w:sz="6" w:space="4" w:color="DDDDDD"/>
            <w:right w:val="none" w:sz="0" w:space="0" w:color="auto"/>
          </w:divBdr>
          <w:divsChild>
            <w:div w:id="7336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26281">
      <w:bodyDiv w:val="1"/>
      <w:marLeft w:val="0"/>
      <w:marRight w:val="0"/>
      <w:marTop w:val="0"/>
      <w:marBottom w:val="0"/>
      <w:divBdr>
        <w:top w:val="none" w:sz="0" w:space="0" w:color="auto"/>
        <w:left w:val="none" w:sz="0" w:space="0" w:color="auto"/>
        <w:bottom w:val="none" w:sz="0" w:space="0" w:color="auto"/>
        <w:right w:val="none" w:sz="0" w:space="0" w:color="auto"/>
      </w:divBdr>
    </w:div>
    <w:div w:id="348026534">
      <w:bodyDiv w:val="1"/>
      <w:marLeft w:val="0"/>
      <w:marRight w:val="0"/>
      <w:marTop w:val="0"/>
      <w:marBottom w:val="0"/>
      <w:divBdr>
        <w:top w:val="none" w:sz="0" w:space="0" w:color="auto"/>
        <w:left w:val="none" w:sz="0" w:space="0" w:color="auto"/>
        <w:bottom w:val="none" w:sz="0" w:space="0" w:color="auto"/>
        <w:right w:val="none" w:sz="0" w:space="0" w:color="auto"/>
      </w:divBdr>
      <w:divsChild>
        <w:div w:id="617835321">
          <w:marLeft w:val="0"/>
          <w:marRight w:val="0"/>
          <w:marTop w:val="0"/>
          <w:marBottom w:val="0"/>
          <w:divBdr>
            <w:top w:val="none" w:sz="0" w:space="0" w:color="auto"/>
            <w:left w:val="none" w:sz="0" w:space="0" w:color="auto"/>
            <w:bottom w:val="dotted" w:sz="6" w:space="4" w:color="DDDDDD"/>
            <w:right w:val="none" w:sz="0" w:space="0" w:color="auto"/>
          </w:divBdr>
          <w:divsChild>
            <w:div w:id="1412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993170">
      <w:bodyDiv w:val="1"/>
      <w:marLeft w:val="0"/>
      <w:marRight w:val="0"/>
      <w:marTop w:val="0"/>
      <w:marBottom w:val="0"/>
      <w:divBdr>
        <w:top w:val="none" w:sz="0" w:space="0" w:color="auto"/>
        <w:left w:val="none" w:sz="0" w:space="0" w:color="auto"/>
        <w:bottom w:val="none" w:sz="0" w:space="0" w:color="auto"/>
        <w:right w:val="none" w:sz="0" w:space="0" w:color="auto"/>
      </w:divBdr>
      <w:divsChild>
        <w:div w:id="93325833">
          <w:marLeft w:val="0"/>
          <w:marRight w:val="0"/>
          <w:marTop w:val="0"/>
          <w:marBottom w:val="150"/>
          <w:divBdr>
            <w:top w:val="none" w:sz="0" w:space="0" w:color="auto"/>
            <w:left w:val="none" w:sz="0" w:space="0" w:color="auto"/>
            <w:bottom w:val="none" w:sz="0" w:space="0" w:color="auto"/>
            <w:right w:val="none" w:sz="0" w:space="0" w:color="auto"/>
          </w:divBdr>
        </w:div>
        <w:div w:id="625352052">
          <w:marLeft w:val="0"/>
          <w:marRight w:val="0"/>
          <w:marTop w:val="0"/>
          <w:marBottom w:val="150"/>
          <w:divBdr>
            <w:top w:val="none" w:sz="0" w:space="0" w:color="auto"/>
            <w:left w:val="none" w:sz="0" w:space="0" w:color="auto"/>
            <w:bottom w:val="none" w:sz="0" w:space="0" w:color="auto"/>
            <w:right w:val="none" w:sz="0" w:space="0" w:color="auto"/>
          </w:divBdr>
          <w:divsChild>
            <w:div w:id="2095930439">
              <w:marLeft w:val="0"/>
              <w:marRight w:val="0"/>
              <w:marTop w:val="0"/>
              <w:marBottom w:val="0"/>
              <w:divBdr>
                <w:top w:val="none" w:sz="0" w:space="0" w:color="auto"/>
                <w:left w:val="none" w:sz="0" w:space="0" w:color="auto"/>
                <w:bottom w:val="none" w:sz="0" w:space="0" w:color="auto"/>
                <w:right w:val="none" w:sz="0" w:space="0" w:color="auto"/>
              </w:divBdr>
            </w:div>
          </w:divsChild>
        </w:div>
        <w:div w:id="898249845">
          <w:marLeft w:val="0"/>
          <w:marRight w:val="0"/>
          <w:marTop w:val="0"/>
          <w:marBottom w:val="0"/>
          <w:divBdr>
            <w:top w:val="none" w:sz="0" w:space="0" w:color="auto"/>
            <w:left w:val="none" w:sz="0" w:space="0" w:color="auto"/>
            <w:bottom w:val="none" w:sz="0" w:space="0" w:color="auto"/>
            <w:right w:val="none" w:sz="0" w:space="0" w:color="auto"/>
          </w:divBdr>
          <w:divsChild>
            <w:div w:id="30408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067310">
      <w:bodyDiv w:val="1"/>
      <w:marLeft w:val="0"/>
      <w:marRight w:val="0"/>
      <w:marTop w:val="0"/>
      <w:marBottom w:val="0"/>
      <w:divBdr>
        <w:top w:val="none" w:sz="0" w:space="0" w:color="auto"/>
        <w:left w:val="none" w:sz="0" w:space="0" w:color="auto"/>
        <w:bottom w:val="none" w:sz="0" w:space="0" w:color="auto"/>
        <w:right w:val="none" w:sz="0" w:space="0" w:color="auto"/>
      </w:divBdr>
      <w:divsChild>
        <w:div w:id="70930198">
          <w:marLeft w:val="0"/>
          <w:marRight w:val="0"/>
          <w:marTop w:val="0"/>
          <w:marBottom w:val="150"/>
          <w:divBdr>
            <w:top w:val="none" w:sz="0" w:space="0" w:color="auto"/>
            <w:left w:val="none" w:sz="0" w:space="0" w:color="auto"/>
            <w:bottom w:val="none" w:sz="0" w:space="0" w:color="auto"/>
            <w:right w:val="none" w:sz="0" w:space="0" w:color="auto"/>
          </w:divBdr>
        </w:div>
        <w:div w:id="529799266">
          <w:marLeft w:val="0"/>
          <w:marRight w:val="0"/>
          <w:marTop w:val="0"/>
          <w:marBottom w:val="150"/>
          <w:divBdr>
            <w:top w:val="none" w:sz="0" w:space="0" w:color="auto"/>
            <w:left w:val="none" w:sz="0" w:space="0" w:color="auto"/>
            <w:bottom w:val="none" w:sz="0" w:space="0" w:color="auto"/>
            <w:right w:val="none" w:sz="0" w:space="0" w:color="auto"/>
          </w:divBdr>
          <w:divsChild>
            <w:div w:id="197887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494398">
      <w:bodyDiv w:val="1"/>
      <w:marLeft w:val="0"/>
      <w:marRight w:val="0"/>
      <w:marTop w:val="0"/>
      <w:marBottom w:val="0"/>
      <w:divBdr>
        <w:top w:val="none" w:sz="0" w:space="0" w:color="auto"/>
        <w:left w:val="none" w:sz="0" w:space="0" w:color="auto"/>
        <w:bottom w:val="none" w:sz="0" w:space="0" w:color="auto"/>
        <w:right w:val="none" w:sz="0" w:space="0" w:color="auto"/>
      </w:divBdr>
      <w:divsChild>
        <w:div w:id="885947084">
          <w:marLeft w:val="0"/>
          <w:marRight w:val="0"/>
          <w:marTop w:val="0"/>
          <w:marBottom w:val="0"/>
          <w:divBdr>
            <w:top w:val="none" w:sz="0" w:space="0" w:color="auto"/>
            <w:left w:val="none" w:sz="0" w:space="0" w:color="auto"/>
            <w:bottom w:val="none" w:sz="0" w:space="0" w:color="auto"/>
            <w:right w:val="none" w:sz="0" w:space="0" w:color="auto"/>
          </w:divBdr>
          <w:divsChild>
            <w:div w:id="170343399">
              <w:marLeft w:val="0"/>
              <w:marRight w:val="0"/>
              <w:marTop w:val="0"/>
              <w:marBottom w:val="0"/>
              <w:divBdr>
                <w:top w:val="none" w:sz="0" w:space="0" w:color="auto"/>
                <w:left w:val="none" w:sz="0" w:space="0" w:color="auto"/>
                <w:bottom w:val="none" w:sz="0" w:space="0" w:color="auto"/>
                <w:right w:val="none" w:sz="0" w:space="0" w:color="auto"/>
              </w:divBdr>
            </w:div>
            <w:div w:id="6402332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50885151">
      <w:bodyDiv w:val="1"/>
      <w:marLeft w:val="0"/>
      <w:marRight w:val="0"/>
      <w:marTop w:val="0"/>
      <w:marBottom w:val="0"/>
      <w:divBdr>
        <w:top w:val="none" w:sz="0" w:space="0" w:color="auto"/>
        <w:left w:val="none" w:sz="0" w:space="0" w:color="auto"/>
        <w:bottom w:val="none" w:sz="0" w:space="0" w:color="auto"/>
        <w:right w:val="none" w:sz="0" w:space="0" w:color="auto"/>
      </w:divBdr>
      <w:divsChild>
        <w:div w:id="1599748341">
          <w:marLeft w:val="0"/>
          <w:marRight w:val="0"/>
          <w:marTop w:val="0"/>
          <w:marBottom w:val="0"/>
          <w:divBdr>
            <w:top w:val="none" w:sz="0" w:space="0" w:color="auto"/>
            <w:left w:val="none" w:sz="0" w:space="0" w:color="auto"/>
            <w:bottom w:val="none" w:sz="0" w:space="0" w:color="auto"/>
            <w:right w:val="none" w:sz="0" w:space="0" w:color="auto"/>
          </w:divBdr>
          <w:divsChild>
            <w:div w:id="1043021137">
              <w:marLeft w:val="0"/>
              <w:marRight w:val="0"/>
              <w:marTop w:val="0"/>
              <w:marBottom w:val="0"/>
              <w:divBdr>
                <w:top w:val="none" w:sz="0" w:space="0" w:color="auto"/>
                <w:left w:val="none" w:sz="0" w:space="0" w:color="auto"/>
                <w:bottom w:val="none" w:sz="0" w:space="0" w:color="auto"/>
                <w:right w:val="none" w:sz="0" w:space="0" w:color="auto"/>
              </w:divBdr>
              <w:divsChild>
                <w:div w:id="1297223212">
                  <w:marLeft w:val="0"/>
                  <w:marRight w:val="0"/>
                  <w:marTop w:val="0"/>
                  <w:marBottom w:val="0"/>
                  <w:divBdr>
                    <w:top w:val="none" w:sz="0" w:space="0" w:color="auto"/>
                    <w:left w:val="none" w:sz="0" w:space="0" w:color="auto"/>
                    <w:bottom w:val="none" w:sz="0" w:space="0" w:color="auto"/>
                    <w:right w:val="none" w:sz="0" w:space="0" w:color="auto"/>
                  </w:divBdr>
                  <w:divsChild>
                    <w:div w:id="1025984582">
                      <w:marLeft w:val="0"/>
                      <w:marRight w:val="0"/>
                      <w:marTop w:val="0"/>
                      <w:marBottom w:val="0"/>
                      <w:divBdr>
                        <w:top w:val="none" w:sz="0" w:space="0" w:color="auto"/>
                        <w:left w:val="none" w:sz="0" w:space="0" w:color="auto"/>
                        <w:bottom w:val="none" w:sz="0" w:space="0" w:color="auto"/>
                        <w:right w:val="none" w:sz="0" w:space="0" w:color="auto"/>
                      </w:divBdr>
                      <w:divsChild>
                        <w:div w:id="788356404">
                          <w:marLeft w:val="0"/>
                          <w:marRight w:val="0"/>
                          <w:marTop w:val="0"/>
                          <w:marBottom w:val="0"/>
                          <w:divBdr>
                            <w:top w:val="none" w:sz="0" w:space="0" w:color="auto"/>
                            <w:left w:val="none" w:sz="0" w:space="0" w:color="auto"/>
                            <w:bottom w:val="none" w:sz="0" w:space="0" w:color="auto"/>
                            <w:right w:val="none" w:sz="0" w:space="0" w:color="auto"/>
                          </w:divBdr>
                          <w:divsChild>
                            <w:div w:id="685863555">
                              <w:marLeft w:val="0"/>
                              <w:marRight w:val="0"/>
                              <w:marTop w:val="0"/>
                              <w:marBottom w:val="0"/>
                              <w:divBdr>
                                <w:top w:val="none" w:sz="0" w:space="0" w:color="auto"/>
                                <w:left w:val="none" w:sz="0" w:space="0" w:color="auto"/>
                                <w:bottom w:val="none" w:sz="0" w:space="0" w:color="auto"/>
                                <w:right w:val="none" w:sz="0" w:space="0" w:color="auto"/>
                              </w:divBdr>
                              <w:divsChild>
                                <w:div w:id="1410421283">
                                  <w:marLeft w:val="0"/>
                                  <w:marRight w:val="0"/>
                                  <w:marTop w:val="0"/>
                                  <w:marBottom w:val="0"/>
                                  <w:divBdr>
                                    <w:top w:val="none" w:sz="0" w:space="0" w:color="auto"/>
                                    <w:left w:val="none" w:sz="0" w:space="0" w:color="auto"/>
                                    <w:bottom w:val="none" w:sz="0" w:space="0" w:color="auto"/>
                                    <w:right w:val="none" w:sz="0" w:space="0" w:color="auto"/>
                                  </w:divBdr>
                                  <w:divsChild>
                                    <w:div w:id="25679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1224509">
      <w:bodyDiv w:val="1"/>
      <w:marLeft w:val="0"/>
      <w:marRight w:val="0"/>
      <w:marTop w:val="0"/>
      <w:marBottom w:val="0"/>
      <w:divBdr>
        <w:top w:val="none" w:sz="0" w:space="0" w:color="auto"/>
        <w:left w:val="none" w:sz="0" w:space="0" w:color="auto"/>
        <w:bottom w:val="none" w:sz="0" w:space="0" w:color="auto"/>
        <w:right w:val="none" w:sz="0" w:space="0" w:color="auto"/>
      </w:divBdr>
      <w:divsChild>
        <w:div w:id="731855736">
          <w:marLeft w:val="0"/>
          <w:marRight w:val="0"/>
          <w:marTop w:val="0"/>
          <w:marBottom w:val="0"/>
          <w:divBdr>
            <w:top w:val="none" w:sz="0" w:space="0" w:color="auto"/>
            <w:left w:val="none" w:sz="0" w:space="0" w:color="auto"/>
            <w:bottom w:val="none" w:sz="0" w:space="0" w:color="auto"/>
            <w:right w:val="none" w:sz="0" w:space="0" w:color="auto"/>
          </w:divBdr>
          <w:divsChild>
            <w:div w:id="1075710838">
              <w:marLeft w:val="0"/>
              <w:marRight w:val="0"/>
              <w:marTop w:val="0"/>
              <w:marBottom w:val="0"/>
              <w:divBdr>
                <w:top w:val="none" w:sz="0" w:space="0" w:color="auto"/>
                <w:left w:val="none" w:sz="0" w:space="0" w:color="auto"/>
                <w:bottom w:val="none" w:sz="0" w:space="0" w:color="auto"/>
                <w:right w:val="none" w:sz="0" w:space="0" w:color="auto"/>
              </w:divBdr>
              <w:divsChild>
                <w:div w:id="303193413">
                  <w:marLeft w:val="0"/>
                  <w:marRight w:val="0"/>
                  <w:marTop w:val="0"/>
                  <w:marBottom w:val="0"/>
                  <w:divBdr>
                    <w:top w:val="none" w:sz="0" w:space="0" w:color="auto"/>
                    <w:left w:val="none" w:sz="0" w:space="0" w:color="auto"/>
                    <w:bottom w:val="none" w:sz="0" w:space="0" w:color="auto"/>
                    <w:right w:val="none" w:sz="0" w:space="0" w:color="auto"/>
                  </w:divBdr>
                  <w:divsChild>
                    <w:div w:id="1558009219">
                      <w:marLeft w:val="0"/>
                      <w:marRight w:val="0"/>
                      <w:marTop w:val="0"/>
                      <w:marBottom w:val="0"/>
                      <w:divBdr>
                        <w:top w:val="none" w:sz="0" w:space="0" w:color="auto"/>
                        <w:left w:val="none" w:sz="0" w:space="0" w:color="auto"/>
                        <w:bottom w:val="none" w:sz="0" w:space="0" w:color="auto"/>
                        <w:right w:val="none" w:sz="0" w:space="0" w:color="auto"/>
                      </w:divBdr>
                      <w:divsChild>
                        <w:div w:id="1607729655">
                          <w:marLeft w:val="0"/>
                          <w:marRight w:val="0"/>
                          <w:marTop w:val="0"/>
                          <w:marBottom w:val="0"/>
                          <w:divBdr>
                            <w:top w:val="none" w:sz="0" w:space="0" w:color="auto"/>
                            <w:left w:val="none" w:sz="0" w:space="0" w:color="auto"/>
                            <w:bottom w:val="none" w:sz="0" w:space="0" w:color="auto"/>
                            <w:right w:val="none" w:sz="0" w:space="0" w:color="auto"/>
                          </w:divBdr>
                          <w:divsChild>
                            <w:div w:id="1367683718">
                              <w:marLeft w:val="0"/>
                              <w:marRight w:val="0"/>
                              <w:marTop w:val="0"/>
                              <w:marBottom w:val="0"/>
                              <w:divBdr>
                                <w:top w:val="none" w:sz="0" w:space="0" w:color="auto"/>
                                <w:left w:val="none" w:sz="0" w:space="0" w:color="auto"/>
                                <w:bottom w:val="none" w:sz="0" w:space="0" w:color="auto"/>
                                <w:right w:val="none" w:sz="0" w:space="0" w:color="auto"/>
                              </w:divBdr>
                              <w:divsChild>
                                <w:div w:id="1691222131">
                                  <w:marLeft w:val="0"/>
                                  <w:marRight w:val="0"/>
                                  <w:marTop w:val="0"/>
                                  <w:marBottom w:val="0"/>
                                  <w:divBdr>
                                    <w:top w:val="none" w:sz="0" w:space="0" w:color="auto"/>
                                    <w:left w:val="none" w:sz="0" w:space="0" w:color="auto"/>
                                    <w:bottom w:val="none" w:sz="0" w:space="0" w:color="auto"/>
                                    <w:right w:val="none" w:sz="0" w:space="0" w:color="auto"/>
                                  </w:divBdr>
                                  <w:divsChild>
                                    <w:div w:id="86887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2071388">
      <w:bodyDiv w:val="1"/>
      <w:marLeft w:val="0"/>
      <w:marRight w:val="0"/>
      <w:marTop w:val="0"/>
      <w:marBottom w:val="0"/>
      <w:divBdr>
        <w:top w:val="none" w:sz="0" w:space="0" w:color="auto"/>
        <w:left w:val="none" w:sz="0" w:space="0" w:color="auto"/>
        <w:bottom w:val="none" w:sz="0" w:space="0" w:color="auto"/>
        <w:right w:val="none" w:sz="0" w:space="0" w:color="auto"/>
      </w:divBdr>
      <w:divsChild>
        <w:div w:id="965549852">
          <w:marLeft w:val="0"/>
          <w:marRight w:val="0"/>
          <w:marTop w:val="0"/>
          <w:marBottom w:val="0"/>
          <w:divBdr>
            <w:top w:val="none" w:sz="0" w:space="0" w:color="auto"/>
            <w:left w:val="none" w:sz="0" w:space="0" w:color="auto"/>
            <w:bottom w:val="dotted" w:sz="6" w:space="4" w:color="DDDDDD"/>
            <w:right w:val="none" w:sz="0" w:space="0" w:color="auto"/>
          </w:divBdr>
          <w:divsChild>
            <w:div w:id="104617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534023">
      <w:bodyDiv w:val="1"/>
      <w:marLeft w:val="0"/>
      <w:marRight w:val="0"/>
      <w:marTop w:val="0"/>
      <w:marBottom w:val="0"/>
      <w:divBdr>
        <w:top w:val="none" w:sz="0" w:space="0" w:color="auto"/>
        <w:left w:val="none" w:sz="0" w:space="0" w:color="auto"/>
        <w:bottom w:val="none" w:sz="0" w:space="0" w:color="auto"/>
        <w:right w:val="none" w:sz="0" w:space="0" w:color="auto"/>
      </w:divBdr>
      <w:divsChild>
        <w:div w:id="1134059497">
          <w:marLeft w:val="0"/>
          <w:marRight w:val="0"/>
          <w:marTop w:val="0"/>
          <w:marBottom w:val="0"/>
          <w:divBdr>
            <w:top w:val="none" w:sz="0" w:space="0" w:color="auto"/>
            <w:left w:val="none" w:sz="0" w:space="0" w:color="auto"/>
            <w:bottom w:val="none" w:sz="0" w:space="0" w:color="auto"/>
            <w:right w:val="none" w:sz="0" w:space="0" w:color="auto"/>
          </w:divBdr>
        </w:div>
      </w:divsChild>
    </w:div>
    <w:div w:id="352655167">
      <w:bodyDiv w:val="1"/>
      <w:marLeft w:val="0"/>
      <w:marRight w:val="0"/>
      <w:marTop w:val="0"/>
      <w:marBottom w:val="0"/>
      <w:divBdr>
        <w:top w:val="none" w:sz="0" w:space="0" w:color="auto"/>
        <w:left w:val="none" w:sz="0" w:space="0" w:color="auto"/>
        <w:bottom w:val="none" w:sz="0" w:space="0" w:color="auto"/>
        <w:right w:val="none" w:sz="0" w:space="0" w:color="auto"/>
      </w:divBdr>
    </w:div>
    <w:div w:id="352848587">
      <w:bodyDiv w:val="1"/>
      <w:marLeft w:val="0"/>
      <w:marRight w:val="0"/>
      <w:marTop w:val="0"/>
      <w:marBottom w:val="0"/>
      <w:divBdr>
        <w:top w:val="none" w:sz="0" w:space="0" w:color="auto"/>
        <w:left w:val="none" w:sz="0" w:space="0" w:color="auto"/>
        <w:bottom w:val="none" w:sz="0" w:space="0" w:color="auto"/>
        <w:right w:val="none" w:sz="0" w:space="0" w:color="auto"/>
      </w:divBdr>
      <w:divsChild>
        <w:div w:id="983313895">
          <w:marLeft w:val="0"/>
          <w:marRight w:val="0"/>
          <w:marTop w:val="0"/>
          <w:marBottom w:val="0"/>
          <w:divBdr>
            <w:top w:val="none" w:sz="0" w:space="0" w:color="auto"/>
            <w:left w:val="none" w:sz="0" w:space="0" w:color="auto"/>
            <w:bottom w:val="none" w:sz="0" w:space="0" w:color="auto"/>
            <w:right w:val="none" w:sz="0" w:space="0" w:color="auto"/>
          </w:divBdr>
        </w:div>
      </w:divsChild>
    </w:div>
    <w:div w:id="353045551">
      <w:bodyDiv w:val="1"/>
      <w:marLeft w:val="0"/>
      <w:marRight w:val="0"/>
      <w:marTop w:val="0"/>
      <w:marBottom w:val="0"/>
      <w:divBdr>
        <w:top w:val="none" w:sz="0" w:space="0" w:color="auto"/>
        <w:left w:val="none" w:sz="0" w:space="0" w:color="auto"/>
        <w:bottom w:val="none" w:sz="0" w:space="0" w:color="auto"/>
        <w:right w:val="none" w:sz="0" w:space="0" w:color="auto"/>
      </w:divBdr>
    </w:div>
    <w:div w:id="353383518">
      <w:bodyDiv w:val="1"/>
      <w:marLeft w:val="0"/>
      <w:marRight w:val="0"/>
      <w:marTop w:val="0"/>
      <w:marBottom w:val="0"/>
      <w:divBdr>
        <w:top w:val="none" w:sz="0" w:space="0" w:color="auto"/>
        <w:left w:val="none" w:sz="0" w:space="0" w:color="auto"/>
        <w:bottom w:val="none" w:sz="0" w:space="0" w:color="auto"/>
        <w:right w:val="none" w:sz="0" w:space="0" w:color="auto"/>
      </w:divBdr>
      <w:divsChild>
        <w:div w:id="604650733">
          <w:marLeft w:val="0"/>
          <w:marRight w:val="0"/>
          <w:marTop w:val="0"/>
          <w:marBottom w:val="150"/>
          <w:divBdr>
            <w:top w:val="none" w:sz="0" w:space="0" w:color="auto"/>
            <w:left w:val="none" w:sz="0" w:space="0" w:color="auto"/>
            <w:bottom w:val="none" w:sz="0" w:space="0" w:color="auto"/>
            <w:right w:val="none" w:sz="0" w:space="0" w:color="auto"/>
          </w:divBdr>
          <w:divsChild>
            <w:div w:id="138769884">
              <w:marLeft w:val="0"/>
              <w:marRight w:val="0"/>
              <w:marTop w:val="0"/>
              <w:marBottom w:val="0"/>
              <w:divBdr>
                <w:top w:val="none" w:sz="0" w:space="0" w:color="auto"/>
                <w:left w:val="none" w:sz="0" w:space="0" w:color="auto"/>
                <w:bottom w:val="none" w:sz="0" w:space="0" w:color="auto"/>
                <w:right w:val="none" w:sz="0" w:space="0" w:color="auto"/>
              </w:divBdr>
              <w:divsChild>
                <w:div w:id="104637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8746">
          <w:marLeft w:val="0"/>
          <w:marRight w:val="0"/>
          <w:marTop w:val="0"/>
          <w:marBottom w:val="0"/>
          <w:divBdr>
            <w:top w:val="none" w:sz="0" w:space="0" w:color="auto"/>
            <w:left w:val="none" w:sz="0" w:space="0" w:color="auto"/>
            <w:bottom w:val="none" w:sz="0" w:space="0" w:color="auto"/>
            <w:right w:val="none" w:sz="0" w:space="0" w:color="auto"/>
          </w:divBdr>
          <w:divsChild>
            <w:div w:id="314333535">
              <w:marLeft w:val="0"/>
              <w:marRight w:val="0"/>
              <w:marTop w:val="225"/>
              <w:marBottom w:val="225"/>
              <w:divBdr>
                <w:top w:val="none" w:sz="0" w:space="0" w:color="auto"/>
                <w:left w:val="none" w:sz="0" w:space="0" w:color="auto"/>
                <w:bottom w:val="none" w:sz="0" w:space="0" w:color="auto"/>
                <w:right w:val="none" w:sz="0" w:space="0" w:color="auto"/>
              </w:divBdr>
            </w:div>
          </w:divsChild>
        </w:div>
        <w:div w:id="1848402557">
          <w:marLeft w:val="0"/>
          <w:marRight w:val="0"/>
          <w:marTop w:val="0"/>
          <w:marBottom w:val="150"/>
          <w:divBdr>
            <w:top w:val="none" w:sz="0" w:space="0" w:color="auto"/>
            <w:left w:val="none" w:sz="0" w:space="0" w:color="auto"/>
            <w:bottom w:val="none" w:sz="0" w:space="0" w:color="auto"/>
            <w:right w:val="none" w:sz="0" w:space="0" w:color="auto"/>
          </w:divBdr>
        </w:div>
      </w:divsChild>
    </w:div>
    <w:div w:id="353894516">
      <w:bodyDiv w:val="1"/>
      <w:marLeft w:val="0"/>
      <w:marRight w:val="0"/>
      <w:marTop w:val="0"/>
      <w:marBottom w:val="0"/>
      <w:divBdr>
        <w:top w:val="none" w:sz="0" w:space="0" w:color="auto"/>
        <w:left w:val="none" w:sz="0" w:space="0" w:color="auto"/>
        <w:bottom w:val="none" w:sz="0" w:space="0" w:color="auto"/>
        <w:right w:val="none" w:sz="0" w:space="0" w:color="auto"/>
      </w:divBdr>
      <w:divsChild>
        <w:div w:id="1247572190">
          <w:marLeft w:val="0"/>
          <w:marRight w:val="0"/>
          <w:marTop w:val="0"/>
          <w:marBottom w:val="150"/>
          <w:divBdr>
            <w:top w:val="none" w:sz="0" w:space="0" w:color="auto"/>
            <w:left w:val="none" w:sz="0" w:space="0" w:color="auto"/>
            <w:bottom w:val="none" w:sz="0" w:space="0" w:color="auto"/>
            <w:right w:val="none" w:sz="0" w:space="0" w:color="auto"/>
          </w:divBdr>
          <w:divsChild>
            <w:div w:id="1780879616">
              <w:marLeft w:val="0"/>
              <w:marRight w:val="0"/>
              <w:marTop w:val="0"/>
              <w:marBottom w:val="0"/>
              <w:divBdr>
                <w:top w:val="none" w:sz="0" w:space="0" w:color="auto"/>
                <w:left w:val="none" w:sz="0" w:space="0" w:color="auto"/>
                <w:bottom w:val="none" w:sz="0" w:space="0" w:color="auto"/>
                <w:right w:val="none" w:sz="0" w:space="0" w:color="auto"/>
              </w:divBdr>
            </w:div>
          </w:divsChild>
        </w:div>
        <w:div w:id="1279993933">
          <w:marLeft w:val="0"/>
          <w:marRight w:val="0"/>
          <w:marTop w:val="0"/>
          <w:marBottom w:val="0"/>
          <w:divBdr>
            <w:top w:val="none" w:sz="0" w:space="0" w:color="auto"/>
            <w:left w:val="none" w:sz="0" w:space="0" w:color="auto"/>
            <w:bottom w:val="none" w:sz="0" w:space="0" w:color="auto"/>
            <w:right w:val="none" w:sz="0" w:space="0" w:color="auto"/>
          </w:divBdr>
          <w:divsChild>
            <w:div w:id="676659852">
              <w:marLeft w:val="0"/>
              <w:marRight w:val="0"/>
              <w:marTop w:val="0"/>
              <w:marBottom w:val="150"/>
              <w:divBdr>
                <w:top w:val="none" w:sz="0" w:space="0" w:color="auto"/>
                <w:left w:val="none" w:sz="0" w:space="0" w:color="auto"/>
                <w:bottom w:val="none" w:sz="0" w:space="0" w:color="auto"/>
                <w:right w:val="none" w:sz="0" w:space="0" w:color="auto"/>
              </w:divBdr>
            </w:div>
            <w:div w:id="202049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18736">
      <w:bodyDiv w:val="1"/>
      <w:marLeft w:val="0"/>
      <w:marRight w:val="0"/>
      <w:marTop w:val="0"/>
      <w:marBottom w:val="0"/>
      <w:divBdr>
        <w:top w:val="none" w:sz="0" w:space="0" w:color="auto"/>
        <w:left w:val="none" w:sz="0" w:space="0" w:color="auto"/>
        <w:bottom w:val="none" w:sz="0" w:space="0" w:color="auto"/>
        <w:right w:val="none" w:sz="0" w:space="0" w:color="auto"/>
      </w:divBdr>
    </w:div>
    <w:div w:id="354498259">
      <w:bodyDiv w:val="1"/>
      <w:marLeft w:val="0"/>
      <w:marRight w:val="0"/>
      <w:marTop w:val="0"/>
      <w:marBottom w:val="0"/>
      <w:divBdr>
        <w:top w:val="none" w:sz="0" w:space="0" w:color="auto"/>
        <w:left w:val="none" w:sz="0" w:space="0" w:color="auto"/>
        <w:bottom w:val="none" w:sz="0" w:space="0" w:color="auto"/>
        <w:right w:val="none" w:sz="0" w:space="0" w:color="auto"/>
      </w:divBdr>
      <w:divsChild>
        <w:div w:id="200166259">
          <w:marLeft w:val="0"/>
          <w:marRight w:val="0"/>
          <w:marTop w:val="0"/>
          <w:marBottom w:val="150"/>
          <w:divBdr>
            <w:top w:val="none" w:sz="0" w:space="0" w:color="auto"/>
            <w:left w:val="none" w:sz="0" w:space="0" w:color="auto"/>
            <w:bottom w:val="none" w:sz="0" w:space="0" w:color="auto"/>
            <w:right w:val="none" w:sz="0" w:space="0" w:color="auto"/>
          </w:divBdr>
        </w:div>
        <w:div w:id="1601183483">
          <w:marLeft w:val="0"/>
          <w:marRight w:val="0"/>
          <w:marTop w:val="0"/>
          <w:marBottom w:val="150"/>
          <w:divBdr>
            <w:top w:val="none" w:sz="0" w:space="0" w:color="auto"/>
            <w:left w:val="none" w:sz="0" w:space="0" w:color="auto"/>
            <w:bottom w:val="none" w:sz="0" w:space="0" w:color="auto"/>
            <w:right w:val="none" w:sz="0" w:space="0" w:color="auto"/>
          </w:divBdr>
          <w:divsChild>
            <w:div w:id="1210069565">
              <w:marLeft w:val="0"/>
              <w:marRight w:val="0"/>
              <w:marTop w:val="0"/>
              <w:marBottom w:val="0"/>
              <w:divBdr>
                <w:top w:val="none" w:sz="0" w:space="0" w:color="auto"/>
                <w:left w:val="none" w:sz="0" w:space="0" w:color="auto"/>
                <w:bottom w:val="none" w:sz="0" w:space="0" w:color="auto"/>
                <w:right w:val="none" w:sz="0" w:space="0" w:color="auto"/>
              </w:divBdr>
              <w:divsChild>
                <w:div w:id="67006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302749">
          <w:marLeft w:val="0"/>
          <w:marRight w:val="0"/>
          <w:marTop w:val="0"/>
          <w:marBottom w:val="0"/>
          <w:divBdr>
            <w:top w:val="none" w:sz="0" w:space="0" w:color="auto"/>
            <w:left w:val="none" w:sz="0" w:space="0" w:color="auto"/>
            <w:bottom w:val="none" w:sz="0" w:space="0" w:color="auto"/>
            <w:right w:val="none" w:sz="0" w:space="0" w:color="auto"/>
          </w:divBdr>
          <w:divsChild>
            <w:div w:id="167117935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54504692">
      <w:bodyDiv w:val="1"/>
      <w:marLeft w:val="0"/>
      <w:marRight w:val="0"/>
      <w:marTop w:val="0"/>
      <w:marBottom w:val="0"/>
      <w:divBdr>
        <w:top w:val="none" w:sz="0" w:space="0" w:color="auto"/>
        <w:left w:val="none" w:sz="0" w:space="0" w:color="auto"/>
        <w:bottom w:val="none" w:sz="0" w:space="0" w:color="auto"/>
        <w:right w:val="none" w:sz="0" w:space="0" w:color="auto"/>
      </w:divBdr>
    </w:div>
    <w:div w:id="354767894">
      <w:bodyDiv w:val="1"/>
      <w:marLeft w:val="0"/>
      <w:marRight w:val="0"/>
      <w:marTop w:val="0"/>
      <w:marBottom w:val="0"/>
      <w:divBdr>
        <w:top w:val="none" w:sz="0" w:space="0" w:color="auto"/>
        <w:left w:val="none" w:sz="0" w:space="0" w:color="auto"/>
        <w:bottom w:val="none" w:sz="0" w:space="0" w:color="auto"/>
        <w:right w:val="none" w:sz="0" w:space="0" w:color="auto"/>
      </w:divBdr>
      <w:divsChild>
        <w:div w:id="1270770846">
          <w:marLeft w:val="0"/>
          <w:marRight w:val="0"/>
          <w:marTop w:val="0"/>
          <w:marBottom w:val="0"/>
          <w:divBdr>
            <w:top w:val="none" w:sz="0" w:space="0" w:color="auto"/>
            <w:left w:val="none" w:sz="0" w:space="0" w:color="auto"/>
            <w:bottom w:val="dotted" w:sz="6" w:space="4" w:color="DDDDDD"/>
            <w:right w:val="none" w:sz="0" w:space="0" w:color="auto"/>
          </w:divBdr>
          <w:divsChild>
            <w:div w:id="48636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12539">
      <w:bodyDiv w:val="1"/>
      <w:marLeft w:val="0"/>
      <w:marRight w:val="0"/>
      <w:marTop w:val="0"/>
      <w:marBottom w:val="0"/>
      <w:divBdr>
        <w:top w:val="none" w:sz="0" w:space="0" w:color="auto"/>
        <w:left w:val="none" w:sz="0" w:space="0" w:color="auto"/>
        <w:bottom w:val="none" w:sz="0" w:space="0" w:color="auto"/>
        <w:right w:val="none" w:sz="0" w:space="0" w:color="auto"/>
      </w:divBdr>
      <w:divsChild>
        <w:div w:id="1935356875">
          <w:marLeft w:val="0"/>
          <w:marRight w:val="0"/>
          <w:marTop w:val="0"/>
          <w:marBottom w:val="0"/>
          <w:divBdr>
            <w:top w:val="none" w:sz="0" w:space="0" w:color="auto"/>
            <w:left w:val="none" w:sz="0" w:space="0" w:color="auto"/>
            <w:bottom w:val="none" w:sz="0" w:space="0" w:color="auto"/>
            <w:right w:val="none" w:sz="0" w:space="0" w:color="auto"/>
          </w:divBdr>
          <w:divsChild>
            <w:div w:id="619921909">
              <w:marLeft w:val="0"/>
              <w:marRight w:val="0"/>
              <w:marTop w:val="0"/>
              <w:marBottom w:val="0"/>
              <w:divBdr>
                <w:top w:val="none" w:sz="0" w:space="0" w:color="auto"/>
                <w:left w:val="none" w:sz="0" w:space="0" w:color="auto"/>
                <w:bottom w:val="none" w:sz="0" w:space="0" w:color="auto"/>
                <w:right w:val="none" w:sz="0" w:space="0" w:color="auto"/>
              </w:divBdr>
              <w:divsChild>
                <w:div w:id="2076008609">
                  <w:marLeft w:val="0"/>
                  <w:marRight w:val="0"/>
                  <w:marTop w:val="0"/>
                  <w:marBottom w:val="0"/>
                  <w:divBdr>
                    <w:top w:val="none" w:sz="0" w:space="0" w:color="auto"/>
                    <w:left w:val="none" w:sz="0" w:space="0" w:color="auto"/>
                    <w:bottom w:val="none" w:sz="0" w:space="0" w:color="auto"/>
                    <w:right w:val="none" w:sz="0" w:space="0" w:color="auto"/>
                  </w:divBdr>
                  <w:divsChild>
                    <w:div w:id="400979336">
                      <w:marLeft w:val="0"/>
                      <w:marRight w:val="0"/>
                      <w:marTop w:val="0"/>
                      <w:marBottom w:val="0"/>
                      <w:divBdr>
                        <w:top w:val="none" w:sz="0" w:space="0" w:color="auto"/>
                        <w:left w:val="none" w:sz="0" w:space="0" w:color="auto"/>
                        <w:bottom w:val="none" w:sz="0" w:space="0" w:color="auto"/>
                        <w:right w:val="none" w:sz="0" w:space="0" w:color="auto"/>
                      </w:divBdr>
                      <w:divsChild>
                        <w:div w:id="1955867892">
                          <w:marLeft w:val="0"/>
                          <w:marRight w:val="0"/>
                          <w:marTop w:val="0"/>
                          <w:marBottom w:val="0"/>
                          <w:divBdr>
                            <w:top w:val="none" w:sz="0" w:space="0" w:color="auto"/>
                            <w:left w:val="none" w:sz="0" w:space="0" w:color="auto"/>
                            <w:bottom w:val="none" w:sz="0" w:space="0" w:color="auto"/>
                            <w:right w:val="none" w:sz="0" w:space="0" w:color="auto"/>
                          </w:divBdr>
                          <w:divsChild>
                            <w:div w:id="240023253">
                              <w:marLeft w:val="0"/>
                              <w:marRight w:val="0"/>
                              <w:marTop w:val="0"/>
                              <w:marBottom w:val="0"/>
                              <w:divBdr>
                                <w:top w:val="none" w:sz="0" w:space="0" w:color="auto"/>
                                <w:left w:val="none" w:sz="0" w:space="0" w:color="auto"/>
                                <w:bottom w:val="none" w:sz="0" w:space="0" w:color="auto"/>
                                <w:right w:val="none" w:sz="0" w:space="0" w:color="auto"/>
                              </w:divBdr>
                              <w:divsChild>
                                <w:div w:id="582951618">
                                  <w:marLeft w:val="0"/>
                                  <w:marRight w:val="0"/>
                                  <w:marTop w:val="0"/>
                                  <w:marBottom w:val="0"/>
                                  <w:divBdr>
                                    <w:top w:val="none" w:sz="0" w:space="0" w:color="auto"/>
                                    <w:left w:val="none" w:sz="0" w:space="0" w:color="auto"/>
                                    <w:bottom w:val="none" w:sz="0" w:space="0" w:color="auto"/>
                                    <w:right w:val="none" w:sz="0" w:space="0" w:color="auto"/>
                                  </w:divBdr>
                                  <w:divsChild>
                                    <w:div w:id="51770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813037">
      <w:bodyDiv w:val="1"/>
      <w:marLeft w:val="0"/>
      <w:marRight w:val="0"/>
      <w:marTop w:val="0"/>
      <w:marBottom w:val="0"/>
      <w:divBdr>
        <w:top w:val="none" w:sz="0" w:space="0" w:color="auto"/>
        <w:left w:val="none" w:sz="0" w:space="0" w:color="auto"/>
        <w:bottom w:val="none" w:sz="0" w:space="0" w:color="auto"/>
        <w:right w:val="none" w:sz="0" w:space="0" w:color="auto"/>
      </w:divBdr>
      <w:divsChild>
        <w:div w:id="861281396">
          <w:marLeft w:val="0"/>
          <w:marRight w:val="0"/>
          <w:marTop w:val="0"/>
          <w:marBottom w:val="0"/>
          <w:divBdr>
            <w:top w:val="none" w:sz="0" w:space="0" w:color="auto"/>
            <w:left w:val="none" w:sz="0" w:space="0" w:color="auto"/>
            <w:bottom w:val="none" w:sz="0" w:space="0" w:color="auto"/>
            <w:right w:val="none" w:sz="0" w:space="0" w:color="auto"/>
          </w:divBdr>
          <w:divsChild>
            <w:div w:id="1177114054">
              <w:marLeft w:val="0"/>
              <w:marRight w:val="0"/>
              <w:marTop w:val="0"/>
              <w:marBottom w:val="0"/>
              <w:divBdr>
                <w:top w:val="none" w:sz="0" w:space="0" w:color="auto"/>
                <w:left w:val="none" w:sz="0" w:space="0" w:color="auto"/>
                <w:bottom w:val="none" w:sz="0" w:space="0" w:color="auto"/>
                <w:right w:val="none" w:sz="0" w:space="0" w:color="auto"/>
              </w:divBdr>
              <w:divsChild>
                <w:div w:id="852694106">
                  <w:marLeft w:val="0"/>
                  <w:marRight w:val="0"/>
                  <w:marTop w:val="0"/>
                  <w:marBottom w:val="0"/>
                  <w:divBdr>
                    <w:top w:val="none" w:sz="0" w:space="0" w:color="auto"/>
                    <w:left w:val="none" w:sz="0" w:space="0" w:color="auto"/>
                    <w:bottom w:val="none" w:sz="0" w:space="0" w:color="auto"/>
                    <w:right w:val="none" w:sz="0" w:space="0" w:color="auto"/>
                  </w:divBdr>
                  <w:divsChild>
                    <w:div w:id="1670869792">
                      <w:marLeft w:val="0"/>
                      <w:marRight w:val="0"/>
                      <w:marTop w:val="0"/>
                      <w:marBottom w:val="0"/>
                      <w:divBdr>
                        <w:top w:val="none" w:sz="0" w:space="0" w:color="auto"/>
                        <w:left w:val="none" w:sz="0" w:space="0" w:color="auto"/>
                        <w:bottom w:val="none" w:sz="0" w:space="0" w:color="auto"/>
                        <w:right w:val="none" w:sz="0" w:space="0" w:color="auto"/>
                      </w:divBdr>
                      <w:divsChild>
                        <w:div w:id="508565608">
                          <w:marLeft w:val="0"/>
                          <w:marRight w:val="0"/>
                          <w:marTop w:val="0"/>
                          <w:marBottom w:val="0"/>
                          <w:divBdr>
                            <w:top w:val="none" w:sz="0" w:space="0" w:color="auto"/>
                            <w:left w:val="none" w:sz="0" w:space="0" w:color="auto"/>
                            <w:bottom w:val="none" w:sz="0" w:space="0" w:color="auto"/>
                            <w:right w:val="none" w:sz="0" w:space="0" w:color="auto"/>
                          </w:divBdr>
                          <w:divsChild>
                            <w:div w:id="1452506575">
                              <w:marLeft w:val="0"/>
                              <w:marRight w:val="0"/>
                              <w:marTop w:val="0"/>
                              <w:marBottom w:val="0"/>
                              <w:divBdr>
                                <w:top w:val="none" w:sz="0" w:space="0" w:color="auto"/>
                                <w:left w:val="none" w:sz="0" w:space="0" w:color="auto"/>
                                <w:bottom w:val="none" w:sz="0" w:space="0" w:color="auto"/>
                                <w:right w:val="none" w:sz="0" w:space="0" w:color="auto"/>
                              </w:divBdr>
                              <w:divsChild>
                                <w:div w:id="99230531">
                                  <w:marLeft w:val="0"/>
                                  <w:marRight w:val="0"/>
                                  <w:marTop w:val="0"/>
                                  <w:marBottom w:val="0"/>
                                  <w:divBdr>
                                    <w:top w:val="none" w:sz="0" w:space="0" w:color="auto"/>
                                    <w:left w:val="none" w:sz="0" w:space="0" w:color="auto"/>
                                    <w:bottom w:val="none" w:sz="0" w:space="0" w:color="auto"/>
                                    <w:right w:val="none" w:sz="0" w:space="0" w:color="auto"/>
                                  </w:divBdr>
                                  <w:divsChild>
                                    <w:div w:id="2041276747">
                                      <w:marLeft w:val="0"/>
                                      <w:marRight w:val="0"/>
                                      <w:marTop w:val="0"/>
                                      <w:marBottom w:val="0"/>
                                      <w:divBdr>
                                        <w:top w:val="none" w:sz="0" w:space="0" w:color="auto"/>
                                        <w:left w:val="none" w:sz="0" w:space="0" w:color="auto"/>
                                        <w:bottom w:val="none" w:sz="0" w:space="0" w:color="auto"/>
                                        <w:right w:val="none" w:sz="0" w:space="0" w:color="auto"/>
                                      </w:divBdr>
                                      <w:divsChild>
                                        <w:div w:id="77378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4842851">
      <w:bodyDiv w:val="1"/>
      <w:marLeft w:val="0"/>
      <w:marRight w:val="0"/>
      <w:marTop w:val="0"/>
      <w:marBottom w:val="0"/>
      <w:divBdr>
        <w:top w:val="none" w:sz="0" w:space="0" w:color="auto"/>
        <w:left w:val="none" w:sz="0" w:space="0" w:color="auto"/>
        <w:bottom w:val="none" w:sz="0" w:space="0" w:color="auto"/>
        <w:right w:val="none" w:sz="0" w:space="0" w:color="auto"/>
      </w:divBdr>
      <w:divsChild>
        <w:div w:id="1424493856">
          <w:marLeft w:val="0"/>
          <w:marRight w:val="0"/>
          <w:marTop w:val="0"/>
          <w:marBottom w:val="0"/>
          <w:divBdr>
            <w:top w:val="none" w:sz="0" w:space="0" w:color="auto"/>
            <w:left w:val="none" w:sz="0" w:space="0" w:color="auto"/>
            <w:bottom w:val="none" w:sz="0" w:space="0" w:color="auto"/>
            <w:right w:val="none" w:sz="0" w:space="0" w:color="auto"/>
          </w:divBdr>
        </w:div>
      </w:divsChild>
    </w:div>
    <w:div w:id="354964284">
      <w:bodyDiv w:val="1"/>
      <w:marLeft w:val="0"/>
      <w:marRight w:val="0"/>
      <w:marTop w:val="0"/>
      <w:marBottom w:val="0"/>
      <w:divBdr>
        <w:top w:val="none" w:sz="0" w:space="0" w:color="auto"/>
        <w:left w:val="none" w:sz="0" w:space="0" w:color="auto"/>
        <w:bottom w:val="none" w:sz="0" w:space="0" w:color="auto"/>
        <w:right w:val="none" w:sz="0" w:space="0" w:color="auto"/>
      </w:divBdr>
      <w:divsChild>
        <w:div w:id="2039621548">
          <w:marLeft w:val="0"/>
          <w:marRight w:val="0"/>
          <w:marTop w:val="0"/>
          <w:marBottom w:val="0"/>
          <w:divBdr>
            <w:top w:val="none" w:sz="0" w:space="0" w:color="auto"/>
            <w:left w:val="none" w:sz="0" w:space="0" w:color="auto"/>
            <w:bottom w:val="dotted" w:sz="6" w:space="4" w:color="DDDDDD"/>
            <w:right w:val="none" w:sz="0" w:space="0" w:color="auto"/>
          </w:divBdr>
          <w:divsChild>
            <w:div w:id="12609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618804">
      <w:bodyDiv w:val="1"/>
      <w:marLeft w:val="0"/>
      <w:marRight w:val="0"/>
      <w:marTop w:val="0"/>
      <w:marBottom w:val="0"/>
      <w:divBdr>
        <w:top w:val="none" w:sz="0" w:space="0" w:color="auto"/>
        <w:left w:val="none" w:sz="0" w:space="0" w:color="auto"/>
        <w:bottom w:val="none" w:sz="0" w:space="0" w:color="auto"/>
        <w:right w:val="none" w:sz="0" w:space="0" w:color="auto"/>
      </w:divBdr>
      <w:divsChild>
        <w:div w:id="735904332">
          <w:marLeft w:val="0"/>
          <w:marRight w:val="0"/>
          <w:marTop w:val="0"/>
          <w:marBottom w:val="150"/>
          <w:divBdr>
            <w:top w:val="none" w:sz="0" w:space="0" w:color="auto"/>
            <w:left w:val="none" w:sz="0" w:space="0" w:color="auto"/>
            <w:bottom w:val="none" w:sz="0" w:space="0" w:color="auto"/>
            <w:right w:val="none" w:sz="0" w:space="0" w:color="auto"/>
          </w:divBdr>
        </w:div>
        <w:div w:id="991329773">
          <w:marLeft w:val="0"/>
          <w:marRight w:val="0"/>
          <w:marTop w:val="0"/>
          <w:marBottom w:val="150"/>
          <w:divBdr>
            <w:top w:val="none" w:sz="0" w:space="0" w:color="auto"/>
            <w:left w:val="none" w:sz="0" w:space="0" w:color="auto"/>
            <w:bottom w:val="none" w:sz="0" w:space="0" w:color="auto"/>
            <w:right w:val="none" w:sz="0" w:space="0" w:color="auto"/>
          </w:divBdr>
          <w:divsChild>
            <w:div w:id="39408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272296">
      <w:bodyDiv w:val="1"/>
      <w:marLeft w:val="0"/>
      <w:marRight w:val="0"/>
      <w:marTop w:val="0"/>
      <w:marBottom w:val="0"/>
      <w:divBdr>
        <w:top w:val="none" w:sz="0" w:space="0" w:color="auto"/>
        <w:left w:val="none" w:sz="0" w:space="0" w:color="auto"/>
        <w:bottom w:val="none" w:sz="0" w:space="0" w:color="auto"/>
        <w:right w:val="none" w:sz="0" w:space="0" w:color="auto"/>
      </w:divBdr>
      <w:divsChild>
        <w:div w:id="1793087955">
          <w:marLeft w:val="0"/>
          <w:marRight w:val="0"/>
          <w:marTop w:val="0"/>
          <w:marBottom w:val="0"/>
          <w:divBdr>
            <w:top w:val="none" w:sz="0" w:space="0" w:color="auto"/>
            <w:left w:val="none" w:sz="0" w:space="0" w:color="auto"/>
            <w:bottom w:val="none" w:sz="0" w:space="0" w:color="auto"/>
            <w:right w:val="none" w:sz="0" w:space="0" w:color="auto"/>
          </w:divBdr>
          <w:divsChild>
            <w:div w:id="8496357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56277044">
      <w:bodyDiv w:val="1"/>
      <w:marLeft w:val="0"/>
      <w:marRight w:val="0"/>
      <w:marTop w:val="0"/>
      <w:marBottom w:val="0"/>
      <w:divBdr>
        <w:top w:val="none" w:sz="0" w:space="0" w:color="auto"/>
        <w:left w:val="none" w:sz="0" w:space="0" w:color="auto"/>
        <w:bottom w:val="none" w:sz="0" w:space="0" w:color="auto"/>
        <w:right w:val="none" w:sz="0" w:space="0" w:color="auto"/>
      </w:divBdr>
      <w:divsChild>
        <w:div w:id="309479179">
          <w:marLeft w:val="0"/>
          <w:marRight w:val="0"/>
          <w:marTop w:val="0"/>
          <w:marBottom w:val="0"/>
          <w:divBdr>
            <w:top w:val="none" w:sz="0" w:space="0" w:color="auto"/>
            <w:left w:val="none" w:sz="0" w:space="0" w:color="auto"/>
            <w:bottom w:val="none" w:sz="0" w:space="0" w:color="auto"/>
            <w:right w:val="none" w:sz="0" w:space="0" w:color="auto"/>
          </w:divBdr>
        </w:div>
      </w:divsChild>
    </w:div>
    <w:div w:id="356320584">
      <w:bodyDiv w:val="1"/>
      <w:marLeft w:val="0"/>
      <w:marRight w:val="0"/>
      <w:marTop w:val="0"/>
      <w:marBottom w:val="0"/>
      <w:divBdr>
        <w:top w:val="none" w:sz="0" w:space="0" w:color="auto"/>
        <w:left w:val="none" w:sz="0" w:space="0" w:color="auto"/>
        <w:bottom w:val="none" w:sz="0" w:space="0" w:color="auto"/>
        <w:right w:val="none" w:sz="0" w:space="0" w:color="auto"/>
      </w:divBdr>
      <w:divsChild>
        <w:div w:id="1491824588">
          <w:marLeft w:val="0"/>
          <w:marRight w:val="0"/>
          <w:marTop w:val="0"/>
          <w:marBottom w:val="0"/>
          <w:divBdr>
            <w:top w:val="none" w:sz="0" w:space="0" w:color="auto"/>
            <w:left w:val="none" w:sz="0" w:space="0" w:color="auto"/>
            <w:bottom w:val="dotted" w:sz="6" w:space="4" w:color="DDDDDD"/>
            <w:right w:val="none" w:sz="0" w:space="0" w:color="auto"/>
          </w:divBdr>
          <w:divsChild>
            <w:div w:id="10814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388706">
      <w:bodyDiv w:val="1"/>
      <w:marLeft w:val="0"/>
      <w:marRight w:val="0"/>
      <w:marTop w:val="0"/>
      <w:marBottom w:val="0"/>
      <w:divBdr>
        <w:top w:val="none" w:sz="0" w:space="0" w:color="auto"/>
        <w:left w:val="none" w:sz="0" w:space="0" w:color="auto"/>
        <w:bottom w:val="none" w:sz="0" w:space="0" w:color="auto"/>
        <w:right w:val="none" w:sz="0" w:space="0" w:color="auto"/>
      </w:divBdr>
    </w:div>
    <w:div w:id="357194159">
      <w:bodyDiv w:val="1"/>
      <w:marLeft w:val="0"/>
      <w:marRight w:val="0"/>
      <w:marTop w:val="0"/>
      <w:marBottom w:val="0"/>
      <w:divBdr>
        <w:top w:val="none" w:sz="0" w:space="0" w:color="auto"/>
        <w:left w:val="none" w:sz="0" w:space="0" w:color="auto"/>
        <w:bottom w:val="none" w:sz="0" w:space="0" w:color="auto"/>
        <w:right w:val="none" w:sz="0" w:space="0" w:color="auto"/>
      </w:divBdr>
      <w:divsChild>
        <w:div w:id="28655220">
          <w:marLeft w:val="0"/>
          <w:marRight w:val="0"/>
          <w:marTop w:val="300"/>
          <w:marBottom w:val="0"/>
          <w:divBdr>
            <w:top w:val="none" w:sz="0" w:space="0" w:color="auto"/>
            <w:left w:val="none" w:sz="0" w:space="0" w:color="auto"/>
            <w:bottom w:val="none" w:sz="0" w:space="0" w:color="auto"/>
            <w:right w:val="none" w:sz="0" w:space="0" w:color="auto"/>
          </w:divBdr>
          <w:divsChild>
            <w:div w:id="951014406">
              <w:marLeft w:val="0"/>
              <w:marRight w:val="0"/>
              <w:marTop w:val="150"/>
              <w:marBottom w:val="0"/>
              <w:divBdr>
                <w:top w:val="none" w:sz="0" w:space="0" w:color="auto"/>
                <w:left w:val="none" w:sz="0" w:space="0" w:color="auto"/>
                <w:bottom w:val="none" w:sz="0" w:space="0" w:color="auto"/>
                <w:right w:val="none" w:sz="0" w:space="0" w:color="auto"/>
              </w:divBdr>
            </w:div>
          </w:divsChild>
        </w:div>
        <w:div w:id="622225748">
          <w:marLeft w:val="0"/>
          <w:marRight w:val="0"/>
          <w:marTop w:val="300"/>
          <w:marBottom w:val="0"/>
          <w:divBdr>
            <w:top w:val="none" w:sz="0" w:space="0" w:color="auto"/>
            <w:left w:val="none" w:sz="0" w:space="0" w:color="auto"/>
            <w:bottom w:val="none" w:sz="0" w:space="0" w:color="auto"/>
            <w:right w:val="none" w:sz="0" w:space="0" w:color="auto"/>
          </w:divBdr>
          <w:divsChild>
            <w:div w:id="177335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4512">
      <w:bodyDiv w:val="1"/>
      <w:marLeft w:val="0"/>
      <w:marRight w:val="0"/>
      <w:marTop w:val="0"/>
      <w:marBottom w:val="0"/>
      <w:divBdr>
        <w:top w:val="none" w:sz="0" w:space="0" w:color="auto"/>
        <w:left w:val="none" w:sz="0" w:space="0" w:color="auto"/>
        <w:bottom w:val="none" w:sz="0" w:space="0" w:color="auto"/>
        <w:right w:val="none" w:sz="0" w:space="0" w:color="auto"/>
      </w:divBdr>
      <w:divsChild>
        <w:div w:id="585696213">
          <w:marLeft w:val="0"/>
          <w:marRight w:val="0"/>
          <w:marTop w:val="0"/>
          <w:marBottom w:val="0"/>
          <w:divBdr>
            <w:top w:val="none" w:sz="0" w:space="0" w:color="auto"/>
            <w:left w:val="none" w:sz="0" w:space="0" w:color="auto"/>
            <w:bottom w:val="none" w:sz="0" w:space="0" w:color="auto"/>
            <w:right w:val="none" w:sz="0" w:space="0" w:color="auto"/>
          </w:divBdr>
          <w:divsChild>
            <w:div w:id="1830638205">
              <w:marLeft w:val="0"/>
              <w:marRight w:val="0"/>
              <w:marTop w:val="0"/>
              <w:marBottom w:val="0"/>
              <w:divBdr>
                <w:top w:val="none" w:sz="0" w:space="0" w:color="auto"/>
                <w:left w:val="none" w:sz="0" w:space="0" w:color="auto"/>
                <w:bottom w:val="none" w:sz="0" w:space="0" w:color="auto"/>
                <w:right w:val="none" w:sz="0" w:space="0" w:color="auto"/>
              </w:divBdr>
            </w:div>
          </w:divsChild>
        </w:div>
        <w:div w:id="1320814655">
          <w:marLeft w:val="0"/>
          <w:marRight w:val="0"/>
          <w:marTop w:val="0"/>
          <w:marBottom w:val="150"/>
          <w:divBdr>
            <w:top w:val="none" w:sz="0" w:space="0" w:color="auto"/>
            <w:left w:val="none" w:sz="0" w:space="0" w:color="auto"/>
            <w:bottom w:val="none" w:sz="0" w:space="0" w:color="auto"/>
            <w:right w:val="none" w:sz="0" w:space="0" w:color="auto"/>
          </w:divBdr>
        </w:div>
        <w:div w:id="1900357276">
          <w:marLeft w:val="0"/>
          <w:marRight w:val="0"/>
          <w:marTop w:val="0"/>
          <w:marBottom w:val="150"/>
          <w:divBdr>
            <w:top w:val="none" w:sz="0" w:space="0" w:color="auto"/>
            <w:left w:val="none" w:sz="0" w:space="0" w:color="auto"/>
            <w:bottom w:val="none" w:sz="0" w:space="0" w:color="auto"/>
            <w:right w:val="none" w:sz="0" w:space="0" w:color="auto"/>
          </w:divBdr>
          <w:divsChild>
            <w:div w:id="148157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6444">
      <w:bodyDiv w:val="1"/>
      <w:marLeft w:val="0"/>
      <w:marRight w:val="0"/>
      <w:marTop w:val="0"/>
      <w:marBottom w:val="0"/>
      <w:divBdr>
        <w:top w:val="none" w:sz="0" w:space="0" w:color="auto"/>
        <w:left w:val="none" w:sz="0" w:space="0" w:color="auto"/>
        <w:bottom w:val="none" w:sz="0" w:space="0" w:color="auto"/>
        <w:right w:val="none" w:sz="0" w:space="0" w:color="auto"/>
      </w:divBdr>
      <w:divsChild>
        <w:div w:id="1337196664">
          <w:marLeft w:val="0"/>
          <w:marRight w:val="0"/>
          <w:marTop w:val="0"/>
          <w:marBottom w:val="0"/>
          <w:divBdr>
            <w:top w:val="none" w:sz="0" w:space="0" w:color="auto"/>
            <w:left w:val="none" w:sz="0" w:space="0" w:color="auto"/>
            <w:bottom w:val="dotted" w:sz="6" w:space="4" w:color="DDDDDD"/>
            <w:right w:val="none" w:sz="0" w:space="0" w:color="auto"/>
          </w:divBdr>
        </w:div>
      </w:divsChild>
    </w:div>
    <w:div w:id="357703189">
      <w:bodyDiv w:val="1"/>
      <w:marLeft w:val="0"/>
      <w:marRight w:val="0"/>
      <w:marTop w:val="0"/>
      <w:marBottom w:val="0"/>
      <w:divBdr>
        <w:top w:val="none" w:sz="0" w:space="0" w:color="auto"/>
        <w:left w:val="none" w:sz="0" w:space="0" w:color="auto"/>
        <w:bottom w:val="none" w:sz="0" w:space="0" w:color="auto"/>
        <w:right w:val="none" w:sz="0" w:space="0" w:color="auto"/>
      </w:divBdr>
      <w:divsChild>
        <w:div w:id="1165899727">
          <w:marLeft w:val="0"/>
          <w:marRight w:val="0"/>
          <w:marTop w:val="0"/>
          <w:marBottom w:val="0"/>
          <w:divBdr>
            <w:top w:val="none" w:sz="0" w:space="0" w:color="auto"/>
            <w:left w:val="none" w:sz="0" w:space="0" w:color="auto"/>
            <w:bottom w:val="dotted" w:sz="6" w:space="4" w:color="DDDDDD"/>
            <w:right w:val="none" w:sz="0" w:space="0" w:color="auto"/>
          </w:divBdr>
          <w:divsChild>
            <w:div w:id="12913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95941">
      <w:bodyDiv w:val="1"/>
      <w:marLeft w:val="0"/>
      <w:marRight w:val="0"/>
      <w:marTop w:val="0"/>
      <w:marBottom w:val="0"/>
      <w:divBdr>
        <w:top w:val="none" w:sz="0" w:space="0" w:color="auto"/>
        <w:left w:val="none" w:sz="0" w:space="0" w:color="auto"/>
        <w:bottom w:val="none" w:sz="0" w:space="0" w:color="auto"/>
        <w:right w:val="none" w:sz="0" w:space="0" w:color="auto"/>
      </w:divBdr>
      <w:divsChild>
        <w:div w:id="560021606">
          <w:marLeft w:val="0"/>
          <w:marRight w:val="0"/>
          <w:marTop w:val="0"/>
          <w:marBottom w:val="0"/>
          <w:divBdr>
            <w:top w:val="none" w:sz="0" w:space="0" w:color="auto"/>
            <w:left w:val="none" w:sz="0" w:space="0" w:color="auto"/>
            <w:bottom w:val="dotted" w:sz="6" w:space="4" w:color="DDDDDD"/>
            <w:right w:val="none" w:sz="0" w:space="0" w:color="auto"/>
          </w:divBdr>
        </w:div>
      </w:divsChild>
    </w:div>
    <w:div w:id="358244151">
      <w:bodyDiv w:val="1"/>
      <w:marLeft w:val="0"/>
      <w:marRight w:val="0"/>
      <w:marTop w:val="0"/>
      <w:marBottom w:val="0"/>
      <w:divBdr>
        <w:top w:val="none" w:sz="0" w:space="0" w:color="auto"/>
        <w:left w:val="none" w:sz="0" w:space="0" w:color="auto"/>
        <w:bottom w:val="none" w:sz="0" w:space="0" w:color="auto"/>
        <w:right w:val="none" w:sz="0" w:space="0" w:color="auto"/>
      </w:divBdr>
      <w:divsChild>
        <w:div w:id="866606023">
          <w:marLeft w:val="0"/>
          <w:marRight w:val="0"/>
          <w:marTop w:val="0"/>
          <w:marBottom w:val="0"/>
          <w:divBdr>
            <w:top w:val="none" w:sz="0" w:space="0" w:color="auto"/>
            <w:left w:val="none" w:sz="0" w:space="0" w:color="auto"/>
            <w:bottom w:val="dotted" w:sz="6" w:space="4" w:color="DDDDDD"/>
            <w:right w:val="none" w:sz="0" w:space="0" w:color="auto"/>
          </w:divBdr>
          <w:divsChild>
            <w:div w:id="106183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625337">
      <w:bodyDiv w:val="1"/>
      <w:marLeft w:val="0"/>
      <w:marRight w:val="0"/>
      <w:marTop w:val="0"/>
      <w:marBottom w:val="0"/>
      <w:divBdr>
        <w:top w:val="none" w:sz="0" w:space="0" w:color="auto"/>
        <w:left w:val="none" w:sz="0" w:space="0" w:color="auto"/>
        <w:bottom w:val="none" w:sz="0" w:space="0" w:color="auto"/>
        <w:right w:val="none" w:sz="0" w:space="0" w:color="auto"/>
      </w:divBdr>
    </w:div>
    <w:div w:id="358699314">
      <w:bodyDiv w:val="1"/>
      <w:marLeft w:val="0"/>
      <w:marRight w:val="0"/>
      <w:marTop w:val="0"/>
      <w:marBottom w:val="0"/>
      <w:divBdr>
        <w:top w:val="none" w:sz="0" w:space="0" w:color="auto"/>
        <w:left w:val="none" w:sz="0" w:space="0" w:color="auto"/>
        <w:bottom w:val="none" w:sz="0" w:space="0" w:color="auto"/>
        <w:right w:val="none" w:sz="0" w:space="0" w:color="auto"/>
      </w:divBdr>
      <w:divsChild>
        <w:div w:id="14426131">
          <w:marLeft w:val="0"/>
          <w:marRight w:val="0"/>
          <w:marTop w:val="0"/>
          <w:marBottom w:val="0"/>
          <w:divBdr>
            <w:top w:val="none" w:sz="0" w:space="0" w:color="auto"/>
            <w:left w:val="none" w:sz="0" w:space="0" w:color="auto"/>
            <w:bottom w:val="none" w:sz="0" w:space="0" w:color="auto"/>
            <w:right w:val="none" w:sz="0" w:space="0" w:color="auto"/>
          </w:divBdr>
        </w:div>
      </w:divsChild>
    </w:div>
    <w:div w:id="359204348">
      <w:bodyDiv w:val="1"/>
      <w:marLeft w:val="0"/>
      <w:marRight w:val="0"/>
      <w:marTop w:val="0"/>
      <w:marBottom w:val="0"/>
      <w:divBdr>
        <w:top w:val="none" w:sz="0" w:space="0" w:color="auto"/>
        <w:left w:val="none" w:sz="0" w:space="0" w:color="auto"/>
        <w:bottom w:val="none" w:sz="0" w:space="0" w:color="auto"/>
        <w:right w:val="none" w:sz="0" w:space="0" w:color="auto"/>
      </w:divBdr>
    </w:div>
    <w:div w:id="359553421">
      <w:bodyDiv w:val="1"/>
      <w:marLeft w:val="0"/>
      <w:marRight w:val="0"/>
      <w:marTop w:val="0"/>
      <w:marBottom w:val="0"/>
      <w:divBdr>
        <w:top w:val="none" w:sz="0" w:space="0" w:color="auto"/>
        <w:left w:val="none" w:sz="0" w:space="0" w:color="auto"/>
        <w:bottom w:val="none" w:sz="0" w:space="0" w:color="auto"/>
        <w:right w:val="none" w:sz="0" w:space="0" w:color="auto"/>
      </w:divBdr>
      <w:divsChild>
        <w:div w:id="502666222">
          <w:marLeft w:val="0"/>
          <w:marRight w:val="0"/>
          <w:marTop w:val="0"/>
          <w:marBottom w:val="150"/>
          <w:divBdr>
            <w:top w:val="none" w:sz="0" w:space="0" w:color="auto"/>
            <w:left w:val="none" w:sz="0" w:space="0" w:color="auto"/>
            <w:bottom w:val="none" w:sz="0" w:space="0" w:color="auto"/>
            <w:right w:val="none" w:sz="0" w:space="0" w:color="auto"/>
          </w:divBdr>
        </w:div>
      </w:divsChild>
    </w:div>
    <w:div w:id="360008519">
      <w:bodyDiv w:val="1"/>
      <w:marLeft w:val="0"/>
      <w:marRight w:val="0"/>
      <w:marTop w:val="0"/>
      <w:marBottom w:val="0"/>
      <w:divBdr>
        <w:top w:val="none" w:sz="0" w:space="0" w:color="auto"/>
        <w:left w:val="none" w:sz="0" w:space="0" w:color="auto"/>
        <w:bottom w:val="none" w:sz="0" w:space="0" w:color="auto"/>
        <w:right w:val="none" w:sz="0" w:space="0" w:color="auto"/>
      </w:divBdr>
      <w:divsChild>
        <w:div w:id="1974560929">
          <w:marLeft w:val="0"/>
          <w:marRight w:val="0"/>
          <w:marTop w:val="0"/>
          <w:marBottom w:val="0"/>
          <w:divBdr>
            <w:top w:val="none" w:sz="0" w:space="0" w:color="auto"/>
            <w:left w:val="none" w:sz="0" w:space="0" w:color="auto"/>
            <w:bottom w:val="none" w:sz="0" w:space="0" w:color="auto"/>
            <w:right w:val="none" w:sz="0" w:space="0" w:color="auto"/>
          </w:divBdr>
        </w:div>
      </w:divsChild>
    </w:div>
    <w:div w:id="360057614">
      <w:bodyDiv w:val="1"/>
      <w:marLeft w:val="0"/>
      <w:marRight w:val="0"/>
      <w:marTop w:val="0"/>
      <w:marBottom w:val="0"/>
      <w:divBdr>
        <w:top w:val="none" w:sz="0" w:space="0" w:color="auto"/>
        <w:left w:val="none" w:sz="0" w:space="0" w:color="auto"/>
        <w:bottom w:val="none" w:sz="0" w:space="0" w:color="auto"/>
        <w:right w:val="none" w:sz="0" w:space="0" w:color="auto"/>
      </w:divBdr>
      <w:divsChild>
        <w:div w:id="2016960693">
          <w:marLeft w:val="0"/>
          <w:marRight w:val="0"/>
          <w:marTop w:val="0"/>
          <w:marBottom w:val="0"/>
          <w:divBdr>
            <w:top w:val="none" w:sz="0" w:space="0" w:color="auto"/>
            <w:left w:val="none" w:sz="0" w:space="0" w:color="auto"/>
            <w:bottom w:val="dotted" w:sz="6" w:space="4" w:color="DDDDDD"/>
            <w:right w:val="none" w:sz="0" w:space="0" w:color="auto"/>
          </w:divBdr>
          <w:divsChild>
            <w:div w:id="34996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251843">
      <w:bodyDiv w:val="1"/>
      <w:marLeft w:val="0"/>
      <w:marRight w:val="0"/>
      <w:marTop w:val="0"/>
      <w:marBottom w:val="0"/>
      <w:divBdr>
        <w:top w:val="none" w:sz="0" w:space="0" w:color="auto"/>
        <w:left w:val="none" w:sz="0" w:space="0" w:color="auto"/>
        <w:bottom w:val="none" w:sz="0" w:space="0" w:color="auto"/>
        <w:right w:val="none" w:sz="0" w:space="0" w:color="auto"/>
      </w:divBdr>
    </w:div>
    <w:div w:id="360252100">
      <w:bodyDiv w:val="1"/>
      <w:marLeft w:val="0"/>
      <w:marRight w:val="0"/>
      <w:marTop w:val="0"/>
      <w:marBottom w:val="0"/>
      <w:divBdr>
        <w:top w:val="none" w:sz="0" w:space="0" w:color="auto"/>
        <w:left w:val="none" w:sz="0" w:space="0" w:color="auto"/>
        <w:bottom w:val="none" w:sz="0" w:space="0" w:color="auto"/>
        <w:right w:val="none" w:sz="0" w:space="0" w:color="auto"/>
      </w:divBdr>
      <w:divsChild>
        <w:div w:id="1289971666">
          <w:marLeft w:val="0"/>
          <w:marRight w:val="0"/>
          <w:marTop w:val="0"/>
          <w:marBottom w:val="0"/>
          <w:divBdr>
            <w:top w:val="none" w:sz="0" w:space="0" w:color="auto"/>
            <w:left w:val="none" w:sz="0" w:space="0" w:color="auto"/>
            <w:bottom w:val="none" w:sz="0" w:space="0" w:color="auto"/>
            <w:right w:val="none" w:sz="0" w:space="0" w:color="auto"/>
          </w:divBdr>
          <w:divsChild>
            <w:div w:id="69422931">
              <w:marLeft w:val="0"/>
              <w:marRight w:val="150"/>
              <w:marTop w:val="0"/>
              <w:marBottom w:val="0"/>
              <w:divBdr>
                <w:top w:val="none" w:sz="0" w:space="0" w:color="auto"/>
                <w:left w:val="none" w:sz="0" w:space="0" w:color="auto"/>
                <w:bottom w:val="none" w:sz="0" w:space="0" w:color="auto"/>
                <w:right w:val="none" w:sz="0" w:space="0" w:color="auto"/>
              </w:divBdr>
              <w:divsChild>
                <w:div w:id="875317313">
                  <w:marLeft w:val="0"/>
                  <w:marRight w:val="0"/>
                  <w:marTop w:val="0"/>
                  <w:marBottom w:val="0"/>
                  <w:divBdr>
                    <w:top w:val="none" w:sz="0" w:space="0" w:color="auto"/>
                    <w:left w:val="none" w:sz="0" w:space="0" w:color="auto"/>
                    <w:bottom w:val="none" w:sz="0" w:space="0" w:color="auto"/>
                    <w:right w:val="none" w:sz="0" w:space="0" w:color="auto"/>
                  </w:divBdr>
                  <w:divsChild>
                    <w:div w:id="352070672">
                      <w:marLeft w:val="0"/>
                      <w:marRight w:val="0"/>
                      <w:marTop w:val="0"/>
                      <w:marBottom w:val="0"/>
                      <w:divBdr>
                        <w:top w:val="none" w:sz="0" w:space="8" w:color="auto"/>
                        <w:left w:val="none" w:sz="0" w:space="2" w:color="auto"/>
                        <w:bottom w:val="single" w:sz="6" w:space="8" w:color="DDDDDD"/>
                        <w:right w:val="none" w:sz="0" w:space="0" w:color="auto"/>
                      </w:divBdr>
                    </w:div>
                    <w:div w:id="2020038770">
                      <w:marLeft w:val="0"/>
                      <w:marRight w:val="0"/>
                      <w:marTop w:val="150"/>
                      <w:marBottom w:val="0"/>
                      <w:divBdr>
                        <w:top w:val="none" w:sz="0" w:space="0" w:color="auto"/>
                        <w:left w:val="none" w:sz="0" w:space="0" w:color="auto"/>
                        <w:bottom w:val="none" w:sz="0" w:space="0" w:color="auto"/>
                        <w:right w:val="none" w:sz="0" w:space="0" w:color="auto"/>
                      </w:divBdr>
                      <w:divsChild>
                        <w:div w:id="9787497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748697241">
              <w:marLeft w:val="0"/>
              <w:marRight w:val="0"/>
              <w:marTop w:val="0"/>
              <w:marBottom w:val="0"/>
              <w:divBdr>
                <w:top w:val="none" w:sz="0" w:space="0" w:color="auto"/>
                <w:left w:val="none" w:sz="0" w:space="0" w:color="auto"/>
                <w:bottom w:val="single" w:sz="12" w:space="0" w:color="C4C4C4"/>
                <w:right w:val="none" w:sz="0" w:space="0" w:color="auto"/>
              </w:divBdr>
              <w:divsChild>
                <w:div w:id="123426483">
                  <w:marLeft w:val="0"/>
                  <w:marRight w:val="0"/>
                  <w:marTop w:val="0"/>
                  <w:marBottom w:val="0"/>
                  <w:divBdr>
                    <w:top w:val="none" w:sz="0" w:space="0" w:color="auto"/>
                    <w:left w:val="none" w:sz="0" w:space="0" w:color="auto"/>
                    <w:bottom w:val="none" w:sz="0" w:space="0" w:color="auto"/>
                    <w:right w:val="none" w:sz="0" w:space="0" w:color="auto"/>
                  </w:divBdr>
                  <w:divsChild>
                    <w:div w:id="184381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146883">
          <w:marLeft w:val="0"/>
          <w:marRight w:val="0"/>
          <w:marTop w:val="0"/>
          <w:marBottom w:val="0"/>
          <w:divBdr>
            <w:top w:val="single" w:sz="12" w:space="0" w:color="FFFFFF"/>
            <w:left w:val="none" w:sz="0" w:space="0" w:color="auto"/>
            <w:bottom w:val="single" w:sz="12" w:space="0" w:color="FFFFFF"/>
            <w:right w:val="none" w:sz="0" w:space="0" w:color="auto"/>
          </w:divBdr>
        </w:div>
      </w:divsChild>
    </w:div>
    <w:div w:id="360710991">
      <w:bodyDiv w:val="1"/>
      <w:marLeft w:val="0"/>
      <w:marRight w:val="0"/>
      <w:marTop w:val="0"/>
      <w:marBottom w:val="0"/>
      <w:divBdr>
        <w:top w:val="none" w:sz="0" w:space="0" w:color="auto"/>
        <w:left w:val="none" w:sz="0" w:space="0" w:color="auto"/>
        <w:bottom w:val="none" w:sz="0" w:space="0" w:color="auto"/>
        <w:right w:val="none" w:sz="0" w:space="0" w:color="auto"/>
      </w:divBdr>
      <w:divsChild>
        <w:div w:id="642582309">
          <w:marLeft w:val="0"/>
          <w:marRight w:val="0"/>
          <w:marTop w:val="0"/>
          <w:marBottom w:val="0"/>
          <w:divBdr>
            <w:top w:val="none" w:sz="0" w:space="0" w:color="auto"/>
            <w:left w:val="none" w:sz="0" w:space="0" w:color="auto"/>
            <w:bottom w:val="none" w:sz="0" w:space="0" w:color="auto"/>
            <w:right w:val="none" w:sz="0" w:space="0" w:color="auto"/>
          </w:divBdr>
          <w:divsChild>
            <w:div w:id="115815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39197">
      <w:bodyDiv w:val="1"/>
      <w:marLeft w:val="0"/>
      <w:marRight w:val="0"/>
      <w:marTop w:val="0"/>
      <w:marBottom w:val="0"/>
      <w:divBdr>
        <w:top w:val="none" w:sz="0" w:space="0" w:color="auto"/>
        <w:left w:val="none" w:sz="0" w:space="0" w:color="auto"/>
        <w:bottom w:val="none" w:sz="0" w:space="0" w:color="auto"/>
        <w:right w:val="none" w:sz="0" w:space="0" w:color="auto"/>
      </w:divBdr>
      <w:divsChild>
        <w:div w:id="122965119">
          <w:marLeft w:val="0"/>
          <w:marRight w:val="0"/>
          <w:marTop w:val="0"/>
          <w:marBottom w:val="0"/>
          <w:divBdr>
            <w:top w:val="none" w:sz="0" w:space="0" w:color="auto"/>
            <w:left w:val="none" w:sz="0" w:space="0" w:color="auto"/>
            <w:bottom w:val="none" w:sz="0" w:space="0" w:color="auto"/>
            <w:right w:val="none" w:sz="0" w:space="0" w:color="auto"/>
          </w:divBdr>
          <w:divsChild>
            <w:div w:id="962266619">
              <w:marLeft w:val="0"/>
              <w:marRight w:val="0"/>
              <w:marTop w:val="0"/>
              <w:marBottom w:val="300"/>
              <w:divBdr>
                <w:top w:val="none" w:sz="0" w:space="0" w:color="auto"/>
                <w:left w:val="none" w:sz="0" w:space="0" w:color="auto"/>
                <w:bottom w:val="single" w:sz="6" w:space="0" w:color="F1F1F1"/>
                <w:right w:val="none" w:sz="0" w:space="0" w:color="auto"/>
              </w:divBdr>
              <w:divsChild>
                <w:div w:id="8356516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96112596">
          <w:marLeft w:val="0"/>
          <w:marRight w:val="0"/>
          <w:marTop w:val="0"/>
          <w:marBottom w:val="0"/>
          <w:divBdr>
            <w:top w:val="none" w:sz="0" w:space="0" w:color="auto"/>
            <w:left w:val="none" w:sz="0" w:space="0" w:color="auto"/>
            <w:bottom w:val="none" w:sz="0" w:space="0" w:color="auto"/>
            <w:right w:val="none" w:sz="0" w:space="0" w:color="auto"/>
          </w:divBdr>
          <w:divsChild>
            <w:div w:id="1289434674">
              <w:marLeft w:val="0"/>
              <w:marRight w:val="0"/>
              <w:marTop w:val="0"/>
              <w:marBottom w:val="0"/>
              <w:divBdr>
                <w:top w:val="none" w:sz="0" w:space="0" w:color="auto"/>
                <w:left w:val="none" w:sz="0" w:space="0" w:color="auto"/>
                <w:bottom w:val="none" w:sz="0" w:space="0" w:color="auto"/>
                <w:right w:val="none" w:sz="0" w:space="0" w:color="auto"/>
              </w:divBdr>
              <w:divsChild>
                <w:div w:id="1001129633">
                  <w:marLeft w:val="300"/>
                  <w:marRight w:val="0"/>
                  <w:marTop w:val="0"/>
                  <w:marBottom w:val="0"/>
                  <w:divBdr>
                    <w:top w:val="none" w:sz="0" w:space="0" w:color="auto"/>
                    <w:left w:val="none" w:sz="0" w:space="0" w:color="auto"/>
                    <w:bottom w:val="none" w:sz="0" w:space="0" w:color="auto"/>
                    <w:right w:val="none" w:sz="0" w:space="0" w:color="auto"/>
                  </w:divBdr>
                  <w:divsChild>
                    <w:div w:id="1714160862">
                      <w:marLeft w:val="0"/>
                      <w:marRight w:val="0"/>
                      <w:marTop w:val="0"/>
                      <w:marBottom w:val="300"/>
                      <w:divBdr>
                        <w:top w:val="none" w:sz="0" w:space="0" w:color="auto"/>
                        <w:left w:val="none" w:sz="0" w:space="0" w:color="auto"/>
                        <w:bottom w:val="none" w:sz="0" w:space="0" w:color="auto"/>
                        <w:right w:val="none" w:sz="0" w:space="0" w:color="auto"/>
                      </w:divBdr>
                      <w:divsChild>
                        <w:div w:id="150295997">
                          <w:marLeft w:val="0"/>
                          <w:marRight w:val="0"/>
                          <w:marTop w:val="0"/>
                          <w:marBottom w:val="0"/>
                          <w:divBdr>
                            <w:top w:val="none" w:sz="0" w:space="0" w:color="auto"/>
                            <w:left w:val="none" w:sz="0" w:space="0" w:color="auto"/>
                            <w:bottom w:val="none" w:sz="0" w:space="0" w:color="auto"/>
                            <w:right w:val="none" w:sz="0" w:space="0" w:color="auto"/>
                          </w:divBdr>
                          <w:divsChild>
                            <w:div w:id="675348960">
                              <w:marLeft w:val="0"/>
                              <w:marRight w:val="0"/>
                              <w:marTop w:val="0"/>
                              <w:marBottom w:val="0"/>
                              <w:divBdr>
                                <w:top w:val="none" w:sz="0" w:space="0" w:color="auto"/>
                                <w:left w:val="none" w:sz="0" w:space="0" w:color="auto"/>
                                <w:bottom w:val="none" w:sz="0" w:space="0" w:color="auto"/>
                                <w:right w:val="none" w:sz="0" w:space="0" w:color="auto"/>
                              </w:divBdr>
                              <w:divsChild>
                                <w:div w:id="762385767">
                                  <w:marLeft w:val="0"/>
                                  <w:marRight w:val="0"/>
                                  <w:marTop w:val="0"/>
                                  <w:marBottom w:val="0"/>
                                  <w:divBdr>
                                    <w:top w:val="single" w:sz="2" w:space="0" w:color="DFDFDF"/>
                                    <w:left w:val="single" w:sz="2" w:space="0" w:color="DFDFDF"/>
                                    <w:bottom w:val="single" w:sz="2" w:space="0" w:color="DFDFDF"/>
                                    <w:right w:val="single" w:sz="2" w:space="0" w:color="DFDFDF"/>
                                  </w:divBdr>
                                  <w:divsChild>
                                    <w:div w:id="1249657561">
                                      <w:marLeft w:val="-90"/>
                                      <w:marRight w:val="0"/>
                                      <w:marTop w:val="0"/>
                                      <w:marBottom w:val="0"/>
                                      <w:divBdr>
                                        <w:top w:val="none" w:sz="0" w:space="0" w:color="auto"/>
                                        <w:left w:val="none" w:sz="0" w:space="0" w:color="auto"/>
                                        <w:bottom w:val="none" w:sz="0" w:space="0" w:color="auto"/>
                                        <w:right w:val="none" w:sz="0" w:space="0" w:color="auto"/>
                                      </w:divBdr>
                                      <w:divsChild>
                                        <w:div w:id="1611669178">
                                          <w:marLeft w:val="0"/>
                                          <w:marRight w:val="0"/>
                                          <w:marTop w:val="0"/>
                                          <w:marBottom w:val="45"/>
                                          <w:divBdr>
                                            <w:top w:val="single" w:sz="2" w:space="0" w:color="A9A9A9"/>
                                            <w:left w:val="single" w:sz="2" w:space="0" w:color="A9A9A9"/>
                                            <w:bottom w:val="single" w:sz="2" w:space="0" w:color="A9A9A9"/>
                                            <w:right w:val="single" w:sz="2" w:space="0" w:color="A9A9A9"/>
                                          </w:divBdr>
                                          <w:divsChild>
                                            <w:div w:id="625308252">
                                              <w:marLeft w:val="0"/>
                                              <w:marRight w:val="0"/>
                                              <w:marTop w:val="0"/>
                                              <w:marBottom w:val="0"/>
                                              <w:divBdr>
                                                <w:top w:val="none" w:sz="0" w:space="0" w:color="auto"/>
                                                <w:left w:val="none" w:sz="0" w:space="0" w:color="auto"/>
                                                <w:bottom w:val="none" w:sz="0" w:space="0" w:color="auto"/>
                                                <w:right w:val="none" w:sz="0" w:space="0" w:color="auto"/>
                                              </w:divBdr>
                                              <w:divsChild>
                                                <w:div w:id="943996204">
                                                  <w:marLeft w:val="92"/>
                                                  <w:marRight w:val="0"/>
                                                  <w:marTop w:val="0"/>
                                                  <w:marBottom w:val="150"/>
                                                  <w:divBdr>
                                                    <w:top w:val="single" w:sz="2" w:space="0" w:color="E4E4E4"/>
                                                    <w:left w:val="single" w:sz="2" w:space="0" w:color="E4E4E4"/>
                                                    <w:bottom w:val="single" w:sz="2" w:space="0" w:color="E4E4E4"/>
                                                    <w:right w:val="single" w:sz="2" w:space="0" w:color="E4E4E4"/>
                                                  </w:divBdr>
                                                </w:div>
                                                <w:div w:id="1439911509">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893124825">
                          <w:marLeft w:val="0"/>
                          <w:marRight w:val="0"/>
                          <w:marTop w:val="0"/>
                          <w:marBottom w:val="0"/>
                          <w:divBdr>
                            <w:top w:val="none" w:sz="0" w:space="0" w:color="auto"/>
                            <w:left w:val="none" w:sz="0" w:space="0" w:color="auto"/>
                            <w:bottom w:val="none" w:sz="0" w:space="0" w:color="auto"/>
                            <w:right w:val="none" w:sz="0" w:space="0" w:color="auto"/>
                          </w:divBdr>
                          <w:divsChild>
                            <w:div w:id="1697585428">
                              <w:marLeft w:val="0"/>
                              <w:marRight w:val="0"/>
                              <w:marTop w:val="0"/>
                              <w:marBottom w:val="0"/>
                              <w:divBdr>
                                <w:top w:val="none" w:sz="0" w:space="0" w:color="auto"/>
                                <w:left w:val="none" w:sz="0" w:space="0" w:color="auto"/>
                                <w:bottom w:val="none" w:sz="0" w:space="0" w:color="auto"/>
                                <w:right w:val="none" w:sz="0" w:space="0" w:color="auto"/>
                              </w:divBdr>
                              <w:divsChild>
                                <w:div w:id="1563058259">
                                  <w:marLeft w:val="0"/>
                                  <w:marRight w:val="0"/>
                                  <w:marTop w:val="0"/>
                                  <w:marBottom w:val="0"/>
                                  <w:divBdr>
                                    <w:top w:val="single" w:sz="2" w:space="0" w:color="DFDFDF"/>
                                    <w:left w:val="single" w:sz="2" w:space="0" w:color="DFDFDF"/>
                                    <w:bottom w:val="single" w:sz="2" w:space="0" w:color="DFDFDF"/>
                                    <w:right w:val="single" w:sz="2" w:space="0" w:color="DFDFDF"/>
                                  </w:divBdr>
                                  <w:divsChild>
                                    <w:div w:id="607665568">
                                      <w:marLeft w:val="0"/>
                                      <w:marRight w:val="0"/>
                                      <w:marTop w:val="0"/>
                                      <w:marBottom w:val="270"/>
                                      <w:divBdr>
                                        <w:top w:val="none" w:sz="0" w:space="0" w:color="auto"/>
                                        <w:left w:val="none" w:sz="0" w:space="0" w:color="auto"/>
                                        <w:bottom w:val="single" w:sz="12" w:space="5" w:color="DADADA"/>
                                        <w:right w:val="none" w:sz="0" w:space="0" w:color="auto"/>
                                      </w:divBdr>
                                      <w:divsChild>
                                        <w:div w:id="935793166">
                                          <w:marLeft w:val="0"/>
                                          <w:marRight w:val="0"/>
                                          <w:marTop w:val="0"/>
                                          <w:marBottom w:val="0"/>
                                          <w:divBdr>
                                            <w:top w:val="none" w:sz="0" w:space="0" w:color="auto"/>
                                            <w:left w:val="none" w:sz="0" w:space="0" w:color="auto"/>
                                            <w:bottom w:val="none" w:sz="0" w:space="0" w:color="auto"/>
                                            <w:right w:val="none" w:sz="0" w:space="0" w:color="auto"/>
                                          </w:divBdr>
                                        </w:div>
                                      </w:divsChild>
                                    </w:div>
                                    <w:div w:id="1508522010">
                                      <w:marLeft w:val="-90"/>
                                      <w:marRight w:val="0"/>
                                      <w:marTop w:val="0"/>
                                      <w:marBottom w:val="0"/>
                                      <w:divBdr>
                                        <w:top w:val="none" w:sz="0" w:space="0" w:color="auto"/>
                                        <w:left w:val="none" w:sz="0" w:space="0" w:color="auto"/>
                                        <w:bottom w:val="none" w:sz="0" w:space="0" w:color="auto"/>
                                        <w:right w:val="none" w:sz="0" w:space="0" w:color="auto"/>
                                      </w:divBdr>
                                      <w:divsChild>
                                        <w:div w:id="1545945302">
                                          <w:marLeft w:val="0"/>
                                          <w:marRight w:val="0"/>
                                          <w:marTop w:val="0"/>
                                          <w:marBottom w:val="45"/>
                                          <w:divBdr>
                                            <w:top w:val="single" w:sz="2" w:space="0" w:color="A9A9A9"/>
                                            <w:left w:val="single" w:sz="2" w:space="0" w:color="A9A9A9"/>
                                            <w:bottom w:val="single" w:sz="2" w:space="0" w:color="A9A9A9"/>
                                            <w:right w:val="single" w:sz="2" w:space="0" w:color="A9A9A9"/>
                                          </w:divBdr>
                                          <w:divsChild>
                                            <w:div w:id="814874703">
                                              <w:marLeft w:val="0"/>
                                              <w:marRight w:val="0"/>
                                              <w:marTop w:val="0"/>
                                              <w:marBottom w:val="0"/>
                                              <w:divBdr>
                                                <w:top w:val="none" w:sz="0" w:space="0" w:color="auto"/>
                                                <w:left w:val="none" w:sz="0" w:space="0" w:color="auto"/>
                                                <w:bottom w:val="none" w:sz="0" w:space="0" w:color="auto"/>
                                                <w:right w:val="none" w:sz="0" w:space="0" w:color="auto"/>
                                              </w:divBdr>
                                              <w:divsChild>
                                                <w:div w:id="149101677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344698065">
                  <w:marLeft w:val="0"/>
                  <w:marRight w:val="0"/>
                  <w:marTop w:val="0"/>
                  <w:marBottom w:val="0"/>
                  <w:divBdr>
                    <w:top w:val="none" w:sz="0" w:space="0" w:color="auto"/>
                    <w:left w:val="none" w:sz="0" w:space="0" w:color="auto"/>
                    <w:bottom w:val="none" w:sz="0" w:space="0" w:color="auto"/>
                    <w:right w:val="none" w:sz="0" w:space="0" w:color="auto"/>
                  </w:divBdr>
                  <w:divsChild>
                    <w:div w:id="312299344">
                      <w:marLeft w:val="0"/>
                      <w:marRight w:val="0"/>
                      <w:marTop w:val="0"/>
                      <w:marBottom w:val="75"/>
                      <w:divBdr>
                        <w:top w:val="none" w:sz="0" w:space="0" w:color="auto"/>
                        <w:left w:val="none" w:sz="0" w:space="0" w:color="auto"/>
                        <w:bottom w:val="none" w:sz="0" w:space="0" w:color="auto"/>
                        <w:right w:val="none" w:sz="0" w:space="0" w:color="auto"/>
                      </w:divBdr>
                    </w:div>
                    <w:div w:id="1351764250">
                      <w:marLeft w:val="0"/>
                      <w:marRight w:val="0"/>
                      <w:marTop w:val="0"/>
                      <w:marBottom w:val="300"/>
                      <w:divBdr>
                        <w:top w:val="none" w:sz="0" w:space="0" w:color="auto"/>
                        <w:left w:val="none" w:sz="0" w:space="0" w:color="auto"/>
                        <w:bottom w:val="none" w:sz="0" w:space="0" w:color="auto"/>
                        <w:right w:val="none" w:sz="0" w:space="0" w:color="auto"/>
                      </w:divBdr>
                      <w:divsChild>
                        <w:div w:id="1456018028">
                          <w:marLeft w:val="0"/>
                          <w:marRight w:val="0"/>
                          <w:marTop w:val="0"/>
                          <w:marBottom w:val="0"/>
                          <w:divBdr>
                            <w:top w:val="none" w:sz="0" w:space="0" w:color="auto"/>
                            <w:left w:val="none" w:sz="0" w:space="0" w:color="auto"/>
                            <w:bottom w:val="none" w:sz="0" w:space="0" w:color="auto"/>
                            <w:right w:val="none" w:sz="0" w:space="0" w:color="auto"/>
                          </w:divBdr>
                        </w:div>
                      </w:divsChild>
                    </w:div>
                    <w:div w:id="1488783581">
                      <w:marLeft w:val="0"/>
                      <w:marRight w:val="0"/>
                      <w:marTop w:val="0"/>
                      <w:marBottom w:val="0"/>
                      <w:divBdr>
                        <w:top w:val="none" w:sz="0" w:space="0" w:color="auto"/>
                        <w:left w:val="none" w:sz="0" w:space="0" w:color="auto"/>
                        <w:bottom w:val="none" w:sz="0" w:space="0" w:color="auto"/>
                        <w:right w:val="none" w:sz="0" w:space="0" w:color="auto"/>
                      </w:divBdr>
                      <w:divsChild>
                        <w:div w:id="2088383264">
                          <w:marLeft w:val="0"/>
                          <w:marRight w:val="0"/>
                          <w:marTop w:val="0"/>
                          <w:marBottom w:val="0"/>
                          <w:divBdr>
                            <w:top w:val="none" w:sz="0" w:space="0" w:color="auto"/>
                            <w:left w:val="none" w:sz="0" w:space="0" w:color="auto"/>
                            <w:bottom w:val="none" w:sz="0" w:space="0" w:color="auto"/>
                            <w:right w:val="none" w:sz="0" w:space="0" w:color="auto"/>
                          </w:divBdr>
                          <w:divsChild>
                            <w:div w:id="146580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10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782268">
      <w:bodyDiv w:val="1"/>
      <w:marLeft w:val="0"/>
      <w:marRight w:val="0"/>
      <w:marTop w:val="0"/>
      <w:marBottom w:val="0"/>
      <w:divBdr>
        <w:top w:val="none" w:sz="0" w:space="0" w:color="auto"/>
        <w:left w:val="none" w:sz="0" w:space="0" w:color="auto"/>
        <w:bottom w:val="none" w:sz="0" w:space="0" w:color="auto"/>
        <w:right w:val="none" w:sz="0" w:space="0" w:color="auto"/>
      </w:divBdr>
      <w:divsChild>
        <w:div w:id="1997221718">
          <w:marLeft w:val="0"/>
          <w:marRight w:val="0"/>
          <w:marTop w:val="0"/>
          <w:marBottom w:val="150"/>
          <w:divBdr>
            <w:top w:val="none" w:sz="0" w:space="0" w:color="auto"/>
            <w:left w:val="none" w:sz="0" w:space="0" w:color="auto"/>
            <w:bottom w:val="none" w:sz="0" w:space="0" w:color="auto"/>
            <w:right w:val="none" w:sz="0" w:space="0" w:color="auto"/>
          </w:divBdr>
        </w:div>
      </w:divsChild>
    </w:div>
    <w:div w:id="360936909">
      <w:bodyDiv w:val="1"/>
      <w:marLeft w:val="0"/>
      <w:marRight w:val="0"/>
      <w:marTop w:val="0"/>
      <w:marBottom w:val="0"/>
      <w:divBdr>
        <w:top w:val="none" w:sz="0" w:space="0" w:color="auto"/>
        <w:left w:val="none" w:sz="0" w:space="0" w:color="auto"/>
        <w:bottom w:val="none" w:sz="0" w:space="0" w:color="auto"/>
        <w:right w:val="none" w:sz="0" w:space="0" w:color="auto"/>
      </w:divBdr>
    </w:div>
    <w:div w:id="361365831">
      <w:bodyDiv w:val="1"/>
      <w:marLeft w:val="0"/>
      <w:marRight w:val="0"/>
      <w:marTop w:val="0"/>
      <w:marBottom w:val="0"/>
      <w:divBdr>
        <w:top w:val="none" w:sz="0" w:space="0" w:color="auto"/>
        <w:left w:val="none" w:sz="0" w:space="0" w:color="auto"/>
        <w:bottom w:val="none" w:sz="0" w:space="0" w:color="auto"/>
        <w:right w:val="none" w:sz="0" w:space="0" w:color="auto"/>
      </w:divBdr>
      <w:divsChild>
        <w:div w:id="1316303129">
          <w:marLeft w:val="0"/>
          <w:marRight w:val="0"/>
          <w:marTop w:val="0"/>
          <w:marBottom w:val="0"/>
          <w:divBdr>
            <w:top w:val="none" w:sz="0" w:space="0" w:color="auto"/>
            <w:left w:val="none" w:sz="0" w:space="0" w:color="auto"/>
            <w:bottom w:val="none" w:sz="0" w:space="0" w:color="auto"/>
            <w:right w:val="none" w:sz="0" w:space="0" w:color="auto"/>
          </w:divBdr>
        </w:div>
      </w:divsChild>
    </w:div>
    <w:div w:id="361787748">
      <w:bodyDiv w:val="1"/>
      <w:marLeft w:val="0"/>
      <w:marRight w:val="0"/>
      <w:marTop w:val="0"/>
      <w:marBottom w:val="0"/>
      <w:divBdr>
        <w:top w:val="none" w:sz="0" w:space="0" w:color="auto"/>
        <w:left w:val="none" w:sz="0" w:space="0" w:color="auto"/>
        <w:bottom w:val="none" w:sz="0" w:space="0" w:color="auto"/>
        <w:right w:val="none" w:sz="0" w:space="0" w:color="auto"/>
      </w:divBdr>
    </w:div>
    <w:div w:id="361906064">
      <w:bodyDiv w:val="1"/>
      <w:marLeft w:val="0"/>
      <w:marRight w:val="0"/>
      <w:marTop w:val="0"/>
      <w:marBottom w:val="0"/>
      <w:divBdr>
        <w:top w:val="none" w:sz="0" w:space="0" w:color="auto"/>
        <w:left w:val="none" w:sz="0" w:space="0" w:color="auto"/>
        <w:bottom w:val="none" w:sz="0" w:space="0" w:color="auto"/>
        <w:right w:val="none" w:sz="0" w:space="0" w:color="auto"/>
      </w:divBdr>
      <w:divsChild>
        <w:div w:id="617373051">
          <w:marLeft w:val="0"/>
          <w:marRight w:val="0"/>
          <w:marTop w:val="0"/>
          <w:marBottom w:val="150"/>
          <w:divBdr>
            <w:top w:val="none" w:sz="0" w:space="0" w:color="auto"/>
            <w:left w:val="none" w:sz="0" w:space="0" w:color="auto"/>
            <w:bottom w:val="none" w:sz="0" w:space="0" w:color="auto"/>
            <w:right w:val="none" w:sz="0" w:space="0" w:color="auto"/>
          </w:divBdr>
          <w:divsChild>
            <w:div w:id="664282072">
              <w:marLeft w:val="0"/>
              <w:marRight w:val="0"/>
              <w:marTop w:val="0"/>
              <w:marBottom w:val="0"/>
              <w:divBdr>
                <w:top w:val="none" w:sz="0" w:space="0" w:color="auto"/>
                <w:left w:val="none" w:sz="0" w:space="0" w:color="auto"/>
                <w:bottom w:val="none" w:sz="0" w:space="0" w:color="auto"/>
                <w:right w:val="none" w:sz="0" w:space="0" w:color="auto"/>
              </w:divBdr>
              <w:divsChild>
                <w:div w:id="9696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48121">
          <w:marLeft w:val="0"/>
          <w:marRight w:val="0"/>
          <w:marTop w:val="0"/>
          <w:marBottom w:val="0"/>
          <w:divBdr>
            <w:top w:val="none" w:sz="0" w:space="0" w:color="auto"/>
            <w:left w:val="none" w:sz="0" w:space="0" w:color="auto"/>
            <w:bottom w:val="none" w:sz="0" w:space="0" w:color="auto"/>
            <w:right w:val="none" w:sz="0" w:space="0" w:color="auto"/>
          </w:divBdr>
          <w:divsChild>
            <w:div w:id="1253393821">
              <w:marLeft w:val="0"/>
              <w:marRight w:val="0"/>
              <w:marTop w:val="225"/>
              <w:marBottom w:val="225"/>
              <w:divBdr>
                <w:top w:val="none" w:sz="0" w:space="0" w:color="auto"/>
                <w:left w:val="none" w:sz="0" w:space="0" w:color="auto"/>
                <w:bottom w:val="none" w:sz="0" w:space="0" w:color="auto"/>
                <w:right w:val="none" w:sz="0" w:space="0" w:color="auto"/>
              </w:divBdr>
            </w:div>
          </w:divsChild>
        </w:div>
        <w:div w:id="1581450509">
          <w:marLeft w:val="0"/>
          <w:marRight w:val="0"/>
          <w:marTop w:val="0"/>
          <w:marBottom w:val="150"/>
          <w:divBdr>
            <w:top w:val="none" w:sz="0" w:space="0" w:color="auto"/>
            <w:left w:val="none" w:sz="0" w:space="0" w:color="auto"/>
            <w:bottom w:val="none" w:sz="0" w:space="0" w:color="auto"/>
            <w:right w:val="none" w:sz="0" w:space="0" w:color="auto"/>
          </w:divBdr>
        </w:div>
      </w:divsChild>
    </w:div>
    <w:div w:id="362754281">
      <w:bodyDiv w:val="1"/>
      <w:marLeft w:val="0"/>
      <w:marRight w:val="0"/>
      <w:marTop w:val="0"/>
      <w:marBottom w:val="0"/>
      <w:divBdr>
        <w:top w:val="none" w:sz="0" w:space="0" w:color="auto"/>
        <w:left w:val="none" w:sz="0" w:space="0" w:color="auto"/>
        <w:bottom w:val="none" w:sz="0" w:space="0" w:color="auto"/>
        <w:right w:val="none" w:sz="0" w:space="0" w:color="auto"/>
      </w:divBdr>
    </w:div>
    <w:div w:id="362825849">
      <w:bodyDiv w:val="1"/>
      <w:marLeft w:val="0"/>
      <w:marRight w:val="0"/>
      <w:marTop w:val="0"/>
      <w:marBottom w:val="0"/>
      <w:divBdr>
        <w:top w:val="none" w:sz="0" w:space="0" w:color="auto"/>
        <w:left w:val="none" w:sz="0" w:space="0" w:color="auto"/>
        <w:bottom w:val="none" w:sz="0" w:space="0" w:color="auto"/>
        <w:right w:val="none" w:sz="0" w:space="0" w:color="auto"/>
      </w:divBdr>
      <w:divsChild>
        <w:div w:id="1835296405">
          <w:marLeft w:val="0"/>
          <w:marRight w:val="0"/>
          <w:marTop w:val="0"/>
          <w:marBottom w:val="150"/>
          <w:divBdr>
            <w:top w:val="none" w:sz="0" w:space="0" w:color="auto"/>
            <w:left w:val="none" w:sz="0" w:space="0" w:color="auto"/>
            <w:bottom w:val="none" w:sz="0" w:space="0" w:color="auto"/>
            <w:right w:val="none" w:sz="0" w:space="0" w:color="auto"/>
          </w:divBdr>
        </w:div>
      </w:divsChild>
    </w:div>
    <w:div w:id="363020129">
      <w:bodyDiv w:val="1"/>
      <w:marLeft w:val="0"/>
      <w:marRight w:val="0"/>
      <w:marTop w:val="0"/>
      <w:marBottom w:val="0"/>
      <w:divBdr>
        <w:top w:val="none" w:sz="0" w:space="0" w:color="auto"/>
        <w:left w:val="none" w:sz="0" w:space="0" w:color="auto"/>
        <w:bottom w:val="none" w:sz="0" w:space="0" w:color="auto"/>
        <w:right w:val="none" w:sz="0" w:space="0" w:color="auto"/>
      </w:divBdr>
      <w:divsChild>
        <w:div w:id="1409376196">
          <w:marLeft w:val="0"/>
          <w:marRight w:val="0"/>
          <w:marTop w:val="0"/>
          <w:marBottom w:val="0"/>
          <w:divBdr>
            <w:top w:val="none" w:sz="0" w:space="0" w:color="auto"/>
            <w:left w:val="none" w:sz="0" w:space="0" w:color="auto"/>
            <w:bottom w:val="none" w:sz="0" w:space="0" w:color="auto"/>
            <w:right w:val="none" w:sz="0" w:space="0" w:color="auto"/>
          </w:divBdr>
          <w:divsChild>
            <w:div w:id="223226588">
              <w:marLeft w:val="0"/>
              <w:marRight w:val="0"/>
              <w:marTop w:val="0"/>
              <w:marBottom w:val="0"/>
              <w:divBdr>
                <w:top w:val="none" w:sz="0" w:space="0" w:color="auto"/>
                <w:left w:val="none" w:sz="0" w:space="0" w:color="auto"/>
                <w:bottom w:val="none" w:sz="0" w:space="0" w:color="auto"/>
                <w:right w:val="none" w:sz="0" w:space="0" w:color="auto"/>
              </w:divBdr>
            </w:div>
            <w:div w:id="374473564">
              <w:marLeft w:val="0"/>
              <w:marRight w:val="0"/>
              <w:marTop w:val="0"/>
              <w:marBottom w:val="0"/>
              <w:divBdr>
                <w:top w:val="none" w:sz="0" w:space="0" w:color="auto"/>
                <w:left w:val="none" w:sz="0" w:space="0" w:color="auto"/>
                <w:bottom w:val="none" w:sz="0" w:space="0" w:color="auto"/>
                <w:right w:val="none" w:sz="0" w:space="0" w:color="auto"/>
              </w:divBdr>
            </w:div>
            <w:div w:id="519705440">
              <w:marLeft w:val="0"/>
              <w:marRight w:val="0"/>
              <w:marTop w:val="0"/>
              <w:marBottom w:val="0"/>
              <w:divBdr>
                <w:top w:val="none" w:sz="0" w:space="0" w:color="auto"/>
                <w:left w:val="none" w:sz="0" w:space="0" w:color="auto"/>
                <w:bottom w:val="none" w:sz="0" w:space="0" w:color="auto"/>
                <w:right w:val="none" w:sz="0" w:space="0" w:color="auto"/>
              </w:divBdr>
            </w:div>
            <w:div w:id="668288234">
              <w:marLeft w:val="0"/>
              <w:marRight w:val="0"/>
              <w:marTop w:val="0"/>
              <w:marBottom w:val="0"/>
              <w:divBdr>
                <w:top w:val="none" w:sz="0" w:space="0" w:color="auto"/>
                <w:left w:val="none" w:sz="0" w:space="0" w:color="auto"/>
                <w:bottom w:val="none" w:sz="0" w:space="0" w:color="auto"/>
                <w:right w:val="none" w:sz="0" w:space="0" w:color="auto"/>
              </w:divBdr>
            </w:div>
            <w:div w:id="784427366">
              <w:marLeft w:val="0"/>
              <w:marRight w:val="0"/>
              <w:marTop w:val="0"/>
              <w:marBottom w:val="0"/>
              <w:divBdr>
                <w:top w:val="none" w:sz="0" w:space="0" w:color="auto"/>
                <w:left w:val="none" w:sz="0" w:space="0" w:color="auto"/>
                <w:bottom w:val="none" w:sz="0" w:space="0" w:color="auto"/>
                <w:right w:val="none" w:sz="0" w:space="0" w:color="auto"/>
              </w:divBdr>
            </w:div>
            <w:div w:id="1304580375">
              <w:marLeft w:val="0"/>
              <w:marRight w:val="0"/>
              <w:marTop w:val="0"/>
              <w:marBottom w:val="0"/>
              <w:divBdr>
                <w:top w:val="none" w:sz="0" w:space="0" w:color="auto"/>
                <w:left w:val="none" w:sz="0" w:space="0" w:color="auto"/>
                <w:bottom w:val="none" w:sz="0" w:space="0" w:color="auto"/>
                <w:right w:val="none" w:sz="0" w:space="0" w:color="auto"/>
              </w:divBdr>
            </w:div>
            <w:div w:id="1394542138">
              <w:marLeft w:val="0"/>
              <w:marRight w:val="0"/>
              <w:marTop w:val="0"/>
              <w:marBottom w:val="0"/>
              <w:divBdr>
                <w:top w:val="none" w:sz="0" w:space="0" w:color="auto"/>
                <w:left w:val="none" w:sz="0" w:space="0" w:color="auto"/>
                <w:bottom w:val="none" w:sz="0" w:space="0" w:color="auto"/>
                <w:right w:val="none" w:sz="0" w:space="0" w:color="auto"/>
              </w:divBdr>
            </w:div>
            <w:div w:id="1524243462">
              <w:marLeft w:val="0"/>
              <w:marRight w:val="0"/>
              <w:marTop w:val="0"/>
              <w:marBottom w:val="0"/>
              <w:divBdr>
                <w:top w:val="none" w:sz="0" w:space="0" w:color="auto"/>
                <w:left w:val="none" w:sz="0" w:space="0" w:color="auto"/>
                <w:bottom w:val="none" w:sz="0" w:space="0" w:color="auto"/>
                <w:right w:val="none" w:sz="0" w:space="0" w:color="auto"/>
              </w:divBdr>
            </w:div>
            <w:div w:id="1634098620">
              <w:marLeft w:val="0"/>
              <w:marRight w:val="0"/>
              <w:marTop w:val="0"/>
              <w:marBottom w:val="0"/>
              <w:divBdr>
                <w:top w:val="none" w:sz="0" w:space="0" w:color="auto"/>
                <w:left w:val="none" w:sz="0" w:space="0" w:color="auto"/>
                <w:bottom w:val="none" w:sz="0" w:space="0" w:color="auto"/>
                <w:right w:val="none" w:sz="0" w:space="0" w:color="auto"/>
              </w:divBdr>
            </w:div>
            <w:div w:id="1635870276">
              <w:marLeft w:val="0"/>
              <w:marRight w:val="0"/>
              <w:marTop w:val="0"/>
              <w:marBottom w:val="0"/>
              <w:divBdr>
                <w:top w:val="none" w:sz="0" w:space="0" w:color="auto"/>
                <w:left w:val="none" w:sz="0" w:space="0" w:color="auto"/>
                <w:bottom w:val="none" w:sz="0" w:space="0" w:color="auto"/>
                <w:right w:val="none" w:sz="0" w:space="0" w:color="auto"/>
              </w:divBdr>
            </w:div>
            <w:div w:id="1764766610">
              <w:marLeft w:val="0"/>
              <w:marRight w:val="0"/>
              <w:marTop w:val="0"/>
              <w:marBottom w:val="0"/>
              <w:divBdr>
                <w:top w:val="none" w:sz="0" w:space="0" w:color="auto"/>
                <w:left w:val="none" w:sz="0" w:space="0" w:color="auto"/>
                <w:bottom w:val="none" w:sz="0" w:space="0" w:color="auto"/>
                <w:right w:val="none" w:sz="0" w:space="0" w:color="auto"/>
              </w:divBdr>
            </w:div>
            <w:div w:id="1806123517">
              <w:marLeft w:val="0"/>
              <w:marRight w:val="0"/>
              <w:marTop w:val="0"/>
              <w:marBottom w:val="0"/>
              <w:divBdr>
                <w:top w:val="none" w:sz="0" w:space="0" w:color="auto"/>
                <w:left w:val="none" w:sz="0" w:space="0" w:color="auto"/>
                <w:bottom w:val="none" w:sz="0" w:space="0" w:color="auto"/>
                <w:right w:val="none" w:sz="0" w:space="0" w:color="auto"/>
              </w:divBdr>
            </w:div>
            <w:div w:id="1831017935">
              <w:marLeft w:val="0"/>
              <w:marRight w:val="0"/>
              <w:marTop w:val="0"/>
              <w:marBottom w:val="0"/>
              <w:divBdr>
                <w:top w:val="none" w:sz="0" w:space="0" w:color="auto"/>
                <w:left w:val="none" w:sz="0" w:space="0" w:color="auto"/>
                <w:bottom w:val="none" w:sz="0" w:space="0" w:color="auto"/>
                <w:right w:val="none" w:sz="0" w:space="0" w:color="auto"/>
              </w:divBdr>
            </w:div>
            <w:div w:id="1883833197">
              <w:marLeft w:val="0"/>
              <w:marRight w:val="0"/>
              <w:marTop w:val="0"/>
              <w:marBottom w:val="0"/>
              <w:divBdr>
                <w:top w:val="none" w:sz="0" w:space="0" w:color="auto"/>
                <w:left w:val="none" w:sz="0" w:space="0" w:color="auto"/>
                <w:bottom w:val="none" w:sz="0" w:space="0" w:color="auto"/>
                <w:right w:val="none" w:sz="0" w:space="0" w:color="auto"/>
              </w:divBdr>
            </w:div>
            <w:div w:id="2025400785">
              <w:marLeft w:val="0"/>
              <w:marRight w:val="0"/>
              <w:marTop w:val="0"/>
              <w:marBottom w:val="0"/>
              <w:divBdr>
                <w:top w:val="none" w:sz="0" w:space="0" w:color="auto"/>
                <w:left w:val="none" w:sz="0" w:space="0" w:color="auto"/>
                <w:bottom w:val="none" w:sz="0" w:space="0" w:color="auto"/>
                <w:right w:val="none" w:sz="0" w:space="0" w:color="auto"/>
              </w:divBdr>
            </w:div>
            <w:div w:id="208950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747972">
      <w:bodyDiv w:val="1"/>
      <w:marLeft w:val="0"/>
      <w:marRight w:val="0"/>
      <w:marTop w:val="0"/>
      <w:marBottom w:val="0"/>
      <w:divBdr>
        <w:top w:val="none" w:sz="0" w:space="0" w:color="auto"/>
        <w:left w:val="none" w:sz="0" w:space="0" w:color="auto"/>
        <w:bottom w:val="none" w:sz="0" w:space="0" w:color="auto"/>
        <w:right w:val="none" w:sz="0" w:space="0" w:color="auto"/>
      </w:divBdr>
    </w:div>
    <w:div w:id="363749815">
      <w:bodyDiv w:val="1"/>
      <w:marLeft w:val="0"/>
      <w:marRight w:val="0"/>
      <w:marTop w:val="0"/>
      <w:marBottom w:val="0"/>
      <w:divBdr>
        <w:top w:val="none" w:sz="0" w:space="0" w:color="auto"/>
        <w:left w:val="none" w:sz="0" w:space="0" w:color="auto"/>
        <w:bottom w:val="none" w:sz="0" w:space="0" w:color="auto"/>
        <w:right w:val="none" w:sz="0" w:space="0" w:color="auto"/>
      </w:divBdr>
    </w:div>
    <w:div w:id="363989600">
      <w:bodyDiv w:val="1"/>
      <w:marLeft w:val="0"/>
      <w:marRight w:val="0"/>
      <w:marTop w:val="0"/>
      <w:marBottom w:val="0"/>
      <w:divBdr>
        <w:top w:val="none" w:sz="0" w:space="0" w:color="auto"/>
        <w:left w:val="none" w:sz="0" w:space="0" w:color="auto"/>
        <w:bottom w:val="none" w:sz="0" w:space="0" w:color="auto"/>
        <w:right w:val="none" w:sz="0" w:space="0" w:color="auto"/>
      </w:divBdr>
      <w:divsChild>
        <w:div w:id="954679388">
          <w:marLeft w:val="0"/>
          <w:marRight w:val="0"/>
          <w:marTop w:val="0"/>
          <w:marBottom w:val="150"/>
          <w:divBdr>
            <w:top w:val="none" w:sz="0" w:space="0" w:color="auto"/>
            <w:left w:val="none" w:sz="0" w:space="0" w:color="auto"/>
            <w:bottom w:val="none" w:sz="0" w:space="0" w:color="auto"/>
            <w:right w:val="none" w:sz="0" w:space="0" w:color="auto"/>
          </w:divBdr>
        </w:div>
      </w:divsChild>
    </w:div>
    <w:div w:id="364142802">
      <w:bodyDiv w:val="1"/>
      <w:marLeft w:val="0"/>
      <w:marRight w:val="0"/>
      <w:marTop w:val="0"/>
      <w:marBottom w:val="0"/>
      <w:divBdr>
        <w:top w:val="none" w:sz="0" w:space="0" w:color="auto"/>
        <w:left w:val="none" w:sz="0" w:space="0" w:color="auto"/>
        <w:bottom w:val="none" w:sz="0" w:space="0" w:color="auto"/>
        <w:right w:val="none" w:sz="0" w:space="0" w:color="auto"/>
      </w:divBdr>
    </w:div>
    <w:div w:id="364410584">
      <w:bodyDiv w:val="1"/>
      <w:marLeft w:val="0"/>
      <w:marRight w:val="0"/>
      <w:marTop w:val="0"/>
      <w:marBottom w:val="0"/>
      <w:divBdr>
        <w:top w:val="none" w:sz="0" w:space="0" w:color="auto"/>
        <w:left w:val="none" w:sz="0" w:space="0" w:color="auto"/>
        <w:bottom w:val="none" w:sz="0" w:space="0" w:color="auto"/>
        <w:right w:val="none" w:sz="0" w:space="0" w:color="auto"/>
      </w:divBdr>
      <w:divsChild>
        <w:div w:id="808480679">
          <w:marLeft w:val="0"/>
          <w:marRight w:val="0"/>
          <w:marTop w:val="0"/>
          <w:marBottom w:val="0"/>
          <w:divBdr>
            <w:top w:val="none" w:sz="0" w:space="0" w:color="auto"/>
            <w:left w:val="none" w:sz="0" w:space="0" w:color="auto"/>
            <w:bottom w:val="dotted" w:sz="6" w:space="4" w:color="DDDDDD"/>
            <w:right w:val="none" w:sz="0" w:space="0" w:color="auto"/>
          </w:divBdr>
        </w:div>
      </w:divsChild>
    </w:div>
    <w:div w:id="364600003">
      <w:bodyDiv w:val="1"/>
      <w:marLeft w:val="0"/>
      <w:marRight w:val="0"/>
      <w:marTop w:val="0"/>
      <w:marBottom w:val="0"/>
      <w:divBdr>
        <w:top w:val="none" w:sz="0" w:space="0" w:color="auto"/>
        <w:left w:val="none" w:sz="0" w:space="0" w:color="auto"/>
        <w:bottom w:val="none" w:sz="0" w:space="0" w:color="auto"/>
        <w:right w:val="none" w:sz="0" w:space="0" w:color="auto"/>
      </w:divBdr>
    </w:div>
    <w:div w:id="365258475">
      <w:bodyDiv w:val="1"/>
      <w:marLeft w:val="0"/>
      <w:marRight w:val="0"/>
      <w:marTop w:val="0"/>
      <w:marBottom w:val="0"/>
      <w:divBdr>
        <w:top w:val="none" w:sz="0" w:space="0" w:color="auto"/>
        <w:left w:val="none" w:sz="0" w:space="0" w:color="auto"/>
        <w:bottom w:val="none" w:sz="0" w:space="0" w:color="auto"/>
        <w:right w:val="none" w:sz="0" w:space="0" w:color="auto"/>
      </w:divBdr>
      <w:divsChild>
        <w:div w:id="127742679">
          <w:marLeft w:val="0"/>
          <w:marRight w:val="0"/>
          <w:marTop w:val="0"/>
          <w:marBottom w:val="150"/>
          <w:divBdr>
            <w:top w:val="none" w:sz="0" w:space="0" w:color="auto"/>
            <w:left w:val="none" w:sz="0" w:space="0" w:color="auto"/>
            <w:bottom w:val="none" w:sz="0" w:space="0" w:color="auto"/>
            <w:right w:val="none" w:sz="0" w:space="0" w:color="auto"/>
          </w:divBdr>
          <w:divsChild>
            <w:div w:id="892959900">
              <w:marLeft w:val="0"/>
              <w:marRight w:val="0"/>
              <w:marTop w:val="0"/>
              <w:marBottom w:val="0"/>
              <w:divBdr>
                <w:top w:val="none" w:sz="0" w:space="0" w:color="auto"/>
                <w:left w:val="none" w:sz="0" w:space="0" w:color="auto"/>
                <w:bottom w:val="none" w:sz="0" w:space="0" w:color="auto"/>
                <w:right w:val="none" w:sz="0" w:space="0" w:color="auto"/>
              </w:divBdr>
              <w:divsChild>
                <w:div w:id="459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494256">
          <w:marLeft w:val="0"/>
          <w:marRight w:val="0"/>
          <w:marTop w:val="0"/>
          <w:marBottom w:val="0"/>
          <w:divBdr>
            <w:top w:val="none" w:sz="0" w:space="0" w:color="auto"/>
            <w:left w:val="none" w:sz="0" w:space="0" w:color="auto"/>
            <w:bottom w:val="none" w:sz="0" w:space="0" w:color="auto"/>
            <w:right w:val="none" w:sz="0" w:space="0" w:color="auto"/>
          </w:divBdr>
          <w:divsChild>
            <w:div w:id="341594345">
              <w:marLeft w:val="0"/>
              <w:marRight w:val="0"/>
              <w:marTop w:val="225"/>
              <w:marBottom w:val="225"/>
              <w:divBdr>
                <w:top w:val="none" w:sz="0" w:space="0" w:color="auto"/>
                <w:left w:val="none" w:sz="0" w:space="0" w:color="auto"/>
                <w:bottom w:val="none" w:sz="0" w:space="0" w:color="auto"/>
                <w:right w:val="none" w:sz="0" w:space="0" w:color="auto"/>
              </w:divBdr>
            </w:div>
          </w:divsChild>
        </w:div>
        <w:div w:id="2136291640">
          <w:marLeft w:val="0"/>
          <w:marRight w:val="0"/>
          <w:marTop w:val="0"/>
          <w:marBottom w:val="150"/>
          <w:divBdr>
            <w:top w:val="none" w:sz="0" w:space="0" w:color="auto"/>
            <w:left w:val="none" w:sz="0" w:space="0" w:color="auto"/>
            <w:bottom w:val="none" w:sz="0" w:space="0" w:color="auto"/>
            <w:right w:val="none" w:sz="0" w:space="0" w:color="auto"/>
          </w:divBdr>
        </w:div>
      </w:divsChild>
    </w:div>
    <w:div w:id="365564162">
      <w:bodyDiv w:val="1"/>
      <w:marLeft w:val="0"/>
      <w:marRight w:val="0"/>
      <w:marTop w:val="0"/>
      <w:marBottom w:val="0"/>
      <w:divBdr>
        <w:top w:val="none" w:sz="0" w:space="0" w:color="auto"/>
        <w:left w:val="none" w:sz="0" w:space="0" w:color="auto"/>
        <w:bottom w:val="none" w:sz="0" w:space="0" w:color="auto"/>
        <w:right w:val="none" w:sz="0" w:space="0" w:color="auto"/>
      </w:divBdr>
      <w:divsChild>
        <w:div w:id="190187627">
          <w:marLeft w:val="0"/>
          <w:marRight w:val="0"/>
          <w:marTop w:val="0"/>
          <w:marBottom w:val="150"/>
          <w:divBdr>
            <w:top w:val="none" w:sz="0" w:space="0" w:color="auto"/>
            <w:left w:val="none" w:sz="0" w:space="0" w:color="auto"/>
            <w:bottom w:val="none" w:sz="0" w:space="0" w:color="auto"/>
            <w:right w:val="none" w:sz="0" w:space="0" w:color="auto"/>
          </w:divBdr>
        </w:div>
        <w:div w:id="976302507">
          <w:marLeft w:val="0"/>
          <w:marRight w:val="0"/>
          <w:marTop w:val="0"/>
          <w:marBottom w:val="0"/>
          <w:divBdr>
            <w:top w:val="none" w:sz="0" w:space="0" w:color="auto"/>
            <w:left w:val="none" w:sz="0" w:space="0" w:color="auto"/>
            <w:bottom w:val="none" w:sz="0" w:space="0" w:color="auto"/>
            <w:right w:val="none" w:sz="0" w:space="0" w:color="auto"/>
          </w:divBdr>
          <w:divsChild>
            <w:div w:id="1476139628">
              <w:marLeft w:val="0"/>
              <w:marRight w:val="0"/>
              <w:marTop w:val="225"/>
              <w:marBottom w:val="225"/>
              <w:divBdr>
                <w:top w:val="none" w:sz="0" w:space="0" w:color="auto"/>
                <w:left w:val="none" w:sz="0" w:space="0" w:color="auto"/>
                <w:bottom w:val="none" w:sz="0" w:space="0" w:color="auto"/>
                <w:right w:val="none" w:sz="0" w:space="0" w:color="auto"/>
              </w:divBdr>
            </w:div>
          </w:divsChild>
        </w:div>
        <w:div w:id="1896120302">
          <w:marLeft w:val="0"/>
          <w:marRight w:val="0"/>
          <w:marTop w:val="0"/>
          <w:marBottom w:val="150"/>
          <w:divBdr>
            <w:top w:val="none" w:sz="0" w:space="0" w:color="auto"/>
            <w:left w:val="none" w:sz="0" w:space="0" w:color="auto"/>
            <w:bottom w:val="none" w:sz="0" w:space="0" w:color="auto"/>
            <w:right w:val="none" w:sz="0" w:space="0" w:color="auto"/>
          </w:divBdr>
          <w:divsChild>
            <w:div w:id="1769890602">
              <w:marLeft w:val="0"/>
              <w:marRight w:val="0"/>
              <w:marTop w:val="0"/>
              <w:marBottom w:val="0"/>
              <w:divBdr>
                <w:top w:val="none" w:sz="0" w:space="0" w:color="auto"/>
                <w:left w:val="none" w:sz="0" w:space="0" w:color="auto"/>
                <w:bottom w:val="none" w:sz="0" w:space="0" w:color="auto"/>
                <w:right w:val="none" w:sz="0" w:space="0" w:color="auto"/>
              </w:divBdr>
              <w:divsChild>
                <w:div w:id="140825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182202">
      <w:bodyDiv w:val="1"/>
      <w:marLeft w:val="0"/>
      <w:marRight w:val="0"/>
      <w:marTop w:val="0"/>
      <w:marBottom w:val="0"/>
      <w:divBdr>
        <w:top w:val="none" w:sz="0" w:space="0" w:color="auto"/>
        <w:left w:val="none" w:sz="0" w:space="0" w:color="auto"/>
        <w:bottom w:val="none" w:sz="0" w:space="0" w:color="auto"/>
        <w:right w:val="none" w:sz="0" w:space="0" w:color="auto"/>
      </w:divBdr>
      <w:divsChild>
        <w:div w:id="509564253">
          <w:marLeft w:val="0"/>
          <w:marRight w:val="0"/>
          <w:marTop w:val="0"/>
          <w:marBottom w:val="0"/>
          <w:divBdr>
            <w:top w:val="none" w:sz="0" w:space="0" w:color="auto"/>
            <w:left w:val="none" w:sz="0" w:space="0" w:color="auto"/>
            <w:bottom w:val="none" w:sz="0" w:space="0" w:color="auto"/>
            <w:right w:val="none" w:sz="0" w:space="0" w:color="auto"/>
          </w:divBdr>
          <w:divsChild>
            <w:div w:id="1027021126">
              <w:marLeft w:val="0"/>
              <w:marRight w:val="0"/>
              <w:marTop w:val="0"/>
              <w:marBottom w:val="150"/>
              <w:divBdr>
                <w:top w:val="none" w:sz="0" w:space="0" w:color="auto"/>
                <w:left w:val="none" w:sz="0" w:space="0" w:color="auto"/>
                <w:bottom w:val="none" w:sz="0" w:space="0" w:color="auto"/>
                <w:right w:val="none" w:sz="0" w:space="0" w:color="auto"/>
              </w:divBdr>
              <w:divsChild>
                <w:div w:id="63387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11193">
          <w:marLeft w:val="0"/>
          <w:marRight w:val="225"/>
          <w:marTop w:val="0"/>
          <w:marBottom w:val="0"/>
          <w:divBdr>
            <w:top w:val="none" w:sz="0" w:space="0" w:color="auto"/>
            <w:left w:val="none" w:sz="0" w:space="0" w:color="auto"/>
            <w:bottom w:val="none" w:sz="0" w:space="0" w:color="auto"/>
            <w:right w:val="none" w:sz="0" w:space="0" w:color="auto"/>
          </w:divBdr>
          <w:divsChild>
            <w:div w:id="247540405">
              <w:marLeft w:val="0"/>
              <w:marRight w:val="0"/>
              <w:marTop w:val="225"/>
              <w:marBottom w:val="0"/>
              <w:divBdr>
                <w:top w:val="none" w:sz="0" w:space="0" w:color="auto"/>
                <w:left w:val="none" w:sz="0" w:space="0" w:color="auto"/>
                <w:bottom w:val="none" w:sz="0" w:space="0" w:color="auto"/>
                <w:right w:val="none" w:sz="0" w:space="0" w:color="auto"/>
              </w:divBdr>
              <w:divsChild>
                <w:div w:id="201309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225005">
      <w:bodyDiv w:val="1"/>
      <w:marLeft w:val="0"/>
      <w:marRight w:val="0"/>
      <w:marTop w:val="0"/>
      <w:marBottom w:val="0"/>
      <w:divBdr>
        <w:top w:val="none" w:sz="0" w:space="0" w:color="auto"/>
        <w:left w:val="none" w:sz="0" w:space="0" w:color="auto"/>
        <w:bottom w:val="none" w:sz="0" w:space="0" w:color="auto"/>
        <w:right w:val="none" w:sz="0" w:space="0" w:color="auto"/>
      </w:divBdr>
      <w:divsChild>
        <w:div w:id="153188123">
          <w:marLeft w:val="0"/>
          <w:marRight w:val="0"/>
          <w:marTop w:val="0"/>
          <w:marBottom w:val="150"/>
          <w:divBdr>
            <w:top w:val="none" w:sz="0" w:space="0" w:color="auto"/>
            <w:left w:val="none" w:sz="0" w:space="0" w:color="auto"/>
            <w:bottom w:val="none" w:sz="0" w:space="0" w:color="auto"/>
            <w:right w:val="none" w:sz="0" w:space="0" w:color="auto"/>
          </w:divBdr>
          <w:divsChild>
            <w:div w:id="1117992530">
              <w:marLeft w:val="0"/>
              <w:marRight w:val="0"/>
              <w:marTop w:val="0"/>
              <w:marBottom w:val="0"/>
              <w:divBdr>
                <w:top w:val="none" w:sz="0" w:space="0" w:color="auto"/>
                <w:left w:val="none" w:sz="0" w:space="0" w:color="auto"/>
                <w:bottom w:val="none" w:sz="0" w:space="0" w:color="auto"/>
                <w:right w:val="none" w:sz="0" w:space="0" w:color="auto"/>
              </w:divBdr>
              <w:divsChild>
                <w:div w:id="159154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826382">
          <w:marLeft w:val="0"/>
          <w:marRight w:val="0"/>
          <w:marTop w:val="0"/>
          <w:marBottom w:val="0"/>
          <w:divBdr>
            <w:top w:val="none" w:sz="0" w:space="0" w:color="auto"/>
            <w:left w:val="none" w:sz="0" w:space="0" w:color="auto"/>
            <w:bottom w:val="none" w:sz="0" w:space="0" w:color="auto"/>
            <w:right w:val="none" w:sz="0" w:space="0" w:color="auto"/>
          </w:divBdr>
          <w:divsChild>
            <w:div w:id="59208600">
              <w:marLeft w:val="0"/>
              <w:marRight w:val="0"/>
              <w:marTop w:val="225"/>
              <w:marBottom w:val="225"/>
              <w:divBdr>
                <w:top w:val="none" w:sz="0" w:space="0" w:color="auto"/>
                <w:left w:val="none" w:sz="0" w:space="0" w:color="auto"/>
                <w:bottom w:val="none" w:sz="0" w:space="0" w:color="auto"/>
                <w:right w:val="none" w:sz="0" w:space="0" w:color="auto"/>
              </w:divBdr>
            </w:div>
          </w:divsChild>
        </w:div>
        <w:div w:id="1620994464">
          <w:marLeft w:val="0"/>
          <w:marRight w:val="0"/>
          <w:marTop w:val="0"/>
          <w:marBottom w:val="150"/>
          <w:divBdr>
            <w:top w:val="none" w:sz="0" w:space="0" w:color="auto"/>
            <w:left w:val="none" w:sz="0" w:space="0" w:color="auto"/>
            <w:bottom w:val="none" w:sz="0" w:space="0" w:color="auto"/>
            <w:right w:val="none" w:sz="0" w:space="0" w:color="auto"/>
          </w:divBdr>
        </w:div>
      </w:divsChild>
    </w:div>
    <w:div w:id="366372910">
      <w:bodyDiv w:val="1"/>
      <w:marLeft w:val="0"/>
      <w:marRight w:val="0"/>
      <w:marTop w:val="0"/>
      <w:marBottom w:val="0"/>
      <w:divBdr>
        <w:top w:val="none" w:sz="0" w:space="0" w:color="auto"/>
        <w:left w:val="none" w:sz="0" w:space="0" w:color="auto"/>
        <w:bottom w:val="none" w:sz="0" w:space="0" w:color="auto"/>
        <w:right w:val="none" w:sz="0" w:space="0" w:color="auto"/>
      </w:divBdr>
    </w:div>
    <w:div w:id="366419534">
      <w:bodyDiv w:val="1"/>
      <w:marLeft w:val="0"/>
      <w:marRight w:val="0"/>
      <w:marTop w:val="0"/>
      <w:marBottom w:val="0"/>
      <w:divBdr>
        <w:top w:val="none" w:sz="0" w:space="0" w:color="auto"/>
        <w:left w:val="none" w:sz="0" w:space="0" w:color="auto"/>
        <w:bottom w:val="none" w:sz="0" w:space="0" w:color="auto"/>
        <w:right w:val="none" w:sz="0" w:space="0" w:color="auto"/>
      </w:divBdr>
      <w:divsChild>
        <w:div w:id="1973098785">
          <w:marLeft w:val="0"/>
          <w:marRight w:val="0"/>
          <w:marTop w:val="0"/>
          <w:marBottom w:val="0"/>
          <w:divBdr>
            <w:top w:val="none" w:sz="0" w:space="0" w:color="auto"/>
            <w:left w:val="none" w:sz="0" w:space="0" w:color="auto"/>
            <w:bottom w:val="none" w:sz="0" w:space="0" w:color="auto"/>
            <w:right w:val="none" w:sz="0" w:space="0" w:color="auto"/>
          </w:divBdr>
          <w:divsChild>
            <w:div w:id="841703220">
              <w:marLeft w:val="0"/>
              <w:marRight w:val="0"/>
              <w:marTop w:val="0"/>
              <w:marBottom w:val="0"/>
              <w:divBdr>
                <w:top w:val="none" w:sz="0" w:space="0" w:color="auto"/>
                <w:left w:val="none" w:sz="0" w:space="0" w:color="auto"/>
                <w:bottom w:val="none" w:sz="0" w:space="0" w:color="auto"/>
                <w:right w:val="none" w:sz="0" w:space="0" w:color="auto"/>
              </w:divBdr>
              <w:divsChild>
                <w:div w:id="270742916">
                  <w:marLeft w:val="0"/>
                  <w:marRight w:val="0"/>
                  <w:marTop w:val="0"/>
                  <w:marBottom w:val="0"/>
                  <w:divBdr>
                    <w:top w:val="none" w:sz="0" w:space="0" w:color="auto"/>
                    <w:left w:val="none" w:sz="0" w:space="0" w:color="auto"/>
                    <w:bottom w:val="none" w:sz="0" w:space="0" w:color="auto"/>
                    <w:right w:val="none" w:sz="0" w:space="0" w:color="auto"/>
                  </w:divBdr>
                  <w:divsChild>
                    <w:div w:id="1063991757">
                      <w:marLeft w:val="0"/>
                      <w:marRight w:val="0"/>
                      <w:marTop w:val="0"/>
                      <w:marBottom w:val="0"/>
                      <w:divBdr>
                        <w:top w:val="none" w:sz="0" w:space="0" w:color="auto"/>
                        <w:left w:val="none" w:sz="0" w:space="0" w:color="auto"/>
                        <w:bottom w:val="none" w:sz="0" w:space="0" w:color="auto"/>
                        <w:right w:val="none" w:sz="0" w:space="0" w:color="auto"/>
                      </w:divBdr>
                      <w:divsChild>
                        <w:div w:id="1809979685">
                          <w:marLeft w:val="0"/>
                          <w:marRight w:val="0"/>
                          <w:marTop w:val="0"/>
                          <w:marBottom w:val="0"/>
                          <w:divBdr>
                            <w:top w:val="none" w:sz="0" w:space="0" w:color="auto"/>
                            <w:left w:val="none" w:sz="0" w:space="0" w:color="auto"/>
                            <w:bottom w:val="none" w:sz="0" w:space="0" w:color="auto"/>
                            <w:right w:val="none" w:sz="0" w:space="0" w:color="auto"/>
                          </w:divBdr>
                          <w:divsChild>
                            <w:div w:id="1627810719">
                              <w:marLeft w:val="0"/>
                              <w:marRight w:val="0"/>
                              <w:marTop w:val="0"/>
                              <w:marBottom w:val="0"/>
                              <w:divBdr>
                                <w:top w:val="none" w:sz="0" w:space="0" w:color="auto"/>
                                <w:left w:val="none" w:sz="0" w:space="0" w:color="auto"/>
                                <w:bottom w:val="none" w:sz="0" w:space="0" w:color="auto"/>
                                <w:right w:val="none" w:sz="0" w:space="0" w:color="auto"/>
                              </w:divBdr>
                              <w:divsChild>
                                <w:div w:id="236481426">
                                  <w:marLeft w:val="0"/>
                                  <w:marRight w:val="0"/>
                                  <w:marTop w:val="0"/>
                                  <w:marBottom w:val="75"/>
                                  <w:divBdr>
                                    <w:top w:val="none" w:sz="0" w:space="0" w:color="auto"/>
                                    <w:left w:val="none" w:sz="0" w:space="0" w:color="auto"/>
                                    <w:bottom w:val="none" w:sz="0" w:space="0" w:color="auto"/>
                                    <w:right w:val="none" w:sz="0" w:space="0" w:color="auto"/>
                                  </w:divBdr>
                                  <w:divsChild>
                                    <w:div w:id="1245529583">
                                      <w:marLeft w:val="0"/>
                                      <w:marRight w:val="0"/>
                                      <w:marTop w:val="0"/>
                                      <w:marBottom w:val="0"/>
                                      <w:divBdr>
                                        <w:top w:val="none" w:sz="0" w:space="0" w:color="auto"/>
                                        <w:left w:val="none" w:sz="0" w:space="0" w:color="auto"/>
                                        <w:bottom w:val="none" w:sz="0" w:space="0" w:color="auto"/>
                                        <w:right w:val="none" w:sz="0" w:space="0" w:color="auto"/>
                                      </w:divBdr>
                                      <w:divsChild>
                                        <w:div w:id="1207179875">
                                          <w:marLeft w:val="0"/>
                                          <w:marRight w:val="0"/>
                                          <w:marTop w:val="0"/>
                                          <w:marBottom w:val="0"/>
                                          <w:divBdr>
                                            <w:top w:val="none" w:sz="0" w:space="0" w:color="auto"/>
                                            <w:left w:val="none" w:sz="0" w:space="0" w:color="auto"/>
                                            <w:bottom w:val="none" w:sz="0" w:space="0" w:color="auto"/>
                                            <w:right w:val="none" w:sz="0" w:space="0" w:color="auto"/>
                                          </w:divBdr>
                                          <w:divsChild>
                                            <w:div w:id="184512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6876305">
      <w:bodyDiv w:val="1"/>
      <w:marLeft w:val="0"/>
      <w:marRight w:val="0"/>
      <w:marTop w:val="0"/>
      <w:marBottom w:val="0"/>
      <w:divBdr>
        <w:top w:val="none" w:sz="0" w:space="0" w:color="auto"/>
        <w:left w:val="none" w:sz="0" w:space="0" w:color="auto"/>
        <w:bottom w:val="none" w:sz="0" w:space="0" w:color="auto"/>
        <w:right w:val="none" w:sz="0" w:space="0" w:color="auto"/>
      </w:divBdr>
      <w:divsChild>
        <w:div w:id="1870752703">
          <w:marLeft w:val="0"/>
          <w:marRight w:val="0"/>
          <w:marTop w:val="0"/>
          <w:marBottom w:val="0"/>
          <w:divBdr>
            <w:top w:val="none" w:sz="0" w:space="0" w:color="auto"/>
            <w:left w:val="none" w:sz="0" w:space="0" w:color="auto"/>
            <w:bottom w:val="none" w:sz="0" w:space="0" w:color="auto"/>
            <w:right w:val="none" w:sz="0" w:space="0" w:color="auto"/>
          </w:divBdr>
          <w:divsChild>
            <w:div w:id="2117211821">
              <w:marLeft w:val="0"/>
              <w:marRight w:val="0"/>
              <w:marTop w:val="0"/>
              <w:marBottom w:val="0"/>
              <w:divBdr>
                <w:top w:val="none" w:sz="0" w:space="0" w:color="auto"/>
                <w:left w:val="none" w:sz="0" w:space="0" w:color="auto"/>
                <w:bottom w:val="none" w:sz="0" w:space="0" w:color="auto"/>
                <w:right w:val="none" w:sz="0" w:space="0" w:color="auto"/>
              </w:divBdr>
              <w:divsChild>
                <w:div w:id="1017390636">
                  <w:marLeft w:val="0"/>
                  <w:marRight w:val="0"/>
                  <w:marTop w:val="0"/>
                  <w:marBottom w:val="0"/>
                  <w:divBdr>
                    <w:top w:val="none" w:sz="0" w:space="0" w:color="auto"/>
                    <w:left w:val="none" w:sz="0" w:space="0" w:color="auto"/>
                    <w:bottom w:val="none" w:sz="0" w:space="0" w:color="auto"/>
                    <w:right w:val="none" w:sz="0" w:space="0" w:color="auto"/>
                  </w:divBdr>
                  <w:divsChild>
                    <w:div w:id="577909695">
                      <w:marLeft w:val="0"/>
                      <w:marRight w:val="0"/>
                      <w:marTop w:val="0"/>
                      <w:marBottom w:val="0"/>
                      <w:divBdr>
                        <w:top w:val="none" w:sz="0" w:space="0" w:color="auto"/>
                        <w:left w:val="none" w:sz="0" w:space="0" w:color="auto"/>
                        <w:bottom w:val="none" w:sz="0" w:space="0" w:color="auto"/>
                        <w:right w:val="none" w:sz="0" w:space="0" w:color="auto"/>
                      </w:divBdr>
                      <w:divsChild>
                        <w:div w:id="1830512067">
                          <w:marLeft w:val="0"/>
                          <w:marRight w:val="0"/>
                          <w:marTop w:val="0"/>
                          <w:marBottom w:val="0"/>
                          <w:divBdr>
                            <w:top w:val="none" w:sz="0" w:space="0" w:color="auto"/>
                            <w:left w:val="none" w:sz="0" w:space="0" w:color="auto"/>
                            <w:bottom w:val="none" w:sz="0" w:space="0" w:color="auto"/>
                            <w:right w:val="none" w:sz="0" w:space="0" w:color="auto"/>
                          </w:divBdr>
                          <w:divsChild>
                            <w:div w:id="1994790786">
                              <w:marLeft w:val="0"/>
                              <w:marRight w:val="0"/>
                              <w:marTop w:val="0"/>
                              <w:marBottom w:val="0"/>
                              <w:divBdr>
                                <w:top w:val="none" w:sz="0" w:space="0" w:color="auto"/>
                                <w:left w:val="none" w:sz="0" w:space="0" w:color="auto"/>
                                <w:bottom w:val="none" w:sz="0" w:space="0" w:color="auto"/>
                                <w:right w:val="none" w:sz="0" w:space="0" w:color="auto"/>
                              </w:divBdr>
                              <w:divsChild>
                                <w:div w:id="208059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876329">
      <w:bodyDiv w:val="1"/>
      <w:marLeft w:val="0"/>
      <w:marRight w:val="0"/>
      <w:marTop w:val="0"/>
      <w:marBottom w:val="0"/>
      <w:divBdr>
        <w:top w:val="none" w:sz="0" w:space="0" w:color="auto"/>
        <w:left w:val="none" w:sz="0" w:space="0" w:color="auto"/>
        <w:bottom w:val="none" w:sz="0" w:space="0" w:color="auto"/>
        <w:right w:val="none" w:sz="0" w:space="0" w:color="auto"/>
      </w:divBdr>
      <w:divsChild>
        <w:div w:id="179124322">
          <w:marLeft w:val="0"/>
          <w:marRight w:val="0"/>
          <w:marTop w:val="0"/>
          <w:marBottom w:val="0"/>
          <w:divBdr>
            <w:top w:val="none" w:sz="0" w:space="0" w:color="auto"/>
            <w:left w:val="none" w:sz="0" w:space="0" w:color="auto"/>
            <w:bottom w:val="none" w:sz="0" w:space="0" w:color="auto"/>
            <w:right w:val="none" w:sz="0" w:space="0" w:color="auto"/>
          </w:divBdr>
          <w:divsChild>
            <w:div w:id="470439425">
              <w:marLeft w:val="0"/>
              <w:marRight w:val="0"/>
              <w:marTop w:val="0"/>
              <w:marBottom w:val="0"/>
              <w:divBdr>
                <w:top w:val="none" w:sz="0" w:space="0" w:color="auto"/>
                <w:left w:val="none" w:sz="0" w:space="0" w:color="auto"/>
                <w:bottom w:val="none" w:sz="0" w:space="0" w:color="auto"/>
                <w:right w:val="none" w:sz="0" w:space="0" w:color="auto"/>
              </w:divBdr>
              <w:divsChild>
                <w:div w:id="1180700794">
                  <w:marLeft w:val="0"/>
                  <w:marRight w:val="0"/>
                  <w:marTop w:val="0"/>
                  <w:marBottom w:val="0"/>
                  <w:divBdr>
                    <w:top w:val="none" w:sz="0" w:space="0" w:color="auto"/>
                    <w:left w:val="none" w:sz="0" w:space="0" w:color="auto"/>
                    <w:bottom w:val="none" w:sz="0" w:space="0" w:color="auto"/>
                    <w:right w:val="none" w:sz="0" w:space="0" w:color="auto"/>
                  </w:divBdr>
                  <w:divsChild>
                    <w:div w:id="1341347881">
                      <w:marLeft w:val="0"/>
                      <w:marRight w:val="0"/>
                      <w:marTop w:val="0"/>
                      <w:marBottom w:val="0"/>
                      <w:divBdr>
                        <w:top w:val="none" w:sz="0" w:space="0" w:color="auto"/>
                        <w:left w:val="none" w:sz="0" w:space="0" w:color="auto"/>
                        <w:bottom w:val="none" w:sz="0" w:space="0" w:color="auto"/>
                        <w:right w:val="none" w:sz="0" w:space="0" w:color="auto"/>
                      </w:divBdr>
                      <w:divsChild>
                        <w:div w:id="2096244534">
                          <w:marLeft w:val="0"/>
                          <w:marRight w:val="0"/>
                          <w:marTop w:val="0"/>
                          <w:marBottom w:val="0"/>
                          <w:divBdr>
                            <w:top w:val="none" w:sz="0" w:space="0" w:color="auto"/>
                            <w:left w:val="none" w:sz="0" w:space="0" w:color="auto"/>
                            <w:bottom w:val="none" w:sz="0" w:space="0" w:color="auto"/>
                            <w:right w:val="none" w:sz="0" w:space="0" w:color="auto"/>
                          </w:divBdr>
                          <w:divsChild>
                            <w:div w:id="800466149">
                              <w:marLeft w:val="0"/>
                              <w:marRight w:val="0"/>
                              <w:marTop w:val="0"/>
                              <w:marBottom w:val="0"/>
                              <w:divBdr>
                                <w:top w:val="none" w:sz="0" w:space="0" w:color="auto"/>
                                <w:left w:val="none" w:sz="0" w:space="0" w:color="auto"/>
                                <w:bottom w:val="none" w:sz="0" w:space="0" w:color="auto"/>
                                <w:right w:val="none" w:sz="0" w:space="0" w:color="auto"/>
                              </w:divBdr>
                              <w:divsChild>
                                <w:div w:id="1294020676">
                                  <w:marLeft w:val="0"/>
                                  <w:marRight w:val="0"/>
                                  <w:marTop w:val="0"/>
                                  <w:marBottom w:val="0"/>
                                  <w:divBdr>
                                    <w:top w:val="none" w:sz="0" w:space="0" w:color="auto"/>
                                    <w:left w:val="none" w:sz="0" w:space="0" w:color="auto"/>
                                    <w:bottom w:val="none" w:sz="0" w:space="0" w:color="auto"/>
                                    <w:right w:val="none" w:sz="0" w:space="0" w:color="auto"/>
                                  </w:divBdr>
                                  <w:divsChild>
                                    <w:div w:id="140379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954955">
      <w:bodyDiv w:val="1"/>
      <w:marLeft w:val="0"/>
      <w:marRight w:val="0"/>
      <w:marTop w:val="0"/>
      <w:marBottom w:val="0"/>
      <w:divBdr>
        <w:top w:val="none" w:sz="0" w:space="0" w:color="auto"/>
        <w:left w:val="none" w:sz="0" w:space="0" w:color="auto"/>
        <w:bottom w:val="none" w:sz="0" w:space="0" w:color="auto"/>
        <w:right w:val="none" w:sz="0" w:space="0" w:color="auto"/>
      </w:divBdr>
      <w:divsChild>
        <w:div w:id="1794782679">
          <w:marLeft w:val="0"/>
          <w:marRight w:val="0"/>
          <w:marTop w:val="0"/>
          <w:marBottom w:val="150"/>
          <w:divBdr>
            <w:top w:val="none" w:sz="0" w:space="0" w:color="auto"/>
            <w:left w:val="none" w:sz="0" w:space="0" w:color="auto"/>
            <w:bottom w:val="none" w:sz="0" w:space="0" w:color="auto"/>
            <w:right w:val="none" w:sz="0" w:space="0" w:color="auto"/>
          </w:divBdr>
        </w:div>
      </w:divsChild>
    </w:div>
    <w:div w:id="367799609">
      <w:bodyDiv w:val="1"/>
      <w:marLeft w:val="0"/>
      <w:marRight w:val="0"/>
      <w:marTop w:val="0"/>
      <w:marBottom w:val="0"/>
      <w:divBdr>
        <w:top w:val="none" w:sz="0" w:space="0" w:color="auto"/>
        <w:left w:val="none" w:sz="0" w:space="0" w:color="auto"/>
        <w:bottom w:val="none" w:sz="0" w:space="0" w:color="auto"/>
        <w:right w:val="none" w:sz="0" w:space="0" w:color="auto"/>
      </w:divBdr>
      <w:divsChild>
        <w:div w:id="121264602">
          <w:marLeft w:val="0"/>
          <w:marRight w:val="0"/>
          <w:marTop w:val="0"/>
          <w:marBottom w:val="0"/>
          <w:divBdr>
            <w:top w:val="none" w:sz="0" w:space="0" w:color="auto"/>
            <w:left w:val="none" w:sz="0" w:space="0" w:color="auto"/>
            <w:bottom w:val="none" w:sz="0" w:space="0" w:color="auto"/>
            <w:right w:val="none" w:sz="0" w:space="0" w:color="auto"/>
          </w:divBdr>
          <w:divsChild>
            <w:div w:id="2063090549">
              <w:marLeft w:val="0"/>
              <w:marRight w:val="0"/>
              <w:marTop w:val="0"/>
              <w:marBottom w:val="0"/>
              <w:divBdr>
                <w:top w:val="none" w:sz="0" w:space="0" w:color="auto"/>
                <w:left w:val="none" w:sz="0" w:space="0" w:color="auto"/>
                <w:bottom w:val="none" w:sz="0" w:space="0" w:color="auto"/>
                <w:right w:val="none" w:sz="0" w:space="0" w:color="auto"/>
              </w:divBdr>
              <w:divsChild>
                <w:div w:id="858210">
                  <w:marLeft w:val="0"/>
                  <w:marRight w:val="0"/>
                  <w:marTop w:val="0"/>
                  <w:marBottom w:val="0"/>
                  <w:divBdr>
                    <w:top w:val="none" w:sz="0" w:space="0" w:color="auto"/>
                    <w:left w:val="none" w:sz="0" w:space="0" w:color="auto"/>
                    <w:bottom w:val="none" w:sz="0" w:space="0" w:color="auto"/>
                    <w:right w:val="none" w:sz="0" w:space="0" w:color="auto"/>
                  </w:divBdr>
                  <w:divsChild>
                    <w:div w:id="369231315">
                      <w:marLeft w:val="0"/>
                      <w:marRight w:val="0"/>
                      <w:marTop w:val="0"/>
                      <w:marBottom w:val="0"/>
                      <w:divBdr>
                        <w:top w:val="none" w:sz="0" w:space="0" w:color="auto"/>
                        <w:left w:val="none" w:sz="0" w:space="0" w:color="auto"/>
                        <w:bottom w:val="none" w:sz="0" w:space="0" w:color="auto"/>
                        <w:right w:val="none" w:sz="0" w:space="0" w:color="auto"/>
                      </w:divBdr>
                      <w:divsChild>
                        <w:div w:id="716589015">
                          <w:marLeft w:val="0"/>
                          <w:marRight w:val="0"/>
                          <w:marTop w:val="0"/>
                          <w:marBottom w:val="0"/>
                          <w:divBdr>
                            <w:top w:val="none" w:sz="0" w:space="0" w:color="auto"/>
                            <w:left w:val="none" w:sz="0" w:space="0" w:color="auto"/>
                            <w:bottom w:val="none" w:sz="0" w:space="0" w:color="auto"/>
                            <w:right w:val="none" w:sz="0" w:space="0" w:color="auto"/>
                          </w:divBdr>
                          <w:divsChild>
                            <w:div w:id="1045179213">
                              <w:marLeft w:val="0"/>
                              <w:marRight w:val="0"/>
                              <w:marTop w:val="0"/>
                              <w:marBottom w:val="0"/>
                              <w:divBdr>
                                <w:top w:val="none" w:sz="0" w:space="0" w:color="auto"/>
                                <w:left w:val="none" w:sz="0" w:space="0" w:color="auto"/>
                                <w:bottom w:val="none" w:sz="0" w:space="0" w:color="auto"/>
                                <w:right w:val="none" w:sz="0" w:space="0" w:color="auto"/>
                              </w:divBdr>
                              <w:divsChild>
                                <w:div w:id="1198854577">
                                  <w:marLeft w:val="0"/>
                                  <w:marRight w:val="0"/>
                                  <w:marTop w:val="0"/>
                                  <w:marBottom w:val="0"/>
                                  <w:divBdr>
                                    <w:top w:val="none" w:sz="0" w:space="0" w:color="auto"/>
                                    <w:left w:val="none" w:sz="0" w:space="0" w:color="auto"/>
                                    <w:bottom w:val="none" w:sz="0" w:space="0" w:color="auto"/>
                                    <w:right w:val="none" w:sz="0" w:space="0" w:color="auto"/>
                                  </w:divBdr>
                                  <w:divsChild>
                                    <w:div w:id="127402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8647816">
      <w:bodyDiv w:val="1"/>
      <w:marLeft w:val="0"/>
      <w:marRight w:val="0"/>
      <w:marTop w:val="0"/>
      <w:marBottom w:val="0"/>
      <w:divBdr>
        <w:top w:val="none" w:sz="0" w:space="0" w:color="auto"/>
        <w:left w:val="none" w:sz="0" w:space="0" w:color="auto"/>
        <w:bottom w:val="none" w:sz="0" w:space="0" w:color="auto"/>
        <w:right w:val="none" w:sz="0" w:space="0" w:color="auto"/>
      </w:divBdr>
      <w:divsChild>
        <w:div w:id="778183723">
          <w:marLeft w:val="0"/>
          <w:marRight w:val="0"/>
          <w:marTop w:val="0"/>
          <w:marBottom w:val="0"/>
          <w:divBdr>
            <w:top w:val="none" w:sz="0" w:space="0" w:color="auto"/>
            <w:left w:val="none" w:sz="0" w:space="0" w:color="auto"/>
            <w:bottom w:val="none" w:sz="0" w:space="0" w:color="auto"/>
            <w:right w:val="none" w:sz="0" w:space="0" w:color="auto"/>
          </w:divBdr>
          <w:divsChild>
            <w:div w:id="2101751939">
              <w:marLeft w:val="0"/>
              <w:marRight w:val="0"/>
              <w:marTop w:val="0"/>
              <w:marBottom w:val="0"/>
              <w:divBdr>
                <w:top w:val="none" w:sz="0" w:space="0" w:color="auto"/>
                <w:left w:val="none" w:sz="0" w:space="0" w:color="auto"/>
                <w:bottom w:val="none" w:sz="0" w:space="0" w:color="auto"/>
                <w:right w:val="none" w:sz="0" w:space="0" w:color="auto"/>
              </w:divBdr>
              <w:divsChild>
                <w:div w:id="1819489494">
                  <w:marLeft w:val="0"/>
                  <w:marRight w:val="0"/>
                  <w:marTop w:val="0"/>
                  <w:marBottom w:val="0"/>
                  <w:divBdr>
                    <w:top w:val="none" w:sz="0" w:space="0" w:color="auto"/>
                    <w:left w:val="none" w:sz="0" w:space="0" w:color="auto"/>
                    <w:bottom w:val="none" w:sz="0" w:space="0" w:color="auto"/>
                    <w:right w:val="none" w:sz="0" w:space="0" w:color="auto"/>
                  </w:divBdr>
                  <w:divsChild>
                    <w:div w:id="529606765">
                      <w:marLeft w:val="0"/>
                      <w:marRight w:val="0"/>
                      <w:marTop w:val="0"/>
                      <w:marBottom w:val="75"/>
                      <w:divBdr>
                        <w:top w:val="none" w:sz="0" w:space="0" w:color="auto"/>
                        <w:left w:val="none" w:sz="0" w:space="0" w:color="auto"/>
                        <w:bottom w:val="none" w:sz="0" w:space="0" w:color="auto"/>
                        <w:right w:val="none" w:sz="0" w:space="0" w:color="auto"/>
                      </w:divBdr>
                    </w:div>
                    <w:div w:id="1715500294">
                      <w:marLeft w:val="0"/>
                      <w:marRight w:val="0"/>
                      <w:marTop w:val="0"/>
                      <w:marBottom w:val="0"/>
                      <w:divBdr>
                        <w:top w:val="none" w:sz="0" w:space="0" w:color="auto"/>
                        <w:left w:val="none" w:sz="0" w:space="0" w:color="auto"/>
                        <w:bottom w:val="none" w:sz="0" w:space="0" w:color="auto"/>
                        <w:right w:val="none" w:sz="0" w:space="0" w:color="auto"/>
                      </w:divBdr>
                      <w:divsChild>
                        <w:div w:id="1397975347">
                          <w:marLeft w:val="0"/>
                          <w:marRight w:val="0"/>
                          <w:marTop w:val="0"/>
                          <w:marBottom w:val="0"/>
                          <w:divBdr>
                            <w:top w:val="none" w:sz="0" w:space="0" w:color="auto"/>
                            <w:left w:val="none" w:sz="0" w:space="0" w:color="auto"/>
                            <w:bottom w:val="none" w:sz="0" w:space="0" w:color="auto"/>
                            <w:right w:val="none" w:sz="0" w:space="0" w:color="auto"/>
                          </w:divBdr>
                          <w:divsChild>
                            <w:div w:id="18155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985309">
                  <w:marLeft w:val="0"/>
                  <w:marRight w:val="0"/>
                  <w:marTop w:val="0"/>
                  <w:marBottom w:val="0"/>
                  <w:divBdr>
                    <w:top w:val="none" w:sz="0" w:space="0" w:color="auto"/>
                    <w:left w:val="none" w:sz="0" w:space="0" w:color="auto"/>
                    <w:bottom w:val="none" w:sz="0" w:space="0" w:color="auto"/>
                    <w:right w:val="none" w:sz="0" w:space="0" w:color="auto"/>
                  </w:divBdr>
                  <w:divsChild>
                    <w:div w:id="1618104188">
                      <w:marLeft w:val="0"/>
                      <w:marRight w:val="0"/>
                      <w:marTop w:val="0"/>
                      <w:marBottom w:val="300"/>
                      <w:divBdr>
                        <w:top w:val="none" w:sz="0" w:space="0" w:color="auto"/>
                        <w:left w:val="none" w:sz="0" w:space="0" w:color="auto"/>
                        <w:bottom w:val="none" w:sz="0" w:space="0" w:color="auto"/>
                        <w:right w:val="none" w:sz="0" w:space="0" w:color="auto"/>
                      </w:divBdr>
                      <w:divsChild>
                        <w:div w:id="357658831">
                          <w:marLeft w:val="0"/>
                          <w:marRight w:val="0"/>
                          <w:marTop w:val="0"/>
                          <w:marBottom w:val="0"/>
                          <w:divBdr>
                            <w:top w:val="none" w:sz="0" w:space="0" w:color="auto"/>
                            <w:left w:val="none" w:sz="0" w:space="0" w:color="auto"/>
                            <w:bottom w:val="none" w:sz="0" w:space="0" w:color="auto"/>
                            <w:right w:val="none" w:sz="0" w:space="0" w:color="auto"/>
                          </w:divBdr>
                          <w:divsChild>
                            <w:div w:id="1474788525">
                              <w:marLeft w:val="0"/>
                              <w:marRight w:val="0"/>
                              <w:marTop w:val="0"/>
                              <w:marBottom w:val="0"/>
                              <w:divBdr>
                                <w:top w:val="none" w:sz="0" w:space="0" w:color="auto"/>
                                <w:left w:val="none" w:sz="0" w:space="0" w:color="auto"/>
                                <w:bottom w:val="none" w:sz="0" w:space="0" w:color="auto"/>
                                <w:right w:val="none" w:sz="0" w:space="0" w:color="auto"/>
                              </w:divBdr>
                              <w:divsChild>
                                <w:div w:id="353270284">
                                  <w:marLeft w:val="0"/>
                                  <w:marRight w:val="600"/>
                                  <w:marTop w:val="0"/>
                                  <w:marBottom w:val="0"/>
                                  <w:divBdr>
                                    <w:top w:val="none" w:sz="0" w:space="0" w:color="auto"/>
                                    <w:left w:val="none" w:sz="0" w:space="0" w:color="auto"/>
                                    <w:bottom w:val="none" w:sz="0" w:space="0" w:color="auto"/>
                                    <w:right w:val="none" w:sz="0" w:space="0" w:color="auto"/>
                                  </w:divBdr>
                                  <w:divsChild>
                                    <w:div w:id="663977251">
                                      <w:marLeft w:val="0"/>
                                      <w:marRight w:val="0"/>
                                      <w:marTop w:val="0"/>
                                      <w:marBottom w:val="120"/>
                                      <w:divBdr>
                                        <w:top w:val="none" w:sz="0" w:space="0" w:color="auto"/>
                                        <w:left w:val="none" w:sz="0" w:space="0" w:color="auto"/>
                                        <w:bottom w:val="single" w:sz="6" w:space="6" w:color="EEEEEE"/>
                                        <w:right w:val="none" w:sz="0" w:space="0" w:color="auto"/>
                                      </w:divBdr>
                                      <w:divsChild>
                                        <w:div w:id="1159226272">
                                          <w:marLeft w:val="0"/>
                                          <w:marRight w:val="0"/>
                                          <w:marTop w:val="0"/>
                                          <w:marBottom w:val="0"/>
                                          <w:divBdr>
                                            <w:top w:val="none" w:sz="0" w:space="0" w:color="auto"/>
                                            <w:left w:val="none" w:sz="0" w:space="0" w:color="auto"/>
                                            <w:bottom w:val="none" w:sz="0" w:space="0" w:color="auto"/>
                                            <w:right w:val="none" w:sz="0" w:space="0" w:color="auto"/>
                                          </w:divBdr>
                                        </w:div>
                                      </w:divsChild>
                                    </w:div>
                                    <w:div w:id="859978026">
                                      <w:marLeft w:val="0"/>
                                      <w:marRight w:val="0"/>
                                      <w:marTop w:val="0"/>
                                      <w:marBottom w:val="120"/>
                                      <w:divBdr>
                                        <w:top w:val="none" w:sz="0" w:space="0" w:color="auto"/>
                                        <w:left w:val="none" w:sz="0" w:space="0" w:color="auto"/>
                                        <w:bottom w:val="single" w:sz="6" w:space="6" w:color="EEEEEE"/>
                                        <w:right w:val="none" w:sz="0" w:space="0" w:color="auto"/>
                                      </w:divBdr>
                                      <w:divsChild>
                                        <w:div w:id="1417047606">
                                          <w:marLeft w:val="0"/>
                                          <w:marRight w:val="0"/>
                                          <w:marTop w:val="0"/>
                                          <w:marBottom w:val="0"/>
                                          <w:divBdr>
                                            <w:top w:val="none" w:sz="0" w:space="0" w:color="auto"/>
                                            <w:left w:val="none" w:sz="0" w:space="0" w:color="auto"/>
                                            <w:bottom w:val="none" w:sz="0" w:space="0" w:color="auto"/>
                                            <w:right w:val="none" w:sz="0" w:space="0" w:color="auto"/>
                                          </w:divBdr>
                                        </w:div>
                                      </w:divsChild>
                                    </w:div>
                                    <w:div w:id="1004935282">
                                      <w:marLeft w:val="0"/>
                                      <w:marRight w:val="0"/>
                                      <w:marTop w:val="0"/>
                                      <w:marBottom w:val="120"/>
                                      <w:divBdr>
                                        <w:top w:val="none" w:sz="0" w:space="0" w:color="auto"/>
                                        <w:left w:val="none" w:sz="0" w:space="0" w:color="auto"/>
                                        <w:bottom w:val="single" w:sz="6" w:space="6" w:color="EEEEEE"/>
                                        <w:right w:val="none" w:sz="0" w:space="0" w:color="auto"/>
                                      </w:divBdr>
                                      <w:divsChild>
                                        <w:div w:id="695934873">
                                          <w:marLeft w:val="0"/>
                                          <w:marRight w:val="0"/>
                                          <w:marTop w:val="0"/>
                                          <w:marBottom w:val="0"/>
                                          <w:divBdr>
                                            <w:top w:val="none" w:sz="0" w:space="0" w:color="auto"/>
                                            <w:left w:val="none" w:sz="0" w:space="0" w:color="auto"/>
                                            <w:bottom w:val="none" w:sz="0" w:space="0" w:color="auto"/>
                                            <w:right w:val="none" w:sz="0" w:space="0" w:color="auto"/>
                                          </w:divBdr>
                                        </w:div>
                                      </w:divsChild>
                                    </w:div>
                                    <w:div w:id="1125738524">
                                      <w:marLeft w:val="0"/>
                                      <w:marRight w:val="0"/>
                                      <w:marTop w:val="0"/>
                                      <w:marBottom w:val="120"/>
                                      <w:divBdr>
                                        <w:top w:val="none" w:sz="0" w:space="0" w:color="auto"/>
                                        <w:left w:val="none" w:sz="0" w:space="0" w:color="auto"/>
                                        <w:bottom w:val="none" w:sz="0" w:space="0" w:color="auto"/>
                                        <w:right w:val="none" w:sz="0" w:space="0" w:color="auto"/>
                                      </w:divBdr>
                                      <w:divsChild>
                                        <w:div w:id="1282422906">
                                          <w:marLeft w:val="0"/>
                                          <w:marRight w:val="0"/>
                                          <w:marTop w:val="0"/>
                                          <w:marBottom w:val="0"/>
                                          <w:divBdr>
                                            <w:top w:val="none" w:sz="0" w:space="0" w:color="auto"/>
                                            <w:left w:val="none" w:sz="0" w:space="0" w:color="auto"/>
                                            <w:bottom w:val="none" w:sz="0" w:space="0" w:color="auto"/>
                                            <w:right w:val="none" w:sz="0" w:space="0" w:color="auto"/>
                                          </w:divBdr>
                                        </w:div>
                                      </w:divsChild>
                                    </w:div>
                                    <w:div w:id="1186142090">
                                      <w:marLeft w:val="0"/>
                                      <w:marRight w:val="0"/>
                                      <w:marTop w:val="0"/>
                                      <w:marBottom w:val="120"/>
                                      <w:divBdr>
                                        <w:top w:val="none" w:sz="0" w:space="0" w:color="auto"/>
                                        <w:left w:val="none" w:sz="0" w:space="0" w:color="auto"/>
                                        <w:bottom w:val="single" w:sz="6" w:space="6" w:color="EEEEEE"/>
                                        <w:right w:val="none" w:sz="0" w:space="0" w:color="auto"/>
                                      </w:divBdr>
                                      <w:divsChild>
                                        <w:div w:id="30659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195834">
                                  <w:marLeft w:val="0"/>
                                  <w:marRight w:val="600"/>
                                  <w:marTop w:val="0"/>
                                  <w:marBottom w:val="0"/>
                                  <w:divBdr>
                                    <w:top w:val="none" w:sz="0" w:space="0" w:color="auto"/>
                                    <w:left w:val="none" w:sz="0" w:space="0" w:color="auto"/>
                                    <w:bottom w:val="none" w:sz="0" w:space="0" w:color="auto"/>
                                    <w:right w:val="none" w:sz="0" w:space="0" w:color="auto"/>
                                  </w:divBdr>
                                  <w:divsChild>
                                    <w:div w:id="251361517">
                                      <w:marLeft w:val="0"/>
                                      <w:marRight w:val="0"/>
                                      <w:marTop w:val="0"/>
                                      <w:marBottom w:val="120"/>
                                      <w:divBdr>
                                        <w:top w:val="none" w:sz="0" w:space="0" w:color="auto"/>
                                        <w:left w:val="none" w:sz="0" w:space="0" w:color="auto"/>
                                        <w:bottom w:val="single" w:sz="6" w:space="6" w:color="EEEEEE"/>
                                        <w:right w:val="none" w:sz="0" w:space="0" w:color="auto"/>
                                      </w:divBdr>
                                      <w:divsChild>
                                        <w:div w:id="38669006">
                                          <w:marLeft w:val="0"/>
                                          <w:marRight w:val="0"/>
                                          <w:marTop w:val="0"/>
                                          <w:marBottom w:val="0"/>
                                          <w:divBdr>
                                            <w:top w:val="none" w:sz="0" w:space="0" w:color="auto"/>
                                            <w:left w:val="none" w:sz="0" w:space="0" w:color="auto"/>
                                            <w:bottom w:val="none" w:sz="0" w:space="0" w:color="auto"/>
                                            <w:right w:val="none" w:sz="0" w:space="0" w:color="auto"/>
                                          </w:divBdr>
                                        </w:div>
                                      </w:divsChild>
                                    </w:div>
                                    <w:div w:id="898983263">
                                      <w:marLeft w:val="0"/>
                                      <w:marRight w:val="0"/>
                                      <w:marTop w:val="0"/>
                                      <w:marBottom w:val="120"/>
                                      <w:divBdr>
                                        <w:top w:val="none" w:sz="0" w:space="0" w:color="auto"/>
                                        <w:left w:val="none" w:sz="0" w:space="0" w:color="auto"/>
                                        <w:bottom w:val="single" w:sz="6" w:space="6" w:color="EEEEEE"/>
                                        <w:right w:val="none" w:sz="0" w:space="0" w:color="auto"/>
                                      </w:divBdr>
                                      <w:divsChild>
                                        <w:div w:id="978731841">
                                          <w:marLeft w:val="0"/>
                                          <w:marRight w:val="0"/>
                                          <w:marTop w:val="0"/>
                                          <w:marBottom w:val="0"/>
                                          <w:divBdr>
                                            <w:top w:val="none" w:sz="0" w:space="0" w:color="auto"/>
                                            <w:left w:val="none" w:sz="0" w:space="0" w:color="auto"/>
                                            <w:bottom w:val="none" w:sz="0" w:space="0" w:color="auto"/>
                                            <w:right w:val="none" w:sz="0" w:space="0" w:color="auto"/>
                                          </w:divBdr>
                                        </w:div>
                                      </w:divsChild>
                                    </w:div>
                                    <w:div w:id="918363731">
                                      <w:marLeft w:val="0"/>
                                      <w:marRight w:val="0"/>
                                      <w:marTop w:val="0"/>
                                      <w:marBottom w:val="120"/>
                                      <w:divBdr>
                                        <w:top w:val="none" w:sz="0" w:space="0" w:color="auto"/>
                                        <w:left w:val="none" w:sz="0" w:space="0" w:color="auto"/>
                                        <w:bottom w:val="single" w:sz="6" w:space="6" w:color="EEEEEE"/>
                                        <w:right w:val="none" w:sz="0" w:space="0" w:color="auto"/>
                                      </w:divBdr>
                                      <w:divsChild>
                                        <w:div w:id="1227958603">
                                          <w:marLeft w:val="0"/>
                                          <w:marRight w:val="0"/>
                                          <w:marTop w:val="0"/>
                                          <w:marBottom w:val="0"/>
                                          <w:divBdr>
                                            <w:top w:val="none" w:sz="0" w:space="0" w:color="auto"/>
                                            <w:left w:val="none" w:sz="0" w:space="0" w:color="auto"/>
                                            <w:bottom w:val="none" w:sz="0" w:space="0" w:color="auto"/>
                                            <w:right w:val="none" w:sz="0" w:space="0" w:color="auto"/>
                                          </w:divBdr>
                                        </w:div>
                                      </w:divsChild>
                                    </w:div>
                                    <w:div w:id="1462531926">
                                      <w:marLeft w:val="0"/>
                                      <w:marRight w:val="0"/>
                                      <w:marTop w:val="0"/>
                                      <w:marBottom w:val="120"/>
                                      <w:divBdr>
                                        <w:top w:val="none" w:sz="0" w:space="0" w:color="auto"/>
                                        <w:left w:val="none" w:sz="0" w:space="0" w:color="auto"/>
                                        <w:bottom w:val="none" w:sz="0" w:space="0" w:color="auto"/>
                                        <w:right w:val="none" w:sz="0" w:space="0" w:color="auto"/>
                                      </w:divBdr>
                                      <w:divsChild>
                                        <w:div w:id="1800420001">
                                          <w:marLeft w:val="0"/>
                                          <w:marRight w:val="0"/>
                                          <w:marTop w:val="0"/>
                                          <w:marBottom w:val="0"/>
                                          <w:divBdr>
                                            <w:top w:val="none" w:sz="0" w:space="0" w:color="auto"/>
                                            <w:left w:val="none" w:sz="0" w:space="0" w:color="auto"/>
                                            <w:bottom w:val="none" w:sz="0" w:space="0" w:color="auto"/>
                                            <w:right w:val="none" w:sz="0" w:space="0" w:color="auto"/>
                                          </w:divBdr>
                                        </w:div>
                                      </w:divsChild>
                                    </w:div>
                                    <w:div w:id="1593128738">
                                      <w:marLeft w:val="0"/>
                                      <w:marRight w:val="0"/>
                                      <w:marTop w:val="0"/>
                                      <w:marBottom w:val="120"/>
                                      <w:divBdr>
                                        <w:top w:val="none" w:sz="0" w:space="0" w:color="auto"/>
                                        <w:left w:val="none" w:sz="0" w:space="0" w:color="auto"/>
                                        <w:bottom w:val="single" w:sz="6" w:space="6" w:color="EEEEEE"/>
                                        <w:right w:val="none" w:sz="0" w:space="0" w:color="auto"/>
                                      </w:divBdr>
                                      <w:divsChild>
                                        <w:div w:id="104629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373067">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sChild>
            </w:div>
          </w:divsChild>
        </w:div>
        <w:div w:id="1828663598">
          <w:marLeft w:val="0"/>
          <w:marRight w:val="0"/>
          <w:marTop w:val="0"/>
          <w:marBottom w:val="0"/>
          <w:divBdr>
            <w:top w:val="none" w:sz="0" w:space="0" w:color="auto"/>
            <w:left w:val="none" w:sz="0" w:space="0" w:color="auto"/>
            <w:bottom w:val="none" w:sz="0" w:space="0" w:color="auto"/>
            <w:right w:val="none" w:sz="0" w:space="0" w:color="auto"/>
          </w:divBdr>
          <w:divsChild>
            <w:div w:id="169090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570005">
      <w:bodyDiv w:val="1"/>
      <w:marLeft w:val="0"/>
      <w:marRight w:val="0"/>
      <w:marTop w:val="0"/>
      <w:marBottom w:val="0"/>
      <w:divBdr>
        <w:top w:val="none" w:sz="0" w:space="0" w:color="auto"/>
        <w:left w:val="none" w:sz="0" w:space="0" w:color="auto"/>
        <w:bottom w:val="none" w:sz="0" w:space="0" w:color="auto"/>
        <w:right w:val="none" w:sz="0" w:space="0" w:color="auto"/>
      </w:divBdr>
      <w:divsChild>
        <w:div w:id="1570463784">
          <w:marLeft w:val="0"/>
          <w:marRight w:val="0"/>
          <w:marTop w:val="0"/>
          <w:marBottom w:val="0"/>
          <w:divBdr>
            <w:top w:val="none" w:sz="0" w:space="0" w:color="auto"/>
            <w:left w:val="none" w:sz="0" w:space="0" w:color="auto"/>
            <w:bottom w:val="none" w:sz="0" w:space="0" w:color="auto"/>
            <w:right w:val="none" w:sz="0" w:space="0" w:color="auto"/>
          </w:divBdr>
          <w:divsChild>
            <w:div w:id="449275984">
              <w:marLeft w:val="0"/>
              <w:marRight w:val="0"/>
              <w:marTop w:val="0"/>
              <w:marBottom w:val="0"/>
              <w:divBdr>
                <w:top w:val="none" w:sz="0" w:space="0" w:color="auto"/>
                <w:left w:val="none" w:sz="0" w:space="0" w:color="auto"/>
                <w:bottom w:val="none" w:sz="0" w:space="0" w:color="auto"/>
                <w:right w:val="none" w:sz="0" w:space="0" w:color="auto"/>
              </w:divBdr>
            </w:div>
          </w:divsChild>
        </w:div>
        <w:div w:id="1798528583">
          <w:marLeft w:val="0"/>
          <w:marRight w:val="0"/>
          <w:marTop w:val="0"/>
          <w:marBottom w:val="150"/>
          <w:divBdr>
            <w:top w:val="none" w:sz="0" w:space="0" w:color="auto"/>
            <w:left w:val="none" w:sz="0" w:space="0" w:color="auto"/>
            <w:bottom w:val="none" w:sz="0" w:space="0" w:color="auto"/>
            <w:right w:val="none" w:sz="0" w:space="0" w:color="auto"/>
          </w:divBdr>
        </w:div>
        <w:div w:id="1876847870">
          <w:marLeft w:val="0"/>
          <w:marRight w:val="0"/>
          <w:marTop w:val="0"/>
          <w:marBottom w:val="150"/>
          <w:divBdr>
            <w:top w:val="none" w:sz="0" w:space="0" w:color="auto"/>
            <w:left w:val="none" w:sz="0" w:space="0" w:color="auto"/>
            <w:bottom w:val="none" w:sz="0" w:space="0" w:color="auto"/>
            <w:right w:val="none" w:sz="0" w:space="0" w:color="auto"/>
          </w:divBdr>
          <w:divsChild>
            <w:div w:id="99930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646885">
      <w:bodyDiv w:val="1"/>
      <w:marLeft w:val="0"/>
      <w:marRight w:val="0"/>
      <w:marTop w:val="0"/>
      <w:marBottom w:val="0"/>
      <w:divBdr>
        <w:top w:val="none" w:sz="0" w:space="0" w:color="auto"/>
        <w:left w:val="none" w:sz="0" w:space="0" w:color="auto"/>
        <w:bottom w:val="none" w:sz="0" w:space="0" w:color="auto"/>
        <w:right w:val="none" w:sz="0" w:space="0" w:color="auto"/>
      </w:divBdr>
      <w:divsChild>
        <w:div w:id="184683623">
          <w:marLeft w:val="0"/>
          <w:marRight w:val="0"/>
          <w:marTop w:val="0"/>
          <w:marBottom w:val="150"/>
          <w:divBdr>
            <w:top w:val="none" w:sz="0" w:space="0" w:color="auto"/>
            <w:left w:val="none" w:sz="0" w:space="0" w:color="auto"/>
            <w:bottom w:val="none" w:sz="0" w:space="0" w:color="auto"/>
            <w:right w:val="none" w:sz="0" w:space="0" w:color="auto"/>
          </w:divBdr>
        </w:div>
        <w:div w:id="1418208996">
          <w:marLeft w:val="0"/>
          <w:marRight w:val="0"/>
          <w:marTop w:val="0"/>
          <w:marBottom w:val="0"/>
          <w:divBdr>
            <w:top w:val="none" w:sz="0" w:space="0" w:color="auto"/>
            <w:left w:val="none" w:sz="0" w:space="0" w:color="auto"/>
            <w:bottom w:val="none" w:sz="0" w:space="0" w:color="auto"/>
            <w:right w:val="none" w:sz="0" w:space="0" w:color="auto"/>
          </w:divBdr>
        </w:div>
      </w:divsChild>
    </w:div>
    <w:div w:id="369886576">
      <w:bodyDiv w:val="1"/>
      <w:marLeft w:val="0"/>
      <w:marRight w:val="0"/>
      <w:marTop w:val="0"/>
      <w:marBottom w:val="0"/>
      <w:divBdr>
        <w:top w:val="none" w:sz="0" w:space="0" w:color="auto"/>
        <w:left w:val="none" w:sz="0" w:space="0" w:color="auto"/>
        <w:bottom w:val="none" w:sz="0" w:space="0" w:color="auto"/>
        <w:right w:val="none" w:sz="0" w:space="0" w:color="auto"/>
      </w:divBdr>
    </w:div>
    <w:div w:id="369962061">
      <w:bodyDiv w:val="1"/>
      <w:marLeft w:val="0"/>
      <w:marRight w:val="0"/>
      <w:marTop w:val="0"/>
      <w:marBottom w:val="0"/>
      <w:divBdr>
        <w:top w:val="none" w:sz="0" w:space="0" w:color="auto"/>
        <w:left w:val="none" w:sz="0" w:space="0" w:color="auto"/>
        <w:bottom w:val="none" w:sz="0" w:space="0" w:color="auto"/>
        <w:right w:val="none" w:sz="0" w:space="0" w:color="auto"/>
      </w:divBdr>
      <w:divsChild>
        <w:div w:id="2039040089">
          <w:marLeft w:val="0"/>
          <w:marRight w:val="0"/>
          <w:marTop w:val="0"/>
          <w:marBottom w:val="150"/>
          <w:divBdr>
            <w:top w:val="none" w:sz="0" w:space="0" w:color="auto"/>
            <w:left w:val="none" w:sz="0" w:space="0" w:color="auto"/>
            <w:bottom w:val="none" w:sz="0" w:space="0" w:color="auto"/>
            <w:right w:val="none" w:sz="0" w:space="0" w:color="auto"/>
          </w:divBdr>
        </w:div>
      </w:divsChild>
    </w:div>
    <w:div w:id="370114201">
      <w:bodyDiv w:val="1"/>
      <w:marLeft w:val="0"/>
      <w:marRight w:val="0"/>
      <w:marTop w:val="0"/>
      <w:marBottom w:val="0"/>
      <w:divBdr>
        <w:top w:val="none" w:sz="0" w:space="0" w:color="auto"/>
        <w:left w:val="none" w:sz="0" w:space="0" w:color="auto"/>
        <w:bottom w:val="none" w:sz="0" w:space="0" w:color="auto"/>
        <w:right w:val="none" w:sz="0" w:space="0" w:color="auto"/>
      </w:divBdr>
      <w:divsChild>
        <w:div w:id="437677541">
          <w:marLeft w:val="0"/>
          <w:marRight w:val="0"/>
          <w:marTop w:val="150"/>
          <w:marBottom w:val="0"/>
          <w:divBdr>
            <w:top w:val="none" w:sz="0" w:space="0" w:color="auto"/>
            <w:left w:val="none" w:sz="0" w:space="0" w:color="auto"/>
            <w:bottom w:val="none" w:sz="0" w:space="0" w:color="auto"/>
            <w:right w:val="none" w:sz="0" w:space="0" w:color="auto"/>
          </w:divBdr>
          <w:divsChild>
            <w:div w:id="837385632">
              <w:marLeft w:val="0"/>
              <w:marRight w:val="150"/>
              <w:marTop w:val="0"/>
              <w:marBottom w:val="0"/>
              <w:divBdr>
                <w:top w:val="none" w:sz="0" w:space="0" w:color="auto"/>
                <w:left w:val="none" w:sz="0" w:space="0" w:color="auto"/>
                <w:bottom w:val="none" w:sz="0" w:space="0" w:color="auto"/>
                <w:right w:val="none" w:sz="0" w:space="0" w:color="auto"/>
              </w:divBdr>
            </w:div>
          </w:divsChild>
        </w:div>
        <w:div w:id="2106067857">
          <w:marLeft w:val="0"/>
          <w:marRight w:val="0"/>
          <w:marTop w:val="0"/>
          <w:marBottom w:val="0"/>
          <w:divBdr>
            <w:top w:val="none" w:sz="0" w:space="8" w:color="auto"/>
            <w:left w:val="none" w:sz="0" w:space="2" w:color="auto"/>
            <w:bottom w:val="single" w:sz="6" w:space="8" w:color="DDDDDD"/>
            <w:right w:val="none" w:sz="0" w:space="0" w:color="auto"/>
          </w:divBdr>
        </w:div>
      </w:divsChild>
    </w:div>
    <w:div w:id="370114555">
      <w:bodyDiv w:val="1"/>
      <w:marLeft w:val="0"/>
      <w:marRight w:val="0"/>
      <w:marTop w:val="0"/>
      <w:marBottom w:val="0"/>
      <w:divBdr>
        <w:top w:val="none" w:sz="0" w:space="0" w:color="auto"/>
        <w:left w:val="none" w:sz="0" w:space="0" w:color="auto"/>
        <w:bottom w:val="none" w:sz="0" w:space="0" w:color="auto"/>
        <w:right w:val="none" w:sz="0" w:space="0" w:color="auto"/>
      </w:divBdr>
      <w:divsChild>
        <w:div w:id="2109614063">
          <w:marLeft w:val="0"/>
          <w:marRight w:val="0"/>
          <w:marTop w:val="0"/>
          <w:marBottom w:val="0"/>
          <w:divBdr>
            <w:top w:val="none" w:sz="0" w:space="0" w:color="auto"/>
            <w:left w:val="none" w:sz="0" w:space="0" w:color="auto"/>
            <w:bottom w:val="none" w:sz="0" w:space="0" w:color="auto"/>
            <w:right w:val="none" w:sz="0" w:space="0" w:color="auto"/>
          </w:divBdr>
          <w:divsChild>
            <w:div w:id="772748745">
              <w:marLeft w:val="0"/>
              <w:marRight w:val="0"/>
              <w:marTop w:val="0"/>
              <w:marBottom w:val="0"/>
              <w:divBdr>
                <w:top w:val="none" w:sz="0" w:space="0" w:color="auto"/>
                <w:left w:val="none" w:sz="0" w:space="0" w:color="auto"/>
                <w:bottom w:val="none" w:sz="0" w:space="0" w:color="auto"/>
                <w:right w:val="none" w:sz="0" w:space="0" w:color="auto"/>
              </w:divBdr>
              <w:divsChild>
                <w:div w:id="442116403">
                  <w:marLeft w:val="0"/>
                  <w:marRight w:val="0"/>
                  <w:marTop w:val="0"/>
                  <w:marBottom w:val="0"/>
                  <w:divBdr>
                    <w:top w:val="none" w:sz="0" w:space="0" w:color="auto"/>
                    <w:left w:val="none" w:sz="0" w:space="0" w:color="auto"/>
                    <w:bottom w:val="none" w:sz="0" w:space="0" w:color="auto"/>
                    <w:right w:val="none" w:sz="0" w:space="0" w:color="auto"/>
                  </w:divBdr>
                  <w:divsChild>
                    <w:div w:id="1084499397">
                      <w:marLeft w:val="0"/>
                      <w:marRight w:val="0"/>
                      <w:marTop w:val="0"/>
                      <w:marBottom w:val="0"/>
                      <w:divBdr>
                        <w:top w:val="none" w:sz="0" w:space="0" w:color="auto"/>
                        <w:left w:val="none" w:sz="0" w:space="0" w:color="auto"/>
                        <w:bottom w:val="none" w:sz="0" w:space="0" w:color="auto"/>
                        <w:right w:val="none" w:sz="0" w:space="0" w:color="auto"/>
                      </w:divBdr>
                      <w:divsChild>
                        <w:div w:id="641620713">
                          <w:marLeft w:val="0"/>
                          <w:marRight w:val="0"/>
                          <w:marTop w:val="0"/>
                          <w:marBottom w:val="0"/>
                          <w:divBdr>
                            <w:top w:val="none" w:sz="0" w:space="0" w:color="auto"/>
                            <w:left w:val="none" w:sz="0" w:space="0" w:color="auto"/>
                            <w:bottom w:val="none" w:sz="0" w:space="0" w:color="auto"/>
                            <w:right w:val="none" w:sz="0" w:space="0" w:color="auto"/>
                          </w:divBdr>
                          <w:divsChild>
                            <w:div w:id="83455939">
                              <w:marLeft w:val="0"/>
                              <w:marRight w:val="0"/>
                              <w:marTop w:val="0"/>
                              <w:marBottom w:val="0"/>
                              <w:divBdr>
                                <w:top w:val="none" w:sz="0" w:space="0" w:color="auto"/>
                                <w:left w:val="none" w:sz="0" w:space="0" w:color="auto"/>
                                <w:bottom w:val="none" w:sz="0" w:space="0" w:color="auto"/>
                                <w:right w:val="none" w:sz="0" w:space="0" w:color="auto"/>
                              </w:divBdr>
                              <w:divsChild>
                                <w:div w:id="1199394775">
                                  <w:marLeft w:val="0"/>
                                  <w:marRight w:val="0"/>
                                  <w:marTop w:val="0"/>
                                  <w:marBottom w:val="0"/>
                                  <w:divBdr>
                                    <w:top w:val="none" w:sz="0" w:space="0" w:color="auto"/>
                                    <w:left w:val="none" w:sz="0" w:space="0" w:color="auto"/>
                                    <w:bottom w:val="none" w:sz="0" w:space="0" w:color="auto"/>
                                    <w:right w:val="none" w:sz="0" w:space="0" w:color="auto"/>
                                  </w:divBdr>
                                  <w:divsChild>
                                    <w:div w:id="53053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0304146">
      <w:bodyDiv w:val="1"/>
      <w:marLeft w:val="0"/>
      <w:marRight w:val="0"/>
      <w:marTop w:val="0"/>
      <w:marBottom w:val="0"/>
      <w:divBdr>
        <w:top w:val="none" w:sz="0" w:space="0" w:color="auto"/>
        <w:left w:val="none" w:sz="0" w:space="0" w:color="auto"/>
        <w:bottom w:val="none" w:sz="0" w:space="0" w:color="auto"/>
        <w:right w:val="none" w:sz="0" w:space="0" w:color="auto"/>
      </w:divBdr>
      <w:divsChild>
        <w:div w:id="1629235602">
          <w:marLeft w:val="0"/>
          <w:marRight w:val="0"/>
          <w:marTop w:val="0"/>
          <w:marBottom w:val="150"/>
          <w:divBdr>
            <w:top w:val="none" w:sz="0" w:space="0" w:color="auto"/>
            <w:left w:val="none" w:sz="0" w:space="0" w:color="auto"/>
            <w:bottom w:val="none" w:sz="0" w:space="0" w:color="auto"/>
            <w:right w:val="none" w:sz="0" w:space="0" w:color="auto"/>
          </w:divBdr>
        </w:div>
      </w:divsChild>
    </w:div>
    <w:div w:id="370349839">
      <w:bodyDiv w:val="1"/>
      <w:marLeft w:val="0"/>
      <w:marRight w:val="0"/>
      <w:marTop w:val="0"/>
      <w:marBottom w:val="0"/>
      <w:divBdr>
        <w:top w:val="none" w:sz="0" w:space="0" w:color="auto"/>
        <w:left w:val="none" w:sz="0" w:space="0" w:color="auto"/>
        <w:bottom w:val="none" w:sz="0" w:space="0" w:color="auto"/>
        <w:right w:val="none" w:sz="0" w:space="0" w:color="auto"/>
      </w:divBdr>
    </w:div>
    <w:div w:id="370543116">
      <w:bodyDiv w:val="1"/>
      <w:marLeft w:val="0"/>
      <w:marRight w:val="0"/>
      <w:marTop w:val="0"/>
      <w:marBottom w:val="0"/>
      <w:divBdr>
        <w:top w:val="none" w:sz="0" w:space="0" w:color="auto"/>
        <w:left w:val="none" w:sz="0" w:space="0" w:color="auto"/>
        <w:bottom w:val="none" w:sz="0" w:space="0" w:color="auto"/>
        <w:right w:val="none" w:sz="0" w:space="0" w:color="auto"/>
      </w:divBdr>
      <w:divsChild>
        <w:div w:id="708846315">
          <w:marLeft w:val="0"/>
          <w:marRight w:val="0"/>
          <w:marTop w:val="0"/>
          <w:marBottom w:val="0"/>
          <w:divBdr>
            <w:top w:val="none" w:sz="0" w:space="0" w:color="auto"/>
            <w:left w:val="none" w:sz="0" w:space="0" w:color="auto"/>
            <w:bottom w:val="dotted" w:sz="6" w:space="4" w:color="DDDDDD"/>
            <w:right w:val="none" w:sz="0" w:space="0" w:color="auto"/>
          </w:divBdr>
        </w:div>
      </w:divsChild>
    </w:div>
    <w:div w:id="370738432">
      <w:bodyDiv w:val="1"/>
      <w:marLeft w:val="0"/>
      <w:marRight w:val="0"/>
      <w:marTop w:val="0"/>
      <w:marBottom w:val="0"/>
      <w:divBdr>
        <w:top w:val="none" w:sz="0" w:space="0" w:color="auto"/>
        <w:left w:val="none" w:sz="0" w:space="0" w:color="auto"/>
        <w:bottom w:val="none" w:sz="0" w:space="0" w:color="auto"/>
        <w:right w:val="none" w:sz="0" w:space="0" w:color="auto"/>
      </w:divBdr>
      <w:divsChild>
        <w:div w:id="889878056">
          <w:marLeft w:val="0"/>
          <w:marRight w:val="0"/>
          <w:marTop w:val="0"/>
          <w:marBottom w:val="0"/>
          <w:divBdr>
            <w:top w:val="none" w:sz="0" w:space="0" w:color="auto"/>
            <w:left w:val="none" w:sz="0" w:space="0" w:color="auto"/>
            <w:bottom w:val="none" w:sz="0" w:space="0" w:color="auto"/>
            <w:right w:val="none" w:sz="0" w:space="0" w:color="auto"/>
          </w:divBdr>
          <w:divsChild>
            <w:div w:id="1485972791">
              <w:marLeft w:val="0"/>
              <w:marRight w:val="0"/>
              <w:marTop w:val="0"/>
              <w:marBottom w:val="0"/>
              <w:divBdr>
                <w:top w:val="none" w:sz="0" w:space="0" w:color="auto"/>
                <w:left w:val="none" w:sz="0" w:space="0" w:color="auto"/>
                <w:bottom w:val="none" w:sz="0" w:space="0" w:color="auto"/>
                <w:right w:val="none" w:sz="0" w:space="0" w:color="auto"/>
              </w:divBdr>
              <w:divsChild>
                <w:div w:id="1631668768">
                  <w:marLeft w:val="0"/>
                  <w:marRight w:val="0"/>
                  <w:marTop w:val="0"/>
                  <w:marBottom w:val="0"/>
                  <w:divBdr>
                    <w:top w:val="none" w:sz="0" w:space="0" w:color="auto"/>
                    <w:left w:val="none" w:sz="0" w:space="0" w:color="auto"/>
                    <w:bottom w:val="none" w:sz="0" w:space="0" w:color="auto"/>
                    <w:right w:val="none" w:sz="0" w:space="0" w:color="auto"/>
                  </w:divBdr>
                  <w:divsChild>
                    <w:div w:id="513999821">
                      <w:marLeft w:val="0"/>
                      <w:marRight w:val="0"/>
                      <w:marTop w:val="0"/>
                      <w:marBottom w:val="0"/>
                      <w:divBdr>
                        <w:top w:val="none" w:sz="0" w:space="0" w:color="auto"/>
                        <w:left w:val="none" w:sz="0" w:space="0" w:color="auto"/>
                        <w:bottom w:val="none" w:sz="0" w:space="0" w:color="auto"/>
                        <w:right w:val="none" w:sz="0" w:space="0" w:color="auto"/>
                      </w:divBdr>
                      <w:divsChild>
                        <w:div w:id="1558082385">
                          <w:marLeft w:val="0"/>
                          <w:marRight w:val="0"/>
                          <w:marTop w:val="0"/>
                          <w:marBottom w:val="0"/>
                          <w:divBdr>
                            <w:top w:val="none" w:sz="0" w:space="0" w:color="auto"/>
                            <w:left w:val="none" w:sz="0" w:space="0" w:color="auto"/>
                            <w:bottom w:val="none" w:sz="0" w:space="0" w:color="auto"/>
                            <w:right w:val="none" w:sz="0" w:space="0" w:color="auto"/>
                          </w:divBdr>
                          <w:divsChild>
                            <w:div w:id="2060861046">
                              <w:marLeft w:val="0"/>
                              <w:marRight w:val="0"/>
                              <w:marTop w:val="0"/>
                              <w:marBottom w:val="0"/>
                              <w:divBdr>
                                <w:top w:val="none" w:sz="0" w:space="0" w:color="auto"/>
                                <w:left w:val="none" w:sz="0" w:space="0" w:color="auto"/>
                                <w:bottom w:val="none" w:sz="0" w:space="0" w:color="auto"/>
                                <w:right w:val="none" w:sz="0" w:space="0" w:color="auto"/>
                              </w:divBdr>
                              <w:divsChild>
                                <w:div w:id="1664703918">
                                  <w:marLeft w:val="0"/>
                                  <w:marRight w:val="0"/>
                                  <w:marTop w:val="0"/>
                                  <w:marBottom w:val="0"/>
                                  <w:divBdr>
                                    <w:top w:val="none" w:sz="0" w:space="0" w:color="auto"/>
                                    <w:left w:val="none" w:sz="0" w:space="0" w:color="auto"/>
                                    <w:bottom w:val="none" w:sz="0" w:space="0" w:color="auto"/>
                                    <w:right w:val="none" w:sz="0" w:space="0" w:color="auto"/>
                                  </w:divBdr>
                                  <w:divsChild>
                                    <w:div w:id="1179538584">
                                      <w:marLeft w:val="0"/>
                                      <w:marRight w:val="0"/>
                                      <w:marTop w:val="0"/>
                                      <w:marBottom w:val="0"/>
                                      <w:divBdr>
                                        <w:top w:val="none" w:sz="0" w:space="0" w:color="auto"/>
                                        <w:left w:val="none" w:sz="0" w:space="0" w:color="auto"/>
                                        <w:bottom w:val="none" w:sz="0" w:space="0" w:color="auto"/>
                                        <w:right w:val="none" w:sz="0" w:space="0" w:color="auto"/>
                                      </w:divBdr>
                                      <w:divsChild>
                                        <w:div w:id="10637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1266383">
      <w:bodyDiv w:val="1"/>
      <w:marLeft w:val="0"/>
      <w:marRight w:val="0"/>
      <w:marTop w:val="0"/>
      <w:marBottom w:val="0"/>
      <w:divBdr>
        <w:top w:val="none" w:sz="0" w:space="0" w:color="auto"/>
        <w:left w:val="none" w:sz="0" w:space="0" w:color="auto"/>
        <w:bottom w:val="none" w:sz="0" w:space="0" w:color="auto"/>
        <w:right w:val="none" w:sz="0" w:space="0" w:color="auto"/>
      </w:divBdr>
    </w:div>
    <w:div w:id="371880952">
      <w:bodyDiv w:val="1"/>
      <w:marLeft w:val="0"/>
      <w:marRight w:val="0"/>
      <w:marTop w:val="0"/>
      <w:marBottom w:val="0"/>
      <w:divBdr>
        <w:top w:val="none" w:sz="0" w:space="0" w:color="auto"/>
        <w:left w:val="none" w:sz="0" w:space="0" w:color="auto"/>
        <w:bottom w:val="none" w:sz="0" w:space="0" w:color="auto"/>
        <w:right w:val="none" w:sz="0" w:space="0" w:color="auto"/>
      </w:divBdr>
    </w:div>
    <w:div w:id="371927961">
      <w:bodyDiv w:val="1"/>
      <w:marLeft w:val="0"/>
      <w:marRight w:val="0"/>
      <w:marTop w:val="0"/>
      <w:marBottom w:val="0"/>
      <w:divBdr>
        <w:top w:val="none" w:sz="0" w:space="0" w:color="auto"/>
        <w:left w:val="none" w:sz="0" w:space="0" w:color="auto"/>
        <w:bottom w:val="none" w:sz="0" w:space="0" w:color="auto"/>
        <w:right w:val="none" w:sz="0" w:space="0" w:color="auto"/>
      </w:divBdr>
    </w:div>
    <w:div w:id="372079946">
      <w:bodyDiv w:val="1"/>
      <w:marLeft w:val="0"/>
      <w:marRight w:val="0"/>
      <w:marTop w:val="0"/>
      <w:marBottom w:val="0"/>
      <w:divBdr>
        <w:top w:val="none" w:sz="0" w:space="0" w:color="auto"/>
        <w:left w:val="none" w:sz="0" w:space="0" w:color="auto"/>
        <w:bottom w:val="none" w:sz="0" w:space="0" w:color="auto"/>
        <w:right w:val="none" w:sz="0" w:space="0" w:color="auto"/>
      </w:divBdr>
      <w:divsChild>
        <w:div w:id="56825227">
          <w:marLeft w:val="0"/>
          <w:marRight w:val="0"/>
          <w:marTop w:val="0"/>
          <w:marBottom w:val="150"/>
          <w:divBdr>
            <w:top w:val="none" w:sz="0" w:space="0" w:color="auto"/>
            <w:left w:val="none" w:sz="0" w:space="0" w:color="auto"/>
            <w:bottom w:val="none" w:sz="0" w:space="0" w:color="auto"/>
            <w:right w:val="none" w:sz="0" w:space="0" w:color="auto"/>
          </w:divBdr>
        </w:div>
      </w:divsChild>
    </w:div>
    <w:div w:id="372190117">
      <w:bodyDiv w:val="1"/>
      <w:marLeft w:val="0"/>
      <w:marRight w:val="0"/>
      <w:marTop w:val="0"/>
      <w:marBottom w:val="0"/>
      <w:divBdr>
        <w:top w:val="none" w:sz="0" w:space="0" w:color="auto"/>
        <w:left w:val="none" w:sz="0" w:space="0" w:color="auto"/>
        <w:bottom w:val="none" w:sz="0" w:space="0" w:color="auto"/>
        <w:right w:val="none" w:sz="0" w:space="0" w:color="auto"/>
      </w:divBdr>
      <w:divsChild>
        <w:div w:id="444033727">
          <w:marLeft w:val="0"/>
          <w:marRight w:val="0"/>
          <w:marTop w:val="150"/>
          <w:marBottom w:val="0"/>
          <w:divBdr>
            <w:top w:val="none" w:sz="0" w:space="0" w:color="auto"/>
            <w:left w:val="none" w:sz="0" w:space="0" w:color="auto"/>
            <w:bottom w:val="none" w:sz="0" w:space="0" w:color="auto"/>
            <w:right w:val="none" w:sz="0" w:space="0" w:color="auto"/>
          </w:divBdr>
          <w:divsChild>
            <w:div w:id="318388972">
              <w:marLeft w:val="0"/>
              <w:marRight w:val="0"/>
              <w:marTop w:val="0"/>
              <w:marBottom w:val="0"/>
              <w:divBdr>
                <w:top w:val="none" w:sz="0" w:space="0" w:color="auto"/>
                <w:left w:val="none" w:sz="0" w:space="0" w:color="auto"/>
                <w:bottom w:val="none" w:sz="0" w:space="0" w:color="auto"/>
                <w:right w:val="none" w:sz="0" w:space="0" w:color="auto"/>
              </w:divBdr>
              <w:divsChild>
                <w:div w:id="234125635">
                  <w:marLeft w:val="0"/>
                  <w:marRight w:val="0"/>
                  <w:marTop w:val="0"/>
                  <w:marBottom w:val="0"/>
                  <w:divBdr>
                    <w:top w:val="none" w:sz="0" w:space="0" w:color="auto"/>
                    <w:left w:val="none" w:sz="0" w:space="0" w:color="auto"/>
                    <w:bottom w:val="none" w:sz="0" w:space="0" w:color="auto"/>
                    <w:right w:val="none" w:sz="0" w:space="0" w:color="auto"/>
                  </w:divBdr>
                </w:div>
                <w:div w:id="95834137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72671030">
          <w:marLeft w:val="0"/>
          <w:marRight w:val="0"/>
          <w:marTop w:val="0"/>
          <w:marBottom w:val="0"/>
          <w:divBdr>
            <w:top w:val="none" w:sz="0" w:space="0" w:color="auto"/>
            <w:left w:val="none" w:sz="0" w:space="0" w:color="auto"/>
            <w:bottom w:val="none" w:sz="0" w:space="0" w:color="auto"/>
            <w:right w:val="none" w:sz="0" w:space="0" w:color="auto"/>
          </w:divBdr>
          <w:divsChild>
            <w:div w:id="98933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578027">
      <w:bodyDiv w:val="1"/>
      <w:marLeft w:val="0"/>
      <w:marRight w:val="0"/>
      <w:marTop w:val="0"/>
      <w:marBottom w:val="0"/>
      <w:divBdr>
        <w:top w:val="none" w:sz="0" w:space="0" w:color="auto"/>
        <w:left w:val="none" w:sz="0" w:space="0" w:color="auto"/>
        <w:bottom w:val="none" w:sz="0" w:space="0" w:color="auto"/>
        <w:right w:val="none" w:sz="0" w:space="0" w:color="auto"/>
      </w:divBdr>
      <w:divsChild>
        <w:div w:id="2003586120">
          <w:marLeft w:val="0"/>
          <w:marRight w:val="0"/>
          <w:marTop w:val="0"/>
          <w:marBottom w:val="0"/>
          <w:divBdr>
            <w:top w:val="none" w:sz="0" w:space="0" w:color="auto"/>
            <w:left w:val="none" w:sz="0" w:space="0" w:color="auto"/>
            <w:bottom w:val="none" w:sz="0" w:space="0" w:color="auto"/>
            <w:right w:val="none" w:sz="0" w:space="0" w:color="auto"/>
          </w:divBdr>
          <w:divsChild>
            <w:div w:id="1514148264">
              <w:marLeft w:val="0"/>
              <w:marRight w:val="0"/>
              <w:marTop w:val="0"/>
              <w:marBottom w:val="0"/>
              <w:divBdr>
                <w:top w:val="none" w:sz="0" w:space="0" w:color="auto"/>
                <w:left w:val="none" w:sz="0" w:space="0" w:color="auto"/>
                <w:bottom w:val="none" w:sz="0" w:space="0" w:color="auto"/>
                <w:right w:val="none" w:sz="0" w:space="0" w:color="auto"/>
              </w:divBdr>
              <w:divsChild>
                <w:div w:id="751319523">
                  <w:marLeft w:val="0"/>
                  <w:marRight w:val="0"/>
                  <w:marTop w:val="0"/>
                  <w:marBottom w:val="0"/>
                  <w:divBdr>
                    <w:top w:val="none" w:sz="0" w:space="0" w:color="auto"/>
                    <w:left w:val="none" w:sz="0" w:space="0" w:color="auto"/>
                    <w:bottom w:val="none" w:sz="0" w:space="0" w:color="auto"/>
                    <w:right w:val="none" w:sz="0" w:space="0" w:color="auto"/>
                  </w:divBdr>
                  <w:divsChild>
                    <w:div w:id="1570722906">
                      <w:marLeft w:val="0"/>
                      <w:marRight w:val="0"/>
                      <w:marTop w:val="0"/>
                      <w:marBottom w:val="0"/>
                      <w:divBdr>
                        <w:top w:val="none" w:sz="0" w:space="0" w:color="auto"/>
                        <w:left w:val="none" w:sz="0" w:space="0" w:color="auto"/>
                        <w:bottom w:val="none" w:sz="0" w:space="0" w:color="auto"/>
                        <w:right w:val="none" w:sz="0" w:space="0" w:color="auto"/>
                      </w:divBdr>
                      <w:divsChild>
                        <w:div w:id="163861285">
                          <w:marLeft w:val="0"/>
                          <w:marRight w:val="0"/>
                          <w:marTop w:val="0"/>
                          <w:marBottom w:val="0"/>
                          <w:divBdr>
                            <w:top w:val="none" w:sz="0" w:space="0" w:color="auto"/>
                            <w:left w:val="none" w:sz="0" w:space="0" w:color="auto"/>
                            <w:bottom w:val="none" w:sz="0" w:space="0" w:color="auto"/>
                            <w:right w:val="none" w:sz="0" w:space="0" w:color="auto"/>
                          </w:divBdr>
                          <w:divsChild>
                            <w:div w:id="246352036">
                              <w:marLeft w:val="0"/>
                              <w:marRight w:val="0"/>
                              <w:marTop w:val="0"/>
                              <w:marBottom w:val="0"/>
                              <w:divBdr>
                                <w:top w:val="none" w:sz="0" w:space="0" w:color="auto"/>
                                <w:left w:val="none" w:sz="0" w:space="0" w:color="auto"/>
                                <w:bottom w:val="none" w:sz="0" w:space="0" w:color="auto"/>
                                <w:right w:val="none" w:sz="0" w:space="0" w:color="auto"/>
                              </w:divBdr>
                              <w:divsChild>
                                <w:div w:id="1611278563">
                                  <w:marLeft w:val="0"/>
                                  <w:marRight w:val="0"/>
                                  <w:marTop w:val="0"/>
                                  <w:marBottom w:val="0"/>
                                  <w:divBdr>
                                    <w:top w:val="none" w:sz="0" w:space="0" w:color="auto"/>
                                    <w:left w:val="none" w:sz="0" w:space="0" w:color="auto"/>
                                    <w:bottom w:val="none" w:sz="0" w:space="0" w:color="auto"/>
                                    <w:right w:val="none" w:sz="0" w:space="0" w:color="auto"/>
                                  </w:divBdr>
                                  <w:divsChild>
                                    <w:div w:id="2017346957">
                                      <w:marLeft w:val="0"/>
                                      <w:marRight w:val="0"/>
                                      <w:marTop w:val="0"/>
                                      <w:marBottom w:val="0"/>
                                      <w:divBdr>
                                        <w:top w:val="none" w:sz="0" w:space="0" w:color="auto"/>
                                        <w:left w:val="none" w:sz="0" w:space="0" w:color="auto"/>
                                        <w:bottom w:val="none" w:sz="0" w:space="0" w:color="auto"/>
                                        <w:right w:val="none" w:sz="0" w:space="0" w:color="auto"/>
                                      </w:divBdr>
                                      <w:divsChild>
                                        <w:div w:id="202081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2852976">
      <w:bodyDiv w:val="1"/>
      <w:marLeft w:val="0"/>
      <w:marRight w:val="0"/>
      <w:marTop w:val="0"/>
      <w:marBottom w:val="0"/>
      <w:divBdr>
        <w:top w:val="none" w:sz="0" w:space="0" w:color="auto"/>
        <w:left w:val="none" w:sz="0" w:space="0" w:color="auto"/>
        <w:bottom w:val="none" w:sz="0" w:space="0" w:color="auto"/>
        <w:right w:val="none" w:sz="0" w:space="0" w:color="auto"/>
      </w:divBdr>
      <w:divsChild>
        <w:div w:id="190606759">
          <w:marLeft w:val="0"/>
          <w:marRight w:val="0"/>
          <w:marTop w:val="0"/>
          <w:marBottom w:val="150"/>
          <w:divBdr>
            <w:top w:val="none" w:sz="0" w:space="0" w:color="auto"/>
            <w:left w:val="none" w:sz="0" w:space="0" w:color="auto"/>
            <w:bottom w:val="none" w:sz="0" w:space="0" w:color="auto"/>
            <w:right w:val="none" w:sz="0" w:space="0" w:color="auto"/>
          </w:divBdr>
          <w:divsChild>
            <w:div w:id="1482192501">
              <w:marLeft w:val="0"/>
              <w:marRight w:val="0"/>
              <w:marTop w:val="0"/>
              <w:marBottom w:val="0"/>
              <w:divBdr>
                <w:top w:val="none" w:sz="0" w:space="0" w:color="auto"/>
                <w:left w:val="none" w:sz="0" w:space="0" w:color="auto"/>
                <w:bottom w:val="none" w:sz="0" w:space="0" w:color="auto"/>
                <w:right w:val="none" w:sz="0" w:space="0" w:color="auto"/>
              </w:divBdr>
              <w:divsChild>
                <w:div w:id="82971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591428">
          <w:marLeft w:val="0"/>
          <w:marRight w:val="0"/>
          <w:marTop w:val="0"/>
          <w:marBottom w:val="150"/>
          <w:divBdr>
            <w:top w:val="none" w:sz="0" w:space="0" w:color="auto"/>
            <w:left w:val="none" w:sz="0" w:space="0" w:color="auto"/>
            <w:bottom w:val="none" w:sz="0" w:space="0" w:color="auto"/>
            <w:right w:val="none" w:sz="0" w:space="0" w:color="auto"/>
          </w:divBdr>
        </w:div>
        <w:div w:id="1062364371">
          <w:marLeft w:val="0"/>
          <w:marRight w:val="0"/>
          <w:marTop w:val="0"/>
          <w:marBottom w:val="0"/>
          <w:divBdr>
            <w:top w:val="none" w:sz="0" w:space="0" w:color="auto"/>
            <w:left w:val="none" w:sz="0" w:space="0" w:color="auto"/>
            <w:bottom w:val="none" w:sz="0" w:space="0" w:color="auto"/>
            <w:right w:val="none" w:sz="0" w:space="0" w:color="auto"/>
          </w:divBdr>
          <w:divsChild>
            <w:div w:id="2214040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73162344">
      <w:bodyDiv w:val="1"/>
      <w:marLeft w:val="0"/>
      <w:marRight w:val="0"/>
      <w:marTop w:val="0"/>
      <w:marBottom w:val="0"/>
      <w:divBdr>
        <w:top w:val="none" w:sz="0" w:space="0" w:color="auto"/>
        <w:left w:val="none" w:sz="0" w:space="0" w:color="auto"/>
        <w:bottom w:val="none" w:sz="0" w:space="0" w:color="auto"/>
        <w:right w:val="none" w:sz="0" w:space="0" w:color="auto"/>
      </w:divBdr>
      <w:divsChild>
        <w:div w:id="663821952">
          <w:marLeft w:val="0"/>
          <w:marRight w:val="0"/>
          <w:marTop w:val="0"/>
          <w:marBottom w:val="0"/>
          <w:divBdr>
            <w:top w:val="none" w:sz="0" w:space="0" w:color="auto"/>
            <w:left w:val="none" w:sz="0" w:space="0" w:color="auto"/>
            <w:bottom w:val="none" w:sz="0" w:space="0" w:color="auto"/>
            <w:right w:val="none" w:sz="0" w:space="0" w:color="auto"/>
          </w:divBdr>
        </w:div>
        <w:div w:id="1757289617">
          <w:marLeft w:val="0"/>
          <w:marRight w:val="0"/>
          <w:marTop w:val="0"/>
          <w:marBottom w:val="150"/>
          <w:divBdr>
            <w:top w:val="none" w:sz="0" w:space="0" w:color="auto"/>
            <w:left w:val="none" w:sz="0" w:space="0" w:color="auto"/>
            <w:bottom w:val="none" w:sz="0" w:space="0" w:color="auto"/>
            <w:right w:val="none" w:sz="0" w:space="0" w:color="auto"/>
          </w:divBdr>
        </w:div>
      </w:divsChild>
    </w:div>
    <w:div w:id="373189973">
      <w:bodyDiv w:val="1"/>
      <w:marLeft w:val="0"/>
      <w:marRight w:val="0"/>
      <w:marTop w:val="0"/>
      <w:marBottom w:val="0"/>
      <w:divBdr>
        <w:top w:val="none" w:sz="0" w:space="0" w:color="auto"/>
        <w:left w:val="none" w:sz="0" w:space="0" w:color="auto"/>
        <w:bottom w:val="none" w:sz="0" w:space="0" w:color="auto"/>
        <w:right w:val="none" w:sz="0" w:space="0" w:color="auto"/>
      </w:divBdr>
      <w:divsChild>
        <w:div w:id="355468369">
          <w:marLeft w:val="0"/>
          <w:marRight w:val="0"/>
          <w:marTop w:val="0"/>
          <w:marBottom w:val="0"/>
          <w:divBdr>
            <w:top w:val="none" w:sz="0" w:space="0" w:color="auto"/>
            <w:left w:val="none" w:sz="0" w:space="0" w:color="auto"/>
            <w:bottom w:val="none" w:sz="0" w:space="0" w:color="auto"/>
            <w:right w:val="none" w:sz="0" w:space="0" w:color="auto"/>
          </w:divBdr>
          <w:divsChild>
            <w:div w:id="1935436898">
              <w:marLeft w:val="0"/>
              <w:marRight w:val="0"/>
              <w:marTop w:val="0"/>
              <w:marBottom w:val="0"/>
              <w:divBdr>
                <w:top w:val="single" w:sz="8" w:space="3" w:color="E1E1E1"/>
                <w:left w:val="none" w:sz="0" w:space="0" w:color="auto"/>
                <w:bottom w:val="none" w:sz="0" w:space="0" w:color="auto"/>
                <w:right w:val="none" w:sz="0" w:space="0" w:color="auto"/>
              </w:divBdr>
            </w:div>
          </w:divsChild>
        </w:div>
        <w:div w:id="1965040046">
          <w:marLeft w:val="0"/>
          <w:marRight w:val="0"/>
          <w:marTop w:val="0"/>
          <w:marBottom w:val="0"/>
          <w:divBdr>
            <w:top w:val="none" w:sz="0" w:space="0" w:color="auto"/>
            <w:left w:val="none" w:sz="0" w:space="0" w:color="auto"/>
            <w:bottom w:val="none" w:sz="0" w:space="0" w:color="auto"/>
            <w:right w:val="none" w:sz="0" w:space="0" w:color="auto"/>
          </w:divBdr>
          <w:divsChild>
            <w:div w:id="30470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239833">
      <w:bodyDiv w:val="1"/>
      <w:marLeft w:val="0"/>
      <w:marRight w:val="0"/>
      <w:marTop w:val="0"/>
      <w:marBottom w:val="0"/>
      <w:divBdr>
        <w:top w:val="none" w:sz="0" w:space="0" w:color="auto"/>
        <w:left w:val="none" w:sz="0" w:space="0" w:color="auto"/>
        <w:bottom w:val="none" w:sz="0" w:space="0" w:color="auto"/>
        <w:right w:val="none" w:sz="0" w:space="0" w:color="auto"/>
      </w:divBdr>
    </w:div>
    <w:div w:id="373386920">
      <w:bodyDiv w:val="1"/>
      <w:marLeft w:val="0"/>
      <w:marRight w:val="0"/>
      <w:marTop w:val="0"/>
      <w:marBottom w:val="0"/>
      <w:divBdr>
        <w:top w:val="none" w:sz="0" w:space="0" w:color="auto"/>
        <w:left w:val="none" w:sz="0" w:space="0" w:color="auto"/>
        <w:bottom w:val="none" w:sz="0" w:space="0" w:color="auto"/>
        <w:right w:val="none" w:sz="0" w:space="0" w:color="auto"/>
      </w:divBdr>
    </w:div>
    <w:div w:id="373651387">
      <w:bodyDiv w:val="1"/>
      <w:marLeft w:val="0"/>
      <w:marRight w:val="0"/>
      <w:marTop w:val="0"/>
      <w:marBottom w:val="0"/>
      <w:divBdr>
        <w:top w:val="none" w:sz="0" w:space="0" w:color="auto"/>
        <w:left w:val="none" w:sz="0" w:space="0" w:color="auto"/>
        <w:bottom w:val="none" w:sz="0" w:space="0" w:color="auto"/>
        <w:right w:val="none" w:sz="0" w:space="0" w:color="auto"/>
      </w:divBdr>
      <w:divsChild>
        <w:div w:id="1634365702">
          <w:marLeft w:val="0"/>
          <w:marRight w:val="0"/>
          <w:marTop w:val="0"/>
          <w:marBottom w:val="150"/>
          <w:divBdr>
            <w:top w:val="none" w:sz="0" w:space="0" w:color="auto"/>
            <w:left w:val="none" w:sz="0" w:space="0" w:color="auto"/>
            <w:bottom w:val="none" w:sz="0" w:space="0" w:color="auto"/>
            <w:right w:val="none" w:sz="0" w:space="0" w:color="auto"/>
          </w:divBdr>
        </w:div>
      </w:divsChild>
    </w:div>
    <w:div w:id="373774141">
      <w:bodyDiv w:val="1"/>
      <w:marLeft w:val="0"/>
      <w:marRight w:val="0"/>
      <w:marTop w:val="0"/>
      <w:marBottom w:val="0"/>
      <w:divBdr>
        <w:top w:val="none" w:sz="0" w:space="0" w:color="auto"/>
        <w:left w:val="none" w:sz="0" w:space="0" w:color="auto"/>
        <w:bottom w:val="none" w:sz="0" w:space="0" w:color="auto"/>
        <w:right w:val="none" w:sz="0" w:space="0" w:color="auto"/>
      </w:divBdr>
    </w:div>
    <w:div w:id="374239739">
      <w:bodyDiv w:val="1"/>
      <w:marLeft w:val="0"/>
      <w:marRight w:val="0"/>
      <w:marTop w:val="0"/>
      <w:marBottom w:val="0"/>
      <w:divBdr>
        <w:top w:val="none" w:sz="0" w:space="0" w:color="auto"/>
        <w:left w:val="none" w:sz="0" w:space="0" w:color="auto"/>
        <w:bottom w:val="none" w:sz="0" w:space="0" w:color="auto"/>
        <w:right w:val="none" w:sz="0" w:space="0" w:color="auto"/>
      </w:divBdr>
    </w:div>
    <w:div w:id="374240145">
      <w:bodyDiv w:val="1"/>
      <w:marLeft w:val="0"/>
      <w:marRight w:val="0"/>
      <w:marTop w:val="0"/>
      <w:marBottom w:val="0"/>
      <w:divBdr>
        <w:top w:val="none" w:sz="0" w:space="0" w:color="auto"/>
        <w:left w:val="none" w:sz="0" w:space="0" w:color="auto"/>
        <w:bottom w:val="none" w:sz="0" w:space="0" w:color="auto"/>
        <w:right w:val="none" w:sz="0" w:space="0" w:color="auto"/>
      </w:divBdr>
      <w:divsChild>
        <w:div w:id="1959217775">
          <w:marLeft w:val="0"/>
          <w:marRight w:val="0"/>
          <w:marTop w:val="0"/>
          <w:marBottom w:val="0"/>
          <w:divBdr>
            <w:top w:val="none" w:sz="0" w:space="0" w:color="auto"/>
            <w:left w:val="none" w:sz="0" w:space="0" w:color="auto"/>
            <w:bottom w:val="dotted" w:sz="6" w:space="4" w:color="DDDDDD"/>
            <w:right w:val="none" w:sz="0" w:space="0" w:color="auto"/>
          </w:divBdr>
          <w:divsChild>
            <w:div w:id="61559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425357">
      <w:bodyDiv w:val="1"/>
      <w:marLeft w:val="0"/>
      <w:marRight w:val="0"/>
      <w:marTop w:val="0"/>
      <w:marBottom w:val="0"/>
      <w:divBdr>
        <w:top w:val="none" w:sz="0" w:space="0" w:color="auto"/>
        <w:left w:val="none" w:sz="0" w:space="0" w:color="auto"/>
        <w:bottom w:val="none" w:sz="0" w:space="0" w:color="auto"/>
        <w:right w:val="none" w:sz="0" w:space="0" w:color="auto"/>
      </w:divBdr>
    </w:div>
    <w:div w:id="374618190">
      <w:bodyDiv w:val="1"/>
      <w:marLeft w:val="0"/>
      <w:marRight w:val="0"/>
      <w:marTop w:val="0"/>
      <w:marBottom w:val="0"/>
      <w:divBdr>
        <w:top w:val="none" w:sz="0" w:space="0" w:color="auto"/>
        <w:left w:val="none" w:sz="0" w:space="0" w:color="auto"/>
        <w:bottom w:val="none" w:sz="0" w:space="0" w:color="auto"/>
        <w:right w:val="none" w:sz="0" w:space="0" w:color="auto"/>
      </w:divBdr>
      <w:divsChild>
        <w:div w:id="391538105">
          <w:marLeft w:val="0"/>
          <w:marRight w:val="0"/>
          <w:marTop w:val="0"/>
          <w:marBottom w:val="180"/>
          <w:divBdr>
            <w:top w:val="none" w:sz="0" w:space="0" w:color="auto"/>
            <w:left w:val="none" w:sz="0" w:space="0" w:color="auto"/>
            <w:bottom w:val="none" w:sz="0" w:space="0" w:color="auto"/>
            <w:right w:val="none" w:sz="0" w:space="0" w:color="auto"/>
          </w:divBdr>
        </w:div>
      </w:divsChild>
    </w:div>
    <w:div w:id="374694721">
      <w:bodyDiv w:val="1"/>
      <w:marLeft w:val="0"/>
      <w:marRight w:val="0"/>
      <w:marTop w:val="0"/>
      <w:marBottom w:val="0"/>
      <w:divBdr>
        <w:top w:val="none" w:sz="0" w:space="0" w:color="auto"/>
        <w:left w:val="none" w:sz="0" w:space="0" w:color="auto"/>
        <w:bottom w:val="none" w:sz="0" w:space="0" w:color="auto"/>
        <w:right w:val="none" w:sz="0" w:space="0" w:color="auto"/>
      </w:divBdr>
      <w:divsChild>
        <w:div w:id="1660576051">
          <w:marLeft w:val="0"/>
          <w:marRight w:val="0"/>
          <w:marTop w:val="300"/>
          <w:marBottom w:val="0"/>
          <w:divBdr>
            <w:top w:val="none" w:sz="0" w:space="0" w:color="auto"/>
            <w:left w:val="none" w:sz="0" w:space="0" w:color="auto"/>
            <w:bottom w:val="none" w:sz="0" w:space="0" w:color="auto"/>
            <w:right w:val="none" w:sz="0" w:space="0" w:color="auto"/>
          </w:divBdr>
          <w:divsChild>
            <w:div w:id="2143617093">
              <w:marLeft w:val="0"/>
              <w:marRight w:val="0"/>
              <w:marTop w:val="0"/>
              <w:marBottom w:val="0"/>
              <w:divBdr>
                <w:top w:val="none" w:sz="0" w:space="0" w:color="auto"/>
                <w:left w:val="none" w:sz="0" w:space="0" w:color="auto"/>
                <w:bottom w:val="none" w:sz="0" w:space="0" w:color="auto"/>
                <w:right w:val="none" w:sz="0" w:space="0" w:color="auto"/>
              </w:divBdr>
              <w:divsChild>
                <w:div w:id="4472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227638">
          <w:marLeft w:val="0"/>
          <w:marRight w:val="0"/>
          <w:marTop w:val="135"/>
          <w:marBottom w:val="0"/>
          <w:divBdr>
            <w:top w:val="none" w:sz="0" w:space="0" w:color="auto"/>
            <w:left w:val="none" w:sz="0" w:space="0" w:color="auto"/>
            <w:bottom w:val="none" w:sz="0" w:space="0" w:color="auto"/>
            <w:right w:val="none" w:sz="0" w:space="0" w:color="auto"/>
          </w:divBdr>
          <w:divsChild>
            <w:div w:id="1346635743">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375081870">
      <w:bodyDiv w:val="1"/>
      <w:marLeft w:val="0"/>
      <w:marRight w:val="0"/>
      <w:marTop w:val="0"/>
      <w:marBottom w:val="0"/>
      <w:divBdr>
        <w:top w:val="none" w:sz="0" w:space="0" w:color="auto"/>
        <w:left w:val="none" w:sz="0" w:space="0" w:color="auto"/>
        <w:bottom w:val="none" w:sz="0" w:space="0" w:color="auto"/>
        <w:right w:val="none" w:sz="0" w:space="0" w:color="auto"/>
      </w:divBdr>
      <w:divsChild>
        <w:div w:id="1523207144">
          <w:marLeft w:val="0"/>
          <w:marRight w:val="0"/>
          <w:marTop w:val="0"/>
          <w:marBottom w:val="0"/>
          <w:divBdr>
            <w:top w:val="none" w:sz="0" w:space="0" w:color="auto"/>
            <w:left w:val="none" w:sz="0" w:space="0" w:color="auto"/>
            <w:bottom w:val="dotted" w:sz="6" w:space="4" w:color="DDDDDD"/>
            <w:right w:val="none" w:sz="0" w:space="0" w:color="auto"/>
          </w:divBdr>
        </w:div>
      </w:divsChild>
    </w:div>
    <w:div w:id="375203639">
      <w:bodyDiv w:val="1"/>
      <w:marLeft w:val="0"/>
      <w:marRight w:val="0"/>
      <w:marTop w:val="0"/>
      <w:marBottom w:val="0"/>
      <w:divBdr>
        <w:top w:val="none" w:sz="0" w:space="0" w:color="auto"/>
        <w:left w:val="none" w:sz="0" w:space="0" w:color="auto"/>
        <w:bottom w:val="none" w:sz="0" w:space="0" w:color="auto"/>
        <w:right w:val="none" w:sz="0" w:space="0" w:color="auto"/>
      </w:divBdr>
    </w:div>
    <w:div w:id="375206765">
      <w:bodyDiv w:val="1"/>
      <w:marLeft w:val="0"/>
      <w:marRight w:val="0"/>
      <w:marTop w:val="0"/>
      <w:marBottom w:val="0"/>
      <w:divBdr>
        <w:top w:val="none" w:sz="0" w:space="0" w:color="auto"/>
        <w:left w:val="none" w:sz="0" w:space="0" w:color="auto"/>
        <w:bottom w:val="none" w:sz="0" w:space="0" w:color="auto"/>
        <w:right w:val="none" w:sz="0" w:space="0" w:color="auto"/>
      </w:divBdr>
      <w:divsChild>
        <w:div w:id="1154251138">
          <w:marLeft w:val="0"/>
          <w:marRight w:val="0"/>
          <w:marTop w:val="0"/>
          <w:marBottom w:val="0"/>
          <w:divBdr>
            <w:top w:val="none" w:sz="0" w:space="0" w:color="auto"/>
            <w:left w:val="none" w:sz="0" w:space="0" w:color="auto"/>
            <w:bottom w:val="dotted" w:sz="6" w:space="4" w:color="DDDDDD"/>
            <w:right w:val="none" w:sz="0" w:space="0" w:color="auto"/>
          </w:divBdr>
          <w:divsChild>
            <w:div w:id="132758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279503">
      <w:bodyDiv w:val="1"/>
      <w:marLeft w:val="0"/>
      <w:marRight w:val="0"/>
      <w:marTop w:val="0"/>
      <w:marBottom w:val="0"/>
      <w:divBdr>
        <w:top w:val="none" w:sz="0" w:space="0" w:color="auto"/>
        <w:left w:val="none" w:sz="0" w:space="0" w:color="auto"/>
        <w:bottom w:val="none" w:sz="0" w:space="0" w:color="auto"/>
        <w:right w:val="none" w:sz="0" w:space="0" w:color="auto"/>
      </w:divBdr>
      <w:divsChild>
        <w:div w:id="257563737">
          <w:marLeft w:val="0"/>
          <w:marRight w:val="0"/>
          <w:marTop w:val="0"/>
          <w:marBottom w:val="150"/>
          <w:divBdr>
            <w:top w:val="none" w:sz="0" w:space="0" w:color="auto"/>
            <w:left w:val="none" w:sz="0" w:space="0" w:color="auto"/>
            <w:bottom w:val="none" w:sz="0" w:space="0" w:color="auto"/>
            <w:right w:val="none" w:sz="0" w:space="0" w:color="auto"/>
          </w:divBdr>
        </w:div>
      </w:divsChild>
    </w:div>
    <w:div w:id="376128191">
      <w:bodyDiv w:val="1"/>
      <w:marLeft w:val="0"/>
      <w:marRight w:val="0"/>
      <w:marTop w:val="0"/>
      <w:marBottom w:val="0"/>
      <w:divBdr>
        <w:top w:val="none" w:sz="0" w:space="0" w:color="auto"/>
        <w:left w:val="none" w:sz="0" w:space="0" w:color="auto"/>
        <w:bottom w:val="none" w:sz="0" w:space="0" w:color="auto"/>
        <w:right w:val="none" w:sz="0" w:space="0" w:color="auto"/>
      </w:divBdr>
      <w:divsChild>
        <w:div w:id="1407531122">
          <w:marLeft w:val="0"/>
          <w:marRight w:val="0"/>
          <w:marTop w:val="0"/>
          <w:marBottom w:val="0"/>
          <w:divBdr>
            <w:top w:val="none" w:sz="0" w:space="0" w:color="auto"/>
            <w:left w:val="none" w:sz="0" w:space="0" w:color="auto"/>
            <w:bottom w:val="dotted" w:sz="6" w:space="4" w:color="DDDDDD"/>
            <w:right w:val="none" w:sz="0" w:space="0" w:color="auto"/>
          </w:divBdr>
        </w:div>
      </w:divsChild>
    </w:div>
    <w:div w:id="376391794">
      <w:bodyDiv w:val="1"/>
      <w:marLeft w:val="0"/>
      <w:marRight w:val="0"/>
      <w:marTop w:val="0"/>
      <w:marBottom w:val="0"/>
      <w:divBdr>
        <w:top w:val="none" w:sz="0" w:space="0" w:color="auto"/>
        <w:left w:val="none" w:sz="0" w:space="0" w:color="auto"/>
        <w:bottom w:val="none" w:sz="0" w:space="0" w:color="auto"/>
        <w:right w:val="none" w:sz="0" w:space="0" w:color="auto"/>
      </w:divBdr>
      <w:divsChild>
        <w:div w:id="714350344">
          <w:marLeft w:val="0"/>
          <w:marRight w:val="0"/>
          <w:marTop w:val="0"/>
          <w:marBottom w:val="150"/>
          <w:divBdr>
            <w:top w:val="none" w:sz="0" w:space="0" w:color="auto"/>
            <w:left w:val="none" w:sz="0" w:space="0" w:color="auto"/>
            <w:bottom w:val="none" w:sz="0" w:space="0" w:color="auto"/>
            <w:right w:val="none" w:sz="0" w:space="0" w:color="auto"/>
          </w:divBdr>
        </w:div>
      </w:divsChild>
    </w:div>
    <w:div w:id="376441199">
      <w:bodyDiv w:val="1"/>
      <w:marLeft w:val="0"/>
      <w:marRight w:val="0"/>
      <w:marTop w:val="0"/>
      <w:marBottom w:val="0"/>
      <w:divBdr>
        <w:top w:val="none" w:sz="0" w:space="0" w:color="auto"/>
        <w:left w:val="none" w:sz="0" w:space="0" w:color="auto"/>
        <w:bottom w:val="none" w:sz="0" w:space="0" w:color="auto"/>
        <w:right w:val="none" w:sz="0" w:space="0" w:color="auto"/>
      </w:divBdr>
      <w:divsChild>
        <w:div w:id="1428386057">
          <w:marLeft w:val="0"/>
          <w:marRight w:val="0"/>
          <w:marTop w:val="0"/>
          <w:marBottom w:val="0"/>
          <w:divBdr>
            <w:top w:val="none" w:sz="0" w:space="0" w:color="auto"/>
            <w:left w:val="none" w:sz="0" w:space="0" w:color="auto"/>
            <w:bottom w:val="none" w:sz="0" w:space="0" w:color="auto"/>
            <w:right w:val="none" w:sz="0" w:space="0" w:color="auto"/>
          </w:divBdr>
          <w:divsChild>
            <w:div w:id="1355889350">
              <w:marLeft w:val="0"/>
              <w:marRight w:val="0"/>
              <w:marTop w:val="0"/>
              <w:marBottom w:val="0"/>
              <w:divBdr>
                <w:top w:val="none" w:sz="0" w:space="0" w:color="auto"/>
                <w:left w:val="none" w:sz="0" w:space="0" w:color="auto"/>
                <w:bottom w:val="none" w:sz="0" w:space="0" w:color="auto"/>
                <w:right w:val="none" w:sz="0" w:space="0" w:color="auto"/>
              </w:divBdr>
              <w:divsChild>
                <w:div w:id="999770980">
                  <w:marLeft w:val="0"/>
                  <w:marRight w:val="0"/>
                  <w:marTop w:val="0"/>
                  <w:marBottom w:val="0"/>
                  <w:divBdr>
                    <w:top w:val="none" w:sz="0" w:space="0" w:color="auto"/>
                    <w:left w:val="none" w:sz="0" w:space="0" w:color="auto"/>
                    <w:bottom w:val="none" w:sz="0" w:space="0" w:color="auto"/>
                    <w:right w:val="none" w:sz="0" w:space="0" w:color="auto"/>
                  </w:divBdr>
                  <w:divsChild>
                    <w:div w:id="1995065814">
                      <w:marLeft w:val="0"/>
                      <w:marRight w:val="0"/>
                      <w:marTop w:val="0"/>
                      <w:marBottom w:val="0"/>
                      <w:divBdr>
                        <w:top w:val="none" w:sz="0" w:space="0" w:color="auto"/>
                        <w:left w:val="none" w:sz="0" w:space="0" w:color="auto"/>
                        <w:bottom w:val="none" w:sz="0" w:space="0" w:color="auto"/>
                        <w:right w:val="none" w:sz="0" w:space="0" w:color="auto"/>
                      </w:divBdr>
                      <w:divsChild>
                        <w:div w:id="1526558080">
                          <w:marLeft w:val="0"/>
                          <w:marRight w:val="0"/>
                          <w:marTop w:val="0"/>
                          <w:marBottom w:val="0"/>
                          <w:divBdr>
                            <w:top w:val="none" w:sz="0" w:space="0" w:color="auto"/>
                            <w:left w:val="none" w:sz="0" w:space="0" w:color="auto"/>
                            <w:bottom w:val="none" w:sz="0" w:space="0" w:color="auto"/>
                            <w:right w:val="none" w:sz="0" w:space="0" w:color="auto"/>
                          </w:divBdr>
                          <w:divsChild>
                            <w:div w:id="356124091">
                              <w:marLeft w:val="0"/>
                              <w:marRight w:val="0"/>
                              <w:marTop w:val="0"/>
                              <w:marBottom w:val="0"/>
                              <w:divBdr>
                                <w:top w:val="none" w:sz="0" w:space="0" w:color="auto"/>
                                <w:left w:val="none" w:sz="0" w:space="0" w:color="auto"/>
                                <w:bottom w:val="none" w:sz="0" w:space="0" w:color="auto"/>
                                <w:right w:val="none" w:sz="0" w:space="0" w:color="auto"/>
                              </w:divBdr>
                              <w:divsChild>
                                <w:div w:id="1368260962">
                                  <w:marLeft w:val="0"/>
                                  <w:marRight w:val="0"/>
                                  <w:marTop w:val="0"/>
                                  <w:marBottom w:val="0"/>
                                  <w:divBdr>
                                    <w:top w:val="none" w:sz="0" w:space="0" w:color="auto"/>
                                    <w:left w:val="none" w:sz="0" w:space="0" w:color="auto"/>
                                    <w:bottom w:val="none" w:sz="0" w:space="0" w:color="auto"/>
                                    <w:right w:val="none" w:sz="0" w:space="0" w:color="auto"/>
                                  </w:divBdr>
                                  <w:divsChild>
                                    <w:div w:id="247083284">
                                      <w:marLeft w:val="0"/>
                                      <w:marRight w:val="0"/>
                                      <w:marTop w:val="0"/>
                                      <w:marBottom w:val="0"/>
                                      <w:divBdr>
                                        <w:top w:val="none" w:sz="0" w:space="0" w:color="auto"/>
                                        <w:left w:val="none" w:sz="0" w:space="0" w:color="auto"/>
                                        <w:bottom w:val="none" w:sz="0" w:space="0" w:color="auto"/>
                                        <w:right w:val="none" w:sz="0" w:space="0" w:color="auto"/>
                                      </w:divBdr>
                                      <w:divsChild>
                                        <w:div w:id="100809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6513912">
      <w:bodyDiv w:val="1"/>
      <w:marLeft w:val="0"/>
      <w:marRight w:val="0"/>
      <w:marTop w:val="0"/>
      <w:marBottom w:val="0"/>
      <w:divBdr>
        <w:top w:val="none" w:sz="0" w:space="0" w:color="auto"/>
        <w:left w:val="none" w:sz="0" w:space="0" w:color="auto"/>
        <w:bottom w:val="none" w:sz="0" w:space="0" w:color="auto"/>
        <w:right w:val="none" w:sz="0" w:space="0" w:color="auto"/>
      </w:divBdr>
      <w:divsChild>
        <w:div w:id="252396232">
          <w:marLeft w:val="0"/>
          <w:marRight w:val="0"/>
          <w:marTop w:val="0"/>
          <w:marBottom w:val="0"/>
          <w:divBdr>
            <w:top w:val="none" w:sz="0" w:space="0" w:color="auto"/>
            <w:left w:val="none" w:sz="0" w:space="0" w:color="auto"/>
            <w:bottom w:val="none" w:sz="0" w:space="0" w:color="auto"/>
            <w:right w:val="none" w:sz="0" w:space="0" w:color="auto"/>
          </w:divBdr>
          <w:divsChild>
            <w:div w:id="782310656">
              <w:marLeft w:val="0"/>
              <w:marRight w:val="0"/>
              <w:marTop w:val="0"/>
              <w:marBottom w:val="0"/>
              <w:divBdr>
                <w:top w:val="none" w:sz="0" w:space="0" w:color="auto"/>
                <w:left w:val="none" w:sz="0" w:space="0" w:color="auto"/>
                <w:bottom w:val="none" w:sz="0" w:space="0" w:color="auto"/>
                <w:right w:val="none" w:sz="0" w:space="0" w:color="auto"/>
              </w:divBdr>
            </w:div>
          </w:divsChild>
        </w:div>
        <w:div w:id="347411261">
          <w:marLeft w:val="0"/>
          <w:marRight w:val="0"/>
          <w:marTop w:val="0"/>
          <w:marBottom w:val="150"/>
          <w:divBdr>
            <w:top w:val="none" w:sz="0" w:space="0" w:color="auto"/>
            <w:left w:val="none" w:sz="0" w:space="0" w:color="auto"/>
            <w:bottom w:val="none" w:sz="0" w:space="0" w:color="auto"/>
            <w:right w:val="none" w:sz="0" w:space="0" w:color="auto"/>
          </w:divBdr>
        </w:div>
        <w:div w:id="550195733">
          <w:marLeft w:val="0"/>
          <w:marRight w:val="0"/>
          <w:marTop w:val="0"/>
          <w:marBottom w:val="150"/>
          <w:divBdr>
            <w:top w:val="none" w:sz="0" w:space="0" w:color="auto"/>
            <w:left w:val="none" w:sz="0" w:space="0" w:color="auto"/>
            <w:bottom w:val="none" w:sz="0" w:space="0" w:color="auto"/>
            <w:right w:val="none" w:sz="0" w:space="0" w:color="auto"/>
          </w:divBdr>
          <w:divsChild>
            <w:div w:id="134652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126870">
      <w:bodyDiv w:val="1"/>
      <w:marLeft w:val="0"/>
      <w:marRight w:val="0"/>
      <w:marTop w:val="0"/>
      <w:marBottom w:val="0"/>
      <w:divBdr>
        <w:top w:val="none" w:sz="0" w:space="0" w:color="auto"/>
        <w:left w:val="none" w:sz="0" w:space="0" w:color="auto"/>
        <w:bottom w:val="none" w:sz="0" w:space="0" w:color="auto"/>
        <w:right w:val="none" w:sz="0" w:space="0" w:color="auto"/>
      </w:divBdr>
      <w:divsChild>
        <w:div w:id="51540600">
          <w:marLeft w:val="0"/>
          <w:marRight w:val="0"/>
          <w:marTop w:val="0"/>
          <w:marBottom w:val="0"/>
          <w:divBdr>
            <w:top w:val="none" w:sz="0" w:space="0" w:color="auto"/>
            <w:left w:val="none" w:sz="0" w:space="0" w:color="auto"/>
            <w:bottom w:val="none" w:sz="0" w:space="0" w:color="auto"/>
            <w:right w:val="none" w:sz="0" w:space="0" w:color="auto"/>
          </w:divBdr>
          <w:divsChild>
            <w:div w:id="1739866480">
              <w:marLeft w:val="0"/>
              <w:marRight w:val="0"/>
              <w:marTop w:val="0"/>
              <w:marBottom w:val="0"/>
              <w:divBdr>
                <w:top w:val="none" w:sz="0" w:space="0" w:color="auto"/>
                <w:left w:val="none" w:sz="0" w:space="0" w:color="auto"/>
                <w:bottom w:val="none" w:sz="0" w:space="0" w:color="auto"/>
                <w:right w:val="none" w:sz="0" w:space="0" w:color="auto"/>
              </w:divBdr>
            </w:div>
          </w:divsChild>
        </w:div>
        <w:div w:id="667253007">
          <w:marLeft w:val="0"/>
          <w:marRight w:val="0"/>
          <w:marTop w:val="0"/>
          <w:marBottom w:val="150"/>
          <w:divBdr>
            <w:top w:val="none" w:sz="0" w:space="0" w:color="auto"/>
            <w:left w:val="none" w:sz="0" w:space="0" w:color="auto"/>
            <w:bottom w:val="none" w:sz="0" w:space="0" w:color="auto"/>
            <w:right w:val="none" w:sz="0" w:space="0" w:color="auto"/>
          </w:divBdr>
          <w:divsChild>
            <w:div w:id="1154831330">
              <w:marLeft w:val="0"/>
              <w:marRight w:val="0"/>
              <w:marTop w:val="0"/>
              <w:marBottom w:val="0"/>
              <w:divBdr>
                <w:top w:val="none" w:sz="0" w:space="0" w:color="auto"/>
                <w:left w:val="none" w:sz="0" w:space="0" w:color="auto"/>
                <w:bottom w:val="none" w:sz="0" w:space="0" w:color="auto"/>
                <w:right w:val="none" w:sz="0" w:space="0" w:color="auto"/>
              </w:divBdr>
            </w:div>
          </w:divsChild>
        </w:div>
        <w:div w:id="1335380288">
          <w:marLeft w:val="0"/>
          <w:marRight w:val="0"/>
          <w:marTop w:val="0"/>
          <w:marBottom w:val="150"/>
          <w:divBdr>
            <w:top w:val="none" w:sz="0" w:space="0" w:color="auto"/>
            <w:left w:val="none" w:sz="0" w:space="0" w:color="auto"/>
            <w:bottom w:val="none" w:sz="0" w:space="0" w:color="auto"/>
            <w:right w:val="none" w:sz="0" w:space="0" w:color="auto"/>
          </w:divBdr>
        </w:div>
      </w:divsChild>
    </w:div>
    <w:div w:id="377245850">
      <w:bodyDiv w:val="1"/>
      <w:marLeft w:val="0"/>
      <w:marRight w:val="0"/>
      <w:marTop w:val="0"/>
      <w:marBottom w:val="0"/>
      <w:divBdr>
        <w:top w:val="none" w:sz="0" w:space="0" w:color="auto"/>
        <w:left w:val="none" w:sz="0" w:space="0" w:color="auto"/>
        <w:bottom w:val="none" w:sz="0" w:space="0" w:color="auto"/>
        <w:right w:val="none" w:sz="0" w:space="0" w:color="auto"/>
      </w:divBdr>
      <w:divsChild>
        <w:div w:id="16659163">
          <w:marLeft w:val="0"/>
          <w:marRight w:val="0"/>
          <w:marTop w:val="0"/>
          <w:marBottom w:val="0"/>
          <w:divBdr>
            <w:top w:val="none" w:sz="0" w:space="0" w:color="auto"/>
            <w:left w:val="none" w:sz="0" w:space="0" w:color="auto"/>
            <w:bottom w:val="dotted" w:sz="6" w:space="4" w:color="DDDDDD"/>
            <w:right w:val="none" w:sz="0" w:space="0" w:color="auto"/>
          </w:divBdr>
        </w:div>
      </w:divsChild>
    </w:div>
    <w:div w:id="377585155">
      <w:bodyDiv w:val="1"/>
      <w:marLeft w:val="0"/>
      <w:marRight w:val="0"/>
      <w:marTop w:val="0"/>
      <w:marBottom w:val="0"/>
      <w:divBdr>
        <w:top w:val="none" w:sz="0" w:space="0" w:color="auto"/>
        <w:left w:val="none" w:sz="0" w:space="0" w:color="auto"/>
        <w:bottom w:val="none" w:sz="0" w:space="0" w:color="auto"/>
        <w:right w:val="none" w:sz="0" w:space="0" w:color="auto"/>
      </w:divBdr>
      <w:divsChild>
        <w:div w:id="454904551">
          <w:marLeft w:val="0"/>
          <w:marRight w:val="0"/>
          <w:marTop w:val="0"/>
          <w:marBottom w:val="0"/>
          <w:divBdr>
            <w:top w:val="none" w:sz="0" w:space="0" w:color="auto"/>
            <w:left w:val="none" w:sz="0" w:space="0" w:color="auto"/>
            <w:bottom w:val="none" w:sz="0" w:space="0" w:color="auto"/>
            <w:right w:val="none" w:sz="0" w:space="0" w:color="auto"/>
          </w:divBdr>
        </w:div>
      </w:divsChild>
    </w:div>
    <w:div w:id="377973257">
      <w:bodyDiv w:val="1"/>
      <w:marLeft w:val="0"/>
      <w:marRight w:val="0"/>
      <w:marTop w:val="0"/>
      <w:marBottom w:val="0"/>
      <w:divBdr>
        <w:top w:val="none" w:sz="0" w:space="0" w:color="auto"/>
        <w:left w:val="none" w:sz="0" w:space="0" w:color="auto"/>
        <w:bottom w:val="none" w:sz="0" w:space="0" w:color="auto"/>
        <w:right w:val="none" w:sz="0" w:space="0" w:color="auto"/>
      </w:divBdr>
      <w:divsChild>
        <w:div w:id="416251106">
          <w:marLeft w:val="0"/>
          <w:marRight w:val="0"/>
          <w:marTop w:val="0"/>
          <w:marBottom w:val="0"/>
          <w:divBdr>
            <w:top w:val="none" w:sz="0" w:space="0" w:color="auto"/>
            <w:left w:val="none" w:sz="0" w:space="0" w:color="auto"/>
            <w:bottom w:val="dotted" w:sz="6" w:space="4" w:color="DDDDDD"/>
            <w:right w:val="none" w:sz="0" w:space="0" w:color="auto"/>
          </w:divBdr>
          <w:divsChild>
            <w:div w:id="177250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093830">
      <w:bodyDiv w:val="1"/>
      <w:marLeft w:val="0"/>
      <w:marRight w:val="0"/>
      <w:marTop w:val="0"/>
      <w:marBottom w:val="0"/>
      <w:divBdr>
        <w:top w:val="none" w:sz="0" w:space="0" w:color="auto"/>
        <w:left w:val="none" w:sz="0" w:space="0" w:color="auto"/>
        <w:bottom w:val="none" w:sz="0" w:space="0" w:color="auto"/>
        <w:right w:val="none" w:sz="0" w:space="0" w:color="auto"/>
      </w:divBdr>
      <w:divsChild>
        <w:div w:id="630746907">
          <w:marLeft w:val="0"/>
          <w:marRight w:val="0"/>
          <w:marTop w:val="0"/>
          <w:marBottom w:val="150"/>
          <w:divBdr>
            <w:top w:val="none" w:sz="0" w:space="0" w:color="auto"/>
            <w:left w:val="none" w:sz="0" w:space="0" w:color="auto"/>
            <w:bottom w:val="none" w:sz="0" w:space="0" w:color="auto"/>
            <w:right w:val="none" w:sz="0" w:space="0" w:color="auto"/>
          </w:divBdr>
          <w:divsChild>
            <w:div w:id="1564949679">
              <w:marLeft w:val="0"/>
              <w:marRight w:val="0"/>
              <w:marTop w:val="0"/>
              <w:marBottom w:val="0"/>
              <w:divBdr>
                <w:top w:val="none" w:sz="0" w:space="0" w:color="auto"/>
                <w:left w:val="none" w:sz="0" w:space="0" w:color="auto"/>
                <w:bottom w:val="none" w:sz="0" w:space="0" w:color="auto"/>
                <w:right w:val="none" w:sz="0" w:space="0" w:color="auto"/>
              </w:divBdr>
            </w:div>
          </w:divsChild>
        </w:div>
        <w:div w:id="1976518334">
          <w:marLeft w:val="0"/>
          <w:marRight w:val="0"/>
          <w:marTop w:val="0"/>
          <w:marBottom w:val="150"/>
          <w:divBdr>
            <w:top w:val="none" w:sz="0" w:space="0" w:color="auto"/>
            <w:left w:val="none" w:sz="0" w:space="0" w:color="auto"/>
            <w:bottom w:val="none" w:sz="0" w:space="0" w:color="auto"/>
            <w:right w:val="none" w:sz="0" w:space="0" w:color="auto"/>
          </w:divBdr>
        </w:div>
      </w:divsChild>
    </w:div>
    <w:div w:id="378480238">
      <w:bodyDiv w:val="1"/>
      <w:marLeft w:val="0"/>
      <w:marRight w:val="0"/>
      <w:marTop w:val="0"/>
      <w:marBottom w:val="0"/>
      <w:divBdr>
        <w:top w:val="none" w:sz="0" w:space="0" w:color="auto"/>
        <w:left w:val="none" w:sz="0" w:space="0" w:color="auto"/>
        <w:bottom w:val="none" w:sz="0" w:space="0" w:color="auto"/>
        <w:right w:val="none" w:sz="0" w:space="0" w:color="auto"/>
      </w:divBdr>
      <w:divsChild>
        <w:div w:id="1097754655">
          <w:marLeft w:val="0"/>
          <w:marRight w:val="0"/>
          <w:marTop w:val="0"/>
          <w:marBottom w:val="0"/>
          <w:divBdr>
            <w:top w:val="none" w:sz="0" w:space="0" w:color="auto"/>
            <w:left w:val="none" w:sz="0" w:space="0" w:color="auto"/>
            <w:bottom w:val="none" w:sz="0" w:space="0" w:color="auto"/>
            <w:right w:val="none" w:sz="0" w:space="0" w:color="auto"/>
          </w:divBdr>
          <w:divsChild>
            <w:div w:id="16996257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8674425">
      <w:bodyDiv w:val="1"/>
      <w:marLeft w:val="0"/>
      <w:marRight w:val="0"/>
      <w:marTop w:val="0"/>
      <w:marBottom w:val="0"/>
      <w:divBdr>
        <w:top w:val="none" w:sz="0" w:space="0" w:color="auto"/>
        <w:left w:val="none" w:sz="0" w:space="0" w:color="auto"/>
        <w:bottom w:val="none" w:sz="0" w:space="0" w:color="auto"/>
        <w:right w:val="none" w:sz="0" w:space="0" w:color="auto"/>
      </w:divBdr>
      <w:divsChild>
        <w:div w:id="1770857321">
          <w:marLeft w:val="0"/>
          <w:marRight w:val="0"/>
          <w:marTop w:val="0"/>
          <w:marBottom w:val="0"/>
          <w:divBdr>
            <w:top w:val="none" w:sz="0" w:space="0" w:color="auto"/>
            <w:left w:val="none" w:sz="0" w:space="0" w:color="auto"/>
            <w:bottom w:val="none" w:sz="0" w:space="0" w:color="auto"/>
            <w:right w:val="none" w:sz="0" w:space="0" w:color="auto"/>
          </w:divBdr>
          <w:divsChild>
            <w:div w:id="1085036903">
              <w:marLeft w:val="0"/>
              <w:marRight w:val="0"/>
              <w:marTop w:val="0"/>
              <w:marBottom w:val="0"/>
              <w:divBdr>
                <w:top w:val="none" w:sz="0" w:space="0" w:color="auto"/>
                <w:left w:val="none" w:sz="0" w:space="0" w:color="auto"/>
                <w:bottom w:val="none" w:sz="0" w:space="0" w:color="auto"/>
                <w:right w:val="none" w:sz="0" w:space="0" w:color="auto"/>
              </w:divBdr>
              <w:divsChild>
                <w:div w:id="925267127">
                  <w:marLeft w:val="0"/>
                  <w:marRight w:val="0"/>
                  <w:marTop w:val="0"/>
                  <w:marBottom w:val="0"/>
                  <w:divBdr>
                    <w:top w:val="none" w:sz="0" w:space="0" w:color="auto"/>
                    <w:left w:val="none" w:sz="0" w:space="0" w:color="auto"/>
                    <w:bottom w:val="none" w:sz="0" w:space="0" w:color="auto"/>
                    <w:right w:val="none" w:sz="0" w:space="0" w:color="auto"/>
                  </w:divBdr>
                  <w:divsChild>
                    <w:div w:id="1951929340">
                      <w:marLeft w:val="0"/>
                      <w:marRight w:val="0"/>
                      <w:marTop w:val="0"/>
                      <w:marBottom w:val="0"/>
                      <w:divBdr>
                        <w:top w:val="none" w:sz="0" w:space="0" w:color="auto"/>
                        <w:left w:val="none" w:sz="0" w:space="0" w:color="auto"/>
                        <w:bottom w:val="none" w:sz="0" w:space="0" w:color="auto"/>
                        <w:right w:val="none" w:sz="0" w:space="0" w:color="auto"/>
                      </w:divBdr>
                      <w:divsChild>
                        <w:div w:id="697395894">
                          <w:marLeft w:val="0"/>
                          <w:marRight w:val="0"/>
                          <w:marTop w:val="0"/>
                          <w:marBottom w:val="0"/>
                          <w:divBdr>
                            <w:top w:val="none" w:sz="0" w:space="0" w:color="auto"/>
                            <w:left w:val="none" w:sz="0" w:space="0" w:color="auto"/>
                            <w:bottom w:val="none" w:sz="0" w:space="0" w:color="auto"/>
                            <w:right w:val="none" w:sz="0" w:space="0" w:color="auto"/>
                          </w:divBdr>
                          <w:divsChild>
                            <w:div w:id="760368878">
                              <w:marLeft w:val="0"/>
                              <w:marRight w:val="0"/>
                              <w:marTop w:val="0"/>
                              <w:marBottom w:val="0"/>
                              <w:divBdr>
                                <w:top w:val="none" w:sz="0" w:space="0" w:color="auto"/>
                                <w:left w:val="none" w:sz="0" w:space="0" w:color="auto"/>
                                <w:bottom w:val="none" w:sz="0" w:space="0" w:color="auto"/>
                                <w:right w:val="none" w:sz="0" w:space="0" w:color="auto"/>
                              </w:divBdr>
                              <w:divsChild>
                                <w:div w:id="153330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822919">
      <w:bodyDiv w:val="1"/>
      <w:marLeft w:val="0"/>
      <w:marRight w:val="0"/>
      <w:marTop w:val="0"/>
      <w:marBottom w:val="0"/>
      <w:divBdr>
        <w:top w:val="none" w:sz="0" w:space="0" w:color="auto"/>
        <w:left w:val="none" w:sz="0" w:space="0" w:color="auto"/>
        <w:bottom w:val="none" w:sz="0" w:space="0" w:color="auto"/>
        <w:right w:val="none" w:sz="0" w:space="0" w:color="auto"/>
      </w:divBdr>
      <w:divsChild>
        <w:div w:id="567493227">
          <w:marLeft w:val="0"/>
          <w:marRight w:val="0"/>
          <w:marTop w:val="0"/>
          <w:marBottom w:val="150"/>
          <w:divBdr>
            <w:top w:val="none" w:sz="0" w:space="0" w:color="auto"/>
            <w:left w:val="none" w:sz="0" w:space="0" w:color="auto"/>
            <w:bottom w:val="none" w:sz="0" w:space="0" w:color="auto"/>
            <w:right w:val="none" w:sz="0" w:space="0" w:color="auto"/>
          </w:divBdr>
        </w:div>
      </w:divsChild>
    </w:div>
    <w:div w:id="378869862">
      <w:bodyDiv w:val="1"/>
      <w:marLeft w:val="0"/>
      <w:marRight w:val="0"/>
      <w:marTop w:val="0"/>
      <w:marBottom w:val="0"/>
      <w:divBdr>
        <w:top w:val="none" w:sz="0" w:space="0" w:color="auto"/>
        <w:left w:val="none" w:sz="0" w:space="0" w:color="auto"/>
        <w:bottom w:val="none" w:sz="0" w:space="0" w:color="auto"/>
        <w:right w:val="none" w:sz="0" w:space="0" w:color="auto"/>
      </w:divBdr>
      <w:divsChild>
        <w:div w:id="1021471832">
          <w:marLeft w:val="0"/>
          <w:marRight w:val="0"/>
          <w:marTop w:val="0"/>
          <w:marBottom w:val="0"/>
          <w:divBdr>
            <w:top w:val="none" w:sz="0" w:space="0" w:color="auto"/>
            <w:left w:val="none" w:sz="0" w:space="0" w:color="auto"/>
            <w:bottom w:val="dotted" w:sz="6" w:space="4" w:color="DDDDDD"/>
            <w:right w:val="none" w:sz="0" w:space="0" w:color="auto"/>
          </w:divBdr>
          <w:divsChild>
            <w:div w:id="77181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944541">
      <w:bodyDiv w:val="1"/>
      <w:marLeft w:val="0"/>
      <w:marRight w:val="0"/>
      <w:marTop w:val="0"/>
      <w:marBottom w:val="0"/>
      <w:divBdr>
        <w:top w:val="none" w:sz="0" w:space="0" w:color="auto"/>
        <w:left w:val="none" w:sz="0" w:space="0" w:color="auto"/>
        <w:bottom w:val="none" w:sz="0" w:space="0" w:color="auto"/>
        <w:right w:val="none" w:sz="0" w:space="0" w:color="auto"/>
      </w:divBdr>
      <w:divsChild>
        <w:div w:id="1617327650">
          <w:marLeft w:val="0"/>
          <w:marRight w:val="0"/>
          <w:marTop w:val="0"/>
          <w:marBottom w:val="0"/>
          <w:divBdr>
            <w:top w:val="none" w:sz="0" w:space="0" w:color="auto"/>
            <w:left w:val="none" w:sz="0" w:space="0" w:color="auto"/>
            <w:bottom w:val="dotted" w:sz="6" w:space="4" w:color="DDDDDD"/>
            <w:right w:val="none" w:sz="0" w:space="0" w:color="auto"/>
          </w:divBdr>
          <w:divsChild>
            <w:div w:id="5224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81609">
      <w:bodyDiv w:val="1"/>
      <w:marLeft w:val="0"/>
      <w:marRight w:val="0"/>
      <w:marTop w:val="0"/>
      <w:marBottom w:val="0"/>
      <w:divBdr>
        <w:top w:val="none" w:sz="0" w:space="0" w:color="auto"/>
        <w:left w:val="none" w:sz="0" w:space="0" w:color="auto"/>
        <w:bottom w:val="none" w:sz="0" w:space="0" w:color="auto"/>
        <w:right w:val="none" w:sz="0" w:space="0" w:color="auto"/>
      </w:divBdr>
      <w:divsChild>
        <w:div w:id="460078158">
          <w:marLeft w:val="0"/>
          <w:marRight w:val="0"/>
          <w:marTop w:val="0"/>
          <w:marBottom w:val="0"/>
          <w:divBdr>
            <w:top w:val="none" w:sz="0" w:space="0" w:color="auto"/>
            <w:left w:val="none" w:sz="0" w:space="0" w:color="auto"/>
            <w:bottom w:val="dotted" w:sz="6" w:space="4" w:color="DDDDDD"/>
            <w:right w:val="none" w:sz="0" w:space="0" w:color="auto"/>
          </w:divBdr>
        </w:div>
      </w:divsChild>
    </w:div>
    <w:div w:id="379480083">
      <w:bodyDiv w:val="1"/>
      <w:marLeft w:val="0"/>
      <w:marRight w:val="0"/>
      <w:marTop w:val="0"/>
      <w:marBottom w:val="0"/>
      <w:divBdr>
        <w:top w:val="none" w:sz="0" w:space="0" w:color="auto"/>
        <w:left w:val="none" w:sz="0" w:space="0" w:color="auto"/>
        <w:bottom w:val="none" w:sz="0" w:space="0" w:color="auto"/>
        <w:right w:val="none" w:sz="0" w:space="0" w:color="auto"/>
      </w:divBdr>
      <w:divsChild>
        <w:div w:id="931205472">
          <w:marLeft w:val="0"/>
          <w:marRight w:val="0"/>
          <w:marTop w:val="0"/>
          <w:marBottom w:val="150"/>
          <w:divBdr>
            <w:top w:val="none" w:sz="0" w:space="0" w:color="auto"/>
            <w:left w:val="none" w:sz="0" w:space="0" w:color="auto"/>
            <w:bottom w:val="none" w:sz="0" w:space="0" w:color="auto"/>
            <w:right w:val="none" w:sz="0" w:space="0" w:color="auto"/>
          </w:divBdr>
        </w:div>
      </w:divsChild>
    </w:div>
    <w:div w:id="379939997">
      <w:bodyDiv w:val="1"/>
      <w:marLeft w:val="0"/>
      <w:marRight w:val="0"/>
      <w:marTop w:val="0"/>
      <w:marBottom w:val="0"/>
      <w:divBdr>
        <w:top w:val="none" w:sz="0" w:space="0" w:color="auto"/>
        <w:left w:val="none" w:sz="0" w:space="0" w:color="auto"/>
        <w:bottom w:val="none" w:sz="0" w:space="0" w:color="auto"/>
        <w:right w:val="none" w:sz="0" w:space="0" w:color="auto"/>
      </w:divBdr>
      <w:divsChild>
        <w:div w:id="1921328078">
          <w:marLeft w:val="0"/>
          <w:marRight w:val="0"/>
          <w:marTop w:val="150"/>
          <w:marBottom w:val="0"/>
          <w:divBdr>
            <w:top w:val="none" w:sz="0" w:space="0" w:color="auto"/>
            <w:left w:val="none" w:sz="0" w:space="0" w:color="auto"/>
            <w:bottom w:val="none" w:sz="0" w:space="0" w:color="auto"/>
            <w:right w:val="none" w:sz="0" w:space="0" w:color="auto"/>
          </w:divBdr>
          <w:divsChild>
            <w:div w:id="754397787">
              <w:marLeft w:val="0"/>
              <w:marRight w:val="0"/>
              <w:marTop w:val="0"/>
              <w:marBottom w:val="0"/>
              <w:divBdr>
                <w:top w:val="none" w:sz="0" w:space="0" w:color="auto"/>
                <w:left w:val="none" w:sz="0" w:space="0" w:color="auto"/>
                <w:bottom w:val="none" w:sz="0" w:space="0" w:color="auto"/>
                <w:right w:val="none" w:sz="0" w:space="0" w:color="auto"/>
              </w:divBdr>
              <w:divsChild>
                <w:div w:id="198203407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44479704">
          <w:marLeft w:val="0"/>
          <w:marRight w:val="0"/>
          <w:marTop w:val="0"/>
          <w:marBottom w:val="0"/>
          <w:divBdr>
            <w:top w:val="none" w:sz="0" w:space="0" w:color="auto"/>
            <w:left w:val="none" w:sz="0" w:space="0" w:color="auto"/>
            <w:bottom w:val="none" w:sz="0" w:space="0" w:color="auto"/>
            <w:right w:val="none" w:sz="0" w:space="0" w:color="auto"/>
          </w:divBdr>
          <w:divsChild>
            <w:div w:id="67928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060073">
      <w:bodyDiv w:val="1"/>
      <w:marLeft w:val="0"/>
      <w:marRight w:val="0"/>
      <w:marTop w:val="0"/>
      <w:marBottom w:val="0"/>
      <w:divBdr>
        <w:top w:val="none" w:sz="0" w:space="0" w:color="auto"/>
        <w:left w:val="none" w:sz="0" w:space="0" w:color="auto"/>
        <w:bottom w:val="none" w:sz="0" w:space="0" w:color="auto"/>
        <w:right w:val="none" w:sz="0" w:space="0" w:color="auto"/>
      </w:divBdr>
      <w:divsChild>
        <w:div w:id="761796847">
          <w:marLeft w:val="0"/>
          <w:marRight w:val="0"/>
          <w:marTop w:val="0"/>
          <w:marBottom w:val="0"/>
          <w:divBdr>
            <w:top w:val="none" w:sz="0" w:space="0" w:color="auto"/>
            <w:left w:val="none" w:sz="0" w:space="0" w:color="auto"/>
            <w:bottom w:val="none" w:sz="0" w:space="0" w:color="auto"/>
            <w:right w:val="none" w:sz="0" w:space="0" w:color="auto"/>
          </w:divBdr>
        </w:div>
      </w:divsChild>
    </w:div>
    <w:div w:id="380061766">
      <w:bodyDiv w:val="1"/>
      <w:marLeft w:val="0"/>
      <w:marRight w:val="0"/>
      <w:marTop w:val="0"/>
      <w:marBottom w:val="0"/>
      <w:divBdr>
        <w:top w:val="none" w:sz="0" w:space="0" w:color="auto"/>
        <w:left w:val="none" w:sz="0" w:space="0" w:color="auto"/>
        <w:bottom w:val="none" w:sz="0" w:space="0" w:color="auto"/>
        <w:right w:val="none" w:sz="0" w:space="0" w:color="auto"/>
      </w:divBdr>
      <w:divsChild>
        <w:div w:id="968630615">
          <w:marLeft w:val="0"/>
          <w:marRight w:val="0"/>
          <w:marTop w:val="0"/>
          <w:marBottom w:val="0"/>
          <w:divBdr>
            <w:top w:val="none" w:sz="0" w:space="0" w:color="auto"/>
            <w:left w:val="none" w:sz="0" w:space="0" w:color="auto"/>
            <w:bottom w:val="dotted" w:sz="6" w:space="4" w:color="DDDDDD"/>
            <w:right w:val="none" w:sz="0" w:space="0" w:color="auto"/>
          </w:divBdr>
        </w:div>
      </w:divsChild>
    </w:div>
    <w:div w:id="380254964">
      <w:bodyDiv w:val="1"/>
      <w:marLeft w:val="0"/>
      <w:marRight w:val="0"/>
      <w:marTop w:val="0"/>
      <w:marBottom w:val="0"/>
      <w:divBdr>
        <w:top w:val="none" w:sz="0" w:space="0" w:color="auto"/>
        <w:left w:val="none" w:sz="0" w:space="0" w:color="auto"/>
        <w:bottom w:val="none" w:sz="0" w:space="0" w:color="auto"/>
        <w:right w:val="none" w:sz="0" w:space="0" w:color="auto"/>
      </w:divBdr>
      <w:divsChild>
        <w:div w:id="1044872087">
          <w:marLeft w:val="0"/>
          <w:marRight w:val="0"/>
          <w:marTop w:val="0"/>
          <w:marBottom w:val="150"/>
          <w:divBdr>
            <w:top w:val="none" w:sz="0" w:space="0" w:color="auto"/>
            <w:left w:val="none" w:sz="0" w:space="0" w:color="auto"/>
            <w:bottom w:val="none" w:sz="0" w:space="0" w:color="auto"/>
            <w:right w:val="none" w:sz="0" w:space="0" w:color="auto"/>
          </w:divBdr>
          <w:divsChild>
            <w:div w:id="585696555">
              <w:marLeft w:val="0"/>
              <w:marRight w:val="0"/>
              <w:marTop w:val="0"/>
              <w:marBottom w:val="0"/>
              <w:divBdr>
                <w:top w:val="none" w:sz="0" w:space="0" w:color="auto"/>
                <w:left w:val="none" w:sz="0" w:space="0" w:color="auto"/>
                <w:bottom w:val="none" w:sz="0" w:space="0" w:color="auto"/>
                <w:right w:val="none" w:sz="0" w:space="0" w:color="auto"/>
              </w:divBdr>
              <w:divsChild>
                <w:div w:id="1964268498">
                  <w:marLeft w:val="0"/>
                  <w:marRight w:val="0"/>
                  <w:marTop w:val="0"/>
                  <w:marBottom w:val="0"/>
                  <w:divBdr>
                    <w:top w:val="none" w:sz="0" w:space="0" w:color="auto"/>
                    <w:left w:val="none" w:sz="0" w:space="0" w:color="auto"/>
                    <w:bottom w:val="none" w:sz="0" w:space="0" w:color="auto"/>
                    <w:right w:val="none" w:sz="0" w:space="0" w:color="auto"/>
                  </w:divBdr>
                  <w:divsChild>
                    <w:div w:id="1711372760">
                      <w:marLeft w:val="0"/>
                      <w:marRight w:val="150"/>
                      <w:marTop w:val="0"/>
                      <w:marBottom w:val="0"/>
                      <w:divBdr>
                        <w:top w:val="none" w:sz="0" w:space="0" w:color="auto"/>
                        <w:left w:val="none" w:sz="0" w:space="0" w:color="auto"/>
                        <w:bottom w:val="none" w:sz="0" w:space="0" w:color="auto"/>
                        <w:right w:val="none" w:sz="0" w:space="0" w:color="auto"/>
                      </w:divBdr>
                      <w:divsChild>
                        <w:div w:id="195782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902818">
          <w:marLeft w:val="0"/>
          <w:marRight w:val="0"/>
          <w:marTop w:val="0"/>
          <w:marBottom w:val="150"/>
          <w:divBdr>
            <w:top w:val="none" w:sz="0" w:space="0" w:color="auto"/>
            <w:left w:val="none" w:sz="0" w:space="0" w:color="auto"/>
            <w:bottom w:val="none" w:sz="0" w:space="0" w:color="auto"/>
            <w:right w:val="none" w:sz="0" w:space="0" w:color="auto"/>
          </w:divBdr>
        </w:div>
        <w:div w:id="1943149657">
          <w:marLeft w:val="0"/>
          <w:marRight w:val="0"/>
          <w:marTop w:val="0"/>
          <w:marBottom w:val="0"/>
          <w:divBdr>
            <w:top w:val="none" w:sz="0" w:space="0" w:color="auto"/>
            <w:left w:val="none" w:sz="0" w:space="0" w:color="auto"/>
            <w:bottom w:val="none" w:sz="0" w:space="0" w:color="auto"/>
            <w:right w:val="none" w:sz="0" w:space="0" w:color="auto"/>
          </w:divBdr>
          <w:divsChild>
            <w:div w:id="38125161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80859843">
      <w:bodyDiv w:val="1"/>
      <w:marLeft w:val="0"/>
      <w:marRight w:val="0"/>
      <w:marTop w:val="0"/>
      <w:marBottom w:val="0"/>
      <w:divBdr>
        <w:top w:val="none" w:sz="0" w:space="0" w:color="auto"/>
        <w:left w:val="none" w:sz="0" w:space="0" w:color="auto"/>
        <w:bottom w:val="none" w:sz="0" w:space="0" w:color="auto"/>
        <w:right w:val="none" w:sz="0" w:space="0" w:color="auto"/>
      </w:divBdr>
      <w:divsChild>
        <w:div w:id="63183537">
          <w:marLeft w:val="0"/>
          <w:marRight w:val="0"/>
          <w:marTop w:val="0"/>
          <w:marBottom w:val="0"/>
          <w:divBdr>
            <w:top w:val="none" w:sz="0" w:space="0" w:color="auto"/>
            <w:left w:val="none" w:sz="0" w:space="0" w:color="auto"/>
            <w:bottom w:val="none" w:sz="0" w:space="0" w:color="auto"/>
            <w:right w:val="none" w:sz="0" w:space="0" w:color="auto"/>
          </w:divBdr>
        </w:div>
      </w:divsChild>
    </w:div>
    <w:div w:id="381026549">
      <w:bodyDiv w:val="1"/>
      <w:marLeft w:val="0"/>
      <w:marRight w:val="0"/>
      <w:marTop w:val="0"/>
      <w:marBottom w:val="0"/>
      <w:divBdr>
        <w:top w:val="none" w:sz="0" w:space="0" w:color="auto"/>
        <w:left w:val="none" w:sz="0" w:space="0" w:color="auto"/>
        <w:bottom w:val="none" w:sz="0" w:space="0" w:color="auto"/>
        <w:right w:val="none" w:sz="0" w:space="0" w:color="auto"/>
      </w:divBdr>
    </w:div>
    <w:div w:id="381178072">
      <w:bodyDiv w:val="1"/>
      <w:marLeft w:val="0"/>
      <w:marRight w:val="0"/>
      <w:marTop w:val="0"/>
      <w:marBottom w:val="0"/>
      <w:divBdr>
        <w:top w:val="none" w:sz="0" w:space="0" w:color="auto"/>
        <w:left w:val="none" w:sz="0" w:space="0" w:color="auto"/>
        <w:bottom w:val="none" w:sz="0" w:space="0" w:color="auto"/>
        <w:right w:val="none" w:sz="0" w:space="0" w:color="auto"/>
      </w:divBdr>
      <w:divsChild>
        <w:div w:id="1451434877">
          <w:marLeft w:val="0"/>
          <w:marRight w:val="0"/>
          <w:marTop w:val="0"/>
          <w:marBottom w:val="0"/>
          <w:divBdr>
            <w:top w:val="none" w:sz="0" w:space="0" w:color="auto"/>
            <w:left w:val="none" w:sz="0" w:space="0" w:color="auto"/>
            <w:bottom w:val="none" w:sz="0" w:space="0" w:color="auto"/>
            <w:right w:val="none" w:sz="0" w:space="0" w:color="auto"/>
          </w:divBdr>
          <w:divsChild>
            <w:div w:id="59316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254727">
      <w:bodyDiv w:val="1"/>
      <w:marLeft w:val="0"/>
      <w:marRight w:val="0"/>
      <w:marTop w:val="0"/>
      <w:marBottom w:val="0"/>
      <w:divBdr>
        <w:top w:val="none" w:sz="0" w:space="0" w:color="auto"/>
        <w:left w:val="none" w:sz="0" w:space="0" w:color="auto"/>
        <w:bottom w:val="none" w:sz="0" w:space="0" w:color="auto"/>
        <w:right w:val="none" w:sz="0" w:space="0" w:color="auto"/>
      </w:divBdr>
      <w:divsChild>
        <w:div w:id="318046909">
          <w:marLeft w:val="0"/>
          <w:marRight w:val="0"/>
          <w:marTop w:val="0"/>
          <w:marBottom w:val="150"/>
          <w:divBdr>
            <w:top w:val="none" w:sz="0" w:space="0" w:color="auto"/>
            <w:left w:val="none" w:sz="0" w:space="0" w:color="auto"/>
            <w:bottom w:val="none" w:sz="0" w:space="0" w:color="auto"/>
            <w:right w:val="none" w:sz="0" w:space="0" w:color="auto"/>
          </w:divBdr>
        </w:div>
      </w:divsChild>
    </w:div>
    <w:div w:id="381943939">
      <w:bodyDiv w:val="1"/>
      <w:marLeft w:val="0"/>
      <w:marRight w:val="0"/>
      <w:marTop w:val="0"/>
      <w:marBottom w:val="0"/>
      <w:divBdr>
        <w:top w:val="none" w:sz="0" w:space="0" w:color="auto"/>
        <w:left w:val="none" w:sz="0" w:space="0" w:color="auto"/>
        <w:bottom w:val="none" w:sz="0" w:space="0" w:color="auto"/>
        <w:right w:val="none" w:sz="0" w:space="0" w:color="auto"/>
      </w:divBdr>
      <w:divsChild>
        <w:div w:id="798760752">
          <w:marLeft w:val="0"/>
          <w:marRight w:val="0"/>
          <w:marTop w:val="0"/>
          <w:marBottom w:val="0"/>
          <w:divBdr>
            <w:top w:val="none" w:sz="0" w:space="0" w:color="auto"/>
            <w:left w:val="none" w:sz="0" w:space="0" w:color="auto"/>
            <w:bottom w:val="none" w:sz="0" w:space="0" w:color="auto"/>
            <w:right w:val="none" w:sz="0" w:space="0" w:color="auto"/>
          </w:divBdr>
        </w:div>
      </w:divsChild>
    </w:div>
    <w:div w:id="382023866">
      <w:bodyDiv w:val="1"/>
      <w:marLeft w:val="0"/>
      <w:marRight w:val="0"/>
      <w:marTop w:val="0"/>
      <w:marBottom w:val="0"/>
      <w:divBdr>
        <w:top w:val="none" w:sz="0" w:space="0" w:color="auto"/>
        <w:left w:val="none" w:sz="0" w:space="0" w:color="auto"/>
        <w:bottom w:val="none" w:sz="0" w:space="0" w:color="auto"/>
        <w:right w:val="none" w:sz="0" w:space="0" w:color="auto"/>
      </w:divBdr>
      <w:divsChild>
        <w:div w:id="551161357">
          <w:marLeft w:val="0"/>
          <w:marRight w:val="0"/>
          <w:marTop w:val="0"/>
          <w:marBottom w:val="150"/>
          <w:divBdr>
            <w:top w:val="none" w:sz="0" w:space="0" w:color="auto"/>
            <w:left w:val="none" w:sz="0" w:space="0" w:color="auto"/>
            <w:bottom w:val="none" w:sz="0" w:space="0" w:color="auto"/>
            <w:right w:val="none" w:sz="0" w:space="0" w:color="auto"/>
          </w:divBdr>
        </w:div>
      </w:divsChild>
    </w:div>
    <w:div w:id="382101625">
      <w:bodyDiv w:val="1"/>
      <w:marLeft w:val="0"/>
      <w:marRight w:val="0"/>
      <w:marTop w:val="0"/>
      <w:marBottom w:val="0"/>
      <w:divBdr>
        <w:top w:val="none" w:sz="0" w:space="0" w:color="auto"/>
        <w:left w:val="none" w:sz="0" w:space="0" w:color="auto"/>
        <w:bottom w:val="none" w:sz="0" w:space="0" w:color="auto"/>
        <w:right w:val="none" w:sz="0" w:space="0" w:color="auto"/>
      </w:divBdr>
      <w:divsChild>
        <w:div w:id="2014601330">
          <w:marLeft w:val="0"/>
          <w:marRight w:val="0"/>
          <w:marTop w:val="0"/>
          <w:marBottom w:val="0"/>
          <w:divBdr>
            <w:top w:val="none" w:sz="0" w:space="0" w:color="auto"/>
            <w:left w:val="none" w:sz="0" w:space="0" w:color="auto"/>
            <w:bottom w:val="none" w:sz="0" w:space="0" w:color="auto"/>
            <w:right w:val="none" w:sz="0" w:space="0" w:color="auto"/>
          </w:divBdr>
        </w:div>
      </w:divsChild>
    </w:div>
    <w:div w:id="382170375">
      <w:bodyDiv w:val="1"/>
      <w:marLeft w:val="0"/>
      <w:marRight w:val="0"/>
      <w:marTop w:val="0"/>
      <w:marBottom w:val="0"/>
      <w:divBdr>
        <w:top w:val="none" w:sz="0" w:space="0" w:color="auto"/>
        <w:left w:val="none" w:sz="0" w:space="0" w:color="auto"/>
        <w:bottom w:val="none" w:sz="0" w:space="0" w:color="auto"/>
        <w:right w:val="none" w:sz="0" w:space="0" w:color="auto"/>
      </w:divBdr>
      <w:divsChild>
        <w:div w:id="196353356">
          <w:marLeft w:val="0"/>
          <w:marRight w:val="0"/>
          <w:marTop w:val="0"/>
          <w:marBottom w:val="225"/>
          <w:divBdr>
            <w:top w:val="none" w:sz="0" w:space="0" w:color="auto"/>
            <w:left w:val="none" w:sz="0" w:space="0" w:color="auto"/>
            <w:bottom w:val="none" w:sz="0" w:space="0" w:color="auto"/>
            <w:right w:val="none" w:sz="0" w:space="0" w:color="auto"/>
          </w:divBdr>
        </w:div>
        <w:div w:id="510799542">
          <w:marLeft w:val="0"/>
          <w:marRight w:val="0"/>
          <w:marTop w:val="0"/>
          <w:marBottom w:val="225"/>
          <w:divBdr>
            <w:top w:val="none" w:sz="0" w:space="0" w:color="auto"/>
            <w:left w:val="none" w:sz="0" w:space="0" w:color="auto"/>
            <w:bottom w:val="none" w:sz="0" w:space="0" w:color="auto"/>
            <w:right w:val="none" w:sz="0" w:space="0" w:color="auto"/>
          </w:divBdr>
          <w:divsChild>
            <w:div w:id="1751729137">
              <w:marLeft w:val="0"/>
              <w:marRight w:val="0"/>
              <w:marTop w:val="0"/>
              <w:marBottom w:val="0"/>
              <w:divBdr>
                <w:top w:val="none" w:sz="0" w:space="0" w:color="auto"/>
                <w:left w:val="none" w:sz="0" w:space="0" w:color="auto"/>
                <w:bottom w:val="none" w:sz="0" w:space="0" w:color="auto"/>
                <w:right w:val="none" w:sz="0" w:space="0" w:color="auto"/>
              </w:divBdr>
              <w:divsChild>
                <w:div w:id="18168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297021">
      <w:bodyDiv w:val="1"/>
      <w:marLeft w:val="0"/>
      <w:marRight w:val="0"/>
      <w:marTop w:val="0"/>
      <w:marBottom w:val="0"/>
      <w:divBdr>
        <w:top w:val="none" w:sz="0" w:space="0" w:color="auto"/>
        <w:left w:val="none" w:sz="0" w:space="0" w:color="auto"/>
        <w:bottom w:val="none" w:sz="0" w:space="0" w:color="auto"/>
        <w:right w:val="none" w:sz="0" w:space="0" w:color="auto"/>
      </w:divBdr>
      <w:divsChild>
        <w:div w:id="298145776">
          <w:marLeft w:val="0"/>
          <w:marRight w:val="0"/>
          <w:marTop w:val="0"/>
          <w:marBottom w:val="150"/>
          <w:divBdr>
            <w:top w:val="none" w:sz="0" w:space="0" w:color="auto"/>
            <w:left w:val="none" w:sz="0" w:space="0" w:color="auto"/>
            <w:bottom w:val="none" w:sz="0" w:space="0" w:color="auto"/>
            <w:right w:val="none" w:sz="0" w:space="0" w:color="auto"/>
          </w:divBdr>
        </w:div>
        <w:div w:id="661587789">
          <w:marLeft w:val="0"/>
          <w:marRight w:val="0"/>
          <w:marTop w:val="0"/>
          <w:marBottom w:val="150"/>
          <w:divBdr>
            <w:top w:val="none" w:sz="0" w:space="0" w:color="auto"/>
            <w:left w:val="none" w:sz="0" w:space="0" w:color="auto"/>
            <w:bottom w:val="none" w:sz="0" w:space="0" w:color="auto"/>
            <w:right w:val="none" w:sz="0" w:space="0" w:color="auto"/>
          </w:divBdr>
          <w:divsChild>
            <w:div w:id="623850944">
              <w:marLeft w:val="0"/>
              <w:marRight w:val="0"/>
              <w:marTop w:val="0"/>
              <w:marBottom w:val="0"/>
              <w:divBdr>
                <w:top w:val="none" w:sz="0" w:space="0" w:color="auto"/>
                <w:left w:val="none" w:sz="0" w:space="0" w:color="auto"/>
                <w:bottom w:val="none" w:sz="0" w:space="0" w:color="auto"/>
                <w:right w:val="none" w:sz="0" w:space="0" w:color="auto"/>
              </w:divBdr>
              <w:divsChild>
                <w:div w:id="158926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286328">
          <w:marLeft w:val="0"/>
          <w:marRight w:val="0"/>
          <w:marTop w:val="0"/>
          <w:marBottom w:val="0"/>
          <w:divBdr>
            <w:top w:val="none" w:sz="0" w:space="0" w:color="auto"/>
            <w:left w:val="none" w:sz="0" w:space="0" w:color="auto"/>
            <w:bottom w:val="none" w:sz="0" w:space="0" w:color="auto"/>
            <w:right w:val="none" w:sz="0" w:space="0" w:color="auto"/>
          </w:divBdr>
          <w:divsChild>
            <w:div w:id="9443827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83063651">
      <w:bodyDiv w:val="1"/>
      <w:marLeft w:val="0"/>
      <w:marRight w:val="0"/>
      <w:marTop w:val="0"/>
      <w:marBottom w:val="0"/>
      <w:divBdr>
        <w:top w:val="none" w:sz="0" w:space="0" w:color="auto"/>
        <w:left w:val="none" w:sz="0" w:space="0" w:color="auto"/>
        <w:bottom w:val="none" w:sz="0" w:space="0" w:color="auto"/>
        <w:right w:val="none" w:sz="0" w:space="0" w:color="auto"/>
      </w:divBdr>
      <w:divsChild>
        <w:div w:id="501118406">
          <w:marLeft w:val="0"/>
          <w:marRight w:val="0"/>
          <w:marTop w:val="0"/>
          <w:marBottom w:val="150"/>
          <w:divBdr>
            <w:top w:val="none" w:sz="0" w:space="0" w:color="auto"/>
            <w:left w:val="none" w:sz="0" w:space="0" w:color="auto"/>
            <w:bottom w:val="none" w:sz="0" w:space="0" w:color="auto"/>
            <w:right w:val="none" w:sz="0" w:space="0" w:color="auto"/>
          </w:divBdr>
        </w:div>
      </w:divsChild>
    </w:div>
    <w:div w:id="383648178">
      <w:bodyDiv w:val="1"/>
      <w:marLeft w:val="0"/>
      <w:marRight w:val="0"/>
      <w:marTop w:val="0"/>
      <w:marBottom w:val="0"/>
      <w:divBdr>
        <w:top w:val="none" w:sz="0" w:space="0" w:color="auto"/>
        <w:left w:val="none" w:sz="0" w:space="0" w:color="auto"/>
        <w:bottom w:val="none" w:sz="0" w:space="0" w:color="auto"/>
        <w:right w:val="none" w:sz="0" w:space="0" w:color="auto"/>
      </w:divBdr>
      <w:divsChild>
        <w:div w:id="471213391">
          <w:marLeft w:val="0"/>
          <w:marRight w:val="0"/>
          <w:marTop w:val="0"/>
          <w:marBottom w:val="0"/>
          <w:divBdr>
            <w:top w:val="none" w:sz="0" w:space="0" w:color="auto"/>
            <w:left w:val="none" w:sz="0" w:space="0" w:color="auto"/>
            <w:bottom w:val="none" w:sz="0" w:space="0" w:color="auto"/>
            <w:right w:val="none" w:sz="0" w:space="0" w:color="auto"/>
          </w:divBdr>
          <w:divsChild>
            <w:div w:id="1075781445">
              <w:marLeft w:val="0"/>
              <w:marRight w:val="0"/>
              <w:marTop w:val="0"/>
              <w:marBottom w:val="0"/>
              <w:divBdr>
                <w:top w:val="none" w:sz="0" w:space="0" w:color="auto"/>
                <w:left w:val="none" w:sz="0" w:space="0" w:color="auto"/>
                <w:bottom w:val="none" w:sz="0" w:space="0" w:color="auto"/>
                <w:right w:val="none" w:sz="0" w:space="0" w:color="auto"/>
              </w:divBdr>
              <w:divsChild>
                <w:div w:id="151631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630527">
          <w:marLeft w:val="0"/>
          <w:marRight w:val="0"/>
          <w:marTop w:val="0"/>
          <w:marBottom w:val="0"/>
          <w:divBdr>
            <w:top w:val="none" w:sz="0" w:space="0" w:color="auto"/>
            <w:left w:val="none" w:sz="0" w:space="0" w:color="auto"/>
            <w:bottom w:val="none" w:sz="0" w:space="0" w:color="auto"/>
            <w:right w:val="none" w:sz="0" w:space="0" w:color="auto"/>
          </w:divBdr>
        </w:div>
        <w:div w:id="1360400619">
          <w:marLeft w:val="0"/>
          <w:marRight w:val="0"/>
          <w:marTop w:val="0"/>
          <w:marBottom w:val="300"/>
          <w:divBdr>
            <w:top w:val="none" w:sz="0" w:space="0" w:color="auto"/>
            <w:left w:val="none" w:sz="0" w:space="0" w:color="auto"/>
            <w:bottom w:val="none" w:sz="0" w:space="0" w:color="auto"/>
            <w:right w:val="none" w:sz="0" w:space="0" w:color="auto"/>
          </w:divBdr>
          <w:divsChild>
            <w:div w:id="1244222889">
              <w:marLeft w:val="0"/>
              <w:marRight w:val="0"/>
              <w:marTop w:val="0"/>
              <w:marBottom w:val="0"/>
              <w:divBdr>
                <w:top w:val="none" w:sz="0" w:space="0" w:color="auto"/>
                <w:left w:val="none" w:sz="0" w:space="0" w:color="auto"/>
                <w:bottom w:val="none" w:sz="0" w:space="0" w:color="auto"/>
                <w:right w:val="none" w:sz="0" w:space="0" w:color="auto"/>
              </w:divBdr>
            </w:div>
          </w:divsChild>
        </w:div>
        <w:div w:id="1556353414">
          <w:marLeft w:val="0"/>
          <w:marRight w:val="0"/>
          <w:marTop w:val="0"/>
          <w:marBottom w:val="75"/>
          <w:divBdr>
            <w:top w:val="none" w:sz="0" w:space="0" w:color="auto"/>
            <w:left w:val="none" w:sz="0" w:space="0" w:color="auto"/>
            <w:bottom w:val="none" w:sz="0" w:space="0" w:color="auto"/>
            <w:right w:val="none" w:sz="0" w:space="0" w:color="auto"/>
          </w:divBdr>
        </w:div>
      </w:divsChild>
    </w:div>
    <w:div w:id="383724306">
      <w:bodyDiv w:val="1"/>
      <w:marLeft w:val="0"/>
      <w:marRight w:val="0"/>
      <w:marTop w:val="0"/>
      <w:marBottom w:val="0"/>
      <w:divBdr>
        <w:top w:val="none" w:sz="0" w:space="0" w:color="auto"/>
        <w:left w:val="none" w:sz="0" w:space="0" w:color="auto"/>
        <w:bottom w:val="none" w:sz="0" w:space="0" w:color="auto"/>
        <w:right w:val="none" w:sz="0" w:space="0" w:color="auto"/>
      </w:divBdr>
    </w:div>
    <w:div w:id="384259485">
      <w:bodyDiv w:val="1"/>
      <w:marLeft w:val="0"/>
      <w:marRight w:val="0"/>
      <w:marTop w:val="0"/>
      <w:marBottom w:val="0"/>
      <w:divBdr>
        <w:top w:val="none" w:sz="0" w:space="0" w:color="auto"/>
        <w:left w:val="none" w:sz="0" w:space="0" w:color="auto"/>
        <w:bottom w:val="none" w:sz="0" w:space="0" w:color="auto"/>
        <w:right w:val="none" w:sz="0" w:space="0" w:color="auto"/>
      </w:divBdr>
    </w:div>
    <w:div w:id="384331281">
      <w:bodyDiv w:val="1"/>
      <w:marLeft w:val="0"/>
      <w:marRight w:val="0"/>
      <w:marTop w:val="0"/>
      <w:marBottom w:val="0"/>
      <w:divBdr>
        <w:top w:val="none" w:sz="0" w:space="0" w:color="auto"/>
        <w:left w:val="none" w:sz="0" w:space="0" w:color="auto"/>
        <w:bottom w:val="none" w:sz="0" w:space="0" w:color="auto"/>
        <w:right w:val="none" w:sz="0" w:space="0" w:color="auto"/>
      </w:divBdr>
      <w:divsChild>
        <w:div w:id="602227524">
          <w:marLeft w:val="0"/>
          <w:marRight w:val="0"/>
          <w:marTop w:val="0"/>
          <w:marBottom w:val="0"/>
          <w:divBdr>
            <w:top w:val="none" w:sz="0" w:space="0" w:color="auto"/>
            <w:left w:val="none" w:sz="0" w:space="0" w:color="auto"/>
            <w:bottom w:val="none" w:sz="0" w:space="0" w:color="auto"/>
            <w:right w:val="none" w:sz="0" w:space="0" w:color="auto"/>
          </w:divBdr>
          <w:divsChild>
            <w:div w:id="1640767271">
              <w:marLeft w:val="0"/>
              <w:marRight w:val="0"/>
              <w:marTop w:val="0"/>
              <w:marBottom w:val="0"/>
              <w:divBdr>
                <w:top w:val="none" w:sz="0" w:space="0" w:color="auto"/>
                <w:left w:val="none" w:sz="0" w:space="0" w:color="auto"/>
                <w:bottom w:val="none" w:sz="0" w:space="0" w:color="auto"/>
                <w:right w:val="none" w:sz="0" w:space="0" w:color="auto"/>
              </w:divBdr>
              <w:divsChild>
                <w:div w:id="704327833">
                  <w:marLeft w:val="0"/>
                  <w:marRight w:val="0"/>
                  <w:marTop w:val="0"/>
                  <w:marBottom w:val="0"/>
                  <w:divBdr>
                    <w:top w:val="none" w:sz="0" w:space="0" w:color="auto"/>
                    <w:left w:val="none" w:sz="0" w:space="0" w:color="auto"/>
                    <w:bottom w:val="none" w:sz="0" w:space="0" w:color="auto"/>
                    <w:right w:val="none" w:sz="0" w:space="0" w:color="auto"/>
                  </w:divBdr>
                  <w:divsChild>
                    <w:div w:id="1763720311">
                      <w:marLeft w:val="0"/>
                      <w:marRight w:val="0"/>
                      <w:marTop w:val="0"/>
                      <w:marBottom w:val="0"/>
                      <w:divBdr>
                        <w:top w:val="none" w:sz="0" w:space="0" w:color="auto"/>
                        <w:left w:val="none" w:sz="0" w:space="0" w:color="auto"/>
                        <w:bottom w:val="none" w:sz="0" w:space="0" w:color="auto"/>
                        <w:right w:val="none" w:sz="0" w:space="0" w:color="auto"/>
                      </w:divBdr>
                      <w:divsChild>
                        <w:div w:id="1118525629">
                          <w:marLeft w:val="0"/>
                          <w:marRight w:val="0"/>
                          <w:marTop w:val="0"/>
                          <w:marBottom w:val="0"/>
                          <w:divBdr>
                            <w:top w:val="none" w:sz="0" w:space="0" w:color="auto"/>
                            <w:left w:val="none" w:sz="0" w:space="0" w:color="auto"/>
                            <w:bottom w:val="none" w:sz="0" w:space="0" w:color="auto"/>
                            <w:right w:val="none" w:sz="0" w:space="0" w:color="auto"/>
                          </w:divBdr>
                          <w:divsChild>
                            <w:div w:id="1748070086">
                              <w:marLeft w:val="0"/>
                              <w:marRight w:val="0"/>
                              <w:marTop w:val="0"/>
                              <w:marBottom w:val="0"/>
                              <w:divBdr>
                                <w:top w:val="none" w:sz="0" w:space="0" w:color="auto"/>
                                <w:left w:val="none" w:sz="0" w:space="0" w:color="auto"/>
                                <w:bottom w:val="none" w:sz="0" w:space="0" w:color="auto"/>
                                <w:right w:val="none" w:sz="0" w:space="0" w:color="auto"/>
                              </w:divBdr>
                              <w:divsChild>
                                <w:div w:id="1947038157">
                                  <w:marLeft w:val="0"/>
                                  <w:marRight w:val="0"/>
                                  <w:marTop w:val="0"/>
                                  <w:marBottom w:val="0"/>
                                  <w:divBdr>
                                    <w:top w:val="none" w:sz="0" w:space="0" w:color="auto"/>
                                    <w:left w:val="none" w:sz="0" w:space="0" w:color="auto"/>
                                    <w:bottom w:val="none" w:sz="0" w:space="0" w:color="auto"/>
                                    <w:right w:val="none" w:sz="0" w:space="0" w:color="auto"/>
                                  </w:divBdr>
                                  <w:divsChild>
                                    <w:div w:id="104158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4722134">
      <w:bodyDiv w:val="1"/>
      <w:marLeft w:val="0"/>
      <w:marRight w:val="0"/>
      <w:marTop w:val="0"/>
      <w:marBottom w:val="0"/>
      <w:divBdr>
        <w:top w:val="none" w:sz="0" w:space="0" w:color="auto"/>
        <w:left w:val="none" w:sz="0" w:space="0" w:color="auto"/>
        <w:bottom w:val="none" w:sz="0" w:space="0" w:color="auto"/>
        <w:right w:val="none" w:sz="0" w:space="0" w:color="auto"/>
      </w:divBdr>
      <w:divsChild>
        <w:div w:id="1628119897">
          <w:marLeft w:val="0"/>
          <w:marRight w:val="0"/>
          <w:marTop w:val="0"/>
          <w:marBottom w:val="0"/>
          <w:divBdr>
            <w:top w:val="none" w:sz="0" w:space="0" w:color="auto"/>
            <w:left w:val="none" w:sz="0" w:space="0" w:color="auto"/>
            <w:bottom w:val="none" w:sz="0" w:space="0" w:color="auto"/>
            <w:right w:val="none" w:sz="0" w:space="0" w:color="auto"/>
          </w:divBdr>
          <w:divsChild>
            <w:div w:id="275066589">
              <w:marLeft w:val="0"/>
              <w:marRight w:val="0"/>
              <w:marTop w:val="0"/>
              <w:marBottom w:val="0"/>
              <w:divBdr>
                <w:top w:val="none" w:sz="0" w:space="0" w:color="auto"/>
                <w:left w:val="none" w:sz="0" w:space="0" w:color="auto"/>
                <w:bottom w:val="none" w:sz="0" w:space="0" w:color="auto"/>
                <w:right w:val="none" w:sz="0" w:space="0" w:color="auto"/>
              </w:divBdr>
            </w:div>
            <w:div w:id="789469561">
              <w:marLeft w:val="0"/>
              <w:marRight w:val="0"/>
              <w:marTop w:val="0"/>
              <w:marBottom w:val="0"/>
              <w:divBdr>
                <w:top w:val="none" w:sz="0" w:space="0" w:color="auto"/>
                <w:left w:val="none" w:sz="0" w:space="0" w:color="auto"/>
                <w:bottom w:val="none" w:sz="0" w:space="0" w:color="auto"/>
                <w:right w:val="none" w:sz="0" w:space="0" w:color="auto"/>
              </w:divBdr>
            </w:div>
            <w:div w:id="1023246264">
              <w:marLeft w:val="0"/>
              <w:marRight w:val="0"/>
              <w:marTop w:val="0"/>
              <w:marBottom w:val="0"/>
              <w:divBdr>
                <w:top w:val="none" w:sz="0" w:space="0" w:color="auto"/>
                <w:left w:val="none" w:sz="0" w:space="0" w:color="auto"/>
                <w:bottom w:val="none" w:sz="0" w:space="0" w:color="auto"/>
                <w:right w:val="none" w:sz="0" w:space="0" w:color="auto"/>
              </w:divBdr>
            </w:div>
            <w:div w:id="1512913378">
              <w:marLeft w:val="0"/>
              <w:marRight w:val="0"/>
              <w:marTop w:val="0"/>
              <w:marBottom w:val="0"/>
              <w:divBdr>
                <w:top w:val="none" w:sz="0" w:space="0" w:color="auto"/>
                <w:left w:val="none" w:sz="0" w:space="0" w:color="auto"/>
                <w:bottom w:val="none" w:sz="0" w:space="0" w:color="auto"/>
                <w:right w:val="none" w:sz="0" w:space="0" w:color="auto"/>
              </w:divBdr>
            </w:div>
            <w:div w:id="160002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3335">
      <w:bodyDiv w:val="1"/>
      <w:marLeft w:val="0"/>
      <w:marRight w:val="0"/>
      <w:marTop w:val="0"/>
      <w:marBottom w:val="0"/>
      <w:divBdr>
        <w:top w:val="none" w:sz="0" w:space="0" w:color="auto"/>
        <w:left w:val="none" w:sz="0" w:space="0" w:color="auto"/>
        <w:bottom w:val="none" w:sz="0" w:space="0" w:color="auto"/>
        <w:right w:val="none" w:sz="0" w:space="0" w:color="auto"/>
      </w:divBdr>
    </w:div>
    <w:div w:id="384840292">
      <w:bodyDiv w:val="1"/>
      <w:marLeft w:val="0"/>
      <w:marRight w:val="0"/>
      <w:marTop w:val="0"/>
      <w:marBottom w:val="0"/>
      <w:divBdr>
        <w:top w:val="none" w:sz="0" w:space="0" w:color="auto"/>
        <w:left w:val="none" w:sz="0" w:space="0" w:color="auto"/>
        <w:bottom w:val="none" w:sz="0" w:space="0" w:color="auto"/>
        <w:right w:val="none" w:sz="0" w:space="0" w:color="auto"/>
      </w:divBdr>
      <w:divsChild>
        <w:div w:id="1671056557">
          <w:marLeft w:val="0"/>
          <w:marRight w:val="0"/>
          <w:marTop w:val="0"/>
          <w:marBottom w:val="0"/>
          <w:divBdr>
            <w:top w:val="none" w:sz="0" w:space="0" w:color="auto"/>
            <w:left w:val="none" w:sz="0" w:space="0" w:color="auto"/>
            <w:bottom w:val="dotted" w:sz="6" w:space="4" w:color="DDDDDD"/>
            <w:right w:val="none" w:sz="0" w:space="0" w:color="auto"/>
          </w:divBdr>
          <w:divsChild>
            <w:div w:id="32671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910819">
      <w:bodyDiv w:val="1"/>
      <w:marLeft w:val="0"/>
      <w:marRight w:val="0"/>
      <w:marTop w:val="0"/>
      <w:marBottom w:val="0"/>
      <w:divBdr>
        <w:top w:val="none" w:sz="0" w:space="0" w:color="auto"/>
        <w:left w:val="none" w:sz="0" w:space="0" w:color="auto"/>
        <w:bottom w:val="none" w:sz="0" w:space="0" w:color="auto"/>
        <w:right w:val="none" w:sz="0" w:space="0" w:color="auto"/>
      </w:divBdr>
    </w:div>
    <w:div w:id="384911179">
      <w:bodyDiv w:val="1"/>
      <w:marLeft w:val="0"/>
      <w:marRight w:val="0"/>
      <w:marTop w:val="0"/>
      <w:marBottom w:val="0"/>
      <w:divBdr>
        <w:top w:val="none" w:sz="0" w:space="0" w:color="auto"/>
        <w:left w:val="none" w:sz="0" w:space="0" w:color="auto"/>
        <w:bottom w:val="none" w:sz="0" w:space="0" w:color="auto"/>
        <w:right w:val="none" w:sz="0" w:space="0" w:color="auto"/>
      </w:divBdr>
    </w:div>
    <w:div w:id="385447202">
      <w:bodyDiv w:val="1"/>
      <w:marLeft w:val="0"/>
      <w:marRight w:val="0"/>
      <w:marTop w:val="0"/>
      <w:marBottom w:val="0"/>
      <w:divBdr>
        <w:top w:val="none" w:sz="0" w:space="0" w:color="auto"/>
        <w:left w:val="none" w:sz="0" w:space="0" w:color="auto"/>
        <w:bottom w:val="none" w:sz="0" w:space="0" w:color="auto"/>
        <w:right w:val="none" w:sz="0" w:space="0" w:color="auto"/>
      </w:divBdr>
      <w:divsChild>
        <w:div w:id="2012558123">
          <w:marLeft w:val="0"/>
          <w:marRight w:val="0"/>
          <w:marTop w:val="0"/>
          <w:marBottom w:val="0"/>
          <w:divBdr>
            <w:top w:val="none" w:sz="0" w:space="0" w:color="auto"/>
            <w:left w:val="none" w:sz="0" w:space="0" w:color="auto"/>
            <w:bottom w:val="none" w:sz="0" w:space="0" w:color="auto"/>
            <w:right w:val="none" w:sz="0" w:space="0" w:color="auto"/>
          </w:divBdr>
        </w:div>
      </w:divsChild>
    </w:div>
    <w:div w:id="385759430">
      <w:bodyDiv w:val="1"/>
      <w:marLeft w:val="0"/>
      <w:marRight w:val="0"/>
      <w:marTop w:val="0"/>
      <w:marBottom w:val="0"/>
      <w:divBdr>
        <w:top w:val="none" w:sz="0" w:space="0" w:color="auto"/>
        <w:left w:val="none" w:sz="0" w:space="0" w:color="auto"/>
        <w:bottom w:val="none" w:sz="0" w:space="0" w:color="auto"/>
        <w:right w:val="none" w:sz="0" w:space="0" w:color="auto"/>
      </w:divBdr>
      <w:divsChild>
        <w:div w:id="867447783">
          <w:marLeft w:val="0"/>
          <w:marRight w:val="0"/>
          <w:marTop w:val="0"/>
          <w:marBottom w:val="225"/>
          <w:divBdr>
            <w:top w:val="none" w:sz="0" w:space="0" w:color="auto"/>
            <w:left w:val="none" w:sz="0" w:space="0" w:color="auto"/>
            <w:bottom w:val="none" w:sz="0" w:space="0" w:color="auto"/>
            <w:right w:val="none" w:sz="0" w:space="0" w:color="auto"/>
          </w:divBdr>
        </w:div>
        <w:div w:id="1831828913">
          <w:marLeft w:val="0"/>
          <w:marRight w:val="0"/>
          <w:marTop w:val="0"/>
          <w:marBottom w:val="225"/>
          <w:divBdr>
            <w:top w:val="none" w:sz="0" w:space="0" w:color="auto"/>
            <w:left w:val="none" w:sz="0" w:space="0" w:color="auto"/>
            <w:bottom w:val="none" w:sz="0" w:space="0" w:color="auto"/>
            <w:right w:val="none" w:sz="0" w:space="0" w:color="auto"/>
          </w:divBdr>
          <w:divsChild>
            <w:div w:id="1686521003">
              <w:marLeft w:val="0"/>
              <w:marRight w:val="0"/>
              <w:marTop w:val="0"/>
              <w:marBottom w:val="0"/>
              <w:divBdr>
                <w:top w:val="none" w:sz="0" w:space="0" w:color="auto"/>
                <w:left w:val="none" w:sz="0" w:space="0" w:color="auto"/>
                <w:bottom w:val="none" w:sz="0" w:space="0" w:color="auto"/>
                <w:right w:val="none" w:sz="0" w:space="0" w:color="auto"/>
              </w:divBdr>
              <w:divsChild>
                <w:div w:id="69797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835803">
      <w:bodyDiv w:val="1"/>
      <w:marLeft w:val="0"/>
      <w:marRight w:val="0"/>
      <w:marTop w:val="0"/>
      <w:marBottom w:val="0"/>
      <w:divBdr>
        <w:top w:val="none" w:sz="0" w:space="0" w:color="auto"/>
        <w:left w:val="none" w:sz="0" w:space="0" w:color="auto"/>
        <w:bottom w:val="none" w:sz="0" w:space="0" w:color="auto"/>
        <w:right w:val="none" w:sz="0" w:space="0" w:color="auto"/>
      </w:divBdr>
      <w:divsChild>
        <w:div w:id="1496843849">
          <w:marLeft w:val="0"/>
          <w:marRight w:val="0"/>
          <w:marTop w:val="0"/>
          <w:marBottom w:val="0"/>
          <w:divBdr>
            <w:top w:val="none" w:sz="0" w:space="0" w:color="auto"/>
            <w:left w:val="none" w:sz="0" w:space="0" w:color="auto"/>
            <w:bottom w:val="none" w:sz="0" w:space="0" w:color="auto"/>
            <w:right w:val="none" w:sz="0" w:space="0" w:color="auto"/>
          </w:divBdr>
          <w:divsChild>
            <w:div w:id="1047024618">
              <w:marLeft w:val="0"/>
              <w:marRight w:val="0"/>
              <w:marTop w:val="0"/>
              <w:marBottom w:val="0"/>
              <w:divBdr>
                <w:top w:val="none" w:sz="0" w:space="0" w:color="auto"/>
                <w:left w:val="none" w:sz="0" w:space="0" w:color="auto"/>
                <w:bottom w:val="none" w:sz="0" w:space="0" w:color="auto"/>
                <w:right w:val="none" w:sz="0" w:space="0" w:color="auto"/>
              </w:divBdr>
              <w:divsChild>
                <w:div w:id="1289822252">
                  <w:marLeft w:val="0"/>
                  <w:marRight w:val="0"/>
                  <w:marTop w:val="0"/>
                  <w:marBottom w:val="0"/>
                  <w:divBdr>
                    <w:top w:val="none" w:sz="0" w:space="0" w:color="auto"/>
                    <w:left w:val="none" w:sz="0" w:space="0" w:color="auto"/>
                    <w:bottom w:val="none" w:sz="0" w:space="0" w:color="auto"/>
                    <w:right w:val="none" w:sz="0" w:space="0" w:color="auto"/>
                  </w:divBdr>
                  <w:divsChild>
                    <w:div w:id="89131411">
                      <w:marLeft w:val="0"/>
                      <w:marRight w:val="0"/>
                      <w:marTop w:val="0"/>
                      <w:marBottom w:val="0"/>
                      <w:divBdr>
                        <w:top w:val="none" w:sz="0" w:space="0" w:color="auto"/>
                        <w:left w:val="none" w:sz="0" w:space="0" w:color="auto"/>
                        <w:bottom w:val="none" w:sz="0" w:space="0" w:color="auto"/>
                        <w:right w:val="none" w:sz="0" w:space="0" w:color="auto"/>
                      </w:divBdr>
                      <w:divsChild>
                        <w:div w:id="170683510">
                          <w:marLeft w:val="0"/>
                          <w:marRight w:val="0"/>
                          <w:marTop w:val="0"/>
                          <w:marBottom w:val="0"/>
                          <w:divBdr>
                            <w:top w:val="none" w:sz="0" w:space="0" w:color="auto"/>
                            <w:left w:val="none" w:sz="0" w:space="0" w:color="auto"/>
                            <w:bottom w:val="none" w:sz="0" w:space="0" w:color="auto"/>
                            <w:right w:val="none" w:sz="0" w:space="0" w:color="auto"/>
                          </w:divBdr>
                          <w:divsChild>
                            <w:div w:id="1173183805">
                              <w:marLeft w:val="0"/>
                              <w:marRight w:val="0"/>
                              <w:marTop w:val="0"/>
                              <w:marBottom w:val="0"/>
                              <w:divBdr>
                                <w:top w:val="none" w:sz="0" w:space="0" w:color="auto"/>
                                <w:left w:val="none" w:sz="0" w:space="0" w:color="auto"/>
                                <w:bottom w:val="none" w:sz="0" w:space="0" w:color="auto"/>
                                <w:right w:val="none" w:sz="0" w:space="0" w:color="auto"/>
                              </w:divBdr>
                              <w:divsChild>
                                <w:div w:id="215747026">
                                  <w:marLeft w:val="0"/>
                                  <w:marRight w:val="0"/>
                                  <w:marTop w:val="0"/>
                                  <w:marBottom w:val="0"/>
                                  <w:divBdr>
                                    <w:top w:val="none" w:sz="0" w:space="0" w:color="auto"/>
                                    <w:left w:val="none" w:sz="0" w:space="0" w:color="auto"/>
                                    <w:bottom w:val="none" w:sz="0" w:space="0" w:color="auto"/>
                                    <w:right w:val="none" w:sz="0" w:space="0" w:color="auto"/>
                                  </w:divBdr>
                                  <w:divsChild>
                                    <w:div w:id="108622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5840229">
      <w:bodyDiv w:val="1"/>
      <w:marLeft w:val="0"/>
      <w:marRight w:val="0"/>
      <w:marTop w:val="0"/>
      <w:marBottom w:val="0"/>
      <w:divBdr>
        <w:top w:val="none" w:sz="0" w:space="0" w:color="auto"/>
        <w:left w:val="none" w:sz="0" w:space="0" w:color="auto"/>
        <w:bottom w:val="none" w:sz="0" w:space="0" w:color="auto"/>
        <w:right w:val="none" w:sz="0" w:space="0" w:color="auto"/>
      </w:divBdr>
      <w:divsChild>
        <w:div w:id="1818258290">
          <w:marLeft w:val="0"/>
          <w:marRight w:val="0"/>
          <w:marTop w:val="0"/>
          <w:marBottom w:val="0"/>
          <w:divBdr>
            <w:top w:val="none" w:sz="0" w:space="0" w:color="auto"/>
            <w:left w:val="none" w:sz="0" w:space="0" w:color="auto"/>
            <w:bottom w:val="dotted" w:sz="6" w:space="4" w:color="DDDDDD"/>
            <w:right w:val="none" w:sz="0" w:space="0" w:color="auto"/>
          </w:divBdr>
        </w:div>
      </w:divsChild>
    </w:div>
    <w:div w:id="386032660">
      <w:bodyDiv w:val="1"/>
      <w:marLeft w:val="0"/>
      <w:marRight w:val="0"/>
      <w:marTop w:val="0"/>
      <w:marBottom w:val="0"/>
      <w:divBdr>
        <w:top w:val="none" w:sz="0" w:space="0" w:color="auto"/>
        <w:left w:val="none" w:sz="0" w:space="0" w:color="auto"/>
        <w:bottom w:val="none" w:sz="0" w:space="0" w:color="auto"/>
        <w:right w:val="none" w:sz="0" w:space="0" w:color="auto"/>
      </w:divBdr>
      <w:divsChild>
        <w:div w:id="1827087820">
          <w:marLeft w:val="0"/>
          <w:marRight w:val="0"/>
          <w:marTop w:val="0"/>
          <w:marBottom w:val="0"/>
          <w:divBdr>
            <w:top w:val="none" w:sz="0" w:space="0" w:color="auto"/>
            <w:left w:val="none" w:sz="0" w:space="0" w:color="auto"/>
            <w:bottom w:val="none" w:sz="0" w:space="0" w:color="auto"/>
            <w:right w:val="none" w:sz="0" w:space="0" w:color="auto"/>
          </w:divBdr>
          <w:divsChild>
            <w:div w:id="272901729">
              <w:marLeft w:val="0"/>
              <w:marRight w:val="0"/>
              <w:marTop w:val="0"/>
              <w:marBottom w:val="0"/>
              <w:divBdr>
                <w:top w:val="none" w:sz="0" w:space="0" w:color="auto"/>
                <w:left w:val="none" w:sz="0" w:space="0" w:color="auto"/>
                <w:bottom w:val="none" w:sz="0" w:space="0" w:color="auto"/>
                <w:right w:val="none" w:sz="0" w:space="0" w:color="auto"/>
              </w:divBdr>
              <w:divsChild>
                <w:div w:id="1847481083">
                  <w:marLeft w:val="0"/>
                  <w:marRight w:val="0"/>
                  <w:marTop w:val="0"/>
                  <w:marBottom w:val="0"/>
                  <w:divBdr>
                    <w:top w:val="none" w:sz="0" w:space="0" w:color="auto"/>
                    <w:left w:val="none" w:sz="0" w:space="0" w:color="auto"/>
                    <w:bottom w:val="none" w:sz="0" w:space="0" w:color="auto"/>
                    <w:right w:val="none" w:sz="0" w:space="0" w:color="auto"/>
                  </w:divBdr>
                  <w:divsChild>
                    <w:div w:id="858667402">
                      <w:marLeft w:val="0"/>
                      <w:marRight w:val="0"/>
                      <w:marTop w:val="0"/>
                      <w:marBottom w:val="0"/>
                      <w:divBdr>
                        <w:top w:val="none" w:sz="0" w:space="0" w:color="auto"/>
                        <w:left w:val="none" w:sz="0" w:space="0" w:color="auto"/>
                        <w:bottom w:val="none" w:sz="0" w:space="0" w:color="auto"/>
                        <w:right w:val="none" w:sz="0" w:space="0" w:color="auto"/>
                      </w:divBdr>
                      <w:divsChild>
                        <w:div w:id="1169642196">
                          <w:marLeft w:val="0"/>
                          <w:marRight w:val="0"/>
                          <w:marTop w:val="0"/>
                          <w:marBottom w:val="0"/>
                          <w:divBdr>
                            <w:top w:val="none" w:sz="0" w:space="0" w:color="auto"/>
                            <w:left w:val="none" w:sz="0" w:space="0" w:color="auto"/>
                            <w:bottom w:val="none" w:sz="0" w:space="0" w:color="auto"/>
                            <w:right w:val="none" w:sz="0" w:space="0" w:color="auto"/>
                          </w:divBdr>
                          <w:divsChild>
                            <w:div w:id="1227034133">
                              <w:marLeft w:val="0"/>
                              <w:marRight w:val="0"/>
                              <w:marTop w:val="0"/>
                              <w:marBottom w:val="0"/>
                              <w:divBdr>
                                <w:top w:val="none" w:sz="0" w:space="0" w:color="auto"/>
                                <w:left w:val="none" w:sz="0" w:space="0" w:color="auto"/>
                                <w:bottom w:val="none" w:sz="0" w:space="0" w:color="auto"/>
                                <w:right w:val="none" w:sz="0" w:space="0" w:color="auto"/>
                              </w:divBdr>
                              <w:divsChild>
                                <w:div w:id="769469238">
                                  <w:marLeft w:val="0"/>
                                  <w:marRight w:val="0"/>
                                  <w:marTop w:val="0"/>
                                  <w:marBottom w:val="0"/>
                                  <w:divBdr>
                                    <w:top w:val="none" w:sz="0" w:space="0" w:color="auto"/>
                                    <w:left w:val="none" w:sz="0" w:space="0" w:color="auto"/>
                                    <w:bottom w:val="none" w:sz="0" w:space="0" w:color="auto"/>
                                    <w:right w:val="none" w:sz="0" w:space="0" w:color="auto"/>
                                  </w:divBdr>
                                  <w:divsChild>
                                    <w:div w:id="85472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6342798">
      <w:bodyDiv w:val="1"/>
      <w:marLeft w:val="0"/>
      <w:marRight w:val="0"/>
      <w:marTop w:val="0"/>
      <w:marBottom w:val="0"/>
      <w:divBdr>
        <w:top w:val="none" w:sz="0" w:space="0" w:color="auto"/>
        <w:left w:val="none" w:sz="0" w:space="0" w:color="auto"/>
        <w:bottom w:val="none" w:sz="0" w:space="0" w:color="auto"/>
        <w:right w:val="none" w:sz="0" w:space="0" w:color="auto"/>
      </w:divBdr>
      <w:divsChild>
        <w:div w:id="989794120">
          <w:marLeft w:val="0"/>
          <w:marRight w:val="0"/>
          <w:marTop w:val="0"/>
          <w:marBottom w:val="150"/>
          <w:divBdr>
            <w:top w:val="none" w:sz="0" w:space="0" w:color="auto"/>
            <w:left w:val="none" w:sz="0" w:space="0" w:color="auto"/>
            <w:bottom w:val="none" w:sz="0" w:space="0" w:color="auto"/>
            <w:right w:val="none" w:sz="0" w:space="0" w:color="auto"/>
          </w:divBdr>
          <w:divsChild>
            <w:div w:id="303706033">
              <w:marLeft w:val="0"/>
              <w:marRight w:val="0"/>
              <w:marTop w:val="0"/>
              <w:marBottom w:val="0"/>
              <w:divBdr>
                <w:top w:val="none" w:sz="0" w:space="0" w:color="auto"/>
                <w:left w:val="none" w:sz="0" w:space="0" w:color="auto"/>
                <w:bottom w:val="none" w:sz="0" w:space="0" w:color="auto"/>
                <w:right w:val="none" w:sz="0" w:space="0" w:color="auto"/>
              </w:divBdr>
            </w:div>
          </w:divsChild>
        </w:div>
        <w:div w:id="1448351613">
          <w:marLeft w:val="0"/>
          <w:marRight w:val="0"/>
          <w:marTop w:val="0"/>
          <w:marBottom w:val="0"/>
          <w:divBdr>
            <w:top w:val="none" w:sz="0" w:space="0" w:color="auto"/>
            <w:left w:val="none" w:sz="0" w:space="0" w:color="auto"/>
            <w:bottom w:val="none" w:sz="0" w:space="0" w:color="auto"/>
            <w:right w:val="none" w:sz="0" w:space="0" w:color="auto"/>
          </w:divBdr>
          <w:divsChild>
            <w:div w:id="2137528871">
              <w:marLeft w:val="0"/>
              <w:marRight w:val="0"/>
              <w:marTop w:val="0"/>
              <w:marBottom w:val="0"/>
              <w:divBdr>
                <w:top w:val="none" w:sz="0" w:space="0" w:color="auto"/>
                <w:left w:val="none" w:sz="0" w:space="0" w:color="auto"/>
                <w:bottom w:val="none" w:sz="0" w:space="0" w:color="auto"/>
                <w:right w:val="none" w:sz="0" w:space="0" w:color="auto"/>
              </w:divBdr>
            </w:div>
          </w:divsChild>
        </w:div>
        <w:div w:id="1549679763">
          <w:marLeft w:val="0"/>
          <w:marRight w:val="0"/>
          <w:marTop w:val="0"/>
          <w:marBottom w:val="150"/>
          <w:divBdr>
            <w:top w:val="none" w:sz="0" w:space="0" w:color="auto"/>
            <w:left w:val="none" w:sz="0" w:space="0" w:color="auto"/>
            <w:bottom w:val="none" w:sz="0" w:space="0" w:color="auto"/>
            <w:right w:val="none" w:sz="0" w:space="0" w:color="auto"/>
          </w:divBdr>
        </w:div>
      </w:divsChild>
    </w:div>
    <w:div w:id="386685266">
      <w:bodyDiv w:val="1"/>
      <w:marLeft w:val="0"/>
      <w:marRight w:val="0"/>
      <w:marTop w:val="0"/>
      <w:marBottom w:val="0"/>
      <w:divBdr>
        <w:top w:val="none" w:sz="0" w:space="0" w:color="auto"/>
        <w:left w:val="none" w:sz="0" w:space="0" w:color="auto"/>
        <w:bottom w:val="none" w:sz="0" w:space="0" w:color="auto"/>
        <w:right w:val="none" w:sz="0" w:space="0" w:color="auto"/>
      </w:divBdr>
      <w:divsChild>
        <w:div w:id="1999574021">
          <w:marLeft w:val="0"/>
          <w:marRight w:val="0"/>
          <w:marTop w:val="0"/>
          <w:marBottom w:val="0"/>
          <w:divBdr>
            <w:top w:val="none" w:sz="0" w:space="0" w:color="auto"/>
            <w:left w:val="none" w:sz="0" w:space="0" w:color="auto"/>
            <w:bottom w:val="none" w:sz="0" w:space="0" w:color="auto"/>
            <w:right w:val="none" w:sz="0" w:space="0" w:color="auto"/>
          </w:divBdr>
          <w:divsChild>
            <w:div w:id="177283118">
              <w:marLeft w:val="0"/>
              <w:marRight w:val="0"/>
              <w:marTop w:val="0"/>
              <w:marBottom w:val="0"/>
              <w:divBdr>
                <w:top w:val="none" w:sz="0" w:space="0" w:color="auto"/>
                <w:left w:val="none" w:sz="0" w:space="0" w:color="auto"/>
                <w:bottom w:val="none" w:sz="0" w:space="0" w:color="auto"/>
                <w:right w:val="none" w:sz="0" w:space="0" w:color="auto"/>
              </w:divBdr>
            </w:div>
            <w:div w:id="184174880">
              <w:marLeft w:val="0"/>
              <w:marRight w:val="0"/>
              <w:marTop w:val="0"/>
              <w:marBottom w:val="0"/>
              <w:divBdr>
                <w:top w:val="none" w:sz="0" w:space="0" w:color="auto"/>
                <w:left w:val="none" w:sz="0" w:space="0" w:color="auto"/>
                <w:bottom w:val="none" w:sz="0" w:space="0" w:color="auto"/>
                <w:right w:val="none" w:sz="0" w:space="0" w:color="auto"/>
              </w:divBdr>
            </w:div>
            <w:div w:id="650450318">
              <w:marLeft w:val="0"/>
              <w:marRight w:val="0"/>
              <w:marTop w:val="0"/>
              <w:marBottom w:val="0"/>
              <w:divBdr>
                <w:top w:val="none" w:sz="0" w:space="0" w:color="auto"/>
                <w:left w:val="none" w:sz="0" w:space="0" w:color="auto"/>
                <w:bottom w:val="none" w:sz="0" w:space="0" w:color="auto"/>
                <w:right w:val="none" w:sz="0" w:space="0" w:color="auto"/>
              </w:divBdr>
            </w:div>
            <w:div w:id="820538327">
              <w:marLeft w:val="0"/>
              <w:marRight w:val="0"/>
              <w:marTop w:val="0"/>
              <w:marBottom w:val="0"/>
              <w:divBdr>
                <w:top w:val="none" w:sz="0" w:space="0" w:color="auto"/>
                <w:left w:val="none" w:sz="0" w:space="0" w:color="auto"/>
                <w:bottom w:val="none" w:sz="0" w:space="0" w:color="auto"/>
                <w:right w:val="none" w:sz="0" w:space="0" w:color="auto"/>
              </w:divBdr>
            </w:div>
            <w:div w:id="832066414">
              <w:marLeft w:val="0"/>
              <w:marRight w:val="0"/>
              <w:marTop w:val="0"/>
              <w:marBottom w:val="0"/>
              <w:divBdr>
                <w:top w:val="none" w:sz="0" w:space="0" w:color="auto"/>
                <w:left w:val="none" w:sz="0" w:space="0" w:color="auto"/>
                <w:bottom w:val="none" w:sz="0" w:space="0" w:color="auto"/>
                <w:right w:val="none" w:sz="0" w:space="0" w:color="auto"/>
              </w:divBdr>
            </w:div>
            <w:div w:id="868954282">
              <w:marLeft w:val="0"/>
              <w:marRight w:val="0"/>
              <w:marTop w:val="0"/>
              <w:marBottom w:val="0"/>
              <w:divBdr>
                <w:top w:val="none" w:sz="0" w:space="0" w:color="auto"/>
                <w:left w:val="none" w:sz="0" w:space="0" w:color="auto"/>
                <w:bottom w:val="none" w:sz="0" w:space="0" w:color="auto"/>
                <w:right w:val="none" w:sz="0" w:space="0" w:color="auto"/>
              </w:divBdr>
            </w:div>
            <w:div w:id="1127773318">
              <w:marLeft w:val="0"/>
              <w:marRight w:val="0"/>
              <w:marTop w:val="0"/>
              <w:marBottom w:val="0"/>
              <w:divBdr>
                <w:top w:val="none" w:sz="0" w:space="0" w:color="auto"/>
                <w:left w:val="none" w:sz="0" w:space="0" w:color="auto"/>
                <w:bottom w:val="none" w:sz="0" w:space="0" w:color="auto"/>
                <w:right w:val="none" w:sz="0" w:space="0" w:color="auto"/>
              </w:divBdr>
            </w:div>
            <w:div w:id="1187064057">
              <w:marLeft w:val="0"/>
              <w:marRight w:val="0"/>
              <w:marTop w:val="0"/>
              <w:marBottom w:val="0"/>
              <w:divBdr>
                <w:top w:val="none" w:sz="0" w:space="0" w:color="auto"/>
                <w:left w:val="none" w:sz="0" w:space="0" w:color="auto"/>
                <w:bottom w:val="none" w:sz="0" w:space="0" w:color="auto"/>
                <w:right w:val="none" w:sz="0" w:space="0" w:color="auto"/>
              </w:divBdr>
            </w:div>
            <w:div w:id="1246914289">
              <w:marLeft w:val="0"/>
              <w:marRight w:val="0"/>
              <w:marTop w:val="0"/>
              <w:marBottom w:val="0"/>
              <w:divBdr>
                <w:top w:val="none" w:sz="0" w:space="0" w:color="auto"/>
                <w:left w:val="none" w:sz="0" w:space="0" w:color="auto"/>
                <w:bottom w:val="none" w:sz="0" w:space="0" w:color="auto"/>
                <w:right w:val="none" w:sz="0" w:space="0" w:color="auto"/>
              </w:divBdr>
            </w:div>
            <w:div w:id="1643190010">
              <w:marLeft w:val="0"/>
              <w:marRight w:val="0"/>
              <w:marTop w:val="0"/>
              <w:marBottom w:val="0"/>
              <w:divBdr>
                <w:top w:val="none" w:sz="0" w:space="0" w:color="auto"/>
                <w:left w:val="none" w:sz="0" w:space="0" w:color="auto"/>
                <w:bottom w:val="none" w:sz="0" w:space="0" w:color="auto"/>
                <w:right w:val="none" w:sz="0" w:space="0" w:color="auto"/>
              </w:divBdr>
            </w:div>
            <w:div w:id="1857116417">
              <w:marLeft w:val="0"/>
              <w:marRight w:val="0"/>
              <w:marTop w:val="0"/>
              <w:marBottom w:val="0"/>
              <w:divBdr>
                <w:top w:val="none" w:sz="0" w:space="0" w:color="auto"/>
                <w:left w:val="none" w:sz="0" w:space="0" w:color="auto"/>
                <w:bottom w:val="none" w:sz="0" w:space="0" w:color="auto"/>
                <w:right w:val="none" w:sz="0" w:space="0" w:color="auto"/>
              </w:divBdr>
            </w:div>
            <w:div w:id="1872110478">
              <w:marLeft w:val="0"/>
              <w:marRight w:val="0"/>
              <w:marTop w:val="0"/>
              <w:marBottom w:val="0"/>
              <w:divBdr>
                <w:top w:val="none" w:sz="0" w:space="0" w:color="auto"/>
                <w:left w:val="none" w:sz="0" w:space="0" w:color="auto"/>
                <w:bottom w:val="none" w:sz="0" w:space="0" w:color="auto"/>
                <w:right w:val="none" w:sz="0" w:space="0" w:color="auto"/>
              </w:divBdr>
            </w:div>
            <w:div w:id="1948003543">
              <w:marLeft w:val="0"/>
              <w:marRight w:val="0"/>
              <w:marTop w:val="0"/>
              <w:marBottom w:val="0"/>
              <w:divBdr>
                <w:top w:val="none" w:sz="0" w:space="0" w:color="auto"/>
                <w:left w:val="none" w:sz="0" w:space="0" w:color="auto"/>
                <w:bottom w:val="none" w:sz="0" w:space="0" w:color="auto"/>
                <w:right w:val="none" w:sz="0" w:space="0" w:color="auto"/>
              </w:divBdr>
            </w:div>
            <w:div w:id="206583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339240">
      <w:bodyDiv w:val="1"/>
      <w:marLeft w:val="0"/>
      <w:marRight w:val="0"/>
      <w:marTop w:val="0"/>
      <w:marBottom w:val="0"/>
      <w:divBdr>
        <w:top w:val="none" w:sz="0" w:space="0" w:color="auto"/>
        <w:left w:val="none" w:sz="0" w:space="0" w:color="auto"/>
        <w:bottom w:val="none" w:sz="0" w:space="0" w:color="auto"/>
        <w:right w:val="none" w:sz="0" w:space="0" w:color="auto"/>
      </w:divBdr>
      <w:divsChild>
        <w:div w:id="920528379">
          <w:marLeft w:val="0"/>
          <w:marRight w:val="0"/>
          <w:marTop w:val="0"/>
          <w:marBottom w:val="0"/>
          <w:divBdr>
            <w:top w:val="none" w:sz="0" w:space="0" w:color="auto"/>
            <w:left w:val="none" w:sz="0" w:space="0" w:color="auto"/>
            <w:bottom w:val="none" w:sz="0" w:space="0" w:color="auto"/>
            <w:right w:val="none" w:sz="0" w:space="0" w:color="auto"/>
          </w:divBdr>
          <w:divsChild>
            <w:div w:id="278269220">
              <w:marLeft w:val="0"/>
              <w:marRight w:val="0"/>
              <w:marTop w:val="0"/>
              <w:marBottom w:val="0"/>
              <w:divBdr>
                <w:top w:val="none" w:sz="0" w:space="0" w:color="auto"/>
                <w:left w:val="none" w:sz="0" w:space="0" w:color="auto"/>
                <w:bottom w:val="none" w:sz="0" w:space="0" w:color="auto"/>
                <w:right w:val="none" w:sz="0" w:space="0" w:color="auto"/>
              </w:divBdr>
              <w:divsChild>
                <w:div w:id="254093242">
                  <w:marLeft w:val="0"/>
                  <w:marRight w:val="0"/>
                  <w:marTop w:val="0"/>
                  <w:marBottom w:val="0"/>
                  <w:divBdr>
                    <w:top w:val="none" w:sz="0" w:space="0" w:color="auto"/>
                    <w:left w:val="none" w:sz="0" w:space="0" w:color="auto"/>
                    <w:bottom w:val="none" w:sz="0" w:space="0" w:color="auto"/>
                    <w:right w:val="none" w:sz="0" w:space="0" w:color="auto"/>
                  </w:divBdr>
                  <w:divsChild>
                    <w:div w:id="440343928">
                      <w:marLeft w:val="0"/>
                      <w:marRight w:val="0"/>
                      <w:marTop w:val="0"/>
                      <w:marBottom w:val="0"/>
                      <w:divBdr>
                        <w:top w:val="none" w:sz="0" w:space="0" w:color="auto"/>
                        <w:left w:val="none" w:sz="0" w:space="0" w:color="auto"/>
                        <w:bottom w:val="none" w:sz="0" w:space="0" w:color="auto"/>
                        <w:right w:val="none" w:sz="0" w:space="0" w:color="auto"/>
                      </w:divBdr>
                      <w:divsChild>
                        <w:div w:id="1221092053">
                          <w:marLeft w:val="0"/>
                          <w:marRight w:val="0"/>
                          <w:marTop w:val="0"/>
                          <w:marBottom w:val="0"/>
                          <w:divBdr>
                            <w:top w:val="none" w:sz="0" w:space="0" w:color="auto"/>
                            <w:left w:val="none" w:sz="0" w:space="0" w:color="auto"/>
                            <w:bottom w:val="none" w:sz="0" w:space="0" w:color="auto"/>
                            <w:right w:val="none" w:sz="0" w:space="0" w:color="auto"/>
                          </w:divBdr>
                          <w:divsChild>
                            <w:div w:id="1638880390">
                              <w:marLeft w:val="0"/>
                              <w:marRight w:val="0"/>
                              <w:marTop w:val="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7413472">
      <w:bodyDiv w:val="1"/>
      <w:marLeft w:val="0"/>
      <w:marRight w:val="0"/>
      <w:marTop w:val="0"/>
      <w:marBottom w:val="0"/>
      <w:divBdr>
        <w:top w:val="none" w:sz="0" w:space="0" w:color="auto"/>
        <w:left w:val="none" w:sz="0" w:space="0" w:color="auto"/>
        <w:bottom w:val="none" w:sz="0" w:space="0" w:color="auto"/>
        <w:right w:val="none" w:sz="0" w:space="0" w:color="auto"/>
      </w:divBdr>
      <w:divsChild>
        <w:div w:id="1204364064">
          <w:marLeft w:val="0"/>
          <w:marRight w:val="0"/>
          <w:marTop w:val="0"/>
          <w:marBottom w:val="0"/>
          <w:divBdr>
            <w:top w:val="none" w:sz="0" w:space="0" w:color="auto"/>
            <w:left w:val="none" w:sz="0" w:space="0" w:color="auto"/>
            <w:bottom w:val="none" w:sz="0" w:space="0" w:color="auto"/>
            <w:right w:val="none" w:sz="0" w:space="0" w:color="auto"/>
          </w:divBdr>
        </w:div>
      </w:divsChild>
    </w:div>
    <w:div w:id="387539433">
      <w:bodyDiv w:val="1"/>
      <w:marLeft w:val="0"/>
      <w:marRight w:val="0"/>
      <w:marTop w:val="0"/>
      <w:marBottom w:val="0"/>
      <w:divBdr>
        <w:top w:val="none" w:sz="0" w:space="0" w:color="auto"/>
        <w:left w:val="none" w:sz="0" w:space="0" w:color="auto"/>
        <w:bottom w:val="none" w:sz="0" w:space="0" w:color="auto"/>
        <w:right w:val="none" w:sz="0" w:space="0" w:color="auto"/>
      </w:divBdr>
      <w:divsChild>
        <w:div w:id="716320078">
          <w:marLeft w:val="0"/>
          <w:marRight w:val="0"/>
          <w:marTop w:val="0"/>
          <w:marBottom w:val="0"/>
          <w:divBdr>
            <w:top w:val="none" w:sz="0" w:space="0" w:color="auto"/>
            <w:left w:val="none" w:sz="0" w:space="0" w:color="auto"/>
            <w:bottom w:val="dotted" w:sz="6" w:space="4" w:color="DDDDDD"/>
            <w:right w:val="none" w:sz="0" w:space="0" w:color="auto"/>
          </w:divBdr>
        </w:div>
      </w:divsChild>
    </w:div>
    <w:div w:id="387806802">
      <w:bodyDiv w:val="1"/>
      <w:marLeft w:val="0"/>
      <w:marRight w:val="0"/>
      <w:marTop w:val="0"/>
      <w:marBottom w:val="0"/>
      <w:divBdr>
        <w:top w:val="none" w:sz="0" w:space="0" w:color="auto"/>
        <w:left w:val="none" w:sz="0" w:space="0" w:color="auto"/>
        <w:bottom w:val="none" w:sz="0" w:space="0" w:color="auto"/>
        <w:right w:val="none" w:sz="0" w:space="0" w:color="auto"/>
      </w:divBdr>
      <w:divsChild>
        <w:div w:id="200023760">
          <w:marLeft w:val="0"/>
          <w:marRight w:val="0"/>
          <w:marTop w:val="0"/>
          <w:marBottom w:val="150"/>
          <w:divBdr>
            <w:top w:val="none" w:sz="0" w:space="0" w:color="auto"/>
            <w:left w:val="none" w:sz="0" w:space="0" w:color="auto"/>
            <w:bottom w:val="none" w:sz="0" w:space="0" w:color="auto"/>
            <w:right w:val="none" w:sz="0" w:space="0" w:color="auto"/>
          </w:divBdr>
        </w:div>
      </w:divsChild>
    </w:div>
    <w:div w:id="388504477">
      <w:bodyDiv w:val="1"/>
      <w:marLeft w:val="0"/>
      <w:marRight w:val="0"/>
      <w:marTop w:val="0"/>
      <w:marBottom w:val="0"/>
      <w:divBdr>
        <w:top w:val="none" w:sz="0" w:space="0" w:color="auto"/>
        <w:left w:val="none" w:sz="0" w:space="0" w:color="auto"/>
        <w:bottom w:val="none" w:sz="0" w:space="0" w:color="auto"/>
        <w:right w:val="none" w:sz="0" w:space="0" w:color="auto"/>
      </w:divBdr>
      <w:divsChild>
        <w:div w:id="431826408">
          <w:marLeft w:val="0"/>
          <w:marRight w:val="0"/>
          <w:marTop w:val="0"/>
          <w:marBottom w:val="150"/>
          <w:divBdr>
            <w:top w:val="none" w:sz="0" w:space="0" w:color="auto"/>
            <w:left w:val="none" w:sz="0" w:space="0" w:color="auto"/>
            <w:bottom w:val="none" w:sz="0" w:space="0" w:color="auto"/>
            <w:right w:val="none" w:sz="0" w:space="0" w:color="auto"/>
          </w:divBdr>
        </w:div>
        <w:div w:id="1285162652">
          <w:marLeft w:val="0"/>
          <w:marRight w:val="0"/>
          <w:marTop w:val="0"/>
          <w:marBottom w:val="150"/>
          <w:divBdr>
            <w:top w:val="none" w:sz="0" w:space="0" w:color="auto"/>
            <w:left w:val="none" w:sz="0" w:space="0" w:color="auto"/>
            <w:bottom w:val="none" w:sz="0" w:space="0" w:color="auto"/>
            <w:right w:val="none" w:sz="0" w:space="0" w:color="auto"/>
          </w:divBdr>
          <w:divsChild>
            <w:div w:id="407117578">
              <w:marLeft w:val="0"/>
              <w:marRight w:val="0"/>
              <w:marTop w:val="0"/>
              <w:marBottom w:val="0"/>
              <w:divBdr>
                <w:top w:val="none" w:sz="0" w:space="0" w:color="auto"/>
                <w:left w:val="none" w:sz="0" w:space="0" w:color="auto"/>
                <w:bottom w:val="none" w:sz="0" w:space="0" w:color="auto"/>
                <w:right w:val="none" w:sz="0" w:space="0" w:color="auto"/>
              </w:divBdr>
              <w:divsChild>
                <w:div w:id="45883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471899">
          <w:marLeft w:val="0"/>
          <w:marRight w:val="0"/>
          <w:marTop w:val="0"/>
          <w:marBottom w:val="0"/>
          <w:divBdr>
            <w:top w:val="none" w:sz="0" w:space="0" w:color="auto"/>
            <w:left w:val="none" w:sz="0" w:space="0" w:color="auto"/>
            <w:bottom w:val="none" w:sz="0" w:space="0" w:color="auto"/>
            <w:right w:val="none" w:sz="0" w:space="0" w:color="auto"/>
          </w:divBdr>
          <w:divsChild>
            <w:div w:id="11687107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88846454">
      <w:bodyDiv w:val="1"/>
      <w:marLeft w:val="0"/>
      <w:marRight w:val="0"/>
      <w:marTop w:val="0"/>
      <w:marBottom w:val="0"/>
      <w:divBdr>
        <w:top w:val="none" w:sz="0" w:space="0" w:color="auto"/>
        <w:left w:val="none" w:sz="0" w:space="0" w:color="auto"/>
        <w:bottom w:val="none" w:sz="0" w:space="0" w:color="auto"/>
        <w:right w:val="none" w:sz="0" w:space="0" w:color="auto"/>
      </w:divBdr>
      <w:divsChild>
        <w:div w:id="80949909">
          <w:marLeft w:val="0"/>
          <w:marRight w:val="0"/>
          <w:marTop w:val="0"/>
          <w:marBottom w:val="0"/>
          <w:divBdr>
            <w:top w:val="none" w:sz="0" w:space="0" w:color="auto"/>
            <w:left w:val="none" w:sz="0" w:space="0" w:color="auto"/>
            <w:bottom w:val="none" w:sz="0" w:space="0" w:color="auto"/>
            <w:right w:val="none" w:sz="0" w:space="0" w:color="auto"/>
          </w:divBdr>
          <w:divsChild>
            <w:div w:id="65542436">
              <w:marLeft w:val="0"/>
              <w:marRight w:val="0"/>
              <w:marTop w:val="0"/>
              <w:marBottom w:val="0"/>
              <w:divBdr>
                <w:top w:val="none" w:sz="0" w:space="0" w:color="auto"/>
                <w:left w:val="none" w:sz="0" w:space="0" w:color="auto"/>
                <w:bottom w:val="none" w:sz="0" w:space="0" w:color="auto"/>
                <w:right w:val="none" w:sz="0" w:space="0" w:color="auto"/>
              </w:divBdr>
              <w:divsChild>
                <w:div w:id="199711513">
                  <w:marLeft w:val="0"/>
                  <w:marRight w:val="0"/>
                  <w:marTop w:val="0"/>
                  <w:marBottom w:val="0"/>
                  <w:divBdr>
                    <w:top w:val="none" w:sz="0" w:space="0" w:color="auto"/>
                    <w:left w:val="none" w:sz="0" w:space="0" w:color="auto"/>
                    <w:bottom w:val="none" w:sz="0" w:space="0" w:color="auto"/>
                    <w:right w:val="none" w:sz="0" w:space="0" w:color="auto"/>
                  </w:divBdr>
                  <w:divsChild>
                    <w:div w:id="533544774">
                      <w:marLeft w:val="0"/>
                      <w:marRight w:val="0"/>
                      <w:marTop w:val="0"/>
                      <w:marBottom w:val="0"/>
                      <w:divBdr>
                        <w:top w:val="none" w:sz="0" w:space="0" w:color="auto"/>
                        <w:left w:val="none" w:sz="0" w:space="0" w:color="auto"/>
                        <w:bottom w:val="none" w:sz="0" w:space="0" w:color="auto"/>
                        <w:right w:val="none" w:sz="0" w:space="0" w:color="auto"/>
                      </w:divBdr>
                    </w:div>
                    <w:div w:id="1034383170">
                      <w:marLeft w:val="0"/>
                      <w:marRight w:val="0"/>
                      <w:marTop w:val="0"/>
                      <w:marBottom w:val="0"/>
                      <w:divBdr>
                        <w:top w:val="none" w:sz="0" w:space="0" w:color="auto"/>
                        <w:left w:val="none" w:sz="0" w:space="0" w:color="auto"/>
                        <w:bottom w:val="none" w:sz="0" w:space="0" w:color="auto"/>
                        <w:right w:val="none" w:sz="0" w:space="0" w:color="auto"/>
                      </w:divBdr>
                      <w:divsChild>
                        <w:div w:id="1749813363">
                          <w:marLeft w:val="0"/>
                          <w:marRight w:val="0"/>
                          <w:marTop w:val="0"/>
                          <w:marBottom w:val="0"/>
                          <w:divBdr>
                            <w:top w:val="none" w:sz="0" w:space="0" w:color="auto"/>
                            <w:left w:val="none" w:sz="0" w:space="0" w:color="auto"/>
                            <w:bottom w:val="none" w:sz="0" w:space="0" w:color="auto"/>
                            <w:right w:val="none" w:sz="0" w:space="0" w:color="auto"/>
                          </w:divBdr>
                          <w:divsChild>
                            <w:div w:id="15735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09854">
                      <w:marLeft w:val="0"/>
                      <w:marRight w:val="0"/>
                      <w:marTop w:val="0"/>
                      <w:marBottom w:val="300"/>
                      <w:divBdr>
                        <w:top w:val="none" w:sz="0" w:space="0" w:color="auto"/>
                        <w:left w:val="none" w:sz="0" w:space="0" w:color="auto"/>
                        <w:bottom w:val="none" w:sz="0" w:space="0" w:color="auto"/>
                        <w:right w:val="none" w:sz="0" w:space="0" w:color="auto"/>
                      </w:divBdr>
                      <w:divsChild>
                        <w:div w:id="1836410963">
                          <w:marLeft w:val="0"/>
                          <w:marRight w:val="0"/>
                          <w:marTop w:val="0"/>
                          <w:marBottom w:val="0"/>
                          <w:divBdr>
                            <w:top w:val="none" w:sz="0" w:space="0" w:color="auto"/>
                            <w:left w:val="none" w:sz="0" w:space="0" w:color="auto"/>
                            <w:bottom w:val="none" w:sz="0" w:space="0" w:color="auto"/>
                            <w:right w:val="none" w:sz="0" w:space="0" w:color="auto"/>
                          </w:divBdr>
                        </w:div>
                      </w:divsChild>
                    </w:div>
                    <w:div w:id="1774200280">
                      <w:marLeft w:val="0"/>
                      <w:marRight w:val="0"/>
                      <w:marTop w:val="0"/>
                      <w:marBottom w:val="75"/>
                      <w:divBdr>
                        <w:top w:val="none" w:sz="0" w:space="0" w:color="auto"/>
                        <w:left w:val="none" w:sz="0" w:space="0" w:color="auto"/>
                        <w:bottom w:val="none" w:sz="0" w:space="0" w:color="auto"/>
                        <w:right w:val="none" w:sz="0" w:space="0" w:color="auto"/>
                      </w:divBdr>
                    </w:div>
                  </w:divsChild>
                </w:div>
                <w:div w:id="366033427">
                  <w:marLeft w:val="300"/>
                  <w:marRight w:val="0"/>
                  <w:marTop w:val="0"/>
                  <w:marBottom w:val="0"/>
                  <w:divBdr>
                    <w:top w:val="none" w:sz="0" w:space="0" w:color="auto"/>
                    <w:left w:val="none" w:sz="0" w:space="0" w:color="auto"/>
                    <w:bottom w:val="none" w:sz="0" w:space="0" w:color="auto"/>
                    <w:right w:val="none" w:sz="0" w:space="0" w:color="auto"/>
                  </w:divBdr>
                  <w:divsChild>
                    <w:div w:id="1205564058">
                      <w:marLeft w:val="0"/>
                      <w:marRight w:val="0"/>
                      <w:marTop w:val="0"/>
                      <w:marBottom w:val="300"/>
                      <w:divBdr>
                        <w:top w:val="none" w:sz="0" w:space="0" w:color="auto"/>
                        <w:left w:val="none" w:sz="0" w:space="0" w:color="auto"/>
                        <w:bottom w:val="none" w:sz="0" w:space="0" w:color="auto"/>
                        <w:right w:val="none" w:sz="0" w:space="0" w:color="auto"/>
                      </w:divBdr>
                      <w:divsChild>
                        <w:div w:id="67119809">
                          <w:marLeft w:val="0"/>
                          <w:marRight w:val="0"/>
                          <w:marTop w:val="0"/>
                          <w:marBottom w:val="0"/>
                          <w:divBdr>
                            <w:top w:val="none" w:sz="0" w:space="0" w:color="auto"/>
                            <w:left w:val="none" w:sz="0" w:space="0" w:color="auto"/>
                            <w:bottom w:val="none" w:sz="0" w:space="0" w:color="auto"/>
                            <w:right w:val="none" w:sz="0" w:space="0" w:color="auto"/>
                          </w:divBdr>
                          <w:divsChild>
                            <w:div w:id="2138259133">
                              <w:marLeft w:val="0"/>
                              <w:marRight w:val="0"/>
                              <w:marTop w:val="0"/>
                              <w:marBottom w:val="0"/>
                              <w:divBdr>
                                <w:top w:val="none" w:sz="0" w:space="0" w:color="auto"/>
                                <w:left w:val="none" w:sz="0" w:space="0" w:color="auto"/>
                                <w:bottom w:val="none" w:sz="0" w:space="0" w:color="auto"/>
                                <w:right w:val="none" w:sz="0" w:space="0" w:color="auto"/>
                              </w:divBdr>
                              <w:divsChild>
                                <w:div w:id="2121600988">
                                  <w:marLeft w:val="0"/>
                                  <w:marRight w:val="0"/>
                                  <w:marTop w:val="0"/>
                                  <w:marBottom w:val="0"/>
                                  <w:divBdr>
                                    <w:top w:val="single" w:sz="2" w:space="0" w:color="DFDFDF"/>
                                    <w:left w:val="single" w:sz="2" w:space="0" w:color="DFDFDF"/>
                                    <w:bottom w:val="single" w:sz="2" w:space="0" w:color="DFDFDF"/>
                                    <w:right w:val="single" w:sz="2" w:space="0" w:color="DFDFDF"/>
                                  </w:divBdr>
                                  <w:divsChild>
                                    <w:div w:id="717780883">
                                      <w:marLeft w:val="-90"/>
                                      <w:marRight w:val="0"/>
                                      <w:marTop w:val="0"/>
                                      <w:marBottom w:val="0"/>
                                      <w:divBdr>
                                        <w:top w:val="none" w:sz="0" w:space="0" w:color="auto"/>
                                        <w:left w:val="none" w:sz="0" w:space="0" w:color="auto"/>
                                        <w:bottom w:val="none" w:sz="0" w:space="0" w:color="auto"/>
                                        <w:right w:val="none" w:sz="0" w:space="0" w:color="auto"/>
                                      </w:divBdr>
                                      <w:divsChild>
                                        <w:div w:id="902326297">
                                          <w:marLeft w:val="0"/>
                                          <w:marRight w:val="0"/>
                                          <w:marTop w:val="0"/>
                                          <w:marBottom w:val="45"/>
                                          <w:divBdr>
                                            <w:top w:val="single" w:sz="2" w:space="0" w:color="A9A9A9"/>
                                            <w:left w:val="single" w:sz="2" w:space="0" w:color="A9A9A9"/>
                                            <w:bottom w:val="single" w:sz="2" w:space="0" w:color="A9A9A9"/>
                                            <w:right w:val="single" w:sz="2" w:space="0" w:color="A9A9A9"/>
                                          </w:divBdr>
                                          <w:divsChild>
                                            <w:div w:id="265501251">
                                              <w:marLeft w:val="0"/>
                                              <w:marRight w:val="0"/>
                                              <w:marTop w:val="0"/>
                                              <w:marBottom w:val="0"/>
                                              <w:divBdr>
                                                <w:top w:val="none" w:sz="0" w:space="0" w:color="auto"/>
                                                <w:left w:val="none" w:sz="0" w:space="0" w:color="auto"/>
                                                <w:bottom w:val="none" w:sz="0" w:space="0" w:color="auto"/>
                                                <w:right w:val="none" w:sz="0" w:space="0" w:color="auto"/>
                                              </w:divBdr>
                                              <w:divsChild>
                                                <w:div w:id="644163021">
                                                  <w:marLeft w:val="92"/>
                                                  <w:marRight w:val="0"/>
                                                  <w:marTop w:val="0"/>
                                                  <w:marBottom w:val="150"/>
                                                  <w:divBdr>
                                                    <w:top w:val="single" w:sz="2" w:space="0" w:color="E4E4E4"/>
                                                    <w:left w:val="single" w:sz="2" w:space="0" w:color="E4E4E4"/>
                                                    <w:bottom w:val="single" w:sz="2" w:space="0" w:color="E4E4E4"/>
                                                    <w:right w:val="single" w:sz="2" w:space="0" w:color="E4E4E4"/>
                                                  </w:divBdr>
                                                </w:div>
                                                <w:div w:id="1187329678">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620644112">
                          <w:marLeft w:val="0"/>
                          <w:marRight w:val="0"/>
                          <w:marTop w:val="0"/>
                          <w:marBottom w:val="0"/>
                          <w:divBdr>
                            <w:top w:val="none" w:sz="0" w:space="0" w:color="auto"/>
                            <w:left w:val="none" w:sz="0" w:space="0" w:color="auto"/>
                            <w:bottom w:val="none" w:sz="0" w:space="0" w:color="auto"/>
                            <w:right w:val="none" w:sz="0" w:space="0" w:color="auto"/>
                          </w:divBdr>
                          <w:divsChild>
                            <w:div w:id="2124614586">
                              <w:marLeft w:val="0"/>
                              <w:marRight w:val="0"/>
                              <w:marTop w:val="0"/>
                              <w:marBottom w:val="0"/>
                              <w:divBdr>
                                <w:top w:val="none" w:sz="0" w:space="0" w:color="auto"/>
                                <w:left w:val="none" w:sz="0" w:space="0" w:color="auto"/>
                                <w:bottom w:val="none" w:sz="0" w:space="0" w:color="auto"/>
                                <w:right w:val="none" w:sz="0" w:space="0" w:color="auto"/>
                              </w:divBdr>
                              <w:divsChild>
                                <w:div w:id="392432070">
                                  <w:marLeft w:val="0"/>
                                  <w:marRight w:val="0"/>
                                  <w:marTop w:val="0"/>
                                  <w:marBottom w:val="0"/>
                                  <w:divBdr>
                                    <w:top w:val="single" w:sz="2" w:space="0" w:color="DFDFDF"/>
                                    <w:left w:val="single" w:sz="2" w:space="0" w:color="DFDFDF"/>
                                    <w:bottom w:val="single" w:sz="2" w:space="0" w:color="DFDFDF"/>
                                    <w:right w:val="single" w:sz="2" w:space="0" w:color="DFDFDF"/>
                                  </w:divBdr>
                                  <w:divsChild>
                                    <w:div w:id="523905795">
                                      <w:marLeft w:val="-90"/>
                                      <w:marRight w:val="0"/>
                                      <w:marTop w:val="0"/>
                                      <w:marBottom w:val="0"/>
                                      <w:divBdr>
                                        <w:top w:val="none" w:sz="0" w:space="0" w:color="auto"/>
                                        <w:left w:val="none" w:sz="0" w:space="0" w:color="auto"/>
                                        <w:bottom w:val="none" w:sz="0" w:space="0" w:color="auto"/>
                                        <w:right w:val="none" w:sz="0" w:space="0" w:color="auto"/>
                                      </w:divBdr>
                                      <w:divsChild>
                                        <w:div w:id="1992370423">
                                          <w:marLeft w:val="0"/>
                                          <w:marRight w:val="0"/>
                                          <w:marTop w:val="0"/>
                                          <w:marBottom w:val="45"/>
                                          <w:divBdr>
                                            <w:top w:val="single" w:sz="2" w:space="0" w:color="A9A9A9"/>
                                            <w:left w:val="single" w:sz="2" w:space="0" w:color="A9A9A9"/>
                                            <w:bottom w:val="single" w:sz="2" w:space="0" w:color="A9A9A9"/>
                                            <w:right w:val="single" w:sz="2" w:space="0" w:color="A9A9A9"/>
                                          </w:divBdr>
                                          <w:divsChild>
                                            <w:div w:id="779107445">
                                              <w:marLeft w:val="0"/>
                                              <w:marRight w:val="0"/>
                                              <w:marTop w:val="0"/>
                                              <w:marBottom w:val="0"/>
                                              <w:divBdr>
                                                <w:top w:val="none" w:sz="0" w:space="0" w:color="auto"/>
                                                <w:left w:val="none" w:sz="0" w:space="0" w:color="auto"/>
                                                <w:bottom w:val="none" w:sz="0" w:space="0" w:color="auto"/>
                                                <w:right w:val="none" w:sz="0" w:space="0" w:color="auto"/>
                                              </w:divBdr>
                                              <w:divsChild>
                                                <w:div w:id="192218215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446920653">
                                      <w:marLeft w:val="0"/>
                                      <w:marRight w:val="0"/>
                                      <w:marTop w:val="0"/>
                                      <w:marBottom w:val="270"/>
                                      <w:divBdr>
                                        <w:top w:val="none" w:sz="0" w:space="0" w:color="auto"/>
                                        <w:left w:val="none" w:sz="0" w:space="0" w:color="auto"/>
                                        <w:bottom w:val="single" w:sz="12" w:space="5" w:color="DADADA"/>
                                        <w:right w:val="none" w:sz="0" w:space="0" w:color="auto"/>
                                      </w:divBdr>
                                      <w:divsChild>
                                        <w:div w:id="193443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0166229">
          <w:marLeft w:val="0"/>
          <w:marRight w:val="0"/>
          <w:marTop w:val="0"/>
          <w:marBottom w:val="0"/>
          <w:divBdr>
            <w:top w:val="none" w:sz="0" w:space="0" w:color="auto"/>
            <w:left w:val="none" w:sz="0" w:space="0" w:color="auto"/>
            <w:bottom w:val="none" w:sz="0" w:space="0" w:color="auto"/>
            <w:right w:val="none" w:sz="0" w:space="0" w:color="auto"/>
          </w:divBdr>
          <w:divsChild>
            <w:div w:id="312566850">
              <w:marLeft w:val="0"/>
              <w:marRight w:val="0"/>
              <w:marTop w:val="0"/>
              <w:marBottom w:val="300"/>
              <w:divBdr>
                <w:top w:val="none" w:sz="0" w:space="0" w:color="auto"/>
                <w:left w:val="none" w:sz="0" w:space="0" w:color="auto"/>
                <w:bottom w:val="single" w:sz="6" w:space="0" w:color="F1F1F1"/>
                <w:right w:val="none" w:sz="0" w:space="0" w:color="auto"/>
              </w:divBdr>
              <w:divsChild>
                <w:div w:id="12001714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388847736">
      <w:bodyDiv w:val="1"/>
      <w:marLeft w:val="0"/>
      <w:marRight w:val="0"/>
      <w:marTop w:val="0"/>
      <w:marBottom w:val="0"/>
      <w:divBdr>
        <w:top w:val="none" w:sz="0" w:space="0" w:color="auto"/>
        <w:left w:val="none" w:sz="0" w:space="0" w:color="auto"/>
        <w:bottom w:val="none" w:sz="0" w:space="0" w:color="auto"/>
        <w:right w:val="none" w:sz="0" w:space="0" w:color="auto"/>
      </w:divBdr>
      <w:divsChild>
        <w:div w:id="686954475">
          <w:marLeft w:val="0"/>
          <w:marRight w:val="0"/>
          <w:marTop w:val="0"/>
          <w:marBottom w:val="0"/>
          <w:divBdr>
            <w:top w:val="none" w:sz="0" w:space="0" w:color="auto"/>
            <w:left w:val="none" w:sz="0" w:space="0" w:color="auto"/>
            <w:bottom w:val="none" w:sz="0" w:space="0" w:color="auto"/>
            <w:right w:val="none" w:sz="0" w:space="0" w:color="auto"/>
          </w:divBdr>
          <w:divsChild>
            <w:div w:id="1321495944">
              <w:marLeft w:val="0"/>
              <w:marRight w:val="0"/>
              <w:marTop w:val="0"/>
              <w:marBottom w:val="0"/>
              <w:divBdr>
                <w:top w:val="none" w:sz="0" w:space="0" w:color="auto"/>
                <w:left w:val="none" w:sz="0" w:space="0" w:color="auto"/>
                <w:bottom w:val="none" w:sz="0" w:space="0" w:color="auto"/>
                <w:right w:val="none" w:sz="0" w:space="0" w:color="auto"/>
              </w:divBdr>
              <w:divsChild>
                <w:div w:id="1037974838">
                  <w:marLeft w:val="0"/>
                  <w:marRight w:val="0"/>
                  <w:marTop w:val="0"/>
                  <w:marBottom w:val="0"/>
                  <w:divBdr>
                    <w:top w:val="none" w:sz="0" w:space="0" w:color="auto"/>
                    <w:left w:val="none" w:sz="0" w:space="0" w:color="auto"/>
                    <w:bottom w:val="none" w:sz="0" w:space="0" w:color="auto"/>
                    <w:right w:val="none" w:sz="0" w:space="0" w:color="auto"/>
                  </w:divBdr>
                  <w:divsChild>
                    <w:div w:id="1002391709">
                      <w:marLeft w:val="0"/>
                      <w:marRight w:val="0"/>
                      <w:marTop w:val="0"/>
                      <w:marBottom w:val="0"/>
                      <w:divBdr>
                        <w:top w:val="none" w:sz="0" w:space="0" w:color="auto"/>
                        <w:left w:val="none" w:sz="0" w:space="0" w:color="auto"/>
                        <w:bottom w:val="none" w:sz="0" w:space="0" w:color="auto"/>
                        <w:right w:val="none" w:sz="0" w:space="0" w:color="auto"/>
                      </w:divBdr>
                      <w:divsChild>
                        <w:div w:id="1352340623">
                          <w:marLeft w:val="0"/>
                          <w:marRight w:val="0"/>
                          <w:marTop w:val="0"/>
                          <w:marBottom w:val="0"/>
                          <w:divBdr>
                            <w:top w:val="none" w:sz="0" w:space="0" w:color="auto"/>
                            <w:left w:val="none" w:sz="0" w:space="0" w:color="auto"/>
                            <w:bottom w:val="none" w:sz="0" w:space="0" w:color="auto"/>
                            <w:right w:val="none" w:sz="0" w:space="0" w:color="auto"/>
                          </w:divBdr>
                          <w:divsChild>
                            <w:div w:id="2018728007">
                              <w:marLeft w:val="0"/>
                              <w:marRight w:val="0"/>
                              <w:marTop w:val="0"/>
                              <w:marBottom w:val="0"/>
                              <w:divBdr>
                                <w:top w:val="none" w:sz="0" w:space="0" w:color="auto"/>
                                <w:left w:val="none" w:sz="0" w:space="0" w:color="auto"/>
                                <w:bottom w:val="none" w:sz="0" w:space="0" w:color="auto"/>
                                <w:right w:val="none" w:sz="0" w:space="0" w:color="auto"/>
                              </w:divBdr>
                              <w:divsChild>
                                <w:div w:id="1075014099">
                                  <w:marLeft w:val="0"/>
                                  <w:marRight w:val="0"/>
                                  <w:marTop w:val="0"/>
                                  <w:marBottom w:val="0"/>
                                  <w:divBdr>
                                    <w:top w:val="none" w:sz="0" w:space="0" w:color="auto"/>
                                    <w:left w:val="none" w:sz="0" w:space="0" w:color="auto"/>
                                    <w:bottom w:val="none" w:sz="0" w:space="0" w:color="auto"/>
                                    <w:right w:val="none" w:sz="0" w:space="0" w:color="auto"/>
                                  </w:divBdr>
                                  <w:divsChild>
                                    <w:div w:id="189341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9034253">
      <w:bodyDiv w:val="1"/>
      <w:marLeft w:val="0"/>
      <w:marRight w:val="0"/>
      <w:marTop w:val="0"/>
      <w:marBottom w:val="0"/>
      <w:divBdr>
        <w:top w:val="none" w:sz="0" w:space="0" w:color="auto"/>
        <w:left w:val="none" w:sz="0" w:space="0" w:color="auto"/>
        <w:bottom w:val="none" w:sz="0" w:space="0" w:color="auto"/>
        <w:right w:val="none" w:sz="0" w:space="0" w:color="auto"/>
      </w:divBdr>
    </w:div>
    <w:div w:id="389112026">
      <w:bodyDiv w:val="1"/>
      <w:marLeft w:val="0"/>
      <w:marRight w:val="0"/>
      <w:marTop w:val="0"/>
      <w:marBottom w:val="0"/>
      <w:divBdr>
        <w:top w:val="none" w:sz="0" w:space="0" w:color="auto"/>
        <w:left w:val="none" w:sz="0" w:space="0" w:color="auto"/>
        <w:bottom w:val="none" w:sz="0" w:space="0" w:color="auto"/>
        <w:right w:val="none" w:sz="0" w:space="0" w:color="auto"/>
      </w:divBdr>
      <w:divsChild>
        <w:div w:id="713428103">
          <w:marLeft w:val="0"/>
          <w:marRight w:val="0"/>
          <w:marTop w:val="0"/>
          <w:marBottom w:val="0"/>
          <w:divBdr>
            <w:top w:val="none" w:sz="0" w:space="0" w:color="auto"/>
            <w:left w:val="none" w:sz="0" w:space="0" w:color="auto"/>
            <w:bottom w:val="dotted" w:sz="6" w:space="4" w:color="DDDDDD"/>
            <w:right w:val="none" w:sz="0" w:space="0" w:color="auto"/>
          </w:divBdr>
        </w:div>
      </w:divsChild>
    </w:div>
    <w:div w:id="389231354">
      <w:bodyDiv w:val="1"/>
      <w:marLeft w:val="0"/>
      <w:marRight w:val="0"/>
      <w:marTop w:val="0"/>
      <w:marBottom w:val="0"/>
      <w:divBdr>
        <w:top w:val="none" w:sz="0" w:space="0" w:color="auto"/>
        <w:left w:val="none" w:sz="0" w:space="0" w:color="auto"/>
        <w:bottom w:val="none" w:sz="0" w:space="0" w:color="auto"/>
        <w:right w:val="none" w:sz="0" w:space="0" w:color="auto"/>
      </w:divBdr>
    </w:div>
    <w:div w:id="389379991">
      <w:bodyDiv w:val="1"/>
      <w:marLeft w:val="0"/>
      <w:marRight w:val="0"/>
      <w:marTop w:val="0"/>
      <w:marBottom w:val="0"/>
      <w:divBdr>
        <w:top w:val="none" w:sz="0" w:space="0" w:color="auto"/>
        <w:left w:val="none" w:sz="0" w:space="0" w:color="auto"/>
        <w:bottom w:val="none" w:sz="0" w:space="0" w:color="auto"/>
        <w:right w:val="none" w:sz="0" w:space="0" w:color="auto"/>
      </w:divBdr>
      <w:divsChild>
        <w:div w:id="1306811786">
          <w:marLeft w:val="0"/>
          <w:marRight w:val="0"/>
          <w:marTop w:val="0"/>
          <w:marBottom w:val="0"/>
          <w:divBdr>
            <w:top w:val="none" w:sz="0" w:space="0" w:color="auto"/>
            <w:left w:val="none" w:sz="0" w:space="0" w:color="auto"/>
            <w:bottom w:val="dotted" w:sz="6" w:space="4" w:color="DDDDDD"/>
            <w:right w:val="none" w:sz="0" w:space="0" w:color="auto"/>
          </w:divBdr>
        </w:div>
      </w:divsChild>
    </w:div>
    <w:div w:id="391125368">
      <w:bodyDiv w:val="1"/>
      <w:marLeft w:val="0"/>
      <w:marRight w:val="0"/>
      <w:marTop w:val="0"/>
      <w:marBottom w:val="0"/>
      <w:divBdr>
        <w:top w:val="none" w:sz="0" w:space="0" w:color="auto"/>
        <w:left w:val="none" w:sz="0" w:space="0" w:color="auto"/>
        <w:bottom w:val="none" w:sz="0" w:space="0" w:color="auto"/>
        <w:right w:val="none" w:sz="0" w:space="0" w:color="auto"/>
      </w:divBdr>
      <w:divsChild>
        <w:div w:id="1453748865">
          <w:marLeft w:val="0"/>
          <w:marRight w:val="0"/>
          <w:marTop w:val="0"/>
          <w:marBottom w:val="450"/>
          <w:divBdr>
            <w:top w:val="none" w:sz="0" w:space="0" w:color="auto"/>
            <w:left w:val="none" w:sz="0" w:space="0" w:color="auto"/>
            <w:bottom w:val="single" w:sz="6" w:space="19" w:color="EEEEEE"/>
            <w:right w:val="none" w:sz="0" w:space="0" w:color="auto"/>
          </w:divBdr>
          <w:divsChild>
            <w:div w:id="1645043148">
              <w:marLeft w:val="0"/>
              <w:marRight w:val="0"/>
              <w:marTop w:val="0"/>
              <w:marBottom w:val="150"/>
              <w:divBdr>
                <w:top w:val="none" w:sz="0" w:space="0" w:color="auto"/>
                <w:left w:val="none" w:sz="0" w:space="0" w:color="auto"/>
                <w:bottom w:val="none" w:sz="0" w:space="0" w:color="auto"/>
                <w:right w:val="none" w:sz="0" w:space="0" w:color="auto"/>
              </w:divBdr>
              <w:divsChild>
                <w:div w:id="2101681657">
                  <w:marLeft w:val="0"/>
                  <w:marRight w:val="0"/>
                  <w:marTop w:val="0"/>
                  <w:marBottom w:val="0"/>
                  <w:divBdr>
                    <w:top w:val="none" w:sz="0" w:space="0" w:color="auto"/>
                    <w:left w:val="none" w:sz="0" w:space="0" w:color="auto"/>
                    <w:bottom w:val="none" w:sz="0" w:space="0" w:color="auto"/>
                    <w:right w:val="none" w:sz="0" w:space="0" w:color="auto"/>
                  </w:divBdr>
                </w:div>
              </w:divsChild>
            </w:div>
            <w:div w:id="1988895268">
              <w:marLeft w:val="0"/>
              <w:marRight w:val="0"/>
              <w:marTop w:val="0"/>
              <w:marBottom w:val="0"/>
              <w:divBdr>
                <w:top w:val="none" w:sz="0" w:space="0" w:color="auto"/>
                <w:left w:val="none" w:sz="0" w:space="0" w:color="auto"/>
                <w:bottom w:val="none" w:sz="0" w:space="0" w:color="auto"/>
                <w:right w:val="none" w:sz="0" w:space="0" w:color="auto"/>
              </w:divBdr>
            </w:div>
          </w:divsChild>
        </w:div>
        <w:div w:id="688145413">
          <w:marLeft w:val="0"/>
          <w:marRight w:val="0"/>
          <w:marTop w:val="0"/>
          <w:marBottom w:val="0"/>
          <w:divBdr>
            <w:top w:val="none" w:sz="0" w:space="0" w:color="auto"/>
            <w:left w:val="none" w:sz="0" w:space="0" w:color="auto"/>
            <w:bottom w:val="none" w:sz="0" w:space="0" w:color="auto"/>
            <w:right w:val="none" w:sz="0" w:space="0" w:color="auto"/>
          </w:divBdr>
          <w:divsChild>
            <w:div w:id="314341085">
              <w:marLeft w:val="0"/>
              <w:marRight w:val="0"/>
              <w:marTop w:val="0"/>
              <w:marBottom w:val="0"/>
              <w:divBdr>
                <w:top w:val="none" w:sz="0" w:space="0" w:color="auto"/>
                <w:left w:val="none" w:sz="0" w:space="0" w:color="auto"/>
                <w:bottom w:val="none" w:sz="0" w:space="0" w:color="auto"/>
                <w:right w:val="none" w:sz="0" w:space="0" w:color="auto"/>
              </w:divBdr>
              <w:divsChild>
                <w:div w:id="123385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465418">
      <w:bodyDiv w:val="1"/>
      <w:marLeft w:val="0"/>
      <w:marRight w:val="0"/>
      <w:marTop w:val="0"/>
      <w:marBottom w:val="0"/>
      <w:divBdr>
        <w:top w:val="none" w:sz="0" w:space="0" w:color="auto"/>
        <w:left w:val="none" w:sz="0" w:space="0" w:color="auto"/>
        <w:bottom w:val="none" w:sz="0" w:space="0" w:color="auto"/>
        <w:right w:val="none" w:sz="0" w:space="0" w:color="auto"/>
      </w:divBdr>
    </w:div>
    <w:div w:id="391736286">
      <w:bodyDiv w:val="1"/>
      <w:marLeft w:val="0"/>
      <w:marRight w:val="0"/>
      <w:marTop w:val="0"/>
      <w:marBottom w:val="0"/>
      <w:divBdr>
        <w:top w:val="none" w:sz="0" w:space="0" w:color="auto"/>
        <w:left w:val="none" w:sz="0" w:space="0" w:color="auto"/>
        <w:bottom w:val="none" w:sz="0" w:space="0" w:color="auto"/>
        <w:right w:val="none" w:sz="0" w:space="0" w:color="auto"/>
      </w:divBdr>
      <w:divsChild>
        <w:div w:id="899481937">
          <w:marLeft w:val="0"/>
          <w:marRight w:val="0"/>
          <w:marTop w:val="0"/>
          <w:marBottom w:val="150"/>
          <w:divBdr>
            <w:top w:val="none" w:sz="0" w:space="0" w:color="auto"/>
            <w:left w:val="none" w:sz="0" w:space="0" w:color="auto"/>
            <w:bottom w:val="none" w:sz="0" w:space="0" w:color="auto"/>
            <w:right w:val="none" w:sz="0" w:space="0" w:color="auto"/>
          </w:divBdr>
        </w:div>
        <w:div w:id="1734767889">
          <w:marLeft w:val="0"/>
          <w:marRight w:val="0"/>
          <w:marTop w:val="0"/>
          <w:marBottom w:val="150"/>
          <w:divBdr>
            <w:top w:val="none" w:sz="0" w:space="0" w:color="auto"/>
            <w:left w:val="none" w:sz="0" w:space="0" w:color="auto"/>
            <w:bottom w:val="none" w:sz="0" w:space="0" w:color="auto"/>
            <w:right w:val="none" w:sz="0" w:space="0" w:color="auto"/>
          </w:divBdr>
          <w:divsChild>
            <w:div w:id="70359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242761">
      <w:bodyDiv w:val="1"/>
      <w:marLeft w:val="0"/>
      <w:marRight w:val="0"/>
      <w:marTop w:val="0"/>
      <w:marBottom w:val="0"/>
      <w:divBdr>
        <w:top w:val="none" w:sz="0" w:space="0" w:color="auto"/>
        <w:left w:val="none" w:sz="0" w:space="0" w:color="auto"/>
        <w:bottom w:val="none" w:sz="0" w:space="0" w:color="auto"/>
        <w:right w:val="none" w:sz="0" w:space="0" w:color="auto"/>
      </w:divBdr>
      <w:divsChild>
        <w:div w:id="1399747072">
          <w:marLeft w:val="0"/>
          <w:marRight w:val="0"/>
          <w:marTop w:val="0"/>
          <w:marBottom w:val="0"/>
          <w:divBdr>
            <w:top w:val="none" w:sz="0" w:space="0" w:color="auto"/>
            <w:left w:val="none" w:sz="0" w:space="0" w:color="auto"/>
            <w:bottom w:val="none" w:sz="0" w:space="0" w:color="auto"/>
            <w:right w:val="none" w:sz="0" w:space="0" w:color="auto"/>
          </w:divBdr>
        </w:div>
      </w:divsChild>
    </w:div>
    <w:div w:id="392242996">
      <w:bodyDiv w:val="1"/>
      <w:marLeft w:val="0"/>
      <w:marRight w:val="0"/>
      <w:marTop w:val="0"/>
      <w:marBottom w:val="0"/>
      <w:divBdr>
        <w:top w:val="none" w:sz="0" w:space="0" w:color="auto"/>
        <w:left w:val="none" w:sz="0" w:space="0" w:color="auto"/>
        <w:bottom w:val="none" w:sz="0" w:space="0" w:color="auto"/>
        <w:right w:val="none" w:sz="0" w:space="0" w:color="auto"/>
      </w:divBdr>
      <w:divsChild>
        <w:div w:id="1891261594">
          <w:marLeft w:val="0"/>
          <w:marRight w:val="0"/>
          <w:marTop w:val="0"/>
          <w:marBottom w:val="0"/>
          <w:divBdr>
            <w:top w:val="none" w:sz="0" w:space="0" w:color="auto"/>
            <w:left w:val="none" w:sz="0" w:space="0" w:color="auto"/>
            <w:bottom w:val="none" w:sz="0" w:space="0" w:color="auto"/>
            <w:right w:val="none" w:sz="0" w:space="0" w:color="auto"/>
          </w:divBdr>
          <w:divsChild>
            <w:div w:id="12371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389197">
      <w:bodyDiv w:val="1"/>
      <w:marLeft w:val="0"/>
      <w:marRight w:val="0"/>
      <w:marTop w:val="0"/>
      <w:marBottom w:val="0"/>
      <w:divBdr>
        <w:top w:val="none" w:sz="0" w:space="0" w:color="auto"/>
        <w:left w:val="none" w:sz="0" w:space="0" w:color="auto"/>
        <w:bottom w:val="none" w:sz="0" w:space="0" w:color="auto"/>
        <w:right w:val="none" w:sz="0" w:space="0" w:color="auto"/>
      </w:divBdr>
      <w:divsChild>
        <w:div w:id="1617637743">
          <w:marLeft w:val="0"/>
          <w:marRight w:val="0"/>
          <w:marTop w:val="0"/>
          <w:marBottom w:val="0"/>
          <w:divBdr>
            <w:top w:val="none" w:sz="0" w:space="0" w:color="auto"/>
            <w:left w:val="none" w:sz="0" w:space="0" w:color="auto"/>
            <w:bottom w:val="none" w:sz="0" w:space="0" w:color="auto"/>
            <w:right w:val="none" w:sz="0" w:space="0" w:color="auto"/>
          </w:divBdr>
        </w:div>
      </w:divsChild>
    </w:div>
    <w:div w:id="392512248">
      <w:bodyDiv w:val="1"/>
      <w:marLeft w:val="0"/>
      <w:marRight w:val="0"/>
      <w:marTop w:val="0"/>
      <w:marBottom w:val="0"/>
      <w:divBdr>
        <w:top w:val="none" w:sz="0" w:space="0" w:color="auto"/>
        <w:left w:val="none" w:sz="0" w:space="0" w:color="auto"/>
        <w:bottom w:val="none" w:sz="0" w:space="0" w:color="auto"/>
        <w:right w:val="none" w:sz="0" w:space="0" w:color="auto"/>
      </w:divBdr>
      <w:divsChild>
        <w:div w:id="1410694680">
          <w:marLeft w:val="0"/>
          <w:marRight w:val="0"/>
          <w:marTop w:val="0"/>
          <w:marBottom w:val="0"/>
          <w:divBdr>
            <w:top w:val="none" w:sz="0" w:space="0" w:color="auto"/>
            <w:left w:val="none" w:sz="0" w:space="0" w:color="auto"/>
            <w:bottom w:val="none" w:sz="0" w:space="0" w:color="auto"/>
            <w:right w:val="none" w:sz="0" w:space="0" w:color="auto"/>
          </w:divBdr>
        </w:div>
      </w:divsChild>
    </w:div>
    <w:div w:id="392586757">
      <w:bodyDiv w:val="1"/>
      <w:marLeft w:val="0"/>
      <w:marRight w:val="0"/>
      <w:marTop w:val="0"/>
      <w:marBottom w:val="0"/>
      <w:divBdr>
        <w:top w:val="none" w:sz="0" w:space="0" w:color="auto"/>
        <w:left w:val="none" w:sz="0" w:space="0" w:color="auto"/>
        <w:bottom w:val="none" w:sz="0" w:space="0" w:color="auto"/>
        <w:right w:val="none" w:sz="0" w:space="0" w:color="auto"/>
      </w:divBdr>
      <w:divsChild>
        <w:div w:id="1382827931">
          <w:marLeft w:val="0"/>
          <w:marRight w:val="0"/>
          <w:marTop w:val="0"/>
          <w:marBottom w:val="0"/>
          <w:divBdr>
            <w:top w:val="none" w:sz="0" w:space="0" w:color="auto"/>
            <w:left w:val="none" w:sz="0" w:space="0" w:color="auto"/>
            <w:bottom w:val="dotted" w:sz="6" w:space="4" w:color="DDDDDD"/>
            <w:right w:val="none" w:sz="0" w:space="0" w:color="auto"/>
          </w:divBdr>
          <w:divsChild>
            <w:div w:id="189125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772875">
      <w:bodyDiv w:val="1"/>
      <w:marLeft w:val="0"/>
      <w:marRight w:val="0"/>
      <w:marTop w:val="0"/>
      <w:marBottom w:val="0"/>
      <w:divBdr>
        <w:top w:val="none" w:sz="0" w:space="0" w:color="auto"/>
        <w:left w:val="none" w:sz="0" w:space="0" w:color="auto"/>
        <w:bottom w:val="none" w:sz="0" w:space="0" w:color="auto"/>
        <w:right w:val="none" w:sz="0" w:space="0" w:color="auto"/>
      </w:divBdr>
      <w:divsChild>
        <w:div w:id="1457914090">
          <w:marLeft w:val="0"/>
          <w:marRight w:val="0"/>
          <w:marTop w:val="0"/>
          <w:marBottom w:val="0"/>
          <w:divBdr>
            <w:top w:val="none" w:sz="0" w:space="0" w:color="auto"/>
            <w:left w:val="none" w:sz="0" w:space="0" w:color="auto"/>
            <w:bottom w:val="none" w:sz="0" w:space="0" w:color="auto"/>
            <w:right w:val="none" w:sz="0" w:space="0" w:color="auto"/>
          </w:divBdr>
          <w:divsChild>
            <w:div w:id="896088230">
              <w:marLeft w:val="0"/>
              <w:marRight w:val="0"/>
              <w:marTop w:val="0"/>
              <w:marBottom w:val="0"/>
              <w:divBdr>
                <w:top w:val="none" w:sz="0" w:space="0" w:color="auto"/>
                <w:left w:val="none" w:sz="0" w:space="0" w:color="auto"/>
                <w:bottom w:val="none" w:sz="0" w:space="0" w:color="auto"/>
                <w:right w:val="none" w:sz="0" w:space="0" w:color="auto"/>
              </w:divBdr>
              <w:divsChild>
                <w:div w:id="210313893">
                  <w:marLeft w:val="0"/>
                  <w:marRight w:val="0"/>
                  <w:marTop w:val="0"/>
                  <w:marBottom w:val="0"/>
                  <w:divBdr>
                    <w:top w:val="none" w:sz="0" w:space="0" w:color="auto"/>
                    <w:left w:val="none" w:sz="0" w:space="0" w:color="auto"/>
                    <w:bottom w:val="none" w:sz="0" w:space="0" w:color="auto"/>
                    <w:right w:val="none" w:sz="0" w:space="0" w:color="auto"/>
                  </w:divBdr>
                  <w:divsChild>
                    <w:div w:id="1694568679">
                      <w:marLeft w:val="0"/>
                      <w:marRight w:val="0"/>
                      <w:marTop w:val="0"/>
                      <w:marBottom w:val="0"/>
                      <w:divBdr>
                        <w:top w:val="none" w:sz="0" w:space="0" w:color="auto"/>
                        <w:left w:val="none" w:sz="0" w:space="0" w:color="auto"/>
                        <w:bottom w:val="none" w:sz="0" w:space="0" w:color="auto"/>
                        <w:right w:val="none" w:sz="0" w:space="0" w:color="auto"/>
                      </w:divBdr>
                      <w:divsChild>
                        <w:div w:id="1822578923">
                          <w:marLeft w:val="0"/>
                          <w:marRight w:val="0"/>
                          <w:marTop w:val="0"/>
                          <w:marBottom w:val="0"/>
                          <w:divBdr>
                            <w:top w:val="none" w:sz="0" w:space="0" w:color="auto"/>
                            <w:left w:val="none" w:sz="0" w:space="0" w:color="auto"/>
                            <w:bottom w:val="none" w:sz="0" w:space="0" w:color="auto"/>
                            <w:right w:val="none" w:sz="0" w:space="0" w:color="auto"/>
                          </w:divBdr>
                          <w:divsChild>
                            <w:div w:id="1418789614">
                              <w:marLeft w:val="0"/>
                              <w:marRight w:val="0"/>
                              <w:marTop w:val="0"/>
                              <w:marBottom w:val="0"/>
                              <w:divBdr>
                                <w:top w:val="none" w:sz="0" w:space="0" w:color="auto"/>
                                <w:left w:val="none" w:sz="0" w:space="0" w:color="auto"/>
                                <w:bottom w:val="none" w:sz="0" w:space="0" w:color="auto"/>
                                <w:right w:val="none" w:sz="0" w:space="0" w:color="auto"/>
                              </w:divBdr>
                              <w:divsChild>
                                <w:div w:id="1887527418">
                                  <w:marLeft w:val="0"/>
                                  <w:marRight w:val="0"/>
                                  <w:marTop w:val="0"/>
                                  <w:marBottom w:val="0"/>
                                  <w:divBdr>
                                    <w:top w:val="none" w:sz="0" w:space="0" w:color="auto"/>
                                    <w:left w:val="none" w:sz="0" w:space="0" w:color="auto"/>
                                    <w:bottom w:val="none" w:sz="0" w:space="0" w:color="auto"/>
                                    <w:right w:val="none" w:sz="0" w:space="0" w:color="auto"/>
                                  </w:divBdr>
                                  <w:divsChild>
                                    <w:div w:id="136047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777914">
      <w:bodyDiv w:val="1"/>
      <w:marLeft w:val="0"/>
      <w:marRight w:val="0"/>
      <w:marTop w:val="0"/>
      <w:marBottom w:val="0"/>
      <w:divBdr>
        <w:top w:val="none" w:sz="0" w:space="0" w:color="auto"/>
        <w:left w:val="none" w:sz="0" w:space="0" w:color="auto"/>
        <w:bottom w:val="none" w:sz="0" w:space="0" w:color="auto"/>
        <w:right w:val="none" w:sz="0" w:space="0" w:color="auto"/>
      </w:divBdr>
      <w:divsChild>
        <w:div w:id="1341203015">
          <w:marLeft w:val="0"/>
          <w:marRight w:val="0"/>
          <w:marTop w:val="0"/>
          <w:marBottom w:val="0"/>
          <w:divBdr>
            <w:top w:val="none" w:sz="0" w:space="0" w:color="auto"/>
            <w:left w:val="none" w:sz="0" w:space="0" w:color="auto"/>
            <w:bottom w:val="none" w:sz="0" w:space="0" w:color="auto"/>
            <w:right w:val="none" w:sz="0" w:space="0" w:color="auto"/>
          </w:divBdr>
          <w:divsChild>
            <w:div w:id="15993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51241">
      <w:bodyDiv w:val="1"/>
      <w:marLeft w:val="0"/>
      <w:marRight w:val="0"/>
      <w:marTop w:val="0"/>
      <w:marBottom w:val="0"/>
      <w:divBdr>
        <w:top w:val="none" w:sz="0" w:space="0" w:color="auto"/>
        <w:left w:val="none" w:sz="0" w:space="0" w:color="auto"/>
        <w:bottom w:val="none" w:sz="0" w:space="0" w:color="auto"/>
        <w:right w:val="none" w:sz="0" w:space="0" w:color="auto"/>
      </w:divBdr>
      <w:divsChild>
        <w:div w:id="1550335641">
          <w:marLeft w:val="0"/>
          <w:marRight w:val="0"/>
          <w:marTop w:val="0"/>
          <w:marBottom w:val="0"/>
          <w:divBdr>
            <w:top w:val="none" w:sz="0" w:space="0" w:color="auto"/>
            <w:left w:val="none" w:sz="0" w:space="0" w:color="auto"/>
            <w:bottom w:val="dotted" w:sz="6" w:space="4" w:color="DDDDDD"/>
            <w:right w:val="none" w:sz="0" w:space="0" w:color="auto"/>
          </w:divBdr>
        </w:div>
      </w:divsChild>
    </w:div>
    <w:div w:id="392968756">
      <w:bodyDiv w:val="1"/>
      <w:marLeft w:val="0"/>
      <w:marRight w:val="0"/>
      <w:marTop w:val="0"/>
      <w:marBottom w:val="0"/>
      <w:divBdr>
        <w:top w:val="none" w:sz="0" w:space="0" w:color="auto"/>
        <w:left w:val="none" w:sz="0" w:space="0" w:color="auto"/>
        <w:bottom w:val="none" w:sz="0" w:space="0" w:color="auto"/>
        <w:right w:val="none" w:sz="0" w:space="0" w:color="auto"/>
      </w:divBdr>
    </w:div>
    <w:div w:id="394133999">
      <w:bodyDiv w:val="1"/>
      <w:marLeft w:val="0"/>
      <w:marRight w:val="0"/>
      <w:marTop w:val="0"/>
      <w:marBottom w:val="0"/>
      <w:divBdr>
        <w:top w:val="none" w:sz="0" w:space="0" w:color="auto"/>
        <w:left w:val="none" w:sz="0" w:space="0" w:color="auto"/>
        <w:bottom w:val="none" w:sz="0" w:space="0" w:color="auto"/>
        <w:right w:val="none" w:sz="0" w:space="0" w:color="auto"/>
      </w:divBdr>
      <w:divsChild>
        <w:div w:id="1021125542">
          <w:marLeft w:val="0"/>
          <w:marRight w:val="0"/>
          <w:marTop w:val="0"/>
          <w:marBottom w:val="0"/>
          <w:divBdr>
            <w:top w:val="none" w:sz="0" w:space="0" w:color="auto"/>
            <w:left w:val="none" w:sz="0" w:space="0" w:color="auto"/>
            <w:bottom w:val="dotted" w:sz="6" w:space="4" w:color="DDDDDD"/>
            <w:right w:val="none" w:sz="0" w:space="0" w:color="auto"/>
          </w:divBdr>
          <w:divsChild>
            <w:div w:id="26018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398801">
      <w:bodyDiv w:val="1"/>
      <w:marLeft w:val="0"/>
      <w:marRight w:val="0"/>
      <w:marTop w:val="0"/>
      <w:marBottom w:val="0"/>
      <w:divBdr>
        <w:top w:val="none" w:sz="0" w:space="0" w:color="auto"/>
        <w:left w:val="none" w:sz="0" w:space="0" w:color="auto"/>
        <w:bottom w:val="none" w:sz="0" w:space="0" w:color="auto"/>
        <w:right w:val="none" w:sz="0" w:space="0" w:color="auto"/>
      </w:divBdr>
      <w:divsChild>
        <w:div w:id="1542279474">
          <w:marLeft w:val="0"/>
          <w:marRight w:val="0"/>
          <w:marTop w:val="0"/>
          <w:marBottom w:val="0"/>
          <w:divBdr>
            <w:top w:val="none" w:sz="0" w:space="0" w:color="auto"/>
            <w:left w:val="none" w:sz="0" w:space="0" w:color="auto"/>
            <w:bottom w:val="dotted" w:sz="6" w:space="4" w:color="DDDDDD"/>
            <w:right w:val="none" w:sz="0" w:space="0" w:color="auto"/>
          </w:divBdr>
        </w:div>
      </w:divsChild>
    </w:div>
    <w:div w:id="394663847">
      <w:bodyDiv w:val="1"/>
      <w:marLeft w:val="0"/>
      <w:marRight w:val="0"/>
      <w:marTop w:val="0"/>
      <w:marBottom w:val="0"/>
      <w:divBdr>
        <w:top w:val="none" w:sz="0" w:space="0" w:color="auto"/>
        <w:left w:val="none" w:sz="0" w:space="0" w:color="auto"/>
        <w:bottom w:val="none" w:sz="0" w:space="0" w:color="auto"/>
        <w:right w:val="none" w:sz="0" w:space="0" w:color="auto"/>
      </w:divBdr>
    </w:div>
    <w:div w:id="394935363">
      <w:bodyDiv w:val="1"/>
      <w:marLeft w:val="0"/>
      <w:marRight w:val="0"/>
      <w:marTop w:val="0"/>
      <w:marBottom w:val="0"/>
      <w:divBdr>
        <w:top w:val="none" w:sz="0" w:space="0" w:color="auto"/>
        <w:left w:val="none" w:sz="0" w:space="0" w:color="auto"/>
        <w:bottom w:val="none" w:sz="0" w:space="0" w:color="auto"/>
        <w:right w:val="none" w:sz="0" w:space="0" w:color="auto"/>
      </w:divBdr>
    </w:div>
    <w:div w:id="395010541">
      <w:bodyDiv w:val="1"/>
      <w:marLeft w:val="0"/>
      <w:marRight w:val="0"/>
      <w:marTop w:val="0"/>
      <w:marBottom w:val="0"/>
      <w:divBdr>
        <w:top w:val="none" w:sz="0" w:space="0" w:color="auto"/>
        <w:left w:val="none" w:sz="0" w:space="0" w:color="auto"/>
        <w:bottom w:val="none" w:sz="0" w:space="0" w:color="auto"/>
        <w:right w:val="none" w:sz="0" w:space="0" w:color="auto"/>
      </w:divBdr>
      <w:divsChild>
        <w:div w:id="40638399">
          <w:marLeft w:val="0"/>
          <w:marRight w:val="0"/>
          <w:marTop w:val="0"/>
          <w:marBottom w:val="150"/>
          <w:divBdr>
            <w:top w:val="none" w:sz="0" w:space="0" w:color="auto"/>
            <w:left w:val="none" w:sz="0" w:space="0" w:color="auto"/>
            <w:bottom w:val="none" w:sz="0" w:space="0" w:color="auto"/>
            <w:right w:val="none" w:sz="0" w:space="0" w:color="auto"/>
          </w:divBdr>
        </w:div>
      </w:divsChild>
    </w:div>
    <w:div w:id="395130374">
      <w:bodyDiv w:val="1"/>
      <w:marLeft w:val="0"/>
      <w:marRight w:val="0"/>
      <w:marTop w:val="0"/>
      <w:marBottom w:val="0"/>
      <w:divBdr>
        <w:top w:val="none" w:sz="0" w:space="0" w:color="auto"/>
        <w:left w:val="none" w:sz="0" w:space="0" w:color="auto"/>
        <w:bottom w:val="none" w:sz="0" w:space="0" w:color="auto"/>
        <w:right w:val="none" w:sz="0" w:space="0" w:color="auto"/>
      </w:divBdr>
      <w:divsChild>
        <w:div w:id="704600374">
          <w:marLeft w:val="0"/>
          <w:marRight w:val="0"/>
          <w:marTop w:val="0"/>
          <w:marBottom w:val="0"/>
          <w:divBdr>
            <w:top w:val="none" w:sz="0" w:space="0" w:color="auto"/>
            <w:left w:val="none" w:sz="0" w:space="0" w:color="auto"/>
            <w:bottom w:val="dotted" w:sz="6" w:space="4" w:color="DDDDDD"/>
            <w:right w:val="none" w:sz="0" w:space="0" w:color="auto"/>
          </w:divBdr>
        </w:div>
      </w:divsChild>
    </w:div>
    <w:div w:id="395204446">
      <w:bodyDiv w:val="1"/>
      <w:marLeft w:val="0"/>
      <w:marRight w:val="0"/>
      <w:marTop w:val="0"/>
      <w:marBottom w:val="0"/>
      <w:divBdr>
        <w:top w:val="none" w:sz="0" w:space="0" w:color="auto"/>
        <w:left w:val="none" w:sz="0" w:space="0" w:color="auto"/>
        <w:bottom w:val="none" w:sz="0" w:space="0" w:color="auto"/>
        <w:right w:val="none" w:sz="0" w:space="0" w:color="auto"/>
      </w:divBdr>
      <w:divsChild>
        <w:div w:id="959383850">
          <w:marLeft w:val="0"/>
          <w:marRight w:val="0"/>
          <w:marTop w:val="0"/>
          <w:marBottom w:val="0"/>
          <w:divBdr>
            <w:top w:val="none" w:sz="0" w:space="0" w:color="auto"/>
            <w:left w:val="none" w:sz="0" w:space="0" w:color="auto"/>
            <w:bottom w:val="none" w:sz="0" w:space="0" w:color="auto"/>
            <w:right w:val="none" w:sz="0" w:space="0" w:color="auto"/>
          </w:divBdr>
          <w:divsChild>
            <w:div w:id="380713671">
              <w:marLeft w:val="0"/>
              <w:marRight w:val="0"/>
              <w:marTop w:val="0"/>
              <w:marBottom w:val="150"/>
              <w:divBdr>
                <w:top w:val="none" w:sz="0" w:space="0" w:color="auto"/>
                <w:left w:val="none" w:sz="0" w:space="0" w:color="auto"/>
                <w:bottom w:val="none" w:sz="0" w:space="0" w:color="auto"/>
                <w:right w:val="none" w:sz="0" w:space="0" w:color="auto"/>
              </w:divBdr>
            </w:div>
            <w:div w:id="974916744">
              <w:marLeft w:val="0"/>
              <w:marRight w:val="0"/>
              <w:marTop w:val="0"/>
              <w:marBottom w:val="0"/>
              <w:divBdr>
                <w:top w:val="none" w:sz="0" w:space="0" w:color="auto"/>
                <w:left w:val="none" w:sz="0" w:space="0" w:color="auto"/>
                <w:bottom w:val="none" w:sz="0" w:space="0" w:color="auto"/>
                <w:right w:val="none" w:sz="0" w:space="0" w:color="auto"/>
              </w:divBdr>
            </w:div>
          </w:divsChild>
        </w:div>
        <w:div w:id="1372414693">
          <w:marLeft w:val="0"/>
          <w:marRight w:val="0"/>
          <w:marTop w:val="0"/>
          <w:marBottom w:val="150"/>
          <w:divBdr>
            <w:top w:val="none" w:sz="0" w:space="0" w:color="auto"/>
            <w:left w:val="none" w:sz="0" w:space="0" w:color="auto"/>
            <w:bottom w:val="none" w:sz="0" w:space="0" w:color="auto"/>
            <w:right w:val="none" w:sz="0" w:space="0" w:color="auto"/>
          </w:divBdr>
          <w:divsChild>
            <w:div w:id="134389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6194">
      <w:bodyDiv w:val="1"/>
      <w:marLeft w:val="0"/>
      <w:marRight w:val="0"/>
      <w:marTop w:val="0"/>
      <w:marBottom w:val="0"/>
      <w:divBdr>
        <w:top w:val="none" w:sz="0" w:space="0" w:color="auto"/>
        <w:left w:val="none" w:sz="0" w:space="0" w:color="auto"/>
        <w:bottom w:val="none" w:sz="0" w:space="0" w:color="auto"/>
        <w:right w:val="none" w:sz="0" w:space="0" w:color="auto"/>
      </w:divBdr>
    </w:div>
    <w:div w:id="395666056">
      <w:bodyDiv w:val="1"/>
      <w:marLeft w:val="0"/>
      <w:marRight w:val="0"/>
      <w:marTop w:val="0"/>
      <w:marBottom w:val="0"/>
      <w:divBdr>
        <w:top w:val="none" w:sz="0" w:space="0" w:color="auto"/>
        <w:left w:val="none" w:sz="0" w:space="0" w:color="auto"/>
        <w:bottom w:val="none" w:sz="0" w:space="0" w:color="auto"/>
        <w:right w:val="none" w:sz="0" w:space="0" w:color="auto"/>
      </w:divBdr>
      <w:divsChild>
        <w:div w:id="917985153">
          <w:marLeft w:val="0"/>
          <w:marRight w:val="0"/>
          <w:marTop w:val="0"/>
          <w:marBottom w:val="225"/>
          <w:divBdr>
            <w:top w:val="none" w:sz="0" w:space="0" w:color="auto"/>
            <w:left w:val="none" w:sz="0" w:space="0" w:color="auto"/>
            <w:bottom w:val="none" w:sz="0" w:space="0" w:color="auto"/>
            <w:right w:val="none" w:sz="0" w:space="0" w:color="auto"/>
          </w:divBdr>
        </w:div>
      </w:divsChild>
    </w:div>
    <w:div w:id="395671261">
      <w:bodyDiv w:val="1"/>
      <w:marLeft w:val="0"/>
      <w:marRight w:val="0"/>
      <w:marTop w:val="0"/>
      <w:marBottom w:val="0"/>
      <w:divBdr>
        <w:top w:val="none" w:sz="0" w:space="0" w:color="auto"/>
        <w:left w:val="none" w:sz="0" w:space="0" w:color="auto"/>
        <w:bottom w:val="none" w:sz="0" w:space="0" w:color="auto"/>
        <w:right w:val="none" w:sz="0" w:space="0" w:color="auto"/>
      </w:divBdr>
      <w:divsChild>
        <w:div w:id="392394931">
          <w:marLeft w:val="0"/>
          <w:marRight w:val="0"/>
          <w:marTop w:val="0"/>
          <w:marBottom w:val="0"/>
          <w:divBdr>
            <w:top w:val="none" w:sz="0" w:space="0" w:color="auto"/>
            <w:left w:val="none" w:sz="0" w:space="0" w:color="auto"/>
            <w:bottom w:val="none" w:sz="0" w:space="0" w:color="auto"/>
            <w:right w:val="none" w:sz="0" w:space="0" w:color="auto"/>
          </w:divBdr>
          <w:divsChild>
            <w:div w:id="4971132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6519593">
      <w:bodyDiv w:val="1"/>
      <w:marLeft w:val="0"/>
      <w:marRight w:val="0"/>
      <w:marTop w:val="0"/>
      <w:marBottom w:val="0"/>
      <w:divBdr>
        <w:top w:val="none" w:sz="0" w:space="0" w:color="auto"/>
        <w:left w:val="none" w:sz="0" w:space="0" w:color="auto"/>
        <w:bottom w:val="none" w:sz="0" w:space="0" w:color="auto"/>
        <w:right w:val="none" w:sz="0" w:space="0" w:color="auto"/>
      </w:divBdr>
      <w:divsChild>
        <w:div w:id="539435238">
          <w:marLeft w:val="0"/>
          <w:marRight w:val="0"/>
          <w:marTop w:val="0"/>
          <w:marBottom w:val="0"/>
          <w:divBdr>
            <w:top w:val="none" w:sz="0" w:space="0" w:color="auto"/>
            <w:left w:val="none" w:sz="0" w:space="0" w:color="auto"/>
            <w:bottom w:val="dotted" w:sz="6" w:space="4" w:color="DDDDDD"/>
            <w:right w:val="none" w:sz="0" w:space="0" w:color="auto"/>
          </w:divBdr>
          <w:divsChild>
            <w:div w:id="60295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972314">
      <w:bodyDiv w:val="1"/>
      <w:marLeft w:val="0"/>
      <w:marRight w:val="0"/>
      <w:marTop w:val="0"/>
      <w:marBottom w:val="0"/>
      <w:divBdr>
        <w:top w:val="none" w:sz="0" w:space="0" w:color="auto"/>
        <w:left w:val="none" w:sz="0" w:space="0" w:color="auto"/>
        <w:bottom w:val="none" w:sz="0" w:space="0" w:color="auto"/>
        <w:right w:val="none" w:sz="0" w:space="0" w:color="auto"/>
      </w:divBdr>
      <w:divsChild>
        <w:div w:id="655258493">
          <w:marLeft w:val="0"/>
          <w:marRight w:val="0"/>
          <w:marTop w:val="0"/>
          <w:marBottom w:val="0"/>
          <w:divBdr>
            <w:top w:val="none" w:sz="0" w:space="0" w:color="auto"/>
            <w:left w:val="none" w:sz="0" w:space="0" w:color="auto"/>
            <w:bottom w:val="none" w:sz="0" w:space="0" w:color="auto"/>
            <w:right w:val="none" w:sz="0" w:space="0" w:color="auto"/>
          </w:divBdr>
          <w:divsChild>
            <w:div w:id="746922748">
              <w:marLeft w:val="0"/>
              <w:marRight w:val="0"/>
              <w:marTop w:val="0"/>
              <w:marBottom w:val="0"/>
              <w:divBdr>
                <w:top w:val="none" w:sz="0" w:space="0" w:color="auto"/>
                <w:left w:val="none" w:sz="0" w:space="0" w:color="auto"/>
                <w:bottom w:val="none" w:sz="0" w:space="0" w:color="auto"/>
                <w:right w:val="none" w:sz="0" w:space="0" w:color="auto"/>
              </w:divBdr>
            </w:div>
          </w:divsChild>
        </w:div>
        <w:div w:id="1068382236">
          <w:marLeft w:val="0"/>
          <w:marRight w:val="0"/>
          <w:marTop w:val="240"/>
          <w:marBottom w:val="0"/>
          <w:divBdr>
            <w:top w:val="none" w:sz="0" w:space="0" w:color="auto"/>
            <w:left w:val="none" w:sz="0" w:space="0" w:color="auto"/>
            <w:bottom w:val="none" w:sz="0" w:space="0" w:color="auto"/>
            <w:right w:val="none" w:sz="0" w:space="0" w:color="auto"/>
          </w:divBdr>
        </w:div>
      </w:divsChild>
    </w:div>
    <w:div w:id="396973591">
      <w:bodyDiv w:val="1"/>
      <w:marLeft w:val="0"/>
      <w:marRight w:val="0"/>
      <w:marTop w:val="0"/>
      <w:marBottom w:val="0"/>
      <w:divBdr>
        <w:top w:val="none" w:sz="0" w:space="0" w:color="auto"/>
        <w:left w:val="none" w:sz="0" w:space="0" w:color="auto"/>
        <w:bottom w:val="none" w:sz="0" w:space="0" w:color="auto"/>
        <w:right w:val="none" w:sz="0" w:space="0" w:color="auto"/>
      </w:divBdr>
      <w:divsChild>
        <w:div w:id="290325698">
          <w:marLeft w:val="0"/>
          <w:marRight w:val="0"/>
          <w:marTop w:val="0"/>
          <w:marBottom w:val="0"/>
          <w:divBdr>
            <w:top w:val="none" w:sz="0" w:space="0" w:color="auto"/>
            <w:left w:val="none" w:sz="0" w:space="0" w:color="auto"/>
            <w:bottom w:val="none" w:sz="0" w:space="0" w:color="auto"/>
            <w:right w:val="none" w:sz="0" w:space="0" w:color="auto"/>
          </w:divBdr>
          <w:divsChild>
            <w:div w:id="14338945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7091494">
      <w:bodyDiv w:val="1"/>
      <w:marLeft w:val="0"/>
      <w:marRight w:val="0"/>
      <w:marTop w:val="0"/>
      <w:marBottom w:val="0"/>
      <w:divBdr>
        <w:top w:val="none" w:sz="0" w:space="0" w:color="auto"/>
        <w:left w:val="none" w:sz="0" w:space="0" w:color="auto"/>
        <w:bottom w:val="none" w:sz="0" w:space="0" w:color="auto"/>
        <w:right w:val="none" w:sz="0" w:space="0" w:color="auto"/>
      </w:divBdr>
      <w:divsChild>
        <w:div w:id="1006245543">
          <w:marLeft w:val="0"/>
          <w:marRight w:val="0"/>
          <w:marTop w:val="0"/>
          <w:marBottom w:val="150"/>
          <w:divBdr>
            <w:top w:val="none" w:sz="0" w:space="0" w:color="auto"/>
            <w:left w:val="none" w:sz="0" w:space="0" w:color="auto"/>
            <w:bottom w:val="none" w:sz="0" w:space="0" w:color="auto"/>
            <w:right w:val="none" w:sz="0" w:space="0" w:color="auto"/>
          </w:divBdr>
        </w:div>
      </w:divsChild>
    </w:div>
    <w:div w:id="397168459">
      <w:bodyDiv w:val="1"/>
      <w:marLeft w:val="0"/>
      <w:marRight w:val="0"/>
      <w:marTop w:val="0"/>
      <w:marBottom w:val="0"/>
      <w:divBdr>
        <w:top w:val="none" w:sz="0" w:space="0" w:color="auto"/>
        <w:left w:val="none" w:sz="0" w:space="0" w:color="auto"/>
        <w:bottom w:val="none" w:sz="0" w:space="0" w:color="auto"/>
        <w:right w:val="none" w:sz="0" w:space="0" w:color="auto"/>
      </w:divBdr>
      <w:divsChild>
        <w:div w:id="1942493827">
          <w:marLeft w:val="0"/>
          <w:marRight w:val="0"/>
          <w:marTop w:val="0"/>
          <w:marBottom w:val="0"/>
          <w:divBdr>
            <w:top w:val="none" w:sz="0" w:space="0" w:color="auto"/>
            <w:left w:val="none" w:sz="0" w:space="0" w:color="auto"/>
            <w:bottom w:val="none" w:sz="0" w:space="0" w:color="auto"/>
            <w:right w:val="none" w:sz="0" w:space="0" w:color="auto"/>
          </w:divBdr>
        </w:div>
      </w:divsChild>
    </w:div>
    <w:div w:id="397365099">
      <w:bodyDiv w:val="1"/>
      <w:marLeft w:val="0"/>
      <w:marRight w:val="0"/>
      <w:marTop w:val="0"/>
      <w:marBottom w:val="0"/>
      <w:divBdr>
        <w:top w:val="none" w:sz="0" w:space="0" w:color="auto"/>
        <w:left w:val="none" w:sz="0" w:space="0" w:color="auto"/>
        <w:bottom w:val="none" w:sz="0" w:space="0" w:color="auto"/>
        <w:right w:val="none" w:sz="0" w:space="0" w:color="auto"/>
      </w:divBdr>
      <w:divsChild>
        <w:div w:id="599993758">
          <w:marLeft w:val="0"/>
          <w:marRight w:val="0"/>
          <w:marTop w:val="0"/>
          <w:marBottom w:val="0"/>
          <w:divBdr>
            <w:top w:val="none" w:sz="0" w:space="0" w:color="auto"/>
            <w:left w:val="none" w:sz="0" w:space="0" w:color="auto"/>
            <w:bottom w:val="none" w:sz="0" w:space="0" w:color="auto"/>
            <w:right w:val="none" w:sz="0" w:space="0" w:color="auto"/>
          </w:divBdr>
          <w:divsChild>
            <w:div w:id="328409441">
              <w:marLeft w:val="0"/>
              <w:marRight w:val="0"/>
              <w:marTop w:val="0"/>
              <w:marBottom w:val="0"/>
              <w:divBdr>
                <w:top w:val="none" w:sz="0" w:space="0" w:color="auto"/>
                <w:left w:val="none" w:sz="0" w:space="0" w:color="auto"/>
                <w:bottom w:val="none" w:sz="0" w:space="0" w:color="auto"/>
                <w:right w:val="none" w:sz="0" w:space="0" w:color="auto"/>
              </w:divBdr>
              <w:divsChild>
                <w:div w:id="1340887500">
                  <w:marLeft w:val="0"/>
                  <w:marRight w:val="0"/>
                  <w:marTop w:val="0"/>
                  <w:marBottom w:val="0"/>
                  <w:divBdr>
                    <w:top w:val="none" w:sz="0" w:space="0" w:color="auto"/>
                    <w:left w:val="none" w:sz="0" w:space="0" w:color="auto"/>
                    <w:bottom w:val="none" w:sz="0" w:space="0" w:color="auto"/>
                    <w:right w:val="none" w:sz="0" w:space="0" w:color="auto"/>
                  </w:divBdr>
                  <w:divsChild>
                    <w:div w:id="366369330">
                      <w:marLeft w:val="0"/>
                      <w:marRight w:val="0"/>
                      <w:marTop w:val="0"/>
                      <w:marBottom w:val="0"/>
                      <w:divBdr>
                        <w:top w:val="none" w:sz="0" w:space="0" w:color="auto"/>
                        <w:left w:val="none" w:sz="0" w:space="0" w:color="auto"/>
                        <w:bottom w:val="none" w:sz="0" w:space="0" w:color="auto"/>
                        <w:right w:val="none" w:sz="0" w:space="0" w:color="auto"/>
                      </w:divBdr>
                      <w:divsChild>
                        <w:div w:id="1961498486">
                          <w:marLeft w:val="0"/>
                          <w:marRight w:val="0"/>
                          <w:marTop w:val="0"/>
                          <w:marBottom w:val="0"/>
                          <w:divBdr>
                            <w:top w:val="none" w:sz="0" w:space="0" w:color="auto"/>
                            <w:left w:val="none" w:sz="0" w:space="0" w:color="auto"/>
                            <w:bottom w:val="none" w:sz="0" w:space="0" w:color="auto"/>
                            <w:right w:val="none" w:sz="0" w:space="0" w:color="auto"/>
                          </w:divBdr>
                          <w:divsChild>
                            <w:div w:id="1267612629">
                              <w:marLeft w:val="0"/>
                              <w:marRight w:val="0"/>
                              <w:marTop w:val="0"/>
                              <w:marBottom w:val="0"/>
                              <w:divBdr>
                                <w:top w:val="none" w:sz="0" w:space="0" w:color="auto"/>
                                <w:left w:val="none" w:sz="0" w:space="0" w:color="auto"/>
                                <w:bottom w:val="none" w:sz="0" w:space="0" w:color="auto"/>
                                <w:right w:val="none" w:sz="0" w:space="0" w:color="auto"/>
                              </w:divBdr>
                              <w:divsChild>
                                <w:div w:id="755517574">
                                  <w:marLeft w:val="0"/>
                                  <w:marRight w:val="0"/>
                                  <w:marTop w:val="0"/>
                                  <w:marBottom w:val="0"/>
                                  <w:divBdr>
                                    <w:top w:val="none" w:sz="0" w:space="0" w:color="auto"/>
                                    <w:left w:val="none" w:sz="0" w:space="0" w:color="auto"/>
                                    <w:bottom w:val="none" w:sz="0" w:space="0" w:color="auto"/>
                                    <w:right w:val="none" w:sz="0" w:space="0" w:color="auto"/>
                                  </w:divBdr>
                                  <w:divsChild>
                                    <w:div w:id="941688150">
                                      <w:marLeft w:val="0"/>
                                      <w:marRight w:val="0"/>
                                      <w:marTop w:val="0"/>
                                      <w:marBottom w:val="0"/>
                                      <w:divBdr>
                                        <w:top w:val="none" w:sz="0" w:space="0" w:color="auto"/>
                                        <w:left w:val="none" w:sz="0" w:space="0" w:color="auto"/>
                                        <w:bottom w:val="none" w:sz="0" w:space="0" w:color="auto"/>
                                        <w:right w:val="none" w:sz="0" w:space="0" w:color="auto"/>
                                      </w:divBdr>
                                      <w:divsChild>
                                        <w:div w:id="104421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7559722">
      <w:bodyDiv w:val="1"/>
      <w:marLeft w:val="0"/>
      <w:marRight w:val="0"/>
      <w:marTop w:val="0"/>
      <w:marBottom w:val="0"/>
      <w:divBdr>
        <w:top w:val="none" w:sz="0" w:space="0" w:color="auto"/>
        <w:left w:val="none" w:sz="0" w:space="0" w:color="auto"/>
        <w:bottom w:val="none" w:sz="0" w:space="0" w:color="auto"/>
        <w:right w:val="none" w:sz="0" w:space="0" w:color="auto"/>
      </w:divBdr>
      <w:divsChild>
        <w:div w:id="235210025">
          <w:marLeft w:val="0"/>
          <w:marRight w:val="0"/>
          <w:marTop w:val="0"/>
          <w:marBottom w:val="150"/>
          <w:divBdr>
            <w:top w:val="none" w:sz="0" w:space="0" w:color="auto"/>
            <w:left w:val="none" w:sz="0" w:space="0" w:color="auto"/>
            <w:bottom w:val="none" w:sz="0" w:space="0" w:color="auto"/>
            <w:right w:val="none" w:sz="0" w:space="0" w:color="auto"/>
          </w:divBdr>
        </w:div>
        <w:div w:id="684789931">
          <w:marLeft w:val="0"/>
          <w:marRight w:val="0"/>
          <w:marTop w:val="0"/>
          <w:marBottom w:val="150"/>
          <w:divBdr>
            <w:top w:val="none" w:sz="0" w:space="0" w:color="auto"/>
            <w:left w:val="none" w:sz="0" w:space="0" w:color="auto"/>
            <w:bottom w:val="none" w:sz="0" w:space="0" w:color="auto"/>
            <w:right w:val="none" w:sz="0" w:space="0" w:color="auto"/>
          </w:divBdr>
          <w:divsChild>
            <w:div w:id="376786200">
              <w:marLeft w:val="0"/>
              <w:marRight w:val="0"/>
              <w:marTop w:val="0"/>
              <w:marBottom w:val="0"/>
              <w:divBdr>
                <w:top w:val="none" w:sz="0" w:space="0" w:color="auto"/>
                <w:left w:val="none" w:sz="0" w:space="0" w:color="auto"/>
                <w:bottom w:val="none" w:sz="0" w:space="0" w:color="auto"/>
                <w:right w:val="none" w:sz="0" w:space="0" w:color="auto"/>
              </w:divBdr>
              <w:divsChild>
                <w:div w:id="467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980921">
          <w:marLeft w:val="0"/>
          <w:marRight w:val="0"/>
          <w:marTop w:val="0"/>
          <w:marBottom w:val="0"/>
          <w:divBdr>
            <w:top w:val="none" w:sz="0" w:space="0" w:color="auto"/>
            <w:left w:val="none" w:sz="0" w:space="0" w:color="auto"/>
            <w:bottom w:val="none" w:sz="0" w:space="0" w:color="auto"/>
            <w:right w:val="none" w:sz="0" w:space="0" w:color="auto"/>
          </w:divBdr>
          <w:divsChild>
            <w:div w:id="119337397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97679170">
      <w:bodyDiv w:val="1"/>
      <w:marLeft w:val="0"/>
      <w:marRight w:val="0"/>
      <w:marTop w:val="0"/>
      <w:marBottom w:val="0"/>
      <w:divBdr>
        <w:top w:val="none" w:sz="0" w:space="0" w:color="auto"/>
        <w:left w:val="none" w:sz="0" w:space="0" w:color="auto"/>
        <w:bottom w:val="none" w:sz="0" w:space="0" w:color="auto"/>
        <w:right w:val="none" w:sz="0" w:space="0" w:color="auto"/>
      </w:divBdr>
      <w:divsChild>
        <w:div w:id="479425535">
          <w:marLeft w:val="0"/>
          <w:marRight w:val="0"/>
          <w:marTop w:val="0"/>
          <w:marBottom w:val="150"/>
          <w:divBdr>
            <w:top w:val="none" w:sz="0" w:space="0" w:color="auto"/>
            <w:left w:val="none" w:sz="0" w:space="0" w:color="auto"/>
            <w:bottom w:val="none" w:sz="0" w:space="0" w:color="auto"/>
            <w:right w:val="none" w:sz="0" w:space="0" w:color="auto"/>
          </w:divBdr>
        </w:div>
        <w:div w:id="1111323063">
          <w:marLeft w:val="0"/>
          <w:marRight w:val="0"/>
          <w:marTop w:val="0"/>
          <w:marBottom w:val="150"/>
          <w:divBdr>
            <w:top w:val="none" w:sz="0" w:space="0" w:color="auto"/>
            <w:left w:val="none" w:sz="0" w:space="0" w:color="auto"/>
            <w:bottom w:val="none" w:sz="0" w:space="0" w:color="auto"/>
            <w:right w:val="none" w:sz="0" w:space="0" w:color="auto"/>
          </w:divBdr>
          <w:divsChild>
            <w:div w:id="124807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284134">
      <w:bodyDiv w:val="1"/>
      <w:marLeft w:val="0"/>
      <w:marRight w:val="0"/>
      <w:marTop w:val="0"/>
      <w:marBottom w:val="0"/>
      <w:divBdr>
        <w:top w:val="none" w:sz="0" w:space="0" w:color="auto"/>
        <w:left w:val="none" w:sz="0" w:space="0" w:color="auto"/>
        <w:bottom w:val="none" w:sz="0" w:space="0" w:color="auto"/>
        <w:right w:val="none" w:sz="0" w:space="0" w:color="auto"/>
      </w:divBdr>
      <w:divsChild>
        <w:div w:id="423959878">
          <w:marLeft w:val="0"/>
          <w:marRight w:val="0"/>
          <w:marTop w:val="0"/>
          <w:marBottom w:val="0"/>
          <w:divBdr>
            <w:top w:val="none" w:sz="0" w:space="0" w:color="auto"/>
            <w:left w:val="none" w:sz="0" w:space="0" w:color="auto"/>
            <w:bottom w:val="none" w:sz="0" w:space="0" w:color="auto"/>
            <w:right w:val="none" w:sz="0" w:space="0" w:color="auto"/>
          </w:divBdr>
          <w:divsChild>
            <w:div w:id="550381031">
              <w:marLeft w:val="0"/>
              <w:marRight w:val="0"/>
              <w:marTop w:val="0"/>
              <w:marBottom w:val="0"/>
              <w:divBdr>
                <w:top w:val="none" w:sz="0" w:space="0" w:color="auto"/>
                <w:left w:val="none" w:sz="0" w:space="0" w:color="auto"/>
                <w:bottom w:val="none" w:sz="0" w:space="0" w:color="auto"/>
                <w:right w:val="none" w:sz="0" w:space="0" w:color="auto"/>
              </w:divBdr>
              <w:divsChild>
                <w:div w:id="582032677">
                  <w:marLeft w:val="0"/>
                  <w:marRight w:val="0"/>
                  <w:marTop w:val="0"/>
                  <w:marBottom w:val="0"/>
                  <w:divBdr>
                    <w:top w:val="none" w:sz="0" w:space="0" w:color="auto"/>
                    <w:left w:val="none" w:sz="0" w:space="0" w:color="auto"/>
                    <w:bottom w:val="none" w:sz="0" w:space="0" w:color="auto"/>
                    <w:right w:val="none" w:sz="0" w:space="0" w:color="auto"/>
                  </w:divBdr>
                  <w:divsChild>
                    <w:div w:id="1943218927">
                      <w:marLeft w:val="0"/>
                      <w:marRight w:val="0"/>
                      <w:marTop w:val="0"/>
                      <w:marBottom w:val="0"/>
                      <w:divBdr>
                        <w:top w:val="none" w:sz="0" w:space="0" w:color="auto"/>
                        <w:left w:val="none" w:sz="0" w:space="0" w:color="auto"/>
                        <w:bottom w:val="none" w:sz="0" w:space="0" w:color="auto"/>
                        <w:right w:val="none" w:sz="0" w:space="0" w:color="auto"/>
                      </w:divBdr>
                      <w:divsChild>
                        <w:div w:id="1264613234">
                          <w:marLeft w:val="0"/>
                          <w:marRight w:val="0"/>
                          <w:marTop w:val="0"/>
                          <w:marBottom w:val="0"/>
                          <w:divBdr>
                            <w:top w:val="none" w:sz="0" w:space="0" w:color="auto"/>
                            <w:left w:val="none" w:sz="0" w:space="0" w:color="auto"/>
                            <w:bottom w:val="none" w:sz="0" w:space="0" w:color="auto"/>
                            <w:right w:val="none" w:sz="0" w:space="0" w:color="auto"/>
                          </w:divBdr>
                          <w:divsChild>
                            <w:div w:id="608319894">
                              <w:marLeft w:val="0"/>
                              <w:marRight w:val="0"/>
                              <w:marTop w:val="0"/>
                              <w:marBottom w:val="0"/>
                              <w:divBdr>
                                <w:top w:val="none" w:sz="0" w:space="0" w:color="auto"/>
                                <w:left w:val="none" w:sz="0" w:space="0" w:color="auto"/>
                                <w:bottom w:val="none" w:sz="0" w:space="0" w:color="auto"/>
                                <w:right w:val="none" w:sz="0" w:space="0" w:color="auto"/>
                              </w:divBdr>
                              <w:divsChild>
                                <w:div w:id="1901162418">
                                  <w:marLeft w:val="0"/>
                                  <w:marRight w:val="0"/>
                                  <w:marTop w:val="0"/>
                                  <w:marBottom w:val="0"/>
                                  <w:divBdr>
                                    <w:top w:val="none" w:sz="0" w:space="0" w:color="auto"/>
                                    <w:left w:val="none" w:sz="0" w:space="0" w:color="auto"/>
                                    <w:bottom w:val="none" w:sz="0" w:space="0" w:color="auto"/>
                                    <w:right w:val="none" w:sz="0" w:space="0" w:color="auto"/>
                                  </w:divBdr>
                                  <w:divsChild>
                                    <w:div w:id="20553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8285234">
      <w:bodyDiv w:val="1"/>
      <w:marLeft w:val="0"/>
      <w:marRight w:val="0"/>
      <w:marTop w:val="0"/>
      <w:marBottom w:val="0"/>
      <w:divBdr>
        <w:top w:val="none" w:sz="0" w:space="0" w:color="auto"/>
        <w:left w:val="none" w:sz="0" w:space="0" w:color="auto"/>
        <w:bottom w:val="none" w:sz="0" w:space="0" w:color="auto"/>
        <w:right w:val="none" w:sz="0" w:space="0" w:color="auto"/>
      </w:divBdr>
    </w:div>
    <w:div w:id="398601038">
      <w:bodyDiv w:val="1"/>
      <w:marLeft w:val="0"/>
      <w:marRight w:val="0"/>
      <w:marTop w:val="0"/>
      <w:marBottom w:val="0"/>
      <w:divBdr>
        <w:top w:val="none" w:sz="0" w:space="0" w:color="auto"/>
        <w:left w:val="none" w:sz="0" w:space="0" w:color="auto"/>
        <w:bottom w:val="none" w:sz="0" w:space="0" w:color="auto"/>
        <w:right w:val="none" w:sz="0" w:space="0" w:color="auto"/>
      </w:divBdr>
    </w:div>
    <w:div w:id="398745907">
      <w:bodyDiv w:val="1"/>
      <w:marLeft w:val="0"/>
      <w:marRight w:val="0"/>
      <w:marTop w:val="0"/>
      <w:marBottom w:val="0"/>
      <w:divBdr>
        <w:top w:val="none" w:sz="0" w:space="0" w:color="auto"/>
        <w:left w:val="none" w:sz="0" w:space="0" w:color="auto"/>
        <w:bottom w:val="none" w:sz="0" w:space="0" w:color="auto"/>
        <w:right w:val="none" w:sz="0" w:space="0" w:color="auto"/>
      </w:divBdr>
      <w:divsChild>
        <w:div w:id="1382679443">
          <w:marLeft w:val="0"/>
          <w:marRight w:val="0"/>
          <w:marTop w:val="0"/>
          <w:marBottom w:val="0"/>
          <w:divBdr>
            <w:top w:val="none" w:sz="0" w:space="0" w:color="auto"/>
            <w:left w:val="none" w:sz="0" w:space="0" w:color="auto"/>
            <w:bottom w:val="dotted" w:sz="6" w:space="4" w:color="DDDDDD"/>
            <w:right w:val="none" w:sz="0" w:space="0" w:color="auto"/>
          </w:divBdr>
          <w:divsChild>
            <w:div w:id="208240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47347">
      <w:bodyDiv w:val="1"/>
      <w:marLeft w:val="0"/>
      <w:marRight w:val="0"/>
      <w:marTop w:val="0"/>
      <w:marBottom w:val="0"/>
      <w:divBdr>
        <w:top w:val="none" w:sz="0" w:space="0" w:color="auto"/>
        <w:left w:val="none" w:sz="0" w:space="0" w:color="auto"/>
        <w:bottom w:val="none" w:sz="0" w:space="0" w:color="auto"/>
        <w:right w:val="none" w:sz="0" w:space="0" w:color="auto"/>
      </w:divBdr>
      <w:divsChild>
        <w:div w:id="1139155561">
          <w:marLeft w:val="0"/>
          <w:marRight w:val="0"/>
          <w:marTop w:val="0"/>
          <w:marBottom w:val="150"/>
          <w:divBdr>
            <w:top w:val="none" w:sz="0" w:space="0" w:color="auto"/>
            <w:left w:val="none" w:sz="0" w:space="0" w:color="auto"/>
            <w:bottom w:val="none" w:sz="0" w:space="0" w:color="auto"/>
            <w:right w:val="none" w:sz="0" w:space="0" w:color="auto"/>
          </w:divBdr>
        </w:div>
      </w:divsChild>
    </w:div>
    <w:div w:id="399594432">
      <w:bodyDiv w:val="1"/>
      <w:marLeft w:val="0"/>
      <w:marRight w:val="0"/>
      <w:marTop w:val="0"/>
      <w:marBottom w:val="0"/>
      <w:divBdr>
        <w:top w:val="none" w:sz="0" w:space="0" w:color="auto"/>
        <w:left w:val="none" w:sz="0" w:space="0" w:color="auto"/>
        <w:bottom w:val="none" w:sz="0" w:space="0" w:color="auto"/>
        <w:right w:val="none" w:sz="0" w:space="0" w:color="auto"/>
      </w:divBdr>
      <w:divsChild>
        <w:div w:id="1611349464">
          <w:marLeft w:val="0"/>
          <w:marRight w:val="0"/>
          <w:marTop w:val="0"/>
          <w:marBottom w:val="0"/>
          <w:divBdr>
            <w:top w:val="none" w:sz="0" w:space="0" w:color="auto"/>
            <w:left w:val="none" w:sz="0" w:space="0" w:color="auto"/>
            <w:bottom w:val="dotted" w:sz="6" w:space="4" w:color="DDDDDD"/>
            <w:right w:val="none" w:sz="0" w:space="0" w:color="auto"/>
          </w:divBdr>
          <w:divsChild>
            <w:div w:id="5397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835143">
      <w:bodyDiv w:val="1"/>
      <w:marLeft w:val="0"/>
      <w:marRight w:val="0"/>
      <w:marTop w:val="0"/>
      <w:marBottom w:val="0"/>
      <w:divBdr>
        <w:top w:val="none" w:sz="0" w:space="0" w:color="auto"/>
        <w:left w:val="none" w:sz="0" w:space="0" w:color="auto"/>
        <w:bottom w:val="none" w:sz="0" w:space="0" w:color="auto"/>
        <w:right w:val="none" w:sz="0" w:space="0" w:color="auto"/>
      </w:divBdr>
    </w:div>
    <w:div w:id="400059577">
      <w:bodyDiv w:val="1"/>
      <w:marLeft w:val="0"/>
      <w:marRight w:val="0"/>
      <w:marTop w:val="0"/>
      <w:marBottom w:val="0"/>
      <w:divBdr>
        <w:top w:val="none" w:sz="0" w:space="0" w:color="auto"/>
        <w:left w:val="none" w:sz="0" w:space="0" w:color="auto"/>
        <w:bottom w:val="none" w:sz="0" w:space="0" w:color="auto"/>
        <w:right w:val="none" w:sz="0" w:space="0" w:color="auto"/>
      </w:divBdr>
      <w:divsChild>
        <w:div w:id="1546218524">
          <w:marLeft w:val="0"/>
          <w:marRight w:val="0"/>
          <w:marTop w:val="0"/>
          <w:marBottom w:val="0"/>
          <w:divBdr>
            <w:top w:val="none" w:sz="0" w:space="0" w:color="auto"/>
            <w:left w:val="none" w:sz="0" w:space="0" w:color="auto"/>
            <w:bottom w:val="none" w:sz="0" w:space="0" w:color="auto"/>
            <w:right w:val="none" w:sz="0" w:space="0" w:color="auto"/>
          </w:divBdr>
          <w:divsChild>
            <w:div w:id="442379469">
              <w:marLeft w:val="0"/>
              <w:marRight w:val="0"/>
              <w:marTop w:val="0"/>
              <w:marBottom w:val="0"/>
              <w:divBdr>
                <w:top w:val="none" w:sz="0" w:space="0" w:color="auto"/>
                <w:left w:val="none" w:sz="0" w:space="0" w:color="auto"/>
                <w:bottom w:val="none" w:sz="0" w:space="0" w:color="auto"/>
                <w:right w:val="none" w:sz="0" w:space="0" w:color="auto"/>
              </w:divBdr>
              <w:divsChild>
                <w:div w:id="1917280313">
                  <w:marLeft w:val="0"/>
                  <w:marRight w:val="0"/>
                  <w:marTop w:val="0"/>
                  <w:marBottom w:val="0"/>
                  <w:divBdr>
                    <w:top w:val="none" w:sz="0" w:space="0" w:color="auto"/>
                    <w:left w:val="none" w:sz="0" w:space="0" w:color="auto"/>
                    <w:bottom w:val="none" w:sz="0" w:space="0" w:color="auto"/>
                    <w:right w:val="none" w:sz="0" w:space="0" w:color="auto"/>
                  </w:divBdr>
                  <w:divsChild>
                    <w:div w:id="1241872322">
                      <w:marLeft w:val="0"/>
                      <w:marRight w:val="0"/>
                      <w:marTop w:val="0"/>
                      <w:marBottom w:val="0"/>
                      <w:divBdr>
                        <w:top w:val="none" w:sz="0" w:space="0" w:color="auto"/>
                        <w:left w:val="none" w:sz="0" w:space="0" w:color="auto"/>
                        <w:bottom w:val="none" w:sz="0" w:space="0" w:color="auto"/>
                        <w:right w:val="none" w:sz="0" w:space="0" w:color="auto"/>
                      </w:divBdr>
                      <w:divsChild>
                        <w:div w:id="286745115">
                          <w:marLeft w:val="0"/>
                          <w:marRight w:val="0"/>
                          <w:marTop w:val="0"/>
                          <w:marBottom w:val="0"/>
                          <w:divBdr>
                            <w:top w:val="none" w:sz="0" w:space="0" w:color="auto"/>
                            <w:left w:val="none" w:sz="0" w:space="0" w:color="auto"/>
                            <w:bottom w:val="none" w:sz="0" w:space="0" w:color="auto"/>
                            <w:right w:val="none" w:sz="0" w:space="0" w:color="auto"/>
                          </w:divBdr>
                          <w:divsChild>
                            <w:div w:id="207227745">
                              <w:marLeft w:val="0"/>
                              <w:marRight w:val="0"/>
                              <w:marTop w:val="0"/>
                              <w:marBottom w:val="0"/>
                              <w:divBdr>
                                <w:top w:val="none" w:sz="0" w:space="0" w:color="auto"/>
                                <w:left w:val="none" w:sz="0" w:space="0" w:color="auto"/>
                                <w:bottom w:val="none" w:sz="0" w:space="0" w:color="auto"/>
                                <w:right w:val="none" w:sz="0" w:space="0" w:color="auto"/>
                              </w:divBdr>
                              <w:divsChild>
                                <w:div w:id="1043486296">
                                  <w:marLeft w:val="0"/>
                                  <w:marRight w:val="0"/>
                                  <w:marTop w:val="0"/>
                                  <w:marBottom w:val="0"/>
                                  <w:divBdr>
                                    <w:top w:val="none" w:sz="0" w:space="0" w:color="auto"/>
                                    <w:left w:val="none" w:sz="0" w:space="0" w:color="auto"/>
                                    <w:bottom w:val="none" w:sz="0" w:space="0" w:color="auto"/>
                                    <w:right w:val="none" w:sz="0" w:space="0" w:color="auto"/>
                                  </w:divBdr>
                                  <w:divsChild>
                                    <w:div w:id="184805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0325185">
      <w:bodyDiv w:val="1"/>
      <w:marLeft w:val="0"/>
      <w:marRight w:val="0"/>
      <w:marTop w:val="0"/>
      <w:marBottom w:val="0"/>
      <w:divBdr>
        <w:top w:val="none" w:sz="0" w:space="0" w:color="auto"/>
        <w:left w:val="none" w:sz="0" w:space="0" w:color="auto"/>
        <w:bottom w:val="none" w:sz="0" w:space="0" w:color="auto"/>
        <w:right w:val="none" w:sz="0" w:space="0" w:color="auto"/>
      </w:divBdr>
      <w:divsChild>
        <w:div w:id="272790483">
          <w:marLeft w:val="0"/>
          <w:marRight w:val="0"/>
          <w:marTop w:val="0"/>
          <w:marBottom w:val="0"/>
          <w:divBdr>
            <w:top w:val="none" w:sz="0" w:space="0" w:color="auto"/>
            <w:left w:val="none" w:sz="0" w:space="0" w:color="auto"/>
            <w:bottom w:val="dotted" w:sz="6" w:space="4" w:color="DDDDDD"/>
            <w:right w:val="none" w:sz="0" w:space="0" w:color="auto"/>
          </w:divBdr>
          <w:divsChild>
            <w:div w:id="214199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375127">
      <w:bodyDiv w:val="1"/>
      <w:marLeft w:val="0"/>
      <w:marRight w:val="0"/>
      <w:marTop w:val="0"/>
      <w:marBottom w:val="0"/>
      <w:divBdr>
        <w:top w:val="none" w:sz="0" w:space="0" w:color="auto"/>
        <w:left w:val="none" w:sz="0" w:space="0" w:color="auto"/>
        <w:bottom w:val="none" w:sz="0" w:space="0" w:color="auto"/>
        <w:right w:val="none" w:sz="0" w:space="0" w:color="auto"/>
      </w:divBdr>
      <w:divsChild>
        <w:div w:id="1267427426">
          <w:marLeft w:val="0"/>
          <w:marRight w:val="0"/>
          <w:marTop w:val="0"/>
          <w:marBottom w:val="150"/>
          <w:divBdr>
            <w:top w:val="none" w:sz="0" w:space="0" w:color="auto"/>
            <w:left w:val="none" w:sz="0" w:space="0" w:color="auto"/>
            <w:bottom w:val="none" w:sz="0" w:space="0" w:color="auto"/>
            <w:right w:val="none" w:sz="0" w:space="0" w:color="auto"/>
          </w:divBdr>
        </w:div>
      </w:divsChild>
    </w:div>
    <w:div w:id="400492379">
      <w:bodyDiv w:val="1"/>
      <w:marLeft w:val="0"/>
      <w:marRight w:val="0"/>
      <w:marTop w:val="0"/>
      <w:marBottom w:val="0"/>
      <w:divBdr>
        <w:top w:val="none" w:sz="0" w:space="0" w:color="auto"/>
        <w:left w:val="none" w:sz="0" w:space="0" w:color="auto"/>
        <w:bottom w:val="none" w:sz="0" w:space="0" w:color="auto"/>
        <w:right w:val="none" w:sz="0" w:space="0" w:color="auto"/>
      </w:divBdr>
    </w:div>
    <w:div w:id="400638833">
      <w:bodyDiv w:val="1"/>
      <w:marLeft w:val="0"/>
      <w:marRight w:val="0"/>
      <w:marTop w:val="0"/>
      <w:marBottom w:val="0"/>
      <w:divBdr>
        <w:top w:val="none" w:sz="0" w:space="0" w:color="auto"/>
        <w:left w:val="none" w:sz="0" w:space="0" w:color="auto"/>
        <w:bottom w:val="none" w:sz="0" w:space="0" w:color="auto"/>
        <w:right w:val="none" w:sz="0" w:space="0" w:color="auto"/>
      </w:divBdr>
    </w:div>
    <w:div w:id="400834995">
      <w:bodyDiv w:val="1"/>
      <w:marLeft w:val="0"/>
      <w:marRight w:val="0"/>
      <w:marTop w:val="0"/>
      <w:marBottom w:val="0"/>
      <w:divBdr>
        <w:top w:val="none" w:sz="0" w:space="0" w:color="auto"/>
        <w:left w:val="none" w:sz="0" w:space="0" w:color="auto"/>
        <w:bottom w:val="none" w:sz="0" w:space="0" w:color="auto"/>
        <w:right w:val="none" w:sz="0" w:space="0" w:color="auto"/>
      </w:divBdr>
      <w:divsChild>
        <w:div w:id="449055696">
          <w:marLeft w:val="0"/>
          <w:marRight w:val="0"/>
          <w:marTop w:val="0"/>
          <w:marBottom w:val="300"/>
          <w:divBdr>
            <w:top w:val="none" w:sz="0" w:space="0" w:color="auto"/>
            <w:left w:val="none" w:sz="0" w:space="0" w:color="auto"/>
            <w:bottom w:val="single" w:sz="6" w:space="0" w:color="E4E4E4"/>
            <w:right w:val="none" w:sz="0" w:space="0" w:color="auto"/>
          </w:divBdr>
        </w:div>
        <w:div w:id="1798335736">
          <w:marLeft w:val="0"/>
          <w:marRight w:val="0"/>
          <w:marTop w:val="0"/>
          <w:marBottom w:val="0"/>
          <w:divBdr>
            <w:top w:val="none" w:sz="0" w:space="0" w:color="auto"/>
            <w:left w:val="none" w:sz="0" w:space="0" w:color="auto"/>
            <w:bottom w:val="none" w:sz="0" w:space="0" w:color="auto"/>
            <w:right w:val="none" w:sz="0" w:space="0" w:color="auto"/>
          </w:divBdr>
          <w:divsChild>
            <w:div w:id="1496452607">
              <w:marLeft w:val="0"/>
              <w:marRight w:val="0"/>
              <w:marTop w:val="0"/>
              <w:marBottom w:val="0"/>
              <w:divBdr>
                <w:top w:val="none" w:sz="0" w:space="0" w:color="auto"/>
                <w:left w:val="none" w:sz="0" w:space="0" w:color="auto"/>
                <w:bottom w:val="none" w:sz="0" w:space="0" w:color="auto"/>
                <w:right w:val="none" w:sz="0" w:space="0" w:color="auto"/>
              </w:divBdr>
              <w:divsChild>
                <w:div w:id="388770468">
                  <w:marLeft w:val="0"/>
                  <w:marRight w:val="0"/>
                  <w:marTop w:val="0"/>
                  <w:marBottom w:val="450"/>
                  <w:divBdr>
                    <w:top w:val="none" w:sz="0" w:space="0" w:color="auto"/>
                    <w:left w:val="none" w:sz="0" w:space="0" w:color="auto"/>
                    <w:bottom w:val="none" w:sz="0" w:space="0" w:color="auto"/>
                    <w:right w:val="none" w:sz="0" w:space="0" w:color="auto"/>
                  </w:divBdr>
                  <w:divsChild>
                    <w:div w:id="1252665180">
                      <w:marLeft w:val="0"/>
                      <w:marRight w:val="0"/>
                      <w:marTop w:val="0"/>
                      <w:marBottom w:val="0"/>
                      <w:divBdr>
                        <w:top w:val="none" w:sz="0" w:space="0" w:color="auto"/>
                        <w:left w:val="none" w:sz="0" w:space="0" w:color="auto"/>
                        <w:bottom w:val="none" w:sz="0" w:space="0" w:color="auto"/>
                        <w:right w:val="none" w:sz="0" w:space="0" w:color="auto"/>
                      </w:divBdr>
                      <w:divsChild>
                        <w:div w:id="1396318347">
                          <w:marLeft w:val="0"/>
                          <w:marRight w:val="0"/>
                          <w:marTop w:val="0"/>
                          <w:marBottom w:val="150"/>
                          <w:divBdr>
                            <w:top w:val="none" w:sz="0" w:space="0" w:color="auto"/>
                            <w:left w:val="none" w:sz="0" w:space="0" w:color="auto"/>
                            <w:bottom w:val="none" w:sz="0" w:space="0" w:color="auto"/>
                            <w:right w:val="none" w:sz="0" w:space="0" w:color="auto"/>
                          </w:divBdr>
                        </w:div>
                        <w:div w:id="1785928551">
                          <w:marLeft w:val="0"/>
                          <w:marRight w:val="0"/>
                          <w:marTop w:val="0"/>
                          <w:marBottom w:val="0"/>
                          <w:divBdr>
                            <w:top w:val="none" w:sz="0" w:space="0" w:color="auto"/>
                            <w:left w:val="none" w:sz="0" w:space="0" w:color="auto"/>
                            <w:bottom w:val="none" w:sz="0" w:space="0" w:color="auto"/>
                            <w:right w:val="none" w:sz="0" w:space="0" w:color="auto"/>
                          </w:divBdr>
                          <w:divsChild>
                            <w:div w:id="213020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03981">
                      <w:marLeft w:val="0"/>
                      <w:marRight w:val="0"/>
                      <w:marTop w:val="0"/>
                      <w:marBottom w:val="150"/>
                      <w:divBdr>
                        <w:top w:val="none" w:sz="0" w:space="0" w:color="auto"/>
                        <w:left w:val="none" w:sz="0" w:space="0" w:color="auto"/>
                        <w:bottom w:val="none" w:sz="0" w:space="0" w:color="auto"/>
                        <w:right w:val="none" w:sz="0" w:space="0" w:color="auto"/>
                      </w:divBdr>
                      <w:divsChild>
                        <w:div w:id="119565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0910378">
      <w:bodyDiv w:val="1"/>
      <w:marLeft w:val="0"/>
      <w:marRight w:val="0"/>
      <w:marTop w:val="0"/>
      <w:marBottom w:val="0"/>
      <w:divBdr>
        <w:top w:val="none" w:sz="0" w:space="0" w:color="auto"/>
        <w:left w:val="none" w:sz="0" w:space="0" w:color="auto"/>
        <w:bottom w:val="none" w:sz="0" w:space="0" w:color="auto"/>
        <w:right w:val="none" w:sz="0" w:space="0" w:color="auto"/>
      </w:divBdr>
    </w:div>
    <w:div w:id="401298172">
      <w:bodyDiv w:val="1"/>
      <w:marLeft w:val="0"/>
      <w:marRight w:val="0"/>
      <w:marTop w:val="0"/>
      <w:marBottom w:val="0"/>
      <w:divBdr>
        <w:top w:val="none" w:sz="0" w:space="0" w:color="auto"/>
        <w:left w:val="none" w:sz="0" w:space="0" w:color="auto"/>
        <w:bottom w:val="none" w:sz="0" w:space="0" w:color="auto"/>
        <w:right w:val="none" w:sz="0" w:space="0" w:color="auto"/>
      </w:divBdr>
      <w:divsChild>
        <w:div w:id="436490251">
          <w:marLeft w:val="0"/>
          <w:marRight w:val="0"/>
          <w:marTop w:val="0"/>
          <w:marBottom w:val="150"/>
          <w:divBdr>
            <w:top w:val="none" w:sz="0" w:space="0" w:color="auto"/>
            <w:left w:val="none" w:sz="0" w:space="0" w:color="auto"/>
            <w:bottom w:val="none" w:sz="0" w:space="0" w:color="auto"/>
            <w:right w:val="none" w:sz="0" w:space="0" w:color="auto"/>
          </w:divBdr>
          <w:divsChild>
            <w:div w:id="634212331">
              <w:marLeft w:val="0"/>
              <w:marRight w:val="0"/>
              <w:marTop w:val="0"/>
              <w:marBottom w:val="0"/>
              <w:divBdr>
                <w:top w:val="none" w:sz="0" w:space="0" w:color="auto"/>
                <w:left w:val="none" w:sz="0" w:space="0" w:color="auto"/>
                <w:bottom w:val="none" w:sz="0" w:space="0" w:color="auto"/>
                <w:right w:val="none" w:sz="0" w:space="0" w:color="auto"/>
              </w:divBdr>
              <w:divsChild>
                <w:div w:id="42566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955308">
          <w:marLeft w:val="0"/>
          <w:marRight w:val="0"/>
          <w:marTop w:val="0"/>
          <w:marBottom w:val="0"/>
          <w:divBdr>
            <w:top w:val="none" w:sz="0" w:space="0" w:color="auto"/>
            <w:left w:val="none" w:sz="0" w:space="0" w:color="auto"/>
            <w:bottom w:val="none" w:sz="0" w:space="0" w:color="auto"/>
            <w:right w:val="none" w:sz="0" w:space="0" w:color="auto"/>
          </w:divBdr>
          <w:divsChild>
            <w:div w:id="1916819199">
              <w:marLeft w:val="0"/>
              <w:marRight w:val="0"/>
              <w:marTop w:val="225"/>
              <w:marBottom w:val="225"/>
              <w:divBdr>
                <w:top w:val="none" w:sz="0" w:space="0" w:color="auto"/>
                <w:left w:val="none" w:sz="0" w:space="0" w:color="auto"/>
                <w:bottom w:val="none" w:sz="0" w:space="0" w:color="auto"/>
                <w:right w:val="none" w:sz="0" w:space="0" w:color="auto"/>
              </w:divBdr>
            </w:div>
          </w:divsChild>
        </w:div>
        <w:div w:id="1711492712">
          <w:marLeft w:val="0"/>
          <w:marRight w:val="0"/>
          <w:marTop w:val="0"/>
          <w:marBottom w:val="150"/>
          <w:divBdr>
            <w:top w:val="none" w:sz="0" w:space="0" w:color="auto"/>
            <w:left w:val="none" w:sz="0" w:space="0" w:color="auto"/>
            <w:bottom w:val="none" w:sz="0" w:space="0" w:color="auto"/>
            <w:right w:val="none" w:sz="0" w:space="0" w:color="auto"/>
          </w:divBdr>
        </w:div>
      </w:divsChild>
    </w:div>
    <w:div w:id="401681082">
      <w:bodyDiv w:val="1"/>
      <w:marLeft w:val="0"/>
      <w:marRight w:val="0"/>
      <w:marTop w:val="0"/>
      <w:marBottom w:val="0"/>
      <w:divBdr>
        <w:top w:val="none" w:sz="0" w:space="0" w:color="auto"/>
        <w:left w:val="none" w:sz="0" w:space="0" w:color="auto"/>
        <w:bottom w:val="none" w:sz="0" w:space="0" w:color="auto"/>
        <w:right w:val="none" w:sz="0" w:space="0" w:color="auto"/>
      </w:divBdr>
      <w:divsChild>
        <w:div w:id="337275565">
          <w:marLeft w:val="0"/>
          <w:marRight w:val="0"/>
          <w:marTop w:val="0"/>
          <w:marBottom w:val="0"/>
          <w:divBdr>
            <w:top w:val="none" w:sz="0" w:space="0" w:color="auto"/>
            <w:left w:val="none" w:sz="0" w:space="0" w:color="auto"/>
            <w:bottom w:val="dotted" w:sz="6" w:space="4" w:color="DDDDDD"/>
            <w:right w:val="none" w:sz="0" w:space="0" w:color="auto"/>
          </w:divBdr>
          <w:divsChild>
            <w:div w:id="36005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147851">
      <w:bodyDiv w:val="1"/>
      <w:marLeft w:val="0"/>
      <w:marRight w:val="0"/>
      <w:marTop w:val="0"/>
      <w:marBottom w:val="0"/>
      <w:divBdr>
        <w:top w:val="none" w:sz="0" w:space="0" w:color="auto"/>
        <w:left w:val="none" w:sz="0" w:space="0" w:color="auto"/>
        <w:bottom w:val="none" w:sz="0" w:space="0" w:color="auto"/>
        <w:right w:val="none" w:sz="0" w:space="0" w:color="auto"/>
      </w:divBdr>
      <w:divsChild>
        <w:div w:id="1696034184">
          <w:marLeft w:val="0"/>
          <w:marRight w:val="0"/>
          <w:marTop w:val="0"/>
          <w:marBottom w:val="0"/>
          <w:divBdr>
            <w:top w:val="none" w:sz="0" w:space="0" w:color="auto"/>
            <w:left w:val="none" w:sz="0" w:space="0" w:color="auto"/>
            <w:bottom w:val="none" w:sz="0" w:space="0" w:color="auto"/>
            <w:right w:val="none" w:sz="0" w:space="0" w:color="auto"/>
          </w:divBdr>
          <w:divsChild>
            <w:div w:id="654342128">
              <w:marLeft w:val="0"/>
              <w:marRight w:val="0"/>
              <w:marTop w:val="0"/>
              <w:marBottom w:val="0"/>
              <w:divBdr>
                <w:top w:val="none" w:sz="0" w:space="0" w:color="auto"/>
                <w:left w:val="none" w:sz="0" w:space="0" w:color="auto"/>
                <w:bottom w:val="none" w:sz="0" w:space="0" w:color="auto"/>
                <w:right w:val="none" w:sz="0" w:space="0" w:color="auto"/>
              </w:divBdr>
              <w:divsChild>
                <w:div w:id="551313943">
                  <w:marLeft w:val="0"/>
                  <w:marRight w:val="0"/>
                  <w:marTop w:val="0"/>
                  <w:marBottom w:val="0"/>
                  <w:divBdr>
                    <w:top w:val="none" w:sz="0" w:space="0" w:color="auto"/>
                    <w:left w:val="none" w:sz="0" w:space="0" w:color="auto"/>
                    <w:bottom w:val="none" w:sz="0" w:space="0" w:color="auto"/>
                    <w:right w:val="none" w:sz="0" w:space="0" w:color="auto"/>
                  </w:divBdr>
                  <w:divsChild>
                    <w:div w:id="1563563667">
                      <w:marLeft w:val="0"/>
                      <w:marRight w:val="0"/>
                      <w:marTop w:val="0"/>
                      <w:marBottom w:val="0"/>
                      <w:divBdr>
                        <w:top w:val="none" w:sz="0" w:space="0" w:color="auto"/>
                        <w:left w:val="none" w:sz="0" w:space="0" w:color="auto"/>
                        <w:bottom w:val="none" w:sz="0" w:space="0" w:color="auto"/>
                        <w:right w:val="none" w:sz="0" w:space="0" w:color="auto"/>
                      </w:divBdr>
                      <w:divsChild>
                        <w:div w:id="243952113">
                          <w:marLeft w:val="0"/>
                          <w:marRight w:val="0"/>
                          <w:marTop w:val="0"/>
                          <w:marBottom w:val="0"/>
                          <w:divBdr>
                            <w:top w:val="none" w:sz="0" w:space="0" w:color="auto"/>
                            <w:left w:val="none" w:sz="0" w:space="0" w:color="auto"/>
                            <w:bottom w:val="none" w:sz="0" w:space="0" w:color="auto"/>
                            <w:right w:val="none" w:sz="0" w:space="0" w:color="auto"/>
                          </w:divBdr>
                          <w:divsChild>
                            <w:div w:id="1198078507">
                              <w:marLeft w:val="0"/>
                              <w:marRight w:val="0"/>
                              <w:marTop w:val="0"/>
                              <w:marBottom w:val="0"/>
                              <w:divBdr>
                                <w:top w:val="none" w:sz="0" w:space="0" w:color="auto"/>
                                <w:left w:val="none" w:sz="0" w:space="0" w:color="auto"/>
                                <w:bottom w:val="none" w:sz="0" w:space="0" w:color="auto"/>
                                <w:right w:val="none" w:sz="0" w:space="0" w:color="auto"/>
                              </w:divBdr>
                              <w:divsChild>
                                <w:div w:id="726147867">
                                  <w:marLeft w:val="0"/>
                                  <w:marRight w:val="0"/>
                                  <w:marTop w:val="0"/>
                                  <w:marBottom w:val="0"/>
                                  <w:divBdr>
                                    <w:top w:val="none" w:sz="0" w:space="0" w:color="auto"/>
                                    <w:left w:val="none" w:sz="0" w:space="0" w:color="auto"/>
                                    <w:bottom w:val="none" w:sz="0" w:space="0" w:color="auto"/>
                                    <w:right w:val="none" w:sz="0" w:space="0" w:color="auto"/>
                                  </w:divBdr>
                                  <w:divsChild>
                                    <w:div w:id="211898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2414422">
      <w:bodyDiv w:val="1"/>
      <w:marLeft w:val="0"/>
      <w:marRight w:val="0"/>
      <w:marTop w:val="0"/>
      <w:marBottom w:val="0"/>
      <w:divBdr>
        <w:top w:val="none" w:sz="0" w:space="0" w:color="auto"/>
        <w:left w:val="none" w:sz="0" w:space="0" w:color="auto"/>
        <w:bottom w:val="none" w:sz="0" w:space="0" w:color="auto"/>
        <w:right w:val="none" w:sz="0" w:space="0" w:color="auto"/>
      </w:divBdr>
      <w:divsChild>
        <w:div w:id="48959376">
          <w:marLeft w:val="0"/>
          <w:marRight w:val="0"/>
          <w:marTop w:val="0"/>
          <w:marBottom w:val="0"/>
          <w:divBdr>
            <w:top w:val="none" w:sz="0" w:space="0" w:color="auto"/>
            <w:left w:val="none" w:sz="0" w:space="0" w:color="auto"/>
            <w:bottom w:val="none" w:sz="0" w:space="0" w:color="auto"/>
            <w:right w:val="none" w:sz="0" w:space="0" w:color="auto"/>
          </w:divBdr>
          <w:divsChild>
            <w:div w:id="1053391043">
              <w:marLeft w:val="0"/>
              <w:marRight w:val="0"/>
              <w:marTop w:val="0"/>
              <w:marBottom w:val="0"/>
              <w:divBdr>
                <w:top w:val="none" w:sz="0" w:space="0" w:color="auto"/>
                <w:left w:val="none" w:sz="0" w:space="0" w:color="auto"/>
                <w:bottom w:val="none" w:sz="0" w:space="0" w:color="auto"/>
                <w:right w:val="none" w:sz="0" w:space="0" w:color="auto"/>
              </w:divBdr>
              <w:divsChild>
                <w:div w:id="638148553">
                  <w:marLeft w:val="0"/>
                  <w:marRight w:val="0"/>
                  <w:marTop w:val="0"/>
                  <w:marBottom w:val="0"/>
                  <w:divBdr>
                    <w:top w:val="none" w:sz="0" w:space="0" w:color="auto"/>
                    <w:left w:val="none" w:sz="0" w:space="0" w:color="auto"/>
                    <w:bottom w:val="none" w:sz="0" w:space="0" w:color="auto"/>
                    <w:right w:val="none" w:sz="0" w:space="0" w:color="auto"/>
                  </w:divBdr>
                  <w:divsChild>
                    <w:div w:id="546917876">
                      <w:marLeft w:val="0"/>
                      <w:marRight w:val="0"/>
                      <w:marTop w:val="0"/>
                      <w:marBottom w:val="0"/>
                      <w:divBdr>
                        <w:top w:val="none" w:sz="0" w:space="0" w:color="auto"/>
                        <w:left w:val="none" w:sz="0" w:space="0" w:color="auto"/>
                        <w:bottom w:val="none" w:sz="0" w:space="0" w:color="auto"/>
                        <w:right w:val="none" w:sz="0" w:space="0" w:color="auto"/>
                      </w:divBdr>
                      <w:divsChild>
                        <w:div w:id="362023999">
                          <w:marLeft w:val="0"/>
                          <w:marRight w:val="0"/>
                          <w:marTop w:val="0"/>
                          <w:marBottom w:val="0"/>
                          <w:divBdr>
                            <w:top w:val="none" w:sz="0" w:space="0" w:color="auto"/>
                            <w:left w:val="none" w:sz="0" w:space="0" w:color="auto"/>
                            <w:bottom w:val="none" w:sz="0" w:space="0" w:color="auto"/>
                            <w:right w:val="none" w:sz="0" w:space="0" w:color="auto"/>
                          </w:divBdr>
                        </w:div>
                        <w:div w:id="625432736">
                          <w:marLeft w:val="0"/>
                          <w:marRight w:val="0"/>
                          <w:marTop w:val="0"/>
                          <w:marBottom w:val="0"/>
                          <w:divBdr>
                            <w:top w:val="none" w:sz="0" w:space="0" w:color="auto"/>
                            <w:left w:val="none" w:sz="0" w:space="0" w:color="auto"/>
                            <w:bottom w:val="none" w:sz="0" w:space="0" w:color="auto"/>
                            <w:right w:val="none" w:sz="0" w:space="0" w:color="auto"/>
                          </w:divBdr>
                          <w:divsChild>
                            <w:div w:id="152937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604880">
      <w:bodyDiv w:val="1"/>
      <w:marLeft w:val="0"/>
      <w:marRight w:val="0"/>
      <w:marTop w:val="0"/>
      <w:marBottom w:val="0"/>
      <w:divBdr>
        <w:top w:val="none" w:sz="0" w:space="0" w:color="auto"/>
        <w:left w:val="none" w:sz="0" w:space="0" w:color="auto"/>
        <w:bottom w:val="none" w:sz="0" w:space="0" w:color="auto"/>
        <w:right w:val="none" w:sz="0" w:space="0" w:color="auto"/>
      </w:divBdr>
    </w:div>
    <w:div w:id="403602272">
      <w:bodyDiv w:val="1"/>
      <w:marLeft w:val="0"/>
      <w:marRight w:val="0"/>
      <w:marTop w:val="0"/>
      <w:marBottom w:val="0"/>
      <w:divBdr>
        <w:top w:val="none" w:sz="0" w:space="0" w:color="auto"/>
        <w:left w:val="none" w:sz="0" w:space="0" w:color="auto"/>
        <w:bottom w:val="none" w:sz="0" w:space="0" w:color="auto"/>
        <w:right w:val="none" w:sz="0" w:space="0" w:color="auto"/>
      </w:divBdr>
      <w:divsChild>
        <w:div w:id="1814330137">
          <w:marLeft w:val="0"/>
          <w:marRight w:val="0"/>
          <w:marTop w:val="0"/>
          <w:marBottom w:val="0"/>
          <w:divBdr>
            <w:top w:val="none" w:sz="0" w:space="0" w:color="auto"/>
            <w:left w:val="none" w:sz="0" w:space="0" w:color="auto"/>
            <w:bottom w:val="none" w:sz="0" w:space="0" w:color="auto"/>
            <w:right w:val="none" w:sz="0" w:space="0" w:color="auto"/>
          </w:divBdr>
          <w:divsChild>
            <w:div w:id="581987729">
              <w:marLeft w:val="0"/>
              <w:marRight w:val="0"/>
              <w:marTop w:val="0"/>
              <w:marBottom w:val="0"/>
              <w:divBdr>
                <w:top w:val="none" w:sz="0" w:space="0" w:color="auto"/>
                <w:left w:val="none" w:sz="0" w:space="0" w:color="auto"/>
                <w:bottom w:val="none" w:sz="0" w:space="0" w:color="auto"/>
                <w:right w:val="none" w:sz="0" w:space="0" w:color="auto"/>
              </w:divBdr>
              <w:divsChild>
                <w:div w:id="740297760">
                  <w:marLeft w:val="0"/>
                  <w:marRight w:val="0"/>
                  <w:marTop w:val="0"/>
                  <w:marBottom w:val="0"/>
                  <w:divBdr>
                    <w:top w:val="none" w:sz="0" w:space="0" w:color="auto"/>
                    <w:left w:val="none" w:sz="0" w:space="0" w:color="auto"/>
                    <w:bottom w:val="none" w:sz="0" w:space="0" w:color="auto"/>
                    <w:right w:val="none" w:sz="0" w:space="0" w:color="auto"/>
                  </w:divBdr>
                  <w:divsChild>
                    <w:div w:id="1280646090">
                      <w:marLeft w:val="0"/>
                      <w:marRight w:val="0"/>
                      <w:marTop w:val="0"/>
                      <w:marBottom w:val="0"/>
                      <w:divBdr>
                        <w:top w:val="none" w:sz="0" w:space="0" w:color="auto"/>
                        <w:left w:val="none" w:sz="0" w:space="0" w:color="auto"/>
                        <w:bottom w:val="none" w:sz="0" w:space="0" w:color="auto"/>
                        <w:right w:val="none" w:sz="0" w:space="0" w:color="auto"/>
                      </w:divBdr>
                      <w:divsChild>
                        <w:div w:id="240994898">
                          <w:marLeft w:val="0"/>
                          <w:marRight w:val="0"/>
                          <w:marTop w:val="0"/>
                          <w:marBottom w:val="0"/>
                          <w:divBdr>
                            <w:top w:val="none" w:sz="0" w:space="0" w:color="auto"/>
                            <w:left w:val="none" w:sz="0" w:space="0" w:color="auto"/>
                            <w:bottom w:val="none" w:sz="0" w:space="0" w:color="auto"/>
                            <w:right w:val="none" w:sz="0" w:space="0" w:color="auto"/>
                          </w:divBdr>
                          <w:divsChild>
                            <w:div w:id="855965776">
                              <w:marLeft w:val="0"/>
                              <w:marRight w:val="0"/>
                              <w:marTop w:val="0"/>
                              <w:marBottom w:val="0"/>
                              <w:divBdr>
                                <w:top w:val="none" w:sz="0" w:space="0" w:color="auto"/>
                                <w:left w:val="none" w:sz="0" w:space="0" w:color="auto"/>
                                <w:bottom w:val="none" w:sz="0" w:space="0" w:color="auto"/>
                                <w:right w:val="none" w:sz="0" w:space="0" w:color="auto"/>
                              </w:divBdr>
                              <w:divsChild>
                                <w:div w:id="65805388">
                                  <w:marLeft w:val="0"/>
                                  <w:marRight w:val="0"/>
                                  <w:marTop w:val="0"/>
                                  <w:marBottom w:val="0"/>
                                  <w:divBdr>
                                    <w:top w:val="none" w:sz="0" w:space="0" w:color="auto"/>
                                    <w:left w:val="none" w:sz="0" w:space="0" w:color="auto"/>
                                    <w:bottom w:val="none" w:sz="0" w:space="0" w:color="auto"/>
                                    <w:right w:val="none" w:sz="0" w:space="0" w:color="auto"/>
                                  </w:divBdr>
                                  <w:divsChild>
                                    <w:div w:id="122152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3839522">
      <w:bodyDiv w:val="1"/>
      <w:marLeft w:val="0"/>
      <w:marRight w:val="0"/>
      <w:marTop w:val="0"/>
      <w:marBottom w:val="0"/>
      <w:divBdr>
        <w:top w:val="none" w:sz="0" w:space="0" w:color="auto"/>
        <w:left w:val="none" w:sz="0" w:space="0" w:color="auto"/>
        <w:bottom w:val="none" w:sz="0" w:space="0" w:color="auto"/>
        <w:right w:val="none" w:sz="0" w:space="0" w:color="auto"/>
      </w:divBdr>
    </w:div>
    <w:div w:id="404108282">
      <w:bodyDiv w:val="1"/>
      <w:marLeft w:val="0"/>
      <w:marRight w:val="0"/>
      <w:marTop w:val="0"/>
      <w:marBottom w:val="0"/>
      <w:divBdr>
        <w:top w:val="none" w:sz="0" w:space="0" w:color="auto"/>
        <w:left w:val="none" w:sz="0" w:space="0" w:color="auto"/>
        <w:bottom w:val="none" w:sz="0" w:space="0" w:color="auto"/>
        <w:right w:val="none" w:sz="0" w:space="0" w:color="auto"/>
      </w:divBdr>
      <w:divsChild>
        <w:div w:id="659819565">
          <w:marLeft w:val="0"/>
          <w:marRight w:val="0"/>
          <w:marTop w:val="0"/>
          <w:marBottom w:val="0"/>
          <w:divBdr>
            <w:top w:val="none" w:sz="0" w:space="0" w:color="auto"/>
            <w:left w:val="none" w:sz="0" w:space="0" w:color="auto"/>
            <w:bottom w:val="dotted" w:sz="6" w:space="4" w:color="DDDDDD"/>
            <w:right w:val="none" w:sz="0" w:space="0" w:color="auto"/>
          </w:divBdr>
          <w:divsChild>
            <w:div w:id="126025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298838">
      <w:bodyDiv w:val="1"/>
      <w:marLeft w:val="0"/>
      <w:marRight w:val="0"/>
      <w:marTop w:val="0"/>
      <w:marBottom w:val="0"/>
      <w:divBdr>
        <w:top w:val="none" w:sz="0" w:space="0" w:color="auto"/>
        <w:left w:val="none" w:sz="0" w:space="0" w:color="auto"/>
        <w:bottom w:val="none" w:sz="0" w:space="0" w:color="auto"/>
        <w:right w:val="none" w:sz="0" w:space="0" w:color="auto"/>
      </w:divBdr>
      <w:divsChild>
        <w:div w:id="657267851">
          <w:marLeft w:val="0"/>
          <w:marRight w:val="0"/>
          <w:marTop w:val="0"/>
          <w:marBottom w:val="0"/>
          <w:divBdr>
            <w:top w:val="none" w:sz="0" w:space="0" w:color="auto"/>
            <w:left w:val="none" w:sz="0" w:space="0" w:color="auto"/>
            <w:bottom w:val="dotted" w:sz="6" w:space="4" w:color="DDDDDD"/>
            <w:right w:val="none" w:sz="0" w:space="0" w:color="auto"/>
          </w:divBdr>
          <w:divsChild>
            <w:div w:id="30666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25657">
      <w:bodyDiv w:val="1"/>
      <w:marLeft w:val="0"/>
      <w:marRight w:val="0"/>
      <w:marTop w:val="0"/>
      <w:marBottom w:val="0"/>
      <w:divBdr>
        <w:top w:val="none" w:sz="0" w:space="0" w:color="auto"/>
        <w:left w:val="none" w:sz="0" w:space="0" w:color="auto"/>
        <w:bottom w:val="none" w:sz="0" w:space="0" w:color="auto"/>
        <w:right w:val="none" w:sz="0" w:space="0" w:color="auto"/>
      </w:divBdr>
      <w:divsChild>
        <w:div w:id="1036807633">
          <w:marLeft w:val="0"/>
          <w:marRight w:val="0"/>
          <w:marTop w:val="0"/>
          <w:marBottom w:val="0"/>
          <w:divBdr>
            <w:top w:val="none" w:sz="0" w:space="0" w:color="auto"/>
            <w:left w:val="none" w:sz="0" w:space="0" w:color="auto"/>
            <w:bottom w:val="none" w:sz="0" w:space="0" w:color="auto"/>
            <w:right w:val="none" w:sz="0" w:space="0" w:color="auto"/>
          </w:divBdr>
          <w:divsChild>
            <w:div w:id="1728333827">
              <w:marLeft w:val="0"/>
              <w:marRight w:val="0"/>
              <w:marTop w:val="0"/>
              <w:marBottom w:val="0"/>
              <w:divBdr>
                <w:top w:val="none" w:sz="0" w:space="0" w:color="auto"/>
                <w:left w:val="none" w:sz="0" w:space="0" w:color="auto"/>
                <w:bottom w:val="none" w:sz="0" w:space="0" w:color="auto"/>
                <w:right w:val="none" w:sz="0" w:space="0" w:color="auto"/>
              </w:divBdr>
              <w:divsChild>
                <w:div w:id="356974735">
                  <w:marLeft w:val="0"/>
                  <w:marRight w:val="0"/>
                  <w:marTop w:val="0"/>
                  <w:marBottom w:val="0"/>
                  <w:divBdr>
                    <w:top w:val="none" w:sz="0" w:space="0" w:color="auto"/>
                    <w:left w:val="none" w:sz="0" w:space="0" w:color="auto"/>
                    <w:bottom w:val="none" w:sz="0" w:space="0" w:color="auto"/>
                    <w:right w:val="none" w:sz="0" w:space="0" w:color="auto"/>
                  </w:divBdr>
                  <w:divsChild>
                    <w:div w:id="1535314388">
                      <w:marLeft w:val="0"/>
                      <w:marRight w:val="0"/>
                      <w:marTop w:val="0"/>
                      <w:marBottom w:val="0"/>
                      <w:divBdr>
                        <w:top w:val="none" w:sz="0" w:space="0" w:color="auto"/>
                        <w:left w:val="none" w:sz="0" w:space="0" w:color="auto"/>
                        <w:bottom w:val="none" w:sz="0" w:space="0" w:color="auto"/>
                        <w:right w:val="none" w:sz="0" w:space="0" w:color="auto"/>
                      </w:divBdr>
                      <w:divsChild>
                        <w:div w:id="600114809">
                          <w:marLeft w:val="0"/>
                          <w:marRight w:val="0"/>
                          <w:marTop w:val="0"/>
                          <w:marBottom w:val="0"/>
                          <w:divBdr>
                            <w:top w:val="none" w:sz="0" w:space="0" w:color="auto"/>
                            <w:left w:val="none" w:sz="0" w:space="0" w:color="auto"/>
                            <w:bottom w:val="none" w:sz="0" w:space="0" w:color="auto"/>
                            <w:right w:val="none" w:sz="0" w:space="0" w:color="auto"/>
                          </w:divBdr>
                          <w:divsChild>
                            <w:div w:id="1140807967">
                              <w:marLeft w:val="0"/>
                              <w:marRight w:val="0"/>
                              <w:marTop w:val="0"/>
                              <w:marBottom w:val="0"/>
                              <w:divBdr>
                                <w:top w:val="none" w:sz="0" w:space="0" w:color="auto"/>
                                <w:left w:val="none" w:sz="0" w:space="0" w:color="auto"/>
                                <w:bottom w:val="none" w:sz="0" w:space="0" w:color="auto"/>
                                <w:right w:val="none" w:sz="0" w:space="0" w:color="auto"/>
                              </w:divBdr>
                              <w:divsChild>
                                <w:div w:id="379014364">
                                  <w:marLeft w:val="0"/>
                                  <w:marRight w:val="0"/>
                                  <w:marTop w:val="0"/>
                                  <w:marBottom w:val="0"/>
                                  <w:divBdr>
                                    <w:top w:val="none" w:sz="0" w:space="0" w:color="auto"/>
                                    <w:left w:val="none" w:sz="0" w:space="0" w:color="auto"/>
                                    <w:bottom w:val="none" w:sz="0" w:space="0" w:color="auto"/>
                                    <w:right w:val="none" w:sz="0" w:space="0" w:color="auto"/>
                                  </w:divBdr>
                                  <w:divsChild>
                                    <w:div w:id="187311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4692938">
      <w:bodyDiv w:val="1"/>
      <w:marLeft w:val="0"/>
      <w:marRight w:val="0"/>
      <w:marTop w:val="0"/>
      <w:marBottom w:val="0"/>
      <w:divBdr>
        <w:top w:val="none" w:sz="0" w:space="0" w:color="auto"/>
        <w:left w:val="none" w:sz="0" w:space="0" w:color="auto"/>
        <w:bottom w:val="none" w:sz="0" w:space="0" w:color="auto"/>
        <w:right w:val="none" w:sz="0" w:space="0" w:color="auto"/>
      </w:divBdr>
      <w:divsChild>
        <w:div w:id="47261739">
          <w:marLeft w:val="0"/>
          <w:marRight w:val="0"/>
          <w:marTop w:val="0"/>
          <w:marBottom w:val="0"/>
          <w:divBdr>
            <w:top w:val="none" w:sz="0" w:space="0" w:color="auto"/>
            <w:left w:val="none" w:sz="0" w:space="0" w:color="auto"/>
            <w:bottom w:val="dotted" w:sz="6" w:space="4" w:color="DDDDDD"/>
            <w:right w:val="none" w:sz="0" w:space="0" w:color="auto"/>
          </w:divBdr>
        </w:div>
      </w:divsChild>
    </w:div>
    <w:div w:id="404764728">
      <w:bodyDiv w:val="1"/>
      <w:marLeft w:val="0"/>
      <w:marRight w:val="0"/>
      <w:marTop w:val="0"/>
      <w:marBottom w:val="0"/>
      <w:divBdr>
        <w:top w:val="none" w:sz="0" w:space="0" w:color="auto"/>
        <w:left w:val="none" w:sz="0" w:space="0" w:color="auto"/>
        <w:bottom w:val="none" w:sz="0" w:space="0" w:color="auto"/>
        <w:right w:val="none" w:sz="0" w:space="0" w:color="auto"/>
      </w:divBdr>
      <w:divsChild>
        <w:div w:id="1124234000">
          <w:marLeft w:val="0"/>
          <w:marRight w:val="0"/>
          <w:marTop w:val="0"/>
          <w:marBottom w:val="0"/>
          <w:divBdr>
            <w:top w:val="none" w:sz="0" w:space="0" w:color="auto"/>
            <w:left w:val="none" w:sz="0" w:space="0" w:color="auto"/>
            <w:bottom w:val="none" w:sz="0" w:space="0" w:color="auto"/>
            <w:right w:val="none" w:sz="0" w:space="0" w:color="auto"/>
          </w:divBdr>
        </w:div>
        <w:div w:id="1591936007">
          <w:marLeft w:val="0"/>
          <w:marRight w:val="0"/>
          <w:marTop w:val="0"/>
          <w:marBottom w:val="0"/>
          <w:divBdr>
            <w:top w:val="none" w:sz="0" w:space="0" w:color="auto"/>
            <w:left w:val="none" w:sz="0" w:space="0" w:color="auto"/>
            <w:bottom w:val="none" w:sz="0" w:space="0" w:color="auto"/>
            <w:right w:val="none" w:sz="0" w:space="0" w:color="auto"/>
          </w:divBdr>
        </w:div>
      </w:divsChild>
    </w:div>
    <w:div w:id="405037977">
      <w:bodyDiv w:val="1"/>
      <w:marLeft w:val="0"/>
      <w:marRight w:val="0"/>
      <w:marTop w:val="0"/>
      <w:marBottom w:val="0"/>
      <w:divBdr>
        <w:top w:val="none" w:sz="0" w:space="0" w:color="auto"/>
        <w:left w:val="none" w:sz="0" w:space="0" w:color="auto"/>
        <w:bottom w:val="none" w:sz="0" w:space="0" w:color="auto"/>
        <w:right w:val="none" w:sz="0" w:space="0" w:color="auto"/>
      </w:divBdr>
      <w:divsChild>
        <w:div w:id="1005475739">
          <w:marLeft w:val="0"/>
          <w:marRight w:val="0"/>
          <w:marTop w:val="0"/>
          <w:marBottom w:val="150"/>
          <w:divBdr>
            <w:top w:val="none" w:sz="0" w:space="0" w:color="auto"/>
            <w:left w:val="none" w:sz="0" w:space="0" w:color="auto"/>
            <w:bottom w:val="none" w:sz="0" w:space="0" w:color="auto"/>
            <w:right w:val="none" w:sz="0" w:space="0" w:color="auto"/>
          </w:divBdr>
          <w:divsChild>
            <w:div w:id="71702775">
              <w:marLeft w:val="0"/>
              <w:marRight w:val="0"/>
              <w:marTop w:val="0"/>
              <w:marBottom w:val="0"/>
              <w:divBdr>
                <w:top w:val="none" w:sz="0" w:space="0" w:color="auto"/>
                <w:left w:val="none" w:sz="0" w:space="0" w:color="auto"/>
                <w:bottom w:val="none" w:sz="0" w:space="0" w:color="auto"/>
                <w:right w:val="none" w:sz="0" w:space="0" w:color="auto"/>
              </w:divBdr>
              <w:divsChild>
                <w:div w:id="863057136">
                  <w:marLeft w:val="0"/>
                  <w:marRight w:val="0"/>
                  <w:marTop w:val="0"/>
                  <w:marBottom w:val="0"/>
                  <w:divBdr>
                    <w:top w:val="none" w:sz="0" w:space="0" w:color="auto"/>
                    <w:left w:val="none" w:sz="0" w:space="0" w:color="auto"/>
                    <w:bottom w:val="none" w:sz="0" w:space="0" w:color="auto"/>
                    <w:right w:val="none" w:sz="0" w:space="0" w:color="auto"/>
                  </w:divBdr>
                  <w:divsChild>
                    <w:div w:id="1112482636">
                      <w:marLeft w:val="0"/>
                      <w:marRight w:val="150"/>
                      <w:marTop w:val="0"/>
                      <w:marBottom w:val="0"/>
                      <w:divBdr>
                        <w:top w:val="none" w:sz="0" w:space="0" w:color="auto"/>
                        <w:left w:val="none" w:sz="0" w:space="0" w:color="auto"/>
                        <w:bottom w:val="none" w:sz="0" w:space="0" w:color="auto"/>
                        <w:right w:val="none" w:sz="0" w:space="0" w:color="auto"/>
                      </w:divBdr>
                      <w:divsChild>
                        <w:div w:id="112612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595614">
          <w:marLeft w:val="0"/>
          <w:marRight w:val="0"/>
          <w:marTop w:val="0"/>
          <w:marBottom w:val="150"/>
          <w:divBdr>
            <w:top w:val="none" w:sz="0" w:space="0" w:color="auto"/>
            <w:left w:val="none" w:sz="0" w:space="0" w:color="auto"/>
            <w:bottom w:val="none" w:sz="0" w:space="0" w:color="auto"/>
            <w:right w:val="none" w:sz="0" w:space="0" w:color="auto"/>
          </w:divBdr>
        </w:div>
        <w:div w:id="1684819150">
          <w:marLeft w:val="0"/>
          <w:marRight w:val="0"/>
          <w:marTop w:val="0"/>
          <w:marBottom w:val="0"/>
          <w:divBdr>
            <w:top w:val="none" w:sz="0" w:space="0" w:color="auto"/>
            <w:left w:val="none" w:sz="0" w:space="0" w:color="auto"/>
            <w:bottom w:val="none" w:sz="0" w:space="0" w:color="auto"/>
            <w:right w:val="none" w:sz="0" w:space="0" w:color="auto"/>
          </w:divBdr>
          <w:divsChild>
            <w:div w:id="78369366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05148826">
      <w:bodyDiv w:val="1"/>
      <w:marLeft w:val="0"/>
      <w:marRight w:val="0"/>
      <w:marTop w:val="0"/>
      <w:marBottom w:val="0"/>
      <w:divBdr>
        <w:top w:val="none" w:sz="0" w:space="0" w:color="auto"/>
        <w:left w:val="none" w:sz="0" w:space="0" w:color="auto"/>
        <w:bottom w:val="none" w:sz="0" w:space="0" w:color="auto"/>
        <w:right w:val="none" w:sz="0" w:space="0" w:color="auto"/>
      </w:divBdr>
      <w:divsChild>
        <w:div w:id="2066946717">
          <w:marLeft w:val="0"/>
          <w:marRight w:val="0"/>
          <w:marTop w:val="0"/>
          <w:marBottom w:val="0"/>
          <w:divBdr>
            <w:top w:val="none" w:sz="0" w:space="0" w:color="auto"/>
            <w:left w:val="none" w:sz="0" w:space="0" w:color="auto"/>
            <w:bottom w:val="none" w:sz="0" w:space="0" w:color="auto"/>
            <w:right w:val="none" w:sz="0" w:space="0" w:color="auto"/>
          </w:divBdr>
        </w:div>
      </w:divsChild>
    </w:div>
    <w:div w:id="405222793">
      <w:bodyDiv w:val="1"/>
      <w:marLeft w:val="0"/>
      <w:marRight w:val="0"/>
      <w:marTop w:val="0"/>
      <w:marBottom w:val="0"/>
      <w:divBdr>
        <w:top w:val="none" w:sz="0" w:space="0" w:color="auto"/>
        <w:left w:val="none" w:sz="0" w:space="0" w:color="auto"/>
        <w:bottom w:val="none" w:sz="0" w:space="0" w:color="auto"/>
        <w:right w:val="none" w:sz="0" w:space="0" w:color="auto"/>
      </w:divBdr>
      <w:divsChild>
        <w:div w:id="1189179817">
          <w:marLeft w:val="0"/>
          <w:marRight w:val="0"/>
          <w:marTop w:val="0"/>
          <w:marBottom w:val="0"/>
          <w:divBdr>
            <w:top w:val="none" w:sz="0" w:space="0" w:color="auto"/>
            <w:left w:val="none" w:sz="0" w:space="0" w:color="auto"/>
            <w:bottom w:val="dotted" w:sz="6" w:space="4" w:color="DDDDDD"/>
            <w:right w:val="none" w:sz="0" w:space="0" w:color="auto"/>
          </w:divBdr>
          <w:divsChild>
            <w:div w:id="107852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0787">
      <w:bodyDiv w:val="1"/>
      <w:marLeft w:val="0"/>
      <w:marRight w:val="0"/>
      <w:marTop w:val="0"/>
      <w:marBottom w:val="0"/>
      <w:divBdr>
        <w:top w:val="none" w:sz="0" w:space="0" w:color="auto"/>
        <w:left w:val="none" w:sz="0" w:space="0" w:color="auto"/>
        <w:bottom w:val="none" w:sz="0" w:space="0" w:color="auto"/>
        <w:right w:val="none" w:sz="0" w:space="0" w:color="auto"/>
      </w:divBdr>
    </w:div>
    <w:div w:id="406341114">
      <w:bodyDiv w:val="1"/>
      <w:marLeft w:val="0"/>
      <w:marRight w:val="0"/>
      <w:marTop w:val="0"/>
      <w:marBottom w:val="0"/>
      <w:divBdr>
        <w:top w:val="none" w:sz="0" w:space="0" w:color="auto"/>
        <w:left w:val="none" w:sz="0" w:space="0" w:color="auto"/>
        <w:bottom w:val="none" w:sz="0" w:space="0" w:color="auto"/>
        <w:right w:val="none" w:sz="0" w:space="0" w:color="auto"/>
      </w:divBdr>
      <w:divsChild>
        <w:div w:id="1525290890">
          <w:marLeft w:val="0"/>
          <w:marRight w:val="0"/>
          <w:marTop w:val="0"/>
          <w:marBottom w:val="150"/>
          <w:divBdr>
            <w:top w:val="none" w:sz="0" w:space="0" w:color="auto"/>
            <w:left w:val="none" w:sz="0" w:space="0" w:color="auto"/>
            <w:bottom w:val="none" w:sz="0" w:space="0" w:color="auto"/>
            <w:right w:val="none" w:sz="0" w:space="0" w:color="auto"/>
          </w:divBdr>
        </w:div>
      </w:divsChild>
    </w:div>
    <w:div w:id="406462480">
      <w:bodyDiv w:val="1"/>
      <w:marLeft w:val="0"/>
      <w:marRight w:val="0"/>
      <w:marTop w:val="0"/>
      <w:marBottom w:val="0"/>
      <w:divBdr>
        <w:top w:val="none" w:sz="0" w:space="0" w:color="auto"/>
        <w:left w:val="none" w:sz="0" w:space="0" w:color="auto"/>
        <w:bottom w:val="none" w:sz="0" w:space="0" w:color="auto"/>
        <w:right w:val="none" w:sz="0" w:space="0" w:color="auto"/>
      </w:divBdr>
    </w:div>
    <w:div w:id="406728542">
      <w:bodyDiv w:val="1"/>
      <w:marLeft w:val="0"/>
      <w:marRight w:val="0"/>
      <w:marTop w:val="0"/>
      <w:marBottom w:val="0"/>
      <w:divBdr>
        <w:top w:val="none" w:sz="0" w:space="0" w:color="auto"/>
        <w:left w:val="none" w:sz="0" w:space="0" w:color="auto"/>
        <w:bottom w:val="none" w:sz="0" w:space="0" w:color="auto"/>
        <w:right w:val="none" w:sz="0" w:space="0" w:color="auto"/>
      </w:divBdr>
      <w:divsChild>
        <w:div w:id="1416433548">
          <w:marLeft w:val="0"/>
          <w:marRight w:val="0"/>
          <w:marTop w:val="0"/>
          <w:marBottom w:val="150"/>
          <w:divBdr>
            <w:top w:val="none" w:sz="0" w:space="0" w:color="auto"/>
            <w:left w:val="none" w:sz="0" w:space="0" w:color="auto"/>
            <w:bottom w:val="none" w:sz="0" w:space="0" w:color="auto"/>
            <w:right w:val="none" w:sz="0" w:space="0" w:color="auto"/>
          </w:divBdr>
        </w:div>
        <w:div w:id="1806308457">
          <w:marLeft w:val="0"/>
          <w:marRight w:val="0"/>
          <w:marTop w:val="0"/>
          <w:marBottom w:val="0"/>
          <w:divBdr>
            <w:top w:val="none" w:sz="0" w:space="0" w:color="auto"/>
            <w:left w:val="none" w:sz="0" w:space="0" w:color="auto"/>
            <w:bottom w:val="none" w:sz="0" w:space="0" w:color="auto"/>
            <w:right w:val="none" w:sz="0" w:space="0" w:color="auto"/>
          </w:divBdr>
        </w:div>
      </w:divsChild>
    </w:div>
    <w:div w:id="406996435">
      <w:bodyDiv w:val="1"/>
      <w:marLeft w:val="0"/>
      <w:marRight w:val="0"/>
      <w:marTop w:val="0"/>
      <w:marBottom w:val="0"/>
      <w:divBdr>
        <w:top w:val="none" w:sz="0" w:space="0" w:color="auto"/>
        <w:left w:val="none" w:sz="0" w:space="0" w:color="auto"/>
        <w:bottom w:val="none" w:sz="0" w:space="0" w:color="auto"/>
        <w:right w:val="none" w:sz="0" w:space="0" w:color="auto"/>
      </w:divBdr>
      <w:divsChild>
        <w:div w:id="957906039">
          <w:marLeft w:val="0"/>
          <w:marRight w:val="0"/>
          <w:marTop w:val="0"/>
          <w:marBottom w:val="150"/>
          <w:divBdr>
            <w:top w:val="none" w:sz="0" w:space="0" w:color="auto"/>
            <w:left w:val="none" w:sz="0" w:space="0" w:color="auto"/>
            <w:bottom w:val="none" w:sz="0" w:space="0" w:color="auto"/>
            <w:right w:val="none" w:sz="0" w:space="0" w:color="auto"/>
          </w:divBdr>
        </w:div>
      </w:divsChild>
    </w:div>
    <w:div w:id="407263524">
      <w:bodyDiv w:val="1"/>
      <w:marLeft w:val="0"/>
      <w:marRight w:val="0"/>
      <w:marTop w:val="0"/>
      <w:marBottom w:val="0"/>
      <w:divBdr>
        <w:top w:val="none" w:sz="0" w:space="0" w:color="auto"/>
        <w:left w:val="none" w:sz="0" w:space="0" w:color="auto"/>
        <w:bottom w:val="none" w:sz="0" w:space="0" w:color="auto"/>
        <w:right w:val="none" w:sz="0" w:space="0" w:color="auto"/>
      </w:divBdr>
    </w:div>
    <w:div w:id="407576510">
      <w:bodyDiv w:val="1"/>
      <w:marLeft w:val="0"/>
      <w:marRight w:val="0"/>
      <w:marTop w:val="0"/>
      <w:marBottom w:val="0"/>
      <w:divBdr>
        <w:top w:val="none" w:sz="0" w:space="0" w:color="auto"/>
        <w:left w:val="none" w:sz="0" w:space="0" w:color="auto"/>
        <w:bottom w:val="none" w:sz="0" w:space="0" w:color="auto"/>
        <w:right w:val="none" w:sz="0" w:space="0" w:color="auto"/>
      </w:divBdr>
    </w:div>
    <w:div w:id="407700949">
      <w:bodyDiv w:val="1"/>
      <w:marLeft w:val="0"/>
      <w:marRight w:val="0"/>
      <w:marTop w:val="0"/>
      <w:marBottom w:val="0"/>
      <w:divBdr>
        <w:top w:val="none" w:sz="0" w:space="0" w:color="auto"/>
        <w:left w:val="none" w:sz="0" w:space="0" w:color="auto"/>
        <w:bottom w:val="none" w:sz="0" w:space="0" w:color="auto"/>
        <w:right w:val="none" w:sz="0" w:space="0" w:color="auto"/>
      </w:divBdr>
      <w:divsChild>
        <w:div w:id="94449556">
          <w:marLeft w:val="0"/>
          <w:marRight w:val="0"/>
          <w:marTop w:val="0"/>
          <w:marBottom w:val="150"/>
          <w:divBdr>
            <w:top w:val="none" w:sz="0" w:space="0" w:color="auto"/>
            <w:left w:val="none" w:sz="0" w:space="0" w:color="auto"/>
            <w:bottom w:val="none" w:sz="0" w:space="0" w:color="auto"/>
            <w:right w:val="none" w:sz="0" w:space="0" w:color="auto"/>
          </w:divBdr>
          <w:divsChild>
            <w:div w:id="146438283">
              <w:marLeft w:val="0"/>
              <w:marRight w:val="0"/>
              <w:marTop w:val="0"/>
              <w:marBottom w:val="0"/>
              <w:divBdr>
                <w:top w:val="none" w:sz="0" w:space="0" w:color="auto"/>
                <w:left w:val="none" w:sz="0" w:space="0" w:color="auto"/>
                <w:bottom w:val="none" w:sz="0" w:space="0" w:color="auto"/>
                <w:right w:val="none" w:sz="0" w:space="0" w:color="auto"/>
              </w:divBdr>
            </w:div>
          </w:divsChild>
        </w:div>
        <w:div w:id="617494309">
          <w:marLeft w:val="0"/>
          <w:marRight w:val="0"/>
          <w:marTop w:val="0"/>
          <w:marBottom w:val="0"/>
          <w:divBdr>
            <w:top w:val="none" w:sz="0" w:space="0" w:color="auto"/>
            <w:left w:val="none" w:sz="0" w:space="0" w:color="auto"/>
            <w:bottom w:val="none" w:sz="0" w:space="0" w:color="auto"/>
            <w:right w:val="none" w:sz="0" w:space="0" w:color="auto"/>
          </w:divBdr>
          <w:divsChild>
            <w:div w:id="1558316080">
              <w:marLeft w:val="0"/>
              <w:marRight w:val="0"/>
              <w:marTop w:val="0"/>
              <w:marBottom w:val="0"/>
              <w:divBdr>
                <w:top w:val="none" w:sz="0" w:space="0" w:color="auto"/>
                <w:left w:val="none" w:sz="0" w:space="0" w:color="auto"/>
                <w:bottom w:val="none" w:sz="0" w:space="0" w:color="auto"/>
                <w:right w:val="none" w:sz="0" w:space="0" w:color="auto"/>
              </w:divBdr>
            </w:div>
          </w:divsChild>
        </w:div>
        <w:div w:id="1299531268">
          <w:marLeft w:val="0"/>
          <w:marRight w:val="0"/>
          <w:marTop w:val="0"/>
          <w:marBottom w:val="150"/>
          <w:divBdr>
            <w:top w:val="none" w:sz="0" w:space="0" w:color="auto"/>
            <w:left w:val="none" w:sz="0" w:space="0" w:color="auto"/>
            <w:bottom w:val="none" w:sz="0" w:space="0" w:color="auto"/>
            <w:right w:val="none" w:sz="0" w:space="0" w:color="auto"/>
          </w:divBdr>
        </w:div>
      </w:divsChild>
    </w:div>
    <w:div w:id="407846308">
      <w:bodyDiv w:val="1"/>
      <w:marLeft w:val="0"/>
      <w:marRight w:val="0"/>
      <w:marTop w:val="0"/>
      <w:marBottom w:val="0"/>
      <w:divBdr>
        <w:top w:val="none" w:sz="0" w:space="0" w:color="auto"/>
        <w:left w:val="none" w:sz="0" w:space="0" w:color="auto"/>
        <w:bottom w:val="none" w:sz="0" w:space="0" w:color="auto"/>
        <w:right w:val="none" w:sz="0" w:space="0" w:color="auto"/>
      </w:divBdr>
      <w:divsChild>
        <w:div w:id="784886356">
          <w:marLeft w:val="0"/>
          <w:marRight w:val="0"/>
          <w:marTop w:val="0"/>
          <w:marBottom w:val="0"/>
          <w:divBdr>
            <w:top w:val="none" w:sz="0" w:space="0" w:color="auto"/>
            <w:left w:val="none" w:sz="0" w:space="0" w:color="auto"/>
            <w:bottom w:val="none" w:sz="0" w:space="0" w:color="auto"/>
            <w:right w:val="none" w:sz="0" w:space="0" w:color="auto"/>
          </w:divBdr>
          <w:divsChild>
            <w:div w:id="3165471">
              <w:marLeft w:val="0"/>
              <w:marRight w:val="0"/>
              <w:marTop w:val="0"/>
              <w:marBottom w:val="0"/>
              <w:divBdr>
                <w:top w:val="none" w:sz="0" w:space="0" w:color="auto"/>
                <w:left w:val="none" w:sz="0" w:space="0" w:color="auto"/>
                <w:bottom w:val="none" w:sz="0" w:space="0" w:color="auto"/>
                <w:right w:val="none" w:sz="0" w:space="0" w:color="auto"/>
              </w:divBdr>
            </w:div>
          </w:divsChild>
        </w:div>
        <w:div w:id="855312314">
          <w:marLeft w:val="0"/>
          <w:marRight w:val="0"/>
          <w:marTop w:val="0"/>
          <w:marBottom w:val="0"/>
          <w:divBdr>
            <w:top w:val="none" w:sz="0" w:space="0" w:color="auto"/>
            <w:left w:val="none" w:sz="0" w:space="0" w:color="auto"/>
            <w:bottom w:val="none" w:sz="0" w:space="0" w:color="auto"/>
            <w:right w:val="none" w:sz="0" w:space="0" w:color="auto"/>
          </w:divBdr>
        </w:div>
        <w:div w:id="2029481745">
          <w:marLeft w:val="0"/>
          <w:marRight w:val="0"/>
          <w:marTop w:val="0"/>
          <w:marBottom w:val="0"/>
          <w:divBdr>
            <w:top w:val="none" w:sz="0" w:space="0" w:color="auto"/>
            <w:left w:val="none" w:sz="0" w:space="0" w:color="auto"/>
            <w:bottom w:val="none" w:sz="0" w:space="0" w:color="auto"/>
            <w:right w:val="none" w:sz="0" w:space="0" w:color="auto"/>
          </w:divBdr>
          <w:divsChild>
            <w:div w:id="1338533558">
              <w:marLeft w:val="-225"/>
              <w:marRight w:val="-225"/>
              <w:marTop w:val="0"/>
              <w:marBottom w:val="0"/>
              <w:divBdr>
                <w:top w:val="none" w:sz="0" w:space="0" w:color="auto"/>
                <w:left w:val="none" w:sz="0" w:space="0" w:color="auto"/>
                <w:bottom w:val="none" w:sz="0" w:space="0" w:color="auto"/>
                <w:right w:val="none" w:sz="0" w:space="0" w:color="auto"/>
              </w:divBdr>
              <w:divsChild>
                <w:div w:id="670181723">
                  <w:marLeft w:val="0"/>
                  <w:marRight w:val="0"/>
                  <w:marTop w:val="0"/>
                  <w:marBottom w:val="0"/>
                  <w:divBdr>
                    <w:top w:val="none" w:sz="0" w:space="0" w:color="auto"/>
                    <w:left w:val="none" w:sz="0" w:space="0" w:color="auto"/>
                    <w:bottom w:val="none" w:sz="0" w:space="0" w:color="auto"/>
                    <w:right w:val="single" w:sz="6" w:space="0" w:color="000000"/>
                  </w:divBdr>
                  <w:divsChild>
                    <w:div w:id="1134904115">
                      <w:marLeft w:val="0"/>
                      <w:marRight w:val="0"/>
                      <w:marTop w:val="0"/>
                      <w:marBottom w:val="0"/>
                      <w:divBdr>
                        <w:top w:val="none" w:sz="0" w:space="0" w:color="auto"/>
                        <w:left w:val="none" w:sz="0" w:space="0" w:color="auto"/>
                        <w:bottom w:val="none" w:sz="0" w:space="0" w:color="auto"/>
                        <w:right w:val="none" w:sz="0" w:space="0" w:color="auto"/>
                      </w:divBdr>
                      <w:divsChild>
                        <w:div w:id="1646736085">
                          <w:marLeft w:val="0"/>
                          <w:marRight w:val="0"/>
                          <w:marTop w:val="0"/>
                          <w:marBottom w:val="0"/>
                          <w:divBdr>
                            <w:top w:val="none" w:sz="0" w:space="0" w:color="auto"/>
                            <w:left w:val="none" w:sz="0" w:space="0" w:color="auto"/>
                            <w:bottom w:val="none" w:sz="0" w:space="0" w:color="auto"/>
                            <w:right w:val="none" w:sz="0" w:space="0" w:color="auto"/>
                          </w:divBdr>
                        </w:div>
                        <w:div w:id="78554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13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188386">
      <w:bodyDiv w:val="1"/>
      <w:marLeft w:val="0"/>
      <w:marRight w:val="0"/>
      <w:marTop w:val="0"/>
      <w:marBottom w:val="0"/>
      <w:divBdr>
        <w:top w:val="none" w:sz="0" w:space="0" w:color="auto"/>
        <w:left w:val="none" w:sz="0" w:space="0" w:color="auto"/>
        <w:bottom w:val="none" w:sz="0" w:space="0" w:color="auto"/>
        <w:right w:val="none" w:sz="0" w:space="0" w:color="auto"/>
      </w:divBdr>
      <w:divsChild>
        <w:div w:id="745684647">
          <w:marLeft w:val="0"/>
          <w:marRight w:val="0"/>
          <w:marTop w:val="0"/>
          <w:marBottom w:val="0"/>
          <w:divBdr>
            <w:top w:val="none" w:sz="0" w:space="0" w:color="auto"/>
            <w:left w:val="none" w:sz="0" w:space="0" w:color="auto"/>
            <w:bottom w:val="none" w:sz="0" w:space="0" w:color="auto"/>
            <w:right w:val="none" w:sz="0" w:space="0" w:color="auto"/>
          </w:divBdr>
          <w:divsChild>
            <w:div w:id="150411524">
              <w:marLeft w:val="0"/>
              <w:marRight w:val="0"/>
              <w:marTop w:val="0"/>
              <w:marBottom w:val="0"/>
              <w:divBdr>
                <w:top w:val="none" w:sz="0" w:space="0" w:color="auto"/>
                <w:left w:val="none" w:sz="0" w:space="0" w:color="auto"/>
                <w:bottom w:val="none" w:sz="0" w:space="0" w:color="auto"/>
                <w:right w:val="none" w:sz="0" w:space="0" w:color="auto"/>
              </w:divBdr>
              <w:divsChild>
                <w:div w:id="1579441379">
                  <w:marLeft w:val="0"/>
                  <w:marRight w:val="0"/>
                  <w:marTop w:val="0"/>
                  <w:marBottom w:val="0"/>
                  <w:divBdr>
                    <w:top w:val="none" w:sz="0" w:space="0" w:color="auto"/>
                    <w:left w:val="none" w:sz="0" w:space="0" w:color="auto"/>
                    <w:bottom w:val="none" w:sz="0" w:space="0" w:color="auto"/>
                    <w:right w:val="none" w:sz="0" w:space="0" w:color="auto"/>
                  </w:divBdr>
                  <w:divsChild>
                    <w:div w:id="434863876">
                      <w:marLeft w:val="0"/>
                      <w:marRight w:val="0"/>
                      <w:marTop w:val="0"/>
                      <w:marBottom w:val="0"/>
                      <w:divBdr>
                        <w:top w:val="none" w:sz="0" w:space="0" w:color="auto"/>
                        <w:left w:val="none" w:sz="0" w:space="0" w:color="auto"/>
                        <w:bottom w:val="none" w:sz="0" w:space="0" w:color="auto"/>
                        <w:right w:val="none" w:sz="0" w:space="0" w:color="auto"/>
                      </w:divBdr>
                      <w:divsChild>
                        <w:div w:id="428627458">
                          <w:marLeft w:val="0"/>
                          <w:marRight w:val="0"/>
                          <w:marTop w:val="0"/>
                          <w:marBottom w:val="0"/>
                          <w:divBdr>
                            <w:top w:val="none" w:sz="0" w:space="0" w:color="auto"/>
                            <w:left w:val="none" w:sz="0" w:space="0" w:color="auto"/>
                            <w:bottom w:val="none" w:sz="0" w:space="0" w:color="auto"/>
                            <w:right w:val="none" w:sz="0" w:space="0" w:color="auto"/>
                          </w:divBdr>
                          <w:divsChild>
                            <w:div w:id="1255822993">
                              <w:marLeft w:val="0"/>
                              <w:marRight w:val="0"/>
                              <w:marTop w:val="0"/>
                              <w:marBottom w:val="0"/>
                              <w:divBdr>
                                <w:top w:val="none" w:sz="0" w:space="0" w:color="auto"/>
                                <w:left w:val="none" w:sz="0" w:space="0" w:color="auto"/>
                                <w:bottom w:val="none" w:sz="0" w:space="0" w:color="auto"/>
                                <w:right w:val="none" w:sz="0" w:space="0" w:color="auto"/>
                              </w:divBdr>
                              <w:divsChild>
                                <w:div w:id="1940523621">
                                  <w:marLeft w:val="0"/>
                                  <w:marRight w:val="0"/>
                                  <w:marTop w:val="0"/>
                                  <w:marBottom w:val="0"/>
                                  <w:divBdr>
                                    <w:top w:val="none" w:sz="0" w:space="0" w:color="auto"/>
                                    <w:left w:val="none" w:sz="0" w:space="0" w:color="auto"/>
                                    <w:bottom w:val="none" w:sz="0" w:space="0" w:color="auto"/>
                                    <w:right w:val="none" w:sz="0" w:space="0" w:color="auto"/>
                                  </w:divBdr>
                                  <w:divsChild>
                                    <w:div w:id="47502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501355">
      <w:bodyDiv w:val="1"/>
      <w:marLeft w:val="0"/>
      <w:marRight w:val="0"/>
      <w:marTop w:val="0"/>
      <w:marBottom w:val="0"/>
      <w:divBdr>
        <w:top w:val="none" w:sz="0" w:space="0" w:color="auto"/>
        <w:left w:val="none" w:sz="0" w:space="0" w:color="auto"/>
        <w:bottom w:val="none" w:sz="0" w:space="0" w:color="auto"/>
        <w:right w:val="none" w:sz="0" w:space="0" w:color="auto"/>
      </w:divBdr>
      <w:divsChild>
        <w:div w:id="395251419">
          <w:marLeft w:val="0"/>
          <w:marRight w:val="0"/>
          <w:marTop w:val="0"/>
          <w:marBottom w:val="150"/>
          <w:divBdr>
            <w:top w:val="none" w:sz="0" w:space="0" w:color="auto"/>
            <w:left w:val="none" w:sz="0" w:space="0" w:color="auto"/>
            <w:bottom w:val="none" w:sz="0" w:space="0" w:color="auto"/>
            <w:right w:val="none" w:sz="0" w:space="0" w:color="auto"/>
          </w:divBdr>
        </w:div>
        <w:div w:id="1366252774">
          <w:marLeft w:val="0"/>
          <w:marRight w:val="0"/>
          <w:marTop w:val="0"/>
          <w:marBottom w:val="150"/>
          <w:divBdr>
            <w:top w:val="none" w:sz="0" w:space="0" w:color="auto"/>
            <w:left w:val="none" w:sz="0" w:space="0" w:color="auto"/>
            <w:bottom w:val="none" w:sz="0" w:space="0" w:color="auto"/>
            <w:right w:val="none" w:sz="0" w:space="0" w:color="auto"/>
          </w:divBdr>
          <w:divsChild>
            <w:div w:id="35979633">
              <w:marLeft w:val="0"/>
              <w:marRight w:val="0"/>
              <w:marTop w:val="0"/>
              <w:marBottom w:val="0"/>
              <w:divBdr>
                <w:top w:val="none" w:sz="0" w:space="0" w:color="auto"/>
                <w:left w:val="none" w:sz="0" w:space="0" w:color="auto"/>
                <w:bottom w:val="none" w:sz="0" w:space="0" w:color="auto"/>
                <w:right w:val="none" w:sz="0" w:space="0" w:color="auto"/>
              </w:divBdr>
            </w:div>
          </w:divsChild>
        </w:div>
        <w:div w:id="1382556151">
          <w:marLeft w:val="0"/>
          <w:marRight w:val="0"/>
          <w:marTop w:val="0"/>
          <w:marBottom w:val="0"/>
          <w:divBdr>
            <w:top w:val="none" w:sz="0" w:space="0" w:color="auto"/>
            <w:left w:val="none" w:sz="0" w:space="0" w:color="auto"/>
            <w:bottom w:val="none" w:sz="0" w:space="0" w:color="auto"/>
            <w:right w:val="none" w:sz="0" w:space="0" w:color="auto"/>
          </w:divBdr>
          <w:divsChild>
            <w:div w:id="10533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82206">
      <w:bodyDiv w:val="1"/>
      <w:marLeft w:val="0"/>
      <w:marRight w:val="0"/>
      <w:marTop w:val="0"/>
      <w:marBottom w:val="0"/>
      <w:divBdr>
        <w:top w:val="none" w:sz="0" w:space="0" w:color="auto"/>
        <w:left w:val="none" w:sz="0" w:space="0" w:color="auto"/>
        <w:bottom w:val="none" w:sz="0" w:space="0" w:color="auto"/>
        <w:right w:val="none" w:sz="0" w:space="0" w:color="auto"/>
      </w:divBdr>
      <w:divsChild>
        <w:div w:id="1870143811">
          <w:marLeft w:val="0"/>
          <w:marRight w:val="0"/>
          <w:marTop w:val="0"/>
          <w:marBottom w:val="150"/>
          <w:divBdr>
            <w:top w:val="none" w:sz="0" w:space="0" w:color="auto"/>
            <w:left w:val="none" w:sz="0" w:space="0" w:color="auto"/>
            <w:bottom w:val="none" w:sz="0" w:space="0" w:color="auto"/>
            <w:right w:val="none" w:sz="0" w:space="0" w:color="auto"/>
          </w:divBdr>
        </w:div>
      </w:divsChild>
    </w:div>
    <w:div w:id="409428177">
      <w:bodyDiv w:val="1"/>
      <w:marLeft w:val="0"/>
      <w:marRight w:val="0"/>
      <w:marTop w:val="0"/>
      <w:marBottom w:val="0"/>
      <w:divBdr>
        <w:top w:val="none" w:sz="0" w:space="0" w:color="auto"/>
        <w:left w:val="none" w:sz="0" w:space="0" w:color="auto"/>
        <w:bottom w:val="none" w:sz="0" w:space="0" w:color="auto"/>
        <w:right w:val="none" w:sz="0" w:space="0" w:color="auto"/>
      </w:divBdr>
    </w:div>
    <w:div w:id="409667101">
      <w:bodyDiv w:val="1"/>
      <w:marLeft w:val="0"/>
      <w:marRight w:val="0"/>
      <w:marTop w:val="0"/>
      <w:marBottom w:val="0"/>
      <w:divBdr>
        <w:top w:val="none" w:sz="0" w:space="0" w:color="auto"/>
        <w:left w:val="none" w:sz="0" w:space="0" w:color="auto"/>
        <w:bottom w:val="none" w:sz="0" w:space="0" w:color="auto"/>
        <w:right w:val="none" w:sz="0" w:space="0" w:color="auto"/>
      </w:divBdr>
      <w:divsChild>
        <w:div w:id="1680037391">
          <w:marLeft w:val="0"/>
          <w:marRight w:val="0"/>
          <w:marTop w:val="0"/>
          <w:marBottom w:val="0"/>
          <w:divBdr>
            <w:top w:val="none" w:sz="0" w:space="0" w:color="auto"/>
            <w:left w:val="none" w:sz="0" w:space="0" w:color="auto"/>
            <w:bottom w:val="none" w:sz="0" w:space="0" w:color="auto"/>
            <w:right w:val="none" w:sz="0" w:space="0" w:color="auto"/>
          </w:divBdr>
          <w:divsChild>
            <w:div w:id="1575313681">
              <w:marLeft w:val="0"/>
              <w:marRight w:val="0"/>
              <w:marTop w:val="0"/>
              <w:marBottom w:val="0"/>
              <w:divBdr>
                <w:top w:val="none" w:sz="0" w:space="0" w:color="auto"/>
                <w:left w:val="none" w:sz="0" w:space="0" w:color="auto"/>
                <w:bottom w:val="none" w:sz="0" w:space="0" w:color="auto"/>
                <w:right w:val="none" w:sz="0" w:space="0" w:color="auto"/>
              </w:divBdr>
              <w:divsChild>
                <w:div w:id="1397774872">
                  <w:marLeft w:val="0"/>
                  <w:marRight w:val="0"/>
                  <w:marTop w:val="0"/>
                  <w:marBottom w:val="0"/>
                  <w:divBdr>
                    <w:top w:val="none" w:sz="0" w:space="0" w:color="auto"/>
                    <w:left w:val="none" w:sz="0" w:space="0" w:color="auto"/>
                    <w:bottom w:val="none" w:sz="0" w:space="0" w:color="auto"/>
                    <w:right w:val="none" w:sz="0" w:space="0" w:color="auto"/>
                  </w:divBdr>
                  <w:divsChild>
                    <w:div w:id="2030789791">
                      <w:marLeft w:val="0"/>
                      <w:marRight w:val="0"/>
                      <w:marTop w:val="0"/>
                      <w:marBottom w:val="0"/>
                      <w:divBdr>
                        <w:top w:val="none" w:sz="0" w:space="0" w:color="auto"/>
                        <w:left w:val="none" w:sz="0" w:space="0" w:color="auto"/>
                        <w:bottom w:val="none" w:sz="0" w:space="0" w:color="auto"/>
                        <w:right w:val="none" w:sz="0" w:space="0" w:color="auto"/>
                      </w:divBdr>
                      <w:divsChild>
                        <w:div w:id="1344285152">
                          <w:marLeft w:val="0"/>
                          <w:marRight w:val="0"/>
                          <w:marTop w:val="0"/>
                          <w:marBottom w:val="0"/>
                          <w:divBdr>
                            <w:top w:val="none" w:sz="0" w:space="0" w:color="auto"/>
                            <w:left w:val="none" w:sz="0" w:space="0" w:color="auto"/>
                            <w:bottom w:val="none" w:sz="0" w:space="0" w:color="auto"/>
                            <w:right w:val="none" w:sz="0" w:space="0" w:color="auto"/>
                          </w:divBdr>
                          <w:divsChild>
                            <w:div w:id="284233758">
                              <w:marLeft w:val="0"/>
                              <w:marRight w:val="0"/>
                              <w:marTop w:val="0"/>
                              <w:marBottom w:val="0"/>
                              <w:divBdr>
                                <w:top w:val="none" w:sz="0" w:space="0" w:color="auto"/>
                                <w:left w:val="none" w:sz="0" w:space="0" w:color="auto"/>
                                <w:bottom w:val="none" w:sz="0" w:space="0" w:color="auto"/>
                                <w:right w:val="none" w:sz="0" w:space="0" w:color="auto"/>
                              </w:divBdr>
                              <w:divsChild>
                                <w:div w:id="1275404270">
                                  <w:marLeft w:val="0"/>
                                  <w:marRight w:val="0"/>
                                  <w:marTop w:val="0"/>
                                  <w:marBottom w:val="0"/>
                                  <w:divBdr>
                                    <w:top w:val="none" w:sz="0" w:space="0" w:color="auto"/>
                                    <w:left w:val="none" w:sz="0" w:space="0" w:color="auto"/>
                                    <w:bottom w:val="none" w:sz="0" w:space="0" w:color="auto"/>
                                    <w:right w:val="none" w:sz="0" w:space="0" w:color="auto"/>
                                  </w:divBdr>
                                  <w:divsChild>
                                    <w:div w:id="114288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816338">
      <w:bodyDiv w:val="1"/>
      <w:marLeft w:val="0"/>
      <w:marRight w:val="0"/>
      <w:marTop w:val="0"/>
      <w:marBottom w:val="0"/>
      <w:divBdr>
        <w:top w:val="none" w:sz="0" w:space="0" w:color="auto"/>
        <w:left w:val="none" w:sz="0" w:space="0" w:color="auto"/>
        <w:bottom w:val="none" w:sz="0" w:space="0" w:color="auto"/>
        <w:right w:val="none" w:sz="0" w:space="0" w:color="auto"/>
      </w:divBdr>
      <w:divsChild>
        <w:div w:id="439111197">
          <w:marLeft w:val="0"/>
          <w:marRight w:val="0"/>
          <w:marTop w:val="0"/>
          <w:marBottom w:val="150"/>
          <w:divBdr>
            <w:top w:val="none" w:sz="0" w:space="0" w:color="auto"/>
            <w:left w:val="none" w:sz="0" w:space="0" w:color="auto"/>
            <w:bottom w:val="none" w:sz="0" w:space="0" w:color="auto"/>
            <w:right w:val="none" w:sz="0" w:space="0" w:color="auto"/>
          </w:divBdr>
          <w:divsChild>
            <w:div w:id="2128354807">
              <w:marLeft w:val="0"/>
              <w:marRight w:val="0"/>
              <w:marTop w:val="0"/>
              <w:marBottom w:val="0"/>
              <w:divBdr>
                <w:top w:val="none" w:sz="0" w:space="0" w:color="auto"/>
                <w:left w:val="none" w:sz="0" w:space="0" w:color="auto"/>
                <w:bottom w:val="none" w:sz="0" w:space="0" w:color="auto"/>
                <w:right w:val="none" w:sz="0" w:space="0" w:color="auto"/>
              </w:divBdr>
            </w:div>
          </w:divsChild>
        </w:div>
        <w:div w:id="997998079">
          <w:marLeft w:val="0"/>
          <w:marRight w:val="0"/>
          <w:marTop w:val="0"/>
          <w:marBottom w:val="150"/>
          <w:divBdr>
            <w:top w:val="none" w:sz="0" w:space="0" w:color="auto"/>
            <w:left w:val="none" w:sz="0" w:space="0" w:color="auto"/>
            <w:bottom w:val="none" w:sz="0" w:space="0" w:color="auto"/>
            <w:right w:val="none" w:sz="0" w:space="0" w:color="auto"/>
          </w:divBdr>
        </w:div>
        <w:div w:id="1381249034">
          <w:marLeft w:val="0"/>
          <w:marRight w:val="0"/>
          <w:marTop w:val="0"/>
          <w:marBottom w:val="0"/>
          <w:divBdr>
            <w:top w:val="none" w:sz="0" w:space="0" w:color="auto"/>
            <w:left w:val="none" w:sz="0" w:space="0" w:color="auto"/>
            <w:bottom w:val="none" w:sz="0" w:space="0" w:color="auto"/>
            <w:right w:val="none" w:sz="0" w:space="0" w:color="auto"/>
          </w:divBdr>
          <w:divsChild>
            <w:div w:id="127409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90131">
      <w:bodyDiv w:val="1"/>
      <w:marLeft w:val="0"/>
      <w:marRight w:val="0"/>
      <w:marTop w:val="0"/>
      <w:marBottom w:val="0"/>
      <w:divBdr>
        <w:top w:val="none" w:sz="0" w:space="0" w:color="auto"/>
        <w:left w:val="none" w:sz="0" w:space="0" w:color="auto"/>
        <w:bottom w:val="none" w:sz="0" w:space="0" w:color="auto"/>
        <w:right w:val="none" w:sz="0" w:space="0" w:color="auto"/>
      </w:divBdr>
      <w:divsChild>
        <w:div w:id="412971627">
          <w:marLeft w:val="0"/>
          <w:marRight w:val="0"/>
          <w:marTop w:val="0"/>
          <w:marBottom w:val="0"/>
          <w:divBdr>
            <w:top w:val="none" w:sz="0" w:space="0" w:color="auto"/>
            <w:left w:val="none" w:sz="0" w:space="0" w:color="auto"/>
            <w:bottom w:val="none" w:sz="0" w:space="0" w:color="auto"/>
            <w:right w:val="none" w:sz="0" w:space="0" w:color="auto"/>
          </w:divBdr>
          <w:divsChild>
            <w:div w:id="843857832">
              <w:marLeft w:val="0"/>
              <w:marRight w:val="0"/>
              <w:marTop w:val="0"/>
              <w:marBottom w:val="0"/>
              <w:divBdr>
                <w:top w:val="none" w:sz="0" w:space="0" w:color="auto"/>
                <w:left w:val="none" w:sz="0" w:space="0" w:color="auto"/>
                <w:bottom w:val="none" w:sz="0" w:space="0" w:color="auto"/>
                <w:right w:val="none" w:sz="0" w:space="0" w:color="auto"/>
              </w:divBdr>
              <w:divsChild>
                <w:div w:id="1895653287">
                  <w:marLeft w:val="0"/>
                  <w:marRight w:val="0"/>
                  <w:marTop w:val="0"/>
                  <w:marBottom w:val="0"/>
                  <w:divBdr>
                    <w:top w:val="none" w:sz="0" w:space="0" w:color="auto"/>
                    <w:left w:val="none" w:sz="0" w:space="0" w:color="auto"/>
                    <w:bottom w:val="none" w:sz="0" w:space="0" w:color="auto"/>
                    <w:right w:val="none" w:sz="0" w:space="0" w:color="auto"/>
                  </w:divBdr>
                  <w:divsChild>
                    <w:div w:id="1769500069">
                      <w:marLeft w:val="0"/>
                      <w:marRight w:val="0"/>
                      <w:marTop w:val="0"/>
                      <w:marBottom w:val="0"/>
                      <w:divBdr>
                        <w:top w:val="none" w:sz="0" w:space="0" w:color="auto"/>
                        <w:left w:val="none" w:sz="0" w:space="0" w:color="auto"/>
                        <w:bottom w:val="none" w:sz="0" w:space="0" w:color="auto"/>
                        <w:right w:val="none" w:sz="0" w:space="0" w:color="auto"/>
                      </w:divBdr>
                      <w:divsChild>
                        <w:div w:id="466167653">
                          <w:marLeft w:val="0"/>
                          <w:marRight w:val="0"/>
                          <w:marTop w:val="0"/>
                          <w:marBottom w:val="0"/>
                          <w:divBdr>
                            <w:top w:val="none" w:sz="0" w:space="0" w:color="auto"/>
                            <w:left w:val="none" w:sz="0" w:space="0" w:color="auto"/>
                            <w:bottom w:val="none" w:sz="0" w:space="0" w:color="auto"/>
                            <w:right w:val="none" w:sz="0" w:space="0" w:color="auto"/>
                          </w:divBdr>
                          <w:divsChild>
                            <w:div w:id="310713700">
                              <w:marLeft w:val="0"/>
                              <w:marRight w:val="0"/>
                              <w:marTop w:val="0"/>
                              <w:marBottom w:val="0"/>
                              <w:divBdr>
                                <w:top w:val="none" w:sz="0" w:space="0" w:color="auto"/>
                                <w:left w:val="none" w:sz="0" w:space="0" w:color="auto"/>
                                <w:bottom w:val="none" w:sz="0" w:space="0" w:color="auto"/>
                                <w:right w:val="none" w:sz="0" w:space="0" w:color="auto"/>
                              </w:divBdr>
                              <w:divsChild>
                                <w:div w:id="871503911">
                                  <w:marLeft w:val="0"/>
                                  <w:marRight w:val="0"/>
                                  <w:marTop w:val="0"/>
                                  <w:marBottom w:val="0"/>
                                  <w:divBdr>
                                    <w:top w:val="none" w:sz="0" w:space="0" w:color="auto"/>
                                    <w:left w:val="none" w:sz="0" w:space="0" w:color="auto"/>
                                    <w:bottom w:val="none" w:sz="0" w:space="0" w:color="auto"/>
                                    <w:right w:val="none" w:sz="0" w:space="0" w:color="auto"/>
                                  </w:divBdr>
                                  <w:divsChild>
                                    <w:div w:id="1940016648">
                                      <w:marLeft w:val="0"/>
                                      <w:marRight w:val="0"/>
                                      <w:marTop w:val="0"/>
                                      <w:marBottom w:val="0"/>
                                      <w:divBdr>
                                        <w:top w:val="none" w:sz="0" w:space="0" w:color="auto"/>
                                        <w:left w:val="none" w:sz="0" w:space="0" w:color="auto"/>
                                        <w:bottom w:val="none" w:sz="0" w:space="0" w:color="auto"/>
                                        <w:right w:val="none" w:sz="0" w:space="0" w:color="auto"/>
                                      </w:divBdr>
                                      <w:divsChild>
                                        <w:div w:id="61263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0740965">
      <w:bodyDiv w:val="1"/>
      <w:marLeft w:val="0"/>
      <w:marRight w:val="0"/>
      <w:marTop w:val="0"/>
      <w:marBottom w:val="0"/>
      <w:divBdr>
        <w:top w:val="none" w:sz="0" w:space="0" w:color="auto"/>
        <w:left w:val="none" w:sz="0" w:space="0" w:color="auto"/>
        <w:bottom w:val="none" w:sz="0" w:space="0" w:color="auto"/>
        <w:right w:val="none" w:sz="0" w:space="0" w:color="auto"/>
      </w:divBdr>
    </w:div>
    <w:div w:id="411048797">
      <w:bodyDiv w:val="1"/>
      <w:marLeft w:val="0"/>
      <w:marRight w:val="0"/>
      <w:marTop w:val="0"/>
      <w:marBottom w:val="0"/>
      <w:divBdr>
        <w:top w:val="none" w:sz="0" w:space="0" w:color="auto"/>
        <w:left w:val="none" w:sz="0" w:space="0" w:color="auto"/>
        <w:bottom w:val="none" w:sz="0" w:space="0" w:color="auto"/>
        <w:right w:val="none" w:sz="0" w:space="0" w:color="auto"/>
      </w:divBdr>
    </w:div>
    <w:div w:id="411315538">
      <w:bodyDiv w:val="1"/>
      <w:marLeft w:val="0"/>
      <w:marRight w:val="0"/>
      <w:marTop w:val="0"/>
      <w:marBottom w:val="0"/>
      <w:divBdr>
        <w:top w:val="none" w:sz="0" w:space="0" w:color="auto"/>
        <w:left w:val="none" w:sz="0" w:space="0" w:color="auto"/>
        <w:bottom w:val="none" w:sz="0" w:space="0" w:color="auto"/>
        <w:right w:val="none" w:sz="0" w:space="0" w:color="auto"/>
      </w:divBdr>
    </w:div>
    <w:div w:id="411510107">
      <w:bodyDiv w:val="1"/>
      <w:marLeft w:val="0"/>
      <w:marRight w:val="0"/>
      <w:marTop w:val="0"/>
      <w:marBottom w:val="0"/>
      <w:divBdr>
        <w:top w:val="none" w:sz="0" w:space="0" w:color="auto"/>
        <w:left w:val="none" w:sz="0" w:space="0" w:color="auto"/>
        <w:bottom w:val="none" w:sz="0" w:space="0" w:color="auto"/>
        <w:right w:val="none" w:sz="0" w:space="0" w:color="auto"/>
      </w:divBdr>
      <w:divsChild>
        <w:div w:id="210925711">
          <w:marLeft w:val="0"/>
          <w:marRight w:val="0"/>
          <w:marTop w:val="0"/>
          <w:marBottom w:val="0"/>
          <w:divBdr>
            <w:top w:val="single" w:sz="12" w:space="0" w:color="FFFFFF"/>
            <w:left w:val="none" w:sz="0" w:space="0" w:color="auto"/>
            <w:bottom w:val="single" w:sz="12" w:space="0" w:color="FFFFFF"/>
            <w:right w:val="none" w:sz="0" w:space="0" w:color="auto"/>
          </w:divBdr>
        </w:div>
        <w:div w:id="1363751490">
          <w:marLeft w:val="0"/>
          <w:marRight w:val="0"/>
          <w:marTop w:val="0"/>
          <w:marBottom w:val="0"/>
          <w:divBdr>
            <w:top w:val="none" w:sz="0" w:space="0" w:color="auto"/>
            <w:left w:val="none" w:sz="0" w:space="0" w:color="auto"/>
            <w:bottom w:val="none" w:sz="0" w:space="0" w:color="auto"/>
            <w:right w:val="none" w:sz="0" w:space="0" w:color="auto"/>
          </w:divBdr>
          <w:divsChild>
            <w:div w:id="376047352">
              <w:marLeft w:val="0"/>
              <w:marRight w:val="150"/>
              <w:marTop w:val="0"/>
              <w:marBottom w:val="0"/>
              <w:divBdr>
                <w:top w:val="none" w:sz="0" w:space="0" w:color="auto"/>
                <w:left w:val="none" w:sz="0" w:space="0" w:color="auto"/>
                <w:bottom w:val="none" w:sz="0" w:space="0" w:color="auto"/>
                <w:right w:val="none" w:sz="0" w:space="0" w:color="auto"/>
              </w:divBdr>
              <w:divsChild>
                <w:div w:id="206601415">
                  <w:marLeft w:val="0"/>
                  <w:marRight w:val="0"/>
                  <w:marTop w:val="0"/>
                  <w:marBottom w:val="0"/>
                  <w:divBdr>
                    <w:top w:val="none" w:sz="0" w:space="0" w:color="auto"/>
                    <w:left w:val="none" w:sz="0" w:space="0" w:color="auto"/>
                    <w:bottom w:val="none" w:sz="0" w:space="0" w:color="auto"/>
                    <w:right w:val="none" w:sz="0" w:space="0" w:color="auto"/>
                  </w:divBdr>
                  <w:divsChild>
                    <w:div w:id="532234055">
                      <w:marLeft w:val="0"/>
                      <w:marRight w:val="0"/>
                      <w:marTop w:val="0"/>
                      <w:marBottom w:val="0"/>
                      <w:divBdr>
                        <w:top w:val="none" w:sz="0" w:space="8" w:color="auto"/>
                        <w:left w:val="none" w:sz="0" w:space="2" w:color="auto"/>
                        <w:bottom w:val="single" w:sz="6" w:space="8" w:color="DDDDDD"/>
                        <w:right w:val="none" w:sz="0" w:space="0" w:color="auto"/>
                      </w:divBdr>
                    </w:div>
                    <w:div w:id="1352292198">
                      <w:marLeft w:val="0"/>
                      <w:marRight w:val="0"/>
                      <w:marTop w:val="150"/>
                      <w:marBottom w:val="0"/>
                      <w:divBdr>
                        <w:top w:val="none" w:sz="0" w:space="0" w:color="auto"/>
                        <w:left w:val="none" w:sz="0" w:space="0" w:color="auto"/>
                        <w:bottom w:val="none" w:sz="0" w:space="0" w:color="auto"/>
                        <w:right w:val="none" w:sz="0" w:space="0" w:color="auto"/>
                      </w:divBdr>
                      <w:divsChild>
                        <w:div w:id="49299417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802917681">
              <w:marLeft w:val="0"/>
              <w:marRight w:val="0"/>
              <w:marTop w:val="0"/>
              <w:marBottom w:val="0"/>
              <w:divBdr>
                <w:top w:val="none" w:sz="0" w:space="0" w:color="auto"/>
                <w:left w:val="none" w:sz="0" w:space="0" w:color="auto"/>
                <w:bottom w:val="single" w:sz="12" w:space="0" w:color="C4C4C4"/>
                <w:right w:val="none" w:sz="0" w:space="0" w:color="auto"/>
              </w:divBdr>
              <w:divsChild>
                <w:div w:id="1861434498">
                  <w:marLeft w:val="0"/>
                  <w:marRight w:val="0"/>
                  <w:marTop w:val="0"/>
                  <w:marBottom w:val="0"/>
                  <w:divBdr>
                    <w:top w:val="none" w:sz="0" w:space="0" w:color="auto"/>
                    <w:left w:val="none" w:sz="0" w:space="0" w:color="auto"/>
                    <w:bottom w:val="none" w:sz="0" w:space="0" w:color="auto"/>
                    <w:right w:val="none" w:sz="0" w:space="0" w:color="auto"/>
                  </w:divBdr>
                  <w:divsChild>
                    <w:div w:id="49564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437892">
      <w:bodyDiv w:val="1"/>
      <w:marLeft w:val="0"/>
      <w:marRight w:val="0"/>
      <w:marTop w:val="0"/>
      <w:marBottom w:val="0"/>
      <w:divBdr>
        <w:top w:val="none" w:sz="0" w:space="0" w:color="auto"/>
        <w:left w:val="none" w:sz="0" w:space="0" w:color="auto"/>
        <w:bottom w:val="none" w:sz="0" w:space="0" w:color="auto"/>
        <w:right w:val="none" w:sz="0" w:space="0" w:color="auto"/>
      </w:divBdr>
      <w:divsChild>
        <w:div w:id="218710825">
          <w:marLeft w:val="0"/>
          <w:marRight w:val="0"/>
          <w:marTop w:val="0"/>
          <w:marBottom w:val="0"/>
          <w:divBdr>
            <w:top w:val="none" w:sz="0" w:space="0" w:color="auto"/>
            <w:left w:val="none" w:sz="0" w:space="0" w:color="auto"/>
            <w:bottom w:val="none" w:sz="0" w:space="0" w:color="auto"/>
            <w:right w:val="none" w:sz="0" w:space="0" w:color="auto"/>
          </w:divBdr>
          <w:divsChild>
            <w:div w:id="172668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515111">
      <w:bodyDiv w:val="1"/>
      <w:marLeft w:val="0"/>
      <w:marRight w:val="0"/>
      <w:marTop w:val="0"/>
      <w:marBottom w:val="0"/>
      <w:divBdr>
        <w:top w:val="none" w:sz="0" w:space="0" w:color="auto"/>
        <w:left w:val="none" w:sz="0" w:space="0" w:color="auto"/>
        <w:bottom w:val="none" w:sz="0" w:space="0" w:color="auto"/>
        <w:right w:val="none" w:sz="0" w:space="0" w:color="auto"/>
      </w:divBdr>
      <w:divsChild>
        <w:div w:id="786510779">
          <w:marLeft w:val="0"/>
          <w:marRight w:val="0"/>
          <w:marTop w:val="0"/>
          <w:marBottom w:val="0"/>
          <w:divBdr>
            <w:top w:val="none" w:sz="0" w:space="0" w:color="auto"/>
            <w:left w:val="none" w:sz="0" w:space="0" w:color="auto"/>
            <w:bottom w:val="none" w:sz="0" w:space="0" w:color="auto"/>
            <w:right w:val="none" w:sz="0" w:space="0" w:color="auto"/>
          </w:divBdr>
          <w:divsChild>
            <w:div w:id="1610702666">
              <w:marLeft w:val="0"/>
              <w:marRight w:val="0"/>
              <w:marTop w:val="0"/>
              <w:marBottom w:val="0"/>
              <w:divBdr>
                <w:top w:val="none" w:sz="0" w:space="0" w:color="auto"/>
                <w:left w:val="none" w:sz="0" w:space="0" w:color="auto"/>
                <w:bottom w:val="none" w:sz="0" w:space="0" w:color="auto"/>
                <w:right w:val="none" w:sz="0" w:space="0" w:color="auto"/>
              </w:divBdr>
              <w:divsChild>
                <w:div w:id="1366176784">
                  <w:marLeft w:val="0"/>
                  <w:marRight w:val="0"/>
                  <w:marTop w:val="0"/>
                  <w:marBottom w:val="0"/>
                  <w:divBdr>
                    <w:top w:val="none" w:sz="0" w:space="0" w:color="auto"/>
                    <w:left w:val="none" w:sz="0" w:space="0" w:color="auto"/>
                    <w:bottom w:val="none" w:sz="0" w:space="0" w:color="auto"/>
                    <w:right w:val="none" w:sz="0" w:space="0" w:color="auto"/>
                  </w:divBdr>
                  <w:divsChild>
                    <w:div w:id="1083330744">
                      <w:marLeft w:val="0"/>
                      <w:marRight w:val="0"/>
                      <w:marTop w:val="0"/>
                      <w:marBottom w:val="0"/>
                      <w:divBdr>
                        <w:top w:val="none" w:sz="0" w:space="0" w:color="auto"/>
                        <w:left w:val="none" w:sz="0" w:space="0" w:color="auto"/>
                        <w:bottom w:val="none" w:sz="0" w:space="0" w:color="auto"/>
                        <w:right w:val="none" w:sz="0" w:space="0" w:color="auto"/>
                      </w:divBdr>
                      <w:divsChild>
                        <w:div w:id="347680606">
                          <w:marLeft w:val="0"/>
                          <w:marRight w:val="0"/>
                          <w:marTop w:val="0"/>
                          <w:marBottom w:val="0"/>
                          <w:divBdr>
                            <w:top w:val="none" w:sz="0" w:space="0" w:color="auto"/>
                            <w:left w:val="none" w:sz="0" w:space="0" w:color="auto"/>
                            <w:bottom w:val="none" w:sz="0" w:space="0" w:color="auto"/>
                            <w:right w:val="none" w:sz="0" w:space="0" w:color="auto"/>
                          </w:divBdr>
                          <w:divsChild>
                            <w:div w:id="1646159169">
                              <w:marLeft w:val="0"/>
                              <w:marRight w:val="0"/>
                              <w:marTop w:val="0"/>
                              <w:marBottom w:val="0"/>
                              <w:divBdr>
                                <w:top w:val="none" w:sz="0" w:space="0" w:color="auto"/>
                                <w:left w:val="none" w:sz="0" w:space="0" w:color="auto"/>
                                <w:bottom w:val="none" w:sz="0" w:space="0" w:color="auto"/>
                                <w:right w:val="none" w:sz="0" w:space="0" w:color="auto"/>
                              </w:divBdr>
                              <w:divsChild>
                                <w:div w:id="936060743">
                                  <w:marLeft w:val="0"/>
                                  <w:marRight w:val="0"/>
                                  <w:marTop w:val="0"/>
                                  <w:marBottom w:val="0"/>
                                  <w:divBdr>
                                    <w:top w:val="none" w:sz="0" w:space="0" w:color="auto"/>
                                    <w:left w:val="none" w:sz="0" w:space="0" w:color="auto"/>
                                    <w:bottom w:val="none" w:sz="0" w:space="0" w:color="auto"/>
                                    <w:right w:val="none" w:sz="0" w:space="0" w:color="auto"/>
                                  </w:divBdr>
                                  <w:divsChild>
                                    <w:div w:id="6091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2824096">
      <w:bodyDiv w:val="1"/>
      <w:marLeft w:val="0"/>
      <w:marRight w:val="0"/>
      <w:marTop w:val="0"/>
      <w:marBottom w:val="0"/>
      <w:divBdr>
        <w:top w:val="none" w:sz="0" w:space="0" w:color="auto"/>
        <w:left w:val="none" w:sz="0" w:space="0" w:color="auto"/>
        <w:bottom w:val="none" w:sz="0" w:space="0" w:color="auto"/>
        <w:right w:val="none" w:sz="0" w:space="0" w:color="auto"/>
      </w:divBdr>
    </w:div>
    <w:div w:id="412897368">
      <w:bodyDiv w:val="1"/>
      <w:marLeft w:val="0"/>
      <w:marRight w:val="0"/>
      <w:marTop w:val="0"/>
      <w:marBottom w:val="0"/>
      <w:divBdr>
        <w:top w:val="none" w:sz="0" w:space="0" w:color="auto"/>
        <w:left w:val="none" w:sz="0" w:space="0" w:color="auto"/>
        <w:bottom w:val="none" w:sz="0" w:space="0" w:color="auto"/>
        <w:right w:val="none" w:sz="0" w:space="0" w:color="auto"/>
      </w:divBdr>
      <w:divsChild>
        <w:div w:id="727190689">
          <w:marLeft w:val="0"/>
          <w:marRight w:val="0"/>
          <w:marTop w:val="0"/>
          <w:marBottom w:val="0"/>
          <w:divBdr>
            <w:top w:val="none" w:sz="0" w:space="0" w:color="auto"/>
            <w:left w:val="none" w:sz="0" w:space="0" w:color="auto"/>
            <w:bottom w:val="none" w:sz="0" w:space="0" w:color="auto"/>
            <w:right w:val="none" w:sz="0" w:space="0" w:color="auto"/>
          </w:divBdr>
          <w:divsChild>
            <w:div w:id="202554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971235">
      <w:bodyDiv w:val="1"/>
      <w:marLeft w:val="0"/>
      <w:marRight w:val="0"/>
      <w:marTop w:val="0"/>
      <w:marBottom w:val="0"/>
      <w:divBdr>
        <w:top w:val="none" w:sz="0" w:space="0" w:color="auto"/>
        <w:left w:val="none" w:sz="0" w:space="0" w:color="auto"/>
        <w:bottom w:val="none" w:sz="0" w:space="0" w:color="auto"/>
        <w:right w:val="none" w:sz="0" w:space="0" w:color="auto"/>
      </w:divBdr>
      <w:divsChild>
        <w:div w:id="422260957">
          <w:marLeft w:val="0"/>
          <w:marRight w:val="0"/>
          <w:marTop w:val="0"/>
          <w:marBottom w:val="0"/>
          <w:divBdr>
            <w:top w:val="none" w:sz="0" w:space="0" w:color="auto"/>
            <w:left w:val="none" w:sz="0" w:space="0" w:color="auto"/>
            <w:bottom w:val="dotted" w:sz="6" w:space="4" w:color="DDDDDD"/>
            <w:right w:val="none" w:sz="0" w:space="0" w:color="auto"/>
          </w:divBdr>
          <w:divsChild>
            <w:div w:id="14687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168694">
      <w:bodyDiv w:val="1"/>
      <w:marLeft w:val="0"/>
      <w:marRight w:val="0"/>
      <w:marTop w:val="0"/>
      <w:marBottom w:val="0"/>
      <w:divBdr>
        <w:top w:val="none" w:sz="0" w:space="0" w:color="auto"/>
        <w:left w:val="none" w:sz="0" w:space="0" w:color="auto"/>
        <w:bottom w:val="none" w:sz="0" w:space="0" w:color="auto"/>
        <w:right w:val="none" w:sz="0" w:space="0" w:color="auto"/>
      </w:divBdr>
      <w:divsChild>
        <w:div w:id="70781997">
          <w:marLeft w:val="0"/>
          <w:marRight w:val="0"/>
          <w:marTop w:val="0"/>
          <w:marBottom w:val="150"/>
          <w:divBdr>
            <w:top w:val="none" w:sz="0" w:space="0" w:color="auto"/>
            <w:left w:val="none" w:sz="0" w:space="0" w:color="auto"/>
            <w:bottom w:val="none" w:sz="0" w:space="0" w:color="auto"/>
            <w:right w:val="none" w:sz="0" w:space="0" w:color="auto"/>
          </w:divBdr>
          <w:divsChild>
            <w:div w:id="1186360695">
              <w:marLeft w:val="0"/>
              <w:marRight w:val="0"/>
              <w:marTop w:val="0"/>
              <w:marBottom w:val="0"/>
              <w:divBdr>
                <w:top w:val="none" w:sz="0" w:space="0" w:color="auto"/>
                <w:left w:val="none" w:sz="0" w:space="0" w:color="auto"/>
                <w:bottom w:val="none" w:sz="0" w:space="0" w:color="auto"/>
                <w:right w:val="none" w:sz="0" w:space="0" w:color="auto"/>
              </w:divBdr>
            </w:div>
          </w:divsChild>
        </w:div>
        <w:div w:id="443500573">
          <w:marLeft w:val="0"/>
          <w:marRight w:val="0"/>
          <w:marTop w:val="0"/>
          <w:marBottom w:val="0"/>
          <w:divBdr>
            <w:top w:val="none" w:sz="0" w:space="0" w:color="auto"/>
            <w:left w:val="none" w:sz="0" w:space="0" w:color="auto"/>
            <w:bottom w:val="none" w:sz="0" w:space="0" w:color="auto"/>
            <w:right w:val="none" w:sz="0" w:space="0" w:color="auto"/>
          </w:divBdr>
          <w:divsChild>
            <w:div w:id="341246221">
              <w:marLeft w:val="0"/>
              <w:marRight w:val="0"/>
              <w:marTop w:val="0"/>
              <w:marBottom w:val="150"/>
              <w:divBdr>
                <w:top w:val="none" w:sz="0" w:space="0" w:color="auto"/>
                <w:left w:val="none" w:sz="0" w:space="0" w:color="auto"/>
                <w:bottom w:val="none" w:sz="0" w:space="0" w:color="auto"/>
                <w:right w:val="none" w:sz="0" w:space="0" w:color="auto"/>
              </w:divBdr>
            </w:div>
            <w:div w:id="130399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02188">
      <w:bodyDiv w:val="1"/>
      <w:marLeft w:val="0"/>
      <w:marRight w:val="0"/>
      <w:marTop w:val="0"/>
      <w:marBottom w:val="0"/>
      <w:divBdr>
        <w:top w:val="none" w:sz="0" w:space="0" w:color="auto"/>
        <w:left w:val="none" w:sz="0" w:space="0" w:color="auto"/>
        <w:bottom w:val="none" w:sz="0" w:space="0" w:color="auto"/>
        <w:right w:val="none" w:sz="0" w:space="0" w:color="auto"/>
      </w:divBdr>
      <w:divsChild>
        <w:div w:id="1883202574">
          <w:marLeft w:val="0"/>
          <w:marRight w:val="0"/>
          <w:marTop w:val="0"/>
          <w:marBottom w:val="0"/>
          <w:divBdr>
            <w:top w:val="none" w:sz="0" w:space="0" w:color="auto"/>
            <w:left w:val="none" w:sz="0" w:space="0" w:color="auto"/>
            <w:bottom w:val="none" w:sz="0" w:space="0" w:color="auto"/>
            <w:right w:val="none" w:sz="0" w:space="0" w:color="auto"/>
          </w:divBdr>
        </w:div>
      </w:divsChild>
    </w:div>
    <w:div w:id="414479938">
      <w:bodyDiv w:val="1"/>
      <w:marLeft w:val="0"/>
      <w:marRight w:val="0"/>
      <w:marTop w:val="0"/>
      <w:marBottom w:val="0"/>
      <w:divBdr>
        <w:top w:val="none" w:sz="0" w:space="0" w:color="auto"/>
        <w:left w:val="none" w:sz="0" w:space="0" w:color="auto"/>
        <w:bottom w:val="none" w:sz="0" w:space="0" w:color="auto"/>
        <w:right w:val="none" w:sz="0" w:space="0" w:color="auto"/>
      </w:divBdr>
      <w:divsChild>
        <w:div w:id="304312118">
          <w:marLeft w:val="0"/>
          <w:marRight w:val="0"/>
          <w:marTop w:val="0"/>
          <w:marBottom w:val="0"/>
          <w:divBdr>
            <w:top w:val="none" w:sz="0" w:space="0" w:color="auto"/>
            <w:left w:val="none" w:sz="0" w:space="0" w:color="auto"/>
            <w:bottom w:val="dotted" w:sz="6" w:space="4" w:color="DDDDDD"/>
            <w:right w:val="none" w:sz="0" w:space="0" w:color="auto"/>
          </w:divBdr>
        </w:div>
      </w:divsChild>
    </w:div>
    <w:div w:id="414713816">
      <w:bodyDiv w:val="1"/>
      <w:marLeft w:val="0"/>
      <w:marRight w:val="0"/>
      <w:marTop w:val="0"/>
      <w:marBottom w:val="0"/>
      <w:divBdr>
        <w:top w:val="none" w:sz="0" w:space="0" w:color="auto"/>
        <w:left w:val="none" w:sz="0" w:space="0" w:color="auto"/>
        <w:bottom w:val="none" w:sz="0" w:space="0" w:color="auto"/>
        <w:right w:val="none" w:sz="0" w:space="0" w:color="auto"/>
      </w:divBdr>
      <w:divsChild>
        <w:div w:id="385034208">
          <w:marLeft w:val="0"/>
          <w:marRight w:val="0"/>
          <w:marTop w:val="0"/>
          <w:marBottom w:val="150"/>
          <w:divBdr>
            <w:top w:val="none" w:sz="0" w:space="0" w:color="auto"/>
            <w:left w:val="none" w:sz="0" w:space="0" w:color="auto"/>
            <w:bottom w:val="none" w:sz="0" w:space="0" w:color="auto"/>
            <w:right w:val="none" w:sz="0" w:space="0" w:color="auto"/>
          </w:divBdr>
        </w:div>
        <w:div w:id="987049354">
          <w:marLeft w:val="0"/>
          <w:marRight w:val="0"/>
          <w:marTop w:val="0"/>
          <w:marBottom w:val="0"/>
          <w:divBdr>
            <w:top w:val="none" w:sz="0" w:space="0" w:color="auto"/>
            <w:left w:val="none" w:sz="0" w:space="0" w:color="auto"/>
            <w:bottom w:val="none" w:sz="0" w:space="0" w:color="auto"/>
            <w:right w:val="none" w:sz="0" w:space="0" w:color="auto"/>
          </w:divBdr>
          <w:divsChild>
            <w:div w:id="2035426214">
              <w:marLeft w:val="0"/>
              <w:marRight w:val="0"/>
              <w:marTop w:val="0"/>
              <w:marBottom w:val="0"/>
              <w:divBdr>
                <w:top w:val="none" w:sz="0" w:space="0" w:color="auto"/>
                <w:left w:val="none" w:sz="0" w:space="0" w:color="auto"/>
                <w:bottom w:val="none" w:sz="0" w:space="0" w:color="auto"/>
                <w:right w:val="none" w:sz="0" w:space="0" w:color="auto"/>
              </w:divBdr>
            </w:div>
          </w:divsChild>
        </w:div>
        <w:div w:id="1300649096">
          <w:marLeft w:val="0"/>
          <w:marRight w:val="0"/>
          <w:marTop w:val="0"/>
          <w:marBottom w:val="150"/>
          <w:divBdr>
            <w:top w:val="none" w:sz="0" w:space="0" w:color="auto"/>
            <w:left w:val="none" w:sz="0" w:space="0" w:color="auto"/>
            <w:bottom w:val="none" w:sz="0" w:space="0" w:color="auto"/>
            <w:right w:val="none" w:sz="0" w:space="0" w:color="auto"/>
          </w:divBdr>
          <w:divsChild>
            <w:div w:id="1612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977427">
      <w:bodyDiv w:val="1"/>
      <w:marLeft w:val="0"/>
      <w:marRight w:val="0"/>
      <w:marTop w:val="0"/>
      <w:marBottom w:val="0"/>
      <w:divBdr>
        <w:top w:val="none" w:sz="0" w:space="0" w:color="auto"/>
        <w:left w:val="none" w:sz="0" w:space="0" w:color="auto"/>
        <w:bottom w:val="none" w:sz="0" w:space="0" w:color="auto"/>
        <w:right w:val="none" w:sz="0" w:space="0" w:color="auto"/>
      </w:divBdr>
      <w:divsChild>
        <w:div w:id="661350708">
          <w:marLeft w:val="0"/>
          <w:marRight w:val="0"/>
          <w:marTop w:val="0"/>
          <w:marBottom w:val="0"/>
          <w:divBdr>
            <w:top w:val="none" w:sz="0" w:space="0" w:color="auto"/>
            <w:left w:val="none" w:sz="0" w:space="0" w:color="auto"/>
            <w:bottom w:val="none" w:sz="0" w:space="0" w:color="auto"/>
            <w:right w:val="none" w:sz="0" w:space="0" w:color="auto"/>
          </w:divBdr>
          <w:divsChild>
            <w:div w:id="1991707706">
              <w:marLeft w:val="0"/>
              <w:marRight w:val="0"/>
              <w:marTop w:val="0"/>
              <w:marBottom w:val="0"/>
              <w:divBdr>
                <w:top w:val="none" w:sz="0" w:space="0" w:color="auto"/>
                <w:left w:val="none" w:sz="0" w:space="0" w:color="auto"/>
                <w:bottom w:val="none" w:sz="0" w:space="0" w:color="auto"/>
                <w:right w:val="none" w:sz="0" w:space="0" w:color="auto"/>
              </w:divBdr>
              <w:divsChild>
                <w:div w:id="1396320936">
                  <w:marLeft w:val="0"/>
                  <w:marRight w:val="0"/>
                  <w:marTop w:val="0"/>
                  <w:marBottom w:val="0"/>
                  <w:divBdr>
                    <w:top w:val="none" w:sz="0" w:space="0" w:color="auto"/>
                    <w:left w:val="none" w:sz="0" w:space="0" w:color="auto"/>
                    <w:bottom w:val="none" w:sz="0" w:space="0" w:color="auto"/>
                    <w:right w:val="none" w:sz="0" w:space="0" w:color="auto"/>
                  </w:divBdr>
                  <w:divsChild>
                    <w:div w:id="1784883522">
                      <w:marLeft w:val="0"/>
                      <w:marRight w:val="0"/>
                      <w:marTop w:val="0"/>
                      <w:marBottom w:val="0"/>
                      <w:divBdr>
                        <w:top w:val="none" w:sz="0" w:space="0" w:color="auto"/>
                        <w:left w:val="none" w:sz="0" w:space="0" w:color="auto"/>
                        <w:bottom w:val="none" w:sz="0" w:space="0" w:color="auto"/>
                        <w:right w:val="none" w:sz="0" w:space="0" w:color="auto"/>
                      </w:divBdr>
                      <w:divsChild>
                        <w:div w:id="779182730">
                          <w:marLeft w:val="0"/>
                          <w:marRight w:val="0"/>
                          <w:marTop w:val="0"/>
                          <w:marBottom w:val="0"/>
                          <w:divBdr>
                            <w:top w:val="none" w:sz="0" w:space="0" w:color="auto"/>
                            <w:left w:val="none" w:sz="0" w:space="0" w:color="auto"/>
                            <w:bottom w:val="none" w:sz="0" w:space="0" w:color="auto"/>
                            <w:right w:val="none" w:sz="0" w:space="0" w:color="auto"/>
                          </w:divBdr>
                          <w:divsChild>
                            <w:div w:id="1280801531">
                              <w:marLeft w:val="0"/>
                              <w:marRight w:val="0"/>
                              <w:marTop w:val="0"/>
                              <w:marBottom w:val="0"/>
                              <w:divBdr>
                                <w:top w:val="none" w:sz="0" w:space="0" w:color="auto"/>
                                <w:left w:val="none" w:sz="0" w:space="0" w:color="auto"/>
                                <w:bottom w:val="none" w:sz="0" w:space="0" w:color="auto"/>
                                <w:right w:val="none" w:sz="0" w:space="0" w:color="auto"/>
                              </w:divBdr>
                              <w:divsChild>
                                <w:div w:id="1099106753">
                                  <w:marLeft w:val="0"/>
                                  <w:marRight w:val="0"/>
                                  <w:marTop w:val="0"/>
                                  <w:marBottom w:val="0"/>
                                  <w:divBdr>
                                    <w:top w:val="none" w:sz="0" w:space="0" w:color="auto"/>
                                    <w:left w:val="none" w:sz="0" w:space="0" w:color="auto"/>
                                    <w:bottom w:val="none" w:sz="0" w:space="0" w:color="auto"/>
                                    <w:right w:val="none" w:sz="0" w:space="0" w:color="auto"/>
                                  </w:divBdr>
                                  <w:divsChild>
                                    <w:div w:id="649098783">
                                      <w:marLeft w:val="0"/>
                                      <w:marRight w:val="0"/>
                                      <w:marTop w:val="0"/>
                                      <w:marBottom w:val="0"/>
                                      <w:divBdr>
                                        <w:top w:val="none" w:sz="0" w:space="0" w:color="auto"/>
                                        <w:left w:val="none" w:sz="0" w:space="0" w:color="auto"/>
                                        <w:bottom w:val="none" w:sz="0" w:space="0" w:color="auto"/>
                                        <w:right w:val="none" w:sz="0" w:space="0" w:color="auto"/>
                                      </w:divBdr>
                                      <w:divsChild>
                                        <w:div w:id="18929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631877">
      <w:bodyDiv w:val="1"/>
      <w:marLeft w:val="0"/>
      <w:marRight w:val="0"/>
      <w:marTop w:val="0"/>
      <w:marBottom w:val="0"/>
      <w:divBdr>
        <w:top w:val="none" w:sz="0" w:space="0" w:color="auto"/>
        <w:left w:val="none" w:sz="0" w:space="0" w:color="auto"/>
        <w:bottom w:val="none" w:sz="0" w:space="0" w:color="auto"/>
        <w:right w:val="none" w:sz="0" w:space="0" w:color="auto"/>
      </w:divBdr>
    </w:div>
    <w:div w:id="415789892">
      <w:bodyDiv w:val="1"/>
      <w:marLeft w:val="0"/>
      <w:marRight w:val="0"/>
      <w:marTop w:val="0"/>
      <w:marBottom w:val="0"/>
      <w:divBdr>
        <w:top w:val="none" w:sz="0" w:space="0" w:color="auto"/>
        <w:left w:val="none" w:sz="0" w:space="0" w:color="auto"/>
        <w:bottom w:val="none" w:sz="0" w:space="0" w:color="auto"/>
        <w:right w:val="none" w:sz="0" w:space="0" w:color="auto"/>
      </w:divBdr>
    </w:div>
    <w:div w:id="416443578">
      <w:bodyDiv w:val="1"/>
      <w:marLeft w:val="0"/>
      <w:marRight w:val="0"/>
      <w:marTop w:val="0"/>
      <w:marBottom w:val="0"/>
      <w:divBdr>
        <w:top w:val="none" w:sz="0" w:space="0" w:color="auto"/>
        <w:left w:val="none" w:sz="0" w:space="0" w:color="auto"/>
        <w:bottom w:val="none" w:sz="0" w:space="0" w:color="auto"/>
        <w:right w:val="none" w:sz="0" w:space="0" w:color="auto"/>
      </w:divBdr>
      <w:divsChild>
        <w:div w:id="949749768">
          <w:marLeft w:val="0"/>
          <w:marRight w:val="0"/>
          <w:marTop w:val="0"/>
          <w:marBottom w:val="0"/>
          <w:divBdr>
            <w:top w:val="none" w:sz="0" w:space="0" w:color="auto"/>
            <w:left w:val="none" w:sz="0" w:space="0" w:color="auto"/>
            <w:bottom w:val="none" w:sz="0" w:space="0" w:color="auto"/>
            <w:right w:val="none" w:sz="0" w:space="0" w:color="auto"/>
          </w:divBdr>
          <w:divsChild>
            <w:div w:id="1545672590">
              <w:marLeft w:val="0"/>
              <w:marRight w:val="0"/>
              <w:marTop w:val="0"/>
              <w:marBottom w:val="0"/>
              <w:divBdr>
                <w:top w:val="none" w:sz="0" w:space="0" w:color="auto"/>
                <w:left w:val="none" w:sz="0" w:space="0" w:color="auto"/>
                <w:bottom w:val="none" w:sz="0" w:space="0" w:color="auto"/>
                <w:right w:val="none" w:sz="0" w:space="0" w:color="auto"/>
              </w:divBdr>
              <w:divsChild>
                <w:div w:id="471824495">
                  <w:marLeft w:val="0"/>
                  <w:marRight w:val="0"/>
                  <w:marTop w:val="0"/>
                  <w:marBottom w:val="0"/>
                  <w:divBdr>
                    <w:top w:val="none" w:sz="0" w:space="0" w:color="auto"/>
                    <w:left w:val="none" w:sz="0" w:space="0" w:color="auto"/>
                    <w:bottom w:val="none" w:sz="0" w:space="0" w:color="auto"/>
                    <w:right w:val="none" w:sz="0" w:space="0" w:color="auto"/>
                  </w:divBdr>
                  <w:divsChild>
                    <w:div w:id="1696230905">
                      <w:marLeft w:val="0"/>
                      <w:marRight w:val="0"/>
                      <w:marTop w:val="0"/>
                      <w:marBottom w:val="0"/>
                      <w:divBdr>
                        <w:top w:val="none" w:sz="0" w:space="0" w:color="auto"/>
                        <w:left w:val="none" w:sz="0" w:space="0" w:color="auto"/>
                        <w:bottom w:val="none" w:sz="0" w:space="0" w:color="auto"/>
                        <w:right w:val="none" w:sz="0" w:space="0" w:color="auto"/>
                      </w:divBdr>
                      <w:divsChild>
                        <w:div w:id="1294021922">
                          <w:marLeft w:val="0"/>
                          <w:marRight w:val="0"/>
                          <w:marTop w:val="0"/>
                          <w:marBottom w:val="0"/>
                          <w:divBdr>
                            <w:top w:val="none" w:sz="0" w:space="0" w:color="auto"/>
                            <w:left w:val="none" w:sz="0" w:space="0" w:color="auto"/>
                            <w:bottom w:val="none" w:sz="0" w:space="0" w:color="auto"/>
                            <w:right w:val="none" w:sz="0" w:space="0" w:color="auto"/>
                          </w:divBdr>
                          <w:divsChild>
                            <w:div w:id="1795295181">
                              <w:marLeft w:val="0"/>
                              <w:marRight w:val="0"/>
                              <w:marTop w:val="0"/>
                              <w:marBottom w:val="0"/>
                              <w:divBdr>
                                <w:top w:val="none" w:sz="0" w:space="0" w:color="auto"/>
                                <w:left w:val="none" w:sz="0" w:space="0" w:color="auto"/>
                                <w:bottom w:val="none" w:sz="0" w:space="0" w:color="auto"/>
                                <w:right w:val="none" w:sz="0" w:space="0" w:color="auto"/>
                              </w:divBdr>
                              <w:divsChild>
                                <w:div w:id="983699583">
                                  <w:marLeft w:val="0"/>
                                  <w:marRight w:val="0"/>
                                  <w:marTop w:val="0"/>
                                  <w:marBottom w:val="0"/>
                                  <w:divBdr>
                                    <w:top w:val="none" w:sz="0" w:space="0" w:color="auto"/>
                                    <w:left w:val="none" w:sz="0" w:space="0" w:color="auto"/>
                                    <w:bottom w:val="none" w:sz="0" w:space="0" w:color="auto"/>
                                    <w:right w:val="none" w:sz="0" w:space="0" w:color="auto"/>
                                  </w:divBdr>
                                  <w:divsChild>
                                    <w:div w:id="1273901992">
                                      <w:marLeft w:val="0"/>
                                      <w:marRight w:val="0"/>
                                      <w:marTop w:val="0"/>
                                      <w:marBottom w:val="0"/>
                                      <w:divBdr>
                                        <w:top w:val="none" w:sz="0" w:space="0" w:color="auto"/>
                                        <w:left w:val="none" w:sz="0" w:space="0" w:color="auto"/>
                                        <w:bottom w:val="none" w:sz="0" w:space="0" w:color="auto"/>
                                        <w:right w:val="none" w:sz="0" w:space="0" w:color="auto"/>
                                      </w:divBdr>
                                      <w:divsChild>
                                        <w:div w:id="92191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7138057">
      <w:bodyDiv w:val="1"/>
      <w:marLeft w:val="0"/>
      <w:marRight w:val="0"/>
      <w:marTop w:val="0"/>
      <w:marBottom w:val="0"/>
      <w:divBdr>
        <w:top w:val="none" w:sz="0" w:space="0" w:color="auto"/>
        <w:left w:val="none" w:sz="0" w:space="0" w:color="auto"/>
        <w:bottom w:val="none" w:sz="0" w:space="0" w:color="auto"/>
        <w:right w:val="none" w:sz="0" w:space="0" w:color="auto"/>
      </w:divBdr>
      <w:divsChild>
        <w:div w:id="815033122">
          <w:marLeft w:val="0"/>
          <w:marRight w:val="0"/>
          <w:marTop w:val="0"/>
          <w:marBottom w:val="0"/>
          <w:divBdr>
            <w:top w:val="none" w:sz="0" w:space="0" w:color="auto"/>
            <w:left w:val="none" w:sz="0" w:space="0" w:color="auto"/>
            <w:bottom w:val="none" w:sz="0" w:space="0" w:color="auto"/>
            <w:right w:val="none" w:sz="0" w:space="0" w:color="auto"/>
          </w:divBdr>
          <w:divsChild>
            <w:div w:id="46373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823853">
      <w:bodyDiv w:val="1"/>
      <w:marLeft w:val="0"/>
      <w:marRight w:val="0"/>
      <w:marTop w:val="0"/>
      <w:marBottom w:val="0"/>
      <w:divBdr>
        <w:top w:val="none" w:sz="0" w:space="0" w:color="auto"/>
        <w:left w:val="none" w:sz="0" w:space="0" w:color="auto"/>
        <w:bottom w:val="none" w:sz="0" w:space="0" w:color="auto"/>
        <w:right w:val="none" w:sz="0" w:space="0" w:color="auto"/>
      </w:divBdr>
    </w:div>
    <w:div w:id="417867834">
      <w:bodyDiv w:val="1"/>
      <w:marLeft w:val="0"/>
      <w:marRight w:val="0"/>
      <w:marTop w:val="0"/>
      <w:marBottom w:val="0"/>
      <w:divBdr>
        <w:top w:val="none" w:sz="0" w:space="0" w:color="auto"/>
        <w:left w:val="none" w:sz="0" w:space="0" w:color="auto"/>
        <w:bottom w:val="none" w:sz="0" w:space="0" w:color="auto"/>
        <w:right w:val="none" w:sz="0" w:space="0" w:color="auto"/>
      </w:divBdr>
      <w:divsChild>
        <w:div w:id="1120369520">
          <w:marLeft w:val="0"/>
          <w:marRight w:val="0"/>
          <w:marTop w:val="0"/>
          <w:marBottom w:val="0"/>
          <w:divBdr>
            <w:top w:val="none" w:sz="0" w:space="0" w:color="auto"/>
            <w:left w:val="none" w:sz="0" w:space="0" w:color="auto"/>
            <w:bottom w:val="none" w:sz="0" w:space="0" w:color="auto"/>
            <w:right w:val="none" w:sz="0" w:space="0" w:color="auto"/>
          </w:divBdr>
          <w:divsChild>
            <w:div w:id="222718254">
              <w:marLeft w:val="0"/>
              <w:marRight w:val="0"/>
              <w:marTop w:val="0"/>
              <w:marBottom w:val="0"/>
              <w:divBdr>
                <w:top w:val="none" w:sz="0" w:space="0" w:color="auto"/>
                <w:left w:val="none" w:sz="0" w:space="0" w:color="auto"/>
                <w:bottom w:val="none" w:sz="0" w:space="0" w:color="auto"/>
                <w:right w:val="none" w:sz="0" w:space="0" w:color="auto"/>
              </w:divBdr>
              <w:divsChild>
                <w:div w:id="1046173549">
                  <w:marLeft w:val="0"/>
                  <w:marRight w:val="0"/>
                  <w:marTop w:val="0"/>
                  <w:marBottom w:val="0"/>
                  <w:divBdr>
                    <w:top w:val="none" w:sz="0" w:space="0" w:color="auto"/>
                    <w:left w:val="none" w:sz="0" w:space="0" w:color="auto"/>
                    <w:bottom w:val="none" w:sz="0" w:space="0" w:color="auto"/>
                    <w:right w:val="none" w:sz="0" w:space="0" w:color="auto"/>
                  </w:divBdr>
                  <w:divsChild>
                    <w:div w:id="434517297">
                      <w:marLeft w:val="0"/>
                      <w:marRight w:val="0"/>
                      <w:marTop w:val="0"/>
                      <w:marBottom w:val="0"/>
                      <w:divBdr>
                        <w:top w:val="none" w:sz="0" w:space="0" w:color="auto"/>
                        <w:left w:val="none" w:sz="0" w:space="0" w:color="auto"/>
                        <w:bottom w:val="none" w:sz="0" w:space="0" w:color="auto"/>
                        <w:right w:val="none" w:sz="0" w:space="0" w:color="auto"/>
                      </w:divBdr>
                      <w:divsChild>
                        <w:div w:id="1304234429">
                          <w:marLeft w:val="0"/>
                          <w:marRight w:val="0"/>
                          <w:marTop w:val="0"/>
                          <w:marBottom w:val="0"/>
                          <w:divBdr>
                            <w:top w:val="none" w:sz="0" w:space="0" w:color="auto"/>
                            <w:left w:val="none" w:sz="0" w:space="0" w:color="auto"/>
                            <w:bottom w:val="none" w:sz="0" w:space="0" w:color="auto"/>
                            <w:right w:val="none" w:sz="0" w:space="0" w:color="auto"/>
                          </w:divBdr>
                          <w:divsChild>
                            <w:div w:id="1790123739">
                              <w:marLeft w:val="0"/>
                              <w:marRight w:val="0"/>
                              <w:marTop w:val="0"/>
                              <w:marBottom w:val="0"/>
                              <w:divBdr>
                                <w:top w:val="none" w:sz="0" w:space="0" w:color="auto"/>
                                <w:left w:val="none" w:sz="0" w:space="0" w:color="auto"/>
                                <w:bottom w:val="none" w:sz="0" w:space="0" w:color="auto"/>
                                <w:right w:val="none" w:sz="0" w:space="0" w:color="auto"/>
                              </w:divBdr>
                              <w:divsChild>
                                <w:div w:id="1704600288">
                                  <w:marLeft w:val="0"/>
                                  <w:marRight w:val="0"/>
                                  <w:marTop w:val="0"/>
                                  <w:marBottom w:val="0"/>
                                  <w:divBdr>
                                    <w:top w:val="none" w:sz="0" w:space="0" w:color="auto"/>
                                    <w:left w:val="none" w:sz="0" w:space="0" w:color="auto"/>
                                    <w:bottom w:val="none" w:sz="0" w:space="0" w:color="auto"/>
                                    <w:right w:val="none" w:sz="0" w:space="0" w:color="auto"/>
                                  </w:divBdr>
                                  <w:divsChild>
                                    <w:div w:id="157411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8868970">
      <w:bodyDiv w:val="1"/>
      <w:marLeft w:val="0"/>
      <w:marRight w:val="0"/>
      <w:marTop w:val="0"/>
      <w:marBottom w:val="0"/>
      <w:divBdr>
        <w:top w:val="none" w:sz="0" w:space="0" w:color="auto"/>
        <w:left w:val="none" w:sz="0" w:space="0" w:color="auto"/>
        <w:bottom w:val="none" w:sz="0" w:space="0" w:color="auto"/>
        <w:right w:val="none" w:sz="0" w:space="0" w:color="auto"/>
      </w:divBdr>
    </w:div>
    <w:div w:id="418869900">
      <w:bodyDiv w:val="1"/>
      <w:marLeft w:val="0"/>
      <w:marRight w:val="0"/>
      <w:marTop w:val="0"/>
      <w:marBottom w:val="0"/>
      <w:divBdr>
        <w:top w:val="none" w:sz="0" w:space="0" w:color="auto"/>
        <w:left w:val="none" w:sz="0" w:space="0" w:color="auto"/>
        <w:bottom w:val="none" w:sz="0" w:space="0" w:color="auto"/>
        <w:right w:val="none" w:sz="0" w:space="0" w:color="auto"/>
      </w:divBdr>
      <w:divsChild>
        <w:div w:id="1686397394">
          <w:marLeft w:val="0"/>
          <w:marRight w:val="0"/>
          <w:marTop w:val="0"/>
          <w:marBottom w:val="150"/>
          <w:divBdr>
            <w:top w:val="none" w:sz="0" w:space="0" w:color="auto"/>
            <w:left w:val="none" w:sz="0" w:space="0" w:color="auto"/>
            <w:bottom w:val="none" w:sz="0" w:space="0" w:color="auto"/>
            <w:right w:val="none" w:sz="0" w:space="0" w:color="auto"/>
          </w:divBdr>
          <w:divsChild>
            <w:div w:id="757750826">
              <w:marLeft w:val="0"/>
              <w:marRight w:val="0"/>
              <w:marTop w:val="0"/>
              <w:marBottom w:val="0"/>
              <w:divBdr>
                <w:top w:val="none" w:sz="0" w:space="0" w:color="auto"/>
                <w:left w:val="none" w:sz="0" w:space="0" w:color="auto"/>
                <w:bottom w:val="none" w:sz="0" w:space="0" w:color="auto"/>
                <w:right w:val="none" w:sz="0" w:space="0" w:color="auto"/>
              </w:divBdr>
              <w:divsChild>
                <w:div w:id="179097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563908">
          <w:marLeft w:val="0"/>
          <w:marRight w:val="0"/>
          <w:marTop w:val="0"/>
          <w:marBottom w:val="150"/>
          <w:divBdr>
            <w:top w:val="none" w:sz="0" w:space="0" w:color="auto"/>
            <w:left w:val="none" w:sz="0" w:space="0" w:color="auto"/>
            <w:bottom w:val="none" w:sz="0" w:space="0" w:color="auto"/>
            <w:right w:val="none" w:sz="0" w:space="0" w:color="auto"/>
          </w:divBdr>
        </w:div>
        <w:div w:id="975725362">
          <w:marLeft w:val="0"/>
          <w:marRight w:val="0"/>
          <w:marTop w:val="0"/>
          <w:marBottom w:val="0"/>
          <w:divBdr>
            <w:top w:val="none" w:sz="0" w:space="0" w:color="auto"/>
            <w:left w:val="none" w:sz="0" w:space="0" w:color="auto"/>
            <w:bottom w:val="none" w:sz="0" w:space="0" w:color="auto"/>
            <w:right w:val="none" w:sz="0" w:space="0" w:color="auto"/>
          </w:divBdr>
          <w:divsChild>
            <w:div w:id="152682063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19452368">
      <w:bodyDiv w:val="1"/>
      <w:marLeft w:val="0"/>
      <w:marRight w:val="0"/>
      <w:marTop w:val="0"/>
      <w:marBottom w:val="0"/>
      <w:divBdr>
        <w:top w:val="none" w:sz="0" w:space="0" w:color="auto"/>
        <w:left w:val="none" w:sz="0" w:space="0" w:color="auto"/>
        <w:bottom w:val="none" w:sz="0" w:space="0" w:color="auto"/>
        <w:right w:val="none" w:sz="0" w:space="0" w:color="auto"/>
      </w:divBdr>
    </w:div>
    <w:div w:id="419453696">
      <w:bodyDiv w:val="1"/>
      <w:marLeft w:val="0"/>
      <w:marRight w:val="0"/>
      <w:marTop w:val="0"/>
      <w:marBottom w:val="0"/>
      <w:divBdr>
        <w:top w:val="none" w:sz="0" w:space="0" w:color="auto"/>
        <w:left w:val="none" w:sz="0" w:space="0" w:color="auto"/>
        <w:bottom w:val="none" w:sz="0" w:space="0" w:color="auto"/>
        <w:right w:val="none" w:sz="0" w:space="0" w:color="auto"/>
      </w:divBdr>
      <w:divsChild>
        <w:div w:id="662510825">
          <w:marLeft w:val="0"/>
          <w:marRight w:val="0"/>
          <w:marTop w:val="0"/>
          <w:marBottom w:val="0"/>
          <w:divBdr>
            <w:top w:val="none" w:sz="0" w:space="0" w:color="auto"/>
            <w:left w:val="none" w:sz="0" w:space="0" w:color="auto"/>
            <w:bottom w:val="none" w:sz="0" w:space="0" w:color="auto"/>
            <w:right w:val="none" w:sz="0" w:space="0" w:color="auto"/>
          </w:divBdr>
          <w:divsChild>
            <w:div w:id="341443412">
              <w:marLeft w:val="0"/>
              <w:marRight w:val="0"/>
              <w:marTop w:val="0"/>
              <w:marBottom w:val="0"/>
              <w:divBdr>
                <w:top w:val="none" w:sz="0" w:space="0" w:color="auto"/>
                <w:left w:val="none" w:sz="0" w:space="0" w:color="auto"/>
                <w:bottom w:val="none" w:sz="0" w:space="0" w:color="auto"/>
                <w:right w:val="none" w:sz="0" w:space="0" w:color="auto"/>
              </w:divBdr>
              <w:divsChild>
                <w:div w:id="1841382565">
                  <w:marLeft w:val="0"/>
                  <w:marRight w:val="0"/>
                  <w:marTop w:val="0"/>
                  <w:marBottom w:val="0"/>
                  <w:divBdr>
                    <w:top w:val="none" w:sz="0" w:space="0" w:color="auto"/>
                    <w:left w:val="none" w:sz="0" w:space="0" w:color="auto"/>
                    <w:bottom w:val="none" w:sz="0" w:space="0" w:color="auto"/>
                    <w:right w:val="none" w:sz="0" w:space="0" w:color="auto"/>
                  </w:divBdr>
                  <w:divsChild>
                    <w:div w:id="1188907186">
                      <w:marLeft w:val="0"/>
                      <w:marRight w:val="0"/>
                      <w:marTop w:val="0"/>
                      <w:marBottom w:val="0"/>
                      <w:divBdr>
                        <w:top w:val="none" w:sz="0" w:space="0" w:color="auto"/>
                        <w:left w:val="none" w:sz="0" w:space="0" w:color="auto"/>
                        <w:bottom w:val="none" w:sz="0" w:space="0" w:color="auto"/>
                        <w:right w:val="none" w:sz="0" w:space="0" w:color="auto"/>
                      </w:divBdr>
                      <w:divsChild>
                        <w:div w:id="701051766">
                          <w:marLeft w:val="0"/>
                          <w:marRight w:val="0"/>
                          <w:marTop w:val="0"/>
                          <w:marBottom w:val="0"/>
                          <w:divBdr>
                            <w:top w:val="none" w:sz="0" w:space="0" w:color="auto"/>
                            <w:left w:val="none" w:sz="0" w:space="0" w:color="auto"/>
                            <w:bottom w:val="none" w:sz="0" w:space="0" w:color="auto"/>
                            <w:right w:val="none" w:sz="0" w:space="0" w:color="auto"/>
                          </w:divBdr>
                          <w:divsChild>
                            <w:div w:id="73728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9568066">
      <w:bodyDiv w:val="1"/>
      <w:marLeft w:val="0"/>
      <w:marRight w:val="0"/>
      <w:marTop w:val="0"/>
      <w:marBottom w:val="0"/>
      <w:divBdr>
        <w:top w:val="none" w:sz="0" w:space="0" w:color="auto"/>
        <w:left w:val="none" w:sz="0" w:space="0" w:color="auto"/>
        <w:bottom w:val="none" w:sz="0" w:space="0" w:color="auto"/>
        <w:right w:val="none" w:sz="0" w:space="0" w:color="auto"/>
      </w:divBdr>
      <w:divsChild>
        <w:div w:id="867375129">
          <w:marLeft w:val="0"/>
          <w:marRight w:val="0"/>
          <w:marTop w:val="0"/>
          <w:marBottom w:val="0"/>
          <w:divBdr>
            <w:top w:val="none" w:sz="0" w:space="0" w:color="auto"/>
            <w:left w:val="none" w:sz="0" w:space="0" w:color="auto"/>
            <w:bottom w:val="none" w:sz="0" w:space="0" w:color="auto"/>
            <w:right w:val="none" w:sz="0" w:space="0" w:color="auto"/>
          </w:divBdr>
        </w:div>
      </w:divsChild>
    </w:div>
    <w:div w:id="419639333">
      <w:bodyDiv w:val="1"/>
      <w:marLeft w:val="0"/>
      <w:marRight w:val="0"/>
      <w:marTop w:val="0"/>
      <w:marBottom w:val="0"/>
      <w:divBdr>
        <w:top w:val="none" w:sz="0" w:space="0" w:color="auto"/>
        <w:left w:val="none" w:sz="0" w:space="0" w:color="auto"/>
        <w:bottom w:val="none" w:sz="0" w:space="0" w:color="auto"/>
        <w:right w:val="none" w:sz="0" w:space="0" w:color="auto"/>
      </w:divBdr>
      <w:divsChild>
        <w:div w:id="74474831">
          <w:marLeft w:val="0"/>
          <w:marRight w:val="0"/>
          <w:marTop w:val="0"/>
          <w:marBottom w:val="150"/>
          <w:divBdr>
            <w:top w:val="none" w:sz="0" w:space="0" w:color="auto"/>
            <w:left w:val="none" w:sz="0" w:space="0" w:color="auto"/>
            <w:bottom w:val="none" w:sz="0" w:space="0" w:color="auto"/>
            <w:right w:val="none" w:sz="0" w:space="0" w:color="auto"/>
          </w:divBdr>
        </w:div>
        <w:div w:id="651177821">
          <w:marLeft w:val="0"/>
          <w:marRight w:val="0"/>
          <w:marTop w:val="0"/>
          <w:marBottom w:val="0"/>
          <w:divBdr>
            <w:top w:val="none" w:sz="0" w:space="0" w:color="auto"/>
            <w:left w:val="none" w:sz="0" w:space="0" w:color="auto"/>
            <w:bottom w:val="none" w:sz="0" w:space="0" w:color="auto"/>
            <w:right w:val="none" w:sz="0" w:space="0" w:color="auto"/>
          </w:divBdr>
        </w:div>
      </w:divsChild>
    </w:div>
    <w:div w:id="419645972">
      <w:bodyDiv w:val="1"/>
      <w:marLeft w:val="0"/>
      <w:marRight w:val="0"/>
      <w:marTop w:val="0"/>
      <w:marBottom w:val="0"/>
      <w:divBdr>
        <w:top w:val="none" w:sz="0" w:space="0" w:color="auto"/>
        <w:left w:val="none" w:sz="0" w:space="0" w:color="auto"/>
        <w:bottom w:val="none" w:sz="0" w:space="0" w:color="auto"/>
        <w:right w:val="none" w:sz="0" w:space="0" w:color="auto"/>
      </w:divBdr>
      <w:divsChild>
        <w:div w:id="1361468176">
          <w:marLeft w:val="0"/>
          <w:marRight w:val="0"/>
          <w:marTop w:val="0"/>
          <w:marBottom w:val="0"/>
          <w:divBdr>
            <w:top w:val="none" w:sz="0" w:space="0" w:color="auto"/>
            <w:left w:val="none" w:sz="0" w:space="0" w:color="auto"/>
            <w:bottom w:val="dotted" w:sz="6" w:space="4" w:color="DDDDDD"/>
            <w:right w:val="none" w:sz="0" w:space="0" w:color="auto"/>
          </w:divBdr>
        </w:div>
      </w:divsChild>
    </w:div>
    <w:div w:id="419722952">
      <w:bodyDiv w:val="1"/>
      <w:marLeft w:val="0"/>
      <w:marRight w:val="0"/>
      <w:marTop w:val="0"/>
      <w:marBottom w:val="0"/>
      <w:divBdr>
        <w:top w:val="none" w:sz="0" w:space="0" w:color="auto"/>
        <w:left w:val="none" w:sz="0" w:space="0" w:color="auto"/>
        <w:bottom w:val="none" w:sz="0" w:space="0" w:color="auto"/>
        <w:right w:val="none" w:sz="0" w:space="0" w:color="auto"/>
      </w:divBdr>
      <w:divsChild>
        <w:div w:id="1153523362">
          <w:marLeft w:val="0"/>
          <w:marRight w:val="0"/>
          <w:marTop w:val="0"/>
          <w:marBottom w:val="0"/>
          <w:divBdr>
            <w:top w:val="none" w:sz="0" w:space="0" w:color="auto"/>
            <w:left w:val="none" w:sz="0" w:space="0" w:color="auto"/>
            <w:bottom w:val="none" w:sz="0" w:space="0" w:color="auto"/>
            <w:right w:val="none" w:sz="0" w:space="0" w:color="auto"/>
          </w:divBdr>
          <w:divsChild>
            <w:div w:id="80276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028493">
      <w:bodyDiv w:val="1"/>
      <w:marLeft w:val="0"/>
      <w:marRight w:val="0"/>
      <w:marTop w:val="0"/>
      <w:marBottom w:val="0"/>
      <w:divBdr>
        <w:top w:val="none" w:sz="0" w:space="0" w:color="auto"/>
        <w:left w:val="none" w:sz="0" w:space="0" w:color="auto"/>
        <w:bottom w:val="none" w:sz="0" w:space="0" w:color="auto"/>
        <w:right w:val="none" w:sz="0" w:space="0" w:color="auto"/>
      </w:divBdr>
      <w:divsChild>
        <w:div w:id="641353955">
          <w:marLeft w:val="0"/>
          <w:marRight w:val="0"/>
          <w:marTop w:val="0"/>
          <w:marBottom w:val="150"/>
          <w:divBdr>
            <w:top w:val="none" w:sz="0" w:space="0" w:color="auto"/>
            <w:left w:val="none" w:sz="0" w:space="0" w:color="auto"/>
            <w:bottom w:val="none" w:sz="0" w:space="0" w:color="auto"/>
            <w:right w:val="none" w:sz="0" w:space="0" w:color="auto"/>
          </w:divBdr>
          <w:divsChild>
            <w:div w:id="1195382776">
              <w:marLeft w:val="0"/>
              <w:marRight w:val="0"/>
              <w:marTop w:val="0"/>
              <w:marBottom w:val="0"/>
              <w:divBdr>
                <w:top w:val="none" w:sz="0" w:space="0" w:color="auto"/>
                <w:left w:val="none" w:sz="0" w:space="0" w:color="auto"/>
                <w:bottom w:val="none" w:sz="0" w:space="0" w:color="auto"/>
                <w:right w:val="none" w:sz="0" w:space="0" w:color="auto"/>
              </w:divBdr>
              <w:divsChild>
                <w:div w:id="103692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676538">
          <w:marLeft w:val="0"/>
          <w:marRight w:val="0"/>
          <w:marTop w:val="0"/>
          <w:marBottom w:val="150"/>
          <w:divBdr>
            <w:top w:val="none" w:sz="0" w:space="0" w:color="auto"/>
            <w:left w:val="none" w:sz="0" w:space="0" w:color="auto"/>
            <w:bottom w:val="none" w:sz="0" w:space="0" w:color="auto"/>
            <w:right w:val="none" w:sz="0" w:space="0" w:color="auto"/>
          </w:divBdr>
        </w:div>
        <w:div w:id="1229614752">
          <w:marLeft w:val="0"/>
          <w:marRight w:val="0"/>
          <w:marTop w:val="0"/>
          <w:marBottom w:val="0"/>
          <w:divBdr>
            <w:top w:val="none" w:sz="0" w:space="0" w:color="auto"/>
            <w:left w:val="none" w:sz="0" w:space="0" w:color="auto"/>
            <w:bottom w:val="none" w:sz="0" w:space="0" w:color="auto"/>
            <w:right w:val="none" w:sz="0" w:space="0" w:color="auto"/>
          </w:divBdr>
          <w:divsChild>
            <w:div w:id="190987631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20372469">
      <w:bodyDiv w:val="1"/>
      <w:marLeft w:val="0"/>
      <w:marRight w:val="0"/>
      <w:marTop w:val="0"/>
      <w:marBottom w:val="0"/>
      <w:divBdr>
        <w:top w:val="none" w:sz="0" w:space="0" w:color="auto"/>
        <w:left w:val="none" w:sz="0" w:space="0" w:color="auto"/>
        <w:bottom w:val="none" w:sz="0" w:space="0" w:color="auto"/>
        <w:right w:val="none" w:sz="0" w:space="0" w:color="auto"/>
      </w:divBdr>
      <w:divsChild>
        <w:div w:id="1695037147">
          <w:marLeft w:val="0"/>
          <w:marRight w:val="0"/>
          <w:marTop w:val="0"/>
          <w:marBottom w:val="0"/>
          <w:divBdr>
            <w:top w:val="none" w:sz="0" w:space="0" w:color="auto"/>
            <w:left w:val="none" w:sz="0" w:space="0" w:color="auto"/>
            <w:bottom w:val="dotted" w:sz="6" w:space="4" w:color="DDDDDD"/>
            <w:right w:val="none" w:sz="0" w:space="0" w:color="auto"/>
          </w:divBdr>
        </w:div>
      </w:divsChild>
    </w:div>
    <w:div w:id="420873122">
      <w:bodyDiv w:val="1"/>
      <w:marLeft w:val="0"/>
      <w:marRight w:val="0"/>
      <w:marTop w:val="0"/>
      <w:marBottom w:val="0"/>
      <w:divBdr>
        <w:top w:val="none" w:sz="0" w:space="0" w:color="auto"/>
        <w:left w:val="none" w:sz="0" w:space="0" w:color="auto"/>
        <w:bottom w:val="none" w:sz="0" w:space="0" w:color="auto"/>
        <w:right w:val="none" w:sz="0" w:space="0" w:color="auto"/>
      </w:divBdr>
    </w:div>
    <w:div w:id="421070879">
      <w:bodyDiv w:val="1"/>
      <w:marLeft w:val="0"/>
      <w:marRight w:val="0"/>
      <w:marTop w:val="0"/>
      <w:marBottom w:val="0"/>
      <w:divBdr>
        <w:top w:val="none" w:sz="0" w:space="0" w:color="auto"/>
        <w:left w:val="none" w:sz="0" w:space="0" w:color="auto"/>
        <w:bottom w:val="none" w:sz="0" w:space="0" w:color="auto"/>
        <w:right w:val="none" w:sz="0" w:space="0" w:color="auto"/>
      </w:divBdr>
      <w:divsChild>
        <w:div w:id="724180287">
          <w:marLeft w:val="0"/>
          <w:marRight w:val="0"/>
          <w:marTop w:val="0"/>
          <w:marBottom w:val="0"/>
          <w:divBdr>
            <w:top w:val="none" w:sz="0" w:space="0" w:color="auto"/>
            <w:left w:val="none" w:sz="0" w:space="0" w:color="auto"/>
            <w:bottom w:val="dotted" w:sz="6" w:space="4" w:color="DDDDDD"/>
            <w:right w:val="none" w:sz="0" w:space="0" w:color="auto"/>
          </w:divBdr>
        </w:div>
      </w:divsChild>
    </w:div>
    <w:div w:id="421217570">
      <w:bodyDiv w:val="1"/>
      <w:marLeft w:val="0"/>
      <w:marRight w:val="0"/>
      <w:marTop w:val="0"/>
      <w:marBottom w:val="0"/>
      <w:divBdr>
        <w:top w:val="none" w:sz="0" w:space="0" w:color="auto"/>
        <w:left w:val="none" w:sz="0" w:space="0" w:color="auto"/>
        <w:bottom w:val="none" w:sz="0" w:space="0" w:color="auto"/>
        <w:right w:val="none" w:sz="0" w:space="0" w:color="auto"/>
      </w:divBdr>
    </w:div>
    <w:div w:id="421296067">
      <w:bodyDiv w:val="1"/>
      <w:marLeft w:val="0"/>
      <w:marRight w:val="0"/>
      <w:marTop w:val="0"/>
      <w:marBottom w:val="0"/>
      <w:divBdr>
        <w:top w:val="none" w:sz="0" w:space="0" w:color="auto"/>
        <w:left w:val="none" w:sz="0" w:space="0" w:color="auto"/>
        <w:bottom w:val="none" w:sz="0" w:space="0" w:color="auto"/>
        <w:right w:val="none" w:sz="0" w:space="0" w:color="auto"/>
      </w:divBdr>
      <w:divsChild>
        <w:div w:id="393893424">
          <w:marLeft w:val="0"/>
          <w:marRight w:val="0"/>
          <w:marTop w:val="0"/>
          <w:marBottom w:val="0"/>
          <w:divBdr>
            <w:top w:val="none" w:sz="0" w:space="0" w:color="auto"/>
            <w:left w:val="none" w:sz="0" w:space="0" w:color="auto"/>
            <w:bottom w:val="none" w:sz="0" w:space="0" w:color="auto"/>
            <w:right w:val="none" w:sz="0" w:space="0" w:color="auto"/>
          </w:divBdr>
        </w:div>
      </w:divsChild>
    </w:div>
    <w:div w:id="421683799">
      <w:bodyDiv w:val="1"/>
      <w:marLeft w:val="0"/>
      <w:marRight w:val="0"/>
      <w:marTop w:val="0"/>
      <w:marBottom w:val="0"/>
      <w:divBdr>
        <w:top w:val="none" w:sz="0" w:space="0" w:color="auto"/>
        <w:left w:val="none" w:sz="0" w:space="0" w:color="auto"/>
        <w:bottom w:val="none" w:sz="0" w:space="0" w:color="auto"/>
        <w:right w:val="none" w:sz="0" w:space="0" w:color="auto"/>
      </w:divBdr>
      <w:divsChild>
        <w:div w:id="853224228">
          <w:marLeft w:val="0"/>
          <w:marRight w:val="0"/>
          <w:marTop w:val="0"/>
          <w:marBottom w:val="0"/>
          <w:divBdr>
            <w:top w:val="none" w:sz="0" w:space="0" w:color="auto"/>
            <w:left w:val="none" w:sz="0" w:space="0" w:color="auto"/>
            <w:bottom w:val="none" w:sz="0" w:space="0" w:color="auto"/>
            <w:right w:val="none" w:sz="0" w:space="0" w:color="auto"/>
          </w:divBdr>
          <w:divsChild>
            <w:div w:id="371225746">
              <w:marLeft w:val="0"/>
              <w:marRight w:val="0"/>
              <w:marTop w:val="0"/>
              <w:marBottom w:val="225"/>
              <w:divBdr>
                <w:top w:val="none" w:sz="0" w:space="0" w:color="auto"/>
                <w:left w:val="none" w:sz="0" w:space="0" w:color="auto"/>
                <w:bottom w:val="none" w:sz="0" w:space="0" w:color="auto"/>
                <w:right w:val="none" w:sz="0" w:space="0" w:color="auto"/>
              </w:divBdr>
            </w:div>
            <w:div w:id="1492597482">
              <w:marLeft w:val="0"/>
              <w:marRight w:val="0"/>
              <w:marTop w:val="0"/>
              <w:marBottom w:val="225"/>
              <w:divBdr>
                <w:top w:val="none" w:sz="0" w:space="0" w:color="auto"/>
                <w:left w:val="none" w:sz="0" w:space="0" w:color="auto"/>
                <w:bottom w:val="none" w:sz="0" w:space="0" w:color="auto"/>
                <w:right w:val="none" w:sz="0" w:space="0" w:color="auto"/>
              </w:divBdr>
              <w:divsChild>
                <w:div w:id="2045790552">
                  <w:marLeft w:val="0"/>
                  <w:marRight w:val="0"/>
                  <w:marTop w:val="0"/>
                  <w:marBottom w:val="0"/>
                  <w:divBdr>
                    <w:top w:val="none" w:sz="0" w:space="0" w:color="auto"/>
                    <w:left w:val="none" w:sz="0" w:space="0" w:color="auto"/>
                    <w:bottom w:val="none" w:sz="0" w:space="0" w:color="auto"/>
                    <w:right w:val="none" w:sz="0" w:space="0" w:color="auto"/>
                  </w:divBdr>
                  <w:divsChild>
                    <w:div w:id="57239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770598">
          <w:marLeft w:val="0"/>
          <w:marRight w:val="0"/>
          <w:marTop w:val="0"/>
          <w:marBottom w:val="225"/>
          <w:divBdr>
            <w:top w:val="none" w:sz="0" w:space="0" w:color="auto"/>
            <w:left w:val="none" w:sz="0" w:space="0" w:color="auto"/>
            <w:bottom w:val="single" w:sz="6" w:space="0" w:color="CCCCCC"/>
            <w:right w:val="none" w:sz="0" w:space="0" w:color="auto"/>
          </w:divBdr>
        </w:div>
      </w:divsChild>
    </w:div>
    <w:div w:id="422576805">
      <w:bodyDiv w:val="1"/>
      <w:marLeft w:val="0"/>
      <w:marRight w:val="0"/>
      <w:marTop w:val="0"/>
      <w:marBottom w:val="0"/>
      <w:divBdr>
        <w:top w:val="none" w:sz="0" w:space="0" w:color="auto"/>
        <w:left w:val="none" w:sz="0" w:space="0" w:color="auto"/>
        <w:bottom w:val="none" w:sz="0" w:space="0" w:color="auto"/>
        <w:right w:val="none" w:sz="0" w:space="0" w:color="auto"/>
      </w:divBdr>
    </w:div>
    <w:div w:id="422803613">
      <w:bodyDiv w:val="1"/>
      <w:marLeft w:val="0"/>
      <w:marRight w:val="0"/>
      <w:marTop w:val="0"/>
      <w:marBottom w:val="0"/>
      <w:divBdr>
        <w:top w:val="none" w:sz="0" w:space="0" w:color="auto"/>
        <w:left w:val="none" w:sz="0" w:space="0" w:color="auto"/>
        <w:bottom w:val="none" w:sz="0" w:space="0" w:color="auto"/>
        <w:right w:val="none" w:sz="0" w:space="0" w:color="auto"/>
      </w:divBdr>
      <w:divsChild>
        <w:div w:id="115487111">
          <w:marLeft w:val="0"/>
          <w:marRight w:val="0"/>
          <w:marTop w:val="0"/>
          <w:marBottom w:val="0"/>
          <w:divBdr>
            <w:top w:val="none" w:sz="0" w:space="0" w:color="auto"/>
            <w:left w:val="none" w:sz="0" w:space="0" w:color="auto"/>
            <w:bottom w:val="none" w:sz="0" w:space="0" w:color="auto"/>
            <w:right w:val="none" w:sz="0" w:space="0" w:color="auto"/>
          </w:divBdr>
        </w:div>
        <w:div w:id="156269660">
          <w:marLeft w:val="0"/>
          <w:marRight w:val="0"/>
          <w:marTop w:val="0"/>
          <w:marBottom w:val="150"/>
          <w:divBdr>
            <w:top w:val="none" w:sz="0" w:space="0" w:color="auto"/>
            <w:left w:val="none" w:sz="0" w:space="0" w:color="auto"/>
            <w:bottom w:val="none" w:sz="0" w:space="0" w:color="auto"/>
            <w:right w:val="none" w:sz="0" w:space="0" w:color="auto"/>
          </w:divBdr>
        </w:div>
      </w:divsChild>
    </w:div>
    <w:div w:id="422846882">
      <w:bodyDiv w:val="1"/>
      <w:marLeft w:val="0"/>
      <w:marRight w:val="0"/>
      <w:marTop w:val="0"/>
      <w:marBottom w:val="0"/>
      <w:divBdr>
        <w:top w:val="none" w:sz="0" w:space="0" w:color="auto"/>
        <w:left w:val="none" w:sz="0" w:space="0" w:color="auto"/>
        <w:bottom w:val="none" w:sz="0" w:space="0" w:color="auto"/>
        <w:right w:val="none" w:sz="0" w:space="0" w:color="auto"/>
      </w:divBdr>
      <w:divsChild>
        <w:div w:id="123740621">
          <w:marLeft w:val="0"/>
          <w:marRight w:val="0"/>
          <w:marTop w:val="0"/>
          <w:marBottom w:val="150"/>
          <w:divBdr>
            <w:top w:val="none" w:sz="0" w:space="0" w:color="auto"/>
            <w:left w:val="none" w:sz="0" w:space="0" w:color="auto"/>
            <w:bottom w:val="none" w:sz="0" w:space="0" w:color="auto"/>
            <w:right w:val="none" w:sz="0" w:space="0" w:color="auto"/>
          </w:divBdr>
        </w:div>
        <w:div w:id="1045107543">
          <w:marLeft w:val="0"/>
          <w:marRight w:val="0"/>
          <w:marTop w:val="0"/>
          <w:marBottom w:val="150"/>
          <w:divBdr>
            <w:top w:val="none" w:sz="0" w:space="0" w:color="auto"/>
            <w:left w:val="none" w:sz="0" w:space="0" w:color="auto"/>
            <w:bottom w:val="none" w:sz="0" w:space="0" w:color="auto"/>
            <w:right w:val="none" w:sz="0" w:space="0" w:color="auto"/>
          </w:divBdr>
        </w:div>
        <w:div w:id="1219198500">
          <w:marLeft w:val="0"/>
          <w:marRight w:val="0"/>
          <w:marTop w:val="0"/>
          <w:marBottom w:val="150"/>
          <w:divBdr>
            <w:top w:val="none" w:sz="0" w:space="0" w:color="auto"/>
            <w:left w:val="none" w:sz="0" w:space="0" w:color="auto"/>
            <w:bottom w:val="none" w:sz="0" w:space="0" w:color="auto"/>
            <w:right w:val="none" w:sz="0" w:space="0" w:color="auto"/>
          </w:divBdr>
        </w:div>
        <w:div w:id="1286043986">
          <w:marLeft w:val="0"/>
          <w:marRight w:val="0"/>
          <w:marTop w:val="0"/>
          <w:marBottom w:val="150"/>
          <w:divBdr>
            <w:top w:val="none" w:sz="0" w:space="0" w:color="auto"/>
            <w:left w:val="none" w:sz="0" w:space="0" w:color="auto"/>
            <w:bottom w:val="none" w:sz="0" w:space="0" w:color="auto"/>
            <w:right w:val="none" w:sz="0" w:space="0" w:color="auto"/>
          </w:divBdr>
        </w:div>
        <w:div w:id="1327392307">
          <w:marLeft w:val="0"/>
          <w:marRight w:val="0"/>
          <w:marTop w:val="0"/>
          <w:marBottom w:val="150"/>
          <w:divBdr>
            <w:top w:val="none" w:sz="0" w:space="0" w:color="auto"/>
            <w:left w:val="none" w:sz="0" w:space="0" w:color="auto"/>
            <w:bottom w:val="none" w:sz="0" w:space="0" w:color="auto"/>
            <w:right w:val="none" w:sz="0" w:space="0" w:color="auto"/>
          </w:divBdr>
        </w:div>
        <w:div w:id="1340623469">
          <w:marLeft w:val="0"/>
          <w:marRight w:val="0"/>
          <w:marTop w:val="0"/>
          <w:marBottom w:val="150"/>
          <w:divBdr>
            <w:top w:val="none" w:sz="0" w:space="0" w:color="auto"/>
            <w:left w:val="none" w:sz="0" w:space="0" w:color="auto"/>
            <w:bottom w:val="none" w:sz="0" w:space="0" w:color="auto"/>
            <w:right w:val="none" w:sz="0" w:space="0" w:color="auto"/>
          </w:divBdr>
        </w:div>
        <w:div w:id="1365906689">
          <w:marLeft w:val="0"/>
          <w:marRight w:val="0"/>
          <w:marTop w:val="0"/>
          <w:marBottom w:val="150"/>
          <w:divBdr>
            <w:top w:val="none" w:sz="0" w:space="0" w:color="auto"/>
            <w:left w:val="none" w:sz="0" w:space="0" w:color="auto"/>
            <w:bottom w:val="none" w:sz="0" w:space="0" w:color="auto"/>
            <w:right w:val="none" w:sz="0" w:space="0" w:color="auto"/>
          </w:divBdr>
        </w:div>
        <w:div w:id="1418556109">
          <w:marLeft w:val="0"/>
          <w:marRight w:val="0"/>
          <w:marTop w:val="0"/>
          <w:marBottom w:val="150"/>
          <w:divBdr>
            <w:top w:val="none" w:sz="0" w:space="0" w:color="auto"/>
            <w:left w:val="none" w:sz="0" w:space="0" w:color="auto"/>
            <w:bottom w:val="none" w:sz="0" w:space="0" w:color="auto"/>
            <w:right w:val="none" w:sz="0" w:space="0" w:color="auto"/>
          </w:divBdr>
        </w:div>
        <w:div w:id="1492403564">
          <w:marLeft w:val="0"/>
          <w:marRight w:val="0"/>
          <w:marTop w:val="0"/>
          <w:marBottom w:val="150"/>
          <w:divBdr>
            <w:top w:val="none" w:sz="0" w:space="0" w:color="auto"/>
            <w:left w:val="none" w:sz="0" w:space="0" w:color="auto"/>
            <w:bottom w:val="none" w:sz="0" w:space="0" w:color="auto"/>
            <w:right w:val="none" w:sz="0" w:space="0" w:color="auto"/>
          </w:divBdr>
        </w:div>
        <w:div w:id="1551502425">
          <w:marLeft w:val="0"/>
          <w:marRight w:val="0"/>
          <w:marTop w:val="0"/>
          <w:marBottom w:val="150"/>
          <w:divBdr>
            <w:top w:val="none" w:sz="0" w:space="0" w:color="auto"/>
            <w:left w:val="none" w:sz="0" w:space="0" w:color="auto"/>
            <w:bottom w:val="none" w:sz="0" w:space="0" w:color="auto"/>
            <w:right w:val="none" w:sz="0" w:space="0" w:color="auto"/>
          </w:divBdr>
        </w:div>
        <w:div w:id="1587228640">
          <w:marLeft w:val="0"/>
          <w:marRight w:val="0"/>
          <w:marTop w:val="0"/>
          <w:marBottom w:val="150"/>
          <w:divBdr>
            <w:top w:val="none" w:sz="0" w:space="0" w:color="auto"/>
            <w:left w:val="none" w:sz="0" w:space="0" w:color="auto"/>
            <w:bottom w:val="none" w:sz="0" w:space="0" w:color="auto"/>
            <w:right w:val="none" w:sz="0" w:space="0" w:color="auto"/>
          </w:divBdr>
        </w:div>
        <w:div w:id="1689790599">
          <w:marLeft w:val="0"/>
          <w:marRight w:val="0"/>
          <w:marTop w:val="0"/>
          <w:marBottom w:val="150"/>
          <w:divBdr>
            <w:top w:val="none" w:sz="0" w:space="0" w:color="auto"/>
            <w:left w:val="none" w:sz="0" w:space="0" w:color="auto"/>
            <w:bottom w:val="none" w:sz="0" w:space="0" w:color="auto"/>
            <w:right w:val="none" w:sz="0" w:space="0" w:color="auto"/>
          </w:divBdr>
        </w:div>
        <w:div w:id="1748771624">
          <w:marLeft w:val="0"/>
          <w:marRight w:val="0"/>
          <w:marTop w:val="0"/>
          <w:marBottom w:val="150"/>
          <w:divBdr>
            <w:top w:val="none" w:sz="0" w:space="0" w:color="auto"/>
            <w:left w:val="none" w:sz="0" w:space="0" w:color="auto"/>
            <w:bottom w:val="none" w:sz="0" w:space="0" w:color="auto"/>
            <w:right w:val="none" w:sz="0" w:space="0" w:color="auto"/>
          </w:divBdr>
        </w:div>
        <w:div w:id="1950502448">
          <w:marLeft w:val="0"/>
          <w:marRight w:val="0"/>
          <w:marTop w:val="0"/>
          <w:marBottom w:val="150"/>
          <w:divBdr>
            <w:top w:val="none" w:sz="0" w:space="0" w:color="auto"/>
            <w:left w:val="none" w:sz="0" w:space="0" w:color="auto"/>
            <w:bottom w:val="none" w:sz="0" w:space="0" w:color="auto"/>
            <w:right w:val="none" w:sz="0" w:space="0" w:color="auto"/>
          </w:divBdr>
        </w:div>
      </w:divsChild>
    </w:div>
    <w:div w:id="422997661">
      <w:bodyDiv w:val="1"/>
      <w:marLeft w:val="0"/>
      <w:marRight w:val="0"/>
      <w:marTop w:val="0"/>
      <w:marBottom w:val="0"/>
      <w:divBdr>
        <w:top w:val="none" w:sz="0" w:space="0" w:color="auto"/>
        <w:left w:val="none" w:sz="0" w:space="0" w:color="auto"/>
        <w:bottom w:val="none" w:sz="0" w:space="0" w:color="auto"/>
        <w:right w:val="none" w:sz="0" w:space="0" w:color="auto"/>
      </w:divBdr>
    </w:div>
    <w:div w:id="424108028">
      <w:bodyDiv w:val="1"/>
      <w:marLeft w:val="0"/>
      <w:marRight w:val="0"/>
      <w:marTop w:val="0"/>
      <w:marBottom w:val="0"/>
      <w:divBdr>
        <w:top w:val="none" w:sz="0" w:space="0" w:color="auto"/>
        <w:left w:val="none" w:sz="0" w:space="0" w:color="auto"/>
        <w:bottom w:val="none" w:sz="0" w:space="0" w:color="auto"/>
        <w:right w:val="none" w:sz="0" w:space="0" w:color="auto"/>
      </w:divBdr>
      <w:divsChild>
        <w:div w:id="441456349">
          <w:marLeft w:val="0"/>
          <w:marRight w:val="0"/>
          <w:marTop w:val="0"/>
          <w:marBottom w:val="0"/>
          <w:divBdr>
            <w:top w:val="none" w:sz="0" w:space="0" w:color="auto"/>
            <w:left w:val="none" w:sz="0" w:space="0" w:color="auto"/>
            <w:bottom w:val="none" w:sz="0" w:space="0" w:color="auto"/>
            <w:right w:val="none" w:sz="0" w:space="0" w:color="auto"/>
          </w:divBdr>
          <w:divsChild>
            <w:div w:id="1516965816">
              <w:marLeft w:val="0"/>
              <w:marRight w:val="0"/>
              <w:marTop w:val="0"/>
              <w:marBottom w:val="0"/>
              <w:divBdr>
                <w:top w:val="none" w:sz="0" w:space="0" w:color="auto"/>
                <w:left w:val="none" w:sz="0" w:space="0" w:color="auto"/>
                <w:bottom w:val="none" w:sz="0" w:space="0" w:color="auto"/>
                <w:right w:val="none" w:sz="0" w:space="0" w:color="auto"/>
              </w:divBdr>
              <w:divsChild>
                <w:div w:id="1221481527">
                  <w:marLeft w:val="0"/>
                  <w:marRight w:val="0"/>
                  <w:marTop w:val="0"/>
                  <w:marBottom w:val="0"/>
                  <w:divBdr>
                    <w:top w:val="none" w:sz="0" w:space="0" w:color="auto"/>
                    <w:left w:val="none" w:sz="0" w:space="0" w:color="auto"/>
                    <w:bottom w:val="none" w:sz="0" w:space="0" w:color="auto"/>
                    <w:right w:val="none" w:sz="0" w:space="0" w:color="auto"/>
                  </w:divBdr>
                  <w:divsChild>
                    <w:div w:id="1577939608">
                      <w:marLeft w:val="0"/>
                      <w:marRight w:val="0"/>
                      <w:marTop w:val="0"/>
                      <w:marBottom w:val="0"/>
                      <w:divBdr>
                        <w:top w:val="none" w:sz="0" w:space="0" w:color="auto"/>
                        <w:left w:val="none" w:sz="0" w:space="0" w:color="auto"/>
                        <w:bottom w:val="none" w:sz="0" w:space="0" w:color="auto"/>
                        <w:right w:val="none" w:sz="0" w:space="0" w:color="auto"/>
                      </w:divBdr>
                      <w:divsChild>
                        <w:div w:id="155808505">
                          <w:marLeft w:val="0"/>
                          <w:marRight w:val="0"/>
                          <w:marTop w:val="0"/>
                          <w:marBottom w:val="0"/>
                          <w:divBdr>
                            <w:top w:val="none" w:sz="0" w:space="0" w:color="auto"/>
                            <w:left w:val="none" w:sz="0" w:space="0" w:color="auto"/>
                            <w:bottom w:val="none" w:sz="0" w:space="0" w:color="auto"/>
                            <w:right w:val="none" w:sz="0" w:space="0" w:color="auto"/>
                          </w:divBdr>
                          <w:divsChild>
                            <w:div w:id="750548056">
                              <w:marLeft w:val="0"/>
                              <w:marRight w:val="0"/>
                              <w:marTop w:val="0"/>
                              <w:marBottom w:val="0"/>
                              <w:divBdr>
                                <w:top w:val="none" w:sz="0" w:space="0" w:color="auto"/>
                                <w:left w:val="none" w:sz="0" w:space="0" w:color="auto"/>
                                <w:bottom w:val="none" w:sz="0" w:space="0" w:color="auto"/>
                                <w:right w:val="none" w:sz="0" w:space="0" w:color="auto"/>
                              </w:divBdr>
                              <w:divsChild>
                                <w:div w:id="2025935128">
                                  <w:marLeft w:val="0"/>
                                  <w:marRight w:val="0"/>
                                  <w:marTop w:val="0"/>
                                  <w:marBottom w:val="0"/>
                                  <w:divBdr>
                                    <w:top w:val="none" w:sz="0" w:space="0" w:color="auto"/>
                                    <w:left w:val="none" w:sz="0" w:space="0" w:color="auto"/>
                                    <w:bottom w:val="none" w:sz="0" w:space="0" w:color="auto"/>
                                    <w:right w:val="none" w:sz="0" w:space="0" w:color="auto"/>
                                  </w:divBdr>
                                  <w:divsChild>
                                    <w:div w:id="1282416799">
                                      <w:marLeft w:val="0"/>
                                      <w:marRight w:val="0"/>
                                      <w:marTop w:val="0"/>
                                      <w:marBottom w:val="0"/>
                                      <w:divBdr>
                                        <w:top w:val="none" w:sz="0" w:space="0" w:color="auto"/>
                                        <w:left w:val="none" w:sz="0" w:space="0" w:color="auto"/>
                                        <w:bottom w:val="none" w:sz="0" w:space="0" w:color="auto"/>
                                        <w:right w:val="none" w:sz="0" w:space="0" w:color="auto"/>
                                      </w:divBdr>
                                      <w:divsChild>
                                        <w:div w:id="111398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4112729">
      <w:bodyDiv w:val="1"/>
      <w:marLeft w:val="0"/>
      <w:marRight w:val="0"/>
      <w:marTop w:val="0"/>
      <w:marBottom w:val="0"/>
      <w:divBdr>
        <w:top w:val="none" w:sz="0" w:space="0" w:color="auto"/>
        <w:left w:val="none" w:sz="0" w:space="0" w:color="auto"/>
        <w:bottom w:val="none" w:sz="0" w:space="0" w:color="auto"/>
        <w:right w:val="none" w:sz="0" w:space="0" w:color="auto"/>
      </w:divBdr>
      <w:divsChild>
        <w:div w:id="1600798459">
          <w:marLeft w:val="0"/>
          <w:marRight w:val="0"/>
          <w:marTop w:val="0"/>
          <w:marBottom w:val="0"/>
          <w:divBdr>
            <w:top w:val="none" w:sz="0" w:space="0" w:color="auto"/>
            <w:left w:val="none" w:sz="0" w:space="0" w:color="auto"/>
            <w:bottom w:val="none" w:sz="0" w:space="0" w:color="auto"/>
            <w:right w:val="none" w:sz="0" w:space="0" w:color="auto"/>
          </w:divBdr>
          <w:divsChild>
            <w:div w:id="1504585506">
              <w:marLeft w:val="0"/>
              <w:marRight w:val="0"/>
              <w:marTop w:val="0"/>
              <w:marBottom w:val="0"/>
              <w:divBdr>
                <w:top w:val="none" w:sz="0" w:space="0" w:color="auto"/>
                <w:left w:val="none" w:sz="0" w:space="0" w:color="auto"/>
                <w:bottom w:val="none" w:sz="0" w:space="0" w:color="auto"/>
                <w:right w:val="none" w:sz="0" w:space="0" w:color="auto"/>
              </w:divBdr>
            </w:div>
          </w:divsChild>
        </w:div>
        <w:div w:id="897133842">
          <w:marLeft w:val="0"/>
          <w:marRight w:val="0"/>
          <w:marTop w:val="240"/>
          <w:marBottom w:val="0"/>
          <w:divBdr>
            <w:top w:val="none" w:sz="0" w:space="0" w:color="auto"/>
            <w:left w:val="none" w:sz="0" w:space="0" w:color="auto"/>
            <w:bottom w:val="none" w:sz="0" w:space="0" w:color="auto"/>
            <w:right w:val="none" w:sz="0" w:space="0" w:color="auto"/>
          </w:divBdr>
        </w:div>
      </w:divsChild>
    </w:div>
    <w:div w:id="424152628">
      <w:bodyDiv w:val="1"/>
      <w:marLeft w:val="0"/>
      <w:marRight w:val="0"/>
      <w:marTop w:val="0"/>
      <w:marBottom w:val="0"/>
      <w:divBdr>
        <w:top w:val="none" w:sz="0" w:space="0" w:color="auto"/>
        <w:left w:val="none" w:sz="0" w:space="0" w:color="auto"/>
        <w:bottom w:val="none" w:sz="0" w:space="0" w:color="auto"/>
        <w:right w:val="none" w:sz="0" w:space="0" w:color="auto"/>
      </w:divBdr>
      <w:divsChild>
        <w:div w:id="1051688209">
          <w:marLeft w:val="0"/>
          <w:marRight w:val="0"/>
          <w:marTop w:val="0"/>
          <w:marBottom w:val="150"/>
          <w:divBdr>
            <w:top w:val="none" w:sz="0" w:space="0" w:color="auto"/>
            <w:left w:val="none" w:sz="0" w:space="0" w:color="auto"/>
            <w:bottom w:val="none" w:sz="0" w:space="0" w:color="auto"/>
            <w:right w:val="none" w:sz="0" w:space="0" w:color="auto"/>
          </w:divBdr>
          <w:divsChild>
            <w:div w:id="418447452">
              <w:marLeft w:val="0"/>
              <w:marRight w:val="0"/>
              <w:marTop w:val="0"/>
              <w:marBottom w:val="0"/>
              <w:divBdr>
                <w:top w:val="none" w:sz="0" w:space="0" w:color="auto"/>
                <w:left w:val="none" w:sz="0" w:space="0" w:color="auto"/>
                <w:bottom w:val="none" w:sz="0" w:space="0" w:color="auto"/>
                <w:right w:val="none" w:sz="0" w:space="0" w:color="auto"/>
              </w:divBdr>
              <w:divsChild>
                <w:div w:id="1959293640">
                  <w:marLeft w:val="0"/>
                  <w:marRight w:val="0"/>
                  <w:marTop w:val="0"/>
                  <w:marBottom w:val="0"/>
                  <w:divBdr>
                    <w:top w:val="none" w:sz="0" w:space="0" w:color="auto"/>
                    <w:left w:val="none" w:sz="0" w:space="0" w:color="auto"/>
                    <w:bottom w:val="none" w:sz="0" w:space="0" w:color="auto"/>
                    <w:right w:val="none" w:sz="0" w:space="0" w:color="auto"/>
                  </w:divBdr>
                  <w:divsChild>
                    <w:div w:id="782767118">
                      <w:marLeft w:val="0"/>
                      <w:marRight w:val="150"/>
                      <w:marTop w:val="0"/>
                      <w:marBottom w:val="0"/>
                      <w:divBdr>
                        <w:top w:val="none" w:sz="0" w:space="0" w:color="auto"/>
                        <w:left w:val="none" w:sz="0" w:space="0" w:color="auto"/>
                        <w:bottom w:val="none" w:sz="0" w:space="0" w:color="auto"/>
                        <w:right w:val="none" w:sz="0" w:space="0" w:color="auto"/>
                      </w:divBdr>
                      <w:divsChild>
                        <w:div w:id="101765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925429">
          <w:marLeft w:val="0"/>
          <w:marRight w:val="0"/>
          <w:marTop w:val="0"/>
          <w:marBottom w:val="150"/>
          <w:divBdr>
            <w:top w:val="none" w:sz="0" w:space="0" w:color="auto"/>
            <w:left w:val="none" w:sz="0" w:space="0" w:color="auto"/>
            <w:bottom w:val="none" w:sz="0" w:space="0" w:color="auto"/>
            <w:right w:val="none" w:sz="0" w:space="0" w:color="auto"/>
          </w:divBdr>
        </w:div>
        <w:div w:id="11080329">
          <w:marLeft w:val="0"/>
          <w:marRight w:val="0"/>
          <w:marTop w:val="0"/>
          <w:marBottom w:val="0"/>
          <w:divBdr>
            <w:top w:val="none" w:sz="0" w:space="0" w:color="auto"/>
            <w:left w:val="none" w:sz="0" w:space="0" w:color="auto"/>
            <w:bottom w:val="none" w:sz="0" w:space="0" w:color="auto"/>
            <w:right w:val="none" w:sz="0" w:space="0" w:color="auto"/>
          </w:divBdr>
          <w:divsChild>
            <w:div w:id="12166212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24233607">
      <w:bodyDiv w:val="1"/>
      <w:marLeft w:val="0"/>
      <w:marRight w:val="0"/>
      <w:marTop w:val="0"/>
      <w:marBottom w:val="0"/>
      <w:divBdr>
        <w:top w:val="none" w:sz="0" w:space="0" w:color="auto"/>
        <w:left w:val="none" w:sz="0" w:space="0" w:color="auto"/>
        <w:bottom w:val="none" w:sz="0" w:space="0" w:color="auto"/>
        <w:right w:val="none" w:sz="0" w:space="0" w:color="auto"/>
      </w:divBdr>
      <w:divsChild>
        <w:div w:id="1829400448">
          <w:marLeft w:val="0"/>
          <w:marRight w:val="0"/>
          <w:marTop w:val="0"/>
          <w:marBottom w:val="150"/>
          <w:divBdr>
            <w:top w:val="none" w:sz="0" w:space="0" w:color="auto"/>
            <w:left w:val="none" w:sz="0" w:space="0" w:color="auto"/>
            <w:bottom w:val="none" w:sz="0" w:space="0" w:color="auto"/>
            <w:right w:val="none" w:sz="0" w:space="0" w:color="auto"/>
          </w:divBdr>
        </w:div>
      </w:divsChild>
    </w:div>
    <w:div w:id="424804748">
      <w:bodyDiv w:val="1"/>
      <w:marLeft w:val="0"/>
      <w:marRight w:val="0"/>
      <w:marTop w:val="0"/>
      <w:marBottom w:val="0"/>
      <w:divBdr>
        <w:top w:val="none" w:sz="0" w:space="0" w:color="auto"/>
        <w:left w:val="none" w:sz="0" w:space="0" w:color="auto"/>
        <w:bottom w:val="none" w:sz="0" w:space="0" w:color="auto"/>
        <w:right w:val="none" w:sz="0" w:space="0" w:color="auto"/>
      </w:divBdr>
      <w:divsChild>
        <w:div w:id="1450776782">
          <w:marLeft w:val="0"/>
          <w:marRight w:val="0"/>
          <w:marTop w:val="0"/>
          <w:marBottom w:val="0"/>
          <w:divBdr>
            <w:top w:val="none" w:sz="0" w:space="0" w:color="auto"/>
            <w:left w:val="none" w:sz="0" w:space="0" w:color="auto"/>
            <w:bottom w:val="dotted" w:sz="6" w:space="4" w:color="DDDDDD"/>
            <w:right w:val="none" w:sz="0" w:space="0" w:color="auto"/>
          </w:divBdr>
          <w:divsChild>
            <w:div w:id="183568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882469">
      <w:bodyDiv w:val="1"/>
      <w:marLeft w:val="0"/>
      <w:marRight w:val="0"/>
      <w:marTop w:val="0"/>
      <w:marBottom w:val="0"/>
      <w:divBdr>
        <w:top w:val="none" w:sz="0" w:space="0" w:color="auto"/>
        <w:left w:val="none" w:sz="0" w:space="0" w:color="auto"/>
        <w:bottom w:val="none" w:sz="0" w:space="0" w:color="auto"/>
        <w:right w:val="none" w:sz="0" w:space="0" w:color="auto"/>
      </w:divBdr>
      <w:divsChild>
        <w:div w:id="216816545">
          <w:marLeft w:val="0"/>
          <w:marRight w:val="0"/>
          <w:marTop w:val="135"/>
          <w:marBottom w:val="0"/>
          <w:divBdr>
            <w:top w:val="none" w:sz="0" w:space="0" w:color="auto"/>
            <w:left w:val="none" w:sz="0" w:space="0" w:color="auto"/>
            <w:bottom w:val="none" w:sz="0" w:space="0" w:color="auto"/>
            <w:right w:val="none" w:sz="0" w:space="0" w:color="auto"/>
          </w:divBdr>
          <w:divsChild>
            <w:div w:id="291979239">
              <w:marLeft w:val="0"/>
              <w:marRight w:val="0"/>
              <w:marTop w:val="45"/>
              <w:marBottom w:val="0"/>
              <w:divBdr>
                <w:top w:val="none" w:sz="0" w:space="0" w:color="auto"/>
                <w:left w:val="none" w:sz="0" w:space="0" w:color="auto"/>
                <w:bottom w:val="none" w:sz="0" w:space="0" w:color="auto"/>
                <w:right w:val="none" w:sz="0" w:space="0" w:color="auto"/>
              </w:divBdr>
            </w:div>
          </w:divsChild>
        </w:div>
        <w:div w:id="1589381765">
          <w:marLeft w:val="0"/>
          <w:marRight w:val="0"/>
          <w:marTop w:val="300"/>
          <w:marBottom w:val="0"/>
          <w:divBdr>
            <w:top w:val="none" w:sz="0" w:space="0" w:color="auto"/>
            <w:left w:val="none" w:sz="0" w:space="0" w:color="auto"/>
            <w:bottom w:val="none" w:sz="0" w:space="0" w:color="auto"/>
            <w:right w:val="none" w:sz="0" w:space="0" w:color="auto"/>
          </w:divBdr>
        </w:div>
      </w:divsChild>
    </w:div>
    <w:div w:id="425078750">
      <w:bodyDiv w:val="1"/>
      <w:marLeft w:val="0"/>
      <w:marRight w:val="0"/>
      <w:marTop w:val="0"/>
      <w:marBottom w:val="0"/>
      <w:divBdr>
        <w:top w:val="none" w:sz="0" w:space="0" w:color="auto"/>
        <w:left w:val="none" w:sz="0" w:space="0" w:color="auto"/>
        <w:bottom w:val="none" w:sz="0" w:space="0" w:color="auto"/>
        <w:right w:val="none" w:sz="0" w:space="0" w:color="auto"/>
      </w:divBdr>
      <w:divsChild>
        <w:div w:id="2010055661">
          <w:marLeft w:val="0"/>
          <w:marRight w:val="0"/>
          <w:marTop w:val="0"/>
          <w:marBottom w:val="0"/>
          <w:divBdr>
            <w:top w:val="none" w:sz="0" w:space="0" w:color="auto"/>
            <w:left w:val="none" w:sz="0" w:space="0" w:color="auto"/>
            <w:bottom w:val="none" w:sz="0" w:space="0" w:color="auto"/>
            <w:right w:val="none" w:sz="0" w:space="0" w:color="auto"/>
          </w:divBdr>
          <w:divsChild>
            <w:div w:id="36360013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425460580">
      <w:bodyDiv w:val="1"/>
      <w:marLeft w:val="0"/>
      <w:marRight w:val="0"/>
      <w:marTop w:val="0"/>
      <w:marBottom w:val="0"/>
      <w:divBdr>
        <w:top w:val="none" w:sz="0" w:space="0" w:color="auto"/>
        <w:left w:val="none" w:sz="0" w:space="0" w:color="auto"/>
        <w:bottom w:val="none" w:sz="0" w:space="0" w:color="auto"/>
        <w:right w:val="none" w:sz="0" w:space="0" w:color="auto"/>
      </w:divBdr>
      <w:divsChild>
        <w:div w:id="532575120">
          <w:marLeft w:val="0"/>
          <w:marRight w:val="0"/>
          <w:marTop w:val="0"/>
          <w:marBottom w:val="0"/>
          <w:divBdr>
            <w:top w:val="none" w:sz="0" w:space="0" w:color="auto"/>
            <w:left w:val="none" w:sz="0" w:space="0" w:color="auto"/>
            <w:bottom w:val="none" w:sz="0" w:space="0" w:color="auto"/>
            <w:right w:val="none" w:sz="0" w:space="0" w:color="auto"/>
          </w:divBdr>
        </w:div>
        <w:div w:id="1099714479">
          <w:marLeft w:val="0"/>
          <w:marRight w:val="0"/>
          <w:marTop w:val="0"/>
          <w:marBottom w:val="0"/>
          <w:divBdr>
            <w:top w:val="none" w:sz="0" w:space="0" w:color="auto"/>
            <w:left w:val="none" w:sz="0" w:space="0" w:color="auto"/>
            <w:bottom w:val="none" w:sz="0" w:space="0" w:color="auto"/>
            <w:right w:val="none" w:sz="0" w:space="0" w:color="auto"/>
          </w:divBdr>
          <w:divsChild>
            <w:div w:id="1865289510">
              <w:marLeft w:val="0"/>
              <w:marRight w:val="150"/>
              <w:marTop w:val="0"/>
              <w:marBottom w:val="0"/>
              <w:divBdr>
                <w:top w:val="none" w:sz="0" w:space="0" w:color="auto"/>
                <w:left w:val="none" w:sz="0" w:space="0" w:color="auto"/>
                <w:bottom w:val="none" w:sz="0" w:space="0" w:color="auto"/>
                <w:right w:val="none" w:sz="0" w:space="0" w:color="auto"/>
              </w:divBdr>
            </w:div>
            <w:div w:id="200612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06896">
      <w:bodyDiv w:val="1"/>
      <w:marLeft w:val="0"/>
      <w:marRight w:val="0"/>
      <w:marTop w:val="0"/>
      <w:marBottom w:val="0"/>
      <w:divBdr>
        <w:top w:val="none" w:sz="0" w:space="0" w:color="auto"/>
        <w:left w:val="none" w:sz="0" w:space="0" w:color="auto"/>
        <w:bottom w:val="none" w:sz="0" w:space="0" w:color="auto"/>
        <w:right w:val="none" w:sz="0" w:space="0" w:color="auto"/>
      </w:divBdr>
      <w:divsChild>
        <w:div w:id="1710912264">
          <w:marLeft w:val="0"/>
          <w:marRight w:val="0"/>
          <w:marTop w:val="0"/>
          <w:marBottom w:val="0"/>
          <w:divBdr>
            <w:top w:val="none" w:sz="0" w:space="0" w:color="auto"/>
            <w:left w:val="none" w:sz="0" w:space="0" w:color="auto"/>
            <w:bottom w:val="none" w:sz="0" w:space="0" w:color="auto"/>
            <w:right w:val="none" w:sz="0" w:space="0" w:color="auto"/>
          </w:divBdr>
        </w:div>
      </w:divsChild>
    </w:div>
    <w:div w:id="425854385">
      <w:bodyDiv w:val="1"/>
      <w:marLeft w:val="0"/>
      <w:marRight w:val="0"/>
      <w:marTop w:val="0"/>
      <w:marBottom w:val="0"/>
      <w:divBdr>
        <w:top w:val="none" w:sz="0" w:space="0" w:color="auto"/>
        <w:left w:val="none" w:sz="0" w:space="0" w:color="auto"/>
        <w:bottom w:val="none" w:sz="0" w:space="0" w:color="auto"/>
        <w:right w:val="none" w:sz="0" w:space="0" w:color="auto"/>
      </w:divBdr>
      <w:divsChild>
        <w:div w:id="1354577341">
          <w:marLeft w:val="0"/>
          <w:marRight w:val="0"/>
          <w:marTop w:val="0"/>
          <w:marBottom w:val="150"/>
          <w:divBdr>
            <w:top w:val="none" w:sz="0" w:space="0" w:color="auto"/>
            <w:left w:val="none" w:sz="0" w:space="0" w:color="auto"/>
            <w:bottom w:val="none" w:sz="0" w:space="0" w:color="auto"/>
            <w:right w:val="none" w:sz="0" w:space="0" w:color="auto"/>
          </w:divBdr>
          <w:divsChild>
            <w:div w:id="721832524">
              <w:marLeft w:val="0"/>
              <w:marRight w:val="0"/>
              <w:marTop w:val="0"/>
              <w:marBottom w:val="0"/>
              <w:divBdr>
                <w:top w:val="none" w:sz="0" w:space="0" w:color="auto"/>
                <w:left w:val="none" w:sz="0" w:space="0" w:color="auto"/>
                <w:bottom w:val="none" w:sz="0" w:space="0" w:color="auto"/>
                <w:right w:val="none" w:sz="0" w:space="0" w:color="auto"/>
              </w:divBdr>
              <w:divsChild>
                <w:div w:id="27564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157948">
          <w:marLeft w:val="0"/>
          <w:marRight w:val="0"/>
          <w:marTop w:val="0"/>
          <w:marBottom w:val="150"/>
          <w:divBdr>
            <w:top w:val="none" w:sz="0" w:space="0" w:color="auto"/>
            <w:left w:val="none" w:sz="0" w:space="0" w:color="auto"/>
            <w:bottom w:val="none" w:sz="0" w:space="0" w:color="auto"/>
            <w:right w:val="none" w:sz="0" w:space="0" w:color="auto"/>
          </w:divBdr>
        </w:div>
        <w:div w:id="445081695">
          <w:marLeft w:val="0"/>
          <w:marRight w:val="0"/>
          <w:marTop w:val="0"/>
          <w:marBottom w:val="0"/>
          <w:divBdr>
            <w:top w:val="none" w:sz="0" w:space="0" w:color="auto"/>
            <w:left w:val="none" w:sz="0" w:space="0" w:color="auto"/>
            <w:bottom w:val="none" w:sz="0" w:space="0" w:color="auto"/>
            <w:right w:val="none" w:sz="0" w:space="0" w:color="auto"/>
          </w:divBdr>
          <w:divsChild>
            <w:div w:id="7085334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26119388">
      <w:bodyDiv w:val="1"/>
      <w:marLeft w:val="0"/>
      <w:marRight w:val="0"/>
      <w:marTop w:val="0"/>
      <w:marBottom w:val="0"/>
      <w:divBdr>
        <w:top w:val="none" w:sz="0" w:space="0" w:color="auto"/>
        <w:left w:val="none" w:sz="0" w:space="0" w:color="auto"/>
        <w:bottom w:val="none" w:sz="0" w:space="0" w:color="auto"/>
        <w:right w:val="none" w:sz="0" w:space="0" w:color="auto"/>
      </w:divBdr>
    </w:div>
    <w:div w:id="426775278">
      <w:bodyDiv w:val="1"/>
      <w:marLeft w:val="0"/>
      <w:marRight w:val="0"/>
      <w:marTop w:val="0"/>
      <w:marBottom w:val="0"/>
      <w:divBdr>
        <w:top w:val="none" w:sz="0" w:space="0" w:color="auto"/>
        <w:left w:val="none" w:sz="0" w:space="0" w:color="auto"/>
        <w:bottom w:val="none" w:sz="0" w:space="0" w:color="auto"/>
        <w:right w:val="none" w:sz="0" w:space="0" w:color="auto"/>
      </w:divBdr>
    </w:div>
    <w:div w:id="427123174">
      <w:bodyDiv w:val="1"/>
      <w:marLeft w:val="0"/>
      <w:marRight w:val="0"/>
      <w:marTop w:val="0"/>
      <w:marBottom w:val="0"/>
      <w:divBdr>
        <w:top w:val="none" w:sz="0" w:space="0" w:color="auto"/>
        <w:left w:val="none" w:sz="0" w:space="0" w:color="auto"/>
        <w:bottom w:val="none" w:sz="0" w:space="0" w:color="auto"/>
        <w:right w:val="none" w:sz="0" w:space="0" w:color="auto"/>
      </w:divBdr>
      <w:divsChild>
        <w:div w:id="726925396">
          <w:marLeft w:val="0"/>
          <w:marRight w:val="0"/>
          <w:marTop w:val="0"/>
          <w:marBottom w:val="0"/>
          <w:divBdr>
            <w:top w:val="none" w:sz="0" w:space="0" w:color="auto"/>
            <w:left w:val="none" w:sz="0" w:space="0" w:color="auto"/>
            <w:bottom w:val="dotted" w:sz="6" w:space="4" w:color="DDDDDD"/>
            <w:right w:val="none" w:sz="0" w:space="0" w:color="auto"/>
          </w:divBdr>
        </w:div>
      </w:divsChild>
    </w:div>
    <w:div w:id="427503693">
      <w:bodyDiv w:val="1"/>
      <w:marLeft w:val="0"/>
      <w:marRight w:val="0"/>
      <w:marTop w:val="0"/>
      <w:marBottom w:val="0"/>
      <w:divBdr>
        <w:top w:val="none" w:sz="0" w:space="0" w:color="auto"/>
        <w:left w:val="none" w:sz="0" w:space="0" w:color="auto"/>
        <w:bottom w:val="none" w:sz="0" w:space="0" w:color="auto"/>
        <w:right w:val="none" w:sz="0" w:space="0" w:color="auto"/>
      </w:divBdr>
    </w:div>
    <w:div w:id="427698275">
      <w:bodyDiv w:val="1"/>
      <w:marLeft w:val="0"/>
      <w:marRight w:val="0"/>
      <w:marTop w:val="0"/>
      <w:marBottom w:val="0"/>
      <w:divBdr>
        <w:top w:val="none" w:sz="0" w:space="0" w:color="auto"/>
        <w:left w:val="none" w:sz="0" w:space="0" w:color="auto"/>
        <w:bottom w:val="none" w:sz="0" w:space="0" w:color="auto"/>
        <w:right w:val="none" w:sz="0" w:space="0" w:color="auto"/>
      </w:divBdr>
      <w:divsChild>
        <w:div w:id="807477201">
          <w:marLeft w:val="0"/>
          <w:marRight w:val="0"/>
          <w:marTop w:val="0"/>
          <w:marBottom w:val="0"/>
          <w:divBdr>
            <w:top w:val="none" w:sz="0" w:space="0" w:color="auto"/>
            <w:left w:val="none" w:sz="0" w:space="0" w:color="auto"/>
            <w:bottom w:val="none" w:sz="0" w:space="0" w:color="auto"/>
            <w:right w:val="none" w:sz="0" w:space="0" w:color="auto"/>
          </w:divBdr>
          <w:divsChild>
            <w:div w:id="466053505">
              <w:marLeft w:val="0"/>
              <w:marRight w:val="0"/>
              <w:marTop w:val="0"/>
              <w:marBottom w:val="0"/>
              <w:divBdr>
                <w:top w:val="none" w:sz="0" w:space="0" w:color="auto"/>
                <w:left w:val="none" w:sz="0" w:space="0" w:color="auto"/>
                <w:bottom w:val="none" w:sz="0" w:space="0" w:color="auto"/>
                <w:right w:val="none" w:sz="0" w:space="0" w:color="auto"/>
              </w:divBdr>
              <w:divsChild>
                <w:div w:id="1326202228">
                  <w:marLeft w:val="0"/>
                  <w:marRight w:val="0"/>
                  <w:marTop w:val="0"/>
                  <w:marBottom w:val="0"/>
                  <w:divBdr>
                    <w:top w:val="none" w:sz="0" w:space="0" w:color="auto"/>
                    <w:left w:val="none" w:sz="0" w:space="0" w:color="auto"/>
                    <w:bottom w:val="none" w:sz="0" w:space="0" w:color="auto"/>
                    <w:right w:val="none" w:sz="0" w:space="0" w:color="auto"/>
                  </w:divBdr>
                  <w:divsChild>
                    <w:div w:id="173961880">
                      <w:marLeft w:val="0"/>
                      <w:marRight w:val="0"/>
                      <w:marTop w:val="0"/>
                      <w:marBottom w:val="0"/>
                      <w:divBdr>
                        <w:top w:val="none" w:sz="0" w:space="0" w:color="auto"/>
                        <w:left w:val="none" w:sz="0" w:space="0" w:color="auto"/>
                        <w:bottom w:val="none" w:sz="0" w:space="0" w:color="auto"/>
                        <w:right w:val="none" w:sz="0" w:space="0" w:color="auto"/>
                      </w:divBdr>
                      <w:divsChild>
                        <w:div w:id="281890184">
                          <w:marLeft w:val="0"/>
                          <w:marRight w:val="0"/>
                          <w:marTop w:val="0"/>
                          <w:marBottom w:val="0"/>
                          <w:divBdr>
                            <w:top w:val="none" w:sz="0" w:space="0" w:color="auto"/>
                            <w:left w:val="none" w:sz="0" w:space="0" w:color="auto"/>
                            <w:bottom w:val="none" w:sz="0" w:space="0" w:color="auto"/>
                            <w:right w:val="none" w:sz="0" w:space="0" w:color="auto"/>
                          </w:divBdr>
                          <w:divsChild>
                            <w:div w:id="695160197">
                              <w:marLeft w:val="0"/>
                              <w:marRight w:val="0"/>
                              <w:marTop w:val="0"/>
                              <w:marBottom w:val="0"/>
                              <w:divBdr>
                                <w:top w:val="none" w:sz="0" w:space="0" w:color="auto"/>
                                <w:left w:val="none" w:sz="0" w:space="0" w:color="auto"/>
                                <w:bottom w:val="none" w:sz="0" w:space="0" w:color="auto"/>
                                <w:right w:val="none" w:sz="0" w:space="0" w:color="auto"/>
                              </w:divBdr>
                              <w:divsChild>
                                <w:div w:id="528106875">
                                  <w:marLeft w:val="0"/>
                                  <w:marRight w:val="0"/>
                                  <w:marTop w:val="0"/>
                                  <w:marBottom w:val="0"/>
                                  <w:divBdr>
                                    <w:top w:val="none" w:sz="0" w:space="0" w:color="auto"/>
                                    <w:left w:val="none" w:sz="0" w:space="0" w:color="auto"/>
                                    <w:bottom w:val="none" w:sz="0" w:space="0" w:color="auto"/>
                                    <w:right w:val="none" w:sz="0" w:space="0" w:color="auto"/>
                                  </w:divBdr>
                                  <w:divsChild>
                                    <w:div w:id="1230775169">
                                      <w:marLeft w:val="0"/>
                                      <w:marRight w:val="0"/>
                                      <w:marTop w:val="0"/>
                                      <w:marBottom w:val="0"/>
                                      <w:divBdr>
                                        <w:top w:val="none" w:sz="0" w:space="0" w:color="auto"/>
                                        <w:left w:val="none" w:sz="0" w:space="0" w:color="auto"/>
                                        <w:bottom w:val="none" w:sz="0" w:space="0" w:color="auto"/>
                                        <w:right w:val="none" w:sz="0" w:space="0" w:color="auto"/>
                                      </w:divBdr>
                                      <w:divsChild>
                                        <w:div w:id="1427076933">
                                          <w:marLeft w:val="0"/>
                                          <w:marRight w:val="0"/>
                                          <w:marTop w:val="0"/>
                                          <w:marBottom w:val="0"/>
                                          <w:divBdr>
                                            <w:top w:val="none" w:sz="0" w:space="0" w:color="auto"/>
                                            <w:left w:val="none" w:sz="0" w:space="0" w:color="auto"/>
                                            <w:bottom w:val="none" w:sz="0" w:space="0" w:color="auto"/>
                                            <w:right w:val="none" w:sz="0" w:space="0" w:color="auto"/>
                                          </w:divBdr>
                                          <w:divsChild>
                                            <w:div w:id="28319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7849742">
      <w:bodyDiv w:val="1"/>
      <w:marLeft w:val="0"/>
      <w:marRight w:val="0"/>
      <w:marTop w:val="0"/>
      <w:marBottom w:val="0"/>
      <w:divBdr>
        <w:top w:val="none" w:sz="0" w:space="0" w:color="auto"/>
        <w:left w:val="none" w:sz="0" w:space="0" w:color="auto"/>
        <w:bottom w:val="none" w:sz="0" w:space="0" w:color="auto"/>
        <w:right w:val="none" w:sz="0" w:space="0" w:color="auto"/>
      </w:divBdr>
      <w:divsChild>
        <w:div w:id="1963222921">
          <w:marLeft w:val="0"/>
          <w:marRight w:val="0"/>
          <w:marTop w:val="0"/>
          <w:marBottom w:val="0"/>
          <w:divBdr>
            <w:top w:val="none" w:sz="0" w:space="0" w:color="auto"/>
            <w:left w:val="none" w:sz="0" w:space="0" w:color="auto"/>
            <w:bottom w:val="none" w:sz="0" w:space="0" w:color="auto"/>
            <w:right w:val="none" w:sz="0" w:space="0" w:color="auto"/>
          </w:divBdr>
          <w:divsChild>
            <w:div w:id="2087267087">
              <w:marLeft w:val="0"/>
              <w:marRight w:val="0"/>
              <w:marTop w:val="0"/>
              <w:marBottom w:val="0"/>
              <w:divBdr>
                <w:top w:val="none" w:sz="0" w:space="0" w:color="auto"/>
                <w:left w:val="none" w:sz="0" w:space="0" w:color="auto"/>
                <w:bottom w:val="none" w:sz="0" w:space="0" w:color="auto"/>
                <w:right w:val="none" w:sz="0" w:space="0" w:color="auto"/>
              </w:divBdr>
              <w:divsChild>
                <w:div w:id="1829707167">
                  <w:marLeft w:val="0"/>
                  <w:marRight w:val="0"/>
                  <w:marTop w:val="0"/>
                  <w:marBottom w:val="0"/>
                  <w:divBdr>
                    <w:top w:val="none" w:sz="0" w:space="0" w:color="auto"/>
                    <w:left w:val="none" w:sz="0" w:space="0" w:color="auto"/>
                    <w:bottom w:val="none" w:sz="0" w:space="0" w:color="auto"/>
                    <w:right w:val="none" w:sz="0" w:space="0" w:color="auto"/>
                  </w:divBdr>
                  <w:divsChild>
                    <w:div w:id="576013440">
                      <w:marLeft w:val="0"/>
                      <w:marRight w:val="0"/>
                      <w:marTop w:val="0"/>
                      <w:marBottom w:val="0"/>
                      <w:divBdr>
                        <w:top w:val="none" w:sz="0" w:space="0" w:color="auto"/>
                        <w:left w:val="none" w:sz="0" w:space="0" w:color="auto"/>
                        <w:bottom w:val="none" w:sz="0" w:space="0" w:color="auto"/>
                        <w:right w:val="none" w:sz="0" w:space="0" w:color="auto"/>
                      </w:divBdr>
                      <w:divsChild>
                        <w:div w:id="1438864584">
                          <w:marLeft w:val="0"/>
                          <w:marRight w:val="0"/>
                          <w:marTop w:val="0"/>
                          <w:marBottom w:val="0"/>
                          <w:divBdr>
                            <w:top w:val="none" w:sz="0" w:space="0" w:color="auto"/>
                            <w:left w:val="none" w:sz="0" w:space="0" w:color="auto"/>
                            <w:bottom w:val="none" w:sz="0" w:space="0" w:color="auto"/>
                            <w:right w:val="none" w:sz="0" w:space="0" w:color="auto"/>
                          </w:divBdr>
                          <w:divsChild>
                            <w:div w:id="1750349309">
                              <w:marLeft w:val="0"/>
                              <w:marRight w:val="0"/>
                              <w:marTop w:val="0"/>
                              <w:marBottom w:val="0"/>
                              <w:divBdr>
                                <w:top w:val="none" w:sz="0" w:space="0" w:color="auto"/>
                                <w:left w:val="none" w:sz="0" w:space="0" w:color="auto"/>
                                <w:bottom w:val="none" w:sz="0" w:space="0" w:color="auto"/>
                                <w:right w:val="none" w:sz="0" w:space="0" w:color="auto"/>
                              </w:divBdr>
                              <w:divsChild>
                                <w:div w:id="337387308">
                                  <w:marLeft w:val="0"/>
                                  <w:marRight w:val="0"/>
                                  <w:marTop w:val="0"/>
                                  <w:marBottom w:val="0"/>
                                  <w:divBdr>
                                    <w:top w:val="none" w:sz="0" w:space="0" w:color="auto"/>
                                    <w:left w:val="none" w:sz="0" w:space="0" w:color="auto"/>
                                    <w:bottom w:val="none" w:sz="0" w:space="0" w:color="auto"/>
                                    <w:right w:val="none" w:sz="0" w:space="0" w:color="auto"/>
                                  </w:divBdr>
                                  <w:divsChild>
                                    <w:div w:id="50779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7893310">
      <w:bodyDiv w:val="1"/>
      <w:marLeft w:val="0"/>
      <w:marRight w:val="0"/>
      <w:marTop w:val="0"/>
      <w:marBottom w:val="0"/>
      <w:divBdr>
        <w:top w:val="none" w:sz="0" w:space="0" w:color="auto"/>
        <w:left w:val="none" w:sz="0" w:space="0" w:color="auto"/>
        <w:bottom w:val="none" w:sz="0" w:space="0" w:color="auto"/>
        <w:right w:val="none" w:sz="0" w:space="0" w:color="auto"/>
      </w:divBdr>
    </w:div>
    <w:div w:id="427969308">
      <w:bodyDiv w:val="1"/>
      <w:marLeft w:val="0"/>
      <w:marRight w:val="0"/>
      <w:marTop w:val="0"/>
      <w:marBottom w:val="0"/>
      <w:divBdr>
        <w:top w:val="none" w:sz="0" w:space="0" w:color="auto"/>
        <w:left w:val="none" w:sz="0" w:space="0" w:color="auto"/>
        <w:bottom w:val="none" w:sz="0" w:space="0" w:color="auto"/>
        <w:right w:val="none" w:sz="0" w:space="0" w:color="auto"/>
      </w:divBdr>
    </w:div>
    <w:div w:id="428232037">
      <w:bodyDiv w:val="1"/>
      <w:marLeft w:val="0"/>
      <w:marRight w:val="0"/>
      <w:marTop w:val="0"/>
      <w:marBottom w:val="0"/>
      <w:divBdr>
        <w:top w:val="none" w:sz="0" w:space="0" w:color="auto"/>
        <w:left w:val="none" w:sz="0" w:space="0" w:color="auto"/>
        <w:bottom w:val="none" w:sz="0" w:space="0" w:color="auto"/>
        <w:right w:val="none" w:sz="0" w:space="0" w:color="auto"/>
      </w:divBdr>
      <w:divsChild>
        <w:div w:id="242379941">
          <w:marLeft w:val="0"/>
          <w:marRight w:val="0"/>
          <w:marTop w:val="0"/>
          <w:marBottom w:val="0"/>
          <w:divBdr>
            <w:top w:val="none" w:sz="0" w:space="0" w:color="auto"/>
            <w:left w:val="none" w:sz="0" w:space="0" w:color="auto"/>
            <w:bottom w:val="none" w:sz="0" w:space="0" w:color="auto"/>
            <w:right w:val="none" w:sz="0" w:space="0" w:color="auto"/>
          </w:divBdr>
          <w:divsChild>
            <w:div w:id="11092736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28240983">
      <w:bodyDiv w:val="1"/>
      <w:marLeft w:val="0"/>
      <w:marRight w:val="0"/>
      <w:marTop w:val="0"/>
      <w:marBottom w:val="0"/>
      <w:divBdr>
        <w:top w:val="none" w:sz="0" w:space="0" w:color="auto"/>
        <w:left w:val="none" w:sz="0" w:space="0" w:color="auto"/>
        <w:bottom w:val="none" w:sz="0" w:space="0" w:color="auto"/>
        <w:right w:val="none" w:sz="0" w:space="0" w:color="auto"/>
      </w:divBdr>
    </w:div>
    <w:div w:id="428241076">
      <w:bodyDiv w:val="1"/>
      <w:marLeft w:val="0"/>
      <w:marRight w:val="0"/>
      <w:marTop w:val="0"/>
      <w:marBottom w:val="0"/>
      <w:divBdr>
        <w:top w:val="none" w:sz="0" w:space="0" w:color="auto"/>
        <w:left w:val="none" w:sz="0" w:space="0" w:color="auto"/>
        <w:bottom w:val="none" w:sz="0" w:space="0" w:color="auto"/>
        <w:right w:val="none" w:sz="0" w:space="0" w:color="auto"/>
      </w:divBdr>
      <w:divsChild>
        <w:div w:id="1794982096">
          <w:marLeft w:val="0"/>
          <w:marRight w:val="0"/>
          <w:marTop w:val="0"/>
          <w:marBottom w:val="0"/>
          <w:divBdr>
            <w:top w:val="none" w:sz="0" w:space="0" w:color="auto"/>
            <w:left w:val="none" w:sz="0" w:space="0" w:color="auto"/>
            <w:bottom w:val="none" w:sz="0" w:space="0" w:color="auto"/>
            <w:right w:val="none" w:sz="0" w:space="0" w:color="auto"/>
          </w:divBdr>
        </w:div>
        <w:div w:id="2042318706">
          <w:marLeft w:val="0"/>
          <w:marRight w:val="0"/>
          <w:marTop w:val="0"/>
          <w:marBottom w:val="150"/>
          <w:divBdr>
            <w:top w:val="none" w:sz="0" w:space="0" w:color="auto"/>
            <w:left w:val="none" w:sz="0" w:space="0" w:color="auto"/>
            <w:bottom w:val="none" w:sz="0" w:space="0" w:color="auto"/>
            <w:right w:val="none" w:sz="0" w:space="0" w:color="auto"/>
          </w:divBdr>
        </w:div>
      </w:divsChild>
    </w:div>
    <w:div w:id="428938957">
      <w:bodyDiv w:val="1"/>
      <w:marLeft w:val="0"/>
      <w:marRight w:val="0"/>
      <w:marTop w:val="0"/>
      <w:marBottom w:val="0"/>
      <w:divBdr>
        <w:top w:val="none" w:sz="0" w:space="0" w:color="auto"/>
        <w:left w:val="none" w:sz="0" w:space="0" w:color="auto"/>
        <w:bottom w:val="none" w:sz="0" w:space="0" w:color="auto"/>
        <w:right w:val="none" w:sz="0" w:space="0" w:color="auto"/>
      </w:divBdr>
      <w:divsChild>
        <w:div w:id="1950625872">
          <w:marLeft w:val="0"/>
          <w:marRight w:val="0"/>
          <w:marTop w:val="0"/>
          <w:marBottom w:val="225"/>
          <w:divBdr>
            <w:top w:val="none" w:sz="0" w:space="0" w:color="auto"/>
            <w:left w:val="none" w:sz="0" w:space="0" w:color="auto"/>
            <w:bottom w:val="none" w:sz="0" w:space="0" w:color="auto"/>
            <w:right w:val="none" w:sz="0" w:space="0" w:color="auto"/>
          </w:divBdr>
        </w:div>
        <w:div w:id="2002535456">
          <w:marLeft w:val="0"/>
          <w:marRight w:val="0"/>
          <w:marTop w:val="0"/>
          <w:marBottom w:val="225"/>
          <w:divBdr>
            <w:top w:val="none" w:sz="0" w:space="0" w:color="auto"/>
            <w:left w:val="none" w:sz="0" w:space="0" w:color="auto"/>
            <w:bottom w:val="none" w:sz="0" w:space="0" w:color="auto"/>
            <w:right w:val="none" w:sz="0" w:space="0" w:color="auto"/>
          </w:divBdr>
          <w:divsChild>
            <w:div w:id="1097167906">
              <w:marLeft w:val="0"/>
              <w:marRight w:val="0"/>
              <w:marTop w:val="0"/>
              <w:marBottom w:val="0"/>
              <w:divBdr>
                <w:top w:val="none" w:sz="0" w:space="0" w:color="auto"/>
                <w:left w:val="none" w:sz="0" w:space="0" w:color="auto"/>
                <w:bottom w:val="none" w:sz="0" w:space="0" w:color="auto"/>
                <w:right w:val="none" w:sz="0" w:space="0" w:color="auto"/>
              </w:divBdr>
              <w:divsChild>
                <w:div w:id="101144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009978">
      <w:bodyDiv w:val="1"/>
      <w:marLeft w:val="0"/>
      <w:marRight w:val="0"/>
      <w:marTop w:val="0"/>
      <w:marBottom w:val="0"/>
      <w:divBdr>
        <w:top w:val="none" w:sz="0" w:space="0" w:color="auto"/>
        <w:left w:val="none" w:sz="0" w:space="0" w:color="auto"/>
        <w:bottom w:val="none" w:sz="0" w:space="0" w:color="auto"/>
        <w:right w:val="none" w:sz="0" w:space="0" w:color="auto"/>
      </w:divBdr>
      <w:divsChild>
        <w:div w:id="460150550">
          <w:marLeft w:val="0"/>
          <w:marRight w:val="0"/>
          <w:marTop w:val="0"/>
          <w:marBottom w:val="0"/>
          <w:divBdr>
            <w:top w:val="none" w:sz="0" w:space="0" w:color="auto"/>
            <w:left w:val="none" w:sz="0" w:space="0" w:color="auto"/>
            <w:bottom w:val="none" w:sz="0" w:space="0" w:color="auto"/>
            <w:right w:val="none" w:sz="0" w:space="0" w:color="auto"/>
          </w:divBdr>
        </w:div>
      </w:divsChild>
    </w:div>
    <w:div w:id="429202929">
      <w:bodyDiv w:val="1"/>
      <w:marLeft w:val="0"/>
      <w:marRight w:val="0"/>
      <w:marTop w:val="0"/>
      <w:marBottom w:val="0"/>
      <w:divBdr>
        <w:top w:val="none" w:sz="0" w:space="0" w:color="auto"/>
        <w:left w:val="none" w:sz="0" w:space="0" w:color="auto"/>
        <w:bottom w:val="none" w:sz="0" w:space="0" w:color="auto"/>
        <w:right w:val="none" w:sz="0" w:space="0" w:color="auto"/>
      </w:divBdr>
      <w:divsChild>
        <w:div w:id="1763913338">
          <w:marLeft w:val="0"/>
          <w:marRight w:val="0"/>
          <w:marTop w:val="0"/>
          <w:marBottom w:val="0"/>
          <w:divBdr>
            <w:top w:val="none" w:sz="0" w:space="0" w:color="auto"/>
            <w:left w:val="none" w:sz="0" w:space="0" w:color="auto"/>
            <w:bottom w:val="none" w:sz="0" w:space="0" w:color="auto"/>
            <w:right w:val="none" w:sz="0" w:space="0" w:color="auto"/>
          </w:divBdr>
          <w:divsChild>
            <w:div w:id="2112235155">
              <w:marLeft w:val="0"/>
              <w:marRight w:val="0"/>
              <w:marTop w:val="0"/>
              <w:marBottom w:val="0"/>
              <w:divBdr>
                <w:top w:val="none" w:sz="0" w:space="0" w:color="auto"/>
                <w:left w:val="none" w:sz="0" w:space="0" w:color="auto"/>
                <w:bottom w:val="none" w:sz="0" w:space="0" w:color="auto"/>
                <w:right w:val="none" w:sz="0" w:space="0" w:color="auto"/>
              </w:divBdr>
              <w:divsChild>
                <w:div w:id="1639991361">
                  <w:marLeft w:val="0"/>
                  <w:marRight w:val="0"/>
                  <w:marTop w:val="0"/>
                  <w:marBottom w:val="0"/>
                  <w:divBdr>
                    <w:top w:val="none" w:sz="0" w:space="0" w:color="auto"/>
                    <w:left w:val="none" w:sz="0" w:space="0" w:color="auto"/>
                    <w:bottom w:val="none" w:sz="0" w:space="0" w:color="auto"/>
                    <w:right w:val="none" w:sz="0" w:space="0" w:color="auto"/>
                  </w:divBdr>
                  <w:divsChild>
                    <w:div w:id="213810187">
                      <w:marLeft w:val="0"/>
                      <w:marRight w:val="0"/>
                      <w:marTop w:val="0"/>
                      <w:marBottom w:val="0"/>
                      <w:divBdr>
                        <w:top w:val="none" w:sz="0" w:space="0" w:color="auto"/>
                        <w:left w:val="none" w:sz="0" w:space="0" w:color="auto"/>
                        <w:bottom w:val="none" w:sz="0" w:space="0" w:color="auto"/>
                        <w:right w:val="none" w:sz="0" w:space="0" w:color="auto"/>
                      </w:divBdr>
                      <w:divsChild>
                        <w:div w:id="1323700886">
                          <w:marLeft w:val="0"/>
                          <w:marRight w:val="0"/>
                          <w:marTop w:val="0"/>
                          <w:marBottom w:val="0"/>
                          <w:divBdr>
                            <w:top w:val="none" w:sz="0" w:space="0" w:color="auto"/>
                            <w:left w:val="none" w:sz="0" w:space="0" w:color="auto"/>
                            <w:bottom w:val="none" w:sz="0" w:space="0" w:color="auto"/>
                            <w:right w:val="none" w:sz="0" w:space="0" w:color="auto"/>
                          </w:divBdr>
                          <w:divsChild>
                            <w:div w:id="593979328">
                              <w:marLeft w:val="0"/>
                              <w:marRight w:val="0"/>
                              <w:marTop w:val="0"/>
                              <w:marBottom w:val="0"/>
                              <w:divBdr>
                                <w:top w:val="none" w:sz="0" w:space="0" w:color="auto"/>
                                <w:left w:val="none" w:sz="0" w:space="0" w:color="auto"/>
                                <w:bottom w:val="none" w:sz="0" w:space="0" w:color="auto"/>
                                <w:right w:val="none" w:sz="0" w:space="0" w:color="auto"/>
                              </w:divBdr>
                              <w:divsChild>
                                <w:div w:id="1517427204">
                                  <w:marLeft w:val="0"/>
                                  <w:marRight w:val="0"/>
                                  <w:marTop w:val="0"/>
                                  <w:marBottom w:val="0"/>
                                  <w:divBdr>
                                    <w:top w:val="none" w:sz="0" w:space="0" w:color="auto"/>
                                    <w:left w:val="none" w:sz="0" w:space="0" w:color="auto"/>
                                    <w:bottom w:val="none" w:sz="0" w:space="0" w:color="auto"/>
                                    <w:right w:val="none" w:sz="0" w:space="0" w:color="auto"/>
                                  </w:divBdr>
                                  <w:divsChild>
                                    <w:div w:id="190815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9349426">
      <w:bodyDiv w:val="1"/>
      <w:marLeft w:val="0"/>
      <w:marRight w:val="0"/>
      <w:marTop w:val="0"/>
      <w:marBottom w:val="0"/>
      <w:divBdr>
        <w:top w:val="none" w:sz="0" w:space="0" w:color="auto"/>
        <w:left w:val="none" w:sz="0" w:space="0" w:color="auto"/>
        <w:bottom w:val="none" w:sz="0" w:space="0" w:color="auto"/>
        <w:right w:val="none" w:sz="0" w:space="0" w:color="auto"/>
      </w:divBdr>
      <w:divsChild>
        <w:div w:id="1424060848">
          <w:marLeft w:val="0"/>
          <w:marRight w:val="0"/>
          <w:marTop w:val="0"/>
          <w:marBottom w:val="0"/>
          <w:divBdr>
            <w:top w:val="none" w:sz="0" w:space="0" w:color="auto"/>
            <w:left w:val="none" w:sz="0" w:space="0" w:color="auto"/>
            <w:bottom w:val="none" w:sz="0" w:space="0" w:color="auto"/>
            <w:right w:val="none" w:sz="0" w:space="0" w:color="auto"/>
          </w:divBdr>
        </w:div>
      </w:divsChild>
    </w:div>
    <w:div w:id="429400883">
      <w:bodyDiv w:val="1"/>
      <w:marLeft w:val="0"/>
      <w:marRight w:val="0"/>
      <w:marTop w:val="0"/>
      <w:marBottom w:val="0"/>
      <w:divBdr>
        <w:top w:val="none" w:sz="0" w:space="0" w:color="auto"/>
        <w:left w:val="none" w:sz="0" w:space="0" w:color="auto"/>
        <w:bottom w:val="none" w:sz="0" w:space="0" w:color="auto"/>
        <w:right w:val="none" w:sz="0" w:space="0" w:color="auto"/>
      </w:divBdr>
      <w:divsChild>
        <w:div w:id="145170628">
          <w:marLeft w:val="0"/>
          <w:marRight w:val="0"/>
          <w:marTop w:val="0"/>
          <w:marBottom w:val="150"/>
          <w:divBdr>
            <w:top w:val="none" w:sz="0" w:space="0" w:color="auto"/>
            <w:left w:val="none" w:sz="0" w:space="0" w:color="auto"/>
            <w:bottom w:val="none" w:sz="0" w:space="0" w:color="auto"/>
            <w:right w:val="none" w:sz="0" w:space="0" w:color="auto"/>
          </w:divBdr>
        </w:div>
      </w:divsChild>
    </w:div>
    <w:div w:id="429472906">
      <w:bodyDiv w:val="1"/>
      <w:marLeft w:val="0"/>
      <w:marRight w:val="0"/>
      <w:marTop w:val="0"/>
      <w:marBottom w:val="0"/>
      <w:divBdr>
        <w:top w:val="none" w:sz="0" w:space="0" w:color="auto"/>
        <w:left w:val="none" w:sz="0" w:space="0" w:color="auto"/>
        <w:bottom w:val="none" w:sz="0" w:space="0" w:color="auto"/>
        <w:right w:val="none" w:sz="0" w:space="0" w:color="auto"/>
      </w:divBdr>
    </w:div>
    <w:div w:id="430316052">
      <w:bodyDiv w:val="1"/>
      <w:marLeft w:val="0"/>
      <w:marRight w:val="0"/>
      <w:marTop w:val="0"/>
      <w:marBottom w:val="0"/>
      <w:divBdr>
        <w:top w:val="none" w:sz="0" w:space="0" w:color="auto"/>
        <w:left w:val="none" w:sz="0" w:space="0" w:color="auto"/>
        <w:bottom w:val="none" w:sz="0" w:space="0" w:color="auto"/>
        <w:right w:val="none" w:sz="0" w:space="0" w:color="auto"/>
      </w:divBdr>
      <w:divsChild>
        <w:div w:id="674767251">
          <w:marLeft w:val="0"/>
          <w:marRight w:val="0"/>
          <w:marTop w:val="0"/>
          <w:marBottom w:val="0"/>
          <w:divBdr>
            <w:top w:val="none" w:sz="0" w:space="0" w:color="auto"/>
            <w:left w:val="none" w:sz="0" w:space="0" w:color="auto"/>
            <w:bottom w:val="none" w:sz="0" w:space="0" w:color="auto"/>
            <w:right w:val="none" w:sz="0" w:space="0" w:color="auto"/>
          </w:divBdr>
        </w:div>
      </w:divsChild>
    </w:div>
    <w:div w:id="430318901">
      <w:bodyDiv w:val="1"/>
      <w:marLeft w:val="0"/>
      <w:marRight w:val="0"/>
      <w:marTop w:val="0"/>
      <w:marBottom w:val="0"/>
      <w:divBdr>
        <w:top w:val="none" w:sz="0" w:space="0" w:color="auto"/>
        <w:left w:val="none" w:sz="0" w:space="0" w:color="auto"/>
        <w:bottom w:val="none" w:sz="0" w:space="0" w:color="auto"/>
        <w:right w:val="none" w:sz="0" w:space="0" w:color="auto"/>
      </w:divBdr>
      <w:divsChild>
        <w:div w:id="523177368">
          <w:marLeft w:val="0"/>
          <w:marRight w:val="0"/>
          <w:marTop w:val="0"/>
          <w:marBottom w:val="150"/>
          <w:divBdr>
            <w:top w:val="none" w:sz="0" w:space="0" w:color="auto"/>
            <w:left w:val="none" w:sz="0" w:space="0" w:color="auto"/>
            <w:bottom w:val="none" w:sz="0" w:space="0" w:color="auto"/>
            <w:right w:val="none" w:sz="0" w:space="0" w:color="auto"/>
          </w:divBdr>
        </w:div>
      </w:divsChild>
    </w:div>
    <w:div w:id="430399344">
      <w:bodyDiv w:val="1"/>
      <w:marLeft w:val="0"/>
      <w:marRight w:val="0"/>
      <w:marTop w:val="0"/>
      <w:marBottom w:val="0"/>
      <w:divBdr>
        <w:top w:val="none" w:sz="0" w:space="0" w:color="auto"/>
        <w:left w:val="none" w:sz="0" w:space="0" w:color="auto"/>
        <w:bottom w:val="none" w:sz="0" w:space="0" w:color="auto"/>
        <w:right w:val="none" w:sz="0" w:space="0" w:color="auto"/>
      </w:divBdr>
      <w:divsChild>
        <w:div w:id="1355500947">
          <w:marLeft w:val="0"/>
          <w:marRight w:val="0"/>
          <w:marTop w:val="0"/>
          <w:marBottom w:val="0"/>
          <w:divBdr>
            <w:top w:val="none" w:sz="0" w:space="0" w:color="auto"/>
            <w:left w:val="none" w:sz="0" w:space="0" w:color="auto"/>
            <w:bottom w:val="dotted" w:sz="6" w:space="4" w:color="DDDDDD"/>
            <w:right w:val="none" w:sz="0" w:space="0" w:color="auto"/>
          </w:divBdr>
          <w:divsChild>
            <w:div w:id="88055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441921">
      <w:bodyDiv w:val="1"/>
      <w:marLeft w:val="0"/>
      <w:marRight w:val="0"/>
      <w:marTop w:val="0"/>
      <w:marBottom w:val="0"/>
      <w:divBdr>
        <w:top w:val="none" w:sz="0" w:space="0" w:color="auto"/>
        <w:left w:val="none" w:sz="0" w:space="0" w:color="auto"/>
        <w:bottom w:val="none" w:sz="0" w:space="0" w:color="auto"/>
        <w:right w:val="none" w:sz="0" w:space="0" w:color="auto"/>
      </w:divBdr>
      <w:divsChild>
        <w:div w:id="1122773259">
          <w:marLeft w:val="0"/>
          <w:marRight w:val="0"/>
          <w:marTop w:val="0"/>
          <w:marBottom w:val="150"/>
          <w:divBdr>
            <w:top w:val="none" w:sz="0" w:space="0" w:color="auto"/>
            <w:left w:val="none" w:sz="0" w:space="0" w:color="auto"/>
            <w:bottom w:val="none" w:sz="0" w:space="0" w:color="auto"/>
            <w:right w:val="none" w:sz="0" w:space="0" w:color="auto"/>
          </w:divBdr>
        </w:div>
      </w:divsChild>
    </w:div>
    <w:div w:id="430509711">
      <w:bodyDiv w:val="1"/>
      <w:marLeft w:val="0"/>
      <w:marRight w:val="0"/>
      <w:marTop w:val="0"/>
      <w:marBottom w:val="0"/>
      <w:divBdr>
        <w:top w:val="none" w:sz="0" w:space="0" w:color="auto"/>
        <w:left w:val="none" w:sz="0" w:space="0" w:color="auto"/>
        <w:bottom w:val="none" w:sz="0" w:space="0" w:color="auto"/>
        <w:right w:val="none" w:sz="0" w:space="0" w:color="auto"/>
      </w:divBdr>
      <w:divsChild>
        <w:div w:id="994262217">
          <w:marLeft w:val="0"/>
          <w:marRight w:val="0"/>
          <w:marTop w:val="0"/>
          <w:marBottom w:val="150"/>
          <w:divBdr>
            <w:top w:val="none" w:sz="0" w:space="0" w:color="auto"/>
            <w:left w:val="none" w:sz="0" w:space="0" w:color="auto"/>
            <w:bottom w:val="none" w:sz="0" w:space="0" w:color="auto"/>
            <w:right w:val="none" w:sz="0" w:space="0" w:color="auto"/>
          </w:divBdr>
        </w:div>
      </w:divsChild>
    </w:div>
    <w:div w:id="430861533">
      <w:bodyDiv w:val="1"/>
      <w:marLeft w:val="0"/>
      <w:marRight w:val="0"/>
      <w:marTop w:val="0"/>
      <w:marBottom w:val="0"/>
      <w:divBdr>
        <w:top w:val="none" w:sz="0" w:space="0" w:color="auto"/>
        <w:left w:val="none" w:sz="0" w:space="0" w:color="auto"/>
        <w:bottom w:val="none" w:sz="0" w:space="0" w:color="auto"/>
        <w:right w:val="none" w:sz="0" w:space="0" w:color="auto"/>
      </w:divBdr>
    </w:div>
    <w:div w:id="430901065">
      <w:bodyDiv w:val="1"/>
      <w:marLeft w:val="0"/>
      <w:marRight w:val="0"/>
      <w:marTop w:val="0"/>
      <w:marBottom w:val="0"/>
      <w:divBdr>
        <w:top w:val="none" w:sz="0" w:space="0" w:color="auto"/>
        <w:left w:val="none" w:sz="0" w:space="0" w:color="auto"/>
        <w:bottom w:val="none" w:sz="0" w:space="0" w:color="auto"/>
        <w:right w:val="none" w:sz="0" w:space="0" w:color="auto"/>
      </w:divBdr>
    </w:div>
    <w:div w:id="431166761">
      <w:bodyDiv w:val="1"/>
      <w:marLeft w:val="0"/>
      <w:marRight w:val="0"/>
      <w:marTop w:val="0"/>
      <w:marBottom w:val="0"/>
      <w:divBdr>
        <w:top w:val="none" w:sz="0" w:space="0" w:color="auto"/>
        <w:left w:val="none" w:sz="0" w:space="0" w:color="auto"/>
        <w:bottom w:val="none" w:sz="0" w:space="0" w:color="auto"/>
        <w:right w:val="none" w:sz="0" w:space="0" w:color="auto"/>
      </w:divBdr>
    </w:div>
    <w:div w:id="431239914">
      <w:bodyDiv w:val="1"/>
      <w:marLeft w:val="0"/>
      <w:marRight w:val="0"/>
      <w:marTop w:val="0"/>
      <w:marBottom w:val="0"/>
      <w:divBdr>
        <w:top w:val="none" w:sz="0" w:space="0" w:color="auto"/>
        <w:left w:val="none" w:sz="0" w:space="0" w:color="auto"/>
        <w:bottom w:val="none" w:sz="0" w:space="0" w:color="auto"/>
        <w:right w:val="none" w:sz="0" w:space="0" w:color="auto"/>
      </w:divBdr>
    </w:div>
    <w:div w:id="431321762">
      <w:bodyDiv w:val="1"/>
      <w:marLeft w:val="0"/>
      <w:marRight w:val="0"/>
      <w:marTop w:val="0"/>
      <w:marBottom w:val="0"/>
      <w:divBdr>
        <w:top w:val="none" w:sz="0" w:space="0" w:color="auto"/>
        <w:left w:val="none" w:sz="0" w:space="0" w:color="auto"/>
        <w:bottom w:val="none" w:sz="0" w:space="0" w:color="auto"/>
        <w:right w:val="none" w:sz="0" w:space="0" w:color="auto"/>
      </w:divBdr>
      <w:divsChild>
        <w:div w:id="423960902">
          <w:marLeft w:val="0"/>
          <w:marRight w:val="0"/>
          <w:marTop w:val="0"/>
          <w:marBottom w:val="150"/>
          <w:divBdr>
            <w:top w:val="none" w:sz="0" w:space="0" w:color="auto"/>
            <w:left w:val="none" w:sz="0" w:space="0" w:color="auto"/>
            <w:bottom w:val="none" w:sz="0" w:space="0" w:color="auto"/>
            <w:right w:val="none" w:sz="0" w:space="0" w:color="auto"/>
          </w:divBdr>
        </w:div>
      </w:divsChild>
    </w:div>
    <w:div w:id="431359047">
      <w:bodyDiv w:val="1"/>
      <w:marLeft w:val="0"/>
      <w:marRight w:val="0"/>
      <w:marTop w:val="0"/>
      <w:marBottom w:val="0"/>
      <w:divBdr>
        <w:top w:val="none" w:sz="0" w:space="0" w:color="auto"/>
        <w:left w:val="none" w:sz="0" w:space="0" w:color="auto"/>
        <w:bottom w:val="none" w:sz="0" w:space="0" w:color="auto"/>
        <w:right w:val="none" w:sz="0" w:space="0" w:color="auto"/>
      </w:divBdr>
    </w:div>
    <w:div w:id="431433770">
      <w:bodyDiv w:val="1"/>
      <w:marLeft w:val="0"/>
      <w:marRight w:val="0"/>
      <w:marTop w:val="0"/>
      <w:marBottom w:val="0"/>
      <w:divBdr>
        <w:top w:val="none" w:sz="0" w:space="0" w:color="auto"/>
        <w:left w:val="none" w:sz="0" w:space="0" w:color="auto"/>
        <w:bottom w:val="none" w:sz="0" w:space="0" w:color="auto"/>
        <w:right w:val="none" w:sz="0" w:space="0" w:color="auto"/>
      </w:divBdr>
      <w:divsChild>
        <w:div w:id="2105876756">
          <w:marLeft w:val="0"/>
          <w:marRight w:val="0"/>
          <w:marTop w:val="0"/>
          <w:marBottom w:val="150"/>
          <w:divBdr>
            <w:top w:val="none" w:sz="0" w:space="0" w:color="auto"/>
            <w:left w:val="none" w:sz="0" w:space="0" w:color="auto"/>
            <w:bottom w:val="none" w:sz="0" w:space="0" w:color="auto"/>
            <w:right w:val="none" w:sz="0" w:space="0" w:color="auto"/>
          </w:divBdr>
        </w:div>
      </w:divsChild>
    </w:div>
    <w:div w:id="431704864">
      <w:bodyDiv w:val="1"/>
      <w:marLeft w:val="0"/>
      <w:marRight w:val="0"/>
      <w:marTop w:val="0"/>
      <w:marBottom w:val="0"/>
      <w:divBdr>
        <w:top w:val="none" w:sz="0" w:space="0" w:color="auto"/>
        <w:left w:val="none" w:sz="0" w:space="0" w:color="auto"/>
        <w:bottom w:val="none" w:sz="0" w:space="0" w:color="auto"/>
        <w:right w:val="none" w:sz="0" w:space="0" w:color="auto"/>
      </w:divBdr>
    </w:div>
    <w:div w:id="431823804">
      <w:bodyDiv w:val="1"/>
      <w:marLeft w:val="0"/>
      <w:marRight w:val="0"/>
      <w:marTop w:val="0"/>
      <w:marBottom w:val="0"/>
      <w:divBdr>
        <w:top w:val="none" w:sz="0" w:space="0" w:color="auto"/>
        <w:left w:val="none" w:sz="0" w:space="0" w:color="auto"/>
        <w:bottom w:val="none" w:sz="0" w:space="0" w:color="auto"/>
        <w:right w:val="none" w:sz="0" w:space="0" w:color="auto"/>
      </w:divBdr>
      <w:divsChild>
        <w:div w:id="1414662826">
          <w:marLeft w:val="0"/>
          <w:marRight w:val="0"/>
          <w:marTop w:val="0"/>
          <w:marBottom w:val="0"/>
          <w:divBdr>
            <w:top w:val="none" w:sz="0" w:space="0" w:color="auto"/>
            <w:left w:val="none" w:sz="0" w:space="0" w:color="auto"/>
            <w:bottom w:val="dotted" w:sz="6" w:space="4" w:color="DDDDDD"/>
            <w:right w:val="none" w:sz="0" w:space="0" w:color="auto"/>
          </w:divBdr>
        </w:div>
      </w:divsChild>
    </w:div>
    <w:div w:id="432092932">
      <w:bodyDiv w:val="1"/>
      <w:marLeft w:val="0"/>
      <w:marRight w:val="0"/>
      <w:marTop w:val="0"/>
      <w:marBottom w:val="0"/>
      <w:divBdr>
        <w:top w:val="none" w:sz="0" w:space="0" w:color="auto"/>
        <w:left w:val="none" w:sz="0" w:space="0" w:color="auto"/>
        <w:bottom w:val="none" w:sz="0" w:space="0" w:color="auto"/>
        <w:right w:val="none" w:sz="0" w:space="0" w:color="auto"/>
      </w:divBdr>
      <w:divsChild>
        <w:div w:id="897203090">
          <w:marLeft w:val="0"/>
          <w:marRight w:val="0"/>
          <w:marTop w:val="0"/>
          <w:marBottom w:val="150"/>
          <w:divBdr>
            <w:top w:val="none" w:sz="0" w:space="0" w:color="auto"/>
            <w:left w:val="none" w:sz="0" w:space="0" w:color="auto"/>
            <w:bottom w:val="none" w:sz="0" w:space="0" w:color="auto"/>
            <w:right w:val="none" w:sz="0" w:space="0" w:color="auto"/>
          </w:divBdr>
        </w:div>
        <w:div w:id="1472600186">
          <w:marLeft w:val="0"/>
          <w:marRight w:val="0"/>
          <w:marTop w:val="225"/>
          <w:marBottom w:val="225"/>
          <w:divBdr>
            <w:top w:val="none" w:sz="0" w:space="0" w:color="auto"/>
            <w:left w:val="none" w:sz="0" w:space="0" w:color="auto"/>
            <w:bottom w:val="none" w:sz="0" w:space="0" w:color="auto"/>
            <w:right w:val="none" w:sz="0" w:space="0" w:color="auto"/>
          </w:divBdr>
        </w:div>
      </w:divsChild>
    </w:div>
    <w:div w:id="432213700">
      <w:bodyDiv w:val="1"/>
      <w:marLeft w:val="0"/>
      <w:marRight w:val="0"/>
      <w:marTop w:val="0"/>
      <w:marBottom w:val="0"/>
      <w:divBdr>
        <w:top w:val="none" w:sz="0" w:space="0" w:color="auto"/>
        <w:left w:val="none" w:sz="0" w:space="0" w:color="auto"/>
        <w:bottom w:val="none" w:sz="0" w:space="0" w:color="auto"/>
        <w:right w:val="none" w:sz="0" w:space="0" w:color="auto"/>
      </w:divBdr>
      <w:divsChild>
        <w:div w:id="1673097878">
          <w:marLeft w:val="0"/>
          <w:marRight w:val="0"/>
          <w:marTop w:val="0"/>
          <w:marBottom w:val="0"/>
          <w:divBdr>
            <w:top w:val="none" w:sz="0" w:space="0" w:color="auto"/>
            <w:left w:val="none" w:sz="0" w:space="0" w:color="auto"/>
            <w:bottom w:val="none" w:sz="0" w:space="0" w:color="auto"/>
            <w:right w:val="none" w:sz="0" w:space="0" w:color="auto"/>
          </w:divBdr>
        </w:div>
        <w:div w:id="2059011836">
          <w:marLeft w:val="0"/>
          <w:marRight w:val="0"/>
          <w:marTop w:val="0"/>
          <w:marBottom w:val="150"/>
          <w:divBdr>
            <w:top w:val="none" w:sz="0" w:space="0" w:color="auto"/>
            <w:left w:val="none" w:sz="0" w:space="0" w:color="auto"/>
            <w:bottom w:val="none" w:sz="0" w:space="0" w:color="auto"/>
            <w:right w:val="none" w:sz="0" w:space="0" w:color="auto"/>
          </w:divBdr>
        </w:div>
      </w:divsChild>
    </w:div>
    <w:div w:id="432359055">
      <w:bodyDiv w:val="1"/>
      <w:marLeft w:val="0"/>
      <w:marRight w:val="0"/>
      <w:marTop w:val="0"/>
      <w:marBottom w:val="0"/>
      <w:divBdr>
        <w:top w:val="none" w:sz="0" w:space="0" w:color="auto"/>
        <w:left w:val="none" w:sz="0" w:space="0" w:color="auto"/>
        <w:bottom w:val="none" w:sz="0" w:space="0" w:color="auto"/>
        <w:right w:val="none" w:sz="0" w:space="0" w:color="auto"/>
      </w:divBdr>
    </w:div>
    <w:div w:id="432366424">
      <w:bodyDiv w:val="1"/>
      <w:marLeft w:val="0"/>
      <w:marRight w:val="0"/>
      <w:marTop w:val="0"/>
      <w:marBottom w:val="0"/>
      <w:divBdr>
        <w:top w:val="none" w:sz="0" w:space="0" w:color="auto"/>
        <w:left w:val="none" w:sz="0" w:space="0" w:color="auto"/>
        <w:bottom w:val="none" w:sz="0" w:space="0" w:color="auto"/>
        <w:right w:val="none" w:sz="0" w:space="0" w:color="auto"/>
      </w:divBdr>
      <w:divsChild>
        <w:div w:id="421730640">
          <w:marLeft w:val="0"/>
          <w:marRight w:val="0"/>
          <w:marTop w:val="0"/>
          <w:marBottom w:val="150"/>
          <w:divBdr>
            <w:top w:val="none" w:sz="0" w:space="0" w:color="auto"/>
            <w:left w:val="none" w:sz="0" w:space="0" w:color="auto"/>
            <w:bottom w:val="none" w:sz="0" w:space="0" w:color="auto"/>
            <w:right w:val="none" w:sz="0" w:space="0" w:color="auto"/>
          </w:divBdr>
        </w:div>
      </w:divsChild>
    </w:div>
    <w:div w:id="432750656">
      <w:bodyDiv w:val="1"/>
      <w:marLeft w:val="0"/>
      <w:marRight w:val="0"/>
      <w:marTop w:val="0"/>
      <w:marBottom w:val="0"/>
      <w:divBdr>
        <w:top w:val="none" w:sz="0" w:space="0" w:color="auto"/>
        <w:left w:val="none" w:sz="0" w:space="0" w:color="auto"/>
        <w:bottom w:val="none" w:sz="0" w:space="0" w:color="auto"/>
        <w:right w:val="none" w:sz="0" w:space="0" w:color="auto"/>
      </w:divBdr>
    </w:div>
    <w:div w:id="433015104">
      <w:bodyDiv w:val="1"/>
      <w:marLeft w:val="0"/>
      <w:marRight w:val="0"/>
      <w:marTop w:val="0"/>
      <w:marBottom w:val="0"/>
      <w:divBdr>
        <w:top w:val="none" w:sz="0" w:space="0" w:color="auto"/>
        <w:left w:val="none" w:sz="0" w:space="0" w:color="auto"/>
        <w:bottom w:val="none" w:sz="0" w:space="0" w:color="auto"/>
        <w:right w:val="none" w:sz="0" w:space="0" w:color="auto"/>
      </w:divBdr>
      <w:divsChild>
        <w:div w:id="1874342796">
          <w:marLeft w:val="0"/>
          <w:marRight w:val="0"/>
          <w:marTop w:val="0"/>
          <w:marBottom w:val="0"/>
          <w:divBdr>
            <w:top w:val="none" w:sz="0" w:space="0" w:color="auto"/>
            <w:left w:val="none" w:sz="0" w:space="0" w:color="auto"/>
            <w:bottom w:val="none" w:sz="0" w:space="0" w:color="auto"/>
            <w:right w:val="none" w:sz="0" w:space="0" w:color="auto"/>
          </w:divBdr>
        </w:div>
      </w:divsChild>
    </w:div>
    <w:div w:id="433325623">
      <w:bodyDiv w:val="1"/>
      <w:marLeft w:val="0"/>
      <w:marRight w:val="0"/>
      <w:marTop w:val="0"/>
      <w:marBottom w:val="0"/>
      <w:divBdr>
        <w:top w:val="none" w:sz="0" w:space="0" w:color="auto"/>
        <w:left w:val="none" w:sz="0" w:space="0" w:color="auto"/>
        <w:bottom w:val="none" w:sz="0" w:space="0" w:color="auto"/>
        <w:right w:val="none" w:sz="0" w:space="0" w:color="auto"/>
      </w:divBdr>
      <w:divsChild>
        <w:div w:id="760375641">
          <w:marLeft w:val="0"/>
          <w:marRight w:val="0"/>
          <w:marTop w:val="0"/>
          <w:marBottom w:val="0"/>
          <w:divBdr>
            <w:top w:val="none" w:sz="0" w:space="0" w:color="auto"/>
            <w:left w:val="none" w:sz="0" w:space="0" w:color="auto"/>
            <w:bottom w:val="none" w:sz="0" w:space="0" w:color="auto"/>
            <w:right w:val="none" w:sz="0" w:space="0" w:color="auto"/>
          </w:divBdr>
          <w:divsChild>
            <w:div w:id="2102486057">
              <w:marLeft w:val="0"/>
              <w:marRight w:val="0"/>
              <w:marTop w:val="0"/>
              <w:marBottom w:val="0"/>
              <w:divBdr>
                <w:top w:val="none" w:sz="0" w:space="0" w:color="auto"/>
                <w:left w:val="none" w:sz="0" w:space="0" w:color="auto"/>
                <w:bottom w:val="none" w:sz="0" w:space="0" w:color="auto"/>
                <w:right w:val="none" w:sz="0" w:space="0" w:color="auto"/>
              </w:divBdr>
              <w:divsChild>
                <w:div w:id="974411852">
                  <w:marLeft w:val="0"/>
                  <w:marRight w:val="0"/>
                  <w:marTop w:val="0"/>
                  <w:marBottom w:val="150"/>
                  <w:divBdr>
                    <w:top w:val="none" w:sz="0" w:space="0" w:color="auto"/>
                    <w:left w:val="none" w:sz="0" w:space="0" w:color="auto"/>
                    <w:bottom w:val="none" w:sz="0" w:space="0" w:color="auto"/>
                    <w:right w:val="none" w:sz="0" w:space="0" w:color="auto"/>
                  </w:divBdr>
                  <w:divsChild>
                    <w:div w:id="1422143886">
                      <w:marLeft w:val="0"/>
                      <w:marRight w:val="0"/>
                      <w:marTop w:val="0"/>
                      <w:marBottom w:val="0"/>
                      <w:divBdr>
                        <w:top w:val="none" w:sz="0" w:space="0" w:color="auto"/>
                        <w:left w:val="none" w:sz="0" w:space="0" w:color="auto"/>
                        <w:bottom w:val="none" w:sz="0" w:space="0" w:color="auto"/>
                        <w:right w:val="none" w:sz="0" w:space="0" w:color="auto"/>
                      </w:divBdr>
                      <w:divsChild>
                        <w:div w:id="1360814512">
                          <w:marLeft w:val="0"/>
                          <w:marRight w:val="0"/>
                          <w:marTop w:val="0"/>
                          <w:marBottom w:val="0"/>
                          <w:divBdr>
                            <w:top w:val="none" w:sz="0" w:space="0" w:color="auto"/>
                            <w:left w:val="none" w:sz="0" w:space="0" w:color="auto"/>
                            <w:bottom w:val="none" w:sz="0" w:space="0" w:color="auto"/>
                            <w:right w:val="none" w:sz="0" w:space="0" w:color="auto"/>
                          </w:divBdr>
                          <w:divsChild>
                            <w:div w:id="332143450">
                              <w:marLeft w:val="0"/>
                              <w:marRight w:val="0"/>
                              <w:marTop w:val="0"/>
                              <w:marBottom w:val="0"/>
                              <w:divBdr>
                                <w:top w:val="none" w:sz="0" w:space="0" w:color="auto"/>
                                <w:left w:val="none" w:sz="0" w:space="0" w:color="auto"/>
                                <w:bottom w:val="none" w:sz="0" w:space="0" w:color="auto"/>
                                <w:right w:val="none" w:sz="0" w:space="0" w:color="auto"/>
                              </w:divBdr>
                              <w:divsChild>
                                <w:div w:id="1569340751">
                                  <w:marLeft w:val="0"/>
                                  <w:marRight w:val="0"/>
                                  <w:marTop w:val="0"/>
                                  <w:marBottom w:val="0"/>
                                  <w:divBdr>
                                    <w:top w:val="none" w:sz="0" w:space="0" w:color="auto"/>
                                    <w:left w:val="none" w:sz="0" w:space="0" w:color="auto"/>
                                    <w:bottom w:val="none" w:sz="0" w:space="0" w:color="auto"/>
                                    <w:right w:val="none" w:sz="0" w:space="0" w:color="auto"/>
                                  </w:divBdr>
                                  <w:divsChild>
                                    <w:div w:id="742147960">
                                      <w:marLeft w:val="0"/>
                                      <w:marRight w:val="0"/>
                                      <w:marTop w:val="0"/>
                                      <w:marBottom w:val="0"/>
                                      <w:divBdr>
                                        <w:top w:val="none" w:sz="0" w:space="0" w:color="auto"/>
                                        <w:left w:val="none" w:sz="0" w:space="0" w:color="auto"/>
                                        <w:bottom w:val="none" w:sz="0" w:space="0" w:color="auto"/>
                                        <w:right w:val="none" w:sz="0" w:space="0" w:color="auto"/>
                                      </w:divBdr>
                                      <w:divsChild>
                                        <w:div w:id="1771268998">
                                          <w:marLeft w:val="0"/>
                                          <w:marRight w:val="0"/>
                                          <w:marTop w:val="0"/>
                                          <w:marBottom w:val="0"/>
                                          <w:divBdr>
                                            <w:top w:val="none" w:sz="0" w:space="0" w:color="auto"/>
                                            <w:left w:val="none" w:sz="0" w:space="0" w:color="auto"/>
                                            <w:bottom w:val="none" w:sz="0" w:space="0" w:color="auto"/>
                                            <w:right w:val="none" w:sz="0" w:space="0" w:color="auto"/>
                                          </w:divBdr>
                                          <w:divsChild>
                                            <w:div w:id="981078176">
                                              <w:marLeft w:val="0"/>
                                              <w:marRight w:val="0"/>
                                              <w:marTop w:val="0"/>
                                              <w:marBottom w:val="0"/>
                                              <w:divBdr>
                                                <w:top w:val="none" w:sz="0" w:space="0" w:color="auto"/>
                                                <w:left w:val="none" w:sz="0" w:space="0" w:color="auto"/>
                                                <w:bottom w:val="none" w:sz="0" w:space="0" w:color="auto"/>
                                                <w:right w:val="none" w:sz="0" w:space="0" w:color="auto"/>
                                              </w:divBdr>
                                              <w:divsChild>
                                                <w:div w:id="136911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3399532">
      <w:bodyDiv w:val="1"/>
      <w:marLeft w:val="0"/>
      <w:marRight w:val="0"/>
      <w:marTop w:val="0"/>
      <w:marBottom w:val="0"/>
      <w:divBdr>
        <w:top w:val="none" w:sz="0" w:space="0" w:color="auto"/>
        <w:left w:val="none" w:sz="0" w:space="0" w:color="auto"/>
        <w:bottom w:val="none" w:sz="0" w:space="0" w:color="auto"/>
        <w:right w:val="none" w:sz="0" w:space="0" w:color="auto"/>
      </w:divBdr>
      <w:divsChild>
        <w:div w:id="51269063">
          <w:marLeft w:val="0"/>
          <w:marRight w:val="0"/>
          <w:marTop w:val="0"/>
          <w:marBottom w:val="150"/>
          <w:divBdr>
            <w:top w:val="none" w:sz="0" w:space="0" w:color="auto"/>
            <w:left w:val="none" w:sz="0" w:space="0" w:color="auto"/>
            <w:bottom w:val="none" w:sz="0" w:space="0" w:color="auto"/>
            <w:right w:val="none" w:sz="0" w:space="0" w:color="auto"/>
          </w:divBdr>
          <w:divsChild>
            <w:div w:id="1297221302">
              <w:marLeft w:val="0"/>
              <w:marRight w:val="0"/>
              <w:marTop w:val="0"/>
              <w:marBottom w:val="0"/>
              <w:divBdr>
                <w:top w:val="none" w:sz="0" w:space="0" w:color="auto"/>
                <w:left w:val="none" w:sz="0" w:space="0" w:color="auto"/>
                <w:bottom w:val="none" w:sz="0" w:space="0" w:color="auto"/>
                <w:right w:val="none" w:sz="0" w:space="0" w:color="auto"/>
              </w:divBdr>
              <w:divsChild>
                <w:div w:id="105285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025754">
          <w:marLeft w:val="0"/>
          <w:marRight w:val="0"/>
          <w:marTop w:val="0"/>
          <w:marBottom w:val="150"/>
          <w:divBdr>
            <w:top w:val="none" w:sz="0" w:space="0" w:color="auto"/>
            <w:left w:val="none" w:sz="0" w:space="0" w:color="auto"/>
            <w:bottom w:val="none" w:sz="0" w:space="0" w:color="auto"/>
            <w:right w:val="none" w:sz="0" w:space="0" w:color="auto"/>
          </w:divBdr>
        </w:div>
        <w:div w:id="2144232409">
          <w:marLeft w:val="0"/>
          <w:marRight w:val="0"/>
          <w:marTop w:val="0"/>
          <w:marBottom w:val="0"/>
          <w:divBdr>
            <w:top w:val="none" w:sz="0" w:space="0" w:color="auto"/>
            <w:left w:val="none" w:sz="0" w:space="0" w:color="auto"/>
            <w:bottom w:val="none" w:sz="0" w:space="0" w:color="auto"/>
            <w:right w:val="none" w:sz="0" w:space="0" w:color="auto"/>
          </w:divBdr>
          <w:divsChild>
            <w:div w:id="16227873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33592172">
      <w:bodyDiv w:val="1"/>
      <w:marLeft w:val="0"/>
      <w:marRight w:val="0"/>
      <w:marTop w:val="0"/>
      <w:marBottom w:val="0"/>
      <w:divBdr>
        <w:top w:val="none" w:sz="0" w:space="0" w:color="auto"/>
        <w:left w:val="none" w:sz="0" w:space="0" w:color="auto"/>
        <w:bottom w:val="none" w:sz="0" w:space="0" w:color="auto"/>
        <w:right w:val="none" w:sz="0" w:space="0" w:color="auto"/>
      </w:divBdr>
    </w:div>
    <w:div w:id="433791622">
      <w:bodyDiv w:val="1"/>
      <w:marLeft w:val="0"/>
      <w:marRight w:val="0"/>
      <w:marTop w:val="0"/>
      <w:marBottom w:val="0"/>
      <w:divBdr>
        <w:top w:val="none" w:sz="0" w:space="0" w:color="auto"/>
        <w:left w:val="none" w:sz="0" w:space="0" w:color="auto"/>
        <w:bottom w:val="none" w:sz="0" w:space="0" w:color="auto"/>
        <w:right w:val="none" w:sz="0" w:space="0" w:color="auto"/>
      </w:divBdr>
      <w:divsChild>
        <w:div w:id="384642070">
          <w:marLeft w:val="0"/>
          <w:marRight w:val="0"/>
          <w:marTop w:val="0"/>
          <w:marBottom w:val="150"/>
          <w:divBdr>
            <w:top w:val="none" w:sz="0" w:space="0" w:color="auto"/>
            <w:left w:val="none" w:sz="0" w:space="0" w:color="auto"/>
            <w:bottom w:val="none" w:sz="0" w:space="0" w:color="auto"/>
            <w:right w:val="none" w:sz="0" w:space="0" w:color="auto"/>
          </w:divBdr>
        </w:div>
        <w:div w:id="1596596484">
          <w:marLeft w:val="0"/>
          <w:marRight w:val="0"/>
          <w:marTop w:val="0"/>
          <w:marBottom w:val="150"/>
          <w:divBdr>
            <w:top w:val="none" w:sz="0" w:space="0" w:color="auto"/>
            <w:left w:val="none" w:sz="0" w:space="0" w:color="auto"/>
            <w:bottom w:val="none" w:sz="0" w:space="0" w:color="auto"/>
            <w:right w:val="none" w:sz="0" w:space="0" w:color="auto"/>
          </w:divBdr>
          <w:divsChild>
            <w:div w:id="1079014244">
              <w:marLeft w:val="0"/>
              <w:marRight w:val="0"/>
              <w:marTop w:val="0"/>
              <w:marBottom w:val="0"/>
              <w:divBdr>
                <w:top w:val="none" w:sz="0" w:space="0" w:color="auto"/>
                <w:left w:val="none" w:sz="0" w:space="0" w:color="auto"/>
                <w:bottom w:val="none" w:sz="0" w:space="0" w:color="auto"/>
                <w:right w:val="none" w:sz="0" w:space="0" w:color="auto"/>
              </w:divBdr>
              <w:divsChild>
                <w:div w:id="84767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84784">
          <w:marLeft w:val="0"/>
          <w:marRight w:val="0"/>
          <w:marTop w:val="0"/>
          <w:marBottom w:val="0"/>
          <w:divBdr>
            <w:top w:val="none" w:sz="0" w:space="0" w:color="auto"/>
            <w:left w:val="none" w:sz="0" w:space="0" w:color="auto"/>
            <w:bottom w:val="none" w:sz="0" w:space="0" w:color="auto"/>
            <w:right w:val="none" w:sz="0" w:space="0" w:color="auto"/>
          </w:divBdr>
          <w:divsChild>
            <w:div w:id="6547953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33863921">
      <w:bodyDiv w:val="1"/>
      <w:marLeft w:val="0"/>
      <w:marRight w:val="0"/>
      <w:marTop w:val="0"/>
      <w:marBottom w:val="0"/>
      <w:divBdr>
        <w:top w:val="none" w:sz="0" w:space="0" w:color="auto"/>
        <w:left w:val="none" w:sz="0" w:space="0" w:color="auto"/>
        <w:bottom w:val="none" w:sz="0" w:space="0" w:color="auto"/>
        <w:right w:val="none" w:sz="0" w:space="0" w:color="auto"/>
      </w:divBdr>
      <w:divsChild>
        <w:div w:id="1539078143">
          <w:marLeft w:val="0"/>
          <w:marRight w:val="0"/>
          <w:marTop w:val="0"/>
          <w:marBottom w:val="0"/>
          <w:divBdr>
            <w:top w:val="none" w:sz="0" w:space="0" w:color="auto"/>
            <w:left w:val="none" w:sz="0" w:space="0" w:color="auto"/>
            <w:bottom w:val="dotted" w:sz="6" w:space="4" w:color="DDDDDD"/>
            <w:right w:val="none" w:sz="0" w:space="0" w:color="auto"/>
          </w:divBdr>
          <w:divsChild>
            <w:div w:id="91373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40985">
      <w:bodyDiv w:val="1"/>
      <w:marLeft w:val="0"/>
      <w:marRight w:val="0"/>
      <w:marTop w:val="0"/>
      <w:marBottom w:val="0"/>
      <w:divBdr>
        <w:top w:val="none" w:sz="0" w:space="0" w:color="auto"/>
        <w:left w:val="none" w:sz="0" w:space="0" w:color="auto"/>
        <w:bottom w:val="none" w:sz="0" w:space="0" w:color="auto"/>
        <w:right w:val="none" w:sz="0" w:space="0" w:color="auto"/>
      </w:divBdr>
    </w:div>
    <w:div w:id="434449336">
      <w:bodyDiv w:val="1"/>
      <w:marLeft w:val="0"/>
      <w:marRight w:val="0"/>
      <w:marTop w:val="0"/>
      <w:marBottom w:val="0"/>
      <w:divBdr>
        <w:top w:val="none" w:sz="0" w:space="0" w:color="auto"/>
        <w:left w:val="none" w:sz="0" w:space="0" w:color="auto"/>
        <w:bottom w:val="none" w:sz="0" w:space="0" w:color="auto"/>
        <w:right w:val="none" w:sz="0" w:space="0" w:color="auto"/>
      </w:divBdr>
    </w:div>
    <w:div w:id="434640317">
      <w:bodyDiv w:val="1"/>
      <w:marLeft w:val="0"/>
      <w:marRight w:val="0"/>
      <w:marTop w:val="0"/>
      <w:marBottom w:val="0"/>
      <w:divBdr>
        <w:top w:val="none" w:sz="0" w:space="0" w:color="auto"/>
        <w:left w:val="none" w:sz="0" w:space="0" w:color="auto"/>
        <w:bottom w:val="none" w:sz="0" w:space="0" w:color="auto"/>
        <w:right w:val="none" w:sz="0" w:space="0" w:color="auto"/>
      </w:divBdr>
      <w:divsChild>
        <w:div w:id="253176645">
          <w:marLeft w:val="0"/>
          <w:marRight w:val="0"/>
          <w:marTop w:val="0"/>
          <w:marBottom w:val="0"/>
          <w:divBdr>
            <w:top w:val="none" w:sz="0" w:space="0" w:color="auto"/>
            <w:left w:val="none" w:sz="0" w:space="0" w:color="auto"/>
            <w:bottom w:val="dotted" w:sz="6" w:space="4" w:color="DDDDDD"/>
            <w:right w:val="none" w:sz="0" w:space="0" w:color="auto"/>
          </w:divBdr>
        </w:div>
      </w:divsChild>
    </w:div>
    <w:div w:id="434715514">
      <w:bodyDiv w:val="1"/>
      <w:marLeft w:val="0"/>
      <w:marRight w:val="0"/>
      <w:marTop w:val="0"/>
      <w:marBottom w:val="0"/>
      <w:divBdr>
        <w:top w:val="none" w:sz="0" w:space="0" w:color="auto"/>
        <w:left w:val="none" w:sz="0" w:space="0" w:color="auto"/>
        <w:bottom w:val="none" w:sz="0" w:space="0" w:color="auto"/>
        <w:right w:val="none" w:sz="0" w:space="0" w:color="auto"/>
      </w:divBdr>
      <w:divsChild>
        <w:div w:id="1624073634">
          <w:marLeft w:val="0"/>
          <w:marRight w:val="0"/>
          <w:marTop w:val="0"/>
          <w:marBottom w:val="0"/>
          <w:divBdr>
            <w:top w:val="none" w:sz="0" w:space="0" w:color="auto"/>
            <w:left w:val="none" w:sz="0" w:space="0" w:color="auto"/>
            <w:bottom w:val="none" w:sz="0" w:space="0" w:color="auto"/>
            <w:right w:val="none" w:sz="0" w:space="0" w:color="auto"/>
          </w:divBdr>
          <w:divsChild>
            <w:div w:id="1270624839">
              <w:marLeft w:val="0"/>
              <w:marRight w:val="150"/>
              <w:marTop w:val="0"/>
              <w:marBottom w:val="0"/>
              <w:divBdr>
                <w:top w:val="none" w:sz="0" w:space="0" w:color="auto"/>
                <w:left w:val="none" w:sz="0" w:space="0" w:color="auto"/>
                <w:bottom w:val="none" w:sz="0" w:space="0" w:color="auto"/>
                <w:right w:val="none" w:sz="0" w:space="0" w:color="auto"/>
              </w:divBdr>
            </w:div>
            <w:div w:id="1606575383">
              <w:marLeft w:val="0"/>
              <w:marRight w:val="0"/>
              <w:marTop w:val="0"/>
              <w:marBottom w:val="0"/>
              <w:divBdr>
                <w:top w:val="none" w:sz="0" w:space="0" w:color="auto"/>
                <w:left w:val="none" w:sz="0" w:space="0" w:color="auto"/>
                <w:bottom w:val="none" w:sz="0" w:space="0" w:color="auto"/>
                <w:right w:val="none" w:sz="0" w:space="0" w:color="auto"/>
              </w:divBdr>
            </w:div>
          </w:divsChild>
        </w:div>
        <w:div w:id="1968002897">
          <w:marLeft w:val="0"/>
          <w:marRight w:val="0"/>
          <w:marTop w:val="0"/>
          <w:marBottom w:val="0"/>
          <w:divBdr>
            <w:top w:val="none" w:sz="0" w:space="0" w:color="auto"/>
            <w:left w:val="none" w:sz="0" w:space="0" w:color="auto"/>
            <w:bottom w:val="none" w:sz="0" w:space="0" w:color="auto"/>
            <w:right w:val="none" w:sz="0" w:space="0" w:color="auto"/>
          </w:divBdr>
        </w:div>
      </w:divsChild>
    </w:div>
    <w:div w:id="434791513">
      <w:bodyDiv w:val="1"/>
      <w:marLeft w:val="0"/>
      <w:marRight w:val="0"/>
      <w:marTop w:val="0"/>
      <w:marBottom w:val="0"/>
      <w:divBdr>
        <w:top w:val="none" w:sz="0" w:space="0" w:color="auto"/>
        <w:left w:val="none" w:sz="0" w:space="0" w:color="auto"/>
        <w:bottom w:val="none" w:sz="0" w:space="0" w:color="auto"/>
        <w:right w:val="none" w:sz="0" w:space="0" w:color="auto"/>
      </w:divBdr>
      <w:divsChild>
        <w:div w:id="664015908">
          <w:marLeft w:val="0"/>
          <w:marRight w:val="0"/>
          <w:marTop w:val="0"/>
          <w:marBottom w:val="150"/>
          <w:divBdr>
            <w:top w:val="none" w:sz="0" w:space="0" w:color="auto"/>
            <w:left w:val="none" w:sz="0" w:space="0" w:color="auto"/>
            <w:bottom w:val="none" w:sz="0" w:space="0" w:color="auto"/>
            <w:right w:val="none" w:sz="0" w:space="0" w:color="auto"/>
          </w:divBdr>
          <w:divsChild>
            <w:div w:id="1852988527">
              <w:marLeft w:val="0"/>
              <w:marRight w:val="0"/>
              <w:marTop w:val="0"/>
              <w:marBottom w:val="0"/>
              <w:divBdr>
                <w:top w:val="none" w:sz="0" w:space="0" w:color="auto"/>
                <w:left w:val="none" w:sz="0" w:space="0" w:color="auto"/>
                <w:bottom w:val="none" w:sz="0" w:space="0" w:color="auto"/>
                <w:right w:val="none" w:sz="0" w:space="0" w:color="auto"/>
              </w:divBdr>
            </w:div>
          </w:divsChild>
        </w:div>
        <w:div w:id="1217862298">
          <w:marLeft w:val="0"/>
          <w:marRight w:val="0"/>
          <w:marTop w:val="0"/>
          <w:marBottom w:val="150"/>
          <w:divBdr>
            <w:top w:val="none" w:sz="0" w:space="0" w:color="auto"/>
            <w:left w:val="none" w:sz="0" w:space="0" w:color="auto"/>
            <w:bottom w:val="none" w:sz="0" w:space="0" w:color="auto"/>
            <w:right w:val="none" w:sz="0" w:space="0" w:color="auto"/>
          </w:divBdr>
        </w:div>
      </w:divsChild>
    </w:div>
    <w:div w:id="434793917">
      <w:bodyDiv w:val="1"/>
      <w:marLeft w:val="0"/>
      <w:marRight w:val="0"/>
      <w:marTop w:val="0"/>
      <w:marBottom w:val="0"/>
      <w:divBdr>
        <w:top w:val="none" w:sz="0" w:space="0" w:color="auto"/>
        <w:left w:val="none" w:sz="0" w:space="0" w:color="auto"/>
        <w:bottom w:val="none" w:sz="0" w:space="0" w:color="auto"/>
        <w:right w:val="none" w:sz="0" w:space="0" w:color="auto"/>
      </w:divBdr>
      <w:divsChild>
        <w:div w:id="1845582724">
          <w:marLeft w:val="0"/>
          <w:marRight w:val="0"/>
          <w:marTop w:val="0"/>
          <w:marBottom w:val="150"/>
          <w:divBdr>
            <w:top w:val="none" w:sz="0" w:space="0" w:color="auto"/>
            <w:left w:val="none" w:sz="0" w:space="0" w:color="auto"/>
            <w:bottom w:val="none" w:sz="0" w:space="0" w:color="auto"/>
            <w:right w:val="none" w:sz="0" w:space="0" w:color="auto"/>
          </w:divBdr>
          <w:divsChild>
            <w:div w:id="737747306">
              <w:marLeft w:val="0"/>
              <w:marRight w:val="0"/>
              <w:marTop w:val="0"/>
              <w:marBottom w:val="0"/>
              <w:divBdr>
                <w:top w:val="none" w:sz="0" w:space="0" w:color="auto"/>
                <w:left w:val="none" w:sz="0" w:space="0" w:color="auto"/>
                <w:bottom w:val="none" w:sz="0" w:space="0" w:color="auto"/>
                <w:right w:val="none" w:sz="0" w:space="0" w:color="auto"/>
              </w:divBdr>
              <w:divsChild>
                <w:div w:id="149495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94493">
          <w:marLeft w:val="0"/>
          <w:marRight w:val="0"/>
          <w:marTop w:val="0"/>
          <w:marBottom w:val="150"/>
          <w:divBdr>
            <w:top w:val="none" w:sz="0" w:space="0" w:color="auto"/>
            <w:left w:val="none" w:sz="0" w:space="0" w:color="auto"/>
            <w:bottom w:val="none" w:sz="0" w:space="0" w:color="auto"/>
            <w:right w:val="none" w:sz="0" w:space="0" w:color="auto"/>
          </w:divBdr>
        </w:div>
        <w:div w:id="1866942690">
          <w:marLeft w:val="0"/>
          <w:marRight w:val="0"/>
          <w:marTop w:val="0"/>
          <w:marBottom w:val="0"/>
          <w:divBdr>
            <w:top w:val="none" w:sz="0" w:space="0" w:color="auto"/>
            <w:left w:val="none" w:sz="0" w:space="0" w:color="auto"/>
            <w:bottom w:val="none" w:sz="0" w:space="0" w:color="auto"/>
            <w:right w:val="none" w:sz="0" w:space="0" w:color="auto"/>
          </w:divBdr>
          <w:divsChild>
            <w:div w:id="19385737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35102892">
      <w:bodyDiv w:val="1"/>
      <w:marLeft w:val="0"/>
      <w:marRight w:val="0"/>
      <w:marTop w:val="0"/>
      <w:marBottom w:val="0"/>
      <w:divBdr>
        <w:top w:val="none" w:sz="0" w:space="0" w:color="auto"/>
        <w:left w:val="none" w:sz="0" w:space="0" w:color="auto"/>
        <w:bottom w:val="none" w:sz="0" w:space="0" w:color="auto"/>
        <w:right w:val="none" w:sz="0" w:space="0" w:color="auto"/>
      </w:divBdr>
      <w:divsChild>
        <w:div w:id="450439028">
          <w:marLeft w:val="0"/>
          <w:marRight w:val="0"/>
          <w:marTop w:val="0"/>
          <w:marBottom w:val="0"/>
          <w:divBdr>
            <w:top w:val="none" w:sz="0" w:space="0" w:color="auto"/>
            <w:left w:val="none" w:sz="0" w:space="0" w:color="auto"/>
            <w:bottom w:val="dotted" w:sz="6" w:space="4" w:color="DDDDDD"/>
            <w:right w:val="none" w:sz="0" w:space="0" w:color="auto"/>
          </w:divBdr>
          <w:divsChild>
            <w:div w:id="188810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3238">
      <w:bodyDiv w:val="1"/>
      <w:marLeft w:val="0"/>
      <w:marRight w:val="0"/>
      <w:marTop w:val="0"/>
      <w:marBottom w:val="0"/>
      <w:divBdr>
        <w:top w:val="none" w:sz="0" w:space="0" w:color="auto"/>
        <w:left w:val="none" w:sz="0" w:space="0" w:color="auto"/>
        <w:bottom w:val="none" w:sz="0" w:space="0" w:color="auto"/>
        <w:right w:val="none" w:sz="0" w:space="0" w:color="auto"/>
      </w:divBdr>
      <w:divsChild>
        <w:div w:id="90517962">
          <w:marLeft w:val="0"/>
          <w:marRight w:val="0"/>
          <w:marTop w:val="0"/>
          <w:marBottom w:val="0"/>
          <w:divBdr>
            <w:top w:val="none" w:sz="0" w:space="0" w:color="auto"/>
            <w:left w:val="none" w:sz="0" w:space="0" w:color="auto"/>
            <w:bottom w:val="none" w:sz="0" w:space="0" w:color="auto"/>
            <w:right w:val="none" w:sz="0" w:space="0" w:color="auto"/>
          </w:divBdr>
        </w:div>
      </w:divsChild>
    </w:div>
    <w:div w:id="436413615">
      <w:bodyDiv w:val="1"/>
      <w:marLeft w:val="0"/>
      <w:marRight w:val="0"/>
      <w:marTop w:val="0"/>
      <w:marBottom w:val="0"/>
      <w:divBdr>
        <w:top w:val="none" w:sz="0" w:space="0" w:color="auto"/>
        <w:left w:val="none" w:sz="0" w:space="0" w:color="auto"/>
        <w:bottom w:val="none" w:sz="0" w:space="0" w:color="auto"/>
        <w:right w:val="none" w:sz="0" w:space="0" w:color="auto"/>
      </w:divBdr>
    </w:div>
    <w:div w:id="436563779">
      <w:bodyDiv w:val="1"/>
      <w:marLeft w:val="0"/>
      <w:marRight w:val="0"/>
      <w:marTop w:val="0"/>
      <w:marBottom w:val="0"/>
      <w:divBdr>
        <w:top w:val="none" w:sz="0" w:space="0" w:color="auto"/>
        <w:left w:val="none" w:sz="0" w:space="0" w:color="auto"/>
        <w:bottom w:val="none" w:sz="0" w:space="0" w:color="auto"/>
        <w:right w:val="none" w:sz="0" w:space="0" w:color="auto"/>
      </w:divBdr>
    </w:div>
    <w:div w:id="436758328">
      <w:bodyDiv w:val="1"/>
      <w:marLeft w:val="0"/>
      <w:marRight w:val="0"/>
      <w:marTop w:val="0"/>
      <w:marBottom w:val="0"/>
      <w:divBdr>
        <w:top w:val="none" w:sz="0" w:space="0" w:color="auto"/>
        <w:left w:val="none" w:sz="0" w:space="0" w:color="auto"/>
        <w:bottom w:val="none" w:sz="0" w:space="0" w:color="auto"/>
        <w:right w:val="none" w:sz="0" w:space="0" w:color="auto"/>
      </w:divBdr>
      <w:divsChild>
        <w:div w:id="850946980">
          <w:marLeft w:val="0"/>
          <w:marRight w:val="0"/>
          <w:marTop w:val="0"/>
          <w:marBottom w:val="0"/>
          <w:divBdr>
            <w:top w:val="none" w:sz="0" w:space="0" w:color="auto"/>
            <w:left w:val="none" w:sz="0" w:space="0" w:color="auto"/>
            <w:bottom w:val="none" w:sz="0" w:space="0" w:color="auto"/>
            <w:right w:val="none" w:sz="0" w:space="0" w:color="auto"/>
          </w:divBdr>
        </w:div>
        <w:div w:id="1068501122">
          <w:marLeft w:val="0"/>
          <w:marRight w:val="0"/>
          <w:marTop w:val="0"/>
          <w:marBottom w:val="150"/>
          <w:divBdr>
            <w:top w:val="none" w:sz="0" w:space="0" w:color="auto"/>
            <w:left w:val="none" w:sz="0" w:space="0" w:color="auto"/>
            <w:bottom w:val="none" w:sz="0" w:space="0" w:color="auto"/>
            <w:right w:val="none" w:sz="0" w:space="0" w:color="auto"/>
          </w:divBdr>
        </w:div>
      </w:divsChild>
    </w:div>
    <w:div w:id="437257166">
      <w:bodyDiv w:val="1"/>
      <w:marLeft w:val="0"/>
      <w:marRight w:val="0"/>
      <w:marTop w:val="0"/>
      <w:marBottom w:val="0"/>
      <w:divBdr>
        <w:top w:val="none" w:sz="0" w:space="0" w:color="auto"/>
        <w:left w:val="none" w:sz="0" w:space="0" w:color="auto"/>
        <w:bottom w:val="none" w:sz="0" w:space="0" w:color="auto"/>
        <w:right w:val="none" w:sz="0" w:space="0" w:color="auto"/>
      </w:divBdr>
      <w:divsChild>
        <w:div w:id="167134964">
          <w:marLeft w:val="0"/>
          <w:marRight w:val="0"/>
          <w:marTop w:val="0"/>
          <w:marBottom w:val="0"/>
          <w:divBdr>
            <w:top w:val="none" w:sz="0" w:space="0" w:color="auto"/>
            <w:left w:val="none" w:sz="0" w:space="0" w:color="auto"/>
            <w:bottom w:val="none" w:sz="0" w:space="0" w:color="auto"/>
            <w:right w:val="none" w:sz="0" w:space="0" w:color="auto"/>
          </w:divBdr>
          <w:divsChild>
            <w:div w:id="1752772838">
              <w:marLeft w:val="0"/>
              <w:marRight w:val="0"/>
              <w:marTop w:val="0"/>
              <w:marBottom w:val="0"/>
              <w:divBdr>
                <w:top w:val="none" w:sz="0" w:space="0" w:color="auto"/>
                <w:left w:val="none" w:sz="0" w:space="0" w:color="auto"/>
                <w:bottom w:val="none" w:sz="0" w:space="0" w:color="auto"/>
                <w:right w:val="none" w:sz="0" w:space="0" w:color="auto"/>
              </w:divBdr>
              <w:divsChild>
                <w:div w:id="1474060564">
                  <w:marLeft w:val="0"/>
                  <w:marRight w:val="0"/>
                  <w:marTop w:val="0"/>
                  <w:marBottom w:val="0"/>
                  <w:divBdr>
                    <w:top w:val="none" w:sz="0" w:space="0" w:color="auto"/>
                    <w:left w:val="none" w:sz="0" w:space="0" w:color="auto"/>
                    <w:bottom w:val="none" w:sz="0" w:space="0" w:color="auto"/>
                    <w:right w:val="none" w:sz="0" w:space="0" w:color="auto"/>
                  </w:divBdr>
                  <w:divsChild>
                    <w:div w:id="270087708">
                      <w:marLeft w:val="0"/>
                      <w:marRight w:val="0"/>
                      <w:marTop w:val="0"/>
                      <w:marBottom w:val="0"/>
                      <w:divBdr>
                        <w:top w:val="none" w:sz="0" w:space="0" w:color="auto"/>
                        <w:left w:val="none" w:sz="0" w:space="0" w:color="auto"/>
                        <w:bottom w:val="none" w:sz="0" w:space="0" w:color="auto"/>
                        <w:right w:val="none" w:sz="0" w:space="0" w:color="auto"/>
                      </w:divBdr>
                      <w:divsChild>
                        <w:div w:id="1452822934">
                          <w:marLeft w:val="0"/>
                          <w:marRight w:val="0"/>
                          <w:marTop w:val="0"/>
                          <w:marBottom w:val="0"/>
                          <w:divBdr>
                            <w:top w:val="none" w:sz="0" w:space="0" w:color="auto"/>
                            <w:left w:val="none" w:sz="0" w:space="0" w:color="auto"/>
                            <w:bottom w:val="none" w:sz="0" w:space="0" w:color="auto"/>
                            <w:right w:val="none" w:sz="0" w:space="0" w:color="auto"/>
                          </w:divBdr>
                          <w:divsChild>
                            <w:div w:id="1639341488">
                              <w:marLeft w:val="0"/>
                              <w:marRight w:val="0"/>
                              <w:marTop w:val="0"/>
                              <w:marBottom w:val="0"/>
                              <w:divBdr>
                                <w:top w:val="none" w:sz="0" w:space="0" w:color="auto"/>
                                <w:left w:val="none" w:sz="0" w:space="0" w:color="auto"/>
                                <w:bottom w:val="none" w:sz="0" w:space="0" w:color="auto"/>
                                <w:right w:val="none" w:sz="0" w:space="0" w:color="auto"/>
                              </w:divBdr>
                              <w:divsChild>
                                <w:div w:id="650445076">
                                  <w:marLeft w:val="0"/>
                                  <w:marRight w:val="0"/>
                                  <w:marTop w:val="0"/>
                                  <w:marBottom w:val="0"/>
                                  <w:divBdr>
                                    <w:top w:val="none" w:sz="0" w:space="0" w:color="auto"/>
                                    <w:left w:val="none" w:sz="0" w:space="0" w:color="auto"/>
                                    <w:bottom w:val="none" w:sz="0" w:space="0" w:color="auto"/>
                                    <w:right w:val="none" w:sz="0" w:space="0" w:color="auto"/>
                                  </w:divBdr>
                                  <w:divsChild>
                                    <w:div w:id="180881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453899">
      <w:bodyDiv w:val="1"/>
      <w:marLeft w:val="0"/>
      <w:marRight w:val="0"/>
      <w:marTop w:val="0"/>
      <w:marBottom w:val="0"/>
      <w:divBdr>
        <w:top w:val="none" w:sz="0" w:space="0" w:color="auto"/>
        <w:left w:val="none" w:sz="0" w:space="0" w:color="auto"/>
        <w:bottom w:val="none" w:sz="0" w:space="0" w:color="auto"/>
        <w:right w:val="none" w:sz="0" w:space="0" w:color="auto"/>
      </w:divBdr>
      <w:divsChild>
        <w:div w:id="571502747">
          <w:marLeft w:val="0"/>
          <w:marRight w:val="0"/>
          <w:marTop w:val="0"/>
          <w:marBottom w:val="0"/>
          <w:divBdr>
            <w:top w:val="none" w:sz="0" w:space="0" w:color="auto"/>
            <w:left w:val="none" w:sz="0" w:space="0" w:color="auto"/>
            <w:bottom w:val="dotted" w:sz="6" w:space="4" w:color="DDDDDD"/>
            <w:right w:val="none" w:sz="0" w:space="0" w:color="auto"/>
          </w:divBdr>
          <w:divsChild>
            <w:div w:id="107335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682070">
      <w:bodyDiv w:val="1"/>
      <w:marLeft w:val="0"/>
      <w:marRight w:val="0"/>
      <w:marTop w:val="0"/>
      <w:marBottom w:val="0"/>
      <w:divBdr>
        <w:top w:val="none" w:sz="0" w:space="0" w:color="auto"/>
        <w:left w:val="none" w:sz="0" w:space="0" w:color="auto"/>
        <w:bottom w:val="none" w:sz="0" w:space="0" w:color="auto"/>
        <w:right w:val="none" w:sz="0" w:space="0" w:color="auto"/>
      </w:divBdr>
    </w:div>
    <w:div w:id="437722594">
      <w:bodyDiv w:val="1"/>
      <w:marLeft w:val="0"/>
      <w:marRight w:val="0"/>
      <w:marTop w:val="0"/>
      <w:marBottom w:val="0"/>
      <w:divBdr>
        <w:top w:val="none" w:sz="0" w:space="0" w:color="auto"/>
        <w:left w:val="none" w:sz="0" w:space="0" w:color="auto"/>
        <w:bottom w:val="none" w:sz="0" w:space="0" w:color="auto"/>
        <w:right w:val="none" w:sz="0" w:space="0" w:color="auto"/>
      </w:divBdr>
      <w:divsChild>
        <w:div w:id="1247298812">
          <w:marLeft w:val="0"/>
          <w:marRight w:val="0"/>
          <w:marTop w:val="0"/>
          <w:marBottom w:val="150"/>
          <w:divBdr>
            <w:top w:val="none" w:sz="0" w:space="0" w:color="auto"/>
            <w:left w:val="none" w:sz="0" w:space="0" w:color="auto"/>
            <w:bottom w:val="none" w:sz="0" w:space="0" w:color="auto"/>
            <w:right w:val="none" w:sz="0" w:space="0" w:color="auto"/>
          </w:divBdr>
        </w:div>
        <w:div w:id="1530802962">
          <w:marLeft w:val="0"/>
          <w:marRight w:val="0"/>
          <w:marTop w:val="0"/>
          <w:marBottom w:val="0"/>
          <w:divBdr>
            <w:top w:val="none" w:sz="0" w:space="0" w:color="auto"/>
            <w:left w:val="none" w:sz="0" w:space="0" w:color="auto"/>
            <w:bottom w:val="none" w:sz="0" w:space="0" w:color="auto"/>
            <w:right w:val="none" w:sz="0" w:space="0" w:color="auto"/>
          </w:divBdr>
        </w:div>
      </w:divsChild>
    </w:div>
    <w:div w:id="437722797">
      <w:bodyDiv w:val="1"/>
      <w:marLeft w:val="0"/>
      <w:marRight w:val="0"/>
      <w:marTop w:val="0"/>
      <w:marBottom w:val="0"/>
      <w:divBdr>
        <w:top w:val="none" w:sz="0" w:space="0" w:color="auto"/>
        <w:left w:val="none" w:sz="0" w:space="0" w:color="auto"/>
        <w:bottom w:val="none" w:sz="0" w:space="0" w:color="auto"/>
        <w:right w:val="none" w:sz="0" w:space="0" w:color="auto"/>
      </w:divBdr>
      <w:divsChild>
        <w:div w:id="207381905">
          <w:marLeft w:val="0"/>
          <w:marRight w:val="0"/>
          <w:marTop w:val="0"/>
          <w:marBottom w:val="0"/>
          <w:divBdr>
            <w:top w:val="none" w:sz="0" w:space="0" w:color="auto"/>
            <w:left w:val="none" w:sz="0" w:space="0" w:color="auto"/>
            <w:bottom w:val="dotted" w:sz="6" w:space="4" w:color="DDDDDD"/>
            <w:right w:val="none" w:sz="0" w:space="0" w:color="auto"/>
          </w:divBdr>
        </w:div>
      </w:divsChild>
    </w:div>
    <w:div w:id="438768209">
      <w:bodyDiv w:val="1"/>
      <w:marLeft w:val="0"/>
      <w:marRight w:val="0"/>
      <w:marTop w:val="0"/>
      <w:marBottom w:val="0"/>
      <w:divBdr>
        <w:top w:val="none" w:sz="0" w:space="0" w:color="auto"/>
        <w:left w:val="none" w:sz="0" w:space="0" w:color="auto"/>
        <w:bottom w:val="none" w:sz="0" w:space="0" w:color="auto"/>
        <w:right w:val="none" w:sz="0" w:space="0" w:color="auto"/>
      </w:divBdr>
      <w:divsChild>
        <w:div w:id="550579888">
          <w:marLeft w:val="0"/>
          <w:marRight w:val="0"/>
          <w:marTop w:val="330"/>
          <w:marBottom w:val="330"/>
          <w:divBdr>
            <w:top w:val="none" w:sz="0" w:space="0" w:color="auto"/>
            <w:left w:val="none" w:sz="0" w:space="0" w:color="auto"/>
            <w:bottom w:val="none" w:sz="0" w:space="0" w:color="auto"/>
            <w:right w:val="none" w:sz="0" w:space="0" w:color="auto"/>
          </w:divBdr>
          <w:divsChild>
            <w:div w:id="748621812">
              <w:marLeft w:val="0"/>
              <w:marRight w:val="0"/>
              <w:marTop w:val="0"/>
              <w:marBottom w:val="0"/>
              <w:divBdr>
                <w:top w:val="none" w:sz="0" w:space="0" w:color="auto"/>
                <w:left w:val="none" w:sz="0" w:space="0" w:color="auto"/>
                <w:bottom w:val="none" w:sz="0" w:space="0" w:color="auto"/>
                <w:right w:val="none" w:sz="0" w:space="0" w:color="auto"/>
              </w:divBdr>
              <w:divsChild>
                <w:div w:id="701713728">
                  <w:marLeft w:val="0"/>
                  <w:marRight w:val="0"/>
                  <w:marTop w:val="0"/>
                  <w:marBottom w:val="0"/>
                  <w:divBdr>
                    <w:top w:val="single" w:sz="6" w:space="13" w:color="000000"/>
                    <w:left w:val="none" w:sz="0" w:space="0" w:color="auto"/>
                    <w:bottom w:val="single" w:sz="6" w:space="21" w:color="000000"/>
                    <w:right w:val="none" w:sz="0" w:space="0" w:color="auto"/>
                  </w:divBdr>
                  <w:divsChild>
                    <w:div w:id="20888436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357313">
          <w:marLeft w:val="0"/>
          <w:marRight w:val="450"/>
          <w:marTop w:val="45"/>
          <w:marBottom w:val="345"/>
          <w:divBdr>
            <w:top w:val="none" w:sz="0" w:space="0" w:color="auto"/>
            <w:left w:val="none" w:sz="0" w:space="0" w:color="auto"/>
            <w:bottom w:val="none" w:sz="0" w:space="0" w:color="auto"/>
            <w:right w:val="none" w:sz="0" w:space="0" w:color="auto"/>
          </w:divBdr>
          <w:divsChild>
            <w:div w:id="1826166052">
              <w:marLeft w:val="0"/>
              <w:marRight w:val="0"/>
              <w:marTop w:val="0"/>
              <w:marBottom w:val="0"/>
              <w:divBdr>
                <w:top w:val="none" w:sz="0" w:space="0" w:color="auto"/>
                <w:left w:val="none" w:sz="0" w:space="0" w:color="auto"/>
                <w:bottom w:val="none" w:sz="0" w:space="0" w:color="auto"/>
                <w:right w:val="none" w:sz="0" w:space="0" w:color="auto"/>
              </w:divBdr>
            </w:div>
          </w:divsChild>
        </w:div>
        <w:div w:id="859507776">
          <w:marLeft w:val="0"/>
          <w:marRight w:val="0"/>
          <w:marTop w:val="0"/>
          <w:marBottom w:val="0"/>
          <w:divBdr>
            <w:top w:val="none" w:sz="0" w:space="0" w:color="auto"/>
            <w:left w:val="none" w:sz="0" w:space="0" w:color="auto"/>
            <w:bottom w:val="none" w:sz="0" w:space="0" w:color="auto"/>
            <w:right w:val="none" w:sz="0" w:space="0" w:color="auto"/>
          </w:divBdr>
          <w:divsChild>
            <w:div w:id="49106877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438834660">
      <w:bodyDiv w:val="1"/>
      <w:marLeft w:val="0"/>
      <w:marRight w:val="0"/>
      <w:marTop w:val="0"/>
      <w:marBottom w:val="0"/>
      <w:divBdr>
        <w:top w:val="none" w:sz="0" w:space="0" w:color="auto"/>
        <w:left w:val="none" w:sz="0" w:space="0" w:color="auto"/>
        <w:bottom w:val="none" w:sz="0" w:space="0" w:color="auto"/>
        <w:right w:val="none" w:sz="0" w:space="0" w:color="auto"/>
      </w:divBdr>
    </w:div>
    <w:div w:id="439187504">
      <w:bodyDiv w:val="1"/>
      <w:marLeft w:val="0"/>
      <w:marRight w:val="0"/>
      <w:marTop w:val="0"/>
      <w:marBottom w:val="0"/>
      <w:divBdr>
        <w:top w:val="none" w:sz="0" w:space="0" w:color="auto"/>
        <w:left w:val="none" w:sz="0" w:space="0" w:color="auto"/>
        <w:bottom w:val="none" w:sz="0" w:space="0" w:color="auto"/>
        <w:right w:val="none" w:sz="0" w:space="0" w:color="auto"/>
      </w:divBdr>
      <w:divsChild>
        <w:div w:id="929194501">
          <w:marLeft w:val="0"/>
          <w:marRight w:val="0"/>
          <w:marTop w:val="0"/>
          <w:marBottom w:val="150"/>
          <w:divBdr>
            <w:top w:val="none" w:sz="0" w:space="0" w:color="auto"/>
            <w:left w:val="none" w:sz="0" w:space="0" w:color="auto"/>
            <w:bottom w:val="none" w:sz="0" w:space="0" w:color="auto"/>
            <w:right w:val="none" w:sz="0" w:space="0" w:color="auto"/>
          </w:divBdr>
        </w:div>
        <w:div w:id="2125808545">
          <w:marLeft w:val="0"/>
          <w:marRight w:val="0"/>
          <w:marTop w:val="225"/>
          <w:marBottom w:val="225"/>
          <w:divBdr>
            <w:top w:val="none" w:sz="0" w:space="0" w:color="auto"/>
            <w:left w:val="none" w:sz="0" w:space="0" w:color="auto"/>
            <w:bottom w:val="none" w:sz="0" w:space="0" w:color="auto"/>
            <w:right w:val="none" w:sz="0" w:space="0" w:color="auto"/>
          </w:divBdr>
        </w:div>
      </w:divsChild>
    </w:div>
    <w:div w:id="439375796">
      <w:bodyDiv w:val="1"/>
      <w:marLeft w:val="0"/>
      <w:marRight w:val="0"/>
      <w:marTop w:val="0"/>
      <w:marBottom w:val="0"/>
      <w:divBdr>
        <w:top w:val="none" w:sz="0" w:space="0" w:color="auto"/>
        <w:left w:val="none" w:sz="0" w:space="0" w:color="auto"/>
        <w:bottom w:val="none" w:sz="0" w:space="0" w:color="auto"/>
        <w:right w:val="none" w:sz="0" w:space="0" w:color="auto"/>
      </w:divBdr>
    </w:div>
    <w:div w:id="439878616">
      <w:bodyDiv w:val="1"/>
      <w:marLeft w:val="0"/>
      <w:marRight w:val="0"/>
      <w:marTop w:val="0"/>
      <w:marBottom w:val="0"/>
      <w:divBdr>
        <w:top w:val="none" w:sz="0" w:space="0" w:color="auto"/>
        <w:left w:val="none" w:sz="0" w:space="0" w:color="auto"/>
        <w:bottom w:val="none" w:sz="0" w:space="0" w:color="auto"/>
        <w:right w:val="none" w:sz="0" w:space="0" w:color="auto"/>
      </w:divBdr>
      <w:divsChild>
        <w:div w:id="1584417648">
          <w:marLeft w:val="0"/>
          <w:marRight w:val="0"/>
          <w:marTop w:val="0"/>
          <w:marBottom w:val="0"/>
          <w:divBdr>
            <w:top w:val="none" w:sz="0" w:space="0" w:color="auto"/>
            <w:left w:val="none" w:sz="0" w:space="0" w:color="auto"/>
            <w:bottom w:val="none" w:sz="0" w:space="0" w:color="auto"/>
            <w:right w:val="none" w:sz="0" w:space="0" w:color="auto"/>
          </w:divBdr>
          <w:divsChild>
            <w:div w:id="139777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538935">
      <w:bodyDiv w:val="1"/>
      <w:marLeft w:val="0"/>
      <w:marRight w:val="0"/>
      <w:marTop w:val="0"/>
      <w:marBottom w:val="0"/>
      <w:divBdr>
        <w:top w:val="none" w:sz="0" w:space="0" w:color="auto"/>
        <w:left w:val="none" w:sz="0" w:space="0" w:color="auto"/>
        <w:bottom w:val="none" w:sz="0" w:space="0" w:color="auto"/>
        <w:right w:val="none" w:sz="0" w:space="0" w:color="auto"/>
      </w:divBdr>
      <w:divsChild>
        <w:div w:id="79062374">
          <w:marLeft w:val="0"/>
          <w:marRight w:val="0"/>
          <w:marTop w:val="0"/>
          <w:marBottom w:val="0"/>
          <w:divBdr>
            <w:top w:val="none" w:sz="0" w:space="0" w:color="auto"/>
            <w:left w:val="none" w:sz="0" w:space="0" w:color="auto"/>
            <w:bottom w:val="dotted" w:sz="6" w:space="4" w:color="DDDDDD"/>
            <w:right w:val="none" w:sz="0" w:space="0" w:color="auto"/>
          </w:divBdr>
          <w:divsChild>
            <w:div w:id="210923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687952">
      <w:bodyDiv w:val="1"/>
      <w:marLeft w:val="0"/>
      <w:marRight w:val="0"/>
      <w:marTop w:val="0"/>
      <w:marBottom w:val="0"/>
      <w:divBdr>
        <w:top w:val="none" w:sz="0" w:space="0" w:color="auto"/>
        <w:left w:val="none" w:sz="0" w:space="0" w:color="auto"/>
        <w:bottom w:val="none" w:sz="0" w:space="0" w:color="auto"/>
        <w:right w:val="none" w:sz="0" w:space="0" w:color="auto"/>
      </w:divBdr>
      <w:divsChild>
        <w:div w:id="379742329">
          <w:marLeft w:val="0"/>
          <w:marRight w:val="0"/>
          <w:marTop w:val="0"/>
          <w:marBottom w:val="0"/>
          <w:divBdr>
            <w:top w:val="none" w:sz="0" w:space="0" w:color="auto"/>
            <w:left w:val="none" w:sz="0" w:space="0" w:color="auto"/>
            <w:bottom w:val="none" w:sz="0" w:space="0" w:color="auto"/>
            <w:right w:val="none" w:sz="0" w:space="0" w:color="auto"/>
          </w:divBdr>
          <w:divsChild>
            <w:div w:id="1791196563">
              <w:marLeft w:val="0"/>
              <w:marRight w:val="0"/>
              <w:marTop w:val="0"/>
              <w:marBottom w:val="0"/>
              <w:divBdr>
                <w:top w:val="none" w:sz="0" w:space="0" w:color="auto"/>
                <w:left w:val="none" w:sz="0" w:space="0" w:color="auto"/>
                <w:bottom w:val="none" w:sz="0" w:space="0" w:color="auto"/>
                <w:right w:val="none" w:sz="0" w:space="0" w:color="auto"/>
              </w:divBdr>
              <w:divsChild>
                <w:div w:id="433867360">
                  <w:marLeft w:val="0"/>
                  <w:marRight w:val="0"/>
                  <w:marTop w:val="0"/>
                  <w:marBottom w:val="0"/>
                  <w:divBdr>
                    <w:top w:val="none" w:sz="0" w:space="0" w:color="auto"/>
                    <w:left w:val="none" w:sz="0" w:space="0" w:color="auto"/>
                    <w:bottom w:val="none" w:sz="0" w:space="0" w:color="auto"/>
                    <w:right w:val="none" w:sz="0" w:space="0" w:color="auto"/>
                  </w:divBdr>
                  <w:divsChild>
                    <w:div w:id="233857181">
                      <w:marLeft w:val="0"/>
                      <w:marRight w:val="0"/>
                      <w:marTop w:val="0"/>
                      <w:marBottom w:val="0"/>
                      <w:divBdr>
                        <w:top w:val="none" w:sz="0" w:space="0" w:color="auto"/>
                        <w:left w:val="none" w:sz="0" w:space="0" w:color="auto"/>
                        <w:bottom w:val="none" w:sz="0" w:space="0" w:color="auto"/>
                        <w:right w:val="none" w:sz="0" w:space="0" w:color="auto"/>
                      </w:divBdr>
                      <w:divsChild>
                        <w:div w:id="181238399">
                          <w:marLeft w:val="0"/>
                          <w:marRight w:val="0"/>
                          <w:marTop w:val="0"/>
                          <w:marBottom w:val="0"/>
                          <w:divBdr>
                            <w:top w:val="none" w:sz="0" w:space="0" w:color="auto"/>
                            <w:left w:val="none" w:sz="0" w:space="0" w:color="auto"/>
                            <w:bottom w:val="none" w:sz="0" w:space="0" w:color="auto"/>
                            <w:right w:val="none" w:sz="0" w:space="0" w:color="auto"/>
                          </w:divBdr>
                          <w:divsChild>
                            <w:div w:id="478771095">
                              <w:marLeft w:val="0"/>
                              <w:marRight w:val="0"/>
                              <w:marTop w:val="0"/>
                              <w:marBottom w:val="0"/>
                              <w:divBdr>
                                <w:top w:val="none" w:sz="0" w:space="0" w:color="auto"/>
                                <w:left w:val="none" w:sz="0" w:space="0" w:color="auto"/>
                                <w:bottom w:val="none" w:sz="0" w:space="0" w:color="auto"/>
                                <w:right w:val="none" w:sz="0" w:space="0" w:color="auto"/>
                              </w:divBdr>
                              <w:divsChild>
                                <w:div w:id="1820807595">
                                  <w:marLeft w:val="0"/>
                                  <w:marRight w:val="0"/>
                                  <w:marTop w:val="0"/>
                                  <w:marBottom w:val="0"/>
                                  <w:divBdr>
                                    <w:top w:val="none" w:sz="0" w:space="0" w:color="auto"/>
                                    <w:left w:val="none" w:sz="0" w:space="0" w:color="auto"/>
                                    <w:bottom w:val="none" w:sz="0" w:space="0" w:color="auto"/>
                                    <w:right w:val="none" w:sz="0" w:space="0" w:color="auto"/>
                                  </w:divBdr>
                                  <w:divsChild>
                                    <w:div w:id="122617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0761873">
      <w:bodyDiv w:val="1"/>
      <w:marLeft w:val="0"/>
      <w:marRight w:val="0"/>
      <w:marTop w:val="0"/>
      <w:marBottom w:val="0"/>
      <w:divBdr>
        <w:top w:val="none" w:sz="0" w:space="0" w:color="auto"/>
        <w:left w:val="none" w:sz="0" w:space="0" w:color="auto"/>
        <w:bottom w:val="none" w:sz="0" w:space="0" w:color="auto"/>
        <w:right w:val="none" w:sz="0" w:space="0" w:color="auto"/>
      </w:divBdr>
      <w:divsChild>
        <w:div w:id="408700903">
          <w:marLeft w:val="0"/>
          <w:marRight w:val="0"/>
          <w:marTop w:val="0"/>
          <w:marBottom w:val="0"/>
          <w:divBdr>
            <w:top w:val="none" w:sz="0" w:space="0" w:color="auto"/>
            <w:left w:val="none" w:sz="0" w:space="0" w:color="auto"/>
            <w:bottom w:val="none" w:sz="0" w:space="0" w:color="auto"/>
            <w:right w:val="none" w:sz="0" w:space="0" w:color="auto"/>
          </w:divBdr>
        </w:div>
        <w:div w:id="1024358882">
          <w:marLeft w:val="0"/>
          <w:marRight w:val="0"/>
          <w:marTop w:val="0"/>
          <w:marBottom w:val="0"/>
          <w:divBdr>
            <w:top w:val="none" w:sz="0" w:space="0" w:color="auto"/>
            <w:left w:val="none" w:sz="0" w:space="0" w:color="auto"/>
            <w:bottom w:val="none" w:sz="0" w:space="0" w:color="auto"/>
            <w:right w:val="none" w:sz="0" w:space="0" w:color="auto"/>
          </w:divBdr>
          <w:divsChild>
            <w:div w:id="251134357">
              <w:marLeft w:val="0"/>
              <w:marRight w:val="0"/>
              <w:marTop w:val="0"/>
              <w:marBottom w:val="0"/>
              <w:divBdr>
                <w:top w:val="none" w:sz="0" w:space="0" w:color="auto"/>
                <w:left w:val="none" w:sz="0" w:space="0" w:color="auto"/>
                <w:bottom w:val="none" w:sz="0" w:space="0" w:color="auto"/>
                <w:right w:val="none" w:sz="0" w:space="0" w:color="auto"/>
              </w:divBdr>
            </w:div>
          </w:divsChild>
        </w:div>
        <w:div w:id="2007826793">
          <w:marLeft w:val="0"/>
          <w:marRight w:val="0"/>
          <w:marTop w:val="0"/>
          <w:marBottom w:val="0"/>
          <w:divBdr>
            <w:top w:val="none" w:sz="0" w:space="0" w:color="auto"/>
            <w:left w:val="none" w:sz="0" w:space="0" w:color="auto"/>
            <w:bottom w:val="none" w:sz="0" w:space="0" w:color="auto"/>
            <w:right w:val="none" w:sz="0" w:space="0" w:color="auto"/>
          </w:divBdr>
        </w:div>
      </w:divsChild>
    </w:div>
    <w:div w:id="441385354">
      <w:bodyDiv w:val="1"/>
      <w:marLeft w:val="0"/>
      <w:marRight w:val="0"/>
      <w:marTop w:val="0"/>
      <w:marBottom w:val="0"/>
      <w:divBdr>
        <w:top w:val="none" w:sz="0" w:space="0" w:color="auto"/>
        <w:left w:val="none" w:sz="0" w:space="0" w:color="auto"/>
        <w:bottom w:val="none" w:sz="0" w:space="0" w:color="auto"/>
        <w:right w:val="none" w:sz="0" w:space="0" w:color="auto"/>
      </w:divBdr>
      <w:divsChild>
        <w:div w:id="341861749">
          <w:marLeft w:val="0"/>
          <w:marRight w:val="0"/>
          <w:marTop w:val="0"/>
          <w:marBottom w:val="240"/>
          <w:divBdr>
            <w:top w:val="none" w:sz="0" w:space="0" w:color="auto"/>
            <w:left w:val="none" w:sz="0" w:space="0" w:color="auto"/>
            <w:bottom w:val="none" w:sz="0" w:space="0" w:color="auto"/>
            <w:right w:val="none" w:sz="0" w:space="0" w:color="auto"/>
          </w:divBdr>
        </w:div>
        <w:div w:id="1351226189">
          <w:marLeft w:val="0"/>
          <w:marRight w:val="0"/>
          <w:marTop w:val="0"/>
          <w:marBottom w:val="240"/>
          <w:divBdr>
            <w:top w:val="none" w:sz="0" w:space="0" w:color="auto"/>
            <w:left w:val="none" w:sz="0" w:space="0" w:color="auto"/>
            <w:bottom w:val="none" w:sz="0" w:space="0" w:color="auto"/>
            <w:right w:val="none" w:sz="0" w:space="0" w:color="auto"/>
          </w:divBdr>
        </w:div>
        <w:div w:id="86734863">
          <w:marLeft w:val="0"/>
          <w:marRight w:val="0"/>
          <w:marTop w:val="0"/>
          <w:marBottom w:val="240"/>
          <w:divBdr>
            <w:top w:val="none" w:sz="0" w:space="0" w:color="auto"/>
            <w:left w:val="none" w:sz="0" w:space="0" w:color="auto"/>
            <w:bottom w:val="none" w:sz="0" w:space="0" w:color="auto"/>
            <w:right w:val="none" w:sz="0" w:space="0" w:color="auto"/>
          </w:divBdr>
        </w:div>
        <w:div w:id="1247690867">
          <w:marLeft w:val="0"/>
          <w:marRight w:val="0"/>
          <w:marTop w:val="0"/>
          <w:marBottom w:val="240"/>
          <w:divBdr>
            <w:top w:val="none" w:sz="0" w:space="0" w:color="auto"/>
            <w:left w:val="none" w:sz="0" w:space="0" w:color="auto"/>
            <w:bottom w:val="none" w:sz="0" w:space="0" w:color="auto"/>
            <w:right w:val="none" w:sz="0" w:space="0" w:color="auto"/>
          </w:divBdr>
        </w:div>
      </w:divsChild>
    </w:div>
    <w:div w:id="441733209">
      <w:bodyDiv w:val="1"/>
      <w:marLeft w:val="0"/>
      <w:marRight w:val="0"/>
      <w:marTop w:val="0"/>
      <w:marBottom w:val="0"/>
      <w:divBdr>
        <w:top w:val="none" w:sz="0" w:space="0" w:color="auto"/>
        <w:left w:val="none" w:sz="0" w:space="0" w:color="auto"/>
        <w:bottom w:val="none" w:sz="0" w:space="0" w:color="auto"/>
        <w:right w:val="none" w:sz="0" w:space="0" w:color="auto"/>
      </w:divBdr>
      <w:divsChild>
        <w:div w:id="1197237110">
          <w:marLeft w:val="0"/>
          <w:marRight w:val="0"/>
          <w:marTop w:val="0"/>
          <w:marBottom w:val="150"/>
          <w:divBdr>
            <w:top w:val="none" w:sz="0" w:space="0" w:color="auto"/>
            <w:left w:val="none" w:sz="0" w:space="0" w:color="auto"/>
            <w:bottom w:val="none" w:sz="0" w:space="0" w:color="auto"/>
            <w:right w:val="none" w:sz="0" w:space="0" w:color="auto"/>
          </w:divBdr>
          <w:divsChild>
            <w:div w:id="797380210">
              <w:marLeft w:val="0"/>
              <w:marRight w:val="0"/>
              <w:marTop w:val="0"/>
              <w:marBottom w:val="0"/>
              <w:divBdr>
                <w:top w:val="none" w:sz="0" w:space="0" w:color="auto"/>
                <w:left w:val="none" w:sz="0" w:space="0" w:color="auto"/>
                <w:bottom w:val="none" w:sz="0" w:space="0" w:color="auto"/>
                <w:right w:val="none" w:sz="0" w:space="0" w:color="auto"/>
              </w:divBdr>
              <w:divsChild>
                <w:div w:id="123142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896811">
          <w:marLeft w:val="0"/>
          <w:marRight w:val="0"/>
          <w:marTop w:val="0"/>
          <w:marBottom w:val="150"/>
          <w:divBdr>
            <w:top w:val="none" w:sz="0" w:space="0" w:color="auto"/>
            <w:left w:val="none" w:sz="0" w:space="0" w:color="auto"/>
            <w:bottom w:val="none" w:sz="0" w:space="0" w:color="auto"/>
            <w:right w:val="none" w:sz="0" w:space="0" w:color="auto"/>
          </w:divBdr>
        </w:div>
        <w:div w:id="458764509">
          <w:marLeft w:val="0"/>
          <w:marRight w:val="0"/>
          <w:marTop w:val="0"/>
          <w:marBottom w:val="0"/>
          <w:divBdr>
            <w:top w:val="none" w:sz="0" w:space="0" w:color="auto"/>
            <w:left w:val="none" w:sz="0" w:space="0" w:color="auto"/>
            <w:bottom w:val="none" w:sz="0" w:space="0" w:color="auto"/>
            <w:right w:val="none" w:sz="0" w:space="0" w:color="auto"/>
          </w:divBdr>
          <w:divsChild>
            <w:div w:id="13735320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42725432">
      <w:bodyDiv w:val="1"/>
      <w:marLeft w:val="0"/>
      <w:marRight w:val="0"/>
      <w:marTop w:val="0"/>
      <w:marBottom w:val="0"/>
      <w:divBdr>
        <w:top w:val="none" w:sz="0" w:space="0" w:color="auto"/>
        <w:left w:val="none" w:sz="0" w:space="0" w:color="auto"/>
        <w:bottom w:val="none" w:sz="0" w:space="0" w:color="auto"/>
        <w:right w:val="none" w:sz="0" w:space="0" w:color="auto"/>
      </w:divBdr>
      <w:divsChild>
        <w:div w:id="1772553544">
          <w:marLeft w:val="0"/>
          <w:marRight w:val="0"/>
          <w:marTop w:val="0"/>
          <w:marBottom w:val="0"/>
          <w:divBdr>
            <w:top w:val="none" w:sz="0" w:space="0" w:color="auto"/>
            <w:left w:val="none" w:sz="0" w:space="0" w:color="auto"/>
            <w:bottom w:val="dotted" w:sz="6" w:space="4" w:color="DDDDDD"/>
            <w:right w:val="none" w:sz="0" w:space="0" w:color="auto"/>
          </w:divBdr>
        </w:div>
      </w:divsChild>
    </w:div>
    <w:div w:id="442773412">
      <w:bodyDiv w:val="1"/>
      <w:marLeft w:val="0"/>
      <w:marRight w:val="0"/>
      <w:marTop w:val="0"/>
      <w:marBottom w:val="0"/>
      <w:divBdr>
        <w:top w:val="none" w:sz="0" w:space="0" w:color="auto"/>
        <w:left w:val="none" w:sz="0" w:space="0" w:color="auto"/>
        <w:bottom w:val="none" w:sz="0" w:space="0" w:color="auto"/>
        <w:right w:val="none" w:sz="0" w:space="0" w:color="auto"/>
      </w:divBdr>
      <w:divsChild>
        <w:div w:id="1030447745">
          <w:marLeft w:val="0"/>
          <w:marRight w:val="0"/>
          <w:marTop w:val="0"/>
          <w:marBottom w:val="0"/>
          <w:divBdr>
            <w:top w:val="none" w:sz="0" w:space="0" w:color="auto"/>
            <w:left w:val="none" w:sz="0" w:space="0" w:color="auto"/>
            <w:bottom w:val="none" w:sz="0" w:space="0" w:color="auto"/>
            <w:right w:val="none" w:sz="0" w:space="0" w:color="auto"/>
          </w:divBdr>
          <w:divsChild>
            <w:div w:id="13267490">
              <w:marLeft w:val="0"/>
              <w:marRight w:val="0"/>
              <w:marTop w:val="0"/>
              <w:marBottom w:val="0"/>
              <w:divBdr>
                <w:top w:val="none" w:sz="0" w:space="0" w:color="auto"/>
                <w:left w:val="none" w:sz="0" w:space="0" w:color="auto"/>
                <w:bottom w:val="none" w:sz="0" w:space="0" w:color="auto"/>
                <w:right w:val="none" w:sz="0" w:space="0" w:color="auto"/>
              </w:divBdr>
              <w:divsChild>
                <w:div w:id="950091040">
                  <w:marLeft w:val="0"/>
                  <w:marRight w:val="0"/>
                  <w:marTop w:val="0"/>
                  <w:marBottom w:val="0"/>
                  <w:divBdr>
                    <w:top w:val="none" w:sz="0" w:space="0" w:color="auto"/>
                    <w:left w:val="none" w:sz="0" w:space="0" w:color="auto"/>
                    <w:bottom w:val="none" w:sz="0" w:space="0" w:color="auto"/>
                    <w:right w:val="none" w:sz="0" w:space="0" w:color="auto"/>
                  </w:divBdr>
                  <w:divsChild>
                    <w:div w:id="1958486280">
                      <w:marLeft w:val="0"/>
                      <w:marRight w:val="0"/>
                      <w:marTop w:val="0"/>
                      <w:marBottom w:val="0"/>
                      <w:divBdr>
                        <w:top w:val="none" w:sz="0" w:space="0" w:color="auto"/>
                        <w:left w:val="none" w:sz="0" w:space="0" w:color="auto"/>
                        <w:bottom w:val="none" w:sz="0" w:space="0" w:color="auto"/>
                        <w:right w:val="none" w:sz="0" w:space="0" w:color="auto"/>
                      </w:divBdr>
                      <w:divsChild>
                        <w:div w:id="29647021">
                          <w:marLeft w:val="0"/>
                          <w:marRight w:val="0"/>
                          <w:marTop w:val="0"/>
                          <w:marBottom w:val="0"/>
                          <w:divBdr>
                            <w:top w:val="none" w:sz="0" w:space="0" w:color="auto"/>
                            <w:left w:val="none" w:sz="0" w:space="0" w:color="auto"/>
                            <w:bottom w:val="none" w:sz="0" w:space="0" w:color="auto"/>
                            <w:right w:val="none" w:sz="0" w:space="0" w:color="auto"/>
                          </w:divBdr>
                          <w:divsChild>
                            <w:div w:id="1445266229">
                              <w:marLeft w:val="0"/>
                              <w:marRight w:val="0"/>
                              <w:marTop w:val="0"/>
                              <w:marBottom w:val="0"/>
                              <w:divBdr>
                                <w:top w:val="none" w:sz="0" w:space="0" w:color="auto"/>
                                <w:left w:val="none" w:sz="0" w:space="0" w:color="auto"/>
                                <w:bottom w:val="none" w:sz="0" w:space="0" w:color="auto"/>
                                <w:right w:val="none" w:sz="0" w:space="0" w:color="auto"/>
                              </w:divBdr>
                              <w:divsChild>
                                <w:div w:id="1425417848">
                                  <w:marLeft w:val="0"/>
                                  <w:marRight w:val="0"/>
                                  <w:marTop w:val="0"/>
                                  <w:marBottom w:val="0"/>
                                  <w:divBdr>
                                    <w:top w:val="none" w:sz="0" w:space="0" w:color="auto"/>
                                    <w:left w:val="none" w:sz="0" w:space="0" w:color="auto"/>
                                    <w:bottom w:val="none" w:sz="0" w:space="0" w:color="auto"/>
                                    <w:right w:val="none" w:sz="0" w:space="0" w:color="auto"/>
                                  </w:divBdr>
                                  <w:divsChild>
                                    <w:div w:id="82995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2964662">
      <w:bodyDiv w:val="1"/>
      <w:marLeft w:val="0"/>
      <w:marRight w:val="0"/>
      <w:marTop w:val="0"/>
      <w:marBottom w:val="0"/>
      <w:divBdr>
        <w:top w:val="none" w:sz="0" w:space="0" w:color="auto"/>
        <w:left w:val="none" w:sz="0" w:space="0" w:color="auto"/>
        <w:bottom w:val="none" w:sz="0" w:space="0" w:color="auto"/>
        <w:right w:val="none" w:sz="0" w:space="0" w:color="auto"/>
      </w:divBdr>
      <w:divsChild>
        <w:div w:id="114368999">
          <w:marLeft w:val="0"/>
          <w:marRight w:val="0"/>
          <w:marTop w:val="0"/>
          <w:marBottom w:val="150"/>
          <w:divBdr>
            <w:top w:val="none" w:sz="0" w:space="0" w:color="auto"/>
            <w:left w:val="none" w:sz="0" w:space="0" w:color="auto"/>
            <w:bottom w:val="none" w:sz="0" w:space="0" w:color="auto"/>
            <w:right w:val="none" w:sz="0" w:space="0" w:color="auto"/>
          </w:divBdr>
        </w:div>
      </w:divsChild>
    </w:div>
    <w:div w:id="443118569">
      <w:bodyDiv w:val="1"/>
      <w:marLeft w:val="0"/>
      <w:marRight w:val="0"/>
      <w:marTop w:val="0"/>
      <w:marBottom w:val="0"/>
      <w:divBdr>
        <w:top w:val="none" w:sz="0" w:space="0" w:color="auto"/>
        <w:left w:val="none" w:sz="0" w:space="0" w:color="auto"/>
        <w:bottom w:val="none" w:sz="0" w:space="0" w:color="auto"/>
        <w:right w:val="none" w:sz="0" w:space="0" w:color="auto"/>
      </w:divBdr>
    </w:div>
    <w:div w:id="443119471">
      <w:bodyDiv w:val="1"/>
      <w:marLeft w:val="0"/>
      <w:marRight w:val="0"/>
      <w:marTop w:val="0"/>
      <w:marBottom w:val="0"/>
      <w:divBdr>
        <w:top w:val="none" w:sz="0" w:space="0" w:color="auto"/>
        <w:left w:val="none" w:sz="0" w:space="0" w:color="auto"/>
        <w:bottom w:val="none" w:sz="0" w:space="0" w:color="auto"/>
        <w:right w:val="none" w:sz="0" w:space="0" w:color="auto"/>
      </w:divBdr>
      <w:divsChild>
        <w:div w:id="650257568">
          <w:marLeft w:val="0"/>
          <w:marRight w:val="0"/>
          <w:marTop w:val="0"/>
          <w:marBottom w:val="0"/>
          <w:divBdr>
            <w:top w:val="none" w:sz="0" w:space="0" w:color="auto"/>
            <w:left w:val="none" w:sz="0" w:space="0" w:color="auto"/>
            <w:bottom w:val="none" w:sz="0" w:space="0" w:color="auto"/>
            <w:right w:val="none" w:sz="0" w:space="0" w:color="auto"/>
          </w:divBdr>
          <w:divsChild>
            <w:div w:id="1926761627">
              <w:marLeft w:val="0"/>
              <w:marRight w:val="0"/>
              <w:marTop w:val="0"/>
              <w:marBottom w:val="0"/>
              <w:divBdr>
                <w:top w:val="none" w:sz="0" w:space="0" w:color="auto"/>
                <w:left w:val="none" w:sz="0" w:space="0" w:color="auto"/>
                <w:bottom w:val="none" w:sz="0" w:space="0" w:color="auto"/>
                <w:right w:val="none" w:sz="0" w:space="0" w:color="auto"/>
              </w:divBdr>
              <w:divsChild>
                <w:div w:id="716203048">
                  <w:marLeft w:val="0"/>
                  <w:marRight w:val="0"/>
                  <w:marTop w:val="0"/>
                  <w:marBottom w:val="0"/>
                  <w:divBdr>
                    <w:top w:val="none" w:sz="0" w:space="0" w:color="auto"/>
                    <w:left w:val="none" w:sz="0" w:space="0" w:color="auto"/>
                    <w:bottom w:val="none" w:sz="0" w:space="0" w:color="auto"/>
                    <w:right w:val="none" w:sz="0" w:space="0" w:color="auto"/>
                  </w:divBdr>
                  <w:divsChild>
                    <w:div w:id="57048744">
                      <w:marLeft w:val="0"/>
                      <w:marRight w:val="0"/>
                      <w:marTop w:val="0"/>
                      <w:marBottom w:val="0"/>
                      <w:divBdr>
                        <w:top w:val="none" w:sz="0" w:space="0" w:color="auto"/>
                        <w:left w:val="none" w:sz="0" w:space="0" w:color="auto"/>
                        <w:bottom w:val="none" w:sz="0" w:space="0" w:color="auto"/>
                        <w:right w:val="none" w:sz="0" w:space="0" w:color="auto"/>
                      </w:divBdr>
                      <w:divsChild>
                        <w:div w:id="1451238469">
                          <w:marLeft w:val="0"/>
                          <w:marRight w:val="0"/>
                          <w:marTop w:val="0"/>
                          <w:marBottom w:val="0"/>
                          <w:divBdr>
                            <w:top w:val="none" w:sz="0" w:space="0" w:color="auto"/>
                            <w:left w:val="none" w:sz="0" w:space="0" w:color="auto"/>
                            <w:bottom w:val="none" w:sz="0" w:space="0" w:color="auto"/>
                            <w:right w:val="none" w:sz="0" w:space="0" w:color="auto"/>
                          </w:divBdr>
                          <w:divsChild>
                            <w:div w:id="1608734648">
                              <w:marLeft w:val="0"/>
                              <w:marRight w:val="0"/>
                              <w:marTop w:val="0"/>
                              <w:marBottom w:val="0"/>
                              <w:divBdr>
                                <w:top w:val="none" w:sz="0" w:space="0" w:color="auto"/>
                                <w:left w:val="none" w:sz="0" w:space="0" w:color="auto"/>
                                <w:bottom w:val="none" w:sz="0" w:space="0" w:color="auto"/>
                                <w:right w:val="none" w:sz="0" w:space="0" w:color="auto"/>
                              </w:divBdr>
                              <w:divsChild>
                                <w:div w:id="72345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3303249">
      <w:bodyDiv w:val="1"/>
      <w:marLeft w:val="0"/>
      <w:marRight w:val="0"/>
      <w:marTop w:val="0"/>
      <w:marBottom w:val="0"/>
      <w:divBdr>
        <w:top w:val="none" w:sz="0" w:space="0" w:color="auto"/>
        <w:left w:val="none" w:sz="0" w:space="0" w:color="auto"/>
        <w:bottom w:val="none" w:sz="0" w:space="0" w:color="auto"/>
        <w:right w:val="none" w:sz="0" w:space="0" w:color="auto"/>
      </w:divBdr>
      <w:divsChild>
        <w:div w:id="1328289637">
          <w:marLeft w:val="0"/>
          <w:marRight w:val="0"/>
          <w:marTop w:val="0"/>
          <w:marBottom w:val="0"/>
          <w:divBdr>
            <w:top w:val="none" w:sz="0" w:space="0" w:color="auto"/>
            <w:left w:val="none" w:sz="0" w:space="0" w:color="auto"/>
            <w:bottom w:val="none" w:sz="0" w:space="0" w:color="auto"/>
            <w:right w:val="none" w:sz="0" w:space="0" w:color="auto"/>
          </w:divBdr>
          <w:divsChild>
            <w:div w:id="125439569">
              <w:marLeft w:val="0"/>
              <w:marRight w:val="0"/>
              <w:marTop w:val="225"/>
              <w:marBottom w:val="225"/>
              <w:divBdr>
                <w:top w:val="none" w:sz="0" w:space="0" w:color="auto"/>
                <w:left w:val="none" w:sz="0" w:space="0" w:color="auto"/>
                <w:bottom w:val="none" w:sz="0" w:space="0" w:color="auto"/>
                <w:right w:val="none" w:sz="0" w:space="0" w:color="auto"/>
              </w:divBdr>
            </w:div>
          </w:divsChild>
        </w:div>
        <w:div w:id="1777747589">
          <w:marLeft w:val="0"/>
          <w:marRight w:val="0"/>
          <w:marTop w:val="0"/>
          <w:marBottom w:val="150"/>
          <w:divBdr>
            <w:top w:val="none" w:sz="0" w:space="0" w:color="auto"/>
            <w:left w:val="none" w:sz="0" w:space="0" w:color="auto"/>
            <w:bottom w:val="none" w:sz="0" w:space="0" w:color="auto"/>
            <w:right w:val="none" w:sz="0" w:space="0" w:color="auto"/>
          </w:divBdr>
        </w:div>
        <w:div w:id="1971127262">
          <w:marLeft w:val="0"/>
          <w:marRight w:val="0"/>
          <w:marTop w:val="0"/>
          <w:marBottom w:val="150"/>
          <w:divBdr>
            <w:top w:val="none" w:sz="0" w:space="0" w:color="auto"/>
            <w:left w:val="none" w:sz="0" w:space="0" w:color="auto"/>
            <w:bottom w:val="none" w:sz="0" w:space="0" w:color="auto"/>
            <w:right w:val="none" w:sz="0" w:space="0" w:color="auto"/>
          </w:divBdr>
          <w:divsChild>
            <w:div w:id="993335768">
              <w:marLeft w:val="0"/>
              <w:marRight w:val="0"/>
              <w:marTop w:val="0"/>
              <w:marBottom w:val="0"/>
              <w:divBdr>
                <w:top w:val="none" w:sz="0" w:space="0" w:color="auto"/>
                <w:left w:val="none" w:sz="0" w:space="0" w:color="auto"/>
                <w:bottom w:val="none" w:sz="0" w:space="0" w:color="auto"/>
                <w:right w:val="none" w:sz="0" w:space="0" w:color="auto"/>
              </w:divBdr>
              <w:divsChild>
                <w:div w:id="99957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616675">
      <w:bodyDiv w:val="1"/>
      <w:marLeft w:val="0"/>
      <w:marRight w:val="0"/>
      <w:marTop w:val="0"/>
      <w:marBottom w:val="0"/>
      <w:divBdr>
        <w:top w:val="none" w:sz="0" w:space="0" w:color="auto"/>
        <w:left w:val="none" w:sz="0" w:space="0" w:color="auto"/>
        <w:bottom w:val="none" w:sz="0" w:space="0" w:color="auto"/>
        <w:right w:val="none" w:sz="0" w:space="0" w:color="auto"/>
      </w:divBdr>
      <w:divsChild>
        <w:div w:id="110899716">
          <w:marLeft w:val="0"/>
          <w:marRight w:val="0"/>
          <w:marTop w:val="0"/>
          <w:marBottom w:val="150"/>
          <w:divBdr>
            <w:top w:val="none" w:sz="0" w:space="0" w:color="auto"/>
            <w:left w:val="none" w:sz="0" w:space="0" w:color="auto"/>
            <w:bottom w:val="none" w:sz="0" w:space="0" w:color="auto"/>
            <w:right w:val="none" w:sz="0" w:space="0" w:color="auto"/>
          </w:divBdr>
        </w:div>
        <w:div w:id="1058087025">
          <w:marLeft w:val="0"/>
          <w:marRight w:val="0"/>
          <w:marTop w:val="0"/>
          <w:marBottom w:val="0"/>
          <w:divBdr>
            <w:top w:val="none" w:sz="0" w:space="0" w:color="auto"/>
            <w:left w:val="none" w:sz="0" w:space="0" w:color="auto"/>
            <w:bottom w:val="none" w:sz="0" w:space="0" w:color="auto"/>
            <w:right w:val="none" w:sz="0" w:space="0" w:color="auto"/>
          </w:divBdr>
          <w:divsChild>
            <w:div w:id="3287705">
              <w:marLeft w:val="0"/>
              <w:marRight w:val="0"/>
              <w:marTop w:val="225"/>
              <w:marBottom w:val="225"/>
              <w:divBdr>
                <w:top w:val="none" w:sz="0" w:space="0" w:color="auto"/>
                <w:left w:val="none" w:sz="0" w:space="0" w:color="auto"/>
                <w:bottom w:val="none" w:sz="0" w:space="0" w:color="auto"/>
                <w:right w:val="none" w:sz="0" w:space="0" w:color="auto"/>
              </w:divBdr>
            </w:div>
          </w:divsChild>
        </w:div>
        <w:div w:id="1070811535">
          <w:marLeft w:val="0"/>
          <w:marRight w:val="0"/>
          <w:marTop w:val="0"/>
          <w:marBottom w:val="150"/>
          <w:divBdr>
            <w:top w:val="none" w:sz="0" w:space="0" w:color="auto"/>
            <w:left w:val="none" w:sz="0" w:space="0" w:color="auto"/>
            <w:bottom w:val="none" w:sz="0" w:space="0" w:color="auto"/>
            <w:right w:val="none" w:sz="0" w:space="0" w:color="auto"/>
          </w:divBdr>
          <w:divsChild>
            <w:div w:id="274290799">
              <w:marLeft w:val="0"/>
              <w:marRight w:val="0"/>
              <w:marTop w:val="0"/>
              <w:marBottom w:val="0"/>
              <w:divBdr>
                <w:top w:val="none" w:sz="0" w:space="0" w:color="auto"/>
                <w:left w:val="none" w:sz="0" w:space="0" w:color="auto"/>
                <w:bottom w:val="none" w:sz="0" w:space="0" w:color="auto"/>
                <w:right w:val="none" w:sz="0" w:space="0" w:color="auto"/>
              </w:divBdr>
              <w:divsChild>
                <w:div w:id="145667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623991">
      <w:bodyDiv w:val="1"/>
      <w:marLeft w:val="0"/>
      <w:marRight w:val="0"/>
      <w:marTop w:val="0"/>
      <w:marBottom w:val="0"/>
      <w:divBdr>
        <w:top w:val="none" w:sz="0" w:space="0" w:color="auto"/>
        <w:left w:val="none" w:sz="0" w:space="0" w:color="auto"/>
        <w:bottom w:val="none" w:sz="0" w:space="0" w:color="auto"/>
        <w:right w:val="none" w:sz="0" w:space="0" w:color="auto"/>
      </w:divBdr>
      <w:divsChild>
        <w:div w:id="986663675">
          <w:marLeft w:val="0"/>
          <w:marRight w:val="0"/>
          <w:marTop w:val="0"/>
          <w:marBottom w:val="0"/>
          <w:divBdr>
            <w:top w:val="none" w:sz="0" w:space="0" w:color="auto"/>
            <w:left w:val="none" w:sz="0" w:space="0" w:color="auto"/>
            <w:bottom w:val="dotted" w:sz="6" w:space="4" w:color="DDDDDD"/>
            <w:right w:val="none" w:sz="0" w:space="0" w:color="auto"/>
          </w:divBdr>
          <w:divsChild>
            <w:div w:id="81102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696253">
      <w:bodyDiv w:val="1"/>
      <w:marLeft w:val="0"/>
      <w:marRight w:val="0"/>
      <w:marTop w:val="0"/>
      <w:marBottom w:val="0"/>
      <w:divBdr>
        <w:top w:val="none" w:sz="0" w:space="0" w:color="auto"/>
        <w:left w:val="none" w:sz="0" w:space="0" w:color="auto"/>
        <w:bottom w:val="none" w:sz="0" w:space="0" w:color="auto"/>
        <w:right w:val="none" w:sz="0" w:space="0" w:color="auto"/>
      </w:divBdr>
    </w:div>
    <w:div w:id="443810142">
      <w:bodyDiv w:val="1"/>
      <w:marLeft w:val="0"/>
      <w:marRight w:val="0"/>
      <w:marTop w:val="0"/>
      <w:marBottom w:val="0"/>
      <w:divBdr>
        <w:top w:val="none" w:sz="0" w:space="0" w:color="auto"/>
        <w:left w:val="none" w:sz="0" w:space="0" w:color="auto"/>
        <w:bottom w:val="none" w:sz="0" w:space="0" w:color="auto"/>
        <w:right w:val="none" w:sz="0" w:space="0" w:color="auto"/>
      </w:divBdr>
      <w:divsChild>
        <w:div w:id="594289010">
          <w:marLeft w:val="0"/>
          <w:marRight w:val="0"/>
          <w:marTop w:val="0"/>
          <w:marBottom w:val="0"/>
          <w:divBdr>
            <w:top w:val="none" w:sz="0" w:space="0" w:color="auto"/>
            <w:left w:val="none" w:sz="0" w:space="0" w:color="auto"/>
            <w:bottom w:val="dotted" w:sz="6" w:space="4" w:color="DDDDDD"/>
            <w:right w:val="none" w:sz="0" w:space="0" w:color="auto"/>
          </w:divBdr>
        </w:div>
      </w:divsChild>
    </w:div>
    <w:div w:id="443810783">
      <w:bodyDiv w:val="1"/>
      <w:marLeft w:val="0"/>
      <w:marRight w:val="0"/>
      <w:marTop w:val="0"/>
      <w:marBottom w:val="0"/>
      <w:divBdr>
        <w:top w:val="none" w:sz="0" w:space="0" w:color="auto"/>
        <w:left w:val="none" w:sz="0" w:space="0" w:color="auto"/>
        <w:bottom w:val="none" w:sz="0" w:space="0" w:color="auto"/>
        <w:right w:val="none" w:sz="0" w:space="0" w:color="auto"/>
      </w:divBdr>
      <w:divsChild>
        <w:div w:id="2073115953">
          <w:marLeft w:val="0"/>
          <w:marRight w:val="0"/>
          <w:marTop w:val="0"/>
          <w:marBottom w:val="0"/>
          <w:divBdr>
            <w:top w:val="none" w:sz="0" w:space="0" w:color="auto"/>
            <w:left w:val="none" w:sz="0" w:space="0" w:color="auto"/>
            <w:bottom w:val="dotted" w:sz="6" w:space="4" w:color="DDDDDD"/>
            <w:right w:val="none" w:sz="0" w:space="0" w:color="auto"/>
          </w:divBdr>
          <w:divsChild>
            <w:div w:id="103461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03423">
      <w:bodyDiv w:val="1"/>
      <w:marLeft w:val="0"/>
      <w:marRight w:val="0"/>
      <w:marTop w:val="0"/>
      <w:marBottom w:val="0"/>
      <w:divBdr>
        <w:top w:val="none" w:sz="0" w:space="0" w:color="auto"/>
        <w:left w:val="none" w:sz="0" w:space="0" w:color="auto"/>
        <w:bottom w:val="none" w:sz="0" w:space="0" w:color="auto"/>
        <w:right w:val="none" w:sz="0" w:space="0" w:color="auto"/>
      </w:divBdr>
      <w:divsChild>
        <w:div w:id="1670255548">
          <w:marLeft w:val="0"/>
          <w:marRight w:val="0"/>
          <w:marTop w:val="0"/>
          <w:marBottom w:val="0"/>
          <w:divBdr>
            <w:top w:val="none" w:sz="0" w:space="0" w:color="auto"/>
            <w:left w:val="none" w:sz="0" w:space="0" w:color="auto"/>
            <w:bottom w:val="none" w:sz="0" w:space="0" w:color="auto"/>
            <w:right w:val="none" w:sz="0" w:space="0" w:color="auto"/>
          </w:divBdr>
          <w:divsChild>
            <w:div w:id="1532844454">
              <w:marLeft w:val="0"/>
              <w:marRight w:val="0"/>
              <w:marTop w:val="0"/>
              <w:marBottom w:val="0"/>
              <w:divBdr>
                <w:top w:val="none" w:sz="0" w:space="0" w:color="auto"/>
                <w:left w:val="none" w:sz="0" w:space="0" w:color="auto"/>
                <w:bottom w:val="none" w:sz="0" w:space="0" w:color="auto"/>
                <w:right w:val="none" w:sz="0" w:space="0" w:color="auto"/>
              </w:divBdr>
              <w:divsChild>
                <w:div w:id="1596742878">
                  <w:marLeft w:val="0"/>
                  <w:marRight w:val="0"/>
                  <w:marTop w:val="0"/>
                  <w:marBottom w:val="0"/>
                  <w:divBdr>
                    <w:top w:val="none" w:sz="0" w:space="0" w:color="auto"/>
                    <w:left w:val="none" w:sz="0" w:space="0" w:color="auto"/>
                    <w:bottom w:val="none" w:sz="0" w:space="0" w:color="auto"/>
                    <w:right w:val="none" w:sz="0" w:space="0" w:color="auto"/>
                  </w:divBdr>
                  <w:divsChild>
                    <w:div w:id="1406756547">
                      <w:marLeft w:val="0"/>
                      <w:marRight w:val="0"/>
                      <w:marTop w:val="0"/>
                      <w:marBottom w:val="0"/>
                      <w:divBdr>
                        <w:top w:val="none" w:sz="0" w:space="0" w:color="auto"/>
                        <w:left w:val="none" w:sz="0" w:space="0" w:color="auto"/>
                        <w:bottom w:val="none" w:sz="0" w:space="0" w:color="auto"/>
                        <w:right w:val="none" w:sz="0" w:space="0" w:color="auto"/>
                      </w:divBdr>
                      <w:divsChild>
                        <w:div w:id="1972781857">
                          <w:marLeft w:val="0"/>
                          <w:marRight w:val="0"/>
                          <w:marTop w:val="0"/>
                          <w:marBottom w:val="0"/>
                          <w:divBdr>
                            <w:top w:val="none" w:sz="0" w:space="0" w:color="auto"/>
                            <w:left w:val="none" w:sz="0" w:space="0" w:color="auto"/>
                            <w:bottom w:val="none" w:sz="0" w:space="0" w:color="auto"/>
                            <w:right w:val="none" w:sz="0" w:space="0" w:color="auto"/>
                          </w:divBdr>
                          <w:divsChild>
                            <w:div w:id="1489129701">
                              <w:marLeft w:val="0"/>
                              <w:marRight w:val="0"/>
                              <w:marTop w:val="0"/>
                              <w:marBottom w:val="0"/>
                              <w:divBdr>
                                <w:top w:val="none" w:sz="0" w:space="0" w:color="auto"/>
                                <w:left w:val="none" w:sz="0" w:space="0" w:color="auto"/>
                                <w:bottom w:val="none" w:sz="0" w:space="0" w:color="auto"/>
                                <w:right w:val="none" w:sz="0" w:space="0" w:color="auto"/>
                              </w:divBdr>
                              <w:divsChild>
                                <w:div w:id="1538347259">
                                  <w:marLeft w:val="0"/>
                                  <w:marRight w:val="0"/>
                                  <w:marTop w:val="0"/>
                                  <w:marBottom w:val="0"/>
                                  <w:divBdr>
                                    <w:top w:val="none" w:sz="0" w:space="0" w:color="auto"/>
                                    <w:left w:val="none" w:sz="0" w:space="0" w:color="auto"/>
                                    <w:bottom w:val="none" w:sz="0" w:space="0" w:color="auto"/>
                                    <w:right w:val="none" w:sz="0" w:space="0" w:color="auto"/>
                                  </w:divBdr>
                                  <w:divsChild>
                                    <w:div w:id="1242328674">
                                      <w:marLeft w:val="0"/>
                                      <w:marRight w:val="0"/>
                                      <w:marTop w:val="0"/>
                                      <w:marBottom w:val="0"/>
                                      <w:divBdr>
                                        <w:top w:val="none" w:sz="0" w:space="0" w:color="auto"/>
                                        <w:left w:val="none" w:sz="0" w:space="0" w:color="auto"/>
                                        <w:bottom w:val="none" w:sz="0" w:space="0" w:color="auto"/>
                                        <w:right w:val="none" w:sz="0" w:space="0" w:color="auto"/>
                                      </w:divBdr>
                                      <w:divsChild>
                                        <w:div w:id="43197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273758">
      <w:bodyDiv w:val="1"/>
      <w:marLeft w:val="0"/>
      <w:marRight w:val="0"/>
      <w:marTop w:val="0"/>
      <w:marBottom w:val="0"/>
      <w:divBdr>
        <w:top w:val="none" w:sz="0" w:space="0" w:color="auto"/>
        <w:left w:val="none" w:sz="0" w:space="0" w:color="auto"/>
        <w:bottom w:val="none" w:sz="0" w:space="0" w:color="auto"/>
        <w:right w:val="none" w:sz="0" w:space="0" w:color="auto"/>
      </w:divBdr>
      <w:divsChild>
        <w:div w:id="1039010284">
          <w:marLeft w:val="0"/>
          <w:marRight w:val="0"/>
          <w:marTop w:val="0"/>
          <w:marBottom w:val="0"/>
          <w:divBdr>
            <w:top w:val="none" w:sz="0" w:space="0" w:color="auto"/>
            <w:left w:val="none" w:sz="0" w:space="0" w:color="auto"/>
            <w:bottom w:val="none" w:sz="0" w:space="0" w:color="auto"/>
            <w:right w:val="none" w:sz="0" w:space="0" w:color="auto"/>
          </w:divBdr>
          <w:divsChild>
            <w:div w:id="1575238949">
              <w:marLeft w:val="0"/>
              <w:marRight w:val="0"/>
              <w:marTop w:val="0"/>
              <w:marBottom w:val="0"/>
              <w:divBdr>
                <w:top w:val="none" w:sz="0" w:space="0" w:color="auto"/>
                <w:left w:val="none" w:sz="0" w:space="0" w:color="auto"/>
                <w:bottom w:val="none" w:sz="0" w:space="0" w:color="auto"/>
                <w:right w:val="none" w:sz="0" w:space="0" w:color="auto"/>
              </w:divBdr>
              <w:divsChild>
                <w:div w:id="1910341400">
                  <w:marLeft w:val="0"/>
                  <w:marRight w:val="0"/>
                  <w:marTop w:val="0"/>
                  <w:marBottom w:val="0"/>
                  <w:divBdr>
                    <w:top w:val="none" w:sz="0" w:space="0" w:color="auto"/>
                    <w:left w:val="none" w:sz="0" w:space="0" w:color="auto"/>
                    <w:bottom w:val="none" w:sz="0" w:space="0" w:color="auto"/>
                    <w:right w:val="none" w:sz="0" w:space="0" w:color="auto"/>
                  </w:divBdr>
                  <w:divsChild>
                    <w:div w:id="2017925034">
                      <w:marLeft w:val="0"/>
                      <w:marRight w:val="0"/>
                      <w:marTop w:val="0"/>
                      <w:marBottom w:val="0"/>
                      <w:divBdr>
                        <w:top w:val="none" w:sz="0" w:space="0" w:color="auto"/>
                        <w:left w:val="none" w:sz="0" w:space="0" w:color="auto"/>
                        <w:bottom w:val="none" w:sz="0" w:space="0" w:color="auto"/>
                        <w:right w:val="none" w:sz="0" w:space="0" w:color="auto"/>
                      </w:divBdr>
                      <w:divsChild>
                        <w:div w:id="1420635212">
                          <w:marLeft w:val="0"/>
                          <w:marRight w:val="0"/>
                          <w:marTop w:val="0"/>
                          <w:marBottom w:val="0"/>
                          <w:divBdr>
                            <w:top w:val="none" w:sz="0" w:space="0" w:color="auto"/>
                            <w:left w:val="none" w:sz="0" w:space="0" w:color="auto"/>
                            <w:bottom w:val="none" w:sz="0" w:space="0" w:color="auto"/>
                            <w:right w:val="none" w:sz="0" w:space="0" w:color="auto"/>
                          </w:divBdr>
                          <w:divsChild>
                            <w:div w:id="1301419976">
                              <w:marLeft w:val="0"/>
                              <w:marRight w:val="0"/>
                              <w:marTop w:val="0"/>
                              <w:marBottom w:val="0"/>
                              <w:divBdr>
                                <w:top w:val="none" w:sz="0" w:space="0" w:color="auto"/>
                                <w:left w:val="none" w:sz="0" w:space="0" w:color="auto"/>
                                <w:bottom w:val="none" w:sz="0" w:space="0" w:color="auto"/>
                                <w:right w:val="none" w:sz="0" w:space="0" w:color="auto"/>
                              </w:divBdr>
                              <w:divsChild>
                                <w:div w:id="827861607">
                                  <w:marLeft w:val="0"/>
                                  <w:marRight w:val="0"/>
                                  <w:marTop w:val="0"/>
                                  <w:marBottom w:val="0"/>
                                  <w:divBdr>
                                    <w:top w:val="none" w:sz="0" w:space="0" w:color="auto"/>
                                    <w:left w:val="none" w:sz="0" w:space="0" w:color="auto"/>
                                    <w:bottom w:val="none" w:sz="0" w:space="0" w:color="auto"/>
                                    <w:right w:val="none" w:sz="0" w:space="0" w:color="auto"/>
                                  </w:divBdr>
                                  <w:divsChild>
                                    <w:div w:id="618142803">
                                      <w:marLeft w:val="0"/>
                                      <w:marRight w:val="0"/>
                                      <w:marTop w:val="0"/>
                                      <w:marBottom w:val="0"/>
                                      <w:divBdr>
                                        <w:top w:val="none" w:sz="0" w:space="0" w:color="auto"/>
                                        <w:left w:val="none" w:sz="0" w:space="0" w:color="auto"/>
                                        <w:bottom w:val="none" w:sz="0" w:space="0" w:color="auto"/>
                                        <w:right w:val="none" w:sz="0" w:space="0" w:color="auto"/>
                                      </w:divBdr>
                                      <w:divsChild>
                                        <w:div w:id="31125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540735">
      <w:bodyDiv w:val="1"/>
      <w:marLeft w:val="0"/>
      <w:marRight w:val="0"/>
      <w:marTop w:val="0"/>
      <w:marBottom w:val="0"/>
      <w:divBdr>
        <w:top w:val="none" w:sz="0" w:space="0" w:color="auto"/>
        <w:left w:val="none" w:sz="0" w:space="0" w:color="auto"/>
        <w:bottom w:val="none" w:sz="0" w:space="0" w:color="auto"/>
        <w:right w:val="none" w:sz="0" w:space="0" w:color="auto"/>
      </w:divBdr>
      <w:divsChild>
        <w:div w:id="605695202">
          <w:marLeft w:val="0"/>
          <w:marRight w:val="0"/>
          <w:marTop w:val="0"/>
          <w:marBottom w:val="150"/>
          <w:divBdr>
            <w:top w:val="none" w:sz="0" w:space="0" w:color="auto"/>
            <w:left w:val="none" w:sz="0" w:space="0" w:color="auto"/>
            <w:bottom w:val="none" w:sz="0" w:space="0" w:color="auto"/>
            <w:right w:val="none" w:sz="0" w:space="0" w:color="auto"/>
          </w:divBdr>
        </w:div>
      </w:divsChild>
    </w:div>
    <w:div w:id="444543646">
      <w:bodyDiv w:val="1"/>
      <w:marLeft w:val="0"/>
      <w:marRight w:val="0"/>
      <w:marTop w:val="0"/>
      <w:marBottom w:val="0"/>
      <w:divBdr>
        <w:top w:val="none" w:sz="0" w:space="0" w:color="auto"/>
        <w:left w:val="none" w:sz="0" w:space="0" w:color="auto"/>
        <w:bottom w:val="none" w:sz="0" w:space="0" w:color="auto"/>
        <w:right w:val="none" w:sz="0" w:space="0" w:color="auto"/>
      </w:divBdr>
      <w:divsChild>
        <w:div w:id="2095514595">
          <w:marLeft w:val="0"/>
          <w:marRight w:val="0"/>
          <w:marTop w:val="0"/>
          <w:marBottom w:val="0"/>
          <w:divBdr>
            <w:top w:val="none" w:sz="0" w:space="0" w:color="auto"/>
            <w:left w:val="none" w:sz="0" w:space="0" w:color="auto"/>
            <w:bottom w:val="none" w:sz="0" w:space="0" w:color="auto"/>
            <w:right w:val="none" w:sz="0" w:space="0" w:color="auto"/>
          </w:divBdr>
        </w:div>
      </w:divsChild>
    </w:div>
    <w:div w:id="444622749">
      <w:bodyDiv w:val="1"/>
      <w:marLeft w:val="0"/>
      <w:marRight w:val="0"/>
      <w:marTop w:val="0"/>
      <w:marBottom w:val="0"/>
      <w:divBdr>
        <w:top w:val="none" w:sz="0" w:space="0" w:color="auto"/>
        <w:left w:val="none" w:sz="0" w:space="0" w:color="auto"/>
        <w:bottom w:val="none" w:sz="0" w:space="0" w:color="auto"/>
        <w:right w:val="none" w:sz="0" w:space="0" w:color="auto"/>
      </w:divBdr>
      <w:divsChild>
        <w:div w:id="788279830">
          <w:marLeft w:val="0"/>
          <w:marRight w:val="0"/>
          <w:marTop w:val="0"/>
          <w:marBottom w:val="0"/>
          <w:divBdr>
            <w:top w:val="none" w:sz="0" w:space="0" w:color="auto"/>
            <w:left w:val="none" w:sz="0" w:space="0" w:color="auto"/>
            <w:bottom w:val="none" w:sz="0" w:space="0" w:color="auto"/>
            <w:right w:val="none" w:sz="0" w:space="0" w:color="auto"/>
          </w:divBdr>
        </w:div>
      </w:divsChild>
    </w:div>
    <w:div w:id="444927973">
      <w:bodyDiv w:val="1"/>
      <w:marLeft w:val="0"/>
      <w:marRight w:val="0"/>
      <w:marTop w:val="0"/>
      <w:marBottom w:val="0"/>
      <w:divBdr>
        <w:top w:val="none" w:sz="0" w:space="0" w:color="auto"/>
        <w:left w:val="none" w:sz="0" w:space="0" w:color="auto"/>
        <w:bottom w:val="none" w:sz="0" w:space="0" w:color="auto"/>
        <w:right w:val="none" w:sz="0" w:space="0" w:color="auto"/>
      </w:divBdr>
      <w:divsChild>
        <w:div w:id="1147747963">
          <w:marLeft w:val="0"/>
          <w:marRight w:val="0"/>
          <w:marTop w:val="0"/>
          <w:marBottom w:val="0"/>
          <w:divBdr>
            <w:top w:val="none" w:sz="0" w:space="0" w:color="auto"/>
            <w:left w:val="none" w:sz="0" w:space="0" w:color="auto"/>
            <w:bottom w:val="none" w:sz="0" w:space="0" w:color="auto"/>
            <w:right w:val="none" w:sz="0" w:space="0" w:color="auto"/>
          </w:divBdr>
          <w:divsChild>
            <w:div w:id="45915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345274">
      <w:bodyDiv w:val="1"/>
      <w:marLeft w:val="0"/>
      <w:marRight w:val="0"/>
      <w:marTop w:val="0"/>
      <w:marBottom w:val="0"/>
      <w:divBdr>
        <w:top w:val="none" w:sz="0" w:space="0" w:color="auto"/>
        <w:left w:val="none" w:sz="0" w:space="0" w:color="auto"/>
        <w:bottom w:val="none" w:sz="0" w:space="0" w:color="auto"/>
        <w:right w:val="none" w:sz="0" w:space="0" w:color="auto"/>
      </w:divBdr>
    </w:div>
    <w:div w:id="445466377">
      <w:bodyDiv w:val="1"/>
      <w:marLeft w:val="0"/>
      <w:marRight w:val="0"/>
      <w:marTop w:val="0"/>
      <w:marBottom w:val="0"/>
      <w:divBdr>
        <w:top w:val="none" w:sz="0" w:space="0" w:color="auto"/>
        <w:left w:val="none" w:sz="0" w:space="0" w:color="auto"/>
        <w:bottom w:val="none" w:sz="0" w:space="0" w:color="auto"/>
        <w:right w:val="none" w:sz="0" w:space="0" w:color="auto"/>
      </w:divBdr>
      <w:divsChild>
        <w:div w:id="1607076925">
          <w:marLeft w:val="0"/>
          <w:marRight w:val="0"/>
          <w:marTop w:val="0"/>
          <w:marBottom w:val="0"/>
          <w:divBdr>
            <w:top w:val="none" w:sz="0" w:space="0" w:color="auto"/>
            <w:left w:val="none" w:sz="0" w:space="0" w:color="auto"/>
            <w:bottom w:val="dotted" w:sz="6" w:space="4" w:color="DDDDDD"/>
            <w:right w:val="none" w:sz="0" w:space="0" w:color="auto"/>
          </w:divBdr>
          <w:divsChild>
            <w:div w:id="153276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854458">
      <w:bodyDiv w:val="1"/>
      <w:marLeft w:val="0"/>
      <w:marRight w:val="0"/>
      <w:marTop w:val="0"/>
      <w:marBottom w:val="0"/>
      <w:divBdr>
        <w:top w:val="none" w:sz="0" w:space="0" w:color="auto"/>
        <w:left w:val="none" w:sz="0" w:space="0" w:color="auto"/>
        <w:bottom w:val="none" w:sz="0" w:space="0" w:color="auto"/>
        <w:right w:val="none" w:sz="0" w:space="0" w:color="auto"/>
      </w:divBdr>
      <w:divsChild>
        <w:div w:id="441151853">
          <w:marLeft w:val="0"/>
          <w:marRight w:val="0"/>
          <w:marTop w:val="0"/>
          <w:marBottom w:val="0"/>
          <w:divBdr>
            <w:top w:val="single" w:sz="6" w:space="0" w:color="E5E5E5"/>
            <w:left w:val="none" w:sz="0" w:space="0" w:color="auto"/>
            <w:bottom w:val="single" w:sz="18" w:space="0" w:color="000000"/>
            <w:right w:val="none" w:sz="0" w:space="0" w:color="auto"/>
          </w:divBdr>
          <w:divsChild>
            <w:div w:id="1792430944">
              <w:marLeft w:val="0"/>
              <w:marRight w:val="0"/>
              <w:marTop w:val="0"/>
              <w:marBottom w:val="0"/>
              <w:divBdr>
                <w:top w:val="none" w:sz="0" w:space="0" w:color="auto"/>
                <w:left w:val="none" w:sz="0" w:space="0" w:color="auto"/>
                <w:bottom w:val="none" w:sz="0" w:space="0" w:color="auto"/>
                <w:right w:val="none" w:sz="0" w:space="0" w:color="auto"/>
              </w:divBdr>
              <w:divsChild>
                <w:div w:id="120687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536419">
          <w:marLeft w:val="0"/>
          <w:marRight w:val="0"/>
          <w:marTop w:val="0"/>
          <w:marBottom w:val="0"/>
          <w:divBdr>
            <w:top w:val="none" w:sz="0" w:space="0" w:color="auto"/>
            <w:left w:val="none" w:sz="0" w:space="0" w:color="auto"/>
            <w:bottom w:val="none" w:sz="0" w:space="0" w:color="auto"/>
            <w:right w:val="none" w:sz="0" w:space="0" w:color="auto"/>
          </w:divBdr>
          <w:divsChild>
            <w:div w:id="1839080347">
              <w:marLeft w:val="0"/>
              <w:marRight w:val="0"/>
              <w:marTop w:val="0"/>
              <w:marBottom w:val="0"/>
              <w:divBdr>
                <w:top w:val="none" w:sz="0" w:space="0" w:color="auto"/>
                <w:left w:val="none" w:sz="0" w:space="0" w:color="auto"/>
                <w:bottom w:val="none" w:sz="0" w:space="0" w:color="auto"/>
                <w:right w:val="none" w:sz="0" w:space="0" w:color="auto"/>
              </w:divBdr>
              <w:divsChild>
                <w:div w:id="866599620">
                  <w:marLeft w:val="0"/>
                  <w:marRight w:val="0"/>
                  <w:marTop w:val="0"/>
                  <w:marBottom w:val="0"/>
                  <w:divBdr>
                    <w:top w:val="none" w:sz="0" w:space="0" w:color="auto"/>
                    <w:left w:val="none" w:sz="0" w:space="0" w:color="auto"/>
                    <w:bottom w:val="none" w:sz="0" w:space="0" w:color="auto"/>
                    <w:right w:val="none" w:sz="0" w:space="0" w:color="auto"/>
                  </w:divBdr>
                  <w:divsChild>
                    <w:div w:id="546649500">
                      <w:marLeft w:val="0"/>
                      <w:marRight w:val="0"/>
                      <w:marTop w:val="0"/>
                      <w:marBottom w:val="300"/>
                      <w:divBdr>
                        <w:top w:val="none" w:sz="0" w:space="0" w:color="auto"/>
                        <w:left w:val="none" w:sz="0" w:space="0" w:color="auto"/>
                        <w:bottom w:val="none" w:sz="0" w:space="0" w:color="auto"/>
                        <w:right w:val="none" w:sz="0" w:space="0" w:color="auto"/>
                      </w:divBdr>
                      <w:divsChild>
                        <w:div w:id="1872068564">
                          <w:marLeft w:val="0"/>
                          <w:marRight w:val="0"/>
                          <w:marTop w:val="0"/>
                          <w:marBottom w:val="225"/>
                          <w:divBdr>
                            <w:top w:val="single" w:sz="6" w:space="11" w:color="E5E5E5"/>
                            <w:left w:val="single" w:sz="6" w:space="11" w:color="E5E5E5"/>
                            <w:bottom w:val="single" w:sz="6" w:space="1" w:color="E5E5E5"/>
                            <w:right w:val="single" w:sz="6" w:space="11" w:color="E5E5E5"/>
                          </w:divBdr>
                          <w:divsChild>
                            <w:div w:id="211544401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447313276">
      <w:bodyDiv w:val="1"/>
      <w:marLeft w:val="0"/>
      <w:marRight w:val="0"/>
      <w:marTop w:val="0"/>
      <w:marBottom w:val="0"/>
      <w:divBdr>
        <w:top w:val="none" w:sz="0" w:space="0" w:color="auto"/>
        <w:left w:val="none" w:sz="0" w:space="0" w:color="auto"/>
        <w:bottom w:val="none" w:sz="0" w:space="0" w:color="auto"/>
        <w:right w:val="none" w:sz="0" w:space="0" w:color="auto"/>
      </w:divBdr>
    </w:div>
    <w:div w:id="447431739">
      <w:bodyDiv w:val="1"/>
      <w:marLeft w:val="0"/>
      <w:marRight w:val="0"/>
      <w:marTop w:val="0"/>
      <w:marBottom w:val="0"/>
      <w:divBdr>
        <w:top w:val="none" w:sz="0" w:space="0" w:color="auto"/>
        <w:left w:val="none" w:sz="0" w:space="0" w:color="auto"/>
        <w:bottom w:val="none" w:sz="0" w:space="0" w:color="auto"/>
        <w:right w:val="none" w:sz="0" w:space="0" w:color="auto"/>
      </w:divBdr>
      <w:divsChild>
        <w:div w:id="1753507734">
          <w:marLeft w:val="0"/>
          <w:marRight w:val="0"/>
          <w:marTop w:val="0"/>
          <w:marBottom w:val="0"/>
          <w:divBdr>
            <w:top w:val="none" w:sz="0" w:space="0" w:color="auto"/>
            <w:left w:val="none" w:sz="0" w:space="0" w:color="auto"/>
            <w:bottom w:val="dotted" w:sz="6" w:space="4" w:color="DDDDDD"/>
            <w:right w:val="none" w:sz="0" w:space="0" w:color="auto"/>
          </w:divBdr>
          <w:divsChild>
            <w:div w:id="181320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941141">
      <w:bodyDiv w:val="1"/>
      <w:marLeft w:val="0"/>
      <w:marRight w:val="0"/>
      <w:marTop w:val="0"/>
      <w:marBottom w:val="0"/>
      <w:divBdr>
        <w:top w:val="none" w:sz="0" w:space="0" w:color="auto"/>
        <w:left w:val="none" w:sz="0" w:space="0" w:color="auto"/>
        <w:bottom w:val="none" w:sz="0" w:space="0" w:color="auto"/>
        <w:right w:val="none" w:sz="0" w:space="0" w:color="auto"/>
      </w:divBdr>
      <w:divsChild>
        <w:div w:id="1004481119">
          <w:marLeft w:val="0"/>
          <w:marRight w:val="0"/>
          <w:marTop w:val="0"/>
          <w:marBottom w:val="0"/>
          <w:divBdr>
            <w:top w:val="none" w:sz="0" w:space="0" w:color="auto"/>
            <w:left w:val="none" w:sz="0" w:space="0" w:color="auto"/>
            <w:bottom w:val="none" w:sz="0" w:space="0" w:color="auto"/>
            <w:right w:val="none" w:sz="0" w:space="0" w:color="auto"/>
          </w:divBdr>
          <w:divsChild>
            <w:div w:id="1994987466">
              <w:marLeft w:val="0"/>
              <w:marRight w:val="0"/>
              <w:marTop w:val="0"/>
              <w:marBottom w:val="300"/>
              <w:divBdr>
                <w:top w:val="none" w:sz="0" w:space="0" w:color="auto"/>
                <w:left w:val="none" w:sz="0" w:space="0" w:color="auto"/>
                <w:bottom w:val="single" w:sz="6" w:space="0" w:color="E4E4E4"/>
                <w:right w:val="none" w:sz="0" w:space="0" w:color="auto"/>
              </w:divBdr>
            </w:div>
          </w:divsChild>
        </w:div>
        <w:div w:id="1668513168">
          <w:marLeft w:val="0"/>
          <w:marRight w:val="0"/>
          <w:marTop w:val="0"/>
          <w:marBottom w:val="0"/>
          <w:divBdr>
            <w:top w:val="none" w:sz="0" w:space="0" w:color="auto"/>
            <w:left w:val="none" w:sz="0" w:space="0" w:color="auto"/>
            <w:bottom w:val="none" w:sz="0" w:space="0" w:color="auto"/>
            <w:right w:val="none" w:sz="0" w:space="0" w:color="auto"/>
          </w:divBdr>
          <w:divsChild>
            <w:div w:id="502821505">
              <w:marLeft w:val="0"/>
              <w:marRight w:val="0"/>
              <w:marTop w:val="0"/>
              <w:marBottom w:val="0"/>
              <w:divBdr>
                <w:top w:val="none" w:sz="0" w:space="0" w:color="auto"/>
                <w:left w:val="none" w:sz="0" w:space="0" w:color="auto"/>
                <w:bottom w:val="none" w:sz="0" w:space="0" w:color="auto"/>
                <w:right w:val="none" w:sz="0" w:space="0" w:color="auto"/>
              </w:divBdr>
              <w:divsChild>
                <w:div w:id="1777094262">
                  <w:marLeft w:val="0"/>
                  <w:marRight w:val="0"/>
                  <w:marTop w:val="0"/>
                  <w:marBottom w:val="0"/>
                  <w:divBdr>
                    <w:top w:val="none" w:sz="0" w:space="0" w:color="auto"/>
                    <w:left w:val="none" w:sz="0" w:space="0" w:color="auto"/>
                    <w:bottom w:val="none" w:sz="0" w:space="0" w:color="auto"/>
                    <w:right w:val="none" w:sz="0" w:space="0" w:color="auto"/>
                  </w:divBdr>
                  <w:divsChild>
                    <w:div w:id="1808208593">
                      <w:marLeft w:val="0"/>
                      <w:marRight w:val="0"/>
                      <w:marTop w:val="0"/>
                      <w:marBottom w:val="450"/>
                      <w:divBdr>
                        <w:top w:val="none" w:sz="0" w:space="0" w:color="auto"/>
                        <w:left w:val="none" w:sz="0" w:space="0" w:color="auto"/>
                        <w:bottom w:val="none" w:sz="0" w:space="0" w:color="auto"/>
                        <w:right w:val="none" w:sz="0" w:space="0" w:color="auto"/>
                      </w:divBdr>
                      <w:divsChild>
                        <w:div w:id="1416708440">
                          <w:marLeft w:val="0"/>
                          <w:marRight w:val="0"/>
                          <w:marTop w:val="0"/>
                          <w:marBottom w:val="0"/>
                          <w:divBdr>
                            <w:top w:val="none" w:sz="0" w:space="0" w:color="auto"/>
                            <w:left w:val="none" w:sz="0" w:space="0" w:color="auto"/>
                            <w:bottom w:val="none" w:sz="0" w:space="0" w:color="auto"/>
                            <w:right w:val="none" w:sz="0" w:space="0" w:color="auto"/>
                          </w:divBdr>
                          <w:divsChild>
                            <w:div w:id="1411803953">
                              <w:marLeft w:val="0"/>
                              <w:marRight w:val="0"/>
                              <w:marTop w:val="0"/>
                              <w:marBottom w:val="0"/>
                              <w:divBdr>
                                <w:top w:val="none" w:sz="0" w:space="0" w:color="auto"/>
                                <w:left w:val="none" w:sz="0" w:space="0" w:color="auto"/>
                                <w:bottom w:val="none" w:sz="0" w:space="0" w:color="auto"/>
                                <w:right w:val="none" w:sz="0" w:space="0" w:color="auto"/>
                              </w:divBdr>
                            </w:div>
                            <w:div w:id="1713116469">
                              <w:marLeft w:val="0"/>
                              <w:marRight w:val="0"/>
                              <w:marTop w:val="0"/>
                              <w:marBottom w:val="150"/>
                              <w:divBdr>
                                <w:top w:val="none" w:sz="0" w:space="0" w:color="auto"/>
                                <w:left w:val="none" w:sz="0" w:space="0" w:color="auto"/>
                                <w:bottom w:val="none" w:sz="0" w:space="0" w:color="auto"/>
                                <w:right w:val="none" w:sz="0" w:space="0" w:color="auto"/>
                              </w:divBdr>
                            </w:div>
                          </w:divsChild>
                        </w:div>
                        <w:div w:id="1612979815">
                          <w:marLeft w:val="0"/>
                          <w:marRight w:val="0"/>
                          <w:marTop w:val="0"/>
                          <w:marBottom w:val="150"/>
                          <w:divBdr>
                            <w:top w:val="none" w:sz="0" w:space="0" w:color="auto"/>
                            <w:left w:val="none" w:sz="0" w:space="0" w:color="auto"/>
                            <w:bottom w:val="none" w:sz="0" w:space="0" w:color="auto"/>
                            <w:right w:val="none" w:sz="0" w:space="0" w:color="auto"/>
                          </w:divBdr>
                          <w:divsChild>
                            <w:div w:id="4471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460802">
          <w:marLeft w:val="0"/>
          <w:marRight w:val="0"/>
          <w:marTop w:val="0"/>
          <w:marBottom w:val="375"/>
          <w:divBdr>
            <w:top w:val="none" w:sz="0" w:space="0" w:color="auto"/>
            <w:left w:val="none" w:sz="0" w:space="0" w:color="auto"/>
            <w:bottom w:val="single" w:sz="6" w:space="0" w:color="005494"/>
            <w:right w:val="none" w:sz="0" w:space="0" w:color="auto"/>
          </w:divBdr>
        </w:div>
      </w:divsChild>
    </w:div>
    <w:div w:id="447969370">
      <w:bodyDiv w:val="1"/>
      <w:marLeft w:val="0"/>
      <w:marRight w:val="0"/>
      <w:marTop w:val="0"/>
      <w:marBottom w:val="0"/>
      <w:divBdr>
        <w:top w:val="none" w:sz="0" w:space="0" w:color="auto"/>
        <w:left w:val="none" w:sz="0" w:space="0" w:color="auto"/>
        <w:bottom w:val="none" w:sz="0" w:space="0" w:color="auto"/>
        <w:right w:val="none" w:sz="0" w:space="0" w:color="auto"/>
      </w:divBdr>
      <w:divsChild>
        <w:div w:id="891424743">
          <w:marLeft w:val="0"/>
          <w:marRight w:val="0"/>
          <w:marTop w:val="0"/>
          <w:marBottom w:val="0"/>
          <w:divBdr>
            <w:top w:val="none" w:sz="0" w:space="0" w:color="auto"/>
            <w:left w:val="none" w:sz="0" w:space="0" w:color="auto"/>
            <w:bottom w:val="none" w:sz="0" w:space="0" w:color="auto"/>
            <w:right w:val="none" w:sz="0" w:space="0" w:color="auto"/>
          </w:divBdr>
          <w:divsChild>
            <w:div w:id="348339025">
              <w:marLeft w:val="0"/>
              <w:marRight w:val="0"/>
              <w:marTop w:val="0"/>
              <w:marBottom w:val="225"/>
              <w:divBdr>
                <w:top w:val="none" w:sz="0" w:space="0" w:color="auto"/>
                <w:left w:val="none" w:sz="0" w:space="0" w:color="auto"/>
                <w:bottom w:val="none" w:sz="0" w:space="0" w:color="auto"/>
                <w:right w:val="none" w:sz="0" w:space="0" w:color="auto"/>
              </w:divBdr>
              <w:divsChild>
                <w:div w:id="573509867">
                  <w:marLeft w:val="750"/>
                  <w:marRight w:val="0"/>
                  <w:marTop w:val="0"/>
                  <w:marBottom w:val="225"/>
                  <w:divBdr>
                    <w:top w:val="none" w:sz="0" w:space="0" w:color="auto"/>
                    <w:left w:val="none" w:sz="0" w:space="0" w:color="auto"/>
                    <w:bottom w:val="none" w:sz="0" w:space="0" w:color="auto"/>
                    <w:right w:val="none" w:sz="0" w:space="0" w:color="auto"/>
                  </w:divBdr>
                </w:div>
              </w:divsChild>
            </w:div>
            <w:div w:id="1527673618">
              <w:marLeft w:val="0"/>
              <w:marRight w:val="0"/>
              <w:marTop w:val="0"/>
              <w:marBottom w:val="225"/>
              <w:divBdr>
                <w:top w:val="none" w:sz="0" w:space="0" w:color="auto"/>
                <w:left w:val="none" w:sz="0" w:space="0" w:color="auto"/>
                <w:bottom w:val="none" w:sz="0" w:space="0" w:color="auto"/>
                <w:right w:val="none" w:sz="0" w:space="0" w:color="auto"/>
              </w:divBdr>
              <w:divsChild>
                <w:div w:id="150339874">
                  <w:marLeft w:val="0"/>
                  <w:marRight w:val="0"/>
                  <w:marTop w:val="0"/>
                  <w:marBottom w:val="150"/>
                  <w:divBdr>
                    <w:top w:val="none" w:sz="0" w:space="0" w:color="auto"/>
                    <w:left w:val="none" w:sz="0" w:space="0" w:color="auto"/>
                    <w:bottom w:val="none" w:sz="0" w:space="0" w:color="auto"/>
                    <w:right w:val="none" w:sz="0" w:space="0" w:color="auto"/>
                  </w:divBdr>
                </w:div>
                <w:div w:id="259685701">
                  <w:marLeft w:val="0"/>
                  <w:marRight w:val="0"/>
                  <w:marTop w:val="0"/>
                  <w:marBottom w:val="150"/>
                  <w:divBdr>
                    <w:top w:val="none" w:sz="0" w:space="0" w:color="auto"/>
                    <w:left w:val="none" w:sz="0" w:space="0" w:color="auto"/>
                    <w:bottom w:val="none" w:sz="0" w:space="0" w:color="auto"/>
                    <w:right w:val="none" w:sz="0" w:space="0" w:color="auto"/>
                  </w:divBdr>
                </w:div>
                <w:div w:id="567763605">
                  <w:marLeft w:val="0"/>
                  <w:marRight w:val="0"/>
                  <w:marTop w:val="0"/>
                  <w:marBottom w:val="150"/>
                  <w:divBdr>
                    <w:top w:val="none" w:sz="0" w:space="0" w:color="auto"/>
                    <w:left w:val="none" w:sz="0" w:space="0" w:color="auto"/>
                    <w:bottom w:val="none" w:sz="0" w:space="0" w:color="auto"/>
                    <w:right w:val="none" w:sz="0" w:space="0" w:color="auto"/>
                  </w:divBdr>
                </w:div>
                <w:div w:id="640159195">
                  <w:marLeft w:val="0"/>
                  <w:marRight w:val="0"/>
                  <w:marTop w:val="0"/>
                  <w:marBottom w:val="150"/>
                  <w:divBdr>
                    <w:top w:val="none" w:sz="0" w:space="0" w:color="auto"/>
                    <w:left w:val="none" w:sz="0" w:space="0" w:color="auto"/>
                    <w:bottom w:val="none" w:sz="0" w:space="0" w:color="auto"/>
                    <w:right w:val="none" w:sz="0" w:space="0" w:color="auto"/>
                  </w:divBdr>
                  <w:divsChild>
                    <w:div w:id="556742397">
                      <w:marLeft w:val="0"/>
                      <w:marRight w:val="0"/>
                      <w:marTop w:val="0"/>
                      <w:marBottom w:val="150"/>
                      <w:divBdr>
                        <w:top w:val="none" w:sz="0" w:space="0" w:color="auto"/>
                        <w:left w:val="none" w:sz="0" w:space="0" w:color="auto"/>
                        <w:bottom w:val="none" w:sz="0" w:space="0" w:color="auto"/>
                        <w:right w:val="none" w:sz="0" w:space="0" w:color="auto"/>
                      </w:divBdr>
                      <w:divsChild>
                        <w:div w:id="2664699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9607326">
                  <w:marLeft w:val="0"/>
                  <w:marRight w:val="0"/>
                  <w:marTop w:val="0"/>
                  <w:marBottom w:val="150"/>
                  <w:divBdr>
                    <w:top w:val="none" w:sz="0" w:space="0" w:color="auto"/>
                    <w:left w:val="none" w:sz="0" w:space="0" w:color="auto"/>
                    <w:bottom w:val="none" w:sz="0" w:space="0" w:color="auto"/>
                    <w:right w:val="none" w:sz="0" w:space="0" w:color="auto"/>
                  </w:divBdr>
                </w:div>
                <w:div w:id="1895388802">
                  <w:marLeft w:val="0"/>
                  <w:marRight w:val="0"/>
                  <w:marTop w:val="0"/>
                  <w:marBottom w:val="150"/>
                  <w:divBdr>
                    <w:top w:val="none" w:sz="0" w:space="0" w:color="auto"/>
                    <w:left w:val="none" w:sz="0" w:space="0" w:color="auto"/>
                    <w:bottom w:val="none" w:sz="0" w:space="0" w:color="auto"/>
                    <w:right w:val="none" w:sz="0" w:space="0" w:color="auto"/>
                  </w:divBdr>
                </w:div>
                <w:div w:id="1915048768">
                  <w:marLeft w:val="0"/>
                  <w:marRight w:val="0"/>
                  <w:marTop w:val="0"/>
                  <w:marBottom w:val="150"/>
                  <w:divBdr>
                    <w:top w:val="none" w:sz="0" w:space="0" w:color="auto"/>
                    <w:left w:val="none" w:sz="0" w:space="0" w:color="auto"/>
                    <w:bottom w:val="none" w:sz="0" w:space="0" w:color="auto"/>
                    <w:right w:val="none" w:sz="0" w:space="0" w:color="auto"/>
                  </w:divBdr>
                </w:div>
                <w:div w:id="2056660124">
                  <w:marLeft w:val="0"/>
                  <w:marRight w:val="0"/>
                  <w:marTop w:val="0"/>
                  <w:marBottom w:val="150"/>
                  <w:divBdr>
                    <w:top w:val="none" w:sz="0" w:space="0" w:color="auto"/>
                    <w:left w:val="none" w:sz="0" w:space="0" w:color="auto"/>
                    <w:bottom w:val="none" w:sz="0" w:space="0" w:color="auto"/>
                    <w:right w:val="none" w:sz="0" w:space="0" w:color="auto"/>
                  </w:divBdr>
                  <w:divsChild>
                    <w:div w:id="577053850">
                      <w:marLeft w:val="0"/>
                      <w:marRight w:val="0"/>
                      <w:marTop w:val="0"/>
                      <w:marBottom w:val="150"/>
                      <w:divBdr>
                        <w:top w:val="none" w:sz="0" w:space="0" w:color="auto"/>
                        <w:left w:val="none" w:sz="0" w:space="0" w:color="auto"/>
                        <w:bottom w:val="none" w:sz="0" w:space="0" w:color="auto"/>
                        <w:right w:val="none" w:sz="0" w:space="0" w:color="auto"/>
                      </w:divBdr>
                    </w:div>
                    <w:div w:id="12564728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24742338">
          <w:marLeft w:val="0"/>
          <w:marRight w:val="0"/>
          <w:marTop w:val="0"/>
          <w:marBottom w:val="150"/>
          <w:divBdr>
            <w:top w:val="none" w:sz="0" w:space="0" w:color="auto"/>
            <w:left w:val="none" w:sz="0" w:space="0" w:color="auto"/>
            <w:bottom w:val="none" w:sz="0" w:space="0" w:color="auto"/>
            <w:right w:val="none" w:sz="0" w:space="0" w:color="auto"/>
          </w:divBdr>
        </w:div>
      </w:divsChild>
    </w:div>
    <w:div w:id="448206136">
      <w:bodyDiv w:val="1"/>
      <w:marLeft w:val="0"/>
      <w:marRight w:val="0"/>
      <w:marTop w:val="0"/>
      <w:marBottom w:val="0"/>
      <w:divBdr>
        <w:top w:val="none" w:sz="0" w:space="0" w:color="auto"/>
        <w:left w:val="none" w:sz="0" w:space="0" w:color="auto"/>
        <w:bottom w:val="none" w:sz="0" w:space="0" w:color="auto"/>
        <w:right w:val="none" w:sz="0" w:space="0" w:color="auto"/>
      </w:divBdr>
    </w:div>
    <w:div w:id="448282093">
      <w:bodyDiv w:val="1"/>
      <w:marLeft w:val="0"/>
      <w:marRight w:val="0"/>
      <w:marTop w:val="0"/>
      <w:marBottom w:val="0"/>
      <w:divBdr>
        <w:top w:val="none" w:sz="0" w:space="0" w:color="auto"/>
        <w:left w:val="none" w:sz="0" w:space="0" w:color="auto"/>
        <w:bottom w:val="none" w:sz="0" w:space="0" w:color="auto"/>
        <w:right w:val="none" w:sz="0" w:space="0" w:color="auto"/>
      </w:divBdr>
      <w:divsChild>
        <w:div w:id="739641108">
          <w:marLeft w:val="0"/>
          <w:marRight w:val="0"/>
          <w:marTop w:val="0"/>
          <w:marBottom w:val="0"/>
          <w:divBdr>
            <w:top w:val="none" w:sz="0" w:space="0" w:color="auto"/>
            <w:left w:val="none" w:sz="0" w:space="0" w:color="auto"/>
            <w:bottom w:val="dotted" w:sz="6" w:space="4" w:color="DDDDDD"/>
            <w:right w:val="none" w:sz="0" w:space="0" w:color="auto"/>
          </w:divBdr>
          <w:divsChild>
            <w:div w:id="93618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664583">
      <w:bodyDiv w:val="1"/>
      <w:marLeft w:val="0"/>
      <w:marRight w:val="0"/>
      <w:marTop w:val="0"/>
      <w:marBottom w:val="0"/>
      <w:divBdr>
        <w:top w:val="none" w:sz="0" w:space="0" w:color="auto"/>
        <w:left w:val="none" w:sz="0" w:space="0" w:color="auto"/>
        <w:bottom w:val="none" w:sz="0" w:space="0" w:color="auto"/>
        <w:right w:val="none" w:sz="0" w:space="0" w:color="auto"/>
      </w:divBdr>
    </w:div>
    <w:div w:id="448665389">
      <w:bodyDiv w:val="1"/>
      <w:marLeft w:val="0"/>
      <w:marRight w:val="0"/>
      <w:marTop w:val="0"/>
      <w:marBottom w:val="0"/>
      <w:divBdr>
        <w:top w:val="none" w:sz="0" w:space="0" w:color="auto"/>
        <w:left w:val="none" w:sz="0" w:space="0" w:color="auto"/>
        <w:bottom w:val="none" w:sz="0" w:space="0" w:color="auto"/>
        <w:right w:val="none" w:sz="0" w:space="0" w:color="auto"/>
      </w:divBdr>
      <w:divsChild>
        <w:div w:id="705451905">
          <w:marLeft w:val="0"/>
          <w:marRight w:val="0"/>
          <w:marTop w:val="0"/>
          <w:marBottom w:val="150"/>
          <w:divBdr>
            <w:top w:val="none" w:sz="0" w:space="0" w:color="auto"/>
            <w:left w:val="none" w:sz="0" w:space="0" w:color="auto"/>
            <w:bottom w:val="none" w:sz="0" w:space="0" w:color="auto"/>
            <w:right w:val="none" w:sz="0" w:space="0" w:color="auto"/>
          </w:divBdr>
        </w:div>
        <w:div w:id="860046348">
          <w:marLeft w:val="0"/>
          <w:marRight w:val="0"/>
          <w:marTop w:val="0"/>
          <w:marBottom w:val="150"/>
          <w:divBdr>
            <w:top w:val="none" w:sz="0" w:space="0" w:color="auto"/>
            <w:left w:val="none" w:sz="0" w:space="0" w:color="auto"/>
            <w:bottom w:val="none" w:sz="0" w:space="0" w:color="auto"/>
            <w:right w:val="none" w:sz="0" w:space="0" w:color="auto"/>
          </w:divBdr>
          <w:divsChild>
            <w:div w:id="56899059">
              <w:marLeft w:val="0"/>
              <w:marRight w:val="0"/>
              <w:marTop w:val="0"/>
              <w:marBottom w:val="0"/>
              <w:divBdr>
                <w:top w:val="none" w:sz="0" w:space="0" w:color="auto"/>
                <w:left w:val="none" w:sz="0" w:space="0" w:color="auto"/>
                <w:bottom w:val="none" w:sz="0" w:space="0" w:color="auto"/>
                <w:right w:val="none" w:sz="0" w:space="0" w:color="auto"/>
              </w:divBdr>
              <w:divsChild>
                <w:div w:id="72576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923755">
          <w:marLeft w:val="0"/>
          <w:marRight w:val="0"/>
          <w:marTop w:val="0"/>
          <w:marBottom w:val="0"/>
          <w:divBdr>
            <w:top w:val="none" w:sz="0" w:space="0" w:color="auto"/>
            <w:left w:val="none" w:sz="0" w:space="0" w:color="auto"/>
            <w:bottom w:val="none" w:sz="0" w:space="0" w:color="auto"/>
            <w:right w:val="none" w:sz="0" w:space="0" w:color="auto"/>
          </w:divBdr>
          <w:divsChild>
            <w:div w:id="4689354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48819283">
      <w:bodyDiv w:val="1"/>
      <w:marLeft w:val="0"/>
      <w:marRight w:val="0"/>
      <w:marTop w:val="0"/>
      <w:marBottom w:val="0"/>
      <w:divBdr>
        <w:top w:val="none" w:sz="0" w:space="0" w:color="auto"/>
        <w:left w:val="none" w:sz="0" w:space="0" w:color="auto"/>
        <w:bottom w:val="none" w:sz="0" w:space="0" w:color="auto"/>
        <w:right w:val="none" w:sz="0" w:space="0" w:color="auto"/>
      </w:divBdr>
      <w:divsChild>
        <w:div w:id="173226422">
          <w:marLeft w:val="0"/>
          <w:marRight w:val="0"/>
          <w:marTop w:val="0"/>
          <w:marBottom w:val="0"/>
          <w:divBdr>
            <w:top w:val="none" w:sz="0" w:space="0" w:color="auto"/>
            <w:left w:val="none" w:sz="0" w:space="0" w:color="auto"/>
            <w:bottom w:val="dotted" w:sz="6" w:space="4" w:color="DDDDDD"/>
            <w:right w:val="none" w:sz="0" w:space="0" w:color="auto"/>
          </w:divBdr>
          <w:divsChild>
            <w:div w:id="94018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933713">
      <w:bodyDiv w:val="1"/>
      <w:marLeft w:val="0"/>
      <w:marRight w:val="0"/>
      <w:marTop w:val="0"/>
      <w:marBottom w:val="0"/>
      <w:divBdr>
        <w:top w:val="none" w:sz="0" w:space="0" w:color="auto"/>
        <w:left w:val="none" w:sz="0" w:space="0" w:color="auto"/>
        <w:bottom w:val="none" w:sz="0" w:space="0" w:color="auto"/>
        <w:right w:val="none" w:sz="0" w:space="0" w:color="auto"/>
      </w:divBdr>
    </w:div>
    <w:div w:id="449007754">
      <w:bodyDiv w:val="1"/>
      <w:marLeft w:val="0"/>
      <w:marRight w:val="0"/>
      <w:marTop w:val="0"/>
      <w:marBottom w:val="0"/>
      <w:divBdr>
        <w:top w:val="none" w:sz="0" w:space="0" w:color="auto"/>
        <w:left w:val="none" w:sz="0" w:space="0" w:color="auto"/>
        <w:bottom w:val="none" w:sz="0" w:space="0" w:color="auto"/>
        <w:right w:val="none" w:sz="0" w:space="0" w:color="auto"/>
      </w:divBdr>
    </w:div>
    <w:div w:id="449393695">
      <w:bodyDiv w:val="1"/>
      <w:marLeft w:val="0"/>
      <w:marRight w:val="0"/>
      <w:marTop w:val="0"/>
      <w:marBottom w:val="0"/>
      <w:divBdr>
        <w:top w:val="none" w:sz="0" w:space="0" w:color="auto"/>
        <w:left w:val="none" w:sz="0" w:space="0" w:color="auto"/>
        <w:bottom w:val="none" w:sz="0" w:space="0" w:color="auto"/>
        <w:right w:val="none" w:sz="0" w:space="0" w:color="auto"/>
      </w:divBdr>
      <w:divsChild>
        <w:div w:id="968317252">
          <w:marLeft w:val="0"/>
          <w:marRight w:val="0"/>
          <w:marTop w:val="0"/>
          <w:marBottom w:val="0"/>
          <w:divBdr>
            <w:top w:val="none" w:sz="0" w:space="0" w:color="auto"/>
            <w:left w:val="none" w:sz="0" w:space="0" w:color="auto"/>
            <w:bottom w:val="none" w:sz="0" w:space="0" w:color="auto"/>
            <w:right w:val="none" w:sz="0" w:space="0" w:color="auto"/>
          </w:divBdr>
          <w:divsChild>
            <w:div w:id="1278490866">
              <w:marLeft w:val="0"/>
              <w:marRight w:val="0"/>
              <w:marTop w:val="0"/>
              <w:marBottom w:val="0"/>
              <w:divBdr>
                <w:top w:val="none" w:sz="0" w:space="0" w:color="auto"/>
                <w:left w:val="none" w:sz="0" w:space="0" w:color="auto"/>
                <w:bottom w:val="none" w:sz="0" w:space="0" w:color="auto"/>
                <w:right w:val="none" w:sz="0" w:space="0" w:color="auto"/>
              </w:divBdr>
              <w:divsChild>
                <w:div w:id="934479651">
                  <w:marLeft w:val="0"/>
                  <w:marRight w:val="0"/>
                  <w:marTop w:val="0"/>
                  <w:marBottom w:val="0"/>
                  <w:divBdr>
                    <w:top w:val="none" w:sz="0" w:space="0" w:color="auto"/>
                    <w:left w:val="none" w:sz="0" w:space="0" w:color="auto"/>
                    <w:bottom w:val="none" w:sz="0" w:space="0" w:color="auto"/>
                    <w:right w:val="none" w:sz="0" w:space="0" w:color="auto"/>
                  </w:divBdr>
                  <w:divsChild>
                    <w:div w:id="344093735">
                      <w:marLeft w:val="0"/>
                      <w:marRight w:val="0"/>
                      <w:marTop w:val="0"/>
                      <w:marBottom w:val="0"/>
                      <w:divBdr>
                        <w:top w:val="none" w:sz="0" w:space="0" w:color="auto"/>
                        <w:left w:val="none" w:sz="0" w:space="0" w:color="auto"/>
                        <w:bottom w:val="none" w:sz="0" w:space="0" w:color="auto"/>
                        <w:right w:val="none" w:sz="0" w:space="0" w:color="auto"/>
                      </w:divBdr>
                      <w:divsChild>
                        <w:div w:id="1386299103">
                          <w:marLeft w:val="0"/>
                          <w:marRight w:val="0"/>
                          <w:marTop w:val="0"/>
                          <w:marBottom w:val="0"/>
                          <w:divBdr>
                            <w:top w:val="none" w:sz="0" w:space="0" w:color="auto"/>
                            <w:left w:val="none" w:sz="0" w:space="0" w:color="auto"/>
                            <w:bottom w:val="none" w:sz="0" w:space="0" w:color="auto"/>
                            <w:right w:val="none" w:sz="0" w:space="0" w:color="auto"/>
                          </w:divBdr>
                          <w:divsChild>
                            <w:div w:id="1457334237">
                              <w:marLeft w:val="0"/>
                              <w:marRight w:val="0"/>
                              <w:marTop w:val="0"/>
                              <w:marBottom w:val="0"/>
                              <w:divBdr>
                                <w:top w:val="none" w:sz="0" w:space="0" w:color="auto"/>
                                <w:left w:val="none" w:sz="0" w:space="0" w:color="auto"/>
                                <w:bottom w:val="none" w:sz="0" w:space="0" w:color="auto"/>
                                <w:right w:val="none" w:sz="0" w:space="0" w:color="auto"/>
                              </w:divBdr>
                              <w:divsChild>
                                <w:div w:id="787431437">
                                  <w:marLeft w:val="0"/>
                                  <w:marRight w:val="0"/>
                                  <w:marTop w:val="0"/>
                                  <w:marBottom w:val="0"/>
                                  <w:divBdr>
                                    <w:top w:val="none" w:sz="0" w:space="0" w:color="auto"/>
                                    <w:left w:val="none" w:sz="0" w:space="0" w:color="auto"/>
                                    <w:bottom w:val="none" w:sz="0" w:space="0" w:color="auto"/>
                                    <w:right w:val="none" w:sz="0" w:space="0" w:color="auto"/>
                                  </w:divBdr>
                                  <w:divsChild>
                                    <w:div w:id="108823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9400284">
      <w:bodyDiv w:val="1"/>
      <w:marLeft w:val="0"/>
      <w:marRight w:val="0"/>
      <w:marTop w:val="0"/>
      <w:marBottom w:val="0"/>
      <w:divBdr>
        <w:top w:val="none" w:sz="0" w:space="0" w:color="auto"/>
        <w:left w:val="none" w:sz="0" w:space="0" w:color="auto"/>
        <w:bottom w:val="none" w:sz="0" w:space="0" w:color="auto"/>
        <w:right w:val="none" w:sz="0" w:space="0" w:color="auto"/>
      </w:divBdr>
      <w:divsChild>
        <w:div w:id="170028667">
          <w:marLeft w:val="0"/>
          <w:marRight w:val="0"/>
          <w:marTop w:val="0"/>
          <w:marBottom w:val="0"/>
          <w:divBdr>
            <w:top w:val="none" w:sz="0" w:space="0" w:color="auto"/>
            <w:left w:val="none" w:sz="0" w:space="0" w:color="auto"/>
            <w:bottom w:val="none" w:sz="0" w:space="0" w:color="auto"/>
            <w:right w:val="none" w:sz="0" w:space="0" w:color="auto"/>
          </w:divBdr>
        </w:div>
      </w:divsChild>
    </w:div>
    <w:div w:id="450129517">
      <w:bodyDiv w:val="1"/>
      <w:marLeft w:val="0"/>
      <w:marRight w:val="0"/>
      <w:marTop w:val="0"/>
      <w:marBottom w:val="0"/>
      <w:divBdr>
        <w:top w:val="none" w:sz="0" w:space="0" w:color="auto"/>
        <w:left w:val="none" w:sz="0" w:space="0" w:color="auto"/>
        <w:bottom w:val="none" w:sz="0" w:space="0" w:color="auto"/>
        <w:right w:val="none" w:sz="0" w:space="0" w:color="auto"/>
      </w:divBdr>
      <w:divsChild>
        <w:div w:id="1438404097">
          <w:marLeft w:val="0"/>
          <w:marRight w:val="0"/>
          <w:marTop w:val="0"/>
          <w:marBottom w:val="0"/>
          <w:divBdr>
            <w:top w:val="none" w:sz="0" w:space="0" w:color="auto"/>
            <w:left w:val="none" w:sz="0" w:space="0" w:color="auto"/>
            <w:bottom w:val="none" w:sz="0" w:space="0" w:color="auto"/>
            <w:right w:val="none" w:sz="0" w:space="0" w:color="auto"/>
          </w:divBdr>
        </w:div>
      </w:divsChild>
    </w:div>
    <w:div w:id="450247910">
      <w:bodyDiv w:val="1"/>
      <w:marLeft w:val="0"/>
      <w:marRight w:val="0"/>
      <w:marTop w:val="0"/>
      <w:marBottom w:val="0"/>
      <w:divBdr>
        <w:top w:val="none" w:sz="0" w:space="0" w:color="auto"/>
        <w:left w:val="none" w:sz="0" w:space="0" w:color="auto"/>
        <w:bottom w:val="none" w:sz="0" w:space="0" w:color="auto"/>
        <w:right w:val="none" w:sz="0" w:space="0" w:color="auto"/>
      </w:divBdr>
    </w:div>
    <w:div w:id="450326633">
      <w:bodyDiv w:val="1"/>
      <w:marLeft w:val="0"/>
      <w:marRight w:val="0"/>
      <w:marTop w:val="0"/>
      <w:marBottom w:val="0"/>
      <w:divBdr>
        <w:top w:val="none" w:sz="0" w:space="0" w:color="auto"/>
        <w:left w:val="none" w:sz="0" w:space="0" w:color="auto"/>
        <w:bottom w:val="none" w:sz="0" w:space="0" w:color="auto"/>
        <w:right w:val="none" w:sz="0" w:space="0" w:color="auto"/>
      </w:divBdr>
      <w:divsChild>
        <w:div w:id="57872746">
          <w:marLeft w:val="0"/>
          <w:marRight w:val="0"/>
          <w:marTop w:val="0"/>
          <w:marBottom w:val="0"/>
          <w:divBdr>
            <w:top w:val="none" w:sz="0" w:space="0" w:color="auto"/>
            <w:left w:val="none" w:sz="0" w:space="0" w:color="auto"/>
            <w:bottom w:val="dotted" w:sz="6" w:space="4" w:color="DDDDDD"/>
            <w:right w:val="none" w:sz="0" w:space="0" w:color="auto"/>
          </w:divBdr>
        </w:div>
      </w:divsChild>
    </w:div>
    <w:div w:id="451170444">
      <w:bodyDiv w:val="1"/>
      <w:marLeft w:val="0"/>
      <w:marRight w:val="0"/>
      <w:marTop w:val="0"/>
      <w:marBottom w:val="0"/>
      <w:divBdr>
        <w:top w:val="none" w:sz="0" w:space="0" w:color="auto"/>
        <w:left w:val="none" w:sz="0" w:space="0" w:color="auto"/>
        <w:bottom w:val="none" w:sz="0" w:space="0" w:color="auto"/>
        <w:right w:val="none" w:sz="0" w:space="0" w:color="auto"/>
      </w:divBdr>
    </w:div>
    <w:div w:id="451244893">
      <w:bodyDiv w:val="1"/>
      <w:marLeft w:val="0"/>
      <w:marRight w:val="0"/>
      <w:marTop w:val="0"/>
      <w:marBottom w:val="0"/>
      <w:divBdr>
        <w:top w:val="none" w:sz="0" w:space="0" w:color="auto"/>
        <w:left w:val="none" w:sz="0" w:space="0" w:color="auto"/>
        <w:bottom w:val="none" w:sz="0" w:space="0" w:color="auto"/>
        <w:right w:val="none" w:sz="0" w:space="0" w:color="auto"/>
      </w:divBdr>
    </w:div>
    <w:div w:id="451288552">
      <w:bodyDiv w:val="1"/>
      <w:marLeft w:val="0"/>
      <w:marRight w:val="0"/>
      <w:marTop w:val="0"/>
      <w:marBottom w:val="0"/>
      <w:divBdr>
        <w:top w:val="none" w:sz="0" w:space="0" w:color="auto"/>
        <w:left w:val="none" w:sz="0" w:space="0" w:color="auto"/>
        <w:bottom w:val="none" w:sz="0" w:space="0" w:color="auto"/>
        <w:right w:val="none" w:sz="0" w:space="0" w:color="auto"/>
      </w:divBdr>
      <w:divsChild>
        <w:div w:id="864172554">
          <w:marLeft w:val="0"/>
          <w:marRight w:val="0"/>
          <w:marTop w:val="0"/>
          <w:marBottom w:val="0"/>
          <w:divBdr>
            <w:top w:val="none" w:sz="0" w:space="0" w:color="auto"/>
            <w:left w:val="none" w:sz="0" w:space="0" w:color="auto"/>
            <w:bottom w:val="dotted" w:sz="6" w:space="4" w:color="DDDDDD"/>
            <w:right w:val="none" w:sz="0" w:space="0" w:color="auto"/>
          </w:divBdr>
          <w:divsChild>
            <w:div w:id="60492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360864">
      <w:bodyDiv w:val="1"/>
      <w:marLeft w:val="0"/>
      <w:marRight w:val="0"/>
      <w:marTop w:val="0"/>
      <w:marBottom w:val="0"/>
      <w:divBdr>
        <w:top w:val="none" w:sz="0" w:space="0" w:color="auto"/>
        <w:left w:val="none" w:sz="0" w:space="0" w:color="auto"/>
        <w:bottom w:val="none" w:sz="0" w:space="0" w:color="auto"/>
        <w:right w:val="none" w:sz="0" w:space="0" w:color="auto"/>
      </w:divBdr>
    </w:div>
    <w:div w:id="451631735">
      <w:bodyDiv w:val="1"/>
      <w:marLeft w:val="0"/>
      <w:marRight w:val="0"/>
      <w:marTop w:val="0"/>
      <w:marBottom w:val="0"/>
      <w:divBdr>
        <w:top w:val="none" w:sz="0" w:space="0" w:color="auto"/>
        <w:left w:val="none" w:sz="0" w:space="0" w:color="auto"/>
        <w:bottom w:val="none" w:sz="0" w:space="0" w:color="auto"/>
        <w:right w:val="none" w:sz="0" w:space="0" w:color="auto"/>
      </w:divBdr>
      <w:divsChild>
        <w:div w:id="1190336913">
          <w:marLeft w:val="0"/>
          <w:marRight w:val="0"/>
          <w:marTop w:val="0"/>
          <w:marBottom w:val="150"/>
          <w:divBdr>
            <w:top w:val="none" w:sz="0" w:space="0" w:color="auto"/>
            <w:left w:val="none" w:sz="0" w:space="0" w:color="auto"/>
            <w:bottom w:val="none" w:sz="0" w:space="0" w:color="auto"/>
            <w:right w:val="none" w:sz="0" w:space="0" w:color="auto"/>
          </w:divBdr>
          <w:divsChild>
            <w:div w:id="1195925609">
              <w:marLeft w:val="0"/>
              <w:marRight w:val="0"/>
              <w:marTop w:val="0"/>
              <w:marBottom w:val="0"/>
              <w:divBdr>
                <w:top w:val="none" w:sz="0" w:space="0" w:color="auto"/>
                <w:left w:val="none" w:sz="0" w:space="0" w:color="auto"/>
                <w:bottom w:val="none" w:sz="0" w:space="0" w:color="auto"/>
                <w:right w:val="none" w:sz="0" w:space="0" w:color="auto"/>
              </w:divBdr>
              <w:divsChild>
                <w:div w:id="65969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522072">
          <w:marLeft w:val="0"/>
          <w:marRight w:val="0"/>
          <w:marTop w:val="0"/>
          <w:marBottom w:val="150"/>
          <w:divBdr>
            <w:top w:val="none" w:sz="0" w:space="0" w:color="auto"/>
            <w:left w:val="none" w:sz="0" w:space="0" w:color="auto"/>
            <w:bottom w:val="none" w:sz="0" w:space="0" w:color="auto"/>
            <w:right w:val="none" w:sz="0" w:space="0" w:color="auto"/>
          </w:divBdr>
        </w:div>
      </w:divsChild>
    </w:div>
    <w:div w:id="451826481">
      <w:bodyDiv w:val="1"/>
      <w:marLeft w:val="0"/>
      <w:marRight w:val="0"/>
      <w:marTop w:val="0"/>
      <w:marBottom w:val="0"/>
      <w:divBdr>
        <w:top w:val="none" w:sz="0" w:space="0" w:color="auto"/>
        <w:left w:val="none" w:sz="0" w:space="0" w:color="auto"/>
        <w:bottom w:val="none" w:sz="0" w:space="0" w:color="auto"/>
        <w:right w:val="none" w:sz="0" w:space="0" w:color="auto"/>
      </w:divBdr>
      <w:divsChild>
        <w:div w:id="1153788562">
          <w:marLeft w:val="0"/>
          <w:marRight w:val="0"/>
          <w:marTop w:val="0"/>
          <w:marBottom w:val="0"/>
          <w:divBdr>
            <w:top w:val="none" w:sz="0" w:space="0" w:color="auto"/>
            <w:left w:val="none" w:sz="0" w:space="0" w:color="auto"/>
            <w:bottom w:val="none" w:sz="0" w:space="0" w:color="auto"/>
            <w:right w:val="none" w:sz="0" w:space="0" w:color="auto"/>
          </w:divBdr>
          <w:divsChild>
            <w:div w:id="1063333463">
              <w:marLeft w:val="0"/>
              <w:marRight w:val="0"/>
              <w:marTop w:val="225"/>
              <w:marBottom w:val="225"/>
              <w:divBdr>
                <w:top w:val="none" w:sz="0" w:space="0" w:color="auto"/>
                <w:left w:val="none" w:sz="0" w:space="0" w:color="auto"/>
                <w:bottom w:val="none" w:sz="0" w:space="0" w:color="auto"/>
                <w:right w:val="none" w:sz="0" w:space="0" w:color="auto"/>
              </w:divBdr>
            </w:div>
          </w:divsChild>
        </w:div>
        <w:div w:id="1648627793">
          <w:marLeft w:val="0"/>
          <w:marRight w:val="0"/>
          <w:marTop w:val="0"/>
          <w:marBottom w:val="150"/>
          <w:divBdr>
            <w:top w:val="none" w:sz="0" w:space="0" w:color="auto"/>
            <w:left w:val="none" w:sz="0" w:space="0" w:color="auto"/>
            <w:bottom w:val="none" w:sz="0" w:space="0" w:color="auto"/>
            <w:right w:val="none" w:sz="0" w:space="0" w:color="auto"/>
          </w:divBdr>
          <w:divsChild>
            <w:div w:id="1409886507">
              <w:marLeft w:val="0"/>
              <w:marRight w:val="0"/>
              <w:marTop w:val="0"/>
              <w:marBottom w:val="0"/>
              <w:divBdr>
                <w:top w:val="none" w:sz="0" w:space="0" w:color="auto"/>
                <w:left w:val="none" w:sz="0" w:space="0" w:color="auto"/>
                <w:bottom w:val="none" w:sz="0" w:space="0" w:color="auto"/>
                <w:right w:val="none" w:sz="0" w:space="0" w:color="auto"/>
              </w:divBdr>
              <w:divsChild>
                <w:div w:id="203903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672063">
          <w:marLeft w:val="0"/>
          <w:marRight w:val="0"/>
          <w:marTop w:val="0"/>
          <w:marBottom w:val="150"/>
          <w:divBdr>
            <w:top w:val="none" w:sz="0" w:space="0" w:color="auto"/>
            <w:left w:val="none" w:sz="0" w:space="0" w:color="auto"/>
            <w:bottom w:val="none" w:sz="0" w:space="0" w:color="auto"/>
            <w:right w:val="none" w:sz="0" w:space="0" w:color="auto"/>
          </w:divBdr>
        </w:div>
      </w:divsChild>
    </w:div>
    <w:div w:id="452213478">
      <w:bodyDiv w:val="1"/>
      <w:marLeft w:val="0"/>
      <w:marRight w:val="0"/>
      <w:marTop w:val="0"/>
      <w:marBottom w:val="0"/>
      <w:divBdr>
        <w:top w:val="none" w:sz="0" w:space="0" w:color="auto"/>
        <w:left w:val="none" w:sz="0" w:space="0" w:color="auto"/>
        <w:bottom w:val="none" w:sz="0" w:space="0" w:color="auto"/>
        <w:right w:val="none" w:sz="0" w:space="0" w:color="auto"/>
      </w:divBdr>
      <w:divsChild>
        <w:div w:id="466552016">
          <w:marLeft w:val="0"/>
          <w:marRight w:val="0"/>
          <w:marTop w:val="0"/>
          <w:marBottom w:val="150"/>
          <w:divBdr>
            <w:top w:val="none" w:sz="0" w:space="0" w:color="auto"/>
            <w:left w:val="none" w:sz="0" w:space="0" w:color="auto"/>
            <w:bottom w:val="none" w:sz="0" w:space="0" w:color="auto"/>
            <w:right w:val="none" w:sz="0" w:space="0" w:color="auto"/>
          </w:divBdr>
          <w:divsChild>
            <w:div w:id="1424574063">
              <w:marLeft w:val="0"/>
              <w:marRight w:val="0"/>
              <w:marTop w:val="0"/>
              <w:marBottom w:val="0"/>
              <w:divBdr>
                <w:top w:val="none" w:sz="0" w:space="0" w:color="auto"/>
                <w:left w:val="none" w:sz="0" w:space="0" w:color="auto"/>
                <w:bottom w:val="none" w:sz="0" w:space="0" w:color="auto"/>
                <w:right w:val="none" w:sz="0" w:space="0" w:color="auto"/>
              </w:divBdr>
              <w:divsChild>
                <w:div w:id="133976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107">
          <w:marLeft w:val="0"/>
          <w:marRight w:val="0"/>
          <w:marTop w:val="0"/>
          <w:marBottom w:val="0"/>
          <w:divBdr>
            <w:top w:val="none" w:sz="0" w:space="0" w:color="auto"/>
            <w:left w:val="none" w:sz="0" w:space="0" w:color="auto"/>
            <w:bottom w:val="none" w:sz="0" w:space="0" w:color="auto"/>
            <w:right w:val="none" w:sz="0" w:space="0" w:color="auto"/>
          </w:divBdr>
          <w:divsChild>
            <w:div w:id="410011671">
              <w:marLeft w:val="0"/>
              <w:marRight w:val="0"/>
              <w:marTop w:val="0"/>
              <w:marBottom w:val="150"/>
              <w:divBdr>
                <w:top w:val="none" w:sz="0" w:space="0" w:color="auto"/>
                <w:left w:val="none" w:sz="0" w:space="0" w:color="auto"/>
                <w:bottom w:val="none" w:sz="0" w:space="0" w:color="auto"/>
                <w:right w:val="none" w:sz="0" w:space="0" w:color="auto"/>
              </w:divBdr>
            </w:div>
            <w:div w:id="1223561339">
              <w:marLeft w:val="0"/>
              <w:marRight w:val="0"/>
              <w:marTop w:val="0"/>
              <w:marBottom w:val="0"/>
              <w:divBdr>
                <w:top w:val="none" w:sz="0" w:space="0" w:color="auto"/>
                <w:left w:val="none" w:sz="0" w:space="0" w:color="auto"/>
                <w:bottom w:val="none" w:sz="0" w:space="0" w:color="auto"/>
                <w:right w:val="none" w:sz="0" w:space="0" w:color="auto"/>
              </w:divBdr>
              <w:divsChild>
                <w:div w:id="19694359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452284826">
      <w:bodyDiv w:val="1"/>
      <w:marLeft w:val="0"/>
      <w:marRight w:val="0"/>
      <w:marTop w:val="0"/>
      <w:marBottom w:val="0"/>
      <w:divBdr>
        <w:top w:val="none" w:sz="0" w:space="0" w:color="auto"/>
        <w:left w:val="none" w:sz="0" w:space="0" w:color="auto"/>
        <w:bottom w:val="none" w:sz="0" w:space="0" w:color="auto"/>
        <w:right w:val="none" w:sz="0" w:space="0" w:color="auto"/>
      </w:divBdr>
      <w:divsChild>
        <w:div w:id="476805598">
          <w:marLeft w:val="0"/>
          <w:marRight w:val="0"/>
          <w:marTop w:val="0"/>
          <w:marBottom w:val="0"/>
          <w:divBdr>
            <w:top w:val="single" w:sz="6" w:space="0" w:color="E5E5E5"/>
            <w:left w:val="none" w:sz="0" w:space="0" w:color="auto"/>
            <w:bottom w:val="single" w:sz="18" w:space="0" w:color="000000"/>
            <w:right w:val="none" w:sz="0" w:space="0" w:color="auto"/>
          </w:divBdr>
          <w:divsChild>
            <w:div w:id="2083939666">
              <w:marLeft w:val="0"/>
              <w:marRight w:val="0"/>
              <w:marTop w:val="0"/>
              <w:marBottom w:val="0"/>
              <w:divBdr>
                <w:top w:val="none" w:sz="0" w:space="0" w:color="auto"/>
                <w:left w:val="none" w:sz="0" w:space="0" w:color="auto"/>
                <w:bottom w:val="none" w:sz="0" w:space="0" w:color="auto"/>
                <w:right w:val="none" w:sz="0" w:space="0" w:color="auto"/>
              </w:divBdr>
              <w:divsChild>
                <w:div w:id="143381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070986">
          <w:marLeft w:val="0"/>
          <w:marRight w:val="0"/>
          <w:marTop w:val="0"/>
          <w:marBottom w:val="0"/>
          <w:divBdr>
            <w:top w:val="none" w:sz="0" w:space="0" w:color="auto"/>
            <w:left w:val="none" w:sz="0" w:space="0" w:color="auto"/>
            <w:bottom w:val="none" w:sz="0" w:space="0" w:color="auto"/>
            <w:right w:val="none" w:sz="0" w:space="0" w:color="auto"/>
          </w:divBdr>
          <w:divsChild>
            <w:div w:id="1517231878">
              <w:marLeft w:val="0"/>
              <w:marRight w:val="0"/>
              <w:marTop w:val="0"/>
              <w:marBottom w:val="0"/>
              <w:divBdr>
                <w:top w:val="none" w:sz="0" w:space="0" w:color="auto"/>
                <w:left w:val="none" w:sz="0" w:space="0" w:color="auto"/>
                <w:bottom w:val="none" w:sz="0" w:space="0" w:color="auto"/>
                <w:right w:val="none" w:sz="0" w:space="0" w:color="auto"/>
              </w:divBdr>
            </w:div>
          </w:divsChild>
        </w:div>
        <w:div w:id="806507296">
          <w:marLeft w:val="0"/>
          <w:marRight w:val="0"/>
          <w:marTop w:val="0"/>
          <w:marBottom w:val="0"/>
          <w:divBdr>
            <w:top w:val="none" w:sz="0" w:space="0" w:color="auto"/>
            <w:left w:val="none" w:sz="0" w:space="0" w:color="auto"/>
            <w:bottom w:val="none" w:sz="0" w:space="0" w:color="auto"/>
            <w:right w:val="none" w:sz="0" w:space="0" w:color="auto"/>
          </w:divBdr>
          <w:divsChild>
            <w:div w:id="1402366384">
              <w:marLeft w:val="0"/>
              <w:marRight w:val="0"/>
              <w:marTop w:val="0"/>
              <w:marBottom w:val="0"/>
              <w:divBdr>
                <w:top w:val="none" w:sz="0" w:space="0" w:color="auto"/>
                <w:left w:val="none" w:sz="0" w:space="0" w:color="auto"/>
                <w:bottom w:val="none" w:sz="0" w:space="0" w:color="auto"/>
                <w:right w:val="none" w:sz="0" w:space="0" w:color="auto"/>
              </w:divBdr>
              <w:divsChild>
                <w:div w:id="263811609">
                  <w:marLeft w:val="0"/>
                  <w:marRight w:val="0"/>
                  <w:marTop w:val="0"/>
                  <w:marBottom w:val="0"/>
                  <w:divBdr>
                    <w:top w:val="none" w:sz="0" w:space="0" w:color="auto"/>
                    <w:left w:val="none" w:sz="0" w:space="0" w:color="auto"/>
                    <w:bottom w:val="none" w:sz="0" w:space="0" w:color="auto"/>
                    <w:right w:val="none" w:sz="0" w:space="0" w:color="auto"/>
                  </w:divBdr>
                  <w:divsChild>
                    <w:div w:id="570237604">
                      <w:marLeft w:val="0"/>
                      <w:marRight w:val="0"/>
                      <w:marTop w:val="0"/>
                      <w:marBottom w:val="300"/>
                      <w:divBdr>
                        <w:top w:val="none" w:sz="0" w:space="0" w:color="auto"/>
                        <w:left w:val="none" w:sz="0" w:space="0" w:color="auto"/>
                        <w:bottom w:val="none" w:sz="0" w:space="0" w:color="auto"/>
                        <w:right w:val="none" w:sz="0" w:space="0" w:color="auto"/>
                      </w:divBdr>
                      <w:divsChild>
                        <w:div w:id="504594292">
                          <w:marLeft w:val="0"/>
                          <w:marRight w:val="0"/>
                          <w:marTop w:val="0"/>
                          <w:marBottom w:val="225"/>
                          <w:divBdr>
                            <w:top w:val="single" w:sz="6" w:space="11" w:color="E5E5E5"/>
                            <w:left w:val="single" w:sz="6" w:space="11" w:color="E5E5E5"/>
                            <w:bottom w:val="single" w:sz="6" w:space="1" w:color="E5E5E5"/>
                            <w:right w:val="single" w:sz="6" w:space="11" w:color="E5E5E5"/>
                          </w:divBdr>
                          <w:divsChild>
                            <w:div w:id="1977030535">
                              <w:marLeft w:val="0"/>
                              <w:marRight w:val="0"/>
                              <w:marTop w:val="0"/>
                              <w:marBottom w:val="0"/>
                              <w:divBdr>
                                <w:top w:val="none" w:sz="0" w:space="0" w:color="auto"/>
                                <w:left w:val="none" w:sz="0" w:space="0" w:color="auto"/>
                                <w:bottom w:val="dotted" w:sz="6" w:space="4" w:color="DDDDDD"/>
                                <w:right w:val="none" w:sz="0" w:space="0" w:color="auto"/>
                              </w:divBdr>
                              <w:divsChild>
                                <w:div w:id="18965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753596">
      <w:bodyDiv w:val="1"/>
      <w:marLeft w:val="0"/>
      <w:marRight w:val="0"/>
      <w:marTop w:val="0"/>
      <w:marBottom w:val="0"/>
      <w:divBdr>
        <w:top w:val="none" w:sz="0" w:space="0" w:color="auto"/>
        <w:left w:val="none" w:sz="0" w:space="0" w:color="auto"/>
        <w:bottom w:val="none" w:sz="0" w:space="0" w:color="auto"/>
        <w:right w:val="none" w:sz="0" w:space="0" w:color="auto"/>
      </w:divBdr>
      <w:divsChild>
        <w:div w:id="44186238">
          <w:marLeft w:val="0"/>
          <w:marRight w:val="0"/>
          <w:marTop w:val="0"/>
          <w:marBottom w:val="0"/>
          <w:divBdr>
            <w:top w:val="none" w:sz="0" w:space="0" w:color="auto"/>
            <w:left w:val="none" w:sz="0" w:space="0" w:color="auto"/>
            <w:bottom w:val="dotted" w:sz="6" w:space="4" w:color="DDDDDD"/>
            <w:right w:val="none" w:sz="0" w:space="0" w:color="auto"/>
          </w:divBdr>
        </w:div>
      </w:divsChild>
    </w:div>
    <w:div w:id="453327289">
      <w:bodyDiv w:val="1"/>
      <w:marLeft w:val="0"/>
      <w:marRight w:val="0"/>
      <w:marTop w:val="0"/>
      <w:marBottom w:val="0"/>
      <w:divBdr>
        <w:top w:val="none" w:sz="0" w:space="0" w:color="auto"/>
        <w:left w:val="none" w:sz="0" w:space="0" w:color="auto"/>
        <w:bottom w:val="none" w:sz="0" w:space="0" w:color="auto"/>
        <w:right w:val="none" w:sz="0" w:space="0" w:color="auto"/>
      </w:divBdr>
      <w:divsChild>
        <w:div w:id="1974827978">
          <w:marLeft w:val="0"/>
          <w:marRight w:val="0"/>
          <w:marTop w:val="0"/>
          <w:marBottom w:val="0"/>
          <w:divBdr>
            <w:top w:val="none" w:sz="0" w:space="0" w:color="auto"/>
            <w:left w:val="none" w:sz="0" w:space="0" w:color="auto"/>
            <w:bottom w:val="none" w:sz="0" w:space="0" w:color="auto"/>
            <w:right w:val="none" w:sz="0" w:space="0" w:color="auto"/>
          </w:divBdr>
          <w:divsChild>
            <w:div w:id="6548390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54179858">
      <w:bodyDiv w:val="1"/>
      <w:marLeft w:val="0"/>
      <w:marRight w:val="0"/>
      <w:marTop w:val="0"/>
      <w:marBottom w:val="0"/>
      <w:divBdr>
        <w:top w:val="none" w:sz="0" w:space="0" w:color="auto"/>
        <w:left w:val="none" w:sz="0" w:space="0" w:color="auto"/>
        <w:bottom w:val="none" w:sz="0" w:space="0" w:color="auto"/>
        <w:right w:val="none" w:sz="0" w:space="0" w:color="auto"/>
      </w:divBdr>
      <w:divsChild>
        <w:div w:id="993803526">
          <w:marLeft w:val="0"/>
          <w:marRight w:val="0"/>
          <w:marTop w:val="0"/>
          <w:marBottom w:val="150"/>
          <w:divBdr>
            <w:top w:val="none" w:sz="0" w:space="0" w:color="auto"/>
            <w:left w:val="none" w:sz="0" w:space="0" w:color="auto"/>
            <w:bottom w:val="none" w:sz="0" w:space="0" w:color="auto"/>
            <w:right w:val="none" w:sz="0" w:space="0" w:color="auto"/>
          </w:divBdr>
        </w:div>
      </w:divsChild>
    </w:div>
    <w:div w:id="454250057">
      <w:bodyDiv w:val="1"/>
      <w:marLeft w:val="0"/>
      <w:marRight w:val="0"/>
      <w:marTop w:val="0"/>
      <w:marBottom w:val="0"/>
      <w:divBdr>
        <w:top w:val="none" w:sz="0" w:space="0" w:color="auto"/>
        <w:left w:val="none" w:sz="0" w:space="0" w:color="auto"/>
        <w:bottom w:val="none" w:sz="0" w:space="0" w:color="auto"/>
        <w:right w:val="none" w:sz="0" w:space="0" w:color="auto"/>
      </w:divBdr>
      <w:divsChild>
        <w:div w:id="21058045">
          <w:marLeft w:val="0"/>
          <w:marRight w:val="0"/>
          <w:marTop w:val="0"/>
          <w:marBottom w:val="150"/>
          <w:divBdr>
            <w:top w:val="none" w:sz="0" w:space="0" w:color="auto"/>
            <w:left w:val="none" w:sz="0" w:space="0" w:color="auto"/>
            <w:bottom w:val="none" w:sz="0" w:space="0" w:color="auto"/>
            <w:right w:val="none" w:sz="0" w:space="0" w:color="auto"/>
          </w:divBdr>
        </w:div>
        <w:div w:id="1574773355">
          <w:marLeft w:val="0"/>
          <w:marRight w:val="0"/>
          <w:marTop w:val="0"/>
          <w:marBottom w:val="150"/>
          <w:divBdr>
            <w:top w:val="none" w:sz="0" w:space="0" w:color="auto"/>
            <w:left w:val="none" w:sz="0" w:space="0" w:color="auto"/>
            <w:bottom w:val="none" w:sz="0" w:space="0" w:color="auto"/>
            <w:right w:val="none" w:sz="0" w:space="0" w:color="auto"/>
          </w:divBdr>
          <w:divsChild>
            <w:div w:id="660235840">
              <w:marLeft w:val="0"/>
              <w:marRight w:val="0"/>
              <w:marTop w:val="0"/>
              <w:marBottom w:val="0"/>
              <w:divBdr>
                <w:top w:val="none" w:sz="0" w:space="0" w:color="auto"/>
                <w:left w:val="none" w:sz="0" w:space="0" w:color="auto"/>
                <w:bottom w:val="none" w:sz="0" w:space="0" w:color="auto"/>
                <w:right w:val="none" w:sz="0" w:space="0" w:color="auto"/>
              </w:divBdr>
            </w:div>
          </w:divsChild>
        </w:div>
        <w:div w:id="1805273394">
          <w:marLeft w:val="0"/>
          <w:marRight w:val="0"/>
          <w:marTop w:val="0"/>
          <w:marBottom w:val="0"/>
          <w:divBdr>
            <w:top w:val="none" w:sz="0" w:space="0" w:color="auto"/>
            <w:left w:val="none" w:sz="0" w:space="0" w:color="auto"/>
            <w:bottom w:val="none" w:sz="0" w:space="0" w:color="auto"/>
            <w:right w:val="none" w:sz="0" w:space="0" w:color="auto"/>
          </w:divBdr>
          <w:divsChild>
            <w:div w:id="214666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450569">
      <w:bodyDiv w:val="1"/>
      <w:marLeft w:val="0"/>
      <w:marRight w:val="0"/>
      <w:marTop w:val="0"/>
      <w:marBottom w:val="0"/>
      <w:divBdr>
        <w:top w:val="none" w:sz="0" w:space="0" w:color="auto"/>
        <w:left w:val="none" w:sz="0" w:space="0" w:color="auto"/>
        <w:bottom w:val="none" w:sz="0" w:space="0" w:color="auto"/>
        <w:right w:val="none" w:sz="0" w:space="0" w:color="auto"/>
      </w:divBdr>
      <w:divsChild>
        <w:div w:id="595481690">
          <w:marLeft w:val="0"/>
          <w:marRight w:val="0"/>
          <w:marTop w:val="0"/>
          <w:marBottom w:val="0"/>
          <w:divBdr>
            <w:top w:val="none" w:sz="0" w:space="0" w:color="auto"/>
            <w:left w:val="none" w:sz="0" w:space="0" w:color="auto"/>
            <w:bottom w:val="none" w:sz="0" w:space="0" w:color="auto"/>
            <w:right w:val="none" w:sz="0" w:space="0" w:color="auto"/>
          </w:divBdr>
          <w:divsChild>
            <w:div w:id="855466665">
              <w:marLeft w:val="0"/>
              <w:marRight w:val="0"/>
              <w:marTop w:val="0"/>
              <w:marBottom w:val="0"/>
              <w:divBdr>
                <w:top w:val="none" w:sz="0" w:space="0" w:color="auto"/>
                <w:left w:val="none" w:sz="0" w:space="0" w:color="auto"/>
                <w:bottom w:val="none" w:sz="0" w:space="0" w:color="auto"/>
                <w:right w:val="none" w:sz="0" w:space="0" w:color="auto"/>
              </w:divBdr>
              <w:divsChild>
                <w:div w:id="1714845712">
                  <w:marLeft w:val="0"/>
                  <w:marRight w:val="0"/>
                  <w:marTop w:val="0"/>
                  <w:marBottom w:val="0"/>
                  <w:divBdr>
                    <w:top w:val="none" w:sz="0" w:space="0" w:color="auto"/>
                    <w:left w:val="none" w:sz="0" w:space="0" w:color="auto"/>
                    <w:bottom w:val="none" w:sz="0" w:space="0" w:color="auto"/>
                    <w:right w:val="none" w:sz="0" w:space="0" w:color="auto"/>
                  </w:divBdr>
                  <w:divsChild>
                    <w:div w:id="1001814024">
                      <w:marLeft w:val="0"/>
                      <w:marRight w:val="0"/>
                      <w:marTop w:val="0"/>
                      <w:marBottom w:val="300"/>
                      <w:divBdr>
                        <w:top w:val="none" w:sz="0" w:space="0" w:color="auto"/>
                        <w:left w:val="none" w:sz="0" w:space="0" w:color="auto"/>
                        <w:bottom w:val="none" w:sz="0" w:space="0" w:color="auto"/>
                        <w:right w:val="none" w:sz="0" w:space="0" w:color="auto"/>
                      </w:divBdr>
                      <w:divsChild>
                        <w:div w:id="198786077">
                          <w:marLeft w:val="0"/>
                          <w:marRight w:val="0"/>
                          <w:marTop w:val="0"/>
                          <w:marBottom w:val="225"/>
                          <w:divBdr>
                            <w:top w:val="single" w:sz="6" w:space="11" w:color="E5E5E5"/>
                            <w:left w:val="single" w:sz="6" w:space="11" w:color="E5E5E5"/>
                            <w:bottom w:val="single" w:sz="6" w:space="1" w:color="E5E5E5"/>
                            <w:right w:val="single" w:sz="6" w:space="11" w:color="E5E5E5"/>
                          </w:divBdr>
                          <w:divsChild>
                            <w:div w:id="1207331174">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948508128">
          <w:marLeft w:val="0"/>
          <w:marRight w:val="0"/>
          <w:marTop w:val="0"/>
          <w:marBottom w:val="0"/>
          <w:divBdr>
            <w:top w:val="single" w:sz="6" w:space="0" w:color="E5E5E5"/>
            <w:left w:val="none" w:sz="0" w:space="0" w:color="auto"/>
            <w:bottom w:val="single" w:sz="18" w:space="0" w:color="000000"/>
            <w:right w:val="none" w:sz="0" w:space="0" w:color="auto"/>
          </w:divBdr>
          <w:divsChild>
            <w:div w:id="1915430296">
              <w:marLeft w:val="0"/>
              <w:marRight w:val="0"/>
              <w:marTop w:val="0"/>
              <w:marBottom w:val="0"/>
              <w:divBdr>
                <w:top w:val="none" w:sz="0" w:space="0" w:color="auto"/>
                <w:left w:val="none" w:sz="0" w:space="0" w:color="auto"/>
                <w:bottom w:val="none" w:sz="0" w:space="0" w:color="auto"/>
                <w:right w:val="none" w:sz="0" w:space="0" w:color="auto"/>
              </w:divBdr>
              <w:divsChild>
                <w:div w:id="173998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55836">
      <w:bodyDiv w:val="1"/>
      <w:marLeft w:val="0"/>
      <w:marRight w:val="0"/>
      <w:marTop w:val="0"/>
      <w:marBottom w:val="0"/>
      <w:divBdr>
        <w:top w:val="none" w:sz="0" w:space="0" w:color="auto"/>
        <w:left w:val="none" w:sz="0" w:space="0" w:color="auto"/>
        <w:bottom w:val="none" w:sz="0" w:space="0" w:color="auto"/>
        <w:right w:val="none" w:sz="0" w:space="0" w:color="auto"/>
      </w:divBdr>
      <w:divsChild>
        <w:div w:id="1544177473">
          <w:marLeft w:val="0"/>
          <w:marRight w:val="0"/>
          <w:marTop w:val="0"/>
          <w:marBottom w:val="0"/>
          <w:divBdr>
            <w:top w:val="none" w:sz="0" w:space="0" w:color="auto"/>
            <w:left w:val="none" w:sz="0" w:space="0" w:color="auto"/>
            <w:bottom w:val="none" w:sz="0" w:space="0" w:color="auto"/>
            <w:right w:val="none" w:sz="0" w:space="0" w:color="auto"/>
          </w:divBdr>
          <w:divsChild>
            <w:div w:id="173273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759218">
      <w:bodyDiv w:val="1"/>
      <w:marLeft w:val="0"/>
      <w:marRight w:val="0"/>
      <w:marTop w:val="0"/>
      <w:marBottom w:val="0"/>
      <w:divBdr>
        <w:top w:val="none" w:sz="0" w:space="0" w:color="auto"/>
        <w:left w:val="none" w:sz="0" w:space="0" w:color="auto"/>
        <w:bottom w:val="none" w:sz="0" w:space="0" w:color="auto"/>
        <w:right w:val="none" w:sz="0" w:space="0" w:color="auto"/>
      </w:divBdr>
      <w:divsChild>
        <w:div w:id="183715525">
          <w:marLeft w:val="0"/>
          <w:marRight w:val="0"/>
          <w:marTop w:val="0"/>
          <w:marBottom w:val="0"/>
          <w:divBdr>
            <w:top w:val="none" w:sz="0" w:space="0" w:color="auto"/>
            <w:left w:val="none" w:sz="0" w:space="0" w:color="auto"/>
            <w:bottom w:val="none" w:sz="0" w:space="0" w:color="auto"/>
            <w:right w:val="none" w:sz="0" w:space="0" w:color="auto"/>
          </w:divBdr>
          <w:divsChild>
            <w:div w:id="187719633">
              <w:marLeft w:val="0"/>
              <w:marRight w:val="0"/>
              <w:marTop w:val="0"/>
              <w:marBottom w:val="0"/>
              <w:divBdr>
                <w:top w:val="none" w:sz="0" w:space="0" w:color="auto"/>
                <w:left w:val="none" w:sz="0" w:space="0" w:color="auto"/>
                <w:bottom w:val="none" w:sz="0" w:space="0" w:color="auto"/>
                <w:right w:val="none" w:sz="0" w:space="0" w:color="auto"/>
              </w:divBdr>
              <w:divsChild>
                <w:div w:id="1312714111">
                  <w:marLeft w:val="0"/>
                  <w:marRight w:val="0"/>
                  <w:marTop w:val="0"/>
                  <w:marBottom w:val="0"/>
                  <w:divBdr>
                    <w:top w:val="none" w:sz="0" w:space="0" w:color="auto"/>
                    <w:left w:val="none" w:sz="0" w:space="0" w:color="auto"/>
                    <w:bottom w:val="none" w:sz="0" w:space="0" w:color="auto"/>
                    <w:right w:val="none" w:sz="0" w:space="0" w:color="auto"/>
                  </w:divBdr>
                  <w:divsChild>
                    <w:div w:id="154692547">
                      <w:marLeft w:val="0"/>
                      <w:marRight w:val="0"/>
                      <w:marTop w:val="0"/>
                      <w:marBottom w:val="0"/>
                      <w:divBdr>
                        <w:top w:val="none" w:sz="0" w:space="0" w:color="auto"/>
                        <w:left w:val="none" w:sz="0" w:space="0" w:color="auto"/>
                        <w:bottom w:val="none" w:sz="0" w:space="0" w:color="auto"/>
                        <w:right w:val="none" w:sz="0" w:space="0" w:color="auto"/>
                      </w:divBdr>
                      <w:divsChild>
                        <w:div w:id="1739590036">
                          <w:marLeft w:val="0"/>
                          <w:marRight w:val="0"/>
                          <w:marTop w:val="0"/>
                          <w:marBottom w:val="0"/>
                          <w:divBdr>
                            <w:top w:val="none" w:sz="0" w:space="0" w:color="auto"/>
                            <w:left w:val="none" w:sz="0" w:space="0" w:color="auto"/>
                            <w:bottom w:val="none" w:sz="0" w:space="0" w:color="auto"/>
                            <w:right w:val="none" w:sz="0" w:space="0" w:color="auto"/>
                          </w:divBdr>
                          <w:divsChild>
                            <w:div w:id="849951611">
                              <w:marLeft w:val="0"/>
                              <w:marRight w:val="0"/>
                              <w:marTop w:val="0"/>
                              <w:marBottom w:val="0"/>
                              <w:divBdr>
                                <w:top w:val="none" w:sz="0" w:space="0" w:color="auto"/>
                                <w:left w:val="none" w:sz="0" w:space="0" w:color="auto"/>
                                <w:bottom w:val="none" w:sz="0" w:space="0" w:color="auto"/>
                                <w:right w:val="none" w:sz="0" w:space="0" w:color="auto"/>
                              </w:divBdr>
                            </w:div>
                            <w:div w:id="208302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455752">
                  <w:marLeft w:val="0"/>
                  <w:marRight w:val="0"/>
                  <w:marTop w:val="0"/>
                  <w:marBottom w:val="0"/>
                  <w:divBdr>
                    <w:top w:val="none" w:sz="0" w:space="0" w:color="auto"/>
                    <w:left w:val="none" w:sz="0" w:space="0" w:color="auto"/>
                    <w:bottom w:val="none" w:sz="0" w:space="0" w:color="auto"/>
                    <w:right w:val="none" w:sz="0" w:space="0" w:color="auto"/>
                  </w:divBdr>
                  <w:divsChild>
                    <w:div w:id="1496337723">
                      <w:marLeft w:val="0"/>
                      <w:marRight w:val="0"/>
                      <w:marTop w:val="0"/>
                      <w:marBottom w:val="0"/>
                      <w:divBdr>
                        <w:top w:val="none" w:sz="0" w:space="0" w:color="auto"/>
                        <w:left w:val="none" w:sz="0" w:space="0" w:color="auto"/>
                        <w:bottom w:val="none" w:sz="0" w:space="0" w:color="auto"/>
                        <w:right w:val="none" w:sz="0" w:space="0" w:color="auto"/>
                      </w:divBdr>
                      <w:divsChild>
                        <w:div w:id="995305934">
                          <w:marLeft w:val="0"/>
                          <w:marRight w:val="0"/>
                          <w:marTop w:val="0"/>
                          <w:marBottom w:val="0"/>
                          <w:divBdr>
                            <w:top w:val="none" w:sz="0" w:space="0" w:color="auto"/>
                            <w:left w:val="none" w:sz="0" w:space="0" w:color="auto"/>
                            <w:bottom w:val="none" w:sz="0" w:space="0" w:color="auto"/>
                            <w:right w:val="none" w:sz="0" w:space="0" w:color="auto"/>
                          </w:divBdr>
                          <w:divsChild>
                            <w:div w:id="450785056">
                              <w:marLeft w:val="0"/>
                              <w:marRight w:val="0"/>
                              <w:marTop w:val="0"/>
                              <w:marBottom w:val="0"/>
                              <w:divBdr>
                                <w:top w:val="none" w:sz="0" w:space="0" w:color="auto"/>
                                <w:left w:val="none" w:sz="0" w:space="0" w:color="auto"/>
                                <w:bottom w:val="none" w:sz="0" w:space="0" w:color="auto"/>
                                <w:right w:val="none" w:sz="0" w:space="0" w:color="auto"/>
                              </w:divBdr>
                              <w:divsChild>
                                <w:div w:id="747580496">
                                  <w:marLeft w:val="0"/>
                                  <w:marRight w:val="0"/>
                                  <w:marTop w:val="0"/>
                                  <w:marBottom w:val="0"/>
                                  <w:divBdr>
                                    <w:top w:val="none" w:sz="0" w:space="0" w:color="auto"/>
                                    <w:left w:val="none" w:sz="0" w:space="0" w:color="auto"/>
                                    <w:bottom w:val="none" w:sz="0" w:space="0" w:color="auto"/>
                                    <w:right w:val="none" w:sz="0" w:space="0" w:color="auto"/>
                                  </w:divBdr>
                                  <w:divsChild>
                                    <w:div w:id="191720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685290">
                  <w:marLeft w:val="0"/>
                  <w:marRight w:val="0"/>
                  <w:marTop w:val="0"/>
                  <w:marBottom w:val="0"/>
                  <w:divBdr>
                    <w:top w:val="none" w:sz="0" w:space="0" w:color="auto"/>
                    <w:left w:val="none" w:sz="0" w:space="0" w:color="auto"/>
                    <w:bottom w:val="none" w:sz="0" w:space="0" w:color="auto"/>
                    <w:right w:val="none" w:sz="0" w:space="0" w:color="auto"/>
                  </w:divBdr>
                  <w:divsChild>
                    <w:div w:id="1385056794">
                      <w:marLeft w:val="0"/>
                      <w:marRight w:val="0"/>
                      <w:marTop w:val="0"/>
                      <w:marBottom w:val="0"/>
                      <w:divBdr>
                        <w:top w:val="none" w:sz="0" w:space="0" w:color="auto"/>
                        <w:left w:val="none" w:sz="0" w:space="0" w:color="auto"/>
                        <w:bottom w:val="none" w:sz="0" w:space="0" w:color="auto"/>
                        <w:right w:val="none" w:sz="0" w:space="0" w:color="auto"/>
                      </w:divBdr>
                      <w:divsChild>
                        <w:div w:id="37566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4951719">
      <w:bodyDiv w:val="1"/>
      <w:marLeft w:val="0"/>
      <w:marRight w:val="0"/>
      <w:marTop w:val="0"/>
      <w:marBottom w:val="0"/>
      <w:divBdr>
        <w:top w:val="none" w:sz="0" w:space="0" w:color="auto"/>
        <w:left w:val="none" w:sz="0" w:space="0" w:color="auto"/>
        <w:bottom w:val="none" w:sz="0" w:space="0" w:color="auto"/>
        <w:right w:val="none" w:sz="0" w:space="0" w:color="auto"/>
      </w:divBdr>
      <w:divsChild>
        <w:div w:id="710569355">
          <w:marLeft w:val="0"/>
          <w:marRight w:val="0"/>
          <w:marTop w:val="0"/>
          <w:marBottom w:val="0"/>
          <w:divBdr>
            <w:top w:val="none" w:sz="0" w:space="0" w:color="auto"/>
            <w:left w:val="none" w:sz="0" w:space="0" w:color="auto"/>
            <w:bottom w:val="none" w:sz="0" w:space="0" w:color="auto"/>
            <w:right w:val="none" w:sz="0" w:space="0" w:color="auto"/>
          </w:divBdr>
          <w:divsChild>
            <w:div w:id="15175721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55560151">
      <w:bodyDiv w:val="1"/>
      <w:marLeft w:val="0"/>
      <w:marRight w:val="0"/>
      <w:marTop w:val="0"/>
      <w:marBottom w:val="0"/>
      <w:divBdr>
        <w:top w:val="none" w:sz="0" w:space="0" w:color="auto"/>
        <w:left w:val="none" w:sz="0" w:space="0" w:color="auto"/>
        <w:bottom w:val="none" w:sz="0" w:space="0" w:color="auto"/>
        <w:right w:val="none" w:sz="0" w:space="0" w:color="auto"/>
      </w:divBdr>
      <w:divsChild>
        <w:div w:id="431436068">
          <w:marLeft w:val="0"/>
          <w:marRight w:val="0"/>
          <w:marTop w:val="0"/>
          <w:marBottom w:val="240"/>
          <w:divBdr>
            <w:top w:val="none" w:sz="0" w:space="0" w:color="auto"/>
            <w:left w:val="none" w:sz="0" w:space="0" w:color="auto"/>
            <w:bottom w:val="none" w:sz="0" w:space="0" w:color="auto"/>
            <w:right w:val="none" w:sz="0" w:space="0" w:color="auto"/>
          </w:divBdr>
          <w:divsChild>
            <w:div w:id="1994215827">
              <w:marLeft w:val="0"/>
              <w:marRight w:val="0"/>
              <w:marTop w:val="0"/>
              <w:marBottom w:val="0"/>
              <w:divBdr>
                <w:top w:val="none" w:sz="0" w:space="0" w:color="auto"/>
                <w:left w:val="none" w:sz="0" w:space="0" w:color="auto"/>
                <w:bottom w:val="none" w:sz="0" w:space="0" w:color="auto"/>
                <w:right w:val="none" w:sz="0" w:space="0" w:color="auto"/>
              </w:divBdr>
              <w:divsChild>
                <w:div w:id="137896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455872">
          <w:marLeft w:val="0"/>
          <w:marRight w:val="0"/>
          <w:marTop w:val="0"/>
          <w:marBottom w:val="240"/>
          <w:divBdr>
            <w:top w:val="none" w:sz="0" w:space="0" w:color="auto"/>
            <w:left w:val="none" w:sz="0" w:space="0" w:color="auto"/>
            <w:bottom w:val="none" w:sz="0" w:space="0" w:color="auto"/>
            <w:right w:val="none" w:sz="0" w:space="0" w:color="auto"/>
          </w:divBdr>
        </w:div>
        <w:div w:id="1298217946">
          <w:marLeft w:val="0"/>
          <w:marRight w:val="0"/>
          <w:marTop w:val="0"/>
          <w:marBottom w:val="240"/>
          <w:divBdr>
            <w:top w:val="none" w:sz="0" w:space="0" w:color="auto"/>
            <w:left w:val="none" w:sz="0" w:space="0" w:color="auto"/>
            <w:bottom w:val="none" w:sz="0" w:space="0" w:color="auto"/>
            <w:right w:val="none" w:sz="0" w:space="0" w:color="auto"/>
          </w:divBdr>
        </w:div>
        <w:div w:id="1452242304">
          <w:marLeft w:val="0"/>
          <w:marRight w:val="0"/>
          <w:marTop w:val="0"/>
          <w:marBottom w:val="240"/>
          <w:divBdr>
            <w:top w:val="none" w:sz="0" w:space="0" w:color="auto"/>
            <w:left w:val="none" w:sz="0" w:space="0" w:color="auto"/>
            <w:bottom w:val="none" w:sz="0" w:space="0" w:color="auto"/>
            <w:right w:val="none" w:sz="0" w:space="0" w:color="auto"/>
          </w:divBdr>
        </w:div>
        <w:div w:id="1717772805">
          <w:marLeft w:val="0"/>
          <w:marRight w:val="0"/>
          <w:marTop w:val="0"/>
          <w:marBottom w:val="240"/>
          <w:divBdr>
            <w:top w:val="none" w:sz="0" w:space="0" w:color="auto"/>
            <w:left w:val="none" w:sz="0" w:space="0" w:color="auto"/>
            <w:bottom w:val="none" w:sz="0" w:space="0" w:color="auto"/>
            <w:right w:val="none" w:sz="0" w:space="0" w:color="auto"/>
          </w:divBdr>
        </w:div>
      </w:divsChild>
    </w:div>
    <w:div w:id="455636145">
      <w:bodyDiv w:val="1"/>
      <w:marLeft w:val="0"/>
      <w:marRight w:val="0"/>
      <w:marTop w:val="0"/>
      <w:marBottom w:val="0"/>
      <w:divBdr>
        <w:top w:val="none" w:sz="0" w:space="0" w:color="auto"/>
        <w:left w:val="none" w:sz="0" w:space="0" w:color="auto"/>
        <w:bottom w:val="none" w:sz="0" w:space="0" w:color="auto"/>
        <w:right w:val="none" w:sz="0" w:space="0" w:color="auto"/>
      </w:divBdr>
      <w:divsChild>
        <w:div w:id="863245924">
          <w:marLeft w:val="0"/>
          <w:marRight w:val="0"/>
          <w:marTop w:val="0"/>
          <w:marBottom w:val="0"/>
          <w:divBdr>
            <w:top w:val="none" w:sz="0" w:space="0" w:color="auto"/>
            <w:left w:val="none" w:sz="0" w:space="0" w:color="auto"/>
            <w:bottom w:val="none" w:sz="0" w:space="0" w:color="auto"/>
            <w:right w:val="none" w:sz="0" w:space="0" w:color="auto"/>
          </w:divBdr>
          <w:divsChild>
            <w:div w:id="1206870281">
              <w:marLeft w:val="0"/>
              <w:marRight w:val="0"/>
              <w:marTop w:val="0"/>
              <w:marBottom w:val="0"/>
              <w:divBdr>
                <w:top w:val="none" w:sz="0" w:space="0" w:color="auto"/>
                <w:left w:val="none" w:sz="0" w:space="0" w:color="auto"/>
                <w:bottom w:val="none" w:sz="0" w:space="0" w:color="auto"/>
                <w:right w:val="none" w:sz="0" w:space="0" w:color="auto"/>
              </w:divBdr>
              <w:divsChild>
                <w:div w:id="1943954517">
                  <w:marLeft w:val="0"/>
                  <w:marRight w:val="0"/>
                  <w:marTop w:val="0"/>
                  <w:marBottom w:val="0"/>
                  <w:divBdr>
                    <w:top w:val="none" w:sz="0" w:space="0" w:color="auto"/>
                    <w:left w:val="none" w:sz="0" w:space="0" w:color="auto"/>
                    <w:bottom w:val="none" w:sz="0" w:space="0" w:color="auto"/>
                    <w:right w:val="none" w:sz="0" w:space="0" w:color="auto"/>
                  </w:divBdr>
                  <w:divsChild>
                    <w:div w:id="618531834">
                      <w:marLeft w:val="0"/>
                      <w:marRight w:val="0"/>
                      <w:marTop w:val="0"/>
                      <w:marBottom w:val="0"/>
                      <w:divBdr>
                        <w:top w:val="none" w:sz="0" w:space="0" w:color="auto"/>
                        <w:left w:val="none" w:sz="0" w:space="0" w:color="auto"/>
                        <w:bottom w:val="none" w:sz="0" w:space="0" w:color="auto"/>
                        <w:right w:val="none" w:sz="0" w:space="0" w:color="auto"/>
                      </w:divBdr>
                      <w:divsChild>
                        <w:div w:id="660894138">
                          <w:marLeft w:val="0"/>
                          <w:marRight w:val="0"/>
                          <w:marTop w:val="0"/>
                          <w:marBottom w:val="0"/>
                          <w:divBdr>
                            <w:top w:val="none" w:sz="0" w:space="0" w:color="auto"/>
                            <w:left w:val="none" w:sz="0" w:space="0" w:color="auto"/>
                            <w:bottom w:val="none" w:sz="0" w:space="0" w:color="auto"/>
                            <w:right w:val="none" w:sz="0" w:space="0" w:color="auto"/>
                          </w:divBdr>
                          <w:divsChild>
                            <w:div w:id="738206880">
                              <w:marLeft w:val="0"/>
                              <w:marRight w:val="0"/>
                              <w:marTop w:val="0"/>
                              <w:marBottom w:val="0"/>
                              <w:divBdr>
                                <w:top w:val="none" w:sz="0" w:space="0" w:color="auto"/>
                                <w:left w:val="none" w:sz="0" w:space="0" w:color="auto"/>
                                <w:bottom w:val="none" w:sz="0" w:space="0" w:color="auto"/>
                                <w:right w:val="none" w:sz="0" w:space="0" w:color="auto"/>
                              </w:divBdr>
                              <w:divsChild>
                                <w:div w:id="412818458">
                                  <w:marLeft w:val="0"/>
                                  <w:marRight w:val="0"/>
                                  <w:marTop w:val="0"/>
                                  <w:marBottom w:val="0"/>
                                  <w:divBdr>
                                    <w:top w:val="none" w:sz="0" w:space="0" w:color="auto"/>
                                    <w:left w:val="none" w:sz="0" w:space="0" w:color="auto"/>
                                    <w:bottom w:val="none" w:sz="0" w:space="0" w:color="auto"/>
                                    <w:right w:val="none" w:sz="0" w:space="0" w:color="auto"/>
                                  </w:divBdr>
                                  <w:divsChild>
                                    <w:div w:id="2047950236">
                                      <w:marLeft w:val="0"/>
                                      <w:marRight w:val="0"/>
                                      <w:marTop w:val="0"/>
                                      <w:marBottom w:val="0"/>
                                      <w:divBdr>
                                        <w:top w:val="none" w:sz="0" w:space="0" w:color="auto"/>
                                        <w:left w:val="none" w:sz="0" w:space="0" w:color="auto"/>
                                        <w:bottom w:val="none" w:sz="0" w:space="0" w:color="auto"/>
                                        <w:right w:val="none" w:sz="0" w:space="0" w:color="auto"/>
                                      </w:divBdr>
                                      <w:divsChild>
                                        <w:div w:id="94446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5687232">
      <w:bodyDiv w:val="1"/>
      <w:marLeft w:val="0"/>
      <w:marRight w:val="0"/>
      <w:marTop w:val="0"/>
      <w:marBottom w:val="0"/>
      <w:divBdr>
        <w:top w:val="none" w:sz="0" w:space="0" w:color="auto"/>
        <w:left w:val="none" w:sz="0" w:space="0" w:color="auto"/>
        <w:bottom w:val="none" w:sz="0" w:space="0" w:color="auto"/>
        <w:right w:val="none" w:sz="0" w:space="0" w:color="auto"/>
      </w:divBdr>
    </w:div>
    <w:div w:id="455950221">
      <w:bodyDiv w:val="1"/>
      <w:marLeft w:val="0"/>
      <w:marRight w:val="0"/>
      <w:marTop w:val="0"/>
      <w:marBottom w:val="0"/>
      <w:divBdr>
        <w:top w:val="none" w:sz="0" w:space="0" w:color="auto"/>
        <w:left w:val="none" w:sz="0" w:space="0" w:color="auto"/>
        <w:bottom w:val="none" w:sz="0" w:space="0" w:color="auto"/>
        <w:right w:val="none" w:sz="0" w:space="0" w:color="auto"/>
      </w:divBdr>
    </w:div>
    <w:div w:id="456145622">
      <w:bodyDiv w:val="1"/>
      <w:marLeft w:val="0"/>
      <w:marRight w:val="0"/>
      <w:marTop w:val="0"/>
      <w:marBottom w:val="0"/>
      <w:divBdr>
        <w:top w:val="none" w:sz="0" w:space="0" w:color="auto"/>
        <w:left w:val="none" w:sz="0" w:space="0" w:color="auto"/>
        <w:bottom w:val="none" w:sz="0" w:space="0" w:color="auto"/>
        <w:right w:val="none" w:sz="0" w:space="0" w:color="auto"/>
      </w:divBdr>
    </w:div>
    <w:div w:id="456223981">
      <w:bodyDiv w:val="1"/>
      <w:marLeft w:val="0"/>
      <w:marRight w:val="0"/>
      <w:marTop w:val="0"/>
      <w:marBottom w:val="0"/>
      <w:divBdr>
        <w:top w:val="none" w:sz="0" w:space="0" w:color="auto"/>
        <w:left w:val="none" w:sz="0" w:space="0" w:color="auto"/>
        <w:bottom w:val="none" w:sz="0" w:space="0" w:color="auto"/>
        <w:right w:val="none" w:sz="0" w:space="0" w:color="auto"/>
      </w:divBdr>
      <w:divsChild>
        <w:div w:id="787772221">
          <w:marLeft w:val="0"/>
          <w:marRight w:val="0"/>
          <w:marTop w:val="0"/>
          <w:marBottom w:val="150"/>
          <w:divBdr>
            <w:top w:val="none" w:sz="0" w:space="0" w:color="auto"/>
            <w:left w:val="none" w:sz="0" w:space="0" w:color="auto"/>
            <w:bottom w:val="none" w:sz="0" w:space="0" w:color="auto"/>
            <w:right w:val="none" w:sz="0" w:space="0" w:color="auto"/>
          </w:divBdr>
        </w:div>
      </w:divsChild>
    </w:div>
    <w:div w:id="456801780">
      <w:bodyDiv w:val="1"/>
      <w:marLeft w:val="0"/>
      <w:marRight w:val="0"/>
      <w:marTop w:val="0"/>
      <w:marBottom w:val="0"/>
      <w:divBdr>
        <w:top w:val="none" w:sz="0" w:space="0" w:color="auto"/>
        <w:left w:val="none" w:sz="0" w:space="0" w:color="auto"/>
        <w:bottom w:val="none" w:sz="0" w:space="0" w:color="auto"/>
        <w:right w:val="none" w:sz="0" w:space="0" w:color="auto"/>
      </w:divBdr>
      <w:divsChild>
        <w:div w:id="194271719">
          <w:marLeft w:val="0"/>
          <w:marRight w:val="0"/>
          <w:marTop w:val="0"/>
          <w:marBottom w:val="0"/>
          <w:divBdr>
            <w:top w:val="none" w:sz="0" w:space="0" w:color="auto"/>
            <w:left w:val="none" w:sz="0" w:space="0" w:color="auto"/>
            <w:bottom w:val="none" w:sz="0" w:space="0" w:color="auto"/>
            <w:right w:val="none" w:sz="0" w:space="0" w:color="auto"/>
          </w:divBdr>
        </w:div>
      </w:divsChild>
    </w:div>
    <w:div w:id="456919516">
      <w:bodyDiv w:val="1"/>
      <w:marLeft w:val="0"/>
      <w:marRight w:val="0"/>
      <w:marTop w:val="0"/>
      <w:marBottom w:val="0"/>
      <w:divBdr>
        <w:top w:val="none" w:sz="0" w:space="0" w:color="auto"/>
        <w:left w:val="none" w:sz="0" w:space="0" w:color="auto"/>
        <w:bottom w:val="none" w:sz="0" w:space="0" w:color="auto"/>
        <w:right w:val="none" w:sz="0" w:space="0" w:color="auto"/>
      </w:divBdr>
      <w:divsChild>
        <w:div w:id="1748842634">
          <w:marLeft w:val="0"/>
          <w:marRight w:val="0"/>
          <w:marTop w:val="0"/>
          <w:marBottom w:val="0"/>
          <w:divBdr>
            <w:top w:val="none" w:sz="0" w:space="0" w:color="auto"/>
            <w:left w:val="none" w:sz="0" w:space="0" w:color="auto"/>
            <w:bottom w:val="dotted" w:sz="6" w:space="4" w:color="DDDDDD"/>
            <w:right w:val="none" w:sz="0" w:space="0" w:color="auto"/>
          </w:divBdr>
        </w:div>
      </w:divsChild>
    </w:div>
    <w:div w:id="457341195">
      <w:bodyDiv w:val="1"/>
      <w:marLeft w:val="0"/>
      <w:marRight w:val="0"/>
      <w:marTop w:val="0"/>
      <w:marBottom w:val="0"/>
      <w:divBdr>
        <w:top w:val="none" w:sz="0" w:space="0" w:color="auto"/>
        <w:left w:val="none" w:sz="0" w:space="0" w:color="auto"/>
        <w:bottom w:val="none" w:sz="0" w:space="0" w:color="auto"/>
        <w:right w:val="none" w:sz="0" w:space="0" w:color="auto"/>
      </w:divBdr>
    </w:div>
    <w:div w:id="457529539">
      <w:bodyDiv w:val="1"/>
      <w:marLeft w:val="0"/>
      <w:marRight w:val="0"/>
      <w:marTop w:val="0"/>
      <w:marBottom w:val="0"/>
      <w:divBdr>
        <w:top w:val="none" w:sz="0" w:space="0" w:color="auto"/>
        <w:left w:val="none" w:sz="0" w:space="0" w:color="auto"/>
        <w:bottom w:val="none" w:sz="0" w:space="0" w:color="auto"/>
        <w:right w:val="none" w:sz="0" w:space="0" w:color="auto"/>
      </w:divBdr>
      <w:divsChild>
        <w:div w:id="1432093226">
          <w:marLeft w:val="0"/>
          <w:marRight w:val="0"/>
          <w:marTop w:val="0"/>
          <w:marBottom w:val="0"/>
          <w:divBdr>
            <w:top w:val="none" w:sz="0" w:space="0" w:color="auto"/>
            <w:left w:val="none" w:sz="0" w:space="0" w:color="auto"/>
            <w:bottom w:val="none" w:sz="0" w:space="0" w:color="auto"/>
            <w:right w:val="none" w:sz="0" w:space="0" w:color="auto"/>
          </w:divBdr>
        </w:div>
        <w:div w:id="1765764571">
          <w:marLeft w:val="0"/>
          <w:marRight w:val="0"/>
          <w:marTop w:val="0"/>
          <w:marBottom w:val="0"/>
          <w:divBdr>
            <w:top w:val="none" w:sz="0" w:space="0" w:color="auto"/>
            <w:left w:val="none" w:sz="0" w:space="0" w:color="auto"/>
            <w:bottom w:val="none" w:sz="0" w:space="0" w:color="auto"/>
            <w:right w:val="none" w:sz="0" w:space="0" w:color="auto"/>
          </w:divBdr>
          <w:divsChild>
            <w:div w:id="1663311583">
              <w:marLeft w:val="0"/>
              <w:marRight w:val="0"/>
              <w:marTop w:val="0"/>
              <w:marBottom w:val="0"/>
              <w:divBdr>
                <w:top w:val="none" w:sz="0" w:space="0" w:color="auto"/>
                <w:left w:val="none" w:sz="0" w:space="0" w:color="auto"/>
                <w:bottom w:val="none" w:sz="0" w:space="0" w:color="auto"/>
                <w:right w:val="none" w:sz="0" w:space="0" w:color="auto"/>
              </w:divBdr>
              <w:divsChild>
                <w:div w:id="210449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494344">
      <w:bodyDiv w:val="1"/>
      <w:marLeft w:val="0"/>
      <w:marRight w:val="0"/>
      <w:marTop w:val="0"/>
      <w:marBottom w:val="0"/>
      <w:divBdr>
        <w:top w:val="none" w:sz="0" w:space="0" w:color="auto"/>
        <w:left w:val="none" w:sz="0" w:space="0" w:color="auto"/>
        <w:bottom w:val="none" w:sz="0" w:space="0" w:color="auto"/>
        <w:right w:val="none" w:sz="0" w:space="0" w:color="auto"/>
      </w:divBdr>
      <w:divsChild>
        <w:div w:id="1151749760">
          <w:marLeft w:val="0"/>
          <w:marRight w:val="0"/>
          <w:marTop w:val="0"/>
          <w:marBottom w:val="0"/>
          <w:divBdr>
            <w:top w:val="none" w:sz="0" w:space="0" w:color="auto"/>
            <w:left w:val="none" w:sz="0" w:space="0" w:color="auto"/>
            <w:bottom w:val="dotted" w:sz="6" w:space="4" w:color="DDDDDD"/>
            <w:right w:val="none" w:sz="0" w:space="0" w:color="auto"/>
          </w:divBdr>
        </w:div>
      </w:divsChild>
    </w:div>
    <w:div w:id="458494410">
      <w:bodyDiv w:val="1"/>
      <w:marLeft w:val="0"/>
      <w:marRight w:val="0"/>
      <w:marTop w:val="0"/>
      <w:marBottom w:val="0"/>
      <w:divBdr>
        <w:top w:val="none" w:sz="0" w:space="0" w:color="auto"/>
        <w:left w:val="none" w:sz="0" w:space="0" w:color="auto"/>
        <w:bottom w:val="none" w:sz="0" w:space="0" w:color="auto"/>
        <w:right w:val="none" w:sz="0" w:space="0" w:color="auto"/>
      </w:divBdr>
      <w:divsChild>
        <w:div w:id="2048026618">
          <w:marLeft w:val="0"/>
          <w:marRight w:val="0"/>
          <w:marTop w:val="0"/>
          <w:marBottom w:val="0"/>
          <w:divBdr>
            <w:top w:val="none" w:sz="0" w:space="0" w:color="auto"/>
            <w:left w:val="none" w:sz="0" w:space="0" w:color="auto"/>
            <w:bottom w:val="dotted" w:sz="6" w:space="4" w:color="DDDDDD"/>
            <w:right w:val="none" w:sz="0" w:space="0" w:color="auto"/>
          </w:divBdr>
        </w:div>
      </w:divsChild>
    </w:div>
    <w:div w:id="459345968">
      <w:bodyDiv w:val="1"/>
      <w:marLeft w:val="0"/>
      <w:marRight w:val="0"/>
      <w:marTop w:val="0"/>
      <w:marBottom w:val="0"/>
      <w:divBdr>
        <w:top w:val="none" w:sz="0" w:space="0" w:color="auto"/>
        <w:left w:val="none" w:sz="0" w:space="0" w:color="auto"/>
        <w:bottom w:val="none" w:sz="0" w:space="0" w:color="auto"/>
        <w:right w:val="none" w:sz="0" w:space="0" w:color="auto"/>
      </w:divBdr>
      <w:divsChild>
        <w:div w:id="1186483519">
          <w:marLeft w:val="0"/>
          <w:marRight w:val="0"/>
          <w:marTop w:val="0"/>
          <w:marBottom w:val="0"/>
          <w:divBdr>
            <w:top w:val="none" w:sz="0" w:space="0" w:color="auto"/>
            <w:left w:val="none" w:sz="0" w:space="0" w:color="auto"/>
            <w:bottom w:val="none" w:sz="0" w:space="0" w:color="auto"/>
            <w:right w:val="none" w:sz="0" w:space="0" w:color="auto"/>
          </w:divBdr>
        </w:div>
        <w:div w:id="2013608642">
          <w:marLeft w:val="0"/>
          <w:marRight w:val="0"/>
          <w:marTop w:val="0"/>
          <w:marBottom w:val="0"/>
          <w:divBdr>
            <w:top w:val="none" w:sz="0" w:space="0" w:color="auto"/>
            <w:left w:val="none" w:sz="0" w:space="0" w:color="auto"/>
            <w:bottom w:val="none" w:sz="0" w:space="0" w:color="auto"/>
            <w:right w:val="none" w:sz="0" w:space="0" w:color="auto"/>
          </w:divBdr>
        </w:div>
      </w:divsChild>
    </w:div>
    <w:div w:id="459540043">
      <w:bodyDiv w:val="1"/>
      <w:marLeft w:val="0"/>
      <w:marRight w:val="0"/>
      <w:marTop w:val="0"/>
      <w:marBottom w:val="0"/>
      <w:divBdr>
        <w:top w:val="none" w:sz="0" w:space="0" w:color="auto"/>
        <w:left w:val="none" w:sz="0" w:space="0" w:color="auto"/>
        <w:bottom w:val="none" w:sz="0" w:space="0" w:color="auto"/>
        <w:right w:val="none" w:sz="0" w:space="0" w:color="auto"/>
      </w:divBdr>
      <w:divsChild>
        <w:div w:id="1862088398">
          <w:marLeft w:val="0"/>
          <w:marRight w:val="0"/>
          <w:marTop w:val="0"/>
          <w:marBottom w:val="0"/>
          <w:divBdr>
            <w:top w:val="none" w:sz="0" w:space="0" w:color="auto"/>
            <w:left w:val="none" w:sz="0" w:space="0" w:color="auto"/>
            <w:bottom w:val="none" w:sz="0" w:space="0" w:color="auto"/>
            <w:right w:val="none" w:sz="0" w:space="0" w:color="auto"/>
          </w:divBdr>
          <w:divsChild>
            <w:div w:id="1034229097">
              <w:marLeft w:val="2700"/>
              <w:marRight w:val="0"/>
              <w:marTop w:val="0"/>
              <w:marBottom w:val="0"/>
              <w:divBdr>
                <w:top w:val="none" w:sz="0" w:space="0" w:color="auto"/>
                <w:left w:val="none" w:sz="0" w:space="0" w:color="auto"/>
                <w:bottom w:val="none" w:sz="0" w:space="0" w:color="auto"/>
                <w:right w:val="none" w:sz="0" w:space="0" w:color="auto"/>
              </w:divBdr>
              <w:divsChild>
                <w:div w:id="85631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736426">
      <w:bodyDiv w:val="1"/>
      <w:marLeft w:val="0"/>
      <w:marRight w:val="0"/>
      <w:marTop w:val="0"/>
      <w:marBottom w:val="0"/>
      <w:divBdr>
        <w:top w:val="none" w:sz="0" w:space="0" w:color="auto"/>
        <w:left w:val="none" w:sz="0" w:space="0" w:color="auto"/>
        <w:bottom w:val="none" w:sz="0" w:space="0" w:color="auto"/>
        <w:right w:val="none" w:sz="0" w:space="0" w:color="auto"/>
      </w:divBdr>
      <w:divsChild>
        <w:div w:id="183177885">
          <w:marLeft w:val="0"/>
          <w:marRight w:val="0"/>
          <w:marTop w:val="0"/>
          <w:marBottom w:val="0"/>
          <w:divBdr>
            <w:top w:val="none" w:sz="0" w:space="0" w:color="auto"/>
            <w:left w:val="none" w:sz="0" w:space="0" w:color="auto"/>
            <w:bottom w:val="dotted" w:sz="6" w:space="4" w:color="DDDDDD"/>
            <w:right w:val="none" w:sz="0" w:space="0" w:color="auto"/>
          </w:divBdr>
        </w:div>
      </w:divsChild>
    </w:div>
    <w:div w:id="459808515">
      <w:bodyDiv w:val="1"/>
      <w:marLeft w:val="0"/>
      <w:marRight w:val="0"/>
      <w:marTop w:val="0"/>
      <w:marBottom w:val="0"/>
      <w:divBdr>
        <w:top w:val="none" w:sz="0" w:space="0" w:color="auto"/>
        <w:left w:val="none" w:sz="0" w:space="0" w:color="auto"/>
        <w:bottom w:val="none" w:sz="0" w:space="0" w:color="auto"/>
        <w:right w:val="none" w:sz="0" w:space="0" w:color="auto"/>
      </w:divBdr>
      <w:divsChild>
        <w:div w:id="842626234">
          <w:marLeft w:val="0"/>
          <w:marRight w:val="0"/>
          <w:marTop w:val="0"/>
          <w:marBottom w:val="0"/>
          <w:divBdr>
            <w:top w:val="none" w:sz="0" w:space="0" w:color="auto"/>
            <w:left w:val="none" w:sz="0" w:space="0" w:color="auto"/>
            <w:bottom w:val="none" w:sz="0" w:space="0" w:color="auto"/>
            <w:right w:val="none" w:sz="0" w:space="0" w:color="auto"/>
          </w:divBdr>
          <w:divsChild>
            <w:div w:id="2137790130">
              <w:marLeft w:val="0"/>
              <w:marRight w:val="0"/>
              <w:marTop w:val="0"/>
              <w:marBottom w:val="0"/>
              <w:divBdr>
                <w:top w:val="none" w:sz="0" w:space="0" w:color="auto"/>
                <w:left w:val="none" w:sz="0" w:space="0" w:color="auto"/>
                <w:bottom w:val="none" w:sz="0" w:space="0" w:color="auto"/>
                <w:right w:val="none" w:sz="0" w:space="0" w:color="auto"/>
              </w:divBdr>
              <w:divsChild>
                <w:div w:id="1303466333">
                  <w:marLeft w:val="0"/>
                  <w:marRight w:val="0"/>
                  <w:marTop w:val="0"/>
                  <w:marBottom w:val="0"/>
                  <w:divBdr>
                    <w:top w:val="none" w:sz="0" w:space="0" w:color="auto"/>
                    <w:left w:val="none" w:sz="0" w:space="0" w:color="auto"/>
                    <w:bottom w:val="none" w:sz="0" w:space="0" w:color="auto"/>
                    <w:right w:val="none" w:sz="0" w:space="0" w:color="auto"/>
                  </w:divBdr>
                  <w:divsChild>
                    <w:div w:id="1963491245">
                      <w:marLeft w:val="0"/>
                      <w:marRight w:val="0"/>
                      <w:marTop w:val="0"/>
                      <w:marBottom w:val="0"/>
                      <w:divBdr>
                        <w:top w:val="none" w:sz="0" w:space="0" w:color="auto"/>
                        <w:left w:val="none" w:sz="0" w:space="0" w:color="auto"/>
                        <w:bottom w:val="none" w:sz="0" w:space="0" w:color="auto"/>
                        <w:right w:val="none" w:sz="0" w:space="0" w:color="auto"/>
                      </w:divBdr>
                      <w:divsChild>
                        <w:div w:id="1455565566">
                          <w:marLeft w:val="0"/>
                          <w:marRight w:val="0"/>
                          <w:marTop w:val="0"/>
                          <w:marBottom w:val="0"/>
                          <w:divBdr>
                            <w:top w:val="none" w:sz="0" w:space="0" w:color="auto"/>
                            <w:left w:val="none" w:sz="0" w:space="0" w:color="auto"/>
                            <w:bottom w:val="none" w:sz="0" w:space="0" w:color="auto"/>
                            <w:right w:val="none" w:sz="0" w:space="0" w:color="auto"/>
                          </w:divBdr>
                          <w:divsChild>
                            <w:div w:id="521166089">
                              <w:marLeft w:val="0"/>
                              <w:marRight w:val="0"/>
                              <w:marTop w:val="0"/>
                              <w:marBottom w:val="0"/>
                              <w:divBdr>
                                <w:top w:val="none" w:sz="0" w:space="0" w:color="auto"/>
                                <w:left w:val="none" w:sz="0" w:space="0" w:color="auto"/>
                                <w:bottom w:val="none" w:sz="0" w:space="0" w:color="auto"/>
                                <w:right w:val="none" w:sz="0" w:space="0" w:color="auto"/>
                              </w:divBdr>
                              <w:divsChild>
                                <w:div w:id="688871414">
                                  <w:marLeft w:val="0"/>
                                  <w:marRight w:val="0"/>
                                  <w:marTop w:val="0"/>
                                  <w:marBottom w:val="0"/>
                                  <w:divBdr>
                                    <w:top w:val="none" w:sz="0" w:space="0" w:color="auto"/>
                                    <w:left w:val="none" w:sz="0" w:space="0" w:color="auto"/>
                                    <w:bottom w:val="none" w:sz="0" w:space="0" w:color="auto"/>
                                    <w:right w:val="none" w:sz="0" w:space="0" w:color="auto"/>
                                  </w:divBdr>
                                  <w:divsChild>
                                    <w:div w:id="345518618">
                                      <w:marLeft w:val="0"/>
                                      <w:marRight w:val="0"/>
                                      <w:marTop w:val="0"/>
                                      <w:marBottom w:val="0"/>
                                      <w:divBdr>
                                        <w:top w:val="none" w:sz="0" w:space="0" w:color="auto"/>
                                        <w:left w:val="none" w:sz="0" w:space="0" w:color="auto"/>
                                        <w:bottom w:val="none" w:sz="0" w:space="0" w:color="auto"/>
                                        <w:right w:val="none" w:sz="0" w:space="0" w:color="auto"/>
                                      </w:divBdr>
                                      <w:divsChild>
                                        <w:div w:id="106937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0076736">
      <w:bodyDiv w:val="1"/>
      <w:marLeft w:val="0"/>
      <w:marRight w:val="0"/>
      <w:marTop w:val="0"/>
      <w:marBottom w:val="0"/>
      <w:divBdr>
        <w:top w:val="none" w:sz="0" w:space="0" w:color="auto"/>
        <w:left w:val="none" w:sz="0" w:space="0" w:color="auto"/>
        <w:bottom w:val="none" w:sz="0" w:space="0" w:color="auto"/>
        <w:right w:val="none" w:sz="0" w:space="0" w:color="auto"/>
      </w:divBdr>
      <w:divsChild>
        <w:div w:id="495800306">
          <w:marLeft w:val="0"/>
          <w:marRight w:val="0"/>
          <w:marTop w:val="0"/>
          <w:marBottom w:val="0"/>
          <w:divBdr>
            <w:top w:val="none" w:sz="0" w:space="0" w:color="auto"/>
            <w:left w:val="none" w:sz="0" w:space="0" w:color="auto"/>
            <w:bottom w:val="none" w:sz="0" w:space="0" w:color="auto"/>
            <w:right w:val="none" w:sz="0" w:space="0" w:color="auto"/>
          </w:divBdr>
          <w:divsChild>
            <w:div w:id="847671571">
              <w:marLeft w:val="0"/>
              <w:marRight w:val="0"/>
              <w:marTop w:val="0"/>
              <w:marBottom w:val="0"/>
              <w:divBdr>
                <w:top w:val="none" w:sz="0" w:space="0" w:color="auto"/>
                <w:left w:val="none" w:sz="0" w:space="0" w:color="auto"/>
                <w:bottom w:val="none" w:sz="0" w:space="0" w:color="auto"/>
                <w:right w:val="none" w:sz="0" w:space="0" w:color="auto"/>
              </w:divBdr>
            </w:div>
          </w:divsChild>
        </w:div>
        <w:div w:id="1041397891">
          <w:marLeft w:val="0"/>
          <w:marRight w:val="0"/>
          <w:marTop w:val="0"/>
          <w:marBottom w:val="150"/>
          <w:divBdr>
            <w:top w:val="none" w:sz="0" w:space="0" w:color="auto"/>
            <w:left w:val="none" w:sz="0" w:space="0" w:color="auto"/>
            <w:bottom w:val="none" w:sz="0" w:space="0" w:color="auto"/>
            <w:right w:val="none" w:sz="0" w:space="0" w:color="auto"/>
          </w:divBdr>
        </w:div>
        <w:div w:id="1479959804">
          <w:marLeft w:val="0"/>
          <w:marRight w:val="0"/>
          <w:marTop w:val="0"/>
          <w:marBottom w:val="150"/>
          <w:divBdr>
            <w:top w:val="none" w:sz="0" w:space="0" w:color="auto"/>
            <w:left w:val="none" w:sz="0" w:space="0" w:color="auto"/>
            <w:bottom w:val="none" w:sz="0" w:space="0" w:color="auto"/>
            <w:right w:val="none" w:sz="0" w:space="0" w:color="auto"/>
          </w:divBdr>
          <w:divsChild>
            <w:div w:id="40299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267727">
      <w:bodyDiv w:val="1"/>
      <w:marLeft w:val="0"/>
      <w:marRight w:val="0"/>
      <w:marTop w:val="0"/>
      <w:marBottom w:val="0"/>
      <w:divBdr>
        <w:top w:val="none" w:sz="0" w:space="0" w:color="auto"/>
        <w:left w:val="none" w:sz="0" w:space="0" w:color="auto"/>
        <w:bottom w:val="none" w:sz="0" w:space="0" w:color="auto"/>
        <w:right w:val="none" w:sz="0" w:space="0" w:color="auto"/>
      </w:divBdr>
      <w:divsChild>
        <w:div w:id="479620962">
          <w:marLeft w:val="0"/>
          <w:marRight w:val="0"/>
          <w:marTop w:val="0"/>
          <w:marBottom w:val="0"/>
          <w:divBdr>
            <w:top w:val="none" w:sz="0" w:space="0" w:color="auto"/>
            <w:left w:val="none" w:sz="0" w:space="0" w:color="auto"/>
            <w:bottom w:val="none" w:sz="0" w:space="0" w:color="auto"/>
            <w:right w:val="none" w:sz="0" w:space="0" w:color="auto"/>
          </w:divBdr>
        </w:div>
      </w:divsChild>
    </w:div>
    <w:div w:id="460727542">
      <w:bodyDiv w:val="1"/>
      <w:marLeft w:val="0"/>
      <w:marRight w:val="0"/>
      <w:marTop w:val="0"/>
      <w:marBottom w:val="0"/>
      <w:divBdr>
        <w:top w:val="none" w:sz="0" w:space="0" w:color="auto"/>
        <w:left w:val="none" w:sz="0" w:space="0" w:color="auto"/>
        <w:bottom w:val="none" w:sz="0" w:space="0" w:color="auto"/>
        <w:right w:val="none" w:sz="0" w:space="0" w:color="auto"/>
      </w:divBdr>
      <w:divsChild>
        <w:div w:id="469369900">
          <w:marLeft w:val="0"/>
          <w:marRight w:val="0"/>
          <w:marTop w:val="0"/>
          <w:marBottom w:val="0"/>
          <w:divBdr>
            <w:top w:val="none" w:sz="0" w:space="0" w:color="auto"/>
            <w:left w:val="none" w:sz="0" w:space="0" w:color="auto"/>
            <w:bottom w:val="dotted" w:sz="6" w:space="4" w:color="DDDDDD"/>
            <w:right w:val="none" w:sz="0" w:space="0" w:color="auto"/>
          </w:divBdr>
          <w:divsChild>
            <w:div w:id="40772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999425">
      <w:bodyDiv w:val="1"/>
      <w:marLeft w:val="0"/>
      <w:marRight w:val="0"/>
      <w:marTop w:val="0"/>
      <w:marBottom w:val="0"/>
      <w:divBdr>
        <w:top w:val="none" w:sz="0" w:space="0" w:color="auto"/>
        <w:left w:val="none" w:sz="0" w:space="0" w:color="auto"/>
        <w:bottom w:val="none" w:sz="0" w:space="0" w:color="auto"/>
        <w:right w:val="none" w:sz="0" w:space="0" w:color="auto"/>
      </w:divBdr>
      <w:divsChild>
        <w:div w:id="216017403">
          <w:marLeft w:val="0"/>
          <w:marRight w:val="0"/>
          <w:marTop w:val="0"/>
          <w:marBottom w:val="150"/>
          <w:divBdr>
            <w:top w:val="none" w:sz="0" w:space="0" w:color="auto"/>
            <w:left w:val="none" w:sz="0" w:space="0" w:color="auto"/>
            <w:bottom w:val="none" w:sz="0" w:space="0" w:color="auto"/>
            <w:right w:val="none" w:sz="0" w:space="0" w:color="auto"/>
          </w:divBdr>
        </w:div>
      </w:divsChild>
    </w:div>
    <w:div w:id="461196089">
      <w:bodyDiv w:val="1"/>
      <w:marLeft w:val="0"/>
      <w:marRight w:val="0"/>
      <w:marTop w:val="0"/>
      <w:marBottom w:val="0"/>
      <w:divBdr>
        <w:top w:val="none" w:sz="0" w:space="0" w:color="auto"/>
        <w:left w:val="none" w:sz="0" w:space="0" w:color="auto"/>
        <w:bottom w:val="none" w:sz="0" w:space="0" w:color="auto"/>
        <w:right w:val="none" w:sz="0" w:space="0" w:color="auto"/>
      </w:divBdr>
      <w:divsChild>
        <w:div w:id="1182936171">
          <w:marLeft w:val="0"/>
          <w:marRight w:val="0"/>
          <w:marTop w:val="0"/>
          <w:marBottom w:val="0"/>
          <w:divBdr>
            <w:top w:val="none" w:sz="0" w:space="0" w:color="auto"/>
            <w:left w:val="none" w:sz="0" w:space="0" w:color="auto"/>
            <w:bottom w:val="none" w:sz="0" w:space="0" w:color="auto"/>
            <w:right w:val="none" w:sz="0" w:space="0" w:color="auto"/>
          </w:divBdr>
          <w:divsChild>
            <w:div w:id="69095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508062">
      <w:bodyDiv w:val="1"/>
      <w:marLeft w:val="0"/>
      <w:marRight w:val="0"/>
      <w:marTop w:val="0"/>
      <w:marBottom w:val="0"/>
      <w:divBdr>
        <w:top w:val="none" w:sz="0" w:space="0" w:color="auto"/>
        <w:left w:val="none" w:sz="0" w:space="0" w:color="auto"/>
        <w:bottom w:val="none" w:sz="0" w:space="0" w:color="auto"/>
        <w:right w:val="none" w:sz="0" w:space="0" w:color="auto"/>
      </w:divBdr>
      <w:divsChild>
        <w:div w:id="1120103332">
          <w:marLeft w:val="0"/>
          <w:marRight w:val="0"/>
          <w:marTop w:val="0"/>
          <w:marBottom w:val="0"/>
          <w:divBdr>
            <w:top w:val="none" w:sz="0" w:space="0" w:color="auto"/>
            <w:left w:val="none" w:sz="0" w:space="0" w:color="auto"/>
            <w:bottom w:val="none" w:sz="0" w:space="0" w:color="auto"/>
            <w:right w:val="none" w:sz="0" w:space="0" w:color="auto"/>
          </w:divBdr>
          <w:divsChild>
            <w:div w:id="4081608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62309964">
      <w:bodyDiv w:val="1"/>
      <w:marLeft w:val="0"/>
      <w:marRight w:val="0"/>
      <w:marTop w:val="0"/>
      <w:marBottom w:val="0"/>
      <w:divBdr>
        <w:top w:val="none" w:sz="0" w:space="0" w:color="auto"/>
        <w:left w:val="none" w:sz="0" w:space="0" w:color="auto"/>
        <w:bottom w:val="none" w:sz="0" w:space="0" w:color="auto"/>
        <w:right w:val="none" w:sz="0" w:space="0" w:color="auto"/>
      </w:divBdr>
      <w:divsChild>
        <w:div w:id="54281880">
          <w:marLeft w:val="0"/>
          <w:marRight w:val="0"/>
          <w:marTop w:val="0"/>
          <w:marBottom w:val="150"/>
          <w:divBdr>
            <w:top w:val="none" w:sz="0" w:space="0" w:color="auto"/>
            <w:left w:val="none" w:sz="0" w:space="0" w:color="auto"/>
            <w:bottom w:val="none" w:sz="0" w:space="0" w:color="auto"/>
            <w:right w:val="none" w:sz="0" w:space="0" w:color="auto"/>
          </w:divBdr>
        </w:div>
      </w:divsChild>
    </w:div>
    <w:div w:id="462577425">
      <w:bodyDiv w:val="1"/>
      <w:marLeft w:val="0"/>
      <w:marRight w:val="0"/>
      <w:marTop w:val="0"/>
      <w:marBottom w:val="0"/>
      <w:divBdr>
        <w:top w:val="none" w:sz="0" w:space="0" w:color="auto"/>
        <w:left w:val="none" w:sz="0" w:space="0" w:color="auto"/>
        <w:bottom w:val="none" w:sz="0" w:space="0" w:color="auto"/>
        <w:right w:val="none" w:sz="0" w:space="0" w:color="auto"/>
      </w:divBdr>
    </w:div>
    <w:div w:id="462578551">
      <w:bodyDiv w:val="1"/>
      <w:marLeft w:val="0"/>
      <w:marRight w:val="0"/>
      <w:marTop w:val="0"/>
      <w:marBottom w:val="0"/>
      <w:divBdr>
        <w:top w:val="none" w:sz="0" w:space="0" w:color="auto"/>
        <w:left w:val="none" w:sz="0" w:space="0" w:color="auto"/>
        <w:bottom w:val="none" w:sz="0" w:space="0" w:color="auto"/>
        <w:right w:val="none" w:sz="0" w:space="0" w:color="auto"/>
      </w:divBdr>
      <w:divsChild>
        <w:div w:id="548996344">
          <w:marLeft w:val="0"/>
          <w:marRight w:val="0"/>
          <w:marTop w:val="225"/>
          <w:marBottom w:val="225"/>
          <w:divBdr>
            <w:top w:val="none" w:sz="0" w:space="0" w:color="auto"/>
            <w:left w:val="none" w:sz="0" w:space="0" w:color="auto"/>
            <w:bottom w:val="none" w:sz="0" w:space="0" w:color="auto"/>
            <w:right w:val="none" w:sz="0" w:space="0" w:color="auto"/>
          </w:divBdr>
        </w:div>
      </w:divsChild>
    </w:div>
    <w:div w:id="462619629">
      <w:bodyDiv w:val="1"/>
      <w:marLeft w:val="0"/>
      <w:marRight w:val="0"/>
      <w:marTop w:val="0"/>
      <w:marBottom w:val="0"/>
      <w:divBdr>
        <w:top w:val="none" w:sz="0" w:space="0" w:color="auto"/>
        <w:left w:val="none" w:sz="0" w:space="0" w:color="auto"/>
        <w:bottom w:val="none" w:sz="0" w:space="0" w:color="auto"/>
        <w:right w:val="none" w:sz="0" w:space="0" w:color="auto"/>
      </w:divBdr>
    </w:div>
    <w:div w:id="463081127">
      <w:bodyDiv w:val="1"/>
      <w:marLeft w:val="0"/>
      <w:marRight w:val="0"/>
      <w:marTop w:val="0"/>
      <w:marBottom w:val="0"/>
      <w:divBdr>
        <w:top w:val="none" w:sz="0" w:space="0" w:color="auto"/>
        <w:left w:val="none" w:sz="0" w:space="0" w:color="auto"/>
        <w:bottom w:val="none" w:sz="0" w:space="0" w:color="auto"/>
        <w:right w:val="none" w:sz="0" w:space="0" w:color="auto"/>
      </w:divBdr>
      <w:divsChild>
        <w:div w:id="201600971">
          <w:marLeft w:val="0"/>
          <w:marRight w:val="0"/>
          <w:marTop w:val="0"/>
          <w:marBottom w:val="0"/>
          <w:divBdr>
            <w:top w:val="none" w:sz="0" w:space="0" w:color="auto"/>
            <w:left w:val="none" w:sz="0" w:space="0" w:color="auto"/>
            <w:bottom w:val="none" w:sz="0" w:space="0" w:color="auto"/>
            <w:right w:val="none" w:sz="0" w:space="0" w:color="auto"/>
          </w:divBdr>
          <w:divsChild>
            <w:div w:id="893856491">
              <w:marLeft w:val="0"/>
              <w:marRight w:val="0"/>
              <w:marTop w:val="0"/>
              <w:marBottom w:val="0"/>
              <w:divBdr>
                <w:top w:val="none" w:sz="0" w:space="0" w:color="auto"/>
                <w:left w:val="none" w:sz="0" w:space="0" w:color="auto"/>
                <w:bottom w:val="none" w:sz="0" w:space="0" w:color="auto"/>
                <w:right w:val="none" w:sz="0" w:space="0" w:color="auto"/>
              </w:divBdr>
              <w:divsChild>
                <w:div w:id="1993098092">
                  <w:marLeft w:val="0"/>
                  <w:marRight w:val="0"/>
                  <w:marTop w:val="0"/>
                  <w:marBottom w:val="0"/>
                  <w:divBdr>
                    <w:top w:val="none" w:sz="0" w:space="0" w:color="auto"/>
                    <w:left w:val="none" w:sz="0" w:space="0" w:color="auto"/>
                    <w:bottom w:val="none" w:sz="0" w:space="0" w:color="auto"/>
                    <w:right w:val="none" w:sz="0" w:space="0" w:color="auto"/>
                  </w:divBdr>
                  <w:divsChild>
                    <w:div w:id="339935455">
                      <w:marLeft w:val="0"/>
                      <w:marRight w:val="0"/>
                      <w:marTop w:val="0"/>
                      <w:marBottom w:val="0"/>
                      <w:divBdr>
                        <w:top w:val="none" w:sz="0" w:space="0" w:color="auto"/>
                        <w:left w:val="none" w:sz="0" w:space="0" w:color="auto"/>
                        <w:bottom w:val="none" w:sz="0" w:space="0" w:color="auto"/>
                        <w:right w:val="none" w:sz="0" w:space="0" w:color="auto"/>
                      </w:divBdr>
                      <w:divsChild>
                        <w:div w:id="1410810852">
                          <w:marLeft w:val="0"/>
                          <w:marRight w:val="0"/>
                          <w:marTop w:val="0"/>
                          <w:marBottom w:val="0"/>
                          <w:divBdr>
                            <w:top w:val="none" w:sz="0" w:space="0" w:color="auto"/>
                            <w:left w:val="none" w:sz="0" w:space="0" w:color="auto"/>
                            <w:bottom w:val="none" w:sz="0" w:space="0" w:color="auto"/>
                            <w:right w:val="none" w:sz="0" w:space="0" w:color="auto"/>
                          </w:divBdr>
                          <w:divsChild>
                            <w:div w:id="1856310312">
                              <w:marLeft w:val="0"/>
                              <w:marRight w:val="0"/>
                              <w:marTop w:val="0"/>
                              <w:marBottom w:val="0"/>
                              <w:divBdr>
                                <w:top w:val="none" w:sz="0" w:space="0" w:color="auto"/>
                                <w:left w:val="none" w:sz="0" w:space="0" w:color="auto"/>
                                <w:bottom w:val="none" w:sz="0" w:space="0" w:color="auto"/>
                                <w:right w:val="none" w:sz="0" w:space="0" w:color="auto"/>
                              </w:divBdr>
                              <w:divsChild>
                                <w:div w:id="1740865401">
                                  <w:marLeft w:val="0"/>
                                  <w:marRight w:val="0"/>
                                  <w:marTop w:val="0"/>
                                  <w:marBottom w:val="0"/>
                                  <w:divBdr>
                                    <w:top w:val="none" w:sz="0" w:space="0" w:color="auto"/>
                                    <w:left w:val="none" w:sz="0" w:space="0" w:color="auto"/>
                                    <w:bottom w:val="none" w:sz="0" w:space="0" w:color="auto"/>
                                    <w:right w:val="none" w:sz="0" w:space="0" w:color="auto"/>
                                  </w:divBdr>
                                  <w:divsChild>
                                    <w:div w:id="139474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3083057">
      <w:bodyDiv w:val="1"/>
      <w:marLeft w:val="0"/>
      <w:marRight w:val="0"/>
      <w:marTop w:val="0"/>
      <w:marBottom w:val="0"/>
      <w:divBdr>
        <w:top w:val="none" w:sz="0" w:space="0" w:color="auto"/>
        <w:left w:val="none" w:sz="0" w:space="0" w:color="auto"/>
        <w:bottom w:val="none" w:sz="0" w:space="0" w:color="auto"/>
        <w:right w:val="none" w:sz="0" w:space="0" w:color="auto"/>
      </w:divBdr>
      <w:divsChild>
        <w:div w:id="296377631">
          <w:marLeft w:val="0"/>
          <w:marRight w:val="0"/>
          <w:marTop w:val="150"/>
          <w:marBottom w:val="0"/>
          <w:divBdr>
            <w:top w:val="none" w:sz="0" w:space="0" w:color="auto"/>
            <w:left w:val="none" w:sz="0" w:space="0" w:color="auto"/>
            <w:bottom w:val="none" w:sz="0" w:space="0" w:color="auto"/>
            <w:right w:val="none" w:sz="0" w:space="0" w:color="auto"/>
          </w:divBdr>
          <w:divsChild>
            <w:div w:id="300501575">
              <w:marLeft w:val="0"/>
              <w:marRight w:val="150"/>
              <w:marTop w:val="0"/>
              <w:marBottom w:val="0"/>
              <w:divBdr>
                <w:top w:val="none" w:sz="0" w:space="0" w:color="auto"/>
                <w:left w:val="none" w:sz="0" w:space="0" w:color="auto"/>
                <w:bottom w:val="none" w:sz="0" w:space="0" w:color="auto"/>
                <w:right w:val="none" w:sz="0" w:space="0" w:color="auto"/>
              </w:divBdr>
            </w:div>
          </w:divsChild>
        </w:div>
        <w:div w:id="1527062908">
          <w:marLeft w:val="0"/>
          <w:marRight w:val="0"/>
          <w:marTop w:val="0"/>
          <w:marBottom w:val="0"/>
          <w:divBdr>
            <w:top w:val="none" w:sz="0" w:space="8" w:color="auto"/>
            <w:left w:val="none" w:sz="0" w:space="2" w:color="auto"/>
            <w:bottom w:val="single" w:sz="6" w:space="8" w:color="DDDDDD"/>
            <w:right w:val="none" w:sz="0" w:space="0" w:color="auto"/>
          </w:divBdr>
        </w:div>
      </w:divsChild>
    </w:div>
    <w:div w:id="463232867">
      <w:bodyDiv w:val="1"/>
      <w:marLeft w:val="0"/>
      <w:marRight w:val="0"/>
      <w:marTop w:val="0"/>
      <w:marBottom w:val="0"/>
      <w:divBdr>
        <w:top w:val="none" w:sz="0" w:space="0" w:color="auto"/>
        <w:left w:val="none" w:sz="0" w:space="0" w:color="auto"/>
        <w:bottom w:val="none" w:sz="0" w:space="0" w:color="auto"/>
        <w:right w:val="none" w:sz="0" w:space="0" w:color="auto"/>
      </w:divBdr>
      <w:divsChild>
        <w:div w:id="1827434294">
          <w:marLeft w:val="0"/>
          <w:marRight w:val="0"/>
          <w:marTop w:val="0"/>
          <w:marBottom w:val="150"/>
          <w:divBdr>
            <w:top w:val="none" w:sz="0" w:space="0" w:color="auto"/>
            <w:left w:val="none" w:sz="0" w:space="0" w:color="auto"/>
            <w:bottom w:val="none" w:sz="0" w:space="0" w:color="auto"/>
            <w:right w:val="none" w:sz="0" w:space="0" w:color="auto"/>
          </w:divBdr>
        </w:div>
      </w:divsChild>
    </w:div>
    <w:div w:id="463279872">
      <w:bodyDiv w:val="1"/>
      <w:marLeft w:val="0"/>
      <w:marRight w:val="0"/>
      <w:marTop w:val="0"/>
      <w:marBottom w:val="0"/>
      <w:divBdr>
        <w:top w:val="none" w:sz="0" w:space="0" w:color="auto"/>
        <w:left w:val="none" w:sz="0" w:space="0" w:color="auto"/>
        <w:bottom w:val="none" w:sz="0" w:space="0" w:color="auto"/>
        <w:right w:val="none" w:sz="0" w:space="0" w:color="auto"/>
      </w:divBdr>
      <w:divsChild>
        <w:div w:id="1195074204">
          <w:marLeft w:val="0"/>
          <w:marRight w:val="0"/>
          <w:marTop w:val="0"/>
          <w:marBottom w:val="0"/>
          <w:divBdr>
            <w:top w:val="none" w:sz="0" w:space="0" w:color="auto"/>
            <w:left w:val="none" w:sz="0" w:space="0" w:color="auto"/>
            <w:bottom w:val="none" w:sz="0" w:space="0" w:color="auto"/>
            <w:right w:val="none" w:sz="0" w:space="0" w:color="auto"/>
          </w:divBdr>
          <w:divsChild>
            <w:div w:id="1512329086">
              <w:marLeft w:val="0"/>
              <w:marRight w:val="0"/>
              <w:marTop w:val="225"/>
              <w:marBottom w:val="225"/>
              <w:divBdr>
                <w:top w:val="none" w:sz="0" w:space="0" w:color="auto"/>
                <w:left w:val="none" w:sz="0" w:space="0" w:color="auto"/>
                <w:bottom w:val="none" w:sz="0" w:space="0" w:color="auto"/>
                <w:right w:val="none" w:sz="0" w:space="0" w:color="auto"/>
              </w:divBdr>
            </w:div>
          </w:divsChild>
        </w:div>
        <w:div w:id="1401247949">
          <w:marLeft w:val="0"/>
          <w:marRight w:val="0"/>
          <w:marTop w:val="0"/>
          <w:marBottom w:val="150"/>
          <w:divBdr>
            <w:top w:val="none" w:sz="0" w:space="0" w:color="auto"/>
            <w:left w:val="none" w:sz="0" w:space="0" w:color="auto"/>
            <w:bottom w:val="none" w:sz="0" w:space="0" w:color="auto"/>
            <w:right w:val="none" w:sz="0" w:space="0" w:color="auto"/>
          </w:divBdr>
        </w:div>
        <w:div w:id="1842046251">
          <w:marLeft w:val="0"/>
          <w:marRight w:val="0"/>
          <w:marTop w:val="0"/>
          <w:marBottom w:val="150"/>
          <w:divBdr>
            <w:top w:val="none" w:sz="0" w:space="0" w:color="auto"/>
            <w:left w:val="none" w:sz="0" w:space="0" w:color="auto"/>
            <w:bottom w:val="none" w:sz="0" w:space="0" w:color="auto"/>
            <w:right w:val="none" w:sz="0" w:space="0" w:color="auto"/>
          </w:divBdr>
          <w:divsChild>
            <w:div w:id="622200772">
              <w:marLeft w:val="0"/>
              <w:marRight w:val="0"/>
              <w:marTop w:val="0"/>
              <w:marBottom w:val="0"/>
              <w:divBdr>
                <w:top w:val="none" w:sz="0" w:space="0" w:color="auto"/>
                <w:left w:val="none" w:sz="0" w:space="0" w:color="auto"/>
                <w:bottom w:val="none" w:sz="0" w:space="0" w:color="auto"/>
                <w:right w:val="none" w:sz="0" w:space="0" w:color="auto"/>
              </w:divBdr>
              <w:divsChild>
                <w:div w:id="69049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740805">
      <w:bodyDiv w:val="1"/>
      <w:marLeft w:val="0"/>
      <w:marRight w:val="0"/>
      <w:marTop w:val="0"/>
      <w:marBottom w:val="0"/>
      <w:divBdr>
        <w:top w:val="none" w:sz="0" w:space="0" w:color="auto"/>
        <w:left w:val="none" w:sz="0" w:space="0" w:color="auto"/>
        <w:bottom w:val="none" w:sz="0" w:space="0" w:color="auto"/>
        <w:right w:val="none" w:sz="0" w:space="0" w:color="auto"/>
      </w:divBdr>
      <w:divsChild>
        <w:div w:id="1113357385">
          <w:marLeft w:val="0"/>
          <w:marRight w:val="0"/>
          <w:marTop w:val="0"/>
          <w:marBottom w:val="0"/>
          <w:divBdr>
            <w:top w:val="none" w:sz="0" w:space="0" w:color="auto"/>
            <w:left w:val="none" w:sz="0" w:space="0" w:color="auto"/>
            <w:bottom w:val="none" w:sz="0" w:space="0" w:color="auto"/>
            <w:right w:val="none" w:sz="0" w:space="0" w:color="auto"/>
          </w:divBdr>
          <w:divsChild>
            <w:div w:id="706873733">
              <w:marLeft w:val="0"/>
              <w:marRight w:val="0"/>
              <w:marTop w:val="0"/>
              <w:marBottom w:val="0"/>
              <w:divBdr>
                <w:top w:val="none" w:sz="0" w:space="0" w:color="auto"/>
                <w:left w:val="none" w:sz="0" w:space="0" w:color="auto"/>
                <w:bottom w:val="none" w:sz="0" w:space="0" w:color="auto"/>
                <w:right w:val="none" w:sz="0" w:space="0" w:color="auto"/>
              </w:divBdr>
              <w:divsChild>
                <w:div w:id="296573592">
                  <w:marLeft w:val="0"/>
                  <w:marRight w:val="0"/>
                  <w:marTop w:val="0"/>
                  <w:marBottom w:val="0"/>
                  <w:divBdr>
                    <w:top w:val="none" w:sz="0" w:space="0" w:color="auto"/>
                    <w:left w:val="none" w:sz="0" w:space="0" w:color="auto"/>
                    <w:bottom w:val="none" w:sz="0" w:space="0" w:color="auto"/>
                    <w:right w:val="none" w:sz="0" w:space="0" w:color="auto"/>
                  </w:divBdr>
                  <w:divsChild>
                    <w:div w:id="1134567220">
                      <w:marLeft w:val="0"/>
                      <w:marRight w:val="0"/>
                      <w:marTop w:val="0"/>
                      <w:marBottom w:val="0"/>
                      <w:divBdr>
                        <w:top w:val="none" w:sz="0" w:space="0" w:color="auto"/>
                        <w:left w:val="none" w:sz="0" w:space="0" w:color="auto"/>
                        <w:bottom w:val="none" w:sz="0" w:space="0" w:color="auto"/>
                        <w:right w:val="none" w:sz="0" w:space="0" w:color="auto"/>
                      </w:divBdr>
                      <w:divsChild>
                        <w:div w:id="1816947895">
                          <w:marLeft w:val="0"/>
                          <w:marRight w:val="0"/>
                          <w:marTop w:val="0"/>
                          <w:marBottom w:val="0"/>
                          <w:divBdr>
                            <w:top w:val="none" w:sz="0" w:space="0" w:color="auto"/>
                            <w:left w:val="none" w:sz="0" w:space="0" w:color="auto"/>
                            <w:bottom w:val="none" w:sz="0" w:space="0" w:color="auto"/>
                            <w:right w:val="none" w:sz="0" w:space="0" w:color="auto"/>
                          </w:divBdr>
                          <w:divsChild>
                            <w:div w:id="1880822901">
                              <w:marLeft w:val="0"/>
                              <w:marRight w:val="0"/>
                              <w:marTop w:val="0"/>
                              <w:marBottom w:val="0"/>
                              <w:divBdr>
                                <w:top w:val="none" w:sz="0" w:space="0" w:color="auto"/>
                                <w:left w:val="none" w:sz="0" w:space="0" w:color="auto"/>
                                <w:bottom w:val="none" w:sz="0" w:space="0" w:color="auto"/>
                                <w:right w:val="none" w:sz="0" w:space="0" w:color="auto"/>
                              </w:divBdr>
                              <w:divsChild>
                                <w:div w:id="1180392244">
                                  <w:marLeft w:val="0"/>
                                  <w:marRight w:val="0"/>
                                  <w:marTop w:val="0"/>
                                  <w:marBottom w:val="0"/>
                                  <w:divBdr>
                                    <w:top w:val="none" w:sz="0" w:space="0" w:color="auto"/>
                                    <w:left w:val="none" w:sz="0" w:space="0" w:color="auto"/>
                                    <w:bottom w:val="none" w:sz="0" w:space="0" w:color="auto"/>
                                    <w:right w:val="none" w:sz="0" w:space="0" w:color="auto"/>
                                  </w:divBdr>
                                  <w:divsChild>
                                    <w:div w:id="486941440">
                                      <w:marLeft w:val="0"/>
                                      <w:marRight w:val="0"/>
                                      <w:marTop w:val="0"/>
                                      <w:marBottom w:val="0"/>
                                      <w:divBdr>
                                        <w:top w:val="none" w:sz="0" w:space="0" w:color="auto"/>
                                        <w:left w:val="none" w:sz="0" w:space="0" w:color="auto"/>
                                        <w:bottom w:val="none" w:sz="0" w:space="0" w:color="auto"/>
                                        <w:right w:val="none" w:sz="0" w:space="0" w:color="auto"/>
                                      </w:divBdr>
                                      <w:divsChild>
                                        <w:div w:id="125004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4156724">
      <w:bodyDiv w:val="1"/>
      <w:marLeft w:val="0"/>
      <w:marRight w:val="0"/>
      <w:marTop w:val="0"/>
      <w:marBottom w:val="0"/>
      <w:divBdr>
        <w:top w:val="none" w:sz="0" w:space="0" w:color="auto"/>
        <w:left w:val="none" w:sz="0" w:space="0" w:color="auto"/>
        <w:bottom w:val="none" w:sz="0" w:space="0" w:color="auto"/>
        <w:right w:val="none" w:sz="0" w:space="0" w:color="auto"/>
      </w:divBdr>
      <w:divsChild>
        <w:div w:id="831330613">
          <w:marLeft w:val="0"/>
          <w:marRight w:val="0"/>
          <w:marTop w:val="0"/>
          <w:marBottom w:val="0"/>
          <w:divBdr>
            <w:top w:val="none" w:sz="0" w:space="0" w:color="auto"/>
            <w:left w:val="none" w:sz="0" w:space="0" w:color="auto"/>
            <w:bottom w:val="none" w:sz="0" w:space="0" w:color="auto"/>
            <w:right w:val="none" w:sz="0" w:space="0" w:color="auto"/>
          </w:divBdr>
          <w:divsChild>
            <w:div w:id="941887250">
              <w:marLeft w:val="0"/>
              <w:marRight w:val="0"/>
              <w:marTop w:val="0"/>
              <w:marBottom w:val="0"/>
              <w:divBdr>
                <w:top w:val="none" w:sz="0" w:space="0" w:color="auto"/>
                <w:left w:val="none" w:sz="0" w:space="0" w:color="auto"/>
                <w:bottom w:val="none" w:sz="0" w:space="0" w:color="auto"/>
                <w:right w:val="none" w:sz="0" w:space="0" w:color="auto"/>
              </w:divBdr>
              <w:divsChild>
                <w:div w:id="432674365">
                  <w:marLeft w:val="0"/>
                  <w:marRight w:val="0"/>
                  <w:marTop w:val="0"/>
                  <w:marBottom w:val="0"/>
                  <w:divBdr>
                    <w:top w:val="none" w:sz="0" w:space="0" w:color="auto"/>
                    <w:left w:val="none" w:sz="0" w:space="0" w:color="auto"/>
                    <w:bottom w:val="none" w:sz="0" w:space="0" w:color="auto"/>
                    <w:right w:val="none" w:sz="0" w:space="0" w:color="auto"/>
                  </w:divBdr>
                  <w:divsChild>
                    <w:div w:id="556942415">
                      <w:marLeft w:val="0"/>
                      <w:marRight w:val="0"/>
                      <w:marTop w:val="0"/>
                      <w:marBottom w:val="75"/>
                      <w:divBdr>
                        <w:top w:val="none" w:sz="0" w:space="0" w:color="auto"/>
                        <w:left w:val="none" w:sz="0" w:space="0" w:color="auto"/>
                        <w:bottom w:val="none" w:sz="0" w:space="0" w:color="auto"/>
                        <w:right w:val="none" w:sz="0" w:space="0" w:color="auto"/>
                      </w:divBdr>
                    </w:div>
                    <w:div w:id="1722289901">
                      <w:marLeft w:val="0"/>
                      <w:marRight w:val="0"/>
                      <w:marTop w:val="0"/>
                      <w:marBottom w:val="0"/>
                      <w:divBdr>
                        <w:top w:val="none" w:sz="0" w:space="0" w:color="auto"/>
                        <w:left w:val="none" w:sz="0" w:space="0" w:color="auto"/>
                        <w:bottom w:val="none" w:sz="0" w:space="0" w:color="auto"/>
                        <w:right w:val="none" w:sz="0" w:space="0" w:color="auto"/>
                      </w:divBdr>
                      <w:divsChild>
                        <w:div w:id="4596471">
                          <w:marLeft w:val="0"/>
                          <w:marRight w:val="0"/>
                          <w:marTop w:val="0"/>
                          <w:marBottom w:val="0"/>
                          <w:divBdr>
                            <w:top w:val="none" w:sz="0" w:space="0" w:color="auto"/>
                            <w:left w:val="none" w:sz="0" w:space="0" w:color="auto"/>
                            <w:bottom w:val="none" w:sz="0" w:space="0" w:color="auto"/>
                            <w:right w:val="none" w:sz="0" w:space="0" w:color="auto"/>
                          </w:divBdr>
                          <w:divsChild>
                            <w:div w:id="112211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57330">
                      <w:marLeft w:val="0"/>
                      <w:marRight w:val="0"/>
                      <w:marTop w:val="0"/>
                      <w:marBottom w:val="0"/>
                      <w:divBdr>
                        <w:top w:val="none" w:sz="0" w:space="0" w:color="auto"/>
                        <w:left w:val="none" w:sz="0" w:space="0" w:color="auto"/>
                        <w:bottom w:val="none" w:sz="0" w:space="0" w:color="auto"/>
                        <w:right w:val="none" w:sz="0" w:space="0" w:color="auto"/>
                      </w:divBdr>
                    </w:div>
                    <w:div w:id="2012366288">
                      <w:marLeft w:val="0"/>
                      <w:marRight w:val="0"/>
                      <w:marTop w:val="0"/>
                      <w:marBottom w:val="300"/>
                      <w:divBdr>
                        <w:top w:val="none" w:sz="0" w:space="0" w:color="auto"/>
                        <w:left w:val="none" w:sz="0" w:space="0" w:color="auto"/>
                        <w:bottom w:val="none" w:sz="0" w:space="0" w:color="auto"/>
                        <w:right w:val="none" w:sz="0" w:space="0" w:color="auto"/>
                      </w:divBdr>
                      <w:divsChild>
                        <w:div w:id="90557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395299">
          <w:marLeft w:val="0"/>
          <w:marRight w:val="0"/>
          <w:marTop w:val="0"/>
          <w:marBottom w:val="0"/>
          <w:divBdr>
            <w:top w:val="none" w:sz="0" w:space="0" w:color="auto"/>
            <w:left w:val="none" w:sz="0" w:space="0" w:color="auto"/>
            <w:bottom w:val="none" w:sz="0" w:space="0" w:color="auto"/>
            <w:right w:val="none" w:sz="0" w:space="0" w:color="auto"/>
          </w:divBdr>
          <w:divsChild>
            <w:div w:id="1686861118">
              <w:marLeft w:val="0"/>
              <w:marRight w:val="0"/>
              <w:marTop w:val="0"/>
              <w:marBottom w:val="300"/>
              <w:divBdr>
                <w:top w:val="none" w:sz="0" w:space="0" w:color="auto"/>
                <w:left w:val="none" w:sz="0" w:space="0" w:color="auto"/>
                <w:bottom w:val="single" w:sz="6" w:space="0" w:color="F1F1F1"/>
                <w:right w:val="none" w:sz="0" w:space="0" w:color="auto"/>
              </w:divBdr>
              <w:divsChild>
                <w:div w:id="13360335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64589777">
      <w:bodyDiv w:val="1"/>
      <w:marLeft w:val="0"/>
      <w:marRight w:val="0"/>
      <w:marTop w:val="0"/>
      <w:marBottom w:val="0"/>
      <w:divBdr>
        <w:top w:val="none" w:sz="0" w:space="0" w:color="auto"/>
        <w:left w:val="none" w:sz="0" w:space="0" w:color="auto"/>
        <w:bottom w:val="none" w:sz="0" w:space="0" w:color="auto"/>
        <w:right w:val="none" w:sz="0" w:space="0" w:color="auto"/>
      </w:divBdr>
      <w:divsChild>
        <w:div w:id="1591163372">
          <w:marLeft w:val="0"/>
          <w:marRight w:val="0"/>
          <w:marTop w:val="0"/>
          <w:marBottom w:val="0"/>
          <w:divBdr>
            <w:top w:val="none" w:sz="0" w:space="0" w:color="auto"/>
            <w:left w:val="none" w:sz="0" w:space="0" w:color="auto"/>
            <w:bottom w:val="none" w:sz="0" w:space="0" w:color="auto"/>
            <w:right w:val="none" w:sz="0" w:space="0" w:color="auto"/>
          </w:divBdr>
        </w:div>
      </w:divsChild>
    </w:div>
    <w:div w:id="464590277">
      <w:bodyDiv w:val="1"/>
      <w:marLeft w:val="0"/>
      <w:marRight w:val="0"/>
      <w:marTop w:val="0"/>
      <w:marBottom w:val="0"/>
      <w:divBdr>
        <w:top w:val="none" w:sz="0" w:space="0" w:color="auto"/>
        <w:left w:val="none" w:sz="0" w:space="0" w:color="auto"/>
        <w:bottom w:val="none" w:sz="0" w:space="0" w:color="auto"/>
        <w:right w:val="none" w:sz="0" w:space="0" w:color="auto"/>
      </w:divBdr>
      <w:divsChild>
        <w:div w:id="179786191">
          <w:marLeft w:val="0"/>
          <w:marRight w:val="0"/>
          <w:marTop w:val="0"/>
          <w:marBottom w:val="0"/>
          <w:divBdr>
            <w:top w:val="none" w:sz="0" w:space="0" w:color="auto"/>
            <w:left w:val="none" w:sz="0" w:space="0" w:color="auto"/>
            <w:bottom w:val="dotted" w:sz="6" w:space="4" w:color="DDDDDD"/>
            <w:right w:val="none" w:sz="0" w:space="0" w:color="auto"/>
          </w:divBdr>
          <w:divsChild>
            <w:div w:id="117892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665888">
      <w:bodyDiv w:val="1"/>
      <w:marLeft w:val="0"/>
      <w:marRight w:val="0"/>
      <w:marTop w:val="0"/>
      <w:marBottom w:val="0"/>
      <w:divBdr>
        <w:top w:val="none" w:sz="0" w:space="0" w:color="auto"/>
        <w:left w:val="none" w:sz="0" w:space="0" w:color="auto"/>
        <w:bottom w:val="none" w:sz="0" w:space="0" w:color="auto"/>
        <w:right w:val="none" w:sz="0" w:space="0" w:color="auto"/>
      </w:divBdr>
      <w:divsChild>
        <w:div w:id="1726177140">
          <w:marLeft w:val="0"/>
          <w:marRight w:val="0"/>
          <w:marTop w:val="0"/>
          <w:marBottom w:val="0"/>
          <w:divBdr>
            <w:top w:val="none" w:sz="0" w:space="0" w:color="auto"/>
            <w:left w:val="none" w:sz="0" w:space="0" w:color="auto"/>
            <w:bottom w:val="dotted" w:sz="6" w:space="4" w:color="DDDDDD"/>
            <w:right w:val="none" w:sz="0" w:space="0" w:color="auto"/>
          </w:divBdr>
          <w:divsChild>
            <w:div w:id="183752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40460">
      <w:bodyDiv w:val="1"/>
      <w:marLeft w:val="0"/>
      <w:marRight w:val="0"/>
      <w:marTop w:val="0"/>
      <w:marBottom w:val="0"/>
      <w:divBdr>
        <w:top w:val="none" w:sz="0" w:space="0" w:color="auto"/>
        <w:left w:val="none" w:sz="0" w:space="0" w:color="auto"/>
        <w:bottom w:val="none" w:sz="0" w:space="0" w:color="auto"/>
        <w:right w:val="none" w:sz="0" w:space="0" w:color="auto"/>
      </w:divBdr>
      <w:divsChild>
        <w:div w:id="188105029">
          <w:marLeft w:val="0"/>
          <w:marRight w:val="0"/>
          <w:marTop w:val="0"/>
          <w:marBottom w:val="0"/>
          <w:divBdr>
            <w:top w:val="none" w:sz="0" w:space="0" w:color="auto"/>
            <w:left w:val="none" w:sz="0" w:space="0" w:color="auto"/>
            <w:bottom w:val="none" w:sz="0" w:space="0" w:color="auto"/>
            <w:right w:val="none" w:sz="0" w:space="0" w:color="auto"/>
          </w:divBdr>
          <w:divsChild>
            <w:div w:id="668291421">
              <w:marLeft w:val="0"/>
              <w:marRight w:val="0"/>
              <w:marTop w:val="0"/>
              <w:marBottom w:val="225"/>
              <w:divBdr>
                <w:top w:val="none" w:sz="0" w:space="0" w:color="auto"/>
                <w:left w:val="none" w:sz="0" w:space="0" w:color="auto"/>
                <w:bottom w:val="none" w:sz="0" w:space="0" w:color="auto"/>
                <w:right w:val="none" w:sz="0" w:space="0" w:color="auto"/>
              </w:divBdr>
            </w:div>
            <w:div w:id="1441609195">
              <w:marLeft w:val="0"/>
              <w:marRight w:val="0"/>
              <w:marTop w:val="0"/>
              <w:marBottom w:val="225"/>
              <w:divBdr>
                <w:top w:val="none" w:sz="0" w:space="0" w:color="auto"/>
                <w:left w:val="none" w:sz="0" w:space="0" w:color="auto"/>
                <w:bottom w:val="none" w:sz="0" w:space="0" w:color="auto"/>
                <w:right w:val="none" w:sz="0" w:space="0" w:color="auto"/>
              </w:divBdr>
              <w:divsChild>
                <w:div w:id="113913618">
                  <w:marLeft w:val="0"/>
                  <w:marRight w:val="0"/>
                  <w:marTop w:val="0"/>
                  <w:marBottom w:val="0"/>
                  <w:divBdr>
                    <w:top w:val="none" w:sz="0" w:space="0" w:color="auto"/>
                    <w:left w:val="none" w:sz="0" w:space="0" w:color="auto"/>
                    <w:bottom w:val="none" w:sz="0" w:space="0" w:color="auto"/>
                    <w:right w:val="none" w:sz="0" w:space="0" w:color="auto"/>
                  </w:divBdr>
                  <w:divsChild>
                    <w:div w:id="211081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452726">
          <w:marLeft w:val="0"/>
          <w:marRight w:val="0"/>
          <w:marTop w:val="0"/>
          <w:marBottom w:val="225"/>
          <w:divBdr>
            <w:top w:val="none" w:sz="0" w:space="0" w:color="auto"/>
            <w:left w:val="none" w:sz="0" w:space="0" w:color="auto"/>
            <w:bottom w:val="single" w:sz="6" w:space="0" w:color="CCCCCC"/>
            <w:right w:val="none" w:sz="0" w:space="0" w:color="auto"/>
          </w:divBdr>
        </w:div>
      </w:divsChild>
    </w:div>
    <w:div w:id="465467929">
      <w:bodyDiv w:val="1"/>
      <w:marLeft w:val="0"/>
      <w:marRight w:val="0"/>
      <w:marTop w:val="0"/>
      <w:marBottom w:val="0"/>
      <w:divBdr>
        <w:top w:val="none" w:sz="0" w:space="0" w:color="auto"/>
        <w:left w:val="none" w:sz="0" w:space="0" w:color="auto"/>
        <w:bottom w:val="none" w:sz="0" w:space="0" w:color="auto"/>
        <w:right w:val="none" w:sz="0" w:space="0" w:color="auto"/>
      </w:divBdr>
    </w:div>
    <w:div w:id="466553911">
      <w:bodyDiv w:val="1"/>
      <w:marLeft w:val="0"/>
      <w:marRight w:val="0"/>
      <w:marTop w:val="0"/>
      <w:marBottom w:val="0"/>
      <w:divBdr>
        <w:top w:val="none" w:sz="0" w:space="0" w:color="auto"/>
        <w:left w:val="none" w:sz="0" w:space="0" w:color="auto"/>
        <w:bottom w:val="none" w:sz="0" w:space="0" w:color="auto"/>
        <w:right w:val="none" w:sz="0" w:space="0" w:color="auto"/>
      </w:divBdr>
      <w:divsChild>
        <w:div w:id="1407144783">
          <w:marLeft w:val="0"/>
          <w:marRight w:val="0"/>
          <w:marTop w:val="0"/>
          <w:marBottom w:val="0"/>
          <w:divBdr>
            <w:top w:val="none" w:sz="0" w:space="0" w:color="auto"/>
            <w:left w:val="none" w:sz="0" w:space="0" w:color="auto"/>
            <w:bottom w:val="none" w:sz="0" w:space="0" w:color="auto"/>
            <w:right w:val="none" w:sz="0" w:space="0" w:color="auto"/>
          </w:divBdr>
          <w:divsChild>
            <w:div w:id="8871795">
              <w:marLeft w:val="0"/>
              <w:marRight w:val="0"/>
              <w:marTop w:val="0"/>
              <w:marBottom w:val="0"/>
              <w:divBdr>
                <w:top w:val="none" w:sz="0" w:space="0" w:color="auto"/>
                <w:left w:val="none" w:sz="0" w:space="0" w:color="auto"/>
                <w:bottom w:val="none" w:sz="0" w:space="0" w:color="auto"/>
                <w:right w:val="none" w:sz="0" w:space="0" w:color="auto"/>
              </w:divBdr>
            </w:div>
          </w:divsChild>
        </w:div>
        <w:div w:id="1784954477">
          <w:marLeft w:val="0"/>
          <w:marRight w:val="0"/>
          <w:marTop w:val="0"/>
          <w:marBottom w:val="150"/>
          <w:divBdr>
            <w:top w:val="none" w:sz="0" w:space="0" w:color="auto"/>
            <w:left w:val="none" w:sz="0" w:space="0" w:color="auto"/>
            <w:bottom w:val="none" w:sz="0" w:space="0" w:color="auto"/>
            <w:right w:val="none" w:sz="0" w:space="0" w:color="auto"/>
          </w:divBdr>
          <w:divsChild>
            <w:div w:id="1388071660">
              <w:marLeft w:val="0"/>
              <w:marRight w:val="0"/>
              <w:marTop w:val="0"/>
              <w:marBottom w:val="0"/>
              <w:divBdr>
                <w:top w:val="none" w:sz="0" w:space="0" w:color="auto"/>
                <w:left w:val="none" w:sz="0" w:space="0" w:color="auto"/>
                <w:bottom w:val="none" w:sz="0" w:space="0" w:color="auto"/>
                <w:right w:val="none" w:sz="0" w:space="0" w:color="auto"/>
              </w:divBdr>
            </w:div>
          </w:divsChild>
        </w:div>
        <w:div w:id="1810241595">
          <w:marLeft w:val="0"/>
          <w:marRight w:val="0"/>
          <w:marTop w:val="0"/>
          <w:marBottom w:val="150"/>
          <w:divBdr>
            <w:top w:val="none" w:sz="0" w:space="0" w:color="auto"/>
            <w:left w:val="none" w:sz="0" w:space="0" w:color="auto"/>
            <w:bottom w:val="none" w:sz="0" w:space="0" w:color="auto"/>
            <w:right w:val="none" w:sz="0" w:space="0" w:color="auto"/>
          </w:divBdr>
        </w:div>
      </w:divsChild>
    </w:div>
    <w:div w:id="466775072">
      <w:bodyDiv w:val="1"/>
      <w:marLeft w:val="0"/>
      <w:marRight w:val="0"/>
      <w:marTop w:val="0"/>
      <w:marBottom w:val="0"/>
      <w:divBdr>
        <w:top w:val="none" w:sz="0" w:space="0" w:color="auto"/>
        <w:left w:val="none" w:sz="0" w:space="0" w:color="auto"/>
        <w:bottom w:val="none" w:sz="0" w:space="0" w:color="auto"/>
        <w:right w:val="none" w:sz="0" w:space="0" w:color="auto"/>
      </w:divBdr>
      <w:divsChild>
        <w:div w:id="1644389827">
          <w:marLeft w:val="0"/>
          <w:marRight w:val="0"/>
          <w:marTop w:val="0"/>
          <w:marBottom w:val="0"/>
          <w:divBdr>
            <w:top w:val="none" w:sz="0" w:space="0" w:color="auto"/>
            <w:left w:val="none" w:sz="0" w:space="0" w:color="auto"/>
            <w:bottom w:val="none" w:sz="0" w:space="0" w:color="auto"/>
            <w:right w:val="none" w:sz="0" w:space="0" w:color="auto"/>
          </w:divBdr>
          <w:divsChild>
            <w:div w:id="10501086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67016047">
      <w:bodyDiv w:val="1"/>
      <w:marLeft w:val="0"/>
      <w:marRight w:val="0"/>
      <w:marTop w:val="0"/>
      <w:marBottom w:val="0"/>
      <w:divBdr>
        <w:top w:val="none" w:sz="0" w:space="0" w:color="auto"/>
        <w:left w:val="none" w:sz="0" w:space="0" w:color="auto"/>
        <w:bottom w:val="none" w:sz="0" w:space="0" w:color="auto"/>
        <w:right w:val="none" w:sz="0" w:space="0" w:color="auto"/>
      </w:divBdr>
      <w:divsChild>
        <w:div w:id="1977829278">
          <w:marLeft w:val="0"/>
          <w:marRight w:val="0"/>
          <w:marTop w:val="0"/>
          <w:marBottom w:val="0"/>
          <w:divBdr>
            <w:top w:val="none" w:sz="0" w:space="0" w:color="auto"/>
            <w:left w:val="none" w:sz="0" w:space="0" w:color="auto"/>
            <w:bottom w:val="dotted" w:sz="6" w:space="4" w:color="DDDDDD"/>
            <w:right w:val="none" w:sz="0" w:space="0" w:color="auto"/>
          </w:divBdr>
        </w:div>
      </w:divsChild>
    </w:div>
    <w:div w:id="467942531">
      <w:bodyDiv w:val="1"/>
      <w:marLeft w:val="0"/>
      <w:marRight w:val="0"/>
      <w:marTop w:val="0"/>
      <w:marBottom w:val="0"/>
      <w:divBdr>
        <w:top w:val="none" w:sz="0" w:space="0" w:color="auto"/>
        <w:left w:val="none" w:sz="0" w:space="0" w:color="auto"/>
        <w:bottom w:val="none" w:sz="0" w:space="0" w:color="auto"/>
        <w:right w:val="none" w:sz="0" w:space="0" w:color="auto"/>
      </w:divBdr>
      <w:divsChild>
        <w:div w:id="649401730">
          <w:marLeft w:val="0"/>
          <w:marRight w:val="0"/>
          <w:marTop w:val="0"/>
          <w:marBottom w:val="0"/>
          <w:divBdr>
            <w:top w:val="none" w:sz="0" w:space="0" w:color="auto"/>
            <w:left w:val="none" w:sz="0" w:space="0" w:color="auto"/>
            <w:bottom w:val="none" w:sz="0" w:space="0" w:color="auto"/>
            <w:right w:val="none" w:sz="0" w:space="0" w:color="auto"/>
          </w:divBdr>
          <w:divsChild>
            <w:div w:id="1811364966">
              <w:marLeft w:val="0"/>
              <w:marRight w:val="0"/>
              <w:marTop w:val="0"/>
              <w:marBottom w:val="0"/>
              <w:divBdr>
                <w:top w:val="none" w:sz="0" w:space="0" w:color="auto"/>
                <w:left w:val="none" w:sz="0" w:space="0" w:color="auto"/>
                <w:bottom w:val="none" w:sz="0" w:space="0" w:color="auto"/>
                <w:right w:val="none" w:sz="0" w:space="0" w:color="auto"/>
              </w:divBdr>
              <w:divsChild>
                <w:div w:id="638651459">
                  <w:marLeft w:val="0"/>
                  <w:marRight w:val="0"/>
                  <w:marTop w:val="225"/>
                  <w:marBottom w:val="225"/>
                  <w:divBdr>
                    <w:top w:val="none" w:sz="0" w:space="0" w:color="auto"/>
                    <w:left w:val="none" w:sz="0" w:space="0" w:color="auto"/>
                    <w:bottom w:val="none" w:sz="0" w:space="0" w:color="auto"/>
                    <w:right w:val="none" w:sz="0" w:space="0" w:color="auto"/>
                  </w:divBdr>
                </w:div>
              </w:divsChild>
            </w:div>
            <w:div w:id="1834643966">
              <w:marLeft w:val="0"/>
              <w:marRight w:val="0"/>
              <w:marTop w:val="0"/>
              <w:marBottom w:val="150"/>
              <w:divBdr>
                <w:top w:val="none" w:sz="0" w:space="0" w:color="auto"/>
                <w:left w:val="none" w:sz="0" w:space="0" w:color="auto"/>
                <w:bottom w:val="none" w:sz="0" w:space="0" w:color="auto"/>
                <w:right w:val="none" w:sz="0" w:space="0" w:color="auto"/>
              </w:divBdr>
            </w:div>
          </w:divsChild>
        </w:div>
        <w:div w:id="1574851626">
          <w:marLeft w:val="0"/>
          <w:marRight w:val="0"/>
          <w:marTop w:val="0"/>
          <w:marBottom w:val="150"/>
          <w:divBdr>
            <w:top w:val="none" w:sz="0" w:space="0" w:color="auto"/>
            <w:left w:val="none" w:sz="0" w:space="0" w:color="auto"/>
            <w:bottom w:val="none" w:sz="0" w:space="0" w:color="auto"/>
            <w:right w:val="none" w:sz="0" w:space="0" w:color="auto"/>
          </w:divBdr>
          <w:divsChild>
            <w:div w:id="1306397976">
              <w:marLeft w:val="0"/>
              <w:marRight w:val="0"/>
              <w:marTop w:val="0"/>
              <w:marBottom w:val="0"/>
              <w:divBdr>
                <w:top w:val="none" w:sz="0" w:space="0" w:color="auto"/>
                <w:left w:val="none" w:sz="0" w:space="0" w:color="auto"/>
                <w:bottom w:val="none" w:sz="0" w:space="0" w:color="auto"/>
                <w:right w:val="none" w:sz="0" w:space="0" w:color="auto"/>
              </w:divBdr>
              <w:divsChild>
                <w:div w:id="193574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019516">
      <w:bodyDiv w:val="1"/>
      <w:marLeft w:val="0"/>
      <w:marRight w:val="0"/>
      <w:marTop w:val="0"/>
      <w:marBottom w:val="0"/>
      <w:divBdr>
        <w:top w:val="none" w:sz="0" w:space="0" w:color="auto"/>
        <w:left w:val="none" w:sz="0" w:space="0" w:color="auto"/>
        <w:bottom w:val="none" w:sz="0" w:space="0" w:color="auto"/>
        <w:right w:val="none" w:sz="0" w:space="0" w:color="auto"/>
      </w:divBdr>
      <w:divsChild>
        <w:div w:id="1068529116">
          <w:marLeft w:val="0"/>
          <w:marRight w:val="0"/>
          <w:marTop w:val="0"/>
          <w:marBottom w:val="150"/>
          <w:divBdr>
            <w:top w:val="none" w:sz="0" w:space="0" w:color="auto"/>
            <w:left w:val="none" w:sz="0" w:space="0" w:color="auto"/>
            <w:bottom w:val="none" w:sz="0" w:space="0" w:color="auto"/>
            <w:right w:val="none" w:sz="0" w:space="0" w:color="auto"/>
          </w:divBdr>
        </w:div>
      </w:divsChild>
    </w:div>
    <w:div w:id="468085357">
      <w:bodyDiv w:val="1"/>
      <w:marLeft w:val="0"/>
      <w:marRight w:val="0"/>
      <w:marTop w:val="0"/>
      <w:marBottom w:val="0"/>
      <w:divBdr>
        <w:top w:val="none" w:sz="0" w:space="0" w:color="auto"/>
        <w:left w:val="none" w:sz="0" w:space="0" w:color="auto"/>
        <w:bottom w:val="none" w:sz="0" w:space="0" w:color="auto"/>
        <w:right w:val="none" w:sz="0" w:space="0" w:color="auto"/>
      </w:divBdr>
      <w:divsChild>
        <w:div w:id="197857238">
          <w:marLeft w:val="0"/>
          <w:marRight w:val="0"/>
          <w:marTop w:val="0"/>
          <w:marBottom w:val="0"/>
          <w:divBdr>
            <w:top w:val="none" w:sz="0" w:space="0" w:color="auto"/>
            <w:left w:val="none" w:sz="0" w:space="0" w:color="auto"/>
            <w:bottom w:val="none" w:sz="0" w:space="0" w:color="auto"/>
            <w:right w:val="none" w:sz="0" w:space="0" w:color="auto"/>
          </w:divBdr>
          <w:divsChild>
            <w:div w:id="1824928915">
              <w:marLeft w:val="0"/>
              <w:marRight w:val="0"/>
              <w:marTop w:val="0"/>
              <w:marBottom w:val="0"/>
              <w:divBdr>
                <w:top w:val="none" w:sz="0" w:space="0" w:color="auto"/>
                <w:left w:val="none" w:sz="0" w:space="0" w:color="auto"/>
                <w:bottom w:val="none" w:sz="0" w:space="0" w:color="auto"/>
                <w:right w:val="none" w:sz="0" w:space="0" w:color="auto"/>
              </w:divBdr>
            </w:div>
          </w:divsChild>
        </w:div>
        <w:div w:id="356781930">
          <w:marLeft w:val="0"/>
          <w:marRight w:val="0"/>
          <w:marTop w:val="0"/>
          <w:marBottom w:val="0"/>
          <w:divBdr>
            <w:top w:val="none" w:sz="0" w:space="0" w:color="auto"/>
            <w:left w:val="none" w:sz="0" w:space="0" w:color="auto"/>
            <w:bottom w:val="none" w:sz="0" w:space="0" w:color="auto"/>
            <w:right w:val="none" w:sz="0" w:space="0" w:color="auto"/>
          </w:divBdr>
        </w:div>
        <w:div w:id="594028">
          <w:marLeft w:val="0"/>
          <w:marRight w:val="0"/>
          <w:marTop w:val="0"/>
          <w:marBottom w:val="0"/>
          <w:divBdr>
            <w:top w:val="none" w:sz="0" w:space="0" w:color="auto"/>
            <w:left w:val="none" w:sz="0" w:space="0" w:color="auto"/>
            <w:bottom w:val="none" w:sz="0" w:space="0" w:color="auto"/>
            <w:right w:val="none" w:sz="0" w:space="0" w:color="auto"/>
          </w:divBdr>
          <w:divsChild>
            <w:div w:id="271088759">
              <w:marLeft w:val="-225"/>
              <w:marRight w:val="-225"/>
              <w:marTop w:val="0"/>
              <w:marBottom w:val="0"/>
              <w:divBdr>
                <w:top w:val="none" w:sz="0" w:space="0" w:color="auto"/>
                <w:left w:val="none" w:sz="0" w:space="0" w:color="auto"/>
                <w:bottom w:val="none" w:sz="0" w:space="0" w:color="auto"/>
                <w:right w:val="none" w:sz="0" w:space="0" w:color="auto"/>
              </w:divBdr>
              <w:divsChild>
                <w:div w:id="1640263816">
                  <w:marLeft w:val="0"/>
                  <w:marRight w:val="0"/>
                  <w:marTop w:val="0"/>
                  <w:marBottom w:val="0"/>
                  <w:divBdr>
                    <w:top w:val="none" w:sz="0" w:space="0" w:color="auto"/>
                    <w:left w:val="none" w:sz="0" w:space="0" w:color="auto"/>
                    <w:bottom w:val="none" w:sz="0" w:space="0" w:color="auto"/>
                    <w:right w:val="single" w:sz="6" w:space="0" w:color="000000"/>
                  </w:divBdr>
                  <w:divsChild>
                    <w:div w:id="1776710730">
                      <w:marLeft w:val="0"/>
                      <w:marRight w:val="0"/>
                      <w:marTop w:val="0"/>
                      <w:marBottom w:val="0"/>
                      <w:divBdr>
                        <w:top w:val="none" w:sz="0" w:space="0" w:color="auto"/>
                        <w:left w:val="none" w:sz="0" w:space="0" w:color="auto"/>
                        <w:bottom w:val="none" w:sz="0" w:space="0" w:color="auto"/>
                        <w:right w:val="none" w:sz="0" w:space="0" w:color="auto"/>
                      </w:divBdr>
                      <w:divsChild>
                        <w:div w:id="1477068256">
                          <w:marLeft w:val="0"/>
                          <w:marRight w:val="0"/>
                          <w:marTop w:val="0"/>
                          <w:marBottom w:val="0"/>
                          <w:divBdr>
                            <w:top w:val="none" w:sz="0" w:space="0" w:color="auto"/>
                            <w:left w:val="none" w:sz="0" w:space="0" w:color="auto"/>
                            <w:bottom w:val="none" w:sz="0" w:space="0" w:color="auto"/>
                            <w:right w:val="none" w:sz="0" w:space="0" w:color="auto"/>
                          </w:divBdr>
                        </w:div>
                        <w:div w:id="954825554">
                          <w:marLeft w:val="0"/>
                          <w:marRight w:val="0"/>
                          <w:marTop w:val="0"/>
                          <w:marBottom w:val="0"/>
                          <w:divBdr>
                            <w:top w:val="none" w:sz="0" w:space="0" w:color="auto"/>
                            <w:left w:val="none" w:sz="0" w:space="0" w:color="auto"/>
                            <w:bottom w:val="none" w:sz="0" w:space="0" w:color="auto"/>
                            <w:right w:val="none" w:sz="0" w:space="0" w:color="auto"/>
                          </w:divBdr>
                        </w:div>
                        <w:div w:id="835151893">
                          <w:marLeft w:val="0"/>
                          <w:marRight w:val="0"/>
                          <w:marTop w:val="0"/>
                          <w:marBottom w:val="0"/>
                          <w:divBdr>
                            <w:top w:val="none" w:sz="0" w:space="0" w:color="auto"/>
                            <w:left w:val="none" w:sz="0" w:space="0" w:color="auto"/>
                            <w:bottom w:val="none" w:sz="0" w:space="0" w:color="auto"/>
                            <w:right w:val="none" w:sz="0" w:space="0" w:color="auto"/>
                          </w:divBdr>
                        </w:div>
                        <w:div w:id="484931856">
                          <w:marLeft w:val="0"/>
                          <w:marRight w:val="0"/>
                          <w:marTop w:val="0"/>
                          <w:marBottom w:val="0"/>
                          <w:divBdr>
                            <w:top w:val="none" w:sz="0" w:space="0" w:color="auto"/>
                            <w:left w:val="none" w:sz="0" w:space="0" w:color="auto"/>
                            <w:bottom w:val="none" w:sz="0" w:space="0" w:color="auto"/>
                            <w:right w:val="none" w:sz="0" w:space="0" w:color="auto"/>
                          </w:divBdr>
                        </w:div>
                        <w:div w:id="5906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62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131618">
      <w:bodyDiv w:val="1"/>
      <w:marLeft w:val="0"/>
      <w:marRight w:val="0"/>
      <w:marTop w:val="0"/>
      <w:marBottom w:val="0"/>
      <w:divBdr>
        <w:top w:val="none" w:sz="0" w:space="0" w:color="auto"/>
        <w:left w:val="none" w:sz="0" w:space="0" w:color="auto"/>
        <w:bottom w:val="none" w:sz="0" w:space="0" w:color="auto"/>
        <w:right w:val="none" w:sz="0" w:space="0" w:color="auto"/>
      </w:divBdr>
      <w:divsChild>
        <w:div w:id="1096631865">
          <w:marLeft w:val="0"/>
          <w:marRight w:val="0"/>
          <w:marTop w:val="0"/>
          <w:marBottom w:val="0"/>
          <w:divBdr>
            <w:top w:val="none" w:sz="0" w:space="0" w:color="auto"/>
            <w:left w:val="none" w:sz="0" w:space="0" w:color="auto"/>
            <w:bottom w:val="none" w:sz="0" w:space="0" w:color="auto"/>
            <w:right w:val="none" w:sz="0" w:space="0" w:color="auto"/>
          </w:divBdr>
          <w:divsChild>
            <w:div w:id="2034457148">
              <w:marLeft w:val="0"/>
              <w:marRight w:val="0"/>
              <w:marTop w:val="0"/>
              <w:marBottom w:val="0"/>
              <w:divBdr>
                <w:top w:val="none" w:sz="0" w:space="0" w:color="auto"/>
                <w:left w:val="none" w:sz="0" w:space="0" w:color="auto"/>
                <w:bottom w:val="none" w:sz="0" w:space="0" w:color="auto"/>
                <w:right w:val="none" w:sz="0" w:space="0" w:color="auto"/>
              </w:divBdr>
              <w:divsChild>
                <w:div w:id="477888879">
                  <w:marLeft w:val="0"/>
                  <w:marRight w:val="0"/>
                  <w:marTop w:val="0"/>
                  <w:marBottom w:val="0"/>
                  <w:divBdr>
                    <w:top w:val="none" w:sz="0" w:space="0" w:color="auto"/>
                    <w:left w:val="none" w:sz="0" w:space="0" w:color="auto"/>
                    <w:bottom w:val="none" w:sz="0" w:space="0" w:color="auto"/>
                    <w:right w:val="none" w:sz="0" w:space="0" w:color="auto"/>
                  </w:divBdr>
                  <w:divsChild>
                    <w:div w:id="2109348396">
                      <w:marLeft w:val="0"/>
                      <w:marRight w:val="0"/>
                      <w:marTop w:val="0"/>
                      <w:marBottom w:val="0"/>
                      <w:divBdr>
                        <w:top w:val="none" w:sz="0" w:space="0" w:color="auto"/>
                        <w:left w:val="none" w:sz="0" w:space="0" w:color="auto"/>
                        <w:bottom w:val="none" w:sz="0" w:space="0" w:color="auto"/>
                        <w:right w:val="none" w:sz="0" w:space="0" w:color="auto"/>
                      </w:divBdr>
                      <w:divsChild>
                        <w:div w:id="507671366">
                          <w:marLeft w:val="0"/>
                          <w:marRight w:val="0"/>
                          <w:marTop w:val="0"/>
                          <w:marBottom w:val="0"/>
                          <w:divBdr>
                            <w:top w:val="none" w:sz="0" w:space="0" w:color="auto"/>
                            <w:left w:val="none" w:sz="0" w:space="0" w:color="auto"/>
                            <w:bottom w:val="none" w:sz="0" w:space="0" w:color="auto"/>
                            <w:right w:val="none" w:sz="0" w:space="0" w:color="auto"/>
                          </w:divBdr>
                          <w:divsChild>
                            <w:div w:id="351493050">
                              <w:marLeft w:val="0"/>
                              <w:marRight w:val="0"/>
                              <w:marTop w:val="0"/>
                              <w:marBottom w:val="0"/>
                              <w:divBdr>
                                <w:top w:val="none" w:sz="0" w:space="0" w:color="auto"/>
                                <w:left w:val="none" w:sz="0" w:space="0" w:color="auto"/>
                                <w:bottom w:val="none" w:sz="0" w:space="0" w:color="auto"/>
                                <w:right w:val="none" w:sz="0" w:space="0" w:color="auto"/>
                              </w:divBdr>
                              <w:divsChild>
                                <w:div w:id="1411736747">
                                  <w:marLeft w:val="0"/>
                                  <w:marRight w:val="0"/>
                                  <w:marTop w:val="0"/>
                                  <w:marBottom w:val="0"/>
                                  <w:divBdr>
                                    <w:top w:val="none" w:sz="0" w:space="0" w:color="auto"/>
                                    <w:left w:val="none" w:sz="0" w:space="0" w:color="auto"/>
                                    <w:bottom w:val="none" w:sz="0" w:space="0" w:color="auto"/>
                                    <w:right w:val="none" w:sz="0" w:space="0" w:color="auto"/>
                                  </w:divBdr>
                                  <w:divsChild>
                                    <w:div w:id="126996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8865661">
      <w:bodyDiv w:val="1"/>
      <w:marLeft w:val="0"/>
      <w:marRight w:val="0"/>
      <w:marTop w:val="0"/>
      <w:marBottom w:val="0"/>
      <w:divBdr>
        <w:top w:val="none" w:sz="0" w:space="0" w:color="auto"/>
        <w:left w:val="none" w:sz="0" w:space="0" w:color="auto"/>
        <w:bottom w:val="none" w:sz="0" w:space="0" w:color="auto"/>
        <w:right w:val="none" w:sz="0" w:space="0" w:color="auto"/>
      </w:divBdr>
      <w:divsChild>
        <w:div w:id="1289124453">
          <w:marLeft w:val="0"/>
          <w:marRight w:val="0"/>
          <w:marTop w:val="0"/>
          <w:marBottom w:val="150"/>
          <w:divBdr>
            <w:top w:val="none" w:sz="0" w:space="0" w:color="auto"/>
            <w:left w:val="none" w:sz="0" w:space="0" w:color="auto"/>
            <w:bottom w:val="none" w:sz="0" w:space="0" w:color="auto"/>
            <w:right w:val="none" w:sz="0" w:space="0" w:color="auto"/>
          </w:divBdr>
          <w:divsChild>
            <w:div w:id="1337610738">
              <w:marLeft w:val="0"/>
              <w:marRight w:val="0"/>
              <w:marTop w:val="0"/>
              <w:marBottom w:val="0"/>
              <w:divBdr>
                <w:top w:val="none" w:sz="0" w:space="0" w:color="auto"/>
                <w:left w:val="none" w:sz="0" w:space="0" w:color="auto"/>
                <w:bottom w:val="none" w:sz="0" w:space="0" w:color="auto"/>
                <w:right w:val="none" w:sz="0" w:space="0" w:color="auto"/>
              </w:divBdr>
              <w:divsChild>
                <w:div w:id="1288779765">
                  <w:marLeft w:val="0"/>
                  <w:marRight w:val="0"/>
                  <w:marTop w:val="0"/>
                  <w:marBottom w:val="0"/>
                  <w:divBdr>
                    <w:top w:val="none" w:sz="0" w:space="0" w:color="auto"/>
                    <w:left w:val="none" w:sz="0" w:space="0" w:color="auto"/>
                    <w:bottom w:val="none" w:sz="0" w:space="0" w:color="auto"/>
                    <w:right w:val="none" w:sz="0" w:space="0" w:color="auto"/>
                  </w:divBdr>
                  <w:divsChild>
                    <w:div w:id="1010257324">
                      <w:marLeft w:val="0"/>
                      <w:marRight w:val="150"/>
                      <w:marTop w:val="0"/>
                      <w:marBottom w:val="0"/>
                      <w:divBdr>
                        <w:top w:val="none" w:sz="0" w:space="0" w:color="auto"/>
                        <w:left w:val="none" w:sz="0" w:space="0" w:color="auto"/>
                        <w:bottom w:val="none" w:sz="0" w:space="0" w:color="auto"/>
                        <w:right w:val="none" w:sz="0" w:space="0" w:color="auto"/>
                      </w:divBdr>
                      <w:divsChild>
                        <w:div w:id="174301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037874">
          <w:marLeft w:val="0"/>
          <w:marRight w:val="0"/>
          <w:marTop w:val="0"/>
          <w:marBottom w:val="150"/>
          <w:divBdr>
            <w:top w:val="none" w:sz="0" w:space="0" w:color="auto"/>
            <w:left w:val="none" w:sz="0" w:space="0" w:color="auto"/>
            <w:bottom w:val="none" w:sz="0" w:space="0" w:color="auto"/>
            <w:right w:val="none" w:sz="0" w:space="0" w:color="auto"/>
          </w:divBdr>
        </w:div>
        <w:div w:id="123356182">
          <w:marLeft w:val="0"/>
          <w:marRight w:val="0"/>
          <w:marTop w:val="0"/>
          <w:marBottom w:val="0"/>
          <w:divBdr>
            <w:top w:val="none" w:sz="0" w:space="0" w:color="auto"/>
            <w:left w:val="none" w:sz="0" w:space="0" w:color="auto"/>
            <w:bottom w:val="none" w:sz="0" w:space="0" w:color="auto"/>
            <w:right w:val="none" w:sz="0" w:space="0" w:color="auto"/>
          </w:divBdr>
          <w:divsChild>
            <w:div w:id="8194199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69640903">
      <w:bodyDiv w:val="1"/>
      <w:marLeft w:val="0"/>
      <w:marRight w:val="0"/>
      <w:marTop w:val="0"/>
      <w:marBottom w:val="0"/>
      <w:divBdr>
        <w:top w:val="none" w:sz="0" w:space="0" w:color="auto"/>
        <w:left w:val="none" w:sz="0" w:space="0" w:color="auto"/>
        <w:bottom w:val="none" w:sz="0" w:space="0" w:color="auto"/>
        <w:right w:val="none" w:sz="0" w:space="0" w:color="auto"/>
      </w:divBdr>
      <w:divsChild>
        <w:div w:id="904336076">
          <w:marLeft w:val="0"/>
          <w:marRight w:val="0"/>
          <w:marTop w:val="0"/>
          <w:marBottom w:val="0"/>
          <w:divBdr>
            <w:top w:val="none" w:sz="0" w:space="0" w:color="auto"/>
            <w:left w:val="none" w:sz="0" w:space="0" w:color="auto"/>
            <w:bottom w:val="none" w:sz="0" w:space="0" w:color="auto"/>
            <w:right w:val="none" w:sz="0" w:space="0" w:color="auto"/>
          </w:divBdr>
          <w:divsChild>
            <w:div w:id="579755800">
              <w:marLeft w:val="0"/>
              <w:marRight w:val="0"/>
              <w:marTop w:val="0"/>
              <w:marBottom w:val="0"/>
              <w:divBdr>
                <w:top w:val="none" w:sz="0" w:space="0" w:color="auto"/>
                <w:left w:val="none" w:sz="0" w:space="0" w:color="auto"/>
                <w:bottom w:val="none" w:sz="0" w:space="0" w:color="auto"/>
                <w:right w:val="none" w:sz="0" w:space="0" w:color="auto"/>
              </w:divBdr>
              <w:divsChild>
                <w:div w:id="1705205938">
                  <w:marLeft w:val="0"/>
                  <w:marRight w:val="0"/>
                  <w:marTop w:val="0"/>
                  <w:marBottom w:val="0"/>
                  <w:divBdr>
                    <w:top w:val="none" w:sz="0" w:space="0" w:color="auto"/>
                    <w:left w:val="none" w:sz="0" w:space="0" w:color="auto"/>
                    <w:bottom w:val="none" w:sz="0" w:space="0" w:color="auto"/>
                    <w:right w:val="none" w:sz="0" w:space="0" w:color="auto"/>
                  </w:divBdr>
                  <w:divsChild>
                    <w:div w:id="1315990168">
                      <w:marLeft w:val="0"/>
                      <w:marRight w:val="0"/>
                      <w:marTop w:val="0"/>
                      <w:marBottom w:val="0"/>
                      <w:divBdr>
                        <w:top w:val="none" w:sz="0" w:space="0" w:color="auto"/>
                        <w:left w:val="none" w:sz="0" w:space="0" w:color="auto"/>
                        <w:bottom w:val="none" w:sz="0" w:space="0" w:color="auto"/>
                        <w:right w:val="none" w:sz="0" w:space="0" w:color="auto"/>
                      </w:divBdr>
                      <w:divsChild>
                        <w:div w:id="2114089957">
                          <w:marLeft w:val="0"/>
                          <w:marRight w:val="0"/>
                          <w:marTop w:val="0"/>
                          <w:marBottom w:val="0"/>
                          <w:divBdr>
                            <w:top w:val="none" w:sz="0" w:space="0" w:color="auto"/>
                            <w:left w:val="none" w:sz="0" w:space="0" w:color="auto"/>
                            <w:bottom w:val="none" w:sz="0" w:space="0" w:color="auto"/>
                            <w:right w:val="none" w:sz="0" w:space="0" w:color="auto"/>
                          </w:divBdr>
                          <w:divsChild>
                            <w:div w:id="775633610">
                              <w:marLeft w:val="0"/>
                              <w:marRight w:val="0"/>
                              <w:marTop w:val="0"/>
                              <w:marBottom w:val="0"/>
                              <w:divBdr>
                                <w:top w:val="none" w:sz="0" w:space="0" w:color="auto"/>
                                <w:left w:val="none" w:sz="0" w:space="0" w:color="auto"/>
                                <w:bottom w:val="none" w:sz="0" w:space="0" w:color="auto"/>
                                <w:right w:val="none" w:sz="0" w:space="0" w:color="auto"/>
                              </w:divBdr>
                              <w:divsChild>
                                <w:div w:id="1714504043">
                                  <w:marLeft w:val="0"/>
                                  <w:marRight w:val="0"/>
                                  <w:marTop w:val="0"/>
                                  <w:marBottom w:val="0"/>
                                  <w:divBdr>
                                    <w:top w:val="none" w:sz="0" w:space="0" w:color="auto"/>
                                    <w:left w:val="none" w:sz="0" w:space="0" w:color="auto"/>
                                    <w:bottom w:val="none" w:sz="0" w:space="0" w:color="auto"/>
                                    <w:right w:val="none" w:sz="0" w:space="0" w:color="auto"/>
                                  </w:divBdr>
                                  <w:divsChild>
                                    <w:div w:id="807865267">
                                      <w:marLeft w:val="0"/>
                                      <w:marRight w:val="0"/>
                                      <w:marTop w:val="0"/>
                                      <w:marBottom w:val="0"/>
                                      <w:divBdr>
                                        <w:top w:val="none" w:sz="0" w:space="0" w:color="auto"/>
                                        <w:left w:val="none" w:sz="0" w:space="0" w:color="auto"/>
                                        <w:bottom w:val="none" w:sz="0" w:space="0" w:color="auto"/>
                                        <w:right w:val="none" w:sz="0" w:space="0" w:color="auto"/>
                                      </w:divBdr>
                                      <w:divsChild>
                                        <w:div w:id="38314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9712161">
      <w:bodyDiv w:val="1"/>
      <w:marLeft w:val="0"/>
      <w:marRight w:val="0"/>
      <w:marTop w:val="0"/>
      <w:marBottom w:val="0"/>
      <w:divBdr>
        <w:top w:val="none" w:sz="0" w:space="0" w:color="auto"/>
        <w:left w:val="none" w:sz="0" w:space="0" w:color="auto"/>
        <w:bottom w:val="none" w:sz="0" w:space="0" w:color="auto"/>
        <w:right w:val="none" w:sz="0" w:space="0" w:color="auto"/>
      </w:divBdr>
      <w:divsChild>
        <w:div w:id="746876847">
          <w:marLeft w:val="0"/>
          <w:marRight w:val="0"/>
          <w:marTop w:val="0"/>
          <w:marBottom w:val="150"/>
          <w:divBdr>
            <w:top w:val="none" w:sz="0" w:space="0" w:color="auto"/>
            <w:left w:val="none" w:sz="0" w:space="0" w:color="auto"/>
            <w:bottom w:val="none" w:sz="0" w:space="0" w:color="auto"/>
            <w:right w:val="none" w:sz="0" w:space="0" w:color="auto"/>
          </w:divBdr>
        </w:div>
        <w:div w:id="788209697">
          <w:marLeft w:val="0"/>
          <w:marRight w:val="0"/>
          <w:marTop w:val="0"/>
          <w:marBottom w:val="0"/>
          <w:divBdr>
            <w:top w:val="none" w:sz="0" w:space="0" w:color="auto"/>
            <w:left w:val="none" w:sz="0" w:space="0" w:color="auto"/>
            <w:bottom w:val="none" w:sz="0" w:space="0" w:color="auto"/>
            <w:right w:val="none" w:sz="0" w:space="0" w:color="auto"/>
          </w:divBdr>
          <w:divsChild>
            <w:div w:id="1265042457">
              <w:marLeft w:val="0"/>
              <w:marRight w:val="0"/>
              <w:marTop w:val="225"/>
              <w:marBottom w:val="225"/>
              <w:divBdr>
                <w:top w:val="none" w:sz="0" w:space="0" w:color="auto"/>
                <w:left w:val="none" w:sz="0" w:space="0" w:color="auto"/>
                <w:bottom w:val="none" w:sz="0" w:space="0" w:color="auto"/>
                <w:right w:val="none" w:sz="0" w:space="0" w:color="auto"/>
              </w:divBdr>
            </w:div>
          </w:divsChild>
        </w:div>
        <w:div w:id="1667515011">
          <w:marLeft w:val="0"/>
          <w:marRight w:val="0"/>
          <w:marTop w:val="0"/>
          <w:marBottom w:val="150"/>
          <w:divBdr>
            <w:top w:val="none" w:sz="0" w:space="0" w:color="auto"/>
            <w:left w:val="none" w:sz="0" w:space="0" w:color="auto"/>
            <w:bottom w:val="none" w:sz="0" w:space="0" w:color="auto"/>
            <w:right w:val="none" w:sz="0" w:space="0" w:color="auto"/>
          </w:divBdr>
          <w:divsChild>
            <w:div w:id="1783644047">
              <w:marLeft w:val="0"/>
              <w:marRight w:val="0"/>
              <w:marTop w:val="0"/>
              <w:marBottom w:val="0"/>
              <w:divBdr>
                <w:top w:val="none" w:sz="0" w:space="0" w:color="auto"/>
                <w:left w:val="none" w:sz="0" w:space="0" w:color="auto"/>
                <w:bottom w:val="none" w:sz="0" w:space="0" w:color="auto"/>
                <w:right w:val="none" w:sz="0" w:space="0" w:color="auto"/>
              </w:divBdr>
              <w:divsChild>
                <w:div w:id="61356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858809">
      <w:bodyDiv w:val="1"/>
      <w:marLeft w:val="0"/>
      <w:marRight w:val="0"/>
      <w:marTop w:val="0"/>
      <w:marBottom w:val="0"/>
      <w:divBdr>
        <w:top w:val="none" w:sz="0" w:space="0" w:color="auto"/>
        <w:left w:val="none" w:sz="0" w:space="0" w:color="auto"/>
        <w:bottom w:val="none" w:sz="0" w:space="0" w:color="auto"/>
        <w:right w:val="none" w:sz="0" w:space="0" w:color="auto"/>
      </w:divBdr>
      <w:divsChild>
        <w:div w:id="1212422380">
          <w:marLeft w:val="0"/>
          <w:marRight w:val="0"/>
          <w:marTop w:val="0"/>
          <w:marBottom w:val="150"/>
          <w:divBdr>
            <w:top w:val="none" w:sz="0" w:space="0" w:color="auto"/>
            <w:left w:val="none" w:sz="0" w:space="0" w:color="auto"/>
            <w:bottom w:val="none" w:sz="0" w:space="0" w:color="auto"/>
            <w:right w:val="none" w:sz="0" w:space="0" w:color="auto"/>
          </w:divBdr>
        </w:div>
      </w:divsChild>
    </w:div>
    <w:div w:id="469903900">
      <w:bodyDiv w:val="1"/>
      <w:marLeft w:val="0"/>
      <w:marRight w:val="0"/>
      <w:marTop w:val="0"/>
      <w:marBottom w:val="0"/>
      <w:divBdr>
        <w:top w:val="none" w:sz="0" w:space="0" w:color="auto"/>
        <w:left w:val="none" w:sz="0" w:space="0" w:color="auto"/>
        <w:bottom w:val="none" w:sz="0" w:space="0" w:color="auto"/>
        <w:right w:val="none" w:sz="0" w:space="0" w:color="auto"/>
      </w:divBdr>
      <w:divsChild>
        <w:div w:id="808011046">
          <w:marLeft w:val="0"/>
          <w:marRight w:val="0"/>
          <w:marTop w:val="0"/>
          <w:marBottom w:val="150"/>
          <w:divBdr>
            <w:top w:val="none" w:sz="0" w:space="0" w:color="auto"/>
            <w:left w:val="none" w:sz="0" w:space="0" w:color="auto"/>
            <w:bottom w:val="none" w:sz="0" w:space="0" w:color="auto"/>
            <w:right w:val="none" w:sz="0" w:space="0" w:color="auto"/>
          </w:divBdr>
          <w:divsChild>
            <w:div w:id="2063097907">
              <w:marLeft w:val="0"/>
              <w:marRight w:val="0"/>
              <w:marTop w:val="0"/>
              <w:marBottom w:val="0"/>
              <w:divBdr>
                <w:top w:val="none" w:sz="0" w:space="0" w:color="auto"/>
                <w:left w:val="none" w:sz="0" w:space="0" w:color="auto"/>
                <w:bottom w:val="none" w:sz="0" w:space="0" w:color="auto"/>
                <w:right w:val="none" w:sz="0" w:space="0" w:color="auto"/>
              </w:divBdr>
              <w:divsChild>
                <w:div w:id="65125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668458">
          <w:marLeft w:val="0"/>
          <w:marRight w:val="0"/>
          <w:marTop w:val="0"/>
          <w:marBottom w:val="150"/>
          <w:divBdr>
            <w:top w:val="none" w:sz="0" w:space="0" w:color="auto"/>
            <w:left w:val="none" w:sz="0" w:space="0" w:color="auto"/>
            <w:bottom w:val="none" w:sz="0" w:space="0" w:color="auto"/>
            <w:right w:val="none" w:sz="0" w:space="0" w:color="auto"/>
          </w:divBdr>
        </w:div>
        <w:div w:id="1678773039">
          <w:marLeft w:val="0"/>
          <w:marRight w:val="0"/>
          <w:marTop w:val="0"/>
          <w:marBottom w:val="0"/>
          <w:divBdr>
            <w:top w:val="none" w:sz="0" w:space="0" w:color="auto"/>
            <w:left w:val="none" w:sz="0" w:space="0" w:color="auto"/>
            <w:bottom w:val="none" w:sz="0" w:space="0" w:color="auto"/>
            <w:right w:val="none" w:sz="0" w:space="0" w:color="auto"/>
          </w:divBdr>
          <w:divsChild>
            <w:div w:id="73115187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70439287">
      <w:bodyDiv w:val="1"/>
      <w:marLeft w:val="0"/>
      <w:marRight w:val="0"/>
      <w:marTop w:val="0"/>
      <w:marBottom w:val="0"/>
      <w:divBdr>
        <w:top w:val="none" w:sz="0" w:space="0" w:color="auto"/>
        <w:left w:val="none" w:sz="0" w:space="0" w:color="auto"/>
        <w:bottom w:val="none" w:sz="0" w:space="0" w:color="auto"/>
        <w:right w:val="none" w:sz="0" w:space="0" w:color="auto"/>
      </w:divBdr>
      <w:divsChild>
        <w:div w:id="1781532463">
          <w:marLeft w:val="0"/>
          <w:marRight w:val="0"/>
          <w:marTop w:val="0"/>
          <w:marBottom w:val="0"/>
          <w:divBdr>
            <w:top w:val="none" w:sz="0" w:space="0" w:color="auto"/>
            <w:left w:val="none" w:sz="0" w:space="0" w:color="auto"/>
            <w:bottom w:val="none" w:sz="0" w:space="0" w:color="auto"/>
            <w:right w:val="none" w:sz="0" w:space="0" w:color="auto"/>
          </w:divBdr>
          <w:divsChild>
            <w:div w:id="1453129851">
              <w:marLeft w:val="0"/>
              <w:marRight w:val="0"/>
              <w:marTop w:val="0"/>
              <w:marBottom w:val="0"/>
              <w:divBdr>
                <w:top w:val="none" w:sz="0" w:space="0" w:color="auto"/>
                <w:left w:val="none" w:sz="0" w:space="0" w:color="auto"/>
                <w:bottom w:val="none" w:sz="0" w:space="0" w:color="auto"/>
                <w:right w:val="none" w:sz="0" w:space="0" w:color="auto"/>
              </w:divBdr>
              <w:divsChild>
                <w:div w:id="88936238">
                  <w:marLeft w:val="0"/>
                  <w:marRight w:val="0"/>
                  <w:marTop w:val="0"/>
                  <w:marBottom w:val="150"/>
                  <w:divBdr>
                    <w:top w:val="none" w:sz="0" w:space="0" w:color="auto"/>
                    <w:left w:val="none" w:sz="0" w:space="0" w:color="auto"/>
                    <w:bottom w:val="none" w:sz="0" w:space="0" w:color="auto"/>
                    <w:right w:val="none" w:sz="0" w:space="0" w:color="auto"/>
                  </w:divBdr>
                  <w:divsChild>
                    <w:div w:id="224532335">
                      <w:marLeft w:val="0"/>
                      <w:marRight w:val="0"/>
                      <w:marTop w:val="0"/>
                      <w:marBottom w:val="0"/>
                      <w:divBdr>
                        <w:top w:val="none" w:sz="0" w:space="0" w:color="auto"/>
                        <w:left w:val="none" w:sz="0" w:space="0" w:color="auto"/>
                        <w:bottom w:val="none" w:sz="0" w:space="0" w:color="auto"/>
                        <w:right w:val="none" w:sz="0" w:space="0" w:color="auto"/>
                      </w:divBdr>
                      <w:divsChild>
                        <w:div w:id="1464425008">
                          <w:marLeft w:val="0"/>
                          <w:marRight w:val="0"/>
                          <w:marTop w:val="0"/>
                          <w:marBottom w:val="0"/>
                          <w:divBdr>
                            <w:top w:val="none" w:sz="0" w:space="0" w:color="auto"/>
                            <w:left w:val="none" w:sz="0" w:space="0" w:color="auto"/>
                            <w:bottom w:val="none" w:sz="0" w:space="0" w:color="auto"/>
                            <w:right w:val="none" w:sz="0" w:space="0" w:color="auto"/>
                          </w:divBdr>
                          <w:divsChild>
                            <w:div w:id="1889949621">
                              <w:marLeft w:val="0"/>
                              <w:marRight w:val="0"/>
                              <w:marTop w:val="0"/>
                              <w:marBottom w:val="0"/>
                              <w:divBdr>
                                <w:top w:val="none" w:sz="0" w:space="0" w:color="auto"/>
                                <w:left w:val="none" w:sz="0" w:space="0" w:color="auto"/>
                                <w:bottom w:val="none" w:sz="0" w:space="0" w:color="auto"/>
                                <w:right w:val="none" w:sz="0" w:space="0" w:color="auto"/>
                              </w:divBdr>
                              <w:divsChild>
                                <w:div w:id="1488747235">
                                  <w:marLeft w:val="0"/>
                                  <w:marRight w:val="0"/>
                                  <w:marTop w:val="0"/>
                                  <w:marBottom w:val="0"/>
                                  <w:divBdr>
                                    <w:top w:val="none" w:sz="0" w:space="0" w:color="auto"/>
                                    <w:left w:val="none" w:sz="0" w:space="0" w:color="auto"/>
                                    <w:bottom w:val="none" w:sz="0" w:space="0" w:color="auto"/>
                                    <w:right w:val="none" w:sz="0" w:space="0" w:color="auto"/>
                                  </w:divBdr>
                                  <w:divsChild>
                                    <w:div w:id="63722471">
                                      <w:marLeft w:val="0"/>
                                      <w:marRight w:val="0"/>
                                      <w:marTop w:val="0"/>
                                      <w:marBottom w:val="0"/>
                                      <w:divBdr>
                                        <w:top w:val="none" w:sz="0" w:space="0" w:color="auto"/>
                                        <w:left w:val="none" w:sz="0" w:space="0" w:color="auto"/>
                                        <w:bottom w:val="none" w:sz="0" w:space="0" w:color="auto"/>
                                        <w:right w:val="none" w:sz="0" w:space="0" w:color="auto"/>
                                      </w:divBdr>
                                      <w:divsChild>
                                        <w:div w:id="1570112612">
                                          <w:marLeft w:val="0"/>
                                          <w:marRight w:val="0"/>
                                          <w:marTop w:val="0"/>
                                          <w:marBottom w:val="0"/>
                                          <w:divBdr>
                                            <w:top w:val="none" w:sz="0" w:space="0" w:color="auto"/>
                                            <w:left w:val="none" w:sz="0" w:space="0" w:color="auto"/>
                                            <w:bottom w:val="none" w:sz="0" w:space="0" w:color="auto"/>
                                            <w:right w:val="none" w:sz="0" w:space="0" w:color="auto"/>
                                          </w:divBdr>
                                          <w:divsChild>
                                            <w:div w:id="1977181650">
                                              <w:marLeft w:val="0"/>
                                              <w:marRight w:val="0"/>
                                              <w:marTop w:val="0"/>
                                              <w:marBottom w:val="0"/>
                                              <w:divBdr>
                                                <w:top w:val="none" w:sz="0" w:space="0" w:color="auto"/>
                                                <w:left w:val="none" w:sz="0" w:space="0" w:color="auto"/>
                                                <w:bottom w:val="none" w:sz="0" w:space="0" w:color="auto"/>
                                                <w:right w:val="none" w:sz="0" w:space="0" w:color="auto"/>
                                              </w:divBdr>
                                              <w:divsChild>
                                                <w:div w:id="44538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1676437">
      <w:bodyDiv w:val="1"/>
      <w:marLeft w:val="0"/>
      <w:marRight w:val="0"/>
      <w:marTop w:val="0"/>
      <w:marBottom w:val="0"/>
      <w:divBdr>
        <w:top w:val="none" w:sz="0" w:space="0" w:color="auto"/>
        <w:left w:val="none" w:sz="0" w:space="0" w:color="auto"/>
        <w:bottom w:val="none" w:sz="0" w:space="0" w:color="auto"/>
        <w:right w:val="none" w:sz="0" w:space="0" w:color="auto"/>
      </w:divBdr>
      <w:divsChild>
        <w:div w:id="1864396268">
          <w:marLeft w:val="0"/>
          <w:marRight w:val="0"/>
          <w:marTop w:val="0"/>
          <w:marBottom w:val="0"/>
          <w:divBdr>
            <w:top w:val="none" w:sz="0" w:space="0" w:color="auto"/>
            <w:left w:val="none" w:sz="0" w:space="0" w:color="auto"/>
            <w:bottom w:val="dotted" w:sz="6" w:space="4" w:color="DDDDDD"/>
            <w:right w:val="none" w:sz="0" w:space="0" w:color="auto"/>
          </w:divBdr>
        </w:div>
      </w:divsChild>
    </w:div>
    <w:div w:id="472873324">
      <w:bodyDiv w:val="1"/>
      <w:marLeft w:val="0"/>
      <w:marRight w:val="0"/>
      <w:marTop w:val="0"/>
      <w:marBottom w:val="0"/>
      <w:divBdr>
        <w:top w:val="none" w:sz="0" w:space="0" w:color="auto"/>
        <w:left w:val="none" w:sz="0" w:space="0" w:color="auto"/>
        <w:bottom w:val="none" w:sz="0" w:space="0" w:color="auto"/>
        <w:right w:val="none" w:sz="0" w:space="0" w:color="auto"/>
      </w:divBdr>
      <w:divsChild>
        <w:div w:id="1096754346">
          <w:marLeft w:val="0"/>
          <w:marRight w:val="0"/>
          <w:marTop w:val="0"/>
          <w:marBottom w:val="0"/>
          <w:divBdr>
            <w:top w:val="none" w:sz="0" w:space="0" w:color="auto"/>
            <w:left w:val="none" w:sz="0" w:space="0" w:color="auto"/>
            <w:bottom w:val="none" w:sz="0" w:space="0" w:color="auto"/>
            <w:right w:val="none" w:sz="0" w:space="0" w:color="auto"/>
          </w:divBdr>
        </w:div>
      </w:divsChild>
    </w:div>
    <w:div w:id="472986967">
      <w:bodyDiv w:val="1"/>
      <w:marLeft w:val="0"/>
      <w:marRight w:val="0"/>
      <w:marTop w:val="0"/>
      <w:marBottom w:val="0"/>
      <w:divBdr>
        <w:top w:val="none" w:sz="0" w:space="0" w:color="auto"/>
        <w:left w:val="none" w:sz="0" w:space="0" w:color="auto"/>
        <w:bottom w:val="none" w:sz="0" w:space="0" w:color="auto"/>
        <w:right w:val="none" w:sz="0" w:space="0" w:color="auto"/>
      </w:divBdr>
      <w:divsChild>
        <w:div w:id="1778744823">
          <w:marLeft w:val="0"/>
          <w:marRight w:val="0"/>
          <w:marTop w:val="0"/>
          <w:marBottom w:val="150"/>
          <w:divBdr>
            <w:top w:val="none" w:sz="0" w:space="0" w:color="auto"/>
            <w:left w:val="none" w:sz="0" w:space="0" w:color="auto"/>
            <w:bottom w:val="none" w:sz="0" w:space="0" w:color="auto"/>
            <w:right w:val="none" w:sz="0" w:space="0" w:color="auto"/>
          </w:divBdr>
        </w:div>
      </w:divsChild>
    </w:div>
    <w:div w:id="473372403">
      <w:bodyDiv w:val="1"/>
      <w:marLeft w:val="0"/>
      <w:marRight w:val="0"/>
      <w:marTop w:val="0"/>
      <w:marBottom w:val="0"/>
      <w:divBdr>
        <w:top w:val="none" w:sz="0" w:space="0" w:color="auto"/>
        <w:left w:val="none" w:sz="0" w:space="0" w:color="auto"/>
        <w:bottom w:val="none" w:sz="0" w:space="0" w:color="auto"/>
        <w:right w:val="none" w:sz="0" w:space="0" w:color="auto"/>
      </w:divBdr>
      <w:divsChild>
        <w:div w:id="67504093">
          <w:marLeft w:val="0"/>
          <w:marRight w:val="0"/>
          <w:marTop w:val="0"/>
          <w:marBottom w:val="150"/>
          <w:divBdr>
            <w:top w:val="none" w:sz="0" w:space="0" w:color="auto"/>
            <w:left w:val="none" w:sz="0" w:space="0" w:color="auto"/>
            <w:bottom w:val="none" w:sz="0" w:space="0" w:color="auto"/>
            <w:right w:val="none" w:sz="0" w:space="0" w:color="auto"/>
          </w:divBdr>
          <w:divsChild>
            <w:div w:id="2134012773">
              <w:marLeft w:val="0"/>
              <w:marRight w:val="0"/>
              <w:marTop w:val="0"/>
              <w:marBottom w:val="0"/>
              <w:divBdr>
                <w:top w:val="none" w:sz="0" w:space="0" w:color="auto"/>
                <w:left w:val="none" w:sz="0" w:space="0" w:color="auto"/>
                <w:bottom w:val="none" w:sz="0" w:space="0" w:color="auto"/>
                <w:right w:val="none" w:sz="0" w:space="0" w:color="auto"/>
              </w:divBdr>
            </w:div>
          </w:divsChild>
        </w:div>
        <w:div w:id="216556839">
          <w:marLeft w:val="0"/>
          <w:marRight w:val="0"/>
          <w:marTop w:val="0"/>
          <w:marBottom w:val="0"/>
          <w:divBdr>
            <w:top w:val="none" w:sz="0" w:space="0" w:color="auto"/>
            <w:left w:val="none" w:sz="0" w:space="0" w:color="auto"/>
            <w:bottom w:val="none" w:sz="0" w:space="0" w:color="auto"/>
            <w:right w:val="none" w:sz="0" w:space="0" w:color="auto"/>
          </w:divBdr>
          <w:divsChild>
            <w:div w:id="1566211611">
              <w:marLeft w:val="0"/>
              <w:marRight w:val="0"/>
              <w:marTop w:val="0"/>
              <w:marBottom w:val="0"/>
              <w:divBdr>
                <w:top w:val="none" w:sz="0" w:space="0" w:color="auto"/>
                <w:left w:val="none" w:sz="0" w:space="0" w:color="auto"/>
                <w:bottom w:val="none" w:sz="0" w:space="0" w:color="auto"/>
                <w:right w:val="none" w:sz="0" w:space="0" w:color="auto"/>
              </w:divBdr>
            </w:div>
          </w:divsChild>
        </w:div>
        <w:div w:id="572467669">
          <w:marLeft w:val="0"/>
          <w:marRight w:val="0"/>
          <w:marTop w:val="0"/>
          <w:marBottom w:val="150"/>
          <w:divBdr>
            <w:top w:val="none" w:sz="0" w:space="0" w:color="auto"/>
            <w:left w:val="none" w:sz="0" w:space="0" w:color="auto"/>
            <w:bottom w:val="none" w:sz="0" w:space="0" w:color="auto"/>
            <w:right w:val="none" w:sz="0" w:space="0" w:color="auto"/>
          </w:divBdr>
        </w:div>
      </w:divsChild>
    </w:div>
    <w:div w:id="473572073">
      <w:bodyDiv w:val="1"/>
      <w:marLeft w:val="0"/>
      <w:marRight w:val="0"/>
      <w:marTop w:val="0"/>
      <w:marBottom w:val="0"/>
      <w:divBdr>
        <w:top w:val="none" w:sz="0" w:space="0" w:color="auto"/>
        <w:left w:val="none" w:sz="0" w:space="0" w:color="auto"/>
        <w:bottom w:val="none" w:sz="0" w:space="0" w:color="auto"/>
        <w:right w:val="none" w:sz="0" w:space="0" w:color="auto"/>
      </w:divBdr>
      <w:divsChild>
        <w:div w:id="1932274238">
          <w:marLeft w:val="0"/>
          <w:marRight w:val="0"/>
          <w:marTop w:val="0"/>
          <w:marBottom w:val="150"/>
          <w:divBdr>
            <w:top w:val="none" w:sz="0" w:space="0" w:color="auto"/>
            <w:left w:val="none" w:sz="0" w:space="0" w:color="auto"/>
            <w:bottom w:val="none" w:sz="0" w:space="0" w:color="auto"/>
            <w:right w:val="none" w:sz="0" w:space="0" w:color="auto"/>
          </w:divBdr>
        </w:div>
      </w:divsChild>
    </w:div>
    <w:div w:id="473644755">
      <w:bodyDiv w:val="1"/>
      <w:marLeft w:val="0"/>
      <w:marRight w:val="0"/>
      <w:marTop w:val="0"/>
      <w:marBottom w:val="0"/>
      <w:divBdr>
        <w:top w:val="none" w:sz="0" w:space="0" w:color="auto"/>
        <w:left w:val="none" w:sz="0" w:space="0" w:color="auto"/>
        <w:bottom w:val="none" w:sz="0" w:space="0" w:color="auto"/>
        <w:right w:val="none" w:sz="0" w:space="0" w:color="auto"/>
      </w:divBdr>
      <w:divsChild>
        <w:div w:id="1537740548">
          <w:marLeft w:val="0"/>
          <w:marRight w:val="0"/>
          <w:marTop w:val="0"/>
          <w:marBottom w:val="0"/>
          <w:divBdr>
            <w:top w:val="none" w:sz="0" w:space="0" w:color="auto"/>
            <w:left w:val="none" w:sz="0" w:space="0" w:color="auto"/>
            <w:bottom w:val="none" w:sz="0" w:space="0" w:color="auto"/>
            <w:right w:val="none" w:sz="0" w:space="0" w:color="auto"/>
          </w:divBdr>
        </w:div>
      </w:divsChild>
    </w:div>
    <w:div w:id="473647444">
      <w:bodyDiv w:val="1"/>
      <w:marLeft w:val="0"/>
      <w:marRight w:val="0"/>
      <w:marTop w:val="0"/>
      <w:marBottom w:val="0"/>
      <w:divBdr>
        <w:top w:val="none" w:sz="0" w:space="0" w:color="auto"/>
        <w:left w:val="none" w:sz="0" w:space="0" w:color="auto"/>
        <w:bottom w:val="none" w:sz="0" w:space="0" w:color="auto"/>
        <w:right w:val="none" w:sz="0" w:space="0" w:color="auto"/>
      </w:divBdr>
      <w:divsChild>
        <w:div w:id="1341469833">
          <w:marLeft w:val="0"/>
          <w:marRight w:val="0"/>
          <w:marTop w:val="0"/>
          <w:marBottom w:val="150"/>
          <w:divBdr>
            <w:top w:val="none" w:sz="0" w:space="0" w:color="auto"/>
            <w:left w:val="none" w:sz="0" w:space="0" w:color="auto"/>
            <w:bottom w:val="none" w:sz="0" w:space="0" w:color="auto"/>
            <w:right w:val="none" w:sz="0" w:space="0" w:color="auto"/>
          </w:divBdr>
        </w:div>
        <w:div w:id="1384677302">
          <w:marLeft w:val="0"/>
          <w:marRight w:val="0"/>
          <w:marTop w:val="0"/>
          <w:marBottom w:val="0"/>
          <w:divBdr>
            <w:top w:val="none" w:sz="0" w:space="0" w:color="auto"/>
            <w:left w:val="none" w:sz="0" w:space="0" w:color="auto"/>
            <w:bottom w:val="none" w:sz="0" w:space="0" w:color="auto"/>
            <w:right w:val="none" w:sz="0" w:space="0" w:color="auto"/>
          </w:divBdr>
          <w:divsChild>
            <w:div w:id="1463160018">
              <w:marLeft w:val="0"/>
              <w:marRight w:val="0"/>
              <w:marTop w:val="0"/>
              <w:marBottom w:val="0"/>
              <w:divBdr>
                <w:top w:val="none" w:sz="0" w:space="0" w:color="auto"/>
                <w:left w:val="none" w:sz="0" w:space="0" w:color="auto"/>
                <w:bottom w:val="none" w:sz="0" w:space="0" w:color="auto"/>
                <w:right w:val="none" w:sz="0" w:space="0" w:color="auto"/>
              </w:divBdr>
            </w:div>
          </w:divsChild>
        </w:div>
        <w:div w:id="1526674151">
          <w:marLeft w:val="0"/>
          <w:marRight w:val="0"/>
          <w:marTop w:val="0"/>
          <w:marBottom w:val="150"/>
          <w:divBdr>
            <w:top w:val="none" w:sz="0" w:space="0" w:color="auto"/>
            <w:left w:val="none" w:sz="0" w:space="0" w:color="auto"/>
            <w:bottom w:val="none" w:sz="0" w:space="0" w:color="auto"/>
            <w:right w:val="none" w:sz="0" w:space="0" w:color="auto"/>
          </w:divBdr>
          <w:divsChild>
            <w:div w:id="65977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791396">
      <w:bodyDiv w:val="1"/>
      <w:marLeft w:val="0"/>
      <w:marRight w:val="0"/>
      <w:marTop w:val="0"/>
      <w:marBottom w:val="0"/>
      <w:divBdr>
        <w:top w:val="none" w:sz="0" w:space="0" w:color="auto"/>
        <w:left w:val="none" w:sz="0" w:space="0" w:color="auto"/>
        <w:bottom w:val="none" w:sz="0" w:space="0" w:color="auto"/>
        <w:right w:val="none" w:sz="0" w:space="0" w:color="auto"/>
      </w:divBdr>
      <w:divsChild>
        <w:div w:id="80837815">
          <w:marLeft w:val="0"/>
          <w:marRight w:val="0"/>
          <w:marTop w:val="0"/>
          <w:marBottom w:val="0"/>
          <w:divBdr>
            <w:top w:val="none" w:sz="0" w:space="0" w:color="auto"/>
            <w:left w:val="none" w:sz="0" w:space="0" w:color="auto"/>
            <w:bottom w:val="none" w:sz="0" w:space="0" w:color="auto"/>
            <w:right w:val="none" w:sz="0" w:space="0" w:color="auto"/>
          </w:divBdr>
        </w:div>
      </w:divsChild>
    </w:div>
    <w:div w:id="473986960">
      <w:bodyDiv w:val="1"/>
      <w:marLeft w:val="0"/>
      <w:marRight w:val="0"/>
      <w:marTop w:val="0"/>
      <w:marBottom w:val="0"/>
      <w:divBdr>
        <w:top w:val="none" w:sz="0" w:space="0" w:color="auto"/>
        <w:left w:val="none" w:sz="0" w:space="0" w:color="auto"/>
        <w:bottom w:val="none" w:sz="0" w:space="0" w:color="auto"/>
        <w:right w:val="none" w:sz="0" w:space="0" w:color="auto"/>
      </w:divBdr>
      <w:divsChild>
        <w:div w:id="45227398">
          <w:marLeft w:val="0"/>
          <w:marRight w:val="0"/>
          <w:marTop w:val="0"/>
          <w:marBottom w:val="0"/>
          <w:divBdr>
            <w:top w:val="none" w:sz="0" w:space="0" w:color="auto"/>
            <w:left w:val="none" w:sz="0" w:space="0" w:color="auto"/>
            <w:bottom w:val="none" w:sz="0" w:space="0" w:color="auto"/>
            <w:right w:val="none" w:sz="0" w:space="0" w:color="auto"/>
          </w:divBdr>
          <w:divsChild>
            <w:div w:id="1827895978">
              <w:marLeft w:val="0"/>
              <w:marRight w:val="0"/>
              <w:marTop w:val="0"/>
              <w:marBottom w:val="150"/>
              <w:divBdr>
                <w:top w:val="none" w:sz="0" w:space="0" w:color="auto"/>
                <w:left w:val="none" w:sz="0" w:space="0" w:color="auto"/>
                <w:bottom w:val="none" w:sz="0" w:space="0" w:color="auto"/>
                <w:right w:val="none" w:sz="0" w:space="0" w:color="auto"/>
              </w:divBdr>
            </w:div>
            <w:div w:id="189276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026701">
      <w:bodyDiv w:val="1"/>
      <w:marLeft w:val="0"/>
      <w:marRight w:val="0"/>
      <w:marTop w:val="0"/>
      <w:marBottom w:val="0"/>
      <w:divBdr>
        <w:top w:val="none" w:sz="0" w:space="0" w:color="auto"/>
        <w:left w:val="none" w:sz="0" w:space="0" w:color="auto"/>
        <w:bottom w:val="none" w:sz="0" w:space="0" w:color="auto"/>
        <w:right w:val="none" w:sz="0" w:space="0" w:color="auto"/>
      </w:divBdr>
      <w:divsChild>
        <w:div w:id="1212426880">
          <w:marLeft w:val="0"/>
          <w:marRight w:val="0"/>
          <w:marTop w:val="0"/>
          <w:marBottom w:val="150"/>
          <w:divBdr>
            <w:top w:val="none" w:sz="0" w:space="0" w:color="auto"/>
            <w:left w:val="none" w:sz="0" w:space="0" w:color="auto"/>
            <w:bottom w:val="none" w:sz="0" w:space="0" w:color="auto"/>
            <w:right w:val="none" w:sz="0" w:space="0" w:color="auto"/>
          </w:divBdr>
        </w:div>
        <w:div w:id="1301611374">
          <w:marLeft w:val="0"/>
          <w:marRight w:val="0"/>
          <w:marTop w:val="0"/>
          <w:marBottom w:val="0"/>
          <w:divBdr>
            <w:top w:val="none" w:sz="0" w:space="0" w:color="auto"/>
            <w:left w:val="none" w:sz="0" w:space="0" w:color="auto"/>
            <w:bottom w:val="none" w:sz="0" w:space="0" w:color="auto"/>
            <w:right w:val="none" w:sz="0" w:space="0" w:color="auto"/>
          </w:divBdr>
          <w:divsChild>
            <w:div w:id="1028799284">
              <w:marLeft w:val="0"/>
              <w:marRight w:val="0"/>
              <w:marTop w:val="0"/>
              <w:marBottom w:val="0"/>
              <w:divBdr>
                <w:top w:val="none" w:sz="0" w:space="0" w:color="auto"/>
                <w:left w:val="none" w:sz="0" w:space="0" w:color="auto"/>
                <w:bottom w:val="none" w:sz="0" w:space="0" w:color="auto"/>
                <w:right w:val="none" w:sz="0" w:space="0" w:color="auto"/>
              </w:divBdr>
            </w:div>
          </w:divsChild>
        </w:div>
        <w:div w:id="1930310168">
          <w:marLeft w:val="0"/>
          <w:marRight w:val="0"/>
          <w:marTop w:val="0"/>
          <w:marBottom w:val="150"/>
          <w:divBdr>
            <w:top w:val="none" w:sz="0" w:space="0" w:color="auto"/>
            <w:left w:val="none" w:sz="0" w:space="0" w:color="auto"/>
            <w:bottom w:val="none" w:sz="0" w:space="0" w:color="auto"/>
            <w:right w:val="none" w:sz="0" w:space="0" w:color="auto"/>
          </w:divBdr>
          <w:divsChild>
            <w:div w:id="142915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300250">
      <w:bodyDiv w:val="1"/>
      <w:marLeft w:val="0"/>
      <w:marRight w:val="0"/>
      <w:marTop w:val="0"/>
      <w:marBottom w:val="0"/>
      <w:divBdr>
        <w:top w:val="none" w:sz="0" w:space="0" w:color="auto"/>
        <w:left w:val="none" w:sz="0" w:space="0" w:color="auto"/>
        <w:bottom w:val="none" w:sz="0" w:space="0" w:color="auto"/>
        <w:right w:val="none" w:sz="0" w:space="0" w:color="auto"/>
      </w:divBdr>
      <w:divsChild>
        <w:div w:id="36056498">
          <w:marLeft w:val="0"/>
          <w:marRight w:val="0"/>
          <w:marTop w:val="0"/>
          <w:marBottom w:val="0"/>
          <w:divBdr>
            <w:top w:val="none" w:sz="0" w:space="0" w:color="auto"/>
            <w:left w:val="none" w:sz="0" w:space="0" w:color="auto"/>
            <w:bottom w:val="none" w:sz="0" w:space="0" w:color="auto"/>
            <w:right w:val="none" w:sz="0" w:space="0" w:color="auto"/>
          </w:divBdr>
          <w:divsChild>
            <w:div w:id="750469648">
              <w:marLeft w:val="0"/>
              <w:marRight w:val="0"/>
              <w:marTop w:val="0"/>
              <w:marBottom w:val="0"/>
              <w:divBdr>
                <w:top w:val="none" w:sz="0" w:space="0" w:color="auto"/>
                <w:left w:val="none" w:sz="0" w:space="0" w:color="auto"/>
                <w:bottom w:val="none" w:sz="0" w:space="0" w:color="auto"/>
                <w:right w:val="none" w:sz="0" w:space="0" w:color="auto"/>
              </w:divBdr>
              <w:divsChild>
                <w:div w:id="1603561814">
                  <w:marLeft w:val="0"/>
                  <w:marRight w:val="0"/>
                  <w:marTop w:val="0"/>
                  <w:marBottom w:val="0"/>
                  <w:divBdr>
                    <w:top w:val="none" w:sz="0" w:space="0" w:color="auto"/>
                    <w:left w:val="none" w:sz="0" w:space="0" w:color="auto"/>
                    <w:bottom w:val="none" w:sz="0" w:space="0" w:color="auto"/>
                    <w:right w:val="none" w:sz="0" w:space="0" w:color="auto"/>
                  </w:divBdr>
                  <w:divsChild>
                    <w:div w:id="1805583396">
                      <w:marLeft w:val="0"/>
                      <w:marRight w:val="0"/>
                      <w:marTop w:val="0"/>
                      <w:marBottom w:val="0"/>
                      <w:divBdr>
                        <w:top w:val="none" w:sz="0" w:space="0" w:color="auto"/>
                        <w:left w:val="none" w:sz="0" w:space="0" w:color="auto"/>
                        <w:bottom w:val="none" w:sz="0" w:space="0" w:color="auto"/>
                        <w:right w:val="none" w:sz="0" w:space="0" w:color="auto"/>
                      </w:divBdr>
                      <w:divsChild>
                        <w:div w:id="669060537">
                          <w:marLeft w:val="0"/>
                          <w:marRight w:val="0"/>
                          <w:marTop w:val="0"/>
                          <w:marBottom w:val="0"/>
                          <w:divBdr>
                            <w:top w:val="none" w:sz="0" w:space="0" w:color="auto"/>
                            <w:left w:val="none" w:sz="0" w:space="0" w:color="auto"/>
                            <w:bottom w:val="none" w:sz="0" w:space="0" w:color="auto"/>
                            <w:right w:val="none" w:sz="0" w:space="0" w:color="auto"/>
                          </w:divBdr>
                          <w:divsChild>
                            <w:div w:id="1899389446">
                              <w:marLeft w:val="0"/>
                              <w:marRight w:val="0"/>
                              <w:marTop w:val="0"/>
                              <w:marBottom w:val="0"/>
                              <w:divBdr>
                                <w:top w:val="none" w:sz="0" w:space="0" w:color="auto"/>
                                <w:left w:val="none" w:sz="0" w:space="0" w:color="auto"/>
                                <w:bottom w:val="none" w:sz="0" w:space="0" w:color="auto"/>
                                <w:right w:val="none" w:sz="0" w:space="0" w:color="auto"/>
                              </w:divBdr>
                              <w:divsChild>
                                <w:div w:id="914437927">
                                  <w:marLeft w:val="0"/>
                                  <w:marRight w:val="0"/>
                                  <w:marTop w:val="0"/>
                                  <w:marBottom w:val="0"/>
                                  <w:divBdr>
                                    <w:top w:val="none" w:sz="0" w:space="0" w:color="auto"/>
                                    <w:left w:val="none" w:sz="0" w:space="0" w:color="auto"/>
                                    <w:bottom w:val="none" w:sz="0" w:space="0" w:color="auto"/>
                                    <w:right w:val="none" w:sz="0" w:space="0" w:color="auto"/>
                                  </w:divBdr>
                                  <w:divsChild>
                                    <w:div w:id="557515904">
                                      <w:marLeft w:val="0"/>
                                      <w:marRight w:val="0"/>
                                      <w:marTop w:val="0"/>
                                      <w:marBottom w:val="0"/>
                                      <w:divBdr>
                                        <w:top w:val="none" w:sz="0" w:space="0" w:color="auto"/>
                                        <w:left w:val="none" w:sz="0" w:space="0" w:color="auto"/>
                                        <w:bottom w:val="none" w:sz="0" w:space="0" w:color="auto"/>
                                        <w:right w:val="none" w:sz="0" w:space="0" w:color="auto"/>
                                      </w:divBdr>
                                      <w:divsChild>
                                        <w:div w:id="180515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4418655">
      <w:bodyDiv w:val="1"/>
      <w:marLeft w:val="0"/>
      <w:marRight w:val="0"/>
      <w:marTop w:val="0"/>
      <w:marBottom w:val="0"/>
      <w:divBdr>
        <w:top w:val="none" w:sz="0" w:space="0" w:color="auto"/>
        <w:left w:val="none" w:sz="0" w:space="0" w:color="auto"/>
        <w:bottom w:val="none" w:sz="0" w:space="0" w:color="auto"/>
        <w:right w:val="none" w:sz="0" w:space="0" w:color="auto"/>
      </w:divBdr>
      <w:divsChild>
        <w:div w:id="852575119">
          <w:marLeft w:val="0"/>
          <w:marRight w:val="0"/>
          <w:marTop w:val="0"/>
          <w:marBottom w:val="150"/>
          <w:divBdr>
            <w:top w:val="none" w:sz="0" w:space="0" w:color="auto"/>
            <w:left w:val="none" w:sz="0" w:space="0" w:color="auto"/>
            <w:bottom w:val="none" w:sz="0" w:space="0" w:color="auto"/>
            <w:right w:val="none" w:sz="0" w:space="0" w:color="auto"/>
          </w:divBdr>
          <w:divsChild>
            <w:div w:id="846599391">
              <w:marLeft w:val="0"/>
              <w:marRight w:val="0"/>
              <w:marTop w:val="0"/>
              <w:marBottom w:val="0"/>
              <w:divBdr>
                <w:top w:val="none" w:sz="0" w:space="0" w:color="auto"/>
                <w:left w:val="none" w:sz="0" w:space="0" w:color="auto"/>
                <w:bottom w:val="none" w:sz="0" w:space="0" w:color="auto"/>
                <w:right w:val="none" w:sz="0" w:space="0" w:color="auto"/>
              </w:divBdr>
            </w:div>
          </w:divsChild>
        </w:div>
        <w:div w:id="949359301">
          <w:marLeft w:val="0"/>
          <w:marRight w:val="0"/>
          <w:marTop w:val="0"/>
          <w:marBottom w:val="0"/>
          <w:divBdr>
            <w:top w:val="none" w:sz="0" w:space="0" w:color="auto"/>
            <w:left w:val="none" w:sz="0" w:space="0" w:color="auto"/>
            <w:bottom w:val="none" w:sz="0" w:space="0" w:color="auto"/>
            <w:right w:val="none" w:sz="0" w:space="0" w:color="auto"/>
          </w:divBdr>
          <w:divsChild>
            <w:div w:id="34472868">
              <w:marLeft w:val="0"/>
              <w:marRight w:val="0"/>
              <w:marTop w:val="0"/>
              <w:marBottom w:val="0"/>
              <w:divBdr>
                <w:top w:val="none" w:sz="0" w:space="0" w:color="auto"/>
                <w:left w:val="none" w:sz="0" w:space="0" w:color="auto"/>
                <w:bottom w:val="none" w:sz="0" w:space="0" w:color="auto"/>
                <w:right w:val="none" w:sz="0" w:space="0" w:color="auto"/>
              </w:divBdr>
            </w:div>
          </w:divsChild>
        </w:div>
        <w:div w:id="1372611143">
          <w:marLeft w:val="0"/>
          <w:marRight w:val="0"/>
          <w:marTop w:val="0"/>
          <w:marBottom w:val="150"/>
          <w:divBdr>
            <w:top w:val="none" w:sz="0" w:space="0" w:color="auto"/>
            <w:left w:val="none" w:sz="0" w:space="0" w:color="auto"/>
            <w:bottom w:val="none" w:sz="0" w:space="0" w:color="auto"/>
            <w:right w:val="none" w:sz="0" w:space="0" w:color="auto"/>
          </w:divBdr>
        </w:div>
      </w:divsChild>
    </w:div>
    <w:div w:id="474570598">
      <w:bodyDiv w:val="1"/>
      <w:marLeft w:val="0"/>
      <w:marRight w:val="0"/>
      <w:marTop w:val="0"/>
      <w:marBottom w:val="0"/>
      <w:divBdr>
        <w:top w:val="none" w:sz="0" w:space="0" w:color="auto"/>
        <w:left w:val="none" w:sz="0" w:space="0" w:color="auto"/>
        <w:bottom w:val="none" w:sz="0" w:space="0" w:color="auto"/>
        <w:right w:val="none" w:sz="0" w:space="0" w:color="auto"/>
      </w:divBdr>
      <w:divsChild>
        <w:div w:id="399835847">
          <w:marLeft w:val="0"/>
          <w:marRight w:val="0"/>
          <w:marTop w:val="0"/>
          <w:marBottom w:val="0"/>
          <w:divBdr>
            <w:top w:val="none" w:sz="0" w:space="0" w:color="auto"/>
            <w:left w:val="none" w:sz="0" w:space="0" w:color="auto"/>
            <w:bottom w:val="none" w:sz="0" w:space="0" w:color="auto"/>
            <w:right w:val="none" w:sz="0" w:space="0" w:color="auto"/>
          </w:divBdr>
          <w:divsChild>
            <w:div w:id="1235318182">
              <w:marLeft w:val="0"/>
              <w:marRight w:val="0"/>
              <w:marTop w:val="0"/>
              <w:marBottom w:val="0"/>
              <w:divBdr>
                <w:top w:val="none" w:sz="0" w:space="0" w:color="auto"/>
                <w:left w:val="none" w:sz="0" w:space="0" w:color="auto"/>
                <w:bottom w:val="none" w:sz="0" w:space="0" w:color="auto"/>
                <w:right w:val="none" w:sz="0" w:space="0" w:color="auto"/>
              </w:divBdr>
            </w:div>
          </w:divsChild>
        </w:div>
        <w:div w:id="1465002860">
          <w:marLeft w:val="0"/>
          <w:marRight w:val="0"/>
          <w:marTop w:val="0"/>
          <w:marBottom w:val="150"/>
          <w:divBdr>
            <w:top w:val="none" w:sz="0" w:space="0" w:color="auto"/>
            <w:left w:val="none" w:sz="0" w:space="0" w:color="auto"/>
            <w:bottom w:val="none" w:sz="0" w:space="0" w:color="auto"/>
            <w:right w:val="none" w:sz="0" w:space="0" w:color="auto"/>
          </w:divBdr>
        </w:div>
        <w:div w:id="1566798691">
          <w:marLeft w:val="0"/>
          <w:marRight w:val="0"/>
          <w:marTop w:val="0"/>
          <w:marBottom w:val="150"/>
          <w:divBdr>
            <w:top w:val="none" w:sz="0" w:space="0" w:color="auto"/>
            <w:left w:val="none" w:sz="0" w:space="0" w:color="auto"/>
            <w:bottom w:val="none" w:sz="0" w:space="0" w:color="auto"/>
            <w:right w:val="none" w:sz="0" w:space="0" w:color="auto"/>
          </w:divBdr>
          <w:divsChild>
            <w:div w:id="85053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832512">
      <w:bodyDiv w:val="1"/>
      <w:marLeft w:val="0"/>
      <w:marRight w:val="0"/>
      <w:marTop w:val="0"/>
      <w:marBottom w:val="0"/>
      <w:divBdr>
        <w:top w:val="none" w:sz="0" w:space="0" w:color="auto"/>
        <w:left w:val="none" w:sz="0" w:space="0" w:color="auto"/>
        <w:bottom w:val="none" w:sz="0" w:space="0" w:color="auto"/>
        <w:right w:val="none" w:sz="0" w:space="0" w:color="auto"/>
      </w:divBdr>
      <w:divsChild>
        <w:div w:id="103237281">
          <w:marLeft w:val="0"/>
          <w:marRight w:val="0"/>
          <w:marTop w:val="0"/>
          <w:marBottom w:val="0"/>
          <w:divBdr>
            <w:top w:val="none" w:sz="0" w:space="0" w:color="auto"/>
            <w:left w:val="none" w:sz="0" w:space="0" w:color="auto"/>
            <w:bottom w:val="dotted" w:sz="6" w:space="4" w:color="DDDDDD"/>
            <w:right w:val="none" w:sz="0" w:space="0" w:color="auto"/>
          </w:divBdr>
          <w:divsChild>
            <w:div w:id="213820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835206">
      <w:bodyDiv w:val="1"/>
      <w:marLeft w:val="0"/>
      <w:marRight w:val="0"/>
      <w:marTop w:val="0"/>
      <w:marBottom w:val="0"/>
      <w:divBdr>
        <w:top w:val="none" w:sz="0" w:space="0" w:color="auto"/>
        <w:left w:val="none" w:sz="0" w:space="0" w:color="auto"/>
        <w:bottom w:val="none" w:sz="0" w:space="0" w:color="auto"/>
        <w:right w:val="none" w:sz="0" w:space="0" w:color="auto"/>
      </w:divBdr>
    </w:div>
    <w:div w:id="475101317">
      <w:bodyDiv w:val="1"/>
      <w:marLeft w:val="0"/>
      <w:marRight w:val="0"/>
      <w:marTop w:val="0"/>
      <w:marBottom w:val="0"/>
      <w:divBdr>
        <w:top w:val="none" w:sz="0" w:space="0" w:color="auto"/>
        <w:left w:val="none" w:sz="0" w:space="0" w:color="auto"/>
        <w:bottom w:val="none" w:sz="0" w:space="0" w:color="auto"/>
        <w:right w:val="none" w:sz="0" w:space="0" w:color="auto"/>
      </w:divBdr>
      <w:divsChild>
        <w:div w:id="309674850">
          <w:marLeft w:val="0"/>
          <w:marRight w:val="0"/>
          <w:marTop w:val="0"/>
          <w:marBottom w:val="0"/>
          <w:divBdr>
            <w:top w:val="none" w:sz="0" w:space="0" w:color="auto"/>
            <w:left w:val="none" w:sz="0" w:space="0" w:color="auto"/>
            <w:bottom w:val="none" w:sz="0" w:space="0" w:color="auto"/>
            <w:right w:val="none" w:sz="0" w:space="0" w:color="auto"/>
          </w:divBdr>
          <w:divsChild>
            <w:div w:id="1534806038">
              <w:marLeft w:val="0"/>
              <w:marRight w:val="0"/>
              <w:marTop w:val="225"/>
              <w:marBottom w:val="225"/>
              <w:divBdr>
                <w:top w:val="none" w:sz="0" w:space="0" w:color="auto"/>
                <w:left w:val="none" w:sz="0" w:space="0" w:color="auto"/>
                <w:bottom w:val="none" w:sz="0" w:space="0" w:color="auto"/>
                <w:right w:val="none" w:sz="0" w:space="0" w:color="auto"/>
              </w:divBdr>
            </w:div>
          </w:divsChild>
        </w:div>
        <w:div w:id="1350522935">
          <w:marLeft w:val="0"/>
          <w:marRight w:val="0"/>
          <w:marTop w:val="0"/>
          <w:marBottom w:val="150"/>
          <w:divBdr>
            <w:top w:val="none" w:sz="0" w:space="0" w:color="auto"/>
            <w:left w:val="none" w:sz="0" w:space="0" w:color="auto"/>
            <w:bottom w:val="none" w:sz="0" w:space="0" w:color="auto"/>
            <w:right w:val="none" w:sz="0" w:space="0" w:color="auto"/>
          </w:divBdr>
          <w:divsChild>
            <w:div w:id="991640025">
              <w:marLeft w:val="0"/>
              <w:marRight w:val="0"/>
              <w:marTop w:val="0"/>
              <w:marBottom w:val="0"/>
              <w:divBdr>
                <w:top w:val="none" w:sz="0" w:space="0" w:color="auto"/>
                <w:left w:val="none" w:sz="0" w:space="0" w:color="auto"/>
                <w:bottom w:val="none" w:sz="0" w:space="0" w:color="auto"/>
                <w:right w:val="none" w:sz="0" w:space="0" w:color="auto"/>
              </w:divBdr>
              <w:divsChild>
                <w:div w:id="74888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009244">
          <w:marLeft w:val="0"/>
          <w:marRight w:val="0"/>
          <w:marTop w:val="0"/>
          <w:marBottom w:val="150"/>
          <w:divBdr>
            <w:top w:val="none" w:sz="0" w:space="0" w:color="auto"/>
            <w:left w:val="none" w:sz="0" w:space="0" w:color="auto"/>
            <w:bottom w:val="none" w:sz="0" w:space="0" w:color="auto"/>
            <w:right w:val="none" w:sz="0" w:space="0" w:color="auto"/>
          </w:divBdr>
        </w:div>
      </w:divsChild>
    </w:div>
    <w:div w:id="475537066">
      <w:bodyDiv w:val="1"/>
      <w:marLeft w:val="0"/>
      <w:marRight w:val="0"/>
      <w:marTop w:val="0"/>
      <w:marBottom w:val="0"/>
      <w:divBdr>
        <w:top w:val="none" w:sz="0" w:space="0" w:color="auto"/>
        <w:left w:val="none" w:sz="0" w:space="0" w:color="auto"/>
        <w:bottom w:val="none" w:sz="0" w:space="0" w:color="auto"/>
        <w:right w:val="none" w:sz="0" w:space="0" w:color="auto"/>
      </w:divBdr>
      <w:divsChild>
        <w:div w:id="997683736">
          <w:marLeft w:val="0"/>
          <w:marRight w:val="0"/>
          <w:marTop w:val="0"/>
          <w:marBottom w:val="0"/>
          <w:divBdr>
            <w:top w:val="none" w:sz="0" w:space="0" w:color="auto"/>
            <w:left w:val="none" w:sz="0" w:space="0" w:color="auto"/>
            <w:bottom w:val="none" w:sz="0" w:space="0" w:color="auto"/>
            <w:right w:val="none" w:sz="0" w:space="0" w:color="auto"/>
          </w:divBdr>
          <w:divsChild>
            <w:div w:id="265191044">
              <w:marLeft w:val="0"/>
              <w:marRight w:val="0"/>
              <w:marTop w:val="0"/>
              <w:marBottom w:val="0"/>
              <w:divBdr>
                <w:top w:val="none" w:sz="0" w:space="0" w:color="auto"/>
                <w:left w:val="none" w:sz="0" w:space="0" w:color="auto"/>
                <w:bottom w:val="none" w:sz="0" w:space="0" w:color="auto"/>
                <w:right w:val="none" w:sz="0" w:space="0" w:color="auto"/>
              </w:divBdr>
            </w:div>
            <w:div w:id="816651365">
              <w:marLeft w:val="0"/>
              <w:marRight w:val="0"/>
              <w:marTop w:val="0"/>
              <w:marBottom w:val="150"/>
              <w:divBdr>
                <w:top w:val="none" w:sz="0" w:space="0" w:color="auto"/>
                <w:left w:val="none" w:sz="0" w:space="0" w:color="auto"/>
                <w:bottom w:val="none" w:sz="0" w:space="0" w:color="auto"/>
                <w:right w:val="none" w:sz="0" w:space="0" w:color="auto"/>
              </w:divBdr>
            </w:div>
          </w:divsChild>
        </w:div>
        <w:div w:id="1087455598">
          <w:marLeft w:val="0"/>
          <w:marRight w:val="0"/>
          <w:marTop w:val="0"/>
          <w:marBottom w:val="150"/>
          <w:divBdr>
            <w:top w:val="none" w:sz="0" w:space="0" w:color="auto"/>
            <w:left w:val="none" w:sz="0" w:space="0" w:color="auto"/>
            <w:bottom w:val="none" w:sz="0" w:space="0" w:color="auto"/>
            <w:right w:val="none" w:sz="0" w:space="0" w:color="auto"/>
          </w:divBdr>
          <w:divsChild>
            <w:div w:id="163807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184988">
      <w:bodyDiv w:val="1"/>
      <w:marLeft w:val="0"/>
      <w:marRight w:val="0"/>
      <w:marTop w:val="0"/>
      <w:marBottom w:val="0"/>
      <w:divBdr>
        <w:top w:val="none" w:sz="0" w:space="0" w:color="auto"/>
        <w:left w:val="none" w:sz="0" w:space="0" w:color="auto"/>
        <w:bottom w:val="none" w:sz="0" w:space="0" w:color="auto"/>
        <w:right w:val="none" w:sz="0" w:space="0" w:color="auto"/>
      </w:divBdr>
      <w:divsChild>
        <w:div w:id="1071198842">
          <w:marLeft w:val="0"/>
          <w:marRight w:val="0"/>
          <w:marTop w:val="0"/>
          <w:marBottom w:val="0"/>
          <w:divBdr>
            <w:top w:val="none" w:sz="0" w:space="0" w:color="auto"/>
            <w:left w:val="none" w:sz="0" w:space="0" w:color="auto"/>
            <w:bottom w:val="none" w:sz="0" w:space="0" w:color="auto"/>
            <w:right w:val="none" w:sz="0" w:space="0" w:color="auto"/>
          </w:divBdr>
        </w:div>
      </w:divsChild>
    </w:div>
    <w:div w:id="476535906">
      <w:bodyDiv w:val="1"/>
      <w:marLeft w:val="0"/>
      <w:marRight w:val="0"/>
      <w:marTop w:val="0"/>
      <w:marBottom w:val="0"/>
      <w:divBdr>
        <w:top w:val="none" w:sz="0" w:space="0" w:color="auto"/>
        <w:left w:val="none" w:sz="0" w:space="0" w:color="auto"/>
        <w:bottom w:val="none" w:sz="0" w:space="0" w:color="auto"/>
        <w:right w:val="none" w:sz="0" w:space="0" w:color="auto"/>
      </w:divBdr>
      <w:divsChild>
        <w:div w:id="238756130">
          <w:marLeft w:val="0"/>
          <w:marRight w:val="0"/>
          <w:marTop w:val="0"/>
          <w:marBottom w:val="150"/>
          <w:divBdr>
            <w:top w:val="none" w:sz="0" w:space="0" w:color="auto"/>
            <w:left w:val="none" w:sz="0" w:space="0" w:color="auto"/>
            <w:bottom w:val="none" w:sz="0" w:space="0" w:color="auto"/>
            <w:right w:val="none" w:sz="0" w:space="0" w:color="auto"/>
          </w:divBdr>
        </w:div>
        <w:div w:id="1421290172">
          <w:marLeft w:val="0"/>
          <w:marRight w:val="0"/>
          <w:marTop w:val="0"/>
          <w:marBottom w:val="150"/>
          <w:divBdr>
            <w:top w:val="none" w:sz="0" w:space="0" w:color="auto"/>
            <w:left w:val="none" w:sz="0" w:space="0" w:color="auto"/>
            <w:bottom w:val="none" w:sz="0" w:space="0" w:color="auto"/>
            <w:right w:val="none" w:sz="0" w:space="0" w:color="auto"/>
          </w:divBdr>
          <w:divsChild>
            <w:div w:id="1249466019">
              <w:marLeft w:val="0"/>
              <w:marRight w:val="0"/>
              <w:marTop w:val="0"/>
              <w:marBottom w:val="0"/>
              <w:divBdr>
                <w:top w:val="none" w:sz="0" w:space="0" w:color="auto"/>
                <w:left w:val="none" w:sz="0" w:space="0" w:color="auto"/>
                <w:bottom w:val="none" w:sz="0" w:space="0" w:color="auto"/>
                <w:right w:val="none" w:sz="0" w:space="0" w:color="auto"/>
              </w:divBdr>
            </w:div>
          </w:divsChild>
        </w:div>
        <w:div w:id="1976717985">
          <w:marLeft w:val="0"/>
          <w:marRight w:val="0"/>
          <w:marTop w:val="0"/>
          <w:marBottom w:val="0"/>
          <w:divBdr>
            <w:top w:val="none" w:sz="0" w:space="0" w:color="auto"/>
            <w:left w:val="none" w:sz="0" w:space="0" w:color="auto"/>
            <w:bottom w:val="none" w:sz="0" w:space="0" w:color="auto"/>
            <w:right w:val="none" w:sz="0" w:space="0" w:color="auto"/>
          </w:divBdr>
          <w:divsChild>
            <w:div w:id="5015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0665">
      <w:bodyDiv w:val="1"/>
      <w:marLeft w:val="0"/>
      <w:marRight w:val="0"/>
      <w:marTop w:val="0"/>
      <w:marBottom w:val="0"/>
      <w:divBdr>
        <w:top w:val="none" w:sz="0" w:space="0" w:color="auto"/>
        <w:left w:val="none" w:sz="0" w:space="0" w:color="auto"/>
        <w:bottom w:val="none" w:sz="0" w:space="0" w:color="auto"/>
        <w:right w:val="none" w:sz="0" w:space="0" w:color="auto"/>
      </w:divBdr>
      <w:divsChild>
        <w:div w:id="957026159">
          <w:marLeft w:val="0"/>
          <w:marRight w:val="0"/>
          <w:marTop w:val="150"/>
          <w:marBottom w:val="0"/>
          <w:divBdr>
            <w:top w:val="none" w:sz="0" w:space="0" w:color="auto"/>
            <w:left w:val="none" w:sz="0" w:space="0" w:color="auto"/>
            <w:bottom w:val="none" w:sz="0" w:space="0" w:color="auto"/>
            <w:right w:val="none" w:sz="0" w:space="0" w:color="auto"/>
          </w:divBdr>
          <w:divsChild>
            <w:div w:id="2904515">
              <w:marLeft w:val="0"/>
              <w:marRight w:val="0"/>
              <w:marTop w:val="0"/>
              <w:marBottom w:val="0"/>
              <w:divBdr>
                <w:top w:val="none" w:sz="0" w:space="0" w:color="auto"/>
                <w:left w:val="none" w:sz="0" w:space="0" w:color="auto"/>
                <w:bottom w:val="none" w:sz="0" w:space="0" w:color="auto"/>
                <w:right w:val="none" w:sz="0" w:space="0" w:color="auto"/>
              </w:divBdr>
              <w:divsChild>
                <w:div w:id="212815828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13264972">
          <w:marLeft w:val="0"/>
          <w:marRight w:val="0"/>
          <w:marTop w:val="0"/>
          <w:marBottom w:val="0"/>
          <w:divBdr>
            <w:top w:val="none" w:sz="0" w:space="0" w:color="auto"/>
            <w:left w:val="none" w:sz="0" w:space="0" w:color="auto"/>
            <w:bottom w:val="none" w:sz="0" w:space="0" w:color="auto"/>
            <w:right w:val="none" w:sz="0" w:space="0" w:color="auto"/>
          </w:divBdr>
          <w:divsChild>
            <w:div w:id="522977364">
              <w:marLeft w:val="0"/>
              <w:marRight w:val="0"/>
              <w:marTop w:val="0"/>
              <w:marBottom w:val="0"/>
              <w:divBdr>
                <w:top w:val="none" w:sz="0" w:space="0" w:color="auto"/>
                <w:left w:val="none" w:sz="0" w:space="0" w:color="auto"/>
                <w:bottom w:val="none" w:sz="0" w:space="0" w:color="auto"/>
                <w:right w:val="none" w:sz="0" w:space="0" w:color="auto"/>
              </w:divBdr>
            </w:div>
            <w:div w:id="1876312630">
              <w:marLeft w:val="0"/>
              <w:marRight w:val="0"/>
              <w:marTop w:val="0"/>
              <w:marBottom w:val="0"/>
              <w:divBdr>
                <w:top w:val="none" w:sz="0" w:space="0" w:color="auto"/>
                <w:left w:val="none" w:sz="0" w:space="0" w:color="auto"/>
                <w:bottom w:val="none" w:sz="0" w:space="0" w:color="auto"/>
                <w:right w:val="none" w:sz="0" w:space="0" w:color="auto"/>
              </w:divBdr>
              <w:divsChild>
                <w:div w:id="566454676">
                  <w:marLeft w:val="0"/>
                  <w:marRight w:val="0"/>
                  <w:marTop w:val="0"/>
                  <w:marBottom w:val="0"/>
                  <w:divBdr>
                    <w:top w:val="none" w:sz="0" w:space="0" w:color="auto"/>
                    <w:left w:val="none" w:sz="0" w:space="0" w:color="auto"/>
                    <w:bottom w:val="none" w:sz="0" w:space="0" w:color="auto"/>
                    <w:right w:val="none" w:sz="0" w:space="0" w:color="auto"/>
                  </w:divBdr>
                  <w:divsChild>
                    <w:div w:id="964578694">
                      <w:marLeft w:val="0"/>
                      <w:marRight w:val="0"/>
                      <w:marTop w:val="0"/>
                      <w:marBottom w:val="0"/>
                      <w:divBdr>
                        <w:top w:val="none" w:sz="0" w:space="0" w:color="auto"/>
                        <w:left w:val="none" w:sz="0" w:space="0" w:color="auto"/>
                        <w:bottom w:val="none" w:sz="0" w:space="0" w:color="auto"/>
                        <w:right w:val="none" w:sz="0" w:space="0" w:color="auto"/>
                      </w:divBdr>
                      <w:divsChild>
                        <w:div w:id="697049328">
                          <w:marLeft w:val="0"/>
                          <w:marRight w:val="0"/>
                          <w:marTop w:val="225"/>
                          <w:marBottom w:val="150"/>
                          <w:divBdr>
                            <w:top w:val="none" w:sz="0" w:space="4" w:color="auto"/>
                            <w:left w:val="none" w:sz="0" w:space="0" w:color="auto"/>
                            <w:bottom w:val="single" w:sz="6" w:space="4" w:color="CECECE"/>
                            <w:right w:val="none" w:sz="0" w:space="0" w:color="auto"/>
                          </w:divBdr>
                          <w:divsChild>
                            <w:div w:id="1549222467">
                              <w:marLeft w:val="0"/>
                              <w:marRight w:val="0"/>
                              <w:marTop w:val="0"/>
                              <w:marBottom w:val="0"/>
                              <w:divBdr>
                                <w:top w:val="none" w:sz="0" w:space="0" w:color="auto"/>
                                <w:left w:val="none" w:sz="0" w:space="0" w:color="auto"/>
                                <w:bottom w:val="none" w:sz="0" w:space="0" w:color="auto"/>
                                <w:right w:val="none" w:sz="0" w:space="0" w:color="auto"/>
                              </w:divBdr>
                              <w:divsChild>
                                <w:div w:id="447702649">
                                  <w:marLeft w:val="0"/>
                                  <w:marRight w:val="0"/>
                                  <w:marTop w:val="0"/>
                                  <w:marBottom w:val="0"/>
                                  <w:divBdr>
                                    <w:top w:val="none" w:sz="0" w:space="0" w:color="auto"/>
                                    <w:left w:val="none" w:sz="0" w:space="0" w:color="auto"/>
                                    <w:bottom w:val="none" w:sz="0" w:space="0" w:color="auto"/>
                                    <w:right w:val="none" w:sz="0" w:space="0" w:color="auto"/>
                                  </w:divBdr>
                                  <w:divsChild>
                                    <w:div w:id="88158592">
                                      <w:marLeft w:val="0"/>
                                      <w:marRight w:val="0"/>
                                      <w:marTop w:val="45"/>
                                      <w:marBottom w:val="0"/>
                                      <w:divBdr>
                                        <w:top w:val="none" w:sz="0" w:space="0" w:color="auto"/>
                                        <w:left w:val="none" w:sz="0" w:space="0" w:color="auto"/>
                                        <w:bottom w:val="none" w:sz="0" w:space="0" w:color="auto"/>
                                        <w:right w:val="none" w:sz="0" w:space="0" w:color="auto"/>
                                      </w:divBdr>
                                    </w:div>
                                    <w:div w:id="1603995675">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 w:id="176981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7068859">
      <w:bodyDiv w:val="1"/>
      <w:marLeft w:val="0"/>
      <w:marRight w:val="0"/>
      <w:marTop w:val="0"/>
      <w:marBottom w:val="0"/>
      <w:divBdr>
        <w:top w:val="none" w:sz="0" w:space="0" w:color="auto"/>
        <w:left w:val="none" w:sz="0" w:space="0" w:color="auto"/>
        <w:bottom w:val="none" w:sz="0" w:space="0" w:color="auto"/>
        <w:right w:val="none" w:sz="0" w:space="0" w:color="auto"/>
      </w:divBdr>
    </w:div>
    <w:div w:id="477260919">
      <w:bodyDiv w:val="1"/>
      <w:marLeft w:val="0"/>
      <w:marRight w:val="0"/>
      <w:marTop w:val="0"/>
      <w:marBottom w:val="0"/>
      <w:divBdr>
        <w:top w:val="none" w:sz="0" w:space="0" w:color="auto"/>
        <w:left w:val="none" w:sz="0" w:space="0" w:color="auto"/>
        <w:bottom w:val="none" w:sz="0" w:space="0" w:color="auto"/>
        <w:right w:val="none" w:sz="0" w:space="0" w:color="auto"/>
      </w:divBdr>
      <w:divsChild>
        <w:div w:id="373847823">
          <w:marLeft w:val="0"/>
          <w:marRight w:val="0"/>
          <w:marTop w:val="0"/>
          <w:marBottom w:val="0"/>
          <w:divBdr>
            <w:top w:val="none" w:sz="0" w:space="0" w:color="auto"/>
            <w:left w:val="none" w:sz="0" w:space="0" w:color="auto"/>
            <w:bottom w:val="none" w:sz="0" w:space="0" w:color="auto"/>
            <w:right w:val="none" w:sz="0" w:space="0" w:color="auto"/>
          </w:divBdr>
          <w:divsChild>
            <w:div w:id="16776883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77496026">
      <w:bodyDiv w:val="1"/>
      <w:marLeft w:val="0"/>
      <w:marRight w:val="0"/>
      <w:marTop w:val="0"/>
      <w:marBottom w:val="0"/>
      <w:divBdr>
        <w:top w:val="none" w:sz="0" w:space="0" w:color="auto"/>
        <w:left w:val="none" w:sz="0" w:space="0" w:color="auto"/>
        <w:bottom w:val="none" w:sz="0" w:space="0" w:color="auto"/>
        <w:right w:val="none" w:sz="0" w:space="0" w:color="auto"/>
      </w:divBdr>
      <w:divsChild>
        <w:div w:id="1992514207">
          <w:marLeft w:val="0"/>
          <w:marRight w:val="0"/>
          <w:marTop w:val="0"/>
          <w:marBottom w:val="0"/>
          <w:divBdr>
            <w:top w:val="none" w:sz="0" w:space="0" w:color="auto"/>
            <w:left w:val="none" w:sz="0" w:space="0" w:color="auto"/>
            <w:bottom w:val="none" w:sz="0" w:space="0" w:color="auto"/>
            <w:right w:val="none" w:sz="0" w:space="0" w:color="auto"/>
          </w:divBdr>
          <w:divsChild>
            <w:div w:id="2091585657">
              <w:marLeft w:val="0"/>
              <w:marRight w:val="0"/>
              <w:marTop w:val="0"/>
              <w:marBottom w:val="0"/>
              <w:divBdr>
                <w:top w:val="none" w:sz="0" w:space="0" w:color="auto"/>
                <w:left w:val="none" w:sz="0" w:space="0" w:color="auto"/>
                <w:bottom w:val="none" w:sz="0" w:space="0" w:color="auto"/>
                <w:right w:val="none" w:sz="0" w:space="0" w:color="auto"/>
              </w:divBdr>
              <w:divsChild>
                <w:div w:id="134154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674847">
          <w:marLeft w:val="0"/>
          <w:marRight w:val="0"/>
          <w:marTop w:val="0"/>
          <w:marBottom w:val="75"/>
          <w:divBdr>
            <w:top w:val="none" w:sz="0" w:space="0" w:color="auto"/>
            <w:left w:val="none" w:sz="0" w:space="0" w:color="auto"/>
            <w:bottom w:val="none" w:sz="0" w:space="0" w:color="auto"/>
            <w:right w:val="none" w:sz="0" w:space="0" w:color="auto"/>
          </w:divBdr>
        </w:div>
        <w:div w:id="989093361">
          <w:marLeft w:val="0"/>
          <w:marRight w:val="0"/>
          <w:marTop w:val="0"/>
          <w:marBottom w:val="0"/>
          <w:divBdr>
            <w:top w:val="none" w:sz="0" w:space="0" w:color="auto"/>
            <w:left w:val="none" w:sz="0" w:space="0" w:color="auto"/>
            <w:bottom w:val="none" w:sz="0" w:space="0" w:color="auto"/>
            <w:right w:val="none" w:sz="0" w:space="0" w:color="auto"/>
          </w:divBdr>
          <w:divsChild>
            <w:div w:id="2017264018">
              <w:marLeft w:val="0"/>
              <w:marRight w:val="0"/>
              <w:marTop w:val="0"/>
              <w:marBottom w:val="0"/>
              <w:divBdr>
                <w:top w:val="none" w:sz="0" w:space="0" w:color="auto"/>
                <w:left w:val="none" w:sz="0" w:space="0" w:color="auto"/>
                <w:bottom w:val="none" w:sz="0" w:space="0" w:color="auto"/>
                <w:right w:val="none" w:sz="0" w:space="0" w:color="auto"/>
              </w:divBdr>
              <w:divsChild>
                <w:div w:id="843671252">
                  <w:marLeft w:val="0"/>
                  <w:marRight w:val="0"/>
                  <w:marTop w:val="0"/>
                  <w:marBottom w:val="450"/>
                  <w:divBdr>
                    <w:top w:val="none" w:sz="0" w:space="0" w:color="auto"/>
                    <w:left w:val="none" w:sz="0" w:space="0" w:color="auto"/>
                    <w:bottom w:val="none" w:sz="0" w:space="0" w:color="auto"/>
                    <w:right w:val="none" w:sz="0" w:space="0" w:color="auto"/>
                  </w:divBdr>
                  <w:divsChild>
                    <w:div w:id="8292557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77577066">
      <w:bodyDiv w:val="1"/>
      <w:marLeft w:val="0"/>
      <w:marRight w:val="0"/>
      <w:marTop w:val="0"/>
      <w:marBottom w:val="0"/>
      <w:divBdr>
        <w:top w:val="none" w:sz="0" w:space="0" w:color="auto"/>
        <w:left w:val="none" w:sz="0" w:space="0" w:color="auto"/>
        <w:bottom w:val="none" w:sz="0" w:space="0" w:color="auto"/>
        <w:right w:val="none" w:sz="0" w:space="0" w:color="auto"/>
      </w:divBdr>
      <w:divsChild>
        <w:div w:id="317534499">
          <w:marLeft w:val="0"/>
          <w:marRight w:val="0"/>
          <w:marTop w:val="0"/>
          <w:marBottom w:val="0"/>
          <w:divBdr>
            <w:top w:val="none" w:sz="0" w:space="0" w:color="auto"/>
            <w:left w:val="none" w:sz="0" w:space="0" w:color="auto"/>
            <w:bottom w:val="none" w:sz="0" w:space="0" w:color="auto"/>
            <w:right w:val="none" w:sz="0" w:space="0" w:color="auto"/>
          </w:divBdr>
        </w:div>
      </w:divsChild>
    </w:div>
    <w:div w:id="477650219">
      <w:bodyDiv w:val="1"/>
      <w:marLeft w:val="0"/>
      <w:marRight w:val="0"/>
      <w:marTop w:val="0"/>
      <w:marBottom w:val="0"/>
      <w:divBdr>
        <w:top w:val="none" w:sz="0" w:space="0" w:color="auto"/>
        <w:left w:val="none" w:sz="0" w:space="0" w:color="auto"/>
        <w:bottom w:val="none" w:sz="0" w:space="0" w:color="auto"/>
        <w:right w:val="none" w:sz="0" w:space="0" w:color="auto"/>
      </w:divBdr>
      <w:divsChild>
        <w:div w:id="688062845">
          <w:marLeft w:val="0"/>
          <w:marRight w:val="0"/>
          <w:marTop w:val="0"/>
          <w:marBottom w:val="0"/>
          <w:divBdr>
            <w:top w:val="none" w:sz="0" w:space="0" w:color="auto"/>
            <w:left w:val="none" w:sz="0" w:space="0" w:color="auto"/>
            <w:bottom w:val="none" w:sz="0" w:space="0" w:color="auto"/>
            <w:right w:val="none" w:sz="0" w:space="0" w:color="auto"/>
          </w:divBdr>
          <w:divsChild>
            <w:div w:id="1121731103">
              <w:marLeft w:val="0"/>
              <w:marRight w:val="0"/>
              <w:marTop w:val="0"/>
              <w:marBottom w:val="0"/>
              <w:divBdr>
                <w:top w:val="none" w:sz="0" w:space="0" w:color="auto"/>
                <w:left w:val="none" w:sz="0" w:space="0" w:color="auto"/>
                <w:bottom w:val="none" w:sz="0" w:space="0" w:color="auto"/>
                <w:right w:val="none" w:sz="0" w:space="0" w:color="auto"/>
              </w:divBdr>
              <w:divsChild>
                <w:div w:id="1333027542">
                  <w:marLeft w:val="0"/>
                  <w:marRight w:val="0"/>
                  <w:marTop w:val="0"/>
                  <w:marBottom w:val="0"/>
                  <w:divBdr>
                    <w:top w:val="none" w:sz="0" w:space="0" w:color="auto"/>
                    <w:left w:val="none" w:sz="0" w:space="0" w:color="auto"/>
                    <w:bottom w:val="none" w:sz="0" w:space="0" w:color="auto"/>
                    <w:right w:val="none" w:sz="0" w:space="0" w:color="auto"/>
                  </w:divBdr>
                  <w:divsChild>
                    <w:div w:id="1928070480">
                      <w:marLeft w:val="0"/>
                      <w:marRight w:val="0"/>
                      <w:marTop w:val="0"/>
                      <w:marBottom w:val="0"/>
                      <w:divBdr>
                        <w:top w:val="none" w:sz="0" w:space="0" w:color="auto"/>
                        <w:left w:val="none" w:sz="0" w:space="0" w:color="auto"/>
                        <w:bottom w:val="none" w:sz="0" w:space="0" w:color="auto"/>
                        <w:right w:val="none" w:sz="0" w:space="0" w:color="auto"/>
                      </w:divBdr>
                      <w:divsChild>
                        <w:div w:id="587076469">
                          <w:marLeft w:val="0"/>
                          <w:marRight w:val="0"/>
                          <w:marTop w:val="0"/>
                          <w:marBottom w:val="0"/>
                          <w:divBdr>
                            <w:top w:val="none" w:sz="0" w:space="0" w:color="auto"/>
                            <w:left w:val="none" w:sz="0" w:space="0" w:color="auto"/>
                            <w:bottom w:val="none" w:sz="0" w:space="0" w:color="auto"/>
                            <w:right w:val="none" w:sz="0" w:space="0" w:color="auto"/>
                          </w:divBdr>
                          <w:divsChild>
                            <w:div w:id="1913806008">
                              <w:marLeft w:val="0"/>
                              <w:marRight w:val="0"/>
                              <w:marTop w:val="0"/>
                              <w:marBottom w:val="0"/>
                              <w:divBdr>
                                <w:top w:val="none" w:sz="0" w:space="0" w:color="auto"/>
                                <w:left w:val="none" w:sz="0" w:space="0" w:color="auto"/>
                                <w:bottom w:val="none" w:sz="0" w:space="0" w:color="auto"/>
                                <w:right w:val="none" w:sz="0" w:space="0" w:color="auto"/>
                              </w:divBdr>
                              <w:divsChild>
                                <w:div w:id="682584771">
                                  <w:marLeft w:val="0"/>
                                  <w:marRight w:val="0"/>
                                  <w:marTop w:val="0"/>
                                  <w:marBottom w:val="0"/>
                                  <w:divBdr>
                                    <w:top w:val="none" w:sz="0" w:space="0" w:color="auto"/>
                                    <w:left w:val="none" w:sz="0" w:space="0" w:color="auto"/>
                                    <w:bottom w:val="none" w:sz="0" w:space="0" w:color="auto"/>
                                    <w:right w:val="none" w:sz="0" w:space="0" w:color="auto"/>
                                  </w:divBdr>
                                  <w:divsChild>
                                    <w:div w:id="154667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8889980">
      <w:bodyDiv w:val="1"/>
      <w:marLeft w:val="0"/>
      <w:marRight w:val="0"/>
      <w:marTop w:val="0"/>
      <w:marBottom w:val="0"/>
      <w:divBdr>
        <w:top w:val="none" w:sz="0" w:space="0" w:color="auto"/>
        <w:left w:val="none" w:sz="0" w:space="0" w:color="auto"/>
        <w:bottom w:val="none" w:sz="0" w:space="0" w:color="auto"/>
        <w:right w:val="none" w:sz="0" w:space="0" w:color="auto"/>
      </w:divBdr>
      <w:divsChild>
        <w:div w:id="1549954271">
          <w:marLeft w:val="0"/>
          <w:marRight w:val="0"/>
          <w:marTop w:val="0"/>
          <w:marBottom w:val="150"/>
          <w:divBdr>
            <w:top w:val="none" w:sz="0" w:space="0" w:color="auto"/>
            <w:left w:val="none" w:sz="0" w:space="0" w:color="auto"/>
            <w:bottom w:val="none" w:sz="0" w:space="0" w:color="auto"/>
            <w:right w:val="none" w:sz="0" w:space="0" w:color="auto"/>
          </w:divBdr>
        </w:div>
        <w:div w:id="1631940139">
          <w:marLeft w:val="0"/>
          <w:marRight w:val="0"/>
          <w:marTop w:val="0"/>
          <w:marBottom w:val="0"/>
          <w:divBdr>
            <w:top w:val="none" w:sz="0" w:space="0" w:color="auto"/>
            <w:left w:val="none" w:sz="0" w:space="0" w:color="auto"/>
            <w:bottom w:val="none" w:sz="0" w:space="0" w:color="auto"/>
            <w:right w:val="none" w:sz="0" w:space="0" w:color="auto"/>
          </w:divBdr>
        </w:div>
      </w:divsChild>
    </w:div>
    <w:div w:id="478958245">
      <w:bodyDiv w:val="1"/>
      <w:marLeft w:val="0"/>
      <w:marRight w:val="0"/>
      <w:marTop w:val="0"/>
      <w:marBottom w:val="0"/>
      <w:divBdr>
        <w:top w:val="none" w:sz="0" w:space="0" w:color="auto"/>
        <w:left w:val="none" w:sz="0" w:space="0" w:color="auto"/>
        <w:bottom w:val="none" w:sz="0" w:space="0" w:color="auto"/>
        <w:right w:val="none" w:sz="0" w:space="0" w:color="auto"/>
      </w:divBdr>
    </w:div>
    <w:div w:id="479158237">
      <w:bodyDiv w:val="1"/>
      <w:marLeft w:val="0"/>
      <w:marRight w:val="0"/>
      <w:marTop w:val="0"/>
      <w:marBottom w:val="0"/>
      <w:divBdr>
        <w:top w:val="none" w:sz="0" w:space="0" w:color="auto"/>
        <w:left w:val="none" w:sz="0" w:space="0" w:color="auto"/>
        <w:bottom w:val="none" w:sz="0" w:space="0" w:color="auto"/>
        <w:right w:val="none" w:sz="0" w:space="0" w:color="auto"/>
      </w:divBdr>
      <w:divsChild>
        <w:div w:id="1034699548">
          <w:marLeft w:val="0"/>
          <w:marRight w:val="0"/>
          <w:marTop w:val="0"/>
          <w:marBottom w:val="0"/>
          <w:divBdr>
            <w:top w:val="none" w:sz="0" w:space="0" w:color="auto"/>
            <w:left w:val="none" w:sz="0" w:space="0" w:color="auto"/>
            <w:bottom w:val="dotted" w:sz="6" w:space="4" w:color="DDDDDD"/>
            <w:right w:val="none" w:sz="0" w:space="0" w:color="auto"/>
          </w:divBdr>
        </w:div>
      </w:divsChild>
    </w:div>
    <w:div w:id="479228692">
      <w:bodyDiv w:val="1"/>
      <w:marLeft w:val="0"/>
      <w:marRight w:val="0"/>
      <w:marTop w:val="0"/>
      <w:marBottom w:val="0"/>
      <w:divBdr>
        <w:top w:val="none" w:sz="0" w:space="0" w:color="auto"/>
        <w:left w:val="none" w:sz="0" w:space="0" w:color="auto"/>
        <w:bottom w:val="none" w:sz="0" w:space="0" w:color="auto"/>
        <w:right w:val="none" w:sz="0" w:space="0" w:color="auto"/>
      </w:divBdr>
      <w:divsChild>
        <w:div w:id="870068298">
          <w:marLeft w:val="0"/>
          <w:marRight w:val="0"/>
          <w:marTop w:val="0"/>
          <w:marBottom w:val="0"/>
          <w:divBdr>
            <w:top w:val="none" w:sz="0" w:space="0" w:color="auto"/>
            <w:left w:val="none" w:sz="0" w:space="0" w:color="auto"/>
            <w:bottom w:val="none" w:sz="0" w:space="0" w:color="auto"/>
            <w:right w:val="none" w:sz="0" w:space="0" w:color="auto"/>
          </w:divBdr>
          <w:divsChild>
            <w:div w:id="1472477946">
              <w:marLeft w:val="0"/>
              <w:marRight w:val="0"/>
              <w:marTop w:val="0"/>
              <w:marBottom w:val="0"/>
              <w:divBdr>
                <w:top w:val="none" w:sz="0" w:space="0" w:color="auto"/>
                <w:left w:val="none" w:sz="0" w:space="0" w:color="auto"/>
                <w:bottom w:val="none" w:sz="0" w:space="0" w:color="auto"/>
                <w:right w:val="none" w:sz="0" w:space="0" w:color="auto"/>
              </w:divBdr>
            </w:div>
          </w:divsChild>
        </w:div>
        <w:div w:id="1194535223">
          <w:marLeft w:val="0"/>
          <w:marRight w:val="0"/>
          <w:marTop w:val="0"/>
          <w:marBottom w:val="150"/>
          <w:divBdr>
            <w:top w:val="none" w:sz="0" w:space="0" w:color="auto"/>
            <w:left w:val="none" w:sz="0" w:space="0" w:color="auto"/>
            <w:bottom w:val="none" w:sz="0" w:space="0" w:color="auto"/>
            <w:right w:val="none" w:sz="0" w:space="0" w:color="auto"/>
          </w:divBdr>
        </w:div>
        <w:div w:id="1823235891">
          <w:marLeft w:val="0"/>
          <w:marRight w:val="0"/>
          <w:marTop w:val="0"/>
          <w:marBottom w:val="150"/>
          <w:divBdr>
            <w:top w:val="none" w:sz="0" w:space="0" w:color="auto"/>
            <w:left w:val="none" w:sz="0" w:space="0" w:color="auto"/>
            <w:bottom w:val="none" w:sz="0" w:space="0" w:color="auto"/>
            <w:right w:val="none" w:sz="0" w:space="0" w:color="auto"/>
          </w:divBdr>
          <w:divsChild>
            <w:div w:id="172925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419101">
      <w:bodyDiv w:val="1"/>
      <w:marLeft w:val="0"/>
      <w:marRight w:val="0"/>
      <w:marTop w:val="0"/>
      <w:marBottom w:val="0"/>
      <w:divBdr>
        <w:top w:val="none" w:sz="0" w:space="0" w:color="auto"/>
        <w:left w:val="none" w:sz="0" w:space="0" w:color="auto"/>
        <w:bottom w:val="none" w:sz="0" w:space="0" w:color="auto"/>
        <w:right w:val="none" w:sz="0" w:space="0" w:color="auto"/>
      </w:divBdr>
      <w:divsChild>
        <w:div w:id="495193079">
          <w:marLeft w:val="0"/>
          <w:marRight w:val="0"/>
          <w:marTop w:val="0"/>
          <w:marBottom w:val="0"/>
          <w:divBdr>
            <w:top w:val="none" w:sz="0" w:space="0" w:color="auto"/>
            <w:left w:val="none" w:sz="0" w:space="0" w:color="auto"/>
            <w:bottom w:val="none" w:sz="0" w:space="0" w:color="auto"/>
            <w:right w:val="none" w:sz="0" w:space="0" w:color="auto"/>
          </w:divBdr>
          <w:divsChild>
            <w:div w:id="1212032143">
              <w:marLeft w:val="0"/>
              <w:marRight w:val="0"/>
              <w:marTop w:val="225"/>
              <w:marBottom w:val="225"/>
              <w:divBdr>
                <w:top w:val="none" w:sz="0" w:space="0" w:color="auto"/>
                <w:left w:val="none" w:sz="0" w:space="0" w:color="auto"/>
                <w:bottom w:val="none" w:sz="0" w:space="0" w:color="auto"/>
                <w:right w:val="none" w:sz="0" w:space="0" w:color="auto"/>
              </w:divBdr>
            </w:div>
          </w:divsChild>
        </w:div>
        <w:div w:id="931013412">
          <w:marLeft w:val="0"/>
          <w:marRight w:val="0"/>
          <w:marTop w:val="0"/>
          <w:marBottom w:val="150"/>
          <w:divBdr>
            <w:top w:val="none" w:sz="0" w:space="0" w:color="auto"/>
            <w:left w:val="none" w:sz="0" w:space="0" w:color="auto"/>
            <w:bottom w:val="none" w:sz="0" w:space="0" w:color="auto"/>
            <w:right w:val="none" w:sz="0" w:space="0" w:color="auto"/>
          </w:divBdr>
        </w:div>
        <w:div w:id="2039818414">
          <w:marLeft w:val="0"/>
          <w:marRight w:val="0"/>
          <w:marTop w:val="0"/>
          <w:marBottom w:val="150"/>
          <w:divBdr>
            <w:top w:val="none" w:sz="0" w:space="0" w:color="auto"/>
            <w:left w:val="none" w:sz="0" w:space="0" w:color="auto"/>
            <w:bottom w:val="none" w:sz="0" w:space="0" w:color="auto"/>
            <w:right w:val="none" w:sz="0" w:space="0" w:color="auto"/>
          </w:divBdr>
          <w:divsChild>
            <w:div w:id="1463033574">
              <w:marLeft w:val="0"/>
              <w:marRight w:val="0"/>
              <w:marTop w:val="0"/>
              <w:marBottom w:val="0"/>
              <w:divBdr>
                <w:top w:val="none" w:sz="0" w:space="0" w:color="auto"/>
                <w:left w:val="none" w:sz="0" w:space="0" w:color="auto"/>
                <w:bottom w:val="none" w:sz="0" w:space="0" w:color="auto"/>
                <w:right w:val="none" w:sz="0" w:space="0" w:color="auto"/>
              </w:divBdr>
              <w:divsChild>
                <w:div w:id="122167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391223">
      <w:bodyDiv w:val="1"/>
      <w:marLeft w:val="0"/>
      <w:marRight w:val="0"/>
      <w:marTop w:val="0"/>
      <w:marBottom w:val="0"/>
      <w:divBdr>
        <w:top w:val="none" w:sz="0" w:space="0" w:color="auto"/>
        <w:left w:val="none" w:sz="0" w:space="0" w:color="auto"/>
        <w:bottom w:val="none" w:sz="0" w:space="0" w:color="auto"/>
        <w:right w:val="none" w:sz="0" w:space="0" w:color="auto"/>
      </w:divBdr>
    </w:div>
    <w:div w:id="480464283">
      <w:bodyDiv w:val="1"/>
      <w:marLeft w:val="0"/>
      <w:marRight w:val="0"/>
      <w:marTop w:val="0"/>
      <w:marBottom w:val="0"/>
      <w:divBdr>
        <w:top w:val="none" w:sz="0" w:space="0" w:color="auto"/>
        <w:left w:val="none" w:sz="0" w:space="0" w:color="auto"/>
        <w:bottom w:val="none" w:sz="0" w:space="0" w:color="auto"/>
        <w:right w:val="none" w:sz="0" w:space="0" w:color="auto"/>
      </w:divBdr>
      <w:divsChild>
        <w:div w:id="1385179492">
          <w:marLeft w:val="0"/>
          <w:marRight w:val="0"/>
          <w:marTop w:val="0"/>
          <w:marBottom w:val="150"/>
          <w:divBdr>
            <w:top w:val="none" w:sz="0" w:space="0" w:color="auto"/>
            <w:left w:val="none" w:sz="0" w:space="0" w:color="auto"/>
            <w:bottom w:val="none" w:sz="0" w:space="0" w:color="auto"/>
            <w:right w:val="none" w:sz="0" w:space="0" w:color="auto"/>
          </w:divBdr>
          <w:divsChild>
            <w:div w:id="1785877268">
              <w:marLeft w:val="0"/>
              <w:marRight w:val="0"/>
              <w:marTop w:val="0"/>
              <w:marBottom w:val="0"/>
              <w:divBdr>
                <w:top w:val="none" w:sz="0" w:space="0" w:color="auto"/>
                <w:left w:val="none" w:sz="0" w:space="0" w:color="auto"/>
                <w:bottom w:val="none" w:sz="0" w:space="0" w:color="auto"/>
                <w:right w:val="none" w:sz="0" w:space="0" w:color="auto"/>
              </w:divBdr>
            </w:div>
          </w:divsChild>
        </w:div>
        <w:div w:id="1514958573">
          <w:marLeft w:val="0"/>
          <w:marRight w:val="0"/>
          <w:marTop w:val="0"/>
          <w:marBottom w:val="0"/>
          <w:divBdr>
            <w:top w:val="none" w:sz="0" w:space="0" w:color="auto"/>
            <w:left w:val="none" w:sz="0" w:space="0" w:color="auto"/>
            <w:bottom w:val="none" w:sz="0" w:space="0" w:color="auto"/>
            <w:right w:val="none" w:sz="0" w:space="0" w:color="auto"/>
          </w:divBdr>
          <w:divsChild>
            <w:div w:id="1202593656">
              <w:marLeft w:val="0"/>
              <w:marRight w:val="0"/>
              <w:marTop w:val="0"/>
              <w:marBottom w:val="0"/>
              <w:divBdr>
                <w:top w:val="none" w:sz="0" w:space="0" w:color="auto"/>
                <w:left w:val="none" w:sz="0" w:space="0" w:color="auto"/>
                <w:bottom w:val="none" w:sz="0" w:space="0" w:color="auto"/>
                <w:right w:val="none" w:sz="0" w:space="0" w:color="auto"/>
              </w:divBdr>
            </w:div>
          </w:divsChild>
        </w:div>
        <w:div w:id="1802074586">
          <w:marLeft w:val="0"/>
          <w:marRight w:val="0"/>
          <w:marTop w:val="0"/>
          <w:marBottom w:val="150"/>
          <w:divBdr>
            <w:top w:val="none" w:sz="0" w:space="0" w:color="auto"/>
            <w:left w:val="none" w:sz="0" w:space="0" w:color="auto"/>
            <w:bottom w:val="none" w:sz="0" w:space="0" w:color="auto"/>
            <w:right w:val="none" w:sz="0" w:space="0" w:color="auto"/>
          </w:divBdr>
        </w:div>
      </w:divsChild>
    </w:div>
    <w:div w:id="480511648">
      <w:bodyDiv w:val="1"/>
      <w:marLeft w:val="0"/>
      <w:marRight w:val="0"/>
      <w:marTop w:val="0"/>
      <w:marBottom w:val="0"/>
      <w:divBdr>
        <w:top w:val="none" w:sz="0" w:space="0" w:color="auto"/>
        <w:left w:val="none" w:sz="0" w:space="0" w:color="auto"/>
        <w:bottom w:val="none" w:sz="0" w:space="0" w:color="auto"/>
        <w:right w:val="none" w:sz="0" w:space="0" w:color="auto"/>
      </w:divBdr>
      <w:divsChild>
        <w:div w:id="1863543099">
          <w:marLeft w:val="0"/>
          <w:marRight w:val="0"/>
          <w:marTop w:val="0"/>
          <w:marBottom w:val="0"/>
          <w:divBdr>
            <w:top w:val="none" w:sz="0" w:space="0" w:color="auto"/>
            <w:left w:val="none" w:sz="0" w:space="0" w:color="auto"/>
            <w:bottom w:val="none" w:sz="0" w:space="0" w:color="auto"/>
            <w:right w:val="none" w:sz="0" w:space="0" w:color="auto"/>
          </w:divBdr>
        </w:div>
      </w:divsChild>
    </w:div>
    <w:div w:id="480541004">
      <w:bodyDiv w:val="1"/>
      <w:marLeft w:val="0"/>
      <w:marRight w:val="0"/>
      <w:marTop w:val="0"/>
      <w:marBottom w:val="0"/>
      <w:divBdr>
        <w:top w:val="none" w:sz="0" w:space="0" w:color="auto"/>
        <w:left w:val="none" w:sz="0" w:space="0" w:color="auto"/>
        <w:bottom w:val="none" w:sz="0" w:space="0" w:color="auto"/>
        <w:right w:val="none" w:sz="0" w:space="0" w:color="auto"/>
      </w:divBdr>
      <w:divsChild>
        <w:div w:id="1118641291">
          <w:marLeft w:val="0"/>
          <w:marRight w:val="0"/>
          <w:marTop w:val="0"/>
          <w:marBottom w:val="0"/>
          <w:divBdr>
            <w:top w:val="none" w:sz="0" w:space="0" w:color="auto"/>
            <w:left w:val="none" w:sz="0" w:space="0" w:color="auto"/>
            <w:bottom w:val="dotted" w:sz="6" w:space="4" w:color="DDDDDD"/>
            <w:right w:val="none" w:sz="0" w:space="0" w:color="auto"/>
          </w:divBdr>
          <w:divsChild>
            <w:div w:id="106837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505341">
      <w:bodyDiv w:val="1"/>
      <w:marLeft w:val="0"/>
      <w:marRight w:val="0"/>
      <w:marTop w:val="0"/>
      <w:marBottom w:val="0"/>
      <w:divBdr>
        <w:top w:val="none" w:sz="0" w:space="0" w:color="auto"/>
        <w:left w:val="none" w:sz="0" w:space="0" w:color="auto"/>
        <w:bottom w:val="none" w:sz="0" w:space="0" w:color="auto"/>
        <w:right w:val="none" w:sz="0" w:space="0" w:color="auto"/>
      </w:divBdr>
      <w:divsChild>
        <w:div w:id="37560169">
          <w:marLeft w:val="0"/>
          <w:marRight w:val="0"/>
          <w:marTop w:val="0"/>
          <w:marBottom w:val="150"/>
          <w:divBdr>
            <w:top w:val="none" w:sz="0" w:space="0" w:color="auto"/>
            <w:left w:val="none" w:sz="0" w:space="0" w:color="auto"/>
            <w:bottom w:val="none" w:sz="0" w:space="0" w:color="auto"/>
            <w:right w:val="none" w:sz="0" w:space="0" w:color="auto"/>
          </w:divBdr>
          <w:divsChild>
            <w:div w:id="1388844147">
              <w:marLeft w:val="0"/>
              <w:marRight w:val="0"/>
              <w:marTop w:val="0"/>
              <w:marBottom w:val="0"/>
              <w:divBdr>
                <w:top w:val="none" w:sz="0" w:space="0" w:color="auto"/>
                <w:left w:val="none" w:sz="0" w:space="0" w:color="auto"/>
                <w:bottom w:val="none" w:sz="0" w:space="0" w:color="auto"/>
                <w:right w:val="none" w:sz="0" w:space="0" w:color="auto"/>
              </w:divBdr>
              <w:divsChild>
                <w:div w:id="17933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50687">
          <w:marLeft w:val="0"/>
          <w:marRight w:val="0"/>
          <w:marTop w:val="0"/>
          <w:marBottom w:val="150"/>
          <w:divBdr>
            <w:top w:val="none" w:sz="0" w:space="0" w:color="auto"/>
            <w:left w:val="none" w:sz="0" w:space="0" w:color="auto"/>
            <w:bottom w:val="none" w:sz="0" w:space="0" w:color="auto"/>
            <w:right w:val="none" w:sz="0" w:space="0" w:color="auto"/>
          </w:divBdr>
        </w:div>
        <w:div w:id="1858421191">
          <w:marLeft w:val="0"/>
          <w:marRight w:val="0"/>
          <w:marTop w:val="0"/>
          <w:marBottom w:val="0"/>
          <w:divBdr>
            <w:top w:val="none" w:sz="0" w:space="0" w:color="auto"/>
            <w:left w:val="none" w:sz="0" w:space="0" w:color="auto"/>
            <w:bottom w:val="none" w:sz="0" w:space="0" w:color="auto"/>
            <w:right w:val="none" w:sz="0" w:space="0" w:color="auto"/>
          </w:divBdr>
          <w:divsChild>
            <w:div w:id="72869618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81507535">
      <w:bodyDiv w:val="1"/>
      <w:marLeft w:val="0"/>
      <w:marRight w:val="0"/>
      <w:marTop w:val="0"/>
      <w:marBottom w:val="0"/>
      <w:divBdr>
        <w:top w:val="none" w:sz="0" w:space="0" w:color="auto"/>
        <w:left w:val="none" w:sz="0" w:space="0" w:color="auto"/>
        <w:bottom w:val="none" w:sz="0" w:space="0" w:color="auto"/>
        <w:right w:val="none" w:sz="0" w:space="0" w:color="auto"/>
      </w:divBdr>
      <w:divsChild>
        <w:div w:id="161242072">
          <w:marLeft w:val="0"/>
          <w:marRight w:val="0"/>
          <w:marTop w:val="0"/>
          <w:marBottom w:val="75"/>
          <w:divBdr>
            <w:top w:val="none" w:sz="0" w:space="0" w:color="auto"/>
            <w:left w:val="none" w:sz="0" w:space="0" w:color="auto"/>
            <w:bottom w:val="none" w:sz="0" w:space="0" w:color="auto"/>
            <w:right w:val="none" w:sz="0" w:space="0" w:color="auto"/>
          </w:divBdr>
        </w:div>
        <w:div w:id="401417149">
          <w:marLeft w:val="0"/>
          <w:marRight w:val="0"/>
          <w:marTop w:val="0"/>
          <w:marBottom w:val="0"/>
          <w:divBdr>
            <w:top w:val="none" w:sz="0" w:space="0" w:color="auto"/>
            <w:left w:val="none" w:sz="0" w:space="0" w:color="auto"/>
            <w:bottom w:val="none" w:sz="0" w:space="0" w:color="auto"/>
            <w:right w:val="none" w:sz="0" w:space="0" w:color="auto"/>
          </w:divBdr>
        </w:div>
        <w:div w:id="406654737">
          <w:marLeft w:val="0"/>
          <w:marRight w:val="0"/>
          <w:marTop w:val="0"/>
          <w:marBottom w:val="0"/>
          <w:divBdr>
            <w:top w:val="none" w:sz="0" w:space="0" w:color="auto"/>
            <w:left w:val="none" w:sz="0" w:space="0" w:color="auto"/>
            <w:bottom w:val="none" w:sz="0" w:space="0" w:color="auto"/>
            <w:right w:val="none" w:sz="0" w:space="0" w:color="auto"/>
          </w:divBdr>
          <w:divsChild>
            <w:div w:id="993753157">
              <w:marLeft w:val="0"/>
              <w:marRight w:val="0"/>
              <w:marTop w:val="0"/>
              <w:marBottom w:val="0"/>
              <w:divBdr>
                <w:top w:val="none" w:sz="0" w:space="0" w:color="auto"/>
                <w:left w:val="none" w:sz="0" w:space="0" w:color="auto"/>
                <w:bottom w:val="none" w:sz="0" w:space="0" w:color="auto"/>
                <w:right w:val="none" w:sz="0" w:space="0" w:color="auto"/>
              </w:divBdr>
              <w:divsChild>
                <w:div w:id="146526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627025">
      <w:bodyDiv w:val="1"/>
      <w:marLeft w:val="0"/>
      <w:marRight w:val="0"/>
      <w:marTop w:val="0"/>
      <w:marBottom w:val="0"/>
      <w:divBdr>
        <w:top w:val="none" w:sz="0" w:space="0" w:color="auto"/>
        <w:left w:val="none" w:sz="0" w:space="0" w:color="auto"/>
        <w:bottom w:val="none" w:sz="0" w:space="0" w:color="auto"/>
        <w:right w:val="none" w:sz="0" w:space="0" w:color="auto"/>
      </w:divBdr>
      <w:divsChild>
        <w:div w:id="1557009223">
          <w:marLeft w:val="0"/>
          <w:marRight w:val="0"/>
          <w:marTop w:val="0"/>
          <w:marBottom w:val="0"/>
          <w:divBdr>
            <w:top w:val="none" w:sz="0" w:space="0" w:color="auto"/>
            <w:left w:val="none" w:sz="0" w:space="0" w:color="auto"/>
            <w:bottom w:val="none" w:sz="0" w:space="0" w:color="auto"/>
            <w:right w:val="none" w:sz="0" w:space="0" w:color="auto"/>
          </w:divBdr>
          <w:divsChild>
            <w:div w:id="1510868234">
              <w:marLeft w:val="0"/>
              <w:marRight w:val="0"/>
              <w:marTop w:val="0"/>
              <w:marBottom w:val="0"/>
              <w:divBdr>
                <w:top w:val="none" w:sz="0" w:space="0" w:color="auto"/>
                <w:left w:val="none" w:sz="0" w:space="0" w:color="auto"/>
                <w:bottom w:val="none" w:sz="0" w:space="0" w:color="auto"/>
                <w:right w:val="none" w:sz="0" w:space="0" w:color="auto"/>
              </w:divBdr>
              <w:divsChild>
                <w:div w:id="656228045">
                  <w:marLeft w:val="0"/>
                  <w:marRight w:val="0"/>
                  <w:marTop w:val="0"/>
                  <w:marBottom w:val="0"/>
                  <w:divBdr>
                    <w:top w:val="none" w:sz="0" w:space="0" w:color="auto"/>
                    <w:left w:val="none" w:sz="0" w:space="0" w:color="auto"/>
                    <w:bottom w:val="none" w:sz="0" w:space="0" w:color="auto"/>
                    <w:right w:val="none" w:sz="0" w:space="0" w:color="auto"/>
                  </w:divBdr>
                  <w:divsChild>
                    <w:div w:id="1666199593">
                      <w:marLeft w:val="0"/>
                      <w:marRight w:val="0"/>
                      <w:marTop w:val="0"/>
                      <w:marBottom w:val="0"/>
                      <w:divBdr>
                        <w:top w:val="none" w:sz="0" w:space="0" w:color="auto"/>
                        <w:left w:val="none" w:sz="0" w:space="0" w:color="auto"/>
                        <w:bottom w:val="none" w:sz="0" w:space="0" w:color="auto"/>
                        <w:right w:val="none" w:sz="0" w:space="0" w:color="auto"/>
                      </w:divBdr>
                      <w:divsChild>
                        <w:div w:id="521742391">
                          <w:marLeft w:val="0"/>
                          <w:marRight w:val="0"/>
                          <w:marTop w:val="0"/>
                          <w:marBottom w:val="0"/>
                          <w:divBdr>
                            <w:top w:val="none" w:sz="0" w:space="0" w:color="auto"/>
                            <w:left w:val="none" w:sz="0" w:space="0" w:color="auto"/>
                            <w:bottom w:val="none" w:sz="0" w:space="0" w:color="auto"/>
                            <w:right w:val="none" w:sz="0" w:space="0" w:color="auto"/>
                          </w:divBdr>
                          <w:divsChild>
                            <w:div w:id="943029548">
                              <w:marLeft w:val="0"/>
                              <w:marRight w:val="0"/>
                              <w:marTop w:val="0"/>
                              <w:marBottom w:val="0"/>
                              <w:divBdr>
                                <w:top w:val="none" w:sz="0" w:space="0" w:color="auto"/>
                                <w:left w:val="none" w:sz="0" w:space="0" w:color="auto"/>
                                <w:bottom w:val="none" w:sz="0" w:space="0" w:color="auto"/>
                                <w:right w:val="none" w:sz="0" w:space="0" w:color="auto"/>
                              </w:divBdr>
                              <w:divsChild>
                                <w:div w:id="245968457">
                                  <w:marLeft w:val="0"/>
                                  <w:marRight w:val="0"/>
                                  <w:marTop w:val="0"/>
                                  <w:marBottom w:val="0"/>
                                  <w:divBdr>
                                    <w:top w:val="none" w:sz="0" w:space="0" w:color="auto"/>
                                    <w:left w:val="none" w:sz="0" w:space="0" w:color="auto"/>
                                    <w:bottom w:val="none" w:sz="0" w:space="0" w:color="auto"/>
                                    <w:right w:val="none" w:sz="0" w:space="0" w:color="auto"/>
                                  </w:divBdr>
                                  <w:divsChild>
                                    <w:div w:id="52118726">
                                      <w:marLeft w:val="0"/>
                                      <w:marRight w:val="0"/>
                                      <w:marTop w:val="0"/>
                                      <w:marBottom w:val="0"/>
                                      <w:divBdr>
                                        <w:top w:val="none" w:sz="0" w:space="0" w:color="auto"/>
                                        <w:left w:val="none" w:sz="0" w:space="0" w:color="auto"/>
                                        <w:bottom w:val="none" w:sz="0" w:space="0" w:color="auto"/>
                                        <w:right w:val="none" w:sz="0" w:space="0" w:color="auto"/>
                                      </w:divBdr>
                                      <w:divsChild>
                                        <w:div w:id="208575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3207909">
      <w:bodyDiv w:val="1"/>
      <w:marLeft w:val="0"/>
      <w:marRight w:val="0"/>
      <w:marTop w:val="0"/>
      <w:marBottom w:val="0"/>
      <w:divBdr>
        <w:top w:val="none" w:sz="0" w:space="0" w:color="auto"/>
        <w:left w:val="none" w:sz="0" w:space="0" w:color="auto"/>
        <w:bottom w:val="none" w:sz="0" w:space="0" w:color="auto"/>
        <w:right w:val="none" w:sz="0" w:space="0" w:color="auto"/>
      </w:divBdr>
      <w:divsChild>
        <w:div w:id="1352102450">
          <w:marLeft w:val="0"/>
          <w:marRight w:val="0"/>
          <w:marTop w:val="0"/>
          <w:marBottom w:val="0"/>
          <w:divBdr>
            <w:top w:val="none" w:sz="0" w:space="0" w:color="auto"/>
            <w:left w:val="none" w:sz="0" w:space="0" w:color="auto"/>
            <w:bottom w:val="none" w:sz="0" w:space="0" w:color="auto"/>
            <w:right w:val="none" w:sz="0" w:space="0" w:color="auto"/>
          </w:divBdr>
        </w:div>
      </w:divsChild>
    </w:div>
    <w:div w:id="483280041">
      <w:bodyDiv w:val="1"/>
      <w:marLeft w:val="0"/>
      <w:marRight w:val="0"/>
      <w:marTop w:val="0"/>
      <w:marBottom w:val="0"/>
      <w:divBdr>
        <w:top w:val="none" w:sz="0" w:space="0" w:color="auto"/>
        <w:left w:val="none" w:sz="0" w:space="0" w:color="auto"/>
        <w:bottom w:val="none" w:sz="0" w:space="0" w:color="auto"/>
        <w:right w:val="none" w:sz="0" w:space="0" w:color="auto"/>
      </w:divBdr>
      <w:divsChild>
        <w:div w:id="62532091">
          <w:marLeft w:val="0"/>
          <w:marRight w:val="0"/>
          <w:marTop w:val="0"/>
          <w:marBottom w:val="225"/>
          <w:divBdr>
            <w:top w:val="none" w:sz="0" w:space="0" w:color="auto"/>
            <w:left w:val="none" w:sz="0" w:space="0" w:color="auto"/>
            <w:bottom w:val="single" w:sz="6" w:space="0" w:color="CCCCCC"/>
            <w:right w:val="none" w:sz="0" w:space="0" w:color="auto"/>
          </w:divBdr>
        </w:div>
        <w:div w:id="871067793">
          <w:marLeft w:val="0"/>
          <w:marRight w:val="0"/>
          <w:marTop w:val="0"/>
          <w:marBottom w:val="0"/>
          <w:divBdr>
            <w:top w:val="none" w:sz="0" w:space="0" w:color="auto"/>
            <w:left w:val="none" w:sz="0" w:space="0" w:color="auto"/>
            <w:bottom w:val="none" w:sz="0" w:space="0" w:color="auto"/>
            <w:right w:val="none" w:sz="0" w:space="0" w:color="auto"/>
          </w:divBdr>
          <w:divsChild>
            <w:div w:id="641694843">
              <w:marLeft w:val="0"/>
              <w:marRight w:val="0"/>
              <w:marTop w:val="0"/>
              <w:marBottom w:val="225"/>
              <w:divBdr>
                <w:top w:val="none" w:sz="0" w:space="0" w:color="auto"/>
                <w:left w:val="none" w:sz="0" w:space="0" w:color="auto"/>
                <w:bottom w:val="none" w:sz="0" w:space="0" w:color="auto"/>
                <w:right w:val="none" w:sz="0" w:space="0" w:color="auto"/>
              </w:divBdr>
            </w:div>
            <w:div w:id="1266308493">
              <w:marLeft w:val="0"/>
              <w:marRight w:val="0"/>
              <w:marTop w:val="0"/>
              <w:marBottom w:val="225"/>
              <w:divBdr>
                <w:top w:val="none" w:sz="0" w:space="0" w:color="auto"/>
                <w:left w:val="none" w:sz="0" w:space="0" w:color="auto"/>
                <w:bottom w:val="none" w:sz="0" w:space="0" w:color="auto"/>
                <w:right w:val="none" w:sz="0" w:space="0" w:color="auto"/>
              </w:divBdr>
              <w:divsChild>
                <w:div w:id="1065643638">
                  <w:marLeft w:val="0"/>
                  <w:marRight w:val="0"/>
                  <w:marTop w:val="0"/>
                  <w:marBottom w:val="0"/>
                  <w:divBdr>
                    <w:top w:val="none" w:sz="0" w:space="0" w:color="auto"/>
                    <w:left w:val="none" w:sz="0" w:space="0" w:color="auto"/>
                    <w:bottom w:val="none" w:sz="0" w:space="0" w:color="auto"/>
                    <w:right w:val="none" w:sz="0" w:space="0" w:color="auto"/>
                  </w:divBdr>
                  <w:divsChild>
                    <w:div w:id="197244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394789">
      <w:bodyDiv w:val="1"/>
      <w:marLeft w:val="0"/>
      <w:marRight w:val="0"/>
      <w:marTop w:val="0"/>
      <w:marBottom w:val="0"/>
      <w:divBdr>
        <w:top w:val="none" w:sz="0" w:space="0" w:color="auto"/>
        <w:left w:val="none" w:sz="0" w:space="0" w:color="auto"/>
        <w:bottom w:val="none" w:sz="0" w:space="0" w:color="auto"/>
        <w:right w:val="none" w:sz="0" w:space="0" w:color="auto"/>
      </w:divBdr>
      <w:divsChild>
        <w:div w:id="716272985">
          <w:marLeft w:val="0"/>
          <w:marRight w:val="0"/>
          <w:marTop w:val="0"/>
          <w:marBottom w:val="0"/>
          <w:divBdr>
            <w:top w:val="single" w:sz="6" w:space="0" w:color="E5E5E5"/>
            <w:left w:val="none" w:sz="0" w:space="0" w:color="auto"/>
            <w:bottom w:val="single" w:sz="18" w:space="0" w:color="000000"/>
            <w:right w:val="none" w:sz="0" w:space="0" w:color="auto"/>
          </w:divBdr>
          <w:divsChild>
            <w:div w:id="182598641">
              <w:marLeft w:val="0"/>
              <w:marRight w:val="0"/>
              <w:marTop w:val="0"/>
              <w:marBottom w:val="0"/>
              <w:divBdr>
                <w:top w:val="none" w:sz="0" w:space="0" w:color="auto"/>
                <w:left w:val="none" w:sz="0" w:space="0" w:color="auto"/>
                <w:bottom w:val="none" w:sz="0" w:space="0" w:color="auto"/>
                <w:right w:val="none" w:sz="0" w:space="0" w:color="auto"/>
              </w:divBdr>
              <w:divsChild>
                <w:div w:id="186400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4016">
          <w:marLeft w:val="0"/>
          <w:marRight w:val="0"/>
          <w:marTop w:val="0"/>
          <w:marBottom w:val="0"/>
          <w:divBdr>
            <w:top w:val="none" w:sz="0" w:space="0" w:color="auto"/>
            <w:left w:val="none" w:sz="0" w:space="0" w:color="auto"/>
            <w:bottom w:val="none" w:sz="0" w:space="0" w:color="auto"/>
            <w:right w:val="none" w:sz="0" w:space="0" w:color="auto"/>
          </w:divBdr>
          <w:divsChild>
            <w:div w:id="907544473">
              <w:marLeft w:val="0"/>
              <w:marRight w:val="0"/>
              <w:marTop w:val="0"/>
              <w:marBottom w:val="0"/>
              <w:divBdr>
                <w:top w:val="none" w:sz="0" w:space="0" w:color="auto"/>
                <w:left w:val="none" w:sz="0" w:space="0" w:color="auto"/>
                <w:bottom w:val="none" w:sz="0" w:space="0" w:color="auto"/>
                <w:right w:val="none" w:sz="0" w:space="0" w:color="auto"/>
              </w:divBdr>
              <w:divsChild>
                <w:div w:id="297151399">
                  <w:marLeft w:val="0"/>
                  <w:marRight w:val="0"/>
                  <w:marTop w:val="0"/>
                  <w:marBottom w:val="0"/>
                  <w:divBdr>
                    <w:top w:val="none" w:sz="0" w:space="0" w:color="auto"/>
                    <w:left w:val="none" w:sz="0" w:space="0" w:color="auto"/>
                    <w:bottom w:val="none" w:sz="0" w:space="0" w:color="auto"/>
                    <w:right w:val="none" w:sz="0" w:space="0" w:color="auto"/>
                  </w:divBdr>
                  <w:divsChild>
                    <w:div w:id="1227767352">
                      <w:marLeft w:val="0"/>
                      <w:marRight w:val="0"/>
                      <w:marTop w:val="0"/>
                      <w:marBottom w:val="300"/>
                      <w:divBdr>
                        <w:top w:val="none" w:sz="0" w:space="0" w:color="auto"/>
                        <w:left w:val="none" w:sz="0" w:space="0" w:color="auto"/>
                        <w:bottom w:val="none" w:sz="0" w:space="0" w:color="auto"/>
                        <w:right w:val="none" w:sz="0" w:space="0" w:color="auto"/>
                      </w:divBdr>
                      <w:divsChild>
                        <w:div w:id="369379919">
                          <w:marLeft w:val="0"/>
                          <w:marRight w:val="0"/>
                          <w:marTop w:val="0"/>
                          <w:marBottom w:val="225"/>
                          <w:divBdr>
                            <w:top w:val="single" w:sz="6" w:space="11" w:color="E5E5E5"/>
                            <w:left w:val="single" w:sz="6" w:space="11" w:color="E5E5E5"/>
                            <w:bottom w:val="single" w:sz="6" w:space="1" w:color="E5E5E5"/>
                            <w:right w:val="single" w:sz="6" w:space="11" w:color="E5E5E5"/>
                          </w:divBdr>
                          <w:divsChild>
                            <w:div w:id="202574295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483394935">
      <w:bodyDiv w:val="1"/>
      <w:marLeft w:val="0"/>
      <w:marRight w:val="0"/>
      <w:marTop w:val="0"/>
      <w:marBottom w:val="0"/>
      <w:divBdr>
        <w:top w:val="none" w:sz="0" w:space="0" w:color="auto"/>
        <w:left w:val="none" w:sz="0" w:space="0" w:color="auto"/>
        <w:bottom w:val="none" w:sz="0" w:space="0" w:color="auto"/>
        <w:right w:val="none" w:sz="0" w:space="0" w:color="auto"/>
      </w:divBdr>
    </w:div>
    <w:div w:id="483399837">
      <w:bodyDiv w:val="1"/>
      <w:marLeft w:val="0"/>
      <w:marRight w:val="0"/>
      <w:marTop w:val="0"/>
      <w:marBottom w:val="0"/>
      <w:divBdr>
        <w:top w:val="none" w:sz="0" w:space="0" w:color="auto"/>
        <w:left w:val="none" w:sz="0" w:space="0" w:color="auto"/>
        <w:bottom w:val="none" w:sz="0" w:space="0" w:color="auto"/>
        <w:right w:val="none" w:sz="0" w:space="0" w:color="auto"/>
      </w:divBdr>
      <w:divsChild>
        <w:div w:id="779683484">
          <w:marLeft w:val="0"/>
          <w:marRight w:val="0"/>
          <w:marTop w:val="0"/>
          <w:marBottom w:val="0"/>
          <w:divBdr>
            <w:top w:val="single" w:sz="6" w:space="0" w:color="E5E5E5"/>
            <w:left w:val="none" w:sz="0" w:space="0" w:color="auto"/>
            <w:bottom w:val="single" w:sz="18" w:space="0" w:color="000000"/>
            <w:right w:val="none" w:sz="0" w:space="0" w:color="auto"/>
          </w:divBdr>
          <w:divsChild>
            <w:div w:id="978463595">
              <w:marLeft w:val="0"/>
              <w:marRight w:val="0"/>
              <w:marTop w:val="0"/>
              <w:marBottom w:val="0"/>
              <w:divBdr>
                <w:top w:val="none" w:sz="0" w:space="0" w:color="auto"/>
                <w:left w:val="none" w:sz="0" w:space="0" w:color="auto"/>
                <w:bottom w:val="none" w:sz="0" w:space="0" w:color="auto"/>
                <w:right w:val="none" w:sz="0" w:space="0" w:color="auto"/>
              </w:divBdr>
              <w:divsChild>
                <w:div w:id="16780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929923">
          <w:marLeft w:val="0"/>
          <w:marRight w:val="0"/>
          <w:marTop w:val="0"/>
          <w:marBottom w:val="0"/>
          <w:divBdr>
            <w:top w:val="none" w:sz="0" w:space="0" w:color="auto"/>
            <w:left w:val="none" w:sz="0" w:space="0" w:color="auto"/>
            <w:bottom w:val="none" w:sz="0" w:space="0" w:color="auto"/>
            <w:right w:val="none" w:sz="0" w:space="0" w:color="auto"/>
          </w:divBdr>
          <w:divsChild>
            <w:div w:id="435489564">
              <w:marLeft w:val="0"/>
              <w:marRight w:val="0"/>
              <w:marTop w:val="0"/>
              <w:marBottom w:val="0"/>
              <w:divBdr>
                <w:top w:val="none" w:sz="0" w:space="0" w:color="auto"/>
                <w:left w:val="none" w:sz="0" w:space="0" w:color="auto"/>
                <w:bottom w:val="none" w:sz="0" w:space="0" w:color="auto"/>
                <w:right w:val="none" w:sz="0" w:space="0" w:color="auto"/>
              </w:divBdr>
              <w:divsChild>
                <w:div w:id="542522346">
                  <w:marLeft w:val="0"/>
                  <w:marRight w:val="0"/>
                  <w:marTop w:val="0"/>
                  <w:marBottom w:val="0"/>
                  <w:divBdr>
                    <w:top w:val="none" w:sz="0" w:space="0" w:color="auto"/>
                    <w:left w:val="none" w:sz="0" w:space="0" w:color="auto"/>
                    <w:bottom w:val="none" w:sz="0" w:space="0" w:color="auto"/>
                    <w:right w:val="none" w:sz="0" w:space="0" w:color="auto"/>
                  </w:divBdr>
                  <w:divsChild>
                    <w:div w:id="1525241482">
                      <w:marLeft w:val="0"/>
                      <w:marRight w:val="0"/>
                      <w:marTop w:val="0"/>
                      <w:marBottom w:val="300"/>
                      <w:divBdr>
                        <w:top w:val="none" w:sz="0" w:space="0" w:color="auto"/>
                        <w:left w:val="none" w:sz="0" w:space="0" w:color="auto"/>
                        <w:bottom w:val="none" w:sz="0" w:space="0" w:color="auto"/>
                        <w:right w:val="none" w:sz="0" w:space="0" w:color="auto"/>
                      </w:divBdr>
                      <w:divsChild>
                        <w:div w:id="593973042">
                          <w:marLeft w:val="0"/>
                          <w:marRight w:val="0"/>
                          <w:marTop w:val="0"/>
                          <w:marBottom w:val="225"/>
                          <w:divBdr>
                            <w:top w:val="single" w:sz="6" w:space="11" w:color="E5E5E5"/>
                            <w:left w:val="single" w:sz="6" w:space="11" w:color="E5E5E5"/>
                            <w:bottom w:val="single" w:sz="6" w:space="1" w:color="E5E5E5"/>
                            <w:right w:val="single" w:sz="6" w:space="11" w:color="E5E5E5"/>
                          </w:divBdr>
                          <w:divsChild>
                            <w:div w:id="260141368">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483468221">
      <w:bodyDiv w:val="1"/>
      <w:marLeft w:val="0"/>
      <w:marRight w:val="0"/>
      <w:marTop w:val="0"/>
      <w:marBottom w:val="0"/>
      <w:divBdr>
        <w:top w:val="none" w:sz="0" w:space="0" w:color="auto"/>
        <w:left w:val="none" w:sz="0" w:space="0" w:color="auto"/>
        <w:bottom w:val="none" w:sz="0" w:space="0" w:color="auto"/>
        <w:right w:val="none" w:sz="0" w:space="0" w:color="auto"/>
      </w:divBdr>
      <w:divsChild>
        <w:div w:id="794911898">
          <w:marLeft w:val="0"/>
          <w:marRight w:val="0"/>
          <w:marTop w:val="0"/>
          <w:marBottom w:val="0"/>
          <w:divBdr>
            <w:top w:val="none" w:sz="0" w:space="0" w:color="auto"/>
            <w:left w:val="none" w:sz="0" w:space="0" w:color="auto"/>
            <w:bottom w:val="none" w:sz="0" w:space="0" w:color="auto"/>
            <w:right w:val="none" w:sz="0" w:space="0" w:color="auto"/>
          </w:divBdr>
          <w:divsChild>
            <w:div w:id="190385337">
              <w:marLeft w:val="0"/>
              <w:marRight w:val="0"/>
              <w:marTop w:val="0"/>
              <w:marBottom w:val="0"/>
              <w:divBdr>
                <w:top w:val="none" w:sz="0" w:space="0" w:color="auto"/>
                <w:left w:val="none" w:sz="0" w:space="0" w:color="auto"/>
                <w:bottom w:val="none" w:sz="0" w:space="0" w:color="auto"/>
                <w:right w:val="none" w:sz="0" w:space="0" w:color="auto"/>
              </w:divBdr>
            </w:div>
            <w:div w:id="13710278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84199437">
      <w:bodyDiv w:val="1"/>
      <w:marLeft w:val="0"/>
      <w:marRight w:val="0"/>
      <w:marTop w:val="0"/>
      <w:marBottom w:val="0"/>
      <w:divBdr>
        <w:top w:val="none" w:sz="0" w:space="0" w:color="auto"/>
        <w:left w:val="none" w:sz="0" w:space="0" w:color="auto"/>
        <w:bottom w:val="none" w:sz="0" w:space="0" w:color="auto"/>
        <w:right w:val="none" w:sz="0" w:space="0" w:color="auto"/>
      </w:divBdr>
      <w:divsChild>
        <w:div w:id="1931087243">
          <w:marLeft w:val="0"/>
          <w:marRight w:val="0"/>
          <w:marTop w:val="0"/>
          <w:marBottom w:val="0"/>
          <w:divBdr>
            <w:top w:val="none" w:sz="0" w:space="0" w:color="auto"/>
            <w:left w:val="none" w:sz="0" w:space="0" w:color="auto"/>
            <w:bottom w:val="none" w:sz="0" w:space="0" w:color="auto"/>
            <w:right w:val="none" w:sz="0" w:space="0" w:color="auto"/>
          </w:divBdr>
          <w:divsChild>
            <w:div w:id="12134261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84904273">
      <w:bodyDiv w:val="1"/>
      <w:marLeft w:val="0"/>
      <w:marRight w:val="0"/>
      <w:marTop w:val="0"/>
      <w:marBottom w:val="0"/>
      <w:divBdr>
        <w:top w:val="none" w:sz="0" w:space="0" w:color="auto"/>
        <w:left w:val="none" w:sz="0" w:space="0" w:color="auto"/>
        <w:bottom w:val="none" w:sz="0" w:space="0" w:color="auto"/>
        <w:right w:val="none" w:sz="0" w:space="0" w:color="auto"/>
      </w:divBdr>
      <w:divsChild>
        <w:div w:id="1610236476">
          <w:marLeft w:val="0"/>
          <w:marRight w:val="0"/>
          <w:marTop w:val="0"/>
          <w:marBottom w:val="0"/>
          <w:divBdr>
            <w:top w:val="none" w:sz="0" w:space="0" w:color="auto"/>
            <w:left w:val="none" w:sz="0" w:space="0" w:color="auto"/>
            <w:bottom w:val="none" w:sz="0" w:space="0" w:color="auto"/>
            <w:right w:val="none" w:sz="0" w:space="0" w:color="auto"/>
          </w:divBdr>
          <w:divsChild>
            <w:div w:id="1175271147">
              <w:marLeft w:val="0"/>
              <w:marRight w:val="0"/>
              <w:marTop w:val="0"/>
              <w:marBottom w:val="0"/>
              <w:divBdr>
                <w:top w:val="none" w:sz="0" w:space="0" w:color="auto"/>
                <w:left w:val="none" w:sz="0" w:space="0" w:color="auto"/>
                <w:bottom w:val="none" w:sz="0" w:space="0" w:color="auto"/>
                <w:right w:val="none" w:sz="0" w:space="0" w:color="auto"/>
              </w:divBdr>
              <w:divsChild>
                <w:div w:id="1810826579">
                  <w:marLeft w:val="0"/>
                  <w:marRight w:val="0"/>
                  <w:marTop w:val="0"/>
                  <w:marBottom w:val="0"/>
                  <w:divBdr>
                    <w:top w:val="none" w:sz="0" w:space="0" w:color="auto"/>
                    <w:left w:val="none" w:sz="0" w:space="0" w:color="auto"/>
                    <w:bottom w:val="none" w:sz="0" w:space="0" w:color="auto"/>
                    <w:right w:val="none" w:sz="0" w:space="0" w:color="auto"/>
                  </w:divBdr>
                  <w:divsChild>
                    <w:div w:id="263533764">
                      <w:marLeft w:val="0"/>
                      <w:marRight w:val="0"/>
                      <w:marTop w:val="0"/>
                      <w:marBottom w:val="0"/>
                      <w:divBdr>
                        <w:top w:val="none" w:sz="0" w:space="0" w:color="auto"/>
                        <w:left w:val="none" w:sz="0" w:space="0" w:color="auto"/>
                        <w:bottom w:val="none" w:sz="0" w:space="0" w:color="auto"/>
                        <w:right w:val="none" w:sz="0" w:space="0" w:color="auto"/>
                      </w:divBdr>
                      <w:divsChild>
                        <w:div w:id="473060438">
                          <w:marLeft w:val="0"/>
                          <w:marRight w:val="0"/>
                          <w:marTop w:val="0"/>
                          <w:marBottom w:val="0"/>
                          <w:divBdr>
                            <w:top w:val="none" w:sz="0" w:space="0" w:color="auto"/>
                            <w:left w:val="none" w:sz="0" w:space="0" w:color="auto"/>
                            <w:bottom w:val="none" w:sz="0" w:space="0" w:color="auto"/>
                            <w:right w:val="none" w:sz="0" w:space="0" w:color="auto"/>
                          </w:divBdr>
                          <w:divsChild>
                            <w:div w:id="725566943">
                              <w:marLeft w:val="0"/>
                              <w:marRight w:val="0"/>
                              <w:marTop w:val="0"/>
                              <w:marBottom w:val="0"/>
                              <w:divBdr>
                                <w:top w:val="none" w:sz="0" w:space="0" w:color="auto"/>
                                <w:left w:val="none" w:sz="0" w:space="0" w:color="auto"/>
                                <w:bottom w:val="none" w:sz="0" w:space="0" w:color="auto"/>
                                <w:right w:val="none" w:sz="0" w:space="0" w:color="auto"/>
                              </w:divBdr>
                              <w:divsChild>
                                <w:div w:id="1069571353">
                                  <w:marLeft w:val="0"/>
                                  <w:marRight w:val="0"/>
                                  <w:marTop w:val="0"/>
                                  <w:marBottom w:val="0"/>
                                  <w:divBdr>
                                    <w:top w:val="none" w:sz="0" w:space="0" w:color="auto"/>
                                    <w:left w:val="none" w:sz="0" w:space="0" w:color="auto"/>
                                    <w:bottom w:val="none" w:sz="0" w:space="0" w:color="auto"/>
                                    <w:right w:val="none" w:sz="0" w:space="0" w:color="auto"/>
                                  </w:divBdr>
                                  <w:divsChild>
                                    <w:div w:id="948776855">
                                      <w:marLeft w:val="0"/>
                                      <w:marRight w:val="0"/>
                                      <w:marTop w:val="0"/>
                                      <w:marBottom w:val="0"/>
                                      <w:divBdr>
                                        <w:top w:val="none" w:sz="0" w:space="0" w:color="auto"/>
                                        <w:left w:val="none" w:sz="0" w:space="0" w:color="auto"/>
                                        <w:bottom w:val="none" w:sz="0" w:space="0" w:color="auto"/>
                                        <w:right w:val="none" w:sz="0" w:space="0" w:color="auto"/>
                                      </w:divBdr>
                                      <w:divsChild>
                                        <w:div w:id="1495564061">
                                          <w:marLeft w:val="0"/>
                                          <w:marRight w:val="0"/>
                                          <w:marTop w:val="0"/>
                                          <w:marBottom w:val="0"/>
                                          <w:divBdr>
                                            <w:top w:val="none" w:sz="0" w:space="0" w:color="auto"/>
                                            <w:left w:val="none" w:sz="0" w:space="0" w:color="auto"/>
                                            <w:bottom w:val="none" w:sz="0" w:space="0" w:color="auto"/>
                                            <w:right w:val="none" w:sz="0" w:space="0" w:color="auto"/>
                                          </w:divBdr>
                                          <w:divsChild>
                                            <w:div w:id="145686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195477">
                                      <w:marLeft w:val="0"/>
                                      <w:marRight w:val="0"/>
                                      <w:marTop w:val="0"/>
                                      <w:marBottom w:val="0"/>
                                      <w:divBdr>
                                        <w:top w:val="none" w:sz="0" w:space="0" w:color="auto"/>
                                        <w:left w:val="none" w:sz="0" w:space="0" w:color="auto"/>
                                        <w:bottom w:val="none" w:sz="0" w:space="0" w:color="auto"/>
                                        <w:right w:val="none" w:sz="0" w:space="0" w:color="auto"/>
                                      </w:divBdr>
                                      <w:divsChild>
                                        <w:div w:id="550190319">
                                          <w:marLeft w:val="0"/>
                                          <w:marRight w:val="0"/>
                                          <w:marTop w:val="0"/>
                                          <w:marBottom w:val="0"/>
                                          <w:divBdr>
                                            <w:top w:val="none" w:sz="0" w:space="0" w:color="auto"/>
                                            <w:left w:val="none" w:sz="0" w:space="0" w:color="auto"/>
                                            <w:bottom w:val="none" w:sz="0" w:space="0" w:color="auto"/>
                                            <w:right w:val="none" w:sz="0" w:space="0" w:color="auto"/>
                                          </w:divBdr>
                                        </w:div>
                                        <w:div w:id="162326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4980233">
      <w:bodyDiv w:val="1"/>
      <w:marLeft w:val="0"/>
      <w:marRight w:val="0"/>
      <w:marTop w:val="0"/>
      <w:marBottom w:val="0"/>
      <w:divBdr>
        <w:top w:val="none" w:sz="0" w:space="0" w:color="auto"/>
        <w:left w:val="none" w:sz="0" w:space="0" w:color="auto"/>
        <w:bottom w:val="none" w:sz="0" w:space="0" w:color="auto"/>
        <w:right w:val="none" w:sz="0" w:space="0" w:color="auto"/>
      </w:divBdr>
      <w:divsChild>
        <w:div w:id="623342407">
          <w:marLeft w:val="0"/>
          <w:marRight w:val="0"/>
          <w:marTop w:val="0"/>
          <w:marBottom w:val="0"/>
          <w:divBdr>
            <w:top w:val="none" w:sz="0" w:space="0" w:color="auto"/>
            <w:left w:val="none" w:sz="0" w:space="0" w:color="auto"/>
            <w:bottom w:val="none" w:sz="0" w:space="0" w:color="auto"/>
            <w:right w:val="none" w:sz="0" w:space="0" w:color="auto"/>
          </w:divBdr>
          <w:divsChild>
            <w:div w:id="2073001216">
              <w:marLeft w:val="0"/>
              <w:marRight w:val="0"/>
              <w:marTop w:val="0"/>
              <w:marBottom w:val="0"/>
              <w:divBdr>
                <w:top w:val="none" w:sz="0" w:space="0" w:color="auto"/>
                <w:left w:val="none" w:sz="0" w:space="0" w:color="auto"/>
                <w:bottom w:val="none" w:sz="0" w:space="0" w:color="auto"/>
                <w:right w:val="none" w:sz="0" w:space="0" w:color="auto"/>
              </w:divBdr>
              <w:divsChild>
                <w:div w:id="1815440395">
                  <w:marLeft w:val="0"/>
                  <w:marRight w:val="0"/>
                  <w:marTop w:val="0"/>
                  <w:marBottom w:val="0"/>
                  <w:divBdr>
                    <w:top w:val="none" w:sz="0" w:space="0" w:color="auto"/>
                    <w:left w:val="none" w:sz="0" w:space="0" w:color="auto"/>
                    <w:bottom w:val="none" w:sz="0" w:space="0" w:color="auto"/>
                    <w:right w:val="none" w:sz="0" w:space="0" w:color="auto"/>
                  </w:divBdr>
                  <w:divsChild>
                    <w:div w:id="898783154">
                      <w:marLeft w:val="0"/>
                      <w:marRight w:val="0"/>
                      <w:marTop w:val="225"/>
                      <w:marBottom w:val="150"/>
                      <w:divBdr>
                        <w:top w:val="none" w:sz="0" w:space="4" w:color="auto"/>
                        <w:left w:val="none" w:sz="0" w:space="0" w:color="auto"/>
                        <w:bottom w:val="single" w:sz="6" w:space="4" w:color="CECECE"/>
                        <w:right w:val="none" w:sz="0" w:space="0" w:color="auto"/>
                      </w:divBdr>
                      <w:divsChild>
                        <w:div w:id="602155436">
                          <w:marLeft w:val="0"/>
                          <w:marRight w:val="0"/>
                          <w:marTop w:val="0"/>
                          <w:marBottom w:val="0"/>
                          <w:divBdr>
                            <w:top w:val="none" w:sz="0" w:space="0" w:color="auto"/>
                            <w:left w:val="none" w:sz="0" w:space="0" w:color="auto"/>
                            <w:bottom w:val="none" w:sz="0" w:space="0" w:color="auto"/>
                            <w:right w:val="none" w:sz="0" w:space="0" w:color="auto"/>
                          </w:divBdr>
                        </w:div>
                        <w:div w:id="1577544950">
                          <w:marLeft w:val="0"/>
                          <w:marRight w:val="0"/>
                          <w:marTop w:val="75"/>
                          <w:marBottom w:val="75"/>
                          <w:divBdr>
                            <w:top w:val="none" w:sz="0" w:space="0" w:color="auto"/>
                            <w:left w:val="none" w:sz="0" w:space="0" w:color="auto"/>
                            <w:bottom w:val="none" w:sz="0" w:space="0" w:color="auto"/>
                            <w:right w:val="none" w:sz="0" w:space="0" w:color="auto"/>
                          </w:divBdr>
                          <w:divsChild>
                            <w:div w:id="585647692">
                              <w:marLeft w:val="0"/>
                              <w:marRight w:val="0"/>
                              <w:marTop w:val="45"/>
                              <w:marBottom w:val="0"/>
                              <w:divBdr>
                                <w:top w:val="none" w:sz="0" w:space="0" w:color="auto"/>
                                <w:left w:val="none" w:sz="0" w:space="0" w:color="auto"/>
                                <w:bottom w:val="none" w:sz="0" w:space="0" w:color="auto"/>
                                <w:right w:val="none" w:sz="0" w:space="0" w:color="auto"/>
                              </w:divBdr>
                            </w:div>
                            <w:div w:id="1001273746">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708618">
      <w:bodyDiv w:val="1"/>
      <w:marLeft w:val="0"/>
      <w:marRight w:val="0"/>
      <w:marTop w:val="0"/>
      <w:marBottom w:val="0"/>
      <w:divBdr>
        <w:top w:val="none" w:sz="0" w:space="0" w:color="auto"/>
        <w:left w:val="none" w:sz="0" w:space="0" w:color="auto"/>
        <w:bottom w:val="none" w:sz="0" w:space="0" w:color="auto"/>
        <w:right w:val="none" w:sz="0" w:space="0" w:color="auto"/>
      </w:divBdr>
      <w:divsChild>
        <w:div w:id="702294731">
          <w:marLeft w:val="0"/>
          <w:marRight w:val="0"/>
          <w:marTop w:val="0"/>
          <w:marBottom w:val="150"/>
          <w:divBdr>
            <w:top w:val="none" w:sz="0" w:space="0" w:color="auto"/>
            <w:left w:val="none" w:sz="0" w:space="0" w:color="auto"/>
            <w:bottom w:val="none" w:sz="0" w:space="0" w:color="auto"/>
            <w:right w:val="none" w:sz="0" w:space="0" w:color="auto"/>
          </w:divBdr>
          <w:divsChild>
            <w:div w:id="491651927">
              <w:marLeft w:val="0"/>
              <w:marRight w:val="0"/>
              <w:marTop w:val="0"/>
              <w:marBottom w:val="0"/>
              <w:divBdr>
                <w:top w:val="none" w:sz="0" w:space="0" w:color="auto"/>
                <w:left w:val="none" w:sz="0" w:space="0" w:color="auto"/>
                <w:bottom w:val="none" w:sz="0" w:space="0" w:color="auto"/>
                <w:right w:val="none" w:sz="0" w:space="0" w:color="auto"/>
              </w:divBdr>
              <w:divsChild>
                <w:div w:id="164392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36105">
          <w:marLeft w:val="0"/>
          <w:marRight w:val="0"/>
          <w:marTop w:val="0"/>
          <w:marBottom w:val="150"/>
          <w:divBdr>
            <w:top w:val="none" w:sz="0" w:space="0" w:color="auto"/>
            <w:left w:val="none" w:sz="0" w:space="0" w:color="auto"/>
            <w:bottom w:val="none" w:sz="0" w:space="0" w:color="auto"/>
            <w:right w:val="none" w:sz="0" w:space="0" w:color="auto"/>
          </w:divBdr>
        </w:div>
        <w:div w:id="714160146">
          <w:marLeft w:val="0"/>
          <w:marRight w:val="0"/>
          <w:marTop w:val="0"/>
          <w:marBottom w:val="0"/>
          <w:divBdr>
            <w:top w:val="none" w:sz="0" w:space="0" w:color="auto"/>
            <w:left w:val="none" w:sz="0" w:space="0" w:color="auto"/>
            <w:bottom w:val="none" w:sz="0" w:space="0" w:color="auto"/>
            <w:right w:val="none" w:sz="0" w:space="0" w:color="auto"/>
          </w:divBdr>
          <w:divsChild>
            <w:div w:id="7663337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85785465">
      <w:bodyDiv w:val="1"/>
      <w:marLeft w:val="0"/>
      <w:marRight w:val="0"/>
      <w:marTop w:val="0"/>
      <w:marBottom w:val="0"/>
      <w:divBdr>
        <w:top w:val="none" w:sz="0" w:space="0" w:color="auto"/>
        <w:left w:val="none" w:sz="0" w:space="0" w:color="auto"/>
        <w:bottom w:val="none" w:sz="0" w:space="0" w:color="auto"/>
        <w:right w:val="none" w:sz="0" w:space="0" w:color="auto"/>
      </w:divBdr>
    </w:div>
    <w:div w:id="485825102">
      <w:bodyDiv w:val="1"/>
      <w:marLeft w:val="0"/>
      <w:marRight w:val="0"/>
      <w:marTop w:val="0"/>
      <w:marBottom w:val="0"/>
      <w:divBdr>
        <w:top w:val="none" w:sz="0" w:space="0" w:color="auto"/>
        <w:left w:val="none" w:sz="0" w:space="0" w:color="auto"/>
        <w:bottom w:val="none" w:sz="0" w:space="0" w:color="auto"/>
        <w:right w:val="none" w:sz="0" w:space="0" w:color="auto"/>
      </w:divBdr>
      <w:divsChild>
        <w:div w:id="63188619">
          <w:marLeft w:val="0"/>
          <w:marRight w:val="0"/>
          <w:marTop w:val="0"/>
          <w:marBottom w:val="0"/>
          <w:divBdr>
            <w:top w:val="none" w:sz="0" w:space="0" w:color="auto"/>
            <w:left w:val="none" w:sz="0" w:space="0" w:color="auto"/>
            <w:bottom w:val="dotted" w:sz="6" w:space="4" w:color="DDDDDD"/>
            <w:right w:val="none" w:sz="0" w:space="0" w:color="auto"/>
          </w:divBdr>
          <w:divsChild>
            <w:div w:id="13895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362264">
      <w:bodyDiv w:val="1"/>
      <w:marLeft w:val="0"/>
      <w:marRight w:val="0"/>
      <w:marTop w:val="0"/>
      <w:marBottom w:val="0"/>
      <w:divBdr>
        <w:top w:val="none" w:sz="0" w:space="0" w:color="auto"/>
        <w:left w:val="none" w:sz="0" w:space="0" w:color="auto"/>
        <w:bottom w:val="none" w:sz="0" w:space="0" w:color="auto"/>
        <w:right w:val="none" w:sz="0" w:space="0" w:color="auto"/>
      </w:divBdr>
      <w:divsChild>
        <w:div w:id="1003169385">
          <w:marLeft w:val="0"/>
          <w:marRight w:val="0"/>
          <w:marTop w:val="0"/>
          <w:marBottom w:val="150"/>
          <w:divBdr>
            <w:top w:val="none" w:sz="0" w:space="0" w:color="auto"/>
            <w:left w:val="none" w:sz="0" w:space="0" w:color="auto"/>
            <w:bottom w:val="none" w:sz="0" w:space="0" w:color="auto"/>
            <w:right w:val="none" w:sz="0" w:space="0" w:color="auto"/>
          </w:divBdr>
        </w:div>
      </w:divsChild>
    </w:div>
    <w:div w:id="486559383">
      <w:bodyDiv w:val="1"/>
      <w:marLeft w:val="0"/>
      <w:marRight w:val="0"/>
      <w:marTop w:val="0"/>
      <w:marBottom w:val="0"/>
      <w:divBdr>
        <w:top w:val="none" w:sz="0" w:space="0" w:color="auto"/>
        <w:left w:val="none" w:sz="0" w:space="0" w:color="auto"/>
        <w:bottom w:val="none" w:sz="0" w:space="0" w:color="auto"/>
        <w:right w:val="none" w:sz="0" w:space="0" w:color="auto"/>
      </w:divBdr>
    </w:div>
    <w:div w:id="486943032">
      <w:bodyDiv w:val="1"/>
      <w:marLeft w:val="0"/>
      <w:marRight w:val="0"/>
      <w:marTop w:val="0"/>
      <w:marBottom w:val="0"/>
      <w:divBdr>
        <w:top w:val="none" w:sz="0" w:space="0" w:color="auto"/>
        <w:left w:val="none" w:sz="0" w:space="0" w:color="auto"/>
        <w:bottom w:val="none" w:sz="0" w:space="0" w:color="auto"/>
        <w:right w:val="none" w:sz="0" w:space="0" w:color="auto"/>
      </w:divBdr>
    </w:div>
    <w:div w:id="486945863">
      <w:bodyDiv w:val="1"/>
      <w:marLeft w:val="0"/>
      <w:marRight w:val="0"/>
      <w:marTop w:val="0"/>
      <w:marBottom w:val="0"/>
      <w:divBdr>
        <w:top w:val="none" w:sz="0" w:space="0" w:color="auto"/>
        <w:left w:val="none" w:sz="0" w:space="0" w:color="auto"/>
        <w:bottom w:val="none" w:sz="0" w:space="0" w:color="auto"/>
        <w:right w:val="none" w:sz="0" w:space="0" w:color="auto"/>
      </w:divBdr>
      <w:divsChild>
        <w:div w:id="1050495909">
          <w:marLeft w:val="0"/>
          <w:marRight w:val="0"/>
          <w:marTop w:val="0"/>
          <w:marBottom w:val="0"/>
          <w:divBdr>
            <w:top w:val="none" w:sz="0" w:space="0" w:color="auto"/>
            <w:left w:val="none" w:sz="0" w:space="0" w:color="auto"/>
            <w:bottom w:val="dotted" w:sz="6" w:space="4" w:color="DDDDDD"/>
            <w:right w:val="none" w:sz="0" w:space="0" w:color="auto"/>
          </w:divBdr>
        </w:div>
      </w:divsChild>
    </w:div>
    <w:div w:id="487870062">
      <w:bodyDiv w:val="1"/>
      <w:marLeft w:val="0"/>
      <w:marRight w:val="0"/>
      <w:marTop w:val="0"/>
      <w:marBottom w:val="0"/>
      <w:divBdr>
        <w:top w:val="none" w:sz="0" w:space="0" w:color="auto"/>
        <w:left w:val="none" w:sz="0" w:space="0" w:color="auto"/>
        <w:bottom w:val="none" w:sz="0" w:space="0" w:color="auto"/>
        <w:right w:val="none" w:sz="0" w:space="0" w:color="auto"/>
      </w:divBdr>
      <w:divsChild>
        <w:div w:id="895354234">
          <w:marLeft w:val="0"/>
          <w:marRight w:val="0"/>
          <w:marTop w:val="0"/>
          <w:marBottom w:val="0"/>
          <w:divBdr>
            <w:top w:val="none" w:sz="0" w:space="0" w:color="auto"/>
            <w:left w:val="none" w:sz="0" w:space="0" w:color="auto"/>
            <w:bottom w:val="none" w:sz="0" w:space="0" w:color="auto"/>
            <w:right w:val="none" w:sz="0" w:space="0" w:color="auto"/>
          </w:divBdr>
          <w:divsChild>
            <w:div w:id="1090807299">
              <w:marLeft w:val="0"/>
              <w:marRight w:val="0"/>
              <w:marTop w:val="0"/>
              <w:marBottom w:val="0"/>
              <w:divBdr>
                <w:top w:val="none" w:sz="0" w:space="0" w:color="auto"/>
                <w:left w:val="none" w:sz="0" w:space="0" w:color="auto"/>
                <w:bottom w:val="none" w:sz="0" w:space="0" w:color="auto"/>
                <w:right w:val="none" w:sz="0" w:space="0" w:color="auto"/>
              </w:divBdr>
              <w:divsChild>
                <w:div w:id="1137987891">
                  <w:marLeft w:val="0"/>
                  <w:marRight w:val="0"/>
                  <w:marTop w:val="0"/>
                  <w:marBottom w:val="0"/>
                  <w:divBdr>
                    <w:top w:val="none" w:sz="0" w:space="0" w:color="auto"/>
                    <w:left w:val="none" w:sz="0" w:space="0" w:color="auto"/>
                    <w:bottom w:val="none" w:sz="0" w:space="0" w:color="auto"/>
                    <w:right w:val="none" w:sz="0" w:space="0" w:color="auto"/>
                  </w:divBdr>
                  <w:divsChild>
                    <w:div w:id="1396195946">
                      <w:marLeft w:val="0"/>
                      <w:marRight w:val="0"/>
                      <w:marTop w:val="0"/>
                      <w:marBottom w:val="75"/>
                      <w:divBdr>
                        <w:top w:val="none" w:sz="0" w:space="0" w:color="auto"/>
                        <w:left w:val="none" w:sz="0" w:space="0" w:color="auto"/>
                        <w:bottom w:val="none" w:sz="0" w:space="0" w:color="auto"/>
                        <w:right w:val="none" w:sz="0" w:space="0" w:color="auto"/>
                      </w:divBdr>
                    </w:div>
                    <w:div w:id="1499809575">
                      <w:marLeft w:val="0"/>
                      <w:marRight w:val="0"/>
                      <w:marTop w:val="0"/>
                      <w:marBottom w:val="0"/>
                      <w:divBdr>
                        <w:top w:val="none" w:sz="0" w:space="0" w:color="auto"/>
                        <w:left w:val="none" w:sz="0" w:space="0" w:color="auto"/>
                        <w:bottom w:val="none" w:sz="0" w:space="0" w:color="auto"/>
                        <w:right w:val="none" w:sz="0" w:space="0" w:color="auto"/>
                      </w:divBdr>
                    </w:div>
                    <w:div w:id="1527862117">
                      <w:marLeft w:val="0"/>
                      <w:marRight w:val="0"/>
                      <w:marTop w:val="0"/>
                      <w:marBottom w:val="300"/>
                      <w:divBdr>
                        <w:top w:val="none" w:sz="0" w:space="0" w:color="auto"/>
                        <w:left w:val="none" w:sz="0" w:space="0" w:color="auto"/>
                        <w:bottom w:val="none" w:sz="0" w:space="0" w:color="auto"/>
                        <w:right w:val="none" w:sz="0" w:space="0" w:color="auto"/>
                      </w:divBdr>
                      <w:divsChild>
                        <w:div w:id="74866680">
                          <w:marLeft w:val="0"/>
                          <w:marRight w:val="0"/>
                          <w:marTop w:val="0"/>
                          <w:marBottom w:val="0"/>
                          <w:divBdr>
                            <w:top w:val="none" w:sz="0" w:space="0" w:color="auto"/>
                            <w:left w:val="none" w:sz="0" w:space="0" w:color="auto"/>
                            <w:bottom w:val="none" w:sz="0" w:space="0" w:color="auto"/>
                            <w:right w:val="none" w:sz="0" w:space="0" w:color="auto"/>
                          </w:divBdr>
                        </w:div>
                      </w:divsChild>
                    </w:div>
                    <w:div w:id="1943797872">
                      <w:marLeft w:val="0"/>
                      <w:marRight w:val="0"/>
                      <w:marTop w:val="0"/>
                      <w:marBottom w:val="0"/>
                      <w:divBdr>
                        <w:top w:val="none" w:sz="0" w:space="0" w:color="auto"/>
                        <w:left w:val="none" w:sz="0" w:space="0" w:color="auto"/>
                        <w:bottom w:val="none" w:sz="0" w:space="0" w:color="auto"/>
                        <w:right w:val="none" w:sz="0" w:space="0" w:color="auto"/>
                      </w:divBdr>
                      <w:divsChild>
                        <w:div w:id="474756099">
                          <w:marLeft w:val="0"/>
                          <w:marRight w:val="0"/>
                          <w:marTop w:val="0"/>
                          <w:marBottom w:val="0"/>
                          <w:divBdr>
                            <w:top w:val="none" w:sz="0" w:space="0" w:color="auto"/>
                            <w:left w:val="none" w:sz="0" w:space="0" w:color="auto"/>
                            <w:bottom w:val="none" w:sz="0" w:space="0" w:color="auto"/>
                            <w:right w:val="none" w:sz="0" w:space="0" w:color="auto"/>
                          </w:divBdr>
                          <w:divsChild>
                            <w:div w:id="135183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087844">
                  <w:marLeft w:val="300"/>
                  <w:marRight w:val="0"/>
                  <w:marTop w:val="0"/>
                  <w:marBottom w:val="0"/>
                  <w:divBdr>
                    <w:top w:val="none" w:sz="0" w:space="0" w:color="auto"/>
                    <w:left w:val="none" w:sz="0" w:space="0" w:color="auto"/>
                    <w:bottom w:val="none" w:sz="0" w:space="0" w:color="auto"/>
                    <w:right w:val="none" w:sz="0" w:space="0" w:color="auto"/>
                  </w:divBdr>
                  <w:divsChild>
                    <w:div w:id="1776943463">
                      <w:marLeft w:val="0"/>
                      <w:marRight w:val="0"/>
                      <w:marTop w:val="0"/>
                      <w:marBottom w:val="300"/>
                      <w:divBdr>
                        <w:top w:val="none" w:sz="0" w:space="0" w:color="auto"/>
                        <w:left w:val="none" w:sz="0" w:space="0" w:color="auto"/>
                        <w:bottom w:val="none" w:sz="0" w:space="0" w:color="auto"/>
                        <w:right w:val="none" w:sz="0" w:space="0" w:color="auto"/>
                      </w:divBdr>
                      <w:divsChild>
                        <w:div w:id="1357075151">
                          <w:marLeft w:val="0"/>
                          <w:marRight w:val="0"/>
                          <w:marTop w:val="0"/>
                          <w:marBottom w:val="0"/>
                          <w:divBdr>
                            <w:top w:val="none" w:sz="0" w:space="0" w:color="auto"/>
                            <w:left w:val="none" w:sz="0" w:space="0" w:color="auto"/>
                            <w:bottom w:val="none" w:sz="0" w:space="0" w:color="auto"/>
                            <w:right w:val="none" w:sz="0" w:space="0" w:color="auto"/>
                          </w:divBdr>
                          <w:divsChild>
                            <w:div w:id="1658997617">
                              <w:marLeft w:val="0"/>
                              <w:marRight w:val="0"/>
                              <w:marTop w:val="0"/>
                              <w:marBottom w:val="0"/>
                              <w:divBdr>
                                <w:top w:val="none" w:sz="0" w:space="0" w:color="auto"/>
                                <w:left w:val="none" w:sz="0" w:space="0" w:color="auto"/>
                                <w:bottom w:val="none" w:sz="0" w:space="0" w:color="auto"/>
                                <w:right w:val="none" w:sz="0" w:space="0" w:color="auto"/>
                              </w:divBdr>
                              <w:divsChild>
                                <w:div w:id="1482044175">
                                  <w:marLeft w:val="0"/>
                                  <w:marRight w:val="0"/>
                                  <w:marTop w:val="0"/>
                                  <w:marBottom w:val="0"/>
                                  <w:divBdr>
                                    <w:top w:val="single" w:sz="2" w:space="0" w:color="DFDFDF"/>
                                    <w:left w:val="single" w:sz="2" w:space="0" w:color="DFDFDF"/>
                                    <w:bottom w:val="single" w:sz="2" w:space="0" w:color="DFDFDF"/>
                                    <w:right w:val="single" w:sz="2" w:space="0" w:color="DFDFDF"/>
                                  </w:divBdr>
                                  <w:divsChild>
                                    <w:div w:id="904336845">
                                      <w:marLeft w:val="-90"/>
                                      <w:marRight w:val="0"/>
                                      <w:marTop w:val="0"/>
                                      <w:marBottom w:val="0"/>
                                      <w:divBdr>
                                        <w:top w:val="none" w:sz="0" w:space="0" w:color="auto"/>
                                        <w:left w:val="none" w:sz="0" w:space="0" w:color="auto"/>
                                        <w:bottom w:val="none" w:sz="0" w:space="0" w:color="auto"/>
                                        <w:right w:val="none" w:sz="0" w:space="0" w:color="auto"/>
                                      </w:divBdr>
                                      <w:divsChild>
                                        <w:div w:id="2130051430">
                                          <w:marLeft w:val="0"/>
                                          <w:marRight w:val="0"/>
                                          <w:marTop w:val="0"/>
                                          <w:marBottom w:val="45"/>
                                          <w:divBdr>
                                            <w:top w:val="single" w:sz="2" w:space="0" w:color="A9A9A9"/>
                                            <w:left w:val="single" w:sz="2" w:space="0" w:color="A9A9A9"/>
                                            <w:bottom w:val="single" w:sz="2" w:space="0" w:color="A9A9A9"/>
                                            <w:right w:val="single" w:sz="2" w:space="0" w:color="A9A9A9"/>
                                          </w:divBdr>
                                          <w:divsChild>
                                            <w:div w:id="1058553430">
                                              <w:marLeft w:val="0"/>
                                              <w:marRight w:val="0"/>
                                              <w:marTop w:val="0"/>
                                              <w:marBottom w:val="0"/>
                                              <w:divBdr>
                                                <w:top w:val="none" w:sz="0" w:space="0" w:color="auto"/>
                                                <w:left w:val="none" w:sz="0" w:space="0" w:color="auto"/>
                                                <w:bottom w:val="none" w:sz="0" w:space="0" w:color="auto"/>
                                                <w:right w:val="none" w:sz="0" w:space="0" w:color="auto"/>
                                              </w:divBdr>
                                              <w:divsChild>
                                                <w:div w:id="596213238">
                                                  <w:marLeft w:val="92"/>
                                                  <w:marRight w:val="0"/>
                                                  <w:marTop w:val="0"/>
                                                  <w:marBottom w:val="150"/>
                                                  <w:divBdr>
                                                    <w:top w:val="single" w:sz="2" w:space="0" w:color="E4E4E4"/>
                                                    <w:left w:val="single" w:sz="2" w:space="0" w:color="E4E4E4"/>
                                                    <w:bottom w:val="single" w:sz="2" w:space="0" w:color="E4E4E4"/>
                                                    <w:right w:val="single" w:sz="2" w:space="0" w:color="E4E4E4"/>
                                                  </w:divBdr>
                                                </w:div>
                                                <w:div w:id="166497264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471169295">
                          <w:marLeft w:val="0"/>
                          <w:marRight w:val="0"/>
                          <w:marTop w:val="0"/>
                          <w:marBottom w:val="0"/>
                          <w:divBdr>
                            <w:top w:val="none" w:sz="0" w:space="0" w:color="auto"/>
                            <w:left w:val="none" w:sz="0" w:space="0" w:color="auto"/>
                            <w:bottom w:val="none" w:sz="0" w:space="0" w:color="auto"/>
                            <w:right w:val="none" w:sz="0" w:space="0" w:color="auto"/>
                          </w:divBdr>
                          <w:divsChild>
                            <w:div w:id="714741020">
                              <w:marLeft w:val="0"/>
                              <w:marRight w:val="0"/>
                              <w:marTop w:val="0"/>
                              <w:marBottom w:val="0"/>
                              <w:divBdr>
                                <w:top w:val="none" w:sz="0" w:space="0" w:color="auto"/>
                                <w:left w:val="none" w:sz="0" w:space="0" w:color="auto"/>
                                <w:bottom w:val="none" w:sz="0" w:space="0" w:color="auto"/>
                                <w:right w:val="none" w:sz="0" w:space="0" w:color="auto"/>
                              </w:divBdr>
                              <w:divsChild>
                                <w:div w:id="1536428360">
                                  <w:marLeft w:val="0"/>
                                  <w:marRight w:val="0"/>
                                  <w:marTop w:val="0"/>
                                  <w:marBottom w:val="0"/>
                                  <w:divBdr>
                                    <w:top w:val="single" w:sz="2" w:space="0" w:color="DFDFDF"/>
                                    <w:left w:val="single" w:sz="2" w:space="0" w:color="DFDFDF"/>
                                    <w:bottom w:val="single" w:sz="2" w:space="0" w:color="DFDFDF"/>
                                    <w:right w:val="single" w:sz="2" w:space="0" w:color="DFDFDF"/>
                                  </w:divBdr>
                                  <w:divsChild>
                                    <w:div w:id="1232346727">
                                      <w:marLeft w:val="-90"/>
                                      <w:marRight w:val="0"/>
                                      <w:marTop w:val="0"/>
                                      <w:marBottom w:val="0"/>
                                      <w:divBdr>
                                        <w:top w:val="none" w:sz="0" w:space="0" w:color="auto"/>
                                        <w:left w:val="none" w:sz="0" w:space="0" w:color="auto"/>
                                        <w:bottom w:val="none" w:sz="0" w:space="0" w:color="auto"/>
                                        <w:right w:val="none" w:sz="0" w:space="0" w:color="auto"/>
                                      </w:divBdr>
                                      <w:divsChild>
                                        <w:div w:id="1717388952">
                                          <w:marLeft w:val="0"/>
                                          <w:marRight w:val="0"/>
                                          <w:marTop w:val="0"/>
                                          <w:marBottom w:val="45"/>
                                          <w:divBdr>
                                            <w:top w:val="single" w:sz="2" w:space="0" w:color="A9A9A9"/>
                                            <w:left w:val="single" w:sz="2" w:space="0" w:color="A9A9A9"/>
                                            <w:bottom w:val="single" w:sz="2" w:space="0" w:color="A9A9A9"/>
                                            <w:right w:val="single" w:sz="2" w:space="0" w:color="A9A9A9"/>
                                          </w:divBdr>
                                          <w:divsChild>
                                            <w:div w:id="116993353">
                                              <w:marLeft w:val="0"/>
                                              <w:marRight w:val="0"/>
                                              <w:marTop w:val="0"/>
                                              <w:marBottom w:val="0"/>
                                              <w:divBdr>
                                                <w:top w:val="none" w:sz="0" w:space="0" w:color="auto"/>
                                                <w:left w:val="none" w:sz="0" w:space="0" w:color="auto"/>
                                                <w:bottom w:val="none" w:sz="0" w:space="0" w:color="auto"/>
                                                <w:right w:val="none" w:sz="0" w:space="0" w:color="auto"/>
                                              </w:divBdr>
                                              <w:divsChild>
                                                <w:div w:id="192302731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859079349">
                                      <w:marLeft w:val="0"/>
                                      <w:marRight w:val="0"/>
                                      <w:marTop w:val="0"/>
                                      <w:marBottom w:val="270"/>
                                      <w:divBdr>
                                        <w:top w:val="none" w:sz="0" w:space="0" w:color="auto"/>
                                        <w:left w:val="none" w:sz="0" w:space="0" w:color="auto"/>
                                        <w:bottom w:val="single" w:sz="12" w:space="5" w:color="DADADA"/>
                                        <w:right w:val="none" w:sz="0" w:space="0" w:color="auto"/>
                                      </w:divBdr>
                                      <w:divsChild>
                                        <w:div w:id="88264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3484079">
          <w:marLeft w:val="0"/>
          <w:marRight w:val="0"/>
          <w:marTop w:val="0"/>
          <w:marBottom w:val="0"/>
          <w:divBdr>
            <w:top w:val="none" w:sz="0" w:space="0" w:color="auto"/>
            <w:left w:val="none" w:sz="0" w:space="0" w:color="auto"/>
            <w:bottom w:val="none" w:sz="0" w:space="0" w:color="auto"/>
            <w:right w:val="none" w:sz="0" w:space="0" w:color="auto"/>
          </w:divBdr>
          <w:divsChild>
            <w:div w:id="518356238">
              <w:marLeft w:val="0"/>
              <w:marRight w:val="0"/>
              <w:marTop w:val="0"/>
              <w:marBottom w:val="300"/>
              <w:divBdr>
                <w:top w:val="none" w:sz="0" w:space="0" w:color="auto"/>
                <w:left w:val="none" w:sz="0" w:space="0" w:color="auto"/>
                <w:bottom w:val="single" w:sz="6" w:space="0" w:color="F1F1F1"/>
                <w:right w:val="none" w:sz="0" w:space="0" w:color="auto"/>
              </w:divBdr>
              <w:divsChild>
                <w:div w:id="10951255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88251054">
      <w:bodyDiv w:val="1"/>
      <w:marLeft w:val="0"/>
      <w:marRight w:val="0"/>
      <w:marTop w:val="0"/>
      <w:marBottom w:val="0"/>
      <w:divBdr>
        <w:top w:val="none" w:sz="0" w:space="0" w:color="auto"/>
        <w:left w:val="none" w:sz="0" w:space="0" w:color="auto"/>
        <w:bottom w:val="none" w:sz="0" w:space="0" w:color="auto"/>
        <w:right w:val="none" w:sz="0" w:space="0" w:color="auto"/>
      </w:divBdr>
    </w:div>
    <w:div w:id="488399205">
      <w:bodyDiv w:val="1"/>
      <w:marLeft w:val="0"/>
      <w:marRight w:val="0"/>
      <w:marTop w:val="0"/>
      <w:marBottom w:val="0"/>
      <w:divBdr>
        <w:top w:val="none" w:sz="0" w:space="0" w:color="auto"/>
        <w:left w:val="none" w:sz="0" w:space="0" w:color="auto"/>
        <w:bottom w:val="none" w:sz="0" w:space="0" w:color="auto"/>
        <w:right w:val="none" w:sz="0" w:space="0" w:color="auto"/>
      </w:divBdr>
      <w:divsChild>
        <w:div w:id="2010254441">
          <w:marLeft w:val="0"/>
          <w:marRight w:val="0"/>
          <w:marTop w:val="0"/>
          <w:marBottom w:val="0"/>
          <w:divBdr>
            <w:top w:val="none" w:sz="0" w:space="0" w:color="auto"/>
            <w:left w:val="none" w:sz="0" w:space="0" w:color="auto"/>
            <w:bottom w:val="dotted" w:sz="6" w:space="4" w:color="DDDDDD"/>
            <w:right w:val="none" w:sz="0" w:space="0" w:color="auto"/>
          </w:divBdr>
          <w:divsChild>
            <w:div w:id="6391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785490">
      <w:bodyDiv w:val="1"/>
      <w:marLeft w:val="0"/>
      <w:marRight w:val="0"/>
      <w:marTop w:val="0"/>
      <w:marBottom w:val="0"/>
      <w:divBdr>
        <w:top w:val="none" w:sz="0" w:space="0" w:color="auto"/>
        <w:left w:val="none" w:sz="0" w:space="0" w:color="auto"/>
        <w:bottom w:val="none" w:sz="0" w:space="0" w:color="auto"/>
        <w:right w:val="none" w:sz="0" w:space="0" w:color="auto"/>
      </w:divBdr>
    </w:div>
    <w:div w:id="489030508">
      <w:bodyDiv w:val="1"/>
      <w:marLeft w:val="0"/>
      <w:marRight w:val="0"/>
      <w:marTop w:val="0"/>
      <w:marBottom w:val="0"/>
      <w:divBdr>
        <w:top w:val="none" w:sz="0" w:space="0" w:color="auto"/>
        <w:left w:val="none" w:sz="0" w:space="0" w:color="auto"/>
        <w:bottom w:val="none" w:sz="0" w:space="0" w:color="auto"/>
        <w:right w:val="none" w:sz="0" w:space="0" w:color="auto"/>
      </w:divBdr>
      <w:divsChild>
        <w:div w:id="1841584101">
          <w:marLeft w:val="0"/>
          <w:marRight w:val="0"/>
          <w:marTop w:val="0"/>
          <w:marBottom w:val="0"/>
          <w:divBdr>
            <w:top w:val="none" w:sz="0" w:space="0" w:color="auto"/>
            <w:left w:val="none" w:sz="0" w:space="0" w:color="auto"/>
            <w:bottom w:val="none" w:sz="0" w:space="0" w:color="auto"/>
            <w:right w:val="none" w:sz="0" w:space="0" w:color="auto"/>
          </w:divBdr>
          <w:divsChild>
            <w:div w:id="1618484372">
              <w:marLeft w:val="0"/>
              <w:marRight w:val="0"/>
              <w:marTop w:val="0"/>
              <w:marBottom w:val="0"/>
              <w:divBdr>
                <w:top w:val="none" w:sz="0" w:space="0" w:color="auto"/>
                <w:left w:val="none" w:sz="0" w:space="0" w:color="auto"/>
                <w:bottom w:val="none" w:sz="0" w:space="0" w:color="auto"/>
                <w:right w:val="none" w:sz="0" w:space="0" w:color="auto"/>
              </w:divBdr>
              <w:divsChild>
                <w:div w:id="592276340">
                  <w:marLeft w:val="0"/>
                  <w:marRight w:val="0"/>
                  <w:marTop w:val="0"/>
                  <w:marBottom w:val="0"/>
                  <w:divBdr>
                    <w:top w:val="none" w:sz="0" w:space="0" w:color="auto"/>
                    <w:left w:val="none" w:sz="0" w:space="0" w:color="auto"/>
                    <w:bottom w:val="none" w:sz="0" w:space="0" w:color="auto"/>
                    <w:right w:val="none" w:sz="0" w:space="0" w:color="auto"/>
                  </w:divBdr>
                  <w:divsChild>
                    <w:div w:id="555505341">
                      <w:marLeft w:val="0"/>
                      <w:marRight w:val="0"/>
                      <w:marTop w:val="0"/>
                      <w:marBottom w:val="0"/>
                      <w:divBdr>
                        <w:top w:val="none" w:sz="0" w:space="0" w:color="auto"/>
                        <w:left w:val="none" w:sz="0" w:space="0" w:color="auto"/>
                        <w:bottom w:val="none" w:sz="0" w:space="0" w:color="auto"/>
                        <w:right w:val="none" w:sz="0" w:space="0" w:color="auto"/>
                      </w:divBdr>
                      <w:divsChild>
                        <w:div w:id="139461580">
                          <w:marLeft w:val="0"/>
                          <w:marRight w:val="0"/>
                          <w:marTop w:val="0"/>
                          <w:marBottom w:val="0"/>
                          <w:divBdr>
                            <w:top w:val="none" w:sz="0" w:space="0" w:color="auto"/>
                            <w:left w:val="none" w:sz="0" w:space="0" w:color="auto"/>
                            <w:bottom w:val="none" w:sz="0" w:space="0" w:color="auto"/>
                            <w:right w:val="none" w:sz="0" w:space="0" w:color="auto"/>
                          </w:divBdr>
                          <w:divsChild>
                            <w:div w:id="572083686">
                              <w:marLeft w:val="0"/>
                              <w:marRight w:val="0"/>
                              <w:marTop w:val="0"/>
                              <w:marBottom w:val="0"/>
                              <w:divBdr>
                                <w:top w:val="none" w:sz="0" w:space="0" w:color="auto"/>
                                <w:left w:val="none" w:sz="0" w:space="0" w:color="auto"/>
                                <w:bottom w:val="none" w:sz="0" w:space="0" w:color="auto"/>
                                <w:right w:val="none" w:sz="0" w:space="0" w:color="auto"/>
                              </w:divBdr>
                              <w:divsChild>
                                <w:div w:id="177343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0021332">
      <w:bodyDiv w:val="1"/>
      <w:marLeft w:val="0"/>
      <w:marRight w:val="0"/>
      <w:marTop w:val="0"/>
      <w:marBottom w:val="0"/>
      <w:divBdr>
        <w:top w:val="none" w:sz="0" w:space="0" w:color="auto"/>
        <w:left w:val="none" w:sz="0" w:space="0" w:color="auto"/>
        <w:bottom w:val="none" w:sz="0" w:space="0" w:color="auto"/>
        <w:right w:val="none" w:sz="0" w:space="0" w:color="auto"/>
      </w:divBdr>
    </w:div>
    <w:div w:id="490025522">
      <w:bodyDiv w:val="1"/>
      <w:marLeft w:val="0"/>
      <w:marRight w:val="0"/>
      <w:marTop w:val="0"/>
      <w:marBottom w:val="0"/>
      <w:divBdr>
        <w:top w:val="none" w:sz="0" w:space="0" w:color="auto"/>
        <w:left w:val="none" w:sz="0" w:space="0" w:color="auto"/>
        <w:bottom w:val="none" w:sz="0" w:space="0" w:color="auto"/>
        <w:right w:val="none" w:sz="0" w:space="0" w:color="auto"/>
      </w:divBdr>
      <w:divsChild>
        <w:div w:id="497887162">
          <w:marLeft w:val="0"/>
          <w:marRight w:val="0"/>
          <w:marTop w:val="0"/>
          <w:marBottom w:val="0"/>
          <w:divBdr>
            <w:top w:val="none" w:sz="0" w:space="8" w:color="auto"/>
            <w:left w:val="none" w:sz="0" w:space="2" w:color="auto"/>
            <w:bottom w:val="single" w:sz="6" w:space="8" w:color="DDDDDD"/>
            <w:right w:val="none" w:sz="0" w:space="0" w:color="auto"/>
          </w:divBdr>
        </w:div>
        <w:div w:id="785585197">
          <w:marLeft w:val="0"/>
          <w:marRight w:val="0"/>
          <w:marTop w:val="150"/>
          <w:marBottom w:val="0"/>
          <w:divBdr>
            <w:top w:val="none" w:sz="0" w:space="0" w:color="auto"/>
            <w:left w:val="none" w:sz="0" w:space="0" w:color="auto"/>
            <w:bottom w:val="none" w:sz="0" w:space="0" w:color="auto"/>
            <w:right w:val="none" w:sz="0" w:space="0" w:color="auto"/>
          </w:divBdr>
          <w:divsChild>
            <w:div w:id="52043337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490101913">
      <w:bodyDiv w:val="1"/>
      <w:marLeft w:val="0"/>
      <w:marRight w:val="0"/>
      <w:marTop w:val="0"/>
      <w:marBottom w:val="0"/>
      <w:divBdr>
        <w:top w:val="none" w:sz="0" w:space="0" w:color="auto"/>
        <w:left w:val="none" w:sz="0" w:space="0" w:color="auto"/>
        <w:bottom w:val="none" w:sz="0" w:space="0" w:color="auto"/>
        <w:right w:val="none" w:sz="0" w:space="0" w:color="auto"/>
      </w:divBdr>
    </w:div>
    <w:div w:id="490483977">
      <w:bodyDiv w:val="1"/>
      <w:marLeft w:val="0"/>
      <w:marRight w:val="0"/>
      <w:marTop w:val="0"/>
      <w:marBottom w:val="0"/>
      <w:divBdr>
        <w:top w:val="none" w:sz="0" w:space="0" w:color="auto"/>
        <w:left w:val="none" w:sz="0" w:space="0" w:color="auto"/>
        <w:bottom w:val="none" w:sz="0" w:space="0" w:color="auto"/>
        <w:right w:val="none" w:sz="0" w:space="0" w:color="auto"/>
      </w:divBdr>
      <w:divsChild>
        <w:div w:id="1962110440">
          <w:marLeft w:val="0"/>
          <w:marRight w:val="0"/>
          <w:marTop w:val="0"/>
          <w:marBottom w:val="150"/>
          <w:divBdr>
            <w:top w:val="none" w:sz="0" w:space="0" w:color="auto"/>
            <w:left w:val="none" w:sz="0" w:space="0" w:color="auto"/>
            <w:bottom w:val="none" w:sz="0" w:space="0" w:color="auto"/>
            <w:right w:val="none" w:sz="0" w:space="0" w:color="auto"/>
          </w:divBdr>
          <w:divsChild>
            <w:div w:id="723523455">
              <w:marLeft w:val="0"/>
              <w:marRight w:val="0"/>
              <w:marTop w:val="0"/>
              <w:marBottom w:val="0"/>
              <w:divBdr>
                <w:top w:val="none" w:sz="0" w:space="0" w:color="auto"/>
                <w:left w:val="none" w:sz="0" w:space="0" w:color="auto"/>
                <w:bottom w:val="none" w:sz="0" w:space="0" w:color="auto"/>
                <w:right w:val="none" w:sz="0" w:space="0" w:color="auto"/>
              </w:divBdr>
              <w:divsChild>
                <w:div w:id="178645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66941">
          <w:marLeft w:val="0"/>
          <w:marRight w:val="0"/>
          <w:marTop w:val="0"/>
          <w:marBottom w:val="0"/>
          <w:divBdr>
            <w:top w:val="none" w:sz="0" w:space="0" w:color="auto"/>
            <w:left w:val="none" w:sz="0" w:space="0" w:color="auto"/>
            <w:bottom w:val="none" w:sz="0" w:space="0" w:color="auto"/>
            <w:right w:val="none" w:sz="0" w:space="0" w:color="auto"/>
          </w:divBdr>
          <w:divsChild>
            <w:div w:id="858858842">
              <w:marLeft w:val="0"/>
              <w:marRight w:val="0"/>
              <w:marTop w:val="0"/>
              <w:marBottom w:val="0"/>
              <w:divBdr>
                <w:top w:val="none" w:sz="0" w:space="0" w:color="auto"/>
                <w:left w:val="none" w:sz="0" w:space="0" w:color="auto"/>
                <w:bottom w:val="none" w:sz="0" w:space="0" w:color="auto"/>
                <w:right w:val="none" w:sz="0" w:space="0" w:color="auto"/>
              </w:divBdr>
              <w:divsChild>
                <w:div w:id="1438865942">
                  <w:marLeft w:val="0"/>
                  <w:marRight w:val="0"/>
                  <w:marTop w:val="225"/>
                  <w:marBottom w:val="225"/>
                  <w:divBdr>
                    <w:top w:val="none" w:sz="0" w:space="0" w:color="auto"/>
                    <w:left w:val="none" w:sz="0" w:space="0" w:color="auto"/>
                    <w:bottom w:val="none" w:sz="0" w:space="0" w:color="auto"/>
                    <w:right w:val="none" w:sz="0" w:space="0" w:color="auto"/>
                  </w:divBdr>
                </w:div>
              </w:divsChild>
            </w:div>
            <w:div w:id="19424520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90752396">
      <w:bodyDiv w:val="1"/>
      <w:marLeft w:val="0"/>
      <w:marRight w:val="0"/>
      <w:marTop w:val="0"/>
      <w:marBottom w:val="0"/>
      <w:divBdr>
        <w:top w:val="none" w:sz="0" w:space="0" w:color="auto"/>
        <w:left w:val="none" w:sz="0" w:space="0" w:color="auto"/>
        <w:bottom w:val="none" w:sz="0" w:space="0" w:color="auto"/>
        <w:right w:val="none" w:sz="0" w:space="0" w:color="auto"/>
      </w:divBdr>
      <w:divsChild>
        <w:div w:id="782387392">
          <w:marLeft w:val="0"/>
          <w:marRight w:val="0"/>
          <w:marTop w:val="0"/>
          <w:marBottom w:val="0"/>
          <w:divBdr>
            <w:top w:val="none" w:sz="0" w:space="0" w:color="auto"/>
            <w:left w:val="none" w:sz="0" w:space="0" w:color="auto"/>
            <w:bottom w:val="none" w:sz="0" w:space="0" w:color="auto"/>
            <w:right w:val="none" w:sz="0" w:space="0" w:color="auto"/>
          </w:divBdr>
          <w:divsChild>
            <w:div w:id="3408185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90755415">
      <w:bodyDiv w:val="1"/>
      <w:marLeft w:val="0"/>
      <w:marRight w:val="0"/>
      <w:marTop w:val="0"/>
      <w:marBottom w:val="0"/>
      <w:divBdr>
        <w:top w:val="none" w:sz="0" w:space="0" w:color="auto"/>
        <w:left w:val="none" w:sz="0" w:space="0" w:color="auto"/>
        <w:bottom w:val="none" w:sz="0" w:space="0" w:color="auto"/>
        <w:right w:val="none" w:sz="0" w:space="0" w:color="auto"/>
      </w:divBdr>
      <w:divsChild>
        <w:div w:id="64686604">
          <w:marLeft w:val="0"/>
          <w:marRight w:val="0"/>
          <w:marTop w:val="0"/>
          <w:marBottom w:val="150"/>
          <w:divBdr>
            <w:top w:val="none" w:sz="0" w:space="0" w:color="auto"/>
            <w:left w:val="none" w:sz="0" w:space="0" w:color="auto"/>
            <w:bottom w:val="none" w:sz="0" w:space="0" w:color="auto"/>
            <w:right w:val="none" w:sz="0" w:space="0" w:color="auto"/>
          </w:divBdr>
          <w:divsChild>
            <w:div w:id="1306739019">
              <w:marLeft w:val="0"/>
              <w:marRight w:val="0"/>
              <w:marTop w:val="0"/>
              <w:marBottom w:val="0"/>
              <w:divBdr>
                <w:top w:val="none" w:sz="0" w:space="0" w:color="auto"/>
                <w:left w:val="none" w:sz="0" w:space="0" w:color="auto"/>
                <w:bottom w:val="none" w:sz="0" w:space="0" w:color="auto"/>
                <w:right w:val="none" w:sz="0" w:space="0" w:color="auto"/>
              </w:divBdr>
            </w:div>
          </w:divsChild>
        </w:div>
        <w:div w:id="208077738">
          <w:marLeft w:val="0"/>
          <w:marRight w:val="0"/>
          <w:marTop w:val="0"/>
          <w:marBottom w:val="0"/>
          <w:divBdr>
            <w:top w:val="none" w:sz="0" w:space="0" w:color="auto"/>
            <w:left w:val="none" w:sz="0" w:space="0" w:color="auto"/>
            <w:bottom w:val="none" w:sz="0" w:space="0" w:color="auto"/>
            <w:right w:val="none" w:sz="0" w:space="0" w:color="auto"/>
          </w:divBdr>
          <w:divsChild>
            <w:div w:id="1397169828">
              <w:marLeft w:val="0"/>
              <w:marRight w:val="0"/>
              <w:marTop w:val="0"/>
              <w:marBottom w:val="0"/>
              <w:divBdr>
                <w:top w:val="none" w:sz="0" w:space="0" w:color="auto"/>
                <w:left w:val="none" w:sz="0" w:space="0" w:color="auto"/>
                <w:bottom w:val="none" w:sz="0" w:space="0" w:color="auto"/>
                <w:right w:val="none" w:sz="0" w:space="0" w:color="auto"/>
              </w:divBdr>
            </w:div>
          </w:divsChild>
        </w:div>
        <w:div w:id="2008439118">
          <w:marLeft w:val="0"/>
          <w:marRight w:val="0"/>
          <w:marTop w:val="0"/>
          <w:marBottom w:val="150"/>
          <w:divBdr>
            <w:top w:val="none" w:sz="0" w:space="0" w:color="auto"/>
            <w:left w:val="none" w:sz="0" w:space="0" w:color="auto"/>
            <w:bottom w:val="none" w:sz="0" w:space="0" w:color="auto"/>
            <w:right w:val="none" w:sz="0" w:space="0" w:color="auto"/>
          </w:divBdr>
        </w:div>
      </w:divsChild>
    </w:div>
    <w:div w:id="491218278">
      <w:bodyDiv w:val="1"/>
      <w:marLeft w:val="0"/>
      <w:marRight w:val="0"/>
      <w:marTop w:val="0"/>
      <w:marBottom w:val="0"/>
      <w:divBdr>
        <w:top w:val="none" w:sz="0" w:space="0" w:color="auto"/>
        <w:left w:val="none" w:sz="0" w:space="0" w:color="auto"/>
        <w:bottom w:val="none" w:sz="0" w:space="0" w:color="auto"/>
        <w:right w:val="none" w:sz="0" w:space="0" w:color="auto"/>
      </w:divBdr>
    </w:div>
    <w:div w:id="491336384">
      <w:bodyDiv w:val="1"/>
      <w:marLeft w:val="0"/>
      <w:marRight w:val="0"/>
      <w:marTop w:val="0"/>
      <w:marBottom w:val="0"/>
      <w:divBdr>
        <w:top w:val="none" w:sz="0" w:space="0" w:color="auto"/>
        <w:left w:val="none" w:sz="0" w:space="0" w:color="auto"/>
        <w:bottom w:val="none" w:sz="0" w:space="0" w:color="auto"/>
        <w:right w:val="none" w:sz="0" w:space="0" w:color="auto"/>
      </w:divBdr>
      <w:divsChild>
        <w:div w:id="1638218860">
          <w:marLeft w:val="0"/>
          <w:marRight w:val="0"/>
          <w:marTop w:val="0"/>
          <w:marBottom w:val="0"/>
          <w:divBdr>
            <w:top w:val="none" w:sz="0" w:space="0" w:color="auto"/>
            <w:left w:val="none" w:sz="0" w:space="0" w:color="auto"/>
            <w:bottom w:val="none" w:sz="0" w:space="0" w:color="auto"/>
            <w:right w:val="none" w:sz="0" w:space="0" w:color="auto"/>
          </w:divBdr>
        </w:div>
      </w:divsChild>
    </w:div>
    <w:div w:id="492067400">
      <w:bodyDiv w:val="1"/>
      <w:marLeft w:val="0"/>
      <w:marRight w:val="0"/>
      <w:marTop w:val="0"/>
      <w:marBottom w:val="0"/>
      <w:divBdr>
        <w:top w:val="none" w:sz="0" w:space="0" w:color="auto"/>
        <w:left w:val="none" w:sz="0" w:space="0" w:color="auto"/>
        <w:bottom w:val="none" w:sz="0" w:space="0" w:color="auto"/>
        <w:right w:val="none" w:sz="0" w:space="0" w:color="auto"/>
      </w:divBdr>
      <w:divsChild>
        <w:div w:id="559094006">
          <w:marLeft w:val="0"/>
          <w:marRight w:val="0"/>
          <w:marTop w:val="0"/>
          <w:marBottom w:val="0"/>
          <w:divBdr>
            <w:top w:val="none" w:sz="0" w:space="0" w:color="auto"/>
            <w:left w:val="none" w:sz="0" w:space="0" w:color="auto"/>
            <w:bottom w:val="none" w:sz="0" w:space="0" w:color="auto"/>
            <w:right w:val="none" w:sz="0" w:space="0" w:color="auto"/>
          </w:divBdr>
          <w:divsChild>
            <w:div w:id="833107893">
              <w:marLeft w:val="0"/>
              <w:marRight w:val="0"/>
              <w:marTop w:val="225"/>
              <w:marBottom w:val="225"/>
              <w:divBdr>
                <w:top w:val="none" w:sz="0" w:space="0" w:color="auto"/>
                <w:left w:val="none" w:sz="0" w:space="0" w:color="auto"/>
                <w:bottom w:val="none" w:sz="0" w:space="0" w:color="auto"/>
                <w:right w:val="none" w:sz="0" w:space="0" w:color="auto"/>
              </w:divBdr>
            </w:div>
          </w:divsChild>
        </w:div>
        <w:div w:id="1302269325">
          <w:marLeft w:val="0"/>
          <w:marRight w:val="0"/>
          <w:marTop w:val="0"/>
          <w:marBottom w:val="150"/>
          <w:divBdr>
            <w:top w:val="none" w:sz="0" w:space="0" w:color="auto"/>
            <w:left w:val="none" w:sz="0" w:space="0" w:color="auto"/>
            <w:bottom w:val="none" w:sz="0" w:space="0" w:color="auto"/>
            <w:right w:val="none" w:sz="0" w:space="0" w:color="auto"/>
          </w:divBdr>
          <w:divsChild>
            <w:div w:id="1837112461">
              <w:marLeft w:val="0"/>
              <w:marRight w:val="0"/>
              <w:marTop w:val="0"/>
              <w:marBottom w:val="0"/>
              <w:divBdr>
                <w:top w:val="none" w:sz="0" w:space="0" w:color="auto"/>
                <w:left w:val="none" w:sz="0" w:space="0" w:color="auto"/>
                <w:bottom w:val="none" w:sz="0" w:space="0" w:color="auto"/>
                <w:right w:val="none" w:sz="0" w:space="0" w:color="auto"/>
              </w:divBdr>
              <w:divsChild>
                <w:div w:id="87099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033203">
          <w:marLeft w:val="0"/>
          <w:marRight w:val="0"/>
          <w:marTop w:val="0"/>
          <w:marBottom w:val="150"/>
          <w:divBdr>
            <w:top w:val="none" w:sz="0" w:space="0" w:color="auto"/>
            <w:left w:val="none" w:sz="0" w:space="0" w:color="auto"/>
            <w:bottom w:val="none" w:sz="0" w:space="0" w:color="auto"/>
            <w:right w:val="none" w:sz="0" w:space="0" w:color="auto"/>
          </w:divBdr>
        </w:div>
      </w:divsChild>
    </w:div>
    <w:div w:id="493104274">
      <w:bodyDiv w:val="1"/>
      <w:marLeft w:val="0"/>
      <w:marRight w:val="0"/>
      <w:marTop w:val="0"/>
      <w:marBottom w:val="0"/>
      <w:divBdr>
        <w:top w:val="none" w:sz="0" w:space="0" w:color="auto"/>
        <w:left w:val="none" w:sz="0" w:space="0" w:color="auto"/>
        <w:bottom w:val="none" w:sz="0" w:space="0" w:color="auto"/>
        <w:right w:val="none" w:sz="0" w:space="0" w:color="auto"/>
      </w:divBdr>
      <w:divsChild>
        <w:div w:id="1291471811">
          <w:marLeft w:val="0"/>
          <w:marRight w:val="0"/>
          <w:marTop w:val="0"/>
          <w:marBottom w:val="225"/>
          <w:divBdr>
            <w:top w:val="none" w:sz="0" w:space="0" w:color="auto"/>
            <w:left w:val="none" w:sz="0" w:space="0" w:color="auto"/>
            <w:bottom w:val="none" w:sz="0" w:space="0" w:color="auto"/>
            <w:right w:val="none" w:sz="0" w:space="0" w:color="auto"/>
          </w:divBdr>
        </w:div>
        <w:div w:id="1665818585">
          <w:marLeft w:val="0"/>
          <w:marRight w:val="0"/>
          <w:marTop w:val="0"/>
          <w:marBottom w:val="225"/>
          <w:divBdr>
            <w:top w:val="none" w:sz="0" w:space="0" w:color="auto"/>
            <w:left w:val="none" w:sz="0" w:space="0" w:color="auto"/>
            <w:bottom w:val="none" w:sz="0" w:space="0" w:color="auto"/>
            <w:right w:val="none" w:sz="0" w:space="0" w:color="auto"/>
          </w:divBdr>
          <w:divsChild>
            <w:div w:id="216555172">
              <w:marLeft w:val="0"/>
              <w:marRight w:val="0"/>
              <w:marTop w:val="0"/>
              <w:marBottom w:val="0"/>
              <w:divBdr>
                <w:top w:val="none" w:sz="0" w:space="0" w:color="auto"/>
                <w:left w:val="none" w:sz="0" w:space="0" w:color="auto"/>
                <w:bottom w:val="none" w:sz="0" w:space="0" w:color="auto"/>
                <w:right w:val="none" w:sz="0" w:space="0" w:color="auto"/>
              </w:divBdr>
              <w:divsChild>
                <w:div w:id="38903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187292">
      <w:bodyDiv w:val="1"/>
      <w:marLeft w:val="0"/>
      <w:marRight w:val="0"/>
      <w:marTop w:val="0"/>
      <w:marBottom w:val="0"/>
      <w:divBdr>
        <w:top w:val="none" w:sz="0" w:space="0" w:color="auto"/>
        <w:left w:val="none" w:sz="0" w:space="0" w:color="auto"/>
        <w:bottom w:val="none" w:sz="0" w:space="0" w:color="auto"/>
        <w:right w:val="none" w:sz="0" w:space="0" w:color="auto"/>
      </w:divBdr>
      <w:divsChild>
        <w:div w:id="1409419979">
          <w:marLeft w:val="0"/>
          <w:marRight w:val="0"/>
          <w:marTop w:val="0"/>
          <w:marBottom w:val="0"/>
          <w:divBdr>
            <w:top w:val="none" w:sz="0" w:space="0" w:color="auto"/>
            <w:left w:val="none" w:sz="0" w:space="0" w:color="auto"/>
            <w:bottom w:val="none" w:sz="0" w:space="0" w:color="auto"/>
            <w:right w:val="none" w:sz="0" w:space="0" w:color="auto"/>
          </w:divBdr>
        </w:div>
      </w:divsChild>
    </w:div>
    <w:div w:id="493230935">
      <w:bodyDiv w:val="1"/>
      <w:marLeft w:val="0"/>
      <w:marRight w:val="0"/>
      <w:marTop w:val="0"/>
      <w:marBottom w:val="0"/>
      <w:divBdr>
        <w:top w:val="none" w:sz="0" w:space="0" w:color="auto"/>
        <w:left w:val="none" w:sz="0" w:space="0" w:color="auto"/>
        <w:bottom w:val="none" w:sz="0" w:space="0" w:color="auto"/>
        <w:right w:val="none" w:sz="0" w:space="0" w:color="auto"/>
      </w:divBdr>
      <w:divsChild>
        <w:div w:id="1494952093">
          <w:marLeft w:val="0"/>
          <w:marRight w:val="0"/>
          <w:marTop w:val="0"/>
          <w:marBottom w:val="0"/>
          <w:divBdr>
            <w:top w:val="none" w:sz="0" w:space="0" w:color="auto"/>
            <w:left w:val="none" w:sz="0" w:space="0" w:color="auto"/>
            <w:bottom w:val="none" w:sz="0" w:space="0" w:color="auto"/>
            <w:right w:val="none" w:sz="0" w:space="0" w:color="auto"/>
          </w:divBdr>
          <w:divsChild>
            <w:div w:id="326641305">
              <w:marLeft w:val="0"/>
              <w:marRight w:val="0"/>
              <w:marTop w:val="0"/>
              <w:marBottom w:val="0"/>
              <w:divBdr>
                <w:top w:val="none" w:sz="0" w:space="0" w:color="auto"/>
                <w:left w:val="none" w:sz="0" w:space="0" w:color="auto"/>
                <w:bottom w:val="none" w:sz="0" w:space="0" w:color="auto"/>
                <w:right w:val="none" w:sz="0" w:space="0" w:color="auto"/>
              </w:divBdr>
              <w:divsChild>
                <w:div w:id="627932296">
                  <w:marLeft w:val="0"/>
                  <w:marRight w:val="0"/>
                  <w:marTop w:val="0"/>
                  <w:marBottom w:val="0"/>
                  <w:divBdr>
                    <w:top w:val="none" w:sz="0" w:space="0" w:color="auto"/>
                    <w:left w:val="none" w:sz="0" w:space="0" w:color="auto"/>
                    <w:bottom w:val="none" w:sz="0" w:space="0" w:color="auto"/>
                    <w:right w:val="none" w:sz="0" w:space="0" w:color="auto"/>
                  </w:divBdr>
                  <w:divsChild>
                    <w:div w:id="1115712260">
                      <w:marLeft w:val="0"/>
                      <w:marRight w:val="0"/>
                      <w:marTop w:val="0"/>
                      <w:marBottom w:val="0"/>
                      <w:divBdr>
                        <w:top w:val="none" w:sz="0" w:space="0" w:color="auto"/>
                        <w:left w:val="none" w:sz="0" w:space="0" w:color="auto"/>
                        <w:bottom w:val="none" w:sz="0" w:space="0" w:color="auto"/>
                        <w:right w:val="none" w:sz="0" w:space="0" w:color="auto"/>
                      </w:divBdr>
                      <w:divsChild>
                        <w:div w:id="1974476961">
                          <w:marLeft w:val="0"/>
                          <w:marRight w:val="0"/>
                          <w:marTop w:val="0"/>
                          <w:marBottom w:val="0"/>
                          <w:divBdr>
                            <w:top w:val="none" w:sz="0" w:space="0" w:color="auto"/>
                            <w:left w:val="none" w:sz="0" w:space="0" w:color="auto"/>
                            <w:bottom w:val="none" w:sz="0" w:space="0" w:color="auto"/>
                            <w:right w:val="none" w:sz="0" w:space="0" w:color="auto"/>
                          </w:divBdr>
                          <w:divsChild>
                            <w:div w:id="1617443614">
                              <w:marLeft w:val="0"/>
                              <w:marRight w:val="0"/>
                              <w:marTop w:val="0"/>
                              <w:marBottom w:val="0"/>
                              <w:divBdr>
                                <w:top w:val="none" w:sz="0" w:space="0" w:color="auto"/>
                                <w:left w:val="none" w:sz="0" w:space="0" w:color="auto"/>
                                <w:bottom w:val="none" w:sz="0" w:space="0" w:color="auto"/>
                                <w:right w:val="none" w:sz="0" w:space="0" w:color="auto"/>
                              </w:divBdr>
                              <w:divsChild>
                                <w:div w:id="331492101">
                                  <w:marLeft w:val="0"/>
                                  <w:marRight w:val="0"/>
                                  <w:marTop w:val="0"/>
                                  <w:marBottom w:val="0"/>
                                  <w:divBdr>
                                    <w:top w:val="none" w:sz="0" w:space="0" w:color="auto"/>
                                    <w:left w:val="none" w:sz="0" w:space="0" w:color="auto"/>
                                    <w:bottom w:val="none" w:sz="0" w:space="0" w:color="auto"/>
                                    <w:right w:val="none" w:sz="0" w:space="0" w:color="auto"/>
                                  </w:divBdr>
                                  <w:divsChild>
                                    <w:div w:id="41093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3306122">
      <w:bodyDiv w:val="1"/>
      <w:marLeft w:val="0"/>
      <w:marRight w:val="0"/>
      <w:marTop w:val="0"/>
      <w:marBottom w:val="0"/>
      <w:divBdr>
        <w:top w:val="none" w:sz="0" w:space="0" w:color="auto"/>
        <w:left w:val="none" w:sz="0" w:space="0" w:color="auto"/>
        <w:bottom w:val="none" w:sz="0" w:space="0" w:color="auto"/>
        <w:right w:val="none" w:sz="0" w:space="0" w:color="auto"/>
      </w:divBdr>
      <w:divsChild>
        <w:div w:id="723218314">
          <w:marLeft w:val="0"/>
          <w:marRight w:val="0"/>
          <w:marTop w:val="0"/>
          <w:marBottom w:val="0"/>
          <w:divBdr>
            <w:top w:val="none" w:sz="0" w:space="0" w:color="auto"/>
            <w:left w:val="none" w:sz="0" w:space="0" w:color="auto"/>
            <w:bottom w:val="none" w:sz="0" w:space="0" w:color="auto"/>
            <w:right w:val="none" w:sz="0" w:space="0" w:color="auto"/>
          </w:divBdr>
          <w:divsChild>
            <w:div w:id="268204929">
              <w:marLeft w:val="0"/>
              <w:marRight w:val="0"/>
              <w:marTop w:val="0"/>
              <w:marBottom w:val="0"/>
              <w:divBdr>
                <w:top w:val="none" w:sz="0" w:space="0" w:color="auto"/>
                <w:left w:val="none" w:sz="0" w:space="0" w:color="auto"/>
                <w:bottom w:val="none" w:sz="0" w:space="0" w:color="auto"/>
                <w:right w:val="none" w:sz="0" w:space="0" w:color="auto"/>
              </w:divBdr>
            </w:div>
            <w:div w:id="1093671352">
              <w:marLeft w:val="0"/>
              <w:marRight w:val="0"/>
              <w:marTop w:val="0"/>
              <w:marBottom w:val="150"/>
              <w:divBdr>
                <w:top w:val="none" w:sz="0" w:space="0" w:color="auto"/>
                <w:left w:val="none" w:sz="0" w:space="0" w:color="auto"/>
                <w:bottom w:val="none" w:sz="0" w:space="0" w:color="auto"/>
                <w:right w:val="none" w:sz="0" w:space="0" w:color="auto"/>
              </w:divBdr>
            </w:div>
          </w:divsChild>
        </w:div>
        <w:div w:id="1709406155">
          <w:marLeft w:val="0"/>
          <w:marRight w:val="0"/>
          <w:marTop w:val="0"/>
          <w:marBottom w:val="150"/>
          <w:divBdr>
            <w:top w:val="none" w:sz="0" w:space="0" w:color="auto"/>
            <w:left w:val="none" w:sz="0" w:space="0" w:color="auto"/>
            <w:bottom w:val="none" w:sz="0" w:space="0" w:color="auto"/>
            <w:right w:val="none" w:sz="0" w:space="0" w:color="auto"/>
          </w:divBdr>
          <w:divsChild>
            <w:div w:id="82971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640734">
      <w:bodyDiv w:val="1"/>
      <w:marLeft w:val="0"/>
      <w:marRight w:val="0"/>
      <w:marTop w:val="0"/>
      <w:marBottom w:val="0"/>
      <w:divBdr>
        <w:top w:val="none" w:sz="0" w:space="0" w:color="auto"/>
        <w:left w:val="none" w:sz="0" w:space="0" w:color="auto"/>
        <w:bottom w:val="none" w:sz="0" w:space="0" w:color="auto"/>
        <w:right w:val="none" w:sz="0" w:space="0" w:color="auto"/>
      </w:divBdr>
      <w:divsChild>
        <w:div w:id="487552960">
          <w:marLeft w:val="0"/>
          <w:marRight w:val="0"/>
          <w:marTop w:val="0"/>
          <w:marBottom w:val="0"/>
          <w:divBdr>
            <w:top w:val="none" w:sz="0" w:space="0" w:color="auto"/>
            <w:left w:val="none" w:sz="0" w:space="0" w:color="auto"/>
            <w:bottom w:val="none" w:sz="0" w:space="0" w:color="auto"/>
            <w:right w:val="none" w:sz="0" w:space="0" w:color="auto"/>
          </w:divBdr>
          <w:divsChild>
            <w:div w:id="15658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689943">
      <w:bodyDiv w:val="1"/>
      <w:marLeft w:val="0"/>
      <w:marRight w:val="0"/>
      <w:marTop w:val="0"/>
      <w:marBottom w:val="0"/>
      <w:divBdr>
        <w:top w:val="none" w:sz="0" w:space="0" w:color="auto"/>
        <w:left w:val="none" w:sz="0" w:space="0" w:color="auto"/>
        <w:bottom w:val="none" w:sz="0" w:space="0" w:color="auto"/>
        <w:right w:val="none" w:sz="0" w:space="0" w:color="auto"/>
      </w:divBdr>
      <w:divsChild>
        <w:div w:id="1957371213">
          <w:marLeft w:val="0"/>
          <w:marRight w:val="0"/>
          <w:marTop w:val="0"/>
          <w:marBottom w:val="0"/>
          <w:divBdr>
            <w:top w:val="none" w:sz="0" w:space="0" w:color="auto"/>
            <w:left w:val="none" w:sz="0" w:space="0" w:color="auto"/>
            <w:bottom w:val="none" w:sz="0" w:space="0" w:color="auto"/>
            <w:right w:val="none" w:sz="0" w:space="0" w:color="auto"/>
          </w:divBdr>
          <w:divsChild>
            <w:div w:id="437993139">
              <w:marLeft w:val="0"/>
              <w:marRight w:val="0"/>
              <w:marTop w:val="0"/>
              <w:marBottom w:val="0"/>
              <w:divBdr>
                <w:top w:val="none" w:sz="0" w:space="0" w:color="auto"/>
                <w:left w:val="none" w:sz="0" w:space="0" w:color="auto"/>
                <w:bottom w:val="none" w:sz="0" w:space="0" w:color="auto"/>
                <w:right w:val="none" w:sz="0" w:space="0" w:color="auto"/>
              </w:divBdr>
              <w:divsChild>
                <w:div w:id="245305065">
                  <w:marLeft w:val="0"/>
                  <w:marRight w:val="0"/>
                  <w:marTop w:val="0"/>
                  <w:marBottom w:val="0"/>
                  <w:divBdr>
                    <w:top w:val="none" w:sz="0" w:space="0" w:color="auto"/>
                    <w:left w:val="none" w:sz="0" w:space="0" w:color="auto"/>
                    <w:bottom w:val="none" w:sz="0" w:space="0" w:color="auto"/>
                    <w:right w:val="none" w:sz="0" w:space="0" w:color="auto"/>
                  </w:divBdr>
                  <w:divsChild>
                    <w:div w:id="262569166">
                      <w:marLeft w:val="0"/>
                      <w:marRight w:val="0"/>
                      <w:marTop w:val="0"/>
                      <w:marBottom w:val="0"/>
                      <w:divBdr>
                        <w:top w:val="none" w:sz="0" w:space="0" w:color="auto"/>
                        <w:left w:val="none" w:sz="0" w:space="0" w:color="auto"/>
                        <w:bottom w:val="none" w:sz="0" w:space="0" w:color="auto"/>
                        <w:right w:val="none" w:sz="0" w:space="0" w:color="auto"/>
                      </w:divBdr>
                      <w:divsChild>
                        <w:div w:id="81294171">
                          <w:marLeft w:val="0"/>
                          <w:marRight w:val="0"/>
                          <w:marTop w:val="0"/>
                          <w:marBottom w:val="0"/>
                          <w:divBdr>
                            <w:top w:val="none" w:sz="0" w:space="0" w:color="auto"/>
                            <w:left w:val="none" w:sz="0" w:space="0" w:color="auto"/>
                            <w:bottom w:val="none" w:sz="0" w:space="0" w:color="auto"/>
                            <w:right w:val="none" w:sz="0" w:space="0" w:color="auto"/>
                          </w:divBdr>
                          <w:divsChild>
                            <w:div w:id="2111000778">
                              <w:marLeft w:val="0"/>
                              <w:marRight w:val="0"/>
                              <w:marTop w:val="0"/>
                              <w:marBottom w:val="0"/>
                              <w:divBdr>
                                <w:top w:val="none" w:sz="0" w:space="0" w:color="auto"/>
                                <w:left w:val="none" w:sz="0" w:space="0" w:color="auto"/>
                                <w:bottom w:val="none" w:sz="0" w:space="0" w:color="auto"/>
                                <w:right w:val="none" w:sz="0" w:space="0" w:color="auto"/>
                              </w:divBdr>
                              <w:divsChild>
                                <w:div w:id="305739900">
                                  <w:marLeft w:val="0"/>
                                  <w:marRight w:val="0"/>
                                  <w:marTop w:val="0"/>
                                  <w:marBottom w:val="0"/>
                                  <w:divBdr>
                                    <w:top w:val="none" w:sz="0" w:space="0" w:color="auto"/>
                                    <w:left w:val="none" w:sz="0" w:space="0" w:color="auto"/>
                                    <w:bottom w:val="none" w:sz="0" w:space="0" w:color="auto"/>
                                    <w:right w:val="none" w:sz="0" w:space="0" w:color="auto"/>
                                  </w:divBdr>
                                  <w:divsChild>
                                    <w:div w:id="25953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3959567">
      <w:bodyDiv w:val="1"/>
      <w:marLeft w:val="0"/>
      <w:marRight w:val="0"/>
      <w:marTop w:val="0"/>
      <w:marBottom w:val="0"/>
      <w:divBdr>
        <w:top w:val="none" w:sz="0" w:space="0" w:color="auto"/>
        <w:left w:val="none" w:sz="0" w:space="0" w:color="auto"/>
        <w:bottom w:val="none" w:sz="0" w:space="0" w:color="auto"/>
        <w:right w:val="none" w:sz="0" w:space="0" w:color="auto"/>
      </w:divBdr>
      <w:divsChild>
        <w:div w:id="1037198287">
          <w:marLeft w:val="0"/>
          <w:marRight w:val="0"/>
          <w:marTop w:val="0"/>
          <w:marBottom w:val="0"/>
          <w:divBdr>
            <w:top w:val="none" w:sz="0" w:space="0" w:color="auto"/>
            <w:left w:val="none" w:sz="0" w:space="0" w:color="auto"/>
            <w:bottom w:val="none" w:sz="0" w:space="0" w:color="auto"/>
            <w:right w:val="none" w:sz="0" w:space="0" w:color="auto"/>
          </w:divBdr>
          <w:divsChild>
            <w:div w:id="405881015">
              <w:marLeft w:val="0"/>
              <w:marRight w:val="0"/>
              <w:marTop w:val="0"/>
              <w:marBottom w:val="0"/>
              <w:divBdr>
                <w:top w:val="none" w:sz="0" w:space="0" w:color="auto"/>
                <w:left w:val="none" w:sz="0" w:space="0" w:color="auto"/>
                <w:bottom w:val="none" w:sz="0" w:space="0" w:color="auto"/>
                <w:right w:val="none" w:sz="0" w:space="0" w:color="auto"/>
              </w:divBdr>
            </w:div>
          </w:divsChild>
        </w:div>
        <w:div w:id="1067992823">
          <w:marLeft w:val="0"/>
          <w:marRight w:val="0"/>
          <w:marTop w:val="150"/>
          <w:marBottom w:val="0"/>
          <w:divBdr>
            <w:top w:val="none" w:sz="0" w:space="0" w:color="auto"/>
            <w:left w:val="none" w:sz="0" w:space="0" w:color="auto"/>
            <w:bottom w:val="none" w:sz="0" w:space="0" w:color="auto"/>
            <w:right w:val="none" w:sz="0" w:space="0" w:color="auto"/>
          </w:divBdr>
          <w:divsChild>
            <w:div w:id="233321617">
              <w:marLeft w:val="0"/>
              <w:marRight w:val="0"/>
              <w:marTop w:val="0"/>
              <w:marBottom w:val="0"/>
              <w:divBdr>
                <w:top w:val="none" w:sz="0" w:space="0" w:color="auto"/>
                <w:left w:val="none" w:sz="0" w:space="0" w:color="auto"/>
                <w:bottom w:val="none" w:sz="0" w:space="0" w:color="auto"/>
                <w:right w:val="none" w:sz="0" w:space="0" w:color="auto"/>
              </w:divBdr>
              <w:divsChild>
                <w:div w:id="90290877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228633">
      <w:bodyDiv w:val="1"/>
      <w:marLeft w:val="0"/>
      <w:marRight w:val="0"/>
      <w:marTop w:val="0"/>
      <w:marBottom w:val="0"/>
      <w:divBdr>
        <w:top w:val="none" w:sz="0" w:space="0" w:color="auto"/>
        <w:left w:val="none" w:sz="0" w:space="0" w:color="auto"/>
        <w:bottom w:val="none" w:sz="0" w:space="0" w:color="auto"/>
        <w:right w:val="none" w:sz="0" w:space="0" w:color="auto"/>
      </w:divBdr>
      <w:divsChild>
        <w:div w:id="1549486152">
          <w:marLeft w:val="0"/>
          <w:marRight w:val="0"/>
          <w:marTop w:val="0"/>
          <w:marBottom w:val="0"/>
          <w:divBdr>
            <w:top w:val="none" w:sz="0" w:space="0" w:color="auto"/>
            <w:left w:val="none" w:sz="0" w:space="0" w:color="auto"/>
            <w:bottom w:val="none" w:sz="0" w:space="0" w:color="auto"/>
            <w:right w:val="none" w:sz="0" w:space="0" w:color="auto"/>
          </w:divBdr>
          <w:divsChild>
            <w:div w:id="137962581">
              <w:marLeft w:val="0"/>
              <w:marRight w:val="0"/>
              <w:marTop w:val="0"/>
              <w:marBottom w:val="0"/>
              <w:divBdr>
                <w:top w:val="none" w:sz="0" w:space="0" w:color="auto"/>
                <w:left w:val="none" w:sz="0" w:space="0" w:color="auto"/>
                <w:bottom w:val="none" w:sz="0" w:space="0" w:color="auto"/>
                <w:right w:val="none" w:sz="0" w:space="0" w:color="auto"/>
              </w:divBdr>
              <w:divsChild>
                <w:div w:id="6125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301360">
      <w:bodyDiv w:val="1"/>
      <w:marLeft w:val="0"/>
      <w:marRight w:val="0"/>
      <w:marTop w:val="0"/>
      <w:marBottom w:val="0"/>
      <w:divBdr>
        <w:top w:val="none" w:sz="0" w:space="0" w:color="auto"/>
        <w:left w:val="none" w:sz="0" w:space="0" w:color="auto"/>
        <w:bottom w:val="none" w:sz="0" w:space="0" w:color="auto"/>
        <w:right w:val="none" w:sz="0" w:space="0" w:color="auto"/>
      </w:divBdr>
      <w:divsChild>
        <w:div w:id="312953712">
          <w:marLeft w:val="0"/>
          <w:marRight w:val="0"/>
          <w:marTop w:val="0"/>
          <w:marBottom w:val="300"/>
          <w:divBdr>
            <w:top w:val="none" w:sz="0" w:space="0" w:color="auto"/>
            <w:left w:val="none" w:sz="0" w:space="0" w:color="auto"/>
            <w:bottom w:val="none" w:sz="0" w:space="0" w:color="auto"/>
            <w:right w:val="none" w:sz="0" w:space="0" w:color="auto"/>
          </w:divBdr>
          <w:divsChild>
            <w:div w:id="27461126">
              <w:marLeft w:val="0"/>
              <w:marRight w:val="0"/>
              <w:marTop w:val="0"/>
              <w:marBottom w:val="0"/>
              <w:divBdr>
                <w:top w:val="none" w:sz="0" w:space="0" w:color="auto"/>
                <w:left w:val="none" w:sz="0" w:space="0" w:color="auto"/>
                <w:bottom w:val="none" w:sz="0" w:space="0" w:color="auto"/>
                <w:right w:val="none" w:sz="0" w:space="0" w:color="auto"/>
              </w:divBdr>
              <w:divsChild>
                <w:div w:id="1860507136">
                  <w:marLeft w:val="0"/>
                  <w:marRight w:val="0"/>
                  <w:marTop w:val="0"/>
                  <w:marBottom w:val="0"/>
                  <w:divBdr>
                    <w:top w:val="none" w:sz="0" w:space="0" w:color="auto"/>
                    <w:left w:val="none" w:sz="0" w:space="0" w:color="auto"/>
                    <w:bottom w:val="none" w:sz="0" w:space="0" w:color="auto"/>
                    <w:right w:val="none" w:sz="0" w:space="0" w:color="auto"/>
                  </w:divBdr>
                  <w:divsChild>
                    <w:div w:id="1691568663">
                      <w:marLeft w:val="0"/>
                      <w:marRight w:val="0"/>
                      <w:marTop w:val="0"/>
                      <w:marBottom w:val="225"/>
                      <w:divBdr>
                        <w:top w:val="none" w:sz="0" w:space="0" w:color="2D2D2D"/>
                        <w:left w:val="none" w:sz="0" w:space="0" w:color="2D2D2D"/>
                        <w:bottom w:val="none" w:sz="0" w:space="0" w:color="2D2D2D"/>
                        <w:right w:val="none" w:sz="0" w:space="0" w:color="2D2D2D"/>
                      </w:divBdr>
                      <w:divsChild>
                        <w:div w:id="629288442">
                          <w:marLeft w:val="0"/>
                          <w:marRight w:val="0"/>
                          <w:marTop w:val="0"/>
                          <w:marBottom w:val="0"/>
                          <w:divBdr>
                            <w:top w:val="none" w:sz="0" w:space="0" w:color="auto"/>
                            <w:left w:val="none" w:sz="0" w:space="0" w:color="auto"/>
                            <w:bottom w:val="none" w:sz="0" w:space="0" w:color="auto"/>
                            <w:right w:val="none" w:sz="0" w:space="0" w:color="auto"/>
                          </w:divBdr>
                          <w:divsChild>
                            <w:div w:id="212291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4494284">
      <w:bodyDiv w:val="1"/>
      <w:marLeft w:val="0"/>
      <w:marRight w:val="0"/>
      <w:marTop w:val="0"/>
      <w:marBottom w:val="0"/>
      <w:divBdr>
        <w:top w:val="none" w:sz="0" w:space="0" w:color="auto"/>
        <w:left w:val="none" w:sz="0" w:space="0" w:color="auto"/>
        <w:bottom w:val="none" w:sz="0" w:space="0" w:color="auto"/>
        <w:right w:val="none" w:sz="0" w:space="0" w:color="auto"/>
      </w:divBdr>
      <w:divsChild>
        <w:div w:id="1900361278">
          <w:marLeft w:val="0"/>
          <w:marRight w:val="0"/>
          <w:marTop w:val="0"/>
          <w:marBottom w:val="0"/>
          <w:divBdr>
            <w:top w:val="none" w:sz="0" w:space="0" w:color="auto"/>
            <w:left w:val="none" w:sz="0" w:space="0" w:color="auto"/>
            <w:bottom w:val="none" w:sz="0" w:space="0" w:color="auto"/>
            <w:right w:val="none" w:sz="0" w:space="0" w:color="auto"/>
          </w:divBdr>
          <w:divsChild>
            <w:div w:id="310790726">
              <w:marLeft w:val="0"/>
              <w:marRight w:val="0"/>
              <w:marTop w:val="0"/>
              <w:marBottom w:val="0"/>
              <w:divBdr>
                <w:top w:val="none" w:sz="0" w:space="0" w:color="auto"/>
                <w:left w:val="none" w:sz="0" w:space="0" w:color="auto"/>
                <w:bottom w:val="none" w:sz="0" w:space="0" w:color="auto"/>
                <w:right w:val="none" w:sz="0" w:space="0" w:color="auto"/>
              </w:divBdr>
            </w:div>
          </w:divsChild>
        </w:div>
        <w:div w:id="1985161965">
          <w:marLeft w:val="0"/>
          <w:marRight w:val="0"/>
          <w:marTop w:val="0"/>
          <w:marBottom w:val="0"/>
          <w:divBdr>
            <w:top w:val="none" w:sz="0" w:space="0" w:color="auto"/>
            <w:left w:val="none" w:sz="0" w:space="0" w:color="auto"/>
            <w:bottom w:val="none" w:sz="0" w:space="0" w:color="auto"/>
            <w:right w:val="none" w:sz="0" w:space="0" w:color="auto"/>
          </w:divBdr>
        </w:div>
        <w:div w:id="710612981">
          <w:marLeft w:val="0"/>
          <w:marRight w:val="0"/>
          <w:marTop w:val="0"/>
          <w:marBottom w:val="0"/>
          <w:divBdr>
            <w:top w:val="none" w:sz="0" w:space="0" w:color="auto"/>
            <w:left w:val="none" w:sz="0" w:space="0" w:color="auto"/>
            <w:bottom w:val="none" w:sz="0" w:space="0" w:color="auto"/>
            <w:right w:val="none" w:sz="0" w:space="0" w:color="auto"/>
          </w:divBdr>
          <w:divsChild>
            <w:div w:id="1449158848">
              <w:marLeft w:val="-225"/>
              <w:marRight w:val="-225"/>
              <w:marTop w:val="0"/>
              <w:marBottom w:val="0"/>
              <w:divBdr>
                <w:top w:val="none" w:sz="0" w:space="0" w:color="auto"/>
                <w:left w:val="none" w:sz="0" w:space="0" w:color="auto"/>
                <w:bottom w:val="none" w:sz="0" w:space="0" w:color="auto"/>
                <w:right w:val="none" w:sz="0" w:space="0" w:color="auto"/>
              </w:divBdr>
              <w:divsChild>
                <w:div w:id="1548756218">
                  <w:marLeft w:val="0"/>
                  <w:marRight w:val="0"/>
                  <w:marTop w:val="0"/>
                  <w:marBottom w:val="0"/>
                  <w:divBdr>
                    <w:top w:val="none" w:sz="0" w:space="0" w:color="auto"/>
                    <w:left w:val="none" w:sz="0" w:space="0" w:color="auto"/>
                    <w:bottom w:val="none" w:sz="0" w:space="0" w:color="auto"/>
                    <w:right w:val="single" w:sz="6" w:space="0" w:color="000000"/>
                  </w:divBdr>
                  <w:divsChild>
                    <w:div w:id="1469012210">
                      <w:marLeft w:val="0"/>
                      <w:marRight w:val="0"/>
                      <w:marTop w:val="0"/>
                      <w:marBottom w:val="0"/>
                      <w:divBdr>
                        <w:top w:val="none" w:sz="0" w:space="0" w:color="auto"/>
                        <w:left w:val="none" w:sz="0" w:space="0" w:color="auto"/>
                        <w:bottom w:val="none" w:sz="0" w:space="0" w:color="auto"/>
                        <w:right w:val="none" w:sz="0" w:space="0" w:color="auto"/>
                      </w:divBdr>
                      <w:divsChild>
                        <w:div w:id="1296527818">
                          <w:marLeft w:val="0"/>
                          <w:marRight w:val="0"/>
                          <w:marTop w:val="0"/>
                          <w:marBottom w:val="0"/>
                          <w:divBdr>
                            <w:top w:val="none" w:sz="0" w:space="0" w:color="auto"/>
                            <w:left w:val="none" w:sz="0" w:space="0" w:color="auto"/>
                            <w:bottom w:val="none" w:sz="0" w:space="0" w:color="auto"/>
                            <w:right w:val="none" w:sz="0" w:space="0" w:color="auto"/>
                          </w:divBdr>
                        </w:div>
                        <w:div w:id="1928614427">
                          <w:marLeft w:val="0"/>
                          <w:marRight w:val="0"/>
                          <w:marTop w:val="0"/>
                          <w:marBottom w:val="0"/>
                          <w:divBdr>
                            <w:top w:val="none" w:sz="0" w:space="0" w:color="auto"/>
                            <w:left w:val="none" w:sz="0" w:space="0" w:color="auto"/>
                            <w:bottom w:val="none" w:sz="0" w:space="0" w:color="auto"/>
                            <w:right w:val="none" w:sz="0" w:space="0" w:color="auto"/>
                          </w:divBdr>
                        </w:div>
                        <w:div w:id="1773546053">
                          <w:marLeft w:val="0"/>
                          <w:marRight w:val="0"/>
                          <w:marTop w:val="0"/>
                          <w:marBottom w:val="0"/>
                          <w:divBdr>
                            <w:top w:val="none" w:sz="0" w:space="0" w:color="auto"/>
                            <w:left w:val="none" w:sz="0" w:space="0" w:color="auto"/>
                            <w:bottom w:val="none" w:sz="0" w:space="0" w:color="auto"/>
                            <w:right w:val="none" w:sz="0" w:space="0" w:color="auto"/>
                          </w:divBdr>
                        </w:div>
                        <w:div w:id="1073890976">
                          <w:marLeft w:val="0"/>
                          <w:marRight w:val="0"/>
                          <w:marTop w:val="0"/>
                          <w:marBottom w:val="0"/>
                          <w:divBdr>
                            <w:top w:val="none" w:sz="0" w:space="0" w:color="auto"/>
                            <w:left w:val="none" w:sz="0" w:space="0" w:color="auto"/>
                            <w:bottom w:val="none" w:sz="0" w:space="0" w:color="auto"/>
                            <w:right w:val="none" w:sz="0" w:space="0" w:color="auto"/>
                          </w:divBdr>
                        </w:div>
                        <w:div w:id="206891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22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537242">
      <w:bodyDiv w:val="1"/>
      <w:marLeft w:val="0"/>
      <w:marRight w:val="0"/>
      <w:marTop w:val="0"/>
      <w:marBottom w:val="0"/>
      <w:divBdr>
        <w:top w:val="none" w:sz="0" w:space="0" w:color="auto"/>
        <w:left w:val="none" w:sz="0" w:space="0" w:color="auto"/>
        <w:bottom w:val="none" w:sz="0" w:space="0" w:color="auto"/>
        <w:right w:val="none" w:sz="0" w:space="0" w:color="auto"/>
      </w:divBdr>
      <w:divsChild>
        <w:div w:id="510995493">
          <w:marLeft w:val="0"/>
          <w:marRight w:val="0"/>
          <w:marTop w:val="0"/>
          <w:marBottom w:val="180"/>
          <w:divBdr>
            <w:top w:val="none" w:sz="0" w:space="0" w:color="auto"/>
            <w:left w:val="none" w:sz="0" w:space="0" w:color="auto"/>
            <w:bottom w:val="none" w:sz="0" w:space="0" w:color="auto"/>
            <w:right w:val="none" w:sz="0" w:space="0" w:color="auto"/>
          </w:divBdr>
        </w:div>
      </w:divsChild>
    </w:div>
    <w:div w:id="495073273">
      <w:bodyDiv w:val="1"/>
      <w:marLeft w:val="0"/>
      <w:marRight w:val="0"/>
      <w:marTop w:val="0"/>
      <w:marBottom w:val="0"/>
      <w:divBdr>
        <w:top w:val="none" w:sz="0" w:space="0" w:color="auto"/>
        <w:left w:val="none" w:sz="0" w:space="0" w:color="auto"/>
        <w:bottom w:val="none" w:sz="0" w:space="0" w:color="auto"/>
        <w:right w:val="none" w:sz="0" w:space="0" w:color="auto"/>
      </w:divBdr>
    </w:div>
    <w:div w:id="495416231">
      <w:bodyDiv w:val="1"/>
      <w:marLeft w:val="0"/>
      <w:marRight w:val="0"/>
      <w:marTop w:val="0"/>
      <w:marBottom w:val="0"/>
      <w:divBdr>
        <w:top w:val="none" w:sz="0" w:space="0" w:color="auto"/>
        <w:left w:val="none" w:sz="0" w:space="0" w:color="auto"/>
        <w:bottom w:val="none" w:sz="0" w:space="0" w:color="auto"/>
        <w:right w:val="none" w:sz="0" w:space="0" w:color="auto"/>
      </w:divBdr>
      <w:divsChild>
        <w:div w:id="414088982">
          <w:marLeft w:val="0"/>
          <w:marRight w:val="0"/>
          <w:marTop w:val="0"/>
          <w:marBottom w:val="150"/>
          <w:divBdr>
            <w:top w:val="none" w:sz="0" w:space="0" w:color="auto"/>
            <w:left w:val="none" w:sz="0" w:space="0" w:color="auto"/>
            <w:bottom w:val="none" w:sz="0" w:space="0" w:color="auto"/>
            <w:right w:val="none" w:sz="0" w:space="0" w:color="auto"/>
          </w:divBdr>
        </w:div>
        <w:div w:id="2100784713">
          <w:marLeft w:val="0"/>
          <w:marRight w:val="0"/>
          <w:marTop w:val="0"/>
          <w:marBottom w:val="150"/>
          <w:divBdr>
            <w:top w:val="none" w:sz="0" w:space="0" w:color="auto"/>
            <w:left w:val="none" w:sz="0" w:space="0" w:color="auto"/>
            <w:bottom w:val="none" w:sz="0" w:space="0" w:color="auto"/>
            <w:right w:val="none" w:sz="0" w:space="0" w:color="auto"/>
          </w:divBdr>
          <w:divsChild>
            <w:div w:id="213944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533831">
      <w:bodyDiv w:val="1"/>
      <w:marLeft w:val="0"/>
      <w:marRight w:val="0"/>
      <w:marTop w:val="0"/>
      <w:marBottom w:val="0"/>
      <w:divBdr>
        <w:top w:val="none" w:sz="0" w:space="0" w:color="auto"/>
        <w:left w:val="none" w:sz="0" w:space="0" w:color="auto"/>
        <w:bottom w:val="none" w:sz="0" w:space="0" w:color="auto"/>
        <w:right w:val="none" w:sz="0" w:space="0" w:color="auto"/>
      </w:divBdr>
      <w:divsChild>
        <w:div w:id="1906454602">
          <w:marLeft w:val="0"/>
          <w:marRight w:val="0"/>
          <w:marTop w:val="0"/>
          <w:marBottom w:val="0"/>
          <w:divBdr>
            <w:top w:val="none" w:sz="0" w:space="0" w:color="auto"/>
            <w:left w:val="none" w:sz="0" w:space="0" w:color="auto"/>
            <w:bottom w:val="none" w:sz="0" w:space="0" w:color="auto"/>
            <w:right w:val="none" w:sz="0" w:space="0" w:color="auto"/>
          </w:divBdr>
          <w:divsChild>
            <w:div w:id="37433781">
              <w:marLeft w:val="0"/>
              <w:marRight w:val="0"/>
              <w:marTop w:val="0"/>
              <w:marBottom w:val="0"/>
              <w:divBdr>
                <w:top w:val="none" w:sz="0" w:space="0" w:color="auto"/>
                <w:left w:val="none" w:sz="0" w:space="0" w:color="auto"/>
                <w:bottom w:val="none" w:sz="0" w:space="0" w:color="auto"/>
                <w:right w:val="none" w:sz="0" w:space="0" w:color="auto"/>
              </w:divBdr>
              <w:divsChild>
                <w:div w:id="1071586433">
                  <w:marLeft w:val="0"/>
                  <w:marRight w:val="0"/>
                  <w:marTop w:val="0"/>
                  <w:marBottom w:val="0"/>
                  <w:divBdr>
                    <w:top w:val="none" w:sz="0" w:space="0" w:color="auto"/>
                    <w:left w:val="none" w:sz="0" w:space="0" w:color="auto"/>
                    <w:bottom w:val="none" w:sz="0" w:space="0" w:color="auto"/>
                    <w:right w:val="none" w:sz="0" w:space="0" w:color="auto"/>
                  </w:divBdr>
                  <w:divsChild>
                    <w:div w:id="681051495">
                      <w:marLeft w:val="0"/>
                      <w:marRight w:val="0"/>
                      <w:marTop w:val="0"/>
                      <w:marBottom w:val="0"/>
                      <w:divBdr>
                        <w:top w:val="none" w:sz="0" w:space="0" w:color="auto"/>
                        <w:left w:val="none" w:sz="0" w:space="0" w:color="auto"/>
                        <w:bottom w:val="none" w:sz="0" w:space="0" w:color="auto"/>
                        <w:right w:val="none" w:sz="0" w:space="0" w:color="auto"/>
                      </w:divBdr>
                      <w:divsChild>
                        <w:div w:id="770710027">
                          <w:marLeft w:val="0"/>
                          <w:marRight w:val="0"/>
                          <w:marTop w:val="0"/>
                          <w:marBottom w:val="0"/>
                          <w:divBdr>
                            <w:top w:val="none" w:sz="0" w:space="0" w:color="auto"/>
                            <w:left w:val="none" w:sz="0" w:space="0" w:color="auto"/>
                            <w:bottom w:val="none" w:sz="0" w:space="0" w:color="auto"/>
                            <w:right w:val="none" w:sz="0" w:space="0" w:color="auto"/>
                          </w:divBdr>
                          <w:divsChild>
                            <w:div w:id="7644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851279">
      <w:bodyDiv w:val="1"/>
      <w:marLeft w:val="0"/>
      <w:marRight w:val="0"/>
      <w:marTop w:val="0"/>
      <w:marBottom w:val="0"/>
      <w:divBdr>
        <w:top w:val="none" w:sz="0" w:space="0" w:color="auto"/>
        <w:left w:val="none" w:sz="0" w:space="0" w:color="auto"/>
        <w:bottom w:val="none" w:sz="0" w:space="0" w:color="auto"/>
        <w:right w:val="none" w:sz="0" w:space="0" w:color="auto"/>
      </w:divBdr>
      <w:divsChild>
        <w:div w:id="53820818">
          <w:marLeft w:val="0"/>
          <w:marRight w:val="0"/>
          <w:marTop w:val="0"/>
          <w:marBottom w:val="150"/>
          <w:divBdr>
            <w:top w:val="none" w:sz="0" w:space="0" w:color="auto"/>
            <w:left w:val="none" w:sz="0" w:space="0" w:color="auto"/>
            <w:bottom w:val="none" w:sz="0" w:space="0" w:color="auto"/>
            <w:right w:val="none" w:sz="0" w:space="0" w:color="auto"/>
          </w:divBdr>
          <w:divsChild>
            <w:div w:id="1442139391">
              <w:marLeft w:val="0"/>
              <w:marRight w:val="0"/>
              <w:marTop w:val="0"/>
              <w:marBottom w:val="0"/>
              <w:divBdr>
                <w:top w:val="none" w:sz="0" w:space="0" w:color="auto"/>
                <w:left w:val="none" w:sz="0" w:space="0" w:color="auto"/>
                <w:bottom w:val="none" w:sz="0" w:space="0" w:color="auto"/>
                <w:right w:val="none" w:sz="0" w:space="0" w:color="auto"/>
              </w:divBdr>
              <w:divsChild>
                <w:div w:id="89280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396685">
          <w:marLeft w:val="0"/>
          <w:marRight w:val="0"/>
          <w:marTop w:val="0"/>
          <w:marBottom w:val="150"/>
          <w:divBdr>
            <w:top w:val="none" w:sz="0" w:space="0" w:color="auto"/>
            <w:left w:val="none" w:sz="0" w:space="0" w:color="auto"/>
            <w:bottom w:val="none" w:sz="0" w:space="0" w:color="auto"/>
            <w:right w:val="none" w:sz="0" w:space="0" w:color="auto"/>
          </w:divBdr>
        </w:div>
        <w:div w:id="2077629926">
          <w:marLeft w:val="0"/>
          <w:marRight w:val="0"/>
          <w:marTop w:val="0"/>
          <w:marBottom w:val="0"/>
          <w:divBdr>
            <w:top w:val="none" w:sz="0" w:space="0" w:color="auto"/>
            <w:left w:val="none" w:sz="0" w:space="0" w:color="auto"/>
            <w:bottom w:val="none" w:sz="0" w:space="0" w:color="auto"/>
            <w:right w:val="none" w:sz="0" w:space="0" w:color="auto"/>
          </w:divBdr>
          <w:divsChild>
            <w:div w:id="18660965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95919874">
      <w:bodyDiv w:val="1"/>
      <w:marLeft w:val="0"/>
      <w:marRight w:val="0"/>
      <w:marTop w:val="0"/>
      <w:marBottom w:val="0"/>
      <w:divBdr>
        <w:top w:val="none" w:sz="0" w:space="0" w:color="auto"/>
        <w:left w:val="none" w:sz="0" w:space="0" w:color="auto"/>
        <w:bottom w:val="none" w:sz="0" w:space="0" w:color="auto"/>
        <w:right w:val="none" w:sz="0" w:space="0" w:color="auto"/>
      </w:divBdr>
      <w:divsChild>
        <w:div w:id="293830224">
          <w:marLeft w:val="0"/>
          <w:marRight w:val="0"/>
          <w:marTop w:val="0"/>
          <w:marBottom w:val="450"/>
          <w:divBdr>
            <w:top w:val="none" w:sz="0" w:space="0" w:color="auto"/>
            <w:left w:val="none" w:sz="0" w:space="0" w:color="auto"/>
            <w:bottom w:val="single" w:sz="6" w:space="19" w:color="EEEEEE"/>
            <w:right w:val="none" w:sz="0" w:space="0" w:color="auto"/>
          </w:divBdr>
          <w:divsChild>
            <w:div w:id="1684237820">
              <w:marLeft w:val="0"/>
              <w:marRight w:val="0"/>
              <w:marTop w:val="0"/>
              <w:marBottom w:val="150"/>
              <w:divBdr>
                <w:top w:val="none" w:sz="0" w:space="0" w:color="auto"/>
                <w:left w:val="none" w:sz="0" w:space="0" w:color="auto"/>
                <w:bottom w:val="none" w:sz="0" w:space="0" w:color="auto"/>
                <w:right w:val="none" w:sz="0" w:space="0" w:color="auto"/>
              </w:divBdr>
              <w:divsChild>
                <w:div w:id="1318849776">
                  <w:marLeft w:val="0"/>
                  <w:marRight w:val="0"/>
                  <w:marTop w:val="0"/>
                  <w:marBottom w:val="0"/>
                  <w:divBdr>
                    <w:top w:val="none" w:sz="0" w:space="0" w:color="auto"/>
                    <w:left w:val="none" w:sz="0" w:space="0" w:color="auto"/>
                    <w:bottom w:val="none" w:sz="0" w:space="0" w:color="auto"/>
                    <w:right w:val="none" w:sz="0" w:space="0" w:color="auto"/>
                  </w:divBdr>
                </w:div>
              </w:divsChild>
            </w:div>
            <w:div w:id="6947197">
              <w:marLeft w:val="0"/>
              <w:marRight w:val="0"/>
              <w:marTop w:val="0"/>
              <w:marBottom w:val="0"/>
              <w:divBdr>
                <w:top w:val="none" w:sz="0" w:space="0" w:color="auto"/>
                <w:left w:val="none" w:sz="0" w:space="0" w:color="auto"/>
                <w:bottom w:val="none" w:sz="0" w:space="0" w:color="auto"/>
                <w:right w:val="none" w:sz="0" w:space="0" w:color="auto"/>
              </w:divBdr>
            </w:div>
          </w:divsChild>
        </w:div>
        <w:div w:id="2018268607">
          <w:marLeft w:val="0"/>
          <w:marRight w:val="0"/>
          <w:marTop w:val="0"/>
          <w:marBottom w:val="0"/>
          <w:divBdr>
            <w:top w:val="none" w:sz="0" w:space="0" w:color="auto"/>
            <w:left w:val="none" w:sz="0" w:space="0" w:color="auto"/>
            <w:bottom w:val="none" w:sz="0" w:space="0" w:color="auto"/>
            <w:right w:val="none" w:sz="0" w:space="0" w:color="auto"/>
          </w:divBdr>
          <w:divsChild>
            <w:div w:id="567157442">
              <w:marLeft w:val="0"/>
              <w:marRight w:val="0"/>
              <w:marTop w:val="0"/>
              <w:marBottom w:val="0"/>
              <w:divBdr>
                <w:top w:val="none" w:sz="0" w:space="0" w:color="auto"/>
                <w:left w:val="none" w:sz="0" w:space="0" w:color="auto"/>
                <w:bottom w:val="none" w:sz="0" w:space="0" w:color="auto"/>
                <w:right w:val="none" w:sz="0" w:space="0" w:color="auto"/>
              </w:divBdr>
              <w:divsChild>
                <w:div w:id="100351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15605">
      <w:bodyDiv w:val="1"/>
      <w:marLeft w:val="0"/>
      <w:marRight w:val="0"/>
      <w:marTop w:val="0"/>
      <w:marBottom w:val="0"/>
      <w:divBdr>
        <w:top w:val="none" w:sz="0" w:space="0" w:color="auto"/>
        <w:left w:val="none" w:sz="0" w:space="0" w:color="auto"/>
        <w:bottom w:val="none" w:sz="0" w:space="0" w:color="auto"/>
        <w:right w:val="none" w:sz="0" w:space="0" w:color="auto"/>
      </w:divBdr>
      <w:divsChild>
        <w:div w:id="136655075">
          <w:marLeft w:val="0"/>
          <w:marRight w:val="0"/>
          <w:marTop w:val="0"/>
          <w:marBottom w:val="150"/>
          <w:divBdr>
            <w:top w:val="none" w:sz="0" w:space="0" w:color="auto"/>
            <w:left w:val="none" w:sz="0" w:space="0" w:color="auto"/>
            <w:bottom w:val="none" w:sz="0" w:space="0" w:color="auto"/>
            <w:right w:val="none" w:sz="0" w:space="0" w:color="auto"/>
          </w:divBdr>
          <w:divsChild>
            <w:div w:id="1505701775">
              <w:marLeft w:val="0"/>
              <w:marRight w:val="0"/>
              <w:marTop w:val="0"/>
              <w:marBottom w:val="0"/>
              <w:divBdr>
                <w:top w:val="none" w:sz="0" w:space="0" w:color="auto"/>
                <w:left w:val="none" w:sz="0" w:space="0" w:color="auto"/>
                <w:bottom w:val="none" w:sz="0" w:space="0" w:color="auto"/>
                <w:right w:val="none" w:sz="0" w:space="0" w:color="auto"/>
              </w:divBdr>
              <w:divsChild>
                <w:div w:id="1216702907">
                  <w:marLeft w:val="0"/>
                  <w:marRight w:val="0"/>
                  <w:marTop w:val="0"/>
                  <w:marBottom w:val="0"/>
                  <w:divBdr>
                    <w:top w:val="none" w:sz="0" w:space="0" w:color="auto"/>
                    <w:left w:val="none" w:sz="0" w:space="0" w:color="auto"/>
                    <w:bottom w:val="none" w:sz="0" w:space="0" w:color="auto"/>
                    <w:right w:val="none" w:sz="0" w:space="0" w:color="auto"/>
                  </w:divBdr>
                  <w:divsChild>
                    <w:div w:id="82682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27226">
          <w:marLeft w:val="0"/>
          <w:marRight w:val="0"/>
          <w:marTop w:val="0"/>
          <w:marBottom w:val="0"/>
          <w:divBdr>
            <w:top w:val="none" w:sz="0" w:space="0" w:color="auto"/>
            <w:left w:val="none" w:sz="0" w:space="0" w:color="auto"/>
            <w:bottom w:val="none" w:sz="0" w:space="0" w:color="auto"/>
            <w:right w:val="none" w:sz="0" w:space="0" w:color="auto"/>
          </w:divBdr>
        </w:div>
      </w:divsChild>
    </w:div>
    <w:div w:id="496959716">
      <w:bodyDiv w:val="1"/>
      <w:marLeft w:val="0"/>
      <w:marRight w:val="0"/>
      <w:marTop w:val="0"/>
      <w:marBottom w:val="0"/>
      <w:divBdr>
        <w:top w:val="none" w:sz="0" w:space="0" w:color="auto"/>
        <w:left w:val="none" w:sz="0" w:space="0" w:color="auto"/>
        <w:bottom w:val="none" w:sz="0" w:space="0" w:color="auto"/>
        <w:right w:val="none" w:sz="0" w:space="0" w:color="auto"/>
      </w:divBdr>
      <w:divsChild>
        <w:div w:id="7372703">
          <w:marLeft w:val="0"/>
          <w:marRight w:val="0"/>
          <w:marTop w:val="0"/>
          <w:marBottom w:val="150"/>
          <w:divBdr>
            <w:top w:val="none" w:sz="0" w:space="0" w:color="auto"/>
            <w:left w:val="none" w:sz="0" w:space="0" w:color="auto"/>
            <w:bottom w:val="none" w:sz="0" w:space="0" w:color="auto"/>
            <w:right w:val="none" w:sz="0" w:space="0" w:color="auto"/>
          </w:divBdr>
          <w:divsChild>
            <w:div w:id="1662808492">
              <w:marLeft w:val="0"/>
              <w:marRight w:val="0"/>
              <w:marTop w:val="0"/>
              <w:marBottom w:val="0"/>
              <w:divBdr>
                <w:top w:val="none" w:sz="0" w:space="0" w:color="auto"/>
                <w:left w:val="none" w:sz="0" w:space="0" w:color="auto"/>
                <w:bottom w:val="none" w:sz="0" w:space="0" w:color="auto"/>
                <w:right w:val="none" w:sz="0" w:space="0" w:color="auto"/>
              </w:divBdr>
              <w:divsChild>
                <w:div w:id="194190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437661">
          <w:marLeft w:val="0"/>
          <w:marRight w:val="0"/>
          <w:marTop w:val="0"/>
          <w:marBottom w:val="150"/>
          <w:divBdr>
            <w:top w:val="none" w:sz="0" w:space="0" w:color="auto"/>
            <w:left w:val="none" w:sz="0" w:space="0" w:color="auto"/>
            <w:bottom w:val="none" w:sz="0" w:space="0" w:color="auto"/>
            <w:right w:val="none" w:sz="0" w:space="0" w:color="auto"/>
          </w:divBdr>
        </w:div>
        <w:div w:id="1884126848">
          <w:marLeft w:val="0"/>
          <w:marRight w:val="0"/>
          <w:marTop w:val="0"/>
          <w:marBottom w:val="0"/>
          <w:divBdr>
            <w:top w:val="none" w:sz="0" w:space="0" w:color="auto"/>
            <w:left w:val="none" w:sz="0" w:space="0" w:color="auto"/>
            <w:bottom w:val="none" w:sz="0" w:space="0" w:color="auto"/>
            <w:right w:val="none" w:sz="0" w:space="0" w:color="auto"/>
          </w:divBdr>
          <w:divsChild>
            <w:div w:id="109328591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97116723">
      <w:bodyDiv w:val="1"/>
      <w:marLeft w:val="0"/>
      <w:marRight w:val="0"/>
      <w:marTop w:val="0"/>
      <w:marBottom w:val="0"/>
      <w:divBdr>
        <w:top w:val="none" w:sz="0" w:space="0" w:color="auto"/>
        <w:left w:val="none" w:sz="0" w:space="0" w:color="auto"/>
        <w:bottom w:val="none" w:sz="0" w:space="0" w:color="auto"/>
        <w:right w:val="none" w:sz="0" w:space="0" w:color="auto"/>
      </w:divBdr>
    </w:div>
    <w:div w:id="497622192">
      <w:bodyDiv w:val="1"/>
      <w:marLeft w:val="0"/>
      <w:marRight w:val="0"/>
      <w:marTop w:val="0"/>
      <w:marBottom w:val="0"/>
      <w:divBdr>
        <w:top w:val="none" w:sz="0" w:space="0" w:color="auto"/>
        <w:left w:val="none" w:sz="0" w:space="0" w:color="auto"/>
        <w:bottom w:val="none" w:sz="0" w:space="0" w:color="auto"/>
        <w:right w:val="none" w:sz="0" w:space="0" w:color="auto"/>
      </w:divBdr>
      <w:divsChild>
        <w:div w:id="130559117">
          <w:marLeft w:val="0"/>
          <w:marRight w:val="0"/>
          <w:marTop w:val="0"/>
          <w:marBottom w:val="0"/>
          <w:divBdr>
            <w:top w:val="none" w:sz="0" w:space="0" w:color="auto"/>
            <w:left w:val="none" w:sz="0" w:space="0" w:color="auto"/>
            <w:bottom w:val="none" w:sz="0" w:space="0" w:color="auto"/>
            <w:right w:val="none" w:sz="0" w:space="0" w:color="auto"/>
          </w:divBdr>
          <w:divsChild>
            <w:div w:id="10617002">
              <w:marLeft w:val="0"/>
              <w:marRight w:val="0"/>
              <w:marTop w:val="0"/>
              <w:marBottom w:val="300"/>
              <w:divBdr>
                <w:top w:val="none" w:sz="0" w:space="0" w:color="auto"/>
                <w:left w:val="none" w:sz="0" w:space="0" w:color="auto"/>
                <w:bottom w:val="none" w:sz="0" w:space="0" w:color="auto"/>
                <w:right w:val="none" w:sz="0" w:space="0" w:color="auto"/>
              </w:divBdr>
            </w:div>
          </w:divsChild>
        </w:div>
        <w:div w:id="769929746">
          <w:marLeft w:val="0"/>
          <w:marRight w:val="0"/>
          <w:marTop w:val="0"/>
          <w:marBottom w:val="225"/>
          <w:divBdr>
            <w:top w:val="none" w:sz="0" w:space="0" w:color="auto"/>
            <w:left w:val="none" w:sz="0" w:space="0" w:color="auto"/>
            <w:bottom w:val="none" w:sz="0" w:space="0" w:color="auto"/>
            <w:right w:val="none" w:sz="0" w:space="0" w:color="auto"/>
          </w:divBdr>
        </w:div>
        <w:div w:id="2064059997">
          <w:marLeft w:val="0"/>
          <w:marRight w:val="0"/>
          <w:marTop w:val="0"/>
          <w:marBottom w:val="0"/>
          <w:divBdr>
            <w:top w:val="none" w:sz="0" w:space="0" w:color="auto"/>
            <w:left w:val="none" w:sz="0" w:space="0" w:color="auto"/>
            <w:bottom w:val="none" w:sz="0" w:space="0" w:color="auto"/>
            <w:right w:val="none" w:sz="0" w:space="0" w:color="auto"/>
          </w:divBdr>
          <w:divsChild>
            <w:div w:id="1565870265">
              <w:marLeft w:val="0"/>
              <w:marRight w:val="0"/>
              <w:marTop w:val="0"/>
              <w:marBottom w:val="0"/>
              <w:divBdr>
                <w:top w:val="none" w:sz="0" w:space="0" w:color="auto"/>
                <w:left w:val="none" w:sz="0" w:space="0" w:color="auto"/>
                <w:bottom w:val="none" w:sz="0" w:space="0" w:color="auto"/>
                <w:right w:val="none" w:sz="0" w:space="0" w:color="auto"/>
              </w:divBdr>
              <w:divsChild>
                <w:div w:id="1689746163">
                  <w:marLeft w:val="0"/>
                  <w:marRight w:val="0"/>
                  <w:marTop w:val="0"/>
                  <w:marBottom w:val="0"/>
                  <w:divBdr>
                    <w:top w:val="none" w:sz="0" w:space="0" w:color="auto"/>
                    <w:left w:val="none" w:sz="0" w:space="0" w:color="auto"/>
                    <w:bottom w:val="none" w:sz="0" w:space="0" w:color="auto"/>
                    <w:right w:val="none" w:sz="0" w:space="0" w:color="auto"/>
                  </w:divBdr>
                  <w:divsChild>
                    <w:div w:id="745955404">
                      <w:marLeft w:val="0"/>
                      <w:marRight w:val="0"/>
                      <w:marTop w:val="0"/>
                      <w:marBottom w:val="0"/>
                      <w:divBdr>
                        <w:top w:val="none" w:sz="0" w:space="0" w:color="auto"/>
                        <w:left w:val="none" w:sz="0" w:space="0" w:color="auto"/>
                        <w:bottom w:val="none" w:sz="0" w:space="0" w:color="auto"/>
                        <w:right w:val="none" w:sz="0" w:space="0" w:color="auto"/>
                      </w:divBdr>
                      <w:divsChild>
                        <w:div w:id="167930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7697906">
      <w:bodyDiv w:val="1"/>
      <w:marLeft w:val="0"/>
      <w:marRight w:val="0"/>
      <w:marTop w:val="0"/>
      <w:marBottom w:val="0"/>
      <w:divBdr>
        <w:top w:val="none" w:sz="0" w:space="0" w:color="auto"/>
        <w:left w:val="none" w:sz="0" w:space="0" w:color="auto"/>
        <w:bottom w:val="none" w:sz="0" w:space="0" w:color="auto"/>
        <w:right w:val="none" w:sz="0" w:space="0" w:color="auto"/>
      </w:divBdr>
      <w:divsChild>
        <w:div w:id="1691178167">
          <w:marLeft w:val="0"/>
          <w:marRight w:val="0"/>
          <w:marTop w:val="0"/>
          <w:marBottom w:val="0"/>
          <w:divBdr>
            <w:top w:val="none" w:sz="0" w:space="0" w:color="auto"/>
            <w:left w:val="none" w:sz="0" w:space="0" w:color="auto"/>
            <w:bottom w:val="dotted" w:sz="6" w:space="4" w:color="DDDDDD"/>
            <w:right w:val="none" w:sz="0" w:space="0" w:color="auto"/>
          </w:divBdr>
        </w:div>
      </w:divsChild>
    </w:div>
    <w:div w:id="497775448">
      <w:bodyDiv w:val="1"/>
      <w:marLeft w:val="0"/>
      <w:marRight w:val="0"/>
      <w:marTop w:val="0"/>
      <w:marBottom w:val="0"/>
      <w:divBdr>
        <w:top w:val="none" w:sz="0" w:space="0" w:color="auto"/>
        <w:left w:val="none" w:sz="0" w:space="0" w:color="auto"/>
        <w:bottom w:val="none" w:sz="0" w:space="0" w:color="auto"/>
        <w:right w:val="none" w:sz="0" w:space="0" w:color="auto"/>
      </w:divBdr>
      <w:divsChild>
        <w:div w:id="627470314">
          <w:marLeft w:val="0"/>
          <w:marRight w:val="0"/>
          <w:marTop w:val="0"/>
          <w:marBottom w:val="0"/>
          <w:divBdr>
            <w:top w:val="none" w:sz="0" w:space="0" w:color="auto"/>
            <w:left w:val="none" w:sz="0" w:space="0" w:color="auto"/>
            <w:bottom w:val="none" w:sz="0" w:space="0" w:color="auto"/>
            <w:right w:val="none" w:sz="0" w:space="0" w:color="auto"/>
          </w:divBdr>
        </w:div>
      </w:divsChild>
    </w:div>
    <w:div w:id="498086072">
      <w:bodyDiv w:val="1"/>
      <w:marLeft w:val="0"/>
      <w:marRight w:val="0"/>
      <w:marTop w:val="0"/>
      <w:marBottom w:val="0"/>
      <w:divBdr>
        <w:top w:val="none" w:sz="0" w:space="0" w:color="auto"/>
        <w:left w:val="none" w:sz="0" w:space="0" w:color="auto"/>
        <w:bottom w:val="none" w:sz="0" w:space="0" w:color="auto"/>
        <w:right w:val="none" w:sz="0" w:space="0" w:color="auto"/>
      </w:divBdr>
    </w:div>
    <w:div w:id="498355132">
      <w:bodyDiv w:val="1"/>
      <w:marLeft w:val="0"/>
      <w:marRight w:val="0"/>
      <w:marTop w:val="0"/>
      <w:marBottom w:val="0"/>
      <w:divBdr>
        <w:top w:val="none" w:sz="0" w:space="0" w:color="auto"/>
        <w:left w:val="none" w:sz="0" w:space="0" w:color="auto"/>
        <w:bottom w:val="none" w:sz="0" w:space="0" w:color="auto"/>
        <w:right w:val="none" w:sz="0" w:space="0" w:color="auto"/>
      </w:divBdr>
      <w:divsChild>
        <w:div w:id="258678647">
          <w:marLeft w:val="0"/>
          <w:marRight w:val="0"/>
          <w:marTop w:val="0"/>
          <w:marBottom w:val="0"/>
          <w:divBdr>
            <w:top w:val="none" w:sz="0" w:space="0" w:color="auto"/>
            <w:left w:val="none" w:sz="0" w:space="0" w:color="auto"/>
            <w:bottom w:val="none" w:sz="0" w:space="0" w:color="auto"/>
            <w:right w:val="none" w:sz="0" w:space="0" w:color="auto"/>
          </w:divBdr>
        </w:div>
      </w:divsChild>
    </w:div>
    <w:div w:id="498424489">
      <w:bodyDiv w:val="1"/>
      <w:marLeft w:val="0"/>
      <w:marRight w:val="0"/>
      <w:marTop w:val="0"/>
      <w:marBottom w:val="0"/>
      <w:divBdr>
        <w:top w:val="none" w:sz="0" w:space="0" w:color="auto"/>
        <w:left w:val="none" w:sz="0" w:space="0" w:color="auto"/>
        <w:bottom w:val="none" w:sz="0" w:space="0" w:color="auto"/>
        <w:right w:val="none" w:sz="0" w:space="0" w:color="auto"/>
      </w:divBdr>
    </w:div>
    <w:div w:id="498498198">
      <w:bodyDiv w:val="1"/>
      <w:marLeft w:val="0"/>
      <w:marRight w:val="0"/>
      <w:marTop w:val="0"/>
      <w:marBottom w:val="0"/>
      <w:divBdr>
        <w:top w:val="none" w:sz="0" w:space="0" w:color="auto"/>
        <w:left w:val="none" w:sz="0" w:space="0" w:color="auto"/>
        <w:bottom w:val="none" w:sz="0" w:space="0" w:color="auto"/>
        <w:right w:val="none" w:sz="0" w:space="0" w:color="auto"/>
      </w:divBdr>
      <w:divsChild>
        <w:div w:id="364599153">
          <w:marLeft w:val="0"/>
          <w:marRight w:val="0"/>
          <w:marTop w:val="0"/>
          <w:marBottom w:val="0"/>
          <w:divBdr>
            <w:top w:val="none" w:sz="0" w:space="0" w:color="auto"/>
            <w:left w:val="none" w:sz="0" w:space="0" w:color="auto"/>
            <w:bottom w:val="none" w:sz="0" w:space="0" w:color="auto"/>
            <w:right w:val="none" w:sz="0" w:space="0" w:color="auto"/>
          </w:divBdr>
          <w:divsChild>
            <w:div w:id="1539783117">
              <w:marLeft w:val="0"/>
              <w:marRight w:val="0"/>
              <w:marTop w:val="0"/>
              <w:marBottom w:val="0"/>
              <w:divBdr>
                <w:top w:val="none" w:sz="0" w:space="0" w:color="auto"/>
                <w:left w:val="none" w:sz="0" w:space="0" w:color="auto"/>
                <w:bottom w:val="none" w:sz="0" w:space="0" w:color="auto"/>
                <w:right w:val="none" w:sz="0" w:space="0" w:color="auto"/>
              </w:divBdr>
              <w:divsChild>
                <w:div w:id="683481923">
                  <w:marLeft w:val="0"/>
                  <w:marRight w:val="0"/>
                  <w:marTop w:val="0"/>
                  <w:marBottom w:val="0"/>
                  <w:divBdr>
                    <w:top w:val="none" w:sz="0" w:space="0" w:color="auto"/>
                    <w:left w:val="none" w:sz="0" w:space="0" w:color="auto"/>
                    <w:bottom w:val="none" w:sz="0" w:space="0" w:color="auto"/>
                    <w:right w:val="none" w:sz="0" w:space="0" w:color="auto"/>
                  </w:divBdr>
                  <w:divsChild>
                    <w:div w:id="28655201">
                      <w:marLeft w:val="0"/>
                      <w:marRight w:val="0"/>
                      <w:marTop w:val="0"/>
                      <w:marBottom w:val="0"/>
                      <w:divBdr>
                        <w:top w:val="none" w:sz="0" w:space="0" w:color="auto"/>
                        <w:left w:val="none" w:sz="0" w:space="0" w:color="auto"/>
                        <w:bottom w:val="none" w:sz="0" w:space="0" w:color="auto"/>
                        <w:right w:val="none" w:sz="0" w:space="0" w:color="auto"/>
                      </w:divBdr>
                      <w:divsChild>
                        <w:div w:id="472796959">
                          <w:marLeft w:val="0"/>
                          <w:marRight w:val="0"/>
                          <w:marTop w:val="0"/>
                          <w:marBottom w:val="0"/>
                          <w:divBdr>
                            <w:top w:val="none" w:sz="0" w:space="0" w:color="auto"/>
                            <w:left w:val="none" w:sz="0" w:space="0" w:color="auto"/>
                            <w:bottom w:val="none" w:sz="0" w:space="0" w:color="auto"/>
                            <w:right w:val="none" w:sz="0" w:space="0" w:color="auto"/>
                          </w:divBdr>
                          <w:divsChild>
                            <w:div w:id="105931236">
                              <w:marLeft w:val="0"/>
                              <w:marRight w:val="0"/>
                              <w:marTop w:val="0"/>
                              <w:marBottom w:val="0"/>
                              <w:divBdr>
                                <w:top w:val="none" w:sz="0" w:space="0" w:color="auto"/>
                                <w:left w:val="none" w:sz="0" w:space="0" w:color="auto"/>
                                <w:bottom w:val="none" w:sz="0" w:space="0" w:color="auto"/>
                                <w:right w:val="none" w:sz="0" w:space="0" w:color="auto"/>
                              </w:divBdr>
                              <w:divsChild>
                                <w:div w:id="443379059">
                                  <w:marLeft w:val="0"/>
                                  <w:marRight w:val="0"/>
                                  <w:marTop w:val="0"/>
                                  <w:marBottom w:val="0"/>
                                  <w:divBdr>
                                    <w:top w:val="none" w:sz="0" w:space="0" w:color="auto"/>
                                    <w:left w:val="none" w:sz="0" w:space="0" w:color="auto"/>
                                    <w:bottom w:val="none" w:sz="0" w:space="0" w:color="auto"/>
                                    <w:right w:val="none" w:sz="0" w:space="0" w:color="auto"/>
                                  </w:divBdr>
                                  <w:divsChild>
                                    <w:div w:id="136579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616641">
      <w:bodyDiv w:val="1"/>
      <w:marLeft w:val="0"/>
      <w:marRight w:val="0"/>
      <w:marTop w:val="0"/>
      <w:marBottom w:val="0"/>
      <w:divBdr>
        <w:top w:val="none" w:sz="0" w:space="0" w:color="auto"/>
        <w:left w:val="none" w:sz="0" w:space="0" w:color="auto"/>
        <w:bottom w:val="none" w:sz="0" w:space="0" w:color="auto"/>
        <w:right w:val="none" w:sz="0" w:space="0" w:color="auto"/>
      </w:divBdr>
    </w:div>
    <w:div w:id="498694996">
      <w:bodyDiv w:val="1"/>
      <w:marLeft w:val="0"/>
      <w:marRight w:val="0"/>
      <w:marTop w:val="0"/>
      <w:marBottom w:val="0"/>
      <w:divBdr>
        <w:top w:val="none" w:sz="0" w:space="0" w:color="auto"/>
        <w:left w:val="none" w:sz="0" w:space="0" w:color="auto"/>
        <w:bottom w:val="none" w:sz="0" w:space="0" w:color="auto"/>
        <w:right w:val="none" w:sz="0" w:space="0" w:color="auto"/>
      </w:divBdr>
      <w:divsChild>
        <w:div w:id="847451658">
          <w:marLeft w:val="0"/>
          <w:marRight w:val="0"/>
          <w:marTop w:val="0"/>
          <w:marBottom w:val="0"/>
          <w:divBdr>
            <w:top w:val="none" w:sz="0" w:space="0" w:color="auto"/>
            <w:left w:val="none" w:sz="0" w:space="0" w:color="auto"/>
            <w:bottom w:val="none" w:sz="0" w:space="0" w:color="auto"/>
            <w:right w:val="none" w:sz="0" w:space="0" w:color="auto"/>
          </w:divBdr>
          <w:divsChild>
            <w:div w:id="1886409692">
              <w:marLeft w:val="0"/>
              <w:marRight w:val="0"/>
              <w:marTop w:val="0"/>
              <w:marBottom w:val="0"/>
              <w:divBdr>
                <w:top w:val="none" w:sz="0" w:space="0" w:color="auto"/>
                <w:left w:val="none" w:sz="0" w:space="0" w:color="auto"/>
                <w:bottom w:val="none" w:sz="0" w:space="0" w:color="auto"/>
                <w:right w:val="none" w:sz="0" w:space="0" w:color="auto"/>
              </w:divBdr>
              <w:divsChild>
                <w:div w:id="1480030549">
                  <w:marLeft w:val="0"/>
                  <w:marRight w:val="0"/>
                  <w:marTop w:val="0"/>
                  <w:marBottom w:val="0"/>
                  <w:divBdr>
                    <w:top w:val="none" w:sz="0" w:space="0" w:color="auto"/>
                    <w:left w:val="none" w:sz="0" w:space="0" w:color="auto"/>
                    <w:bottom w:val="none" w:sz="0" w:space="0" w:color="auto"/>
                    <w:right w:val="none" w:sz="0" w:space="0" w:color="auto"/>
                  </w:divBdr>
                  <w:divsChild>
                    <w:div w:id="625622022">
                      <w:marLeft w:val="0"/>
                      <w:marRight w:val="0"/>
                      <w:marTop w:val="0"/>
                      <w:marBottom w:val="0"/>
                      <w:divBdr>
                        <w:top w:val="none" w:sz="0" w:space="0" w:color="auto"/>
                        <w:left w:val="none" w:sz="0" w:space="0" w:color="auto"/>
                        <w:bottom w:val="none" w:sz="0" w:space="0" w:color="auto"/>
                        <w:right w:val="none" w:sz="0" w:space="0" w:color="auto"/>
                      </w:divBdr>
                      <w:divsChild>
                        <w:div w:id="1336375158">
                          <w:marLeft w:val="0"/>
                          <w:marRight w:val="0"/>
                          <w:marTop w:val="0"/>
                          <w:marBottom w:val="0"/>
                          <w:divBdr>
                            <w:top w:val="none" w:sz="0" w:space="0" w:color="auto"/>
                            <w:left w:val="none" w:sz="0" w:space="0" w:color="auto"/>
                            <w:bottom w:val="none" w:sz="0" w:space="0" w:color="auto"/>
                            <w:right w:val="none" w:sz="0" w:space="0" w:color="auto"/>
                          </w:divBdr>
                          <w:divsChild>
                            <w:div w:id="1741519415">
                              <w:marLeft w:val="0"/>
                              <w:marRight w:val="0"/>
                              <w:marTop w:val="0"/>
                              <w:marBottom w:val="0"/>
                              <w:divBdr>
                                <w:top w:val="none" w:sz="0" w:space="0" w:color="auto"/>
                                <w:left w:val="none" w:sz="0" w:space="0" w:color="auto"/>
                                <w:bottom w:val="none" w:sz="0" w:space="0" w:color="auto"/>
                                <w:right w:val="none" w:sz="0" w:space="0" w:color="auto"/>
                              </w:divBdr>
                              <w:divsChild>
                                <w:div w:id="973484905">
                                  <w:marLeft w:val="0"/>
                                  <w:marRight w:val="0"/>
                                  <w:marTop w:val="0"/>
                                  <w:marBottom w:val="0"/>
                                  <w:divBdr>
                                    <w:top w:val="none" w:sz="0" w:space="0" w:color="auto"/>
                                    <w:left w:val="none" w:sz="0" w:space="0" w:color="auto"/>
                                    <w:bottom w:val="none" w:sz="0" w:space="0" w:color="auto"/>
                                    <w:right w:val="none" w:sz="0" w:space="0" w:color="auto"/>
                                  </w:divBdr>
                                  <w:divsChild>
                                    <w:div w:id="73932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925613">
      <w:bodyDiv w:val="1"/>
      <w:marLeft w:val="0"/>
      <w:marRight w:val="0"/>
      <w:marTop w:val="0"/>
      <w:marBottom w:val="0"/>
      <w:divBdr>
        <w:top w:val="none" w:sz="0" w:space="0" w:color="auto"/>
        <w:left w:val="none" w:sz="0" w:space="0" w:color="auto"/>
        <w:bottom w:val="none" w:sz="0" w:space="0" w:color="auto"/>
        <w:right w:val="none" w:sz="0" w:space="0" w:color="auto"/>
      </w:divBdr>
      <w:divsChild>
        <w:div w:id="1237282656">
          <w:marLeft w:val="0"/>
          <w:marRight w:val="0"/>
          <w:marTop w:val="0"/>
          <w:marBottom w:val="150"/>
          <w:divBdr>
            <w:top w:val="none" w:sz="0" w:space="0" w:color="auto"/>
            <w:left w:val="none" w:sz="0" w:space="0" w:color="auto"/>
            <w:bottom w:val="none" w:sz="0" w:space="0" w:color="auto"/>
            <w:right w:val="none" w:sz="0" w:space="0" w:color="auto"/>
          </w:divBdr>
          <w:divsChild>
            <w:div w:id="875586499">
              <w:marLeft w:val="0"/>
              <w:marRight w:val="0"/>
              <w:marTop w:val="0"/>
              <w:marBottom w:val="0"/>
              <w:divBdr>
                <w:top w:val="none" w:sz="0" w:space="0" w:color="auto"/>
                <w:left w:val="none" w:sz="0" w:space="0" w:color="auto"/>
                <w:bottom w:val="none" w:sz="0" w:space="0" w:color="auto"/>
                <w:right w:val="none" w:sz="0" w:space="0" w:color="auto"/>
              </w:divBdr>
              <w:divsChild>
                <w:div w:id="896670913">
                  <w:marLeft w:val="0"/>
                  <w:marRight w:val="0"/>
                  <w:marTop w:val="0"/>
                  <w:marBottom w:val="0"/>
                  <w:divBdr>
                    <w:top w:val="none" w:sz="0" w:space="0" w:color="auto"/>
                    <w:left w:val="none" w:sz="0" w:space="0" w:color="auto"/>
                    <w:bottom w:val="none" w:sz="0" w:space="0" w:color="auto"/>
                    <w:right w:val="none" w:sz="0" w:space="0" w:color="auto"/>
                  </w:divBdr>
                  <w:divsChild>
                    <w:div w:id="672950904">
                      <w:marLeft w:val="0"/>
                      <w:marRight w:val="150"/>
                      <w:marTop w:val="0"/>
                      <w:marBottom w:val="0"/>
                      <w:divBdr>
                        <w:top w:val="none" w:sz="0" w:space="0" w:color="auto"/>
                        <w:left w:val="none" w:sz="0" w:space="0" w:color="auto"/>
                        <w:bottom w:val="none" w:sz="0" w:space="0" w:color="auto"/>
                        <w:right w:val="none" w:sz="0" w:space="0" w:color="auto"/>
                      </w:divBdr>
                      <w:divsChild>
                        <w:div w:id="5527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993578">
          <w:marLeft w:val="0"/>
          <w:marRight w:val="0"/>
          <w:marTop w:val="0"/>
          <w:marBottom w:val="150"/>
          <w:divBdr>
            <w:top w:val="none" w:sz="0" w:space="0" w:color="auto"/>
            <w:left w:val="none" w:sz="0" w:space="0" w:color="auto"/>
            <w:bottom w:val="none" w:sz="0" w:space="0" w:color="auto"/>
            <w:right w:val="none" w:sz="0" w:space="0" w:color="auto"/>
          </w:divBdr>
        </w:div>
        <w:div w:id="13114674">
          <w:marLeft w:val="0"/>
          <w:marRight w:val="0"/>
          <w:marTop w:val="0"/>
          <w:marBottom w:val="0"/>
          <w:divBdr>
            <w:top w:val="none" w:sz="0" w:space="0" w:color="auto"/>
            <w:left w:val="none" w:sz="0" w:space="0" w:color="auto"/>
            <w:bottom w:val="none" w:sz="0" w:space="0" w:color="auto"/>
            <w:right w:val="none" w:sz="0" w:space="0" w:color="auto"/>
          </w:divBdr>
          <w:divsChild>
            <w:div w:id="186215862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99195176">
      <w:bodyDiv w:val="1"/>
      <w:marLeft w:val="0"/>
      <w:marRight w:val="0"/>
      <w:marTop w:val="0"/>
      <w:marBottom w:val="0"/>
      <w:divBdr>
        <w:top w:val="none" w:sz="0" w:space="0" w:color="auto"/>
        <w:left w:val="none" w:sz="0" w:space="0" w:color="auto"/>
        <w:bottom w:val="none" w:sz="0" w:space="0" w:color="auto"/>
        <w:right w:val="none" w:sz="0" w:space="0" w:color="auto"/>
      </w:divBdr>
      <w:divsChild>
        <w:div w:id="1970742642">
          <w:marLeft w:val="0"/>
          <w:marRight w:val="0"/>
          <w:marTop w:val="0"/>
          <w:marBottom w:val="0"/>
          <w:divBdr>
            <w:top w:val="none" w:sz="0" w:space="0" w:color="auto"/>
            <w:left w:val="none" w:sz="0" w:space="0" w:color="auto"/>
            <w:bottom w:val="none" w:sz="0" w:space="0" w:color="auto"/>
            <w:right w:val="none" w:sz="0" w:space="0" w:color="auto"/>
          </w:divBdr>
          <w:divsChild>
            <w:div w:id="15523057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99540648">
      <w:bodyDiv w:val="1"/>
      <w:marLeft w:val="0"/>
      <w:marRight w:val="0"/>
      <w:marTop w:val="0"/>
      <w:marBottom w:val="0"/>
      <w:divBdr>
        <w:top w:val="none" w:sz="0" w:space="0" w:color="auto"/>
        <w:left w:val="none" w:sz="0" w:space="0" w:color="auto"/>
        <w:bottom w:val="none" w:sz="0" w:space="0" w:color="auto"/>
        <w:right w:val="none" w:sz="0" w:space="0" w:color="auto"/>
      </w:divBdr>
      <w:divsChild>
        <w:div w:id="263075060">
          <w:marLeft w:val="0"/>
          <w:marRight w:val="0"/>
          <w:marTop w:val="0"/>
          <w:marBottom w:val="0"/>
          <w:divBdr>
            <w:top w:val="none" w:sz="0" w:space="0" w:color="auto"/>
            <w:left w:val="none" w:sz="0" w:space="0" w:color="auto"/>
            <w:bottom w:val="none" w:sz="0" w:space="0" w:color="auto"/>
            <w:right w:val="none" w:sz="0" w:space="0" w:color="auto"/>
          </w:divBdr>
        </w:div>
      </w:divsChild>
    </w:div>
    <w:div w:id="499858065">
      <w:bodyDiv w:val="1"/>
      <w:marLeft w:val="0"/>
      <w:marRight w:val="0"/>
      <w:marTop w:val="0"/>
      <w:marBottom w:val="0"/>
      <w:divBdr>
        <w:top w:val="none" w:sz="0" w:space="0" w:color="auto"/>
        <w:left w:val="none" w:sz="0" w:space="0" w:color="auto"/>
        <w:bottom w:val="none" w:sz="0" w:space="0" w:color="auto"/>
        <w:right w:val="none" w:sz="0" w:space="0" w:color="auto"/>
      </w:divBdr>
    </w:div>
    <w:div w:id="500121908">
      <w:bodyDiv w:val="1"/>
      <w:marLeft w:val="0"/>
      <w:marRight w:val="0"/>
      <w:marTop w:val="0"/>
      <w:marBottom w:val="0"/>
      <w:divBdr>
        <w:top w:val="none" w:sz="0" w:space="0" w:color="auto"/>
        <w:left w:val="none" w:sz="0" w:space="0" w:color="auto"/>
        <w:bottom w:val="none" w:sz="0" w:space="0" w:color="auto"/>
        <w:right w:val="none" w:sz="0" w:space="0" w:color="auto"/>
      </w:divBdr>
      <w:divsChild>
        <w:div w:id="762531806">
          <w:marLeft w:val="0"/>
          <w:marRight w:val="0"/>
          <w:marTop w:val="0"/>
          <w:marBottom w:val="0"/>
          <w:divBdr>
            <w:top w:val="none" w:sz="0" w:space="0" w:color="auto"/>
            <w:left w:val="none" w:sz="0" w:space="0" w:color="auto"/>
            <w:bottom w:val="dotted" w:sz="6" w:space="4" w:color="DDDDDD"/>
            <w:right w:val="none" w:sz="0" w:space="0" w:color="auto"/>
          </w:divBdr>
          <w:divsChild>
            <w:div w:id="188582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43729">
      <w:bodyDiv w:val="1"/>
      <w:marLeft w:val="0"/>
      <w:marRight w:val="0"/>
      <w:marTop w:val="0"/>
      <w:marBottom w:val="0"/>
      <w:divBdr>
        <w:top w:val="none" w:sz="0" w:space="0" w:color="auto"/>
        <w:left w:val="none" w:sz="0" w:space="0" w:color="auto"/>
        <w:bottom w:val="none" w:sz="0" w:space="0" w:color="auto"/>
        <w:right w:val="none" w:sz="0" w:space="0" w:color="auto"/>
      </w:divBdr>
    </w:div>
    <w:div w:id="500701593">
      <w:bodyDiv w:val="1"/>
      <w:marLeft w:val="0"/>
      <w:marRight w:val="0"/>
      <w:marTop w:val="0"/>
      <w:marBottom w:val="0"/>
      <w:divBdr>
        <w:top w:val="none" w:sz="0" w:space="0" w:color="auto"/>
        <w:left w:val="none" w:sz="0" w:space="0" w:color="auto"/>
        <w:bottom w:val="none" w:sz="0" w:space="0" w:color="auto"/>
        <w:right w:val="none" w:sz="0" w:space="0" w:color="auto"/>
      </w:divBdr>
      <w:divsChild>
        <w:div w:id="1678343501">
          <w:marLeft w:val="0"/>
          <w:marRight w:val="0"/>
          <w:marTop w:val="0"/>
          <w:marBottom w:val="0"/>
          <w:divBdr>
            <w:top w:val="single" w:sz="6" w:space="0" w:color="999999"/>
            <w:left w:val="single" w:sz="6" w:space="0" w:color="999999"/>
            <w:bottom w:val="single" w:sz="6" w:space="0" w:color="999999"/>
            <w:right w:val="single" w:sz="6" w:space="0" w:color="999999"/>
          </w:divBdr>
          <w:divsChild>
            <w:div w:id="694502888">
              <w:marLeft w:val="0"/>
              <w:marRight w:val="0"/>
              <w:marTop w:val="225"/>
              <w:marBottom w:val="0"/>
              <w:divBdr>
                <w:top w:val="single" w:sz="6" w:space="0" w:color="FFFFFF"/>
                <w:left w:val="none" w:sz="0" w:space="0" w:color="auto"/>
                <w:bottom w:val="none" w:sz="0" w:space="0" w:color="auto"/>
                <w:right w:val="none" w:sz="0" w:space="0" w:color="auto"/>
              </w:divBdr>
              <w:divsChild>
                <w:div w:id="889848980">
                  <w:marLeft w:val="0"/>
                  <w:marRight w:val="0"/>
                  <w:marTop w:val="0"/>
                  <w:marBottom w:val="0"/>
                  <w:divBdr>
                    <w:top w:val="none" w:sz="0" w:space="0" w:color="auto"/>
                    <w:left w:val="none" w:sz="0" w:space="0" w:color="auto"/>
                    <w:bottom w:val="none" w:sz="0" w:space="0" w:color="auto"/>
                    <w:right w:val="none" w:sz="0" w:space="0" w:color="auto"/>
                  </w:divBdr>
                  <w:divsChild>
                    <w:div w:id="1670139527">
                      <w:marLeft w:val="0"/>
                      <w:marRight w:val="15"/>
                      <w:marTop w:val="0"/>
                      <w:marBottom w:val="0"/>
                      <w:divBdr>
                        <w:top w:val="none" w:sz="0" w:space="0" w:color="auto"/>
                        <w:left w:val="none" w:sz="0" w:space="0" w:color="auto"/>
                        <w:bottom w:val="none" w:sz="0" w:space="0" w:color="auto"/>
                        <w:right w:val="none" w:sz="0" w:space="0" w:color="auto"/>
                      </w:divBdr>
                      <w:divsChild>
                        <w:div w:id="1427462133">
                          <w:marLeft w:val="0"/>
                          <w:marRight w:val="0"/>
                          <w:marTop w:val="0"/>
                          <w:marBottom w:val="0"/>
                          <w:divBdr>
                            <w:top w:val="none" w:sz="0" w:space="0" w:color="auto"/>
                            <w:left w:val="none" w:sz="0" w:space="0" w:color="auto"/>
                            <w:bottom w:val="none" w:sz="0" w:space="0" w:color="auto"/>
                            <w:right w:val="none" w:sz="0" w:space="0" w:color="auto"/>
                          </w:divBdr>
                          <w:divsChild>
                            <w:div w:id="250549779">
                              <w:marLeft w:val="150"/>
                              <w:marRight w:val="105"/>
                              <w:marTop w:val="0"/>
                              <w:marBottom w:val="180"/>
                              <w:divBdr>
                                <w:top w:val="none" w:sz="0" w:space="0" w:color="auto"/>
                                <w:left w:val="none" w:sz="0" w:space="0" w:color="auto"/>
                                <w:bottom w:val="none" w:sz="0" w:space="0" w:color="auto"/>
                                <w:right w:val="none" w:sz="0" w:space="0" w:color="auto"/>
                              </w:divBdr>
                              <w:divsChild>
                                <w:div w:id="269047177">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892733">
      <w:bodyDiv w:val="1"/>
      <w:marLeft w:val="0"/>
      <w:marRight w:val="0"/>
      <w:marTop w:val="0"/>
      <w:marBottom w:val="0"/>
      <w:divBdr>
        <w:top w:val="none" w:sz="0" w:space="0" w:color="auto"/>
        <w:left w:val="none" w:sz="0" w:space="0" w:color="auto"/>
        <w:bottom w:val="none" w:sz="0" w:space="0" w:color="auto"/>
        <w:right w:val="none" w:sz="0" w:space="0" w:color="auto"/>
      </w:divBdr>
    </w:div>
    <w:div w:id="500895993">
      <w:bodyDiv w:val="1"/>
      <w:marLeft w:val="0"/>
      <w:marRight w:val="0"/>
      <w:marTop w:val="0"/>
      <w:marBottom w:val="0"/>
      <w:divBdr>
        <w:top w:val="none" w:sz="0" w:space="0" w:color="auto"/>
        <w:left w:val="none" w:sz="0" w:space="0" w:color="auto"/>
        <w:bottom w:val="none" w:sz="0" w:space="0" w:color="auto"/>
        <w:right w:val="none" w:sz="0" w:space="0" w:color="auto"/>
      </w:divBdr>
      <w:divsChild>
        <w:div w:id="1039474322">
          <w:marLeft w:val="0"/>
          <w:marRight w:val="0"/>
          <w:marTop w:val="150"/>
          <w:marBottom w:val="0"/>
          <w:divBdr>
            <w:top w:val="none" w:sz="0" w:space="0" w:color="auto"/>
            <w:left w:val="none" w:sz="0" w:space="0" w:color="auto"/>
            <w:bottom w:val="none" w:sz="0" w:space="0" w:color="auto"/>
            <w:right w:val="none" w:sz="0" w:space="0" w:color="auto"/>
          </w:divBdr>
          <w:divsChild>
            <w:div w:id="1622110925">
              <w:marLeft w:val="0"/>
              <w:marRight w:val="0"/>
              <w:marTop w:val="0"/>
              <w:marBottom w:val="0"/>
              <w:divBdr>
                <w:top w:val="none" w:sz="0" w:space="0" w:color="auto"/>
                <w:left w:val="none" w:sz="0" w:space="0" w:color="auto"/>
                <w:bottom w:val="none" w:sz="0" w:space="0" w:color="auto"/>
                <w:right w:val="none" w:sz="0" w:space="0" w:color="auto"/>
              </w:divBdr>
              <w:divsChild>
                <w:div w:id="130030080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57463442">
          <w:marLeft w:val="0"/>
          <w:marRight w:val="0"/>
          <w:marTop w:val="0"/>
          <w:marBottom w:val="0"/>
          <w:divBdr>
            <w:top w:val="none" w:sz="0" w:space="0" w:color="auto"/>
            <w:left w:val="none" w:sz="0" w:space="0" w:color="auto"/>
            <w:bottom w:val="none" w:sz="0" w:space="0" w:color="auto"/>
            <w:right w:val="none" w:sz="0" w:space="0" w:color="auto"/>
          </w:divBdr>
          <w:divsChild>
            <w:div w:id="168108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287564">
      <w:bodyDiv w:val="1"/>
      <w:marLeft w:val="0"/>
      <w:marRight w:val="0"/>
      <w:marTop w:val="0"/>
      <w:marBottom w:val="0"/>
      <w:divBdr>
        <w:top w:val="none" w:sz="0" w:space="0" w:color="auto"/>
        <w:left w:val="none" w:sz="0" w:space="0" w:color="auto"/>
        <w:bottom w:val="none" w:sz="0" w:space="0" w:color="auto"/>
        <w:right w:val="none" w:sz="0" w:space="0" w:color="auto"/>
      </w:divBdr>
    </w:div>
    <w:div w:id="501361640">
      <w:bodyDiv w:val="1"/>
      <w:marLeft w:val="0"/>
      <w:marRight w:val="0"/>
      <w:marTop w:val="0"/>
      <w:marBottom w:val="0"/>
      <w:divBdr>
        <w:top w:val="none" w:sz="0" w:space="0" w:color="auto"/>
        <w:left w:val="none" w:sz="0" w:space="0" w:color="auto"/>
        <w:bottom w:val="none" w:sz="0" w:space="0" w:color="auto"/>
        <w:right w:val="none" w:sz="0" w:space="0" w:color="auto"/>
      </w:divBdr>
      <w:divsChild>
        <w:div w:id="1508591812">
          <w:marLeft w:val="0"/>
          <w:marRight w:val="0"/>
          <w:marTop w:val="0"/>
          <w:marBottom w:val="150"/>
          <w:divBdr>
            <w:top w:val="none" w:sz="0" w:space="0" w:color="auto"/>
            <w:left w:val="none" w:sz="0" w:space="0" w:color="auto"/>
            <w:bottom w:val="none" w:sz="0" w:space="0" w:color="auto"/>
            <w:right w:val="none" w:sz="0" w:space="0" w:color="auto"/>
          </w:divBdr>
        </w:div>
      </w:divsChild>
    </w:div>
    <w:div w:id="501429707">
      <w:bodyDiv w:val="1"/>
      <w:marLeft w:val="0"/>
      <w:marRight w:val="0"/>
      <w:marTop w:val="0"/>
      <w:marBottom w:val="0"/>
      <w:divBdr>
        <w:top w:val="none" w:sz="0" w:space="0" w:color="auto"/>
        <w:left w:val="none" w:sz="0" w:space="0" w:color="auto"/>
        <w:bottom w:val="none" w:sz="0" w:space="0" w:color="auto"/>
        <w:right w:val="none" w:sz="0" w:space="0" w:color="auto"/>
      </w:divBdr>
      <w:divsChild>
        <w:div w:id="1658683055">
          <w:marLeft w:val="0"/>
          <w:marRight w:val="0"/>
          <w:marTop w:val="0"/>
          <w:marBottom w:val="0"/>
          <w:divBdr>
            <w:top w:val="none" w:sz="0" w:space="0" w:color="auto"/>
            <w:left w:val="none" w:sz="0" w:space="0" w:color="auto"/>
            <w:bottom w:val="dotted" w:sz="6" w:space="4" w:color="DDDDDD"/>
            <w:right w:val="none" w:sz="0" w:space="0" w:color="auto"/>
          </w:divBdr>
          <w:divsChild>
            <w:div w:id="71539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513538">
      <w:bodyDiv w:val="1"/>
      <w:marLeft w:val="0"/>
      <w:marRight w:val="0"/>
      <w:marTop w:val="0"/>
      <w:marBottom w:val="0"/>
      <w:divBdr>
        <w:top w:val="none" w:sz="0" w:space="0" w:color="auto"/>
        <w:left w:val="none" w:sz="0" w:space="0" w:color="auto"/>
        <w:bottom w:val="none" w:sz="0" w:space="0" w:color="auto"/>
        <w:right w:val="none" w:sz="0" w:space="0" w:color="auto"/>
      </w:divBdr>
      <w:divsChild>
        <w:div w:id="975599518">
          <w:marLeft w:val="0"/>
          <w:marRight w:val="0"/>
          <w:marTop w:val="0"/>
          <w:marBottom w:val="150"/>
          <w:divBdr>
            <w:top w:val="none" w:sz="0" w:space="0" w:color="auto"/>
            <w:left w:val="none" w:sz="0" w:space="0" w:color="auto"/>
            <w:bottom w:val="none" w:sz="0" w:space="0" w:color="auto"/>
            <w:right w:val="none" w:sz="0" w:space="0" w:color="auto"/>
          </w:divBdr>
        </w:div>
        <w:div w:id="1014307652">
          <w:marLeft w:val="0"/>
          <w:marRight w:val="0"/>
          <w:marTop w:val="0"/>
          <w:marBottom w:val="0"/>
          <w:divBdr>
            <w:top w:val="none" w:sz="0" w:space="0" w:color="auto"/>
            <w:left w:val="none" w:sz="0" w:space="0" w:color="auto"/>
            <w:bottom w:val="none" w:sz="0" w:space="0" w:color="auto"/>
            <w:right w:val="none" w:sz="0" w:space="0" w:color="auto"/>
          </w:divBdr>
          <w:divsChild>
            <w:div w:id="54478574">
              <w:marLeft w:val="0"/>
              <w:marRight w:val="0"/>
              <w:marTop w:val="225"/>
              <w:marBottom w:val="225"/>
              <w:divBdr>
                <w:top w:val="none" w:sz="0" w:space="0" w:color="auto"/>
                <w:left w:val="none" w:sz="0" w:space="0" w:color="auto"/>
                <w:bottom w:val="none" w:sz="0" w:space="0" w:color="auto"/>
                <w:right w:val="none" w:sz="0" w:space="0" w:color="auto"/>
              </w:divBdr>
            </w:div>
          </w:divsChild>
        </w:div>
        <w:div w:id="1843005982">
          <w:marLeft w:val="0"/>
          <w:marRight w:val="0"/>
          <w:marTop w:val="0"/>
          <w:marBottom w:val="150"/>
          <w:divBdr>
            <w:top w:val="none" w:sz="0" w:space="0" w:color="auto"/>
            <w:left w:val="none" w:sz="0" w:space="0" w:color="auto"/>
            <w:bottom w:val="none" w:sz="0" w:space="0" w:color="auto"/>
            <w:right w:val="none" w:sz="0" w:space="0" w:color="auto"/>
          </w:divBdr>
          <w:divsChild>
            <w:div w:id="454099827">
              <w:marLeft w:val="0"/>
              <w:marRight w:val="0"/>
              <w:marTop w:val="0"/>
              <w:marBottom w:val="0"/>
              <w:divBdr>
                <w:top w:val="none" w:sz="0" w:space="0" w:color="auto"/>
                <w:left w:val="none" w:sz="0" w:space="0" w:color="auto"/>
                <w:bottom w:val="none" w:sz="0" w:space="0" w:color="auto"/>
                <w:right w:val="none" w:sz="0" w:space="0" w:color="auto"/>
              </w:divBdr>
              <w:divsChild>
                <w:div w:id="107442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552184">
      <w:bodyDiv w:val="1"/>
      <w:marLeft w:val="0"/>
      <w:marRight w:val="0"/>
      <w:marTop w:val="0"/>
      <w:marBottom w:val="0"/>
      <w:divBdr>
        <w:top w:val="none" w:sz="0" w:space="0" w:color="auto"/>
        <w:left w:val="none" w:sz="0" w:space="0" w:color="auto"/>
        <w:bottom w:val="none" w:sz="0" w:space="0" w:color="auto"/>
        <w:right w:val="none" w:sz="0" w:space="0" w:color="auto"/>
      </w:divBdr>
      <w:divsChild>
        <w:div w:id="829250010">
          <w:marLeft w:val="0"/>
          <w:marRight w:val="0"/>
          <w:marTop w:val="0"/>
          <w:marBottom w:val="150"/>
          <w:divBdr>
            <w:top w:val="none" w:sz="0" w:space="0" w:color="auto"/>
            <w:left w:val="none" w:sz="0" w:space="0" w:color="auto"/>
            <w:bottom w:val="none" w:sz="0" w:space="0" w:color="auto"/>
            <w:right w:val="none" w:sz="0" w:space="0" w:color="auto"/>
          </w:divBdr>
        </w:div>
      </w:divsChild>
    </w:div>
    <w:div w:id="501706912">
      <w:bodyDiv w:val="1"/>
      <w:marLeft w:val="0"/>
      <w:marRight w:val="0"/>
      <w:marTop w:val="0"/>
      <w:marBottom w:val="0"/>
      <w:divBdr>
        <w:top w:val="none" w:sz="0" w:space="0" w:color="auto"/>
        <w:left w:val="none" w:sz="0" w:space="0" w:color="auto"/>
        <w:bottom w:val="none" w:sz="0" w:space="0" w:color="auto"/>
        <w:right w:val="none" w:sz="0" w:space="0" w:color="auto"/>
      </w:divBdr>
      <w:divsChild>
        <w:div w:id="1842503452">
          <w:marLeft w:val="0"/>
          <w:marRight w:val="0"/>
          <w:marTop w:val="0"/>
          <w:marBottom w:val="0"/>
          <w:divBdr>
            <w:top w:val="none" w:sz="0" w:space="0" w:color="auto"/>
            <w:left w:val="none" w:sz="0" w:space="0" w:color="auto"/>
            <w:bottom w:val="none" w:sz="0" w:space="0" w:color="auto"/>
            <w:right w:val="none" w:sz="0" w:space="0" w:color="auto"/>
          </w:divBdr>
        </w:div>
        <w:div w:id="1872836185">
          <w:marLeft w:val="0"/>
          <w:marRight w:val="0"/>
          <w:marTop w:val="0"/>
          <w:marBottom w:val="0"/>
          <w:divBdr>
            <w:top w:val="none" w:sz="0" w:space="0" w:color="auto"/>
            <w:left w:val="none" w:sz="0" w:space="0" w:color="auto"/>
            <w:bottom w:val="none" w:sz="0" w:space="0" w:color="auto"/>
            <w:right w:val="none" w:sz="0" w:space="0" w:color="auto"/>
          </w:divBdr>
          <w:divsChild>
            <w:div w:id="13256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773701">
      <w:bodyDiv w:val="1"/>
      <w:marLeft w:val="0"/>
      <w:marRight w:val="0"/>
      <w:marTop w:val="0"/>
      <w:marBottom w:val="0"/>
      <w:divBdr>
        <w:top w:val="none" w:sz="0" w:space="0" w:color="auto"/>
        <w:left w:val="none" w:sz="0" w:space="0" w:color="auto"/>
        <w:bottom w:val="none" w:sz="0" w:space="0" w:color="auto"/>
        <w:right w:val="none" w:sz="0" w:space="0" w:color="auto"/>
      </w:divBdr>
    </w:div>
    <w:div w:id="501893767">
      <w:bodyDiv w:val="1"/>
      <w:marLeft w:val="0"/>
      <w:marRight w:val="0"/>
      <w:marTop w:val="0"/>
      <w:marBottom w:val="0"/>
      <w:divBdr>
        <w:top w:val="none" w:sz="0" w:space="0" w:color="auto"/>
        <w:left w:val="none" w:sz="0" w:space="0" w:color="auto"/>
        <w:bottom w:val="none" w:sz="0" w:space="0" w:color="auto"/>
        <w:right w:val="none" w:sz="0" w:space="0" w:color="auto"/>
      </w:divBdr>
    </w:div>
    <w:div w:id="501900129">
      <w:bodyDiv w:val="1"/>
      <w:marLeft w:val="0"/>
      <w:marRight w:val="0"/>
      <w:marTop w:val="0"/>
      <w:marBottom w:val="0"/>
      <w:divBdr>
        <w:top w:val="none" w:sz="0" w:space="0" w:color="auto"/>
        <w:left w:val="none" w:sz="0" w:space="0" w:color="auto"/>
        <w:bottom w:val="none" w:sz="0" w:space="0" w:color="auto"/>
        <w:right w:val="none" w:sz="0" w:space="0" w:color="auto"/>
      </w:divBdr>
      <w:divsChild>
        <w:div w:id="1705592894">
          <w:marLeft w:val="0"/>
          <w:marRight w:val="0"/>
          <w:marTop w:val="0"/>
          <w:marBottom w:val="0"/>
          <w:divBdr>
            <w:top w:val="none" w:sz="0" w:space="0" w:color="auto"/>
            <w:left w:val="none" w:sz="0" w:space="0" w:color="auto"/>
            <w:bottom w:val="none" w:sz="0" w:space="0" w:color="auto"/>
            <w:right w:val="none" w:sz="0" w:space="0" w:color="auto"/>
          </w:divBdr>
          <w:divsChild>
            <w:div w:id="20354231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1968099">
      <w:bodyDiv w:val="1"/>
      <w:marLeft w:val="0"/>
      <w:marRight w:val="0"/>
      <w:marTop w:val="0"/>
      <w:marBottom w:val="0"/>
      <w:divBdr>
        <w:top w:val="none" w:sz="0" w:space="0" w:color="auto"/>
        <w:left w:val="none" w:sz="0" w:space="0" w:color="auto"/>
        <w:bottom w:val="none" w:sz="0" w:space="0" w:color="auto"/>
        <w:right w:val="none" w:sz="0" w:space="0" w:color="auto"/>
      </w:divBdr>
    </w:div>
    <w:div w:id="502162322">
      <w:bodyDiv w:val="1"/>
      <w:marLeft w:val="0"/>
      <w:marRight w:val="0"/>
      <w:marTop w:val="0"/>
      <w:marBottom w:val="0"/>
      <w:divBdr>
        <w:top w:val="none" w:sz="0" w:space="0" w:color="auto"/>
        <w:left w:val="none" w:sz="0" w:space="0" w:color="auto"/>
        <w:bottom w:val="none" w:sz="0" w:space="0" w:color="auto"/>
        <w:right w:val="none" w:sz="0" w:space="0" w:color="auto"/>
      </w:divBdr>
      <w:divsChild>
        <w:div w:id="1444959726">
          <w:marLeft w:val="0"/>
          <w:marRight w:val="0"/>
          <w:marTop w:val="0"/>
          <w:marBottom w:val="0"/>
          <w:divBdr>
            <w:top w:val="none" w:sz="0" w:space="0" w:color="auto"/>
            <w:left w:val="none" w:sz="0" w:space="0" w:color="auto"/>
            <w:bottom w:val="none" w:sz="0" w:space="0" w:color="auto"/>
            <w:right w:val="none" w:sz="0" w:space="0" w:color="auto"/>
          </w:divBdr>
          <w:divsChild>
            <w:div w:id="1278754012">
              <w:marLeft w:val="0"/>
              <w:marRight w:val="0"/>
              <w:marTop w:val="0"/>
              <w:marBottom w:val="0"/>
              <w:divBdr>
                <w:top w:val="none" w:sz="0" w:space="0" w:color="auto"/>
                <w:left w:val="none" w:sz="0" w:space="0" w:color="auto"/>
                <w:bottom w:val="none" w:sz="0" w:space="0" w:color="auto"/>
                <w:right w:val="none" w:sz="0" w:space="0" w:color="auto"/>
              </w:divBdr>
              <w:divsChild>
                <w:div w:id="277954650">
                  <w:marLeft w:val="0"/>
                  <w:marRight w:val="0"/>
                  <w:marTop w:val="0"/>
                  <w:marBottom w:val="0"/>
                  <w:divBdr>
                    <w:top w:val="none" w:sz="0" w:space="0" w:color="auto"/>
                    <w:left w:val="none" w:sz="0" w:space="0" w:color="auto"/>
                    <w:bottom w:val="none" w:sz="0" w:space="0" w:color="auto"/>
                    <w:right w:val="none" w:sz="0" w:space="0" w:color="auto"/>
                  </w:divBdr>
                  <w:divsChild>
                    <w:div w:id="807937594">
                      <w:marLeft w:val="0"/>
                      <w:marRight w:val="0"/>
                      <w:marTop w:val="0"/>
                      <w:marBottom w:val="0"/>
                      <w:divBdr>
                        <w:top w:val="none" w:sz="0" w:space="0" w:color="auto"/>
                        <w:left w:val="none" w:sz="0" w:space="0" w:color="auto"/>
                        <w:bottom w:val="none" w:sz="0" w:space="0" w:color="auto"/>
                        <w:right w:val="none" w:sz="0" w:space="0" w:color="auto"/>
                      </w:divBdr>
                      <w:divsChild>
                        <w:div w:id="2107925128">
                          <w:marLeft w:val="0"/>
                          <w:marRight w:val="0"/>
                          <w:marTop w:val="0"/>
                          <w:marBottom w:val="0"/>
                          <w:divBdr>
                            <w:top w:val="none" w:sz="0" w:space="0" w:color="auto"/>
                            <w:left w:val="none" w:sz="0" w:space="0" w:color="auto"/>
                            <w:bottom w:val="none" w:sz="0" w:space="0" w:color="auto"/>
                            <w:right w:val="none" w:sz="0" w:space="0" w:color="auto"/>
                          </w:divBdr>
                          <w:divsChild>
                            <w:div w:id="332151135">
                              <w:marLeft w:val="0"/>
                              <w:marRight w:val="0"/>
                              <w:marTop w:val="0"/>
                              <w:marBottom w:val="0"/>
                              <w:divBdr>
                                <w:top w:val="none" w:sz="0" w:space="0" w:color="auto"/>
                                <w:left w:val="none" w:sz="0" w:space="0" w:color="auto"/>
                                <w:bottom w:val="none" w:sz="0" w:space="0" w:color="auto"/>
                                <w:right w:val="none" w:sz="0" w:space="0" w:color="auto"/>
                              </w:divBdr>
                              <w:divsChild>
                                <w:div w:id="1062751785">
                                  <w:marLeft w:val="0"/>
                                  <w:marRight w:val="0"/>
                                  <w:marTop w:val="0"/>
                                  <w:marBottom w:val="0"/>
                                  <w:divBdr>
                                    <w:top w:val="none" w:sz="0" w:space="0" w:color="auto"/>
                                    <w:left w:val="none" w:sz="0" w:space="0" w:color="auto"/>
                                    <w:bottom w:val="none" w:sz="0" w:space="0" w:color="auto"/>
                                    <w:right w:val="none" w:sz="0" w:space="0" w:color="auto"/>
                                  </w:divBdr>
                                  <w:divsChild>
                                    <w:div w:id="306861894">
                                      <w:marLeft w:val="0"/>
                                      <w:marRight w:val="0"/>
                                      <w:marTop w:val="0"/>
                                      <w:marBottom w:val="0"/>
                                      <w:divBdr>
                                        <w:top w:val="none" w:sz="0" w:space="0" w:color="auto"/>
                                        <w:left w:val="none" w:sz="0" w:space="0" w:color="auto"/>
                                        <w:bottom w:val="none" w:sz="0" w:space="0" w:color="auto"/>
                                        <w:right w:val="none" w:sz="0" w:space="0" w:color="auto"/>
                                      </w:divBdr>
                                      <w:divsChild>
                                        <w:div w:id="140063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2209474">
      <w:bodyDiv w:val="1"/>
      <w:marLeft w:val="0"/>
      <w:marRight w:val="0"/>
      <w:marTop w:val="0"/>
      <w:marBottom w:val="0"/>
      <w:divBdr>
        <w:top w:val="none" w:sz="0" w:space="0" w:color="auto"/>
        <w:left w:val="none" w:sz="0" w:space="0" w:color="auto"/>
        <w:bottom w:val="none" w:sz="0" w:space="0" w:color="auto"/>
        <w:right w:val="none" w:sz="0" w:space="0" w:color="auto"/>
      </w:divBdr>
      <w:divsChild>
        <w:div w:id="166217710">
          <w:marLeft w:val="0"/>
          <w:marRight w:val="0"/>
          <w:marTop w:val="0"/>
          <w:marBottom w:val="0"/>
          <w:divBdr>
            <w:top w:val="none" w:sz="0" w:space="0" w:color="auto"/>
            <w:left w:val="none" w:sz="0" w:space="0" w:color="auto"/>
            <w:bottom w:val="none" w:sz="0" w:space="0" w:color="auto"/>
            <w:right w:val="none" w:sz="0" w:space="0" w:color="auto"/>
          </w:divBdr>
          <w:divsChild>
            <w:div w:id="1618566014">
              <w:marLeft w:val="0"/>
              <w:marRight w:val="0"/>
              <w:marTop w:val="0"/>
              <w:marBottom w:val="0"/>
              <w:divBdr>
                <w:top w:val="none" w:sz="0" w:space="0" w:color="auto"/>
                <w:left w:val="none" w:sz="0" w:space="0" w:color="auto"/>
                <w:bottom w:val="none" w:sz="0" w:space="0" w:color="auto"/>
                <w:right w:val="none" w:sz="0" w:space="0" w:color="auto"/>
              </w:divBdr>
              <w:divsChild>
                <w:div w:id="754327126">
                  <w:marLeft w:val="0"/>
                  <w:marRight w:val="0"/>
                  <w:marTop w:val="0"/>
                  <w:marBottom w:val="0"/>
                  <w:divBdr>
                    <w:top w:val="none" w:sz="0" w:space="0" w:color="auto"/>
                    <w:left w:val="none" w:sz="0" w:space="0" w:color="auto"/>
                    <w:bottom w:val="none" w:sz="0" w:space="0" w:color="auto"/>
                    <w:right w:val="none" w:sz="0" w:space="0" w:color="auto"/>
                  </w:divBdr>
                  <w:divsChild>
                    <w:div w:id="230703797">
                      <w:marLeft w:val="0"/>
                      <w:marRight w:val="0"/>
                      <w:marTop w:val="0"/>
                      <w:marBottom w:val="0"/>
                      <w:divBdr>
                        <w:top w:val="none" w:sz="0" w:space="0" w:color="auto"/>
                        <w:left w:val="none" w:sz="0" w:space="0" w:color="auto"/>
                        <w:bottom w:val="none" w:sz="0" w:space="0" w:color="auto"/>
                        <w:right w:val="none" w:sz="0" w:space="0" w:color="auto"/>
                      </w:divBdr>
                      <w:divsChild>
                        <w:div w:id="1417633255">
                          <w:marLeft w:val="0"/>
                          <w:marRight w:val="0"/>
                          <w:marTop w:val="0"/>
                          <w:marBottom w:val="0"/>
                          <w:divBdr>
                            <w:top w:val="none" w:sz="0" w:space="0" w:color="auto"/>
                            <w:left w:val="none" w:sz="0" w:space="0" w:color="auto"/>
                            <w:bottom w:val="none" w:sz="0" w:space="0" w:color="auto"/>
                            <w:right w:val="none" w:sz="0" w:space="0" w:color="auto"/>
                          </w:divBdr>
                          <w:divsChild>
                            <w:div w:id="817693738">
                              <w:marLeft w:val="0"/>
                              <w:marRight w:val="0"/>
                              <w:marTop w:val="0"/>
                              <w:marBottom w:val="0"/>
                              <w:divBdr>
                                <w:top w:val="none" w:sz="0" w:space="0" w:color="auto"/>
                                <w:left w:val="none" w:sz="0" w:space="0" w:color="auto"/>
                                <w:bottom w:val="none" w:sz="0" w:space="0" w:color="auto"/>
                                <w:right w:val="none" w:sz="0" w:space="0" w:color="auto"/>
                              </w:divBdr>
                              <w:divsChild>
                                <w:div w:id="799297883">
                                  <w:marLeft w:val="0"/>
                                  <w:marRight w:val="0"/>
                                  <w:marTop w:val="0"/>
                                  <w:marBottom w:val="75"/>
                                  <w:divBdr>
                                    <w:top w:val="none" w:sz="0" w:space="0" w:color="auto"/>
                                    <w:left w:val="none" w:sz="0" w:space="0" w:color="auto"/>
                                    <w:bottom w:val="none" w:sz="0" w:space="0" w:color="auto"/>
                                    <w:right w:val="none" w:sz="0" w:space="0" w:color="auto"/>
                                  </w:divBdr>
                                  <w:divsChild>
                                    <w:div w:id="1502352323">
                                      <w:marLeft w:val="0"/>
                                      <w:marRight w:val="0"/>
                                      <w:marTop w:val="0"/>
                                      <w:marBottom w:val="0"/>
                                      <w:divBdr>
                                        <w:top w:val="none" w:sz="0" w:space="0" w:color="auto"/>
                                        <w:left w:val="none" w:sz="0" w:space="0" w:color="auto"/>
                                        <w:bottom w:val="none" w:sz="0" w:space="0" w:color="auto"/>
                                        <w:right w:val="none" w:sz="0" w:space="0" w:color="auto"/>
                                      </w:divBdr>
                                      <w:divsChild>
                                        <w:div w:id="1082751674">
                                          <w:marLeft w:val="0"/>
                                          <w:marRight w:val="0"/>
                                          <w:marTop w:val="0"/>
                                          <w:marBottom w:val="0"/>
                                          <w:divBdr>
                                            <w:top w:val="none" w:sz="0" w:space="0" w:color="auto"/>
                                            <w:left w:val="none" w:sz="0" w:space="0" w:color="auto"/>
                                            <w:bottom w:val="none" w:sz="0" w:space="0" w:color="auto"/>
                                            <w:right w:val="none" w:sz="0" w:space="0" w:color="auto"/>
                                          </w:divBdr>
                                          <w:divsChild>
                                            <w:div w:id="1809979649">
                                              <w:marLeft w:val="0"/>
                                              <w:marRight w:val="0"/>
                                              <w:marTop w:val="0"/>
                                              <w:marBottom w:val="0"/>
                                              <w:divBdr>
                                                <w:top w:val="none" w:sz="0" w:space="0" w:color="auto"/>
                                                <w:left w:val="none" w:sz="0" w:space="0" w:color="auto"/>
                                                <w:bottom w:val="none" w:sz="0" w:space="0" w:color="auto"/>
                                                <w:right w:val="none" w:sz="0" w:space="0" w:color="auto"/>
                                              </w:divBdr>
                                              <w:divsChild>
                                                <w:div w:id="20567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2362255">
      <w:bodyDiv w:val="1"/>
      <w:marLeft w:val="0"/>
      <w:marRight w:val="0"/>
      <w:marTop w:val="0"/>
      <w:marBottom w:val="0"/>
      <w:divBdr>
        <w:top w:val="none" w:sz="0" w:space="0" w:color="auto"/>
        <w:left w:val="none" w:sz="0" w:space="0" w:color="auto"/>
        <w:bottom w:val="none" w:sz="0" w:space="0" w:color="auto"/>
        <w:right w:val="none" w:sz="0" w:space="0" w:color="auto"/>
      </w:divBdr>
    </w:div>
    <w:div w:id="502934419">
      <w:bodyDiv w:val="1"/>
      <w:marLeft w:val="0"/>
      <w:marRight w:val="0"/>
      <w:marTop w:val="0"/>
      <w:marBottom w:val="0"/>
      <w:divBdr>
        <w:top w:val="none" w:sz="0" w:space="0" w:color="auto"/>
        <w:left w:val="none" w:sz="0" w:space="0" w:color="auto"/>
        <w:bottom w:val="none" w:sz="0" w:space="0" w:color="auto"/>
        <w:right w:val="none" w:sz="0" w:space="0" w:color="auto"/>
      </w:divBdr>
      <w:divsChild>
        <w:div w:id="89401569">
          <w:marLeft w:val="0"/>
          <w:marRight w:val="0"/>
          <w:marTop w:val="0"/>
          <w:marBottom w:val="300"/>
          <w:divBdr>
            <w:top w:val="none" w:sz="0" w:space="0" w:color="auto"/>
            <w:left w:val="none" w:sz="0" w:space="0" w:color="auto"/>
            <w:bottom w:val="none" w:sz="0" w:space="0" w:color="auto"/>
            <w:right w:val="none" w:sz="0" w:space="0" w:color="auto"/>
          </w:divBdr>
          <w:divsChild>
            <w:div w:id="201022794">
              <w:marLeft w:val="0"/>
              <w:marRight w:val="0"/>
              <w:marTop w:val="0"/>
              <w:marBottom w:val="0"/>
              <w:divBdr>
                <w:top w:val="none" w:sz="0" w:space="0" w:color="auto"/>
                <w:left w:val="none" w:sz="0" w:space="0" w:color="auto"/>
                <w:bottom w:val="none" w:sz="0" w:space="0" w:color="auto"/>
                <w:right w:val="none" w:sz="0" w:space="0" w:color="auto"/>
              </w:divBdr>
            </w:div>
          </w:divsChild>
        </w:div>
        <w:div w:id="443117838">
          <w:marLeft w:val="0"/>
          <w:marRight w:val="0"/>
          <w:marTop w:val="0"/>
          <w:marBottom w:val="0"/>
          <w:divBdr>
            <w:top w:val="none" w:sz="0" w:space="0" w:color="auto"/>
            <w:left w:val="none" w:sz="0" w:space="0" w:color="auto"/>
            <w:bottom w:val="none" w:sz="0" w:space="0" w:color="auto"/>
            <w:right w:val="none" w:sz="0" w:space="0" w:color="auto"/>
          </w:divBdr>
          <w:divsChild>
            <w:div w:id="1333994422">
              <w:marLeft w:val="0"/>
              <w:marRight w:val="0"/>
              <w:marTop w:val="0"/>
              <w:marBottom w:val="0"/>
              <w:divBdr>
                <w:top w:val="none" w:sz="0" w:space="0" w:color="auto"/>
                <w:left w:val="none" w:sz="0" w:space="0" w:color="auto"/>
                <w:bottom w:val="none" w:sz="0" w:space="0" w:color="auto"/>
                <w:right w:val="none" w:sz="0" w:space="0" w:color="auto"/>
              </w:divBdr>
              <w:divsChild>
                <w:div w:id="45540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726614">
          <w:marLeft w:val="0"/>
          <w:marRight w:val="0"/>
          <w:marTop w:val="0"/>
          <w:marBottom w:val="75"/>
          <w:divBdr>
            <w:top w:val="none" w:sz="0" w:space="0" w:color="auto"/>
            <w:left w:val="none" w:sz="0" w:space="0" w:color="auto"/>
            <w:bottom w:val="none" w:sz="0" w:space="0" w:color="auto"/>
            <w:right w:val="none" w:sz="0" w:space="0" w:color="auto"/>
          </w:divBdr>
        </w:div>
        <w:div w:id="1613629531">
          <w:marLeft w:val="0"/>
          <w:marRight w:val="0"/>
          <w:marTop w:val="0"/>
          <w:marBottom w:val="0"/>
          <w:divBdr>
            <w:top w:val="none" w:sz="0" w:space="0" w:color="auto"/>
            <w:left w:val="none" w:sz="0" w:space="0" w:color="auto"/>
            <w:bottom w:val="none" w:sz="0" w:space="0" w:color="auto"/>
            <w:right w:val="none" w:sz="0" w:space="0" w:color="auto"/>
          </w:divBdr>
        </w:div>
      </w:divsChild>
    </w:div>
    <w:div w:id="503207356">
      <w:bodyDiv w:val="1"/>
      <w:marLeft w:val="0"/>
      <w:marRight w:val="0"/>
      <w:marTop w:val="0"/>
      <w:marBottom w:val="0"/>
      <w:divBdr>
        <w:top w:val="none" w:sz="0" w:space="0" w:color="auto"/>
        <w:left w:val="none" w:sz="0" w:space="0" w:color="auto"/>
        <w:bottom w:val="none" w:sz="0" w:space="0" w:color="auto"/>
        <w:right w:val="none" w:sz="0" w:space="0" w:color="auto"/>
      </w:divBdr>
      <w:divsChild>
        <w:div w:id="1641764043">
          <w:marLeft w:val="0"/>
          <w:marRight w:val="0"/>
          <w:marTop w:val="0"/>
          <w:marBottom w:val="0"/>
          <w:divBdr>
            <w:top w:val="none" w:sz="0" w:space="0" w:color="auto"/>
            <w:left w:val="none" w:sz="0" w:space="0" w:color="auto"/>
            <w:bottom w:val="none" w:sz="0" w:space="0" w:color="auto"/>
            <w:right w:val="none" w:sz="0" w:space="0" w:color="auto"/>
          </w:divBdr>
          <w:divsChild>
            <w:div w:id="84113275">
              <w:marLeft w:val="0"/>
              <w:marRight w:val="0"/>
              <w:marTop w:val="0"/>
              <w:marBottom w:val="0"/>
              <w:divBdr>
                <w:top w:val="none" w:sz="0" w:space="0" w:color="auto"/>
                <w:left w:val="none" w:sz="0" w:space="0" w:color="auto"/>
                <w:bottom w:val="none" w:sz="0" w:space="0" w:color="auto"/>
                <w:right w:val="none" w:sz="0" w:space="0" w:color="auto"/>
              </w:divBdr>
            </w:div>
          </w:divsChild>
        </w:div>
        <w:div w:id="1677270674">
          <w:marLeft w:val="0"/>
          <w:marRight w:val="0"/>
          <w:marTop w:val="0"/>
          <w:marBottom w:val="150"/>
          <w:divBdr>
            <w:top w:val="none" w:sz="0" w:space="0" w:color="auto"/>
            <w:left w:val="none" w:sz="0" w:space="0" w:color="auto"/>
            <w:bottom w:val="none" w:sz="0" w:space="0" w:color="auto"/>
            <w:right w:val="none" w:sz="0" w:space="0" w:color="auto"/>
          </w:divBdr>
        </w:div>
        <w:div w:id="1962568694">
          <w:marLeft w:val="0"/>
          <w:marRight w:val="0"/>
          <w:marTop w:val="0"/>
          <w:marBottom w:val="150"/>
          <w:divBdr>
            <w:top w:val="none" w:sz="0" w:space="0" w:color="auto"/>
            <w:left w:val="none" w:sz="0" w:space="0" w:color="auto"/>
            <w:bottom w:val="none" w:sz="0" w:space="0" w:color="auto"/>
            <w:right w:val="none" w:sz="0" w:space="0" w:color="auto"/>
          </w:divBdr>
          <w:divsChild>
            <w:div w:id="202069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79296">
      <w:bodyDiv w:val="1"/>
      <w:marLeft w:val="0"/>
      <w:marRight w:val="0"/>
      <w:marTop w:val="0"/>
      <w:marBottom w:val="0"/>
      <w:divBdr>
        <w:top w:val="none" w:sz="0" w:space="0" w:color="auto"/>
        <w:left w:val="none" w:sz="0" w:space="0" w:color="auto"/>
        <w:bottom w:val="none" w:sz="0" w:space="0" w:color="auto"/>
        <w:right w:val="none" w:sz="0" w:space="0" w:color="auto"/>
      </w:divBdr>
      <w:divsChild>
        <w:div w:id="656958792">
          <w:marLeft w:val="0"/>
          <w:marRight w:val="0"/>
          <w:marTop w:val="0"/>
          <w:marBottom w:val="150"/>
          <w:divBdr>
            <w:top w:val="none" w:sz="0" w:space="0" w:color="auto"/>
            <w:left w:val="none" w:sz="0" w:space="0" w:color="auto"/>
            <w:bottom w:val="none" w:sz="0" w:space="0" w:color="auto"/>
            <w:right w:val="none" w:sz="0" w:space="0" w:color="auto"/>
          </w:divBdr>
        </w:div>
      </w:divsChild>
    </w:div>
    <w:div w:id="503906521">
      <w:bodyDiv w:val="1"/>
      <w:marLeft w:val="0"/>
      <w:marRight w:val="0"/>
      <w:marTop w:val="0"/>
      <w:marBottom w:val="0"/>
      <w:divBdr>
        <w:top w:val="none" w:sz="0" w:space="0" w:color="auto"/>
        <w:left w:val="none" w:sz="0" w:space="0" w:color="auto"/>
        <w:bottom w:val="none" w:sz="0" w:space="0" w:color="auto"/>
        <w:right w:val="none" w:sz="0" w:space="0" w:color="auto"/>
      </w:divBdr>
      <w:divsChild>
        <w:div w:id="1698698068">
          <w:marLeft w:val="0"/>
          <w:marRight w:val="0"/>
          <w:marTop w:val="0"/>
          <w:marBottom w:val="0"/>
          <w:divBdr>
            <w:top w:val="none" w:sz="0" w:space="0" w:color="auto"/>
            <w:left w:val="none" w:sz="0" w:space="0" w:color="auto"/>
            <w:bottom w:val="none" w:sz="0" w:space="0" w:color="auto"/>
            <w:right w:val="none" w:sz="0" w:space="0" w:color="auto"/>
          </w:divBdr>
          <w:divsChild>
            <w:div w:id="816654207">
              <w:marLeft w:val="0"/>
              <w:marRight w:val="0"/>
              <w:marTop w:val="0"/>
              <w:marBottom w:val="150"/>
              <w:divBdr>
                <w:top w:val="none" w:sz="0" w:space="0" w:color="auto"/>
                <w:left w:val="none" w:sz="0" w:space="0" w:color="auto"/>
                <w:bottom w:val="none" w:sz="0" w:space="0" w:color="auto"/>
                <w:right w:val="none" w:sz="0" w:space="0" w:color="auto"/>
              </w:divBdr>
            </w:div>
            <w:div w:id="107744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248754">
      <w:bodyDiv w:val="1"/>
      <w:marLeft w:val="0"/>
      <w:marRight w:val="0"/>
      <w:marTop w:val="0"/>
      <w:marBottom w:val="0"/>
      <w:divBdr>
        <w:top w:val="none" w:sz="0" w:space="0" w:color="auto"/>
        <w:left w:val="none" w:sz="0" w:space="0" w:color="auto"/>
        <w:bottom w:val="none" w:sz="0" w:space="0" w:color="auto"/>
        <w:right w:val="none" w:sz="0" w:space="0" w:color="auto"/>
      </w:divBdr>
      <w:divsChild>
        <w:div w:id="424037692">
          <w:marLeft w:val="0"/>
          <w:marRight w:val="0"/>
          <w:marTop w:val="0"/>
          <w:marBottom w:val="0"/>
          <w:divBdr>
            <w:top w:val="none" w:sz="0" w:space="0" w:color="auto"/>
            <w:left w:val="none" w:sz="0" w:space="0" w:color="auto"/>
            <w:bottom w:val="dotted" w:sz="6" w:space="4" w:color="DDDDDD"/>
            <w:right w:val="none" w:sz="0" w:space="0" w:color="auto"/>
          </w:divBdr>
        </w:div>
      </w:divsChild>
    </w:div>
    <w:div w:id="504321325">
      <w:bodyDiv w:val="1"/>
      <w:marLeft w:val="0"/>
      <w:marRight w:val="0"/>
      <w:marTop w:val="0"/>
      <w:marBottom w:val="0"/>
      <w:divBdr>
        <w:top w:val="none" w:sz="0" w:space="0" w:color="auto"/>
        <w:left w:val="none" w:sz="0" w:space="0" w:color="auto"/>
        <w:bottom w:val="none" w:sz="0" w:space="0" w:color="auto"/>
        <w:right w:val="none" w:sz="0" w:space="0" w:color="auto"/>
      </w:divBdr>
      <w:divsChild>
        <w:div w:id="1616330844">
          <w:marLeft w:val="0"/>
          <w:marRight w:val="0"/>
          <w:marTop w:val="0"/>
          <w:marBottom w:val="0"/>
          <w:divBdr>
            <w:top w:val="none" w:sz="0" w:space="0" w:color="auto"/>
            <w:left w:val="none" w:sz="0" w:space="0" w:color="auto"/>
            <w:bottom w:val="none" w:sz="0" w:space="0" w:color="auto"/>
            <w:right w:val="none" w:sz="0" w:space="0" w:color="auto"/>
          </w:divBdr>
          <w:divsChild>
            <w:div w:id="55276671">
              <w:marLeft w:val="0"/>
              <w:marRight w:val="0"/>
              <w:marTop w:val="0"/>
              <w:marBottom w:val="0"/>
              <w:divBdr>
                <w:top w:val="none" w:sz="0" w:space="0" w:color="auto"/>
                <w:left w:val="none" w:sz="0" w:space="0" w:color="auto"/>
                <w:bottom w:val="none" w:sz="0" w:space="0" w:color="auto"/>
                <w:right w:val="none" w:sz="0" w:space="0" w:color="auto"/>
              </w:divBdr>
              <w:divsChild>
                <w:div w:id="2073774612">
                  <w:marLeft w:val="0"/>
                  <w:marRight w:val="0"/>
                  <w:marTop w:val="0"/>
                  <w:marBottom w:val="0"/>
                  <w:divBdr>
                    <w:top w:val="none" w:sz="0" w:space="0" w:color="auto"/>
                    <w:left w:val="none" w:sz="0" w:space="0" w:color="auto"/>
                    <w:bottom w:val="none" w:sz="0" w:space="0" w:color="auto"/>
                    <w:right w:val="none" w:sz="0" w:space="0" w:color="auto"/>
                  </w:divBdr>
                </w:div>
                <w:div w:id="1941211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504593984">
      <w:bodyDiv w:val="1"/>
      <w:marLeft w:val="0"/>
      <w:marRight w:val="0"/>
      <w:marTop w:val="0"/>
      <w:marBottom w:val="0"/>
      <w:divBdr>
        <w:top w:val="none" w:sz="0" w:space="0" w:color="auto"/>
        <w:left w:val="none" w:sz="0" w:space="0" w:color="auto"/>
        <w:bottom w:val="none" w:sz="0" w:space="0" w:color="auto"/>
        <w:right w:val="none" w:sz="0" w:space="0" w:color="auto"/>
      </w:divBdr>
      <w:divsChild>
        <w:div w:id="1028412771">
          <w:marLeft w:val="0"/>
          <w:marRight w:val="0"/>
          <w:marTop w:val="0"/>
          <w:marBottom w:val="150"/>
          <w:divBdr>
            <w:top w:val="none" w:sz="0" w:space="0" w:color="auto"/>
            <w:left w:val="none" w:sz="0" w:space="0" w:color="auto"/>
            <w:bottom w:val="none" w:sz="0" w:space="0" w:color="auto"/>
            <w:right w:val="none" w:sz="0" w:space="0" w:color="auto"/>
          </w:divBdr>
        </w:div>
        <w:div w:id="1427841380">
          <w:marLeft w:val="0"/>
          <w:marRight w:val="0"/>
          <w:marTop w:val="0"/>
          <w:marBottom w:val="0"/>
          <w:divBdr>
            <w:top w:val="none" w:sz="0" w:space="0" w:color="auto"/>
            <w:left w:val="none" w:sz="0" w:space="0" w:color="auto"/>
            <w:bottom w:val="none" w:sz="0" w:space="0" w:color="auto"/>
            <w:right w:val="none" w:sz="0" w:space="0" w:color="auto"/>
          </w:divBdr>
          <w:divsChild>
            <w:div w:id="177301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020493">
      <w:bodyDiv w:val="1"/>
      <w:marLeft w:val="0"/>
      <w:marRight w:val="0"/>
      <w:marTop w:val="0"/>
      <w:marBottom w:val="0"/>
      <w:divBdr>
        <w:top w:val="none" w:sz="0" w:space="0" w:color="auto"/>
        <w:left w:val="none" w:sz="0" w:space="0" w:color="auto"/>
        <w:bottom w:val="none" w:sz="0" w:space="0" w:color="auto"/>
        <w:right w:val="none" w:sz="0" w:space="0" w:color="auto"/>
      </w:divBdr>
      <w:divsChild>
        <w:div w:id="496457691">
          <w:marLeft w:val="0"/>
          <w:marRight w:val="0"/>
          <w:marTop w:val="0"/>
          <w:marBottom w:val="0"/>
          <w:divBdr>
            <w:top w:val="none" w:sz="0" w:space="0" w:color="auto"/>
            <w:left w:val="none" w:sz="0" w:space="0" w:color="auto"/>
            <w:bottom w:val="dotted" w:sz="6" w:space="4" w:color="DDDDDD"/>
            <w:right w:val="none" w:sz="0" w:space="0" w:color="auto"/>
          </w:divBdr>
          <w:divsChild>
            <w:div w:id="140864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86348">
      <w:bodyDiv w:val="1"/>
      <w:marLeft w:val="0"/>
      <w:marRight w:val="0"/>
      <w:marTop w:val="0"/>
      <w:marBottom w:val="0"/>
      <w:divBdr>
        <w:top w:val="none" w:sz="0" w:space="0" w:color="auto"/>
        <w:left w:val="none" w:sz="0" w:space="0" w:color="auto"/>
        <w:bottom w:val="none" w:sz="0" w:space="0" w:color="auto"/>
        <w:right w:val="none" w:sz="0" w:space="0" w:color="auto"/>
      </w:divBdr>
      <w:divsChild>
        <w:div w:id="335812291">
          <w:marLeft w:val="0"/>
          <w:marRight w:val="0"/>
          <w:marTop w:val="0"/>
          <w:marBottom w:val="0"/>
          <w:divBdr>
            <w:top w:val="none" w:sz="0" w:space="0" w:color="auto"/>
            <w:left w:val="none" w:sz="0" w:space="0" w:color="auto"/>
            <w:bottom w:val="none" w:sz="0" w:space="0" w:color="auto"/>
            <w:right w:val="none" w:sz="0" w:space="0" w:color="auto"/>
          </w:divBdr>
        </w:div>
        <w:div w:id="1036124187">
          <w:marLeft w:val="0"/>
          <w:marRight w:val="0"/>
          <w:marTop w:val="0"/>
          <w:marBottom w:val="0"/>
          <w:divBdr>
            <w:top w:val="none" w:sz="0" w:space="0" w:color="auto"/>
            <w:left w:val="none" w:sz="0" w:space="0" w:color="auto"/>
            <w:bottom w:val="none" w:sz="0" w:space="0" w:color="auto"/>
            <w:right w:val="none" w:sz="0" w:space="0" w:color="auto"/>
          </w:divBdr>
        </w:div>
      </w:divsChild>
    </w:div>
    <w:div w:id="505367041">
      <w:bodyDiv w:val="1"/>
      <w:marLeft w:val="0"/>
      <w:marRight w:val="0"/>
      <w:marTop w:val="0"/>
      <w:marBottom w:val="0"/>
      <w:divBdr>
        <w:top w:val="none" w:sz="0" w:space="0" w:color="auto"/>
        <w:left w:val="none" w:sz="0" w:space="0" w:color="auto"/>
        <w:bottom w:val="none" w:sz="0" w:space="0" w:color="auto"/>
        <w:right w:val="none" w:sz="0" w:space="0" w:color="auto"/>
      </w:divBdr>
    </w:div>
    <w:div w:id="505557427">
      <w:bodyDiv w:val="1"/>
      <w:marLeft w:val="0"/>
      <w:marRight w:val="0"/>
      <w:marTop w:val="0"/>
      <w:marBottom w:val="0"/>
      <w:divBdr>
        <w:top w:val="none" w:sz="0" w:space="0" w:color="auto"/>
        <w:left w:val="none" w:sz="0" w:space="0" w:color="auto"/>
        <w:bottom w:val="none" w:sz="0" w:space="0" w:color="auto"/>
        <w:right w:val="none" w:sz="0" w:space="0" w:color="auto"/>
      </w:divBdr>
      <w:divsChild>
        <w:div w:id="123357258">
          <w:marLeft w:val="0"/>
          <w:marRight w:val="0"/>
          <w:marTop w:val="0"/>
          <w:marBottom w:val="150"/>
          <w:divBdr>
            <w:top w:val="none" w:sz="0" w:space="0" w:color="auto"/>
            <w:left w:val="none" w:sz="0" w:space="0" w:color="auto"/>
            <w:bottom w:val="none" w:sz="0" w:space="0" w:color="auto"/>
            <w:right w:val="none" w:sz="0" w:space="0" w:color="auto"/>
          </w:divBdr>
        </w:div>
        <w:div w:id="1151558907">
          <w:marLeft w:val="0"/>
          <w:marRight w:val="0"/>
          <w:marTop w:val="0"/>
          <w:marBottom w:val="0"/>
          <w:divBdr>
            <w:top w:val="none" w:sz="0" w:space="0" w:color="auto"/>
            <w:left w:val="none" w:sz="0" w:space="0" w:color="auto"/>
            <w:bottom w:val="none" w:sz="0" w:space="0" w:color="auto"/>
            <w:right w:val="none" w:sz="0" w:space="0" w:color="auto"/>
          </w:divBdr>
          <w:divsChild>
            <w:div w:id="2060586227">
              <w:marLeft w:val="0"/>
              <w:marRight w:val="0"/>
              <w:marTop w:val="225"/>
              <w:marBottom w:val="225"/>
              <w:divBdr>
                <w:top w:val="none" w:sz="0" w:space="0" w:color="auto"/>
                <w:left w:val="none" w:sz="0" w:space="0" w:color="auto"/>
                <w:bottom w:val="none" w:sz="0" w:space="0" w:color="auto"/>
                <w:right w:val="none" w:sz="0" w:space="0" w:color="auto"/>
              </w:divBdr>
            </w:div>
          </w:divsChild>
        </w:div>
        <w:div w:id="1434865680">
          <w:marLeft w:val="0"/>
          <w:marRight w:val="0"/>
          <w:marTop w:val="0"/>
          <w:marBottom w:val="150"/>
          <w:divBdr>
            <w:top w:val="none" w:sz="0" w:space="0" w:color="auto"/>
            <w:left w:val="none" w:sz="0" w:space="0" w:color="auto"/>
            <w:bottom w:val="none" w:sz="0" w:space="0" w:color="auto"/>
            <w:right w:val="none" w:sz="0" w:space="0" w:color="auto"/>
          </w:divBdr>
          <w:divsChild>
            <w:div w:id="1067387353">
              <w:marLeft w:val="0"/>
              <w:marRight w:val="0"/>
              <w:marTop w:val="0"/>
              <w:marBottom w:val="0"/>
              <w:divBdr>
                <w:top w:val="none" w:sz="0" w:space="0" w:color="auto"/>
                <w:left w:val="none" w:sz="0" w:space="0" w:color="auto"/>
                <w:bottom w:val="none" w:sz="0" w:space="0" w:color="auto"/>
                <w:right w:val="none" w:sz="0" w:space="0" w:color="auto"/>
              </w:divBdr>
              <w:divsChild>
                <w:div w:id="132061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825198">
      <w:bodyDiv w:val="1"/>
      <w:marLeft w:val="0"/>
      <w:marRight w:val="0"/>
      <w:marTop w:val="0"/>
      <w:marBottom w:val="0"/>
      <w:divBdr>
        <w:top w:val="none" w:sz="0" w:space="0" w:color="auto"/>
        <w:left w:val="none" w:sz="0" w:space="0" w:color="auto"/>
        <w:bottom w:val="none" w:sz="0" w:space="0" w:color="auto"/>
        <w:right w:val="none" w:sz="0" w:space="0" w:color="auto"/>
      </w:divBdr>
      <w:divsChild>
        <w:div w:id="785542472">
          <w:marLeft w:val="0"/>
          <w:marRight w:val="0"/>
          <w:marTop w:val="0"/>
          <w:marBottom w:val="0"/>
          <w:divBdr>
            <w:top w:val="none" w:sz="0" w:space="0" w:color="auto"/>
            <w:left w:val="none" w:sz="0" w:space="0" w:color="auto"/>
            <w:bottom w:val="none" w:sz="0" w:space="0" w:color="auto"/>
            <w:right w:val="none" w:sz="0" w:space="0" w:color="auto"/>
          </w:divBdr>
          <w:divsChild>
            <w:div w:id="1418861484">
              <w:marLeft w:val="0"/>
              <w:marRight w:val="0"/>
              <w:marTop w:val="0"/>
              <w:marBottom w:val="0"/>
              <w:divBdr>
                <w:top w:val="none" w:sz="0" w:space="0" w:color="auto"/>
                <w:left w:val="none" w:sz="0" w:space="0" w:color="auto"/>
                <w:bottom w:val="none" w:sz="0" w:space="0" w:color="auto"/>
                <w:right w:val="none" w:sz="0" w:space="0" w:color="auto"/>
              </w:divBdr>
            </w:div>
            <w:div w:id="17164656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5830536">
      <w:bodyDiv w:val="1"/>
      <w:marLeft w:val="0"/>
      <w:marRight w:val="0"/>
      <w:marTop w:val="0"/>
      <w:marBottom w:val="0"/>
      <w:divBdr>
        <w:top w:val="none" w:sz="0" w:space="0" w:color="auto"/>
        <w:left w:val="none" w:sz="0" w:space="0" w:color="auto"/>
        <w:bottom w:val="none" w:sz="0" w:space="0" w:color="auto"/>
        <w:right w:val="none" w:sz="0" w:space="0" w:color="auto"/>
      </w:divBdr>
      <w:divsChild>
        <w:div w:id="221869071">
          <w:marLeft w:val="0"/>
          <w:marRight w:val="0"/>
          <w:marTop w:val="0"/>
          <w:marBottom w:val="0"/>
          <w:divBdr>
            <w:top w:val="none" w:sz="0" w:space="0" w:color="auto"/>
            <w:left w:val="none" w:sz="0" w:space="0" w:color="auto"/>
            <w:bottom w:val="none" w:sz="0" w:space="0" w:color="auto"/>
            <w:right w:val="none" w:sz="0" w:space="0" w:color="auto"/>
          </w:divBdr>
          <w:divsChild>
            <w:div w:id="16934149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6091375">
      <w:bodyDiv w:val="1"/>
      <w:marLeft w:val="0"/>
      <w:marRight w:val="0"/>
      <w:marTop w:val="0"/>
      <w:marBottom w:val="0"/>
      <w:divBdr>
        <w:top w:val="none" w:sz="0" w:space="0" w:color="auto"/>
        <w:left w:val="none" w:sz="0" w:space="0" w:color="auto"/>
        <w:bottom w:val="none" w:sz="0" w:space="0" w:color="auto"/>
        <w:right w:val="none" w:sz="0" w:space="0" w:color="auto"/>
      </w:divBdr>
      <w:divsChild>
        <w:div w:id="125440542">
          <w:marLeft w:val="0"/>
          <w:marRight w:val="0"/>
          <w:marTop w:val="0"/>
          <w:marBottom w:val="150"/>
          <w:divBdr>
            <w:top w:val="none" w:sz="0" w:space="0" w:color="auto"/>
            <w:left w:val="none" w:sz="0" w:space="0" w:color="auto"/>
            <w:bottom w:val="none" w:sz="0" w:space="0" w:color="auto"/>
            <w:right w:val="none" w:sz="0" w:space="0" w:color="auto"/>
          </w:divBdr>
        </w:div>
      </w:divsChild>
    </w:div>
    <w:div w:id="506403518">
      <w:bodyDiv w:val="1"/>
      <w:marLeft w:val="0"/>
      <w:marRight w:val="0"/>
      <w:marTop w:val="0"/>
      <w:marBottom w:val="0"/>
      <w:divBdr>
        <w:top w:val="none" w:sz="0" w:space="0" w:color="auto"/>
        <w:left w:val="none" w:sz="0" w:space="0" w:color="auto"/>
        <w:bottom w:val="none" w:sz="0" w:space="0" w:color="auto"/>
        <w:right w:val="none" w:sz="0" w:space="0" w:color="auto"/>
      </w:divBdr>
      <w:divsChild>
        <w:div w:id="277957508">
          <w:marLeft w:val="0"/>
          <w:marRight w:val="0"/>
          <w:marTop w:val="0"/>
          <w:marBottom w:val="0"/>
          <w:divBdr>
            <w:top w:val="none" w:sz="0" w:space="0" w:color="auto"/>
            <w:left w:val="none" w:sz="0" w:space="0" w:color="auto"/>
            <w:bottom w:val="dotted" w:sz="6" w:space="4" w:color="DDDDDD"/>
            <w:right w:val="none" w:sz="0" w:space="0" w:color="auto"/>
          </w:divBdr>
        </w:div>
      </w:divsChild>
    </w:div>
    <w:div w:id="506480484">
      <w:bodyDiv w:val="1"/>
      <w:marLeft w:val="0"/>
      <w:marRight w:val="0"/>
      <w:marTop w:val="0"/>
      <w:marBottom w:val="0"/>
      <w:divBdr>
        <w:top w:val="none" w:sz="0" w:space="0" w:color="auto"/>
        <w:left w:val="none" w:sz="0" w:space="0" w:color="auto"/>
        <w:bottom w:val="none" w:sz="0" w:space="0" w:color="auto"/>
        <w:right w:val="none" w:sz="0" w:space="0" w:color="auto"/>
      </w:divBdr>
      <w:divsChild>
        <w:div w:id="1262690607">
          <w:marLeft w:val="0"/>
          <w:marRight w:val="0"/>
          <w:marTop w:val="0"/>
          <w:marBottom w:val="0"/>
          <w:divBdr>
            <w:top w:val="none" w:sz="0" w:space="0" w:color="auto"/>
            <w:left w:val="none" w:sz="0" w:space="0" w:color="auto"/>
            <w:bottom w:val="none" w:sz="0" w:space="0" w:color="auto"/>
            <w:right w:val="none" w:sz="0" w:space="0" w:color="auto"/>
          </w:divBdr>
          <w:divsChild>
            <w:div w:id="15005390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6597426">
      <w:bodyDiv w:val="1"/>
      <w:marLeft w:val="0"/>
      <w:marRight w:val="0"/>
      <w:marTop w:val="0"/>
      <w:marBottom w:val="0"/>
      <w:divBdr>
        <w:top w:val="none" w:sz="0" w:space="0" w:color="auto"/>
        <w:left w:val="none" w:sz="0" w:space="0" w:color="auto"/>
        <w:bottom w:val="none" w:sz="0" w:space="0" w:color="auto"/>
        <w:right w:val="none" w:sz="0" w:space="0" w:color="auto"/>
      </w:divBdr>
      <w:divsChild>
        <w:div w:id="638850721">
          <w:marLeft w:val="0"/>
          <w:marRight w:val="0"/>
          <w:marTop w:val="0"/>
          <w:marBottom w:val="0"/>
          <w:divBdr>
            <w:top w:val="none" w:sz="0" w:space="0" w:color="auto"/>
            <w:left w:val="none" w:sz="0" w:space="0" w:color="auto"/>
            <w:bottom w:val="dotted" w:sz="6" w:space="4" w:color="DDDDDD"/>
            <w:right w:val="none" w:sz="0" w:space="0" w:color="auto"/>
          </w:divBdr>
          <w:divsChild>
            <w:div w:id="19716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5613">
      <w:bodyDiv w:val="1"/>
      <w:marLeft w:val="0"/>
      <w:marRight w:val="0"/>
      <w:marTop w:val="0"/>
      <w:marBottom w:val="0"/>
      <w:divBdr>
        <w:top w:val="none" w:sz="0" w:space="0" w:color="auto"/>
        <w:left w:val="none" w:sz="0" w:space="0" w:color="auto"/>
        <w:bottom w:val="none" w:sz="0" w:space="0" w:color="auto"/>
        <w:right w:val="none" w:sz="0" w:space="0" w:color="auto"/>
      </w:divBdr>
      <w:divsChild>
        <w:div w:id="548540187">
          <w:marLeft w:val="0"/>
          <w:marRight w:val="0"/>
          <w:marTop w:val="0"/>
          <w:marBottom w:val="0"/>
          <w:divBdr>
            <w:top w:val="none" w:sz="0" w:space="0" w:color="auto"/>
            <w:left w:val="none" w:sz="0" w:space="0" w:color="auto"/>
            <w:bottom w:val="none" w:sz="0" w:space="0" w:color="auto"/>
            <w:right w:val="none" w:sz="0" w:space="0" w:color="auto"/>
          </w:divBdr>
          <w:divsChild>
            <w:div w:id="79082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872662">
      <w:bodyDiv w:val="1"/>
      <w:marLeft w:val="0"/>
      <w:marRight w:val="0"/>
      <w:marTop w:val="0"/>
      <w:marBottom w:val="0"/>
      <w:divBdr>
        <w:top w:val="none" w:sz="0" w:space="0" w:color="auto"/>
        <w:left w:val="none" w:sz="0" w:space="0" w:color="auto"/>
        <w:bottom w:val="none" w:sz="0" w:space="0" w:color="auto"/>
        <w:right w:val="none" w:sz="0" w:space="0" w:color="auto"/>
      </w:divBdr>
      <w:divsChild>
        <w:div w:id="1478260678">
          <w:marLeft w:val="0"/>
          <w:marRight w:val="0"/>
          <w:marTop w:val="0"/>
          <w:marBottom w:val="0"/>
          <w:divBdr>
            <w:top w:val="none" w:sz="0" w:space="0" w:color="auto"/>
            <w:left w:val="none" w:sz="0" w:space="0" w:color="auto"/>
            <w:bottom w:val="dotted" w:sz="6" w:space="4" w:color="DDDDDD"/>
            <w:right w:val="none" w:sz="0" w:space="0" w:color="auto"/>
          </w:divBdr>
          <w:divsChild>
            <w:div w:id="72548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16245">
      <w:bodyDiv w:val="1"/>
      <w:marLeft w:val="0"/>
      <w:marRight w:val="0"/>
      <w:marTop w:val="0"/>
      <w:marBottom w:val="0"/>
      <w:divBdr>
        <w:top w:val="none" w:sz="0" w:space="0" w:color="auto"/>
        <w:left w:val="none" w:sz="0" w:space="0" w:color="auto"/>
        <w:bottom w:val="none" w:sz="0" w:space="0" w:color="auto"/>
        <w:right w:val="none" w:sz="0" w:space="0" w:color="auto"/>
      </w:divBdr>
      <w:divsChild>
        <w:div w:id="96485174">
          <w:marLeft w:val="0"/>
          <w:marRight w:val="0"/>
          <w:marTop w:val="0"/>
          <w:marBottom w:val="150"/>
          <w:divBdr>
            <w:top w:val="none" w:sz="0" w:space="0" w:color="auto"/>
            <w:left w:val="none" w:sz="0" w:space="0" w:color="auto"/>
            <w:bottom w:val="none" w:sz="0" w:space="0" w:color="auto"/>
            <w:right w:val="none" w:sz="0" w:space="0" w:color="auto"/>
          </w:divBdr>
        </w:div>
        <w:div w:id="1466240792">
          <w:marLeft w:val="0"/>
          <w:marRight w:val="0"/>
          <w:marTop w:val="0"/>
          <w:marBottom w:val="150"/>
          <w:divBdr>
            <w:top w:val="none" w:sz="0" w:space="0" w:color="auto"/>
            <w:left w:val="none" w:sz="0" w:space="0" w:color="auto"/>
            <w:bottom w:val="none" w:sz="0" w:space="0" w:color="auto"/>
            <w:right w:val="none" w:sz="0" w:space="0" w:color="auto"/>
          </w:divBdr>
          <w:divsChild>
            <w:div w:id="1281843139">
              <w:marLeft w:val="0"/>
              <w:marRight w:val="0"/>
              <w:marTop w:val="0"/>
              <w:marBottom w:val="0"/>
              <w:divBdr>
                <w:top w:val="none" w:sz="0" w:space="0" w:color="auto"/>
                <w:left w:val="none" w:sz="0" w:space="0" w:color="auto"/>
                <w:bottom w:val="none" w:sz="0" w:space="0" w:color="auto"/>
                <w:right w:val="none" w:sz="0" w:space="0" w:color="auto"/>
              </w:divBdr>
              <w:divsChild>
                <w:div w:id="47199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257351">
      <w:bodyDiv w:val="1"/>
      <w:marLeft w:val="0"/>
      <w:marRight w:val="0"/>
      <w:marTop w:val="0"/>
      <w:marBottom w:val="0"/>
      <w:divBdr>
        <w:top w:val="none" w:sz="0" w:space="0" w:color="auto"/>
        <w:left w:val="none" w:sz="0" w:space="0" w:color="auto"/>
        <w:bottom w:val="none" w:sz="0" w:space="0" w:color="auto"/>
        <w:right w:val="none" w:sz="0" w:space="0" w:color="auto"/>
      </w:divBdr>
    </w:div>
    <w:div w:id="507330709">
      <w:bodyDiv w:val="1"/>
      <w:marLeft w:val="0"/>
      <w:marRight w:val="0"/>
      <w:marTop w:val="439"/>
      <w:marBottom w:val="0"/>
      <w:divBdr>
        <w:top w:val="none" w:sz="0" w:space="0" w:color="auto"/>
        <w:left w:val="none" w:sz="0" w:space="0" w:color="auto"/>
        <w:bottom w:val="none" w:sz="0" w:space="0" w:color="auto"/>
        <w:right w:val="none" w:sz="0" w:space="0" w:color="auto"/>
      </w:divBdr>
      <w:divsChild>
        <w:div w:id="2080787832">
          <w:marLeft w:val="0"/>
          <w:marRight w:val="0"/>
          <w:marTop w:val="0"/>
          <w:marBottom w:val="0"/>
          <w:divBdr>
            <w:top w:val="none" w:sz="0" w:space="0" w:color="auto"/>
            <w:left w:val="single" w:sz="6" w:space="0" w:color="ECECEC"/>
            <w:bottom w:val="none" w:sz="0" w:space="0" w:color="auto"/>
            <w:right w:val="single" w:sz="6" w:space="0" w:color="ECECEC"/>
          </w:divBdr>
          <w:divsChild>
            <w:div w:id="419713580">
              <w:marLeft w:val="0"/>
              <w:marRight w:val="0"/>
              <w:marTop w:val="0"/>
              <w:marBottom w:val="0"/>
              <w:divBdr>
                <w:top w:val="none" w:sz="0" w:space="0" w:color="auto"/>
                <w:left w:val="none" w:sz="0" w:space="0" w:color="auto"/>
                <w:bottom w:val="none" w:sz="0" w:space="0" w:color="auto"/>
                <w:right w:val="none" w:sz="0" w:space="0" w:color="auto"/>
              </w:divBdr>
              <w:divsChild>
                <w:div w:id="279724691">
                  <w:marLeft w:val="0"/>
                  <w:marRight w:val="0"/>
                  <w:marTop w:val="0"/>
                  <w:marBottom w:val="0"/>
                  <w:divBdr>
                    <w:top w:val="none" w:sz="0" w:space="0" w:color="auto"/>
                    <w:left w:val="none" w:sz="0" w:space="0" w:color="auto"/>
                    <w:bottom w:val="none" w:sz="0" w:space="0" w:color="auto"/>
                    <w:right w:val="none" w:sz="0" w:space="0" w:color="auto"/>
                  </w:divBdr>
                  <w:divsChild>
                    <w:div w:id="1655645764">
                      <w:marLeft w:val="0"/>
                      <w:marRight w:val="0"/>
                      <w:marTop w:val="0"/>
                      <w:marBottom w:val="0"/>
                      <w:divBdr>
                        <w:top w:val="none" w:sz="0" w:space="0" w:color="auto"/>
                        <w:left w:val="none" w:sz="0" w:space="0" w:color="auto"/>
                        <w:bottom w:val="none" w:sz="0" w:space="0" w:color="auto"/>
                        <w:right w:val="none" w:sz="0" w:space="0" w:color="auto"/>
                      </w:divBdr>
                      <w:divsChild>
                        <w:div w:id="974018695">
                          <w:marLeft w:val="0"/>
                          <w:marRight w:val="0"/>
                          <w:marTop w:val="0"/>
                          <w:marBottom w:val="0"/>
                          <w:divBdr>
                            <w:top w:val="none" w:sz="0" w:space="0" w:color="auto"/>
                            <w:left w:val="none" w:sz="0" w:space="0" w:color="auto"/>
                            <w:bottom w:val="none" w:sz="0" w:space="0" w:color="auto"/>
                            <w:right w:val="none" w:sz="0" w:space="0" w:color="auto"/>
                          </w:divBdr>
                          <w:divsChild>
                            <w:div w:id="1321497656">
                              <w:marLeft w:val="0"/>
                              <w:marRight w:val="0"/>
                              <w:marTop w:val="0"/>
                              <w:marBottom w:val="0"/>
                              <w:divBdr>
                                <w:top w:val="none" w:sz="0" w:space="0" w:color="auto"/>
                                <w:left w:val="none" w:sz="0" w:space="0" w:color="auto"/>
                                <w:bottom w:val="none" w:sz="0" w:space="0" w:color="auto"/>
                                <w:right w:val="none" w:sz="0" w:space="0" w:color="auto"/>
                              </w:divBdr>
                              <w:divsChild>
                                <w:div w:id="107940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7646017">
      <w:bodyDiv w:val="1"/>
      <w:marLeft w:val="0"/>
      <w:marRight w:val="0"/>
      <w:marTop w:val="0"/>
      <w:marBottom w:val="0"/>
      <w:divBdr>
        <w:top w:val="none" w:sz="0" w:space="0" w:color="auto"/>
        <w:left w:val="none" w:sz="0" w:space="0" w:color="auto"/>
        <w:bottom w:val="none" w:sz="0" w:space="0" w:color="auto"/>
        <w:right w:val="none" w:sz="0" w:space="0" w:color="auto"/>
      </w:divBdr>
      <w:divsChild>
        <w:div w:id="847448542">
          <w:marLeft w:val="0"/>
          <w:marRight w:val="0"/>
          <w:marTop w:val="0"/>
          <w:marBottom w:val="0"/>
          <w:divBdr>
            <w:top w:val="none" w:sz="0" w:space="0" w:color="auto"/>
            <w:left w:val="none" w:sz="0" w:space="0" w:color="auto"/>
            <w:bottom w:val="none" w:sz="0" w:space="0" w:color="auto"/>
            <w:right w:val="none" w:sz="0" w:space="0" w:color="auto"/>
          </w:divBdr>
          <w:divsChild>
            <w:div w:id="1227951800">
              <w:marLeft w:val="0"/>
              <w:marRight w:val="0"/>
              <w:marTop w:val="0"/>
              <w:marBottom w:val="0"/>
              <w:divBdr>
                <w:top w:val="none" w:sz="0" w:space="0" w:color="auto"/>
                <w:left w:val="none" w:sz="0" w:space="0" w:color="auto"/>
                <w:bottom w:val="none" w:sz="0" w:space="0" w:color="auto"/>
                <w:right w:val="none" w:sz="0" w:space="0" w:color="auto"/>
              </w:divBdr>
              <w:divsChild>
                <w:div w:id="1526358248">
                  <w:marLeft w:val="0"/>
                  <w:marRight w:val="0"/>
                  <w:marTop w:val="0"/>
                  <w:marBottom w:val="0"/>
                  <w:divBdr>
                    <w:top w:val="none" w:sz="0" w:space="0" w:color="auto"/>
                    <w:left w:val="none" w:sz="0" w:space="0" w:color="auto"/>
                    <w:bottom w:val="none" w:sz="0" w:space="0" w:color="auto"/>
                    <w:right w:val="none" w:sz="0" w:space="0" w:color="auto"/>
                  </w:divBdr>
                  <w:divsChild>
                    <w:div w:id="1312825555">
                      <w:marLeft w:val="0"/>
                      <w:marRight w:val="0"/>
                      <w:marTop w:val="0"/>
                      <w:marBottom w:val="0"/>
                      <w:divBdr>
                        <w:top w:val="none" w:sz="0" w:space="0" w:color="auto"/>
                        <w:left w:val="none" w:sz="0" w:space="0" w:color="auto"/>
                        <w:bottom w:val="none" w:sz="0" w:space="0" w:color="auto"/>
                        <w:right w:val="none" w:sz="0" w:space="0" w:color="auto"/>
                      </w:divBdr>
                      <w:divsChild>
                        <w:div w:id="1204487601">
                          <w:marLeft w:val="0"/>
                          <w:marRight w:val="0"/>
                          <w:marTop w:val="0"/>
                          <w:marBottom w:val="0"/>
                          <w:divBdr>
                            <w:top w:val="none" w:sz="0" w:space="0" w:color="auto"/>
                            <w:left w:val="none" w:sz="0" w:space="0" w:color="auto"/>
                            <w:bottom w:val="none" w:sz="0" w:space="0" w:color="auto"/>
                            <w:right w:val="none" w:sz="0" w:space="0" w:color="auto"/>
                          </w:divBdr>
                          <w:divsChild>
                            <w:div w:id="678507352">
                              <w:marLeft w:val="0"/>
                              <w:marRight w:val="0"/>
                              <w:marTop w:val="0"/>
                              <w:marBottom w:val="0"/>
                              <w:divBdr>
                                <w:top w:val="none" w:sz="0" w:space="0" w:color="auto"/>
                                <w:left w:val="none" w:sz="0" w:space="0" w:color="auto"/>
                                <w:bottom w:val="none" w:sz="0" w:space="0" w:color="auto"/>
                                <w:right w:val="none" w:sz="0" w:space="0" w:color="auto"/>
                              </w:divBdr>
                              <w:divsChild>
                                <w:div w:id="929121025">
                                  <w:marLeft w:val="0"/>
                                  <w:marRight w:val="0"/>
                                  <w:marTop w:val="0"/>
                                  <w:marBottom w:val="0"/>
                                  <w:divBdr>
                                    <w:top w:val="none" w:sz="0" w:space="0" w:color="auto"/>
                                    <w:left w:val="none" w:sz="0" w:space="0" w:color="auto"/>
                                    <w:bottom w:val="none" w:sz="0" w:space="0" w:color="auto"/>
                                    <w:right w:val="none" w:sz="0" w:space="0" w:color="auto"/>
                                  </w:divBdr>
                                  <w:divsChild>
                                    <w:div w:id="174530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909873">
      <w:bodyDiv w:val="1"/>
      <w:marLeft w:val="0"/>
      <w:marRight w:val="0"/>
      <w:marTop w:val="0"/>
      <w:marBottom w:val="0"/>
      <w:divBdr>
        <w:top w:val="none" w:sz="0" w:space="0" w:color="auto"/>
        <w:left w:val="none" w:sz="0" w:space="0" w:color="auto"/>
        <w:bottom w:val="none" w:sz="0" w:space="0" w:color="auto"/>
        <w:right w:val="none" w:sz="0" w:space="0" w:color="auto"/>
      </w:divBdr>
      <w:divsChild>
        <w:div w:id="82730218">
          <w:marLeft w:val="0"/>
          <w:marRight w:val="0"/>
          <w:marTop w:val="0"/>
          <w:marBottom w:val="0"/>
          <w:divBdr>
            <w:top w:val="none" w:sz="0" w:space="0" w:color="auto"/>
            <w:left w:val="none" w:sz="0" w:space="0" w:color="auto"/>
            <w:bottom w:val="dotted" w:sz="6" w:space="4" w:color="DDDDDD"/>
            <w:right w:val="none" w:sz="0" w:space="0" w:color="auto"/>
          </w:divBdr>
          <w:divsChild>
            <w:div w:id="34806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328735">
      <w:bodyDiv w:val="1"/>
      <w:marLeft w:val="0"/>
      <w:marRight w:val="0"/>
      <w:marTop w:val="0"/>
      <w:marBottom w:val="0"/>
      <w:divBdr>
        <w:top w:val="none" w:sz="0" w:space="0" w:color="auto"/>
        <w:left w:val="none" w:sz="0" w:space="0" w:color="auto"/>
        <w:bottom w:val="none" w:sz="0" w:space="0" w:color="auto"/>
        <w:right w:val="none" w:sz="0" w:space="0" w:color="auto"/>
      </w:divBdr>
    </w:div>
    <w:div w:id="508907282">
      <w:bodyDiv w:val="1"/>
      <w:marLeft w:val="0"/>
      <w:marRight w:val="0"/>
      <w:marTop w:val="0"/>
      <w:marBottom w:val="0"/>
      <w:divBdr>
        <w:top w:val="none" w:sz="0" w:space="0" w:color="auto"/>
        <w:left w:val="none" w:sz="0" w:space="0" w:color="auto"/>
        <w:bottom w:val="none" w:sz="0" w:space="0" w:color="auto"/>
        <w:right w:val="none" w:sz="0" w:space="0" w:color="auto"/>
      </w:divBdr>
      <w:divsChild>
        <w:div w:id="1354574014">
          <w:marLeft w:val="0"/>
          <w:marRight w:val="0"/>
          <w:marTop w:val="0"/>
          <w:marBottom w:val="0"/>
          <w:divBdr>
            <w:top w:val="none" w:sz="0" w:space="0" w:color="auto"/>
            <w:left w:val="none" w:sz="0" w:space="0" w:color="auto"/>
            <w:bottom w:val="dotted" w:sz="6" w:space="4" w:color="DDDDDD"/>
            <w:right w:val="none" w:sz="0" w:space="0" w:color="auto"/>
          </w:divBdr>
          <w:divsChild>
            <w:div w:id="166193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104589">
      <w:bodyDiv w:val="1"/>
      <w:marLeft w:val="0"/>
      <w:marRight w:val="0"/>
      <w:marTop w:val="0"/>
      <w:marBottom w:val="0"/>
      <w:divBdr>
        <w:top w:val="none" w:sz="0" w:space="0" w:color="auto"/>
        <w:left w:val="none" w:sz="0" w:space="0" w:color="auto"/>
        <w:bottom w:val="none" w:sz="0" w:space="0" w:color="auto"/>
        <w:right w:val="none" w:sz="0" w:space="0" w:color="auto"/>
      </w:divBdr>
      <w:divsChild>
        <w:div w:id="1730613246">
          <w:marLeft w:val="0"/>
          <w:marRight w:val="0"/>
          <w:marTop w:val="0"/>
          <w:marBottom w:val="0"/>
          <w:divBdr>
            <w:top w:val="none" w:sz="0" w:space="0" w:color="auto"/>
            <w:left w:val="none" w:sz="0" w:space="0" w:color="auto"/>
            <w:bottom w:val="none" w:sz="0" w:space="0" w:color="auto"/>
            <w:right w:val="none" w:sz="0" w:space="0" w:color="auto"/>
          </w:divBdr>
        </w:div>
      </w:divsChild>
    </w:div>
    <w:div w:id="509414030">
      <w:bodyDiv w:val="1"/>
      <w:marLeft w:val="0"/>
      <w:marRight w:val="0"/>
      <w:marTop w:val="0"/>
      <w:marBottom w:val="0"/>
      <w:divBdr>
        <w:top w:val="none" w:sz="0" w:space="0" w:color="auto"/>
        <w:left w:val="none" w:sz="0" w:space="0" w:color="auto"/>
        <w:bottom w:val="none" w:sz="0" w:space="0" w:color="auto"/>
        <w:right w:val="none" w:sz="0" w:space="0" w:color="auto"/>
      </w:divBdr>
      <w:divsChild>
        <w:div w:id="1138381804">
          <w:marLeft w:val="0"/>
          <w:marRight w:val="0"/>
          <w:marTop w:val="0"/>
          <w:marBottom w:val="0"/>
          <w:divBdr>
            <w:top w:val="none" w:sz="0" w:space="0" w:color="auto"/>
            <w:left w:val="none" w:sz="0" w:space="0" w:color="auto"/>
            <w:bottom w:val="dotted" w:sz="6" w:space="4" w:color="DDDDDD"/>
            <w:right w:val="none" w:sz="0" w:space="0" w:color="auto"/>
          </w:divBdr>
        </w:div>
      </w:divsChild>
    </w:div>
    <w:div w:id="509760808">
      <w:bodyDiv w:val="1"/>
      <w:marLeft w:val="0"/>
      <w:marRight w:val="0"/>
      <w:marTop w:val="0"/>
      <w:marBottom w:val="0"/>
      <w:divBdr>
        <w:top w:val="none" w:sz="0" w:space="0" w:color="auto"/>
        <w:left w:val="none" w:sz="0" w:space="0" w:color="auto"/>
        <w:bottom w:val="none" w:sz="0" w:space="0" w:color="auto"/>
        <w:right w:val="none" w:sz="0" w:space="0" w:color="auto"/>
      </w:divBdr>
      <w:divsChild>
        <w:div w:id="583884190">
          <w:marLeft w:val="0"/>
          <w:marRight w:val="0"/>
          <w:marTop w:val="0"/>
          <w:marBottom w:val="0"/>
          <w:divBdr>
            <w:top w:val="none" w:sz="0" w:space="0" w:color="auto"/>
            <w:left w:val="none" w:sz="0" w:space="0" w:color="auto"/>
            <w:bottom w:val="none" w:sz="0" w:space="0" w:color="auto"/>
            <w:right w:val="none" w:sz="0" w:space="0" w:color="auto"/>
          </w:divBdr>
          <w:divsChild>
            <w:div w:id="83264344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09835534">
      <w:bodyDiv w:val="1"/>
      <w:marLeft w:val="0"/>
      <w:marRight w:val="0"/>
      <w:marTop w:val="0"/>
      <w:marBottom w:val="0"/>
      <w:divBdr>
        <w:top w:val="none" w:sz="0" w:space="0" w:color="auto"/>
        <w:left w:val="none" w:sz="0" w:space="0" w:color="auto"/>
        <w:bottom w:val="none" w:sz="0" w:space="0" w:color="auto"/>
        <w:right w:val="none" w:sz="0" w:space="0" w:color="auto"/>
      </w:divBdr>
      <w:divsChild>
        <w:div w:id="86501">
          <w:marLeft w:val="0"/>
          <w:marRight w:val="0"/>
          <w:marTop w:val="0"/>
          <w:marBottom w:val="150"/>
          <w:divBdr>
            <w:top w:val="none" w:sz="0" w:space="0" w:color="auto"/>
            <w:left w:val="none" w:sz="0" w:space="0" w:color="auto"/>
            <w:bottom w:val="none" w:sz="0" w:space="0" w:color="auto"/>
            <w:right w:val="none" w:sz="0" w:space="0" w:color="auto"/>
          </w:divBdr>
          <w:divsChild>
            <w:div w:id="1165706692">
              <w:marLeft w:val="0"/>
              <w:marRight w:val="0"/>
              <w:marTop w:val="0"/>
              <w:marBottom w:val="0"/>
              <w:divBdr>
                <w:top w:val="none" w:sz="0" w:space="0" w:color="auto"/>
                <w:left w:val="none" w:sz="0" w:space="0" w:color="auto"/>
                <w:bottom w:val="none" w:sz="0" w:space="0" w:color="auto"/>
                <w:right w:val="none" w:sz="0" w:space="0" w:color="auto"/>
              </w:divBdr>
              <w:divsChild>
                <w:div w:id="2044792428">
                  <w:marLeft w:val="0"/>
                  <w:marRight w:val="0"/>
                  <w:marTop w:val="0"/>
                  <w:marBottom w:val="0"/>
                  <w:divBdr>
                    <w:top w:val="none" w:sz="0" w:space="0" w:color="auto"/>
                    <w:left w:val="none" w:sz="0" w:space="0" w:color="auto"/>
                    <w:bottom w:val="none" w:sz="0" w:space="0" w:color="auto"/>
                    <w:right w:val="none" w:sz="0" w:space="0" w:color="auto"/>
                  </w:divBdr>
                  <w:divsChild>
                    <w:div w:id="615335774">
                      <w:marLeft w:val="0"/>
                      <w:marRight w:val="150"/>
                      <w:marTop w:val="0"/>
                      <w:marBottom w:val="0"/>
                      <w:divBdr>
                        <w:top w:val="none" w:sz="0" w:space="0" w:color="auto"/>
                        <w:left w:val="none" w:sz="0" w:space="0" w:color="auto"/>
                        <w:bottom w:val="none" w:sz="0" w:space="0" w:color="auto"/>
                        <w:right w:val="none" w:sz="0" w:space="0" w:color="auto"/>
                      </w:divBdr>
                      <w:divsChild>
                        <w:div w:id="4130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552692">
          <w:marLeft w:val="0"/>
          <w:marRight w:val="0"/>
          <w:marTop w:val="0"/>
          <w:marBottom w:val="150"/>
          <w:divBdr>
            <w:top w:val="none" w:sz="0" w:space="0" w:color="auto"/>
            <w:left w:val="none" w:sz="0" w:space="0" w:color="auto"/>
            <w:bottom w:val="none" w:sz="0" w:space="0" w:color="auto"/>
            <w:right w:val="none" w:sz="0" w:space="0" w:color="auto"/>
          </w:divBdr>
        </w:div>
        <w:div w:id="1638492228">
          <w:marLeft w:val="0"/>
          <w:marRight w:val="0"/>
          <w:marTop w:val="0"/>
          <w:marBottom w:val="0"/>
          <w:divBdr>
            <w:top w:val="none" w:sz="0" w:space="0" w:color="auto"/>
            <w:left w:val="none" w:sz="0" w:space="0" w:color="auto"/>
            <w:bottom w:val="none" w:sz="0" w:space="0" w:color="auto"/>
            <w:right w:val="none" w:sz="0" w:space="0" w:color="auto"/>
          </w:divBdr>
          <w:divsChild>
            <w:div w:id="25863697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09953615">
      <w:bodyDiv w:val="1"/>
      <w:marLeft w:val="0"/>
      <w:marRight w:val="0"/>
      <w:marTop w:val="0"/>
      <w:marBottom w:val="0"/>
      <w:divBdr>
        <w:top w:val="none" w:sz="0" w:space="0" w:color="auto"/>
        <w:left w:val="none" w:sz="0" w:space="0" w:color="auto"/>
        <w:bottom w:val="none" w:sz="0" w:space="0" w:color="auto"/>
        <w:right w:val="none" w:sz="0" w:space="0" w:color="auto"/>
      </w:divBdr>
      <w:divsChild>
        <w:div w:id="1369794555">
          <w:marLeft w:val="0"/>
          <w:marRight w:val="0"/>
          <w:marTop w:val="0"/>
          <w:marBottom w:val="0"/>
          <w:divBdr>
            <w:top w:val="none" w:sz="0" w:space="0" w:color="auto"/>
            <w:left w:val="none" w:sz="0" w:space="0" w:color="auto"/>
            <w:bottom w:val="dotted" w:sz="6" w:space="4" w:color="DDDDDD"/>
            <w:right w:val="none" w:sz="0" w:space="0" w:color="auto"/>
          </w:divBdr>
        </w:div>
      </w:divsChild>
    </w:div>
    <w:div w:id="510023498">
      <w:bodyDiv w:val="1"/>
      <w:marLeft w:val="0"/>
      <w:marRight w:val="0"/>
      <w:marTop w:val="0"/>
      <w:marBottom w:val="0"/>
      <w:divBdr>
        <w:top w:val="none" w:sz="0" w:space="0" w:color="auto"/>
        <w:left w:val="none" w:sz="0" w:space="0" w:color="auto"/>
        <w:bottom w:val="none" w:sz="0" w:space="0" w:color="auto"/>
        <w:right w:val="none" w:sz="0" w:space="0" w:color="auto"/>
      </w:divBdr>
      <w:divsChild>
        <w:div w:id="18548400">
          <w:marLeft w:val="0"/>
          <w:marRight w:val="0"/>
          <w:marTop w:val="0"/>
          <w:marBottom w:val="0"/>
          <w:divBdr>
            <w:top w:val="none" w:sz="0" w:space="0" w:color="auto"/>
            <w:left w:val="none" w:sz="0" w:space="0" w:color="auto"/>
            <w:bottom w:val="dotted" w:sz="6" w:space="4" w:color="DDDDDD"/>
            <w:right w:val="none" w:sz="0" w:space="0" w:color="auto"/>
          </w:divBdr>
          <w:divsChild>
            <w:div w:id="96345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067128">
      <w:bodyDiv w:val="1"/>
      <w:marLeft w:val="0"/>
      <w:marRight w:val="0"/>
      <w:marTop w:val="0"/>
      <w:marBottom w:val="0"/>
      <w:divBdr>
        <w:top w:val="none" w:sz="0" w:space="0" w:color="auto"/>
        <w:left w:val="none" w:sz="0" w:space="0" w:color="auto"/>
        <w:bottom w:val="none" w:sz="0" w:space="0" w:color="auto"/>
        <w:right w:val="none" w:sz="0" w:space="0" w:color="auto"/>
      </w:divBdr>
    </w:div>
    <w:div w:id="510099435">
      <w:bodyDiv w:val="1"/>
      <w:marLeft w:val="0"/>
      <w:marRight w:val="0"/>
      <w:marTop w:val="0"/>
      <w:marBottom w:val="0"/>
      <w:divBdr>
        <w:top w:val="none" w:sz="0" w:space="0" w:color="auto"/>
        <w:left w:val="none" w:sz="0" w:space="0" w:color="auto"/>
        <w:bottom w:val="none" w:sz="0" w:space="0" w:color="auto"/>
        <w:right w:val="none" w:sz="0" w:space="0" w:color="auto"/>
      </w:divBdr>
      <w:divsChild>
        <w:div w:id="92360933">
          <w:marLeft w:val="0"/>
          <w:marRight w:val="0"/>
          <w:marTop w:val="0"/>
          <w:marBottom w:val="150"/>
          <w:divBdr>
            <w:top w:val="none" w:sz="0" w:space="0" w:color="auto"/>
            <w:left w:val="none" w:sz="0" w:space="0" w:color="auto"/>
            <w:bottom w:val="none" w:sz="0" w:space="0" w:color="auto"/>
            <w:right w:val="none" w:sz="0" w:space="0" w:color="auto"/>
          </w:divBdr>
        </w:div>
        <w:div w:id="1953051358">
          <w:marLeft w:val="0"/>
          <w:marRight w:val="0"/>
          <w:marTop w:val="0"/>
          <w:marBottom w:val="150"/>
          <w:divBdr>
            <w:top w:val="none" w:sz="0" w:space="0" w:color="auto"/>
            <w:left w:val="none" w:sz="0" w:space="0" w:color="auto"/>
            <w:bottom w:val="none" w:sz="0" w:space="0" w:color="auto"/>
            <w:right w:val="none" w:sz="0" w:space="0" w:color="auto"/>
          </w:divBdr>
          <w:divsChild>
            <w:div w:id="1760324525">
              <w:marLeft w:val="0"/>
              <w:marRight w:val="0"/>
              <w:marTop w:val="0"/>
              <w:marBottom w:val="0"/>
              <w:divBdr>
                <w:top w:val="none" w:sz="0" w:space="0" w:color="auto"/>
                <w:left w:val="none" w:sz="0" w:space="0" w:color="auto"/>
                <w:bottom w:val="none" w:sz="0" w:space="0" w:color="auto"/>
                <w:right w:val="none" w:sz="0" w:space="0" w:color="auto"/>
              </w:divBdr>
              <w:divsChild>
                <w:div w:id="127829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575416">
          <w:marLeft w:val="0"/>
          <w:marRight w:val="0"/>
          <w:marTop w:val="0"/>
          <w:marBottom w:val="0"/>
          <w:divBdr>
            <w:top w:val="none" w:sz="0" w:space="0" w:color="auto"/>
            <w:left w:val="none" w:sz="0" w:space="0" w:color="auto"/>
            <w:bottom w:val="none" w:sz="0" w:space="0" w:color="auto"/>
            <w:right w:val="none" w:sz="0" w:space="0" w:color="auto"/>
          </w:divBdr>
          <w:divsChild>
            <w:div w:id="191223473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10486396">
      <w:bodyDiv w:val="1"/>
      <w:marLeft w:val="0"/>
      <w:marRight w:val="0"/>
      <w:marTop w:val="0"/>
      <w:marBottom w:val="0"/>
      <w:divBdr>
        <w:top w:val="none" w:sz="0" w:space="0" w:color="auto"/>
        <w:left w:val="none" w:sz="0" w:space="0" w:color="auto"/>
        <w:bottom w:val="none" w:sz="0" w:space="0" w:color="auto"/>
        <w:right w:val="none" w:sz="0" w:space="0" w:color="auto"/>
      </w:divBdr>
      <w:divsChild>
        <w:div w:id="261495597">
          <w:marLeft w:val="0"/>
          <w:marRight w:val="0"/>
          <w:marTop w:val="0"/>
          <w:marBottom w:val="0"/>
          <w:divBdr>
            <w:top w:val="none" w:sz="0" w:space="0" w:color="auto"/>
            <w:left w:val="none" w:sz="0" w:space="0" w:color="auto"/>
            <w:bottom w:val="none" w:sz="0" w:space="0" w:color="auto"/>
            <w:right w:val="none" w:sz="0" w:space="0" w:color="auto"/>
          </w:divBdr>
        </w:div>
      </w:divsChild>
    </w:div>
    <w:div w:id="510681470">
      <w:bodyDiv w:val="1"/>
      <w:marLeft w:val="0"/>
      <w:marRight w:val="0"/>
      <w:marTop w:val="0"/>
      <w:marBottom w:val="0"/>
      <w:divBdr>
        <w:top w:val="none" w:sz="0" w:space="0" w:color="auto"/>
        <w:left w:val="none" w:sz="0" w:space="0" w:color="auto"/>
        <w:bottom w:val="none" w:sz="0" w:space="0" w:color="auto"/>
        <w:right w:val="none" w:sz="0" w:space="0" w:color="auto"/>
      </w:divBdr>
      <w:divsChild>
        <w:div w:id="1099058051">
          <w:marLeft w:val="0"/>
          <w:marRight w:val="0"/>
          <w:marTop w:val="0"/>
          <w:marBottom w:val="150"/>
          <w:divBdr>
            <w:top w:val="none" w:sz="0" w:space="0" w:color="auto"/>
            <w:left w:val="none" w:sz="0" w:space="0" w:color="auto"/>
            <w:bottom w:val="none" w:sz="0" w:space="0" w:color="auto"/>
            <w:right w:val="none" w:sz="0" w:space="0" w:color="auto"/>
          </w:divBdr>
          <w:divsChild>
            <w:div w:id="1384712504">
              <w:marLeft w:val="0"/>
              <w:marRight w:val="0"/>
              <w:marTop w:val="0"/>
              <w:marBottom w:val="0"/>
              <w:divBdr>
                <w:top w:val="none" w:sz="0" w:space="0" w:color="auto"/>
                <w:left w:val="none" w:sz="0" w:space="0" w:color="auto"/>
                <w:bottom w:val="none" w:sz="0" w:space="0" w:color="auto"/>
                <w:right w:val="none" w:sz="0" w:space="0" w:color="auto"/>
              </w:divBdr>
              <w:divsChild>
                <w:div w:id="45922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361671">
          <w:marLeft w:val="0"/>
          <w:marRight w:val="0"/>
          <w:marTop w:val="0"/>
          <w:marBottom w:val="0"/>
          <w:divBdr>
            <w:top w:val="none" w:sz="0" w:space="0" w:color="auto"/>
            <w:left w:val="none" w:sz="0" w:space="0" w:color="auto"/>
            <w:bottom w:val="none" w:sz="0" w:space="0" w:color="auto"/>
            <w:right w:val="none" w:sz="0" w:space="0" w:color="auto"/>
          </w:divBdr>
          <w:divsChild>
            <w:div w:id="1766416309">
              <w:marLeft w:val="0"/>
              <w:marRight w:val="0"/>
              <w:marTop w:val="225"/>
              <w:marBottom w:val="225"/>
              <w:divBdr>
                <w:top w:val="none" w:sz="0" w:space="0" w:color="auto"/>
                <w:left w:val="none" w:sz="0" w:space="0" w:color="auto"/>
                <w:bottom w:val="none" w:sz="0" w:space="0" w:color="auto"/>
                <w:right w:val="none" w:sz="0" w:space="0" w:color="auto"/>
              </w:divBdr>
            </w:div>
          </w:divsChild>
        </w:div>
        <w:div w:id="2095584706">
          <w:marLeft w:val="0"/>
          <w:marRight w:val="0"/>
          <w:marTop w:val="0"/>
          <w:marBottom w:val="150"/>
          <w:divBdr>
            <w:top w:val="none" w:sz="0" w:space="0" w:color="auto"/>
            <w:left w:val="none" w:sz="0" w:space="0" w:color="auto"/>
            <w:bottom w:val="none" w:sz="0" w:space="0" w:color="auto"/>
            <w:right w:val="none" w:sz="0" w:space="0" w:color="auto"/>
          </w:divBdr>
        </w:div>
      </w:divsChild>
    </w:div>
    <w:div w:id="510801755">
      <w:bodyDiv w:val="1"/>
      <w:marLeft w:val="0"/>
      <w:marRight w:val="0"/>
      <w:marTop w:val="0"/>
      <w:marBottom w:val="0"/>
      <w:divBdr>
        <w:top w:val="none" w:sz="0" w:space="0" w:color="auto"/>
        <w:left w:val="none" w:sz="0" w:space="0" w:color="auto"/>
        <w:bottom w:val="none" w:sz="0" w:space="0" w:color="auto"/>
        <w:right w:val="none" w:sz="0" w:space="0" w:color="auto"/>
      </w:divBdr>
      <w:divsChild>
        <w:div w:id="472672211">
          <w:marLeft w:val="0"/>
          <w:marRight w:val="0"/>
          <w:marTop w:val="0"/>
          <w:marBottom w:val="150"/>
          <w:divBdr>
            <w:top w:val="none" w:sz="0" w:space="0" w:color="auto"/>
            <w:left w:val="none" w:sz="0" w:space="0" w:color="auto"/>
            <w:bottom w:val="none" w:sz="0" w:space="0" w:color="auto"/>
            <w:right w:val="none" w:sz="0" w:space="0" w:color="auto"/>
          </w:divBdr>
          <w:divsChild>
            <w:div w:id="942499171">
              <w:marLeft w:val="0"/>
              <w:marRight w:val="0"/>
              <w:marTop w:val="0"/>
              <w:marBottom w:val="0"/>
              <w:divBdr>
                <w:top w:val="none" w:sz="0" w:space="0" w:color="auto"/>
                <w:left w:val="none" w:sz="0" w:space="0" w:color="auto"/>
                <w:bottom w:val="none" w:sz="0" w:space="0" w:color="auto"/>
                <w:right w:val="none" w:sz="0" w:space="0" w:color="auto"/>
              </w:divBdr>
            </w:div>
          </w:divsChild>
        </w:div>
        <w:div w:id="1743405792">
          <w:marLeft w:val="0"/>
          <w:marRight w:val="0"/>
          <w:marTop w:val="0"/>
          <w:marBottom w:val="0"/>
          <w:divBdr>
            <w:top w:val="none" w:sz="0" w:space="0" w:color="auto"/>
            <w:left w:val="none" w:sz="0" w:space="0" w:color="auto"/>
            <w:bottom w:val="none" w:sz="0" w:space="0" w:color="auto"/>
            <w:right w:val="none" w:sz="0" w:space="0" w:color="auto"/>
          </w:divBdr>
          <w:divsChild>
            <w:div w:id="652098837">
              <w:marLeft w:val="0"/>
              <w:marRight w:val="0"/>
              <w:marTop w:val="0"/>
              <w:marBottom w:val="150"/>
              <w:divBdr>
                <w:top w:val="none" w:sz="0" w:space="0" w:color="auto"/>
                <w:left w:val="none" w:sz="0" w:space="0" w:color="auto"/>
                <w:bottom w:val="none" w:sz="0" w:space="0" w:color="auto"/>
                <w:right w:val="none" w:sz="0" w:space="0" w:color="auto"/>
              </w:divBdr>
            </w:div>
            <w:div w:id="95788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065970">
      <w:bodyDiv w:val="1"/>
      <w:marLeft w:val="0"/>
      <w:marRight w:val="0"/>
      <w:marTop w:val="0"/>
      <w:marBottom w:val="0"/>
      <w:divBdr>
        <w:top w:val="none" w:sz="0" w:space="0" w:color="auto"/>
        <w:left w:val="none" w:sz="0" w:space="0" w:color="auto"/>
        <w:bottom w:val="none" w:sz="0" w:space="0" w:color="auto"/>
        <w:right w:val="none" w:sz="0" w:space="0" w:color="auto"/>
      </w:divBdr>
    </w:div>
    <w:div w:id="512259529">
      <w:bodyDiv w:val="1"/>
      <w:marLeft w:val="0"/>
      <w:marRight w:val="0"/>
      <w:marTop w:val="0"/>
      <w:marBottom w:val="0"/>
      <w:divBdr>
        <w:top w:val="none" w:sz="0" w:space="0" w:color="auto"/>
        <w:left w:val="none" w:sz="0" w:space="0" w:color="auto"/>
        <w:bottom w:val="none" w:sz="0" w:space="0" w:color="auto"/>
        <w:right w:val="none" w:sz="0" w:space="0" w:color="auto"/>
      </w:divBdr>
    </w:div>
    <w:div w:id="512499726">
      <w:bodyDiv w:val="1"/>
      <w:marLeft w:val="0"/>
      <w:marRight w:val="0"/>
      <w:marTop w:val="0"/>
      <w:marBottom w:val="0"/>
      <w:divBdr>
        <w:top w:val="none" w:sz="0" w:space="0" w:color="auto"/>
        <w:left w:val="none" w:sz="0" w:space="0" w:color="auto"/>
        <w:bottom w:val="none" w:sz="0" w:space="0" w:color="auto"/>
        <w:right w:val="none" w:sz="0" w:space="0" w:color="auto"/>
      </w:divBdr>
      <w:divsChild>
        <w:div w:id="1046031143">
          <w:marLeft w:val="0"/>
          <w:marRight w:val="0"/>
          <w:marTop w:val="0"/>
          <w:marBottom w:val="0"/>
          <w:divBdr>
            <w:top w:val="none" w:sz="0" w:space="0" w:color="auto"/>
            <w:left w:val="none" w:sz="0" w:space="0" w:color="auto"/>
            <w:bottom w:val="dotted" w:sz="6" w:space="4" w:color="DDDDDD"/>
            <w:right w:val="none" w:sz="0" w:space="0" w:color="auto"/>
          </w:divBdr>
          <w:divsChild>
            <w:div w:id="1687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423681">
      <w:bodyDiv w:val="1"/>
      <w:marLeft w:val="0"/>
      <w:marRight w:val="0"/>
      <w:marTop w:val="0"/>
      <w:marBottom w:val="0"/>
      <w:divBdr>
        <w:top w:val="none" w:sz="0" w:space="0" w:color="auto"/>
        <w:left w:val="none" w:sz="0" w:space="0" w:color="auto"/>
        <w:bottom w:val="none" w:sz="0" w:space="0" w:color="auto"/>
        <w:right w:val="none" w:sz="0" w:space="0" w:color="auto"/>
      </w:divBdr>
    </w:div>
    <w:div w:id="513570571">
      <w:bodyDiv w:val="1"/>
      <w:marLeft w:val="0"/>
      <w:marRight w:val="0"/>
      <w:marTop w:val="0"/>
      <w:marBottom w:val="0"/>
      <w:divBdr>
        <w:top w:val="none" w:sz="0" w:space="0" w:color="auto"/>
        <w:left w:val="none" w:sz="0" w:space="0" w:color="auto"/>
        <w:bottom w:val="none" w:sz="0" w:space="0" w:color="auto"/>
        <w:right w:val="none" w:sz="0" w:space="0" w:color="auto"/>
      </w:divBdr>
      <w:divsChild>
        <w:div w:id="128210253">
          <w:marLeft w:val="0"/>
          <w:marRight w:val="0"/>
          <w:marTop w:val="0"/>
          <w:marBottom w:val="0"/>
          <w:divBdr>
            <w:top w:val="none" w:sz="0" w:space="0" w:color="auto"/>
            <w:left w:val="none" w:sz="0" w:space="0" w:color="auto"/>
            <w:bottom w:val="dotted" w:sz="6" w:space="4" w:color="DDDDDD"/>
            <w:right w:val="none" w:sz="0" w:space="0" w:color="auto"/>
          </w:divBdr>
        </w:div>
      </w:divsChild>
    </w:div>
    <w:div w:id="513804503">
      <w:bodyDiv w:val="1"/>
      <w:marLeft w:val="0"/>
      <w:marRight w:val="0"/>
      <w:marTop w:val="0"/>
      <w:marBottom w:val="0"/>
      <w:divBdr>
        <w:top w:val="none" w:sz="0" w:space="0" w:color="auto"/>
        <w:left w:val="none" w:sz="0" w:space="0" w:color="auto"/>
        <w:bottom w:val="none" w:sz="0" w:space="0" w:color="auto"/>
        <w:right w:val="none" w:sz="0" w:space="0" w:color="auto"/>
      </w:divBdr>
      <w:divsChild>
        <w:div w:id="365788129">
          <w:marLeft w:val="0"/>
          <w:marRight w:val="0"/>
          <w:marTop w:val="0"/>
          <w:marBottom w:val="0"/>
          <w:divBdr>
            <w:top w:val="none" w:sz="0" w:space="0" w:color="auto"/>
            <w:left w:val="none" w:sz="0" w:space="0" w:color="auto"/>
            <w:bottom w:val="none" w:sz="0" w:space="0" w:color="auto"/>
            <w:right w:val="none" w:sz="0" w:space="0" w:color="auto"/>
          </w:divBdr>
          <w:divsChild>
            <w:div w:id="1253901102">
              <w:marLeft w:val="2700"/>
              <w:marRight w:val="0"/>
              <w:marTop w:val="0"/>
              <w:marBottom w:val="0"/>
              <w:divBdr>
                <w:top w:val="none" w:sz="0" w:space="0" w:color="auto"/>
                <w:left w:val="none" w:sz="0" w:space="0" w:color="auto"/>
                <w:bottom w:val="none" w:sz="0" w:space="0" w:color="auto"/>
                <w:right w:val="none" w:sz="0" w:space="0" w:color="auto"/>
              </w:divBdr>
              <w:divsChild>
                <w:div w:id="39986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002178">
      <w:bodyDiv w:val="1"/>
      <w:marLeft w:val="0"/>
      <w:marRight w:val="0"/>
      <w:marTop w:val="0"/>
      <w:marBottom w:val="0"/>
      <w:divBdr>
        <w:top w:val="none" w:sz="0" w:space="0" w:color="auto"/>
        <w:left w:val="none" w:sz="0" w:space="0" w:color="auto"/>
        <w:bottom w:val="none" w:sz="0" w:space="0" w:color="auto"/>
        <w:right w:val="none" w:sz="0" w:space="0" w:color="auto"/>
      </w:divBdr>
      <w:divsChild>
        <w:div w:id="1411921995">
          <w:marLeft w:val="0"/>
          <w:marRight w:val="0"/>
          <w:marTop w:val="0"/>
          <w:marBottom w:val="0"/>
          <w:divBdr>
            <w:top w:val="none" w:sz="0" w:space="0" w:color="auto"/>
            <w:left w:val="none" w:sz="0" w:space="0" w:color="auto"/>
            <w:bottom w:val="none" w:sz="0" w:space="0" w:color="auto"/>
            <w:right w:val="none" w:sz="0" w:space="0" w:color="auto"/>
          </w:divBdr>
        </w:div>
      </w:divsChild>
    </w:div>
    <w:div w:id="514267438">
      <w:bodyDiv w:val="1"/>
      <w:marLeft w:val="0"/>
      <w:marRight w:val="0"/>
      <w:marTop w:val="0"/>
      <w:marBottom w:val="0"/>
      <w:divBdr>
        <w:top w:val="none" w:sz="0" w:space="0" w:color="auto"/>
        <w:left w:val="none" w:sz="0" w:space="0" w:color="auto"/>
        <w:bottom w:val="none" w:sz="0" w:space="0" w:color="auto"/>
        <w:right w:val="none" w:sz="0" w:space="0" w:color="auto"/>
      </w:divBdr>
      <w:divsChild>
        <w:div w:id="106970467">
          <w:marLeft w:val="0"/>
          <w:marRight w:val="0"/>
          <w:marTop w:val="0"/>
          <w:marBottom w:val="150"/>
          <w:divBdr>
            <w:top w:val="none" w:sz="0" w:space="0" w:color="auto"/>
            <w:left w:val="none" w:sz="0" w:space="0" w:color="auto"/>
            <w:bottom w:val="none" w:sz="0" w:space="0" w:color="auto"/>
            <w:right w:val="none" w:sz="0" w:space="0" w:color="auto"/>
          </w:divBdr>
        </w:div>
      </w:divsChild>
    </w:div>
    <w:div w:id="514268390">
      <w:bodyDiv w:val="1"/>
      <w:marLeft w:val="0"/>
      <w:marRight w:val="0"/>
      <w:marTop w:val="0"/>
      <w:marBottom w:val="0"/>
      <w:divBdr>
        <w:top w:val="none" w:sz="0" w:space="0" w:color="auto"/>
        <w:left w:val="none" w:sz="0" w:space="0" w:color="auto"/>
        <w:bottom w:val="none" w:sz="0" w:space="0" w:color="auto"/>
        <w:right w:val="none" w:sz="0" w:space="0" w:color="auto"/>
      </w:divBdr>
      <w:divsChild>
        <w:div w:id="767585215">
          <w:marLeft w:val="0"/>
          <w:marRight w:val="0"/>
          <w:marTop w:val="0"/>
          <w:marBottom w:val="0"/>
          <w:divBdr>
            <w:top w:val="none" w:sz="0" w:space="0" w:color="auto"/>
            <w:left w:val="none" w:sz="0" w:space="0" w:color="auto"/>
            <w:bottom w:val="dotted" w:sz="6" w:space="4" w:color="DDDDDD"/>
            <w:right w:val="none" w:sz="0" w:space="0" w:color="auto"/>
          </w:divBdr>
          <w:divsChild>
            <w:div w:id="8824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346339">
      <w:bodyDiv w:val="1"/>
      <w:marLeft w:val="0"/>
      <w:marRight w:val="0"/>
      <w:marTop w:val="0"/>
      <w:marBottom w:val="0"/>
      <w:divBdr>
        <w:top w:val="none" w:sz="0" w:space="0" w:color="auto"/>
        <w:left w:val="none" w:sz="0" w:space="0" w:color="auto"/>
        <w:bottom w:val="none" w:sz="0" w:space="0" w:color="auto"/>
        <w:right w:val="none" w:sz="0" w:space="0" w:color="auto"/>
      </w:divBdr>
      <w:divsChild>
        <w:div w:id="926034848">
          <w:marLeft w:val="0"/>
          <w:marRight w:val="0"/>
          <w:marTop w:val="0"/>
          <w:marBottom w:val="0"/>
          <w:divBdr>
            <w:top w:val="none" w:sz="0" w:space="0" w:color="auto"/>
            <w:left w:val="none" w:sz="0" w:space="0" w:color="auto"/>
            <w:bottom w:val="none" w:sz="0" w:space="0" w:color="auto"/>
            <w:right w:val="none" w:sz="0" w:space="0" w:color="auto"/>
          </w:divBdr>
        </w:div>
      </w:divsChild>
    </w:div>
    <w:div w:id="514619021">
      <w:bodyDiv w:val="1"/>
      <w:marLeft w:val="0"/>
      <w:marRight w:val="0"/>
      <w:marTop w:val="0"/>
      <w:marBottom w:val="0"/>
      <w:divBdr>
        <w:top w:val="none" w:sz="0" w:space="0" w:color="auto"/>
        <w:left w:val="none" w:sz="0" w:space="0" w:color="auto"/>
        <w:bottom w:val="none" w:sz="0" w:space="0" w:color="auto"/>
        <w:right w:val="none" w:sz="0" w:space="0" w:color="auto"/>
      </w:divBdr>
    </w:div>
    <w:div w:id="514812367">
      <w:bodyDiv w:val="1"/>
      <w:marLeft w:val="0"/>
      <w:marRight w:val="0"/>
      <w:marTop w:val="0"/>
      <w:marBottom w:val="0"/>
      <w:divBdr>
        <w:top w:val="none" w:sz="0" w:space="0" w:color="auto"/>
        <w:left w:val="none" w:sz="0" w:space="0" w:color="auto"/>
        <w:bottom w:val="none" w:sz="0" w:space="0" w:color="auto"/>
        <w:right w:val="none" w:sz="0" w:space="0" w:color="auto"/>
      </w:divBdr>
      <w:divsChild>
        <w:div w:id="270015431">
          <w:marLeft w:val="0"/>
          <w:marRight w:val="0"/>
          <w:marTop w:val="0"/>
          <w:marBottom w:val="0"/>
          <w:divBdr>
            <w:top w:val="none" w:sz="0" w:space="0" w:color="auto"/>
            <w:left w:val="none" w:sz="0" w:space="0" w:color="auto"/>
            <w:bottom w:val="none" w:sz="0" w:space="0" w:color="auto"/>
            <w:right w:val="none" w:sz="0" w:space="0" w:color="auto"/>
          </w:divBdr>
          <w:divsChild>
            <w:div w:id="325060869">
              <w:marLeft w:val="0"/>
              <w:marRight w:val="0"/>
              <w:marTop w:val="225"/>
              <w:marBottom w:val="225"/>
              <w:divBdr>
                <w:top w:val="none" w:sz="0" w:space="0" w:color="auto"/>
                <w:left w:val="none" w:sz="0" w:space="0" w:color="auto"/>
                <w:bottom w:val="none" w:sz="0" w:space="0" w:color="auto"/>
                <w:right w:val="none" w:sz="0" w:space="0" w:color="auto"/>
              </w:divBdr>
            </w:div>
          </w:divsChild>
        </w:div>
        <w:div w:id="683360319">
          <w:marLeft w:val="0"/>
          <w:marRight w:val="0"/>
          <w:marTop w:val="0"/>
          <w:marBottom w:val="150"/>
          <w:divBdr>
            <w:top w:val="none" w:sz="0" w:space="0" w:color="auto"/>
            <w:left w:val="none" w:sz="0" w:space="0" w:color="auto"/>
            <w:bottom w:val="none" w:sz="0" w:space="0" w:color="auto"/>
            <w:right w:val="none" w:sz="0" w:space="0" w:color="auto"/>
          </w:divBdr>
          <w:divsChild>
            <w:div w:id="1577008560">
              <w:marLeft w:val="0"/>
              <w:marRight w:val="0"/>
              <w:marTop w:val="0"/>
              <w:marBottom w:val="0"/>
              <w:divBdr>
                <w:top w:val="none" w:sz="0" w:space="0" w:color="auto"/>
                <w:left w:val="none" w:sz="0" w:space="0" w:color="auto"/>
                <w:bottom w:val="none" w:sz="0" w:space="0" w:color="auto"/>
                <w:right w:val="none" w:sz="0" w:space="0" w:color="auto"/>
              </w:divBdr>
              <w:divsChild>
                <w:div w:id="199151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688149">
          <w:marLeft w:val="0"/>
          <w:marRight w:val="0"/>
          <w:marTop w:val="0"/>
          <w:marBottom w:val="150"/>
          <w:divBdr>
            <w:top w:val="none" w:sz="0" w:space="0" w:color="auto"/>
            <w:left w:val="none" w:sz="0" w:space="0" w:color="auto"/>
            <w:bottom w:val="none" w:sz="0" w:space="0" w:color="auto"/>
            <w:right w:val="none" w:sz="0" w:space="0" w:color="auto"/>
          </w:divBdr>
        </w:div>
      </w:divsChild>
    </w:div>
    <w:div w:id="515389401">
      <w:bodyDiv w:val="1"/>
      <w:marLeft w:val="0"/>
      <w:marRight w:val="0"/>
      <w:marTop w:val="0"/>
      <w:marBottom w:val="0"/>
      <w:divBdr>
        <w:top w:val="none" w:sz="0" w:space="0" w:color="auto"/>
        <w:left w:val="none" w:sz="0" w:space="0" w:color="auto"/>
        <w:bottom w:val="none" w:sz="0" w:space="0" w:color="auto"/>
        <w:right w:val="none" w:sz="0" w:space="0" w:color="auto"/>
      </w:divBdr>
    </w:div>
    <w:div w:id="515579723">
      <w:bodyDiv w:val="1"/>
      <w:marLeft w:val="0"/>
      <w:marRight w:val="0"/>
      <w:marTop w:val="0"/>
      <w:marBottom w:val="0"/>
      <w:divBdr>
        <w:top w:val="none" w:sz="0" w:space="0" w:color="auto"/>
        <w:left w:val="none" w:sz="0" w:space="0" w:color="auto"/>
        <w:bottom w:val="none" w:sz="0" w:space="0" w:color="auto"/>
        <w:right w:val="none" w:sz="0" w:space="0" w:color="auto"/>
      </w:divBdr>
      <w:divsChild>
        <w:div w:id="1387099322">
          <w:marLeft w:val="0"/>
          <w:marRight w:val="0"/>
          <w:marTop w:val="0"/>
          <w:marBottom w:val="0"/>
          <w:divBdr>
            <w:top w:val="none" w:sz="0" w:space="0" w:color="auto"/>
            <w:left w:val="none" w:sz="0" w:space="0" w:color="auto"/>
            <w:bottom w:val="none" w:sz="0" w:space="0" w:color="auto"/>
            <w:right w:val="none" w:sz="0" w:space="0" w:color="auto"/>
          </w:divBdr>
          <w:divsChild>
            <w:div w:id="17984053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15853732">
      <w:bodyDiv w:val="1"/>
      <w:marLeft w:val="0"/>
      <w:marRight w:val="0"/>
      <w:marTop w:val="0"/>
      <w:marBottom w:val="0"/>
      <w:divBdr>
        <w:top w:val="none" w:sz="0" w:space="0" w:color="auto"/>
        <w:left w:val="none" w:sz="0" w:space="0" w:color="auto"/>
        <w:bottom w:val="none" w:sz="0" w:space="0" w:color="auto"/>
        <w:right w:val="none" w:sz="0" w:space="0" w:color="auto"/>
      </w:divBdr>
    </w:div>
    <w:div w:id="516238898">
      <w:bodyDiv w:val="1"/>
      <w:marLeft w:val="0"/>
      <w:marRight w:val="0"/>
      <w:marTop w:val="0"/>
      <w:marBottom w:val="0"/>
      <w:divBdr>
        <w:top w:val="none" w:sz="0" w:space="0" w:color="auto"/>
        <w:left w:val="none" w:sz="0" w:space="0" w:color="auto"/>
        <w:bottom w:val="none" w:sz="0" w:space="0" w:color="auto"/>
        <w:right w:val="none" w:sz="0" w:space="0" w:color="auto"/>
      </w:divBdr>
      <w:divsChild>
        <w:div w:id="2116553116">
          <w:marLeft w:val="0"/>
          <w:marRight w:val="0"/>
          <w:marTop w:val="0"/>
          <w:marBottom w:val="0"/>
          <w:divBdr>
            <w:top w:val="none" w:sz="0" w:space="0" w:color="auto"/>
            <w:left w:val="none" w:sz="0" w:space="0" w:color="auto"/>
            <w:bottom w:val="dotted" w:sz="6" w:space="4" w:color="DDDDDD"/>
            <w:right w:val="none" w:sz="0" w:space="0" w:color="auto"/>
          </w:divBdr>
        </w:div>
      </w:divsChild>
    </w:div>
    <w:div w:id="516315214">
      <w:bodyDiv w:val="1"/>
      <w:marLeft w:val="0"/>
      <w:marRight w:val="0"/>
      <w:marTop w:val="0"/>
      <w:marBottom w:val="0"/>
      <w:divBdr>
        <w:top w:val="none" w:sz="0" w:space="0" w:color="auto"/>
        <w:left w:val="none" w:sz="0" w:space="0" w:color="auto"/>
        <w:bottom w:val="none" w:sz="0" w:space="0" w:color="auto"/>
        <w:right w:val="none" w:sz="0" w:space="0" w:color="auto"/>
      </w:divBdr>
      <w:divsChild>
        <w:div w:id="377096804">
          <w:marLeft w:val="0"/>
          <w:marRight w:val="0"/>
          <w:marTop w:val="0"/>
          <w:marBottom w:val="0"/>
          <w:divBdr>
            <w:top w:val="none" w:sz="0" w:space="0" w:color="auto"/>
            <w:left w:val="none" w:sz="0" w:space="0" w:color="auto"/>
            <w:bottom w:val="none" w:sz="0" w:space="0" w:color="auto"/>
            <w:right w:val="none" w:sz="0" w:space="0" w:color="auto"/>
          </w:divBdr>
        </w:div>
        <w:div w:id="427698594">
          <w:marLeft w:val="0"/>
          <w:marRight w:val="0"/>
          <w:marTop w:val="0"/>
          <w:marBottom w:val="0"/>
          <w:divBdr>
            <w:top w:val="none" w:sz="0" w:space="0" w:color="auto"/>
            <w:left w:val="none" w:sz="0" w:space="0" w:color="auto"/>
            <w:bottom w:val="none" w:sz="0" w:space="0" w:color="auto"/>
            <w:right w:val="none" w:sz="0" w:space="0" w:color="auto"/>
          </w:divBdr>
        </w:div>
        <w:div w:id="1311594456">
          <w:marLeft w:val="0"/>
          <w:marRight w:val="0"/>
          <w:marTop w:val="0"/>
          <w:marBottom w:val="0"/>
          <w:divBdr>
            <w:top w:val="none" w:sz="0" w:space="0" w:color="auto"/>
            <w:left w:val="none" w:sz="0" w:space="0" w:color="auto"/>
            <w:bottom w:val="none" w:sz="0" w:space="0" w:color="auto"/>
            <w:right w:val="none" w:sz="0" w:space="0" w:color="auto"/>
          </w:divBdr>
        </w:div>
      </w:divsChild>
    </w:div>
    <w:div w:id="516887075">
      <w:bodyDiv w:val="1"/>
      <w:marLeft w:val="0"/>
      <w:marRight w:val="0"/>
      <w:marTop w:val="0"/>
      <w:marBottom w:val="0"/>
      <w:divBdr>
        <w:top w:val="none" w:sz="0" w:space="0" w:color="auto"/>
        <w:left w:val="none" w:sz="0" w:space="0" w:color="auto"/>
        <w:bottom w:val="none" w:sz="0" w:space="0" w:color="auto"/>
        <w:right w:val="none" w:sz="0" w:space="0" w:color="auto"/>
      </w:divBdr>
      <w:divsChild>
        <w:div w:id="2014644829">
          <w:marLeft w:val="0"/>
          <w:marRight w:val="0"/>
          <w:marTop w:val="0"/>
          <w:marBottom w:val="150"/>
          <w:divBdr>
            <w:top w:val="none" w:sz="0" w:space="0" w:color="auto"/>
            <w:left w:val="none" w:sz="0" w:space="0" w:color="auto"/>
            <w:bottom w:val="none" w:sz="0" w:space="0" w:color="auto"/>
            <w:right w:val="none" w:sz="0" w:space="0" w:color="auto"/>
          </w:divBdr>
        </w:div>
      </w:divsChild>
    </w:div>
    <w:div w:id="516887333">
      <w:bodyDiv w:val="1"/>
      <w:marLeft w:val="0"/>
      <w:marRight w:val="0"/>
      <w:marTop w:val="0"/>
      <w:marBottom w:val="0"/>
      <w:divBdr>
        <w:top w:val="none" w:sz="0" w:space="0" w:color="auto"/>
        <w:left w:val="none" w:sz="0" w:space="0" w:color="auto"/>
        <w:bottom w:val="none" w:sz="0" w:space="0" w:color="auto"/>
        <w:right w:val="none" w:sz="0" w:space="0" w:color="auto"/>
      </w:divBdr>
      <w:divsChild>
        <w:div w:id="597912464">
          <w:marLeft w:val="0"/>
          <w:marRight w:val="0"/>
          <w:marTop w:val="0"/>
          <w:marBottom w:val="0"/>
          <w:divBdr>
            <w:top w:val="none" w:sz="0" w:space="0" w:color="auto"/>
            <w:left w:val="none" w:sz="0" w:space="0" w:color="auto"/>
            <w:bottom w:val="dotted" w:sz="6" w:space="4" w:color="DDDDDD"/>
            <w:right w:val="none" w:sz="0" w:space="0" w:color="auto"/>
          </w:divBdr>
        </w:div>
      </w:divsChild>
    </w:div>
    <w:div w:id="517701612">
      <w:bodyDiv w:val="1"/>
      <w:marLeft w:val="0"/>
      <w:marRight w:val="0"/>
      <w:marTop w:val="0"/>
      <w:marBottom w:val="0"/>
      <w:divBdr>
        <w:top w:val="none" w:sz="0" w:space="0" w:color="auto"/>
        <w:left w:val="none" w:sz="0" w:space="0" w:color="auto"/>
        <w:bottom w:val="none" w:sz="0" w:space="0" w:color="auto"/>
        <w:right w:val="none" w:sz="0" w:space="0" w:color="auto"/>
      </w:divBdr>
      <w:divsChild>
        <w:div w:id="510067953">
          <w:marLeft w:val="0"/>
          <w:marRight w:val="0"/>
          <w:marTop w:val="0"/>
          <w:marBottom w:val="0"/>
          <w:divBdr>
            <w:top w:val="none" w:sz="0" w:space="0" w:color="auto"/>
            <w:left w:val="none" w:sz="0" w:space="0" w:color="auto"/>
            <w:bottom w:val="none" w:sz="0" w:space="0" w:color="auto"/>
            <w:right w:val="none" w:sz="0" w:space="0" w:color="auto"/>
          </w:divBdr>
          <w:divsChild>
            <w:div w:id="429932182">
              <w:marLeft w:val="0"/>
              <w:marRight w:val="0"/>
              <w:marTop w:val="0"/>
              <w:marBottom w:val="0"/>
              <w:divBdr>
                <w:top w:val="none" w:sz="0" w:space="0" w:color="auto"/>
                <w:left w:val="none" w:sz="0" w:space="0" w:color="auto"/>
                <w:bottom w:val="none" w:sz="0" w:space="0" w:color="auto"/>
                <w:right w:val="none" w:sz="0" w:space="0" w:color="auto"/>
              </w:divBdr>
              <w:divsChild>
                <w:div w:id="766198505">
                  <w:marLeft w:val="0"/>
                  <w:marRight w:val="0"/>
                  <w:marTop w:val="0"/>
                  <w:marBottom w:val="0"/>
                  <w:divBdr>
                    <w:top w:val="none" w:sz="0" w:space="0" w:color="auto"/>
                    <w:left w:val="none" w:sz="0" w:space="0" w:color="auto"/>
                    <w:bottom w:val="none" w:sz="0" w:space="0" w:color="auto"/>
                    <w:right w:val="none" w:sz="0" w:space="0" w:color="auto"/>
                  </w:divBdr>
                </w:div>
                <w:div w:id="1190604130">
                  <w:marLeft w:val="0"/>
                  <w:marRight w:val="0"/>
                  <w:marTop w:val="0"/>
                  <w:marBottom w:val="0"/>
                  <w:divBdr>
                    <w:top w:val="none" w:sz="0" w:space="0" w:color="auto"/>
                    <w:left w:val="none" w:sz="0" w:space="0" w:color="auto"/>
                    <w:bottom w:val="none" w:sz="0" w:space="0" w:color="auto"/>
                    <w:right w:val="none" w:sz="0" w:space="0" w:color="auto"/>
                  </w:divBdr>
                  <w:divsChild>
                    <w:div w:id="1926455301">
                      <w:marLeft w:val="0"/>
                      <w:marRight w:val="0"/>
                      <w:marTop w:val="0"/>
                      <w:marBottom w:val="0"/>
                      <w:divBdr>
                        <w:top w:val="none" w:sz="0" w:space="0" w:color="auto"/>
                        <w:left w:val="none" w:sz="0" w:space="0" w:color="auto"/>
                        <w:bottom w:val="none" w:sz="0" w:space="0" w:color="auto"/>
                        <w:right w:val="none" w:sz="0" w:space="0" w:color="auto"/>
                      </w:divBdr>
                      <w:divsChild>
                        <w:div w:id="128603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250353">
          <w:marLeft w:val="0"/>
          <w:marRight w:val="0"/>
          <w:marTop w:val="0"/>
          <w:marBottom w:val="0"/>
          <w:divBdr>
            <w:top w:val="none" w:sz="0" w:space="0" w:color="auto"/>
            <w:left w:val="none" w:sz="0" w:space="0" w:color="auto"/>
            <w:bottom w:val="none" w:sz="0" w:space="0" w:color="auto"/>
            <w:right w:val="none" w:sz="0" w:space="0" w:color="auto"/>
          </w:divBdr>
          <w:divsChild>
            <w:div w:id="115412482">
              <w:marLeft w:val="0"/>
              <w:marRight w:val="0"/>
              <w:marTop w:val="0"/>
              <w:marBottom w:val="300"/>
              <w:divBdr>
                <w:top w:val="none" w:sz="0" w:space="0" w:color="auto"/>
                <w:left w:val="none" w:sz="0" w:space="0" w:color="auto"/>
                <w:bottom w:val="none" w:sz="0" w:space="0" w:color="auto"/>
                <w:right w:val="none" w:sz="0" w:space="0" w:color="auto"/>
              </w:divBdr>
              <w:divsChild>
                <w:div w:id="595871803">
                  <w:marLeft w:val="0"/>
                  <w:marRight w:val="0"/>
                  <w:marTop w:val="0"/>
                  <w:marBottom w:val="300"/>
                  <w:divBdr>
                    <w:top w:val="none" w:sz="0" w:space="0" w:color="auto"/>
                    <w:left w:val="none" w:sz="0" w:space="0" w:color="auto"/>
                    <w:bottom w:val="none" w:sz="0" w:space="0" w:color="auto"/>
                    <w:right w:val="none" w:sz="0" w:space="0" w:color="auto"/>
                  </w:divBdr>
                </w:div>
                <w:div w:id="732705245">
                  <w:marLeft w:val="0"/>
                  <w:marRight w:val="0"/>
                  <w:marTop w:val="0"/>
                  <w:marBottom w:val="0"/>
                  <w:divBdr>
                    <w:top w:val="none" w:sz="0" w:space="0" w:color="auto"/>
                    <w:left w:val="none" w:sz="0" w:space="0" w:color="auto"/>
                    <w:bottom w:val="none" w:sz="0" w:space="0" w:color="auto"/>
                    <w:right w:val="none" w:sz="0" w:space="0" w:color="auto"/>
                  </w:divBdr>
                </w:div>
              </w:divsChild>
            </w:div>
            <w:div w:id="794904139">
              <w:marLeft w:val="0"/>
              <w:marRight w:val="0"/>
              <w:marTop w:val="0"/>
              <w:marBottom w:val="0"/>
              <w:divBdr>
                <w:top w:val="none" w:sz="0" w:space="0" w:color="auto"/>
                <w:left w:val="none" w:sz="0" w:space="0" w:color="auto"/>
                <w:bottom w:val="none" w:sz="0" w:space="0" w:color="auto"/>
                <w:right w:val="none" w:sz="0" w:space="0" w:color="auto"/>
              </w:divBdr>
              <w:divsChild>
                <w:div w:id="1465200878">
                  <w:marLeft w:val="0"/>
                  <w:marRight w:val="0"/>
                  <w:marTop w:val="0"/>
                  <w:marBottom w:val="0"/>
                  <w:divBdr>
                    <w:top w:val="none" w:sz="0" w:space="0" w:color="auto"/>
                    <w:left w:val="none" w:sz="0" w:space="0" w:color="auto"/>
                    <w:bottom w:val="none" w:sz="0" w:space="0" w:color="auto"/>
                    <w:right w:val="none" w:sz="0" w:space="0" w:color="auto"/>
                  </w:divBdr>
                  <w:divsChild>
                    <w:div w:id="1438671691">
                      <w:marLeft w:val="0"/>
                      <w:marRight w:val="0"/>
                      <w:marTop w:val="0"/>
                      <w:marBottom w:val="300"/>
                      <w:divBdr>
                        <w:top w:val="none" w:sz="0" w:space="0" w:color="auto"/>
                        <w:left w:val="none" w:sz="0" w:space="0" w:color="auto"/>
                        <w:bottom w:val="none" w:sz="0" w:space="0" w:color="auto"/>
                        <w:right w:val="none" w:sz="0" w:space="0" w:color="auto"/>
                      </w:divBdr>
                      <w:divsChild>
                        <w:div w:id="2016687705">
                          <w:marLeft w:val="0"/>
                          <w:marRight w:val="225"/>
                          <w:marTop w:val="0"/>
                          <w:marBottom w:val="0"/>
                          <w:divBdr>
                            <w:top w:val="none" w:sz="0" w:space="0" w:color="auto"/>
                            <w:left w:val="none" w:sz="0" w:space="0" w:color="auto"/>
                            <w:bottom w:val="none" w:sz="0" w:space="0" w:color="auto"/>
                            <w:right w:val="none" w:sz="0" w:space="0" w:color="auto"/>
                          </w:divBdr>
                        </w:div>
                        <w:div w:id="2129078644">
                          <w:marLeft w:val="0"/>
                          <w:marRight w:val="0"/>
                          <w:marTop w:val="0"/>
                          <w:marBottom w:val="0"/>
                          <w:divBdr>
                            <w:top w:val="none" w:sz="0" w:space="0" w:color="auto"/>
                            <w:left w:val="none" w:sz="0" w:space="0" w:color="auto"/>
                            <w:bottom w:val="none" w:sz="0" w:space="0" w:color="auto"/>
                            <w:right w:val="none" w:sz="0" w:space="0" w:color="auto"/>
                          </w:divBdr>
                        </w:div>
                      </w:divsChild>
                    </w:div>
                    <w:div w:id="1727296749">
                      <w:marLeft w:val="0"/>
                      <w:marRight w:val="0"/>
                      <w:marTop w:val="0"/>
                      <w:marBottom w:val="300"/>
                      <w:divBdr>
                        <w:top w:val="none" w:sz="0" w:space="0" w:color="auto"/>
                        <w:left w:val="none" w:sz="0" w:space="0" w:color="auto"/>
                        <w:bottom w:val="none" w:sz="0" w:space="0" w:color="auto"/>
                        <w:right w:val="none" w:sz="0" w:space="0" w:color="auto"/>
                      </w:divBdr>
                      <w:divsChild>
                        <w:div w:id="1266694024">
                          <w:marLeft w:val="0"/>
                          <w:marRight w:val="225"/>
                          <w:marTop w:val="0"/>
                          <w:marBottom w:val="0"/>
                          <w:divBdr>
                            <w:top w:val="none" w:sz="0" w:space="0" w:color="auto"/>
                            <w:left w:val="none" w:sz="0" w:space="0" w:color="auto"/>
                            <w:bottom w:val="none" w:sz="0" w:space="0" w:color="auto"/>
                            <w:right w:val="none" w:sz="0" w:space="0" w:color="auto"/>
                          </w:divBdr>
                        </w:div>
                        <w:div w:id="124811085">
                          <w:marLeft w:val="0"/>
                          <w:marRight w:val="0"/>
                          <w:marTop w:val="0"/>
                          <w:marBottom w:val="0"/>
                          <w:divBdr>
                            <w:top w:val="none" w:sz="0" w:space="0" w:color="auto"/>
                            <w:left w:val="none" w:sz="0" w:space="0" w:color="auto"/>
                            <w:bottom w:val="none" w:sz="0" w:space="0" w:color="auto"/>
                            <w:right w:val="none" w:sz="0" w:space="0" w:color="auto"/>
                          </w:divBdr>
                        </w:div>
                      </w:divsChild>
                    </w:div>
                    <w:div w:id="740180661">
                      <w:marLeft w:val="0"/>
                      <w:marRight w:val="0"/>
                      <w:marTop w:val="0"/>
                      <w:marBottom w:val="300"/>
                      <w:divBdr>
                        <w:top w:val="none" w:sz="0" w:space="0" w:color="auto"/>
                        <w:left w:val="none" w:sz="0" w:space="0" w:color="auto"/>
                        <w:bottom w:val="none" w:sz="0" w:space="0" w:color="auto"/>
                        <w:right w:val="none" w:sz="0" w:space="0" w:color="auto"/>
                      </w:divBdr>
                      <w:divsChild>
                        <w:div w:id="1630015713">
                          <w:marLeft w:val="0"/>
                          <w:marRight w:val="225"/>
                          <w:marTop w:val="0"/>
                          <w:marBottom w:val="0"/>
                          <w:divBdr>
                            <w:top w:val="none" w:sz="0" w:space="0" w:color="auto"/>
                            <w:left w:val="none" w:sz="0" w:space="0" w:color="auto"/>
                            <w:bottom w:val="none" w:sz="0" w:space="0" w:color="auto"/>
                            <w:right w:val="none" w:sz="0" w:space="0" w:color="auto"/>
                          </w:divBdr>
                        </w:div>
                        <w:div w:id="435053666">
                          <w:marLeft w:val="0"/>
                          <w:marRight w:val="0"/>
                          <w:marTop w:val="0"/>
                          <w:marBottom w:val="0"/>
                          <w:divBdr>
                            <w:top w:val="none" w:sz="0" w:space="0" w:color="auto"/>
                            <w:left w:val="none" w:sz="0" w:space="0" w:color="auto"/>
                            <w:bottom w:val="none" w:sz="0" w:space="0" w:color="auto"/>
                            <w:right w:val="none" w:sz="0" w:space="0" w:color="auto"/>
                          </w:divBdr>
                        </w:div>
                      </w:divsChild>
                    </w:div>
                    <w:div w:id="1505822282">
                      <w:marLeft w:val="0"/>
                      <w:marRight w:val="0"/>
                      <w:marTop w:val="0"/>
                      <w:marBottom w:val="300"/>
                      <w:divBdr>
                        <w:top w:val="none" w:sz="0" w:space="0" w:color="auto"/>
                        <w:left w:val="none" w:sz="0" w:space="0" w:color="auto"/>
                        <w:bottom w:val="none" w:sz="0" w:space="0" w:color="auto"/>
                        <w:right w:val="none" w:sz="0" w:space="0" w:color="auto"/>
                      </w:divBdr>
                      <w:divsChild>
                        <w:div w:id="1187252449">
                          <w:marLeft w:val="0"/>
                          <w:marRight w:val="225"/>
                          <w:marTop w:val="0"/>
                          <w:marBottom w:val="0"/>
                          <w:divBdr>
                            <w:top w:val="none" w:sz="0" w:space="0" w:color="auto"/>
                            <w:left w:val="none" w:sz="0" w:space="0" w:color="auto"/>
                            <w:bottom w:val="none" w:sz="0" w:space="0" w:color="auto"/>
                            <w:right w:val="none" w:sz="0" w:space="0" w:color="auto"/>
                          </w:divBdr>
                        </w:div>
                        <w:div w:id="43517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7740412">
      <w:bodyDiv w:val="1"/>
      <w:marLeft w:val="0"/>
      <w:marRight w:val="0"/>
      <w:marTop w:val="0"/>
      <w:marBottom w:val="0"/>
      <w:divBdr>
        <w:top w:val="none" w:sz="0" w:space="0" w:color="auto"/>
        <w:left w:val="none" w:sz="0" w:space="0" w:color="auto"/>
        <w:bottom w:val="none" w:sz="0" w:space="0" w:color="auto"/>
        <w:right w:val="none" w:sz="0" w:space="0" w:color="auto"/>
      </w:divBdr>
      <w:divsChild>
        <w:div w:id="1488471082">
          <w:marLeft w:val="0"/>
          <w:marRight w:val="0"/>
          <w:marTop w:val="0"/>
          <w:marBottom w:val="0"/>
          <w:divBdr>
            <w:top w:val="none" w:sz="0" w:space="0" w:color="auto"/>
            <w:left w:val="none" w:sz="0" w:space="0" w:color="auto"/>
            <w:bottom w:val="none" w:sz="0" w:space="0" w:color="auto"/>
            <w:right w:val="none" w:sz="0" w:space="0" w:color="auto"/>
          </w:divBdr>
          <w:divsChild>
            <w:div w:id="787239010">
              <w:marLeft w:val="0"/>
              <w:marRight w:val="0"/>
              <w:marTop w:val="0"/>
              <w:marBottom w:val="0"/>
              <w:divBdr>
                <w:top w:val="none" w:sz="0" w:space="0" w:color="auto"/>
                <w:left w:val="none" w:sz="0" w:space="0" w:color="auto"/>
                <w:bottom w:val="none" w:sz="0" w:space="0" w:color="auto"/>
                <w:right w:val="none" w:sz="0" w:space="0" w:color="auto"/>
              </w:divBdr>
              <w:divsChild>
                <w:div w:id="750541565">
                  <w:marLeft w:val="0"/>
                  <w:marRight w:val="0"/>
                  <w:marTop w:val="0"/>
                  <w:marBottom w:val="150"/>
                  <w:divBdr>
                    <w:top w:val="none" w:sz="0" w:space="0" w:color="auto"/>
                    <w:left w:val="none" w:sz="0" w:space="0" w:color="auto"/>
                    <w:bottom w:val="none" w:sz="0" w:space="0" w:color="auto"/>
                    <w:right w:val="none" w:sz="0" w:space="0" w:color="auto"/>
                  </w:divBdr>
                  <w:divsChild>
                    <w:div w:id="1920749535">
                      <w:marLeft w:val="0"/>
                      <w:marRight w:val="0"/>
                      <w:marTop w:val="0"/>
                      <w:marBottom w:val="0"/>
                      <w:divBdr>
                        <w:top w:val="none" w:sz="0" w:space="0" w:color="auto"/>
                        <w:left w:val="none" w:sz="0" w:space="0" w:color="auto"/>
                        <w:bottom w:val="none" w:sz="0" w:space="0" w:color="auto"/>
                        <w:right w:val="none" w:sz="0" w:space="0" w:color="auto"/>
                      </w:divBdr>
                      <w:divsChild>
                        <w:div w:id="1093167261">
                          <w:marLeft w:val="0"/>
                          <w:marRight w:val="0"/>
                          <w:marTop w:val="0"/>
                          <w:marBottom w:val="0"/>
                          <w:divBdr>
                            <w:top w:val="none" w:sz="0" w:space="0" w:color="auto"/>
                            <w:left w:val="none" w:sz="0" w:space="0" w:color="auto"/>
                            <w:bottom w:val="none" w:sz="0" w:space="0" w:color="auto"/>
                            <w:right w:val="none" w:sz="0" w:space="0" w:color="auto"/>
                          </w:divBdr>
                          <w:divsChild>
                            <w:div w:id="2064253357">
                              <w:marLeft w:val="0"/>
                              <w:marRight w:val="0"/>
                              <w:marTop w:val="0"/>
                              <w:marBottom w:val="0"/>
                              <w:divBdr>
                                <w:top w:val="none" w:sz="0" w:space="0" w:color="auto"/>
                                <w:left w:val="none" w:sz="0" w:space="0" w:color="auto"/>
                                <w:bottom w:val="none" w:sz="0" w:space="0" w:color="auto"/>
                                <w:right w:val="none" w:sz="0" w:space="0" w:color="auto"/>
                              </w:divBdr>
                              <w:divsChild>
                                <w:div w:id="116029455">
                                  <w:marLeft w:val="0"/>
                                  <w:marRight w:val="0"/>
                                  <w:marTop w:val="0"/>
                                  <w:marBottom w:val="0"/>
                                  <w:divBdr>
                                    <w:top w:val="none" w:sz="0" w:space="0" w:color="auto"/>
                                    <w:left w:val="none" w:sz="0" w:space="0" w:color="auto"/>
                                    <w:bottom w:val="none" w:sz="0" w:space="0" w:color="auto"/>
                                    <w:right w:val="none" w:sz="0" w:space="0" w:color="auto"/>
                                  </w:divBdr>
                                  <w:divsChild>
                                    <w:div w:id="985354669">
                                      <w:marLeft w:val="0"/>
                                      <w:marRight w:val="0"/>
                                      <w:marTop w:val="0"/>
                                      <w:marBottom w:val="0"/>
                                      <w:divBdr>
                                        <w:top w:val="none" w:sz="0" w:space="0" w:color="auto"/>
                                        <w:left w:val="none" w:sz="0" w:space="0" w:color="auto"/>
                                        <w:bottom w:val="none" w:sz="0" w:space="0" w:color="auto"/>
                                        <w:right w:val="none" w:sz="0" w:space="0" w:color="auto"/>
                                      </w:divBdr>
                                      <w:divsChild>
                                        <w:div w:id="2054114758">
                                          <w:marLeft w:val="0"/>
                                          <w:marRight w:val="0"/>
                                          <w:marTop w:val="0"/>
                                          <w:marBottom w:val="0"/>
                                          <w:divBdr>
                                            <w:top w:val="none" w:sz="0" w:space="0" w:color="auto"/>
                                            <w:left w:val="none" w:sz="0" w:space="0" w:color="auto"/>
                                            <w:bottom w:val="none" w:sz="0" w:space="0" w:color="auto"/>
                                            <w:right w:val="none" w:sz="0" w:space="0" w:color="auto"/>
                                          </w:divBdr>
                                          <w:divsChild>
                                            <w:div w:id="147290017">
                                              <w:marLeft w:val="0"/>
                                              <w:marRight w:val="0"/>
                                              <w:marTop w:val="0"/>
                                              <w:marBottom w:val="0"/>
                                              <w:divBdr>
                                                <w:top w:val="none" w:sz="0" w:space="0" w:color="auto"/>
                                                <w:left w:val="none" w:sz="0" w:space="0" w:color="auto"/>
                                                <w:bottom w:val="none" w:sz="0" w:space="0" w:color="auto"/>
                                                <w:right w:val="none" w:sz="0" w:space="0" w:color="auto"/>
                                              </w:divBdr>
                                              <w:divsChild>
                                                <w:div w:id="153577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8009512">
      <w:bodyDiv w:val="1"/>
      <w:marLeft w:val="0"/>
      <w:marRight w:val="0"/>
      <w:marTop w:val="0"/>
      <w:marBottom w:val="0"/>
      <w:divBdr>
        <w:top w:val="none" w:sz="0" w:space="0" w:color="auto"/>
        <w:left w:val="none" w:sz="0" w:space="0" w:color="auto"/>
        <w:bottom w:val="none" w:sz="0" w:space="0" w:color="auto"/>
        <w:right w:val="none" w:sz="0" w:space="0" w:color="auto"/>
      </w:divBdr>
      <w:divsChild>
        <w:div w:id="917246661">
          <w:marLeft w:val="0"/>
          <w:marRight w:val="0"/>
          <w:marTop w:val="0"/>
          <w:marBottom w:val="0"/>
          <w:divBdr>
            <w:top w:val="none" w:sz="0" w:space="0" w:color="auto"/>
            <w:left w:val="none" w:sz="0" w:space="0" w:color="auto"/>
            <w:bottom w:val="none" w:sz="0" w:space="0" w:color="auto"/>
            <w:right w:val="none" w:sz="0" w:space="0" w:color="auto"/>
          </w:divBdr>
          <w:divsChild>
            <w:div w:id="1339848941">
              <w:marLeft w:val="0"/>
              <w:marRight w:val="0"/>
              <w:marTop w:val="0"/>
              <w:marBottom w:val="0"/>
              <w:divBdr>
                <w:top w:val="none" w:sz="0" w:space="0" w:color="auto"/>
                <w:left w:val="none" w:sz="0" w:space="0" w:color="auto"/>
                <w:bottom w:val="none" w:sz="0" w:space="0" w:color="auto"/>
                <w:right w:val="none" w:sz="0" w:space="0" w:color="auto"/>
              </w:divBdr>
              <w:divsChild>
                <w:div w:id="1282416774">
                  <w:marLeft w:val="0"/>
                  <w:marRight w:val="0"/>
                  <w:marTop w:val="0"/>
                  <w:marBottom w:val="0"/>
                  <w:divBdr>
                    <w:top w:val="none" w:sz="0" w:space="0" w:color="auto"/>
                    <w:left w:val="none" w:sz="0" w:space="0" w:color="auto"/>
                    <w:bottom w:val="none" w:sz="0" w:space="0" w:color="auto"/>
                    <w:right w:val="none" w:sz="0" w:space="0" w:color="auto"/>
                  </w:divBdr>
                  <w:divsChild>
                    <w:div w:id="450785620">
                      <w:marLeft w:val="0"/>
                      <w:marRight w:val="0"/>
                      <w:marTop w:val="0"/>
                      <w:marBottom w:val="0"/>
                      <w:divBdr>
                        <w:top w:val="none" w:sz="0" w:space="0" w:color="auto"/>
                        <w:left w:val="none" w:sz="0" w:space="0" w:color="auto"/>
                        <w:bottom w:val="none" w:sz="0" w:space="0" w:color="auto"/>
                        <w:right w:val="none" w:sz="0" w:space="0" w:color="auto"/>
                      </w:divBdr>
                      <w:divsChild>
                        <w:div w:id="1137527534">
                          <w:marLeft w:val="0"/>
                          <w:marRight w:val="0"/>
                          <w:marTop w:val="0"/>
                          <w:marBottom w:val="0"/>
                          <w:divBdr>
                            <w:top w:val="none" w:sz="0" w:space="0" w:color="auto"/>
                            <w:left w:val="none" w:sz="0" w:space="0" w:color="auto"/>
                            <w:bottom w:val="none" w:sz="0" w:space="0" w:color="auto"/>
                            <w:right w:val="none" w:sz="0" w:space="0" w:color="auto"/>
                          </w:divBdr>
                          <w:divsChild>
                            <w:div w:id="554857719">
                              <w:marLeft w:val="0"/>
                              <w:marRight w:val="0"/>
                              <w:marTop w:val="0"/>
                              <w:marBottom w:val="0"/>
                              <w:divBdr>
                                <w:top w:val="none" w:sz="0" w:space="0" w:color="auto"/>
                                <w:left w:val="none" w:sz="0" w:space="0" w:color="auto"/>
                                <w:bottom w:val="none" w:sz="0" w:space="0" w:color="auto"/>
                                <w:right w:val="none" w:sz="0" w:space="0" w:color="auto"/>
                              </w:divBdr>
                              <w:divsChild>
                                <w:div w:id="1496141283">
                                  <w:marLeft w:val="0"/>
                                  <w:marRight w:val="0"/>
                                  <w:marTop w:val="0"/>
                                  <w:marBottom w:val="0"/>
                                  <w:divBdr>
                                    <w:top w:val="none" w:sz="0" w:space="0" w:color="auto"/>
                                    <w:left w:val="none" w:sz="0" w:space="0" w:color="auto"/>
                                    <w:bottom w:val="none" w:sz="0" w:space="0" w:color="auto"/>
                                    <w:right w:val="none" w:sz="0" w:space="0" w:color="auto"/>
                                  </w:divBdr>
                                  <w:divsChild>
                                    <w:div w:id="189427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467491">
      <w:bodyDiv w:val="1"/>
      <w:marLeft w:val="0"/>
      <w:marRight w:val="0"/>
      <w:marTop w:val="0"/>
      <w:marBottom w:val="0"/>
      <w:divBdr>
        <w:top w:val="none" w:sz="0" w:space="0" w:color="auto"/>
        <w:left w:val="none" w:sz="0" w:space="0" w:color="auto"/>
        <w:bottom w:val="none" w:sz="0" w:space="0" w:color="auto"/>
        <w:right w:val="none" w:sz="0" w:space="0" w:color="auto"/>
      </w:divBdr>
      <w:divsChild>
        <w:div w:id="1856533016">
          <w:marLeft w:val="0"/>
          <w:marRight w:val="0"/>
          <w:marTop w:val="0"/>
          <w:marBottom w:val="0"/>
          <w:divBdr>
            <w:top w:val="none" w:sz="0" w:space="0" w:color="auto"/>
            <w:left w:val="none" w:sz="0" w:space="0" w:color="auto"/>
            <w:bottom w:val="dotted" w:sz="6" w:space="4" w:color="DDDDDD"/>
            <w:right w:val="none" w:sz="0" w:space="0" w:color="auto"/>
          </w:divBdr>
          <w:divsChild>
            <w:div w:id="26110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471163">
      <w:bodyDiv w:val="1"/>
      <w:marLeft w:val="0"/>
      <w:marRight w:val="0"/>
      <w:marTop w:val="0"/>
      <w:marBottom w:val="0"/>
      <w:divBdr>
        <w:top w:val="none" w:sz="0" w:space="0" w:color="auto"/>
        <w:left w:val="none" w:sz="0" w:space="0" w:color="auto"/>
        <w:bottom w:val="none" w:sz="0" w:space="0" w:color="auto"/>
        <w:right w:val="none" w:sz="0" w:space="0" w:color="auto"/>
      </w:divBdr>
      <w:divsChild>
        <w:div w:id="124933717">
          <w:marLeft w:val="0"/>
          <w:marRight w:val="0"/>
          <w:marTop w:val="0"/>
          <w:marBottom w:val="150"/>
          <w:divBdr>
            <w:top w:val="none" w:sz="0" w:space="0" w:color="auto"/>
            <w:left w:val="none" w:sz="0" w:space="0" w:color="auto"/>
            <w:bottom w:val="none" w:sz="0" w:space="0" w:color="auto"/>
            <w:right w:val="none" w:sz="0" w:space="0" w:color="auto"/>
          </w:divBdr>
        </w:div>
        <w:div w:id="410931380">
          <w:marLeft w:val="0"/>
          <w:marRight w:val="0"/>
          <w:marTop w:val="0"/>
          <w:marBottom w:val="0"/>
          <w:divBdr>
            <w:top w:val="none" w:sz="0" w:space="0" w:color="auto"/>
            <w:left w:val="none" w:sz="0" w:space="0" w:color="auto"/>
            <w:bottom w:val="none" w:sz="0" w:space="0" w:color="auto"/>
            <w:right w:val="none" w:sz="0" w:space="0" w:color="auto"/>
          </w:divBdr>
        </w:div>
      </w:divsChild>
    </w:div>
    <w:div w:id="518856881">
      <w:bodyDiv w:val="1"/>
      <w:marLeft w:val="0"/>
      <w:marRight w:val="0"/>
      <w:marTop w:val="0"/>
      <w:marBottom w:val="0"/>
      <w:divBdr>
        <w:top w:val="none" w:sz="0" w:space="0" w:color="auto"/>
        <w:left w:val="none" w:sz="0" w:space="0" w:color="auto"/>
        <w:bottom w:val="none" w:sz="0" w:space="0" w:color="auto"/>
        <w:right w:val="none" w:sz="0" w:space="0" w:color="auto"/>
      </w:divBdr>
      <w:divsChild>
        <w:div w:id="2134471659">
          <w:marLeft w:val="0"/>
          <w:marRight w:val="0"/>
          <w:marTop w:val="0"/>
          <w:marBottom w:val="180"/>
          <w:divBdr>
            <w:top w:val="none" w:sz="0" w:space="0" w:color="auto"/>
            <w:left w:val="none" w:sz="0" w:space="0" w:color="auto"/>
            <w:bottom w:val="none" w:sz="0" w:space="0" w:color="auto"/>
            <w:right w:val="none" w:sz="0" w:space="0" w:color="auto"/>
          </w:divBdr>
        </w:div>
      </w:divsChild>
    </w:div>
    <w:div w:id="519049170">
      <w:bodyDiv w:val="1"/>
      <w:marLeft w:val="0"/>
      <w:marRight w:val="0"/>
      <w:marTop w:val="0"/>
      <w:marBottom w:val="0"/>
      <w:divBdr>
        <w:top w:val="none" w:sz="0" w:space="0" w:color="auto"/>
        <w:left w:val="none" w:sz="0" w:space="0" w:color="auto"/>
        <w:bottom w:val="none" w:sz="0" w:space="0" w:color="auto"/>
        <w:right w:val="none" w:sz="0" w:space="0" w:color="auto"/>
      </w:divBdr>
      <w:divsChild>
        <w:div w:id="299455815">
          <w:marLeft w:val="0"/>
          <w:marRight w:val="0"/>
          <w:marTop w:val="0"/>
          <w:marBottom w:val="0"/>
          <w:divBdr>
            <w:top w:val="none" w:sz="0" w:space="0" w:color="auto"/>
            <w:left w:val="none" w:sz="0" w:space="0" w:color="auto"/>
            <w:bottom w:val="none" w:sz="0" w:space="0" w:color="auto"/>
            <w:right w:val="none" w:sz="0" w:space="0" w:color="auto"/>
          </w:divBdr>
          <w:divsChild>
            <w:div w:id="2438866">
              <w:marLeft w:val="0"/>
              <w:marRight w:val="0"/>
              <w:marTop w:val="0"/>
              <w:marBottom w:val="0"/>
              <w:divBdr>
                <w:top w:val="none" w:sz="0" w:space="0" w:color="auto"/>
                <w:left w:val="none" w:sz="0" w:space="0" w:color="auto"/>
                <w:bottom w:val="none" w:sz="0" w:space="0" w:color="auto"/>
                <w:right w:val="none" w:sz="0" w:space="0" w:color="auto"/>
              </w:divBdr>
            </w:div>
            <w:div w:id="401876370">
              <w:marLeft w:val="0"/>
              <w:marRight w:val="0"/>
              <w:marTop w:val="0"/>
              <w:marBottom w:val="0"/>
              <w:divBdr>
                <w:top w:val="none" w:sz="0" w:space="0" w:color="auto"/>
                <w:left w:val="none" w:sz="0" w:space="0" w:color="auto"/>
                <w:bottom w:val="none" w:sz="0" w:space="0" w:color="auto"/>
                <w:right w:val="none" w:sz="0" w:space="0" w:color="auto"/>
              </w:divBdr>
            </w:div>
            <w:div w:id="567348801">
              <w:marLeft w:val="0"/>
              <w:marRight w:val="0"/>
              <w:marTop w:val="0"/>
              <w:marBottom w:val="0"/>
              <w:divBdr>
                <w:top w:val="none" w:sz="0" w:space="0" w:color="auto"/>
                <w:left w:val="none" w:sz="0" w:space="0" w:color="auto"/>
                <w:bottom w:val="none" w:sz="0" w:space="0" w:color="auto"/>
                <w:right w:val="none" w:sz="0" w:space="0" w:color="auto"/>
              </w:divBdr>
            </w:div>
            <w:div w:id="674039645">
              <w:marLeft w:val="0"/>
              <w:marRight w:val="0"/>
              <w:marTop w:val="0"/>
              <w:marBottom w:val="0"/>
              <w:divBdr>
                <w:top w:val="none" w:sz="0" w:space="0" w:color="auto"/>
                <w:left w:val="none" w:sz="0" w:space="0" w:color="auto"/>
                <w:bottom w:val="none" w:sz="0" w:space="0" w:color="auto"/>
                <w:right w:val="none" w:sz="0" w:space="0" w:color="auto"/>
              </w:divBdr>
            </w:div>
            <w:div w:id="748501766">
              <w:marLeft w:val="0"/>
              <w:marRight w:val="0"/>
              <w:marTop w:val="0"/>
              <w:marBottom w:val="0"/>
              <w:divBdr>
                <w:top w:val="none" w:sz="0" w:space="0" w:color="auto"/>
                <w:left w:val="none" w:sz="0" w:space="0" w:color="auto"/>
                <w:bottom w:val="none" w:sz="0" w:space="0" w:color="auto"/>
                <w:right w:val="none" w:sz="0" w:space="0" w:color="auto"/>
              </w:divBdr>
            </w:div>
            <w:div w:id="967857016">
              <w:marLeft w:val="0"/>
              <w:marRight w:val="0"/>
              <w:marTop w:val="0"/>
              <w:marBottom w:val="0"/>
              <w:divBdr>
                <w:top w:val="none" w:sz="0" w:space="0" w:color="auto"/>
                <w:left w:val="none" w:sz="0" w:space="0" w:color="auto"/>
                <w:bottom w:val="none" w:sz="0" w:space="0" w:color="auto"/>
                <w:right w:val="none" w:sz="0" w:space="0" w:color="auto"/>
              </w:divBdr>
            </w:div>
            <w:div w:id="1050109390">
              <w:marLeft w:val="0"/>
              <w:marRight w:val="0"/>
              <w:marTop w:val="0"/>
              <w:marBottom w:val="0"/>
              <w:divBdr>
                <w:top w:val="none" w:sz="0" w:space="0" w:color="auto"/>
                <w:left w:val="none" w:sz="0" w:space="0" w:color="auto"/>
                <w:bottom w:val="none" w:sz="0" w:space="0" w:color="auto"/>
                <w:right w:val="none" w:sz="0" w:space="0" w:color="auto"/>
              </w:divBdr>
            </w:div>
            <w:div w:id="1073970831">
              <w:marLeft w:val="0"/>
              <w:marRight w:val="0"/>
              <w:marTop w:val="0"/>
              <w:marBottom w:val="0"/>
              <w:divBdr>
                <w:top w:val="none" w:sz="0" w:space="0" w:color="auto"/>
                <w:left w:val="none" w:sz="0" w:space="0" w:color="auto"/>
                <w:bottom w:val="none" w:sz="0" w:space="0" w:color="auto"/>
                <w:right w:val="none" w:sz="0" w:space="0" w:color="auto"/>
              </w:divBdr>
            </w:div>
            <w:div w:id="1175992936">
              <w:marLeft w:val="0"/>
              <w:marRight w:val="0"/>
              <w:marTop w:val="0"/>
              <w:marBottom w:val="0"/>
              <w:divBdr>
                <w:top w:val="none" w:sz="0" w:space="0" w:color="auto"/>
                <w:left w:val="none" w:sz="0" w:space="0" w:color="auto"/>
                <w:bottom w:val="none" w:sz="0" w:space="0" w:color="auto"/>
                <w:right w:val="none" w:sz="0" w:space="0" w:color="auto"/>
              </w:divBdr>
            </w:div>
            <w:div w:id="1391728185">
              <w:marLeft w:val="0"/>
              <w:marRight w:val="0"/>
              <w:marTop w:val="0"/>
              <w:marBottom w:val="0"/>
              <w:divBdr>
                <w:top w:val="none" w:sz="0" w:space="0" w:color="auto"/>
                <w:left w:val="none" w:sz="0" w:space="0" w:color="auto"/>
                <w:bottom w:val="none" w:sz="0" w:space="0" w:color="auto"/>
                <w:right w:val="none" w:sz="0" w:space="0" w:color="auto"/>
              </w:divBdr>
            </w:div>
            <w:div w:id="1533151659">
              <w:marLeft w:val="0"/>
              <w:marRight w:val="0"/>
              <w:marTop w:val="0"/>
              <w:marBottom w:val="0"/>
              <w:divBdr>
                <w:top w:val="none" w:sz="0" w:space="0" w:color="auto"/>
                <w:left w:val="none" w:sz="0" w:space="0" w:color="auto"/>
                <w:bottom w:val="none" w:sz="0" w:space="0" w:color="auto"/>
                <w:right w:val="none" w:sz="0" w:space="0" w:color="auto"/>
              </w:divBdr>
            </w:div>
            <w:div w:id="1544749547">
              <w:marLeft w:val="0"/>
              <w:marRight w:val="0"/>
              <w:marTop w:val="0"/>
              <w:marBottom w:val="0"/>
              <w:divBdr>
                <w:top w:val="none" w:sz="0" w:space="0" w:color="auto"/>
                <w:left w:val="none" w:sz="0" w:space="0" w:color="auto"/>
                <w:bottom w:val="none" w:sz="0" w:space="0" w:color="auto"/>
                <w:right w:val="none" w:sz="0" w:space="0" w:color="auto"/>
              </w:divBdr>
            </w:div>
            <w:div w:id="1605845263">
              <w:marLeft w:val="0"/>
              <w:marRight w:val="0"/>
              <w:marTop w:val="0"/>
              <w:marBottom w:val="0"/>
              <w:divBdr>
                <w:top w:val="none" w:sz="0" w:space="0" w:color="auto"/>
                <w:left w:val="none" w:sz="0" w:space="0" w:color="auto"/>
                <w:bottom w:val="none" w:sz="0" w:space="0" w:color="auto"/>
                <w:right w:val="none" w:sz="0" w:space="0" w:color="auto"/>
              </w:divBdr>
            </w:div>
            <w:div w:id="1645500191">
              <w:marLeft w:val="0"/>
              <w:marRight w:val="0"/>
              <w:marTop w:val="0"/>
              <w:marBottom w:val="0"/>
              <w:divBdr>
                <w:top w:val="none" w:sz="0" w:space="0" w:color="auto"/>
                <w:left w:val="none" w:sz="0" w:space="0" w:color="auto"/>
                <w:bottom w:val="none" w:sz="0" w:space="0" w:color="auto"/>
                <w:right w:val="none" w:sz="0" w:space="0" w:color="auto"/>
              </w:divBdr>
            </w:div>
            <w:div w:id="1748723383">
              <w:marLeft w:val="0"/>
              <w:marRight w:val="0"/>
              <w:marTop w:val="0"/>
              <w:marBottom w:val="0"/>
              <w:divBdr>
                <w:top w:val="none" w:sz="0" w:space="0" w:color="auto"/>
                <w:left w:val="none" w:sz="0" w:space="0" w:color="auto"/>
                <w:bottom w:val="none" w:sz="0" w:space="0" w:color="auto"/>
                <w:right w:val="none" w:sz="0" w:space="0" w:color="auto"/>
              </w:divBdr>
            </w:div>
            <w:div w:id="1820073608">
              <w:marLeft w:val="0"/>
              <w:marRight w:val="0"/>
              <w:marTop w:val="0"/>
              <w:marBottom w:val="0"/>
              <w:divBdr>
                <w:top w:val="none" w:sz="0" w:space="0" w:color="auto"/>
                <w:left w:val="none" w:sz="0" w:space="0" w:color="auto"/>
                <w:bottom w:val="none" w:sz="0" w:space="0" w:color="auto"/>
                <w:right w:val="none" w:sz="0" w:space="0" w:color="auto"/>
              </w:divBdr>
            </w:div>
            <w:div w:id="1982345973">
              <w:marLeft w:val="0"/>
              <w:marRight w:val="0"/>
              <w:marTop w:val="0"/>
              <w:marBottom w:val="0"/>
              <w:divBdr>
                <w:top w:val="none" w:sz="0" w:space="0" w:color="auto"/>
                <w:left w:val="none" w:sz="0" w:space="0" w:color="auto"/>
                <w:bottom w:val="none" w:sz="0" w:space="0" w:color="auto"/>
                <w:right w:val="none" w:sz="0" w:space="0" w:color="auto"/>
              </w:divBdr>
            </w:div>
          </w:divsChild>
        </w:div>
        <w:div w:id="572392150">
          <w:marLeft w:val="0"/>
          <w:marRight w:val="0"/>
          <w:marTop w:val="0"/>
          <w:marBottom w:val="0"/>
          <w:divBdr>
            <w:top w:val="none" w:sz="0" w:space="0" w:color="auto"/>
            <w:left w:val="none" w:sz="0" w:space="0" w:color="auto"/>
            <w:bottom w:val="none" w:sz="0" w:space="0" w:color="auto"/>
            <w:right w:val="none" w:sz="0" w:space="0" w:color="auto"/>
          </w:divBdr>
        </w:div>
        <w:div w:id="1489587681">
          <w:marLeft w:val="0"/>
          <w:marRight w:val="0"/>
          <w:marTop w:val="0"/>
          <w:marBottom w:val="0"/>
          <w:divBdr>
            <w:top w:val="none" w:sz="0" w:space="0" w:color="auto"/>
            <w:left w:val="none" w:sz="0" w:space="0" w:color="auto"/>
            <w:bottom w:val="none" w:sz="0" w:space="0" w:color="auto"/>
            <w:right w:val="none" w:sz="0" w:space="0" w:color="auto"/>
          </w:divBdr>
        </w:div>
      </w:divsChild>
    </w:div>
    <w:div w:id="519508136">
      <w:bodyDiv w:val="1"/>
      <w:marLeft w:val="0"/>
      <w:marRight w:val="0"/>
      <w:marTop w:val="0"/>
      <w:marBottom w:val="0"/>
      <w:divBdr>
        <w:top w:val="none" w:sz="0" w:space="0" w:color="auto"/>
        <w:left w:val="none" w:sz="0" w:space="0" w:color="auto"/>
        <w:bottom w:val="none" w:sz="0" w:space="0" w:color="auto"/>
        <w:right w:val="none" w:sz="0" w:space="0" w:color="auto"/>
      </w:divBdr>
      <w:divsChild>
        <w:div w:id="585648434">
          <w:marLeft w:val="0"/>
          <w:marRight w:val="0"/>
          <w:marTop w:val="0"/>
          <w:marBottom w:val="150"/>
          <w:divBdr>
            <w:top w:val="none" w:sz="0" w:space="0" w:color="auto"/>
            <w:left w:val="none" w:sz="0" w:space="0" w:color="auto"/>
            <w:bottom w:val="none" w:sz="0" w:space="0" w:color="auto"/>
            <w:right w:val="none" w:sz="0" w:space="0" w:color="auto"/>
          </w:divBdr>
          <w:divsChild>
            <w:div w:id="1570918320">
              <w:marLeft w:val="0"/>
              <w:marRight w:val="0"/>
              <w:marTop w:val="0"/>
              <w:marBottom w:val="0"/>
              <w:divBdr>
                <w:top w:val="none" w:sz="0" w:space="0" w:color="auto"/>
                <w:left w:val="none" w:sz="0" w:space="0" w:color="auto"/>
                <w:bottom w:val="none" w:sz="0" w:space="0" w:color="auto"/>
                <w:right w:val="none" w:sz="0" w:space="0" w:color="auto"/>
              </w:divBdr>
            </w:div>
          </w:divsChild>
        </w:div>
        <w:div w:id="1013414034">
          <w:marLeft w:val="0"/>
          <w:marRight w:val="0"/>
          <w:marTop w:val="0"/>
          <w:marBottom w:val="0"/>
          <w:divBdr>
            <w:top w:val="none" w:sz="0" w:space="0" w:color="auto"/>
            <w:left w:val="none" w:sz="0" w:space="0" w:color="auto"/>
            <w:bottom w:val="none" w:sz="0" w:space="0" w:color="auto"/>
            <w:right w:val="none" w:sz="0" w:space="0" w:color="auto"/>
          </w:divBdr>
          <w:divsChild>
            <w:div w:id="618146846">
              <w:marLeft w:val="0"/>
              <w:marRight w:val="0"/>
              <w:marTop w:val="0"/>
              <w:marBottom w:val="150"/>
              <w:divBdr>
                <w:top w:val="none" w:sz="0" w:space="0" w:color="auto"/>
                <w:left w:val="none" w:sz="0" w:space="0" w:color="auto"/>
                <w:bottom w:val="none" w:sz="0" w:space="0" w:color="auto"/>
                <w:right w:val="none" w:sz="0" w:space="0" w:color="auto"/>
              </w:divBdr>
            </w:div>
            <w:div w:id="205653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515988">
      <w:bodyDiv w:val="1"/>
      <w:marLeft w:val="0"/>
      <w:marRight w:val="0"/>
      <w:marTop w:val="0"/>
      <w:marBottom w:val="0"/>
      <w:divBdr>
        <w:top w:val="none" w:sz="0" w:space="0" w:color="auto"/>
        <w:left w:val="none" w:sz="0" w:space="0" w:color="auto"/>
        <w:bottom w:val="none" w:sz="0" w:space="0" w:color="auto"/>
        <w:right w:val="none" w:sz="0" w:space="0" w:color="auto"/>
      </w:divBdr>
      <w:divsChild>
        <w:div w:id="1206142685">
          <w:marLeft w:val="0"/>
          <w:marRight w:val="0"/>
          <w:marTop w:val="0"/>
          <w:marBottom w:val="0"/>
          <w:divBdr>
            <w:top w:val="none" w:sz="0" w:space="0" w:color="auto"/>
            <w:left w:val="none" w:sz="0" w:space="0" w:color="auto"/>
            <w:bottom w:val="dotted" w:sz="6" w:space="4" w:color="DDDDDD"/>
            <w:right w:val="none" w:sz="0" w:space="0" w:color="auto"/>
          </w:divBdr>
          <w:divsChild>
            <w:div w:id="23802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976565">
      <w:bodyDiv w:val="1"/>
      <w:marLeft w:val="0"/>
      <w:marRight w:val="0"/>
      <w:marTop w:val="0"/>
      <w:marBottom w:val="0"/>
      <w:divBdr>
        <w:top w:val="none" w:sz="0" w:space="0" w:color="auto"/>
        <w:left w:val="none" w:sz="0" w:space="0" w:color="auto"/>
        <w:bottom w:val="none" w:sz="0" w:space="0" w:color="auto"/>
        <w:right w:val="none" w:sz="0" w:space="0" w:color="auto"/>
      </w:divBdr>
    </w:div>
    <w:div w:id="520121013">
      <w:bodyDiv w:val="1"/>
      <w:marLeft w:val="0"/>
      <w:marRight w:val="0"/>
      <w:marTop w:val="0"/>
      <w:marBottom w:val="0"/>
      <w:divBdr>
        <w:top w:val="none" w:sz="0" w:space="0" w:color="auto"/>
        <w:left w:val="none" w:sz="0" w:space="0" w:color="auto"/>
        <w:bottom w:val="none" w:sz="0" w:space="0" w:color="auto"/>
        <w:right w:val="none" w:sz="0" w:space="0" w:color="auto"/>
      </w:divBdr>
      <w:divsChild>
        <w:div w:id="1747217450">
          <w:marLeft w:val="0"/>
          <w:marRight w:val="0"/>
          <w:marTop w:val="0"/>
          <w:marBottom w:val="0"/>
          <w:divBdr>
            <w:top w:val="none" w:sz="0" w:space="0" w:color="auto"/>
            <w:left w:val="none" w:sz="0" w:space="0" w:color="auto"/>
            <w:bottom w:val="none" w:sz="0" w:space="0" w:color="auto"/>
            <w:right w:val="none" w:sz="0" w:space="0" w:color="auto"/>
          </w:divBdr>
        </w:div>
      </w:divsChild>
    </w:div>
    <w:div w:id="520513408">
      <w:bodyDiv w:val="1"/>
      <w:marLeft w:val="0"/>
      <w:marRight w:val="0"/>
      <w:marTop w:val="0"/>
      <w:marBottom w:val="0"/>
      <w:divBdr>
        <w:top w:val="none" w:sz="0" w:space="0" w:color="auto"/>
        <w:left w:val="none" w:sz="0" w:space="0" w:color="auto"/>
        <w:bottom w:val="none" w:sz="0" w:space="0" w:color="auto"/>
        <w:right w:val="none" w:sz="0" w:space="0" w:color="auto"/>
      </w:divBdr>
    </w:div>
    <w:div w:id="521407352">
      <w:bodyDiv w:val="1"/>
      <w:marLeft w:val="0"/>
      <w:marRight w:val="0"/>
      <w:marTop w:val="0"/>
      <w:marBottom w:val="0"/>
      <w:divBdr>
        <w:top w:val="none" w:sz="0" w:space="0" w:color="auto"/>
        <w:left w:val="none" w:sz="0" w:space="0" w:color="auto"/>
        <w:bottom w:val="none" w:sz="0" w:space="0" w:color="auto"/>
        <w:right w:val="none" w:sz="0" w:space="0" w:color="auto"/>
      </w:divBdr>
      <w:divsChild>
        <w:div w:id="566038423">
          <w:marLeft w:val="0"/>
          <w:marRight w:val="0"/>
          <w:marTop w:val="0"/>
          <w:marBottom w:val="0"/>
          <w:divBdr>
            <w:top w:val="none" w:sz="0" w:space="0" w:color="auto"/>
            <w:left w:val="none" w:sz="0" w:space="0" w:color="auto"/>
            <w:bottom w:val="none" w:sz="0" w:space="0" w:color="auto"/>
            <w:right w:val="none" w:sz="0" w:space="0" w:color="auto"/>
          </w:divBdr>
          <w:divsChild>
            <w:div w:id="478353087">
              <w:marLeft w:val="0"/>
              <w:marRight w:val="0"/>
              <w:marTop w:val="225"/>
              <w:marBottom w:val="225"/>
              <w:divBdr>
                <w:top w:val="none" w:sz="0" w:space="0" w:color="auto"/>
                <w:left w:val="none" w:sz="0" w:space="0" w:color="auto"/>
                <w:bottom w:val="none" w:sz="0" w:space="0" w:color="auto"/>
                <w:right w:val="none" w:sz="0" w:space="0" w:color="auto"/>
              </w:divBdr>
            </w:div>
          </w:divsChild>
        </w:div>
        <w:div w:id="1492022726">
          <w:marLeft w:val="0"/>
          <w:marRight w:val="0"/>
          <w:marTop w:val="0"/>
          <w:marBottom w:val="150"/>
          <w:divBdr>
            <w:top w:val="none" w:sz="0" w:space="0" w:color="auto"/>
            <w:left w:val="none" w:sz="0" w:space="0" w:color="auto"/>
            <w:bottom w:val="none" w:sz="0" w:space="0" w:color="auto"/>
            <w:right w:val="none" w:sz="0" w:space="0" w:color="auto"/>
          </w:divBdr>
          <w:divsChild>
            <w:div w:id="1755778441">
              <w:marLeft w:val="0"/>
              <w:marRight w:val="0"/>
              <w:marTop w:val="0"/>
              <w:marBottom w:val="0"/>
              <w:divBdr>
                <w:top w:val="none" w:sz="0" w:space="0" w:color="auto"/>
                <w:left w:val="none" w:sz="0" w:space="0" w:color="auto"/>
                <w:bottom w:val="none" w:sz="0" w:space="0" w:color="auto"/>
                <w:right w:val="none" w:sz="0" w:space="0" w:color="auto"/>
              </w:divBdr>
              <w:divsChild>
                <w:div w:id="59737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110913">
          <w:marLeft w:val="0"/>
          <w:marRight w:val="0"/>
          <w:marTop w:val="0"/>
          <w:marBottom w:val="150"/>
          <w:divBdr>
            <w:top w:val="none" w:sz="0" w:space="0" w:color="auto"/>
            <w:left w:val="none" w:sz="0" w:space="0" w:color="auto"/>
            <w:bottom w:val="none" w:sz="0" w:space="0" w:color="auto"/>
            <w:right w:val="none" w:sz="0" w:space="0" w:color="auto"/>
          </w:divBdr>
        </w:div>
      </w:divsChild>
    </w:div>
    <w:div w:id="522205161">
      <w:bodyDiv w:val="1"/>
      <w:marLeft w:val="0"/>
      <w:marRight w:val="0"/>
      <w:marTop w:val="0"/>
      <w:marBottom w:val="0"/>
      <w:divBdr>
        <w:top w:val="none" w:sz="0" w:space="0" w:color="auto"/>
        <w:left w:val="none" w:sz="0" w:space="0" w:color="auto"/>
        <w:bottom w:val="none" w:sz="0" w:space="0" w:color="auto"/>
        <w:right w:val="none" w:sz="0" w:space="0" w:color="auto"/>
      </w:divBdr>
      <w:divsChild>
        <w:div w:id="710150919">
          <w:marLeft w:val="0"/>
          <w:marRight w:val="0"/>
          <w:marTop w:val="0"/>
          <w:marBottom w:val="0"/>
          <w:divBdr>
            <w:top w:val="none" w:sz="0" w:space="0" w:color="auto"/>
            <w:left w:val="none" w:sz="0" w:space="0" w:color="auto"/>
            <w:bottom w:val="dotted" w:sz="6" w:space="4" w:color="DDDDDD"/>
            <w:right w:val="none" w:sz="0" w:space="0" w:color="auto"/>
          </w:divBdr>
          <w:divsChild>
            <w:div w:id="28215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326155">
      <w:bodyDiv w:val="1"/>
      <w:marLeft w:val="0"/>
      <w:marRight w:val="0"/>
      <w:marTop w:val="0"/>
      <w:marBottom w:val="0"/>
      <w:divBdr>
        <w:top w:val="none" w:sz="0" w:space="0" w:color="auto"/>
        <w:left w:val="none" w:sz="0" w:space="0" w:color="auto"/>
        <w:bottom w:val="none" w:sz="0" w:space="0" w:color="auto"/>
        <w:right w:val="none" w:sz="0" w:space="0" w:color="auto"/>
      </w:divBdr>
      <w:divsChild>
        <w:div w:id="1638411161">
          <w:marLeft w:val="0"/>
          <w:marRight w:val="0"/>
          <w:marTop w:val="0"/>
          <w:marBottom w:val="150"/>
          <w:divBdr>
            <w:top w:val="none" w:sz="0" w:space="0" w:color="auto"/>
            <w:left w:val="none" w:sz="0" w:space="0" w:color="auto"/>
            <w:bottom w:val="none" w:sz="0" w:space="0" w:color="auto"/>
            <w:right w:val="none" w:sz="0" w:space="0" w:color="auto"/>
          </w:divBdr>
        </w:div>
      </w:divsChild>
    </w:div>
    <w:div w:id="522979698">
      <w:bodyDiv w:val="1"/>
      <w:marLeft w:val="0"/>
      <w:marRight w:val="0"/>
      <w:marTop w:val="0"/>
      <w:marBottom w:val="0"/>
      <w:divBdr>
        <w:top w:val="none" w:sz="0" w:space="0" w:color="auto"/>
        <w:left w:val="none" w:sz="0" w:space="0" w:color="auto"/>
        <w:bottom w:val="none" w:sz="0" w:space="0" w:color="auto"/>
        <w:right w:val="none" w:sz="0" w:space="0" w:color="auto"/>
      </w:divBdr>
      <w:divsChild>
        <w:div w:id="563756428">
          <w:marLeft w:val="0"/>
          <w:marRight w:val="0"/>
          <w:marTop w:val="0"/>
          <w:marBottom w:val="150"/>
          <w:divBdr>
            <w:top w:val="none" w:sz="0" w:space="0" w:color="auto"/>
            <w:left w:val="none" w:sz="0" w:space="0" w:color="auto"/>
            <w:bottom w:val="none" w:sz="0" w:space="0" w:color="auto"/>
            <w:right w:val="none" w:sz="0" w:space="0" w:color="auto"/>
          </w:divBdr>
          <w:divsChild>
            <w:div w:id="514001341">
              <w:marLeft w:val="0"/>
              <w:marRight w:val="0"/>
              <w:marTop w:val="0"/>
              <w:marBottom w:val="0"/>
              <w:divBdr>
                <w:top w:val="none" w:sz="0" w:space="0" w:color="auto"/>
                <w:left w:val="none" w:sz="0" w:space="0" w:color="auto"/>
                <w:bottom w:val="none" w:sz="0" w:space="0" w:color="auto"/>
                <w:right w:val="none" w:sz="0" w:space="0" w:color="auto"/>
              </w:divBdr>
            </w:div>
          </w:divsChild>
        </w:div>
        <w:div w:id="1253467912">
          <w:marLeft w:val="0"/>
          <w:marRight w:val="0"/>
          <w:marTop w:val="0"/>
          <w:marBottom w:val="150"/>
          <w:divBdr>
            <w:top w:val="none" w:sz="0" w:space="0" w:color="auto"/>
            <w:left w:val="none" w:sz="0" w:space="0" w:color="auto"/>
            <w:bottom w:val="none" w:sz="0" w:space="0" w:color="auto"/>
            <w:right w:val="none" w:sz="0" w:space="0" w:color="auto"/>
          </w:divBdr>
        </w:div>
        <w:div w:id="1536191323">
          <w:marLeft w:val="0"/>
          <w:marRight w:val="0"/>
          <w:marTop w:val="0"/>
          <w:marBottom w:val="0"/>
          <w:divBdr>
            <w:top w:val="none" w:sz="0" w:space="0" w:color="auto"/>
            <w:left w:val="none" w:sz="0" w:space="0" w:color="auto"/>
            <w:bottom w:val="none" w:sz="0" w:space="0" w:color="auto"/>
            <w:right w:val="none" w:sz="0" w:space="0" w:color="auto"/>
          </w:divBdr>
          <w:divsChild>
            <w:div w:id="130308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056419">
      <w:bodyDiv w:val="1"/>
      <w:marLeft w:val="0"/>
      <w:marRight w:val="0"/>
      <w:marTop w:val="0"/>
      <w:marBottom w:val="0"/>
      <w:divBdr>
        <w:top w:val="none" w:sz="0" w:space="0" w:color="auto"/>
        <w:left w:val="none" w:sz="0" w:space="0" w:color="auto"/>
        <w:bottom w:val="none" w:sz="0" w:space="0" w:color="auto"/>
        <w:right w:val="none" w:sz="0" w:space="0" w:color="auto"/>
      </w:divBdr>
      <w:divsChild>
        <w:div w:id="1239708682">
          <w:marLeft w:val="0"/>
          <w:marRight w:val="0"/>
          <w:marTop w:val="0"/>
          <w:marBottom w:val="150"/>
          <w:divBdr>
            <w:top w:val="none" w:sz="0" w:space="0" w:color="auto"/>
            <w:left w:val="none" w:sz="0" w:space="0" w:color="auto"/>
            <w:bottom w:val="none" w:sz="0" w:space="0" w:color="auto"/>
            <w:right w:val="none" w:sz="0" w:space="0" w:color="auto"/>
          </w:divBdr>
          <w:divsChild>
            <w:div w:id="1328904573">
              <w:marLeft w:val="0"/>
              <w:marRight w:val="0"/>
              <w:marTop w:val="0"/>
              <w:marBottom w:val="0"/>
              <w:divBdr>
                <w:top w:val="none" w:sz="0" w:space="0" w:color="auto"/>
                <w:left w:val="none" w:sz="0" w:space="0" w:color="auto"/>
                <w:bottom w:val="none" w:sz="0" w:space="0" w:color="auto"/>
                <w:right w:val="none" w:sz="0" w:space="0" w:color="auto"/>
              </w:divBdr>
              <w:divsChild>
                <w:div w:id="1629553152">
                  <w:marLeft w:val="0"/>
                  <w:marRight w:val="0"/>
                  <w:marTop w:val="0"/>
                  <w:marBottom w:val="0"/>
                  <w:divBdr>
                    <w:top w:val="none" w:sz="0" w:space="0" w:color="auto"/>
                    <w:left w:val="none" w:sz="0" w:space="0" w:color="auto"/>
                    <w:bottom w:val="none" w:sz="0" w:space="0" w:color="auto"/>
                    <w:right w:val="none" w:sz="0" w:space="0" w:color="auto"/>
                  </w:divBdr>
                  <w:divsChild>
                    <w:div w:id="125108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298009">
          <w:marLeft w:val="0"/>
          <w:marRight w:val="0"/>
          <w:marTop w:val="0"/>
          <w:marBottom w:val="0"/>
          <w:divBdr>
            <w:top w:val="none" w:sz="0" w:space="0" w:color="auto"/>
            <w:left w:val="none" w:sz="0" w:space="0" w:color="auto"/>
            <w:bottom w:val="none" w:sz="0" w:space="0" w:color="auto"/>
            <w:right w:val="none" w:sz="0" w:space="0" w:color="auto"/>
          </w:divBdr>
        </w:div>
      </w:divsChild>
    </w:div>
    <w:div w:id="523322505">
      <w:bodyDiv w:val="1"/>
      <w:marLeft w:val="0"/>
      <w:marRight w:val="0"/>
      <w:marTop w:val="0"/>
      <w:marBottom w:val="0"/>
      <w:divBdr>
        <w:top w:val="none" w:sz="0" w:space="0" w:color="auto"/>
        <w:left w:val="none" w:sz="0" w:space="0" w:color="auto"/>
        <w:bottom w:val="none" w:sz="0" w:space="0" w:color="auto"/>
        <w:right w:val="none" w:sz="0" w:space="0" w:color="auto"/>
      </w:divBdr>
      <w:divsChild>
        <w:div w:id="110101208">
          <w:marLeft w:val="0"/>
          <w:marRight w:val="0"/>
          <w:marTop w:val="0"/>
          <w:marBottom w:val="0"/>
          <w:divBdr>
            <w:top w:val="none" w:sz="0" w:space="0" w:color="auto"/>
            <w:left w:val="none" w:sz="0" w:space="0" w:color="auto"/>
            <w:bottom w:val="none" w:sz="0" w:space="0" w:color="auto"/>
            <w:right w:val="none" w:sz="0" w:space="0" w:color="auto"/>
          </w:divBdr>
        </w:div>
        <w:div w:id="1309817860">
          <w:marLeft w:val="0"/>
          <w:marRight w:val="0"/>
          <w:marTop w:val="0"/>
          <w:marBottom w:val="0"/>
          <w:divBdr>
            <w:top w:val="none" w:sz="0" w:space="0" w:color="auto"/>
            <w:left w:val="none" w:sz="0" w:space="0" w:color="auto"/>
            <w:bottom w:val="none" w:sz="0" w:space="0" w:color="auto"/>
            <w:right w:val="none" w:sz="0" w:space="0" w:color="auto"/>
          </w:divBdr>
        </w:div>
        <w:div w:id="1859854642">
          <w:marLeft w:val="0"/>
          <w:marRight w:val="150"/>
          <w:marTop w:val="0"/>
          <w:marBottom w:val="0"/>
          <w:divBdr>
            <w:top w:val="none" w:sz="0" w:space="0" w:color="auto"/>
            <w:left w:val="none" w:sz="0" w:space="0" w:color="auto"/>
            <w:bottom w:val="none" w:sz="0" w:space="0" w:color="auto"/>
            <w:right w:val="none" w:sz="0" w:space="0" w:color="auto"/>
          </w:divBdr>
        </w:div>
      </w:divsChild>
    </w:div>
    <w:div w:id="523328765">
      <w:bodyDiv w:val="1"/>
      <w:marLeft w:val="0"/>
      <w:marRight w:val="0"/>
      <w:marTop w:val="0"/>
      <w:marBottom w:val="0"/>
      <w:divBdr>
        <w:top w:val="none" w:sz="0" w:space="0" w:color="auto"/>
        <w:left w:val="none" w:sz="0" w:space="0" w:color="auto"/>
        <w:bottom w:val="none" w:sz="0" w:space="0" w:color="auto"/>
        <w:right w:val="none" w:sz="0" w:space="0" w:color="auto"/>
      </w:divBdr>
    </w:div>
    <w:div w:id="523716318">
      <w:bodyDiv w:val="1"/>
      <w:marLeft w:val="0"/>
      <w:marRight w:val="0"/>
      <w:marTop w:val="0"/>
      <w:marBottom w:val="0"/>
      <w:divBdr>
        <w:top w:val="none" w:sz="0" w:space="0" w:color="auto"/>
        <w:left w:val="none" w:sz="0" w:space="0" w:color="auto"/>
        <w:bottom w:val="none" w:sz="0" w:space="0" w:color="auto"/>
        <w:right w:val="none" w:sz="0" w:space="0" w:color="auto"/>
      </w:divBdr>
      <w:divsChild>
        <w:div w:id="1742486062">
          <w:marLeft w:val="0"/>
          <w:marRight w:val="0"/>
          <w:marTop w:val="0"/>
          <w:marBottom w:val="0"/>
          <w:divBdr>
            <w:top w:val="none" w:sz="0" w:space="0" w:color="auto"/>
            <w:left w:val="none" w:sz="0" w:space="0" w:color="auto"/>
            <w:bottom w:val="none" w:sz="0" w:space="0" w:color="auto"/>
            <w:right w:val="none" w:sz="0" w:space="0" w:color="auto"/>
          </w:divBdr>
          <w:divsChild>
            <w:div w:id="117727695">
              <w:marLeft w:val="0"/>
              <w:marRight w:val="0"/>
              <w:marTop w:val="0"/>
              <w:marBottom w:val="0"/>
              <w:divBdr>
                <w:top w:val="none" w:sz="0" w:space="0" w:color="auto"/>
                <w:left w:val="none" w:sz="0" w:space="0" w:color="auto"/>
                <w:bottom w:val="none" w:sz="0" w:space="0" w:color="auto"/>
                <w:right w:val="none" w:sz="0" w:space="0" w:color="auto"/>
              </w:divBdr>
              <w:divsChild>
                <w:div w:id="907878876">
                  <w:marLeft w:val="0"/>
                  <w:marRight w:val="0"/>
                  <w:marTop w:val="0"/>
                  <w:marBottom w:val="0"/>
                  <w:divBdr>
                    <w:top w:val="none" w:sz="0" w:space="0" w:color="auto"/>
                    <w:left w:val="none" w:sz="0" w:space="0" w:color="auto"/>
                    <w:bottom w:val="none" w:sz="0" w:space="0" w:color="auto"/>
                    <w:right w:val="none" w:sz="0" w:space="0" w:color="auto"/>
                  </w:divBdr>
                  <w:divsChild>
                    <w:div w:id="753747407">
                      <w:marLeft w:val="0"/>
                      <w:marRight w:val="0"/>
                      <w:marTop w:val="0"/>
                      <w:marBottom w:val="0"/>
                      <w:divBdr>
                        <w:top w:val="none" w:sz="0" w:space="0" w:color="auto"/>
                        <w:left w:val="none" w:sz="0" w:space="0" w:color="auto"/>
                        <w:bottom w:val="none" w:sz="0" w:space="0" w:color="auto"/>
                        <w:right w:val="none" w:sz="0" w:space="0" w:color="auto"/>
                      </w:divBdr>
                      <w:divsChild>
                        <w:div w:id="727193940">
                          <w:marLeft w:val="0"/>
                          <w:marRight w:val="0"/>
                          <w:marTop w:val="0"/>
                          <w:marBottom w:val="0"/>
                          <w:divBdr>
                            <w:top w:val="none" w:sz="0" w:space="0" w:color="auto"/>
                            <w:left w:val="none" w:sz="0" w:space="0" w:color="auto"/>
                            <w:bottom w:val="none" w:sz="0" w:space="0" w:color="auto"/>
                            <w:right w:val="none" w:sz="0" w:space="0" w:color="auto"/>
                          </w:divBdr>
                          <w:divsChild>
                            <w:div w:id="1461528787">
                              <w:marLeft w:val="0"/>
                              <w:marRight w:val="0"/>
                              <w:marTop w:val="0"/>
                              <w:marBottom w:val="0"/>
                              <w:divBdr>
                                <w:top w:val="none" w:sz="0" w:space="0" w:color="auto"/>
                                <w:left w:val="none" w:sz="0" w:space="0" w:color="auto"/>
                                <w:bottom w:val="none" w:sz="0" w:space="0" w:color="auto"/>
                                <w:right w:val="none" w:sz="0" w:space="0" w:color="auto"/>
                              </w:divBdr>
                              <w:divsChild>
                                <w:div w:id="302733537">
                                  <w:marLeft w:val="0"/>
                                  <w:marRight w:val="0"/>
                                  <w:marTop w:val="0"/>
                                  <w:marBottom w:val="0"/>
                                  <w:divBdr>
                                    <w:top w:val="none" w:sz="0" w:space="0" w:color="auto"/>
                                    <w:left w:val="none" w:sz="0" w:space="0" w:color="auto"/>
                                    <w:bottom w:val="none" w:sz="0" w:space="0" w:color="auto"/>
                                    <w:right w:val="none" w:sz="0" w:space="0" w:color="auto"/>
                                  </w:divBdr>
                                  <w:divsChild>
                                    <w:div w:id="178684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783314">
      <w:bodyDiv w:val="1"/>
      <w:marLeft w:val="0"/>
      <w:marRight w:val="0"/>
      <w:marTop w:val="0"/>
      <w:marBottom w:val="0"/>
      <w:divBdr>
        <w:top w:val="none" w:sz="0" w:space="0" w:color="auto"/>
        <w:left w:val="none" w:sz="0" w:space="0" w:color="auto"/>
        <w:bottom w:val="none" w:sz="0" w:space="0" w:color="auto"/>
        <w:right w:val="none" w:sz="0" w:space="0" w:color="auto"/>
      </w:divBdr>
      <w:divsChild>
        <w:div w:id="933975424">
          <w:marLeft w:val="0"/>
          <w:marRight w:val="0"/>
          <w:marTop w:val="0"/>
          <w:marBottom w:val="0"/>
          <w:divBdr>
            <w:top w:val="none" w:sz="0" w:space="0" w:color="auto"/>
            <w:left w:val="none" w:sz="0" w:space="0" w:color="auto"/>
            <w:bottom w:val="none" w:sz="0" w:space="0" w:color="auto"/>
            <w:right w:val="none" w:sz="0" w:space="0" w:color="auto"/>
          </w:divBdr>
          <w:divsChild>
            <w:div w:id="1251698320">
              <w:marLeft w:val="0"/>
              <w:marRight w:val="0"/>
              <w:marTop w:val="0"/>
              <w:marBottom w:val="0"/>
              <w:divBdr>
                <w:top w:val="none" w:sz="0" w:space="0" w:color="auto"/>
                <w:left w:val="none" w:sz="0" w:space="0" w:color="auto"/>
                <w:bottom w:val="none" w:sz="0" w:space="0" w:color="auto"/>
                <w:right w:val="none" w:sz="0" w:space="0" w:color="auto"/>
              </w:divBdr>
              <w:divsChild>
                <w:div w:id="860245166">
                  <w:marLeft w:val="0"/>
                  <w:marRight w:val="0"/>
                  <w:marTop w:val="0"/>
                  <w:marBottom w:val="0"/>
                  <w:divBdr>
                    <w:top w:val="none" w:sz="0" w:space="0" w:color="auto"/>
                    <w:left w:val="none" w:sz="0" w:space="0" w:color="auto"/>
                    <w:bottom w:val="none" w:sz="0" w:space="0" w:color="auto"/>
                    <w:right w:val="none" w:sz="0" w:space="0" w:color="auto"/>
                  </w:divBdr>
                  <w:divsChild>
                    <w:div w:id="2044668275">
                      <w:marLeft w:val="0"/>
                      <w:marRight w:val="0"/>
                      <w:marTop w:val="0"/>
                      <w:marBottom w:val="0"/>
                      <w:divBdr>
                        <w:top w:val="none" w:sz="0" w:space="0" w:color="auto"/>
                        <w:left w:val="none" w:sz="0" w:space="0" w:color="auto"/>
                        <w:bottom w:val="none" w:sz="0" w:space="0" w:color="auto"/>
                        <w:right w:val="none" w:sz="0" w:space="0" w:color="auto"/>
                      </w:divBdr>
                      <w:divsChild>
                        <w:div w:id="1107893043">
                          <w:marLeft w:val="0"/>
                          <w:marRight w:val="0"/>
                          <w:marTop w:val="0"/>
                          <w:marBottom w:val="0"/>
                          <w:divBdr>
                            <w:top w:val="none" w:sz="0" w:space="0" w:color="auto"/>
                            <w:left w:val="none" w:sz="0" w:space="0" w:color="auto"/>
                            <w:bottom w:val="none" w:sz="0" w:space="0" w:color="auto"/>
                            <w:right w:val="none" w:sz="0" w:space="0" w:color="auto"/>
                          </w:divBdr>
                          <w:divsChild>
                            <w:div w:id="1789199969">
                              <w:marLeft w:val="0"/>
                              <w:marRight w:val="0"/>
                              <w:marTop w:val="0"/>
                              <w:marBottom w:val="0"/>
                              <w:divBdr>
                                <w:top w:val="none" w:sz="0" w:space="0" w:color="auto"/>
                                <w:left w:val="none" w:sz="0" w:space="0" w:color="auto"/>
                                <w:bottom w:val="none" w:sz="0" w:space="0" w:color="auto"/>
                                <w:right w:val="none" w:sz="0" w:space="0" w:color="auto"/>
                              </w:divBdr>
                              <w:divsChild>
                                <w:div w:id="1348405885">
                                  <w:marLeft w:val="0"/>
                                  <w:marRight w:val="0"/>
                                  <w:marTop w:val="0"/>
                                  <w:marBottom w:val="0"/>
                                  <w:divBdr>
                                    <w:top w:val="none" w:sz="0" w:space="0" w:color="auto"/>
                                    <w:left w:val="none" w:sz="0" w:space="0" w:color="auto"/>
                                    <w:bottom w:val="none" w:sz="0" w:space="0" w:color="auto"/>
                                    <w:right w:val="none" w:sz="0" w:space="0" w:color="auto"/>
                                  </w:divBdr>
                                  <w:divsChild>
                                    <w:div w:id="183915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095906">
      <w:bodyDiv w:val="1"/>
      <w:marLeft w:val="0"/>
      <w:marRight w:val="0"/>
      <w:marTop w:val="0"/>
      <w:marBottom w:val="0"/>
      <w:divBdr>
        <w:top w:val="none" w:sz="0" w:space="0" w:color="auto"/>
        <w:left w:val="none" w:sz="0" w:space="0" w:color="auto"/>
        <w:bottom w:val="none" w:sz="0" w:space="0" w:color="auto"/>
        <w:right w:val="none" w:sz="0" w:space="0" w:color="auto"/>
      </w:divBdr>
      <w:divsChild>
        <w:div w:id="874123910">
          <w:marLeft w:val="0"/>
          <w:marRight w:val="0"/>
          <w:marTop w:val="0"/>
          <w:marBottom w:val="0"/>
          <w:divBdr>
            <w:top w:val="none" w:sz="0" w:space="0" w:color="auto"/>
            <w:left w:val="none" w:sz="0" w:space="0" w:color="auto"/>
            <w:bottom w:val="none" w:sz="0" w:space="0" w:color="auto"/>
            <w:right w:val="none" w:sz="0" w:space="0" w:color="auto"/>
          </w:divBdr>
        </w:div>
      </w:divsChild>
    </w:div>
    <w:div w:id="524633332">
      <w:bodyDiv w:val="1"/>
      <w:marLeft w:val="0"/>
      <w:marRight w:val="0"/>
      <w:marTop w:val="0"/>
      <w:marBottom w:val="0"/>
      <w:divBdr>
        <w:top w:val="none" w:sz="0" w:space="0" w:color="auto"/>
        <w:left w:val="none" w:sz="0" w:space="0" w:color="auto"/>
        <w:bottom w:val="none" w:sz="0" w:space="0" w:color="auto"/>
        <w:right w:val="none" w:sz="0" w:space="0" w:color="auto"/>
      </w:divBdr>
      <w:divsChild>
        <w:div w:id="661474076">
          <w:marLeft w:val="0"/>
          <w:marRight w:val="0"/>
          <w:marTop w:val="0"/>
          <w:marBottom w:val="0"/>
          <w:divBdr>
            <w:top w:val="none" w:sz="0" w:space="0" w:color="auto"/>
            <w:left w:val="none" w:sz="0" w:space="0" w:color="auto"/>
            <w:bottom w:val="dotted" w:sz="6" w:space="4" w:color="DDDDDD"/>
            <w:right w:val="none" w:sz="0" w:space="0" w:color="auto"/>
          </w:divBdr>
        </w:div>
      </w:divsChild>
    </w:div>
    <w:div w:id="524750547">
      <w:bodyDiv w:val="1"/>
      <w:marLeft w:val="0"/>
      <w:marRight w:val="0"/>
      <w:marTop w:val="0"/>
      <w:marBottom w:val="0"/>
      <w:divBdr>
        <w:top w:val="none" w:sz="0" w:space="0" w:color="auto"/>
        <w:left w:val="none" w:sz="0" w:space="0" w:color="auto"/>
        <w:bottom w:val="none" w:sz="0" w:space="0" w:color="auto"/>
        <w:right w:val="none" w:sz="0" w:space="0" w:color="auto"/>
      </w:divBdr>
      <w:divsChild>
        <w:div w:id="1528985706">
          <w:marLeft w:val="0"/>
          <w:marRight w:val="0"/>
          <w:marTop w:val="0"/>
          <w:marBottom w:val="0"/>
          <w:divBdr>
            <w:top w:val="none" w:sz="0" w:space="0" w:color="auto"/>
            <w:left w:val="none" w:sz="0" w:space="0" w:color="auto"/>
            <w:bottom w:val="none" w:sz="0" w:space="0" w:color="auto"/>
            <w:right w:val="none" w:sz="0" w:space="0" w:color="auto"/>
          </w:divBdr>
        </w:div>
      </w:divsChild>
    </w:div>
    <w:div w:id="524825120">
      <w:bodyDiv w:val="1"/>
      <w:marLeft w:val="0"/>
      <w:marRight w:val="0"/>
      <w:marTop w:val="0"/>
      <w:marBottom w:val="0"/>
      <w:divBdr>
        <w:top w:val="none" w:sz="0" w:space="0" w:color="auto"/>
        <w:left w:val="none" w:sz="0" w:space="0" w:color="auto"/>
        <w:bottom w:val="none" w:sz="0" w:space="0" w:color="auto"/>
        <w:right w:val="none" w:sz="0" w:space="0" w:color="auto"/>
      </w:divBdr>
      <w:divsChild>
        <w:div w:id="1421566997">
          <w:marLeft w:val="0"/>
          <w:marRight w:val="0"/>
          <w:marTop w:val="0"/>
          <w:marBottom w:val="0"/>
          <w:divBdr>
            <w:top w:val="none" w:sz="0" w:space="0" w:color="auto"/>
            <w:left w:val="none" w:sz="0" w:space="0" w:color="auto"/>
            <w:bottom w:val="none" w:sz="0" w:space="0" w:color="auto"/>
            <w:right w:val="none" w:sz="0" w:space="0" w:color="auto"/>
          </w:divBdr>
          <w:divsChild>
            <w:div w:id="1924337143">
              <w:marLeft w:val="0"/>
              <w:marRight w:val="0"/>
              <w:marTop w:val="0"/>
              <w:marBottom w:val="0"/>
              <w:divBdr>
                <w:top w:val="none" w:sz="0" w:space="0" w:color="auto"/>
                <w:left w:val="none" w:sz="0" w:space="0" w:color="auto"/>
                <w:bottom w:val="none" w:sz="0" w:space="0" w:color="auto"/>
                <w:right w:val="none" w:sz="0" w:space="0" w:color="auto"/>
              </w:divBdr>
              <w:divsChild>
                <w:div w:id="1583830128">
                  <w:marLeft w:val="0"/>
                  <w:marRight w:val="0"/>
                  <w:marTop w:val="0"/>
                  <w:marBottom w:val="0"/>
                  <w:divBdr>
                    <w:top w:val="none" w:sz="0" w:space="0" w:color="auto"/>
                    <w:left w:val="none" w:sz="0" w:space="0" w:color="auto"/>
                    <w:bottom w:val="none" w:sz="0" w:space="0" w:color="auto"/>
                    <w:right w:val="none" w:sz="0" w:space="0" w:color="auto"/>
                  </w:divBdr>
                  <w:divsChild>
                    <w:div w:id="737559155">
                      <w:marLeft w:val="0"/>
                      <w:marRight w:val="0"/>
                      <w:marTop w:val="0"/>
                      <w:marBottom w:val="0"/>
                      <w:divBdr>
                        <w:top w:val="none" w:sz="0" w:space="0" w:color="auto"/>
                        <w:left w:val="none" w:sz="0" w:space="0" w:color="auto"/>
                        <w:bottom w:val="none" w:sz="0" w:space="0" w:color="auto"/>
                        <w:right w:val="none" w:sz="0" w:space="0" w:color="auto"/>
                      </w:divBdr>
                      <w:divsChild>
                        <w:div w:id="352191583">
                          <w:marLeft w:val="0"/>
                          <w:marRight w:val="0"/>
                          <w:marTop w:val="0"/>
                          <w:marBottom w:val="0"/>
                          <w:divBdr>
                            <w:top w:val="none" w:sz="0" w:space="0" w:color="auto"/>
                            <w:left w:val="none" w:sz="0" w:space="0" w:color="auto"/>
                            <w:bottom w:val="none" w:sz="0" w:space="0" w:color="auto"/>
                            <w:right w:val="none" w:sz="0" w:space="0" w:color="auto"/>
                          </w:divBdr>
                          <w:divsChild>
                            <w:div w:id="1158036455">
                              <w:marLeft w:val="0"/>
                              <w:marRight w:val="0"/>
                              <w:marTop w:val="0"/>
                              <w:marBottom w:val="0"/>
                              <w:divBdr>
                                <w:top w:val="none" w:sz="0" w:space="0" w:color="auto"/>
                                <w:left w:val="none" w:sz="0" w:space="0" w:color="auto"/>
                                <w:bottom w:val="none" w:sz="0" w:space="0" w:color="auto"/>
                                <w:right w:val="none" w:sz="0" w:space="0" w:color="auto"/>
                              </w:divBdr>
                              <w:divsChild>
                                <w:div w:id="1208762504">
                                  <w:marLeft w:val="0"/>
                                  <w:marRight w:val="0"/>
                                  <w:marTop w:val="0"/>
                                  <w:marBottom w:val="0"/>
                                  <w:divBdr>
                                    <w:top w:val="none" w:sz="0" w:space="0" w:color="auto"/>
                                    <w:left w:val="none" w:sz="0" w:space="0" w:color="auto"/>
                                    <w:bottom w:val="none" w:sz="0" w:space="0" w:color="auto"/>
                                    <w:right w:val="none" w:sz="0" w:space="0" w:color="auto"/>
                                  </w:divBdr>
                                  <w:divsChild>
                                    <w:div w:id="108471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5018474">
      <w:bodyDiv w:val="1"/>
      <w:marLeft w:val="0"/>
      <w:marRight w:val="0"/>
      <w:marTop w:val="0"/>
      <w:marBottom w:val="0"/>
      <w:divBdr>
        <w:top w:val="none" w:sz="0" w:space="0" w:color="auto"/>
        <w:left w:val="none" w:sz="0" w:space="0" w:color="auto"/>
        <w:bottom w:val="none" w:sz="0" w:space="0" w:color="auto"/>
        <w:right w:val="none" w:sz="0" w:space="0" w:color="auto"/>
      </w:divBdr>
    </w:div>
    <w:div w:id="525025426">
      <w:bodyDiv w:val="1"/>
      <w:marLeft w:val="0"/>
      <w:marRight w:val="0"/>
      <w:marTop w:val="0"/>
      <w:marBottom w:val="0"/>
      <w:divBdr>
        <w:top w:val="none" w:sz="0" w:space="0" w:color="auto"/>
        <w:left w:val="none" w:sz="0" w:space="0" w:color="auto"/>
        <w:bottom w:val="none" w:sz="0" w:space="0" w:color="auto"/>
        <w:right w:val="none" w:sz="0" w:space="0" w:color="auto"/>
      </w:divBdr>
      <w:divsChild>
        <w:div w:id="397174939">
          <w:marLeft w:val="0"/>
          <w:marRight w:val="0"/>
          <w:marTop w:val="0"/>
          <w:marBottom w:val="0"/>
          <w:divBdr>
            <w:top w:val="none" w:sz="0" w:space="0" w:color="auto"/>
            <w:left w:val="none" w:sz="0" w:space="0" w:color="auto"/>
            <w:bottom w:val="dotted" w:sz="6" w:space="4" w:color="DDDDDD"/>
            <w:right w:val="none" w:sz="0" w:space="0" w:color="auto"/>
          </w:divBdr>
          <w:divsChild>
            <w:div w:id="7799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40690">
      <w:bodyDiv w:val="1"/>
      <w:marLeft w:val="0"/>
      <w:marRight w:val="0"/>
      <w:marTop w:val="0"/>
      <w:marBottom w:val="0"/>
      <w:divBdr>
        <w:top w:val="none" w:sz="0" w:space="0" w:color="auto"/>
        <w:left w:val="none" w:sz="0" w:space="0" w:color="auto"/>
        <w:bottom w:val="none" w:sz="0" w:space="0" w:color="auto"/>
        <w:right w:val="none" w:sz="0" w:space="0" w:color="auto"/>
      </w:divBdr>
      <w:divsChild>
        <w:div w:id="1287155020">
          <w:marLeft w:val="0"/>
          <w:marRight w:val="0"/>
          <w:marTop w:val="0"/>
          <w:marBottom w:val="150"/>
          <w:divBdr>
            <w:top w:val="none" w:sz="0" w:space="0" w:color="auto"/>
            <w:left w:val="none" w:sz="0" w:space="0" w:color="auto"/>
            <w:bottom w:val="none" w:sz="0" w:space="0" w:color="auto"/>
            <w:right w:val="none" w:sz="0" w:space="0" w:color="auto"/>
          </w:divBdr>
        </w:div>
      </w:divsChild>
    </w:div>
    <w:div w:id="525140818">
      <w:bodyDiv w:val="1"/>
      <w:marLeft w:val="0"/>
      <w:marRight w:val="0"/>
      <w:marTop w:val="0"/>
      <w:marBottom w:val="0"/>
      <w:divBdr>
        <w:top w:val="none" w:sz="0" w:space="0" w:color="auto"/>
        <w:left w:val="none" w:sz="0" w:space="0" w:color="auto"/>
        <w:bottom w:val="none" w:sz="0" w:space="0" w:color="auto"/>
        <w:right w:val="none" w:sz="0" w:space="0" w:color="auto"/>
      </w:divBdr>
      <w:divsChild>
        <w:div w:id="1291281089">
          <w:marLeft w:val="0"/>
          <w:marRight w:val="0"/>
          <w:marTop w:val="0"/>
          <w:marBottom w:val="0"/>
          <w:divBdr>
            <w:top w:val="none" w:sz="0" w:space="0" w:color="auto"/>
            <w:left w:val="none" w:sz="0" w:space="0" w:color="auto"/>
            <w:bottom w:val="none" w:sz="0" w:space="0" w:color="auto"/>
            <w:right w:val="none" w:sz="0" w:space="0" w:color="auto"/>
          </w:divBdr>
          <w:divsChild>
            <w:div w:id="134566503">
              <w:marLeft w:val="0"/>
              <w:marRight w:val="0"/>
              <w:marTop w:val="0"/>
              <w:marBottom w:val="0"/>
              <w:divBdr>
                <w:top w:val="none" w:sz="0" w:space="0" w:color="auto"/>
                <w:left w:val="none" w:sz="0" w:space="0" w:color="auto"/>
                <w:bottom w:val="none" w:sz="0" w:space="0" w:color="auto"/>
                <w:right w:val="none" w:sz="0" w:space="0" w:color="auto"/>
              </w:divBdr>
              <w:divsChild>
                <w:div w:id="1296764212">
                  <w:marLeft w:val="0"/>
                  <w:marRight w:val="0"/>
                  <w:marTop w:val="0"/>
                  <w:marBottom w:val="0"/>
                  <w:divBdr>
                    <w:top w:val="none" w:sz="0" w:space="0" w:color="auto"/>
                    <w:left w:val="none" w:sz="0" w:space="0" w:color="auto"/>
                    <w:bottom w:val="none" w:sz="0" w:space="0" w:color="auto"/>
                    <w:right w:val="none" w:sz="0" w:space="0" w:color="auto"/>
                  </w:divBdr>
                  <w:divsChild>
                    <w:div w:id="1869950584">
                      <w:marLeft w:val="0"/>
                      <w:marRight w:val="0"/>
                      <w:marTop w:val="0"/>
                      <w:marBottom w:val="0"/>
                      <w:divBdr>
                        <w:top w:val="none" w:sz="0" w:space="0" w:color="auto"/>
                        <w:left w:val="none" w:sz="0" w:space="0" w:color="auto"/>
                        <w:bottom w:val="none" w:sz="0" w:space="0" w:color="auto"/>
                        <w:right w:val="none" w:sz="0" w:space="0" w:color="auto"/>
                      </w:divBdr>
                      <w:divsChild>
                        <w:div w:id="2118980505">
                          <w:marLeft w:val="0"/>
                          <w:marRight w:val="0"/>
                          <w:marTop w:val="0"/>
                          <w:marBottom w:val="0"/>
                          <w:divBdr>
                            <w:top w:val="none" w:sz="0" w:space="0" w:color="auto"/>
                            <w:left w:val="none" w:sz="0" w:space="0" w:color="auto"/>
                            <w:bottom w:val="none" w:sz="0" w:space="0" w:color="auto"/>
                            <w:right w:val="none" w:sz="0" w:space="0" w:color="auto"/>
                          </w:divBdr>
                          <w:divsChild>
                            <w:div w:id="1719739124">
                              <w:marLeft w:val="0"/>
                              <w:marRight w:val="0"/>
                              <w:marTop w:val="0"/>
                              <w:marBottom w:val="0"/>
                              <w:divBdr>
                                <w:top w:val="none" w:sz="0" w:space="0" w:color="auto"/>
                                <w:left w:val="none" w:sz="0" w:space="0" w:color="auto"/>
                                <w:bottom w:val="none" w:sz="0" w:space="0" w:color="auto"/>
                                <w:right w:val="none" w:sz="0" w:space="0" w:color="auto"/>
                              </w:divBdr>
                              <w:divsChild>
                                <w:div w:id="998578994">
                                  <w:marLeft w:val="0"/>
                                  <w:marRight w:val="0"/>
                                  <w:marTop w:val="0"/>
                                  <w:marBottom w:val="0"/>
                                  <w:divBdr>
                                    <w:top w:val="none" w:sz="0" w:space="0" w:color="auto"/>
                                    <w:left w:val="none" w:sz="0" w:space="0" w:color="auto"/>
                                    <w:bottom w:val="none" w:sz="0" w:space="0" w:color="auto"/>
                                    <w:right w:val="none" w:sz="0" w:space="0" w:color="auto"/>
                                  </w:divBdr>
                                  <w:divsChild>
                                    <w:div w:id="1708600855">
                                      <w:marLeft w:val="0"/>
                                      <w:marRight w:val="0"/>
                                      <w:marTop w:val="0"/>
                                      <w:marBottom w:val="0"/>
                                      <w:divBdr>
                                        <w:top w:val="none" w:sz="0" w:space="0" w:color="auto"/>
                                        <w:left w:val="none" w:sz="0" w:space="0" w:color="auto"/>
                                        <w:bottom w:val="none" w:sz="0" w:space="0" w:color="auto"/>
                                        <w:right w:val="none" w:sz="0" w:space="0" w:color="auto"/>
                                      </w:divBdr>
                                      <w:divsChild>
                                        <w:div w:id="137110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5368135">
      <w:bodyDiv w:val="1"/>
      <w:marLeft w:val="0"/>
      <w:marRight w:val="0"/>
      <w:marTop w:val="0"/>
      <w:marBottom w:val="0"/>
      <w:divBdr>
        <w:top w:val="none" w:sz="0" w:space="0" w:color="auto"/>
        <w:left w:val="none" w:sz="0" w:space="0" w:color="auto"/>
        <w:bottom w:val="none" w:sz="0" w:space="0" w:color="auto"/>
        <w:right w:val="none" w:sz="0" w:space="0" w:color="auto"/>
      </w:divBdr>
      <w:divsChild>
        <w:div w:id="962345388">
          <w:marLeft w:val="0"/>
          <w:marRight w:val="0"/>
          <w:marTop w:val="0"/>
          <w:marBottom w:val="0"/>
          <w:divBdr>
            <w:top w:val="none" w:sz="0" w:space="0" w:color="auto"/>
            <w:left w:val="none" w:sz="0" w:space="0" w:color="auto"/>
            <w:bottom w:val="none" w:sz="0" w:space="0" w:color="auto"/>
            <w:right w:val="none" w:sz="0" w:space="0" w:color="auto"/>
          </w:divBdr>
        </w:div>
      </w:divsChild>
    </w:div>
    <w:div w:id="525606179">
      <w:bodyDiv w:val="1"/>
      <w:marLeft w:val="0"/>
      <w:marRight w:val="0"/>
      <w:marTop w:val="0"/>
      <w:marBottom w:val="0"/>
      <w:divBdr>
        <w:top w:val="none" w:sz="0" w:space="0" w:color="auto"/>
        <w:left w:val="none" w:sz="0" w:space="0" w:color="auto"/>
        <w:bottom w:val="none" w:sz="0" w:space="0" w:color="auto"/>
        <w:right w:val="none" w:sz="0" w:space="0" w:color="auto"/>
      </w:divBdr>
    </w:div>
    <w:div w:id="525680144">
      <w:bodyDiv w:val="1"/>
      <w:marLeft w:val="0"/>
      <w:marRight w:val="0"/>
      <w:marTop w:val="0"/>
      <w:marBottom w:val="0"/>
      <w:divBdr>
        <w:top w:val="none" w:sz="0" w:space="0" w:color="auto"/>
        <w:left w:val="none" w:sz="0" w:space="0" w:color="auto"/>
        <w:bottom w:val="none" w:sz="0" w:space="0" w:color="auto"/>
        <w:right w:val="none" w:sz="0" w:space="0" w:color="auto"/>
      </w:divBdr>
      <w:divsChild>
        <w:div w:id="1307054467">
          <w:marLeft w:val="0"/>
          <w:marRight w:val="0"/>
          <w:marTop w:val="0"/>
          <w:marBottom w:val="0"/>
          <w:divBdr>
            <w:top w:val="none" w:sz="0" w:space="0" w:color="auto"/>
            <w:left w:val="none" w:sz="0" w:space="0" w:color="auto"/>
            <w:bottom w:val="none" w:sz="0" w:space="0" w:color="auto"/>
            <w:right w:val="none" w:sz="0" w:space="0" w:color="auto"/>
          </w:divBdr>
          <w:divsChild>
            <w:div w:id="1717658376">
              <w:marLeft w:val="0"/>
              <w:marRight w:val="0"/>
              <w:marTop w:val="0"/>
              <w:marBottom w:val="0"/>
              <w:divBdr>
                <w:top w:val="none" w:sz="0" w:space="0" w:color="auto"/>
                <w:left w:val="none" w:sz="0" w:space="0" w:color="auto"/>
                <w:bottom w:val="none" w:sz="0" w:space="0" w:color="auto"/>
                <w:right w:val="none" w:sz="0" w:space="0" w:color="auto"/>
              </w:divBdr>
            </w:div>
          </w:divsChild>
        </w:div>
        <w:div w:id="1553538578">
          <w:marLeft w:val="0"/>
          <w:marRight w:val="0"/>
          <w:marTop w:val="120"/>
          <w:marBottom w:val="0"/>
          <w:divBdr>
            <w:top w:val="none" w:sz="0" w:space="0" w:color="auto"/>
            <w:left w:val="none" w:sz="0" w:space="0" w:color="auto"/>
            <w:bottom w:val="none" w:sz="0" w:space="0" w:color="auto"/>
            <w:right w:val="none" w:sz="0" w:space="0" w:color="auto"/>
          </w:divBdr>
        </w:div>
      </w:divsChild>
    </w:div>
    <w:div w:id="525950666">
      <w:bodyDiv w:val="1"/>
      <w:marLeft w:val="0"/>
      <w:marRight w:val="0"/>
      <w:marTop w:val="0"/>
      <w:marBottom w:val="0"/>
      <w:divBdr>
        <w:top w:val="none" w:sz="0" w:space="0" w:color="auto"/>
        <w:left w:val="none" w:sz="0" w:space="0" w:color="auto"/>
        <w:bottom w:val="none" w:sz="0" w:space="0" w:color="auto"/>
        <w:right w:val="none" w:sz="0" w:space="0" w:color="auto"/>
      </w:divBdr>
      <w:divsChild>
        <w:div w:id="1310208248">
          <w:marLeft w:val="0"/>
          <w:marRight w:val="0"/>
          <w:marTop w:val="0"/>
          <w:marBottom w:val="0"/>
          <w:divBdr>
            <w:top w:val="none" w:sz="0" w:space="0" w:color="auto"/>
            <w:left w:val="none" w:sz="0" w:space="0" w:color="auto"/>
            <w:bottom w:val="dotted" w:sz="6" w:space="4" w:color="DDDDDD"/>
            <w:right w:val="none" w:sz="0" w:space="0" w:color="auto"/>
          </w:divBdr>
          <w:divsChild>
            <w:div w:id="46859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138114">
      <w:bodyDiv w:val="1"/>
      <w:marLeft w:val="0"/>
      <w:marRight w:val="0"/>
      <w:marTop w:val="0"/>
      <w:marBottom w:val="0"/>
      <w:divBdr>
        <w:top w:val="none" w:sz="0" w:space="0" w:color="auto"/>
        <w:left w:val="none" w:sz="0" w:space="0" w:color="auto"/>
        <w:bottom w:val="none" w:sz="0" w:space="0" w:color="auto"/>
        <w:right w:val="none" w:sz="0" w:space="0" w:color="auto"/>
      </w:divBdr>
      <w:divsChild>
        <w:div w:id="1338577801">
          <w:marLeft w:val="0"/>
          <w:marRight w:val="0"/>
          <w:marTop w:val="0"/>
          <w:marBottom w:val="0"/>
          <w:divBdr>
            <w:top w:val="single" w:sz="2" w:space="0" w:color="E4E4E7"/>
            <w:left w:val="single" w:sz="2" w:space="0" w:color="E4E4E7"/>
            <w:bottom w:val="single" w:sz="2" w:space="0" w:color="E4E4E7"/>
            <w:right w:val="single" w:sz="2" w:space="0" w:color="E4E4E7"/>
          </w:divBdr>
          <w:divsChild>
            <w:div w:id="266281228">
              <w:marLeft w:val="0"/>
              <w:marRight w:val="0"/>
              <w:marTop w:val="0"/>
              <w:marBottom w:val="0"/>
              <w:divBdr>
                <w:top w:val="single" w:sz="2" w:space="0" w:color="E4E4E7"/>
                <w:left w:val="single" w:sz="2" w:space="0" w:color="E4E4E7"/>
                <w:bottom w:val="single" w:sz="2" w:space="0" w:color="E4E4E7"/>
                <w:right w:val="single" w:sz="2" w:space="0" w:color="E4E4E7"/>
              </w:divBdr>
              <w:divsChild>
                <w:div w:id="1473906932">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 w:id="421223054">
          <w:marLeft w:val="0"/>
          <w:marRight w:val="0"/>
          <w:marTop w:val="0"/>
          <w:marBottom w:val="0"/>
          <w:divBdr>
            <w:top w:val="single" w:sz="2" w:space="0" w:color="E4E4E7"/>
            <w:left w:val="single" w:sz="2" w:space="0" w:color="E4E4E7"/>
            <w:bottom w:val="single" w:sz="2" w:space="0" w:color="E4E4E7"/>
            <w:right w:val="single" w:sz="2" w:space="0" w:color="E4E4E7"/>
          </w:divBdr>
          <w:divsChild>
            <w:div w:id="1426002425">
              <w:marLeft w:val="0"/>
              <w:marRight w:val="0"/>
              <w:marTop w:val="0"/>
              <w:marBottom w:val="0"/>
              <w:divBdr>
                <w:top w:val="single" w:sz="2" w:space="0" w:color="E4E4E7"/>
                <w:left w:val="single" w:sz="2" w:space="0" w:color="E4E4E7"/>
                <w:bottom w:val="single" w:sz="2" w:space="0" w:color="E4E4E7"/>
                <w:right w:val="single" w:sz="2" w:space="0" w:color="E4E4E7"/>
              </w:divBdr>
              <w:divsChild>
                <w:div w:id="122191206">
                  <w:marLeft w:val="0"/>
                  <w:marRight w:val="0"/>
                  <w:marTop w:val="0"/>
                  <w:marBottom w:val="0"/>
                  <w:divBdr>
                    <w:top w:val="single" w:sz="2" w:space="0" w:color="E4E4E7"/>
                    <w:left w:val="single" w:sz="2" w:space="0" w:color="E4E4E7"/>
                    <w:bottom w:val="single" w:sz="2" w:space="0" w:color="E4E4E7"/>
                    <w:right w:val="single" w:sz="2" w:space="0" w:color="E4E4E7"/>
                  </w:divBdr>
                  <w:divsChild>
                    <w:div w:id="2111273853">
                      <w:marLeft w:val="0"/>
                      <w:marRight w:val="0"/>
                      <w:marTop w:val="0"/>
                      <w:marBottom w:val="0"/>
                      <w:divBdr>
                        <w:top w:val="single" w:sz="2" w:space="0" w:color="E4E4E7"/>
                        <w:left w:val="single" w:sz="2" w:space="0" w:color="E4E4E7"/>
                        <w:bottom w:val="single" w:sz="2" w:space="0" w:color="E4E4E7"/>
                        <w:right w:val="single" w:sz="2" w:space="0" w:color="E4E4E7"/>
                      </w:divBdr>
                      <w:divsChild>
                        <w:div w:id="1998529708">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sChild>
    </w:div>
    <w:div w:id="526215829">
      <w:bodyDiv w:val="1"/>
      <w:marLeft w:val="0"/>
      <w:marRight w:val="0"/>
      <w:marTop w:val="0"/>
      <w:marBottom w:val="0"/>
      <w:divBdr>
        <w:top w:val="none" w:sz="0" w:space="0" w:color="auto"/>
        <w:left w:val="none" w:sz="0" w:space="0" w:color="auto"/>
        <w:bottom w:val="none" w:sz="0" w:space="0" w:color="auto"/>
        <w:right w:val="none" w:sz="0" w:space="0" w:color="auto"/>
      </w:divBdr>
    </w:div>
    <w:div w:id="526874646">
      <w:bodyDiv w:val="1"/>
      <w:marLeft w:val="0"/>
      <w:marRight w:val="0"/>
      <w:marTop w:val="0"/>
      <w:marBottom w:val="0"/>
      <w:divBdr>
        <w:top w:val="none" w:sz="0" w:space="0" w:color="auto"/>
        <w:left w:val="none" w:sz="0" w:space="0" w:color="auto"/>
        <w:bottom w:val="none" w:sz="0" w:space="0" w:color="auto"/>
        <w:right w:val="none" w:sz="0" w:space="0" w:color="auto"/>
      </w:divBdr>
      <w:divsChild>
        <w:div w:id="1381975803">
          <w:marLeft w:val="0"/>
          <w:marRight w:val="0"/>
          <w:marTop w:val="0"/>
          <w:marBottom w:val="0"/>
          <w:divBdr>
            <w:top w:val="none" w:sz="0" w:space="0" w:color="auto"/>
            <w:left w:val="none" w:sz="0" w:space="0" w:color="auto"/>
            <w:bottom w:val="dotted" w:sz="6" w:space="4" w:color="DDDDDD"/>
            <w:right w:val="none" w:sz="0" w:space="0" w:color="auto"/>
          </w:divBdr>
        </w:div>
      </w:divsChild>
    </w:div>
    <w:div w:id="527186143">
      <w:bodyDiv w:val="1"/>
      <w:marLeft w:val="0"/>
      <w:marRight w:val="0"/>
      <w:marTop w:val="0"/>
      <w:marBottom w:val="0"/>
      <w:divBdr>
        <w:top w:val="none" w:sz="0" w:space="0" w:color="auto"/>
        <w:left w:val="none" w:sz="0" w:space="0" w:color="auto"/>
        <w:bottom w:val="none" w:sz="0" w:space="0" w:color="auto"/>
        <w:right w:val="none" w:sz="0" w:space="0" w:color="auto"/>
      </w:divBdr>
      <w:divsChild>
        <w:div w:id="199124995">
          <w:marLeft w:val="0"/>
          <w:marRight w:val="0"/>
          <w:marTop w:val="0"/>
          <w:marBottom w:val="150"/>
          <w:divBdr>
            <w:top w:val="none" w:sz="0" w:space="0" w:color="auto"/>
            <w:left w:val="none" w:sz="0" w:space="0" w:color="auto"/>
            <w:bottom w:val="none" w:sz="0" w:space="0" w:color="auto"/>
            <w:right w:val="none" w:sz="0" w:space="0" w:color="auto"/>
          </w:divBdr>
          <w:divsChild>
            <w:div w:id="759647164">
              <w:marLeft w:val="0"/>
              <w:marRight w:val="0"/>
              <w:marTop w:val="0"/>
              <w:marBottom w:val="0"/>
              <w:divBdr>
                <w:top w:val="none" w:sz="0" w:space="0" w:color="auto"/>
                <w:left w:val="none" w:sz="0" w:space="0" w:color="auto"/>
                <w:bottom w:val="none" w:sz="0" w:space="0" w:color="auto"/>
                <w:right w:val="none" w:sz="0" w:space="0" w:color="auto"/>
              </w:divBdr>
            </w:div>
          </w:divsChild>
        </w:div>
        <w:div w:id="316694509">
          <w:marLeft w:val="0"/>
          <w:marRight w:val="0"/>
          <w:marTop w:val="0"/>
          <w:marBottom w:val="0"/>
          <w:divBdr>
            <w:top w:val="none" w:sz="0" w:space="0" w:color="auto"/>
            <w:left w:val="none" w:sz="0" w:space="0" w:color="auto"/>
            <w:bottom w:val="none" w:sz="0" w:space="0" w:color="auto"/>
            <w:right w:val="none" w:sz="0" w:space="0" w:color="auto"/>
          </w:divBdr>
          <w:divsChild>
            <w:div w:id="450827079">
              <w:marLeft w:val="0"/>
              <w:marRight w:val="0"/>
              <w:marTop w:val="0"/>
              <w:marBottom w:val="0"/>
              <w:divBdr>
                <w:top w:val="none" w:sz="0" w:space="0" w:color="auto"/>
                <w:left w:val="none" w:sz="0" w:space="0" w:color="auto"/>
                <w:bottom w:val="none" w:sz="0" w:space="0" w:color="auto"/>
                <w:right w:val="none" w:sz="0" w:space="0" w:color="auto"/>
              </w:divBdr>
            </w:div>
          </w:divsChild>
        </w:div>
        <w:div w:id="1437099752">
          <w:marLeft w:val="0"/>
          <w:marRight w:val="0"/>
          <w:marTop w:val="0"/>
          <w:marBottom w:val="150"/>
          <w:divBdr>
            <w:top w:val="none" w:sz="0" w:space="0" w:color="auto"/>
            <w:left w:val="none" w:sz="0" w:space="0" w:color="auto"/>
            <w:bottom w:val="none" w:sz="0" w:space="0" w:color="auto"/>
            <w:right w:val="none" w:sz="0" w:space="0" w:color="auto"/>
          </w:divBdr>
        </w:div>
      </w:divsChild>
    </w:div>
    <w:div w:id="527723683">
      <w:bodyDiv w:val="1"/>
      <w:marLeft w:val="0"/>
      <w:marRight w:val="0"/>
      <w:marTop w:val="0"/>
      <w:marBottom w:val="0"/>
      <w:divBdr>
        <w:top w:val="none" w:sz="0" w:space="0" w:color="auto"/>
        <w:left w:val="none" w:sz="0" w:space="0" w:color="auto"/>
        <w:bottom w:val="none" w:sz="0" w:space="0" w:color="auto"/>
        <w:right w:val="none" w:sz="0" w:space="0" w:color="auto"/>
      </w:divBdr>
      <w:divsChild>
        <w:div w:id="1911503226">
          <w:marLeft w:val="0"/>
          <w:marRight w:val="0"/>
          <w:marTop w:val="0"/>
          <w:marBottom w:val="0"/>
          <w:divBdr>
            <w:top w:val="none" w:sz="0" w:space="0" w:color="auto"/>
            <w:left w:val="none" w:sz="0" w:space="0" w:color="auto"/>
            <w:bottom w:val="none" w:sz="0" w:space="0" w:color="auto"/>
            <w:right w:val="none" w:sz="0" w:space="0" w:color="auto"/>
          </w:divBdr>
          <w:divsChild>
            <w:div w:id="18160239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28110497">
      <w:bodyDiv w:val="1"/>
      <w:marLeft w:val="0"/>
      <w:marRight w:val="0"/>
      <w:marTop w:val="0"/>
      <w:marBottom w:val="0"/>
      <w:divBdr>
        <w:top w:val="none" w:sz="0" w:space="0" w:color="auto"/>
        <w:left w:val="none" w:sz="0" w:space="0" w:color="auto"/>
        <w:bottom w:val="none" w:sz="0" w:space="0" w:color="auto"/>
        <w:right w:val="none" w:sz="0" w:space="0" w:color="auto"/>
      </w:divBdr>
    </w:div>
    <w:div w:id="528908092">
      <w:bodyDiv w:val="1"/>
      <w:marLeft w:val="0"/>
      <w:marRight w:val="0"/>
      <w:marTop w:val="0"/>
      <w:marBottom w:val="0"/>
      <w:divBdr>
        <w:top w:val="none" w:sz="0" w:space="0" w:color="auto"/>
        <w:left w:val="none" w:sz="0" w:space="0" w:color="auto"/>
        <w:bottom w:val="none" w:sz="0" w:space="0" w:color="auto"/>
        <w:right w:val="none" w:sz="0" w:space="0" w:color="auto"/>
      </w:divBdr>
      <w:divsChild>
        <w:div w:id="613948198">
          <w:marLeft w:val="0"/>
          <w:marRight w:val="0"/>
          <w:marTop w:val="0"/>
          <w:marBottom w:val="0"/>
          <w:divBdr>
            <w:top w:val="none" w:sz="0" w:space="0" w:color="auto"/>
            <w:left w:val="none" w:sz="0" w:space="0" w:color="auto"/>
            <w:bottom w:val="none" w:sz="0" w:space="0" w:color="auto"/>
            <w:right w:val="none" w:sz="0" w:space="0" w:color="auto"/>
          </w:divBdr>
          <w:divsChild>
            <w:div w:id="1025398207">
              <w:marLeft w:val="0"/>
              <w:marRight w:val="0"/>
              <w:marTop w:val="0"/>
              <w:marBottom w:val="0"/>
              <w:divBdr>
                <w:top w:val="none" w:sz="0" w:space="0" w:color="auto"/>
                <w:left w:val="none" w:sz="0" w:space="0" w:color="auto"/>
                <w:bottom w:val="none" w:sz="0" w:space="0" w:color="auto"/>
                <w:right w:val="none" w:sz="0" w:space="0" w:color="auto"/>
              </w:divBdr>
              <w:divsChild>
                <w:div w:id="806166759">
                  <w:marLeft w:val="0"/>
                  <w:marRight w:val="0"/>
                  <w:marTop w:val="225"/>
                  <w:marBottom w:val="225"/>
                  <w:divBdr>
                    <w:top w:val="none" w:sz="0" w:space="0" w:color="auto"/>
                    <w:left w:val="none" w:sz="0" w:space="0" w:color="auto"/>
                    <w:bottom w:val="none" w:sz="0" w:space="0" w:color="auto"/>
                    <w:right w:val="none" w:sz="0" w:space="0" w:color="auto"/>
                  </w:divBdr>
                </w:div>
              </w:divsChild>
            </w:div>
            <w:div w:id="1982926812">
              <w:marLeft w:val="0"/>
              <w:marRight w:val="0"/>
              <w:marTop w:val="0"/>
              <w:marBottom w:val="150"/>
              <w:divBdr>
                <w:top w:val="none" w:sz="0" w:space="0" w:color="auto"/>
                <w:left w:val="none" w:sz="0" w:space="0" w:color="auto"/>
                <w:bottom w:val="none" w:sz="0" w:space="0" w:color="auto"/>
                <w:right w:val="none" w:sz="0" w:space="0" w:color="auto"/>
              </w:divBdr>
            </w:div>
          </w:divsChild>
        </w:div>
        <w:div w:id="1211844135">
          <w:marLeft w:val="0"/>
          <w:marRight w:val="0"/>
          <w:marTop w:val="0"/>
          <w:marBottom w:val="150"/>
          <w:divBdr>
            <w:top w:val="none" w:sz="0" w:space="0" w:color="auto"/>
            <w:left w:val="none" w:sz="0" w:space="0" w:color="auto"/>
            <w:bottom w:val="none" w:sz="0" w:space="0" w:color="auto"/>
            <w:right w:val="none" w:sz="0" w:space="0" w:color="auto"/>
          </w:divBdr>
          <w:divsChild>
            <w:div w:id="1039666619">
              <w:marLeft w:val="0"/>
              <w:marRight w:val="0"/>
              <w:marTop w:val="0"/>
              <w:marBottom w:val="0"/>
              <w:divBdr>
                <w:top w:val="none" w:sz="0" w:space="0" w:color="auto"/>
                <w:left w:val="none" w:sz="0" w:space="0" w:color="auto"/>
                <w:bottom w:val="none" w:sz="0" w:space="0" w:color="auto"/>
                <w:right w:val="none" w:sz="0" w:space="0" w:color="auto"/>
              </w:divBdr>
              <w:divsChild>
                <w:div w:id="21536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956985">
      <w:bodyDiv w:val="1"/>
      <w:marLeft w:val="0"/>
      <w:marRight w:val="0"/>
      <w:marTop w:val="0"/>
      <w:marBottom w:val="0"/>
      <w:divBdr>
        <w:top w:val="none" w:sz="0" w:space="0" w:color="auto"/>
        <w:left w:val="none" w:sz="0" w:space="0" w:color="auto"/>
        <w:bottom w:val="none" w:sz="0" w:space="0" w:color="auto"/>
        <w:right w:val="none" w:sz="0" w:space="0" w:color="auto"/>
      </w:divBdr>
    </w:div>
    <w:div w:id="529219050">
      <w:bodyDiv w:val="1"/>
      <w:marLeft w:val="0"/>
      <w:marRight w:val="0"/>
      <w:marTop w:val="0"/>
      <w:marBottom w:val="0"/>
      <w:divBdr>
        <w:top w:val="none" w:sz="0" w:space="0" w:color="auto"/>
        <w:left w:val="none" w:sz="0" w:space="0" w:color="auto"/>
        <w:bottom w:val="none" w:sz="0" w:space="0" w:color="auto"/>
        <w:right w:val="none" w:sz="0" w:space="0" w:color="auto"/>
      </w:divBdr>
    </w:div>
    <w:div w:id="529222740">
      <w:bodyDiv w:val="1"/>
      <w:marLeft w:val="0"/>
      <w:marRight w:val="0"/>
      <w:marTop w:val="0"/>
      <w:marBottom w:val="0"/>
      <w:divBdr>
        <w:top w:val="none" w:sz="0" w:space="0" w:color="auto"/>
        <w:left w:val="none" w:sz="0" w:space="0" w:color="auto"/>
        <w:bottom w:val="none" w:sz="0" w:space="0" w:color="auto"/>
        <w:right w:val="none" w:sz="0" w:space="0" w:color="auto"/>
      </w:divBdr>
      <w:divsChild>
        <w:div w:id="136382103">
          <w:marLeft w:val="0"/>
          <w:marRight w:val="0"/>
          <w:marTop w:val="0"/>
          <w:marBottom w:val="240"/>
          <w:divBdr>
            <w:top w:val="none" w:sz="0" w:space="0" w:color="auto"/>
            <w:left w:val="none" w:sz="0" w:space="0" w:color="auto"/>
            <w:bottom w:val="none" w:sz="0" w:space="0" w:color="auto"/>
            <w:right w:val="none" w:sz="0" w:space="0" w:color="auto"/>
          </w:divBdr>
        </w:div>
        <w:div w:id="326860011">
          <w:marLeft w:val="0"/>
          <w:marRight w:val="0"/>
          <w:marTop w:val="0"/>
          <w:marBottom w:val="240"/>
          <w:divBdr>
            <w:top w:val="none" w:sz="0" w:space="0" w:color="auto"/>
            <w:left w:val="none" w:sz="0" w:space="0" w:color="auto"/>
            <w:bottom w:val="none" w:sz="0" w:space="0" w:color="auto"/>
            <w:right w:val="none" w:sz="0" w:space="0" w:color="auto"/>
          </w:divBdr>
          <w:divsChild>
            <w:div w:id="2021615947">
              <w:marLeft w:val="0"/>
              <w:marRight w:val="0"/>
              <w:marTop w:val="0"/>
              <w:marBottom w:val="0"/>
              <w:divBdr>
                <w:top w:val="none" w:sz="0" w:space="0" w:color="auto"/>
                <w:left w:val="none" w:sz="0" w:space="0" w:color="auto"/>
                <w:bottom w:val="none" w:sz="0" w:space="0" w:color="auto"/>
                <w:right w:val="none" w:sz="0" w:space="0" w:color="auto"/>
              </w:divBdr>
              <w:divsChild>
                <w:div w:id="64011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968453">
          <w:marLeft w:val="0"/>
          <w:marRight w:val="0"/>
          <w:marTop w:val="0"/>
          <w:marBottom w:val="240"/>
          <w:divBdr>
            <w:top w:val="none" w:sz="0" w:space="0" w:color="auto"/>
            <w:left w:val="none" w:sz="0" w:space="0" w:color="auto"/>
            <w:bottom w:val="none" w:sz="0" w:space="0" w:color="auto"/>
            <w:right w:val="none" w:sz="0" w:space="0" w:color="auto"/>
          </w:divBdr>
        </w:div>
        <w:div w:id="1994213279">
          <w:marLeft w:val="0"/>
          <w:marRight w:val="0"/>
          <w:marTop w:val="0"/>
          <w:marBottom w:val="240"/>
          <w:divBdr>
            <w:top w:val="none" w:sz="0" w:space="0" w:color="auto"/>
            <w:left w:val="none" w:sz="0" w:space="0" w:color="auto"/>
            <w:bottom w:val="none" w:sz="0" w:space="0" w:color="auto"/>
            <w:right w:val="none" w:sz="0" w:space="0" w:color="auto"/>
          </w:divBdr>
        </w:div>
        <w:div w:id="2085715694">
          <w:marLeft w:val="0"/>
          <w:marRight w:val="0"/>
          <w:marTop w:val="0"/>
          <w:marBottom w:val="240"/>
          <w:divBdr>
            <w:top w:val="none" w:sz="0" w:space="0" w:color="auto"/>
            <w:left w:val="none" w:sz="0" w:space="0" w:color="auto"/>
            <w:bottom w:val="none" w:sz="0" w:space="0" w:color="auto"/>
            <w:right w:val="none" w:sz="0" w:space="0" w:color="auto"/>
          </w:divBdr>
        </w:div>
      </w:divsChild>
    </w:div>
    <w:div w:id="529416188">
      <w:bodyDiv w:val="1"/>
      <w:marLeft w:val="0"/>
      <w:marRight w:val="0"/>
      <w:marTop w:val="0"/>
      <w:marBottom w:val="0"/>
      <w:divBdr>
        <w:top w:val="none" w:sz="0" w:space="0" w:color="auto"/>
        <w:left w:val="none" w:sz="0" w:space="0" w:color="auto"/>
        <w:bottom w:val="none" w:sz="0" w:space="0" w:color="auto"/>
        <w:right w:val="none" w:sz="0" w:space="0" w:color="auto"/>
      </w:divBdr>
      <w:divsChild>
        <w:div w:id="718676365">
          <w:marLeft w:val="0"/>
          <w:marRight w:val="0"/>
          <w:marTop w:val="0"/>
          <w:marBottom w:val="0"/>
          <w:divBdr>
            <w:top w:val="none" w:sz="0" w:space="0" w:color="auto"/>
            <w:left w:val="none" w:sz="0" w:space="0" w:color="auto"/>
            <w:bottom w:val="dotted" w:sz="6" w:space="4" w:color="DDDDDD"/>
            <w:right w:val="none" w:sz="0" w:space="0" w:color="auto"/>
          </w:divBdr>
        </w:div>
      </w:divsChild>
    </w:div>
    <w:div w:id="529563168">
      <w:bodyDiv w:val="1"/>
      <w:marLeft w:val="0"/>
      <w:marRight w:val="0"/>
      <w:marTop w:val="0"/>
      <w:marBottom w:val="0"/>
      <w:divBdr>
        <w:top w:val="none" w:sz="0" w:space="0" w:color="auto"/>
        <w:left w:val="none" w:sz="0" w:space="0" w:color="auto"/>
        <w:bottom w:val="none" w:sz="0" w:space="0" w:color="auto"/>
        <w:right w:val="none" w:sz="0" w:space="0" w:color="auto"/>
      </w:divBdr>
      <w:divsChild>
        <w:div w:id="111831091">
          <w:marLeft w:val="0"/>
          <w:marRight w:val="0"/>
          <w:marTop w:val="0"/>
          <w:marBottom w:val="0"/>
          <w:divBdr>
            <w:top w:val="none" w:sz="0" w:space="0" w:color="auto"/>
            <w:left w:val="none" w:sz="0" w:space="0" w:color="auto"/>
            <w:bottom w:val="none" w:sz="0" w:space="0" w:color="auto"/>
            <w:right w:val="none" w:sz="0" w:space="0" w:color="auto"/>
          </w:divBdr>
        </w:div>
      </w:divsChild>
    </w:div>
    <w:div w:id="529799921">
      <w:bodyDiv w:val="1"/>
      <w:marLeft w:val="0"/>
      <w:marRight w:val="0"/>
      <w:marTop w:val="0"/>
      <w:marBottom w:val="0"/>
      <w:divBdr>
        <w:top w:val="none" w:sz="0" w:space="0" w:color="auto"/>
        <w:left w:val="none" w:sz="0" w:space="0" w:color="auto"/>
        <w:bottom w:val="none" w:sz="0" w:space="0" w:color="auto"/>
        <w:right w:val="none" w:sz="0" w:space="0" w:color="auto"/>
      </w:divBdr>
      <w:divsChild>
        <w:div w:id="663584187">
          <w:marLeft w:val="0"/>
          <w:marRight w:val="0"/>
          <w:marTop w:val="0"/>
          <w:marBottom w:val="0"/>
          <w:divBdr>
            <w:top w:val="none" w:sz="0" w:space="0" w:color="auto"/>
            <w:left w:val="none" w:sz="0" w:space="0" w:color="auto"/>
            <w:bottom w:val="none" w:sz="0" w:space="0" w:color="auto"/>
            <w:right w:val="none" w:sz="0" w:space="0" w:color="auto"/>
          </w:divBdr>
          <w:divsChild>
            <w:div w:id="1463772625">
              <w:marLeft w:val="0"/>
              <w:marRight w:val="0"/>
              <w:marTop w:val="0"/>
              <w:marBottom w:val="0"/>
              <w:divBdr>
                <w:top w:val="none" w:sz="0" w:space="0" w:color="auto"/>
                <w:left w:val="none" w:sz="0" w:space="0" w:color="auto"/>
                <w:bottom w:val="none" w:sz="0" w:space="0" w:color="auto"/>
                <w:right w:val="none" w:sz="0" w:space="0" w:color="auto"/>
              </w:divBdr>
              <w:divsChild>
                <w:div w:id="1586917152">
                  <w:marLeft w:val="0"/>
                  <w:marRight w:val="0"/>
                  <w:marTop w:val="0"/>
                  <w:marBottom w:val="0"/>
                  <w:divBdr>
                    <w:top w:val="none" w:sz="0" w:space="0" w:color="auto"/>
                    <w:left w:val="none" w:sz="0" w:space="0" w:color="auto"/>
                    <w:bottom w:val="none" w:sz="0" w:space="0" w:color="auto"/>
                    <w:right w:val="none" w:sz="0" w:space="0" w:color="auto"/>
                  </w:divBdr>
                  <w:divsChild>
                    <w:div w:id="1991782359">
                      <w:marLeft w:val="0"/>
                      <w:marRight w:val="0"/>
                      <w:marTop w:val="0"/>
                      <w:marBottom w:val="0"/>
                      <w:divBdr>
                        <w:top w:val="none" w:sz="0" w:space="0" w:color="auto"/>
                        <w:left w:val="none" w:sz="0" w:space="0" w:color="auto"/>
                        <w:bottom w:val="none" w:sz="0" w:space="0" w:color="auto"/>
                        <w:right w:val="none" w:sz="0" w:space="0" w:color="auto"/>
                      </w:divBdr>
                      <w:divsChild>
                        <w:div w:id="547255828">
                          <w:marLeft w:val="0"/>
                          <w:marRight w:val="0"/>
                          <w:marTop w:val="0"/>
                          <w:marBottom w:val="0"/>
                          <w:divBdr>
                            <w:top w:val="none" w:sz="0" w:space="0" w:color="auto"/>
                            <w:left w:val="none" w:sz="0" w:space="0" w:color="auto"/>
                            <w:bottom w:val="none" w:sz="0" w:space="0" w:color="auto"/>
                            <w:right w:val="none" w:sz="0" w:space="0" w:color="auto"/>
                          </w:divBdr>
                          <w:divsChild>
                            <w:div w:id="1313371232">
                              <w:marLeft w:val="0"/>
                              <w:marRight w:val="0"/>
                              <w:marTop w:val="0"/>
                              <w:marBottom w:val="0"/>
                              <w:divBdr>
                                <w:top w:val="none" w:sz="0" w:space="0" w:color="auto"/>
                                <w:left w:val="none" w:sz="0" w:space="0" w:color="auto"/>
                                <w:bottom w:val="none" w:sz="0" w:space="0" w:color="auto"/>
                                <w:right w:val="none" w:sz="0" w:space="0" w:color="auto"/>
                              </w:divBdr>
                              <w:divsChild>
                                <w:div w:id="2096708564">
                                  <w:marLeft w:val="0"/>
                                  <w:marRight w:val="0"/>
                                  <w:marTop w:val="0"/>
                                  <w:marBottom w:val="0"/>
                                  <w:divBdr>
                                    <w:top w:val="none" w:sz="0" w:space="0" w:color="auto"/>
                                    <w:left w:val="none" w:sz="0" w:space="0" w:color="auto"/>
                                    <w:bottom w:val="none" w:sz="0" w:space="0" w:color="auto"/>
                                    <w:right w:val="none" w:sz="0" w:space="0" w:color="auto"/>
                                  </w:divBdr>
                                  <w:divsChild>
                                    <w:div w:id="9355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9805747">
      <w:bodyDiv w:val="1"/>
      <w:marLeft w:val="0"/>
      <w:marRight w:val="0"/>
      <w:marTop w:val="0"/>
      <w:marBottom w:val="0"/>
      <w:divBdr>
        <w:top w:val="none" w:sz="0" w:space="0" w:color="auto"/>
        <w:left w:val="none" w:sz="0" w:space="0" w:color="auto"/>
        <w:bottom w:val="none" w:sz="0" w:space="0" w:color="auto"/>
        <w:right w:val="none" w:sz="0" w:space="0" w:color="auto"/>
      </w:divBdr>
    </w:div>
    <w:div w:id="530610657">
      <w:bodyDiv w:val="1"/>
      <w:marLeft w:val="0"/>
      <w:marRight w:val="0"/>
      <w:marTop w:val="0"/>
      <w:marBottom w:val="0"/>
      <w:divBdr>
        <w:top w:val="none" w:sz="0" w:space="0" w:color="auto"/>
        <w:left w:val="none" w:sz="0" w:space="0" w:color="auto"/>
        <w:bottom w:val="none" w:sz="0" w:space="0" w:color="auto"/>
        <w:right w:val="none" w:sz="0" w:space="0" w:color="auto"/>
      </w:divBdr>
    </w:div>
    <w:div w:id="530728780">
      <w:bodyDiv w:val="1"/>
      <w:marLeft w:val="0"/>
      <w:marRight w:val="0"/>
      <w:marTop w:val="0"/>
      <w:marBottom w:val="0"/>
      <w:divBdr>
        <w:top w:val="none" w:sz="0" w:space="0" w:color="auto"/>
        <w:left w:val="none" w:sz="0" w:space="0" w:color="auto"/>
        <w:bottom w:val="none" w:sz="0" w:space="0" w:color="auto"/>
        <w:right w:val="none" w:sz="0" w:space="0" w:color="auto"/>
      </w:divBdr>
      <w:divsChild>
        <w:div w:id="527328554">
          <w:marLeft w:val="0"/>
          <w:marRight w:val="0"/>
          <w:marTop w:val="0"/>
          <w:marBottom w:val="0"/>
          <w:divBdr>
            <w:top w:val="none" w:sz="0" w:space="0" w:color="auto"/>
            <w:left w:val="none" w:sz="0" w:space="0" w:color="auto"/>
            <w:bottom w:val="dotted" w:sz="6" w:space="4" w:color="DDDDDD"/>
            <w:right w:val="none" w:sz="0" w:space="0" w:color="auto"/>
          </w:divBdr>
        </w:div>
      </w:divsChild>
    </w:div>
    <w:div w:id="531453904">
      <w:bodyDiv w:val="1"/>
      <w:marLeft w:val="0"/>
      <w:marRight w:val="0"/>
      <w:marTop w:val="0"/>
      <w:marBottom w:val="0"/>
      <w:divBdr>
        <w:top w:val="none" w:sz="0" w:space="0" w:color="auto"/>
        <w:left w:val="none" w:sz="0" w:space="0" w:color="auto"/>
        <w:bottom w:val="none" w:sz="0" w:space="0" w:color="auto"/>
        <w:right w:val="none" w:sz="0" w:space="0" w:color="auto"/>
      </w:divBdr>
      <w:divsChild>
        <w:div w:id="1485123695">
          <w:marLeft w:val="0"/>
          <w:marRight w:val="0"/>
          <w:marTop w:val="0"/>
          <w:marBottom w:val="0"/>
          <w:divBdr>
            <w:top w:val="none" w:sz="0" w:space="0" w:color="auto"/>
            <w:left w:val="none" w:sz="0" w:space="0" w:color="auto"/>
            <w:bottom w:val="none" w:sz="0" w:space="0" w:color="auto"/>
            <w:right w:val="none" w:sz="0" w:space="0" w:color="auto"/>
          </w:divBdr>
          <w:divsChild>
            <w:div w:id="182774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575856">
      <w:bodyDiv w:val="1"/>
      <w:marLeft w:val="0"/>
      <w:marRight w:val="0"/>
      <w:marTop w:val="0"/>
      <w:marBottom w:val="0"/>
      <w:divBdr>
        <w:top w:val="none" w:sz="0" w:space="0" w:color="auto"/>
        <w:left w:val="none" w:sz="0" w:space="0" w:color="auto"/>
        <w:bottom w:val="none" w:sz="0" w:space="0" w:color="auto"/>
        <w:right w:val="none" w:sz="0" w:space="0" w:color="auto"/>
      </w:divBdr>
    </w:div>
    <w:div w:id="532040423">
      <w:bodyDiv w:val="1"/>
      <w:marLeft w:val="0"/>
      <w:marRight w:val="0"/>
      <w:marTop w:val="0"/>
      <w:marBottom w:val="0"/>
      <w:divBdr>
        <w:top w:val="none" w:sz="0" w:space="0" w:color="auto"/>
        <w:left w:val="none" w:sz="0" w:space="0" w:color="auto"/>
        <w:bottom w:val="none" w:sz="0" w:space="0" w:color="auto"/>
        <w:right w:val="none" w:sz="0" w:space="0" w:color="auto"/>
      </w:divBdr>
    </w:div>
    <w:div w:id="532380561">
      <w:bodyDiv w:val="1"/>
      <w:marLeft w:val="0"/>
      <w:marRight w:val="0"/>
      <w:marTop w:val="0"/>
      <w:marBottom w:val="0"/>
      <w:divBdr>
        <w:top w:val="none" w:sz="0" w:space="0" w:color="auto"/>
        <w:left w:val="none" w:sz="0" w:space="0" w:color="auto"/>
        <w:bottom w:val="none" w:sz="0" w:space="0" w:color="auto"/>
        <w:right w:val="none" w:sz="0" w:space="0" w:color="auto"/>
      </w:divBdr>
      <w:divsChild>
        <w:div w:id="1018388437">
          <w:marLeft w:val="0"/>
          <w:marRight w:val="0"/>
          <w:marTop w:val="0"/>
          <w:marBottom w:val="0"/>
          <w:divBdr>
            <w:top w:val="none" w:sz="0" w:space="0" w:color="auto"/>
            <w:left w:val="none" w:sz="0" w:space="0" w:color="auto"/>
            <w:bottom w:val="none" w:sz="0" w:space="0" w:color="auto"/>
            <w:right w:val="none" w:sz="0" w:space="0" w:color="auto"/>
          </w:divBdr>
          <w:divsChild>
            <w:div w:id="1208102622">
              <w:marLeft w:val="0"/>
              <w:marRight w:val="0"/>
              <w:marTop w:val="0"/>
              <w:marBottom w:val="150"/>
              <w:divBdr>
                <w:top w:val="none" w:sz="0" w:space="0" w:color="auto"/>
                <w:left w:val="none" w:sz="0" w:space="0" w:color="auto"/>
                <w:bottom w:val="none" w:sz="0" w:space="0" w:color="auto"/>
                <w:right w:val="none" w:sz="0" w:space="0" w:color="auto"/>
              </w:divBdr>
            </w:div>
            <w:div w:id="1244877975">
              <w:marLeft w:val="0"/>
              <w:marRight w:val="0"/>
              <w:marTop w:val="0"/>
              <w:marBottom w:val="0"/>
              <w:divBdr>
                <w:top w:val="none" w:sz="0" w:space="0" w:color="auto"/>
                <w:left w:val="none" w:sz="0" w:space="0" w:color="auto"/>
                <w:bottom w:val="none" w:sz="0" w:space="0" w:color="auto"/>
                <w:right w:val="none" w:sz="0" w:space="0" w:color="auto"/>
              </w:divBdr>
              <w:divsChild>
                <w:div w:id="51396178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80891105">
          <w:marLeft w:val="0"/>
          <w:marRight w:val="0"/>
          <w:marTop w:val="0"/>
          <w:marBottom w:val="150"/>
          <w:divBdr>
            <w:top w:val="none" w:sz="0" w:space="0" w:color="auto"/>
            <w:left w:val="none" w:sz="0" w:space="0" w:color="auto"/>
            <w:bottom w:val="none" w:sz="0" w:space="0" w:color="auto"/>
            <w:right w:val="none" w:sz="0" w:space="0" w:color="auto"/>
          </w:divBdr>
          <w:divsChild>
            <w:div w:id="503785901">
              <w:marLeft w:val="0"/>
              <w:marRight w:val="0"/>
              <w:marTop w:val="0"/>
              <w:marBottom w:val="0"/>
              <w:divBdr>
                <w:top w:val="none" w:sz="0" w:space="0" w:color="auto"/>
                <w:left w:val="none" w:sz="0" w:space="0" w:color="auto"/>
                <w:bottom w:val="none" w:sz="0" w:space="0" w:color="auto"/>
                <w:right w:val="none" w:sz="0" w:space="0" w:color="auto"/>
              </w:divBdr>
              <w:divsChild>
                <w:div w:id="155426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690530">
      <w:bodyDiv w:val="1"/>
      <w:marLeft w:val="0"/>
      <w:marRight w:val="0"/>
      <w:marTop w:val="0"/>
      <w:marBottom w:val="0"/>
      <w:divBdr>
        <w:top w:val="none" w:sz="0" w:space="0" w:color="auto"/>
        <w:left w:val="none" w:sz="0" w:space="0" w:color="auto"/>
        <w:bottom w:val="none" w:sz="0" w:space="0" w:color="auto"/>
        <w:right w:val="none" w:sz="0" w:space="0" w:color="auto"/>
      </w:divBdr>
      <w:divsChild>
        <w:div w:id="774523074">
          <w:marLeft w:val="0"/>
          <w:marRight w:val="0"/>
          <w:marTop w:val="0"/>
          <w:marBottom w:val="150"/>
          <w:divBdr>
            <w:top w:val="none" w:sz="0" w:space="0" w:color="auto"/>
            <w:left w:val="none" w:sz="0" w:space="0" w:color="auto"/>
            <w:bottom w:val="none" w:sz="0" w:space="0" w:color="auto"/>
            <w:right w:val="none" w:sz="0" w:space="0" w:color="auto"/>
          </w:divBdr>
          <w:divsChild>
            <w:div w:id="1835410436">
              <w:marLeft w:val="0"/>
              <w:marRight w:val="0"/>
              <w:marTop w:val="0"/>
              <w:marBottom w:val="0"/>
              <w:divBdr>
                <w:top w:val="none" w:sz="0" w:space="0" w:color="auto"/>
                <w:left w:val="none" w:sz="0" w:space="0" w:color="auto"/>
                <w:bottom w:val="none" w:sz="0" w:space="0" w:color="auto"/>
                <w:right w:val="none" w:sz="0" w:space="0" w:color="auto"/>
              </w:divBdr>
              <w:divsChild>
                <w:div w:id="151764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248669">
          <w:marLeft w:val="0"/>
          <w:marRight w:val="0"/>
          <w:marTop w:val="0"/>
          <w:marBottom w:val="150"/>
          <w:divBdr>
            <w:top w:val="none" w:sz="0" w:space="0" w:color="auto"/>
            <w:left w:val="none" w:sz="0" w:space="0" w:color="auto"/>
            <w:bottom w:val="none" w:sz="0" w:space="0" w:color="auto"/>
            <w:right w:val="none" w:sz="0" w:space="0" w:color="auto"/>
          </w:divBdr>
        </w:div>
        <w:div w:id="1226188176">
          <w:marLeft w:val="0"/>
          <w:marRight w:val="0"/>
          <w:marTop w:val="0"/>
          <w:marBottom w:val="0"/>
          <w:divBdr>
            <w:top w:val="none" w:sz="0" w:space="0" w:color="auto"/>
            <w:left w:val="none" w:sz="0" w:space="0" w:color="auto"/>
            <w:bottom w:val="none" w:sz="0" w:space="0" w:color="auto"/>
            <w:right w:val="none" w:sz="0" w:space="0" w:color="auto"/>
          </w:divBdr>
          <w:divsChild>
            <w:div w:id="62161527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32839991">
      <w:bodyDiv w:val="1"/>
      <w:marLeft w:val="0"/>
      <w:marRight w:val="0"/>
      <w:marTop w:val="0"/>
      <w:marBottom w:val="0"/>
      <w:divBdr>
        <w:top w:val="none" w:sz="0" w:space="0" w:color="auto"/>
        <w:left w:val="none" w:sz="0" w:space="0" w:color="auto"/>
        <w:bottom w:val="none" w:sz="0" w:space="0" w:color="auto"/>
        <w:right w:val="none" w:sz="0" w:space="0" w:color="auto"/>
      </w:divBdr>
      <w:divsChild>
        <w:div w:id="1489907623">
          <w:marLeft w:val="0"/>
          <w:marRight w:val="0"/>
          <w:marTop w:val="0"/>
          <w:marBottom w:val="150"/>
          <w:divBdr>
            <w:top w:val="none" w:sz="0" w:space="0" w:color="auto"/>
            <w:left w:val="none" w:sz="0" w:space="0" w:color="auto"/>
            <w:bottom w:val="none" w:sz="0" w:space="0" w:color="auto"/>
            <w:right w:val="none" w:sz="0" w:space="0" w:color="auto"/>
          </w:divBdr>
          <w:divsChild>
            <w:div w:id="1433554278">
              <w:marLeft w:val="0"/>
              <w:marRight w:val="0"/>
              <w:marTop w:val="0"/>
              <w:marBottom w:val="0"/>
              <w:divBdr>
                <w:top w:val="none" w:sz="0" w:space="0" w:color="auto"/>
                <w:left w:val="none" w:sz="0" w:space="0" w:color="auto"/>
                <w:bottom w:val="none" w:sz="0" w:space="0" w:color="auto"/>
                <w:right w:val="none" w:sz="0" w:space="0" w:color="auto"/>
              </w:divBdr>
              <w:divsChild>
                <w:div w:id="1064180176">
                  <w:marLeft w:val="0"/>
                  <w:marRight w:val="0"/>
                  <w:marTop w:val="0"/>
                  <w:marBottom w:val="0"/>
                  <w:divBdr>
                    <w:top w:val="none" w:sz="0" w:space="0" w:color="auto"/>
                    <w:left w:val="none" w:sz="0" w:space="0" w:color="auto"/>
                    <w:bottom w:val="none" w:sz="0" w:space="0" w:color="auto"/>
                    <w:right w:val="none" w:sz="0" w:space="0" w:color="auto"/>
                  </w:divBdr>
                  <w:divsChild>
                    <w:div w:id="570896235">
                      <w:marLeft w:val="0"/>
                      <w:marRight w:val="150"/>
                      <w:marTop w:val="0"/>
                      <w:marBottom w:val="0"/>
                      <w:divBdr>
                        <w:top w:val="none" w:sz="0" w:space="0" w:color="auto"/>
                        <w:left w:val="none" w:sz="0" w:space="0" w:color="auto"/>
                        <w:bottom w:val="none" w:sz="0" w:space="0" w:color="auto"/>
                        <w:right w:val="none" w:sz="0" w:space="0" w:color="auto"/>
                      </w:divBdr>
                      <w:divsChild>
                        <w:div w:id="133414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910856">
          <w:marLeft w:val="0"/>
          <w:marRight w:val="0"/>
          <w:marTop w:val="0"/>
          <w:marBottom w:val="150"/>
          <w:divBdr>
            <w:top w:val="none" w:sz="0" w:space="0" w:color="auto"/>
            <w:left w:val="none" w:sz="0" w:space="0" w:color="auto"/>
            <w:bottom w:val="none" w:sz="0" w:space="0" w:color="auto"/>
            <w:right w:val="none" w:sz="0" w:space="0" w:color="auto"/>
          </w:divBdr>
        </w:div>
        <w:div w:id="1625890495">
          <w:marLeft w:val="0"/>
          <w:marRight w:val="0"/>
          <w:marTop w:val="0"/>
          <w:marBottom w:val="0"/>
          <w:divBdr>
            <w:top w:val="none" w:sz="0" w:space="0" w:color="auto"/>
            <w:left w:val="none" w:sz="0" w:space="0" w:color="auto"/>
            <w:bottom w:val="none" w:sz="0" w:space="0" w:color="auto"/>
            <w:right w:val="none" w:sz="0" w:space="0" w:color="auto"/>
          </w:divBdr>
          <w:divsChild>
            <w:div w:id="128969921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33158211">
      <w:bodyDiv w:val="1"/>
      <w:marLeft w:val="0"/>
      <w:marRight w:val="0"/>
      <w:marTop w:val="0"/>
      <w:marBottom w:val="0"/>
      <w:divBdr>
        <w:top w:val="none" w:sz="0" w:space="0" w:color="auto"/>
        <w:left w:val="none" w:sz="0" w:space="0" w:color="auto"/>
        <w:bottom w:val="none" w:sz="0" w:space="0" w:color="auto"/>
        <w:right w:val="none" w:sz="0" w:space="0" w:color="auto"/>
      </w:divBdr>
      <w:divsChild>
        <w:div w:id="509950103">
          <w:marLeft w:val="0"/>
          <w:marRight w:val="0"/>
          <w:marTop w:val="0"/>
          <w:marBottom w:val="0"/>
          <w:divBdr>
            <w:top w:val="none" w:sz="0" w:space="0" w:color="auto"/>
            <w:left w:val="none" w:sz="0" w:space="0" w:color="auto"/>
            <w:bottom w:val="none" w:sz="0" w:space="0" w:color="auto"/>
            <w:right w:val="none" w:sz="0" w:space="0" w:color="auto"/>
          </w:divBdr>
        </w:div>
      </w:divsChild>
    </w:div>
    <w:div w:id="533470567">
      <w:bodyDiv w:val="1"/>
      <w:marLeft w:val="0"/>
      <w:marRight w:val="0"/>
      <w:marTop w:val="0"/>
      <w:marBottom w:val="0"/>
      <w:divBdr>
        <w:top w:val="none" w:sz="0" w:space="0" w:color="auto"/>
        <w:left w:val="none" w:sz="0" w:space="0" w:color="auto"/>
        <w:bottom w:val="none" w:sz="0" w:space="0" w:color="auto"/>
        <w:right w:val="none" w:sz="0" w:space="0" w:color="auto"/>
      </w:divBdr>
      <w:divsChild>
        <w:div w:id="2130974135">
          <w:marLeft w:val="0"/>
          <w:marRight w:val="0"/>
          <w:marTop w:val="0"/>
          <w:marBottom w:val="150"/>
          <w:divBdr>
            <w:top w:val="none" w:sz="0" w:space="0" w:color="auto"/>
            <w:left w:val="none" w:sz="0" w:space="0" w:color="auto"/>
            <w:bottom w:val="none" w:sz="0" w:space="0" w:color="auto"/>
            <w:right w:val="none" w:sz="0" w:space="0" w:color="auto"/>
          </w:divBdr>
        </w:div>
      </w:divsChild>
    </w:div>
    <w:div w:id="533543067">
      <w:bodyDiv w:val="1"/>
      <w:marLeft w:val="0"/>
      <w:marRight w:val="0"/>
      <w:marTop w:val="0"/>
      <w:marBottom w:val="0"/>
      <w:divBdr>
        <w:top w:val="none" w:sz="0" w:space="0" w:color="auto"/>
        <w:left w:val="none" w:sz="0" w:space="0" w:color="auto"/>
        <w:bottom w:val="none" w:sz="0" w:space="0" w:color="auto"/>
        <w:right w:val="none" w:sz="0" w:space="0" w:color="auto"/>
      </w:divBdr>
      <w:divsChild>
        <w:div w:id="1852254368">
          <w:marLeft w:val="0"/>
          <w:marRight w:val="0"/>
          <w:marTop w:val="0"/>
          <w:marBottom w:val="0"/>
          <w:divBdr>
            <w:top w:val="none" w:sz="0" w:space="0" w:color="auto"/>
            <w:left w:val="none" w:sz="0" w:space="0" w:color="auto"/>
            <w:bottom w:val="none" w:sz="0" w:space="0" w:color="auto"/>
            <w:right w:val="none" w:sz="0" w:space="0" w:color="auto"/>
          </w:divBdr>
          <w:divsChild>
            <w:div w:id="2137719901">
              <w:marLeft w:val="0"/>
              <w:marRight w:val="0"/>
              <w:marTop w:val="0"/>
              <w:marBottom w:val="0"/>
              <w:divBdr>
                <w:top w:val="none" w:sz="0" w:space="0" w:color="auto"/>
                <w:left w:val="none" w:sz="0" w:space="0" w:color="auto"/>
                <w:bottom w:val="none" w:sz="0" w:space="0" w:color="auto"/>
                <w:right w:val="none" w:sz="0" w:space="0" w:color="auto"/>
              </w:divBdr>
              <w:divsChild>
                <w:div w:id="1841432002">
                  <w:marLeft w:val="0"/>
                  <w:marRight w:val="0"/>
                  <w:marTop w:val="0"/>
                  <w:marBottom w:val="0"/>
                  <w:divBdr>
                    <w:top w:val="none" w:sz="0" w:space="0" w:color="auto"/>
                    <w:left w:val="none" w:sz="0" w:space="0" w:color="auto"/>
                    <w:bottom w:val="none" w:sz="0" w:space="0" w:color="auto"/>
                    <w:right w:val="none" w:sz="0" w:space="0" w:color="auto"/>
                  </w:divBdr>
                  <w:divsChild>
                    <w:div w:id="1673069201">
                      <w:marLeft w:val="0"/>
                      <w:marRight w:val="0"/>
                      <w:marTop w:val="0"/>
                      <w:marBottom w:val="0"/>
                      <w:divBdr>
                        <w:top w:val="none" w:sz="0" w:space="0" w:color="auto"/>
                        <w:left w:val="none" w:sz="0" w:space="0" w:color="auto"/>
                        <w:bottom w:val="none" w:sz="0" w:space="0" w:color="auto"/>
                        <w:right w:val="none" w:sz="0" w:space="0" w:color="auto"/>
                      </w:divBdr>
                      <w:divsChild>
                        <w:div w:id="600382018">
                          <w:marLeft w:val="0"/>
                          <w:marRight w:val="0"/>
                          <w:marTop w:val="0"/>
                          <w:marBottom w:val="0"/>
                          <w:divBdr>
                            <w:top w:val="none" w:sz="0" w:space="0" w:color="auto"/>
                            <w:left w:val="none" w:sz="0" w:space="0" w:color="auto"/>
                            <w:bottom w:val="none" w:sz="0" w:space="0" w:color="auto"/>
                            <w:right w:val="none" w:sz="0" w:space="0" w:color="auto"/>
                          </w:divBdr>
                          <w:divsChild>
                            <w:div w:id="193986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3856836">
      <w:bodyDiv w:val="1"/>
      <w:marLeft w:val="0"/>
      <w:marRight w:val="0"/>
      <w:marTop w:val="0"/>
      <w:marBottom w:val="0"/>
      <w:divBdr>
        <w:top w:val="none" w:sz="0" w:space="0" w:color="auto"/>
        <w:left w:val="none" w:sz="0" w:space="0" w:color="auto"/>
        <w:bottom w:val="none" w:sz="0" w:space="0" w:color="auto"/>
        <w:right w:val="none" w:sz="0" w:space="0" w:color="auto"/>
      </w:divBdr>
      <w:divsChild>
        <w:div w:id="1999069271">
          <w:marLeft w:val="0"/>
          <w:marRight w:val="0"/>
          <w:marTop w:val="0"/>
          <w:marBottom w:val="0"/>
          <w:divBdr>
            <w:top w:val="none" w:sz="0" w:space="0" w:color="auto"/>
            <w:left w:val="none" w:sz="0" w:space="0" w:color="auto"/>
            <w:bottom w:val="none" w:sz="0" w:space="0" w:color="auto"/>
            <w:right w:val="none" w:sz="0" w:space="0" w:color="auto"/>
          </w:divBdr>
          <w:divsChild>
            <w:div w:id="663125618">
              <w:marLeft w:val="0"/>
              <w:marRight w:val="0"/>
              <w:marTop w:val="0"/>
              <w:marBottom w:val="0"/>
              <w:divBdr>
                <w:top w:val="none" w:sz="0" w:space="0" w:color="auto"/>
                <w:left w:val="none" w:sz="0" w:space="0" w:color="auto"/>
                <w:bottom w:val="none" w:sz="0" w:space="0" w:color="auto"/>
                <w:right w:val="none" w:sz="0" w:space="0" w:color="auto"/>
              </w:divBdr>
              <w:divsChild>
                <w:div w:id="1649431662">
                  <w:marLeft w:val="0"/>
                  <w:marRight w:val="0"/>
                  <w:marTop w:val="0"/>
                  <w:marBottom w:val="0"/>
                  <w:divBdr>
                    <w:top w:val="none" w:sz="0" w:space="0" w:color="auto"/>
                    <w:left w:val="none" w:sz="0" w:space="0" w:color="auto"/>
                    <w:bottom w:val="none" w:sz="0" w:space="0" w:color="auto"/>
                    <w:right w:val="none" w:sz="0" w:space="0" w:color="auto"/>
                  </w:divBdr>
                  <w:divsChild>
                    <w:div w:id="146751889">
                      <w:marLeft w:val="0"/>
                      <w:marRight w:val="0"/>
                      <w:marTop w:val="0"/>
                      <w:marBottom w:val="0"/>
                      <w:divBdr>
                        <w:top w:val="none" w:sz="0" w:space="0" w:color="auto"/>
                        <w:left w:val="none" w:sz="0" w:space="0" w:color="auto"/>
                        <w:bottom w:val="none" w:sz="0" w:space="0" w:color="auto"/>
                        <w:right w:val="none" w:sz="0" w:space="0" w:color="auto"/>
                      </w:divBdr>
                      <w:divsChild>
                        <w:div w:id="613831759">
                          <w:marLeft w:val="0"/>
                          <w:marRight w:val="0"/>
                          <w:marTop w:val="0"/>
                          <w:marBottom w:val="0"/>
                          <w:divBdr>
                            <w:top w:val="none" w:sz="0" w:space="0" w:color="auto"/>
                            <w:left w:val="none" w:sz="0" w:space="0" w:color="auto"/>
                            <w:bottom w:val="none" w:sz="0" w:space="0" w:color="auto"/>
                            <w:right w:val="none" w:sz="0" w:space="0" w:color="auto"/>
                          </w:divBdr>
                          <w:divsChild>
                            <w:div w:id="1492714384">
                              <w:marLeft w:val="0"/>
                              <w:marRight w:val="0"/>
                              <w:marTop w:val="0"/>
                              <w:marBottom w:val="0"/>
                              <w:divBdr>
                                <w:top w:val="none" w:sz="0" w:space="0" w:color="auto"/>
                                <w:left w:val="none" w:sz="0" w:space="0" w:color="auto"/>
                                <w:bottom w:val="none" w:sz="0" w:space="0" w:color="auto"/>
                                <w:right w:val="none" w:sz="0" w:space="0" w:color="auto"/>
                              </w:divBdr>
                              <w:divsChild>
                                <w:div w:id="1442142557">
                                  <w:marLeft w:val="0"/>
                                  <w:marRight w:val="0"/>
                                  <w:marTop w:val="0"/>
                                  <w:marBottom w:val="0"/>
                                  <w:divBdr>
                                    <w:top w:val="none" w:sz="0" w:space="0" w:color="auto"/>
                                    <w:left w:val="none" w:sz="0" w:space="0" w:color="auto"/>
                                    <w:bottom w:val="none" w:sz="0" w:space="0" w:color="auto"/>
                                    <w:right w:val="none" w:sz="0" w:space="0" w:color="auto"/>
                                  </w:divBdr>
                                  <w:divsChild>
                                    <w:div w:id="453332432">
                                      <w:marLeft w:val="0"/>
                                      <w:marRight w:val="0"/>
                                      <w:marTop w:val="0"/>
                                      <w:marBottom w:val="0"/>
                                      <w:divBdr>
                                        <w:top w:val="none" w:sz="0" w:space="0" w:color="auto"/>
                                        <w:left w:val="none" w:sz="0" w:space="0" w:color="auto"/>
                                        <w:bottom w:val="none" w:sz="0" w:space="0" w:color="auto"/>
                                        <w:right w:val="none" w:sz="0" w:space="0" w:color="auto"/>
                                      </w:divBdr>
                                      <w:divsChild>
                                        <w:div w:id="28489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125257">
      <w:bodyDiv w:val="1"/>
      <w:marLeft w:val="0"/>
      <w:marRight w:val="0"/>
      <w:marTop w:val="0"/>
      <w:marBottom w:val="0"/>
      <w:divBdr>
        <w:top w:val="none" w:sz="0" w:space="0" w:color="auto"/>
        <w:left w:val="none" w:sz="0" w:space="0" w:color="auto"/>
        <w:bottom w:val="none" w:sz="0" w:space="0" w:color="auto"/>
        <w:right w:val="none" w:sz="0" w:space="0" w:color="auto"/>
      </w:divBdr>
      <w:divsChild>
        <w:div w:id="470561146">
          <w:marLeft w:val="0"/>
          <w:marRight w:val="0"/>
          <w:marTop w:val="0"/>
          <w:marBottom w:val="0"/>
          <w:divBdr>
            <w:top w:val="none" w:sz="0" w:space="0" w:color="auto"/>
            <w:left w:val="none" w:sz="0" w:space="0" w:color="auto"/>
            <w:bottom w:val="dotted" w:sz="6" w:space="4" w:color="DDDDDD"/>
            <w:right w:val="none" w:sz="0" w:space="0" w:color="auto"/>
          </w:divBdr>
        </w:div>
      </w:divsChild>
    </w:div>
    <w:div w:id="534272692">
      <w:bodyDiv w:val="1"/>
      <w:marLeft w:val="0"/>
      <w:marRight w:val="0"/>
      <w:marTop w:val="0"/>
      <w:marBottom w:val="0"/>
      <w:divBdr>
        <w:top w:val="none" w:sz="0" w:space="0" w:color="auto"/>
        <w:left w:val="none" w:sz="0" w:space="0" w:color="auto"/>
        <w:bottom w:val="none" w:sz="0" w:space="0" w:color="auto"/>
        <w:right w:val="none" w:sz="0" w:space="0" w:color="auto"/>
      </w:divBdr>
      <w:divsChild>
        <w:div w:id="1069622148">
          <w:marLeft w:val="0"/>
          <w:marRight w:val="0"/>
          <w:marTop w:val="0"/>
          <w:marBottom w:val="0"/>
          <w:divBdr>
            <w:top w:val="none" w:sz="0" w:space="0" w:color="auto"/>
            <w:left w:val="none" w:sz="0" w:space="0" w:color="auto"/>
            <w:bottom w:val="dotted" w:sz="6" w:space="4" w:color="DDDDDD"/>
            <w:right w:val="none" w:sz="0" w:space="0" w:color="auto"/>
          </w:divBdr>
        </w:div>
      </w:divsChild>
    </w:div>
    <w:div w:id="534538617">
      <w:bodyDiv w:val="1"/>
      <w:marLeft w:val="0"/>
      <w:marRight w:val="0"/>
      <w:marTop w:val="0"/>
      <w:marBottom w:val="0"/>
      <w:divBdr>
        <w:top w:val="none" w:sz="0" w:space="0" w:color="auto"/>
        <w:left w:val="none" w:sz="0" w:space="0" w:color="auto"/>
        <w:bottom w:val="none" w:sz="0" w:space="0" w:color="auto"/>
        <w:right w:val="none" w:sz="0" w:space="0" w:color="auto"/>
      </w:divBdr>
      <w:divsChild>
        <w:div w:id="1764186860">
          <w:marLeft w:val="0"/>
          <w:marRight w:val="0"/>
          <w:marTop w:val="0"/>
          <w:marBottom w:val="0"/>
          <w:divBdr>
            <w:top w:val="none" w:sz="0" w:space="0" w:color="auto"/>
            <w:left w:val="none" w:sz="0" w:space="0" w:color="auto"/>
            <w:bottom w:val="none" w:sz="0" w:space="0" w:color="auto"/>
            <w:right w:val="none" w:sz="0" w:space="0" w:color="auto"/>
          </w:divBdr>
        </w:div>
      </w:divsChild>
    </w:div>
    <w:div w:id="534780890">
      <w:bodyDiv w:val="1"/>
      <w:marLeft w:val="0"/>
      <w:marRight w:val="0"/>
      <w:marTop w:val="0"/>
      <w:marBottom w:val="0"/>
      <w:divBdr>
        <w:top w:val="none" w:sz="0" w:space="0" w:color="auto"/>
        <w:left w:val="none" w:sz="0" w:space="0" w:color="auto"/>
        <w:bottom w:val="none" w:sz="0" w:space="0" w:color="auto"/>
        <w:right w:val="none" w:sz="0" w:space="0" w:color="auto"/>
      </w:divBdr>
      <w:divsChild>
        <w:div w:id="264073395">
          <w:marLeft w:val="0"/>
          <w:marRight w:val="0"/>
          <w:marTop w:val="0"/>
          <w:marBottom w:val="0"/>
          <w:divBdr>
            <w:top w:val="none" w:sz="0" w:space="0" w:color="auto"/>
            <w:left w:val="none" w:sz="0" w:space="0" w:color="auto"/>
            <w:bottom w:val="none" w:sz="0" w:space="0" w:color="auto"/>
            <w:right w:val="none" w:sz="0" w:space="0" w:color="auto"/>
          </w:divBdr>
        </w:div>
      </w:divsChild>
    </w:div>
    <w:div w:id="535121759">
      <w:bodyDiv w:val="1"/>
      <w:marLeft w:val="0"/>
      <w:marRight w:val="0"/>
      <w:marTop w:val="0"/>
      <w:marBottom w:val="0"/>
      <w:divBdr>
        <w:top w:val="none" w:sz="0" w:space="0" w:color="auto"/>
        <w:left w:val="none" w:sz="0" w:space="0" w:color="auto"/>
        <w:bottom w:val="none" w:sz="0" w:space="0" w:color="auto"/>
        <w:right w:val="none" w:sz="0" w:space="0" w:color="auto"/>
      </w:divBdr>
      <w:divsChild>
        <w:div w:id="20054126">
          <w:marLeft w:val="0"/>
          <w:marRight w:val="0"/>
          <w:marTop w:val="0"/>
          <w:marBottom w:val="150"/>
          <w:divBdr>
            <w:top w:val="none" w:sz="0" w:space="0" w:color="auto"/>
            <w:left w:val="none" w:sz="0" w:space="0" w:color="auto"/>
            <w:bottom w:val="none" w:sz="0" w:space="0" w:color="auto"/>
            <w:right w:val="none" w:sz="0" w:space="0" w:color="auto"/>
          </w:divBdr>
        </w:div>
        <w:div w:id="233128835">
          <w:marLeft w:val="0"/>
          <w:marRight w:val="0"/>
          <w:marTop w:val="0"/>
          <w:marBottom w:val="150"/>
          <w:divBdr>
            <w:top w:val="none" w:sz="0" w:space="0" w:color="auto"/>
            <w:left w:val="none" w:sz="0" w:space="0" w:color="auto"/>
            <w:bottom w:val="none" w:sz="0" w:space="0" w:color="auto"/>
            <w:right w:val="none" w:sz="0" w:space="0" w:color="auto"/>
          </w:divBdr>
        </w:div>
        <w:div w:id="287123036">
          <w:marLeft w:val="0"/>
          <w:marRight w:val="0"/>
          <w:marTop w:val="0"/>
          <w:marBottom w:val="150"/>
          <w:divBdr>
            <w:top w:val="none" w:sz="0" w:space="0" w:color="auto"/>
            <w:left w:val="none" w:sz="0" w:space="0" w:color="auto"/>
            <w:bottom w:val="none" w:sz="0" w:space="0" w:color="auto"/>
            <w:right w:val="none" w:sz="0" w:space="0" w:color="auto"/>
          </w:divBdr>
        </w:div>
        <w:div w:id="559246657">
          <w:marLeft w:val="0"/>
          <w:marRight w:val="0"/>
          <w:marTop w:val="0"/>
          <w:marBottom w:val="150"/>
          <w:divBdr>
            <w:top w:val="none" w:sz="0" w:space="0" w:color="auto"/>
            <w:left w:val="none" w:sz="0" w:space="0" w:color="auto"/>
            <w:bottom w:val="none" w:sz="0" w:space="0" w:color="auto"/>
            <w:right w:val="none" w:sz="0" w:space="0" w:color="auto"/>
          </w:divBdr>
        </w:div>
        <w:div w:id="863447037">
          <w:marLeft w:val="0"/>
          <w:marRight w:val="0"/>
          <w:marTop w:val="0"/>
          <w:marBottom w:val="150"/>
          <w:divBdr>
            <w:top w:val="none" w:sz="0" w:space="0" w:color="auto"/>
            <w:left w:val="none" w:sz="0" w:space="0" w:color="auto"/>
            <w:bottom w:val="none" w:sz="0" w:space="0" w:color="auto"/>
            <w:right w:val="none" w:sz="0" w:space="0" w:color="auto"/>
          </w:divBdr>
        </w:div>
        <w:div w:id="1505516751">
          <w:marLeft w:val="0"/>
          <w:marRight w:val="0"/>
          <w:marTop w:val="0"/>
          <w:marBottom w:val="150"/>
          <w:divBdr>
            <w:top w:val="none" w:sz="0" w:space="0" w:color="auto"/>
            <w:left w:val="none" w:sz="0" w:space="0" w:color="auto"/>
            <w:bottom w:val="none" w:sz="0" w:space="0" w:color="auto"/>
            <w:right w:val="none" w:sz="0" w:space="0" w:color="auto"/>
          </w:divBdr>
        </w:div>
        <w:div w:id="1959481138">
          <w:marLeft w:val="0"/>
          <w:marRight w:val="0"/>
          <w:marTop w:val="0"/>
          <w:marBottom w:val="150"/>
          <w:divBdr>
            <w:top w:val="none" w:sz="0" w:space="0" w:color="auto"/>
            <w:left w:val="none" w:sz="0" w:space="0" w:color="auto"/>
            <w:bottom w:val="none" w:sz="0" w:space="0" w:color="auto"/>
            <w:right w:val="none" w:sz="0" w:space="0" w:color="auto"/>
          </w:divBdr>
        </w:div>
      </w:divsChild>
    </w:div>
    <w:div w:id="535316938">
      <w:bodyDiv w:val="1"/>
      <w:marLeft w:val="0"/>
      <w:marRight w:val="0"/>
      <w:marTop w:val="0"/>
      <w:marBottom w:val="0"/>
      <w:divBdr>
        <w:top w:val="none" w:sz="0" w:space="0" w:color="auto"/>
        <w:left w:val="none" w:sz="0" w:space="0" w:color="auto"/>
        <w:bottom w:val="none" w:sz="0" w:space="0" w:color="auto"/>
        <w:right w:val="none" w:sz="0" w:space="0" w:color="auto"/>
      </w:divBdr>
      <w:divsChild>
        <w:div w:id="1459688640">
          <w:marLeft w:val="0"/>
          <w:marRight w:val="0"/>
          <w:marTop w:val="0"/>
          <w:marBottom w:val="0"/>
          <w:divBdr>
            <w:top w:val="none" w:sz="0" w:space="0" w:color="auto"/>
            <w:left w:val="none" w:sz="0" w:space="0" w:color="auto"/>
            <w:bottom w:val="none" w:sz="0" w:space="0" w:color="auto"/>
            <w:right w:val="none" w:sz="0" w:space="0" w:color="auto"/>
          </w:divBdr>
        </w:div>
      </w:divsChild>
    </w:div>
    <w:div w:id="535389832">
      <w:bodyDiv w:val="1"/>
      <w:marLeft w:val="0"/>
      <w:marRight w:val="0"/>
      <w:marTop w:val="0"/>
      <w:marBottom w:val="0"/>
      <w:divBdr>
        <w:top w:val="none" w:sz="0" w:space="0" w:color="auto"/>
        <w:left w:val="none" w:sz="0" w:space="0" w:color="auto"/>
        <w:bottom w:val="none" w:sz="0" w:space="0" w:color="auto"/>
        <w:right w:val="none" w:sz="0" w:space="0" w:color="auto"/>
      </w:divBdr>
    </w:div>
    <w:div w:id="535891305">
      <w:bodyDiv w:val="1"/>
      <w:marLeft w:val="0"/>
      <w:marRight w:val="0"/>
      <w:marTop w:val="0"/>
      <w:marBottom w:val="0"/>
      <w:divBdr>
        <w:top w:val="none" w:sz="0" w:space="0" w:color="auto"/>
        <w:left w:val="none" w:sz="0" w:space="0" w:color="auto"/>
        <w:bottom w:val="none" w:sz="0" w:space="0" w:color="auto"/>
        <w:right w:val="none" w:sz="0" w:space="0" w:color="auto"/>
      </w:divBdr>
      <w:divsChild>
        <w:div w:id="1897009621">
          <w:marLeft w:val="0"/>
          <w:marRight w:val="0"/>
          <w:marTop w:val="0"/>
          <w:marBottom w:val="0"/>
          <w:divBdr>
            <w:top w:val="none" w:sz="0" w:space="0" w:color="auto"/>
            <w:left w:val="none" w:sz="0" w:space="0" w:color="auto"/>
            <w:bottom w:val="dotted" w:sz="6" w:space="4" w:color="DDDDDD"/>
            <w:right w:val="none" w:sz="0" w:space="0" w:color="auto"/>
          </w:divBdr>
        </w:div>
      </w:divsChild>
    </w:div>
    <w:div w:id="536745112">
      <w:bodyDiv w:val="1"/>
      <w:marLeft w:val="0"/>
      <w:marRight w:val="0"/>
      <w:marTop w:val="0"/>
      <w:marBottom w:val="0"/>
      <w:divBdr>
        <w:top w:val="none" w:sz="0" w:space="0" w:color="auto"/>
        <w:left w:val="none" w:sz="0" w:space="0" w:color="auto"/>
        <w:bottom w:val="none" w:sz="0" w:space="0" w:color="auto"/>
        <w:right w:val="none" w:sz="0" w:space="0" w:color="auto"/>
      </w:divBdr>
    </w:div>
    <w:div w:id="536895724">
      <w:bodyDiv w:val="1"/>
      <w:marLeft w:val="0"/>
      <w:marRight w:val="0"/>
      <w:marTop w:val="0"/>
      <w:marBottom w:val="0"/>
      <w:divBdr>
        <w:top w:val="none" w:sz="0" w:space="0" w:color="auto"/>
        <w:left w:val="none" w:sz="0" w:space="0" w:color="auto"/>
        <w:bottom w:val="none" w:sz="0" w:space="0" w:color="auto"/>
        <w:right w:val="none" w:sz="0" w:space="0" w:color="auto"/>
      </w:divBdr>
      <w:divsChild>
        <w:div w:id="1286959109">
          <w:marLeft w:val="0"/>
          <w:marRight w:val="0"/>
          <w:marTop w:val="0"/>
          <w:marBottom w:val="0"/>
          <w:divBdr>
            <w:top w:val="none" w:sz="0" w:space="0" w:color="auto"/>
            <w:left w:val="none" w:sz="0" w:space="0" w:color="auto"/>
            <w:bottom w:val="none" w:sz="0" w:space="0" w:color="auto"/>
            <w:right w:val="none" w:sz="0" w:space="0" w:color="auto"/>
          </w:divBdr>
          <w:divsChild>
            <w:div w:id="1105466184">
              <w:marLeft w:val="0"/>
              <w:marRight w:val="0"/>
              <w:marTop w:val="0"/>
              <w:marBottom w:val="0"/>
              <w:divBdr>
                <w:top w:val="none" w:sz="0" w:space="0" w:color="auto"/>
                <w:left w:val="none" w:sz="0" w:space="0" w:color="auto"/>
                <w:bottom w:val="none" w:sz="0" w:space="0" w:color="auto"/>
                <w:right w:val="none" w:sz="0" w:space="0" w:color="auto"/>
              </w:divBdr>
              <w:divsChild>
                <w:div w:id="1262833751">
                  <w:marLeft w:val="0"/>
                  <w:marRight w:val="0"/>
                  <w:marTop w:val="0"/>
                  <w:marBottom w:val="150"/>
                  <w:divBdr>
                    <w:top w:val="none" w:sz="0" w:space="0" w:color="auto"/>
                    <w:left w:val="none" w:sz="0" w:space="0" w:color="auto"/>
                    <w:bottom w:val="none" w:sz="0" w:space="0" w:color="auto"/>
                    <w:right w:val="none" w:sz="0" w:space="0" w:color="auto"/>
                  </w:divBdr>
                  <w:divsChild>
                    <w:div w:id="404493359">
                      <w:marLeft w:val="0"/>
                      <w:marRight w:val="0"/>
                      <w:marTop w:val="0"/>
                      <w:marBottom w:val="0"/>
                      <w:divBdr>
                        <w:top w:val="none" w:sz="0" w:space="0" w:color="auto"/>
                        <w:left w:val="none" w:sz="0" w:space="0" w:color="auto"/>
                        <w:bottom w:val="none" w:sz="0" w:space="0" w:color="auto"/>
                        <w:right w:val="none" w:sz="0" w:space="0" w:color="auto"/>
                      </w:divBdr>
                      <w:divsChild>
                        <w:div w:id="93523496">
                          <w:marLeft w:val="0"/>
                          <w:marRight w:val="0"/>
                          <w:marTop w:val="0"/>
                          <w:marBottom w:val="0"/>
                          <w:divBdr>
                            <w:top w:val="none" w:sz="0" w:space="0" w:color="auto"/>
                            <w:left w:val="none" w:sz="0" w:space="0" w:color="auto"/>
                            <w:bottom w:val="none" w:sz="0" w:space="0" w:color="auto"/>
                            <w:right w:val="none" w:sz="0" w:space="0" w:color="auto"/>
                          </w:divBdr>
                          <w:divsChild>
                            <w:div w:id="1696150485">
                              <w:marLeft w:val="0"/>
                              <w:marRight w:val="0"/>
                              <w:marTop w:val="0"/>
                              <w:marBottom w:val="0"/>
                              <w:divBdr>
                                <w:top w:val="none" w:sz="0" w:space="0" w:color="auto"/>
                                <w:left w:val="none" w:sz="0" w:space="0" w:color="auto"/>
                                <w:bottom w:val="none" w:sz="0" w:space="0" w:color="auto"/>
                                <w:right w:val="none" w:sz="0" w:space="0" w:color="auto"/>
                              </w:divBdr>
                              <w:divsChild>
                                <w:div w:id="1061633308">
                                  <w:marLeft w:val="0"/>
                                  <w:marRight w:val="0"/>
                                  <w:marTop w:val="0"/>
                                  <w:marBottom w:val="0"/>
                                  <w:divBdr>
                                    <w:top w:val="none" w:sz="0" w:space="0" w:color="auto"/>
                                    <w:left w:val="none" w:sz="0" w:space="0" w:color="auto"/>
                                    <w:bottom w:val="none" w:sz="0" w:space="0" w:color="auto"/>
                                    <w:right w:val="none" w:sz="0" w:space="0" w:color="auto"/>
                                  </w:divBdr>
                                  <w:divsChild>
                                    <w:div w:id="1929653716">
                                      <w:marLeft w:val="0"/>
                                      <w:marRight w:val="0"/>
                                      <w:marTop w:val="0"/>
                                      <w:marBottom w:val="0"/>
                                      <w:divBdr>
                                        <w:top w:val="none" w:sz="0" w:space="0" w:color="auto"/>
                                        <w:left w:val="none" w:sz="0" w:space="0" w:color="auto"/>
                                        <w:bottom w:val="none" w:sz="0" w:space="0" w:color="auto"/>
                                        <w:right w:val="none" w:sz="0" w:space="0" w:color="auto"/>
                                      </w:divBdr>
                                      <w:divsChild>
                                        <w:div w:id="590895246">
                                          <w:marLeft w:val="0"/>
                                          <w:marRight w:val="0"/>
                                          <w:marTop w:val="0"/>
                                          <w:marBottom w:val="0"/>
                                          <w:divBdr>
                                            <w:top w:val="none" w:sz="0" w:space="0" w:color="auto"/>
                                            <w:left w:val="none" w:sz="0" w:space="0" w:color="auto"/>
                                            <w:bottom w:val="none" w:sz="0" w:space="0" w:color="auto"/>
                                            <w:right w:val="none" w:sz="0" w:space="0" w:color="auto"/>
                                          </w:divBdr>
                                          <w:divsChild>
                                            <w:div w:id="1877694911">
                                              <w:marLeft w:val="0"/>
                                              <w:marRight w:val="0"/>
                                              <w:marTop w:val="0"/>
                                              <w:marBottom w:val="0"/>
                                              <w:divBdr>
                                                <w:top w:val="none" w:sz="0" w:space="0" w:color="auto"/>
                                                <w:left w:val="none" w:sz="0" w:space="0" w:color="auto"/>
                                                <w:bottom w:val="none" w:sz="0" w:space="0" w:color="auto"/>
                                                <w:right w:val="none" w:sz="0" w:space="0" w:color="auto"/>
                                              </w:divBdr>
                                              <w:divsChild>
                                                <w:div w:id="156371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7284829">
      <w:bodyDiv w:val="1"/>
      <w:marLeft w:val="0"/>
      <w:marRight w:val="0"/>
      <w:marTop w:val="0"/>
      <w:marBottom w:val="0"/>
      <w:divBdr>
        <w:top w:val="none" w:sz="0" w:space="0" w:color="auto"/>
        <w:left w:val="none" w:sz="0" w:space="0" w:color="auto"/>
        <w:bottom w:val="none" w:sz="0" w:space="0" w:color="auto"/>
        <w:right w:val="none" w:sz="0" w:space="0" w:color="auto"/>
      </w:divBdr>
      <w:divsChild>
        <w:div w:id="29453877">
          <w:marLeft w:val="0"/>
          <w:marRight w:val="0"/>
          <w:marTop w:val="0"/>
          <w:marBottom w:val="0"/>
          <w:divBdr>
            <w:top w:val="none" w:sz="0" w:space="0" w:color="auto"/>
            <w:left w:val="none" w:sz="0" w:space="0" w:color="auto"/>
            <w:bottom w:val="dotted" w:sz="6" w:space="4" w:color="DDDDDD"/>
            <w:right w:val="none" w:sz="0" w:space="0" w:color="auto"/>
          </w:divBdr>
          <w:divsChild>
            <w:div w:id="206952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354386">
      <w:bodyDiv w:val="1"/>
      <w:marLeft w:val="0"/>
      <w:marRight w:val="0"/>
      <w:marTop w:val="0"/>
      <w:marBottom w:val="0"/>
      <w:divBdr>
        <w:top w:val="none" w:sz="0" w:space="0" w:color="auto"/>
        <w:left w:val="none" w:sz="0" w:space="0" w:color="auto"/>
        <w:bottom w:val="none" w:sz="0" w:space="0" w:color="auto"/>
        <w:right w:val="none" w:sz="0" w:space="0" w:color="auto"/>
      </w:divBdr>
      <w:divsChild>
        <w:div w:id="83112628">
          <w:marLeft w:val="0"/>
          <w:marRight w:val="0"/>
          <w:marTop w:val="0"/>
          <w:marBottom w:val="450"/>
          <w:divBdr>
            <w:top w:val="none" w:sz="0" w:space="0" w:color="auto"/>
            <w:left w:val="none" w:sz="0" w:space="0" w:color="auto"/>
            <w:bottom w:val="single" w:sz="6" w:space="19" w:color="EEEEEE"/>
            <w:right w:val="none" w:sz="0" w:space="0" w:color="auto"/>
          </w:divBdr>
          <w:divsChild>
            <w:div w:id="755127191">
              <w:marLeft w:val="0"/>
              <w:marRight w:val="0"/>
              <w:marTop w:val="0"/>
              <w:marBottom w:val="150"/>
              <w:divBdr>
                <w:top w:val="none" w:sz="0" w:space="0" w:color="auto"/>
                <w:left w:val="none" w:sz="0" w:space="0" w:color="auto"/>
                <w:bottom w:val="none" w:sz="0" w:space="0" w:color="auto"/>
                <w:right w:val="none" w:sz="0" w:space="0" w:color="auto"/>
              </w:divBdr>
              <w:divsChild>
                <w:div w:id="2096397028">
                  <w:marLeft w:val="0"/>
                  <w:marRight w:val="0"/>
                  <w:marTop w:val="0"/>
                  <w:marBottom w:val="0"/>
                  <w:divBdr>
                    <w:top w:val="none" w:sz="0" w:space="0" w:color="auto"/>
                    <w:left w:val="none" w:sz="0" w:space="0" w:color="auto"/>
                    <w:bottom w:val="none" w:sz="0" w:space="0" w:color="auto"/>
                    <w:right w:val="none" w:sz="0" w:space="0" w:color="auto"/>
                  </w:divBdr>
                </w:div>
              </w:divsChild>
            </w:div>
            <w:div w:id="1568028649">
              <w:marLeft w:val="0"/>
              <w:marRight w:val="0"/>
              <w:marTop w:val="0"/>
              <w:marBottom w:val="0"/>
              <w:divBdr>
                <w:top w:val="none" w:sz="0" w:space="0" w:color="auto"/>
                <w:left w:val="none" w:sz="0" w:space="0" w:color="auto"/>
                <w:bottom w:val="none" w:sz="0" w:space="0" w:color="auto"/>
                <w:right w:val="none" w:sz="0" w:space="0" w:color="auto"/>
              </w:divBdr>
            </w:div>
          </w:divsChild>
        </w:div>
        <w:div w:id="376660646">
          <w:marLeft w:val="0"/>
          <w:marRight w:val="0"/>
          <w:marTop w:val="0"/>
          <w:marBottom w:val="0"/>
          <w:divBdr>
            <w:top w:val="none" w:sz="0" w:space="0" w:color="auto"/>
            <w:left w:val="none" w:sz="0" w:space="0" w:color="auto"/>
            <w:bottom w:val="none" w:sz="0" w:space="0" w:color="auto"/>
            <w:right w:val="none" w:sz="0" w:space="0" w:color="auto"/>
          </w:divBdr>
          <w:divsChild>
            <w:div w:id="1551958570">
              <w:marLeft w:val="0"/>
              <w:marRight w:val="0"/>
              <w:marTop w:val="0"/>
              <w:marBottom w:val="0"/>
              <w:divBdr>
                <w:top w:val="none" w:sz="0" w:space="0" w:color="auto"/>
                <w:left w:val="none" w:sz="0" w:space="0" w:color="auto"/>
                <w:bottom w:val="none" w:sz="0" w:space="0" w:color="auto"/>
                <w:right w:val="none" w:sz="0" w:space="0" w:color="auto"/>
              </w:divBdr>
              <w:divsChild>
                <w:div w:id="164064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399701">
      <w:bodyDiv w:val="1"/>
      <w:marLeft w:val="0"/>
      <w:marRight w:val="0"/>
      <w:marTop w:val="0"/>
      <w:marBottom w:val="0"/>
      <w:divBdr>
        <w:top w:val="none" w:sz="0" w:space="0" w:color="auto"/>
        <w:left w:val="none" w:sz="0" w:space="0" w:color="auto"/>
        <w:bottom w:val="none" w:sz="0" w:space="0" w:color="auto"/>
        <w:right w:val="none" w:sz="0" w:space="0" w:color="auto"/>
      </w:divBdr>
      <w:divsChild>
        <w:div w:id="1414862894">
          <w:marLeft w:val="0"/>
          <w:marRight w:val="0"/>
          <w:marTop w:val="0"/>
          <w:marBottom w:val="0"/>
          <w:divBdr>
            <w:top w:val="none" w:sz="0" w:space="0" w:color="auto"/>
            <w:left w:val="none" w:sz="0" w:space="0" w:color="auto"/>
            <w:bottom w:val="none" w:sz="0" w:space="0" w:color="auto"/>
            <w:right w:val="none" w:sz="0" w:space="0" w:color="auto"/>
          </w:divBdr>
        </w:div>
        <w:div w:id="1890873127">
          <w:marLeft w:val="0"/>
          <w:marRight w:val="0"/>
          <w:marTop w:val="0"/>
          <w:marBottom w:val="0"/>
          <w:divBdr>
            <w:top w:val="none" w:sz="0" w:space="0" w:color="auto"/>
            <w:left w:val="none" w:sz="0" w:space="0" w:color="auto"/>
            <w:bottom w:val="none" w:sz="0" w:space="0" w:color="auto"/>
            <w:right w:val="none" w:sz="0" w:space="0" w:color="auto"/>
          </w:divBdr>
        </w:div>
      </w:divsChild>
    </w:div>
    <w:div w:id="537666650">
      <w:bodyDiv w:val="1"/>
      <w:marLeft w:val="0"/>
      <w:marRight w:val="0"/>
      <w:marTop w:val="0"/>
      <w:marBottom w:val="0"/>
      <w:divBdr>
        <w:top w:val="none" w:sz="0" w:space="0" w:color="auto"/>
        <w:left w:val="none" w:sz="0" w:space="0" w:color="auto"/>
        <w:bottom w:val="none" w:sz="0" w:space="0" w:color="auto"/>
        <w:right w:val="none" w:sz="0" w:space="0" w:color="auto"/>
      </w:divBdr>
      <w:divsChild>
        <w:div w:id="260913564">
          <w:marLeft w:val="0"/>
          <w:marRight w:val="0"/>
          <w:marTop w:val="0"/>
          <w:marBottom w:val="150"/>
          <w:divBdr>
            <w:top w:val="none" w:sz="0" w:space="0" w:color="auto"/>
            <w:left w:val="none" w:sz="0" w:space="0" w:color="auto"/>
            <w:bottom w:val="none" w:sz="0" w:space="0" w:color="auto"/>
            <w:right w:val="none" w:sz="0" w:space="0" w:color="auto"/>
          </w:divBdr>
        </w:div>
      </w:divsChild>
    </w:div>
    <w:div w:id="537669575">
      <w:bodyDiv w:val="1"/>
      <w:marLeft w:val="0"/>
      <w:marRight w:val="0"/>
      <w:marTop w:val="0"/>
      <w:marBottom w:val="0"/>
      <w:divBdr>
        <w:top w:val="none" w:sz="0" w:space="0" w:color="auto"/>
        <w:left w:val="none" w:sz="0" w:space="0" w:color="auto"/>
        <w:bottom w:val="none" w:sz="0" w:space="0" w:color="auto"/>
        <w:right w:val="none" w:sz="0" w:space="0" w:color="auto"/>
      </w:divBdr>
    </w:div>
    <w:div w:id="538057412">
      <w:bodyDiv w:val="1"/>
      <w:marLeft w:val="0"/>
      <w:marRight w:val="0"/>
      <w:marTop w:val="0"/>
      <w:marBottom w:val="0"/>
      <w:divBdr>
        <w:top w:val="none" w:sz="0" w:space="0" w:color="auto"/>
        <w:left w:val="none" w:sz="0" w:space="0" w:color="auto"/>
        <w:bottom w:val="none" w:sz="0" w:space="0" w:color="auto"/>
        <w:right w:val="none" w:sz="0" w:space="0" w:color="auto"/>
      </w:divBdr>
    </w:div>
    <w:div w:id="538513377">
      <w:bodyDiv w:val="1"/>
      <w:marLeft w:val="0"/>
      <w:marRight w:val="0"/>
      <w:marTop w:val="0"/>
      <w:marBottom w:val="0"/>
      <w:divBdr>
        <w:top w:val="none" w:sz="0" w:space="0" w:color="auto"/>
        <w:left w:val="none" w:sz="0" w:space="0" w:color="auto"/>
        <w:bottom w:val="none" w:sz="0" w:space="0" w:color="auto"/>
        <w:right w:val="none" w:sz="0" w:space="0" w:color="auto"/>
      </w:divBdr>
      <w:divsChild>
        <w:div w:id="1065419133">
          <w:marLeft w:val="0"/>
          <w:marRight w:val="0"/>
          <w:marTop w:val="0"/>
          <w:marBottom w:val="0"/>
          <w:divBdr>
            <w:top w:val="none" w:sz="0" w:space="0" w:color="auto"/>
            <w:left w:val="none" w:sz="0" w:space="0" w:color="auto"/>
            <w:bottom w:val="none" w:sz="0" w:space="0" w:color="auto"/>
            <w:right w:val="none" w:sz="0" w:space="0" w:color="auto"/>
          </w:divBdr>
          <w:divsChild>
            <w:div w:id="2024357253">
              <w:marLeft w:val="0"/>
              <w:marRight w:val="0"/>
              <w:marTop w:val="0"/>
              <w:marBottom w:val="0"/>
              <w:divBdr>
                <w:top w:val="none" w:sz="0" w:space="0" w:color="auto"/>
                <w:left w:val="none" w:sz="0" w:space="0" w:color="auto"/>
                <w:bottom w:val="none" w:sz="0" w:space="0" w:color="auto"/>
                <w:right w:val="none" w:sz="0" w:space="0" w:color="auto"/>
              </w:divBdr>
              <w:divsChild>
                <w:div w:id="709300018">
                  <w:marLeft w:val="0"/>
                  <w:marRight w:val="0"/>
                  <w:marTop w:val="0"/>
                  <w:marBottom w:val="0"/>
                  <w:divBdr>
                    <w:top w:val="none" w:sz="0" w:space="0" w:color="auto"/>
                    <w:left w:val="none" w:sz="0" w:space="0" w:color="auto"/>
                    <w:bottom w:val="none" w:sz="0" w:space="0" w:color="auto"/>
                    <w:right w:val="none" w:sz="0" w:space="0" w:color="auto"/>
                  </w:divBdr>
                  <w:divsChild>
                    <w:div w:id="593980411">
                      <w:marLeft w:val="0"/>
                      <w:marRight w:val="0"/>
                      <w:marTop w:val="0"/>
                      <w:marBottom w:val="0"/>
                      <w:divBdr>
                        <w:top w:val="none" w:sz="0" w:space="0" w:color="auto"/>
                        <w:left w:val="none" w:sz="0" w:space="0" w:color="auto"/>
                        <w:bottom w:val="none" w:sz="0" w:space="0" w:color="auto"/>
                        <w:right w:val="none" w:sz="0" w:space="0" w:color="auto"/>
                      </w:divBdr>
                      <w:divsChild>
                        <w:div w:id="1923833460">
                          <w:marLeft w:val="0"/>
                          <w:marRight w:val="0"/>
                          <w:marTop w:val="0"/>
                          <w:marBottom w:val="0"/>
                          <w:divBdr>
                            <w:top w:val="none" w:sz="0" w:space="0" w:color="auto"/>
                            <w:left w:val="none" w:sz="0" w:space="0" w:color="auto"/>
                            <w:bottom w:val="none" w:sz="0" w:space="0" w:color="auto"/>
                            <w:right w:val="none" w:sz="0" w:space="0" w:color="auto"/>
                          </w:divBdr>
                          <w:divsChild>
                            <w:div w:id="1714116494">
                              <w:marLeft w:val="0"/>
                              <w:marRight w:val="0"/>
                              <w:marTop w:val="0"/>
                              <w:marBottom w:val="0"/>
                              <w:divBdr>
                                <w:top w:val="none" w:sz="0" w:space="0" w:color="auto"/>
                                <w:left w:val="none" w:sz="0" w:space="0" w:color="auto"/>
                                <w:bottom w:val="none" w:sz="0" w:space="0" w:color="auto"/>
                                <w:right w:val="none" w:sz="0" w:space="0" w:color="auto"/>
                              </w:divBdr>
                              <w:divsChild>
                                <w:div w:id="2071492295">
                                  <w:marLeft w:val="0"/>
                                  <w:marRight w:val="0"/>
                                  <w:marTop w:val="0"/>
                                  <w:marBottom w:val="0"/>
                                  <w:divBdr>
                                    <w:top w:val="none" w:sz="0" w:space="0" w:color="auto"/>
                                    <w:left w:val="none" w:sz="0" w:space="0" w:color="auto"/>
                                    <w:bottom w:val="none" w:sz="0" w:space="0" w:color="auto"/>
                                    <w:right w:val="none" w:sz="0" w:space="0" w:color="auto"/>
                                  </w:divBdr>
                                  <w:divsChild>
                                    <w:div w:id="560288633">
                                      <w:marLeft w:val="0"/>
                                      <w:marRight w:val="0"/>
                                      <w:marTop w:val="0"/>
                                      <w:marBottom w:val="0"/>
                                      <w:divBdr>
                                        <w:top w:val="none" w:sz="0" w:space="0" w:color="auto"/>
                                        <w:left w:val="none" w:sz="0" w:space="0" w:color="auto"/>
                                        <w:bottom w:val="none" w:sz="0" w:space="0" w:color="auto"/>
                                        <w:right w:val="none" w:sz="0" w:space="0" w:color="auto"/>
                                      </w:divBdr>
                                      <w:divsChild>
                                        <w:div w:id="5401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8515332">
      <w:bodyDiv w:val="1"/>
      <w:marLeft w:val="0"/>
      <w:marRight w:val="0"/>
      <w:marTop w:val="0"/>
      <w:marBottom w:val="0"/>
      <w:divBdr>
        <w:top w:val="none" w:sz="0" w:space="0" w:color="auto"/>
        <w:left w:val="none" w:sz="0" w:space="0" w:color="auto"/>
        <w:bottom w:val="none" w:sz="0" w:space="0" w:color="auto"/>
        <w:right w:val="none" w:sz="0" w:space="0" w:color="auto"/>
      </w:divBdr>
    </w:div>
    <w:div w:id="539125466">
      <w:bodyDiv w:val="1"/>
      <w:marLeft w:val="0"/>
      <w:marRight w:val="0"/>
      <w:marTop w:val="0"/>
      <w:marBottom w:val="0"/>
      <w:divBdr>
        <w:top w:val="none" w:sz="0" w:space="0" w:color="auto"/>
        <w:left w:val="none" w:sz="0" w:space="0" w:color="auto"/>
        <w:bottom w:val="none" w:sz="0" w:space="0" w:color="auto"/>
        <w:right w:val="none" w:sz="0" w:space="0" w:color="auto"/>
      </w:divBdr>
      <w:divsChild>
        <w:div w:id="707486471">
          <w:marLeft w:val="0"/>
          <w:marRight w:val="0"/>
          <w:marTop w:val="0"/>
          <w:marBottom w:val="0"/>
          <w:divBdr>
            <w:top w:val="none" w:sz="0" w:space="0" w:color="auto"/>
            <w:left w:val="none" w:sz="0" w:space="0" w:color="auto"/>
            <w:bottom w:val="none" w:sz="0" w:space="0" w:color="auto"/>
            <w:right w:val="none" w:sz="0" w:space="0" w:color="auto"/>
          </w:divBdr>
          <w:divsChild>
            <w:div w:id="1926571939">
              <w:marLeft w:val="0"/>
              <w:marRight w:val="0"/>
              <w:marTop w:val="0"/>
              <w:marBottom w:val="0"/>
              <w:divBdr>
                <w:top w:val="none" w:sz="0" w:space="0" w:color="auto"/>
                <w:left w:val="none" w:sz="0" w:space="0" w:color="auto"/>
                <w:bottom w:val="none" w:sz="0" w:space="0" w:color="auto"/>
                <w:right w:val="none" w:sz="0" w:space="0" w:color="auto"/>
              </w:divBdr>
              <w:divsChild>
                <w:div w:id="1897234227">
                  <w:marLeft w:val="0"/>
                  <w:marRight w:val="0"/>
                  <w:marTop w:val="0"/>
                  <w:marBottom w:val="0"/>
                  <w:divBdr>
                    <w:top w:val="none" w:sz="0" w:space="0" w:color="auto"/>
                    <w:left w:val="none" w:sz="0" w:space="0" w:color="auto"/>
                    <w:bottom w:val="none" w:sz="0" w:space="0" w:color="auto"/>
                    <w:right w:val="none" w:sz="0" w:space="0" w:color="auto"/>
                  </w:divBdr>
                  <w:divsChild>
                    <w:div w:id="1706052299">
                      <w:marLeft w:val="0"/>
                      <w:marRight w:val="0"/>
                      <w:marTop w:val="0"/>
                      <w:marBottom w:val="0"/>
                      <w:divBdr>
                        <w:top w:val="none" w:sz="0" w:space="0" w:color="auto"/>
                        <w:left w:val="none" w:sz="0" w:space="0" w:color="auto"/>
                        <w:bottom w:val="none" w:sz="0" w:space="0" w:color="auto"/>
                        <w:right w:val="none" w:sz="0" w:space="0" w:color="auto"/>
                      </w:divBdr>
                      <w:divsChild>
                        <w:div w:id="553392913">
                          <w:marLeft w:val="0"/>
                          <w:marRight w:val="0"/>
                          <w:marTop w:val="0"/>
                          <w:marBottom w:val="0"/>
                          <w:divBdr>
                            <w:top w:val="none" w:sz="0" w:space="0" w:color="auto"/>
                            <w:left w:val="none" w:sz="0" w:space="0" w:color="auto"/>
                            <w:bottom w:val="none" w:sz="0" w:space="0" w:color="auto"/>
                            <w:right w:val="none" w:sz="0" w:space="0" w:color="auto"/>
                          </w:divBdr>
                          <w:divsChild>
                            <w:div w:id="1315599295">
                              <w:marLeft w:val="0"/>
                              <w:marRight w:val="0"/>
                              <w:marTop w:val="0"/>
                              <w:marBottom w:val="0"/>
                              <w:divBdr>
                                <w:top w:val="none" w:sz="0" w:space="0" w:color="auto"/>
                                <w:left w:val="none" w:sz="0" w:space="0" w:color="auto"/>
                                <w:bottom w:val="none" w:sz="0" w:space="0" w:color="auto"/>
                                <w:right w:val="none" w:sz="0" w:space="0" w:color="auto"/>
                              </w:divBdr>
                              <w:divsChild>
                                <w:div w:id="134378232">
                                  <w:marLeft w:val="0"/>
                                  <w:marRight w:val="0"/>
                                  <w:marTop w:val="0"/>
                                  <w:marBottom w:val="0"/>
                                  <w:divBdr>
                                    <w:top w:val="none" w:sz="0" w:space="0" w:color="auto"/>
                                    <w:left w:val="none" w:sz="0" w:space="0" w:color="auto"/>
                                    <w:bottom w:val="none" w:sz="0" w:space="0" w:color="auto"/>
                                    <w:right w:val="none" w:sz="0" w:space="0" w:color="auto"/>
                                  </w:divBdr>
                                  <w:divsChild>
                                    <w:div w:id="111536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9130991">
      <w:bodyDiv w:val="1"/>
      <w:marLeft w:val="0"/>
      <w:marRight w:val="0"/>
      <w:marTop w:val="0"/>
      <w:marBottom w:val="0"/>
      <w:divBdr>
        <w:top w:val="none" w:sz="0" w:space="0" w:color="auto"/>
        <w:left w:val="none" w:sz="0" w:space="0" w:color="auto"/>
        <w:bottom w:val="none" w:sz="0" w:space="0" w:color="auto"/>
        <w:right w:val="none" w:sz="0" w:space="0" w:color="auto"/>
      </w:divBdr>
    </w:div>
    <w:div w:id="539241205">
      <w:bodyDiv w:val="1"/>
      <w:marLeft w:val="0"/>
      <w:marRight w:val="0"/>
      <w:marTop w:val="0"/>
      <w:marBottom w:val="0"/>
      <w:divBdr>
        <w:top w:val="none" w:sz="0" w:space="0" w:color="auto"/>
        <w:left w:val="none" w:sz="0" w:space="0" w:color="auto"/>
        <w:bottom w:val="none" w:sz="0" w:space="0" w:color="auto"/>
        <w:right w:val="none" w:sz="0" w:space="0" w:color="auto"/>
      </w:divBdr>
    </w:div>
    <w:div w:id="539440889">
      <w:bodyDiv w:val="1"/>
      <w:marLeft w:val="0"/>
      <w:marRight w:val="0"/>
      <w:marTop w:val="0"/>
      <w:marBottom w:val="0"/>
      <w:divBdr>
        <w:top w:val="none" w:sz="0" w:space="0" w:color="auto"/>
        <w:left w:val="none" w:sz="0" w:space="0" w:color="auto"/>
        <w:bottom w:val="none" w:sz="0" w:space="0" w:color="auto"/>
        <w:right w:val="none" w:sz="0" w:space="0" w:color="auto"/>
      </w:divBdr>
      <w:divsChild>
        <w:div w:id="1581216403">
          <w:marLeft w:val="0"/>
          <w:marRight w:val="0"/>
          <w:marTop w:val="0"/>
          <w:marBottom w:val="0"/>
          <w:divBdr>
            <w:top w:val="none" w:sz="0" w:space="0" w:color="auto"/>
            <w:left w:val="none" w:sz="0" w:space="0" w:color="auto"/>
            <w:bottom w:val="none" w:sz="0" w:space="0" w:color="auto"/>
            <w:right w:val="none" w:sz="0" w:space="0" w:color="auto"/>
          </w:divBdr>
          <w:divsChild>
            <w:div w:id="65541321">
              <w:marLeft w:val="0"/>
              <w:marRight w:val="0"/>
              <w:marTop w:val="0"/>
              <w:marBottom w:val="0"/>
              <w:divBdr>
                <w:top w:val="none" w:sz="0" w:space="0" w:color="auto"/>
                <w:left w:val="none" w:sz="0" w:space="0" w:color="auto"/>
                <w:bottom w:val="none" w:sz="0" w:space="0" w:color="auto"/>
                <w:right w:val="none" w:sz="0" w:space="0" w:color="auto"/>
              </w:divBdr>
              <w:divsChild>
                <w:div w:id="1647081364">
                  <w:marLeft w:val="0"/>
                  <w:marRight w:val="0"/>
                  <w:marTop w:val="0"/>
                  <w:marBottom w:val="0"/>
                  <w:divBdr>
                    <w:top w:val="none" w:sz="0" w:space="0" w:color="auto"/>
                    <w:left w:val="none" w:sz="0" w:space="0" w:color="auto"/>
                    <w:bottom w:val="none" w:sz="0" w:space="0" w:color="auto"/>
                    <w:right w:val="none" w:sz="0" w:space="0" w:color="auto"/>
                  </w:divBdr>
                  <w:divsChild>
                    <w:div w:id="1901162319">
                      <w:marLeft w:val="0"/>
                      <w:marRight w:val="0"/>
                      <w:marTop w:val="0"/>
                      <w:marBottom w:val="0"/>
                      <w:divBdr>
                        <w:top w:val="none" w:sz="0" w:space="0" w:color="auto"/>
                        <w:left w:val="none" w:sz="0" w:space="0" w:color="auto"/>
                        <w:bottom w:val="none" w:sz="0" w:space="0" w:color="auto"/>
                        <w:right w:val="none" w:sz="0" w:space="0" w:color="auto"/>
                      </w:divBdr>
                      <w:divsChild>
                        <w:div w:id="1918972280">
                          <w:marLeft w:val="0"/>
                          <w:marRight w:val="0"/>
                          <w:marTop w:val="0"/>
                          <w:marBottom w:val="0"/>
                          <w:divBdr>
                            <w:top w:val="none" w:sz="0" w:space="0" w:color="auto"/>
                            <w:left w:val="none" w:sz="0" w:space="0" w:color="auto"/>
                            <w:bottom w:val="none" w:sz="0" w:space="0" w:color="auto"/>
                            <w:right w:val="none" w:sz="0" w:space="0" w:color="auto"/>
                          </w:divBdr>
                          <w:divsChild>
                            <w:div w:id="1376076961">
                              <w:marLeft w:val="0"/>
                              <w:marRight w:val="0"/>
                              <w:marTop w:val="0"/>
                              <w:marBottom w:val="0"/>
                              <w:divBdr>
                                <w:top w:val="none" w:sz="0" w:space="0" w:color="auto"/>
                                <w:left w:val="none" w:sz="0" w:space="0" w:color="auto"/>
                                <w:bottom w:val="none" w:sz="0" w:space="0" w:color="auto"/>
                                <w:right w:val="none" w:sz="0" w:space="0" w:color="auto"/>
                              </w:divBdr>
                              <w:divsChild>
                                <w:div w:id="283541201">
                                  <w:marLeft w:val="0"/>
                                  <w:marRight w:val="0"/>
                                  <w:marTop w:val="0"/>
                                  <w:marBottom w:val="0"/>
                                  <w:divBdr>
                                    <w:top w:val="none" w:sz="0" w:space="0" w:color="auto"/>
                                    <w:left w:val="none" w:sz="0" w:space="0" w:color="auto"/>
                                    <w:bottom w:val="none" w:sz="0" w:space="0" w:color="auto"/>
                                    <w:right w:val="none" w:sz="0" w:space="0" w:color="auto"/>
                                  </w:divBdr>
                                  <w:divsChild>
                                    <w:div w:id="164091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9590017">
      <w:bodyDiv w:val="1"/>
      <w:marLeft w:val="0"/>
      <w:marRight w:val="0"/>
      <w:marTop w:val="0"/>
      <w:marBottom w:val="0"/>
      <w:divBdr>
        <w:top w:val="none" w:sz="0" w:space="0" w:color="auto"/>
        <w:left w:val="none" w:sz="0" w:space="0" w:color="auto"/>
        <w:bottom w:val="none" w:sz="0" w:space="0" w:color="auto"/>
        <w:right w:val="none" w:sz="0" w:space="0" w:color="auto"/>
      </w:divBdr>
      <w:divsChild>
        <w:div w:id="550309303">
          <w:marLeft w:val="0"/>
          <w:marRight w:val="0"/>
          <w:marTop w:val="0"/>
          <w:marBottom w:val="0"/>
          <w:divBdr>
            <w:top w:val="none" w:sz="0" w:space="0" w:color="auto"/>
            <w:left w:val="none" w:sz="0" w:space="0" w:color="auto"/>
            <w:bottom w:val="dotted" w:sz="6" w:space="4" w:color="DDDDDD"/>
            <w:right w:val="none" w:sz="0" w:space="0" w:color="auto"/>
          </w:divBdr>
        </w:div>
      </w:divsChild>
    </w:div>
    <w:div w:id="539707138">
      <w:bodyDiv w:val="1"/>
      <w:marLeft w:val="0"/>
      <w:marRight w:val="0"/>
      <w:marTop w:val="0"/>
      <w:marBottom w:val="0"/>
      <w:divBdr>
        <w:top w:val="none" w:sz="0" w:space="0" w:color="auto"/>
        <w:left w:val="none" w:sz="0" w:space="0" w:color="auto"/>
        <w:bottom w:val="none" w:sz="0" w:space="0" w:color="auto"/>
        <w:right w:val="none" w:sz="0" w:space="0" w:color="auto"/>
      </w:divBdr>
      <w:divsChild>
        <w:div w:id="536623365">
          <w:marLeft w:val="0"/>
          <w:marRight w:val="0"/>
          <w:marTop w:val="0"/>
          <w:marBottom w:val="150"/>
          <w:divBdr>
            <w:top w:val="none" w:sz="0" w:space="0" w:color="auto"/>
            <w:left w:val="none" w:sz="0" w:space="0" w:color="auto"/>
            <w:bottom w:val="none" w:sz="0" w:space="0" w:color="auto"/>
            <w:right w:val="none" w:sz="0" w:space="0" w:color="auto"/>
          </w:divBdr>
        </w:div>
      </w:divsChild>
    </w:div>
    <w:div w:id="539783723">
      <w:bodyDiv w:val="1"/>
      <w:marLeft w:val="0"/>
      <w:marRight w:val="0"/>
      <w:marTop w:val="0"/>
      <w:marBottom w:val="0"/>
      <w:divBdr>
        <w:top w:val="none" w:sz="0" w:space="0" w:color="auto"/>
        <w:left w:val="none" w:sz="0" w:space="0" w:color="auto"/>
        <w:bottom w:val="none" w:sz="0" w:space="0" w:color="auto"/>
        <w:right w:val="none" w:sz="0" w:space="0" w:color="auto"/>
      </w:divBdr>
    </w:div>
    <w:div w:id="540019605">
      <w:bodyDiv w:val="1"/>
      <w:marLeft w:val="0"/>
      <w:marRight w:val="0"/>
      <w:marTop w:val="0"/>
      <w:marBottom w:val="0"/>
      <w:divBdr>
        <w:top w:val="none" w:sz="0" w:space="0" w:color="auto"/>
        <w:left w:val="none" w:sz="0" w:space="0" w:color="auto"/>
        <w:bottom w:val="none" w:sz="0" w:space="0" w:color="auto"/>
        <w:right w:val="none" w:sz="0" w:space="0" w:color="auto"/>
      </w:divBdr>
      <w:divsChild>
        <w:div w:id="1025866324">
          <w:marLeft w:val="0"/>
          <w:marRight w:val="0"/>
          <w:marTop w:val="0"/>
          <w:marBottom w:val="150"/>
          <w:divBdr>
            <w:top w:val="none" w:sz="0" w:space="0" w:color="auto"/>
            <w:left w:val="none" w:sz="0" w:space="0" w:color="auto"/>
            <w:bottom w:val="none" w:sz="0" w:space="0" w:color="auto"/>
            <w:right w:val="none" w:sz="0" w:space="0" w:color="auto"/>
          </w:divBdr>
        </w:div>
      </w:divsChild>
    </w:div>
    <w:div w:id="540095583">
      <w:bodyDiv w:val="1"/>
      <w:marLeft w:val="0"/>
      <w:marRight w:val="0"/>
      <w:marTop w:val="0"/>
      <w:marBottom w:val="0"/>
      <w:divBdr>
        <w:top w:val="none" w:sz="0" w:space="0" w:color="auto"/>
        <w:left w:val="none" w:sz="0" w:space="0" w:color="auto"/>
        <w:bottom w:val="none" w:sz="0" w:space="0" w:color="auto"/>
        <w:right w:val="none" w:sz="0" w:space="0" w:color="auto"/>
      </w:divBdr>
    </w:div>
    <w:div w:id="540746063">
      <w:bodyDiv w:val="1"/>
      <w:marLeft w:val="0"/>
      <w:marRight w:val="0"/>
      <w:marTop w:val="0"/>
      <w:marBottom w:val="0"/>
      <w:divBdr>
        <w:top w:val="none" w:sz="0" w:space="0" w:color="auto"/>
        <w:left w:val="none" w:sz="0" w:space="0" w:color="auto"/>
        <w:bottom w:val="none" w:sz="0" w:space="0" w:color="auto"/>
        <w:right w:val="none" w:sz="0" w:space="0" w:color="auto"/>
      </w:divBdr>
      <w:divsChild>
        <w:div w:id="522478456">
          <w:marLeft w:val="0"/>
          <w:marRight w:val="0"/>
          <w:marTop w:val="0"/>
          <w:marBottom w:val="150"/>
          <w:divBdr>
            <w:top w:val="none" w:sz="0" w:space="0" w:color="auto"/>
            <w:left w:val="none" w:sz="0" w:space="0" w:color="auto"/>
            <w:bottom w:val="none" w:sz="0" w:space="0" w:color="auto"/>
            <w:right w:val="none" w:sz="0" w:space="0" w:color="auto"/>
          </w:divBdr>
        </w:div>
      </w:divsChild>
    </w:div>
    <w:div w:id="540946969">
      <w:bodyDiv w:val="1"/>
      <w:marLeft w:val="0"/>
      <w:marRight w:val="0"/>
      <w:marTop w:val="0"/>
      <w:marBottom w:val="0"/>
      <w:divBdr>
        <w:top w:val="none" w:sz="0" w:space="0" w:color="auto"/>
        <w:left w:val="none" w:sz="0" w:space="0" w:color="auto"/>
        <w:bottom w:val="none" w:sz="0" w:space="0" w:color="auto"/>
        <w:right w:val="none" w:sz="0" w:space="0" w:color="auto"/>
      </w:divBdr>
    </w:div>
    <w:div w:id="541018250">
      <w:bodyDiv w:val="1"/>
      <w:marLeft w:val="0"/>
      <w:marRight w:val="0"/>
      <w:marTop w:val="0"/>
      <w:marBottom w:val="0"/>
      <w:divBdr>
        <w:top w:val="none" w:sz="0" w:space="0" w:color="auto"/>
        <w:left w:val="none" w:sz="0" w:space="0" w:color="auto"/>
        <w:bottom w:val="none" w:sz="0" w:space="0" w:color="auto"/>
        <w:right w:val="none" w:sz="0" w:space="0" w:color="auto"/>
      </w:divBdr>
    </w:div>
    <w:div w:id="541524722">
      <w:bodyDiv w:val="1"/>
      <w:marLeft w:val="0"/>
      <w:marRight w:val="0"/>
      <w:marTop w:val="0"/>
      <w:marBottom w:val="0"/>
      <w:divBdr>
        <w:top w:val="none" w:sz="0" w:space="0" w:color="auto"/>
        <w:left w:val="none" w:sz="0" w:space="0" w:color="auto"/>
        <w:bottom w:val="none" w:sz="0" w:space="0" w:color="auto"/>
        <w:right w:val="none" w:sz="0" w:space="0" w:color="auto"/>
      </w:divBdr>
      <w:divsChild>
        <w:div w:id="836724238">
          <w:marLeft w:val="0"/>
          <w:marRight w:val="0"/>
          <w:marTop w:val="0"/>
          <w:marBottom w:val="150"/>
          <w:divBdr>
            <w:top w:val="none" w:sz="0" w:space="0" w:color="auto"/>
            <w:left w:val="none" w:sz="0" w:space="0" w:color="auto"/>
            <w:bottom w:val="none" w:sz="0" w:space="0" w:color="auto"/>
            <w:right w:val="none" w:sz="0" w:space="0" w:color="auto"/>
          </w:divBdr>
        </w:div>
        <w:div w:id="1253856813">
          <w:marLeft w:val="0"/>
          <w:marRight w:val="0"/>
          <w:marTop w:val="0"/>
          <w:marBottom w:val="0"/>
          <w:divBdr>
            <w:top w:val="none" w:sz="0" w:space="0" w:color="auto"/>
            <w:left w:val="none" w:sz="0" w:space="0" w:color="auto"/>
            <w:bottom w:val="none" w:sz="0" w:space="0" w:color="auto"/>
            <w:right w:val="none" w:sz="0" w:space="0" w:color="auto"/>
          </w:divBdr>
          <w:divsChild>
            <w:div w:id="462578840">
              <w:marLeft w:val="0"/>
              <w:marRight w:val="0"/>
              <w:marTop w:val="225"/>
              <w:marBottom w:val="225"/>
              <w:divBdr>
                <w:top w:val="none" w:sz="0" w:space="0" w:color="auto"/>
                <w:left w:val="none" w:sz="0" w:space="0" w:color="auto"/>
                <w:bottom w:val="none" w:sz="0" w:space="0" w:color="auto"/>
                <w:right w:val="none" w:sz="0" w:space="0" w:color="auto"/>
              </w:divBdr>
            </w:div>
          </w:divsChild>
        </w:div>
        <w:div w:id="1376583791">
          <w:marLeft w:val="0"/>
          <w:marRight w:val="0"/>
          <w:marTop w:val="0"/>
          <w:marBottom w:val="150"/>
          <w:divBdr>
            <w:top w:val="none" w:sz="0" w:space="0" w:color="auto"/>
            <w:left w:val="none" w:sz="0" w:space="0" w:color="auto"/>
            <w:bottom w:val="none" w:sz="0" w:space="0" w:color="auto"/>
            <w:right w:val="none" w:sz="0" w:space="0" w:color="auto"/>
          </w:divBdr>
          <w:divsChild>
            <w:div w:id="41179027">
              <w:marLeft w:val="0"/>
              <w:marRight w:val="0"/>
              <w:marTop w:val="0"/>
              <w:marBottom w:val="0"/>
              <w:divBdr>
                <w:top w:val="none" w:sz="0" w:space="0" w:color="auto"/>
                <w:left w:val="none" w:sz="0" w:space="0" w:color="auto"/>
                <w:bottom w:val="none" w:sz="0" w:space="0" w:color="auto"/>
                <w:right w:val="none" w:sz="0" w:space="0" w:color="auto"/>
              </w:divBdr>
              <w:divsChild>
                <w:div w:id="157496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748387">
      <w:bodyDiv w:val="1"/>
      <w:marLeft w:val="0"/>
      <w:marRight w:val="0"/>
      <w:marTop w:val="0"/>
      <w:marBottom w:val="0"/>
      <w:divBdr>
        <w:top w:val="none" w:sz="0" w:space="0" w:color="auto"/>
        <w:left w:val="none" w:sz="0" w:space="0" w:color="auto"/>
        <w:bottom w:val="none" w:sz="0" w:space="0" w:color="auto"/>
        <w:right w:val="none" w:sz="0" w:space="0" w:color="auto"/>
      </w:divBdr>
      <w:divsChild>
        <w:div w:id="729771413">
          <w:marLeft w:val="0"/>
          <w:marRight w:val="0"/>
          <w:marTop w:val="0"/>
          <w:marBottom w:val="0"/>
          <w:divBdr>
            <w:top w:val="none" w:sz="0" w:space="0" w:color="auto"/>
            <w:left w:val="none" w:sz="0" w:space="0" w:color="auto"/>
            <w:bottom w:val="none" w:sz="0" w:space="0" w:color="auto"/>
            <w:right w:val="none" w:sz="0" w:space="0" w:color="auto"/>
          </w:divBdr>
        </w:div>
      </w:divsChild>
    </w:div>
    <w:div w:id="541863535">
      <w:bodyDiv w:val="1"/>
      <w:marLeft w:val="0"/>
      <w:marRight w:val="0"/>
      <w:marTop w:val="0"/>
      <w:marBottom w:val="0"/>
      <w:divBdr>
        <w:top w:val="none" w:sz="0" w:space="0" w:color="auto"/>
        <w:left w:val="none" w:sz="0" w:space="0" w:color="auto"/>
        <w:bottom w:val="none" w:sz="0" w:space="0" w:color="auto"/>
        <w:right w:val="none" w:sz="0" w:space="0" w:color="auto"/>
      </w:divBdr>
      <w:divsChild>
        <w:div w:id="157623131">
          <w:marLeft w:val="0"/>
          <w:marRight w:val="0"/>
          <w:marTop w:val="0"/>
          <w:marBottom w:val="150"/>
          <w:divBdr>
            <w:top w:val="none" w:sz="0" w:space="0" w:color="auto"/>
            <w:left w:val="none" w:sz="0" w:space="0" w:color="auto"/>
            <w:bottom w:val="none" w:sz="0" w:space="0" w:color="auto"/>
            <w:right w:val="none" w:sz="0" w:space="0" w:color="auto"/>
          </w:divBdr>
          <w:divsChild>
            <w:div w:id="400755763">
              <w:marLeft w:val="0"/>
              <w:marRight w:val="0"/>
              <w:marTop w:val="0"/>
              <w:marBottom w:val="0"/>
              <w:divBdr>
                <w:top w:val="none" w:sz="0" w:space="0" w:color="auto"/>
                <w:left w:val="none" w:sz="0" w:space="0" w:color="auto"/>
                <w:bottom w:val="none" w:sz="0" w:space="0" w:color="auto"/>
                <w:right w:val="none" w:sz="0" w:space="0" w:color="auto"/>
              </w:divBdr>
              <w:divsChild>
                <w:div w:id="124788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94768">
          <w:marLeft w:val="0"/>
          <w:marRight w:val="0"/>
          <w:marTop w:val="0"/>
          <w:marBottom w:val="0"/>
          <w:divBdr>
            <w:top w:val="none" w:sz="0" w:space="0" w:color="auto"/>
            <w:left w:val="none" w:sz="0" w:space="0" w:color="auto"/>
            <w:bottom w:val="none" w:sz="0" w:space="0" w:color="auto"/>
            <w:right w:val="none" w:sz="0" w:space="0" w:color="auto"/>
          </w:divBdr>
          <w:divsChild>
            <w:div w:id="1500581868">
              <w:marLeft w:val="0"/>
              <w:marRight w:val="0"/>
              <w:marTop w:val="0"/>
              <w:marBottom w:val="150"/>
              <w:divBdr>
                <w:top w:val="none" w:sz="0" w:space="0" w:color="auto"/>
                <w:left w:val="none" w:sz="0" w:space="0" w:color="auto"/>
                <w:bottom w:val="none" w:sz="0" w:space="0" w:color="auto"/>
                <w:right w:val="none" w:sz="0" w:space="0" w:color="auto"/>
              </w:divBdr>
            </w:div>
            <w:div w:id="1905289810">
              <w:marLeft w:val="0"/>
              <w:marRight w:val="0"/>
              <w:marTop w:val="0"/>
              <w:marBottom w:val="0"/>
              <w:divBdr>
                <w:top w:val="none" w:sz="0" w:space="0" w:color="auto"/>
                <w:left w:val="none" w:sz="0" w:space="0" w:color="auto"/>
                <w:bottom w:val="none" w:sz="0" w:space="0" w:color="auto"/>
                <w:right w:val="none" w:sz="0" w:space="0" w:color="auto"/>
              </w:divBdr>
              <w:divsChild>
                <w:div w:id="530456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542256648">
      <w:bodyDiv w:val="1"/>
      <w:marLeft w:val="0"/>
      <w:marRight w:val="0"/>
      <w:marTop w:val="0"/>
      <w:marBottom w:val="0"/>
      <w:divBdr>
        <w:top w:val="none" w:sz="0" w:space="0" w:color="auto"/>
        <w:left w:val="none" w:sz="0" w:space="0" w:color="auto"/>
        <w:bottom w:val="none" w:sz="0" w:space="0" w:color="auto"/>
        <w:right w:val="none" w:sz="0" w:space="0" w:color="auto"/>
      </w:divBdr>
      <w:divsChild>
        <w:div w:id="1286276424">
          <w:marLeft w:val="0"/>
          <w:marRight w:val="0"/>
          <w:marTop w:val="0"/>
          <w:marBottom w:val="0"/>
          <w:divBdr>
            <w:top w:val="none" w:sz="0" w:space="0" w:color="auto"/>
            <w:left w:val="none" w:sz="0" w:space="0" w:color="auto"/>
            <w:bottom w:val="none" w:sz="0" w:space="0" w:color="auto"/>
            <w:right w:val="none" w:sz="0" w:space="0" w:color="auto"/>
          </w:divBdr>
          <w:divsChild>
            <w:div w:id="1983582621">
              <w:marLeft w:val="0"/>
              <w:marRight w:val="0"/>
              <w:marTop w:val="0"/>
              <w:marBottom w:val="0"/>
              <w:divBdr>
                <w:top w:val="none" w:sz="0" w:space="0" w:color="auto"/>
                <w:left w:val="none" w:sz="0" w:space="0" w:color="auto"/>
                <w:bottom w:val="none" w:sz="0" w:space="0" w:color="auto"/>
                <w:right w:val="none" w:sz="0" w:space="0" w:color="auto"/>
              </w:divBdr>
              <w:divsChild>
                <w:div w:id="209539284">
                  <w:marLeft w:val="0"/>
                  <w:marRight w:val="0"/>
                  <w:marTop w:val="0"/>
                  <w:marBottom w:val="0"/>
                  <w:divBdr>
                    <w:top w:val="none" w:sz="0" w:space="0" w:color="auto"/>
                    <w:left w:val="none" w:sz="0" w:space="0" w:color="auto"/>
                    <w:bottom w:val="none" w:sz="0" w:space="0" w:color="auto"/>
                    <w:right w:val="none" w:sz="0" w:space="0" w:color="auto"/>
                  </w:divBdr>
                  <w:divsChild>
                    <w:div w:id="1660695366">
                      <w:marLeft w:val="0"/>
                      <w:marRight w:val="0"/>
                      <w:marTop w:val="0"/>
                      <w:marBottom w:val="0"/>
                      <w:divBdr>
                        <w:top w:val="none" w:sz="0" w:space="0" w:color="auto"/>
                        <w:left w:val="none" w:sz="0" w:space="0" w:color="auto"/>
                        <w:bottom w:val="none" w:sz="0" w:space="0" w:color="auto"/>
                        <w:right w:val="none" w:sz="0" w:space="0" w:color="auto"/>
                      </w:divBdr>
                      <w:divsChild>
                        <w:div w:id="1664508110">
                          <w:marLeft w:val="0"/>
                          <w:marRight w:val="0"/>
                          <w:marTop w:val="0"/>
                          <w:marBottom w:val="0"/>
                          <w:divBdr>
                            <w:top w:val="none" w:sz="0" w:space="0" w:color="auto"/>
                            <w:left w:val="none" w:sz="0" w:space="0" w:color="auto"/>
                            <w:bottom w:val="none" w:sz="0" w:space="0" w:color="auto"/>
                            <w:right w:val="none" w:sz="0" w:space="0" w:color="auto"/>
                          </w:divBdr>
                          <w:divsChild>
                            <w:div w:id="82694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519889">
      <w:bodyDiv w:val="1"/>
      <w:marLeft w:val="0"/>
      <w:marRight w:val="0"/>
      <w:marTop w:val="0"/>
      <w:marBottom w:val="0"/>
      <w:divBdr>
        <w:top w:val="none" w:sz="0" w:space="0" w:color="auto"/>
        <w:left w:val="none" w:sz="0" w:space="0" w:color="auto"/>
        <w:bottom w:val="none" w:sz="0" w:space="0" w:color="auto"/>
        <w:right w:val="none" w:sz="0" w:space="0" w:color="auto"/>
      </w:divBdr>
      <w:divsChild>
        <w:div w:id="432675823">
          <w:marLeft w:val="0"/>
          <w:marRight w:val="0"/>
          <w:marTop w:val="0"/>
          <w:marBottom w:val="150"/>
          <w:divBdr>
            <w:top w:val="none" w:sz="0" w:space="0" w:color="auto"/>
            <w:left w:val="none" w:sz="0" w:space="0" w:color="auto"/>
            <w:bottom w:val="none" w:sz="0" w:space="0" w:color="auto"/>
            <w:right w:val="none" w:sz="0" w:space="0" w:color="auto"/>
          </w:divBdr>
        </w:div>
      </w:divsChild>
    </w:div>
    <w:div w:id="542639292">
      <w:bodyDiv w:val="1"/>
      <w:marLeft w:val="0"/>
      <w:marRight w:val="0"/>
      <w:marTop w:val="0"/>
      <w:marBottom w:val="0"/>
      <w:divBdr>
        <w:top w:val="none" w:sz="0" w:space="0" w:color="auto"/>
        <w:left w:val="none" w:sz="0" w:space="0" w:color="auto"/>
        <w:bottom w:val="none" w:sz="0" w:space="0" w:color="auto"/>
        <w:right w:val="none" w:sz="0" w:space="0" w:color="auto"/>
      </w:divBdr>
      <w:divsChild>
        <w:div w:id="1276402004">
          <w:marLeft w:val="0"/>
          <w:marRight w:val="0"/>
          <w:marTop w:val="0"/>
          <w:marBottom w:val="150"/>
          <w:divBdr>
            <w:top w:val="none" w:sz="0" w:space="0" w:color="auto"/>
            <w:left w:val="none" w:sz="0" w:space="0" w:color="auto"/>
            <w:bottom w:val="none" w:sz="0" w:space="0" w:color="auto"/>
            <w:right w:val="none" w:sz="0" w:space="0" w:color="auto"/>
          </w:divBdr>
        </w:div>
        <w:div w:id="1776711349">
          <w:marLeft w:val="0"/>
          <w:marRight w:val="0"/>
          <w:marTop w:val="0"/>
          <w:marBottom w:val="0"/>
          <w:divBdr>
            <w:top w:val="none" w:sz="0" w:space="0" w:color="auto"/>
            <w:left w:val="none" w:sz="0" w:space="0" w:color="auto"/>
            <w:bottom w:val="none" w:sz="0" w:space="0" w:color="auto"/>
            <w:right w:val="none" w:sz="0" w:space="0" w:color="auto"/>
          </w:divBdr>
          <w:divsChild>
            <w:div w:id="317534208">
              <w:marLeft w:val="0"/>
              <w:marRight w:val="0"/>
              <w:marTop w:val="0"/>
              <w:marBottom w:val="0"/>
              <w:divBdr>
                <w:top w:val="none" w:sz="0" w:space="0" w:color="auto"/>
                <w:left w:val="none" w:sz="0" w:space="0" w:color="auto"/>
                <w:bottom w:val="none" w:sz="0" w:space="0" w:color="auto"/>
                <w:right w:val="none" w:sz="0" w:space="0" w:color="auto"/>
              </w:divBdr>
            </w:div>
            <w:div w:id="33634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35688">
      <w:bodyDiv w:val="1"/>
      <w:marLeft w:val="0"/>
      <w:marRight w:val="0"/>
      <w:marTop w:val="0"/>
      <w:marBottom w:val="0"/>
      <w:divBdr>
        <w:top w:val="none" w:sz="0" w:space="0" w:color="auto"/>
        <w:left w:val="none" w:sz="0" w:space="0" w:color="auto"/>
        <w:bottom w:val="none" w:sz="0" w:space="0" w:color="auto"/>
        <w:right w:val="none" w:sz="0" w:space="0" w:color="auto"/>
      </w:divBdr>
      <w:divsChild>
        <w:div w:id="1785687726">
          <w:marLeft w:val="0"/>
          <w:marRight w:val="0"/>
          <w:marTop w:val="0"/>
          <w:marBottom w:val="0"/>
          <w:divBdr>
            <w:top w:val="none" w:sz="0" w:space="0" w:color="auto"/>
            <w:left w:val="none" w:sz="0" w:space="0" w:color="auto"/>
            <w:bottom w:val="none" w:sz="0" w:space="0" w:color="auto"/>
            <w:right w:val="none" w:sz="0" w:space="0" w:color="auto"/>
          </w:divBdr>
          <w:divsChild>
            <w:div w:id="956527536">
              <w:marLeft w:val="0"/>
              <w:marRight w:val="0"/>
              <w:marTop w:val="0"/>
              <w:marBottom w:val="150"/>
              <w:divBdr>
                <w:top w:val="none" w:sz="0" w:space="0" w:color="auto"/>
                <w:left w:val="none" w:sz="0" w:space="0" w:color="auto"/>
                <w:bottom w:val="none" w:sz="0" w:space="0" w:color="auto"/>
                <w:right w:val="none" w:sz="0" w:space="0" w:color="auto"/>
              </w:divBdr>
            </w:div>
            <w:div w:id="11585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65055">
      <w:bodyDiv w:val="1"/>
      <w:marLeft w:val="0"/>
      <w:marRight w:val="0"/>
      <w:marTop w:val="0"/>
      <w:marBottom w:val="0"/>
      <w:divBdr>
        <w:top w:val="none" w:sz="0" w:space="0" w:color="auto"/>
        <w:left w:val="none" w:sz="0" w:space="0" w:color="auto"/>
        <w:bottom w:val="none" w:sz="0" w:space="0" w:color="auto"/>
        <w:right w:val="none" w:sz="0" w:space="0" w:color="auto"/>
      </w:divBdr>
    </w:div>
    <w:div w:id="543059347">
      <w:bodyDiv w:val="1"/>
      <w:marLeft w:val="0"/>
      <w:marRight w:val="0"/>
      <w:marTop w:val="0"/>
      <w:marBottom w:val="0"/>
      <w:divBdr>
        <w:top w:val="none" w:sz="0" w:space="0" w:color="auto"/>
        <w:left w:val="none" w:sz="0" w:space="0" w:color="auto"/>
        <w:bottom w:val="none" w:sz="0" w:space="0" w:color="auto"/>
        <w:right w:val="none" w:sz="0" w:space="0" w:color="auto"/>
      </w:divBdr>
      <w:divsChild>
        <w:div w:id="800615649">
          <w:marLeft w:val="0"/>
          <w:marRight w:val="0"/>
          <w:marTop w:val="0"/>
          <w:marBottom w:val="0"/>
          <w:divBdr>
            <w:top w:val="none" w:sz="0" w:space="0" w:color="auto"/>
            <w:left w:val="none" w:sz="0" w:space="0" w:color="auto"/>
            <w:bottom w:val="dotted" w:sz="6" w:space="4" w:color="DDDDDD"/>
            <w:right w:val="none" w:sz="0" w:space="0" w:color="auto"/>
          </w:divBdr>
        </w:div>
      </w:divsChild>
    </w:div>
    <w:div w:id="543835062">
      <w:bodyDiv w:val="1"/>
      <w:marLeft w:val="0"/>
      <w:marRight w:val="0"/>
      <w:marTop w:val="0"/>
      <w:marBottom w:val="0"/>
      <w:divBdr>
        <w:top w:val="none" w:sz="0" w:space="0" w:color="auto"/>
        <w:left w:val="none" w:sz="0" w:space="0" w:color="auto"/>
        <w:bottom w:val="none" w:sz="0" w:space="0" w:color="auto"/>
        <w:right w:val="none" w:sz="0" w:space="0" w:color="auto"/>
      </w:divBdr>
      <w:divsChild>
        <w:div w:id="2138644219">
          <w:marLeft w:val="0"/>
          <w:marRight w:val="0"/>
          <w:marTop w:val="0"/>
          <w:marBottom w:val="0"/>
          <w:divBdr>
            <w:top w:val="none" w:sz="0" w:space="0" w:color="auto"/>
            <w:left w:val="none" w:sz="0" w:space="0" w:color="auto"/>
            <w:bottom w:val="none" w:sz="0" w:space="0" w:color="auto"/>
            <w:right w:val="none" w:sz="0" w:space="0" w:color="auto"/>
          </w:divBdr>
          <w:divsChild>
            <w:div w:id="564880881">
              <w:marLeft w:val="0"/>
              <w:marRight w:val="0"/>
              <w:marTop w:val="0"/>
              <w:marBottom w:val="0"/>
              <w:divBdr>
                <w:top w:val="none" w:sz="0" w:space="0" w:color="auto"/>
                <w:left w:val="none" w:sz="0" w:space="0" w:color="auto"/>
                <w:bottom w:val="none" w:sz="0" w:space="0" w:color="auto"/>
                <w:right w:val="none" w:sz="0" w:space="0" w:color="auto"/>
              </w:divBdr>
              <w:divsChild>
                <w:div w:id="1651058128">
                  <w:marLeft w:val="0"/>
                  <w:marRight w:val="0"/>
                  <w:marTop w:val="0"/>
                  <w:marBottom w:val="0"/>
                  <w:divBdr>
                    <w:top w:val="none" w:sz="0" w:space="0" w:color="auto"/>
                    <w:left w:val="none" w:sz="0" w:space="0" w:color="auto"/>
                    <w:bottom w:val="none" w:sz="0" w:space="0" w:color="auto"/>
                    <w:right w:val="none" w:sz="0" w:space="0" w:color="auto"/>
                  </w:divBdr>
                  <w:divsChild>
                    <w:div w:id="1435320060">
                      <w:marLeft w:val="0"/>
                      <w:marRight w:val="0"/>
                      <w:marTop w:val="0"/>
                      <w:marBottom w:val="0"/>
                      <w:divBdr>
                        <w:top w:val="none" w:sz="0" w:space="0" w:color="auto"/>
                        <w:left w:val="none" w:sz="0" w:space="0" w:color="auto"/>
                        <w:bottom w:val="none" w:sz="0" w:space="0" w:color="auto"/>
                        <w:right w:val="none" w:sz="0" w:space="0" w:color="auto"/>
                      </w:divBdr>
                      <w:divsChild>
                        <w:div w:id="480276009">
                          <w:marLeft w:val="0"/>
                          <w:marRight w:val="0"/>
                          <w:marTop w:val="0"/>
                          <w:marBottom w:val="0"/>
                          <w:divBdr>
                            <w:top w:val="none" w:sz="0" w:space="0" w:color="auto"/>
                            <w:left w:val="none" w:sz="0" w:space="0" w:color="auto"/>
                            <w:bottom w:val="none" w:sz="0" w:space="0" w:color="auto"/>
                            <w:right w:val="none" w:sz="0" w:space="0" w:color="auto"/>
                          </w:divBdr>
                          <w:divsChild>
                            <w:div w:id="1902474816">
                              <w:marLeft w:val="0"/>
                              <w:marRight w:val="0"/>
                              <w:marTop w:val="0"/>
                              <w:marBottom w:val="0"/>
                              <w:divBdr>
                                <w:top w:val="none" w:sz="0" w:space="0" w:color="auto"/>
                                <w:left w:val="none" w:sz="0" w:space="0" w:color="auto"/>
                                <w:bottom w:val="none" w:sz="0" w:space="0" w:color="auto"/>
                                <w:right w:val="none" w:sz="0" w:space="0" w:color="auto"/>
                              </w:divBdr>
                              <w:divsChild>
                                <w:div w:id="346911942">
                                  <w:marLeft w:val="0"/>
                                  <w:marRight w:val="0"/>
                                  <w:marTop w:val="0"/>
                                  <w:marBottom w:val="0"/>
                                  <w:divBdr>
                                    <w:top w:val="none" w:sz="0" w:space="0" w:color="auto"/>
                                    <w:left w:val="none" w:sz="0" w:space="0" w:color="auto"/>
                                    <w:bottom w:val="none" w:sz="0" w:space="0" w:color="auto"/>
                                    <w:right w:val="none" w:sz="0" w:space="0" w:color="auto"/>
                                  </w:divBdr>
                                  <w:divsChild>
                                    <w:div w:id="1021787231">
                                      <w:marLeft w:val="0"/>
                                      <w:marRight w:val="0"/>
                                      <w:marTop w:val="0"/>
                                      <w:marBottom w:val="0"/>
                                      <w:divBdr>
                                        <w:top w:val="none" w:sz="0" w:space="0" w:color="auto"/>
                                        <w:left w:val="none" w:sz="0" w:space="0" w:color="auto"/>
                                        <w:bottom w:val="none" w:sz="0" w:space="0" w:color="auto"/>
                                        <w:right w:val="none" w:sz="0" w:space="0" w:color="auto"/>
                                      </w:divBdr>
                                      <w:divsChild>
                                        <w:div w:id="720522851">
                                          <w:marLeft w:val="0"/>
                                          <w:marRight w:val="0"/>
                                          <w:marTop w:val="0"/>
                                          <w:marBottom w:val="0"/>
                                          <w:divBdr>
                                            <w:top w:val="none" w:sz="0" w:space="0" w:color="auto"/>
                                            <w:left w:val="none" w:sz="0" w:space="0" w:color="auto"/>
                                            <w:bottom w:val="none" w:sz="0" w:space="0" w:color="auto"/>
                                            <w:right w:val="none" w:sz="0" w:space="0" w:color="auto"/>
                                          </w:divBdr>
                                        </w:div>
                                        <w:div w:id="745298758">
                                          <w:marLeft w:val="0"/>
                                          <w:marRight w:val="0"/>
                                          <w:marTop w:val="0"/>
                                          <w:marBottom w:val="0"/>
                                          <w:divBdr>
                                            <w:top w:val="none" w:sz="0" w:space="0" w:color="auto"/>
                                            <w:left w:val="none" w:sz="0" w:space="0" w:color="auto"/>
                                            <w:bottom w:val="none" w:sz="0" w:space="0" w:color="auto"/>
                                            <w:right w:val="none" w:sz="0" w:space="0" w:color="auto"/>
                                          </w:divBdr>
                                        </w:div>
                                      </w:divsChild>
                                    </w:div>
                                    <w:div w:id="1946885312">
                                      <w:marLeft w:val="0"/>
                                      <w:marRight w:val="0"/>
                                      <w:marTop w:val="0"/>
                                      <w:marBottom w:val="0"/>
                                      <w:divBdr>
                                        <w:top w:val="none" w:sz="0" w:space="0" w:color="auto"/>
                                        <w:left w:val="none" w:sz="0" w:space="0" w:color="auto"/>
                                        <w:bottom w:val="none" w:sz="0" w:space="0" w:color="auto"/>
                                        <w:right w:val="none" w:sz="0" w:space="0" w:color="auto"/>
                                      </w:divBdr>
                                      <w:divsChild>
                                        <w:div w:id="3373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3907626">
      <w:bodyDiv w:val="1"/>
      <w:marLeft w:val="0"/>
      <w:marRight w:val="0"/>
      <w:marTop w:val="0"/>
      <w:marBottom w:val="0"/>
      <w:divBdr>
        <w:top w:val="none" w:sz="0" w:space="0" w:color="auto"/>
        <w:left w:val="none" w:sz="0" w:space="0" w:color="auto"/>
        <w:bottom w:val="none" w:sz="0" w:space="0" w:color="auto"/>
        <w:right w:val="none" w:sz="0" w:space="0" w:color="auto"/>
      </w:divBdr>
      <w:divsChild>
        <w:div w:id="375202292">
          <w:marLeft w:val="0"/>
          <w:marRight w:val="0"/>
          <w:marTop w:val="0"/>
          <w:marBottom w:val="0"/>
          <w:divBdr>
            <w:top w:val="none" w:sz="0" w:space="0" w:color="auto"/>
            <w:left w:val="none" w:sz="0" w:space="0" w:color="auto"/>
            <w:bottom w:val="none" w:sz="0" w:space="0" w:color="auto"/>
            <w:right w:val="none" w:sz="0" w:space="0" w:color="auto"/>
          </w:divBdr>
          <w:divsChild>
            <w:div w:id="132144185">
              <w:marLeft w:val="0"/>
              <w:marRight w:val="0"/>
              <w:marTop w:val="0"/>
              <w:marBottom w:val="0"/>
              <w:divBdr>
                <w:top w:val="none" w:sz="0" w:space="0" w:color="auto"/>
                <w:left w:val="none" w:sz="0" w:space="0" w:color="auto"/>
                <w:bottom w:val="none" w:sz="0" w:space="0" w:color="auto"/>
                <w:right w:val="none" w:sz="0" w:space="0" w:color="auto"/>
              </w:divBdr>
              <w:divsChild>
                <w:div w:id="1914122647">
                  <w:marLeft w:val="0"/>
                  <w:marRight w:val="0"/>
                  <w:marTop w:val="0"/>
                  <w:marBottom w:val="0"/>
                  <w:divBdr>
                    <w:top w:val="none" w:sz="0" w:space="0" w:color="auto"/>
                    <w:left w:val="none" w:sz="0" w:space="0" w:color="auto"/>
                    <w:bottom w:val="none" w:sz="0" w:space="0" w:color="auto"/>
                    <w:right w:val="none" w:sz="0" w:space="0" w:color="auto"/>
                  </w:divBdr>
                  <w:divsChild>
                    <w:div w:id="809202429">
                      <w:marLeft w:val="0"/>
                      <w:marRight w:val="0"/>
                      <w:marTop w:val="0"/>
                      <w:marBottom w:val="0"/>
                      <w:divBdr>
                        <w:top w:val="none" w:sz="0" w:space="0" w:color="auto"/>
                        <w:left w:val="none" w:sz="0" w:space="0" w:color="auto"/>
                        <w:bottom w:val="none" w:sz="0" w:space="0" w:color="auto"/>
                        <w:right w:val="none" w:sz="0" w:space="0" w:color="auto"/>
                      </w:divBdr>
                      <w:divsChild>
                        <w:div w:id="1701583918">
                          <w:marLeft w:val="0"/>
                          <w:marRight w:val="0"/>
                          <w:marTop w:val="0"/>
                          <w:marBottom w:val="0"/>
                          <w:divBdr>
                            <w:top w:val="none" w:sz="0" w:space="0" w:color="auto"/>
                            <w:left w:val="none" w:sz="0" w:space="0" w:color="auto"/>
                            <w:bottom w:val="none" w:sz="0" w:space="0" w:color="auto"/>
                            <w:right w:val="none" w:sz="0" w:space="0" w:color="auto"/>
                          </w:divBdr>
                          <w:divsChild>
                            <w:div w:id="177886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141424">
      <w:bodyDiv w:val="1"/>
      <w:marLeft w:val="0"/>
      <w:marRight w:val="0"/>
      <w:marTop w:val="0"/>
      <w:marBottom w:val="0"/>
      <w:divBdr>
        <w:top w:val="none" w:sz="0" w:space="0" w:color="auto"/>
        <w:left w:val="none" w:sz="0" w:space="0" w:color="auto"/>
        <w:bottom w:val="none" w:sz="0" w:space="0" w:color="auto"/>
        <w:right w:val="none" w:sz="0" w:space="0" w:color="auto"/>
      </w:divBdr>
      <w:divsChild>
        <w:div w:id="383913922">
          <w:marLeft w:val="0"/>
          <w:marRight w:val="0"/>
          <w:marTop w:val="0"/>
          <w:marBottom w:val="0"/>
          <w:divBdr>
            <w:top w:val="none" w:sz="0" w:space="0" w:color="auto"/>
            <w:left w:val="none" w:sz="0" w:space="0" w:color="auto"/>
            <w:bottom w:val="none" w:sz="0" w:space="0" w:color="auto"/>
            <w:right w:val="none" w:sz="0" w:space="0" w:color="auto"/>
          </w:divBdr>
          <w:divsChild>
            <w:div w:id="1147939426">
              <w:marLeft w:val="0"/>
              <w:marRight w:val="0"/>
              <w:marTop w:val="0"/>
              <w:marBottom w:val="0"/>
              <w:divBdr>
                <w:top w:val="none" w:sz="0" w:space="0" w:color="auto"/>
                <w:left w:val="none" w:sz="0" w:space="0" w:color="auto"/>
                <w:bottom w:val="none" w:sz="0" w:space="0" w:color="auto"/>
                <w:right w:val="none" w:sz="0" w:space="0" w:color="auto"/>
              </w:divBdr>
              <w:divsChild>
                <w:div w:id="120274019">
                  <w:marLeft w:val="0"/>
                  <w:marRight w:val="0"/>
                  <w:marTop w:val="0"/>
                  <w:marBottom w:val="0"/>
                  <w:divBdr>
                    <w:top w:val="none" w:sz="0" w:space="0" w:color="auto"/>
                    <w:left w:val="none" w:sz="0" w:space="0" w:color="auto"/>
                    <w:bottom w:val="none" w:sz="0" w:space="0" w:color="auto"/>
                    <w:right w:val="none" w:sz="0" w:space="0" w:color="auto"/>
                  </w:divBdr>
                  <w:divsChild>
                    <w:div w:id="244808236">
                      <w:marLeft w:val="0"/>
                      <w:marRight w:val="0"/>
                      <w:marTop w:val="0"/>
                      <w:marBottom w:val="0"/>
                      <w:divBdr>
                        <w:top w:val="none" w:sz="0" w:space="0" w:color="auto"/>
                        <w:left w:val="none" w:sz="0" w:space="0" w:color="auto"/>
                        <w:bottom w:val="none" w:sz="0" w:space="0" w:color="auto"/>
                        <w:right w:val="none" w:sz="0" w:space="0" w:color="auto"/>
                      </w:divBdr>
                      <w:divsChild>
                        <w:div w:id="1935900665">
                          <w:marLeft w:val="0"/>
                          <w:marRight w:val="0"/>
                          <w:marTop w:val="0"/>
                          <w:marBottom w:val="0"/>
                          <w:divBdr>
                            <w:top w:val="none" w:sz="0" w:space="0" w:color="auto"/>
                            <w:left w:val="none" w:sz="0" w:space="0" w:color="auto"/>
                            <w:bottom w:val="none" w:sz="0" w:space="0" w:color="auto"/>
                            <w:right w:val="none" w:sz="0" w:space="0" w:color="auto"/>
                          </w:divBdr>
                          <w:divsChild>
                            <w:div w:id="1185437825">
                              <w:marLeft w:val="0"/>
                              <w:marRight w:val="0"/>
                              <w:marTop w:val="0"/>
                              <w:marBottom w:val="0"/>
                              <w:divBdr>
                                <w:top w:val="none" w:sz="0" w:space="0" w:color="auto"/>
                                <w:left w:val="none" w:sz="0" w:space="0" w:color="auto"/>
                                <w:bottom w:val="none" w:sz="0" w:space="0" w:color="auto"/>
                                <w:right w:val="none" w:sz="0" w:space="0" w:color="auto"/>
                              </w:divBdr>
                              <w:divsChild>
                                <w:div w:id="867643377">
                                  <w:marLeft w:val="0"/>
                                  <w:marRight w:val="0"/>
                                  <w:marTop w:val="0"/>
                                  <w:marBottom w:val="0"/>
                                  <w:divBdr>
                                    <w:top w:val="none" w:sz="0" w:space="0" w:color="auto"/>
                                    <w:left w:val="none" w:sz="0" w:space="0" w:color="auto"/>
                                    <w:bottom w:val="none" w:sz="0" w:space="0" w:color="auto"/>
                                    <w:right w:val="none" w:sz="0" w:space="0" w:color="auto"/>
                                  </w:divBdr>
                                  <w:divsChild>
                                    <w:div w:id="90187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5527215">
      <w:bodyDiv w:val="1"/>
      <w:marLeft w:val="0"/>
      <w:marRight w:val="0"/>
      <w:marTop w:val="0"/>
      <w:marBottom w:val="0"/>
      <w:divBdr>
        <w:top w:val="none" w:sz="0" w:space="0" w:color="auto"/>
        <w:left w:val="none" w:sz="0" w:space="0" w:color="auto"/>
        <w:bottom w:val="none" w:sz="0" w:space="0" w:color="auto"/>
        <w:right w:val="none" w:sz="0" w:space="0" w:color="auto"/>
      </w:divBdr>
      <w:divsChild>
        <w:div w:id="211423034">
          <w:marLeft w:val="0"/>
          <w:marRight w:val="0"/>
          <w:marTop w:val="0"/>
          <w:marBottom w:val="0"/>
          <w:divBdr>
            <w:top w:val="none" w:sz="0" w:space="0" w:color="auto"/>
            <w:left w:val="none" w:sz="0" w:space="0" w:color="auto"/>
            <w:bottom w:val="dotted" w:sz="6" w:space="4" w:color="DDDDDD"/>
            <w:right w:val="none" w:sz="0" w:space="0" w:color="auto"/>
          </w:divBdr>
          <w:divsChild>
            <w:div w:id="34243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724565">
      <w:bodyDiv w:val="1"/>
      <w:marLeft w:val="0"/>
      <w:marRight w:val="0"/>
      <w:marTop w:val="0"/>
      <w:marBottom w:val="0"/>
      <w:divBdr>
        <w:top w:val="none" w:sz="0" w:space="0" w:color="auto"/>
        <w:left w:val="none" w:sz="0" w:space="0" w:color="auto"/>
        <w:bottom w:val="none" w:sz="0" w:space="0" w:color="auto"/>
        <w:right w:val="none" w:sz="0" w:space="0" w:color="auto"/>
      </w:divBdr>
      <w:divsChild>
        <w:div w:id="171725321">
          <w:marLeft w:val="0"/>
          <w:marRight w:val="0"/>
          <w:marTop w:val="0"/>
          <w:marBottom w:val="150"/>
          <w:divBdr>
            <w:top w:val="none" w:sz="0" w:space="0" w:color="auto"/>
            <w:left w:val="none" w:sz="0" w:space="0" w:color="auto"/>
            <w:bottom w:val="none" w:sz="0" w:space="0" w:color="auto"/>
            <w:right w:val="none" w:sz="0" w:space="0" w:color="auto"/>
          </w:divBdr>
        </w:div>
        <w:div w:id="1690838159">
          <w:marLeft w:val="0"/>
          <w:marRight w:val="0"/>
          <w:marTop w:val="0"/>
          <w:marBottom w:val="0"/>
          <w:divBdr>
            <w:top w:val="none" w:sz="0" w:space="0" w:color="auto"/>
            <w:left w:val="none" w:sz="0" w:space="0" w:color="auto"/>
            <w:bottom w:val="none" w:sz="0" w:space="0" w:color="auto"/>
            <w:right w:val="none" w:sz="0" w:space="0" w:color="auto"/>
          </w:divBdr>
          <w:divsChild>
            <w:div w:id="1276524203">
              <w:marLeft w:val="0"/>
              <w:marRight w:val="0"/>
              <w:marTop w:val="0"/>
              <w:marBottom w:val="0"/>
              <w:divBdr>
                <w:top w:val="none" w:sz="0" w:space="0" w:color="auto"/>
                <w:left w:val="none" w:sz="0" w:space="0" w:color="auto"/>
                <w:bottom w:val="none" w:sz="0" w:space="0" w:color="auto"/>
                <w:right w:val="none" w:sz="0" w:space="0" w:color="auto"/>
              </w:divBdr>
            </w:div>
          </w:divsChild>
        </w:div>
        <w:div w:id="1845437292">
          <w:marLeft w:val="0"/>
          <w:marRight w:val="0"/>
          <w:marTop w:val="0"/>
          <w:marBottom w:val="150"/>
          <w:divBdr>
            <w:top w:val="none" w:sz="0" w:space="0" w:color="auto"/>
            <w:left w:val="none" w:sz="0" w:space="0" w:color="auto"/>
            <w:bottom w:val="none" w:sz="0" w:space="0" w:color="auto"/>
            <w:right w:val="none" w:sz="0" w:space="0" w:color="auto"/>
          </w:divBdr>
          <w:divsChild>
            <w:div w:id="117579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919806">
      <w:bodyDiv w:val="1"/>
      <w:marLeft w:val="0"/>
      <w:marRight w:val="0"/>
      <w:marTop w:val="0"/>
      <w:marBottom w:val="0"/>
      <w:divBdr>
        <w:top w:val="none" w:sz="0" w:space="0" w:color="auto"/>
        <w:left w:val="none" w:sz="0" w:space="0" w:color="auto"/>
        <w:bottom w:val="none" w:sz="0" w:space="0" w:color="auto"/>
        <w:right w:val="none" w:sz="0" w:space="0" w:color="auto"/>
      </w:divBdr>
      <w:divsChild>
        <w:div w:id="1588071567">
          <w:marLeft w:val="0"/>
          <w:marRight w:val="0"/>
          <w:marTop w:val="0"/>
          <w:marBottom w:val="150"/>
          <w:divBdr>
            <w:top w:val="none" w:sz="0" w:space="0" w:color="auto"/>
            <w:left w:val="none" w:sz="0" w:space="0" w:color="auto"/>
            <w:bottom w:val="none" w:sz="0" w:space="0" w:color="auto"/>
            <w:right w:val="none" w:sz="0" w:space="0" w:color="auto"/>
          </w:divBdr>
          <w:divsChild>
            <w:div w:id="624850761">
              <w:marLeft w:val="0"/>
              <w:marRight w:val="0"/>
              <w:marTop w:val="0"/>
              <w:marBottom w:val="0"/>
              <w:divBdr>
                <w:top w:val="none" w:sz="0" w:space="0" w:color="auto"/>
                <w:left w:val="none" w:sz="0" w:space="0" w:color="auto"/>
                <w:bottom w:val="none" w:sz="0" w:space="0" w:color="auto"/>
                <w:right w:val="none" w:sz="0" w:space="0" w:color="auto"/>
              </w:divBdr>
              <w:divsChild>
                <w:div w:id="130423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299242">
          <w:marLeft w:val="0"/>
          <w:marRight w:val="0"/>
          <w:marTop w:val="0"/>
          <w:marBottom w:val="150"/>
          <w:divBdr>
            <w:top w:val="none" w:sz="0" w:space="0" w:color="auto"/>
            <w:left w:val="none" w:sz="0" w:space="0" w:color="auto"/>
            <w:bottom w:val="none" w:sz="0" w:space="0" w:color="auto"/>
            <w:right w:val="none" w:sz="0" w:space="0" w:color="auto"/>
          </w:divBdr>
        </w:div>
        <w:div w:id="450591997">
          <w:marLeft w:val="0"/>
          <w:marRight w:val="0"/>
          <w:marTop w:val="0"/>
          <w:marBottom w:val="0"/>
          <w:divBdr>
            <w:top w:val="none" w:sz="0" w:space="0" w:color="auto"/>
            <w:left w:val="none" w:sz="0" w:space="0" w:color="auto"/>
            <w:bottom w:val="none" w:sz="0" w:space="0" w:color="auto"/>
            <w:right w:val="none" w:sz="0" w:space="0" w:color="auto"/>
          </w:divBdr>
          <w:divsChild>
            <w:div w:id="7598330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45988395">
      <w:bodyDiv w:val="1"/>
      <w:marLeft w:val="0"/>
      <w:marRight w:val="0"/>
      <w:marTop w:val="0"/>
      <w:marBottom w:val="0"/>
      <w:divBdr>
        <w:top w:val="none" w:sz="0" w:space="0" w:color="auto"/>
        <w:left w:val="none" w:sz="0" w:space="0" w:color="auto"/>
        <w:bottom w:val="none" w:sz="0" w:space="0" w:color="auto"/>
        <w:right w:val="none" w:sz="0" w:space="0" w:color="auto"/>
      </w:divBdr>
      <w:divsChild>
        <w:div w:id="381953331">
          <w:marLeft w:val="0"/>
          <w:marRight w:val="0"/>
          <w:marTop w:val="0"/>
          <w:marBottom w:val="0"/>
          <w:divBdr>
            <w:top w:val="none" w:sz="0" w:space="0" w:color="auto"/>
            <w:left w:val="none" w:sz="0" w:space="0" w:color="auto"/>
            <w:bottom w:val="dotted" w:sz="6" w:space="4" w:color="DDDDDD"/>
            <w:right w:val="none" w:sz="0" w:space="0" w:color="auto"/>
          </w:divBdr>
        </w:div>
      </w:divsChild>
    </w:div>
    <w:div w:id="546070649">
      <w:bodyDiv w:val="1"/>
      <w:marLeft w:val="0"/>
      <w:marRight w:val="0"/>
      <w:marTop w:val="0"/>
      <w:marBottom w:val="0"/>
      <w:divBdr>
        <w:top w:val="none" w:sz="0" w:space="0" w:color="auto"/>
        <w:left w:val="none" w:sz="0" w:space="0" w:color="auto"/>
        <w:bottom w:val="none" w:sz="0" w:space="0" w:color="auto"/>
        <w:right w:val="none" w:sz="0" w:space="0" w:color="auto"/>
      </w:divBdr>
      <w:divsChild>
        <w:div w:id="980841217">
          <w:marLeft w:val="0"/>
          <w:marRight w:val="0"/>
          <w:marTop w:val="0"/>
          <w:marBottom w:val="0"/>
          <w:divBdr>
            <w:top w:val="none" w:sz="0" w:space="0" w:color="auto"/>
            <w:left w:val="none" w:sz="0" w:space="0" w:color="auto"/>
            <w:bottom w:val="dotted" w:sz="6" w:space="4" w:color="DDDDDD"/>
            <w:right w:val="none" w:sz="0" w:space="0" w:color="auto"/>
          </w:divBdr>
        </w:div>
      </w:divsChild>
    </w:div>
    <w:div w:id="546795616">
      <w:bodyDiv w:val="1"/>
      <w:marLeft w:val="0"/>
      <w:marRight w:val="0"/>
      <w:marTop w:val="0"/>
      <w:marBottom w:val="0"/>
      <w:divBdr>
        <w:top w:val="none" w:sz="0" w:space="0" w:color="auto"/>
        <w:left w:val="none" w:sz="0" w:space="0" w:color="auto"/>
        <w:bottom w:val="none" w:sz="0" w:space="0" w:color="auto"/>
        <w:right w:val="none" w:sz="0" w:space="0" w:color="auto"/>
      </w:divBdr>
      <w:divsChild>
        <w:div w:id="337469958">
          <w:marLeft w:val="0"/>
          <w:marRight w:val="0"/>
          <w:marTop w:val="0"/>
          <w:marBottom w:val="0"/>
          <w:divBdr>
            <w:top w:val="none" w:sz="0" w:space="0" w:color="auto"/>
            <w:left w:val="none" w:sz="0" w:space="0" w:color="auto"/>
            <w:bottom w:val="dotted" w:sz="6" w:space="4" w:color="DDDDDD"/>
            <w:right w:val="none" w:sz="0" w:space="0" w:color="auto"/>
          </w:divBdr>
          <w:divsChild>
            <w:div w:id="205824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029291">
      <w:bodyDiv w:val="1"/>
      <w:marLeft w:val="0"/>
      <w:marRight w:val="0"/>
      <w:marTop w:val="0"/>
      <w:marBottom w:val="0"/>
      <w:divBdr>
        <w:top w:val="none" w:sz="0" w:space="0" w:color="auto"/>
        <w:left w:val="none" w:sz="0" w:space="0" w:color="auto"/>
        <w:bottom w:val="none" w:sz="0" w:space="0" w:color="auto"/>
        <w:right w:val="none" w:sz="0" w:space="0" w:color="auto"/>
      </w:divBdr>
      <w:divsChild>
        <w:div w:id="182868659">
          <w:marLeft w:val="0"/>
          <w:marRight w:val="0"/>
          <w:marTop w:val="0"/>
          <w:marBottom w:val="0"/>
          <w:divBdr>
            <w:top w:val="none" w:sz="0" w:space="0" w:color="auto"/>
            <w:left w:val="none" w:sz="0" w:space="0" w:color="auto"/>
            <w:bottom w:val="none" w:sz="0" w:space="0" w:color="auto"/>
            <w:right w:val="none" w:sz="0" w:space="0" w:color="auto"/>
          </w:divBdr>
          <w:divsChild>
            <w:div w:id="1801611772">
              <w:marLeft w:val="0"/>
              <w:marRight w:val="0"/>
              <w:marTop w:val="0"/>
              <w:marBottom w:val="0"/>
              <w:divBdr>
                <w:top w:val="none" w:sz="0" w:space="0" w:color="auto"/>
                <w:left w:val="none" w:sz="0" w:space="0" w:color="auto"/>
                <w:bottom w:val="none" w:sz="0" w:space="0" w:color="auto"/>
                <w:right w:val="none" w:sz="0" w:space="0" w:color="auto"/>
              </w:divBdr>
              <w:divsChild>
                <w:div w:id="373772246">
                  <w:marLeft w:val="0"/>
                  <w:marRight w:val="0"/>
                  <w:marTop w:val="0"/>
                  <w:marBottom w:val="0"/>
                  <w:divBdr>
                    <w:top w:val="none" w:sz="0" w:space="0" w:color="auto"/>
                    <w:left w:val="none" w:sz="0" w:space="0" w:color="auto"/>
                    <w:bottom w:val="none" w:sz="0" w:space="0" w:color="auto"/>
                    <w:right w:val="none" w:sz="0" w:space="0" w:color="auto"/>
                  </w:divBdr>
                  <w:divsChild>
                    <w:div w:id="2039424567">
                      <w:marLeft w:val="0"/>
                      <w:marRight w:val="0"/>
                      <w:marTop w:val="0"/>
                      <w:marBottom w:val="0"/>
                      <w:divBdr>
                        <w:top w:val="none" w:sz="0" w:space="0" w:color="auto"/>
                        <w:left w:val="none" w:sz="0" w:space="0" w:color="auto"/>
                        <w:bottom w:val="none" w:sz="0" w:space="0" w:color="auto"/>
                        <w:right w:val="none" w:sz="0" w:space="0" w:color="auto"/>
                      </w:divBdr>
                      <w:divsChild>
                        <w:div w:id="665986080">
                          <w:marLeft w:val="0"/>
                          <w:marRight w:val="0"/>
                          <w:marTop w:val="0"/>
                          <w:marBottom w:val="0"/>
                          <w:divBdr>
                            <w:top w:val="none" w:sz="0" w:space="0" w:color="auto"/>
                            <w:left w:val="none" w:sz="0" w:space="0" w:color="auto"/>
                            <w:bottom w:val="none" w:sz="0" w:space="0" w:color="auto"/>
                            <w:right w:val="none" w:sz="0" w:space="0" w:color="auto"/>
                          </w:divBdr>
                          <w:divsChild>
                            <w:div w:id="643509646">
                              <w:marLeft w:val="0"/>
                              <w:marRight w:val="0"/>
                              <w:marTop w:val="0"/>
                              <w:marBottom w:val="0"/>
                              <w:divBdr>
                                <w:top w:val="none" w:sz="0" w:space="0" w:color="auto"/>
                                <w:left w:val="none" w:sz="0" w:space="0" w:color="auto"/>
                                <w:bottom w:val="none" w:sz="0" w:space="0" w:color="auto"/>
                                <w:right w:val="none" w:sz="0" w:space="0" w:color="auto"/>
                              </w:divBdr>
                              <w:divsChild>
                                <w:div w:id="1404372283">
                                  <w:marLeft w:val="0"/>
                                  <w:marRight w:val="0"/>
                                  <w:marTop w:val="0"/>
                                  <w:marBottom w:val="0"/>
                                  <w:divBdr>
                                    <w:top w:val="none" w:sz="0" w:space="0" w:color="auto"/>
                                    <w:left w:val="none" w:sz="0" w:space="0" w:color="auto"/>
                                    <w:bottom w:val="none" w:sz="0" w:space="0" w:color="auto"/>
                                    <w:right w:val="none" w:sz="0" w:space="0" w:color="auto"/>
                                  </w:divBdr>
                                  <w:divsChild>
                                    <w:div w:id="1620720589">
                                      <w:marLeft w:val="0"/>
                                      <w:marRight w:val="0"/>
                                      <w:marTop w:val="0"/>
                                      <w:marBottom w:val="0"/>
                                      <w:divBdr>
                                        <w:top w:val="none" w:sz="0" w:space="0" w:color="auto"/>
                                        <w:left w:val="none" w:sz="0" w:space="0" w:color="auto"/>
                                        <w:bottom w:val="none" w:sz="0" w:space="0" w:color="auto"/>
                                        <w:right w:val="none" w:sz="0" w:space="0" w:color="auto"/>
                                      </w:divBdr>
                                      <w:divsChild>
                                        <w:div w:id="35712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033838">
      <w:bodyDiv w:val="1"/>
      <w:marLeft w:val="0"/>
      <w:marRight w:val="0"/>
      <w:marTop w:val="0"/>
      <w:marBottom w:val="0"/>
      <w:divBdr>
        <w:top w:val="none" w:sz="0" w:space="0" w:color="auto"/>
        <w:left w:val="none" w:sz="0" w:space="0" w:color="auto"/>
        <w:bottom w:val="none" w:sz="0" w:space="0" w:color="auto"/>
        <w:right w:val="none" w:sz="0" w:space="0" w:color="auto"/>
      </w:divBdr>
      <w:divsChild>
        <w:div w:id="1635020909">
          <w:marLeft w:val="0"/>
          <w:marRight w:val="0"/>
          <w:marTop w:val="0"/>
          <w:marBottom w:val="150"/>
          <w:divBdr>
            <w:top w:val="none" w:sz="0" w:space="0" w:color="auto"/>
            <w:left w:val="none" w:sz="0" w:space="0" w:color="auto"/>
            <w:bottom w:val="none" w:sz="0" w:space="0" w:color="auto"/>
            <w:right w:val="none" w:sz="0" w:space="0" w:color="auto"/>
          </w:divBdr>
        </w:div>
      </w:divsChild>
    </w:div>
    <w:div w:id="547375988">
      <w:bodyDiv w:val="1"/>
      <w:marLeft w:val="0"/>
      <w:marRight w:val="0"/>
      <w:marTop w:val="0"/>
      <w:marBottom w:val="0"/>
      <w:divBdr>
        <w:top w:val="none" w:sz="0" w:space="0" w:color="auto"/>
        <w:left w:val="none" w:sz="0" w:space="0" w:color="auto"/>
        <w:bottom w:val="none" w:sz="0" w:space="0" w:color="auto"/>
        <w:right w:val="none" w:sz="0" w:space="0" w:color="auto"/>
      </w:divBdr>
      <w:divsChild>
        <w:div w:id="414011041">
          <w:marLeft w:val="0"/>
          <w:marRight w:val="0"/>
          <w:marTop w:val="0"/>
          <w:marBottom w:val="0"/>
          <w:divBdr>
            <w:top w:val="none" w:sz="0" w:space="0" w:color="auto"/>
            <w:left w:val="none" w:sz="0" w:space="0" w:color="auto"/>
            <w:bottom w:val="none" w:sz="0" w:space="0" w:color="auto"/>
            <w:right w:val="none" w:sz="0" w:space="0" w:color="auto"/>
          </w:divBdr>
          <w:divsChild>
            <w:div w:id="1663198905">
              <w:marLeft w:val="0"/>
              <w:marRight w:val="0"/>
              <w:marTop w:val="0"/>
              <w:marBottom w:val="0"/>
              <w:divBdr>
                <w:top w:val="none" w:sz="0" w:space="0" w:color="auto"/>
                <w:left w:val="none" w:sz="0" w:space="0" w:color="auto"/>
                <w:bottom w:val="none" w:sz="0" w:space="0" w:color="auto"/>
                <w:right w:val="none" w:sz="0" w:space="0" w:color="auto"/>
              </w:divBdr>
            </w:div>
            <w:div w:id="2005013236">
              <w:marLeft w:val="0"/>
              <w:marRight w:val="150"/>
              <w:marTop w:val="0"/>
              <w:marBottom w:val="0"/>
              <w:divBdr>
                <w:top w:val="none" w:sz="0" w:space="0" w:color="auto"/>
                <w:left w:val="none" w:sz="0" w:space="0" w:color="auto"/>
                <w:bottom w:val="none" w:sz="0" w:space="0" w:color="auto"/>
                <w:right w:val="none" w:sz="0" w:space="0" w:color="auto"/>
              </w:divBdr>
            </w:div>
          </w:divsChild>
        </w:div>
        <w:div w:id="1673028701">
          <w:marLeft w:val="0"/>
          <w:marRight w:val="0"/>
          <w:marTop w:val="0"/>
          <w:marBottom w:val="0"/>
          <w:divBdr>
            <w:top w:val="none" w:sz="0" w:space="0" w:color="auto"/>
            <w:left w:val="none" w:sz="0" w:space="0" w:color="auto"/>
            <w:bottom w:val="none" w:sz="0" w:space="0" w:color="auto"/>
            <w:right w:val="none" w:sz="0" w:space="0" w:color="auto"/>
          </w:divBdr>
        </w:div>
      </w:divsChild>
    </w:div>
    <w:div w:id="547690016">
      <w:bodyDiv w:val="1"/>
      <w:marLeft w:val="0"/>
      <w:marRight w:val="0"/>
      <w:marTop w:val="0"/>
      <w:marBottom w:val="0"/>
      <w:divBdr>
        <w:top w:val="none" w:sz="0" w:space="0" w:color="auto"/>
        <w:left w:val="none" w:sz="0" w:space="0" w:color="auto"/>
        <w:bottom w:val="none" w:sz="0" w:space="0" w:color="auto"/>
        <w:right w:val="none" w:sz="0" w:space="0" w:color="auto"/>
      </w:divBdr>
      <w:divsChild>
        <w:div w:id="53164946">
          <w:marLeft w:val="0"/>
          <w:marRight w:val="0"/>
          <w:marTop w:val="0"/>
          <w:marBottom w:val="150"/>
          <w:divBdr>
            <w:top w:val="none" w:sz="0" w:space="0" w:color="auto"/>
            <w:left w:val="none" w:sz="0" w:space="0" w:color="auto"/>
            <w:bottom w:val="none" w:sz="0" w:space="0" w:color="auto"/>
            <w:right w:val="none" w:sz="0" w:space="0" w:color="auto"/>
          </w:divBdr>
        </w:div>
        <w:div w:id="407850189">
          <w:marLeft w:val="0"/>
          <w:marRight w:val="0"/>
          <w:marTop w:val="0"/>
          <w:marBottom w:val="150"/>
          <w:divBdr>
            <w:top w:val="none" w:sz="0" w:space="0" w:color="auto"/>
            <w:left w:val="none" w:sz="0" w:space="0" w:color="auto"/>
            <w:bottom w:val="none" w:sz="0" w:space="0" w:color="auto"/>
            <w:right w:val="none" w:sz="0" w:space="0" w:color="auto"/>
          </w:divBdr>
          <w:divsChild>
            <w:div w:id="1536962244">
              <w:marLeft w:val="0"/>
              <w:marRight w:val="0"/>
              <w:marTop w:val="0"/>
              <w:marBottom w:val="0"/>
              <w:divBdr>
                <w:top w:val="none" w:sz="0" w:space="0" w:color="auto"/>
                <w:left w:val="none" w:sz="0" w:space="0" w:color="auto"/>
                <w:bottom w:val="none" w:sz="0" w:space="0" w:color="auto"/>
                <w:right w:val="none" w:sz="0" w:space="0" w:color="auto"/>
              </w:divBdr>
              <w:divsChild>
                <w:div w:id="89181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154516">
          <w:marLeft w:val="0"/>
          <w:marRight w:val="0"/>
          <w:marTop w:val="0"/>
          <w:marBottom w:val="0"/>
          <w:divBdr>
            <w:top w:val="none" w:sz="0" w:space="0" w:color="auto"/>
            <w:left w:val="none" w:sz="0" w:space="0" w:color="auto"/>
            <w:bottom w:val="none" w:sz="0" w:space="0" w:color="auto"/>
            <w:right w:val="none" w:sz="0" w:space="0" w:color="auto"/>
          </w:divBdr>
          <w:divsChild>
            <w:div w:id="9954496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48229415">
      <w:bodyDiv w:val="1"/>
      <w:marLeft w:val="0"/>
      <w:marRight w:val="0"/>
      <w:marTop w:val="0"/>
      <w:marBottom w:val="0"/>
      <w:divBdr>
        <w:top w:val="none" w:sz="0" w:space="0" w:color="auto"/>
        <w:left w:val="none" w:sz="0" w:space="0" w:color="auto"/>
        <w:bottom w:val="none" w:sz="0" w:space="0" w:color="auto"/>
        <w:right w:val="none" w:sz="0" w:space="0" w:color="auto"/>
      </w:divBdr>
    </w:div>
    <w:div w:id="548299007">
      <w:bodyDiv w:val="1"/>
      <w:marLeft w:val="0"/>
      <w:marRight w:val="0"/>
      <w:marTop w:val="0"/>
      <w:marBottom w:val="0"/>
      <w:divBdr>
        <w:top w:val="none" w:sz="0" w:space="0" w:color="auto"/>
        <w:left w:val="none" w:sz="0" w:space="0" w:color="auto"/>
        <w:bottom w:val="none" w:sz="0" w:space="0" w:color="auto"/>
        <w:right w:val="none" w:sz="0" w:space="0" w:color="auto"/>
      </w:divBdr>
      <w:divsChild>
        <w:div w:id="540433751">
          <w:marLeft w:val="0"/>
          <w:marRight w:val="0"/>
          <w:marTop w:val="0"/>
          <w:marBottom w:val="0"/>
          <w:divBdr>
            <w:top w:val="none" w:sz="0" w:space="0" w:color="auto"/>
            <w:left w:val="none" w:sz="0" w:space="0" w:color="auto"/>
            <w:bottom w:val="none" w:sz="0" w:space="0" w:color="auto"/>
            <w:right w:val="none" w:sz="0" w:space="0" w:color="auto"/>
          </w:divBdr>
        </w:div>
        <w:div w:id="1843668028">
          <w:marLeft w:val="0"/>
          <w:marRight w:val="0"/>
          <w:marTop w:val="0"/>
          <w:marBottom w:val="0"/>
          <w:divBdr>
            <w:top w:val="none" w:sz="0" w:space="0" w:color="auto"/>
            <w:left w:val="none" w:sz="0" w:space="0" w:color="auto"/>
            <w:bottom w:val="none" w:sz="0" w:space="0" w:color="auto"/>
            <w:right w:val="none" w:sz="0" w:space="0" w:color="auto"/>
          </w:divBdr>
        </w:div>
      </w:divsChild>
    </w:div>
    <w:div w:id="548341244">
      <w:bodyDiv w:val="1"/>
      <w:marLeft w:val="0"/>
      <w:marRight w:val="0"/>
      <w:marTop w:val="0"/>
      <w:marBottom w:val="0"/>
      <w:divBdr>
        <w:top w:val="none" w:sz="0" w:space="0" w:color="auto"/>
        <w:left w:val="none" w:sz="0" w:space="0" w:color="auto"/>
        <w:bottom w:val="none" w:sz="0" w:space="0" w:color="auto"/>
        <w:right w:val="none" w:sz="0" w:space="0" w:color="auto"/>
      </w:divBdr>
      <w:divsChild>
        <w:div w:id="37898478">
          <w:marLeft w:val="0"/>
          <w:marRight w:val="0"/>
          <w:marTop w:val="0"/>
          <w:marBottom w:val="0"/>
          <w:divBdr>
            <w:top w:val="none" w:sz="0" w:space="0" w:color="auto"/>
            <w:left w:val="none" w:sz="0" w:space="0" w:color="auto"/>
            <w:bottom w:val="none" w:sz="0" w:space="0" w:color="auto"/>
            <w:right w:val="none" w:sz="0" w:space="0" w:color="auto"/>
          </w:divBdr>
          <w:divsChild>
            <w:div w:id="721171186">
              <w:marLeft w:val="0"/>
              <w:marRight w:val="0"/>
              <w:marTop w:val="0"/>
              <w:marBottom w:val="0"/>
              <w:divBdr>
                <w:top w:val="none" w:sz="0" w:space="0" w:color="auto"/>
                <w:left w:val="none" w:sz="0" w:space="0" w:color="auto"/>
                <w:bottom w:val="none" w:sz="0" w:space="0" w:color="auto"/>
                <w:right w:val="none" w:sz="0" w:space="0" w:color="auto"/>
              </w:divBdr>
              <w:divsChild>
                <w:div w:id="38779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45034">
          <w:marLeft w:val="0"/>
          <w:marRight w:val="0"/>
          <w:marTop w:val="0"/>
          <w:marBottom w:val="75"/>
          <w:divBdr>
            <w:top w:val="none" w:sz="0" w:space="0" w:color="auto"/>
            <w:left w:val="none" w:sz="0" w:space="0" w:color="auto"/>
            <w:bottom w:val="none" w:sz="0" w:space="0" w:color="auto"/>
            <w:right w:val="none" w:sz="0" w:space="0" w:color="auto"/>
          </w:divBdr>
        </w:div>
        <w:div w:id="1213467730">
          <w:marLeft w:val="0"/>
          <w:marRight w:val="0"/>
          <w:marTop w:val="0"/>
          <w:marBottom w:val="0"/>
          <w:divBdr>
            <w:top w:val="none" w:sz="0" w:space="0" w:color="auto"/>
            <w:left w:val="none" w:sz="0" w:space="0" w:color="auto"/>
            <w:bottom w:val="none" w:sz="0" w:space="0" w:color="auto"/>
            <w:right w:val="none" w:sz="0" w:space="0" w:color="auto"/>
          </w:divBdr>
        </w:div>
        <w:div w:id="1568959147">
          <w:marLeft w:val="0"/>
          <w:marRight w:val="0"/>
          <w:marTop w:val="0"/>
          <w:marBottom w:val="300"/>
          <w:divBdr>
            <w:top w:val="none" w:sz="0" w:space="0" w:color="auto"/>
            <w:left w:val="none" w:sz="0" w:space="0" w:color="auto"/>
            <w:bottom w:val="none" w:sz="0" w:space="0" w:color="auto"/>
            <w:right w:val="none" w:sz="0" w:space="0" w:color="auto"/>
          </w:divBdr>
          <w:divsChild>
            <w:div w:id="60018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566854">
      <w:bodyDiv w:val="1"/>
      <w:marLeft w:val="0"/>
      <w:marRight w:val="0"/>
      <w:marTop w:val="0"/>
      <w:marBottom w:val="0"/>
      <w:divBdr>
        <w:top w:val="none" w:sz="0" w:space="0" w:color="auto"/>
        <w:left w:val="none" w:sz="0" w:space="0" w:color="auto"/>
        <w:bottom w:val="none" w:sz="0" w:space="0" w:color="auto"/>
        <w:right w:val="none" w:sz="0" w:space="0" w:color="auto"/>
      </w:divBdr>
      <w:divsChild>
        <w:div w:id="277227777">
          <w:marLeft w:val="0"/>
          <w:marRight w:val="0"/>
          <w:marTop w:val="0"/>
          <w:marBottom w:val="150"/>
          <w:divBdr>
            <w:top w:val="none" w:sz="0" w:space="0" w:color="auto"/>
            <w:left w:val="none" w:sz="0" w:space="0" w:color="auto"/>
            <w:bottom w:val="none" w:sz="0" w:space="0" w:color="auto"/>
            <w:right w:val="none" w:sz="0" w:space="0" w:color="auto"/>
          </w:divBdr>
          <w:divsChild>
            <w:div w:id="372076722">
              <w:marLeft w:val="0"/>
              <w:marRight w:val="0"/>
              <w:marTop w:val="0"/>
              <w:marBottom w:val="0"/>
              <w:divBdr>
                <w:top w:val="none" w:sz="0" w:space="0" w:color="auto"/>
                <w:left w:val="none" w:sz="0" w:space="0" w:color="auto"/>
                <w:bottom w:val="none" w:sz="0" w:space="0" w:color="auto"/>
                <w:right w:val="none" w:sz="0" w:space="0" w:color="auto"/>
              </w:divBdr>
            </w:div>
          </w:divsChild>
        </w:div>
        <w:div w:id="779571657">
          <w:marLeft w:val="0"/>
          <w:marRight w:val="0"/>
          <w:marTop w:val="0"/>
          <w:marBottom w:val="150"/>
          <w:divBdr>
            <w:top w:val="none" w:sz="0" w:space="0" w:color="auto"/>
            <w:left w:val="none" w:sz="0" w:space="0" w:color="auto"/>
            <w:bottom w:val="none" w:sz="0" w:space="0" w:color="auto"/>
            <w:right w:val="none" w:sz="0" w:space="0" w:color="auto"/>
          </w:divBdr>
        </w:div>
        <w:div w:id="1149978440">
          <w:marLeft w:val="0"/>
          <w:marRight w:val="0"/>
          <w:marTop w:val="0"/>
          <w:marBottom w:val="0"/>
          <w:divBdr>
            <w:top w:val="none" w:sz="0" w:space="0" w:color="auto"/>
            <w:left w:val="none" w:sz="0" w:space="0" w:color="auto"/>
            <w:bottom w:val="none" w:sz="0" w:space="0" w:color="auto"/>
            <w:right w:val="none" w:sz="0" w:space="0" w:color="auto"/>
          </w:divBdr>
          <w:divsChild>
            <w:div w:id="11648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078663">
      <w:bodyDiv w:val="1"/>
      <w:marLeft w:val="0"/>
      <w:marRight w:val="0"/>
      <w:marTop w:val="0"/>
      <w:marBottom w:val="0"/>
      <w:divBdr>
        <w:top w:val="none" w:sz="0" w:space="0" w:color="auto"/>
        <w:left w:val="none" w:sz="0" w:space="0" w:color="auto"/>
        <w:bottom w:val="none" w:sz="0" w:space="0" w:color="auto"/>
        <w:right w:val="none" w:sz="0" w:space="0" w:color="auto"/>
      </w:divBdr>
      <w:divsChild>
        <w:div w:id="398870867">
          <w:marLeft w:val="0"/>
          <w:marRight w:val="0"/>
          <w:marTop w:val="0"/>
          <w:marBottom w:val="0"/>
          <w:divBdr>
            <w:top w:val="none" w:sz="0" w:space="0" w:color="auto"/>
            <w:left w:val="none" w:sz="0" w:space="0" w:color="auto"/>
            <w:bottom w:val="dotted" w:sz="6" w:space="4" w:color="DDDDDD"/>
            <w:right w:val="none" w:sz="0" w:space="0" w:color="auto"/>
          </w:divBdr>
        </w:div>
      </w:divsChild>
    </w:div>
    <w:div w:id="549657337">
      <w:bodyDiv w:val="1"/>
      <w:marLeft w:val="0"/>
      <w:marRight w:val="0"/>
      <w:marTop w:val="0"/>
      <w:marBottom w:val="0"/>
      <w:divBdr>
        <w:top w:val="none" w:sz="0" w:space="0" w:color="auto"/>
        <w:left w:val="none" w:sz="0" w:space="0" w:color="auto"/>
        <w:bottom w:val="none" w:sz="0" w:space="0" w:color="auto"/>
        <w:right w:val="none" w:sz="0" w:space="0" w:color="auto"/>
      </w:divBdr>
      <w:divsChild>
        <w:div w:id="713697764">
          <w:marLeft w:val="0"/>
          <w:marRight w:val="0"/>
          <w:marTop w:val="0"/>
          <w:marBottom w:val="0"/>
          <w:divBdr>
            <w:top w:val="none" w:sz="0" w:space="0" w:color="auto"/>
            <w:left w:val="none" w:sz="0" w:space="0" w:color="auto"/>
            <w:bottom w:val="dotted" w:sz="6" w:space="4" w:color="DDDDDD"/>
            <w:right w:val="none" w:sz="0" w:space="0" w:color="auto"/>
          </w:divBdr>
          <w:divsChild>
            <w:div w:id="38083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456752">
      <w:bodyDiv w:val="1"/>
      <w:marLeft w:val="0"/>
      <w:marRight w:val="0"/>
      <w:marTop w:val="0"/>
      <w:marBottom w:val="0"/>
      <w:divBdr>
        <w:top w:val="none" w:sz="0" w:space="0" w:color="auto"/>
        <w:left w:val="none" w:sz="0" w:space="0" w:color="auto"/>
        <w:bottom w:val="none" w:sz="0" w:space="0" w:color="auto"/>
        <w:right w:val="none" w:sz="0" w:space="0" w:color="auto"/>
      </w:divBdr>
      <w:divsChild>
        <w:div w:id="1003626000">
          <w:marLeft w:val="0"/>
          <w:marRight w:val="0"/>
          <w:marTop w:val="0"/>
          <w:marBottom w:val="150"/>
          <w:divBdr>
            <w:top w:val="none" w:sz="0" w:space="0" w:color="auto"/>
            <w:left w:val="none" w:sz="0" w:space="0" w:color="auto"/>
            <w:bottom w:val="none" w:sz="0" w:space="0" w:color="auto"/>
            <w:right w:val="none" w:sz="0" w:space="0" w:color="auto"/>
          </w:divBdr>
        </w:div>
        <w:div w:id="1028868269">
          <w:marLeft w:val="0"/>
          <w:marRight w:val="0"/>
          <w:marTop w:val="0"/>
          <w:marBottom w:val="0"/>
          <w:divBdr>
            <w:top w:val="none" w:sz="0" w:space="0" w:color="auto"/>
            <w:left w:val="none" w:sz="0" w:space="0" w:color="auto"/>
            <w:bottom w:val="none" w:sz="0" w:space="0" w:color="auto"/>
            <w:right w:val="none" w:sz="0" w:space="0" w:color="auto"/>
          </w:divBdr>
          <w:divsChild>
            <w:div w:id="1885827745">
              <w:marLeft w:val="0"/>
              <w:marRight w:val="0"/>
              <w:marTop w:val="225"/>
              <w:marBottom w:val="225"/>
              <w:divBdr>
                <w:top w:val="none" w:sz="0" w:space="0" w:color="auto"/>
                <w:left w:val="none" w:sz="0" w:space="0" w:color="auto"/>
                <w:bottom w:val="none" w:sz="0" w:space="0" w:color="auto"/>
                <w:right w:val="none" w:sz="0" w:space="0" w:color="auto"/>
              </w:divBdr>
            </w:div>
          </w:divsChild>
        </w:div>
        <w:div w:id="1717705117">
          <w:marLeft w:val="0"/>
          <w:marRight w:val="0"/>
          <w:marTop w:val="0"/>
          <w:marBottom w:val="150"/>
          <w:divBdr>
            <w:top w:val="none" w:sz="0" w:space="0" w:color="auto"/>
            <w:left w:val="none" w:sz="0" w:space="0" w:color="auto"/>
            <w:bottom w:val="none" w:sz="0" w:space="0" w:color="auto"/>
            <w:right w:val="none" w:sz="0" w:space="0" w:color="auto"/>
          </w:divBdr>
          <w:divsChild>
            <w:div w:id="1461609782">
              <w:marLeft w:val="0"/>
              <w:marRight w:val="0"/>
              <w:marTop w:val="0"/>
              <w:marBottom w:val="0"/>
              <w:divBdr>
                <w:top w:val="none" w:sz="0" w:space="0" w:color="auto"/>
                <w:left w:val="none" w:sz="0" w:space="0" w:color="auto"/>
                <w:bottom w:val="none" w:sz="0" w:space="0" w:color="auto"/>
                <w:right w:val="none" w:sz="0" w:space="0" w:color="auto"/>
              </w:divBdr>
              <w:divsChild>
                <w:div w:id="109976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20249">
      <w:bodyDiv w:val="1"/>
      <w:marLeft w:val="0"/>
      <w:marRight w:val="0"/>
      <w:marTop w:val="0"/>
      <w:marBottom w:val="0"/>
      <w:divBdr>
        <w:top w:val="none" w:sz="0" w:space="0" w:color="auto"/>
        <w:left w:val="none" w:sz="0" w:space="0" w:color="auto"/>
        <w:bottom w:val="none" w:sz="0" w:space="0" w:color="auto"/>
        <w:right w:val="none" w:sz="0" w:space="0" w:color="auto"/>
      </w:divBdr>
    </w:div>
    <w:div w:id="550923383">
      <w:bodyDiv w:val="1"/>
      <w:marLeft w:val="0"/>
      <w:marRight w:val="0"/>
      <w:marTop w:val="0"/>
      <w:marBottom w:val="0"/>
      <w:divBdr>
        <w:top w:val="none" w:sz="0" w:space="0" w:color="auto"/>
        <w:left w:val="none" w:sz="0" w:space="0" w:color="auto"/>
        <w:bottom w:val="none" w:sz="0" w:space="0" w:color="auto"/>
        <w:right w:val="none" w:sz="0" w:space="0" w:color="auto"/>
      </w:divBdr>
      <w:divsChild>
        <w:div w:id="403071435">
          <w:marLeft w:val="0"/>
          <w:marRight w:val="0"/>
          <w:marTop w:val="0"/>
          <w:marBottom w:val="150"/>
          <w:divBdr>
            <w:top w:val="none" w:sz="0" w:space="0" w:color="auto"/>
            <w:left w:val="none" w:sz="0" w:space="0" w:color="auto"/>
            <w:bottom w:val="none" w:sz="0" w:space="0" w:color="auto"/>
            <w:right w:val="none" w:sz="0" w:space="0" w:color="auto"/>
          </w:divBdr>
          <w:divsChild>
            <w:div w:id="1114789237">
              <w:marLeft w:val="0"/>
              <w:marRight w:val="0"/>
              <w:marTop w:val="0"/>
              <w:marBottom w:val="0"/>
              <w:divBdr>
                <w:top w:val="none" w:sz="0" w:space="0" w:color="auto"/>
                <w:left w:val="none" w:sz="0" w:space="0" w:color="auto"/>
                <w:bottom w:val="none" w:sz="0" w:space="0" w:color="auto"/>
                <w:right w:val="none" w:sz="0" w:space="0" w:color="auto"/>
              </w:divBdr>
              <w:divsChild>
                <w:div w:id="188266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5873">
          <w:marLeft w:val="0"/>
          <w:marRight w:val="0"/>
          <w:marTop w:val="0"/>
          <w:marBottom w:val="0"/>
          <w:divBdr>
            <w:top w:val="none" w:sz="0" w:space="0" w:color="auto"/>
            <w:left w:val="none" w:sz="0" w:space="0" w:color="auto"/>
            <w:bottom w:val="none" w:sz="0" w:space="0" w:color="auto"/>
            <w:right w:val="none" w:sz="0" w:space="0" w:color="auto"/>
          </w:divBdr>
          <w:divsChild>
            <w:div w:id="1717970451">
              <w:marLeft w:val="0"/>
              <w:marRight w:val="0"/>
              <w:marTop w:val="225"/>
              <w:marBottom w:val="225"/>
              <w:divBdr>
                <w:top w:val="none" w:sz="0" w:space="0" w:color="auto"/>
                <w:left w:val="none" w:sz="0" w:space="0" w:color="auto"/>
                <w:bottom w:val="none" w:sz="0" w:space="0" w:color="auto"/>
                <w:right w:val="none" w:sz="0" w:space="0" w:color="auto"/>
              </w:divBdr>
            </w:div>
          </w:divsChild>
        </w:div>
        <w:div w:id="1251502229">
          <w:marLeft w:val="0"/>
          <w:marRight w:val="0"/>
          <w:marTop w:val="0"/>
          <w:marBottom w:val="150"/>
          <w:divBdr>
            <w:top w:val="none" w:sz="0" w:space="0" w:color="auto"/>
            <w:left w:val="none" w:sz="0" w:space="0" w:color="auto"/>
            <w:bottom w:val="none" w:sz="0" w:space="0" w:color="auto"/>
            <w:right w:val="none" w:sz="0" w:space="0" w:color="auto"/>
          </w:divBdr>
        </w:div>
      </w:divsChild>
    </w:div>
    <w:div w:id="551381404">
      <w:bodyDiv w:val="1"/>
      <w:marLeft w:val="0"/>
      <w:marRight w:val="0"/>
      <w:marTop w:val="0"/>
      <w:marBottom w:val="0"/>
      <w:divBdr>
        <w:top w:val="none" w:sz="0" w:space="0" w:color="auto"/>
        <w:left w:val="none" w:sz="0" w:space="0" w:color="auto"/>
        <w:bottom w:val="none" w:sz="0" w:space="0" w:color="auto"/>
        <w:right w:val="none" w:sz="0" w:space="0" w:color="auto"/>
      </w:divBdr>
      <w:divsChild>
        <w:div w:id="108014887">
          <w:marLeft w:val="0"/>
          <w:marRight w:val="0"/>
          <w:marTop w:val="0"/>
          <w:marBottom w:val="150"/>
          <w:divBdr>
            <w:top w:val="none" w:sz="0" w:space="0" w:color="auto"/>
            <w:left w:val="none" w:sz="0" w:space="0" w:color="auto"/>
            <w:bottom w:val="none" w:sz="0" w:space="0" w:color="auto"/>
            <w:right w:val="none" w:sz="0" w:space="0" w:color="auto"/>
          </w:divBdr>
          <w:divsChild>
            <w:div w:id="1754086991">
              <w:marLeft w:val="0"/>
              <w:marRight w:val="0"/>
              <w:marTop w:val="0"/>
              <w:marBottom w:val="0"/>
              <w:divBdr>
                <w:top w:val="none" w:sz="0" w:space="0" w:color="auto"/>
                <w:left w:val="none" w:sz="0" w:space="0" w:color="auto"/>
                <w:bottom w:val="none" w:sz="0" w:space="0" w:color="auto"/>
                <w:right w:val="none" w:sz="0" w:space="0" w:color="auto"/>
              </w:divBdr>
              <w:divsChild>
                <w:div w:id="180068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2906">
          <w:marLeft w:val="0"/>
          <w:marRight w:val="0"/>
          <w:marTop w:val="0"/>
          <w:marBottom w:val="0"/>
          <w:divBdr>
            <w:top w:val="none" w:sz="0" w:space="0" w:color="auto"/>
            <w:left w:val="none" w:sz="0" w:space="0" w:color="auto"/>
            <w:bottom w:val="none" w:sz="0" w:space="0" w:color="auto"/>
            <w:right w:val="none" w:sz="0" w:space="0" w:color="auto"/>
          </w:divBdr>
          <w:divsChild>
            <w:div w:id="51081314">
              <w:marLeft w:val="0"/>
              <w:marRight w:val="0"/>
              <w:marTop w:val="225"/>
              <w:marBottom w:val="225"/>
              <w:divBdr>
                <w:top w:val="none" w:sz="0" w:space="0" w:color="auto"/>
                <w:left w:val="none" w:sz="0" w:space="0" w:color="auto"/>
                <w:bottom w:val="none" w:sz="0" w:space="0" w:color="auto"/>
                <w:right w:val="none" w:sz="0" w:space="0" w:color="auto"/>
              </w:divBdr>
            </w:div>
          </w:divsChild>
        </w:div>
        <w:div w:id="1045177463">
          <w:marLeft w:val="0"/>
          <w:marRight w:val="0"/>
          <w:marTop w:val="0"/>
          <w:marBottom w:val="150"/>
          <w:divBdr>
            <w:top w:val="none" w:sz="0" w:space="0" w:color="auto"/>
            <w:left w:val="none" w:sz="0" w:space="0" w:color="auto"/>
            <w:bottom w:val="none" w:sz="0" w:space="0" w:color="auto"/>
            <w:right w:val="none" w:sz="0" w:space="0" w:color="auto"/>
          </w:divBdr>
        </w:div>
      </w:divsChild>
    </w:div>
    <w:div w:id="551503040">
      <w:bodyDiv w:val="1"/>
      <w:marLeft w:val="0"/>
      <w:marRight w:val="0"/>
      <w:marTop w:val="0"/>
      <w:marBottom w:val="0"/>
      <w:divBdr>
        <w:top w:val="none" w:sz="0" w:space="0" w:color="auto"/>
        <w:left w:val="none" w:sz="0" w:space="0" w:color="auto"/>
        <w:bottom w:val="none" w:sz="0" w:space="0" w:color="auto"/>
        <w:right w:val="none" w:sz="0" w:space="0" w:color="auto"/>
      </w:divBdr>
      <w:divsChild>
        <w:div w:id="1250044153">
          <w:marLeft w:val="0"/>
          <w:marRight w:val="0"/>
          <w:marTop w:val="0"/>
          <w:marBottom w:val="150"/>
          <w:divBdr>
            <w:top w:val="none" w:sz="0" w:space="0" w:color="auto"/>
            <w:left w:val="none" w:sz="0" w:space="0" w:color="auto"/>
            <w:bottom w:val="none" w:sz="0" w:space="0" w:color="auto"/>
            <w:right w:val="none" w:sz="0" w:space="0" w:color="auto"/>
          </w:divBdr>
          <w:divsChild>
            <w:div w:id="1783376514">
              <w:marLeft w:val="0"/>
              <w:marRight w:val="0"/>
              <w:marTop w:val="0"/>
              <w:marBottom w:val="0"/>
              <w:divBdr>
                <w:top w:val="none" w:sz="0" w:space="0" w:color="auto"/>
                <w:left w:val="none" w:sz="0" w:space="0" w:color="auto"/>
                <w:bottom w:val="none" w:sz="0" w:space="0" w:color="auto"/>
                <w:right w:val="none" w:sz="0" w:space="0" w:color="auto"/>
              </w:divBdr>
              <w:divsChild>
                <w:div w:id="200134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2135">
          <w:marLeft w:val="0"/>
          <w:marRight w:val="0"/>
          <w:marTop w:val="0"/>
          <w:marBottom w:val="0"/>
          <w:divBdr>
            <w:top w:val="none" w:sz="0" w:space="0" w:color="auto"/>
            <w:left w:val="none" w:sz="0" w:space="0" w:color="auto"/>
            <w:bottom w:val="none" w:sz="0" w:space="0" w:color="auto"/>
            <w:right w:val="none" w:sz="0" w:space="0" w:color="auto"/>
          </w:divBdr>
          <w:divsChild>
            <w:div w:id="872228435">
              <w:marLeft w:val="0"/>
              <w:marRight w:val="0"/>
              <w:marTop w:val="225"/>
              <w:marBottom w:val="225"/>
              <w:divBdr>
                <w:top w:val="none" w:sz="0" w:space="0" w:color="auto"/>
                <w:left w:val="none" w:sz="0" w:space="0" w:color="auto"/>
                <w:bottom w:val="none" w:sz="0" w:space="0" w:color="auto"/>
                <w:right w:val="none" w:sz="0" w:space="0" w:color="auto"/>
              </w:divBdr>
            </w:div>
          </w:divsChild>
        </w:div>
        <w:div w:id="2134472424">
          <w:marLeft w:val="0"/>
          <w:marRight w:val="0"/>
          <w:marTop w:val="0"/>
          <w:marBottom w:val="150"/>
          <w:divBdr>
            <w:top w:val="none" w:sz="0" w:space="0" w:color="auto"/>
            <w:left w:val="none" w:sz="0" w:space="0" w:color="auto"/>
            <w:bottom w:val="none" w:sz="0" w:space="0" w:color="auto"/>
            <w:right w:val="none" w:sz="0" w:space="0" w:color="auto"/>
          </w:divBdr>
        </w:div>
      </w:divsChild>
    </w:div>
    <w:div w:id="551774020">
      <w:bodyDiv w:val="1"/>
      <w:marLeft w:val="0"/>
      <w:marRight w:val="0"/>
      <w:marTop w:val="0"/>
      <w:marBottom w:val="0"/>
      <w:divBdr>
        <w:top w:val="none" w:sz="0" w:space="0" w:color="auto"/>
        <w:left w:val="none" w:sz="0" w:space="0" w:color="auto"/>
        <w:bottom w:val="none" w:sz="0" w:space="0" w:color="auto"/>
        <w:right w:val="none" w:sz="0" w:space="0" w:color="auto"/>
      </w:divBdr>
      <w:divsChild>
        <w:div w:id="1148210452">
          <w:marLeft w:val="0"/>
          <w:marRight w:val="0"/>
          <w:marTop w:val="0"/>
          <w:marBottom w:val="0"/>
          <w:divBdr>
            <w:top w:val="none" w:sz="0" w:space="0" w:color="auto"/>
            <w:left w:val="none" w:sz="0" w:space="0" w:color="auto"/>
            <w:bottom w:val="none" w:sz="0" w:space="0" w:color="auto"/>
            <w:right w:val="none" w:sz="0" w:space="0" w:color="auto"/>
          </w:divBdr>
          <w:divsChild>
            <w:div w:id="112296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42066">
      <w:bodyDiv w:val="1"/>
      <w:marLeft w:val="0"/>
      <w:marRight w:val="0"/>
      <w:marTop w:val="0"/>
      <w:marBottom w:val="0"/>
      <w:divBdr>
        <w:top w:val="none" w:sz="0" w:space="0" w:color="auto"/>
        <w:left w:val="none" w:sz="0" w:space="0" w:color="auto"/>
        <w:bottom w:val="none" w:sz="0" w:space="0" w:color="auto"/>
        <w:right w:val="none" w:sz="0" w:space="0" w:color="auto"/>
      </w:divBdr>
      <w:divsChild>
        <w:div w:id="597760300">
          <w:marLeft w:val="0"/>
          <w:marRight w:val="0"/>
          <w:marTop w:val="0"/>
          <w:marBottom w:val="450"/>
          <w:divBdr>
            <w:top w:val="none" w:sz="0" w:space="0" w:color="auto"/>
            <w:left w:val="none" w:sz="0" w:space="0" w:color="auto"/>
            <w:bottom w:val="single" w:sz="6" w:space="19" w:color="EEEEEE"/>
            <w:right w:val="none" w:sz="0" w:space="0" w:color="auto"/>
          </w:divBdr>
          <w:divsChild>
            <w:div w:id="411050407">
              <w:marLeft w:val="0"/>
              <w:marRight w:val="0"/>
              <w:marTop w:val="0"/>
              <w:marBottom w:val="150"/>
              <w:divBdr>
                <w:top w:val="none" w:sz="0" w:space="0" w:color="auto"/>
                <w:left w:val="none" w:sz="0" w:space="0" w:color="auto"/>
                <w:bottom w:val="none" w:sz="0" w:space="0" w:color="auto"/>
                <w:right w:val="none" w:sz="0" w:space="0" w:color="auto"/>
              </w:divBdr>
              <w:divsChild>
                <w:div w:id="482430668">
                  <w:marLeft w:val="0"/>
                  <w:marRight w:val="0"/>
                  <w:marTop w:val="0"/>
                  <w:marBottom w:val="0"/>
                  <w:divBdr>
                    <w:top w:val="none" w:sz="0" w:space="0" w:color="auto"/>
                    <w:left w:val="none" w:sz="0" w:space="0" w:color="auto"/>
                    <w:bottom w:val="none" w:sz="0" w:space="0" w:color="auto"/>
                    <w:right w:val="none" w:sz="0" w:space="0" w:color="auto"/>
                  </w:divBdr>
                </w:div>
              </w:divsChild>
            </w:div>
            <w:div w:id="551504135">
              <w:marLeft w:val="0"/>
              <w:marRight w:val="0"/>
              <w:marTop w:val="0"/>
              <w:marBottom w:val="0"/>
              <w:divBdr>
                <w:top w:val="none" w:sz="0" w:space="0" w:color="auto"/>
                <w:left w:val="none" w:sz="0" w:space="0" w:color="auto"/>
                <w:bottom w:val="none" w:sz="0" w:space="0" w:color="auto"/>
                <w:right w:val="none" w:sz="0" w:space="0" w:color="auto"/>
              </w:divBdr>
            </w:div>
          </w:divsChild>
        </w:div>
        <w:div w:id="290595319">
          <w:marLeft w:val="0"/>
          <w:marRight w:val="0"/>
          <w:marTop w:val="0"/>
          <w:marBottom w:val="0"/>
          <w:divBdr>
            <w:top w:val="none" w:sz="0" w:space="0" w:color="auto"/>
            <w:left w:val="none" w:sz="0" w:space="0" w:color="auto"/>
            <w:bottom w:val="none" w:sz="0" w:space="0" w:color="auto"/>
            <w:right w:val="none" w:sz="0" w:space="0" w:color="auto"/>
          </w:divBdr>
          <w:divsChild>
            <w:div w:id="1011688558">
              <w:marLeft w:val="0"/>
              <w:marRight w:val="0"/>
              <w:marTop w:val="0"/>
              <w:marBottom w:val="0"/>
              <w:divBdr>
                <w:top w:val="none" w:sz="0" w:space="0" w:color="auto"/>
                <w:left w:val="none" w:sz="0" w:space="0" w:color="auto"/>
                <w:bottom w:val="none" w:sz="0" w:space="0" w:color="auto"/>
                <w:right w:val="none" w:sz="0" w:space="0" w:color="auto"/>
              </w:divBdr>
              <w:divsChild>
                <w:div w:id="4761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347382">
      <w:bodyDiv w:val="1"/>
      <w:marLeft w:val="0"/>
      <w:marRight w:val="0"/>
      <w:marTop w:val="0"/>
      <w:marBottom w:val="0"/>
      <w:divBdr>
        <w:top w:val="none" w:sz="0" w:space="0" w:color="auto"/>
        <w:left w:val="none" w:sz="0" w:space="0" w:color="auto"/>
        <w:bottom w:val="none" w:sz="0" w:space="0" w:color="auto"/>
        <w:right w:val="none" w:sz="0" w:space="0" w:color="auto"/>
      </w:divBdr>
      <w:divsChild>
        <w:div w:id="550651379">
          <w:marLeft w:val="0"/>
          <w:marRight w:val="0"/>
          <w:marTop w:val="0"/>
          <w:marBottom w:val="0"/>
          <w:divBdr>
            <w:top w:val="none" w:sz="0" w:space="0" w:color="auto"/>
            <w:left w:val="none" w:sz="0" w:space="0" w:color="auto"/>
            <w:bottom w:val="dotted" w:sz="6" w:space="4" w:color="DDDDDD"/>
            <w:right w:val="none" w:sz="0" w:space="0" w:color="auto"/>
          </w:divBdr>
          <w:divsChild>
            <w:div w:id="201379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817937">
      <w:bodyDiv w:val="1"/>
      <w:marLeft w:val="0"/>
      <w:marRight w:val="0"/>
      <w:marTop w:val="0"/>
      <w:marBottom w:val="0"/>
      <w:divBdr>
        <w:top w:val="none" w:sz="0" w:space="0" w:color="auto"/>
        <w:left w:val="none" w:sz="0" w:space="0" w:color="auto"/>
        <w:bottom w:val="none" w:sz="0" w:space="0" w:color="auto"/>
        <w:right w:val="none" w:sz="0" w:space="0" w:color="auto"/>
      </w:divBdr>
      <w:divsChild>
        <w:div w:id="1190291519">
          <w:marLeft w:val="0"/>
          <w:marRight w:val="0"/>
          <w:marTop w:val="0"/>
          <w:marBottom w:val="0"/>
          <w:divBdr>
            <w:top w:val="none" w:sz="0" w:space="8" w:color="auto"/>
            <w:left w:val="none" w:sz="0" w:space="2" w:color="auto"/>
            <w:bottom w:val="single" w:sz="6" w:space="8" w:color="DDDDDD"/>
            <w:right w:val="none" w:sz="0" w:space="0" w:color="auto"/>
          </w:divBdr>
        </w:div>
        <w:div w:id="1485395715">
          <w:marLeft w:val="0"/>
          <w:marRight w:val="0"/>
          <w:marTop w:val="150"/>
          <w:marBottom w:val="0"/>
          <w:divBdr>
            <w:top w:val="none" w:sz="0" w:space="0" w:color="auto"/>
            <w:left w:val="none" w:sz="0" w:space="0" w:color="auto"/>
            <w:bottom w:val="none" w:sz="0" w:space="0" w:color="auto"/>
            <w:right w:val="none" w:sz="0" w:space="0" w:color="auto"/>
          </w:divBdr>
          <w:divsChild>
            <w:div w:id="614602642">
              <w:marLeft w:val="0"/>
              <w:marRight w:val="150"/>
              <w:marTop w:val="0"/>
              <w:marBottom w:val="0"/>
              <w:divBdr>
                <w:top w:val="none" w:sz="0" w:space="0" w:color="auto"/>
                <w:left w:val="none" w:sz="0" w:space="0" w:color="auto"/>
                <w:bottom w:val="none" w:sz="0" w:space="0" w:color="auto"/>
                <w:right w:val="none" w:sz="0" w:space="0" w:color="auto"/>
              </w:divBdr>
              <w:divsChild>
                <w:div w:id="945775877">
                  <w:marLeft w:val="0"/>
                  <w:marRight w:val="0"/>
                  <w:marTop w:val="0"/>
                  <w:marBottom w:val="0"/>
                  <w:divBdr>
                    <w:top w:val="none" w:sz="0" w:space="0" w:color="auto"/>
                    <w:left w:val="none" w:sz="0" w:space="0" w:color="auto"/>
                    <w:bottom w:val="none" w:sz="0" w:space="0" w:color="auto"/>
                    <w:right w:val="none" w:sz="0" w:space="0" w:color="auto"/>
                  </w:divBdr>
                </w:div>
                <w:div w:id="207069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889779">
      <w:bodyDiv w:val="1"/>
      <w:marLeft w:val="0"/>
      <w:marRight w:val="0"/>
      <w:marTop w:val="0"/>
      <w:marBottom w:val="0"/>
      <w:divBdr>
        <w:top w:val="none" w:sz="0" w:space="0" w:color="auto"/>
        <w:left w:val="none" w:sz="0" w:space="0" w:color="auto"/>
        <w:bottom w:val="none" w:sz="0" w:space="0" w:color="auto"/>
        <w:right w:val="none" w:sz="0" w:space="0" w:color="auto"/>
      </w:divBdr>
    </w:div>
    <w:div w:id="553086322">
      <w:bodyDiv w:val="1"/>
      <w:marLeft w:val="0"/>
      <w:marRight w:val="0"/>
      <w:marTop w:val="0"/>
      <w:marBottom w:val="0"/>
      <w:divBdr>
        <w:top w:val="none" w:sz="0" w:space="0" w:color="auto"/>
        <w:left w:val="none" w:sz="0" w:space="0" w:color="auto"/>
        <w:bottom w:val="none" w:sz="0" w:space="0" w:color="auto"/>
        <w:right w:val="none" w:sz="0" w:space="0" w:color="auto"/>
      </w:divBdr>
      <w:divsChild>
        <w:div w:id="953560021">
          <w:marLeft w:val="0"/>
          <w:marRight w:val="0"/>
          <w:marTop w:val="0"/>
          <w:marBottom w:val="0"/>
          <w:divBdr>
            <w:top w:val="none" w:sz="0" w:space="0" w:color="auto"/>
            <w:left w:val="none" w:sz="0" w:space="0" w:color="auto"/>
            <w:bottom w:val="dotted" w:sz="6" w:space="4" w:color="DDDDDD"/>
            <w:right w:val="none" w:sz="0" w:space="0" w:color="auto"/>
          </w:divBdr>
        </w:div>
      </w:divsChild>
    </w:div>
    <w:div w:id="553733190">
      <w:bodyDiv w:val="1"/>
      <w:marLeft w:val="0"/>
      <w:marRight w:val="0"/>
      <w:marTop w:val="0"/>
      <w:marBottom w:val="0"/>
      <w:divBdr>
        <w:top w:val="none" w:sz="0" w:space="0" w:color="auto"/>
        <w:left w:val="none" w:sz="0" w:space="0" w:color="auto"/>
        <w:bottom w:val="none" w:sz="0" w:space="0" w:color="auto"/>
        <w:right w:val="none" w:sz="0" w:space="0" w:color="auto"/>
      </w:divBdr>
      <w:divsChild>
        <w:div w:id="1782414352">
          <w:marLeft w:val="0"/>
          <w:marRight w:val="0"/>
          <w:marTop w:val="0"/>
          <w:marBottom w:val="150"/>
          <w:divBdr>
            <w:top w:val="none" w:sz="0" w:space="0" w:color="auto"/>
            <w:left w:val="none" w:sz="0" w:space="0" w:color="auto"/>
            <w:bottom w:val="none" w:sz="0" w:space="0" w:color="auto"/>
            <w:right w:val="none" w:sz="0" w:space="0" w:color="auto"/>
          </w:divBdr>
        </w:div>
      </w:divsChild>
    </w:div>
    <w:div w:id="553858443">
      <w:bodyDiv w:val="1"/>
      <w:marLeft w:val="0"/>
      <w:marRight w:val="0"/>
      <w:marTop w:val="0"/>
      <w:marBottom w:val="0"/>
      <w:divBdr>
        <w:top w:val="none" w:sz="0" w:space="0" w:color="auto"/>
        <w:left w:val="none" w:sz="0" w:space="0" w:color="auto"/>
        <w:bottom w:val="none" w:sz="0" w:space="0" w:color="auto"/>
        <w:right w:val="none" w:sz="0" w:space="0" w:color="auto"/>
      </w:divBdr>
      <w:divsChild>
        <w:div w:id="1744182905">
          <w:marLeft w:val="0"/>
          <w:marRight w:val="0"/>
          <w:marTop w:val="0"/>
          <w:marBottom w:val="0"/>
          <w:divBdr>
            <w:top w:val="none" w:sz="0" w:space="0" w:color="auto"/>
            <w:left w:val="none" w:sz="0" w:space="0" w:color="auto"/>
            <w:bottom w:val="dotted" w:sz="6" w:space="4" w:color="DDDDDD"/>
            <w:right w:val="none" w:sz="0" w:space="0" w:color="auto"/>
          </w:divBdr>
        </w:div>
      </w:divsChild>
    </w:div>
    <w:div w:id="554509181">
      <w:bodyDiv w:val="1"/>
      <w:marLeft w:val="0"/>
      <w:marRight w:val="0"/>
      <w:marTop w:val="0"/>
      <w:marBottom w:val="0"/>
      <w:divBdr>
        <w:top w:val="none" w:sz="0" w:space="0" w:color="auto"/>
        <w:left w:val="none" w:sz="0" w:space="0" w:color="auto"/>
        <w:bottom w:val="none" w:sz="0" w:space="0" w:color="auto"/>
        <w:right w:val="none" w:sz="0" w:space="0" w:color="auto"/>
      </w:divBdr>
      <w:divsChild>
        <w:div w:id="2012759993">
          <w:marLeft w:val="0"/>
          <w:marRight w:val="0"/>
          <w:marTop w:val="0"/>
          <w:marBottom w:val="0"/>
          <w:divBdr>
            <w:top w:val="none" w:sz="0" w:space="0" w:color="auto"/>
            <w:left w:val="none" w:sz="0" w:space="0" w:color="auto"/>
            <w:bottom w:val="none" w:sz="0" w:space="0" w:color="auto"/>
            <w:right w:val="none" w:sz="0" w:space="0" w:color="auto"/>
          </w:divBdr>
          <w:divsChild>
            <w:div w:id="71088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897468">
      <w:bodyDiv w:val="1"/>
      <w:marLeft w:val="0"/>
      <w:marRight w:val="0"/>
      <w:marTop w:val="0"/>
      <w:marBottom w:val="0"/>
      <w:divBdr>
        <w:top w:val="none" w:sz="0" w:space="0" w:color="auto"/>
        <w:left w:val="none" w:sz="0" w:space="0" w:color="auto"/>
        <w:bottom w:val="none" w:sz="0" w:space="0" w:color="auto"/>
        <w:right w:val="none" w:sz="0" w:space="0" w:color="auto"/>
      </w:divBdr>
      <w:divsChild>
        <w:div w:id="369188471">
          <w:marLeft w:val="0"/>
          <w:marRight w:val="0"/>
          <w:marTop w:val="0"/>
          <w:marBottom w:val="0"/>
          <w:divBdr>
            <w:top w:val="none" w:sz="0" w:space="0" w:color="auto"/>
            <w:left w:val="none" w:sz="0" w:space="0" w:color="auto"/>
            <w:bottom w:val="none" w:sz="0" w:space="0" w:color="auto"/>
            <w:right w:val="none" w:sz="0" w:space="0" w:color="auto"/>
          </w:divBdr>
        </w:div>
      </w:divsChild>
    </w:div>
    <w:div w:id="555121071">
      <w:bodyDiv w:val="1"/>
      <w:marLeft w:val="0"/>
      <w:marRight w:val="0"/>
      <w:marTop w:val="0"/>
      <w:marBottom w:val="0"/>
      <w:divBdr>
        <w:top w:val="none" w:sz="0" w:space="0" w:color="auto"/>
        <w:left w:val="none" w:sz="0" w:space="0" w:color="auto"/>
        <w:bottom w:val="none" w:sz="0" w:space="0" w:color="auto"/>
        <w:right w:val="none" w:sz="0" w:space="0" w:color="auto"/>
      </w:divBdr>
      <w:divsChild>
        <w:div w:id="1310859721">
          <w:marLeft w:val="0"/>
          <w:marRight w:val="0"/>
          <w:marTop w:val="0"/>
          <w:marBottom w:val="0"/>
          <w:divBdr>
            <w:top w:val="none" w:sz="0" w:space="0" w:color="auto"/>
            <w:left w:val="none" w:sz="0" w:space="0" w:color="auto"/>
            <w:bottom w:val="dotted" w:sz="6" w:space="4" w:color="DDDDDD"/>
            <w:right w:val="none" w:sz="0" w:space="0" w:color="auto"/>
          </w:divBdr>
        </w:div>
      </w:divsChild>
    </w:div>
    <w:div w:id="556473396">
      <w:bodyDiv w:val="1"/>
      <w:marLeft w:val="0"/>
      <w:marRight w:val="0"/>
      <w:marTop w:val="0"/>
      <w:marBottom w:val="0"/>
      <w:divBdr>
        <w:top w:val="none" w:sz="0" w:space="0" w:color="auto"/>
        <w:left w:val="none" w:sz="0" w:space="0" w:color="auto"/>
        <w:bottom w:val="none" w:sz="0" w:space="0" w:color="auto"/>
        <w:right w:val="none" w:sz="0" w:space="0" w:color="auto"/>
      </w:divBdr>
      <w:divsChild>
        <w:div w:id="873810516">
          <w:marLeft w:val="0"/>
          <w:marRight w:val="0"/>
          <w:marTop w:val="0"/>
          <w:marBottom w:val="0"/>
          <w:divBdr>
            <w:top w:val="none" w:sz="0" w:space="0" w:color="auto"/>
            <w:left w:val="none" w:sz="0" w:space="0" w:color="auto"/>
            <w:bottom w:val="dotted" w:sz="6" w:space="4" w:color="DDDDDD"/>
            <w:right w:val="none" w:sz="0" w:space="0" w:color="auto"/>
          </w:divBdr>
          <w:divsChild>
            <w:div w:id="149298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64532">
      <w:bodyDiv w:val="1"/>
      <w:marLeft w:val="0"/>
      <w:marRight w:val="0"/>
      <w:marTop w:val="0"/>
      <w:marBottom w:val="0"/>
      <w:divBdr>
        <w:top w:val="none" w:sz="0" w:space="0" w:color="auto"/>
        <w:left w:val="none" w:sz="0" w:space="0" w:color="auto"/>
        <w:bottom w:val="none" w:sz="0" w:space="0" w:color="auto"/>
        <w:right w:val="none" w:sz="0" w:space="0" w:color="auto"/>
      </w:divBdr>
    </w:div>
    <w:div w:id="557130907">
      <w:bodyDiv w:val="1"/>
      <w:marLeft w:val="0"/>
      <w:marRight w:val="0"/>
      <w:marTop w:val="0"/>
      <w:marBottom w:val="0"/>
      <w:divBdr>
        <w:top w:val="none" w:sz="0" w:space="0" w:color="auto"/>
        <w:left w:val="none" w:sz="0" w:space="0" w:color="auto"/>
        <w:bottom w:val="none" w:sz="0" w:space="0" w:color="auto"/>
        <w:right w:val="none" w:sz="0" w:space="0" w:color="auto"/>
      </w:divBdr>
    </w:div>
    <w:div w:id="557278859">
      <w:bodyDiv w:val="1"/>
      <w:marLeft w:val="0"/>
      <w:marRight w:val="0"/>
      <w:marTop w:val="0"/>
      <w:marBottom w:val="0"/>
      <w:divBdr>
        <w:top w:val="none" w:sz="0" w:space="0" w:color="auto"/>
        <w:left w:val="none" w:sz="0" w:space="0" w:color="auto"/>
        <w:bottom w:val="none" w:sz="0" w:space="0" w:color="auto"/>
        <w:right w:val="none" w:sz="0" w:space="0" w:color="auto"/>
      </w:divBdr>
      <w:divsChild>
        <w:div w:id="252474283">
          <w:marLeft w:val="0"/>
          <w:marRight w:val="0"/>
          <w:marTop w:val="0"/>
          <w:marBottom w:val="0"/>
          <w:divBdr>
            <w:top w:val="none" w:sz="0" w:space="0" w:color="auto"/>
            <w:left w:val="none" w:sz="0" w:space="0" w:color="auto"/>
            <w:bottom w:val="none" w:sz="0" w:space="0" w:color="auto"/>
            <w:right w:val="none" w:sz="0" w:space="0" w:color="auto"/>
          </w:divBdr>
          <w:divsChild>
            <w:div w:id="1462578269">
              <w:marLeft w:val="0"/>
              <w:marRight w:val="0"/>
              <w:marTop w:val="0"/>
              <w:marBottom w:val="0"/>
              <w:divBdr>
                <w:top w:val="none" w:sz="0" w:space="0" w:color="auto"/>
                <w:left w:val="none" w:sz="0" w:space="0" w:color="auto"/>
                <w:bottom w:val="none" w:sz="0" w:space="0" w:color="auto"/>
                <w:right w:val="none" w:sz="0" w:space="0" w:color="auto"/>
              </w:divBdr>
              <w:divsChild>
                <w:div w:id="1569000638">
                  <w:marLeft w:val="0"/>
                  <w:marRight w:val="0"/>
                  <w:marTop w:val="0"/>
                  <w:marBottom w:val="0"/>
                  <w:divBdr>
                    <w:top w:val="none" w:sz="0" w:space="0" w:color="auto"/>
                    <w:left w:val="none" w:sz="0" w:space="0" w:color="auto"/>
                    <w:bottom w:val="none" w:sz="0" w:space="0" w:color="auto"/>
                    <w:right w:val="none" w:sz="0" w:space="0" w:color="auto"/>
                  </w:divBdr>
                  <w:divsChild>
                    <w:div w:id="1839495379">
                      <w:marLeft w:val="0"/>
                      <w:marRight w:val="0"/>
                      <w:marTop w:val="0"/>
                      <w:marBottom w:val="0"/>
                      <w:divBdr>
                        <w:top w:val="none" w:sz="0" w:space="0" w:color="auto"/>
                        <w:left w:val="none" w:sz="0" w:space="0" w:color="auto"/>
                        <w:bottom w:val="none" w:sz="0" w:space="0" w:color="auto"/>
                        <w:right w:val="none" w:sz="0" w:space="0" w:color="auto"/>
                      </w:divBdr>
                      <w:divsChild>
                        <w:div w:id="54402129">
                          <w:marLeft w:val="0"/>
                          <w:marRight w:val="0"/>
                          <w:marTop w:val="0"/>
                          <w:marBottom w:val="0"/>
                          <w:divBdr>
                            <w:top w:val="none" w:sz="0" w:space="0" w:color="auto"/>
                            <w:left w:val="none" w:sz="0" w:space="0" w:color="auto"/>
                            <w:bottom w:val="none" w:sz="0" w:space="0" w:color="auto"/>
                            <w:right w:val="none" w:sz="0" w:space="0" w:color="auto"/>
                          </w:divBdr>
                          <w:divsChild>
                            <w:div w:id="68663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7319840">
      <w:bodyDiv w:val="1"/>
      <w:marLeft w:val="0"/>
      <w:marRight w:val="0"/>
      <w:marTop w:val="0"/>
      <w:marBottom w:val="0"/>
      <w:divBdr>
        <w:top w:val="none" w:sz="0" w:space="0" w:color="auto"/>
        <w:left w:val="none" w:sz="0" w:space="0" w:color="auto"/>
        <w:bottom w:val="none" w:sz="0" w:space="0" w:color="auto"/>
        <w:right w:val="none" w:sz="0" w:space="0" w:color="auto"/>
      </w:divBdr>
    </w:div>
    <w:div w:id="557936580">
      <w:bodyDiv w:val="1"/>
      <w:marLeft w:val="0"/>
      <w:marRight w:val="0"/>
      <w:marTop w:val="0"/>
      <w:marBottom w:val="0"/>
      <w:divBdr>
        <w:top w:val="none" w:sz="0" w:space="0" w:color="auto"/>
        <w:left w:val="none" w:sz="0" w:space="0" w:color="auto"/>
        <w:bottom w:val="none" w:sz="0" w:space="0" w:color="auto"/>
        <w:right w:val="none" w:sz="0" w:space="0" w:color="auto"/>
      </w:divBdr>
      <w:divsChild>
        <w:div w:id="2114548631">
          <w:marLeft w:val="0"/>
          <w:marRight w:val="0"/>
          <w:marTop w:val="0"/>
          <w:marBottom w:val="0"/>
          <w:divBdr>
            <w:top w:val="none" w:sz="0" w:space="0" w:color="auto"/>
            <w:left w:val="none" w:sz="0" w:space="0" w:color="auto"/>
            <w:bottom w:val="none" w:sz="0" w:space="0" w:color="auto"/>
            <w:right w:val="none" w:sz="0" w:space="0" w:color="auto"/>
          </w:divBdr>
        </w:div>
      </w:divsChild>
    </w:div>
    <w:div w:id="558248249">
      <w:bodyDiv w:val="1"/>
      <w:marLeft w:val="0"/>
      <w:marRight w:val="0"/>
      <w:marTop w:val="0"/>
      <w:marBottom w:val="0"/>
      <w:divBdr>
        <w:top w:val="none" w:sz="0" w:space="0" w:color="auto"/>
        <w:left w:val="none" w:sz="0" w:space="0" w:color="auto"/>
        <w:bottom w:val="none" w:sz="0" w:space="0" w:color="auto"/>
        <w:right w:val="none" w:sz="0" w:space="0" w:color="auto"/>
      </w:divBdr>
      <w:divsChild>
        <w:div w:id="635373625">
          <w:marLeft w:val="0"/>
          <w:marRight w:val="0"/>
          <w:marTop w:val="0"/>
          <w:marBottom w:val="150"/>
          <w:divBdr>
            <w:top w:val="none" w:sz="0" w:space="0" w:color="auto"/>
            <w:left w:val="none" w:sz="0" w:space="0" w:color="auto"/>
            <w:bottom w:val="none" w:sz="0" w:space="0" w:color="auto"/>
            <w:right w:val="none" w:sz="0" w:space="0" w:color="auto"/>
          </w:divBdr>
          <w:divsChild>
            <w:div w:id="1746341026">
              <w:marLeft w:val="0"/>
              <w:marRight w:val="0"/>
              <w:marTop w:val="0"/>
              <w:marBottom w:val="0"/>
              <w:divBdr>
                <w:top w:val="none" w:sz="0" w:space="0" w:color="auto"/>
                <w:left w:val="none" w:sz="0" w:space="0" w:color="auto"/>
                <w:bottom w:val="none" w:sz="0" w:space="0" w:color="auto"/>
                <w:right w:val="none" w:sz="0" w:space="0" w:color="auto"/>
              </w:divBdr>
            </w:div>
          </w:divsChild>
        </w:div>
        <w:div w:id="1840269580">
          <w:marLeft w:val="0"/>
          <w:marRight w:val="0"/>
          <w:marTop w:val="0"/>
          <w:marBottom w:val="150"/>
          <w:divBdr>
            <w:top w:val="none" w:sz="0" w:space="0" w:color="auto"/>
            <w:left w:val="none" w:sz="0" w:space="0" w:color="auto"/>
            <w:bottom w:val="none" w:sz="0" w:space="0" w:color="auto"/>
            <w:right w:val="none" w:sz="0" w:space="0" w:color="auto"/>
          </w:divBdr>
        </w:div>
        <w:div w:id="1993290670">
          <w:marLeft w:val="0"/>
          <w:marRight w:val="0"/>
          <w:marTop w:val="0"/>
          <w:marBottom w:val="0"/>
          <w:divBdr>
            <w:top w:val="none" w:sz="0" w:space="0" w:color="auto"/>
            <w:left w:val="none" w:sz="0" w:space="0" w:color="auto"/>
            <w:bottom w:val="none" w:sz="0" w:space="0" w:color="auto"/>
            <w:right w:val="none" w:sz="0" w:space="0" w:color="auto"/>
          </w:divBdr>
          <w:divsChild>
            <w:div w:id="137967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438463">
      <w:bodyDiv w:val="1"/>
      <w:marLeft w:val="0"/>
      <w:marRight w:val="0"/>
      <w:marTop w:val="0"/>
      <w:marBottom w:val="0"/>
      <w:divBdr>
        <w:top w:val="none" w:sz="0" w:space="0" w:color="auto"/>
        <w:left w:val="none" w:sz="0" w:space="0" w:color="auto"/>
        <w:bottom w:val="none" w:sz="0" w:space="0" w:color="auto"/>
        <w:right w:val="none" w:sz="0" w:space="0" w:color="auto"/>
      </w:divBdr>
      <w:divsChild>
        <w:div w:id="1959794207">
          <w:marLeft w:val="0"/>
          <w:marRight w:val="0"/>
          <w:marTop w:val="0"/>
          <w:marBottom w:val="0"/>
          <w:divBdr>
            <w:top w:val="none" w:sz="0" w:space="0" w:color="auto"/>
            <w:left w:val="none" w:sz="0" w:space="0" w:color="auto"/>
            <w:bottom w:val="none" w:sz="0" w:space="0" w:color="auto"/>
            <w:right w:val="none" w:sz="0" w:space="0" w:color="auto"/>
          </w:divBdr>
          <w:divsChild>
            <w:div w:id="241719282">
              <w:marLeft w:val="0"/>
              <w:marRight w:val="0"/>
              <w:marTop w:val="0"/>
              <w:marBottom w:val="0"/>
              <w:divBdr>
                <w:top w:val="none" w:sz="0" w:space="0" w:color="auto"/>
                <w:left w:val="none" w:sz="0" w:space="0" w:color="auto"/>
                <w:bottom w:val="none" w:sz="0" w:space="0" w:color="auto"/>
                <w:right w:val="none" w:sz="0" w:space="0" w:color="auto"/>
              </w:divBdr>
              <w:divsChild>
                <w:div w:id="157813371">
                  <w:marLeft w:val="0"/>
                  <w:marRight w:val="0"/>
                  <w:marTop w:val="0"/>
                  <w:marBottom w:val="0"/>
                  <w:divBdr>
                    <w:top w:val="none" w:sz="0" w:space="0" w:color="auto"/>
                    <w:left w:val="none" w:sz="0" w:space="0" w:color="auto"/>
                    <w:bottom w:val="none" w:sz="0" w:space="0" w:color="auto"/>
                    <w:right w:val="none" w:sz="0" w:space="0" w:color="auto"/>
                  </w:divBdr>
                  <w:divsChild>
                    <w:div w:id="682318060">
                      <w:marLeft w:val="0"/>
                      <w:marRight w:val="0"/>
                      <w:marTop w:val="0"/>
                      <w:marBottom w:val="0"/>
                      <w:divBdr>
                        <w:top w:val="none" w:sz="0" w:space="0" w:color="auto"/>
                        <w:left w:val="none" w:sz="0" w:space="0" w:color="auto"/>
                        <w:bottom w:val="none" w:sz="0" w:space="0" w:color="auto"/>
                        <w:right w:val="none" w:sz="0" w:space="0" w:color="auto"/>
                      </w:divBdr>
                      <w:divsChild>
                        <w:div w:id="1673798109">
                          <w:marLeft w:val="0"/>
                          <w:marRight w:val="0"/>
                          <w:marTop w:val="0"/>
                          <w:marBottom w:val="0"/>
                          <w:divBdr>
                            <w:top w:val="none" w:sz="0" w:space="0" w:color="auto"/>
                            <w:left w:val="none" w:sz="0" w:space="0" w:color="auto"/>
                            <w:bottom w:val="none" w:sz="0" w:space="0" w:color="auto"/>
                            <w:right w:val="none" w:sz="0" w:space="0" w:color="auto"/>
                          </w:divBdr>
                          <w:divsChild>
                            <w:div w:id="1699163589">
                              <w:marLeft w:val="0"/>
                              <w:marRight w:val="0"/>
                              <w:marTop w:val="0"/>
                              <w:marBottom w:val="0"/>
                              <w:divBdr>
                                <w:top w:val="none" w:sz="0" w:space="0" w:color="auto"/>
                                <w:left w:val="none" w:sz="0" w:space="0" w:color="auto"/>
                                <w:bottom w:val="none" w:sz="0" w:space="0" w:color="auto"/>
                                <w:right w:val="none" w:sz="0" w:space="0" w:color="auto"/>
                              </w:divBdr>
                              <w:divsChild>
                                <w:div w:id="1153259348">
                                  <w:marLeft w:val="0"/>
                                  <w:marRight w:val="0"/>
                                  <w:marTop w:val="0"/>
                                  <w:marBottom w:val="0"/>
                                  <w:divBdr>
                                    <w:top w:val="none" w:sz="0" w:space="0" w:color="auto"/>
                                    <w:left w:val="none" w:sz="0" w:space="0" w:color="auto"/>
                                    <w:bottom w:val="none" w:sz="0" w:space="0" w:color="auto"/>
                                    <w:right w:val="none" w:sz="0" w:space="0" w:color="auto"/>
                                  </w:divBdr>
                                  <w:divsChild>
                                    <w:div w:id="71404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827428">
      <w:bodyDiv w:val="1"/>
      <w:marLeft w:val="0"/>
      <w:marRight w:val="0"/>
      <w:marTop w:val="0"/>
      <w:marBottom w:val="0"/>
      <w:divBdr>
        <w:top w:val="none" w:sz="0" w:space="0" w:color="auto"/>
        <w:left w:val="none" w:sz="0" w:space="0" w:color="auto"/>
        <w:bottom w:val="none" w:sz="0" w:space="0" w:color="auto"/>
        <w:right w:val="none" w:sz="0" w:space="0" w:color="auto"/>
      </w:divBdr>
      <w:divsChild>
        <w:div w:id="684137130">
          <w:marLeft w:val="0"/>
          <w:marRight w:val="0"/>
          <w:marTop w:val="0"/>
          <w:marBottom w:val="375"/>
          <w:divBdr>
            <w:top w:val="none" w:sz="0" w:space="0" w:color="auto"/>
            <w:left w:val="none" w:sz="0" w:space="0" w:color="auto"/>
            <w:bottom w:val="dotted" w:sz="6" w:space="14" w:color="C2C2C2"/>
            <w:right w:val="none" w:sz="0" w:space="0" w:color="auto"/>
          </w:divBdr>
          <w:divsChild>
            <w:div w:id="351491846">
              <w:marLeft w:val="0"/>
              <w:marRight w:val="0"/>
              <w:marTop w:val="0"/>
              <w:marBottom w:val="180"/>
              <w:divBdr>
                <w:top w:val="none" w:sz="0" w:space="0" w:color="auto"/>
                <w:left w:val="none" w:sz="0" w:space="0" w:color="auto"/>
                <w:bottom w:val="none" w:sz="0" w:space="0" w:color="auto"/>
                <w:right w:val="none" w:sz="0" w:space="0" w:color="auto"/>
              </w:divBdr>
            </w:div>
            <w:div w:id="1643652747">
              <w:marLeft w:val="0"/>
              <w:marRight w:val="0"/>
              <w:marTop w:val="0"/>
              <w:marBottom w:val="0"/>
              <w:divBdr>
                <w:top w:val="none" w:sz="0" w:space="0" w:color="auto"/>
                <w:left w:val="none" w:sz="0" w:space="0" w:color="auto"/>
                <w:bottom w:val="none" w:sz="0" w:space="0" w:color="auto"/>
                <w:right w:val="none" w:sz="0" w:space="0" w:color="auto"/>
              </w:divBdr>
              <w:divsChild>
                <w:div w:id="1656301256">
                  <w:marLeft w:val="0"/>
                  <w:marRight w:val="0"/>
                  <w:marTop w:val="0"/>
                  <w:marBottom w:val="0"/>
                  <w:divBdr>
                    <w:top w:val="none" w:sz="0" w:space="0" w:color="auto"/>
                    <w:left w:val="none" w:sz="0" w:space="0" w:color="auto"/>
                    <w:bottom w:val="none" w:sz="0" w:space="0" w:color="auto"/>
                    <w:right w:val="none" w:sz="0" w:space="0" w:color="auto"/>
                  </w:divBdr>
                  <w:divsChild>
                    <w:div w:id="1790123029">
                      <w:marLeft w:val="0"/>
                      <w:marRight w:val="0"/>
                      <w:marTop w:val="0"/>
                      <w:marBottom w:val="0"/>
                      <w:divBdr>
                        <w:top w:val="none" w:sz="0" w:space="0" w:color="auto"/>
                        <w:left w:val="none" w:sz="0" w:space="0" w:color="auto"/>
                        <w:bottom w:val="none" w:sz="0" w:space="0" w:color="auto"/>
                        <w:right w:val="none" w:sz="0" w:space="0" w:color="auto"/>
                      </w:divBdr>
                      <w:divsChild>
                        <w:div w:id="1750928594">
                          <w:marLeft w:val="0"/>
                          <w:marRight w:val="0"/>
                          <w:marTop w:val="0"/>
                          <w:marBottom w:val="0"/>
                          <w:divBdr>
                            <w:top w:val="none" w:sz="0" w:space="0" w:color="auto"/>
                            <w:left w:val="none" w:sz="0" w:space="0" w:color="auto"/>
                            <w:bottom w:val="none" w:sz="0" w:space="0" w:color="auto"/>
                            <w:right w:val="none" w:sz="0" w:space="0" w:color="auto"/>
                          </w:divBdr>
                          <w:divsChild>
                            <w:div w:id="4260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976906">
          <w:marLeft w:val="0"/>
          <w:marRight w:val="0"/>
          <w:marTop w:val="0"/>
          <w:marBottom w:val="450"/>
          <w:divBdr>
            <w:top w:val="none" w:sz="0" w:space="0" w:color="auto"/>
            <w:left w:val="none" w:sz="0" w:space="0" w:color="auto"/>
            <w:bottom w:val="none" w:sz="0" w:space="0" w:color="auto"/>
            <w:right w:val="none" w:sz="0" w:space="0" w:color="auto"/>
          </w:divBdr>
          <w:divsChild>
            <w:div w:id="1182162834">
              <w:marLeft w:val="0"/>
              <w:marRight w:val="0"/>
              <w:marTop w:val="0"/>
              <w:marBottom w:val="0"/>
              <w:divBdr>
                <w:top w:val="none" w:sz="0" w:space="0" w:color="auto"/>
                <w:left w:val="none" w:sz="0" w:space="0" w:color="auto"/>
                <w:bottom w:val="none" w:sz="0" w:space="0" w:color="auto"/>
                <w:right w:val="none" w:sz="0" w:space="0" w:color="auto"/>
              </w:divBdr>
              <w:divsChild>
                <w:div w:id="188682650">
                  <w:marLeft w:val="0"/>
                  <w:marRight w:val="0"/>
                  <w:marTop w:val="0"/>
                  <w:marBottom w:val="0"/>
                  <w:divBdr>
                    <w:top w:val="none" w:sz="0" w:space="0" w:color="auto"/>
                    <w:left w:val="none" w:sz="0" w:space="0" w:color="auto"/>
                    <w:bottom w:val="none" w:sz="0" w:space="0" w:color="auto"/>
                    <w:right w:val="none" w:sz="0" w:space="0" w:color="auto"/>
                  </w:divBdr>
                  <w:divsChild>
                    <w:div w:id="271597684">
                      <w:marLeft w:val="0"/>
                      <w:marRight w:val="0"/>
                      <w:marTop w:val="0"/>
                      <w:marBottom w:val="0"/>
                      <w:divBdr>
                        <w:top w:val="none" w:sz="0" w:space="0" w:color="auto"/>
                        <w:left w:val="none" w:sz="0" w:space="0" w:color="auto"/>
                        <w:bottom w:val="none" w:sz="0" w:space="0" w:color="auto"/>
                        <w:right w:val="none" w:sz="0" w:space="0" w:color="auto"/>
                      </w:divBdr>
                      <w:divsChild>
                        <w:div w:id="515000315">
                          <w:marLeft w:val="0"/>
                          <w:marRight w:val="0"/>
                          <w:marTop w:val="0"/>
                          <w:marBottom w:val="0"/>
                          <w:divBdr>
                            <w:top w:val="none" w:sz="0" w:space="0" w:color="auto"/>
                            <w:left w:val="none" w:sz="0" w:space="0" w:color="auto"/>
                            <w:bottom w:val="none" w:sz="0" w:space="0" w:color="auto"/>
                            <w:right w:val="none" w:sz="0" w:space="0" w:color="auto"/>
                          </w:divBdr>
                          <w:divsChild>
                            <w:div w:id="66538519">
                              <w:marLeft w:val="0"/>
                              <w:marRight w:val="0"/>
                              <w:marTop w:val="0"/>
                              <w:marBottom w:val="0"/>
                              <w:divBdr>
                                <w:top w:val="none" w:sz="0" w:space="0" w:color="auto"/>
                                <w:left w:val="none" w:sz="0" w:space="0" w:color="auto"/>
                                <w:bottom w:val="none" w:sz="0" w:space="0" w:color="auto"/>
                                <w:right w:val="none" w:sz="0" w:space="0" w:color="auto"/>
                              </w:divBdr>
                            </w:div>
                            <w:div w:id="539437824">
                              <w:marLeft w:val="0"/>
                              <w:marRight w:val="0"/>
                              <w:marTop w:val="0"/>
                              <w:marBottom w:val="0"/>
                              <w:divBdr>
                                <w:top w:val="none" w:sz="0" w:space="0" w:color="auto"/>
                                <w:left w:val="none" w:sz="0" w:space="0" w:color="auto"/>
                                <w:bottom w:val="none" w:sz="0" w:space="0" w:color="auto"/>
                                <w:right w:val="none" w:sz="0" w:space="0" w:color="auto"/>
                              </w:divBdr>
                            </w:div>
                            <w:div w:id="789593131">
                              <w:marLeft w:val="0"/>
                              <w:marRight w:val="0"/>
                              <w:marTop w:val="0"/>
                              <w:marBottom w:val="0"/>
                              <w:divBdr>
                                <w:top w:val="none" w:sz="0" w:space="0" w:color="auto"/>
                                <w:left w:val="none" w:sz="0" w:space="0" w:color="auto"/>
                                <w:bottom w:val="none" w:sz="0" w:space="0" w:color="auto"/>
                                <w:right w:val="none" w:sz="0" w:space="0" w:color="auto"/>
                              </w:divBdr>
                            </w:div>
                            <w:div w:id="845748250">
                              <w:marLeft w:val="0"/>
                              <w:marRight w:val="0"/>
                              <w:marTop w:val="0"/>
                              <w:marBottom w:val="0"/>
                              <w:divBdr>
                                <w:top w:val="none" w:sz="0" w:space="0" w:color="auto"/>
                                <w:left w:val="none" w:sz="0" w:space="0" w:color="auto"/>
                                <w:bottom w:val="none" w:sz="0" w:space="0" w:color="auto"/>
                                <w:right w:val="none" w:sz="0" w:space="0" w:color="auto"/>
                              </w:divBdr>
                            </w:div>
                            <w:div w:id="145752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550279">
                      <w:marLeft w:val="0"/>
                      <w:marRight w:val="0"/>
                      <w:marTop w:val="0"/>
                      <w:marBottom w:val="0"/>
                      <w:divBdr>
                        <w:top w:val="none" w:sz="0" w:space="0" w:color="auto"/>
                        <w:left w:val="none" w:sz="0" w:space="0" w:color="auto"/>
                        <w:bottom w:val="none" w:sz="0" w:space="0" w:color="auto"/>
                        <w:right w:val="none" w:sz="0" w:space="0" w:color="auto"/>
                      </w:divBdr>
                      <w:divsChild>
                        <w:div w:id="1136337280">
                          <w:marLeft w:val="0"/>
                          <w:marRight w:val="0"/>
                          <w:marTop w:val="0"/>
                          <w:marBottom w:val="225"/>
                          <w:divBdr>
                            <w:top w:val="none" w:sz="0" w:space="0" w:color="auto"/>
                            <w:left w:val="none" w:sz="0" w:space="0" w:color="auto"/>
                            <w:bottom w:val="none" w:sz="0" w:space="0" w:color="auto"/>
                            <w:right w:val="none" w:sz="0" w:space="0" w:color="auto"/>
                          </w:divBdr>
                          <w:divsChild>
                            <w:div w:id="845946574">
                              <w:marLeft w:val="0"/>
                              <w:marRight w:val="0"/>
                              <w:marTop w:val="0"/>
                              <w:marBottom w:val="225"/>
                              <w:divBdr>
                                <w:top w:val="none" w:sz="0" w:space="0" w:color="auto"/>
                                <w:left w:val="none" w:sz="0" w:space="0" w:color="auto"/>
                                <w:bottom w:val="none" w:sz="0" w:space="0" w:color="auto"/>
                                <w:right w:val="none" w:sz="0" w:space="0" w:color="auto"/>
                              </w:divBdr>
                            </w:div>
                            <w:div w:id="170131572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051035">
      <w:bodyDiv w:val="1"/>
      <w:marLeft w:val="0"/>
      <w:marRight w:val="0"/>
      <w:marTop w:val="0"/>
      <w:marBottom w:val="0"/>
      <w:divBdr>
        <w:top w:val="none" w:sz="0" w:space="0" w:color="auto"/>
        <w:left w:val="none" w:sz="0" w:space="0" w:color="auto"/>
        <w:bottom w:val="none" w:sz="0" w:space="0" w:color="auto"/>
        <w:right w:val="none" w:sz="0" w:space="0" w:color="auto"/>
      </w:divBdr>
      <w:divsChild>
        <w:div w:id="1715494739">
          <w:marLeft w:val="0"/>
          <w:marRight w:val="0"/>
          <w:marTop w:val="0"/>
          <w:marBottom w:val="0"/>
          <w:divBdr>
            <w:top w:val="none" w:sz="0" w:space="0" w:color="auto"/>
            <w:left w:val="none" w:sz="0" w:space="0" w:color="auto"/>
            <w:bottom w:val="dotted" w:sz="6" w:space="4" w:color="DDDDDD"/>
            <w:right w:val="none" w:sz="0" w:space="0" w:color="auto"/>
          </w:divBdr>
          <w:divsChild>
            <w:div w:id="133904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250854">
      <w:bodyDiv w:val="1"/>
      <w:marLeft w:val="0"/>
      <w:marRight w:val="0"/>
      <w:marTop w:val="0"/>
      <w:marBottom w:val="0"/>
      <w:divBdr>
        <w:top w:val="none" w:sz="0" w:space="0" w:color="auto"/>
        <w:left w:val="none" w:sz="0" w:space="0" w:color="auto"/>
        <w:bottom w:val="none" w:sz="0" w:space="0" w:color="auto"/>
        <w:right w:val="none" w:sz="0" w:space="0" w:color="auto"/>
      </w:divBdr>
      <w:divsChild>
        <w:div w:id="31347055">
          <w:marLeft w:val="0"/>
          <w:marRight w:val="0"/>
          <w:marTop w:val="0"/>
          <w:marBottom w:val="0"/>
          <w:divBdr>
            <w:top w:val="none" w:sz="0" w:space="0" w:color="auto"/>
            <w:left w:val="none" w:sz="0" w:space="0" w:color="auto"/>
            <w:bottom w:val="none" w:sz="0" w:space="0" w:color="auto"/>
            <w:right w:val="none" w:sz="0" w:space="0" w:color="auto"/>
          </w:divBdr>
          <w:divsChild>
            <w:div w:id="1830438497">
              <w:marLeft w:val="0"/>
              <w:marRight w:val="0"/>
              <w:marTop w:val="0"/>
              <w:marBottom w:val="0"/>
              <w:divBdr>
                <w:top w:val="none" w:sz="0" w:space="0" w:color="auto"/>
                <w:left w:val="none" w:sz="0" w:space="0" w:color="auto"/>
                <w:bottom w:val="none" w:sz="0" w:space="0" w:color="auto"/>
                <w:right w:val="none" w:sz="0" w:space="0" w:color="auto"/>
              </w:divBdr>
              <w:divsChild>
                <w:div w:id="1185094370">
                  <w:marLeft w:val="0"/>
                  <w:marRight w:val="0"/>
                  <w:marTop w:val="0"/>
                  <w:marBottom w:val="450"/>
                  <w:divBdr>
                    <w:top w:val="none" w:sz="0" w:space="0" w:color="auto"/>
                    <w:left w:val="none" w:sz="0" w:space="0" w:color="auto"/>
                    <w:bottom w:val="none" w:sz="0" w:space="0" w:color="auto"/>
                    <w:right w:val="none" w:sz="0" w:space="0" w:color="auto"/>
                  </w:divBdr>
                  <w:divsChild>
                    <w:div w:id="372773540">
                      <w:marLeft w:val="0"/>
                      <w:marRight w:val="0"/>
                      <w:marTop w:val="0"/>
                      <w:marBottom w:val="150"/>
                      <w:divBdr>
                        <w:top w:val="none" w:sz="0" w:space="0" w:color="auto"/>
                        <w:left w:val="none" w:sz="0" w:space="0" w:color="auto"/>
                        <w:bottom w:val="none" w:sz="0" w:space="0" w:color="auto"/>
                        <w:right w:val="none" w:sz="0" w:space="0" w:color="auto"/>
                      </w:divBdr>
                      <w:divsChild>
                        <w:div w:id="262152615">
                          <w:marLeft w:val="0"/>
                          <w:marRight w:val="0"/>
                          <w:marTop w:val="0"/>
                          <w:marBottom w:val="0"/>
                          <w:divBdr>
                            <w:top w:val="none" w:sz="0" w:space="0" w:color="auto"/>
                            <w:left w:val="none" w:sz="0" w:space="0" w:color="auto"/>
                            <w:bottom w:val="none" w:sz="0" w:space="0" w:color="auto"/>
                            <w:right w:val="none" w:sz="0" w:space="0" w:color="auto"/>
                          </w:divBdr>
                        </w:div>
                      </w:divsChild>
                    </w:div>
                    <w:div w:id="707024373">
                      <w:marLeft w:val="0"/>
                      <w:marRight w:val="0"/>
                      <w:marTop w:val="0"/>
                      <w:marBottom w:val="0"/>
                      <w:divBdr>
                        <w:top w:val="none" w:sz="0" w:space="0" w:color="auto"/>
                        <w:left w:val="none" w:sz="0" w:space="0" w:color="auto"/>
                        <w:bottom w:val="none" w:sz="0" w:space="0" w:color="auto"/>
                        <w:right w:val="none" w:sz="0" w:space="0" w:color="auto"/>
                      </w:divBdr>
                      <w:divsChild>
                        <w:div w:id="659043541">
                          <w:marLeft w:val="0"/>
                          <w:marRight w:val="0"/>
                          <w:marTop w:val="0"/>
                          <w:marBottom w:val="150"/>
                          <w:divBdr>
                            <w:top w:val="none" w:sz="0" w:space="0" w:color="auto"/>
                            <w:left w:val="none" w:sz="0" w:space="0" w:color="auto"/>
                            <w:bottom w:val="none" w:sz="0" w:space="0" w:color="auto"/>
                            <w:right w:val="none" w:sz="0" w:space="0" w:color="auto"/>
                          </w:divBdr>
                        </w:div>
                        <w:div w:id="964122855">
                          <w:marLeft w:val="0"/>
                          <w:marRight w:val="0"/>
                          <w:marTop w:val="0"/>
                          <w:marBottom w:val="0"/>
                          <w:divBdr>
                            <w:top w:val="none" w:sz="0" w:space="0" w:color="auto"/>
                            <w:left w:val="none" w:sz="0" w:space="0" w:color="auto"/>
                            <w:bottom w:val="none" w:sz="0" w:space="0" w:color="auto"/>
                            <w:right w:val="none" w:sz="0" w:space="0" w:color="auto"/>
                          </w:divBdr>
                          <w:divsChild>
                            <w:div w:id="189091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248638">
          <w:marLeft w:val="0"/>
          <w:marRight w:val="0"/>
          <w:marTop w:val="0"/>
          <w:marBottom w:val="375"/>
          <w:divBdr>
            <w:top w:val="none" w:sz="0" w:space="0" w:color="auto"/>
            <w:left w:val="none" w:sz="0" w:space="0" w:color="auto"/>
            <w:bottom w:val="single" w:sz="6" w:space="0" w:color="005494"/>
            <w:right w:val="none" w:sz="0" w:space="0" w:color="auto"/>
          </w:divBdr>
        </w:div>
        <w:div w:id="1466240788">
          <w:marLeft w:val="0"/>
          <w:marRight w:val="0"/>
          <w:marTop w:val="0"/>
          <w:marBottom w:val="300"/>
          <w:divBdr>
            <w:top w:val="none" w:sz="0" w:space="0" w:color="auto"/>
            <w:left w:val="none" w:sz="0" w:space="0" w:color="auto"/>
            <w:bottom w:val="single" w:sz="6" w:space="0" w:color="E4E4E4"/>
            <w:right w:val="none" w:sz="0" w:space="0" w:color="auto"/>
          </w:divBdr>
        </w:div>
      </w:divsChild>
    </w:div>
    <w:div w:id="559364521">
      <w:bodyDiv w:val="1"/>
      <w:marLeft w:val="0"/>
      <w:marRight w:val="0"/>
      <w:marTop w:val="0"/>
      <w:marBottom w:val="0"/>
      <w:divBdr>
        <w:top w:val="none" w:sz="0" w:space="0" w:color="auto"/>
        <w:left w:val="none" w:sz="0" w:space="0" w:color="auto"/>
        <w:bottom w:val="none" w:sz="0" w:space="0" w:color="auto"/>
        <w:right w:val="none" w:sz="0" w:space="0" w:color="auto"/>
      </w:divBdr>
    </w:div>
    <w:div w:id="559442337">
      <w:bodyDiv w:val="1"/>
      <w:marLeft w:val="0"/>
      <w:marRight w:val="0"/>
      <w:marTop w:val="0"/>
      <w:marBottom w:val="0"/>
      <w:divBdr>
        <w:top w:val="none" w:sz="0" w:space="0" w:color="auto"/>
        <w:left w:val="none" w:sz="0" w:space="0" w:color="auto"/>
        <w:bottom w:val="none" w:sz="0" w:space="0" w:color="auto"/>
        <w:right w:val="none" w:sz="0" w:space="0" w:color="auto"/>
      </w:divBdr>
      <w:divsChild>
        <w:div w:id="1306202461">
          <w:marLeft w:val="0"/>
          <w:marRight w:val="0"/>
          <w:marTop w:val="0"/>
          <w:marBottom w:val="300"/>
          <w:divBdr>
            <w:top w:val="none" w:sz="0" w:space="0" w:color="auto"/>
            <w:left w:val="none" w:sz="0" w:space="0" w:color="auto"/>
            <w:bottom w:val="none" w:sz="0" w:space="0" w:color="auto"/>
            <w:right w:val="none" w:sz="0" w:space="0" w:color="auto"/>
          </w:divBdr>
          <w:divsChild>
            <w:div w:id="1474980386">
              <w:marLeft w:val="0"/>
              <w:marRight w:val="0"/>
              <w:marTop w:val="0"/>
              <w:marBottom w:val="0"/>
              <w:divBdr>
                <w:top w:val="none" w:sz="0" w:space="0" w:color="auto"/>
                <w:left w:val="none" w:sz="0" w:space="0" w:color="auto"/>
                <w:bottom w:val="none" w:sz="0" w:space="0" w:color="auto"/>
                <w:right w:val="none" w:sz="0" w:space="0" w:color="auto"/>
              </w:divBdr>
              <w:divsChild>
                <w:div w:id="804389323">
                  <w:marLeft w:val="0"/>
                  <w:marRight w:val="0"/>
                  <w:marTop w:val="0"/>
                  <w:marBottom w:val="0"/>
                  <w:divBdr>
                    <w:top w:val="none" w:sz="0" w:space="0" w:color="auto"/>
                    <w:left w:val="none" w:sz="0" w:space="0" w:color="auto"/>
                    <w:bottom w:val="none" w:sz="0" w:space="0" w:color="auto"/>
                    <w:right w:val="none" w:sz="0" w:space="0" w:color="auto"/>
                  </w:divBdr>
                  <w:divsChild>
                    <w:div w:id="948127336">
                      <w:marLeft w:val="0"/>
                      <w:marRight w:val="0"/>
                      <w:marTop w:val="0"/>
                      <w:marBottom w:val="225"/>
                      <w:divBdr>
                        <w:top w:val="none" w:sz="0" w:space="0" w:color="2D2D2D"/>
                        <w:left w:val="none" w:sz="0" w:space="0" w:color="2D2D2D"/>
                        <w:bottom w:val="none" w:sz="0" w:space="0" w:color="2D2D2D"/>
                        <w:right w:val="none" w:sz="0" w:space="0" w:color="2D2D2D"/>
                      </w:divBdr>
                      <w:divsChild>
                        <w:div w:id="85879">
                          <w:marLeft w:val="0"/>
                          <w:marRight w:val="0"/>
                          <w:marTop w:val="120"/>
                          <w:marBottom w:val="150"/>
                          <w:divBdr>
                            <w:top w:val="none" w:sz="0" w:space="0" w:color="auto"/>
                            <w:left w:val="none" w:sz="0" w:space="0" w:color="auto"/>
                            <w:bottom w:val="none" w:sz="0" w:space="0" w:color="auto"/>
                            <w:right w:val="none" w:sz="0" w:space="0" w:color="auto"/>
                          </w:divBdr>
                          <w:divsChild>
                            <w:div w:id="20217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554719">
      <w:bodyDiv w:val="1"/>
      <w:marLeft w:val="0"/>
      <w:marRight w:val="0"/>
      <w:marTop w:val="0"/>
      <w:marBottom w:val="0"/>
      <w:divBdr>
        <w:top w:val="none" w:sz="0" w:space="0" w:color="auto"/>
        <w:left w:val="none" w:sz="0" w:space="0" w:color="auto"/>
        <w:bottom w:val="none" w:sz="0" w:space="0" w:color="auto"/>
        <w:right w:val="none" w:sz="0" w:space="0" w:color="auto"/>
      </w:divBdr>
    </w:div>
    <w:div w:id="560991376">
      <w:bodyDiv w:val="1"/>
      <w:marLeft w:val="0"/>
      <w:marRight w:val="0"/>
      <w:marTop w:val="0"/>
      <w:marBottom w:val="0"/>
      <w:divBdr>
        <w:top w:val="none" w:sz="0" w:space="0" w:color="auto"/>
        <w:left w:val="none" w:sz="0" w:space="0" w:color="auto"/>
        <w:bottom w:val="none" w:sz="0" w:space="0" w:color="auto"/>
        <w:right w:val="none" w:sz="0" w:space="0" w:color="auto"/>
      </w:divBdr>
      <w:divsChild>
        <w:div w:id="671447796">
          <w:marLeft w:val="0"/>
          <w:marRight w:val="0"/>
          <w:marTop w:val="0"/>
          <w:marBottom w:val="0"/>
          <w:divBdr>
            <w:top w:val="none" w:sz="0" w:space="0" w:color="auto"/>
            <w:left w:val="none" w:sz="0" w:space="0" w:color="auto"/>
            <w:bottom w:val="none" w:sz="0" w:space="0" w:color="auto"/>
            <w:right w:val="none" w:sz="0" w:space="0" w:color="auto"/>
          </w:divBdr>
          <w:divsChild>
            <w:div w:id="1980376107">
              <w:marLeft w:val="0"/>
              <w:marRight w:val="0"/>
              <w:marTop w:val="225"/>
              <w:marBottom w:val="225"/>
              <w:divBdr>
                <w:top w:val="none" w:sz="0" w:space="0" w:color="auto"/>
                <w:left w:val="none" w:sz="0" w:space="0" w:color="auto"/>
                <w:bottom w:val="none" w:sz="0" w:space="0" w:color="auto"/>
                <w:right w:val="none" w:sz="0" w:space="0" w:color="auto"/>
              </w:divBdr>
            </w:div>
          </w:divsChild>
        </w:div>
        <w:div w:id="1965771284">
          <w:marLeft w:val="0"/>
          <w:marRight w:val="0"/>
          <w:marTop w:val="0"/>
          <w:marBottom w:val="150"/>
          <w:divBdr>
            <w:top w:val="none" w:sz="0" w:space="0" w:color="auto"/>
            <w:left w:val="none" w:sz="0" w:space="0" w:color="auto"/>
            <w:bottom w:val="none" w:sz="0" w:space="0" w:color="auto"/>
            <w:right w:val="none" w:sz="0" w:space="0" w:color="auto"/>
          </w:divBdr>
        </w:div>
        <w:div w:id="1980916893">
          <w:marLeft w:val="0"/>
          <w:marRight w:val="0"/>
          <w:marTop w:val="0"/>
          <w:marBottom w:val="150"/>
          <w:divBdr>
            <w:top w:val="none" w:sz="0" w:space="0" w:color="auto"/>
            <w:left w:val="none" w:sz="0" w:space="0" w:color="auto"/>
            <w:bottom w:val="none" w:sz="0" w:space="0" w:color="auto"/>
            <w:right w:val="none" w:sz="0" w:space="0" w:color="auto"/>
          </w:divBdr>
          <w:divsChild>
            <w:div w:id="615673893">
              <w:marLeft w:val="0"/>
              <w:marRight w:val="0"/>
              <w:marTop w:val="0"/>
              <w:marBottom w:val="0"/>
              <w:divBdr>
                <w:top w:val="none" w:sz="0" w:space="0" w:color="auto"/>
                <w:left w:val="none" w:sz="0" w:space="0" w:color="auto"/>
                <w:bottom w:val="none" w:sz="0" w:space="0" w:color="auto"/>
                <w:right w:val="none" w:sz="0" w:space="0" w:color="auto"/>
              </w:divBdr>
              <w:divsChild>
                <w:div w:id="121485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992373">
      <w:bodyDiv w:val="1"/>
      <w:marLeft w:val="0"/>
      <w:marRight w:val="0"/>
      <w:marTop w:val="0"/>
      <w:marBottom w:val="0"/>
      <w:divBdr>
        <w:top w:val="none" w:sz="0" w:space="0" w:color="auto"/>
        <w:left w:val="none" w:sz="0" w:space="0" w:color="auto"/>
        <w:bottom w:val="none" w:sz="0" w:space="0" w:color="auto"/>
        <w:right w:val="none" w:sz="0" w:space="0" w:color="auto"/>
      </w:divBdr>
      <w:divsChild>
        <w:div w:id="1209877323">
          <w:marLeft w:val="0"/>
          <w:marRight w:val="0"/>
          <w:marTop w:val="0"/>
          <w:marBottom w:val="0"/>
          <w:divBdr>
            <w:top w:val="none" w:sz="0" w:space="0" w:color="auto"/>
            <w:left w:val="none" w:sz="0" w:space="0" w:color="auto"/>
            <w:bottom w:val="none" w:sz="0" w:space="0" w:color="auto"/>
            <w:right w:val="none" w:sz="0" w:space="0" w:color="auto"/>
          </w:divBdr>
          <w:divsChild>
            <w:div w:id="470024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61015801">
      <w:bodyDiv w:val="1"/>
      <w:marLeft w:val="0"/>
      <w:marRight w:val="0"/>
      <w:marTop w:val="0"/>
      <w:marBottom w:val="0"/>
      <w:divBdr>
        <w:top w:val="none" w:sz="0" w:space="0" w:color="auto"/>
        <w:left w:val="none" w:sz="0" w:space="0" w:color="auto"/>
        <w:bottom w:val="none" w:sz="0" w:space="0" w:color="auto"/>
        <w:right w:val="none" w:sz="0" w:space="0" w:color="auto"/>
      </w:divBdr>
      <w:divsChild>
        <w:div w:id="955020544">
          <w:marLeft w:val="0"/>
          <w:marRight w:val="0"/>
          <w:marTop w:val="0"/>
          <w:marBottom w:val="0"/>
          <w:divBdr>
            <w:top w:val="none" w:sz="0" w:space="0" w:color="auto"/>
            <w:left w:val="none" w:sz="0" w:space="0" w:color="auto"/>
            <w:bottom w:val="none" w:sz="0" w:space="0" w:color="auto"/>
            <w:right w:val="none" w:sz="0" w:space="0" w:color="auto"/>
          </w:divBdr>
          <w:divsChild>
            <w:div w:id="2144688799">
              <w:marLeft w:val="0"/>
              <w:marRight w:val="0"/>
              <w:marTop w:val="0"/>
              <w:marBottom w:val="0"/>
              <w:divBdr>
                <w:top w:val="none" w:sz="0" w:space="0" w:color="auto"/>
                <w:left w:val="none" w:sz="0" w:space="0" w:color="auto"/>
                <w:bottom w:val="none" w:sz="0" w:space="0" w:color="auto"/>
                <w:right w:val="none" w:sz="0" w:space="0" w:color="auto"/>
              </w:divBdr>
            </w:div>
          </w:divsChild>
        </w:div>
        <w:div w:id="1211650187">
          <w:marLeft w:val="0"/>
          <w:marRight w:val="0"/>
          <w:marTop w:val="0"/>
          <w:marBottom w:val="150"/>
          <w:divBdr>
            <w:top w:val="none" w:sz="0" w:space="0" w:color="auto"/>
            <w:left w:val="none" w:sz="0" w:space="0" w:color="auto"/>
            <w:bottom w:val="none" w:sz="0" w:space="0" w:color="auto"/>
            <w:right w:val="none" w:sz="0" w:space="0" w:color="auto"/>
          </w:divBdr>
        </w:div>
        <w:div w:id="1284994859">
          <w:marLeft w:val="0"/>
          <w:marRight w:val="0"/>
          <w:marTop w:val="0"/>
          <w:marBottom w:val="150"/>
          <w:divBdr>
            <w:top w:val="none" w:sz="0" w:space="0" w:color="auto"/>
            <w:left w:val="none" w:sz="0" w:space="0" w:color="auto"/>
            <w:bottom w:val="none" w:sz="0" w:space="0" w:color="auto"/>
            <w:right w:val="none" w:sz="0" w:space="0" w:color="auto"/>
          </w:divBdr>
          <w:divsChild>
            <w:div w:id="51704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332140">
      <w:bodyDiv w:val="1"/>
      <w:marLeft w:val="0"/>
      <w:marRight w:val="0"/>
      <w:marTop w:val="0"/>
      <w:marBottom w:val="0"/>
      <w:divBdr>
        <w:top w:val="none" w:sz="0" w:space="0" w:color="auto"/>
        <w:left w:val="none" w:sz="0" w:space="0" w:color="auto"/>
        <w:bottom w:val="none" w:sz="0" w:space="0" w:color="auto"/>
        <w:right w:val="none" w:sz="0" w:space="0" w:color="auto"/>
      </w:divBdr>
      <w:divsChild>
        <w:div w:id="115106593">
          <w:marLeft w:val="0"/>
          <w:marRight w:val="0"/>
          <w:marTop w:val="0"/>
          <w:marBottom w:val="0"/>
          <w:divBdr>
            <w:top w:val="none" w:sz="0" w:space="0" w:color="auto"/>
            <w:left w:val="none" w:sz="0" w:space="0" w:color="auto"/>
            <w:bottom w:val="none" w:sz="0" w:space="0" w:color="auto"/>
            <w:right w:val="none" w:sz="0" w:space="0" w:color="auto"/>
          </w:divBdr>
        </w:div>
      </w:divsChild>
    </w:div>
    <w:div w:id="561718352">
      <w:bodyDiv w:val="1"/>
      <w:marLeft w:val="0"/>
      <w:marRight w:val="0"/>
      <w:marTop w:val="0"/>
      <w:marBottom w:val="0"/>
      <w:divBdr>
        <w:top w:val="none" w:sz="0" w:space="0" w:color="auto"/>
        <w:left w:val="none" w:sz="0" w:space="0" w:color="auto"/>
        <w:bottom w:val="none" w:sz="0" w:space="0" w:color="auto"/>
        <w:right w:val="none" w:sz="0" w:space="0" w:color="auto"/>
      </w:divBdr>
    </w:div>
    <w:div w:id="561793225">
      <w:bodyDiv w:val="1"/>
      <w:marLeft w:val="0"/>
      <w:marRight w:val="0"/>
      <w:marTop w:val="0"/>
      <w:marBottom w:val="0"/>
      <w:divBdr>
        <w:top w:val="none" w:sz="0" w:space="0" w:color="auto"/>
        <w:left w:val="none" w:sz="0" w:space="0" w:color="auto"/>
        <w:bottom w:val="none" w:sz="0" w:space="0" w:color="auto"/>
        <w:right w:val="none" w:sz="0" w:space="0" w:color="auto"/>
      </w:divBdr>
    </w:div>
    <w:div w:id="561984697">
      <w:bodyDiv w:val="1"/>
      <w:marLeft w:val="0"/>
      <w:marRight w:val="0"/>
      <w:marTop w:val="0"/>
      <w:marBottom w:val="0"/>
      <w:divBdr>
        <w:top w:val="none" w:sz="0" w:space="0" w:color="auto"/>
        <w:left w:val="none" w:sz="0" w:space="0" w:color="auto"/>
        <w:bottom w:val="none" w:sz="0" w:space="0" w:color="auto"/>
        <w:right w:val="none" w:sz="0" w:space="0" w:color="auto"/>
      </w:divBdr>
    </w:div>
    <w:div w:id="562180031">
      <w:bodyDiv w:val="1"/>
      <w:marLeft w:val="0"/>
      <w:marRight w:val="0"/>
      <w:marTop w:val="0"/>
      <w:marBottom w:val="0"/>
      <w:divBdr>
        <w:top w:val="none" w:sz="0" w:space="0" w:color="auto"/>
        <w:left w:val="none" w:sz="0" w:space="0" w:color="auto"/>
        <w:bottom w:val="none" w:sz="0" w:space="0" w:color="auto"/>
        <w:right w:val="none" w:sz="0" w:space="0" w:color="auto"/>
      </w:divBdr>
    </w:div>
    <w:div w:id="562376599">
      <w:bodyDiv w:val="1"/>
      <w:marLeft w:val="0"/>
      <w:marRight w:val="0"/>
      <w:marTop w:val="0"/>
      <w:marBottom w:val="0"/>
      <w:divBdr>
        <w:top w:val="none" w:sz="0" w:space="0" w:color="auto"/>
        <w:left w:val="none" w:sz="0" w:space="0" w:color="auto"/>
        <w:bottom w:val="none" w:sz="0" w:space="0" w:color="auto"/>
        <w:right w:val="none" w:sz="0" w:space="0" w:color="auto"/>
      </w:divBdr>
      <w:divsChild>
        <w:div w:id="927270580">
          <w:marLeft w:val="0"/>
          <w:marRight w:val="0"/>
          <w:marTop w:val="0"/>
          <w:marBottom w:val="225"/>
          <w:divBdr>
            <w:top w:val="none" w:sz="0" w:space="0" w:color="auto"/>
            <w:left w:val="none" w:sz="0" w:space="0" w:color="auto"/>
            <w:bottom w:val="none" w:sz="0" w:space="0" w:color="auto"/>
            <w:right w:val="none" w:sz="0" w:space="0" w:color="auto"/>
          </w:divBdr>
          <w:divsChild>
            <w:div w:id="1277327496">
              <w:marLeft w:val="750"/>
              <w:marRight w:val="0"/>
              <w:marTop w:val="0"/>
              <w:marBottom w:val="225"/>
              <w:divBdr>
                <w:top w:val="none" w:sz="0" w:space="0" w:color="auto"/>
                <w:left w:val="none" w:sz="0" w:space="0" w:color="auto"/>
                <w:bottom w:val="none" w:sz="0" w:space="0" w:color="auto"/>
                <w:right w:val="none" w:sz="0" w:space="0" w:color="auto"/>
              </w:divBdr>
            </w:div>
          </w:divsChild>
        </w:div>
        <w:div w:id="1517620951">
          <w:marLeft w:val="0"/>
          <w:marRight w:val="0"/>
          <w:marTop w:val="0"/>
          <w:marBottom w:val="225"/>
          <w:divBdr>
            <w:top w:val="none" w:sz="0" w:space="0" w:color="auto"/>
            <w:left w:val="none" w:sz="0" w:space="0" w:color="auto"/>
            <w:bottom w:val="none" w:sz="0" w:space="0" w:color="auto"/>
            <w:right w:val="none" w:sz="0" w:space="0" w:color="auto"/>
          </w:divBdr>
          <w:divsChild>
            <w:div w:id="138545259">
              <w:marLeft w:val="0"/>
              <w:marRight w:val="0"/>
              <w:marTop w:val="0"/>
              <w:marBottom w:val="150"/>
              <w:divBdr>
                <w:top w:val="none" w:sz="0" w:space="0" w:color="auto"/>
                <w:left w:val="none" w:sz="0" w:space="0" w:color="auto"/>
                <w:bottom w:val="none" w:sz="0" w:space="0" w:color="auto"/>
                <w:right w:val="none" w:sz="0" w:space="0" w:color="auto"/>
              </w:divBdr>
            </w:div>
            <w:div w:id="315378674">
              <w:marLeft w:val="0"/>
              <w:marRight w:val="0"/>
              <w:marTop w:val="0"/>
              <w:marBottom w:val="150"/>
              <w:divBdr>
                <w:top w:val="none" w:sz="0" w:space="0" w:color="auto"/>
                <w:left w:val="none" w:sz="0" w:space="0" w:color="auto"/>
                <w:bottom w:val="none" w:sz="0" w:space="0" w:color="auto"/>
                <w:right w:val="none" w:sz="0" w:space="0" w:color="auto"/>
              </w:divBdr>
            </w:div>
            <w:div w:id="359478615">
              <w:marLeft w:val="0"/>
              <w:marRight w:val="0"/>
              <w:marTop w:val="0"/>
              <w:marBottom w:val="150"/>
              <w:divBdr>
                <w:top w:val="none" w:sz="0" w:space="0" w:color="auto"/>
                <w:left w:val="none" w:sz="0" w:space="0" w:color="auto"/>
                <w:bottom w:val="none" w:sz="0" w:space="0" w:color="auto"/>
                <w:right w:val="none" w:sz="0" w:space="0" w:color="auto"/>
              </w:divBdr>
            </w:div>
            <w:div w:id="389767132">
              <w:marLeft w:val="0"/>
              <w:marRight w:val="0"/>
              <w:marTop w:val="0"/>
              <w:marBottom w:val="150"/>
              <w:divBdr>
                <w:top w:val="none" w:sz="0" w:space="0" w:color="auto"/>
                <w:left w:val="none" w:sz="0" w:space="0" w:color="auto"/>
                <w:bottom w:val="none" w:sz="0" w:space="0" w:color="auto"/>
                <w:right w:val="none" w:sz="0" w:space="0" w:color="auto"/>
              </w:divBdr>
            </w:div>
            <w:div w:id="445972874">
              <w:marLeft w:val="0"/>
              <w:marRight w:val="0"/>
              <w:marTop w:val="0"/>
              <w:marBottom w:val="150"/>
              <w:divBdr>
                <w:top w:val="none" w:sz="0" w:space="0" w:color="auto"/>
                <w:left w:val="none" w:sz="0" w:space="0" w:color="auto"/>
                <w:bottom w:val="none" w:sz="0" w:space="0" w:color="auto"/>
                <w:right w:val="none" w:sz="0" w:space="0" w:color="auto"/>
              </w:divBdr>
            </w:div>
            <w:div w:id="463231586">
              <w:marLeft w:val="0"/>
              <w:marRight w:val="0"/>
              <w:marTop w:val="0"/>
              <w:marBottom w:val="150"/>
              <w:divBdr>
                <w:top w:val="none" w:sz="0" w:space="0" w:color="auto"/>
                <w:left w:val="none" w:sz="0" w:space="0" w:color="auto"/>
                <w:bottom w:val="none" w:sz="0" w:space="0" w:color="auto"/>
                <w:right w:val="none" w:sz="0" w:space="0" w:color="auto"/>
              </w:divBdr>
            </w:div>
            <w:div w:id="550386194">
              <w:marLeft w:val="0"/>
              <w:marRight w:val="0"/>
              <w:marTop w:val="0"/>
              <w:marBottom w:val="150"/>
              <w:divBdr>
                <w:top w:val="none" w:sz="0" w:space="0" w:color="auto"/>
                <w:left w:val="none" w:sz="0" w:space="0" w:color="auto"/>
                <w:bottom w:val="none" w:sz="0" w:space="0" w:color="auto"/>
                <w:right w:val="none" w:sz="0" w:space="0" w:color="auto"/>
              </w:divBdr>
            </w:div>
            <w:div w:id="905380278">
              <w:marLeft w:val="0"/>
              <w:marRight w:val="0"/>
              <w:marTop w:val="0"/>
              <w:marBottom w:val="150"/>
              <w:divBdr>
                <w:top w:val="none" w:sz="0" w:space="0" w:color="auto"/>
                <w:left w:val="none" w:sz="0" w:space="0" w:color="auto"/>
                <w:bottom w:val="none" w:sz="0" w:space="0" w:color="auto"/>
                <w:right w:val="none" w:sz="0" w:space="0" w:color="auto"/>
              </w:divBdr>
            </w:div>
            <w:div w:id="1164055322">
              <w:marLeft w:val="0"/>
              <w:marRight w:val="0"/>
              <w:marTop w:val="0"/>
              <w:marBottom w:val="150"/>
              <w:divBdr>
                <w:top w:val="none" w:sz="0" w:space="0" w:color="auto"/>
                <w:left w:val="none" w:sz="0" w:space="0" w:color="auto"/>
                <w:bottom w:val="none" w:sz="0" w:space="0" w:color="auto"/>
                <w:right w:val="none" w:sz="0" w:space="0" w:color="auto"/>
              </w:divBdr>
            </w:div>
            <w:div w:id="1303734604">
              <w:marLeft w:val="0"/>
              <w:marRight w:val="0"/>
              <w:marTop w:val="0"/>
              <w:marBottom w:val="150"/>
              <w:divBdr>
                <w:top w:val="none" w:sz="0" w:space="0" w:color="auto"/>
                <w:left w:val="none" w:sz="0" w:space="0" w:color="auto"/>
                <w:bottom w:val="none" w:sz="0" w:space="0" w:color="auto"/>
                <w:right w:val="none" w:sz="0" w:space="0" w:color="auto"/>
              </w:divBdr>
            </w:div>
            <w:div w:id="1463426690">
              <w:marLeft w:val="0"/>
              <w:marRight w:val="0"/>
              <w:marTop w:val="0"/>
              <w:marBottom w:val="150"/>
              <w:divBdr>
                <w:top w:val="none" w:sz="0" w:space="0" w:color="auto"/>
                <w:left w:val="none" w:sz="0" w:space="0" w:color="auto"/>
                <w:bottom w:val="none" w:sz="0" w:space="0" w:color="auto"/>
                <w:right w:val="none" w:sz="0" w:space="0" w:color="auto"/>
              </w:divBdr>
            </w:div>
            <w:div w:id="1799715330">
              <w:marLeft w:val="0"/>
              <w:marRight w:val="0"/>
              <w:marTop w:val="0"/>
              <w:marBottom w:val="150"/>
              <w:divBdr>
                <w:top w:val="none" w:sz="0" w:space="0" w:color="auto"/>
                <w:left w:val="none" w:sz="0" w:space="0" w:color="auto"/>
                <w:bottom w:val="none" w:sz="0" w:space="0" w:color="auto"/>
                <w:right w:val="none" w:sz="0" w:space="0" w:color="auto"/>
              </w:divBdr>
            </w:div>
            <w:div w:id="1939558917">
              <w:marLeft w:val="0"/>
              <w:marRight w:val="0"/>
              <w:marTop w:val="0"/>
              <w:marBottom w:val="150"/>
              <w:divBdr>
                <w:top w:val="none" w:sz="0" w:space="0" w:color="auto"/>
                <w:left w:val="none" w:sz="0" w:space="0" w:color="auto"/>
                <w:bottom w:val="none" w:sz="0" w:space="0" w:color="auto"/>
                <w:right w:val="none" w:sz="0" w:space="0" w:color="auto"/>
              </w:divBdr>
            </w:div>
            <w:div w:id="19836560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62639964">
      <w:bodyDiv w:val="1"/>
      <w:marLeft w:val="0"/>
      <w:marRight w:val="0"/>
      <w:marTop w:val="0"/>
      <w:marBottom w:val="0"/>
      <w:divBdr>
        <w:top w:val="none" w:sz="0" w:space="0" w:color="auto"/>
        <w:left w:val="none" w:sz="0" w:space="0" w:color="auto"/>
        <w:bottom w:val="none" w:sz="0" w:space="0" w:color="auto"/>
        <w:right w:val="none" w:sz="0" w:space="0" w:color="auto"/>
      </w:divBdr>
      <w:divsChild>
        <w:div w:id="384453860">
          <w:marLeft w:val="0"/>
          <w:marRight w:val="0"/>
          <w:marTop w:val="0"/>
          <w:marBottom w:val="150"/>
          <w:divBdr>
            <w:top w:val="none" w:sz="0" w:space="0" w:color="auto"/>
            <w:left w:val="none" w:sz="0" w:space="0" w:color="auto"/>
            <w:bottom w:val="none" w:sz="0" w:space="0" w:color="auto"/>
            <w:right w:val="none" w:sz="0" w:space="0" w:color="auto"/>
          </w:divBdr>
        </w:div>
        <w:div w:id="1327787987">
          <w:marLeft w:val="0"/>
          <w:marRight w:val="0"/>
          <w:marTop w:val="0"/>
          <w:marBottom w:val="0"/>
          <w:divBdr>
            <w:top w:val="none" w:sz="0" w:space="0" w:color="auto"/>
            <w:left w:val="none" w:sz="0" w:space="0" w:color="auto"/>
            <w:bottom w:val="none" w:sz="0" w:space="0" w:color="auto"/>
            <w:right w:val="none" w:sz="0" w:space="0" w:color="auto"/>
          </w:divBdr>
          <w:divsChild>
            <w:div w:id="1464736298">
              <w:marLeft w:val="0"/>
              <w:marRight w:val="0"/>
              <w:marTop w:val="225"/>
              <w:marBottom w:val="225"/>
              <w:divBdr>
                <w:top w:val="none" w:sz="0" w:space="0" w:color="auto"/>
                <w:left w:val="none" w:sz="0" w:space="0" w:color="auto"/>
                <w:bottom w:val="none" w:sz="0" w:space="0" w:color="auto"/>
                <w:right w:val="none" w:sz="0" w:space="0" w:color="auto"/>
              </w:divBdr>
            </w:div>
          </w:divsChild>
        </w:div>
        <w:div w:id="1922449783">
          <w:marLeft w:val="0"/>
          <w:marRight w:val="0"/>
          <w:marTop w:val="0"/>
          <w:marBottom w:val="150"/>
          <w:divBdr>
            <w:top w:val="none" w:sz="0" w:space="0" w:color="auto"/>
            <w:left w:val="none" w:sz="0" w:space="0" w:color="auto"/>
            <w:bottom w:val="none" w:sz="0" w:space="0" w:color="auto"/>
            <w:right w:val="none" w:sz="0" w:space="0" w:color="auto"/>
          </w:divBdr>
          <w:divsChild>
            <w:div w:id="845293847">
              <w:marLeft w:val="0"/>
              <w:marRight w:val="0"/>
              <w:marTop w:val="0"/>
              <w:marBottom w:val="0"/>
              <w:divBdr>
                <w:top w:val="none" w:sz="0" w:space="0" w:color="auto"/>
                <w:left w:val="none" w:sz="0" w:space="0" w:color="auto"/>
                <w:bottom w:val="none" w:sz="0" w:space="0" w:color="auto"/>
                <w:right w:val="none" w:sz="0" w:space="0" w:color="auto"/>
              </w:divBdr>
              <w:divsChild>
                <w:div w:id="194688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983323">
      <w:bodyDiv w:val="1"/>
      <w:marLeft w:val="0"/>
      <w:marRight w:val="0"/>
      <w:marTop w:val="0"/>
      <w:marBottom w:val="0"/>
      <w:divBdr>
        <w:top w:val="none" w:sz="0" w:space="0" w:color="auto"/>
        <w:left w:val="none" w:sz="0" w:space="0" w:color="auto"/>
        <w:bottom w:val="none" w:sz="0" w:space="0" w:color="auto"/>
        <w:right w:val="none" w:sz="0" w:space="0" w:color="auto"/>
      </w:divBdr>
    </w:div>
    <w:div w:id="563372926">
      <w:bodyDiv w:val="1"/>
      <w:marLeft w:val="0"/>
      <w:marRight w:val="0"/>
      <w:marTop w:val="0"/>
      <w:marBottom w:val="0"/>
      <w:divBdr>
        <w:top w:val="none" w:sz="0" w:space="0" w:color="auto"/>
        <w:left w:val="none" w:sz="0" w:space="0" w:color="auto"/>
        <w:bottom w:val="none" w:sz="0" w:space="0" w:color="auto"/>
        <w:right w:val="none" w:sz="0" w:space="0" w:color="auto"/>
      </w:divBdr>
      <w:divsChild>
        <w:div w:id="479542652">
          <w:marLeft w:val="0"/>
          <w:marRight w:val="0"/>
          <w:marTop w:val="0"/>
          <w:marBottom w:val="75"/>
          <w:divBdr>
            <w:top w:val="none" w:sz="0" w:space="0" w:color="auto"/>
            <w:left w:val="none" w:sz="0" w:space="0" w:color="auto"/>
            <w:bottom w:val="none" w:sz="0" w:space="0" w:color="auto"/>
            <w:right w:val="none" w:sz="0" w:space="0" w:color="auto"/>
          </w:divBdr>
        </w:div>
        <w:div w:id="1172258434">
          <w:marLeft w:val="0"/>
          <w:marRight w:val="0"/>
          <w:marTop w:val="0"/>
          <w:marBottom w:val="0"/>
          <w:divBdr>
            <w:top w:val="none" w:sz="0" w:space="0" w:color="auto"/>
            <w:left w:val="none" w:sz="0" w:space="0" w:color="auto"/>
            <w:bottom w:val="none" w:sz="0" w:space="0" w:color="auto"/>
            <w:right w:val="none" w:sz="0" w:space="0" w:color="auto"/>
          </w:divBdr>
        </w:div>
        <w:div w:id="1470200228">
          <w:marLeft w:val="0"/>
          <w:marRight w:val="0"/>
          <w:marTop w:val="0"/>
          <w:marBottom w:val="300"/>
          <w:divBdr>
            <w:top w:val="none" w:sz="0" w:space="0" w:color="auto"/>
            <w:left w:val="none" w:sz="0" w:space="0" w:color="auto"/>
            <w:bottom w:val="none" w:sz="0" w:space="0" w:color="auto"/>
            <w:right w:val="none" w:sz="0" w:space="0" w:color="auto"/>
          </w:divBdr>
          <w:divsChild>
            <w:div w:id="1223561219">
              <w:marLeft w:val="0"/>
              <w:marRight w:val="0"/>
              <w:marTop w:val="0"/>
              <w:marBottom w:val="0"/>
              <w:divBdr>
                <w:top w:val="none" w:sz="0" w:space="0" w:color="auto"/>
                <w:left w:val="none" w:sz="0" w:space="0" w:color="auto"/>
                <w:bottom w:val="none" w:sz="0" w:space="0" w:color="auto"/>
                <w:right w:val="none" w:sz="0" w:space="0" w:color="auto"/>
              </w:divBdr>
            </w:div>
          </w:divsChild>
        </w:div>
        <w:div w:id="1546410211">
          <w:marLeft w:val="0"/>
          <w:marRight w:val="0"/>
          <w:marTop w:val="0"/>
          <w:marBottom w:val="0"/>
          <w:divBdr>
            <w:top w:val="none" w:sz="0" w:space="0" w:color="auto"/>
            <w:left w:val="none" w:sz="0" w:space="0" w:color="auto"/>
            <w:bottom w:val="none" w:sz="0" w:space="0" w:color="auto"/>
            <w:right w:val="none" w:sz="0" w:space="0" w:color="auto"/>
          </w:divBdr>
          <w:divsChild>
            <w:div w:id="1433818988">
              <w:marLeft w:val="0"/>
              <w:marRight w:val="0"/>
              <w:marTop w:val="0"/>
              <w:marBottom w:val="0"/>
              <w:divBdr>
                <w:top w:val="none" w:sz="0" w:space="0" w:color="auto"/>
                <w:left w:val="none" w:sz="0" w:space="0" w:color="auto"/>
                <w:bottom w:val="none" w:sz="0" w:space="0" w:color="auto"/>
                <w:right w:val="none" w:sz="0" w:space="0" w:color="auto"/>
              </w:divBdr>
              <w:divsChild>
                <w:div w:id="136663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416445">
      <w:bodyDiv w:val="1"/>
      <w:marLeft w:val="0"/>
      <w:marRight w:val="0"/>
      <w:marTop w:val="0"/>
      <w:marBottom w:val="0"/>
      <w:divBdr>
        <w:top w:val="none" w:sz="0" w:space="0" w:color="auto"/>
        <w:left w:val="none" w:sz="0" w:space="0" w:color="auto"/>
        <w:bottom w:val="none" w:sz="0" w:space="0" w:color="auto"/>
        <w:right w:val="none" w:sz="0" w:space="0" w:color="auto"/>
      </w:divBdr>
      <w:divsChild>
        <w:div w:id="1480726648">
          <w:marLeft w:val="0"/>
          <w:marRight w:val="0"/>
          <w:marTop w:val="0"/>
          <w:marBottom w:val="0"/>
          <w:divBdr>
            <w:top w:val="none" w:sz="0" w:space="0" w:color="auto"/>
            <w:left w:val="none" w:sz="0" w:space="0" w:color="auto"/>
            <w:bottom w:val="none" w:sz="0" w:space="0" w:color="auto"/>
            <w:right w:val="none" w:sz="0" w:space="0" w:color="auto"/>
          </w:divBdr>
        </w:div>
        <w:div w:id="1050542534">
          <w:marLeft w:val="0"/>
          <w:marRight w:val="0"/>
          <w:marTop w:val="0"/>
          <w:marBottom w:val="0"/>
          <w:divBdr>
            <w:top w:val="none" w:sz="0" w:space="0" w:color="auto"/>
            <w:left w:val="none" w:sz="0" w:space="0" w:color="auto"/>
            <w:bottom w:val="none" w:sz="0" w:space="0" w:color="auto"/>
            <w:right w:val="none" w:sz="0" w:space="0" w:color="auto"/>
          </w:divBdr>
        </w:div>
      </w:divsChild>
    </w:div>
    <w:div w:id="563610840">
      <w:bodyDiv w:val="1"/>
      <w:marLeft w:val="0"/>
      <w:marRight w:val="0"/>
      <w:marTop w:val="0"/>
      <w:marBottom w:val="0"/>
      <w:divBdr>
        <w:top w:val="none" w:sz="0" w:space="0" w:color="auto"/>
        <w:left w:val="none" w:sz="0" w:space="0" w:color="auto"/>
        <w:bottom w:val="none" w:sz="0" w:space="0" w:color="auto"/>
        <w:right w:val="none" w:sz="0" w:space="0" w:color="auto"/>
      </w:divBdr>
    </w:div>
    <w:div w:id="563948941">
      <w:bodyDiv w:val="1"/>
      <w:marLeft w:val="0"/>
      <w:marRight w:val="0"/>
      <w:marTop w:val="0"/>
      <w:marBottom w:val="0"/>
      <w:divBdr>
        <w:top w:val="none" w:sz="0" w:space="0" w:color="auto"/>
        <w:left w:val="none" w:sz="0" w:space="0" w:color="auto"/>
        <w:bottom w:val="none" w:sz="0" w:space="0" w:color="auto"/>
        <w:right w:val="none" w:sz="0" w:space="0" w:color="auto"/>
      </w:divBdr>
      <w:divsChild>
        <w:div w:id="418870455">
          <w:marLeft w:val="0"/>
          <w:marRight w:val="0"/>
          <w:marTop w:val="150"/>
          <w:marBottom w:val="150"/>
          <w:divBdr>
            <w:top w:val="none" w:sz="0" w:space="0" w:color="auto"/>
            <w:left w:val="none" w:sz="0" w:space="0" w:color="auto"/>
            <w:bottom w:val="none" w:sz="0" w:space="0" w:color="auto"/>
            <w:right w:val="none" w:sz="0" w:space="0" w:color="auto"/>
          </w:divBdr>
        </w:div>
        <w:div w:id="832641106">
          <w:marLeft w:val="0"/>
          <w:marRight w:val="0"/>
          <w:marTop w:val="150"/>
          <w:marBottom w:val="150"/>
          <w:divBdr>
            <w:top w:val="none" w:sz="0" w:space="0" w:color="auto"/>
            <w:left w:val="none" w:sz="0" w:space="0" w:color="auto"/>
            <w:bottom w:val="none" w:sz="0" w:space="0" w:color="auto"/>
            <w:right w:val="none" w:sz="0" w:space="0" w:color="auto"/>
          </w:divBdr>
        </w:div>
      </w:divsChild>
    </w:div>
    <w:div w:id="564068941">
      <w:bodyDiv w:val="1"/>
      <w:marLeft w:val="0"/>
      <w:marRight w:val="0"/>
      <w:marTop w:val="0"/>
      <w:marBottom w:val="0"/>
      <w:divBdr>
        <w:top w:val="none" w:sz="0" w:space="0" w:color="auto"/>
        <w:left w:val="none" w:sz="0" w:space="0" w:color="auto"/>
        <w:bottom w:val="none" w:sz="0" w:space="0" w:color="auto"/>
        <w:right w:val="none" w:sz="0" w:space="0" w:color="auto"/>
      </w:divBdr>
      <w:divsChild>
        <w:div w:id="60567052">
          <w:marLeft w:val="0"/>
          <w:marRight w:val="0"/>
          <w:marTop w:val="0"/>
          <w:marBottom w:val="0"/>
          <w:divBdr>
            <w:top w:val="none" w:sz="0" w:space="0" w:color="auto"/>
            <w:left w:val="none" w:sz="0" w:space="0" w:color="auto"/>
            <w:bottom w:val="none" w:sz="0" w:space="0" w:color="auto"/>
            <w:right w:val="none" w:sz="0" w:space="0" w:color="auto"/>
          </w:divBdr>
        </w:div>
        <w:div w:id="262303415">
          <w:marLeft w:val="0"/>
          <w:marRight w:val="0"/>
          <w:marTop w:val="0"/>
          <w:marBottom w:val="150"/>
          <w:divBdr>
            <w:top w:val="none" w:sz="0" w:space="0" w:color="auto"/>
            <w:left w:val="none" w:sz="0" w:space="0" w:color="auto"/>
            <w:bottom w:val="none" w:sz="0" w:space="0" w:color="auto"/>
            <w:right w:val="none" w:sz="0" w:space="0" w:color="auto"/>
          </w:divBdr>
        </w:div>
      </w:divsChild>
    </w:div>
    <w:div w:id="564072250">
      <w:bodyDiv w:val="1"/>
      <w:marLeft w:val="0"/>
      <w:marRight w:val="0"/>
      <w:marTop w:val="0"/>
      <w:marBottom w:val="0"/>
      <w:divBdr>
        <w:top w:val="none" w:sz="0" w:space="0" w:color="auto"/>
        <w:left w:val="none" w:sz="0" w:space="0" w:color="auto"/>
        <w:bottom w:val="none" w:sz="0" w:space="0" w:color="auto"/>
        <w:right w:val="none" w:sz="0" w:space="0" w:color="auto"/>
      </w:divBdr>
      <w:divsChild>
        <w:div w:id="1946380580">
          <w:marLeft w:val="0"/>
          <w:marRight w:val="0"/>
          <w:marTop w:val="0"/>
          <w:marBottom w:val="150"/>
          <w:divBdr>
            <w:top w:val="none" w:sz="0" w:space="0" w:color="auto"/>
            <w:left w:val="none" w:sz="0" w:space="0" w:color="auto"/>
            <w:bottom w:val="none" w:sz="0" w:space="0" w:color="auto"/>
            <w:right w:val="none" w:sz="0" w:space="0" w:color="auto"/>
          </w:divBdr>
          <w:divsChild>
            <w:div w:id="725645907">
              <w:marLeft w:val="0"/>
              <w:marRight w:val="0"/>
              <w:marTop w:val="0"/>
              <w:marBottom w:val="0"/>
              <w:divBdr>
                <w:top w:val="none" w:sz="0" w:space="0" w:color="auto"/>
                <w:left w:val="none" w:sz="0" w:space="0" w:color="auto"/>
                <w:bottom w:val="none" w:sz="0" w:space="0" w:color="auto"/>
                <w:right w:val="none" w:sz="0" w:space="0" w:color="auto"/>
              </w:divBdr>
              <w:divsChild>
                <w:div w:id="1053234479">
                  <w:marLeft w:val="0"/>
                  <w:marRight w:val="0"/>
                  <w:marTop w:val="0"/>
                  <w:marBottom w:val="0"/>
                  <w:divBdr>
                    <w:top w:val="none" w:sz="0" w:space="0" w:color="auto"/>
                    <w:left w:val="none" w:sz="0" w:space="0" w:color="auto"/>
                    <w:bottom w:val="none" w:sz="0" w:space="0" w:color="auto"/>
                    <w:right w:val="none" w:sz="0" w:space="0" w:color="auto"/>
                  </w:divBdr>
                  <w:divsChild>
                    <w:div w:id="1013799327">
                      <w:marLeft w:val="0"/>
                      <w:marRight w:val="150"/>
                      <w:marTop w:val="0"/>
                      <w:marBottom w:val="0"/>
                      <w:divBdr>
                        <w:top w:val="none" w:sz="0" w:space="0" w:color="auto"/>
                        <w:left w:val="none" w:sz="0" w:space="0" w:color="auto"/>
                        <w:bottom w:val="none" w:sz="0" w:space="0" w:color="auto"/>
                        <w:right w:val="none" w:sz="0" w:space="0" w:color="auto"/>
                      </w:divBdr>
                      <w:divsChild>
                        <w:div w:id="32867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747152">
          <w:marLeft w:val="0"/>
          <w:marRight w:val="0"/>
          <w:marTop w:val="0"/>
          <w:marBottom w:val="150"/>
          <w:divBdr>
            <w:top w:val="none" w:sz="0" w:space="0" w:color="auto"/>
            <w:left w:val="none" w:sz="0" w:space="0" w:color="auto"/>
            <w:bottom w:val="none" w:sz="0" w:space="0" w:color="auto"/>
            <w:right w:val="none" w:sz="0" w:space="0" w:color="auto"/>
          </w:divBdr>
        </w:div>
        <w:div w:id="528222640">
          <w:marLeft w:val="0"/>
          <w:marRight w:val="0"/>
          <w:marTop w:val="0"/>
          <w:marBottom w:val="0"/>
          <w:divBdr>
            <w:top w:val="none" w:sz="0" w:space="0" w:color="auto"/>
            <w:left w:val="none" w:sz="0" w:space="0" w:color="auto"/>
            <w:bottom w:val="none" w:sz="0" w:space="0" w:color="auto"/>
            <w:right w:val="none" w:sz="0" w:space="0" w:color="auto"/>
          </w:divBdr>
          <w:divsChild>
            <w:div w:id="16344076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64493968">
      <w:bodyDiv w:val="1"/>
      <w:marLeft w:val="0"/>
      <w:marRight w:val="0"/>
      <w:marTop w:val="0"/>
      <w:marBottom w:val="0"/>
      <w:divBdr>
        <w:top w:val="none" w:sz="0" w:space="0" w:color="auto"/>
        <w:left w:val="none" w:sz="0" w:space="0" w:color="auto"/>
        <w:bottom w:val="none" w:sz="0" w:space="0" w:color="auto"/>
        <w:right w:val="none" w:sz="0" w:space="0" w:color="auto"/>
      </w:divBdr>
    </w:div>
    <w:div w:id="564803668">
      <w:bodyDiv w:val="1"/>
      <w:marLeft w:val="0"/>
      <w:marRight w:val="0"/>
      <w:marTop w:val="0"/>
      <w:marBottom w:val="0"/>
      <w:divBdr>
        <w:top w:val="none" w:sz="0" w:space="0" w:color="auto"/>
        <w:left w:val="none" w:sz="0" w:space="0" w:color="auto"/>
        <w:bottom w:val="none" w:sz="0" w:space="0" w:color="auto"/>
        <w:right w:val="none" w:sz="0" w:space="0" w:color="auto"/>
      </w:divBdr>
      <w:divsChild>
        <w:div w:id="952513620">
          <w:marLeft w:val="0"/>
          <w:marRight w:val="0"/>
          <w:marTop w:val="0"/>
          <w:marBottom w:val="0"/>
          <w:divBdr>
            <w:top w:val="none" w:sz="0" w:space="0" w:color="auto"/>
            <w:left w:val="none" w:sz="0" w:space="0" w:color="auto"/>
            <w:bottom w:val="none" w:sz="0" w:space="0" w:color="auto"/>
            <w:right w:val="none" w:sz="0" w:space="0" w:color="auto"/>
          </w:divBdr>
          <w:divsChild>
            <w:div w:id="1531112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65454944">
      <w:bodyDiv w:val="1"/>
      <w:marLeft w:val="0"/>
      <w:marRight w:val="0"/>
      <w:marTop w:val="0"/>
      <w:marBottom w:val="0"/>
      <w:divBdr>
        <w:top w:val="none" w:sz="0" w:space="0" w:color="auto"/>
        <w:left w:val="none" w:sz="0" w:space="0" w:color="auto"/>
        <w:bottom w:val="none" w:sz="0" w:space="0" w:color="auto"/>
        <w:right w:val="none" w:sz="0" w:space="0" w:color="auto"/>
      </w:divBdr>
      <w:divsChild>
        <w:div w:id="937642502">
          <w:marLeft w:val="0"/>
          <w:marRight w:val="0"/>
          <w:marTop w:val="0"/>
          <w:marBottom w:val="150"/>
          <w:divBdr>
            <w:top w:val="none" w:sz="0" w:space="0" w:color="auto"/>
            <w:left w:val="none" w:sz="0" w:space="0" w:color="auto"/>
            <w:bottom w:val="none" w:sz="0" w:space="0" w:color="auto"/>
            <w:right w:val="none" w:sz="0" w:space="0" w:color="auto"/>
          </w:divBdr>
          <w:divsChild>
            <w:div w:id="619262964">
              <w:marLeft w:val="0"/>
              <w:marRight w:val="0"/>
              <w:marTop w:val="0"/>
              <w:marBottom w:val="0"/>
              <w:divBdr>
                <w:top w:val="none" w:sz="0" w:space="0" w:color="auto"/>
                <w:left w:val="none" w:sz="0" w:space="0" w:color="auto"/>
                <w:bottom w:val="none" w:sz="0" w:space="0" w:color="auto"/>
                <w:right w:val="none" w:sz="0" w:space="0" w:color="auto"/>
              </w:divBdr>
              <w:divsChild>
                <w:div w:id="75428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661951">
          <w:marLeft w:val="0"/>
          <w:marRight w:val="0"/>
          <w:marTop w:val="0"/>
          <w:marBottom w:val="150"/>
          <w:divBdr>
            <w:top w:val="none" w:sz="0" w:space="0" w:color="auto"/>
            <w:left w:val="none" w:sz="0" w:space="0" w:color="auto"/>
            <w:bottom w:val="none" w:sz="0" w:space="0" w:color="auto"/>
            <w:right w:val="none" w:sz="0" w:space="0" w:color="auto"/>
          </w:divBdr>
        </w:div>
        <w:div w:id="2063402439">
          <w:marLeft w:val="0"/>
          <w:marRight w:val="0"/>
          <w:marTop w:val="0"/>
          <w:marBottom w:val="0"/>
          <w:divBdr>
            <w:top w:val="none" w:sz="0" w:space="0" w:color="auto"/>
            <w:left w:val="none" w:sz="0" w:space="0" w:color="auto"/>
            <w:bottom w:val="none" w:sz="0" w:space="0" w:color="auto"/>
            <w:right w:val="none" w:sz="0" w:space="0" w:color="auto"/>
          </w:divBdr>
          <w:divsChild>
            <w:div w:id="39782434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66037903">
      <w:bodyDiv w:val="1"/>
      <w:marLeft w:val="0"/>
      <w:marRight w:val="0"/>
      <w:marTop w:val="0"/>
      <w:marBottom w:val="0"/>
      <w:divBdr>
        <w:top w:val="none" w:sz="0" w:space="0" w:color="auto"/>
        <w:left w:val="none" w:sz="0" w:space="0" w:color="auto"/>
        <w:bottom w:val="none" w:sz="0" w:space="0" w:color="auto"/>
        <w:right w:val="none" w:sz="0" w:space="0" w:color="auto"/>
      </w:divBdr>
      <w:divsChild>
        <w:div w:id="157693673">
          <w:marLeft w:val="0"/>
          <w:marRight w:val="0"/>
          <w:marTop w:val="0"/>
          <w:marBottom w:val="0"/>
          <w:divBdr>
            <w:top w:val="none" w:sz="0" w:space="0" w:color="auto"/>
            <w:left w:val="none" w:sz="0" w:space="0" w:color="auto"/>
            <w:bottom w:val="none" w:sz="0" w:space="0" w:color="auto"/>
            <w:right w:val="none" w:sz="0" w:space="0" w:color="auto"/>
          </w:divBdr>
        </w:div>
        <w:div w:id="1385912466">
          <w:marLeft w:val="0"/>
          <w:marRight w:val="0"/>
          <w:marTop w:val="0"/>
          <w:marBottom w:val="150"/>
          <w:divBdr>
            <w:top w:val="none" w:sz="0" w:space="0" w:color="auto"/>
            <w:left w:val="none" w:sz="0" w:space="0" w:color="auto"/>
            <w:bottom w:val="none" w:sz="0" w:space="0" w:color="auto"/>
            <w:right w:val="none" w:sz="0" w:space="0" w:color="auto"/>
          </w:divBdr>
        </w:div>
      </w:divsChild>
    </w:div>
    <w:div w:id="566182750">
      <w:bodyDiv w:val="1"/>
      <w:marLeft w:val="0"/>
      <w:marRight w:val="0"/>
      <w:marTop w:val="0"/>
      <w:marBottom w:val="0"/>
      <w:divBdr>
        <w:top w:val="none" w:sz="0" w:space="0" w:color="auto"/>
        <w:left w:val="none" w:sz="0" w:space="0" w:color="auto"/>
        <w:bottom w:val="none" w:sz="0" w:space="0" w:color="auto"/>
        <w:right w:val="none" w:sz="0" w:space="0" w:color="auto"/>
      </w:divBdr>
      <w:divsChild>
        <w:div w:id="389812970">
          <w:marLeft w:val="0"/>
          <w:marRight w:val="0"/>
          <w:marTop w:val="0"/>
          <w:marBottom w:val="0"/>
          <w:divBdr>
            <w:top w:val="none" w:sz="0" w:space="0" w:color="auto"/>
            <w:left w:val="none" w:sz="0" w:space="0" w:color="auto"/>
            <w:bottom w:val="none" w:sz="0" w:space="0" w:color="auto"/>
            <w:right w:val="none" w:sz="0" w:space="0" w:color="auto"/>
          </w:divBdr>
          <w:divsChild>
            <w:div w:id="811407109">
              <w:marLeft w:val="0"/>
              <w:marRight w:val="0"/>
              <w:marTop w:val="0"/>
              <w:marBottom w:val="0"/>
              <w:divBdr>
                <w:top w:val="none" w:sz="0" w:space="0" w:color="auto"/>
                <w:left w:val="none" w:sz="0" w:space="0" w:color="auto"/>
                <w:bottom w:val="none" w:sz="0" w:space="0" w:color="auto"/>
                <w:right w:val="none" w:sz="0" w:space="0" w:color="auto"/>
              </w:divBdr>
              <w:divsChild>
                <w:div w:id="814685224">
                  <w:marLeft w:val="0"/>
                  <w:marRight w:val="0"/>
                  <w:marTop w:val="0"/>
                  <w:marBottom w:val="0"/>
                  <w:divBdr>
                    <w:top w:val="none" w:sz="0" w:space="0" w:color="auto"/>
                    <w:left w:val="none" w:sz="0" w:space="0" w:color="auto"/>
                    <w:bottom w:val="none" w:sz="0" w:space="0" w:color="auto"/>
                    <w:right w:val="none" w:sz="0" w:space="0" w:color="auto"/>
                  </w:divBdr>
                  <w:divsChild>
                    <w:div w:id="1985960974">
                      <w:marLeft w:val="0"/>
                      <w:marRight w:val="0"/>
                      <w:marTop w:val="0"/>
                      <w:marBottom w:val="0"/>
                      <w:divBdr>
                        <w:top w:val="none" w:sz="0" w:space="0" w:color="auto"/>
                        <w:left w:val="none" w:sz="0" w:space="0" w:color="auto"/>
                        <w:bottom w:val="none" w:sz="0" w:space="0" w:color="auto"/>
                        <w:right w:val="none" w:sz="0" w:space="0" w:color="auto"/>
                      </w:divBdr>
                      <w:divsChild>
                        <w:div w:id="160581450">
                          <w:marLeft w:val="0"/>
                          <w:marRight w:val="0"/>
                          <w:marTop w:val="0"/>
                          <w:marBottom w:val="0"/>
                          <w:divBdr>
                            <w:top w:val="none" w:sz="0" w:space="0" w:color="auto"/>
                            <w:left w:val="none" w:sz="0" w:space="0" w:color="auto"/>
                            <w:bottom w:val="none" w:sz="0" w:space="0" w:color="auto"/>
                            <w:right w:val="none" w:sz="0" w:space="0" w:color="auto"/>
                          </w:divBdr>
                          <w:divsChild>
                            <w:div w:id="1745952540">
                              <w:marLeft w:val="0"/>
                              <w:marRight w:val="0"/>
                              <w:marTop w:val="0"/>
                              <w:marBottom w:val="0"/>
                              <w:divBdr>
                                <w:top w:val="none" w:sz="0" w:space="0" w:color="auto"/>
                                <w:left w:val="none" w:sz="0" w:space="0" w:color="auto"/>
                                <w:bottom w:val="none" w:sz="0" w:space="0" w:color="auto"/>
                                <w:right w:val="none" w:sz="0" w:space="0" w:color="auto"/>
                              </w:divBdr>
                              <w:divsChild>
                                <w:div w:id="501238835">
                                  <w:marLeft w:val="0"/>
                                  <w:marRight w:val="0"/>
                                  <w:marTop w:val="0"/>
                                  <w:marBottom w:val="0"/>
                                  <w:divBdr>
                                    <w:top w:val="none" w:sz="0" w:space="0" w:color="auto"/>
                                    <w:left w:val="none" w:sz="0" w:space="0" w:color="auto"/>
                                    <w:bottom w:val="none" w:sz="0" w:space="0" w:color="auto"/>
                                    <w:right w:val="none" w:sz="0" w:space="0" w:color="auto"/>
                                  </w:divBdr>
                                  <w:divsChild>
                                    <w:div w:id="108961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234064">
      <w:bodyDiv w:val="1"/>
      <w:marLeft w:val="0"/>
      <w:marRight w:val="0"/>
      <w:marTop w:val="0"/>
      <w:marBottom w:val="0"/>
      <w:divBdr>
        <w:top w:val="none" w:sz="0" w:space="0" w:color="auto"/>
        <w:left w:val="none" w:sz="0" w:space="0" w:color="auto"/>
        <w:bottom w:val="none" w:sz="0" w:space="0" w:color="auto"/>
        <w:right w:val="none" w:sz="0" w:space="0" w:color="auto"/>
      </w:divBdr>
      <w:divsChild>
        <w:div w:id="678195766">
          <w:marLeft w:val="0"/>
          <w:marRight w:val="0"/>
          <w:marTop w:val="0"/>
          <w:marBottom w:val="0"/>
          <w:divBdr>
            <w:top w:val="none" w:sz="0" w:space="0" w:color="auto"/>
            <w:left w:val="none" w:sz="0" w:space="0" w:color="auto"/>
            <w:bottom w:val="none" w:sz="0" w:space="0" w:color="auto"/>
            <w:right w:val="none" w:sz="0" w:space="0" w:color="auto"/>
          </w:divBdr>
        </w:div>
      </w:divsChild>
    </w:div>
    <w:div w:id="566720075">
      <w:bodyDiv w:val="1"/>
      <w:marLeft w:val="0"/>
      <w:marRight w:val="0"/>
      <w:marTop w:val="0"/>
      <w:marBottom w:val="0"/>
      <w:divBdr>
        <w:top w:val="none" w:sz="0" w:space="0" w:color="auto"/>
        <w:left w:val="none" w:sz="0" w:space="0" w:color="auto"/>
        <w:bottom w:val="none" w:sz="0" w:space="0" w:color="auto"/>
        <w:right w:val="none" w:sz="0" w:space="0" w:color="auto"/>
      </w:divBdr>
      <w:divsChild>
        <w:div w:id="207038184">
          <w:marLeft w:val="0"/>
          <w:marRight w:val="0"/>
          <w:marTop w:val="0"/>
          <w:marBottom w:val="0"/>
          <w:divBdr>
            <w:top w:val="none" w:sz="0" w:space="0" w:color="auto"/>
            <w:left w:val="none" w:sz="0" w:space="0" w:color="auto"/>
            <w:bottom w:val="none" w:sz="0" w:space="0" w:color="auto"/>
            <w:right w:val="none" w:sz="0" w:space="0" w:color="auto"/>
          </w:divBdr>
        </w:div>
        <w:div w:id="671378075">
          <w:marLeft w:val="0"/>
          <w:marRight w:val="0"/>
          <w:marTop w:val="0"/>
          <w:marBottom w:val="0"/>
          <w:divBdr>
            <w:top w:val="none" w:sz="0" w:space="0" w:color="auto"/>
            <w:left w:val="none" w:sz="0" w:space="0" w:color="auto"/>
            <w:bottom w:val="none" w:sz="0" w:space="0" w:color="auto"/>
            <w:right w:val="none" w:sz="0" w:space="0" w:color="auto"/>
          </w:divBdr>
        </w:div>
      </w:divsChild>
    </w:div>
    <w:div w:id="567032772">
      <w:bodyDiv w:val="1"/>
      <w:marLeft w:val="0"/>
      <w:marRight w:val="0"/>
      <w:marTop w:val="0"/>
      <w:marBottom w:val="0"/>
      <w:divBdr>
        <w:top w:val="none" w:sz="0" w:space="0" w:color="auto"/>
        <w:left w:val="none" w:sz="0" w:space="0" w:color="auto"/>
        <w:bottom w:val="none" w:sz="0" w:space="0" w:color="auto"/>
        <w:right w:val="none" w:sz="0" w:space="0" w:color="auto"/>
      </w:divBdr>
      <w:divsChild>
        <w:div w:id="802424516">
          <w:marLeft w:val="0"/>
          <w:marRight w:val="0"/>
          <w:marTop w:val="0"/>
          <w:marBottom w:val="0"/>
          <w:divBdr>
            <w:top w:val="none" w:sz="0" w:space="0" w:color="auto"/>
            <w:left w:val="none" w:sz="0" w:space="0" w:color="auto"/>
            <w:bottom w:val="dotted" w:sz="6" w:space="4" w:color="DDDDDD"/>
            <w:right w:val="none" w:sz="0" w:space="0" w:color="auto"/>
          </w:divBdr>
          <w:divsChild>
            <w:div w:id="145478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108865">
      <w:bodyDiv w:val="1"/>
      <w:marLeft w:val="0"/>
      <w:marRight w:val="0"/>
      <w:marTop w:val="0"/>
      <w:marBottom w:val="0"/>
      <w:divBdr>
        <w:top w:val="none" w:sz="0" w:space="0" w:color="auto"/>
        <w:left w:val="none" w:sz="0" w:space="0" w:color="auto"/>
        <w:bottom w:val="none" w:sz="0" w:space="0" w:color="auto"/>
        <w:right w:val="none" w:sz="0" w:space="0" w:color="auto"/>
      </w:divBdr>
      <w:divsChild>
        <w:div w:id="5404440">
          <w:marLeft w:val="0"/>
          <w:marRight w:val="0"/>
          <w:marTop w:val="0"/>
          <w:marBottom w:val="150"/>
          <w:divBdr>
            <w:top w:val="none" w:sz="0" w:space="0" w:color="auto"/>
            <w:left w:val="none" w:sz="0" w:space="0" w:color="auto"/>
            <w:bottom w:val="none" w:sz="0" w:space="0" w:color="auto"/>
            <w:right w:val="none" w:sz="0" w:space="0" w:color="auto"/>
          </w:divBdr>
          <w:divsChild>
            <w:div w:id="1006326873">
              <w:marLeft w:val="0"/>
              <w:marRight w:val="0"/>
              <w:marTop w:val="0"/>
              <w:marBottom w:val="0"/>
              <w:divBdr>
                <w:top w:val="none" w:sz="0" w:space="0" w:color="auto"/>
                <w:left w:val="none" w:sz="0" w:space="0" w:color="auto"/>
                <w:bottom w:val="none" w:sz="0" w:space="0" w:color="auto"/>
                <w:right w:val="none" w:sz="0" w:space="0" w:color="auto"/>
              </w:divBdr>
              <w:divsChild>
                <w:div w:id="1680618928">
                  <w:marLeft w:val="0"/>
                  <w:marRight w:val="0"/>
                  <w:marTop w:val="0"/>
                  <w:marBottom w:val="0"/>
                  <w:divBdr>
                    <w:top w:val="none" w:sz="0" w:space="0" w:color="auto"/>
                    <w:left w:val="none" w:sz="0" w:space="0" w:color="auto"/>
                    <w:bottom w:val="none" w:sz="0" w:space="0" w:color="auto"/>
                    <w:right w:val="none" w:sz="0" w:space="0" w:color="auto"/>
                  </w:divBdr>
                  <w:divsChild>
                    <w:div w:id="1071006113">
                      <w:marLeft w:val="0"/>
                      <w:marRight w:val="150"/>
                      <w:marTop w:val="0"/>
                      <w:marBottom w:val="0"/>
                      <w:divBdr>
                        <w:top w:val="none" w:sz="0" w:space="0" w:color="auto"/>
                        <w:left w:val="none" w:sz="0" w:space="0" w:color="auto"/>
                        <w:bottom w:val="none" w:sz="0" w:space="0" w:color="auto"/>
                        <w:right w:val="none" w:sz="0" w:space="0" w:color="auto"/>
                      </w:divBdr>
                      <w:divsChild>
                        <w:div w:id="10970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58695">
          <w:marLeft w:val="0"/>
          <w:marRight w:val="0"/>
          <w:marTop w:val="0"/>
          <w:marBottom w:val="150"/>
          <w:divBdr>
            <w:top w:val="none" w:sz="0" w:space="0" w:color="auto"/>
            <w:left w:val="none" w:sz="0" w:space="0" w:color="auto"/>
            <w:bottom w:val="none" w:sz="0" w:space="0" w:color="auto"/>
            <w:right w:val="none" w:sz="0" w:space="0" w:color="auto"/>
          </w:divBdr>
        </w:div>
        <w:div w:id="1254439017">
          <w:marLeft w:val="0"/>
          <w:marRight w:val="0"/>
          <w:marTop w:val="0"/>
          <w:marBottom w:val="0"/>
          <w:divBdr>
            <w:top w:val="none" w:sz="0" w:space="0" w:color="auto"/>
            <w:left w:val="none" w:sz="0" w:space="0" w:color="auto"/>
            <w:bottom w:val="none" w:sz="0" w:space="0" w:color="auto"/>
            <w:right w:val="none" w:sz="0" w:space="0" w:color="auto"/>
          </w:divBdr>
          <w:divsChild>
            <w:div w:id="163082205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67570222">
      <w:bodyDiv w:val="1"/>
      <w:marLeft w:val="0"/>
      <w:marRight w:val="0"/>
      <w:marTop w:val="0"/>
      <w:marBottom w:val="0"/>
      <w:divBdr>
        <w:top w:val="none" w:sz="0" w:space="0" w:color="auto"/>
        <w:left w:val="none" w:sz="0" w:space="0" w:color="auto"/>
        <w:bottom w:val="none" w:sz="0" w:space="0" w:color="auto"/>
        <w:right w:val="none" w:sz="0" w:space="0" w:color="auto"/>
      </w:divBdr>
    </w:div>
    <w:div w:id="568274186">
      <w:bodyDiv w:val="1"/>
      <w:marLeft w:val="0"/>
      <w:marRight w:val="0"/>
      <w:marTop w:val="0"/>
      <w:marBottom w:val="0"/>
      <w:divBdr>
        <w:top w:val="none" w:sz="0" w:space="0" w:color="auto"/>
        <w:left w:val="none" w:sz="0" w:space="0" w:color="auto"/>
        <w:bottom w:val="none" w:sz="0" w:space="0" w:color="auto"/>
        <w:right w:val="none" w:sz="0" w:space="0" w:color="auto"/>
      </w:divBdr>
      <w:divsChild>
        <w:div w:id="7949208">
          <w:marLeft w:val="0"/>
          <w:marRight w:val="0"/>
          <w:marTop w:val="0"/>
          <w:marBottom w:val="0"/>
          <w:divBdr>
            <w:top w:val="none" w:sz="0" w:space="0" w:color="auto"/>
            <w:left w:val="none" w:sz="0" w:space="0" w:color="auto"/>
            <w:bottom w:val="none" w:sz="0" w:space="0" w:color="auto"/>
            <w:right w:val="none" w:sz="0" w:space="0" w:color="auto"/>
          </w:divBdr>
          <w:divsChild>
            <w:div w:id="1505706779">
              <w:marLeft w:val="0"/>
              <w:marRight w:val="0"/>
              <w:marTop w:val="0"/>
              <w:marBottom w:val="0"/>
              <w:divBdr>
                <w:top w:val="none" w:sz="0" w:space="0" w:color="auto"/>
                <w:left w:val="none" w:sz="0" w:space="0" w:color="auto"/>
                <w:bottom w:val="none" w:sz="0" w:space="0" w:color="auto"/>
                <w:right w:val="none" w:sz="0" w:space="0" w:color="auto"/>
              </w:divBdr>
              <w:divsChild>
                <w:div w:id="423376945">
                  <w:marLeft w:val="0"/>
                  <w:marRight w:val="0"/>
                  <w:marTop w:val="0"/>
                  <w:marBottom w:val="0"/>
                  <w:divBdr>
                    <w:top w:val="none" w:sz="0" w:space="0" w:color="auto"/>
                    <w:left w:val="none" w:sz="0" w:space="0" w:color="auto"/>
                    <w:bottom w:val="none" w:sz="0" w:space="0" w:color="auto"/>
                    <w:right w:val="none" w:sz="0" w:space="0" w:color="auto"/>
                  </w:divBdr>
                  <w:divsChild>
                    <w:div w:id="600376117">
                      <w:marLeft w:val="0"/>
                      <w:marRight w:val="0"/>
                      <w:marTop w:val="0"/>
                      <w:marBottom w:val="0"/>
                      <w:divBdr>
                        <w:top w:val="none" w:sz="0" w:space="0" w:color="auto"/>
                        <w:left w:val="none" w:sz="0" w:space="0" w:color="auto"/>
                        <w:bottom w:val="none" w:sz="0" w:space="0" w:color="auto"/>
                        <w:right w:val="none" w:sz="0" w:space="0" w:color="auto"/>
                      </w:divBdr>
                      <w:divsChild>
                        <w:div w:id="1017542138">
                          <w:marLeft w:val="0"/>
                          <w:marRight w:val="0"/>
                          <w:marTop w:val="0"/>
                          <w:marBottom w:val="0"/>
                          <w:divBdr>
                            <w:top w:val="none" w:sz="0" w:space="0" w:color="auto"/>
                            <w:left w:val="none" w:sz="0" w:space="0" w:color="auto"/>
                            <w:bottom w:val="none" w:sz="0" w:space="0" w:color="auto"/>
                            <w:right w:val="none" w:sz="0" w:space="0" w:color="auto"/>
                          </w:divBdr>
                          <w:divsChild>
                            <w:div w:id="509301567">
                              <w:marLeft w:val="0"/>
                              <w:marRight w:val="0"/>
                              <w:marTop w:val="0"/>
                              <w:marBottom w:val="0"/>
                              <w:divBdr>
                                <w:top w:val="none" w:sz="0" w:space="0" w:color="auto"/>
                                <w:left w:val="none" w:sz="0" w:space="0" w:color="auto"/>
                                <w:bottom w:val="none" w:sz="0" w:space="0" w:color="auto"/>
                                <w:right w:val="none" w:sz="0" w:space="0" w:color="auto"/>
                              </w:divBdr>
                              <w:divsChild>
                                <w:div w:id="332076668">
                                  <w:marLeft w:val="0"/>
                                  <w:marRight w:val="0"/>
                                  <w:marTop w:val="0"/>
                                  <w:marBottom w:val="0"/>
                                  <w:divBdr>
                                    <w:top w:val="none" w:sz="0" w:space="0" w:color="auto"/>
                                    <w:left w:val="none" w:sz="0" w:space="0" w:color="auto"/>
                                    <w:bottom w:val="none" w:sz="0" w:space="0" w:color="auto"/>
                                    <w:right w:val="none" w:sz="0" w:space="0" w:color="auto"/>
                                  </w:divBdr>
                                  <w:divsChild>
                                    <w:div w:id="10782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8537597">
      <w:bodyDiv w:val="1"/>
      <w:marLeft w:val="0"/>
      <w:marRight w:val="0"/>
      <w:marTop w:val="0"/>
      <w:marBottom w:val="0"/>
      <w:divBdr>
        <w:top w:val="none" w:sz="0" w:space="0" w:color="auto"/>
        <w:left w:val="none" w:sz="0" w:space="0" w:color="auto"/>
        <w:bottom w:val="none" w:sz="0" w:space="0" w:color="auto"/>
        <w:right w:val="none" w:sz="0" w:space="0" w:color="auto"/>
      </w:divBdr>
      <w:divsChild>
        <w:div w:id="1562249728">
          <w:marLeft w:val="0"/>
          <w:marRight w:val="0"/>
          <w:marTop w:val="0"/>
          <w:marBottom w:val="150"/>
          <w:divBdr>
            <w:top w:val="none" w:sz="0" w:space="0" w:color="auto"/>
            <w:left w:val="none" w:sz="0" w:space="0" w:color="auto"/>
            <w:bottom w:val="none" w:sz="0" w:space="0" w:color="auto"/>
            <w:right w:val="none" w:sz="0" w:space="0" w:color="auto"/>
          </w:divBdr>
        </w:div>
      </w:divsChild>
    </w:div>
    <w:div w:id="568686076">
      <w:bodyDiv w:val="1"/>
      <w:marLeft w:val="0"/>
      <w:marRight w:val="0"/>
      <w:marTop w:val="0"/>
      <w:marBottom w:val="0"/>
      <w:divBdr>
        <w:top w:val="none" w:sz="0" w:space="0" w:color="auto"/>
        <w:left w:val="none" w:sz="0" w:space="0" w:color="auto"/>
        <w:bottom w:val="none" w:sz="0" w:space="0" w:color="auto"/>
        <w:right w:val="none" w:sz="0" w:space="0" w:color="auto"/>
      </w:divBdr>
      <w:divsChild>
        <w:div w:id="1855683033">
          <w:marLeft w:val="0"/>
          <w:marRight w:val="0"/>
          <w:marTop w:val="0"/>
          <w:marBottom w:val="0"/>
          <w:divBdr>
            <w:top w:val="none" w:sz="0" w:space="0" w:color="auto"/>
            <w:left w:val="none" w:sz="0" w:space="0" w:color="auto"/>
            <w:bottom w:val="none" w:sz="0" w:space="0" w:color="auto"/>
            <w:right w:val="none" w:sz="0" w:space="0" w:color="auto"/>
          </w:divBdr>
        </w:div>
      </w:divsChild>
    </w:div>
    <w:div w:id="568728870">
      <w:bodyDiv w:val="1"/>
      <w:marLeft w:val="0"/>
      <w:marRight w:val="0"/>
      <w:marTop w:val="0"/>
      <w:marBottom w:val="0"/>
      <w:divBdr>
        <w:top w:val="none" w:sz="0" w:space="0" w:color="auto"/>
        <w:left w:val="none" w:sz="0" w:space="0" w:color="auto"/>
        <w:bottom w:val="none" w:sz="0" w:space="0" w:color="auto"/>
        <w:right w:val="none" w:sz="0" w:space="0" w:color="auto"/>
      </w:divBdr>
      <w:divsChild>
        <w:div w:id="1034378854">
          <w:marLeft w:val="0"/>
          <w:marRight w:val="0"/>
          <w:marTop w:val="0"/>
          <w:marBottom w:val="0"/>
          <w:divBdr>
            <w:top w:val="none" w:sz="0" w:space="0" w:color="auto"/>
            <w:left w:val="none" w:sz="0" w:space="0" w:color="auto"/>
            <w:bottom w:val="none" w:sz="0" w:space="0" w:color="auto"/>
            <w:right w:val="none" w:sz="0" w:space="0" w:color="auto"/>
          </w:divBdr>
          <w:divsChild>
            <w:div w:id="1824076585">
              <w:marLeft w:val="0"/>
              <w:marRight w:val="0"/>
              <w:marTop w:val="0"/>
              <w:marBottom w:val="0"/>
              <w:divBdr>
                <w:top w:val="none" w:sz="0" w:space="0" w:color="auto"/>
                <w:left w:val="none" w:sz="0" w:space="0" w:color="auto"/>
                <w:bottom w:val="none" w:sz="0" w:space="0" w:color="auto"/>
                <w:right w:val="none" w:sz="0" w:space="0" w:color="auto"/>
              </w:divBdr>
              <w:divsChild>
                <w:div w:id="1901556300">
                  <w:marLeft w:val="0"/>
                  <w:marRight w:val="0"/>
                  <w:marTop w:val="0"/>
                  <w:marBottom w:val="0"/>
                  <w:divBdr>
                    <w:top w:val="none" w:sz="0" w:space="0" w:color="auto"/>
                    <w:left w:val="none" w:sz="0" w:space="0" w:color="auto"/>
                    <w:bottom w:val="none" w:sz="0" w:space="0" w:color="auto"/>
                    <w:right w:val="none" w:sz="0" w:space="0" w:color="auto"/>
                  </w:divBdr>
                  <w:divsChild>
                    <w:div w:id="1693610799">
                      <w:marLeft w:val="0"/>
                      <w:marRight w:val="0"/>
                      <w:marTop w:val="0"/>
                      <w:marBottom w:val="0"/>
                      <w:divBdr>
                        <w:top w:val="none" w:sz="0" w:space="0" w:color="auto"/>
                        <w:left w:val="none" w:sz="0" w:space="0" w:color="auto"/>
                        <w:bottom w:val="none" w:sz="0" w:space="0" w:color="auto"/>
                        <w:right w:val="none" w:sz="0" w:space="0" w:color="auto"/>
                      </w:divBdr>
                      <w:divsChild>
                        <w:div w:id="1040977126">
                          <w:marLeft w:val="0"/>
                          <w:marRight w:val="0"/>
                          <w:marTop w:val="0"/>
                          <w:marBottom w:val="0"/>
                          <w:divBdr>
                            <w:top w:val="none" w:sz="0" w:space="0" w:color="auto"/>
                            <w:left w:val="none" w:sz="0" w:space="0" w:color="auto"/>
                            <w:bottom w:val="none" w:sz="0" w:space="0" w:color="auto"/>
                            <w:right w:val="none" w:sz="0" w:space="0" w:color="auto"/>
                          </w:divBdr>
                          <w:divsChild>
                            <w:div w:id="1320619684">
                              <w:marLeft w:val="0"/>
                              <w:marRight w:val="0"/>
                              <w:marTop w:val="0"/>
                              <w:marBottom w:val="0"/>
                              <w:divBdr>
                                <w:top w:val="none" w:sz="0" w:space="0" w:color="auto"/>
                                <w:left w:val="none" w:sz="0" w:space="0" w:color="auto"/>
                                <w:bottom w:val="none" w:sz="0" w:space="0" w:color="auto"/>
                                <w:right w:val="none" w:sz="0" w:space="0" w:color="auto"/>
                              </w:divBdr>
                              <w:divsChild>
                                <w:div w:id="49121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8928221">
      <w:bodyDiv w:val="1"/>
      <w:marLeft w:val="0"/>
      <w:marRight w:val="0"/>
      <w:marTop w:val="0"/>
      <w:marBottom w:val="0"/>
      <w:divBdr>
        <w:top w:val="none" w:sz="0" w:space="0" w:color="auto"/>
        <w:left w:val="none" w:sz="0" w:space="0" w:color="auto"/>
        <w:bottom w:val="none" w:sz="0" w:space="0" w:color="auto"/>
        <w:right w:val="none" w:sz="0" w:space="0" w:color="auto"/>
      </w:divBdr>
      <w:divsChild>
        <w:div w:id="785198277">
          <w:marLeft w:val="0"/>
          <w:marRight w:val="0"/>
          <w:marTop w:val="0"/>
          <w:marBottom w:val="0"/>
          <w:divBdr>
            <w:top w:val="none" w:sz="0" w:space="0" w:color="auto"/>
            <w:left w:val="none" w:sz="0" w:space="0" w:color="auto"/>
            <w:bottom w:val="none" w:sz="0" w:space="0" w:color="auto"/>
            <w:right w:val="none" w:sz="0" w:space="0" w:color="auto"/>
          </w:divBdr>
          <w:divsChild>
            <w:div w:id="1237085566">
              <w:marLeft w:val="0"/>
              <w:marRight w:val="150"/>
              <w:marTop w:val="0"/>
              <w:marBottom w:val="0"/>
              <w:divBdr>
                <w:top w:val="none" w:sz="0" w:space="0" w:color="auto"/>
                <w:left w:val="none" w:sz="0" w:space="0" w:color="auto"/>
                <w:bottom w:val="none" w:sz="0" w:space="0" w:color="auto"/>
                <w:right w:val="none" w:sz="0" w:space="0" w:color="auto"/>
              </w:divBdr>
              <w:divsChild>
                <w:div w:id="1526824610">
                  <w:marLeft w:val="0"/>
                  <w:marRight w:val="0"/>
                  <w:marTop w:val="0"/>
                  <w:marBottom w:val="0"/>
                  <w:divBdr>
                    <w:top w:val="none" w:sz="0" w:space="0" w:color="auto"/>
                    <w:left w:val="none" w:sz="0" w:space="0" w:color="auto"/>
                    <w:bottom w:val="none" w:sz="0" w:space="0" w:color="auto"/>
                    <w:right w:val="none" w:sz="0" w:space="0" w:color="auto"/>
                  </w:divBdr>
                </w:div>
              </w:divsChild>
            </w:div>
            <w:div w:id="1268385511">
              <w:marLeft w:val="0"/>
              <w:marRight w:val="150"/>
              <w:marTop w:val="0"/>
              <w:marBottom w:val="0"/>
              <w:divBdr>
                <w:top w:val="none" w:sz="0" w:space="0" w:color="auto"/>
                <w:left w:val="none" w:sz="0" w:space="0" w:color="auto"/>
                <w:bottom w:val="none" w:sz="0" w:space="0" w:color="auto"/>
                <w:right w:val="none" w:sz="0" w:space="0" w:color="auto"/>
              </w:divBdr>
            </w:div>
            <w:div w:id="140025171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569115619">
      <w:bodyDiv w:val="1"/>
      <w:marLeft w:val="0"/>
      <w:marRight w:val="0"/>
      <w:marTop w:val="0"/>
      <w:marBottom w:val="0"/>
      <w:divBdr>
        <w:top w:val="none" w:sz="0" w:space="0" w:color="auto"/>
        <w:left w:val="none" w:sz="0" w:space="0" w:color="auto"/>
        <w:bottom w:val="none" w:sz="0" w:space="0" w:color="auto"/>
        <w:right w:val="none" w:sz="0" w:space="0" w:color="auto"/>
      </w:divBdr>
      <w:divsChild>
        <w:div w:id="701394616">
          <w:marLeft w:val="0"/>
          <w:marRight w:val="0"/>
          <w:marTop w:val="0"/>
          <w:marBottom w:val="0"/>
          <w:divBdr>
            <w:top w:val="none" w:sz="0" w:space="0" w:color="auto"/>
            <w:left w:val="none" w:sz="0" w:space="0" w:color="auto"/>
            <w:bottom w:val="none" w:sz="0" w:space="0" w:color="auto"/>
            <w:right w:val="none" w:sz="0" w:space="0" w:color="auto"/>
          </w:divBdr>
          <w:divsChild>
            <w:div w:id="826823493">
              <w:marLeft w:val="0"/>
              <w:marRight w:val="0"/>
              <w:marTop w:val="225"/>
              <w:marBottom w:val="225"/>
              <w:divBdr>
                <w:top w:val="none" w:sz="0" w:space="0" w:color="auto"/>
                <w:left w:val="none" w:sz="0" w:space="0" w:color="auto"/>
                <w:bottom w:val="none" w:sz="0" w:space="0" w:color="auto"/>
                <w:right w:val="none" w:sz="0" w:space="0" w:color="auto"/>
              </w:divBdr>
            </w:div>
          </w:divsChild>
        </w:div>
        <w:div w:id="878712738">
          <w:marLeft w:val="0"/>
          <w:marRight w:val="0"/>
          <w:marTop w:val="0"/>
          <w:marBottom w:val="150"/>
          <w:divBdr>
            <w:top w:val="none" w:sz="0" w:space="0" w:color="auto"/>
            <w:left w:val="none" w:sz="0" w:space="0" w:color="auto"/>
            <w:bottom w:val="none" w:sz="0" w:space="0" w:color="auto"/>
            <w:right w:val="none" w:sz="0" w:space="0" w:color="auto"/>
          </w:divBdr>
        </w:div>
        <w:div w:id="1265652349">
          <w:marLeft w:val="0"/>
          <w:marRight w:val="0"/>
          <w:marTop w:val="0"/>
          <w:marBottom w:val="150"/>
          <w:divBdr>
            <w:top w:val="none" w:sz="0" w:space="0" w:color="auto"/>
            <w:left w:val="none" w:sz="0" w:space="0" w:color="auto"/>
            <w:bottom w:val="none" w:sz="0" w:space="0" w:color="auto"/>
            <w:right w:val="none" w:sz="0" w:space="0" w:color="auto"/>
          </w:divBdr>
          <w:divsChild>
            <w:div w:id="1012024140">
              <w:marLeft w:val="0"/>
              <w:marRight w:val="0"/>
              <w:marTop w:val="0"/>
              <w:marBottom w:val="0"/>
              <w:divBdr>
                <w:top w:val="none" w:sz="0" w:space="0" w:color="auto"/>
                <w:left w:val="none" w:sz="0" w:space="0" w:color="auto"/>
                <w:bottom w:val="none" w:sz="0" w:space="0" w:color="auto"/>
                <w:right w:val="none" w:sz="0" w:space="0" w:color="auto"/>
              </w:divBdr>
              <w:divsChild>
                <w:div w:id="68767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198590">
      <w:bodyDiv w:val="1"/>
      <w:marLeft w:val="0"/>
      <w:marRight w:val="0"/>
      <w:marTop w:val="0"/>
      <w:marBottom w:val="0"/>
      <w:divBdr>
        <w:top w:val="none" w:sz="0" w:space="0" w:color="auto"/>
        <w:left w:val="none" w:sz="0" w:space="0" w:color="auto"/>
        <w:bottom w:val="none" w:sz="0" w:space="0" w:color="auto"/>
        <w:right w:val="none" w:sz="0" w:space="0" w:color="auto"/>
      </w:divBdr>
      <w:divsChild>
        <w:div w:id="1280068370">
          <w:marLeft w:val="0"/>
          <w:marRight w:val="0"/>
          <w:marTop w:val="0"/>
          <w:marBottom w:val="150"/>
          <w:divBdr>
            <w:top w:val="none" w:sz="0" w:space="0" w:color="auto"/>
            <w:left w:val="none" w:sz="0" w:space="0" w:color="auto"/>
            <w:bottom w:val="none" w:sz="0" w:space="0" w:color="auto"/>
            <w:right w:val="none" w:sz="0" w:space="0" w:color="auto"/>
          </w:divBdr>
        </w:div>
      </w:divsChild>
    </w:div>
    <w:div w:id="569735881">
      <w:bodyDiv w:val="1"/>
      <w:marLeft w:val="0"/>
      <w:marRight w:val="0"/>
      <w:marTop w:val="0"/>
      <w:marBottom w:val="0"/>
      <w:divBdr>
        <w:top w:val="none" w:sz="0" w:space="0" w:color="auto"/>
        <w:left w:val="none" w:sz="0" w:space="0" w:color="auto"/>
        <w:bottom w:val="none" w:sz="0" w:space="0" w:color="auto"/>
        <w:right w:val="none" w:sz="0" w:space="0" w:color="auto"/>
      </w:divBdr>
      <w:divsChild>
        <w:div w:id="989596460">
          <w:marLeft w:val="0"/>
          <w:marRight w:val="0"/>
          <w:marTop w:val="0"/>
          <w:marBottom w:val="150"/>
          <w:divBdr>
            <w:top w:val="none" w:sz="0" w:space="0" w:color="auto"/>
            <w:left w:val="none" w:sz="0" w:space="0" w:color="auto"/>
            <w:bottom w:val="none" w:sz="0" w:space="0" w:color="auto"/>
            <w:right w:val="none" w:sz="0" w:space="0" w:color="auto"/>
          </w:divBdr>
        </w:div>
      </w:divsChild>
    </w:div>
    <w:div w:id="569773977">
      <w:bodyDiv w:val="1"/>
      <w:marLeft w:val="0"/>
      <w:marRight w:val="0"/>
      <w:marTop w:val="0"/>
      <w:marBottom w:val="0"/>
      <w:divBdr>
        <w:top w:val="none" w:sz="0" w:space="0" w:color="auto"/>
        <w:left w:val="none" w:sz="0" w:space="0" w:color="auto"/>
        <w:bottom w:val="none" w:sz="0" w:space="0" w:color="auto"/>
        <w:right w:val="none" w:sz="0" w:space="0" w:color="auto"/>
      </w:divBdr>
    </w:div>
    <w:div w:id="569850236">
      <w:bodyDiv w:val="1"/>
      <w:marLeft w:val="0"/>
      <w:marRight w:val="0"/>
      <w:marTop w:val="0"/>
      <w:marBottom w:val="0"/>
      <w:divBdr>
        <w:top w:val="none" w:sz="0" w:space="0" w:color="auto"/>
        <w:left w:val="none" w:sz="0" w:space="0" w:color="auto"/>
        <w:bottom w:val="none" w:sz="0" w:space="0" w:color="auto"/>
        <w:right w:val="none" w:sz="0" w:space="0" w:color="auto"/>
      </w:divBdr>
      <w:divsChild>
        <w:div w:id="690574853">
          <w:marLeft w:val="0"/>
          <w:marRight w:val="0"/>
          <w:marTop w:val="0"/>
          <w:marBottom w:val="150"/>
          <w:divBdr>
            <w:top w:val="none" w:sz="0" w:space="0" w:color="auto"/>
            <w:left w:val="none" w:sz="0" w:space="0" w:color="auto"/>
            <w:bottom w:val="none" w:sz="0" w:space="0" w:color="auto"/>
            <w:right w:val="none" w:sz="0" w:space="0" w:color="auto"/>
          </w:divBdr>
        </w:div>
      </w:divsChild>
    </w:div>
    <w:div w:id="570193982">
      <w:bodyDiv w:val="1"/>
      <w:marLeft w:val="0"/>
      <w:marRight w:val="0"/>
      <w:marTop w:val="0"/>
      <w:marBottom w:val="0"/>
      <w:divBdr>
        <w:top w:val="none" w:sz="0" w:space="0" w:color="auto"/>
        <w:left w:val="none" w:sz="0" w:space="0" w:color="auto"/>
        <w:bottom w:val="none" w:sz="0" w:space="0" w:color="auto"/>
        <w:right w:val="none" w:sz="0" w:space="0" w:color="auto"/>
      </w:divBdr>
    </w:div>
    <w:div w:id="570428626">
      <w:bodyDiv w:val="1"/>
      <w:marLeft w:val="0"/>
      <w:marRight w:val="0"/>
      <w:marTop w:val="0"/>
      <w:marBottom w:val="0"/>
      <w:divBdr>
        <w:top w:val="none" w:sz="0" w:space="0" w:color="auto"/>
        <w:left w:val="none" w:sz="0" w:space="0" w:color="auto"/>
        <w:bottom w:val="none" w:sz="0" w:space="0" w:color="auto"/>
        <w:right w:val="none" w:sz="0" w:space="0" w:color="auto"/>
      </w:divBdr>
      <w:divsChild>
        <w:div w:id="296642231">
          <w:marLeft w:val="0"/>
          <w:marRight w:val="0"/>
          <w:marTop w:val="0"/>
          <w:marBottom w:val="300"/>
          <w:divBdr>
            <w:top w:val="none" w:sz="0" w:space="0" w:color="auto"/>
            <w:left w:val="none" w:sz="0" w:space="0" w:color="auto"/>
            <w:bottom w:val="none" w:sz="0" w:space="0" w:color="auto"/>
            <w:right w:val="none" w:sz="0" w:space="0" w:color="auto"/>
          </w:divBdr>
          <w:divsChild>
            <w:div w:id="1790782764">
              <w:marLeft w:val="0"/>
              <w:marRight w:val="0"/>
              <w:marTop w:val="0"/>
              <w:marBottom w:val="0"/>
              <w:divBdr>
                <w:top w:val="none" w:sz="0" w:space="0" w:color="auto"/>
                <w:left w:val="none" w:sz="0" w:space="0" w:color="auto"/>
                <w:bottom w:val="none" w:sz="0" w:space="0" w:color="auto"/>
                <w:right w:val="none" w:sz="0" w:space="0" w:color="auto"/>
              </w:divBdr>
            </w:div>
          </w:divsChild>
        </w:div>
        <w:div w:id="624624057">
          <w:marLeft w:val="0"/>
          <w:marRight w:val="0"/>
          <w:marTop w:val="0"/>
          <w:marBottom w:val="0"/>
          <w:divBdr>
            <w:top w:val="none" w:sz="0" w:space="0" w:color="auto"/>
            <w:left w:val="none" w:sz="0" w:space="0" w:color="auto"/>
            <w:bottom w:val="none" w:sz="0" w:space="0" w:color="auto"/>
            <w:right w:val="none" w:sz="0" w:space="0" w:color="auto"/>
          </w:divBdr>
        </w:div>
        <w:div w:id="1437864213">
          <w:marLeft w:val="0"/>
          <w:marRight w:val="0"/>
          <w:marTop w:val="0"/>
          <w:marBottom w:val="75"/>
          <w:divBdr>
            <w:top w:val="none" w:sz="0" w:space="0" w:color="auto"/>
            <w:left w:val="none" w:sz="0" w:space="0" w:color="auto"/>
            <w:bottom w:val="none" w:sz="0" w:space="0" w:color="auto"/>
            <w:right w:val="none" w:sz="0" w:space="0" w:color="auto"/>
          </w:divBdr>
        </w:div>
        <w:div w:id="1891068931">
          <w:marLeft w:val="0"/>
          <w:marRight w:val="0"/>
          <w:marTop w:val="0"/>
          <w:marBottom w:val="0"/>
          <w:divBdr>
            <w:top w:val="none" w:sz="0" w:space="0" w:color="auto"/>
            <w:left w:val="none" w:sz="0" w:space="0" w:color="auto"/>
            <w:bottom w:val="none" w:sz="0" w:space="0" w:color="auto"/>
            <w:right w:val="none" w:sz="0" w:space="0" w:color="auto"/>
          </w:divBdr>
          <w:divsChild>
            <w:div w:id="1786652734">
              <w:marLeft w:val="0"/>
              <w:marRight w:val="0"/>
              <w:marTop w:val="0"/>
              <w:marBottom w:val="0"/>
              <w:divBdr>
                <w:top w:val="none" w:sz="0" w:space="0" w:color="auto"/>
                <w:left w:val="none" w:sz="0" w:space="0" w:color="auto"/>
                <w:bottom w:val="none" w:sz="0" w:space="0" w:color="auto"/>
                <w:right w:val="none" w:sz="0" w:space="0" w:color="auto"/>
              </w:divBdr>
              <w:divsChild>
                <w:div w:id="17414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433328">
      <w:bodyDiv w:val="1"/>
      <w:marLeft w:val="0"/>
      <w:marRight w:val="0"/>
      <w:marTop w:val="0"/>
      <w:marBottom w:val="0"/>
      <w:divBdr>
        <w:top w:val="none" w:sz="0" w:space="0" w:color="auto"/>
        <w:left w:val="none" w:sz="0" w:space="0" w:color="auto"/>
        <w:bottom w:val="none" w:sz="0" w:space="0" w:color="auto"/>
        <w:right w:val="none" w:sz="0" w:space="0" w:color="auto"/>
      </w:divBdr>
    </w:div>
    <w:div w:id="570700821">
      <w:bodyDiv w:val="1"/>
      <w:marLeft w:val="0"/>
      <w:marRight w:val="0"/>
      <w:marTop w:val="0"/>
      <w:marBottom w:val="0"/>
      <w:divBdr>
        <w:top w:val="none" w:sz="0" w:space="0" w:color="auto"/>
        <w:left w:val="none" w:sz="0" w:space="0" w:color="auto"/>
        <w:bottom w:val="none" w:sz="0" w:space="0" w:color="auto"/>
        <w:right w:val="none" w:sz="0" w:space="0" w:color="auto"/>
      </w:divBdr>
      <w:divsChild>
        <w:div w:id="1345983540">
          <w:marLeft w:val="0"/>
          <w:marRight w:val="0"/>
          <w:marTop w:val="0"/>
          <w:marBottom w:val="0"/>
          <w:divBdr>
            <w:top w:val="none" w:sz="0" w:space="0" w:color="auto"/>
            <w:left w:val="none" w:sz="0" w:space="0" w:color="auto"/>
            <w:bottom w:val="none" w:sz="0" w:space="0" w:color="auto"/>
            <w:right w:val="none" w:sz="0" w:space="0" w:color="auto"/>
          </w:divBdr>
          <w:divsChild>
            <w:div w:id="21805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775029">
      <w:bodyDiv w:val="1"/>
      <w:marLeft w:val="0"/>
      <w:marRight w:val="0"/>
      <w:marTop w:val="0"/>
      <w:marBottom w:val="0"/>
      <w:divBdr>
        <w:top w:val="none" w:sz="0" w:space="0" w:color="auto"/>
        <w:left w:val="none" w:sz="0" w:space="0" w:color="auto"/>
        <w:bottom w:val="none" w:sz="0" w:space="0" w:color="auto"/>
        <w:right w:val="none" w:sz="0" w:space="0" w:color="auto"/>
      </w:divBdr>
    </w:div>
    <w:div w:id="571736546">
      <w:bodyDiv w:val="1"/>
      <w:marLeft w:val="0"/>
      <w:marRight w:val="0"/>
      <w:marTop w:val="0"/>
      <w:marBottom w:val="0"/>
      <w:divBdr>
        <w:top w:val="none" w:sz="0" w:space="0" w:color="auto"/>
        <w:left w:val="none" w:sz="0" w:space="0" w:color="auto"/>
        <w:bottom w:val="none" w:sz="0" w:space="0" w:color="auto"/>
        <w:right w:val="none" w:sz="0" w:space="0" w:color="auto"/>
      </w:divBdr>
    </w:div>
    <w:div w:id="572549098">
      <w:bodyDiv w:val="1"/>
      <w:marLeft w:val="0"/>
      <w:marRight w:val="0"/>
      <w:marTop w:val="0"/>
      <w:marBottom w:val="0"/>
      <w:divBdr>
        <w:top w:val="none" w:sz="0" w:space="0" w:color="auto"/>
        <w:left w:val="none" w:sz="0" w:space="0" w:color="auto"/>
        <w:bottom w:val="none" w:sz="0" w:space="0" w:color="auto"/>
        <w:right w:val="none" w:sz="0" w:space="0" w:color="auto"/>
      </w:divBdr>
      <w:divsChild>
        <w:div w:id="1579906130">
          <w:marLeft w:val="0"/>
          <w:marRight w:val="0"/>
          <w:marTop w:val="0"/>
          <w:marBottom w:val="0"/>
          <w:divBdr>
            <w:top w:val="none" w:sz="0" w:space="0" w:color="auto"/>
            <w:left w:val="none" w:sz="0" w:space="0" w:color="auto"/>
            <w:bottom w:val="none" w:sz="0" w:space="0" w:color="auto"/>
            <w:right w:val="none" w:sz="0" w:space="0" w:color="auto"/>
          </w:divBdr>
          <w:divsChild>
            <w:div w:id="1307590025">
              <w:marLeft w:val="0"/>
              <w:marRight w:val="0"/>
              <w:marTop w:val="0"/>
              <w:marBottom w:val="0"/>
              <w:divBdr>
                <w:top w:val="none" w:sz="0" w:space="0" w:color="auto"/>
                <w:left w:val="none" w:sz="0" w:space="0" w:color="auto"/>
                <w:bottom w:val="none" w:sz="0" w:space="0" w:color="auto"/>
                <w:right w:val="none" w:sz="0" w:space="0" w:color="auto"/>
              </w:divBdr>
              <w:divsChild>
                <w:div w:id="885064269">
                  <w:marLeft w:val="0"/>
                  <w:marRight w:val="0"/>
                  <w:marTop w:val="0"/>
                  <w:marBottom w:val="0"/>
                  <w:divBdr>
                    <w:top w:val="none" w:sz="0" w:space="0" w:color="auto"/>
                    <w:left w:val="none" w:sz="0" w:space="0" w:color="auto"/>
                    <w:bottom w:val="none" w:sz="0" w:space="0" w:color="auto"/>
                    <w:right w:val="none" w:sz="0" w:space="0" w:color="auto"/>
                  </w:divBdr>
                  <w:divsChild>
                    <w:div w:id="946501852">
                      <w:marLeft w:val="0"/>
                      <w:marRight w:val="0"/>
                      <w:marTop w:val="0"/>
                      <w:marBottom w:val="0"/>
                      <w:divBdr>
                        <w:top w:val="none" w:sz="0" w:space="0" w:color="auto"/>
                        <w:left w:val="none" w:sz="0" w:space="0" w:color="auto"/>
                        <w:bottom w:val="none" w:sz="0" w:space="0" w:color="auto"/>
                        <w:right w:val="none" w:sz="0" w:space="0" w:color="auto"/>
                      </w:divBdr>
                      <w:divsChild>
                        <w:div w:id="356859833">
                          <w:marLeft w:val="0"/>
                          <w:marRight w:val="0"/>
                          <w:marTop w:val="0"/>
                          <w:marBottom w:val="0"/>
                          <w:divBdr>
                            <w:top w:val="none" w:sz="0" w:space="0" w:color="auto"/>
                            <w:left w:val="none" w:sz="0" w:space="0" w:color="auto"/>
                            <w:bottom w:val="none" w:sz="0" w:space="0" w:color="auto"/>
                            <w:right w:val="none" w:sz="0" w:space="0" w:color="auto"/>
                          </w:divBdr>
                          <w:divsChild>
                            <w:div w:id="1383820863">
                              <w:marLeft w:val="0"/>
                              <w:marRight w:val="0"/>
                              <w:marTop w:val="0"/>
                              <w:marBottom w:val="0"/>
                              <w:divBdr>
                                <w:top w:val="none" w:sz="0" w:space="0" w:color="auto"/>
                                <w:left w:val="none" w:sz="0" w:space="0" w:color="auto"/>
                                <w:bottom w:val="none" w:sz="0" w:space="0" w:color="auto"/>
                                <w:right w:val="none" w:sz="0" w:space="0" w:color="auto"/>
                              </w:divBdr>
                              <w:divsChild>
                                <w:div w:id="1772579973">
                                  <w:marLeft w:val="0"/>
                                  <w:marRight w:val="0"/>
                                  <w:marTop w:val="0"/>
                                  <w:marBottom w:val="0"/>
                                  <w:divBdr>
                                    <w:top w:val="none" w:sz="0" w:space="0" w:color="auto"/>
                                    <w:left w:val="none" w:sz="0" w:space="0" w:color="auto"/>
                                    <w:bottom w:val="none" w:sz="0" w:space="0" w:color="auto"/>
                                    <w:right w:val="none" w:sz="0" w:space="0" w:color="auto"/>
                                  </w:divBdr>
                                  <w:divsChild>
                                    <w:div w:id="206367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2591795">
      <w:bodyDiv w:val="1"/>
      <w:marLeft w:val="0"/>
      <w:marRight w:val="0"/>
      <w:marTop w:val="0"/>
      <w:marBottom w:val="0"/>
      <w:divBdr>
        <w:top w:val="none" w:sz="0" w:space="0" w:color="auto"/>
        <w:left w:val="none" w:sz="0" w:space="0" w:color="auto"/>
        <w:bottom w:val="none" w:sz="0" w:space="0" w:color="auto"/>
        <w:right w:val="none" w:sz="0" w:space="0" w:color="auto"/>
      </w:divBdr>
      <w:divsChild>
        <w:div w:id="22293997">
          <w:marLeft w:val="0"/>
          <w:marRight w:val="0"/>
          <w:marTop w:val="0"/>
          <w:marBottom w:val="300"/>
          <w:divBdr>
            <w:top w:val="none" w:sz="0" w:space="0" w:color="auto"/>
            <w:left w:val="none" w:sz="0" w:space="0" w:color="auto"/>
            <w:bottom w:val="none" w:sz="0" w:space="0" w:color="auto"/>
            <w:right w:val="none" w:sz="0" w:space="0" w:color="auto"/>
          </w:divBdr>
          <w:divsChild>
            <w:div w:id="338123759">
              <w:marLeft w:val="0"/>
              <w:marRight w:val="0"/>
              <w:marTop w:val="0"/>
              <w:marBottom w:val="0"/>
              <w:divBdr>
                <w:top w:val="none" w:sz="0" w:space="0" w:color="auto"/>
                <w:left w:val="none" w:sz="0" w:space="0" w:color="auto"/>
                <w:bottom w:val="none" w:sz="0" w:space="0" w:color="auto"/>
                <w:right w:val="none" w:sz="0" w:space="0" w:color="auto"/>
              </w:divBdr>
            </w:div>
          </w:divsChild>
        </w:div>
        <w:div w:id="426511551">
          <w:marLeft w:val="0"/>
          <w:marRight w:val="0"/>
          <w:marTop w:val="0"/>
          <w:marBottom w:val="75"/>
          <w:divBdr>
            <w:top w:val="none" w:sz="0" w:space="0" w:color="auto"/>
            <w:left w:val="none" w:sz="0" w:space="0" w:color="auto"/>
            <w:bottom w:val="none" w:sz="0" w:space="0" w:color="auto"/>
            <w:right w:val="none" w:sz="0" w:space="0" w:color="auto"/>
          </w:divBdr>
        </w:div>
        <w:div w:id="964895930">
          <w:marLeft w:val="0"/>
          <w:marRight w:val="0"/>
          <w:marTop w:val="0"/>
          <w:marBottom w:val="0"/>
          <w:divBdr>
            <w:top w:val="none" w:sz="0" w:space="0" w:color="auto"/>
            <w:left w:val="none" w:sz="0" w:space="0" w:color="auto"/>
            <w:bottom w:val="none" w:sz="0" w:space="0" w:color="auto"/>
            <w:right w:val="none" w:sz="0" w:space="0" w:color="auto"/>
          </w:divBdr>
          <w:divsChild>
            <w:div w:id="2120685428">
              <w:marLeft w:val="0"/>
              <w:marRight w:val="0"/>
              <w:marTop w:val="0"/>
              <w:marBottom w:val="0"/>
              <w:divBdr>
                <w:top w:val="none" w:sz="0" w:space="0" w:color="auto"/>
                <w:left w:val="none" w:sz="0" w:space="0" w:color="auto"/>
                <w:bottom w:val="none" w:sz="0" w:space="0" w:color="auto"/>
                <w:right w:val="none" w:sz="0" w:space="0" w:color="auto"/>
              </w:divBdr>
              <w:divsChild>
                <w:div w:id="45772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03542">
          <w:marLeft w:val="0"/>
          <w:marRight w:val="0"/>
          <w:marTop w:val="0"/>
          <w:marBottom w:val="0"/>
          <w:divBdr>
            <w:top w:val="none" w:sz="0" w:space="0" w:color="auto"/>
            <w:left w:val="none" w:sz="0" w:space="0" w:color="auto"/>
            <w:bottom w:val="none" w:sz="0" w:space="0" w:color="auto"/>
            <w:right w:val="none" w:sz="0" w:space="0" w:color="auto"/>
          </w:divBdr>
          <w:divsChild>
            <w:div w:id="1821146025">
              <w:marLeft w:val="0"/>
              <w:marRight w:val="0"/>
              <w:marTop w:val="0"/>
              <w:marBottom w:val="0"/>
              <w:divBdr>
                <w:top w:val="none" w:sz="0" w:space="0" w:color="auto"/>
                <w:left w:val="none" w:sz="0" w:space="0" w:color="auto"/>
                <w:bottom w:val="none" w:sz="0" w:space="0" w:color="auto"/>
                <w:right w:val="none" w:sz="0" w:space="0" w:color="auto"/>
              </w:divBdr>
              <w:divsChild>
                <w:div w:id="484395186">
                  <w:marLeft w:val="0"/>
                  <w:marRight w:val="0"/>
                  <w:marTop w:val="0"/>
                  <w:marBottom w:val="0"/>
                  <w:divBdr>
                    <w:top w:val="none" w:sz="0" w:space="0" w:color="auto"/>
                    <w:left w:val="none" w:sz="0" w:space="0" w:color="auto"/>
                    <w:bottom w:val="none" w:sz="0" w:space="0" w:color="auto"/>
                    <w:right w:val="none" w:sz="0" w:space="0" w:color="auto"/>
                  </w:divBdr>
                  <w:divsChild>
                    <w:div w:id="208505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662656">
      <w:bodyDiv w:val="1"/>
      <w:marLeft w:val="0"/>
      <w:marRight w:val="0"/>
      <w:marTop w:val="0"/>
      <w:marBottom w:val="0"/>
      <w:divBdr>
        <w:top w:val="none" w:sz="0" w:space="0" w:color="auto"/>
        <w:left w:val="none" w:sz="0" w:space="0" w:color="auto"/>
        <w:bottom w:val="none" w:sz="0" w:space="0" w:color="auto"/>
        <w:right w:val="none" w:sz="0" w:space="0" w:color="auto"/>
      </w:divBdr>
      <w:divsChild>
        <w:div w:id="1205757303">
          <w:marLeft w:val="0"/>
          <w:marRight w:val="0"/>
          <w:marTop w:val="0"/>
          <w:marBottom w:val="0"/>
          <w:divBdr>
            <w:top w:val="none" w:sz="0" w:space="0" w:color="auto"/>
            <w:left w:val="none" w:sz="0" w:space="0" w:color="auto"/>
            <w:bottom w:val="dotted" w:sz="6" w:space="4" w:color="DDDDDD"/>
            <w:right w:val="none" w:sz="0" w:space="0" w:color="auto"/>
          </w:divBdr>
        </w:div>
      </w:divsChild>
    </w:div>
    <w:div w:id="573586025">
      <w:bodyDiv w:val="1"/>
      <w:marLeft w:val="0"/>
      <w:marRight w:val="0"/>
      <w:marTop w:val="0"/>
      <w:marBottom w:val="0"/>
      <w:divBdr>
        <w:top w:val="none" w:sz="0" w:space="0" w:color="auto"/>
        <w:left w:val="none" w:sz="0" w:space="0" w:color="auto"/>
        <w:bottom w:val="none" w:sz="0" w:space="0" w:color="auto"/>
        <w:right w:val="none" w:sz="0" w:space="0" w:color="auto"/>
      </w:divBdr>
      <w:divsChild>
        <w:div w:id="2075272082">
          <w:marLeft w:val="0"/>
          <w:marRight w:val="0"/>
          <w:marTop w:val="0"/>
          <w:marBottom w:val="0"/>
          <w:divBdr>
            <w:top w:val="none" w:sz="0" w:space="0" w:color="auto"/>
            <w:left w:val="none" w:sz="0" w:space="0" w:color="auto"/>
            <w:bottom w:val="none" w:sz="0" w:space="0" w:color="auto"/>
            <w:right w:val="none" w:sz="0" w:space="0" w:color="auto"/>
          </w:divBdr>
          <w:divsChild>
            <w:div w:id="1063211030">
              <w:marLeft w:val="0"/>
              <w:marRight w:val="0"/>
              <w:marTop w:val="0"/>
              <w:marBottom w:val="0"/>
              <w:divBdr>
                <w:top w:val="none" w:sz="0" w:space="0" w:color="auto"/>
                <w:left w:val="none" w:sz="0" w:space="0" w:color="auto"/>
                <w:bottom w:val="none" w:sz="0" w:space="0" w:color="auto"/>
                <w:right w:val="none" w:sz="0" w:space="0" w:color="auto"/>
              </w:divBdr>
              <w:divsChild>
                <w:div w:id="1582636102">
                  <w:marLeft w:val="0"/>
                  <w:marRight w:val="0"/>
                  <w:marTop w:val="0"/>
                  <w:marBottom w:val="0"/>
                  <w:divBdr>
                    <w:top w:val="none" w:sz="0" w:space="0" w:color="auto"/>
                    <w:left w:val="none" w:sz="0" w:space="0" w:color="auto"/>
                    <w:bottom w:val="none" w:sz="0" w:space="0" w:color="auto"/>
                    <w:right w:val="none" w:sz="0" w:space="0" w:color="auto"/>
                  </w:divBdr>
                  <w:divsChild>
                    <w:div w:id="128596975">
                      <w:marLeft w:val="0"/>
                      <w:marRight w:val="0"/>
                      <w:marTop w:val="0"/>
                      <w:marBottom w:val="0"/>
                      <w:divBdr>
                        <w:top w:val="none" w:sz="0" w:space="0" w:color="auto"/>
                        <w:left w:val="none" w:sz="0" w:space="0" w:color="auto"/>
                        <w:bottom w:val="none" w:sz="0" w:space="0" w:color="auto"/>
                        <w:right w:val="none" w:sz="0" w:space="0" w:color="auto"/>
                      </w:divBdr>
                      <w:divsChild>
                        <w:div w:id="990062588">
                          <w:marLeft w:val="0"/>
                          <w:marRight w:val="0"/>
                          <w:marTop w:val="0"/>
                          <w:marBottom w:val="0"/>
                          <w:divBdr>
                            <w:top w:val="none" w:sz="0" w:space="0" w:color="auto"/>
                            <w:left w:val="none" w:sz="0" w:space="0" w:color="auto"/>
                            <w:bottom w:val="none" w:sz="0" w:space="0" w:color="auto"/>
                            <w:right w:val="none" w:sz="0" w:space="0" w:color="auto"/>
                          </w:divBdr>
                          <w:divsChild>
                            <w:div w:id="1180895361">
                              <w:marLeft w:val="0"/>
                              <w:marRight w:val="0"/>
                              <w:marTop w:val="0"/>
                              <w:marBottom w:val="0"/>
                              <w:divBdr>
                                <w:top w:val="none" w:sz="0" w:space="0" w:color="auto"/>
                                <w:left w:val="none" w:sz="0" w:space="0" w:color="auto"/>
                                <w:bottom w:val="none" w:sz="0" w:space="0" w:color="auto"/>
                                <w:right w:val="none" w:sz="0" w:space="0" w:color="auto"/>
                              </w:divBdr>
                              <w:divsChild>
                                <w:div w:id="592665208">
                                  <w:marLeft w:val="0"/>
                                  <w:marRight w:val="0"/>
                                  <w:marTop w:val="0"/>
                                  <w:marBottom w:val="0"/>
                                  <w:divBdr>
                                    <w:top w:val="none" w:sz="0" w:space="0" w:color="auto"/>
                                    <w:left w:val="none" w:sz="0" w:space="0" w:color="auto"/>
                                    <w:bottom w:val="none" w:sz="0" w:space="0" w:color="auto"/>
                                    <w:right w:val="none" w:sz="0" w:space="0" w:color="auto"/>
                                  </w:divBdr>
                                  <w:divsChild>
                                    <w:div w:id="1298489045">
                                      <w:marLeft w:val="0"/>
                                      <w:marRight w:val="0"/>
                                      <w:marTop w:val="0"/>
                                      <w:marBottom w:val="0"/>
                                      <w:divBdr>
                                        <w:top w:val="none" w:sz="0" w:space="0" w:color="auto"/>
                                        <w:left w:val="none" w:sz="0" w:space="0" w:color="auto"/>
                                        <w:bottom w:val="none" w:sz="0" w:space="0" w:color="auto"/>
                                        <w:right w:val="none" w:sz="0" w:space="0" w:color="auto"/>
                                      </w:divBdr>
                                      <w:divsChild>
                                        <w:div w:id="20089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3662215">
      <w:bodyDiv w:val="1"/>
      <w:marLeft w:val="0"/>
      <w:marRight w:val="0"/>
      <w:marTop w:val="0"/>
      <w:marBottom w:val="0"/>
      <w:divBdr>
        <w:top w:val="none" w:sz="0" w:space="0" w:color="auto"/>
        <w:left w:val="none" w:sz="0" w:space="0" w:color="auto"/>
        <w:bottom w:val="none" w:sz="0" w:space="0" w:color="auto"/>
        <w:right w:val="none" w:sz="0" w:space="0" w:color="auto"/>
      </w:divBdr>
    </w:div>
    <w:div w:id="574584846">
      <w:bodyDiv w:val="1"/>
      <w:marLeft w:val="0"/>
      <w:marRight w:val="0"/>
      <w:marTop w:val="0"/>
      <w:marBottom w:val="0"/>
      <w:divBdr>
        <w:top w:val="none" w:sz="0" w:space="0" w:color="auto"/>
        <w:left w:val="none" w:sz="0" w:space="0" w:color="auto"/>
        <w:bottom w:val="none" w:sz="0" w:space="0" w:color="auto"/>
        <w:right w:val="none" w:sz="0" w:space="0" w:color="auto"/>
      </w:divBdr>
      <w:divsChild>
        <w:div w:id="976640664">
          <w:marLeft w:val="0"/>
          <w:marRight w:val="0"/>
          <w:marTop w:val="0"/>
          <w:marBottom w:val="0"/>
          <w:divBdr>
            <w:top w:val="none" w:sz="0" w:space="0" w:color="auto"/>
            <w:left w:val="none" w:sz="0" w:space="0" w:color="auto"/>
            <w:bottom w:val="none" w:sz="0" w:space="0" w:color="auto"/>
            <w:right w:val="none" w:sz="0" w:space="0" w:color="auto"/>
          </w:divBdr>
          <w:divsChild>
            <w:div w:id="63336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972614">
      <w:bodyDiv w:val="1"/>
      <w:marLeft w:val="0"/>
      <w:marRight w:val="0"/>
      <w:marTop w:val="0"/>
      <w:marBottom w:val="0"/>
      <w:divBdr>
        <w:top w:val="none" w:sz="0" w:space="0" w:color="auto"/>
        <w:left w:val="none" w:sz="0" w:space="0" w:color="auto"/>
        <w:bottom w:val="none" w:sz="0" w:space="0" w:color="auto"/>
        <w:right w:val="none" w:sz="0" w:space="0" w:color="auto"/>
      </w:divBdr>
    </w:div>
    <w:div w:id="574977071">
      <w:bodyDiv w:val="1"/>
      <w:marLeft w:val="0"/>
      <w:marRight w:val="0"/>
      <w:marTop w:val="0"/>
      <w:marBottom w:val="0"/>
      <w:divBdr>
        <w:top w:val="none" w:sz="0" w:space="0" w:color="auto"/>
        <w:left w:val="none" w:sz="0" w:space="0" w:color="auto"/>
        <w:bottom w:val="none" w:sz="0" w:space="0" w:color="auto"/>
        <w:right w:val="none" w:sz="0" w:space="0" w:color="auto"/>
      </w:divBdr>
      <w:divsChild>
        <w:div w:id="1478841104">
          <w:marLeft w:val="0"/>
          <w:marRight w:val="0"/>
          <w:marTop w:val="0"/>
          <w:marBottom w:val="0"/>
          <w:divBdr>
            <w:top w:val="none" w:sz="0" w:space="0" w:color="auto"/>
            <w:left w:val="none" w:sz="0" w:space="0" w:color="auto"/>
            <w:bottom w:val="none" w:sz="0" w:space="0" w:color="auto"/>
            <w:right w:val="none" w:sz="0" w:space="0" w:color="auto"/>
          </w:divBdr>
          <w:divsChild>
            <w:div w:id="1860117625">
              <w:marLeft w:val="0"/>
              <w:marRight w:val="0"/>
              <w:marTop w:val="0"/>
              <w:marBottom w:val="0"/>
              <w:divBdr>
                <w:top w:val="none" w:sz="0" w:space="0" w:color="auto"/>
                <w:left w:val="none" w:sz="0" w:space="0" w:color="auto"/>
                <w:bottom w:val="none" w:sz="0" w:space="0" w:color="auto"/>
                <w:right w:val="none" w:sz="0" w:space="0" w:color="auto"/>
              </w:divBdr>
              <w:divsChild>
                <w:div w:id="892042628">
                  <w:marLeft w:val="0"/>
                  <w:marRight w:val="0"/>
                  <w:marTop w:val="0"/>
                  <w:marBottom w:val="0"/>
                  <w:divBdr>
                    <w:top w:val="none" w:sz="0" w:space="0" w:color="auto"/>
                    <w:left w:val="none" w:sz="0" w:space="0" w:color="auto"/>
                    <w:bottom w:val="none" w:sz="0" w:space="0" w:color="auto"/>
                    <w:right w:val="none" w:sz="0" w:space="0" w:color="auto"/>
                  </w:divBdr>
                  <w:divsChild>
                    <w:div w:id="1591311470">
                      <w:marLeft w:val="0"/>
                      <w:marRight w:val="0"/>
                      <w:marTop w:val="0"/>
                      <w:marBottom w:val="0"/>
                      <w:divBdr>
                        <w:top w:val="none" w:sz="0" w:space="0" w:color="auto"/>
                        <w:left w:val="none" w:sz="0" w:space="0" w:color="auto"/>
                        <w:bottom w:val="none" w:sz="0" w:space="0" w:color="auto"/>
                        <w:right w:val="none" w:sz="0" w:space="0" w:color="auto"/>
                      </w:divBdr>
                      <w:divsChild>
                        <w:div w:id="1319385101">
                          <w:marLeft w:val="0"/>
                          <w:marRight w:val="0"/>
                          <w:marTop w:val="0"/>
                          <w:marBottom w:val="0"/>
                          <w:divBdr>
                            <w:top w:val="none" w:sz="0" w:space="0" w:color="auto"/>
                            <w:left w:val="none" w:sz="0" w:space="0" w:color="auto"/>
                            <w:bottom w:val="none" w:sz="0" w:space="0" w:color="auto"/>
                            <w:right w:val="none" w:sz="0" w:space="0" w:color="auto"/>
                          </w:divBdr>
                          <w:divsChild>
                            <w:div w:id="1166899614">
                              <w:marLeft w:val="0"/>
                              <w:marRight w:val="0"/>
                              <w:marTop w:val="0"/>
                              <w:marBottom w:val="0"/>
                              <w:divBdr>
                                <w:top w:val="none" w:sz="0" w:space="0" w:color="auto"/>
                                <w:left w:val="none" w:sz="0" w:space="0" w:color="auto"/>
                                <w:bottom w:val="none" w:sz="0" w:space="0" w:color="auto"/>
                                <w:right w:val="none" w:sz="0" w:space="0" w:color="auto"/>
                              </w:divBdr>
                              <w:divsChild>
                                <w:div w:id="1428578779">
                                  <w:marLeft w:val="0"/>
                                  <w:marRight w:val="0"/>
                                  <w:marTop w:val="0"/>
                                  <w:marBottom w:val="0"/>
                                  <w:divBdr>
                                    <w:top w:val="none" w:sz="0" w:space="0" w:color="auto"/>
                                    <w:left w:val="none" w:sz="0" w:space="0" w:color="auto"/>
                                    <w:bottom w:val="none" w:sz="0" w:space="0" w:color="auto"/>
                                    <w:right w:val="none" w:sz="0" w:space="0" w:color="auto"/>
                                  </w:divBdr>
                                  <w:divsChild>
                                    <w:div w:id="667097642">
                                      <w:marLeft w:val="0"/>
                                      <w:marRight w:val="0"/>
                                      <w:marTop w:val="0"/>
                                      <w:marBottom w:val="0"/>
                                      <w:divBdr>
                                        <w:top w:val="none" w:sz="0" w:space="0" w:color="auto"/>
                                        <w:left w:val="none" w:sz="0" w:space="0" w:color="auto"/>
                                        <w:bottom w:val="none" w:sz="0" w:space="0" w:color="auto"/>
                                        <w:right w:val="none" w:sz="0" w:space="0" w:color="auto"/>
                                      </w:divBdr>
                                      <w:divsChild>
                                        <w:div w:id="58033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5213302">
      <w:bodyDiv w:val="1"/>
      <w:marLeft w:val="0"/>
      <w:marRight w:val="0"/>
      <w:marTop w:val="0"/>
      <w:marBottom w:val="0"/>
      <w:divBdr>
        <w:top w:val="none" w:sz="0" w:space="0" w:color="auto"/>
        <w:left w:val="none" w:sz="0" w:space="0" w:color="auto"/>
        <w:bottom w:val="none" w:sz="0" w:space="0" w:color="auto"/>
        <w:right w:val="none" w:sz="0" w:space="0" w:color="auto"/>
      </w:divBdr>
      <w:divsChild>
        <w:div w:id="2139955353">
          <w:marLeft w:val="0"/>
          <w:marRight w:val="0"/>
          <w:marTop w:val="0"/>
          <w:marBottom w:val="0"/>
          <w:divBdr>
            <w:top w:val="none" w:sz="0" w:space="0" w:color="auto"/>
            <w:left w:val="none" w:sz="0" w:space="0" w:color="auto"/>
            <w:bottom w:val="dotted" w:sz="6" w:space="4" w:color="DDDDDD"/>
            <w:right w:val="none" w:sz="0" w:space="0" w:color="auto"/>
          </w:divBdr>
          <w:divsChild>
            <w:div w:id="6792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820283">
      <w:bodyDiv w:val="1"/>
      <w:marLeft w:val="0"/>
      <w:marRight w:val="0"/>
      <w:marTop w:val="0"/>
      <w:marBottom w:val="0"/>
      <w:divBdr>
        <w:top w:val="none" w:sz="0" w:space="0" w:color="auto"/>
        <w:left w:val="none" w:sz="0" w:space="0" w:color="auto"/>
        <w:bottom w:val="none" w:sz="0" w:space="0" w:color="auto"/>
        <w:right w:val="none" w:sz="0" w:space="0" w:color="auto"/>
      </w:divBdr>
    </w:div>
    <w:div w:id="576137169">
      <w:bodyDiv w:val="1"/>
      <w:marLeft w:val="0"/>
      <w:marRight w:val="0"/>
      <w:marTop w:val="0"/>
      <w:marBottom w:val="0"/>
      <w:divBdr>
        <w:top w:val="none" w:sz="0" w:space="0" w:color="auto"/>
        <w:left w:val="none" w:sz="0" w:space="0" w:color="auto"/>
        <w:bottom w:val="none" w:sz="0" w:space="0" w:color="auto"/>
        <w:right w:val="none" w:sz="0" w:space="0" w:color="auto"/>
      </w:divBdr>
      <w:divsChild>
        <w:div w:id="224876457">
          <w:marLeft w:val="0"/>
          <w:marRight w:val="0"/>
          <w:marTop w:val="0"/>
          <w:marBottom w:val="0"/>
          <w:divBdr>
            <w:top w:val="none" w:sz="0" w:space="0" w:color="auto"/>
            <w:left w:val="none" w:sz="0" w:space="0" w:color="auto"/>
            <w:bottom w:val="none" w:sz="0" w:space="0" w:color="auto"/>
            <w:right w:val="none" w:sz="0" w:space="0" w:color="auto"/>
          </w:divBdr>
          <w:divsChild>
            <w:div w:id="595595352">
              <w:marLeft w:val="0"/>
              <w:marRight w:val="0"/>
              <w:marTop w:val="0"/>
              <w:marBottom w:val="0"/>
              <w:divBdr>
                <w:top w:val="none" w:sz="0" w:space="0" w:color="auto"/>
                <w:left w:val="none" w:sz="0" w:space="0" w:color="auto"/>
                <w:bottom w:val="none" w:sz="0" w:space="0" w:color="auto"/>
                <w:right w:val="none" w:sz="0" w:space="0" w:color="auto"/>
              </w:divBdr>
              <w:divsChild>
                <w:div w:id="214238266">
                  <w:marLeft w:val="0"/>
                  <w:marRight w:val="0"/>
                  <w:marTop w:val="0"/>
                  <w:marBottom w:val="0"/>
                  <w:divBdr>
                    <w:top w:val="none" w:sz="0" w:space="0" w:color="auto"/>
                    <w:left w:val="none" w:sz="0" w:space="0" w:color="auto"/>
                    <w:bottom w:val="none" w:sz="0" w:space="0" w:color="auto"/>
                    <w:right w:val="none" w:sz="0" w:space="0" w:color="auto"/>
                  </w:divBdr>
                  <w:divsChild>
                    <w:div w:id="1770853881">
                      <w:marLeft w:val="0"/>
                      <w:marRight w:val="0"/>
                      <w:marTop w:val="0"/>
                      <w:marBottom w:val="0"/>
                      <w:divBdr>
                        <w:top w:val="none" w:sz="0" w:space="0" w:color="auto"/>
                        <w:left w:val="none" w:sz="0" w:space="0" w:color="auto"/>
                        <w:bottom w:val="none" w:sz="0" w:space="0" w:color="auto"/>
                        <w:right w:val="none" w:sz="0" w:space="0" w:color="auto"/>
                      </w:divBdr>
                      <w:divsChild>
                        <w:div w:id="871305513">
                          <w:marLeft w:val="0"/>
                          <w:marRight w:val="0"/>
                          <w:marTop w:val="0"/>
                          <w:marBottom w:val="0"/>
                          <w:divBdr>
                            <w:top w:val="none" w:sz="0" w:space="0" w:color="auto"/>
                            <w:left w:val="none" w:sz="0" w:space="0" w:color="auto"/>
                            <w:bottom w:val="none" w:sz="0" w:space="0" w:color="auto"/>
                            <w:right w:val="none" w:sz="0" w:space="0" w:color="auto"/>
                          </w:divBdr>
                          <w:divsChild>
                            <w:div w:id="392240929">
                              <w:marLeft w:val="0"/>
                              <w:marRight w:val="0"/>
                              <w:marTop w:val="0"/>
                              <w:marBottom w:val="0"/>
                              <w:divBdr>
                                <w:top w:val="none" w:sz="0" w:space="0" w:color="auto"/>
                                <w:left w:val="none" w:sz="0" w:space="0" w:color="auto"/>
                                <w:bottom w:val="none" w:sz="0" w:space="0" w:color="auto"/>
                                <w:right w:val="none" w:sz="0" w:space="0" w:color="auto"/>
                              </w:divBdr>
                              <w:divsChild>
                                <w:div w:id="1436513542">
                                  <w:marLeft w:val="0"/>
                                  <w:marRight w:val="0"/>
                                  <w:marTop w:val="0"/>
                                  <w:marBottom w:val="0"/>
                                  <w:divBdr>
                                    <w:top w:val="none" w:sz="0" w:space="0" w:color="auto"/>
                                    <w:left w:val="none" w:sz="0" w:space="0" w:color="auto"/>
                                    <w:bottom w:val="none" w:sz="0" w:space="0" w:color="auto"/>
                                    <w:right w:val="none" w:sz="0" w:space="0" w:color="auto"/>
                                  </w:divBdr>
                                  <w:divsChild>
                                    <w:div w:id="1629824595">
                                      <w:marLeft w:val="0"/>
                                      <w:marRight w:val="0"/>
                                      <w:marTop w:val="0"/>
                                      <w:marBottom w:val="0"/>
                                      <w:divBdr>
                                        <w:top w:val="none" w:sz="0" w:space="0" w:color="auto"/>
                                        <w:left w:val="none" w:sz="0" w:space="0" w:color="auto"/>
                                        <w:bottom w:val="none" w:sz="0" w:space="0" w:color="auto"/>
                                        <w:right w:val="none" w:sz="0" w:space="0" w:color="auto"/>
                                      </w:divBdr>
                                      <w:divsChild>
                                        <w:div w:id="125875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6479436">
      <w:bodyDiv w:val="1"/>
      <w:marLeft w:val="0"/>
      <w:marRight w:val="0"/>
      <w:marTop w:val="0"/>
      <w:marBottom w:val="0"/>
      <w:divBdr>
        <w:top w:val="none" w:sz="0" w:space="0" w:color="auto"/>
        <w:left w:val="none" w:sz="0" w:space="0" w:color="auto"/>
        <w:bottom w:val="none" w:sz="0" w:space="0" w:color="auto"/>
        <w:right w:val="none" w:sz="0" w:space="0" w:color="auto"/>
      </w:divBdr>
      <w:divsChild>
        <w:div w:id="1236668955">
          <w:marLeft w:val="0"/>
          <w:marRight w:val="0"/>
          <w:marTop w:val="0"/>
          <w:marBottom w:val="0"/>
          <w:divBdr>
            <w:top w:val="none" w:sz="0" w:space="0" w:color="auto"/>
            <w:left w:val="none" w:sz="0" w:space="0" w:color="auto"/>
            <w:bottom w:val="none" w:sz="0" w:space="0" w:color="auto"/>
            <w:right w:val="none" w:sz="0" w:space="0" w:color="auto"/>
          </w:divBdr>
          <w:divsChild>
            <w:div w:id="1901747869">
              <w:marLeft w:val="0"/>
              <w:marRight w:val="0"/>
              <w:marTop w:val="0"/>
              <w:marBottom w:val="0"/>
              <w:divBdr>
                <w:top w:val="none" w:sz="0" w:space="0" w:color="auto"/>
                <w:left w:val="none" w:sz="0" w:space="0" w:color="auto"/>
                <w:bottom w:val="none" w:sz="0" w:space="0" w:color="auto"/>
                <w:right w:val="none" w:sz="0" w:space="0" w:color="auto"/>
              </w:divBdr>
              <w:divsChild>
                <w:div w:id="194735935">
                  <w:marLeft w:val="0"/>
                  <w:marRight w:val="0"/>
                  <w:marTop w:val="0"/>
                  <w:marBottom w:val="0"/>
                  <w:divBdr>
                    <w:top w:val="none" w:sz="0" w:space="0" w:color="auto"/>
                    <w:left w:val="none" w:sz="0" w:space="0" w:color="auto"/>
                    <w:bottom w:val="none" w:sz="0" w:space="0" w:color="auto"/>
                    <w:right w:val="none" w:sz="0" w:space="0" w:color="auto"/>
                  </w:divBdr>
                  <w:divsChild>
                    <w:div w:id="40205888">
                      <w:marLeft w:val="0"/>
                      <w:marRight w:val="0"/>
                      <w:marTop w:val="0"/>
                      <w:marBottom w:val="0"/>
                      <w:divBdr>
                        <w:top w:val="none" w:sz="0" w:space="0" w:color="auto"/>
                        <w:left w:val="none" w:sz="0" w:space="0" w:color="auto"/>
                        <w:bottom w:val="none" w:sz="0" w:space="0" w:color="auto"/>
                        <w:right w:val="none" w:sz="0" w:space="0" w:color="auto"/>
                      </w:divBdr>
                      <w:divsChild>
                        <w:div w:id="839320253">
                          <w:marLeft w:val="0"/>
                          <w:marRight w:val="0"/>
                          <w:marTop w:val="0"/>
                          <w:marBottom w:val="0"/>
                          <w:divBdr>
                            <w:top w:val="none" w:sz="0" w:space="0" w:color="auto"/>
                            <w:left w:val="none" w:sz="0" w:space="0" w:color="auto"/>
                            <w:bottom w:val="none" w:sz="0" w:space="0" w:color="auto"/>
                            <w:right w:val="none" w:sz="0" w:space="0" w:color="auto"/>
                          </w:divBdr>
                          <w:divsChild>
                            <w:div w:id="2068918180">
                              <w:marLeft w:val="0"/>
                              <w:marRight w:val="0"/>
                              <w:marTop w:val="0"/>
                              <w:marBottom w:val="0"/>
                              <w:divBdr>
                                <w:top w:val="none" w:sz="0" w:space="0" w:color="auto"/>
                                <w:left w:val="none" w:sz="0" w:space="0" w:color="auto"/>
                                <w:bottom w:val="none" w:sz="0" w:space="0" w:color="auto"/>
                                <w:right w:val="none" w:sz="0" w:space="0" w:color="auto"/>
                              </w:divBdr>
                              <w:divsChild>
                                <w:div w:id="1685282155">
                                  <w:marLeft w:val="0"/>
                                  <w:marRight w:val="0"/>
                                  <w:marTop w:val="0"/>
                                  <w:marBottom w:val="0"/>
                                  <w:divBdr>
                                    <w:top w:val="none" w:sz="0" w:space="0" w:color="auto"/>
                                    <w:left w:val="none" w:sz="0" w:space="0" w:color="auto"/>
                                    <w:bottom w:val="none" w:sz="0" w:space="0" w:color="auto"/>
                                    <w:right w:val="none" w:sz="0" w:space="0" w:color="auto"/>
                                  </w:divBdr>
                                  <w:divsChild>
                                    <w:div w:id="210025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520522">
      <w:bodyDiv w:val="1"/>
      <w:marLeft w:val="0"/>
      <w:marRight w:val="0"/>
      <w:marTop w:val="0"/>
      <w:marBottom w:val="0"/>
      <w:divBdr>
        <w:top w:val="none" w:sz="0" w:space="0" w:color="auto"/>
        <w:left w:val="none" w:sz="0" w:space="0" w:color="auto"/>
        <w:bottom w:val="none" w:sz="0" w:space="0" w:color="auto"/>
        <w:right w:val="none" w:sz="0" w:space="0" w:color="auto"/>
      </w:divBdr>
    </w:div>
    <w:div w:id="576520908">
      <w:bodyDiv w:val="1"/>
      <w:marLeft w:val="0"/>
      <w:marRight w:val="0"/>
      <w:marTop w:val="0"/>
      <w:marBottom w:val="0"/>
      <w:divBdr>
        <w:top w:val="none" w:sz="0" w:space="0" w:color="auto"/>
        <w:left w:val="none" w:sz="0" w:space="0" w:color="auto"/>
        <w:bottom w:val="none" w:sz="0" w:space="0" w:color="auto"/>
        <w:right w:val="none" w:sz="0" w:space="0" w:color="auto"/>
      </w:divBdr>
      <w:divsChild>
        <w:div w:id="104663532">
          <w:marLeft w:val="0"/>
          <w:marRight w:val="0"/>
          <w:marTop w:val="150"/>
          <w:marBottom w:val="0"/>
          <w:divBdr>
            <w:top w:val="none" w:sz="0" w:space="0" w:color="auto"/>
            <w:left w:val="none" w:sz="0" w:space="0" w:color="auto"/>
            <w:bottom w:val="none" w:sz="0" w:space="0" w:color="auto"/>
            <w:right w:val="none" w:sz="0" w:space="0" w:color="auto"/>
          </w:divBdr>
          <w:divsChild>
            <w:div w:id="80571827">
              <w:marLeft w:val="0"/>
              <w:marRight w:val="150"/>
              <w:marTop w:val="0"/>
              <w:marBottom w:val="0"/>
              <w:divBdr>
                <w:top w:val="none" w:sz="0" w:space="0" w:color="auto"/>
                <w:left w:val="none" w:sz="0" w:space="0" w:color="auto"/>
                <w:bottom w:val="none" w:sz="0" w:space="0" w:color="auto"/>
                <w:right w:val="none" w:sz="0" w:space="0" w:color="auto"/>
              </w:divBdr>
            </w:div>
          </w:divsChild>
        </w:div>
        <w:div w:id="436410086">
          <w:marLeft w:val="0"/>
          <w:marRight w:val="0"/>
          <w:marTop w:val="0"/>
          <w:marBottom w:val="0"/>
          <w:divBdr>
            <w:top w:val="none" w:sz="0" w:space="8" w:color="auto"/>
            <w:left w:val="none" w:sz="0" w:space="2" w:color="auto"/>
            <w:bottom w:val="single" w:sz="6" w:space="8" w:color="DDDDDD"/>
            <w:right w:val="none" w:sz="0" w:space="0" w:color="auto"/>
          </w:divBdr>
        </w:div>
      </w:divsChild>
    </w:div>
    <w:div w:id="576523705">
      <w:bodyDiv w:val="1"/>
      <w:marLeft w:val="0"/>
      <w:marRight w:val="0"/>
      <w:marTop w:val="0"/>
      <w:marBottom w:val="0"/>
      <w:divBdr>
        <w:top w:val="none" w:sz="0" w:space="0" w:color="auto"/>
        <w:left w:val="none" w:sz="0" w:space="0" w:color="auto"/>
        <w:bottom w:val="none" w:sz="0" w:space="0" w:color="auto"/>
        <w:right w:val="none" w:sz="0" w:space="0" w:color="auto"/>
      </w:divBdr>
      <w:divsChild>
        <w:div w:id="1026903887">
          <w:marLeft w:val="0"/>
          <w:marRight w:val="0"/>
          <w:marTop w:val="0"/>
          <w:marBottom w:val="150"/>
          <w:divBdr>
            <w:top w:val="none" w:sz="0" w:space="0" w:color="auto"/>
            <w:left w:val="none" w:sz="0" w:space="0" w:color="auto"/>
            <w:bottom w:val="none" w:sz="0" w:space="0" w:color="auto"/>
            <w:right w:val="none" w:sz="0" w:space="0" w:color="auto"/>
          </w:divBdr>
        </w:div>
        <w:div w:id="2072148014">
          <w:marLeft w:val="0"/>
          <w:marRight w:val="0"/>
          <w:marTop w:val="0"/>
          <w:marBottom w:val="0"/>
          <w:divBdr>
            <w:top w:val="none" w:sz="0" w:space="0" w:color="auto"/>
            <w:left w:val="none" w:sz="0" w:space="0" w:color="auto"/>
            <w:bottom w:val="none" w:sz="0" w:space="0" w:color="auto"/>
            <w:right w:val="none" w:sz="0" w:space="0" w:color="auto"/>
          </w:divBdr>
          <w:divsChild>
            <w:div w:id="8974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868894">
      <w:bodyDiv w:val="1"/>
      <w:marLeft w:val="0"/>
      <w:marRight w:val="0"/>
      <w:marTop w:val="0"/>
      <w:marBottom w:val="0"/>
      <w:divBdr>
        <w:top w:val="none" w:sz="0" w:space="0" w:color="auto"/>
        <w:left w:val="none" w:sz="0" w:space="0" w:color="auto"/>
        <w:bottom w:val="none" w:sz="0" w:space="0" w:color="auto"/>
        <w:right w:val="none" w:sz="0" w:space="0" w:color="auto"/>
      </w:divBdr>
      <w:divsChild>
        <w:div w:id="1673331576">
          <w:marLeft w:val="0"/>
          <w:marRight w:val="0"/>
          <w:marTop w:val="0"/>
          <w:marBottom w:val="150"/>
          <w:divBdr>
            <w:top w:val="none" w:sz="0" w:space="0" w:color="auto"/>
            <w:left w:val="none" w:sz="0" w:space="0" w:color="auto"/>
            <w:bottom w:val="none" w:sz="0" w:space="0" w:color="auto"/>
            <w:right w:val="none" w:sz="0" w:space="0" w:color="auto"/>
          </w:divBdr>
          <w:divsChild>
            <w:div w:id="636879157">
              <w:marLeft w:val="0"/>
              <w:marRight w:val="0"/>
              <w:marTop w:val="0"/>
              <w:marBottom w:val="0"/>
              <w:divBdr>
                <w:top w:val="none" w:sz="0" w:space="0" w:color="auto"/>
                <w:left w:val="none" w:sz="0" w:space="0" w:color="auto"/>
                <w:bottom w:val="none" w:sz="0" w:space="0" w:color="auto"/>
                <w:right w:val="none" w:sz="0" w:space="0" w:color="auto"/>
              </w:divBdr>
              <w:divsChild>
                <w:div w:id="80439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859478">
          <w:marLeft w:val="0"/>
          <w:marRight w:val="0"/>
          <w:marTop w:val="0"/>
          <w:marBottom w:val="150"/>
          <w:divBdr>
            <w:top w:val="none" w:sz="0" w:space="0" w:color="auto"/>
            <w:left w:val="none" w:sz="0" w:space="0" w:color="auto"/>
            <w:bottom w:val="none" w:sz="0" w:space="0" w:color="auto"/>
            <w:right w:val="none" w:sz="0" w:space="0" w:color="auto"/>
          </w:divBdr>
        </w:div>
        <w:div w:id="101844580">
          <w:marLeft w:val="0"/>
          <w:marRight w:val="0"/>
          <w:marTop w:val="0"/>
          <w:marBottom w:val="0"/>
          <w:divBdr>
            <w:top w:val="none" w:sz="0" w:space="0" w:color="auto"/>
            <w:left w:val="none" w:sz="0" w:space="0" w:color="auto"/>
            <w:bottom w:val="none" w:sz="0" w:space="0" w:color="auto"/>
            <w:right w:val="none" w:sz="0" w:space="0" w:color="auto"/>
          </w:divBdr>
          <w:divsChild>
            <w:div w:id="53242620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76942082">
      <w:bodyDiv w:val="1"/>
      <w:marLeft w:val="0"/>
      <w:marRight w:val="0"/>
      <w:marTop w:val="0"/>
      <w:marBottom w:val="0"/>
      <w:divBdr>
        <w:top w:val="none" w:sz="0" w:space="0" w:color="auto"/>
        <w:left w:val="none" w:sz="0" w:space="0" w:color="auto"/>
        <w:bottom w:val="none" w:sz="0" w:space="0" w:color="auto"/>
        <w:right w:val="none" w:sz="0" w:space="0" w:color="auto"/>
      </w:divBdr>
      <w:divsChild>
        <w:div w:id="344483151">
          <w:marLeft w:val="0"/>
          <w:marRight w:val="0"/>
          <w:marTop w:val="0"/>
          <w:marBottom w:val="0"/>
          <w:divBdr>
            <w:top w:val="none" w:sz="0" w:space="0" w:color="auto"/>
            <w:left w:val="none" w:sz="0" w:space="0" w:color="auto"/>
            <w:bottom w:val="dotted" w:sz="6" w:space="4" w:color="DDDDDD"/>
            <w:right w:val="none" w:sz="0" w:space="0" w:color="auto"/>
          </w:divBdr>
          <w:divsChild>
            <w:div w:id="103273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133515">
      <w:bodyDiv w:val="1"/>
      <w:marLeft w:val="0"/>
      <w:marRight w:val="0"/>
      <w:marTop w:val="0"/>
      <w:marBottom w:val="0"/>
      <w:divBdr>
        <w:top w:val="none" w:sz="0" w:space="0" w:color="auto"/>
        <w:left w:val="none" w:sz="0" w:space="0" w:color="auto"/>
        <w:bottom w:val="none" w:sz="0" w:space="0" w:color="auto"/>
        <w:right w:val="none" w:sz="0" w:space="0" w:color="auto"/>
      </w:divBdr>
    </w:div>
    <w:div w:id="577524334">
      <w:bodyDiv w:val="1"/>
      <w:marLeft w:val="0"/>
      <w:marRight w:val="0"/>
      <w:marTop w:val="0"/>
      <w:marBottom w:val="0"/>
      <w:divBdr>
        <w:top w:val="none" w:sz="0" w:space="0" w:color="auto"/>
        <w:left w:val="none" w:sz="0" w:space="0" w:color="auto"/>
        <w:bottom w:val="none" w:sz="0" w:space="0" w:color="auto"/>
        <w:right w:val="none" w:sz="0" w:space="0" w:color="auto"/>
      </w:divBdr>
      <w:divsChild>
        <w:div w:id="575164602">
          <w:marLeft w:val="0"/>
          <w:marRight w:val="0"/>
          <w:marTop w:val="0"/>
          <w:marBottom w:val="0"/>
          <w:divBdr>
            <w:top w:val="none" w:sz="0" w:space="0" w:color="auto"/>
            <w:left w:val="none" w:sz="0" w:space="0" w:color="auto"/>
            <w:bottom w:val="none" w:sz="0" w:space="0" w:color="auto"/>
            <w:right w:val="none" w:sz="0" w:space="0" w:color="auto"/>
          </w:divBdr>
          <w:divsChild>
            <w:div w:id="862474076">
              <w:marLeft w:val="0"/>
              <w:marRight w:val="0"/>
              <w:marTop w:val="0"/>
              <w:marBottom w:val="0"/>
              <w:divBdr>
                <w:top w:val="none" w:sz="0" w:space="0" w:color="auto"/>
                <w:left w:val="none" w:sz="0" w:space="0" w:color="auto"/>
                <w:bottom w:val="none" w:sz="0" w:space="0" w:color="auto"/>
                <w:right w:val="none" w:sz="0" w:space="0" w:color="auto"/>
              </w:divBdr>
            </w:div>
          </w:divsChild>
        </w:div>
        <w:div w:id="991563395">
          <w:marLeft w:val="0"/>
          <w:marRight w:val="0"/>
          <w:marTop w:val="0"/>
          <w:marBottom w:val="150"/>
          <w:divBdr>
            <w:top w:val="none" w:sz="0" w:space="0" w:color="auto"/>
            <w:left w:val="none" w:sz="0" w:space="0" w:color="auto"/>
            <w:bottom w:val="none" w:sz="0" w:space="0" w:color="auto"/>
            <w:right w:val="none" w:sz="0" w:space="0" w:color="auto"/>
          </w:divBdr>
        </w:div>
        <w:div w:id="1095400862">
          <w:marLeft w:val="0"/>
          <w:marRight w:val="0"/>
          <w:marTop w:val="0"/>
          <w:marBottom w:val="150"/>
          <w:divBdr>
            <w:top w:val="none" w:sz="0" w:space="0" w:color="auto"/>
            <w:left w:val="none" w:sz="0" w:space="0" w:color="auto"/>
            <w:bottom w:val="none" w:sz="0" w:space="0" w:color="auto"/>
            <w:right w:val="none" w:sz="0" w:space="0" w:color="auto"/>
          </w:divBdr>
          <w:divsChild>
            <w:div w:id="145347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598544">
      <w:bodyDiv w:val="1"/>
      <w:marLeft w:val="0"/>
      <w:marRight w:val="0"/>
      <w:marTop w:val="0"/>
      <w:marBottom w:val="0"/>
      <w:divBdr>
        <w:top w:val="none" w:sz="0" w:space="0" w:color="auto"/>
        <w:left w:val="none" w:sz="0" w:space="0" w:color="auto"/>
        <w:bottom w:val="none" w:sz="0" w:space="0" w:color="auto"/>
        <w:right w:val="none" w:sz="0" w:space="0" w:color="auto"/>
      </w:divBdr>
      <w:divsChild>
        <w:div w:id="1895776915">
          <w:marLeft w:val="0"/>
          <w:marRight w:val="0"/>
          <w:marTop w:val="0"/>
          <w:marBottom w:val="0"/>
          <w:divBdr>
            <w:top w:val="none" w:sz="0" w:space="0" w:color="auto"/>
            <w:left w:val="none" w:sz="0" w:space="0" w:color="auto"/>
            <w:bottom w:val="none" w:sz="0" w:space="0" w:color="auto"/>
            <w:right w:val="none" w:sz="0" w:space="0" w:color="auto"/>
          </w:divBdr>
          <w:divsChild>
            <w:div w:id="192232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639459">
      <w:bodyDiv w:val="1"/>
      <w:marLeft w:val="0"/>
      <w:marRight w:val="0"/>
      <w:marTop w:val="0"/>
      <w:marBottom w:val="0"/>
      <w:divBdr>
        <w:top w:val="none" w:sz="0" w:space="0" w:color="auto"/>
        <w:left w:val="none" w:sz="0" w:space="0" w:color="auto"/>
        <w:bottom w:val="none" w:sz="0" w:space="0" w:color="auto"/>
        <w:right w:val="none" w:sz="0" w:space="0" w:color="auto"/>
      </w:divBdr>
    </w:div>
    <w:div w:id="578295046">
      <w:bodyDiv w:val="1"/>
      <w:marLeft w:val="0"/>
      <w:marRight w:val="0"/>
      <w:marTop w:val="0"/>
      <w:marBottom w:val="0"/>
      <w:divBdr>
        <w:top w:val="none" w:sz="0" w:space="0" w:color="auto"/>
        <w:left w:val="none" w:sz="0" w:space="0" w:color="auto"/>
        <w:bottom w:val="none" w:sz="0" w:space="0" w:color="auto"/>
        <w:right w:val="none" w:sz="0" w:space="0" w:color="auto"/>
      </w:divBdr>
    </w:div>
    <w:div w:id="578557322">
      <w:bodyDiv w:val="1"/>
      <w:marLeft w:val="0"/>
      <w:marRight w:val="0"/>
      <w:marTop w:val="0"/>
      <w:marBottom w:val="0"/>
      <w:divBdr>
        <w:top w:val="none" w:sz="0" w:space="0" w:color="auto"/>
        <w:left w:val="none" w:sz="0" w:space="0" w:color="auto"/>
        <w:bottom w:val="none" w:sz="0" w:space="0" w:color="auto"/>
        <w:right w:val="none" w:sz="0" w:space="0" w:color="auto"/>
      </w:divBdr>
    </w:div>
    <w:div w:id="578710438">
      <w:bodyDiv w:val="1"/>
      <w:marLeft w:val="0"/>
      <w:marRight w:val="0"/>
      <w:marTop w:val="0"/>
      <w:marBottom w:val="0"/>
      <w:divBdr>
        <w:top w:val="none" w:sz="0" w:space="0" w:color="auto"/>
        <w:left w:val="none" w:sz="0" w:space="0" w:color="auto"/>
        <w:bottom w:val="none" w:sz="0" w:space="0" w:color="auto"/>
        <w:right w:val="none" w:sz="0" w:space="0" w:color="auto"/>
      </w:divBdr>
      <w:divsChild>
        <w:div w:id="164781548">
          <w:marLeft w:val="0"/>
          <w:marRight w:val="0"/>
          <w:marTop w:val="0"/>
          <w:marBottom w:val="150"/>
          <w:divBdr>
            <w:top w:val="none" w:sz="0" w:space="0" w:color="auto"/>
            <w:left w:val="none" w:sz="0" w:space="0" w:color="auto"/>
            <w:bottom w:val="none" w:sz="0" w:space="0" w:color="auto"/>
            <w:right w:val="none" w:sz="0" w:space="0" w:color="auto"/>
          </w:divBdr>
        </w:div>
        <w:div w:id="859471645">
          <w:marLeft w:val="0"/>
          <w:marRight w:val="0"/>
          <w:marTop w:val="0"/>
          <w:marBottom w:val="0"/>
          <w:divBdr>
            <w:top w:val="none" w:sz="0" w:space="0" w:color="auto"/>
            <w:left w:val="none" w:sz="0" w:space="0" w:color="auto"/>
            <w:bottom w:val="none" w:sz="0" w:space="0" w:color="auto"/>
            <w:right w:val="none" w:sz="0" w:space="0" w:color="auto"/>
          </w:divBdr>
          <w:divsChild>
            <w:div w:id="2083062712">
              <w:marLeft w:val="0"/>
              <w:marRight w:val="0"/>
              <w:marTop w:val="0"/>
              <w:marBottom w:val="0"/>
              <w:divBdr>
                <w:top w:val="none" w:sz="0" w:space="0" w:color="auto"/>
                <w:left w:val="none" w:sz="0" w:space="0" w:color="auto"/>
                <w:bottom w:val="none" w:sz="0" w:space="0" w:color="auto"/>
                <w:right w:val="none" w:sz="0" w:space="0" w:color="auto"/>
              </w:divBdr>
            </w:div>
          </w:divsChild>
        </w:div>
        <w:div w:id="1409494289">
          <w:marLeft w:val="0"/>
          <w:marRight w:val="0"/>
          <w:marTop w:val="0"/>
          <w:marBottom w:val="150"/>
          <w:divBdr>
            <w:top w:val="none" w:sz="0" w:space="0" w:color="auto"/>
            <w:left w:val="none" w:sz="0" w:space="0" w:color="auto"/>
            <w:bottom w:val="none" w:sz="0" w:space="0" w:color="auto"/>
            <w:right w:val="none" w:sz="0" w:space="0" w:color="auto"/>
          </w:divBdr>
          <w:divsChild>
            <w:div w:id="2278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56657">
      <w:bodyDiv w:val="1"/>
      <w:marLeft w:val="0"/>
      <w:marRight w:val="0"/>
      <w:marTop w:val="0"/>
      <w:marBottom w:val="0"/>
      <w:divBdr>
        <w:top w:val="none" w:sz="0" w:space="0" w:color="auto"/>
        <w:left w:val="none" w:sz="0" w:space="0" w:color="auto"/>
        <w:bottom w:val="none" w:sz="0" w:space="0" w:color="auto"/>
        <w:right w:val="none" w:sz="0" w:space="0" w:color="auto"/>
      </w:divBdr>
      <w:divsChild>
        <w:div w:id="1288269760">
          <w:marLeft w:val="0"/>
          <w:marRight w:val="0"/>
          <w:marTop w:val="0"/>
          <w:marBottom w:val="0"/>
          <w:divBdr>
            <w:top w:val="none" w:sz="0" w:space="0" w:color="auto"/>
            <w:left w:val="none" w:sz="0" w:space="0" w:color="auto"/>
            <w:bottom w:val="none" w:sz="0" w:space="0" w:color="auto"/>
            <w:right w:val="none" w:sz="0" w:space="0" w:color="auto"/>
          </w:divBdr>
          <w:divsChild>
            <w:div w:id="866451781">
              <w:marLeft w:val="0"/>
              <w:marRight w:val="0"/>
              <w:marTop w:val="0"/>
              <w:marBottom w:val="0"/>
              <w:divBdr>
                <w:top w:val="none" w:sz="0" w:space="0" w:color="auto"/>
                <w:left w:val="none" w:sz="0" w:space="0" w:color="auto"/>
                <w:bottom w:val="none" w:sz="0" w:space="0" w:color="auto"/>
                <w:right w:val="none" w:sz="0" w:space="0" w:color="auto"/>
              </w:divBdr>
            </w:div>
          </w:divsChild>
        </w:div>
        <w:div w:id="950623810">
          <w:marLeft w:val="0"/>
          <w:marRight w:val="0"/>
          <w:marTop w:val="240"/>
          <w:marBottom w:val="0"/>
          <w:divBdr>
            <w:top w:val="none" w:sz="0" w:space="0" w:color="auto"/>
            <w:left w:val="none" w:sz="0" w:space="0" w:color="auto"/>
            <w:bottom w:val="none" w:sz="0" w:space="0" w:color="auto"/>
            <w:right w:val="none" w:sz="0" w:space="0" w:color="auto"/>
          </w:divBdr>
        </w:div>
        <w:div w:id="2128025">
          <w:marLeft w:val="0"/>
          <w:marRight w:val="0"/>
          <w:marTop w:val="0"/>
          <w:marBottom w:val="0"/>
          <w:divBdr>
            <w:top w:val="none" w:sz="0" w:space="0" w:color="auto"/>
            <w:left w:val="none" w:sz="0" w:space="0" w:color="auto"/>
            <w:bottom w:val="none" w:sz="0" w:space="0" w:color="auto"/>
            <w:right w:val="none" w:sz="0" w:space="0" w:color="auto"/>
          </w:divBdr>
          <w:divsChild>
            <w:div w:id="678435144">
              <w:marLeft w:val="-225"/>
              <w:marRight w:val="-225"/>
              <w:marTop w:val="0"/>
              <w:marBottom w:val="0"/>
              <w:divBdr>
                <w:top w:val="none" w:sz="0" w:space="0" w:color="auto"/>
                <w:left w:val="none" w:sz="0" w:space="0" w:color="auto"/>
                <w:bottom w:val="none" w:sz="0" w:space="0" w:color="auto"/>
                <w:right w:val="none" w:sz="0" w:space="0" w:color="auto"/>
              </w:divBdr>
              <w:divsChild>
                <w:div w:id="459615192">
                  <w:marLeft w:val="0"/>
                  <w:marRight w:val="0"/>
                  <w:marTop w:val="0"/>
                  <w:marBottom w:val="0"/>
                  <w:divBdr>
                    <w:top w:val="none" w:sz="0" w:space="0" w:color="auto"/>
                    <w:left w:val="none" w:sz="0" w:space="0" w:color="auto"/>
                    <w:bottom w:val="none" w:sz="0" w:space="0" w:color="auto"/>
                    <w:right w:val="single" w:sz="6" w:space="0" w:color="000000"/>
                  </w:divBdr>
                  <w:divsChild>
                    <w:div w:id="605843551">
                      <w:marLeft w:val="0"/>
                      <w:marRight w:val="0"/>
                      <w:marTop w:val="0"/>
                      <w:marBottom w:val="0"/>
                      <w:divBdr>
                        <w:top w:val="none" w:sz="0" w:space="0" w:color="auto"/>
                        <w:left w:val="none" w:sz="0" w:space="0" w:color="auto"/>
                        <w:bottom w:val="none" w:sz="0" w:space="0" w:color="auto"/>
                        <w:right w:val="none" w:sz="0" w:space="0" w:color="auto"/>
                      </w:divBdr>
                      <w:divsChild>
                        <w:div w:id="800340296">
                          <w:marLeft w:val="0"/>
                          <w:marRight w:val="0"/>
                          <w:marTop w:val="0"/>
                          <w:marBottom w:val="0"/>
                          <w:divBdr>
                            <w:top w:val="none" w:sz="0" w:space="0" w:color="auto"/>
                            <w:left w:val="none" w:sz="0" w:space="0" w:color="auto"/>
                            <w:bottom w:val="none" w:sz="0" w:space="0" w:color="auto"/>
                            <w:right w:val="none" w:sz="0" w:space="0" w:color="auto"/>
                          </w:divBdr>
                        </w:div>
                        <w:div w:id="626283060">
                          <w:marLeft w:val="0"/>
                          <w:marRight w:val="0"/>
                          <w:marTop w:val="0"/>
                          <w:marBottom w:val="0"/>
                          <w:divBdr>
                            <w:top w:val="none" w:sz="0" w:space="0" w:color="auto"/>
                            <w:left w:val="none" w:sz="0" w:space="0" w:color="auto"/>
                            <w:bottom w:val="none" w:sz="0" w:space="0" w:color="auto"/>
                            <w:right w:val="none" w:sz="0" w:space="0" w:color="auto"/>
                          </w:divBdr>
                        </w:div>
                        <w:div w:id="763110490">
                          <w:marLeft w:val="0"/>
                          <w:marRight w:val="0"/>
                          <w:marTop w:val="0"/>
                          <w:marBottom w:val="0"/>
                          <w:divBdr>
                            <w:top w:val="none" w:sz="0" w:space="0" w:color="auto"/>
                            <w:left w:val="none" w:sz="0" w:space="0" w:color="auto"/>
                            <w:bottom w:val="none" w:sz="0" w:space="0" w:color="auto"/>
                            <w:right w:val="none" w:sz="0" w:space="0" w:color="auto"/>
                          </w:divBdr>
                        </w:div>
                        <w:div w:id="838622709">
                          <w:marLeft w:val="0"/>
                          <w:marRight w:val="0"/>
                          <w:marTop w:val="0"/>
                          <w:marBottom w:val="0"/>
                          <w:divBdr>
                            <w:top w:val="none" w:sz="0" w:space="0" w:color="auto"/>
                            <w:left w:val="none" w:sz="0" w:space="0" w:color="auto"/>
                            <w:bottom w:val="none" w:sz="0" w:space="0" w:color="auto"/>
                            <w:right w:val="none" w:sz="0" w:space="0" w:color="auto"/>
                          </w:divBdr>
                        </w:div>
                        <w:div w:id="33013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9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216573">
      <w:bodyDiv w:val="1"/>
      <w:marLeft w:val="0"/>
      <w:marRight w:val="0"/>
      <w:marTop w:val="0"/>
      <w:marBottom w:val="0"/>
      <w:divBdr>
        <w:top w:val="none" w:sz="0" w:space="0" w:color="auto"/>
        <w:left w:val="none" w:sz="0" w:space="0" w:color="auto"/>
        <w:bottom w:val="none" w:sz="0" w:space="0" w:color="auto"/>
        <w:right w:val="none" w:sz="0" w:space="0" w:color="auto"/>
      </w:divBdr>
      <w:divsChild>
        <w:div w:id="427700277">
          <w:marLeft w:val="0"/>
          <w:marRight w:val="0"/>
          <w:marTop w:val="0"/>
          <w:marBottom w:val="150"/>
          <w:divBdr>
            <w:top w:val="none" w:sz="0" w:space="0" w:color="auto"/>
            <w:left w:val="none" w:sz="0" w:space="0" w:color="auto"/>
            <w:bottom w:val="none" w:sz="0" w:space="0" w:color="auto"/>
            <w:right w:val="none" w:sz="0" w:space="0" w:color="auto"/>
          </w:divBdr>
        </w:div>
        <w:div w:id="1354650110">
          <w:marLeft w:val="0"/>
          <w:marRight w:val="0"/>
          <w:marTop w:val="0"/>
          <w:marBottom w:val="0"/>
          <w:divBdr>
            <w:top w:val="none" w:sz="0" w:space="0" w:color="auto"/>
            <w:left w:val="none" w:sz="0" w:space="0" w:color="auto"/>
            <w:bottom w:val="none" w:sz="0" w:space="0" w:color="auto"/>
            <w:right w:val="none" w:sz="0" w:space="0" w:color="auto"/>
          </w:divBdr>
        </w:div>
      </w:divsChild>
    </w:div>
    <w:div w:id="579680720">
      <w:bodyDiv w:val="1"/>
      <w:marLeft w:val="0"/>
      <w:marRight w:val="0"/>
      <w:marTop w:val="0"/>
      <w:marBottom w:val="0"/>
      <w:divBdr>
        <w:top w:val="none" w:sz="0" w:space="0" w:color="auto"/>
        <w:left w:val="none" w:sz="0" w:space="0" w:color="auto"/>
        <w:bottom w:val="none" w:sz="0" w:space="0" w:color="auto"/>
        <w:right w:val="none" w:sz="0" w:space="0" w:color="auto"/>
      </w:divBdr>
      <w:divsChild>
        <w:div w:id="1868447399">
          <w:marLeft w:val="0"/>
          <w:marRight w:val="0"/>
          <w:marTop w:val="0"/>
          <w:marBottom w:val="150"/>
          <w:divBdr>
            <w:top w:val="none" w:sz="0" w:space="0" w:color="auto"/>
            <w:left w:val="none" w:sz="0" w:space="0" w:color="auto"/>
            <w:bottom w:val="none" w:sz="0" w:space="0" w:color="auto"/>
            <w:right w:val="none" w:sz="0" w:space="0" w:color="auto"/>
          </w:divBdr>
        </w:div>
      </w:divsChild>
    </w:div>
    <w:div w:id="579756355">
      <w:bodyDiv w:val="1"/>
      <w:marLeft w:val="0"/>
      <w:marRight w:val="0"/>
      <w:marTop w:val="0"/>
      <w:marBottom w:val="0"/>
      <w:divBdr>
        <w:top w:val="none" w:sz="0" w:space="0" w:color="auto"/>
        <w:left w:val="none" w:sz="0" w:space="0" w:color="auto"/>
        <w:bottom w:val="none" w:sz="0" w:space="0" w:color="auto"/>
        <w:right w:val="none" w:sz="0" w:space="0" w:color="auto"/>
      </w:divBdr>
      <w:divsChild>
        <w:div w:id="1834636295">
          <w:marLeft w:val="0"/>
          <w:marRight w:val="0"/>
          <w:marTop w:val="0"/>
          <w:marBottom w:val="0"/>
          <w:divBdr>
            <w:top w:val="none" w:sz="0" w:space="0" w:color="auto"/>
            <w:left w:val="none" w:sz="0" w:space="0" w:color="auto"/>
            <w:bottom w:val="dotted" w:sz="6" w:space="4" w:color="DDDDDD"/>
            <w:right w:val="none" w:sz="0" w:space="0" w:color="auto"/>
          </w:divBdr>
          <w:divsChild>
            <w:div w:id="86837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943034">
      <w:bodyDiv w:val="1"/>
      <w:marLeft w:val="0"/>
      <w:marRight w:val="0"/>
      <w:marTop w:val="0"/>
      <w:marBottom w:val="0"/>
      <w:divBdr>
        <w:top w:val="none" w:sz="0" w:space="0" w:color="auto"/>
        <w:left w:val="none" w:sz="0" w:space="0" w:color="auto"/>
        <w:bottom w:val="none" w:sz="0" w:space="0" w:color="auto"/>
        <w:right w:val="none" w:sz="0" w:space="0" w:color="auto"/>
      </w:divBdr>
      <w:divsChild>
        <w:div w:id="1445998735">
          <w:marLeft w:val="0"/>
          <w:marRight w:val="0"/>
          <w:marTop w:val="0"/>
          <w:marBottom w:val="75"/>
          <w:divBdr>
            <w:top w:val="none" w:sz="0" w:space="0" w:color="auto"/>
            <w:left w:val="none" w:sz="0" w:space="0" w:color="auto"/>
            <w:bottom w:val="none" w:sz="0" w:space="0" w:color="auto"/>
            <w:right w:val="none" w:sz="0" w:space="0" w:color="auto"/>
          </w:divBdr>
        </w:div>
        <w:div w:id="1522161022">
          <w:marLeft w:val="0"/>
          <w:marRight w:val="0"/>
          <w:marTop w:val="0"/>
          <w:marBottom w:val="0"/>
          <w:divBdr>
            <w:top w:val="none" w:sz="0" w:space="0" w:color="auto"/>
            <w:left w:val="none" w:sz="0" w:space="0" w:color="auto"/>
            <w:bottom w:val="none" w:sz="0" w:space="0" w:color="auto"/>
            <w:right w:val="none" w:sz="0" w:space="0" w:color="auto"/>
          </w:divBdr>
          <w:divsChild>
            <w:div w:id="2014457708">
              <w:marLeft w:val="0"/>
              <w:marRight w:val="0"/>
              <w:marTop w:val="0"/>
              <w:marBottom w:val="0"/>
              <w:divBdr>
                <w:top w:val="none" w:sz="0" w:space="0" w:color="auto"/>
                <w:left w:val="none" w:sz="0" w:space="0" w:color="auto"/>
                <w:bottom w:val="none" w:sz="0" w:space="0" w:color="auto"/>
                <w:right w:val="none" w:sz="0" w:space="0" w:color="auto"/>
              </w:divBdr>
              <w:divsChild>
                <w:div w:id="209925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520403">
          <w:marLeft w:val="0"/>
          <w:marRight w:val="0"/>
          <w:marTop w:val="0"/>
          <w:marBottom w:val="0"/>
          <w:divBdr>
            <w:top w:val="none" w:sz="0" w:space="0" w:color="auto"/>
            <w:left w:val="none" w:sz="0" w:space="0" w:color="auto"/>
            <w:bottom w:val="none" w:sz="0" w:space="0" w:color="auto"/>
            <w:right w:val="none" w:sz="0" w:space="0" w:color="auto"/>
          </w:divBdr>
        </w:div>
      </w:divsChild>
    </w:div>
    <w:div w:id="580144764">
      <w:bodyDiv w:val="1"/>
      <w:marLeft w:val="0"/>
      <w:marRight w:val="0"/>
      <w:marTop w:val="0"/>
      <w:marBottom w:val="0"/>
      <w:divBdr>
        <w:top w:val="none" w:sz="0" w:space="0" w:color="auto"/>
        <w:left w:val="none" w:sz="0" w:space="0" w:color="auto"/>
        <w:bottom w:val="none" w:sz="0" w:space="0" w:color="auto"/>
        <w:right w:val="none" w:sz="0" w:space="0" w:color="auto"/>
      </w:divBdr>
      <w:divsChild>
        <w:div w:id="104035745">
          <w:marLeft w:val="0"/>
          <w:marRight w:val="0"/>
          <w:marTop w:val="0"/>
          <w:marBottom w:val="0"/>
          <w:divBdr>
            <w:top w:val="none" w:sz="0" w:space="0" w:color="auto"/>
            <w:left w:val="none" w:sz="0" w:space="0" w:color="auto"/>
            <w:bottom w:val="none" w:sz="0" w:space="0" w:color="auto"/>
            <w:right w:val="none" w:sz="0" w:space="0" w:color="auto"/>
          </w:divBdr>
        </w:div>
        <w:div w:id="983311042">
          <w:marLeft w:val="0"/>
          <w:marRight w:val="0"/>
          <w:marTop w:val="0"/>
          <w:marBottom w:val="150"/>
          <w:divBdr>
            <w:top w:val="none" w:sz="0" w:space="0" w:color="auto"/>
            <w:left w:val="none" w:sz="0" w:space="0" w:color="auto"/>
            <w:bottom w:val="none" w:sz="0" w:space="0" w:color="auto"/>
            <w:right w:val="none" w:sz="0" w:space="0" w:color="auto"/>
          </w:divBdr>
        </w:div>
        <w:div w:id="983433791">
          <w:marLeft w:val="0"/>
          <w:marRight w:val="0"/>
          <w:marTop w:val="0"/>
          <w:marBottom w:val="0"/>
          <w:divBdr>
            <w:top w:val="none" w:sz="0" w:space="0" w:color="auto"/>
            <w:left w:val="none" w:sz="0" w:space="0" w:color="auto"/>
            <w:bottom w:val="none" w:sz="0" w:space="0" w:color="auto"/>
            <w:right w:val="none" w:sz="0" w:space="0" w:color="auto"/>
          </w:divBdr>
          <w:divsChild>
            <w:div w:id="1261908670">
              <w:marLeft w:val="0"/>
              <w:marRight w:val="0"/>
              <w:marTop w:val="0"/>
              <w:marBottom w:val="225"/>
              <w:divBdr>
                <w:top w:val="none" w:sz="0" w:space="0" w:color="auto"/>
                <w:left w:val="none" w:sz="0" w:space="0" w:color="auto"/>
                <w:bottom w:val="none" w:sz="0" w:space="0" w:color="auto"/>
                <w:right w:val="none" w:sz="0" w:space="0" w:color="auto"/>
              </w:divBdr>
              <w:divsChild>
                <w:div w:id="1018652658">
                  <w:marLeft w:val="0"/>
                  <w:marRight w:val="0"/>
                  <w:marTop w:val="0"/>
                  <w:marBottom w:val="150"/>
                  <w:divBdr>
                    <w:top w:val="none" w:sz="0" w:space="0" w:color="auto"/>
                    <w:left w:val="none" w:sz="0" w:space="0" w:color="auto"/>
                    <w:bottom w:val="none" w:sz="0" w:space="0" w:color="auto"/>
                    <w:right w:val="none" w:sz="0" w:space="0" w:color="auto"/>
                  </w:divBdr>
                </w:div>
                <w:div w:id="1050884286">
                  <w:marLeft w:val="0"/>
                  <w:marRight w:val="0"/>
                  <w:marTop w:val="0"/>
                  <w:marBottom w:val="150"/>
                  <w:divBdr>
                    <w:top w:val="none" w:sz="0" w:space="0" w:color="auto"/>
                    <w:left w:val="none" w:sz="0" w:space="0" w:color="auto"/>
                    <w:bottom w:val="none" w:sz="0" w:space="0" w:color="auto"/>
                    <w:right w:val="none" w:sz="0" w:space="0" w:color="auto"/>
                  </w:divBdr>
                </w:div>
                <w:div w:id="1152135620">
                  <w:marLeft w:val="0"/>
                  <w:marRight w:val="0"/>
                  <w:marTop w:val="0"/>
                  <w:marBottom w:val="150"/>
                  <w:divBdr>
                    <w:top w:val="none" w:sz="0" w:space="0" w:color="auto"/>
                    <w:left w:val="none" w:sz="0" w:space="0" w:color="auto"/>
                    <w:bottom w:val="none" w:sz="0" w:space="0" w:color="auto"/>
                    <w:right w:val="none" w:sz="0" w:space="0" w:color="auto"/>
                  </w:divBdr>
                </w:div>
                <w:div w:id="1445882205">
                  <w:marLeft w:val="0"/>
                  <w:marRight w:val="0"/>
                  <w:marTop w:val="0"/>
                  <w:marBottom w:val="150"/>
                  <w:divBdr>
                    <w:top w:val="none" w:sz="0" w:space="0" w:color="auto"/>
                    <w:left w:val="none" w:sz="0" w:space="0" w:color="auto"/>
                    <w:bottom w:val="none" w:sz="0" w:space="0" w:color="auto"/>
                    <w:right w:val="none" w:sz="0" w:space="0" w:color="auto"/>
                  </w:divBdr>
                </w:div>
                <w:div w:id="1611738370">
                  <w:marLeft w:val="0"/>
                  <w:marRight w:val="0"/>
                  <w:marTop w:val="0"/>
                  <w:marBottom w:val="150"/>
                  <w:divBdr>
                    <w:top w:val="none" w:sz="0" w:space="0" w:color="auto"/>
                    <w:left w:val="none" w:sz="0" w:space="0" w:color="auto"/>
                    <w:bottom w:val="none" w:sz="0" w:space="0" w:color="auto"/>
                    <w:right w:val="none" w:sz="0" w:space="0" w:color="auto"/>
                  </w:divBdr>
                </w:div>
                <w:div w:id="1972396974">
                  <w:marLeft w:val="0"/>
                  <w:marRight w:val="0"/>
                  <w:marTop w:val="0"/>
                  <w:marBottom w:val="150"/>
                  <w:divBdr>
                    <w:top w:val="none" w:sz="0" w:space="0" w:color="auto"/>
                    <w:left w:val="none" w:sz="0" w:space="0" w:color="auto"/>
                    <w:bottom w:val="none" w:sz="0" w:space="0" w:color="auto"/>
                    <w:right w:val="none" w:sz="0" w:space="0" w:color="auto"/>
                  </w:divBdr>
                </w:div>
                <w:div w:id="2024162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80527894">
      <w:bodyDiv w:val="1"/>
      <w:marLeft w:val="0"/>
      <w:marRight w:val="0"/>
      <w:marTop w:val="0"/>
      <w:marBottom w:val="0"/>
      <w:divBdr>
        <w:top w:val="none" w:sz="0" w:space="0" w:color="auto"/>
        <w:left w:val="none" w:sz="0" w:space="0" w:color="auto"/>
        <w:bottom w:val="none" w:sz="0" w:space="0" w:color="auto"/>
        <w:right w:val="none" w:sz="0" w:space="0" w:color="auto"/>
      </w:divBdr>
      <w:divsChild>
        <w:div w:id="211696121">
          <w:marLeft w:val="0"/>
          <w:marRight w:val="0"/>
          <w:marTop w:val="0"/>
          <w:marBottom w:val="0"/>
          <w:divBdr>
            <w:top w:val="none" w:sz="0" w:space="0" w:color="auto"/>
            <w:left w:val="none" w:sz="0" w:space="0" w:color="auto"/>
            <w:bottom w:val="dotted" w:sz="6" w:space="4" w:color="DDDDDD"/>
            <w:right w:val="none" w:sz="0" w:space="0" w:color="auto"/>
          </w:divBdr>
          <w:divsChild>
            <w:div w:id="209423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81657">
      <w:bodyDiv w:val="1"/>
      <w:marLeft w:val="0"/>
      <w:marRight w:val="0"/>
      <w:marTop w:val="0"/>
      <w:marBottom w:val="0"/>
      <w:divBdr>
        <w:top w:val="none" w:sz="0" w:space="0" w:color="auto"/>
        <w:left w:val="none" w:sz="0" w:space="0" w:color="auto"/>
        <w:bottom w:val="none" w:sz="0" w:space="0" w:color="auto"/>
        <w:right w:val="none" w:sz="0" w:space="0" w:color="auto"/>
      </w:divBdr>
      <w:divsChild>
        <w:div w:id="1994554080">
          <w:marLeft w:val="0"/>
          <w:marRight w:val="0"/>
          <w:marTop w:val="0"/>
          <w:marBottom w:val="0"/>
          <w:divBdr>
            <w:top w:val="none" w:sz="0" w:space="0" w:color="auto"/>
            <w:left w:val="none" w:sz="0" w:space="0" w:color="auto"/>
            <w:bottom w:val="none" w:sz="0" w:space="0" w:color="auto"/>
            <w:right w:val="none" w:sz="0" w:space="0" w:color="auto"/>
          </w:divBdr>
          <w:divsChild>
            <w:div w:id="47653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83002">
      <w:bodyDiv w:val="1"/>
      <w:marLeft w:val="0"/>
      <w:marRight w:val="0"/>
      <w:marTop w:val="0"/>
      <w:marBottom w:val="0"/>
      <w:divBdr>
        <w:top w:val="none" w:sz="0" w:space="0" w:color="auto"/>
        <w:left w:val="none" w:sz="0" w:space="0" w:color="auto"/>
        <w:bottom w:val="none" w:sz="0" w:space="0" w:color="auto"/>
        <w:right w:val="none" w:sz="0" w:space="0" w:color="auto"/>
      </w:divBdr>
      <w:divsChild>
        <w:div w:id="1841693767">
          <w:marLeft w:val="0"/>
          <w:marRight w:val="0"/>
          <w:marTop w:val="0"/>
          <w:marBottom w:val="0"/>
          <w:divBdr>
            <w:top w:val="none" w:sz="0" w:space="0" w:color="auto"/>
            <w:left w:val="none" w:sz="0" w:space="0" w:color="auto"/>
            <w:bottom w:val="none" w:sz="0" w:space="0" w:color="auto"/>
            <w:right w:val="none" w:sz="0" w:space="0" w:color="auto"/>
          </w:divBdr>
        </w:div>
      </w:divsChild>
    </w:div>
    <w:div w:id="581187575">
      <w:bodyDiv w:val="1"/>
      <w:marLeft w:val="0"/>
      <w:marRight w:val="0"/>
      <w:marTop w:val="0"/>
      <w:marBottom w:val="0"/>
      <w:divBdr>
        <w:top w:val="none" w:sz="0" w:space="0" w:color="auto"/>
        <w:left w:val="none" w:sz="0" w:space="0" w:color="auto"/>
        <w:bottom w:val="none" w:sz="0" w:space="0" w:color="auto"/>
        <w:right w:val="none" w:sz="0" w:space="0" w:color="auto"/>
      </w:divBdr>
      <w:divsChild>
        <w:div w:id="443111673">
          <w:marLeft w:val="0"/>
          <w:marRight w:val="0"/>
          <w:marTop w:val="0"/>
          <w:marBottom w:val="450"/>
          <w:divBdr>
            <w:top w:val="none" w:sz="0" w:space="0" w:color="auto"/>
            <w:left w:val="none" w:sz="0" w:space="0" w:color="auto"/>
            <w:bottom w:val="single" w:sz="6" w:space="19" w:color="EEEEEE"/>
            <w:right w:val="none" w:sz="0" w:space="0" w:color="auto"/>
          </w:divBdr>
          <w:divsChild>
            <w:div w:id="304549680">
              <w:marLeft w:val="0"/>
              <w:marRight w:val="0"/>
              <w:marTop w:val="0"/>
              <w:marBottom w:val="150"/>
              <w:divBdr>
                <w:top w:val="none" w:sz="0" w:space="0" w:color="auto"/>
                <w:left w:val="none" w:sz="0" w:space="0" w:color="auto"/>
                <w:bottom w:val="none" w:sz="0" w:space="0" w:color="auto"/>
                <w:right w:val="none" w:sz="0" w:space="0" w:color="auto"/>
              </w:divBdr>
              <w:divsChild>
                <w:div w:id="1230192268">
                  <w:marLeft w:val="0"/>
                  <w:marRight w:val="0"/>
                  <w:marTop w:val="0"/>
                  <w:marBottom w:val="0"/>
                  <w:divBdr>
                    <w:top w:val="none" w:sz="0" w:space="0" w:color="auto"/>
                    <w:left w:val="none" w:sz="0" w:space="0" w:color="auto"/>
                    <w:bottom w:val="none" w:sz="0" w:space="0" w:color="auto"/>
                    <w:right w:val="none" w:sz="0" w:space="0" w:color="auto"/>
                  </w:divBdr>
                </w:div>
              </w:divsChild>
            </w:div>
            <w:div w:id="1123502296">
              <w:marLeft w:val="0"/>
              <w:marRight w:val="0"/>
              <w:marTop w:val="0"/>
              <w:marBottom w:val="0"/>
              <w:divBdr>
                <w:top w:val="none" w:sz="0" w:space="0" w:color="auto"/>
                <w:left w:val="none" w:sz="0" w:space="0" w:color="auto"/>
                <w:bottom w:val="none" w:sz="0" w:space="0" w:color="auto"/>
                <w:right w:val="none" w:sz="0" w:space="0" w:color="auto"/>
              </w:divBdr>
            </w:div>
          </w:divsChild>
        </w:div>
        <w:div w:id="902788522">
          <w:marLeft w:val="0"/>
          <w:marRight w:val="0"/>
          <w:marTop w:val="0"/>
          <w:marBottom w:val="0"/>
          <w:divBdr>
            <w:top w:val="none" w:sz="0" w:space="0" w:color="auto"/>
            <w:left w:val="none" w:sz="0" w:space="0" w:color="auto"/>
            <w:bottom w:val="none" w:sz="0" w:space="0" w:color="auto"/>
            <w:right w:val="none" w:sz="0" w:space="0" w:color="auto"/>
          </w:divBdr>
          <w:divsChild>
            <w:div w:id="256642474">
              <w:marLeft w:val="0"/>
              <w:marRight w:val="0"/>
              <w:marTop w:val="0"/>
              <w:marBottom w:val="0"/>
              <w:divBdr>
                <w:top w:val="none" w:sz="0" w:space="0" w:color="auto"/>
                <w:left w:val="none" w:sz="0" w:space="0" w:color="auto"/>
                <w:bottom w:val="none" w:sz="0" w:space="0" w:color="auto"/>
                <w:right w:val="none" w:sz="0" w:space="0" w:color="auto"/>
              </w:divBdr>
              <w:divsChild>
                <w:div w:id="196499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334383">
      <w:bodyDiv w:val="1"/>
      <w:marLeft w:val="0"/>
      <w:marRight w:val="0"/>
      <w:marTop w:val="0"/>
      <w:marBottom w:val="0"/>
      <w:divBdr>
        <w:top w:val="none" w:sz="0" w:space="0" w:color="auto"/>
        <w:left w:val="none" w:sz="0" w:space="0" w:color="auto"/>
        <w:bottom w:val="none" w:sz="0" w:space="0" w:color="auto"/>
        <w:right w:val="none" w:sz="0" w:space="0" w:color="auto"/>
      </w:divBdr>
      <w:divsChild>
        <w:div w:id="1431774228">
          <w:marLeft w:val="0"/>
          <w:marRight w:val="0"/>
          <w:marTop w:val="0"/>
          <w:marBottom w:val="0"/>
          <w:divBdr>
            <w:top w:val="none" w:sz="0" w:space="0" w:color="auto"/>
            <w:left w:val="none" w:sz="0" w:space="0" w:color="auto"/>
            <w:bottom w:val="dotted" w:sz="6" w:space="4" w:color="DDDDDD"/>
            <w:right w:val="none" w:sz="0" w:space="0" w:color="auto"/>
          </w:divBdr>
          <w:divsChild>
            <w:div w:id="176607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450607">
      <w:bodyDiv w:val="1"/>
      <w:marLeft w:val="0"/>
      <w:marRight w:val="0"/>
      <w:marTop w:val="0"/>
      <w:marBottom w:val="0"/>
      <w:divBdr>
        <w:top w:val="none" w:sz="0" w:space="0" w:color="auto"/>
        <w:left w:val="none" w:sz="0" w:space="0" w:color="auto"/>
        <w:bottom w:val="none" w:sz="0" w:space="0" w:color="auto"/>
        <w:right w:val="none" w:sz="0" w:space="0" w:color="auto"/>
      </w:divBdr>
      <w:divsChild>
        <w:div w:id="1819372619">
          <w:marLeft w:val="0"/>
          <w:marRight w:val="0"/>
          <w:marTop w:val="0"/>
          <w:marBottom w:val="150"/>
          <w:divBdr>
            <w:top w:val="none" w:sz="0" w:space="0" w:color="auto"/>
            <w:left w:val="none" w:sz="0" w:space="0" w:color="auto"/>
            <w:bottom w:val="single" w:sz="12" w:space="4" w:color="F1F6F8"/>
            <w:right w:val="none" w:sz="0" w:space="0" w:color="auto"/>
          </w:divBdr>
          <w:divsChild>
            <w:div w:id="93051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718386">
      <w:bodyDiv w:val="1"/>
      <w:marLeft w:val="0"/>
      <w:marRight w:val="0"/>
      <w:marTop w:val="0"/>
      <w:marBottom w:val="0"/>
      <w:divBdr>
        <w:top w:val="none" w:sz="0" w:space="0" w:color="auto"/>
        <w:left w:val="none" w:sz="0" w:space="0" w:color="auto"/>
        <w:bottom w:val="none" w:sz="0" w:space="0" w:color="auto"/>
        <w:right w:val="none" w:sz="0" w:space="0" w:color="auto"/>
      </w:divBdr>
    </w:div>
    <w:div w:id="582422044">
      <w:bodyDiv w:val="1"/>
      <w:marLeft w:val="0"/>
      <w:marRight w:val="0"/>
      <w:marTop w:val="0"/>
      <w:marBottom w:val="0"/>
      <w:divBdr>
        <w:top w:val="none" w:sz="0" w:space="0" w:color="auto"/>
        <w:left w:val="none" w:sz="0" w:space="0" w:color="auto"/>
        <w:bottom w:val="none" w:sz="0" w:space="0" w:color="auto"/>
        <w:right w:val="none" w:sz="0" w:space="0" w:color="auto"/>
      </w:divBdr>
      <w:divsChild>
        <w:div w:id="1031808664">
          <w:marLeft w:val="0"/>
          <w:marRight w:val="0"/>
          <w:marTop w:val="0"/>
          <w:marBottom w:val="0"/>
          <w:divBdr>
            <w:top w:val="none" w:sz="0" w:space="0" w:color="auto"/>
            <w:left w:val="none" w:sz="0" w:space="0" w:color="auto"/>
            <w:bottom w:val="dotted" w:sz="6" w:space="4" w:color="DDDDDD"/>
            <w:right w:val="none" w:sz="0" w:space="0" w:color="auto"/>
          </w:divBdr>
          <w:divsChild>
            <w:div w:id="141238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570145">
      <w:bodyDiv w:val="1"/>
      <w:marLeft w:val="0"/>
      <w:marRight w:val="0"/>
      <w:marTop w:val="0"/>
      <w:marBottom w:val="0"/>
      <w:divBdr>
        <w:top w:val="none" w:sz="0" w:space="0" w:color="auto"/>
        <w:left w:val="none" w:sz="0" w:space="0" w:color="auto"/>
        <w:bottom w:val="none" w:sz="0" w:space="0" w:color="auto"/>
        <w:right w:val="none" w:sz="0" w:space="0" w:color="auto"/>
      </w:divBdr>
      <w:divsChild>
        <w:div w:id="1504004832">
          <w:marLeft w:val="0"/>
          <w:marRight w:val="0"/>
          <w:marTop w:val="0"/>
          <w:marBottom w:val="0"/>
          <w:divBdr>
            <w:top w:val="none" w:sz="0" w:space="0" w:color="auto"/>
            <w:left w:val="none" w:sz="0" w:space="0" w:color="auto"/>
            <w:bottom w:val="none" w:sz="0" w:space="0" w:color="auto"/>
            <w:right w:val="none" w:sz="0" w:space="0" w:color="auto"/>
          </w:divBdr>
          <w:divsChild>
            <w:div w:id="1895237391">
              <w:marLeft w:val="0"/>
              <w:marRight w:val="0"/>
              <w:marTop w:val="0"/>
              <w:marBottom w:val="0"/>
              <w:divBdr>
                <w:top w:val="none" w:sz="0" w:space="0" w:color="auto"/>
                <w:left w:val="none" w:sz="0" w:space="0" w:color="auto"/>
                <w:bottom w:val="none" w:sz="0" w:space="0" w:color="auto"/>
                <w:right w:val="none" w:sz="0" w:space="0" w:color="auto"/>
              </w:divBdr>
              <w:divsChild>
                <w:div w:id="1942758228">
                  <w:marLeft w:val="0"/>
                  <w:marRight w:val="0"/>
                  <w:marTop w:val="0"/>
                  <w:marBottom w:val="0"/>
                  <w:divBdr>
                    <w:top w:val="none" w:sz="0" w:space="0" w:color="auto"/>
                    <w:left w:val="none" w:sz="0" w:space="0" w:color="auto"/>
                    <w:bottom w:val="none" w:sz="0" w:space="0" w:color="auto"/>
                    <w:right w:val="none" w:sz="0" w:space="0" w:color="auto"/>
                  </w:divBdr>
                  <w:divsChild>
                    <w:div w:id="2044937087">
                      <w:marLeft w:val="0"/>
                      <w:marRight w:val="0"/>
                      <w:marTop w:val="0"/>
                      <w:marBottom w:val="0"/>
                      <w:divBdr>
                        <w:top w:val="none" w:sz="0" w:space="0" w:color="auto"/>
                        <w:left w:val="none" w:sz="0" w:space="0" w:color="auto"/>
                        <w:bottom w:val="none" w:sz="0" w:space="0" w:color="auto"/>
                        <w:right w:val="none" w:sz="0" w:space="0" w:color="auto"/>
                      </w:divBdr>
                      <w:divsChild>
                        <w:div w:id="1072046255">
                          <w:marLeft w:val="0"/>
                          <w:marRight w:val="0"/>
                          <w:marTop w:val="0"/>
                          <w:marBottom w:val="0"/>
                          <w:divBdr>
                            <w:top w:val="none" w:sz="0" w:space="0" w:color="auto"/>
                            <w:left w:val="none" w:sz="0" w:space="0" w:color="auto"/>
                            <w:bottom w:val="none" w:sz="0" w:space="0" w:color="auto"/>
                            <w:right w:val="none" w:sz="0" w:space="0" w:color="auto"/>
                          </w:divBdr>
                          <w:divsChild>
                            <w:div w:id="1793668555">
                              <w:marLeft w:val="0"/>
                              <w:marRight w:val="0"/>
                              <w:marTop w:val="0"/>
                              <w:marBottom w:val="0"/>
                              <w:divBdr>
                                <w:top w:val="none" w:sz="0" w:space="0" w:color="auto"/>
                                <w:left w:val="none" w:sz="0" w:space="0" w:color="auto"/>
                                <w:bottom w:val="none" w:sz="0" w:space="0" w:color="auto"/>
                                <w:right w:val="none" w:sz="0" w:space="0" w:color="auto"/>
                              </w:divBdr>
                              <w:divsChild>
                                <w:div w:id="2028749261">
                                  <w:marLeft w:val="0"/>
                                  <w:marRight w:val="0"/>
                                  <w:marTop w:val="0"/>
                                  <w:marBottom w:val="0"/>
                                  <w:divBdr>
                                    <w:top w:val="none" w:sz="0" w:space="0" w:color="auto"/>
                                    <w:left w:val="none" w:sz="0" w:space="0" w:color="auto"/>
                                    <w:bottom w:val="none" w:sz="0" w:space="0" w:color="auto"/>
                                    <w:right w:val="none" w:sz="0" w:space="0" w:color="auto"/>
                                  </w:divBdr>
                                  <w:divsChild>
                                    <w:div w:id="201799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228470">
      <w:bodyDiv w:val="1"/>
      <w:marLeft w:val="0"/>
      <w:marRight w:val="0"/>
      <w:marTop w:val="0"/>
      <w:marBottom w:val="0"/>
      <w:divBdr>
        <w:top w:val="none" w:sz="0" w:space="0" w:color="auto"/>
        <w:left w:val="none" w:sz="0" w:space="0" w:color="auto"/>
        <w:bottom w:val="none" w:sz="0" w:space="0" w:color="auto"/>
        <w:right w:val="none" w:sz="0" w:space="0" w:color="auto"/>
      </w:divBdr>
    </w:div>
    <w:div w:id="583341476">
      <w:bodyDiv w:val="1"/>
      <w:marLeft w:val="0"/>
      <w:marRight w:val="0"/>
      <w:marTop w:val="0"/>
      <w:marBottom w:val="0"/>
      <w:divBdr>
        <w:top w:val="none" w:sz="0" w:space="0" w:color="auto"/>
        <w:left w:val="none" w:sz="0" w:space="0" w:color="auto"/>
        <w:bottom w:val="none" w:sz="0" w:space="0" w:color="auto"/>
        <w:right w:val="none" w:sz="0" w:space="0" w:color="auto"/>
      </w:divBdr>
      <w:divsChild>
        <w:div w:id="409733915">
          <w:marLeft w:val="0"/>
          <w:marRight w:val="0"/>
          <w:marTop w:val="0"/>
          <w:marBottom w:val="0"/>
          <w:divBdr>
            <w:top w:val="none" w:sz="0" w:space="0" w:color="auto"/>
            <w:left w:val="none" w:sz="0" w:space="0" w:color="auto"/>
            <w:bottom w:val="none" w:sz="0" w:space="0" w:color="auto"/>
            <w:right w:val="none" w:sz="0" w:space="0" w:color="auto"/>
          </w:divBdr>
          <w:divsChild>
            <w:div w:id="1503474432">
              <w:marLeft w:val="0"/>
              <w:marRight w:val="0"/>
              <w:marTop w:val="0"/>
              <w:marBottom w:val="0"/>
              <w:divBdr>
                <w:top w:val="none" w:sz="0" w:space="0" w:color="auto"/>
                <w:left w:val="none" w:sz="0" w:space="0" w:color="auto"/>
                <w:bottom w:val="none" w:sz="0" w:space="0" w:color="auto"/>
                <w:right w:val="none" w:sz="0" w:space="0" w:color="auto"/>
              </w:divBdr>
              <w:divsChild>
                <w:div w:id="1401251735">
                  <w:marLeft w:val="0"/>
                  <w:marRight w:val="0"/>
                  <w:marTop w:val="0"/>
                  <w:marBottom w:val="0"/>
                  <w:divBdr>
                    <w:top w:val="none" w:sz="0" w:space="0" w:color="auto"/>
                    <w:left w:val="none" w:sz="0" w:space="0" w:color="auto"/>
                    <w:bottom w:val="none" w:sz="0" w:space="0" w:color="auto"/>
                    <w:right w:val="none" w:sz="0" w:space="0" w:color="auto"/>
                  </w:divBdr>
                </w:div>
                <w:div w:id="53434557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583491835">
      <w:bodyDiv w:val="1"/>
      <w:marLeft w:val="0"/>
      <w:marRight w:val="0"/>
      <w:marTop w:val="0"/>
      <w:marBottom w:val="0"/>
      <w:divBdr>
        <w:top w:val="none" w:sz="0" w:space="0" w:color="auto"/>
        <w:left w:val="none" w:sz="0" w:space="0" w:color="auto"/>
        <w:bottom w:val="none" w:sz="0" w:space="0" w:color="auto"/>
        <w:right w:val="none" w:sz="0" w:space="0" w:color="auto"/>
      </w:divBdr>
      <w:divsChild>
        <w:div w:id="1267809653">
          <w:marLeft w:val="0"/>
          <w:marRight w:val="0"/>
          <w:marTop w:val="0"/>
          <w:marBottom w:val="150"/>
          <w:divBdr>
            <w:top w:val="none" w:sz="0" w:space="0" w:color="auto"/>
            <w:left w:val="none" w:sz="0" w:space="0" w:color="auto"/>
            <w:bottom w:val="none" w:sz="0" w:space="0" w:color="auto"/>
            <w:right w:val="none" w:sz="0" w:space="0" w:color="auto"/>
          </w:divBdr>
          <w:divsChild>
            <w:div w:id="219755696">
              <w:marLeft w:val="0"/>
              <w:marRight w:val="0"/>
              <w:marTop w:val="0"/>
              <w:marBottom w:val="0"/>
              <w:divBdr>
                <w:top w:val="none" w:sz="0" w:space="0" w:color="auto"/>
                <w:left w:val="none" w:sz="0" w:space="0" w:color="auto"/>
                <w:bottom w:val="none" w:sz="0" w:space="0" w:color="auto"/>
                <w:right w:val="none" w:sz="0" w:space="0" w:color="auto"/>
              </w:divBdr>
              <w:divsChild>
                <w:div w:id="146539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439812">
          <w:marLeft w:val="0"/>
          <w:marRight w:val="0"/>
          <w:marTop w:val="0"/>
          <w:marBottom w:val="150"/>
          <w:divBdr>
            <w:top w:val="none" w:sz="0" w:space="0" w:color="auto"/>
            <w:left w:val="none" w:sz="0" w:space="0" w:color="auto"/>
            <w:bottom w:val="none" w:sz="0" w:space="0" w:color="auto"/>
            <w:right w:val="none" w:sz="0" w:space="0" w:color="auto"/>
          </w:divBdr>
        </w:div>
        <w:div w:id="1668940517">
          <w:marLeft w:val="0"/>
          <w:marRight w:val="0"/>
          <w:marTop w:val="0"/>
          <w:marBottom w:val="0"/>
          <w:divBdr>
            <w:top w:val="none" w:sz="0" w:space="0" w:color="auto"/>
            <w:left w:val="none" w:sz="0" w:space="0" w:color="auto"/>
            <w:bottom w:val="none" w:sz="0" w:space="0" w:color="auto"/>
            <w:right w:val="none" w:sz="0" w:space="0" w:color="auto"/>
          </w:divBdr>
          <w:divsChild>
            <w:div w:id="13834086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83958500">
      <w:bodyDiv w:val="1"/>
      <w:marLeft w:val="0"/>
      <w:marRight w:val="0"/>
      <w:marTop w:val="0"/>
      <w:marBottom w:val="0"/>
      <w:divBdr>
        <w:top w:val="none" w:sz="0" w:space="0" w:color="auto"/>
        <w:left w:val="none" w:sz="0" w:space="0" w:color="auto"/>
        <w:bottom w:val="none" w:sz="0" w:space="0" w:color="auto"/>
        <w:right w:val="none" w:sz="0" w:space="0" w:color="auto"/>
      </w:divBdr>
      <w:divsChild>
        <w:div w:id="701903473">
          <w:marLeft w:val="0"/>
          <w:marRight w:val="0"/>
          <w:marTop w:val="0"/>
          <w:marBottom w:val="0"/>
          <w:divBdr>
            <w:top w:val="none" w:sz="0" w:space="0" w:color="auto"/>
            <w:left w:val="none" w:sz="0" w:space="0" w:color="auto"/>
            <w:bottom w:val="none" w:sz="0" w:space="0" w:color="auto"/>
            <w:right w:val="none" w:sz="0" w:space="0" w:color="auto"/>
          </w:divBdr>
          <w:divsChild>
            <w:div w:id="1795831146">
              <w:marLeft w:val="0"/>
              <w:marRight w:val="0"/>
              <w:marTop w:val="0"/>
              <w:marBottom w:val="0"/>
              <w:divBdr>
                <w:top w:val="none" w:sz="0" w:space="0" w:color="auto"/>
                <w:left w:val="none" w:sz="0" w:space="0" w:color="auto"/>
                <w:bottom w:val="none" w:sz="0" w:space="0" w:color="auto"/>
                <w:right w:val="none" w:sz="0" w:space="0" w:color="auto"/>
              </w:divBdr>
              <w:divsChild>
                <w:div w:id="1782413210">
                  <w:marLeft w:val="0"/>
                  <w:marRight w:val="0"/>
                  <w:marTop w:val="0"/>
                  <w:marBottom w:val="0"/>
                  <w:divBdr>
                    <w:top w:val="none" w:sz="0" w:space="0" w:color="auto"/>
                    <w:left w:val="none" w:sz="0" w:space="0" w:color="auto"/>
                    <w:bottom w:val="none" w:sz="0" w:space="0" w:color="auto"/>
                    <w:right w:val="none" w:sz="0" w:space="0" w:color="auto"/>
                  </w:divBdr>
                  <w:divsChild>
                    <w:div w:id="1455103758">
                      <w:marLeft w:val="0"/>
                      <w:marRight w:val="0"/>
                      <w:marTop w:val="0"/>
                      <w:marBottom w:val="0"/>
                      <w:divBdr>
                        <w:top w:val="none" w:sz="0" w:space="0" w:color="auto"/>
                        <w:left w:val="none" w:sz="0" w:space="0" w:color="auto"/>
                        <w:bottom w:val="none" w:sz="0" w:space="0" w:color="auto"/>
                        <w:right w:val="none" w:sz="0" w:space="0" w:color="auto"/>
                      </w:divBdr>
                      <w:divsChild>
                        <w:div w:id="1091778056">
                          <w:marLeft w:val="0"/>
                          <w:marRight w:val="0"/>
                          <w:marTop w:val="0"/>
                          <w:marBottom w:val="0"/>
                          <w:divBdr>
                            <w:top w:val="none" w:sz="0" w:space="0" w:color="auto"/>
                            <w:left w:val="none" w:sz="0" w:space="0" w:color="auto"/>
                            <w:bottom w:val="none" w:sz="0" w:space="0" w:color="auto"/>
                            <w:right w:val="none" w:sz="0" w:space="0" w:color="auto"/>
                          </w:divBdr>
                          <w:divsChild>
                            <w:div w:id="560756075">
                              <w:marLeft w:val="0"/>
                              <w:marRight w:val="0"/>
                              <w:marTop w:val="0"/>
                              <w:marBottom w:val="0"/>
                              <w:divBdr>
                                <w:top w:val="none" w:sz="0" w:space="0" w:color="auto"/>
                                <w:left w:val="none" w:sz="0" w:space="0" w:color="auto"/>
                                <w:bottom w:val="none" w:sz="0" w:space="0" w:color="auto"/>
                                <w:right w:val="none" w:sz="0" w:space="0" w:color="auto"/>
                              </w:divBdr>
                              <w:divsChild>
                                <w:div w:id="493959149">
                                  <w:marLeft w:val="0"/>
                                  <w:marRight w:val="0"/>
                                  <w:marTop w:val="0"/>
                                  <w:marBottom w:val="0"/>
                                  <w:divBdr>
                                    <w:top w:val="none" w:sz="0" w:space="0" w:color="auto"/>
                                    <w:left w:val="none" w:sz="0" w:space="0" w:color="auto"/>
                                    <w:bottom w:val="none" w:sz="0" w:space="0" w:color="auto"/>
                                    <w:right w:val="none" w:sz="0" w:space="0" w:color="auto"/>
                                  </w:divBdr>
                                  <w:divsChild>
                                    <w:div w:id="33110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4150282">
      <w:bodyDiv w:val="1"/>
      <w:marLeft w:val="0"/>
      <w:marRight w:val="0"/>
      <w:marTop w:val="0"/>
      <w:marBottom w:val="0"/>
      <w:divBdr>
        <w:top w:val="none" w:sz="0" w:space="0" w:color="auto"/>
        <w:left w:val="none" w:sz="0" w:space="0" w:color="auto"/>
        <w:bottom w:val="none" w:sz="0" w:space="0" w:color="auto"/>
        <w:right w:val="none" w:sz="0" w:space="0" w:color="auto"/>
      </w:divBdr>
    </w:div>
    <w:div w:id="584387628">
      <w:bodyDiv w:val="1"/>
      <w:marLeft w:val="0"/>
      <w:marRight w:val="0"/>
      <w:marTop w:val="0"/>
      <w:marBottom w:val="0"/>
      <w:divBdr>
        <w:top w:val="none" w:sz="0" w:space="0" w:color="auto"/>
        <w:left w:val="none" w:sz="0" w:space="0" w:color="auto"/>
        <w:bottom w:val="none" w:sz="0" w:space="0" w:color="auto"/>
        <w:right w:val="none" w:sz="0" w:space="0" w:color="auto"/>
      </w:divBdr>
      <w:divsChild>
        <w:div w:id="954286966">
          <w:marLeft w:val="0"/>
          <w:marRight w:val="0"/>
          <w:marTop w:val="0"/>
          <w:marBottom w:val="0"/>
          <w:divBdr>
            <w:top w:val="none" w:sz="0" w:space="0" w:color="auto"/>
            <w:left w:val="none" w:sz="0" w:space="0" w:color="auto"/>
            <w:bottom w:val="none" w:sz="0" w:space="0" w:color="auto"/>
            <w:right w:val="none" w:sz="0" w:space="0" w:color="auto"/>
          </w:divBdr>
        </w:div>
      </w:divsChild>
    </w:div>
    <w:div w:id="584581644">
      <w:bodyDiv w:val="1"/>
      <w:marLeft w:val="0"/>
      <w:marRight w:val="0"/>
      <w:marTop w:val="0"/>
      <w:marBottom w:val="0"/>
      <w:divBdr>
        <w:top w:val="none" w:sz="0" w:space="0" w:color="auto"/>
        <w:left w:val="none" w:sz="0" w:space="0" w:color="auto"/>
        <w:bottom w:val="none" w:sz="0" w:space="0" w:color="auto"/>
        <w:right w:val="none" w:sz="0" w:space="0" w:color="auto"/>
      </w:divBdr>
      <w:divsChild>
        <w:div w:id="1858150519">
          <w:marLeft w:val="0"/>
          <w:marRight w:val="0"/>
          <w:marTop w:val="0"/>
          <w:marBottom w:val="150"/>
          <w:divBdr>
            <w:top w:val="none" w:sz="0" w:space="0" w:color="auto"/>
            <w:left w:val="none" w:sz="0" w:space="0" w:color="auto"/>
            <w:bottom w:val="none" w:sz="0" w:space="0" w:color="auto"/>
            <w:right w:val="none" w:sz="0" w:space="0" w:color="auto"/>
          </w:divBdr>
          <w:divsChild>
            <w:div w:id="480124242">
              <w:marLeft w:val="0"/>
              <w:marRight w:val="0"/>
              <w:marTop w:val="0"/>
              <w:marBottom w:val="0"/>
              <w:divBdr>
                <w:top w:val="none" w:sz="0" w:space="0" w:color="auto"/>
                <w:left w:val="none" w:sz="0" w:space="0" w:color="auto"/>
                <w:bottom w:val="none" w:sz="0" w:space="0" w:color="auto"/>
                <w:right w:val="none" w:sz="0" w:space="0" w:color="auto"/>
              </w:divBdr>
              <w:divsChild>
                <w:div w:id="418982882">
                  <w:marLeft w:val="0"/>
                  <w:marRight w:val="0"/>
                  <w:marTop w:val="0"/>
                  <w:marBottom w:val="0"/>
                  <w:divBdr>
                    <w:top w:val="none" w:sz="0" w:space="0" w:color="auto"/>
                    <w:left w:val="none" w:sz="0" w:space="0" w:color="auto"/>
                    <w:bottom w:val="none" w:sz="0" w:space="0" w:color="auto"/>
                    <w:right w:val="none" w:sz="0" w:space="0" w:color="auto"/>
                  </w:divBdr>
                  <w:divsChild>
                    <w:div w:id="25107835">
                      <w:marLeft w:val="0"/>
                      <w:marRight w:val="150"/>
                      <w:marTop w:val="0"/>
                      <w:marBottom w:val="0"/>
                      <w:divBdr>
                        <w:top w:val="none" w:sz="0" w:space="0" w:color="auto"/>
                        <w:left w:val="none" w:sz="0" w:space="0" w:color="auto"/>
                        <w:bottom w:val="none" w:sz="0" w:space="0" w:color="auto"/>
                        <w:right w:val="none" w:sz="0" w:space="0" w:color="auto"/>
                      </w:divBdr>
                      <w:divsChild>
                        <w:div w:id="60026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377177">
          <w:marLeft w:val="0"/>
          <w:marRight w:val="0"/>
          <w:marTop w:val="0"/>
          <w:marBottom w:val="150"/>
          <w:divBdr>
            <w:top w:val="none" w:sz="0" w:space="0" w:color="auto"/>
            <w:left w:val="none" w:sz="0" w:space="0" w:color="auto"/>
            <w:bottom w:val="none" w:sz="0" w:space="0" w:color="auto"/>
            <w:right w:val="none" w:sz="0" w:space="0" w:color="auto"/>
          </w:divBdr>
        </w:div>
        <w:div w:id="1899054476">
          <w:marLeft w:val="0"/>
          <w:marRight w:val="0"/>
          <w:marTop w:val="0"/>
          <w:marBottom w:val="0"/>
          <w:divBdr>
            <w:top w:val="none" w:sz="0" w:space="0" w:color="auto"/>
            <w:left w:val="none" w:sz="0" w:space="0" w:color="auto"/>
            <w:bottom w:val="none" w:sz="0" w:space="0" w:color="auto"/>
            <w:right w:val="none" w:sz="0" w:space="0" w:color="auto"/>
          </w:divBdr>
          <w:divsChild>
            <w:div w:id="46663106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84655797">
      <w:bodyDiv w:val="1"/>
      <w:marLeft w:val="0"/>
      <w:marRight w:val="0"/>
      <w:marTop w:val="0"/>
      <w:marBottom w:val="0"/>
      <w:divBdr>
        <w:top w:val="none" w:sz="0" w:space="0" w:color="auto"/>
        <w:left w:val="none" w:sz="0" w:space="0" w:color="auto"/>
        <w:bottom w:val="none" w:sz="0" w:space="0" w:color="auto"/>
        <w:right w:val="none" w:sz="0" w:space="0" w:color="auto"/>
      </w:divBdr>
      <w:divsChild>
        <w:div w:id="535853242">
          <w:marLeft w:val="0"/>
          <w:marRight w:val="0"/>
          <w:marTop w:val="0"/>
          <w:marBottom w:val="0"/>
          <w:divBdr>
            <w:top w:val="none" w:sz="0" w:space="0" w:color="auto"/>
            <w:left w:val="none" w:sz="0" w:space="0" w:color="auto"/>
            <w:bottom w:val="dotted" w:sz="6" w:space="4" w:color="DDDDDD"/>
            <w:right w:val="none" w:sz="0" w:space="0" w:color="auto"/>
          </w:divBdr>
          <w:divsChild>
            <w:div w:id="29414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725193">
      <w:bodyDiv w:val="1"/>
      <w:marLeft w:val="0"/>
      <w:marRight w:val="0"/>
      <w:marTop w:val="0"/>
      <w:marBottom w:val="0"/>
      <w:divBdr>
        <w:top w:val="none" w:sz="0" w:space="0" w:color="auto"/>
        <w:left w:val="none" w:sz="0" w:space="0" w:color="auto"/>
        <w:bottom w:val="none" w:sz="0" w:space="0" w:color="auto"/>
        <w:right w:val="none" w:sz="0" w:space="0" w:color="auto"/>
      </w:divBdr>
      <w:divsChild>
        <w:div w:id="1998338180">
          <w:marLeft w:val="0"/>
          <w:marRight w:val="0"/>
          <w:marTop w:val="0"/>
          <w:marBottom w:val="0"/>
          <w:divBdr>
            <w:top w:val="none" w:sz="0" w:space="0" w:color="auto"/>
            <w:left w:val="none" w:sz="0" w:space="0" w:color="auto"/>
            <w:bottom w:val="none" w:sz="0" w:space="0" w:color="auto"/>
            <w:right w:val="none" w:sz="0" w:space="0" w:color="auto"/>
          </w:divBdr>
          <w:divsChild>
            <w:div w:id="1052343101">
              <w:marLeft w:val="0"/>
              <w:marRight w:val="0"/>
              <w:marTop w:val="0"/>
              <w:marBottom w:val="0"/>
              <w:divBdr>
                <w:top w:val="none" w:sz="0" w:space="0" w:color="auto"/>
                <w:left w:val="none" w:sz="0" w:space="0" w:color="auto"/>
                <w:bottom w:val="none" w:sz="0" w:space="0" w:color="auto"/>
                <w:right w:val="none" w:sz="0" w:space="0" w:color="auto"/>
              </w:divBdr>
            </w:div>
          </w:divsChild>
        </w:div>
        <w:div w:id="304237174">
          <w:marLeft w:val="0"/>
          <w:marRight w:val="0"/>
          <w:marTop w:val="0"/>
          <w:marBottom w:val="0"/>
          <w:divBdr>
            <w:top w:val="none" w:sz="0" w:space="0" w:color="auto"/>
            <w:left w:val="none" w:sz="0" w:space="0" w:color="auto"/>
            <w:bottom w:val="none" w:sz="0" w:space="0" w:color="auto"/>
            <w:right w:val="none" w:sz="0" w:space="0" w:color="auto"/>
          </w:divBdr>
          <w:divsChild>
            <w:div w:id="1713505097">
              <w:marLeft w:val="0"/>
              <w:marRight w:val="0"/>
              <w:marTop w:val="0"/>
              <w:marBottom w:val="0"/>
              <w:divBdr>
                <w:top w:val="none" w:sz="0" w:space="0" w:color="auto"/>
                <w:left w:val="none" w:sz="0" w:space="0" w:color="auto"/>
                <w:bottom w:val="none" w:sz="0" w:space="0" w:color="auto"/>
                <w:right w:val="none" w:sz="0" w:space="0" w:color="auto"/>
              </w:divBdr>
              <w:divsChild>
                <w:div w:id="1260874231">
                  <w:marLeft w:val="0"/>
                  <w:marRight w:val="0"/>
                  <w:marTop w:val="0"/>
                  <w:marBottom w:val="0"/>
                  <w:divBdr>
                    <w:top w:val="none" w:sz="0" w:space="0" w:color="auto"/>
                    <w:left w:val="none" w:sz="0" w:space="0" w:color="auto"/>
                    <w:bottom w:val="none" w:sz="0" w:space="0" w:color="auto"/>
                    <w:right w:val="none" w:sz="0" w:space="0" w:color="auto"/>
                  </w:divBdr>
                  <w:divsChild>
                    <w:div w:id="229654188">
                      <w:marLeft w:val="0"/>
                      <w:marRight w:val="0"/>
                      <w:marTop w:val="0"/>
                      <w:marBottom w:val="300"/>
                      <w:divBdr>
                        <w:top w:val="none" w:sz="0" w:space="0" w:color="auto"/>
                        <w:left w:val="none" w:sz="0" w:space="0" w:color="auto"/>
                        <w:bottom w:val="none" w:sz="0" w:space="0" w:color="auto"/>
                        <w:right w:val="none" w:sz="0" w:space="0" w:color="auto"/>
                      </w:divBdr>
                      <w:divsChild>
                        <w:div w:id="1229994361">
                          <w:marLeft w:val="0"/>
                          <w:marRight w:val="0"/>
                          <w:marTop w:val="0"/>
                          <w:marBottom w:val="120"/>
                          <w:divBdr>
                            <w:top w:val="none" w:sz="0" w:space="0" w:color="auto"/>
                            <w:left w:val="none" w:sz="0" w:space="0" w:color="auto"/>
                            <w:bottom w:val="single" w:sz="12" w:space="6" w:color="BBDEFE"/>
                            <w:right w:val="none" w:sz="0" w:space="0" w:color="auto"/>
                          </w:divBdr>
                        </w:div>
                        <w:div w:id="1161773775">
                          <w:marLeft w:val="0"/>
                          <w:marRight w:val="0"/>
                          <w:marTop w:val="0"/>
                          <w:marBottom w:val="0"/>
                          <w:divBdr>
                            <w:top w:val="none" w:sz="0" w:space="0" w:color="auto"/>
                            <w:left w:val="none" w:sz="0" w:space="0" w:color="auto"/>
                            <w:bottom w:val="none" w:sz="0" w:space="0" w:color="auto"/>
                            <w:right w:val="none" w:sz="0" w:space="0" w:color="auto"/>
                          </w:divBdr>
                          <w:divsChild>
                            <w:div w:id="2014141795">
                              <w:marLeft w:val="0"/>
                              <w:marRight w:val="0"/>
                              <w:marTop w:val="0"/>
                              <w:marBottom w:val="0"/>
                              <w:divBdr>
                                <w:top w:val="none" w:sz="0" w:space="0" w:color="auto"/>
                                <w:left w:val="none" w:sz="0" w:space="0" w:color="auto"/>
                                <w:bottom w:val="none" w:sz="0" w:space="0" w:color="auto"/>
                                <w:right w:val="none" w:sz="0" w:space="0" w:color="auto"/>
                              </w:divBdr>
                              <w:divsChild>
                                <w:div w:id="1027678144">
                                  <w:marLeft w:val="0"/>
                                  <w:marRight w:val="600"/>
                                  <w:marTop w:val="0"/>
                                  <w:marBottom w:val="0"/>
                                  <w:divBdr>
                                    <w:top w:val="none" w:sz="0" w:space="0" w:color="auto"/>
                                    <w:left w:val="none" w:sz="0" w:space="0" w:color="auto"/>
                                    <w:bottom w:val="none" w:sz="0" w:space="0" w:color="auto"/>
                                    <w:right w:val="none" w:sz="0" w:space="0" w:color="auto"/>
                                  </w:divBdr>
                                  <w:divsChild>
                                    <w:div w:id="1609894253">
                                      <w:marLeft w:val="0"/>
                                      <w:marRight w:val="0"/>
                                      <w:marTop w:val="0"/>
                                      <w:marBottom w:val="120"/>
                                      <w:divBdr>
                                        <w:top w:val="none" w:sz="0" w:space="0" w:color="auto"/>
                                        <w:left w:val="none" w:sz="0" w:space="0" w:color="auto"/>
                                        <w:bottom w:val="single" w:sz="6" w:space="6" w:color="EEEEEE"/>
                                        <w:right w:val="none" w:sz="0" w:space="0" w:color="auto"/>
                                      </w:divBdr>
                                      <w:divsChild>
                                        <w:div w:id="1762144986">
                                          <w:marLeft w:val="0"/>
                                          <w:marRight w:val="0"/>
                                          <w:marTop w:val="0"/>
                                          <w:marBottom w:val="0"/>
                                          <w:divBdr>
                                            <w:top w:val="none" w:sz="0" w:space="0" w:color="auto"/>
                                            <w:left w:val="none" w:sz="0" w:space="0" w:color="auto"/>
                                            <w:bottom w:val="none" w:sz="0" w:space="0" w:color="auto"/>
                                            <w:right w:val="none" w:sz="0" w:space="0" w:color="auto"/>
                                          </w:divBdr>
                                        </w:div>
                                      </w:divsChild>
                                    </w:div>
                                    <w:div w:id="1529836541">
                                      <w:marLeft w:val="0"/>
                                      <w:marRight w:val="0"/>
                                      <w:marTop w:val="0"/>
                                      <w:marBottom w:val="120"/>
                                      <w:divBdr>
                                        <w:top w:val="none" w:sz="0" w:space="0" w:color="auto"/>
                                        <w:left w:val="none" w:sz="0" w:space="0" w:color="auto"/>
                                        <w:bottom w:val="single" w:sz="6" w:space="6" w:color="EEEEEE"/>
                                        <w:right w:val="none" w:sz="0" w:space="0" w:color="auto"/>
                                      </w:divBdr>
                                      <w:divsChild>
                                        <w:div w:id="840243668">
                                          <w:marLeft w:val="0"/>
                                          <w:marRight w:val="0"/>
                                          <w:marTop w:val="0"/>
                                          <w:marBottom w:val="0"/>
                                          <w:divBdr>
                                            <w:top w:val="none" w:sz="0" w:space="0" w:color="auto"/>
                                            <w:left w:val="none" w:sz="0" w:space="0" w:color="auto"/>
                                            <w:bottom w:val="none" w:sz="0" w:space="0" w:color="auto"/>
                                            <w:right w:val="none" w:sz="0" w:space="0" w:color="auto"/>
                                          </w:divBdr>
                                        </w:div>
                                      </w:divsChild>
                                    </w:div>
                                    <w:div w:id="1921987158">
                                      <w:marLeft w:val="0"/>
                                      <w:marRight w:val="0"/>
                                      <w:marTop w:val="0"/>
                                      <w:marBottom w:val="120"/>
                                      <w:divBdr>
                                        <w:top w:val="none" w:sz="0" w:space="0" w:color="auto"/>
                                        <w:left w:val="none" w:sz="0" w:space="0" w:color="auto"/>
                                        <w:bottom w:val="single" w:sz="6" w:space="6" w:color="EEEEEE"/>
                                        <w:right w:val="none" w:sz="0" w:space="0" w:color="auto"/>
                                      </w:divBdr>
                                      <w:divsChild>
                                        <w:div w:id="1261186731">
                                          <w:marLeft w:val="0"/>
                                          <w:marRight w:val="0"/>
                                          <w:marTop w:val="0"/>
                                          <w:marBottom w:val="0"/>
                                          <w:divBdr>
                                            <w:top w:val="none" w:sz="0" w:space="0" w:color="auto"/>
                                            <w:left w:val="none" w:sz="0" w:space="0" w:color="auto"/>
                                            <w:bottom w:val="none" w:sz="0" w:space="0" w:color="auto"/>
                                            <w:right w:val="none" w:sz="0" w:space="0" w:color="auto"/>
                                          </w:divBdr>
                                        </w:div>
                                      </w:divsChild>
                                    </w:div>
                                    <w:div w:id="208078424">
                                      <w:marLeft w:val="0"/>
                                      <w:marRight w:val="0"/>
                                      <w:marTop w:val="0"/>
                                      <w:marBottom w:val="120"/>
                                      <w:divBdr>
                                        <w:top w:val="none" w:sz="0" w:space="0" w:color="auto"/>
                                        <w:left w:val="none" w:sz="0" w:space="0" w:color="auto"/>
                                        <w:bottom w:val="single" w:sz="6" w:space="6" w:color="EEEEEE"/>
                                        <w:right w:val="none" w:sz="0" w:space="0" w:color="auto"/>
                                      </w:divBdr>
                                      <w:divsChild>
                                        <w:div w:id="457185969">
                                          <w:marLeft w:val="0"/>
                                          <w:marRight w:val="0"/>
                                          <w:marTop w:val="0"/>
                                          <w:marBottom w:val="0"/>
                                          <w:divBdr>
                                            <w:top w:val="none" w:sz="0" w:space="0" w:color="auto"/>
                                            <w:left w:val="none" w:sz="0" w:space="0" w:color="auto"/>
                                            <w:bottom w:val="none" w:sz="0" w:space="0" w:color="auto"/>
                                            <w:right w:val="none" w:sz="0" w:space="0" w:color="auto"/>
                                          </w:divBdr>
                                        </w:div>
                                      </w:divsChild>
                                    </w:div>
                                    <w:div w:id="575826709">
                                      <w:marLeft w:val="0"/>
                                      <w:marRight w:val="0"/>
                                      <w:marTop w:val="0"/>
                                      <w:marBottom w:val="120"/>
                                      <w:divBdr>
                                        <w:top w:val="none" w:sz="0" w:space="0" w:color="auto"/>
                                        <w:left w:val="none" w:sz="0" w:space="0" w:color="auto"/>
                                        <w:bottom w:val="none" w:sz="0" w:space="0" w:color="auto"/>
                                        <w:right w:val="none" w:sz="0" w:space="0" w:color="auto"/>
                                      </w:divBdr>
                                      <w:divsChild>
                                        <w:div w:id="185299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649764">
                                  <w:marLeft w:val="0"/>
                                  <w:marRight w:val="600"/>
                                  <w:marTop w:val="0"/>
                                  <w:marBottom w:val="0"/>
                                  <w:divBdr>
                                    <w:top w:val="none" w:sz="0" w:space="0" w:color="auto"/>
                                    <w:left w:val="none" w:sz="0" w:space="0" w:color="auto"/>
                                    <w:bottom w:val="none" w:sz="0" w:space="0" w:color="auto"/>
                                    <w:right w:val="none" w:sz="0" w:space="0" w:color="auto"/>
                                  </w:divBdr>
                                  <w:divsChild>
                                    <w:div w:id="621153280">
                                      <w:marLeft w:val="0"/>
                                      <w:marRight w:val="0"/>
                                      <w:marTop w:val="0"/>
                                      <w:marBottom w:val="120"/>
                                      <w:divBdr>
                                        <w:top w:val="none" w:sz="0" w:space="0" w:color="auto"/>
                                        <w:left w:val="none" w:sz="0" w:space="0" w:color="auto"/>
                                        <w:bottom w:val="single" w:sz="6" w:space="6" w:color="EEEEEE"/>
                                        <w:right w:val="none" w:sz="0" w:space="0" w:color="auto"/>
                                      </w:divBdr>
                                      <w:divsChild>
                                        <w:div w:id="599992220">
                                          <w:marLeft w:val="0"/>
                                          <w:marRight w:val="0"/>
                                          <w:marTop w:val="0"/>
                                          <w:marBottom w:val="0"/>
                                          <w:divBdr>
                                            <w:top w:val="none" w:sz="0" w:space="0" w:color="auto"/>
                                            <w:left w:val="none" w:sz="0" w:space="0" w:color="auto"/>
                                            <w:bottom w:val="none" w:sz="0" w:space="0" w:color="auto"/>
                                            <w:right w:val="none" w:sz="0" w:space="0" w:color="auto"/>
                                          </w:divBdr>
                                        </w:div>
                                      </w:divsChild>
                                    </w:div>
                                    <w:div w:id="716857907">
                                      <w:marLeft w:val="0"/>
                                      <w:marRight w:val="0"/>
                                      <w:marTop w:val="0"/>
                                      <w:marBottom w:val="120"/>
                                      <w:divBdr>
                                        <w:top w:val="none" w:sz="0" w:space="0" w:color="auto"/>
                                        <w:left w:val="none" w:sz="0" w:space="0" w:color="auto"/>
                                        <w:bottom w:val="single" w:sz="6" w:space="6" w:color="EEEEEE"/>
                                        <w:right w:val="none" w:sz="0" w:space="0" w:color="auto"/>
                                      </w:divBdr>
                                      <w:divsChild>
                                        <w:div w:id="1602452059">
                                          <w:marLeft w:val="0"/>
                                          <w:marRight w:val="0"/>
                                          <w:marTop w:val="0"/>
                                          <w:marBottom w:val="0"/>
                                          <w:divBdr>
                                            <w:top w:val="none" w:sz="0" w:space="0" w:color="auto"/>
                                            <w:left w:val="none" w:sz="0" w:space="0" w:color="auto"/>
                                            <w:bottom w:val="none" w:sz="0" w:space="0" w:color="auto"/>
                                            <w:right w:val="none" w:sz="0" w:space="0" w:color="auto"/>
                                          </w:divBdr>
                                        </w:div>
                                      </w:divsChild>
                                    </w:div>
                                    <w:div w:id="1928423746">
                                      <w:marLeft w:val="0"/>
                                      <w:marRight w:val="0"/>
                                      <w:marTop w:val="0"/>
                                      <w:marBottom w:val="120"/>
                                      <w:divBdr>
                                        <w:top w:val="none" w:sz="0" w:space="0" w:color="auto"/>
                                        <w:left w:val="none" w:sz="0" w:space="0" w:color="auto"/>
                                        <w:bottom w:val="single" w:sz="6" w:space="6" w:color="EEEEEE"/>
                                        <w:right w:val="none" w:sz="0" w:space="0" w:color="auto"/>
                                      </w:divBdr>
                                      <w:divsChild>
                                        <w:div w:id="1899046214">
                                          <w:marLeft w:val="0"/>
                                          <w:marRight w:val="0"/>
                                          <w:marTop w:val="0"/>
                                          <w:marBottom w:val="0"/>
                                          <w:divBdr>
                                            <w:top w:val="none" w:sz="0" w:space="0" w:color="auto"/>
                                            <w:left w:val="none" w:sz="0" w:space="0" w:color="auto"/>
                                            <w:bottom w:val="none" w:sz="0" w:space="0" w:color="auto"/>
                                            <w:right w:val="none" w:sz="0" w:space="0" w:color="auto"/>
                                          </w:divBdr>
                                        </w:div>
                                      </w:divsChild>
                                    </w:div>
                                    <w:div w:id="2070764411">
                                      <w:marLeft w:val="0"/>
                                      <w:marRight w:val="0"/>
                                      <w:marTop w:val="0"/>
                                      <w:marBottom w:val="120"/>
                                      <w:divBdr>
                                        <w:top w:val="none" w:sz="0" w:space="0" w:color="auto"/>
                                        <w:left w:val="none" w:sz="0" w:space="0" w:color="auto"/>
                                        <w:bottom w:val="single" w:sz="6" w:space="6" w:color="EEEEEE"/>
                                        <w:right w:val="none" w:sz="0" w:space="0" w:color="auto"/>
                                      </w:divBdr>
                                      <w:divsChild>
                                        <w:div w:id="718285400">
                                          <w:marLeft w:val="0"/>
                                          <w:marRight w:val="0"/>
                                          <w:marTop w:val="0"/>
                                          <w:marBottom w:val="0"/>
                                          <w:divBdr>
                                            <w:top w:val="none" w:sz="0" w:space="0" w:color="auto"/>
                                            <w:left w:val="none" w:sz="0" w:space="0" w:color="auto"/>
                                            <w:bottom w:val="none" w:sz="0" w:space="0" w:color="auto"/>
                                            <w:right w:val="none" w:sz="0" w:space="0" w:color="auto"/>
                                          </w:divBdr>
                                        </w:div>
                                      </w:divsChild>
                                    </w:div>
                                    <w:div w:id="2129160438">
                                      <w:marLeft w:val="0"/>
                                      <w:marRight w:val="0"/>
                                      <w:marTop w:val="0"/>
                                      <w:marBottom w:val="120"/>
                                      <w:divBdr>
                                        <w:top w:val="none" w:sz="0" w:space="0" w:color="auto"/>
                                        <w:left w:val="none" w:sz="0" w:space="0" w:color="auto"/>
                                        <w:bottom w:val="none" w:sz="0" w:space="0" w:color="auto"/>
                                        <w:right w:val="none" w:sz="0" w:space="0" w:color="auto"/>
                                      </w:divBdr>
                                      <w:divsChild>
                                        <w:div w:id="44966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1423482">
                      <w:marLeft w:val="0"/>
                      <w:marRight w:val="0"/>
                      <w:marTop w:val="0"/>
                      <w:marBottom w:val="300"/>
                      <w:divBdr>
                        <w:top w:val="none" w:sz="0" w:space="0" w:color="auto"/>
                        <w:left w:val="none" w:sz="0" w:space="0" w:color="auto"/>
                        <w:bottom w:val="none" w:sz="0" w:space="0" w:color="auto"/>
                        <w:right w:val="none" w:sz="0" w:space="0" w:color="auto"/>
                      </w:divBdr>
                      <w:divsChild>
                        <w:div w:id="475268628">
                          <w:marLeft w:val="0"/>
                          <w:marRight w:val="0"/>
                          <w:marTop w:val="45"/>
                          <w:marBottom w:val="0"/>
                          <w:divBdr>
                            <w:top w:val="none" w:sz="0" w:space="0" w:color="auto"/>
                            <w:left w:val="none" w:sz="0" w:space="0" w:color="auto"/>
                            <w:bottom w:val="none" w:sz="0" w:space="0" w:color="auto"/>
                            <w:right w:val="none" w:sz="0" w:space="0" w:color="auto"/>
                          </w:divBdr>
                          <w:divsChild>
                            <w:div w:id="230971834">
                              <w:marLeft w:val="0"/>
                              <w:marRight w:val="0"/>
                              <w:marTop w:val="0"/>
                              <w:marBottom w:val="0"/>
                              <w:divBdr>
                                <w:top w:val="none" w:sz="0" w:space="0" w:color="auto"/>
                                <w:left w:val="none" w:sz="0" w:space="0" w:color="auto"/>
                                <w:bottom w:val="none" w:sz="0" w:space="0" w:color="auto"/>
                                <w:right w:val="none" w:sz="0" w:space="0" w:color="auto"/>
                              </w:divBdr>
                              <w:divsChild>
                                <w:div w:id="531724440">
                                  <w:marLeft w:val="0"/>
                                  <w:marRight w:val="0"/>
                                  <w:marTop w:val="0"/>
                                  <w:marBottom w:val="150"/>
                                  <w:divBdr>
                                    <w:top w:val="none" w:sz="0" w:space="0" w:color="auto"/>
                                    <w:left w:val="none" w:sz="0" w:space="0" w:color="auto"/>
                                    <w:bottom w:val="none" w:sz="0" w:space="0" w:color="auto"/>
                                    <w:right w:val="none" w:sz="0" w:space="0" w:color="auto"/>
                                  </w:divBdr>
                                  <w:divsChild>
                                    <w:div w:id="634146342">
                                      <w:marLeft w:val="0"/>
                                      <w:marRight w:val="0"/>
                                      <w:marTop w:val="0"/>
                                      <w:marBottom w:val="0"/>
                                      <w:divBdr>
                                        <w:top w:val="none" w:sz="0" w:space="0" w:color="auto"/>
                                        <w:left w:val="none" w:sz="0" w:space="0" w:color="auto"/>
                                        <w:bottom w:val="none" w:sz="0" w:space="0" w:color="auto"/>
                                        <w:right w:val="none" w:sz="0" w:space="0" w:color="auto"/>
                                      </w:divBdr>
                                      <w:divsChild>
                                        <w:div w:id="1795561561">
                                          <w:marLeft w:val="0"/>
                                          <w:marRight w:val="0"/>
                                          <w:marTop w:val="100"/>
                                          <w:marBottom w:val="100"/>
                                          <w:divBdr>
                                            <w:top w:val="single" w:sz="2" w:space="0" w:color="DFDFDF"/>
                                            <w:left w:val="single" w:sz="2" w:space="0" w:color="DFDFDF"/>
                                            <w:bottom w:val="single" w:sz="2" w:space="0" w:color="DFDFDF"/>
                                            <w:right w:val="single" w:sz="2" w:space="0" w:color="DFDFDF"/>
                                          </w:divBdr>
                                          <w:divsChild>
                                            <w:div w:id="1884637592">
                                              <w:marLeft w:val="0"/>
                                              <w:marRight w:val="0"/>
                                              <w:marTop w:val="0"/>
                                              <w:marBottom w:val="0"/>
                                              <w:divBdr>
                                                <w:top w:val="none" w:sz="0" w:space="0" w:color="auto"/>
                                                <w:left w:val="none" w:sz="0" w:space="0" w:color="auto"/>
                                                <w:bottom w:val="none" w:sz="0" w:space="0" w:color="auto"/>
                                                <w:right w:val="none" w:sz="0" w:space="0" w:color="auto"/>
                                              </w:divBdr>
                                              <w:divsChild>
                                                <w:div w:id="1731882822">
                                                  <w:marLeft w:val="0"/>
                                                  <w:marRight w:val="0"/>
                                                  <w:marTop w:val="0"/>
                                                  <w:marBottom w:val="45"/>
                                                  <w:divBdr>
                                                    <w:top w:val="single" w:sz="2" w:space="0" w:color="A9A9A9"/>
                                                    <w:left w:val="single" w:sz="2" w:space="0" w:color="A9A9A9"/>
                                                    <w:bottom w:val="single" w:sz="2" w:space="0" w:color="A9A9A9"/>
                                                    <w:right w:val="single" w:sz="2" w:space="0" w:color="A9A9A9"/>
                                                  </w:divBdr>
                                                  <w:divsChild>
                                                    <w:div w:id="1243249472">
                                                      <w:marLeft w:val="0"/>
                                                      <w:marRight w:val="0"/>
                                                      <w:marTop w:val="0"/>
                                                      <w:marBottom w:val="0"/>
                                                      <w:divBdr>
                                                        <w:top w:val="none" w:sz="0" w:space="0" w:color="auto"/>
                                                        <w:left w:val="none" w:sz="0" w:space="0" w:color="auto"/>
                                                        <w:bottom w:val="none" w:sz="0" w:space="0" w:color="auto"/>
                                                        <w:right w:val="none" w:sz="0" w:space="0" w:color="auto"/>
                                                      </w:divBdr>
                                                      <w:divsChild>
                                                        <w:div w:id="1463839666">
                                                          <w:marLeft w:val="0"/>
                                                          <w:marRight w:val="0"/>
                                                          <w:marTop w:val="0"/>
                                                          <w:marBottom w:val="0"/>
                                                          <w:divBdr>
                                                            <w:top w:val="single" w:sz="2" w:space="0" w:color="E4E4E4"/>
                                                            <w:left w:val="single" w:sz="2" w:space="0" w:color="E4E4E4"/>
                                                            <w:bottom w:val="single" w:sz="2" w:space="0" w:color="E4E4E4"/>
                                                            <w:right w:val="single" w:sz="2" w:space="0" w:color="E4E4E4"/>
                                                          </w:divBdr>
                                                        </w:div>
                                                        <w:div w:id="883101536">
                                                          <w:marLeft w:val="0"/>
                                                          <w:marRight w:val="0"/>
                                                          <w:marTop w:val="0"/>
                                                          <w:marBottom w:val="0"/>
                                                          <w:divBdr>
                                                            <w:top w:val="single" w:sz="2" w:space="0" w:color="E4E4E4"/>
                                                            <w:left w:val="single" w:sz="2" w:space="0" w:color="E4E4E4"/>
                                                            <w:bottom w:val="single" w:sz="2" w:space="0" w:color="E4E4E4"/>
                                                            <w:right w:val="single" w:sz="2" w:space="0" w:color="E4E4E4"/>
                                                          </w:divBdr>
                                                        </w:div>
                                                        <w:div w:id="1176576928">
                                                          <w:marLeft w:val="0"/>
                                                          <w:marRight w:val="0"/>
                                                          <w:marTop w:val="0"/>
                                                          <w:marBottom w:val="0"/>
                                                          <w:divBdr>
                                                            <w:top w:val="single" w:sz="2" w:space="0" w:color="E4E4E4"/>
                                                            <w:left w:val="single" w:sz="2" w:space="0" w:color="E4E4E4"/>
                                                            <w:bottom w:val="single" w:sz="2" w:space="0" w:color="E4E4E4"/>
                                                            <w:right w:val="single" w:sz="2" w:space="0" w:color="E4E4E4"/>
                                                          </w:divBdr>
                                                          <w:divsChild>
                                                            <w:div w:id="1481578960">
                                                              <w:marLeft w:val="0"/>
                                                              <w:marRight w:val="0"/>
                                                              <w:marTop w:val="0"/>
                                                              <w:marBottom w:val="0"/>
                                                              <w:divBdr>
                                                                <w:top w:val="none" w:sz="0" w:space="0" w:color="auto"/>
                                                                <w:left w:val="none" w:sz="0" w:space="0" w:color="auto"/>
                                                                <w:bottom w:val="none" w:sz="0" w:space="0" w:color="auto"/>
                                                                <w:right w:val="none" w:sz="0" w:space="0" w:color="auto"/>
                                                              </w:divBdr>
                                                            </w:div>
                                                          </w:divsChild>
                                                        </w:div>
                                                        <w:div w:id="1501039466">
                                                          <w:marLeft w:val="0"/>
                                                          <w:marRight w:val="0"/>
                                                          <w:marTop w:val="0"/>
                                                          <w:marBottom w:val="0"/>
                                                          <w:divBdr>
                                                            <w:top w:val="single" w:sz="2" w:space="0" w:color="E4E4E4"/>
                                                            <w:left w:val="single" w:sz="2" w:space="0" w:color="E4E4E4"/>
                                                            <w:bottom w:val="single" w:sz="2" w:space="0" w:color="E4E4E4"/>
                                                            <w:right w:val="single" w:sz="2" w:space="0" w:color="E4E4E4"/>
                                                          </w:divBdr>
                                                        </w:div>
                                                        <w:div w:id="280453766">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588276101">
                              <w:marLeft w:val="0"/>
                              <w:marRight w:val="0"/>
                              <w:marTop w:val="0"/>
                              <w:marBottom w:val="330"/>
                              <w:divBdr>
                                <w:top w:val="none" w:sz="0" w:space="0" w:color="auto"/>
                                <w:left w:val="none" w:sz="0" w:space="0" w:color="auto"/>
                                <w:bottom w:val="none" w:sz="0" w:space="0" w:color="auto"/>
                                <w:right w:val="none" w:sz="0" w:space="0" w:color="auto"/>
                              </w:divBdr>
                              <w:divsChild>
                                <w:div w:id="338657173">
                                  <w:marLeft w:val="0"/>
                                  <w:marRight w:val="0"/>
                                  <w:marTop w:val="0"/>
                                  <w:marBottom w:val="0"/>
                                  <w:divBdr>
                                    <w:top w:val="none" w:sz="0" w:space="0" w:color="auto"/>
                                    <w:left w:val="none" w:sz="0" w:space="0" w:color="auto"/>
                                    <w:bottom w:val="none" w:sz="0" w:space="0" w:color="auto"/>
                                    <w:right w:val="none" w:sz="0" w:space="0" w:color="auto"/>
                                  </w:divBdr>
                                  <w:divsChild>
                                    <w:div w:id="157113094">
                                      <w:marLeft w:val="0"/>
                                      <w:marRight w:val="0"/>
                                      <w:marTop w:val="0"/>
                                      <w:marBottom w:val="0"/>
                                      <w:divBdr>
                                        <w:top w:val="single" w:sz="2" w:space="0" w:color="DFDFDF"/>
                                        <w:left w:val="single" w:sz="2" w:space="0" w:color="DFDFDF"/>
                                        <w:bottom w:val="single" w:sz="2" w:space="0" w:color="DFDFDF"/>
                                        <w:right w:val="single" w:sz="2" w:space="0" w:color="DFDFDF"/>
                                      </w:divBdr>
                                      <w:divsChild>
                                        <w:div w:id="1754817177">
                                          <w:marLeft w:val="0"/>
                                          <w:marRight w:val="0"/>
                                          <w:marTop w:val="0"/>
                                          <w:marBottom w:val="270"/>
                                          <w:divBdr>
                                            <w:top w:val="none" w:sz="0" w:space="0" w:color="auto"/>
                                            <w:left w:val="none" w:sz="0" w:space="0" w:color="auto"/>
                                            <w:bottom w:val="single" w:sz="12" w:space="5" w:color="DADADA"/>
                                            <w:right w:val="none" w:sz="0" w:space="0" w:color="auto"/>
                                          </w:divBdr>
                                          <w:divsChild>
                                            <w:div w:id="1296913233">
                                              <w:marLeft w:val="0"/>
                                              <w:marRight w:val="0"/>
                                              <w:marTop w:val="0"/>
                                              <w:marBottom w:val="0"/>
                                              <w:divBdr>
                                                <w:top w:val="none" w:sz="0" w:space="0" w:color="auto"/>
                                                <w:left w:val="none" w:sz="0" w:space="0" w:color="auto"/>
                                                <w:bottom w:val="none" w:sz="0" w:space="0" w:color="auto"/>
                                                <w:right w:val="none" w:sz="0" w:space="0" w:color="auto"/>
                                              </w:divBdr>
                                            </w:div>
                                          </w:divsChild>
                                        </w:div>
                                        <w:div w:id="1714959160">
                                          <w:marLeft w:val="-90"/>
                                          <w:marRight w:val="0"/>
                                          <w:marTop w:val="0"/>
                                          <w:marBottom w:val="0"/>
                                          <w:divBdr>
                                            <w:top w:val="none" w:sz="0" w:space="0" w:color="auto"/>
                                            <w:left w:val="none" w:sz="0" w:space="0" w:color="auto"/>
                                            <w:bottom w:val="none" w:sz="0" w:space="0" w:color="auto"/>
                                            <w:right w:val="none" w:sz="0" w:space="0" w:color="auto"/>
                                          </w:divBdr>
                                          <w:divsChild>
                                            <w:div w:id="1811629644">
                                              <w:marLeft w:val="0"/>
                                              <w:marRight w:val="0"/>
                                              <w:marTop w:val="0"/>
                                              <w:marBottom w:val="45"/>
                                              <w:divBdr>
                                                <w:top w:val="single" w:sz="2" w:space="0" w:color="A9A9A9"/>
                                                <w:left w:val="single" w:sz="2" w:space="0" w:color="A9A9A9"/>
                                                <w:bottom w:val="single" w:sz="2" w:space="0" w:color="A9A9A9"/>
                                                <w:right w:val="single" w:sz="2" w:space="0" w:color="A9A9A9"/>
                                              </w:divBdr>
                                              <w:divsChild>
                                                <w:div w:id="1222325161">
                                                  <w:marLeft w:val="0"/>
                                                  <w:marRight w:val="0"/>
                                                  <w:marTop w:val="0"/>
                                                  <w:marBottom w:val="0"/>
                                                  <w:divBdr>
                                                    <w:top w:val="none" w:sz="0" w:space="0" w:color="auto"/>
                                                    <w:left w:val="none" w:sz="0" w:space="0" w:color="auto"/>
                                                    <w:bottom w:val="none" w:sz="0" w:space="0" w:color="auto"/>
                                                    <w:right w:val="none" w:sz="0" w:space="0" w:color="auto"/>
                                                  </w:divBdr>
                                                  <w:divsChild>
                                                    <w:div w:id="1304846978">
                                                      <w:marLeft w:val="92"/>
                                                      <w:marRight w:val="0"/>
                                                      <w:marTop w:val="0"/>
                                                      <w:marBottom w:val="150"/>
                                                      <w:divBdr>
                                                        <w:top w:val="single" w:sz="2" w:space="0" w:color="E4E4E4"/>
                                                        <w:left w:val="single" w:sz="2" w:space="0" w:color="E4E4E4"/>
                                                        <w:bottom w:val="single" w:sz="2" w:space="0" w:color="E4E4E4"/>
                                                        <w:right w:val="single" w:sz="2" w:space="0" w:color="E4E4E4"/>
                                                      </w:divBdr>
                                                      <w:divsChild>
                                                        <w:div w:id="120574849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9499039">
                              <w:marLeft w:val="0"/>
                              <w:marRight w:val="0"/>
                              <w:marTop w:val="0"/>
                              <w:marBottom w:val="330"/>
                              <w:divBdr>
                                <w:top w:val="none" w:sz="0" w:space="0" w:color="auto"/>
                                <w:left w:val="none" w:sz="0" w:space="0" w:color="auto"/>
                                <w:bottom w:val="none" w:sz="0" w:space="0" w:color="auto"/>
                                <w:right w:val="none" w:sz="0" w:space="0" w:color="auto"/>
                              </w:divBdr>
                              <w:divsChild>
                                <w:div w:id="2133939185">
                                  <w:marLeft w:val="0"/>
                                  <w:marRight w:val="0"/>
                                  <w:marTop w:val="0"/>
                                  <w:marBottom w:val="0"/>
                                  <w:divBdr>
                                    <w:top w:val="none" w:sz="0" w:space="0" w:color="auto"/>
                                    <w:left w:val="none" w:sz="0" w:space="0" w:color="auto"/>
                                    <w:bottom w:val="none" w:sz="0" w:space="0" w:color="auto"/>
                                    <w:right w:val="none" w:sz="0" w:space="0" w:color="auto"/>
                                  </w:divBdr>
                                  <w:divsChild>
                                    <w:div w:id="409809209">
                                      <w:marLeft w:val="0"/>
                                      <w:marRight w:val="0"/>
                                      <w:marTop w:val="0"/>
                                      <w:marBottom w:val="0"/>
                                      <w:divBdr>
                                        <w:top w:val="single" w:sz="2" w:space="0" w:color="DFDFDF"/>
                                        <w:left w:val="single" w:sz="2" w:space="0" w:color="DFDFDF"/>
                                        <w:bottom w:val="single" w:sz="2" w:space="0" w:color="DFDFDF"/>
                                        <w:right w:val="single" w:sz="2" w:space="0" w:color="DFDFDF"/>
                                      </w:divBdr>
                                      <w:divsChild>
                                        <w:div w:id="1067458106">
                                          <w:marLeft w:val="-90"/>
                                          <w:marRight w:val="0"/>
                                          <w:marTop w:val="0"/>
                                          <w:marBottom w:val="0"/>
                                          <w:divBdr>
                                            <w:top w:val="none" w:sz="0" w:space="0" w:color="auto"/>
                                            <w:left w:val="none" w:sz="0" w:space="0" w:color="auto"/>
                                            <w:bottom w:val="none" w:sz="0" w:space="0" w:color="auto"/>
                                            <w:right w:val="none" w:sz="0" w:space="0" w:color="auto"/>
                                          </w:divBdr>
                                          <w:divsChild>
                                            <w:div w:id="2135055391">
                                              <w:marLeft w:val="0"/>
                                              <w:marRight w:val="0"/>
                                              <w:marTop w:val="0"/>
                                              <w:marBottom w:val="45"/>
                                              <w:divBdr>
                                                <w:top w:val="single" w:sz="2" w:space="0" w:color="A9A9A9"/>
                                                <w:left w:val="single" w:sz="2" w:space="0" w:color="A9A9A9"/>
                                                <w:bottom w:val="single" w:sz="2" w:space="0" w:color="A9A9A9"/>
                                                <w:right w:val="single" w:sz="2" w:space="0" w:color="A9A9A9"/>
                                              </w:divBdr>
                                              <w:divsChild>
                                                <w:div w:id="1473595360">
                                                  <w:marLeft w:val="0"/>
                                                  <w:marRight w:val="0"/>
                                                  <w:marTop w:val="0"/>
                                                  <w:marBottom w:val="0"/>
                                                  <w:divBdr>
                                                    <w:top w:val="none" w:sz="0" w:space="0" w:color="auto"/>
                                                    <w:left w:val="none" w:sz="0" w:space="0" w:color="auto"/>
                                                    <w:bottom w:val="none" w:sz="0" w:space="0" w:color="auto"/>
                                                    <w:right w:val="none" w:sz="0" w:space="0" w:color="auto"/>
                                                  </w:divBdr>
                                                  <w:divsChild>
                                                    <w:div w:id="289752298">
                                                      <w:marLeft w:val="92"/>
                                                      <w:marRight w:val="0"/>
                                                      <w:marTop w:val="0"/>
                                                      <w:marBottom w:val="150"/>
                                                      <w:divBdr>
                                                        <w:top w:val="single" w:sz="2" w:space="0" w:color="E4E4E4"/>
                                                        <w:left w:val="single" w:sz="2" w:space="0" w:color="E4E4E4"/>
                                                        <w:bottom w:val="single" w:sz="2" w:space="0" w:color="E4E4E4"/>
                                                        <w:right w:val="single" w:sz="2" w:space="0" w:color="E4E4E4"/>
                                                      </w:divBdr>
                                                      <w:divsChild>
                                                        <w:div w:id="495849028">
                                                          <w:marLeft w:val="0"/>
                                                          <w:marRight w:val="0"/>
                                                          <w:marTop w:val="0"/>
                                                          <w:marBottom w:val="0"/>
                                                          <w:divBdr>
                                                            <w:top w:val="none" w:sz="0" w:space="0" w:color="auto"/>
                                                            <w:left w:val="none" w:sz="0" w:space="0" w:color="auto"/>
                                                            <w:bottom w:val="none" w:sz="0" w:space="0" w:color="auto"/>
                                                            <w:right w:val="none" w:sz="0" w:space="0" w:color="auto"/>
                                                          </w:divBdr>
                                                        </w:div>
                                                        <w:div w:id="135942506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2592436">
                              <w:marLeft w:val="0"/>
                              <w:marRight w:val="0"/>
                              <w:marTop w:val="0"/>
                              <w:marBottom w:val="330"/>
                              <w:divBdr>
                                <w:top w:val="none" w:sz="0" w:space="0" w:color="auto"/>
                                <w:left w:val="none" w:sz="0" w:space="0" w:color="auto"/>
                                <w:bottom w:val="none" w:sz="0" w:space="0" w:color="auto"/>
                                <w:right w:val="none" w:sz="0" w:space="0" w:color="auto"/>
                              </w:divBdr>
                              <w:divsChild>
                                <w:div w:id="2072188777">
                                  <w:marLeft w:val="0"/>
                                  <w:marRight w:val="0"/>
                                  <w:marTop w:val="0"/>
                                  <w:marBottom w:val="0"/>
                                  <w:divBdr>
                                    <w:top w:val="none" w:sz="0" w:space="0" w:color="auto"/>
                                    <w:left w:val="none" w:sz="0" w:space="0" w:color="auto"/>
                                    <w:bottom w:val="none" w:sz="0" w:space="0" w:color="auto"/>
                                    <w:right w:val="none" w:sz="0" w:space="0" w:color="auto"/>
                                  </w:divBdr>
                                  <w:divsChild>
                                    <w:div w:id="2083021534">
                                      <w:marLeft w:val="0"/>
                                      <w:marRight w:val="0"/>
                                      <w:marTop w:val="0"/>
                                      <w:marBottom w:val="0"/>
                                      <w:divBdr>
                                        <w:top w:val="single" w:sz="2" w:space="0" w:color="DFDFDF"/>
                                        <w:left w:val="single" w:sz="2" w:space="0" w:color="DFDFDF"/>
                                        <w:bottom w:val="single" w:sz="2" w:space="0" w:color="DFDFDF"/>
                                        <w:right w:val="single" w:sz="2" w:space="0" w:color="DFDFDF"/>
                                      </w:divBdr>
                                      <w:divsChild>
                                        <w:div w:id="1676953304">
                                          <w:marLeft w:val="-90"/>
                                          <w:marRight w:val="0"/>
                                          <w:marTop w:val="0"/>
                                          <w:marBottom w:val="0"/>
                                          <w:divBdr>
                                            <w:top w:val="none" w:sz="0" w:space="0" w:color="auto"/>
                                            <w:left w:val="none" w:sz="0" w:space="0" w:color="auto"/>
                                            <w:bottom w:val="none" w:sz="0" w:space="0" w:color="auto"/>
                                            <w:right w:val="none" w:sz="0" w:space="0" w:color="auto"/>
                                          </w:divBdr>
                                          <w:divsChild>
                                            <w:div w:id="884753115">
                                              <w:marLeft w:val="0"/>
                                              <w:marRight w:val="0"/>
                                              <w:marTop w:val="0"/>
                                              <w:marBottom w:val="45"/>
                                              <w:divBdr>
                                                <w:top w:val="single" w:sz="2" w:space="0" w:color="A9A9A9"/>
                                                <w:left w:val="single" w:sz="2" w:space="0" w:color="A9A9A9"/>
                                                <w:bottom w:val="single" w:sz="2" w:space="0" w:color="A9A9A9"/>
                                                <w:right w:val="single" w:sz="2" w:space="0" w:color="A9A9A9"/>
                                              </w:divBdr>
                                              <w:divsChild>
                                                <w:div w:id="301890747">
                                                  <w:marLeft w:val="0"/>
                                                  <w:marRight w:val="0"/>
                                                  <w:marTop w:val="0"/>
                                                  <w:marBottom w:val="0"/>
                                                  <w:divBdr>
                                                    <w:top w:val="none" w:sz="0" w:space="0" w:color="auto"/>
                                                    <w:left w:val="none" w:sz="0" w:space="0" w:color="auto"/>
                                                    <w:bottom w:val="none" w:sz="0" w:space="0" w:color="auto"/>
                                                    <w:right w:val="none" w:sz="0" w:space="0" w:color="auto"/>
                                                  </w:divBdr>
                                                  <w:divsChild>
                                                    <w:div w:id="310526240">
                                                      <w:marLeft w:val="92"/>
                                                      <w:marRight w:val="0"/>
                                                      <w:marTop w:val="0"/>
                                                      <w:marBottom w:val="150"/>
                                                      <w:divBdr>
                                                        <w:top w:val="single" w:sz="2" w:space="0" w:color="E4E4E4"/>
                                                        <w:left w:val="single" w:sz="2" w:space="0" w:color="E4E4E4"/>
                                                        <w:bottom w:val="single" w:sz="2" w:space="0" w:color="E4E4E4"/>
                                                        <w:right w:val="single" w:sz="2" w:space="0" w:color="E4E4E4"/>
                                                      </w:divBdr>
                                                      <w:divsChild>
                                                        <w:div w:id="410543234">
                                                          <w:marLeft w:val="0"/>
                                                          <w:marRight w:val="0"/>
                                                          <w:marTop w:val="0"/>
                                                          <w:marBottom w:val="0"/>
                                                          <w:divBdr>
                                                            <w:top w:val="none" w:sz="0" w:space="0" w:color="auto"/>
                                                            <w:left w:val="none" w:sz="0" w:space="0" w:color="auto"/>
                                                            <w:bottom w:val="none" w:sz="0" w:space="0" w:color="auto"/>
                                                            <w:right w:val="none" w:sz="0" w:space="0" w:color="auto"/>
                                                          </w:divBdr>
                                                        </w:div>
                                                        <w:div w:id="207581198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657836">
                          <w:marLeft w:val="0"/>
                          <w:marRight w:val="0"/>
                          <w:marTop w:val="45"/>
                          <w:marBottom w:val="0"/>
                          <w:divBdr>
                            <w:top w:val="none" w:sz="0" w:space="0" w:color="auto"/>
                            <w:left w:val="none" w:sz="0" w:space="0" w:color="auto"/>
                            <w:bottom w:val="none" w:sz="0" w:space="0" w:color="auto"/>
                            <w:right w:val="none" w:sz="0" w:space="0" w:color="auto"/>
                          </w:divBdr>
                          <w:divsChild>
                            <w:div w:id="2124185323">
                              <w:marLeft w:val="0"/>
                              <w:marRight w:val="0"/>
                              <w:marTop w:val="0"/>
                              <w:marBottom w:val="330"/>
                              <w:divBdr>
                                <w:top w:val="none" w:sz="0" w:space="0" w:color="auto"/>
                                <w:left w:val="none" w:sz="0" w:space="0" w:color="auto"/>
                                <w:bottom w:val="none" w:sz="0" w:space="0" w:color="auto"/>
                                <w:right w:val="none" w:sz="0" w:space="0" w:color="auto"/>
                              </w:divBdr>
                              <w:divsChild>
                                <w:div w:id="2026318911">
                                  <w:marLeft w:val="0"/>
                                  <w:marRight w:val="0"/>
                                  <w:marTop w:val="0"/>
                                  <w:marBottom w:val="0"/>
                                  <w:divBdr>
                                    <w:top w:val="none" w:sz="0" w:space="0" w:color="auto"/>
                                    <w:left w:val="none" w:sz="0" w:space="0" w:color="auto"/>
                                    <w:bottom w:val="none" w:sz="0" w:space="0" w:color="auto"/>
                                    <w:right w:val="none" w:sz="0" w:space="0" w:color="auto"/>
                                  </w:divBdr>
                                  <w:divsChild>
                                    <w:div w:id="872964339">
                                      <w:marLeft w:val="0"/>
                                      <w:marRight w:val="0"/>
                                      <w:marTop w:val="0"/>
                                      <w:marBottom w:val="0"/>
                                      <w:divBdr>
                                        <w:top w:val="single" w:sz="2" w:space="0" w:color="DFDFDF"/>
                                        <w:left w:val="single" w:sz="2" w:space="0" w:color="DFDFDF"/>
                                        <w:bottom w:val="single" w:sz="2" w:space="0" w:color="DFDFDF"/>
                                        <w:right w:val="single" w:sz="2" w:space="0" w:color="DFDFDF"/>
                                      </w:divBdr>
                                      <w:divsChild>
                                        <w:div w:id="271594588">
                                          <w:marLeft w:val="-90"/>
                                          <w:marRight w:val="0"/>
                                          <w:marTop w:val="0"/>
                                          <w:marBottom w:val="0"/>
                                          <w:divBdr>
                                            <w:top w:val="none" w:sz="0" w:space="0" w:color="auto"/>
                                            <w:left w:val="none" w:sz="0" w:space="0" w:color="auto"/>
                                            <w:bottom w:val="none" w:sz="0" w:space="0" w:color="auto"/>
                                            <w:right w:val="none" w:sz="0" w:space="0" w:color="auto"/>
                                          </w:divBdr>
                                          <w:divsChild>
                                            <w:div w:id="396828474">
                                              <w:marLeft w:val="0"/>
                                              <w:marRight w:val="0"/>
                                              <w:marTop w:val="0"/>
                                              <w:marBottom w:val="45"/>
                                              <w:divBdr>
                                                <w:top w:val="single" w:sz="2" w:space="0" w:color="A9A9A9"/>
                                                <w:left w:val="single" w:sz="2" w:space="0" w:color="A9A9A9"/>
                                                <w:bottom w:val="single" w:sz="2" w:space="0" w:color="A9A9A9"/>
                                                <w:right w:val="single" w:sz="2" w:space="0" w:color="A9A9A9"/>
                                              </w:divBdr>
                                              <w:divsChild>
                                                <w:div w:id="223637612">
                                                  <w:marLeft w:val="0"/>
                                                  <w:marRight w:val="0"/>
                                                  <w:marTop w:val="0"/>
                                                  <w:marBottom w:val="0"/>
                                                  <w:divBdr>
                                                    <w:top w:val="none" w:sz="0" w:space="0" w:color="auto"/>
                                                    <w:left w:val="none" w:sz="0" w:space="0" w:color="auto"/>
                                                    <w:bottom w:val="none" w:sz="0" w:space="0" w:color="auto"/>
                                                    <w:right w:val="none" w:sz="0" w:space="0" w:color="auto"/>
                                                  </w:divBdr>
                                                  <w:divsChild>
                                                    <w:div w:id="854611190">
                                                      <w:marLeft w:val="92"/>
                                                      <w:marRight w:val="0"/>
                                                      <w:marTop w:val="0"/>
                                                      <w:marBottom w:val="150"/>
                                                      <w:divBdr>
                                                        <w:top w:val="single" w:sz="2" w:space="0" w:color="E4E4E4"/>
                                                        <w:left w:val="single" w:sz="2" w:space="0" w:color="E4E4E4"/>
                                                        <w:bottom w:val="single" w:sz="2" w:space="0" w:color="E4E4E4"/>
                                                        <w:right w:val="single" w:sz="2" w:space="0" w:color="E4E4E4"/>
                                                      </w:divBdr>
                                                      <w:divsChild>
                                                        <w:div w:id="1615936890">
                                                          <w:marLeft w:val="0"/>
                                                          <w:marRight w:val="0"/>
                                                          <w:marTop w:val="0"/>
                                                          <w:marBottom w:val="0"/>
                                                          <w:divBdr>
                                                            <w:top w:val="none" w:sz="0" w:space="0" w:color="auto"/>
                                                            <w:left w:val="none" w:sz="0" w:space="0" w:color="auto"/>
                                                            <w:bottom w:val="none" w:sz="0" w:space="0" w:color="auto"/>
                                                            <w:right w:val="none" w:sz="0" w:space="0" w:color="auto"/>
                                                          </w:divBdr>
                                                        </w:div>
                                                        <w:div w:id="25254516">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6753451">
                              <w:marLeft w:val="0"/>
                              <w:marRight w:val="0"/>
                              <w:marTop w:val="0"/>
                              <w:marBottom w:val="330"/>
                              <w:divBdr>
                                <w:top w:val="none" w:sz="0" w:space="0" w:color="auto"/>
                                <w:left w:val="none" w:sz="0" w:space="0" w:color="auto"/>
                                <w:bottom w:val="none" w:sz="0" w:space="0" w:color="auto"/>
                                <w:right w:val="none" w:sz="0" w:space="0" w:color="auto"/>
                              </w:divBdr>
                              <w:divsChild>
                                <w:div w:id="959460457">
                                  <w:marLeft w:val="0"/>
                                  <w:marRight w:val="0"/>
                                  <w:marTop w:val="0"/>
                                  <w:marBottom w:val="0"/>
                                  <w:divBdr>
                                    <w:top w:val="none" w:sz="0" w:space="0" w:color="auto"/>
                                    <w:left w:val="none" w:sz="0" w:space="0" w:color="auto"/>
                                    <w:bottom w:val="none" w:sz="0" w:space="0" w:color="auto"/>
                                    <w:right w:val="none" w:sz="0" w:space="0" w:color="auto"/>
                                  </w:divBdr>
                                  <w:divsChild>
                                    <w:div w:id="702290350">
                                      <w:marLeft w:val="0"/>
                                      <w:marRight w:val="0"/>
                                      <w:marTop w:val="0"/>
                                      <w:marBottom w:val="0"/>
                                      <w:divBdr>
                                        <w:top w:val="single" w:sz="2" w:space="0" w:color="DFDFDF"/>
                                        <w:left w:val="single" w:sz="2" w:space="0" w:color="DFDFDF"/>
                                        <w:bottom w:val="single" w:sz="2" w:space="0" w:color="DFDFDF"/>
                                        <w:right w:val="single" w:sz="2" w:space="0" w:color="DFDFDF"/>
                                      </w:divBdr>
                                      <w:divsChild>
                                        <w:div w:id="1613629682">
                                          <w:marLeft w:val="-90"/>
                                          <w:marRight w:val="0"/>
                                          <w:marTop w:val="0"/>
                                          <w:marBottom w:val="0"/>
                                          <w:divBdr>
                                            <w:top w:val="none" w:sz="0" w:space="0" w:color="auto"/>
                                            <w:left w:val="none" w:sz="0" w:space="0" w:color="auto"/>
                                            <w:bottom w:val="none" w:sz="0" w:space="0" w:color="auto"/>
                                            <w:right w:val="none" w:sz="0" w:space="0" w:color="auto"/>
                                          </w:divBdr>
                                          <w:divsChild>
                                            <w:div w:id="1545561658">
                                              <w:marLeft w:val="0"/>
                                              <w:marRight w:val="0"/>
                                              <w:marTop w:val="0"/>
                                              <w:marBottom w:val="45"/>
                                              <w:divBdr>
                                                <w:top w:val="single" w:sz="2" w:space="0" w:color="A9A9A9"/>
                                                <w:left w:val="single" w:sz="2" w:space="0" w:color="A9A9A9"/>
                                                <w:bottom w:val="single" w:sz="2" w:space="0" w:color="A9A9A9"/>
                                                <w:right w:val="single" w:sz="2" w:space="0" w:color="A9A9A9"/>
                                              </w:divBdr>
                                              <w:divsChild>
                                                <w:div w:id="803734137">
                                                  <w:marLeft w:val="0"/>
                                                  <w:marRight w:val="0"/>
                                                  <w:marTop w:val="0"/>
                                                  <w:marBottom w:val="0"/>
                                                  <w:divBdr>
                                                    <w:top w:val="none" w:sz="0" w:space="0" w:color="auto"/>
                                                    <w:left w:val="none" w:sz="0" w:space="0" w:color="auto"/>
                                                    <w:bottom w:val="none" w:sz="0" w:space="0" w:color="auto"/>
                                                    <w:right w:val="none" w:sz="0" w:space="0" w:color="auto"/>
                                                  </w:divBdr>
                                                  <w:divsChild>
                                                    <w:div w:id="1733039103">
                                                      <w:marLeft w:val="92"/>
                                                      <w:marRight w:val="0"/>
                                                      <w:marTop w:val="0"/>
                                                      <w:marBottom w:val="150"/>
                                                      <w:divBdr>
                                                        <w:top w:val="single" w:sz="2" w:space="0" w:color="E4E4E4"/>
                                                        <w:left w:val="single" w:sz="2" w:space="0" w:color="E4E4E4"/>
                                                        <w:bottom w:val="single" w:sz="2" w:space="0" w:color="E4E4E4"/>
                                                        <w:right w:val="single" w:sz="2" w:space="0" w:color="E4E4E4"/>
                                                      </w:divBdr>
                                                      <w:divsChild>
                                                        <w:div w:id="375012992">
                                                          <w:marLeft w:val="0"/>
                                                          <w:marRight w:val="0"/>
                                                          <w:marTop w:val="0"/>
                                                          <w:marBottom w:val="0"/>
                                                          <w:divBdr>
                                                            <w:top w:val="none" w:sz="0" w:space="0" w:color="auto"/>
                                                            <w:left w:val="none" w:sz="0" w:space="0" w:color="auto"/>
                                                            <w:bottom w:val="none" w:sz="0" w:space="0" w:color="auto"/>
                                                            <w:right w:val="none" w:sz="0" w:space="0" w:color="auto"/>
                                                          </w:divBdr>
                                                        </w:div>
                                                        <w:div w:id="162268259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1697946">
                              <w:marLeft w:val="0"/>
                              <w:marRight w:val="0"/>
                              <w:marTop w:val="0"/>
                              <w:marBottom w:val="330"/>
                              <w:divBdr>
                                <w:top w:val="none" w:sz="0" w:space="0" w:color="auto"/>
                                <w:left w:val="none" w:sz="0" w:space="0" w:color="auto"/>
                                <w:bottom w:val="none" w:sz="0" w:space="0" w:color="auto"/>
                                <w:right w:val="none" w:sz="0" w:space="0" w:color="auto"/>
                              </w:divBdr>
                              <w:divsChild>
                                <w:div w:id="579409996">
                                  <w:marLeft w:val="0"/>
                                  <w:marRight w:val="0"/>
                                  <w:marTop w:val="0"/>
                                  <w:marBottom w:val="0"/>
                                  <w:divBdr>
                                    <w:top w:val="none" w:sz="0" w:space="0" w:color="auto"/>
                                    <w:left w:val="none" w:sz="0" w:space="0" w:color="auto"/>
                                    <w:bottom w:val="none" w:sz="0" w:space="0" w:color="auto"/>
                                    <w:right w:val="none" w:sz="0" w:space="0" w:color="auto"/>
                                  </w:divBdr>
                                  <w:divsChild>
                                    <w:div w:id="363554998">
                                      <w:marLeft w:val="0"/>
                                      <w:marRight w:val="0"/>
                                      <w:marTop w:val="0"/>
                                      <w:marBottom w:val="0"/>
                                      <w:divBdr>
                                        <w:top w:val="single" w:sz="2" w:space="0" w:color="DFDFDF"/>
                                        <w:left w:val="single" w:sz="2" w:space="0" w:color="DFDFDF"/>
                                        <w:bottom w:val="single" w:sz="2" w:space="0" w:color="DFDFDF"/>
                                        <w:right w:val="single" w:sz="2" w:space="0" w:color="DFDFDF"/>
                                      </w:divBdr>
                                      <w:divsChild>
                                        <w:div w:id="89395739">
                                          <w:marLeft w:val="-90"/>
                                          <w:marRight w:val="0"/>
                                          <w:marTop w:val="0"/>
                                          <w:marBottom w:val="0"/>
                                          <w:divBdr>
                                            <w:top w:val="none" w:sz="0" w:space="0" w:color="auto"/>
                                            <w:left w:val="none" w:sz="0" w:space="0" w:color="auto"/>
                                            <w:bottom w:val="none" w:sz="0" w:space="0" w:color="auto"/>
                                            <w:right w:val="none" w:sz="0" w:space="0" w:color="auto"/>
                                          </w:divBdr>
                                          <w:divsChild>
                                            <w:div w:id="1247156803">
                                              <w:marLeft w:val="0"/>
                                              <w:marRight w:val="0"/>
                                              <w:marTop w:val="0"/>
                                              <w:marBottom w:val="45"/>
                                              <w:divBdr>
                                                <w:top w:val="single" w:sz="2" w:space="0" w:color="A9A9A9"/>
                                                <w:left w:val="single" w:sz="2" w:space="0" w:color="A9A9A9"/>
                                                <w:bottom w:val="single" w:sz="2" w:space="0" w:color="A9A9A9"/>
                                                <w:right w:val="single" w:sz="2" w:space="0" w:color="A9A9A9"/>
                                              </w:divBdr>
                                              <w:divsChild>
                                                <w:div w:id="687566200">
                                                  <w:marLeft w:val="0"/>
                                                  <w:marRight w:val="0"/>
                                                  <w:marTop w:val="0"/>
                                                  <w:marBottom w:val="0"/>
                                                  <w:divBdr>
                                                    <w:top w:val="none" w:sz="0" w:space="0" w:color="auto"/>
                                                    <w:left w:val="none" w:sz="0" w:space="0" w:color="auto"/>
                                                    <w:bottom w:val="none" w:sz="0" w:space="0" w:color="auto"/>
                                                    <w:right w:val="none" w:sz="0" w:space="0" w:color="auto"/>
                                                  </w:divBdr>
                                                  <w:divsChild>
                                                    <w:div w:id="2125731552">
                                                      <w:marLeft w:val="92"/>
                                                      <w:marRight w:val="0"/>
                                                      <w:marTop w:val="0"/>
                                                      <w:marBottom w:val="150"/>
                                                      <w:divBdr>
                                                        <w:top w:val="single" w:sz="2" w:space="0" w:color="E4E4E4"/>
                                                        <w:left w:val="single" w:sz="2" w:space="0" w:color="E4E4E4"/>
                                                        <w:bottom w:val="single" w:sz="2" w:space="0" w:color="E4E4E4"/>
                                                        <w:right w:val="single" w:sz="2" w:space="0" w:color="E4E4E4"/>
                                                      </w:divBdr>
                                                      <w:divsChild>
                                                        <w:div w:id="350377872">
                                                          <w:marLeft w:val="0"/>
                                                          <w:marRight w:val="0"/>
                                                          <w:marTop w:val="0"/>
                                                          <w:marBottom w:val="0"/>
                                                          <w:divBdr>
                                                            <w:top w:val="none" w:sz="0" w:space="0" w:color="auto"/>
                                                            <w:left w:val="none" w:sz="0" w:space="0" w:color="auto"/>
                                                            <w:bottom w:val="none" w:sz="0" w:space="0" w:color="auto"/>
                                                            <w:right w:val="none" w:sz="0" w:space="0" w:color="auto"/>
                                                          </w:divBdr>
                                                        </w:div>
                                                        <w:div w:id="141193079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8955769">
                              <w:marLeft w:val="0"/>
                              <w:marRight w:val="0"/>
                              <w:marTop w:val="0"/>
                              <w:marBottom w:val="330"/>
                              <w:divBdr>
                                <w:top w:val="none" w:sz="0" w:space="0" w:color="auto"/>
                                <w:left w:val="none" w:sz="0" w:space="0" w:color="auto"/>
                                <w:bottom w:val="none" w:sz="0" w:space="0" w:color="auto"/>
                                <w:right w:val="none" w:sz="0" w:space="0" w:color="auto"/>
                              </w:divBdr>
                              <w:divsChild>
                                <w:div w:id="768741443">
                                  <w:marLeft w:val="0"/>
                                  <w:marRight w:val="0"/>
                                  <w:marTop w:val="0"/>
                                  <w:marBottom w:val="0"/>
                                  <w:divBdr>
                                    <w:top w:val="none" w:sz="0" w:space="0" w:color="auto"/>
                                    <w:left w:val="none" w:sz="0" w:space="0" w:color="auto"/>
                                    <w:bottom w:val="none" w:sz="0" w:space="0" w:color="auto"/>
                                    <w:right w:val="none" w:sz="0" w:space="0" w:color="auto"/>
                                  </w:divBdr>
                                  <w:divsChild>
                                    <w:div w:id="1005547636">
                                      <w:marLeft w:val="0"/>
                                      <w:marRight w:val="0"/>
                                      <w:marTop w:val="0"/>
                                      <w:marBottom w:val="0"/>
                                      <w:divBdr>
                                        <w:top w:val="single" w:sz="2" w:space="0" w:color="DFDFDF"/>
                                        <w:left w:val="single" w:sz="2" w:space="0" w:color="DFDFDF"/>
                                        <w:bottom w:val="single" w:sz="2" w:space="0" w:color="DFDFDF"/>
                                        <w:right w:val="single" w:sz="2" w:space="0" w:color="DFDFDF"/>
                                      </w:divBdr>
                                      <w:divsChild>
                                        <w:div w:id="865171125">
                                          <w:marLeft w:val="-90"/>
                                          <w:marRight w:val="0"/>
                                          <w:marTop w:val="0"/>
                                          <w:marBottom w:val="0"/>
                                          <w:divBdr>
                                            <w:top w:val="none" w:sz="0" w:space="0" w:color="auto"/>
                                            <w:left w:val="none" w:sz="0" w:space="0" w:color="auto"/>
                                            <w:bottom w:val="none" w:sz="0" w:space="0" w:color="auto"/>
                                            <w:right w:val="none" w:sz="0" w:space="0" w:color="auto"/>
                                          </w:divBdr>
                                          <w:divsChild>
                                            <w:div w:id="832988959">
                                              <w:marLeft w:val="0"/>
                                              <w:marRight w:val="0"/>
                                              <w:marTop w:val="0"/>
                                              <w:marBottom w:val="45"/>
                                              <w:divBdr>
                                                <w:top w:val="single" w:sz="2" w:space="0" w:color="A9A9A9"/>
                                                <w:left w:val="single" w:sz="2" w:space="0" w:color="A9A9A9"/>
                                                <w:bottom w:val="single" w:sz="2" w:space="0" w:color="A9A9A9"/>
                                                <w:right w:val="single" w:sz="2" w:space="0" w:color="A9A9A9"/>
                                              </w:divBdr>
                                              <w:divsChild>
                                                <w:div w:id="1837843072">
                                                  <w:marLeft w:val="0"/>
                                                  <w:marRight w:val="0"/>
                                                  <w:marTop w:val="0"/>
                                                  <w:marBottom w:val="0"/>
                                                  <w:divBdr>
                                                    <w:top w:val="none" w:sz="0" w:space="0" w:color="auto"/>
                                                    <w:left w:val="none" w:sz="0" w:space="0" w:color="auto"/>
                                                    <w:bottom w:val="none" w:sz="0" w:space="0" w:color="auto"/>
                                                    <w:right w:val="none" w:sz="0" w:space="0" w:color="auto"/>
                                                  </w:divBdr>
                                                  <w:divsChild>
                                                    <w:div w:id="611863223">
                                                      <w:marLeft w:val="92"/>
                                                      <w:marRight w:val="0"/>
                                                      <w:marTop w:val="0"/>
                                                      <w:marBottom w:val="150"/>
                                                      <w:divBdr>
                                                        <w:top w:val="single" w:sz="2" w:space="0" w:color="E4E4E4"/>
                                                        <w:left w:val="single" w:sz="2" w:space="0" w:color="E4E4E4"/>
                                                        <w:bottom w:val="single" w:sz="2" w:space="0" w:color="E4E4E4"/>
                                                        <w:right w:val="single" w:sz="2" w:space="0" w:color="E4E4E4"/>
                                                      </w:divBdr>
                                                      <w:divsChild>
                                                        <w:div w:id="704990627">
                                                          <w:marLeft w:val="0"/>
                                                          <w:marRight w:val="0"/>
                                                          <w:marTop w:val="0"/>
                                                          <w:marBottom w:val="0"/>
                                                          <w:divBdr>
                                                            <w:top w:val="none" w:sz="0" w:space="0" w:color="auto"/>
                                                            <w:left w:val="none" w:sz="0" w:space="0" w:color="auto"/>
                                                            <w:bottom w:val="none" w:sz="0" w:space="0" w:color="auto"/>
                                                            <w:right w:val="none" w:sz="0" w:space="0" w:color="auto"/>
                                                          </w:divBdr>
                                                        </w:div>
                                                        <w:div w:id="126973177">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9786919">
                  <w:marLeft w:val="0"/>
                  <w:marRight w:val="0"/>
                  <w:marTop w:val="0"/>
                  <w:marBottom w:val="0"/>
                  <w:divBdr>
                    <w:top w:val="none" w:sz="0" w:space="0" w:color="auto"/>
                    <w:left w:val="none" w:sz="0" w:space="0" w:color="auto"/>
                    <w:bottom w:val="none" w:sz="0" w:space="0" w:color="auto"/>
                    <w:right w:val="none" w:sz="0" w:space="0" w:color="auto"/>
                  </w:divBdr>
                  <w:divsChild>
                    <w:div w:id="1673485864">
                      <w:marLeft w:val="0"/>
                      <w:marRight w:val="0"/>
                      <w:marTop w:val="0"/>
                      <w:marBottom w:val="0"/>
                      <w:divBdr>
                        <w:top w:val="none" w:sz="0" w:space="0" w:color="auto"/>
                        <w:left w:val="none" w:sz="0" w:space="0" w:color="auto"/>
                        <w:bottom w:val="none" w:sz="0" w:space="0" w:color="auto"/>
                        <w:right w:val="none" w:sz="0" w:space="0" w:color="auto"/>
                      </w:divBdr>
                      <w:divsChild>
                        <w:div w:id="115149587">
                          <w:marLeft w:val="0"/>
                          <w:marRight w:val="0"/>
                          <w:marTop w:val="0"/>
                          <w:marBottom w:val="0"/>
                          <w:divBdr>
                            <w:top w:val="none" w:sz="0" w:space="0" w:color="auto"/>
                            <w:left w:val="none" w:sz="0" w:space="0" w:color="auto"/>
                            <w:bottom w:val="none" w:sz="0" w:space="0" w:color="auto"/>
                            <w:right w:val="none" w:sz="0" w:space="0" w:color="auto"/>
                          </w:divBdr>
                          <w:divsChild>
                            <w:div w:id="113692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988278">
                      <w:marLeft w:val="0"/>
                      <w:marRight w:val="0"/>
                      <w:marTop w:val="0"/>
                      <w:marBottom w:val="75"/>
                      <w:divBdr>
                        <w:top w:val="none" w:sz="0" w:space="0" w:color="auto"/>
                        <w:left w:val="none" w:sz="0" w:space="0" w:color="auto"/>
                        <w:bottom w:val="none" w:sz="0" w:space="0" w:color="auto"/>
                        <w:right w:val="none" w:sz="0" w:space="0" w:color="auto"/>
                      </w:divBdr>
                    </w:div>
                    <w:div w:id="1976183347">
                      <w:marLeft w:val="0"/>
                      <w:marRight w:val="0"/>
                      <w:marTop w:val="0"/>
                      <w:marBottom w:val="0"/>
                      <w:divBdr>
                        <w:top w:val="none" w:sz="0" w:space="0" w:color="auto"/>
                        <w:left w:val="none" w:sz="0" w:space="0" w:color="auto"/>
                        <w:bottom w:val="none" w:sz="0" w:space="0" w:color="auto"/>
                        <w:right w:val="none" w:sz="0" w:space="0" w:color="auto"/>
                      </w:divBdr>
                      <w:divsChild>
                        <w:div w:id="646740837">
                          <w:marLeft w:val="0"/>
                          <w:marRight w:val="0"/>
                          <w:marTop w:val="0"/>
                          <w:marBottom w:val="0"/>
                          <w:divBdr>
                            <w:top w:val="none" w:sz="0" w:space="0" w:color="auto"/>
                            <w:left w:val="none" w:sz="0" w:space="0" w:color="auto"/>
                            <w:bottom w:val="none" w:sz="0" w:space="0" w:color="auto"/>
                            <w:right w:val="none" w:sz="0" w:space="0" w:color="auto"/>
                          </w:divBdr>
                          <w:divsChild>
                            <w:div w:id="1814365509">
                              <w:marLeft w:val="0"/>
                              <w:marRight w:val="0"/>
                              <w:marTop w:val="0"/>
                              <w:marBottom w:val="150"/>
                              <w:divBdr>
                                <w:top w:val="none" w:sz="0" w:space="0" w:color="auto"/>
                                <w:left w:val="none" w:sz="0" w:space="0" w:color="auto"/>
                                <w:bottom w:val="none" w:sz="0" w:space="0" w:color="auto"/>
                                <w:right w:val="none" w:sz="0" w:space="0" w:color="auto"/>
                              </w:divBdr>
                              <w:divsChild>
                                <w:div w:id="11575975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4803711">
      <w:bodyDiv w:val="1"/>
      <w:marLeft w:val="0"/>
      <w:marRight w:val="0"/>
      <w:marTop w:val="0"/>
      <w:marBottom w:val="0"/>
      <w:divBdr>
        <w:top w:val="none" w:sz="0" w:space="0" w:color="auto"/>
        <w:left w:val="none" w:sz="0" w:space="0" w:color="auto"/>
        <w:bottom w:val="none" w:sz="0" w:space="0" w:color="auto"/>
        <w:right w:val="none" w:sz="0" w:space="0" w:color="auto"/>
      </w:divBdr>
      <w:divsChild>
        <w:div w:id="772479345">
          <w:marLeft w:val="0"/>
          <w:marRight w:val="0"/>
          <w:marTop w:val="0"/>
          <w:marBottom w:val="0"/>
          <w:divBdr>
            <w:top w:val="none" w:sz="0" w:space="0" w:color="auto"/>
            <w:left w:val="none" w:sz="0" w:space="0" w:color="auto"/>
            <w:bottom w:val="none" w:sz="0" w:space="0" w:color="auto"/>
            <w:right w:val="none" w:sz="0" w:space="0" w:color="auto"/>
          </w:divBdr>
          <w:divsChild>
            <w:div w:id="1435633088">
              <w:marLeft w:val="0"/>
              <w:marRight w:val="0"/>
              <w:marTop w:val="0"/>
              <w:marBottom w:val="0"/>
              <w:divBdr>
                <w:top w:val="none" w:sz="0" w:space="0" w:color="auto"/>
                <w:left w:val="none" w:sz="0" w:space="0" w:color="auto"/>
                <w:bottom w:val="none" w:sz="0" w:space="0" w:color="auto"/>
                <w:right w:val="none" w:sz="0" w:space="0" w:color="auto"/>
              </w:divBdr>
              <w:divsChild>
                <w:div w:id="1141340467">
                  <w:marLeft w:val="0"/>
                  <w:marRight w:val="0"/>
                  <w:marTop w:val="0"/>
                  <w:marBottom w:val="0"/>
                  <w:divBdr>
                    <w:top w:val="none" w:sz="0" w:space="0" w:color="auto"/>
                    <w:left w:val="none" w:sz="0" w:space="0" w:color="auto"/>
                    <w:bottom w:val="none" w:sz="0" w:space="0" w:color="auto"/>
                    <w:right w:val="none" w:sz="0" w:space="0" w:color="auto"/>
                  </w:divBdr>
                  <w:divsChild>
                    <w:div w:id="802040933">
                      <w:marLeft w:val="0"/>
                      <w:marRight w:val="0"/>
                      <w:marTop w:val="0"/>
                      <w:marBottom w:val="0"/>
                      <w:divBdr>
                        <w:top w:val="none" w:sz="0" w:space="0" w:color="auto"/>
                        <w:left w:val="none" w:sz="0" w:space="0" w:color="auto"/>
                        <w:bottom w:val="none" w:sz="0" w:space="0" w:color="auto"/>
                        <w:right w:val="none" w:sz="0" w:space="0" w:color="auto"/>
                      </w:divBdr>
                      <w:divsChild>
                        <w:div w:id="423647750">
                          <w:marLeft w:val="0"/>
                          <w:marRight w:val="0"/>
                          <w:marTop w:val="0"/>
                          <w:marBottom w:val="0"/>
                          <w:divBdr>
                            <w:top w:val="none" w:sz="0" w:space="0" w:color="auto"/>
                            <w:left w:val="none" w:sz="0" w:space="0" w:color="auto"/>
                            <w:bottom w:val="none" w:sz="0" w:space="0" w:color="auto"/>
                            <w:right w:val="none" w:sz="0" w:space="0" w:color="auto"/>
                          </w:divBdr>
                          <w:divsChild>
                            <w:div w:id="1681393815">
                              <w:marLeft w:val="0"/>
                              <w:marRight w:val="0"/>
                              <w:marTop w:val="0"/>
                              <w:marBottom w:val="0"/>
                              <w:divBdr>
                                <w:top w:val="none" w:sz="0" w:space="0" w:color="auto"/>
                                <w:left w:val="none" w:sz="0" w:space="0" w:color="auto"/>
                                <w:bottom w:val="none" w:sz="0" w:space="0" w:color="auto"/>
                                <w:right w:val="none" w:sz="0" w:space="0" w:color="auto"/>
                              </w:divBdr>
                              <w:divsChild>
                                <w:div w:id="559512494">
                                  <w:marLeft w:val="0"/>
                                  <w:marRight w:val="0"/>
                                  <w:marTop w:val="0"/>
                                  <w:marBottom w:val="75"/>
                                  <w:divBdr>
                                    <w:top w:val="none" w:sz="0" w:space="0" w:color="auto"/>
                                    <w:left w:val="none" w:sz="0" w:space="0" w:color="auto"/>
                                    <w:bottom w:val="none" w:sz="0" w:space="0" w:color="auto"/>
                                    <w:right w:val="none" w:sz="0" w:space="0" w:color="auto"/>
                                  </w:divBdr>
                                  <w:divsChild>
                                    <w:div w:id="220555405">
                                      <w:marLeft w:val="0"/>
                                      <w:marRight w:val="0"/>
                                      <w:marTop w:val="0"/>
                                      <w:marBottom w:val="0"/>
                                      <w:divBdr>
                                        <w:top w:val="none" w:sz="0" w:space="0" w:color="auto"/>
                                        <w:left w:val="none" w:sz="0" w:space="0" w:color="auto"/>
                                        <w:bottom w:val="none" w:sz="0" w:space="0" w:color="auto"/>
                                        <w:right w:val="none" w:sz="0" w:space="0" w:color="auto"/>
                                      </w:divBdr>
                                      <w:divsChild>
                                        <w:div w:id="1938709020">
                                          <w:marLeft w:val="0"/>
                                          <w:marRight w:val="0"/>
                                          <w:marTop w:val="0"/>
                                          <w:marBottom w:val="0"/>
                                          <w:divBdr>
                                            <w:top w:val="none" w:sz="0" w:space="0" w:color="auto"/>
                                            <w:left w:val="none" w:sz="0" w:space="0" w:color="auto"/>
                                            <w:bottom w:val="none" w:sz="0" w:space="0" w:color="auto"/>
                                            <w:right w:val="none" w:sz="0" w:space="0" w:color="auto"/>
                                          </w:divBdr>
                                          <w:divsChild>
                                            <w:div w:id="122297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5117376">
      <w:bodyDiv w:val="1"/>
      <w:marLeft w:val="0"/>
      <w:marRight w:val="0"/>
      <w:marTop w:val="0"/>
      <w:marBottom w:val="0"/>
      <w:divBdr>
        <w:top w:val="none" w:sz="0" w:space="0" w:color="auto"/>
        <w:left w:val="none" w:sz="0" w:space="0" w:color="auto"/>
        <w:bottom w:val="none" w:sz="0" w:space="0" w:color="auto"/>
        <w:right w:val="none" w:sz="0" w:space="0" w:color="auto"/>
      </w:divBdr>
    </w:div>
    <w:div w:id="586035257">
      <w:bodyDiv w:val="1"/>
      <w:marLeft w:val="0"/>
      <w:marRight w:val="0"/>
      <w:marTop w:val="0"/>
      <w:marBottom w:val="0"/>
      <w:divBdr>
        <w:top w:val="none" w:sz="0" w:space="0" w:color="auto"/>
        <w:left w:val="none" w:sz="0" w:space="0" w:color="auto"/>
        <w:bottom w:val="none" w:sz="0" w:space="0" w:color="auto"/>
        <w:right w:val="none" w:sz="0" w:space="0" w:color="auto"/>
      </w:divBdr>
      <w:divsChild>
        <w:div w:id="955402461">
          <w:marLeft w:val="0"/>
          <w:marRight w:val="0"/>
          <w:marTop w:val="0"/>
          <w:marBottom w:val="150"/>
          <w:divBdr>
            <w:top w:val="none" w:sz="0" w:space="0" w:color="auto"/>
            <w:left w:val="none" w:sz="0" w:space="0" w:color="auto"/>
            <w:bottom w:val="none" w:sz="0" w:space="0" w:color="auto"/>
            <w:right w:val="none" w:sz="0" w:space="0" w:color="auto"/>
          </w:divBdr>
          <w:divsChild>
            <w:div w:id="2098867835">
              <w:marLeft w:val="0"/>
              <w:marRight w:val="0"/>
              <w:marTop w:val="0"/>
              <w:marBottom w:val="0"/>
              <w:divBdr>
                <w:top w:val="none" w:sz="0" w:space="0" w:color="auto"/>
                <w:left w:val="none" w:sz="0" w:space="0" w:color="auto"/>
                <w:bottom w:val="none" w:sz="0" w:space="0" w:color="auto"/>
                <w:right w:val="none" w:sz="0" w:space="0" w:color="auto"/>
              </w:divBdr>
              <w:divsChild>
                <w:div w:id="37554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855976">
          <w:marLeft w:val="0"/>
          <w:marRight w:val="0"/>
          <w:marTop w:val="0"/>
          <w:marBottom w:val="0"/>
          <w:divBdr>
            <w:top w:val="none" w:sz="0" w:space="0" w:color="auto"/>
            <w:left w:val="none" w:sz="0" w:space="0" w:color="auto"/>
            <w:bottom w:val="none" w:sz="0" w:space="0" w:color="auto"/>
            <w:right w:val="none" w:sz="0" w:space="0" w:color="auto"/>
          </w:divBdr>
          <w:divsChild>
            <w:div w:id="1023673466">
              <w:marLeft w:val="0"/>
              <w:marRight w:val="0"/>
              <w:marTop w:val="225"/>
              <w:marBottom w:val="225"/>
              <w:divBdr>
                <w:top w:val="none" w:sz="0" w:space="0" w:color="auto"/>
                <w:left w:val="none" w:sz="0" w:space="0" w:color="auto"/>
                <w:bottom w:val="none" w:sz="0" w:space="0" w:color="auto"/>
                <w:right w:val="none" w:sz="0" w:space="0" w:color="auto"/>
              </w:divBdr>
            </w:div>
          </w:divsChild>
        </w:div>
        <w:div w:id="1689286728">
          <w:marLeft w:val="0"/>
          <w:marRight w:val="0"/>
          <w:marTop w:val="0"/>
          <w:marBottom w:val="150"/>
          <w:divBdr>
            <w:top w:val="none" w:sz="0" w:space="0" w:color="auto"/>
            <w:left w:val="none" w:sz="0" w:space="0" w:color="auto"/>
            <w:bottom w:val="none" w:sz="0" w:space="0" w:color="auto"/>
            <w:right w:val="none" w:sz="0" w:space="0" w:color="auto"/>
          </w:divBdr>
        </w:div>
      </w:divsChild>
    </w:div>
    <w:div w:id="586353479">
      <w:bodyDiv w:val="1"/>
      <w:marLeft w:val="0"/>
      <w:marRight w:val="0"/>
      <w:marTop w:val="0"/>
      <w:marBottom w:val="0"/>
      <w:divBdr>
        <w:top w:val="none" w:sz="0" w:space="0" w:color="auto"/>
        <w:left w:val="none" w:sz="0" w:space="0" w:color="auto"/>
        <w:bottom w:val="none" w:sz="0" w:space="0" w:color="auto"/>
        <w:right w:val="none" w:sz="0" w:space="0" w:color="auto"/>
      </w:divBdr>
      <w:divsChild>
        <w:div w:id="1015038177">
          <w:marLeft w:val="0"/>
          <w:marRight w:val="0"/>
          <w:marTop w:val="0"/>
          <w:marBottom w:val="0"/>
          <w:divBdr>
            <w:top w:val="none" w:sz="0" w:space="0" w:color="auto"/>
            <w:left w:val="none" w:sz="0" w:space="0" w:color="auto"/>
            <w:bottom w:val="dotted" w:sz="6" w:space="4" w:color="DDDDDD"/>
            <w:right w:val="none" w:sz="0" w:space="0" w:color="auto"/>
          </w:divBdr>
        </w:div>
      </w:divsChild>
    </w:div>
    <w:div w:id="586500709">
      <w:bodyDiv w:val="1"/>
      <w:marLeft w:val="0"/>
      <w:marRight w:val="0"/>
      <w:marTop w:val="0"/>
      <w:marBottom w:val="0"/>
      <w:divBdr>
        <w:top w:val="none" w:sz="0" w:space="0" w:color="auto"/>
        <w:left w:val="none" w:sz="0" w:space="0" w:color="auto"/>
        <w:bottom w:val="none" w:sz="0" w:space="0" w:color="auto"/>
        <w:right w:val="none" w:sz="0" w:space="0" w:color="auto"/>
      </w:divBdr>
      <w:divsChild>
        <w:div w:id="697464741">
          <w:marLeft w:val="0"/>
          <w:marRight w:val="0"/>
          <w:marTop w:val="0"/>
          <w:marBottom w:val="150"/>
          <w:divBdr>
            <w:top w:val="none" w:sz="0" w:space="0" w:color="auto"/>
            <w:left w:val="none" w:sz="0" w:space="0" w:color="auto"/>
            <w:bottom w:val="none" w:sz="0" w:space="0" w:color="auto"/>
            <w:right w:val="none" w:sz="0" w:space="0" w:color="auto"/>
          </w:divBdr>
        </w:div>
      </w:divsChild>
    </w:div>
    <w:div w:id="586502507">
      <w:bodyDiv w:val="1"/>
      <w:marLeft w:val="0"/>
      <w:marRight w:val="0"/>
      <w:marTop w:val="0"/>
      <w:marBottom w:val="0"/>
      <w:divBdr>
        <w:top w:val="none" w:sz="0" w:space="0" w:color="auto"/>
        <w:left w:val="none" w:sz="0" w:space="0" w:color="auto"/>
        <w:bottom w:val="none" w:sz="0" w:space="0" w:color="auto"/>
        <w:right w:val="none" w:sz="0" w:space="0" w:color="auto"/>
      </w:divBdr>
      <w:divsChild>
        <w:div w:id="1303578725">
          <w:marLeft w:val="0"/>
          <w:marRight w:val="0"/>
          <w:marTop w:val="0"/>
          <w:marBottom w:val="0"/>
          <w:divBdr>
            <w:top w:val="none" w:sz="0" w:space="0" w:color="auto"/>
            <w:left w:val="none" w:sz="0" w:space="0" w:color="auto"/>
            <w:bottom w:val="dotted" w:sz="6" w:space="4" w:color="DDDDDD"/>
            <w:right w:val="none" w:sz="0" w:space="0" w:color="auto"/>
          </w:divBdr>
          <w:divsChild>
            <w:div w:id="211081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884121">
      <w:bodyDiv w:val="1"/>
      <w:marLeft w:val="0"/>
      <w:marRight w:val="0"/>
      <w:marTop w:val="0"/>
      <w:marBottom w:val="0"/>
      <w:divBdr>
        <w:top w:val="none" w:sz="0" w:space="0" w:color="auto"/>
        <w:left w:val="none" w:sz="0" w:space="0" w:color="auto"/>
        <w:bottom w:val="none" w:sz="0" w:space="0" w:color="auto"/>
        <w:right w:val="none" w:sz="0" w:space="0" w:color="auto"/>
      </w:divBdr>
      <w:divsChild>
        <w:div w:id="1531380804">
          <w:marLeft w:val="0"/>
          <w:marRight w:val="0"/>
          <w:marTop w:val="0"/>
          <w:marBottom w:val="0"/>
          <w:divBdr>
            <w:top w:val="none" w:sz="0" w:space="0" w:color="auto"/>
            <w:left w:val="none" w:sz="0" w:space="0" w:color="auto"/>
            <w:bottom w:val="none" w:sz="0" w:space="0" w:color="auto"/>
            <w:right w:val="none" w:sz="0" w:space="0" w:color="auto"/>
          </w:divBdr>
          <w:divsChild>
            <w:div w:id="81731979">
              <w:marLeft w:val="0"/>
              <w:marRight w:val="0"/>
              <w:marTop w:val="0"/>
              <w:marBottom w:val="0"/>
              <w:divBdr>
                <w:top w:val="none" w:sz="0" w:space="0" w:color="auto"/>
                <w:left w:val="none" w:sz="0" w:space="0" w:color="auto"/>
                <w:bottom w:val="none" w:sz="0" w:space="0" w:color="auto"/>
                <w:right w:val="none" w:sz="0" w:space="0" w:color="auto"/>
              </w:divBdr>
            </w:div>
            <w:div w:id="129595626">
              <w:marLeft w:val="0"/>
              <w:marRight w:val="0"/>
              <w:marTop w:val="0"/>
              <w:marBottom w:val="0"/>
              <w:divBdr>
                <w:top w:val="none" w:sz="0" w:space="0" w:color="auto"/>
                <w:left w:val="none" w:sz="0" w:space="0" w:color="auto"/>
                <w:bottom w:val="none" w:sz="0" w:space="0" w:color="auto"/>
                <w:right w:val="none" w:sz="0" w:space="0" w:color="auto"/>
              </w:divBdr>
            </w:div>
            <w:div w:id="223370833">
              <w:marLeft w:val="0"/>
              <w:marRight w:val="0"/>
              <w:marTop w:val="0"/>
              <w:marBottom w:val="0"/>
              <w:divBdr>
                <w:top w:val="none" w:sz="0" w:space="0" w:color="auto"/>
                <w:left w:val="none" w:sz="0" w:space="0" w:color="auto"/>
                <w:bottom w:val="none" w:sz="0" w:space="0" w:color="auto"/>
                <w:right w:val="none" w:sz="0" w:space="0" w:color="auto"/>
              </w:divBdr>
            </w:div>
            <w:div w:id="316885215">
              <w:marLeft w:val="0"/>
              <w:marRight w:val="0"/>
              <w:marTop w:val="0"/>
              <w:marBottom w:val="0"/>
              <w:divBdr>
                <w:top w:val="none" w:sz="0" w:space="0" w:color="auto"/>
                <w:left w:val="none" w:sz="0" w:space="0" w:color="auto"/>
                <w:bottom w:val="none" w:sz="0" w:space="0" w:color="auto"/>
                <w:right w:val="none" w:sz="0" w:space="0" w:color="auto"/>
              </w:divBdr>
            </w:div>
            <w:div w:id="688946328">
              <w:marLeft w:val="0"/>
              <w:marRight w:val="0"/>
              <w:marTop w:val="0"/>
              <w:marBottom w:val="0"/>
              <w:divBdr>
                <w:top w:val="none" w:sz="0" w:space="0" w:color="auto"/>
                <w:left w:val="none" w:sz="0" w:space="0" w:color="auto"/>
                <w:bottom w:val="none" w:sz="0" w:space="0" w:color="auto"/>
                <w:right w:val="none" w:sz="0" w:space="0" w:color="auto"/>
              </w:divBdr>
            </w:div>
            <w:div w:id="926421712">
              <w:marLeft w:val="0"/>
              <w:marRight w:val="0"/>
              <w:marTop w:val="0"/>
              <w:marBottom w:val="0"/>
              <w:divBdr>
                <w:top w:val="none" w:sz="0" w:space="0" w:color="auto"/>
                <w:left w:val="none" w:sz="0" w:space="0" w:color="auto"/>
                <w:bottom w:val="none" w:sz="0" w:space="0" w:color="auto"/>
                <w:right w:val="none" w:sz="0" w:space="0" w:color="auto"/>
              </w:divBdr>
            </w:div>
            <w:div w:id="941453406">
              <w:marLeft w:val="0"/>
              <w:marRight w:val="0"/>
              <w:marTop w:val="0"/>
              <w:marBottom w:val="0"/>
              <w:divBdr>
                <w:top w:val="none" w:sz="0" w:space="0" w:color="auto"/>
                <w:left w:val="none" w:sz="0" w:space="0" w:color="auto"/>
                <w:bottom w:val="none" w:sz="0" w:space="0" w:color="auto"/>
                <w:right w:val="none" w:sz="0" w:space="0" w:color="auto"/>
              </w:divBdr>
            </w:div>
            <w:div w:id="970329978">
              <w:marLeft w:val="0"/>
              <w:marRight w:val="0"/>
              <w:marTop w:val="0"/>
              <w:marBottom w:val="0"/>
              <w:divBdr>
                <w:top w:val="none" w:sz="0" w:space="0" w:color="auto"/>
                <w:left w:val="none" w:sz="0" w:space="0" w:color="auto"/>
                <w:bottom w:val="none" w:sz="0" w:space="0" w:color="auto"/>
                <w:right w:val="none" w:sz="0" w:space="0" w:color="auto"/>
              </w:divBdr>
            </w:div>
            <w:div w:id="1449859463">
              <w:marLeft w:val="0"/>
              <w:marRight w:val="0"/>
              <w:marTop w:val="0"/>
              <w:marBottom w:val="0"/>
              <w:divBdr>
                <w:top w:val="none" w:sz="0" w:space="0" w:color="auto"/>
                <w:left w:val="none" w:sz="0" w:space="0" w:color="auto"/>
                <w:bottom w:val="none" w:sz="0" w:space="0" w:color="auto"/>
                <w:right w:val="none" w:sz="0" w:space="0" w:color="auto"/>
              </w:divBdr>
            </w:div>
            <w:div w:id="1512721247">
              <w:marLeft w:val="0"/>
              <w:marRight w:val="0"/>
              <w:marTop w:val="0"/>
              <w:marBottom w:val="0"/>
              <w:divBdr>
                <w:top w:val="none" w:sz="0" w:space="0" w:color="auto"/>
                <w:left w:val="none" w:sz="0" w:space="0" w:color="auto"/>
                <w:bottom w:val="none" w:sz="0" w:space="0" w:color="auto"/>
                <w:right w:val="none" w:sz="0" w:space="0" w:color="auto"/>
              </w:divBdr>
            </w:div>
            <w:div w:id="1726643322">
              <w:marLeft w:val="0"/>
              <w:marRight w:val="0"/>
              <w:marTop w:val="0"/>
              <w:marBottom w:val="0"/>
              <w:divBdr>
                <w:top w:val="none" w:sz="0" w:space="0" w:color="auto"/>
                <w:left w:val="none" w:sz="0" w:space="0" w:color="auto"/>
                <w:bottom w:val="none" w:sz="0" w:space="0" w:color="auto"/>
                <w:right w:val="none" w:sz="0" w:space="0" w:color="auto"/>
              </w:divBdr>
            </w:div>
            <w:div w:id="1892157830">
              <w:marLeft w:val="0"/>
              <w:marRight w:val="0"/>
              <w:marTop w:val="0"/>
              <w:marBottom w:val="0"/>
              <w:divBdr>
                <w:top w:val="none" w:sz="0" w:space="0" w:color="auto"/>
                <w:left w:val="none" w:sz="0" w:space="0" w:color="auto"/>
                <w:bottom w:val="none" w:sz="0" w:space="0" w:color="auto"/>
                <w:right w:val="none" w:sz="0" w:space="0" w:color="auto"/>
              </w:divBdr>
            </w:div>
            <w:div w:id="2044287292">
              <w:marLeft w:val="0"/>
              <w:marRight w:val="0"/>
              <w:marTop w:val="0"/>
              <w:marBottom w:val="0"/>
              <w:divBdr>
                <w:top w:val="none" w:sz="0" w:space="0" w:color="auto"/>
                <w:left w:val="none" w:sz="0" w:space="0" w:color="auto"/>
                <w:bottom w:val="none" w:sz="0" w:space="0" w:color="auto"/>
                <w:right w:val="none" w:sz="0" w:space="0" w:color="auto"/>
              </w:divBdr>
            </w:div>
            <w:div w:id="208884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075669">
      <w:bodyDiv w:val="1"/>
      <w:marLeft w:val="0"/>
      <w:marRight w:val="0"/>
      <w:marTop w:val="0"/>
      <w:marBottom w:val="0"/>
      <w:divBdr>
        <w:top w:val="none" w:sz="0" w:space="0" w:color="auto"/>
        <w:left w:val="none" w:sz="0" w:space="0" w:color="auto"/>
        <w:bottom w:val="none" w:sz="0" w:space="0" w:color="auto"/>
        <w:right w:val="none" w:sz="0" w:space="0" w:color="auto"/>
      </w:divBdr>
      <w:divsChild>
        <w:div w:id="1560243205">
          <w:marLeft w:val="0"/>
          <w:marRight w:val="0"/>
          <w:marTop w:val="0"/>
          <w:marBottom w:val="0"/>
          <w:divBdr>
            <w:top w:val="none" w:sz="0" w:space="0" w:color="auto"/>
            <w:left w:val="none" w:sz="0" w:space="0" w:color="auto"/>
            <w:bottom w:val="none" w:sz="0" w:space="0" w:color="auto"/>
            <w:right w:val="none" w:sz="0" w:space="0" w:color="auto"/>
          </w:divBdr>
        </w:div>
      </w:divsChild>
    </w:div>
    <w:div w:id="587231453">
      <w:bodyDiv w:val="1"/>
      <w:marLeft w:val="0"/>
      <w:marRight w:val="0"/>
      <w:marTop w:val="0"/>
      <w:marBottom w:val="0"/>
      <w:divBdr>
        <w:top w:val="none" w:sz="0" w:space="0" w:color="auto"/>
        <w:left w:val="none" w:sz="0" w:space="0" w:color="auto"/>
        <w:bottom w:val="none" w:sz="0" w:space="0" w:color="auto"/>
        <w:right w:val="none" w:sz="0" w:space="0" w:color="auto"/>
      </w:divBdr>
      <w:divsChild>
        <w:div w:id="1718747160">
          <w:marLeft w:val="0"/>
          <w:marRight w:val="0"/>
          <w:marTop w:val="0"/>
          <w:marBottom w:val="150"/>
          <w:divBdr>
            <w:top w:val="none" w:sz="0" w:space="0" w:color="auto"/>
            <w:left w:val="none" w:sz="0" w:space="0" w:color="auto"/>
            <w:bottom w:val="none" w:sz="0" w:space="0" w:color="auto"/>
            <w:right w:val="none" w:sz="0" w:space="0" w:color="auto"/>
          </w:divBdr>
          <w:divsChild>
            <w:div w:id="1475872147">
              <w:marLeft w:val="0"/>
              <w:marRight w:val="0"/>
              <w:marTop w:val="0"/>
              <w:marBottom w:val="0"/>
              <w:divBdr>
                <w:top w:val="none" w:sz="0" w:space="0" w:color="auto"/>
                <w:left w:val="none" w:sz="0" w:space="0" w:color="auto"/>
                <w:bottom w:val="none" w:sz="0" w:space="0" w:color="auto"/>
                <w:right w:val="none" w:sz="0" w:space="0" w:color="auto"/>
              </w:divBdr>
              <w:divsChild>
                <w:div w:id="1566405602">
                  <w:marLeft w:val="0"/>
                  <w:marRight w:val="0"/>
                  <w:marTop w:val="0"/>
                  <w:marBottom w:val="0"/>
                  <w:divBdr>
                    <w:top w:val="none" w:sz="0" w:space="0" w:color="auto"/>
                    <w:left w:val="none" w:sz="0" w:space="0" w:color="auto"/>
                    <w:bottom w:val="none" w:sz="0" w:space="0" w:color="auto"/>
                    <w:right w:val="none" w:sz="0" w:space="0" w:color="auto"/>
                  </w:divBdr>
                  <w:divsChild>
                    <w:div w:id="53552793">
                      <w:marLeft w:val="0"/>
                      <w:marRight w:val="150"/>
                      <w:marTop w:val="0"/>
                      <w:marBottom w:val="0"/>
                      <w:divBdr>
                        <w:top w:val="none" w:sz="0" w:space="0" w:color="auto"/>
                        <w:left w:val="none" w:sz="0" w:space="0" w:color="auto"/>
                        <w:bottom w:val="none" w:sz="0" w:space="0" w:color="auto"/>
                        <w:right w:val="none" w:sz="0" w:space="0" w:color="auto"/>
                      </w:divBdr>
                      <w:divsChild>
                        <w:div w:id="205272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708869">
          <w:marLeft w:val="0"/>
          <w:marRight w:val="0"/>
          <w:marTop w:val="0"/>
          <w:marBottom w:val="150"/>
          <w:divBdr>
            <w:top w:val="none" w:sz="0" w:space="0" w:color="auto"/>
            <w:left w:val="none" w:sz="0" w:space="0" w:color="auto"/>
            <w:bottom w:val="none" w:sz="0" w:space="0" w:color="auto"/>
            <w:right w:val="none" w:sz="0" w:space="0" w:color="auto"/>
          </w:divBdr>
        </w:div>
        <w:div w:id="858931305">
          <w:marLeft w:val="0"/>
          <w:marRight w:val="0"/>
          <w:marTop w:val="0"/>
          <w:marBottom w:val="0"/>
          <w:divBdr>
            <w:top w:val="none" w:sz="0" w:space="0" w:color="auto"/>
            <w:left w:val="none" w:sz="0" w:space="0" w:color="auto"/>
            <w:bottom w:val="none" w:sz="0" w:space="0" w:color="auto"/>
            <w:right w:val="none" w:sz="0" w:space="0" w:color="auto"/>
          </w:divBdr>
          <w:divsChild>
            <w:div w:id="210241382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87344575">
      <w:bodyDiv w:val="1"/>
      <w:marLeft w:val="0"/>
      <w:marRight w:val="0"/>
      <w:marTop w:val="0"/>
      <w:marBottom w:val="0"/>
      <w:divBdr>
        <w:top w:val="none" w:sz="0" w:space="0" w:color="auto"/>
        <w:left w:val="none" w:sz="0" w:space="0" w:color="auto"/>
        <w:bottom w:val="none" w:sz="0" w:space="0" w:color="auto"/>
        <w:right w:val="none" w:sz="0" w:space="0" w:color="auto"/>
      </w:divBdr>
      <w:divsChild>
        <w:div w:id="592395085">
          <w:marLeft w:val="0"/>
          <w:marRight w:val="0"/>
          <w:marTop w:val="0"/>
          <w:marBottom w:val="0"/>
          <w:divBdr>
            <w:top w:val="none" w:sz="0" w:space="0" w:color="auto"/>
            <w:left w:val="none" w:sz="0" w:space="0" w:color="auto"/>
            <w:bottom w:val="none" w:sz="0" w:space="0" w:color="auto"/>
            <w:right w:val="none" w:sz="0" w:space="0" w:color="auto"/>
          </w:divBdr>
          <w:divsChild>
            <w:div w:id="1388452483">
              <w:marLeft w:val="0"/>
              <w:marRight w:val="0"/>
              <w:marTop w:val="225"/>
              <w:marBottom w:val="225"/>
              <w:divBdr>
                <w:top w:val="none" w:sz="0" w:space="0" w:color="auto"/>
                <w:left w:val="none" w:sz="0" w:space="0" w:color="auto"/>
                <w:bottom w:val="none" w:sz="0" w:space="0" w:color="auto"/>
                <w:right w:val="none" w:sz="0" w:space="0" w:color="auto"/>
              </w:divBdr>
            </w:div>
          </w:divsChild>
        </w:div>
        <w:div w:id="1487282028">
          <w:marLeft w:val="0"/>
          <w:marRight w:val="0"/>
          <w:marTop w:val="0"/>
          <w:marBottom w:val="150"/>
          <w:divBdr>
            <w:top w:val="none" w:sz="0" w:space="0" w:color="auto"/>
            <w:left w:val="none" w:sz="0" w:space="0" w:color="auto"/>
            <w:bottom w:val="none" w:sz="0" w:space="0" w:color="auto"/>
            <w:right w:val="none" w:sz="0" w:space="0" w:color="auto"/>
          </w:divBdr>
          <w:divsChild>
            <w:div w:id="1069956463">
              <w:marLeft w:val="0"/>
              <w:marRight w:val="0"/>
              <w:marTop w:val="0"/>
              <w:marBottom w:val="0"/>
              <w:divBdr>
                <w:top w:val="none" w:sz="0" w:space="0" w:color="auto"/>
                <w:left w:val="none" w:sz="0" w:space="0" w:color="auto"/>
                <w:bottom w:val="none" w:sz="0" w:space="0" w:color="auto"/>
                <w:right w:val="none" w:sz="0" w:space="0" w:color="auto"/>
              </w:divBdr>
              <w:divsChild>
                <w:div w:id="20487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599419">
          <w:marLeft w:val="0"/>
          <w:marRight w:val="0"/>
          <w:marTop w:val="0"/>
          <w:marBottom w:val="150"/>
          <w:divBdr>
            <w:top w:val="none" w:sz="0" w:space="0" w:color="auto"/>
            <w:left w:val="none" w:sz="0" w:space="0" w:color="auto"/>
            <w:bottom w:val="none" w:sz="0" w:space="0" w:color="auto"/>
            <w:right w:val="none" w:sz="0" w:space="0" w:color="auto"/>
          </w:divBdr>
        </w:div>
      </w:divsChild>
    </w:div>
    <w:div w:id="587619567">
      <w:bodyDiv w:val="1"/>
      <w:marLeft w:val="0"/>
      <w:marRight w:val="0"/>
      <w:marTop w:val="0"/>
      <w:marBottom w:val="0"/>
      <w:divBdr>
        <w:top w:val="none" w:sz="0" w:space="0" w:color="auto"/>
        <w:left w:val="none" w:sz="0" w:space="0" w:color="auto"/>
        <w:bottom w:val="none" w:sz="0" w:space="0" w:color="auto"/>
        <w:right w:val="none" w:sz="0" w:space="0" w:color="auto"/>
      </w:divBdr>
      <w:divsChild>
        <w:div w:id="745230236">
          <w:marLeft w:val="0"/>
          <w:marRight w:val="0"/>
          <w:marTop w:val="0"/>
          <w:marBottom w:val="0"/>
          <w:divBdr>
            <w:top w:val="none" w:sz="0" w:space="0" w:color="auto"/>
            <w:left w:val="none" w:sz="0" w:space="0" w:color="auto"/>
            <w:bottom w:val="none" w:sz="0" w:space="0" w:color="auto"/>
            <w:right w:val="none" w:sz="0" w:space="0" w:color="auto"/>
          </w:divBdr>
          <w:divsChild>
            <w:div w:id="773863265">
              <w:marLeft w:val="0"/>
              <w:marRight w:val="0"/>
              <w:marTop w:val="0"/>
              <w:marBottom w:val="300"/>
              <w:divBdr>
                <w:top w:val="none" w:sz="0" w:space="0" w:color="auto"/>
                <w:left w:val="none" w:sz="0" w:space="0" w:color="auto"/>
                <w:bottom w:val="single" w:sz="6" w:space="0" w:color="F1F1F1"/>
                <w:right w:val="none" w:sz="0" w:space="0" w:color="auto"/>
              </w:divBdr>
              <w:divsChild>
                <w:div w:id="20856847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3103681">
          <w:marLeft w:val="0"/>
          <w:marRight w:val="0"/>
          <w:marTop w:val="0"/>
          <w:marBottom w:val="0"/>
          <w:divBdr>
            <w:top w:val="none" w:sz="0" w:space="0" w:color="auto"/>
            <w:left w:val="none" w:sz="0" w:space="0" w:color="auto"/>
            <w:bottom w:val="none" w:sz="0" w:space="0" w:color="auto"/>
            <w:right w:val="none" w:sz="0" w:space="0" w:color="auto"/>
          </w:divBdr>
          <w:divsChild>
            <w:div w:id="1764646230">
              <w:marLeft w:val="0"/>
              <w:marRight w:val="0"/>
              <w:marTop w:val="0"/>
              <w:marBottom w:val="0"/>
              <w:divBdr>
                <w:top w:val="none" w:sz="0" w:space="0" w:color="auto"/>
                <w:left w:val="none" w:sz="0" w:space="0" w:color="auto"/>
                <w:bottom w:val="none" w:sz="0" w:space="0" w:color="auto"/>
                <w:right w:val="none" w:sz="0" w:space="0" w:color="auto"/>
              </w:divBdr>
              <w:divsChild>
                <w:div w:id="1413694174">
                  <w:marLeft w:val="0"/>
                  <w:marRight w:val="0"/>
                  <w:marTop w:val="0"/>
                  <w:marBottom w:val="0"/>
                  <w:divBdr>
                    <w:top w:val="none" w:sz="0" w:space="0" w:color="auto"/>
                    <w:left w:val="none" w:sz="0" w:space="0" w:color="auto"/>
                    <w:bottom w:val="none" w:sz="0" w:space="0" w:color="auto"/>
                    <w:right w:val="none" w:sz="0" w:space="0" w:color="auto"/>
                  </w:divBdr>
                  <w:divsChild>
                    <w:div w:id="185949189">
                      <w:marLeft w:val="0"/>
                      <w:marRight w:val="0"/>
                      <w:marTop w:val="0"/>
                      <w:marBottom w:val="0"/>
                      <w:divBdr>
                        <w:top w:val="none" w:sz="0" w:space="0" w:color="auto"/>
                        <w:left w:val="none" w:sz="0" w:space="0" w:color="auto"/>
                        <w:bottom w:val="none" w:sz="0" w:space="0" w:color="auto"/>
                        <w:right w:val="none" w:sz="0" w:space="0" w:color="auto"/>
                      </w:divBdr>
                    </w:div>
                    <w:div w:id="397099404">
                      <w:marLeft w:val="0"/>
                      <w:marRight w:val="0"/>
                      <w:marTop w:val="0"/>
                      <w:marBottom w:val="75"/>
                      <w:divBdr>
                        <w:top w:val="none" w:sz="0" w:space="0" w:color="auto"/>
                        <w:left w:val="none" w:sz="0" w:space="0" w:color="auto"/>
                        <w:bottom w:val="none" w:sz="0" w:space="0" w:color="auto"/>
                        <w:right w:val="none" w:sz="0" w:space="0" w:color="auto"/>
                      </w:divBdr>
                    </w:div>
                    <w:div w:id="399989159">
                      <w:marLeft w:val="0"/>
                      <w:marRight w:val="0"/>
                      <w:marTop w:val="0"/>
                      <w:marBottom w:val="300"/>
                      <w:divBdr>
                        <w:top w:val="none" w:sz="0" w:space="0" w:color="auto"/>
                        <w:left w:val="none" w:sz="0" w:space="0" w:color="auto"/>
                        <w:bottom w:val="none" w:sz="0" w:space="0" w:color="auto"/>
                        <w:right w:val="none" w:sz="0" w:space="0" w:color="auto"/>
                      </w:divBdr>
                      <w:divsChild>
                        <w:div w:id="627325199">
                          <w:marLeft w:val="0"/>
                          <w:marRight w:val="0"/>
                          <w:marTop w:val="0"/>
                          <w:marBottom w:val="0"/>
                          <w:divBdr>
                            <w:top w:val="none" w:sz="0" w:space="0" w:color="auto"/>
                            <w:left w:val="none" w:sz="0" w:space="0" w:color="auto"/>
                            <w:bottom w:val="none" w:sz="0" w:space="0" w:color="auto"/>
                            <w:right w:val="none" w:sz="0" w:space="0" w:color="auto"/>
                          </w:divBdr>
                        </w:div>
                      </w:divsChild>
                    </w:div>
                    <w:div w:id="661278806">
                      <w:marLeft w:val="0"/>
                      <w:marRight w:val="0"/>
                      <w:marTop w:val="0"/>
                      <w:marBottom w:val="0"/>
                      <w:divBdr>
                        <w:top w:val="none" w:sz="0" w:space="0" w:color="auto"/>
                        <w:left w:val="none" w:sz="0" w:space="0" w:color="auto"/>
                        <w:bottom w:val="none" w:sz="0" w:space="0" w:color="auto"/>
                        <w:right w:val="none" w:sz="0" w:space="0" w:color="auto"/>
                      </w:divBdr>
                      <w:divsChild>
                        <w:div w:id="1505438447">
                          <w:marLeft w:val="0"/>
                          <w:marRight w:val="0"/>
                          <w:marTop w:val="0"/>
                          <w:marBottom w:val="0"/>
                          <w:divBdr>
                            <w:top w:val="none" w:sz="0" w:space="0" w:color="auto"/>
                            <w:left w:val="none" w:sz="0" w:space="0" w:color="auto"/>
                            <w:bottom w:val="none" w:sz="0" w:space="0" w:color="auto"/>
                            <w:right w:val="none" w:sz="0" w:space="0" w:color="auto"/>
                          </w:divBdr>
                          <w:divsChild>
                            <w:div w:id="164102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980183">
                  <w:marLeft w:val="300"/>
                  <w:marRight w:val="0"/>
                  <w:marTop w:val="0"/>
                  <w:marBottom w:val="0"/>
                  <w:divBdr>
                    <w:top w:val="none" w:sz="0" w:space="0" w:color="auto"/>
                    <w:left w:val="none" w:sz="0" w:space="0" w:color="auto"/>
                    <w:bottom w:val="none" w:sz="0" w:space="0" w:color="auto"/>
                    <w:right w:val="none" w:sz="0" w:space="0" w:color="auto"/>
                  </w:divBdr>
                  <w:divsChild>
                    <w:div w:id="1987662366">
                      <w:marLeft w:val="0"/>
                      <w:marRight w:val="0"/>
                      <w:marTop w:val="0"/>
                      <w:marBottom w:val="300"/>
                      <w:divBdr>
                        <w:top w:val="none" w:sz="0" w:space="0" w:color="auto"/>
                        <w:left w:val="none" w:sz="0" w:space="0" w:color="auto"/>
                        <w:bottom w:val="none" w:sz="0" w:space="0" w:color="auto"/>
                        <w:right w:val="none" w:sz="0" w:space="0" w:color="auto"/>
                      </w:divBdr>
                      <w:divsChild>
                        <w:div w:id="382754153">
                          <w:marLeft w:val="0"/>
                          <w:marRight w:val="0"/>
                          <w:marTop w:val="0"/>
                          <w:marBottom w:val="0"/>
                          <w:divBdr>
                            <w:top w:val="none" w:sz="0" w:space="0" w:color="auto"/>
                            <w:left w:val="none" w:sz="0" w:space="0" w:color="auto"/>
                            <w:bottom w:val="none" w:sz="0" w:space="0" w:color="auto"/>
                            <w:right w:val="none" w:sz="0" w:space="0" w:color="auto"/>
                          </w:divBdr>
                          <w:divsChild>
                            <w:div w:id="1815220980">
                              <w:marLeft w:val="0"/>
                              <w:marRight w:val="0"/>
                              <w:marTop w:val="0"/>
                              <w:marBottom w:val="0"/>
                              <w:divBdr>
                                <w:top w:val="none" w:sz="0" w:space="0" w:color="auto"/>
                                <w:left w:val="none" w:sz="0" w:space="0" w:color="auto"/>
                                <w:bottom w:val="none" w:sz="0" w:space="0" w:color="auto"/>
                                <w:right w:val="none" w:sz="0" w:space="0" w:color="auto"/>
                              </w:divBdr>
                              <w:divsChild>
                                <w:div w:id="1047755380">
                                  <w:marLeft w:val="0"/>
                                  <w:marRight w:val="0"/>
                                  <w:marTop w:val="0"/>
                                  <w:marBottom w:val="0"/>
                                  <w:divBdr>
                                    <w:top w:val="single" w:sz="2" w:space="0" w:color="DFDFDF"/>
                                    <w:left w:val="single" w:sz="2" w:space="0" w:color="DFDFDF"/>
                                    <w:bottom w:val="single" w:sz="2" w:space="0" w:color="DFDFDF"/>
                                    <w:right w:val="single" w:sz="2" w:space="0" w:color="DFDFDF"/>
                                  </w:divBdr>
                                  <w:divsChild>
                                    <w:div w:id="1038435864">
                                      <w:marLeft w:val="0"/>
                                      <w:marRight w:val="0"/>
                                      <w:marTop w:val="0"/>
                                      <w:marBottom w:val="270"/>
                                      <w:divBdr>
                                        <w:top w:val="none" w:sz="0" w:space="0" w:color="auto"/>
                                        <w:left w:val="none" w:sz="0" w:space="0" w:color="auto"/>
                                        <w:bottom w:val="single" w:sz="12" w:space="5" w:color="DADADA"/>
                                        <w:right w:val="none" w:sz="0" w:space="0" w:color="auto"/>
                                      </w:divBdr>
                                      <w:divsChild>
                                        <w:div w:id="556748567">
                                          <w:marLeft w:val="0"/>
                                          <w:marRight w:val="0"/>
                                          <w:marTop w:val="0"/>
                                          <w:marBottom w:val="0"/>
                                          <w:divBdr>
                                            <w:top w:val="none" w:sz="0" w:space="0" w:color="auto"/>
                                            <w:left w:val="none" w:sz="0" w:space="0" w:color="auto"/>
                                            <w:bottom w:val="none" w:sz="0" w:space="0" w:color="auto"/>
                                            <w:right w:val="none" w:sz="0" w:space="0" w:color="auto"/>
                                          </w:divBdr>
                                        </w:div>
                                      </w:divsChild>
                                    </w:div>
                                    <w:div w:id="1174228569">
                                      <w:marLeft w:val="-90"/>
                                      <w:marRight w:val="0"/>
                                      <w:marTop w:val="0"/>
                                      <w:marBottom w:val="0"/>
                                      <w:divBdr>
                                        <w:top w:val="none" w:sz="0" w:space="0" w:color="auto"/>
                                        <w:left w:val="none" w:sz="0" w:space="0" w:color="auto"/>
                                        <w:bottom w:val="none" w:sz="0" w:space="0" w:color="auto"/>
                                        <w:right w:val="none" w:sz="0" w:space="0" w:color="auto"/>
                                      </w:divBdr>
                                      <w:divsChild>
                                        <w:div w:id="553931447">
                                          <w:marLeft w:val="0"/>
                                          <w:marRight w:val="0"/>
                                          <w:marTop w:val="0"/>
                                          <w:marBottom w:val="45"/>
                                          <w:divBdr>
                                            <w:top w:val="single" w:sz="2" w:space="0" w:color="A9A9A9"/>
                                            <w:left w:val="single" w:sz="2" w:space="0" w:color="A9A9A9"/>
                                            <w:bottom w:val="single" w:sz="2" w:space="0" w:color="A9A9A9"/>
                                            <w:right w:val="single" w:sz="2" w:space="0" w:color="A9A9A9"/>
                                          </w:divBdr>
                                          <w:divsChild>
                                            <w:div w:id="372117372">
                                              <w:marLeft w:val="0"/>
                                              <w:marRight w:val="0"/>
                                              <w:marTop w:val="0"/>
                                              <w:marBottom w:val="0"/>
                                              <w:divBdr>
                                                <w:top w:val="none" w:sz="0" w:space="0" w:color="auto"/>
                                                <w:left w:val="none" w:sz="0" w:space="0" w:color="auto"/>
                                                <w:bottom w:val="none" w:sz="0" w:space="0" w:color="auto"/>
                                                <w:right w:val="none" w:sz="0" w:space="0" w:color="auto"/>
                                              </w:divBdr>
                                              <w:divsChild>
                                                <w:div w:id="870071254">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195388704">
                          <w:marLeft w:val="0"/>
                          <w:marRight w:val="0"/>
                          <w:marTop w:val="0"/>
                          <w:marBottom w:val="0"/>
                          <w:divBdr>
                            <w:top w:val="none" w:sz="0" w:space="0" w:color="auto"/>
                            <w:left w:val="none" w:sz="0" w:space="0" w:color="auto"/>
                            <w:bottom w:val="none" w:sz="0" w:space="0" w:color="auto"/>
                            <w:right w:val="none" w:sz="0" w:space="0" w:color="auto"/>
                          </w:divBdr>
                          <w:divsChild>
                            <w:div w:id="1676689304">
                              <w:marLeft w:val="0"/>
                              <w:marRight w:val="0"/>
                              <w:marTop w:val="0"/>
                              <w:marBottom w:val="0"/>
                              <w:divBdr>
                                <w:top w:val="none" w:sz="0" w:space="0" w:color="auto"/>
                                <w:left w:val="none" w:sz="0" w:space="0" w:color="auto"/>
                                <w:bottom w:val="none" w:sz="0" w:space="0" w:color="auto"/>
                                <w:right w:val="none" w:sz="0" w:space="0" w:color="auto"/>
                              </w:divBdr>
                              <w:divsChild>
                                <w:div w:id="1527210053">
                                  <w:marLeft w:val="0"/>
                                  <w:marRight w:val="0"/>
                                  <w:marTop w:val="0"/>
                                  <w:marBottom w:val="0"/>
                                  <w:divBdr>
                                    <w:top w:val="single" w:sz="2" w:space="0" w:color="DFDFDF"/>
                                    <w:left w:val="single" w:sz="2" w:space="0" w:color="DFDFDF"/>
                                    <w:bottom w:val="single" w:sz="2" w:space="0" w:color="DFDFDF"/>
                                    <w:right w:val="single" w:sz="2" w:space="0" w:color="DFDFDF"/>
                                  </w:divBdr>
                                  <w:divsChild>
                                    <w:div w:id="1437214511">
                                      <w:marLeft w:val="-90"/>
                                      <w:marRight w:val="0"/>
                                      <w:marTop w:val="0"/>
                                      <w:marBottom w:val="0"/>
                                      <w:divBdr>
                                        <w:top w:val="none" w:sz="0" w:space="0" w:color="auto"/>
                                        <w:left w:val="none" w:sz="0" w:space="0" w:color="auto"/>
                                        <w:bottom w:val="none" w:sz="0" w:space="0" w:color="auto"/>
                                        <w:right w:val="none" w:sz="0" w:space="0" w:color="auto"/>
                                      </w:divBdr>
                                      <w:divsChild>
                                        <w:div w:id="142237421">
                                          <w:marLeft w:val="0"/>
                                          <w:marRight w:val="0"/>
                                          <w:marTop w:val="0"/>
                                          <w:marBottom w:val="45"/>
                                          <w:divBdr>
                                            <w:top w:val="single" w:sz="2" w:space="0" w:color="A9A9A9"/>
                                            <w:left w:val="single" w:sz="2" w:space="0" w:color="A9A9A9"/>
                                            <w:bottom w:val="single" w:sz="2" w:space="0" w:color="A9A9A9"/>
                                            <w:right w:val="single" w:sz="2" w:space="0" w:color="A9A9A9"/>
                                          </w:divBdr>
                                          <w:divsChild>
                                            <w:div w:id="1497916146">
                                              <w:marLeft w:val="0"/>
                                              <w:marRight w:val="0"/>
                                              <w:marTop w:val="0"/>
                                              <w:marBottom w:val="0"/>
                                              <w:divBdr>
                                                <w:top w:val="none" w:sz="0" w:space="0" w:color="auto"/>
                                                <w:left w:val="none" w:sz="0" w:space="0" w:color="auto"/>
                                                <w:bottom w:val="none" w:sz="0" w:space="0" w:color="auto"/>
                                                <w:right w:val="none" w:sz="0" w:space="0" w:color="auto"/>
                                              </w:divBdr>
                                              <w:divsChild>
                                                <w:div w:id="891312263">
                                                  <w:marLeft w:val="92"/>
                                                  <w:marRight w:val="0"/>
                                                  <w:marTop w:val="0"/>
                                                  <w:marBottom w:val="150"/>
                                                  <w:divBdr>
                                                    <w:top w:val="single" w:sz="2" w:space="0" w:color="E4E4E4"/>
                                                    <w:left w:val="single" w:sz="2" w:space="0" w:color="E4E4E4"/>
                                                    <w:bottom w:val="single" w:sz="2" w:space="0" w:color="E4E4E4"/>
                                                    <w:right w:val="single" w:sz="2" w:space="0" w:color="E4E4E4"/>
                                                  </w:divBdr>
                                                </w:div>
                                                <w:div w:id="153631074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sChild>
    </w:div>
    <w:div w:id="587663768">
      <w:bodyDiv w:val="1"/>
      <w:marLeft w:val="0"/>
      <w:marRight w:val="0"/>
      <w:marTop w:val="0"/>
      <w:marBottom w:val="0"/>
      <w:divBdr>
        <w:top w:val="none" w:sz="0" w:space="0" w:color="auto"/>
        <w:left w:val="none" w:sz="0" w:space="0" w:color="auto"/>
        <w:bottom w:val="none" w:sz="0" w:space="0" w:color="auto"/>
        <w:right w:val="none" w:sz="0" w:space="0" w:color="auto"/>
      </w:divBdr>
      <w:divsChild>
        <w:div w:id="916671424">
          <w:marLeft w:val="0"/>
          <w:marRight w:val="0"/>
          <w:marTop w:val="150"/>
          <w:marBottom w:val="0"/>
          <w:divBdr>
            <w:top w:val="none" w:sz="0" w:space="0" w:color="auto"/>
            <w:left w:val="none" w:sz="0" w:space="0" w:color="auto"/>
            <w:bottom w:val="none" w:sz="0" w:space="0" w:color="auto"/>
            <w:right w:val="none" w:sz="0" w:space="0" w:color="auto"/>
          </w:divBdr>
          <w:divsChild>
            <w:div w:id="1468862733">
              <w:marLeft w:val="0"/>
              <w:marRight w:val="0"/>
              <w:marTop w:val="0"/>
              <w:marBottom w:val="0"/>
              <w:divBdr>
                <w:top w:val="none" w:sz="0" w:space="0" w:color="auto"/>
                <w:left w:val="none" w:sz="0" w:space="0" w:color="auto"/>
                <w:bottom w:val="none" w:sz="0" w:space="0" w:color="auto"/>
                <w:right w:val="none" w:sz="0" w:space="0" w:color="auto"/>
              </w:divBdr>
            </w:div>
          </w:divsChild>
        </w:div>
        <w:div w:id="697894506">
          <w:marLeft w:val="0"/>
          <w:marRight w:val="0"/>
          <w:marTop w:val="225"/>
          <w:marBottom w:val="225"/>
          <w:divBdr>
            <w:top w:val="none" w:sz="0" w:space="0" w:color="auto"/>
            <w:left w:val="none" w:sz="0" w:space="0" w:color="auto"/>
            <w:bottom w:val="none" w:sz="0" w:space="0" w:color="auto"/>
            <w:right w:val="none" w:sz="0" w:space="0" w:color="auto"/>
          </w:divBdr>
        </w:div>
        <w:div w:id="801390300">
          <w:marLeft w:val="0"/>
          <w:marRight w:val="0"/>
          <w:marTop w:val="0"/>
          <w:marBottom w:val="0"/>
          <w:divBdr>
            <w:top w:val="none" w:sz="0" w:space="0" w:color="auto"/>
            <w:left w:val="none" w:sz="0" w:space="0" w:color="auto"/>
            <w:bottom w:val="none" w:sz="0" w:space="0" w:color="auto"/>
            <w:right w:val="none" w:sz="0" w:space="0" w:color="auto"/>
          </w:divBdr>
        </w:div>
      </w:divsChild>
    </w:div>
    <w:div w:id="587737976">
      <w:bodyDiv w:val="1"/>
      <w:marLeft w:val="0"/>
      <w:marRight w:val="0"/>
      <w:marTop w:val="0"/>
      <w:marBottom w:val="0"/>
      <w:divBdr>
        <w:top w:val="none" w:sz="0" w:space="0" w:color="auto"/>
        <w:left w:val="none" w:sz="0" w:space="0" w:color="auto"/>
        <w:bottom w:val="none" w:sz="0" w:space="0" w:color="auto"/>
        <w:right w:val="none" w:sz="0" w:space="0" w:color="auto"/>
      </w:divBdr>
      <w:divsChild>
        <w:div w:id="1564676335">
          <w:marLeft w:val="0"/>
          <w:marRight w:val="0"/>
          <w:marTop w:val="0"/>
          <w:marBottom w:val="0"/>
          <w:divBdr>
            <w:top w:val="none" w:sz="0" w:space="0" w:color="auto"/>
            <w:left w:val="none" w:sz="0" w:space="0" w:color="auto"/>
            <w:bottom w:val="dotted" w:sz="6" w:space="4" w:color="DDDDDD"/>
            <w:right w:val="none" w:sz="0" w:space="0" w:color="auto"/>
          </w:divBdr>
        </w:div>
      </w:divsChild>
    </w:div>
    <w:div w:id="588854022">
      <w:bodyDiv w:val="1"/>
      <w:marLeft w:val="0"/>
      <w:marRight w:val="0"/>
      <w:marTop w:val="0"/>
      <w:marBottom w:val="0"/>
      <w:divBdr>
        <w:top w:val="none" w:sz="0" w:space="0" w:color="auto"/>
        <w:left w:val="none" w:sz="0" w:space="0" w:color="auto"/>
        <w:bottom w:val="none" w:sz="0" w:space="0" w:color="auto"/>
        <w:right w:val="none" w:sz="0" w:space="0" w:color="auto"/>
      </w:divBdr>
      <w:divsChild>
        <w:div w:id="123426679">
          <w:marLeft w:val="0"/>
          <w:marRight w:val="0"/>
          <w:marTop w:val="0"/>
          <w:marBottom w:val="150"/>
          <w:divBdr>
            <w:top w:val="none" w:sz="0" w:space="0" w:color="auto"/>
            <w:left w:val="none" w:sz="0" w:space="0" w:color="auto"/>
            <w:bottom w:val="none" w:sz="0" w:space="0" w:color="auto"/>
            <w:right w:val="none" w:sz="0" w:space="0" w:color="auto"/>
          </w:divBdr>
        </w:div>
      </w:divsChild>
    </w:div>
    <w:div w:id="589004482">
      <w:bodyDiv w:val="1"/>
      <w:marLeft w:val="0"/>
      <w:marRight w:val="0"/>
      <w:marTop w:val="0"/>
      <w:marBottom w:val="0"/>
      <w:divBdr>
        <w:top w:val="none" w:sz="0" w:space="0" w:color="auto"/>
        <w:left w:val="none" w:sz="0" w:space="0" w:color="auto"/>
        <w:bottom w:val="none" w:sz="0" w:space="0" w:color="auto"/>
        <w:right w:val="none" w:sz="0" w:space="0" w:color="auto"/>
      </w:divBdr>
      <w:divsChild>
        <w:div w:id="124129802">
          <w:marLeft w:val="0"/>
          <w:marRight w:val="0"/>
          <w:marTop w:val="0"/>
          <w:marBottom w:val="0"/>
          <w:divBdr>
            <w:top w:val="none" w:sz="0" w:space="0" w:color="auto"/>
            <w:left w:val="none" w:sz="0" w:space="0" w:color="auto"/>
            <w:bottom w:val="dotted" w:sz="6" w:space="4" w:color="DDDDDD"/>
            <w:right w:val="none" w:sz="0" w:space="0" w:color="auto"/>
          </w:divBdr>
          <w:divsChild>
            <w:div w:id="88934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046627">
      <w:bodyDiv w:val="1"/>
      <w:marLeft w:val="0"/>
      <w:marRight w:val="0"/>
      <w:marTop w:val="0"/>
      <w:marBottom w:val="0"/>
      <w:divBdr>
        <w:top w:val="none" w:sz="0" w:space="0" w:color="auto"/>
        <w:left w:val="none" w:sz="0" w:space="0" w:color="auto"/>
        <w:bottom w:val="none" w:sz="0" w:space="0" w:color="auto"/>
        <w:right w:val="none" w:sz="0" w:space="0" w:color="auto"/>
      </w:divBdr>
      <w:divsChild>
        <w:div w:id="825366677">
          <w:marLeft w:val="0"/>
          <w:marRight w:val="0"/>
          <w:marTop w:val="0"/>
          <w:marBottom w:val="150"/>
          <w:divBdr>
            <w:top w:val="none" w:sz="0" w:space="0" w:color="auto"/>
            <w:left w:val="none" w:sz="0" w:space="0" w:color="auto"/>
            <w:bottom w:val="none" w:sz="0" w:space="0" w:color="auto"/>
            <w:right w:val="none" w:sz="0" w:space="0" w:color="auto"/>
          </w:divBdr>
        </w:div>
      </w:divsChild>
    </w:div>
    <w:div w:id="589197910">
      <w:bodyDiv w:val="1"/>
      <w:marLeft w:val="0"/>
      <w:marRight w:val="0"/>
      <w:marTop w:val="0"/>
      <w:marBottom w:val="0"/>
      <w:divBdr>
        <w:top w:val="none" w:sz="0" w:space="0" w:color="auto"/>
        <w:left w:val="none" w:sz="0" w:space="0" w:color="auto"/>
        <w:bottom w:val="none" w:sz="0" w:space="0" w:color="auto"/>
        <w:right w:val="none" w:sz="0" w:space="0" w:color="auto"/>
      </w:divBdr>
      <w:divsChild>
        <w:div w:id="1030499318">
          <w:marLeft w:val="0"/>
          <w:marRight w:val="0"/>
          <w:marTop w:val="0"/>
          <w:marBottom w:val="0"/>
          <w:divBdr>
            <w:top w:val="none" w:sz="0" w:space="0" w:color="auto"/>
            <w:left w:val="none" w:sz="0" w:space="0" w:color="auto"/>
            <w:bottom w:val="none" w:sz="0" w:space="0" w:color="auto"/>
            <w:right w:val="none" w:sz="0" w:space="0" w:color="auto"/>
          </w:divBdr>
        </w:div>
      </w:divsChild>
    </w:div>
    <w:div w:id="589511097">
      <w:bodyDiv w:val="1"/>
      <w:marLeft w:val="0"/>
      <w:marRight w:val="0"/>
      <w:marTop w:val="0"/>
      <w:marBottom w:val="0"/>
      <w:divBdr>
        <w:top w:val="none" w:sz="0" w:space="0" w:color="auto"/>
        <w:left w:val="none" w:sz="0" w:space="0" w:color="auto"/>
        <w:bottom w:val="none" w:sz="0" w:space="0" w:color="auto"/>
        <w:right w:val="none" w:sz="0" w:space="0" w:color="auto"/>
      </w:divBdr>
      <w:divsChild>
        <w:div w:id="283274532">
          <w:marLeft w:val="0"/>
          <w:marRight w:val="0"/>
          <w:marTop w:val="0"/>
          <w:marBottom w:val="0"/>
          <w:divBdr>
            <w:top w:val="none" w:sz="0" w:space="0" w:color="auto"/>
            <w:left w:val="none" w:sz="0" w:space="0" w:color="auto"/>
            <w:bottom w:val="none" w:sz="0" w:space="0" w:color="auto"/>
            <w:right w:val="none" w:sz="0" w:space="0" w:color="auto"/>
          </w:divBdr>
          <w:divsChild>
            <w:div w:id="903377108">
              <w:marLeft w:val="0"/>
              <w:marRight w:val="0"/>
              <w:marTop w:val="225"/>
              <w:marBottom w:val="225"/>
              <w:divBdr>
                <w:top w:val="none" w:sz="0" w:space="0" w:color="auto"/>
                <w:left w:val="none" w:sz="0" w:space="0" w:color="auto"/>
                <w:bottom w:val="none" w:sz="0" w:space="0" w:color="auto"/>
                <w:right w:val="none" w:sz="0" w:space="0" w:color="auto"/>
              </w:divBdr>
            </w:div>
          </w:divsChild>
        </w:div>
        <w:div w:id="330792513">
          <w:marLeft w:val="0"/>
          <w:marRight w:val="0"/>
          <w:marTop w:val="0"/>
          <w:marBottom w:val="150"/>
          <w:divBdr>
            <w:top w:val="none" w:sz="0" w:space="0" w:color="auto"/>
            <w:left w:val="none" w:sz="0" w:space="0" w:color="auto"/>
            <w:bottom w:val="none" w:sz="0" w:space="0" w:color="auto"/>
            <w:right w:val="none" w:sz="0" w:space="0" w:color="auto"/>
          </w:divBdr>
          <w:divsChild>
            <w:div w:id="1334719058">
              <w:marLeft w:val="0"/>
              <w:marRight w:val="0"/>
              <w:marTop w:val="0"/>
              <w:marBottom w:val="0"/>
              <w:divBdr>
                <w:top w:val="none" w:sz="0" w:space="0" w:color="auto"/>
                <w:left w:val="none" w:sz="0" w:space="0" w:color="auto"/>
                <w:bottom w:val="none" w:sz="0" w:space="0" w:color="auto"/>
                <w:right w:val="none" w:sz="0" w:space="0" w:color="auto"/>
              </w:divBdr>
              <w:divsChild>
                <w:div w:id="164596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709290">
          <w:marLeft w:val="0"/>
          <w:marRight w:val="0"/>
          <w:marTop w:val="0"/>
          <w:marBottom w:val="150"/>
          <w:divBdr>
            <w:top w:val="none" w:sz="0" w:space="0" w:color="auto"/>
            <w:left w:val="none" w:sz="0" w:space="0" w:color="auto"/>
            <w:bottom w:val="none" w:sz="0" w:space="0" w:color="auto"/>
            <w:right w:val="none" w:sz="0" w:space="0" w:color="auto"/>
          </w:divBdr>
        </w:div>
      </w:divsChild>
    </w:div>
    <w:div w:id="589699677">
      <w:bodyDiv w:val="1"/>
      <w:marLeft w:val="0"/>
      <w:marRight w:val="0"/>
      <w:marTop w:val="0"/>
      <w:marBottom w:val="0"/>
      <w:divBdr>
        <w:top w:val="none" w:sz="0" w:space="0" w:color="auto"/>
        <w:left w:val="none" w:sz="0" w:space="0" w:color="auto"/>
        <w:bottom w:val="none" w:sz="0" w:space="0" w:color="auto"/>
        <w:right w:val="none" w:sz="0" w:space="0" w:color="auto"/>
      </w:divBdr>
      <w:divsChild>
        <w:div w:id="1427798973">
          <w:marLeft w:val="0"/>
          <w:marRight w:val="0"/>
          <w:marTop w:val="0"/>
          <w:marBottom w:val="0"/>
          <w:divBdr>
            <w:top w:val="none" w:sz="0" w:space="0" w:color="auto"/>
            <w:left w:val="none" w:sz="0" w:space="0" w:color="auto"/>
            <w:bottom w:val="dotted" w:sz="6" w:space="4" w:color="DDDDDD"/>
            <w:right w:val="none" w:sz="0" w:space="0" w:color="auto"/>
          </w:divBdr>
          <w:divsChild>
            <w:div w:id="67950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970906">
      <w:bodyDiv w:val="1"/>
      <w:marLeft w:val="0"/>
      <w:marRight w:val="0"/>
      <w:marTop w:val="0"/>
      <w:marBottom w:val="0"/>
      <w:divBdr>
        <w:top w:val="none" w:sz="0" w:space="0" w:color="auto"/>
        <w:left w:val="none" w:sz="0" w:space="0" w:color="auto"/>
        <w:bottom w:val="none" w:sz="0" w:space="0" w:color="auto"/>
        <w:right w:val="none" w:sz="0" w:space="0" w:color="auto"/>
      </w:divBdr>
      <w:divsChild>
        <w:div w:id="2132701193">
          <w:marLeft w:val="0"/>
          <w:marRight w:val="0"/>
          <w:marTop w:val="0"/>
          <w:marBottom w:val="0"/>
          <w:divBdr>
            <w:top w:val="none" w:sz="0" w:space="0" w:color="auto"/>
            <w:left w:val="none" w:sz="0" w:space="0" w:color="auto"/>
            <w:bottom w:val="dotted" w:sz="6" w:space="4" w:color="DDDDDD"/>
            <w:right w:val="none" w:sz="0" w:space="0" w:color="auto"/>
          </w:divBdr>
          <w:divsChild>
            <w:div w:id="41682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549892">
      <w:bodyDiv w:val="1"/>
      <w:marLeft w:val="0"/>
      <w:marRight w:val="0"/>
      <w:marTop w:val="0"/>
      <w:marBottom w:val="0"/>
      <w:divBdr>
        <w:top w:val="none" w:sz="0" w:space="0" w:color="auto"/>
        <w:left w:val="none" w:sz="0" w:space="0" w:color="auto"/>
        <w:bottom w:val="none" w:sz="0" w:space="0" w:color="auto"/>
        <w:right w:val="none" w:sz="0" w:space="0" w:color="auto"/>
      </w:divBdr>
    </w:div>
    <w:div w:id="590703879">
      <w:bodyDiv w:val="1"/>
      <w:marLeft w:val="0"/>
      <w:marRight w:val="0"/>
      <w:marTop w:val="0"/>
      <w:marBottom w:val="0"/>
      <w:divBdr>
        <w:top w:val="none" w:sz="0" w:space="0" w:color="auto"/>
        <w:left w:val="none" w:sz="0" w:space="0" w:color="auto"/>
        <w:bottom w:val="none" w:sz="0" w:space="0" w:color="auto"/>
        <w:right w:val="none" w:sz="0" w:space="0" w:color="auto"/>
      </w:divBdr>
      <w:divsChild>
        <w:div w:id="2052072792">
          <w:marLeft w:val="0"/>
          <w:marRight w:val="0"/>
          <w:marTop w:val="0"/>
          <w:marBottom w:val="0"/>
          <w:divBdr>
            <w:top w:val="none" w:sz="0" w:space="0" w:color="auto"/>
            <w:left w:val="none" w:sz="0" w:space="0" w:color="auto"/>
            <w:bottom w:val="none" w:sz="0" w:space="0" w:color="auto"/>
            <w:right w:val="none" w:sz="0" w:space="0" w:color="auto"/>
          </w:divBdr>
          <w:divsChild>
            <w:div w:id="1929583838">
              <w:marLeft w:val="0"/>
              <w:marRight w:val="0"/>
              <w:marTop w:val="0"/>
              <w:marBottom w:val="0"/>
              <w:divBdr>
                <w:top w:val="none" w:sz="0" w:space="0" w:color="auto"/>
                <w:left w:val="none" w:sz="0" w:space="0" w:color="auto"/>
                <w:bottom w:val="none" w:sz="0" w:space="0" w:color="auto"/>
                <w:right w:val="none" w:sz="0" w:space="0" w:color="auto"/>
              </w:divBdr>
              <w:divsChild>
                <w:div w:id="514998143">
                  <w:marLeft w:val="0"/>
                  <w:marRight w:val="0"/>
                  <w:marTop w:val="0"/>
                  <w:marBottom w:val="0"/>
                  <w:divBdr>
                    <w:top w:val="none" w:sz="0" w:space="0" w:color="auto"/>
                    <w:left w:val="none" w:sz="0" w:space="0" w:color="auto"/>
                    <w:bottom w:val="none" w:sz="0" w:space="0" w:color="auto"/>
                    <w:right w:val="none" w:sz="0" w:space="0" w:color="auto"/>
                  </w:divBdr>
                  <w:divsChild>
                    <w:div w:id="1542669841">
                      <w:marLeft w:val="0"/>
                      <w:marRight w:val="0"/>
                      <w:marTop w:val="0"/>
                      <w:marBottom w:val="0"/>
                      <w:divBdr>
                        <w:top w:val="none" w:sz="0" w:space="0" w:color="auto"/>
                        <w:left w:val="none" w:sz="0" w:space="0" w:color="auto"/>
                        <w:bottom w:val="none" w:sz="0" w:space="0" w:color="auto"/>
                        <w:right w:val="none" w:sz="0" w:space="0" w:color="auto"/>
                      </w:divBdr>
                      <w:divsChild>
                        <w:div w:id="31082990">
                          <w:marLeft w:val="0"/>
                          <w:marRight w:val="0"/>
                          <w:marTop w:val="0"/>
                          <w:marBottom w:val="0"/>
                          <w:divBdr>
                            <w:top w:val="none" w:sz="0" w:space="0" w:color="auto"/>
                            <w:left w:val="none" w:sz="0" w:space="0" w:color="auto"/>
                            <w:bottom w:val="none" w:sz="0" w:space="0" w:color="auto"/>
                            <w:right w:val="none" w:sz="0" w:space="0" w:color="auto"/>
                          </w:divBdr>
                          <w:divsChild>
                            <w:div w:id="1295259039">
                              <w:marLeft w:val="0"/>
                              <w:marRight w:val="0"/>
                              <w:marTop w:val="0"/>
                              <w:marBottom w:val="0"/>
                              <w:divBdr>
                                <w:top w:val="none" w:sz="0" w:space="0" w:color="auto"/>
                                <w:left w:val="none" w:sz="0" w:space="0" w:color="auto"/>
                                <w:bottom w:val="none" w:sz="0" w:space="0" w:color="auto"/>
                                <w:right w:val="none" w:sz="0" w:space="0" w:color="auto"/>
                              </w:divBdr>
                              <w:divsChild>
                                <w:div w:id="956444424">
                                  <w:marLeft w:val="0"/>
                                  <w:marRight w:val="0"/>
                                  <w:marTop w:val="0"/>
                                  <w:marBottom w:val="0"/>
                                  <w:divBdr>
                                    <w:top w:val="none" w:sz="0" w:space="0" w:color="auto"/>
                                    <w:left w:val="none" w:sz="0" w:space="0" w:color="auto"/>
                                    <w:bottom w:val="none" w:sz="0" w:space="0" w:color="auto"/>
                                    <w:right w:val="none" w:sz="0" w:space="0" w:color="auto"/>
                                  </w:divBdr>
                                  <w:divsChild>
                                    <w:div w:id="75348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02858">
      <w:bodyDiv w:val="1"/>
      <w:marLeft w:val="0"/>
      <w:marRight w:val="0"/>
      <w:marTop w:val="0"/>
      <w:marBottom w:val="0"/>
      <w:divBdr>
        <w:top w:val="none" w:sz="0" w:space="0" w:color="auto"/>
        <w:left w:val="none" w:sz="0" w:space="0" w:color="auto"/>
        <w:bottom w:val="none" w:sz="0" w:space="0" w:color="auto"/>
        <w:right w:val="none" w:sz="0" w:space="0" w:color="auto"/>
      </w:divBdr>
      <w:divsChild>
        <w:div w:id="68961779">
          <w:marLeft w:val="0"/>
          <w:marRight w:val="0"/>
          <w:marTop w:val="0"/>
          <w:marBottom w:val="0"/>
          <w:divBdr>
            <w:top w:val="none" w:sz="0" w:space="0" w:color="auto"/>
            <w:left w:val="none" w:sz="0" w:space="0" w:color="auto"/>
            <w:bottom w:val="none" w:sz="0" w:space="0" w:color="auto"/>
            <w:right w:val="none" w:sz="0" w:space="0" w:color="auto"/>
          </w:divBdr>
        </w:div>
      </w:divsChild>
    </w:div>
    <w:div w:id="591552061">
      <w:bodyDiv w:val="1"/>
      <w:marLeft w:val="0"/>
      <w:marRight w:val="0"/>
      <w:marTop w:val="0"/>
      <w:marBottom w:val="0"/>
      <w:divBdr>
        <w:top w:val="none" w:sz="0" w:space="0" w:color="auto"/>
        <w:left w:val="none" w:sz="0" w:space="0" w:color="auto"/>
        <w:bottom w:val="none" w:sz="0" w:space="0" w:color="auto"/>
        <w:right w:val="none" w:sz="0" w:space="0" w:color="auto"/>
      </w:divBdr>
    </w:div>
    <w:div w:id="592325743">
      <w:bodyDiv w:val="1"/>
      <w:marLeft w:val="0"/>
      <w:marRight w:val="0"/>
      <w:marTop w:val="0"/>
      <w:marBottom w:val="0"/>
      <w:divBdr>
        <w:top w:val="none" w:sz="0" w:space="0" w:color="auto"/>
        <w:left w:val="none" w:sz="0" w:space="0" w:color="auto"/>
        <w:bottom w:val="none" w:sz="0" w:space="0" w:color="auto"/>
        <w:right w:val="none" w:sz="0" w:space="0" w:color="auto"/>
      </w:divBdr>
      <w:divsChild>
        <w:div w:id="1688405714">
          <w:marLeft w:val="0"/>
          <w:marRight w:val="0"/>
          <w:marTop w:val="0"/>
          <w:marBottom w:val="0"/>
          <w:divBdr>
            <w:top w:val="none" w:sz="0" w:space="0" w:color="auto"/>
            <w:left w:val="none" w:sz="0" w:space="0" w:color="auto"/>
            <w:bottom w:val="none" w:sz="0" w:space="0" w:color="auto"/>
            <w:right w:val="none" w:sz="0" w:space="0" w:color="auto"/>
          </w:divBdr>
          <w:divsChild>
            <w:div w:id="1318456854">
              <w:marLeft w:val="0"/>
              <w:marRight w:val="0"/>
              <w:marTop w:val="0"/>
              <w:marBottom w:val="0"/>
              <w:divBdr>
                <w:top w:val="none" w:sz="0" w:space="0" w:color="auto"/>
                <w:left w:val="none" w:sz="0" w:space="0" w:color="auto"/>
                <w:bottom w:val="none" w:sz="0" w:space="0" w:color="auto"/>
                <w:right w:val="none" w:sz="0" w:space="0" w:color="auto"/>
              </w:divBdr>
              <w:divsChild>
                <w:div w:id="1279989360">
                  <w:marLeft w:val="0"/>
                  <w:marRight w:val="0"/>
                  <w:marTop w:val="0"/>
                  <w:marBottom w:val="0"/>
                  <w:divBdr>
                    <w:top w:val="none" w:sz="0" w:space="0" w:color="auto"/>
                    <w:left w:val="none" w:sz="0" w:space="0" w:color="auto"/>
                    <w:bottom w:val="none" w:sz="0" w:space="0" w:color="auto"/>
                    <w:right w:val="none" w:sz="0" w:space="0" w:color="auto"/>
                  </w:divBdr>
                  <w:divsChild>
                    <w:div w:id="118031873">
                      <w:marLeft w:val="0"/>
                      <w:marRight w:val="0"/>
                      <w:marTop w:val="0"/>
                      <w:marBottom w:val="0"/>
                      <w:divBdr>
                        <w:top w:val="none" w:sz="0" w:space="0" w:color="auto"/>
                        <w:left w:val="none" w:sz="0" w:space="0" w:color="auto"/>
                        <w:bottom w:val="none" w:sz="0" w:space="0" w:color="auto"/>
                        <w:right w:val="none" w:sz="0" w:space="0" w:color="auto"/>
                      </w:divBdr>
                      <w:divsChild>
                        <w:div w:id="593444445">
                          <w:marLeft w:val="0"/>
                          <w:marRight w:val="0"/>
                          <w:marTop w:val="0"/>
                          <w:marBottom w:val="0"/>
                          <w:divBdr>
                            <w:top w:val="none" w:sz="0" w:space="0" w:color="auto"/>
                            <w:left w:val="none" w:sz="0" w:space="0" w:color="auto"/>
                            <w:bottom w:val="none" w:sz="0" w:space="0" w:color="auto"/>
                            <w:right w:val="none" w:sz="0" w:space="0" w:color="auto"/>
                          </w:divBdr>
                          <w:divsChild>
                            <w:div w:id="1800148007">
                              <w:marLeft w:val="0"/>
                              <w:marRight w:val="0"/>
                              <w:marTop w:val="0"/>
                              <w:marBottom w:val="0"/>
                              <w:divBdr>
                                <w:top w:val="none" w:sz="0" w:space="0" w:color="auto"/>
                                <w:left w:val="none" w:sz="0" w:space="0" w:color="auto"/>
                                <w:bottom w:val="none" w:sz="0" w:space="0" w:color="auto"/>
                                <w:right w:val="none" w:sz="0" w:space="0" w:color="auto"/>
                              </w:divBdr>
                              <w:divsChild>
                                <w:div w:id="1339969304">
                                  <w:marLeft w:val="0"/>
                                  <w:marRight w:val="0"/>
                                  <w:marTop w:val="0"/>
                                  <w:marBottom w:val="0"/>
                                  <w:divBdr>
                                    <w:top w:val="none" w:sz="0" w:space="0" w:color="auto"/>
                                    <w:left w:val="none" w:sz="0" w:space="0" w:color="auto"/>
                                    <w:bottom w:val="none" w:sz="0" w:space="0" w:color="auto"/>
                                    <w:right w:val="none" w:sz="0" w:space="0" w:color="auto"/>
                                  </w:divBdr>
                                  <w:divsChild>
                                    <w:div w:id="2119785864">
                                      <w:marLeft w:val="0"/>
                                      <w:marRight w:val="0"/>
                                      <w:marTop w:val="0"/>
                                      <w:marBottom w:val="0"/>
                                      <w:divBdr>
                                        <w:top w:val="none" w:sz="0" w:space="0" w:color="auto"/>
                                        <w:left w:val="none" w:sz="0" w:space="0" w:color="auto"/>
                                        <w:bottom w:val="none" w:sz="0" w:space="0" w:color="auto"/>
                                        <w:right w:val="none" w:sz="0" w:space="0" w:color="auto"/>
                                      </w:divBdr>
                                      <w:divsChild>
                                        <w:div w:id="51087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2590861">
      <w:bodyDiv w:val="1"/>
      <w:marLeft w:val="0"/>
      <w:marRight w:val="0"/>
      <w:marTop w:val="0"/>
      <w:marBottom w:val="0"/>
      <w:divBdr>
        <w:top w:val="none" w:sz="0" w:space="0" w:color="auto"/>
        <w:left w:val="none" w:sz="0" w:space="0" w:color="auto"/>
        <w:bottom w:val="none" w:sz="0" w:space="0" w:color="auto"/>
        <w:right w:val="none" w:sz="0" w:space="0" w:color="auto"/>
      </w:divBdr>
      <w:divsChild>
        <w:div w:id="66731408">
          <w:marLeft w:val="0"/>
          <w:marRight w:val="0"/>
          <w:marTop w:val="0"/>
          <w:marBottom w:val="150"/>
          <w:divBdr>
            <w:top w:val="none" w:sz="0" w:space="0" w:color="auto"/>
            <w:left w:val="none" w:sz="0" w:space="0" w:color="auto"/>
            <w:bottom w:val="none" w:sz="0" w:space="0" w:color="auto"/>
            <w:right w:val="none" w:sz="0" w:space="0" w:color="auto"/>
          </w:divBdr>
          <w:divsChild>
            <w:div w:id="884372014">
              <w:marLeft w:val="0"/>
              <w:marRight w:val="0"/>
              <w:marTop w:val="0"/>
              <w:marBottom w:val="0"/>
              <w:divBdr>
                <w:top w:val="none" w:sz="0" w:space="0" w:color="auto"/>
                <w:left w:val="none" w:sz="0" w:space="0" w:color="auto"/>
                <w:bottom w:val="none" w:sz="0" w:space="0" w:color="auto"/>
                <w:right w:val="none" w:sz="0" w:space="0" w:color="auto"/>
              </w:divBdr>
            </w:div>
          </w:divsChild>
        </w:div>
        <w:div w:id="832066003">
          <w:marLeft w:val="0"/>
          <w:marRight w:val="0"/>
          <w:marTop w:val="0"/>
          <w:marBottom w:val="0"/>
          <w:divBdr>
            <w:top w:val="none" w:sz="0" w:space="0" w:color="auto"/>
            <w:left w:val="none" w:sz="0" w:space="0" w:color="auto"/>
            <w:bottom w:val="none" w:sz="0" w:space="0" w:color="auto"/>
            <w:right w:val="none" w:sz="0" w:space="0" w:color="auto"/>
          </w:divBdr>
          <w:divsChild>
            <w:div w:id="1244995924">
              <w:marLeft w:val="0"/>
              <w:marRight w:val="0"/>
              <w:marTop w:val="0"/>
              <w:marBottom w:val="0"/>
              <w:divBdr>
                <w:top w:val="none" w:sz="0" w:space="0" w:color="auto"/>
                <w:left w:val="none" w:sz="0" w:space="0" w:color="auto"/>
                <w:bottom w:val="none" w:sz="0" w:space="0" w:color="auto"/>
                <w:right w:val="none" w:sz="0" w:space="0" w:color="auto"/>
              </w:divBdr>
            </w:div>
          </w:divsChild>
        </w:div>
        <w:div w:id="1419667121">
          <w:marLeft w:val="0"/>
          <w:marRight w:val="0"/>
          <w:marTop w:val="0"/>
          <w:marBottom w:val="150"/>
          <w:divBdr>
            <w:top w:val="none" w:sz="0" w:space="0" w:color="auto"/>
            <w:left w:val="none" w:sz="0" w:space="0" w:color="auto"/>
            <w:bottom w:val="none" w:sz="0" w:space="0" w:color="auto"/>
            <w:right w:val="none" w:sz="0" w:space="0" w:color="auto"/>
          </w:divBdr>
        </w:div>
      </w:divsChild>
    </w:div>
    <w:div w:id="592593652">
      <w:bodyDiv w:val="1"/>
      <w:marLeft w:val="0"/>
      <w:marRight w:val="0"/>
      <w:marTop w:val="0"/>
      <w:marBottom w:val="0"/>
      <w:divBdr>
        <w:top w:val="none" w:sz="0" w:space="0" w:color="auto"/>
        <w:left w:val="none" w:sz="0" w:space="0" w:color="auto"/>
        <w:bottom w:val="none" w:sz="0" w:space="0" w:color="auto"/>
        <w:right w:val="none" w:sz="0" w:space="0" w:color="auto"/>
      </w:divBdr>
    </w:div>
    <w:div w:id="592855995">
      <w:bodyDiv w:val="1"/>
      <w:marLeft w:val="0"/>
      <w:marRight w:val="0"/>
      <w:marTop w:val="0"/>
      <w:marBottom w:val="0"/>
      <w:divBdr>
        <w:top w:val="none" w:sz="0" w:space="0" w:color="auto"/>
        <w:left w:val="none" w:sz="0" w:space="0" w:color="auto"/>
        <w:bottom w:val="none" w:sz="0" w:space="0" w:color="auto"/>
        <w:right w:val="none" w:sz="0" w:space="0" w:color="auto"/>
      </w:divBdr>
      <w:divsChild>
        <w:div w:id="365103659">
          <w:marLeft w:val="0"/>
          <w:marRight w:val="0"/>
          <w:marTop w:val="0"/>
          <w:marBottom w:val="0"/>
          <w:divBdr>
            <w:top w:val="none" w:sz="0" w:space="0" w:color="auto"/>
            <w:left w:val="none" w:sz="0" w:space="0" w:color="auto"/>
            <w:bottom w:val="none" w:sz="0" w:space="0" w:color="auto"/>
            <w:right w:val="none" w:sz="0" w:space="0" w:color="auto"/>
          </w:divBdr>
          <w:divsChild>
            <w:div w:id="1495955251">
              <w:marLeft w:val="0"/>
              <w:marRight w:val="0"/>
              <w:marTop w:val="0"/>
              <w:marBottom w:val="0"/>
              <w:divBdr>
                <w:top w:val="none" w:sz="0" w:space="0" w:color="auto"/>
                <w:left w:val="none" w:sz="0" w:space="0" w:color="auto"/>
                <w:bottom w:val="none" w:sz="0" w:space="0" w:color="auto"/>
                <w:right w:val="none" w:sz="0" w:space="0" w:color="auto"/>
              </w:divBdr>
            </w:div>
            <w:div w:id="1967854524">
              <w:marLeft w:val="0"/>
              <w:marRight w:val="0"/>
              <w:marTop w:val="0"/>
              <w:marBottom w:val="150"/>
              <w:divBdr>
                <w:top w:val="none" w:sz="0" w:space="0" w:color="auto"/>
                <w:left w:val="none" w:sz="0" w:space="0" w:color="auto"/>
                <w:bottom w:val="none" w:sz="0" w:space="0" w:color="auto"/>
                <w:right w:val="none" w:sz="0" w:space="0" w:color="auto"/>
              </w:divBdr>
            </w:div>
          </w:divsChild>
        </w:div>
        <w:div w:id="1120419404">
          <w:marLeft w:val="0"/>
          <w:marRight w:val="0"/>
          <w:marTop w:val="0"/>
          <w:marBottom w:val="150"/>
          <w:divBdr>
            <w:top w:val="none" w:sz="0" w:space="0" w:color="auto"/>
            <w:left w:val="none" w:sz="0" w:space="0" w:color="auto"/>
            <w:bottom w:val="none" w:sz="0" w:space="0" w:color="auto"/>
            <w:right w:val="none" w:sz="0" w:space="0" w:color="auto"/>
          </w:divBdr>
          <w:divsChild>
            <w:div w:id="54128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82590">
      <w:bodyDiv w:val="1"/>
      <w:marLeft w:val="0"/>
      <w:marRight w:val="0"/>
      <w:marTop w:val="0"/>
      <w:marBottom w:val="0"/>
      <w:divBdr>
        <w:top w:val="none" w:sz="0" w:space="0" w:color="auto"/>
        <w:left w:val="none" w:sz="0" w:space="0" w:color="auto"/>
        <w:bottom w:val="none" w:sz="0" w:space="0" w:color="auto"/>
        <w:right w:val="none" w:sz="0" w:space="0" w:color="auto"/>
      </w:divBdr>
      <w:divsChild>
        <w:div w:id="831457712">
          <w:marLeft w:val="0"/>
          <w:marRight w:val="0"/>
          <w:marTop w:val="0"/>
          <w:marBottom w:val="150"/>
          <w:divBdr>
            <w:top w:val="none" w:sz="0" w:space="0" w:color="auto"/>
            <w:left w:val="none" w:sz="0" w:space="0" w:color="auto"/>
            <w:bottom w:val="none" w:sz="0" w:space="0" w:color="auto"/>
            <w:right w:val="none" w:sz="0" w:space="0" w:color="auto"/>
          </w:divBdr>
          <w:divsChild>
            <w:div w:id="1351376580">
              <w:marLeft w:val="0"/>
              <w:marRight w:val="0"/>
              <w:marTop w:val="0"/>
              <w:marBottom w:val="0"/>
              <w:divBdr>
                <w:top w:val="none" w:sz="0" w:space="0" w:color="auto"/>
                <w:left w:val="none" w:sz="0" w:space="0" w:color="auto"/>
                <w:bottom w:val="none" w:sz="0" w:space="0" w:color="auto"/>
                <w:right w:val="none" w:sz="0" w:space="0" w:color="auto"/>
              </w:divBdr>
              <w:divsChild>
                <w:div w:id="60380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226172">
          <w:marLeft w:val="0"/>
          <w:marRight w:val="0"/>
          <w:marTop w:val="0"/>
          <w:marBottom w:val="150"/>
          <w:divBdr>
            <w:top w:val="none" w:sz="0" w:space="0" w:color="auto"/>
            <w:left w:val="none" w:sz="0" w:space="0" w:color="auto"/>
            <w:bottom w:val="none" w:sz="0" w:space="0" w:color="auto"/>
            <w:right w:val="none" w:sz="0" w:space="0" w:color="auto"/>
          </w:divBdr>
        </w:div>
        <w:div w:id="1223440846">
          <w:marLeft w:val="0"/>
          <w:marRight w:val="0"/>
          <w:marTop w:val="0"/>
          <w:marBottom w:val="0"/>
          <w:divBdr>
            <w:top w:val="none" w:sz="0" w:space="0" w:color="auto"/>
            <w:left w:val="none" w:sz="0" w:space="0" w:color="auto"/>
            <w:bottom w:val="none" w:sz="0" w:space="0" w:color="auto"/>
            <w:right w:val="none" w:sz="0" w:space="0" w:color="auto"/>
          </w:divBdr>
          <w:divsChild>
            <w:div w:id="5427186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93441141">
      <w:bodyDiv w:val="1"/>
      <w:marLeft w:val="0"/>
      <w:marRight w:val="0"/>
      <w:marTop w:val="0"/>
      <w:marBottom w:val="0"/>
      <w:divBdr>
        <w:top w:val="none" w:sz="0" w:space="0" w:color="auto"/>
        <w:left w:val="none" w:sz="0" w:space="0" w:color="auto"/>
        <w:bottom w:val="none" w:sz="0" w:space="0" w:color="auto"/>
        <w:right w:val="none" w:sz="0" w:space="0" w:color="auto"/>
      </w:divBdr>
    </w:div>
    <w:div w:id="593709112">
      <w:bodyDiv w:val="1"/>
      <w:marLeft w:val="0"/>
      <w:marRight w:val="0"/>
      <w:marTop w:val="0"/>
      <w:marBottom w:val="0"/>
      <w:divBdr>
        <w:top w:val="none" w:sz="0" w:space="0" w:color="auto"/>
        <w:left w:val="none" w:sz="0" w:space="0" w:color="auto"/>
        <w:bottom w:val="none" w:sz="0" w:space="0" w:color="auto"/>
        <w:right w:val="none" w:sz="0" w:space="0" w:color="auto"/>
      </w:divBdr>
    </w:div>
    <w:div w:id="593975154">
      <w:bodyDiv w:val="1"/>
      <w:marLeft w:val="0"/>
      <w:marRight w:val="0"/>
      <w:marTop w:val="0"/>
      <w:marBottom w:val="0"/>
      <w:divBdr>
        <w:top w:val="none" w:sz="0" w:space="0" w:color="auto"/>
        <w:left w:val="none" w:sz="0" w:space="0" w:color="auto"/>
        <w:bottom w:val="none" w:sz="0" w:space="0" w:color="auto"/>
        <w:right w:val="none" w:sz="0" w:space="0" w:color="auto"/>
      </w:divBdr>
      <w:divsChild>
        <w:div w:id="143817637">
          <w:marLeft w:val="0"/>
          <w:marRight w:val="0"/>
          <w:marTop w:val="0"/>
          <w:marBottom w:val="0"/>
          <w:divBdr>
            <w:top w:val="none" w:sz="0" w:space="0" w:color="auto"/>
            <w:left w:val="none" w:sz="0" w:space="0" w:color="auto"/>
            <w:bottom w:val="none" w:sz="0" w:space="0" w:color="auto"/>
            <w:right w:val="none" w:sz="0" w:space="0" w:color="auto"/>
          </w:divBdr>
        </w:div>
      </w:divsChild>
    </w:div>
    <w:div w:id="594097320">
      <w:bodyDiv w:val="1"/>
      <w:marLeft w:val="0"/>
      <w:marRight w:val="0"/>
      <w:marTop w:val="0"/>
      <w:marBottom w:val="0"/>
      <w:divBdr>
        <w:top w:val="none" w:sz="0" w:space="0" w:color="auto"/>
        <w:left w:val="none" w:sz="0" w:space="0" w:color="auto"/>
        <w:bottom w:val="none" w:sz="0" w:space="0" w:color="auto"/>
        <w:right w:val="none" w:sz="0" w:space="0" w:color="auto"/>
      </w:divBdr>
      <w:divsChild>
        <w:div w:id="455023542">
          <w:marLeft w:val="0"/>
          <w:marRight w:val="0"/>
          <w:marTop w:val="0"/>
          <w:marBottom w:val="0"/>
          <w:divBdr>
            <w:top w:val="none" w:sz="0" w:space="0" w:color="auto"/>
            <w:left w:val="none" w:sz="0" w:space="0" w:color="auto"/>
            <w:bottom w:val="none" w:sz="0" w:space="0" w:color="auto"/>
            <w:right w:val="none" w:sz="0" w:space="0" w:color="auto"/>
          </w:divBdr>
          <w:divsChild>
            <w:div w:id="90742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99241">
      <w:bodyDiv w:val="1"/>
      <w:marLeft w:val="0"/>
      <w:marRight w:val="0"/>
      <w:marTop w:val="0"/>
      <w:marBottom w:val="0"/>
      <w:divBdr>
        <w:top w:val="none" w:sz="0" w:space="0" w:color="auto"/>
        <w:left w:val="none" w:sz="0" w:space="0" w:color="auto"/>
        <w:bottom w:val="none" w:sz="0" w:space="0" w:color="auto"/>
        <w:right w:val="none" w:sz="0" w:space="0" w:color="auto"/>
      </w:divBdr>
      <w:divsChild>
        <w:div w:id="614676405">
          <w:marLeft w:val="0"/>
          <w:marRight w:val="0"/>
          <w:marTop w:val="0"/>
          <w:marBottom w:val="0"/>
          <w:divBdr>
            <w:top w:val="none" w:sz="0" w:space="0" w:color="auto"/>
            <w:left w:val="none" w:sz="0" w:space="0" w:color="auto"/>
            <w:bottom w:val="dotted" w:sz="6" w:space="4" w:color="DDDDDD"/>
            <w:right w:val="none" w:sz="0" w:space="0" w:color="auto"/>
          </w:divBdr>
          <w:divsChild>
            <w:div w:id="101122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674514">
      <w:bodyDiv w:val="1"/>
      <w:marLeft w:val="0"/>
      <w:marRight w:val="0"/>
      <w:marTop w:val="0"/>
      <w:marBottom w:val="0"/>
      <w:divBdr>
        <w:top w:val="none" w:sz="0" w:space="0" w:color="auto"/>
        <w:left w:val="none" w:sz="0" w:space="0" w:color="auto"/>
        <w:bottom w:val="none" w:sz="0" w:space="0" w:color="auto"/>
        <w:right w:val="none" w:sz="0" w:space="0" w:color="auto"/>
      </w:divBdr>
    </w:div>
    <w:div w:id="595017362">
      <w:bodyDiv w:val="1"/>
      <w:marLeft w:val="0"/>
      <w:marRight w:val="0"/>
      <w:marTop w:val="0"/>
      <w:marBottom w:val="0"/>
      <w:divBdr>
        <w:top w:val="none" w:sz="0" w:space="0" w:color="auto"/>
        <w:left w:val="none" w:sz="0" w:space="0" w:color="auto"/>
        <w:bottom w:val="none" w:sz="0" w:space="0" w:color="auto"/>
        <w:right w:val="none" w:sz="0" w:space="0" w:color="auto"/>
      </w:divBdr>
      <w:divsChild>
        <w:div w:id="1214923221">
          <w:marLeft w:val="0"/>
          <w:marRight w:val="0"/>
          <w:marTop w:val="0"/>
          <w:marBottom w:val="0"/>
          <w:divBdr>
            <w:top w:val="none" w:sz="0" w:space="0" w:color="auto"/>
            <w:left w:val="none" w:sz="0" w:space="0" w:color="auto"/>
            <w:bottom w:val="none" w:sz="0" w:space="0" w:color="auto"/>
            <w:right w:val="none" w:sz="0" w:space="0" w:color="auto"/>
          </w:divBdr>
        </w:div>
      </w:divsChild>
    </w:div>
    <w:div w:id="595289098">
      <w:bodyDiv w:val="1"/>
      <w:marLeft w:val="0"/>
      <w:marRight w:val="0"/>
      <w:marTop w:val="0"/>
      <w:marBottom w:val="0"/>
      <w:divBdr>
        <w:top w:val="none" w:sz="0" w:space="0" w:color="auto"/>
        <w:left w:val="none" w:sz="0" w:space="0" w:color="auto"/>
        <w:bottom w:val="none" w:sz="0" w:space="0" w:color="auto"/>
        <w:right w:val="none" w:sz="0" w:space="0" w:color="auto"/>
      </w:divBdr>
      <w:divsChild>
        <w:div w:id="108816532">
          <w:marLeft w:val="0"/>
          <w:marRight w:val="0"/>
          <w:marTop w:val="0"/>
          <w:marBottom w:val="150"/>
          <w:divBdr>
            <w:top w:val="none" w:sz="0" w:space="0" w:color="auto"/>
            <w:left w:val="none" w:sz="0" w:space="0" w:color="auto"/>
            <w:bottom w:val="none" w:sz="0" w:space="0" w:color="auto"/>
            <w:right w:val="none" w:sz="0" w:space="0" w:color="auto"/>
          </w:divBdr>
          <w:divsChild>
            <w:div w:id="1864518311">
              <w:marLeft w:val="0"/>
              <w:marRight w:val="0"/>
              <w:marTop w:val="0"/>
              <w:marBottom w:val="0"/>
              <w:divBdr>
                <w:top w:val="none" w:sz="0" w:space="0" w:color="auto"/>
                <w:left w:val="none" w:sz="0" w:space="0" w:color="auto"/>
                <w:bottom w:val="none" w:sz="0" w:space="0" w:color="auto"/>
                <w:right w:val="none" w:sz="0" w:space="0" w:color="auto"/>
              </w:divBdr>
              <w:divsChild>
                <w:div w:id="207843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05261">
          <w:marLeft w:val="0"/>
          <w:marRight w:val="0"/>
          <w:marTop w:val="0"/>
          <w:marBottom w:val="150"/>
          <w:divBdr>
            <w:top w:val="none" w:sz="0" w:space="0" w:color="auto"/>
            <w:left w:val="none" w:sz="0" w:space="0" w:color="auto"/>
            <w:bottom w:val="none" w:sz="0" w:space="0" w:color="auto"/>
            <w:right w:val="none" w:sz="0" w:space="0" w:color="auto"/>
          </w:divBdr>
        </w:div>
        <w:div w:id="1973094131">
          <w:marLeft w:val="0"/>
          <w:marRight w:val="0"/>
          <w:marTop w:val="0"/>
          <w:marBottom w:val="0"/>
          <w:divBdr>
            <w:top w:val="none" w:sz="0" w:space="0" w:color="auto"/>
            <w:left w:val="none" w:sz="0" w:space="0" w:color="auto"/>
            <w:bottom w:val="none" w:sz="0" w:space="0" w:color="auto"/>
            <w:right w:val="none" w:sz="0" w:space="0" w:color="auto"/>
          </w:divBdr>
          <w:divsChild>
            <w:div w:id="28974847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95483354">
      <w:bodyDiv w:val="1"/>
      <w:marLeft w:val="0"/>
      <w:marRight w:val="0"/>
      <w:marTop w:val="0"/>
      <w:marBottom w:val="0"/>
      <w:divBdr>
        <w:top w:val="none" w:sz="0" w:space="0" w:color="auto"/>
        <w:left w:val="none" w:sz="0" w:space="0" w:color="auto"/>
        <w:bottom w:val="none" w:sz="0" w:space="0" w:color="auto"/>
        <w:right w:val="none" w:sz="0" w:space="0" w:color="auto"/>
      </w:divBdr>
    </w:div>
    <w:div w:id="595483697">
      <w:bodyDiv w:val="1"/>
      <w:marLeft w:val="0"/>
      <w:marRight w:val="0"/>
      <w:marTop w:val="0"/>
      <w:marBottom w:val="0"/>
      <w:divBdr>
        <w:top w:val="none" w:sz="0" w:space="0" w:color="auto"/>
        <w:left w:val="none" w:sz="0" w:space="0" w:color="auto"/>
        <w:bottom w:val="none" w:sz="0" w:space="0" w:color="auto"/>
        <w:right w:val="none" w:sz="0" w:space="0" w:color="auto"/>
      </w:divBdr>
      <w:divsChild>
        <w:div w:id="310210542">
          <w:marLeft w:val="0"/>
          <w:marRight w:val="0"/>
          <w:marTop w:val="0"/>
          <w:marBottom w:val="225"/>
          <w:divBdr>
            <w:top w:val="none" w:sz="0" w:space="0" w:color="auto"/>
            <w:left w:val="none" w:sz="0" w:space="0" w:color="auto"/>
            <w:bottom w:val="none" w:sz="0" w:space="0" w:color="auto"/>
            <w:right w:val="none" w:sz="0" w:space="0" w:color="auto"/>
          </w:divBdr>
          <w:divsChild>
            <w:div w:id="1163276285">
              <w:marLeft w:val="0"/>
              <w:marRight w:val="0"/>
              <w:marTop w:val="0"/>
              <w:marBottom w:val="0"/>
              <w:divBdr>
                <w:top w:val="none" w:sz="0" w:space="0" w:color="auto"/>
                <w:left w:val="none" w:sz="0" w:space="0" w:color="auto"/>
                <w:bottom w:val="none" w:sz="0" w:space="0" w:color="auto"/>
                <w:right w:val="none" w:sz="0" w:space="0" w:color="auto"/>
              </w:divBdr>
              <w:divsChild>
                <w:div w:id="28725969">
                  <w:marLeft w:val="0"/>
                  <w:marRight w:val="0"/>
                  <w:marTop w:val="0"/>
                  <w:marBottom w:val="120"/>
                  <w:divBdr>
                    <w:top w:val="none" w:sz="0" w:space="0" w:color="auto"/>
                    <w:left w:val="none" w:sz="0" w:space="0" w:color="auto"/>
                    <w:bottom w:val="none" w:sz="0" w:space="0" w:color="auto"/>
                    <w:right w:val="none" w:sz="0" w:space="0" w:color="auto"/>
                  </w:divBdr>
                </w:div>
                <w:div w:id="1321614439">
                  <w:marLeft w:val="0"/>
                  <w:marRight w:val="0"/>
                  <w:marTop w:val="0"/>
                  <w:marBottom w:val="0"/>
                  <w:divBdr>
                    <w:top w:val="none" w:sz="0" w:space="0" w:color="auto"/>
                    <w:left w:val="none" w:sz="0" w:space="0" w:color="auto"/>
                    <w:bottom w:val="none" w:sz="0" w:space="0" w:color="auto"/>
                    <w:right w:val="none" w:sz="0" w:space="0" w:color="auto"/>
                  </w:divBdr>
                  <w:divsChild>
                    <w:div w:id="1356731856">
                      <w:marLeft w:val="0"/>
                      <w:marRight w:val="0"/>
                      <w:marTop w:val="0"/>
                      <w:marBottom w:val="0"/>
                      <w:divBdr>
                        <w:top w:val="none" w:sz="0" w:space="0" w:color="auto"/>
                        <w:left w:val="none" w:sz="0" w:space="0" w:color="auto"/>
                        <w:bottom w:val="none" w:sz="0" w:space="0" w:color="auto"/>
                        <w:right w:val="none" w:sz="0" w:space="0" w:color="auto"/>
                      </w:divBdr>
                      <w:divsChild>
                        <w:div w:id="681979132">
                          <w:marLeft w:val="0"/>
                          <w:marRight w:val="0"/>
                          <w:marTop w:val="0"/>
                          <w:marBottom w:val="0"/>
                          <w:divBdr>
                            <w:top w:val="none" w:sz="0" w:space="0" w:color="auto"/>
                            <w:left w:val="none" w:sz="0" w:space="0" w:color="auto"/>
                            <w:bottom w:val="none" w:sz="0" w:space="0" w:color="auto"/>
                            <w:right w:val="none" w:sz="0" w:space="0" w:color="auto"/>
                          </w:divBdr>
                          <w:divsChild>
                            <w:div w:id="1609502038">
                              <w:marLeft w:val="0"/>
                              <w:marRight w:val="0"/>
                              <w:marTop w:val="0"/>
                              <w:marBottom w:val="0"/>
                              <w:divBdr>
                                <w:top w:val="none" w:sz="0" w:space="0" w:color="auto"/>
                                <w:left w:val="none" w:sz="0" w:space="0" w:color="auto"/>
                                <w:bottom w:val="none" w:sz="0" w:space="0" w:color="auto"/>
                                <w:right w:val="none" w:sz="0" w:space="0" w:color="auto"/>
                              </w:divBdr>
                              <w:divsChild>
                                <w:div w:id="111464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5598378">
      <w:bodyDiv w:val="1"/>
      <w:marLeft w:val="0"/>
      <w:marRight w:val="0"/>
      <w:marTop w:val="0"/>
      <w:marBottom w:val="0"/>
      <w:divBdr>
        <w:top w:val="none" w:sz="0" w:space="0" w:color="auto"/>
        <w:left w:val="none" w:sz="0" w:space="0" w:color="auto"/>
        <w:bottom w:val="none" w:sz="0" w:space="0" w:color="auto"/>
        <w:right w:val="none" w:sz="0" w:space="0" w:color="auto"/>
      </w:divBdr>
    </w:div>
    <w:div w:id="595602823">
      <w:bodyDiv w:val="1"/>
      <w:marLeft w:val="0"/>
      <w:marRight w:val="0"/>
      <w:marTop w:val="0"/>
      <w:marBottom w:val="0"/>
      <w:divBdr>
        <w:top w:val="none" w:sz="0" w:space="0" w:color="auto"/>
        <w:left w:val="none" w:sz="0" w:space="0" w:color="auto"/>
        <w:bottom w:val="none" w:sz="0" w:space="0" w:color="auto"/>
        <w:right w:val="none" w:sz="0" w:space="0" w:color="auto"/>
      </w:divBdr>
      <w:divsChild>
        <w:div w:id="1617709656">
          <w:marLeft w:val="0"/>
          <w:marRight w:val="0"/>
          <w:marTop w:val="0"/>
          <w:marBottom w:val="0"/>
          <w:divBdr>
            <w:top w:val="none" w:sz="0" w:space="0" w:color="auto"/>
            <w:left w:val="none" w:sz="0" w:space="0" w:color="auto"/>
            <w:bottom w:val="dotted" w:sz="6" w:space="4" w:color="DDDDDD"/>
            <w:right w:val="none" w:sz="0" w:space="0" w:color="auto"/>
          </w:divBdr>
        </w:div>
      </w:divsChild>
    </w:div>
    <w:div w:id="595987767">
      <w:bodyDiv w:val="1"/>
      <w:marLeft w:val="0"/>
      <w:marRight w:val="0"/>
      <w:marTop w:val="0"/>
      <w:marBottom w:val="0"/>
      <w:divBdr>
        <w:top w:val="none" w:sz="0" w:space="0" w:color="auto"/>
        <w:left w:val="none" w:sz="0" w:space="0" w:color="auto"/>
        <w:bottom w:val="none" w:sz="0" w:space="0" w:color="auto"/>
        <w:right w:val="none" w:sz="0" w:space="0" w:color="auto"/>
      </w:divBdr>
      <w:divsChild>
        <w:div w:id="2070952283">
          <w:marLeft w:val="0"/>
          <w:marRight w:val="0"/>
          <w:marTop w:val="0"/>
          <w:marBottom w:val="225"/>
          <w:divBdr>
            <w:top w:val="none" w:sz="0" w:space="0" w:color="auto"/>
            <w:left w:val="none" w:sz="0" w:space="0" w:color="auto"/>
            <w:bottom w:val="none" w:sz="0" w:space="0" w:color="auto"/>
            <w:right w:val="none" w:sz="0" w:space="0" w:color="auto"/>
          </w:divBdr>
        </w:div>
        <w:div w:id="174156531">
          <w:marLeft w:val="0"/>
          <w:marRight w:val="0"/>
          <w:marTop w:val="0"/>
          <w:marBottom w:val="225"/>
          <w:divBdr>
            <w:top w:val="none" w:sz="0" w:space="0" w:color="auto"/>
            <w:left w:val="none" w:sz="0" w:space="0" w:color="auto"/>
            <w:bottom w:val="none" w:sz="0" w:space="0" w:color="auto"/>
            <w:right w:val="none" w:sz="0" w:space="0" w:color="auto"/>
          </w:divBdr>
          <w:divsChild>
            <w:div w:id="2062290174">
              <w:marLeft w:val="0"/>
              <w:marRight w:val="0"/>
              <w:marTop w:val="0"/>
              <w:marBottom w:val="0"/>
              <w:divBdr>
                <w:top w:val="none" w:sz="0" w:space="0" w:color="auto"/>
                <w:left w:val="none" w:sz="0" w:space="0" w:color="auto"/>
                <w:bottom w:val="none" w:sz="0" w:space="0" w:color="auto"/>
                <w:right w:val="none" w:sz="0" w:space="0" w:color="auto"/>
              </w:divBdr>
              <w:divsChild>
                <w:div w:id="143971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714459">
      <w:bodyDiv w:val="1"/>
      <w:marLeft w:val="0"/>
      <w:marRight w:val="0"/>
      <w:marTop w:val="0"/>
      <w:marBottom w:val="0"/>
      <w:divBdr>
        <w:top w:val="none" w:sz="0" w:space="0" w:color="auto"/>
        <w:left w:val="none" w:sz="0" w:space="0" w:color="auto"/>
        <w:bottom w:val="none" w:sz="0" w:space="0" w:color="auto"/>
        <w:right w:val="none" w:sz="0" w:space="0" w:color="auto"/>
      </w:divBdr>
    </w:div>
    <w:div w:id="597829498">
      <w:bodyDiv w:val="1"/>
      <w:marLeft w:val="0"/>
      <w:marRight w:val="0"/>
      <w:marTop w:val="0"/>
      <w:marBottom w:val="0"/>
      <w:divBdr>
        <w:top w:val="none" w:sz="0" w:space="0" w:color="auto"/>
        <w:left w:val="none" w:sz="0" w:space="0" w:color="auto"/>
        <w:bottom w:val="none" w:sz="0" w:space="0" w:color="auto"/>
        <w:right w:val="none" w:sz="0" w:space="0" w:color="auto"/>
      </w:divBdr>
      <w:divsChild>
        <w:div w:id="295724874">
          <w:marLeft w:val="0"/>
          <w:marRight w:val="0"/>
          <w:marTop w:val="0"/>
          <w:marBottom w:val="0"/>
          <w:divBdr>
            <w:top w:val="none" w:sz="0" w:space="0" w:color="auto"/>
            <w:left w:val="none" w:sz="0" w:space="0" w:color="auto"/>
            <w:bottom w:val="dotted" w:sz="6" w:space="4" w:color="DDDDDD"/>
            <w:right w:val="none" w:sz="0" w:space="0" w:color="auto"/>
          </w:divBdr>
        </w:div>
      </w:divsChild>
    </w:div>
    <w:div w:id="597981347">
      <w:bodyDiv w:val="1"/>
      <w:marLeft w:val="0"/>
      <w:marRight w:val="0"/>
      <w:marTop w:val="0"/>
      <w:marBottom w:val="0"/>
      <w:divBdr>
        <w:top w:val="none" w:sz="0" w:space="0" w:color="auto"/>
        <w:left w:val="none" w:sz="0" w:space="0" w:color="auto"/>
        <w:bottom w:val="none" w:sz="0" w:space="0" w:color="auto"/>
        <w:right w:val="none" w:sz="0" w:space="0" w:color="auto"/>
      </w:divBdr>
    </w:div>
    <w:div w:id="597983176">
      <w:bodyDiv w:val="1"/>
      <w:marLeft w:val="0"/>
      <w:marRight w:val="0"/>
      <w:marTop w:val="0"/>
      <w:marBottom w:val="0"/>
      <w:divBdr>
        <w:top w:val="none" w:sz="0" w:space="0" w:color="auto"/>
        <w:left w:val="none" w:sz="0" w:space="0" w:color="auto"/>
        <w:bottom w:val="none" w:sz="0" w:space="0" w:color="auto"/>
        <w:right w:val="none" w:sz="0" w:space="0" w:color="auto"/>
      </w:divBdr>
      <w:divsChild>
        <w:div w:id="1676346674">
          <w:marLeft w:val="0"/>
          <w:marRight w:val="0"/>
          <w:marTop w:val="0"/>
          <w:marBottom w:val="450"/>
          <w:divBdr>
            <w:top w:val="none" w:sz="0" w:space="0" w:color="auto"/>
            <w:left w:val="none" w:sz="0" w:space="0" w:color="auto"/>
            <w:bottom w:val="single" w:sz="6" w:space="19" w:color="EEEEEE"/>
            <w:right w:val="none" w:sz="0" w:space="0" w:color="auto"/>
          </w:divBdr>
          <w:divsChild>
            <w:div w:id="1839299619">
              <w:marLeft w:val="0"/>
              <w:marRight w:val="0"/>
              <w:marTop w:val="0"/>
              <w:marBottom w:val="150"/>
              <w:divBdr>
                <w:top w:val="none" w:sz="0" w:space="0" w:color="auto"/>
                <w:left w:val="none" w:sz="0" w:space="0" w:color="auto"/>
                <w:bottom w:val="none" w:sz="0" w:space="0" w:color="auto"/>
                <w:right w:val="none" w:sz="0" w:space="0" w:color="auto"/>
              </w:divBdr>
              <w:divsChild>
                <w:div w:id="1344087309">
                  <w:marLeft w:val="0"/>
                  <w:marRight w:val="0"/>
                  <w:marTop w:val="0"/>
                  <w:marBottom w:val="0"/>
                  <w:divBdr>
                    <w:top w:val="none" w:sz="0" w:space="0" w:color="auto"/>
                    <w:left w:val="none" w:sz="0" w:space="0" w:color="auto"/>
                    <w:bottom w:val="none" w:sz="0" w:space="0" w:color="auto"/>
                    <w:right w:val="none" w:sz="0" w:space="0" w:color="auto"/>
                  </w:divBdr>
                </w:div>
              </w:divsChild>
            </w:div>
            <w:div w:id="1771505737">
              <w:marLeft w:val="0"/>
              <w:marRight w:val="0"/>
              <w:marTop w:val="0"/>
              <w:marBottom w:val="0"/>
              <w:divBdr>
                <w:top w:val="none" w:sz="0" w:space="0" w:color="auto"/>
                <w:left w:val="none" w:sz="0" w:space="0" w:color="auto"/>
                <w:bottom w:val="none" w:sz="0" w:space="0" w:color="auto"/>
                <w:right w:val="none" w:sz="0" w:space="0" w:color="auto"/>
              </w:divBdr>
            </w:div>
          </w:divsChild>
        </w:div>
        <w:div w:id="599605670">
          <w:marLeft w:val="0"/>
          <w:marRight w:val="0"/>
          <w:marTop w:val="0"/>
          <w:marBottom w:val="0"/>
          <w:divBdr>
            <w:top w:val="none" w:sz="0" w:space="0" w:color="auto"/>
            <w:left w:val="none" w:sz="0" w:space="0" w:color="auto"/>
            <w:bottom w:val="none" w:sz="0" w:space="0" w:color="auto"/>
            <w:right w:val="none" w:sz="0" w:space="0" w:color="auto"/>
          </w:divBdr>
          <w:divsChild>
            <w:div w:id="668601726">
              <w:marLeft w:val="0"/>
              <w:marRight w:val="0"/>
              <w:marTop w:val="0"/>
              <w:marBottom w:val="0"/>
              <w:divBdr>
                <w:top w:val="none" w:sz="0" w:space="0" w:color="auto"/>
                <w:left w:val="none" w:sz="0" w:space="0" w:color="auto"/>
                <w:bottom w:val="none" w:sz="0" w:space="0" w:color="auto"/>
                <w:right w:val="none" w:sz="0" w:space="0" w:color="auto"/>
              </w:divBdr>
              <w:divsChild>
                <w:div w:id="126472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562040">
      <w:bodyDiv w:val="1"/>
      <w:marLeft w:val="0"/>
      <w:marRight w:val="0"/>
      <w:marTop w:val="0"/>
      <w:marBottom w:val="0"/>
      <w:divBdr>
        <w:top w:val="none" w:sz="0" w:space="0" w:color="auto"/>
        <w:left w:val="none" w:sz="0" w:space="0" w:color="auto"/>
        <w:bottom w:val="none" w:sz="0" w:space="0" w:color="auto"/>
        <w:right w:val="none" w:sz="0" w:space="0" w:color="auto"/>
      </w:divBdr>
      <w:divsChild>
        <w:div w:id="343557703">
          <w:marLeft w:val="0"/>
          <w:marRight w:val="0"/>
          <w:marTop w:val="0"/>
          <w:marBottom w:val="0"/>
          <w:divBdr>
            <w:top w:val="none" w:sz="0" w:space="0" w:color="auto"/>
            <w:left w:val="none" w:sz="0" w:space="0" w:color="auto"/>
            <w:bottom w:val="none" w:sz="0" w:space="0" w:color="auto"/>
            <w:right w:val="none" w:sz="0" w:space="0" w:color="auto"/>
          </w:divBdr>
          <w:divsChild>
            <w:div w:id="2083259956">
              <w:marLeft w:val="0"/>
              <w:marRight w:val="0"/>
              <w:marTop w:val="0"/>
              <w:marBottom w:val="0"/>
              <w:divBdr>
                <w:top w:val="none" w:sz="0" w:space="0" w:color="auto"/>
                <w:left w:val="none" w:sz="0" w:space="0" w:color="auto"/>
                <w:bottom w:val="none" w:sz="0" w:space="0" w:color="auto"/>
                <w:right w:val="none" w:sz="0" w:space="0" w:color="auto"/>
              </w:divBdr>
            </w:div>
          </w:divsChild>
        </w:div>
        <w:div w:id="1498959920">
          <w:marLeft w:val="0"/>
          <w:marRight w:val="0"/>
          <w:marTop w:val="0"/>
          <w:marBottom w:val="150"/>
          <w:divBdr>
            <w:top w:val="none" w:sz="0" w:space="0" w:color="auto"/>
            <w:left w:val="none" w:sz="0" w:space="0" w:color="auto"/>
            <w:bottom w:val="none" w:sz="0" w:space="0" w:color="auto"/>
            <w:right w:val="none" w:sz="0" w:space="0" w:color="auto"/>
          </w:divBdr>
        </w:div>
        <w:div w:id="2135051138">
          <w:marLeft w:val="0"/>
          <w:marRight w:val="0"/>
          <w:marTop w:val="0"/>
          <w:marBottom w:val="150"/>
          <w:divBdr>
            <w:top w:val="none" w:sz="0" w:space="0" w:color="auto"/>
            <w:left w:val="none" w:sz="0" w:space="0" w:color="auto"/>
            <w:bottom w:val="none" w:sz="0" w:space="0" w:color="auto"/>
            <w:right w:val="none" w:sz="0" w:space="0" w:color="auto"/>
          </w:divBdr>
          <w:divsChild>
            <w:div w:id="143058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830980">
      <w:bodyDiv w:val="1"/>
      <w:marLeft w:val="0"/>
      <w:marRight w:val="0"/>
      <w:marTop w:val="0"/>
      <w:marBottom w:val="0"/>
      <w:divBdr>
        <w:top w:val="none" w:sz="0" w:space="0" w:color="auto"/>
        <w:left w:val="none" w:sz="0" w:space="0" w:color="auto"/>
        <w:bottom w:val="none" w:sz="0" w:space="0" w:color="auto"/>
        <w:right w:val="none" w:sz="0" w:space="0" w:color="auto"/>
      </w:divBdr>
      <w:divsChild>
        <w:div w:id="985627247">
          <w:marLeft w:val="0"/>
          <w:marRight w:val="0"/>
          <w:marTop w:val="0"/>
          <w:marBottom w:val="0"/>
          <w:divBdr>
            <w:top w:val="none" w:sz="0" w:space="0" w:color="auto"/>
            <w:left w:val="none" w:sz="0" w:space="0" w:color="auto"/>
            <w:bottom w:val="none" w:sz="0" w:space="0" w:color="auto"/>
            <w:right w:val="none" w:sz="0" w:space="0" w:color="auto"/>
          </w:divBdr>
          <w:divsChild>
            <w:div w:id="186676841">
              <w:marLeft w:val="0"/>
              <w:marRight w:val="0"/>
              <w:marTop w:val="0"/>
              <w:marBottom w:val="0"/>
              <w:divBdr>
                <w:top w:val="none" w:sz="0" w:space="0" w:color="auto"/>
                <w:left w:val="none" w:sz="0" w:space="0" w:color="auto"/>
                <w:bottom w:val="none" w:sz="0" w:space="0" w:color="auto"/>
                <w:right w:val="none" w:sz="0" w:space="0" w:color="auto"/>
              </w:divBdr>
              <w:divsChild>
                <w:div w:id="1227298801">
                  <w:marLeft w:val="0"/>
                  <w:marRight w:val="0"/>
                  <w:marTop w:val="0"/>
                  <w:marBottom w:val="0"/>
                  <w:divBdr>
                    <w:top w:val="none" w:sz="0" w:space="0" w:color="auto"/>
                    <w:left w:val="none" w:sz="0" w:space="0" w:color="auto"/>
                    <w:bottom w:val="none" w:sz="0" w:space="0" w:color="auto"/>
                    <w:right w:val="none" w:sz="0" w:space="0" w:color="auto"/>
                  </w:divBdr>
                  <w:divsChild>
                    <w:div w:id="966354870">
                      <w:marLeft w:val="0"/>
                      <w:marRight w:val="0"/>
                      <w:marTop w:val="0"/>
                      <w:marBottom w:val="0"/>
                      <w:divBdr>
                        <w:top w:val="none" w:sz="0" w:space="0" w:color="auto"/>
                        <w:left w:val="none" w:sz="0" w:space="0" w:color="auto"/>
                        <w:bottom w:val="none" w:sz="0" w:space="0" w:color="auto"/>
                        <w:right w:val="none" w:sz="0" w:space="0" w:color="auto"/>
                      </w:divBdr>
                      <w:divsChild>
                        <w:div w:id="203716204">
                          <w:marLeft w:val="0"/>
                          <w:marRight w:val="0"/>
                          <w:marTop w:val="0"/>
                          <w:marBottom w:val="0"/>
                          <w:divBdr>
                            <w:top w:val="none" w:sz="0" w:space="0" w:color="auto"/>
                            <w:left w:val="none" w:sz="0" w:space="0" w:color="auto"/>
                            <w:bottom w:val="none" w:sz="0" w:space="0" w:color="auto"/>
                            <w:right w:val="none" w:sz="0" w:space="0" w:color="auto"/>
                          </w:divBdr>
                          <w:divsChild>
                            <w:div w:id="25759175">
                              <w:marLeft w:val="0"/>
                              <w:marRight w:val="0"/>
                              <w:marTop w:val="0"/>
                              <w:marBottom w:val="0"/>
                              <w:divBdr>
                                <w:top w:val="none" w:sz="0" w:space="0" w:color="auto"/>
                                <w:left w:val="none" w:sz="0" w:space="0" w:color="auto"/>
                                <w:bottom w:val="none" w:sz="0" w:space="0" w:color="auto"/>
                                <w:right w:val="none" w:sz="0" w:space="0" w:color="auto"/>
                              </w:divBdr>
                              <w:divsChild>
                                <w:div w:id="1126851701">
                                  <w:marLeft w:val="0"/>
                                  <w:marRight w:val="0"/>
                                  <w:marTop w:val="0"/>
                                  <w:marBottom w:val="0"/>
                                  <w:divBdr>
                                    <w:top w:val="none" w:sz="0" w:space="0" w:color="auto"/>
                                    <w:left w:val="none" w:sz="0" w:space="0" w:color="auto"/>
                                    <w:bottom w:val="none" w:sz="0" w:space="0" w:color="auto"/>
                                    <w:right w:val="none" w:sz="0" w:space="0" w:color="auto"/>
                                  </w:divBdr>
                                  <w:divsChild>
                                    <w:div w:id="764809636">
                                      <w:marLeft w:val="0"/>
                                      <w:marRight w:val="0"/>
                                      <w:marTop w:val="0"/>
                                      <w:marBottom w:val="0"/>
                                      <w:divBdr>
                                        <w:top w:val="none" w:sz="0" w:space="0" w:color="auto"/>
                                        <w:left w:val="none" w:sz="0" w:space="0" w:color="auto"/>
                                        <w:bottom w:val="none" w:sz="0" w:space="0" w:color="auto"/>
                                        <w:right w:val="none" w:sz="0" w:space="0" w:color="auto"/>
                                      </w:divBdr>
                                      <w:divsChild>
                                        <w:div w:id="73632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9146756">
      <w:bodyDiv w:val="1"/>
      <w:marLeft w:val="0"/>
      <w:marRight w:val="0"/>
      <w:marTop w:val="0"/>
      <w:marBottom w:val="0"/>
      <w:divBdr>
        <w:top w:val="none" w:sz="0" w:space="0" w:color="auto"/>
        <w:left w:val="none" w:sz="0" w:space="0" w:color="auto"/>
        <w:bottom w:val="none" w:sz="0" w:space="0" w:color="auto"/>
        <w:right w:val="none" w:sz="0" w:space="0" w:color="auto"/>
      </w:divBdr>
      <w:divsChild>
        <w:div w:id="384456087">
          <w:marLeft w:val="0"/>
          <w:marRight w:val="0"/>
          <w:marTop w:val="0"/>
          <w:marBottom w:val="0"/>
          <w:divBdr>
            <w:top w:val="none" w:sz="0" w:space="0" w:color="auto"/>
            <w:left w:val="none" w:sz="0" w:space="0" w:color="auto"/>
            <w:bottom w:val="none" w:sz="0" w:space="0" w:color="auto"/>
            <w:right w:val="none" w:sz="0" w:space="0" w:color="auto"/>
          </w:divBdr>
          <w:divsChild>
            <w:div w:id="288584709">
              <w:marLeft w:val="0"/>
              <w:marRight w:val="0"/>
              <w:marTop w:val="0"/>
              <w:marBottom w:val="0"/>
              <w:divBdr>
                <w:top w:val="none" w:sz="0" w:space="0" w:color="auto"/>
                <w:left w:val="none" w:sz="0" w:space="0" w:color="auto"/>
                <w:bottom w:val="none" w:sz="0" w:space="0" w:color="auto"/>
                <w:right w:val="none" w:sz="0" w:space="0" w:color="auto"/>
              </w:divBdr>
              <w:divsChild>
                <w:div w:id="1983919995">
                  <w:marLeft w:val="0"/>
                  <w:marRight w:val="0"/>
                  <w:marTop w:val="0"/>
                  <w:marBottom w:val="0"/>
                  <w:divBdr>
                    <w:top w:val="none" w:sz="0" w:space="0" w:color="auto"/>
                    <w:left w:val="none" w:sz="0" w:space="0" w:color="auto"/>
                    <w:bottom w:val="none" w:sz="0" w:space="0" w:color="auto"/>
                    <w:right w:val="none" w:sz="0" w:space="0" w:color="auto"/>
                  </w:divBdr>
                  <w:divsChild>
                    <w:div w:id="639384560">
                      <w:marLeft w:val="0"/>
                      <w:marRight w:val="0"/>
                      <w:marTop w:val="0"/>
                      <w:marBottom w:val="0"/>
                      <w:divBdr>
                        <w:top w:val="none" w:sz="0" w:space="0" w:color="auto"/>
                        <w:left w:val="none" w:sz="0" w:space="0" w:color="auto"/>
                        <w:bottom w:val="none" w:sz="0" w:space="0" w:color="auto"/>
                        <w:right w:val="none" w:sz="0" w:space="0" w:color="auto"/>
                      </w:divBdr>
                      <w:divsChild>
                        <w:div w:id="1218205236">
                          <w:marLeft w:val="0"/>
                          <w:marRight w:val="0"/>
                          <w:marTop w:val="0"/>
                          <w:marBottom w:val="0"/>
                          <w:divBdr>
                            <w:top w:val="none" w:sz="0" w:space="0" w:color="auto"/>
                            <w:left w:val="none" w:sz="0" w:space="0" w:color="auto"/>
                            <w:bottom w:val="none" w:sz="0" w:space="0" w:color="auto"/>
                            <w:right w:val="none" w:sz="0" w:space="0" w:color="auto"/>
                          </w:divBdr>
                          <w:divsChild>
                            <w:div w:id="116752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219517">
      <w:bodyDiv w:val="1"/>
      <w:marLeft w:val="0"/>
      <w:marRight w:val="0"/>
      <w:marTop w:val="0"/>
      <w:marBottom w:val="0"/>
      <w:divBdr>
        <w:top w:val="none" w:sz="0" w:space="0" w:color="auto"/>
        <w:left w:val="none" w:sz="0" w:space="0" w:color="auto"/>
        <w:bottom w:val="none" w:sz="0" w:space="0" w:color="auto"/>
        <w:right w:val="none" w:sz="0" w:space="0" w:color="auto"/>
      </w:divBdr>
      <w:divsChild>
        <w:div w:id="1816604052">
          <w:marLeft w:val="0"/>
          <w:marRight w:val="0"/>
          <w:marTop w:val="0"/>
          <w:marBottom w:val="0"/>
          <w:divBdr>
            <w:top w:val="none" w:sz="0" w:space="0" w:color="auto"/>
            <w:left w:val="none" w:sz="0" w:space="0" w:color="auto"/>
            <w:bottom w:val="dotted" w:sz="6" w:space="4" w:color="DDDDDD"/>
            <w:right w:val="none" w:sz="0" w:space="0" w:color="auto"/>
          </w:divBdr>
        </w:div>
      </w:divsChild>
    </w:div>
    <w:div w:id="599263057">
      <w:bodyDiv w:val="1"/>
      <w:marLeft w:val="0"/>
      <w:marRight w:val="0"/>
      <w:marTop w:val="0"/>
      <w:marBottom w:val="0"/>
      <w:divBdr>
        <w:top w:val="none" w:sz="0" w:space="0" w:color="auto"/>
        <w:left w:val="none" w:sz="0" w:space="0" w:color="auto"/>
        <w:bottom w:val="none" w:sz="0" w:space="0" w:color="auto"/>
        <w:right w:val="none" w:sz="0" w:space="0" w:color="auto"/>
      </w:divBdr>
      <w:divsChild>
        <w:div w:id="451748560">
          <w:marLeft w:val="0"/>
          <w:marRight w:val="0"/>
          <w:marTop w:val="0"/>
          <w:marBottom w:val="0"/>
          <w:divBdr>
            <w:top w:val="none" w:sz="0" w:space="0" w:color="auto"/>
            <w:left w:val="none" w:sz="0" w:space="0" w:color="auto"/>
            <w:bottom w:val="none" w:sz="0" w:space="0" w:color="auto"/>
            <w:right w:val="none" w:sz="0" w:space="0" w:color="auto"/>
          </w:divBdr>
        </w:div>
      </w:divsChild>
    </w:div>
    <w:div w:id="599724755">
      <w:bodyDiv w:val="1"/>
      <w:marLeft w:val="0"/>
      <w:marRight w:val="0"/>
      <w:marTop w:val="0"/>
      <w:marBottom w:val="0"/>
      <w:divBdr>
        <w:top w:val="none" w:sz="0" w:space="0" w:color="auto"/>
        <w:left w:val="none" w:sz="0" w:space="0" w:color="auto"/>
        <w:bottom w:val="none" w:sz="0" w:space="0" w:color="auto"/>
        <w:right w:val="none" w:sz="0" w:space="0" w:color="auto"/>
      </w:divBdr>
      <w:divsChild>
        <w:div w:id="568610844">
          <w:marLeft w:val="0"/>
          <w:marRight w:val="0"/>
          <w:marTop w:val="0"/>
          <w:marBottom w:val="225"/>
          <w:divBdr>
            <w:top w:val="none" w:sz="0" w:space="0" w:color="auto"/>
            <w:left w:val="none" w:sz="0" w:space="0" w:color="auto"/>
            <w:bottom w:val="none" w:sz="0" w:space="0" w:color="auto"/>
            <w:right w:val="none" w:sz="0" w:space="0" w:color="auto"/>
          </w:divBdr>
        </w:div>
        <w:div w:id="58598600">
          <w:marLeft w:val="0"/>
          <w:marRight w:val="0"/>
          <w:marTop w:val="0"/>
          <w:marBottom w:val="225"/>
          <w:divBdr>
            <w:top w:val="none" w:sz="0" w:space="0" w:color="auto"/>
            <w:left w:val="none" w:sz="0" w:space="0" w:color="auto"/>
            <w:bottom w:val="none" w:sz="0" w:space="0" w:color="auto"/>
            <w:right w:val="none" w:sz="0" w:space="0" w:color="auto"/>
          </w:divBdr>
          <w:divsChild>
            <w:div w:id="1753163745">
              <w:marLeft w:val="0"/>
              <w:marRight w:val="0"/>
              <w:marTop w:val="0"/>
              <w:marBottom w:val="0"/>
              <w:divBdr>
                <w:top w:val="none" w:sz="0" w:space="0" w:color="auto"/>
                <w:left w:val="none" w:sz="0" w:space="0" w:color="auto"/>
                <w:bottom w:val="none" w:sz="0" w:space="0" w:color="auto"/>
                <w:right w:val="none" w:sz="0" w:space="0" w:color="auto"/>
              </w:divBdr>
              <w:divsChild>
                <w:div w:id="152181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145553">
      <w:bodyDiv w:val="1"/>
      <w:marLeft w:val="0"/>
      <w:marRight w:val="0"/>
      <w:marTop w:val="0"/>
      <w:marBottom w:val="0"/>
      <w:divBdr>
        <w:top w:val="none" w:sz="0" w:space="0" w:color="auto"/>
        <w:left w:val="none" w:sz="0" w:space="0" w:color="auto"/>
        <w:bottom w:val="none" w:sz="0" w:space="0" w:color="auto"/>
        <w:right w:val="none" w:sz="0" w:space="0" w:color="auto"/>
      </w:divBdr>
      <w:divsChild>
        <w:div w:id="366566488">
          <w:marLeft w:val="0"/>
          <w:marRight w:val="0"/>
          <w:marTop w:val="0"/>
          <w:marBottom w:val="450"/>
          <w:divBdr>
            <w:top w:val="none" w:sz="0" w:space="0" w:color="auto"/>
            <w:left w:val="none" w:sz="0" w:space="0" w:color="auto"/>
            <w:bottom w:val="single" w:sz="6" w:space="19" w:color="EEEEEE"/>
            <w:right w:val="none" w:sz="0" w:space="0" w:color="auto"/>
          </w:divBdr>
          <w:divsChild>
            <w:div w:id="313293140">
              <w:marLeft w:val="0"/>
              <w:marRight w:val="0"/>
              <w:marTop w:val="0"/>
              <w:marBottom w:val="150"/>
              <w:divBdr>
                <w:top w:val="none" w:sz="0" w:space="0" w:color="auto"/>
                <w:left w:val="none" w:sz="0" w:space="0" w:color="auto"/>
                <w:bottom w:val="none" w:sz="0" w:space="0" w:color="auto"/>
                <w:right w:val="none" w:sz="0" w:space="0" w:color="auto"/>
              </w:divBdr>
              <w:divsChild>
                <w:div w:id="484594054">
                  <w:marLeft w:val="0"/>
                  <w:marRight w:val="0"/>
                  <w:marTop w:val="0"/>
                  <w:marBottom w:val="0"/>
                  <w:divBdr>
                    <w:top w:val="none" w:sz="0" w:space="0" w:color="auto"/>
                    <w:left w:val="none" w:sz="0" w:space="0" w:color="auto"/>
                    <w:bottom w:val="none" w:sz="0" w:space="0" w:color="auto"/>
                    <w:right w:val="none" w:sz="0" w:space="0" w:color="auto"/>
                  </w:divBdr>
                </w:div>
              </w:divsChild>
            </w:div>
            <w:div w:id="923879633">
              <w:marLeft w:val="0"/>
              <w:marRight w:val="0"/>
              <w:marTop w:val="0"/>
              <w:marBottom w:val="0"/>
              <w:divBdr>
                <w:top w:val="none" w:sz="0" w:space="0" w:color="auto"/>
                <w:left w:val="none" w:sz="0" w:space="0" w:color="auto"/>
                <w:bottom w:val="none" w:sz="0" w:space="0" w:color="auto"/>
                <w:right w:val="none" w:sz="0" w:space="0" w:color="auto"/>
              </w:divBdr>
            </w:div>
          </w:divsChild>
        </w:div>
        <w:div w:id="1009140518">
          <w:marLeft w:val="0"/>
          <w:marRight w:val="0"/>
          <w:marTop w:val="0"/>
          <w:marBottom w:val="0"/>
          <w:divBdr>
            <w:top w:val="none" w:sz="0" w:space="0" w:color="auto"/>
            <w:left w:val="none" w:sz="0" w:space="0" w:color="auto"/>
            <w:bottom w:val="none" w:sz="0" w:space="0" w:color="auto"/>
            <w:right w:val="none" w:sz="0" w:space="0" w:color="auto"/>
          </w:divBdr>
          <w:divsChild>
            <w:div w:id="1240869926">
              <w:marLeft w:val="0"/>
              <w:marRight w:val="0"/>
              <w:marTop w:val="0"/>
              <w:marBottom w:val="0"/>
              <w:divBdr>
                <w:top w:val="none" w:sz="0" w:space="0" w:color="auto"/>
                <w:left w:val="none" w:sz="0" w:space="0" w:color="auto"/>
                <w:bottom w:val="none" w:sz="0" w:space="0" w:color="auto"/>
                <w:right w:val="none" w:sz="0" w:space="0" w:color="auto"/>
              </w:divBdr>
              <w:divsChild>
                <w:div w:id="27652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602232">
      <w:bodyDiv w:val="1"/>
      <w:marLeft w:val="0"/>
      <w:marRight w:val="0"/>
      <w:marTop w:val="0"/>
      <w:marBottom w:val="0"/>
      <w:divBdr>
        <w:top w:val="none" w:sz="0" w:space="0" w:color="auto"/>
        <w:left w:val="none" w:sz="0" w:space="0" w:color="auto"/>
        <w:bottom w:val="none" w:sz="0" w:space="0" w:color="auto"/>
        <w:right w:val="none" w:sz="0" w:space="0" w:color="auto"/>
      </w:divBdr>
      <w:divsChild>
        <w:div w:id="810101967">
          <w:marLeft w:val="0"/>
          <w:marRight w:val="0"/>
          <w:marTop w:val="0"/>
          <w:marBottom w:val="0"/>
          <w:divBdr>
            <w:top w:val="none" w:sz="0" w:space="0" w:color="auto"/>
            <w:left w:val="none" w:sz="0" w:space="0" w:color="auto"/>
            <w:bottom w:val="dotted" w:sz="6" w:space="4" w:color="DDDDDD"/>
            <w:right w:val="none" w:sz="0" w:space="0" w:color="auto"/>
          </w:divBdr>
          <w:divsChild>
            <w:div w:id="185322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035000">
      <w:bodyDiv w:val="1"/>
      <w:marLeft w:val="0"/>
      <w:marRight w:val="0"/>
      <w:marTop w:val="0"/>
      <w:marBottom w:val="0"/>
      <w:divBdr>
        <w:top w:val="none" w:sz="0" w:space="0" w:color="auto"/>
        <w:left w:val="none" w:sz="0" w:space="0" w:color="auto"/>
        <w:bottom w:val="none" w:sz="0" w:space="0" w:color="auto"/>
        <w:right w:val="none" w:sz="0" w:space="0" w:color="auto"/>
      </w:divBdr>
      <w:divsChild>
        <w:div w:id="561215878">
          <w:marLeft w:val="0"/>
          <w:marRight w:val="0"/>
          <w:marTop w:val="0"/>
          <w:marBottom w:val="150"/>
          <w:divBdr>
            <w:top w:val="none" w:sz="0" w:space="0" w:color="auto"/>
            <w:left w:val="none" w:sz="0" w:space="0" w:color="auto"/>
            <w:bottom w:val="none" w:sz="0" w:space="0" w:color="auto"/>
            <w:right w:val="none" w:sz="0" w:space="0" w:color="auto"/>
          </w:divBdr>
          <w:divsChild>
            <w:div w:id="2067533759">
              <w:marLeft w:val="0"/>
              <w:marRight w:val="0"/>
              <w:marTop w:val="0"/>
              <w:marBottom w:val="0"/>
              <w:divBdr>
                <w:top w:val="none" w:sz="0" w:space="0" w:color="auto"/>
                <w:left w:val="none" w:sz="0" w:space="0" w:color="auto"/>
                <w:bottom w:val="none" w:sz="0" w:space="0" w:color="auto"/>
                <w:right w:val="none" w:sz="0" w:space="0" w:color="auto"/>
              </w:divBdr>
              <w:divsChild>
                <w:div w:id="74842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017935">
          <w:marLeft w:val="0"/>
          <w:marRight w:val="0"/>
          <w:marTop w:val="0"/>
          <w:marBottom w:val="150"/>
          <w:divBdr>
            <w:top w:val="none" w:sz="0" w:space="0" w:color="auto"/>
            <w:left w:val="none" w:sz="0" w:space="0" w:color="auto"/>
            <w:bottom w:val="none" w:sz="0" w:space="0" w:color="auto"/>
            <w:right w:val="none" w:sz="0" w:space="0" w:color="auto"/>
          </w:divBdr>
        </w:div>
        <w:div w:id="389812640">
          <w:marLeft w:val="0"/>
          <w:marRight w:val="0"/>
          <w:marTop w:val="0"/>
          <w:marBottom w:val="0"/>
          <w:divBdr>
            <w:top w:val="none" w:sz="0" w:space="0" w:color="auto"/>
            <w:left w:val="none" w:sz="0" w:space="0" w:color="auto"/>
            <w:bottom w:val="none" w:sz="0" w:space="0" w:color="auto"/>
            <w:right w:val="none" w:sz="0" w:space="0" w:color="auto"/>
          </w:divBdr>
          <w:divsChild>
            <w:div w:id="4595292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01108294">
      <w:bodyDiv w:val="1"/>
      <w:marLeft w:val="0"/>
      <w:marRight w:val="0"/>
      <w:marTop w:val="0"/>
      <w:marBottom w:val="0"/>
      <w:divBdr>
        <w:top w:val="none" w:sz="0" w:space="0" w:color="auto"/>
        <w:left w:val="none" w:sz="0" w:space="0" w:color="auto"/>
        <w:bottom w:val="none" w:sz="0" w:space="0" w:color="auto"/>
        <w:right w:val="none" w:sz="0" w:space="0" w:color="auto"/>
      </w:divBdr>
      <w:divsChild>
        <w:div w:id="453987651">
          <w:marLeft w:val="0"/>
          <w:marRight w:val="0"/>
          <w:marTop w:val="300"/>
          <w:marBottom w:val="0"/>
          <w:divBdr>
            <w:top w:val="none" w:sz="0" w:space="0" w:color="auto"/>
            <w:left w:val="none" w:sz="0" w:space="0" w:color="auto"/>
            <w:bottom w:val="none" w:sz="0" w:space="0" w:color="auto"/>
            <w:right w:val="none" w:sz="0" w:space="0" w:color="auto"/>
          </w:divBdr>
          <w:divsChild>
            <w:div w:id="1524127697">
              <w:marLeft w:val="0"/>
              <w:marRight w:val="0"/>
              <w:marTop w:val="150"/>
              <w:marBottom w:val="0"/>
              <w:divBdr>
                <w:top w:val="none" w:sz="0" w:space="0" w:color="auto"/>
                <w:left w:val="none" w:sz="0" w:space="0" w:color="auto"/>
                <w:bottom w:val="none" w:sz="0" w:space="0" w:color="auto"/>
                <w:right w:val="none" w:sz="0" w:space="0" w:color="auto"/>
              </w:divBdr>
            </w:div>
          </w:divsChild>
        </w:div>
        <w:div w:id="829246828">
          <w:marLeft w:val="0"/>
          <w:marRight w:val="0"/>
          <w:marTop w:val="300"/>
          <w:marBottom w:val="0"/>
          <w:divBdr>
            <w:top w:val="none" w:sz="0" w:space="0" w:color="auto"/>
            <w:left w:val="none" w:sz="0" w:space="0" w:color="auto"/>
            <w:bottom w:val="none" w:sz="0" w:space="0" w:color="auto"/>
            <w:right w:val="none" w:sz="0" w:space="0" w:color="auto"/>
          </w:divBdr>
          <w:divsChild>
            <w:div w:id="83626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231331">
      <w:bodyDiv w:val="1"/>
      <w:marLeft w:val="0"/>
      <w:marRight w:val="0"/>
      <w:marTop w:val="0"/>
      <w:marBottom w:val="0"/>
      <w:divBdr>
        <w:top w:val="none" w:sz="0" w:space="0" w:color="auto"/>
        <w:left w:val="none" w:sz="0" w:space="0" w:color="auto"/>
        <w:bottom w:val="none" w:sz="0" w:space="0" w:color="auto"/>
        <w:right w:val="none" w:sz="0" w:space="0" w:color="auto"/>
      </w:divBdr>
      <w:divsChild>
        <w:div w:id="158739874">
          <w:marLeft w:val="0"/>
          <w:marRight w:val="0"/>
          <w:marTop w:val="0"/>
          <w:marBottom w:val="0"/>
          <w:divBdr>
            <w:top w:val="none" w:sz="0" w:space="0" w:color="auto"/>
            <w:left w:val="none" w:sz="0" w:space="0" w:color="auto"/>
            <w:bottom w:val="dotted" w:sz="6" w:space="4" w:color="DDDDDD"/>
            <w:right w:val="none" w:sz="0" w:space="0" w:color="auto"/>
          </w:divBdr>
          <w:divsChild>
            <w:div w:id="62195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763414">
      <w:bodyDiv w:val="1"/>
      <w:marLeft w:val="0"/>
      <w:marRight w:val="0"/>
      <w:marTop w:val="0"/>
      <w:marBottom w:val="0"/>
      <w:divBdr>
        <w:top w:val="none" w:sz="0" w:space="0" w:color="auto"/>
        <w:left w:val="none" w:sz="0" w:space="0" w:color="auto"/>
        <w:bottom w:val="none" w:sz="0" w:space="0" w:color="auto"/>
        <w:right w:val="none" w:sz="0" w:space="0" w:color="auto"/>
      </w:divBdr>
      <w:divsChild>
        <w:div w:id="1265842071">
          <w:marLeft w:val="0"/>
          <w:marRight w:val="0"/>
          <w:marTop w:val="0"/>
          <w:marBottom w:val="0"/>
          <w:divBdr>
            <w:top w:val="none" w:sz="0" w:space="0" w:color="auto"/>
            <w:left w:val="none" w:sz="0" w:space="0" w:color="auto"/>
            <w:bottom w:val="none" w:sz="0" w:space="0" w:color="auto"/>
            <w:right w:val="none" w:sz="0" w:space="0" w:color="auto"/>
          </w:divBdr>
        </w:div>
      </w:divsChild>
    </w:div>
    <w:div w:id="603536439">
      <w:bodyDiv w:val="1"/>
      <w:marLeft w:val="0"/>
      <w:marRight w:val="0"/>
      <w:marTop w:val="0"/>
      <w:marBottom w:val="0"/>
      <w:divBdr>
        <w:top w:val="none" w:sz="0" w:space="0" w:color="auto"/>
        <w:left w:val="none" w:sz="0" w:space="0" w:color="auto"/>
        <w:bottom w:val="none" w:sz="0" w:space="0" w:color="auto"/>
        <w:right w:val="none" w:sz="0" w:space="0" w:color="auto"/>
      </w:divBdr>
      <w:divsChild>
        <w:div w:id="472911020">
          <w:marLeft w:val="0"/>
          <w:marRight w:val="0"/>
          <w:marTop w:val="0"/>
          <w:marBottom w:val="0"/>
          <w:divBdr>
            <w:top w:val="none" w:sz="0" w:space="0" w:color="auto"/>
            <w:left w:val="none" w:sz="0" w:space="0" w:color="auto"/>
            <w:bottom w:val="none" w:sz="0" w:space="0" w:color="auto"/>
            <w:right w:val="none" w:sz="0" w:space="0" w:color="auto"/>
          </w:divBdr>
        </w:div>
      </w:divsChild>
    </w:div>
    <w:div w:id="603878144">
      <w:bodyDiv w:val="1"/>
      <w:marLeft w:val="0"/>
      <w:marRight w:val="0"/>
      <w:marTop w:val="0"/>
      <w:marBottom w:val="0"/>
      <w:divBdr>
        <w:top w:val="none" w:sz="0" w:space="0" w:color="auto"/>
        <w:left w:val="none" w:sz="0" w:space="0" w:color="auto"/>
        <w:bottom w:val="none" w:sz="0" w:space="0" w:color="auto"/>
        <w:right w:val="none" w:sz="0" w:space="0" w:color="auto"/>
      </w:divBdr>
    </w:div>
    <w:div w:id="604263996">
      <w:bodyDiv w:val="1"/>
      <w:marLeft w:val="0"/>
      <w:marRight w:val="0"/>
      <w:marTop w:val="0"/>
      <w:marBottom w:val="0"/>
      <w:divBdr>
        <w:top w:val="none" w:sz="0" w:space="0" w:color="auto"/>
        <w:left w:val="none" w:sz="0" w:space="0" w:color="auto"/>
        <w:bottom w:val="none" w:sz="0" w:space="0" w:color="auto"/>
        <w:right w:val="none" w:sz="0" w:space="0" w:color="auto"/>
      </w:divBdr>
    </w:div>
    <w:div w:id="604508547">
      <w:bodyDiv w:val="1"/>
      <w:marLeft w:val="0"/>
      <w:marRight w:val="0"/>
      <w:marTop w:val="0"/>
      <w:marBottom w:val="0"/>
      <w:divBdr>
        <w:top w:val="none" w:sz="0" w:space="0" w:color="auto"/>
        <w:left w:val="none" w:sz="0" w:space="0" w:color="auto"/>
        <w:bottom w:val="none" w:sz="0" w:space="0" w:color="auto"/>
        <w:right w:val="none" w:sz="0" w:space="0" w:color="auto"/>
      </w:divBdr>
      <w:divsChild>
        <w:div w:id="151023715">
          <w:marLeft w:val="0"/>
          <w:marRight w:val="0"/>
          <w:marTop w:val="0"/>
          <w:marBottom w:val="0"/>
          <w:divBdr>
            <w:top w:val="none" w:sz="0" w:space="0" w:color="auto"/>
            <w:left w:val="none" w:sz="0" w:space="0" w:color="auto"/>
            <w:bottom w:val="none" w:sz="0" w:space="0" w:color="auto"/>
            <w:right w:val="none" w:sz="0" w:space="0" w:color="auto"/>
          </w:divBdr>
          <w:divsChild>
            <w:div w:id="656496326">
              <w:marLeft w:val="0"/>
              <w:marRight w:val="0"/>
              <w:marTop w:val="0"/>
              <w:marBottom w:val="0"/>
              <w:divBdr>
                <w:top w:val="none" w:sz="0" w:space="0" w:color="auto"/>
                <w:left w:val="none" w:sz="0" w:space="0" w:color="auto"/>
                <w:bottom w:val="none" w:sz="0" w:space="0" w:color="auto"/>
                <w:right w:val="none" w:sz="0" w:space="0" w:color="auto"/>
              </w:divBdr>
              <w:divsChild>
                <w:div w:id="1894001258">
                  <w:marLeft w:val="0"/>
                  <w:marRight w:val="0"/>
                  <w:marTop w:val="0"/>
                  <w:marBottom w:val="0"/>
                  <w:divBdr>
                    <w:top w:val="none" w:sz="0" w:space="0" w:color="auto"/>
                    <w:left w:val="none" w:sz="0" w:space="0" w:color="auto"/>
                    <w:bottom w:val="none" w:sz="0" w:space="0" w:color="auto"/>
                    <w:right w:val="none" w:sz="0" w:space="0" w:color="auto"/>
                  </w:divBdr>
                  <w:divsChild>
                    <w:div w:id="238097579">
                      <w:marLeft w:val="0"/>
                      <w:marRight w:val="0"/>
                      <w:marTop w:val="0"/>
                      <w:marBottom w:val="0"/>
                      <w:divBdr>
                        <w:top w:val="none" w:sz="0" w:space="0" w:color="auto"/>
                        <w:left w:val="none" w:sz="0" w:space="0" w:color="auto"/>
                        <w:bottom w:val="none" w:sz="0" w:space="0" w:color="auto"/>
                        <w:right w:val="none" w:sz="0" w:space="0" w:color="auto"/>
                      </w:divBdr>
                      <w:divsChild>
                        <w:div w:id="1439176432">
                          <w:marLeft w:val="0"/>
                          <w:marRight w:val="0"/>
                          <w:marTop w:val="0"/>
                          <w:marBottom w:val="0"/>
                          <w:divBdr>
                            <w:top w:val="none" w:sz="0" w:space="0" w:color="auto"/>
                            <w:left w:val="none" w:sz="0" w:space="0" w:color="auto"/>
                            <w:bottom w:val="none" w:sz="0" w:space="0" w:color="auto"/>
                            <w:right w:val="none" w:sz="0" w:space="0" w:color="auto"/>
                          </w:divBdr>
                          <w:divsChild>
                            <w:div w:id="1176576625">
                              <w:marLeft w:val="0"/>
                              <w:marRight w:val="0"/>
                              <w:marTop w:val="0"/>
                              <w:marBottom w:val="0"/>
                              <w:divBdr>
                                <w:top w:val="none" w:sz="0" w:space="0" w:color="auto"/>
                                <w:left w:val="none" w:sz="0" w:space="0" w:color="auto"/>
                                <w:bottom w:val="none" w:sz="0" w:space="0" w:color="auto"/>
                                <w:right w:val="none" w:sz="0" w:space="0" w:color="auto"/>
                              </w:divBdr>
                              <w:divsChild>
                                <w:div w:id="161529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4578750">
      <w:bodyDiv w:val="1"/>
      <w:marLeft w:val="0"/>
      <w:marRight w:val="0"/>
      <w:marTop w:val="0"/>
      <w:marBottom w:val="0"/>
      <w:divBdr>
        <w:top w:val="none" w:sz="0" w:space="0" w:color="auto"/>
        <w:left w:val="none" w:sz="0" w:space="0" w:color="auto"/>
        <w:bottom w:val="none" w:sz="0" w:space="0" w:color="auto"/>
        <w:right w:val="none" w:sz="0" w:space="0" w:color="auto"/>
      </w:divBdr>
      <w:divsChild>
        <w:div w:id="437872735">
          <w:marLeft w:val="0"/>
          <w:marRight w:val="0"/>
          <w:marTop w:val="0"/>
          <w:marBottom w:val="150"/>
          <w:divBdr>
            <w:top w:val="none" w:sz="0" w:space="0" w:color="auto"/>
            <w:left w:val="none" w:sz="0" w:space="0" w:color="auto"/>
            <w:bottom w:val="none" w:sz="0" w:space="0" w:color="auto"/>
            <w:right w:val="none" w:sz="0" w:space="0" w:color="auto"/>
          </w:divBdr>
          <w:divsChild>
            <w:div w:id="1975484415">
              <w:marLeft w:val="0"/>
              <w:marRight w:val="0"/>
              <w:marTop w:val="0"/>
              <w:marBottom w:val="0"/>
              <w:divBdr>
                <w:top w:val="none" w:sz="0" w:space="0" w:color="auto"/>
                <w:left w:val="none" w:sz="0" w:space="0" w:color="auto"/>
                <w:bottom w:val="none" w:sz="0" w:space="0" w:color="auto"/>
                <w:right w:val="none" w:sz="0" w:space="0" w:color="auto"/>
              </w:divBdr>
              <w:divsChild>
                <w:div w:id="63067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854268">
          <w:marLeft w:val="0"/>
          <w:marRight w:val="0"/>
          <w:marTop w:val="0"/>
          <w:marBottom w:val="150"/>
          <w:divBdr>
            <w:top w:val="none" w:sz="0" w:space="0" w:color="auto"/>
            <w:left w:val="none" w:sz="0" w:space="0" w:color="auto"/>
            <w:bottom w:val="none" w:sz="0" w:space="0" w:color="auto"/>
            <w:right w:val="none" w:sz="0" w:space="0" w:color="auto"/>
          </w:divBdr>
        </w:div>
        <w:div w:id="1988394958">
          <w:marLeft w:val="0"/>
          <w:marRight w:val="0"/>
          <w:marTop w:val="0"/>
          <w:marBottom w:val="0"/>
          <w:divBdr>
            <w:top w:val="none" w:sz="0" w:space="0" w:color="auto"/>
            <w:left w:val="none" w:sz="0" w:space="0" w:color="auto"/>
            <w:bottom w:val="none" w:sz="0" w:space="0" w:color="auto"/>
            <w:right w:val="none" w:sz="0" w:space="0" w:color="auto"/>
          </w:divBdr>
          <w:divsChild>
            <w:div w:id="15070919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04652427">
      <w:bodyDiv w:val="1"/>
      <w:marLeft w:val="0"/>
      <w:marRight w:val="0"/>
      <w:marTop w:val="0"/>
      <w:marBottom w:val="0"/>
      <w:divBdr>
        <w:top w:val="none" w:sz="0" w:space="0" w:color="auto"/>
        <w:left w:val="none" w:sz="0" w:space="0" w:color="auto"/>
        <w:bottom w:val="none" w:sz="0" w:space="0" w:color="auto"/>
        <w:right w:val="none" w:sz="0" w:space="0" w:color="auto"/>
      </w:divBdr>
    </w:div>
    <w:div w:id="604847611">
      <w:bodyDiv w:val="1"/>
      <w:marLeft w:val="0"/>
      <w:marRight w:val="0"/>
      <w:marTop w:val="0"/>
      <w:marBottom w:val="0"/>
      <w:divBdr>
        <w:top w:val="none" w:sz="0" w:space="0" w:color="auto"/>
        <w:left w:val="none" w:sz="0" w:space="0" w:color="auto"/>
        <w:bottom w:val="none" w:sz="0" w:space="0" w:color="auto"/>
        <w:right w:val="none" w:sz="0" w:space="0" w:color="auto"/>
      </w:divBdr>
      <w:divsChild>
        <w:div w:id="1275593199">
          <w:marLeft w:val="0"/>
          <w:marRight w:val="0"/>
          <w:marTop w:val="0"/>
          <w:marBottom w:val="150"/>
          <w:divBdr>
            <w:top w:val="none" w:sz="0" w:space="0" w:color="auto"/>
            <w:left w:val="none" w:sz="0" w:space="0" w:color="auto"/>
            <w:bottom w:val="none" w:sz="0" w:space="0" w:color="auto"/>
            <w:right w:val="none" w:sz="0" w:space="0" w:color="auto"/>
          </w:divBdr>
        </w:div>
      </w:divsChild>
    </w:div>
    <w:div w:id="605187328">
      <w:bodyDiv w:val="1"/>
      <w:marLeft w:val="0"/>
      <w:marRight w:val="0"/>
      <w:marTop w:val="0"/>
      <w:marBottom w:val="0"/>
      <w:divBdr>
        <w:top w:val="none" w:sz="0" w:space="0" w:color="auto"/>
        <w:left w:val="none" w:sz="0" w:space="0" w:color="auto"/>
        <w:bottom w:val="none" w:sz="0" w:space="0" w:color="auto"/>
        <w:right w:val="none" w:sz="0" w:space="0" w:color="auto"/>
      </w:divBdr>
    </w:div>
    <w:div w:id="605312278">
      <w:bodyDiv w:val="1"/>
      <w:marLeft w:val="0"/>
      <w:marRight w:val="0"/>
      <w:marTop w:val="0"/>
      <w:marBottom w:val="0"/>
      <w:divBdr>
        <w:top w:val="none" w:sz="0" w:space="0" w:color="auto"/>
        <w:left w:val="none" w:sz="0" w:space="0" w:color="auto"/>
        <w:bottom w:val="none" w:sz="0" w:space="0" w:color="auto"/>
        <w:right w:val="none" w:sz="0" w:space="0" w:color="auto"/>
      </w:divBdr>
      <w:divsChild>
        <w:div w:id="1314413819">
          <w:marLeft w:val="0"/>
          <w:marRight w:val="0"/>
          <w:marTop w:val="0"/>
          <w:marBottom w:val="150"/>
          <w:divBdr>
            <w:top w:val="none" w:sz="0" w:space="0" w:color="auto"/>
            <w:left w:val="none" w:sz="0" w:space="0" w:color="auto"/>
            <w:bottom w:val="none" w:sz="0" w:space="0" w:color="auto"/>
            <w:right w:val="none" w:sz="0" w:space="0" w:color="auto"/>
          </w:divBdr>
        </w:div>
        <w:div w:id="1951663389">
          <w:marLeft w:val="0"/>
          <w:marRight w:val="0"/>
          <w:marTop w:val="0"/>
          <w:marBottom w:val="0"/>
          <w:divBdr>
            <w:top w:val="none" w:sz="0" w:space="0" w:color="auto"/>
            <w:left w:val="none" w:sz="0" w:space="0" w:color="auto"/>
            <w:bottom w:val="none" w:sz="0" w:space="0" w:color="auto"/>
            <w:right w:val="none" w:sz="0" w:space="0" w:color="auto"/>
          </w:divBdr>
          <w:divsChild>
            <w:div w:id="659576210">
              <w:marLeft w:val="0"/>
              <w:marRight w:val="0"/>
              <w:marTop w:val="0"/>
              <w:marBottom w:val="0"/>
              <w:divBdr>
                <w:top w:val="none" w:sz="0" w:space="0" w:color="auto"/>
                <w:left w:val="none" w:sz="0" w:space="0" w:color="auto"/>
                <w:bottom w:val="none" w:sz="0" w:space="0" w:color="auto"/>
                <w:right w:val="none" w:sz="0" w:space="0" w:color="auto"/>
              </w:divBdr>
            </w:div>
          </w:divsChild>
        </w:div>
        <w:div w:id="2032100748">
          <w:marLeft w:val="0"/>
          <w:marRight w:val="0"/>
          <w:marTop w:val="0"/>
          <w:marBottom w:val="150"/>
          <w:divBdr>
            <w:top w:val="none" w:sz="0" w:space="0" w:color="auto"/>
            <w:left w:val="none" w:sz="0" w:space="0" w:color="auto"/>
            <w:bottom w:val="none" w:sz="0" w:space="0" w:color="auto"/>
            <w:right w:val="none" w:sz="0" w:space="0" w:color="auto"/>
          </w:divBdr>
          <w:divsChild>
            <w:div w:id="132481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388640">
      <w:bodyDiv w:val="1"/>
      <w:marLeft w:val="0"/>
      <w:marRight w:val="0"/>
      <w:marTop w:val="0"/>
      <w:marBottom w:val="0"/>
      <w:divBdr>
        <w:top w:val="none" w:sz="0" w:space="0" w:color="auto"/>
        <w:left w:val="none" w:sz="0" w:space="0" w:color="auto"/>
        <w:bottom w:val="none" w:sz="0" w:space="0" w:color="auto"/>
        <w:right w:val="none" w:sz="0" w:space="0" w:color="auto"/>
      </w:divBdr>
      <w:divsChild>
        <w:div w:id="740950320">
          <w:marLeft w:val="0"/>
          <w:marRight w:val="0"/>
          <w:marTop w:val="0"/>
          <w:marBottom w:val="0"/>
          <w:divBdr>
            <w:top w:val="none" w:sz="0" w:space="0" w:color="auto"/>
            <w:left w:val="none" w:sz="0" w:space="0" w:color="auto"/>
            <w:bottom w:val="none" w:sz="0" w:space="0" w:color="auto"/>
            <w:right w:val="none" w:sz="0" w:space="0" w:color="auto"/>
          </w:divBdr>
          <w:divsChild>
            <w:div w:id="7142818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05698086">
      <w:bodyDiv w:val="1"/>
      <w:marLeft w:val="0"/>
      <w:marRight w:val="0"/>
      <w:marTop w:val="0"/>
      <w:marBottom w:val="0"/>
      <w:divBdr>
        <w:top w:val="none" w:sz="0" w:space="0" w:color="auto"/>
        <w:left w:val="none" w:sz="0" w:space="0" w:color="auto"/>
        <w:bottom w:val="none" w:sz="0" w:space="0" w:color="auto"/>
        <w:right w:val="none" w:sz="0" w:space="0" w:color="auto"/>
      </w:divBdr>
    </w:div>
    <w:div w:id="605815954">
      <w:bodyDiv w:val="1"/>
      <w:marLeft w:val="0"/>
      <w:marRight w:val="0"/>
      <w:marTop w:val="0"/>
      <w:marBottom w:val="0"/>
      <w:divBdr>
        <w:top w:val="none" w:sz="0" w:space="0" w:color="auto"/>
        <w:left w:val="none" w:sz="0" w:space="0" w:color="auto"/>
        <w:bottom w:val="none" w:sz="0" w:space="0" w:color="auto"/>
        <w:right w:val="none" w:sz="0" w:space="0" w:color="auto"/>
      </w:divBdr>
      <w:divsChild>
        <w:div w:id="108093404">
          <w:marLeft w:val="0"/>
          <w:marRight w:val="0"/>
          <w:marTop w:val="0"/>
          <w:marBottom w:val="0"/>
          <w:divBdr>
            <w:top w:val="none" w:sz="0" w:space="0" w:color="auto"/>
            <w:left w:val="none" w:sz="0" w:space="0" w:color="auto"/>
            <w:bottom w:val="none" w:sz="0" w:space="0" w:color="auto"/>
            <w:right w:val="none" w:sz="0" w:space="0" w:color="auto"/>
          </w:divBdr>
          <w:divsChild>
            <w:div w:id="565994840">
              <w:marLeft w:val="0"/>
              <w:marRight w:val="0"/>
              <w:marTop w:val="0"/>
              <w:marBottom w:val="0"/>
              <w:divBdr>
                <w:top w:val="none" w:sz="0" w:space="0" w:color="auto"/>
                <w:left w:val="none" w:sz="0" w:space="0" w:color="auto"/>
                <w:bottom w:val="none" w:sz="0" w:space="0" w:color="auto"/>
                <w:right w:val="none" w:sz="0" w:space="0" w:color="auto"/>
              </w:divBdr>
              <w:divsChild>
                <w:div w:id="2005354178">
                  <w:marLeft w:val="0"/>
                  <w:marRight w:val="0"/>
                  <w:marTop w:val="0"/>
                  <w:marBottom w:val="0"/>
                  <w:divBdr>
                    <w:top w:val="none" w:sz="0" w:space="0" w:color="auto"/>
                    <w:left w:val="none" w:sz="0" w:space="0" w:color="auto"/>
                    <w:bottom w:val="none" w:sz="0" w:space="0" w:color="auto"/>
                    <w:right w:val="none" w:sz="0" w:space="0" w:color="auto"/>
                  </w:divBdr>
                  <w:divsChild>
                    <w:div w:id="1388189334">
                      <w:marLeft w:val="0"/>
                      <w:marRight w:val="0"/>
                      <w:marTop w:val="0"/>
                      <w:marBottom w:val="0"/>
                      <w:divBdr>
                        <w:top w:val="none" w:sz="0" w:space="0" w:color="auto"/>
                        <w:left w:val="none" w:sz="0" w:space="0" w:color="auto"/>
                        <w:bottom w:val="none" w:sz="0" w:space="0" w:color="auto"/>
                        <w:right w:val="none" w:sz="0" w:space="0" w:color="auto"/>
                      </w:divBdr>
                      <w:divsChild>
                        <w:div w:id="333534733">
                          <w:marLeft w:val="0"/>
                          <w:marRight w:val="0"/>
                          <w:marTop w:val="0"/>
                          <w:marBottom w:val="0"/>
                          <w:divBdr>
                            <w:top w:val="none" w:sz="0" w:space="0" w:color="auto"/>
                            <w:left w:val="none" w:sz="0" w:space="0" w:color="auto"/>
                            <w:bottom w:val="none" w:sz="0" w:space="0" w:color="auto"/>
                            <w:right w:val="none" w:sz="0" w:space="0" w:color="auto"/>
                          </w:divBdr>
                          <w:divsChild>
                            <w:div w:id="1695567915">
                              <w:marLeft w:val="0"/>
                              <w:marRight w:val="0"/>
                              <w:marTop w:val="0"/>
                              <w:marBottom w:val="0"/>
                              <w:divBdr>
                                <w:top w:val="none" w:sz="0" w:space="0" w:color="auto"/>
                                <w:left w:val="none" w:sz="0" w:space="0" w:color="auto"/>
                                <w:bottom w:val="none" w:sz="0" w:space="0" w:color="auto"/>
                                <w:right w:val="none" w:sz="0" w:space="0" w:color="auto"/>
                              </w:divBdr>
                              <w:divsChild>
                                <w:div w:id="1679691433">
                                  <w:marLeft w:val="0"/>
                                  <w:marRight w:val="0"/>
                                  <w:marTop w:val="0"/>
                                  <w:marBottom w:val="0"/>
                                  <w:divBdr>
                                    <w:top w:val="none" w:sz="0" w:space="0" w:color="auto"/>
                                    <w:left w:val="none" w:sz="0" w:space="0" w:color="auto"/>
                                    <w:bottom w:val="none" w:sz="0" w:space="0" w:color="auto"/>
                                    <w:right w:val="none" w:sz="0" w:space="0" w:color="auto"/>
                                  </w:divBdr>
                                  <w:divsChild>
                                    <w:div w:id="168710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355762">
      <w:bodyDiv w:val="1"/>
      <w:marLeft w:val="0"/>
      <w:marRight w:val="0"/>
      <w:marTop w:val="0"/>
      <w:marBottom w:val="0"/>
      <w:divBdr>
        <w:top w:val="none" w:sz="0" w:space="0" w:color="auto"/>
        <w:left w:val="none" w:sz="0" w:space="0" w:color="auto"/>
        <w:bottom w:val="none" w:sz="0" w:space="0" w:color="auto"/>
        <w:right w:val="none" w:sz="0" w:space="0" w:color="auto"/>
      </w:divBdr>
      <w:divsChild>
        <w:div w:id="72513665">
          <w:marLeft w:val="0"/>
          <w:marRight w:val="0"/>
          <w:marTop w:val="0"/>
          <w:marBottom w:val="0"/>
          <w:divBdr>
            <w:top w:val="none" w:sz="0" w:space="0" w:color="auto"/>
            <w:left w:val="none" w:sz="0" w:space="0" w:color="auto"/>
            <w:bottom w:val="none" w:sz="0" w:space="0" w:color="auto"/>
            <w:right w:val="none" w:sz="0" w:space="0" w:color="auto"/>
          </w:divBdr>
        </w:div>
      </w:divsChild>
    </w:div>
    <w:div w:id="606960857">
      <w:bodyDiv w:val="1"/>
      <w:marLeft w:val="0"/>
      <w:marRight w:val="0"/>
      <w:marTop w:val="0"/>
      <w:marBottom w:val="0"/>
      <w:divBdr>
        <w:top w:val="none" w:sz="0" w:space="0" w:color="auto"/>
        <w:left w:val="none" w:sz="0" w:space="0" w:color="auto"/>
        <w:bottom w:val="none" w:sz="0" w:space="0" w:color="auto"/>
        <w:right w:val="none" w:sz="0" w:space="0" w:color="auto"/>
      </w:divBdr>
      <w:divsChild>
        <w:div w:id="1627076876">
          <w:marLeft w:val="0"/>
          <w:marRight w:val="0"/>
          <w:marTop w:val="0"/>
          <w:marBottom w:val="0"/>
          <w:divBdr>
            <w:top w:val="none" w:sz="0" w:space="0" w:color="auto"/>
            <w:left w:val="none" w:sz="0" w:space="0" w:color="auto"/>
            <w:bottom w:val="dotted" w:sz="6" w:space="4" w:color="DDDDDD"/>
            <w:right w:val="none" w:sz="0" w:space="0" w:color="auto"/>
          </w:divBdr>
        </w:div>
      </w:divsChild>
    </w:div>
    <w:div w:id="607003073">
      <w:bodyDiv w:val="1"/>
      <w:marLeft w:val="0"/>
      <w:marRight w:val="0"/>
      <w:marTop w:val="0"/>
      <w:marBottom w:val="0"/>
      <w:divBdr>
        <w:top w:val="none" w:sz="0" w:space="0" w:color="auto"/>
        <w:left w:val="none" w:sz="0" w:space="0" w:color="auto"/>
        <w:bottom w:val="none" w:sz="0" w:space="0" w:color="auto"/>
        <w:right w:val="none" w:sz="0" w:space="0" w:color="auto"/>
      </w:divBdr>
    </w:div>
    <w:div w:id="607468745">
      <w:bodyDiv w:val="1"/>
      <w:marLeft w:val="0"/>
      <w:marRight w:val="0"/>
      <w:marTop w:val="0"/>
      <w:marBottom w:val="0"/>
      <w:divBdr>
        <w:top w:val="none" w:sz="0" w:space="0" w:color="auto"/>
        <w:left w:val="none" w:sz="0" w:space="0" w:color="auto"/>
        <w:bottom w:val="none" w:sz="0" w:space="0" w:color="auto"/>
        <w:right w:val="none" w:sz="0" w:space="0" w:color="auto"/>
      </w:divBdr>
    </w:div>
    <w:div w:id="608128473">
      <w:bodyDiv w:val="1"/>
      <w:marLeft w:val="0"/>
      <w:marRight w:val="0"/>
      <w:marTop w:val="0"/>
      <w:marBottom w:val="0"/>
      <w:divBdr>
        <w:top w:val="none" w:sz="0" w:space="0" w:color="auto"/>
        <w:left w:val="none" w:sz="0" w:space="0" w:color="auto"/>
        <w:bottom w:val="none" w:sz="0" w:space="0" w:color="auto"/>
        <w:right w:val="none" w:sz="0" w:space="0" w:color="auto"/>
      </w:divBdr>
    </w:div>
    <w:div w:id="608315905">
      <w:bodyDiv w:val="1"/>
      <w:marLeft w:val="0"/>
      <w:marRight w:val="0"/>
      <w:marTop w:val="0"/>
      <w:marBottom w:val="0"/>
      <w:divBdr>
        <w:top w:val="none" w:sz="0" w:space="0" w:color="auto"/>
        <w:left w:val="none" w:sz="0" w:space="0" w:color="auto"/>
        <w:bottom w:val="none" w:sz="0" w:space="0" w:color="auto"/>
        <w:right w:val="none" w:sz="0" w:space="0" w:color="auto"/>
      </w:divBdr>
    </w:div>
    <w:div w:id="608316156">
      <w:bodyDiv w:val="1"/>
      <w:marLeft w:val="0"/>
      <w:marRight w:val="0"/>
      <w:marTop w:val="0"/>
      <w:marBottom w:val="0"/>
      <w:divBdr>
        <w:top w:val="none" w:sz="0" w:space="0" w:color="auto"/>
        <w:left w:val="none" w:sz="0" w:space="0" w:color="auto"/>
        <w:bottom w:val="none" w:sz="0" w:space="0" w:color="auto"/>
        <w:right w:val="none" w:sz="0" w:space="0" w:color="auto"/>
      </w:divBdr>
      <w:divsChild>
        <w:div w:id="561989831">
          <w:marLeft w:val="0"/>
          <w:marRight w:val="0"/>
          <w:marTop w:val="0"/>
          <w:marBottom w:val="0"/>
          <w:divBdr>
            <w:top w:val="none" w:sz="0" w:space="0" w:color="auto"/>
            <w:left w:val="none" w:sz="0" w:space="0" w:color="auto"/>
            <w:bottom w:val="none" w:sz="0" w:space="0" w:color="auto"/>
            <w:right w:val="none" w:sz="0" w:space="0" w:color="auto"/>
          </w:divBdr>
        </w:div>
      </w:divsChild>
    </w:div>
    <w:div w:id="608586643">
      <w:bodyDiv w:val="1"/>
      <w:marLeft w:val="0"/>
      <w:marRight w:val="0"/>
      <w:marTop w:val="0"/>
      <w:marBottom w:val="0"/>
      <w:divBdr>
        <w:top w:val="none" w:sz="0" w:space="0" w:color="auto"/>
        <w:left w:val="none" w:sz="0" w:space="0" w:color="auto"/>
        <w:bottom w:val="none" w:sz="0" w:space="0" w:color="auto"/>
        <w:right w:val="none" w:sz="0" w:space="0" w:color="auto"/>
      </w:divBdr>
      <w:divsChild>
        <w:div w:id="1826974471">
          <w:marLeft w:val="0"/>
          <w:marRight w:val="0"/>
          <w:marTop w:val="0"/>
          <w:marBottom w:val="0"/>
          <w:divBdr>
            <w:top w:val="none" w:sz="0" w:space="0" w:color="auto"/>
            <w:left w:val="none" w:sz="0" w:space="0" w:color="auto"/>
            <w:bottom w:val="none" w:sz="0" w:space="0" w:color="auto"/>
            <w:right w:val="none" w:sz="0" w:space="0" w:color="auto"/>
          </w:divBdr>
        </w:div>
      </w:divsChild>
    </w:div>
    <w:div w:id="609048622">
      <w:bodyDiv w:val="1"/>
      <w:marLeft w:val="0"/>
      <w:marRight w:val="0"/>
      <w:marTop w:val="0"/>
      <w:marBottom w:val="0"/>
      <w:divBdr>
        <w:top w:val="none" w:sz="0" w:space="0" w:color="auto"/>
        <w:left w:val="none" w:sz="0" w:space="0" w:color="auto"/>
        <w:bottom w:val="none" w:sz="0" w:space="0" w:color="auto"/>
        <w:right w:val="none" w:sz="0" w:space="0" w:color="auto"/>
      </w:divBdr>
      <w:divsChild>
        <w:div w:id="391582278">
          <w:marLeft w:val="0"/>
          <w:marRight w:val="0"/>
          <w:marTop w:val="0"/>
          <w:marBottom w:val="0"/>
          <w:divBdr>
            <w:top w:val="none" w:sz="0" w:space="0" w:color="auto"/>
            <w:left w:val="none" w:sz="0" w:space="0" w:color="auto"/>
            <w:bottom w:val="dotted" w:sz="6" w:space="4" w:color="DDDDDD"/>
            <w:right w:val="none" w:sz="0" w:space="0" w:color="auto"/>
          </w:divBdr>
        </w:div>
      </w:divsChild>
    </w:div>
    <w:div w:id="609514962">
      <w:bodyDiv w:val="1"/>
      <w:marLeft w:val="0"/>
      <w:marRight w:val="0"/>
      <w:marTop w:val="0"/>
      <w:marBottom w:val="0"/>
      <w:divBdr>
        <w:top w:val="none" w:sz="0" w:space="0" w:color="auto"/>
        <w:left w:val="none" w:sz="0" w:space="0" w:color="auto"/>
        <w:bottom w:val="none" w:sz="0" w:space="0" w:color="auto"/>
        <w:right w:val="none" w:sz="0" w:space="0" w:color="auto"/>
      </w:divBdr>
      <w:divsChild>
        <w:div w:id="245505590">
          <w:marLeft w:val="0"/>
          <w:marRight w:val="0"/>
          <w:marTop w:val="0"/>
          <w:marBottom w:val="150"/>
          <w:divBdr>
            <w:top w:val="none" w:sz="0" w:space="0" w:color="auto"/>
            <w:left w:val="none" w:sz="0" w:space="0" w:color="auto"/>
            <w:bottom w:val="none" w:sz="0" w:space="0" w:color="auto"/>
            <w:right w:val="none" w:sz="0" w:space="0" w:color="auto"/>
          </w:divBdr>
          <w:divsChild>
            <w:div w:id="1022634654">
              <w:marLeft w:val="0"/>
              <w:marRight w:val="0"/>
              <w:marTop w:val="0"/>
              <w:marBottom w:val="0"/>
              <w:divBdr>
                <w:top w:val="none" w:sz="0" w:space="0" w:color="auto"/>
                <w:left w:val="none" w:sz="0" w:space="0" w:color="auto"/>
                <w:bottom w:val="none" w:sz="0" w:space="0" w:color="auto"/>
                <w:right w:val="none" w:sz="0" w:space="0" w:color="auto"/>
              </w:divBdr>
              <w:divsChild>
                <w:div w:id="185572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298884">
          <w:marLeft w:val="0"/>
          <w:marRight w:val="0"/>
          <w:marTop w:val="0"/>
          <w:marBottom w:val="150"/>
          <w:divBdr>
            <w:top w:val="none" w:sz="0" w:space="0" w:color="auto"/>
            <w:left w:val="none" w:sz="0" w:space="0" w:color="auto"/>
            <w:bottom w:val="none" w:sz="0" w:space="0" w:color="auto"/>
            <w:right w:val="none" w:sz="0" w:space="0" w:color="auto"/>
          </w:divBdr>
        </w:div>
        <w:div w:id="1137644199">
          <w:marLeft w:val="0"/>
          <w:marRight w:val="0"/>
          <w:marTop w:val="0"/>
          <w:marBottom w:val="0"/>
          <w:divBdr>
            <w:top w:val="none" w:sz="0" w:space="0" w:color="auto"/>
            <w:left w:val="none" w:sz="0" w:space="0" w:color="auto"/>
            <w:bottom w:val="none" w:sz="0" w:space="0" w:color="auto"/>
            <w:right w:val="none" w:sz="0" w:space="0" w:color="auto"/>
          </w:divBdr>
          <w:divsChild>
            <w:div w:id="18587323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09557678">
      <w:bodyDiv w:val="1"/>
      <w:marLeft w:val="0"/>
      <w:marRight w:val="0"/>
      <w:marTop w:val="0"/>
      <w:marBottom w:val="0"/>
      <w:divBdr>
        <w:top w:val="none" w:sz="0" w:space="0" w:color="auto"/>
        <w:left w:val="none" w:sz="0" w:space="0" w:color="auto"/>
        <w:bottom w:val="none" w:sz="0" w:space="0" w:color="auto"/>
        <w:right w:val="none" w:sz="0" w:space="0" w:color="auto"/>
      </w:divBdr>
      <w:divsChild>
        <w:div w:id="1240290824">
          <w:marLeft w:val="0"/>
          <w:marRight w:val="0"/>
          <w:marTop w:val="0"/>
          <w:marBottom w:val="0"/>
          <w:divBdr>
            <w:top w:val="none" w:sz="0" w:space="0" w:color="auto"/>
            <w:left w:val="none" w:sz="0" w:space="0" w:color="auto"/>
            <w:bottom w:val="none" w:sz="0" w:space="0" w:color="auto"/>
            <w:right w:val="none" w:sz="0" w:space="0" w:color="auto"/>
          </w:divBdr>
          <w:divsChild>
            <w:div w:id="169561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749623">
      <w:bodyDiv w:val="1"/>
      <w:marLeft w:val="0"/>
      <w:marRight w:val="0"/>
      <w:marTop w:val="0"/>
      <w:marBottom w:val="0"/>
      <w:divBdr>
        <w:top w:val="none" w:sz="0" w:space="0" w:color="auto"/>
        <w:left w:val="none" w:sz="0" w:space="0" w:color="auto"/>
        <w:bottom w:val="none" w:sz="0" w:space="0" w:color="auto"/>
        <w:right w:val="none" w:sz="0" w:space="0" w:color="auto"/>
      </w:divBdr>
    </w:div>
    <w:div w:id="610479557">
      <w:bodyDiv w:val="1"/>
      <w:marLeft w:val="0"/>
      <w:marRight w:val="0"/>
      <w:marTop w:val="0"/>
      <w:marBottom w:val="0"/>
      <w:divBdr>
        <w:top w:val="none" w:sz="0" w:space="0" w:color="auto"/>
        <w:left w:val="none" w:sz="0" w:space="0" w:color="auto"/>
        <w:bottom w:val="none" w:sz="0" w:space="0" w:color="auto"/>
        <w:right w:val="none" w:sz="0" w:space="0" w:color="auto"/>
      </w:divBdr>
      <w:divsChild>
        <w:div w:id="700589870">
          <w:marLeft w:val="0"/>
          <w:marRight w:val="0"/>
          <w:marTop w:val="0"/>
          <w:marBottom w:val="0"/>
          <w:divBdr>
            <w:top w:val="none" w:sz="0" w:space="0" w:color="auto"/>
            <w:left w:val="none" w:sz="0" w:space="0" w:color="auto"/>
            <w:bottom w:val="dotted" w:sz="6" w:space="4" w:color="DDDDDD"/>
            <w:right w:val="none" w:sz="0" w:space="0" w:color="auto"/>
          </w:divBdr>
          <w:divsChild>
            <w:div w:id="193458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79792">
      <w:bodyDiv w:val="1"/>
      <w:marLeft w:val="0"/>
      <w:marRight w:val="0"/>
      <w:marTop w:val="0"/>
      <w:marBottom w:val="0"/>
      <w:divBdr>
        <w:top w:val="none" w:sz="0" w:space="0" w:color="auto"/>
        <w:left w:val="none" w:sz="0" w:space="0" w:color="auto"/>
        <w:bottom w:val="none" w:sz="0" w:space="0" w:color="auto"/>
        <w:right w:val="none" w:sz="0" w:space="0" w:color="auto"/>
      </w:divBdr>
    </w:div>
    <w:div w:id="611400030">
      <w:bodyDiv w:val="1"/>
      <w:marLeft w:val="0"/>
      <w:marRight w:val="0"/>
      <w:marTop w:val="0"/>
      <w:marBottom w:val="0"/>
      <w:divBdr>
        <w:top w:val="none" w:sz="0" w:space="0" w:color="auto"/>
        <w:left w:val="none" w:sz="0" w:space="0" w:color="auto"/>
        <w:bottom w:val="none" w:sz="0" w:space="0" w:color="auto"/>
        <w:right w:val="none" w:sz="0" w:space="0" w:color="auto"/>
      </w:divBdr>
    </w:div>
    <w:div w:id="611666081">
      <w:bodyDiv w:val="1"/>
      <w:marLeft w:val="0"/>
      <w:marRight w:val="0"/>
      <w:marTop w:val="0"/>
      <w:marBottom w:val="0"/>
      <w:divBdr>
        <w:top w:val="none" w:sz="0" w:space="0" w:color="auto"/>
        <w:left w:val="none" w:sz="0" w:space="0" w:color="auto"/>
        <w:bottom w:val="none" w:sz="0" w:space="0" w:color="auto"/>
        <w:right w:val="none" w:sz="0" w:space="0" w:color="auto"/>
      </w:divBdr>
      <w:divsChild>
        <w:div w:id="822238185">
          <w:marLeft w:val="0"/>
          <w:marRight w:val="0"/>
          <w:marTop w:val="0"/>
          <w:marBottom w:val="0"/>
          <w:divBdr>
            <w:top w:val="none" w:sz="0" w:space="0" w:color="auto"/>
            <w:left w:val="none" w:sz="0" w:space="0" w:color="auto"/>
            <w:bottom w:val="none" w:sz="0" w:space="0" w:color="auto"/>
            <w:right w:val="none" w:sz="0" w:space="0" w:color="auto"/>
          </w:divBdr>
          <w:divsChild>
            <w:div w:id="173879350">
              <w:marLeft w:val="0"/>
              <w:marRight w:val="0"/>
              <w:marTop w:val="0"/>
              <w:marBottom w:val="0"/>
              <w:divBdr>
                <w:top w:val="none" w:sz="0" w:space="0" w:color="auto"/>
                <w:left w:val="none" w:sz="0" w:space="0" w:color="auto"/>
                <w:bottom w:val="none" w:sz="0" w:space="0" w:color="auto"/>
                <w:right w:val="none" w:sz="0" w:space="0" w:color="auto"/>
              </w:divBdr>
            </w:div>
            <w:div w:id="5505045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11859925">
      <w:bodyDiv w:val="1"/>
      <w:marLeft w:val="0"/>
      <w:marRight w:val="0"/>
      <w:marTop w:val="0"/>
      <w:marBottom w:val="0"/>
      <w:divBdr>
        <w:top w:val="none" w:sz="0" w:space="0" w:color="auto"/>
        <w:left w:val="none" w:sz="0" w:space="0" w:color="auto"/>
        <w:bottom w:val="none" w:sz="0" w:space="0" w:color="auto"/>
        <w:right w:val="none" w:sz="0" w:space="0" w:color="auto"/>
      </w:divBdr>
      <w:divsChild>
        <w:div w:id="1784499286">
          <w:marLeft w:val="0"/>
          <w:marRight w:val="0"/>
          <w:marTop w:val="0"/>
          <w:marBottom w:val="0"/>
          <w:divBdr>
            <w:top w:val="none" w:sz="0" w:space="0" w:color="auto"/>
            <w:left w:val="none" w:sz="0" w:space="0" w:color="auto"/>
            <w:bottom w:val="dotted" w:sz="6" w:space="4" w:color="DDDDDD"/>
            <w:right w:val="none" w:sz="0" w:space="0" w:color="auto"/>
          </w:divBdr>
        </w:div>
      </w:divsChild>
    </w:div>
    <w:div w:id="611940221">
      <w:bodyDiv w:val="1"/>
      <w:marLeft w:val="0"/>
      <w:marRight w:val="0"/>
      <w:marTop w:val="0"/>
      <w:marBottom w:val="0"/>
      <w:divBdr>
        <w:top w:val="none" w:sz="0" w:space="0" w:color="auto"/>
        <w:left w:val="none" w:sz="0" w:space="0" w:color="auto"/>
        <w:bottom w:val="none" w:sz="0" w:space="0" w:color="auto"/>
        <w:right w:val="none" w:sz="0" w:space="0" w:color="auto"/>
      </w:divBdr>
      <w:divsChild>
        <w:div w:id="41174684">
          <w:marLeft w:val="0"/>
          <w:marRight w:val="0"/>
          <w:marTop w:val="0"/>
          <w:marBottom w:val="150"/>
          <w:divBdr>
            <w:top w:val="none" w:sz="0" w:space="0" w:color="auto"/>
            <w:left w:val="none" w:sz="0" w:space="0" w:color="auto"/>
            <w:bottom w:val="none" w:sz="0" w:space="0" w:color="auto"/>
            <w:right w:val="none" w:sz="0" w:space="0" w:color="auto"/>
          </w:divBdr>
          <w:divsChild>
            <w:div w:id="1162895423">
              <w:marLeft w:val="0"/>
              <w:marRight w:val="0"/>
              <w:marTop w:val="0"/>
              <w:marBottom w:val="0"/>
              <w:divBdr>
                <w:top w:val="none" w:sz="0" w:space="0" w:color="auto"/>
                <w:left w:val="none" w:sz="0" w:space="0" w:color="auto"/>
                <w:bottom w:val="none" w:sz="0" w:space="0" w:color="auto"/>
                <w:right w:val="none" w:sz="0" w:space="0" w:color="auto"/>
              </w:divBdr>
              <w:divsChild>
                <w:div w:id="146789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88894">
          <w:marLeft w:val="0"/>
          <w:marRight w:val="0"/>
          <w:marTop w:val="0"/>
          <w:marBottom w:val="0"/>
          <w:divBdr>
            <w:top w:val="none" w:sz="0" w:space="0" w:color="auto"/>
            <w:left w:val="none" w:sz="0" w:space="0" w:color="auto"/>
            <w:bottom w:val="none" w:sz="0" w:space="0" w:color="auto"/>
            <w:right w:val="none" w:sz="0" w:space="0" w:color="auto"/>
          </w:divBdr>
          <w:divsChild>
            <w:div w:id="1040670495">
              <w:marLeft w:val="0"/>
              <w:marRight w:val="0"/>
              <w:marTop w:val="225"/>
              <w:marBottom w:val="225"/>
              <w:divBdr>
                <w:top w:val="none" w:sz="0" w:space="0" w:color="auto"/>
                <w:left w:val="none" w:sz="0" w:space="0" w:color="auto"/>
                <w:bottom w:val="none" w:sz="0" w:space="0" w:color="auto"/>
                <w:right w:val="none" w:sz="0" w:space="0" w:color="auto"/>
              </w:divBdr>
            </w:div>
          </w:divsChild>
        </w:div>
        <w:div w:id="2035692249">
          <w:marLeft w:val="0"/>
          <w:marRight w:val="0"/>
          <w:marTop w:val="0"/>
          <w:marBottom w:val="150"/>
          <w:divBdr>
            <w:top w:val="none" w:sz="0" w:space="0" w:color="auto"/>
            <w:left w:val="none" w:sz="0" w:space="0" w:color="auto"/>
            <w:bottom w:val="none" w:sz="0" w:space="0" w:color="auto"/>
            <w:right w:val="none" w:sz="0" w:space="0" w:color="auto"/>
          </w:divBdr>
        </w:div>
      </w:divsChild>
    </w:div>
    <w:div w:id="612900431">
      <w:bodyDiv w:val="1"/>
      <w:marLeft w:val="0"/>
      <w:marRight w:val="0"/>
      <w:marTop w:val="0"/>
      <w:marBottom w:val="0"/>
      <w:divBdr>
        <w:top w:val="none" w:sz="0" w:space="0" w:color="auto"/>
        <w:left w:val="none" w:sz="0" w:space="0" w:color="auto"/>
        <w:bottom w:val="none" w:sz="0" w:space="0" w:color="auto"/>
        <w:right w:val="none" w:sz="0" w:space="0" w:color="auto"/>
      </w:divBdr>
    </w:div>
    <w:div w:id="612906401">
      <w:bodyDiv w:val="1"/>
      <w:marLeft w:val="0"/>
      <w:marRight w:val="0"/>
      <w:marTop w:val="0"/>
      <w:marBottom w:val="0"/>
      <w:divBdr>
        <w:top w:val="none" w:sz="0" w:space="0" w:color="auto"/>
        <w:left w:val="none" w:sz="0" w:space="0" w:color="auto"/>
        <w:bottom w:val="none" w:sz="0" w:space="0" w:color="auto"/>
        <w:right w:val="none" w:sz="0" w:space="0" w:color="auto"/>
      </w:divBdr>
      <w:divsChild>
        <w:div w:id="598296619">
          <w:marLeft w:val="0"/>
          <w:marRight w:val="0"/>
          <w:marTop w:val="0"/>
          <w:marBottom w:val="150"/>
          <w:divBdr>
            <w:top w:val="none" w:sz="0" w:space="0" w:color="auto"/>
            <w:left w:val="none" w:sz="0" w:space="0" w:color="auto"/>
            <w:bottom w:val="none" w:sz="0" w:space="0" w:color="auto"/>
            <w:right w:val="none" w:sz="0" w:space="0" w:color="auto"/>
          </w:divBdr>
        </w:div>
        <w:div w:id="599991596">
          <w:marLeft w:val="0"/>
          <w:marRight w:val="0"/>
          <w:marTop w:val="0"/>
          <w:marBottom w:val="0"/>
          <w:divBdr>
            <w:top w:val="none" w:sz="0" w:space="0" w:color="auto"/>
            <w:left w:val="none" w:sz="0" w:space="0" w:color="auto"/>
            <w:bottom w:val="none" w:sz="0" w:space="0" w:color="auto"/>
            <w:right w:val="none" w:sz="0" w:space="0" w:color="auto"/>
          </w:divBdr>
        </w:div>
      </w:divsChild>
    </w:div>
    <w:div w:id="612909460">
      <w:bodyDiv w:val="1"/>
      <w:marLeft w:val="0"/>
      <w:marRight w:val="0"/>
      <w:marTop w:val="0"/>
      <w:marBottom w:val="0"/>
      <w:divBdr>
        <w:top w:val="none" w:sz="0" w:space="0" w:color="auto"/>
        <w:left w:val="none" w:sz="0" w:space="0" w:color="auto"/>
        <w:bottom w:val="none" w:sz="0" w:space="0" w:color="auto"/>
        <w:right w:val="none" w:sz="0" w:space="0" w:color="auto"/>
      </w:divBdr>
      <w:divsChild>
        <w:div w:id="1647666954">
          <w:marLeft w:val="0"/>
          <w:marRight w:val="0"/>
          <w:marTop w:val="0"/>
          <w:marBottom w:val="0"/>
          <w:divBdr>
            <w:top w:val="none" w:sz="0" w:space="0" w:color="auto"/>
            <w:left w:val="none" w:sz="0" w:space="0" w:color="auto"/>
            <w:bottom w:val="dotted" w:sz="6" w:space="4" w:color="DDDDDD"/>
            <w:right w:val="none" w:sz="0" w:space="0" w:color="auto"/>
          </w:divBdr>
          <w:divsChild>
            <w:div w:id="2355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487218">
      <w:bodyDiv w:val="1"/>
      <w:marLeft w:val="0"/>
      <w:marRight w:val="0"/>
      <w:marTop w:val="0"/>
      <w:marBottom w:val="0"/>
      <w:divBdr>
        <w:top w:val="none" w:sz="0" w:space="0" w:color="auto"/>
        <w:left w:val="none" w:sz="0" w:space="0" w:color="auto"/>
        <w:bottom w:val="none" w:sz="0" w:space="0" w:color="auto"/>
        <w:right w:val="none" w:sz="0" w:space="0" w:color="auto"/>
      </w:divBdr>
      <w:divsChild>
        <w:div w:id="7608513">
          <w:marLeft w:val="0"/>
          <w:marRight w:val="0"/>
          <w:marTop w:val="0"/>
          <w:marBottom w:val="0"/>
          <w:divBdr>
            <w:top w:val="none" w:sz="0" w:space="0" w:color="auto"/>
            <w:left w:val="none" w:sz="0" w:space="0" w:color="auto"/>
            <w:bottom w:val="none" w:sz="0" w:space="0" w:color="auto"/>
            <w:right w:val="none" w:sz="0" w:space="0" w:color="auto"/>
          </w:divBdr>
          <w:divsChild>
            <w:div w:id="364597177">
              <w:marLeft w:val="0"/>
              <w:marRight w:val="0"/>
              <w:marTop w:val="0"/>
              <w:marBottom w:val="0"/>
              <w:divBdr>
                <w:top w:val="none" w:sz="0" w:space="0" w:color="auto"/>
                <w:left w:val="none" w:sz="0" w:space="0" w:color="auto"/>
                <w:bottom w:val="none" w:sz="0" w:space="0" w:color="auto"/>
                <w:right w:val="none" w:sz="0" w:space="0" w:color="auto"/>
              </w:divBdr>
            </w:div>
          </w:divsChild>
        </w:div>
        <w:div w:id="1093553447">
          <w:marLeft w:val="0"/>
          <w:marRight w:val="0"/>
          <w:marTop w:val="0"/>
          <w:marBottom w:val="150"/>
          <w:divBdr>
            <w:top w:val="none" w:sz="0" w:space="0" w:color="auto"/>
            <w:left w:val="none" w:sz="0" w:space="0" w:color="auto"/>
            <w:bottom w:val="none" w:sz="0" w:space="0" w:color="auto"/>
            <w:right w:val="none" w:sz="0" w:space="0" w:color="auto"/>
          </w:divBdr>
        </w:div>
        <w:div w:id="1439640214">
          <w:marLeft w:val="0"/>
          <w:marRight w:val="0"/>
          <w:marTop w:val="0"/>
          <w:marBottom w:val="150"/>
          <w:divBdr>
            <w:top w:val="none" w:sz="0" w:space="0" w:color="auto"/>
            <w:left w:val="none" w:sz="0" w:space="0" w:color="auto"/>
            <w:bottom w:val="none" w:sz="0" w:space="0" w:color="auto"/>
            <w:right w:val="none" w:sz="0" w:space="0" w:color="auto"/>
          </w:divBdr>
          <w:divsChild>
            <w:div w:id="51951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682541">
      <w:bodyDiv w:val="1"/>
      <w:marLeft w:val="0"/>
      <w:marRight w:val="0"/>
      <w:marTop w:val="0"/>
      <w:marBottom w:val="0"/>
      <w:divBdr>
        <w:top w:val="none" w:sz="0" w:space="0" w:color="auto"/>
        <w:left w:val="none" w:sz="0" w:space="0" w:color="auto"/>
        <w:bottom w:val="none" w:sz="0" w:space="0" w:color="auto"/>
        <w:right w:val="none" w:sz="0" w:space="0" w:color="auto"/>
      </w:divBdr>
      <w:divsChild>
        <w:div w:id="1628122870">
          <w:marLeft w:val="0"/>
          <w:marRight w:val="0"/>
          <w:marTop w:val="0"/>
          <w:marBottom w:val="0"/>
          <w:divBdr>
            <w:top w:val="none" w:sz="0" w:space="0" w:color="auto"/>
            <w:left w:val="none" w:sz="0" w:space="0" w:color="auto"/>
            <w:bottom w:val="dotted" w:sz="6" w:space="4" w:color="DDDDDD"/>
            <w:right w:val="none" w:sz="0" w:space="0" w:color="auto"/>
          </w:divBdr>
          <w:divsChild>
            <w:div w:id="117939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680379">
      <w:bodyDiv w:val="1"/>
      <w:marLeft w:val="0"/>
      <w:marRight w:val="0"/>
      <w:marTop w:val="0"/>
      <w:marBottom w:val="0"/>
      <w:divBdr>
        <w:top w:val="none" w:sz="0" w:space="0" w:color="auto"/>
        <w:left w:val="none" w:sz="0" w:space="0" w:color="auto"/>
        <w:bottom w:val="none" w:sz="0" w:space="0" w:color="auto"/>
        <w:right w:val="none" w:sz="0" w:space="0" w:color="auto"/>
      </w:divBdr>
      <w:divsChild>
        <w:div w:id="1424181744">
          <w:marLeft w:val="0"/>
          <w:marRight w:val="0"/>
          <w:marTop w:val="0"/>
          <w:marBottom w:val="0"/>
          <w:divBdr>
            <w:top w:val="none" w:sz="0" w:space="0" w:color="auto"/>
            <w:left w:val="none" w:sz="0" w:space="0" w:color="auto"/>
            <w:bottom w:val="none" w:sz="0" w:space="0" w:color="auto"/>
            <w:right w:val="none" w:sz="0" w:space="0" w:color="auto"/>
          </w:divBdr>
        </w:div>
      </w:divsChild>
    </w:div>
    <w:div w:id="614798208">
      <w:bodyDiv w:val="1"/>
      <w:marLeft w:val="0"/>
      <w:marRight w:val="0"/>
      <w:marTop w:val="0"/>
      <w:marBottom w:val="0"/>
      <w:divBdr>
        <w:top w:val="none" w:sz="0" w:space="0" w:color="auto"/>
        <w:left w:val="none" w:sz="0" w:space="0" w:color="auto"/>
        <w:bottom w:val="none" w:sz="0" w:space="0" w:color="auto"/>
        <w:right w:val="none" w:sz="0" w:space="0" w:color="auto"/>
      </w:divBdr>
      <w:divsChild>
        <w:div w:id="6298667">
          <w:marLeft w:val="0"/>
          <w:marRight w:val="0"/>
          <w:marTop w:val="0"/>
          <w:marBottom w:val="0"/>
          <w:divBdr>
            <w:top w:val="none" w:sz="0" w:space="0" w:color="auto"/>
            <w:left w:val="none" w:sz="0" w:space="0" w:color="auto"/>
            <w:bottom w:val="none" w:sz="0" w:space="0" w:color="auto"/>
            <w:right w:val="none" w:sz="0" w:space="0" w:color="auto"/>
          </w:divBdr>
          <w:divsChild>
            <w:div w:id="1303383121">
              <w:marLeft w:val="0"/>
              <w:marRight w:val="0"/>
              <w:marTop w:val="0"/>
              <w:marBottom w:val="0"/>
              <w:divBdr>
                <w:top w:val="none" w:sz="0" w:space="0" w:color="auto"/>
                <w:left w:val="none" w:sz="0" w:space="0" w:color="auto"/>
                <w:bottom w:val="none" w:sz="0" w:space="0" w:color="auto"/>
                <w:right w:val="none" w:sz="0" w:space="0" w:color="auto"/>
              </w:divBdr>
              <w:divsChild>
                <w:div w:id="801000685">
                  <w:marLeft w:val="0"/>
                  <w:marRight w:val="0"/>
                  <w:marTop w:val="0"/>
                  <w:marBottom w:val="0"/>
                  <w:divBdr>
                    <w:top w:val="none" w:sz="0" w:space="0" w:color="auto"/>
                    <w:left w:val="none" w:sz="0" w:space="0" w:color="auto"/>
                    <w:bottom w:val="none" w:sz="0" w:space="0" w:color="auto"/>
                    <w:right w:val="none" w:sz="0" w:space="0" w:color="auto"/>
                  </w:divBdr>
                  <w:divsChild>
                    <w:div w:id="1276405758">
                      <w:marLeft w:val="0"/>
                      <w:marRight w:val="0"/>
                      <w:marTop w:val="0"/>
                      <w:marBottom w:val="0"/>
                      <w:divBdr>
                        <w:top w:val="none" w:sz="0" w:space="0" w:color="auto"/>
                        <w:left w:val="none" w:sz="0" w:space="0" w:color="auto"/>
                        <w:bottom w:val="none" w:sz="0" w:space="0" w:color="auto"/>
                        <w:right w:val="none" w:sz="0" w:space="0" w:color="auto"/>
                      </w:divBdr>
                      <w:divsChild>
                        <w:div w:id="2058122337">
                          <w:marLeft w:val="0"/>
                          <w:marRight w:val="0"/>
                          <w:marTop w:val="0"/>
                          <w:marBottom w:val="0"/>
                          <w:divBdr>
                            <w:top w:val="none" w:sz="0" w:space="0" w:color="auto"/>
                            <w:left w:val="none" w:sz="0" w:space="0" w:color="auto"/>
                            <w:bottom w:val="none" w:sz="0" w:space="0" w:color="auto"/>
                            <w:right w:val="none" w:sz="0" w:space="0" w:color="auto"/>
                          </w:divBdr>
                          <w:divsChild>
                            <w:div w:id="1112091074">
                              <w:marLeft w:val="0"/>
                              <w:marRight w:val="0"/>
                              <w:marTop w:val="0"/>
                              <w:marBottom w:val="0"/>
                              <w:divBdr>
                                <w:top w:val="none" w:sz="0" w:space="0" w:color="auto"/>
                                <w:left w:val="none" w:sz="0" w:space="0" w:color="auto"/>
                                <w:bottom w:val="none" w:sz="0" w:space="0" w:color="auto"/>
                                <w:right w:val="none" w:sz="0" w:space="0" w:color="auto"/>
                              </w:divBdr>
                              <w:divsChild>
                                <w:div w:id="532961481">
                                  <w:marLeft w:val="0"/>
                                  <w:marRight w:val="0"/>
                                  <w:marTop w:val="0"/>
                                  <w:marBottom w:val="0"/>
                                  <w:divBdr>
                                    <w:top w:val="none" w:sz="0" w:space="0" w:color="auto"/>
                                    <w:left w:val="none" w:sz="0" w:space="0" w:color="auto"/>
                                    <w:bottom w:val="none" w:sz="0" w:space="0" w:color="auto"/>
                                    <w:right w:val="none" w:sz="0" w:space="0" w:color="auto"/>
                                  </w:divBdr>
                                  <w:divsChild>
                                    <w:div w:id="174726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5334239">
      <w:bodyDiv w:val="1"/>
      <w:marLeft w:val="0"/>
      <w:marRight w:val="0"/>
      <w:marTop w:val="0"/>
      <w:marBottom w:val="0"/>
      <w:divBdr>
        <w:top w:val="none" w:sz="0" w:space="0" w:color="auto"/>
        <w:left w:val="none" w:sz="0" w:space="0" w:color="auto"/>
        <w:bottom w:val="none" w:sz="0" w:space="0" w:color="auto"/>
        <w:right w:val="none" w:sz="0" w:space="0" w:color="auto"/>
      </w:divBdr>
      <w:divsChild>
        <w:div w:id="855971415">
          <w:marLeft w:val="0"/>
          <w:marRight w:val="0"/>
          <w:marTop w:val="0"/>
          <w:marBottom w:val="150"/>
          <w:divBdr>
            <w:top w:val="none" w:sz="0" w:space="0" w:color="auto"/>
            <w:left w:val="none" w:sz="0" w:space="0" w:color="auto"/>
            <w:bottom w:val="none" w:sz="0" w:space="0" w:color="auto"/>
            <w:right w:val="none" w:sz="0" w:space="0" w:color="auto"/>
          </w:divBdr>
        </w:div>
      </w:divsChild>
    </w:div>
    <w:div w:id="615909104">
      <w:bodyDiv w:val="1"/>
      <w:marLeft w:val="0"/>
      <w:marRight w:val="0"/>
      <w:marTop w:val="0"/>
      <w:marBottom w:val="0"/>
      <w:divBdr>
        <w:top w:val="none" w:sz="0" w:space="0" w:color="auto"/>
        <w:left w:val="none" w:sz="0" w:space="0" w:color="auto"/>
        <w:bottom w:val="none" w:sz="0" w:space="0" w:color="auto"/>
        <w:right w:val="none" w:sz="0" w:space="0" w:color="auto"/>
      </w:divBdr>
    </w:div>
    <w:div w:id="615913992">
      <w:bodyDiv w:val="1"/>
      <w:marLeft w:val="0"/>
      <w:marRight w:val="0"/>
      <w:marTop w:val="0"/>
      <w:marBottom w:val="0"/>
      <w:divBdr>
        <w:top w:val="none" w:sz="0" w:space="0" w:color="auto"/>
        <w:left w:val="none" w:sz="0" w:space="0" w:color="auto"/>
        <w:bottom w:val="none" w:sz="0" w:space="0" w:color="auto"/>
        <w:right w:val="none" w:sz="0" w:space="0" w:color="auto"/>
      </w:divBdr>
      <w:divsChild>
        <w:div w:id="786462436">
          <w:marLeft w:val="0"/>
          <w:marRight w:val="0"/>
          <w:marTop w:val="0"/>
          <w:marBottom w:val="0"/>
          <w:divBdr>
            <w:top w:val="none" w:sz="0" w:space="0" w:color="auto"/>
            <w:left w:val="none" w:sz="0" w:space="0" w:color="auto"/>
            <w:bottom w:val="none" w:sz="0" w:space="0" w:color="auto"/>
            <w:right w:val="none" w:sz="0" w:space="0" w:color="auto"/>
          </w:divBdr>
          <w:divsChild>
            <w:div w:id="352267925">
              <w:marLeft w:val="0"/>
              <w:marRight w:val="0"/>
              <w:marTop w:val="0"/>
              <w:marBottom w:val="0"/>
              <w:divBdr>
                <w:top w:val="none" w:sz="0" w:space="0" w:color="auto"/>
                <w:left w:val="none" w:sz="0" w:space="0" w:color="auto"/>
                <w:bottom w:val="none" w:sz="0" w:space="0" w:color="auto"/>
                <w:right w:val="none" w:sz="0" w:space="0" w:color="auto"/>
              </w:divBdr>
            </w:div>
            <w:div w:id="20807891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15916185">
      <w:bodyDiv w:val="1"/>
      <w:marLeft w:val="0"/>
      <w:marRight w:val="0"/>
      <w:marTop w:val="0"/>
      <w:marBottom w:val="0"/>
      <w:divBdr>
        <w:top w:val="none" w:sz="0" w:space="0" w:color="auto"/>
        <w:left w:val="none" w:sz="0" w:space="0" w:color="auto"/>
        <w:bottom w:val="none" w:sz="0" w:space="0" w:color="auto"/>
        <w:right w:val="none" w:sz="0" w:space="0" w:color="auto"/>
      </w:divBdr>
      <w:divsChild>
        <w:div w:id="585117794">
          <w:marLeft w:val="0"/>
          <w:marRight w:val="0"/>
          <w:marTop w:val="0"/>
          <w:marBottom w:val="0"/>
          <w:divBdr>
            <w:top w:val="none" w:sz="0" w:space="0" w:color="auto"/>
            <w:left w:val="none" w:sz="0" w:space="0" w:color="auto"/>
            <w:bottom w:val="none" w:sz="0" w:space="0" w:color="auto"/>
            <w:right w:val="none" w:sz="0" w:space="0" w:color="auto"/>
          </w:divBdr>
          <w:divsChild>
            <w:div w:id="873884347">
              <w:marLeft w:val="0"/>
              <w:marRight w:val="0"/>
              <w:marTop w:val="0"/>
              <w:marBottom w:val="0"/>
              <w:divBdr>
                <w:top w:val="none" w:sz="0" w:space="0" w:color="auto"/>
                <w:left w:val="none" w:sz="0" w:space="0" w:color="auto"/>
                <w:bottom w:val="none" w:sz="0" w:space="0" w:color="auto"/>
                <w:right w:val="none" w:sz="0" w:space="0" w:color="auto"/>
              </w:divBdr>
              <w:divsChild>
                <w:div w:id="615596495">
                  <w:marLeft w:val="0"/>
                  <w:marRight w:val="0"/>
                  <w:marTop w:val="0"/>
                  <w:marBottom w:val="0"/>
                  <w:divBdr>
                    <w:top w:val="none" w:sz="0" w:space="0" w:color="auto"/>
                    <w:left w:val="none" w:sz="0" w:space="0" w:color="auto"/>
                    <w:bottom w:val="none" w:sz="0" w:space="0" w:color="auto"/>
                    <w:right w:val="none" w:sz="0" w:space="0" w:color="auto"/>
                  </w:divBdr>
                  <w:divsChild>
                    <w:div w:id="45691868">
                      <w:marLeft w:val="0"/>
                      <w:marRight w:val="0"/>
                      <w:marTop w:val="0"/>
                      <w:marBottom w:val="300"/>
                      <w:divBdr>
                        <w:top w:val="none" w:sz="0" w:space="0" w:color="auto"/>
                        <w:left w:val="none" w:sz="0" w:space="0" w:color="auto"/>
                        <w:bottom w:val="none" w:sz="0" w:space="0" w:color="auto"/>
                        <w:right w:val="none" w:sz="0" w:space="0" w:color="auto"/>
                      </w:divBdr>
                      <w:divsChild>
                        <w:div w:id="1224483342">
                          <w:marLeft w:val="0"/>
                          <w:marRight w:val="0"/>
                          <w:marTop w:val="0"/>
                          <w:marBottom w:val="225"/>
                          <w:divBdr>
                            <w:top w:val="single" w:sz="6" w:space="11" w:color="E5E5E5"/>
                            <w:left w:val="single" w:sz="6" w:space="11" w:color="E5E5E5"/>
                            <w:bottom w:val="single" w:sz="6" w:space="1" w:color="E5E5E5"/>
                            <w:right w:val="single" w:sz="6" w:space="11" w:color="E5E5E5"/>
                          </w:divBdr>
                          <w:divsChild>
                            <w:div w:id="715081254">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2112553918">
          <w:marLeft w:val="0"/>
          <w:marRight w:val="0"/>
          <w:marTop w:val="0"/>
          <w:marBottom w:val="0"/>
          <w:divBdr>
            <w:top w:val="single" w:sz="6" w:space="0" w:color="E5E5E5"/>
            <w:left w:val="none" w:sz="0" w:space="0" w:color="auto"/>
            <w:bottom w:val="single" w:sz="18" w:space="0" w:color="000000"/>
            <w:right w:val="none" w:sz="0" w:space="0" w:color="auto"/>
          </w:divBdr>
          <w:divsChild>
            <w:div w:id="967976352">
              <w:marLeft w:val="0"/>
              <w:marRight w:val="0"/>
              <w:marTop w:val="0"/>
              <w:marBottom w:val="0"/>
              <w:divBdr>
                <w:top w:val="none" w:sz="0" w:space="0" w:color="auto"/>
                <w:left w:val="none" w:sz="0" w:space="0" w:color="auto"/>
                <w:bottom w:val="none" w:sz="0" w:space="0" w:color="auto"/>
                <w:right w:val="none" w:sz="0" w:space="0" w:color="auto"/>
              </w:divBdr>
              <w:divsChild>
                <w:div w:id="202555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983599">
      <w:bodyDiv w:val="1"/>
      <w:marLeft w:val="0"/>
      <w:marRight w:val="0"/>
      <w:marTop w:val="0"/>
      <w:marBottom w:val="0"/>
      <w:divBdr>
        <w:top w:val="none" w:sz="0" w:space="0" w:color="auto"/>
        <w:left w:val="none" w:sz="0" w:space="0" w:color="auto"/>
        <w:bottom w:val="none" w:sz="0" w:space="0" w:color="auto"/>
        <w:right w:val="none" w:sz="0" w:space="0" w:color="auto"/>
      </w:divBdr>
      <w:divsChild>
        <w:div w:id="138350771">
          <w:marLeft w:val="0"/>
          <w:marRight w:val="0"/>
          <w:marTop w:val="0"/>
          <w:marBottom w:val="0"/>
          <w:divBdr>
            <w:top w:val="none" w:sz="0" w:space="0" w:color="auto"/>
            <w:left w:val="none" w:sz="0" w:space="0" w:color="auto"/>
            <w:bottom w:val="none" w:sz="0" w:space="0" w:color="auto"/>
            <w:right w:val="none" w:sz="0" w:space="0" w:color="auto"/>
          </w:divBdr>
          <w:divsChild>
            <w:div w:id="927540066">
              <w:marLeft w:val="0"/>
              <w:marRight w:val="0"/>
              <w:marTop w:val="0"/>
              <w:marBottom w:val="0"/>
              <w:divBdr>
                <w:top w:val="none" w:sz="0" w:space="0" w:color="auto"/>
                <w:left w:val="none" w:sz="0" w:space="0" w:color="auto"/>
                <w:bottom w:val="none" w:sz="0" w:space="0" w:color="auto"/>
                <w:right w:val="none" w:sz="0" w:space="0" w:color="auto"/>
              </w:divBdr>
              <w:divsChild>
                <w:div w:id="1176576771">
                  <w:marLeft w:val="0"/>
                  <w:marRight w:val="0"/>
                  <w:marTop w:val="0"/>
                  <w:marBottom w:val="0"/>
                  <w:divBdr>
                    <w:top w:val="none" w:sz="0" w:space="0" w:color="auto"/>
                    <w:left w:val="none" w:sz="0" w:space="0" w:color="auto"/>
                    <w:bottom w:val="none" w:sz="0" w:space="0" w:color="auto"/>
                    <w:right w:val="none" w:sz="0" w:space="0" w:color="auto"/>
                  </w:divBdr>
                  <w:divsChild>
                    <w:div w:id="1166825119">
                      <w:marLeft w:val="0"/>
                      <w:marRight w:val="0"/>
                      <w:marTop w:val="0"/>
                      <w:marBottom w:val="0"/>
                      <w:divBdr>
                        <w:top w:val="none" w:sz="0" w:space="0" w:color="auto"/>
                        <w:left w:val="none" w:sz="0" w:space="0" w:color="auto"/>
                        <w:bottom w:val="none" w:sz="0" w:space="0" w:color="auto"/>
                        <w:right w:val="none" w:sz="0" w:space="0" w:color="auto"/>
                      </w:divBdr>
                      <w:divsChild>
                        <w:div w:id="540630628">
                          <w:marLeft w:val="0"/>
                          <w:marRight w:val="0"/>
                          <w:marTop w:val="0"/>
                          <w:marBottom w:val="0"/>
                          <w:divBdr>
                            <w:top w:val="none" w:sz="0" w:space="0" w:color="auto"/>
                            <w:left w:val="none" w:sz="0" w:space="0" w:color="auto"/>
                            <w:bottom w:val="none" w:sz="0" w:space="0" w:color="auto"/>
                            <w:right w:val="none" w:sz="0" w:space="0" w:color="auto"/>
                          </w:divBdr>
                          <w:divsChild>
                            <w:div w:id="2066952353">
                              <w:marLeft w:val="0"/>
                              <w:marRight w:val="0"/>
                              <w:marTop w:val="0"/>
                              <w:marBottom w:val="0"/>
                              <w:divBdr>
                                <w:top w:val="none" w:sz="0" w:space="0" w:color="auto"/>
                                <w:left w:val="none" w:sz="0" w:space="0" w:color="auto"/>
                                <w:bottom w:val="none" w:sz="0" w:space="0" w:color="auto"/>
                                <w:right w:val="none" w:sz="0" w:space="0" w:color="auto"/>
                              </w:divBdr>
                              <w:divsChild>
                                <w:div w:id="2095778927">
                                  <w:marLeft w:val="0"/>
                                  <w:marRight w:val="0"/>
                                  <w:marTop w:val="0"/>
                                  <w:marBottom w:val="0"/>
                                  <w:divBdr>
                                    <w:top w:val="none" w:sz="0" w:space="0" w:color="auto"/>
                                    <w:left w:val="none" w:sz="0" w:space="0" w:color="auto"/>
                                    <w:bottom w:val="none" w:sz="0" w:space="0" w:color="auto"/>
                                    <w:right w:val="none" w:sz="0" w:space="0" w:color="auto"/>
                                  </w:divBdr>
                                  <w:divsChild>
                                    <w:div w:id="81711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034117">
      <w:bodyDiv w:val="1"/>
      <w:marLeft w:val="0"/>
      <w:marRight w:val="0"/>
      <w:marTop w:val="0"/>
      <w:marBottom w:val="0"/>
      <w:divBdr>
        <w:top w:val="none" w:sz="0" w:space="0" w:color="auto"/>
        <w:left w:val="none" w:sz="0" w:space="0" w:color="auto"/>
        <w:bottom w:val="none" w:sz="0" w:space="0" w:color="auto"/>
        <w:right w:val="none" w:sz="0" w:space="0" w:color="auto"/>
      </w:divBdr>
      <w:divsChild>
        <w:div w:id="1352687273">
          <w:marLeft w:val="0"/>
          <w:marRight w:val="0"/>
          <w:marTop w:val="0"/>
          <w:marBottom w:val="0"/>
          <w:divBdr>
            <w:top w:val="none" w:sz="0" w:space="0" w:color="auto"/>
            <w:left w:val="none" w:sz="0" w:space="0" w:color="auto"/>
            <w:bottom w:val="none" w:sz="0" w:space="0" w:color="auto"/>
            <w:right w:val="none" w:sz="0" w:space="0" w:color="auto"/>
          </w:divBdr>
        </w:div>
      </w:divsChild>
    </w:div>
    <w:div w:id="617034291">
      <w:bodyDiv w:val="1"/>
      <w:marLeft w:val="0"/>
      <w:marRight w:val="0"/>
      <w:marTop w:val="0"/>
      <w:marBottom w:val="0"/>
      <w:divBdr>
        <w:top w:val="none" w:sz="0" w:space="0" w:color="auto"/>
        <w:left w:val="none" w:sz="0" w:space="0" w:color="auto"/>
        <w:bottom w:val="none" w:sz="0" w:space="0" w:color="auto"/>
        <w:right w:val="none" w:sz="0" w:space="0" w:color="auto"/>
      </w:divBdr>
      <w:divsChild>
        <w:div w:id="1672371060">
          <w:marLeft w:val="0"/>
          <w:marRight w:val="0"/>
          <w:marTop w:val="0"/>
          <w:marBottom w:val="0"/>
          <w:divBdr>
            <w:top w:val="none" w:sz="0" w:space="0" w:color="auto"/>
            <w:left w:val="none" w:sz="0" w:space="0" w:color="auto"/>
            <w:bottom w:val="dotted" w:sz="6" w:space="4" w:color="DDDDDD"/>
            <w:right w:val="none" w:sz="0" w:space="0" w:color="auto"/>
          </w:divBdr>
          <w:divsChild>
            <w:div w:id="14750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447039">
      <w:bodyDiv w:val="1"/>
      <w:marLeft w:val="0"/>
      <w:marRight w:val="0"/>
      <w:marTop w:val="0"/>
      <w:marBottom w:val="0"/>
      <w:divBdr>
        <w:top w:val="none" w:sz="0" w:space="0" w:color="auto"/>
        <w:left w:val="none" w:sz="0" w:space="0" w:color="auto"/>
        <w:bottom w:val="none" w:sz="0" w:space="0" w:color="auto"/>
        <w:right w:val="none" w:sz="0" w:space="0" w:color="auto"/>
      </w:divBdr>
      <w:divsChild>
        <w:div w:id="1416711201">
          <w:marLeft w:val="0"/>
          <w:marRight w:val="0"/>
          <w:marTop w:val="0"/>
          <w:marBottom w:val="0"/>
          <w:divBdr>
            <w:top w:val="none" w:sz="0" w:space="0" w:color="auto"/>
            <w:left w:val="none" w:sz="0" w:space="0" w:color="auto"/>
            <w:bottom w:val="none" w:sz="0" w:space="0" w:color="auto"/>
            <w:right w:val="none" w:sz="0" w:space="0" w:color="auto"/>
          </w:divBdr>
        </w:div>
        <w:div w:id="2121411336">
          <w:marLeft w:val="0"/>
          <w:marRight w:val="0"/>
          <w:marTop w:val="0"/>
          <w:marBottom w:val="150"/>
          <w:divBdr>
            <w:top w:val="none" w:sz="0" w:space="0" w:color="auto"/>
            <w:left w:val="none" w:sz="0" w:space="0" w:color="auto"/>
            <w:bottom w:val="none" w:sz="0" w:space="0" w:color="auto"/>
            <w:right w:val="none" w:sz="0" w:space="0" w:color="auto"/>
          </w:divBdr>
        </w:div>
      </w:divsChild>
    </w:div>
    <w:div w:id="617487245">
      <w:bodyDiv w:val="1"/>
      <w:marLeft w:val="0"/>
      <w:marRight w:val="0"/>
      <w:marTop w:val="439"/>
      <w:marBottom w:val="0"/>
      <w:divBdr>
        <w:top w:val="none" w:sz="0" w:space="0" w:color="auto"/>
        <w:left w:val="none" w:sz="0" w:space="0" w:color="auto"/>
        <w:bottom w:val="none" w:sz="0" w:space="0" w:color="auto"/>
        <w:right w:val="none" w:sz="0" w:space="0" w:color="auto"/>
      </w:divBdr>
      <w:divsChild>
        <w:div w:id="1182356727">
          <w:marLeft w:val="0"/>
          <w:marRight w:val="0"/>
          <w:marTop w:val="0"/>
          <w:marBottom w:val="0"/>
          <w:divBdr>
            <w:top w:val="none" w:sz="0" w:space="0" w:color="auto"/>
            <w:left w:val="single" w:sz="6" w:space="0" w:color="ECECEC"/>
            <w:bottom w:val="none" w:sz="0" w:space="0" w:color="auto"/>
            <w:right w:val="single" w:sz="6" w:space="0" w:color="ECECEC"/>
          </w:divBdr>
          <w:divsChild>
            <w:div w:id="1589192161">
              <w:marLeft w:val="0"/>
              <w:marRight w:val="0"/>
              <w:marTop w:val="0"/>
              <w:marBottom w:val="0"/>
              <w:divBdr>
                <w:top w:val="none" w:sz="0" w:space="0" w:color="auto"/>
                <w:left w:val="none" w:sz="0" w:space="0" w:color="auto"/>
                <w:bottom w:val="none" w:sz="0" w:space="0" w:color="auto"/>
                <w:right w:val="none" w:sz="0" w:space="0" w:color="auto"/>
              </w:divBdr>
              <w:divsChild>
                <w:div w:id="440614719">
                  <w:marLeft w:val="0"/>
                  <w:marRight w:val="0"/>
                  <w:marTop w:val="0"/>
                  <w:marBottom w:val="0"/>
                  <w:divBdr>
                    <w:top w:val="none" w:sz="0" w:space="0" w:color="auto"/>
                    <w:left w:val="none" w:sz="0" w:space="0" w:color="auto"/>
                    <w:bottom w:val="none" w:sz="0" w:space="0" w:color="auto"/>
                    <w:right w:val="none" w:sz="0" w:space="0" w:color="auto"/>
                  </w:divBdr>
                  <w:divsChild>
                    <w:div w:id="663171005">
                      <w:marLeft w:val="0"/>
                      <w:marRight w:val="0"/>
                      <w:marTop w:val="0"/>
                      <w:marBottom w:val="0"/>
                      <w:divBdr>
                        <w:top w:val="none" w:sz="0" w:space="0" w:color="auto"/>
                        <w:left w:val="none" w:sz="0" w:space="0" w:color="auto"/>
                        <w:bottom w:val="none" w:sz="0" w:space="0" w:color="auto"/>
                        <w:right w:val="none" w:sz="0" w:space="0" w:color="auto"/>
                      </w:divBdr>
                      <w:divsChild>
                        <w:div w:id="1428504583">
                          <w:marLeft w:val="0"/>
                          <w:marRight w:val="0"/>
                          <w:marTop w:val="0"/>
                          <w:marBottom w:val="0"/>
                          <w:divBdr>
                            <w:top w:val="none" w:sz="0" w:space="0" w:color="auto"/>
                            <w:left w:val="none" w:sz="0" w:space="0" w:color="auto"/>
                            <w:bottom w:val="none" w:sz="0" w:space="0" w:color="auto"/>
                            <w:right w:val="none" w:sz="0" w:space="0" w:color="auto"/>
                          </w:divBdr>
                          <w:divsChild>
                            <w:div w:id="273370784">
                              <w:marLeft w:val="-5268"/>
                              <w:marRight w:val="0"/>
                              <w:marTop w:val="0"/>
                              <w:marBottom w:val="0"/>
                              <w:divBdr>
                                <w:top w:val="single" w:sz="6" w:space="11" w:color="000000"/>
                                <w:left w:val="single" w:sz="6" w:space="11" w:color="000000"/>
                                <w:bottom w:val="single" w:sz="6" w:space="11" w:color="000000"/>
                                <w:right w:val="single" w:sz="6" w:space="11" w:color="000000"/>
                              </w:divBdr>
                            </w:div>
                            <w:div w:id="1237083927">
                              <w:marLeft w:val="0"/>
                              <w:marRight w:val="0"/>
                              <w:marTop w:val="0"/>
                              <w:marBottom w:val="0"/>
                              <w:divBdr>
                                <w:top w:val="none" w:sz="0" w:space="0" w:color="auto"/>
                                <w:left w:val="none" w:sz="0" w:space="0" w:color="auto"/>
                                <w:bottom w:val="none" w:sz="0" w:space="0" w:color="auto"/>
                                <w:right w:val="none" w:sz="0" w:space="0" w:color="auto"/>
                              </w:divBdr>
                            </w:div>
                            <w:div w:id="1912035952">
                              <w:marLeft w:val="0"/>
                              <w:marRight w:val="0"/>
                              <w:marTop w:val="0"/>
                              <w:marBottom w:val="0"/>
                              <w:divBdr>
                                <w:top w:val="none" w:sz="0" w:space="0" w:color="auto"/>
                                <w:left w:val="none" w:sz="0" w:space="0" w:color="auto"/>
                                <w:bottom w:val="none" w:sz="0" w:space="0" w:color="auto"/>
                                <w:right w:val="none" w:sz="0" w:space="0" w:color="auto"/>
                              </w:divBdr>
                            </w:div>
                            <w:div w:id="2045055686">
                              <w:marLeft w:val="0"/>
                              <w:marRight w:val="0"/>
                              <w:marTop w:val="0"/>
                              <w:marBottom w:val="0"/>
                              <w:divBdr>
                                <w:top w:val="none" w:sz="0" w:space="0" w:color="auto"/>
                                <w:left w:val="none" w:sz="0" w:space="0" w:color="auto"/>
                                <w:bottom w:val="none" w:sz="0" w:space="0" w:color="auto"/>
                                <w:right w:val="none" w:sz="0" w:space="0" w:color="auto"/>
                              </w:divBdr>
                              <w:divsChild>
                                <w:div w:id="975258068">
                                  <w:marLeft w:val="0"/>
                                  <w:marRight w:val="0"/>
                                  <w:marTop w:val="0"/>
                                  <w:marBottom w:val="0"/>
                                  <w:divBdr>
                                    <w:top w:val="none" w:sz="0" w:space="0" w:color="auto"/>
                                    <w:left w:val="none" w:sz="0" w:space="0" w:color="auto"/>
                                    <w:bottom w:val="none" w:sz="0" w:space="0" w:color="auto"/>
                                    <w:right w:val="none" w:sz="0" w:space="0" w:color="auto"/>
                                  </w:divBdr>
                                </w:div>
                              </w:divsChild>
                            </w:div>
                            <w:div w:id="2126387708">
                              <w:marLeft w:val="0"/>
                              <w:marRight w:val="0"/>
                              <w:marTop w:val="0"/>
                              <w:marBottom w:val="0"/>
                              <w:divBdr>
                                <w:top w:val="none" w:sz="0" w:space="0" w:color="auto"/>
                                <w:left w:val="none" w:sz="0" w:space="0" w:color="auto"/>
                                <w:bottom w:val="none" w:sz="0" w:space="0" w:color="auto"/>
                                <w:right w:val="none" w:sz="0" w:space="0" w:color="auto"/>
                              </w:divBdr>
                              <w:divsChild>
                                <w:div w:id="200829652">
                                  <w:marLeft w:val="0"/>
                                  <w:marRight w:val="0"/>
                                  <w:marTop w:val="0"/>
                                  <w:marBottom w:val="0"/>
                                  <w:divBdr>
                                    <w:top w:val="single" w:sz="6" w:space="4" w:color="D7D7D7"/>
                                    <w:left w:val="single" w:sz="6" w:space="4" w:color="D7D7D7"/>
                                    <w:bottom w:val="single" w:sz="6" w:space="4" w:color="D7D7D7"/>
                                    <w:right w:val="single" w:sz="6" w:space="4" w:color="D7D7D7"/>
                                  </w:divBdr>
                                  <w:divsChild>
                                    <w:div w:id="447162708">
                                      <w:marLeft w:val="0"/>
                                      <w:marRight w:val="0"/>
                                      <w:marTop w:val="176"/>
                                      <w:marBottom w:val="176"/>
                                      <w:divBdr>
                                        <w:top w:val="none" w:sz="0" w:space="0" w:color="auto"/>
                                        <w:left w:val="none" w:sz="0" w:space="0" w:color="auto"/>
                                        <w:bottom w:val="none" w:sz="0" w:space="0" w:color="auto"/>
                                        <w:right w:val="none" w:sz="0" w:space="0" w:color="auto"/>
                                      </w:divBdr>
                                      <w:divsChild>
                                        <w:div w:id="1765419308">
                                          <w:marLeft w:val="0"/>
                                          <w:marRight w:val="0"/>
                                          <w:marTop w:val="0"/>
                                          <w:marBottom w:val="0"/>
                                          <w:divBdr>
                                            <w:top w:val="none" w:sz="0" w:space="0" w:color="auto"/>
                                            <w:left w:val="none" w:sz="0" w:space="0" w:color="auto"/>
                                            <w:bottom w:val="none" w:sz="0" w:space="0" w:color="auto"/>
                                            <w:right w:val="none" w:sz="0" w:space="0" w:color="auto"/>
                                          </w:divBdr>
                                        </w:div>
                                      </w:divsChild>
                                    </w:div>
                                    <w:div w:id="500436622">
                                      <w:marLeft w:val="0"/>
                                      <w:marRight w:val="0"/>
                                      <w:marTop w:val="176"/>
                                      <w:marBottom w:val="176"/>
                                      <w:divBdr>
                                        <w:top w:val="none" w:sz="0" w:space="0" w:color="auto"/>
                                        <w:left w:val="none" w:sz="0" w:space="0" w:color="auto"/>
                                        <w:bottom w:val="none" w:sz="0" w:space="0" w:color="auto"/>
                                        <w:right w:val="none" w:sz="0" w:space="0" w:color="auto"/>
                                      </w:divBdr>
                                      <w:divsChild>
                                        <w:div w:id="294527565">
                                          <w:marLeft w:val="0"/>
                                          <w:marRight w:val="0"/>
                                          <w:marTop w:val="0"/>
                                          <w:marBottom w:val="0"/>
                                          <w:divBdr>
                                            <w:top w:val="none" w:sz="0" w:space="0" w:color="auto"/>
                                            <w:left w:val="none" w:sz="0" w:space="0" w:color="auto"/>
                                            <w:bottom w:val="none" w:sz="0" w:space="0" w:color="auto"/>
                                            <w:right w:val="none" w:sz="0" w:space="0" w:color="auto"/>
                                          </w:divBdr>
                                        </w:div>
                                        <w:div w:id="464667620">
                                          <w:marLeft w:val="0"/>
                                          <w:marRight w:val="0"/>
                                          <w:marTop w:val="0"/>
                                          <w:marBottom w:val="0"/>
                                          <w:divBdr>
                                            <w:top w:val="none" w:sz="0" w:space="0" w:color="auto"/>
                                            <w:left w:val="none" w:sz="0" w:space="0" w:color="auto"/>
                                            <w:bottom w:val="none" w:sz="0" w:space="0" w:color="auto"/>
                                            <w:right w:val="none" w:sz="0" w:space="0" w:color="auto"/>
                                          </w:divBdr>
                                        </w:div>
                                        <w:div w:id="1846944467">
                                          <w:marLeft w:val="0"/>
                                          <w:marRight w:val="0"/>
                                          <w:marTop w:val="0"/>
                                          <w:marBottom w:val="0"/>
                                          <w:divBdr>
                                            <w:top w:val="none" w:sz="0" w:space="0" w:color="auto"/>
                                            <w:left w:val="none" w:sz="0" w:space="0" w:color="auto"/>
                                            <w:bottom w:val="none" w:sz="0" w:space="0" w:color="auto"/>
                                            <w:right w:val="none" w:sz="0" w:space="0" w:color="auto"/>
                                          </w:divBdr>
                                        </w:div>
                                      </w:divsChild>
                                    </w:div>
                                    <w:div w:id="1442264594">
                                      <w:marLeft w:val="0"/>
                                      <w:marRight w:val="0"/>
                                      <w:marTop w:val="176"/>
                                      <w:marBottom w:val="176"/>
                                      <w:divBdr>
                                        <w:top w:val="none" w:sz="0" w:space="0" w:color="auto"/>
                                        <w:left w:val="none" w:sz="0" w:space="0" w:color="auto"/>
                                        <w:bottom w:val="none" w:sz="0" w:space="0" w:color="auto"/>
                                        <w:right w:val="none" w:sz="0" w:space="0" w:color="auto"/>
                                      </w:divBdr>
                                    </w:div>
                                    <w:div w:id="1692680964">
                                      <w:marLeft w:val="0"/>
                                      <w:marRight w:val="0"/>
                                      <w:marTop w:val="0"/>
                                      <w:marBottom w:val="0"/>
                                      <w:divBdr>
                                        <w:top w:val="none" w:sz="0" w:space="0" w:color="auto"/>
                                        <w:left w:val="none" w:sz="0" w:space="0" w:color="auto"/>
                                        <w:bottom w:val="none" w:sz="0" w:space="0" w:color="auto"/>
                                        <w:right w:val="none" w:sz="0" w:space="0" w:color="auto"/>
                                      </w:divBdr>
                                      <w:divsChild>
                                        <w:div w:id="1759868882">
                                          <w:marLeft w:val="0"/>
                                          <w:marRight w:val="0"/>
                                          <w:marTop w:val="0"/>
                                          <w:marBottom w:val="0"/>
                                          <w:divBdr>
                                            <w:top w:val="none" w:sz="0" w:space="0" w:color="auto"/>
                                            <w:left w:val="none" w:sz="0" w:space="0" w:color="auto"/>
                                            <w:bottom w:val="none" w:sz="0" w:space="0" w:color="auto"/>
                                            <w:right w:val="none" w:sz="0" w:space="0" w:color="auto"/>
                                          </w:divBdr>
                                          <w:divsChild>
                                            <w:div w:id="1565066913">
                                              <w:marLeft w:val="0"/>
                                              <w:marRight w:val="0"/>
                                              <w:marTop w:val="0"/>
                                              <w:marBottom w:val="0"/>
                                              <w:divBdr>
                                                <w:top w:val="none" w:sz="0" w:space="0" w:color="auto"/>
                                                <w:left w:val="none" w:sz="0" w:space="0" w:color="auto"/>
                                                <w:bottom w:val="none" w:sz="0" w:space="0" w:color="auto"/>
                                                <w:right w:val="none" w:sz="0" w:space="0" w:color="auto"/>
                                              </w:divBdr>
                                            </w:div>
                                          </w:divsChild>
                                        </w:div>
                                        <w:div w:id="1788350294">
                                          <w:marLeft w:val="0"/>
                                          <w:marRight w:val="0"/>
                                          <w:marTop w:val="0"/>
                                          <w:marBottom w:val="0"/>
                                          <w:divBdr>
                                            <w:top w:val="none" w:sz="0" w:space="0" w:color="auto"/>
                                            <w:left w:val="none" w:sz="0" w:space="0" w:color="auto"/>
                                            <w:bottom w:val="none" w:sz="0" w:space="0" w:color="auto"/>
                                            <w:right w:val="none" w:sz="0" w:space="0" w:color="auto"/>
                                          </w:divBdr>
                                        </w:div>
                                      </w:divsChild>
                                    </w:div>
                                    <w:div w:id="1796362711">
                                      <w:marLeft w:val="0"/>
                                      <w:marRight w:val="0"/>
                                      <w:marTop w:val="176"/>
                                      <w:marBottom w:val="176"/>
                                      <w:divBdr>
                                        <w:top w:val="none" w:sz="0" w:space="0" w:color="auto"/>
                                        <w:left w:val="none" w:sz="0" w:space="0" w:color="auto"/>
                                        <w:bottom w:val="none" w:sz="0" w:space="0" w:color="auto"/>
                                        <w:right w:val="none" w:sz="0" w:space="0" w:color="auto"/>
                                      </w:divBdr>
                                    </w:div>
                                  </w:divsChild>
                                </w:div>
                                <w:div w:id="421947799">
                                  <w:marLeft w:val="0"/>
                                  <w:marRight w:val="0"/>
                                  <w:marTop w:val="0"/>
                                  <w:marBottom w:val="176"/>
                                  <w:divBdr>
                                    <w:top w:val="none" w:sz="0" w:space="0" w:color="auto"/>
                                    <w:left w:val="none" w:sz="0" w:space="0" w:color="auto"/>
                                    <w:bottom w:val="none" w:sz="0" w:space="0" w:color="auto"/>
                                    <w:right w:val="none" w:sz="0" w:space="0" w:color="auto"/>
                                  </w:divBdr>
                                  <w:divsChild>
                                    <w:div w:id="492994426">
                                      <w:marLeft w:val="0"/>
                                      <w:marRight w:val="0"/>
                                      <w:marTop w:val="0"/>
                                      <w:marBottom w:val="0"/>
                                      <w:divBdr>
                                        <w:top w:val="none" w:sz="0" w:space="0" w:color="auto"/>
                                        <w:left w:val="none" w:sz="0" w:space="0" w:color="auto"/>
                                        <w:bottom w:val="none" w:sz="0" w:space="0" w:color="auto"/>
                                        <w:right w:val="none" w:sz="0" w:space="0" w:color="auto"/>
                                      </w:divBdr>
                                    </w:div>
                                  </w:divsChild>
                                </w:div>
                                <w:div w:id="515197174">
                                  <w:marLeft w:val="0"/>
                                  <w:marRight w:val="0"/>
                                  <w:marTop w:val="0"/>
                                  <w:marBottom w:val="176"/>
                                  <w:divBdr>
                                    <w:top w:val="single" w:sz="18" w:space="0" w:color="87BEC9"/>
                                    <w:left w:val="none" w:sz="0" w:space="0" w:color="auto"/>
                                    <w:bottom w:val="single" w:sz="6" w:space="0" w:color="87BEC9"/>
                                    <w:right w:val="none" w:sz="0" w:space="0" w:color="auto"/>
                                  </w:divBdr>
                                </w:div>
                              </w:divsChild>
                            </w:div>
                          </w:divsChild>
                        </w:div>
                        <w:div w:id="1907690087">
                          <w:marLeft w:val="0"/>
                          <w:marRight w:val="0"/>
                          <w:marTop w:val="0"/>
                          <w:marBottom w:val="0"/>
                          <w:divBdr>
                            <w:top w:val="none" w:sz="0" w:space="0" w:color="auto"/>
                            <w:left w:val="none" w:sz="0" w:space="0" w:color="auto"/>
                            <w:bottom w:val="none" w:sz="0" w:space="0" w:color="auto"/>
                            <w:right w:val="none" w:sz="0" w:space="0" w:color="auto"/>
                          </w:divBdr>
                          <w:divsChild>
                            <w:div w:id="1855336184">
                              <w:marLeft w:val="0"/>
                              <w:marRight w:val="0"/>
                              <w:marTop w:val="0"/>
                              <w:marBottom w:val="0"/>
                              <w:divBdr>
                                <w:top w:val="none" w:sz="0" w:space="0" w:color="auto"/>
                                <w:left w:val="none" w:sz="0" w:space="0" w:color="auto"/>
                                <w:bottom w:val="none" w:sz="0" w:space="0" w:color="auto"/>
                                <w:right w:val="none" w:sz="0" w:space="0" w:color="auto"/>
                              </w:divBdr>
                              <w:divsChild>
                                <w:div w:id="1828813909">
                                  <w:marLeft w:val="0"/>
                                  <w:marRight w:val="0"/>
                                  <w:marTop w:val="0"/>
                                  <w:marBottom w:val="0"/>
                                  <w:divBdr>
                                    <w:top w:val="single" w:sz="6" w:space="4" w:color="DADADA"/>
                                    <w:left w:val="single" w:sz="6" w:space="9" w:color="DADADA"/>
                                    <w:bottom w:val="single" w:sz="6" w:space="4" w:color="DADADA"/>
                                    <w:right w:val="single" w:sz="6" w:space="4" w:color="DADADA"/>
                                  </w:divBdr>
                                  <w:divsChild>
                                    <w:div w:id="174610070">
                                      <w:marLeft w:val="0"/>
                                      <w:marRight w:val="0"/>
                                      <w:marTop w:val="0"/>
                                      <w:marBottom w:val="0"/>
                                      <w:divBdr>
                                        <w:top w:val="none" w:sz="0" w:space="0" w:color="auto"/>
                                        <w:left w:val="none" w:sz="0" w:space="0" w:color="auto"/>
                                        <w:bottom w:val="none" w:sz="0" w:space="0" w:color="auto"/>
                                        <w:right w:val="none" w:sz="0" w:space="0" w:color="auto"/>
                                      </w:divBdr>
                                    </w:div>
                                    <w:div w:id="227110674">
                                      <w:marLeft w:val="0"/>
                                      <w:marRight w:val="0"/>
                                      <w:marTop w:val="0"/>
                                      <w:marBottom w:val="0"/>
                                      <w:divBdr>
                                        <w:top w:val="none" w:sz="0" w:space="0" w:color="auto"/>
                                        <w:left w:val="none" w:sz="0" w:space="0" w:color="auto"/>
                                        <w:bottom w:val="none" w:sz="0" w:space="0" w:color="auto"/>
                                        <w:right w:val="none" w:sz="0" w:space="0" w:color="auto"/>
                                      </w:divBdr>
                                    </w:div>
                                    <w:div w:id="258146517">
                                      <w:marLeft w:val="0"/>
                                      <w:marRight w:val="0"/>
                                      <w:marTop w:val="0"/>
                                      <w:marBottom w:val="0"/>
                                      <w:divBdr>
                                        <w:top w:val="none" w:sz="0" w:space="0" w:color="auto"/>
                                        <w:left w:val="none" w:sz="0" w:space="0" w:color="auto"/>
                                        <w:bottom w:val="none" w:sz="0" w:space="0" w:color="auto"/>
                                        <w:right w:val="none" w:sz="0" w:space="0" w:color="auto"/>
                                      </w:divBdr>
                                    </w:div>
                                    <w:div w:id="908198262">
                                      <w:marLeft w:val="0"/>
                                      <w:marRight w:val="0"/>
                                      <w:marTop w:val="0"/>
                                      <w:marBottom w:val="0"/>
                                      <w:divBdr>
                                        <w:top w:val="none" w:sz="0" w:space="0" w:color="auto"/>
                                        <w:left w:val="none" w:sz="0" w:space="0" w:color="auto"/>
                                        <w:bottom w:val="none" w:sz="0" w:space="0" w:color="auto"/>
                                        <w:right w:val="none" w:sz="0" w:space="0" w:color="auto"/>
                                      </w:divBdr>
                                    </w:div>
                                    <w:div w:id="926696534">
                                      <w:marLeft w:val="0"/>
                                      <w:marRight w:val="0"/>
                                      <w:marTop w:val="0"/>
                                      <w:marBottom w:val="0"/>
                                      <w:divBdr>
                                        <w:top w:val="none" w:sz="0" w:space="0" w:color="auto"/>
                                        <w:left w:val="none" w:sz="0" w:space="0" w:color="auto"/>
                                        <w:bottom w:val="none" w:sz="0" w:space="0" w:color="auto"/>
                                        <w:right w:val="none" w:sz="0" w:space="0" w:color="auto"/>
                                      </w:divBdr>
                                    </w:div>
                                    <w:div w:id="1060446036">
                                      <w:marLeft w:val="0"/>
                                      <w:marRight w:val="0"/>
                                      <w:marTop w:val="0"/>
                                      <w:marBottom w:val="0"/>
                                      <w:divBdr>
                                        <w:top w:val="none" w:sz="0" w:space="0" w:color="auto"/>
                                        <w:left w:val="none" w:sz="0" w:space="0" w:color="auto"/>
                                        <w:bottom w:val="none" w:sz="0" w:space="0" w:color="auto"/>
                                        <w:right w:val="none" w:sz="0" w:space="0" w:color="auto"/>
                                      </w:divBdr>
                                    </w:div>
                                    <w:div w:id="1411660288">
                                      <w:marLeft w:val="0"/>
                                      <w:marRight w:val="0"/>
                                      <w:marTop w:val="0"/>
                                      <w:marBottom w:val="0"/>
                                      <w:divBdr>
                                        <w:top w:val="none" w:sz="0" w:space="0" w:color="auto"/>
                                        <w:left w:val="none" w:sz="0" w:space="0" w:color="auto"/>
                                        <w:bottom w:val="none" w:sz="0" w:space="0" w:color="auto"/>
                                        <w:right w:val="none" w:sz="0" w:space="0" w:color="auto"/>
                                      </w:divBdr>
                                    </w:div>
                                    <w:div w:id="1540899631">
                                      <w:marLeft w:val="0"/>
                                      <w:marRight w:val="0"/>
                                      <w:marTop w:val="0"/>
                                      <w:marBottom w:val="0"/>
                                      <w:divBdr>
                                        <w:top w:val="none" w:sz="0" w:space="0" w:color="auto"/>
                                        <w:left w:val="none" w:sz="0" w:space="0" w:color="auto"/>
                                        <w:bottom w:val="none" w:sz="0" w:space="0" w:color="auto"/>
                                        <w:right w:val="none" w:sz="0" w:space="0" w:color="auto"/>
                                      </w:divBdr>
                                    </w:div>
                                    <w:div w:id="1828856226">
                                      <w:marLeft w:val="0"/>
                                      <w:marRight w:val="0"/>
                                      <w:marTop w:val="0"/>
                                      <w:marBottom w:val="0"/>
                                      <w:divBdr>
                                        <w:top w:val="none" w:sz="0" w:space="0" w:color="auto"/>
                                        <w:left w:val="none" w:sz="0" w:space="0" w:color="auto"/>
                                        <w:bottom w:val="none" w:sz="0" w:space="0" w:color="auto"/>
                                        <w:right w:val="none" w:sz="0" w:space="0" w:color="auto"/>
                                      </w:divBdr>
                                    </w:div>
                                    <w:div w:id="1914924393">
                                      <w:marLeft w:val="0"/>
                                      <w:marRight w:val="0"/>
                                      <w:marTop w:val="0"/>
                                      <w:marBottom w:val="0"/>
                                      <w:divBdr>
                                        <w:top w:val="none" w:sz="0" w:space="0" w:color="auto"/>
                                        <w:left w:val="none" w:sz="0" w:space="0" w:color="auto"/>
                                        <w:bottom w:val="none" w:sz="0" w:space="0" w:color="auto"/>
                                        <w:right w:val="none" w:sz="0" w:space="0" w:color="auto"/>
                                      </w:divBdr>
                                    </w:div>
                                  </w:divsChild>
                                </w:div>
                                <w:div w:id="209709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96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858887">
              <w:marLeft w:val="0"/>
              <w:marRight w:val="0"/>
              <w:marTop w:val="0"/>
              <w:marBottom w:val="0"/>
              <w:divBdr>
                <w:top w:val="none" w:sz="0" w:space="0" w:color="auto"/>
                <w:left w:val="none" w:sz="0" w:space="0" w:color="auto"/>
                <w:bottom w:val="none" w:sz="0" w:space="0" w:color="auto"/>
                <w:right w:val="none" w:sz="0" w:space="0" w:color="auto"/>
              </w:divBdr>
              <w:divsChild>
                <w:div w:id="159975517">
                  <w:marLeft w:val="0"/>
                  <w:marRight w:val="0"/>
                  <w:marTop w:val="0"/>
                  <w:marBottom w:val="0"/>
                  <w:divBdr>
                    <w:top w:val="none" w:sz="0" w:space="0" w:color="auto"/>
                    <w:left w:val="none" w:sz="0" w:space="0" w:color="auto"/>
                    <w:bottom w:val="none" w:sz="0" w:space="0" w:color="auto"/>
                    <w:right w:val="none" w:sz="0" w:space="0" w:color="auto"/>
                  </w:divBdr>
                  <w:divsChild>
                    <w:div w:id="626938572">
                      <w:marLeft w:val="0"/>
                      <w:marRight w:val="0"/>
                      <w:marTop w:val="0"/>
                      <w:marBottom w:val="0"/>
                      <w:divBdr>
                        <w:top w:val="none" w:sz="0" w:space="0" w:color="auto"/>
                        <w:left w:val="none" w:sz="0" w:space="0" w:color="auto"/>
                        <w:bottom w:val="none" w:sz="0" w:space="0" w:color="auto"/>
                        <w:right w:val="none" w:sz="0" w:space="0" w:color="auto"/>
                      </w:divBdr>
                      <w:divsChild>
                        <w:div w:id="11029111">
                          <w:marLeft w:val="0"/>
                          <w:marRight w:val="0"/>
                          <w:marTop w:val="0"/>
                          <w:marBottom w:val="0"/>
                          <w:divBdr>
                            <w:top w:val="none" w:sz="0" w:space="0" w:color="auto"/>
                            <w:left w:val="none" w:sz="0" w:space="0" w:color="auto"/>
                            <w:bottom w:val="dotted" w:sz="6" w:space="4" w:color="D8D8D8"/>
                            <w:right w:val="none" w:sz="0" w:space="0" w:color="auto"/>
                          </w:divBdr>
                        </w:div>
                        <w:div w:id="145441674">
                          <w:marLeft w:val="0"/>
                          <w:marRight w:val="0"/>
                          <w:marTop w:val="0"/>
                          <w:marBottom w:val="0"/>
                          <w:divBdr>
                            <w:top w:val="none" w:sz="0" w:space="0" w:color="auto"/>
                            <w:left w:val="none" w:sz="0" w:space="0" w:color="auto"/>
                            <w:bottom w:val="dotted" w:sz="6" w:space="4" w:color="D8D8D8"/>
                            <w:right w:val="none" w:sz="0" w:space="0" w:color="auto"/>
                          </w:divBdr>
                        </w:div>
                        <w:div w:id="316613540">
                          <w:marLeft w:val="0"/>
                          <w:marRight w:val="0"/>
                          <w:marTop w:val="0"/>
                          <w:marBottom w:val="0"/>
                          <w:divBdr>
                            <w:top w:val="none" w:sz="0" w:space="0" w:color="auto"/>
                            <w:left w:val="none" w:sz="0" w:space="0" w:color="auto"/>
                            <w:bottom w:val="dotted" w:sz="6" w:space="4" w:color="D8D8D8"/>
                            <w:right w:val="none" w:sz="0" w:space="0" w:color="auto"/>
                          </w:divBdr>
                        </w:div>
                        <w:div w:id="423886970">
                          <w:marLeft w:val="0"/>
                          <w:marRight w:val="0"/>
                          <w:marTop w:val="0"/>
                          <w:marBottom w:val="0"/>
                          <w:divBdr>
                            <w:top w:val="none" w:sz="0" w:space="0" w:color="auto"/>
                            <w:left w:val="none" w:sz="0" w:space="0" w:color="auto"/>
                            <w:bottom w:val="dotted" w:sz="6" w:space="4" w:color="D8D8D8"/>
                            <w:right w:val="none" w:sz="0" w:space="0" w:color="auto"/>
                          </w:divBdr>
                        </w:div>
                        <w:div w:id="982780744">
                          <w:marLeft w:val="0"/>
                          <w:marRight w:val="0"/>
                          <w:marTop w:val="0"/>
                          <w:marBottom w:val="0"/>
                          <w:divBdr>
                            <w:top w:val="none" w:sz="0" w:space="0" w:color="auto"/>
                            <w:left w:val="none" w:sz="0" w:space="0" w:color="auto"/>
                            <w:bottom w:val="dotted" w:sz="6" w:space="4" w:color="D8D8D8"/>
                            <w:right w:val="none" w:sz="0" w:space="0" w:color="auto"/>
                          </w:divBdr>
                        </w:div>
                        <w:div w:id="1054736498">
                          <w:marLeft w:val="0"/>
                          <w:marRight w:val="0"/>
                          <w:marTop w:val="0"/>
                          <w:marBottom w:val="0"/>
                          <w:divBdr>
                            <w:top w:val="none" w:sz="0" w:space="0" w:color="auto"/>
                            <w:left w:val="none" w:sz="0" w:space="0" w:color="auto"/>
                            <w:bottom w:val="dotted" w:sz="6" w:space="4" w:color="D8D8D8"/>
                            <w:right w:val="none" w:sz="0" w:space="0" w:color="auto"/>
                          </w:divBdr>
                        </w:div>
                        <w:div w:id="1301888685">
                          <w:marLeft w:val="0"/>
                          <w:marRight w:val="0"/>
                          <w:marTop w:val="0"/>
                          <w:marBottom w:val="0"/>
                          <w:divBdr>
                            <w:top w:val="none" w:sz="0" w:space="0" w:color="auto"/>
                            <w:left w:val="none" w:sz="0" w:space="0" w:color="auto"/>
                            <w:bottom w:val="dotted" w:sz="6" w:space="4" w:color="D8D8D8"/>
                            <w:right w:val="none" w:sz="0" w:space="0" w:color="auto"/>
                          </w:divBdr>
                        </w:div>
                        <w:div w:id="1328554833">
                          <w:marLeft w:val="0"/>
                          <w:marRight w:val="0"/>
                          <w:marTop w:val="0"/>
                          <w:marBottom w:val="0"/>
                          <w:divBdr>
                            <w:top w:val="none" w:sz="0" w:space="0" w:color="auto"/>
                            <w:left w:val="none" w:sz="0" w:space="0" w:color="auto"/>
                            <w:bottom w:val="dotted" w:sz="6" w:space="4" w:color="D8D8D8"/>
                            <w:right w:val="none" w:sz="0" w:space="0" w:color="auto"/>
                          </w:divBdr>
                        </w:div>
                        <w:div w:id="1569680975">
                          <w:marLeft w:val="0"/>
                          <w:marRight w:val="0"/>
                          <w:marTop w:val="0"/>
                          <w:marBottom w:val="0"/>
                          <w:divBdr>
                            <w:top w:val="none" w:sz="0" w:space="0" w:color="auto"/>
                            <w:left w:val="none" w:sz="0" w:space="0" w:color="auto"/>
                            <w:bottom w:val="dotted" w:sz="6" w:space="4" w:color="D8D8D8"/>
                            <w:right w:val="none" w:sz="0" w:space="0" w:color="auto"/>
                          </w:divBdr>
                        </w:div>
                        <w:div w:id="1629166462">
                          <w:marLeft w:val="0"/>
                          <w:marRight w:val="0"/>
                          <w:marTop w:val="0"/>
                          <w:marBottom w:val="0"/>
                          <w:divBdr>
                            <w:top w:val="none" w:sz="0" w:space="0" w:color="auto"/>
                            <w:left w:val="none" w:sz="0" w:space="0" w:color="auto"/>
                            <w:bottom w:val="dotted" w:sz="6" w:space="4" w:color="D8D8D8"/>
                            <w:right w:val="none" w:sz="0" w:space="0" w:color="auto"/>
                          </w:divBdr>
                        </w:div>
                      </w:divsChild>
                    </w:div>
                    <w:div w:id="1876697944">
                      <w:marLeft w:val="0"/>
                      <w:marRight w:val="0"/>
                      <w:marTop w:val="0"/>
                      <w:marBottom w:val="0"/>
                      <w:divBdr>
                        <w:top w:val="single" w:sz="6" w:space="4" w:color="E5E5E5"/>
                        <w:left w:val="none" w:sz="0" w:space="0" w:color="auto"/>
                        <w:bottom w:val="none" w:sz="0" w:space="0" w:color="auto"/>
                        <w:right w:val="none" w:sz="0" w:space="0" w:color="auto"/>
                      </w:divBdr>
                    </w:div>
                  </w:divsChild>
                </w:div>
                <w:div w:id="819929638">
                  <w:marLeft w:val="0"/>
                  <w:marRight w:val="0"/>
                  <w:marTop w:val="0"/>
                  <w:marBottom w:val="0"/>
                  <w:divBdr>
                    <w:top w:val="none" w:sz="0" w:space="0" w:color="auto"/>
                    <w:left w:val="none" w:sz="0" w:space="0" w:color="auto"/>
                    <w:bottom w:val="none" w:sz="0" w:space="0" w:color="auto"/>
                    <w:right w:val="none" w:sz="0" w:space="0" w:color="auto"/>
                  </w:divBdr>
                </w:div>
                <w:div w:id="1429349978">
                  <w:marLeft w:val="0"/>
                  <w:marRight w:val="0"/>
                  <w:marTop w:val="0"/>
                  <w:marBottom w:val="0"/>
                  <w:divBdr>
                    <w:top w:val="none" w:sz="0" w:space="0" w:color="auto"/>
                    <w:left w:val="none" w:sz="0" w:space="0" w:color="auto"/>
                    <w:bottom w:val="none" w:sz="0" w:space="0" w:color="auto"/>
                    <w:right w:val="none" w:sz="0" w:space="0" w:color="auto"/>
                  </w:divBdr>
                </w:div>
                <w:div w:id="1535997199">
                  <w:marLeft w:val="0"/>
                  <w:marRight w:val="0"/>
                  <w:marTop w:val="0"/>
                  <w:marBottom w:val="0"/>
                  <w:divBdr>
                    <w:top w:val="none" w:sz="0" w:space="0" w:color="auto"/>
                    <w:left w:val="none" w:sz="0" w:space="0" w:color="auto"/>
                    <w:bottom w:val="none" w:sz="0" w:space="0" w:color="auto"/>
                    <w:right w:val="none" w:sz="0" w:space="0" w:color="auto"/>
                  </w:divBdr>
                  <w:divsChild>
                    <w:div w:id="163589185">
                      <w:marLeft w:val="0"/>
                      <w:marRight w:val="0"/>
                      <w:marTop w:val="0"/>
                      <w:marBottom w:val="0"/>
                      <w:divBdr>
                        <w:top w:val="none" w:sz="0" w:space="0" w:color="auto"/>
                        <w:left w:val="none" w:sz="0" w:space="0" w:color="auto"/>
                        <w:bottom w:val="none" w:sz="0" w:space="0" w:color="auto"/>
                        <w:right w:val="none" w:sz="0" w:space="0" w:color="auto"/>
                      </w:divBdr>
                    </w:div>
                    <w:div w:id="248925312">
                      <w:marLeft w:val="0"/>
                      <w:marRight w:val="0"/>
                      <w:marTop w:val="0"/>
                      <w:marBottom w:val="0"/>
                      <w:divBdr>
                        <w:top w:val="none" w:sz="0" w:space="0" w:color="auto"/>
                        <w:left w:val="none" w:sz="0" w:space="0" w:color="auto"/>
                        <w:bottom w:val="none" w:sz="0" w:space="0" w:color="auto"/>
                        <w:right w:val="none" w:sz="0" w:space="0" w:color="auto"/>
                      </w:divBdr>
                    </w:div>
                    <w:div w:id="410389893">
                      <w:marLeft w:val="0"/>
                      <w:marRight w:val="0"/>
                      <w:marTop w:val="0"/>
                      <w:marBottom w:val="0"/>
                      <w:divBdr>
                        <w:top w:val="single" w:sz="6" w:space="4" w:color="E5E5E5"/>
                        <w:left w:val="none" w:sz="0" w:space="0" w:color="auto"/>
                        <w:bottom w:val="none" w:sz="0" w:space="0" w:color="auto"/>
                        <w:right w:val="none" w:sz="0" w:space="0" w:color="auto"/>
                      </w:divBdr>
                    </w:div>
                    <w:div w:id="555966818">
                      <w:marLeft w:val="0"/>
                      <w:marRight w:val="0"/>
                      <w:marTop w:val="0"/>
                      <w:marBottom w:val="0"/>
                      <w:divBdr>
                        <w:top w:val="none" w:sz="0" w:space="0" w:color="auto"/>
                        <w:left w:val="none" w:sz="0" w:space="0" w:color="auto"/>
                        <w:bottom w:val="none" w:sz="0" w:space="0" w:color="auto"/>
                        <w:right w:val="none" w:sz="0" w:space="0" w:color="auto"/>
                      </w:divBdr>
                    </w:div>
                    <w:div w:id="564292335">
                      <w:marLeft w:val="0"/>
                      <w:marRight w:val="0"/>
                      <w:marTop w:val="0"/>
                      <w:marBottom w:val="0"/>
                      <w:divBdr>
                        <w:top w:val="none" w:sz="0" w:space="0" w:color="auto"/>
                        <w:left w:val="none" w:sz="0" w:space="0" w:color="auto"/>
                        <w:bottom w:val="none" w:sz="0" w:space="0" w:color="auto"/>
                        <w:right w:val="none" w:sz="0" w:space="0" w:color="auto"/>
                      </w:divBdr>
                    </w:div>
                    <w:div w:id="870724571">
                      <w:marLeft w:val="0"/>
                      <w:marRight w:val="0"/>
                      <w:marTop w:val="0"/>
                      <w:marBottom w:val="0"/>
                      <w:divBdr>
                        <w:top w:val="none" w:sz="0" w:space="0" w:color="auto"/>
                        <w:left w:val="none" w:sz="0" w:space="0" w:color="auto"/>
                        <w:bottom w:val="none" w:sz="0" w:space="0" w:color="auto"/>
                        <w:right w:val="none" w:sz="0" w:space="0" w:color="auto"/>
                      </w:divBdr>
                    </w:div>
                    <w:div w:id="1057823731">
                      <w:marLeft w:val="0"/>
                      <w:marRight w:val="0"/>
                      <w:marTop w:val="0"/>
                      <w:marBottom w:val="0"/>
                      <w:divBdr>
                        <w:top w:val="none" w:sz="0" w:space="0" w:color="auto"/>
                        <w:left w:val="none" w:sz="0" w:space="0" w:color="auto"/>
                        <w:bottom w:val="none" w:sz="0" w:space="0" w:color="auto"/>
                        <w:right w:val="none" w:sz="0" w:space="0" w:color="auto"/>
                      </w:divBdr>
                    </w:div>
                    <w:div w:id="1092047556">
                      <w:marLeft w:val="0"/>
                      <w:marRight w:val="0"/>
                      <w:marTop w:val="0"/>
                      <w:marBottom w:val="0"/>
                      <w:divBdr>
                        <w:top w:val="none" w:sz="0" w:space="0" w:color="auto"/>
                        <w:left w:val="none" w:sz="0" w:space="0" w:color="auto"/>
                        <w:bottom w:val="none" w:sz="0" w:space="0" w:color="auto"/>
                        <w:right w:val="none" w:sz="0" w:space="0" w:color="auto"/>
                      </w:divBdr>
                    </w:div>
                    <w:div w:id="1112214166">
                      <w:marLeft w:val="0"/>
                      <w:marRight w:val="0"/>
                      <w:marTop w:val="0"/>
                      <w:marBottom w:val="0"/>
                      <w:divBdr>
                        <w:top w:val="none" w:sz="0" w:space="0" w:color="auto"/>
                        <w:left w:val="none" w:sz="0" w:space="0" w:color="auto"/>
                        <w:bottom w:val="none" w:sz="0" w:space="0" w:color="auto"/>
                        <w:right w:val="none" w:sz="0" w:space="0" w:color="auto"/>
                      </w:divBdr>
                    </w:div>
                    <w:div w:id="1176000613">
                      <w:marLeft w:val="0"/>
                      <w:marRight w:val="0"/>
                      <w:marTop w:val="0"/>
                      <w:marBottom w:val="0"/>
                      <w:divBdr>
                        <w:top w:val="none" w:sz="0" w:space="0" w:color="auto"/>
                        <w:left w:val="none" w:sz="0" w:space="0" w:color="auto"/>
                        <w:bottom w:val="none" w:sz="0" w:space="0" w:color="auto"/>
                        <w:right w:val="none" w:sz="0" w:space="0" w:color="auto"/>
                      </w:divBdr>
                    </w:div>
                    <w:div w:id="188193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876284">
      <w:bodyDiv w:val="1"/>
      <w:marLeft w:val="0"/>
      <w:marRight w:val="0"/>
      <w:marTop w:val="0"/>
      <w:marBottom w:val="0"/>
      <w:divBdr>
        <w:top w:val="none" w:sz="0" w:space="0" w:color="auto"/>
        <w:left w:val="none" w:sz="0" w:space="0" w:color="auto"/>
        <w:bottom w:val="none" w:sz="0" w:space="0" w:color="auto"/>
        <w:right w:val="none" w:sz="0" w:space="0" w:color="auto"/>
      </w:divBdr>
      <w:divsChild>
        <w:div w:id="562300791">
          <w:marLeft w:val="0"/>
          <w:marRight w:val="0"/>
          <w:marTop w:val="0"/>
          <w:marBottom w:val="150"/>
          <w:divBdr>
            <w:top w:val="none" w:sz="0" w:space="0" w:color="auto"/>
            <w:left w:val="none" w:sz="0" w:space="0" w:color="auto"/>
            <w:bottom w:val="none" w:sz="0" w:space="0" w:color="auto"/>
            <w:right w:val="none" w:sz="0" w:space="0" w:color="auto"/>
          </w:divBdr>
          <w:divsChild>
            <w:div w:id="1604846626">
              <w:marLeft w:val="0"/>
              <w:marRight w:val="0"/>
              <w:marTop w:val="0"/>
              <w:marBottom w:val="0"/>
              <w:divBdr>
                <w:top w:val="none" w:sz="0" w:space="0" w:color="auto"/>
                <w:left w:val="none" w:sz="0" w:space="0" w:color="auto"/>
                <w:bottom w:val="none" w:sz="0" w:space="0" w:color="auto"/>
                <w:right w:val="none" w:sz="0" w:space="0" w:color="auto"/>
              </w:divBdr>
              <w:divsChild>
                <w:div w:id="2032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832175">
          <w:marLeft w:val="0"/>
          <w:marRight w:val="0"/>
          <w:marTop w:val="0"/>
          <w:marBottom w:val="0"/>
          <w:divBdr>
            <w:top w:val="none" w:sz="0" w:space="0" w:color="auto"/>
            <w:left w:val="none" w:sz="0" w:space="0" w:color="auto"/>
            <w:bottom w:val="none" w:sz="0" w:space="0" w:color="auto"/>
            <w:right w:val="none" w:sz="0" w:space="0" w:color="auto"/>
          </w:divBdr>
          <w:divsChild>
            <w:div w:id="1142884774">
              <w:marLeft w:val="0"/>
              <w:marRight w:val="0"/>
              <w:marTop w:val="225"/>
              <w:marBottom w:val="225"/>
              <w:divBdr>
                <w:top w:val="none" w:sz="0" w:space="0" w:color="auto"/>
                <w:left w:val="none" w:sz="0" w:space="0" w:color="auto"/>
                <w:bottom w:val="none" w:sz="0" w:space="0" w:color="auto"/>
                <w:right w:val="none" w:sz="0" w:space="0" w:color="auto"/>
              </w:divBdr>
            </w:div>
          </w:divsChild>
        </w:div>
        <w:div w:id="2092315130">
          <w:marLeft w:val="0"/>
          <w:marRight w:val="0"/>
          <w:marTop w:val="0"/>
          <w:marBottom w:val="150"/>
          <w:divBdr>
            <w:top w:val="none" w:sz="0" w:space="0" w:color="auto"/>
            <w:left w:val="none" w:sz="0" w:space="0" w:color="auto"/>
            <w:bottom w:val="none" w:sz="0" w:space="0" w:color="auto"/>
            <w:right w:val="none" w:sz="0" w:space="0" w:color="auto"/>
          </w:divBdr>
        </w:div>
      </w:divsChild>
    </w:div>
    <w:div w:id="618145507">
      <w:bodyDiv w:val="1"/>
      <w:marLeft w:val="0"/>
      <w:marRight w:val="0"/>
      <w:marTop w:val="0"/>
      <w:marBottom w:val="0"/>
      <w:divBdr>
        <w:top w:val="none" w:sz="0" w:space="0" w:color="auto"/>
        <w:left w:val="none" w:sz="0" w:space="0" w:color="auto"/>
        <w:bottom w:val="none" w:sz="0" w:space="0" w:color="auto"/>
        <w:right w:val="none" w:sz="0" w:space="0" w:color="auto"/>
      </w:divBdr>
      <w:divsChild>
        <w:div w:id="69740515">
          <w:marLeft w:val="0"/>
          <w:marRight w:val="0"/>
          <w:marTop w:val="0"/>
          <w:marBottom w:val="75"/>
          <w:divBdr>
            <w:top w:val="none" w:sz="0" w:space="0" w:color="auto"/>
            <w:left w:val="none" w:sz="0" w:space="0" w:color="auto"/>
            <w:bottom w:val="none" w:sz="0" w:space="0" w:color="auto"/>
            <w:right w:val="none" w:sz="0" w:space="0" w:color="auto"/>
          </w:divBdr>
        </w:div>
        <w:div w:id="790788803">
          <w:marLeft w:val="0"/>
          <w:marRight w:val="0"/>
          <w:marTop w:val="0"/>
          <w:marBottom w:val="300"/>
          <w:divBdr>
            <w:top w:val="none" w:sz="0" w:space="0" w:color="auto"/>
            <w:left w:val="none" w:sz="0" w:space="0" w:color="auto"/>
            <w:bottom w:val="none" w:sz="0" w:space="0" w:color="auto"/>
            <w:right w:val="none" w:sz="0" w:space="0" w:color="auto"/>
          </w:divBdr>
          <w:divsChild>
            <w:div w:id="919294162">
              <w:marLeft w:val="0"/>
              <w:marRight w:val="0"/>
              <w:marTop w:val="0"/>
              <w:marBottom w:val="0"/>
              <w:divBdr>
                <w:top w:val="none" w:sz="0" w:space="0" w:color="auto"/>
                <w:left w:val="none" w:sz="0" w:space="0" w:color="auto"/>
                <w:bottom w:val="none" w:sz="0" w:space="0" w:color="auto"/>
                <w:right w:val="none" w:sz="0" w:space="0" w:color="auto"/>
              </w:divBdr>
            </w:div>
          </w:divsChild>
        </w:div>
        <w:div w:id="862400196">
          <w:marLeft w:val="0"/>
          <w:marRight w:val="0"/>
          <w:marTop w:val="0"/>
          <w:marBottom w:val="0"/>
          <w:divBdr>
            <w:top w:val="none" w:sz="0" w:space="0" w:color="auto"/>
            <w:left w:val="none" w:sz="0" w:space="0" w:color="auto"/>
            <w:bottom w:val="none" w:sz="0" w:space="0" w:color="auto"/>
            <w:right w:val="none" w:sz="0" w:space="0" w:color="auto"/>
          </w:divBdr>
        </w:div>
        <w:div w:id="1315261602">
          <w:marLeft w:val="0"/>
          <w:marRight w:val="0"/>
          <w:marTop w:val="0"/>
          <w:marBottom w:val="0"/>
          <w:divBdr>
            <w:top w:val="none" w:sz="0" w:space="0" w:color="auto"/>
            <w:left w:val="none" w:sz="0" w:space="0" w:color="auto"/>
            <w:bottom w:val="none" w:sz="0" w:space="0" w:color="auto"/>
            <w:right w:val="none" w:sz="0" w:space="0" w:color="auto"/>
          </w:divBdr>
          <w:divsChild>
            <w:div w:id="1518083496">
              <w:marLeft w:val="0"/>
              <w:marRight w:val="0"/>
              <w:marTop w:val="0"/>
              <w:marBottom w:val="0"/>
              <w:divBdr>
                <w:top w:val="none" w:sz="0" w:space="0" w:color="auto"/>
                <w:left w:val="none" w:sz="0" w:space="0" w:color="auto"/>
                <w:bottom w:val="none" w:sz="0" w:space="0" w:color="auto"/>
                <w:right w:val="none" w:sz="0" w:space="0" w:color="auto"/>
              </w:divBdr>
              <w:divsChild>
                <w:div w:id="167329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874030">
      <w:bodyDiv w:val="1"/>
      <w:marLeft w:val="0"/>
      <w:marRight w:val="0"/>
      <w:marTop w:val="0"/>
      <w:marBottom w:val="0"/>
      <w:divBdr>
        <w:top w:val="none" w:sz="0" w:space="0" w:color="auto"/>
        <w:left w:val="none" w:sz="0" w:space="0" w:color="auto"/>
        <w:bottom w:val="none" w:sz="0" w:space="0" w:color="auto"/>
        <w:right w:val="none" w:sz="0" w:space="0" w:color="auto"/>
      </w:divBdr>
    </w:div>
    <w:div w:id="619185844">
      <w:bodyDiv w:val="1"/>
      <w:marLeft w:val="0"/>
      <w:marRight w:val="0"/>
      <w:marTop w:val="0"/>
      <w:marBottom w:val="0"/>
      <w:divBdr>
        <w:top w:val="none" w:sz="0" w:space="0" w:color="auto"/>
        <w:left w:val="none" w:sz="0" w:space="0" w:color="auto"/>
        <w:bottom w:val="none" w:sz="0" w:space="0" w:color="auto"/>
        <w:right w:val="none" w:sz="0" w:space="0" w:color="auto"/>
      </w:divBdr>
      <w:divsChild>
        <w:div w:id="1165508356">
          <w:marLeft w:val="0"/>
          <w:marRight w:val="0"/>
          <w:marTop w:val="0"/>
          <w:marBottom w:val="0"/>
          <w:divBdr>
            <w:top w:val="none" w:sz="0" w:space="0" w:color="auto"/>
            <w:left w:val="none" w:sz="0" w:space="0" w:color="auto"/>
            <w:bottom w:val="none" w:sz="0" w:space="0" w:color="auto"/>
            <w:right w:val="none" w:sz="0" w:space="0" w:color="auto"/>
          </w:divBdr>
          <w:divsChild>
            <w:div w:id="901216804">
              <w:marLeft w:val="0"/>
              <w:marRight w:val="0"/>
              <w:marTop w:val="0"/>
              <w:marBottom w:val="0"/>
              <w:divBdr>
                <w:top w:val="none" w:sz="0" w:space="0" w:color="auto"/>
                <w:left w:val="none" w:sz="0" w:space="0" w:color="auto"/>
                <w:bottom w:val="none" w:sz="0" w:space="0" w:color="auto"/>
                <w:right w:val="none" w:sz="0" w:space="0" w:color="auto"/>
              </w:divBdr>
              <w:divsChild>
                <w:div w:id="131138058">
                  <w:marLeft w:val="0"/>
                  <w:marRight w:val="0"/>
                  <w:marTop w:val="0"/>
                  <w:marBottom w:val="0"/>
                  <w:divBdr>
                    <w:top w:val="none" w:sz="0" w:space="0" w:color="auto"/>
                    <w:left w:val="none" w:sz="0" w:space="0" w:color="auto"/>
                    <w:bottom w:val="none" w:sz="0" w:space="0" w:color="auto"/>
                    <w:right w:val="none" w:sz="0" w:space="0" w:color="auto"/>
                  </w:divBdr>
                </w:div>
                <w:div w:id="190579621">
                  <w:marLeft w:val="0"/>
                  <w:marRight w:val="0"/>
                  <w:marTop w:val="0"/>
                  <w:marBottom w:val="0"/>
                  <w:divBdr>
                    <w:top w:val="none" w:sz="0" w:space="0" w:color="auto"/>
                    <w:left w:val="none" w:sz="0" w:space="0" w:color="auto"/>
                    <w:bottom w:val="none" w:sz="0" w:space="0" w:color="auto"/>
                    <w:right w:val="none" w:sz="0" w:space="0" w:color="auto"/>
                  </w:divBdr>
                </w:div>
                <w:div w:id="246037753">
                  <w:marLeft w:val="0"/>
                  <w:marRight w:val="0"/>
                  <w:marTop w:val="0"/>
                  <w:marBottom w:val="0"/>
                  <w:divBdr>
                    <w:top w:val="none" w:sz="0" w:space="0" w:color="auto"/>
                    <w:left w:val="none" w:sz="0" w:space="0" w:color="auto"/>
                    <w:bottom w:val="none" w:sz="0" w:space="0" w:color="auto"/>
                    <w:right w:val="none" w:sz="0" w:space="0" w:color="auto"/>
                  </w:divBdr>
                </w:div>
                <w:div w:id="530411225">
                  <w:marLeft w:val="0"/>
                  <w:marRight w:val="0"/>
                  <w:marTop w:val="0"/>
                  <w:marBottom w:val="0"/>
                  <w:divBdr>
                    <w:top w:val="none" w:sz="0" w:space="0" w:color="auto"/>
                    <w:left w:val="none" w:sz="0" w:space="0" w:color="auto"/>
                    <w:bottom w:val="none" w:sz="0" w:space="0" w:color="auto"/>
                    <w:right w:val="none" w:sz="0" w:space="0" w:color="auto"/>
                  </w:divBdr>
                </w:div>
                <w:div w:id="630525574">
                  <w:marLeft w:val="0"/>
                  <w:marRight w:val="0"/>
                  <w:marTop w:val="0"/>
                  <w:marBottom w:val="0"/>
                  <w:divBdr>
                    <w:top w:val="none" w:sz="0" w:space="0" w:color="auto"/>
                    <w:left w:val="none" w:sz="0" w:space="0" w:color="auto"/>
                    <w:bottom w:val="none" w:sz="0" w:space="0" w:color="auto"/>
                    <w:right w:val="none" w:sz="0" w:space="0" w:color="auto"/>
                  </w:divBdr>
                </w:div>
                <w:div w:id="631713248">
                  <w:marLeft w:val="0"/>
                  <w:marRight w:val="0"/>
                  <w:marTop w:val="0"/>
                  <w:marBottom w:val="0"/>
                  <w:divBdr>
                    <w:top w:val="none" w:sz="0" w:space="0" w:color="auto"/>
                    <w:left w:val="none" w:sz="0" w:space="0" w:color="auto"/>
                    <w:bottom w:val="none" w:sz="0" w:space="0" w:color="auto"/>
                    <w:right w:val="none" w:sz="0" w:space="0" w:color="auto"/>
                  </w:divBdr>
                </w:div>
                <w:div w:id="810025084">
                  <w:marLeft w:val="0"/>
                  <w:marRight w:val="0"/>
                  <w:marTop w:val="0"/>
                  <w:marBottom w:val="0"/>
                  <w:divBdr>
                    <w:top w:val="none" w:sz="0" w:space="0" w:color="auto"/>
                    <w:left w:val="none" w:sz="0" w:space="0" w:color="auto"/>
                    <w:bottom w:val="none" w:sz="0" w:space="0" w:color="auto"/>
                    <w:right w:val="none" w:sz="0" w:space="0" w:color="auto"/>
                  </w:divBdr>
                </w:div>
                <w:div w:id="901058304">
                  <w:marLeft w:val="0"/>
                  <w:marRight w:val="0"/>
                  <w:marTop w:val="0"/>
                  <w:marBottom w:val="0"/>
                  <w:divBdr>
                    <w:top w:val="none" w:sz="0" w:space="0" w:color="auto"/>
                    <w:left w:val="none" w:sz="0" w:space="0" w:color="auto"/>
                    <w:bottom w:val="none" w:sz="0" w:space="0" w:color="auto"/>
                    <w:right w:val="none" w:sz="0" w:space="0" w:color="auto"/>
                  </w:divBdr>
                </w:div>
                <w:div w:id="925842309">
                  <w:marLeft w:val="0"/>
                  <w:marRight w:val="0"/>
                  <w:marTop w:val="0"/>
                  <w:marBottom w:val="0"/>
                  <w:divBdr>
                    <w:top w:val="none" w:sz="0" w:space="0" w:color="auto"/>
                    <w:left w:val="none" w:sz="0" w:space="0" w:color="auto"/>
                    <w:bottom w:val="none" w:sz="0" w:space="0" w:color="auto"/>
                    <w:right w:val="none" w:sz="0" w:space="0" w:color="auto"/>
                  </w:divBdr>
                </w:div>
                <w:div w:id="1265654363">
                  <w:marLeft w:val="0"/>
                  <w:marRight w:val="0"/>
                  <w:marTop w:val="0"/>
                  <w:marBottom w:val="0"/>
                  <w:divBdr>
                    <w:top w:val="none" w:sz="0" w:space="0" w:color="auto"/>
                    <w:left w:val="none" w:sz="0" w:space="0" w:color="auto"/>
                    <w:bottom w:val="none" w:sz="0" w:space="0" w:color="auto"/>
                    <w:right w:val="none" w:sz="0" w:space="0" w:color="auto"/>
                  </w:divBdr>
                </w:div>
                <w:div w:id="1461805143">
                  <w:marLeft w:val="0"/>
                  <w:marRight w:val="0"/>
                  <w:marTop w:val="0"/>
                  <w:marBottom w:val="0"/>
                  <w:divBdr>
                    <w:top w:val="none" w:sz="0" w:space="0" w:color="auto"/>
                    <w:left w:val="none" w:sz="0" w:space="0" w:color="auto"/>
                    <w:bottom w:val="none" w:sz="0" w:space="0" w:color="auto"/>
                    <w:right w:val="none" w:sz="0" w:space="0" w:color="auto"/>
                  </w:divBdr>
                </w:div>
                <w:div w:id="1497914395">
                  <w:marLeft w:val="0"/>
                  <w:marRight w:val="0"/>
                  <w:marTop w:val="0"/>
                  <w:marBottom w:val="0"/>
                  <w:divBdr>
                    <w:top w:val="none" w:sz="0" w:space="0" w:color="auto"/>
                    <w:left w:val="none" w:sz="0" w:space="0" w:color="auto"/>
                    <w:bottom w:val="none" w:sz="0" w:space="0" w:color="auto"/>
                    <w:right w:val="none" w:sz="0" w:space="0" w:color="auto"/>
                  </w:divBdr>
                </w:div>
                <w:div w:id="1844707625">
                  <w:marLeft w:val="0"/>
                  <w:marRight w:val="0"/>
                  <w:marTop w:val="0"/>
                  <w:marBottom w:val="0"/>
                  <w:divBdr>
                    <w:top w:val="none" w:sz="0" w:space="0" w:color="auto"/>
                    <w:left w:val="none" w:sz="0" w:space="0" w:color="auto"/>
                    <w:bottom w:val="none" w:sz="0" w:space="0" w:color="auto"/>
                    <w:right w:val="none" w:sz="0" w:space="0" w:color="auto"/>
                  </w:divBdr>
                </w:div>
                <w:div w:id="1902716940">
                  <w:marLeft w:val="0"/>
                  <w:marRight w:val="0"/>
                  <w:marTop w:val="0"/>
                  <w:marBottom w:val="0"/>
                  <w:divBdr>
                    <w:top w:val="none" w:sz="0" w:space="0" w:color="auto"/>
                    <w:left w:val="none" w:sz="0" w:space="0" w:color="auto"/>
                    <w:bottom w:val="none" w:sz="0" w:space="0" w:color="auto"/>
                    <w:right w:val="none" w:sz="0" w:space="0" w:color="auto"/>
                  </w:divBdr>
                </w:div>
                <w:div w:id="1907834515">
                  <w:marLeft w:val="0"/>
                  <w:marRight w:val="0"/>
                  <w:marTop w:val="0"/>
                  <w:marBottom w:val="0"/>
                  <w:divBdr>
                    <w:top w:val="none" w:sz="0" w:space="0" w:color="auto"/>
                    <w:left w:val="none" w:sz="0" w:space="0" w:color="auto"/>
                    <w:bottom w:val="none" w:sz="0" w:space="0" w:color="auto"/>
                    <w:right w:val="none" w:sz="0" w:space="0" w:color="auto"/>
                  </w:divBdr>
                </w:div>
                <w:div w:id="1921136476">
                  <w:marLeft w:val="0"/>
                  <w:marRight w:val="0"/>
                  <w:marTop w:val="0"/>
                  <w:marBottom w:val="0"/>
                  <w:divBdr>
                    <w:top w:val="none" w:sz="0" w:space="0" w:color="auto"/>
                    <w:left w:val="none" w:sz="0" w:space="0" w:color="auto"/>
                    <w:bottom w:val="none" w:sz="0" w:space="0" w:color="auto"/>
                    <w:right w:val="none" w:sz="0" w:space="0" w:color="auto"/>
                  </w:divBdr>
                </w:div>
                <w:div w:id="1984846342">
                  <w:marLeft w:val="0"/>
                  <w:marRight w:val="0"/>
                  <w:marTop w:val="0"/>
                  <w:marBottom w:val="0"/>
                  <w:divBdr>
                    <w:top w:val="none" w:sz="0" w:space="0" w:color="auto"/>
                    <w:left w:val="none" w:sz="0" w:space="0" w:color="auto"/>
                    <w:bottom w:val="none" w:sz="0" w:space="0" w:color="auto"/>
                    <w:right w:val="none" w:sz="0" w:space="0" w:color="auto"/>
                  </w:divBdr>
                </w:div>
                <w:div w:id="2146122828">
                  <w:marLeft w:val="0"/>
                  <w:marRight w:val="0"/>
                  <w:marTop w:val="0"/>
                  <w:marBottom w:val="0"/>
                  <w:divBdr>
                    <w:top w:val="none" w:sz="0" w:space="0" w:color="auto"/>
                    <w:left w:val="none" w:sz="0" w:space="0" w:color="auto"/>
                    <w:bottom w:val="none" w:sz="0" w:space="0" w:color="auto"/>
                    <w:right w:val="none" w:sz="0" w:space="0" w:color="auto"/>
                  </w:divBdr>
                </w:div>
              </w:divsChild>
            </w:div>
            <w:div w:id="1346784645">
              <w:marLeft w:val="0"/>
              <w:marRight w:val="0"/>
              <w:marTop w:val="0"/>
              <w:marBottom w:val="150"/>
              <w:divBdr>
                <w:top w:val="none" w:sz="0" w:space="0" w:color="auto"/>
                <w:left w:val="none" w:sz="0" w:space="0" w:color="auto"/>
                <w:bottom w:val="none" w:sz="0" w:space="0" w:color="auto"/>
                <w:right w:val="none" w:sz="0" w:space="0" w:color="auto"/>
              </w:divBdr>
            </w:div>
            <w:div w:id="2058116565">
              <w:marLeft w:val="0"/>
              <w:marRight w:val="0"/>
              <w:marTop w:val="300"/>
              <w:marBottom w:val="0"/>
              <w:divBdr>
                <w:top w:val="none" w:sz="0" w:space="0" w:color="auto"/>
                <w:left w:val="none" w:sz="0" w:space="0" w:color="auto"/>
                <w:bottom w:val="none" w:sz="0" w:space="0" w:color="auto"/>
                <w:right w:val="none" w:sz="0" w:space="0" w:color="auto"/>
              </w:divBdr>
              <w:divsChild>
                <w:div w:id="1857497865">
                  <w:marLeft w:val="0"/>
                  <w:marRight w:val="299"/>
                  <w:marTop w:val="0"/>
                  <w:marBottom w:val="0"/>
                  <w:divBdr>
                    <w:top w:val="none" w:sz="0" w:space="0" w:color="auto"/>
                    <w:left w:val="none" w:sz="0" w:space="0" w:color="auto"/>
                    <w:bottom w:val="none" w:sz="0" w:space="0" w:color="auto"/>
                    <w:right w:val="none" w:sz="0" w:space="0" w:color="auto"/>
                  </w:divBdr>
                </w:div>
              </w:divsChild>
            </w:div>
          </w:divsChild>
        </w:div>
      </w:divsChild>
    </w:div>
    <w:div w:id="619261234">
      <w:bodyDiv w:val="1"/>
      <w:marLeft w:val="0"/>
      <w:marRight w:val="0"/>
      <w:marTop w:val="0"/>
      <w:marBottom w:val="0"/>
      <w:divBdr>
        <w:top w:val="none" w:sz="0" w:space="0" w:color="auto"/>
        <w:left w:val="none" w:sz="0" w:space="0" w:color="auto"/>
        <w:bottom w:val="none" w:sz="0" w:space="0" w:color="auto"/>
        <w:right w:val="none" w:sz="0" w:space="0" w:color="auto"/>
      </w:divBdr>
      <w:divsChild>
        <w:div w:id="150029464">
          <w:marLeft w:val="0"/>
          <w:marRight w:val="0"/>
          <w:marTop w:val="0"/>
          <w:marBottom w:val="0"/>
          <w:divBdr>
            <w:top w:val="none" w:sz="0" w:space="0" w:color="auto"/>
            <w:left w:val="none" w:sz="0" w:space="0" w:color="auto"/>
            <w:bottom w:val="none" w:sz="0" w:space="0" w:color="auto"/>
            <w:right w:val="none" w:sz="0" w:space="0" w:color="auto"/>
          </w:divBdr>
          <w:divsChild>
            <w:div w:id="2062702829">
              <w:marLeft w:val="0"/>
              <w:marRight w:val="0"/>
              <w:marTop w:val="0"/>
              <w:marBottom w:val="0"/>
              <w:divBdr>
                <w:top w:val="none" w:sz="0" w:space="0" w:color="auto"/>
                <w:left w:val="none" w:sz="0" w:space="0" w:color="auto"/>
                <w:bottom w:val="none" w:sz="0" w:space="0" w:color="auto"/>
                <w:right w:val="none" w:sz="0" w:space="0" w:color="auto"/>
              </w:divBdr>
            </w:div>
          </w:divsChild>
        </w:div>
        <w:div w:id="1187914117">
          <w:marLeft w:val="0"/>
          <w:marRight w:val="0"/>
          <w:marTop w:val="150"/>
          <w:marBottom w:val="0"/>
          <w:divBdr>
            <w:top w:val="none" w:sz="0" w:space="0" w:color="auto"/>
            <w:left w:val="none" w:sz="0" w:space="0" w:color="auto"/>
            <w:bottom w:val="none" w:sz="0" w:space="0" w:color="auto"/>
            <w:right w:val="none" w:sz="0" w:space="0" w:color="auto"/>
          </w:divBdr>
          <w:divsChild>
            <w:div w:id="1699037661">
              <w:marLeft w:val="0"/>
              <w:marRight w:val="0"/>
              <w:marTop w:val="0"/>
              <w:marBottom w:val="0"/>
              <w:divBdr>
                <w:top w:val="none" w:sz="0" w:space="0" w:color="auto"/>
                <w:left w:val="none" w:sz="0" w:space="0" w:color="auto"/>
                <w:bottom w:val="none" w:sz="0" w:space="0" w:color="auto"/>
                <w:right w:val="none" w:sz="0" w:space="0" w:color="auto"/>
              </w:divBdr>
              <w:divsChild>
                <w:div w:id="1079522269">
                  <w:marLeft w:val="0"/>
                  <w:marRight w:val="0"/>
                  <w:marTop w:val="0"/>
                  <w:marBottom w:val="0"/>
                  <w:divBdr>
                    <w:top w:val="none" w:sz="0" w:space="0" w:color="auto"/>
                    <w:left w:val="none" w:sz="0" w:space="0" w:color="auto"/>
                    <w:bottom w:val="none" w:sz="0" w:space="0" w:color="auto"/>
                    <w:right w:val="none" w:sz="0" w:space="0" w:color="auto"/>
                  </w:divBdr>
                </w:div>
                <w:div w:id="120845105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728954">
      <w:bodyDiv w:val="1"/>
      <w:marLeft w:val="0"/>
      <w:marRight w:val="0"/>
      <w:marTop w:val="0"/>
      <w:marBottom w:val="0"/>
      <w:divBdr>
        <w:top w:val="none" w:sz="0" w:space="0" w:color="auto"/>
        <w:left w:val="none" w:sz="0" w:space="0" w:color="auto"/>
        <w:bottom w:val="none" w:sz="0" w:space="0" w:color="auto"/>
        <w:right w:val="none" w:sz="0" w:space="0" w:color="auto"/>
      </w:divBdr>
      <w:divsChild>
        <w:div w:id="2101099148">
          <w:marLeft w:val="0"/>
          <w:marRight w:val="0"/>
          <w:marTop w:val="0"/>
          <w:marBottom w:val="0"/>
          <w:divBdr>
            <w:top w:val="none" w:sz="0" w:space="0" w:color="auto"/>
            <w:left w:val="none" w:sz="0" w:space="0" w:color="auto"/>
            <w:bottom w:val="none" w:sz="0" w:space="0" w:color="auto"/>
            <w:right w:val="none" w:sz="0" w:space="0" w:color="auto"/>
          </w:divBdr>
          <w:divsChild>
            <w:div w:id="15359233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20383445">
      <w:bodyDiv w:val="1"/>
      <w:marLeft w:val="0"/>
      <w:marRight w:val="0"/>
      <w:marTop w:val="0"/>
      <w:marBottom w:val="0"/>
      <w:divBdr>
        <w:top w:val="none" w:sz="0" w:space="0" w:color="auto"/>
        <w:left w:val="none" w:sz="0" w:space="0" w:color="auto"/>
        <w:bottom w:val="none" w:sz="0" w:space="0" w:color="auto"/>
        <w:right w:val="none" w:sz="0" w:space="0" w:color="auto"/>
      </w:divBdr>
    </w:div>
    <w:div w:id="620918371">
      <w:bodyDiv w:val="1"/>
      <w:marLeft w:val="0"/>
      <w:marRight w:val="0"/>
      <w:marTop w:val="0"/>
      <w:marBottom w:val="0"/>
      <w:divBdr>
        <w:top w:val="none" w:sz="0" w:space="0" w:color="auto"/>
        <w:left w:val="none" w:sz="0" w:space="0" w:color="auto"/>
        <w:bottom w:val="none" w:sz="0" w:space="0" w:color="auto"/>
        <w:right w:val="none" w:sz="0" w:space="0" w:color="auto"/>
      </w:divBdr>
      <w:divsChild>
        <w:div w:id="816843971">
          <w:marLeft w:val="0"/>
          <w:marRight w:val="0"/>
          <w:marTop w:val="0"/>
          <w:marBottom w:val="150"/>
          <w:divBdr>
            <w:top w:val="none" w:sz="0" w:space="0" w:color="auto"/>
            <w:left w:val="none" w:sz="0" w:space="0" w:color="auto"/>
            <w:bottom w:val="none" w:sz="0" w:space="0" w:color="auto"/>
            <w:right w:val="none" w:sz="0" w:space="0" w:color="auto"/>
          </w:divBdr>
        </w:div>
        <w:div w:id="1979532227">
          <w:marLeft w:val="0"/>
          <w:marRight w:val="0"/>
          <w:marTop w:val="0"/>
          <w:marBottom w:val="150"/>
          <w:divBdr>
            <w:top w:val="none" w:sz="0" w:space="0" w:color="auto"/>
            <w:left w:val="none" w:sz="0" w:space="0" w:color="auto"/>
            <w:bottom w:val="none" w:sz="0" w:space="0" w:color="auto"/>
            <w:right w:val="none" w:sz="0" w:space="0" w:color="auto"/>
          </w:divBdr>
        </w:div>
      </w:divsChild>
    </w:div>
    <w:div w:id="620919378">
      <w:bodyDiv w:val="1"/>
      <w:marLeft w:val="0"/>
      <w:marRight w:val="0"/>
      <w:marTop w:val="0"/>
      <w:marBottom w:val="0"/>
      <w:divBdr>
        <w:top w:val="none" w:sz="0" w:space="0" w:color="auto"/>
        <w:left w:val="none" w:sz="0" w:space="0" w:color="auto"/>
        <w:bottom w:val="none" w:sz="0" w:space="0" w:color="auto"/>
        <w:right w:val="none" w:sz="0" w:space="0" w:color="auto"/>
      </w:divBdr>
    </w:div>
    <w:div w:id="621154667">
      <w:bodyDiv w:val="1"/>
      <w:marLeft w:val="0"/>
      <w:marRight w:val="0"/>
      <w:marTop w:val="0"/>
      <w:marBottom w:val="0"/>
      <w:divBdr>
        <w:top w:val="none" w:sz="0" w:space="0" w:color="auto"/>
        <w:left w:val="none" w:sz="0" w:space="0" w:color="auto"/>
        <w:bottom w:val="none" w:sz="0" w:space="0" w:color="auto"/>
        <w:right w:val="none" w:sz="0" w:space="0" w:color="auto"/>
      </w:divBdr>
    </w:div>
    <w:div w:id="621228923">
      <w:bodyDiv w:val="1"/>
      <w:marLeft w:val="0"/>
      <w:marRight w:val="0"/>
      <w:marTop w:val="0"/>
      <w:marBottom w:val="0"/>
      <w:divBdr>
        <w:top w:val="none" w:sz="0" w:space="0" w:color="auto"/>
        <w:left w:val="none" w:sz="0" w:space="0" w:color="auto"/>
        <w:bottom w:val="none" w:sz="0" w:space="0" w:color="auto"/>
        <w:right w:val="none" w:sz="0" w:space="0" w:color="auto"/>
      </w:divBdr>
      <w:divsChild>
        <w:div w:id="1870296887">
          <w:marLeft w:val="0"/>
          <w:marRight w:val="0"/>
          <w:marTop w:val="0"/>
          <w:marBottom w:val="0"/>
          <w:divBdr>
            <w:top w:val="none" w:sz="0" w:space="0" w:color="auto"/>
            <w:left w:val="none" w:sz="0" w:space="0" w:color="auto"/>
            <w:bottom w:val="none" w:sz="0" w:space="0" w:color="auto"/>
            <w:right w:val="none" w:sz="0" w:space="0" w:color="auto"/>
          </w:divBdr>
        </w:div>
      </w:divsChild>
    </w:div>
    <w:div w:id="621425028">
      <w:bodyDiv w:val="1"/>
      <w:marLeft w:val="0"/>
      <w:marRight w:val="0"/>
      <w:marTop w:val="0"/>
      <w:marBottom w:val="0"/>
      <w:divBdr>
        <w:top w:val="none" w:sz="0" w:space="0" w:color="auto"/>
        <w:left w:val="none" w:sz="0" w:space="0" w:color="auto"/>
        <w:bottom w:val="none" w:sz="0" w:space="0" w:color="auto"/>
        <w:right w:val="none" w:sz="0" w:space="0" w:color="auto"/>
      </w:divBdr>
      <w:divsChild>
        <w:div w:id="2050296310">
          <w:marLeft w:val="0"/>
          <w:marRight w:val="0"/>
          <w:marTop w:val="0"/>
          <w:marBottom w:val="0"/>
          <w:divBdr>
            <w:top w:val="none" w:sz="0" w:space="0" w:color="auto"/>
            <w:left w:val="none" w:sz="0" w:space="0" w:color="auto"/>
            <w:bottom w:val="dotted" w:sz="6" w:space="4" w:color="DDDDDD"/>
            <w:right w:val="none" w:sz="0" w:space="0" w:color="auto"/>
          </w:divBdr>
        </w:div>
      </w:divsChild>
    </w:div>
    <w:div w:id="621807169">
      <w:bodyDiv w:val="1"/>
      <w:marLeft w:val="0"/>
      <w:marRight w:val="0"/>
      <w:marTop w:val="0"/>
      <w:marBottom w:val="0"/>
      <w:divBdr>
        <w:top w:val="none" w:sz="0" w:space="0" w:color="auto"/>
        <w:left w:val="none" w:sz="0" w:space="0" w:color="auto"/>
        <w:bottom w:val="none" w:sz="0" w:space="0" w:color="auto"/>
        <w:right w:val="none" w:sz="0" w:space="0" w:color="auto"/>
      </w:divBdr>
      <w:divsChild>
        <w:div w:id="1771002610">
          <w:marLeft w:val="0"/>
          <w:marRight w:val="0"/>
          <w:marTop w:val="0"/>
          <w:marBottom w:val="0"/>
          <w:divBdr>
            <w:top w:val="none" w:sz="0" w:space="0" w:color="auto"/>
            <w:left w:val="none" w:sz="0" w:space="0" w:color="auto"/>
            <w:bottom w:val="none" w:sz="0" w:space="0" w:color="auto"/>
            <w:right w:val="none" w:sz="0" w:space="0" w:color="auto"/>
          </w:divBdr>
          <w:divsChild>
            <w:div w:id="1089422006">
              <w:marLeft w:val="0"/>
              <w:marRight w:val="0"/>
              <w:marTop w:val="0"/>
              <w:marBottom w:val="0"/>
              <w:divBdr>
                <w:top w:val="none" w:sz="0" w:space="0" w:color="auto"/>
                <w:left w:val="none" w:sz="0" w:space="0" w:color="auto"/>
                <w:bottom w:val="none" w:sz="0" w:space="0" w:color="auto"/>
                <w:right w:val="none" w:sz="0" w:space="0" w:color="auto"/>
              </w:divBdr>
              <w:divsChild>
                <w:div w:id="991906906">
                  <w:marLeft w:val="0"/>
                  <w:marRight w:val="0"/>
                  <w:marTop w:val="0"/>
                  <w:marBottom w:val="0"/>
                  <w:divBdr>
                    <w:top w:val="none" w:sz="0" w:space="0" w:color="auto"/>
                    <w:left w:val="none" w:sz="0" w:space="0" w:color="auto"/>
                    <w:bottom w:val="none" w:sz="0" w:space="0" w:color="auto"/>
                    <w:right w:val="none" w:sz="0" w:space="0" w:color="auto"/>
                  </w:divBdr>
                  <w:divsChild>
                    <w:div w:id="1954093196">
                      <w:marLeft w:val="0"/>
                      <w:marRight w:val="0"/>
                      <w:marTop w:val="0"/>
                      <w:marBottom w:val="0"/>
                      <w:divBdr>
                        <w:top w:val="none" w:sz="0" w:space="0" w:color="auto"/>
                        <w:left w:val="none" w:sz="0" w:space="0" w:color="auto"/>
                        <w:bottom w:val="none" w:sz="0" w:space="0" w:color="auto"/>
                        <w:right w:val="none" w:sz="0" w:space="0" w:color="auto"/>
                      </w:divBdr>
                      <w:divsChild>
                        <w:div w:id="1761833828">
                          <w:marLeft w:val="0"/>
                          <w:marRight w:val="0"/>
                          <w:marTop w:val="0"/>
                          <w:marBottom w:val="0"/>
                          <w:divBdr>
                            <w:top w:val="none" w:sz="0" w:space="0" w:color="auto"/>
                            <w:left w:val="none" w:sz="0" w:space="0" w:color="auto"/>
                            <w:bottom w:val="none" w:sz="0" w:space="0" w:color="auto"/>
                            <w:right w:val="none" w:sz="0" w:space="0" w:color="auto"/>
                          </w:divBdr>
                          <w:divsChild>
                            <w:div w:id="1301574066">
                              <w:marLeft w:val="0"/>
                              <w:marRight w:val="0"/>
                              <w:marTop w:val="0"/>
                              <w:marBottom w:val="0"/>
                              <w:divBdr>
                                <w:top w:val="none" w:sz="0" w:space="0" w:color="auto"/>
                                <w:left w:val="none" w:sz="0" w:space="0" w:color="auto"/>
                                <w:bottom w:val="none" w:sz="0" w:space="0" w:color="auto"/>
                                <w:right w:val="none" w:sz="0" w:space="0" w:color="auto"/>
                              </w:divBdr>
                              <w:divsChild>
                                <w:div w:id="296909598">
                                  <w:marLeft w:val="0"/>
                                  <w:marRight w:val="0"/>
                                  <w:marTop w:val="0"/>
                                  <w:marBottom w:val="0"/>
                                  <w:divBdr>
                                    <w:top w:val="none" w:sz="0" w:space="0" w:color="auto"/>
                                    <w:left w:val="none" w:sz="0" w:space="0" w:color="auto"/>
                                    <w:bottom w:val="none" w:sz="0" w:space="0" w:color="auto"/>
                                    <w:right w:val="none" w:sz="0" w:space="0" w:color="auto"/>
                                  </w:divBdr>
                                  <w:divsChild>
                                    <w:div w:id="67307538">
                                      <w:marLeft w:val="0"/>
                                      <w:marRight w:val="0"/>
                                      <w:marTop w:val="0"/>
                                      <w:marBottom w:val="0"/>
                                      <w:divBdr>
                                        <w:top w:val="none" w:sz="0" w:space="0" w:color="auto"/>
                                        <w:left w:val="none" w:sz="0" w:space="0" w:color="auto"/>
                                        <w:bottom w:val="none" w:sz="0" w:space="0" w:color="auto"/>
                                        <w:right w:val="none" w:sz="0" w:space="0" w:color="auto"/>
                                      </w:divBdr>
                                      <w:divsChild>
                                        <w:div w:id="133321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2157514">
      <w:bodyDiv w:val="1"/>
      <w:marLeft w:val="0"/>
      <w:marRight w:val="0"/>
      <w:marTop w:val="0"/>
      <w:marBottom w:val="0"/>
      <w:divBdr>
        <w:top w:val="none" w:sz="0" w:space="0" w:color="auto"/>
        <w:left w:val="none" w:sz="0" w:space="0" w:color="auto"/>
        <w:bottom w:val="none" w:sz="0" w:space="0" w:color="auto"/>
        <w:right w:val="none" w:sz="0" w:space="0" w:color="auto"/>
      </w:divBdr>
    </w:div>
    <w:div w:id="622463124">
      <w:bodyDiv w:val="1"/>
      <w:marLeft w:val="0"/>
      <w:marRight w:val="0"/>
      <w:marTop w:val="0"/>
      <w:marBottom w:val="0"/>
      <w:divBdr>
        <w:top w:val="none" w:sz="0" w:space="0" w:color="auto"/>
        <w:left w:val="none" w:sz="0" w:space="0" w:color="auto"/>
        <w:bottom w:val="none" w:sz="0" w:space="0" w:color="auto"/>
        <w:right w:val="none" w:sz="0" w:space="0" w:color="auto"/>
      </w:divBdr>
    </w:div>
    <w:div w:id="623123697">
      <w:bodyDiv w:val="1"/>
      <w:marLeft w:val="0"/>
      <w:marRight w:val="0"/>
      <w:marTop w:val="0"/>
      <w:marBottom w:val="0"/>
      <w:divBdr>
        <w:top w:val="none" w:sz="0" w:space="0" w:color="auto"/>
        <w:left w:val="none" w:sz="0" w:space="0" w:color="auto"/>
        <w:bottom w:val="none" w:sz="0" w:space="0" w:color="auto"/>
        <w:right w:val="none" w:sz="0" w:space="0" w:color="auto"/>
      </w:divBdr>
      <w:divsChild>
        <w:div w:id="261258837">
          <w:marLeft w:val="0"/>
          <w:marRight w:val="0"/>
          <w:marTop w:val="0"/>
          <w:marBottom w:val="0"/>
          <w:divBdr>
            <w:top w:val="none" w:sz="0" w:space="0" w:color="auto"/>
            <w:left w:val="none" w:sz="0" w:space="0" w:color="auto"/>
            <w:bottom w:val="none" w:sz="0" w:space="0" w:color="auto"/>
            <w:right w:val="none" w:sz="0" w:space="0" w:color="auto"/>
          </w:divBdr>
          <w:divsChild>
            <w:div w:id="655230480">
              <w:marLeft w:val="0"/>
              <w:marRight w:val="0"/>
              <w:marTop w:val="0"/>
              <w:marBottom w:val="0"/>
              <w:divBdr>
                <w:top w:val="none" w:sz="0" w:space="0" w:color="auto"/>
                <w:left w:val="none" w:sz="0" w:space="0" w:color="auto"/>
                <w:bottom w:val="none" w:sz="0" w:space="0" w:color="auto"/>
                <w:right w:val="none" w:sz="0" w:space="0" w:color="auto"/>
              </w:divBdr>
              <w:divsChild>
                <w:div w:id="445317338">
                  <w:marLeft w:val="0"/>
                  <w:marRight w:val="0"/>
                  <w:marTop w:val="0"/>
                  <w:marBottom w:val="0"/>
                  <w:divBdr>
                    <w:top w:val="none" w:sz="0" w:space="0" w:color="auto"/>
                    <w:left w:val="none" w:sz="0" w:space="0" w:color="auto"/>
                    <w:bottom w:val="none" w:sz="0" w:space="0" w:color="auto"/>
                    <w:right w:val="none" w:sz="0" w:space="0" w:color="auto"/>
                  </w:divBdr>
                  <w:divsChild>
                    <w:div w:id="318190263">
                      <w:marLeft w:val="0"/>
                      <w:marRight w:val="0"/>
                      <w:marTop w:val="0"/>
                      <w:marBottom w:val="0"/>
                      <w:divBdr>
                        <w:top w:val="none" w:sz="0" w:space="0" w:color="auto"/>
                        <w:left w:val="none" w:sz="0" w:space="0" w:color="auto"/>
                        <w:bottom w:val="none" w:sz="0" w:space="0" w:color="auto"/>
                        <w:right w:val="none" w:sz="0" w:space="0" w:color="auto"/>
                      </w:divBdr>
                      <w:divsChild>
                        <w:div w:id="102237338">
                          <w:marLeft w:val="0"/>
                          <w:marRight w:val="0"/>
                          <w:marTop w:val="0"/>
                          <w:marBottom w:val="0"/>
                          <w:divBdr>
                            <w:top w:val="none" w:sz="0" w:space="0" w:color="auto"/>
                            <w:left w:val="none" w:sz="0" w:space="0" w:color="auto"/>
                            <w:bottom w:val="none" w:sz="0" w:space="0" w:color="auto"/>
                            <w:right w:val="none" w:sz="0" w:space="0" w:color="auto"/>
                          </w:divBdr>
                          <w:divsChild>
                            <w:div w:id="2126383498">
                              <w:marLeft w:val="0"/>
                              <w:marRight w:val="0"/>
                              <w:marTop w:val="0"/>
                              <w:marBottom w:val="0"/>
                              <w:divBdr>
                                <w:top w:val="none" w:sz="0" w:space="0" w:color="auto"/>
                                <w:left w:val="none" w:sz="0" w:space="0" w:color="auto"/>
                                <w:bottom w:val="none" w:sz="0" w:space="0" w:color="auto"/>
                                <w:right w:val="none" w:sz="0" w:space="0" w:color="auto"/>
                              </w:divBdr>
                              <w:divsChild>
                                <w:div w:id="195704455">
                                  <w:marLeft w:val="0"/>
                                  <w:marRight w:val="0"/>
                                  <w:marTop w:val="0"/>
                                  <w:marBottom w:val="0"/>
                                  <w:divBdr>
                                    <w:top w:val="none" w:sz="0" w:space="0" w:color="auto"/>
                                    <w:left w:val="none" w:sz="0" w:space="0" w:color="auto"/>
                                    <w:bottom w:val="none" w:sz="0" w:space="0" w:color="auto"/>
                                    <w:right w:val="none" w:sz="0" w:space="0" w:color="auto"/>
                                  </w:divBdr>
                                  <w:divsChild>
                                    <w:div w:id="156926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3193828">
      <w:bodyDiv w:val="1"/>
      <w:marLeft w:val="0"/>
      <w:marRight w:val="0"/>
      <w:marTop w:val="0"/>
      <w:marBottom w:val="0"/>
      <w:divBdr>
        <w:top w:val="none" w:sz="0" w:space="0" w:color="auto"/>
        <w:left w:val="none" w:sz="0" w:space="0" w:color="auto"/>
        <w:bottom w:val="none" w:sz="0" w:space="0" w:color="auto"/>
        <w:right w:val="none" w:sz="0" w:space="0" w:color="auto"/>
      </w:divBdr>
      <w:divsChild>
        <w:div w:id="1415932853">
          <w:marLeft w:val="0"/>
          <w:marRight w:val="0"/>
          <w:marTop w:val="0"/>
          <w:marBottom w:val="0"/>
          <w:divBdr>
            <w:top w:val="none" w:sz="0" w:space="0" w:color="auto"/>
            <w:left w:val="none" w:sz="0" w:space="0" w:color="auto"/>
            <w:bottom w:val="dotted" w:sz="6" w:space="4" w:color="DDDDDD"/>
            <w:right w:val="none" w:sz="0" w:space="0" w:color="auto"/>
          </w:divBdr>
          <w:divsChild>
            <w:div w:id="185580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461292">
      <w:bodyDiv w:val="1"/>
      <w:marLeft w:val="0"/>
      <w:marRight w:val="0"/>
      <w:marTop w:val="0"/>
      <w:marBottom w:val="0"/>
      <w:divBdr>
        <w:top w:val="none" w:sz="0" w:space="0" w:color="auto"/>
        <w:left w:val="none" w:sz="0" w:space="0" w:color="auto"/>
        <w:bottom w:val="none" w:sz="0" w:space="0" w:color="auto"/>
        <w:right w:val="none" w:sz="0" w:space="0" w:color="auto"/>
      </w:divBdr>
      <w:divsChild>
        <w:div w:id="203446169">
          <w:marLeft w:val="0"/>
          <w:marRight w:val="0"/>
          <w:marTop w:val="300"/>
          <w:marBottom w:val="0"/>
          <w:divBdr>
            <w:top w:val="none" w:sz="0" w:space="0" w:color="auto"/>
            <w:left w:val="none" w:sz="0" w:space="0" w:color="auto"/>
            <w:bottom w:val="none" w:sz="0" w:space="0" w:color="auto"/>
            <w:right w:val="none" w:sz="0" w:space="0" w:color="auto"/>
          </w:divBdr>
          <w:divsChild>
            <w:div w:id="1151873768">
              <w:marLeft w:val="-1350"/>
              <w:marRight w:val="0"/>
              <w:marTop w:val="0"/>
              <w:marBottom w:val="0"/>
              <w:divBdr>
                <w:top w:val="none" w:sz="0" w:space="0" w:color="auto"/>
                <w:left w:val="none" w:sz="0" w:space="0" w:color="auto"/>
                <w:bottom w:val="none" w:sz="0" w:space="0" w:color="auto"/>
                <w:right w:val="none" w:sz="0" w:space="0" w:color="auto"/>
              </w:divBdr>
              <w:divsChild>
                <w:div w:id="1227258630">
                  <w:marLeft w:val="0"/>
                  <w:marRight w:val="0"/>
                  <w:marTop w:val="0"/>
                  <w:marBottom w:val="0"/>
                  <w:divBdr>
                    <w:top w:val="none" w:sz="0" w:space="0" w:color="auto"/>
                    <w:left w:val="none" w:sz="0" w:space="0" w:color="auto"/>
                    <w:bottom w:val="none" w:sz="0" w:space="0" w:color="auto"/>
                    <w:right w:val="none" w:sz="0" w:space="0" w:color="auto"/>
                  </w:divBdr>
                  <w:divsChild>
                    <w:div w:id="1556966393">
                      <w:marLeft w:val="0"/>
                      <w:marRight w:val="0"/>
                      <w:marTop w:val="0"/>
                      <w:marBottom w:val="0"/>
                      <w:divBdr>
                        <w:top w:val="none" w:sz="0" w:space="0" w:color="auto"/>
                        <w:left w:val="none" w:sz="0" w:space="0" w:color="auto"/>
                        <w:bottom w:val="none" w:sz="0" w:space="0" w:color="auto"/>
                        <w:right w:val="none" w:sz="0" w:space="0" w:color="auto"/>
                      </w:divBdr>
                      <w:divsChild>
                        <w:div w:id="1361053872">
                          <w:marLeft w:val="0"/>
                          <w:marRight w:val="0"/>
                          <w:marTop w:val="0"/>
                          <w:marBottom w:val="0"/>
                          <w:divBdr>
                            <w:top w:val="single" w:sz="6" w:space="0" w:color="C7C7C7"/>
                            <w:left w:val="single" w:sz="6" w:space="0" w:color="C7C7C7"/>
                            <w:bottom w:val="single" w:sz="6" w:space="0" w:color="C7C7C7"/>
                            <w:right w:val="single" w:sz="6" w:space="0" w:color="C7C7C7"/>
                          </w:divBdr>
                          <w:divsChild>
                            <w:div w:id="388266307">
                              <w:marLeft w:val="0"/>
                              <w:marRight w:val="0"/>
                              <w:marTop w:val="100"/>
                              <w:marBottom w:val="100"/>
                              <w:divBdr>
                                <w:top w:val="none" w:sz="0" w:space="11" w:color="auto"/>
                                <w:left w:val="none" w:sz="0" w:space="0" w:color="auto"/>
                                <w:bottom w:val="single" w:sz="6" w:space="11" w:color="C7C7C7"/>
                                <w:right w:val="none" w:sz="0" w:space="0" w:color="auto"/>
                              </w:divBdr>
                            </w:div>
                            <w:div w:id="809515991">
                              <w:marLeft w:val="0"/>
                              <w:marRight w:val="0"/>
                              <w:marTop w:val="100"/>
                              <w:marBottom w:val="100"/>
                              <w:divBdr>
                                <w:top w:val="none" w:sz="0" w:space="0" w:color="auto"/>
                                <w:left w:val="none" w:sz="0" w:space="0" w:color="auto"/>
                                <w:bottom w:val="none" w:sz="0" w:space="0" w:color="auto"/>
                                <w:right w:val="none" w:sz="0" w:space="0" w:color="auto"/>
                              </w:divBdr>
                            </w:div>
                            <w:div w:id="1512330928">
                              <w:marLeft w:val="0"/>
                              <w:marRight w:val="0"/>
                              <w:marTop w:val="100"/>
                              <w:marBottom w:val="100"/>
                              <w:divBdr>
                                <w:top w:val="none" w:sz="0" w:space="11" w:color="auto"/>
                                <w:left w:val="none" w:sz="0" w:space="0" w:color="auto"/>
                                <w:bottom w:val="single" w:sz="6" w:space="11" w:color="C7C7C7"/>
                                <w:right w:val="none" w:sz="0" w:space="0" w:color="auto"/>
                              </w:divBdr>
                            </w:div>
                            <w:div w:id="1858500358">
                              <w:marLeft w:val="0"/>
                              <w:marRight w:val="0"/>
                              <w:marTop w:val="100"/>
                              <w:marBottom w:val="100"/>
                              <w:divBdr>
                                <w:top w:val="none" w:sz="0" w:space="11" w:color="auto"/>
                                <w:left w:val="none" w:sz="0" w:space="0" w:color="auto"/>
                                <w:bottom w:val="single" w:sz="6" w:space="11" w:color="C7C7C7"/>
                                <w:right w:val="none" w:sz="0" w:space="0" w:color="auto"/>
                              </w:divBdr>
                              <w:divsChild>
                                <w:div w:id="871576339">
                                  <w:marLeft w:val="0"/>
                                  <w:marRight w:val="0"/>
                                  <w:marTop w:val="0"/>
                                  <w:marBottom w:val="0"/>
                                  <w:divBdr>
                                    <w:top w:val="none" w:sz="0" w:space="0" w:color="auto"/>
                                    <w:left w:val="none" w:sz="0" w:space="0" w:color="auto"/>
                                    <w:bottom w:val="none" w:sz="0" w:space="0" w:color="auto"/>
                                    <w:right w:val="none" w:sz="0" w:space="0" w:color="auto"/>
                                  </w:divBdr>
                                </w:div>
                              </w:divsChild>
                            </w:div>
                            <w:div w:id="211493145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2009480643">
              <w:marLeft w:val="0"/>
              <w:marRight w:val="0"/>
              <w:marTop w:val="0"/>
              <w:marBottom w:val="0"/>
              <w:divBdr>
                <w:top w:val="none" w:sz="0" w:space="0" w:color="auto"/>
                <w:left w:val="none" w:sz="0" w:space="0" w:color="auto"/>
                <w:bottom w:val="none" w:sz="0" w:space="0" w:color="auto"/>
                <w:right w:val="none" w:sz="0" w:space="0" w:color="auto"/>
              </w:divBdr>
            </w:div>
          </w:divsChild>
        </w:div>
        <w:div w:id="362292353">
          <w:marLeft w:val="0"/>
          <w:marRight w:val="0"/>
          <w:marTop w:val="150"/>
          <w:marBottom w:val="0"/>
          <w:divBdr>
            <w:top w:val="none" w:sz="0" w:space="0" w:color="auto"/>
            <w:left w:val="none" w:sz="0" w:space="0" w:color="auto"/>
            <w:bottom w:val="none" w:sz="0" w:space="0" w:color="auto"/>
            <w:right w:val="none" w:sz="0" w:space="0" w:color="auto"/>
          </w:divBdr>
          <w:divsChild>
            <w:div w:id="672954947">
              <w:marLeft w:val="0"/>
              <w:marRight w:val="0"/>
              <w:marTop w:val="0"/>
              <w:marBottom w:val="0"/>
              <w:divBdr>
                <w:top w:val="none" w:sz="0" w:space="0" w:color="auto"/>
                <w:left w:val="none" w:sz="0" w:space="0" w:color="auto"/>
                <w:bottom w:val="single" w:sz="6" w:space="0" w:color="EFEFEF"/>
                <w:right w:val="none" w:sz="0" w:space="0" w:color="auto"/>
              </w:divBdr>
              <w:divsChild>
                <w:div w:id="1886868366">
                  <w:marLeft w:val="0"/>
                  <w:marRight w:val="0"/>
                  <w:marTop w:val="0"/>
                  <w:marBottom w:val="0"/>
                  <w:divBdr>
                    <w:top w:val="none" w:sz="0" w:space="0" w:color="auto"/>
                    <w:left w:val="none" w:sz="0" w:space="0" w:color="auto"/>
                    <w:bottom w:val="none" w:sz="0" w:space="0" w:color="auto"/>
                    <w:right w:val="none" w:sz="0" w:space="0" w:color="auto"/>
                  </w:divBdr>
                </w:div>
                <w:div w:id="213663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652714">
      <w:bodyDiv w:val="1"/>
      <w:marLeft w:val="0"/>
      <w:marRight w:val="0"/>
      <w:marTop w:val="0"/>
      <w:marBottom w:val="0"/>
      <w:divBdr>
        <w:top w:val="none" w:sz="0" w:space="0" w:color="auto"/>
        <w:left w:val="none" w:sz="0" w:space="0" w:color="auto"/>
        <w:bottom w:val="none" w:sz="0" w:space="0" w:color="auto"/>
        <w:right w:val="none" w:sz="0" w:space="0" w:color="auto"/>
      </w:divBdr>
      <w:divsChild>
        <w:div w:id="1738434288">
          <w:marLeft w:val="0"/>
          <w:marRight w:val="0"/>
          <w:marTop w:val="0"/>
          <w:marBottom w:val="150"/>
          <w:divBdr>
            <w:top w:val="none" w:sz="0" w:space="0" w:color="auto"/>
            <w:left w:val="none" w:sz="0" w:space="0" w:color="auto"/>
            <w:bottom w:val="none" w:sz="0" w:space="0" w:color="auto"/>
            <w:right w:val="none" w:sz="0" w:space="0" w:color="auto"/>
          </w:divBdr>
        </w:div>
      </w:divsChild>
    </w:div>
    <w:div w:id="624000683">
      <w:bodyDiv w:val="1"/>
      <w:marLeft w:val="0"/>
      <w:marRight w:val="0"/>
      <w:marTop w:val="0"/>
      <w:marBottom w:val="0"/>
      <w:divBdr>
        <w:top w:val="none" w:sz="0" w:space="0" w:color="auto"/>
        <w:left w:val="none" w:sz="0" w:space="0" w:color="auto"/>
        <w:bottom w:val="none" w:sz="0" w:space="0" w:color="auto"/>
        <w:right w:val="none" w:sz="0" w:space="0" w:color="auto"/>
      </w:divBdr>
      <w:divsChild>
        <w:div w:id="259611185">
          <w:marLeft w:val="0"/>
          <w:marRight w:val="0"/>
          <w:marTop w:val="0"/>
          <w:marBottom w:val="0"/>
          <w:divBdr>
            <w:top w:val="none" w:sz="0" w:space="0" w:color="auto"/>
            <w:left w:val="none" w:sz="0" w:space="0" w:color="auto"/>
            <w:bottom w:val="dotted" w:sz="6" w:space="4" w:color="DDDDDD"/>
            <w:right w:val="none" w:sz="0" w:space="0" w:color="auto"/>
          </w:divBdr>
          <w:divsChild>
            <w:div w:id="169491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94620">
      <w:bodyDiv w:val="1"/>
      <w:marLeft w:val="0"/>
      <w:marRight w:val="0"/>
      <w:marTop w:val="0"/>
      <w:marBottom w:val="0"/>
      <w:divBdr>
        <w:top w:val="none" w:sz="0" w:space="0" w:color="auto"/>
        <w:left w:val="none" w:sz="0" w:space="0" w:color="auto"/>
        <w:bottom w:val="none" w:sz="0" w:space="0" w:color="auto"/>
        <w:right w:val="none" w:sz="0" w:space="0" w:color="auto"/>
      </w:divBdr>
    </w:div>
    <w:div w:id="624966604">
      <w:bodyDiv w:val="1"/>
      <w:marLeft w:val="0"/>
      <w:marRight w:val="0"/>
      <w:marTop w:val="0"/>
      <w:marBottom w:val="0"/>
      <w:divBdr>
        <w:top w:val="none" w:sz="0" w:space="0" w:color="auto"/>
        <w:left w:val="none" w:sz="0" w:space="0" w:color="auto"/>
        <w:bottom w:val="none" w:sz="0" w:space="0" w:color="auto"/>
        <w:right w:val="none" w:sz="0" w:space="0" w:color="auto"/>
      </w:divBdr>
      <w:divsChild>
        <w:div w:id="1837451103">
          <w:marLeft w:val="0"/>
          <w:marRight w:val="0"/>
          <w:marTop w:val="0"/>
          <w:marBottom w:val="0"/>
          <w:divBdr>
            <w:top w:val="none" w:sz="0" w:space="0" w:color="auto"/>
            <w:left w:val="none" w:sz="0" w:space="0" w:color="auto"/>
            <w:bottom w:val="dotted" w:sz="6" w:space="4" w:color="DDDDDD"/>
            <w:right w:val="none" w:sz="0" w:space="0" w:color="auto"/>
          </w:divBdr>
        </w:div>
      </w:divsChild>
    </w:div>
    <w:div w:id="625084432">
      <w:bodyDiv w:val="1"/>
      <w:marLeft w:val="0"/>
      <w:marRight w:val="0"/>
      <w:marTop w:val="0"/>
      <w:marBottom w:val="0"/>
      <w:divBdr>
        <w:top w:val="none" w:sz="0" w:space="0" w:color="auto"/>
        <w:left w:val="none" w:sz="0" w:space="0" w:color="auto"/>
        <w:bottom w:val="none" w:sz="0" w:space="0" w:color="auto"/>
        <w:right w:val="none" w:sz="0" w:space="0" w:color="auto"/>
      </w:divBdr>
      <w:divsChild>
        <w:div w:id="468480496">
          <w:marLeft w:val="0"/>
          <w:marRight w:val="0"/>
          <w:marTop w:val="0"/>
          <w:marBottom w:val="0"/>
          <w:divBdr>
            <w:top w:val="none" w:sz="0" w:space="0" w:color="auto"/>
            <w:left w:val="none" w:sz="0" w:space="0" w:color="auto"/>
            <w:bottom w:val="dotted" w:sz="6" w:space="4" w:color="DDDDDD"/>
            <w:right w:val="none" w:sz="0" w:space="0" w:color="auto"/>
          </w:divBdr>
          <w:divsChild>
            <w:div w:id="178811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501021">
      <w:bodyDiv w:val="1"/>
      <w:marLeft w:val="0"/>
      <w:marRight w:val="0"/>
      <w:marTop w:val="0"/>
      <w:marBottom w:val="0"/>
      <w:divBdr>
        <w:top w:val="none" w:sz="0" w:space="0" w:color="auto"/>
        <w:left w:val="none" w:sz="0" w:space="0" w:color="auto"/>
        <w:bottom w:val="none" w:sz="0" w:space="0" w:color="auto"/>
        <w:right w:val="none" w:sz="0" w:space="0" w:color="auto"/>
      </w:divBdr>
    </w:div>
    <w:div w:id="625818437">
      <w:bodyDiv w:val="1"/>
      <w:marLeft w:val="0"/>
      <w:marRight w:val="0"/>
      <w:marTop w:val="0"/>
      <w:marBottom w:val="0"/>
      <w:divBdr>
        <w:top w:val="none" w:sz="0" w:space="0" w:color="auto"/>
        <w:left w:val="none" w:sz="0" w:space="0" w:color="auto"/>
        <w:bottom w:val="none" w:sz="0" w:space="0" w:color="auto"/>
        <w:right w:val="none" w:sz="0" w:space="0" w:color="auto"/>
      </w:divBdr>
      <w:divsChild>
        <w:div w:id="1509128418">
          <w:marLeft w:val="0"/>
          <w:marRight w:val="0"/>
          <w:marTop w:val="0"/>
          <w:marBottom w:val="0"/>
          <w:divBdr>
            <w:top w:val="none" w:sz="0" w:space="0" w:color="auto"/>
            <w:left w:val="none" w:sz="0" w:space="0" w:color="auto"/>
            <w:bottom w:val="none" w:sz="0" w:space="0" w:color="auto"/>
            <w:right w:val="none" w:sz="0" w:space="0" w:color="auto"/>
          </w:divBdr>
          <w:divsChild>
            <w:div w:id="983507259">
              <w:marLeft w:val="0"/>
              <w:marRight w:val="0"/>
              <w:marTop w:val="0"/>
              <w:marBottom w:val="0"/>
              <w:divBdr>
                <w:top w:val="none" w:sz="0" w:space="0" w:color="auto"/>
                <w:left w:val="none" w:sz="0" w:space="0" w:color="auto"/>
                <w:bottom w:val="none" w:sz="0" w:space="0" w:color="auto"/>
                <w:right w:val="none" w:sz="0" w:space="0" w:color="auto"/>
              </w:divBdr>
              <w:divsChild>
                <w:div w:id="1567374498">
                  <w:marLeft w:val="0"/>
                  <w:marRight w:val="0"/>
                  <w:marTop w:val="0"/>
                  <w:marBottom w:val="0"/>
                  <w:divBdr>
                    <w:top w:val="none" w:sz="0" w:space="0" w:color="auto"/>
                    <w:left w:val="none" w:sz="0" w:space="0" w:color="auto"/>
                    <w:bottom w:val="none" w:sz="0" w:space="0" w:color="auto"/>
                    <w:right w:val="none" w:sz="0" w:space="0" w:color="auto"/>
                  </w:divBdr>
                  <w:divsChild>
                    <w:div w:id="352649812">
                      <w:marLeft w:val="0"/>
                      <w:marRight w:val="0"/>
                      <w:marTop w:val="0"/>
                      <w:marBottom w:val="0"/>
                      <w:divBdr>
                        <w:top w:val="none" w:sz="0" w:space="0" w:color="auto"/>
                        <w:left w:val="none" w:sz="0" w:space="0" w:color="auto"/>
                        <w:bottom w:val="none" w:sz="0" w:space="0" w:color="auto"/>
                        <w:right w:val="none" w:sz="0" w:space="0" w:color="auto"/>
                      </w:divBdr>
                      <w:divsChild>
                        <w:div w:id="1100755668">
                          <w:marLeft w:val="0"/>
                          <w:marRight w:val="0"/>
                          <w:marTop w:val="0"/>
                          <w:marBottom w:val="0"/>
                          <w:divBdr>
                            <w:top w:val="none" w:sz="0" w:space="0" w:color="auto"/>
                            <w:left w:val="none" w:sz="0" w:space="0" w:color="auto"/>
                            <w:bottom w:val="none" w:sz="0" w:space="0" w:color="auto"/>
                            <w:right w:val="none" w:sz="0" w:space="0" w:color="auto"/>
                          </w:divBdr>
                          <w:divsChild>
                            <w:div w:id="938486759">
                              <w:marLeft w:val="0"/>
                              <w:marRight w:val="0"/>
                              <w:marTop w:val="0"/>
                              <w:marBottom w:val="0"/>
                              <w:divBdr>
                                <w:top w:val="none" w:sz="0" w:space="0" w:color="auto"/>
                                <w:left w:val="none" w:sz="0" w:space="0" w:color="auto"/>
                                <w:bottom w:val="none" w:sz="0" w:space="0" w:color="auto"/>
                                <w:right w:val="none" w:sz="0" w:space="0" w:color="auto"/>
                              </w:divBdr>
                              <w:divsChild>
                                <w:div w:id="484204322">
                                  <w:marLeft w:val="0"/>
                                  <w:marRight w:val="0"/>
                                  <w:marTop w:val="0"/>
                                  <w:marBottom w:val="0"/>
                                  <w:divBdr>
                                    <w:top w:val="none" w:sz="0" w:space="0" w:color="auto"/>
                                    <w:left w:val="none" w:sz="0" w:space="0" w:color="auto"/>
                                    <w:bottom w:val="none" w:sz="0" w:space="0" w:color="auto"/>
                                    <w:right w:val="none" w:sz="0" w:space="0" w:color="auto"/>
                                  </w:divBdr>
                                  <w:divsChild>
                                    <w:div w:id="812406807">
                                      <w:marLeft w:val="0"/>
                                      <w:marRight w:val="0"/>
                                      <w:marTop w:val="0"/>
                                      <w:marBottom w:val="0"/>
                                      <w:divBdr>
                                        <w:top w:val="none" w:sz="0" w:space="0" w:color="auto"/>
                                        <w:left w:val="none" w:sz="0" w:space="0" w:color="auto"/>
                                        <w:bottom w:val="none" w:sz="0" w:space="0" w:color="auto"/>
                                        <w:right w:val="none" w:sz="0" w:space="0" w:color="auto"/>
                                      </w:divBdr>
                                      <w:divsChild>
                                        <w:div w:id="17061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6131908">
      <w:bodyDiv w:val="1"/>
      <w:marLeft w:val="0"/>
      <w:marRight w:val="0"/>
      <w:marTop w:val="0"/>
      <w:marBottom w:val="0"/>
      <w:divBdr>
        <w:top w:val="none" w:sz="0" w:space="0" w:color="auto"/>
        <w:left w:val="none" w:sz="0" w:space="0" w:color="auto"/>
        <w:bottom w:val="none" w:sz="0" w:space="0" w:color="auto"/>
        <w:right w:val="none" w:sz="0" w:space="0" w:color="auto"/>
      </w:divBdr>
    </w:div>
    <w:div w:id="626275553">
      <w:bodyDiv w:val="1"/>
      <w:marLeft w:val="0"/>
      <w:marRight w:val="0"/>
      <w:marTop w:val="0"/>
      <w:marBottom w:val="0"/>
      <w:divBdr>
        <w:top w:val="none" w:sz="0" w:space="0" w:color="auto"/>
        <w:left w:val="none" w:sz="0" w:space="0" w:color="auto"/>
        <w:bottom w:val="none" w:sz="0" w:space="0" w:color="auto"/>
        <w:right w:val="none" w:sz="0" w:space="0" w:color="auto"/>
      </w:divBdr>
      <w:divsChild>
        <w:div w:id="907151335">
          <w:marLeft w:val="0"/>
          <w:marRight w:val="0"/>
          <w:marTop w:val="0"/>
          <w:marBottom w:val="0"/>
          <w:divBdr>
            <w:top w:val="none" w:sz="0" w:space="0" w:color="auto"/>
            <w:left w:val="none" w:sz="0" w:space="0" w:color="auto"/>
            <w:bottom w:val="none" w:sz="0" w:space="0" w:color="auto"/>
            <w:right w:val="none" w:sz="0" w:space="0" w:color="auto"/>
          </w:divBdr>
          <w:divsChild>
            <w:div w:id="1937209561">
              <w:marLeft w:val="0"/>
              <w:marRight w:val="150"/>
              <w:marTop w:val="0"/>
              <w:marBottom w:val="0"/>
              <w:divBdr>
                <w:top w:val="none" w:sz="0" w:space="0" w:color="auto"/>
                <w:left w:val="none" w:sz="0" w:space="0" w:color="auto"/>
                <w:bottom w:val="none" w:sz="0" w:space="0" w:color="auto"/>
                <w:right w:val="none" w:sz="0" w:space="0" w:color="auto"/>
              </w:divBdr>
              <w:divsChild>
                <w:div w:id="47924178">
                  <w:marLeft w:val="0"/>
                  <w:marRight w:val="0"/>
                  <w:marTop w:val="0"/>
                  <w:marBottom w:val="0"/>
                  <w:divBdr>
                    <w:top w:val="none" w:sz="0" w:space="0" w:color="auto"/>
                    <w:left w:val="none" w:sz="0" w:space="0" w:color="auto"/>
                    <w:bottom w:val="none" w:sz="0" w:space="0" w:color="auto"/>
                    <w:right w:val="none" w:sz="0" w:space="0" w:color="auto"/>
                  </w:divBdr>
                  <w:divsChild>
                    <w:div w:id="129133649">
                      <w:marLeft w:val="0"/>
                      <w:marRight w:val="0"/>
                      <w:marTop w:val="0"/>
                      <w:marBottom w:val="0"/>
                      <w:divBdr>
                        <w:top w:val="none" w:sz="0" w:space="8" w:color="auto"/>
                        <w:left w:val="none" w:sz="0" w:space="2" w:color="auto"/>
                        <w:bottom w:val="single" w:sz="6" w:space="8" w:color="DDDDDD"/>
                        <w:right w:val="none" w:sz="0" w:space="0" w:color="auto"/>
                      </w:divBdr>
                    </w:div>
                    <w:div w:id="923342920">
                      <w:marLeft w:val="0"/>
                      <w:marRight w:val="0"/>
                      <w:marTop w:val="150"/>
                      <w:marBottom w:val="0"/>
                      <w:divBdr>
                        <w:top w:val="none" w:sz="0" w:space="0" w:color="auto"/>
                        <w:left w:val="none" w:sz="0" w:space="0" w:color="auto"/>
                        <w:bottom w:val="none" w:sz="0" w:space="0" w:color="auto"/>
                        <w:right w:val="none" w:sz="0" w:space="0" w:color="auto"/>
                      </w:divBdr>
                      <w:divsChild>
                        <w:div w:id="19983058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2070110141">
              <w:marLeft w:val="0"/>
              <w:marRight w:val="0"/>
              <w:marTop w:val="0"/>
              <w:marBottom w:val="0"/>
              <w:divBdr>
                <w:top w:val="none" w:sz="0" w:space="0" w:color="auto"/>
                <w:left w:val="none" w:sz="0" w:space="0" w:color="auto"/>
                <w:bottom w:val="single" w:sz="12" w:space="0" w:color="C4C4C4"/>
                <w:right w:val="none" w:sz="0" w:space="0" w:color="auto"/>
              </w:divBdr>
              <w:divsChild>
                <w:div w:id="501967709">
                  <w:marLeft w:val="0"/>
                  <w:marRight w:val="0"/>
                  <w:marTop w:val="0"/>
                  <w:marBottom w:val="0"/>
                  <w:divBdr>
                    <w:top w:val="none" w:sz="0" w:space="0" w:color="auto"/>
                    <w:left w:val="none" w:sz="0" w:space="0" w:color="auto"/>
                    <w:bottom w:val="none" w:sz="0" w:space="0" w:color="auto"/>
                    <w:right w:val="none" w:sz="0" w:space="0" w:color="auto"/>
                  </w:divBdr>
                  <w:divsChild>
                    <w:div w:id="169772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773094">
          <w:marLeft w:val="0"/>
          <w:marRight w:val="0"/>
          <w:marTop w:val="0"/>
          <w:marBottom w:val="0"/>
          <w:divBdr>
            <w:top w:val="single" w:sz="12" w:space="0" w:color="FFFFFF"/>
            <w:left w:val="none" w:sz="0" w:space="0" w:color="auto"/>
            <w:bottom w:val="single" w:sz="12" w:space="0" w:color="FFFFFF"/>
            <w:right w:val="none" w:sz="0" w:space="0" w:color="auto"/>
          </w:divBdr>
        </w:div>
      </w:divsChild>
    </w:div>
    <w:div w:id="627398834">
      <w:bodyDiv w:val="1"/>
      <w:marLeft w:val="0"/>
      <w:marRight w:val="0"/>
      <w:marTop w:val="0"/>
      <w:marBottom w:val="0"/>
      <w:divBdr>
        <w:top w:val="none" w:sz="0" w:space="0" w:color="auto"/>
        <w:left w:val="none" w:sz="0" w:space="0" w:color="auto"/>
        <w:bottom w:val="none" w:sz="0" w:space="0" w:color="auto"/>
        <w:right w:val="none" w:sz="0" w:space="0" w:color="auto"/>
      </w:divBdr>
      <w:divsChild>
        <w:div w:id="2074691767">
          <w:marLeft w:val="0"/>
          <w:marRight w:val="0"/>
          <w:marTop w:val="0"/>
          <w:marBottom w:val="0"/>
          <w:divBdr>
            <w:top w:val="none" w:sz="0" w:space="0" w:color="auto"/>
            <w:left w:val="none" w:sz="0" w:space="0" w:color="auto"/>
            <w:bottom w:val="dotted" w:sz="6" w:space="4" w:color="DDDDDD"/>
            <w:right w:val="none" w:sz="0" w:space="0" w:color="auto"/>
          </w:divBdr>
          <w:divsChild>
            <w:div w:id="158322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467127">
      <w:bodyDiv w:val="1"/>
      <w:marLeft w:val="0"/>
      <w:marRight w:val="0"/>
      <w:marTop w:val="0"/>
      <w:marBottom w:val="0"/>
      <w:divBdr>
        <w:top w:val="none" w:sz="0" w:space="0" w:color="auto"/>
        <w:left w:val="none" w:sz="0" w:space="0" w:color="auto"/>
        <w:bottom w:val="none" w:sz="0" w:space="0" w:color="auto"/>
        <w:right w:val="none" w:sz="0" w:space="0" w:color="auto"/>
      </w:divBdr>
      <w:divsChild>
        <w:div w:id="735324180">
          <w:marLeft w:val="0"/>
          <w:marRight w:val="0"/>
          <w:marTop w:val="0"/>
          <w:marBottom w:val="0"/>
          <w:divBdr>
            <w:top w:val="none" w:sz="0" w:space="0" w:color="auto"/>
            <w:left w:val="none" w:sz="0" w:space="0" w:color="auto"/>
            <w:bottom w:val="none" w:sz="0" w:space="0" w:color="auto"/>
            <w:right w:val="none" w:sz="0" w:space="0" w:color="auto"/>
          </w:divBdr>
          <w:divsChild>
            <w:div w:id="259728047">
              <w:marLeft w:val="0"/>
              <w:marRight w:val="0"/>
              <w:marTop w:val="0"/>
              <w:marBottom w:val="0"/>
              <w:divBdr>
                <w:top w:val="none" w:sz="0" w:space="0" w:color="auto"/>
                <w:left w:val="none" w:sz="0" w:space="0" w:color="auto"/>
                <w:bottom w:val="none" w:sz="0" w:space="0" w:color="auto"/>
                <w:right w:val="none" w:sz="0" w:space="0" w:color="auto"/>
              </w:divBdr>
              <w:divsChild>
                <w:div w:id="763376731">
                  <w:marLeft w:val="0"/>
                  <w:marRight w:val="0"/>
                  <w:marTop w:val="0"/>
                  <w:marBottom w:val="0"/>
                  <w:divBdr>
                    <w:top w:val="none" w:sz="0" w:space="0" w:color="auto"/>
                    <w:left w:val="none" w:sz="0" w:space="0" w:color="auto"/>
                    <w:bottom w:val="none" w:sz="0" w:space="0" w:color="auto"/>
                    <w:right w:val="none" w:sz="0" w:space="0" w:color="auto"/>
                  </w:divBdr>
                  <w:divsChild>
                    <w:div w:id="1509439910">
                      <w:marLeft w:val="0"/>
                      <w:marRight w:val="0"/>
                      <w:marTop w:val="0"/>
                      <w:marBottom w:val="0"/>
                      <w:divBdr>
                        <w:top w:val="none" w:sz="0" w:space="0" w:color="auto"/>
                        <w:left w:val="none" w:sz="0" w:space="0" w:color="auto"/>
                        <w:bottom w:val="none" w:sz="0" w:space="0" w:color="auto"/>
                        <w:right w:val="none" w:sz="0" w:space="0" w:color="auto"/>
                      </w:divBdr>
                      <w:divsChild>
                        <w:div w:id="1062364600">
                          <w:marLeft w:val="0"/>
                          <w:marRight w:val="0"/>
                          <w:marTop w:val="0"/>
                          <w:marBottom w:val="0"/>
                          <w:divBdr>
                            <w:top w:val="none" w:sz="0" w:space="0" w:color="auto"/>
                            <w:left w:val="none" w:sz="0" w:space="0" w:color="auto"/>
                            <w:bottom w:val="none" w:sz="0" w:space="0" w:color="auto"/>
                            <w:right w:val="none" w:sz="0" w:space="0" w:color="auto"/>
                          </w:divBdr>
                          <w:divsChild>
                            <w:div w:id="2055539314">
                              <w:marLeft w:val="0"/>
                              <w:marRight w:val="0"/>
                              <w:marTop w:val="0"/>
                              <w:marBottom w:val="0"/>
                              <w:divBdr>
                                <w:top w:val="none" w:sz="0" w:space="0" w:color="auto"/>
                                <w:left w:val="none" w:sz="0" w:space="0" w:color="auto"/>
                                <w:bottom w:val="none" w:sz="0" w:space="0" w:color="auto"/>
                                <w:right w:val="none" w:sz="0" w:space="0" w:color="auto"/>
                              </w:divBdr>
                              <w:divsChild>
                                <w:div w:id="313068127">
                                  <w:marLeft w:val="0"/>
                                  <w:marRight w:val="0"/>
                                  <w:marTop w:val="0"/>
                                  <w:marBottom w:val="0"/>
                                  <w:divBdr>
                                    <w:top w:val="none" w:sz="0" w:space="0" w:color="auto"/>
                                    <w:left w:val="none" w:sz="0" w:space="0" w:color="auto"/>
                                    <w:bottom w:val="none" w:sz="0" w:space="0" w:color="auto"/>
                                    <w:right w:val="none" w:sz="0" w:space="0" w:color="auto"/>
                                  </w:divBdr>
                                  <w:divsChild>
                                    <w:div w:id="14243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509449">
      <w:bodyDiv w:val="1"/>
      <w:marLeft w:val="0"/>
      <w:marRight w:val="0"/>
      <w:marTop w:val="0"/>
      <w:marBottom w:val="0"/>
      <w:divBdr>
        <w:top w:val="none" w:sz="0" w:space="0" w:color="auto"/>
        <w:left w:val="none" w:sz="0" w:space="0" w:color="auto"/>
        <w:bottom w:val="none" w:sz="0" w:space="0" w:color="auto"/>
        <w:right w:val="none" w:sz="0" w:space="0" w:color="auto"/>
      </w:divBdr>
    </w:div>
    <w:div w:id="627513255">
      <w:bodyDiv w:val="1"/>
      <w:marLeft w:val="0"/>
      <w:marRight w:val="0"/>
      <w:marTop w:val="0"/>
      <w:marBottom w:val="0"/>
      <w:divBdr>
        <w:top w:val="none" w:sz="0" w:space="0" w:color="auto"/>
        <w:left w:val="none" w:sz="0" w:space="0" w:color="auto"/>
        <w:bottom w:val="none" w:sz="0" w:space="0" w:color="auto"/>
        <w:right w:val="none" w:sz="0" w:space="0" w:color="auto"/>
      </w:divBdr>
      <w:divsChild>
        <w:div w:id="799807060">
          <w:marLeft w:val="0"/>
          <w:marRight w:val="0"/>
          <w:marTop w:val="0"/>
          <w:marBottom w:val="0"/>
          <w:divBdr>
            <w:top w:val="none" w:sz="0" w:space="0" w:color="auto"/>
            <w:left w:val="none" w:sz="0" w:space="0" w:color="auto"/>
            <w:bottom w:val="none" w:sz="0" w:space="0" w:color="auto"/>
            <w:right w:val="none" w:sz="0" w:space="0" w:color="auto"/>
          </w:divBdr>
          <w:divsChild>
            <w:div w:id="1777630722">
              <w:marLeft w:val="0"/>
              <w:marRight w:val="0"/>
              <w:marTop w:val="0"/>
              <w:marBottom w:val="0"/>
              <w:divBdr>
                <w:top w:val="none" w:sz="0" w:space="0" w:color="auto"/>
                <w:left w:val="none" w:sz="0" w:space="0" w:color="auto"/>
                <w:bottom w:val="none" w:sz="0" w:space="0" w:color="auto"/>
                <w:right w:val="none" w:sz="0" w:space="0" w:color="auto"/>
              </w:divBdr>
            </w:div>
          </w:divsChild>
        </w:div>
        <w:div w:id="1713068395">
          <w:marLeft w:val="0"/>
          <w:marRight w:val="0"/>
          <w:marTop w:val="0"/>
          <w:marBottom w:val="150"/>
          <w:divBdr>
            <w:top w:val="none" w:sz="0" w:space="0" w:color="auto"/>
            <w:left w:val="none" w:sz="0" w:space="0" w:color="auto"/>
            <w:bottom w:val="none" w:sz="0" w:space="0" w:color="auto"/>
            <w:right w:val="none" w:sz="0" w:space="0" w:color="auto"/>
          </w:divBdr>
          <w:divsChild>
            <w:div w:id="1286501667">
              <w:marLeft w:val="0"/>
              <w:marRight w:val="0"/>
              <w:marTop w:val="0"/>
              <w:marBottom w:val="0"/>
              <w:divBdr>
                <w:top w:val="none" w:sz="0" w:space="0" w:color="auto"/>
                <w:left w:val="none" w:sz="0" w:space="0" w:color="auto"/>
                <w:bottom w:val="none" w:sz="0" w:space="0" w:color="auto"/>
                <w:right w:val="none" w:sz="0" w:space="0" w:color="auto"/>
              </w:divBdr>
            </w:div>
          </w:divsChild>
        </w:div>
        <w:div w:id="1966884720">
          <w:marLeft w:val="0"/>
          <w:marRight w:val="0"/>
          <w:marTop w:val="0"/>
          <w:marBottom w:val="150"/>
          <w:divBdr>
            <w:top w:val="none" w:sz="0" w:space="0" w:color="auto"/>
            <w:left w:val="none" w:sz="0" w:space="0" w:color="auto"/>
            <w:bottom w:val="none" w:sz="0" w:space="0" w:color="auto"/>
            <w:right w:val="none" w:sz="0" w:space="0" w:color="auto"/>
          </w:divBdr>
        </w:div>
      </w:divsChild>
    </w:div>
    <w:div w:id="627666010">
      <w:bodyDiv w:val="1"/>
      <w:marLeft w:val="0"/>
      <w:marRight w:val="0"/>
      <w:marTop w:val="0"/>
      <w:marBottom w:val="0"/>
      <w:divBdr>
        <w:top w:val="none" w:sz="0" w:space="0" w:color="auto"/>
        <w:left w:val="none" w:sz="0" w:space="0" w:color="auto"/>
        <w:bottom w:val="none" w:sz="0" w:space="0" w:color="auto"/>
        <w:right w:val="none" w:sz="0" w:space="0" w:color="auto"/>
      </w:divBdr>
      <w:divsChild>
        <w:div w:id="1926573140">
          <w:marLeft w:val="0"/>
          <w:marRight w:val="0"/>
          <w:marTop w:val="0"/>
          <w:marBottom w:val="0"/>
          <w:divBdr>
            <w:top w:val="none" w:sz="0" w:space="0" w:color="auto"/>
            <w:left w:val="none" w:sz="0" w:space="0" w:color="auto"/>
            <w:bottom w:val="none" w:sz="0" w:space="0" w:color="auto"/>
            <w:right w:val="none" w:sz="0" w:space="0" w:color="auto"/>
          </w:divBdr>
        </w:div>
      </w:divsChild>
    </w:div>
    <w:div w:id="628129258">
      <w:bodyDiv w:val="1"/>
      <w:marLeft w:val="0"/>
      <w:marRight w:val="0"/>
      <w:marTop w:val="0"/>
      <w:marBottom w:val="0"/>
      <w:divBdr>
        <w:top w:val="none" w:sz="0" w:space="0" w:color="auto"/>
        <w:left w:val="none" w:sz="0" w:space="0" w:color="auto"/>
        <w:bottom w:val="none" w:sz="0" w:space="0" w:color="auto"/>
        <w:right w:val="none" w:sz="0" w:space="0" w:color="auto"/>
      </w:divBdr>
      <w:divsChild>
        <w:div w:id="1715153880">
          <w:marLeft w:val="0"/>
          <w:marRight w:val="0"/>
          <w:marTop w:val="0"/>
          <w:marBottom w:val="0"/>
          <w:divBdr>
            <w:top w:val="none" w:sz="0" w:space="0" w:color="auto"/>
            <w:left w:val="none" w:sz="0" w:space="0" w:color="auto"/>
            <w:bottom w:val="none" w:sz="0" w:space="0" w:color="auto"/>
            <w:right w:val="none" w:sz="0" w:space="0" w:color="auto"/>
          </w:divBdr>
          <w:divsChild>
            <w:div w:id="1518273248">
              <w:marLeft w:val="0"/>
              <w:marRight w:val="0"/>
              <w:marTop w:val="0"/>
              <w:marBottom w:val="0"/>
              <w:divBdr>
                <w:top w:val="none" w:sz="0" w:space="0" w:color="auto"/>
                <w:left w:val="none" w:sz="0" w:space="0" w:color="auto"/>
                <w:bottom w:val="none" w:sz="0" w:space="0" w:color="auto"/>
                <w:right w:val="none" w:sz="0" w:space="0" w:color="auto"/>
              </w:divBdr>
              <w:divsChild>
                <w:div w:id="82528754">
                  <w:marLeft w:val="0"/>
                  <w:marRight w:val="0"/>
                  <w:marTop w:val="0"/>
                  <w:marBottom w:val="0"/>
                  <w:divBdr>
                    <w:top w:val="none" w:sz="0" w:space="0" w:color="auto"/>
                    <w:left w:val="none" w:sz="0" w:space="0" w:color="auto"/>
                    <w:bottom w:val="none" w:sz="0" w:space="0" w:color="auto"/>
                    <w:right w:val="none" w:sz="0" w:space="0" w:color="auto"/>
                  </w:divBdr>
                  <w:divsChild>
                    <w:div w:id="1807510429">
                      <w:marLeft w:val="0"/>
                      <w:marRight w:val="0"/>
                      <w:marTop w:val="0"/>
                      <w:marBottom w:val="0"/>
                      <w:divBdr>
                        <w:top w:val="none" w:sz="0" w:space="0" w:color="auto"/>
                        <w:left w:val="none" w:sz="0" w:space="0" w:color="auto"/>
                        <w:bottom w:val="none" w:sz="0" w:space="0" w:color="auto"/>
                        <w:right w:val="none" w:sz="0" w:space="0" w:color="auto"/>
                      </w:divBdr>
                      <w:divsChild>
                        <w:div w:id="246617402">
                          <w:marLeft w:val="0"/>
                          <w:marRight w:val="0"/>
                          <w:marTop w:val="0"/>
                          <w:marBottom w:val="0"/>
                          <w:divBdr>
                            <w:top w:val="none" w:sz="0" w:space="0" w:color="auto"/>
                            <w:left w:val="none" w:sz="0" w:space="0" w:color="auto"/>
                            <w:bottom w:val="none" w:sz="0" w:space="0" w:color="auto"/>
                            <w:right w:val="none" w:sz="0" w:space="0" w:color="auto"/>
                          </w:divBdr>
                          <w:divsChild>
                            <w:div w:id="2884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8978513">
      <w:bodyDiv w:val="1"/>
      <w:marLeft w:val="0"/>
      <w:marRight w:val="0"/>
      <w:marTop w:val="0"/>
      <w:marBottom w:val="0"/>
      <w:divBdr>
        <w:top w:val="none" w:sz="0" w:space="0" w:color="auto"/>
        <w:left w:val="none" w:sz="0" w:space="0" w:color="auto"/>
        <w:bottom w:val="none" w:sz="0" w:space="0" w:color="auto"/>
        <w:right w:val="none" w:sz="0" w:space="0" w:color="auto"/>
      </w:divBdr>
      <w:divsChild>
        <w:div w:id="295380442">
          <w:marLeft w:val="0"/>
          <w:marRight w:val="0"/>
          <w:marTop w:val="150"/>
          <w:marBottom w:val="0"/>
          <w:divBdr>
            <w:top w:val="none" w:sz="0" w:space="0" w:color="auto"/>
            <w:left w:val="none" w:sz="0" w:space="0" w:color="auto"/>
            <w:bottom w:val="none" w:sz="0" w:space="0" w:color="auto"/>
            <w:right w:val="none" w:sz="0" w:space="0" w:color="auto"/>
          </w:divBdr>
          <w:divsChild>
            <w:div w:id="386219420">
              <w:marLeft w:val="0"/>
              <w:marRight w:val="150"/>
              <w:marTop w:val="0"/>
              <w:marBottom w:val="0"/>
              <w:divBdr>
                <w:top w:val="none" w:sz="0" w:space="0" w:color="auto"/>
                <w:left w:val="none" w:sz="0" w:space="0" w:color="auto"/>
                <w:bottom w:val="none" w:sz="0" w:space="0" w:color="auto"/>
                <w:right w:val="none" w:sz="0" w:space="0" w:color="auto"/>
              </w:divBdr>
            </w:div>
          </w:divsChild>
        </w:div>
        <w:div w:id="1220092017">
          <w:marLeft w:val="0"/>
          <w:marRight w:val="0"/>
          <w:marTop w:val="0"/>
          <w:marBottom w:val="0"/>
          <w:divBdr>
            <w:top w:val="none" w:sz="0" w:space="8" w:color="auto"/>
            <w:left w:val="none" w:sz="0" w:space="2" w:color="auto"/>
            <w:bottom w:val="single" w:sz="6" w:space="8" w:color="DDDDDD"/>
            <w:right w:val="none" w:sz="0" w:space="0" w:color="auto"/>
          </w:divBdr>
        </w:div>
      </w:divsChild>
    </w:div>
    <w:div w:id="629017623">
      <w:bodyDiv w:val="1"/>
      <w:marLeft w:val="0"/>
      <w:marRight w:val="0"/>
      <w:marTop w:val="0"/>
      <w:marBottom w:val="0"/>
      <w:divBdr>
        <w:top w:val="none" w:sz="0" w:space="0" w:color="auto"/>
        <w:left w:val="none" w:sz="0" w:space="0" w:color="auto"/>
        <w:bottom w:val="none" w:sz="0" w:space="0" w:color="auto"/>
        <w:right w:val="none" w:sz="0" w:space="0" w:color="auto"/>
      </w:divBdr>
      <w:divsChild>
        <w:div w:id="526873979">
          <w:marLeft w:val="0"/>
          <w:marRight w:val="0"/>
          <w:marTop w:val="0"/>
          <w:marBottom w:val="150"/>
          <w:divBdr>
            <w:top w:val="none" w:sz="0" w:space="0" w:color="auto"/>
            <w:left w:val="none" w:sz="0" w:space="0" w:color="auto"/>
            <w:bottom w:val="none" w:sz="0" w:space="0" w:color="auto"/>
            <w:right w:val="none" w:sz="0" w:space="0" w:color="auto"/>
          </w:divBdr>
        </w:div>
      </w:divsChild>
    </w:div>
    <w:div w:id="629364999">
      <w:bodyDiv w:val="1"/>
      <w:marLeft w:val="0"/>
      <w:marRight w:val="0"/>
      <w:marTop w:val="0"/>
      <w:marBottom w:val="0"/>
      <w:divBdr>
        <w:top w:val="none" w:sz="0" w:space="0" w:color="auto"/>
        <w:left w:val="none" w:sz="0" w:space="0" w:color="auto"/>
        <w:bottom w:val="none" w:sz="0" w:space="0" w:color="auto"/>
        <w:right w:val="none" w:sz="0" w:space="0" w:color="auto"/>
      </w:divBdr>
      <w:divsChild>
        <w:div w:id="674380653">
          <w:marLeft w:val="0"/>
          <w:marRight w:val="0"/>
          <w:marTop w:val="0"/>
          <w:marBottom w:val="300"/>
          <w:divBdr>
            <w:top w:val="none" w:sz="0" w:space="0" w:color="auto"/>
            <w:left w:val="none" w:sz="0" w:space="0" w:color="auto"/>
            <w:bottom w:val="single" w:sz="6" w:space="0" w:color="E4E4E4"/>
            <w:right w:val="none" w:sz="0" w:space="0" w:color="auto"/>
          </w:divBdr>
        </w:div>
        <w:div w:id="766853489">
          <w:marLeft w:val="0"/>
          <w:marRight w:val="0"/>
          <w:marTop w:val="0"/>
          <w:marBottom w:val="0"/>
          <w:divBdr>
            <w:top w:val="none" w:sz="0" w:space="0" w:color="auto"/>
            <w:left w:val="none" w:sz="0" w:space="0" w:color="auto"/>
            <w:bottom w:val="none" w:sz="0" w:space="0" w:color="auto"/>
            <w:right w:val="none" w:sz="0" w:space="0" w:color="auto"/>
          </w:divBdr>
          <w:divsChild>
            <w:div w:id="1490556293">
              <w:marLeft w:val="0"/>
              <w:marRight w:val="0"/>
              <w:marTop w:val="0"/>
              <w:marBottom w:val="0"/>
              <w:divBdr>
                <w:top w:val="none" w:sz="0" w:space="0" w:color="auto"/>
                <w:left w:val="none" w:sz="0" w:space="0" w:color="auto"/>
                <w:bottom w:val="none" w:sz="0" w:space="0" w:color="auto"/>
                <w:right w:val="none" w:sz="0" w:space="0" w:color="auto"/>
              </w:divBdr>
              <w:divsChild>
                <w:div w:id="75638372">
                  <w:marLeft w:val="0"/>
                  <w:marRight w:val="0"/>
                  <w:marTop w:val="0"/>
                  <w:marBottom w:val="450"/>
                  <w:divBdr>
                    <w:top w:val="none" w:sz="0" w:space="0" w:color="auto"/>
                    <w:left w:val="none" w:sz="0" w:space="0" w:color="auto"/>
                    <w:bottom w:val="none" w:sz="0" w:space="0" w:color="auto"/>
                    <w:right w:val="none" w:sz="0" w:space="0" w:color="auto"/>
                  </w:divBdr>
                  <w:divsChild>
                    <w:div w:id="324208066">
                      <w:marLeft w:val="0"/>
                      <w:marRight w:val="0"/>
                      <w:marTop w:val="0"/>
                      <w:marBottom w:val="150"/>
                      <w:divBdr>
                        <w:top w:val="none" w:sz="0" w:space="0" w:color="auto"/>
                        <w:left w:val="none" w:sz="0" w:space="0" w:color="auto"/>
                        <w:bottom w:val="none" w:sz="0" w:space="0" w:color="auto"/>
                        <w:right w:val="none" w:sz="0" w:space="0" w:color="auto"/>
                      </w:divBdr>
                      <w:divsChild>
                        <w:div w:id="1607955678">
                          <w:marLeft w:val="0"/>
                          <w:marRight w:val="0"/>
                          <w:marTop w:val="0"/>
                          <w:marBottom w:val="0"/>
                          <w:divBdr>
                            <w:top w:val="none" w:sz="0" w:space="0" w:color="auto"/>
                            <w:left w:val="none" w:sz="0" w:space="0" w:color="auto"/>
                            <w:bottom w:val="none" w:sz="0" w:space="0" w:color="auto"/>
                            <w:right w:val="none" w:sz="0" w:space="0" w:color="auto"/>
                          </w:divBdr>
                        </w:div>
                      </w:divsChild>
                    </w:div>
                    <w:div w:id="1976332533">
                      <w:marLeft w:val="0"/>
                      <w:marRight w:val="0"/>
                      <w:marTop w:val="0"/>
                      <w:marBottom w:val="0"/>
                      <w:divBdr>
                        <w:top w:val="none" w:sz="0" w:space="0" w:color="auto"/>
                        <w:left w:val="none" w:sz="0" w:space="0" w:color="auto"/>
                        <w:bottom w:val="none" w:sz="0" w:space="0" w:color="auto"/>
                        <w:right w:val="none" w:sz="0" w:space="0" w:color="auto"/>
                      </w:divBdr>
                      <w:divsChild>
                        <w:div w:id="1026829855">
                          <w:marLeft w:val="0"/>
                          <w:marRight w:val="0"/>
                          <w:marTop w:val="0"/>
                          <w:marBottom w:val="0"/>
                          <w:divBdr>
                            <w:top w:val="none" w:sz="0" w:space="0" w:color="auto"/>
                            <w:left w:val="none" w:sz="0" w:space="0" w:color="auto"/>
                            <w:bottom w:val="none" w:sz="0" w:space="0" w:color="auto"/>
                            <w:right w:val="none" w:sz="0" w:space="0" w:color="auto"/>
                          </w:divBdr>
                          <w:divsChild>
                            <w:div w:id="719943183">
                              <w:marLeft w:val="0"/>
                              <w:marRight w:val="0"/>
                              <w:marTop w:val="0"/>
                              <w:marBottom w:val="0"/>
                              <w:divBdr>
                                <w:top w:val="none" w:sz="0" w:space="0" w:color="auto"/>
                                <w:left w:val="none" w:sz="0" w:space="0" w:color="auto"/>
                                <w:bottom w:val="none" w:sz="0" w:space="0" w:color="auto"/>
                                <w:right w:val="none" w:sz="0" w:space="0" w:color="auto"/>
                              </w:divBdr>
                            </w:div>
                          </w:divsChild>
                        </w:div>
                        <w:div w:id="16414243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84385468">
          <w:marLeft w:val="0"/>
          <w:marRight w:val="0"/>
          <w:marTop w:val="0"/>
          <w:marBottom w:val="375"/>
          <w:divBdr>
            <w:top w:val="none" w:sz="0" w:space="0" w:color="auto"/>
            <w:left w:val="none" w:sz="0" w:space="0" w:color="auto"/>
            <w:bottom w:val="single" w:sz="6" w:space="0" w:color="005494"/>
            <w:right w:val="none" w:sz="0" w:space="0" w:color="auto"/>
          </w:divBdr>
        </w:div>
      </w:divsChild>
    </w:div>
    <w:div w:id="629826610">
      <w:bodyDiv w:val="1"/>
      <w:marLeft w:val="0"/>
      <w:marRight w:val="0"/>
      <w:marTop w:val="0"/>
      <w:marBottom w:val="0"/>
      <w:divBdr>
        <w:top w:val="none" w:sz="0" w:space="0" w:color="auto"/>
        <w:left w:val="none" w:sz="0" w:space="0" w:color="auto"/>
        <w:bottom w:val="none" w:sz="0" w:space="0" w:color="auto"/>
        <w:right w:val="none" w:sz="0" w:space="0" w:color="auto"/>
      </w:divBdr>
      <w:divsChild>
        <w:div w:id="16740367">
          <w:marLeft w:val="0"/>
          <w:marRight w:val="0"/>
          <w:marTop w:val="0"/>
          <w:marBottom w:val="0"/>
          <w:divBdr>
            <w:top w:val="none" w:sz="0" w:space="0" w:color="auto"/>
            <w:left w:val="none" w:sz="0" w:space="0" w:color="auto"/>
            <w:bottom w:val="none" w:sz="0" w:space="0" w:color="auto"/>
            <w:right w:val="none" w:sz="0" w:space="0" w:color="auto"/>
          </w:divBdr>
        </w:div>
      </w:divsChild>
    </w:div>
    <w:div w:id="630018937">
      <w:bodyDiv w:val="1"/>
      <w:marLeft w:val="0"/>
      <w:marRight w:val="0"/>
      <w:marTop w:val="0"/>
      <w:marBottom w:val="0"/>
      <w:divBdr>
        <w:top w:val="none" w:sz="0" w:space="0" w:color="auto"/>
        <w:left w:val="none" w:sz="0" w:space="0" w:color="auto"/>
        <w:bottom w:val="none" w:sz="0" w:space="0" w:color="auto"/>
        <w:right w:val="none" w:sz="0" w:space="0" w:color="auto"/>
      </w:divBdr>
    </w:div>
    <w:div w:id="630094904">
      <w:bodyDiv w:val="1"/>
      <w:marLeft w:val="0"/>
      <w:marRight w:val="0"/>
      <w:marTop w:val="0"/>
      <w:marBottom w:val="0"/>
      <w:divBdr>
        <w:top w:val="none" w:sz="0" w:space="0" w:color="auto"/>
        <w:left w:val="none" w:sz="0" w:space="0" w:color="auto"/>
        <w:bottom w:val="none" w:sz="0" w:space="0" w:color="auto"/>
        <w:right w:val="none" w:sz="0" w:space="0" w:color="auto"/>
      </w:divBdr>
      <w:divsChild>
        <w:div w:id="1088966609">
          <w:marLeft w:val="0"/>
          <w:marRight w:val="0"/>
          <w:marTop w:val="0"/>
          <w:marBottom w:val="0"/>
          <w:divBdr>
            <w:top w:val="none" w:sz="0" w:space="0" w:color="auto"/>
            <w:left w:val="none" w:sz="0" w:space="0" w:color="auto"/>
            <w:bottom w:val="none" w:sz="0" w:space="0" w:color="auto"/>
            <w:right w:val="none" w:sz="0" w:space="0" w:color="auto"/>
          </w:divBdr>
          <w:divsChild>
            <w:div w:id="1592041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31062563">
      <w:bodyDiv w:val="1"/>
      <w:marLeft w:val="0"/>
      <w:marRight w:val="0"/>
      <w:marTop w:val="0"/>
      <w:marBottom w:val="0"/>
      <w:divBdr>
        <w:top w:val="none" w:sz="0" w:space="0" w:color="auto"/>
        <w:left w:val="none" w:sz="0" w:space="0" w:color="auto"/>
        <w:bottom w:val="none" w:sz="0" w:space="0" w:color="auto"/>
        <w:right w:val="none" w:sz="0" w:space="0" w:color="auto"/>
      </w:divBdr>
      <w:divsChild>
        <w:div w:id="2058696415">
          <w:marLeft w:val="0"/>
          <w:marRight w:val="0"/>
          <w:marTop w:val="0"/>
          <w:marBottom w:val="0"/>
          <w:divBdr>
            <w:top w:val="none" w:sz="0" w:space="0" w:color="auto"/>
            <w:left w:val="none" w:sz="0" w:space="0" w:color="auto"/>
            <w:bottom w:val="dotted" w:sz="6" w:space="4" w:color="DDDDDD"/>
            <w:right w:val="none" w:sz="0" w:space="0" w:color="auto"/>
          </w:divBdr>
        </w:div>
      </w:divsChild>
    </w:div>
    <w:div w:id="631256480">
      <w:bodyDiv w:val="1"/>
      <w:marLeft w:val="0"/>
      <w:marRight w:val="0"/>
      <w:marTop w:val="0"/>
      <w:marBottom w:val="0"/>
      <w:divBdr>
        <w:top w:val="none" w:sz="0" w:space="0" w:color="auto"/>
        <w:left w:val="none" w:sz="0" w:space="0" w:color="auto"/>
        <w:bottom w:val="none" w:sz="0" w:space="0" w:color="auto"/>
        <w:right w:val="none" w:sz="0" w:space="0" w:color="auto"/>
      </w:divBdr>
      <w:divsChild>
        <w:div w:id="1430856204">
          <w:marLeft w:val="0"/>
          <w:marRight w:val="0"/>
          <w:marTop w:val="0"/>
          <w:marBottom w:val="0"/>
          <w:divBdr>
            <w:top w:val="none" w:sz="0" w:space="0" w:color="auto"/>
            <w:left w:val="none" w:sz="0" w:space="0" w:color="auto"/>
            <w:bottom w:val="dotted" w:sz="6" w:space="4" w:color="DDDDDD"/>
            <w:right w:val="none" w:sz="0" w:space="0" w:color="auto"/>
          </w:divBdr>
        </w:div>
      </w:divsChild>
    </w:div>
    <w:div w:id="631331146">
      <w:bodyDiv w:val="1"/>
      <w:marLeft w:val="0"/>
      <w:marRight w:val="0"/>
      <w:marTop w:val="0"/>
      <w:marBottom w:val="0"/>
      <w:divBdr>
        <w:top w:val="none" w:sz="0" w:space="0" w:color="auto"/>
        <w:left w:val="none" w:sz="0" w:space="0" w:color="auto"/>
        <w:bottom w:val="none" w:sz="0" w:space="0" w:color="auto"/>
        <w:right w:val="none" w:sz="0" w:space="0" w:color="auto"/>
      </w:divBdr>
    </w:div>
    <w:div w:id="632177148">
      <w:bodyDiv w:val="1"/>
      <w:marLeft w:val="0"/>
      <w:marRight w:val="0"/>
      <w:marTop w:val="0"/>
      <w:marBottom w:val="0"/>
      <w:divBdr>
        <w:top w:val="none" w:sz="0" w:space="0" w:color="auto"/>
        <w:left w:val="none" w:sz="0" w:space="0" w:color="auto"/>
        <w:bottom w:val="none" w:sz="0" w:space="0" w:color="auto"/>
        <w:right w:val="none" w:sz="0" w:space="0" w:color="auto"/>
      </w:divBdr>
      <w:divsChild>
        <w:div w:id="1160922870">
          <w:marLeft w:val="0"/>
          <w:marRight w:val="0"/>
          <w:marTop w:val="0"/>
          <w:marBottom w:val="150"/>
          <w:divBdr>
            <w:top w:val="none" w:sz="0" w:space="0" w:color="auto"/>
            <w:left w:val="none" w:sz="0" w:space="0" w:color="auto"/>
            <w:bottom w:val="none" w:sz="0" w:space="0" w:color="auto"/>
            <w:right w:val="none" w:sz="0" w:space="0" w:color="auto"/>
          </w:divBdr>
        </w:div>
        <w:div w:id="1955868669">
          <w:marLeft w:val="0"/>
          <w:marRight w:val="0"/>
          <w:marTop w:val="0"/>
          <w:marBottom w:val="0"/>
          <w:divBdr>
            <w:top w:val="none" w:sz="0" w:space="0" w:color="auto"/>
            <w:left w:val="none" w:sz="0" w:space="0" w:color="auto"/>
            <w:bottom w:val="none" w:sz="0" w:space="0" w:color="auto"/>
            <w:right w:val="none" w:sz="0" w:space="0" w:color="auto"/>
          </w:divBdr>
        </w:div>
      </w:divsChild>
    </w:div>
    <w:div w:id="633411278">
      <w:bodyDiv w:val="1"/>
      <w:marLeft w:val="0"/>
      <w:marRight w:val="0"/>
      <w:marTop w:val="0"/>
      <w:marBottom w:val="0"/>
      <w:divBdr>
        <w:top w:val="none" w:sz="0" w:space="0" w:color="auto"/>
        <w:left w:val="none" w:sz="0" w:space="0" w:color="auto"/>
        <w:bottom w:val="none" w:sz="0" w:space="0" w:color="auto"/>
        <w:right w:val="none" w:sz="0" w:space="0" w:color="auto"/>
      </w:divBdr>
      <w:divsChild>
        <w:div w:id="1793131725">
          <w:marLeft w:val="0"/>
          <w:marRight w:val="0"/>
          <w:marTop w:val="0"/>
          <w:marBottom w:val="0"/>
          <w:divBdr>
            <w:top w:val="none" w:sz="0" w:space="0" w:color="auto"/>
            <w:left w:val="none" w:sz="0" w:space="0" w:color="auto"/>
            <w:bottom w:val="dotted" w:sz="6" w:space="4" w:color="DDDDDD"/>
            <w:right w:val="none" w:sz="0" w:space="0" w:color="auto"/>
          </w:divBdr>
          <w:divsChild>
            <w:div w:id="7020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752388">
      <w:bodyDiv w:val="1"/>
      <w:marLeft w:val="0"/>
      <w:marRight w:val="0"/>
      <w:marTop w:val="0"/>
      <w:marBottom w:val="0"/>
      <w:divBdr>
        <w:top w:val="none" w:sz="0" w:space="0" w:color="auto"/>
        <w:left w:val="none" w:sz="0" w:space="0" w:color="auto"/>
        <w:bottom w:val="none" w:sz="0" w:space="0" w:color="auto"/>
        <w:right w:val="none" w:sz="0" w:space="0" w:color="auto"/>
      </w:divBdr>
    </w:div>
    <w:div w:id="634138151">
      <w:bodyDiv w:val="1"/>
      <w:marLeft w:val="0"/>
      <w:marRight w:val="0"/>
      <w:marTop w:val="0"/>
      <w:marBottom w:val="0"/>
      <w:divBdr>
        <w:top w:val="none" w:sz="0" w:space="0" w:color="auto"/>
        <w:left w:val="none" w:sz="0" w:space="0" w:color="auto"/>
        <w:bottom w:val="none" w:sz="0" w:space="0" w:color="auto"/>
        <w:right w:val="none" w:sz="0" w:space="0" w:color="auto"/>
      </w:divBdr>
      <w:divsChild>
        <w:div w:id="1907836520">
          <w:marLeft w:val="0"/>
          <w:marRight w:val="0"/>
          <w:marTop w:val="0"/>
          <w:marBottom w:val="0"/>
          <w:divBdr>
            <w:top w:val="none" w:sz="0" w:space="0" w:color="auto"/>
            <w:left w:val="none" w:sz="0" w:space="0" w:color="auto"/>
            <w:bottom w:val="none" w:sz="0" w:space="0" w:color="auto"/>
            <w:right w:val="none" w:sz="0" w:space="0" w:color="auto"/>
          </w:divBdr>
          <w:divsChild>
            <w:div w:id="1291325357">
              <w:marLeft w:val="0"/>
              <w:marRight w:val="0"/>
              <w:marTop w:val="0"/>
              <w:marBottom w:val="150"/>
              <w:divBdr>
                <w:top w:val="none" w:sz="0" w:space="0" w:color="auto"/>
                <w:left w:val="none" w:sz="0" w:space="0" w:color="auto"/>
                <w:bottom w:val="none" w:sz="0" w:space="0" w:color="auto"/>
                <w:right w:val="none" w:sz="0" w:space="0" w:color="auto"/>
              </w:divBdr>
            </w:div>
            <w:div w:id="151823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257622">
      <w:bodyDiv w:val="1"/>
      <w:marLeft w:val="0"/>
      <w:marRight w:val="0"/>
      <w:marTop w:val="0"/>
      <w:marBottom w:val="0"/>
      <w:divBdr>
        <w:top w:val="none" w:sz="0" w:space="0" w:color="auto"/>
        <w:left w:val="none" w:sz="0" w:space="0" w:color="auto"/>
        <w:bottom w:val="none" w:sz="0" w:space="0" w:color="auto"/>
        <w:right w:val="none" w:sz="0" w:space="0" w:color="auto"/>
      </w:divBdr>
      <w:divsChild>
        <w:div w:id="169688789">
          <w:marLeft w:val="0"/>
          <w:marRight w:val="0"/>
          <w:marTop w:val="0"/>
          <w:marBottom w:val="150"/>
          <w:divBdr>
            <w:top w:val="none" w:sz="0" w:space="0" w:color="auto"/>
            <w:left w:val="none" w:sz="0" w:space="0" w:color="auto"/>
            <w:bottom w:val="none" w:sz="0" w:space="0" w:color="auto"/>
            <w:right w:val="none" w:sz="0" w:space="0" w:color="auto"/>
          </w:divBdr>
        </w:div>
        <w:div w:id="344944464">
          <w:marLeft w:val="0"/>
          <w:marRight w:val="0"/>
          <w:marTop w:val="0"/>
          <w:marBottom w:val="150"/>
          <w:divBdr>
            <w:top w:val="none" w:sz="0" w:space="0" w:color="auto"/>
            <w:left w:val="none" w:sz="0" w:space="0" w:color="auto"/>
            <w:bottom w:val="none" w:sz="0" w:space="0" w:color="auto"/>
            <w:right w:val="none" w:sz="0" w:space="0" w:color="auto"/>
          </w:divBdr>
          <w:divsChild>
            <w:div w:id="600995765">
              <w:marLeft w:val="0"/>
              <w:marRight w:val="0"/>
              <w:marTop w:val="0"/>
              <w:marBottom w:val="0"/>
              <w:divBdr>
                <w:top w:val="none" w:sz="0" w:space="0" w:color="auto"/>
                <w:left w:val="none" w:sz="0" w:space="0" w:color="auto"/>
                <w:bottom w:val="none" w:sz="0" w:space="0" w:color="auto"/>
                <w:right w:val="none" w:sz="0" w:space="0" w:color="auto"/>
              </w:divBdr>
              <w:divsChild>
                <w:div w:id="190382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22082">
          <w:marLeft w:val="0"/>
          <w:marRight w:val="0"/>
          <w:marTop w:val="0"/>
          <w:marBottom w:val="0"/>
          <w:divBdr>
            <w:top w:val="none" w:sz="0" w:space="0" w:color="auto"/>
            <w:left w:val="none" w:sz="0" w:space="0" w:color="auto"/>
            <w:bottom w:val="none" w:sz="0" w:space="0" w:color="auto"/>
            <w:right w:val="none" w:sz="0" w:space="0" w:color="auto"/>
          </w:divBdr>
          <w:divsChild>
            <w:div w:id="7299578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35261572">
      <w:bodyDiv w:val="1"/>
      <w:marLeft w:val="0"/>
      <w:marRight w:val="0"/>
      <w:marTop w:val="0"/>
      <w:marBottom w:val="0"/>
      <w:divBdr>
        <w:top w:val="none" w:sz="0" w:space="0" w:color="auto"/>
        <w:left w:val="none" w:sz="0" w:space="0" w:color="auto"/>
        <w:bottom w:val="none" w:sz="0" w:space="0" w:color="auto"/>
        <w:right w:val="none" w:sz="0" w:space="0" w:color="auto"/>
      </w:divBdr>
    </w:div>
    <w:div w:id="635372608">
      <w:bodyDiv w:val="1"/>
      <w:marLeft w:val="0"/>
      <w:marRight w:val="0"/>
      <w:marTop w:val="0"/>
      <w:marBottom w:val="0"/>
      <w:divBdr>
        <w:top w:val="none" w:sz="0" w:space="0" w:color="auto"/>
        <w:left w:val="none" w:sz="0" w:space="0" w:color="auto"/>
        <w:bottom w:val="none" w:sz="0" w:space="0" w:color="auto"/>
        <w:right w:val="none" w:sz="0" w:space="0" w:color="auto"/>
      </w:divBdr>
      <w:divsChild>
        <w:div w:id="941690268">
          <w:marLeft w:val="0"/>
          <w:marRight w:val="0"/>
          <w:marTop w:val="0"/>
          <w:marBottom w:val="0"/>
          <w:divBdr>
            <w:top w:val="none" w:sz="0" w:space="0" w:color="auto"/>
            <w:left w:val="none" w:sz="0" w:space="0" w:color="auto"/>
            <w:bottom w:val="none" w:sz="0" w:space="0" w:color="auto"/>
            <w:right w:val="none" w:sz="0" w:space="0" w:color="auto"/>
          </w:divBdr>
        </w:div>
      </w:divsChild>
    </w:div>
    <w:div w:id="635573355">
      <w:bodyDiv w:val="1"/>
      <w:marLeft w:val="0"/>
      <w:marRight w:val="0"/>
      <w:marTop w:val="0"/>
      <w:marBottom w:val="0"/>
      <w:divBdr>
        <w:top w:val="none" w:sz="0" w:space="0" w:color="auto"/>
        <w:left w:val="none" w:sz="0" w:space="0" w:color="auto"/>
        <w:bottom w:val="none" w:sz="0" w:space="0" w:color="auto"/>
        <w:right w:val="none" w:sz="0" w:space="0" w:color="auto"/>
      </w:divBdr>
      <w:divsChild>
        <w:div w:id="707604965">
          <w:marLeft w:val="0"/>
          <w:marRight w:val="0"/>
          <w:marTop w:val="0"/>
          <w:marBottom w:val="0"/>
          <w:divBdr>
            <w:top w:val="none" w:sz="0" w:space="0" w:color="auto"/>
            <w:left w:val="none" w:sz="0" w:space="0" w:color="auto"/>
            <w:bottom w:val="dotted" w:sz="6" w:space="4" w:color="DDDDDD"/>
            <w:right w:val="none" w:sz="0" w:space="0" w:color="auto"/>
          </w:divBdr>
          <w:divsChild>
            <w:div w:id="197729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917731">
      <w:bodyDiv w:val="1"/>
      <w:marLeft w:val="0"/>
      <w:marRight w:val="0"/>
      <w:marTop w:val="0"/>
      <w:marBottom w:val="0"/>
      <w:divBdr>
        <w:top w:val="none" w:sz="0" w:space="0" w:color="auto"/>
        <w:left w:val="none" w:sz="0" w:space="0" w:color="auto"/>
        <w:bottom w:val="none" w:sz="0" w:space="0" w:color="auto"/>
        <w:right w:val="none" w:sz="0" w:space="0" w:color="auto"/>
      </w:divBdr>
      <w:divsChild>
        <w:div w:id="1636061761">
          <w:marLeft w:val="0"/>
          <w:marRight w:val="0"/>
          <w:marTop w:val="0"/>
          <w:marBottom w:val="0"/>
          <w:divBdr>
            <w:top w:val="none" w:sz="0" w:space="0" w:color="auto"/>
            <w:left w:val="none" w:sz="0" w:space="0" w:color="auto"/>
            <w:bottom w:val="dotted" w:sz="6" w:space="4" w:color="DDDDDD"/>
            <w:right w:val="none" w:sz="0" w:space="0" w:color="auto"/>
          </w:divBdr>
          <w:divsChild>
            <w:div w:id="98474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255726">
      <w:bodyDiv w:val="1"/>
      <w:marLeft w:val="0"/>
      <w:marRight w:val="0"/>
      <w:marTop w:val="0"/>
      <w:marBottom w:val="0"/>
      <w:divBdr>
        <w:top w:val="none" w:sz="0" w:space="0" w:color="auto"/>
        <w:left w:val="none" w:sz="0" w:space="0" w:color="auto"/>
        <w:bottom w:val="none" w:sz="0" w:space="0" w:color="auto"/>
        <w:right w:val="none" w:sz="0" w:space="0" w:color="auto"/>
      </w:divBdr>
      <w:divsChild>
        <w:div w:id="411001677">
          <w:marLeft w:val="0"/>
          <w:marRight w:val="0"/>
          <w:marTop w:val="0"/>
          <w:marBottom w:val="0"/>
          <w:divBdr>
            <w:top w:val="none" w:sz="0" w:space="0" w:color="auto"/>
            <w:left w:val="none" w:sz="0" w:space="0" w:color="auto"/>
            <w:bottom w:val="none" w:sz="0" w:space="0" w:color="auto"/>
            <w:right w:val="none" w:sz="0" w:space="0" w:color="auto"/>
          </w:divBdr>
          <w:divsChild>
            <w:div w:id="1155417814">
              <w:marLeft w:val="0"/>
              <w:marRight w:val="0"/>
              <w:marTop w:val="0"/>
              <w:marBottom w:val="0"/>
              <w:divBdr>
                <w:top w:val="none" w:sz="0" w:space="0" w:color="auto"/>
                <w:left w:val="none" w:sz="0" w:space="0" w:color="auto"/>
                <w:bottom w:val="none" w:sz="0" w:space="0" w:color="auto"/>
                <w:right w:val="none" w:sz="0" w:space="0" w:color="auto"/>
              </w:divBdr>
            </w:div>
            <w:div w:id="136394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4361">
      <w:bodyDiv w:val="1"/>
      <w:marLeft w:val="0"/>
      <w:marRight w:val="0"/>
      <w:marTop w:val="0"/>
      <w:marBottom w:val="0"/>
      <w:divBdr>
        <w:top w:val="none" w:sz="0" w:space="0" w:color="auto"/>
        <w:left w:val="none" w:sz="0" w:space="0" w:color="auto"/>
        <w:bottom w:val="none" w:sz="0" w:space="0" w:color="auto"/>
        <w:right w:val="none" w:sz="0" w:space="0" w:color="auto"/>
      </w:divBdr>
      <w:divsChild>
        <w:div w:id="542257777">
          <w:marLeft w:val="0"/>
          <w:marRight w:val="0"/>
          <w:marTop w:val="0"/>
          <w:marBottom w:val="150"/>
          <w:divBdr>
            <w:top w:val="none" w:sz="0" w:space="0" w:color="auto"/>
            <w:left w:val="none" w:sz="0" w:space="0" w:color="auto"/>
            <w:bottom w:val="none" w:sz="0" w:space="0" w:color="auto"/>
            <w:right w:val="none" w:sz="0" w:space="0" w:color="auto"/>
          </w:divBdr>
        </w:div>
      </w:divsChild>
    </w:div>
    <w:div w:id="637224926">
      <w:bodyDiv w:val="1"/>
      <w:marLeft w:val="0"/>
      <w:marRight w:val="0"/>
      <w:marTop w:val="0"/>
      <w:marBottom w:val="0"/>
      <w:divBdr>
        <w:top w:val="none" w:sz="0" w:space="0" w:color="auto"/>
        <w:left w:val="none" w:sz="0" w:space="0" w:color="auto"/>
        <w:bottom w:val="none" w:sz="0" w:space="0" w:color="auto"/>
        <w:right w:val="none" w:sz="0" w:space="0" w:color="auto"/>
      </w:divBdr>
      <w:divsChild>
        <w:div w:id="1936202775">
          <w:marLeft w:val="0"/>
          <w:marRight w:val="0"/>
          <w:marTop w:val="0"/>
          <w:marBottom w:val="0"/>
          <w:divBdr>
            <w:top w:val="none" w:sz="0" w:space="0" w:color="auto"/>
            <w:left w:val="none" w:sz="0" w:space="0" w:color="auto"/>
            <w:bottom w:val="dotted" w:sz="6" w:space="4" w:color="DDDDDD"/>
            <w:right w:val="none" w:sz="0" w:space="0" w:color="auto"/>
          </w:divBdr>
          <w:divsChild>
            <w:div w:id="1748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1994">
      <w:bodyDiv w:val="1"/>
      <w:marLeft w:val="0"/>
      <w:marRight w:val="0"/>
      <w:marTop w:val="0"/>
      <w:marBottom w:val="0"/>
      <w:divBdr>
        <w:top w:val="none" w:sz="0" w:space="0" w:color="auto"/>
        <w:left w:val="none" w:sz="0" w:space="0" w:color="auto"/>
        <w:bottom w:val="none" w:sz="0" w:space="0" w:color="auto"/>
        <w:right w:val="none" w:sz="0" w:space="0" w:color="auto"/>
      </w:divBdr>
      <w:divsChild>
        <w:div w:id="291059170">
          <w:marLeft w:val="0"/>
          <w:marRight w:val="0"/>
          <w:marTop w:val="0"/>
          <w:marBottom w:val="0"/>
          <w:divBdr>
            <w:top w:val="none" w:sz="0" w:space="0" w:color="auto"/>
            <w:left w:val="none" w:sz="0" w:space="0" w:color="auto"/>
            <w:bottom w:val="dotted" w:sz="6" w:space="4" w:color="DDDDDD"/>
            <w:right w:val="none" w:sz="0" w:space="0" w:color="auto"/>
          </w:divBdr>
          <w:divsChild>
            <w:div w:id="75714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802899">
      <w:bodyDiv w:val="1"/>
      <w:marLeft w:val="0"/>
      <w:marRight w:val="0"/>
      <w:marTop w:val="0"/>
      <w:marBottom w:val="0"/>
      <w:divBdr>
        <w:top w:val="none" w:sz="0" w:space="0" w:color="auto"/>
        <w:left w:val="none" w:sz="0" w:space="0" w:color="auto"/>
        <w:bottom w:val="none" w:sz="0" w:space="0" w:color="auto"/>
        <w:right w:val="none" w:sz="0" w:space="0" w:color="auto"/>
      </w:divBdr>
    </w:div>
    <w:div w:id="638418406">
      <w:bodyDiv w:val="1"/>
      <w:marLeft w:val="0"/>
      <w:marRight w:val="0"/>
      <w:marTop w:val="0"/>
      <w:marBottom w:val="0"/>
      <w:divBdr>
        <w:top w:val="none" w:sz="0" w:space="0" w:color="auto"/>
        <w:left w:val="none" w:sz="0" w:space="0" w:color="auto"/>
        <w:bottom w:val="none" w:sz="0" w:space="0" w:color="auto"/>
        <w:right w:val="none" w:sz="0" w:space="0" w:color="auto"/>
      </w:divBdr>
      <w:divsChild>
        <w:div w:id="676662247">
          <w:marLeft w:val="0"/>
          <w:marRight w:val="0"/>
          <w:marTop w:val="120"/>
          <w:marBottom w:val="0"/>
          <w:divBdr>
            <w:top w:val="none" w:sz="0" w:space="0" w:color="auto"/>
            <w:left w:val="none" w:sz="0" w:space="0" w:color="auto"/>
            <w:bottom w:val="none" w:sz="0" w:space="0" w:color="auto"/>
            <w:right w:val="none" w:sz="0" w:space="0" w:color="auto"/>
          </w:divBdr>
        </w:div>
      </w:divsChild>
    </w:div>
    <w:div w:id="639848428">
      <w:bodyDiv w:val="1"/>
      <w:marLeft w:val="0"/>
      <w:marRight w:val="0"/>
      <w:marTop w:val="0"/>
      <w:marBottom w:val="0"/>
      <w:divBdr>
        <w:top w:val="none" w:sz="0" w:space="0" w:color="auto"/>
        <w:left w:val="none" w:sz="0" w:space="0" w:color="auto"/>
        <w:bottom w:val="none" w:sz="0" w:space="0" w:color="auto"/>
        <w:right w:val="none" w:sz="0" w:space="0" w:color="auto"/>
      </w:divBdr>
      <w:divsChild>
        <w:div w:id="85152801">
          <w:marLeft w:val="0"/>
          <w:marRight w:val="0"/>
          <w:marTop w:val="0"/>
          <w:marBottom w:val="0"/>
          <w:divBdr>
            <w:top w:val="none" w:sz="0" w:space="0" w:color="auto"/>
            <w:left w:val="none" w:sz="0" w:space="0" w:color="auto"/>
            <w:bottom w:val="none" w:sz="0" w:space="0" w:color="auto"/>
            <w:right w:val="none" w:sz="0" w:space="0" w:color="auto"/>
          </w:divBdr>
          <w:divsChild>
            <w:div w:id="1421876703">
              <w:marLeft w:val="0"/>
              <w:marRight w:val="0"/>
              <w:marTop w:val="0"/>
              <w:marBottom w:val="0"/>
              <w:divBdr>
                <w:top w:val="none" w:sz="0" w:space="0" w:color="auto"/>
                <w:left w:val="none" w:sz="0" w:space="0" w:color="auto"/>
                <w:bottom w:val="none" w:sz="0" w:space="0" w:color="auto"/>
                <w:right w:val="none" w:sz="0" w:space="0" w:color="auto"/>
              </w:divBdr>
            </w:div>
          </w:divsChild>
        </w:div>
        <w:div w:id="624193369">
          <w:marLeft w:val="0"/>
          <w:marRight w:val="0"/>
          <w:marTop w:val="0"/>
          <w:marBottom w:val="150"/>
          <w:divBdr>
            <w:top w:val="none" w:sz="0" w:space="0" w:color="auto"/>
            <w:left w:val="none" w:sz="0" w:space="0" w:color="auto"/>
            <w:bottom w:val="none" w:sz="0" w:space="0" w:color="auto"/>
            <w:right w:val="none" w:sz="0" w:space="0" w:color="auto"/>
          </w:divBdr>
          <w:divsChild>
            <w:div w:id="74013276">
              <w:marLeft w:val="0"/>
              <w:marRight w:val="0"/>
              <w:marTop w:val="0"/>
              <w:marBottom w:val="0"/>
              <w:divBdr>
                <w:top w:val="none" w:sz="0" w:space="0" w:color="auto"/>
                <w:left w:val="none" w:sz="0" w:space="0" w:color="auto"/>
                <w:bottom w:val="none" w:sz="0" w:space="0" w:color="auto"/>
                <w:right w:val="none" w:sz="0" w:space="0" w:color="auto"/>
              </w:divBdr>
            </w:div>
          </w:divsChild>
        </w:div>
        <w:div w:id="1411973794">
          <w:marLeft w:val="0"/>
          <w:marRight w:val="0"/>
          <w:marTop w:val="0"/>
          <w:marBottom w:val="150"/>
          <w:divBdr>
            <w:top w:val="none" w:sz="0" w:space="0" w:color="auto"/>
            <w:left w:val="none" w:sz="0" w:space="0" w:color="auto"/>
            <w:bottom w:val="none" w:sz="0" w:space="0" w:color="auto"/>
            <w:right w:val="none" w:sz="0" w:space="0" w:color="auto"/>
          </w:divBdr>
        </w:div>
      </w:divsChild>
    </w:div>
    <w:div w:id="640571779">
      <w:bodyDiv w:val="1"/>
      <w:marLeft w:val="0"/>
      <w:marRight w:val="0"/>
      <w:marTop w:val="0"/>
      <w:marBottom w:val="0"/>
      <w:divBdr>
        <w:top w:val="none" w:sz="0" w:space="0" w:color="auto"/>
        <w:left w:val="none" w:sz="0" w:space="0" w:color="auto"/>
        <w:bottom w:val="none" w:sz="0" w:space="0" w:color="auto"/>
        <w:right w:val="none" w:sz="0" w:space="0" w:color="auto"/>
      </w:divBdr>
      <w:divsChild>
        <w:div w:id="982461854">
          <w:marLeft w:val="0"/>
          <w:marRight w:val="0"/>
          <w:marTop w:val="0"/>
          <w:marBottom w:val="0"/>
          <w:divBdr>
            <w:top w:val="none" w:sz="0" w:space="0" w:color="auto"/>
            <w:left w:val="none" w:sz="0" w:space="0" w:color="auto"/>
            <w:bottom w:val="none" w:sz="0" w:space="0" w:color="auto"/>
            <w:right w:val="none" w:sz="0" w:space="0" w:color="auto"/>
          </w:divBdr>
          <w:divsChild>
            <w:div w:id="1069302760">
              <w:marLeft w:val="0"/>
              <w:marRight w:val="0"/>
              <w:marTop w:val="0"/>
              <w:marBottom w:val="0"/>
              <w:divBdr>
                <w:top w:val="none" w:sz="0" w:space="0" w:color="auto"/>
                <w:left w:val="none" w:sz="0" w:space="0" w:color="auto"/>
                <w:bottom w:val="none" w:sz="0" w:space="0" w:color="auto"/>
                <w:right w:val="none" w:sz="0" w:space="0" w:color="auto"/>
              </w:divBdr>
              <w:divsChild>
                <w:div w:id="2056414">
                  <w:marLeft w:val="0"/>
                  <w:marRight w:val="0"/>
                  <w:marTop w:val="0"/>
                  <w:marBottom w:val="0"/>
                  <w:divBdr>
                    <w:top w:val="none" w:sz="0" w:space="0" w:color="auto"/>
                    <w:left w:val="none" w:sz="0" w:space="0" w:color="auto"/>
                    <w:bottom w:val="none" w:sz="0" w:space="0" w:color="auto"/>
                    <w:right w:val="none" w:sz="0" w:space="0" w:color="auto"/>
                  </w:divBdr>
                  <w:divsChild>
                    <w:div w:id="724793589">
                      <w:marLeft w:val="0"/>
                      <w:marRight w:val="0"/>
                      <w:marTop w:val="0"/>
                      <w:marBottom w:val="0"/>
                      <w:divBdr>
                        <w:top w:val="none" w:sz="0" w:space="0" w:color="auto"/>
                        <w:left w:val="none" w:sz="0" w:space="0" w:color="auto"/>
                        <w:bottom w:val="none" w:sz="0" w:space="0" w:color="auto"/>
                        <w:right w:val="none" w:sz="0" w:space="0" w:color="auto"/>
                      </w:divBdr>
                      <w:divsChild>
                        <w:div w:id="1643580708">
                          <w:marLeft w:val="0"/>
                          <w:marRight w:val="0"/>
                          <w:marTop w:val="0"/>
                          <w:marBottom w:val="0"/>
                          <w:divBdr>
                            <w:top w:val="none" w:sz="0" w:space="0" w:color="auto"/>
                            <w:left w:val="none" w:sz="0" w:space="0" w:color="auto"/>
                            <w:bottom w:val="none" w:sz="0" w:space="0" w:color="auto"/>
                            <w:right w:val="none" w:sz="0" w:space="0" w:color="auto"/>
                          </w:divBdr>
                          <w:divsChild>
                            <w:div w:id="551771101">
                              <w:marLeft w:val="0"/>
                              <w:marRight w:val="0"/>
                              <w:marTop w:val="0"/>
                              <w:marBottom w:val="0"/>
                              <w:divBdr>
                                <w:top w:val="none" w:sz="0" w:space="0" w:color="auto"/>
                                <w:left w:val="none" w:sz="0" w:space="0" w:color="auto"/>
                                <w:bottom w:val="none" w:sz="0" w:space="0" w:color="auto"/>
                                <w:right w:val="none" w:sz="0" w:space="0" w:color="auto"/>
                              </w:divBdr>
                              <w:divsChild>
                                <w:div w:id="524900569">
                                  <w:marLeft w:val="0"/>
                                  <w:marRight w:val="0"/>
                                  <w:marTop w:val="0"/>
                                  <w:marBottom w:val="0"/>
                                  <w:divBdr>
                                    <w:top w:val="none" w:sz="0" w:space="0" w:color="auto"/>
                                    <w:left w:val="none" w:sz="0" w:space="0" w:color="auto"/>
                                    <w:bottom w:val="none" w:sz="0" w:space="0" w:color="auto"/>
                                    <w:right w:val="none" w:sz="0" w:space="0" w:color="auto"/>
                                  </w:divBdr>
                                  <w:divsChild>
                                    <w:div w:id="21806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0767591">
      <w:bodyDiv w:val="1"/>
      <w:marLeft w:val="0"/>
      <w:marRight w:val="0"/>
      <w:marTop w:val="0"/>
      <w:marBottom w:val="0"/>
      <w:divBdr>
        <w:top w:val="none" w:sz="0" w:space="0" w:color="auto"/>
        <w:left w:val="none" w:sz="0" w:space="0" w:color="auto"/>
        <w:bottom w:val="none" w:sz="0" w:space="0" w:color="auto"/>
        <w:right w:val="none" w:sz="0" w:space="0" w:color="auto"/>
      </w:divBdr>
      <w:divsChild>
        <w:div w:id="711542773">
          <w:marLeft w:val="0"/>
          <w:marRight w:val="0"/>
          <w:marTop w:val="0"/>
          <w:marBottom w:val="150"/>
          <w:divBdr>
            <w:top w:val="none" w:sz="0" w:space="0" w:color="auto"/>
            <w:left w:val="none" w:sz="0" w:space="0" w:color="auto"/>
            <w:bottom w:val="none" w:sz="0" w:space="0" w:color="auto"/>
            <w:right w:val="none" w:sz="0" w:space="0" w:color="auto"/>
          </w:divBdr>
        </w:div>
      </w:divsChild>
    </w:div>
    <w:div w:id="640840587">
      <w:bodyDiv w:val="1"/>
      <w:marLeft w:val="0"/>
      <w:marRight w:val="0"/>
      <w:marTop w:val="0"/>
      <w:marBottom w:val="0"/>
      <w:divBdr>
        <w:top w:val="none" w:sz="0" w:space="0" w:color="auto"/>
        <w:left w:val="none" w:sz="0" w:space="0" w:color="auto"/>
        <w:bottom w:val="none" w:sz="0" w:space="0" w:color="auto"/>
        <w:right w:val="none" w:sz="0" w:space="0" w:color="auto"/>
      </w:divBdr>
      <w:divsChild>
        <w:div w:id="488788702">
          <w:marLeft w:val="0"/>
          <w:marRight w:val="0"/>
          <w:marTop w:val="0"/>
          <w:marBottom w:val="0"/>
          <w:divBdr>
            <w:top w:val="none" w:sz="0" w:space="0" w:color="auto"/>
            <w:left w:val="none" w:sz="0" w:space="0" w:color="auto"/>
            <w:bottom w:val="none" w:sz="0" w:space="0" w:color="auto"/>
            <w:right w:val="none" w:sz="0" w:space="0" w:color="auto"/>
          </w:divBdr>
          <w:divsChild>
            <w:div w:id="138799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960908">
      <w:bodyDiv w:val="1"/>
      <w:marLeft w:val="0"/>
      <w:marRight w:val="0"/>
      <w:marTop w:val="0"/>
      <w:marBottom w:val="0"/>
      <w:divBdr>
        <w:top w:val="none" w:sz="0" w:space="0" w:color="auto"/>
        <w:left w:val="none" w:sz="0" w:space="0" w:color="auto"/>
        <w:bottom w:val="none" w:sz="0" w:space="0" w:color="auto"/>
        <w:right w:val="none" w:sz="0" w:space="0" w:color="auto"/>
      </w:divBdr>
      <w:divsChild>
        <w:div w:id="1522861568">
          <w:marLeft w:val="0"/>
          <w:marRight w:val="0"/>
          <w:marTop w:val="0"/>
          <w:marBottom w:val="0"/>
          <w:divBdr>
            <w:top w:val="none" w:sz="0" w:space="0" w:color="auto"/>
            <w:left w:val="none" w:sz="0" w:space="0" w:color="auto"/>
            <w:bottom w:val="none" w:sz="0" w:space="0" w:color="auto"/>
            <w:right w:val="none" w:sz="0" w:space="0" w:color="auto"/>
          </w:divBdr>
          <w:divsChild>
            <w:div w:id="946355347">
              <w:marLeft w:val="0"/>
              <w:marRight w:val="0"/>
              <w:marTop w:val="0"/>
              <w:marBottom w:val="0"/>
              <w:divBdr>
                <w:top w:val="none" w:sz="0" w:space="0" w:color="auto"/>
                <w:left w:val="none" w:sz="0" w:space="0" w:color="auto"/>
                <w:bottom w:val="none" w:sz="0" w:space="0" w:color="auto"/>
                <w:right w:val="none" w:sz="0" w:space="0" w:color="auto"/>
              </w:divBdr>
              <w:divsChild>
                <w:div w:id="376778987">
                  <w:marLeft w:val="0"/>
                  <w:marRight w:val="0"/>
                  <w:marTop w:val="0"/>
                  <w:marBottom w:val="0"/>
                  <w:divBdr>
                    <w:top w:val="none" w:sz="0" w:space="0" w:color="auto"/>
                    <w:left w:val="none" w:sz="0" w:space="0" w:color="auto"/>
                    <w:bottom w:val="none" w:sz="0" w:space="0" w:color="auto"/>
                    <w:right w:val="none" w:sz="0" w:space="0" w:color="auto"/>
                  </w:divBdr>
                  <w:divsChild>
                    <w:div w:id="1994335932">
                      <w:marLeft w:val="0"/>
                      <w:marRight w:val="0"/>
                      <w:marTop w:val="0"/>
                      <w:marBottom w:val="0"/>
                      <w:divBdr>
                        <w:top w:val="none" w:sz="0" w:space="0" w:color="auto"/>
                        <w:left w:val="none" w:sz="0" w:space="0" w:color="auto"/>
                        <w:bottom w:val="none" w:sz="0" w:space="0" w:color="auto"/>
                        <w:right w:val="none" w:sz="0" w:space="0" w:color="auto"/>
                      </w:divBdr>
                      <w:divsChild>
                        <w:div w:id="2016153514">
                          <w:marLeft w:val="0"/>
                          <w:marRight w:val="0"/>
                          <w:marTop w:val="0"/>
                          <w:marBottom w:val="0"/>
                          <w:divBdr>
                            <w:top w:val="none" w:sz="0" w:space="0" w:color="auto"/>
                            <w:left w:val="none" w:sz="0" w:space="0" w:color="auto"/>
                            <w:bottom w:val="none" w:sz="0" w:space="0" w:color="auto"/>
                            <w:right w:val="none" w:sz="0" w:space="0" w:color="auto"/>
                          </w:divBdr>
                          <w:divsChild>
                            <w:div w:id="2102873377">
                              <w:marLeft w:val="0"/>
                              <w:marRight w:val="0"/>
                              <w:marTop w:val="0"/>
                              <w:marBottom w:val="0"/>
                              <w:divBdr>
                                <w:top w:val="none" w:sz="0" w:space="0" w:color="auto"/>
                                <w:left w:val="none" w:sz="0" w:space="0" w:color="auto"/>
                                <w:bottom w:val="none" w:sz="0" w:space="0" w:color="auto"/>
                                <w:right w:val="none" w:sz="0" w:space="0" w:color="auto"/>
                              </w:divBdr>
                              <w:divsChild>
                                <w:div w:id="1914272823">
                                  <w:marLeft w:val="0"/>
                                  <w:marRight w:val="0"/>
                                  <w:marTop w:val="0"/>
                                  <w:marBottom w:val="0"/>
                                  <w:divBdr>
                                    <w:top w:val="none" w:sz="0" w:space="0" w:color="auto"/>
                                    <w:left w:val="none" w:sz="0" w:space="0" w:color="auto"/>
                                    <w:bottom w:val="none" w:sz="0" w:space="0" w:color="auto"/>
                                    <w:right w:val="none" w:sz="0" w:space="0" w:color="auto"/>
                                  </w:divBdr>
                                  <w:divsChild>
                                    <w:div w:id="668795917">
                                      <w:marLeft w:val="0"/>
                                      <w:marRight w:val="0"/>
                                      <w:marTop w:val="0"/>
                                      <w:marBottom w:val="0"/>
                                      <w:divBdr>
                                        <w:top w:val="none" w:sz="0" w:space="0" w:color="auto"/>
                                        <w:left w:val="none" w:sz="0" w:space="0" w:color="auto"/>
                                        <w:bottom w:val="none" w:sz="0" w:space="0" w:color="auto"/>
                                        <w:right w:val="none" w:sz="0" w:space="0" w:color="auto"/>
                                      </w:divBdr>
                                      <w:divsChild>
                                        <w:div w:id="99241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1420846">
      <w:bodyDiv w:val="1"/>
      <w:marLeft w:val="0"/>
      <w:marRight w:val="0"/>
      <w:marTop w:val="0"/>
      <w:marBottom w:val="0"/>
      <w:divBdr>
        <w:top w:val="none" w:sz="0" w:space="0" w:color="auto"/>
        <w:left w:val="none" w:sz="0" w:space="0" w:color="auto"/>
        <w:bottom w:val="none" w:sz="0" w:space="0" w:color="auto"/>
        <w:right w:val="none" w:sz="0" w:space="0" w:color="auto"/>
      </w:divBdr>
      <w:divsChild>
        <w:div w:id="1683629740">
          <w:marLeft w:val="0"/>
          <w:marRight w:val="0"/>
          <w:marTop w:val="0"/>
          <w:marBottom w:val="0"/>
          <w:divBdr>
            <w:top w:val="none" w:sz="0" w:space="0" w:color="auto"/>
            <w:left w:val="none" w:sz="0" w:space="0" w:color="auto"/>
            <w:bottom w:val="dotted" w:sz="6" w:space="4" w:color="DDDDDD"/>
            <w:right w:val="none" w:sz="0" w:space="0" w:color="auto"/>
          </w:divBdr>
          <w:divsChild>
            <w:div w:id="55246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000486">
      <w:bodyDiv w:val="1"/>
      <w:marLeft w:val="0"/>
      <w:marRight w:val="0"/>
      <w:marTop w:val="0"/>
      <w:marBottom w:val="0"/>
      <w:divBdr>
        <w:top w:val="none" w:sz="0" w:space="0" w:color="auto"/>
        <w:left w:val="none" w:sz="0" w:space="0" w:color="auto"/>
        <w:bottom w:val="none" w:sz="0" w:space="0" w:color="auto"/>
        <w:right w:val="none" w:sz="0" w:space="0" w:color="auto"/>
      </w:divBdr>
      <w:divsChild>
        <w:div w:id="490609440">
          <w:marLeft w:val="0"/>
          <w:marRight w:val="0"/>
          <w:marTop w:val="0"/>
          <w:marBottom w:val="0"/>
          <w:divBdr>
            <w:top w:val="none" w:sz="0" w:space="0" w:color="auto"/>
            <w:left w:val="none" w:sz="0" w:space="0" w:color="auto"/>
            <w:bottom w:val="dotted" w:sz="6" w:space="4" w:color="DDDDDD"/>
            <w:right w:val="none" w:sz="0" w:space="0" w:color="auto"/>
          </w:divBdr>
          <w:divsChild>
            <w:div w:id="6753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002184">
      <w:bodyDiv w:val="1"/>
      <w:marLeft w:val="0"/>
      <w:marRight w:val="0"/>
      <w:marTop w:val="0"/>
      <w:marBottom w:val="0"/>
      <w:divBdr>
        <w:top w:val="none" w:sz="0" w:space="0" w:color="auto"/>
        <w:left w:val="none" w:sz="0" w:space="0" w:color="auto"/>
        <w:bottom w:val="none" w:sz="0" w:space="0" w:color="auto"/>
        <w:right w:val="none" w:sz="0" w:space="0" w:color="auto"/>
      </w:divBdr>
      <w:divsChild>
        <w:div w:id="696933338">
          <w:marLeft w:val="0"/>
          <w:marRight w:val="0"/>
          <w:marTop w:val="0"/>
          <w:marBottom w:val="450"/>
          <w:divBdr>
            <w:top w:val="none" w:sz="0" w:space="0" w:color="auto"/>
            <w:left w:val="none" w:sz="0" w:space="0" w:color="auto"/>
            <w:bottom w:val="single" w:sz="6" w:space="19" w:color="EEEEEE"/>
            <w:right w:val="none" w:sz="0" w:space="0" w:color="auto"/>
          </w:divBdr>
          <w:divsChild>
            <w:div w:id="1530991890">
              <w:marLeft w:val="0"/>
              <w:marRight w:val="0"/>
              <w:marTop w:val="0"/>
              <w:marBottom w:val="150"/>
              <w:divBdr>
                <w:top w:val="none" w:sz="0" w:space="0" w:color="auto"/>
                <w:left w:val="none" w:sz="0" w:space="0" w:color="auto"/>
                <w:bottom w:val="none" w:sz="0" w:space="0" w:color="auto"/>
                <w:right w:val="none" w:sz="0" w:space="0" w:color="auto"/>
              </w:divBdr>
              <w:divsChild>
                <w:div w:id="2067878089">
                  <w:marLeft w:val="0"/>
                  <w:marRight w:val="0"/>
                  <w:marTop w:val="0"/>
                  <w:marBottom w:val="0"/>
                  <w:divBdr>
                    <w:top w:val="none" w:sz="0" w:space="0" w:color="auto"/>
                    <w:left w:val="none" w:sz="0" w:space="0" w:color="auto"/>
                    <w:bottom w:val="none" w:sz="0" w:space="0" w:color="auto"/>
                    <w:right w:val="none" w:sz="0" w:space="0" w:color="auto"/>
                  </w:divBdr>
                </w:div>
              </w:divsChild>
            </w:div>
            <w:div w:id="1640769356">
              <w:marLeft w:val="0"/>
              <w:marRight w:val="0"/>
              <w:marTop w:val="0"/>
              <w:marBottom w:val="0"/>
              <w:divBdr>
                <w:top w:val="none" w:sz="0" w:space="0" w:color="auto"/>
                <w:left w:val="none" w:sz="0" w:space="0" w:color="auto"/>
                <w:bottom w:val="none" w:sz="0" w:space="0" w:color="auto"/>
                <w:right w:val="none" w:sz="0" w:space="0" w:color="auto"/>
              </w:divBdr>
            </w:div>
          </w:divsChild>
        </w:div>
        <w:div w:id="1209611706">
          <w:marLeft w:val="0"/>
          <w:marRight w:val="0"/>
          <w:marTop w:val="0"/>
          <w:marBottom w:val="0"/>
          <w:divBdr>
            <w:top w:val="none" w:sz="0" w:space="0" w:color="auto"/>
            <w:left w:val="none" w:sz="0" w:space="0" w:color="auto"/>
            <w:bottom w:val="none" w:sz="0" w:space="0" w:color="auto"/>
            <w:right w:val="none" w:sz="0" w:space="0" w:color="auto"/>
          </w:divBdr>
          <w:divsChild>
            <w:div w:id="450436954">
              <w:marLeft w:val="0"/>
              <w:marRight w:val="0"/>
              <w:marTop w:val="0"/>
              <w:marBottom w:val="0"/>
              <w:divBdr>
                <w:top w:val="none" w:sz="0" w:space="0" w:color="auto"/>
                <w:left w:val="none" w:sz="0" w:space="0" w:color="auto"/>
                <w:bottom w:val="none" w:sz="0" w:space="0" w:color="auto"/>
                <w:right w:val="none" w:sz="0" w:space="0" w:color="auto"/>
              </w:divBdr>
              <w:divsChild>
                <w:div w:id="26719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464779">
      <w:bodyDiv w:val="1"/>
      <w:marLeft w:val="0"/>
      <w:marRight w:val="0"/>
      <w:marTop w:val="0"/>
      <w:marBottom w:val="0"/>
      <w:divBdr>
        <w:top w:val="none" w:sz="0" w:space="0" w:color="auto"/>
        <w:left w:val="none" w:sz="0" w:space="0" w:color="auto"/>
        <w:bottom w:val="none" w:sz="0" w:space="0" w:color="auto"/>
        <w:right w:val="none" w:sz="0" w:space="0" w:color="auto"/>
      </w:divBdr>
    </w:div>
    <w:div w:id="642855074">
      <w:bodyDiv w:val="1"/>
      <w:marLeft w:val="0"/>
      <w:marRight w:val="0"/>
      <w:marTop w:val="0"/>
      <w:marBottom w:val="0"/>
      <w:divBdr>
        <w:top w:val="none" w:sz="0" w:space="0" w:color="auto"/>
        <w:left w:val="none" w:sz="0" w:space="0" w:color="auto"/>
        <w:bottom w:val="none" w:sz="0" w:space="0" w:color="auto"/>
        <w:right w:val="none" w:sz="0" w:space="0" w:color="auto"/>
      </w:divBdr>
      <w:divsChild>
        <w:div w:id="364604011">
          <w:marLeft w:val="0"/>
          <w:marRight w:val="0"/>
          <w:marTop w:val="0"/>
          <w:marBottom w:val="0"/>
          <w:divBdr>
            <w:top w:val="none" w:sz="0" w:space="0" w:color="auto"/>
            <w:left w:val="none" w:sz="0" w:space="0" w:color="auto"/>
            <w:bottom w:val="none" w:sz="0" w:space="0" w:color="auto"/>
            <w:right w:val="none" w:sz="0" w:space="0" w:color="auto"/>
          </w:divBdr>
        </w:div>
      </w:divsChild>
    </w:div>
    <w:div w:id="643193301">
      <w:bodyDiv w:val="1"/>
      <w:marLeft w:val="0"/>
      <w:marRight w:val="0"/>
      <w:marTop w:val="0"/>
      <w:marBottom w:val="0"/>
      <w:divBdr>
        <w:top w:val="none" w:sz="0" w:space="0" w:color="auto"/>
        <w:left w:val="none" w:sz="0" w:space="0" w:color="auto"/>
        <w:bottom w:val="none" w:sz="0" w:space="0" w:color="auto"/>
        <w:right w:val="none" w:sz="0" w:space="0" w:color="auto"/>
      </w:divBdr>
      <w:divsChild>
        <w:div w:id="435910328">
          <w:marLeft w:val="0"/>
          <w:marRight w:val="0"/>
          <w:marTop w:val="0"/>
          <w:marBottom w:val="0"/>
          <w:divBdr>
            <w:top w:val="none" w:sz="0" w:space="0" w:color="auto"/>
            <w:left w:val="none" w:sz="0" w:space="0" w:color="auto"/>
            <w:bottom w:val="dotted" w:sz="6" w:space="4" w:color="DDDDDD"/>
            <w:right w:val="none" w:sz="0" w:space="0" w:color="auto"/>
          </w:divBdr>
          <w:divsChild>
            <w:div w:id="137823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856988">
      <w:bodyDiv w:val="1"/>
      <w:marLeft w:val="0"/>
      <w:marRight w:val="0"/>
      <w:marTop w:val="0"/>
      <w:marBottom w:val="0"/>
      <w:divBdr>
        <w:top w:val="none" w:sz="0" w:space="0" w:color="auto"/>
        <w:left w:val="none" w:sz="0" w:space="0" w:color="auto"/>
        <w:bottom w:val="none" w:sz="0" w:space="0" w:color="auto"/>
        <w:right w:val="none" w:sz="0" w:space="0" w:color="auto"/>
      </w:divBdr>
      <w:divsChild>
        <w:div w:id="457143589">
          <w:marLeft w:val="0"/>
          <w:marRight w:val="0"/>
          <w:marTop w:val="0"/>
          <w:marBottom w:val="0"/>
          <w:divBdr>
            <w:top w:val="none" w:sz="0" w:space="0" w:color="auto"/>
            <w:left w:val="none" w:sz="0" w:space="0" w:color="auto"/>
            <w:bottom w:val="none" w:sz="0" w:space="0" w:color="auto"/>
            <w:right w:val="none" w:sz="0" w:space="0" w:color="auto"/>
          </w:divBdr>
        </w:div>
      </w:divsChild>
    </w:div>
    <w:div w:id="643974776">
      <w:bodyDiv w:val="1"/>
      <w:marLeft w:val="0"/>
      <w:marRight w:val="0"/>
      <w:marTop w:val="0"/>
      <w:marBottom w:val="0"/>
      <w:divBdr>
        <w:top w:val="none" w:sz="0" w:space="0" w:color="auto"/>
        <w:left w:val="none" w:sz="0" w:space="0" w:color="auto"/>
        <w:bottom w:val="none" w:sz="0" w:space="0" w:color="auto"/>
        <w:right w:val="none" w:sz="0" w:space="0" w:color="auto"/>
      </w:divBdr>
      <w:divsChild>
        <w:div w:id="1791898522">
          <w:marLeft w:val="0"/>
          <w:marRight w:val="0"/>
          <w:marTop w:val="0"/>
          <w:marBottom w:val="0"/>
          <w:divBdr>
            <w:top w:val="none" w:sz="0" w:space="0" w:color="auto"/>
            <w:left w:val="none" w:sz="0" w:space="0" w:color="auto"/>
            <w:bottom w:val="none" w:sz="0" w:space="0" w:color="auto"/>
            <w:right w:val="none" w:sz="0" w:space="0" w:color="auto"/>
          </w:divBdr>
          <w:divsChild>
            <w:div w:id="7841523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44509435">
      <w:bodyDiv w:val="1"/>
      <w:marLeft w:val="0"/>
      <w:marRight w:val="0"/>
      <w:marTop w:val="0"/>
      <w:marBottom w:val="0"/>
      <w:divBdr>
        <w:top w:val="none" w:sz="0" w:space="0" w:color="auto"/>
        <w:left w:val="none" w:sz="0" w:space="0" w:color="auto"/>
        <w:bottom w:val="none" w:sz="0" w:space="0" w:color="auto"/>
        <w:right w:val="none" w:sz="0" w:space="0" w:color="auto"/>
      </w:divBdr>
      <w:divsChild>
        <w:div w:id="666131750">
          <w:marLeft w:val="0"/>
          <w:marRight w:val="0"/>
          <w:marTop w:val="0"/>
          <w:marBottom w:val="0"/>
          <w:divBdr>
            <w:top w:val="none" w:sz="0" w:space="0" w:color="auto"/>
            <w:left w:val="none" w:sz="0" w:space="0" w:color="auto"/>
            <w:bottom w:val="none" w:sz="0" w:space="0" w:color="auto"/>
            <w:right w:val="none" w:sz="0" w:space="0" w:color="auto"/>
          </w:divBdr>
          <w:divsChild>
            <w:div w:id="1073818545">
              <w:marLeft w:val="0"/>
              <w:marRight w:val="0"/>
              <w:marTop w:val="0"/>
              <w:marBottom w:val="0"/>
              <w:divBdr>
                <w:top w:val="none" w:sz="0" w:space="0" w:color="auto"/>
                <w:left w:val="none" w:sz="0" w:space="0" w:color="auto"/>
                <w:bottom w:val="none" w:sz="0" w:space="0" w:color="auto"/>
                <w:right w:val="none" w:sz="0" w:space="0" w:color="auto"/>
              </w:divBdr>
              <w:divsChild>
                <w:div w:id="456604758">
                  <w:marLeft w:val="0"/>
                  <w:marRight w:val="0"/>
                  <w:marTop w:val="0"/>
                  <w:marBottom w:val="0"/>
                  <w:divBdr>
                    <w:top w:val="none" w:sz="0" w:space="0" w:color="auto"/>
                    <w:left w:val="none" w:sz="0" w:space="0" w:color="auto"/>
                    <w:bottom w:val="none" w:sz="0" w:space="0" w:color="auto"/>
                    <w:right w:val="none" w:sz="0" w:space="0" w:color="auto"/>
                  </w:divBdr>
                  <w:divsChild>
                    <w:div w:id="1255089105">
                      <w:marLeft w:val="0"/>
                      <w:marRight w:val="0"/>
                      <w:marTop w:val="0"/>
                      <w:marBottom w:val="0"/>
                      <w:divBdr>
                        <w:top w:val="none" w:sz="0" w:space="0" w:color="auto"/>
                        <w:left w:val="none" w:sz="0" w:space="0" w:color="auto"/>
                        <w:bottom w:val="none" w:sz="0" w:space="0" w:color="auto"/>
                        <w:right w:val="none" w:sz="0" w:space="0" w:color="auto"/>
                      </w:divBdr>
                      <w:divsChild>
                        <w:div w:id="2044358252">
                          <w:marLeft w:val="0"/>
                          <w:marRight w:val="0"/>
                          <w:marTop w:val="0"/>
                          <w:marBottom w:val="0"/>
                          <w:divBdr>
                            <w:top w:val="none" w:sz="0" w:space="0" w:color="auto"/>
                            <w:left w:val="none" w:sz="0" w:space="0" w:color="auto"/>
                            <w:bottom w:val="none" w:sz="0" w:space="0" w:color="auto"/>
                            <w:right w:val="none" w:sz="0" w:space="0" w:color="auto"/>
                          </w:divBdr>
                          <w:divsChild>
                            <w:div w:id="1042054292">
                              <w:marLeft w:val="0"/>
                              <w:marRight w:val="0"/>
                              <w:marTop w:val="0"/>
                              <w:marBottom w:val="0"/>
                              <w:divBdr>
                                <w:top w:val="none" w:sz="0" w:space="0" w:color="auto"/>
                                <w:left w:val="none" w:sz="0" w:space="0" w:color="auto"/>
                                <w:bottom w:val="none" w:sz="0" w:space="0" w:color="auto"/>
                                <w:right w:val="none" w:sz="0" w:space="0" w:color="auto"/>
                              </w:divBdr>
                              <w:divsChild>
                                <w:div w:id="1129475822">
                                  <w:marLeft w:val="0"/>
                                  <w:marRight w:val="0"/>
                                  <w:marTop w:val="0"/>
                                  <w:marBottom w:val="0"/>
                                  <w:divBdr>
                                    <w:top w:val="none" w:sz="0" w:space="0" w:color="auto"/>
                                    <w:left w:val="none" w:sz="0" w:space="0" w:color="auto"/>
                                    <w:bottom w:val="none" w:sz="0" w:space="0" w:color="auto"/>
                                    <w:right w:val="none" w:sz="0" w:space="0" w:color="auto"/>
                                  </w:divBdr>
                                  <w:divsChild>
                                    <w:div w:id="2096045980">
                                      <w:marLeft w:val="0"/>
                                      <w:marRight w:val="0"/>
                                      <w:marTop w:val="0"/>
                                      <w:marBottom w:val="0"/>
                                      <w:divBdr>
                                        <w:top w:val="none" w:sz="0" w:space="0" w:color="auto"/>
                                        <w:left w:val="none" w:sz="0" w:space="0" w:color="auto"/>
                                        <w:bottom w:val="none" w:sz="0" w:space="0" w:color="auto"/>
                                        <w:right w:val="none" w:sz="0" w:space="0" w:color="auto"/>
                                      </w:divBdr>
                                      <w:divsChild>
                                        <w:div w:id="128781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4623253">
      <w:bodyDiv w:val="1"/>
      <w:marLeft w:val="0"/>
      <w:marRight w:val="0"/>
      <w:marTop w:val="0"/>
      <w:marBottom w:val="0"/>
      <w:divBdr>
        <w:top w:val="none" w:sz="0" w:space="0" w:color="auto"/>
        <w:left w:val="none" w:sz="0" w:space="0" w:color="auto"/>
        <w:bottom w:val="none" w:sz="0" w:space="0" w:color="auto"/>
        <w:right w:val="none" w:sz="0" w:space="0" w:color="auto"/>
      </w:divBdr>
    </w:div>
    <w:div w:id="644891252">
      <w:bodyDiv w:val="1"/>
      <w:marLeft w:val="0"/>
      <w:marRight w:val="0"/>
      <w:marTop w:val="0"/>
      <w:marBottom w:val="0"/>
      <w:divBdr>
        <w:top w:val="none" w:sz="0" w:space="0" w:color="auto"/>
        <w:left w:val="none" w:sz="0" w:space="0" w:color="auto"/>
        <w:bottom w:val="none" w:sz="0" w:space="0" w:color="auto"/>
        <w:right w:val="none" w:sz="0" w:space="0" w:color="auto"/>
      </w:divBdr>
      <w:divsChild>
        <w:div w:id="302350062">
          <w:marLeft w:val="0"/>
          <w:marRight w:val="0"/>
          <w:marTop w:val="0"/>
          <w:marBottom w:val="150"/>
          <w:divBdr>
            <w:top w:val="none" w:sz="0" w:space="0" w:color="auto"/>
            <w:left w:val="none" w:sz="0" w:space="0" w:color="auto"/>
            <w:bottom w:val="none" w:sz="0" w:space="0" w:color="auto"/>
            <w:right w:val="none" w:sz="0" w:space="0" w:color="auto"/>
          </w:divBdr>
        </w:div>
      </w:divsChild>
    </w:div>
    <w:div w:id="646084225">
      <w:bodyDiv w:val="1"/>
      <w:marLeft w:val="0"/>
      <w:marRight w:val="0"/>
      <w:marTop w:val="0"/>
      <w:marBottom w:val="0"/>
      <w:divBdr>
        <w:top w:val="none" w:sz="0" w:space="0" w:color="auto"/>
        <w:left w:val="none" w:sz="0" w:space="0" w:color="auto"/>
        <w:bottom w:val="none" w:sz="0" w:space="0" w:color="auto"/>
        <w:right w:val="none" w:sz="0" w:space="0" w:color="auto"/>
      </w:divBdr>
    </w:div>
    <w:div w:id="646592721">
      <w:bodyDiv w:val="1"/>
      <w:marLeft w:val="0"/>
      <w:marRight w:val="0"/>
      <w:marTop w:val="0"/>
      <w:marBottom w:val="0"/>
      <w:divBdr>
        <w:top w:val="none" w:sz="0" w:space="0" w:color="auto"/>
        <w:left w:val="none" w:sz="0" w:space="0" w:color="auto"/>
        <w:bottom w:val="none" w:sz="0" w:space="0" w:color="auto"/>
        <w:right w:val="none" w:sz="0" w:space="0" w:color="auto"/>
      </w:divBdr>
      <w:divsChild>
        <w:div w:id="917902021">
          <w:marLeft w:val="0"/>
          <w:marRight w:val="0"/>
          <w:marTop w:val="0"/>
          <w:marBottom w:val="150"/>
          <w:divBdr>
            <w:top w:val="none" w:sz="0" w:space="0" w:color="auto"/>
            <w:left w:val="none" w:sz="0" w:space="0" w:color="auto"/>
            <w:bottom w:val="none" w:sz="0" w:space="0" w:color="auto"/>
            <w:right w:val="none" w:sz="0" w:space="0" w:color="auto"/>
          </w:divBdr>
        </w:div>
        <w:div w:id="973411808">
          <w:marLeft w:val="0"/>
          <w:marRight w:val="0"/>
          <w:marTop w:val="0"/>
          <w:marBottom w:val="0"/>
          <w:divBdr>
            <w:top w:val="none" w:sz="0" w:space="0" w:color="auto"/>
            <w:left w:val="none" w:sz="0" w:space="0" w:color="auto"/>
            <w:bottom w:val="none" w:sz="0" w:space="0" w:color="auto"/>
            <w:right w:val="none" w:sz="0" w:space="0" w:color="auto"/>
          </w:divBdr>
        </w:div>
      </w:divsChild>
    </w:div>
    <w:div w:id="647512230">
      <w:bodyDiv w:val="1"/>
      <w:marLeft w:val="0"/>
      <w:marRight w:val="0"/>
      <w:marTop w:val="0"/>
      <w:marBottom w:val="0"/>
      <w:divBdr>
        <w:top w:val="none" w:sz="0" w:space="0" w:color="auto"/>
        <w:left w:val="none" w:sz="0" w:space="0" w:color="auto"/>
        <w:bottom w:val="none" w:sz="0" w:space="0" w:color="auto"/>
        <w:right w:val="none" w:sz="0" w:space="0" w:color="auto"/>
      </w:divBdr>
      <w:divsChild>
        <w:div w:id="233977060">
          <w:marLeft w:val="0"/>
          <w:marRight w:val="0"/>
          <w:marTop w:val="150"/>
          <w:marBottom w:val="0"/>
          <w:divBdr>
            <w:top w:val="none" w:sz="0" w:space="0" w:color="auto"/>
            <w:left w:val="none" w:sz="0" w:space="0" w:color="auto"/>
            <w:bottom w:val="none" w:sz="0" w:space="0" w:color="auto"/>
            <w:right w:val="none" w:sz="0" w:space="0" w:color="auto"/>
          </w:divBdr>
          <w:divsChild>
            <w:div w:id="1465924192">
              <w:marLeft w:val="0"/>
              <w:marRight w:val="0"/>
              <w:marTop w:val="0"/>
              <w:marBottom w:val="0"/>
              <w:divBdr>
                <w:top w:val="none" w:sz="0" w:space="0" w:color="auto"/>
                <w:left w:val="none" w:sz="0" w:space="0" w:color="auto"/>
                <w:bottom w:val="single" w:sz="6" w:space="0" w:color="EFEFEF"/>
                <w:right w:val="none" w:sz="0" w:space="0" w:color="auto"/>
              </w:divBdr>
              <w:divsChild>
                <w:div w:id="1223295809">
                  <w:marLeft w:val="0"/>
                  <w:marRight w:val="0"/>
                  <w:marTop w:val="0"/>
                  <w:marBottom w:val="0"/>
                  <w:divBdr>
                    <w:top w:val="none" w:sz="0" w:space="0" w:color="auto"/>
                    <w:left w:val="none" w:sz="0" w:space="0" w:color="auto"/>
                    <w:bottom w:val="none" w:sz="0" w:space="0" w:color="auto"/>
                    <w:right w:val="none" w:sz="0" w:space="0" w:color="auto"/>
                  </w:divBdr>
                </w:div>
                <w:div w:id="131506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108120">
          <w:marLeft w:val="0"/>
          <w:marRight w:val="0"/>
          <w:marTop w:val="300"/>
          <w:marBottom w:val="0"/>
          <w:divBdr>
            <w:top w:val="none" w:sz="0" w:space="0" w:color="auto"/>
            <w:left w:val="none" w:sz="0" w:space="0" w:color="auto"/>
            <w:bottom w:val="none" w:sz="0" w:space="0" w:color="auto"/>
            <w:right w:val="none" w:sz="0" w:space="0" w:color="auto"/>
          </w:divBdr>
          <w:divsChild>
            <w:div w:id="247538365">
              <w:marLeft w:val="-1350"/>
              <w:marRight w:val="0"/>
              <w:marTop w:val="0"/>
              <w:marBottom w:val="0"/>
              <w:divBdr>
                <w:top w:val="none" w:sz="0" w:space="0" w:color="auto"/>
                <w:left w:val="none" w:sz="0" w:space="0" w:color="auto"/>
                <w:bottom w:val="none" w:sz="0" w:space="0" w:color="auto"/>
                <w:right w:val="none" w:sz="0" w:space="0" w:color="auto"/>
              </w:divBdr>
              <w:divsChild>
                <w:div w:id="675117071">
                  <w:marLeft w:val="0"/>
                  <w:marRight w:val="0"/>
                  <w:marTop w:val="0"/>
                  <w:marBottom w:val="0"/>
                  <w:divBdr>
                    <w:top w:val="none" w:sz="0" w:space="0" w:color="auto"/>
                    <w:left w:val="none" w:sz="0" w:space="0" w:color="auto"/>
                    <w:bottom w:val="none" w:sz="0" w:space="0" w:color="auto"/>
                    <w:right w:val="none" w:sz="0" w:space="0" w:color="auto"/>
                  </w:divBdr>
                  <w:divsChild>
                    <w:div w:id="1094403328">
                      <w:marLeft w:val="0"/>
                      <w:marRight w:val="0"/>
                      <w:marTop w:val="0"/>
                      <w:marBottom w:val="0"/>
                      <w:divBdr>
                        <w:top w:val="none" w:sz="0" w:space="0" w:color="auto"/>
                        <w:left w:val="none" w:sz="0" w:space="0" w:color="auto"/>
                        <w:bottom w:val="none" w:sz="0" w:space="0" w:color="auto"/>
                        <w:right w:val="none" w:sz="0" w:space="0" w:color="auto"/>
                      </w:divBdr>
                      <w:divsChild>
                        <w:div w:id="1033769513">
                          <w:marLeft w:val="0"/>
                          <w:marRight w:val="0"/>
                          <w:marTop w:val="0"/>
                          <w:marBottom w:val="0"/>
                          <w:divBdr>
                            <w:top w:val="single" w:sz="6" w:space="0" w:color="C7C7C7"/>
                            <w:left w:val="single" w:sz="6" w:space="0" w:color="C7C7C7"/>
                            <w:bottom w:val="single" w:sz="6" w:space="0" w:color="C7C7C7"/>
                            <w:right w:val="single" w:sz="6" w:space="0" w:color="C7C7C7"/>
                          </w:divBdr>
                          <w:divsChild>
                            <w:div w:id="57900753">
                              <w:marLeft w:val="0"/>
                              <w:marRight w:val="0"/>
                              <w:marTop w:val="100"/>
                              <w:marBottom w:val="100"/>
                              <w:divBdr>
                                <w:top w:val="none" w:sz="0" w:space="11" w:color="auto"/>
                                <w:left w:val="none" w:sz="0" w:space="0" w:color="auto"/>
                                <w:bottom w:val="single" w:sz="6" w:space="11" w:color="C7C7C7"/>
                                <w:right w:val="none" w:sz="0" w:space="0" w:color="auto"/>
                              </w:divBdr>
                            </w:div>
                            <w:div w:id="188028688">
                              <w:marLeft w:val="0"/>
                              <w:marRight w:val="0"/>
                              <w:marTop w:val="100"/>
                              <w:marBottom w:val="100"/>
                              <w:divBdr>
                                <w:top w:val="none" w:sz="0" w:space="0" w:color="auto"/>
                                <w:left w:val="none" w:sz="0" w:space="0" w:color="auto"/>
                                <w:bottom w:val="none" w:sz="0" w:space="0" w:color="auto"/>
                                <w:right w:val="none" w:sz="0" w:space="0" w:color="auto"/>
                              </w:divBdr>
                            </w:div>
                            <w:div w:id="552080212">
                              <w:marLeft w:val="0"/>
                              <w:marRight w:val="0"/>
                              <w:marTop w:val="100"/>
                              <w:marBottom w:val="100"/>
                              <w:divBdr>
                                <w:top w:val="none" w:sz="0" w:space="11" w:color="auto"/>
                                <w:left w:val="none" w:sz="0" w:space="0" w:color="auto"/>
                                <w:bottom w:val="single" w:sz="6" w:space="11" w:color="C7C7C7"/>
                                <w:right w:val="none" w:sz="0" w:space="0" w:color="auto"/>
                              </w:divBdr>
                            </w:div>
                            <w:div w:id="840850826">
                              <w:marLeft w:val="0"/>
                              <w:marRight w:val="0"/>
                              <w:marTop w:val="100"/>
                              <w:marBottom w:val="100"/>
                              <w:divBdr>
                                <w:top w:val="none" w:sz="0" w:space="11" w:color="auto"/>
                                <w:left w:val="none" w:sz="0" w:space="0" w:color="auto"/>
                                <w:bottom w:val="single" w:sz="6" w:space="11" w:color="C7C7C7"/>
                                <w:right w:val="none" w:sz="0" w:space="0" w:color="auto"/>
                              </w:divBdr>
                            </w:div>
                            <w:div w:id="2030447013">
                              <w:marLeft w:val="0"/>
                              <w:marRight w:val="0"/>
                              <w:marTop w:val="100"/>
                              <w:marBottom w:val="100"/>
                              <w:divBdr>
                                <w:top w:val="none" w:sz="0" w:space="11" w:color="auto"/>
                                <w:left w:val="none" w:sz="0" w:space="0" w:color="auto"/>
                                <w:bottom w:val="single" w:sz="6" w:space="11" w:color="C7C7C7"/>
                                <w:right w:val="none" w:sz="0" w:space="0" w:color="auto"/>
                              </w:divBdr>
                              <w:divsChild>
                                <w:div w:id="114748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1986069">
              <w:marLeft w:val="0"/>
              <w:marRight w:val="0"/>
              <w:marTop w:val="0"/>
              <w:marBottom w:val="0"/>
              <w:divBdr>
                <w:top w:val="none" w:sz="0" w:space="0" w:color="auto"/>
                <w:left w:val="none" w:sz="0" w:space="0" w:color="auto"/>
                <w:bottom w:val="none" w:sz="0" w:space="0" w:color="auto"/>
                <w:right w:val="none" w:sz="0" w:space="0" w:color="auto"/>
              </w:divBdr>
              <w:divsChild>
                <w:div w:id="426508352">
                  <w:marLeft w:val="0"/>
                  <w:marRight w:val="0"/>
                  <w:marTop w:val="0"/>
                  <w:marBottom w:val="0"/>
                  <w:divBdr>
                    <w:top w:val="none" w:sz="0" w:space="0" w:color="auto"/>
                    <w:left w:val="none" w:sz="0" w:space="0" w:color="auto"/>
                    <w:bottom w:val="none" w:sz="0" w:space="0" w:color="auto"/>
                    <w:right w:val="none" w:sz="0" w:space="0" w:color="auto"/>
                  </w:divBdr>
                  <w:divsChild>
                    <w:div w:id="1863278174">
                      <w:marLeft w:val="0"/>
                      <w:marRight w:val="0"/>
                      <w:marTop w:val="0"/>
                      <w:marBottom w:val="0"/>
                      <w:divBdr>
                        <w:top w:val="none" w:sz="0" w:space="0" w:color="auto"/>
                        <w:left w:val="none" w:sz="0" w:space="0" w:color="auto"/>
                        <w:bottom w:val="none" w:sz="0" w:space="0" w:color="auto"/>
                        <w:right w:val="none" w:sz="0" w:space="0" w:color="auto"/>
                      </w:divBdr>
                    </w:div>
                  </w:divsChild>
                </w:div>
                <w:div w:id="891770535">
                  <w:marLeft w:val="0"/>
                  <w:marRight w:val="0"/>
                  <w:marTop w:val="150"/>
                  <w:marBottom w:val="0"/>
                  <w:divBdr>
                    <w:top w:val="none" w:sz="0" w:space="0" w:color="auto"/>
                    <w:left w:val="none" w:sz="0" w:space="0" w:color="auto"/>
                    <w:bottom w:val="none" w:sz="0" w:space="0" w:color="auto"/>
                    <w:right w:val="none" w:sz="0" w:space="0" w:color="auto"/>
                  </w:divBdr>
                  <w:divsChild>
                    <w:div w:id="1233272864">
                      <w:marLeft w:val="0"/>
                      <w:marRight w:val="0"/>
                      <w:marTop w:val="0"/>
                      <w:marBottom w:val="0"/>
                      <w:divBdr>
                        <w:top w:val="none" w:sz="0" w:space="0" w:color="auto"/>
                        <w:left w:val="none" w:sz="0" w:space="0" w:color="auto"/>
                        <w:bottom w:val="none" w:sz="0" w:space="0" w:color="auto"/>
                        <w:right w:val="none" w:sz="0" w:space="0" w:color="auto"/>
                      </w:divBdr>
                      <w:divsChild>
                        <w:div w:id="688260462">
                          <w:marLeft w:val="75"/>
                          <w:marRight w:val="0"/>
                          <w:marTop w:val="0"/>
                          <w:marBottom w:val="0"/>
                          <w:divBdr>
                            <w:top w:val="none" w:sz="0" w:space="0" w:color="auto"/>
                            <w:left w:val="none" w:sz="0" w:space="0" w:color="auto"/>
                            <w:bottom w:val="none" w:sz="0" w:space="0" w:color="auto"/>
                            <w:right w:val="none" w:sz="0" w:space="0" w:color="auto"/>
                          </w:divBdr>
                        </w:div>
                        <w:div w:id="103462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7512786">
      <w:bodyDiv w:val="1"/>
      <w:marLeft w:val="0"/>
      <w:marRight w:val="0"/>
      <w:marTop w:val="0"/>
      <w:marBottom w:val="0"/>
      <w:divBdr>
        <w:top w:val="none" w:sz="0" w:space="0" w:color="auto"/>
        <w:left w:val="none" w:sz="0" w:space="0" w:color="auto"/>
        <w:bottom w:val="none" w:sz="0" w:space="0" w:color="auto"/>
        <w:right w:val="none" w:sz="0" w:space="0" w:color="auto"/>
      </w:divBdr>
      <w:divsChild>
        <w:div w:id="398750122">
          <w:marLeft w:val="0"/>
          <w:marRight w:val="0"/>
          <w:marTop w:val="0"/>
          <w:marBottom w:val="0"/>
          <w:divBdr>
            <w:top w:val="none" w:sz="0" w:space="0" w:color="auto"/>
            <w:left w:val="none" w:sz="0" w:space="0" w:color="auto"/>
            <w:bottom w:val="none" w:sz="0" w:space="0" w:color="auto"/>
            <w:right w:val="none" w:sz="0" w:space="0" w:color="auto"/>
          </w:divBdr>
          <w:divsChild>
            <w:div w:id="863403738">
              <w:marLeft w:val="0"/>
              <w:marRight w:val="0"/>
              <w:marTop w:val="0"/>
              <w:marBottom w:val="0"/>
              <w:divBdr>
                <w:top w:val="none" w:sz="0" w:space="0" w:color="auto"/>
                <w:left w:val="none" w:sz="0" w:space="0" w:color="auto"/>
                <w:bottom w:val="none" w:sz="0" w:space="0" w:color="auto"/>
                <w:right w:val="none" w:sz="0" w:space="0" w:color="auto"/>
              </w:divBdr>
              <w:divsChild>
                <w:div w:id="1804228485">
                  <w:marLeft w:val="0"/>
                  <w:marRight w:val="0"/>
                  <w:marTop w:val="0"/>
                  <w:marBottom w:val="450"/>
                  <w:divBdr>
                    <w:top w:val="none" w:sz="0" w:space="0" w:color="auto"/>
                    <w:left w:val="none" w:sz="0" w:space="0" w:color="auto"/>
                    <w:bottom w:val="none" w:sz="0" w:space="0" w:color="auto"/>
                    <w:right w:val="none" w:sz="0" w:space="0" w:color="auto"/>
                  </w:divBdr>
                  <w:divsChild>
                    <w:div w:id="917863150">
                      <w:marLeft w:val="0"/>
                      <w:marRight w:val="0"/>
                      <w:marTop w:val="0"/>
                      <w:marBottom w:val="150"/>
                      <w:divBdr>
                        <w:top w:val="none" w:sz="0" w:space="0" w:color="auto"/>
                        <w:left w:val="none" w:sz="0" w:space="0" w:color="auto"/>
                        <w:bottom w:val="none" w:sz="0" w:space="0" w:color="auto"/>
                        <w:right w:val="none" w:sz="0" w:space="0" w:color="auto"/>
                      </w:divBdr>
                      <w:divsChild>
                        <w:div w:id="1767143807">
                          <w:marLeft w:val="0"/>
                          <w:marRight w:val="0"/>
                          <w:marTop w:val="0"/>
                          <w:marBottom w:val="0"/>
                          <w:divBdr>
                            <w:top w:val="none" w:sz="0" w:space="0" w:color="auto"/>
                            <w:left w:val="none" w:sz="0" w:space="0" w:color="auto"/>
                            <w:bottom w:val="none" w:sz="0" w:space="0" w:color="auto"/>
                            <w:right w:val="none" w:sz="0" w:space="0" w:color="auto"/>
                          </w:divBdr>
                        </w:div>
                      </w:divsChild>
                    </w:div>
                    <w:div w:id="1576741704">
                      <w:marLeft w:val="0"/>
                      <w:marRight w:val="0"/>
                      <w:marTop w:val="0"/>
                      <w:marBottom w:val="0"/>
                      <w:divBdr>
                        <w:top w:val="none" w:sz="0" w:space="0" w:color="auto"/>
                        <w:left w:val="none" w:sz="0" w:space="0" w:color="auto"/>
                        <w:bottom w:val="none" w:sz="0" w:space="0" w:color="auto"/>
                        <w:right w:val="none" w:sz="0" w:space="0" w:color="auto"/>
                      </w:divBdr>
                      <w:divsChild>
                        <w:div w:id="395587556">
                          <w:marLeft w:val="0"/>
                          <w:marRight w:val="0"/>
                          <w:marTop w:val="0"/>
                          <w:marBottom w:val="150"/>
                          <w:divBdr>
                            <w:top w:val="none" w:sz="0" w:space="0" w:color="auto"/>
                            <w:left w:val="none" w:sz="0" w:space="0" w:color="auto"/>
                            <w:bottom w:val="none" w:sz="0" w:space="0" w:color="auto"/>
                            <w:right w:val="none" w:sz="0" w:space="0" w:color="auto"/>
                          </w:divBdr>
                        </w:div>
                        <w:div w:id="1343968781">
                          <w:marLeft w:val="0"/>
                          <w:marRight w:val="0"/>
                          <w:marTop w:val="0"/>
                          <w:marBottom w:val="0"/>
                          <w:divBdr>
                            <w:top w:val="none" w:sz="0" w:space="0" w:color="auto"/>
                            <w:left w:val="none" w:sz="0" w:space="0" w:color="auto"/>
                            <w:bottom w:val="none" w:sz="0" w:space="0" w:color="auto"/>
                            <w:right w:val="none" w:sz="0" w:space="0" w:color="auto"/>
                          </w:divBdr>
                          <w:divsChild>
                            <w:div w:id="161640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7891366">
          <w:marLeft w:val="0"/>
          <w:marRight w:val="0"/>
          <w:marTop w:val="0"/>
          <w:marBottom w:val="375"/>
          <w:divBdr>
            <w:top w:val="none" w:sz="0" w:space="0" w:color="auto"/>
            <w:left w:val="none" w:sz="0" w:space="0" w:color="auto"/>
            <w:bottom w:val="single" w:sz="6" w:space="0" w:color="005494"/>
            <w:right w:val="none" w:sz="0" w:space="0" w:color="auto"/>
          </w:divBdr>
        </w:div>
        <w:div w:id="1031883257">
          <w:marLeft w:val="0"/>
          <w:marRight w:val="0"/>
          <w:marTop w:val="0"/>
          <w:marBottom w:val="300"/>
          <w:divBdr>
            <w:top w:val="none" w:sz="0" w:space="0" w:color="auto"/>
            <w:left w:val="none" w:sz="0" w:space="0" w:color="auto"/>
            <w:bottom w:val="single" w:sz="6" w:space="0" w:color="E4E4E4"/>
            <w:right w:val="none" w:sz="0" w:space="0" w:color="auto"/>
          </w:divBdr>
        </w:div>
      </w:divsChild>
    </w:div>
    <w:div w:id="647781595">
      <w:bodyDiv w:val="1"/>
      <w:marLeft w:val="0"/>
      <w:marRight w:val="0"/>
      <w:marTop w:val="0"/>
      <w:marBottom w:val="0"/>
      <w:divBdr>
        <w:top w:val="none" w:sz="0" w:space="0" w:color="auto"/>
        <w:left w:val="none" w:sz="0" w:space="0" w:color="auto"/>
        <w:bottom w:val="none" w:sz="0" w:space="0" w:color="auto"/>
        <w:right w:val="none" w:sz="0" w:space="0" w:color="auto"/>
      </w:divBdr>
      <w:divsChild>
        <w:div w:id="602425150">
          <w:marLeft w:val="0"/>
          <w:marRight w:val="0"/>
          <w:marTop w:val="0"/>
          <w:marBottom w:val="0"/>
          <w:divBdr>
            <w:top w:val="none" w:sz="0" w:space="0" w:color="auto"/>
            <w:left w:val="none" w:sz="0" w:space="0" w:color="auto"/>
            <w:bottom w:val="none" w:sz="0" w:space="0" w:color="auto"/>
            <w:right w:val="none" w:sz="0" w:space="0" w:color="auto"/>
          </w:divBdr>
          <w:divsChild>
            <w:div w:id="128911114">
              <w:marLeft w:val="0"/>
              <w:marRight w:val="0"/>
              <w:marTop w:val="0"/>
              <w:marBottom w:val="0"/>
              <w:divBdr>
                <w:top w:val="none" w:sz="0" w:space="0" w:color="auto"/>
                <w:left w:val="none" w:sz="0" w:space="0" w:color="auto"/>
                <w:bottom w:val="none" w:sz="0" w:space="0" w:color="auto"/>
                <w:right w:val="none" w:sz="0" w:space="0" w:color="auto"/>
              </w:divBdr>
            </w:div>
            <w:div w:id="8181553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47787079">
      <w:bodyDiv w:val="1"/>
      <w:marLeft w:val="0"/>
      <w:marRight w:val="0"/>
      <w:marTop w:val="0"/>
      <w:marBottom w:val="0"/>
      <w:divBdr>
        <w:top w:val="none" w:sz="0" w:space="0" w:color="auto"/>
        <w:left w:val="none" w:sz="0" w:space="0" w:color="auto"/>
        <w:bottom w:val="none" w:sz="0" w:space="0" w:color="auto"/>
        <w:right w:val="none" w:sz="0" w:space="0" w:color="auto"/>
      </w:divBdr>
      <w:divsChild>
        <w:div w:id="2136213997">
          <w:marLeft w:val="0"/>
          <w:marRight w:val="0"/>
          <w:marTop w:val="0"/>
          <w:marBottom w:val="150"/>
          <w:divBdr>
            <w:top w:val="none" w:sz="0" w:space="0" w:color="auto"/>
            <w:left w:val="none" w:sz="0" w:space="0" w:color="auto"/>
            <w:bottom w:val="none" w:sz="0" w:space="0" w:color="auto"/>
            <w:right w:val="none" w:sz="0" w:space="0" w:color="auto"/>
          </w:divBdr>
          <w:divsChild>
            <w:div w:id="249655744">
              <w:marLeft w:val="0"/>
              <w:marRight w:val="0"/>
              <w:marTop w:val="0"/>
              <w:marBottom w:val="0"/>
              <w:divBdr>
                <w:top w:val="none" w:sz="0" w:space="0" w:color="auto"/>
                <w:left w:val="none" w:sz="0" w:space="0" w:color="auto"/>
                <w:bottom w:val="none" w:sz="0" w:space="0" w:color="auto"/>
                <w:right w:val="none" w:sz="0" w:space="0" w:color="auto"/>
              </w:divBdr>
              <w:divsChild>
                <w:div w:id="67509210">
                  <w:marLeft w:val="0"/>
                  <w:marRight w:val="0"/>
                  <w:marTop w:val="0"/>
                  <w:marBottom w:val="0"/>
                  <w:divBdr>
                    <w:top w:val="none" w:sz="0" w:space="0" w:color="auto"/>
                    <w:left w:val="none" w:sz="0" w:space="0" w:color="auto"/>
                    <w:bottom w:val="none" w:sz="0" w:space="0" w:color="auto"/>
                    <w:right w:val="none" w:sz="0" w:space="0" w:color="auto"/>
                  </w:divBdr>
                  <w:divsChild>
                    <w:div w:id="1490318634">
                      <w:marLeft w:val="0"/>
                      <w:marRight w:val="150"/>
                      <w:marTop w:val="0"/>
                      <w:marBottom w:val="0"/>
                      <w:divBdr>
                        <w:top w:val="none" w:sz="0" w:space="0" w:color="auto"/>
                        <w:left w:val="none" w:sz="0" w:space="0" w:color="auto"/>
                        <w:bottom w:val="none" w:sz="0" w:space="0" w:color="auto"/>
                        <w:right w:val="none" w:sz="0" w:space="0" w:color="auto"/>
                      </w:divBdr>
                      <w:divsChild>
                        <w:div w:id="83179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646783">
          <w:marLeft w:val="0"/>
          <w:marRight w:val="0"/>
          <w:marTop w:val="0"/>
          <w:marBottom w:val="150"/>
          <w:divBdr>
            <w:top w:val="none" w:sz="0" w:space="0" w:color="auto"/>
            <w:left w:val="none" w:sz="0" w:space="0" w:color="auto"/>
            <w:bottom w:val="none" w:sz="0" w:space="0" w:color="auto"/>
            <w:right w:val="none" w:sz="0" w:space="0" w:color="auto"/>
          </w:divBdr>
        </w:div>
        <w:div w:id="1284532979">
          <w:marLeft w:val="0"/>
          <w:marRight w:val="0"/>
          <w:marTop w:val="0"/>
          <w:marBottom w:val="0"/>
          <w:divBdr>
            <w:top w:val="none" w:sz="0" w:space="0" w:color="auto"/>
            <w:left w:val="none" w:sz="0" w:space="0" w:color="auto"/>
            <w:bottom w:val="none" w:sz="0" w:space="0" w:color="auto"/>
            <w:right w:val="none" w:sz="0" w:space="0" w:color="auto"/>
          </w:divBdr>
          <w:divsChild>
            <w:div w:id="48497998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47826130">
      <w:bodyDiv w:val="1"/>
      <w:marLeft w:val="0"/>
      <w:marRight w:val="0"/>
      <w:marTop w:val="0"/>
      <w:marBottom w:val="0"/>
      <w:divBdr>
        <w:top w:val="none" w:sz="0" w:space="0" w:color="auto"/>
        <w:left w:val="none" w:sz="0" w:space="0" w:color="auto"/>
        <w:bottom w:val="none" w:sz="0" w:space="0" w:color="auto"/>
        <w:right w:val="none" w:sz="0" w:space="0" w:color="auto"/>
      </w:divBdr>
      <w:divsChild>
        <w:div w:id="1516461509">
          <w:marLeft w:val="0"/>
          <w:marRight w:val="0"/>
          <w:marTop w:val="0"/>
          <w:marBottom w:val="150"/>
          <w:divBdr>
            <w:top w:val="none" w:sz="0" w:space="0" w:color="auto"/>
            <w:left w:val="none" w:sz="0" w:space="0" w:color="auto"/>
            <w:bottom w:val="none" w:sz="0" w:space="0" w:color="auto"/>
            <w:right w:val="none" w:sz="0" w:space="0" w:color="auto"/>
          </w:divBdr>
          <w:divsChild>
            <w:div w:id="2015111293">
              <w:marLeft w:val="0"/>
              <w:marRight w:val="0"/>
              <w:marTop w:val="0"/>
              <w:marBottom w:val="0"/>
              <w:divBdr>
                <w:top w:val="none" w:sz="0" w:space="0" w:color="auto"/>
                <w:left w:val="none" w:sz="0" w:space="0" w:color="auto"/>
                <w:bottom w:val="none" w:sz="0" w:space="0" w:color="auto"/>
                <w:right w:val="none" w:sz="0" w:space="0" w:color="auto"/>
              </w:divBdr>
              <w:divsChild>
                <w:div w:id="120213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929">
          <w:marLeft w:val="0"/>
          <w:marRight w:val="0"/>
          <w:marTop w:val="0"/>
          <w:marBottom w:val="150"/>
          <w:divBdr>
            <w:top w:val="none" w:sz="0" w:space="0" w:color="auto"/>
            <w:left w:val="none" w:sz="0" w:space="0" w:color="auto"/>
            <w:bottom w:val="none" w:sz="0" w:space="0" w:color="auto"/>
            <w:right w:val="none" w:sz="0" w:space="0" w:color="auto"/>
          </w:divBdr>
        </w:div>
        <w:div w:id="1095399503">
          <w:marLeft w:val="0"/>
          <w:marRight w:val="0"/>
          <w:marTop w:val="0"/>
          <w:marBottom w:val="0"/>
          <w:divBdr>
            <w:top w:val="none" w:sz="0" w:space="0" w:color="auto"/>
            <w:left w:val="none" w:sz="0" w:space="0" w:color="auto"/>
            <w:bottom w:val="none" w:sz="0" w:space="0" w:color="auto"/>
            <w:right w:val="none" w:sz="0" w:space="0" w:color="auto"/>
          </w:divBdr>
          <w:divsChild>
            <w:div w:id="16867869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48175967">
      <w:bodyDiv w:val="1"/>
      <w:marLeft w:val="0"/>
      <w:marRight w:val="0"/>
      <w:marTop w:val="0"/>
      <w:marBottom w:val="0"/>
      <w:divBdr>
        <w:top w:val="none" w:sz="0" w:space="0" w:color="auto"/>
        <w:left w:val="none" w:sz="0" w:space="0" w:color="auto"/>
        <w:bottom w:val="none" w:sz="0" w:space="0" w:color="auto"/>
        <w:right w:val="none" w:sz="0" w:space="0" w:color="auto"/>
      </w:divBdr>
      <w:divsChild>
        <w:div w:id="754131124">
          <w:marLeft w:val="0"/>
          <w:marRight w:val="0"/>
          <w:marTop w:val="0"/>
          <w:marBottom w:val="0"/>
          <w:divBdr>
            <w:top w:val="none" w:sz="0" w:space="0" w:color="auto"/>
            <w:left w:val="none" w:sz="0" w:space="0" w:color="auto"/>
            <w:bottom w:val="dotted" w:sz="6" w:space="4" w:color="DDDDDD"/>
            <w:right w:val="none" w:sz="0" w:space="0" w:color="auto"/>
          </w:divBdr>
        </w:div>
      </w:divsChild>
    </w:div>
    <w:div w:id="648706371">
      <w:bodyDiv w:val="1"/>
      <w:marLeft w:val="0"/>
      <w:marRight w:val="0"/>
      <w:marTop w:val="0"/>
      <w:marBottom w:val="0"/>
      <w:divBdr>
        <w:top w:val="none" w:sz="0" w:space="0" w:color="auto"/>
        <w:left w:val="none" w:sz="0" w:space="0" w:color="auto"/>
        <w:bottom w:val="none" w:sz="0" w:space="0" w:color="auto"/>
        <w:right w:val="none" w:sz="0" w:space="0" w:color="auto"/>
      </w:divBdr>
    </w:div>
    <w:div w:id="648828424">
      <w:bodyDiv w:val="1"/>
      <w:marLeft w:val="0"/>
      <w:marRight w:val="0"/>
      <w:marTop w:val="0"/>
      <w:marBottom w:val="0"/>
      <w:divBdr>
        <w:top w:val="none" w:sz="0" w:space="0" w:color="auto"/>
        <w:left w:val="none" w:sz="0" w:space="0" w:color="auto"/>
        <w:bottom w:val="none" w:sz="0" w:space="0" w:color="auto"/>
        <w:right w:val="none" w:sz="0" w:space="0" w:color="auto"/>
      </w:divBdr>
      <w:divsChild>
        <w:div w:id="1437363282">
          <w:marLeft w:val="0"/>
          <w:marRight w:val="0"/>
          <w:marTop w:val="0"/>
          <w:marBottom w:val="0"/>
          <w:divBdr>
            <w:top w:val="none" w:sz="0" w:space="0" w:color="auto"/>
            <w:left w:val="none" w:sz="0" w:space="0" w:color="auto"/>
            <w:bottom w:val="none" w:sz="0" w:space="0" w:color="auto"/>
            <w:right w:val="none" w:sz="0" w:space="0" w:color="auto"/>
          </w:divBdr>
          <w:divsChild>
            <w:div w:id="1897738539">
              <w:marLeft w:val="0"/>
              <w:marRight w:val="0"/>
              <w:marTop w:val="0"/>
              <w:marBottom w:val="0"/>
              <w:divBdr>
                <w:top w:val="none" w:sz="0" w:space="0" w:color="auto"/>
                <w:left w:val="none" w:sz="0" w:space="0" w:color="auto"/>
                <w:bottom w:val="none" w:sz="0" w:space="0" w:color="auto"/>
                <w:right w:val="none" w:sz="0" w:space="0" w:color="auto"/>
              </w:divBdr>
            </w:div>
          </w:divsChild>
        </w:div>
        <w:div w:id="1514565612">
          <w:marLeft w:val="0"/>
          <w:marRight w:val="0"/>
          <w:marTop w:val="0"/>
          <w:marBottom w:val="150"/>
          <w:divBdr>
            <w:top w:val="none" w:sz="0" w:space="0" w:color="auto"/>
            <w:left w:val="none" w:sz="0" w:space="0" w:color="auto"/>
            <w:bottom w:val="none" w:sz="0" w:space="0" w:color="auto"/>
            <w:right w:val="none" w:sz="0" w:space="0" w:color="auto"/>
          </w:divBdr>
        </w:div>
        <w:div w:id="1967346926">
          <w:marLeft w:val="0"/>
          <w:marRight w:val="0"/>
          <w:marTop w:val="0"/>
          <w:marBottom w:val="150"/>
          <w:divBdr>
            <w:top w:val="none" w:sz="0" w:space="0" w:color="auto"/>
            <w:left w:val="none" w:sz="0" w:space="0" w:color="auto"/>
            <w:bottom w:val="none" w:sz="0" w:space="0" w:color="auto"/>
            <w:right w:val="none" w:sz="0" w:space="0" w:color="auto"/>
          </w:divBdr>
          <w:divsChild>
            <w:div w:id="177755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943365">
      <w:bodyDiv w:val="1"/>
      <w:marLeft w:val="0"/>
      <w:marRight w:val="0"/>
      <w:marTop w:val="0"/>
      <w:marBottom w:val="0"/>
      <w:divBdr>
        <w:top w:val="none" w:sz="0" w:space="0" w:color="auto"/>
        <w:left w:val="none" w:sz="0" w:space="0" w:color="auto"/>
        <w:bottom w:val="none" w:sz="0" w:space="0" w:color="auto"/>
        <w:right w:val="none" w:sz="0" w:space="0" w:color="auto"/>
      </w:divBdr>
      <w:divsChild>
        <w:div w:id="660894532">
          <w:marLeft w:val="0"/>
          <w:marRight w:val="0"/>
          <w:marTop w:val="0"/>
          <w:marBottom w:val="0"/>
          <w:divBdr>
            <w:top w:val="none" w:sz="0" w:space="0" w:color="auto"/>
            <w:left w:val="none" w:sz="0" w:space="0" w:color="auto"/>
            <w:bottom w:val="none" w:sz="0" w:space="0" w:color="auto"/>
            <w:right w:val="none" w:sz="0" w:space="0" w:color="auto"/>
          </w:divBdr>
          <w:divsChild>
            <w:div w:id="16855091">
              <w:marLeft w:val="0"/>
              <w:marRight w:val="0"/>
              <w:marTop w:val="0"/>
              <w:marBottom w:val="225"/>
              <w:divBdr>
                <w:top w:val="none" w:sz="0" w:space="0" w:color="auto"/>
                <w:left w:val="none" w:sz="0" w:space="0" w:color="auto"/>
                <w:bottom w:val="none" w:sz="0" w:space="0" w:color="auto"/>
                <w:right w:val="none" w:sz="0" w:space="0" w:color="auto"/>
              </w:divBdr>
              <w:divsChild>
                <w:div w:id="1550335928">
                  <w:marLeft w:val="750"/>
                  <w:marRight w:val="0"/>
                  <w:marTop w:val="0"/>
                  <w:marBottom w:val="225"/>
                  <w:divBdr>
                    <w:top w:val="none" w:sz="0" w:space="0" w:color="auto"/>
                    <w:left w:val="none" w:sz="0" w:space="0" w:color="auto"/>
                    <w:bottom w:val="none" w:sz="0" w:space="0" w:color="auto"/>
                    <w:right w:val="none" w:sz="0" w:space="0" w:color="auto"/>
                  </w:divBdr>
                </w:div>
              </w:divsChild>
            </w:div>
            <w:div w:id="1268542800">
              <w:marLeft w:val="0"/>
              <w:marRight w:val="0"/>
              <w:marTop w:val="0"/>
              <w:marBottom w:val="375"/>
              <w:divBdr>
                <w:top w:val="none" w:sz="0" w:space="0" w:color="auto"/>
                <w:left w:val="none" w:sz="0" w:space="0" w:color="auto"/>
                <w:bottom w:val="none" w:sz="0" w:space="0" w:color="auto"/>
                <w:right w:val="none" w:sz="0" w:space="0" w:color="auto"/>
              </w:divBdr>
            </w:div>
            <w:div w:id="1401758124">
              <w:marLeft w:val="0"/>
              <w:marRight w:val="0"/>
              <w:marTop w:val="0"/>
              <w:marBottom w:val="225"/>
              <w:divBdr>
                <w:top w:val="none" w:sz="0" w:space="0" w:color="auto"/>
                <w:left w:val="none" w:sz="0" w:space="0" w:color="auto"/>
                <w:bottom w:val="none" w:sz="0" w:space="0" w:color="auto"/>
                <w:right w:val="none" w:sz="0" w:space="0" w:color="auto"/>
              </w:divBdr>
              <w:divsChild>
                <w:div w:id="35784962">
                  <w:marLeft w:val="0"/>
                  <w:marRight w:val="0"/>
                  <w:marTop w:val="0"/>
                  <w:marBottom w:val="150"/>
                  <w:divBdr>
                    <w:top w:val="none" w:sz="0" w:space="0" w:color="auto"/>
                    <w:left w:val="none" w:sz="0" w:space="0" w:color="auto"/>
                    <w:bottom w:val="none" w:sz="0" w:space="0" w:color="auto"/>
                    <w:right w:val="none" w:sz="0" w:space="0" w:color="auto"/>
                  </w:divBdr>
                  <w:divsChild>
                    <w:div w:id="1640839662">
                      <w:marLeft w:val="0"/>
                      <w:marRight w:val="0"/>
                      <w:marTop w:val="0"/>
                      <w:marBottom w:val="150"/>
                      <w:divBdr>
                        <w:top w:val="none" w:sz="0" w:space="0" w:color="auto"/>
                        <w:left w:val="none" w:sz="0" w:space="0" w:color="auto"/>
                        <w:bottom w:val="none" w:sz="0" w:space="0" w:color="auto"/>
                        <w:right w:val="none" w:sz="0" w:space="0" w:color="auto"/>
                      </w:divBdr>
                      <w:divsChild>
                        <w:div w:id="7297719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5297577">
                  <w:marLeft w:val="0"/>
                  <w:marRight w:val="0"/>
                  <w:marTop w:val="0"/>
                  <w:marBottom w:val="150"/>
                  <w:divBdr>
                    <w:top w:val="none" w:sz="0" w:space="0" w:color="auto"/>
                    <w:left w:val="none" w:sz="0" w:space="0" w:color="auto"/>
                    <w:bottom w:val="none" w:sz="0" w:space="0" w:color="auto"/>
                    <w:right w:val="none" w:sz="0" w:space="0" w:color="auto"/>
                  </w:divBdr>
                  <w:divsChild>
                    <w:div w:id="1152142268">
                      <w:marLeft w:val="0"/>
                      <w:marRight w:val="0"/>
                      <w:marTop w:val="0"/>
                      <w:marBottom w:val="150"/>
                      <w:divBdr>
                        <w:top w:val="none" w:sz="0" w:space="0" w:color="auto"/>
                        <w:left w:val="none" w:sz="0" w:space="0" w:color="auto"/>
                        <w:bottom w:val="none" w:sz="0" w:space="0" w:color="auto"/>
                        <w:right w:val="none" w:sz="0" w:space="0" w:color="auto"/>
                      </w:divBdr>
                      <w:divsChild>
                        <w:div w:id="6679037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1508417">
                  <w:marLeft w:val="0"/>
                  <w:marRight w:val="0"/>
                  <w:marTop w:val="0"/>
                  <w:marBottom w:val="150"/>
                  <w:divBdr>
                    <w:top w:val="none" w:sz="0" w:space="0" w:color="auto"/>
                    <w:left w:val="none" w:sz="0" w:space="0" w:color="auto"/>
                    <w:bottom w:val="none" w:sz="0" w:space="0" w:color="auto"/>
                    <w:right w:val="none" w:sz="0" w:space="0" w:color="auto"/>
                  </w:divBdr>
                </w:div>
                <w:div w:id="480344568">
                  <w:marLeft w:val="0"/>
                  <w:marRight w:val="0"/>
                  <w:marTop w:val="0"/>
                  <w:marBottom w:val="150"/>
                  <w:divBdr>
                    <w:top w:val="none" w:sz="0" w:space="0" w:color="auto"/>
                    <w:left w:val="none" w:sz="0" w:space="0" w:color="auto"/>
                    <w:bottom w:val="none" w:sz="0" w:space="0" w:color="auto"/>
                    <w:right w:val="none" w:sz="0" w:space="0" w:color="auto"/>
                  </w:divBdr>
                </w:div>
                <w:div w:id="914584950">
                  <w:marLeft w:val="0"/>
                  <w:marRight w:val="0"/>
                  <w:marTop w:val="0"/>
                  <w:marBottom w:val="150"/>
                  <w:divBdr>
                    <w:top w:val="none" w:sz="0" w:space="0" w:color="auto"/>
                    <w:left w:val="none" w:sz="0" w:space="0" w:color="auto"/>
                    <w:bottom w:val="none" w:sz="0" w:space="0" w:color="auto"/>
                    <w:right w:val="none" w:sz="0" w:space="0" w:color="auto"/>
                  </w:divBdr>
                </w:div>
                <w:div w:id="978727946">
                  <w:marLeft w:val="0"/>
                  <w:marRight w:val="0"/>
                  <w:marTop w:val="0"/>
                  <w:marBottom w:val="150"/>
                  <w:divBdr>
                    <w:top w:val="none" w:sz="0" w:space="0" w:color="auto"/>
                    <w:left w:val="none" w:sz="0" w:space="0" w:color="auto"/>
                    <w:bottom w:val="none" w:sz="0" w:space="0" w:color="auto"/>
                    <w:right w:val="none" w:sz="0" w:space="0" w:color="auto"/>
                  </w:divBdr>
                  <w:divsChild>
                    <w:div w:id="214049926">
                      <w:marLeft w:val="0"/>
                      <w:marRight w:val="0"/>
                      <w:marTop w:val="0"/>
                      <w:marBottom w:val="150"/>
                      <w:divBdr>
                        <w:top w:val="none" w:sz="0" w:space="0" w:color="auto"/>
                        <w:left w:val="none" w:sz="0" w:space="0" w:color="auto"/>
                        <w:bottom w:val="none" w:sz="0" w:space="0" w:color="auto"/>
                        <w:right w:val="none" w:sz="0" w:space="0" w:color="auto"/>
                      </w:divBdr>
                      <w:divsChild>
                        <w:div w:id="130569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21663">
                  <w:marLeft w:val="0"/>
                  <w:marRight w:val="0"/>
                  <w:marTop w:val="0"/>
                  <w:marBottom w:val="150"/>
                  <w:divBdr>
                    <w:top w:val="none" w:sz="0" w:space="0" w:color="auto"/>
                    <w:left w:val="none" w:sz="0" w:space="0" w:color="auto"/>
                    <w:bottom w:val="none" w:sz="0" w:space="0" w:color="auto"/>
                    <w:right w:val="none" w:sz="0" w:space="0" w:color="auto"/>
                  </w:divBdr>
                </w:div>
                <w:div w:id="1252852829">
                  <w:marLeft w:val="0"/>
                  <w:marRight w:val="0"/>
                  <w:marTop w:val="0"/>
                  <w:marBottom w:val="150"/>
                  <w:divBdr>
                    <w:top w:val="none" w:sz="0" w:space="0" w:color="auto"/>
                    <w:left w:val="none" w:sz="0" w:space="0" w:color="auto"/>
                    <w:bottom w:val="none" w:sz="0" w:space="0" w:color="auto"/>
                    <w:right w:val="none" w:sz="0" w:space="0" w:color="auto"/>
                  </w:divBdr>
                </w:div>
                <w:div w:id="1276139235">
                  <w:marLeft w:val="0"/>
                  <w:marRight w:val="0"/>
                  <w:marTop w:val="0"/>
                  <w:marBottom w:val="150"/>
                  <w:divBdr>
                    <w:top w:val="none" w:sz="0" w:space="0" w:color="auto"/>
                    <w:left w:val="none" w:sz="0" w:space="0" w:color="auto"/>
                    <w:bottom w:val="none" w:sz="0" w:space="0" w:color="auto"/>
                    <w:right w:val="none" w:sz="0" w:space="0" w:color="auto"/>
                  </w:divBdr>
                </w:div>
                <w:div w:id="2004896394">
                  <w:marLeft w:val="0"/>
                  <w:marRight w:val="0"/>
                  <w:marTop w:val="0"/>
                  <w:marBottom w:val="150"/>
                  <w:divBdr>
                    <w:top w:val="none" w:sz="0" w:space="0" w:color="auto"/>
                    <w:left w:val="none" w:sz="0" w:space="0" w:color="auto"/>
                    <w:bottom w:val="none" w:sz="0" w:space="0" w:color="auto"/>
                    <w:right w:val="none" w:sz="0" w:space="0" w:color="auto"/>
                  </w:divBdr>
                </w:div>
                <w:div w:id="20599326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51184591">
          <w:marLeft w:val="0"/>
          <w:marRight w:val="0"/>
          <w:marTop w:val="0"/>
          <w:marBottom w:val="150"/>
          <w:divBdr>
            <w:top w:val="none" w:sz="0" w:space="0" w:color="auto"/>
            <w:left w:val="none" w:sz="0" w:space="0" w:color="auto"/>
            <w:bottom w:val="none" w:sz="0" w:space="0" w:color="auto"/>
            <w:right w:val="none" w:sz="0" w:space="0" w:color="auto"/>
          </w:divBdr>
        </w:div>
        <w:div w:id="1597711975">
          <w:marLeft w:val="-9765"/>
          <w:marRight w:val="0"/>
          <w:marTop w:val="0"/>
          <w:marBottom w:val="0"/>
          <w:divBdr>
            <w:top w:val="none" w:sz="0" w:space="0" w:color="auto"/>
            <w:left w:val="none" w:sz="0" w:space="0" w:color="auto"/>
            <w:bottom w:val="none" w:sz="0" w:space="0" w:color="auto"/>
            <w:right w:val="none" w:sz="0" w:space="0" w:color="auto"/>
          </w:divBdr>
        </w:div>
      </w:divsChild>
    </w:div>
    <w:div w:id="648945811">
      <w:bodyDiv w:val="1"/>
      <w:marLeft w:val="0"/>
      <w:marRight w:val="0"/>
      <w:marTop w:val="0"/>
      <w:marBottom w:val="0"/>
      <w:divBdr>
        <w:top w:val="none" w:sz="0" w:space="0" w:color="auto"/>
        <w:left w:val="none" w:sz="0" w:space="0" w:color="auto"/>
        <w:bottom w:val="none" w:sz="0" w:space="0" w:color="auto"/>
        <w:right w:val="none" w:sz="0" w:space="0" w:color="auto"/>
      </w:divBdr>
      <w:divsChild>
        <w:div w:id="369694232">
          <w:marLeft w:val="0"/>
          <w:marRight w:val="0"/>
          <w:marTop w:val="0"/>
          <w:marBottom w:val="0"/>
          <w:divBdr>
            <w:top w:val="none" w:sz="0" w:space="0" w:color="auto"/>
            <w:left w:val="none" w:sz="0" w:space="0" w:color="auto"/>
            <w:bottom w:val="none" w:sz="0" w:space="0" w:color="auto"/>
            <w:right w:val="none" w:sz="0" w:space="0" w:color="auto"/>
          </w:divBdr>
          <w:divsChild>
            <w:div w:id="89619982">
              <w:marLeft w:val="0"/>
              <w:marRight w:val="0"/>
              <w:marTop w:val="0"/>
              <w:marBottom w:val="0"/>
              <w:divBdr>
                <w:top w:val="none" w:sz="0" w:space="0" w:color="auto"/>
                <w:left w:val="none" w:sz="0" w:space="0" w:color="auto"/>
                <w:bottom w:val="none" w:sz="0" w:space="0" w:color="auto"/>
                <w:right w:val="none" w:sz="0" w:space="0" w:color="auto"/>
              </w:divBdr>
              <w:divsChild>
                <w:div w:id="1291715327">
                  <w:marLeft w:val="0"/>
                  <w:marRight w:val="0"/>
                  <w:marTop w:val="0"/>
                  <w:marBottom w:val="0"/>
                  <w:divBdr>
                    <w:top w:val="none" w:sz="0" w:space="0" w:color="auto"/>
                    <w:left w:val="none" w:sz="0" w:space="0" w:color="auto"/>
                    <w:bottom w:val="none" w:sz="0" w:space="0" w:color="auto"/>
                    <w:right w:val="none" w:sz="0" w:space="0" w:color="auto"/>
                  </w:divBdr>
                  <w:divsChild>
                    <w:div w:id="650259601">
                      <w:marLeft w:val="0"/>
                      <w:marRight w:val="0"/>
                      <w:marTop w:val="0"/>
                      <w:marBottom w:val="0"/>
                      <w:divBdr>
                        <w:top w:val="none" w:sz="0" w:space="0" w:color="auto"/>
                        <w:left w:val="none" w:sz="0" w:space="0" w:color="auto"/>
                        <w:bottom w:val="none" w:sz="0" w:space="0" w:color="auto"/>
                        <w:right w:val="none" w:sz="0" w:space="0" w:color="auto"/>
                      </w:divBdr>
                      <w:divsChild>
                        <w:div w:id="2146001361">
                          <w:marLeft w:val="0"/>
                          <w:marRight w:val="0"/>
                          <w:marTop w:val="0"/>
                          <w:marBottom w:val="0"/>
                          <w:divBdr>
                            <w:top w:val="none" w:sz="0" w:space="0" w:color="auto"/>
                            <w:left w:val="none" w:sz="0" w:space="0" w:color="auto"/>
                            <w:bottom w:val="none" w:sz="0" w:space="0" w:color="auto"/>
                            <w:right w:val="none" w:sz="0" w:space="0" w:color="auto"/>
                          </w:divBdr>
                          <w:divsChild>
                            <w:div w:id="1603030038">
                              <w:marLeft w:val="0"/>
                              <w:marRight w:val="0"/>
                              <w:marTop w:val="0"/>
                              <w:marBottom w:val="0"/>
                              <w:divBdr>
                                <w:top w:val="none" w:sz="0" w:space="0" w:color="auto"/>
                                <w:left w:val="none" w:sz="0" w:space="0" w:color="auto"/>
                                <w:bottom w:val="none" w:sz="0" w:space="0" w:color="auto"/>
                                <w:right w:val="none" w:sz="0" w:space="0" w:color="auto"/>
                              </w:divBdr>
                              <w:divsChild>
                                <w:div w:id="1059404042">
                                  <w:marLeft w:val="0"/>
                                  <w:marRight w:val="0"/>
                                  <w:marTop w:val="0"/>
                                  <w:marBottom w:val="0"/>
                                  <w:divBdr>
                                    <w:top w:val="none" w:sz="0" w:space="0" w:color="auto"/>
                                    <w:left w:val="none" w:sz="0" w:space="0" w:color="auto"/>
                                    <w:bottom w:val="none" w:sz="0" w:space="0" w:color="auto"/>
                                    <w:right w:val="none" w:sz="0" w:space="0" w:color="auto"/>
                                  </w:divBdr>
                                  <w:divsChild>
                                    <w:div w:id="45934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9791607">
      <w:bodyDiv w:val="1"/>
      <w:marLeft w:val="0"/>
      <w:marRight w:val="0"/>
      <w:marTop w:val="0"/>
      <w:marBottom w:val="0"/>
      <w:divBdr>
        <w:top w:val="none" w:sz="0" w:space="0" w:color="auto"/>
        <w:left w:val="none" w:sz="0" w:space="0" w:color="auto"/>
        <w:bottom w:val="none" w:sz="0" w:space="0" w:color="auto"/>
        <w:right w:val="none" w:sz="0" w:space="0" w:color="auto"/>
      </w:divBdr>
    </w:div>
    <w:div w:id="649797794">
      <w:bodyDiv w:val="1"/>
      <w:marLeft w:val="0"/>
      <w:marRight w:val="0"/>
      <w:marTop w:val="0"/>
      <w:marBottom w:val="0"/>
      <w:divBdr>
        <w:top w:val="none" w:sz="0" w:space="0" w:color="auto"/>
        <w:left w:val="none" w:sz="0" w:space="0" w:color="auto"/>
        <w:bottom w:val="none" w:sz="0" w:space="0" w:color="auto"/>
        <w:right w:val="none" w:sz="0" w:space="0" w:color="auto"/>
      </w:divBdr>
      <w:divsChild>
        <w:div w:id="518587293">
          <w:marLeft w:val="0"/>
          <w:marRight w:val="0"/>
          <w:marTop w:val="0"/>
          <w:marBottom w:val="0"/>
          <w:divBdr>
            <w:top w:val="none" w:sz="0" w:space="0" w:color="auto"/>
            <w:left w:val="none" w:sz="0" w:space="0" w:color="auto"/>
            <w:bottom w:val="dotted" w:sz="6" w:space="4" w:color="DDDDDD"/>
            <w:right w:val="none" w:sz="0" w:space="0" w:color="auto"/>
          </w:divBdr>
          <w:divsChild>
            <w:div w:id="205816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061211">
      <w:bodyDiv w:val="1"/>
      <w:marLeft w:val="0"/>
      <w:marRight w:val="0"/>
      <w:marTop w:val="0"/>
      <w:marBottom w:val="0"/>
      <w:divBdr>
        <w:top w:val="none" w:sz="0" w:space="0" w:color="auto"/>
        <w:left w:val="none" w:sz="0" w:space="0" w:color="auto"/>
        <w:bottom w:val="none" w:sz="0" w:space="0" w:color="auto"/>
        <w:right w:val="none" w:sz="0" w:space="0" w:color="auto"/>
      </w:divBdr>
      <w:divsChild>
        <w:div w:id="883980186">
          <w:marLeft w:val="0"/>
          <w:marRight w:val="0"/>
          <w:marTop w:val="0"/>
          <w:marBottom w:val="150"/>
          <w:divBdr>
            <w:top w:val="none" w:sz="0" w:space="0" w:color="auto"/>
            <w:left w:val="none" w:sz="0" w:space="0" w:color="auto"/>
            <w:bottom w:val="none" w:sz="0" w:space="0" w:color="auto"/>
            <w:right w:val="none" w:sz="0" w:space="0" w:color="auto"/>
          </w:divBdr>
        </w:div>
        <w:div w:id="1269970619">
          <w:marLeft w:val="0"/>
          <w:marRight w:val="0"/>
          <w:marTop w:val="0"/>
          <w:marBottom w:val="150"/>
          <w:divBdr>
            <w:top w:val="none" w:sz="0" w:space="0" w:color="auto"/>
            <w:left w:val="none" w:sz="0" w:space="0" w:color="auto"/>
            <w:bottom w:val="none" w:sz="0" w:space="0" w:color="auto"/>
            <w:right w:val="none" w:sz="0" w:space="0" w:color="auto"/>
          </w:divBdr>
          <w:divsChild>
            <w:div w:id="411321511">
              <w:marLeft w:val="0"/>
              <w:marRight w:val="0"/>
              <w:marTop w:val="0"/>
              <w:marBottom w:val="0"/>
              <w:divBdr>
                <w:top w:val="none" w:sz="0" w:space="0" w:color="auto"/>
                <w:left w:val="none" w:sz="0" w:space="0" w:color="auto"/>
                <w:bottom w:val="none" w:sz="0" w:space="0" w:color="auto"/>
                <w:right w:val="none" w:sz="0" w:space="0" w:color="auto"/>
              </w:divBdr>
            </w:div>
          </w:divsChild>
        </w:div>
        <w:div w:id="1707411671">
          <w:marLeft w:val="0"/>
          <w:marRight w:val="0"/>
          <w:marTop w:val="0"/>
          <w:marBottom w:val="0"/>
          <w:divBdr>
            <w:top w:val="none" w:sz="0" w:space="0" w:color="auto"/>
            <w:left w:val="none" w:sz="0" w:space="0" w:color="auto"/>
            <w:bottom w:val="none" w:sz="0" w:space="0" w:color="auto"/>
            <w:right w:val="none" w:sz="0" w:space="0" w:color="auto"/>
          </w:divBdr>
          <w:divsChild>
            <w:div w:id="208949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255682">
      <w:bodyDiv w:val="1"/>
      <w:marLeft w:val="0"/>
      <w:marRight w:val="0"/>
      <w:marTop w:val="0"/>
      <w:marBottom w:val="0"/>
      <w:divBdr>
        <w:top w:val="none" w:sz="0" w:space="0" w:color="auto"/>
        <w:left w:val="none" w:sz="0" w:space="0" w:color="auto"/>
        <w:bottom w:val="none" w:sz="0" w:space="0" w:color="auto"/>
        <w:right w:val="none" w:sz="0" w:space="0" w:color="auto"/>
      </w:divBdr>
      <w:divsChild>
        <w:div w:id="748385449">
          <w:marLeft w:val="0"/>
          <w:marRight w:val="0"/>
          <w:marTop w:val="0"/>
          <w:marBottom w:val="0"/>
          <w:divBdr>
            <w:top w:val="none" w:sz="0" w:space="0" w:color="auto"/>
            <w:left w:val="none" w:sz="0" w:space="0" w:color="auto"/>
            <w:bottom w:val="dotted" w:sz="6" w:space="4" w:color="DDDDDD"/>
            <w:right w:val="none" w:sz="0" w:space="0" w:color="auto"/>
          </w:divBdr>
        </w:div>
      </w:divsChild>
    </w:div>
    <w:div w:id="650645394">
      <w:bodyDiv w:val="1"/>
      <w:marLeft w:val="0"/>
      <w:marRight w:val="0"/>
      <w:marTop w:val="0"/>
      <w:marBottom w:val="0"/>
      <w:divBdr>
        <w:top w:val="none" w:sz="0" w:space="0" w:color="auto"/>
        <w:left w:val="none" w:sz="0" w:space="0" w:color="auto"/>
        <w:bottom w:val="none" w:sz="0" w:space="0" w:color="auto"/>
        <w:right w:val="none" w:sz="0" w:space="0" w:color="auto"/>
      </w:divBdr>
      <w:divsChild>
        <w:div w:id="839468845">
          <w:marLeft w:val="0"/>
          <w:marRight w:val="0"/>
          <w:marTop w:val="0"/>
          <w:marBottom w:val="0"/>
          <w:divBdr>
            <w:top w:val="none" w:sz="0" w:space="0" w:color="auto"/>
            <w:left w:val="none" w:sz="0" w:space="0" w:color="auto"/>
            <w:bottom w:val="none" w:sz="0" w:space="0" w:color="auto"/>
            <w:right w:val="none" w:sz="0" w:space="0" w:color="auto"/>
          </w:divBdr>
          <w:divsChild>
            <w:div w:id="1975210555">
              <w:marLeft w:val="0"/>
              <w:marRight w:val="0"/>
              <w:marTop w:val="0"/>
              <w:marBottom w:val="0"/>
              <w:divBdr>
                <w:top w:val="none" w:sz="0" w:space="0" w:color="auto"/>
                <w:left w:val="none" w:sz="0" w:space="0" w:color="auto"/>
                <w:bottom w:val="none" w:sz="0" w:space="0" w:color="auto"/>
                <w:right w:val="none" w:sz="0" w:space="0" w:color="auto"/>
              </w:divBdr>
              <w:divsChild>
                <w:div w:id="1127554393">
                  <w:marLeft w:val="0"/>
                  <w:marRight w:val="0"/>
                  <w:marTop w:val="0"/>
                  <w:marBottom w:val="0"/>
                  <w:divBdr>
                    <w:top w:val="none" w:sz="0" w:space="0" w:color="auto"/>
                    <w:left w:val="none" w:sz="0" w:space="0" w:color="auto"/>
                    <w:bottom w:val="none" w:sz="0" w:space="0" w:color="auto"/>
                    <w:right w:val="none" w:sz="0" w:space="0" w:color="auto"/>
                  </w:divBdr>
                  <w:divsChild>
                    <w:div w:id="863177223">
                      <w:marLeft w:val="0"/>
                      <w:marRight w:val="0"/>
                      <w:marTop w:val="0"/>
                      <w:marBottom w:val="0"/>
                      <w:divBdr>
                        <w:top w:val="none" w:sz="0" w:space="0" w:color="auto"/>
                        <w:left w:val="none" w:sz="0" w:space="0" w:color="auto"/>
                        <w:bottom w:val="none" w:sz="0" w:space="0" w:color="auto"/>
                        <w:right w:val="none" w:sz="0" w:space="0" w:color="auto"/>
                      </w:divBdr>
                      <w:divsChild>
                        <w:div w:id="1313633543">
                          <w:marLeft w:val="0"/>
                          <w:marRight w:val="0"/>
                          <w:marTop w:val="0"/>
                          <w:marBottom w:val="0"/>
                          <w:divBdr>
                            <w:top w:val="none" w:sz="0" w:space="0" w:color="auto"/>
                            <w:left w:val="none" w:sz="0" w:space="0" w:color="auto"/>
                            <w:bottom w:val="none" w:sz="0" w:space="0" w:color="auto"/>
                            <w:right w:val="none" w:sz="0" w:space="0" w:color="auto"/>
                          </w:divBdr>
                          <w:divsChild>
                            <w:div w:id="856114450">
                              <w:marLeft w:val="0"/>
                              <w:marRight w:val="0"/>
                              <w:marTop w:val="0"/>
                              <w:marBottom w:val="0"/>
                              <w:divBdr>
                                <w:top w:val="none" w:sz="0" w:space="0" w:color="auto"/>
                                <w:left w:val="none" w:sz="0" w:space="0" w:color="auto"/>
                                <w:bottom w:val="none" w:sz="0" w:space="0" w:color="auto"/>
                                <w:right w:val="none" w:sz="0" w:space="0" w:color="auto"/>
                              </w:divBdr>
                              <w:divsChild>
                                <w:div w:id="1191723150">
                                  <w:marLeft w:val="0"/>
                                  <w:marRight w:val="0"/>
                                  <w:marTop w:val="0"/>
                                  <w:marBottom w:val="0"/>
                                  <w:divBdr>
                                    <w:top w:val="none" w:sz="0" w:space="0" w:color="auto"/>
                                    <w:left w:val="none" w:sz="0" w:space="0" w:color="auto"/>
                                    <w:bottom w:val="none" w:sz="0" w:space="0" w:color="auto"/>
                                    <w:right w:val="none" w:sz="0" w:space="0" w:color="auto"/>
                                  </w:divBdr>
                                  <w:divsChild>
                                    <w:div w:id="55281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0910069">
      <w:bodyDiv w:val="1"/>
      <w:marLeft w:val="0"/>
      <w:marRight w:val="0"/>
      <w:marTop w:val="0"/>
      <w:marBottom w:val="0"/>
      <w:divBdr>
        <w:top w:val="none" w:sz="0" w:space="0" w:color="auto"/>
        <w:left w:val="none" w:sz="0" w:space="0" w:color="auto"/>
        <w:bottom w:val="none" w:sz="0" w:space="0" w:color="auto"/>
        <w:right w:val="none" w:sz="0" w:space="0" w:color="auto"/>
      </w:divBdr>
    </w:div>
    <w:div w:id="651442772">
      <w:bodyDiv w:val="1"/>
      <w:marLeft w:val="0"/>
      <w:marRight w:val="0"/>
      <w:marTop w:val="0"/>
      <w:marBottom w:val="0"/>
      <w:divBdr>
        <w:top w:val="none" w:sz="0" w:space="0" w:color="auto"/>
        <w:left w:val="none" w:sz="0" w:space="0" w:color="auto"/>
        <w:bottom w:val="none" w:sz="0" w:space="0" w:color="auto"/>
        <w:right w:val="none" w:sz="0" w:space="0" w:color="auto"/>
      </w:divBdr>
      <w:divsChild>
        <w:div w:id="1711757109">
          <w:marLeft w:val="0"/>
          <w:marRight w:val="0"/>
          <w:marTop w:val="0"/>
          <w:marBottom w:val="150"/>
          <w:divBdr>
            <w:top w:val="none" w:sz="0" w:space="0" w:color="auto"/>
            <w:left w:val="none" w:sz="0" w:space="0" w:color="auto"/>
            <w:bottom w:val="none" w:sz="0" w:space="0" w:color="auto"/>
            <w:right w:val="none" w:sz="0" w:space="0" w:color="auto"/>
          </w:divBdr>
        </w:div>
      </w:divsChild>
    </w:div>
    <w:div w:id="652179401">
      <w:bodyDiv w:val="1"/>
      <w:marLeft w:val="0"/>
      <w:marRight w:val="0"/>
      <w:marTop w:val="0"/>
      <w:marBottom w:val="0"/>
      <w:divBdr>
        <w:top w:val="none" w:sz="0" w:space="0" w:color="auto"/>
        <w:left w:val="none" w:sz="0" w:space="0" w:color="auto"/>
        <w:bottom w:val="none" w:sz="0" w:space="0" w:color="auto"/>
        <w:right w:val="none" w:sz="0" w:space="0" w:color="auto"/>
      </w:divBdr>
      <w:divsChild>
        <w:div w:id="1193958437">
          <w:marLeft w:val="0"/>
          <w:marRight w:val="0"/>
          <w:marTop w:val="0"/>
          <w:marBottom w:val="150"/>
          <w:divBdr>
            <w:top w:val="none" w:sz="0" w:space="0" w:color="auto"/>
            <w:left w:val="none" w:sz="0" w:space="0" w:color="auto"/>
            <w:bottom w:val="none" w:sz="0" w:space="0" w:color="auto"/>
            <w:right w:val="none" w:sz="0" w:space="0" w:color="auto"/>
          </w:divBdr>
        </w:div>
      </w:divsChild>
    </w:div>
    <w:div w:id="653074096">
      <w:bodyDiv w:val="1"/>
      <w:marLeft w:val="0"/>
      <w:marRight w:val="0"/>
      <w:marTop w:val="0"/>
      <w:marBottom w:val="0"/>
      <w:divBdr>
        <w:top w:val="none" w:sz="0" w:space="0" w:color="auto"/>
        <w:left w:val="none" w:sz="0" w:space="0" w:color="auto"/>
        <w:bottom w:val="none" w:sz="0" w:space="0" w:color="auto"/>
        <w:right w:val="none" w:sz="0" w:space="0" w:color="auto"/>
      </w:divBdr>
    </w:div>
    <w:div w:id="653148607">
      <w:bodyDiv w:val="1"/>
      <w:marLeft w:val="0"/>
      <w:marRight w:val="0"/>
      <w:marTop w:val="0"/>
      <w:marBottom w:val="0"/>
      <w:divBdr>
        <w:top w:val="none" w:sz="0" w:space="0" w:color="auto"/>
        <w:left w:val="none" w:sz="0" w:space="0" w:color="auto"/>
        <w:bottom w:val="none" w:sz="0" w:space="0" w:color="auto"/>
        <w:right w:val="none" w:sz="0" w:space="0" w:color="auto"/>
      </w:divBdr>
      <w:divsChild>
        <w:div w:id="1951622044">
          <w:marLeft w:val="0"/>
          <w:marRight w:val="0"/>
          <w:marTop w:val="0"/>
          <w:marBottom w:val="225"/>
          <w:divBdr>
            <w:top w:val="none" w:sz="0" w:space="0" w:color="auto"/>
            <w:left w:val="none" w:sz="0" w:space="0" w:color="auto"/>
            <w:bottom w:val="none" w:sz="0" w:space="0" w:color="auto"/>
            <w:right w:val="none" w:sz="0" w:space="0" w:color="auto"/>
          </w:divBdr>
        </w:div>
        <w:div w:id="58870959">
          <w:marLeft w:val="0"/>
          <w:marRight w:val="0"/>
          <w:marTop w:val="0"/>
          <w:marBottom w:val="225"/>
          <w:divBdr>
            <w:top w:val="none" w:sz="0" w:space="0" w:color="auto"/>
            <w:left w:val="none" w:sz="0" w:space="0" w:color="auto"/>
            <w:bottom w:val="none" w:sz="0" w:space="0" w:color="auto"/>
            <w:right w:val="none" w:sz="0" w:space="0" w:color="auto"/>
          </w:divBdr>
          <w:divsChild>
            <w:div w:id="1917937881">
              <w:marLeft w:val="0"/>
              <w:marRight w:val="300"/>
              <w:marTop w:val="0"/>
              <w:marBottom w:val="0"/>
              <w:divBdr>
                <w:top w:val="none" w:sz="0" w:space="0" w:color="auto"/>
                <w:left w:val="none" w:sz="0" w:space="0" w:color="auto"/>
                <w:bottom w:val="none" w:sz="0" w:space="0" w:color="auto"/>
                <w:right w:val="none" w:sz="0" w:space="0" w:color="auto"/>
              </w:divBdr>
            </w:div>
          </w:divsChild>
        </w:div>
        <w:div w:id="1864395688">
          <w:marLeft w:val="0"/>
          <w:marRight w:val="0"/>
          <w:marTop w:val="0"/>
          <w:marBottom w:val="225"/>
          <w:divBdr>
            <w:top w:val="none" w:sz="0" w:space="0" w:color="auto"/>
            <w:left w:val="none" w:sz="0" w:space="0" w:color="auto"/>
            <w:bottom w:val="none" w:sz="0" w:space="0" w:color="auto"/>
            <w:right w:val="none" w:sz="0" w:space="0" w:color="auto"/>
          </w:divBdr>
        </w:div>
        <w:div w:id="588973669">
          <w:marLeft w:val="0"/>
          <w:marRight w:val="0"/>
          <w:marTop w:val="0"/>
          <w:marBottom w:val="225"/>
          <w:divBdr>
            <w:top w:val="none" w:sz="0" w:space="0" w:color="auto"/>
            <w:left w:val="none" w:sz="0" w:space="0" w:color="auto"/>
            <w:bottom w:val="none" w:sz="0" w:space="0" w:color="auto"/>
            <w:right w:val="none" w:sz="0" w:space="0" w:color="auto"/>
          </w:divBdr>
        </w:div>
        <w:div w:id="1471900382">
          <w:marLeft w:val="0"/>
          <w:marRight w:val="0"/>
          <w:marTop w:val="0"/>
          <w:marBottom w:val="225"/>
          <w:divBdr>
            <w:top w:val="none" w:sz="0" w:space="0" w:color="auto"/>
            <w:left w:val="none" w:sz="0" w:space="0" w:color="auto"/>
            <w:bottom w:val="none" w:sz="0" w:space="0" w:color="auto"/>
            <w:right w:val="none" w:sz="0" w:space="0" w:color="auto"/>
          </w:divBdr>
        </w:div>
      </w:divsChild>
    </w:div>
    <w:div w:id="653416300">
      <w:bodyDiv w:val="1"/>
      <w:marLeft w:val="0"/>
      <w:marRight w:val="0"/>
      <w:marTop w:val="0"/>
      <w:marBottom w:val="0"/>
      <w:divBdr>
        <w:top w:val="none" w:sz="0" w:space="0" w:color="auto"/>
        <w:left w:val="none" w:sz="0" w:space="0" w:color="auto"/>
        <w:bottom w:val="none" w:sz="0" w:space="0" w:color="auto"/>
        <w:right w:val="none" w:sz="0" w:space="0" w:color="auto"/>
      </w:divBdr>
      <w:divsChild>
        <w:div w:id="1764839938">
          <w:marLeft w:val="0"/>
          <w:marRight w:val="0"/>
          <w:marTop w:val="0"/>
          <w:marBottom w:val="0"/>
          <w:divBdr>
            <w:top w:val="none" w:sz="0" w:space="0" w:color="auto"/>
            <w:left w:val="none" w:sz="0" w:space="0" w:color="auto"/>
            <w:bottom w:val="none" w:sz="0" w:space="0" w:color="auto"/>
            <w:right w:val="none" w:sz="0" w:space="0" w:color="auto"/>
          </w:divBdr>
          <w:divsChild>
            <w:div w:id="1812400074">
              <w:marLeft w:val="0"/>
              <w:marRight w:val="0"/>
              <w:marTop w:val="0"/>
              <w:marBottom w:val="0"/>
              <w:divBdr>
                <w:top w:val="none" w:sz="0" w:space="0" w:color="auto"/>
                <w:left w:val="none" w:sz="0" w:space="0" w:color="auto"/>
                <w:bottom w:val="none" w:sz="0" w:space="0" w:color="auto"/>
                <w:right w:val="none" w:sz="0" w:space="0" w:color="auto"/>
              </w:divBdr>
              <w:divsChild>
                <w:div w:id="1616596600">
                  <w:marLeft w:val="30"/>
                  <w:marRight w:val="30"/>
                  <w:marTop w:val="0"/>
                  <w:marBottom w:val="0"/>
                  <w:divBdr>
                    <w:top w:val="none" w:sz="0" w:space="0" w:color="auto"/>
                    <w:left w:val="none" w:sz="0" w:space="0" w:color="auto"/>
                    <w:bottom w:val="none" w:sz="0" w:space="0" w:color="auto"/>
                    <w:right w:val="none" w:sz="0" w:space="0" w:color="auto"/>
                  </w:divBdr>
                  <w:divsChild>
                    <w:div w:id="2010595248">
                      <w:marLeft w:val="0"/>
                      <w:marRight w:val="0"/>
                      <w:marTop w:val="0"/>
                      <w:marBottom w:val="0"/>
                      <w:divBdr>
                        <w:top w:val="none" w:sz="0" w:space="0" w:color="auto"/>
                        <w:left w:val="none" w:sz="0" w:space="0" w:color="auto"/>
                        <w:bottom w:val="none" w:sz="0" w:space="0" w:color="auto"/>
                        <w:right w:val="none" w:sz="0" w:space="0" w:color="auto"/>
                      </w:divBdr>
                      <w:divsChild>
                        <w:div w:id="189754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3725186">
      <w:bodyDiv w:val="1"/>
      <w:marLeft w:val="0"/>
      <w:marRight w:val="0"/>
      <w:marTop w:val="0"/>
      <w:marBottom w:val="0"/>
      <w:divBdr>
        <w:top w:val="none" w:sz="0" w:space="0" w:color="auto"/>
        <w:left w:val="none" w:sz="0" w:space="0" w:color="auto"/>
        <w:bottom w:val="none" w:sz="0" w:space="0" w:color="auto"/>
        <w:right w:val="none" w:sz="0" w:space="0" w:color="auto"/>
      </w:divBdr>
      <w:divsChild>
        <w:div w:id="998077703">
          <w:marLeft w:val="0"/>
          <w:marRight w:val="0"/>
          <w:marTop w:val="0"/>
          <w:marBottom w:val="0"/>
          <w:divBdr>
            <w:top w:val="none" w:sz="0" w:space="0" w:color="auto"/>
            <w:left w:val="none" w:sz="0" w:space="0" w:color="auto"/>
            <w:bottom w:val="none" w:sz="0" w:space="0" w:color="auto"/>
            <w:right w:val="none" w:sz="0" w:space="0" w:color="auto"/>
          </w:divBdr>
        </w:div>
      </w:divsChild>
    </w:div>
    <w:div w:id="653988703">
      <w:bodyDiv w:val="1"/>
      <w:marLeft w:val="0"/>
      <w:marRight w:val="0"/>
      <w:marTop w:val="0"/>
      <w:marBottom w:val="0"/>
      <w:divBdr>
        <w:top w:val="none" w:sz="0" w:space="0" w:color="auto"/>
        <w:left w:val="none" w:sz="0" w:space="0" w:color="auto"/>
        <w:bottom w:val="none" w:sz="0" w:space="0" w:color="auto"/>
        <w:right w:val="none" w:sz="0" w:space="0" w:color="auto"/>
      </w:divBdr>
    </w:div>
    <w:div w:id="654727779">
      <w:bodyDiv w:val="1"/>
      <w:marLeft w:val="0"/>
      <w:marRight w:val="0"/>
      <w:marTop w:val="0"/>
      <w:marBottom w:val="0"/>
      <w:divBdr>
        <w:top w:val="none" w:sz="0" w:space="0" w:color="auto"/>
        <w:left w:val="none" w:sz="0" w:space="0" w:color="auto"/>
        <w:bottom w:val="none" w:sz="0" w:space="0" w:color="auto"/>
        <w:right w:val="none" w:sz="0" w:space="0" w:color="auto"/>
      </w:divBdr>
      <w:divsChild>
        <w:div w:id="1742558759">
          <w:marLeft w:val="0"/>
          <w:marRight w:val="0"/>
          <w:marTop w:val="0"/>
          <w:marBottom w:val="0"/>
          <w:divBdr>
            <w:top w:val="none" w:sz="0" w:space="0" w:color="auto"/>
            <w:left w:val="none" w:sz="0" w:space="0" w:color="auto"/>
            <w:bottom w:val="dotted" w:sz="6" w:space="4" w:color="DDDDDD"/>
            <w:right w:val="none" w:sz="0" w:space="0" w:color="auto"/>
          </w:divBdr>
        </w:div>
      </w:divsChild>
    </w:div>
    <w:div w:id="656693283">
      <w:bodyDiv w:val="1"/>
      <w:marLeft w:val="0"/>
      <w:marRight w:val="0"/>
      <w:marTop w:val="0"/>
      <w:marBottom w:val="0"/>
      <w:divBdr>
        <w:top w:val="none" w:sz="0" w:space="0" w:color="auto"/>
        <w:left w:val="none" w:sz="0" w:space="0" w:color="auto"/>
        <w:bottom w:val="none" w:sz="0" w:space="0" w:color="auto"/>
        <w:right w:val="none" w:sz="0" w:space="0" w:color="auto"/>
      </w:divBdr>
      <w:divsChild>
        <w:div w:id="1535995996">
          <w:marLeft w:val="0"/>
          <w:marRight w:val="0"/>
          <w:marTop w:val="0"/>
          <w:marBottom w:val="0"/>
          <w:divBdr>
            <w:top w:val="none" w:sz="0" w:space="0" w:color="auto"/>
            <w:left w:val="none" w:sz="0" w:space="0" w:color="auto"/>
            <w:bottom w:val="none" w:sz="0" w:space="0" w:color="auto"/>
            <w:right w:val="none" w:sz="0" w:space="0" w:color="auto"/>
          </w:divBdr>
        </w:div>
      </w:divsChild>
    </w:div>
    <w:div w:id="656694482">
      <w:bodyDiv w:val="1"/>
      <w:marLeft w:val="0"/>
      <w:marRight w:val="0"/>
      <w:marTop w:val="0"/>
      <w:marBottom w:val="0"/>
      <w:divBdr>
        <w:top w:val="none" w:sz="0" w:space="0" w:color="auto"/>
        <w:left w:val="none" w:sz="0" w:space="0" w:color="auto"/>
        <w:bottom w:val="none" w:sz="0" w:space="0" w:color="auto"/>
        <w:right w:val="none" w:sz="0" w:space="0" w:color="auto"/>
      </w:divBdr>
      <w:divsChild>
        <w:div w:id="388500789">
          <w:marLeft w:val="0"/>
          <w:marRight w:val="0"/>
          <w:marTop w:val="0"/>
          <w:marBottom w:val="0"/>
          <w:divBdr>
            <w:top w:val="none" w:sz="0" w:space="0" w:color="auto"/>
            <w:left w:val="none" w:sz="0" w:space="0" w:color="auto"/>
            <w:bottom w:val="none" w:sz="0" w:space="0" w:color="auto"/>
            <w:right w:val="none" w:sz="0" w:space="0" w:color="auto"/>
          </w:divBdr>
          <w:divsChild>
            <w:div w:id="1297568401">
              <w:marLeft w:val="0"/>
              <w:marRight w:val="0"/>
              <w:marTop w:val="0"/>
              <w:marBottom w:val="0"/>
              <w:divBdr>
                <w:top w:val="none" w:sz="0" w:space="0" w:color="auto"/>
                <w:left w:val="none" w:sz="0" w:space="0" w:color="auto"/>
                <w:bottom w:val="none" w:sz="0" w:space="0" w:color="auto"/>
                <w:right w:val="none" w:sz="0" w:space="0" w:color="auto"/>
              </w:divBdr>
            </w:div>
            <w:div w:id="1842699526">
              <w:marLeft w:val="0"/>
              <w:marRight w:val="0"/>
              <w:marTop w:val="0"/>
              <w:marBottom w:val="150"/>
              <w:divBdr>
                <w:top w:val="none" w:sz="0" w:space="0" w:color="auto"/>
                <w:left w:val="none" w:sz="0" w:space="0" w:color="auto"/>
                <w:bottom w:val="none" w:sz="0" w:space="0" w:color="auto"/>
                <w:right w:val="none" w:sz="0" w:space="0" w:color="auto"/>
              </w:divBdr>
            </w:div>
          </w:divsChild>
        </w:div>
        <w:div w:id="1377856622">
          <w:marLeft w:val="0"/>
          <w:marRight w:val="0"/>
          <w:marTop w:val="0"/>
          <w:marBottom w:val="150"/>
          <w:divBdr>
            <w:top w:val="none" w:sz="0" w:space="0" w:color="auto"/>
            <w:left w:val="none" w:sz="0" w:space="0" w:color="auto"/>
            <w:bottom w:val="none" w:sz="0" w:space="0" w:color="auto"/>
            <w:right w:val="none" w:sz="0" w:space="0" w:color="auto"/>
          </w:divBdr>
          <w:divsChild>
            <w:div w:id="131078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762237">
      <w:bodyDiv w:val="1"/>
      <w:marLeft w:val="0"/>
      <w:marRight w:val="0"/>
      <w:marTop w:val="0"/>
      <w:marBottom w:val="0"/>
      <w:divBdr>
        <w:top w:val="none" w:sz="0" w:space="0" w:color="auto"/>
        <w:left w:val="none" w:sz="0" w:space="0" w:color="auto"/>
        <w:bottom w:val="none" w:sz="0" w:space="0" w:color="auto"/>
        <w:right w:val="none" w:sz="0" w:space="0" w:color="auto"/>
      </w:divBdr>
    </w:div>
    <w:div w:id="656882494">
      <w:bodyDiv w:val="1"/>
      <w:marLeft w:val="0"/>
      <w:marRight w:val="0"/>
      <w:marTop w:val="0"/>
      <w:marBottom w:val="0"/>
      <w:divBdr>
        <w:top w:val="none" w:sz="0" w:space="0" w:color="auto"/>
        <w:left w:val="none" w:sz="0" w:space="0" w:color="auto"/>
        <w:bottom w:val="none" w:sz="0" w:space="0" w:color="auto"/>
        <w:right w:val="none" w:sz="0" w:space="0" w:color="auto"/>
      </w:divBdr>
    </w:div>
    <w:div w:id="657000467">
      <w:bodyDiv w:val="1"/>
      <w:marLeft w:val="0"/>
      <w:marRight w:val="0"/>
      <w:marTop w:val="0"/>
      <w:marBottom w:val="0"/>
      <w:divBdr>
        <w:top w:val="none" w:sz="0" w:space="0" w:color="auto"/>
        <w:left w:val="none" w:sz="0" w:space="0" w:color="auto"/>
        <w:bottom w:val="none" w:sz="0" w:space="0" w:color="auto"/>
        <w:right w:val="none" w:sz="0" w:space="0" w:color="auto"/>
      </w:divBdr>
    </w:div>
    <w:div w:id="657731009">
      <w:bodyDiv w:val="1"/>
      <w:marLeft w:val="0"/>
      <w:marRight w:val="0"/>
      <w:marTop w:val="0"/>
      <w:marBottom w:val="0"/>
      <w:divBdr>
        <w:top w:val="none" w:sz="0" w:space="0" w:color="auto"/>
        <w:left w:val="none" w:sz="0" w:space="0" w:color="auto"/>
        <w:bottom w:val="none" w:sz="0" w:space="0" w:color="auto"/>
        <w:right w:val="none" w:sz="0" w:space="0" w:color="auto"/>
      </w:divBdr>
      <w:divsChild>
        <w:div w:id="1313827518">
          <w:marLeft w:val="0"/>
          <w:marRight w:val="0"/>
          <w:marTop w:val="0"/>
          <w:marBottom w:val="0"/>
          <w:divBdr>
            <w:top w:val="none" w:sz="0" w:space="0" w:color="auto"/>
            <w:left w:val="none" w:sz="0" w:space="0" w:color="auto"/>
            <w:bottom w:val="none" w:sz="0" w:space="0" w:color="auto"/>
            <w:right w:val="none" w:sz="0" w:space="0" w:color="auto"/>
          </w:divBdr>
        </w:div>
      </w:divsChild>
    </w:div>
    <w:div w:id="658311871">
      <w:bodyDiv w:val="1"/>
      <w:marLeft w:val="0"/>
      <w:marRight w:val="0"/>
      <w:marTop w:val="0"/>
      <w:marBottom w:val="0"/>
      <w:divBdr>
        <w:top w:val="none" w:sz="0" w:space="0" w:color="auto"/>
        <w:left w:val="none" w:sz="0" w:space="0" w:color="auto"/>
        <w:bottom w:val="none" w:sz="0" w:space="0" w:color="auto"/>
        <w:right w:val="none" w:sz="0" w:space="0" w:color="auto"/>
      </w:divBdr>
    </w:div>
    <w:div w:id="658770544">
      <w:bodyDiv w:val="1"/>
      <w:marLeft w:val="0"/>
      <w:marRight w:val="0"/>
      <w:marTop w:val="0"/>
      <w:marBottom w:val="0"/>
      <w:divBdr>
        <w:top w:val="none" w:sz="0" w:space="0" w:color="auto"/>
        <w:left w:val="none" w:sz="0" w:space="0" w:color="auto"/>
        <w:bottom w:val="none" w:sz="0" w:space="0" w:color="auto"/>
        <w:right w:val="none" w:sz="0" w:space="0" w:color="auto"/>
      </w:divBdr>
      <w:divsChild>
        <w:div w:id="1159926973">
          <w:marLeft w:val="0"/>
          <w:marRight w:val="0"/>
          <w:marTop w:val="0"/>
          <w:marBottom w:val="0"/>
          <w:divBdr>
            <w:top w:val="none" w:sz="0" w:space="0" w:color="auto"/>
            <w:left w:val="none" w:sz="0" w:space="0" w:color="auto"/>
            <w:bottom w:val="dotted" w:sz="6" w:space="4" w:color="DDDDDD"/>
            <w:right w:val="none" w:sz="0" w:space="0" w:color="auto"/>
          </w:divBdr>
        </w:div>
      </w:divsChild>
    </w:div>
    <w:div w:id="658776082">
      <w:bodyDiv w:val="1"/>
      <w:marLeft w:val="0"/>
      <w:marRight w:val="0"/>
      <w:marTop w:val="0"/>
      <w:marBottom w:val="0"/>
      <w:divBdr>
        <w:top w:val="none" w:sz="0" w:space="0" w:color="auto"/>
        <w:left w:val="none" w:sz="0" w:space="0" w:color="auto"/>
        <w:bottom w:val="none" w:sz="0" w:space="0" w:color="auto"/>
        <w:right w:val="none" w:sz="0" w:space="0" w:color="auto"/>
      </w:divBdr>
      <w:divsChild>
        <w:div w:id="609779664">
          <w:marLeft w:val="0"/>
          <w:marRight w:val="0"/>
          <w:marTop w:val="0"/>
          <w:marBottom w:val="0"/>
          <w:divBdr>
            <w:top w:val="none" w:sz="0" w:space="0" w:color="auto"/>
            <w:left w:val="none" w:sz="0" w:space="0" w:color="auto"/>
            <w:bottom w:val="none" w:sz="0" w:space="0" w:color="auto"/>
            <w:right w:val="none" w:sz="0" w:space="0" w:color="auto"/>
          </w:divBdr>
        </w:div>
        <w:div w:id="1669289597">
          <w:marLeft w:val="0"/>
          <w:marRight w:val="0"/>
          <w:marTop w:val="0"/>
          <w:marBottom w:val="0"/>
          <w:divBdr>
            <w:top w:val="none" w:sz="0" w:space="0" w:color="auto"/>
            <w:left w:val="none" w:sz="0" w:space="0" w:color="auto"/>
            <w:bottom w:val="none" w:sz="0" w:space="0" w:color="auto"/>
            <w:right w:val="none" w:sz="0" w:space="0" w:color="auto"/>
          </w:divBdr>
          <w:divsChild>
            <w:div w:id="196547815">
              <w:marLeft w:val="0"/>
              <w:marRight w:val="0"/>
              <w:marTop w:val="0"/>
              <w:marBottom w:val="225"/>
              <w:divBdr>
                <w:top w:val="none" w:sz="0" w:space="0" w:color="auto"/>
                <w:left w:val="none" w:sz="0" w:space="0" w:color="auto"/>
                <w:bottom w:val="none" w:sz="0" w:space="0" w:color="auto"/>
                <w:right w:val="none" w:sz="0" w:space="0" w:color="auto"/>
              </w:divBdr>
              <w:divsChild>
                <w:div w:id="1341856703">
                  <w:marLeft w:val="750"/>
                  <w:marRight w:val="0"/>
                  <w:marTop w:val="0"/>
                  <w:marBottom w:val="225"/>
                  <w:divBdr>
                    <w:top w:val="none" w:sz="0" w:space="0" w:color="auto"/>
                    <w:left w:val="none" w:sz="0" w:space="0" w:color="auto"/>
                    <w:bottom w:val="none" w:sz="0" w:space="0" w:color="auto"/>
                    <w:right w:val="none" w:sz="0" w:space="0" w:color="auto"/>
                  </w:divBdr>
                </w:div>
              </w:divsChild>
            </w:div>
            <w:div w:id="528959305">
              <w:marLeft w:val="0"/>
              <w:marRight w:val="0"/>
              <w:marTop w:val="0"/>
              <w:marBottom w:val="225"/>
              <w:divBdr>
                <w:top w:val="none" w:sz="0" w:space="0" w:color="auto"/>
                <w:left w:val="none" w:sz="0" w:space="0" w:color="auto"/>
                <w:bottom w:val="none" w:sz="0" w:space="0" w:color="auto"/>
                <w:right w:val="none" w:sz="0" w:space="0" w:color="auto"/>
              </w:divBdr>
              <w:divsChild>
                <w:div w:id="147938621">
                  <w:marLeft w:val="0"/>
                  <w:marRight w:val="0"/>
                  <w:marTop w:val="0"/>
                  <w:marBottom w:val="150"/>
                  <w:divBdr>
                    <w:top w:val="none" w:sz="0" w:space="0" w:color="auto"/>
                    <w:left w:val="none" w:sz="0" w:space="0" w:color="auto"/>
                    <w:bottom w:val="none" w:sz="0" w:space="0" w:color="auto"/>
                    <w:right w:val="none" w:sz="0" w:space="0" w:color="auto"/>
                  </w:divBdr>
                </w:div>
                <w:div w:id="214896507">
                  <w:marLeft w:val="0"/>
                  <w:marRight w:val="0"/>
                  <w:marTop w:val="0"/>
                  <w:marBottom w:val="150"/>
                  <w:divBdr>
                    <w:top w:val="none" w:sz="0" w:space="0" w:color="auto"/>
                    <w:left w:val="none" w:sz="0" w:space="0" w:color="auto"/>
                    <w:bottom w:val="none" w:sz="0" w:space="0" w:color="auto"/>
                    <w:right w:val="none" w:sz="0" w:space="0" w:color="auto"/>
                  </w:divBdr>
                </w:div>
                <w:div w:id="384523698">
                  <w:marLeft w:val="0"/>
                  <w:marRight w:val="0"/>
                  <w:marTop w:val="0"/>
                  <w:marBottom w:val="150"/>
                  <w:divBdr>
                    <w:top w:val="none" w:sz="0" w:space="0" w:color="auto"/>
                    <w:left w:val="none" w:sz="0" w:space="0" w:color="auto"/>
                    <w:bottom w:val="none" w:sz="0" w:space="0" w:color="auto"/>
                    <w:right w:val="none" w:sz="0" w:space="0" w:color="auto"/>
                  </w:divBdr>
                </w:div>
                <w:div w:id="694354914">
                  <w:marLeft w:val="0"/>
                  <w:marRight w:val="0"/>
                  <w:marTop w:val="0"/>
                  <w:marBottom w:val="150"/>
                  <w:divBdr>
                    <w:top w:val="none" w:sz="0" w:space="0" w:color="auto"/>
                    <w:left w:val="none" w:sz="0" w:space="0" w:color="auto"/>
                    <w:bottom w:val="none" w:sz="0" w:space="0" w:color="auto"/>
                    <w:right w:val="none" w:sz="0" w:space="0" w:color="auto"/>
                  </w:divBdr>
                </w:div>
                <w:div w:id="1173766131">
                  <w:marLeft w:val="0"/>
                  <w:marRight w:val="0"/>
                  <w:marTop w:val="0"/>
                  <w:marBottom w:val="150"/>
                  <w:divBdr>
                    <w:top w:val="none" w:sz="0" w:space="0" w:color="auto"/>
                    <w:left w:val="none" w:sz="0" w:space="0" w:color="auto"/>
                    <w:bottom w:val="none" w:sz="0" w:space="0" w:color="auto"/>
                    <w:right w:val="none" w:sz="0" w:space="0" w:color="auto"/>
                  </w:divBdr>
                </w:div>
                <w:div w:id="1251424544">
                  <w:marLeft w:val="0"/>
                  <w:marRight w:val="0"/>
                  <w:marTop w:val="0"/>
                  <w:marBottom w:val="150"/>
                  <w:divBdr>
                    <w:top w:val="none" w:sz="0" w:space="0" w:color="auto"/>
                    <w:left w:val="none" w:sz="0" w:space="0" w:color="auto"/>
                    <w:bottom w:val="none" w:sz="0" w:space="0" w:color="auto"/>
                    <w:right w:val="none" w:sz="0" w:space="0" w:color="auto"/>
                  </w:divBdr>
                </w:div>
                <w:div w:id="1697584755">
                  <w:marLeft w:val="0"/>
                  <w:marRight w:val="0"/>
                  <w:marTop w:val="0"/>
                  <w:marBottom w:val="150"/>
                  <w:divBdr>
                    <w:top w:val="none" w:sz="0" w:space="0" w:color="auto"/>
                    <w:left w:val="none" w:sz="0" w:space="0" w:color="auto"/>
                    <w:bottom w:val="none" w:sz="0" w:space="0" w:color="auto"/>
                    <w:right w:val="none" w:sz="0" w:space="0" w:color="auto"/>
                  </w:divBdr>
                  <w:divsChild>
                    <w:div w:id="131093496">
                      <w:marLeft w:val="0"/>
                      <w:marRight w:val="0"/>
                      <w:marTop w:val="0"/>
                      <w:marBottom w:val="150"/>
                      <w:divBdr>
                        <w:top w:val="none" w:sz="0" w:space="0" w:color="auto"/>
                        <w:left w:val="none" w:sz="0" w:space="0" w:color="auto"/>
                        <w:bottom w:val="none" w:sz="0" w:space="0" w:color="auto"/>
                        <w:right w:val="none" w:sz="0" w:space="0" w:color="auto"/>
                      </w:divBdr>
                      <w:divsChild>
                        <w:div w:id="189939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356404">
                  <w:marLeft w:val="0"/>
                  <w:marRight w:val="0"/>
                  <w:marTop w:val="0"/>
                  <w:marBottom w:val="150"/>
                  <w:divBdr>
                    <w:top w:val="none" w:sz="0" w:space="0" w:color="auto"/>
                    <w:left w:val="none" w:sz="0" w:space="0" w:color="auto"/>
                    <w:bottom w:val="none" w:sz="0" w:space="0" w:color="auto"/>
                    <w:right w:val="none" w:sz="0" w:space="0" w:color="auto"/>
                  </w:divBdr>
                </w:div>
                <w:div w:id="20515682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13100272">
          <w:marLeft w:val="0"/>
          <w:marRight w:val="0"/>
          <w:marTop w:val="0"/>
          <w:marBottom w:val="150"/>
          <w:divBdr>
            <w:top w:val="none" w:sz="0" w:space="0" w:color="auto"/>
            <w:left w:val="none" w:sz="0" w:space="0" w:color="auto"/>
            <w:bottom w:val="none" w:sz="0" w:space="0" w:color="auto"/>
            <w:right w:val="none" w:sz="0" w:space="0" w:color="auto"/>
          </w:divBdr>
        </w:div>
      </w:divsChild>
    </w:div>
    <w:div w:id="659235846">
      <w:bodyDiv w:val="1"/>
      <w:marLeft w:val="0"/>
      <w:marRight w:val="0"/>
      <w:marTop w:val="0"/>
      <w:marBottom w:val="0"/>
      <w:divBdr>
        <w:top w:val="none" w:sz="0" w:space="0" w:color="auto"/>
        <w:left w:val="none" w:sz="0" w:space="0" w:color="auto"/>
        <w:bottom w:val="none" w:sz="0" w:space="0" w:color="auto"/>
        <w:right w:val="none" w:sz="0" w:space="0" w:color="auto"/>
      </w:divBdr>
      <w:divsChild>
        <w:div w:id="1416315749">
          <w:marLeft w:val="0"/>
          <w:marRight w:val="0"/>
          <w:marTop w:val="0"/>
          <w:marBottom w:val="0"/>
          <w:divBdr>
            <w:top w:val="none" w:sz="0" w:space="0" w:color="auto"/>
            <w:left w:val="none" w:sz="0" w:space="0" w:color="auto"/>
            <w:bottom w:val="none" w:sz="0" w:space="0" w:color="auto"/>
            <w:right w:val="none" w:sz="0" w:space="0" w:color="auto"/>
          </w:divBdr>
          <w:divsChild>
            <w:div w:id="50995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773376">
      <w:bodyDiv w:val="1"/>
      <w:marLeft w:val="0"/>
      <w:marRight w:val="0"/>
      <w:marTop w:val="0"/>
      <w:marBottom w:val="0"/>
      <w:divBdr>
        <w:top w:val="none" w:sz="0" w:space="0" w:color="auto"/>
        <w:left w:val="none" w:sz="0" w:space="0" w:color="auto"/>
        <w:bottom w:val="none" w:sz="0" w:space="0" w:color="auto"/>
        <w:right w:val="none" w:sz="0" w:space="0" w:color="auto"/>
      </w:divBdr>
      <w:divsChild>
        <w:div w:id="716391547">
          <w:marLeft w:val="0"/>
          <w:marRight w:val="0"/>
          <w:marTop w:val="0"/>
          <w:marBottom w:val="0"/>
          <w:divBdr>
            <w:top w:val="none" w:sz="0" w:space="0" w:color="auto"/>
            <w:left w:val="none" w:sz="0" w:space="0" w:color="auto"/>
            <w:bottom w:val="none" w:sz="0" w:space="0" w:color="auto"/>
            <w:right w:val="none" w:sz="0" w:space="0" w:color="auto"/>
          </w:divBdr>
          <w:divsChild>
            <w:div w:id="1354107535">
              <w:marLeft w:val="0"/>
              <w:marRight w:val="0"/>
              <w:marTop w:val="0"/>
              <w:marBottom w:val="150"/>
              <w:divBdr>
                <w:top w:val="none" w:sz="0" w:space="0" w:color="auto"/>
                <w:left w:val="none" w:sz="0" w:space="0" w:color="auto"/>
                <w:bottom w:val="none" w:sz="0" w:space="0" w:color="auto"/>
                <w:right w:val="none" w:sz="0" w:space="0" w:color="auto"/>
              </w:divBdr>
              <w:divsChild>
                <w:div w:id="14621369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782923446">
          <w:marLeft w:val="0"/>
          <w:marRight w:val="0"/>
          <w:marTop w:val="0"/>
          <w:marBottom w:val="0"/>
          <w:divBdr>
            <w:top w:val="none" w:sz="0" w:space="0" w:color="auto"/>
            <w:left w:val="none" w:sz="0" w:space="0" w:color="auto"/>
            <w:bottom w:val="none" w:sz="0" w:space="0" w:color="auto"/>
            <w:right w:val="none" w:sz="0" w:space="0" w:color="auto"/>
          </w:divBdr>
          <w:divsChild>
            <w:div w:id="779447818">
              <w:marLeft w:val="0"/>
              <w:marRight w:val="0"/>
              <w:marTop w:val="0"/>
              <w:marBottom w:val="150"/>
              <w:divBdr>
                <w:top w:val="none" w:sz="0" w:space="0" w:color="auto"/>
                <w:left w:val="none" w:sz="0" w:space="0" w:color="auto"/>
                <w:bottom w:val="none" w:sz="0" w:space="0" w:color="auto"/>
                <w:right w:val="none" w:sz="0" w:space="0" w:color="auto"/>
              </w:divBdr>
              <w:divsChild>
                <w:div w:id="18687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566457">
          <w:marLeft w:val="0"/>
          <w:marRight w:val="150"/>
          <w:marTop w:val="0"/>
          <w:marBottom w:val="0"/>
          <w:divBdr>
            <w:top w:val="single" w:sz="12" w:space="6" w:color="CCCCCC"/>
            <w:left w:val="none" w:sz="0" w:space="0" w:color="auto"/>
            <w:bottom w:val="none" w:sz="0" w:space="0" w:color="auto"/>
            <w:right w:val="none" w:sz="0" w:space="0" w:color="auto"/>
          </w:divBdr>
          <w:divsChild>
            <w:div w:id="2066027960">
              <w:marLeft w:val="0"/>
              <w:marRight w:val="0"/>
              <w:marTop w:val="0"/>
              <w:marBottom w:val="0"/>
              <w:divBdr>
                <w:top w:val="none" w:sz="0" w:space="0" w:color="auto"/>
                <w:left w:val="none" w:sz="0" w:space="0" w:color="auto"/>
                <w:bottom w:val="none" w:sz="0" w:space="0" w:color="auto"/>
                <w:right w:val="none" w:sz="0" w:space="0" w:color="auto"/>
              </w:divBdr>
              <w:divsChild>
                <w:div w:id="149745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0238">
          <w:marLeft w:val="0"/>
          <w:marRight w:val="225"/>
          <w:marTop w:val="0"/>
          <w:marBottom w:val="0"/>
          <w:divBdr>
            <w:top w:val="none" w:sz="0" w:space="0" w:color="auto"/>
            <w:left w:val="none" w:sz="0" w:space="0" w:color="auto"/>
            <w:bottom w:val="none" w:sz="0" w:space="0" w:color="auto"/>
            <w:right w:val="none" w:sz="0" w:space="0" w:color="auto"/>
          </w:divBdr>
          <w:divsChild>
            <w:div w:id="745104637">
              <w:marLeft w:val="0"/>
              <w:marRight w:val="0"/>
              <w:marTop w:val="225"/>
              <w:marBottom w:val="0"/>
              <w:divBdr>
                <w:top w:val="none" w:sz="0" w:space="0" w:color="auto"/>
                <w:left w:val="none" w:sz="0" w:space="0" w:color="auto"/>
                <w:bottom w:val="none" w:sz="0" w:space="0" w:color="auto"/>
                <w:right w:val="none" w:sz="0" w:space="0" w:color="auto"/>
              </w:divBdr>
              <w:divsChild>
                <w:div w:id="121971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080017">
      <w:bodyDiv w:val="1"/>
      <w:marLeft w:val="0"/>
      <w:marRight w:val="0"/>
      <w:marTop w:val="0"/>
      <w:marBottom w:val="0"/>
      <w:divBdr>
        <w:top w:val="none" w:sz="0" w:space="0" w:color="auto"/>
        <w:left w:val="none" w:sz="0" w:space="0" w:color="auto"/>
        <w:bottom w:val="none" w:sz="0" w:space="0" w:color="auto"/>
        <w:right w:val="none" w:sz="0" w:space="0" w:color="auto"/>
      </w:divBdr>
      <w:divsChild>
        <w:div w:id="304510183">
          <w:marLeft w:val="0"/>
          <w:marRight w:val="0"/>
          <w:marTop w:val="0"/>
          <w:marBottom w:val="0"/>
          <w:divBdr>
            <w:top w:val="none" w:sz="0" w:space="0" w:color="auto"/>
            <w:left w:val="none" w:sz="0" w:space="0" w:color="auto"/>
            <w:bottom w:val="none" w:sz="0" w:space="0" w:color="auto"/>
            <w:right w:val="none" w:sz="0" w:space="0" w:color="auto"/>
          </w:divBdr>
          <w:divsChild>
            <w:div w:id="1943955550">
              <w:marLeft w:val="0"/>
              <w:marRight w:val="0"/>
              <w:marTop w:val="0"/>
              <w:marBottom w:val="0"/>
              <w:divBdr>
                <w:top w:val="none" w:sz="0" w:space="0" w:color="auto"/>
                <w:left w:val="none" w:sz="0" w:space="0" w:color="auto"/>
                <w:bottom w:val="none" w:sz="0" w:space="0" w:color="auto"/>
                <w:right w:val="none" w:sz="0" w:space="0" w:color="auto"/>
              </w:divBdr>
              <w:divsChild>
                <w:div w:id="158318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235157">
          <w:marLeft w:val="0"/>
          <w:marRight w:val="0"/>
          <w:marTop w:val="0"/>
          <w:marBottom w:val="0"/>
          <w:divBdr>
            <w:top w:val="none" w:sz="0" w:space="0" w:color="auto"/>
            <w:left w:val="none" w:sz="0" w:space="0" w:color="auto"/>
            <w:bottom w:val="none" w:sz="0" w:space="0" w:color="auto"/>
            <w:right w:val="none" w:sz="0" w:space="0" w:color="auto"/>
          </w:divBdr>
        </w:div>
        <w:div w:id="1879320953">
          <w:marLeft w:val="0"/>
          <w:marRight w:val="0"/>
          <w:marTop w:val="0"/>
          <w:marBottom w:val="300"/>
          <w:divBdr>
            <w:top w:val="none" w:sz="0" w:space="0" w:color="auto"/>
            <w:left w:val="none" w:sz="0" w:space="0" w:color="auto"/>
            <w:bottom w:val="none" w:sz="0" w:space="0" w:color="auto"/>
            <w:right w:val="none" w:sz="0" w:space="0" w:color="auto"/>
          </w:divBdr>
          <w:divsChild>
            <w:div w:id="1916864372">
              <w:marLeft w:val="0"/>
              <w:marRight w:val="0"/>
              <w:marTop w:val="0"/>
              <w:marBottom w:val="0"/>
              <w:divBdr>
                <w:top w:val="none" w:sz="0" w:space="0" w:color="auto"/>
                <w:left w:val="none" w:sz="0" w:space="0" w:color="auto"/>
                <w:bottom w:val="none" w:sz="0" w:space="0" w:color="auto"/>
                <w:right w:val="none" w:sz="0" w:space="0" w:color="auto"/>
              </w:divBdr>
            </w:div>
          </w:divsChild>
        </w:div>
        <w:div w:id="2093089892">
          <w:marLeft w:val="0"/>
          <w:marRight w:val="0"/>
          <w:marTop w:val="0"/>
          <w:marBottom w:val="75"/>
          <w:divBdr>
            <w:top w:val="none" w:sz="0" w:space="0" w:color="auto"/>
            <w:left w:val="none" w:sz="0" w:space="0" w:color="auto"/>
            <w:bottom w:val="none" w:sz="0" w:space="0" w:color="auto"/>
            <w:right w:val="none" w:sz="0" w:space="0" w:color="auto"/>
          </w:divBdr>
        </w:div>
      </w:divsChild>
    </w:div>
    <w:div w:id="660231574">
      <w:bodyDiv w:val="1"/>
      <w:marLeft w:val="0"/>
      <w:marRight w:val="0"/>
      <w:marTop w:val="0"/>
      <w:marBottom w:val="0"/>
      <w:divBdr>
        <w:top w:val="none" w:sz="0" w:space="0" w:color="auto"/>
        <w:left w:val="none" w:sz="0" w:space="0" w:color="auto"/>
        <w:bottom w:val="none" w:sz="0" w:space="0" w:color="auto"/>
        <w:right w:val="none" w:sz="0" w:space="0" w:color="auto"/>
      </w:divBdr>
    </w:div>
    <w:div w:id="661007317">
      <w:bodyDiv w:val="1"/>
      <w:marLeft w:val="0"/>
      <w:marRight w:val="0"/>
      <w:marTop w:val="0"/>
      <w:marBottom w:val="0"/>
      <w:divBdr>
        <w:top w:val="none" w:sz="0" w:space="0" w:color="auto"/>
        <w:left w:val="none" w:sz="0" w:space="0" w:color="auto"/>
        <w:bottom w:val="none" w:sz="0" w:space="0" w:color="auto"/>
        <w:right w:val="none" w:sz="0" w:space="0" w:color="auto"/>
      </w:divBdr>
      <w:divsChild>
        <w:div w:id="396131441">
          <w:marLeft w:val="0"/>
          <w:marRight w:val="0"/>
          <w:marTop w:val="0"/>
          <w:marBottom w:val="0"/>
          <w:divBdr>
            <w:top w:val="none" w:sz="0" w:space="0" w:color="auto"/>
            <w:left w:val="none" w:sz="0" w:space="0" w:color="auto"/>
            <w:bottom w:val="none" w:sz="0" w:space="0" w:color="auto"/>
            <w:right w:val="none" w:sz="0" w:space="0" w:color="auto"/>
          </w:divBdr>
          <w:divsChild>
            <w:div w:id="592319186">
              <w:marLeft w:val="0"/>
              <w:marRight w:val="0"/>
              <w:marTop w:val="0"/>
              <w:marBottom w:val="300"/>
              <w:divBdr>
                <w:top w:val="none" w:sz="0" w:space="0" w:color="auto"/>
                <w:left w:val="none" w:sz="0" w:space="0" w:color="auto"/>
                <w:bottom w:val="none" w:sz="0" w:space="0" w:color="auto"/>
                <w:right w:val="none" w:sz="0" w:space="0" w:color="auto"/>
              </w:divBdr>
            </w:div>
            <w:div w:id="788813711">
              <w:marLeft w:val="0"/>
              <w:marRight w:val="0"/>
              <w:marTop w:val="0"/>
              <w:marBottom w:val="300"/>
              <w:divBdr>
                <w:top w:val="none" w:sz="0" w:space="0" w:color="auto"/>
                <w:left w:val="none" w:sz="0" w:space="0" w:color="auto"/>
                <w:bottom w:val="none" w:sz="0" w:space="0" w:color="auto"/>
                <w:right w:val="none" w:sz="0" w:space="0" w:color="auto"/>
              </w:divBdr>
            </w:div>
          </w:divsChild>
        </w:div>
        <w:div w:id="728460613">
          <w:marLeft w:val="0"/>
          <w:marRight w:val="0"/>
          <w:marTop w:val="0"/>
          <w:marBottom w:val="300"/>
          <w:divBdr>
            <w:top w:val="none" w:sz="0" w:space="0" w:color="auto"/>
            <w:left w:val="none" w:sz="0" w:space="0" w:color="auto"/>
            <w:bottom w:val="none" w:sz="0" w:space="0" w:color="auto"/>
            <w:right w:val="none" w:sz="0" w:space="0" w:color="auto"/>
          </w:divBdr>
        </w:div>
        <w:div w:id="1631934094">
          <w:marLeft w:val="0"/>
          <w:marRight w:val="0"/>
          <w:marTop w:val="0"/>
          <w:marBottom w:val="300"/>
          <w:divBdr>
            <w:top w:val="none" w:sz="0" w:space="0" w:color="auto"/>
            <w:left w:val="none" w:sz="0" w:space="0" w:color="auto"/>
            <w:bottom w:val="none" w:sz="0" w:space="0" w:color="auto"/>
            <w:right w:val="none" w:sz="0" w:space="0" w:color="auto"/>
          </w:divBdr>
          <w:divsChild>
            <w:div w:id="1466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079283">
      <w:bodyDiv w:val="1"/>
      <w:marLeft w:val="0"/>
      <w:marRight w:val="0"/>
      <w:marTop w:val="0"/>
      <w:marBottom w:val="0"/>
      <w:divBdr>
        <w:top w:val="none" w:sz="0" w:space="0" w:color="auto"/>
        <w:left w:val="none" w:sz="0" w:space="0" w:color="auto"/>
        <w:bottom w:val="none" w:sz="0" w:space="0" w:color="auto"/>
        <w:right w:val="none" w:sz="0" w:space="0" w:color="auto"/>
      </w:divBdr>
      <w:divsChild>
        <w:div w:id="234630371">
          <w:marLeft w:val="0"/>
          <w:marRight w:val="0"/>
          <w:marTop w:val="0"/>
          <w:marBottom w:val="0"/>
          <w:divBdr>
            <w:top w:val="none" w:sz="0" w:space="0" w:color="auto"/>
            <w:left w:val="none" w:sz="0" w:space="0" w:color="auto"/>
            <w:bottom w:val="none" w:sz="0" w:space="0" w:color="auto"/>
            <w:right w:val="none" w:sz="0" w:space="0" w:color="auto"/>
          </w:divBdr>
          <w:divsChild>
            <w:div w:id="1454397953">
              <w:marLeft w:val="0"/>
              <w:marRight w:val="0"/>
              <w:marTop w:val="0"/>
              <w:marBottom w:val="0"/>
              <w:divBdr>
                <w:top w:val="none" w:sz="0" w:space="0" w:color="auto"/>
                <w:left w:val="none" w:sz="0" w:space="0" w:color="auto"/>
                <w:bottom w:val="none" w:sz="0" w:space="0" w:color="auto"/>
                <w:right w:val="none" w:sz="0" w:space="0" w:color="auto"/>
              </w:divBdr>
            </w:div>
          </w:divsChild>
        </w:div>
        <w:div w:id="548760648">
          <w:marLeft w:val="0"/>
          <w:marRight w:val="0"/>
          <w:marTop w:val="0"/>
          <w:marBottom w:val="150"/>
          <w:divBdr>
            <w:top w:val="none" w:sz="0" w:space="0" w:color="auto"/>
            <w:left w:val="none" w:sz="0" w:space="0" w:color="auto"/>
            <w:bottom w:val="none" w:sz="0" w:space="0" w:color="auto"/>
            <w:right w:val="none" w:sz="0" w:space="0" w:color="auto"/>
          </w:divBdr>
          <w:divsChild>
            <w:div w:id="228737733">
              <w:marLeft w:val="0"/>
              <w:marRight w:val="0"/>
              <w:marTop w:val="0"/>
              <w:marBottom w:val="0"/>
              <w:divBdr>
                <w:top w:val="none" w:sz="0" w:space="0" w:color="auto"/>
                <w:left w:val="none" w:sz="0" w:space="0" w:color="auto"/>
                <w:bottom w:val="none" w:sz="0" w:space="0" w:color="auto"/>
                <w:right w:val="none" w:sz="0" w:space="0" w:color="auto"/>
              </w:divBdr>
            </w:div>
          </w:divsChild>
        </w:div>
        <w:div w:id="1039664335">
          <w:marLeft w:val="0"/>
          <w:marRight w:val="0"/>
          <w:marTop w:val="0"/>
          <w:marBottom w:val="150"/>
          <w:divBdr>
            <w:top w:val="none" w:sz="0" w:space="0" w:color="auto"/>
            <w:left w:val="none" w:sz="0" w:space="0" w:color="auto"/>
            <w:bottom w:val="none" w:sz="0" w:space="0" w:color="auto"/>
            <w:right w:val="none" w:sz="0" w:space="0" w:color="auto"/>
          </w:divBdr>
        </w:div>
      </w:divsChild>
    </w:div>
    <w:div w:id="661472529">
      <w:bodyDiv w:val="1"/>
      <w:marLeft w:val="0"/>
      <w:marRight w:val="0"/>
      <w:marTop w:val="0"/>
      <w:marBottom w:val="0"/>
      <w:divBdr>
        <w:top w:val="none" w:sz="0" w:space="0" w:color="auto"/>
        <w:left w:val="none" w:sz="0" w:space="0" w:color="auto"/>
        <w:bottom w:val="none" w:sz="0" w:space="0" w:color="auto"/>
        <w:right w:val="none" w:sz="0" w:space="0" w:color="auto"/>
      </w:divBdr>
    </w:div>
    <w:div w:id="661472980">
      <w:bodyDiv w:val="1"/>
      <w:marLeft w:val="0"/>
      <w:marRight w:val="0"/>
      <w:marTop w:val="0"/>
      <w:marBottom w:val="0"/>
      <w:divBdr>
        <w:top w:val="none" w:sz="0" w:space="0" w:color="auto"/>
        <w:left w:val="none" w:sz="0" w:space="0" w:color="auto"/>
        <w:bottom w:val="none" w:sz="0" w:space="0" w:color="auto"/>
        <w:right w:val="none" w:sz="0" w:space="0" w:color="auto"/>
      </w:divBdr>
      <w:divsChild>
        <w:div w:id="310521603">
          <w:marLeft w:val="0"/>
          <w:marRight w:val="0"/>
          <w:marTop w:val="0"/>
          <w:marBottom w:val="0"/>
          <w:divBdr>
            <w:top w:val="none" w:sz="0" w:space="0" w:color="auto"/>
            <w:left w:val="none" w:sz="0" w:space="0" w:color="auto"/>
            <w:bottom w:val="none" w:sz="0" w:space="0" w:color="auto"/>
            <w:right w:val="none" w:sz="0" w:space="0" w:color="auto"/>
          </w:divBdr>
          <w:divsChild>
            <w:div w:id="109223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736768">
      <w:bodyDiv w:val="1"/>
      <w:marLeft w:val="0"/>
      <w:marRight w:val="0"/>
      <w:marTop w:val="0"/>
      <w:marBottom w:val="0"/>
      <w:divBdr>
        <w:top w:val="none" w:sz="0" w:space="0" w:color="auto"/>
        <w:left w:val="none" w:sz="0" w:space="0" w:color="auto"/>
        <w:bottom w:val="none" w:sz="0" w:space="0" w:color="auto"/>
        <w:right w:val="none" w:sz="0" w:space="0" w:color="auto"/>
      </w:divBdr>
      <w:divsChild>
        <w:div w:id="1902010869">
          <w:marLeft w:val="0"/>
          <w:marRight w:val="0"/>
          <w:marTop w:val="0"/>
          <w:marBottom w:val="150"/>
          <w:divBdr>
            <w:top w:val="none" w:sz="0" w:space="0" w:color="auto"/>
            <w:left w:val="none" w:sz="0" w:space="0" w:color="auto"/>
            <w:bottom w:val="none" w:sz="0" w:space="0" w:color="auto"/>
            <w:right w:val="none" w:sz="0" w:space="0" w:color="auto"/>
          </w:divBdr>
        </w:div>
      </w:divsChild>
    </w:div>
    <w:div w:id="661812193">
      <w:bodyDiv w:val="1"/>
      <w:marLeft w:val="0"/>
      <w:marRight w:val="0"/>
      <w:marTop w:val="0"/>
      <w:marBottom w:val="0"/>
      <w:divBdr>
        <w:top w:val="none" w:sz="0" w:space="0" w:color="auto"/>
        <w:left w:val="none" w:sz="0" w:space="0" w:color="auto"/>
        <w:bottom w:val="none" w:sz="0" w:space="0" w:color="auto"/>
        <w:right w:val="none" w:sz="0" w:space="0" w:color="auto"/>
      </w:divBdr>
    </w:div>
    <w:div w:id="662271836">
      <w:bodyDiv w:val="1"/>
      <w:marLeft w:val="0"/>
      <w:marRight w:val="0"/>
      <w:marTop w:val="0"/>
      <w:marBottom w:val="0"/>
      <w:divBdr>
        <w:top w:val="none" w:sz="0" w:space="0" w:color="auto"/>
        <w:left w:val="none" w:sz="0" w:space="0" w:color="auto"/>
        <w:bottom w:val="none" w:sz="0" w:space="0" w:color="auto"/>
        <w:right w:val="none" w:sz="0" w:space="0" w:color="auto"/>
      </w:divBdr>
      <w:divsChild>
        <w:div w:id="142162702">
          <w:marLeft w:val="0"/>
          <w:marRight w:val="0"/>
          <w:marTop w:val="0"/>
          <w:marBottom w:val="0"/>
          <w:divBdr>
            <w:top w:val="none" w:sz="0" w:space="0" w:color="auto"/>
            <w:left w:val="none" w:sz="0" w:space="0" w:color="auto"/>
            <w:bottom w:val="none" w:sz="0" w:space="0" w:color="auto"/>
            <w:right w:val="none" w:sz="0" w:space="0" w:color="auto"/>
          </w:divBdr>
          <w:divsChild>
            <w:div w:id="1068190225">
              <w:marLeft w:val="0"/>
              <w:marRight w:val="0"/>
              <w:marTop w:val="0"/>
              <w:marBottom w:val="0"/>
              <w:divBdr>
                <w:top w:val="none" w:sz="0" w:space="0" w:color="auto"/>
                <w:left w:val="none" w:sz="0" w:space="0" w:color="auto"/>
                <w:bottom w:val="none" w:sz="0" w:space="0" w:color="auto"/>
                <w:right w:val="none" w:sz="0" w:space="0" w:color="auto"/>
              </w:divBdr>
              <w:divsChild>
                <w:div w:id="441653985">
                  <w:marLeft w:val="0"/>
                  <w:marRight w:val="0"/>
                  <w:marTop w:val="0"/>
                  <w:marBottom w:val="0"/>
                  <w:divBdr>
                    <w:top w:val="none" w:sz="0" w:space="0" w:color="auto"/>
                    <w:left w:val="none" w:sz="0" w:space="0" w:color="auto"/>
                    <w:bottom w:val="none" w:sz="0" w:space="0" w:color="auto"/>
                    <w:right w:val="none" w:sz="0" w:space="0" w:color="auto"/>
                  </w:divBdr>
                  <w:divsChild>
                    <w:div w:id="50082647">
                      <w:marLeft w:val="0"/>
                      <w:marRight w:val="0"/>
                      <w:marTop w:val="0"/>
                      <w:marBottom w:val="0"/>
                      <w:divBdr>
                        <w:top w:val="none" w:sz="0" w:space="0" w:color="auto"/>
                        <w:left w:val="none" w:sz="0" w:space="0" w:color="auto"/>
                        <w:bottom w:val="none" w:sz="0" w:space="0" w:color="auto"/>
                        <w:right w:val="none" w:sz="0" w:space="0" w:color="auto"/>
                      </w:divBdr>
                      <w:divsChild>
                        <w:div w:id="181600369">
                          <w:marLeft w:val="0"/>
                          <w:marRight w:val="0"/>
                          <w:marTop w:val="0"/>
                          <w:marBottom w:val="0"/>
                          <w:divBdr>
                            <w:top w:val="none" w:sz="0" w:space="0" w:color="auto"/>
                            <w:left w:val="none" w:sz="0" w:space="0" w:color="auto"/>
                            <w:bottom w:val="none" w:sz="0" w:space="0" w:color="auto"/>
                            <w:right w:val="none" w:sz="0" w:space="0" w:color="auto"/>
                          </w:divBdr>
                          <w:divsChild>
                            <w:div w:id="378365145">
                              <w:marLeft w:val="0"/>
                              <w:marRight w:val="0"/>
                              <w:marTop w:val="0"/>
                              <w:marBottom w:val="0"/>
                              <w:divBdr>
                                <w:top w:val="none" w:sz="0" w:space="0" w:color="auto"/>
                                <w:left w:val="none" w:sz="0" w:space="0" w:color="auto"/>
                                <w:bottom w:val="none" w:sz="0" w:space="0" w:color="auto"/>
                                <w:right w:val="none" w:sz="0" w:space="0" w:color="auto"/>
                              </w:divBdr>
                              <w:divsChild>
                                <w:div w:id="10182573">
                                  <w:marLeft w:val="0"/>
                                  <w:marRight w:val="0"/>
                                  <w:marTop w:val="0"/>
                                  <w:marBottom w:val="75"/>
                                  <w:divBdr>
                                    <w:top w:val="none" w:sz="0" w:space="0" w:color="auto"/>
                                    <w:left w:val="none" w:sz="0" w:space="0" w:color="auto"/>
                                    <w:bottom w:val="none" w:sz="0" w:space="0" w:color="auto"/>
                                    <w:right w:val="none" w:sz="0" w:space="0" w:color="auto"/>
                                  </w:divBdr>
                                  <w:divsChild>
                                    <w:div w:id="384380814">
                                      <w:marLeft w:val="0"/>
                                      <w:marRight w:val="0"/>
                                      <w:marTop w:val="0"/>
                                      <w:marBottom w:val="0"/>
                                      <w:divBdr>
                                        <w:top w:val="none" w:sz="0" w:space="0" w:color="auto"/>
                                        <w:left w:val="none" w:sz="0" w:space="0" w:color="auto"/>
                                        <w:bottom w:val="none" w:sz="0" w:space="0" w:color="auto"/>
                                        <w:right w:val="none" w:sz="0" w:space="0" w:color="auto"/>
                                      </w:divBdr>
                                      <w:divsChild>
                                        <w:div w:id="987058172">
                                          <w:marLeft w:val="0"/>
                                          <w:marRight w:val="0"/>
                                          <w:marTop w:val="0"/>
                                          <w:marBottom w:val="0"/>
                                          <w:divBdr>
                                            <w:top w:val="none" w:sz="0" w:space="0" w:color="auto"/>
                                            <w:left w:val="none" w:sz="0" w:space="0" w:color="auto"/>
                                            <w:bottom w:val="none" w:sz="0" w:space="0" w:color="auto"/>
                                            <w:right w:val="none" w:sz="0" w:space="0" w:color="auto"/>
                                          </w:divBdr>
                                          <w:divsChild>
                                            <w:div w:id="146940324">
                                              <w:marLeft w:val="0"/>
                                              <w:marRight w:val="0"/>
                                              <w:marTop w:val="0"/>
                                              <w:marBottom w:val="0"/>
                                              <w:divBdr>
                                                <w:top w:val="none" w:sz="0" w:space="0" w:color="auto"/>
                                                <w:left w:val="none" w:sz="0" w:space="0" w:color="auto"/>
                                                <w:bottom w:val="none" w:sz="0" w:space="0" w:color="auto"/>
                                                <w:right w:val="none" w:sz="0" w:space="0" w:color="auto"/>
                                              </w:divBdr>
                                            </w:div>
                                            <w:div w:id="238905038">
                                              <w:marLeft w:val="0"/>
                                              <w:marRight w:val="0"/>
                                              <w:marTop w:val="0"/>
                                              <w:marBottom w:val="0"/>
                                              <w:divBdr>
                                                <w:top w:val="none" w:sz="0" w:space="0" w:color="auto"/>
                                                <w:left w:val="none" w:sz="0" w:space="0" w:color="auto"/>
                                                <w:bottom w:val="none" w:sz="0" w:space="0" w:color="auto"/>
                                                <w:right w:val="none" w:sz="0" w:space="0" w:color="auto"/>
                                              </w:divBdr>
                                            </w:div>
                                            <w:div w:id="1472285014">
                                              <w:marLeft w:val="0"/>
                                              <w:marRight w:val="0"/>
                                              <w:marTop w:val="0"/>
                                              <w:marBottom w:val="0"/>
                                              <w:divBdr>
                                                <w:top w:val="none" w:sz="0" w:space="0" w:color="auto"/>
                                                <w:left w:val="none" w:sz="0" w:space="0" w:color="auto"/>
                                                <w:bottom w:val="none" w:sz="0" w:space="0" w:color="auto"/>
                                                <w:right w:val="none" w:sz="0" w:space="0" w:color="auto"/>
                                              </w:divBdr>
                                            </w:div>
                                            <w:div w:id="1880508795">
                                              <w:marLeft w:val="0"/>
                                              <w:marRight w:val="0"/>
                                              <w:marTop w:val="0"/>
                                              <w:marBottom w:val="0"/>
                                              <w:divBdr>
                                                <w:top w:val="none" w:sz="0" w:space="0" w:color="auto"/>
                                                <w:left w:val="none" w:sz="0" w:space="0" w:color="auto"/>
                                                <w:bottom w:val="none" w:sz="0" w:space="0" w:color="auto"/>
                                                <w:right w:val="none" w:sz="0" w:space="0" w:color="auto"/>
                                              </w:divBdr>
                                              <w:divsChild>
                                                <w:div w:id="522012993">
                                                  <w:marLeft w:val="0"/>
                                                  <w:marRight w:val="0"/>
                                                  <w:marTop w:val="0"/>
                                                  <w:marBottom w:val="0"/>
                                                  <w:divBdr>
                                                    <w:top w:val="none" w:sz="0" w:space="0" w:color="auto"/>
                                                    <w:left w:val="none" w:sz="0" w:space="0" w:color="auto"/>
                                                    <w:bottom w:val="none" w:sz="0" w:space="0" w:color="auto"/>
                                                    <w:right w:val="none" w:sz="0" w:space="0" w:color="auto"/>
                                                  </w:divBdr>
                                                  <w:divsChild>
                                                    <w:div w:id="823198948">
                                                      <w:marLeft w:val="0"/>
                                                      <w:marRight w:val="0"/>
                                                      <w:marTop w:val="0"/>
                                                      <w:marBottom w:val="0"/>
                                                      <w:divBdr>
                                                        <w:top w:val="none" w:sz="0" w:space="0" w:color="auto"/>
                                                        <w:left w:val="none" w:sz="0" w:space="0" w:color="auto"/>
                                                        <w:bottom w:val="none" w:sz="0" w:space="0" w:color="auto"/>
                                                        <w:right w:val="none" w:sz="0" w:space="0" w:color="auto"/>
                                                      </w:divBdr>
                                                      <w:divsChild>
                                                        <w:div w:id="3231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2317917">
      <w:bodyDiv w:val="1"/>
      <w:marLeft w:val="0"/>
      <w:marRight w:val="0"/>
      <w:marTop w:val="0"/>
      <w:marBottom w:val="0"/>
      <w:divBdr>
        <w:top w:val="none" w:sz="0" w:space="0" w:color="auto"/>
        <w:left w:val="none" w:sz="0" w:space="0" w:color="auto"/>
        <w:bottom w:val="none" w:sz="0" w:space="0" w:color="auto"/>
        <w:right w:val="none" w:sz="0" w:space="0" w:color="auto"/>
      </w:divBdr>
      <w:divsChild>
        <w:div w:id="289554918">
          <w:marLeft w:val="0"/>
          <w:marRight w:val="0"/>
          <w:marTop w:val="0"/>
          <w:marBottom w:val="0"/>
          <w:divBdr>
            <w:top w:val="none" w:sz="0" w:space="0" w:color="auto"/>
            <w:left w:val="none" w:sz="0" w:space="0" w:color="auto"/>
            <w:bottom w:val="dotted" w:sz="6" w:space="4" w:color="DDDDDD"/>
            <w:right w:val="none" w:sz="0" w:space="0" w:color="auto"/>
          </w:divBdr>
          <w:divsChild>
            <w:div w:id="2134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11551">
      <w:bodyDiv w:val="1"/>
      <w:marLeft w:val="0"/>
      <w:marRight w:val="0"/>
      <w:marTop w:val="0"/>
      <w:marBottom w:val="0"/>
      <w:divBdr>
        <w:top w:val="none" w:sz="0" w:space="0" w:color="auto"/>
        <w:left w:val="none" w:sz="0" w:space="0" w:color="auto"/>
        <w:bottom w:val="none" w:sz="0" w:space="0" w:color="auto"/>
        <w:right w:val="none" w:sz="0" w:space="0" w:color="auto"/>
      </w:divBdr>
      <w:divsChild>
        <w:div w:id="49500266">
          <w:marLeft w:val="0"/>
          <w:marRight w:val="0"/>
          <w:marTop w:val="0"/>
          <w:marBottom w:val="150"/>
          <w:divBdr>
            <w:top w:val="none" w:sz="0" w:space="0" w:color="auto"/>
            <w:left w:val="none" w:sz="0" w:space="0" w:color="auto"/>
            <w:bottom w:val="none" w:sz="0" w:space="0" w:color="auto"/>
            <w:right w:val="none" w:sz="0" w:space="0" w:color="auto"/>
          </w:divBdr>
          <w:divsChild>
            <w:div w:id="1242446835">
              <w:marLeft w:val="0"/>
              <w:marRight w:val="0"/>
              <w:marTop w:val="0"/>
              <w:marBottom w:val="0"/>
              <w:divBdr>
                <w:top w:val="none" w:sz="0" w:space="0" w:color="auto"/>
                <w:left w:val="none" w:sz="0" w:space="0" w:color="auto"/>
                <w:bottom w:val="none" w:sz="0" w:space="0" w:color="auto"/>
                <w:right w:val="none" w:sz="0" w:space="0" w:color="auto"/>
              </w:divBdr>
              <w:divsChild>
                <w:div w:id="2138453728">
                  <w:marLeft w:val="0"/>
                  <w:marRight w:val="0"/>
                  <w:marTop w:val="0"/>
                  <w:marBottom w:val="0"/>
                  <w:divBdr>
                    <w:top w:val="none" w:sz="0" w:space="0" w:color="auto"/>
                    <w:left w:val="none" w:sz="0" w:space="0" w:color="auto"/>
                    <w:bottom w:val="none" w:sz="0" w:space="0" w:color="auto"/>
                    <w:right w:val="none" w:sz="0" w:space="0" w:color="auto"/>
                  </w:divBdr>
                  <w:divsChild>
                    <w:div w:id="2020034648">
                      <w:marLeft w:val="0"/>
                      <w:marRight w:val="150"/>
                      <w:marTop w:val="0"/>
                      <w:marBottom w:val="0"/>
                      <w:divBdr>
                        <w:top w:val="none" w:sz="0" w:space="0" w:color="auto"/>
                        <w:left w:val="none" w:sz="0" w:space="0" w:color="auto"/>
                        <w:bottom w:val="none" w:sz="0" w:space="0" w:color="auto"/>
                        <w:right w:val="none" w:sz="0" w:space="0" w:color="auto"/>
                      </w:divBdr>
                      <w:divsChild>
                        <w:div w:id="95263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47502">
          <w:marLeft w:val="0"/>
          <w:marRight w:val="0"/>
          <w:marTop w:val="0"/>
          <w:marBottom w:val="150"/>
          <w:divBdr>
            <w:top w:val="none" w:sz="0" w:space="0" w:color="auto"/>
            <w:left w:val="none" w:sz="0" w:space="0" w:color="auto"/>
            <w:bottom w:val="none" w:sz="0" w:space="0" w:color="auto"/>
            <w:right w:val="none" w:sz="0" w:space="0" w:color="auto"/>
          </w:divBdr>
        </w:div>
        <w:div w:id="484206750">
          <w:marLeft w:val="0"/>
          <w:marRight w:val="0"/>
          <w:marTop w:val="0"/>
          <w:marBottom w:val="0"/>
          <w:divBdr>
            <w:top w:val="none" w:sz="0" w:space="0" w:color="auto"/>
            <w:left w:val="none" w:sz="0" w:space="0" w:color="auto"/>
            <w:bottom w:val="none" w:sz="0" w:space="0" w:color="auto"/>
            <w:right w:val="none" w:sz="0" w:space="0" w:color="auto"/>
          </w:divBdr>
          <w:divsChild>
            <w:div w:id="41826175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63627650">
      <w:bodyDiv w:val="1"/>
      <w:marLeft w:val="0"/>
      <w:marRight w:val="0"/>
      <w:marTop w:val="0"/>
      <w:marBottom w:val="0"/>
      <w:divBdr>
        <w:top w:val="none" w:sz="0" w:space="0" w:color="auto"/>
        <w:left w:val="none" w:sz="0" w:space="0" w:color="auto"/>
        <w:bottom w:val="none" w:sz="0" w:space="0" w:color="auto"/>
        <w:right w:val="none" w:sz="0" w:space="0" w:color="auto"/>
      </w:divBdr>
      <w:divsChild>
        <w:div w:id="1752197755">
          <w:marLeft w:val="0"/>
          <w:marRight w:val="0"/>
          <w:marTop w:val="0"/>
          <w:marBottom w:val="0"/>
          <w:divBdr>
            <w:top w:val="none" w:sz="0" w:space="0" w:color="auto"/>
            <w:left w:val="none" w:sz="0" w:space="0" w:color="auto"/>
            <w:bottom w:val="none" w:sz="0" w:space="0" w:color="auto"/>
            <w:right w:val="none" w:sz="0" w:space="0" w:color="auto"/>
          </w:divBdr>
          <w:divsChild>
            <w:div w:id="8846075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63776667">
      <w:bodyDiv w:val="1"/>
      <w:marLeft w:val="0"/>
      <w:marRight w:val="0"/>
      <w:marTop w:val="0"/>
      <w:marBottom w:val="0"/>
      <w:divBdr>
        <w:top w:val="none" w:sz="0" w:space="0" w:color="auto"/>
        <w:left w:val="none" w:sz="0" w:space="0" w:color="auto"/>
        <w:bottom w:val="none" w:sz="0" w:space="0" w:color="auto"/>
        <w:right w:val="none" w:sz="0" w:space="0" w:color="auto"/>
      </w:divBdr>
      <w:divsChild>
        <w:div w:id="321929145">
          <w:marLeft w:val="0"/>
          <w:marRight w:val="0"/>
          <w:marTop w:val="0"/>
          <w:marBottom w:val="0"/>
          <w:divBdr>
            <w:top w:val="none" w:sz="0" w:space="0" w:color="auto"/>
            <w:left w:val="none" w:sz="0" w:space="0" w:color="auto"/>
            <w:bottom w:val="dotted" w:sz="6" w:space="4" w:color="DDDDDD"/>
            <w:right w:val="none" w:sz="0" w:space="0" w:color="auto"/>
          </w:divBdr>
          <w:divsChild>
            <w:div w:id="2925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780224">
      <w:bodyDiv w:val="1"/>
      <w:marLeft w:val="0"/>
      <w:marRight w:val="0"/>
      <w:marTop w:val="0"/>
      <w:marBottom w:val="0"/>
      <w:divBdr>
        <w:top w:val="none" w:sz="0" w:space="0" w:color="auto"/>
        <w:left w:val="none" w:sz="0" w:space="0" w:color="auto"/>
        <w:bottom w:val="none" w:sz="0" w:space="0" w:color="auto"/>
        <w:right w:val="none" w:sz="0" w:space="0" w:color="auto"/>
      </w:divBdr>
      <w:divsChild>
        <w:div w:id="1047611341">
          <w:marLeft w:val="0"/>
          <w:marRight w:val="0"/>
          <w:marTop w:val="0"/>
          <w:marBottom w:val="0"/>
          <w:divBdr>
            <w:top w:val="none" w:sz="0" w:space="0" w:color="auto"/>
            <w:left w:val="none" w:sz="0" w:space="0" w:color="auto"/>
            <w:bottom w:val="none" w:sz="0" w:space="0" w:color="auto"/>
            <w:right w:val="none" w:sz="0" w:space="0" w:color="auto"/>
          </w:divBdr>
          <w:divsChild>
            <w:div w:id="637031648">
              <w:marLeft w:val="0"/>
              <w:marRight w:val="0"/>
              <w:marTop w:val="0"/>
              <w:marBottom w:val="0"/>
              <w:divBdr>
                <w:top w:val="none" w:sz="0" w:space="0" w:color="auto"/>
                <w:left w:val="none" w:sz="0" w:space="0" w:color="auto"/>
                <w:bottom w:val="none" w:sz="0" w:space="0" w:color="auto"/>
                <w:right w:val="none" w:sz="0" w:space="0" w:color="auto"/>
              </w:divBdr>
              <w:divsChild>
                <w:div w:id="358625621">
                  <w:marLeft w:val="0"/>
                  <w:marRight w:val="0"/>
                  <w:marTop w:val="0"/>
                  <w:marBottom w:val="0"/>
                  <w:divBdr>
                    <w:top w:val="none" w:sz="0" w:space="0" w:color="auto"/>
                    <w:left w:val="none" w:sz="0" w:space="0" w:color="auto"/>
                    <w:bottom w:val="none" w:sz="0" w:space="0" w:color="auto"/>
                    <w:right w:val="none" w:sz="0" w:space="0" w:color="auto"/>
                  </w:divBdr>
                  <w:divsChild>
                    <w:div w:id="1044793233">
                      <w:marLeft w:val="0"/>
                      <w:marRight w:val="0"/>
                      <w:marTop w:val="0"/>
                      <w:marBottom w:val="0"/>
                      <w:divBdr>
                        <w:top w:val="none" w:sz="0" w:space="0" w:color="auto"/>
                        <w:left w:val="none" w:sz="0" w:space="0" w:color="auto"/>
                        <w:bottom w:val="none" w:sz="0" w:space="0" w:color="auto"/>
                        <w:right w:val="none" w:sz="0" w:space="0" w:color="auto"/>
                      </w:divBdr>
                      <w:divsChild>
                        <w:div w:id="1470125684">
                          <w:marLeft w:val="0"/>
                          <w:marRight w:val="0"/>
                          <w:marTop w:val="0"/>
                          <w:marBottom w:val="0"/>
                          <w:divBdr>
                            <w:top w:val="none" w:sz="0" w:space="0" w:color="auto"/>
                            <w:left w:val="none" w:sz="0" w:space="0" w:color="auto"/>
                            <w:bottom w:val="none" w:sz="0" w:space="0" w:color="auto"/>
                            <w:right w:val="none" w:sz="0" w:space="0" w:color="auto"/>
                          </w:divBdr>
                          <w:divsChild>
                            <w:div w:id="1949584278">
                              <w:marLeft w:val="0"/>
                              <w:marRight w:val="0"/>
                              <w:marTop w:val="0"/>
                              <w:marBottom w:val="0"/>
                              <w:divBdr>
                                <w:top w:val="none" w:sz="0" w:space="0" w:color="auto"/>
                                <w:left w:val="none" w:sz="0" w:space="0" w:color="auto"/>
                                <w:bottom w:val="none" w:sz="0" w:space="0" w:color="auto"/>
                                <w:right w:val="none" w:sz="0" w:space="0" w:color="auto"/>
                              </w:divBdr>
                              <w:divsChild>
                                <w:div w:id="1306668912">
                                  <w:marLeft w:val="0"/>
                                  <w:marRight w:val="0"/>
                                  <w:marTop w:val="0"/>
                                  <w:marBottom w:val="0"/>
                                  <w:divBdr>
                                    <w:top w:val="none" w:sz="0" w:space="0" w:color="auto"/>
                                    <w:left w:val="none" w:sz="0" w:space="0" w:color="auto"/>
                                    <w:bottom w:val="none" w:sz="0" w:space="0" w:color="auto"/>
                                    <w:right w:val="none" w:sz="0" w:space="0" w:color="auto"/>
                                  </w:divBdr>
                                  <w:divsChild>
                                    <w:div w:id="50956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900626">
      <w:bodyDiv w:val="1"/>
      <w:marLeft w:val="0"/>
      <w:marRight w:val="0"/>
      <w:marTop w:val="0"/>
      <w:marBottom w:val="0"/>
      <w:divBdr>
        <w:top w:val="none" w:sz="0" w:space="0" w:color="auto"/>
        <w:left w:val="none" w:sz="0" w:space="0" w:color="auto"/>
        <w:bottom w:val="none" w:sz="0" w:space="0" w:color="auto"/>
        <w:right w:val="none" w:sz="0" w:space="0" w:color="auto"/>
      </w:divBdr>
      <w:divsChild>
        <w:div w:id="1910190868">
          <w:marLeft w:val="0"/>
          <w:marRight w:val="0"/>
          <w:marTop w:val="0"/>
          <w:marBottom w:val="0"/>
          <w:divBdr>
            <w:top w:val="none" w:sz="0" w:space="0" w:color="auto"/>
            <w:left w:val="none" w:sz="0" w:space="0" w:color="auto"/>
            <w:bottom w:val="none" w:sz="0" w:space="0" w:color="auto"/>
            <w:right w:val="none" w:sz="0" w:space="0" w:color="auto"/>
          </w:divBdr>
          <w:divsChild>
            <w:div w:id="1539854768">
              <w:marLeft w:val="0"/>
              <w:marRight w:val="0"/>
              <w:marTop w:val="0"/>
              <w:marBottom w:val="0"/>
              <w:divBdr>
                <w:top w:val="none" w:sz="0" w:space="0" w:color="auto"/>
                <w:left w:val="none" w:sz="0" w:space="0" w:color="auto"/>
                <w:bottom w:val="none" w:sz="0" w:space="0" w:color="auto"/>
                <w:right w:val="none" w:sz="0" w:space="0" w:color="auto"/>
              </w:divBdr>
              <w:divsChild>
                <w:div w:id="339502867">
                  <w:marLeft w:val="0"/>
                  <w:marRight w:val="0"/>
                  <w:marTop w:val="0"/>
                  <w:marBottom w:val="0"/>
                  <w:divBdr>
                    <w:top w:val="none" w:sz="0" w:space="0" w:color="auto"/>
                    <w:left w:val="none" w:sz="0" w:space="0" w:color="auto"/>
                    <w:bottom w:val="none" w:sz="0" w:space="0" w:color="auto"/>
                    <w:right w:val="none" w:sz="0" w:space="0" w:color="auto"/>
                  </w:divBdr>
                  <w:divsChild>
                    <w:div w:id="1992636694">
                      <w:marLeft w:val="0"/>
                      <w:marRight w:val="0"/>
                      <w:marTop w:val="0"/>
                      <w:marBottom w:val="0"/>
                      <w:divBdr>
                        <w:top w:val="none" w:sz="0" w:space="0" w:color="auto"/>
                        <w:left w:val="none" w:sz="0" w:space="0" w:color="auto"/>
                        <w:bottom w:val="none" w:sz="0" w:space="0" w:color="auto"/>
                        <w:right w:val="none" w:sz="0" w:space="0" w:color="auto"/>
                      </w:divBdr>
                      <w:divsChild>
                        <w:div w:id="1776055094">
                          <w:marLeft w:val="0"/>
                          <w:marRight w:val="0"/>
                          <w:marTop w:val="0"/>
                          <w:marBottom w:val="0"/>
                          <w:divBdr>
                            <w:top w:val="none" w:sz="0" w:space="0" w:color="auto"/>
                            <w:left w:val="none" w:sz="0" w:space="0" w:color="auto"/>
                            <w:bottom w:val="none" w:sz="0" w:space="0" w:color="auto"/>
                            <w:right w:val="none" w:sz="0" w:space="0" w:color="auto"/>
                          </w:divBdr>
                          <w:divsChild>
                            <w:div w:id="746155038">
                              <w:marLeft w:val="0"/>
                              <w:marRight w:val="0"/>
                              <w:marTop w:val="0"/>
                              <w:marBottom w:val="0"/>
                              <w:divBdr>
                                <w:top w:val="none" w:sz="0" w:space="0" w:color="auto"/>
                                <w:left w:val="none" w:sz="0" w:space="0" w:color="auto"/>
                                <w:bottom w:val="none" w:sz="0" w:space="0" w:color="auto"/>
                                <w:right w:val="none" w:sz="0" w:space="0" w:color="auto"/>
                              </w:divBdr>
                              <w:divsChild>
                                <w:div w:id="710884177">
                                  <w:marLeft w:val="0"/>
                                  <w:marRight w:val="0"/>
                                  <w:marTop w:val="0"/>
                                  <w:marBottom w:val="0"/>
                                  <w:divBdr>
                                    <w:top w:val="none" w:sz="0" w:space="0" w:color="auto"/>
                                    <w:left w:val="none" w:sz="0" w:space="0" w:color="auto"/>
                                    <w:bottom w:val="none" w:sz="0" w:space="0" w:color="auto"/>
                                    <w:right w:val="none" w:sz="0" w:space="0" w:color="auto"/>
                                  </w:divBdr>
                                  <w:divsChild>
                                    <w:div w:id="127324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976780">
      <w:bodyDiv w:val="1"/>
      <w:marLeft w:val="0"/>
      <w:marRight w:val="0"/>
      <w:marTop w:val="0"/>
      <w:marBottom w:val="0"/>
      <w:divBdr>
        <w:top w:val="none" w:sz="0" w:space="0" w:color="auto"/>
        <w:left w:val="none" w:sz="0" w:space="0" w:color="auto"/>
        <w:bottom w:val="none" w:sz="0" w:space="0" w:color="auto"/>
        <w:right w:val="none" w:sz="0" w:space="0" w:color="auto"/>
      </w:divBdr>
      <w:divsChild>
        <w:div w:id="1162966078">
          <w:marLeft w:val="0"/>
          <w:marRight w:val="0"/>
          <w:marTop w:val="0"/>
          <w:marBottom w:val="0"/>
          <w:divBdr>
            <w:top w:val="none" w:sz="0" w:space="0" w:color="auto"/>
            <w:left w:val="none" w:sz="0" w:space="0" w:color="auto"/>
            <w:bottom w:val="dotted" w:sz="6" w:space="4" w:color="DDDDDD"/>
            <w:right w:val="none" w:sz="0" w:space="0" w:color="auto"/>
          </w:divBdr>
          <w:divsChild>
            <w:div w:id="131067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166443">
      <w:bodyDiv w:val="1"/>
      <w:marLeft w:val="0"/>
      <w:marRight w:val="0"/>
      <w:marTop w:val="0"/>
      <w:marBottom w:val="0"/>
      <w:divBdr>
        <w:top w:val="none" w:sz="0" w:space="0" w:color="auto"/>
        <w:left w:val="none" w:sz="0" w:space="0" w:color="auto"/>
        <w:bottom w:val="none" w:sz="0" w:space="0" w:color="auto"/>
        <w:right w:val="none" w:sz="0" w:space="0" w:color="auto"/>
      </w:divBdr>
      <w:divsChild>
        <w:div w:id="37055276">
          <w:marLeft w:val="0"/>
          <w:marRight w:val="0"/>
          <w:marTop w:val="0"/>
          <w:marBottom w:val="0"/>
          <w:divBdr>
            <w:top w:val="none" w:sz="0" w:space="0" w:color="auto"/>
            <w:left w:val="none" w:sz="0" w:space="0" w:color="auto"/>
            <w:bottom w:val="none" w:sz="0" w:space="0" w:color="auto"/>
            <w:right w:val="none" w:sz="0" w:space="0" w:color="auto"/>
          </w:divBdr>
          <w:divsChild>
            <w:div w:id="2043631796">
              <w:marLeft w:val="0"/>
              <w:marRight w:val="0"/>
              <w:marTop w:val="0"/>
              <w:marBottom w:val="0"/>
              <w:divBdr>
                <w:top w:val="none" w:sz="0" w:space="0" w:color="auto"/>
                <w:left w:val="none" w:sz="0" w:space="0" w:color="auto"/>
                <w:bottom w:val="none" w:sz="0" w:space="0" w:color="auto"/>
                <w:right w:val="none" w:sz="0" w:space="0" w:color="auto"/>
              </w:divBdr>
              <w:divsChild>
                <w:div w:id="578439673">
                  <w:marLeft w:val="0"/>
                  <w:marRight w:val="0"/>
                  <w:marTop w:val="0"/>
                  <w:marBottom w:val="0"/>
                  <w:divBdr>
                    <w:top w:val="none" w:sz="0" w:space="0" w:color="auto"/>
                    <w:left w:val="none" w:sz="0" w:space="0" w:color="auto"/>
                    <w:bottom w:val="none" w:sz="0" w:space="0" w:color="auto"/>
                    <w:right w:val="none" w:sz="0" w:space="0" w:color="auto"/>
                  </w:divBdr>
                  <w:divsChild>
                    <w:div w:id="291130050">
                      <w:marLeft w:val="0"/>
                      <w:marRight w:val="0"/>
                      <w:marTop w:val="0"/>
                      <w:marBottom w:val="0"/>
                      <w:divBdr>
                        <w:top w:val="none" w:sz="0" w:space="0" w:color="auto"/>
                        <w:left w:val="none" w:sz="0" w:space="0" w:color="auto"/>
                        <w:bottom w:val="none" w:sz="0" w:space="0" w:color="auto"/>
                        <w:right w:val="none" w:sz="0" w:space="0" w:color="auto"/>
                      </w:divBdr>
                      <w:divsChild>
                        <w:div w:id="1866556080">
                          <w:marLeft w:val="0"/>
                          <w:marRight w:val="0"/>
                          <w:marTop w:val="0"/>
                          <w:marBottom w:val="0"/>
                          <w:divBdr>
                            <w:top w:val="none" w:sz="0" w:space="0" w:color="auto"/>
                            <w:left w:val="none" w:sz="0" w:space="0" w:color="auto"/>
                            <w:bottom w:val="none" w:sz="0" w:space="0" w:color="auto"/>
                            <w:right w:val="none" w:sz="0" w:space="0" w:color="auto"/>
                          </w:divBdr>
                          <w:divsChild>
                            <w:div w:id="180626204">
                              <w:marLeft w:val="0"/>
                              <w:marRight w:val="0"/>
                              <w:marTop w:val="0"/>
                              <w:marBottom w:val="0"/>
                              <w:divBdr>
                                <w:top w:val="none" w:sz="0" w:space="0" w:color="auto"/>
                                <w:left w:val="none" w:sz="0" w:space="0" w:color="auto"/>
                                <w:bottom w:val="none" w:sz="0" w:space="0" w:color="auto"/>
                                <w:right w:val="none" w:sz="0" w:space="0" w:color="auto"/>
                              </w:divBdr>
                              <w:divsChild>
                                <w:div w:id="548107446">
                                  <w:marLeft w:val="0"/>
                                  <w:marRight w:val="0"/>
                                  <w:marTop w:val="0"/>
                                  <w:marBottom w:val="0"/>
                                  <w:divBdr>
                                    <w:top w:val="none" w:sz="0" w:space="0" w:color="auto"/>
                                    <w:left w:val="none" w:sz="0" w:space="0" w:color="auto"/>
                                    <w:bottom w:val="none" w:sz="0" w:space="0" w:color="auto"/>
                                    <w:right w:val="none" w:sz="0" w:space="0" w:color="auto"/>
                                  </w:divBdr>
                                  <w:divsChild>
                                    <w:div w:id="33561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4360532">
      <w:bodyDiv w:val="1"/>
      <w:marLeft w:val="0"/>
      <w:marRight w:val="0"/>
      <w:marTop w:val="0"/>
      <w:marBottom w:val="0"/>
      <w:divBdr>
        <w:top w:val="none" w:sz="0" w:space="0" w:color="auto"/>
        <w:left w:val="none" w:sz="0" w:space="0" w:color="auto"/>
        <w:bottom w:val="none" w:sz="0" w:space="0" w:color="auto"/>
        <w:right w:val="none" w:sz="0" w:space="0" w:color="auto"/>
      </w:divBdr>
      <w:divsChild>
        <w:div w:id="891422578">
          <w:marLeft w:val="0"/>
          <w:marRight w:val="0"/>
          <w:marTop w:val="0"/>
          <w:marBottom w:val="0"/>
          <w:divBdr>
            <w:top w:val="none" w:sz="0" w:space="0" w:color="auto"/>
            <w:left w:val="none" w:sz="0" w:space="0" w:color="auto"/>
            <w:bottom w:val="dotted" w:sz="6" w:space="4" w:color="DDDDDD"/>
            <w:right w:val="none" w:sz="0" w:space="0" w:color="auto"/>
          </w:divBdr>
          <w:divsChild>
            <w:div w:id="20436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364388">
      <w:bodyDiv w:val="1"/>
      <w:marLeft w:val="0"/>
      <w:marRight w:val="0"/>
      <w:marTop w:val="0"/>
      <w:marBottom w:val="0"/>
      <w:divBdr>
        <w:top w:val="none" w:sz="0" w:space="0" w:color="auto"/>
        <w:left w:val="none" w:sz="0" w:space="0" w:color="auto"/>
        <w:bottom w:val="none" w:sz="0" w:space="0" w:color="auto"/>
        <w:right w:val="none" w:sz="0" w:space="0" w:color="auto"/>
      </w:divBdr>
      <w:divsChild>
        <w:div w:id="1536844211">
          <w:marLeft w:val="0"/>
          <w:marRight w:val="0"/>
          <w:marTop w:val="0"/>
          <w:marBottom w:val="0"/>
          <w:divBdr>
            <w:top w:val="none" w:sz="0" w:space="0" w:color="auto"/>
            <w:left w:val="none" w:sz="0" w:space="0" w:color="auto"/>
            <w:bottom w:val="none" w:sz="0" w:space="0" w:color="auto"/>
            <w:right w:val="none" w:sz="0" w:space="0" w:color="auto"/>
          </w:divBdr>
          <w:divsChild>
            <w:div w:id="360713346">
              <w:marLeft w:val="0"/>
              <w:marRight w:val="0"/>
              <w:marTop w:val="0"/>
              <w:marBottom w:val="0"/>
              <w:divBdr>
                <w:top w:val="none" w:sz="0" w:space="0" w:color="auto"/>
                <w:left w:val="none" w:sz="0" w:space="0" w:color="auto"/>
                <w:bottom w:val="none" w:sz="0" w:space="0" w:color="auto"/>
                <w:right w:val="none" w:sz="0" w:space="0" w:color="auto"/>
              </w:divBdr>
              <w:divsChild>
                <w:div w:id="1158620426">
                  <w:marLeft w:val="0"/>
                  <w:marRight w:val="0"/>
                  <w:marTop w:val="0"/>
                  <w:marBottom w:val="0"/>
                  <w:divBdr>
                    <w:top w:val="none" w:sz="0" w:space="0" w:color="auto"/>
                    <w:left w:val="none" w:sz="0" w:space="0" w:color="auto"/>
                    <w:bottom w:val="none" w:sz="0" w:space="0" w:color="auto"/>
                    <w:right w:val="none" w:sz="0" w:space="0" w:color="auto"/>
                  </w:divBdr>
                  <w:divsChild>
                    <w:div w:id="2145275374">
                      <w:marLeft w:val="0"/>
                      <w:marRight w:val="0"/>
                      <w:marTop w:val="0"/>
                      <w:marBottom w:val="0"/>
                      <w:divBdr>
                        <w:top w:val="none" w:sz="0" w:space="0" w:color="auto"/>
                        <w:left w:val="none" w:sz="0" w:space="0" w:color="auto"/>
                        <w:bottom w:val="none" w:sz="0" w:space="0" w:color="auto"/>
                        <w:right w:val="none" w:sz="0" w:space="0" w:color="auto"/>
                      </w:divBdr>
                      <w:divsChild>
                        <w:div w:id="1335843716">
                          <w:marLeft w:val="0"/>
                          <w:marRight w:val="0"/>
                          <w:marTop w:val="0"/>
                          <w:marBottom w:val="0"/>
                          <w:divBdr>
                            <w:top w:val="none" w:sz="0" w:space="0" w:color="auto"/>
                            <w:left w:val="none" w:sz="0" w:space="0" w:color="auto"/>
                            <w:bottom w:val="none" w:sz="0" w:space="0" w:color="auto"/>
                            <w:right w:val="none" w:sz="0" w:space="0" w:color="auto"/>
                          </w:divBdr>
                          <w:divsChild>
                            <w:div w:id="996106335">
                              <w:marLeft w:val="0"/>
                              <w:marRight w:val="0"/>
                              <w:marTop w:val="0"/>
                              <w:marBottom w:val="0"/>
                              <w:divBdr>
                                <w:top w:val="none" w:sz="0" w:space="0" w:color="auto"/>
                                <w:left w:val="none" w:sz="0" w:space="0" w:color="auto"/>
                                <w:bottom w:val="none" w:sz="0" w:space="0" w:color="auto"/>
                                <w:right w:val="none" w:sz="0" w:space="0" w:color="auto"/>
                              </w:divBdr>
                              <w:divsChild>
                                <w:div w:id="245965511">
                                  <w:marLeft w:val="0"/>
                                  <w:marRight w:val="0"/>
                                  <w:marTop w:val="0"/>
                                  <w:marBottom w:val="0"/>
                                  <w:divBdr>
                                    <w:top w:val="none" w:sz="0" w:space="0" w:color="auto"/>
                                    <w:left w:val="none" w:sz="0" w:space="0" w:color="auto"/>
                                    <w:bottom w:val="none" w:sz="0" w:space="0" w:color="auto"/>
                                    <w:right w:val="none" w:sz="0" w:space="0" w:color="auto"/>
                                  </w:divBdr>
                                  <w:divsChild>
                                    <w:div w:id="1956324849">
                                      <w:marLeft w:val="0"/>
                                      <w:marRight w:val="0"/>
                                      <w:marTop w:val="0"/>
                                      <w:marBottom w:val="0"/>
                                      <w:divBdr>
                                        <w:top w:val="none" w:sz="0" w:space="0" w:color="auto"/>
                                        <w:left w:val="none" w:sz="0" w:space="0" w:color="auto"/>
                                        <w:bottom w:val="none" w:sz="0" w:space="0" w:color="auto"/>
                                        <w:right w:val="none" w:sz="0" w:space="0" w:color="auto"/>
                                      </w:divBdr>
                                      <w:divsChild>
                                        <w:div w:id="122764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4939993">
      <w:bodyDiv w:val="1"/>
      <w:marLeft w:val="0"/>
      <w:marRight w:val="0"/>
      <w:marTop w:val="0"/>
      <w:marBottom w:val="0"/>
      <w:divBdr>
        <w:top w:val="none" w:sz="0" w:space="0" w:color="auto"/>
        <w:left w:val="none" w:sz="0" w:space="0" w:color="auto"/>
        <w:bottom w:val="none" w:sz="0" w:space="0" w:color="auto"/>
        <w:right w:val="none" w:sz="0" w:space="0" w:color="auto"/>
      </w:divBdr>
      <w:divsChild>
        <w:div w:id="706293687">
          <w:marLeft w:val="0"/>
          <w:marRight w:val="0"/>
          <w:marTop w:val="0"/>
          <w:marBottom w:val="0"/>
          <w:divBdr>
            <w:top w:val="none" w:sz="0" w:space="0" w:color="auto"/>
            <w:left w:val="none" w:sz="0" w:space="0" w:color="auto"/>
            <w:bottom w:val="none" w:sz="0" w:space="0" w:color="auto"/>
            <w:right w:val="none" w:sz="0" w:space="0" w:color="auto"/>
          </w:divBdr>
          <w:divsChild>
            <w:div w:id="1335567240">
              <w:marLeft w:val="0"/>
              <w:marRight w:val="0"/>
              <w:marTop w:val="0"/>
              <w:marBottom w:val="0"/>
              <w:divBdr>
                <w:top w:val="none" w:sz="0" w:space="0" w:color="auto"/>
                <w:left w:val="none" w:sz="0" w:space="0" w:color="auto"/>
                <w:bottom w:val="none" w:sz="0" w:space="0" w:color="auto"/>
                <w:right w:val="none" w:sz="0" w:space="0" w:color="auto"/>
              </w:divBdr>
              <w:divsChild>
                <w:div w:id="2011329873">
                  <w:marLeft w:val="0"/>
                  <w:marRight w:val="0"/>
                  <w:marTop w:val="0"/>
                  <w:marBottom w:val="0"/>
                  <w:divBdr>
                    <w:top w:val="none" w:sz="0" w:space="0" w:color="auto"/>
                    <w:left w:val="none" w:sz="0" w:space="0" w:color="auto"/>
                    <w:bottom w:val="none" w:sz="0" w:space="0" w:color="auto"/>
                    <w:right w:val="none" w:sz="0" w:space="0" w:color="auto"/>
                  </w:divBdr>
                  <w:divsChild>
                    <w:div w:id="409935870">
                      <w:marLeft w:val="0"/>
                      <w:marRight w:val="0"/>
                      <w:marTop w:val="0"/>
                      <w:marBottom w:val="0"/>
                      <w:divBdr>
                        <w:top w:val="none" w:sz="0" w:space="0" w:color="auto"/>
                        <w:left w:val="none" w:sz="0" w:space="0" w:color="auto"/>
                        <w:bottom w:val="none" w:sz="0" w:space="0" w:color="auto"/>
                        <w:right w:val="none" w:sz="0" w:space="0" w:color="auto"/>
                      </w:divBdr>
                      <w:divsChild>
                        <w:div w:id="2033871376">
                          <w:marLeft w:val="0"/>
                          <w:marRight w:val="0"/>
                          <w:marTop w:val="150"/>
                          <w:marBottom w:val="150"/>
                          <w:divBdr>
                            <w:top w:val="none" w:sz="0" w:space="0" w:color="auto"/>
                            <w:left w:val="none" w:sz="0" w:space="0" w:color="auto"/>
                            <w:bottom w:val="none" w:sz="0" w:space="0" w:color="auto"/>
                            <w:right w:val="none" w:sz="0" w:space="0" w:color="auto"/>
                          </w:divBdr>
                          <w:divsChild>
                            <w:div w:id="2121339288">
                              <w:marLeft w:val="150"/>
                              <w:marRight w:val="0"/>
                              <w:marTop w:val="0"/>
                              <w:marBottom w:val="0"/>
                              <w:divBdr>
                                <w:top w:val="none" w:sz="0" w:space="0" w:color="auto"/>
                                <w:left w:val="none" w:sz="0" w:space="0" w:color="auto"/>
                                <w:bottom w:val="none" w:sz="0" w:space="0" w:color="auto"/>
                                <w:right w:val="none" w:sz="0" w:space="0" w:color="auto"/>
                              </w:divBdr>
                              <w:divsChild>
                                <w:div w:id="1095398858">
                                  <w:marLeft w:val="0"/>
                                  <w:marRight w:val="0"/>
                                  <w:marTop w:val="0"/>
                                  <w:marBottom w:val="0"/>
                                  <w:divBdr>
                                    <w:top w:val="none" w:sz="0" w:space="0" w:color="auto"/>
                                    <w:left w:val="none" w:sz="0" w:space="0" w:color="auto"/>
                                    <w:bottom w:val="none" w:sz="0" w:space="0" w:color="auto"/>
                                    <w:right w:val="none" w:sz="0" w:space="0" w:color="auto"/>
                                  </w:divBdr>
                                  <w:divsChild>
                                    <w:div w:id="1792359597">
                                      <w:marLeft w:val="0"/>
                                      <w:marRight w:val="0"/>
                                      <w:marTop w:val="0"/>
                                      <w:marBottom w:val="0"/>
                                      <w:divBdr>
                                        <w:top w:val="none" w:sz="0" w:space="0" w:color="auto"/>
                                        <w:left w:val="none" w:sz="0" w:space="0" w:color="auto"/>
                                        <w:bottom w:val="none" w:sz="0" w:space="0" w:color="auto"/>
                                        <w:right w:val="none" w:sz="0" w:space="0" w:color="auto"/>
                                      </w:divBdr>
                                      <w:divsChild>
                                        <w:div w:id="125393589">
                                          <w:marLeft w:val="0"/>
                                          <w:marRight w:val="0"/>
                                          <w:marTop w:val="0"/>
                                          <w:marBottom w:val="0"/>
                                          <w:divBdr>
                                            <w:top w:val="none" w:sz="0" w:space="0" w:color="auto"/>
                                            <w:left w:val="none" w:sz="0" w:space="0" w:color="auto"/>
                                            <w:bottom w:val="none" w:sz="0" w:space="0" w:color="auto"/>
                                            <w:right w:val="none" w:sz="0" w:space="0" w:color="auto"/>
                                          </w:divBdr>
                                          <w:divsChild>
                                            <w:div w:id="1740323551">
                                              <w:marLeft w:val="0"/>
                                              <w:marRight w:val="0"/>
                                              <w:marTop w:val="0"/>
                                              <w:marBottom w:val="150"/>
                                              <w:divBdr>
                                                <w:top w:val="none" w:sz="0" w:space="0" w:color="auto"/>
                                                <w:left w:val="none" w:sz="0" w:space="0" w:color="auto"/>
                                                <w:bottom w:val="none" w:sz="0" w:space="0" w:color="auto"/>
                                                <w:right w:val="none" w:sz="0" w:space="0" w:color="auto"/>
                                              </w:divBdr>
                                              <w:divsChild>
                                                <w:div w:id="1381513353">
                                                  <w:marLeft w:val="0"/>
                                                  <w:marRight w:val="0"/>
                                                  <w:marTop w:val="0"/>
                                                  <w:marBottom w:val="0"/>
                                                  <w:divBdr>
                                                    <w:top w:val="none" w:sz="0" w:space="0" w:color="auto"/>
                                                    <w:left w:val="none" w:sz="0" w:space="0" w:color="auto"/>
                                                    <w:bottom w:val="none" w:sz="0" w:space="0" w:color="auto"/>
                                                    <w:right w:val="none" w:sz="0" w:space="0" w:color="auto"/>
                                                  </w:divBdr>
                                                  <w:divsChild>
                                                    <w:div w:id="437214607">
                                                      <w:marLeft w:val="0"/>
                                                      <w:marRight w:val="0"/>
                                                      <w:marTop w:val="0"/>
                                                      <w:marBottom w:val="0"/>
                                                      <w:divBdr>
                                                        <w:top w:val="none" w:sz="0" w:space="0" w:color="auto"/>
                                                        <w:left w:val="none" w:sz="0" w:space="0" w:color="auto"/>
                                                        <w:bottom w:val="none" w:sz="0" w:space="0" w:color="auto"/>
                                                        <w:right w:val="none" w:sz="0" w:space="0" w:color="auto"/>
                                                      </w:divBdr>
                                                      <w:divsChild>
                                                        <w:div w:id="750347001">
                                                          <w:marLeft w:val="0"/>
                                                          <w:marRight w:val="0"/>
                                                          <w:marTop w:val="0"/>
                                                          <w:marBottom w:val="0"/>
                                                          <w:divBdr>
                                                            <w:top w:val="none" w:sz="0" w:space="0" w:color="auto"/>
                                                            <w:left w:val="none" w:sz="0" w:space="0" w:color="auto"/>
                                                            <w:bottom w:val="none" w:sz="0" w:space="0" w:color="auto"/>
                                                            <w:right w:val="none" w:sz="0" w:space="0" w:color="auto"/>
                                                          </w:divBdr>
                                                          <w:divsChild>
                                                            <w:div w:id="293097652">
                                                              <w:marLeft w:val="0"/>
                                                              <w:marRight w:val="0"/>
                                                              <w:marTop w:val="0"/>
                                                              <w:marBottom w:val="0"/>
                                                              <w:divBdr>
                                                                <w:top w:val="none" w:sz="0" w:space="0" w:color="auto"/>
                                                                <w:left w:val="none" w:sz="0" w:space="0" w:color="auto"/>
                                                                <w:bottom w:val="none" w:sz="0" w:space="0" w:color="auto"/>
                                                                <w:right w:val="none" w:sz="0" w:space="0" w:color="auto"/>
                                                              </w:divBdr>
                                                              <w:divsChild>
                                                                <w:div w:id="24499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65090519">
      <w:bodyDiv w:val="1"/>
      <w:marLeft w:val="0"/>
      <w:marRight w:val="0"/>
      <w:marTop w:val="0"/>
      <w:marBottom w:val="0"/>
      <w:divBdr>
        <w:top w:val="none" w:sz="0" w:space="0" w:color="auto"/>
        <w:left w:val="none" w:sz="0" w:space="0" w:color="auto"/>
        <w:bottom w:val="none" w:sz="0" w:space="0" w:color="auto"/>
        <w:right w:val="none" w:sz="0" w:space="0" w:color="auto"/>
      </w:divBdr>
      <w:divsChild>
        <w:div w:id="395669986">
          <w:marLeft w:val="0"/>
          <w:marRight w:val="0"/>
          <w:marTop w:val="0"/>
          <w:marBottom w:val="0"/>
          <w:divBdr>
            <w:top w:val="none" w:sz="0" w:space="0" w:color="auto"/>
            <w:left w:val="none" w:sz="0" w:space="0" w:color="auto"/>
            <w:bottom w:val="none" w:sz="0" w:space="0" w:color="auto"/>
            <w:right w:val="none" w:sz="0" w:space="0" w:color="auto"/>
          </w:divBdr>
          <w:divsChild>
            <w:div w:id="688023460">
              <w:marLeft w:val="0"/>
              <w:marRight w:val="0"/>
              <w:marTop w:val="0"/>
              <w:marBottom w:val="0"/>
              <w:divBdr>
                <w:top w:val="none" w:sz="0" w:space="0" w:color="auto"/>
                <w:left w:val="none" w:sz="0" w:space="0" w:color="auto"/>
                <w:bottom w:val="none" w:sz="0" w:space="0" w:color="auto"/>
                <w:right w:val="none" w:sz="0" w:space="0" w:color="auto"/>
              </w:divBdr>
              <w:divsChild>
                <w:div w:id="551312765">
                  <w:marLeft w:val="0"/>
                  <w:marRight w:val="0"/>
                  <w:marTop w:val="0"/>
                  <w:marBottom w:val="0"/>
                  <w:divBdr>
                    <w:top w:val="none" w:sz="0" w:space="0" w:color="auto"/>
                    <w:left w:val="none" w:sz="0" w:space="0" w:color="auto"/>
                    <w:bottom w:val="none" w:sz="0" w:space="0" w:color="auto"/>
                    <w:right w:val="none" w:sz="0" w:space="0" w:color="auto"/>
                  </w:divBdr>
                  <w:divsChild>
                    <w:div w:id="770709156">
                      <w:marLeft w:val="0"/>
                      <w:marRight w:val="0"/>
                      <w:marTop w:val="0"/>
                      <w:marBottom w:val="0"/>
                      <w:divBdr>
                        <w:top w:val="none" w:sz="0" w:space="0" w:color="auto"/>
                        <w:left w:val="none" w:sz="0" w:space="0" w:color="auto"/>
                        <w:bottom w:val="none" w:sz="0" w:space="0" w:color="auto"/>
                        <w:right w:val="none" w:sz="0" w:space="0" w:color="auto"/>
                      </w:divBdr>
                      <w:divsChild>
                        <w:div w:id="1783458514">
                          <w:marLeft w:val="0"/>
                          <w:marRight w:val="0"/>
                          <w:marTop w:val="0"/>
                          <w:marBottom w:val="0"/>
                          <w:divBdr>
                            <w:top w:val="none" w:sz="0" w:space="0" w:color="auto"/>
                            <w:left w:val="none" w:sz="0" w:space="0" w:color="auto"/>
                            <w:bottom w:val="none" w:sz="0" w:space="0" w:color="auto"/>
                            <w:right w:val="none" w:sz="0" w:space="0" w:color="auto"/>
                          </w:divBdr>
                          <w:divsChild>
                            <w:div w:id="74758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8969648">
          <w:marLeft w:val="0"/>
          <w:marRight w:val="0"/>
          <w:marTop w:val="0"/>
          <w:marBottom w:val="0"/>
          <w:divBdr>
            <w:top w:val="none" w:sz="0" w:space="0" w:color="auto"/>
            <w:left w:val="none" w:sz="0" w:space="0" w:color="auto"/>
            <w:bottom w:val="none" w:sz="0" w:space="0" w:color="auto"/>
            <w:right w:val="none" w:sz="0" w:space="0" w:color="auto"/>
          </w:divBdr>
        </w:div>
      </w:divsChild>
    </w:div>
    <w:div w:id="665400033">
      <w:bodyDiv w:val="1"/>
      <w:marLeft w:val="0"/>
      <w:marRight w:val="0"/>
      <w:marTop w:val="0"/>
      <w:marBottom w:val="0"/>
      <w:divBdr>
        <w:top w:val="none" w:sz="0" w:space="0" w:color="auto"/>
        <w:left w:val="none" w:sz="0" w:space="0" w:color="auto"/>
        <w:bottom w:val="none" w:sz="0" w:space="0" w:color="auto"/>
        <w:right w:val="none" w:sz="0" w:space="0" w:color="auto"/>
      </w:divBdr>
      <w:divsChild>
        <w:div w:id="1609459393">
          <w:marLeft w:val="0"/>
          <w:marRight w:val="0"/>
          <w:marTop w:val="0"/>
          <w:marBottom w:val="240"/>
          <w:divBdr>
            <w:top w:val="none" w:sz="0" w:space="0" w:color="auto"/>
            <w:left w:val="none" w:sz="0" w:space="0" w:color="auto"/>
            <w:bottom w:val="none" w:sz="0" w:space="0" w:color="auto"/>
            <w:right w:val="none" w:sz="0" w:space="0" w:color="auto"/>
          </w:divBdr>
        </w:div>
        <w:div w:id="269507793">
          <w:marLeft w:val="0"/>
          <w:marRight w:val="0"/>
          <w:marTop w:val="0"/>
          <w:marBottom w:val="240"/>
          <w:divBdr>
            <w:top w:val="none" w:sz="0" w:space="0" w:color="auto"/>
            <w:left w:val="none" w:sz="0" w:space="0" w:color="auto"/>
            <w:bottom w:val="none" w:sz="0" w:space="0" w:color="auto"/>
            <w:right w:val="none" w:sz="0" w:space="0" w:color="auto"/>
          </w:divBdr>
        </w:div>
        <w:div w:id="1798405354">
          <w:marLeft w:val="0"/>
          <w:marRight w:val="0"/>
          <w:marTop w:val="0"/>
          <w:marBottom w:val="240"/>
          <w:divBdr>
            <w:top w:val="none" w:sz="0" w:space="0" w:color="auto"/>
            <w:left w:val="none" w:sz="0" w:space="0" w:color="auto"/>
            <w:bottom w:val="none" w:sz="0" w:space="0" w:color="auto"/>
            <w:right w:val="none" w:sz="0" w:space="0" w:color="auto"/>
          </w:divBdr>
        </w:div>
        <w:div w:id="163252919">
          <w:marLeft w:val="0"/>
          <w:marRight w:val="0"/>
          <w:marTop w:val="0"/>
          <w:marBottom w:val="240"/>
          <w:divBdr>
            <w:top w:val="none" w:sz="0" w:space="0" w:color="auto"/>
            <w:left w:val="none" w:sz="0" w:space="0" w:color="auto"/>
            <w:bottom w:val="none" w:sz="0" w:space="0" w:color="auto"/>
            <w:right w:val="none" w:sz="0" w:space="0" w:color="auto"/>
          </w:divBdr>
        </w:div>
      </w:divsChild>
    </w:div>
    <w:div w:id="665475258">
      <w:bodyDiv w:val="1"/>
      <w:marLeft w:val="0"/>
      <w:marRight w:val="0"/>
      <w:marTop w:val="0"/>
      <w:marBottom w:val="0"/>
      <w:divBdr>
        <w:top w:val="none" w:sz="0" w:space="0" w:color="auto"/>
        <w:left w:val="none" w:sz="0" w:space="0" w:color="auto"/>
        <w:bottom w:val="none" w:sz="0" w:space="0" w:color="auto"/>
        <w:right w:val="none" w:sz="0" w:space="0" w:color="auto"/>
      </w:divBdr>
      <w:divsChild>
        <w:div w:id="1864047966">
          <w:marLeft w:val="0"/>
          <w:marRight w:val="0"/>
          <w:marTop w:val="0"/>
          <w:marBottom w:val="0"/>
          <w:divBdr>
            <w:top w:val="none" w:sz="0" w:space="0" w:color="auto"/>
            <w:left w:val="none" w:sz="0" w:space="0" w:color="auto"/>
            <w:bottom w:val="none" w:sz="0" w:space="0" w:color="auto"/>
            <w:right w:val="none" w:sz="0" w:space="0" w:color="auto"/>
          </w:divBdr>
          <w:divsChild>
            <w:div w:id="672490429">
              <w:marLeft w:val="0"/>
              <w:marRight w:val="0"/>
              <w:marTop w:val="0"/>
              <w:marBottom w:val="0"/>
              <w:divBdr>
                <w:top w:val="none" w:sz="0" w:space="0" w:color="auto"/>
                <w:left w:val="none" w:sz="0" w:space="0" w:color="auto"/>
                <w:bottom w:val="none" w:sz="0" w:space="0" w:color="auto"/>
                <w:right w:val="none" w:sz="0" w:space="0" w:color="auto"/>
              </w:divBdr>
              <w:divsChild>
                <w:div w:id="2067557775">
                  <w:marLeft w:val="0"/>
                  <w:marRight w:val="0"/>
                  <w:marTop w:val="0"/>
                  <w:marBottom w:val="0"/>
                  <w:divBdr>
                    <w:top w:val="none" w:sz="0" w:space="0" w:color="auto"/>
                    <w:left w:val="none" w:sz="0" w:space="0" w:color="auto"/>
                    <w:bottom w:val="none" w:sz="0" w:space="0" w:color="auto"/>
                    <w:right w:val="none" w:sz="0" w:space="0" w:color="auto"/>
                  </w:divBdr>
                  <w:divsChild>
                    <w:div w:id="12532670">
                      <w:marLeft w:val="0"/>
                      <w:marRight w:val="0"/>
                      <w:marTop w:val="0"/>
                      <w:marBottom w:val="300"/>
                      <w:divBdr>
                        <w:top w:val="none" w:sz="0" w:space="0" w:color="auto"/>
                        <w:left w:val="none" w:sz="0" w:space="0" w:color="auto"/>
                        <w:bottom w:val="none" w:sz="0" w:space="0" w:color="auto"/>
                        <w:right w:val="none" w:sz="0" w:space="0" w:color="auto"/>
                      </w:divBdr>
                      <w:divsChild>
                        <w:div w:id="207105567">
                          <w:marLeft w:val="0"/>
                          <w:marRight w:val="0"/>
                          <w:marTop w:val="0"/>
                          <w:marBottom w:val="225"/>
                          <w:divBdr>
                            <w:top w:val="single" w:sz="6" w:space="11" w:color="E5E5E5"/>
                            <w:left w:val="single" w:sz="6" w:space="11" w:color="E5E5E5"/>
                            <w:bottom w:val="single" w:sz="6" w:space="1" w:color="E5E5E5"/>
                            <w:right w:val="single" w:sz="6" w:space="11" w:color="E5E5E5"/>
                          </w:divBdr>
                        </w:div>
                      </w:divsChild>
                    </w:div>
                  </w:divsChild>
                </w:div>
              </w:divsChild>
            </w:div>
          </w:divsChild>
        </w:div>
      </w:divsChild>
    </w:div>
    <w:div w:id="665744943">
      <w:bodyDiv w:val="1"/>
      <w:marLeft w:val="0"/>
      <w:marRight w:val="0"/>
      <w:marTop w:val="0"/>
      <w:marBottom w:val="0"/>
      <w:divBdr>
        <w:top w:val="none" w:sz="0" w:space="0" w:color="auto"/>
        <w:left w:val="none" w:sz="0" w:space="0" w:color="auto"/>
        <w:bottom w:val="none" w:sz="0" w:space="0" w:color="auto"/>
        <w:right w:val="none" w:sz="0" w:space="0" w:color="auto"/>
      </w:divBdr>
      <w:divsChild>
        <w:div w:id="835413327">
          <w:marLeft w:val="0"/>
          <w:marRight w:val="0"/>
          <w:marTop w:val="0"/>
          <w:marBottom w:val="0"/>
          <w:divBdr>
            <w:top w:val="none" w:sz="0" w:space="0" w:color="auto"/>
            <w:left w:val="none" w:sz="0" w:space="0" w:color="auto"/>
            <w:bottom w:val="none" w:sz="0" w:space="0" w:color="auto"/>
            <w:right w:val="none" w:sz="0" w:space="0" w:color="auto"/>
          </w:divBdr>
        </w:div>
      </w:divsChild>
    </w:div>
    <w:div w:id="665978081">
      <w:bodyDiv w:val="1"/>
      <w:marLeft w:val="0"/>
      <w:marRight w:val="0"/>
      <w:marTop w:val="0"/>
      <w:marBottom w:val="0"/>
      <w:divBdr>
        <w:top w:val="none" w:sz="0" w:space="0" w:color="auto"/>
        <w:left w:val="none" w:sz="0" w:space="0" w:color="auto"/>
        <w:bottom w:val="none" w:sz="0" w:space="0" w:color="auto"/>
        <w:right w:val="none" w:sz="0" w:space="0" w:color="auto"/>
      </w:divBdr>
      <w:divsChild>
        <w:div w:id="793136428">
          <w:marLeft w:val="0"/>
          <w:marRight w:val="0"/>
          <w:marTop w:val="0"/>
          <w:marBottom w:val="0"/>
          <w:divBdr>
            <w:top w:val="single" w:sz="6" w:space="0" w:color="999999"/>
            <w:left w:val="single" w:sz="6" w:space="0" w:color="999999"/>
            <w:bottom w:val="single" w:sz="6" w:space="0" w:color="999999"/>
            <w:right w:val="single" w:sz="6" w:space="0" w:color="999999"/>
          </w:divBdr>
          <w:divsChild>
            <w:div w:id="1261838850">
              <w:marLeft w:val="0"/>
              <w:marRight w:val="0"/>
              <w:marTop w:val="225"/>
              <w:marBottom w:val="0"/>
              <w:divBdr>
                <w:top w:val="single" w:sz="6" w:space="0" w:color="FFFFFF"/>
                <w:left w:val="none" w:sz="0" w:space="0" w:color="auto"/>
                <w:bottom w:val="none" w:sz="0" w:space="0" w:color="auto"/>
                <w:right w:val="none" w:sz="0" w:space="0" w:color="auto"/>
              </w:divBdr>
              <w:divsChild>
                <w:div w:id="2072265354">
                  <w:marLeft w:val="0"/>
                  <w:marRight w:val="0"/>
                  <w:marTop w:val="0"/>
                  <w:marBottom w:val="0"/>
                  <w:divBdr>
                    <w:top w:val="none" w:sz="0" w:space="0" w:color="auto"/>
                    <w:left w:val="none" w:sz="0" w:space="0" w:color="auto"/>
                    <w:bottom w:val="none" w:sz="0" w:space="0" w:color="auto"/>
                    <w:right w:val="none" w:sz="0" w:space="0" w:color="auto"/>
                  </w:divBdr>
                  <w:divsChild>
                    <w:div w:id="1247765721">
                      <w:marLeft w:val="0"/>
                      <w:marRight w:val="15"/>
                      <w:marTop w:val="0"/>
                      <w:marBottom w:val="0"/>
                      <w:divBdr>
                        <w:top w:val="none" w:sz="0" w:space="0" w:color="auto"/>
                        <w:left w:val="none" w:sz="0" w:space="0" w:color="auto"/>
                        <w:bottom w:val="none" w:sz="0" w:space="0" w:color="auto"/>
                        <w:right w:val="none" w:sz="0" w:space="0" w:color="auto"/>
                      </w:divBdr>
                      <w:divsChild>
                        <w:div w:id="476190457">
                          <w:marLeft w:val="0"/>
                          <w:marRight w:val="0"/>
                          <w:marTop w:val="0"/>
                          <w:marBottom w:val="0"/>
                          <w:divBdr>
                            <w:top w:val="none" w:sz="0" w:space="0" w:color="auto"/>
                            <w:left w:val="none" w:sz="0" w:space="0" w:color="auto"/>
                            <w:bottom w:val="none" w:sz="0" w:space="0" w:color="auto"/>
                            <w:right w:val="none" w:sz="0" w:space="0" w:color="auto"/>
                          </w:divBdr>
                          <w:divsChild>
                            <w:div w:id="628241259">
                              <w:marLeft w:val="150"/>
                              <w:marRight w:val="105"/>
                              <w:marTop w:val="0"/>
                              <w:marBottom w:val="180"/>
                              <w:divBdr>
                                <w:top w:val="none" w:sz="0" w:space="0" w:color="auto"/>
                                <w:left w:val="none" w:sz="0" w:space="0" w:color="auto"/>
                                <w:bottom w:val="none" w:sz="0" w:space="0" w:color="auto"/>
                                <w:right w:val="none" w:sz="0" w:space="0" w:color="auto"/>
                              </w:divBdr>
                              <w:divsChild>
                                <w:div w:id="825973103">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55647">
      <w:bodyDiv w:val="1"/>
      <w:marLeft w:val="0"/>
      <w:marRight w:val="0"/>
      <w:marTop w:val="0"/>
      <w:marBottom w:val="0"/>
      <w:divBdr>
        <w:top w:val="none" w:sz="0" w:space="0" w:color="auto"/>
        <w:left w:val="none" w:sz="0" w:space="0" w:color="auto"/>
        <w:bottom w:val="none" w:sz="0" w:space="0" w:color="auto"/>
        <w:right w:val="none" w:sz="0" w:space="0" w:color="auto"/>
      </w:divBdr>
      <w:divsChild>
        <w:div w:id="1317370299">
          <w:marLeft w:val="0"/>
          <w:marRight w:val="0"/>
          <w:marTop w:val="0"/>
          <w:marBottom w:val="0"/>
          <w:divBdr>
            <w:top w:val="none" w:sz="0" w:space="0" w:color="auto"/>
            <w:left w:val="none" w:sz="0" w:space="0" w:color="auto"/>
            <w:bottom w:val="none" w:sz="0" w:space="0" w:color="auto"/>
            <w:right w:val="none" w:sz="0" w:space="0" w:color="auto"/>
          </w:divBdr>
          <w:divsChild>
            <w:div w:id="2082288669">
              <w:marLeft w:val="0"/>
              <w:marRight w:val="0"/>
              <w:marTop w:val="0"/>
              <w:marBottom w:val="0"/>
              <w:divBdr>
                <w:top w:val="none" w:sz="0" w:space="0" w:color="auto"/>
                <w:left w:val="none" w:sz="0" w:space="0" w:color="auto"/>
                <w:bottom w:val="none" w:sz="0" w:space="0" w:color="auto"/>
                <w:right w:val="none" w:sz="0" w:space="0" w:color="auto"/>
              </w:divBdr>
              <w:divsChild>
                <w:div w:id="1122655455">
                  <w:marLeft w:val="0"/>
                  <w:marRight w:val="0"/>
                  <w:marTop w:val="0"/>
                  <w:marBottom w:val="0"/>
                  <w:divBdr>
                    <w:top w:val="none" w:sz="0" w:space="0" w:color="auto"/>
                    <w:left w:val="none" w:sz="0" w:space="0" w:color="auto"/>
                    <w:bottom w:val="none" w:sz="0" w:space="0" w:color="auto"/>
                    <w:right w:val="none" w:sz="0" w:space="0" w:color="auto"/>
                  </w:divBdr>
                  <w:divsChild>
                    <w:div w:id="1096902425">
                      <w:marLeft w:val="0"/>
                      <w:marRight w:val="0"/>
                      <w:marTop w:val="0"/>
                      <w:marBottom w:val="0"/>
                      <w:divBdr>
                        <w:top w:val="none" w:sz="0" w:space="0" w:color="auto"/>
                        <w:left w:val="none" w:sz="0" w:space="0" w:color="auto"/>
                        <w:bottom w:val="none" w:sz="0" w:space="0" w:color="auto"/>
                        <w:right w:val="none" w:sz="0" w:space="0" w:color="auto"/>
                      </w:divBdr>
                      <w:divsChild>
                        <w:div w:id="1481461480">
                          <w:marLeft w:val="0"/>
                          <w:marRight w:val="0"/>
                          <w:marTop w:val="0"/>
                          <w:marBottom w:val="0"/>
                          <w:divBdr>
                            <w:top w:val="none" w:sz="0" w:space="0" w:color="auto"/>
                            <w:left w:val="none" w:sz="0" w:space="0" w:color="auto"/>
                            <w:bottom w:val="none" w:sz="0" w:space="0" w:color="auto"/>
                            <w:right w:val="none" w:sz="0" w:space="0" w:color="auto"/>
                          </w:divBdr>
                          <w:divsChild>
                            <w:div w:id="1086345671">
                              <w:marLeft w:val="0"/>
                              <w:marRight w:val="0"/>
                              <w:marTop w:val="0"/>
                              <w:marBottom w:val="0"/>
                              <w:divBdr>
                                <w:top w:val="none" w:sz="0" w:space="0" w:color="auto"/>
                                <w:left w:val="none" w:sz="0" w:space="0" w:color="auto"/>
                                <w:bottom w:val="none" w:sz="0" w:space="0" w:color="auto"/>
                                <w:right w:val="none" w:sz="0" w:space="0" w:color="auto"/>
                              </w:divBdr>
                              <w:divsChild>
                                <w:div w:id="1998071078">
                                  <w:marLeft w:val="0"/>
                                  <w:marRight w:val="0"/>
                                  <w:marTop w:val="0"/>
                                  <w:marBottom w:val="0"/>
                                  <w:divBdr>
                                    <w:top w:val="none" w:sz="0" w:space="0" w:color="auto"/>
                                    <w:left w:val="none" w:sz="0" w:space="0" w:color="auto"/>
                                    <w:bottom w:val="none" w:sz="0" w:space="0" w:color="auto"/>
                                    <w:right w:val="none" w:sz="0" w:space="0" w:color="auto"/>
                                  </w:divBdr>
                                  <w:divsChild>
                                    <w:div w:id="7413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6445615">
      <w:bodyDiv w:val="1"/>
      <w:marLeft w:val="0"/>
      <w:marRight w:val="0"/>
      <w:marTop w:val="0"/>
      <w:marBottom w:val="0"/>
      <w:divBdr>
        <w:top w:val="none" w:sz="0" w:space="0" w:color="auto"/>
        <w:left w:val="none" w:sz="0" w:space="0" w:color="auto"/>
        <w:bottom w:val="none" w:sz="0" w:space="0" w:color="auto"/>
        <w:right w:val="none" w:sz="0" w:space="0" w:color="auto"/>
      </w:divBdr>
      <w:divsChild>
        <w:div w:id="752821278">
          <w:marLeft w:val="0"/>
          <w:marRight w:val="0"/>
          <w:marTop w:val="0"/>
          <w:marBottom w:val="0"/>
          <w:divBdr>
            <w:top w:val="none" w:sz="0" w:space="0" w:color="auto"/>
            <w:left w:val="none" w:sz="0" w:space="0" w:color="auto"/>
            <w:bottom w:val="none" w:sz="0" w:space="0" w:color="auto"/>
            <w:right w:val="none" w:sz="0" w:space="0" w:color="auto"/>
          </w:divBdr>
        </w:div>
      </w:divsChild>
    </w:div>
    <w:div w:id="666521695">
      <w:bodyDiv w:val="1"/>
      <w:marLeft w:val="0"/>
      <w:marRight w:val="0"/>
      <w:marTop w:val="0"/>
      <w:marBottom w:val="0"/>
      <w:divBdr>
        <w:top w:val="none" w:sz="0" w:space="0" w:color="auto"/>
        <w:left w:val="none" w:sz="0" w:space="0" w:color="auto"/>
        <w:bottom w:val="none" w:sz="0" w:space="0" w:color="auto"/>
        <w:right w:val="none" w:sz="0" w:space="0" w:color="auto"/>
      </w:divBdr>
    </w:div>
    <w:div w:id="666829883">
      <w:bodyDiv w:val="1"/>
      <w:marLeft w:val="0"/>
      <w:marRight w:val="0"/>
      <w:marTop w:val="0"/>
      <w:marBottom w:val="0"/>
      <w:divBdr>
        <w:top w:val="none" w:sz="0" w:space="0" w:color="auto"/>
        <w:left w:val="none" w:sz="0" w:space="0" w:color="auto"/>
        <w:bottom w:val="none" w:sz="0" w:space="0" w:color="auto"/>
        <w:right w:val="none" w:sz="0" w:space="0" w:color="auto"/>
      </w:divBdr>
      <w:divsChild>
        <w:div w:id="1105613851">
          <w:marLeft w:val="0"/>
          <w:marRight w:val="0"/>
          <w:marTop w:val="0"/>
          <w:marBottom w:val="0"/>
          <w:divBdr>
            <w:top w:val="none" w:sz="0" w:space="0" w:color="auto"/>
            <w:left w:val="none" w:sz="0" w:space="0" w:color="auto"/>
            <w:bottom w:val="dotted" w:sz="6" w:space="4" w:color="DDDDDD"/>
            <w:right w:val="none" w:sz="0" w:space="0" w:color="auto"/>
          </w:divBdr>
          <w:divsChild>
            <w:div w:id="144750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636880">
      <w:bodyDiv w:val="1"/>
      <w:marLeft w:val="0"/>
      <w:marRight w:val="0"/>
      <w:marTop w:val="0"/>
      <w:marBottom w:val="0"/>
      <w:divBdr>
        <w:top w:val="none" w:sz="0" w:space="0" w:color="auto"/>
        <w:left w:val="none" w:sz="0" w:space="0" w:color="auto"/>
        <w:bottom w:val="none" w:sz="0" w:space="0" w:color="auto"/>
        <w:right w:val="none" w:sz="0" w:space="0" w:color="auto"/>
      </w:divBdr>
      <w:divsChild>
        <w:div w:id="1586298998">
          <w:marLeft w:val="0"/>
          <w:marRight w:val="0"/>
          <w:marTop w:val="0"/>
          <w:marBottom w:val="0"/>
          <w:divBdr>
            <w:top w:val="none" w:sz="0" w:space="0" w:color="auto"/>
            <w:left w:val="none" w:sz="0" w:space="0" w:color="auto"/>
            <w:bottom w:val="none" w:sz="0" w:space="0" w:color="auto"/>
            <w:right w:val="none" w:sz="0" w:space="0" w:color="auto"/>
          </w:divBdr>
          <w:divsChild>
            <w:div w:id="1002396714">
              <w:marLeft w:val="0"/>
              <w:marRight w:val="0"/>
              <w:marTop w:val="0"/>
              <w:marBottom w:val="0"/>
              <w:divBdr>
                <w:top w:val="none" w:sz="0" w:space="0" w:color="auto"/>
                <w:left w:val="none" w:sz="0" w:space="0" w:color="auto"/>
                <w:bottom w:val="none" w:sz="0" w:space="0" w:color="auto"/>
                <w:right w:val="none" w:sz="0" w:space="0" w:color="auto"/>
              </w:divBdr>
              <w:divsChild>
                <w:div w:id="84286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827716">
      <w:bodyDiv w:val="1"/>
      <w:marLeft w:val="0"/>
      <w:marRight w:val="0"/>
      <w:marTop w:val="0"/>
      <w:marBottom w:val="0"/>
      <w:divBdr>
        <w:top w:val="none" w:sz="0" w:space="0" w:color="auto"/>
        <w:left w:val="none" w:sz="0" w:space="0" w:color="auto"/>
        <w:bottom w:val="none" w:sz="0" w:space="0" w:color="auto"/>
        <w:right w:val="none" w:sz="0" w:space="0" w:color="auto"/>
      </w:divBdr>
      <w:divsChild>
        <w:div w:id="1764373999">
          <w:marLeft w:val="0"/>
          <w:marRight w:val="0"/>
          <w:marTop w:val="0"/>
          <w:marBottom w:val="0"/>
          <w:divBdr>
            <w:top w:val="none" w:sz="0" w:space="0" w:color="auto"/>
            <w:left w:val="none" w:sz="0" w:space="0" w:color="auto"/>
            <w:bottom w:val="dotted" w:sz="6" w:space="4" w:color="DDDDDD"/>
            <w:right w:val="none" w:sz="0" w:space="0" w:color="auto"/>
          </w:divBdr>
          <w:divsChild>
            <w:div w:id="57771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12774">
      <w:bodyDiv w:val="1"/>
      <w:marLeft w:val="0"/>
      <w:marRight w:val="0"/>
      <w:marTop w:val="0"/>
      <w:marBottom w:val="0"/>
      <w:divBdr>
        <w:top w:val="none" w:sz="0" w:space="0" w:color="auto"/>
        <w:left w:val="none" w:sz="0" w:space="0" w:color="auto"/>
        <w:bottom w:val="none" w:sz="0" w:space="0" w:color="auto"/>
        <w:right w:val="none" w:sz="0" w:space="0" w:color="auto"/>
      </w:divBdr>
      <w:divsChild>
        <w:div w:id="1645041161">
          <w:marLeft w:val="0"/>
          <w:marRight w:val="0"/>
          <w:marTop w:val="0"/>
          <w:marBottom w:val="0"/>
          <w:divBdr>
            <w:top w:val="none" w:sz="0" w:space="0" w:color="auto"/>
            <w:left w:val="none" w:sz="0" w:space="0" w:color="auto"/>
            <w:bottom w:val="dotted" w:sz="6" w:space="4" w:color="DDDDDD"/>
            <w:right w:val="none" w:sz="0" w:space="0" w:color="auto"/>
          </w:divBdr>
          <w:divsChild>
            <w:div w:id="27113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93054">
      <w:bodyDiv w:val="1"/>
      <w:marLeft w:val="0"/>
      <w:marRight w:val="0"/>
      <w:marTop w:val="0"/>
      <w:marBottom w:val="0"/>
      <w:divBdr>
        <w:top w:val="none" w:sz="0" w:space="0" w:color="auto"/>
        <w:left w:val="none" w:sz="0" w:space="0" w:color="auto"/>
        <w:bottom w:val="none" w:sz="0" w:space="0" w:color="auto"/>
        <w:right w:val="none" w:sz="0" w:space="0" w:color="auto"/>
      </w:divBdr>
      <w:divsChild>
        <w:div w:id="2089184014">
          <w:marLeft w:val="0"/>
          <w:marRight w:val="0"/>
          <w:marTop w:val="0"/>
          <w:marBottom w:val="0"/>
          <w:divBdr>
            <w:top w:val="none" w:sz="0" w:space="0" w:color="auto"/>
            <w:left w:val="none" w:sz="0" w:space="0" w:color="auto"/>
            <w:bottom w:val="none" w:sz="0" w:space="0" w:color="auto"/>
            <w:right w:val="none" w:sz="0" w:space="0" w:color="auto"/>
          </w:divBdr>
        </w:div>
      </w:divsChild>
    </w:div>
    <w:div w:id="668564167">
      <w:bodyDiv w:val="1"/>
      <w:marLeft w:val="0"/>
      <w:marRight w:val="0"/>
      <w:marTop w:val="0"/>
      <w:marBottom w:val="0"/>
      <w:divBdr>
        <w:top w:val="none" w:sz="0" w:space="0" w:color="auto"/>
        <w:left w:val="none" w:sz="0" w:space="0" w:color="auto"/>
        <w:bottom w:val="none" w:sz="0" w:space="0" w:color="auto"/>
        <w:right w:val="none" w:sz="0" w:space="0" w:color="auto"/>
      </w:divBdr>
      <w:divsChild>
        <w:div w:id="83840270">
          <w:marLeft w:val="0"/>
          <w:marRight w:val="0"/>
          <w:marTop w:val="0"/>
          <w:marBottom w:val="0"/>
          <w:divBdr>
            <w:top w:val="none" w:sz="0" w:space="0" w:color="auto"/>
            <w:left w:val="none" w:sz="0" w:space="0" w:color="auto"/>
            <w:bottom w:val="none" w:sz="0" w:space="0" w:color="auto"/>
            <w:right w:val="none" w:sz="0" w:space="0" w:color="auto"/>
          </w:divBdr>
          <w:divsChild>
            <w:div w:id="1838225006">
              <w:marLeft w:val="0"/>
              <w:marRight w:val="0"/>
              <w:marTop w:val="0"/>
              <w:marBottom w:val="0"/>
              <w:divBdr>
                <w:top w:val="none" w:sz="0" w:space="0" w:color="auto"/>
                <w:left w:val="none" w:sz="0" w:space="0" w:color="auto"/>
                <w:bottom w:val="none" w:sz="0" w:space="0" w:color="auto"/>
                <w:right w:val="none" w:sz="0" w:space="0" w:color="auto"/>
              </w:divBdr>
            </w:div>
            <w:div w:id="2109034005">
              <w:marLeft w:val="0"/>
              <w:marRight w:val="0"/>
              <w:marTop w:val="0"/>
              <w:marBottom w:val="150"/>
              <w:divBdr>
                <w:top w:val="none" w:sz="0" w:space="0" w:color="auto"/>
                <w:left w:val="none" w:sz="0" w:space="0" w:color="auto"/>
                <w:bottom w:val="none" w:sz="0" w:space="0" w:color="auto"/>
                <w:right w:val="none" w:sz="0" w:space="0" w:color="auto"/>
              </w:divBdr>
            </w:div>
          </w:divsChild>
        </w:div>
        <w:div w:id="727875266">
          <w:marLeft w:val="0"/>
          <w:marRight w:val="0"/>
          <w:marTop w:val="0"/>
          <w:marBottom w:val="150"/>
          <w:divBdr>
            <w:top w:val="none" w:sz="0" w:space="0" w:color="auto"/>
            <w:left w:val="none" w:sz="0" w:space="0" w:color="auto"/>
            <w:bottom w:val="none" w:sz="0" w:space="0" w:color="auto"/>
            <w:right w:val="none" w:sz="0" w:space="0" w:color="auto"/>
          </w:divBdr>
          <w:divsChild>
            <w:div w:id="165232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98683">
      <w:bodyDiv w:val="1"/>
      <w:marLeft w:val="0"/>
      <w:marRight w:val="0"/>
      <w:marTop w:val="0"/>
      <w:marBottom w:val="0"/>
      <w:divBdr>
        <w:top w:val="none" w:sz="0" w:space="0" w:color="auto"/>
        <w:left w:val="none" w:sz="0" w:space="0" w:color="auto"/>
        <w:bottom w:val="none" w:sz="0" w:space="0" w:color="auto"/>
        <w:right w:val="none" w:sz="0" w:space="0" w:color="auto"/>
      </w:divBdr>
    </w:div>
    <w:div w:id="669790458">
      <w:bodyDiv w:val="1"/>
      <w:marLeft w:val="0"/>
      <w:marRight w:val="0"/>
      <w:marTop w:val="0"/>
      <w:marBottom w:val="0"/>
      <w:divBdr>
        <w:top w:val="none" w:sz="0" w:space="0" w:color="auto"/>
        <w:left w:val="none" w:sz="0" w:space="0" w:color="auto"/>
        <w:bottom w:val="none" w:sz="0" w:space="0" w:color="auto"/>
        <w:right w:val="none" w:sz="0" w:space="0" w:color="auto"/>
      </w:divBdr>
      <w:divsChild>
        <w:div w:id="633676443">
          <w:marLeft w:val="0"/>
          <w:marRight w:val="0"/>
          <w:marTop w:val="0"/>
          <w:marBottom w:val="0"/>
          <w:divBdr>
            <w:top w:val="none" w:sz="0" w:space="0" w:color="auto"/>
            <w:left w:val="none" w:sz="0" w:space="0" w:color="auto"/>
            <w:bottom w:val="dotted" w:sz="6" w:space="4" w:color="DDDDDD"/>
            <w:right w:val="none" w:sz="0" w:space="0" w:color="auto"/>
          </w:divBdr>
          <w:divsChild>
            <w:div w:id="7871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99235">
      <w:bodyDiv w:val="1"/>
      <w:marLeft w:val="0"/>
      <w:marRight w:val="0"/>
      <w:marTop w:val="0"/>
      <w:marBottom w:val="0"/>
      <w:divBdr>
        <w:top w:val="none" w:sz="0" w:space="0" w:color="auto"/>
        <w:left w:val="none" w:sz="0" w:space="0" w:color="auto"/>
        <w:bottom w:val="none" w:sz="0" w:space="0" w:color="auto"/>
        <w:right w:val="none" w:sz="0" w:space="0" w:color="auto"/>
      </w:divBdr>
      <w:divsChild>
        <w:div w:id="1394424614">
          <w:marLeft w:val="0"/>
          <w:marRight w:val="0"/>
          <w:marTop w:val="0"/>
          <w:marBottom w:val="0"/>
          <w:divBdr>
            <w:top w:val="none" w:sz="0" w:space="0" w:color="auto"/>
            <w:left w:val="none" w:sz="0" w:space="0" w:color="auto"/>
            <w:bottom w:val="dotted" w:sz="6" w:space="4" w:color="DDDDDD"/>
            <w:right w:val="none" w:sz="0" w:space="0" w:color="auto"/>
          </w:divBdr>
        </w:div>
      </w:divsChild>
    </w:div>
    <w:div w:id="669872306">
      <w:bodyDiv w:val="1"/>
      <w:marLeft w:val="0"/>
      <w:marRight w:val="0"/>
      <w:marTop w:val="0"/>
      <w:marBottom w:val="0"/>
      <w:divBdr>
        <w:top w:val="none" w:sz="0" w:space="0" w:color="auto"/>
        <w:left w:val="none" w:sz="0" w:space="0" w:color="auto"/>
        <w:bottom w:val="none" w:sz="0" w:space="0" w:color="auto"/>
        <w:right w:val="none" w:sz="0" w:space="0" w:color="auto"/>
      </w:divBdr>
      <w:divsChild>
        <w:div w:id="1923442930">
          <w:marLeft w:val="0"/>
          <w:marRight w:val="0"/>
          <w:marTop w:val="0"/>
          <w:marBottom w:val="150"/>
          <w:divBdr>
            <w:top w:val="none" w:sz="0" w:space="0" w:color="auto"/>
            <w:left w:val="none" w:sz="0" w:space="0" w:color="auto"/>
            <w:bottom w:val="none" w:sz="0" w:space="0" w:color="auto"/>
            <w:right w:val="none" w:sz="0" w:space="0" w:color="auto"/>
          </w:divBdr>
        </w:div>
      </w:divsChild>
    </w:div>
    <w:div w:id="671176333">
      <w:bodyDiv w:val="1"/>
      <w:marLeft w:val="0"/>
      <w:marRight w:val="0"/>
      <w:marTop w:val="0"/>
      <w:marBottom w:val="0"/>
      <w:divBdr>
        <w:top w:val="none" w:sz="0" w:space="0" w:color="auto"/>
        <w:left w:val="none" w:sz="0" w:space="0" w:color="auto"/>
        <w:bottom w:val="none" w:sz="0" w:space="0" w:color="auto"/>
        <w:right w:val="none" w:sz="0" w:space="0" w:color="auto"/>
      </w:divBdr>
      <w:divsChild>
        <w:div w:id="403449746">
          <w:marLeft w:val="0"/>
          <w:marRight w:val="0"/>
          <w:marTop w:val="0"/>
          <w:marBottom w:val="0"/>
          <w:divBdr>
            <w:top w:val="none" w:sz="0" w:space="0" w:color="auto"/>
            <w:left w:val="none" w:sz="0" w:space="0" w:color="auto"/>
            <w:bottom w:val="dotted" w:sz="6" w:space="4" w:color="DDDDDD"/>
            <w:right w:val="none" w:sz="0" w:space="0" w:color="auto"/>
          </w:divBdr>
          <w:divsChild>
            <w:div w:id="112395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954645">
      <w:bodyDiv w:val="1"/>
      <w:marLeft w:val="0"/>
      <w:marRight w:val="0"/>
      <w:marTop w:val="0"/>
      <w:marBottom w:val="0"/>
      <w:divBdr>
        <w:top w:val="none" w:sz="0" w:space="0" w:color="auto"/>
        <w:left w:val="none" w:sz="0" w:space="0" w:color="auto"/>
        <w:bottom w:val="none" w:sz="0" w:space="0" w:color="auto"/>
        <w:right w:val="none" w:sz="0" w:space="0" w:color="auto"/>
      </w:divBdr>
      <w:divsChild>
        <w:div w:id="1014771363">
          <w:marLeft w:val="0"/>
          <w:marRight w:val="0"/>
          <w:marTop w:val="0"/>
          <w:marBottom w:val="150"/>
          <w:divBdr>
            <w:top w:val="none" w:sz="0" w:space="0" w:color="auto"/>
            <w:left w:val="none" w:sz="0" w:space="0" w:color="auto"/>
            <w:bottom w:val="none" w:sz="0" w:space="0" w:color="auto"/>
            <w:right w:val="none" w:sz="0" w:space="0" w:color="auto"/>
          </w:divBdr>
          <w:divsChild>
            <w:div w:id="2129624194">
              <w:marLeft w:val="0"/>
              <w:marRight w:val="0"/>
              <w:marTop w:val="0"/>
              <w:marBottom w:val="0"/>
              <w:divBdr>
                <w:top w:val="none" w:sz="0" w:space="0" w:color="auto"/>
                <w:left w:val="none" w:sz="0" w:space="0" w:color="auto"/>
                <w:bottom w:val="none" w:sz="0" w:space="0" w:color="auto"/>
                <w:right w:val="none" w:sz="0" w:space="0" w:color="auto"/>
              </w:divBdr>
            </w:div>
          </w:divsChild>
        </w:div>
        <w:div w:id="1923446810">
          <w:marLeft w:val="0"/>
          <w:marRight w:val="0"/>
          <w:marTop w:val="0"/>
          <w:marBottom w:val="0"/>
          <w:divBdr>
            <w:top w:val="none" w:sz="0" w:space="0" w:color="auto"/>
            <w:left w:val="none" w:sz="0" w:space="0" w:color="auto"/>
            <w:bottom w:val="none" w:sz="0" w:space="0" w:color="auto"/>
            <w:right w:val="none" w:sz="0" w:space="0" w:color="auto"/>
          </w:divBdr>
          <w:divsChild>
            <w:div w:id="440106876">
              <w:marLeft w:val="0"/>
              <w:marRight w:val="0"/>
              <w:marTop w:val="0"/>
              <w:marBottom w:val="0"/>
              <w:divBdr>
                <w:top w:val="none" w:sz="0" w:space="0" w:color="auto"/>
                <w:left w:val="none" w:sz="0" w:space="0" w:color="auto"/>
                <w:bottom w:val="none" w:sz="0" w:space="0" w:color="auto"/>
                <w:right w:val="none" w:sz="0" w:space="0" w:color="auto"/>
              </w:divBdr>
            </w:div>
            <w:div w:id="9717857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72221936">
      <w:bodyDiv w:val="1"/>
      <w:marLeft w:val="0"/>
      <w:marRight w:val="0"/>
      <w:marTop w:val="0"/>
      <w:marBottom w:val="0"/>
      <w:divBdr>
        <w:top w:val="none" w:sz="0" w:space="0" w:color="auto"/>
        <w:left w:val="none" w:sz="0" w:space="0" w:color="auto"/>
        <w:bottom w:val="none" w:sz="0" w:space="0" w:color="auto"/>
        <w:right w:val="none" w:sz="0" w:space="0" w:color="auto"/>
      </w:divBdr>
      <w:divsChild>
        <w:div w:id="776142983">
          <w:marLeft w:val="0"/>
          <w:marRight w:val="0"/>
          <w:marTop w:val="0"/>
          <w:marBottom w:val="150"/>
          <w:divBdr>
            <w:top w:val="none" w:sz="0" w:space="0" w:color="auto"/>
            <w:left w:val="none" w:sz="0" w:space="0" w:color="auto"/>
            <w:bottom w:val="none" w:sz="0" w:space="0" w:color="auto"/>
            <w:right w:val="none" w:sz="0" w:space="0" w:color="auto"/>
          </w:divBdr>
          <w:divsChild>
            <w:div w:id="1116172244">
              <w:marLeft w:val="0"/>
              <w:marRight w:val="0"/>
              <w:marTop w:val="0"/>
              <w:marBottom w:val="0"/>
              <w:divBdr>
                <w:top w:val="none" w:sz="0" w:space="0" w:color="auto"/>
                <w:left w:val="none" w:sz="0" w:space="0" w:color="auto"/>
                <w:bottom w:val="none" w:sz="0" w:space="0" w:color="auto"/>
                <w:right w:val="none" w:sz="0" w:space="0" w:color="auto"/>
              </w:divBdr>
            </w:div>
          </w:divsChild>
        </w:div>
        <w:div w:id="908075512">
          <w:marLeft w:val="0"/>
          <w:marRight w:val="0"/>
          <w:marTop w:val="0"/>
          <w:marBottom w:val="150"/>
          <w:divBdr>
            <w:top w:val="none" w:sz="0" w:space="0" w:color="auto"/>
            <w:left w:val="none" w:sz="0" w:space="0" w:color="auto"/>
            <w:bottom w:val="none" w:sz="0" w:space="0" w:color="auto"/>
            <w:right w:val="none" w:sz="0" w:space="0" w:color="auto"/>
          </w:divBdr>
        </w:div>
        <w:div w:id="1319723082">
          <w:marLeft w:val="0"/>
          <w:marRight w:val="0"/>
          <w:marTop w:val="0"/>
          <w:marBottom w:val="0"/>
          <w:divBdr>
            <w:top w:val="none" w:sz="0" w:space="0" w:color="auto"/>
            <w:left w:val="none" w:sz="0" w:space="0" w:color="auto"/>
            <w:bottom w:val="none" w:sz="0" w:space="0" w:color="auto"/>
            <w:right w:val="none" w:sz="0" w:space="0" w:color="auto"/>
          </w:divBdr>
          <w:divsChild>
            <w:div w:id="37539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70163">
      <w:bodyDiv w:val="1"/>
      <w:marLeft w:val="0"/>
      <w:marRight w:val="0"/>
      <w:marTop w:val="0"/>
      <w:marBottom w:val="0"/>
      <w:divBdr>
        <w:top w:val="none" w:sz="0" w:space="0" w:color="auto"/>
        <w:left w:val="none" w:sz="0" w:space="0" w:color="auto"/>
        <w:bottom w:val="none" w:sz="0" w:space="0" w:color="auto"/>
        <w:right w:val="none" w:sz="0" w:space="0" w:color="auto"/>
      </w:divBdr>
    </w:div>
    <w:div w:id="672680018">
      <w:bodyDiv w:val="1"/>
      <w:marLeft w:val="0"/>
      <w:marRight w:val="0"/>
      <w:marTop w:val="0"/>
      <w:marBottom w:val="0"/>
      <w:divBdr>
        <w:top w:val="none" w:sz="0" w:space="0" w:color="auto"/>
        <w:left w:val="none" w:sz="0" w:space="0" w:color="auto"/>
        <w:bottom w:val="none" w:sz="0" w:space="0" w:color="auto"/>
        <w:right w:val="none" w:sz="0" w:space="0" w:color="auto"/>
      </w:divBdr>
    </w:div>
    <w:div w:id="672730410">
      <w:bodyDiv w:val="1"/>
      <w:marLeft w:val="0"/>
      <w:marRight w:val="0"/>
      <w:marTop w:val="0"/>
      <w:marBottom w:val="0"/>
      <w:divBdr>
        <w:top w:val="none" w:sz="0" w:space="0" w:color="auto"/>
        <w:left w:val="none" w:sz="0" w:space="0" w:color="auto"/>
        <w:bottom w:val="none" w:sz="0" w:space="0" w:color="auto"/>
        <w:right w:val="none" w:sz="0" w:space="0" w:color="auto"/>
      </w:divBdr>
      <w:divsChild>
        <w:div w:id="693457109">
          <w:marLeft w:val="0"/>
          <w:marRight w:val="0"/>
          <w:marTop w:val="0"/>
          <w:marBottom w:val="0"/>
          <w:divBdr>
            <w:top w:val="none" w:sz="0" w:space="0" w:color="auto"/>
            <w:left w:val="none" w:sz="0" w:space="0" w:color="auto"/>
            <w:bottom w:val="none" w:sz="0" w:space="0" w:color="auto"/>
            <w:right w:val="none" w:sz="0" w:space="0" w:color="auto"/>
          </w:divBdr>
        </w:div>
        <w:div w:id="897395236">
          <w:marLeft w:val="0"/>
          <w:marRight w:val="0"/>
          <w:marTop w:val="0"/>
          <w:marBottom w:val="150"/>
          <w:divBdr>
            <w:top w:val="none" w:sz="0" w:space="0" w:color="auto"/>
            <w:left w:val="none" w:sz="0" w:space="0" w:color="auto"/>
            <w:bottom w:val="none" w:sz="0" w:space="0" w:color="auto"/>
            <w:right w:val="none" w:sz="0" w:space="0" w:color="auto"/>
          </w:divBdr>
        </w:div>
      </w:divsChild>
    </w:div>
    <w:div w:id="673191721">
      <w:bodyDiv w:val="1"/>
      <w:marLeft w:val="0"/>
      <w:marRight w:val="0"/>
      <w:marTop w:val="0"/>
      <w:marBottom w:val="0"/>
      <w:divBdr>
        <w:top w:val="none" w:sz="0" w:space="0" w:color="auto"/>
        <w:left w:val="none" w:sz="0" w:space="0" w:color="auto"/>
        <w:bottom w:val="none" w:sz="0" w:space="0" w:color="auto"/>
        <w:right w:val="none" w:sz="0" w:space="0" w:color="auto"/>
      </w:divBdr>
      <w:divsChild>
        <w:div w:id="1933658597">
          <w:marLeft w:val="0"/>
          <w:marRight w:val="0"/>
          <w:marTop w:val="0"/>
          <w:marBottom w:val="0"/>
          <w:divBdr>
            <w:top w:val="none" w:sz="0" w:space="0" w:color="auto"/>
            <w:left w:val="none" w:sz="0" w:space="0" w:color="auto"/>
            <w:bottom w:val="none" w:sz="0" w:space="0" w:color="auto"/>
            <w:right w:val="none" w:sz="0" w:space="0" w:color="auto"/>
          </w:divBdr>
        </w:div>
        <w:div w:id="2037385481">
          <w:marLeft w:val="0"/>
          <w:marRight w:val="0"/>
          <w:marTop w:val="0"/>
          <w:marBottom w:val="0"/>
          <w:divBdr>
            <w:top w:val="none" w:sz="0" w:space="0" w:color="auto"/>
            <w:left w:val="none" w:sz="0" w:space="0" w:color="auto"/>
            <w:bottom w:val="none" w:sz="0" w:space="0" w:color="auto"/>
            <w:right w:val="none" w:sz="0" w:space="0" w:color="auto"/>
          </w:divBdr>
        </w:div>
      </w:divsChild>
    </w:div>
    <w:div w:id="673218076">
      <w:bodyDiv w:val="1"/>
      <w:marLeft w:val="0"/>
      <w:marRight w:val="0"/>
      <w:marTop w:val="0"/>
      <w:marBottom w:val="0"/>
      <w:divBdr>
        <w:top w:val="none" w:sz="0" w:space="0" w:color="auto"/>
        <w:left w:val="none" w:sz="0" w:space="0" w:color="auto"/>
        <w:bottom w:val="none" w:sz="0" w:space="0" w:color="auto"/>
        <w:right w:val="none" w:sz="0" w:space="0" w:color="auto"/>
      </w:divBdr>
    </w:div>
    <w:div w:id="673915622">
      <w:bodyDiv w:val="1"/>
      <w:marLeft w:val="0"/>
      <w:marRight w:val="0"/>
      <w:marTop w:val="0"/>
      <w:marBottom w:val="0"/>
      <w:divBdr>
        <w:top w:val="none" w:sz="0" w:space="0" w:color="auto"/>
        <w:left w:val="none" w:sz="0" w:space="0" w:color="auto"/>
        <w:bottom w:val="none" w:sz="0" w:space="0" w:color="auto"/>
        <w:right w:val="none" w:sz="0" w:space="0" w:color="auto"/>
      </w:divBdr>
      <w:divsChild>
        <w:div w:id="561797474">
          <w:marLeft w:val="0"/>
          <w:marRight w:val="0"/>
          <w:marTop w:val="0"/>
          <w:marBottom w:val="0"/>
          <w:divBdr>
            <w:top w:val="none" w:sz="0" w:space="0" w:color="auto"/>
            <w:left w:val="none" w:sz="0" w:space="0" w:color="auto"/>
            <w:bottom w:val="none" w:sz="0" w:space="0" w:color="auto"/>
            <w:right w:val="none" w:sz="0" w:space="0" w:color="auto"/>
          </w:divBdr>
          <w:divsChild>
            <w:div w:id="116458417">
              <w:marLeft w:val="0"/>
              <w:marRight w:val="0"/>
              <w:marTop w:val="0"/>
              <w:marBottom w:val="0"/>
              <w:divBdr>
                <w:top w:val="none" w:sz="0" w:space="0" w:color="auto"/>
                <w:left w:val="none" w:sz="0" w:space="0" w:color="auto"/>
                <w:bottom w:val="none" w:sz="0" w:space="0" w:color="auto"/>
                <w:right w:val="none" w:sz="0" w:space="0" w:color="auto"/>
              </w:divBdr>
              <w:divsChild>
                <w:div w:id="362172478">
                  <w:marLeft w:val="0"/>
                  <w:marRight w:val="0"/>
                  <w:marTop w:val="0"/>
                  <w:marBottom w:val="0"/>
                  <w:divBdr>
                    <w:top w:val="none" w:sz="0" w:space="0" w:color="auto"/>
                    <w:left w:val="none" w:sz="0" w:space="0" w:color="auto"/>
                    <w:bottom w:val="none" w:sz="0" w:space="0" w:color="auto"/>
                    <w:right w:val="none" w:sz="0" w:space="0" w:color="auto"/>
                  </w:divBdr>
                  <w:divsChild>
                    <w:div w:id="888154809">
                      <w:marLeft w:val="0"/>
                      <w:marRight w:val="0"/>
                      <w:marTop w:val="0"/>
                      <w:marBottom w:val="0"/>
                      <w:divBdr>
                        <w:top w:val="none" w:sz="0" w:space="0" w:color="auto"/>
                        <w:left w:val="none" w:sz="0" w:space="0" w:color="auto"/>
                        <w:bottom w:val="none" w:sz="0" w:space="0" w:color="auto"/>
                        <w:right w:val="none" w:sz="0" w:space="0" w:color="auto"/>
                      </w:divBdr>
                      <w:divsChild>
                        <w:div w:id="1717193224">
                          <w:marLeft w:val="0"/>
                          <w:marRight w:val="0"/>
                          <w:marTop w:val="0"/>
                          <w:marBottom w:val="0"/>
                          <w:divBdr>
                            <w:top w:val="none" w:sz="0" w:space="0" w:color="auto"/>
                            <w:left w:val="none" w:sz="0" w:space="0" w:color="auto"/>
                            <w:bottom w:val="none" w:sz="0" w:space="0" w:color="auto"/>
                            <w:right w:val="none" w:sz="0" w:space="0" w:color="auto"/>
                          </w:divBdr>
                          <w:divsChild>
                            <w:div w:id="1717847434">
                              <w:marLeft w:val="0"/>
                              <w:marRight w:val="0"/>
                              <w:marTop w:val="0"/>
                              <w:marBottom w:val="0"/>
                              <w:divBdr>
                                <w:top w:val="none" w:sz="0" w:space="0" w:color="auto"/>
                                <w:left w:val="none" w:sz="0" w:space="0" w:color="auto"/>
                                <w:bottom w:val="none" w:sz="0" w:space="0" w:color="auto"/>
                                <w:right w:val="none" w:sz="0" w:space="0" w:color="auto"/>
                              </w:divBdr>
                              <w:divsChild>
                                <w:div w:id="1496411410">
                                  <w:marLeft w:val="0"/>
                                  <w:marRight w:val="0"/>
                                  <w:marTop w:val="0"/>
                                  <w:marBottom w:val="0"/>
                                  <w:divBdr>
                                    <w:top w:val="none" w:sz="0" w:space="0" w:color="auto"/>
                                    <w:left w:val="none" w:sz="0" w:space="0" w:color="auto"/>
                                    <w:bottom w:val="none" w:sz="0" w:space="0" w:color="auto"/>
                                    <w:right w:val="none" w:sz="0" w:space="0" w:color="auto"/>
                                  </w:divBdr>
                                  <w:divsChild>
                                    <w:div w:id="1857383400">
                                      <w:marLeft w:val="0"/>
                                      <w:marRight w:val="0"/>
                                      <w:marTop w:val="0"/>
                                      <w:marBottom w:val="0"/>
                                      <w:divBdr>
                                        <w:top w:val="none" w:sz="0" w:space="0" w:color="auto"/>
                                        <w:left w:val="none" w:sz="0" w:space="0" w:color="auto"/>
                                        <w:bottom w:val="none" w:sz="0" w:space="0" w:color="auto"/>
                                        <w:right w:val="none" w:sz="0" w:space="0" w:color="auto"/>
                                      </w:divBdr>
                                      <w:divsChild>
                                        <w:div w:id="45687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4113730">
      <w:bodyDiv w:val="1"/>
      <w:marLeft w:val="0"/>
      <w:marRight w:val="0"/>
      <w:marTop w:val="0"/>
      <w:marBottom w:val="0"/>
      <w:divBdr>
        <w:top w:val="none" w:sz="0" w:space="0" w:color="auto"/>
        <w:left w:val="none" w:sz="0" w:space="0" w:color="auto"/>
        <w:bottom w:val="none" w:sz="0" w:space="0" w:color="auto"/>
        <w:right w:val="none" w:sz="0" w:space="0" w:color="auto"/>
      </w:divBdr>
      <w:divsChild>
        <w:div w:id="693001037">
          <w:marLeft w:val="0"/>
          <w:marRight w:val="0"/>
          <w:marTop w:val="0"/>
          <w:marBottom w:val="150"/>
          <w:divBdr>
            <w:top w:val="none" w:sz="0" w:space="0" w:color="auto"/>
            <w:left w:val="none" w:sz="0" w:space="0" w:color="auto"/>
            <w:bottom w:val="none" w:sz="0" w:space="0" w:color="auto"/>
            <w:right w:val="none" w:sz="0" w:space="0" w:color="auto"/>
          </w:divBdr>
        </w:div>
      </w:divsChild>
    </w:div>
    <w:div w:id="674115435">
      <w:bodyDiv w:val="1"/>
      <w:marLeft w:val="0"/>
      <w:marRight w:val="0"/>
      <w:marTop w:val="0"/>
      <w:marBottom w:val="0"/>
      <w:divBdr>
        <w:top w:val="none" w:sz="0" w:space="0" w:color="auto"/>
        <w:left w:val="none" w:sz="0" w:space="0" w:color="auto"/>
        <w:bottom w:val="none" w:sz="0" w:space="0" w:color="auto"/>
        <w:right w:val="none" w:sz="0" w:space="0" w:color="auto"/>
      </w:divBdr>
      <w:divsChild>
        <w:div w:id="169569565">
          <w:marLeft w:val="0"/>
          <w:marRight w:val="0"/>
          <w:marTop w:val="0"/>
          <w:marBottom w:val="0"/>
          <w:divBdr>
            <w:top w:val="none" w:sz="0" w:space="0" w:color="auto"/>
            <w:left w:val="none" w:sz="0" w:space="0" w:color="auto"/>
            <w:bottom w:val="none" w:sz="0" w:space="0" w:color="auto"/>
            <w:right w:val="none" w:sz="0" w:space="0" w:color="auto"/>
          </w:divBdr>
          <w:divsChild>
            <w:div w:id="2004308267">
              <w:marLeft w:val="0"/>
              <w:marRight w:val="0"/>
              <w:marTop w:val="0"/>
              <w:marBottom w:val="0"/>
              <w:divBdr>
                <w:top w:val="none" w:sz="0" w:space="0" w:color="auto"/>
                <w:left w:val="none" w:sz="0" w:space="0" w:color="auto"/>
                <w:bottom w:val="none" w:sz="0" w:space="0" w:color="auto"/>
                <w:right w:val="none" w:sz="0" w:space="0" w:color="auto"/>
              </w:divBdr>
              <w:divsChild>
                <w:div w:id="714895301">
                  <w:marLeft w:val="0"/>
                  <w:marRight w:val="0"/>
                  <w:marTop w:val="0"/>
                  <w:marBottom w:val="0"/>
                  <w:divBdr>
                    <w:top w:val="none" w:sz="0" w:space="0" w:color="auto"/>
                    <w:left w:val="none" w:sz="0" w:space="0" w:color="auto"/>
                    <w:bottom w:val="none" w:sz="0" w:space="0" w:color="auto"/>
                    <w:right w:val="none" w:sz="0" w:space="0" w:color="auto"/>
                  </w:divBdr>
                  <w:divsChild>
                    <w:div w:id="713847323">
                      <w:marLeft w:val="0"/>
                      <w:marRight w:val="0"/>
                      <w:marTop w:val="0"/>
                      <w:marBottom w:val="0"/>
                      <w:divBdr>
                        <w:top w:val="none" w:sz="0" w:space="0" w:color="auto"/>
                        <w:left w:val="none" w:sz="0" w:space="0" w:color="auto"/>
                        <w:bottom w:val="none" w:sz="0" w:space="0" w:color="auto"/>
                        <w:right w:val="none" w:sz="0" w:space="0" w:color="auto"/>
                      </w:divBdr>
                      <w:divsChild>
                        <w:div w:id="1837187024">
                          <w:marLeft w:val="0"/>
                          <w:marRight w:val="0"/>
                          <w:marTop w:val="0"/>
                          <w:marBottom w:val="0"/>
                          <w:divBdr>
                            <w:top w:val="none" w:sz="0" w:space="0" w:color="auto"/>
                            <w:left w:val="none" w:sz="0" w:space="0" w:color="auto"/>
                            <w:bottom w:val="none" w:sz="0" w:space="0" w:color="auto"/>
                            <w:right w:val="none" w:sz="0" w:space="0" w:color="auto"/>
                          </w:divBdr>
                          <w:divsChild>
                            <w:div w:id="552733966">
                              <w:marLeft w:val="0"/>
                              <w:marRight w:val="0"/>
                              <w:marTop w:val="0"/>
                              <w:marBottom w:val="0"/>
                              <w:divBdr>
                                <w:top w:val="none" w:sz="0" w:space="0" w:color="auto"/>
                                <w:left w:val="none" w:sz="0" w:space="0" w:color="auto"/>
                                <w:bottom w:val="none" w:sz="0" w:space="0" w:color="auto"/>
                                <w:right w:val="none" w:sz="0" w:space="0" w:color="auto"/>
                              </w:divBdr>
                              <w:divsChild>
                                <w:div w:id="103699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4188928">
      <w:bodyDiv w:val="1"/>
      <w:marLeft w:val="0"/>
      <w:marRight w:val="0"/>
      <w:marTop w:val="0"/>
      <w:marBottom w:val="0"/>
      <w:divBdr>
        <w:top w:val="none" w:sz="0" w:space="0" w:color="auto"/>
        <w:left w:val="none" w:sz="0" w:space="0" w:color="auto"/>
        <w:bottom w:val="none" w:sz="0" w:space="0" w:color="auto"/>
        <w:right w:val="none" w:sz="0" w:space="0" w:color="auto"/>
      </w:divBdr>
      <w:divsChild>
        <w:div w:id="235285601">
          <w:marLeft w:val="0"/>
          <w:marRight w:val="0"/>
          <w:marTop w:val="0"/>
          <w:marBottom w:val="0"/>
          <w:divBdr>
            <w:top w:val="none" w:sz="0" w:space="0" w:color="auto"/>
            <w:left w:val="none" w:sz="0" w:space="0" w:color="auto"/>
            <w:bottom w:val="none" w:sz="0" w:space="0" w:color="auto"/>
            <w:right w:val="none" w:sz="0" w:space="0" w:color="auto"/>
          </w:divBdr>
          <w:divsChild>
            <w:div w:id="1513908565">
              <w:marLeft w:val="0"/>
              <w:marRight w:val="0"/>
              <w:marTop w:val="0"/>
              <w:marBottom w:val="0"/>
              <w:divBdr>
                <w:top w:val="none" w:sz="0" w:space="0" w:color="auto"/>
                <w:left w:val="none" w:sz="0" w:space="0" w:color="auto"/>
                <w:bottom w:val="none" w:sz="0" w:space="0" w:color="auto"/>
                <w:right w:val="none" w:sz="0" w:space="0" w:color="auto"/>
              </w:divBdr>
            </w:div>
          </w:divsChild>
        </w:div>
        <w:div w:id="691683462">
          <w:marLeft w:val="0"/>
          <w:marRight w:val="0"/>
          <w:marTop w:val="0"/>
          <w:marBottom w:val="150"/>
          <w:divBdr>
            <w:top w:val="none" w:sz="0" w:space="0" w:color="auto"/>
            <w:left w:val="none" w:sz="0" w:space="0" w:color="auto"/>
            <w:bottom w:val="none" w:sz="0" w:space="0" w:color="auto"/>
            <w:right w:val="none" w:sz="0" w:space="0" w:color="auto"/>
          </w:divBdr>
          <w:divsChild>
            <w:div w:id="1471173425">
              <w:marLeft w:val="0"/>
              <w:marRight w:val="0"/>
              <w:marTop w:val="0"/>
              <w:marBottom w:val="0"/>
              <w:divBdr>
                <w:top w:val="none" w:sz="0" w:space="0" w:color="auto"/>
                <w:left w:val="none" w:sz="0" w:space="0" w:color="auto"/>
                <w:bottom w:val="none" w:sz="0" w:space="0" w:color="auto"/>
                <w:right w:val="none" w:sz="0" w:space="0" w:color="auto"/>
              </w:divBdr>
            </w:div>
          </w:divsChild>
        </w:div>
        <w:div w:id="1811630430">
          <w:marLeft w:val="0"/>
          <w:marRight w:val="0"/>
          <w:marTop w:val="0"/>
          <w:marBottom w:val="150"/>
          <w:divBdr>
            <w:top w:val="none" w:sz="0" w:space="0" w:color="auto"/>
            <w:left w:val="none" w:sz="0" w:space="0" w:color="auto"/>
            <w:bottom w:val="none" w:sz="0" w:space="0" w:color="auto"/>
            <w:right w:val="none" w:sz="0" w:space="0" w:color="auto"/>
          </w:divBdr>
        </w:div>
      </w:divsChild>
    </w:div>
    <w:div w:id="674304169">
      <w:bodyDiv w:val="1"/>
      <w:marLeft w:val="0"/>
      <w:marRight w:val="0"/>
      <w:marTop w:val="0"/>
      <w:marBottom w:val="0"/>
      <w:divBdr>
        <w:top w:val="none" w:sz="0" w:space="0" w:color="auto"/>
        <w:left w:val="none" w:sz="0" w:space="0" w:color="auto"/>
        <w:bottom w:val="none" w:sz="0" w:space="0" w:color="auto"/>
        <w:right w:val="none" w:sz="0" w:space="0" w:color="auto"/>
      </w:divBdr>
      <w:divsChild>
        <w:div w:id="1341932883">
          <w:marLeft w:val="0"/>
          <w:marRight w:val="0"/>
          <w:marTop w:val="0"/>
          <w:marBottom w:val="0"/>
          <w:divBdr>
            <w:top w:val="none" w:sz="0" w:space="0" w:color="auto"/>
            <w:left w:val="none" w:sz="0" w:space="0" w:color="auto"/>
            <w:bottom w:val="dotted" w:sz="6" w:space="4" w:color="DDDDDD"/>
            <w:right w:val="none" w:sz="0" w:space="0" w:color="auto"/>
          </w:divBdr>
        </w:div>
      </w:divsChild>
    </w:div>
    <w:div w:id="674771370">
      <w:bodyDiv w:val="1"/>
      <w:marLeft w:val="0"/>
      <w:marRight w:val="0"/>
      <w:marTop w:val="0"/>
      <w:marBottom w:val="0"/>
      <w:divBdr>
        <w:top w:val="none" w:sz="0" w:space="0" w:color="auto"/>
        <w:left w:val="none" w:sz="0" w:space="0" w:color="auto"/>
        <w:bottom w:val="none" w:sz="0" w:space="0" w:color="auto"/>
        <w:right w:val="none" w:sz="0" w:space="0" w:color="auto"/>
      </w:divBdr>
      <w:divsChild>
        <w:div w:id="640159986">
          <w:marLeft w:val="0"/>
          <w:marRight w:val="0"/>
          <w:marTop w:val="0"/>
          <w:marBottom w:val="0"/>
          <w:divBdr>
            <w:top w:val="none" w:sz="0" w:space="0" w:color="auto"/>
            <w:left w:val="none" w:sz="0" w:space="0" w:color="auto"/>
            <w:bottom w:val="dotted" w:sz="6" w:space="4" w:color="DDDDDD"/>
            <w:right w:val="none" w:sz="0" w:space="0" w:color="auto"/>
          </w:divBdr>
        </w:div>
      </w:divsChild>
    </w:div>
    <w:div w:id="675570387">
      <w:bodyDiv w:val="1"/>
      <w:marLeft w:val="0"/>
      <w:marRight w:val="0"/>
      <w:marTop w:val="0"/>
      <w:marBottom w:val="0"/>
      <w:divBdr>
        <w:top w:val="none" w:sz="0" w:space="0" w:color="auto"/>
        <w:left w:val="none" w:sz="0" w:space="0" w:color="auto"/>
        <w:bottom w:val="none" w:sz="0" w:space="0" w:color="auto"/>
        <w:right w:val="none" w:sz="0" w:space="0" w:color="auto"/>
      </w:divBdr>
    </w:div>
    <w:div w:id="676004326">
      <w:bodyDiv w:val="1"/>
      <w:marLeft w:val="0"/>
      <w:marRight w:val="0"/>
      <w:marTop w:val="0"/>
      <w:marBottom w:val="0"/>
      <w:divBdr>
        <w:top w:val="none" w:sz="0" w:space="0" w:color="auto"/>
        <w:left w:val="none" w:sz="0" w:space="0" w:color="auto"/>
        <w:bottom w:val="none" w:sz="0" w:space="0" w:color="auto"/>
        <w:right w:val="none" w:sz="0" w:space="0" w:color="auto"/>
      </w:divBdr>
      <w:divsChild>
        <w:div w:id="171842896">
          <w:marLeft w:val="0"/>
          <w:marRight w:val="0"/>
          <w:marTop w:val="0"/>
          <w:marBottom w:val="0"/>
          <w:divBdr>
            <w:top w:val="none" w:sz="0" w:space="0" w:color="auto"/>
            <w:left w:val="none" w:sz="0" w:space="0" w:color="auto"/>
            <w:bottom w:val="none" w:sz="0" w:space="0" w:color="auto"/>
            <w:right w:val="none" w:sz="0" w:space="0" w:color="auto"/>
          </w:divBdr>
          <w:divsChild>
            <w:div w:id="273951700">
              <w:marLeft w:val="0"/>
              <w:marRight w:val="0"/>
              <w:marTop w:val="0"/>
              <w:marBottom w:val="0"/>
              <w:divBdr>
                <w:top w:val="none" w:sz="0" w:space="0" w:color="auto"/>
                <w:left w:val="none" w:sz="0" w:space="0" w:color="auto"/>
                <w:bottom w:val="none" w:sz="0" w:space="0" w:color="auto"/>
                <w:right w:val="none" w:sz="0" w:space="0" w:color="auto"/>
              </w:divBdr>
              <w:divsChild>
                <w:div w:id="210848373">
                  <w:marLeft w:val="0"/>
                  <w:marRight w:val="0"/>
                  <w:marTop w:val="0"/>
                  <w:marBottom w:val="0"/>
                  <w:divBdr>
                    <w:top w:val="none" w:sz="0" w:space="0" w:color="auto"/>
                    <w:left w:val="none" w:sz="0" w:space="0" w:color="auto"/>
                    <w:bottom w:val="none" w:sz="0" w:space="0" w:color="auto"/>
                    <w:right w:val="none" w:sz="0" w:space="0" w:color="auto"/>
                  </w:divBdr>
                  <w:divsChild>
                    <w:div w:id="1391998366">
                      <w:marLeft w:val="0"/>
                      <w:marRight w:val="0"/>
                      <w:marTop w:val="0"/>
                      <w:marBottom w:val="0"/>
                      <w:divBdr>
                        <w:top w:val="none" w:sz="0" w:space="0" w:color="auto"/>
                        <w:left w:val="none" w:sz="0" w:space="0" w:color="auto"/>
                        <w:bottom w:val="none" w:sz="0" w:space="0" w:color="auto"/>
                        <w:right w:val="none" w:sz="0" w:space="0" w:color="auto"/>
                      </w:divBdr>
                      <w:divsChild>
                        <w:div w:id="1226338174">
                          <w:marLeft w:val="0"/>
                          <w:marRight w:val="0"/>
                          <w:marTop w:val="225"/>
                          <w:marBottom w:val="150"/>
                          <w:divBdr>
                            <w:top w:val="none" w:sz="0" w:space="4" w:color="auto"/>
                            <w:left w:val="none" w:sz="0" w:space="0" w:color="auto"/>
                            <w:bottom w:val="single" w:sz="6" w:space="4" w:color="CECECE"/>
                            <w:right w:val="none" w:sz="0" w:space="0" w:color="auto"/>
                          </w:divBdr>
                          <w:divsChild>
                            <w:div w:id="255140114">
                              <w:marLeft w:val="0"/>
                              <w:marRight w:val="0"/>
                              <w:marTop w:val="75"/>
                              <w:marBottom w:val="75"/>
                              <w:divBdr>
                                <w:top w:val="none" w:sz="0" w:space="0" w:color="auto"/>
                                <w:left w:val="none" w:sz="0" w:space="0" w:color="auto"/>
                                <w:bottom w:val="none" w:sz="0" w:space="0" w:color="auto"/>
                                <w:right w:val="none" w:sz="0" w:space="0" w:color="auto"/>
                              </w:divBdr>
                              <w:divsChild>
                                <w:div w:id="233589899">
                                  <w:marLeft w:val="0"/>
                                  <w:marRight w:val="0"/>
                                  <w:marTop w:val="45"/>
                                  <w:marBottom w:val="0"/>
                                  <w:divBdr>
                                    <w:top w:val="none" w:sz="0" w:space="0" w:color="auto"/>
                                    <w:left w:val="none" w:sz="0" w:space="0" w:color="auto"/>
                                    <w:bottom w:val="none" w:sz="0" w:space="0" w:color="auto"/>
                                    <w:right w:val="none" w:sz="0" w:space="0" w:color="auto"/>
                                  </w:divBdr>
                                </w:div>
                                <w:div w:id="266086767">
                                  <w:marLeft w:val="0"/>
                                  <w:marRight w:val="135"/>
                                  <w:marTop w:val="0"/>
                                  <w:marBottom w:val="0"/>
                                  <w:divBdr>
                                    <w:top w:val="none" w:sz="0" w:space="0" w:color="auto"/>
                                    <w:left w:val="none" w:sz="0" w:space="0" w:color="auto"/>
                                    <w:bottom w:val="none" w:sz="0" w:space="0" w:color="auto"/>
                                    <w:right w:val="none" w:sz="0" w:space="0" w:color="auto"/>
                                  </w:divBdr>
                                </w:div>
                              </w:divsChild>
                            </w:div>
                            <w:div w:id="1429883509">
                              <w:marLeft w:val="0"/>
                              <w:marRight w:val="0"/>
                              <w:marTop w:val="75"/>
                              <w:marBottom w:val="75"/>
                              <w:divBdr>
                                <w:top w:val="none" w:sz="0" w:space="0" w:color="auto"/>
                                <w:left w:val="none" w:sz="0" w:space="0" w:color="auto"/>
                                <w:bottom w:val="none" w:sz="0" w:space="0" w:color="auto"/>
                                <w:right w:val="none" w:sz="0" w:space="0" w:color="auto"/>
                              </w:divBdr>
                              <w:divsChild>
                                <w:div w:id="387804513">
                                  <w:marLeft w:val="0"/>
                                  <w:marRight w:val="0"/>
                                  <w:marTop w:val="45"/>
                                  <w:marBottom w:val="0"/>
                                  <w:divBdr>
                                    <w:top w:val="none" w:sz="0" w:space="0" w:color="auto"/>
                                    <w:left w:val="none" w:sz="0" w:space="0" w:color="auto"/>
                                    <w:bottom w:val="none" w:sz="0" w:space="0" w:color="auto"/>
                                    <w:right w:val="none" w:sz="0" w:space="0" w:color="auto"/>
                                  </w:divBdr>
                                </w:div>
                                <w:div w:id="758672208">
                                  <w:marLeft w:val="0"/>
                                  <w:marRight w:val="135"/>
                                  <w:marTop w:val="0"/>
                                  <w:marBottom w:val="0"/>
                                  <w:divBdr>
                                    <w:top w:val="none" w:sz="0" w:space="0" w:color="auto"/>
                                    <w:left w:val="none" w:sz="0" w:space="0" w:color="auto"/>
                                    <w:bottom w:val="none" w:sz="0" w:space="0" w:color="auto"/>
                                    <w:right w:val="none" w:sz="0" w:space="0" w:color="auto"/>
                                  </w:divBdr>
                                </w:div>
                              </w:divsChild>
                            </w:div>
                            <w:div w:id="146388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726928">
              <w:marLeft w:val="0"/>
              <w:marRight w:val="0"/>
              <w:marTop w:val="0"/>
              <w:marBottom w:val="0"/>
              <w:divBdr>
                <w:top w:val="none" w:sz="0" w:space="0" w:color="auto"/>
                <w:left w:val="none" w:sz="0" w:space="0" w:color="auto"/>
                <w:bottom w:val="none" w:sz="0" w:space="0" w:color="auto"/>
                <w:right w:val="none" w:sz="0" w:space="0" w:color="auto"/>
              </w:divBdr>
            </w:div>
          </w:divsChild>
        </w:div>
        <w:div w:id="304512308">
          <w:marLeft w:val="0"/>
          <w:marRight w:val="0"/>
          <w:marTop w:val="150"/>
          <w:marBottom w:val="0"/>
          <w:divBdr>
            <w:top w:val="none" w:sz="0" w:space="0" w:color="auto"/>
            <w:left w:val="none" w:sz="0" w:space="0" w:color="auto"/>
            <w:bottom w:val="none" w:sz="0" w:space="0" w:color="auto"/>
            <w:right w:val="none" w:sz="0" w:space="0" w:color="auto"/>
          </w:divBdr>
          <w:divsChild>
            <w:div w:id="1207794567">
              <w:marLeft w:val="0"/>
              <w:marRight w:val="0"/>
              <w:marTop w:val="0"/>
              <w:marBottom w:val="0"/>
              <w:divBdr>
                <w:top w:val="none" w:sz="0" w:space="0" w:color="auto"/>
                <w:left w:val="none" w:sz="0" w:space="0" w:color="auto"/>
                <w:bottom w:val="none" w:sz="0" w:space="0" w:color="auto"/>
                <w:right w:val="none" w:sz="0" w:space="0" w:color="auto"/>
              </w:divBdr>
              <w:divsChild>
                <w:div w:id="213139280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076604">
      <w:bodyDiv w:val="1"/>
      <w:marLeft w:val="0"/>
      <w:marRight w:val="0"/>
      <w:marTop w:val="0"/>
      <w:marBottom w:val="0"/>
      <w:divBdr>
        <w:top w:val="none" w:sz="0" w:space="0" w:color="auto"/>
        <w:left w:val="none" w:sz="0" w:space="0" w:color="auto"/>
        <w:bottom w:val="none" w:sz="0" w:space="0" w:color="auto"/>
        <w:right w:val="none" w:sz="0" w:space="0" w:color="auto"/>
      </w:divBdr>
      <w:divsChild>
        <w:div w:id="880483468">
          <w:marLeft w:val="0"/>
          <w:marRight w:val="0"/>
          <w:marTop w:val="0"/>
          <w:marBottom w:val="0"/>
          <w:divBdr>
            <w:top w:val="none" w:sz="0" w:space="0" w:color="auto"/>
            <w:left w:val="none" w:sz="0" w:space="0" w:color="auto"/>
            <w:bottom w:val="dotted" w:sz="6" w:space="4" w:color="DDDDDD"/>
            <w:right w:val="none" w:sz="0" w:space="0" w:color="auto"/>
          </w:divBdr>
        </w:div>
      </w:divsChild>
    </w:div>
    <w:div w:id="676081897">
      <w:bodyDiv w:val="1"/>
      <w:marLeft w:val="0"/>
      <w:marRight w:val="0"/>
      <w:marTop w:val="0"/>
      <w:marBottom w:val="0"/>
      <w:divBdr>
        <w:top w:val="none" w:sz="0" w:space="0" w:color="auto"/>
        <w:left w:val="none" w:sz="0" w:space="0" w:color="auto"/>
        <w:bottom w:val="none" w:sz="0" w:space="0" w:color="auto"/>
        <w:right w:val="none" w:sz="0" w:space="0" w:color="auto"/>
      </w:divBdr>
      <w:divsChild>
        <w:div w:id="1394886135">
          <w:marLeft w:val="0"/>
          <w:marRight w:val="0"/>
          <w:marTop w:val="0"/>
          <w:marBottom w:val="150"/>
          <w:divBdr>
            <w:top w:val="none" w:sz="0" w:space="0" w:color="auto"/>
            <w:left w:val="none" w:sz="0" w:space="0" w:color="auto"/>
            <w:bottom w:val="none" w:sz="0" w:space="0" w:color="auto"/>
            <w:right w:val="none" w:sz="0" w:space="0" w:color="auto"/>
          </w:divBdr>
        </w:div>
        <w:div w:id="1647588236">
          <w:marLeft w:val="0"/>
          <w:marRight w:val="0"/>
          <w:marTop w:val="0"/>
          <w:marBottom w:val="0"/>
          <w:divBdr>
            <w:top w:val="none" w:sz="0" w:space="0" w:color="auto"/>
            <w:left w:val="none" w:sz="0" w:space="0" w:color="auto"/>
            <w:bottom w:val="none" w:sz="0" w:space="0" w:color="auto"/>
            <w:right w:val="none" w:sz="0" w:space="0" w:color="auto"/>
          </w:divBdr>
        </w:div>
      </w:divsChild>
    </w:div>
    <w:div w:id="676276148">
      <w:bodyDiv w:val="1"/>
      <w:marLeft w:val="0"/>
      <w:marRight w:val="0"/>
      <w:marTop w:val="0"/>
      <w:marBottom w:val="0"/>
      <w:divBdr>
        <w:top w:val="none" w:sz="0" w:space="0" w:color="auto"/>
        <w:left w:val="none" w:sz="0" w:space="0" w:color="auto"/>
        <w:bottom w:val="none" w:sz="0" w:space="0" w:color="auto"/>
        <w:right w:val="none" w:sz="0" w:space="0" w:color="auto"/>
      </w:divBdr>
      <w:divsChild>
        <w:div w:id="1560556065">
          <w:marLeft w:val="0"/>
          <w:marRight w:val="0"/>
          <w:marTop w:val="0"/>
          <w:marBottom w:val="0"/>
          <w:divBdr>
            <w:top w:val="none" w:sz="0" w:space="0" w:color="auto"/>
            <w:left w:val="none" w:sz="0" w:space="0" w:color="auto"/>
            <w:bottom w:val="dotted" w:sz="6" w:space="4" w:color="DDDDDD"/>
            <w:right w:val="none" w:sz="0" w:space="0" w:color="auto"/>
          </w:divBdr>
          <w:divsChild>
            <w:div w:id="8369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25122">
      <w:bodyDiv w:val="1"/>
      <w:marLeft w:val="0"/>
      <w:marRight w:val="0"/>
      <w:marTop w:val="0"/>
      <w:marBottom w:val="0"/>
      <w:divBdr>
        <w:top w:val="none" w:sz="0" w:space="0" w:color="auto"/>
        <w:left w:val="none" w:sz="0" w:space="0" w:color="auto"/>
        <w:bottom w:val="none" w:sz="0" w:space="0" w:color="auto"/>
        <w:right w:val="none" w:sz="0" w:space="0" w:color="auto"/>
      </w:divBdr>
      <w:divsChild>
        <w:div w:id="667975596">
          <w:marLeft w:val="0"/>
          <w:marRight w:val="0"/>
          <w:marTop w:val="0"/>
          <w:marBottom w:val="0"/>
          <w:divBdr>
            <w:top w:val="none" w:sz="0" w:space="0" w:color="auto"/>
            <w:left w:val="none" w:sz="0" w:space="0" w:color="auto"/>
            <w:bottom w:val="dotted" w:sz="6" w:space="4" w:color="DDDDDD"/>
            <w:right w:val="none" w:sz="0" w:space="0" w:color="auto"/>
          </w:divBdr>
          <w:divsChild>
            <w:div w:id="212915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95177">
      <w:bodyDiv w:val="1"/>
      <w:marLeft w:val="0"/>
      <w:marRight w:val="0"/>
      <w:marTop w:val="0"/>
      <w:marBottom w:val="0"/>
      <w:divBdr>
        <w:top w:val="none" w:sz="0" w:space="0" w:color="auto"/>
        <w:left w:val="none" w:sz="0" w:space="0" w:color="auto"/>
        <w:bottom w:val="none" w:sz="0" w:space="0" w:color="auto"/>
        <w:right w:val="none" w:sz="0" w:space="0" w:color="auto"/>
      </w:divBdr>
      <w:divsChild>
        <w:div w:id="387338343">
          <w:marLeft w:val="0"/>
          <w:marRight w:val="0"/>
          <w:marTop w:val="0"/>
          <w:marBottom w:val="0"/>
          <w:divBdr>
            <w:top w:val="none" w:sz="0" w:space="0" w:color="auto"/>
            <w:left w:val="none" w:sz="0" w:space="0" w:color="auto"/>
            <w:bottom w:val="dotted" w:sz="6" w:space="4" w:color="DDDDDD"/>
            <w:right w:val="none" w:sz="0" w:space="0" w:color="auto"/>
          </w:divBdr>
          <w:divsChild>
            <w:div w:id="167333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619662">
      <w:bodyDiv w:val="1"/>
      <w:marLeft w:val="0"/>
      <w:marRight w:val="0"/>
      <w:marTop w:val="0"/>
      <w:marBottom w:val="0"/>
      <w:divBdr>
        <w:top w:val="none" w:sz="0" w:space="0" w:color="auto"/>
        <w:left w:val="none" w:sz="0" w:space="0" w:color="auto"/>
        <w:bottom w:val="none" w:sz="0" w:space="0" w:color="auto"/>
        <w:right w:val="none" w:sz="0" w:space="0" w:color="auto"/>
      </w:divBdr>
      <w:divsChild>
        <w:div w:id="32579757">
          <w:marLeft w:val="0"/>
          <w:marRight w:val="0"/>
          <w:marTop w:val="0"/>
          <w:marBottom w:val="0"/>
          <w:divBdr>
            <w:top w:val="none" w:sz="0" w:space="0" w:color="auto"/>
            <w:left w:val="none" w:sz="0" w:space="0" w:color="auto"/>
            <w:bottom w:val="none" w:sz="0" w:space="0" w:color="auto"/>
            <w:right w:val="none" w:sz="0" w:space="0" w:color="auto"/>
          </w:divBdr>
          <w:divsChild>
            <w:div w:id="263657400">
              <w:marLeft w:val="0"/>
              <w:marRight w:val="0"/>
              <w:marTop w:val="0"/>
              <w:marBottom w:val="0"/>
              <w:divBdr>
                <w:top w:val="none" w:sz="0" w:space="0" w:color="auto"/>
                <w:left w:val="none" w:sz="0" w:space="0" w:color="auto"/>
                <w:bottom w:val="none" w:sz="0" w:space="0" w:color="auto"/>
                <w:right w:val="none" w:sz="0" w:space="0" w:color="auto"/>
              </w:divBdr>
              <w:divsChild>
                <w:div w:id="707413414">
                  <w:marLeft w:val="0"/>
                  <w:marRight w:val="0"/>
                  <w:marTop w:val="0"/>
                  <w:marBottom w:val="0"/>
                  <w:divBdr>
                    <w:top w:val="none" w:sz="0" w:space="0" w:color="auto"/>
                    <w:left w:val="none" w:sz="0" w:space="0" w:color="auto"/>
                    <w:bottom w:val="none" w:sz="0" w:space="0" w:color="auto"/>
                    <w:right w:val="none" w:sz="0" w:space="0" w:color="auto"/>
                  </w:divBdr>
                  <w:divsChild>
                    <w:div w:id="211893113">
                      <w:marLeft w:val="0"/>
                      <w:marRight w:val="0"/>
                      <w:marTop w:val="0"/>
                      <w:marBottom w:val="0"/>
                      <w:divBdr>
                        <w:top w:val="none" w:sz="0" w:space="0" w:color="auto"/>
                        <w:left w:val="none" w:sz="0" w:space="0" w:color="auto"/>
                        <w:bottom w:val="none" w:sz="0" w:space="0" w:color="auto"/>
                        <w:right w:val="none" w:sz="0" w:space="0" w:color="auto"/>
                      </w:divBdr>
                      <w:divsChild>
                        <w:div w:id="1544827734">
                          <w:marLeft w:val="0"/>
                          <w:marRight w:val="0"/>
                          <w:marTop w:val="0"/>
                          <w:marBottom w:val="0"/>
                          <w:divBdr>
                            <w:top w:val="none" w:sz="0" w:space="0" w:color="auto"/>
                            <w:left w:val="none" w:sz="0" w:space="0" w:color="auto"/>
                            <w:bottom w:val="none" w:sz="0" w:space="0" w:color="auto"/>
                            <w:right w:val="none" w:sz="0" w:space="0" w:color="auto"/>
                          </w:divBdr>
                          <w:divsChild>
                            <w:div w:id="671106836">
                              <w:marLeft w:val="0"/>
                              <w:marRight w:val="0"/>
                              <w:marTop w:val="0"/>
                              <w:marBottom w:val="0"/>
                              <w:divBdr>
                                <w:top w:val="none" w:sz="0" w:space="0" w:color="auto"/>
                                <w:left w:val="none" w:sz="0" w:space="0" w:color="auto"/>
                                <w:bottom w:val="none" w:sz="0" w:space="0" w:color="auto"/>
                                <w:right w:val="none" w:sz="0" w:space="0" w:color="auto"/>
                              </w:divBdr>
                              <w:divsChild>
                                <w:div w:id="25606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6690096">
      <w:bodyDiv w:val="1"/>
      <w:marLeft w:val="0"/>
      <w:marRight w:val="0"/>
      <w:marTop w:val="0"/>
      <w:marBottom w:val="0"/>
      <w:divBdr>
        <w:top w:val="none" w:sz="0" w:space="0" w:color="auto"/>
        <w:left w:val="none" w:sz="0" w:space="0" w:color="auto"/>
        <w:bottom w:val="none" w:sz="0" w:space="0" w:color="auto"/>
        <w:right w:val="none" w:sz="0" w:space="0" w:color="auto"/>
      </w:divBdr>
    </w:div>
    <w:div w:id="676999240">
      <w:bodyDiv w:val="1"/>
      <w:marLeft w:val="0"/>
      <w:marRight w:val="0"/>
      <w:marTop w:val="0"/>
      <w:marBottom w:val="0"/>
      <w:divBdr>
        <w:top w:val="none" w:sz="0" w:space="0" w:color="auto"/>
        <w:left w:val="none" w:sz="0" w:space="0" w:color="auto"/>
        <w:bottom w:val="none" w:sz="0" w:space="0" w:color="auto"/>
        <w:right w:val="none" w:sz="0" w:space="0" w:color="auto"/>
      </w:divBdr>
    </w:div>
    <w:div w:id="677275873">
      <w:bodyDiv w:val="1"/>
      <w:marLeft w:val="0"/>
      <w:marRight w:val="0"/>
      <w:marTop w:val="0"/>
      <w:marBottom w:val="0"/>
      <w:divBdr>
        <w:top w:val="none" w:sz="0" w:space="0" w:color="auto"/>
        <w:left w:val="none" w:sz="0" w:space="0" w:color="auto"/>
        <w:bottom w:val="none" w:sz="0" w:space="0" w:color="auto"/>
        <w:right w:val="none" w:sz="0" w:space="0" w:color="auto"/>
      </w:divBdr>
      <w:divsChild>
        <w:div w:id="990016460">
          <w:marLeft w:val="0"/>
          <w:marRight w:val="0"/>
          <w:marTop w:val="0"/>
          <w:marBottom w:val="150"/>
          <w:divBdr>
            <w:top w:val="none" w:sz="0" w:space="0" w:color="auto"/>
            <w:left w:val="none" w:sz="0" w:space="0" w:color="auto"/>
            <w:bottom w:val="none" w:sz="0" w:space="0" w:color="auto"/>
            <w:right w:val="none" w:sz="0" w:space="0" w:color="auto"/>
          </w:divBdr>
          <w:divsChild>
            <w:div w:id="1265305769">
              <w:marLeft w:val="0"/>
              <w:marRight w:val="0"/>
              <w:marTop w:val="0"/>
              <w:marBottom w:val="0"/>
              <w:divBdr>
                <w:top w:val="none" w:sz="0" w:space="0" w:color="auto"/>
                <w:left w:val="none" w:sz="0" w:space="0" w:color="auto"/>
                <w:bottom w:val="none" w:sz="0" w:space="0" w:color="auto"/>
                <w:right w:val="none" w:sz="0" w:space="0" w:color="auto"/>
              </w:divBdr>
              <w:divsChild>
                <w:div w:id="12357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88803">
          <w:marLeft w:val="0"/>
          <w:marRight w:val="0"/>
          <w:marTop w:val="0"/>
          <w:marBottom w:val="150"/>
          <w:divBdr>
            <w:top w:val="none" w:sz="0" w:space="0" w:color="auto"/>
            <w:left w:val="none" w:sz="0" w:space="0" w:color="auto"/>
            <w:bottom w:val="none" w:sz="0" w:space="0" w:color="auto"/>
            <w:right w:val="none" w:sz="0" w:space="0" w:color="auto"/>
          </w:divBdr>
        </w:div>
        <w:div w:id="1018627340">
          <w:marLeft w:val="0"/>
          <w:marRight w:val="0"/>
          <w:marTop w:val="0"/>
          <w:marBottom w:val="0"/>
          <w:divBdr>
            <w:top w:val="none" w:sz="0" w:space="0" w:color="auto"/>
            <w:left w:val="none" w:sz="0" w:space="0" w:color="auto"/>
            <w:bottom w:val="none" w:sz="0" w:space="0" w:color="auto"/>
            <w:right w:val="none" w:sz="0" w:space="0" w:color="auto"/>
          </w:divBdr>
          <w:divsChild>
            <w:div w:id="19805718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77585301">
      <w:bodyDiv w:val="1"/>
      <w:marLeft w:val="0"/>
      <w:marRight w:val="0"/>
      <w:marTop w:val="0"/>
      <w:marBottom w:val="0"/>
      <w:divBdr>
        <w:top w:val="none" w:sz="0" w:space="0" w:color="auto"/>
        <w:left w:val="none" w:sz="0" w:space="0" w:color="auto"/>
        <w:bottom w:val="none" w:sz="0" w:space="0" w:color="auto"/>
        <w:right w:val="none" w:sz="0" w:space="0" w:color="auto"/>
      </w:divBdr>
      <w:divsChild>
        <w:div w:id="1727138917">
          <w:marLeft w:val="0"/>
          <w:marRight w:val="0"/>
          <w:marTop w:val="0"/>
          <w:marBottom w:val="150"/>
          <w:divBdr>
            <w:top w:val="none" w:sz="0" w:space="0" w:color="auto"/>
            <w:left w:val="none" w:sz="0" w:space="0" w:color="auto"/>
            <w:bottom w:val="none" w:sz="0" w:space="0" w:color="auto"/>
            <w:right w:val="none" w:sz="0" w:space="0" w:color="auto"/>
          </w:divBdr>
        </w:div>
        <w:div w:id="2066946528">
          <w:marLeft w:val="0"/>
          <w:marRight w:val="0"/>
          <w:marTop w:val="0"/>
          <w:marBottom w:val="0"/>
          <w:divBdr>
            <w:top w:val="none" w:sz="0" w:space="0" w:color="auto"/>
            <w:left w:val="none" w:sz="0" w:space="0" w:color="auto"/>
            <w:bottom w:val="none" w:sz="0" w:space="0" w:color="auto"/>
            <w:right w:val="none" w:sz="0" w:space="0" w:color="auto"/>
          </w:divBdr>
        </w:div>
      </w:divsChild>
    </w:div>
    <w:div w:id="677658672">
      <w:bodyDiv w:val="1"/>
      <w:marLeft w:val="0"/>
      <w:marRight w:val="0"/>
      <w:marTop w:val="0"/>
      <w:marBottom w:val="0"/>
      <w:divBdr>
        <w:top w:val="none" w:sz="0" w:space="0" w:color="auto"/>
        <w:left w:val="none" w:sz="0" w:space="0" w:color="auto"/>
        <w:bottom w:val="none" w:sz="0" w:space="0" w:color="auto"/>
        <w:right w:val="none" w:sz="0" w:space="0" w:color="auto"/>
      </w:divBdr>
      <w:divsChild>
        <w:div w:id="4284293">
          <w:marLeft w:val="0"/>
          <w:marRight w:val="0"/>
          <w:marTop w:val="300"/>
          <w:marBottom w:val="0"/>
          <w:divBdr>
            <w:top w:val="none" w:sz="0" w:space="0" w:color="auto"/>
            <w:left w:val="none" w:sz="0" w:space="0" w:color="auto"/>
            <w:bottom w:val="none" w:sz="0" w:space="0" w:color="auto"/>
            <w:right w:val="none" w:sz="0" w:space="0" w:color="auto"/>
          </w:divBdr>
          <w:divsChild>
            <w:div w:id="504832067">
              <w:marLeft w:val="-1350"/>
              <w:marRight w:val="0"/>
              <w:marTop w:val="0"/>
              <w:marBottom w:val="0"/>
              <w:divBdr>
                <w:top w:val="none" w:sz="0" w:space="0" w:color="auto"/>
                <w:left w:val="none" w:sz="0" w:space="0" w:color="auto"/>
                <w:bottom w:val="none" w:sz="0" w:space="0" w:color="auto"/>
                <w:right w:val="none" w:sz="0" w:space="0" w:color="auto"/>
              </w:divBdr>
              <w:divsChild>
                <w:div w:id="1803039408">
                  <w:marLeft w:val="0"/>
                  <w:marRight w:val="0"/>
                  <w:marTop w:val="0"/>
                  <w:marBottom w:val="0"/>
                  <w:divBdr>
                    <w:top w:val="none" w:sz="0" w:space="0" w:color="auto"/>
                    <w:left w:val="none" w:sz="0" w:space="0" w:color="auto"/>
                    <w:bottom w:val="none" w:sz="0" w:space="0" w:color="auto"/>
                    <w:right w:val="none" w:sz="0" w:space="0" w:color="auto"/>
                  </w:divBdr>
                  <w:divsChild>
                    <w:div w:id="327366599">
                      <w:marLeft w:val="0"/>
                      <w:marRight w:val="0"/>
                      <w:marTop w:val="0"/>
                      <w:marBottom w:val="0"/>
                      <w:divBdr>
                        <w:top w:val="none" w:sz="0" w:space="0" w:color="auto"/>
                        <w:left w:val="none" w:sz="0" w:space="0" w:color="auto"/>
                        <w:bottom w:val="none" w:sz="0" w:space="0" w:color="auto"/>
                        <w:right w:val="none" w:sz="0" w:space="0" w:color="auto"/>
                      </w:divBdr>
                      <w:divsChild>
                        <w:div w:id="871111175">
                          <w:marLeft w:val="0"/>
                          <w:marRight w:val="0"/>
                          <w:marTop w:val="0"/>
                          <w:marBottom w:val="0"/>
                          <w:divBdr>
                            <w:top w:val="single" w:sz="6" w:space="0" w:color="C7C7C7"/>
                            <w:left w:val="single" w:sz="6" w:space="0" w:color="C7C7C7"/>
                            <w:bottom w:val="single" w:sz="6" w:space="0" w:color="C7C7C7"/>
                            <w:right w:val="single" w:sz="6" w:space="0" w:color="C7C7C7"/>
                          </w:divBdr>
                          <w:divsChild>
                            <w:div w:id="182473449">
                              <w:marLeft w:val="0"/>
                              <w:marRight w:val="0"/>
                              <w:marTop w:val="100"/>
                              <w:marBottom w:val="100"/>
                              <w:divBdr>
                                <w:top w:val="none" w:sz="0" w:space="11" w:color="auto"/>
                                <w:left w:val="none" w:sz="0" w:space="0" w:color="auto"/>
                                <w:bottom w:val="single" w:sz="6" w:space="11" w:color="C7C7C7"/>
                                <w:right w:val="none" w:sz="0" w:space="0" w:color="auto"/>
                              </w:divBdr>
                            </w:div>
                            <w:div w:id="1111976373">
                              <w:marLeft w:val="0"/>
                              <w:marRight w:val="0"/>
                              <w:marTop w:val="100"/>
                              <w:marBottom w:val="100"/>
                              <w:divBdr>
                                <w:top w:val="none" w:sz="0" w:space="11" w:color="auto"/>
                                <w:left w:val="none" w:sz="0" w:space="0" w:color="auto"/>
                                <w:bottom w:val="single" w:sz="6" w:space="11" w:color="C7C7C7"/>
                                <w:right w:val="none" w:sz="0" w:space="0" w:color="auto"/>
                              </w:divBdr>
                            </w:div>
                            <w:div w:id="1479033138">
                              <w:marLeft w:val="0"/>
                              <w:marRight w:val="0"/>
                              <w:marTop w:val="100"/>
                              <w:marBottom w:val="100"/>
                              <w:divBdr>
                                <w:top w:val="none" w:sz="0" w:space="0" w:color="auto"/>
                                <w:left w:val="none" w:sz="0" w:space="0" w:color="auto"/>
                                <w:bottom w:val="none" w:sz="0" w:space="0" w:color="auto"/>
                                <w:right w:val="none" w:sz="0" w:space="0" w:color="auto"/>
                              </w:divBdr>
                            </w:div>
                            <w:div w:id="1821775632">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634338638">
              <w:marLeft w:val="0"/>
              <w:marRight w:val="0"/>
              <w:marTop w:val="0"/>
              <w:marBottom w:val="0"/>
              <w:divBdr>
                <w:top w:val="none" w:sz="0" w:space="0" w:color="auto"/>
                <w:left w:val="none" w:sz="0" w:space="0" w:color="auto"/>
                <w:bottom w:val="none" w:sz="0" w:space="0" w:color="auto"/>
                <w:right w:val="none" w:sz="0" w:space="0" w:color="auto"/>
              </w:divBdr>
              <w:divsChild>
                <w:div w:id="1016076988">
                  <w:marLeft w:val="0"/>
                  <w:marRight w:val="0"/>
                  <w:marTop w:val="0"/>
                  <w:marBottom w:val="0"/>
                  <w:divBdr>
                    <w:top w:val="none" w:sz="0" w:space="0" w:color="auto"/>
                    <w:left w:val="none" w:sz="0" w:space="0" w:color="auto"/>
                    <w:bottom w:val="none" w:sz="0" w:space="0" w:color="auto"/>
                    <w:right w:val="none" w:sz="0" w:space="0" w:color="auto"/>
                  </w:divBdr>
                  <w:divsChild>
                    <w:div w:id="5912560">
                      <w:marLeft w:val="0"/>
                      <w:marRight w:val="0"/>
                      <w:marTop w:val="0"/>
                      <w:marBottom w:val="0"/>
                      <w:divBdr>
                        <w:top w:val="none" w:sz="0" w:space="0" w:color="auto"/>
                        <w:left w:val="none" w:sz="0" w:space="0" w:color="auto"/>
                        <w:bottom w:val="none" w:sz="0" w:space="0" w:color="auto"/>
                        <w:right w:val="none" w:sz="0" w:space="0" w:color="auto"/>
                      </w:divBdr>
                      <w:divsChild>
                        <w:div w:id="456534306">
                          <w:marLeft w:val="0"/>
                          <w:marRight w:val="0"/>
                          <w:marTop w:val="0"/>
                          <w:marBottom w:val="0"/>
                          <w:divBdr>
                            <w:top w:val="none" w:sz="0" w:space="0" w:color="auto"/>
                            <w:left w:val="none" w:sz="0" w:space="0" w:color="auto"/>
                            <w:bottom w:val="none" w:sz="0" w:space="0" w:color="auto"/>
                            <w:right w:val="none" w:sz="0" w:space="0" w:color="auto"/>
                          </w:divBdr>
                          <w:divsChild>
                            <w:div w:id="1416245862">
                              <w:marLeft w:val="0"/>
                              <w:marRight w:val="0"/>
                              <w:marTop w:val="0"/>
                              <w:marBottom w:val="0"/>
                              <w:divBdr>
                                <w:top w:val="single" w:sz="6" w:space="8" w:color="DEDEDE"/>
                                <w:left w:val="single" w:sz="6" w:space="8" w:color="DEDEDE"/>
                                <w:bottom w:val="single" w:sz="6" w:space="8" w:color="DEDEDE"/>
                                <w:right w:val="single" w:sz="6" w:space="8" w:color="DEDEDE"/>
                              </w:divBdr>
                              <w:divsChild>
                                <w:div w:id="2106263191">
                                  <w:marLeft w:val="0"/>
                                  <w:marRight w:val="0"/>
                                  <w:marTop w:val="0"/>
                                  <w:marBottom w:val="0"/>
                                  <w:divBdr>
                                    <w:top w:val="none" w:sz="0" w:space="0" w:color="auto"/>
                                    <w:left w:val="none" w:sz="0" w:space="0" w:color="auto"/>
                                    <w:bottom w:val="none" w:sz="0" w:space="0" w:color="auto"/>
                                    <w:right w:val="none" w:sz="0" w:space="0" w:color="auto"/>
                                  </w:divBdr>
                                  <w:divsChild>
                                    <w:div w:id="50524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457713">
                      <w:marLeft w:val="0"/>
                      <w:marRight w:val="0"/>
                      <w:marTop w:val="0"/>
                      <w:marBottom w:val="0"/>
                      <w:divBdr>
                        <w:top w:val="none" w:sz="0" w:space="0" w:color="auto"/>
                        <w:left w:val="none" w:sz="0" w:space="0" w:color="auto"/>
                        <w:bottom w:val="none" w:sz="0" w:space="0" w:color="auto"/>
                        <w:right w:val="none" w:sz="0" w:space="0" w:color="auto"/>
                      </w:divBdr>
                    </w:div>
                    <w:div w:id="1014956425">
                      <w:marLeft w:val="0"/>
                      <w:marRight w:val="0"/>
                      <w:marTop w:val="0"/>
                      <w:marBottom w:val="0"/>
                      <w:divBdr>
                        <w:top w:val="none" w:sz="0" w:space="0" w:color="auto"/>
                        <w:left w:val="none" w:sz="0" w:space="0" w:color="auto"/>
                        <w:bottom w:val="none" w:sz="0" w:space="0" w:color="auto"/>
                        <w:right w:val="none" w:sz="0" w:space="0" w:color="auto"/>
                      </w:divBdr>
                    </w:div>
                  </w:divsChild>
                </w:div>
                <w:div w:id="1075474842">
                  <w:marLeft w:val="0"/>
                  <w:marRight w:val="0"/>
                  <w:marTop w:val="150"/>
                  <w:marBottom w:val="0"/>
                  <w:divBdr>
                    <w:top w:val="none" w:sz="0" w:space="0" w:color="auto"/>
                    <w:left w:val="none" w:sz="0" w:space="0" w:color="auto"/>
                    <w:bottom w:val="none" w:sz="0" w:space="0" w:color="auto"/>
                    <w:right w:val="none" w:sz="0" w:space="0" w:color="auto"/>
                  </w:divBdr>
                  <w:divsChild>
                    <w:div w:id="229191451">
                      <w:marLeft w:val="0"/>
                      <w:marRight w:val="0"/>
                      <w:marTop w:val="0"/>
                      <w:marBottom w:val="0"/>
                      <w:divBdr>
                        <w:top w:val="none" w:sz="0" w:space="0" w:color="auto"/>
                        <w:left w:val="none" w:sz="0" w:space="0" w:color="auto"/>
                        <w:bottom w:val="none" w:sz="0" w:space="0" w:color="auto"/>
                        <w:right w:val="none" w:sz="0" w:space="0" w:color="auto"/>
                      </w:divBdr>
                      <w:divsChild>
                        <w:div w:id="129447953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612035">
          <w:marLeft w:val="0"/>
          <w:marRight w:val="0"/>
          <w:marTop w:val="150"/>
          <w:marBottom w:val="0"/>
          <w:divBdr>
            <w:top w:val="none" w:sz="0" w:space="0" w:color="auto"/>
            <w:left w:val="none" w:sz="0" w:space="0" w:color="auto"/>
            <w:bottom w:val="none" w:sz="0" w:space="0" w:color="auto"/>
            <w:right w:val="none" w:sz="0" w:space="0" w:color="auto"/>
          </w:divBdr>
          <w:divsChild>
            <w:div w:id="841704067">
              <w:marLeft w:val="0"/>
              <w:marRight w:val="0"/>
              <w:marTop w:val="0"/>
              <w:marBottom w:val="0"/>
              <w:divBdr>
                <w:top w:val="none" w:sz="0" w:space="0" w:color="auto"/>
                <w:left w:val="none" w:sz="0" w:space="0" w:color="auto"/>
                <w:bottom w:val="single" w:sz="6" w:space="0" w:color="EFEFEF"/>
                <w:right w:val="none" w:sz="0" w:space="0" w:color="auto"/>
              </w:divBdr>
              <w:divsChild>
                <w:div w:id="589974194">
                  <w:marLeft w:val="0"/>
                  <w:marRight w:val="0"/>
                  <w:marTop w:val="0"/>
                  <w:marBottom w:val="0"/>
                  <w:divBdr>
                    <w:top w:val="none" w:sz="0" w:space="0" w:color="auto"/>
                    <w:left w:val="none" w:sz="0" w:space="0" w:color="auto"/>
                    <w:bottom w:val="none" w:sz="0" w:space="0" w:color="auto"/>
                    <w:right w:val="none" w:sz="0" w:space="0" w:color="auto"/>
                  </w:divBdr>
                </w:div>
                <w:div w:id="74017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240854">
      <w:bodyDiv w:val="1"/>
      <w:marLeft w:val="0"/>
      <w:marRight w:val="0"/>
      <w:marTop w:val="0"/>
      <w:marBottom w:val="0"/>
      <w:divBdr>
        <w:top w:val="none" w:sz="0" w:space="0" w:color="auto"/>
        <w:left w:val="none" w:sz="0" w:space="0" w:color="auto"/>
        <w:bottom w:val="none" w:sz="0" w:space="0" w:color="auto"/>
        <w:right w:val="none" w:sz="0" w:space="0" w:color="auto"/>
      </w:divBdr>
      <w:divsChild>
        <w:div w:id="421145614">
          <w:marLeft w:val="0"/>
          <w:marRight w:val="0"/>
          <w:marTop w:val="0"/>
          <w:marBottom w:val="0"/>
          <w:divBdr>
            <w:top w:val="none" w:sz="0" w:space="0" w:color="auto"/>
            <w:left w:val="none" w:sz="0" w:space="0" w:color="auto"/>
            <w:bottom w:val="none" w:sz="0" w:space="0" w:color="auto"/>
            <w:right w:val="none" w:sz="0" w:space="0" w:color="auto"/>
          </w:divBdr>
          <w:divsChild>
            <w:div w:id="1219240636">
              <w:marLeft w:val="0"/>
              <w:marRight w:val="0"/>
              <w:marTop w:val="0"/>
              <w:marBottom w:val="0"/>
              <w:divBdr>
                <w:top w:val="none" w:sz="0" w:space="0" w:color="auto"/>
                <w:left w:val="none" w:sz="0" w:space="0" w:color="auto"/>
                <w:bottom w:val="none" w:sz="0" w:space="0" w:color="auto"/>
                <w:right w:val="none" w:sz="0" w:space="0" w:color="auto"/>
              </w:divBdr>
              <w:divsChild>
                <w:div w:id="1233933563">
                  <w:marLeft w:val="0"/>
                  <w:marRight w:val="0"/>
                  <w:marTop w:val="0"/>
                  <w:marBottom w:val="0"/>
                  <w:divBdr>
                    <w:top w:val="none" w:sz="0" w:space="0" w:color="auto"/>
                    <w:left w:val="none" w:sz="0" w:space="0" w:color="auto"/>
                    <w:bottom w:val="none" w:sz="0" w:space="0" w:color="auto"/>
                    <w:right w:val="none" w:sz="0" w:space="0" w:color="auto"/>
                  </w:divBdr>
                  <w:divsChild>
                    <w:div w:id="1523931101">
                      <w:marLeft w:val="0"/>
                      <w:marRight w:val="0"/>
                      <w:marTop w:val="0"/>
                      <w:marBottom w:val="0"/>
                      <w:divBdr>
                        <w:top w:val="none" w:sz="0" w:space="0" w:color="auto"/>
                        <w:left w:val="none" w:sz="0" w:space="0" w:color="auto"/>
                        <w:bottom w:val="none" w:sz="0" w:space="0" w:color="auto"/>
                        <w:right w:val="none" w:sz="0" w:space="0" w:color="auto"/>
                      </w:divBdr>
                      <w:divsChild>
                        <w:div w:id="1914468569">
                          <w:marLeft w:val="0"/>
                          <w:marRight w:val="0"/>
                          <w:marTop w:val="0"/>
                          <w:marBottom w:val="0"/>
                          <w:divBdr>
                            <w:top w:val="none" w:sz="0" w:space="0" w:color="auto"/>
                            <w:left w:val="none" w:sz="0" w:space="0" w:color="auto"/>
                            <w:bottom w:val="none" w:sz="0" w:space="0" w:color="auto"/>
                            <w:right w:val="none" w:sz="0" w:space="0" w:color="auto"/>
                          </w:divBdr>
                          <w:divsChild>
                            <w:div w:id="352078252">
                              <w:marLeft w:val="0"/>
                              <w:marRight w:val="0"/>
                              <w:marTop w:val="0"/>
                              <w:marBottom w:val="0"/>
                              <w:divBdr>
                                <w:top w:val="none" w:sz="0" w:space="0" w:color="auto"/>
                                <w:left w:val="none" w:sz="0" w:space="0" w:color="auto"/>
                                <w:bottom w:val="none" w:sz="0" w:space="0" w:color="auto"/>
                                <w:right w:val="none" w:sz="0" w:space="0" w:color="auto"/>
                              </w:divBdr>
                              <w:divsChild>
                                <w:div w:id="353961648">
                                  <w:marLeft w:val="0"/>
                                  <w:marRight w:val="0"/>
                                  <w:marTop w:val="0"/>
                                  <w:marBottom w:val="0"/>
                                  <w:divBdr>
                                    <w:top w:val="none" w:sz="0" w:space="0" w:color="auto"/>
                                    <w:left w:val="none" w:sz="0" w:space="0" w:color="auto"/>
                                    <w:bottom w:val="none" w:sz="0" w:space="0" w:color="auto"/>
                                    <w:right w:val="none" w:sz="0" w:space="0" w:color="auto"/>
                                  </w:divBdr>
                                  <w:divsChild>
                                    <w:div w:id="678387242">
                                      <w:marLeft w:val="0"/>
                                      <w:marRight w:val="0"/>
                                      <w:marTop w:val="0"/>
                                      <w:marBottom w:val="0"/>
                                      <w:divBdr>
                                        <w:top w:val="none" w:sz="0" w:space="0" w:color="auto"/>
                                        <w:left w:val="none" w:sz="0" w:space="0" w:color="auto"/>
                                        <w:bottom w:val="none" w:sz="0" w:space="0" w:color="auto"/>
                                        <w:right w:val="none" w:sz="0" w:space="0" w:color="auto"/>
                                      </w:divBdr>
                                      <w:divsChild>
                                        <w:div w:id="10006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9046066">
      <w:bodyDiv w:val="1"/>
      <w:marLeft w:val="0"/>
      <w:marRight w:val="0"/>
      <w:marTop w:val="0"/>
      <w:marBottom w:val="0"/>
      <w:divBdr>
        <w:top w:val="none" w:sz="0" w:space="0" w:color="auto"/>
        <w:left w:val="none" w:sz="0" w:space="0" w:color="auto"/>
        <w:bottom w:val="none" w:sz="0" w:space="0" w:color="auto"/>
        <w:right w:val="none" w:sz="0" w:space="0" w:color="auto"/>
      </w:divBdr>
      <w:divsChild>
        <w:div w:id="1298953492">
          <w:marLeft w:val="0"/>
          <w:marRight w:val="0"/>
          <w:marTop w:val="0"/>
          <w:marBottom w:val="0"/>
          <w:divBdr>
            <w:top w:val="none" w:sz="0" w:space="0" w:color="auto"/>
            <w:left w:val="none" w:sz="0" w:space="0" w:color="auto"/>
            <w:bottom w:val="none" w:sz="0" w:space="0" w:color="auto"/>
            <w:right w:val="none" w:sz="0" w:space="0" w:color="auto"/>
          </w:divBdr>
          <w:divsChild>
            <w:div w:id="807819359">
              <w:marLeft w:val="0"/>
              <w:marRight w:val="0"/>
              <w:marTop w:val="0"/>
              <w:marBottom w:val="0"/>
              <w:divBdr>
                <w:top w:val="none" w:sz="0" w:space="0" w:color="auto"/>
                <w:left w:val="none" w:sz="0" w:space="0" w:color="auto"/>
                <w:bottom w:val="none" w:sz="0" w:space="0" w:color="auto"/>
                <w:right w:val="none" w:sz="0" w:space="0" w:color="auto"/>
              </w:divBdr>
              <w:divsChild>
                <w:div w:id="393965977">
                  <w:marLeft w:val="0"/>
                  <w:marRight w:val="0"/>
                  <w:marTop w:val="0"/>
                  <w:marBottom w:val="0"/>
                  <w:divBdr>
                    <w:top w:val="none" w:sz="0" w:space="0" w:color="auto"/>
                    <w:left w:val="none" w:sz="0" w:space="0" w:color="auto"/>
                    <w:bottom w:val="none" w:sz="0" w:space="0" w:color="auto"/>
                    <w:right w:val="none" w:sz="0" w:space="0" w:color="auto"/>
                  </w:divBdr>
                  <w:divsChild>
                    <w:div w:id="1625193675">
                      <w:marLeft w:val="0"/>
                      <w:marRight w:val="0"/>
                      <w:marTop w:val="0"/>
                      <w:marBottom w:val="0"/>
                      <w:divBdr>
                        <w:top w:val="none" w:sz="0" w:space="0" w:color="auto"/>
                        <w:left w:val="none" w:sz="0" w:space="0" w:color="auto"/>
                        <w:bottom w:val="none" w:sz="0" w:space="0" w:color="auto"/>
                        <w:right w:val="none" w:sz="0" w:space="0" w:color="auto"/>
                      </w:divBdr>
                      <w:divsChild>
                        <w:div w:id="1241983769">
                          <w:marLeft w:val="0"/>
                          <w:marRight w:val="0"/>
                          <w:marTop w:val="0"/>
                          <w:marBottom w:val="0"/>
                          <w:divBdr>
                            <w:top w:val="none" w:sz="0" w:space="0" w:color="auto"/>
                            <w:left w:val="none" w:sz="0" w:space="0" w:color="auto"/>
                            <w:bottom w:val="none" w:sz="0" w:space="0" w:color="auto"/>
                            <w:right w:val="none" w:sz="0" w:space="0" w:color="auto"/>
                          </w:divBdr>
                          <w:divsChild>
                            <w:div w:id="64766469">
                              <w:marLeft w:val="0"/>
                              <w:marRight w:val="0"/>
                              <w:marTop w:val="0"/>
                              <w:marBottom w:val="0"/>
                              <w:divBdr>
                                <w:top w:val="none" w:sz="0" w:space="0" w:color="auto"/>
                                <w:left w:val="none" w:sz="0" w:space="0" w:color="auto"/>
                                <w:bottom w:val="none" w:sz="0" w:space="0" w:color="auto"/>
                                <w:right w:val="none" w:sz="0" w:space="0" w:color="auto"/>
                              </w:divBdr>
                              <w:divsChild>
                                <w:div w:id="489176495">
                                  <w:marLeft w:val="0"/>
                                  <w:marRight w:val="0"/>
                                  <w:marTop w:val="0"/>
                                  <w:marBottom w:val="0"/>
                                  <w:divBdr>
                                    <w:top w:val="none" w:sz="0" w:space="0" w:color="auto"/>
                                    <w:left w:val="none" w:sz="0" w:space="0" w:color="auto"/>
                                    <w:bottom w:val="none" w:sz="0" w:space="0" w:color="auto"/>
                                    <w:right w:val="none" w:sz="0" w:space="0" w:color="auto"/>
                                  </w:divBdr>
                                  <w:divsChild>
                                    <w:div w:id="344090482">
                                      <w:marLeft w:val="0"/>
                                      <w:marRight w:val="0"/>
                                      <w:marTop w:val="0"/>
                                      <w:marBottom w:val="0"/>
                                      <w:divBdr>
                                        <w:top w:val="none" w:sz="0" w:space="0" w:color="auto"/>
                                        <w:left w:val="none" w:sz="0" w:space="0" w:color="auto"/>
                                        <w:bottom w:val="none" w:sz="0" w:space="0" w:color="auto"/>
                                        <w:right w:val="none" w:sz="0" w:space="0" w:color="auto"/>
                                      </w:divBdr>
                                      <w:divsChild>
                                        <w:div w:id="87242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9235400">
      <w:bodyDiv w:val="1"/>
      <w:marLeft w:val="0"/>
      <w:marRight w:val="0"/>
      <w:marTop w:val="0"/>
      <w:marBottom w:val="0"/>
      <w:divBdr>
        <w:top w:val="none" w:sz="0" w:space="0" w:color="auto"/>
        <w:left w:val="none" w:sz="0" w:space="0" w:color="auto"/>
        <w:bottom w:val="none" w:sz="0" w:space="0" w:color="auto"/>
        <w:right w:val="none" w:sz="0" w:space="0" w:color="auto"/>
      </w:divBdr>
      <w:divsChild>
        <w:div w:id="490870130">
          <w:marLeft w:val="0"/>
          <w:marRight w:val="0"/>
          <w:marTop w:val="0"/>
          <w:marBottom w:val="150"/>
          <w:divBdr>
            <w:top w:val="none" w:sz="0" w:space="0" w:color="auto"/>
            <w:left w:val="none" w:sz="0" w:space="0" w:color="auto"/>
            <w:bottom w:val="none" w:sz="0" w:space="0" w:color="auto"/>
            <w:right w:val="none" w:sz="0" w:space="0" w:color="auto"/>
          </w:divBdr>
          <w:divsChild>
            <w:div w:id="1764452306">
              <w:marLeft w:val="0"/>
              <w:marRight w:val="0"/>
              <w:marTop w:val="0"/>
              <w:marBottom w:val="0"/>
              <w:divBdr>
                <w:top w:val="none" w:sz="0" w:space="0" w:color="auto"/>
                <w:left w:val="none" w:sz="0" w:space="0" w:color="auto"/>
                <w:bottom w:val="none" w:sz="0" w:space="0" w:color="auto"/>
                <w:right w:val="none" w:sz="0" w:space="0" w:color="auto"/>
              </w:divBdr>
              <w:divsChild>
                <w:div w:id="1747410720">
                  <w:marLeft w:val="0"/>
                  <w:marRight w:val="0"/>
                  <w:marTop w:val="0"/>
                  <w:marBottom w:val="0"/>
                  <w:divBdr>
                    <w:top w:val="none" w:sz="0" w:space="0" w:color="auto"/>
                    <w:left w:val="none" w:sz="0" w:space="0" w:color="auto"/>
                    <w:bottom w:val="none" w:sz="0" w:space="0" w:color="auto"/>
                    <w:right w:val="none" w:sz="0" w:space="0" w:color="auto"/>
                  </w:divBdr>
                  <w:divsChild>
                    <w:div w:id="139345627">
                      <w:marLeft w:val="0"/>
                      <w:marRight w:val="150"/>
                      <w:marTop w:val="0"/>
                      <w:marBottom w:val="0"/>
                      <w:divBdr>
                        <w:top w:val="none" w:sz="0" w:space="0" w:color="auto"/>
                        <w:left w:val="none" w:sz="0" w:space="0" w:color="auto"/>
                        <w:bottom w:val="none" w:sz="0" w:space="0" w:color="auto"/>
                        <w:right w:val="none" w:sz="0" w:space="0" w:color="auto"/>
                      </w:divBdr>
                      <w:divsChild>
                        <w:div w:id="21928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875649">
          <w:marLeft w:val="0"/>
          <w:marRight w:val="0"/>
          <w:marTop w:val="0"/>
          <w:marBottom w:val="150"/>
          <w:divBdr>
            <w:top w:val="none" w:sz="0" w:space="0" w:color="auto"/>
            <w:left w:val="none" w:sz="0" w:space="0" w:color="auto"/>
            <w:bottom w:val="none" w:sz="0" w:space="0" w:color="auto"/>
            <w:right w:val="none" w:sz="0" w:space="0" w:color="auto"/>
          </w:divBdr>
        </w:div>
        <w:div w:id="71440290">
          <w:marLeft w:val="0"/>
          <w:marRight w:val="0"/>
          <w:marTop w:val="0"/>
          <w:marBottom w:val="0"/>
          <w:divBdr>
            <w:top w:val="none" w:sz="0" w:space="0" w:color="auto"/>
            <w:left w:val="none" w:sz="0" w:space="0" w:color="auto"/>
            <w:bottom w:val="none" w:sz="0" w:space="0" w:color="auto"/>
            <w:right w:val="none" w:sz="0" w:space="0" w:color="auto"/>
          </w:divBdr>
          <w:divsChild>
            <w:div w:id="19207962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79816534">
      <w:bodyDiv w:val="1"/>
      <w:marLeft w:val="0"/>
      <w:marRight w:val="0"/>
      <w:marTop w:val="0"/>
      <w:marBottom w:val="0"/>
      <w:divBdr>
        <w:top w:val="none" w:sz="0" w:space="0" w:color="auto"/>
        <w:left w:val="none" w:sz="0" w:space="0" w:color="auto"/>
        <w:bottom w:val="none" w:sz="0" w:space="0" w:color="auto"/>
        <w:right w:val="none" w:sz="0" w:space="0" w:color="auto"/>
      </w:divBdr>
      <w:divsChild>
        <w:div w:id="279798658">
          <w:marLeft w:val="0"/>
          <w:marRight w:val="0"/>
          <w:marTop w:val="0"/>
          <w:marBottom w:val="0"/>
          <w:divBdr>
            <w:top w:val="none" w:sz="0" w:space="0" w:color="auto"/>
            <w:left w:val="none" w:sz="0" w:space="0" w:color="auto"/>
            <w:bottom w:val="none" w:sz="0" w:space="0" w:color="auto"/>
            <w:right w:val="none" w:sz="0" w:space="0" w:color="auto"/>
          </w:divBdr>
          <w:divsChild>
            <w:div w:id="1317997736">
              <w:marLeft w:val="0"/>
              <w:marRight w:val="0"/>
              <w:marTop w:val="0"/>
              <w:marBottom w:val="0"/>
              <w:divBdr>
                <w:top w:val="none" w:sz="0" w:space="0" w:color="auto"/>
                <w:left w:val="none" w:sz="0" w:space="0" w:color="auto"/>
                <w:bottom w:val="none" w:sz="0" w:space="0" w:color="auto"/>
                <w:right w:val="none" w:sz="0" w:space="0" w:color="auto"/>
              </w:divBdr>
              <w:divsChild>
                <w:div w:id="569195239">
                  <w:marLeft w:val="0"/>
                  <w:marRight w:val="0"/>
                  <w:marTop w:val="0"/>
                  <w:marBottom w:val="0"/>
                  <w:divBdr>
                    <w:top w:val="none" w:sz="0" w:space="0" w:color="auto"/>
                    <w:left w:val="none" w:sz="0" w:space="0" w:color="auto"/>
                    <w:bottom w:val="none" w:sz="0" w:space="0" w:color="auto"/>
                    <w:right w:val="none" w:sz="0" w:space="0" w:color="auto"/>
                  </w:divBdr>
                  <w:divsChild>
                    <w:div w:id="182784813">
                      <w:marLeft w:val="0"/>
                      <w:marRight w:val="0"/>
                      <w:marTop w:val="0"/>
                      <w:marBottom w:val="0"/>
                      <w:divBdr>
                        <w:top w:val="none" w:sz="0" w:space="0" w:color="auto"/>
                        <w:left w:val="none" w:sz="0" w:space="0" w:color="auto"/>
                        <w:bottom w:val="none" w:sz="0" w:space="0" w:color="auto"/>
                        <w:right w:val="none" w:sz="0" w:space="0" w:color="auto"/>
                      </w:divBdr>
                      <w:divsChild>
                        <w:div w:id="1633903229">
                          <w:marLeft w:val="0"/>
                          <w:marRight w:val="0"/>
                          <w:marTop w:val="0"/>
                          <w:marBottom w:val="0"/>
                          <w:divBdr>
                            <w:top w:val="none" w:sz="0" w:space="0" w:color="auto"/>
                            <w:left w:val="none" w:sz="0" w:space="0" w:color="auto"/>
                            <w:bottom w:val="none" w:sz="0" w:space="0" w:color="auto"/>
                            <w:right w:val="none" w:sz="0" w:space="0" w:color="auto"/>
                          </w:divBdr>
                          <w:divsChild>
                            <w:div w:id="88398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0132923">
      <w:bodyDiv w:val="1"/>
      <w:marLeft w:val="0"/>
      <w:marRight w:val="0"/>
      <w:marTop w:val="0"/>
      <w:marBottom w:val="0"/>
      <w:divBdr>
        <w:top w:val="none" w:sz="0" w:space="0" w:color="auto"/>
        <w:left w:val="none" w:sz="0" w:space="0" w:color="auto"/>
        <w:bottom w:val="none" w:sz="0" w:space="0" w:color="auto"/>
        <w:right w:val="none" w:sz="0" w:space="0" w:color="auto"/>
      </w:divBdr>
      <w:divsChild>
        <w:div w:id="1414476908">
          <w:marLeft w:val="0"/>
          <w:marRight w:val="0"/>
          <w:marTop w:val="0"/>
          <w:marBottom w:val="0"/>
          <w:divBdr>
            <w:top w:val="none" w:sz="0" w:space="0" w:color="auto"/>
            <w:left w:val="none" w:sz="0" w:space="0" w:color="auto"/>
            <w:bottom w:val="dotted" w:sz="6" w:space="4" w:color="DDDDDD"/>
            <w:right w:val="none" w:sz="0" w:space="0" w:color="auto"/>
          </w:divBdr>
          <w:divsChild>
            <w:div w:id="25521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545846">
      <w:bodyDiv w:val="1"/>
      <w:marLeft w:val="0"/>
      <w:marRight w:val="0"/>
      <w:marTop w:val="0"/>
      <w:marBottom w:val="0"/>
      <w:divBdr>
        <w:top w:val="none" w:sz="0" w:space="0" w:color="auto"/>
        <w:left w:val="none" w:sz="0" w:space="0" w:color="auto"/>
        <w:bottom w:val="none" w:sz="0" w:space="0" w:color="auto"/>
        <w:right w:val="none" w:sz="0" w:space="0" w:color="auto"/>
      </w:divBdr>
      <w:divsChild>
        <w:div w:id="1861624044">
          <w:marLeft w:val="0"/>
          <w:marRight w:val="0"/>
          <w:marTop w:val="0"/>
          <w:marBottom w:val="150"/>
          <w:divBdr>
            <w:top w:val="none" w:sz="0" w:space="0" w:color="auto"/>
            <w:left w:val="none" w:sz="0" w:space="0" w:color="auto"/>
            <w:bottom w:val="none" w:sz="0" w:space="0" w:color="auto"/>
            <w:right w:val="none" w:sz="0" w:space="0" w:color="auto"/>
          </w:divBdr>
        </w:div>
      </w:divsChild>
    </w:div>
    <w:div w:id="681399248">
      <w:bodyDiv w:val="1"/>
      <w:marLeft w:val="0"/>
      <w:marRight w:val="0"/>
      <w:marTop w:val="0"/>
      <w:marBottom w:val="0"/>
      <w:divBdr>
        <w:top w:val="none" w:sz="0" w:space="0" w:color="auto"/>
        <w:left w:val="none" w:sz="0" w:space="0" w:color="auto"/>
        <w:bottom w:val="none" w:sz="0" w:space="0" w:color="auto"/>
        <w:right w:val="none" w:sz="0" w:space="0" w:color="auto"/>
      </w:divBdr>
    </w:div>
    <w:div w:id="681400200">
      <w:bodyDiv w:val="1"/>
      <w:marLeft w:val="0"/>
      <w:marRight w:val="0"/>
      <w:marTop w:val="0"/>
      <w:marBottom w:val="0"/>
      <w:divBdr>
        <w:top w:val="none" w:sz="0" w:space="0" w:color="auto"/>
        <w:left w:val="none" w:sz="0" w:space="0" w:color="auto"/>
        <w:bottom w:val="none" w:sz="0" w:space="0" w:color="auto"/>
        <w:right w:val="none" w:sz="0" w:space="0" w:color="auto"/>
      </w:divBdr>
    </w:div>
    <w:div w:id="681510018">
      <w:bodyDiv w:val="1"/>
      <w:marLeft w:val="0"/>
      <w:marRight w:val="0"/>
      <w:marTop w:val="0"/>
      <w:marBottom w:val="0"/>
      <w:divBdr>
        <w:top w:val="none" w:sz="0" w:space="0" w:color="auto"/>
        <w:left w:val="none" w:sz="0" w:space="0" w:color="auto"/>
        <w:bottom w:val="none" w:sz="0" w:space="0" w:color="auto"/>
        <w:right w:val="none" w:sz="0" w:space="0" w:color="auto"/>
      </w:divBdr>
    </w:div>
    <w:div w:id="682823670">
      <w:bodyDiv w:val="1"/>
      <w:marLeft w:val="0"/>
      <w:marRight w:val="0"/>
      <w:marTop w:val="0"/>
      <w:marBottom w:val="0"/>
      <w:divBdr>
        <w:top w:val="none" w:sz="0" w:space="0" w:color="auto"/>
        <w:left w:val="none" w:sz="0" w:space="0" w:color="auto"/>
        <w:bottom w:val="none" w:sz="0" w:space="0" w:color="auto"/>
        <w:right w:val="none" w:sz="0" w:space="0" w:color="auto"/>
      </w:divBdr>
    </w:div>
    <w:div w:id="683090784">
      <w:bodyDiv w:val="1"/>
      <w:marLeft w:val="0"/>
      <w:marRight w:val="0"/>
      <w:marTop w:val="0"/>
      <w:marBottom w:val="0"/>
      <w:divBdr>
        <w:top w:val="none" w:sz="0" w:space="0" w:color="auto"/>
        <w:left w:val="none" w:sz="0" w:space="0" w:color="auto"/>
        <w:bottom w:val="none" w:sz="0" w:space="0" w:color="auto"/>
        <w:right w:val="none" w:sz="0" w:space="0" w:color="auto"/>
      </w:divBdr>
      <w:divsChild>
        <w:div w:id="1730613954">
          <w:marLeft w:val="0"/>
          <w:marRight w:val="0"/>
          <w:marTop w:val="0"/>
          <w:marBottom w:val="150"/>
          <w:divBdr>
            <w:top w:val="none" w:sz="0" w:space="0" w:color="auto"/>
            <w:left w:val="none" w:sz="0" w:space="0" w:color="auto"/>
            <w:bottom w:val="none" w:sz="0" w:space="0" w:color="auto"/>
            <w:right w:val="none" w:sz="0" w:space="0" w:color="auto"/>
          </w:divBdr>
        </w:div>
      </w:divsChild>
    </w:div>
    <w:div w:id="683360637">
      <w:bodyDiv w:val="1"/>
      <w:marLeft w:val="0"/>
      <w:marRight w:val="0"/>
      <w:marTop w:val="0"/>
      <w:marBottom w:val="0"/>
      <w:divBdr>
        <w:top w:val="none" w:sz="0" w:space="0" w:color="auto"/>
        <w:left w:val="none" w:sz="0" w:space="0" w:color="auto"/>
        <w:bottom w:val="none" w:sz="0" w:space="0" w:color="auto"/>
        <w:right w:val="none" w:sz="0" w:space="0" w:color="auto"/>
      </w:divBdr>
    </w:div>
    <w:div w:id="683868404">
      <w:bodyDiv w:val="1"/>
      <w:marLeft w:val="0"/>
      <w:marRight w:val="0"/>
      <w:marTop w:val="0"/>
      <w:marBottom w:val="0"/>
      <w:divBdr>
        <w:top w:val="none" w:sz="0" w:space="0" w:color="auto"/>
        <w:left w:val="none" w:sz="0" w:space="0" w:color="auto"/>
        <w:bottom w:val="none" w:sz="0" w:space="0" w:color="auto"/>
        <w:right w:val="none" w:sz="0" w:space="0" w:color="auto"/>
      </w:divBdr>
    </w:div>
    <w:div w:id="684138052">
      <w:bodyDiv w:val="1"/>
      <w:marLeft w:val="0"/>
      <w:marRight w:val="0"/>
      <w:marTop w:val="0"/>
      <w:marBottom w:val="0"/>
      <w:divBdr>
        <w:top w:val="none" w:sz="0" w:space="0" w:color="auto"/>
        <w:left w:val="none" w:sz="0" w:space="0" w:color="auto"/>
        <w:bottom w:val="none" w:sz="0" w:space="0" w:color="auto"/>
        <w:right w:val="none" w:sz="0" w:space="0" w:color="auto"/>
      </w:divBdr>
      <w:divsChild>
        <w:div w:id="1175147924">
          <w:marLeft w:val="0"/>
          <w:marRight w:val="0"/>
          <w:marTop w:val="0"/>
          <w:marBottom w:val="0"/>
          <w:divBdr>
            <w:top w:val="none" w:sz="0" w:space="0" w:color="auto"/>
            <w:left w:val="none" w:sz="0" w:space="0" w:color="auto"/>
            <w:bottom w:val="none" w:sz="0" w:space="0" w:color="auto"/>
            <w:right w:val="none" w:sz="0" w:space="0" w:color="auto"/>
          </w:divBdr>
          <w:divsChild>
            <w:div w:id="1885366948">
              <w:marLeft w:val="0"/>
              <w:marRight w:val="0"/>
              <w:marTop w:val="0"/>
              <w:marBottom w:val="0"/>
              <w:divBdr>
                <w:top w:val="none" w:sz="0" w:space="0" w:color="auto"/>
                <w:left w:val="none" w:sz="0" w:space="0" w:color="auto"/>
                <w:bottom w:val="none" w:sz="0" w:space="0" w:color="auto"/>
                <w:right w:val="none" w:sz="0" w:space="0" w:color="auto"/>
              </w:divBdr>
              <w:divsChild>
                <w:div w:id="1276401883">
                  <w:marLeft w:val="0"/>
                  <w:marRight w:val="0"/>
                  <w:marTop w:val="0"/>
                  <w:marBottom w:val="0"/>
                  <w:divBdr>
                    <w:top w:val="none" w:sz="0" w:space="0" w:color="auto"/>
                    <w:left w:val="none" w:sz="0" w:space="0" w:color="auto"/>
                    <w:bottom w:val="none" w:sz="0" w:space="0" w:color="auto"/>
                    <w:right w:val="none" w:sz="0" w:space="0" w:color="auto"/>
                  </w:divBdr>
                  <w:divsChild>
                    <w:div w:id="822357267">
                      <w:marLeft w:val="0"/>
                      <w:marRight w:val="0"/>
                      <w:marTop w:val="0"/>
                      <w:marBottom w:val="0"/>
                      <w:divBdr>
                        <w:top w:val="none" w:sz="0" w:space="0" w:color="auto"/>
                        <w:left w:val="none" w:sz="0" w:space="0" w:color="auto"/>
                        <w:bottom w:val="none" w:sz="0" w:space="0" w:color="auto"/>
                        <w:right w:val="none" w:sz="0" w:space="0" w:color="auto"/>
                      </w:divBdr>
                      <w:divsChild>
                        <w:div w:id="736128089">
                          <w:marLeft w:val="0"/>
                          <w:marRight w:val="0"/>
                          <w:marTop w:val="0"/>
                          <w:marBottom w:val="0"/>
                          <w:divBdr>
                            <w:top w:val="none" w:sz="0" w:space="0" w:color="auto"/>
                            <w:left w:val="none" w:sz="0" w:space="0" w:color="auto"/>
                            <w:bottom w:val="none" w:sz="0" w:space="0" w:color="auto"/>
                            <w:right w:val="none" w:sz="0" w:space="0" w:color="auto"/>
                          </w:divBdr>
                          <w:divsChild>
                            <w:div w:id="242766054">
                              <w:marLeft w:val="0"/>
                              <w:marRight w:val="0"/>
                              <w:marTop w:val="0"/>
                              <w:marBottom w:val="0"/>
                              <w:divBdr>
                                <w:top w:val="none" w:sz="0" w:space="0" w:color="auto"/>
                                <w:left w:val="none" w:sz="0" w:space="0" w:color="auto"/>
                                <w:bottom w:val="none" w:sz="0" w:space="0" w:color="auto"/>
                                <w:right w:val="none" w:sz="0" w:space="0" w:color="auto"/>
                              </w:divBdr>
                              <w:divsChild>
                                <w:div w:id="1810897869">
                                  <w:marLeft w:val="0"/>
                                  <w:marRight w:val="0"/>
                                  <w:marTop w:val="0"/>
                                  <w:marBottom w:val="0"/>
                                  <w:divBdr>
                                    <w:top w:val="none" w:sz="0" w:space="0" w:color="auto"/>
                                    <w:left w:val="none" w:sz="0" w:space="0" w:color="auto"/>
                                    <w:bottom w:val="none" w:sz="0" w:space="0" w:color="auto"/>
                                    <w:right w:val="none" w:sz="0" w:space="0" w:color="auto"/>
                                  </w:divBdr>
                                  <w:divsChild>
                                    <w:div w:id="175978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475841">
      <w:bodyDiv w:val="1"/>
      <w:marLeft w:val="0"/>
      <w:marRight w:val="0"/>
      <w:marTop w:val="0"/>
      <w:marBottom w:val="0"/>
      <w:divBdr>
        <w:top w:val="none" w:sz="0" w:space="0" w:color="auto"/>
        <w:left w:val="none" w:sz="0" w:space="0" w:color="auto"/>
        <w:bottom w:val="none" w:sz="0" w:space="0" w:color="auto"/>
        <w:right w:val="none" w:sz="0" w:space="0" w:color="auto"/>
      </w:divBdr>
      <w:divsChild>
        <w:div w:id="1575505353">
          <w:marLeft w:val="0"/>
          <w:marRight w:val="0"/>
          <w:marTop w:val="0"/>
          <w:marBottom w:val="150"/>
          <w:divBdr>
            <w:top w:val="none" w:sz="0" w:space="0" w:color="auto"/>
            <w:left w:val="none" w:sz="0" w:space="0" w:color="auto"/>
            <w:bottom w:val="none" w:sz="0" w:space="0" w:color="auto"/>
            <w:right w:val="none" w:sz="0" w:space="0" w:color="auto"/>
          </w:divBdr>
          <w:divsChild>
            <w:div w:id="502935554">
              <w:marLeft w:val="0"/>
              <w:marRight w:val="0"/>
              <w:marTop w:val="0"/>
              <w:marBottom w:val="0"/>
              <w:divBdr>
                <w:top w:val="none" w:sz="0" w:space="0" w:color="auto"/>
                <w:left w:val="none" w:sz="0" w:space="0" w:color="auto"/>
                <w:bottom w:val="none" w:sz="0" w:space="0" w:color="auto"/>
                <w:right w:val="none" w:sz="0" w:space="0" w:color="auto"/>
              </w:divBdr>
              <w:divsChild>
                <w:div w:id="156895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797637">
          <w:marLeft w:val="0"/>
          <w:marRight w:val="0"/>
          <w:marTop w:val="0"/>
          <w:marBottom w:val="150"/>
          <w:divBdr>
            <w:top w:val="none" w:sz="0" w:space="0" w:color="auto"/>
            <w:left w:val="none" w:sz="0" w:space="0" w:color="auto"/>
            <w:bottom w:val="none" w:sz="0" w:space="0" w:color="auto"/>
            <w:right w:val="none" w:sz="0" w:space="0" w:color="auto"/>
          </w:divBdr>
        </w:div>
        <w:div w:id="2095737978">
          <w:marLeft w:val="0"/>
          <w:marRight w:val="0"/>
          <w:marTop w:val="0"/>
          <w:marBottom w:val="0"/>
          <w:divBdr>
            <w:top w:val="none" w:sz="0" w:space="0" w:color="auto"/>
            <w:left w:val="none" w:sz="0" w:space="0" w:color="auto"/>
            <w:bottom w:val="none" w:sz="0" w:space="0" w:color="auto"/>
            <w:right w:val="none" w:sz="0" w:space="0" w:color="auto"/>
          </w:divBdr>
          <w:divsChild>
            <w:div w:id="5091760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84675036">
      <w:bodyDiv w:val="1"/>
      <w:marLeft w:val="0"/>
      <w:marRight w:val="0"/>
      <w:marTop w:val="0"/>
      <w:marBottom w:val="0"/>
      <w:divBdr>
        <w:top w:val="none" w:sz="0" w:space="0" w:color="auto"/>
        <w:left w:val="none" w:sz="0" w:space="0" w:color="auto"/>
        <w:bottom w:val="none" w:sz="0" w:space="0" w:color="auto"/>
        <w:right w:val="none" w:sz="0" w:space="0" w:color="auto"/>
      </w:divBdr>
      <w:divsChild>
        <w:div w:id="1526751691">
          <w:marLeft w:val="0"/>
          <w:marRight w:val="0"/>
          <w:marTop w:val="0"/>
          <w:marBottom w:val="150"/>
          <w:divBdr>
            <w:top w:val="none" w:sz="0" w:space="0" w:color="auto"/>
            <w:left w:val="none" w:sz="0" w:space="0" w:color="auto"/>
            <w:bottom w:val="none" w:sz="0" w:space="0" w:color="auto"/>
            <w:right w:val="none" w:sz="0" w:space="0" w:color="auto"/>
          </w:divBdr>
        </w:div>
      </w:divsChild>
    </w:div>
    <w:div w:id="684794921">
      <w:bodyDiv w:val="1"/>
      <w:marLeft w:val="0"/>
      <w:marRight w:val="0"/>
      <w:marTop w:val="0"/>
      <w:marBottom w:val="0"/>
      <w:divBdr>
        <w:top w:val="none" w:sz="0" w:space="0" w:color="auto"/>
        <w:left w:val="none" w:sz="0" w:space="0" w:color="auto"/>
        <w:bottom w:val="none" w:sz="0" w:space="0" w:color="auto"/>
        <w:right w:val="none" w:sz="0" w:space="0" w:color="auto"/>
      </w:divBdr>
    </w:div>
    <w:div w:id="685406999">
      <w:bodyDiv w:val="1"/>
      <w:marLeft w:val="0"/>
      <w:marRight w:val="0"/>
      <w:marTop w:val="0"/>
      <w:marBottom w:val="0"/>
      <w:divBdr>
        <w:top w:val="none" w:sz="0" w:space="0" w:color="auto"/>
        <w:left w:val="none" w:sz="0" w:space="0" w:color="auto"/>
        <w:bottom w:val="none" w:sz="0" w:space="0" w:color="auto"/>
        <w:right w:val="none" w:sz="0" w:space="0" w:color="auto"/>
      </w:divBdr>
      <w:divsChild>
        <w:div w:id="60371959">
          <w:marLeft w:val="0"/>
          <w:marRight w:val="0"/>
          <w:marTop w:val="0"/>
          <w:marBottom w:val="0"/>
          <w:divBdr>
            <w:top w:val="none" w:sz="0" w:space="0" w:color="auto"/>
            <w:left w:val="none" w:sz="0" w:space="0" w:color="auto"/>
            <w:bottom w:val="none" w:sz="0" w:space="0" w:color="auto"/>
            <w:right w:val="none" w:sz="0" w:space="0" w:color="auto"/>
          </w:divBdr>
          <w:divsChild>
            <w:div w:id="1279797961">
              <w:marLeft w:val="0"/>
              <w:marRight w:val="0"/>
              <w:marTop w:val="0"/>
              <w:marBottom w:val="0"/>
              <w:divBdr>
                <w:top w:val="none" w:sz="0" w:space="0" w:color="auto"/>
                <w:left w:val="none" w:sz="0" w:space="0" w:color="auto"/>
                <w:bottom w:val="none" w:sz="0" w:space="0" w:color="auto"/>
                <w:right w:val="none" w:sz="0" w:space="0" w:color="auto"/>
              </w:divBdr>
              <w:divsChild>
                <w:div w:id="81146725">
                  <w:marLeft w:val="0"/>
                  <w:marRight w:val="0"/>
                  <w:marTop w:val="0"/>
                  <w:marBottom w:val="0"/>
                  <w:divBdr>
                    <w:top w:val="none" w:sz="0" w:space="0" w:color="auto"/>
                    <w:left w:val="none" w:sz="0" w:space="0" w:color="auto"/>
                    <w:bottom w:val="none" w:sz="0" w:space="0" w:color="auto"/>
                    <w:right w:val="none" w:sz="0" w:space="0" w:color="auto"/>
                  </w:divBdr>
                  <w:divsChild>
                    <w:div w:id="773674721">
                      <w:marLeft w:val="0"/>
                      <w:marRight w:val="0"/>
                      <w:marTop w:val="0"/>
                      <w:marBottom w:val="0"/>
                      <w:divBdr>
                        <w:top w:val="none" w:sz="0" w:space="0" w:color="auto"/>
                        <w:left w:val="none" w:sz="0" w:space="0" w:color="auto"/>
                        <w:bottom w:val="none" w:sz="0" w:space="0" w:color="auto"/>
                        <w:right w:val="none" w:sz="0" w:space="0" w:color="auto"/>
                      </w:divBdr>
                      <w:divsChild>
                        <w:div w:id="1255477187">
                          <w:marLeft w:val="0"/>
                          <w:marRight w:val="0"/>
                          <w:marTop w:val="0"/>
                          <w:marBottom w:val="0"/>
                          <w:divBdr>
                            <w:top w:val="none" w:sz="0" w:space="0" w:color="auto"/>
                            <w:left w:val="none" w:sz="0" w:space="0" w:color="auto"/>
                            <w:bottom w:val="none" w:sz="0" w:space="0" w:color="auto"/>
                            <w:right w:val="none" w:sz="0" w:space="0" w:color="auto"/>
                          </w:divBdr>
                          <w:divsChild>
                            <w:div w:id="167355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521316">
      <w:bodyDiv w:val="1"/>
      <w:marLeft w:val="0"/>
      <w:marRight w:val="0"/>
      <w:marTop w:val="0"/>
      <w:marBottom w:val="0"/>
      <w:divBdr>
        <w:top w:val="none" w:sz="0" w:space="0" w:color="auto"/>
        <w:left w:val="none" w:sz="0" w:space="0" w:color="auto"/>
        <w:bottom w:val="none" w:sz="0" w:space="0" w:color="auto"/>
        <w:right w:val="none" w:sz="0" w:space="0" w:color="auto"/>
      </w:divBdr>
      <w:divsChild>
        <w:div w:id="1697658204">
          <w:marLeft w:val="0"/>
          <w:marRight w:val="0"/>
          <w:marTop w:val="0"/>
          <w:marBottom w:val="0"/>
          <w:divBdr>
            <w:top w:val="none" w:sz="0" w:space="0" w:color="auto"/>
            <w:left w:val="none" w:sz="0" w:space="0" w:color="auto"/>
            <w:bottom w:val="none" w:sz="0" w:space="0" w:color="auto"/>
            <w:right w:val="none" w:sz="0" w:space="0" w:color="auto"/>
          </w:divBdr>
          <w:divsChild>
            <w:div w:id="1787844663">
              <w:marLeft w:val="0"/>
              <w:marRight w:val="0"/>
              <w:marTop w:val="0"/>
              <w:marBottom w:val="0"/>
              <w:divBdr>
                <w:top w:val="none" w:sz="0" w:space="0" w:color="auto"/>
                <w:left w:val="none" w:sz="0" w:space="0" w:color="auto"/>
                <w:bottom w:val="none" w:sz="0" w:space="0" w:color="auto"/>
                <w:right w:val="none" w:sz="0" w:space="0" w:color="auto"/>
              </w:divBdr>
              <w:divsChild>
                <w:div w:id="1685548950">
                  <w:marLeft w:val="0"/>
                  <w:marRight w:val="0"/>
                  <w:marTop w:val="0"/>
                  <w:marBottom w:val="0"/>
                  <w:divBdr>
                    <w:top w:val="none" w:sz="0" w:space="0" w:color="auto"/>
                    <w:left w:val="none" w:sz="0" w:space="0" w:color="auto"/>
                    <w:bottom w:val="none" w:sz="0" w:space="0" w:color="auto"/>
                    <w:right w:val="none" w:sz="0" w:space="0" w:color="auto"/>
                  </w:divBdr>
                  <w:divsChild>
                    <w:div w:id="1786386887">
                      <w:marLeft w:val="0"/>
                      <w:marRight w:val="0"/>
                      <w:marTop w:val="0"/>
                      <w:marBottom w:val="0"/>
                      <w:divBdr>
                        <w:top w:val="none" w:sz="0" w:space="0" w:color="auto"/>
                        <w:left w:val="none" w:sz="0" w:space="0" w:color="auto"/>
                        <w:bottom w:val="none" w:sz="0" w:space="0" w:color="auto"/>
                        <w:right w:val="none" w:sz="0" w:space="0" w:color="auto"/>
                      </w:divBdr>
                      <w:divsChild>
                        <w:div w:id="878208246">
                          <w:marLeft w:val="0"/>
                          <w:marRight w:val="0"/>
                          <w:marTop w:val="0"/>
                          <w:marBottom w:val="0"/>
                          <w:divBdr>
                            <w:top w:val="none" w:sz="0" w:space="0" w:color="auto"/>
                            <w:left w:val="none" w:sz="0" w:space="0" w:color="auto"/>
                            <w:bottom w:val="none" w:sz="0" w:space="0" w:color="auto"/>
                            <w:right w:val="none" w:sz="0" w:space="0" w:color="auto"/>
                          </w:divBdr>
                          <w:divsChild>
                            <w:div w:id="1559777007">
                              <w:marLeft w:val="0"/>
                              <w:marRight w:val="0"/>
                              <w:marTop w:val="0"/>
                              <w:marBottom w:val="0"/>
                              <w:divBdr>
                                <w:top w:val="none" w:sz="0" w:space="0" w:color="auto"/>
                                <w:left w:val="none" w:sz="0" w:space="0" w:color="auto"/>
                                <w:bottom w:val="none" w:sz="0" w:space="0" w:color="auto"/>
                                <w:right w:val="none" w:sz="0" w:space="0" w:color="auto"/>
                              </w:divBdr>
                              <w:divsChild>
                                <w:div w:id="2049840262">
                                  <w:marLeft w:val="0"/>
                                  <w:marRight w:val="0"/>
                                  <w:marTop w:val="0"/>
                                  <w:marBottom w:val="75"/>
                                  <w:divBdr>
                                    <w:top w:val="none" w:sz="0" w:space="0" w:color="auto"/>
                                    <w:left w:val="none" w:sz="0" w:space="0" w:color="auto"/>
                                    <w:bottom w:val="none" w:sz="0" w:space="0" w:color="auto"/>
                                    <w:right w:val="none" w:sz="0" w:space="0" w:color="auto"/>
                                  </w:divBdr>
                                  <w:divsChild>
                                    <w:div w:id="1082413889">
                                      <w:marLeft w:val="0"/>
                                      <w:marRight w:val="0"/>
                                      <w:marTop w:val="0"/>
                                      <w:marBottom w:val="0"/>
                                      <w:divBdr>
                                        <w:top w:val="none" w:sz="0" w:space="0" w:color="auto"/>
                                        <w:left w:val="none" w:sz="0" w:space="0" w:color="auto"/>
                                        <w:bottom w:val="none" w:sz="0" w:space="0" w:color="auto"/>
                                        <w:right w:val="none" w:sz="0" w:space="0" w:color="auto"/>
                                      </w:divBdr>
                                      <w:divsChild>
                                        <w:div w:id="216286705">
                                          <w:marLeft w:val="0"/>
                                          <w:marRight w:val="0"/>
                                          <w:marTop w:val="0"/>
                                          <w:marBottom w:val="0"/>
                                          <w:divBdr>
                                            <w:top w:val="none" w:sz="0" w:space="0" w:color="auto"/>
                                            <w:left w:val="none" w:sz="0" w:space="0" w:color="auto"/>
                                            <w:bottom w:val="none" w:sz="0" w:space="0" w:color="auto"/>
                                            <w:right w:val="none" w:sz="0" w:space="0" w:color="auto"/>
                                          </w:divBdr>
                                          <w:divsChild>
                                            <w:div w:id="839851414">
                                              <w:marLeft w:val="0"/>
                                              <w:marRight w:val="0"/>
                                              <w:marTop w:val="0"/>
                                              <w:marBottom w:val="0"/>
                                              <w:divBdr>
                                                <w:top w:val="none" w:sz="0" w:space="0" w:color="auto"/>
                                                <w:left w:val="none" w:sz="0" w:space="0" w:color="auto"/>
                                                <w:bottom w:val="none" w:sz="0" w:space="0" w:color="auto"/>
                                                <w:right w:val="none" w:sz="0" w:space="0" w:color="auto"/>
                                              </w:divBdr>
                                              <w:divsChild>
                                                <w:div w:id="75690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5712842">
      <w:bodyDiv w:val="1"/>
      <w:marLeft w:val="0"/>
      <w:marRight w:val="0"/>
      <w:marTop w:val="0"/>
      <w:marBottom w:val="0"/>
      <w:divBdr>
        <w:top w:val="none" w:sz="0" w:space="0" w:color="auto"/>
        <w:left w:val="none" w:sz="0" w:space="0" w:color="auto"/>
        <w:bottom w:val="none" w:sz="0" w:space="0" w:color="auto"/>
        <w:right w:val="none" w:sz="0" w:space="0" w:color="auto"/>
      </w:divBdr>
      <w:divsChild>
        <w:div w:id="1055861527">
          <w:marLeft w:val="0"/>
          <w:marRight w:val="0"/>
          <w:marTop w:val="0"/>
          <w:marBottom w:val="150"/>
          <w:divBdr>
            <w:top w:val="none" w:sz="0" w:space="0" w:color="auto"/>
            <w:left w:val="none" w:sz="0" w:space="0" w:color="auto"/>
            <w:bottom w:val="none" w:sz="0" w:space="0" w:color="auto"/>
            <w:right w:val="none" w:sz="0" w:space="0" w:color="auto"/>
          </w:divBdr>
        </w:div>
      </w:divsChild>
    </w:div>
    <w:div w:id="686058075">
      <w:bodyDiv w:val="1"/>
      <w:marLeft w:val="0"/>
      <w:marRight w:val="0"/>
      <w:marTop w:val="0"/>
      <w:marBottom w:val="0"/>
      <w:divBdr>
        <w:top w:val="none" w:sz="0" w:space="0" w:color="auto"/>
        <w:left w:val="none" w:sz="0" w:space="0" w:color="auto"/>
        <w:bottom w:val="none" w:sz="0" w:space="0" w:color="auto"/>
        <w:right w:val="none" w:sz="0" w:space="0" w:color="auto"/>
      </w:divBdr>
      <w:divsChild>
        <w:div w:id="1445075731">
          <w:marLeft w:val="0"/>
          <w:marRight w:val="0"/>
          <w:marTop w:val="0"/>
          <w:marBottom w:val="0"/>
          <w:divBdr>
            <w:top w:val="none" w:sz="0" w:space="0" w:color="auto"/>
            <w:left w:val="none" w:sz="0" w:space="0" w:color="auto"/>
            <w:bottom w:val="none" w:sz="0" w:space="0" w:color="auto"/>
            <w:right w:val="none" w:sz="0" w:space="0" w:color="auto"/>
          </w:divBdr>
        </w:div>
      </w:divsChild>
    </w:div>
    <w:div w:id="686104294">
      <w:bodyDiv w:val="1"/>
      <w:marLeft w:val="0"/>
      <w:marRight w:val="0"/>
      <w:marTop w:val="0"/>
      <w:marBottom w:val="0"/>
      <w:divBdr>
        <w:top w:val="none" w:sz="0" w:space="0" w:color="auto"/>
        <w:left w:val="none" w:sz="0" w:space="0" w:color="auto"/>
        <w:bottom w:val="none" w:sz="0" w:space="0" w:color="auto"/>
        <w:right w:val="none" w:sz="0" w:space="0" w:color="auto"/>
      </w:divBdr>
      <w:divsChild>
        <w:div w:id="272370700">
          <w:marLeft w:val="0"/>
          <w:marRight w:val="0"/>
          <w:marTop w:val="0"/>
          <w:marBottom w:val="0"/>
          <w:divBdr>
            <w:top w:val="none" w:sz="0" w:space="0" w:color="auto"/>
            <w:left w:val="none" w:sz="0" w:space="0" w:color="auto"/>
            <w:bottom w:val="none" w:sz="0" w:space="0" w:color="auto"/>
            <w:right w:val="none" w:sz="0" w:space="0" w:color="auto"/>
          </w:divBdr>
          <w:divsChild>
            <w:div w:id="227107959">
              <w:marLeft w:val="0"/>
              <w:marRight w:val="0"/>
              <w:marTop w:val="0"/>
              <w:marBottom w:val="0"/>
              <w:divBdr>
                <w:top w:val="none" w:sz="0" w:space="0" w:color="auto"/>
                <w:left w:val="none" w:sz="0" w:space="0" w:color="auto"/>
                <w:bottom w:val="none" w:sz="0" w:space="0" w:color="auto"/>
                <w:right w:val="none" w:sz="0" w:space="0" w:color="auto"/>
              </w:divBdr>
            </w:div>
          </w:divsChild>
        </w:div>
        <w:div w:id="299697813">
          <w:marLeft w:val="0"/>
          <w:marRight w:val="0"/>
          <w:marTop w:val="150"/>
          <w:marBottom w:val="0"/>
          <w:divBdr>
            <w:top w:val="none" w:sz="0" w:space="0" w:color="auto"/>
            <w:left w:val="none" w:sz="0" w:space="0" w:color="auto"/>
            <w:bottom w:val="none" w:sz="0" w:space="0" w:color="auto"/>
            <w:right w:val="none" w:sz="0" w:space="0" w:color="auto"/>
          </w:divBdr>
          <w:divsChild>
            <w:div w:id="216012765">
              <w:marLeft w:val="0"/>
              <w:marRight w:val="0"/>
              <w:marTop w:val="0"/>
              <w:marBottom w:val="0"/>
              <w:divBdr>
                <w:top w:val="none" w:sz="0" w:space="0" w:color="auto"/>
                <w:left w:val="none" w:sz="0" w:space="0" w:color="auto"/>
                <w:bottom w:val="none" w:sz="0" w:space="0" w:color="auto"/>
                <w:right w:val="none" w:sz="0" w:space="0" w:color="auto"/>
              </w:divBdr>
              <w:divsChild>
                <w:div w:id="112527268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563961">
      <w:bodyDiv w:val="1"/>
      <w:marLeft w:val="0"/>
      <w:marRight w:val="0"/>
      <w:marTop w:val="0"/>
      <w:marBottom w:val="0"/>
      <w:divBdr>
        <w:top w:val="none" w:sz="0" w:space="0" w:color="auto"/>
        <w:left w:val="none" w:sz="0" w:space="0" w:color="auto"/>
        <w:bottom w:val="none" w:sz="0" w:space="0" w:color="auto"/>
        <w:right w:val="none" w:sz="0" w:space="0" w:color="auto"/>
      </w:divBdr>
      <w:divsChild>
        <w:div w:id="55711755">
          <w:marLeft w:val="0"/>
          <w:marRight w:val="0"/>
          <w:marTop w:val="0"/>
          <w:marBottom w:val="150"/>
          <w:divBdr>
            <w:top w:val="none" w:sz="0" w:space="0" w:color="auto"/>
            <w:left w:val="none" w:sz="0" w:space="0" w:color="auto"/>
            <w:bottom w:val="none" w:sz="0" w:space="0" w:color="auto"/>
            <w:right w:val="none" w:sz="0" w:space="0" w:color="auto"/>
          </w:divBdr>
        </w:div>
      </w:divsChild>
    </w:div>
    <w:div w:id="687103641">
      <w:bodyDiv w:val="1"/>
      <w:marLeft w:val="0"/>
      <w:marRight w:val="0"/>
      <w:marTop w:val="0"/>
      <w:marBottom w:val="0"/>
      <w:divBdr>
        <w:top w:val="none" w:sz="0" w:space="0" w:color="auto"/>
        <w:left w:val="none" w:sz="0" w:space="0" w:color="auto"/>
        <w:bottom w:val="none" w:sz="0" w:space="0" w:color="auto"/>
        <w:right w:val="none" w:sz="0" w:space="0" w:color="auto"/>
      </w:divBdr>
      <w:divsChild>
        <w:div w:id="595989524">
          <w:marLeft w:val="0"/>
          <w:marRight w:val="0"/>
          <w:marTop w:val="0"/>
          <w:marBottom w:val="0"/>
          <w:divBdr>
            <w:top w:val="none" w:sz="0" w:space="0" w:color="auto"/>
            <w:left w:val="none" w:sz="0" w:space="0" w:color="auto"/>
            <w:bottom w:val="none" w:sz="0" w:space="0" w:color="auto"/>
            <w:right w:val="none" w:sz="0" w:space="0" w:color="auto"/>
          </w:divBdr>
        </w:div>
        <w:div w:id="1632517766">
          <w:marLeft w:val="0"/>
          <w:marRight w:val="0"/>
          <w:marTop w:val="0"/>
          <w:marBottom w:val="0"/>
          <w:divBdr>
            <w:top w:val="none" w:sz="0" w:space="0" w:color="auto"/>
            <w:left w:val="none" w:sz="0" w:space="0" w:color="auto"/>
            <w:bottom w:val="none" w:sz="0" w:space="0" w:color="auto"/>
            <w:right w:val="none" w:sz="0" w:space="0" w:color="auto"/>
          </w:divBdr>
          <w:divsChild>
            <w:div w:id="110029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215814">
      <w:bodyDiv w:val="1"/>
      <w:marLeft w:val="0"/>
      <w:marRight w:val="0"/>
      <w:marTop w:val="0"/>
      <w:marBottom w:val="0"/>
      <w:divBdr>
        <w:top w:val="none" w:sz="0" w:space="0" w:color="auto"/>
        <w:left w:val="none" w:sz="0" w:space="0" w:color="auto"/>
        <w:bottom w:val="none" w:sz="0" w:space="0" w:color="auto"/>
        <w:right w:val="none" w:sz="0" w:space="0" w:color="auto"/>
      </w:divBdr>
      <w:divsChild>
        <w:div w:id="1341547968">
          <w:marLeft w:val="0"/>
          <w:marRight w:val="0"/>
          <w:marTop w:val="150"/>
          <w:marBottom w:val="0"/>
          <w:divBdr>
            <w:top w:val="none" w:sz="0" w:space="0" w:color="auto"/>
            <w:left w:val="none" w:sz="0" w:space="0" w:color="auto"/>
            <w:bottom w:val="none" w:sz="0" w:space="0" w:color="auto"/>
            <w:right w:val="none" w:sz="0" w:space="0" w:color="auto"/>
          </w:divBdr>
          <w:divsChild>
            <w:div w:id="902566885">
              <w:marLeft w:val="0"/>
              <w:marRight w:val="0"/>
              <w:marTop w:val="0"/>
              <w:marBottom w:val="0"/>
              <w:divBdr>
                <w:top w:val="none" w:sz="0" w:space="0" w:color="auto"/>
                <w:left w:val="none" w:sz="0" w:space="0" w:color="auto"/>
                <w:bottom w:val="none" w:sz="0" w:space="0" w:color="auto"/>
                <w:right w:val="none" w:sz="0" w:space="0" w:color="auto"/>
              </w:divBdr>
              <w:divsChild>
                <w:div w:id="30142657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71821465">
          <w:marLeft w:val="0"/>
          <w:marRight w:val="0"/>
          <w:marTop w:val="0"/>
          <w:marBottom w:val="0"/>
          <w:divBdr>
            <w:top w:val="none" w:sz="0" w:space="0" w:color="auto"/>
            <w:left w:val="none" w:sz="0" w:space="0" w:color="auto"/>
            <w:bottom w:val="none" w:sz="0" w:space="0" w:color="auto"/>
            <w:right w:val="none" w:sz="0" w:space="0" w:color="auto"/>
          </w:divBdr>
          <w:divsChild>
            <w:div w:id="18575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83971">
      <w:bodyDiv w:val="1"/>
      <w:marLeft w:val="0"/>
      <w:marRight w:val="0"/>
      <w:marTop w:val="0"/>
      <w:marBottom w:val="0"/>
      <w:divBdr>
        <w:top w:val="none" w:sz="0" w:space="0" w:color="auto"/>
        <w:left w:val="none" w:sz="0" w:space="0" w:color="auto"/>
        <w:bottom w:val="none" w:sz="0" w:space="0" w:color="auto"/>
        <w:right w:val="none" w:sz="0" w:space="0" w:color="auto"/>
      </w:divBdr>
      <w:divsChild>
        <w:div w:id="1924990287">
          <w:marLeft w:val="0"/>
          <w:marRight w:val="0"/>
          <w:marTop w:val="0"/>
          <w:marBottom w:val="150"/>
          <w:divBdr>
            <w:top w:val="none" w:sz="0" w:space="0" w:color="auto"/>
            <w:left w:val="none" w:sz="0" w:space="0" w:color="auto"/>
            <w:bottom w:val="none" w:sz="0" w:space="0" w:color="auto"/>
            <w:right w:val="none" w:sz="0" w:space="0" w:color="auto"/>
          </w:divBdr>
        </w:div>
      </w:divsChild>
    </w:div>
    <w:div w:id="687487794">
      <w:bodyDiv w:val="1"/>
      <w:marLeft w:val="0"/>
      <w:marRight w:val="0"/>
      <w:marTop w:val="0"/>
      <w:marBottom w:val="0"/>
      <w:divBdr>
        <w:top w:val="none" w:sz="0" w:space="0" w:color="auto"/>
        <w:left w:val="none" w:sz="0" w:space="0" w:color="auto"/>
        <w:bottom w:val="none" w:sz="0" w:space="0" w:color="auto"/>
        <w:right w:val="none" w:sz="0" w:space="0" w:color="auto"/>
      </w:divBdr>
      <w:divsChild>
        <w:div w:id="795493074">
          <w:marLeft w:val="0"/>
          <w:marRight w:val="0"/>
          <w:marTop w:val="0"/>
          <w:marBottom w:val="150"/>
          <w:divBdr>
            <w:top w:val="none" w:sz="0" w:space="0" w:color="auto"/>
            <w:left w:val="none" w:sz="0" w:space="0" w:color="auto"/>
            <w:bottom w:val="none" w:sz="0" w:space="0" w:color="auto"/>
            <w:right w:val="none" w:sz="0" w:space="0" w:color="auto"/>
          </w:divBdr>
        </w:div>
        <w:div w:id="1574198543">
          <w:marLeft w:val="0"/>
          <w:marRight w:val="0"/>
          <w:marTop w:val="0"/>
          <w:marBottom w:val="0"/>
          <w:divBdr>
            <w:top w:val="none" w:sz="0" w:space="0" w:color="auto"/>
            <w:left w:val="none" w:sz="0" w:space="0" w:color="auto"/>
            <w:bottom w:val="none" w:sz="0" w:space="0" w:color="auto"/>
            <w:right w:val="none" w:sz="0" w:space="0" w:color="auto"/>
          </w:divBdr>
        </w:div>
      </w:divsChild>
    </w:div>
    <w:div w:id="687607266">
      <w:bodyDiv w:val="1"/>
      <w:marLeft w:val="0"/>
      <w:marRight w:val="0"/>
      <w:marTop w:val="0"/>
      <w:marBottom w:val="0"/>
      <w:divBdr>
        <w:top w:val="none" w:sz="0" w:space="0" w:color="auto"/>
        <w:left w:val="none" w:sz="0" w:space="0" w:color="auto"/>
        <w:bottom w:val="none" w:sz="0" w:space="0" w:color="auto"/>
        <w:right w:val="none" w:sz="0" w:space="0" w:color="auto"/>
      </w:divBdr>
      <w:divsChild>
        <w:div w:id="1780103516">
          <w:marLeft w:val="0"/>
          <w:marRight w:val="0"/>
          <w:marTop w:val="0"/>
          <w:marBottom w:val="0"/>
          <w:divBdr>
            <w:top w:val="none" w:sz="0" w:space="0" w:color="auto"/>
            <w:left w:val="none" w:sz="0" w:space="0" w:color="auto"/>
            <w:bottom w:val="none" w:sz="0" w:space="0" w:color="auto"/>
            <w:right w:val="none" w:sz="0" w:space="0" w:color="auto"/>
          </w:divBdr>
        </w:div>
        <w:div w:id="425421726">
          <w:marLeft w:val="0"/>
          <w:marRight w:val="0"/>
          <w:marTop w:val="0"/>
          <w:marBottom w:val="0"/>
          <w:divBdr>
            <w:top w:val="none" w:sz="0" w:space="0" w:color="auto"/>
            <w:left w:val="none" w:sz="0" w:space="0" w:color="auto"/>
            <w:bottom w:val="none" w:sz="0" w:space="0" w:color="auto"/>
            <w:right w:val="none" w:sz="0" w:space="0" w:color="auto"/>
          </w:divBdr>
        </w:div>
      </w:divsChild>
    </w:div>
    <w:div w:id="688221411">
      <w:bodyDiv w:val="1"/>
      <w:marLeft w:val="0"/>
      <w:marRight w:val="0"/>
      <w:marTop w:val="0"/>
      <w:marBottom w:val="0"/>
      <w:divBdr>
        <w:top w:val="none" w:sz="0" w:space="0" w:color="auto"/>
        <w:left w:val="none" w:sz="0" w:space="0" w:color="auto"/>
        <w:bottom w:val="none" w:sz="0" w:space="0" w:color="auto"/>
        <w:right w:val="none" w:sz="0" w:space="0" w:color="auto"/>
      </w:divBdr>
      <w:divsChild>
        <w:div w:id="669408707">
          <w:marLeft w:val="0"/>
          <w:marRight w:val="0"/>
          <w:marTop w:val="0"/>
          <w:marBottom w:val="0"/>
          <w:divBdr>
            <w:top w:val="none" w:sz="0" w:space="0" w:color="auto"/>
            <w:left w:val="none" w:sz="0" w:space="0" w:color="auto"/>
            <w:bottom w:val="dotted" w:sz="6" w:space="4" w:color="DDDDDD"/>
            <w:right w:val="none" w:sz="0" w:space="0" w:color="auto"/>
          </w:divBdr>
          <w:divsChild>
            <w:div w:id="10835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259798">
      <w:bodyDiv w:val="1"/>
      <w:marLeft w:val="0"/>
      <w:marRight w:val="0"/>
      <w:marTop w:val="0"/>
      <w:marBottom w:val="0"/>
      <w:divBdr>
        <w:top w:val="none" w:sz="0" w:space="0" w:color="auto"/>
        <w:left w:val="none" w:sz="0" w:space="0" w:color="auto"/>
        <w:bottom w:val="none" w:sz="0" w:space="0" w:color="auto"/>
        <w:right w:val="none" w:sz="0" w:space="0" w:color="auto"/>
      </w:divBdr>
    </w:div>
    <w:div w:id="688525720">
      <w:bodyDiv w:val="1"/>
      <w:marLeft w:val="0"/>
      <w:marRight w:val="0"/>
      <w:marTop w:val="0"/>
      <w:marBottom w:val="0"/>
      <w:divBdr>
        <w:top w:val="none" w:sz="0" w:space="0" w:color="auto"/>
        <w:left w:val="none" w:sz="0" w:space="0" w:color="auto"/>
        <w:bottom w:val="none" w:sz="0" w:space="0" w:color="auto"/>
        <w:right w:val="none" w:sz="0" w:space="0" w:color="auto"/>
      </w:divBdr>
      <w:divsChild>
        <w:div w:id="615329396">
          <w:marLeft w:val="0"/>
          <w:marRight w:val="0"/>
          <w:marTop w:val="0"/>
          <w:marBottom w:val="0"/>
          <w:divBdr>
            <w:top w:val="none" w:sz="0" w:space="0" w:color="auto"/>
            <w:left w:val="none" w:sz="0" w:space="0" w:color="auto"/>
            <w:bottom w:val="none" w:sz="0" w:space="0" w:color="auto"/>
            <w:right w:val="none" w:sz="0" w:space="0" w:color="auto"/>
          </w:divBdr>
          <w:divsChild>
            <w:div w:id="1514757751">
              <w:marLeft w:val="0"/>
              <w:marRight w:val="0"/>
              <w:marTop w:val="0"/>
              <w:marBottom w:val="0"/>
              <w:divBdr>
                <w:top w:val="none" w:sz="0" w:space="0" w:color="auto"/>
                <w:left w:val="none" w:sz="0" w:space="0" w:color="auto"/>
                <w:bottom w:val="none" w:sz="0" w:space="0" w:color="auto"/>
                <w:right w:val="none" w:sz="0" w:space="0" w:color="auto"/>
              </w:divBdr>
              <w:divsChild>
                <w:div w:id="440493342">
                  <w:marLeft w:val="0"/>
                  <w:marRight w:val="0"/>
                  <w:marTop w:val="0"/>
                  <w:marBottom w:val="0"/>
                  <w:divBdr>
                    <w:top w:val="none" w:sz="0" w:space="0" w:color="auto"/>
                    <w:left w:val="none" w:sz="0" w:space="0" w:color="auto"/>
                    <w:bottom w:val="none" w:sz="0" w:space="0" w:color="auto"/>
                    <w:right w:val="none" w:sz="0" w:space="0" w:color="auto"/>
                  </w:divBdr>
                  <w:divsChild>
                    <w:div w:id="2004043928">
                      <w:marLeft w:val="0"/>
                      <w:marRight w:val="0"/>
                      <w:marTop w:val="0"/>
                      <w:marBottom w:val="0"/>
                      <w:divBdr>
                        <w:top w:val="none" w:sz="0" w:space="0" w:color="auto"/>
                        <w:left w:val="none" w:sz="0" w:space="0" w:color="auto"/>
                        <w:bottom w:val="none" w:sz="0" w:space="0" w:color="auto"/>
                        <w:right w:val="none" w:sz="0" w:space="0" w:color="auto"/>
                      </w:divBdr>
                      <w:divsChild>
                        <w:div w:id="1071736765">
                          <w:marLeft w:val="0"/>
                          <w:marRight w:val="0"/>
                          <w:marTop w:val="0"/>
                          <w:marBottom w:val="0"/>
                          <w:divBdr>
                            <w:top w:val="none" w:sz="0" w:space="0" w:color="auto"/>
                            <w:left w:val="none" w:sz="0" w:space="0" w:color="auto"/>
                            <w:bottom w:val="none" w:sz="0" w:space="0" w:color="auto"/>
                            <w:right w:val="none" w:sz="0" w:space="0" w:color="auto"/>
                          </w:divBdr>
                          <w:divsChild>
                            <w:div w:id="804617196">
                              <w:marLeft w:val="0"/>
                              <w:marRight w:val="0"/>
                              <w:marTop w:val="0"/>
                              <w:marBottom w:val="0"/>
                              <w:divBdr>
                                <w:top w:val="none" w:sz="0" w:space="0" w:color="auto"/>
                                <w:left w:val="none" w:sz="0" w:space="0" w:color="auto"/>
                                <w:bottom w:val="none" w:sz="0" w:space="0" w:color="auto"/>
                                <w:right w:val="none" w:sz="0" w:space="0" w:color="auto"/>
                              </w:divBdr>
                              <w:divsChild>
                                <w:div w:id="169956783">
                                  <w:marLeft w:val="0"/>
                                  <w:marRight w:val="0"/>
                                  <w:marTop w:val="0"/>
                                  <w:marBottom w:val="0"/>
                                  <w:divBdr>
                                    <w:top w:val="none" w:sz="0" w:space="0" w:color="auto"/>
                                    <w:left w:val="none" w:sz="0" w:space="0" w:color="auto"/>
                                    <w:bottom w:val="none" w:sz="0" w:space="0" w:color="auto"/>
                                    <w:right w:val="none" w:sz="0" w:space="0" w:color="auto"/>
                                  </w:divBdr>
                                  <w:divsChild>
                                    <w:div w:id="605232614">
                                      <w:marLeft w:val="0"/>
                                      <w:marRight w:val="0"/>
                                      <w:marTop w:val="0"/>
                                      <w:marBottom w:val="0"/>
                                      <w:divBdr>
                                        <w:top w:val="none" w:sz="0" w:space="0" w:color="auto"/>
                                        <w:left w:val="none" w:sz="0" w:space="0" w:color="auto"/>
                                        <w:bottom w:val="none" w:sz="0" w:space="0" w:color="auto"/>
                                        <w:right w:val="none" w:sz="0" w:space="0" w:color="auto"/>
                                      </w:divBdr>
                                      <w:divsChild>
                                        <w:div w:id="103901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8604408">
      <w:bodyDiv w:val="1"/>
      <w:marLeft w:val="0"/>
      <w:marRight w:val="0"/>
      <w:marTop w:val="0"/>
      <w:marBottom w:val="0"/>
      <w:divBdr>
        <w:top w:val="none" w:sz="0" w:space="0" w:color="auto"/>
        <w:left w:val="none" w:sz="0" w:space="0" w:color="auto"/>
        <w:bottom w:val="none" w:sz="0" w:space="0" w:color="auto"/>
        <w:right w:val="none" w:sz="0" w:space="0" w:color="auto"/>
      </w:divBdr>
      <w:divsChild>
        <w:div w:id="1414811728">
          <w:marLeft w:val="0"/>
          <w:marRight w:val="0"/>
          <w:marTop w:val="0"/>
          <w:marBottom w:val="0"/>
          <w:divBdr>
            <w:top w:val="none" w:sz="0" w:space="0" w:color="auto"/>
            <w:left w:val="none" w:sz="0" w:space="0" w:color="auto"/>
            <w:bottom w:val="none" w:sz="0" w:space="0" w:color="auto"/>
            <w:right w:val="none" w:sz="0" w:space="0" w:color="auto"/>
          </w:divBdr>
          <w:divsChild>
            <w:div w:id="2437296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88726824">
      <w:bodyDiv w:val="1"/>
      <w:marLeft w:val="0"/>
      <w:marRight w:val="0"/>
      <w:marTop w:val="0"/>
      <w:marBottom w:val="0"/>
      <w:divBdr>
        <w:top w:val="none" w:sz="0" w:space="0" w:color="auto"/>
        <w:left w:val="none" w:sz="0" w:space="0" w:color="auto"/>
        <w:bottom w:val="none" w:sz="0" w:space="0" w:color="auto"/>
        <w:right w:val="none" w:sz="0" w:space="0" w:color="auto"/>
      </w:divBdr>
      <w:divsChild>
        <w:div w:id="1384790128">
          <w:marLeft w:val="0"/>
          <w:marRight w:val="0"/>
          <w:marTop w:val="0"/>
          <w:marBottom w:val="0"/>
          <w:divBdr>
            <w:top w:val="none" w:sz="0" w:space="0" w:color="auto"/>
            <w:left w:val="none" w:sz="0" w:space="0" w:color="auto"/>
            <w:bottom w:val="none" w:sz="0" w:space="0" w:color="auto"/>
            <w:right w:val="none" w:sz="0" w:space="0" w:color="auto"/>
          </w:divBdr>
          <w:divsChild>
            <w:div w:id="195629893">
              <w:marLeft w:val="0"/>
              <w:marRight w:val="0"/>
              <w:marTop w:val="0"/>
              <w:marBottom w:val="0"/>
              <w:divBdr>
                <w:top w:val="none" w:sz="0" w:space="0" w:color="auto"/>
                <w:left w:val="none" w:sz="0" w:space="0" w:color="auto"/>
                <w:bottom w:val="none" w:sz="0" w:space="0" w:color="auto"/>
                <w:right w:val="none" w:sz="0" w:space="0" w:color="auto"/>
              </w:divBdr>
              <w:divsChild>
                <w:div w:id="1339582255">
                  <w:marLeft w:val="0"/>
                  <w:marRight w:val="0"/>
                  <w:marTop w:val="0"/>
                  <w:marBottom w:val="0"/>
                  <w:divBdr>
                    <w:top w:val="none" w:sz="0" w:space="0" w:color="auto"/>
                    <w:left w:val="none" w:sz="0" w:space="0" w:color="auto"/>
                    <w:bottom w:val="none" w:sz="0" w:space="0" w:color="auto"/>
                    <w:right w:val="none" w:sz="0" w:space="0" w:color="auto"/>
                  </w:divBdr>
                  <w:divsChild>
                    <w:div w:id="1909265021">
                      <w:marLeft w:val="0"/>
                      <w:marRight w:val="0"/>
                      <w:marTop w:val="0"/>
                      <w:marBottom w:val="0"/>
                      <w:divBdr>
                        <w:top w:val="none" w:sz="0" w:space="0" w:color="auto"/>
                        <w:left w:val="none" w:sz="0" w:space="0" w:color="auto"/>
                        <w:bottom w:val="none" w:sz="0" w:space="0" w:color="auto"/>
                        <w:right w:val="none" w:sz="0" w:space="0" w:color="auto"/>
                      </w:divBdr>
                      <w:divsChild>
                        <w:div w:id="184640982">
                          <w:marLeft w:val="0"/>
                          <w:marRight w:val="0"/>
                          <w:marTop w:val="0"/>
                          <w:marBottom w:val="0"/>
                          <w:divBdr>
                            <w:top w:val="none" w:sz="0" w:space="0" w:color="auto"/>
                            <w:left w:val="none" w:sz="0" w:space="0" w:color="auto"/>
                            <w:bottom w:val="none" w:sz="0" w:space="0" w:color="auto"/>
                            <w:right w:val="none" w:sz="0" w:space="0" w:color="auto"/>
                          </w:divBdr>
                          <w:divsChild>
                            <w:div w:id="1951668743">
                              <w:marLeft w:val="0"/>
                              <w:marRight w:val="0"/>
                              <w:marTop w:val="0"/>
                              <w:marBottom w:val="0"/>
                              <w:divBdr>
                                <w:top w:val="none" w:sz="0" w:space="0" w:color="auto"/>
                                <w:left w:val="none" w:sz="0" w:space="0" w:color="auto"/>
                                <w:bottom w:val="none" w:sz="0" w:space="0" w:color="auto"/>
                                <w:right w:val="none" w:sz="0" w:space="0" w:color="auto"/>
                              </w:divBdr>
                              <w:divsChild>
                                <w:div w:id="1026322776">
                                  <w:marLeft w:val="0"/>
                                  <w:marRight w:val="0"/>
                                  <w:marTop w:val="0"/>
                                  <w:marBottom w:val="0"/>
                                  <w:divBdr>
                                    <w:top w:val="none" w:sz="0" w:space="0" w:color="auto"/>
                                    <w:left w:val="none" w:sz="0" w:space="0" w:color="auto"/>
                                    <w:bottom w:val="none" w:sz="0" w:space="0" w:color="auto"/>
                                    <w:right w:val="none" w:sz="0" w:space="0" w:color="auto"/>
                                  </w:divBdr>
                                  <w:divsChild>
                                    <w:div w:id="1082025826">
                                      <w:marLeft w:val="0"/>
                                      <w:marRight w:val="0"/>
                                      <w:marTop w:val="0"/>
                                      <w:marBottom w:val="0"/>
                                      <w:divBdr>
                                        <w:top w:val="none" w:sz="0" w:space="0" w:color="auto"/>
                                        <w:left w:val="none" w:sz="0" w:space="0" w:color="auto"/>
                                        <w:bottom w:val="none" w:sz="0" w:space="0" w:color="auto"/>
                                        <w:right w:val="none" w:sz="0" w:space="0" w:color="auto"/>
                                      </w:divBdr>
                                      <w:divsChild>
                                        <w:div w:id="15973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9181019">
      <w:bodyDiv w:val="1"/>
      <w:marLeft w:val="0"/>
      <w:marRight w:val="0"/>
      <w:marTop w:val="0"/>
      <w:marBottom w:val="0"/>
      <w:divBdr>
        <w:top w:val="none" w:sz="0" w:space="0" w:color="auto"/>
        <w:left w:val="none" w:sz="0" w:space="0" w:color="auto"/>
        <w:bottom w:val="none" w:sz="0" w:space="0" w:color="auto"/>
        <w:right w:val="none" w:sz="0" w:space="0" w:color="auto"/>
      </w:divBdr>
      <w:divsChild>
        <w:div w:id="1547911664">
          <w:marLeft w:val="0"/>
          <w:marRight w:val="0"/>
          <w:marTop w:val="0"/>
          <w:marBottom w:val="0"/>
          <w:divBdr>
            <w:top w:val="none" w:sz="0" w:space="0" w:color="auto"/>
            <w:left w:val="none" w:sz="0" w:space="0" w:color="auto"/>
            <w:bottom w:val="none" w:sz="0" w:space="0" w:color="auto"/>
            <w:right w:val="none" w:sz="0" w:space="0" w:color="auto"/>
          </w:divBdr>
        </w:div>
      </w:divsChild>
    </w:div>
    <w:div w:id="690187251">
      <w:bodyDiv w:val="1"/>
      <w:marLeft w:val="0"/>
      <w:marRight w:val="0"/>
      <w:marTop w:val="0"/>
      <w:marBottom w:val="0"/>
      <w:divBdr>
        <w:top w:val="none" w:sz="0" w:space="0" w:color="auto"/>
        <w:left w:val="none" w:sz="0" w:space="0" w:color="auto"/>
        <w:bottom w:val="none" w:sz="0" w:space="0" w:color="auto"/>
        <w:right w:val="none" w:sz="0" w:space="0" w:color="auto"/>
      </w:divBdr>
      <w:divsChild>
        <w:div w:id="3675035">
          <w:marLeft w:val="0"/>
          <w:marRight w:val="0"/>
          <w:marTop w:val="0"/>
          <w:marBottom w:val="150"/>
          <w:divBdr>
            <w:top w:val="none" w:sz="0" w:space="0" w:color="auto"/>
            <w:left w:val="none" w:sz="0" w:space="0" w:color="auto"/>
            <w:bottom w:val="none" w:sz="0" w:space="0" w:color="auto"/>
            <w:right w:val="none" w:sz="0" w:space="0" w:color="auto"/>
          </w:divBdr>
        </w:div>
        <w:div w:id="1066610795">
          <w:marLeft w:val="0"/>
          <w:marRight w:val="0"/>
          <w:marTop w:val="0"/>
          <w:marBottom w:val="150"/>
          <w:divBdr>
            <w:top w:val="none" w:sz="0" w:space="0" w:color="auto"/>
            <w:left w:val="none" w:sz="0" w:space="0" w:color="auto"/>
            <w:bottom w:val="none" w:sz="0" w:space="0" w:color="auto"/>
            <w:right w:val="none" w:sz="0" w:space="0" w:color="auto"/>
          </w:divBdr>
          <w:divsChild>
            <w:div w:id="224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298151">
      <w:bodyDiv w:val="1"/>
      <w:marLeft w:val="0"/>
      <w:marRight w:val="0"/>
      <w:marTop w:val="0"/>
      <w:marBottom w:val="0"/>
      <w:divBdr>
        <w:top w:val="none" w:sz="0" w:space="0" w:color="auto"/>
        <w:left w:val="none" w:sz="0" w:space="0" w:color="auto"/>
        <w:bottom w:val="none" w:sz="0" w:space="0" w:color="auto"/>
        <w:right w:val="none" w:sz="0" w:space="0" w:color="auto"/>
      </w:divBdr>
      <w:divsChild>
        <w:div w:id="159587807">
          <w:marLeft w:val="0"/>
          <w:marRight w:val="0"/>
          <w:marTop w:val="0"/>
          <w:marBottom w:val="150"/>
          <w:divBdr>
            <w:top w:val="none" w:sz="0" w:space="0" w:color="auto"/>
            <w:left w:val="none" w:sz="0" w:space="0" w:color="auto"/>
            <w:bottom w:val="none" w:sz="0" w:space="0" w:color="auto"/>
            <w:right w:val="none" w:sz="0" w:space="0" w:color="auto"/>
          </w:divBdr>
        </w:div>
        <w:div w:id="962687255">
          <w:marLeft w:val="0"/>
          <w:marRight w:val="0"/>
          <w:marTop w:val="0"/>
          <w:marBottom w:val="0"/>
          <w:divBdr>
            <w:top w:val="none" w:sz="0" w:space="0" w:color="auto"/>
            <w:left w:val="none" w:sz="0" w:space="0" w:color="auto"/>
            <w:bottom w:val="none" w:sz="0" w:space="0" w:color="auto"/>
            <w:right w:val="none" w:sz="0" w:space="0" w:color="auto"/>
          </w:divBdr>
          <w:divsChild>
            <w:div w:id="299072906">
              <w:marLeft w:val="0"/>
              <w:marRight w:val="0"/>
              <w:marTop w:val="0"/>
              <w:marBottom w:val="0"/>
              <w:divBdr>
                <w:top w:val="none" w:sz="0" w:space="0" w:color="auto"/>
                <w:left w:val="none" w:sz="0" w:space="0" w:color="auto"/>
                <w:bottom w:val="none" w:sz="0" w:space="0" w:color="auto"/>
                <w:right w:val="none" w:sz="0" w:space="0" w:color="auto"/>
              </w:divBdr>
            </w:div>
          </w:divsChild>
        </w:div>
        <w:div w:id="1393507356">
          <w:marLeft w:val="0"/>
          <w:marRight w:val="0"/>
          <w:marTop w:val="0"/>
          <w:marBottom w:val="150"/>
          <w:divBdr>
            <w:top w:val="none" w:sz="0" w:space="0" w:color="auto"/>
            <w:left w:val="none" w:sz="0" w:space="0" w:color="auto"/>
            <w:bottom w:val="none" w:sz="0" w:space="0" w:color="auto"/>
            <w:right w:val="none" w:sz="0" w:space="0" w:color="auto"/>
          </w:divBdr>
          <w:divsChild>
            <w:div w:id="78161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298156">
      <w:bodyDiv w:val="1"/>
      <w:marLeft w:val="0"/>
      <w:marRight w:val="0"/>
      <w:marTop w:val="0"/>
      <w:marBottom w:val="0"/>
      <w:divBdr>
        <w:top w:val="none" w:sz="0" w:space="0" w:color="auto"/>
        <w:left w:val="none" w:sz="0" w:space="0" w:color="auto"/>
        <w:bottom w:val="none" w:sz="0" w:space="0" w:color="auto"/>
        <w:right w:val="none" w:sz="0" w:space="0" w:color="auto"/>
      </w:divBdr>
    </w:div>
    <w:div w:id="690299898">
      <w:bodyDiv w:val="1"/>
      <w:marLeft w:val="0"/>
      <w:marRight w:val="0"/>
      <w:marTop w:val="0"/>
      <w:marBottom w:val="0"/>
      <w:divBdr>
        <w:top w:val="none" w:sz="0" w:space="0" w:color="auto"/>
        <w:left w:val="none" w:sz="0" w:space="0" w:color="auto"/>
        <w:bottom w:val="none" w:sz="0" w:space="0" w:color="auto"/>
        <w:right w:val="none" w:sz="0" w:space="0" w:color="auto"/>
      </w:divBdr>
    </w:div>
    <w:div w:id="690300574">
      <w:bodyDiv w:val="1"/>
      <w:marLeft w:val="0"/>
      <w:marRight w:val="0"/>
      <w:marTop w:val="0"/>
      <w:marBottom w:val="0"/>
      <w:divBdr>
        <w:top w:val="none" w:sz="0" w:space="0" w:color="auto"/>
        <w:left w:val="none" w:sz="0" w:space="0" w:color="auto"/>
        <w:bottom w:val="none" w:sz="0" w:space="0" w:color="auto"/>
        <w:right w:val="none" w:sz="0" w:space="0" w:color="auto"/>
      </w:divBdr>
      <w:divsChild>
        <w:div w:id="1152714904">
          <w:marLeft w:val="0"/>
          <w:marRight w:val="0"/>
          <w:marTop w:val="0"/>
          <w:marBottom w:val="0"/>
          <w:divBdr>
            <w:top w:val="none" w:sz="0" w:space="0" w:color="auto"/>
            <w:left w:val="none" w:sz="0" w:space="0" w:color="auto"/>
            <w:bottom w:val="dotted" w:sz="6" w:space="4" w:color="DDDDDD"/>
            <w:right w:val="none" w:sz="0" w:space="0" w:color="auto"/>
          </w:divBdr>
          <w:divsChild>
            <w:div w:id="2779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380616">
      <w:bodyDiv w:val="1"/>
      <w:marLeft w:val="0"/>
      <w:marRight w:val="0"/>
      <w:marTop w:val="0"/>
      <w:marBottom w:val="0"/>
      <w:divBdr>
        <w:top w:val="none" w:sz="0" w:space="0" w:color="auto"/>
        <w:left w:val="none" w:sz="0" w:space="0" w:color="auto"/>
        <w:bottom w:val="none" w:sz="0" w:space="0" w:color="auto"/>
        <w:right w:val="none" w:sz="0" w:space="0" w:color="auto"/>
      </w:divBdr>
    </w:div>
    <w:div w:id="691031010">
      <w:bodyDiv w:val="1"/>
      <w:marLeft w:val="0"/>
      <w:marRight w:val="0"/>
      <w:marTop w:val="0"/>
      <w:marBottom w:val="0"/>
      <w:divBdr>
        <w:top w:val="none" w:sz="0" w:space="0" w:color="auto"/>
        <w:left w:val="none" w:sz="0" w:space="0" w:color="auto"/>
        <w:bottom w:val="none" w:sz="0" w:space="0" w:color="auto"/>
        <w:right w:val="none" w:sz="0" w:space="0" w:color="auto"/>
      </w:divBdr>
      <w:divsChild>
        <w:div w:id="375742400">
          <w:marLeft w:val="0"/>
          <w:marRight w:val="0"/>
          <w:marTop w:val="0"/>
          <w:marBottom w:val="150"/>
          <w:divBdr>
            <w:top w:val="none" w:sz="0" w:space="0" w:color="auto"/>
            <w:left w:val="none" w:sz="0" w:space="0" w:color="auto"/>
            <w:bottom w:val="none" w:sz="0" w:space="0" w:color="auto"/>
            <w:right w:val="none" w:sz="0" w:space="0" w:color="auto"/>
          </w:divBdr>
          <w:divsChild>
            <w:div w:id="499859211">
              <w:marLeft w:val="0"/>
              <w:marRight w:val="0"/>
              <w:marTop w:val="0"/>
              <w:marBottom w:val="0"/>
              <w:divBdr>
                <w:top w:val="none" w:sz="0" w:space="0" w:color="auto"/>
                <w:left w:val="none" w:sz="0" w:space="0" w:color="auto"/>
                <w:bottom w:val="none" w:sz="0" w:space="0" w:color="auto"/>
                <w:right w:val="none" w:sz="0" w:space="0" w:color="auto"/>
              </w:divBdr>
              <w:divsChild>
                <w:div w:id="191419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236920">
          <w:marLeft w:val="0"/>
          <w:marRight w:val="0"/>
          <w:marTop w:val="0"/>
          <w:marBottom w:val="0"/>
          <w:divBdr>
            <w:top w:val="none" w:sz="0" w:space="0" w:color="auto"/>
            <w:left w:val="none" w:sz="0" w:space="0" w:color="auto"/>
            <w:bottom w:val="none" w:sz="0" w:space="0" w:color="auto"/>
            <w:right w:val="none" w:sz="0" w:space="0" w:color="auto"/>
          </w:divBdr>
          <w:divsChild>
            <w:div w:id="239213214">
              <w:marLeft w:val="0"/>
              <w:marRight w:val="0"/>
              <w:marTop w:val="225"/>
              <w:marBottom w:val="225"/>
              <w:divBdr>
                <w:top w:val="none" w:sz="0" w:space="0" w:color="auto"/>
                <w:left w:val="none" w:sz="0" w:space="0" w:color="auto"/>
                <w:bottom w:val="none" w:sz="0" w:space="0" w:color="auto"/>
                <w:right w:val="none" w:sz="0" w:space="0" w:color="auto"/>
              </w:divBdr>
            </w:div>
          </w:divsChild>
        </w:div>
        <w:div w:id="1736395631">
          <w:marLeft w:val="0"/>
          <w:marRight w:val="0"/>
          <w:marTop w:val="0"/>
          <w:marBottom w:val="150"/>
          <w:divBdr>
            <w:top w:val="none" w:sz="0" w:space="0" w:color="auto"/>
            <w:left w:val="none" w:sz="0" w:space="0" w:color="auto"/>
            <w:bottom w:val="none" w:sz="0" w:space="0" w:color="auto"/>
            <w:right w:val="none" w:sz="0" w:space="0" w:color="auto"/>
          </w:divBdr>
        </w:div>
      </w:divsChild>
    </w:div>
    <w:div w:id="691078415">
      <w:bodyDiv w:val="1"/>
      <w:marLeft w:val="0"/>
      <w:marRight w:val="0"/>
      <w:marTop w:val="0"/>
      <w:marBottom w:val="0"/>
      <w:divBdr>
        <w:top w:val="none" w:sz="0" w:space="0" w:color="auto"/>
        <w:left w:val="none" w:sz="0" w:space="0" w:color="auto"/>
        <w:bottom w:val="none" w:sz="0" w:space="0" w:color="auto"/>
        <w:right w:val="none" w:sz="0" w:space="0" w:color="auto"/>
      </w:divBdr>
      <w:divsChild>
        <w:div w:id="1090587343">
          <w:marLeft w:val="0"/>
          <w:marRight w:val="0"/>
          <w:marTop w:val="0"/>
          <w:marBottom w:val="0"/>
          <w:divBdr>
            <w:top w:val="none" w:sz="0" w:space="0" w:color="auto"/>
            <w:left w:val="none" w:sz="0" w:space="0" w:color="auto"/>
            <w:bottom w:val="none" w:sz="0" w:space="0" w:color="auto"/>
            <w:right w:val="none" w:sz="0" w:space="0" w:color="auto"/>
          </w:divBdr>
          <w:divsChild>
            <w:div w:id="402798377">
              <w:marLeft w:val="0"/>
              <w:marRight w:val="0"/>
              <w:marTop w:val="0"/>
              <w:marBottom w:val="0"/>
              <w:divBdr>
                <w:top w:val="none" w:sz="0" w:space="0" w:color="auto"/>
                <w:left w:val="none" w:sz="0" w:space="0" w:color="auto"/>
                <w:bottom w:val="none" w:sz="0" w:space="0" w:color="auto"/>
                <w:right w:val="none" w:sz="0" w:space="0" w:color="auto"/>
              </w:divBdr>
              <w:divsChild>
                <w:div w:id="803542538">
                  <w:marLeft w:val="0"/>
                  <w:marRight w:val="0"/>
                  <w:marTop w:val="0"/>
                  <w:marBottom w:val="0"/>
                  <w:divBdr>
                    <w:top w:val="none" w:sz="0" w:space="0" w:color="auto"/>
                    <w:left w:val="none" w:sz="0" w:space="0" w:color="auto"/>
                    <w:bottom w:val="none" w:sz="0" w:space="0" w:color="auto"/>
                    <w:right w:val="none" w:sz="0" w:space="0" w:color="auto"/>
                  </w:divBdr>
                  <w:divsChild>
                    <w:div w:id="623117931">
                      <w:marLeft w:val="0"/>
                      <w:marRight w:val="0"/>
                      <w:marTop w:val="0"/>
                      <w:marBottom w:val="0"/>
                      <w:divBdr>
                        <w:top w:val="none" w:sz="0" w:space="0" w:color="auto"/>
                        <w:left w:val="none" w:sz="0" w:space="0" w:color="auto"/>
                        <w:bottom w:val="none" w:sz="0" w:space="0" w:color="auto"/>
                        <w:right w:val="none" w:sz="0" w:space="0" w:color="auto"/>
                      </w:divBdr>
                      <w:divsChild>
                        <w:div w:id="2001691232">
                          <w:marLeft w:val="0"/>
                          <w:marRight w:val="0"/>
                          <w:marTop w:val="0"/>
                          <w:marBottom w:val="0"/>
                          <w:divBdr>
                            <w:top w:val="none" w:sz="0" w:space="0" w:color="auto"/>
                            <w:left w:val="none" w:sz="0" w:space="0" w:color="auto"/>
                            <w:bottom w:val="none" w:sz="0" w:space="0" w:color="auto"/>
                            <w:right w:val="none" w:sz="0" w:space="0" w:color="auto"/>
                          </w:divBdr>
                          <w:divsChild>
                            <w:div w:id="17775526">
                              <w:marLeft w:val="0"/>
                              <w:marRight w:val="0"/>
                              <w:marTop w:val="0"/>
                              <w:marBottom w:val="0"/>
                              <w:divBdr>
                                <w:top w:val="none" w:sz="0" w:space="0" w:color="auto"/>
                                <w:left w:val="none" w:sz="0" w:space="0" w:color="auto"/>
                                <w:bottom w:val="none" w:sz="0" w:space="0" w:color="auto"/>
                                <w:right w:val="none" w:sz="0" w:space="0" w:color="auto"/>
                              </w:divBdr>
                              <w:divsChild>
                                <w:div w:id="721368955">
                                  <w:marLeft w:val="0"/>
                                  <w:marRight w:val="0"/>
                                  <w:marTop w:val="0"/>
                                  <w:marBottom w:val="0"/>
                                  <w:divBdr>
                                    <w:top w:val="none" w:sz="0" w:space="0" w:color="auto"/>
                                    <w:left w:val="none" w:sz="0" w:space="0" w:color="auto"/>
                                    <w:bottom w:val="none" w:sz="0" w:space="0" w:color="auto"/>
                                    <w:right w:val="none" w:sz="0" w:space="0" w:color="auto"/>
                                  </w:divBdr>
                                  <w:divsChild>
                                    <w:div w:id="1878928515">
                                      <w:marLeft w:val="0"/>
                                      <w:marRight w:val="0"/>
                                      <w:marTop w:val="0"/>
                                      <w:marBottom w:val="0"/>
                                      <w:divBdr>
                                        <w:top w:val="none" w:sz="0" w:space="0" w:color="auto"/>
                                        <w:left w:val="none" w:sz="0" w:space="0" w:color="auto"/>
                                        <w:bottom w:val="none" w:sz="0" w:space="0" w:color="auto"/>
                                        <w:right w:val="none" w:sz="0" w:space="0" w:color="auto"/>
                                      </w:divBdr>
                                      <w:divsChild>
                                        <w:div w:id="70178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1343280">
      <w:bodyDiv w:val="1"/>
      <w:marLeft w:val="0"/>
      <w:marRight w:val="0"/>
      <w:marTop w:val="0"/>
      <w:marBottom w:val="0"/>
      <w:divBdr>
        <w:top w:val="none" w:sz="0" w:space="0" w:color="auto"/>
        <w:left w:val="none" w:sz="0" w:space="0" w:color="auto"/>
        <w:bottom w:val="none" w:sz="0" w:space="0" w:color="auto"/>
        <w:right w:val="none" w:sz="0" w:space="0" w:color="auto"/>
      </w:divBdr>
    </w:div>
    <w:div w:id="691953655">
      <w:bodyDiv w:val="1"/>
      <w:marLeft w:val="0"/>
      <w:marRight w:val="0"/>
      <w:marTop w:val="0"/>
      <w:marBottom w:val="0"/>
      <w:divBdr>
        <w:top w:val="none" w:sz="0" w:space="0" w:color="auto"/>
        <w:left w:val="none" w:sz="0" w:space="0" w:color="auto"/>
        <w:bottom w:val="none" w:sz="0" w:space="0" w:color="auto"/>
        <w:right w:val="none" w:sz="0" w:space="0" w:color="auto"/>
      </w:divBdr>
      <w:divsChild>
        <w:div w:id="40445069">
          <w:marLeft w:val="0"/>
          <w:marRight w:val="0"/>
          <w:marTop w:val="0"/>
          <w:marBottom w:val="150"/>
          <w:divBdr>
            <w:top w:val="none" w:sz="0" w:space="0" w:color="auto"/>
            <w:left w:val="none" w:sz="0" w:space="0" w:color="auto"/>
            <w:bottom w:val="none" w:sz="0" w:space="0" w:color="auto"/>
            <w:right w:val="none" w:sz="0" w:space="0" w:color="auto"/>
          </w:divBdr>
          <w:divsChild>
            <w:div w:id="1692293850">
              <w:marLeft w:val="0"/>
              <w:marRight w:val="0"/>
              <w:marTop w:val="0"/>
              <w:marBottom w:val="0"/>
              <w:divBdr>
                <w:top w:val="none" w:sz="0" w:space="0" w:color="auto"/>
                <w:left w:val="none" w:sz="0" w:space="0" w:color="auto"/>
                <w:bottom w:val="none" w:sz="0" w:space="0" w:color="auto"/>
                <w:right w:val="none" w:sz="0" w:space="0" w:color="auto"/>
              </w:divBdr>
              <w:divsChild>
                <w:div w:id="44762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784057">
          <w:marLeft w:val="0"/>
          <w:marRight w:val="0"/>
          <w:marTop w:val="0"/>
          <w:marBottom w:val="150"/>
          <w:divBdr>
            <w:top w:val="none" w:sz="0" w:space="0" w:color="auto"/>
            <w:left w:val="none" w:sz="0" w:space="0" w:color="auto"/>
            <w:bottom w:val="none" w:sz="0" w:space="0" w:color="auto"/>
            <w:right w:val="none" w:sz="0" w:space="0" w:color="auto"/>
          </w:divBdr>
        </w:div>
      </w:divsChild>
    </w:div>
    <w:div w:id="691958877">
      <w:bodyDiv w:val="1"/>
      <w:marLeft w:val="0"/>
      <w:marRight w:val="0"/>
      <w:marTop w:val="0"/>
      <w:marBottom w:val="0"/>
      <w:divBdr>
        <w:top w:val="none" w:sz="0" w:space="0" w:color="auto"/>
        <w:left w:val="none" w:sz="0" w:space="0" w:color="auto"/>
        <w:bottom w:val="none" w:sz="0" w:space="0" w:color="auto"/>
        <w:right w:val="none" w:sz="0" w:space="0" w:color="auto"/>
      </w:divBdr>
      <w:divsChild>
        <w:div w:id="1754625640">
          <w:marLeft w:val="0"/>
          <w:marRight w:val="0"/>
          <w:marTop w:val="0"/>
          <w:marBottom w:val="0"/>
          <w:divBdr>
            <w:top w:val="none" w:sz="0" w:space="0" w:color="auto"/>
            <w:left w:val="none" w:sz="0" w:space="0" w:color="auto"/>
            <w:bottom w:val="dotted" w:sz="6" w:space="4" w:color="DDDDDD"/>
            <w:right w:val="none" w:sz="0" w:space="0" w:color="auto"/>
          </w:divBdr>
          <w:divsChild>
            <w:div w:id="202296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998082">
      <w:bodyDiv w:val="1"/>
      <w:marLeft w:val="0"/>
      <w:marRight w:val="0"/>
      <w:marTop w:val="0"/>
      <w:marBottom w:val="0"/>
      <w:divBdr>
        <w:top w:val="none" w:sz="0" w:space="0" w:color="auto"/>
        <w:left w:val="none" w:sz="0" w:space="0" w:color="auto"/>
        <w:bottom w:val="none" w:sz="0" w:space="0" w:color="auto"/>
        <w:right w:val="none" w:sz="0" w:space="0" w:color="auto"/>
      </w:divBdr>
      <w:divsChild>
        <w:div w:id="1939680257">
          <w:marLeft w:val="0"/>
          <w:marRight w:val="0"/>
          <w:marTop w:val="0"/>
          <w:marBottom w:val="0"/>
          <w:divBdr>
            <w:top w:val="none" w:sz="0" w:space="0" w:color="auto"/>
            <w:left w:val="none" w:sz="0" w:space="0" w:color="auto"/>
            <w:bottom w:val="dotted" w:sz="6" w:space="4" w:color="DDDDDD"/>
            <w:right w:val="none" w:sz="0" w:space="0" w:color="auto"/>
          </w:divBdr>
          <w:divsChild>
            <w:div w:id="102258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00312">
      <w:bodyDiv w:val="1"/>
      <w:marLeft w:val="0"/>
      <w:marRight w:val="0"/>
      <w:marTop w:val="0"/>
      <w:marBottom w:val="0"/>
      <w:divBdr>
        <w:top w:val="none" w:sz="0" w:space="0" w:color="auto"/>
        <w:left w:val="none" w:sz="0" w:space="0" w:color="auto"/>
        <w:bottom w:val="none" w:sz="0" w:space="0" w:color="auto"/>
        <w:right w:val="none" w:sz="0" w:space="0" w:color="auto"/>
      </w:divBdr>
      <w:divsChild>
        <w:div w:id="1527282851">
          <w:marLeft w:val="0"/>
          <w:marRight w:val="0"/>
          <w:marTop w:val="0"/>
          <w:marBottom w:val="0"/>
          <w:divBdr>
            <w:top w:val="none" w:sz="0" w:space="0" w:color="auto"/>
            <w:left w:val="none" w:sz="0" w:space="0" w:color="auto"/>
            <w:bottom w:val="none" w:sz="0" w:space="0" w:color="auto"/>
            <w:right w:val="none" w:sz="0" w:space="0" w:color="auto"/>
          </w:divBdr>
          <w:divsChild>
            <w:div w:id="1929729182">
              <w:marLeft w:val="0"/>
              <w:marRight w:val="0"/>
              <w:marTop w:val="0"/>
              <w:marBottom w:val="0"/>
              <w:divBdr>
                <w:top w:val="none" w:sz="0" w:space="0" w:color="auto"/>
                <w:left w:val="none" w:sz="0" w:space="0" w:color="auto"/>
                <w:bottom w:val="none" w:sz="0" w:space="0" w:color="auto"/>
                <w:right w:val="none" w:sz="0" w:space="0" w:color="auto"/>
              </w:divBdr>
              <w:divsChild>
                <w:div w:id="791826040">
                  <w:marLeft w:val="0"/>
                  <w:marRight w:val="0"/>
                  <w:marTop w:val="0"/>
                  <w:marBottom w:val="0"/>
                  <w:divBdr>
                    <w:top w:val="none" w:sz="0" w:space="0" w:color="auto"/>
                    <w:left w:val="none" w:sz="0" w:space="0" w:color="auto"/>
                    <w:bottom w:val="none" w:sz="0" w:space="0" w:color="auto"/>
                    <w:right w:val="none" w:sz="0" w:space="0" w:color="auto"/>
                  </w:divBdr>
                  <w:divsChild>
                    <w:div w:id="545026858">
                      <w:marLeft w:val="0"/>
                      <w:marRight w:val="0"/>
                      <w:marTop w:val="0"/>
                      <w:marBottom w:val="0"/>
                      <w:divBdr>
                        <w:top w:val="none" w:sz="0" w:space="0" w:color="auto"/>
                        <w:left w:val="none" w:sz="0" w:space="0" w:color="auto"/>
                        <w:bottom w:val="none" w:sz="0" w:space="0" w:color="auto"/>
                        <w:right w:val="none" w:sz="0" w:space="0" w:color="auto"/>
                      </w:divBdr>
                      <w:divsChild>
                        <w:div w:id="2062636479">
                          <w:marLeft w:val="0"/>
                          <w:marRight w:val="0"/>
                          <w:marTop w:val="0"/>
                          <w:marBottom w:val="0"/>
                          <w:divBdr>
                            <w:top w:val="none" w:sz="0" w:space="0" w:color="auto"/>
                            <w:left w:val="none" w:sz="0" w:space="0" w:color="auto"/>
                            <w:bottom w:val="none" w:sz="0" w:space="0" w:color="auto"/>
                            <w:right w:val="none" w:sz="0" w:space="0" w:color="auto"/>
                          </w:divBdr>
                          <w:divsChild>
                            <w:div w:id="1993436955">
                              <w:marLeft w:val="0"/>
                              <w:marRight w:val="0"/>
                              <w:marTop w:val="0"/>
                              <w:marBottom w:val="0"/>
                              <w:divBdr>
                                <w:top w:val="none" w:sz="0" w:space="0" w:color="auto"/>
                                <w:left w:val="none" w:sz="0" w:space="0" w:color="auto"/>
                                <w:bottom w:val="none" w:sz="0" w:space="0" w:color="auto"/>
                                <w:right w:val="none" w:sz="0" w:space="0" w:color="auto"/>
                              </w:divBdr>
                              <w:divsChild>
                                <w:div w:id="1323309711">
                                  <w:marLeft w:val="0"/>
                                  <w:marRight w:val="0"/>
                                  <w:marTop w:val="0"/>
                                  <w:marBottom w:val="0"/>
                                  <w:divBdr>
                                    <w:top w:val="none" w:sz="0" w:space="0" w:color="auto"/>
                                    <w:left w:val="none" w:sz="0" w:space="0" w:color="auto"/>
                                    <w:bottom w:val="none" w:sz="0" w:space="0" w:color="auto"/>
                                    <w:right w:val="none" w:sz="0" w:space="0" w:color="auto"/>
                                  </w:divBdr>
                                  <w:divsChild>
                                    <w:div w:id="647823909">
                                      <w:marLeft w:val="0"/>
                                      <w:marRight w:val="0"/>
                                      <w:marTop w:val="0"/>
                                      <w:marBottom w:val="0"/>
                                      <w:divBdr>
                                        <w:top w:val="none" w:sz="0" w:space="0" w:color="auto"/>
                                        <w:left w:val="none" w:sz="0" w:space="0" w:color="auto"/>
                                        <w:bottom w:val="none" w:sz="0" w:space="0" w:color="auto"/>
                                        <w:right w:val="none" w:sz="0" w:space="0" w:color="auto"/>
                                      </w:divBdr>
                                      <w:divsChild>
                                        <w:div w:id="69042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2153353">
      <w:bodyDiv w:val="1"/>
      <w:marLeft w:val="0"/>
      <w:marRight w:val="0"/>
      <w:marTop w:val="0"/>
      <w:marBottom w:val="0"/>
      <w:divBdr>
        <w:top w:val="none" w:sz="0" w:space="0" w:color="auto"/>
        <w:left w:val="none" w:sz="0" w:space="0" w:color="auto"/>
        <w:bottom w:val="none" w:sz="0" w:space="0" w:color="auto"/>
        <w:right w:val="none" w:sz="0" w:space="0" w:color="auto"/>
      </w:divBdr>
    </w:div>
    <w:div w:id="692612524">
      <w:bodyDiv w:val="1"/>
      <w:marLeft w:val="0"/>
      <w:marRight w:val="0"/>
      <w:marTop w:val="0"/>
      <w:marBottom w:val="0"/>
      <w:divBdr>
        <w:top w:val="none" w:sz="0" w:space="0" w:color="auto"/>
        <w:left w:val="none" w:sz="0" w:space="0" w:color="auto"/>
        <w:bottom w:val="none" w:sz="0" w:space="0" w:color="auto"/>
        <w:right w:val="none" w:sz="0" w:space="0" w:color="auto"/>
      </w:divBdr>
      <w:divsChild>
        <w:div w:id="574707145">
          <w:marLeft w:val="0"/>
          <w:marRight w:val="0"/>
          <w:marTop w:val="0"/>
          <w:marBottom w:val="0"/>
          <w:divBdr>
            <w:top w:val="none" w:sz="0" w:space="0" w:color="auto"/>
            <w:left w:val="none" w:sz="0" w:space="0" w:color="auto"/>
            <w:bottom w:val="dotted" w:sz="6" w:space="4" w:color="DDDDDD"/>
            <w:right w:val="none" w:sz="0" w:space="0" w:color="auto"/>
          </w:divBdr>
        </w:div>
      </w:divsChild>
    </w:div>
    <w:div w:id="692612976">
      <w:bodyDiv w:val="1"/>
      <w:marLeft w:val="0"/>
      <w:marRight w:val="0"/>
      <w:marTop w:val="0"/>
      <w:marBottom w:val="0"/>
      <w:divBdr>
        <w:top w:val="none" w:sz="0" w:space="0" w:color="auto"/>
        <w:left w:val="none" w:sz="0" w:space="0" w:color="auto"/>
        <w:bottom w:val="none" w:sz="0" w:space="0" w:color="auto"/>
        <w:right w:val="none" w:sz="0" w:space="0" w:color="auto"/>
      </w:divBdr>
    </w:div>
    <w:div w:id="692725422">
      <w:bodyDiv w:val="1"/>
      <w:marLeft w:val="0"/>
      <w:marRight w:val="0"/>
      <w:marTop w:val="0"/>
      <w:marBottom w:val="0"/>
      <w:divBdr>
        <w:top w:val="none" w:sz="0" w:space="0" w:color="auto"/>
        <w:left w:val="none" w:sz="0" w:space="0" w:color="auto"/>
        <w:bottom w:val="none" w:sz="0" w:space="0" w:color="auto"/>
        <w:right w:val="none" w:sz="0" w:space="0" w:color="auto"/>
      </w:divBdr>
      <w:divsChild>
        <w:div w:id="1378699560">
          <w:marLeft w:val="0"/>
          <w:marRight w:val="0"/>
          <w:marTop w:val="0"/>
          <w:marBottom w:val="0"/>
          <w:divBdr>
            <w:top w:val="none" w:sz="0" w:space="0" w:color="auto"/>
            <w:left w:val="none" w:sz="0" w:space="0" w:color="auto"/>
            <w:bottom w:val="none" w:sz="0" w:space="0" w:color="auto"/>
            <w:right w:val="none" w:sz="0" w:space="0" w:color="auto"/>
          </w:divBdr>
        </w:div>
      </w:divsChild>
    </w:div>
    <w:div w:id="692803810">
      <w:bodyDiv w:val="1"/>
      <w:marLeft w:val="0"/>
      <w:marRight w:val="0"/>
      <w:marTop w:val="0"/>
      <w:marBottom w:val="0"/>
      <w:divBdr>
        <w:top w:val="none" w:sz="0" w:space="0" w:color="auto"/>
        <w:left w:val="none" w:sz="0" w:space="0" w:color="auto"/>
        <w:bottom w:val="none" w:sz="0" w:space="0" w:color="auto"/>
        <w:right w:val="none" w:sz="0" w:space="0" w:color="auto"/>
      </w:divBdr>
      <w:divsChild>
        <w:div w:id="1491942732">
          <w:marLeft w:val="0"/>
          <w:marRight w:val="0"/>
          <w:marTop w:val="0"/>
          <w:marBottom w:val="0"/>
          <w:divBdr>
            <w:top w:val="none" w:sz="0" w:space="0" w:color="auto"/>
            <w:left w:val="none" w:sz="0" w:space="0" w:color="auto"/>
            <w:bottom w:val="none" w:sz="0" w:space="0" w:color="auto"/>
            <w:right w:val="none" w:sz="0" w:space="0" w:color="auto"/>
          </w:divBdr>
        </w:div>
      </w:divsChild>
    </w:div>
    <w:div w:id="692877546">
      <w:bodyDiv w:val="1"/>
      <w:marLeft w:val="0"/>
      <w:marRight w:val="0"/>
      <w:marTop w:val="0"/>
      <w:marBottom w:val="0"/>
      <w:divBdr>
        <w:top w:val="none" w:sz="0" w:space="0" w:color="auto"/>
        <w:left w:val="none" w:sz="0" w:space="0" w:color="auto"/>
        <w:bottom w:val="none" w:sz="0" w:space="0" w:color="auto"/>
        <w:right w:val="none" w:sz="0" w:space="0" w:color="auto"/>
      </w:divBdr>
      <w:divsChild>
        <w:div w:id="276063413">
          <w:marLeft w:val="0"/>
          <w:marRight w:val="0"/>
          <w:marTop w:val="0"/>
          <w:marBottom w:val="225"/>
          <w:divBdr>
            <w:top w:val="none" w:sz="0" w:space="0" w:color="auto"/>
            <w:left w:val="none" w:sz="0" w:space="0" w:color="auto"/>
            <w:bottom w:val="none" w:sz="0" w:space="0" w:color="auto"/>
            <w:right w:val="none" w:sz="0" w:space="0" w:color="auto"/>
          </w:divBdr>
        </w:div>
        <w:div w:id="1863476932">
          <w:marLeft w:val="0"/>
          <w:marRight w:val="0"/>
          <w:marTop w:val="0"/>
          <w:marBottom w:val="225"/>
          <w:divBdr>
            <w:top w:val="none" w:sz="0" w:space="0" w:color="auto"/>
            <w:left w:val="none" w:sz="0" w:space="0" w:color="auto"/>
            <w:bottom w:val="none" w:sz="0" w:space="0" w:color="auto"/>
            <w:right w:val="none" w:sz="0" w:space="0" w:color="auto"/>
          </w:divBdr>
        </w:div>
      </w:divsChild>
    </w:div>
    <w:div w:id="692994798">
      <w:bodyDiv w:val="1"/>
      <w:marLeft w:val="0"/>
      <w:marRight w:val="0"/>
      <w:marTop w:val="0"/>
      <w:marBottom w:val="0"/>
      <w:divBdr>
        <w:top w:val="none" w:sz="0" w:space="0" w:color="auto"/>
        <w:left w:val="none" w:sz="0" w:space="0" w:color="auto"/>
        <w:bottom w:val="none" w:sz="0" w:space="0" w:color="auto"/>
        <w:right w:val="none" w:sz="0" w:space="0" w:color="auto"/>
      </w:divBdr>
      <w:divsChild>
        <w:div w:id="191573899">
          <w:marLeft w:val="0"/>
          <w:marRight w:val="0"/>
          <w:marTop w:val="0"/>
          <w:marBottom w:val="0"/>
          <w:divBdr>
            <w:top w:val="none" w:sz="0" w:space="0" w:color="auto"/>
            <w:left w:val="none" w:sz="0" w:space="0" w:color="auto"/>
            <w:bottom w:val="none" w:sz="0" w:space="0" w:color="auto"/>
            <w:right w:val="none" w:sz="0" w:space="0" w:color="auto"/>
          </w:divBdr>
        </w:div>
        <w:div w:id="1628318496">
          <w:marLeft w:val="0"/>
          <w:marRight w:val="0"/>
          <w:marTop w:val="0"/>
          <w:marBottom w:val="150"/>
          <w:divBdr>
            <w:top w:val="none" w:sz="0" w:space="0" w:color="auto"/>
            <w:left w:val="none" w:sz="0" w:space="0" w:color="auto"/>
            <w:bottom w:val="none" w:sz="0" w:space="0" w:color="auto"/>
            <w:right w:val="none" w:sz="0" w:space="0" w:color="auto"/>
          </w:divBdr>
        </w:div>
      </w:divsChild>
    </w:div>
    <w:div w:id="693000885">
      <w:bodyDiv w:val="1"/>
      <w:marLeft w:val="0"/>
      <w:marRight w:val="0"/>
      <w:marTop w:val="0"/>
      <w:marBottom w:val="0"/>
      <w:divBdr>
        <w:top w:val="none" w:sz="0" w:space="0" w:color="auto"/>
        <w:left w:val="none" w:sz="0" w:space="0" w:color="auto"/>
        <w:bottom w:val="none" w:sz="0" w:space="0" w:color="auto"/>
        <w:right w:val="none" w:sz="0" w:space="0" w:color="auto"/>
      </w:divBdr>
      <w:divsChild>
        <w:div w:id="295068533">
          <w:marLeft w:val="0"/>
          <w:marRight w:val="0"/>
          <w:marTop w:val="0"/>
          <w:marBottom w:val="150"/>
          <w:divBdr>
            <w:top w:val="none" w:sz="0" w:space="0" w:color="auto"/>
            <w:left w:val="none" w:sz="0" w:space="0" w:color="auto"/>
            <w:bottom w:val="none" w:sz="0" w:space="0" w:color="auto"/>
            <w:right w:val="none" w:sz="0" w:space="0" w:color="auto"/>
          </w:divBdr>
        </w:div>
      </w:divsChild>
    </w:div>
    <w:div w:id="693193118">
      <w:bodyDiv w:val="1"/>
      <w:marLeft w:val="0"/>
      <w:marRight w:val="0"/>
      <w:marTop w:val="0"/>
      <w:marBottom w:val="0"/>
      <w:divBdr>
        <w:top w:val="none" w:sz="0" w:space="0" w:color="auto"/>
        <w:left w:val="none" w:sz="0" w:space="0" w:color="auto"/>
        <w:bottom w:val="none" w:sz="0" w:space="0" w:color="auto"/>
        <w:right w:val="none" w:sz="0" w:space="0" w:color="auto"/>
      </w:divBdr>
      <w:divsChild>
        <w:div w:id="799421838">
          <w:marLeft w:val="0"/>
          <w:marRight w:val="0"/>
          <w:marTop w:val="0"/>
          <w:marBottom w:val="0"/>
          <w:divBdr>
            <w:top w:val="none" w:sz="0" w:space="0" w:color="auto"/>
            <w:left w:val="none" w:sz="0" w:space="0" w:color="auto"/>
            <w:bottom w:val="none" w:sz="0" w:space="0" w:color="auto"/>
            <w:right w:val="none" w:sz="0" w:space="0" w:color="auto"/>
          </w:divBdr>
          <w:divsChild>
            <w:div w:id="24919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07108">
      <w:bodyDiv w:val="1"/>
      <w:marLeft w:val="0"/>
      <w:marRight w:val="0"/>
      <w:marTop w:val="0"/>
      <w:marBottom w:val="0"/>
      <w:divBdr>
        <w:top w:val="none" w:sz="0" w:space="0" w:color="auto"/>
        <w:left w:val="none" w:sz="0" w:space="0" w:color="auto"/>
        <w:bottom w:val="none" w:sz="0" w:space="0" w:color="auto"/>
        <w:right w:val="none" w:sz="0" w:space="0" w:color="auto"/>
      </w:divBdr>
    </w:div>
    <w:div w:id="693507124">
      <w:bodyDiv w:val="1"/>
      <w:marLeft w:val="0"/>
      <w:marRight w:val="0"/>
      <w:marTop w:val="0"/>
      <w:marBottom w:val="0"/>
      <w:divBdr>
        <w:top w:val="none" w:sz="0" w:space="0" w:color="auto"/>
        <w:left w:val="none" w:sz="0" w:space="0" w:color="auto"/>
        <w:bottom w:val="none" w:sz="0" w:space="0" w:color="auto"/>
        <w:right w:val="none" w:sz="0" w:space="0" w:color="auto"/>
      </w:divBdr>
      <w:divsChild>
        <w:div w:id="1387266222">
          <w:marLeft w:val="0"/>
          <w:marRight w:val="0"/>
          <w:marTop w:val="0"/>
          <w:marBottom w:val="0"/>
          <w:divBdr>
            <w:top w:val="none" w:sz="0" w:space="0" w:color="auto"/>
            <w:left w:val="none" w:sz="0" w:space="0" w:color="auto"/>
            <w:bottom w:val="none" w:sz="0" w:space="0" w:color="auto"/>
            <w:right w:val="none" w:sz="0" w:space="0" w:color="auto"/>
          </w:divBdr>
          <w:divsChild>
            <w:div w:id="75053946">
              <w:marLeft w:val="0"/>
              <w:marRight w:val="0"/>
              <w:marTop w:val="0"/>
              <w:marBottom w:val="0"/>
              <w:divBdr>
                <w:top w:val="none" w:sz="0" w:space="0" w:color="auto"/>
                <w:left w:val="none" w:sz="0" w:space="0" w:color="auto"/>
                <w:bottom w:val="none" w:sz="0" w:space="0" w:color="auto"/>
                <w:right w:val="none" w:sz="0" w:space="0" w:color="auto"/>
              </w:divBdr>
            </w:div>
          </w:divsChild>
        </w:div>
        <w:div w:id="1863779418">
          <w:marLeft w:val="0"/>
          <w:marRight w:val="0"/>
          <w:marTop w:val="0"/>
          <w:marBottom w:val="150"/>
          <w:divBdr>
            <w:top w:val="none" w:sz="0" w:space="0" w:color="auto"/>
            <w:left w:val="none" w:sz="0" w:space="0" w:color="auto"/>
            <w:bottom w:val="none" w:sz="0" w:space="0" w:color="auto"/>
            <w:right w:val="none" w:sz="0" w:space="0" w:color="auto"/>
          </w:divBdr>
        </w:div>
        <w:div w:id="1899053143">
          <w:marLeft w:val="0"/>
          <w:marRight w:val="0"/>
          <w:marTop w:val="0"/>
          <w:marBottom w:val="150"/>
          <w:divBdr>
            <w:top w:val="none" w:sz="0" w:space="0" w:color="auto"/>
            <w:left w:val="none" w:sz="0" w:space="0" w:color="auto"/>
            <w:bottom w:val="none" w:sz="0" w:space="0" w:color="auto"/>
            <w:right w:val="none" w:sz="0" w:space="0" w:color="auto"/>
          </w:divBdr>
          <w:divsChild>
            <w:div w:id="3882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765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380">
          <w:marLeft w:val="0"/>
          <w:marRight w:val="0"/>
          <w:marTop w:val="0"/>
          <w:marBottom w:val="0"/>
          <w:divBdr>
            <w:top w:val="none" w:sz="0" w:space="0" w:color="auto"/>
            <w:left w:val="none" w:sz="0" w:space="0" w:color="auto"/>
            <w:bottom w:val="none" w:sz="0" w:space="0" w:color="auto"/>
            <w:right w:val="none" w:sz="0" w:space="0" w:color="auto"/>
          </w:divBdr>
          <w:divsChild>
            <w:div w:id="452789271">
              <w:marLeft w:val="2700"/>
              <w:marRight w:val="0"/>
              <w:marTop w:val="0"/>
              <w:marBottom w:val="0"/>
              <w:divBdr>
                <w:top w:val="none" w:sz="0" w:space="0" w:color="auto"/>
                <w:left w:val="none" w:sz="0" w:space="0" w:color="auto"/>
                <w:bottom w:val="none" w:sz="0" w:space="0" w:color="auto"/>
                <w:right w:val="none" w:sz="0" w:space="0" w:color="auto"/>
              </w:divBdr>
              <w:divsChild>
                <w:div w:id="146820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652214">
      <w:bodyDiv w:val="1"/>
      <w:marLeft w:val="0"/>
      <w:marRight w:val="0"/>
      <w:marTop w:val="0"/>
      <w:marBottom w:val="0"/>
      <w:divBdr>
        <w:top w:val="none" w:sz="0" w:space="0" w:color="auto"/>
        <w:left w:val="none" w:sz="0" w:space="0" w:color="auto"/>
        <w:bottom w:val="none" w:sz="0" w:space="0" w:color="auto"/>
        <w:right w:val="none" w:sz="0" w:space="0" w:color="auto"/>
      </w:divBdr>
    </w:div>
    <w:div w:id="694162820">
      <w:bodyDiv w:val="1"/>
      <w:marLeft w:val="0"/>
      <w:marRight w:val="0"/>
      <w:marTop w:val="0"/>
      <w:marBottom w:val="0"/>
      <w:divBdr>
        <w:top w:val="none" w:sz="0" w:space="0" w:color="auto"/>
        <w:left w:val="none" w:sz="0" w:space="0" w:color="auto"/>
        <w:bottom w:val="none" w:sz="0" w:space="0" w:color="auto"/>
        <w:right w:val="none" w:sz="0" w:space="0" w:color="auto"/>
      </w:divBdr>
      <w:divsChild>
        <w:div w:id="129445563">
          <w:marLeft w:val="0"/>
          <w:marRight w:val="0"/>
          <w:marTop w:val="0"/>
          <w:marBottom w:val="0"/>
          <w:divBdr>
            <w:top w:val="none" w:sz="0" w:space="8" w:color="auto"/>
            <w:left w:val="none" w:sz="0" w:space="2" w:color="auto"/>
            <w:bottom w:val="single" w:sz="6" w:space="8" w:color="DDDDDD"/>
            <w:right w:val="none" w:sz="0" w:space="0" w:color="auto"/>
          </w:divBdr>
        </w:div>
        <w:div w:id="274560106">
          <w:marLeft w:val="0"/>
          <w:marRight w:val="0"/>
          <w:marTop w:val="150"/>
          <w:marBottom w:val="0"/>
          <w:divBdr>
            <w:top w:val="none" w:sz="0" w:space="0" w:color="auto"/>
            <w:left w:val="none" w:sz="0" w:space="0" w:color="auto"/>
            <w:bottom w:val="none" w:sz="0" w:space="0" w:color="auto"/>
            <w:right w:val="none" w:sz="0" w:space="0" w:color="auto"/>
          </w:divBdr>
          <w:divsChild>
            <w:div w:id="125018818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694379805">
      <w:bodyDiv w:val="1"/>
      <w:marLeft w:val="0"/>
      <w:marRight w:val="0"/>
      <w:marTop w:val="0"/>
      <w:marBottom w:val="0"/>
      <w:divBdr>
        <w:top w:val="none" w:sz="0" w:space="0" w:color="auto"/>
        <w:left w:val="none" w:sz="0" w:space="0" w:color="auto"/>
        <w:bottom w:val="none" w:sz="0" w:space="0" w:color="auto"/>
        <w:right w:val="none" w:sz="0" w:space="0" w:color="auto"/>
      </w:divBdr>
      <w:divsChild>
        <w:div w:id="1393039573">
          <w:marLeft w:val="0"/>
          <w:marRight w:val="0"/>
          <w:marTop w:val="0"/>
          <w:marBottom w:val="0"/>
          <w:divBdr>
            <w:top w:val="none" w:sz="0" w:space="0" w:color="auto"/>
            <w:left w:val="none" w:sz="0" w:space="0" w:color="auto"/>
            <w:bottom w:val="none" w:sz="0" w:space="0" w:color="auto"/>
            <w:right w:val="none" w:sz="0" w:space="0" w:color="auto"/>
          </w:divBdr>
          <w:divsChild>
            <w:div w:id="1010179456">
              <w:marLeft w:val="0"/>
              <w:marRight w:val="0"/>
              <w:marTop w:val="0"/>
              <w:marBottom w:val="0"/>
              <w:divBdr>
                <w:top w:val="none" w:sz="0" w:space="0" w:color="auto"/>
                <w:left w:val="none" w:sz="0" w:space="0" w:color="auto"/>
                <w:bottom w:val="none" w:sz="0" w:space="0" w:color="auto"/>
                <w:right w:val="none" w:sz="0" w:space="0" w:color="auto"/>
              </w:divBdr>
            </w:div>
            <w:div w:id="128242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775526">
      <w:bodyDiv w:val="1"/>
      <w:marLeft w:val="0"/>
      <w:marRight w:val="0"/>
      <w:marTop w:val="0"/>
      <w:marBottom w:val="0"/>
      <w:divBdr>
        <w:top w:val="none" w:sz="0" w:space="0" w:color="auto"/>
        <w:left w:val="none" w:sz="0" w:space="0" w:color="auto"/>
        <w:bottom w:val="none" w:sz="0" w:space="0" w:color="auto"/>
        <w:right w:val="none" w:sz="0" w:space="0" w:color="auto"/>
      </w:divBdr>
      <w:divsChild>
        <w:div w:id="862784217">
          <w:marLeft w:val="0"/>
          <w:marRight w:val="0"/>
          <w:marTop w:val="0"/>
          <w:marBottom w:val="0"/>
          <w:divBdr>
            <w:top w:val="none" w:sz="0" w:space="0" w:color="auto"/>
            <w:left w:val="none" w:sz="0" w:space="0" w:color="auto"/>
            <w:bottom w:val="dotted" w:sz="6" w:space="4" w:color="DDDDDD"/>
            <w:right w:val="none" w:sz="0" w:space="0" w:color="auto"/>
          </w:divBdr>
          <w:divsChild>
            <w:div w:id="101515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967064">
      <w:bodyDiv w:val="1"/>
      <w:marLeft w:val="0"/>
      <w:marRight w:val="0"/>
      <w:marTop w:val="0"/>
      <w:marBottom w:val="0"/>
      <w:divBdr>
        <w:top w:val="none" w:sz="0" w:space="0" w:color="auto"/>
        <w:left w:val="none" w:sz="0" w:space="0" w:color="auto"/>
        <w:bottom w:val="none" w:sz="0" w:space="0" w:color="auto"/>
        <w:right w:val="none" w:sz="0" w:space="0" w:color="auto"/>
      </w:divBdr>
    </w:div>
    <w:div w:id="695230301">
      <w:bodyDiv w:val="1"/>
      <w:marLeft w:val="0"/>
      <w:marRight w:val="0"/>
      <w:marTop w:val="0"/>
      <w:marBottom w:val="0"/>
      <w:divBdr>
        <w:top w:val="none" w:sz="0" w:space="0" w:color="auto"/>
        <w:left w:val="none" w:sz="0" w:space="0" w:color="auto"/>
        <w:bottom w:val="none" w:sz="0" w:space="0" w:color="auto"/>
        <w:right w:val="none" w:sz="0" w:space="0" w:color="auto"/>
      </w:divBdr>
      <w:divsChild>
        <w:div w:id="47847657">
          <w:marLeft w:val="0"/>
          <w:marRight w:val="0"/>
          <w:marTop w:val="0"/>
          <w:marBottom w:val="0"/>
          <w:divBdr>
            <w:top w:val="none" w:sz="0" w:space="0" w:color="auto"/>
            <w:left w:val="none" w:sz="0" w:space="0" w:color="auto"/>
            <w:bottom w:val="none" w:sz="0" w:space="0" w:color="auto"/>
            <w:right w:val="none" w:sz="0" w:space="0" w:color="auto"/>
          </w:divBdr>
          <w:divsChild>
            <w:div w:id="420638104">
              <w:marLeft w:val="0"/>
              <w:marRight w:val="0"/>
              <w:marTop w:val="0"/>
              <w:marBottom w:val="0"/>
              <w:divBdr>
                <w:top w:val="none" w:sz="0" w:space="0" w:color="auto"/>
                <w:left w:val="none" w:sz="0" w:space="0" w:color="auto"/>
                <w:bottom w:val="none" w:sz="0" w:space="0" w:color="auto"/>
                <w:right w:val="none" w:sz="0" w:space="0" w:color="auto"/>
              </w:divBdr>
              <w:divsChild>
                <w:div w:id="645351967">
                  <w:marLeft w:val="0"/>
                  <w:marRight w:val="0"/>
                  <w:marTop w:val="0"/>
                  <w:marBottom w:val="0"/>
                  <w:divBdr>
                    <w:top w:val="none" w:sz="0" w:space="0" w:color="auto"/>
                    <w:left w:val="none" w:sz="0" w:space="0" w:color="auto"/>
                    <w:bottom w:val="none" w:sz="0" w:space="0" w:color="auto"/>
                    <w:right w:val="none" w:sz="0" w:space="0" w:color="auto"/>
                  </w:divBdr>
                  <w:divsChild>
                    <w:div w:id="152183781">
                      <w:marLeft w:val="0"/>
                      <w:marRight w:val="0"/>
                      <w:marTop w:val="0"/>
                      <w:marBottom w:val="0"/>
                      <w:divBdr>
                        <w:top w:val="none" w:sz="0" w:space="0" w:color="auto"/>
                        <w:left w:val="none" w:sz="0" w:space="0" w:color="auto"/>
                        <w:bottom w:val="none" w:sz="0" w:space="0" w:color="auto"/>
                        <w:right w:val="none" w:sz="0" w:space="0" w:color="auto"/>
                      </w:divBdr>
                      <w:divsChild>
                        <w:div w:id="351882265">
                          <w:marLeft w:val="0"/>
                          <w:marRight w:val="0"/>
                          <w:marTop w:val="0"/>
                          <w:marBottom w:val="0"/>
                          <w:divBdr>
                            <w:top w:val="none" w:sz="0" w:space="0" w:color="auto"/>
                            <w:left w:val="none" w:sz="0" w:space="0" w:color="auto"/>
                            <w:bottom w:val="none" w:sz="0" w:space="0" w:color="auto"/>
                            <w:right w:val="none" w:sz="0" w:space="0" w:color="auto"/>
                          </w:divBdr>
                          <w:divsChild>
                            <w:div w:id="1030103490">
                              <w:marLeft w:val="0"/>
                              <w:marRight w:val="0"/>
                              <w:marTop w:val="0"/>
                              <w:marBottom w:val="0"/>
                              <w:divBdr>
                                <w:top w:val="none" w:sz="0" w:space="0" w:color="auto"/>
                                <w:left w:val="none" w:sz="0" w:space="0" w:color="auto"/>
                                <w:bottom w:val="none" w:sz="0" w:space="0" w:color="auto"/>
                                <w:right w:val="none" w:sz="0" w:space="0" w:color="auto"/>
                              </w:divBdr>
                              <w:divsChild>
                                <w:div w:id="1503545651">
                                  <w:marLeft w:val="0"/>
                                  <w:marRight w:val="0"/>
                                  <w:marTop w:val="0"/>
                                  <w:marBottom w:val="0"/>
                                  <w:divBdr>
                                    <w:top w:val="none" w:sz="0" w:space="0" w:color="auto"/>
                                    <w:left w:val="none" w:sz="0" w:space="0" w:color="auto"/>
                                    <w:bottom w:val="none" w:sz="0" w:space="0" w:color="auto"/>
                                    <w:right w:val="none" w:sz="0" w:space="0" w:color="auto"/>
                                  </w:divBdr>
                                  <w:divsChild>
                                    <w:div w:id="107393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275485">
      <w:bodyDiv w:val="1"/>
      <w:marLeft w:val="0"/>
      <w:marRight w:val="0"/>
      <w:marTop w:val="0"/>
      <w:marBottom w:val="0"/>
      <w:divBdr>
        <w:top w:val="none" w:sz="0" w:space="0" w:color="auto"/>
        <w:left w:val="none" w:sz="0" w:space="0" w:color="auto"/>
        <w:bottom w:val="none" w:sz="0" w:space="0" w:color="auto"/>
        <w:right w:val="none" w:sz="0" w:space="0" w:color="auto"/>
      </w:divBdr>
      <w:divsChild>
        <w:div w:id="620766608">
          <w:marLeft w:val="0"/>
          <w:marRight w:val="0"/>
          <w:marTop w:val="0"/>
          <w:marBottom w:val="0"/>
          <w:divBdr>
            <w:top w:val="none" w:sz="0" w:space="0" w:color="auto"/>
            <w:left w:val="none" w:sz="0" w:space="0" w:color="auto"/>
            <w:bottom w:val="dotted" w:sz="6" w:space="4" w:color="DDDDDD"/>
            <w:right w:val="none" w:sz="0" w:space="0" w:color="auto"/>
          </w:divBdr>
          <w:divsChild>
            <w:div w:id="183167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23812">
      <w:bodyDiv w:val="1"/>
      <w:marLeft w:val="0"/>
      <w:marRight w:val="0"/>
      <w:marTop w:val="0"/>
      <w:marBottom w:val="0"/>
      <w:divBdr>
        <w:top w:val="none" w:sz="0" w:space="0" w:color="auto"/>
        <w:left w:val="none" w:sz="0" w:space="0" w:color="auto"/>
        <w:bottom w:val="none" w:sz="0" w:space="0" w:color="auto"/>
        <w:right w:val="none" w:sz="0" w:space="0" w:color="auto"/>
      </w:divBdr>
      <w:divsChild>
        <w:div w:id="763501487">
          <w:marLeft w:val="0"/>
          <w:marRight w:val="0"/>
          <w:marTop w:val="0"/>
          <w:marBottom w:val="150"/>
          <w:divBdr>
            <w:top w:val="none" w:sz="0" w:space="0" w:color="auto"/>
            <w:left w:val="none" w:sz="0" w:space="0" w:color="auto"/>
            <w:bottom w:val="none" w:sz="0" w:space="0" w:color="auto"/>
            <w:right w:val="none" w:sz="0" w:space="0" w:color="auto"/>
          </w:divBdr>
        </w:div>
      </w:divsChild>
    </w:div>
    <w:div w:id="695814025">
      <w:bodyDiv w:val="1"/>
      <w:marLeft w:val="0"/>
      <w:marRight w:val="0"/>
      <w:marTop w:val="0"/>
      <w:marBottom w:val="0"/>
      <w:divBdr>
        <w:top w:val="none" w:sz="0" w:space="0" w:color="auto"/>
        <w:left w:val="none" w:sz="0" w:space="0" w:color="auto"/>
        <w:bottom w:val="none" w:sz="0" w:space="0" w:color="auto"/>
        <w:right w:val="none" w:sz="0" w:space="0" w:color="auto"/>
      </w:divBdr>
      <w:divsChild>
        <w:div w:id="834537405">
          <w:marLeft w:val="0"/>
          <w:marRight w:val="0"/>
          <w:marTop w:val="0"/>
          <w:marBottom w:val="225"/>
          <w:divBdr>
            <w:top w:val="none" w:sz="0" w:space="0" w:color="auto"/>
            <w:left w:val="none" w:sz="0" w:space="0" w:color="auto"/>
            <w:bottom w:val="single" w:sz="6" w:space="0" w:color="CCCCCC"/>
            <w:right w:val="none" w:sz="0" w:space="0" w:color="auto"/>
          </w:divBdr>
        </w:div>
        <w:div w:id="1741632803">
          <w:marLeft w:val="0"/>
          <w:marRight w:val="0"/>
          <w:marTop w:val="0"/>
          <w:marBottom w:val="0"/>
          <w:divBdr>
            <w:top w:val="none" w:sz="0" w:space="0" w:color="auto"/>
            <w:left w:val="none" w:sz="0" w:space="0" w:color="auto"/>
            <w:bottom w:val="none" w:sz="0" w:space="0" w:color="auto"/>
            <w:right w:val="none" w:sz="0" w:space="0" w:color="auto"/>
          </w:divBdr>
          <w:divsChild>
            <w:div w:id="516432044">
              <w:marLeft w:val="0"/>
              <w:marRight w:val="0"/>
              <w:marTop w:val="0"/>
              <w:marBottom w:val="225"/>
              <w:divBdr>
                <w:top w:val="none" w:sz="0" w:space="0" w:color="auto"/>
                <w:left w:val="none" w:sz="0" w:space="0" w:color="auto"/>
                <w:bottom w:val="none" w:sz="0" w:space="0" w:color="auto"/>
                <w:right w:val="none" w:sz="0" w:space="0" w:color="auto"/>
              </w:divBdr>
              <w:divsChild>
                <w:div w:id="1622689951">
                  <w:marLeft w:val="0"/>
                  <w:marRight w:val="0"/>
                  <w:marTop w:val="0"/>
                  <w:marBottom w:val="0"/>
                  <w:divBdr>
                    <w:top w:val="none" w:sz="0" w:space="0" w:color="auto"/>
                    <w:left w:val="none" w:sz="0" w:space="0" w:color="auto"/>
                    <w:bottom w:val="none" w:sz="0" w:space="0" w:color="auto"/>
                    <w:right w:val="none" w:sz="0" w:space="0" w:color="auto"/>
                  </w:divBdr>
                  <w:divsChild>
                    <w:div w:id="146199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12459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695931818">
      <w:bodyDiv w:val="1"/>
      <w:marLeft w:val="0"/>
      <w:marRight w:val="0"/>
      <w:marTop w:val="0"/>
      <w:marBottom w:val="0"/>
      <w:divBdr>
        <w:top w:val="none" w:sz="0" w:space="0" w:color="auto"/>
        <w:left w:val="none" w:sz="0" w:space="0" w:color="auto"/>
        <w:bottom w:val="none" w:sz="0" w:space="0" w:color="auto"/>
        <w:right w:val="none" w:sz="0" w:space="0" w:color="auto"/>
      </w:divBdr>
    </w:div>
    <w:div w:id="696080878">
      <w:bodyDiv w:val="1"/>
      <w:marLeft w:val="0"/>
      <w:marRight w:val="0"/>
      <w:marTop w:val="0"/>
      <w:marBottom w:val="0"/>
      <w:divBdr>
        <w:top w:val="none" w:sz="0" w:space="0" w:color="auto"/>
        <w:left w:val="none" w:sz="0" w:space="0" w:color="auto"/>
        <w:bottom w:val="none" w:sz="0" w:space="0" w:color="auto"/>
        <w:right w:val="none" w:sz="0" w:space="0" w:color="auto"/>
      </w:divBdr>
      <w:divsChild>
        <w:div w:id="147210149">
          <w:marLeft w:val="0"/>
          <w:marRight w:val="0"/>
          <w:marTop w:val="0"/>
          <w:marBottom w:val="0"/>
          <w:divBdr>
            <w:top w:val="none" w:sz="0" w:space="0" w:color="auto"/>
            <w:left w:val="none" w:sz="0" w:space="0" w:color="auto"/>
            <w:bottom w:val="none" w:sz="0" w:space="0" w:color="auto"/>
            <w:right w:val="none" w:sz="0" w:space="0" w:color="auto"/>
          </w:divBdr>
          <w:divsChild>
            <w:div w:id="2002347689">
              <w:marLeft w:val="0"/>
              <w:marRight w:val="0"/>
              <w:marTop w:val="0"/>
              <w:marBottom w:val="0"/>
              <w:divBdr>
                <w:top w:val="none" w:sz="0" w:space="0" w:color="auto"/>
                <w:left w:val="none" w:sz="0" w:space="0" w:color="auto"/>
                <w:bottom w:val="none" w:sz="0" w:space="0" w:color="auto"/>
                <w:right w:val="none" w:sz="0" w:space="0" w:color="auto"/>
              </w:divBdr>
            </w:div>
          </w:divsChild>
        </w:div>
        <w:div w:id="911357098">
          <w:marLeft w:val="0"/>
          <w:marRight w:val="0"/>
          <w:marTop w:val="0"/>
          <w:marBottom w:val="0"/>
          <w:divBdr>
            <w:top w:val="none" w:sz="0" w:space="0" w:color="auto"/>
            <w:left w:val="none" w:sz="0" w:space="0" w:color="auto"/>
            <w:bottom w:val="none" w:sz="0" w:space="0" w:color="auto"/>
            <w:right w:val="none" w:sz="0" w:space="0" w:color="auto"/>
          </w:divBdr>
        </w:div>
        <w:div w:id="1003167224">
          <w:marLeft w:val="0"/>
          <w:marRight w:val="0"/>
          <w:marTop w:val="0"/>
          <w:marBottom w:val="0"/>
          <w:divBdr>
            <w:top w:val="none" w:sz="0" w:space="0" w:color="auto"/>
            <w:left w:val="none" w:sz="0" w:space="0" w:color="auto"/>
            <w:bottom w:val="none" w:sz="0" w:space="0" w:color="auto"/>
            <w:right w:val="none" w:sz="0" w:space="0" w:color="auto"/>
          </w:divBdr>
        </w:div>
        <w:div w:id="1105424387">
          <w:marLeft w:val="0"/>
          <w:marRight w:val="0"/>
          <w:marTop w:val="0"/>
          <w:marBottom w:val="0"/>
          <w:divBdr>
            <w:top w:val="none" w:sz="0" w:space="0" w:color="auto"/>
            <w:left w:val="none" w:sz="0" w:space="0" w:color="auto"/>
            <w:bottom w:val="none" w:sz="0" w:space="0" w:color="auto"/>
            <w:right w:val="none" w:sz="0" w:space="0" w:color="auto"/>
          </w:divBdr>
        </w:div>
        <w:div w:id="1438138508">
          <w:marLeft w:val="0"/>
          <w:marRight w:val="0"/>
          <w:marTop w:val="0"/>
          <w:marBottom w:val="0"/>
          <w:divBdr>
            <w:top w:val="none" w:sz="0" w:space="0" w:color="auto"/>
            <w:left w:val="none" w:sz="0" w:space="0" w:color="auto"/>
            <w:bottom w:val="none" w:sz="0" w:space="0" w:color="auto"/>
            <w:right w:val="none" w:sz="0" w:space="0" w:color="auto"/>
          </w:divBdr>
          <w:divsChild>
            <w:div w:id="15080549">
              <w:marLeft w:val="0"/>
              <w:marRight w:val="0"/>
              <w:marTop w:val="0"/>
              <w:marBottom w:val="0"/>
              <w:divBdr>
                <w:top w:val="none" w:sz="0" w:space="0" w:color="auto"/>
                <w:left w:val="none" w:sz="0" w:space="0" w:color="auto"/>
                <w:bottom w:val="none" w:sz="0" w:space="0" w:color="auto"/>
                <w:right w:val="none" w:sz="0" w:space="0" w:color="auto"/>
              </w:divBdr>
              <w:divsChild>
                <w:div w:id="208078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93640">
          <w:marLeft w:val="0"/>
          <w:marRight w:val="0"/>
          <w:marTop w:val="0"/>
          <w:marBottom w:val="0"/>
          <w:divBdr>
            <w:top w:val="none" w:sz="0" w:space="0" w:color="auto"/>
            <w:left w:val="none" w:sz="0" w:space="0" w:color="auto"/>
            <w:bottom w:val="none" w:sz="0" w:space="0" w:color="auto"/>
            <w:right w:val="none" w:sz="0" w:space="0" w:color="auto"/>
          </w:divBdr>
        </w:div>
        <w:div w:id="1796607013">
          <w:marLeft w:val="0"/>
          <w:marRight w:val="0"/>
          <w:marTop w:val="0"/>
          <w:marBottom w:val="0"/>
          <w:divBdr>
            <w:top w:val="none" w:sz="0" w:space="0" w:color="auto"/>
            <w:left w:val="none" w:sz="0" w:space="0" w:color="auto"/>
            <w:bottom w:val="none" w:sz="0" w:space="0" w:color="auto"/>
            <w:right w:val="none" w:sz="0" w:space="0" w:color="auto"/>
          </w:divBdr>
          <w:divsChild>
            <w:div w:id="1232816419">
              <w:marLeft w:val="0"/>
              <w:marRight w:val="0"/>
              <w:marTop w:val="0"/>
              <w:marBottom w:val="0"/>
              <w:divBdr>
                <w:top w:val="single" w:sz="8" w:space="3" w:color="E1E1E1"/>
                <w:left w:val="none" w:sz="0" w:space="0" w:color="auto"/>
                <w:bottom w:val="none" w:sz="0" w:space="0" w:color="auto"/>
                <w:right w:val="none" w:sz="0" w:space="0" w:color="auto"/>
              </w:divBdr>
            </w:div>
          </w:divsChild>
        </w:div>
        <w:div w:id="2137529671">
          <w:marLeft w:val="0"/>
          <w:marRight w:val="0"/>
          <w:marTop w:val="0"/>
          <w:marBottom w:val="0"/>
          <w:divBdr>
            <w:top w:val="none" w:sz="0" w:space="0" w:color="auto"/>
            <w:left w:val="none" w:sz="0" w:space="0" w:color="auto"/>
            <w:bottom w:val="none" w:sz="0" w:space="0" w:color="auto"/>
            <w:right w:val="none" w:sz="0" w:space="0" w:color="auto"/>
          </w:divBdr>
        </w:div>
      </w:divsChild>
    </w:div>
    <w:div w:id="696807038">
      <w:bodyDiv w:val="1"/>
      <w:marLeft w:val="0"/>
      <w:marRight w:val="0"/>
      <w:marTop w:val="0"/>
      <w:marBottom w:val="0"/>
      <w:divBdr>
        <w:top w:val="none" w:sz="0" w:space="0" w:color="auto"/>
        <w:left w:val="none" w:sz="0" w:space="0" w:color="auto"/>
        <w:bottom w:val="none" w:sz="0" w:space="0" w:color="auto"/>
        <w:right w:val="none" w:sz="0" w:space="0" w:color="auto"/>
      </w:divBdr>
      <w:divsChild>
        <w:div w:id="795293551">
          <w:marLeft w:val="0"/>
          <w:marRight w:val="0"/>
          <w:marTop w:val="0"/>
          <w:marBottom w:val="0"/>
          <w:divBdr>
            <w:top w:val="none" w:sz="0" w:space="0" w:color="auto"/>
            <w:left w:val="none" w:sz="0" w:space="0" w:color="auto"/>
            <w:bottom w:val="none" w:sz="0" w:space="0" w:color="auto"/>
            <w:right w:val="none" w:sz="0" w:space="0" w:color="auto"/>
          </w:divBdr>
          <w:divsChild>
            <w:div w:id="1087536795">
              <w:marLeft w:val="0"/>
              <w:marRight w:val="0"/>
              <w:marTop w:val="0"/>
              <w:marBottom w:val="0"/>
              <w:divBdr>
                <w:top w:val="none" w:sz="0" w:space="0" w:color="auto"/>
                <w:left w:val="none" w:sz="0" w:space="0" w:color="auto"/>
                <w:bottom w:val="none" w:sz="0" w:space="0" w:color="auto"/>
                <w:right w:val="none" w:sz="0" w:space="0" w:color="auto"/>
              </w:divBdr>
              <w:divsChild>
                <w:div w:id="1732313680">
                  <w:marLeft w:val="0"/>
                  <w:marRight w:val="0"/>
                  <w:marTop w:val="0"/>
                  <w:marBottom w:val="150"/>
                  <w:divBdr>
                    <w:top w:val="none" w:sz="0" w:space="0" w:color="auto"/>
                    <w:left w:val="none" w:sz="0" w:space="0" w:color="auto"/>
                    <w:bottom w:val="none" w:sz="0" w:space="0" w:color="auto"/>
                    <w:right w:val="none" w:sz="0" w:space="0" w:color="auto"/>
                  </w:divBdr>
                  <w:divsChild>
                    <w:div w:id="668485873">
                      <w:marLeft w:val="0"/>
                      <w:marRight w:val="0"/>
                      <w:marTop w:val="0"/>
                      <w:marBottom w:val="0"/>
                      <w:divBdr>
                        <w:top w:val="none" w:sz="0" w:space="0" w:color="auto"/>
                        <w:left w:val="none" w:sz="0" w:space="0" w:color="auto"/>
                        <w:bottom w:val="none" w:sz="0" w:space="0" w:color="auto"/>
                        <w:right w:val="none" w:sz="0" w:space="0" w:color="auto"/>
                      </w:divBdr>
                      <w:divsChild>
                        <w:div w:id="322514638">
                          <w:marLeft w:val="0"/>
                          <w:marRight w:val="0"/>
                          <w:marTop w:val="0"/>
                          <w:marBottom w:val="0"/>
                          <w:divBdr>
                            <w:top w:val="none" w:sz="0" w:space="0" w:color="auto"/>
                            <w:left w:val="none" w:sz="0" w:space="0" w:color="auto"/>
                            <w:bottom w:val="none" w:sz="0" w:space="0" w:color="auto"/>
                            <w:right w:val="none" w:sz="0" w:space="0" w:color="auto"/>
                          </w:divBdr>
                          <w:divsChild>
                            <w:div w:id="915632049">
                              <w:marLeft w:val="0"/>
                              <w:marRight w:val="0"/>
                              <w:marTop w:val="0"/>
                              <w:marBottom w:val="0"/>
                              <w:divBdr>
                                <w:top w:val="none" w:sz="0" w:space="0" w:color="auto"/>
                                <w:left w:val="none" w:sz="0" w:space="0" w:color="auto"/>
                                <w:bottom w:val="none" w:sz="0" w:space="0" w:color="auto"/>
                                <w:right w:val="none" w:sz="0" w:space="0" w:color="auto"/>
                              </w:divBdr>
                              <w:divsChild>
                                <w:div w:id="329793105">
                                  <w:marLeft w:val="0"/>
                                  <w:marRight w:val="0"/>
                                  <w:marTop w:val="0"/>
                                  <w:marBottom w:val="0"/>
                                  <w:divBdr>
                                    <w:top w:val="none" w:sz="0" w:space="0" w:color="auto"/>
                                    <w:left w:val="none" w:sz="0" w:space="0" w:color="auto"/>
                                    <w:bottom w:val="none" w:sz="0" w:space="0" w:color="auto"/>
                                    <w:right w:val="none" w:sz="0" w:space="0" w:color="auto"/>
                                  </w:divBdr>
                                  <w:divsChild>
                                    <w:div w:id="1869876495">
                                      <w:marLeft w:val="0"/>
                                      <w:marRight w:val="0"/>
                                      <w:marTop w:val="0"/>
                                      <w:marBottom w:val="0"/>
                                      <w:divBdr>
                                        <w:top w:val="none" w:sz="0" w:space="0" w:color="auto"/>
                                        <w:left w:val="none" w:sz="0" w:space="0" w:color="auto"/>
                                        <w:bottom w:val="none" w:sz="0" w:space="0" w:color="auto"/>
                                        <w:right w:val="none" w:sz="0" w:space="0" w:color="auto"/>
                                      </w:divBdr>
                                      <w:divsChild>
                                        <w:div w:id="1159616784">
                                          <w:marLeft w:val="0"/>
                                          <w:marRight w:val="0"/>
                                          <w:marTop w:val="0"/>
                                          <w:marBottom w:val="0"/>
                                          <w:divBdr>
                                            <w:top w:val="none" w:sz="0" w:space="0" w:color="auto"/>
                                            <w:left w:val="none" w:sz="0" w:space="0" w:color="auto"/>
                                            <w:bottom w:val="none" w:sz="0" w:space="0" w:color="auto"/>
                                            <w:right w:val="none" w:sz="0" w:space="0" w:color="auto"/>
                                          </w:divBdr>
                                          <w:divsChild>
                                            <w:div w:id="1622686252">
                                              <w:marLeft w:val="0"/>
                                              <w:marRight w:val="0"/>
                                              <w:marTop w:val="0"/>
                                              <w:marBottom w:val="0"/>
                                              <w:divBdr>
                                                <w:top w:val="none" w:sz="0" w:space="0" w:color="auto"/>
                                                <w:left w:val="none" w:sz="0" w:space="0" w:color="auto"/>
                                                <w:bottom w:val="none" w:sz="0" w:space="0" w:color="auto"/>
                                                <w:right w:val="none" w:sz="0" w:space="0" w:color="auto"/>
                                              </w:divBdr>
                                              <w:divsChild>
                                                <w:div w:id="89011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6859160">
      <w:bodyDiv w:val="1"/>
      <w:marLeft w:val="0"/>
      <w:marRight w:val="0"/>
      <w:marTop w:val="0"/>
      <w:marBottom w:val="0"/>
      <w:divBdr>
        <w:top w:val="none" w:sz="0" w:space="0" w:color="auto"/>
        <w:left w:val="none" w:sz="0" w:space="0" w:color="auto"/>
        <w:bottom w:val="none" w:sz="0" w:space="0" w:color="auto"/>
        <w:right w:val="none" w:sz="0" w:space="0" w:color="auto"/>
      </w:divBdr>
      <w:divsChild>
        <w:div w:id="834415123">
          <w:marLeft w:val="0"/>
          <w:marRight w:val="0"/>
          <w:marTop w:val="0"/>
          <w:marBottom w:val="0"/>
          <w:divBdr>
            <w:top w:val="none" w:sz="0" w:space="0" w:color="auto"/>
            <w:left w:val="none" w:sz="0" w:space="0" w:color="auto"/>
            <w:bottom w:val="none" w:sz="0" w:space="0" w:color="auto"/>
            <w:right w:val="none" w:sz="0" w:space="0" w:color="auto"/>
          </w:divBdr>
          <w:divsChild>
            <w:div w:id="2132942654">
              <w:marLeft w:val="0"/>
              <w:marRight w:val="0"/>
              <w:marTop w:val="0"/>
              <w:marBottom w:val="0"/>
              <w:divBdr>
                <w:top w:val="none" w:sz="0" w:space="0" w:color="auto"/>
                <w:left w:val="none" w:sz="0" w:space="0" w:color="auto"/>
                <w:bottom w:val="none" w:sz="0" w:space="0" w:color="auto"/>
                <w:right w:val="none" w:sz="0" w:space="0" w:color="auto"/>
              </w:divBdr>
              <w:divsChild>
                <w:div w:id="1639874309">
                  <w:marLeft w:val="0"/>
                  <w:marRight w:val="0"/>
                  <w:marTop w:val="0"/>
                  <w:marBottom w:val="0"/>
                  <w:divBdr>
                    <w:top w:val="none" w:sz="0" w:space="0" w:color="auto"/>
                    <w:left w:val="none" w:sz="0" w:space="0" w:color="auto"/>
                    <w:bottom w:val="none" w:sz="0" w:space="0" w:color="auto"/>
                    <w:right w:val="none" w:sz="0" w:space="0" w:color="auto"/>
                  </w:divBdr>
                  <w:divsChild>
                    <w:div w:id="847597346">
                      <w:marLeft w:val="0"/>
                      <w:marRight w:val="0"/>
                      <w:marTop w:val="0"/>
                      <w:marBottom w:val="0"/>
                      <w:divBdr>
                        <w:top w:val="none" w:sz="0" w:space="0" w:color="auto"/>
                        <w:left w:val="none" w:sz="0" w:space="0" w:color="auto"/>
                        <w:bottom w:val="none" w:sz="0" w:space="0" w:color="auto"/>
                        <w:right w:val="none" w:sz="0" w:space="0" w:color="auto"/>
                      </w:divBdr>
                      <w:divsChild>
                        <w:div w:id="1555848477">
                          <w:marLeft w:val="0"/>
                          <w:marRight w:val="0"/>
                          <w:marTop w:val="0"/>
                          <w:marBottom w:val="0"/>
                          <w:divBdr>
                            <w:top w:val="none" w:sz="0" w:space="0" w:color="auto"/>
                            <w:left w:val="none" w:sz="0" w:space="0" w:color="auto"/>
                            <w:bottom w:val="none" w:sz="0" w:space="0" w:color="auto"/>
                            <w:right w:val="none" w:sz="0" w:space="0" w:color="auto"/>
                          </w:divBdr>
                          <w:divsChild>
                            <w:div w:id="406420841">
                              <w:marLeft w:val="0"/>
                              <w:marRight w:val="0"/>
                              <w:marTop w:val="0"/>
                              <w:marBottom w:val="0"/>
                              <w:divBdr>
                                <w:top w:val="none" w:sz="0" w:space="0" w:color="auto"/>
                                <w:left w:val="none" w:sz="0" w:space="0" w:color="auto"/>
                                <w:bottom w:val="none" w:sz="0" w:space="0" w:color="auto"/>
                                <w:right w:val="none" w:sz="0" w:space="0" w:color="auto"/>
                              </w:divBdr>
                              <w:divsChild>
                                <w:div w:id="1470828686">
                                  <w:marLeft w:val="0"/>
                                  <w:marRight w:val="0"/>
                                  <w:marTop w:val="0"/>
                                  <w:marBottom w:val="0"/>
                                  <w:divBdr>
                                    <w:top w:val="none" w:sz="0" w:space="0" w:color="auto"/>
                                    <w:left w:val="none" w:sz="0" w:space="0" w:color="auto"/>
                                    <w:bottom w:val="none" w:sz="0" w:space="0" w:color="auto"/>
                                    <w:right w:val="none" w:sz="0" w:space="0" w:color="auto"/>
                                  </w:divBdr>
                                  <w:divsChild>
                                    <w:div w:id="755324853">
                                      <w:marLeft w:val="0"/>
                                      <w:marRight w:val="0"/>
                                      <w:marTop w:val="0"/>
                                      <w:marBottom w:val="0"/>
                                      <w:divBdr>
                                        <w:top w:val="none" w:sz="0" w:space="0" w:color="auto"/>
                                        <w:left w:val="none" w:sz="0" w:space="0" w:color="auto"/>
                                        <w:bottom w:val="none" w:sz="0" w:space="0" w:color="auto"/>
                                        <w:right w:val="none" w:sz="0" w:space="0" w:color="auto"/>
                                      </w:divBdr>
                                      <w:divsChild>
                                        <w:div w:id="100227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7001282">
      <w:bodyDiv w:val="1"/>
      <w:marLeft w:val="0"/>
      <w:marRight w:val="0"/>
      <w:marTop w:val="0"/>
      <w:marBottom w:val="0"/>
      <w:divBdr>
        <w:top w:val="none" w:sz="0" w:space="0" w:color="auto"/>
        <w:left w:val="none" w:sz="0" w:space="0" w:color="auto"/>
        <w:bottom w:val="none" w:sz="0" w:space="0" w:color="auto"/>
        <w:right w:val="none" w:sz="0" w:space="0" w:color="auto"/>
      </w:divBdr>
      <w:divsChild>
        <w:div w:id="1130632578">
          <w:marLeft w:val="0"/>
          <w:marRight w:val="0"/>
          <w:marTop w:val="0"/>
          <w:marBottom w:val="0"/>
          <w:divBdr>
            <w:top w:val="none" w:sz="0" w:space="0" w:color="auto"/>
            <w:left w:val="none" w:sz="0" w:space="0" w:color="auto"/>
            <w:bottom w:val="none" w:sz="0" w:space="0" w:color="auto"/>
            <w:right w:val="none" w:sz="0" w:space="0" w:color="auto"/>
          </w:divBdr>
        </w:div>
      </w:divsChild>
    </w:div>
    <w:div w:id="697391485">
      <w:bodyDiv w:val="1"/>
      <w:marLeft w:val="0"/>
      <w:marRight w:val="0"/>
      <w:marTop w:val="0"/>
      <w:marBottom w:val="0"/>
      <w:divBdr>
        <w:top w:val="none" w:sz="0" w:space="0" w:color="auto"/>
        <w:left w:val="none" w:sz="0" w:space="0" w:color="auto"/>
        <w:bottom w:val="none" w:sz="0" w:space="0" w:color="auto"/>
        <w:right w:val="none" w:sz="0" w:space="0" w:color="auto"/>
      </w:divBdr>
      <w:divsChild>
        <w:div w:id="1587957483">
          <w:marLeft w:val="0"/>
          <w:marRight w:val="0"/>
          <w:marTop w:val="0"/>
          <w:marBottom w:val="0"/>
          <w:divBdr>
            <w:top w:val="none" w:sz="0" w:space="0" w:color="auto"/>
            <w:left w:val="none" w:sz="0" w:space="0" w:color="auto"/>
            <w:bottom w:val="none" w:sz="0" w:space="0" w:color="auto"/>
            <w:right w:val="none" w:sz="0" w:space="0" w:color="auto"/>
          </w:divBdr>
        </w:div>
      </w:divsChild>
    </w:div>
    <w:div w:id="697434339">
      <w:bodyDiv w:val="1"/>
      <w:marLeft w:val="0"/>
      <w:marRight w:val="0"/>
      <w:marTop w:val="0"/>
      <w:marBottom w:val="0"/>
      <w:divBdr>
        <w:top w:val="none" w:sz="0" w:space="0" w:color="auto"/>
        <w:left w:val="none" w:sz="0" w:space="0" w:color="auto"/>
        <w:bottom w:val="none" w:sz="0" w:space="0" w:color="auto"/>
        <w:right w:val="none" w:sz="0" w:space="0" w:color="auto"/>
      </w:divBdr>
      <w:divsChild>
        <w:div w:id="1170482970">
          <w:marLeft w:val="0"/>
          <w:marRight w:val="0"/>
          <w:marTop w:val="0"/>
          <w:marBottom w:val="0"/>
          <w:divBdr>
            <w:top w:val="none" w:sz="0" w:space="0" w:color="auto"/>
            <w:left w:val="none" w:sz="0" w:space="0" w:color="auto"/>
            <w:bottom w:val="none" w:sz="0" w:space="0" w:color="auto"/>
            <w:right w:val="none" w:sz="0" w:space="0" w:color="auto"/>
          </w:divBdr>
          <w:divsChild>
            <w:div w:id="630285834">
              <w:marLeft w:val="0"/>
              <w:marRight w:val="0"/>
              <w:marTop w:val="0"/>
              <w:marBottom w:val="0"/>
              <w:divBdr>
                <w:top w:val="none" w:sz="0" w:space="0" w:color="auto"/>
                <w:left w:val="none" w:sz="0" w:space="0" w:color="auto"/>
                <w:bottom w:val="none" w:sz="0" w:space="0" w:color="auto"/>
                <w:right w:val="none" w:sz="0" w:space="0" w:color="auto"/>
              </w:divBdr>
              <w:divsChild>
                <w:div w:id="830297952">
                  <w:marLeft w:val="0"/>
                  <w:marRight w:val="0"/>
                  <w:marTop w:val="0"/>
                  <w:marBottom w:val="0"/>
                  <w:divBdr>
                    <w:top w:val="none" w:sz="0" w:space="0" w:color="auto"/>
                    <w:left w:val="none" w:sz="0" w:space="0" w:color="auto"/>
                    <w:bottom w:val="none" w:sz="0" w:space="0" w:color="auto"/>
                    <w:right w:val="none" w:sz="0" w:space="0" w:color="auto"/>
                  </w:divBdr>
                  <w:divsChild>
                    <w:div w:id="1088506533">
                      <w:marLeft w:val="0"/>
                      <w:marRight w:val="0"/>
                      <w:marTop w:val="0"/>
                      <w:marBottom w:val="0"/>
                      <w:divBdr>
                        <w:top w:val="none" w:sz="0" w:space="0" w:color="auto"/>
                        <w:left w:val="none" w:sz="0" w:space="0" w:color="auto"/>
                        <w:bottom w:val="none" w:sz="0" w:space="0" w:color="auto"/>
                        <w:right w:val="none" w:sz="0" w:space="0" w:color="auto"/>
                      </w:divBdr>
                      <w:divsChild>
                        <w:div w:id="114718443">
                          <w:marLeft w:val="0"/>
                          <w:marRight w:val="0"/>
                          <w:marTop w:val="0"/>
                          <w:marBottom w:val="0"/>
                          <w:divBdr>
                            <w:top w:val="none" w:sz="0" w:space="0" w:color="auto"/>
                            <w:left w:val="none" w:sz="0" w:space="0" w:color="auto"/>
                            <w:bottom w:val="none" w:sz="0" w:space="0" w:color="auto"/>
                            <w:right w:val="none" w:sz="0" w:space="0" w:color="auto"/>
                          </w:divBdr>
                          <w:divsChild>
                            <w:div w:id="958490831">
                              <w:marLeft w:val="0"/>
                              <w:marRight w:val="0"/>
                              <w:marTop w:val="0"/>
                              <w:marBottom w:val="0"/>
                              <w:divBdr>
                                <w:top w:val="none" w:sz="0" w:space="0" w:color="auto"/>
                                <w:left w:val="none" w:sz="0" w:space="0" w:color="auto"/>
                                <w:bottom w:val="none" w:sz="0" w:space="0" w:color="auto"/>
                                <w:right w:val="none" w:sz="0" w:space="0" w:color="auto"/>
                              </w:divBdr>
                              <w:divsChild>
                                <w:div w:id="643001233">
                                  <w:marLeft w:val="0"/>
                                  <w:marRight w:val="0"/>
                                  <w:marTop w:val="0"/>
                                  <w:marBottom w:val="0"/>
                                  <w:divBdr>
                                    <w:top w:val="none" w:sz="0" w:space="0" w:color="auto"/>
                                    <w:left w:val="none" w:sz="0" w:space="0" w:color="auto"/>
                                    <w:bottom w:val="none" w:sz="0" w:space="0" w:color="auto"/>
                                    <w:right w:val="none" w:sz="0" w:space="0" w:color="auto"/>
                                  </w:divBdr>
                                  <w:divsChild>
                                    <w:div w:id="207870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7662166">
      <w:bodyDiv w:val="1"/>
      <w:marLeft w:val="0"/>
      <w:marRight w:val="0"/>
      <w:marTop w:val="0"/>
      <w:marBottom w:val="0"/>
      <w:divBdr>
        <w:top w:val="none" w:sz="0" w:space="0" w:color="auto"/>
        <w:left w:val="none" w:sz="0" w:space="0" w:color="auto"/>
        <w:bottom w:val="none" w:sz="0" w:space="0" w:color="auto"/>
        <w:right w:val="none" w:sz="0" w:space="0" w:color="auto"/>
      </w:divBdr>
    </w:div>
    <w:div w:id="697849206">
      <w:bodyDiv w:val="1"/>
      <w:marLeft w:val="0"/>
      <w:marRight w:val="0"/>
      <w:marTop w:val="0"/>
      <w:marBottom w:val="0"/>
      <w:divBdr>
        <w:top w:val="none" w:sz="0" w:space="0" w:color="auto"/>
        <w:left w:val="none" w:sz="0" w:space="0" w:color="auto"/>
        <w:bottom w:val="none" w:sz="0" w:space="0" w:color="auto"/>
        <w:right w:val="none" w:sz="0" w:space="0" w:color="auto"/>
      </w:divBdr>
      <w:divsChild>
        <w:div w:id="400719698">
          <w:marLeft w:val="0"/>
          <w:marRight w:val="0"/>
          <w:marTop w:val="0"/>
          <w:marBottom w:val="0"/>
          <w:divBdr>
            <w:top w:val="none" w:sz="0" w:space="0" w:color="auto"/>
            <w:left w:val="none" w:sz="0" w:space="0" w:color="auto"/>
            <w:bottom w:val="none" w:sz="0" w:space="0" w:color="auto"/>
            <w:right w:val="none" w:sz="0" w:space="0" w:color="auto"/>
          </w:divBdr>
          <w:divsChild>
            <w:div w:id="951016678">
              <w:marLeft w:val="0"/>
              <w:marRight w:val="0"/>
              <w:marTop w:val="0"/>
              <w:marBottom w:val="0"/>
              <w:divBdr>
                <w:top w:val="none" w:sz="0" w:space="0" w:color="auto"/>
                <w:left w:val="none" w:sz="0" w:space="0" w:color="auto"/>
                <w:bottom w:val="none" w:sz="0" w:space="0" w:color="auto"/>
                <w:right w:val="none" w:sz="0" w:space="0" w:color="auto"/>
              </w:divBdr>
              <w:divsChild>
                <w:div w:id="276719825">
                  <w:marLeft w:val="0"/>
                  <w:marRight w:val="0"/>
                  <w:marTop w:val="0"/>
                  <w:marBottom w:val="120"/>
                  <w:divBdr>
                    <w:top w:val="none" w:sz="0" w:space="0" w:color="auto"/>
                    <w:left w:val="none" w:sz="0" w:space="0" w:color="auto"/>
                    <w:bottom w:val="none" w:sz="0" w:space="0" w:color="auto"/>
                    <w:right w:val="none" w:sz="0" w:space="0" w:color="auto"/>
                  </w:divBdr>
                  <w:divsChild>
                    <w:div w:id="440074504">
                      <w:marLeft w:val="150"/>
                      <w:marRight w:val="0"/>
                      <w:marTop w:val="0"/>
                      <w:marBottom w:val="0"/>
                      <w:divBdr>
                        <w:top w:val="none" w:sz="0" w:space="0" w:color="auto"/>
                        <w:left w:val="none" w:sz="0" w:space="0" w:color="auto"/>
                        <w:bottom w:val="none" w:sz="0" w:space="0" w:color="auto"/>
                        <w:right w:val="none" w:sz="0" w:space="0" w:color="auto"/>
                      </w:divBdr>
                      <w:divsChild>
                        <w:div w:id="1714385465">
                          <w:marLeft w:val="0"/>
                          <w:marRight w:val="0"/>
                          <w:marTop w:val="0"/>
                          <w:marBottom w:val="0"/>
                          <w:divBdr>
                            <w:top w:val="none" w:sz="0" w:space="0" w:color="auto"/>
                            <w:left w:val="none" w:sz="0" w:space="0" w:color="auto"/>
                            <w:bottom w:val="none" w:sz="0" w:space="0" w:color="auto"/>
                            <w:right w:val="none" w:sz="0" w:space="0" w:color="auto"/>
                          </w:divBdr>
                          <w:divsChild>
                            <w:div w:id="226652627">
                              <w:marLeft w:val="0"/>
                              <w:marRight w:val="0"/>
                              <w:marTop w:val="0"/>
                              <w:marBottom w:val="0"/>
                              <w:divBdr>
                                <w:top w:val="none" w:sz="0" w:space="0" w:color="auto"/>
                                <w:left w:val="none" w:sz="0" w:space="0" w:color="auto"/>
                                <w:bottom w:val="none" w:sz="0" w:space="0" w:color="auto"/>
                                <w:right w:val="none" w:sz="0" w:space="0" w:color="auto"/>
                              </w:divBdr>
                              <w:divsChild>
                                <w:div w:id="1242761090">
                                  <w:marLeft w:val="0"/>
                                  <w:marRight w:val="0"/>
                                  <w:marTop w:val="0"/>
                                  <w:marBottom w:val="0"/>
                                  <w:divBdr>
                                    <w:top w:val="none" w:sz="0" w:space="0" w:color="auto"/>
                                    <w:left w:val="none" w:sz="0" w:space="0" w:color="auto"/>
                                    <w:bottom w:val="none" w:sz="0" w:space="0" w:color="auto"/>
                                    <w:right w:val="none" w:sz="0" w:space="0" w:color="auto"/>
                                  </w:divBdr>
                                  <w:divsChild>
                                    <w:div w:id="1808743166">
                                      <w:marLeft w:val="0"/>
                                      <w:marRight w:val="0"/>
                                      <w:marTop w:val="0"/>
                                      <w:marBottom w:val="360"/>
                                      <w:divBdr>
                                        <w:top w:val="none" w:sz="0" w:space="0" w:color="auto"/>
                                        <w:left w:val="none" w:sz="0" w:space="0" w:color="auto"/>
                                        <w:bottom w:val="none" w:sz="0" w:space="0" w:color="auto"/>
                                        <w:right w:val="none" w:sz="0" w:space="0" w:color="auto"/>
                                      </w:divBdr>
                                      <w:divsChild>
                                        <w:div w:id="1687562703">
                                          <w:marLeft w:val="0"/>
                                          <w:marRight w:val="0"/>
                                          <w:marTop w:val="0"/>
                                          <w:marBottom w:val="0"/>
                                          <w:divBdr>
                                            <w:top w:val="none" w:sz="0" w:space="0" w:color="auto"/>
                                            <w:left w:val="none" w:sz="0" w:space="0" w:color="auto"/>
                                            <w:bottom w:val="none" w:sz="0" w:space="0" w:color="auto"/>
                                            <w:right w:val="none" w:sz="0" w:space="0" w:color="auto"/>
                                          </w:divBdr>
                                          <w:divsChild>
                                            <w:div w:id="387847973">
                                              <w:marLeft w:val="0"/>
                                              <w:marRight w:val="0"/>
                                              <w:marTop w:val="0"/>
                                              <w:marBottom w:val="0"/>
                                              <w:divBdr>
                                                <w:top w:val="none" w:sz="0" w:space="0" w:color="auto"/>
                                                <w:left w:val="none" w:sz="0" w:space="0" w:color="auto"/>
                                                <w:bottom w:val="none" w:sz="0" w:space="0" w:color="auto"/>
                                                <w:right w:val="none" w:sz="0" w:space="0" w:color="auto"/>
                                              </w:divBdr>
                                              <w:divsChild>
                                                <w:div w:id="2094281515">
                                                  <w:marLeft w:val="0"/>
                                                  <w:marRight w:val="0"/>
                                                  <w:marTop w:val="0"/>
                                                  <w:marBottom w:val="0"/>
                                                  <w:divBdr>
                                                    <w:top w:val="none" w:sz="0" w:space="0" w:color="auto"/>
                                                    <w:left w:val="none" w:sz="0" w:space="0" w:color="auto"/>
                                                    <w:bottom w:val="none" w:sz="0" w:space="0" w:color="auto"/>
                                                    <w:right w:val="none" w:sz="0" w:space="0" w:color="auto"/>
                                                  </w:divBdr>
                                                  <w:divsChild>
                                                    <w:div w:id="3959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7967179">
      <w:bodyDiv w:val="1"/>
      <w:marLeft w:val="0"/>
      <w:marRight w:val="0"/>
      <w:marTop w:val="0"/>
      <w:marBottom w:val="0"/>
      <w:divBdr>
        <w:top w:val="none" w:sz="0" w:space="0" w:color="auto"/>
        <w:left w:val="none" w:sz="0" w:space="0" w:color="auto"/>
        <w:bottom w:val="none" w:sz="0" w:space="0" w:color="auto"/>
        <w:right w:val="none" w:sz="0" w:space="0" w:color="auto"/>
      </w:divBdr>
      <w:divsChild>
        <w:div w:id="1130200124">
          <w:marLeft w:val="0"/>
          <w:marRight w:val="0"/>
          <w:marTop w:val="0"/>
          <w:marBottom w:val="0"/>
          <w:divBdr>
            <w:top w:val="none" w:sz="0" w:space="0" w:color="auto"/>
            <w:left w:val="none" w:sz="0" w:space="0" w:color="auto"/>
            <w:bottom w:val="none" w:sz="0" w:space="0" w:color="auto"/>
            <w:right w:val="none" w:sz="0" w:space="0" w:color="auto"/>
          </w:divBdr>
          <w:divsChild>
            <w:div w:id="425468021">
              <w:marLeft w:val="0"/>
              <w:marRight w:val="0"/>
              <w:marTop w:val="0"/>
              <w:marBottom w:val="0"/>
              <w:divBdr>
                <w:top w:val="none" w:sz="0" w:space="0" w:color="auto"/>
                <w:left w:val="none" w:sz="0" w:space="0" w:color="auto"/>
                <w:bottom w:val="none" w:sz="0" w:space="0" w:color="auto"/>
                <w:right w:val="none" w:sz="0" w:space="0" w:color="auto"/>
              </w:divBdr>
              <w:divsChild>
                <w:div w:id="795177022">
                  <w:marLeft w:val="0"/>
                  <w:marRight w:val="0"/>
                  <w:marTop w:val="0"/>
                  <w:marBottom w:val="0"/>
                  <w:divBdr>
                    <w:top w:val="none" w:sz="0" w:space="0" w:color="auto"/>
                    <w:left w:val="none" w:sz="0" w:space="0" w:color="auto"/>
                    <w:bottom w:val="none" w:sz="0" w:space="0" w:color="auto"/>
                    <w:right w:val="none" w:sz="0" w:space="0" w:color="auto"/>
                  </w:divBdr>
                  <w:divsChild>
                    <w:div w:id="1216114657">
                      <w:marLeft w:val="0"/>
                      <w:marRight w:val="0"/>
                      <w:marTop w:val="0"/>
                      <w:marBottom w:val="300"/>
                      <w:divBdr>
                        <w:top w:val="none" w:sz="0" w:space="0" w:color="auto"/>
                        <w:left w:val="none" w:sz="0" w:space="0" w:color="auto"/>
                        <w:bottom w:val="none" w:sz="0" w:space="0" w:color="auto"/>
                        <w:right w:val="none" w:sz="0" w:space="0" w:color="auto"/>
                      </w:divBdr>
                      <w:divsChild>
                        <w:div w:id="346979265">
                          <w:marLeft w:val="0"/>
                          <w:marRight w:val="0"/>
                          <w:marTop w:val="0"/>
                          <w:marBottom w:val="225"/>
                          <w:divBdr>
                            <w:top w:val="single" w:sz="6" w:space="11" w:color="E5E5E5"/>
                            <w:left w:val="single" w:sz="6" w:space="11" w:color="E5E5E5"/>
                            <w:bottom w:val="single" w:sz="6" w:space="1" w:color="E5E5E5"/>
                            <w:right w:val="single" w:sz="6" w:space="11" w:color="E5E5E5"/>
                          </w:divBdr>
                          <w:divsChild>
                            <w:div w:id="1471246458">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633831056">
          <w:marLeft w:val="0"/>
          <w:marRight w:val="0"/>
          <w:marTop w:val="0"/>
          <w:marBottom w:val="0"/>
          <w:divBdr>
            <w:top w:val="single" w:sz="6" w:space="0" w:color="E5E5E5"/>
            <w:left w:val="none" w:sz="0" w:space="0" w:color="auto"/>
            <w:bottom w:val="single" w:sz="18" w:space="0" w:color="000000"/>
            <w:right w:val="none" w:sz="0" w:space="0" w:color="auto"/>
          </w:divBdr>
          <w:divsChild>
            <w:div w:id="692999987">
              <w:marLeft w:val="0"/>
              <w:marRight w:val="0"/>
              <w:marTop w:val="0"/>
              <w:marBottom w:val="0"/>
              <w:divBdr>
                <w:top w:val="none" w:sz="0" w:space="0" w:color="auto"/>
                <w:left w:val="none" w:sz="0" w:space="0" w:color="auto"/>
                <w:bottom w:val="none" w:sz="0" w:space="0" w:color="auto"/>
                <w:right w:val="none" w:sz="0" w:space="0" w:color="auto"/>
              </w:divBdr>
              <w:divsChild>
                <w:div w:id="182434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970175">
      <w:bodyDiv w:val="1"/>
      <w:marLeft w:val="0"/>
      <w:marRight w:val="0"/>
      <w:marTop w:val="0"/>
      <w:marBottom w:val="0"/>
      <w:divBdr>
        <w:top w:val="none" w:sz="0" w:space="0" w:color="auto"/>
        <w:left w:val="none" w:sz="0" w:space="0" w:color="auto"/>
        <w:bottom w:val="none" w:sz="0" w:space="0" w:color="auto"/>
        <w:right w:val="none" w:sz="0" w:space="0" w:color="auto"/>
      </w:divBdr>
    </w:div>
    <w:div w:id="698042503">
      <w:bodyDiv w:val="1"/>
      <w:marLeft w:val="0"/>
      <w:marRight w:val="0"/>
      <w:marTop w:val="0"/>
      <w:marBottom w:val="0"/>
      <w:divBdr>
        <w:top w:val="none" w:sz="0" w:space="0" w:color="auto"/>
        <w:left w:val="none" w:sz="0" w:space="0" w:color="auto"/>
        <w:bottom w:val="none" w:sz="0" w:space="0" w:color="auto"/>
        <w:right w:val="none" w:sz="0" w:space="0" w:color="auto"/>
      </w:divBdr>
      <w:divsChild>
        <w:div w:id="991569420">
          <w:marLeft w:val="0"/>
          <w:marRight w:val="0"/>
          <w:marTop w:val="0"/>
          <w:marBottom w:val="0"/>
          <w:divBdr>
            <w:top w:val="none" w:sz="0" w:space="0" w:color="auto"/>
            <w:left w:val="none" w:sz="0" w:space="0" w:color="auto"/>
            <w:bottom w:val="dotted" w:sz="6" w:space="4" w:color="DDDDDD"/>
            <w:right w:val="none" w:sz="0" w:space="0" w:color="auto"/>
          </w:divBdr>
        </w:div>
      </w:divsChild>
    </w:div>
    <w:div w:id="698162060">
      <w:bodyDiv w:val="1"/>
      <w:marLeft w:val="0"/>
      <w:marRight w:val="0"/>
      <w:marTop w:val="0"/>
      <w:marBottom w:val="0"/>
      <w:divBdr>
        <w:top w:val="none" w:sz="0" w:space="0" w:color="auto"/>
        <w:left w:val="none" w:sz="0" w:space="0" w:color="auto"/>
        <w:bottom w:val="none" w:sz="0" w:space="0" w:color="auto"/>
        <w:right w:val="none" w:sz="0" w:space="0" w:color="auto"/>
      </w:divBdr>
      <w:divsChild>
        <w:div w:id="1149328218">
          <w:marLeft w:val="0"/>
          <w:marRight w:val="0"/>
          <w:marTop w:val="0"/>
          <w:marBottom w:val="0"/>
          <w:divBdr>
            <w:top w:val="none" w:sz="0" w:space="0" w:color="auto"/>
            <w:left w:val="none" w:sz="0" w:space="0" w:color="auto"/>
            <w:bottom w:val="dotted" w:sz="6" w:space="4" w:color="DDDDDD"/>
            <w:right w:val="none" w:sz="0" w:space="0" w:color="auto"/>
          </w:divBdr>
          <w:divsChild>
            <w:div w:id="58676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44928">
      <w:bodyDiv w:val="1"/>
      <w:marLeft w:val="0"/>
      <w:marRight w:val="0"/>
      <w:marTop w:val="0"/>
      <w:marBottom w:val="0"/>
      <w:divBdr>
        <w:top w:val="none" w:sz="0" w:space="0" w:color="auto"/>
        <w:left w:val="none" w:sz="0" w:space="0" w:color="auto"/>
        <w:bottom w:val="none" w:sz="0" w:space="0" w:color="auto"/>
        <w:right w:val="none" w:sz="0" w:space="0" w:color="auto"/>
      </w:divBdr>
      <w:divsChild>
        <w:div w:id="1941907440">
          <w:marLeft w:val="0"/>
          <w:marRight w:val="0"/>
          <w:marTop w:val="0"/>
          <w:marBottom w:val="0"/>
          <w:divBdr>
            <w:top w:val="none" w:sz="0" w:space="0" w:color="auto"/>
            <w:left w:val="none" w:sz="0" w:space="0" w:color="auto"/>
            <w:bottom w:val="none" w:sz="0" w:space="0" w:color="auto"/>
            <w:right w:val="none" w:sz="0" w:space="0" w:color="auto"/>
          </w:divBdr>
          <w:divsChild>
            <w:div w:id="104039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942813">
      <w:bodyDiv w:val="1"/>
      <w:marLeft w:val="0"/>
      <w:marRight w:val="0"/>
      <w:marTop w:val="0"/>
      <w:marBottom w:val="0"/>
      <w:divBdr>
        <w:top w:val="none" w:sz="0" w:space="0" w:color="auto"/>
        <w:left w:val="none" w:sz="0" w:space="0" w:color="auto"/>
        <w:bottom w:val="none" w:sz="0" w:space="0" w:color="auto"/>
        <w:right w:val="none" w:sz="0" w:space="0" w:color="auto"/>
      </w:divBdr>
      <w:divsChild>
        <w:div w:id="804783999">
          <w:marLeft w:val="0"/>
          <w:marRight w:val="0"/>
          <w:marTop w:val="0"/>
          <w:marBottom w:val="150"/>
          <w:divBdr>
            <w:top w:val="none" w:sz="0" w:space="0" w:color="auto"/>
            <w:left w:val="none" w:sz="0" w:space="0" w:color="auto"/>
            <w:bottom w:val="none" w:sz="0" w:space="0" w:color="auto"/>
            <w:right w:val="none" w:sz="0" w:space="0" w:color="auto"/>
          </w:divBdr>
        </w:div>
      </w:divsChild>
    </w:div>
    <w:div w:id="699013413">
      <w:bodyDiv w:val="1"/>
      <w:marLeft w:val="0"/>
      <w:marRight w:val="0"/>
      <w:marTop w:val="0"/>
      <w:marBottom w:val="0"/>
      <w:divBdr>
        <w:top w:val="none" w:sz="0" w:space="0" w:color="auto"/>
        <w:left w:val="none" w:sz="0" w:space="0" w:color="auto"/>
        <w:bottom w:val="none" w:sz="0" w:space="0" w:color="auto"/>
        <w:right w:val="none" w:sz="0" w:space="0" w:color="auto"/>
      </w:divBdr>
      <w:divsChild>
        <w:div w:id="1366099239">
          <w:marLeft w:val="0"/>
          <w:marRight w:val="0"/>
          <w:marTop w:val="0"/>
          <w:marBottom w:val="0"/>
          <w:divBdr>
            <w:top w:val="none" w:sz="0" w:space="0" w:color="auto"/>
            <w:left w:val="none" w:sz="0" w:space="0" w:color="auto"/>
            <w:bottom w:val="dotted" w:sz="6" w:space="4" w:color="DDDDDD"/>
            <w:right w:val="none" w:sz="0" w:space="0" w:color="auto"/>
          </w:divBdr>
        </w:div>
      </w:divsChild>
    </w:div>
    <w:div w:id="699282319">
      <w:bodyDiv w:val="1"/>
      <w:marLeft w:val="0"/>
      <w:marRight w:val="0"/>
      <w:marTop w:val="0"/>
      <w:marBottom w:val="0"/>
      <w:divBdr>
        <w:top w:val="none" w:sz="0" w:space="0" w:color="auto"/>
        <w:left w:val="none" w:sz="0" w:space="0" w:color="auto"/>
        <w:bottom w:val="none" w:sz="0" w:space="0" w:color="auto"/>
        <w:right w:val="none" w:sz="0" w:space="0" w:color="auto"/>
      </w:divBdr>
      <w:divsChild>
        <w:div w:id="1311443418">
          <w:marLeft w:val="0"/>
          <w:marRight w:val="0"/>
          <w:marTop w:val="0"/>
          <w:marBottom w:val="450"/>
          <w:divBdr>
            <w:top w:val="none" w:sz="0" w:space="0" w:color="auto"/>
            <w:left w:val="none" w:sz="0" w:space="0" w:color="auto"/>
            <w:bottom w:val="single" w:sz="6" w:space="19" w:color="EEEEEE"/>
            <w:right w:val="none" w:sz="0" w:space="0" w:color="auto"/>
          </w:divBdr>
          <w:divsChild>
            <w:div w:id="1570655806">
              <w:marLeft w:val="0"/>
              <w:marRight w:val="0"/>
              <w:marTop w:val="0"/>
              <w:marBottom w:val="150"/>
              <w:divBdr>
                <w:top w:val="none" w:sz="0" w:space="0" w:color="auto"/>
                <w:left w:val="none" w:sz="0" w:space="0" w:color="auto"/>
                <w:bottom w:val="none" w:sz="0" w:space="0" w:color="auto"/>
                <w:right w:val="none" w:sz="0" w:space="0" w:color="auto"/>
              </w:divBdr>
              <w:divsChild>
                <w:div w:id="568537250">
                  <w:marLeft w:val="0"/>
                  <w:marRight w:val="0"/>
                  <w:marTop w:val="0"/>
                  <w:marBottom w:val="0"/>
                  <w:divBdr>
                    <w:top w:val="none" w:sz="0" w:space="0" w:color="auto"/>
                    <w:left w:val="none" w:sz="0" w:space="0" w:color="auto"/>
                    <w:bottom w:val="none" w:sz="0" w:space="0" w:color="auto"/>
                    <w:right w:val="none" w:sz="0" w:space="0" w:color="auto"/>
                  </w:divBdr>
                </w:div>
              </w:divsChild>
            </w:div>
            <w:div w:id="1075277507">
              <w:marLeft w:val="0"/>
              <w:marRight w:val="0"/>
              <w:marTop w:val="0"/>
              <w:marBottom w:val="0"/>
              <w:divBdr>
                <w:top w:val="none" w:sz="0" w:space="0" w:color="auto"/>
                <w:left w:val="none" w:sz="0" w:space="0" w:color="auto"/>
                <w:bottom w:val="none" w:sz="0" w:space="0" w:color="auto"/>
                <w:right w:val="none" w:sz="0" w:space="0" w:color="auto"/>
              </w:divBdr>
            </w:div>
          </w:divsChild>
        </w:div>
        <w:div w:id="1154495302">
          <w:marLeft w:val="0"/>
          <w:marRight w:val="0"/>
          <w:marTop w:val="0"/>
          <w:marBottom w:val="0"/>
          <w:divBdr>
            <w:top w:val="none" w:sz="0" w:space="0" w:color="auto"/>
            <w:left w:val="none" w:sz="0" w:space="0" w:color="auto"/>
            <w:bottom w:val="none" w:sz="0" w:space="0" w:color="auto"/>
            <w:right w:val="none" w:sz="0" w:space="0" w:color="auto"/>
          </w:divBdr>
          <w:divsChild>
            <w:div w:id="705717594">
              <w:marLeft w:val="0"/>
              <w:marRight w:val="0"/>
              <w:marTop w:val="0"/>
              <w:marBottom w:val="0"/>
              <w:divBdr>
                <w:top w:val="none" w:sz="0" w:space="0" w:color="auto"/>
                <w:left w:val="none" w:sz="0" w:space="0" w:color="auto"/>
                <w:bottom w:val="none" w:sz="0" w:space="0" w:color="auto"/>
                <w:right w:val="none" w:sz="0" w:space="0" w:color="auto"/>
              </w:divBdr>
              <w:divsChild>
                <w:div w:id="34101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401030">
      <w:bodyDiv w:val="1"/>
      <w:marLeft w:val="0"/>
      <w:marRight w:val="0"/>
      <w:marTop w:val="0"/>
      <w:marBottom w:val="0"/>
      <w:divBdr>
        <w:top w:val="none" w:sz="0" w:space="0" w:color="auto"/>
        <w:left w:val="none" w:sz="0" w:space="0" w:color="auto"/>
        <w:bottom w:val="none" w:sz="0" w:space="0" w:color="auto"/>
        <w:right w:val="none" w:sz="0" w:space="0" w:color="auto"/>
      </w:divBdr>
      <w:divsChild>
        <w:div w:id="1106117600">
          <w:marLeft w:val="0"/>
          <w:marRight w:val="0"/>
          <w:marTop w:val="0"/>
          <w:marBottom w:val="0"/>
          <w:divBdr>
            <w:top w:val="none" w:sz="0" w:space="0" w:color="auto"/>
            <w:left w:val="none" w:sz="0" w:space="0" w:color="auto"/>
            <w:bottom w:val="none" w:sz="0" w:space="0" w:color="auto"/>
            <w:right w:val="none" w:sz="0" w:space="0" w:color="auto"/>
          </w:divBdr>
        </w:div>
      </w:divsChild>
    </w:div>
    <w:div w:id="699479891">
      <w:bodyDiv w:val="1"/>
      <w:marLeft w:val="0"/>
      <w:marRight w:val="0"/>
      <w:marTop w:val="0"/>
      <w:marBottom w:val="0"/>
      <w:divBdr>
        <w:top w:val="none" w:sz="0" w:space="0" w:color="auto"/>
        <w:left w:val="none" w:sz="0" w:space="0" w:color="auto"/>
        <w:bottom w:val="none" w:sz="0" w:space="0" w:color="auto"/>
        <w:right w:val="none" w:sz="0" w:space="0" w:color="auto"/>
      </w:divBdr>
    </w:div>
    <w:div w:id="699667555">
      <w:bodyDiv w:val="1"/>
      <w:marLeft w:val="0"/>
      <w:marRight w:val="0"/>
      <w:marTop w:val="0"/>
      <w:marBottom w:val="0"/>
      <w:divBdr>
        <w:top w:val="none" w:sz="0" w:space="0" w:color="auto"/>
        <w:left w:val="none" w:sz="0" w:space="0" w:color="auto"/>
        <w:bottom w:val="none" w:sz="0" w:space="0" w:color="auto"/>
        <w:right w:val="none" w:sz="0" w:space="0" w:color="auto"/>
      </w:divBdr>
    </w:div>
    <w:div w:id="699667767">
      <w:bodyDiv w:val="1"/>
      <w:marLeft w:val="0"/>
      <w:marRight w:val="0"/>
      <w:marTop w:val="0"/>
      <w:marBottom w:val="0"/>
      <w:divBdr>
        <w:top w:val="none" w:sz="0" w:space="0" w:color="auto"/>
        <w:left w:val="none" w:sz="0" w:space="0" w:color="auto"/>
        <w:bottom w:val="none" w:sz="0" w:space="0" w:color="auto"/>
        <w:right w:val="none" w:sz="0" w:space="0" w:color="auto"/>
      </w:divBdr>
      <w:divsChild>
        <w:div w:id="454639948">
          <w:marLeft w:val="0"/>
          <w:marRight w:val="0"/>
          <w:marTop w:val="0"/>
          <w:marBottom w:val="0"/>
          <w:divBdr>
            <w:top w:val="none" w:sz="0" w:space="0" w:color="auto"/>
            <w:left w:val="none" w:sz="0" w:space="0" w:color="auto"/>
            <w:bottom w:val="dotted" w:sz="6" w:space="4" w:color="DDDDDD"/>
            <w:right w:val="none" w:sz="0" w:space="0" w:color="auto"/>
          </w:divBdr>
        </w:div>
      </w:divsChild>
    </w:div>
    <w:div w:id="700937061">
      <w:bodyDiv w:val="1"/>
      <w:marLeft w:val="0"/>
      <w:marRight w:val="0"/>
      <w:marTop w:val="0"/>
      <w:marBottom w:val="0"/>
      <w:divBdr>
        <w:top w:val="none" w:sz="0" w:space="0" w:color="auto"/>
        <w:left w:val="none" w:sz="0" w:space="0" w:color="auto"/>
        <w:bottom w:val="none" w:sz="0" w:space="0" w:color="auto"/>
        <w:right w:val="none" w:sz="0" w:space="0" w:color="auto"/>
      </w:divBdr>
      <w:divsChild>
        <w:div w:id="8527778">
          <w:marLeft w:val="0"/>
          <w:marRight w:val="0"/>
          <w:marTop w:val="0"/>
          <w:marBottom w:val="150"/>
          <w:divBdr>
            <w:top w:val="none" w:sz="0" w:space="0" w:color="auto"/>
            <w:left w:val="none" w:sz="0" w:space="0" w:color="auto"/>
            <w:bottom w:val="none" w:sz="0" w:space="0" w:color="auto"/>
            <w:right w:val="none" w:sz="0" w:space="0" w:color="auto"/>
          </w:divBdr>
          <w:divsChild>
            <w:div w:id="713190531">
              <w:marLeft w:val="0"/>
              <w:marRight w:val="0"/>
              <w:marTop w:val="0"/>
              <w:marBottom w:val="0"/>
              <w:divBdr>
                <w:top w:val="none" w:sz="0" w:space="0" w:color="auto"/>
                <w:left w:val="none" w:sz="0" w:space="0" w:color="auto"/>
                <w:bottom w:val="none" w:sz="0" w:space="0" w:color="auto"/>
                <w:right w:val="none" w:sz="0" w:space="0" w:color="auto"/>
              </w:divBdr>
              <w:divsChild>
                <w:div w:id="52431277">
                  <w:marLeft w:val="0"/>
                  <w:marRight w:val="0"/>
                  <w:marTop w:val="0"/>
                  <w:marBottom w:val="0"/>
                  <w:divBdr>
                    <w:top w:val="none" w:sz="0" w:space="0" w:color="auto"/>
                    <w:left w:val="none" w:sz="0" w:space="0" w:color="auto"/>
                    <w:bottom w:val="none" w:sz="0" w:space="0" w:color="auto"/>
                    <w:right w:val="none" w:sz="0" w:space="0" w:color="auto"/>
                  </w:divBdr>
                  <w:divsChild>
                    <w:div w:id="2030329979">
                      <w:marLeft w:val="0"/>
                      <w:marRight w:val="150"/>
                      <w:marTop w:val="0"/>
                      <w:marBottom w:val="0"/>
                      <w:divBdr>
                        <w:top w:val="none" w:sz="0" w:space="0" w:color="auto"/>
                        <w:left w:val="none" w:sz="0" w:space="0" w:color="auto"/>
                        <w:bottom w:val="none" w:sz="0" w:space="0" w:color="auto"/>
                        <w:right w:val="none" w:sz="0" w:space="0" w:color="auto"/>
                      </w:divBdr>
                      <w:divsChild>
                        <w:div w:id="110056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905035">
          <w:marLeft w:val="0"/>
          <w:marRight w:val="0"/>
          <w:marTop w:val="0"/>
          <w:marBottom w:val="150"/>
          <w:divBdr>
            <w:top w:val="none" w:sz="0" w:space="0" w:color="auto"/>
            <w:left w:val="none" w:sz="0" w:space="0" w:color="auto"/>
            <w:bottom w:val="none" w:sz="0" w:space="0" w:color="auto"/>
            <w:right w:val="none" w:sz="0" w:space="0" w:color="auto"/>
          </w:divBdr>
        </w:div>
        <w:div w:id="1089428547">
          <w:marLeft w:val="0"/>
          <w:marRight w:val="0"/>
          <w:marTop w:val="0"/>
          <w:marBottom w:val="0"/>
          <w:divBdr>
            <w:top w:val="none" w:sz="0" w:space="0" w:color="auto"/>
            <w:left w:val="none" w:sz="0" w:space="0" w:color="auto"/>
            <w:bottom w:val="none" w:sz="0" w:space="0" w:color="auto"/>
            <w:right w:val="none" w:sz="0" w:space="0" w:color="auto"/>
          </w:divBdr>
          <w:divsChild>
            <w:div w:id="7418289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01594947">
      <w:bodyDiv w:val="1"/>
      <w:marLeft w:val="0"/>
      <w:marRight w:val="0"/>
      <w:marTop w:val="0"/>
      <w:marBottom w:val="0"/>
      <w:divBdr>
        <w:top w:val="none" w:sz="0" w:space="0" w:color="auto"/>
        <w:left w:val="none" w:sz="0" w:space="0" w:color="auto"/>
        <w:bottom w:val="none" w:sz="0" w:space="0" w:color="auto"/>
        <w:right w:val="none" w:sz="0" w:space="0" w:color="auto"/>
      </w:divBdr>
      <w:divsChild>
        <w:div w:id="1824002173">
          <w:marLeft w:val="0"/>
          <w:marRight w:val="0"/>
          <w:marTop w:val="0"/>
          <w:marBottom w:val="150"/>
          <w:divBdr>
            <w:top w:val="none" w:sz="0" w:space="0" w:color="auto"/>
            <w:left w:val="none" w:sz="0" w:space="0" w:color="auto"/>
            <w:bottom w:val="none" w:sz="0" w:space="0" w:color="auto"/>
            <w:right w:val="none" w:sz="0" w:space="0" w:color="auto"/>
          </w:divBdr>
        </w:div>
      </w:divsChild>
    </w:div>
    <w:div w:id="701629695">
      <w:bodyDiv w:val="1"/>
      <w:marLeft w:val="0"/>
      <w:marRight w:val="0"/>
      <w:marTop w:val="0"/>
      <w:marBottom w:val="0"/>
      <w:divBdr>
        <w:top w:val="none" w:sz="0" w:space="0" w:color="auto"/>
        <w:left w:val="none" w:sz="0" w:space="0" w:color="auto"/>
        <w:bottom w:val="none" w:sz="0" w:space="0" w:color="auto"/>
        <w:right w:val="none" w:sz="0" w:space="0" w:color="auto"/>
      </w:divBdr>
      <w:divsChild>
        <w:div w:id="1132870471">
          <w:marLeft w:val="0"/>
          <w:marRight w:val="0"/>
          <w:marTop w:val="0"/>
          <w:marBottom w:val="300"/>
          <w:divBdr>
            <w:top w:val="none" w:sz="0" w:space="0" w:color="auto"/>
            <w:left w:val="none" w:sz="0" w:space="0" w:color="auto"/>
            <w:bottom w:val="none" w:sz="0" w:space="0" w:color="auto"/>
            <w:right w:val="none" w:sz="0" w:space="0" w:color="auto"/>
          </w:divBdr>
          <w:divsChild>
            <w:div w:id="1848444333">
              <w:marLeft w:val="0"/>
              <w:marRight w:val="0"/>
              <w:marTop w:val="0"/>
              <w:marBottom w:val="0"/>
              <w:divBdr>
                <w:top w:val="none" w:sz="0" w:space="0" w:color="auto"/>
                <w:left w:val="none" w:sz="0" w:space="0" w:color="auto"/>
                <w:bottom w:val="none" w:sz="0" w:space="0" w:color="auto"/>
                <w:right w:val="none" w:sz="0" w:space="0" w:color="auto"/>
              </w:divBdr>
              <w:divsChild>
                <w:div w:id="1071152820">
                  <w:marLeft w:val="0"/>
                  <w:marRight w:val="0"/>
                  <w:marTop w:val="0"/>
                  <w:marBottom w:val="0"/>
                  <w:divBdr>
                    <w:top w:val="none" w:sz="0" w:space="0" w:color="auto"/>
                    <w:left w:val="none" w:sz="0" w:space="0" w:color="auto"/>
                    <w:bottom w:val="none" w:sz="0" w:space="0" w:color="auto"/>
                    <w:right w:val="none" w:sz="0" w:space="0" w:color="auto"/>
                  </w:divBdr>
                  <w:divsChild>
                    <w:div w:id="176774045">
                      <w:marLeft w:val="0"/>
                      <w:marRight w:val="0"/>
                      <w:marTop w:val="0"/>
                      <w:marBottom w:val="225"/>
                      <w:divBdr>
                        <w:top w:val="none" w:sz="0" w:space="0" w:color="2D2D2D"/>
                        <w:left w:val="none" w:sz="0" w:space="0" w:color="2D2D2D"/>
                        <w:bottom w:val="none" w:sz="0" w:space="0" w:color="2D2D2D"/>
                        <w:right w:val="none" w:sz="0" w:space="0" w:color="2D2D2D"/>
                      </w:divBdr>
                      <w:divsChild>
                        <w:div w:id="579951826">
                          <w:marLeft w:val="0"/>
                          <w:marRight w:val="0"/>
                          <w:marTop w:val="0"/>
                          <w:marBottom w:val="0"/>
                          <w:divBdr>
                            <w:top w:val="none" w:sz="0" w:space="0" w:color="auto"/>
                            <w:left w:val="none" w:sz="0" w:space="0" w:color="auto"/>
                            <w:bottom w:val="none" w:sz="0" w:space="0" w:color="auto"/>
                            <w:right w:val="none" w:sz="0" w:space="0" w:color="auto"/>
                          </w:divBdr>
                          <w:divsChild>
                            <w:div w:id="159088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1705452">
      <w:bodyDiv w:val="1"/>
      <w:marLeft w:val="0"/>
      <w:marRight w:val="0"/>
      <w:marTop w:val="0"/>
      <w:marBottom w:val="0"/>
      <w:divBdr>
        <w:top w:val="none" w:sz="0" w:space="0" w:color="auto"/>
        <w:left w:val="none" w:sz="0" w:space="0" w:color="auto"/>
        <w:bottom w:val="none" w:sz="0" w:space="0" w:color="auto"/>
        <w:right w:val="none" w:sz="0" w:space="0" w:color="auto"/>
      </w:divBdr>
      <w:divsChild>
        <w:div w:id="962003449">
          <w:marLeft w:val="0"/>
          <w:marRight w:val="0"/>
          <w:marTop w:val="0"/>
          <w:marBottom w:val="0"/>
          <w:divBdr>
            <w:top w:val="none" w:sz="0" w:space="0" w:color="auto"/>
            <w:left w:val="none" w:sz="0" w:space="0" w:color="auto"/>
            <w:bottom w:val="dotted" w:sz="6" w:space="4" w:color="DDDDDD"/>
            <w:right w:val="none" w:sz="0" w:space="0" w:color="auto"/>
          </w:divBdr>
          <w:divsChild>
            <w:div w:id="166731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785277">
      <w:bodyDiv w:val="1"/>
      <w:marLeft w:val="0"/>
      <w:marRight w:val="0"/>
      <w:marTop w:val="0"/>
      <w:marBottom w:val="0"/>
      <w:divBdr>
        <w:top w:val="none" w:sz="0" w:space="0" w:color="auto"/>
        <w:left w:val="none" w:sz="0" w:space="0" w:color="auto"/>
        <w:bottom w:val="none" w:sz="0" w:space="0" w:color="auto"/>
        <w:right w:val="none" w:sz="0" w:space="0" w:color="auto"/>
      </w:divBdr>
      <w:divsChild>
        <w:div w:id="336082465">
          <w:marLeft w:val="0"/>
          <w:marRight w:val="0"/>
          <w:marTop w:val="0"/>
          <w:marBottom w:val="0"/>
          <w:divBdr>
            <w:top w:val="none" w:sz="0" w:space="0" w:color="auto"/>
            <w:left w:val="none" w:sz="0" w:space="0" w:color="auto"/>
            <w:bottom w:val="none" w:sz="0" w:space="0" w:color="auto"/>
            <w:right w:val="none" w:sz="0" w:space="0" w:color="auto"/>
          </w:divBdr>
        </w:div>
      </w:divsChild>
    </w:div>
    <w:div w:id="702167367">
      <w:bodyDiv w:val="1"/>
      <w:marLeft w:val="0"/>
      <w:marRight w:val="0"/>
      <w:marTop w:val="0"/>
      <w:marBottom w:val="0"/>
      <w:divBdr>
        <w:top w:val="none" w:sz="0" w:space="0" w:color="auto"/>
        <w:left w:val="none" w:sz="0" w:space="0" w:color="auto"/>
        <w:bottom w:val="none" w:sz="0" w:space="0" w:color="auto"/>
        <w:right w:val="none" w:sz="0" w:space="0" w:color="auto"/>
      </w:divBdr>
      <w:divsChild>
        <w:div w:id="1661233984">
          <w:marLeft w:val="0"/>
          <w:marRight w:val="0"/>
          <w:marTop w:val="0"/>
          <w:marBottom w:val="0"/>
          <w:divBdr>
            <w:top w:val="none" w:sz="0" w:space="0" w:color="auto"/>
            <w:left w:val="none" w:sz="0" w:space="0" w:color="auto"/>
            <w:bottom w:val="dotted" w:sz="6" w:space="4" w:color="DDDDDD"/>
            <w:right w:val="none" w:sz="0" w:space="0" w:color="auto"/>
          </w:divBdr>
          <w:divsChild>
            <w:div w:id="160125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48712">
      <w:bodyDiv w:val="1"/>
      <w:marLeft w:val="0"/>
      <w:marRight w:val="0"/>
      <w:marTop w:val="0"/>
      <w:marBottom w:val="0"/>
      <w:divBdr>
        <w:top w:val="none" w:sz="0" w:space="0" w:color="auto"/>
        <w:left w:val="none" w:sz="0" w:space="0" w:color="auto"/>
        <w:bottom w:val="none" w:sz="0" w:space="0" w:color="auto"/>
        <w:right w:val="none" w:sz="0" w:space="0" w:color="auto"/>
      </w:divBdr>
      <w:divsChild>
        <w:div w:id="1397164521">
          <w:marLeft w:val="0"/>
          <w:marRight w:val="0"/>
          <w:marTop w:val="0"/>
          <w:marBottom w:val="0"/>
          <w:divBdr>
            <w:top w:val="none" w:sz="0" w:space="0" w:color="auto"/>
            <w:left w:val="none" w:sz="0" w:space="0" w:color="auto"/>
            <w:bottom w:val="dotted" w:sz="6" w:space="4" w:color="DDDDDD"/>
            <w:right w:val="none" w:sz="0" w:space="0" w:color="auto"/>
          </w:divBdr>
        </w:div>
      </w:divsChild>
    </w:div>
    <w:div w:id="702629719">
      <w:bodyDiv w:val="1"/>
      <w:marLeft w:val="0"/>
      <w:marRight w:val="0"/>
      <w:marTop w:val="0"/>
      <w:marBottom w:val="0"/>
      <w:divBdr>
        <w:top w:val="none" w:sz="0" w:space="0" w:color="auto"/>
        <w:left w:val="none" w:sz="0" w:space="0" w:color="auto"/>
        <w:bottom w:val="none" w:sz="0" w:space="0" w:color="auto"/>
        <w:right w:val="none" w:sz="0" w:space="0" w:color="auto"/>
      </w:divBdr>
      <w:divsChild>
        <w:div w:id="26612368">
          <w:marLeft w:val="0"/>
          <w:marRight w:val="0"/>
          <w:marTop w:val="0"/>
          <w:marBottom w:val="150"/>
          <w:divBdr>
            <w:top w:val="none" w:sz="0" w:space="0" w:color="auto"/>
            <w:left w:val="none" w:sz="0" w:space="0" w:color="auto"/>
            <w:bottom w:val="none" w:sz="0" w:space="0" w:color="auto"/>
            <w:right w:val="none" w:sz="0" w:space="0" w:color="auto"/>
          </w:divBdr>
        </w:div>
        <w:div w:id="803617554">
          <w:marLeft w:val="0"/>
          <w:marRight w:val="0"/>
          <w:marTop w:val="0"/>
          <w:marBottom w:val="0"/>
          <w:divBdr>
            <w:top w:val="none" w:sz="0" w:space="0" w:color="auto"/>
            <w:left w:val="none" w:sz="0" w:space="0" w:color="auto"/>
            <w:bottom w:val="none" w:sz="0" w:space="0" w:color="auto"/>
            <w:right w:val="none" w:sz="0" w:space="0" w:color="auto"/>
          </w:divBdr>
          <w:divsChild>
            <w:div w:id="1625620808">
              <w:marLeft w:val="0"/>
              <w:marRight w:val="0"/>
              <w:marTop w:val="0"/>
              <w:marBottom w:val="0"/>
              <w:divBdr>
                <w:top w:val="none" w:sz="0" w:space="0" w:color="auto"/>
                <w:left w:val="none" w:sz="0" w:space="0" w:color="auto"/>
                <w:bottom w:val="none" w:sz="0" w:space="0" w:color="auto"/>
                <w:right w:val="none" w:sz="0" w:space="0" w:color="auto"/>
              </w:divBdr>
            </w:div>
          </w:divsChild>
        </w:div>
        <w:div w:id="1618297917">
          <w:marLeft w:val="0"/>
          <w:marRight w:val="0"/>
          <w:marTop w:val="0"/>
          <w:marBottom w:val="150"/>
          <w:divBdr>
            <w:top w:val="none" w:sz="0" w:space="0" w:color="auto"/>
            <w:left w:val="none" w:sz="0" w:space="0" w:color="auto"/>
            <w:bottom w:val="none" w:sz="0" w:space="0" w:color="auto"/>
            <w:right w:val="none" w:sz="0" w:space="0" w:color="auto"/>
          </w:divBdr>
          <w:divsChild>
            <w:div w:id="51480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633031">
      <w:bodyDiv w:val="1"/>
      <w:marLeft w:val="0"/>
      <w:marRight w:val="0"/>
      <w:marTop w:val="0"/>
      <w:marBottom w:val="0"/>
      <w:divBdr>
        <w:top w:val="none" w:sz="0" w:space="0" w:color="auto"/>
        <w:left w:val="none" w:sz="0" w:space="0" w:color="auto"/>
        <w:bottom w:val="none" w:sz="0" w:space="0" w:color="auto"/>
        <w:right w:val="none" w:sz="0" w:space="0" w:color="auto"/>
      </w:divBdr>
      <w:divsChild>
        <w:div w:id="726730730">
          <w:marLeft w:val="0"/>
          <w:marRight w:val="0"/>
          <w:marTop w:val="0"/>
          <w:marBottom w:val="0"/>
          <w:divBdr>
            <w:top w:val="none" w:sz="0" w:space="0" w:color="auto"/>
            <w:left w:val="none" w:sz="0" w:space="0" w:color="auto"/>
            <w:bottom w:val="none" w:sz="0" w:space="0" w:color="auto"/>
            <w:right w:val="none" w:sz="0" w:space="0" w:color="auto"/>
          </w:divBdr>
        </w:div>
      </w:divsChild>
    </w:div>
    <w:div w:id="702678426">
      <w:bodyDiv w:val="1"/>
      <w:marLeft w:val="0"/>
      <w:marRight w:val="0"/>
      <w:marTop w:val="0"/>
      <w:marBottom w:val="0"/>
      <w:divBdr>
        <w:top w:val="none" w:sz="0" w:space="0" w:color="auto"/>
        <w:left w:val="none" w:sz="0" w:space="0" w:color="auto"/>
        <w:bottom w:val="none" w:sz="0" w:space="0" w:color="auto"/>
        <w:right w:val="none" w:sz="0" w:space="0" w:color="auto"/>
      </w:divBdr>
      <w:divsChild>
        <w:div w:id="178617951">
          <w:marLeft w:val="0"/>
          <w:marRight w:val="0"/>
          <w:marTop w:val="0"/>
          <w:marBottom w:val="0"/>
          <w:divBdr>
            <w:top w:val="none" w:sz="0" w:space="0" w:color="auto"/>
            <w:left w:val="none" w:sz="0" w:space="0" w:color="auto"/>
            <w:bottom w:val="none" w:sz="0" w:space="0" w:color="auto"/>
            <w:right w:val="none" w:sz="0" w:space="0" w:color="auto"/>
          </w:divBdr>
        </w:div>
      </w:divsChild>
    </w:div>
    <w:div w:id="702706356">
      <w:bodyDiv w:val="1"/>
      <w:marLeft w:val="0"/>
      <w:marRight w:val="0"/>
      <w:marTop w:val="0"/>
      <w:marBottom w:val="0"/>
      <w:divBdr>
        <w:top w:val="none" w:sz="0" w:space="0" w:color="auto"/>
        <w:left w:val="none" w:sz="0" w:space="0" w:color="auto"/>
        <w:bottom w:val="none" w:sz="0" w:space="0" w:color="auto"/>
        <w:right w:val="none" w:sz="0" w:space="0" w:color="auto"/>
      </w:divBdr>
      <w:divsChild>
        <w:div w:id="967246048">
          <w:marLeft w:val="0"/>
          <w:marRight w:val="0"/>
          <w:marTop w:val="0"/>
          <w:marBottom w:val="0"/>
          <w:divBdr>
            <w:top w:val="none" w:sz="0" w:space="0" w:color="auto"/>
            <w:left w:val="none" w:sz="0" w:space="0" w:color="auto"/>
            <w:bottom w:val="none" w:sz="0" w:space="0" w:color="auto"/>
            <w:right w:val="none" w:sz="0" w:space="0" w:color="auto"/>
          </w:divBdr>
          <w:divsChild>
            <w:div w:id="1282347638">
              <w:marLeft w:val="0"/>
              <w:marRight w:val="0"/>
              <w:marTop w:val="0"/>
              <w:marBottom w:val="225"/>
              <w:divBdr>
                <w:top w:val="none" w:sz="0" w:space="0" w:color="auto"/>
                <w:left w:val="none" w:sz="0" w:space="0" w:color="auto"/>
                <w:bottom w:val="none" w:sz="0" w:space="0" w:color="auto"/>
                <w:right w:val="none" w:sz="0" w:space="0" w:color="auto"/>
              </w:divBdr>
              <w:divsChild>
                <w:div w:id="1988783904">
                  <w:marLeft w:val="0"/>
                  <w:marRight w:val="0"/>
                  <w:marTop w:val="0"/>
                  <w:marBottom w:val="150"/>
                  <w:divBdr>
                    <w:top w:val="none" w:sz="0" w:space="0" w:color="auto"/>
                    <w:left w:val="none" w:sz="0" w:space="0" w:color="auto"/>
                    <w:bottom w:val="none" w:sz="0" w:space="0" w:color="auto"/>
                    <w:right w:val="none" w:sz="0" w:space="0" w:color="auto"/>
                  </w:divBdr>
                  <w:divsChild>
                    <w:div w:id="14653">
                      <w:marLeft w:val="0"/>
                      <w:marRight w:val="0"/>
                      <w:marTop w:val="0"/>
                      <w:marBottom w:val="150"/>
                      <w:divBdr>
                        <w:top w:val="none" w:sz="0" w:space="0" w:color="auto"/>
                        <w:left w:val="none" w:sz="0" w:space="0" w:color="auto"/>
                        <w:bottom w:val="none" w:sz="0" w:space="0" w:color="auto"/>
                        <w:right w:val="none" w:sz="0" w:space="0" w:color="auto"/>
                      </w:divBdr>
                    </w:div>
                    <w:div w:id="292368650">
                      <w:marLeft w:val="0"/>
                      <w:marRight w:val="0"/>
                      <w:marTop w:val="0"/>
                      <w:marBottom w:val="150"/>
                      <w:divBdr>
                        <w:top w:val="none" w:sz="0" w:space="0" w:color="auto"/>
                        <w:left w:val="none" w:sz="0" w:space="0" w:color="auto"/>
                        <w:bottom w:val="none" w:sz="0" w:space="0" w:color="auto"/>
                        <w:right w:val="none" w:sz="0" w:space="0" w:color="auto"/>
                      </w:divBdr>
                    </w:div>
                    <w:div w:id="499849551">
                      <w:marLeft w:val="0"/>
                      <w:marRight w:val="0"/>
                      <w:marTop w:val="0"/>
                      <w:marBottom w:val="150"/>
                      <w:divBdr>
                        <w:top w:val="none" w:sz="0" w:space="0" w:color="auto"/>
                        <w:left w:val="none" w:sz="0" w:space="0" w:color="auto"/>
                        <w:bottom w:val="none" w:sz="0" w:space="0" w:color="auto"/>
                        <w:right w:val="none" w:sz="0" w:space="0" w:color="auto"/>
                      </w:divBdr>
                    </w:div>
                    <w:div w:id="656498840">
                      <w:marLeft w:val="0"/>
                      <w:marRight w:val="0"/>
                      <w:marTop w:val="0"/>
                      <w:marBottom w:val="150"/>
                      <w:divBdr>
                        <w:top w:val="none" w:sz="0" w:space="0" w:color="auto"/>
                        <w:left w:val="none" w:sz="0" w:space="0" w:color="auto"/>
                        <w:bottom w:val="none" w:sz="0" w:space="0" w:color="auto"/>
                        <w:right w:val="none" w:sz="0" w:space="0" w:color="auto"/>
                      </w:divBdr>
                    </w:div>
                    <w:div w:id="879054937">
                      <w:marLeft w:val="0"/>
                      <w:marRight w:val="0"/>
                      <w:marTop w:val="0"/>
                      <w:marBottom w:val="150"/>
                      <w:divBdr>
                        <w:top w:val="none" w:sz="0" w:space="0" w:color="auto"/>
                        <w:left w:val="none" w:sz="0" w:space="0" w:color="auto"/>
                        <w:bottom w:val="none" w:sz="0" w:space="0" w:color="auto"/>
                        <w:right w:val="none" w:sz="0" w:space="0" w:color="auto"/>
                      </w:divBdr>
                    </w:div>
                    <w:div w:id="1298415249">
                      <w:marLeft w:val="0"/>
                      <w:marRight w:val="0"/>
                      <w:marTop w:val="0"/>
                      <w:marBottom w:val="150"/>
                      <w:divBdr>
                        <w:top w:val="none" w:sz="0" w:space="0" w:color="auto"/>
                        <w:left w:val="none" w:sz="0" w:space="0" w:color="auto"/>
                        <w:bottom w:val="none" w:sz="0" w:space="0" w:color="auto"/>
                        <w:right w:val="none" w:sz="0" w:space="0" w:color="auto"/>
                      </w:divBdr>
                    </w:div>
                    <w:div w:id="1475223068">
                      <w:marLeft w:val="0"/>
                      <w:marRight w:val="0"/>
                      <w:marTop w:val="0"/>
                      <w:marBottom w:val="150"/>
                      <w:divBdr>
                        <w:top w:val="none" w:sz="0" w:space="0" w:color="auto"/>
                        <w:left w:val="none" w:sz="0" w:space="0" w:color="auto"/>
                        <w:bottom w:val="none" w:sz="0" w:space="0" w:color="auto"/>
                        <w:right w:val="none" w:sz="0" w:space="0" w:color="auto"/>
                      </w:divBdr>
                    </w:div>
                    <w:div w:id="1620067126">
                      <w:marLeft w:val="0"/>
                      <w:marRight w:val="0"/>
                      <w:marTop w:val="0"/>
                      <w:marBottom w:val="150"/>
                      <w:divBdr>
                        <w:top w:val="none" w:sz="0" w:space="0" w:color="auto"/>
                        <w:left w:val="none" w:sz="0" w:space="0" w:color="auto"/>
                        <w:bottom w:val="none" w:sz="0" w:space="0" w:color="auto"/>
                        <w:right w:val="none" w:sz="0" w:space="0" w:color="auto"/>
                      </w:divBdr>
                    </w:div>
                    <w:div w:id="2009556266">
                      <w:marLeft w:val="0"/>
                      <w:marRight w:val="0"/>
                      <w:marTop w:val="0"/>
                      <w:marBottom w:val="150"/>
                      <w:divBdr>
                        <w:top w:val="none" w:sz="0" w:space="0" w:color="auto"/>
                        <w:left w:val="none" w:sz="0" w:space="0" w:color="auto"/>
                        <w:bottom w:val="none" w:sz="0" w:space="0" w:color="auto"/>
                        <w:right w:val="none" w:sz="0" w:space="0" w:color="auto"/>
                      </w:divBdr>
                    </w:div>
                    <w:div w:id="21261457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98856551">
              <w:marLeft w:val="0"/>
              <w:marRight w:val="0"/>
              <w:marTop w:val="0"/>
              <w:marBottom w:val="375"/>
              <w:divBdr>
                <w:top w:val="none" w:sz="0" w:space="0" w:color="auto"/>
                <w:left w:val="none" w:sz="0" w:space="0" w:color="auto"/>
                <w:bottom w:val="none" w:sz="0" w:space="0" w:color="auto"/>
                <w:right w:val="none" w:sz="0" w:space="0" w:color="auto"/>
              </w:divBdr>
            </w:div>
          </w:divsChild>
        </w:div>
        <w:div w:id="1522931253">
          <w:marLeft w:val="0"/>
          <w:marRight w:val="0"/>
          <w:marTop w:val="0"/>
          <w:marBottom w:val="150"/>
          <w:divBdr>
            <w:top w:val="none" w:sz="0" w:space="0" w:color="auto"/>
            <w:left w:val="none" w:sz="0" w:space="0" w:color="auto"/>
            <w:bottom w:val="none" w:sz="0" w:space="0" w:color="auto"/>
            <w:right w:val="none" w:sz="0" w:space="0" w:color="auto"/>
          </w:divBdr>
        </w:div>
      </w:divsChild>
    </w:div>
    <w:div w:id="702706764">
      <w:bodyDiv w:val="1"/>
      <w:marLeft w:val="0"/>
      <w:marRight w:val="0"/>
      <w:marTop w:val="0"/>
      <w:marBottom w:val="0"/>
      <w:divBdr>
        <w:top w:val="none" w:sz="0" w:space="0" w:color="auto"/>
        <w:left w:val="none" w:sz="0" w:space="0" w:color="auto"/>
        <w:bottom w:val="none" w:sz="0" w:space="0" w:color="auto"/>
        <w:right w:val="none" w:sz="0" w:space="0" w:color="auto"/>
      </w:divBdr>
    </w:div>
    <w:div w:id="703141152">
      <w:bodyDiv w:val="1"/>
      <w:marLeft w:val="0"/>
      <w:marRight w:val="0"/>
      <w:marTop w:val="0"/>
      <w:marBottom w:val="0"/>
      <w:divBdr>
        <w:top w:val="none" w:sz="0" w:space="0" w:color="auto"/>
        <w:left w:val="none" w:sz="0" w:space="0" w:color="auto"/>
        <w:bottom w:val="none" w:sz="0" w:space="0" w:color="auto"/>
        <w:right w:val="none" w:sz="0" w:space="0" w:color="auto"/>
      </w:divBdr>
    </w:div>
    <w:div w:id="703335992">
      <w:bodyDiv w:val="1"/>
      <w:marLeft w:val="0"/>
      <w:marRight w:val="0"/>
      <w:marTop w:val="0"/>
      <w:marBottom w:val="0"/>
      <w:divBdr>
        <w:top w:val="none" w:sz="0" w:space="0" w:color="auto"/>
        <w:left w:val="none" w:sz="0" w:space="0" w:color="auto"/>
        <w:bottom w:val="none" w:sz="0" w:space="0" w:color="auto"/>
        <w:right w:val="none" w:sz="0" w:space="0" w:color="auto"/>
      </w:divBdr>
      <w:divsChild>
        <w:div w:id="1108888325">
          <w:marLeft w:val="0"/>
          <w:marRight w:val="0"/>
          <w:marTop w:val="0"/>
          <w:marBottom w:val="0"/>
          <w:divBdr>
            <w:top w:val="none" w:sz="0" w:space="0" w:color="auto"/>
            <w:left w:val="none" w:sz="0" w:space="0" w:color="auto"/>
            <w:bottom w:val="dotted" w:sz="6" w:space="4" w:color="DDDDDD"/>
            <w:right w:val="none" w:sz="0" w:space="0" w:color="auto"/>
          </w:divBdr>
          <w:divsChild>
            <w:div w:id="35546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866202">
      <w:bodyDiv w:val="1"/>
      <w:marLeft w:val="0"/>
      <w:marRight w:val="0"/>
      <w:marTop w:val="0"/>
      <w:marBottom w:val="0"/>
      <w:divBdr>
        <w:top w:val="none" w:sz="0" w:space="0" w:color="auto"/>
        <w:left w:val="none" w:sz="0" w:space="0" w:color="auto"/>
        <w:bottom w:val="none" w:sz="0" w:space="0" w:color="auto"/>
        <w:right w:val="none" w:sz="0" w:space="0" w:color="auto"/>
      </w:divBdr>
      <w:divsChild>
        <w:div w:id="1537766256">
          <w:marLeft w:val="0"/>
          <w:marRight w:val="0"/>
          <w:marTop w:val="0"/>
          <w:marBottom w:val="150"/>
          <w:divBdr>
            <w:top w:val="none" w:sz="0" w:space="0" w:color="auto"/>
            <w:left w:val="none" w:sz="0" w:space="0" w:color="auto"/>
            <w:bottom w:val="none" w:sz="0" w:space="0" w:color="auto"/>
            <w:right w:val="none" w:sz="0" w:space="0" w:color="auto"/>
          </w:divBdr>
          <w:divsChild>
            <w:div w:id="660080172">
              <w:marLeft w:val="0"/>
              <w:marRight w:val="0"/>
              <w:marTop w:val="0"/>
              <w:marBottom w:val="0"/>
              <w:divBdr>
                <w:top w:val="none" w:sz="0" w:space="0" w:color="auto"/>
                <w:left w:val="none" w:sz="0" w:space="0" w:color="auto"/>
                <w:bottom w:val="none" w:sz="0" w:space="0" w:color="auto"/>
                <w:right w:val="none" w:sz="0" w:space="0" w:color="auto"/>
              </w:divBdr>
              <w:divsChild>
                <w:div w:id="233703989">
                  <w:marLeft w:val="0"/>
                  <w:marRight w:val="0"/>
                  <w:marTop w:val="0"/>
                  <w:marBottom w:val="0"/>
                  <w:divBdr>
                    <w:top w:val="none" w:sz="0" w:space="0" w:color="auto"/>
                    <w:left w:val="none" w:sz="0" w:space="0" w:color="auto"/>
                    <w:bottom w:val="none" w:sz="0" w:space="0" w:color="auto"/>
                    <w:right w:val="none" w:sz="0" w:space="0" w:color="auto"/>
                  </w:divBdr>
                  <w:divsChild>
                    <w:div w:id="59934036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738021705">
          <w:marLeft w:val="0"/>
          <w:marRight w:val="0"/>
          <w:marTop w:val="0"/>
          <w:marBottom w:val="150"/>
          <w:divBdr>
            <w:top w:val="none" w:sz="0" w:space="0" w:color="auto"/>
            <w:left w:val="none" w:sz="0" w:space="0" w:color="auto"/>
            <w:bottom w:val="none" w:sz="0" w:space="0" w:color="auto"/>
            <w:right w:val="none" w:sz="0" w:space="0" w:color="auto"/>
          </w:divBdr>
        </w:div>
        <w:div w:id="1888293827">
          <w:marLeft w:val="0"/>
          <w:marRight w:val="0"/>
          <w:marTop w:val="0"/>
          <w:marBottom w:val="0"/>
          <w:divBdr>
            <w:top w:val="none" w:sz="0" w:space="0" w:color="auto"/>
            <w:left w:val="none" w:sz="0" w:space="0" w:color="auto"/>
            <w:bottom w:val="none" w:sz="0" w:space="0" w:color="auto"/>
            <w:right w:val="none" w:sz="0" w:space="0" w:color="auto"/>
          </w:divBdr>
          <w:divsChild>
            <w:div w:id="8167277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03990318">
      <w:bodyDiv w:val="1"/>
      <w:marLeft w:val="0"/>
      <w:marRight w:val="0"/>
      <w:marTop w:val="0"/>
      <w:marBottom w:val="0"/>
      <w:divBdr>
        <w:top w:val="none" w:sz="0" w:space="0" w:color="auto"/>
        <w:left w:val="none" w:sz="0" w:space="0" w:color="auto"/>
        <w:bottom w:val="none" w:sz="0" w:space="0" w:color="auto"/>
        <w:right w:val="none" w:sz="0" w:space="0" w:color="auto"/>
      </w:divBdr>
    </w:div>
    <w:div w:id="704063809">
      <w:bodyDiv w:val="1"/>
      <w:marLeft w:val="0"/>
      <w:marRight w:val="0"/>
      <w:marTop w:val="0"/>
      <w:marBottom w:val="0"/>
      <w:divBdr>
        <w:top w:val="none" w:sz="0" w:space="0" w:color="auto"/>
        <w:left w:val="none" w:sz="0" w:space="0" w:color="auto"/>
        <w:bottom w:val="none" w:sz="0" w:space="0" w:color="auto"/>
        <w:right w:val="none" w:sz="0" w:space="0" w:color="auto"/>
      </w:divBdr>
    </w:div>
    <w:div w:id="704644770">
      <w:bodyDiv w:val="1"/>
      <w:marLeft w:val="0"/>
      <w:marRight w:val="0"/>
      <w:marTop w:val="0"/>
      <w:marBottom w:val="0"/>
      <w:divBdr>
        <w:top w:val="none" w:sz="0" w:space="0" w:color="auto"/>
        <w:left w:val="none" w:sz="0" w:space="0" w:color="auto"/>
        <w:bottom w:val="none" w:sz="0" w:space="0" w:color="auto"/>
        <w:right w:val="none" w:sz="0" w:space="0" w:color="auto"/>
      </w:divBdr>
      <w:divsChild>
        <w:div w:id="108018113">
          <w:marLeft w:val="0"/>
          <w:marRight w:val="0"/>
          <w:marTop w:val="0"/>
          <w:marBottom w:val="0"/>
          <w:divBdr>
            <w:top w:val="none" w:sz="0" w:space="0" w:color="auto"/>
            <w:left w:val="none" w:sz="0" w:space="0" w:color="auto"/>
            <w:bottom w:val="dotted" w:sz="6" w:space="4" w:color="DDDDDD"/>
            <w:right w:val="none" w:sz="0" w:space="0" w:color="auto"/>
          </w:divBdr>
        </w:div>
      </w:divsChild>
    </w:div>
    <w:div w:id="704644780">
      <w:bodyDiv w:val="1"/>
      <w:marLeft w:val="0"/>
      <w:marRight w:val="0"/>
      <w:marTop w:val="0"/>
      <w:marBottom w:val="0"/>
      <w:divBdr>
        <w:top w:val="none" w:sz="0" w:space="0" w:color="auto"/>
        <w:left w:val="none" w:sz="0" w:space="0" w:color="auto"/>
        <w:bottom w:val="none" w:sz="0" w:space="0" w:color="auto"/>
        <w:right w:val="none" w:sz="0" w:space="0" w:color="auto"/>
      </w:divBdr>
      <w:divsChild>
        <w:div w:id="561864505">
          <w:marLeft w:val="0"/>
          <w:marRight w:val="0"/>
          <w:marTop w:val="0"/>
          <w:marBottom w:val="0"/>
          <w:divBdr>
            <w:top w:val="none" w:sz="0" w:space="0" w:color="auto"/>
            <w:left w:val="none" w:sz="0" w:space="0" w:color="auto"/>
            <w:bottom w:val="none" w:sz="0" w:space="0" w:color="auto"/>
            <w:right w:val="none" w:sz="0" w:space="0" w:color="auto"/>
          </w:divBdr>
          <w:divsChild>
            <w:div w:id="11635493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04982967">
      <w:bodyDiv w:val="1"/>
      <w:marLeft w:val="0"/>
      <w:marRight w:val="0"/>
      <w:marTop w:val="0"/>
      <w:marBottom w:val="0"/>
      <w:divBdr>
        <w:top w:val="none" w:sz="0" w:space="0" w:color="auto"/>
        <w:left w:val="none" w:sz="0" w:space="0" w:color="auto"/>
        <w:bottom w:val="none" w:sz="0" w:space="0" w:color="auto"/>
        <w:right w:val="none" w:sz="0" w:space="0" w:color="auto"/>
      </w:divBdr>
      <w:divsChild>
        <w:div w:id="1963075290">
          <w:marLeft w:val="0"/>
          <w:marRight w:val="0"/>
          <w:marTop w:val="0"/>
          <w:marBottom w:val="150"/>
          <w:divBdr>
            <w:top w:val="none" w:sz="0" w:space="0" w:color="auto"/>
            <w:left w:val="none" w:sz="0" w:space="0" w:color="auto"/>
            <w:bottom w:val="none" w:sz="0" w:space="0" w:color="auto"/>
            <w:right w:val="none" w:sz="0" w:space="0" w:color="auto"/>
          </w:divBdr>
          <w:divsChild>
            <w:div w:id="59838865">
              <w:marLeft w:val="0"/>
              <w:marRight w:val="0"/>
              <w:marTop w:val="0"/>
              <w:marBottom w:val="0"/>
              <w:divBdr>
                <w:top w:val="none" w:sz="0" w:space="0" w:color="auto"/>
                <w:left w:val="none" w:sz="0" w:space="0" w:color="auto"/>
                <w:bottom w:val="none" w:sz="0" w:space="0" w:color="auto"/>
                <w:right w:val="none" w:sz="0" w:space="0" w:color="auto"/>
              </w:divBdr>
              <w:divsChild>
                <w:div w:id="101404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36975">
          <w:marLeft w:val="0"/>
          <w:marRight w:val="0"/>
          <w:marTop w:val="0"/>
          <w:marBottom w:val="150"/>
          <w:divBdr>
            <w:top w:val="none" w:sz="0" w:space="0" w:color="auto"/>
            <w:left w:val="none" w:sz="0" w:space="0" w:color="auto"/>
            <w:bottom w:val="none" w:sz="0" w:space="0" w:color="auto"/>
            <w:right w:val="none" w:sz="0" w:space="0" w:color="auto"/>
          </w:divBdr>
        </w:div>
        <w:div w:id="1317101025">
          <w:marLeft w:val="0"/>
          <w:marRight w:val="0"/>
          <w:marTop w:val="0"/>
          <w:marBottom w:val="0"/>
          <w:divBdr>
            <w:top w:val="none" w:sz="0" w:space="0" w:color="auto"/>
            <w:left w:val="none" w:sz="0" w:space="0" w:color="auto"/>
            <w:bottom w:val="none" w:sz="0" w:space="0" w:color="auto"/>
            <w:right w:val="none" w:sz="0" w:space="0" w:color="auto"/>
          </w:divBdr>
          <w:divsChild>
            <w:div w:id="12071397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05063177">
      <w:bodyDiv w:val="1"/>
      <w:marLeft w:val="0"/>
      <w:marRight w:val="0"/>
      <w:marTop w:val="0"/>
      <w:marBottom w:val="0"/>
      <w:divBdr>
        <w:top w:val="none" w:sz="0" w:space="0" w:color="auto"/>
        <w:left w:val="none" w:sz="0" w:space="0" w:color="auto"/>
        <w:bottom w:val="none" w:sz="0" w:space="0" w:color="auto"/>
        <w:right w:val="none" w:sz="0" w:space="0" w:color="auto"/>
      </w:divBdr>
    </w:div>
    <w:div w:id="705108851">
      <w:bodyDiv w:val="1"/>
      <w:marLeft w:val="0"/>
      <w:marRight w:val="0"/>
      <w:marTop w:val="0"/>
      <w:marBottom w:val="0"/>
      <w:divBdr>
        <w:top w:val="none" w:sz="0" w:space="0" w:color="auto"/>
        <w:left w:val="none" w:sz="0" w:space="0" w:color="auto"/>
        <w:bottom w:val="none" w:sz="0" w:space="0" w:color="auto"/>
        <w:right w:val="none" w:sz="0" w:space="0" w:color="auto"/>
      </w:divBdr>
      <w:divsChild>
        <w:div w:id="1254124596">
          <w:marLeft w:val="0"/>
          <w:marRight w:val="0"/>
          <w:marTop w:val="0"/>
          <w:marBottom w:val="0"/>
          <w:divBdr>
            <w:top w:val="none" w:sz="0" w:space="0" w:color="auto"/>
            <w:left w:val="none" w:sz="0" w:space="0" w:color="auto"/>
            <w:bottom w:val="none" w:sz="0" w:space="0" w:color="auto"/>
            <w:right w:val="none" w:sz="0" w:space="0" w:color="auto"/>
          </w:divBdr>
          <w:divsChild>
            <w:div w:id="15146815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05368980">
      <w:bodyDiv w:val="1"/>
      <w:marLeft w:val="0"/>
      <w:marRight w:val="0"/>
      <w:marTop w:val="0"/>
      <w:marBottom w:val="0"/>
      <w:divBdr>
        <w:top w:val="none" w:sz="0" w:space="0" w:color="auto"/>
        <w:left w:val="none" w:sz="0" w:space="0" w:color="auto"/>
        <w:bottom w:val="none" w:sz="0" w:space="0" w:color="auto"/>
        <w:right w:val="none" w:sz="0" w:space="0" w:color="auto"/>
      </w:divBdr>
      <w:divsChild>
        <w:div w:id="920526558">
          <w:marLeft w:val="0"/>
          <w:marRight w:val="0"/>
          <w:marTop w:val="0"/>
          <w:marBottom w:val="0"/>
          <w:divBdr>
            <w:top w:val="none" w:sz="0" w:space="0" w:color="auto"/>
            <w:left w:val="none" w:sz="0" w:space="0" w:color="auto"/>
            <w:bottom w:val="dotted" w:sz="6" w:space="4" w:color="DDDDDD"/>
            <w:right w:val="none" w:sz="0" w:space="0" w:color="auto"/>
          </w:divBdr>
          <w:divsChild>
            <w:div w:id="75505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443781">
      <w:bodyDiv w:val="1"/>
      <w:marLeft w:val="0"/>
      <w:marRight w:val="0"/>
      <w:marTop w:val="0"/>
      <w:marBottom w:val="0"/>
      <w:divBdr>
        <w:top w:val="none" w:sz="0" w:space="0" w:color="auto"/>
        <w:left w:val="none" w:sz="0" w:space="0" w:color="auto"/>
        <w:bottom w:val="none" w:sz="0" w:space="0" w:color="auto"/>
        <w:right w:val="none" w:sz="0" w:space="0" w:color="auto"/>
      </w:divBdr>
      <w:divsChild>
        <w:div w:id="561058725">
          <w:marLeft w:val="0"/>
          <w:marRight w:val="0"/>
          <w:marTop w:val="0"/>
          <w:marBottom w:val="0"/>
          <w:divBdr>
            <w:top w:val="none" w:sz="0" w:space="0" w:color="auto"/>
            <w:left w:val="none" w:sz="0" w:space="0" w:color="auto"/>
            <w:bottom w:val="none" w:sz="0" w:space="0" w:color="auto"/>
            <w:right w:val="none" w:sz="0" w:space="0" w:color="auto"/>
          </w:divBdr>
          <w:divsChild>
            <w:div w:id="515385925">
              <w:marLeft w:val="0"/>
              <w:marRight w:val="0"/>
              <w:marTop w:val="0"/>
              <w:marBottom w:val="0"/>
              <w:divBdr>
                <w:top w:val="none" w:sz="0" w:space="0" w:color="auto"/>
                <w:left w:val="none" w:sz="0" w:space="0" w:color="auto"/>
                <w:bottom w:val="none" w:sz="0" w:space="0" w:color="auto"/>
                <w:right w:val="none" w:sz="0" w:space="0" w:color="auto"/>
              </w:divBdr>
              <w:divsChild>
                <w:div w:id="914433444">
                  <w:marLeft w:val="0"/>
                  <w:marRight w:val="0"/>
                  <w:marTop w:val="0"/>
                  <w:marBottom w:val="0"/>
                  <w:divBdr>
                    <w:top w:val="none" w:sz="0" w:space="0" w:color="auto"/>
                    <w:left w:val="none" w:sz="0" w:space="0" w:color="auto"/>
                    <w:bottom w:val="none" w:sz="0" w:space="0" w:color="auto"/>
                    <w:right w:val="none" w:sz="0" w:space="0" w:color="auto"/>
                  </w:divBdr>
                  <w:divsChild>
                    <w:div w:id="1851065579">
                      <w:marLeft w:val="0"/>
                      <w:marRight w:val="0"/>
                      <w:marTop w:val="0"/>
                      <w:marBottom w:val="0"/>
                      <w:divBdr>
                        <w:top w:val="none" w:sz="0" w:space="0" w:color="auto"/>
                        <w:left w:val="none" w:sz="0" w:space="0" w:color="auto"/>
                        <w:bottom w:val="none" w:sz="0" w:space="0" w:color="auto"/>
                        <w:right w:val="none" w:sz="0" w:space="0" w:color="auto"/>
                      </w:divBdr>
                      <w:divsChild>
                        <w:div w:id="1681005396">
                          <w:marLeft w:val="0"/>
                          <w:marRight w:val="0"/>
                          <w:marTop w:val="0"/>
                          <w:marBottom w:val="0"/>
                          <w:divBdr>
                            <w:top w:val="none" w:sz="0" w:space="0" w:color="auto"/>
                            <w:left w:val="none" w:sz="0" w:space="0" w:color="auto"/>
                            <w:bottom w:val="none" w:sz="0" w:space="0" w:color="auto"/>
                            <w:right w:val="none" w:sz="0" w:space="0" w:color="auto"/>
                          </w:divBdr>
                          <w:divsChild>
                            <w:div w:id="727916512">
                              <w:marLeft w:val="0"/>
                              <w:marRight w:val="0"/>
                              <w:marTop w:val="0"/>
                              <w:marBottom w:val="0"/>
                              <w:divBdr>
                                <w:top w:val="none" w:sz="0" w:space="0" w:color="auto"/>
                                <w:left w:val="none" w:sz="0" w:space="0" w:color="auto"/>
                                <w:bottom w:val="none" w:sz="0" w:space="0" w:color="auto"/>
                                <w:right w:val="none" w:sz="0" w:space="0" w:color="auto"/>
                              </w:divBdr>
                              <w:divsChild>
                                <w:div w:id="1084840727">
                                  <w:marLeft w:val="0"/>
                                  <w:marRight w:val="0"/>
                                  <w:marTop w:val="0"/>
                                  <w:marBottom w:val="0"/>
                                  <w:divBdr>
                                    <w:top w:val="none" w:sz="0" w:space="0" w:color="auto"/>
                                    <w:left w:val="none" w:sz="0" w:space="0" w:color="auto"/>
                                    <w:bottom w:val="none" w:sz="0" w:space="0" w:color="auto"/>
                                    <w:right w:val="none" w:sz="0" w:space="0" w:color="auto"/>
                                  </w:divBdr>
                                  <w:divsChild>
                                    <w:div w:id="41104342">
                                      <w:marLeft w:val="0"/>
                                      <w:marRight w:val="0"/>
                                      <w:marTop w:val="0"/>
                                      <w:marBottom w:val="0"/>
                                      <w:divBdr>
                                        <w:top w:val="none" w:sz="0" w:space="0" w:color="auto"/>
                                        <w:left w:val="none" w:sz="0" w:space="0" w:color="auto"/>
                                        <w:bottom w:val="none" w:sz="0" w:space="0" w:color="auto"/>
                                        <w:right w:val="none" w:sz="0" w:space="0" w:color="auto"/>
                                      </w:divBdr>
                                      <w:divsChild>
                                        <w:div w:id="152011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5955051">
      <w:bodyDiv w:val="1"/>
      <w:marLeft w:val="0"/>
      <w:marRight w:val="0"/>
      <w:marTop w:val="0"/>
      <w:marBottom w:val="0"/>
      <w:divBdr>
        <w:top w:val="none" w:sz="0" w:space="0" w:color="auto"/>
        <w:left w:val="none" w:sz="0" w:space="0" w:color="auto"/>
        <w:bottom w:val="none" w:sz="0" w:space="0" w:color="auto"/>
        <w:right w:val="none" w:sz="0" w:space="0" w:color="auto"/>
      </w:divBdr>
    </w:div>
    <w:div w:id="706030003">
      <w:bodyDiv w:val="1"/>
      <w:marLeft w:val="0"/>
      <w:marRight w:val="0"/>
      <w:marTop w:val="0"/>
      <w:marBottom w:val="0"/>
      <w:divBdr>
        <w:top w:val="none" w:sz="0" w:space="0" w:color="auto"/>
        <w:left w:val="none" w:sz="0" w:space="0" w:color="auto"/>
        <w:bottom w:val="none" w:sz="0" w:space="0" w:color="auto"/>
        <w:right w:val="none" w:sz="0" w:space="0" w:color="auto"/>
      </w:divBdr>
    </w:div>
    <w:div w:id="706570031">
      <w:bodyDiv w:val="1"/>
      <w:marLeft w:val="0"/>
      <w:marRight w:val="0"/>
      <w:marTop w:val="0"/>
      <w:marBottom w:val="0"/>
      <w:divBdr>
        <w:top w:val="none" w:sz="0" w:space="0" w:color="auto"/>
        <w:left w:val="none" w:sz="0" w:space="0" w:color="auto"/>
        <w:bottom w:val="none" w:sz="0" w:space="0" w:color="auto"/>
        <w:right w:val="none" w:sz="0" w:space="0" w:color="auto"/>
      </w:divBdr>
      <w:divsChild>
        <w:div w:id="1047804042">
          <w:marLeft w:val="0"/>
          <w:marRight w:val="0"/>
          <w:marTop w:val="0"/>
          <w:marBottom w:val="0"/>
          <w:divBdr>
            <w:top w:val="none" w:sz="0" w:space="0" w:color="auto"/>
            <w:left w:val="none" w:sz="0" w:space="0" w:color="auto"/>
            <w:bottom w:val="none" w:sz="0" w:space="0" w:color="auto"/>
            <w:right w:val="none" w:sz="0" w:space="0" w:color="auto"/>
          </w:divBdr>
          <w:divsChild>
            <w:div w:id="6548006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06639715">
      <w:bodyDiv w:val="1"/>
      <w:marLeft w:val="0"/>
      <w:marRight w:val="0"/>
      <w:marTop w:val="0"/>
      <w:marBottom w:val="0"/>
      <w:divBdr>
        <w:top w:val="none" w:sz="0" w:space="0" w:color="auto"/>
        <w:left w:val="none" w:sz="0" w:space="0" w:color="auto"/>
        <w:bottom w:val="none" w:sz="0" w:space="0" w:color="auto"/>
        <w:right w:val="none" w:sz="0" w:space="0" w:color="auto"/>
      </w:divBdr>
      <w:divsChild>
        <w:div w:id="574627386">
          <w:marLeft w:val="0"/>
          <w:marRight w:val="0"/>
          <w:marTop w:val="300"/>
          <w:marBottom w:val="0"/>
          <w:divBdr>
            <w:top w:val="none" w:sz="0" w:space="0" w:color="auto"/>
            <w:left w:val="none" w:sz="0" w:space="0" w:color="auto"/>
            <w:bottom w:val="none" w:sz="0" w:space="0" w:color="auto"/>
            <w:right w:val="none" w:sz="0" w:space="0" w:color="auto"/>
          </w:divBdr>
        </w:div>
      </w:divsChild>
    </w:div>
    <w:div w:id="707029209">
      <w:bodyDiv w:val="1"/>
      <w:marLeft w:val="0"/>
      <w:marRight w:val="0"/>
      <w:marTop w:val="0"/>
      <w:marBottom w:val="0"/>
      <w:divBdr>
        <w:top w:val="none" w:sz="0" w:space="0" w:color="auto"/>
        <w:left w:val="none" w:sz="0" w:space="0" w:color="auto"/>
        <w:bottom w:val="none" w:sz="0" w:space="0" w:color="auto"/>
        <w:right w:val="none" w:sz="0" w:space="0" w:color="auto"/>
      </w:divBdr>
      <w:divsChild>
        <w:div w:id="1674990362">
          <w:marLeft w:val="0"/>
          <w:marRight w:val="0"/>
          <w:marTop w:val="0"/>
          <w:marBottom w:val="0"/>
          <w:divBdr>
            <w:top w:val="none" w:sz="0" w:space="0" w:color="auto"/>
            <w:left w:val="none" w:sz="0" w:space="0" w:color="auto"/>
            <w:bottom w:val="none" w:sz="0" w:space="0" w:color="auto"/>
            <w:right w:val="none" w:sz="0" w:space="0" w:color="auto"/>
          </w:divBdr>
          <w:divsChild>
            <w:div w:id="775946523">
              <w:marLeft w:val="0"/>
              <w:marRight w:val="0"/>
              <w:marTop w:val="0"/>
              <w:marBottom w:val="0"/>
              <w:divBdr>
                <w:top w:val="none" w:sz="0" w:space="0" w:color="auto"/>
                <w:left w:val="none" w:sz="0" w:space="0" w:color="auto"/>
                <w:bottom w:val="none" w:sz="0" w:space="0" w:color="auto"/>
                <w:right w:val="none" w:sz="0" w:space="0" w:color="auto"/>
              </w:divBdr>
              <w:divsChild>
                <w:div w:id="1688481773">
                  <w:marLeft w:val="0"/>
                  <w:marRight w:val="0"/>
                  <w:marTop w:val="0"/>
                  <w:marBottom w:val="150"/>
                  <w:divBdr>
                    <w:top w:val="none" w:sz="0" w:space="0" w:color="auto"/>
                    <w:left w:val="none" w:sz="0" w:space="0" w:color="auto"/>
                    <w:bottom w:val="none" w:sz="0" w:space="0" w:color="auto"/>
                    <w:right w:val="none" w:sz="0" w:space="0" w:color="auto"/>
                  </w:divBdr>
                  <w:divsChild>
                    <w:div w:id="1547837758">
                      <w:marLeft w:val="0"/>
                      <w:marRight w:val="0"/>
                      <w:marTop w:val="0"/>
                      <w:marBottom w:val="0"/>
                      <w:divBdr>
                        <w:top w:val="none" w:sz="0" w:space="0" w:color="auto"/>
                        <w:left w:val="none" w:sz="0" w:space="0" w:color="auto"/>
                        <w:bottom w:val="none" w:sz="0" w:space="0" w:color="auto"/>
                        <w:right w:val="none" w:sz="0" w:space="0" w:color="auto"/>
                      </w:divBdr>
                      <w:divsChild>
                        <w:div w:id="1916235216">
                          <w:marLeft w:val="0"/>
                          <w:marRight w:val="0"/>
                          <w:marTop w:val="0"/>
                          <w:marBottom w:val="0"/>
                          <w:divBdr>
                            <w:top w:val="none" w:sz="0" w:space="0" w:color="auto"/>
                            <w:left w:val="none" w:sz="0" w:space="0" w:color="auto"/>
                            <w:bottom w:val="none" w:sz="0" w:space="0" w:color="auto"/>
                            <w:right w:val="none" w:sz="0" w:space="0" w:color="auto"/>
                          </w:divBdr>
                          <w:divsChild>
                            <w:div w:id="976647523">
                              <w:marLeft w:val="0"/>
                              <w:marRight w:val="0"/>
                              <w:marTop w:val="0"/>
                              <w:marBottom w:val="0"/>
                              <w:divBdr>
                                <w:top w:val="none" w:sz="0" w:space="0" w:color="auto"/>
                                <w:left w:val="none" w:sz="0" w:space="0" w:color="auto"/>
                                <w:bottom w:val="none" w:sz="0" w:space="0" w:color="auto"/>
                                <w:right w:val="none" w:sz="0" w:space="0" w:color="auto"/>
                              </w:divBdr>
                              <w:divsChild>
                                <w:div w:id="1801413183">
                                  <w:marLeft w:val="0"/>
                                  <w:marRight w:val="0"/>
                                  <w:marTop w:val="0"/>
                                  <w:marBottom w:val="0"/>
                                  <w:divBdr>
                                    <w:top w:val="none" w:sz="0" w:space="0" w:color="auto"/>
                                    <w:left w:val="none" w:sz="0" w:space="0" w:color="auto"/>
                                    <w:bottom w:val="none" w:sz="0" w:space="0" w:color="auto"/>
                                    <w:right w:val="none" w:sz="0" w:space="0" w:color="auto"/>
                                  </w:divBdr>
                                  <w:divsChild>
                                    <w:div w:id="13000677">
                                      <w:marLeft w:val="0"/>
                                      <w:marRight w:val="0"/>
                                      <w:marTop w:val="0"/>
                                      <w:marBottom w:val="0"/>
                                      <w:divBdr>
                                        <w:top w:val="none" w:sz="0" w:space="0" w:color="auto"/>
                                        <w:left w:val="none" w:sz="0" w:space="0" w:color="auto"/>
                                        <w:bottom w:val="none" w:sz="0" w:space="0" w:color="auto"/>
                                        <w:right w:val="none" w:sz="0" w:space="0" w:color="auto"/>
                                      </w:divBdr>
                                      <w:divsChild>
                                        <w:div w:id="376667335">
                                          <w:marLeft w:val="0"/>
                                          <w:marRight w:val="0"/>
                                          <w:marTop w:val="0"/>
                                          <w:marBottom w:val="0"/>
                                          <w:divBdr>
                                            <w:top w:val="none" w:sz="0" w:space="0" w:color="auto"/>
                                            <w:left w:val="none" w:sz="0" w:space="0" w:color="auto"/>
                                            <w:bottom w:val="none" w:sz="0" w:space="0" w:color="auto"/>
                                            <w:right w:val="none" w:sz="0" w:space="0" w:color="auto"/>
                                          </w:divBdr>
                                          <w:divsChild>
                                            <w:div w:id="1906447145">
                                              <w:marLeft w:val="0"/>
                                              <w:marRight w:val="0"/>
                                              <w:marTop w:val="0"/>
                                              <w:marBottom w:val="0"/>
                                              <w:divBdr>
                                                <w:top w:val="none" w:sz="0" w:space="0" w:color="auto"/>
                                                <w:left w:val="none" w:sz="0" w:space="0" w:color="auto"/>
                                                <w:bottom w:val="none" w:sz="0" w:space="0" w:color="auto"/>
                                                <w:right w:val="none" w:sz="0" w:space="0" w:color="auto"/>
                                              </w:divBdr>
                                              <w:divsChild>
                                                <w:div w:id="172991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7029726">
      <w:bodyDiv w:val="1"/>
      <w:marLeft w:val="0"/>
      <w:marRight w:val="0"/>
      <w:marTop w:val="0"/>
      <w:marBottom w:val="0"/>
      <w:divBdr>
        <w:top w:val="none" w:sz="0" w:space="0" w:color="auto"/>
        <w:left w:val="none" w:sz="0" w:space="0" w:color="auto"/>
        <w:bottom w:val="none" w:sz="0" w:space="0" w:color="auto"/>
        <w:right w:val="none" w:sz="0" w:space="0" w:color="auto"/>
      </w:divBdr>
      <w:divsChild>
        <w:div w:id="1733581585">
          <w:marLeft w:val="0"/>
          <w:marRight w:val="0"/>
          <w:marTop w:val="0"/>
          <w:marBottom w:val="450"/>
          <w:divBdr>
            <w:top w:val="none" w:sz="0" w:space="0" w:color="auto"/>
            <w:left w:val="none" w:sz="0" w:space="0" w:color="auto"/>
            <w:bottom w:val="single" w:sz="6" w:space="19" w:color="EEEEEE"/>
            <w:right w:val="none" w:sz="0" w:space="0" w:color="auto"/>
          </w:divBdr>
          <w:divsChild>
            <w:div w:id="1147934745">
              <w:marLeft w:val="0"/>
              <w:marRight w:val="0"/>
              <w:marTop w:val="0"/>
              <w:marBottom w:val="150"/>
              <w:divBdr>
                <w:top w:val="none" w:sz="0" w:space="0" w:color="auto"/>
                <w:left w:val="none" w:sz="0" w:space="0" w:color="auto"/>
                <w:bottom w:val="none" w:sz="0" w:space="0" w:color="auto"/>
                <w:right w:val="none" w:sz="0" w:space="0" w:color="auto"/>
              </w:divBdr>
              <w:divsChild>
                <w:div w:id="409547207">
                  <w:marLeft w:val="0"/>
                  <w:marRight w:val="0"/>
                  <w:marTop w:val="0"/>
                  <w:marBottom w:val="0"/>
                  <w:divBdr>
                    <w:top w:val="none" w:sz="0" w:space="0" w:color="auto"/>
                    <w:left w:val="none" w:sz="0" w:space="0" w:color="auto"/>
                    <w:bottom w:val="none" w:sz="0" w:space="0" w:color="auto"/>
                    <w:right w:val="none" w:sz="0" w:space="0" w:color="auto"/>
                  </w:divBdr>
                </w:div>
              </w:divsChild>
            </w:div>
            <w:div w:id="148904517">
              <w:marLeft w:val="0"/>
              <w:marRight w:val="0"/>
              <w:marTop w:val="0"/>
              <w:marBottom w:val="0"/>
              <w:divBdr>
                <w:top w:val="none" w:sz="0" w:space="0" w:color="auto"/>
                <w:left w:val="none" w:sz="0" w:space="0" w:color="auto"/>
                <w:bottom w:val="none" w:sz="0" w:space="0" w:color="auto"/>
                <w:right w:val="none" w:sz="0" w:space="0" w:color="auto"/>
              </w:divBdr>
            </w:div>
          </w:divsChild>
        </w:div>
        <w:div w:id="1254700474">
          <w:marLeft w:val="0"/>
          <w:marRight w:val="0"/>
          <w:marTop w:val="0"/>
          <w:marBottom w:val="0"/>
          <w:divBdr>
            <w:top w:val="none" w:sz="0" w:space="0" w:color="auto"/>
            <w:left w:val="none" w:sz="0" w:space="0" w:color="auto"/>
            <w:bottom w:val="none" w:sz="0" w:space="0" w:color="auto"/>
            <w:right w:val="none" w:sz="0" w:space="0" w:color="auto"/>
          </w:divBdr>
          <w:divsChild>
            <w:div w:id="1076824023">
              <w:marLeft w:val="0"/>
              <w:marRight w:val="0"/>
              <w:marTop w:val="0"/>
              <w:marBottom w:val="0"/>
              <w:divBdr>
                <w:top w:val="none" w:sz="0" w:space="0" w:color="auto"/>
                <w:left w:val="none" w:sz="0" w:space="0" w:color="auto"/>
                <w:bottom w:val="none" w:sz="0" w:space="0" w:color="auto"/>
                <w:right w:val="none" w:sz="0" w:space="0" w:color="auto"/>
              </w:divBdr>
              <w:divsChild>
                <w:div w:id="14466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069751">
      <w:bodyDiv w:val="1"/>
      <w:marLeft w:val="0"/>
      <w:marRight w:val="0"/>
      <w:marTop w:val="0"/>
      <w:marBottom w:val="0"/>
      <w:divBdr>
        <w:top w:val="none" w:sz="0" w:space="0" w:color="auto"/>
        <w:left w:val="none" w:sz="0" w:space="0" w:color="auto"/>
        <w:bottom w:val="none" w:sz="0" w:space="0" w:color="auto"/>
        <w:right w:val="none" w:sz="0" w:space="0" w:color="auto"/>
      </w:divBdr>
      <w:divsChild>
        <w:div w:id="593437042">
          <w:marLeft w:val="0"/>
          <w:marRight w:val="0"/>
          <w:marTop w:val="0"/>
          <w:marBottom w:val="0"/>
          <w:divBdr>
            <w:top w:val="none" w:sz="0" w:space="0" w:color="auto"/>
            <w:left w:val="none" w:sz="0" w:space="0" w:color="auto"/>
            <w:bottom w:val="dotted" w:sz="6" w:space="4" w:color="DDDDDD"/>
            <w:right w:val="none" w:sz="0" w:space="0" w:color="auto"/>
          </w:divBdr>
        </w:div>
      </w:divsChild>
    </w:div>
    <w:div w:id="707148348">
      <w:bodyDiv w:val="1"/>
      <w:marLeft w:val="0"/>
      <w:marRight w:val="0"/>
      <w:marTop w:val="0"/>
      <w:marBottom w:val="0"/>
      <w:divBdr>
        <w:top w:val="none" w:sz="0" w:space="0" w:color="auto"/>
        <w:left w:val="none" w:sz="0" w:space="0" w:color="auto"/>
        <w:bottom w:val="none" w:sz="0" w:space="0" w:color="auto"/>
        <w:right w:val="none" w:sz="0" w:space="0" w:color="auto"/>
      </w:divBdr>
    </w:div>
    <w:div w:id="707223895">
      <w:bodyDiv w:val="1"/>
      <w:marLeft w:val="0"/>
      <w:marRight w:val="0"/>
      <w:marTop w:val="0"/>
      <w:marBottom w:val="0"/>
      <w:divBdr>
        <w:top w:val="none" w:sz="0" w:space="0" w:color="auto"/>
        <w:left w:val="none" w:sz="0" w:space="0" w:color="auto"/>
        <w:bottom w:val="none" w:sz="0" w:space="0" w:color="auto"/>
        <w:right w:val="none" w:sz="0" w:space="0" w:color="auto"/>
      </w:divBdr>
    </w:div>
    <w:div w:id="708800803">
      <w:bodyDiv w:val="1"/>
      <w:marLeft w:val="0"/>
      <w:marRight w:val="0"/>
      <w:marTop w:val="0"/>
      <w:marBottom w:val="0"/>
      <w:divBdr>
        <w:top w:val="none" w:sz="0" w:space="0" w:color="auto"/>
        <w:left w:val="none" w:sz="0" w:space="0" w:color="auto"/>
        <w:bottom w:val="none" w:sz="0" w:space="0" w:color="auto"/>
        <w:right w:val="none" w:sz="0" w:space="0" w:color="auto"/>
      </w:divBdr>
      <w:divsChild>
        <w:div w:id="369692150">
          <w:marLeft w:val="0"/>
          <w:marRight w:val="0"/>
          <w:marTop w:val="0"/>
          <w:marBottom w:val="0"/>
          <w:divBdr>
            <w:top w:val="none" w:sz="0" w:space="0" w:color="auto"/>
            <w:left w:val="none" w:sz="0" w:space="0" w:color="auto"/>
            <w:bottom w:val="none" w:sz="0" w:space="0" w:color="auto"/>
            <w:right w:val="none" w:sz="0" w:space="0" w:color="auto"/>
          </w:divBdr>
          <w:divsChild>
            <w:div w:id="1655453890">
              <w:marLeft w:val="0"/>
              <w:marRight w:val="0"/>
              <w:marTop w:val="0"/>
              <w:marBottom w:val="0"/>
              <w:divBdr>
                <w:top w:val="none" w:sz="0" w:space="0" w:color="auto"/>
                <w:left w:val="none" w:sz="0" w:space="0" w:color="auto"/>
                <w:bottom w:val="none" w:sz="0" w:space="0" w:color="auto"/>
                <w:right w:val="none" w:sz="0" w:space="0" w:color="auto"/>
              </w:divBdr>
              <w:divsChild>
                <w:div w:id="1124420239">
                  <w:marLeft w:val="0"/>
                  <w:marRight w:val="0"/>
                  <w:marTop w:val="0"/>
                  <w:marBottom w:val="0"/>
                  <w:divBdr>
                    <w:top w:val="none" w:sz="0" w:space="0" w:color="auto"/>
                    <w:left w:val="none" w:sz="0" w:space="0" w:color="auto"/>
                    <w:bottom w:val="none" w:sz="0" w:space="0" w:color="auto"/>
                    <w:right w:val="none" w:sz="0" w:space="0" w:color="auto"/>
                  </w:divBdr>
                  <w:divsChild>
                    <w:div w:id="2079281523">
                      <w:marLeft w:val="0"/>
                      <w:marRight w:val="0"/>
                      <w:marTop w:val="0"/>
                      <w:marBottom w:val="300"/>
                      <w:divBdr>
                        <w:top w:val="none" w:sz="0" w:space="0" w:color="auto"/>
                        <w:left w:val="none" w:sz="0" w:space="0" w:color="auto"/>
                        <w:bottom w:val="none" w:sz="0" w:space="0" w:color="auto"/>
                        <w:right w:val="none" w:sz="0" w:space="0" w:color="auto"/>
                      </w:divBdr>
                      <w:divsChild>
                        <w:div w:id="1637686941">
                          <w:marLeft w:val="0"/>
                          <w:marRight w:val="0"/>
                          <w:marTop w:val="0"/>
                          <w:marBottom w:val="225"/>
                          <w:divBdr>
                            <w:top w:val="single" w:sz="6" w:space="11" w:color="E5E5E5"/>
                            <w:left w:val="single" w:sz="6" w:space="11" w:color="E5E5E5"/>
                            <w:bottom w:val="single" w:sz="6" w:space="1" w:color="E5E5E5"/>
                            <w:right w:val="single" w:sz="6" w:space="11" w:color="E5E5E5"/>
                          </w:divBdr>
                          <w:divsChild>
                            <w:div w:id="1943612642">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791899690">
          <w:marLeft w:val="0"/>
          <w:marRight w:val="0"/>
          <w:marTop w:val="0"/>
          <w:marBottom w:val="0"/>
          <w:divBdr>
            <w:top w:val="single" w:sz="6" w:space="0" w:color="E5E5E5"/>
            <w:left w:val="none" w:sz="0" w:space="0" w:color="auto"/>
            <w:bottom w:val="single" w:sz="18" w:space="0" w:color="000000"/>
            <w:right w:val="none" w:sz="0" w:space="0" w:color="auto"/>
          </w:divBdr>
          <w:divsChild>
            <w:div w:id="1791391086">
              <w:marLeft w:val="0"/>
              <w:marRight w:val="0"/>
              <w:marTop w:val="0"/>
              <w:marBottom w:val="0"/>
              <w:divBdr>
                <w:top w:val="none" w:sz="0" w:space="0" w:color="auto"/>
                <w:left w:val="none" w:sz="0" w:space="0" w:color="auto"/>
                <w:bottom w:val="none" w:sz="0" w:space="0" w:color="auto"/>
                <w:right w:val="none" w:sz="0" w:space="0" w:color="auto"/>
              </w:divBdr>
              <w:divsChild>
                <w:div w:id="56233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035581">
      <w:bodyDiv w:val="1"/>
      <w:marLeft w:val="0"/>
      <w:marRight w:val="0"/>
      <w:marTop w:val="0"/>
      <w:marBottom w:val="0"/>
      <w:divBdr>
        <w:top w:val="none" w:sz="0" w:space="0" w:color="auto"/>
        <w:left w:val="none" w:sz="0" w:space="0" w:color="auto"/>
        <w:bottom w:val="none" w:sz="0" w:space="0" w:color="auto"/>
        <w:right w:val="none" w:sz="0" w:space="0" w:color="auto"/>
      </w:divBdr>
      <w:divsChild>
        <w:div w:id="525097734">
          <w:marLeft w:val="0"/>
          <w:marRight w:val="0"/>
          <w:marTop w:val="0"/>
          <w:marBottom w:val="0"/>
          <w:divBdr>
            <w:top w:val="none" w:sz="0" w:space="0" w:color="auto"/>
            <w:left w:val="none" w:sz="0" w:space="0" w:color="auto"/>
            <w:bottom w:val="dotted" w:sz="6" w:space="4" w:color="DDDDDD"/>
            <w:right w:val="none" w:sz="0" w:space="0" w:color="auto"/>
          </w:divBdr>
          <w:divsChild>
            <w:div w:id="176398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85497">
      <w:bodyDiv w:val="1"/>
      <w:marLeft w:val="0"/>
      <w:marRight w:val="0"/>
      <w:marTop w:val="0"/>
      <w:marBottom w:val="0"/>
      <w:divBdr>
        <w:top w:val="none" w:sz="0" w:space="0" w:color="auto"/>
        <w:left w:val="none" w:sz="0" w:space="0" w:color="auto"/>
        <w:bottom w:val="none" w:sz="0" w:space="0" w:color="auto"/>
        <w:right w:val="none" w:sz="0" w:space="0" w:color="auto"/>
      </w:divBdr>
    </w:div>
    <w:div w:id="709300509">
      <w:bodyDiv w:val="1"/>
      <w:marLeft w:val="0"/>
      <w:marRight w:val="0"/>
      <w:marTop w:val="0"/>
      <w:marBottom w:val="0"/>
      <w:divBdr>
        <w:top w:val="none" w:sz="0" w:space="0" w:color="auto"/>
        <w:left w:val="none" w:sz="0" w:space="0" w:color="auto"/>
        <w:bottom w:val="none" w:sz="0" w:space="0" w:color="auto"/>
        <w:right w:val="none" w:sz="0" w:space="0" w:color="auto"/>
      </w:divBdr>
      <w:divsChild>
        <w:div w:id="578951115">
          <w:marLeft w:val="0"/>
          <w:marRight w:val="0"/>
          <w:marTop w:val="0"/>
          <w:marBottom w:val="300"/>
          <w:divBdr>
            <w:top w:val="none" w:sz="0" w:space="0" w:color="auto"/>
            <w:left w:val="none" w:sz="0" w:space="0" w:color="auto"/>
            <w:bottom w:val="none" w:sz="0" w:space="0" w:color="auto"/>
            <w:right w:val="none" w:sz="0" w:space="0" w:color="auto"/>
          </w:divBdr>
          <w:divsChild>
            <w:div w:id="1638223028">
              <w:marLeft w:val="0"/>
              <w:marRight w:val="0"/>
              <w:marTop w:val="0"/>
              <w:marBottom w:val="0"/>
              <w:divBdr>
                <w:top w:val="none" w:sz="0" w:space="0" w:color="auto"/>
                <w:left w:val="none" w:sz="0" w:space="0" w:color="auto"/>
                <w:bottom w:val="none" w:sz="0" w:space="0" w:color="auto"/>
                <w:right w:val="none" w:sz="0" w:space="0" w:color="auto"/>
              </w:divBdr>
            </w:div>
          </w:divsChild>
        </w:div>
        <w:div w:id="702364041">
          <w:marLeft w:val="0"/>
          <w:marRight w:val="0"/>
          <w:marTop w:val="0"/>
          <w:marBottom w:val="0"/>
          <w:divBdr>
            <w:top w:val="none" w:sz="0" w:space="0" w:color="auto"/>
            <w:left w:val="none" w:sz="0" w:space="0" w:color="auto"/>
            <w:bottom w:val="none" w:sz="0" w:space="0" w:color="auto"/>
            <w:right w:val="none" w:sz="0" w:space="0" w:color="auto"/>
          </w:divBdr>
          <w:divsChild>
            <w:div w:id="1812283017">
              <w:marLeft w:val="0"/>
              <w:marRight w:val="0"/>
              <w:marTop w:val="0"/>
              <w:marBottom w:val="0"/>
              <w:divBdr>
                <w:top w:val="none" w:sz="0" w:space="0" w:color="auto"/>
                <w:left w:val="none" w:sz="0" w:space="0" w:color="auto"/>
                <w:bottom w:val="none" w:sz="0" w:space="0" w:color="auto"/>
                <w:right w:val="none" w:sz="0" w:space="0" w:color="auto"/>
              </w:divBdr>
              <w:divsChild>
                <w:div w:id="27690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848218">
          <w:marLeft w:val="0"/>
          <w:marRight w:val="0"/>
          <w:marTop w:val="0"/>
          <w:marBottom w:val="0"/>
          <w:divBdr>
            <w:top w:val="none" w:sz="0" w:space="0" w:color="auto"/>
            <w:left w:val="none" w:sz="0" w:space="0" w:color="auto"/>
            <w:bottom w:val="none" w:sz="0" w:space="0" w:color="auto"/>
            <w:right w:val="none" w:sz="0" w:space="0" w:color="auto"/>
          </w:divBdr>
        </w:div>
        <w:div w:id="1504473589">
          <w:marLeft w:val="0"/>
          <w:marRight w:val="0"/>
          <w:marTop w:val="0"/>
          <w:marBottom w:val="75"/>
          <w:divBdr>
            <w:top w:val="none" w:sz="0" w:space="0" w:color="auto"/>
            <w:left w:val="none" w:sz="0" w:space="0" w:color="auto"/>
            <w:bottom w:val="none" w:sz="0" w:space="0" w:color="auto"/>
            <w:right w:val="none" w:sz="0" w:space="0" w:color="auto"/>
          </w:divBdr>
        </w:div>
      </w:divsChild>
    </w:div>
    <w:div w:id="709763139">
      <w:bodyDiv w:val="1"/>
      <w:marLeft w:val="0"/>
      <w:marRight w:val="0"/>
      <w:marTop w:val="0"/>
      <w:marBottom w:val="0"/>
      <w:divBdr>
        <w:top w:val="none" w:sz="0" w:space="0" w:color="auto"/>
        <w:left w:val="none" w:sz="0" w:space="0" w:color="auto"/>
        <w:bottom w:val="none" w:sz="0" w:space="0" w:color="auto"/>
        <w:right w:val="none" w:sz="0" w:space="0" w:color="auto"/>
      </w:divBdr>
    </w:div>
    <w:div w:id="710225860">
      <w:bodyDiv w:val="1"/>
      <w:marLeft w:val="0"/>
      <w:marRight w:val="0"/>
      <w:marTop w:val="0"/>
      <w:marBottom w:val="0"/>
      <w:divBdr>
        <w:top w:val="none" w:sz="0" w:space="0" w:color="auto"/>
        <w:left w:val="none" w:sz="0" w:space="0" w:color="auto"/>
        <w:bottom w:val="none" w:sz="0" w:space="0" w:color="auto"/>
        <w:right w:val="none" w:sz="0" w:space="0" w:color="auto"/>
      </w:divBdr>
    </w:div>
    <w:div w:id="710809533">
      <w:bodyDiv w:val="1"/>
      <w:marLeft w:val="0"/>
      <w:marRight w:val="0"/>
      <w:marTop w:val="0"/>
      <w:marBottom w:val="0"/>
      <w:divBdr>
        <w:top w:val="none" w:sz="0" w:space="0" w:color="auto"/>
        <w:left w:val="none" w:sz="0" w:space="0" w:color="auto"/>
        <w:bottom w:val="none" w:sz="0" w:space="0" w:color="auto"/>
        <w:right w:val="none" w:sz="0" w:space="0" w:color="auto"/>
      </w:divBdr>
      <w:divsChild>
        <w:div w:id="202405060">
          <w:marLeft w:val="0"/>
          <w:marRight w:val="0"/>
          <w:marTop w:val="0"/>
          <w:marBottom w:val="0"/>
          <w:divBdr>
            <w:top w:val="none" w:sz="0" w:space="0" w:color="auto"/>
            <w:left w:val="none" w:sz="0" w:space="0" w:color="auto"/>
            <w:bottom w:val="none" w:sz="0" w:space="0" w:color="auto"/>
            <w:right w:val="none" w:sz="0" w:space="0" w:color="auto"/>
          </w:divBdr>
        </w:div>
      </w:divsChild>
    </w:div>
    <w:div w:id="712117103">
      <w:bodyDiv w:val="1"/>
      <w:marLeft w:val="0"/>
      <w:marRight w:val="0"/>
      <w:marTop w:val="0"/>
      <w:marBottom w:val="0"/>
      <w:divBdr>
        <w:top w:val="none" w:sz="0" w:space="0" w:color="auto"/>
        <w:left w:val="none" w:sz="0" w:space="0" w:color="auto"/>
        <w:bottom w:val="none" w:sz="0" w:space="0" w:color="auto"/>
        <w:right w:val="none" w:sz="0" w:space="0" w:color="auto"/>
      </w:divBdr>
      <w:divsChild>
        <w:div w:id="66072762">
          <w:marLeft w:val="0"/>
          <w:marRight w:val="0"/>
          <w:marTop w:val="0"/>
          <w:marBottom w:val="150"/>
          <w:divBdr>
            <w:top w:val="none" w:sz="0" w:space="0" w:color="auto"/>
            <w:left w:val="none" w:sz="0" w:space="0" w:color="auto"/>
            <w:bottom w:val="none" w:sz="0" w:space="0" w:color="auto"/>
            <w:right w:val="none" w:sz="0" w:space="0" w:color="auto"/>
          </w:divBdr>
          <w:divsChild>
            <w:div w:id="2094428411">
              <w:marLeft w:val="0"/>
              <w:marRight w:val="0"/>
              <w:marTop w:val="0"/>
              <w:marBottom w:val="0"/>
              <w:divBdr>
                <w:top w:val="none" w:sz="0" w:space="0" w:color="auto"/>
                <w:left w:val="none" w:sz="0" w:space="0" w:color="auto"/>
                <w:bottom w:val="none" w:sz="0" w:space="0" w:color="auto"/>
                <w:right w:val="none" w:sz="0" w:space="0" w:color="auto"/>
              </w:divBdr>
            </w:div>
          </w:divsChild>
        </w:div>
        <w:div w:id="372537150">
          <w:marLeft w:val="0"/>
          <w:marRight w:val="0"/>
          <w:marTop w:val="0"/>
          <w:marBottom w:val="0"/>
          <w:divBdr>
            <w:top w:val="none" w:sz="0" w:space="0" w:color="auto"/>
            <w:left w:val="none" w:sz="0" w:space="0" w:color="auto"/>
            <w:bottom w:val="none" w:sz="0" w:space="0" w:color="auto"/>
            <w:right w:val="none" w:sz="0" w:space="0" w:color="auto"/>
          </w:divBdr>
          <w:divsChild>
            <w:div w:id="646007343">
              <w:marLeft w:val="0"/>
              <w:marRight w:val="0"/>
              <w:marTop w:val="0"/>
              <w:marBottom w:val="0"/>
              <w:divBdr>
                <w:top w:val="none" w:sz="0" w:space="0" w:color="auto"/>
                <w:left w:val="none" w:sz="0" w:space="0" w:color="auto"/>
                <w:bottom w:val="none" w:sz="0" w:space="0" w:color="auto"/>
                <w:right w:val="none" w:sz="0" w:space="0" w:color="auto"/>
              </w:divBdr>
            </w:div>
          </w:divsChild>
        </w:div>
        <w:div w:id="1960841325">
          <w:marLeft w:val="0"/>
          <w:marRight w:val="0"/>
          <w:marTop w:val="0"/>
          <w:marBottom w:val="150"/>
          <w:divBdr>
            <w:top w:val="none" w:sz="0" w:space="0" w:color="auto"/>
            <w:left w:val="none" w:sz="0" w:space="0" w:color="auto"/>
            <w:bottom w:val="none" w:sz="0" w:space="0" w:color="auto"/>
            <w:right w:val="none" w:sz="0" w:space="0" w:color="auto"/>
          </w:divBdr>
        </w:div>
      </w:divsChild>
    </w:div>
    <w:div w:id="712117274">
      <w:bodyDiv w:val="1"/>
      <w:marLeft w:val="0"/>
      <w:marRight w:val="0"/>
      <w:marTop w:val="0"/>
      <w:marBottom w:val="0"/>
      <w:divBdr>
        <w:top w:val="none" w:sz="0" w:space="0" w:color="auto"/>
        <w:left w:val="none" w:sz="0" w:space="0" w:color="auto"/>
        <w:bottom w:val="none" w:sz="0" w:space="0" w:color="auto"/>
        <w:right w:val="none" w:sz="0" w:space="0" w:color="auto"/>
      </w:divBdr>
      <w:divsChild>
        <w:div w:id="1044520466">
          <w:marLeft w:val="0"/>
          <w:marRight w:val="0"/>
          <w:marTop w:val="0"/>
          <w:marBottom w:val="150"/>
          <w:divBdr>
            <w:top w:val="none" w:sz="0" w:space="0" w:color="auto"/>
            <w:left w:val="none" w:sz="0" w:space="0" w:color="auto"/>
            <w:bottom w:val="none" w:sz="0" w:space="0" w:color="auto"/>
            <w:right w:val="none" w:sz="0" w:space="0" w:color="auto"/>
          </w:divBdr>
        </w:div>
      </w:divsChild>
    </w:div>
    <w:div w:id="712660786">
      <w:bodyDiv w:val="1"/>
      <w:marLeft w:val="0"/>
      <w:marRight w:val="0"/>
      <w:marTop w:val="0"/>
      <w:marBottom w:val="0"/>
      <w:divBdr>
        <w:top w:val="none" w:sz="0" w:space="0" w:color="auto"/>
        <w:left w:val="none" w:sz="0" w:space="0" w:color="auto"/>
        <w:bottom w:val="none" w:sz="0" w:space="0" w:color="auto"/>
        <w:right w:val="none" w:sz="0" w:space="0" w:color="auto"/>
      </w:divBdr>
      <w:divsChild>
        <w:div w:id="1195271987">
          <w:marLeft w:val="0"/>
          <w:marRight w:val="0"/>
          <w:marTop w:val="0"/>
          <w:marBottom w:val="0"/>
          <w:divBdr>
            <w:top w:val="none" w:sz="0" w:space="0" w:color="auto"/>
            <w:left w:val="none" w:sz="0" w:space="0" w:color="auto"/>
            <w:bottom w:val="dotted" w:sz="6" w:space="4" w:color="DDDDDD"/>
            <w:right w:val="none" w:sz="0" w:space="0" w:color="auto"/>
          </w:divBdr>
        </w:div>
      </w:divsChild>
    </w:div>
    <w:div w:id="712996249">
      <w:bodyDiv w:val="1"/>
      <w:marLeft w:val="0"/>
      <w:marRight w:val="0"/>
      <w:marTop w:val="0"/>
      <w:marBottom w:val="0"/>
      <w:divBdr>
        <w:top w:val="none" w:sz="0" w:space="0" w:color="auto"/>
        <w:left w:val="none" w:sz="0" w:space="0" w:color="auto"/>
        <w:bottom w:val="none" w:sz="0" w:space="0" w:color="auto"/>
        <w:right w:val="none" w:sz="0" w:space="0" w:color="auto"/>
      </w:divBdr>
      <w:divsChild>
        <w:div w:id="1116564422">
          <w:marLeft w:val="0"/>
          <w:marRight w:val="0"/>
          <w:marTop w:val="0"/>
          <w:marBottom w:val="0"/>
          <w:divBdr>
            <w:top w:val="none" w:sz="0" w:space="0" w:color="auto"/>
            <w:left w:val="none" w:sz="0" w:space="0" w:color="auto"/>
            <w:bottom w:val="none" w:sz="0" w:space="0" w:color="auto"/>
            <w:right w:val="none" w:sz="0" w:space="0" w:color="auto"/>
          </w:divBdr>
          <w:divsChild>
            <w:div w:id="45529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8445">
      <w:bodyDiv w:val="1"/>
      <w:marLeft w:val="0"/>
      <w:marRight w:val="0"/>
      <w:marTop w:val="0"/>
      <w:marBottom w:val="0"/>
      <w:divBdr>
        <w:top w:val="none" w:sz="0" w:space="0" w:color="auto"/>
        <w:left w:val="none" w:sz="0" w:space="0" w:color="auto"/>
        <w:bottom w:val="none" w:sz="0" w:space="0" w:color="auto"/>
        <w:right w:val="none" w:sz="0" w:space="0" w:color="auto"/>
      </w:divBdr>
      <w:divsChild>
        <w:div w:id="2036497620">
          <w:marLeft w:val="0"/>
          <w:marRight w:val="0"/>
          <w:marTop w:val="0"/>
          <w:marBottom w:val="0"/>
          <w:divBdr>
            <w:top w:val="none" w:sz="0" w:space="0" w:color="auto"/>
            <w:left w:val="none" w:sz="0" w:space="0" w:color="auto"/>
            <w:bottom w:val="none" w:sz="0" w:space="0" w:color="auto"/>
            <w:right w:val="none" w:sz="0" w:space="0" w:color="auto"/>
          </w:divBdr>
          <w:divsChild>
            <w:div w:id="2052531439">
              <w:marLeft w:val="0"/>
              <w:marRight w:val="0"/>
              <w:marTop w:val="0"/>
              <w:marBottom w:val="0"/>
              <w:divBdr>
                <w:top w:val="none" w:sz="0" w:space="0" w:color="auto"/>
                <w:left w:val="none" w:sz="0" w:space="0" w:color="auto"/>
                <w:bottom w:val="none" w:sz="0" w:space="0" w:color="auto"/>
                <w:right w:val="none" w:sz="0" w:space="0" w:color="auto"/>
              </w:divBdr>
              <w:divsChild>
                <w:div w:id="94561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046799">
          <w:marLeft w:val="0"/>
          <w:marRight w:val="0"/>
          <w:marTop w:val="0"/>
          <w:marBottom w:val="75"/>
          <w:divBdr>
            <w:top w:val="none" w:sz="0" w:space="0" w:color="auto"/>
            <w:left w:val="none" w:sz="0" w:space="0" w:color="auto"/>
            <w:bottom w:val="none" w:sz="0" w:space="0" w:color="auto"/>
            <w:right w:val="none" w:sz="0" w:space="0" w:color="auto"/>
          </w:divBdr>
        </w:div>
        <w:div w:id="444928746">
          <w:marLeft w:val="0"/>
          <w:marRight w:val="0"/>
          <w:marTop w:val="0"/>
          <w:marBottom w:val="0"/>
          <w:divBdr>
            <w:top w:val="none" w:sz="0" w:space="0" w:color="auto"/>
            <w:left w:val="none" w:sz="0" w:space="0" w:color="auto"/>
            <w:bottom w:val="none" w:sz="0" w:space="0" w:color="auto"/>
            <w:right w:val="none" w:sz="0" w:space="0" w:color="auto"/>
          </w:divBdr>
        </w:div>
      </w:divsChild>
    </w:div>
    <w:div w:id="715280103">
      <w:bodyDiv w:val="1"/>
      <w:marLeft w:val="0"/>
      <w:marRight w:val="0"/>
      <w:marTop w:val="0"/>
      <w:marBottom w:val="0"/>
      <w:divBdr>
        <w:top w:val="none" w:sz="0" w:space="0" w:color="auto"/>
        <w:left w:val="none" w:sz="0" w:space="0" w:color="auto"/>
        <w:bottom w:val="none" w:sz="0" w:space="0" w:color="auto"/>
        <w:right w:val="none" w:sz="0" w:space="0" w:color="auto"/>
      </w:divBdr>
      <w:divsChild>
        <w:div w:id="130248062">
          <w:marLeft w:val="0"/>
          <w:marRight w:val="0"/>
          <w:marTop w:val="0"/>
          <w:marBottom w:val="0"/>
          <w:divBdr>
            <w:top w:val="none" w:sz="0" w:space="0" w:color="auto"/>
            <w:left w:val="none" w:sz="0" w:space="0" w:color="auto"/>
            <w:bottom w:val="none" w:sz="0" w:space="0" w:color="auto"/>
            <w:right w:val="none" w:sz="0" w:space="0" w:color="auto"/>
          </w:divBdr>
        </w:div>
      </w:divsChild>
    </w:div>
    <w:div w:id="715398201">
      <w:bodyDiv w:val="1"/>
      <w:marLeft w:val="0"/>
      <w:marRight w:val="0"/>
      <w:marTop w:val="0"/>
      <w:marBottom w:val="0"/>
      <w:divBdr>
        <w:top w:val="none" w:sz="0" w:space="0" w:color="auto"/>
        <w:left w:val="none" w:sz="0" w:space="0" w:color="auto"/>
        <w:bottom w:val="none" w:sz="0" w:space="0" w:color="auto"/>
        <w:right w:val="none" w:sz="0" w:space="0" w:color="auto"/>
      </w:divBdr>
      <w:divsChild>
        <w:div w:id="601914898">
          <w:marLeft w:val="0"/>
          <w:marRight w:val="0"/>
          <w:marTop w:val="0"/>
          <w:marBottom w:val="150"/>
          <w:divBdr>
            <w:top w:val="none" w:sz="0" w:space="0" w:color="auto"/>
            <w:left w:val="none" w:sz="0" w:space="0" w:color="auto"/>
            <w:bottom w:val="none" w:sz="0" w:space="0" w:color="auto"/>
            <w:right w:val="none" w:sz="0" w:space="0" w:color="auto"/>
          </w:divBdr>
          <w:divsChild>
            <w:div w:id="1789423972">
              <w:marLeft w:val="0"/>
              <w:marRight w:val="0"/>
              <w:marTop w:val="0"/>
              <w:marBottom w:val="0"/>
              <w:divBdr>
                <w:top w:val="none" w:sz="0" w:space="0" w:color="auto"/>
                <w:left w:val="none" w:sz="0" w:space="0" w:color="auto"/>
                <w:bottom w:val="none" w:sz="0" w:space="0" w:color="auto"/>
                <w:right w:val="none" w:sz="0" w:space="0" w:color="auto"/>
              </w:divBdr>
            </w:div>
          </w:divsChild>
        </w:div>
        <w:div w:id="613437497">
          <w:marLeft w:val="0"/>
          <w:marRight w:val="0"/>
          <w:marTop w:val="0"/>
          <w:marBottom w:val="150"/>
          <w:divBdr>
            <w:top w:val="none" w:sz="0" w:space="0" w:color="auto"/>
            <w:left w:val="none" w:sz="0" w:space="0" w:color="auto"/>
            <w:bottom w:val="none" w:sz="0" w:space="0" w:color="auto"/>
            <w:right w:val="none" w:sz="0" w:space="0" w:color="auto"/>
          </w:divBdr>
        </w:div>
      </w:divsChild>
    </w:div>
    <w:div w:id="715666917">
      <w:bodyDiv w:val="1"/>
      <w:marLeft w:val="0"/>
      <w:marRight w:val="0"/>
      <w:marTop w:val="0"/>
      <w:marBottom w:val="0"/>
      <w:divBdr>
        <w:top w:val="none" w:sz="0" w:space="0" w:color="auto"/>
        <w:left w:val="none" w:sz="0" w:space="0" w:color="auto"/>
        <w:bottom w:val="none" w:sz="0" w:space="0" w:color="auto"/>
        <w:right w:val="none" w:sz="0" w:space="0" w:color="auto"/>
      </w:divBdr>
      <w:divsChild>
        <w:div w:id="636642133">
          <w:marLeft w:val="0"/>
          <w:marRight w:val="0"/>
          <w:marTop w:val="0"/>
          <w:marBottom w:val="150"/>
          <w:divBdr>
            <w:top w:val="none" w:sz="0" w:space="0" w:color="auto"/>
            <w:left w:val="none" w:sz="0" w:space="0" w:color="auto"/>
            <w:bottom w:val="none" w:sz="0" w:space="0" w:color="auto"/>
            <w:right w:val="none" w:sz="0" w:space="0" w:color="auto"/>
          </w:divBdr>
          <w:divsChild>
            <w:div w:id="828792352">
              <w:marLeft w:val="0"/>
              <w:marRight w:val="0"/>
              <w:marTop w:val="0"/>
              <w:marBottom w:val="0"/>
              <w:divBdr>
                <w:top w:val="none" w:sz="0" w:space="0" w:color="auto"/>
                <w:left w:val="none" w:sz="0" w:space="0" w:color="auto"/>
                <w:bottom w:val="none" w:sz="0" w:space="0" w:color="auto"/>
                <w:right w:val="none" w:sz="0" w:space="0" w:color="auto"/>
              </w:divBdr>
              <w:divsChild>
                <w:div w:id="1920406834">
                  <w:marLeft w:val="0"/>
                  <w:marRight w:val="0"/>
                  <w:marTop w:val="0"/>
                  <w:marBottom w:val="0"/>
                  <w:divBdr>
                    <w:top w:val="none" w:sz="0" w:space="0" w:color="auto"/>
                    <w:left w:val="none" w:sz="0" w:space="0" w:color="auto"/>
                    <w:bottom w:val="none" w:sz="0" w:space="0" w:color="auto"/>
                    <w:right w:val="none" w:sz="0" w:space="0" w:color="auto"/>
                  </w:divBdr>
                  <w:divsChild>
                    <w:div w:id="190297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849455">
          <w:marLeft w:val="0"/>
          <w:marRight w:val="0"/>
          <w:marTop w:val="0"/>
          <w:marBottom w:val="0"/>
          <w:divBdr>
            <w:top w:val="none" w:sz="0" w:space="0" w:color="auto"/>
            <w:left w:val="none" w:sz="0" w:space="0" w:color="auto"/>
            <w:bottom w:val="none" w:sz="0" w:space="0" w:color="auto"/>
            <w:right w:val="none" w:sz="0" w:space="0" w:color="auto"/>
          </w:divBdr>
        </w:div>
      </w:divsChild>
    </w:div>
    <w:div w:id="716046491">
      <w:bodyDiv w:val="1"/>
      <w:marLeft w:val="0"/>
      <w:marRight w:val="0"/>
      <w:marTop w:val="0"/>
      <w:marBottom w:val="0"/>
      <w:divBdr>
        <w:top w:val="none" w:sz="0" w:space="0" w:color="auto"/>
        <w:left w:val="none" w:sz="0" w:space="0" w:color="auto"/>
        <w:bottom w:val="none" w:sz="0" w:space="0" w:color="auto"/>
        <w:right w:val="none" w:sz="0" w:space="0" w:color="auto"/>
      </w:divBdr>
    </w:div>
    <w:div w:id="716666468">
      <w:bodyDiv w:val="1"/>
      <w:marLeft w:val="0"/>
      <w:marRight w:val="0"/>
      <w:marTop w:val="0"/>
      <w:marBottom w:val="0"/>
      <w:divBdr>
        <w:top w:val="none" w:sz="0" w:space="0" w:color="auto"/>
        <w:left w:val="none" w:sz="0" w:space="0" w:color="auto"/>
        <w:bottom w:val="none" w:sz="0" w:space="0" w:color="auto"/>
        <w:right w:val="none" w:sz="0" w:space="0" w:color="auto"/>
      </w:divBdr>
      <w:divsChild>
        <w:div w:id="147863931">
          <w:marLeft w:val="0"/>
          <w:marRight w:val="0"/>
          <w:marTop w:val="0"/>
          <w:marBottom w:val="0"/>
          <w:divBdr>
            <w:top w:val="none" w:sz="0" w:space="0" w:color="auto"/>
            <w:left w:val="none" w:sz="0" w:space="0" w:color="auto"/>
            <w:bottom w:val="none" w:sz="0" w:space="0" w:color="auto"/>
            <w:right w:val="none" w:sz="0" w:space="0" w:color="auto"/>
          </w:divBdr>
          <w:divsChild>
            <w:div w:id="3535754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17164099">
      <w:bodyDiv w:val="1"/>
      <w:marLeft w:val="0"/>
      <w:marRight w:val="0"/>
      <w:marTop w:val="0"/>
      <w:marBottom w:val="0"/>
      <w:divBdr>
        <w:top w:val="none" w:sz="0" w:space="0" w:color="auto"/>
        <w:left w:val="none" w:sz="0" w:space="0" w:color="auto"/>
        <w:bottom w:val="none" w:sz="0" w:space="0" w:color="auto"/>
        <w:right w:val="none" w:sz="0" w:space="0" w:color="auto"/>
      </w:divBdr>
    </w:div>
    <w:div w:id="717515930">
      <w:bodyDiv w:val="1"/>
      <w:marLeft w:val="0"/>
      <w:marRight w:val="0"/>
      <w:marTop w:val="0"/>
      <w:marBottom w:val="0"/>
      <w:divBdr>
        <w:top w:val="none" w:sz="0" w:space="0" w:color="auto"/>
        <w:left w:val="none" w:sz="0" w:space="0" w:color="auto"/>
        <w:bottom w:val="none" w:sz="0" w:space="0" w:color="auto"/>
        <w:right w:val="none" w:sz="0" w:space="0" w:color="auto"/>
      </w:divBdr>
      <w:divsChild>
        <w:div w:id="995642755">
          <w:marLeft w:val="0"/>
          <w:marRight w:val="0"/>
          <w:marTop w:val="0"/>
          <w:marBottom w:val="0"/>
          <w:divBdr>
            <w:top w:val="none" w:sz="0" w:space="0" w:color="auto"/>
            <w:left w:val="none" w:sz="0" w:space="0" w:color="auto"/>
            <w:bottom w:val="none" w:sz="0" w:space="0" w:color="auto"/>
            <w:right w:val="none" w:sz="0" w:space="0" w:color="auto"/>
          </w:divBdr>
          <w:divsChild>
            <w:div w:id="895506623">
              <w:marLeft w:val="0"/>
              <w:marRight w:val="0"/>
              <w:marTop w:val="0"/>
              <w:marBottom w:val="0"/>
              <w:divBdr>
                <w:top w:val="none" w:sz="0" w:space="0" w:color="auto"/>
                <w:left w:val="none" w:sz="0" w:space="0" w:color="auto"/>
                <w:bottom w:val="none" w:sz="0" w:space="0" w:color="auto"/>
                <w:right w:val="none" w:sz="0" w:space="0" w:color="auto"/>
              </w:divBdr>
              <w:divsChild>
                <w:div w:id="170148056">
                  <w:marLeft w:val="0"/>
                  <w:marRight w:val="0"/>
                  <w:marTop w:val="0"/>
                  <w:marBottom w:val="0"/>
                  <w:divBdr>
                    <w:top w:val="none" w:sz="0" w:space="0" w:color="auto"/>
                    <w:left w:val="none" w:sz="0" w:space="0" w:color="auto"/>
                    <w:bottom w:val="none" w:sz="0" w:space="0" w:color="auto"/>
                    <w:right w:val="none" w:sz="0" w:space="0" w:color="auto"/>
                  </w:divBdr>
                  <w:divsChild>
                    <w:div w:id="1720788845">
                      <w:marLeft w:val="0"/>
                      <w:marRight w:val="0"/>
                      <w:marTop w:val="0"/>
                      <w:marBottom w:val="0"/>
                      <w:divBdr>
                        <w:top w:val="none" w:sz="0" w:space="0" w:color="auto"/>
                        <w:left w:val="none" w:sz="0" w:space="0" w:color="auto"/>
                        <w:bottom w:val="none" w:sz="0" w:space="0" w:color="auto"/>
                        <w:right w:val="none" w:sz="0" w:space="0" w:color="auto"/>
                      </w:divBdr>
                      <w:divsChild>
                        <w:div w:id="1853178313">
                          <w:marLeft w:val="0"/>
                          <w:marRight w:val="0"/>
                          <w:marTop w:val="0"/>
                          <w:marBottom w:val="0"/>
                          <w:divBdr>
                            <w:top w:val="none" w:sz="0" w:space="0" w:color="auto"/>
                            <w:left w:val="none" w:sz="0" w:space="0" w:color="auto"/>
                            <w:bottom w:val="none" w:sz="0" w:space="0" w:color="auto"/>
                            <w:right w:val="none" w:sz="0" w:space="0" w:color="auto"/>
                          </w:divBdr>
                          <w:divsChild>
                            <w:div w:id="1960990942">
                              <w:marLeft w:val="0"/>
                              <w:marRight w:val="0"/>
                              <w:marTop w:val="0"/>
                              <w:marBottom w:val="0"/>
                              <w:divBdr>
                                <w:top w:val="none" w:sz="0" w:space="0" w:color="auto"/>
                                <w:left w:val="none" w:sz="0" w:space="0" w:color="auto"/>
                                <w:bottom w:val="none" w:sz="0" w:space="0" w:color="auto"/>
                                <w:right w:val="none" w:sz="0" w:space="0" w:color="auto"/>
                              </w:divBdr>
                              <w:divsChild>
                                <w:div w:id="548147391">
                                  <w:marLeft w:val="0"/>
                                  <w:marRight w:val="0"/>
                                  <w:marTop w:val="0"/>
                                  <w:marBottom w:val="0"/>
                                  <w:divBdr>
                                    <w:top w:val="none" w:sz="0" w:space="0" w:color="auto"/>
                                    <w:left w:val="none" w:sz="0" w:space="0" w:color="auto"/>
                                    <w:bottom w:val="none" w:sz="0" w:space="0" w:color="auto"/>
                                    <w:right w:val="none" w:sz="0" w:space="0" w:color="auto"/>
                                  </w:divBdr>
                                  <w:divsChild>
                                    <w:div w:id="1817144725">
                                      <w:marLeft w:val="0"/>
                                      <w:marRight w:val="0"/>
                                      <w:marTop w:val="0"/>
                                      <w:marBottom w:val="0"/>
                                      <w:divBdr>
                                        <w:top w:val="none" w:sz="0" w:space="0" w:color="auto"/>
                                        <w:left w:val="none" w:sz="0" w:space="0" w:color="auto"/>
                                        <w:bottom w:val="none" w:sz="0" w:space="0" w:color="auto"/>
                                        <w:right w:val="none" w:sz="0" w:space="0" w:color="auto"/>
                                      </w:divBdr>
                                      <w:divsChild>
                                        <w:div w:id="140772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8405988">
      <w:bodyDiv w:val="1"/>
      <w:marLeft w:val="0"/>
      <w:marRight w:val="0"/>
      <w:marTop w:val="0"/>
      <w:marBottom w:val="0"/>
      <w:divBdr>
        <w:top w:val="none" w:sz="0" w:space="0" w:color="auto"/>
        <w:left w:val="none" w:sz="0" w:space="0" w:color="auto"/>
        <w:bottom w:val="none" w:sz="0" w:space="0" w:color="auto"/>
        <w:right w:val="none" w:sz="0" w:space="0" w:color="auto"/>
      </w:divBdr>
      <w:divsChild>
        <w:div w:id="602959110">
          <w:marLeft w:val="0"/>
          <w:marRight w:val="0"/>
          <w:marTop w:val="0"/>
          <w:marBottom w:val="0"/>
          <w:divBdr>
            <w:top w:val="none" w:sz="0" w:space="0" w:color="auto"/>
            <w:left w:val="none" w:sz="0" w:space="0" w:color="auto"/>
            <w:bottom w:val="dotted" w:sz="6" w:space="4" w:color="DDDDDD"/>
            <w:right w:val="none" w:sz="0" w:space="0" w:color="auto"/>
          </w:divBdr>
        </w:div>
      </w:divsChild>
    </w:div>
    <w:div w:id="718745137">
      <w:bodyDiv w:val="1"/>
      <w:marLeft w:val="0"/>
      <w:marRight w:val="0"/>
      <w:marTop w:val="0"/>
      <w:marBottom w:val="0"/>
      <w:divBdr>
        <w:top w:val="none" w:sz="0" w:space="0" w:color="auto"/>
        <w:left w:val="none" w:sz="0" w:space="0" w:color="auto"/>
        <w:bottom w:val="none" w:sz="0" w:space="0" w:color="auto"/>
        <w:right w:val="none" w:sz="0" w:space="0" w:color="auto"/>
      </w:divBdr>
      <w:divsChild>
        <w:div w:id="1951664696">
          <w:marLeft w:val="0"/>
          <w:marRight w:val="0"/>
          <w:marTop w:val="0"/>
          <w:marBottom w:val="0"/>
          <w:divBdr>
            <w:top w:val="none" w:sz="0" w:space="0" w:color="auto"/>
            <w:left w:val="none" w:sz="0" w:space="0" w:color="auto"/>
            <w:bottom w:val="none" w:sz="0" w:space="0" w:color="auto"/>
            <w:right w:val="none" w:sz="0" w:space="0" w:color="auto"/>
          </w:divBdr>
          <w:divsChild>
            <w:div w:id="538511830">
              <w:marLeft w:val="0"/>
              <w:marRight w:val="0"/>
              <w:marTop w:val="0"/>
              <w:marBottom w:val="0"/>
              <w:divBdr>
                <w:top w:val="none" w:sz="0" w:space="0" w:color="auto"/>
                <w:left w:val="none" w:sz="0" w:space="0" w:color="auto"/>
                <w:bottom w:val="none" w:sz="0" w:space="0" w:color="auto"/>
                <w:right w:val="none" w:sz="0" w:space="0" w:color="auto"/>
              </w:divBdr>
              <w:divsChild>
                <w:div w:id="63622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07480">
          <w:marLeft w:val="0"/>
          <w:marRight w:val="0"/>
          <w:marTop w:val="0"/>
          <w:marBottom w:val="75"/>
          <w:divBdr>
            <w:top w:val="none" w:sz="0" w:space="0" w:color="auto"/>
            <w:left w:val="none" w:sz="0" w:space="0" w:color="auto"/>
            <w:bottom w:val="none" w:sz="0" w:space="0" w:color="auto"/>
            <w:right w:val="none" w:sz="0" w:space="0" w:color="auto"/>
          </w:divBdr>
        </w:div>
        <w:div w:id="1567690120">
          <w:marLeft w:val="0"/>
          <w:marRight w:val="0"/>
          <w:marTop w:val="0"/>
          <w:marBottom w:val="0"/>
          <w:divBdr>
            <w:top w:val="none" w:sz="0" w:space="0" w:color="auto"/>
            <w:left w:val="none" w:sz="0" w:space="0" w:color="auto"/>
            <w:bottom w:val="none" w:sz="0" w:space="0" w:color="auto"/>
            <w:right w:val="none" w:sz="0" w:space="0" w:color="auto"/>
          </w:divBdr>
          <w:divsChild>
            <w:div w:id="113139755">
              <w:marLeft w:val="0"/>
              <w:marRight w:val="0"/>
              <w:marTop w:val="0"/>
              <w:marBottom w:val="0"/>
              <w:divBdr>
                <w:top w:val="none" w:sz="0" w:space="0" w:color="auto"/>
                <w:left w:val="none" w:sz="0" w:space="0" w:color="auto"/>
                <w:bottom w:val="none" w:sz="0" w:space="0" w:color="auto"/>
                <w:right w:val="none" w:sz="0" w:space="0" w:color="auto"/>
              </w:divBdr>
              <w:divsChild>
                <w:div w:id="1186292653">
                  <w:marLeft w:val="0"/>
                  <w:marRight w:val="0"/>
                  <w:marTop w:val="0"/>
                  <w:marBottom w:val="450"/>
                  <w:divBdr>
                    <w:top w:val="none" w:sz="0" w:space="0" w:color="auto"/>
                    <w:left w:val="none" w:sz="0" w:space="0" w:color="auto"/>
                    <w:bottom w:val="none" w:sz="0" w:space="0" w:color="auto"/>
                    <w:right w:val="none" w:sz="0" w:space="0" w:color="auto"/>
                  </w:divBdr>
                  <w:divsChild>
                    <w:div w:id="3184591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718745624">
      <w:bodyDiv w:val="1"/>
      <w:marLeft w:val="0"/>
      <w:marRight w:val="0"/>
      <w:marTop w:val="0"/>
      <w:marBottom w:val="0"/>
      <w:divBdr>
        <w:top w:val="none" w:sz="0" w:space="0" w:color="auto"/>
        <w:left w:val="none" w:sz="0" w:space="0" w:color="auto"/>
        <w:bottom w:val="none" w:sz="0" w:space="0" w:color="auto"/>
        <w:right w:val="none" w:sz="0" w:space="0" w:color="auto"/>
      </w:divBdr>
      <w:divsChild>
        <w:div w:id="380448562">
          <w:marLeft w:val="0"/>
          <w:marRight w:val="0"/>
          <w:marTop w:val="0"/>
          <w:marBottom w:val="0"/>
          <w:divBdr>
            <w:top w:val="none" w:sz="0" w:space="0" w:color="auto"/>
            <w:left w:val="none" w:sz="0" w:space="0" w:color="auto"/>
            <w:bottom w:val="dotted" w:sz="6" w:space="4" w:color="DDDDDD"/>
            <w:right w:val="none" w:sz="0" w:space="0" w:color="auto"/>
          </w:divBdr>
          <w:divsChild>
            <w:div w:id="187796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940546">
      <w:bodyDiv w:val="1"/>
      <w:marLeft w:val="0"/>
      <w:marRight w:val="0"/>
      <w:marTop w:val="0"/>
      <w:marBottom w:val="0"/>
      <w:divBdr>
        <w:top w:val="none" w:sz="0" w:space="0" w:color="auto"/>
        <w:left w:val="none" w:sz="0" w:space="0" w:color="auto"/>
        <w:bottom w:val="none" w:sz="0" w:space="0" w:color="auto"/>
        <w:right w:val="none" w:sz="0" w:space="0" w:color="auto"/>
      </w:divBdr>
    </w:div>
    <w:div w:id="719478678">
      <w:bodyDiv w:val="1"/>
      <w:marLeft w:val="0"/>
      <w:marRight w:val="0"/>
      <w:marTop w:val="0"/>
      <w:marBottom w:val="0"/>
      <w:divBdr>
        <w:top w:val="none" w:sz="0" w:space="0" w:color="auto"/>
        <w:left w:val="none" w:sz="0" w:space="0" w:color="auto"/>
        <w:bottom w:val="none" w:sz="0" w:space="0" w:color="auto"/>
        <w:right w:val="none" w:sz="0" w:space="0" w:color="auto"/>
      </w:divBdr>
    </w:div>
    <w:div w:id="719594196">
      <w:bodyDiv w:val="1"/>
      <w:marLeft w:val="0"/>
      <w:marRight w:val="0"/>
      <w:marTop w:val="0"/>
      <w:marBottom w:val="0"/>
      <w:divBdr>
        <w:top w:val="none" w:sz="0" w:space="0" w:color="auto"/>
        <w:left w:val="none" w:sz="0" w:space="0" w:color="auto"/>
        <w:bottom w:val="none" w:sz="0" w:space="0" w:color="auto"/>
        <w:right w:val="none" w:sz="0" w:space="0" w:color="auto"/>
      </w:divBdr>
      <w:divsChild>
        <w:div w:id="1310092507">
          <w:marLeft w:val="0"/>
          <w:marRight w:val="0"/>
          <w:marTop w:val="0"/>
          <w:marBottom w:val="0"/>
          <w:divBdr>
            <w:top w:val="none" w:sz="0" w:space="0" w:color="auto"/>
            <w:left w:val="none" w:sz="0" w:space="0" w:color="auto"/>
            <w:bottom w:val="none" w:sz="0" w:space="0" w:color="auto"/>
            <w:right w:val="none" w:sz="0" w:space="0" w:color="auto"/>
          </w:divBdr>
        </w:div>
      </w:divsChild>
    </w:div>
    <w:div w:id="719599342">
      <w:bodyDiv w:val="1"/>
      <w:marLeft w:val="0"/>
      <w:marRight w:val="0"/>
      <w:marTop w:val="0"/>
      <w:marBottom w:val="0"/>
      <w:divBdr>
        <w:top w:val="none" w:sz="0" w:space="0" w:color="auto"/>
        <w:left w:val="none" w:sz="0" w:space="0" w:color="auto"/>
        <w:bottom w:val="none" w:sz="0" w:space="0" w:color="auto"/>
        <w:right w:val="none" w:sz="0" w:space="0" w:color="auto"/>
      </w:divBdr>
    </w:div>
    <w:div w:id="719673573">
      <w:bodyDiv w:val="1"/>
      <w:marLeft w:val="0"/>
      <w:marRight w:val="0"/>
      <w:marTop w:val="0"/>
      <w:marBottom w:val="0"/>
      <w:divBdr>
        <w:top w:val="none" w:sz="0" w:space="0" w:color="auto"/>
        <w:left w:val="none" w:sz="0" w:space="0" w:color="auto"/>
        <w:bottom w:val="none" w:sz="0" w:space="0" w:color="auto"/>
        <w:right w:val="none" w:sz="0" w:space="0" w:color="auto"/>
      </w:divBdr>
    </w:div>
    <w:div w:id="719675399">
      <w:bodyDiv w:val="1"/>
      <w:marLeft w:val="0"/>
      <w:marRight w:val="0"/>
      <w:marTop w:val="0"/>
      <w:marBottom w:val="0"/>
      <w:divBdr>
        <w:top w:val="none" w:sz="0" w:space="0" w:color="auto"/>
        <w:left w:val="none" w:sz="0" w:space="0" w:color="auto"/>
        <w:bottom w:val="none" w:sz="0" w:space="0" w:color="auto"/>
        <w:right w:val="none" w:sz="0" w:space="0" w:color="auto"/>
      </w:divBdr>
      <w:divsChild>
        <w:div w:id="94793054">
          <w:marLeft w:val="0"/>
          <w:marRight w:val="0"/>
          <w:marTop w:val="0"/>
          <w:marBottom w:val="450"/>
          <w:divBdr>
            <w:top w:val="none" w:sz="0" w:space="0" w:color="auto"/>
            <w:left w:val="none" w:sz="0" w:space="0" w:color="auto"/>
            <w:bottom w:val="single" w:sz="6" w:space="19" w:color="EEEEEE"/>
            <w:right w:val="none" w:sz="0" w:space="0" w:color="auto"/>
          </w:divBdr>
          <w:divsChild>
            <w:div w:id="1477145310">
              <w:marLeft w:val="0"/>
              <w:marRight w:val="0"/>
              <w:marTop w:val="0"/>
              <w:marBottom w:val="150"/>
              <w:divBdr>
                <w:top w:val="none" w:sz="0" w:space="0" w:color="auto"/>
                <w:left w:val="none" w:sz="0" w:space="0" w:color="auto"/>
                <w:bottom w:val="none" w:sz="0" w:space="0" w:color="auto"/>
                <w:right w:val="none" w:sz="0" w:space="0" w:color="auto"/>
              </w:divBdr>
              <w:divsChild>
                <w:div w:id="236790485">
                  <w:marLeft w:val="0"/>
                  <w:marRight w:val="0"/>
                  <w:marTop w:val="0"/>
                  <w:marBottom w:val="0"/>
                  <w:divBdr>
                    <w:top w:val="none" w:sz="0" w:space="0" w:color="auto"/>
                    <w:left w:val="none" w:sz="0" w:space="0" w:color="auto"/>
                    <w:bottom w:val="none" w:sz="0" w:space="0" w:color="auto"/>
                    <w:right w:val="none" w:sz="0" w:space="0" w:color="auto"/>
                  </w:divBdr>
                </w:div>
              </w:divsChild>
            </w:div>
            <w:div w:id="1541087621">
              <w:marLeft w:val="0"/>
              <w:marRight w:val="0"/>
              <w:marTop w:val="0"/>
              <w:marBottom w:val="0"/>
              <w:divBdr>
                <w:top w:val="none" w:sz="0" w:space="0" w:color="auto"/>
                <w:left w:val="none" w:sz="0" w:space="0" w:color="auto"/>
                <w:bottom w:val="none" w:sz="0" w:space="0" w:color="auto"/>
                <w:right w:val="none" w:sz="0" w:space="0" w:color="auto"/>
              </w:divBdr>
            </w:div>
          </w:divsChild>
        </w:div>
        <w:div w:id="810682053">
          <w:marLeft w:val="0"/>
          <w:marRight w:val="0"/>
          <w:marTop w:val="0"/>
          <w:marBottom w:val="0"/>
          <w:divBdr>
            <w:top w:val="none" w:sz="0" w:space="0" w:color="auto"/>
            <w:left w:val="none" w:sz="0" w:space="0" w:color="auto"/>
            <w:bottom w:val="none" w:sz="0" w:space="0" w:color="auto"/>
            <w:right w:val="none" w:sz="0" w:space="0" w:color="auto"/>
          </w:divBdr>
          <w:divsChild>
            <w:div w:id="543760024">
              <w:marLeft w:val="0"/>
              <w:marRight w:val="0"/>
              <w:marTop w:val="0"/>
              <w:marBottom w:val="0"/>
              <w:divBdr>
                <w:top w:val="none" w:sz="0" w:space="0" w:color="auto"/>
                <w:left w:val="none" w:sz="0" w:space="0" w:color="auto"/>
                <w:bottom w:val="none" w:sz="0" w:space="0" w:color="auto"/>
                <w:right w:val="none" w:sz="0" w:space="0" w:color="auto"/>
              </w:divBdr>
              <w:divsChild>
                <w:div w:id="104440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052785">
      <w:bodyDiv w:val="1"/>
      <w:marLeft w:val="0"/>
      <w:marRight w:val="0"/>
      <w:marTop w:val="0"/>
      <w:marBottom w:val="0"/>
      <w:divBdr>
        <w:top w:val="none" w:sz="0" w:space="0" w:color="auto"/>
        <w:left w:val="none" w:sz="0" w:space="0" w:color="auto"/>
        <w:bottom w:val="none" w:sz="0" w:space="0" w:color="auto"/>
        <w:right w:val="none" w:sz="0" w:space="0" w:color="auto"/>
      </w:divBdr>
      <w:divsChild>
        <w:div w:id="745298598">
          <w:marLeft w:val="0"/>
          <w:marRight w:val="0"/>
          <w:marTop w:val="0"/>
          <w:marBottom w:val="0"/>
          <w:divBdr>
            <w:top w:val="none" w:sz="0" w:space="0" w:color="auto"/>
            <w:left w:val="none" w:sz="0" w:space="0" w:color="auto"/>
            <w:bottom w:val="none" w:sz="0" w:space="0" w:color="auto"/>
            <w:right w:val="none" w:sz="0" w:space="0" w:color="auto"/>
          </w:divBdr>
          <w:divsChild>
            <w:div w:id="1233346607">
              <w:marLeft w:val="0"/>
              <w:marRight w:val="0"/>
              <w:marTop w:val="0"/>
              <w:marBottom w:val="150"/>
              <w:divBdr>
                <w:top w:val="none" w:sz="0" w:space="0" w:color="auto"/>
                <w:left w:val="none" w:sz="0" w:space="0" w:color="auto"/>
                <w:bottom w:val="none" w:sz="0" w:space="0" w:color="auto"/>
                <w:right w:val="none" w:sz="0" w:space="0" w:color="auto"/>
              </w:divBdr>
            </w:div>
            <w:div w:id="1380015952">
              <w:marLeft w:val="0"/>
              <w:marRight w:val="0"/>
              <w:marTop w:val="0"/>
              <w:marBottom w:val="0"/>
              <w:divBdr>
                <w:top w:val="none" w:sz="0" w:space="0" w:color="auto"/>
                <w:left w:val="none" w:sz="0" w:space="0" w:color="auto"/>
                <w:bottom w:val="none" w:sz="0" w:space="0" w:color="auto"/>
                <w:right w:val="none" w:sz="0" w:space="0" w:color="auto"/>
              </w:divBdr>
              <w:divsChild>
                <w:div w:id="84432755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06017309">
          <w:marLeft w:val="0"/>
          <w:marRight w:val="0"/>
          <w:marTop w:val="0"/>
          <w:marBottom w:val="150"/>
          <w:divBdr>
            <w:top w:val="none" w:sz="0" w:space="0" w:color="auto"/>
            <w:left w:val="none" w:sz="0" w:space="0" w:color="auto"/>
            <w:bottom w:val="none" w:sz="0" w:space="0" w:color="auto"/>
            <w:right w:val="none" w:sz="0" w:space="0" w:color="auto"/>
          </w:divBdr>
          <w:divsChild>
            <w:div w:id="275409102">
              <w:marLeft w:val="0"/>
              <w:marRight w:val="0"/>
              <w:marTop w:val="0"/>
              <w:marBottom w:val="0"/>
              <w:divBdr>
                <w:top w:val="none" w:sz="0" w:space="0" w:color="auto"/>
                <w:left w:val="none" w:sz="0" w:space="0" w:color="auto"/>
                <w:bottom w:val="none" w:sz="0" w:space="0" w:color="auto"/>
                <w:right w:val="none" w:sz="0" w:space="0" w:color="auto"/>
              </w:divBdr>
              <w:divsChild>
                <w:div w:id="200889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29586">
      <w:bodyDiv w:val="1"/>
      <w:marLeft w:val="0"/>
      <w:marRight w:val="0"/>
      <w:marTop w:val="0"/>
      <w:marBottom w:val="0"/>
      <w:divBdr>
        <w:top w:val="none" w:sz="0" w:space="0" w:color="auto"/>
        <w:left w:val="none" w:sz="0" w:space="0" w:color="auto"/>
        <w:bottom w:val="none" w:sz="0" w:space="0" w:color="auto"/>
        <w:right w:val="none" w:sz="0" w:space="0" w:color="auto"/>
      </w:divBdr>
      <w:divsChild>
        <w:div w:id="295962052">
          <w:marLeft w:val="0"/>
          <w:marRight w:val="0"/>
          <w:marTop w:val="0"/>
          <w:marBottom w:val="0"/>
          <w:divBdr>
            <w:top w:val="none" w:sz="0" w:space="0" w:color="auto"/>
            <w:left w:val="none" w:sz="0" w:space="0" w:color="auto"/>
            <w:bottom w:val="none" w:sz="0" w:space="0" w:color="auto"/>
            <w:right w:val="none" w:sz="0" w:space="0" w:color="auto"/>
          </w:divBdr>
        </w:div>
        <w:div w:id="381250866">
          <w:marLeft w:val="0"/>
          <w:marRight w:val="0"/>
          <w:marTop w:val="0"/>
          <w:marBottom w:val="0"/>
          <w:divBdr>
            <w:top w:val="none" w:sz="0" w:space="0" w:color="auto"/>
            <w:left w:val="none" w:sz="0" w:space="0" w:color="auto"/>
            <w:bottom w:val="none" w:sz="0" w:space="0" w:color="auto"/>
            <w:right w:val="none" w:sz="0" w:space="0" w:color="auto"/>
          </w:divBdr>
          <w:divsChild>
            <w:div w:id="1299607287">
              <w:marLeft w:val="0"/>
              <w:marRight w:val="0"/>
              <w:marTop w:val="0"/>
              <w:marBottom w:val="0"/>
              <w:divBdr>
                <w:top w:val="none" w:sz="0" w:space="0" w:color="auto"/>
                <w:left w:val="none" w:sz="0" w:space="0" w:color="auto"/>
                <w:bottom w:val="none" w:sz="0" w:space="0" w:color="auto"/>
                <w:right w:val="none" w:sz="0" w:space="0" w:color="auto"/>
              </w:divBdr>
              <w:divsChild>
                <w:div w:id="21400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295323">
          <w:marLeft w:val="0"/>
          <w:marRight w:val="0"/>
          <w:marTop w:val="0"/>
          <w:marBottom w:val="75"/>
          <w:divBdr>
            <w:top w:val="none" w:sz="0" w:space="0" w:color="auto"/>
            <w:left w:val="none" w:sz="0" w:space="0" w:color="auto"/>
            <w:bottom w:val="none" w:sz="0" w:space="0" w:color="auto"/>
            <w:right w:val="none" w:sz="0" w:space="0" w:color="auto"/>
          </w:divBdr>
        </w:div>
        <w:div w:id="1679968048">
          <w:marLeft w:val="0"/>
          <w:marRight w:val="0"/>
          <w:marTop w:val="0"/>
          <w:marBottom w:val="300"/>
          <w:divBdr>
            <w:top w:val="none" w:sz="0" w:space="0" w:color="auto"/>
            <w:left w:val="none" w:sz="0" w:space="0" w:color="auto"/>
            <w:bottom w:val="none" w:sz="0" w:space="0" w:color="auto"/>
            <w:right w:val="none" w:sz="0" w:space="0" w:color="auto"/>
          </w:divBdr>
          <w:divsChild>
            <w:div w:id="54213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134070">
      <w:bodyDiv w:val="1"/>
      <w:marLeft w:val="0"/>
      <w:marRight w:val="0"/>
      <w:marTop w:val="0"/>
      <w:marBottom w:val="0"/>
      <w:divBdr>
        <w:top w:val="none" w:sz="0" w:space="0" w:color="auto"/>
        <w:left w:val="none" w:sz="0" w:space="0" w:color="auto"/>
        <w:bottom w:val="none" w:sz="0" w:space="0" w:color="auto"/>
        <w:right w:val="none" w:sz="0" w:space="0" w:color="auto"/>
      </w:divBdr>
      <w:divsChild>
        <w:div w:id="57824406">
          <w:marLeft w:val="0"/>
          <w:marRight w:val="0"/>
          <w:marTop w:val="0"/>
          <w:marBottom w:val="150"/>
          <w:divBdr>
            <w:top w:val="none" w:sz="0" w:space="0" w:color="auto"/>
            <w:left w:val="none" w:sz="0" w:space="0" w:color="auto"/>
            <w:bottom w:val="none" w:sz="0" w:space="0" w:color="auto"/>
            <w:right w:val="none" w:sz="0" w:space="0" w:color="auto"/>
          </w:divBdr>
        </w:div>
        <w:div w:id="186603966">
          <w:marLeft w:val="0"/>
          <w:marRight w:val="0"/>
          <w:marTop w:val="0"/>
          <w:marBottom w:val="150"/>
          <w:divBdr>
            <w:top w:val="none" w:sz="0" w:space="0" w:color="auto"/>
            <w:left w:val="none" w:sz="0" w:space="0" w:color="auto"/>
            <w:bottom w:val="none" w:sz="0" w:space="0" w:color="auto"/>
            <w:right w:val="none" w:sz="0" w:space="0" w:color="auto"/>
          </w:divBdr>
          <w:divsChild>
            <w:div w:id="62812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10521">
      <w:bodyDiv w:val="1"/>
      <w:marLeft w:val="0"/>
      <w:marRight w:val="0"/>
      <w:marTop w:val="0"/>
      <w:marBottom w:val="0"/>
      <w:divBdr>
        <w:top w:val="none" w:sz="0" w:space="0" w:color="auto"/>
        <w:left w:val="none" w:sz="0" w:space="0" w:color="auto"/>
        <w:bottom w:val="none" w:sz="0" w:space="0" w:color="auto"/>
        <w:right w:val="none" w:sz="0" w:space="0" w:color="auto"/>
      </w:divBdr>
      <w:divsChild>
        <w:div w:id="1735659809">
          <w:marLeft w:val="0"/>
          <w:marRight w:val="0"/>
          <w:marTop w:val="0"/>
          <w:marBottom w:val="150"/>
          <w:divBdr>
            <w:top w:val="none" w:sz="0" w:space="0" w:color="auto"/>
            <w:left w:val="none" w:sz="0" w:space="0" w:color="auto"/>
            <w:bottom w:val="none" w:sz="0" w:space="0" w:color="auto"/>
            <w:right w:val="none" w:sz="0" w:space="0" w:color="auto"/>
          </w:divBdr>
        </w:div>
      </w:divsChild>
    </w:div>
    <w:div w:id="720712266">
      <w:bodyDiv w:val="1"/>
      <w:marLeft w:val="0"/>
      <w:marRight w:val="0"/>
      <w:marTop w:val="0"/>
      <w:marBottom w:val="0"/>
      <w:divBdr>
        <w:top w:val="none" w:sz="0" w:space="0" w:color="auto"/>
        <w:left w:val="none" w:sz="0" w:space="0" w:color="auto"/>
        <w:bottom w:val="none" w:sz="0" w:space="0" w:color="auto"/>
        <w:right w:val="none" w:sz="0" w:space="0" w:color="auto"/>
      </w:divBdr>
    </w:div>
    <w:div w:id="721178887">
      <w:bodyDiv w:val="1"/>
      <w:marLeft w:val="0"/>
      <w:marRight w:val="0"/>
      <w:marTop w:val="0"/>
      <w:marBottom w:val="0"/>
      <w:divBdr>
        <w:top w:val="none" w:sz="0" w:space="0" w:color="auto"/>
        <w:left w:val="none" w:sz="0" w:space="0" w:color="auto"/>
        <w:bottom w:val="none" w:sz="0" w:space="0" w:color="auto"/>
        <w:right w:val="none" w:sz="0" w:space="0" w:color="auto"/>
      </w:divBdr>
      <w:divsChild>
        <w:div w:id="528563643">
          <w:marLeft w:val="0"/>
          <w:marRight w:val="0"/>
          <w:marTop w:val="0"/>
          <w:marBottom w:val="150"/>
          <w:divBdr>
            <w:top w:val="none" w:sz="0" w:space="0" w:color="auto"/>
            <w:left w:val="none" w:sz="0" w:space="0" w:color="auto"/>
            <w:bottom w:val="none" w:sz="0" w:space="0" w:color="auto"/>
            <w:right w:val="none" w:sz="0" w:space="0" w:color="auto"/>
          </w:divBdr>
          <w:divsChild>
            <w:div w:id="716785419">
              <w:marLeft w:val="0"/>
              <w:marRight w:val="0"/>
              <w:marTop w:val="0"/>
              <w:marBottom w:val="0"/>
              <w:divBdr>
                <w:top w:val="none" w:sz="0" w:space="0" w:color="auto"/>
                <w:left w:val="none" w:sz="0" w:space="0" w:color="auto"/>
                <w:bottom w:val="none" w:sz="0" w:space="0" w:color="auto"/>
                <w:right w:val="none" w:sz="0" w:space="0" w:color="auto"/>
              </w:divBdr>
              <w:divsChild>
                <w:div w:id="72117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312478">
          <w:marLeft w:val="0"/>
          <w:marRight w:val="0"/>
          <w:marTop w:val="0"/>
          <w:marBottom w:val="150"/>
          <w:divBdr>
            <w:top w:val="none" w:sz="0" w:space="0" w:color="auto"/>
            <w:left w:val="none" w:sz="0" w:space="0" w:color="auto"/>
            <w:bottom w:val="none" w:sz="0" w:space="0" w:color="auto"/>
            <w:right w:val="none" w:sz="0" w:space="0" w:color="auto"/>
          </w:divBdr>
        </w:div>
        <w:div w:id="1298950376">
          <w:marLeft w:val="0"/>
          <w:marRight w:val="0"/>
          <w:marTop w:val="0"/>
          <w:marBottom w:val="0"/>
          <w:divBdr>
            <w:top w:val="none" w:sz="0" w:space="0" w:color="auto"/>
            <w:left w:val="none" w:sz="0" w:space="0" w:color="auto"/>
            <w:bottom w:val="none" w:sz="0" w:space="0" w:color="auto"/>
            <w:right w:val="none" w:sz="0" w:space="0" w:color="auto"/>
          </w:divBdr>
          <w:divsChild>
            <w:div w:id="7076085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21297053">
      <w:bodyDiv w:val="1"/>
      <w:marLeft w:val="0"/>
      <w:marRight w:val="0"/>
      <w:marTop w:val="0"/>
      <w:marBottom w:val="0"/>
      <w:divBdr>
        <w:top w:val="none" w:sz="0" w:space="0" w:color="auto"/>
        <w:left w:val="none" w:sz="0" w:space="0" w:color="auto"/>
        <w:bottom w:val="none" w:sz="0" w:space="0" w:color="auto"/>
        <w:right w:val="none" w:sz="0" w:space="0" w:color="auto"/>
      </w:divBdr>
      <w:divsChild>
        <w:div w:id="1489401935">
          <w:marLeft w:val="0"/>
          <w:marRight w:val="0"/>
          <w:marTop w:val="0"/>
          <w:marBottom w:val="0"/>
          <w:divBdr>
            <w:top w:val="none" w:sz="0" w:space="0" w:color="auto"/>
            <w:left w:val="none" w:sz="0" w:space="0" w:color="auto"/>
            <w:bottom w:val="none" w:sz="0" w:space="0" w:color="auto"/>
            <w:right w:val="none" w:sz="0" w:space="0" w:color="auto"/>
          </w:divBdr>
          <w:divsChild>
            <w:div w:id="167260718">
              <w:marLeft w:val="0"/>
              <w:marRight w:val="0"/>
              <w:marTop w:val="0"/>
              <w:marBottom w:val="0"/>
              <w:divBdr>
                <w:top w:val="none" w:sz="0" w:space="0" w:color="auto"/>
                <w:left w:val="none" w:sz="0" w:space="0" w:color="auto"/>
                <w:bottom w:val="none" w:sz="0" w:space="0" w:color="auto"/>
                <w:right w:val="none" w:sz="0" w:space="0" w:color="auto"/>
              </w:divBdr>
            </w:div>
            <w:div w:id="174198437">
              <w:marLeft w:val="0"/>
              <w:marRight w:val="0"/>
              <w:marTop w:val="0"/>
              <w:marBottom w:val="0"/>
              <w:divBdr>
                <w:top w:val="none" w:sz="0" w:space="0" w:color="auto"/>
                <w:left w:val="none" w:sz="0" w:space="0" w:color="auto"/>
                <w:bottom w:val="none" w:sz="0" w:space="0" w:color="auto"/>
                <w:right w:val="none" w:sz="0" w:space="0" w:color="auto"/>
              </w:divBdr>
            </w:div>
            <w:div w:id="609628846">
              <w:marLeft w:val="0"/>
              <w:marRight w:val="0"/>
              <w:marTop w:val="0"/>
              <w:marBottom w:val="0"/>
              <w:divBdr>
                <w:top w:val="none" w:sz="0" w:space="0" w:color="auto"/>
                <w:left w:val="none" w:sz="0" w:space="0" w:color="auto"/>
                <w:bottom w:val="none" w:sz="0" w:space="0" w:color="auto"/>
                <w:right w:val="none" w:sz="0" w:space="0" w:color="auto"/>
              </w:divBdr>
            </w:div>
            <w:div w:id="654605484">
              <w:marLeft w:val="0"/>
              <w:marRight w:val="0"/>
              <w:marTop w:val="0"/>
              <w:marBottom w:val="0"/>
              <w:divBdr>
                <w:top w:val="none" w:sz="0" w:space="0" w:color="auto"/>
                <w:left w:val="none" w:sz="0" w:space="0" w:color="auto"/>
                <w:bottom w:val="none" w:sz="0" w:space="0" w:color="auto"/>
                <w:right w:val="none" w:sz="0" w:space="0" w:color="auto"/>
              </w:divBdr>
            </w:div>
            <w:div w:id="682172497">
              <w:marLeft w:val="0"/>
              <w:marRight w:val="0"/>
              <w:marTop w:val="0"/>
              <w:marBottom w:val="0"/>
              <w:divBdr>
                <w:top w:val="none" w:sz="0" w:space="0" w:color="auto"/>
                <w:left w:val="none" w:sz="0" w:space="0" w:color="auto"/>
                <w:bottom w:val="none" w:sz="0" w:space="0" w:color="auto"/>
                <w:right w:val="none" w:sz="0" w:space="0" w:color="auto"/>
              </w:divBdr>
            </w:div>
            <w:div w:id="956060222">
              <w:marLeft w:val="0"/>
              <w:marRight w:val="0"/>
              <w:marTop w:val="0"/>
              <w:marBottom w:val="0"/>
              <w:divBdr>
                <w:top w:val="none" w:sz="0" w:space="0" w:color="auto"/>
                <w:left w:val="none" w:sz="0" w:space="0" w:color="auto"/>
                <w:bottom w:val="none" w:sz="0" w:space="0" w:color="auto"/>
                <w:right w:val="none" w:sz="0" w:space="0" w:color="auto"/>
              </w:divBdr>
            </w:div>
            <w:div w:id="980885939">
              <w:marLeft w:val="0"/>
              <w:marRight w:val="0"/>
              <w:marTop w:val="0"/>
              <w:marBottom w:val="0"/>
              <w:divBdr>
                <w:top w:val="none" w:sz="0" w:space="0" w:color="auto"/>
                <w:left w:val="none" w:sz="0" w:space="0" w:color="auto"/>
                <w:bottom w:val="none" w:sz="0" w:space="0" w:color="auto"/>
                <w:right w:val="none" w:sz="0" w:space="0" w:color="auto"/>
              </w:divBdr>
            </w:div>
            <w:div w:id="1025642878">
              <w:marLeft w:val="0"/>
              <w:marRight w:val="0"/>
              <w:marTop w:val="0"/>
              <w:marBottom w:val="0"/>
              <w:divBdr>
                <w:top w:val="none" w:sz="0" w:space="0" w:color="auto"/>
                <w:left w:val="none" w:sz="0" w:space="0" w:color="auto"/>
                <w:bottom w:val="none" w:sz="0" w:space="0" w:color="auto"/>
                <w:right w:val="none" w:sz="0" w:space="0" w:color="auto"/>
              </w:divBdr>
            </w:div>
            <w:div w:id="1139034633">
              <w:marLeft w:val="0"/>
              <w:marRight w:val="0"/>
              <w:marTop w:val="0"/>
              <w:marBottom w:val="0"/>
              <w:divBdr>
                <w:top w:val="none" w:sz="0" w:space="0" w:color="auto"/>
                <w:left w:val="none" w:sz="0" w:space="0" w:color="auto"/>
                <w:bottom w:val="none" w:sz="0" w:space="0" w:color="auto"/>
                <w:right w:val="none" w:sz="0" w:space="0" w:color="auto"/>
              </w:divBdr>
            </w:div>
            <w:div w:id="1150749789">
              <w:marLeft w:val="0"/>
              <w:marRight w:val="0"/>
              <w:marTop w:val="0"/>
              <w:marBottom w:val="0"/>
              <w:divBdr>
                <w:top w:val="none" w:sz="0" w:space="0" w:color="auto"/>
                <w:left w:val="none" w:sz="0" w:space="0" w:color="auto"/>
                <w:bottom w:val="none" w:sz="0" w:space="0" w:color="auto"/>
                <w:right w:val="none" w:sz="0" w:space="0" w:color="auto"/>
              </w:divBdr>
            </w:div>
            <w:div w:id="1220901908">
              <w:marLeft w:val="0"/>
              <w:marRight w:val="0"/>
              <w:marTop w:val="0"/>
              <w:marBottom w:val="0"/>
              <w:divBdr>
                <w:top w:val="none" w:sz="0" w:space="0" w:color="auto"/>
                <w:left w:val="none" w:sz="0" w:space="0" w:color="auto"/>
                <w:bottom w:val="none" w:sz="0" w:space="0" w:color="auto"/>
                <w:right w:val="none" w:sz="0" w:space="0" w:color="auto"/>
              </w:divBdr>
            </w:div>
            <w:div w:id="1269464935">
              <w:marLeft w:val="0"/>
              <w:marRight w:val="0"/>
              <w:marTop w:val="0"/>
              <w:marBottom w:val="0"/>
              <w:divBdr>
                <w:top w:val="none" w:sz="0" w:space="0" w:color="auto"/>
                <w:left w:val="none" w:sz="0" w:space="0" w:color="auto"/>
                <w:bottom w:val="none" w:sz="0" w:space="0" w:color="auto"/>
                <w:right w:val="none" w:sz="0" w:space="0" w:color="auto"/>
              </w:divBdr>
            </w:div>
            <w:div w:id="1378966929">
              <w:marLeft w:val="0"/>
              <w:marRight w:val="0"/>
              <w:marTop w:val="0"/>
              <w:marBottom w:val="0"/>
              <w:divBdr>
                <w:top w:val="none" w:sz="0" w:space="0" w:color="auto"/>
                <w:left w:val="none" w:sz="0" w:space="0" w:color="auto"/>
                <w:bottom w:val="none" w:sz="0" w:space="0" w:color="auto"/>
                <w:right w:val="none" w:sz="0" w:space="0" w:color="auto"/>
              </w:divBdr>
            </w:div>
            <w:div w:id="1435516469">
              <w:marLeft w:val="0"/>
              <w:marRight w:val="0"/>
              <w:marTop w:val="0"/>
              <w:marBottom w:val="0"/>
              <w:divBdr>
                <w:top w:val="none" w:sz="0" w:space="0" w:color="auto"/>
                <w:left w:val="none" w:sz="0" w:space="0" w:color="auto"/>
                <w:bottom w:val="none" w:sz="0" w:space="0" w:color="auto"/>
                <w:right w:val="none" w:sz="0" w:space="0" w:color="auto"/>
              </w:divBdr>
            </w:div>
            <w:div w:id="1496989097">
              <w:marLeft w:val="0"/>
              <w:marRight w:val="0"/>
              <w:marTop w:val="0"/>
              <w:marBottom w:val="0"/>
              <w:divBdr>
                <w:top w:val="none" w:sz="0" w:space="0" w:color="auto"/>
                <w:left w:val="none" w:sz="0" w:space="0" w:color="auto"/>
                <w:bottom w:val="none" w:sz="0" w:space="0" w:color="auto"/>
                <w:right w:val="none" w:sz="0" w:space="0" w:color="auto"/>
              </w:divBdr>
            </w:div>
            <w:div w:id="1614749724">
              <w:marLeft w:val="0"/>
              <w:marRight w:val="0"/>
              <w:marTop w:val="0"/>
              <w:marBottom w:val="0"/>
              <w:divBdr>
                <w:top w:val="none" w:sz="0" w:space="0" w:color="auto"/>
                <w:left w:val="none" w:sz="0" w:space="0" w:color="auto"/>
                <w:bottom w:val="none" w:sz="0" w:space="0" w:color="auto"/>
                <w:right w:val="none" w:sz="0" w:space="0" w:color="auto"/>
              </w:divBdr>
            </w:div>
            <w:div w:id="1806582572">
              <w:marLeft w:val="0"/>
              <w:marRight w:val="0"/>
              <w:marTop w:val="0"/>
              <w:marBottom w:val="0"/>
              <w:divBdr>
                <w:top w:val="none" w:sz="0" w:space="0" w:color="auto"/>
                <w:left w:val="none" w:sz="0" w:space="0" w:color="auto"/>
                <w:bottom w:val="none" w:sz="0" w:space="0" w:color="auto"/>
                <w:right w:val="none" w:sz="0" w:space="0" w:color="auto"/>
              </w:divBdr>
            </w:div>
            <w:div w:id="1870021635">
              <w:marLeft w:val="0"/>
              <w:marRight w:val="0"/>
              <w:marTop w:val="0"/>
              <w:marBottom w:val="0"/>
              <w:divBdr>
                <w:top w:val="none" w:sz="0" w:space="0" w:color="auto"/>
                <w:left w:val="none" w:sz="0" w:space="0" w:color="auto"/>
                <w:bottom w:val="none" w:sz="0" w:space="0" w:color="auto"/>
                <w:right w:val="none" w:sz="0" w:space="0" w:color="auto"/>
              </w:divBdr>
            </w:div>
            <w:div w:id="214672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634839">
      <w:bodyDiv w:val="1"/>
      <w:marLeft w:val="0"/>
      <w:marRight w:val="0"/>
      <w:marTop w:val="0"/>
      <w:marBottom w:val="0"/>
      <w:divBdr>
        <w:top w:val="none" w:sz="0" w:space="0" w:color="auto"/>
        <w:left w:val="none" w:sz="0" w:space="0" w:color="auto"/>
        <w:bottom w:val="none" w:sz="0" w:space="0" w:color="auto"/>
        <w:right w:val="none" w:sz="0" w:space="0" w:color="auto"/>
      </w:divBdr>
    </w:div>
    <w:div w:id="721827606">
      <w:bodyDiv w:val="1"/>
      <w:marLeft w:val="0"/>
      <w:marRight w:val="0"/>
      <w:marTop w:val="0"/>
      <w:marBottom w:val="0"/>
      <w:divBdr>
        <w:top w:val="none" w:sz="0" w:space="0" w:color="auto"/>
        <w:left w:val="none" w:sz="0" w:space="0" w:color="auto"/>
        <w:bottom w:val="none" w:sz="0" w:space="0" w:color="auto"/>
        <w:right w:val="none" w:sz="0" w:space="0" w:color="auto"/>
      </w:divBdr>
    </w:div>
    <w:div w:id="721834093">
      <w:bodyDiv w:val="1"/>
      <w:marLeft w:val="0"/>
      <w:marRight w:val="0"/>
      <w:marTop w:val="0"/>
      <w:marBottom w:val="0"/>
      <w:divBdr>
        <w:top w:val="none" w:sz="0" w:space="0" w:color="auto"/>
        <w:left w:val="none" w:sz="0" w:space="0" w:color="auto"/>
        <w:bottom w:val="none" w:sz="0" w:space="0" w:color="auto"/>
        <w:right w:val="none" w:sz="0" w:space="0" w:color="auto"/>
      </w:divBdr>
      <w:divsChild>
        <w:div w:id="1397976870">
          <w:marLeft w:val="0"/>
          <w:marRight w:val="0"/>
          <w:marTop w:val="0"/>
          <w:marBottom w:val="150"/>
          <w:divBdr>
            <w:top w:val="none" w:sz="0" w:space="0" w:color="auto"/>
            <w:left w:val="none" w:sz="0" w:space="0" w:color="auto"/>
            <w:bottom w:val="none" w:sz="0" w:space="0" w:color="auto"/>
            <w:right w:val="none" w:sz="0" w:space="0" w:color="auto"/>
          </w:divBdr>
        </w:div>
      </w:divsChild>
    </w:div>
    <w:div w:id="722098331">
      <w:bodyDiv w:val="1"/>
      <w:marLeft w:val="0"/>
      <w:marRight w:val="0"/>
      <w:marTop w:val="0"/>
      <w:marBottom w:val="0"/>
      <w:divBdr>
        <w:top w:val="none" w:sz="0" w:space="0" w:color="auto"/>
        <w:left w:val="none" w:sz="0" w:space="0" w:color="auto"/>
        <w:bottom w:val="none" w:sz="0" w:space="0" w:color="auto"/>
        <w:right w:val="none" w:sz="0" w:space="0" w:color="auto"/>
      </w:divBdr>
    </w:div>
    <w:div w:id="722604451">
      <w:bodyDiv w:val="1"/>
      <w:marLeft w:val="0"/>
      <w:marRight w:val="0"/>
      <w:marTop w:val="0"/>
      <w:marBottom w:val="0"/>
      <w:divBdr>
        <w:top w:val="none" w:sz="0" w:space="0" w:color="auto"/>
        <w:left w:val="none" w:sz="0" w:space="0" w:color="auto"/>
        <w:bottom w:val="none" w:sz="0" w:space="0" w:color="auto"/>
        <w:right w:val="none" w:sz="0" w:space="0" w:color="auto"/>
      </w:divBdr>
      <w:divsChild>
        <w:div w:id="439616470">
          <w:marLeft w:val="0"/>
          <w:marRight w:val="0"/>
          <w:marTop w:val="0"/>
          <w:marBottom w:val="150"/>
          <w:divBdr>
            <w:top w:val="none" w:sz="0" w:space="0" w:color="auto"/>
            <w:left w:val="none" w:sz="0" w:space="0" w:color="auto"/>
            <w:bottom w:val="none" w:sz="0" w:space="0" w:color="auto"/>
            <w:right w:val="none" w:sz="0" w:space="0" w:color="auto"/>
          </w:divBdr>
        </w:div>
      </w:divsChild>
    </w:div>
    <w:div w:id="722945615">
      <w:bodyDiv w:val="1"/>
      <w:marLeft w:val="0"/>
      <w:marRight w:val="0"/>
      <w:marTop w:val="0"/>
      <w:marBottom w:val="0"/>
      <w:divBdr>
        <w:top w:val="none" w:sz="0" w:space="0" w:color="auto"/>
        <w:left w:val="none" w:sz="0" w:space="0" w:color="auto"/>
        <w:bottom w:val="none" w:sz="0" w:space="0" w:color="auto"/>
        <w:right w:val="none" w:sz="0" w:space="0" w:color="auto"/>
      </w:divBdr>
    </w:div>
    <w:div w:id="723139980">
      <w:bodyDiv w:val="1"/>
      <w:marLeft w:val="0"/>
      <w:marRight w:val="0"/>
      <w:marTop w:val="0"/>
      <w:marBottom w:val="0"/>
      <w:divBdr>
        <w:top w:val="none" w:sz="0" w:space="0" w:color="auto"/>
        <w:left w:val="none" w:sz="0" w:space="0" w:color="auto"/>
        <w:bottom w:val="none" w:sz="0" w:space="0" w:color="auto"/>
        <w:right w:val="none" w:sz="0" w:space="0" w:color="auto"/>
      </w:divBdr>
      <w:divsChild>
        <w:div w:id="391656406">
          <w:marLeft w:val="0"/>
          <w:marRight w:val="0"/>
          <w:marTop w:val="0"/>
          <w:marBottom w:val="0"/>
          <w:divBdr>
            <w:top w:val="none" w:sz="0" w:space="0" w:color="auto"/>
            <w:left w:val="none" w:sz="0" w:space="0" w:color="auto"/>
            <w:bottom w:val="dotted" w:sz="6" w:space="4" w:color="DDDDDD"/>
            <w:right w:val="none" w:sz="0" w:space="0" w:color="auto"/>
          </w:divBdr>
        </w:div>
      </w:divsChild>
    </w:div>
    <w:div w:id="723531573">
      <w:bodyDiv w:val="1"/>
      <w:marLeft w:val="0"/>
      <w:marRight w:val="0"/>
      <w:marTop w:val="0"/>
      <w:marBottom w:val="0"/>
      <w:divBdr>
        <w:top w:val="none" w:sz="0" w:space="0" w:color="auto"/>
        <w:left w:val="none" w:sz="0" w:space="0" w:color="auto"/>
        <w:bottom w:val="none" w:sz="0" w:space="0" w:color="auto"/>
        <w:right w:val="none" w:sz="0" w:space="0" w:color="auto"/>
      </w:divBdr>
    </w:div>
    <w:div w:id="724329387">
      <w:bodyDiv w:val="1"/>
      <w:marLeft w:val="0"/>
      <w:marRight w:val="0"/>
      <w:marTop w:val="0"/>
      <w:marBottom w:val="0"/>
      <w:divBdr>
        <w:top w:val="none" w:sz="0" w:space="0" w:color="auto"/>
        <w:left w:val="none" w:sz="0" w:space="0" w:color="auto"/>
        <w:bottom w:val="none" w:sz="0" w:space="0" w:color="auto"/>
        <w:right w:val="none" w:sz="0" w:space="0" w:color="auto"/>
      </w:divBdr>
    </w:div>
    <w:div w:id="724376928">
      <w:bodyDiv w:val="1"/>
      <w:marLeft w:val="0"/>
      <w:marRight w:val="0"/>
      <w:marTop w:val="0"/>
      <w:marBottom w:val="0"/>
      <w:divBdr>
        <w:top w:val="none" w:sz="0" w:space="0" w:color="auto"/>
        <w:left w:val="none" w:sz="0" w:space="0" w:color="auto"/>
        <w:bottom w:val="none" w:sz="0" w:space="0" w:color="auto"/>
        <w:right w:val="none" w:sz="0" w:space="0" w:color="auto"/>
      </w:divBdr>
      <w:divsChild>
        <w:div w:id="214198375">
          <w:marLeft w:val="0"/>
          <w:marRight w:val="0"/>
          <w:marTop w:val="0"/>
          <w:marBottom w:val="75"/>
          <w:divBdr>
            <w:top w:val="none" w:sz="0" w:space="0" w:color="auto"/>
            <w:left w:val="none" w:sz="0" w:space="0" w:color="auto"/>
            <w:bottom w:val="none" w:sz="0" w:space="0" w:color="auto"/>
            <w:right w:val="none" w:sz="0" w:space="0" w:color="auto"/>
          </w:divBdr>
        </w:div>
        <w:div w:id="1890727616">
          <w:marLeft w:val="0"/>
          <w:marRight w:val="0"/>
          <w:marTop w:val="0"/>
          <w:marBottom w:val="0"/>
          <w:divBdr>
            <w:top w:val="none" w:sz="0" w:space="0" w:color="auto"/>
            <w:left w:val="none" w:sz="0" w:space="0" w:color="auto"/>
            <w:bottom w:val="none" w:sz="0" w:space="0" w:color="auto"/>
            <w:right w:val="none" w:sz="0" w:space="0" w:color="auto"/>
          </w:divBdr>
          <w:divsChild>
            <w:div w:id="2025744237">
              <w:marLeft w:val="0"/>
              <w:marRight w:val="0"/>
              <w:marTop w:val="0"/>
              <w:marBottom w:val="0"/>
              <w:divBdr>
                <w:top w:val="none" w:sz="0" w:space="0" w:color="auto"/>
                <w:left w:val="none" w:sz="0" w:space="0" w:color="auto"/>
                <w:bottom w:val="none" w:sz="0" w:space="0" w:color="auto"/>
                <w:right w:val="none" w:sz="0" w:space="0" w:color="auto"/>
              </w:divBdr>
              <w:divsChild>
                <w:div w:id="48859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820351">
          <w:marLeft w:val="0"/>
          <w:marRight w:val="0"/>
          <w:marTop w:val="0"/>
          <w:marBottom w:val="0"/>
          <w:divBdr>
            <w:top w:val="none" w:sz="0" w:space="0" w:color="auto"/>
            <w:left w:val="none" w:sz="0" w:space="0" w:color="auto"/>
            <w:bottom w:val="none" w:sz="0" w:space="0" w:color="auto"/>
            <w:right w:val="none" w:sz="0" w:space="0" w:color="auto"/>
          </w:divBdr>
          <w:divsChild>
            <w:div w:id="51395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882268">
      <w:bodyDiv w:val="1"/>
      <w:marLeft w:val="0"/>
      <w:marRight w:val="0"/>
      <w:marTop w:val="0"/>
      <w:marBottom w:val="0"/>
      <w:divBdr>
        <w:top w:val="none" w:sz="0" w:space="0" w:color="auto"/>
        <w:left w:val="none" w:sz="0" w:space="0" w:color="auto"/>
        <w:bottom w:val="none" w:sz="0" w:space="0" w:color="auto"/>
        <w:right w:val="none" w:sz="0" w:space="0" w:color="auto"/>
      </w:divBdr>
      <w:divsChild>
        <w:div w:id="378820231">
          <w:marLeft w:val="0"/>
          <w:marRight w:val="0"/>
          <w:marTop w:val="0"/>
          <w:marBottom w:val="0"/>
          <w:divBdr>
            <w:top w:val="none" w:sz="0" w:space="0" w:color="auto"/>
            <w:left w:val="none" w:sz="0" w:space="0" w:color="auto"/>
            <w:bottom w:val="none" w:sz="0" w:space="0" w:color="auto"/>
            <w:right w:val="none" w:sz="0" w:space="0" w:color="auto"/>
          </w:divBdr>
          <w:divsChild>
            <w:div w:id="503591019">
              <w:marLeft w:val="0"/>
              <w:marRight w:val="0"/>
              <w:marTop w:val="225"/>
              <w:marBottom w:val="225"/>
              <w:divBdr>
                <w:top w:val="none" w:sz="0" w:space="0" w:color="auto"/>
                <w:left w:val="none" w:sz="0" w:space="0" w:color="auto"/>
                <w:bottom w:val="none" w:sz="0" w:space="0" w:color="auto"/>
                <w:right w:val="none" w:sz="0" w:space="0" w:color="auto"/>
              </w:divBdr>
            </w:div>
          </w:divsChild>
        </w:div>
        <w:div w:id="791554777">
          <w:marLeft w:val="0"/>
          <w:marRight w:val="0"/>
          <w:marTop w:val="0"/>
          <w:marBottom w:val="150"/>
          <w:divBdr>
            <w:top w:val="none" w:sz="0" w:space="0" w:color="auto"/>
            <w:left w:val="none" w:sz="0" w:space="0" w:color="auto"/>
            <w:bottom w:val="none" w:sz="0" w:space="0" w:color="auto"/>
            <w:right w:val="none" w:sz="0" w:space="0" w:color="auto"/>
          </w:divBdr>
          <w:divsChild>
            <w:div w:id="609624017">
              <w:marLeft w:val="0"/>
              <w:marRight w:val="0"/>
              <w:marTop w:val="0"/>
              <w:marBottom w:val="0"/>
              <w:divBdr>
                <w:top w:val="none" w:sz="0" w:space="0" w:color="auto"/>
                <w:left w:val="none" w:sz="0" w:space="0" w:color="auto"/>
                <w:bottom w:val="none" w:sz="0" w:space="0" w:color="auto"/>
                <w:right w:val="none" w:sz="0" w:space="0" w:color="auto"/>
              </w:divBdr>
              <w:divsChild>
                <w:div w:id="72313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291626">
          <w:marLeft w:val="0"/>
          <w:marRight w:val="0"/>
          <w:marTop w:val="0"/>
          <w:marBottom w:val="150"/>
          <w:divBdr>
            <w:top w:val="none" w:sz="0" w:space="0" w:color="auto"/>
            <w:left w:val="none" w:sz="0" w:space="0" w:color="auto"/>
            <w:bottom w:val="none" w:sz="0" w:space="0" w:color="auto"/>
            <w:right w:val="none" w:sz="0" w:space="0" w:color="auto"/>
          </w:divBdr>
        </w:div>
      </w:divsChild>
    </w:div>
    <w:div w:id="725952852">
      <w:bodyDiv w:val="1"/>
      <w:marLeft w:val="0"/>
      <w:marRight w:val="0"/>
      <w:marTop w:val="0"/>
      <w:marBottom w:val="0"/>
      <w:divBdr>
        <w:top w:val="none" w:sz="0" w:space="0" w:color="auto"/>
        <w:left w:val="none" w:sz="0" w:space="0" w:color="auto"/>
        <w:bottom w:val="none" w:sz="0" w:space="0" w:color="auto"/>
        <w:right w:val="none" w:sz="0" w:space="0" w:color="auto"/>
      </w:divBdr>
    </w:div>
    <w:div w:id="726033294">
      <w:bodyDiv w:val="1"/>
      <w:marLeft w:val="0"/>
      <w:marRight w:val="0"/>
      <w:marTop w:val="0"/>
      <w:marBottom w:val="0"/>
      <w:divBdr>
        <w:top w:val="none" w:sz="0" w:space="0" w:color="auto"/>
        <w:left w:val="none" w:sz="0" w:space="0" w:color="auto"/>
        <w:bottom w:val="none" w:sz="0" w:space="0" w:color="auto"/>
        <w:right w:val="none" w:sz="0" w:space="0" w:color="auto"/>
      </w:divBdr>
      <w:divsChild>
        <w:div w:id="156387941">
          <w:marLeft w:val="0"/>
          <w:marRight w:val="0"/>
          <w:marTop w:val="0"/>
          <w:marBottom w:val="0"/>
          <w:divBdr>
            <w:top w:val="none" w:sz="0" w:space="0" w:color="auto"/>
            <w:left w:val="none" w:sz="0" w:space="0" w:color="auto"/>
            <w:bottom w:val="none" w:sz="0" w:space="0" w:color="auto"/>
            <w:right w:val="none" w:sz="0" w:space="0" w:color="auto"/>
          </w:divBdr>
          <w:divsChild>
            <w:div w:id="377779592">
              <w:marLeft w:val="0"/>
              <w:marRight w:val="0"/>
              <w:marTop w:val="0"/>
              <w:marBottom w:val="0"/>
              <w:divBdr>
                <w:top w:val="none" w:sz="0" w:space="0" w:color="auto"/>
                <w:left w:val="none" w:sz="0" w:space="0" w:color="auto"/>
                <w:bottom w:val="none" w:sz="0" w:space="0" w:color="auto"/>
                <w:right w:val="none" w:sz="0" w:space="0" w:color="auto"/>
              </w:divBdr>
              <w:divsChild>
                <w:div w:id="1237397374">
                  <w:marLeft w:val="0"/>
                  <w:marRight w:val="0"/>
                  <w:marTop w:val="0"/>
                  <w:marBottom w:val="0"/>
                  <w:divBdr>
                    <w:top w:val="none" w:sz="0" w:space="0" w:color="auto"/>
                    <w:left w:val="none" w:sz="0" w:space="0" w:color="auto"/>
                    <w:bottom w:val="none" w:sz="0" w:space="0" w:color="auto"/>
                    <w:right w:val="none" w:sz="0" w:space="0" w:color="auto"/>
                  </w:divBdr>
                  <w:divsChild>
                    <w:div w:id="1020739367">
                      <w:marLeft w:val="0"/>
                      <w:marRight w:val="0"/>
                      <w:marTop w:val="0"/>
                      <w:marBottom w:val="0"/>
                      <w:divBdr>
                        <w:top w:val="none" w:sz="0" w:space="0" w:color="auto"/>
                        <w:left w:val="none" w:sz="0" w:space="0" w:color="auto"/>
                        <w:bottom w:val="none" w:sz="0" w:space="0" w:color="auto"/>
                        <w:right w:val="none" w:sz="0" w:space="0" w:color="auto"/>
                      </w:divBdr>
                      <w:divsChild>
                        <w:div w:id="308824197">
                          <w:marLeft w:val="0"/>
                          <w:marRight w:val="0"/>
                          <w:marTop w:val="0"/>
                          <w:marBottom w:val="0"/>
                          <w:divBdr>
                            <w:top w:val="none" w:sz="0" w:space="0" w:color="auto"/>
                            <w:left w:val="none" w:sz="0" w:space="0" w:color="auto"/>
                            <w:bottom w:val="none" w:sz="0" w:space="0" w:color="auto"/>
                            <w:right w:val="none" w:sz="0" w:space="0" w:color="auto"/>
                          </w:divBdr>
                          <w:divsChild>
                            <w:div w:id="1997226449">
                              <w:marLeft w:val="0"/>
                              <w:marRight w:val="0"/>
                              <w:marTop w:val="0"/>
                              <w:marBottom w:val="0"/>
                              <w:divBdr>
                                <w:top w:val="none" w:sz="0" w:space="0" w:color="auto"/>
                                <w:left w:val="none" w:sz="0" w:space="0" w:color="auto"/>
                                <w:bottom w:val="none" w:sz="0" w:space="0" w:color="auto"/>
                                <w:right w:val="none" w:sz="0" w:space="0" w:color="auto"/>
                              </w:divBdr>
                              <w:divsChild>
                                <w:div w:id="1151601344">
                                  <w:marLeft w:val="0"/>
                                  <w:marRight w:val="0"/>
                                  <w:marTop w:val="0"/>
                                  <w:marBottom w:val="0"/>
                                  <w:divBdr>
                                    <w:top w:val="none" w:sz="0" w:space="0" w:color="auto"/>
                                    <w:left w:val="none" w:sz="0" w:space="0" w:color="auto"/>
                                    <w:bottom w:val="none" w:sz="0" w:space="0" w:color="auto"/>
                                    <w:right w:val="none" w:sz="0" w:space="0" w:color="auto"/>
                                  </w:divBdr>
                                  <w:divsChild>
                                    <w:div w:id="10932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340149">
      <w:bodyDiv w:val="1"/>
      <w:marLeft w:val="0"/>
      <w:marRight w:val="0"/>
      <w:marTop w:val="0"/>
      <w:marBottom w:val="0"/>
      <w:divBdr>
        <w:top w:val="none" w:sz="0" w:space="0" w:color="auto"/>
        <w:left w:val="none" w:sz="0" w:space="0" w:color="auto"/>
        <w:bottom w:val="none" w:sz="0" w:space="0" w:color="auto"/>
        <w:right w:val="none" w:sz="0" w:space="0" w:color="auto"/>
      </w:divBdr>
      <w:divsChild>
        <w:div w:id="135994901">
          <w:marLeft w:val="0"/>
          <w:marRight w:val="0"/>
          <w:marTop w:val="0"/>
          <w:marBottom w:val="0"/>
          <w:divBdr>
            <w:top w:val="none" w:sz="0" w:space="0" w:color="auto"/>
            <w:left w:val="none" w:sz="0" w:space="0" w:color="auto"/>
            <w:bottom w:val="dotted" w:sz="6" w:space="4" w:color="DDDDDD"/>
            <w:right w:val="none" w:sz="0" w:space="0" w:color="auto"/>
          </w:divBdr>
        </w:div>
      </w:divsChild>
    </w:div>
    <w:div w:id="726951401">
      <w:bodyDiv w:val="1"/>
      <w:marLeft w:val="0"/>
      <w:marRight w:val="0"/>
      <w:marTop w:val="0"/>
      <w:marBottom w:val="0"/>
      <w:divBdr>
        <w:top w:val="none" w:sz="0" w:space="0" w:color="auto"/>
        <w:left w:val="none" w:sz="0" w:space="0" w:color="auto"/>
        <w:bottom w:val="none" w:sz="0" w:space="0" w:color="auto"/>
        <w:right w:val="none" w:sz="0" w:space="0" w:color="auto"/>
      </w:divBdr>
      <w:divsChild>
        <w:div w:id="788201522">
          <w:marLeft w:val="0"/>
          <w:marRight w:val="0"/>
          <w:marTop w:val="0"/>
          <w:marBottom w:val="300"/>
          <w:divBdr>
            <w:top w:val="none" w:sz="0" w:space="0" w:color="auto"/>
            <w:left w:val="none" w:sz="0" w:space="0" w:color="auto"/>
            <w:bottom w:val="none" w:sz="0" w:space="0" w:color="auto"/>
            <w:right w:val="none" w:sz="0" w:space="0" w:color="auto"/>
          </w:divBdr>
          <w:divsChild>
            <w:div w:id="735127389">
              <w:marLeft w:val="0"/>
              <w:marRight w:val="0"/>
              <w:marTop w:val="0"/>
              <w:marBottom w:val="0"/>
              <w:divBdr>
                <w:top w:val="none" w:sz="0" w:space="0" w:color="auto"/>
                <w:left w:val="none" w:sz="0" w:space="0" w:color="auto"/>
                <w:bottom w:val="none" w:sz="0" w:space="0" w:color="auto"/>
                <w:right w:val="none" w:sz="0" w:space="0" w:color="auto"/>
              </w:divBdr>
            </w:div>
          </w:divsChild>
        </w:div>
        <w:div w:id="1597665743">
          <w:marLeft w:val="0"/>
          <w:marRight w:val="0"/>
          <w:marTop w:val="0"/>
          <w:marBottom w:val="75"/>
          <w:divBdr>
            <w:top w:val="none" w:sz="0" w:space="0" w:color="auto"/>
            <w:left w:val="none" w:sz="0" w:space="0" w:color="auto"/>
            <w:bottom w:val="none" w:sz="0" w:space="0" w:color="auto"/>
            <w:right w:val="none" w:sz="0" w:space="0" w:color="auto"/>
          </w:divBdr>
        </w:div>
        <w:div w:id="1960140571">
          <w:marLeft w:val="0"/>
          <w:marRight w:val="0"/>
          <w:marTop w:val="0"/>
          <w:marBottom w:val="0"/>
          <w:divBdr>
            <w:top w:val="none" w:sz="0" w:space="0" w:color="auto"/>
            <w:left w:val="none" w:sz="0" w:space="0" w:color="auto"/>
            <w:bottom w:val="none" w:sz="0" w:space="0" w:color="auto"/>
            <w:right w:val="none" w:sz="0" w:space="0" w:color="auto"/>
          </w:divBdr>
        </w:div>
        <w:div w:id="2043818323">
          <w:marLeft w:val="0"/>
          <w:marRight w:val="0"/>
          <w:marTop w:val="0"/>
          <w:marBottom w:val="0"/>
          <w:divBdr>
            <w:top w:val="none" w:sz="0" w:space="0" w:color="auto"/>
            <w:left w:val="none" w:sz="0" w:space="0" w:color="auto"/>
            <w:bottom w:val="none" w:sz="0" w:space="0" w:color="auto"/>
            <w:right w:val="none" w:sz="0" w:space="0" w:color="auto"/>
          </w:divBdr>
          <w:divsChild>
            <w:div w:id="279261454">
              <w:marLeft w:val="0"/>
              <w:marRight w:val="0"/>
              <w:marTop w:val="0"/>
              <w:marBottom w:val="0"/>
              <w:divBdr>
                <w:top w:val="none" w:sz="0" w:space="0" w:color="auto"/>
                <w:left w:val="none" w:sz="0" w:space="0" w:color="auto"/>
                <w:bottom w:val="none" w:sz="0" w:space="0" w:color="auto"/>
                <w:right w:val="none" w:sz="0" w:space="0" w:color="auto"/>
              </w:divBdr>
              <w:divsChild>
                <w:div w:id="120783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143704">
      <w:bodyDiv w:val="1"/>
      <w:marLeft w:val="0"/>
      <w:marRight w:val="0"/>
      <w:marTop w:val="0"/>
      <w:marBottom w:val="0"/>
      <w:divBdr>
        <w:top w:val="none" w:sz="0" w:space="0" w:color="auto"/>
        <w:left w:val="none" w:sz="0" w:space="0" w:color="auto"/>
        <w:bottom w:val="none" w:sz="0" w:space="0" w:color="auto"/>
        <w:right w:val="none" w:sz="0" w:space="0" w:color="auto"/>
      </w:divBdr>
      <w:divsChild>
        <w:div w:id="14432368">
          <w:marLeft w:val="0"/>
          <w:marRight w:val="0"/>
          <w:marTop w:val="0"/>
          <w:marBottom w:val="0"/>
          <w:divBdr>
            <w:top w:val="none" w:sz="0" w:space="0" w:color="auto"/>
            <w:left w:val="none" w:sz="0" w:space="0" w:color="auto"/>
            <w:bottom w:val="none" w:sz="0" w:space="0" w:color="auto"/>
            <w:right w:val="none" w:sz="0" w:space="0" w:color="auto"/>
          </w:divBdr>
          <w:divsChild>
            <w:div w:id="1941526944">
              <w:marLeft w:val="0"/>
              <w:marRight w:val="0"/>
              <w:marTop w:val="0"/>
              <w:marBottom w:val="0"/>
              <w:divBdr>
                <w:top w:val="none" w:sz="0" w:space="0" w:color="auto"/>
                <w:left w:val="none" w:sz="0" w:space="0" w:color="auto"/>
                <w:bottom w:val="none" w:sz="0" w:space="0" w:color="auto"/>
                <w:right w:val="none" w:sz="0" w:space="0" w:color="auto"/>
              </w:divBdr>
              <w:divsChild>
                <w:div w:id="521748487">
                  <w:marLeft w:val="0"/>
                  <w:marRight w:val="0"/>
                  <w:marTop w:val="0"/>
                  <w:marBottom w:val="0"/>
                  <w:divBdr>
                    <w:top w:val="none" w:sz="0" w:space="0" w:color="auto"/>
                    <w:left w:val="none" w:sz="0" w:space="0" w:color="auto"/>
                    <w:bottom w:val="none" w:sz="0" w:space="0" w:color="auto"/>
                    <w:right w:val="none" w:sz="0" w:space="0" w:color="auto"/>
                  </w:divBdr>
                  <w:divsChild>
                    <w:div w:id="1225600374">
                      <w:marLeft w:val="0"/>
                      <w:marRight w:val="0"/>
                      <w:marTop w:val="0"/>
                      <w:marBottom w:val="0"/>
                      <w:divBdr>
                        <w:top w:val="none" w:sz="0" w:space="0" w:color="auto"/>
                        <w:left w:val="none" w:sz="0" w:space="0" w:color="auto"/>
                        <w:bottom w:val="none" w:sz="0" w:space="0" w:color="auto"/>
                        <w:right w:val="none" w:sz="0" w:space="0" w:color="auto"/>
                      </w:divBdr>
                      <w:divsChild>
                        <w:div w:id="132601180">
                          <w:marLeft w:val="0"/>
                          <w:marRight w:val="0"/>
                          <w:marTop w:val="0"/>
                          <w:marBottom w:val="0"/>
                          <w:divBdr>
                            <w:top w:val="none" w:sz="0" w:space="0" w:color="auto"/>
                            <w:left w:val="none" w:sz="0" w:space="0" w:color="auto"/>
                            <w:bottom w:val="none" w:sz="0" w:space="0" w:color="auto"/>
                            <w:right w:val="none" w:sz="0" w:space="0" w:color="auto"/>
                          </w:divBdr>
                          <w:divsChild>
                            <w:div w:id="1443693995">
                              <w:marLeft w:val="0"/>
                              <w:marRight w:val="0"/>
                              <w:marTop w:val="0"/>
                              <w:marBottom w:val="0"/>
                              <w:divBdr>
                                <w:top w:val="none" w:sz="0" w:space="0" w:color="auto"/>
                                <w:left w:val="none" w:sz="0" w:space="0" w:color="auto"/>
                                <w:bottom w:val="none" w:sz="0" w:space="0" w:color="auto"/>
                                <w:right w:val="none" w:sz="0" w:space="0" w:color="auto"/>
                              </w:divBdr>
                              <w:divsChild>
                                <w:div w:id="1967540932">
                                  <w:marLeft w:val="0"/>
                                  <w:marRight w:val="0"/>
                                  <w:marTop w:val="0"/>
                                  <w:marBottom w:val="0"/>
                                  <w:divBdr>
                                    <w:top w:val="none" w:sz="0" w:space="0" w:color="auto"/>
                                    <w:left w:val="none" w:sz="0" w:space="0" w:color="auto"/>
                                    <w:bottom w:val="none" w:sz="0" w:space="0" w:color="auto"/>
                                    <w:right w:val="none" w:sz="0" w:space="0" w:color="auto"/>
                                  </w:divBdr>
                                  <w:divsChild>
                                    <w:div w:id="95193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151738">
      <w:bodyDiv w:val="1"/>
      <w:marLeft w:val="0"/>
      <w:marRight w:val="0"/>
      <w:marTop w:val="0"/>
      <w:marBottom w:val="0"/>
      <w:divBdr>
        <w:top w:val="none" w:sz="0" w:space="0" w:color="auto"/>
        <w:left w:val="none" w:sz="0" w:space="0" w:color="auto"/>
        <w:bottom w:val="none" w:sz="0" w:space="0" w:color="auto"/>
        <w:right w:val="none" w:sz="0" w:space="0" w:color="auto"/>
      </w:divBdr>
      <w:divsChild>
        <w:div w:id="82726778">
          <w:marLeft w:val="0"/>
          <w:marRight w:val="0"/>
          <w:marTop w:val="0"/>
          <w:marBottom w:val="0"/>
          <w:divBdr>
            <w:top w:val="none" w:sz="0" w:space="0" w:color="auto"/>
            <w:left w:val="none" w:sz="0" w:space="0" w:color="auto"/>
            <w:bottom w:val="dotted" w:sz="6" w:space="4" w:color="DDDDDD"/>
            <w:right w:val="none" w:sz="0" w:space="0" w:color="auto"/>
          </w:divBdr>
          <w:divsChild>
            <w:div w:id="40515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412827">
      <w:bodyDiv w:val="1"/>
      <w:marLeft w:val="0"/>
      <w:marRight w:val="0"/>
      <w:marTop w:val="0"/>
      <w:marBottom w:val="0"/>
      <w:divBdr>
        <w:top w:val="none" w:sz="0" w:space="0" w:color="auto"/>
        <w:left w:val="none" w:sz="0" w:space="0" w:color="auto"/>
        <w:bottom w:val="none" w:sz="0" w:space="0" w:color="auto"/>
        <w:right w:val="none" w:sz="0" w:space="0" w:color="auto"/>
      </w:divBdr>
      <w:divsChild>
        <w:div w:id="1146244673">
          <w:marLeft w:val="0"/>
          <w:marRight w:val="0"/>
          <w:marTop w:val="0"/>
          <w:marBottom w:val="0"/>
          <w:divBdr>
            <w:top w:val="none" w:sz="0" w:space="0" w:color="auto"/>
            <w:left w:val="none" w:sz="0" w:space="0" w:color="auto"/>
            <w:bottom w:val="none" w:sz="0" w:space="0" w:color="auto"/>
            <w:right w:val="none" w:sz="0" w:space="0" w:color="auto"/>
          </w:divBdr>
          <w:divsChild>
            <w:div w:id="88746442">
              <w:marLeft w:val="0"/>
              <w:marRight w:val="0"/>
              <w:marTop w:val="0"/>
              <w:marBottom w:val="150"/>
              <w:divBdr>
                <w:top w:val="none" w:sz="0" w:space="0" w:color="auto"/>
                <w:left w:val="none" w:sz="0" w:space="0" w:color="auto"/>
                <w:bottom w:val="none" w:sz="0" w:space="0" w:color="auto"/>
                <w:right w:val="none" w:sz="0" w:space="0" w:color="auto"/>
              </w:divBdr>
            </w:div>
            <w:div w:id="107775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800109">
      <w:bodyDiv w:val="1"/>
      <w:marLeft w:val="0"/>
      <w:marRight w:val="0"/>
      <w:marTop w:val="0"/>
      <w:marBottom w:val="0"/>
      <w:divBdr>
        <w:top w:val="none" w:sz="0" w:space="0" w:color="auto"/>
        <w:left w:val="none" w:sz="0" w:space="0" w:color="auto"/>
        <w:bottom w:val="none" w:sz="0" w:space="0" w:color="auto"/>
        <w:right w:val="none" w:sz="0" w:space="0" w:color="auto"/>
      </w:divBdr>
    </w:div>
    <w:div w:id="727994323">
      <w:bodyDiv w:val="1"/>
      <w:marLeft w:val="0"/>
      <w:marRight w:val="0"/>
      <w:marTop w:val="0"/>
      <w:marBottom w:val="0"/>
      <w:divBdr>
        <w:top w:val="none" w:sz="0" w:space="0" w:color="auto"/>
        <w:left w:val="none" w:sz="0" w:space="0" w:color="auto"/>
        <w:bottom w:val="none" w:sz="0" w:space="0" w:color="auto"/>
        <w:right w:val="none" w:sz="0" w:space="0" w:color="auto"/>
      </w:divBdr>
    </w:div>
    <w:div w:id="728722341">
      <w:bodyDiv w:val="1"/>
      <w:marLeft w:val="0"/>
      <w:marRight w:val="0"/>
      <w:marTop w:val="0"/>
      <w:marBottom w:val="0"/>
      <w:divBdr>
        <w:top w:val="none" w:sz="0" w:space="0" w:color="auto"/>
        <w:left w:val="none" w:sz="0" w:space="0" w:color="auto"/>
        <w:bottom w:val="none" w:sz="0" w:space="0" w:color="auto"/>
        <w:right w:val="none" w:sz="0" w:space="0" w:color="auto"/>
      </w:divBdr>
      <w:divsChild>
        <w:div w:id="123350457">
          <w:marLeft w:val="0"/>
          <w:marRight w:val="0"/>
          <w:marTop w:val="0"/>
          <w:marBottom w:val="0"/>
          <w:divBdr>
            <w:top w:val="none" w:sz="0" w:space="0" w:color="auto"/>
            <w:left w:val="none" w:sz="0" w:space="0" w:color="auto"/>
            <w:bottom w:val="none" w:sz="0" w:space="0" w:color="auto"/>
            <w:right w:val="none" w:sz="0" w:space="0" w:color="auto"/>
          </w:divBdr>
          <w:divsChild>
            <w:div w:id="1123816064">
              <w:marLeft w:val="0"/>
              <w:marRight w:val="0"/>
              <w:marTop w:val="0"/>
              <w:marBottom w:val="150"/>
              <w:divBdr>
                <w:top w:val="none" w:sz="0" w:space="0" w:color="auto"/>
                <w:left w:val="none" w:sz="0" w:space="0" w:color="auto"/>
                <w:bottom w:val="none" w:sz="0" w:space="0" w:color="auto"/>
                <w:right w:val="none" w:sz="0" w:space="0" w:color="auto"/>
              </w:divBdr>
            </w:div>
            <w:div w:id="1547259779">
              <w:marLeft w:val="0"/>
              <w:marRight w:val="0"/>
              <w:marTop w:val="0"/>
              <w:marBottom w:val="0"/>
              <w:divBdr>
                <w:top w:val="none" w:sz="0" w:space="0" w:color="auto"/>
                <w:left w:val="none" w:sz="0" w:space="0" w:color="auto"/>
                <w:bottom w:val="none" w:sz="0" w:space="0" w:color="auto"/>
                <w:right w:val="none" w:sz="0" w:space="0" w:color="auto"/>
              </w:divBdr>
            </w:div>
          </w:divsChild>
        </w:div>
        <w:div w:id="170531006">
          <w:marLeft w:val="0"/>
          <w:marRight w:val="0"/>
          <w:marTop w:val="0"/>
          <w:marBottom w:val="150"/>
          <w:divBdr>
            <w:top w:val="none" w:sz="0" w:space="0" w:color="auto"/>
            <w:left w:val="none" w:sz="0" w:space="0" w:color="auto"/>
            <w:bottom w:val="none" w:sz="0" w:space="0" w:color="auto"/>
            <w:right w:val="none" w:sz="0" w:space="0" w:color="auto"/>
          </w:divBdr>
          <w:divsChild>
            <w:div w:id="13988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155440">
      <w:bodyDiv w:val="1"/>
      <w:marLeft w:val="0"/>
      <w:marRight w:val="0"/>
      <w:marTop w:val="0"/>
      <w:marBottom w:val="0"/>
      <w:divBdr>
        <w:top w:val="none" w:sz="0" w:space="0" w:color="auto"/>
        <w:left w:val="none" w:sz="0" w:space="0" w:color="auto"/>
        <w:bottom w:val="none" w:sz="0" w:space="0" w:color="auto"/>
        <w:right w:val="none" w:sz="0" w:space="0" w:color="auto"/>
      </w:divBdr>
      <w:divsChild>
        <w:div w:id="1603606437">
          <w:marLeft w:val="0"/>
          <w:marRight w:val="0"/>
          <w:marTop w:val="0"/>
          <w:marBottom w:val="0"/>
          <w:divBdr>
            <w:top w:val="none" w:sz="0" w:space="0" w:color="auto"/>
            <w:left w:val="none" w:sz="0" w:space="0" w:color="auto"/>
            <w:bottom w:val="none" w:sz="0" w:space="0" w:color="auto"/>
            <w:right w:val="none" w:sz="0" w:space="0" w:color="auto"/>
          </w:divBdr>
          <w:divsChild>
            <w:div w:id="1049257433">
              <w:marLeft w:val="0"/>
              <w:marRight w:val="0"/>
              <w:marTop w:val="0"/>
              <w:marBottom w:val="0"/>
              <w:divBdr>
                <w:top w:val="none" w:sz="0" w:space="0" w:color="auto"/>
                <w:left w:val="none" w:sz="0" w:space="0" w:color="auto"/>
                <w:bottom w:val="none" w:sz="0" w:space="0" w:color="auto"/>
                <w:right w:val="none" w:sz="0" w:space="0" w:color="auto"/>
              </w:divBdr>
              <w:divsChild>
                <w:div w:id="1140155177">
                  <w:marLeft w:val="0"/>
                  <w:marRight w:val="0"/>
                  <w:marTop w:val="0"/>
                  <w:marBottom w:val="0"/>
                  <w:divBdr>
                    <w:top w:val="none" w:sz="0" w:space="0" w:color="auto"/>
                    <w:left w:val="none" w:sz="0" w:space="0" w:color="auto"/>
                    <w:bottom w:val="none" w:sz="0" w:space="0" w:color="auto"/>
                    <w:right w:val="none" w:sz="0" w:space="0" w:color="auto"/>
                  </w:divBdr>
                  <w:divsChild>
                    <w:div w:id="1618023534">
                      <w:marLeft w:val="0"/>
                      <w:marRight w:val="0"/>
                      <w:marTop w:val="0"/>
                      <w:marBottom w:val="0"/>
                      <w:divBdr>
                        <w:top w:val="none" w:sz="0" w:space="0" w:color="auto"/>
                        <w:left w:val="none" w:sz="0" w:space="0" w:color="auto"/>
                        <w:bottom w:val="none" w:sz="0" w:space="0" w:color="auto"/>
                        <w:right w:val="none" w:sz="0" w:space="0" w:color="auto"/>
                      </w:divBdr>
                      <w:divsChild>
                        <w:div w:id="801072531">
                          <w:marLeft w:val="0"/>
                          <w:marRight w:val="0"/>
                          <w:marTop w:val="0"/>
                          <w:marBottom w:val="0"/>
                          <w:divBdr>
                            <w:top w:val="none" w:sz="0" w:space="0" w:color="auto"/>
                            <w:left w:val="none" w:sz="0" w:space="0" w:color="auto"/>
                            <w:bottom w:val="none" w:sz="0" w:space="0" w:color="auto"/>
                            <w:right w:val="none" w:sz="0" w:space="0" w:color="auto"/>
                          </w:divBdr>
                          <w:divsChild>
                            <w:div w:id="2077849526">
                              <w:marLeft w:val="0"/>
                              <w:marRight w:val="0"/>
                              <w:marTop w:val="0"/>
                              <w:marBottom w:val="0"/>
                              <w:divBdr>
                                <w:top w:val="none" w:sz="0" w:space="0" w:color="auto"/>
                                <w:left w:val="none" w:sz="0" w:space="0" w:color="auto"/>
                                <w:bottom w:val="none" w:sz="0" w:space="0" w:color="auto"/>
                                <w:right w:val="none" w:sz="0" w:space="0" w:color="auto"/>
                              </w:divBdr>
                              <w:divsChild>
                                <w:div w:id="590430182">
                                  <w:marLeft w:val="0"/>
                                  <w:marRight w:val="0"/>
                                  <w:marTop w:val="0"/>
                                  <w:marBottom w:val="0"/>
                                  <w:divBdr>
                                    <w:top w:val="none" w:sz="0" w:space="0" w:color="auto"/>
                                    <w:left w:val="none" w:sz="0" w:space="0" w:color="auto"/>
                                    <w:bottom w:val="none" w:sz="0" w:space="0" w:color="auto"/>
                                    <w:right w:val="none" w:sz="0" w:space="0" w:color="auto"/>
                                  </w:divBdr>
                                  <w:divsChild>
                                    <w:div w:id="147286745">
                                      <w:marLeft w:val="0"/>
                                      <w:marRight w:val="0"/>
                                      <w:marTop w:val="0"/>
                                      <w:marBottom w:val="0"/>
                                      <w:divBdr>
                                        <w:top w:val="none" w:sz="0" w:space="0" w:color="auto"/>
                                        <w:left w:val="none" w:sz="0" w:space="0" w:color="auto"/>
                                        <w:bottom w:val="none" w:sz="0" w:space="0" w:color="auto"/>
                                        <w:right w:val="none" w:sz="0" w:space="0" w:color="auto"/>
                                      </w:divBdr>
                                      <w:divsChild>
                                        <w:div w:id="18496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9159770">
      <w:bodyDiv w:val="1"/>
      <w:marLeft w:val="0"/>
      <w:marRight w:val="0"/>
      <w:marTop w:val="0"/>
      <w:marBottom w:val="0"/>
      <w:divBdr>
        <w:top w:val="none" w:sz="0" w:space="0" w:color="auto"/>
        <w:left w:val="none" w:sz="0" w:space="0" w:color="auto"/>
        <w:bottom w:val="none" w:sz="0" w:space="0" w:color="auto"/>
        <w:right w:val="none" w:sz="0" w:space="0" w:color="auto"/>
      </w:divBdr>
      <w:divsChild>
        <w:div w:id="66389157">
          <w:marLeft w:val="0"/>
          <w:marRight w:val="0"/>
          <w:marTop w:val="0"/>
          <w:marBottom w:val="0"/>
          <w:divBdr>
            <w:top w:val="none" w:sz="0" w:space="0" w:color="auto"/>
            <w:left w:val="none" w:sz="0" w:space="0" w:color="auto"/>
            <w:bottom w:val="dotted" w:sz="6" w:space="4" w:color="DDDDDD"/>
            <w:right w:val="none" w:sz="0" w:space="0" w:color="auto"/>
          </w:divBdr>
        </w:div>
      </w:divsChild>
    </w:div>
    <w:div w:id="729571707">
      <w:bodyDiv w:val="1"/>
      <w:marLeft w:val="0"/>
      <w:marRight w:val="0"/>
      <w:marTop w:val="0"/>
      <w:marBottom w:val="0"/>
      <w:divBdr>
        <w:top w:val="none" w:sz="0" w:space="0" w:color="auto"/>
        <w:left w:val="none" w:sz="0" w:space="0" w:color="auto"/>
        <w:bottom w:val="none" w:sz="0" w:space="0" w:color="auto"/>
        <w:right w:val="none" w:sz="0" w:space="0" w:color="auto"/>
      </w:divBdr>
    </w:div>
    <w:div w:id="729621277">
      <w:bodyDiv w:val="1"/>
      <w:marLeft w:val="0"/>
      <w:marRight w:val="0"/>
      <w:marTop w:val="0"/>
      <w:marBottom w:val="0"/>
      <w:divBdr>
        <w:top w:val="none" w:sz="0" w:space="0" w:color="auto"/>
        <w:left w:val="none" w:sz="0" w:space="0" w:color="auto"/>
        <w:bottom w:val="none" w:sz="0" w:space="0" w:color="auto"/>
        <w:right w:val="none" w:sz="0" w:space="0" w:color="auto"/>
      </w:divBdr>
      <w:divsChild>
        <w:div w:id="176311019">
          <w:marLeft w:val="0"/>
          <w:marRight w:val="0"/>
          <w:marTop w:val="0"/>
          <w:marBottom w:val="0"/>
          <w:divBdr>
            <w:top w:val="none" w:sz="0" w:space="0" w:color="auto"/>
            <w:left w:val="none" w:sz="0" w:space="0" w:color="auto"/>
            <w:bottom w:val="none" w:sz="0" w:space="0" w:color="auto"/>
            <w:right w:val="none" w:sz="0" w:space="0" w:color="auto"/>
          </w:divBdr>
          <w:divsChild>
            <w:div w:id="2099592870">
              <w:marLeft w:val="0"/>
              <w:marRight w:val="0"/>
              <w:marTop w:val="0"/>
              <w:marBottom w:val="0"/>
              <w:divBdr>
                <w:top w:val="none" w:sz="0" w:space="0" w:color="auto"/>
                <w:left w:val="none" w:sz="0" w:space="0" w:color="auto"/>
                <w:bottom w:val="none" w:sz="0" w:space="0" w:color="auto"/>
                <w:right w:val="none" w:sz="0" w:space="0" w:color="auto"/>
              </w:divBdr>
              <w:divsChild>
                <w:div w:id="1359237469">
                  <w:marLeft w:val="0"/>
                  <w:marRight w:val="0"/>
                  <w:marTop w:val="0"/>
                  <w:marBottom w:val="0"/>
                  <w:divBdr>
                    <w:top w:val="none" w:sz="0" w:space="0" w:color="auto"/>
                    <w:left w:val="none" w:sz="0" w:space="0" w:color="auto"/>
                    <w:bottom w:val="none" w:sz="0" w:space="0" w:color="auto"/>
                    <w:right w:val="none" w:sz="0" w:space="0" w:color="auto"/>
                  </w:divBdr>
                  <w:divsChild>
                    <w:div w:id="1196037590">
                      <w:marLeft w:val="0"/>
                      <w:marRight w:val="0"/>
                      <w:marTop w:val="0"/>
                      <w:marBottom w:val="0"/>
                      <w:divBdr>
                        <w:top w:val="none" w:sz="0" w:space="0" w:color="auto"/>
                        <w:left w:val="none" w:sz="0" w:space="0" w:color="auto"/>
                        <w:bottom w:val="none" w:sz="0" w:space="0" w:color="auto"/>
                        <w:right w:val="none" w:sz="0" w:space="0" w:color="auto"/>
                      </w:divBdr>
                      <w:divsChild>
                        <w:div w:id="1728213639">
                          <w:marLeft w:val="0"/>
                          <w:marRight w:val="0"/>
                          <w:marTop w:val="0"/>
                          <w:marBottom w:val="0"/>
                          <w:divBdr>
                            <w:top w:val="none" w:sz="0" w:space="0" w:color="auto"/>
                            <w:left w:val="none" w:sz="0" w:space="0" w:color="auto"/>
                            <w:bottom w:val="none" w:sz="0" w:space="0" w:color="auto"/>
                            <w:right w:val="none" w:sz="0" w:space="0" w:color="auto"/>
                          </w:divBdr>
                          <w:divsChild>
                            <w:div w:id="761224251">
                              <w:marLeft w:val="0"/>
                              <w:marRight w:val="0"/>
                              <w:marTop w:val="0"/>
                              <w:marBottom w:val="0"/>
                              <w:divBdr>
                                <w:top w:val="none" w:sz="0" w:space="0" w:color="auto"/>
                                <w:left w:val="none" w:sz="0" w:space="0" w:color="auto"/>
                                <w:bottom w:val="none" w:sz="0" w:space="0" w:color="auto"/>
                                <w:right w:val="none" w:sz="0" w:space="0" w:color="auto"/>
                              </w:divBdr>
                              <w:divsChild>
                                <w:div w:id="208590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0814540">
      <w:bodyDiv w:val="1"/>
      <w:marLeft w:val="0"/>
      <w:marRight w:val="0"/>
      <w:marTop w:val="0"/>
      <w:marBottom w:val="0"/>
      <w:divBdr>
        <w:top w:val="none" w:sz="0" w:space="0" w:color="auto"/>
        <w:left w:val="none" w:sz="0" w:space="0" w:color="auto"/>
        <w:bottom w:val="none" w:sz="0" w:space="0" w:color="auto"/>
        <w:right w:val="none" w:sz="0" w:space="0" w:color="auto"/>
      </w:divBdr>
      <w:divsChild>
        <w:div w:id="1341542657">
          <w:marLeft w:val="0"/>
          <w:marRight w:val="0"/>
          <w:marTop w:val="0"/>
          <w:marBottom w:val="180"/>
          <w:divBdr>
            <w:top w:val="none" w:sz="0" w:space="0" w:color="auto"/>
            <w:left w:val="none" w:sz="0" w:space="0" w:color="auto"/>
            <w:bottom w:val="none" w:sz="0" w:space="0" w:color="auto"/>
            <w:right w:val="none" w:sz="0" w:space="0" w:color="auto"/>
          </w:divBdr>
        </w:div>
      </w:divsChild>
    </w:div>
    <w:div w:id="730924795">
      <w:bodyDiv w:val="1"/>
      <w:marLeft w:val="0"/>
      <w:marRight w:val="0"/>
      <w:marTop w:val="0"/>
      <w:marBottom w:val="0"/>
      <w:divBdr>
        <w:top w:val="none" w:sz="0" w:space="0" w:color="auto"/>
        <w:left w:val="none" w:sz="0" w:space="0" w:color="auto"/>
        <w:bottom w:val="none" w:sz="0" w:space="0" w:color="auto"/>
        <w:right w:val="none" w:sz="0" w:space="0" w:color="auto"/>
      </w:divBdr>
      <w:divsChild>
        <w:div w:id="1315256191">
          <w:marLeft w:val="0"/>
          <w:marRight w:val="0"/>
          <w:marTop w:val="0"/>
          <w:marBottom w:val="0"/>
          <w:divBdr>
            <w:top w:val="none" w:sz="0" w:space="0" w:color="auto"/>
            <w:left w:val="none" w:sz="0" w:space="0" w:color="auto"/>
            <w:bottom w:val="none" w:sz="0" w:space="0" w:color="auto"/>
            <w:right w:val="none" w:sz="0" w:space="0" w:color="auto"/>
          </w:divBdr>
          <w:divsChild>
            <w:div w:id="393509672">
              <w:marLeft w:val="0"/>
              <w:marRight w:val="0"/>
              <w:marTop w:val="0"/>
              <w:marBottom w:val="0"/>
              <w:divBdr>
                <w:top w:val="none" w:sz="0" w:space="0" w:color="auto"/>
                <w:left w:val="none" w:sz="0" w:space="0" w:color="auto"/>
                <w:bottom w:val="none" w:sz="0" w:space="0" w:color="auto"/>
                <w:right w:val="none" w:sz="0" w:space="0" w:color="auto"/>
              </w:divBdr>
              <w:divsChild>
                <w:div w:id="1622147803">
                  <w:marLeft w:val="0"/>
                  <w:marRight w:val="0"/>
                  <w:marTop w:val="0"/>
                  <w:marBottom w:val="0"/>
                  <w:divBdr>
                    <w:top w:val="none" w:sz="0" w:space="0" w:color="auto"/>
                    <w:left w:val="none" w:sz="0" w:space="0" w:color="auto"/>
                    <w:bottom w:val="none" w:sz="0" w:space="0" w:color="auto"/>
                    <w:right w:val="none" w:sz="0" w:space="0" w:color="auto"/>
                  </w:divBdr>
                  <w:divsChild>
                    <w:div w:id="954217535">
                      <w:marLeft w:val="0"/>
                      <w:marRight w:val="0"/>
                      <w:marTop w:val="0"/>
                      <w:marBottom w:val="0"/>
                      <w:divBdr>
                        <w:top w:val="none" w:sz="0" w:space="0" w:color="auto"/>
                        <w:left w:val="none" w:sz="0" w:space="0" w:color="auto"/>
                        <w:bottom w:val="none" w:sz="0" w:space="0" w:color="auto"/>
                        <w:right w:val="none" w:sz="0" w:space="0" w:color="auto"/>
                      </w:divBdr>
                      <w:divsChild>
                        <w:div w:id="1205561062">
                          <w:marLeft w:val="0"/>
                          <w:marRight w:val="0"/>
                          <w:marTop w:val="0"/>
                          <w:marBottom w:val="0"/>
                          <w:divBdr>
                            <w:top w:val="none" w:sz="0" w:space="0" w:color="auto"/>
                            <w:left w:val="none" w:sz="0" w:space="0" w:color="auto"/>
                            <w:bottom w:val="none" w:sz="0" w:space="0" w:color="auto"/>
                            <w:right w:val="none" w:sz="0" w:space="0" w:color="auto"/>
                          </w:divBdr>
                          <w:divsChild>
                            <w:div w:id="1866209454">
                              <w:marLeft w:val="0"/>
                              <w:marRight w:val="0"/>
                              <w:marTop w:val="0"/>
                              <w:marBottom w:val="0"/>
                              <w:divBdr>
                                <w:top w:val="none" w:sz="0" w:space="0" w:color="auto"/>
                                <w:left w:val="none" w:sz="0" w:space="0" w:color="auto"/>
                                <w:bottom w:val="none" w:sz="0" w:space="0" w:color="auto"/>
                                <w:right w:val="none" w:sz="0" w:space="0" w:color="auto"/>
                              </w:divBdr>
                              <w:divsChild>
                                <w:div w:id="194264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348661">
      <w:bodyDiv w:val="1"/>
      <w:marLeft w:val="0"/>
      <w:marRight w:val="0"/>
      <w:marTop w:val="0"/>
      <w:marBottom w:val="0"/>
      <w:divBdr>
        <w:top w:val="none" w:sz="0" w:space="0" w:color="auto"/>
        <w:left w:val="none" w:sz="0" w:space="0" w:color="auto"/>
        <w:bottom w:val="none" w:sz="0" w:space="0" w:color="auto"/>
        <w:right w:val="none" w:sz="0" w:space="0" w:color="auto"/>
      </w:divBdr>
      <w:divsChild>
        <w:div w:id="550270522">
          <w:marLeft w:val="0"/>
          <w:marRight w:val="0"/>
          <w:marTop w:val="0"/>
          <w:marBottom w:val="0"/>
          <w:divBdr>
            <w:top w:val="none" w:sz="0" w:space="0" w:color="auto"/>
            <w:left w:val="none" w:sz="0" w:space="0" w:color="auto"/>
            <w:bottom w:val="none" w:sz="0" w:space="0" w:color="auto"/>
            <w:right w:val="none" w:sz="0" w:space="0" w:color="auto"/>
          </w:divBdr>
          <w:divsChild>
            <w:div w:id="41681087">
              <w:marLeft w:val="0"/>
              <w:marRight w:val="0"/>
              <w:marTop w:val="0"/>
              <w:marBottom w:val="0"/>
              <w:divBdr>
                <w:top w:val="none" w:sz="0" w:space="0" w:color="auto"/>
                <w:left w:val="none" w:sz="0" w:space="0" w:color="auto"/>
                <w:bottom w:val="none" w:sz="0" w:space="0" w:color="auto"/>
                <w:right w:val="none" w:sz="0" w:space="0" w:color="auto"/>
              </w:divBdr>
              <w:divsChild>
                <w:div w:id="968173357">
                  <w:marLeft w:val="0"/>
                  <w:marRight w:val="0"/>
                  <w:marTop w:val="0"/>
                  <w:marBottom w:val="0"/>
                  <w:divBdr>
                    <w:top w:val="none" w:sz="0" w:space="0" w:color="auto"/>
                    <w:left w:val="none" w:sz="0" w:space="0" w:color="auto"/>
                    <w:bottom w:val="none" w:sz="0" w:space="0" w:color="auto"/>
                    <w:right w:val="none" w:sz="0" w:space="0" w:color="auto"/>
                  </w:divBdr>
                  <w:divsChild>
                    <w:div w:id="1288851476">
                      <w:marLeft w:val="0"/>
                      <w:marRight w:val="0"/>
                      <w:marTop w:val="0"/>
                      <w:marBottom w:val="0"/>
                      <w:divBdr>
                        <w:top w:val="none" w:sz="0" w:space="0" w:color="auto"/>
                        <w:left w:val="none" w:sz="0" w:space="0" w:color="auto"/>
                        <w:bottom w:val="none" w:sz="0" w:space="0" w:color="auto"/>
                        <w:right w:val="none" w:sz="0" w:space="0" w:color="auto"/>
                      </w:divBdr>
                      <w:divsChild>
                        <w:div w:id="706216652">
                          <w:marLeft w:val="0"/>
                          <w:marRight w:val="0"/>
                          <w:marTop w:val="0"/>
                          <w:marBottom w:val="0"/>
                          <w:divBdr>
                            <w:top w:val="none" w:sz="0" w:space="0" w:color="auto"/>
                            <w:left w:val="none" w:sz="0" w:space="0" w:color="auto"/>
                            <w:bottom w:val="none" w:sz="0" w:space="0" w:color="auto"/>
                            <w:right w:val="none" w:sz="0" w:space="0" w:color="auto"/>
                          </w:divBdr>
                          <w:divsChild>
                            <w:div w:id="1706982793">
                              <w:marLeft w:val="0"/>
                              <w:marRight w:val="0"/>
                              <w:marTop w:val="0"/>
                              <w:marBottom w:val="0"/>
                              <w:divBdr>
                                <w:top w:val="none" w:sz="0" w:space="0" w:color="auto"/>
                                <w:left w:val="none" w:sz="0" w:space="0" w:color="auto"/>
                                <w:bottom w:val="none" w:sz="0" w:space="0" w:color="auto"/>
                                <w:right w:val="none" w:sz="0" w:space="0" w:color="auto"/>
                              </w:divBdr>
                              <w:divsChild>
                                <w:div w:id="2113937336">
                                  <w:marLeft w:val="0"/>
                                  <w:marRight w:val="0"/>
                                  <w:marTop w:val="0"/>
                                  <w:marBottom w:val="0"/>
                                  <w:divBdr>
                                    <w:top w:val="none" w:sz="0" w:space="0" w:color="auto"/>
                                    <w:left w:val="none" w:sz="0" w:space="0" w:color="auto"/>
                                    <w:bottom w:val="none" w:sz="0" w:space="0" w:color="auto"/>
                                    <w:right w:val="none" w:sz="0" w:space="0" w:color="auto"/>
                                  </w:divBdr>
                                  <w:divsChild>
                                    <w:div w:id="248925767">
                                      <w:marLeft w:val="0"/>
                                      <w:marRight w:val="0"/>
                                      <w:marTop w:val="0"/>
                                      <w:marBottom w:val="0"/>
                                      <w:divBdr>
                                        <w:top w:val="none" w:sz="0" w:space="0" w:color="auto"/>
                                        <w:left w:val="none" w:sz="0" w:space="0" w:color="auto"/>
                                        <w:bottom w:val="none" w:sz="0" w:space="0" w:color="auto"/>
                                        <w:right w:val="none" w:sz="0" w:space="0" w:color="auto"/>
                                      </w:divBdr>
                                      <w:divsChild>
                                        <w:div w:id="8340638">
                                          <w:marLeft w:val="0"/>
                                          <w:marRight w:val="0"/>
                                          <w:marTop w:val="0"/>
                                          <w:marBottom w:val="0"/>
                                          <w:divBdr>
                                            <w:top w:val="none" w:sz="0" w:space="0" w:color="auto"/>
                                            <w:left w:val="none" w:sz="0" w:space="0" w:color="auto"/>
                                            <w:bottom w:val="none" w:sz="0" w:space="0" w:color="auto"/>
                                            <w:right w:val="none" w:sz="0" w:space="0" w:color="auto"/>
                                          </w:divBdr>
                                        </w:div>
                                        <w:div w:id="1863980904">
                                          <w:marLeft w:val="0"/>
                                          <w:marRight w:val="0"/>
                                          <w:marTop w:val="0"/>
                                          <w:marBottom w:val="0"/>
                                          <w:divBdr>
                                            <w:top w:val="none" w:sz="0" w:space="0" w:color="auto"/>
                                            <w:left w:val="none" w:sz="0" w:space="0" w:color="auto"/>
                                            <w:bottom w:val="none" w:sz="0" w:space="0" w:color="auto"/>
                                            <w:right w:val="none" w:sz="0" w:space="0" w:color="auto"/>
                                          </w:divBdr>
                                        </w:div>
                                      </w:divsChild>
                                    </w:div>
                                    <w:div w:id="2074308592">
                                      <w:marLeft w:val="0"/>
                                      <w:marRight w:val="0"/>
                                      <w:marTop w:val="0"/>
                                      <w:marBottom w:val="0"/>
                                      <w:divBdr>
                                        <w:top w:val="none" w:sz="0" w:space="0" w:color="auto"/>
                                        <w:left w:val="none" w:sz="0" w:space="0" w:color="auto"/>
                                        <w:bottom w:val="none" w:sz="0" w:space="0" w:color="auto"/>
                                        <w:right w:val="none" w:sz="0" w:space="0" w:color="auto"/>
                                      </w:divBdr>
                                      <w:divsChild>
                                        <w:div w:id="7073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1655261">
      <w:bodyDiv w:val="1"/>
      <w:marLeft w:val="0"/>
      <w:marRight w:val="0"/>
      <w:marTop w:val="0"/>
      <w:marBottom w:val="0"/>
      <w:divBdr>
        <w:top w:val="none" w:sz="0" w:space="0" w:color="auto"/>
        <w:left w:val="none" w:sz="0" w:space="0" w:color="auto"/>
        <w:bottom w:val="none" w:sz="0" w:space="0" w:color="auto"/>
        <w:right w:val="none" w:sz="0" w:space="0" w:color="auto"/>
      </w:divBdr>
      <w:divsChild>
        <w:div w:id="375009668">
          <w:marLeft w:val="0"/>
          <w:marRight w:val="0"/>
          <w:marTop w:val="0"/>
          <w:marBottom w:val="0"/>
          <w:divBdr>
            <w:top w:val="none" w:sz="0" w:space="0" w:color="auto"/>
            <w:left w:val="none" w:sz="0" w:space="0" w:color="auto"/>
            <w:bottom w:val="none" w:sz="0" w:space="0" w:color="auto"/>
            <w:right w:val="none" w:sz="0" w:space="0" w:color="auto"/>
          </w:divBdr>
          <w:divsChild>
            <w:div w:id="572935307">
              <w:marLeft w:val="0"/>
              <w:marRight w:val="0"/>
              <w:marTop w:val="0"/>
              <w:marBottom w:val="225"/>
              <w:divBdr>
                <w:top w:val="none" w:sz="0" w:space="0" w:color="auto"/>
                <w:left w:val="none" w:sz="0" w:space="0" w:color="auto"/>
                <w:bottom w:val="none" w:sz="0" w:space="0" w:color="auto"/>
                <w:right w:val="none" w:sz="0" w:space="0" w:color="auto"/>
              </w:divBdr>
              <w:divsChild>
                <w:div w:id="1217624360">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656862">
      <w:bodyDiv w:val="1"/>
      <w:marLeft w:val="0"/>
      <w:marRight w:val="0"/>
      <w:marTop w:val="0"/>
      <w:marBottom w:val="0"/>
      <w:divBdr>
        <w:top w:val="none" w:sz="0" w:space="0" w:color="auto"/>
        <w:left w:val="none" w:sz="0" w:space="0" w:color="auto"/>
        <w:bottom w:val="none" w:sz="0" w:space="0" w:color="auto"/>
        <w:right w:val="none" w:sz="0" w:space="0" w:color="auto"/>
      </w:divBdr>
      <w:divsChild>
        <w:div w:id="1829588778">
          <w:marLeft w:val="0"/>
          <w:marRight w:val="0"/>
          <w:marTop w:val="0"/>
          <w:marBottom w:val="150"/>
          <w:divBdr>
            <w:top w:val="none" w:sz="0" w:space="0" w:color="auto"/>
            <w:left w:val="none" w:sz="0" w:space="0" w:color="auto"/>
            <w:bottom w:val="none" w:sz="0" w:space="0" w:color="auto"/>
            <w:right w:val="none" w:sz="0" w:space="0" w:color="auto"/>
          </w:divBdr>
        </w:div>
      </w:divsChild>
    </w:div>
    <w:div w:id="731730233">
      <w:bodyDiv w:val="1"/>
      <w:marLeft w:val="0"/>
      <w:marRight w:val="0"/>
      <w:marTop w:val="0"/>
      <w:marBottom w:val="0"/>
      <w:divBdr>
        <w:top w:val="none" w:sz="0" w:space="0" w:color="auto"/>
        <w:left w:val="none" w:sz="0" w:space="0" w:color="auto"/>
        <w:bottom w:val="none" w:sz="0" w:space="0" w:color="auto"/>
        <w:right w:val="none" w:sz="0" w:space="0" w:color="auto"/>
      </w:divBdr>
      <w:divsChild>
        <w:div w:id="151336027">
          <w:marLeft w:val="0"/>
          <w:marRight w:val="0"/>
          <w:marTop w:val="0"/>
          <w:marBottom w:val="150"/>
          <w:divBdr>
            <w:top w:val="none" w:sz="0" w:space="0" w:color="auto"/>
            <w:left w:val="none" w:sz="0" w:space="0" w:color="auto"/>
            <w:bottom w:val="none" w:sz="0" w:space="0" w:color="auto"/>
            <w:right w:val="none" w:sz="0" w:space="0" w:color="auto"/>
          </w:divBdr>
          <w:divsChild>
            <w:div w:id="68818409">
              <w:marLeft w:val="0"/>
              <w:marRight w:val="0"/>
              <w:marTop w:val="0"/>
              <w:marBottom w:val="0"/>
              <w:divBdr>
                <w:top w:val="none" w:sz="0" w:space="0" w:color="auto"/>
                <w:left w:val="none" w:sz="0" w:space="0" w:color="auto"/>
                <w:bottom w:val="none" w:sz="0" w:space="0" w:color="auto"/>
                <w:right w:val="none" w:sz="0" w:space="0" w:color="auto"/>
              </w:divBdr>
              <w:divsChild>
                <w:div w:id="13857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942494">
          <w:marLeft w:val="0"/>
          <w:marRight w:val="0"/>
          <w:marTop w:val="0"/>
          <w:marBottom w:val="150"/>
          <w:divBdr>
            <w:top w:val="none" w:sz="0" w:space="0" w:color="auto"/>
            <w:left w:val="none" w:sz="0" w:space="0" w:color="auto"/>
            <w:bottom w:val="none" w:sz="0" w:space="0" w:color="auto"/>
            <w:right w:val="none" w:sz="0" w:space="0" w:color="auto"/>
          </w:divBdr>
        </w:div>
        <w:div w:id="1538275433">
          <w:marLeft w:val="0"/>
          <w:marRight w:val="0"/>
          <w:marTop w:val="0"/>
          <w:marBottom w:val="0"/>
          <w:divBdr>
            <w:top w:val="none" w:sz="0" w:space="0" w:color="auto"/>
            <w:left w:val="none" w:sz="0" w:space="0" w:color="auto"/>
            <w:bottom w:val="none" w:sz="0" w:space="0" w:color="auto"/>
            <w:right w:val="none" w:sz="0" w:space="0" w:color="auto"/>
          </w:divBdr>
          <w:divsChild>
            <w:div w:id="126970354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31733133">
      <w:bodyDiv w:val="1"/>
      <w:marLeft w:val="0"/>
      <w:marRight w:val="0"/>
      <w:marTop w:val="0"/>
      <w:marBottom w:val="0"/>
      <w:divBdr>
        <w:top w:val="none" w:sz="0" w:space="0" w:color="auto"/>
        <w:left w:val="none" w:sz="0" w:space="0" w:color="auto"/>
        <w:bottom w:val="none" w:sz="0" w:space="0" w:color="auto"/>
        <w:right w:val="none" w:sz="0" w:space="0" w:color="auto"/>
      </w:divBdr>
      <w:divsChild>
        <w:div w:id="1849518929">
          <w:marLeft w:val="0"/>
          <w:marRight w:val="0"/>
          <w:marTop w:val="0"/>
          <w:marBottom w:val="150"/>
          <w:divBdr>
            <w:top w:val="none" w:sz="0" w:space="0" w:color="auto"/>
            <w:left w:val="none" w:sz="0" w:space="0" w:color="auto"/>
            <w:bottom w:val="none" w:sz="0" w:space="0" w:color="auto"/>
            <w:right w:val="none" w:sz="0" w:space="0" w:color="auto"/>
          </w:divBdr>
        </w:div>
      </w:divsChild>
    </w:div>
    <w:div w:id="731736095">
      <w:bodyDiv w:val="1"/>
      <w:marLeft w:val="0"/>
      <w:marRight w:val="0"/>
      <w:marTop w:val="0"/>
      <w:marBottom w:val="0"/>
      <w:divBdr>
        <w:top w:val="none" w:sz="0" w:space="0" w:color="auto"/>
        <w:left w:val="none" w:sz="0" w:space="0" w:color="auto"/>
        <w:bottom w:val="none" w:sz="0" w:space="0" w:color="auto"/>
        <w:right w:val="none" w:sz="0" w:space="0" w:color="auto"/>
      </w:divBdr>
      <w:divsChild>
        <w:div w:id="1607498194">
          <w:marLeft w:val="0"/>
          <w:marRight w:val="0"/>
          <w:marTop w:val="0"/>
          <w:marBottom w:val="0"/>
          <w:divBdr>
            <w:top w:val="none" w:sz="0" w:space="0" w:color="auto"/>
            <w:left w:val="none" w:sz="0" w:space="0" w:color="auto"/>
            <w:bottom w:val="dotted" w:sz="6" w:space="4" w:color="DDDDDD"/>
            <w:right w:val="none" w:sz="0" w:space="0" w:color="auto"/>
          </w:divBdr>
        </w:div>
      </w:divsChild>
    </w:div>
    <w:div w:id="731736779">
      <w:bodyDiv w:val="1"/>
      <w:marLeft w:val="0"/>
      <w:marRight w:val="0"/>
      <w:marTop w:val="0"/>
      <w:marBottom w:val="0"/>
      <w:divBdr>
        <w:top w:val="none" w:sz="0" w:space="0" w:color="auto"/>
        <w:left w:val="none" w:sz="0" w:space="0" w:color="auto"/>
        <w:bottom w:val="none" w:sz="0" w:space="0" w:color="auto"/>
        <w:right w:val="none" w:sz="0" w:space="0" w:color="auto"/>
      </w:divBdr>
    </w:div>
    <w:div w:id="732123133">
      <w:bodyDiv w:val="1"/>
      <w:marLeft w:val="0"/>
      <w:marRight w:val="0"/>
      <w:marTop w:val="0"/>
      <w:marBottom w:val="0"/>
      <w:divBdr>
        <w:top w:val="none" w:sz="0" w:space="0" w:color="auto"/>
        <w:left w:val="none" w:sz="0" w:space="0" w:color="auto"/>
        <w:bottom w:val="none" w:sz="0" w:space="0" w:color="auto"/>
        <w:right w:val="none" w:sz="0" w:space="0" w:color="auto"/>
      </w:divBdr>
    </w:div>
    <w:div w:id="732854392">
      <w:bodyDiv w:val="1"/>
      <w:marLeft w:val="0"/>
      <w:marRight w:val="0"/>
      <w:marTop w:val="0"/>
      <w:marBottom w:val="0"/>
      <w:divBdr>
        <w:top w:val="none" w:sz="0" w:space="0" w:color="auto"/>
        <w:left w:val="none" w:sz="0" w:space="0" w:color="auto"/>
        <w:bottom w:val="none" w:sz="0" w:space="0" w:color="auto"/>
        <w:right w:val="none" w:sz="0" w:space="0" w:color="auto"/>
      </w:divBdr>
      <w:divsChild>
        <w:div w:id="718479447">
          <w:marLeft w:val="0"/>
          <w:marRight w:val="0"/>
          <w:marTop w:val="0"/>
          <w:marBottom w:val="0"/>
          <w:divBdr>
            <w:top w:val="none" w:sz="0" w:space="0" w:color="auto"/>
            <w:left w:val="none" w:sz="0" w:space="0" w:color="auto"/>
            <w:bottom w:val="none" w:sz="0" w:space="0" w:color="auto"/>
            <w:right w:val="none" w:sz="0" w:space="0" w:color="auto"/>
          </w:divBdr>
        </w:div>
      </w:divsChild>
    </w:div>
    <w:div w:id="733166505">
      <w:bodyDiv w:val="1"/>
      <w:marLeft w:val="0"/>
      <w:marRight w:val="0"/>
      <w:marTop w:val="0"/>
      <w:marBottom w:val="0"/>
      <w:divBdr>
        <w:top w:val="none" w:sz="0" w:space="0" w:color="auto"/>
        <w:left w:val="none" w:sz="0" w:space="0" w:color="auto"/>
        <w:bottom w:val="none" w:sz="0" w:space="0" w:color="auto"/>
        <w:right w:val="none" w:sz="0" w:space="0" w:color="auto"/>
      </w:divBdr>
      <w:divsChild>
        <w:div w:id="1566602260">
          <w:marLeft w:val="0"/>
          <w:marRight w:val="0"/>
          <w:marTop w:val="0"/>
          <w:marBottom w:val="0"/>
          <w:divBdr>
            <w:top w:val="none" w:sz="0" w:space="0" w:color="auto"/>
            <w:left w:val="none" w:sz="0" w:space="0" w:color="auto"/>
            <w:bottom w:val="none" w:sz="0" w:space="0" w:color="auto"/>
            <w:right w:val="none" w:sz="0" w:space="0" w:color="auto"/>
          </w:divBdr>
        </w:div>
      </w:divsChild>
    </w:div>
    <w:div w:id="733433807">
      <w:bodyDiv w:val="1"/>
      <w:marLeft w:val="0"/>
      <w:marRight w:val="0"/>
      <w:marTop w:val="0"/>
      <w:marBottom w:val="0"/>
      <w:divBdr>
        <w:top w:val="none" w:sz="0" w:space="0" w:color="auto"/>
        <w:left w:val="none" w:sz="0" w:space="0" w:color="auto"/>
        <w:bottom w:val="none" w:sz="0" w:space="0" w:color="auto"/>
        <w:right w:val="none" w:sz="0" w:space="0" w:color="auto"/>
      </w:divBdr>
      <w:divsChild>
        <w:div w:id="448857193">
          <w:marLeft w:val="0"/>
          <w:marRight w:val="0"/>
          <w:marTop w:val="0"/>
          <w:marBottom w:val="0"/>
          <w:divBdr>
            <w:top w:val="none" w:sz="0" w:space="0" w:color="auto"/>
            <w:left w:val="none" w:sz="0" w:space="0" w:color="auto"/>
            <w:bottom w:val="none" w:sz="0" w:space="0" w:color="auto"/>
            <w:right w:val="none" w:sz="0" w:space="0" w:color="auto"/>
          </w:divBdr>
        </w:div>
      </w:divsChild>
    </w:div>
    <w:div w:id="733435133">
      <w:bodyDiv w:val="1"/>
      <w:marLeft w:val="0"/>
      <w:marRight w:val="0"/>
      <w:marTop w:val="0"/>
      <w:marBottom w:val="0"/>
      <w:divBdr>
        <w:top w:val="none" w:sz="0" w:space="0" w:color="auto"/>
        <w:left w:val="none" w:sz="0" w:space="0" w:color="auto"/>
        <w:bottom w:val="none" w:sz="0" w:space="0" w:color="auto"/>
        <w:right w:val="none" w:sz="0" w:space="0" w:color="auto"/>
      </w:divBdr>
      <w:divsChild>
        <w:div w:id="301427841">
          <w:marLeft w:val="0"/>
          <w:marRight w:val="0"/>
          <w:marTop w:val="0"/>
          <w:marBottom w:val="150"/>
          <w:divBdr>
            <w:top w:val="none" w:sz="0" w:space="0" w:color="auto"/>
            <w:left w:val="none" w:sz="0" w:space="0" w:color="auto"/>
            <w:bottom w:val="none" w:sz="0" w:space="0" w:color="auto"/>
            <w:right w:val="none" w:sz="0" w:space="0" w:color="auto"/>
          </w:divBdr>
        </w:div>
        <w:div w:id="1816144283">
          <w:marLeft w:val="0"/>
          <w:marRight w:val="0"/>
          <w:marTop w:val="0"/>
          <w:marBottom w:val="0"/>
          <w:divBdr>
            <w:top w:val="none" w:sz="0" w:space="0" w:color="auto"/>
            <w:left w:val="none" w:sz="0" w:space="0" w:color="auto"/>
            <w:bottom w:val="none" w:sz="0" w:space="0" w:color="auto"/>
            <w:right w:val="none" w:sz="0" w:space="0" w:color="auto"/>
          </w:divBdr>
          <w:divsChild>
            <w:div w:id="11030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699818">
      <w:bodyDiv w:val="1"/>
      <w:marLeft w:val="0"/>
      <w:marRight w:val="0"/>
      <w:marTop w:val="0"/>
      <w:marBottom w:val="0"/>
      <w:divBdr>
        <w:top w:val="none" w:sz="0" w:space="0" w:color="auto"/>
        <w:left w:val="none" w:sz="0" w:space="0" w:color="auto"/>
        <w:bottom w:val="none" w:sz="0" w:space="0" w:color="auto"/>
        <w:right w:val="none" w:sz="0" w:space="0" w:color="auto"/>
      </w:divBdr>
    </w:div>
    <w:div w:id="733742456">
      <w:bodyDiv w:val="1"/>
      <w:marLeft w:val="0"/>
      <w:marRight w:val="0"/>
      <w:marTop w:val="0"/>
      <w:marBottom w:val="0"/>
      <w:divBdr>
        <w:top w:val="none" w:sz="0" w:space="0" w:color="auto"/>
        <w:left w:val="none" w:sz="0" w:space="0" w:color="auto"/>
        <w:bottom w:val="none" w:sz="0" w:space="0" w:color="auto"/>
        <w:right w:val="none" w:sz="0" w:space="0" w:color="auto"/>
      </w:divBdr>
      <w:divsChild>
        <w:div w:id="449591448">
          <w:marLeft w:val="0"/>
          <w:marRight w:val="0"/>
          <w:marTop w:val="0"/>
          <w:marBottom w:val="0"/>
          <w:divBdr>
            <w:top w:val="none" w:sz="0" w:space="0" w:color="auto"/>
            <w:left w:val="none" w:sz="0" w:space="0" w:color="auto"/>
            <w:bottom w:val="none" w:sz="0" w:space="0" w:color="auto"/>
            <w:right w:val="none" w:sz="0" w:space="0" w:color="auto"/>
          </w:divBdr>
        </w:div>
      </w:divsChild>
    </w:div>
    <w:div w:id="733813289">
      <w:bodyDiv w:val="1"/>
      <w:marLeft w:val="0"/>
      <w:marRight w:val="0"/>
      <w:marTop w:val="0"/>
      <w:marBottom w:val="0"/>
      <w:divBdr>
        <w:top w:val="none" w:sz="0" w:space="0" w:color="auto"/>
        <w:left w:val="none" w:sz="0" w:space="0" w:color="auto"/>
        <w:bottom w:val="none" w:sz="0" w:space="0" w:color="auto"/>
        <w:right w:val="none" w:sz="0" w:space="0" w:color="auto"/>
      </w:divBdr>
    </w:div>
    <w:div w:id="733892547">
      <w:bodyDiv w:val="1"/>
      <w:marLeft w:val="0"/>
      <w:marRight w:val="0"/>
      <w:marTop w:val="0"/>
      <w:marBottom w:val="0"/>
      <w:divBdr>
        <w:top w:val="none" w:sz="0" w:space="0" w:color="auto"/>
        <w:left w:val="none" w:sz="0" w:space="0" w:color="auto"/>
        <w:bottom w:val="none" w:sz="0" w:space="0" w:color="auto"/>
        <w:right w:val="none" w:sz="0" w:space="0" w:color="auto"/>
      </w:divBdr>
    </w:div>
    <w:div w:id="733939448">
      <w:bodyDiv w:val="1"/>
      <w:marLeft w:val="0"/>
      <w:marRight w:val="0"/>
      <w:marTop w:val="0"/>
      <w:marBottom w:val="0"/>
      <w:divBdr>
        <w:top w:val="none" w:sz="0" w:space="0" w:color="auto"/>
        <w:left w:val="none" w:sz="0" w:space="0" w:color="auto"/>
        <w:bottom w:val="none" w:sz="0" w:space="0" w:color="auto"/>
        <w:right w:val="none" w:sz="0" w:space="0" w:color="auto"/>
      </w:divBdr>
      <w:divsChild>
        <w:div w:id="1631126686">
          <w:marLeft w:val="0"/>
          <w:marRight w:val="0"/>
          <w:marTop w:val="0"/>
          <w:marBottom w:val="0"/>
          <w:divBdr>
            <w:top w:val="none" w:sz="0" w:space="0" w:color="auto"/>
            <w:left w:val="none" w:sz="0" w:space="0" w:color="auto"/>
            <w:bottom w:val="dotted" w:sz="6" w:space="4" w:color="DDDDDD"/>
            <w:right w:val="none" w:sz="0" w:space="0" w:color="auto"/>
          </w:divBdr>
        </w:div>
      </w:divsChild>
    </w:div>
    <w:div w:id="734396898">
      <w:bodyDiv w:val="1"/>
      <w:marLeft w:val="0"/>
      <w:marRight w:val="0"/>
      <w:marTop w:val="0"/>
      <w:marBottom w:val="0"/>
      <w:divBdr>
        <w:top w:val="none" w:sz="0" w:space="0" w:color="auto"/>
        <w:left w:val="none" w:sz="0" w:space="0" w:color="auto"/>
        <w:bottom w:val="none" w:sz="0" w:space="0" w:color="auto"/>
        <w:right w:val="none" w:sz="0" w:space="0" w:color="auto"/>
      </w:divBdr>
      <w:divsChild>
        <w:div w:id="1388410262">
          <w:marLeft w:val="0"/>
          <w:marRight w:val="0"/>
          <w:marTop w:val="0"/>
          <w:marBottom w:val="0"/>
          <w:divBdr>
            <w:top w:val="none" w:sz="0" w:space="0" w:color="auto"/>
            <w:left w:val="none" w:sz="0" w:space="0" w:color="auto"/>
            <w:bottom w:val="none" w:sz="0" w:space="0" w:color="auto"/>
            <w:right w:val="none" w:sz="0" w:space="0" w:color="auto"/>
          </w:divBdr>
          <w:divsChild>
            <w:div w:id="1639067507">
              <w:marLeft w:val="0"/>
              <w:marRight w:val="0"/>
              <w:marTop w:val="0"/>
              <w:marBottom w:val="0"/>
              <w:divBdr>
                <w:top w:val="none" w:sz="0" w:space="0" w:color="auto"/>
                <w:left w:val="none" w:sz="0" w:space="0" w:color="auto"/>
                <w:bottom w:val="none" w:sz="0" w:space="0" w:color="auto"/>
                <w:right w:val="none" w:sz="0" w:space="0" w:color="auto"/>
              </w:divBdr>
              <w:divsChild>
                <w:div w:id="23530336">
                  <w:marLeft w:val="0"/>
                  <w:marRight w:val="0"/>
                  <w:marTop w:val="0"/>
                  <w:marBottom w:val="0"/>
                  <w:divBdr>
                    <w:top w:val="none" w:sz="0" w:space="0" w:color="auto"/>
                    <w:left w:val="none" w:sz="0" w:space="0" w:color="auto"/>
                    <w:bottom w:val="none" w:sz="0" w:space="0" w:color="auto"/>
                    <w:right w:val="none" w:sz="0" w:space="0" w:color="auto"/>
                  </w:divBdr>
                  <w:divsChild>
                    <w:div w:id="1941061423">
                      <w:marLeft w:val="0"/>
                      <w:marRight w:val="0"/>
                      <w:marTop w:val="0"/>
                      <w:marBottom w:val="0"/>
                      <w:divBdr>
                        <w:top w:val="none" w:sz="0" w:space="0" w:color="auto"/>
                        <w:left w:val="none" w:sz="0" w:space="0" w:color="auto"/>
                        <w:bottom w:val="none" w:sz="0" w:space="0" w:color="auto"/>
                        <w:right w:val="none" w:sz="0" w:space="0" w:color="auto"/>
                      </w:divBdr>
                      <w:divsChild>
                        <w:div w:id="1807701578">
                          <w:marLeft w:val="0"/>
                          <w:marRight w:val="0"/>
                          <w:marTop w:val="0"/>
                          <w:marBottom w:val="0"/>
                          <w:divBdr>
                            <w:top w:val="none" w:sz="0" w:space="0" w:color="auto"/>
                            <w:left w:val="none" w:sz="0" w:space="0" w:color="auto"/>
                            <w:bottom w:val="none" w:sz="0" w:space="0" w:color="auto"/>
                            <w:right w:val="none" w:sz="0" w:space="0" w:color="auto"/>
                          </w:divBdr>
                          <w:divsChild>
                            <w:div w:id="564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013502">
      <w:bodyDiv w:val="1"/>
      <w:marLeft w:val="0"/>
      <w:marRight w:val="0"/>
      <w:marTop w:val="0"/>
      <w:marBottom w:val="0"/>
      <w:divBdr>
        <w:top w:val="none" w:sz="0" w:space="0" w:color="auto"/>
        <w:left w:val="none" w:sz="0" w:space="0" w:color="auto"/>
        <w:bottom w:val="none" w:sz="0" w:space="0" w:color="auto"/>
        <w:right w:val="none" w:sz="0" w:space="0" w:color="auto"/>
      </w:divBdr>
      <w:divsChild>
        <w:div w:id="978153007">
          <w:marLeft w:val="0"/>
          <w:marRight w:val="0"/>
          <w:marTop w:val="0"/>
          <w:marBottom w:val="0"/>
          <w:divBdr>
            <w:top w:val="none" w:sz="0" w:space="0" w:color="auto"/>
            <w:left w:val="none" w:sz="0" w:space="0" w:color="auto"/>
            <w:bottom w:val="none" w:sz="0" w:space="0" w:color="auto"/>
            <w:right w:val="none" w:sz="0" w:space="0" w:color="auto"/>
          </w:divBdr>
          <w:divsChild>
            <w:div w:id="910192252">
              <w:marLeft w:val="0"/>
              <w:marRight w:val="0"/>
              <w:marTop w:val="0"/>
              <w:marBottom w:val="0"/>
              <w:divBdr>
                <w:top w:val="none" w:sz="0" w:space="0" w:color="auto"/>
                <w:left w:val="none" w:sz="0" w:space="0" w:color="auto"/>
                <w:bottom w:val="none" w:sz="0" w:space="0" w:color="auto"/>
                <w:right w:val="none" w:sz="0" w:space="0" w:color="auto"/>
              </w:divBdr>
              <w:divsChild>
                <w:div w:id="7568694">
                  <w:marLeft w:val="0"/>
                  <w:marRight w:val="0"/>
                  <w:marTop w:val="0"/>
                  <w:marBottom w:val="0"/>
                  <w:divBdr>
                    <w:top w:val="none" w:sz="0" w:space="0" w:color="auto"/>
                    <w:left w:val="none" w:sz="0" w:space="0" w:color="auto"/>
                    <w:bottom w:val="none" w:sz="0" w:space="0" w:color="auto"/>
                    <w:right w:val="none" w:sz="0" w:space="0" w:color="auto"/>
                  </w:divBdr>
                  <w:divsChild>
                    <w:div w:id="1922986108">
                      <w:marLeft w:val="0"/>
                      <w:marRight w:val="0"/>
                      <w:marTop w:val="0"/>
                      <w:marBottom w:val="0"/>
                      <w:divBdr>
                        <w:top w:val="none" w:sz="0" w:space="0" w:color="auto"/>
                        <w:left w:val="none" w:sz="0" w:space="0" w:color="auto"/>
                        <w:bottom w:val="none" w:sz="0" w:space="0" w:color="auto"/>
                        <w:right w:val="none" w:sz="0" w:space="0" w:color="auto"/>
                      </w:divBdr>
                      <w:divsChild>
                        <w:div w:id="233515638">
                          <w:marLeft w:val="0"/>
                          <w:marRight w:val="0"/>
                          <w:marTop w:val="0"/>
                          <w:marBottom w:val="0"/>
                          <w:divBdr>
                            <w:top w:val="none" w:sz="0" w:space="0" w:color="auto"/>
                            <w:left w:val="none" w:sz="0" w:space="0" w:color="auto"/>
                            <w:bottom w:val="none" w:sz="0" w:space="0" w:color="auto"/>
                            <w:right w:val="none" w:sz="0" w:space="0" w:color="auto"/>
                          </w:divBdr>
                          <w:divsChild>
                            <w:div w:id="1543975049">
                              <w:marLeft w:val="0"/>
                              <w:marRight w:val="0"/>
                              <w:marTop w:val="0"/>
                              <w:marBottom w:val="0"/>
                              <w:divBdr>
                                <w:top w:val="none" w:sz="0" w:space="0" w:color="auto"/>
                                <w:left w:val="none" w:sz="0" w:space="0" w:color="auto"/>
                                <w:bottom w:val="none" w:sz="0" w:space="0" w:color="auto"/>
                                <w:right w:val="none" w:sz="0" w:space="0" w:color="auto"/>
                              </w:divBdr>
                              <w:divsChild>
                                <w:div w:id="2142377698">
                                  <w:marLeft w:val="0"/>
                                  <w:marRight w:val="0"/>
                                  <w:marTop w:val="0"/>
                                  <w:marBottom w:val="0"/>
                                  <w:divBdr>
                                    <w:top w:val="none" w:sz="0" w:space="0" w:color="auto"/>
                                    <w:left w:val="none" w:sz="0" w:space="0" w:color="auto"/>
                                    <w:bottom w:val="none" w:sz="0" w:space="0" w:color="auto"/>
                                    <w:right w:val="none" w:sz="0" w:space="0" w:color="auto"/>
                                  </w:divBdr>
                                  <w:divsChild>
                                    <w:div w:id="2856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200809">
      <w:bodyDiv w:val="1"/>
      <w:marLeft w:val="0"/>
      <w:marRight w:val="0"/>
      <w:marTop w:val="0"/>
      <w:marBottom w:val="0"/>
      <w:divBdr>
        <w:top w:val="none" w:sz="0" w:space="0" w:color="auto"/>
        <w:left w:val="none" w:sz="0" w:space="0" w:color="auto"/>
        <w:bottom w:val="none" w:sz="0" w:space="0" w:color="auto"/>
        <w:right w:val="none" w:sz="0" w:space="0" w:color="auto"/>
      </w:divBdr>
      <w:divsChild>
        <w:div w:id="1606766045">
          <w:marLeft w:val="0"/>
          <w:marRight w:val="0"/>
          <w:marTop w:val="0"/>
          <w:marBottom w:val="0"/>
          <w:divBdr>
            <w:top w:val="none" w:sz="0" w:space="0" w:color="auto"/>
            <w:left w:val="none" w:sz="0" w:space="0" w:color="auto"/>
            <w:bottom w:val="none" w:sz="0" w:space="0" w:color="auto"/>
            <w:right w:val="none" w:sz="0" w:space="0" w:color="auto"/>
          </w:divBdr>
          <w:divsChild>
            <w:div w:id="766852983">
              <w:marLeft w:val="0"/>
              <w:marRight w:val="0"/>
              <w:marTop w:val="0"/>
              <w:marBottom w:val="0"/>
              <w:divBdr>
                <w:top w:val="none" w:sz="0" w:space="0" w:color="auto"/>
                <w:left w:val="none" w:sz="0" w:space="0" w:color="auto"/>
                <w:bottom w:val="none" w:sz="0" w:space="0" w:color="auto"/>
                <w:right w:val="none" w:sz="0" w:space="0" w:color="auto"/>
              </w:divBdr>
              <w:divsChild>
                <w:div w:id="762385194">
                  <w:marLeft w:val="0"/>
                  <w:marRight w:val="0"/>
                  <w:marTop w:val="0"/>
                  <w:marBottom w:val="0"/>
                  <w:divBdr>
                    <w:top w:val="none" w:sz="0" w:space="0" w:color="auto"/>
                    <w:left w:val="none" w:sz="0" w:space="0" w:color="auto"/>
                    <w:bottom w:val="none" w:sz="0" w:space="0" w:color="auto"/>
                    <w:right w:val="none" w:sz="0" w:space="0" w:color="auto"/>
                  </w:divBdr>
                  <w:divsChild>
                    <w:div w:id="363672481">
                      <w:marLeft w:val="0"/>
                      <w:marRight w:val="0"/>
                      <w:marTop w:val="0"/>
                      <w:marBottom w:val="0"/>
                      <w:divBdr>
                        <w:top w:val="none" w:sz="0" w:space="0" w:color="auto"/>
                        <w:left w:val="none" w:sz="0" w:space="0" w:color="auto"/>
                        <w:bottom w:val="none" w:sz="0" w:space="0" w:color="auto"/>
                        <w:right w:val="none" w:sz="0" w:space="0" w:color="auto"/>
                      </w:divBdr>
                      <w:divsChild>
                        <w:div w:id="1641811072">
                          <w:marLeft w:val="0"/>
                          <w:marRight w:val="0"/>
                          <w:marTop w:val="0"/>
                          <w:marBottom w:val="0"/>
                          <w:divBdr>
                            <w:top w:val="none" w:sz="0" w:space="0" w:color="auto"/>
                            <w:left w:val="none" w:sz="0" w:space="0" w:color="auto"/>
                            <w:bottom w:val="none" w:sz="0" w:space="0" w:color="auto"/>
                            <w:right w:val="none" w:sz="0" w:space="0" w:color="auto"/>
                          </w:divBdr>
                          <w:divsChild>
                            <w:div w:id="92629602">
                              <w:marLeft w:val="0"/>
                              <w:marRight w:val="0"/>
                              <w:marTop w:val="0"/>
                              <w:marBottom w:val="0"/>
                              <w:divBdr>
                                <w:top w:val="none" w:sz="0" w:space="0" w:color="auto"/>
                                <w:left w:val="none" w:sz="0" w:space="0" w:color="auto"/>
                                <w:bottom w:val="none" w:sz="0" w:space="0" w:color="auto"/>
                                <w:right w:val="none" w:sz="0" w:space="0" w:color="auto"/>
                              </w:divBdr>
                              <w:divsChild>
                                <w:div w:id="1203325430">
                                  <w:marLeft w:val="0"/>
                                  <w:marRight w:val="0"/>
                                  <w:marTop w:val="0"/>
                                  <w:marBottom w:val="0"/>
                                  <w:divBdr>
                                    <w:top w:val="none" w:sz="0" w:space="0" w:color="auto"/>
                                    <w:left w:val="none" w:sz="0" w:space="0" w:color="auto"/>
                                    <w:bottom w:val="none" w:sz="0" w:space="0" w:color="auto"/>
                                    <w:right w:val="none" w:sz="0" w:space="0" w:color="auto"/>
                                  </w:divBdr>
                                  <w:divsChild>
                                    <w:div w:id="142503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906609">
      <w:bodyDiv w:val="1"/>
      <w:marLeft w:val="0"/>
      <w:marRight w:val="0"/>
      <w:marTop w:val="0"/>
      <w:marBottom w:val="0"/>
      <w:divBdr>
        <w:top w:val="none" w:sz="0" w:space="0" w:color="auto"/>
        <w:left w:val="none" w:sz="0" w:space="0" w:color="auto"/>
        <w:bottom w:val="none" w:sz="0" w:space="0" w:color="auto"/>
        <w:right w:val="none" w:sz="0" w:space="0" w:color="auto"/>
      </w:divBdr>
      <w:divsChild>
        <w:div w:id="267667235">
          <w:marLeft w:val="0"/>
          <w:marRight w:val="0"/>
          <w:marTop w:val="0"/>
          <w:marBottom w:val="0"/>
          <w:divBdr>
            <w:top w:val="none" w:sz="0" w:space="0" w:color="auto"/>
            <w:left w:val="none" w:sz="0" w:space="0" w:color="auto"/>
            <w:bottom w:val="none" w:sz="0" w:space="0" w:color="auto"/>
            <w:right w:val="none" w:sz="0" w:space="0" w:color="auto"/>
          </w:divBdr>
        </w:div>
        <w:div w:id="821851424">
          <w:marLeft w:val="0"/>
          <w:marRight w:val="0"/>
          <w:marTop w:val="0"/>
          <w:marBottom w:val="0"/>
          <w:divBdr>
            <w:top w:val="none" w:sz="0" w:space="0" w:color="auto"/>
            <w:left w:val="none" w:sz="0" w:space="0" w:color="auto"/>
            <w:bottom w:val="none" w:sz="0" w:space="0" w:color="auto"/>
            <w:right w:val="none" w:sz="0" w:space="0" w:color="auto"/>
          </w:divBdr>
          <w:divsChild>
            <w:div w:id="815296267">
              <w:marLeft w:val="0"/>
              <w:marRight w:val="0"/>
              <w:marTop w:val="0"/>
              <w:marBottom w:val="0"/>
              <w:divBdr>
                <w:top w:val="none" w:sz="0" w:space="0" w:color="auto"/>
                <w:left w:val="none" w:sz="0" w:space="0" w:color="auto"/>
                <w:bottom w:val="none" w:sz="0" w:space="0" w:color="auto"/>
                <w:right w:val="none" w:sz="0" w:space="0" w:color="auto"/>
              </w:divBdr>
            </w:div>
          </w:divsChild>
        </w:div>
        <w:div w:id="1872188059">
          <w:marLeft w:val="0"/>
          <w:marRight w:val="0"/>
          <w:marTop w:val="0"/>
          <w:marBottom w:val="0"/>
          <w:divBdr>
            <w:top w:val="none" w:sz="0" w:space="0" w:color="auto"/>
            <w:left w:val="none" w:sz="0" w:space="0" w:color="auto"/>
            <w:bottom w:val="none" w:sz="0" w:space="0" w:color="auto"/>
            <w:right w:val="none" w:sz="0" w:space="0" w:color="auto"/>
          </w:divBdr>
        </w:div>
      </w:divsChild>
    </w:div>
    <w:div w:id="735976436">
      <w:bodyDiv w:val="1"/>
      <w:marLeft w:val="0"/>
      <w:marRight w:val="0"/>
      <w:marTop w:val="0"/>
      <w:marBottom w:val="0"/>
      <w:divBdr>
        <w:top w:val="none" w:sz="0" w:space="0" w:color="auto"/>
        <w:left w:val="none" w:sz="0" w:space="0" w:color="auto"/>
        <w:bottom w:val="none" w:sz="0" w:space="0" w:color="auto"/>
        <w:right w:val="none" w:sz="0" w:space="0" w:color="auto"/>
      </w:divBdr>
      <w:divsChild>
        <w:div w:id="367801035">
          <w:marLeft w:val="0"/>
          <w:marRight w:val="0"/>
          <w:marTop w:val="0"/>
          <w:marBottom w:val="0"/>
          <w:divBdr>
            <w:top w:val="none" w:sz="0" w:space="0" w:color="auto"/>
            <w:left w:val="none" w:sz="0" w:space="0" w:color="auto"/>
            <w:bottom w:val="dotted" w:sz="6" w:space="4" w:color="DDDDDD"/>
            <w:right w:val="none" w:sz="0" w:space="0" w:color="auto"/>
          </w:divBdr>
          <w:divsChild>
            <w:div w:id="54371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128746">
      <w:bodyDiv w:val="1"/>
      <w:marLeft w:val="0"/>
      <w:marRight w:val="0"/>
      <w:marTop w:val="0"/>
      <w:marBottom w:val="0"/>
      <w:divBdr>
        <w:top w:val="none" w:sz="0" w:space="0" w:color="auto"/>
        <w:left w:val="none" w:sz="0" w:space="0" w:color="auto"/>
        <w:bottom w:val="none" w:sz="0" w:space="0" w:color="auto"/>
        <w:right w:val="none" w:sz="0" w:space="0" w:color="auto"/>
      </w:divBdr>
      <w:divsChild>
        <w:div w:id="274407731">
          <w:marLeft w:val="0"/>
          <w:marRight w:val="225"/>
          <w:marTop w:val="0"/>
          <w:marBottom w:val="75"/>
          <w:divBdr>
            <w:top w:val="none" w:sz="0" w:space="0" w:color="auto"/>
            <w:left w:val="none" w:sz="0" w:space="0" w:color="auto"/>
            <w:bottom w:val="none" w:sz="0" w:space="0" w:color="auto"/>
            <w:right w:val="none" w:sz="0" w:space="0" w:color="auto"/>
          </w:divBdr>
          <w:divsChild>
            <w:div w:id="338237762">
              <w:marLeft w:val="0"/>
              <w:marRight w:val="0"/>
              <w:marTop w:val="0"/>
              <w:marBottom w:val="0"/>
              <w:divBdr>
                <w:top w:val="none" w:sz="0" w:space="0" w:color="auto"/>
                <w:left w:val="none" w:sz="0" w:space="0" w:color="auto"/>
                <w:bottom w:val="none" w:sz="0" w:space="0" w:color="auto"/>
                <w:right w:val="none" w:sz="0" w:space="0" w:color="auto"/>
              </w:divBdr>
            </w:div>
          </w:divsChild>
        </w:div>
        <w:div w:id="2070377063">
          <w:marLeft w:val="0"/>
          <w:marRight w:val="0"/>
          <w:marTop w:val="0"/>
          <w:marBottom w:val="0"/>
          <w:divBdr>
            <w:top w:val="none" w:sz="0" w:space="0" w:color="auto"/>
            <w:left w:val="none" w:sz="0" w:space="0" w:color="auto"/>
            <w:bottom w:val="dotted" w:sz="6" w:space="4" w:color="DDDDDD"/>
            <w:right w:val="none" w:sz="0" w:space="0" w:color="auto"/>
          </w:divBdr>
        </w:div>
      </w:divsChild>
    </w:div>
    <w:div w:id="736438857">
      <w:bodyDiv w:val="1"/>
      <w:marLeft w:val="0"/>
      <w:marRight w:val="0"/>
      <w:marTop w:val="0"/>
      <w:marBottom w:val="0"/>
      <w:divBdr>
        <w:top w:val="none" w:sz="0" w:space="0" w:color="auto"/>
        <w:left w:val="none" w:sz="0" w:space="0" w:color="auto"/>
        <w:bottom w:val="none" w:sz="0" w:space="0" w:color="auto"/>
        <w:right w:val="none" w:sz="0" w:space="0" w:color="auto"/>
      </w:divBdr>
      <w:divsChild>
        <w:div w:id="77682245">
          <w:marLeft w:val="0"/>
          <w:marRight w:val="0"/>
          <w:marTop w:val="0"/>
          <w:marBottom w:val="0"/>
          <w:divBdr>
            <w:top w:val="none" w:sz="0" w:space="0" w:color="auto"/>
            <w:left w:val="none" w:sz="0" w:space="0" w:color="auto"/>
            <w:bottom w:val="none" w:sz="0" w:space="0" w:color="auto"/>
            <w:right w:val="none" w:sz="0" w:space="0" w:color="auto"/>
          </w:divBdr>
        </w:div>
        <w:div w:id="984818690">
          <w:marLeft w:val="0"/>
          <w:marRight w:val="0"/>
          <w:marTop w:val="0"/>
          <w:marBottom w:val="150"/>
          <w:divBdr>
            <w:top w:val="none" w:sz="0" w:space="0" w:color="auto"/>
            <w:left w:val="none" w:sz="0" w:space="0" w:color="auto"/>
            <w:bottom w:val="none" w:sz="0" w:space="0" w:color="auto"/>
            <w:right w:val="none" w:sz="0" w:space="0" w:color="auto"/>
          </w:divBdr>
        </w:div>
      </w:divsChild>
    </w:div>
    <w:div w:id="736706280">
      <w:bodyDiv w:val="1"/>
      <w:marLeft w:val="0"/>
      <w:marRight w:val="0"/>
      <w:marTop w:val="0"/>
      <w:marBottom w:val="0"/>
      <w:divBdr>
        <w:top w:val="none" w:sz="0" w:space="0" w:color="auto"/>
        <w:left w:val="none" w:sz="0" w:space="0" w:color="auto"/>
        <w:bottom w:val="none" w:sz="0" w:space="0" w:color="auto"/>
        <w:right w:val="none" w:sz="0" w:space="0" w:color="auto"/>
      </w:divBdr>
      <w:divsChild>
        <w:div w:id="248539705">
          <w:marLeft w:val="0"/>
          <w:marRight w:val="0"/>
          <w:marTop w:val="0"/>
          <w:marBottom w:val="0"/>
          <w:divBdr>
            <w:top w:val="none" w:sz="0" w:space="0" w:color="auto"/>
            <w:left w:val="none" w:sz="0" w:space="0" w:color="auto"/>
            <w:bottom w:val="none" w:sz="0" w:space="0" w:color="auto"/>
            <w:right w:val="none" w:sz="0" w:space="0" w:color="auto"/>
          </w:divBdr>
          <w:divsChild>
            <w:div w:id="161428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787207">
      <w:bodyDiv w:val="1"/>
      <w:marLeft w:val="0"/>
      <w:marRight w:val="0"/>
      <w:marTop w:val="0"/>
      <w:marBottom w:val="0"/>
      <w:divBdr>
        <w:top w:val="none" w:sz="0" w:space="0" w:color="auto"/>
        <w:left w:val="none" w:sz="0" w:space="0" w:color="auto"/>
        <w:bottom w:val="none" w:sz="0" w:space="0" w:color="auto"/>
        <w:right w:val="none" w:sz="0" w:space="0" w:color="auto"/>
      </w:divBdr>
      <w:divsChild>
        <w:div w:id="641353761">
          <w:marLeft w:val="0"/>
          <w:marRight w:val="0"/>
          <w:marTop w:val="0"/>
          <w:marBottom w:val="0"/>
          <w:divBdr>
            <w:top w:val="none" w:sz="0" w:space="0" w:color="auto"/>
            <w:left w:val="none" w:sz="0" w:space="0" w:color="auto"/>
            <w:bottom w:val="none" w:sz="0" w:space="0" w:color="auto"/>
            <w:right w:val="none" w:sz="0" w:space="0" w:color="auto"/>
          </w:divBdr>
          <w:divsChild>
            <w:div w:id="593825323">
              <w:marLeft w:val="0"/>
              <w:marRight w:val="0"/>
              <w:marTop w:val="0"/>
              <w:marBottom w:val="0"/>
              <w:divBdr>
                <w:top w:val="none" w:sz="0" w:space="0" w:color="auto"/>
                <w:left w:val="none" w:sz="0" w:space="0" w:color="auto"/>
                <w:bottom w:val="none" w:sz="0" w:space="0" w:color="auto"/>
                <w:right w:val="none" w:sz="0" w:space="0" w:color="auto"/>
              </w:divBdr>
              <w:divsChild>
                <w:div w:id="617227464">
                  <w:marLeft w:val="0"/>
                  <w:marRight w:val="0"/>
                  <w:marTop w:val="0"/>
                  <w:marBottom w:val="0"/>
                  <w:divBdr>
                    <w:top w:val="none" w:sz="0" w:space="0" w:color="auto"/>
                    <w:left w:val="none" w:sz="0" w:space="0" w:color="auto"/>
                    <w:bottom w:val="none" w:sz="0" w:space="0" w:color="auto"/>
                    <w:right w:val="none" w:sz="0" w:space="0" w:color="auto"/>
                  </w:divBdr>
                  <w:divsChild>
                    <w:div w:id="1247769275">
                      <w:marLeft w:val="0"/>
                      <w:marRight w:val="0"/>
                      <w:marTop w:val="0"/>
                      <w:marBottom w:val="0"/>
                      <w:divBdr>
                        <w:top w:val="none" w:sz="0" w:space="0" w:color="auto"/>
                        <w:left w:val="none" w:sz="0" w:space="0" w:color="auto"/>
                        <w:bottom w:val="none" w:sz="0" w:space="0" w:color="auto"/>
                        <w:right w:val="none" w:sz="0" w:space="0" w:color="auto"/>
                      </w:divBdr>
                      <w:divsChild>
                        <w:div w:id="237441407">
                          <w:marLeft w:val="0"/>
                          <w:marRight w:val="0"/>
                          <w:marTop w:val="0"/>
                          <w:marBottom w:val="0"/>
                          <w:divBdr>
                            <w:top w:val="none" w:sz="0" w:space="0" w:color="auto"/>
                            <w:left w:val="none" w:sz="0" w:space="0" w:color="auto"/>
                            <w:bottom w:val="none" w:sz="0" w:space="0" w:color="auto"/>
                            <w:right w:val="none" w:sz="0" w:space="0" w:color="auto"/>
                          </w:divBdr>
                          <w:divsChild>
                            <w:div w:id="1274433255">
                              <w:marLeft w:val="0"/>
                              <w:marRight w:val="0"/>
                              <w:marTop w:val="0"/>
                              <w:marBottom w:val="0"/>
                              <w:divBdr>
                                <w:top w:val="none" w:sz="0" w:space="0" w:color="auto"/>
                                <w:left w:val="none" w:sz="0" w:space="0" w:color="auto"/>
                                <w:bottom w:val="none" w:sz="0" w:space="0" w:color="auto"/>
                                <w:right w:val="none" w:sz="0" w:space="0" w:color="auto"/>
                              </w:divBdr>
                              <w:divsChild>
                                <w:div w:id="540243338">
                                  <w:marLeft w:val="0"/>
                                  <w:marRight w:val="0"/>
                                  <w:marTop w:val="0"/>
                                  <w:marBottom w:val="0"/>
                                  <w:divBdr>
                                    <w:top w:val="none" w:sz="0" w:space="0" w:color="auto"/>
                                    <w:left w:val="none" w:sz="0" w:space="0" w:color="auto"/>
                                    <w:bottom w:val="none" w:sz="0" w:space="0" w:color="auto"/>
                                    <w:right w:val="none" w:sz="0" w:space="0" w:color="auto"/>
                                  </w:divBdr>
                                  <w:divsChild>
                                    <w:div w:id="104649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7366047">
      <w:bodyDiv w:val="1"/>
      <w:marLeft w:val="0"/>
      <w:marRight w:val="0"/>
      <w:marTop w:val="0"/>
      <w:marBottom w:val="0"/>
      <w:divBdr>
        <w:top w:val="none" w:sz="0" w:space="0" w:color="auto"/>
        <w:left w:val="none" w:sz="0" w:space="0" w:color="auto"/>
        <w:bottom w:val="none" w:sz="0" w:space="0" w:color="auto"/>
        <w:right w:val="none" w:sz="0" w:space="0" w:color="auto"/>
      </w:divBdr>
    </w:div>
    <w:div w:id="737633877">
      <w:bodyDiv w:val="1"/>
      <w:marLeft w:val="0"/>
      <w:marRight w:val="0"/>
      <w:marTop w:val="0"/>
      <w:marBottom w:val="0"/>
      <w:divBdr>
        <w:top w:val="none" w:sz="0" w:space="0" w:color="auto"/>
        <w:left w:val="none" w:sz="0" w:space="0" w:color="auto"/>
        <w:bottom w:val="none" w:sz="0" w:space="0" w:color="auto"/>
        <w:right w:val="none" w:sz="0" w:space="0" w:color="auto"/>
      </w:divBdr>
    </w:div>
    <w:div w:id="737896965">
      <w:bodyDiv w:val="1"/>
      <w:marLeft w:val="0"/>
      <w:marRight w:val="0"/>
      <w:marTop w:val="0"/>
      <w:marBottom w:val="0"/>
      <w:divBdr>
        <w:top w:val="none" w:sz="0" w:space="0" w:color="auto"/>
        <w:left w:val="none" w:sz="0" w:space="0" w:color="auto"/>
        <w:bottom w:val="none" w:sz="0" w:space="0" w:color="auto"/>
        <w:right w:val="none" w:sz="0" w:space="0" w:color="auto"/>
      </w:divBdr>
      <w:divsChild>
        <w:div w:id="1216815354">
          <w:marLeft w:val="0"/>
          <w:marRight w:val="0"/>
          <w:marTop w:val="0"/>
          <w:marBottom w:val="0"/>
          <w:divBdr>
            <w:top w:val="none" w:sz="0" w:space="0" w:color="auto"/>
            <w:left w:val="none" w:sz="0" w:space="0" w:color="auto"/>
            <w:bottom w:val="dotted" w:sz="6" w:space="4" w:color="DDDDDD"/>
            <w:right w:val="none" w:sz="0" w:space="0" w:color="auto"/>
          </w:divBdr>
          <w:divsChild>
            <w:div w:id="154189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8068">
      <w:bodyDiv w:val="1"/>
      <w:marLeft w:val="0"/>
      <w:marRight w:val="0"/>
      <w:marTop w:val="0"/>
      <w:marBottom w:val="0"/>
      <w:divBdr>
        <w:top w:val="none" w:sz="0" w:space="0" w:color="auto"/>
        <w:left w:val="none" w:sz="0" w:space="0" w:color="auto"/>
        <w:bottom w:val="none" w:sz="0" w:space="0" w:color="auto"/>
        <w:right w:val="none" w:sz="0" w:space="0" w:color="auto"/>
      </w:divBdr>
      <w:divsChild>
        <w:div w:id="793987295">
          <w:marLeft w:val="0"/>
          <w:marRight w:val="0"/>
          <w:marTop w:val="0"/>
          <w:marBottom w:val="0"/>
          <w:divBdr>
            <w:top w:val="none" w:sz="0" w:space="0" w:color="auto"/>
            <w:left w:val="none" w:sz="0" w:space="0" w:color="auto"/>
            <w:bottom w:val="none" w:sz="0" w:space="0" w:color="auto"/>
            <w:right w:val="none" w:sz="0" w:space="0" w:color="auto"/>
          </w:divBdr>
          <w:divsChild>
            <w:div w:id="104429505">
              <w:marLeft w:val="0"/>
              <w:marRight w:val="0"/>
              <w:marTop w:val="0"/>
              <w:marBottom w:val="0"/>
              <w:divBdr>
                <w:top w:val="none" w:sz="0" w:space="0" w:color="auto"/>
                <w:left w:val="none" w:sz="0" w:space="0" w:color="auto"/>
                <w:bottom w:val="none" w:sz="0" w:space="0" w:color="auto"/>
                <w:right w:val="none" w:sz="0" w:space="0" w:color="auto"/>
              </w:divBdr>
            </w:div>
            <w:div w:id="114443603">
              <w:marLeft w:val="0"/>
              <w:marRight w:val="0"/>
              <w:marTop w:val="0"/>
              <w:marBottom w:val="0"/>
              <w:divBdr>
                <w:top w:val="none" w:sz="0" w:space="0" w:color="auto"/>
                <w:left w:val="none" w:sz="0" w:space="0" w:color="auto"/>
                <w:bottom w:val="none" w:sz="0" w:space="0" w:color="auto"/>
                <w:right w:val="none" w:sz="0" w:space="0" w:color="auto"/>
              </w:divBdr>
            </w:div>
            <w:div w:id="345525524">
              <w:marLeft w:val="0"/>
              <w:marRight w:val="0"/>
              <w:marTop w:val="0"/>
              <w:marBottom w:val="0"/>
              <w:divBdr>
                <w:top w:val="none" w:sz="0" w:space="0" w:color="auto"/>
                <w:left w:val="none" w:sz="0" w:space="0" w:color="auto"/>
                <w:bottom w:val="none" w:sz="0" w:space="0" w:color="auto"/>
                <w:right w:val="none" w:sz="0" w:space="0" w:color="auto"/>
              </w:divBdr>
            </w:div>
            <w:div w:id="355817719">
              <w:marLeft w:val="0"/>
              <w:marRight w:val="0"/>
              <w:marTop w:val="0"/>
              <w:marBottom w:val="0"/>
              <w:divBdr>
                <w:top w:val="none" w:sz="0" w:space="0" w:color="auto"/>
                <w:left w:val="none" w:sz="0" w:space="0" w:color="auto"/>
                <w:bottom w:val="none" w:sz="0" w:space="0" w:color="auto"/>
                <w:right w:val="none" w:sz="0" w:space="0" w:color="auto"/>
              </w:divBdr>
            </w:div>
            <w:div w:id="426998120">
              <w:marLeft w:val="0"/>
              <w:marRight w:val="0"/>
              <w:marTop w:val="0"/>
              <w:marBottom w:val="0"/>
              <w:divBdr>
                <w:top w:val="none" w:sz="0" w:space="0" w:color="auto"/>
                <w:left w:val="none" w:sz="0" w:space="0" w:color="auto"/>
                <w:bottom w:val="none" w:sz="0" w:space="0" w:color="auto"/>
                <w:right w:val="none" w:sz="0" w:space="0" w:color="auto"/>
              </w:divBdr>
            </w:div>
            <w:div w:id="438913084">
              <w:marLeft w:val="0"/>
              <w:marRight w:val="0"/>
              <w:marTop w:val="0"/>
              <w:marBottom w:val="0"/>
              <w:divBdr>
                <w:top w:val="none" w:sz="0" w:space="0" w:color="auto"/>
                <w:left w:val="none" w:sz="0" w:space="0" w:color="auto"/>
                <w:bottom w:val="none" w:sz="0" w:space="0" w:color="auto"/>
                <w:right w:val="none" w:sz="0" w:space="0" w:color="auto"/>
              </w:divBdr>
            </w:div>
            <w:div w:id="586115727">
              <w:marLeft w:val="0"/>
              <w:marRight w:val="0"/>
              <w:marTop w:val="0"/>
              <w:marBottom w:val="0"/>
              <w:divBdr>
                <w:top w:val="none" w:sz="0" w:space="0" w:color="auto"/>
                <w:left w:val="none" w:sz="0" w:space="0" w:color="auto"/>
                <w:bottom w:val="none" w:sz="0" w:space="0" w:color="auto"/>
                <w:right w:val="none" w:sz="0" w:space="0" w:color="auto"/>
              </w:divBdr>
            </w:div>
            <w:div w:id="603922938">
              <w:marLeft w:val="0"/>
              <w:marRight w:val="0"/>
              <w:marTop w:val="0"/>
              <w:marBottom w:val="0"/>
              <w:divBdr>
                <w:top w:val="none" w:sz="0" w:space="0" w:color="auto"/>
                <w:left w:val="none" w:sz="0" w:space="0" w:color="auto"/>
                <w:bottom w:val="none" w:sz="0" w:space="0" w:color="auto"/>
                <w:right w:val="none" w:sz="0" w:space="0" w:color="auto"/>
              </w:divBdr>
            </w:div>
            <w:div w:id="773673784">
              <w:marLeft w:val="0"/>
              <w:marRight w:val="0"/>
              <w:marTop w:val="0"/>
              <w:marBottom w:val="0"/>
              <w:divBdr>
                <w:top w:val="none" w:sz="0" w:space="0" w:color="auto"/>
                <w:left w:val="none" w:sz="0" w:space="0" w:color="auto"/>
                <w:bottom w:val="none" w:sz="0" w:space="0" w:color="auto"/>
                <w:right w:val="none" w:sz="0" w:space="0" w:color="auto"/>
              </w:divBdr>
            </w:div>
            <w:div w:id="784353487">
              <w:marLeft w:val="0"/>
              <w:marRight w:val="0"/>
              <w:marTop w:val="0"/>
              <w:marBottom w:val="0"/>
              <w:divBdr>
                <w:top w:val="none" w:sz="0" w:space="0" w:color="auto"/>
                <w:left w:val="none" w:sz="0" w:space="0" w:color="auto"/>
                <w:bottom w:val="none" w:sz="0" w:space="0" w:color="auto"/>
                <w:right w:val="none" w:sz="0" w:space="0" w:color="auto"/>
              </w:divBdr>
            </w:div>
            <w:div w:id="933633182">
              <w:marLeft w:val="0"/>
              <w:marRight w:val="0"/>
              <w:marTop w:val="0"/>
              <w:marBottom w:val="0"/>
              <w:divBdr>
                <w:top w:val="none" w:sz="0" w:space="0" w:color="auto"/>
                <w:left w:val="none" w:sz="0" w:space="0" w:color="auto"/>
                <w:bottom w:val="none" w:sz="0" w:space="0" w:color="auto"/>
                <w:right w:val="none" w:sz="0" w:space="0" w:color="auto"/>
              </w:divBdr>
            </w:div>
            <w:div w:id="1012756562">
              <w:marLeft w:val="0"/>
              <w:marRight w:val="0"/>
              <w:marTop w:val="0"/>
              <w:marBottom w:val="0"/>
              <w:divBdr>
                <w:top w:val="none" w:sz="0" w:space="0" w:color="auto"/>
                <w:left w:val="none" w:sz="0" w:space="0" w:color="auto"/>
                <w:bottom w:val="none" w:sz="0" w:space="0" w:color="auto"/>
                <w:right w:val="none" w:sz="0" w:space="0" w:color="auto"/>
              </w:divBdr>
            </w:div>
            <w:div w:id="1026175637">
              <w:marLeft w:val="0"/>
              <w:marRight w:val="0"/>
              <w:marTop w:val="0"/>
              <w:marBottom w:val="0"/>
              <w:divBdr>
                <w:top w:val="none" w:sz="0" w:space="0" w:color="auto"/>
                <w:left w:val="none" w:sz="0" w:space="0" w:color="auto"/>
                <w:bottom w:val="none" w:sz="0" w:space="0" w:color="auto"/>
                <w:right w:val="none" w:sz="0" w:space="0" w:color="auto"/>
              </w:divBdr>
            </w:div>
            <w:div w:id="1028063679">
              <w:marLeft w:val="0"/>
              <w:marRight w:val="0"/>
              <w:marTop w:val="0"/>
              <w:marBottom w:val="0"/>
              <w:divBdr>
                <w:top w:val="none" w:sz="0" w:space="0" w:color="auto"/>
                <w:left w:val="none" w:sz="0" w:space="0" w:color="auto"/>
                <w:bottom w:val="none" w:sz="0" w:space="0" w:color="auto"/>
                <w:right w:val="none" w:sz="0" w:space="0" w:color="auto"/>
              </w:divBdr>
            </w:div>
            <w:div w:id="1531265487">
              <w:marLeft w:val="0"/>
              <w:marRight w:val="0"/>
              <w:marTop w:val="0"/>
              <w:marBottom w:val="0"/>
              <w:divBdr>
                <w:top w:val="none" w:sz="0" w:space="0" w:color="auto"/>
                <w:left w:val="none" w:sz="0" w:space="0" w:color="auto"/>
                <w:bottom w:val="none" w:sz="0" w:space="0" w:color="auto"/>
                <w:right w:val="none" w:sz="0" w:space="0" w:color="auto"/>
              </w:divBdr>
            </w:div>
            <w:div w:id="1783377540">
              <w:marLeft w:val="0"/>
              <w:marRight w:val="0"/>
              <w:marTop w:val="0"/>
              <w:marBottom w:val="0"/>
              <w:divBdr>
                <w:top w:val="none" w:sz="0" w:space="0" w:color="auto"/>
                <w:left w:val="none" w:sz="0" w:space="0" w:color="auto"/>
                <w:bottom w:val="none" w:sz="0" w:space="0" w:color="auto"/>
                <w:right w:val="none" w:sz="0" w:space="0" w:color="auto"/>
              </w:divBdr>
            </w:div>
            <w:div w:id="213918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214092">
      <w:bodyDiv w:val="1"/>
      <w:marLeft w:val="0"/>
      <w:marRight w:val="0"/>
      <w:marTop w:val="0"/>
      <w:marBottom w:val="0"/>
      <w:divBdr>
        <w:top w:val="none" w:sz="0" w:space="0" w:color="auto"/>
        <w:left w:val="none" w:sz="0" w:space="0" w:color="auto"/>
        <w:bottom w:val="none" w:sz="0" w:space="0" w:color="auto"/>
        <w:right w:val="none" w:sz="0" w:space="0" w:color="auto"/>
      </w:divBdr>
    </w:div>
    <w:div w:id="738290098">
      <w:bodyDiv w:val="1"/>
      <w:marLeft w:val="0"/>
      <w:marRight w:val="0"/>
      <w:marTop w:val="0"/>
      <w:marBottom w:val="0"/>
      <w:divBdr>
        <w:top w:val="none" w:sz="0" w:space="0" w:color="auto"/>
        <w:left w:val="none" w:sz="0" w:space="0" w:color="auto"/>
        <w:bottom w:val="none" w:sz="0" w:space="0" w:color="auto"/>
        <w:right w:val="none" w:sz="0" w:space="0" w:color="auto"/>
      </w:divBdr>
      <w:divsChild>
        <w:div w:id="622006678">
          <w:marLeft w:val="0"/>
          <w:marRight w:val="0"/>
          <w:marTop w:val="0"/>
          <w:marBottom w:val="0"/>
          <w:divBdr>
            <w:top w:val="none" w:sz="0" w:space="0" w:color="auto"/>
            <w:left w:val="none" w:sz="0" w:space="0" w:color="auto"/>
            <w:bottom w:val="none" w:sz="0" w:space="0" w:color="auto"/>
            <w:right w:val="none" w:sz="0" w:space="0" w:color="auto"/>
          </w:divBdr>
        </w:div>
      </w:divsChild>
    </w:div>
    <w:div w:id="738407117">
      <w:bodyDiv w:val="1"/>
      <w:marLeft w:val="0"/>
      <w:marRight w:val="0"/>
      <w:marTop w:val="0"/>
      <w:marBottom w:val="0"/>
      <w:divBdr>
        <w:top w:val="none" w:sz="0" w:space="0" w:color="auto"/>
        <w:left w:val="none" w:sz="0" w:space="0" w:color="auto"/>
        <w:bottom w:val="none" w:sz="0" w:space="0" w:color="auto"/>
        <w:right w:val="none" w:sz="0" w:space="0" w:color="auto"/>
      </w:divBdr>
      <w:divsChild>
        <w:div w:id="1653096904">
          <w:marLeft w:val="0"/>
          <w:marRight w:val="0"/>
          <w:marTop w:val="0"/>
          <w:marBottom w:val="0"/>
          <w:divBdr>
            <w:top w:val="none" w:sz="0" w:space="0" w:color="auto"/>
            <w:left w:val="none" w:sz="0" w:space="0" w:color="auto"/>
            <w:bottom w:val="none" w:sz="0" w:space="0" w:color="auto"/>
            <w:right w:val="none" w:sz="0" w:space="0" w:color="auto"/>
          </w:divBdr>
          <w:divsChild>
            <w:div w:id="791169235">
              <w:marLeft w:val="0"/>
              <w:marRight w:val="0"/>
              <w:marTop w:val="0"/>
              <w:marBottom w:val="0"/>
              <w:divBdr>
                <w:top w:val="none" w:sz="0" w:space="0" w:color="auto"/>
                <w:left w:val="none" w:sz="0" w:space="0" w:color="auto"/>
                <w:bottom w:val="none" w:sz="0" w:space="0" w:color="auto"/>
                <w:right w:val="none" w:sz="0" w:space="0" w:color="auto"/>
              </w:divBdr>
              <w:divsChild>
                <w:div w:id="632755136">
                  <w:marLeft w:val="0"/>
                  <w:marRight w:val="0"/>
                  <w:marTop w:val="0"/>
                  <w:marBottom w:val="0"/>
                  <w:divBdr>
                    <w:top w:val="none" w:sz="0" w:space="0" w:color="auto"/>
                    <w:left w:val="none" w:sz="0" w:space="0" w:color="auto"/>
                    <w:bottom w:val="none" w:sz="0" w:space="0" w:color="auto"/>
                    <w:right w:val="none" w:sz="0" w:space="0" w:color="auto"/>
                  </w:divBdr>
                  <w:divsChild>
                    <w:div w:id="1507020102">
                      <w:marLeft w:val="0"/>
                      <w:marRight w:val="0"/>
                      <w:marTop w:val="0"/>
                      <w:marBottom w:val="0"/>
                      <w:divBdr>
                        <w:top w:val="none" w:sz="0" w:space="0" w:color="auto"/>
                        <w:left w:val="none" w:sz="0" w:space="0" w:color="auto"/>
                        <w:bottom w:val="none" w:sz="0" w:space="0" w:color="auto"/>
                        <w:right w:val="none" w:sz="0" w:space="0" w:color="auto"/>
                      </w:divBdr>
                      <w:divsChild>
                        <w:div w:id="1572276017">
                          <w:marLeft w:val="0"/>
                          <w:marRight w:val="0"/>
                          <w:marTop w:val="0"/>
                          <w:marBottom w:val="0"/>
                          <w:divBdr>
                            <w:top w:val="none" w:sz="0" w:space="0" w:color="auto"/>
                            <w:left w:val="none" w:sz="0" w:space="0" w:color="auto"/>
                            <w:bottom w:val="none" w:sz="0" w:space="0" w:color="auto"/>
                            <w:right w:val="none" w:sz="0" w:space="0" w:color="auto"/>
                          </w:divBdr>
                          <w:divsChild>
                            <w:div w:id="462891704">
                              <w:marLeft w:val="0"/>
                              <w:marRight w:val="0"/>
                              <w:marTop w:val="0"/>
                              <w:marBottom w:val="0"/>
                              <w:divBdr>
                                <w:top w:val="none" w:sz="0" w:space="0" w:color="auto"/>
                                <w:left w:val="none" w:sz="0" w:space="0" w:color="auto"/>
                                <w:bottom w:val="none" w:sz="0" w:space="0" w:color="auto"/>
                                <w:right w:val="none" w:sz="0" w:space="0" w:color="auto"/>
                              </w:divBdr>
                              <w:divsChild>
                                <w:div w:id="158587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9064026">
      <w:bodyDiv w:val="1"/>
      <w:marLeft w:val="0"/>
      <w:marRight w:val="0"/>
      <w:marTop w:val="0"/>
      <w:marBottom w:val="0"/>
      <w:divBdr>
        <w:top w:val="none" w:sz="0" w:space="0" w:color="auto"/>
        <w:left w:val="none" w:sz="0" w:space="0" w:color="auto"/>
        <w:bottom w:val="none" w:sz="0" w:space="0" w:color="auto"/>
        <w:right w:val="none" w:sz="0" w:space="0" w:color="auto"/>
      </w:divBdr>
      <w:divsChild>
        <w:div w:id="1363818445">
          <w:marLeft w:val="0"/>
          <w:marRight w:val="0"/>
          <w:marTop w:val="0"/>
          <w:marBottom w:val="150"/>
          <w:divBdr>
            <w:top w:val="none" w:sz="0" w:space="0" w:color="auto"/>
            <w:left w:val="none" w:sz="0" w:space="0" w:color="auto"/>
            <w:bottom w:val="none" w:sz="0" w:space="0" w:color="auto"/>
            <w:right w:val="none" w:sz="0" w:space="0" w:color="auto"/>
          </w:divBdr>
        </w:div>
        <w:div w:id="1668752405">
          <w:marLeft w:val="0"/>
          <w:marRight w:val="0"/>
          <w:marTop w:val="0"/>
          <w:marBottom w:val="150"/>
          <w:divBdr>
            <w:top w:val="none" w:sz="0" w:space="0" w:color="auto"/>
            <w:left w:val="none" w:sz="0" w:space="0" w:color="auto"/>
            <w:bottom w:val="none" w:sz="0" w:space="0" w:color="auto"/>
            <w:right w:val="none" w:sz="0" w:space="0" w:color="auto"/>
          </w:divBdr>
          <w:divsChild>
            <w:div w:id="1491172720">
              <w:marLeft w:val="0"/>
              <w:marRight w:val="0"/>
              <w:marTop w:val="0"/>
              <w:marBottom w:val="0"/>
              <w:divBdr>
                <w:top w:val="none" w:sz="0" w:space="0" w:color="auto"/>
                <w:left w:val="none" w:sz="0" w:space="0" w:color="auto"/>
                <w:bottom w:val="none" w:sz="0" w:space="0" w:color="auto"/>
                <w:right w:val="none" w:sz="0" w:space="0" w:color="auto"/>
              </w:divBdr>
            </w:div>
          </w:divsChild>
        </w:div>
        <w:div w:id="1758095165">
          <w:marLeft w:val="0"/>
          <w:marRight w:val="0"/>
          <w:marTop w:val="0"/>
          <w:marBottom w:val="0"/>
          <w:divBdr>
            <w:top w:val="none" w:sz="0" w:space="0" w:color="auto"/>
            <w:left w:val="none" w:sz="0" w:space="0" w:color="auto"/>
            <w:bottom w:val="none" w:sz="0" w:space="0" w:color="auto"/>
            <w:right w:val="none" w:sz="0" w:space="0" w:color="auto"/>
          </w:divBdr>
          <w:divsChild>
            <w:div w:id="109585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249911">
      <w:bodyDiv w:val="1"/>
      <w:marLeft w:val="0"/>
      <w:marRight w:val="0"/>
      <w:marTop w:val="0"/>
      <w:marBottom w:val="0"/>
      <w:divBdr>
        <w:top w:val="none" w:sz="0" w:space="0" w:color="auto"/>
        <w:left w:val="none" w:sz="0" w:space="0" w:color="auto"/>
        <w:bottom w:val="none" w:sz="0" w:space="0" w:color="auto"/>
        <w:right w:val="none" w:sz="0" w:space="0" w:color="auto"/>
      </w:divBdr>
      <w:divsChild>
        <w:div w:id="835070069">
          <w:marLeft w:val="0"/>
          <w:marRight w:val="0"/>
          <w:marTop w:val="0"/>
          <w:marBottom w:val="0"/>
          <w:divBdr>
            <w:top w:val="none" w:sz="0" w:space="0" w:color="auto"/>
            <w:left w:val="none" w:sz="0" w:space="0" w:color="auto"/>
            <w:bottom w:val="none" w:sz="0" w:space="0" w:color="auto"/>
            <w:right w:val="none" w:sz="0" w:space="0" w:color="auto"/>
          </w:divBdr>
          <w:divsChild>
            <w:div w:id="8785193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40255398">
      <w:bodyDiv w:val="1"/>
      <w:marLeft w:val="0"/>
      <w:marRight w:val="0"/>
      <w:marTop w:val="0"/>
      <w:marBottom w:val="0"/>
      <w:divBdr>
        <w:top w:val="none" w:sz="0" w:space="0" w:color="auto"/>
        <w:left w:val="none" w:sz="0" w:space="0" w:color="auto"/>
        <w:bottom w:val="none" w:sz="0" w:space="0" w:color="auto"/>
        <w:right w:val="none" w:sz="0" w:space="0" w:color="auto"/>
      </w:divBdr>
      <w:divsChild>
        <w:div w:id="2124956451">
          <w:marLeft w:val="0"/>
          <w:marRight w:val="0"/>
          <w:marTop w:val="0"/>
          <w:marBottom w:val="0"/>
          <w:divBdr>
            <w:top w:val="none" w:sz="0" w:space="0" w:color="auto"/>
            <w:left w:val="none" w:sz="0" w:space="0" w:color="auto"/>
            <w:bottom w:val="none" w:sz="0" w:space="0" w:color="auto"/>
            <w:right w:val="none" w:sz="0" w:space="0" w:color="auto"/>
          </w:divBdr>
        </w:div>
      </w:divsChild>
    </w:div>
    <w:div w:id="740448915">
      <w:bodyDiv w:val="1"/>
      <w:marLeft w:val="0"/>
      <w:marRight w:val="0"/>
      <w:marTop w:val="0"/>
      <w:marBottom w:val="0"/>
      <w:divBdr>
        <w:top w:val="none" w:sz="0" w:space="0" w:color="auto"/>
        <w:left w:val="none" w:sz="0" w:space="0" w:color="auto"/>
        <w:bottom w:val="none" w:sz="0" w:space="0" w:color="auto"/>
        <w:right w:val="none" w:sz="0" w:space="0" w:color="auto"/>
      </w:divBdr>
      <w:divsChild>
        <w:div w:id="828056416">
          <w:marLeft w:val="0"/>
          <w:marRight w:val="0"/>
          <w:marTop w:val="0"/>
          <w:marBottom w:val="0"/>
          <w:divBdr>
            <w:top w:val="none" w:sz="0" w:space="0" w:color="auto"/>
            <w:left w:val="none" w:sz="0" w:space="0" w:color="auto"/>
            <w:bottom w:val="none" w:sz="0" w:space="0" w:color="auto"/>
            <w:right w:val="none" w:sz="0" w:space="0" w:color="auto"/>
          </w:divBdr>
          <w:divsChild>
            <w:div w:id="739409103">
              <w:marLeft w:val="0"/>
              <w:marRight w:val="0"/>
              <w:marTop w:val="0"/>
              <w:marBottom w:val="0"/>
              <w:divBdr>
                <w:top w:val="none" w:sz="0" w:space="0" w:color="auto"/>
                <w:left w:val="none" w:sz="0" w:space="0" w:color="auto"/>
                <w:bottom w:val="none" w:sz="0" w:space="0" w:color="auto"/>
                <w:right w:val="none" w:sz="0" w:space="0" w:color="auto"/>
              </w:divBdr>
              <w:divsChild>
                <w:div w:id="1186213042">
                  <w:marLeft w:val="0"/>
                  <w:marRight w:val="0"/>
                  <w:marTop w:val="0"/>
                  <w:marBottom w:val="0"/>
                  <w:divBdr>
                    <w:top w:val="none" w:sz="0" w:space="0" w:color="auto"/>
                    <w:left w:val="none" w:sz="0" w:space="0" w:color="auto"/>
                    <w:bottom w:val="none" w:sz="0" w:space="0" w:color="auto"/>
                    <w:right w:val="none" w:sz="0" w:space="0" w:color="auto"/>
                  </w:divBdr>
                  <w:divsChild>
                    <w:div w:id="1490366162">
                      <w:marLeft w:val="0"/>
                      <w:marRight w:val="0"/>
                      <w:marTop w:val="0"/>
                      <w:marBottom w:val="0"/>
                      <w:divBdr>
                        <w:top w:val="none" w:sz="0" w:space="0" w:color="auto"/>
                        <w:left w:val="none" w:sz="0" w:space="0" w:color="auto"/>
                        <w:bottom w:val="none" w:sz="0" w:space="0" w:color="auto"/>
                        <w:right w:val="none" w:sz="0" w:space="0" w:color="auto"/>
                      </w:divBdr>
                      <w:divsChild>
                        <w:div w:id="951128574">
                          <w:marLeft w:val="0"/>
                          <w:marRight w:val="0"/>
                          <w:marTop w:val="0"/>
                          <w:marBottom w:val="0"/>
                          <w:divBdr>
                            <w:top w:val="none" w:sz="0" w:space="0" w:color="auto"/>
                            <w:left w:val="none" w:sz="0" w:space="0" w:color="auto"/>
                            <w:bottom w:val="none" w:sz="0" w:space="0" w:color="auto"/>
                            <w:right w:val="none" w:sz="0" w:space="0" w:color="auto"/>
                          </w:divBdr>
                          <w:divsChild>
                            <w:div w:id="327447818">
                              <w:marLeft w:val="0"/>
                              <w:marRight w:val="0"/>
                              <w:marTop w:val="0"/>
                              <w:marBottom w:val="0"/>
                              <w:divBdr>
                                <w:top w:val="none" w:sz="0" w:space="0" w:color="auto"/>
                                <w:left w:val="none" w:sz="0" w:space="0" w:color="auto"/>
                                <w:bottom w:val="none" w:sz="0" w:space="0" w:color="auto"/>
                                <w:right w:val="none" w:sz="0" w:space="0" w:color="auto"/>
                              </w:divBdr>
                              <w:divsChild>
                                <w:div w:id="1580747568">
                                  <w:marLeft w:val="0"/>
                                  <w:marRight w:val="0"/>
                                  <w:marTop w:val="0"/>
                                  <w:marBottom w:val="0"/>
                                  <w:divBdr>
                                    <w:top w:val="none" w:sz="0" w:space="0" w:color="auto"/>
                                    <w:left w:val="none" w:sz="0" w:space="0" w:color="auto"/>
                                    <w:bottom w:val="none" w:sz="0" w:space="0" w:color="auto"/>
                                    <w:right w:val="none" w:sz="0" w:space="0" w:color="auto"/>
                                  </w:divBdr>
                                  <w:divsChild>
                                    <w:div w:id="50640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0567490">
      <w:bodyDiv w:val="1"/>
      <w:marLeft w:val="0"/>
      <w:marRight w:val="0"/>
      <w:marTop w:val="0"/>
      <w:marBottom w:val="0"/>
      <w:divBdr>
        <w:top w:val="none" w:sz="0" w:space="0" w:color="auto"/>
        <w:left w:val="none" w:sz="0" w:space="0" w:color="auto"/>
        <w:bottom w:val="none" w:sz="0" w:space="0" w:color="auto"/>
        <w:right w:val="none" w:sz="0" w:space="0" w:color="auto"/>
      </w:divBdr>
    </w:div>
    <w:div w:id="740828409">
      <w:bodyDiv w:val="1"/>
      <w:marLeft w:val="0"/>
      <w:marRight w:val="0"/>
      <w:marTop w:val="0"/>
      <w:marBottom w:val="0"/>
      <w:divBdr>
        <w:top w:val="none" w:sz="0" w:space="0" w:color="auto"/>
        <w:left w:val="none" w:sz="0" w:space="0" w:color="auto"/>
        <w:bottom w:val="none" w:sz="0" w:space="0" w:color="auto"/>
        <w:right w:val="none" w:sz="0" w:space="0" w:color="auto"/>
      </w:divBdr>
      <w:divsChild>
        <w:div w:id="2031292648">
          <w:marLeft w:val="0"/>
          <w:marRight w:val="0"/>
          <w:marTop w:val="0"/>
          <w:marBottom w:val="0"/>
          <w:divBdr>
            <w:top w:val="none" w:sz="0" w:space="0" w:color="auto"/>
            <w:left w:val="none" w:sz="0" w:space="0" w:color="auto"/>
            <w:bottom w:val="dotted" w:sz="6" w:space="4" w:color="DDDDDD"/>
            <w:right w:val="none" w:sz="0" w:space="0" w:color="auto"/>
          </w:divBdr>
        </w:div>
      </w:divsChild>
    </w:div>
    <w:div w:id="740835906">
      <w:bodyDiv w:val="1"/>
      <w:marLeft w:val="0"/>
      <w:marRight w:val="0"/>
      <w:marTop w:val="0"/>
      <w:marBottom w:val="0"/>
      <w:divBdr>
        <w:top w:val="none" w:sz="0" w:space="0" w:color="auto"/>
        <w:left w:val="none" w:sz="0" w:space="0" w:color="auto"/>
        <w:bottom w:val="none" w:sz="0" w:space="0" w:color="auto"/>
        <w:right w:val="none" w:sz="0" w:space="0" w:color="auto"/>
      </w:divBdr>
      <w:divsChild>
        <w:div w:id="421100984">
          <w:marLeft w:val="0"/>
          <w:marRight w:val="0"/>
          <w:marTop w:val="300"/>
          <w:marBottom w:val="0"/>
          <w:divBdr>
            <w:top w:val="none" w:sz="0" w:space="0" w:color="auto"/>
            <w:left w:val="none" w:sz="0" w:space="0" w:color="auto"/>
            <w:bottom w:val="none" w:sz="0" w:space="0" w:color="auto"/>
            <w:right w:val="none" w:sz="0" w:space="0" w:color="auto"/>
          </w:divBdr>
          <w:divsChild>
            <w:div w:id="270941692">
              <w:marLeft w:val="-1350"/>
              <w:marRight w:val="0"/>
              <w:marTop w:val="0"/>
              <w:marBottom w:val="0"/>
              <w:divBdr>
                <w:top w:val="none" w:sz="0" w:space="0" w:color="auto"/>
                <w:left w:val="none" w:sz="0" w:space="0" w:color="auto"/>
                <w:bottom w:val="none" w:sz="0" w:space="0" w:color="auto"/>
                <w:right w:val="none" w:sz="0" w:space="0" w:color="auto"/>
              </w:divBdr>
              <w:divsChild>
                <w:div w:id="465437710">
                  <w:marLeft w:val="0"/>
                  <w:marRight w:val="0"/>
                  <w:marTop w:val="0"/>
                  <w:marBottom w:val="0"/>
                  <w:divBdr>
                    <w:top w:val="none" w:sz="0" w:space="0" w:color="auto"/>
                    <w:left w:val="none" w:sz="0" w:space="0" w:color="auto"/>
                    <w:bottom w:val="none" w:sz="0" w:space="0" w:color="auto"/>
                    <w:right w:val="none" w:sz="0" w:space="0" w:color="auto"/>
                  </w:divBdr>
                  <w:divsChild>
                    <w:div w:id="726998679">
                      <w:marLeft w:val="0"/>
                      <w:marRight w:val="0"/>
                      <w:marTop w:val="0"/>
                      <w:marBottom w:val="0"/>
                      <w:divBdr>
                        <w:top w:val="none" w:sz="0" w:space="0" w:color="auto"/>
                        <w:left w:val="none" w:sz="0" w:space="0" w:color="auto"/>
                        <w:bottom w:val="none" w:sz="0" w:space="0" w:color="auto"/>
                        <w:right w:val="none" w:sz="0" w:space="0" w:color="auto"/>
                      </w:divBdr>
                      <w:divsChild>
                        <w:div w:id="443887764">
                          <w:marLeft w:val="0"/>
                          <w:marRight w:val="0"/>
                          <w:marTop w:val="0"/>
                          <w:marBottom w:val="0"/>
                          <w:divBdr>
                            <w:top w:val="single" w:sz="6" w:space="0" w:color="C7C7C7"/>
                            <w:left w:val="single" w:sz="6" w:space="0" w:color="C7C7C7"/>
                            <w:bottom w:val="single" w:sz="6" w:space="0" w:color="C7C7C7"/>
                            <w:right w:val="single" w:sz="6" w:space="0" w:color="C7C7C7"/>
                          </w:divBdr>
                          <w:divsChild>
                            <w:div w:id="93018674">
                              <w:marLeft w:val="0"/>
                              <w:marRight w:val="0"/>
                              <w:marTop w:val="100"/>
                              <w:marBottom w:val="100"/>
                              <w:divBdr>
                                <w:top w:val="none" w:sz="0" w:space="11" w:color="auto"/>
                                <w:left w:val="none" w:sz="0" w:space="0" w:color="auto"/>
                                <w:bottom w:val="single" w:sz="6" w:space="11" w:color="C7C7C7"/>
                                <w:right w:val="none" w:sz="0" w:space="0" w:color="auto"/>
                              </w:divBdr>
                            </w:div>
                            <w:div w:id="306518128">
                              <w:marLeft w:val="0"/>
                              <w:marRight w:val="0"/>
                              <w:marTop w:val="100"/>
                              <w:marBottom w:val="100"/>
                              <w:divBdr>
                                <w:top w:val="none" w:sz="0" w:space="0" w:color="auto"/>
                                <w:left w:val="none" w:sz="0" w:space="0" w:color="auto"/>
                                <w:bottom w:val="none" w:sz="0" w:space="0" w:color="auto"/>
                                <w:right w:val="none" w:sz="0" w:space="0" w:color="auto"/>
                              </w:divBdr>
                            </w:div>
                            <w:div w:id="1041441718">
                              <w:marLeft w:val="0"/>
                              <w:marRight w:val="0"/>
                              <w:marTop w:val="100"/>
                              <w:marBottom w:val="100"/>
                              <w:divBdr>
                                <w:top w:val="none" w:sz="0" w:space="11" w:color="auto"/>
                                <w:left w:val="none" w:sz="0" w:space="0" w:color="auto"/>
                                <w:bottom w:val="single" w:sz="6" w:space="11" w:color="C7C7C7"/>
                                <w:right w:val="none" w:sz="0" w:space="0" w:color="auto"/>
                              </w:divBdr>
                            </w:div>
                            <w:div w:id="1580362321">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223176623">
              <w:marLeft w:val="0"/>
              <w:marRight w:val="0"/>
              <w:marTop w:val="0"/>
              <w:marBottom w:val="0"/>
              <w:divBdr>
                <w:top w:val="none" w:sz="0" w:space="0" w:color="auto"/>
                <w:left w:val="none" w:sz="0" w:space="0" w:color="auto"/>
                <w:bottom w:val="none" w:sz="0" w:space="0" w:color="auto"/>
                <w:right w:val="none" w:sz="0" w:space="0" w:color="auto"/>
              </w:divBdr>
              <w:divsChild>
                <w:div w:id="1993019358">
                  <w:marLeft w:val="0"/>
                  <w:marRight w:val="0"/>
                  <w:marTop w:val="0"/>
                  <w:marBottom w:val="0"/>
                  <w:divBdr>
                    <w:top w:val="none" w:sz="0" w:space="0" w:color="auto"/>
                    <w:left w:val="none" w:sz="0" w:space="0" w:color="auto"/>
                    <w:bottom w:val="none" w:sz="0" w:space="0" w:color="auto"/>
                    <w:right w:val="none" w:sz="0" w:space="0" w:color="auto"/>
                  </w:divBdr>
                  <w:divsChild>
                    <w:div w:id="80489161">
                      <w:marLeft w:val="0"/>
                      <w:marRight w:val="0"/>
                      <w:marTop w:val="0"/>
                      <w:marBottom w:val="0"/>
                      <w:divBdr>
                        <w:top w:val="none" w:sz="0" w:space="0" w:color="auto"/>
                        <w:left w:val="none" w:sz="0" w:space="0" w:color="auto"/>
                        <w:bottom w:val="none" w:sz="0" w:space="0" w:color="auto"/>
                        <w:right w:val="none" w:sz="0" w:space="0" w:color="auto"/>
                      </w:divBdr>
                    </w:div>
                  </w:divsChild>
                </w:div>
                <w:div w:id="2087801495">
                  <w:marLeft w:val="0"/>
                  <w:marRight w:val="0"/>
                  <w:marTop w:val="150"/>
                  <w:marBottom w:val="0"/>
                  <w:divBdr>
                    <w:top w:val="none" w:sz="0" w:space="0" w:color="auto"/>
                    <w:left w:val="none" w:sz="0" w:space="0" w:color="auto"/>
                    <w:bottom w:val="none" w:sz="0" w:space="0" w:color="auto"/>
                    <w:right w:val="none" w:sz="0" w:space="0" w:color="auto"/>
                  </w:divBdr>
                  <w:divsChild>
                    <w:div w:id="1122966763">
                      <w:marLeft w:val="0"/>
                      <w:marRight w:val="0"/>
                      <w:marTop w:val="0"/>
                      <w:marBottom w:val="0"/>
                      <w:divBdr>
                        <w:top w:val="none" w:sz="0" w:space="0" w:color="auto"/>
                        <w:left w:val="none" w:sz="0" w:space="0" w:color="auto"/>
                        <w:bottom w:val="none" w:sz="0" w:space="0" w:color="auto"/>
                        <w:right w:val="none" w:sz="0" w:space="0" w:color="auto"/>
                      </w:divBdr>
                      <w:divsChild>
                        <w:div w:id="2105307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961856">
          <w:marLeft w:val="0"/>
          <w:marRight w:val="0"/>
          <w:marTop w:val="150"/>
          <w:marBottom w:val="0"/>
          <w:divBdr>
            <w:top w:val="none" w:sz="0" w:space="0" w:color="auto"/>
            <w:left w:val="none" w:sz="0" w:space="0" w:color="auto"/>
            <w:bottom w:val="none" w:sz="0" w:space="0" w:color="auto"/>
            <w:right w:val="none" w:sz="0" w:space="0" w:color="auto"/>
          </w:divBdr>
          <w:divsChild>
            <w:div w:id="1235777506">
              <w:marLeft w:val="0"/>
              <w:marRight w:val="0"/>
              <w:marTop w:val="0"/>
              <w:marBottom w:val="0"/>
              <w:divBdr>
                <w:top w:val="none" w:sz="0" w:space="0" w:color="auto"/>
                <w:left w:val="none" w:sz="0" w:space="0" w:color="auto"/>
                <w:bottom w:val="single" w:sz="6" w:space="0" w:color="EFEFEF"/>
                <w:right w:val="none" w:sz="0" w:space="0" w:color="auto"/>
              </w:divBdr>
              <w:divsChild>
                <w:div w:id="1539273331">
                  <w:marLeft w:val="0"/>
                  <w:marRight w:val="0"/>
                  <w:marTop w:val="0"/>
                  <w:marBottom w:val="0"/>
                  <w:divBdr>
                    <w:top w:val="none" w:sz="0" w:space="0" w:color="auto"/>
                    <w:left w:val="none" w:sz="0" w:space="0" w:color="auto"/>
                    <w:bottom w:val="none" w:sz="0" w:space="0" w:color="auto"/>
                    <w:right w:val="none" w:sz="0" w:space="0" w:color="auto"/>
                  </w:divBdr>
                </w:div>
                <w:div w:id="210542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908466">
      <w:bodyDiv w:val="1"/>
      <w:marLeft w:val="0"/>
      <w:marRight w:val="0"/>
      <w:marTop w:val="0"/>
      <w:marBottom w:val="0"/>
      <w:divBdr>
        <w:top w:val="none" w:sz="0" w:space="0" w:color="auto"/>
        <w:left w:val="none" w:sz="0" w:space="0" w:color="auto"/>
        <w:bottom w:val="none" w:sz="0" w:space="0" w:color="auto"/>
        <w:right w:val="none" w:sz="0" w:space="0" w:color="auto"/>
      </w:divBdr>
      <w:divsChild>
        <w:div w:id="914389795">
          <w:marLeft w:val="0"/>
          <w:marRight w:val="0"/>
          <w:marTop w:val="0"/>
          <w:marBottom w:val="180"/>
          <w:divBdr>
            <w:top w:val="none" w:sz="0" w:space="0" w:color="auto"/>
            <w:left w:val="none" w:sz="0" w:space="0" w:color="auto"/>
            <w:bottom w:val="none" w:sz="0" w:space="0" w:color="auto"/>
            <w:right w:val="none" w:sz="0" w:space="0" w:color="auto"/>
          </w:divBdr>
        </w:div>
      </w:divsChild>
    </w:div>
    <w:div w:id="741030755">
      <w:bodyDiv w:val="1"/>
      <w:marLeft w:val="0"/>
      <w:marRight w:val="0"/>
      <w:marTop w:val="0"/>
      <w:marBottom w:val="0"/>
      <w:divBdr>
        <w:top w:val="none" w:sz="0" w:space="0" w:color="auto"/>
        <w:left w:val="none" w:sz="0" w:space="0" w:color="auto"/>
        <w:bottom w:val="none" w:sz="0" w:space="0" w:color="auto"/>
        <w:right w:val="none" w:sz="0" w:space="0" w:color="auto"/>
      </w:divBdr>
      <w:divsChild>
        <w:div w:id="201214463">
          <w:marLeft w:val="0"/>
          <w:marRight w:val="0"/>
          <w:marTop w:val="0"/>
          <w:marBottom w:val="0"/>
          <w:divBdr>
            <w:top w:val="none" w:sz="0" w:space="0" w:color="auto"/>
            <w:left w:val="none" w:sz="0" w:space="0" w:color="auto"/>
            <w:bottom w:val="none" w:sz="0" w:space="0" w:color="auto"/>
            <w:right w:val="none" w:sz="0" w:space="0" w:color="auto"/>
          </w:divBdr>
        </w:div>
        <w:div w:id="314339622">
          <w:marLeft w:val="0"/>
          <w:marRight w:val="150"/>
          <w:marTop w:val="0"/>
          <w:marBottom w:val="0"/>
          <w:divBdr>
            <w:top w:val="none" w:sz="0" w:space="0" w:color="auto"/>
            <w:left w:val="none" w:sz="0" w:space="0" w:color="auto"/>
            <w:bottom w:val="none" w:sz="0" w:space="0" w:color="auto"/>
            <w:right w:val="none" w:sz="0" w:space="0" w:color="auto"/>
          </w:divBdr>
        </w:div>
        <w:div w:id="1965766228">
          <w:marLeft w:val="0"/>
          <w:marRight w:val="0"/>
          <w:marTop w:val="0"/>
          <w:marBottom w:val="0"/>
          <w:divBdr>
            <w:top w:val="none" w:sz="0" w:space="0" w:color="auto"/>
            <w:left w:val="none" w:sz="0" w:space="0" w:color="auto"/>
            <w:bottom w:val="none" w:sz="0" w:space="0" w:color="auto"/>
            <w:right w:val="none" w:sz="0" w:space="0" w:color="auto"/>
          </w:divBdr>
        </w:div>
      </w:divsChild>
    </w:div>
    <w:div w:id="741679710">
      <w:bodyDiv w:val="1"/>
      <w:marLeft w:val="0"/>
      <w:marRight w:val="0"/>
      <w:marTop w:val="0"/>
      <w:marBottom w:val="0"/>
      <w:divBdr>
        <w:top w:val="none" w:sz="0" w:space="0" w:color="auto"/>
        <w:left w:val="none" w:sz="0" w:space="0" w:color="auto"/>
        <w:bottom w:val="none" w:sz="0" w:space="0" w:color="auto"/>
        <w:right w:val="none" w:sz="0" w:space="0" w:color="auto"/>
      </w:divBdr>
      <w:divsChild>
        <w:div w:id="1815566370">
          <w:marLeft w:val="0"/>
          <w:marRight w:val="0"/>
          <w:marTop w:val="0"/>
          <w:marBottom w:val="0"/>
          <w:divBdr>
            <w:top w:val="none" w:sz="0" w:space="0" w:color="auto"/>
            <w:left w:val="none" w:sz="0" w:space="0" w:color="auto"/>
            <w:bottom w:val="dotted" w:sz="6" w:space="4" w:color="DDDDDD"/>
            <w:right w:val="none" w:sz="0" w:space="0" w:color="auto"/>
          </w:divBdr>
          <w:divsChild>
            <w:div w:id="204809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8323">
      <w:bodyDiv w:val="1"/>
      <w:marLeft w:val="0"/>
      <w:marRight w:val="0"/>
      <w:marTop w:val="0"/>
      <w:marBottom w:val="0"/>
      <w:divBdr>
        <w:top w:val="none" w:sz="0" w:space="0" w:color="auto"/>
        <w:left w:val="none" w:sz="0" w:space="0" w:color="auto"/>
        <w:bottom w:val="none" w:sz="0" w:space="0" w:color="auto"/>
        <w:right w:val="none" w:sz="0" w:space="0" w:color="auto"/>
      </w:divBdr>
      <w:divsChild>
        <w:div w:id="248972243">
          <w:marLeft w:val="0"/>
          <w:marRight w:val="0"/>
          <w:marTop w:val="0"/>
          <w:marBottom w:val="0"/>
          <w:divBdr>
            <w:top w:val="none" w:sz="0" w:space="0" w:color="auto"/>
            <w:left w:val="none" w:sz="0" w:space="0" w:color="auto"/>
            <w:bottom w:val="none" w:sz="0" w:space="0" w:color="auto"/>
            <w:right w:val="none" w:sz="0" w:space="0" w:color="auto"/>
          </w:divBdr>
        </w:div>
      </w:divsChild>
    </w:div>
    <w:div w:id="742217864">
      <w:bodyDiv w:val="1"/>
      <w:marLeft w:val="0"/>
      <w:marRight w:val="0"/>
      <w:marTop w:val="0"/>
      <w:marBottom w:val="0"/>
      <w:divBdr>
        <w:top w:val="none" w:sz="0" w:space="0" w:color="auto"/>
        <w:left w:val="none" w:sz="0" w:space="0" w:color="auto"/>
        <w:bottom w:val="none" w:sz="0" w:space="0" w:color="auto"/>
        <w:right w:val="none" w:sz="0" w:space="0" w:color="auto"/>
      </w:divBdr>
      <w:divsChild>
        <w:div w:id="1630624936">
          <w:marLeft w:val="0"/>
          <w:marRight w:val="0"/>
          <w:marTop w:val="0"/>
          <w:marBottom w:val="0"/>
          <w:divBdr>
            <w:top w:val="none" w:sz="0" w:space="0" w:color="auto"/>
            <w:left w:val="none" w:sz="0" w:space="0" w:color="auto"/>
            <w:bottom w:val="dotted" w:sz="6" w:space="4" w:color="DDDDDD"/>
            <w:right w:val="none" w:sz="0" w:space="0" w:color="auto"/>
          </w:divBdr>
        </w:div>
      </w:divsChild>
    </w:div>
    <w:div w:id="742604643">
      <w:bodyDiv w:val="1"/>
      <w:marLeft w:val="0"/>
      <w:marRight w:val="0"/>
      <w:marTop w:val="0"/>
      <w:marBottom w:val="0"/>
      <w:divBdr>
        <w:top w:val="none" w:sz="0" w:space="0" w:color="auto"/>
        <w:left w:val="none" w:sz="0" w:space="0" w:color="auto"/>
        <w:bottom w:val="none" w:sz="0" w:space="0" w:color="auto"/>
        <w:right w:val="none" w:sz="0" w:space="0" w:color="auto"/>
      </w:divBdr>
      <w:divsChild>
        <w:div w:id="664013372">
          <w:marLeft w:val="0"/>
          <w:marRight w:val="0"/>
          <w:marTop w:val="0"/>
          <w:marBottom w:val="150"/>
          <w:divBdr>
            <w:top w:val="none" w:sz="0" w:space="0" w:color="auto"/>
            <w:left w:val="none" w:sz="0" w:space="0" w:color="auto"/>
            <w:bottom w:val="none" w:sz="0" w:space="0" w:color="auto"/>
            <w:right w:val="none" w:sz="0" w:space="0" w:color="auto"/>
          </w:divBdr>
        </w:div>
      </w:divsChild>
    </w:div>
    <w:div w:id="742681123">
      <w:bodyDiv w:val="1"/>
      <w:marLeft w:val="0"/>
      <w:marRight w:val="0"/>
      <w:marTop w:val="0"/>
      <w:marBottom w:val="0"/>
      <w:divBdr>
        <w:top w:val="none" w:sz="0" w:space="0" w:color="auto"/>
        <w:left w:val="none" w:sz="0" w:space="0" w:color="auto"/>
        <w:bottom w:val="none" w:sz="0" w:space="0" w:color="auto"/>
        <w:right w:val="none" w:sz="0" w:space="0" w:color="auto"/>
      </w:divBdr>
      <w:divsChild>
        <w:div w:id="1889685037">
          <w:marLeft w:val="0"/>
          <w:marRight w:val="0"/>
          <w:marTop w:val="0"/>
          <w:marBottom w:val="150"/>
          <w:divBdr>
            <w:top w:val="none" w:sz="0" w:space="0" w:color="auto"/>
            <w:left w:val="none" w:sz="0" w:space="0" w:color="auto"/>
            <w:bottom w:val="none" w:sz="0" w:space="0" w:color="auto"/>
            <w:right w:val="none" w:sz="0" w:space="0" w:color="auto"/>
          </w:divBdr>
        </w:div>
      </w:divsChild>
    </w:div>
    <w:div w:id="742920944">
      <w:bodyDiv w:val="1"/>
      <w:marLeft w:val="0"/>
      <w:marRight w:val="0"/>
      <w:marTop w:val="0"/>
      <w:marBottom w:val="0"/>
      <w:divBdr>
        <w:top w:val="none" w:sz="0" w:space="0" w:color="auto"/>
        <w:left w:val="none" w:sz="0" w:space="0" w:color="auto"/>
        <w:bottom w:val="none" w:sz="0" w:space="0" w:color="auto"/>
        <w:right w:val="none" w:sz="0" w:space="0" w:color="auto"/>
      </w:divBdr>
      <w:divsChild>
        <w:div w:id="1971548176">
          <w:marLeft w:val="0"/>
          <w:marRight w:val="0"/>
          <w:marTop w:val="0"/>
          <w:marBottom w:val="150"/>
          <w:divBdr>
            <w:top w:val="none" w:sz="0" w:space="0" w:color="auto"/>
            <w:left w:val="none" w:sz="0" w:space="0" w:color="auto"/>
            <w:bottom w:val="none" w:sz="0" w:space="0" w:color="auto"/>
            <w:right w:val="none" w:sz="0" w:space="0" w:color="auto"/>
          </w:divBdr>
        </w:div>
      </w:divsChild>
    </w:div>
    <w:div w:id="743258030">
      <w:bodyDiv w:val="1"/>
      <w:marLeft w:val="0"/>
      <w:marRight w:val="0"/>
      <w:marTop w:val="0"/>
      <w:marBottom w:val="0"/>
      <w:divBdr>
        <w:top w:val="none" w:sz="0" w:space="0" w:color="auto"/>
        <w:left w:val="none" w:sz="0" w:space="0" w:color="auto"/>
        <w:bottom w:val="none" w:sz="0" w:space="0" w:color="auto"/>
        <w:right w:val="none" w:sz="0" w:space="0" w:color="auto"/>
      </w:divBdr>
    </w:div>
    <w:div w:id="743720054">
      <w:bodyDiv w:val="1"/>
      <w:marLeft w:val="0"/>
      <w:marRight w:val="0"/>
      <w:marTop w:val="0"/>
      <w:marBottom w:val="0"/>
      <w:divBdr>
        <w:top w:val="none" w:sz="0" w:space="0" w:color="auto"/>
        <w:left w:val="none" w:sz="0" w:space="0" w:color="auto"/>
        <w:bottom w:val="none" w:sz="0" w:space="0" w:color="auto"/>
        <w:right w:val="none" w:sz="0" w:space="0" w:color="auto"/>
      </w:divBdr>
      <w:divsChild>
        <w:div w:id="516582509">
          <w:marLeft w:val="0"/>
          <w:marRight w:val="0"/>
          <w:marTop w:val="0"/>
          <w:marBottom w:val="0"/>
          <w:divBdr>
            <w:top w:val="none" w:sz="0" w:space="0" w:color="auto"/>
            <w:left w:val="none" w:sz="0" w:space="0" w:color="auto"/>
            <w:bottom w:val="none" w:sz="0" w:space="0" w:color="auto"/>
            <w:right w:val="none" w:sz="0" w:space="0" w:color="auto"/>
          </w:divBdr>
          <w:divsChild>
            <w:div w:id="1996717352">
              <w:marLeft w:val="0"/>
              <w:marRight w:val="0"/>
              <w:marTop w:val="0"/>
              <w:marBottom w:val="0"/>
              <w:divBdr>
                <w:top w:val="none" w:sz="0" w:space="0" w:color="auto"/>
                <w:left w:val="none" w:sz="0" w:space="0" w:color="auto"/>
                <w:bottom w:val="none" w:sz="0" w:space="0" w:color="auto"/>
                <w:right w:val="none" w:sz="0" w:space="0" w:color="auto"/>
              </w:divBdr>
              <w:divsChild>
                <w:div w:id="552811657">
                  <w:marLeft w:val="0"/>
                  <w:marRight w:val="0"/>
                  <w:marTop w:val="0"/>
                  <w:marBottom w:val="0"/>
                  <w:divBdr>
                    <w:top w:val="none" w:sz="0" w:space="0" w:color="auto"/>
                    <w:left w:val="none" w:sz="0" w:space="0" w:color="auto"/>
                    <w:bottom w:val="none" w:sz="0" w:space="0" w:color="auto"/>
                    <w:right w:val="none" w:sz="0" w:space="0" w:color="auto"/>
                  </w:divBdr>
                  <w:divsChild>
                    <w:div w:id="53771924">
                      <w:marLeft w:val="0"/>
                      <w:marRight w:val="0"/>
                      <w:marTop w:val="0"/>
                      <w:marBottom w:val="0"/>
                      <w:divBdr>
                        <w:top w:val="none" w:sz="0" w:space="0" w:color="auto"/>
                        <w:left w:val="none" w:sz="0" w:space="0" w:color="auto"/>
                        <w:bottom w:val="none" w:sz="0" w:space="0" w:color="auto"/>
                        <w:right w:val="none" w:sz="0" w:space="0" w:color="auto"/>
                      </w:divBdr>
                      <w:divsChild>
                        <w:div w:id="1788114048">
                          <w:marLeft w:val="0"/>
                          <w:marRight w:val="0"/>
                          <w:marTop w:val="0"/>
                          <w:marBottom w:val="0"/>
                          <w:divBdr>
                            <w:top w:val="none" w:sz="0" w:space="0" w:color="auto"/>
                            <w:left w:val="none" w:sz="0" w:space="0" w:color="auto"/>
                            <w:bottom w:val="none" w:sz="0" w:space="0" w:color="auto"/>
                            <w:right w:val="none" w:sz="0" w:space="0" w:color="auto"/>
                          </w:divBdr>
                          <w:divsChild>
                            <w:div w:id="555625334">
                              <w:marLeft w:val="0"/>
                              <w:marRight w:val="0"/>
                              <w:marTop w:val="0"/>
                              <w:marBottom w:val="0"/>
                              <w:divBdr>
                                <w:top w:val="none" w:sz="0" w:space="0" w:color="auto"/>
                                <w:left w:val="none" w:sz="0" w:space="0" w:color="auto"/>
                                <w:bottom w:val="none" w:sz="0" w:space="0" w:color="auto"/>
                                <w:right w:val="none" w:sz="0" w:space="0" w:color="auto"/>
                              </w:divBdr>
                              <w:divsChild>
                                <w:div w:id="950552068">
                                  <w:marLeft w:val="0"/>
                                  <w:marRight w:val="0"/>
                                  <w:marTop w:val="0"/>
                                  <w:marBottom w:val="0"/>
                                  <w:divBdr>
                                    <w:top w:val="none" w:sz="0" w:space="0" w:color="auto"/>
                                    <w:left w:val="none" w:sz="0" w:space="0" w:color="auto"/>
                                    <w:bottom w:val="none" w:sz="0" w:space="0" w:color="auto"/>
                                    <w:right w:val="none" w:sz="0" w:space="0" w:color="auto"/>
                                  </w:divBdr>
                                  <w:divsChild>
                                    <w:div w:id="368802806">
                                      <w:marLeft w:val="0"/>
                                      <w:marRight w:val="0"/>
                                      <w:marTop w:val="0"/>
                                      <w:marBottom w:val="0"/>
                                      <w:divBdr>
                                        <w:top w:val="none" w:sz="0" w:space="0" w:color="auto"/>
                                        <w:left w:val="none" w:sz="0" w:space="0" w:color="auto"/>
                                        <w:bottom w:val="none" w:sz="0" w:space="0" w:color="auto"/>
                                        <w:right w:val="none" w:sz="0" w:space="0" w:color="auto"/>
                                      </w:divBdr>
                                      <w:divsChild>
                                        <w:div w:id="133025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3794592">
      <w:bodyDiv w:val="1"/>
      <w:marLeft w:val="0"/>
      <w:marRight w:val="0"/>
      <w:marTop w:val="0"/>
      <w:marBottom w:val="0"/>
      <w:divBdr>
        <w:top w:val="none" w:sz="0" w:space="0" w:color="auto"/>
        <w:left w:val="none" w:sz="0" w:space="0" w:color="auto"/>
        <w:bottom w:val="none" w:sz="0" w:space="0" w:color="auto"/>
        <w:right w:val="none" w:sz="0" w:space="0" w:color="auto"/>
      </w:divBdr>
      <w:divsChild>
        <w:div w:id="2117407636">
          <w:marLeft w:val="0"/>
          <w:marRight w:val="0"/>
          <w:marTop w:val="0"/>
          <w:marBottom w:val="0"/>
          <w:divBdr>
            <w:top w:val="none" w:sz="0" w:space="0" w:color="auto"/>
            <w:left w:val="none" w:sz="0" w:space="0" w:color="auto"/>
            <w:bottom w:val="none" w:sz="0" w:space="0" w:color="auto"/>
            <w:right w:val="none" w:sz="0" w:space="0" w:color="auto"/>
          </w:divBdr>
        </w:div>
      </w:divsChild>
    </w:div>
    <w:div w:id="744568585">
      <w:bodyDiv w:val="1"/>
      <w:marLeft w:val="0"/>
      <w:marRight w:val="0"/>
      <w:marTop w:val="0"/>
      <w:marBottom w:val="0"/>
      <w:divBdr>
        <w:top w:val="none" w:sz="0" w:space="0" w:color="auto"/>
        <w:left w:val="none" w:sz="0" w:space="0" w:color="auto"/>
        <w:bottom w:val="none" w:sz="0" w:space="0" w:color="auto"/>
        <w:right w:val="none" w:sz="0" w:space="0" w:color="auto"/>
      </w:divBdr>
      <w:divsChild>
        <w:div w:id="1623657060">
          <w:marLeft w:val="0"/>
          <w:marRight w:val="0"/>
          <w:marTop w:val="0"/>
          <w:marBottom w:val="0"/>
          <w:divBdr>
            <w:top w:val="none" w:sz="0" w:space="0" w:color="auto"/>
            <w:left w:val="none" w:sz="0" w:space="0" w:color="auto"/>
            <w:bottom w:val="dotted" w:sz="6" w:space="4" w:color="DDDDDD"/>
            <w:right w:val="none" w:sz="0" w:space="0" w:color="auto"/>
          </w:divBdr>
          <w:divsChild>
            <w:div w:id="25325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6118">
      <w:bodyDiv w:val="1"/>
      <w:marLeft w:val="0"/>
      <w:marRight w:val="0"/>
      <w:marTop w:val="0"/>
      <w:marBottom w:val="0"/>
      <w:divBdr>
        <w:top w:val="none" w:sz="0" w:space="0" w:color="auto"/>
        <w:left w:val="none" w:sz="0" w:space="0" w:color="auto"/>
        <w:bottom w:val="none" w:sz="0" w:space="0" w:color="auto"/>
        <w:right w:val="none" w:sz="0" w:space="0" w:color="auto"/>
      </w:divBdr>
      <w:divsChild>
        <w:div w:id="159657905">
          <w:marLeft w:val="0"/>
          <w:marRight w:val="0"/>
          <w:marTop w:val="0"/>
          <w:marBottom w:val="0"/>
          <w:divBdr>
            <w:top w:val="none" w:sz="0" w:space="0" w:color="auto"/>
            <w:left w:val="none" w:sz="0" w:space="0" w:color="auto"/>
            <w:bottom w:val="dotted" w:sz="6" w:space="4" w:color="DDDDDD"/>
            <w:right w:val="none" w:sz="0" w:space="0" w:color="auto"/>
          </w:divBdr>
          <w:divsChild>
            <w:div w:id="22958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08150">
      <w:bodyDiv w:val="1"/>
      <w:marLeft w:val="0"/>
      <w:marRight w:val="0"/>
      <w:marTop w:val="0"/>
      <w:marBottom w:val="0"/>
      <w:divBdr>
        <w:top w:val="none" w:sz="0" w:space="0" w:color="auto"/>
        <w:left w:val="none" w:sz="0" w:space="0" w:color="auto"/>
        <w:bottom w:val="none" w:sz="0" w:space="0" w:color="auto"/>
        <w:right w:val="none" w:sz="0" w:space="0" w:color="auto"/>
      </w:divBdr>
      <w:divsChild>
        <w:div w:id="940071107">
          <w:marLeft w:val="0"/>
          <w:marRight w:val="0"/>
          <w:marTop w:val="150"/>
          <w:marBottom w:val="0"/>
          <w:divBdr>
            <w:top w:val="none" w:sz="0" w:space="0" w:color="auto"/>
            <w:left w:val="none" w:sz="0" w:space="0" w:color="auto"/>
            <w:bottom w:val="none" w:sz="0" w:space="0" w:color="auto"/>
            <w:right w:val="none" w:sz="0" w:space="0" w:color="auto"/>
          </w:divBdr>
          <w:divsChild>
            <w:div w:id="1643577555">
              <w:marLeft w:val="0"/>
              <w:marRight w:val="0"/>
              <w:marTop w:val="0"/>
              <w:marBottom w:val="0"/>
              <w:divBdr>
                <w:top w:val="none" w:sz="0" w:space="0" w:color="auto"/>
                <w:left w:val="none" w:sz="0" w:space="0" w:color="auto"/>
                <w:bottom w:val="single" w:sz="6" w:space="0" w:color="EFEFEF"/>
                <w:right w:val="none" w:sz="0" w:space="0" w:color="auto"/>
              </w:divBdr>
              <w:divsChild>
                <w:div w:id="1479615873">
                  <w:marLeft w:val="0"/>
                  <w:marRight w:val="0"/>
                  <w:marTop w:val="0"/>
                  <w:marBottom w:val="0"/>
                  <w:divBdr>
                    <w:top w:val="none" w:sz="0" w:space="0" w:color="auto"/>
                    <w:left w:val="none" w:sz="0" w:space="0" w:color="auto"/>
                    <w:bottom w:val="none" w:sz="0" w:space="0" w:color="auto"/>
                    <w:right w:val="none" w:sz="0" w:space="0" w:color="auto"/>
                  </w:divBdr>
                </w:div>
                <w:div w:id="169491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234522">
          <w:marLeft w:val="0"/>
          <w:marRight w:val="0"/>
          <w:marTop w:val="300"/>
          <w:marBottom w:val="0"/>
          <w:divBdr>
            <w:top w:val="none" w:sz="0" w:space="0" w:color="auto"/>
            <w:left w:val="none" w:sz="0" w:space="0" w:color="auto"/>
            <w:bottom w:val="none" w:sz="0" w:space="0" w:color="auto"/>
            <w:right w:val="none" w:sz="0" w:space="0" w:color="auto"/>
          </w:divBdr>
          <w:divsChild>
            <w:div w:id="461926297">
              <w:marLeft w:val="-1350"/>
              <w:marRight w:val="0"/>
              <w:marTop w:val="0"/>
              <w:marBottom w:val="0"/>
              <w:divBdr>
                <w:top w:val="none" w:sz="0" w:space="0" w:color="auto"/>
                <w:left w:val="none" w:sz="0" w:space="0" w:color="auto"/>
                <w:bottom w:val="none" w:sz="0" w:space="0" w:color="auto"/>
                <w:right w:val="none" w:sz="0" w:space="0" w:color="auto"/>
              </w:divBdr>
              <w:divsChild>
                <w:div w:id="1844128982">
                  <w:marLeft w:val="0"/>
                  <w:marRight w:val="0"/>
                  <w:marTop w:val="0"/>
                  <w:marBottom w:val="0"/>
                  <w:divBdr>
                    <w:top w:val="none" w:sz="0" w:space="0" w:color="auto"/>
                    <w:left w:val="none" w:sz="0" w:space="0" w:color="auto"/>
                    <w:bottom w:val="none" w:sz="0" w:space="0" w:color="auto"/>
                    <w:right w:val="none" w:sz="0" w:space="0" w:color="auto"/>
                  </w:divBdr>
                  <w:divsChild>
                    <w:div w:id="363791827">
                      <w:marLeft w:val="0"/>
                      <w:marRight w:val="0"/>
                      <w:marTop w:val="0"/>
                      <w:marBottom w:val="0"/>
                      <w:divBdr>
                        <w:top w:val="none" w:sz="0" w:space="0" w:color="auto"/>
                        <w:left w:val="none" w:sz="0" w:space="0" w:color="auto"/>
                        <w:bottom w:val="none" w:sz="0" w:space="0" w:color="auto"/>
                        <w:right w:val="none" w:sz="0" w:space="0" w:color="auto"/>
                      </w:divBdr>
                      <w:divsChild>
                        <w:div w:id="1870490585">
                          <w:marLeft w:val="0"/>
                          <w:marRight w:val="0"/>
                          <w:marTop w:val="0"/>
                          <w:marBottom w:val="0"/>
                          <w:divBdr>
                            <w:top w:val="single" w:sz="6" w:space="0" w:color="C7C7C7"/>
                            <w:left w:val="single" w:sz="6" w:space="0" w:color="C7C7C7"/>
                            <w:bottom w:val="single" w:sz="6" w:space="0" w:color="C7C7C7"/>
                            <w:right w:val="single" w:sz="6" w:space="0" w:color="C7C7C7"/>
                          </w:divBdr>
                          <w:divsChild>
                            <w:div w:id="99032428">
                              <w:marLeft w:val="0"/>
                              <w:marRight w:val="0"/>
                              <w:marTop w:val="100"/>
                              <w:marBottom w:val="100"/>
                              <w:divBdr>
                                <w:top w:val="none" w:sz="0" w:space="11" w:color="auto"/>
                                <w:left w:val="none" w:sz="0" w:space="0" w:color="auto"/>
                                <w:bottom w:val="single" w:sz="6" w:space="11" w:color="C7C7C7"/>
                                <w:right w:val="none" w:sz="0" w:space="0" w:color="auto"/>
                              </w:divBdr>
                            </w:div>
                            <w:div w:id="1226918674">
                              <w:marLeft w:val="0"/>
                              <w:marRight w:val="0"/>
                              <w:marTop w:val="100"/>
                              <w:marBottom w:val="100"/>
                              <w:divBdr>
                                <w:top w:val="none" w:sz="0" w:space="11" w:color="auto"/>
                                <w:left w:val="none" w:sz="0" w:space="0" w:color="auto"/>
                                <w:bottom w:val="single" w:sz="6" w:space="11" w:color="C7C7C7"/>
                                <w:right w:val="none" w:sz="0" w:space="0" w:color="auto"/>
                              </w:divBdr>
                            </w:div>
                            <w:div w:id="1327515753">
                              <w:marLeft w:val="0"/>
                              <w:marRight w:val="0"/>
                              <w:marTop w:val="100"/>
                              <w:marBottom w:val="100"/>
                              <w:divBdr>
                                <w:top w:val="none" w:sz="0" w:space="11" w:color="auto"/>
                                <w:left w:val="none" w:sz="0" w:space="0" w:color="auto"/>
                                <w:bottom w:val="single" w:sz="6" w:space="11" w:color="C7C7C7"/>
                                <w:right w:val="none" w:sz="0" w:space="0" w:color="auto"/>
                              </w:divBdr>
                            </w:div>
                            <w:div w:id="193785742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793401674">
              <w:marLeft w:val="0"/>
              <w:marRight w:val="0"/>
              <w:marTop w:val="0"/>
              <w:marBottom w:val="0"/>
              <w:divBdr>
                <w:top w:val="none" w:sz="0" w:space="0" w:color="auto"/>
                <w:left w:val="none" w:sz="0" w:space="0" w:color="auto"/>
                <w:bottom w:val="none" w:sz="0" w:space="0" w:color="auto"/>
                <w:right w:val="none" w:sz="0" w:space="0" w:color="auto"/>
              </w:divBdr>
              <w:divsChild>
                <w:div w:id="631062808">
                  <w:marLeft w:val="0"/>
                  <w:marRight w:val="0"/>
                  <w:marTop w:val="150"/>
                  <w:marBottom w:val="0"/>
                  <w:divBdr>
                    <w:top w:val="none" w:sz="0" w:space="0" w:color="auto"/>
                    <w:left w:val="none" w:sz="0" w:space="0" w:color="auto"/>
                    <w:bottom w:val="none" w:sz="0" w:space="0" w:color="auto"/>
                    <w:right w:val="none" w:sz="0" w:space="0" w:color="auto"/>
                  </w:divBdr>
                  <w:divsChild>
                    <w:div w:id="225073373">
                      <w:marLeft w:val="0"/>
                      <w:marRight w:val="0"/>
                      <w:marTop w:val="0"/>
                      <w:marBottom w:val="0"/>
                      <w:divBdr>
                        <w:top w:val="none" w:sz="0" w:space="0" w:color="auto"/>
                        <w:left w:val="none" w:sz="0" w:space="0" w:color="auto"/>
                        <w:bottom w:val="none" w:sz="0" w:space="0" w:color="auto"/>
                        <w:right w:val="none" w:sz="0" w:space="0" w:color="auto"/>
                      </w:divBdr>
                      <w:divsChild>
                        <w:div w:id="1188567709">
                          <w:marLeft w:val="75"/>
                          <w:marRight w:val="0"/>
                          <w:marTop w:val="0"/>
                          <w:marBottom w:val="0"/>
                          <w:divBdr>
                            <w:top w:val="none" w:sz="0" w:space="0" w:color="auto"/>
                            <w:left w:val="none" w:sz="0" w:space="0" w:color="auto"/>
                            <w:bottom w:val="none" w:sz="0" w:space="0" w:color="auto"/>
                            <w:right w:val="none" w:sz="0" w:space="0" w:color="auto"/>
                          </w:divBdr>
                        </w:div>
                        <w:div w:id="185325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78323">
                  <w:marLeft w:val="0"/>
                  <w:marRight w:val="0"/>
                  <w:marTop w:val="0"/>
                  <w:marBottom w:val="0"/>
                  <w:divBdr>
                    <w:top w:val="none" w:sz="0" w:space="0" w:color="auto"/>
                    <w:left w:val="none" w:sz="0" w:space="0" w:color="auto"/>
                    <w:bottom w:val="none" w:sz="0" w:space="0" w:color="auto"/>
                    <w:right w:val="none" w:sz="0" w:space="0" w:color="auto"/>
                  </w:divBdr>
                  <w:divsChild>
                    <w:div w:id="111687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809306">
      <w:bodyDiv w:val="1"/>
      <w:marLeft w:val="0"/>
      <w:marRight w:val="0"/>
      <w:marTop w:val="0"/>
      <w:marBottom w:val="0"/>
      <w:divBdr>
        <w:top w:val="none" w:sz="0" w:space="0" w:color="auto"/>
        <w:left w:val="none" w:sz="0" w:space="0" w:color="auto"/>
        <w:bottom w:val="none" w:sz="0" w:space="0" w:color="auto"/>
        <w:right w:val="none" w:sz="0" w:space="0" w:color="auto"/>
      </w:divBdr>
    </w:div>
    <w:div w:id="745954749">
      <w:bodyDiv w:val="1"/>
      <w:marLeft w:val="0"/>
      <w:marRight w:val="0"/>
      <w:marTop w:val="0"/>
      <w:marBottom w:val="0"/>
      <w:divBdr>
        <w:top w:val="none" w:sz="0" w:space="0" w:color="auto"/>
        <w:left w:val="none" w:sz="0" w:space="0" w:color="auto"/>
        <w:bottom w:val="none" w:sz="0" w:space="0" w:color="auto"/>
        <w:right w:val="none" w:sz="0" w:space="0" w:color="auto"/>
      </w:divBdr>
      <w:divsChild>
        <w:div w:id="951939872">
          <w:marLeft w:val="0"/>
          <w:marRight w:val="0"/>
          <w:marTop w:val="0"/>
          <w:marBottom w:val="0"/>
          <w:divBdr>
            <w:top w:val="none" w:sz="0" w:space="0" w:color="auto"/>
            <w:left w:val="none" w:sz="0" w:space="0" w:color="auto"/>
            <w:bottom w:val="none" w:sz="0" w:space="0" w:color="auto"/>
            <w:right w:val="none" w:sz="0" w:space="0" w:color="auto"/>
          </w:divBdr>
        </w:div>
      </w:divsChild>
    </w:div>
    <w:div w:id="746727210">
      <w:bodyDiv w:val="1"/>
      <w:marLeft w:val="0"/>
      <w:marRight w:val="0"/>
      <w:marTop w:val="0"/>
      <w:marBottom w:val="0"/>
      <w:divBdr>
        <w:top w:val="none" w:sz="0" w:space="0" w:color="auto"/>
        <w:left w:val="none" w:sz="0" w:space="0" w:color="auto"/>
        <w:bottom w:val="none" w:sz="0" w:space="0" w:color="auto"/>
        <w:right w:val="none" w:sz="0" w:space="0" w:color="auto"/>
      </w:divBdr>
    </w:div>
    <w:div w:id="746849704">
      <w:bodyDiv w:val="1"/>
      <w:marLeft w:val="0"/>
      <w:marRight w:val="0"/>
      <w:marTop w:val="0"/>
      <w:marBottom w:val="0"/>
      <w:divBdr>
        <w:top w:val="none" w:sz="0" w:space="0" w:color="auto"/>
        <w:left w:val="none" w:sz="0" w:space="0" w:color="auto"/>
        <w:bottom w:val="none" w:sz="0" w:space="0" w:color="auto"/>
        <w:right w:val="none" w:sz="0" w:space="0" w:color="auto"/>
      </w:divBdr>
      <w:divsChild>
        <w:div w:id="813765284">
          <w:marLeft w:val="0"/>
          <w:marRight w:val="0"/>
          <w:marTop w:val="0"/>
          <w:marBottom w:val="0"/>
          <w:divBdr>
            <w:top w:val="none" w:sz="0" w:space="0" w:color="auto"/>
            <w:left w:val="none" w:sz="0" w:space="0" w:color="auto"/>
            <w:bottom w:val="none" w:sz="0" w:space="0" w:color="auto"/>
            <w:right w:val="none" w:sz="0" w:space="0" w:color="auto"/>
          </w:divBdr>
          <w:divsChild>
            <w:div w:id="41830613">
              <w:marLeft w:val="0"/>
              <w:marRight w:val="0"/>
              <w:marTop w:val="0"/>
              <w:marBottom w:val="150"/>
              <w:divBdr>
                <w:top w:val="none" w:sz="0" w:space="0" w:color="auto"/>
                <w:left w:val="none" w:sz="0" w:space="0" w:color="auto"/>
                <w:bottom w:val="none" w:sz="0" w:space="0" w:color="auto"/>
                <w:right w:val="none" w:sz="0" w:space="0" w:color="auto"/>
              </w:divBdr>
            </w:div>
            <w:div w:id="1934317348">
              <w:marLeft w:val="0"/>
              <w:marRight w:val="0"/>
              <w:marTop w:val="0"/>
              <w:marBottom w:val="0"/>
              <w:divBdr>
                <w:top w:val="none" w:sz="0" w:space="0" w:color="auto"/>
                <w:left w:val="none" w:sz="0" w:space="0" w:color="auto"/>
                <w:bottom w:val="none" w:sz="0" w:space="0" w:color="auto"/>
                <w:right w:val="none" w:sz="0" w:space="0" w:color="auto"/>
              </w:divBdr>
            </w:div>
          </w:divsChild>
        </w:div>
        <w:div w:id="1481193005">
          <w:marLeft w:val="0"/>
          <w:marRight w:val="0"/>
          <w:marTop w:val="0"/>
          <w:marBottom w:val="150"/>
          <w:divBdr>
            <w:top w:val="none" w:sz="0" w:space="0" w:color="auto"/>
            <w:left w:val="none" w:sz="0" w:space="0" w:color="auto"/>
            <w:bottom w:val="none" w:sz="0" w:space="0" w:color="auto"/>
            <w:right w:val="none" w:sz="0" w:space="0" w:color="auto"/>
          </w:divBdr>
          <w:divsChild>
            <w:div w:id="113850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313028">
      <w:bodyDiv w:val="1"/>
      <w:marLeft w:val="0"/>
      <w:marRight w:val="0"/>
      <w:marTop w:val="0"/>
      <w:marBottom w:val="0"/>
      <w:divBdr>
        <w:top w:val="none" w:sz="0" w:space="0" w:color="auto"/>
        <w:left w:val="none" w:sz="0" w:space="0" w:color="auto"/>
        <w:bottom w:val="none" w:sz="0" w:space="0" w:color="auto"/>
        <w:right w:val="none" w:sz="0" w:space="0" w:color="auto"/>
      </w:divBdr>
      <w:divsChild>
        <w:div w:id="856961347">
          <w:marLeft w:val="0"/>
          <w:marRight w:val="0"/>
          <w:marTop w:val="0"/>
          <w:marBottom w:val="150"/>
          <w:divBdr>
            <w:top w:val="none" w:sz="0" w:space="0" w:color="auto"/>
            <w:left w:val="none" w:sz="0" w:space="0" w:color="auto"/>
            <w:bottom w:val="none" w:sz="0" w:space="0" w:color="auto"/>
            <w:right w:val="none" w:sz="0" w:space="0" w:color="auto"/>
          </w:divBdr>
          <w:divsChild>
            <w:div w:id="1219780209">
              <w:marLeft w:val="0"/>
              <w:marRight w:val="0"/>
              <w:marTop w:val="0"/>
              <w:marBottom w:val="0"/>
              <w:divBdr>
                <w:top w:val="none" w:sz="0" w:space="0" w:color="auto"/>
                <w:left w:val="none" w:sz="0" w:space="0" w:color="auto"/>
                <w:bottom w:val="none" w:sz="0" w:space="0" w:color="auto"/>
                <w:right w:val="none" w:sz="0" w:space="0" w:color="auto"/>
              </w:divBdr>
              <w:divsChild>
                <w:div w:id="173850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692850">
          <w:marLeft w:val="0"/>
          <w:marRight w:val="0"/>
          <w:marTop w:val="0"/>
          <w:marBottom w:val="0"/>
          <w:divBdr>
            <w:top w:val="none" w:sz="0" w:space="0" w:color="auto"/>
            <w:left w:val="none" w:sz="0" w:space="0" w:color="auto"/>
            <w:bottom w:val="none" w:sz="0" w:space="0" w:color="auto"/>
            <w:right w:val="none" w:sz="0" w:space="0" w:color="auto"/>
          </w:divBdr>
          <w:divsChild>
            <w:div w:id="1872917133">
              <w:marLeft w:val="0"/>
              <w:marRight w:val="0"/>
              <w:marTop w:val="225"/>
              <w:marBottom w:val="225"/>
              <w:divBdr>
                <w:top w:val="none" w:sz="0" w:space="0" w:color="auto"/>
                <w:left w:val="none" w:sz="0" w:space="0" w:color="auto"/>
                <w:bottom w:val="none" w:sz="0" w:space="0" w:color="auto"/>
                <w:right w:val="none" w:sz="0" w:space="0" w:color="auto"/>
              </w:divBdr>
            </w:div>
          </w:divsChild>
        </w:div>
        <w:div w:id="2119906924">
          <w:marLeft w:val="0"/>
          <w:marRight w:val="0"/>
          <w:marTop w:val="0"/>
          <w:marBottom w:val="150"/>
          <w:divBdr>
            <w:top w:val="none" w:sz="0" w:space="0" w:color="auto"/>
            <w:left w:val="none" w:sz="0" w:space="0" w:color="auto"/>
            <w:bottom w:val="none" w:sz="0" w:space="0" w:color="auto"/>
            <w:right w:val="none" w:sz="0" w:space="0" w:color="auto"/>
          </w:divBdr>
        </w:div>
      </w:divsChild>
    </w:div>
    <w:div w:id="747381341">
      <w:bodyDiv w:val="1"/>
      <w:marLeft w:val="0"/>
      <w:marRight w:val="0"/>
      <w:marTop w:val="0"/>
      <w:marBottom w:val="0"/>
      <w:divBdr>
        <w:top w:val="none" w:sz="0" w:space="0" w:color="auto"/>
        <w:left w:val="none" w:sz="0" w:space="0" w:color="auto"/>
        <w:bottom w:val="none" w:sz="0" w:space="0" w:color="auto"/>
        <w:right w:val="none" w:sz="0" w:space="0" w:color="auto"/>
      </w:divBdr>
      <w:divsChild>
        <w:div w:id="1039427976">
          <w:marLeft w:val="0"/>
          <w:marRight w:val="0"/>
          <w:marTop w:val="0"/>
          <w:marBottom w:val="0"/>
          <w:divBdr>
            <w:top w:val="none" w:sz="0" w:space="0" w:color="auto"/>
            <w:left w:val="none" w:sz="0" w:space="0" w:color="auto"/>
            <w:bottom w:val="dotted" w:sz="6" w:space="4" w:color="DDDDDD"/>
            <w:right w:val="none" w:sz="0" w:space="0" w:color="auto"/>
          </w:divBdr>
          <w:divsChild>
            <w:div w:id="13071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78666">
      <w:bodyDiv w:val="1"/>
      <w:marLeft w:val="0"/>
      <w:marRight w:val="0"/>
      <w:marTop w:val="0"/>
      <w:marBottom w:val="0"/>
      <w:divBdr>
        <w:top w:val="none" w:sz="0" w:space="0" w:color="auto"/>
        <w:left w:val="none" w:sz="0" w:space="0" w:color="auto"/>
        <w:bottom w:val="none" w:sz="0" w:space="0" w:color="auto"/>
        <w:right w:val="none" w:sz="0" w:space="0" w:color="auto"/>
      </w:divBdr>
      <w:divsChild>
        <w:div w:id="12001586">
          <w:marLeft w:val="-9765"/>
          <w:marRight w:val="0"/>
          <w:marTop w:val="0"/>
          <w:marBottom w:val="0"/>
          <w:divBdr>
            <w:top w:val="none" w:sz="0" w:space="0" w:color="auto"/>
            <w:left w:val="none" w:sz="0" w:space="0" w:color="auto"/>
            <w:bottom w:val="none" w:sz="0" w:space="0" w:color="auto"/>
            <w:right w:val="none" w:sz="0" w:space="0" w:color="auto"/>
          </w:divBdr>
        </w:div>
        <w:div w:id="1036470388">
          <w:marLeft w:val="0"/>
          <w:marRight w:val="0"/>
          <w:marTop w:val="0"/>
          <w:marBottom w:val="0"/>
          <w:divBdr>
            <w:top w:val="none" w:sz="0" w:space="0" w:color="auto"/>
            <w:left w:val="none" w:sz="0" w:space="0" w:color="auto"/>
            <w:bottom w:val="none" w:sz="0" w:space="0" w:color="auto"/>
            <w:right w:val="none" w:sz="0" w:space="0" w:color="auto"/>
          </w:divBdr>
          <w:divsChild>
            <w:div w:id="49691003">
              <w:marLeft w:val="0"/>
              <w:marRight w:val="0"/>
              <w:marTop w:val="0"/>
              <w:marBottom w:val="225"/>
              <w:divBdr>
                <w:top w:val="none" w:sz="0" w:space="0" w:color="auto"/>
                <w:left w:val="none" w:sz="0" w:space="0" w:color="auto"/>
                <w:bottom w:val="none" w:sz="0" w:space="0" w:color="auto"/>
                <w:right w:val="none" w:sz="0" w:space="0" w:color="auto"/>
              </w:divBdr>
              <w:divsChild>
                <w:div w:id="3169949">
                  <w:marLeft w:val="0"/>
                  <w:marRight w:val="0"/>
                  <w:marTop w:val="0"/>
                  <w:marBottom w:val="150"/>
                  <w:divBdr>
                    <w:top w:val="none" w:sz="0" w:space="0" w:color="auto"/>
                    <w:left w:val="none" w:sz="0" w:space="0" w:color="auto"/>
                    <w:bottom w:val="none" w:sz="0" w:space="0" w:color="auto"/>
                    <w:right w:val="none" w:sz="0" w:space="0" w:color="auto"/>
                  </w:divBdr>
                </w:div>
                <w:div w:id="932280956">
                  <w:marLeft w:val="0"/>
                  <w:marRight w:val="0"/>
                  <w:marTop w:val="0"/>
                  <w:marBottom w:val="150"/>
                  <w:divBdr>
                    <w:top w:val="none" w:sz="0" w:space="0" w:color="auto"/>
                    <w:left w:val="none" w:sz="0" w:space="0" w:color="auto"/>
                    <w:bottom w:val="none" w:sz="0" w:space="0" w:color="auto"/>
                    <w:right w:val="none" w:sz="0" w:space="0" w:color="auto"/>
                  </w:divBdr>
                </w:div>
                <w:div w:id="1053820063">
                  <w:marLeft w:val="0"/>
                  <w:marRight w:val="0"/>
                  <w:marTop w:val="0"/>
                  <w:marBottom w:val="150"/>
                  <w:divBdr>
                    <w:top w:val="none" w:sz="0" w:space="0" w:color="auto"/>
                    <w:left w:val="none" w:sz="0" w:space="0" w:color="auto"/>
                    <w:bottom w:val="none" w:sz="0" w:space="0" w:color="auto"/>
                    <w:right w:val="none" w:sz="0" w:space="0" w:color="auto"/>
                  </w:divBdr>
                  <w:divsChild>
                    <w:div w:id="161092711">
                      <w:marLeft w:val="0"/>
                      <w:marRight w:val="0"/>
                      <w:marTop w:val="0"/>
                      <w:marBottom w:val="150"/>
                      <w:divBdr>
                        <w:top w:val="none" w:sz="0" w:space="0" w:color="auto"/>
                        <w:left w:val="none" w:sz="0" w:space="0" w:color="auto"/>
                        <w:bottom w:val="none" w:sz="0" w:space="0" w:color="auto"/>
                        <w:right w:val="none" w:sz="0" w:space="0" w:color="auto"/>
                      </w:divBdr>
                      <w:divsChild>
                        <w:div w:id="7237177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89430664">
                  <w:marLeft w:val="0"/>
                  <w:marRight w:val="0"/>
                  <w:marTop w:val="0"/>
                  <w:marBottom w:val="150"/>
                  <w:divBdr>
                    <w:top w:val="none" w:sz="0" w:space="0" w:color="auto"/>
                    <w:left w:val="none" w:sz="0" w:space="0" w:color="auto"/>
                    <w:bottom w:val="none" w:sz="0" w:space="0" w:color="auto"/>
                    <w:right w:val="none" w:sz="0" w:space="0" w:color="auto"/>
                  </w:divBdr>
                </w:div>
                <w:div w:id="1340693229">
                  <w:marLeft w:val="0"/>
                  <w:marRight w:val="0"/>
                  <w:marTop w:val="0"/>
                  <w:marBottom w:val="150"/>
                  <w:divBdr>
                    <w:top w:val="none" w:sz="0" w:space="0" w:color="auto"/>
                    <w:left w:val="none" w:sz="0" w:space="0" w:color="auto"/>
                    <w:bottom w:val="none" w:sz="0" w:space="0" w:color="auto"/>
                    <w:right w:val="none" w:sz="0" w:space="0" w:color="auto"/>
                  </w:divBdr>
                </w:div>
                <w:div w:id="17083340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37947169">
          <w:marLeft w:val="0"/>
          <w:marRight w:val="0"/>
          <w:marTop w:val="0"/>
          <w:marBottom w:val="150"/>
          <w:divBdr>
            <w:top w:val="none" w:sz="0" w:space="0" w:color="auto"/>
            <w:left w:val="none" w:sz="0" w:space="0" w:color="auto"/>
            <w:bottom w:val="none" w:sz="0" w:space="0" w:color="auto"/>
            <w:right w:val="none" w:sz="0" w:space="0" w:color="auto"/>
          </w:divBdr>
        </w:div>
      </w:divsChild>
    </w:div>
    <w:div w:id="748159220">
      <w:bodyDiv w:val="1"/>
      <w:marLeft w:val="0"/>
      <w:marRight w:val="0"/>
      <w:marTop w:val="0"/>
      <w:marBottom w:val="0"/>
      <w:divBdr>
        <w:top w:val="none" w:sz="0" w:space="0" w:color="auto"/>
        <w:left w:val="none" w:sz="0" w:space="0" w:color="auto"/>
        <w:bottom w:val="none" w:sz="0" w:space="0" w:color="auto"/>
        <w:right w:val="none" w:sz="0" w:space="0" w:color="auto"/>
      </w:divBdr>
    </w:div>
    <w:div w:id="748189192">
      <w:bodyDiv w:val="1"/>
      <w:marLeft w:val="0"/>
      <w:marRight w:val="0"/>
      <w:marTop w:val="0"/>
      <w:marBottom w:val="0"/>
      <w:divBdr>
        <w:top w:val="none" w:sz="0" w:space="0" w:color="auto"/>
        <w:left w:val="none" w:sz="0" w:space="0" w:color="auto"/>
        <w:bottom w:val="none" w:sz="0" w:space="0" w:color="auto"/>
        <w:right w:val="none" w:sz="0" w:space="0" w:color="auto"/>
      </w:divBdr>
    </w:div>
    <w:div w:id="748386675">
      <w:bodyDiv w:val="1"/>
      <w:marLeft w:val="0"/>
      <w:marRight w:val="0"/>
      <w:marTop w:val="0"/>
      <w:marBottom w:val="0"/>
      <w:divBdr>
        <w:top w:val="none" w:sz="0" w:space="0" w:color="auto"/>
        <w:left w:val="none" w:sz="0" w:space="0" w:color="auto"/>
        <w:bottom w:val="none" w:sz="0" w:space="0" w:color="auto"/>
        <w:right w:val="none" w:sz="0" w:space="0" w:color="auto"/>
      </w:divBdr>
      <w:divsChild>
        <w:div w:id="1152677647">
          <w:marLeft w:val="0"/>
          <w:marRight w:val="0"/>
          <w:marTop w:val="0"/>
          <w:marBottom w:val="150"/>
          <w:divBdr>
            <w:top w:val="none" w:sz="0" w:space="0" w:color="auto"/>
            <w:left w:val="none" w:sz="0" w:space="0" w:color="auto"/>
            <w:bottom w:val="none" w:sz="0" w:space="0" w:color="auto"/>
            <w:right w:val="none" w:sz="0" w:space="0" w:color="auto"/>
          </w:divBdr>
        </w:div>
      </w:divsChild>
    </w:div>
    <w:div w:id="748618042">
      <w:bodyDiv w:val="1"/>
      <w:marLeft w:val="0"/>
      <w:marRight w:val="0"/>
      <w:marTop w:val="0"/>
      <w:marBottom w:val="0"/>
      <w:divBdr>
        <w:top w:val="none" w:sz="0" w:space="0" w:color="auto"/>
        <w:left w:val="none" w:sz="0" w:space="0" w:color="auto"/>
        <w:bottom w:val="none" w:sz="0" w:space="0" w:color="auto"/>
        <w:right w:val="none" w:sz="0" w:space="0" w:color="auto"/>
      </w:divBdr>
      <w:divsChild>
        <w:div w:id="237254219">
          <w:marLeft w:val="0"/>
          <w:marRight w:val="0"/>
          <w:marTop w:val="0"/>
          <w:marBottom w:val="150"/>
          <w:divBdr>
            <w:top w:val="none" w:sz="0" w:space="0" w:color="auto"/>
            <w:left w:val="none" w:sz="0" w:space="0" w:color="auto"/>
            <w:bottom w:val="none" w:sz="0" w:space="0" w:color="auto"/>
            <w:right w:val="none" w:sz="0" w:space="0" w:color="auto"/>
          </w:divBdr>
          <w:divsChild>
            <w:div w:id="314531336">
              <w:marLeft w:val="0"/>
              <w:marRight w:val="0"/>
              <w:marTop w:val="0"/>
              <w:marBottom w:val="0"/>
              <w:divBdr>
                <w:top w:val="none" w:sz="0" w:space="0" w:color="auto"/>
                <w:left w:val="none" w:sz="0" w:space="0" w:color="auto"/>
                <w:bottom w:val="none" w:sz="0" w:space="0" w:color="auto"/>
                <w:right w:val="none" w:sz="0" w:space="0" w:color="auto"/>
              </w:divBdr>
            </w:div>
          </w:divsChild>
        </w:div>
        <w:div w:id="2029138277">
          <w:marLeft w:val="0"/>
          <w:marRight w:val="0"/>
          <w:marTop w:val="0"/>
          <w:marBottom w:val="150"/>
          <w:divBdr>
            <w:top w:val="none" w:sz="0" w:space="0" w:color="auto"/>
            <w:left w:val="none" w:sz="0" w:space="0" w:color="auto"/>
            <w:bottom w:val="none" w:sz="0" w:space="0" w:color="auto"/>
            <w:right w:val="none" w:sz="0" w:space="0" w:color="auto"/>
          </w:divBdr>
        </w:div>
        <w:div w:id="2102800505">
          <w:marLeft w:val="0"/>
          <w:marRight w:val="0"/>
          <w:marTop w:val="0"/>
          <w:marBottom w:val="0"/>
          <w:divBdr>
            <w:top w:val="none" w:sz="0" w:space="0" w:color="auto"/>
            <w:left w:val="none" w:sz="0" w:space="0" w:color="auto"/>
            <w:bottom w:val="none" w:sz="0" w:space="0" w:color="auto"/>
            <w:right w:val="none" w:sz="0" w:space="0" w:color="auto"/>
          </w:divBdr>
          <w:divsChild>
            <w:div w:id="144272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775574">
      <w:bodyDiv w:val="1"/>
      <w:marLeft w:val="0"/>
      <w:marRight w:val="0"/>
      <w:marTop w:val="0"/>
      <w:marBottom w:val="0"/>
      <w:divBdr>
        <w:top w:val="none" w:sz="0" w:space="0" w:color="auto"/>
        <w:left w:val="none" w:sz="0" w:space="0" w:color="auto"/>
        <w:bottom w:val="none" w:sz="0" w:space="0" w:color="auto"/>
        <w:right w:val="none" w:sz="0" w:space="0" w:color="auto"/>
      </w:divBdr>
      <w:divsChild>
        <w:div w:id="1177230319">
          <w:marLeft w:val="0"/>
          <w:marRight w:val="0"/>
          <w:marTop w:val="0"/>
          <w:marBottom w:val="0"/>
          <w:divBdr>
            <w:top w:val="none" w:sz="0" w:space="0" w:color="auto"/>
            <w:left w:val="none" w:sz="0" w:space="0" w:color="auto"/>
            <w:bottom w:val="none" w:sz="0" w:space="0" w:color="auto"/>
            <w:right w:val="none" w:sz="0" w:space="0" w:color="auto"/>
          </w:divBdr>
        </w:div>
      </w:divsChild>
    </w:div>
    <w:div w:id="748962779">
      <w:bodyDiv w:val="1"/>
      <w:marLeft w:val="0"/>
      <w:marRight w:val="0"/>
      <w:marTop w:val="0"/>
      <w:marBottom w:val="0"/>
      <w:divBdr>
        <w:top w:val="none" w:sz="0" w:space="0" w:color="auto"/>
        <w:left w:val="none" w:sz="0" w:space="0" w:color="auto"/>
        <w:bottom w:val="none" w:sz="0" w:space="0" w:color="auto"/>
        <w:right w:val="none" w:sz="0" w:space="0" w:color="auto"/>
      </w:divBdr>
      <w:divsChild>
        <w:div w:id="221404641">
          <w:marLeft w:val="0"/>
          <w:marRight w:val="0"/>
          <w:marTop w:val="0"/>
          <w:marBottom w:val="0"/>
          <w:divBdr>
            <w:top w:val="none" w:sz="0" w:space="0" w:color="auto"/>
            <w:left w:val="none" w:sz="0" w:space="0" w:color="auto"/>
            <w:bottom w:val="none" w:sz="0" w:space="0" w:color="auto"/>
            <w:right w:val="none" w:sz="0" w:space="0" w:color="auto"/>
          </w:divBdr>
          <w:divsChild>
            <w:div w:id="243146454">
              <w:marLeft w:val="0"/>
              <w:marRight w:val="0"/>
              <w:marTop w:val="0"/>
              <w:marBottom w:val="0"/>
              <w:divBdr>
                <w:top w:val="none" w:sz="0" w:space="0" w:color="auto"/>
                <w:left w:val="none" w:sz="0" w:space="0" w:color="auto"/>
                <w:bottom w:val="none" w:sz="0" w:space="0" w:color="auto"/>
                <w:right w:val="none" w:sz="0" w:space="0" w:color="auto"/>
              </w:divBdr>
            </w:div>
          </w:divsChild>
        </w:div>
        <w:div w:id="1807091048">
          <w:marLeft w:val="0"/>
          <w:marRight w:val="0"/>
          <w:marTop w:val="0"/>
          <w:marBottom w:val="150"/>
          <w:divBdr>
            <w:top w:val="none" w:sz="0" w:space="0" w:color="auto"/>
            <w:left w:val="none" w:sz="0" w:space="0" w:color="auto"/>
            <w:bottom w:val="none" w:sz="0" w:space="0" w:color="auto"/>
            <w:right w:val="none" w:sz="0" w:space="0" w:color="auto"/>
          </w:divBdr>
          <w:divsChild>
            <w:div w:id="1905068486">
              <w:marLeft w:val="0"/>
              <w:marRight w:val="0"/>
              <w:marTop w:val="0"/>
              <w:marBottom w:val="0"/>
              <w:divBdr>
                <w:top w:val="none" w:sz="0" w:space="0" w:color="auto"/>
                <w:left w:val="none" w:sz="0" w:space="0" w:color="auto"/>
                <w:bottom w:val="none" w:sz="0" w:space="0" w:color="auto"/>
                <w:right w:val="none" w:sz="0" w:space="0" w:color="auto"/>
              </w:divBdr>
            </w:div>
          </w:divsChild>
        </w:div>
        <w:div w:id="1821074015">
          <w:marLeft w:val="0"/>
          <w:marRight w:val="0"/>
          <w:marTop w:val="0"/>
          <w:marBottom w:val="150"/>
          <w:divBdr>
            <w:top w:val="none" w:sz="0" w:space="0" w:color="auto"/>
            <w:left w:val="none" w:sz="0" w:space="0" w:color="auto"/>
            <w:bottom w:val="none" w:sz="0" w:space="0" w:color="auto"/>
            <w:right w:val="none" w:sz="0" w:space="0" w:color="auto"/>
          </w:divBdr>
        </w:div>
      </w:divsChild>
    </w:div>
    <w:div w:id="749234160">
      <w:bodyDiv w:val="1"/>
      <w:marLeft w:val="0"/>
      <w:marRight w:val="0"/>
      <w:marTop w:val="0"/>
      <w:marBottom w:val="0"/>
      <w:divBdr>
        <w:top w:val="none" w:sz="0" w:space="0" w:color="auto"/>
        <w:left w:val="none" w:sz="0" w:space="0" w:color="auto"/>
        <w:bottom w:val="none" w:sz="0" w:space="0" w:color="auto"/>
        <w:right w:val="none" w:sz="0" w:space="0" w:color="auto"/>
      </w:divBdr>
      <w:divsChild>
        <w:div w:id="820000634">
          <w:marLeft w:val="0"/>
          <w:marRight w:val="0"/>
          <w:marTop w:val="0"/>
          <w:marBottom w:val="150"/>
          <w:divBdr>
            <w:top w:val="none" w:sz="0" w:space="0" w:color="auto"/>
            <w:left w:val="none" w:sz="0" w:space="0" w:color="auto"/>
            <w:bottom w:val="none" w:sz="0" w:space="0" w:color="auto"/>
            <w:right w:val="none" w:sz="0" w:space="0" w:color="auto"/>
          </w:divBdr>
          <w:divsChild>
            <w:div w:id="972252976">
              <w:marLeft w:val="0"/>
              <w:marRight w:val="0"/>
              <w:marTop w:val="0"/>
              <w:marBottom w:val="0"/>
              <w:divBdr>
                <w:top w:val="none" w:sz="0" w:space="0" w:color="auto"/>
                <w:left w:val="none" w:sz="0" w:space="0" w:color="auto"/>
                <w:bottom w:val="none" w:sz="0" w:space="0" w:color="auto"/>
                <w:right w:val="none" w:sz="0" w:space="0" w:color="auto"/>
              </w:divBdr>
              <w:divsChild>
                <w:div w:id="1696149038">
                  <w:marLeft w:val="0"/>
                  <w:marRight w:val="0"/>
                  <w:marTop w:val="0"/>
                  <w:marBottom w:val="0"/>
                  <w:divBdr>
                    <w:top w:val="none" w:sz="0" w:space="0" w:color="auto"/>
                    <w:left w:val="none" w:sz="0" w:space="0" w:color="auto"/>
                    <w:bottom w:val="none" w:sz="0" w:space="0" w:color="auto"/>
                    <w:right w:val="none" w:sz="0" w:space="0" w:color="auto"/>
                  </w:divBdr>
                  <w:divsChild>
                    <w:div w:id="1423454678">
                      <w:marLeft w:val="0"/>
                      <w:marRight w:val="150"/>
                      <w:marTop w:val="0"/>
                      <w:marBottom w:val="0"/>
                      <w:divBdr>
                        <w:top w:val="none" w:sz="0" w:space="0" w:color="auto"/>
                        <w:left w:val="none" w:sz="0" w:space="0" w:color="auto"/>
                        <w:bottom w:val="none" w:sz="0" w:space="0" w:color="auto"/>
                        <w:right w:val="none" w:sz="0" w:space="0" w:color="auto"/>
                      </w:divBdr>
                      <w:divsChild>
                        <w:div w:id="57247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51372">
          <w:marLeft w:val="0"/>
          <w:marRight w:val="0"/>
          <w:marTop w:val="0"/>
          <w:marBottom w:val="150"/>
          <w:divBdr>
            <w:top w:val="none" w:sz="0" w:space="0" w:color="auto"/>
            <w:left w:val="none" w:sz="0" w:space="0" w:color="auto"/>
            <w:bottom w:val="none" w:sz="0" w:space="0" w:color="auto"/>
            <w:right w:val="none" w:sz="0" w:space="0" w:color="auto"/>
          </w:divBdr>
        </w:div>
        <w:div w:id="51468916">
          <w:marLeft w:val="0"/>
          <w:marRight w:val="0"/>
          <w:marTop w:val="0"/>
          <w:marBottom w:val="0"/>
          <w:divBdr>
            <w:top w:val="none" w:sz="0" w:space="0" w:color="auto"/>
            <w:left w:val="none" w:sz="0" w:space="0" w:color="auto"/>
            <w:bottom w:val="none" w:sz="0" w:space="0" w:color="auto"/>
            <w:right w:val="none" w:sz="0" w:space="0" w:color="auto"/>
          </w:divBdr>
          <w:divsChild>
            <w:div w:id="33195127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50733178">
      <w:bodyDiv w:val="1"/>
      <w:marLeft w:val="0"/>
      <w:marRight w:val="0"/>
      <w:marTop w:val="0"/>
      <w:marBottom w:val="0"/>
      <w:divBdr>
        <w:top w:val="none" w:sz="0" w:space="0" w:color="auto"/>
        <w:left w:val="none" w:sz="0" w:space="0" w:color="auto"/>
        <w:bottom w:val="none" w:sz="0" w:space="0" w:color="auto"/>
        <w:right w:val="none" w:sz="0" w:space="0" w:color="auto"/>
      </w:divBdr>
      <w:divsChild>
        <w:div w:id="1536652508">
          <w:marLeft w:val="0"/>
          <w:marRight w:val="0"/>
          <w:marTop w:val="0"/>
          <w:marBottom w:val="150"/>
          <w:divBdr>
            <w:top w:val="none" w:sz="0" w:space="0" w:color="auto"/>
            <w:left w:val="none" w:sz="0" w:space="0" w:color="auto"/>
            <w:bottom w:val="none" w:sz="0" w:space="0" w:color="auto"/>
            <w:right w:val="none" w:sz="0" w:space="0" w:color="auto"/>
          </w:divBdr>
        </w:div>
        <w:div w:id="1727947737">
          <w:marLeft w:val="0"/>
          <w:marRight w:val="0"/>
          <w:marTop w:val="0"/>
          <w:marBottom w:val="0"/>
          <w:divBdr>
            <w:top w:val="none" w:sz="0" w:space="0" w:color="auto"/>
            <w:left w:val="none" w:sz="0" w:space="0" w:color="auto"/>
            <w:bottom w:val="none" w:sz="0" w:space="0" w:color="auto"/>
            <w:right w:val="none" w:sz="0" w:space="0" w:color="auto"/>
          </w:divBdr>
          <w:divsChild>
            <w:div w:id="667832415">
              <w:marLeft w:val="0"/>
              <w:marRight w:val="0"/>
              <w:marTop w:val="0"/>
              <w:marBottom w:val="0"/>
              <w:divBdr>
                <w:top w:val="none" w:sz="0" w:space="0" w:color="auto"/>
                <w:left w:val="none" w:sz="0" w:space="0" w:color="auto"/>
                <w:bottom w:val="none" w:sz="0" w:space="0" w:color="auto"/>
                <w:right w:val="none" w:sz="0" w:space="0" w:color="auto"/>
              </w:divBdr>
            </w:div>
          </w:divsChild>
        </w:div>
        <w:div w:id="2043437132">
          <w:marLeft w:val="0"/>
          <w:marRight w:val="0"/>
          <w:marTop w:val="0"/>
          <w:marBottom w:val="150"/>
          <w:divBdr>
            <w:top w:val="none" w:sz="0" w:space="0" w:color="auto"/>
            <w:left w:val="none" w:sz="0" w:space="0" w:color="auto"/>
            <w:bottom w:val="none" w:sz="0" w:space="0" w:color="auto"/>
            <w:right w:val="none" w:sz="0" w:space="0" w:color="auto"/>
          </w:divBdr>
          <w:divsChild>
            <w:div w:id="94792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856959">
      <w:bodyDiv w:val="1"/>
      <w:marLeft w:val="0"/>
      <w:marRight w:val="0"/>
      <w:marTop w:val="0"/>
      <w:marBottom w:val="0"/>
      <w:divBdr>
        <w:top w:val="none" w:sz="0" w:space="0" w:color="auto"/>
        <w:left w:val="none" w:sz="0" w:space="0" w:color="auto"/>
        <w:bottom w:val="none" w:sz="0" w:space="0" w:color="auto"/>
        <w:right w:val="none" w:sz="0" w:space="0" w:color="auto"/>
      </w:divBdr>
      <w:divsChild>
        <w:div w:id="1639145890">
          <w:marLeft w:val="0"/>
          <w:marRight w:val="0"/>
          <w:marTop w:val="0"/>
          <w:marBottom w:val="0"/>
          <w:divBdr>
            <w:top w:val="none" w:sz="0" w:space="0" w:color="auto"/>
            <w:left w:val="none" w:sz="0" w:space="0" w:color="auto"/>
            <w:bottom w:val="dotted" w:sz="6" w:space="4" w:color="DDDDDD"/>
            <w:right w:val="none" w:sz="0" w:space="0" w:color="auto"/>
          </w:divBdr>
          <w:divsChild>
            <w:div w:id="192468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094209">
      <w:bodyDiv w:val="1"/>
      <w:marLeft w:val="0"/>
      <w:marRight w:val="0"/>
      <w:marTop w:val="0"/>
      <w:marBottom w:val="0"/>
      <w:divBdr>
        <w:top w:val="none" w:sz="0" w:space="0" w:color="auto"/>
        <w:left w:val="none" w:sz="0" w:space="0" w:color="auto"/>
        <w:bottom w:val="none" w:sz="0" w:space="0" w:color="auto"/>
        <w:right w:val="none" w:sz="0" w:space="0" w:color="auto"/>
      </w:divBdr>
      <w:divsChild>
        <w:div w:id="203060410">
          <w:marLeft w:val="0"/>
          <w:marRight w:val="0"/>
          <w:marTop w:val="0"/>
          <w:marBottom w:val="0"/>
          <w:divBdr>
            <w:top w:val="none" w:sz="0" w:space="0" w:color="auto"/>
            <w:left w:val="none" w:sz="0" w:space="0" w:color="auto"/>
            <w:bottom w:val="none" w:sz="0" w:space="0" w:color="auto"/>
            <w:right w:val="none" w:sz="0" w:space="0" w:color="auto"/>
          </w:divBdr>
          <w:divsChild>
            <w:div w:id="66464197">
              <w:marLeft w:val="0"/>
              <w:marRight w:val="0"/>
              <w:marTop w:val="225"/>
              <w:marBottom w:val="225"/>
              <w:divBdr>
                <w:top w:val="none" w:sz="0" w:space="0" w:color="auto"/>
                <w:left w:val="none" w:sz="0" w:space="0" w:color="auto"/>
                <w:bottom w:val="none" w:sz="0" w:space="0" w:color="auto"/>
                <w:right w:val="none" w:sz="0" w:space="0" w:color="auto"/>
              </w:divBdr>
            </w:div>
          </w:divsChild>
        </w:div>
        <w:div w:id="404229644">
          <w:marLeft w:val="0"/>
          <w:marRight w:val="0"/>
          <w:marTop w:val="0"/>
          <w:marBottom w:val="150"/>
          <w:divBdr>
            <w:top w:val="none" w:sz="0" w:space="0" w:color="auto"/>
            <w:left w:val="none" w:sz="0" w:space="0" w:color="auto"/>
            <w:bottom w:val="none" w:sz="0" w:space="0" w:color="auto"/>
            <w:right w:val="none" w:sz="0" w:space="0" w:color="auto"/>
          </w:divBdr>
          <w:divsChild>
            <w:div w:id="1268192772">
              <w:marLeft w:val="0"/>
              <w:marRight w:val="0"/>
              <w:marTop w:val="0"/>
              <w:marBottom w:val="0"/>
              <w:divBdr>
                <w:top w:val="none" w:sz="0" w:space="0" w:color="auto"/>
                <w:left w:val="none" w:sz="0" w:space="0" w:color="auto"/>
                <w:bottom w:val="none" w:sz="0" w:space="0" w:color="auto"/>
                <w:right w:val="none" w:sz="0" w:space="0" w:color="auto"/>
              </w:divBdr>
              <w:divsChild>
                <w:div w:id="163921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741634">
          <w:marLeft w:val="0"/>
          <w:marRight w:val="0"/>
          <w:marTop w:val="0"/>
          <w:marBottom w:val="150"/>
          <w:divBdr>
            <w:top w:val="none" w:sz="0" w:space="0" w:color="auto"/>
            <w:left w:val="none" w:sz="0" w:space="0" w:color="auto"/>
            <w:bottom w:val="none" w:sz="0" w:space="0" w:color="auto"/>
            <w:right w:val="none" w:sz="0" w:space="0" w:color="auto"/>
          </w:divBdr>
        </w:div>
      </w:divsChild>
    </w:div>
    <w:div w:id="752094851">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sChild>
        <w:div w:id="1594317309">
          <w:marLeft w:val="0"/>
          <w:marRight w:val="0"/>
          <w:marTop w:val="0"/>
          <w:marBottom w:val="150"/>
          <w:divBdr>
            <w:top w:val="none" w:sz="0" w:space="0" w:color="auto"/>
            <w:left w:val="none" w:sz="0" w:space="0" w:color="auto"/>
            <w:bottom w:val="none" w:sz="0" w:space="0" w:color="auto"/>
            <w:right w:val="none" w:sz="0" w:space="0" w:color="auto"/>
          </w:divBdr>
        </w:div>
        <w:div w:id="1598126176">
          <w:marLeft w:val="0"/>
          <w:marRight w:val="0"/>
          <w:marTop w:val="0"/>
          <w:marBottom w:val="0"/>
          <w:divBdr>
            <w:top w:val="none" w:sz="0" w:space="0" w:color="auto"/>
            <w:left w:val="none" w:sz="0" w:space="0" w:color="auto"/>
            <w:bottom w:val="none" w:sz="0" w:space="0" w:color="auto"/>
            <w:right w:val="none" w:sz="0" w:space="0" w:color="auto"/>
          </w:divBdr>
        </w:div>
      </w:divsChild>
    </w:div>
    <w:div w:id="752355863">
      <w:bodyDiv w:val="1"/>
      <w:marLeft w:val="0"/>
      <w:marRight w:val="0"/>
      <w:marTop w:val="0"/>
      <w:marBottom w:val="0"/>
      <w:divBdr>
        <w:top w:val="none" w:sz="0" w:space="0" w:color="auto"/>
        <w:left w:val="none" w:sz="0" w:space="0" w:color="auto"/>
        <w:bottom w:val="none" w:sz="0" w:space="0" w:color="auto"/>
        <w:right w:val="none" w:sz="0" w:space="0" w:color="auto"/>
      </w:divBdr>
    </w:div>
    <w:div w:id="752746558">
      <w:bodyDiv w:val="1"/>
      <w:marLeft w:val="0"/>
      <w:marRight w:val="0"/>
      <w:marTop w:val="0"/>
      <w:marBottom w:val="0"/>
      <w:divBdr>
        <w:top w:val="none" w:sz="0" w:space="0" w:color="auto"/>
        <w:left w:val="none" w:sz="0" w:space="0" w:color="auto"/>
        <w:bottom w:val="none" w:sz="0" w:space="0" w:color="auto"/>
        <w:right w:val="none" w:sz="0" w:space="0" w:color="auto"/>
      </w:divBdr>
      <w:divsChild>
        <w:div w:id="325671413">
          <w:marLeft w:val="0"/>
          <w:marRight w:val="0"/>
          <w:marTop w:val="0"/>
          <w:marBottom w:val="150"/>
          <w:divBdr>
            <w:top w:val="none" w:sz="0" w:space="0" w:color="auto"/>
            <w:left w:val="none" w:sz="0" w:space="0" w:color="auto"/>
            <w:bottom w:val="none" w:sz="0" w:space="0" w:color="auto"/>
            <w:right w:val="none" w:sz="0" w:space="0" w:color="auto"/>
          </w:divBdr>
        </w:div>
      </w:divsChild>
    </w:div>
    <w:div w:id="752816761">
      <w:bodyDiv w:val="1"/>
      <w:marLeft w:val="0"/>
      <w:marRight w:val="0"/>
      <w:marTop w:val="0"/>
      <w:marBottom w:val="0"/>
      <w:divBdr>
        <w:top w:val="none" w:sz="0" w:space="0" w:color="auto"/>
        <w:left w:val="none" w:sz="0" w:space="0" w:color="auto"/>
        <w:bottom w:val="none" w:sz="0" w:space="0" w:color="auto"/>
        <w:right w:val="none" w:sz="0" w:space="0" w:color="auto"/>
      </w:divBdr>
      <w:divsChild>
        <w:div w:id="2008626711">
          <w:marLeft w:val="0"/>
          <w:marRight w:val="0"/>
          <w:marTop w:val="0"/>
          <w:marBottom w:val="0"/>
          <w:divBdr>
            <w:top w:val="none" w:sz="0" w:space="0" w:color="auto"/>
            <w:left w:val="none" w:sz="0" w:space="0" w:color="auto"/>
            <w:bottom w:val="none" w:sz="0" w:space="0" w:color="auto"/>
            <w:right w:val="none" w:sz="0" w:space="0" w:color="auto"/>
          </w:divBdr>
          <w:divsChild>
            <w:div w:id="1720736884">
              <w:marLeft w:val="0"/>
              <w:marRight w:val="0"/>
              <w:marTop w:val="0"/>
              <w:marBottom w:val="0"/>
              <w:divBdr>
                <w:top w:val="none" w:sz="0" w:space="0" w:color="auto"/>
                <w:left w:val="none" w:sz="0" w:space="0" w:color="auto"/>
                <w:bottom w:val="none" w:sz="0" w:space="0" w:color="auto"/>
                <w:right w:val="none" w:sz="0" w:space="0" w:color="auto"/>
              </w:divBdr>
              <w:divsChild>
                <w:div w:id="1102846553">
                  <w:marLeft w:val="0"/>
                  <w:marRight w:val="0"/>
                  <w:marTop w:val="0"/>
                  <w:marBottom w:val="0"/>
                  <w:divBdr>
                    <w:top w:val="none" w:sz="0" w:space="0" w:color="auto"/>
                    <w:left w:val="none" w:sz="0" w:space="0" w:color="auto"/>
                    <w:bottom w:val="none" w:sz="0" w:space="0" w:color="auto"/>
                    <w:right w:val="none" w:sz="0" w:space="0" w:color="auto"/>
                  </w:divBdr>
                  <w:divsChild>
                    <w:div w:id="661813635">
                      <w:marLeft w:val="0"/>
                      <w:marRight w:val="0"/>
                      <w:marTop w:val="0"/>
                      <w:marBottom w:val="0"/>
                      <w:divBdr>
                        <w:top w:val="none" w:sz="0" w:space="0" w:color="auto"/>
                        <w:left w:val="none" w:sz="0" w:space="0" w:color="auto"/>
                        <w:bottom w:val="none" w:sz="0" w:space="0" w:color="auto"/>
                        <w:right w:val="none" w:sz="0" w:space="0" w:color="auto"/>
                      </w:divBdr>
                      <w:divsChild>
                        <w:div w:id="139419409">
                          <w:marLeft w:val="0"/>
                          <w:marRight w:val="0"/>
                          <w:marTop w:val="0"/>
                          <w:marBottom w:val="0"/>
                          <w:divBdr>
                            <w:top w:val="none" w:sz="0" w:space="0" w:color="auto"/>
                            <w:left w:val="none" w:sz="0" w:space="0" w:color="auto"/>
                            <w:bottom w:val="none" w:sz="0" w:space="0" w:color="auto"/>
                            <w:right w:val="none" w:sz="0" w:space="0" w:color="auto"/>
                          </w:divBdr>
                          <w:divsChild>
                            <w:div w:id="1980960135">
                              <w:marLeft w:val="0"/>
                              <w:marRight w:val="0"/>
                              <w:marTop w:val="0"/>
                              <w:marBottom w:val="0"/>
                              <w:divBdr>
                                <w:top w:val="none" w:sz="0" w:space="0" w:color="auto"/>
                                <w:left w:val="none" w:sz="0" w:space="0" w:color="auto"/>
                                <w:bottom w:val="none" w:sz="0" w:space="0" w:color="auto"/>
                                <w:right w:val="none" w:sz="0" w:space="0" w:color="auto"/>
                              </w:divBdr>
                              <w:divsChild>
                                <w:div w:id="1318143107">
                                  <w:marLeft w:val="0"/>
                                  <w:marRight w:val="0"/>
                                  <w:marTop w:val="0"/>
                                  <w:marBottom w:val="0"/>
                                  <w:divBdr>
                                    <w:top w:val="none" w:sz="0" w:space="0" w:color="auto"/>
                                    <w:left w:val="none" w:sz="0" w:space="0" w:color="auto"/>
                                    <w:bottom w:val="none" w:sz="0" w:space="0" w:color="auto"/>
                                    <w:right w:val="none" w:sz="0" w:space="0" w:color="auto"/>
                                  </w:divBdr>
                                  <w:divsChild>
                                    <w:div w:id="755516733">
                                      <w:marLeft w:val="0"/>
                                      <w:marRight w:val="0"/>
                                      <w:marTop w:val="0"/>
                                      <w:marBottom w:val="0"/>
                                      <w:divBdr>
                                        <w:top w:val="none" w:sz="0" w:space="0" w:color="auto"/>
                                        <w:left w:val="none" w:sz="0" w:space="0" w:color="auto"/>
                                        <w:bottom w:val="none" w:sz="0" w:space="0" w:color="auto"/>
                                        <w:right w:val="none" w:sz="0" w:space="0" w:color="auto"/>
                                      </w:divBdr>
                                      <w:divsChild>
                                        <w:div w:id="87354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3085230">
      <w:bodyDiv w:val="1"/>
      <w:marLeft w:val="0"/>
      <w:marRight w:val="0"/>
      <w:marTop w:val="0"/>
      <w:marBottom w:val="0"/>
      <w:divBdr>
        <w:top w:val="none" w:sz="0" w:space="0" w:color="auto"/>
        <w:left w:val="none" w:sz="0" w:space="0" w:color="auto"/>
        <w:bottom w:val="none" w:sz="0" w:space="0" w:color="auto"/>
        <w:right w:val="none" w:sz="0" w:space="0" w:color="auto"/>
      </w:divBdr>
      <w:divsChild>
        <w:div w:id="1996106933">
          <w:marLeft w:val="0"/>
          <w:marRight w:val="0"/>
          <w:marTop w:val="0"/>
          <w:marBottom w:val="0"/>
          <w:divBdr>
            <w:top w:val="none" w:sz="0" w:space="0" w:color="auto"/>
            <w:left w:val="none" w:sz="0" w:space="0" w:color="auto"/>
            <w:bottom w:val="dotted" w:sz="6" w:space="4" w:color="DDDDDD"/>
            <w:right w:val="none" w:sz="0" w:space="0" w:color="auto"/>
          </w:divBdr>
          <w:divsChild>
            <w:div w:id="176908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091039">
      <w:bodyDiv w:val="1"/>
      <w:marLeft w:val="0"/>
      <w:marRight w:val="0"/>
      <w:marTop w:val="0"/>
      <w:marBottom w:val="0"/>
      <w:divBdr>
        <w:top w:val="none" w:sz="0" w:space="0" w:color="auto"/>
        <w:left w:val="none" w:sz="0" w:space="0" w:color="auto"/>
        <w:bottom w:val="none" w:sz="0" w:space="0" w:color="auto"/>
        <w:right w:val="none" w:sz="0" w:space="0" w:color="auto"/>
      </w:divBdr>
    </w:div>
    <w:div w:id="753161412">
      <w:bodyDiv w:val="1"/>
      <w:marLeft w:val="0"/>
      <w:marRight w:val="0"/>
      <w:marTop w:val="0"/>
      <w:marBottom w:val="0"/>
      <w:divBdr>
        <w:top w:val="none" w:sz="0" w:space="0" w:color="auto"/>
        <w:left w:val="none" w:sz="0" w:space="0" w:color="auto"/>
        <w:bottom w:val="none" w:sz="0" w:space="0" w:color="auto"/>
        <w:right w:val="none" w:sz="0" w:space="0" w:color="auto"/>
      </w:divBdr>
      <w:divsChild>
        <w:div w:id="1624723659">
          <w:marLeft w:val="0"/>
          <w:marRight w:val="0"/>
          <w:marTop w:val="0"/>
          <w:marBottom w:val="0"/>
          <w:divBdr>
            <w:top w:val="none" w:sz="0" w:space="0" w:color="auto"/>
            <w:left w:val="none" w:sz="0" w:space="0" w:color="auto"/>
            <w:bottom w:val="none" w:sz="0" w:space="0" w:color="auto"/>
            <w:right w:val="none" w:sz="0" w:space="0" w:color="auto"/>
          </w:divBdr>
        </w:div>
      </w:divsChild>
    </w:div>
    <w:div w:id="753235674">
      <w:bodyDiv w:val="1"/>
      <w:marLeft w:val="0"/>
      <w:marRight w:val="0"/>
      <w:marTop w:val="0"/>
      <w:marBottom w:val="0"/>
      <w:divBdr>
        <w:top w:val="none" w:sz="0" w:space="0" w:color="auto"/>
        <w:left w:val="none" w:sz="0" w:space="0" w:color="auto"/>
        <w:bottom w:val="none" w:sz="0" w:space="0" w:color="auto"/>
        <w:right w:val="none" w:sz="0" w:space="0" w:color="auto"/>
      </w:divBdr>
      <w:divsChild>
        <w:div w:id="1525821791">
          <w:marLeft w:val="0"/>
          <w:marRight w:val="0"/>
          <w:marTop w:val="0"/>
          <w:marBottom w:val="0"/>
          <w:divBdr>
            <w:top w:val="none" w:sz="0" w:space="0" w:color="auto"/>
            <w:left w:val="none" w:sz="0" w:space="0" w:color="auto"/>
            <w:bottom w:val="none" w:sz="0" w:space="0" w:color="auto"/>
            <w:right w:val="none" w:sz="0" w:space="0" w:color="auto"/>
          </w:divBdr>
          <w:divsChild>
            <w:div w:id="1012876692">
              <w:marLeft w:val="0"/>
              <w:marRight w:val="0"/>
              <w:marTop w:val="0"/>
              <w:marBottom w:val="0"/>
              <w:divBdr>
                <w:top w:val="none" w:sz="0" w:space="0" w:color="auto"/>
                <w:left w:val="none" w:sz="0" w:space="0" w:color="auto"/>
                <w:bottom w:val="none" w:sz="0" w:space="0" w:color="auto"/>
                <w:right w:val="none" w:sz="0" w:space="0" w:color="auto"/>
              </w:divBdr>
              <w:divsChild>
                <w:div w:id="168913632">
                  <w:marLeft w:val="0"/>
                  <w:marRight w:val="0"/>
                  <w:marTop w:val="0"/>
                  <w:marBottom w:val="0"/>
                  <w:divBdr>
                    <w:top w:val="none" w:sz="0" w:space="0" w:color="auto"/>
                    <w:left w:val="none" w:sz="0" w:space="0" w:color="auto"/>
                    <w:bottom w:val="none" w:sz="0" w:space="0" w:color="auto"/>
                    <w:right w:val="none" w:sz="0" w:space="0" w:color="auto"/>
                  </w:divBdr>
                  <w:divsChild>
                    <w:div w:id="192425177">
                      <w:marLeft w:val="0"/>
                      <w:marRight w:val="0"/>
                      <w:marTop w:val="0"/>
                      <w:marBottom w:val="0"/>
                      <w:divBdr>
                        <w:top w:val="none" w:sz="0" w:space="0" w:color="auto"/>
                        <w:left w:val="none" w:sz="0" w:space="0" w:color="auto"/>
                        <w:bottom w:val="none" w:sz="0" w:space="0" w:color="auto"/>
                        <w:right w:val="none" w:sz="0" w:space="0" w:color="auto"/>
                      </w:divBdr>
                      <w:divsChild>
                        <w:div w:id="2134709523">
                          <w:marLeft w:val="0"/>
                          <w:marRight w:val="0"/>
                          <w:marTop w:val="0"/>
                          <w:marBottom w:val="0"/>
                          <w:divBdr>
                            <w:top w:val="none" w:sz="0" w:space="0" w:color="auto"/>
                            <w:left w:val="none" w:sz="0" w:space="0" w:color="auto"/>
                            <w:bottom w:val="none" w:sz="0" w:space="0" w:color="auto"/>
                            <w:right w:val="none" w:sz="0" w:space="0" w:color="auto"/>
                          </w:divBdr>
                          <w:divsChild>
                            <w:div w:id="1185292203">
                              <w:marLeft w:val="0"/>
                              <w:marRight w:val="0"/>
                              <w:marTop w:val="0"/>
                              <w:marBottom w:val="0"/>
                              <w:divBdr>
                                <w:top w:val="none" w:sz="0" w:space="0" w:color="auto"/>
                                <w:left w:val="none" w:sz="0" w:space="0" w:color="auto"/>
                                <w:bottom w:val="none" w:sz="0" w:space="0" w:color="auto"/>
                                <w:right w:val="none" w:sz="0" w:space="0" w:color="auto"/>
                              </w:divBdr>
                              <w:divsChild>
                                <w:div w:id="341933020">
                                  <w:marLeft w:val="0"/>
                                  <w:marRight w:val="0"/>
                                  <w:marTop w:val="0"/>
                                  <w:marBottom w:val="0"/>
                                  <w:divBdr>
                                    <w:top w:val="none" w:sz="0" w:space="0" w:color="auto"/>
                                    <w:left w:val="none" w:sz="0" w:space="0" w:color="auto"/>
                                    <w:bottom w:val="none" w:sz="0" w:space="0" w:color="auto"/>
                                    <w:right w:val="none" w:sz="0" w:space="0" w:color="auto"/>
                                  </w:divBdr>
                                  <w:divsChild>
                                    <w:div w:id="1570270493">
                                      <w:marLeft w:val="0"/>
                                      <w:marRight w:val="0"/>
                                      <w:marTop w:val="0"/>
                                      <w:marBottom w:val="0"/>
                                      <w:divBdr>
                                        <w:top w:val="none" w:sz="0" w:space="0" w:color="auto"/>
                                        <w:left w:val="none" w:sz="0" w:space="0" w:color="auto"/>
                                        <w:bottom w:val="none" w:sz="0" w:space="0" w:color="auto"/>
                                        <w:right w:val="none" w:sz="0" w:space="0" w:color="auto"/>
                                      </w:divBdr>
                                      <w:divsChild>
                                        <w:div w:id="185599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3748873">
      <w:bodyDiv w:val="1"/>
      <w:marLeft w:val="0"/>
      <w:marRight w:val="0"/>
      <w:marTop w:val="0"/>
      <w:marBottom w:val="0"/>
      <w:divBdr>
        <w:top w:val="none" w:sz="0" w:space="0" w:color="auto"/>
        <w:left w:val="none" w:sz="0" w:space="0" w:color="auto"/>
        <w:bottom w:val="none" w:sz="0" w:space="0" w:color="auto"/>
        <w:right w:val="none" w:sz="0" w:space="0" w:color="auto"/>
      </w:divBdr>
    </w:div>
    <w:div w:id="753867129">
      <w:bodyDiv w:val="1"/>
      <w:marLeft w:val="0"/>
      <w:marRight w:val="0"/>
      <w:marTop w:val="0"/>
      <w:marBottom w:val="0"/>
      <w:divBdr>
        <w:top w:val="none" w:sz="0" w:space="0" w:color="auto"/>
        <w:left w:val="none" w:sz="0" w:space="0" w:color="auto"/>
        <w:bottom w:val="none" w:sz="0" w:space="0" w:color="auto"/>
        <w:right w:val="none" w:sz="0" w:space="0" w:color="auto"/>
      </w:divBdr>
      <w:divsChild>
        <w:div w:id="2140220941">
          <w:marLeft w:val="0"/>
          <w:marRight w:val="0"/>
          <w:marTop w:val="0"/>
          <w:marBottom w:val="150"/>
          <w:divBdr>
            <w:top w:val="none" w:sz="0" w:space="0" w:color="auto"/>
            <w:left w:val="none" w:sz="0" w:space="0" w:color="auto"/>
            <w:bottom w:val="none" w:sz="0" w:space="0" w:color="auto"/>
            <w:right w:val="none" w:sz="0" w:space="0" w:color="auto"/>
          </w:divBdr>
        </w:div>
      </w:divsChild>
    </w:div>
    <w:div w:id="754205598">
      <w:bodyDiv w:val="1"/>
      <w:marLeft w:val="0"/>
      <w:marRight w:val="0"/>
      <w:marTop w:val="0"/>
      <w:marBottom w:val="0"/>
      <w:divBdr>
        <w:top w:val="none" w:sz="0" w:space="0" w:color="auto"/>
        <w:left w:val="none" w:sz="0" w:space="0" w:color="auto"/>
        <w:bottom w:val="none" w:sz="0" w:space="0" w:color="auto"/>
        <w:right w:val="none" w:sz="0" w:space="0" w:color="auto"/>
      </w:divBdr>
    </w:div>
    <w:div w:id="754328079">
      <w:bodyDiv w:val="1"/>
      <w:marLeft w:val="0"/>
      <w:marRight w:val="0"/>
      <w:marTop w:val="0"/>
      <w:marBottom w:val="0"/>
      <w:divBdr>
        <w:top w:val="none" w:sz="0" w:space="0" w:color="auto"/>
        <w:left w:val="none" w:sz="0" w:space="0" w:color="auto"/>
        <w:bottom w:val="none" w:sz="0" w:space="0" w:color="auto"/>
        <w:right w:val="none" w:sz="0" w:space="0" w:color="auto"/>
      </w:divBdr>
      <w:divsChild>
        <w:div w:id="1233732844">
          <w:marLeft w:val="0"/>
          <w:marRight w:val="0"/>
          <w:marTop w:val="0"/>
          <w:marBottom w:val="0"/>
          <w:divBdr>
            <w:top w:val="none" w:sz="0" w:space="0" w:color="auto"/>
            <w:left w:val="none" w:sz="0" w:space="0" w:color="auto"/>
            <w:bottom w:val="dotted" w:sz="6" w:space="4" w:color="DDDDDD"/>
            <w:right w:val="none" w:sz="0" w:space="0" w:color="auto"/>
          </w:divBdr>
        </w:div>
      </w:divsChild>
    </w:div>
    <w:div w:id="754866417">
      <w:bodyDiv w:val="1"/>
      <w:marLeft w:val="0"/>
      <w:marRight w:val="0"/>
      <w:marTop w:val="0"/>
      <w:marBottom w:val="0"/>
      <w:divBdr>
        <w:top w:val="none" w:sz="0" w:space="0" w:color="auto"/>
        <w:left w:val="none" w:sz="0" w:space="0" w:color="auto"/>
        <w:bottom w:val="none" w:sz="0" w:space="0" w:color="auto"/>
        <w:right w:val="none" w:sz="0" w:space="0" w:color="auto"/>
      </w:divBdr>
      <w:divsChild>
        <w:div w:id="931084700">
          <w:marLeft w:val="0"/>
          <w:marRight w:val="0"/>
          <w:marTop w:val="0"/>
          <w:marBottom w:val="0"/>
          <w:divBdr>
            <w:top w:val="none" w:sz="0" w:space="0" w:color="auto"/>
            <w:left w:val="none" w:sz="0" w:space="0" w:color="auto"/>
            <w:bottom w:val="none" w:sz="0" w:space="0" w:color="auto"/>
            <w:right w:val="none" w:sz="0" w:space="0" w:color="auto"/>
          </w:divBdr>
          <w:divsChild>
            <w:div w:id="1727098852">
              <w:marLeft w:val="0"/>
              <w:marRight w:val="0"/>
              <w:marTop w:val="0"/>
              <w:marBottom w:val="0"/>
              <w:divBdr>
                <w:top w:val="none" w:sz="0" w:space="0" w:color="auto"/>
                <w:left w:val="none" w:sz="0" w:space="0" w:color="auto"/>
                <w:bottom w:val="none" w:sz="0" w:space="0" w:color="auto"/>
                <w:right w:val="none" w:sz="0" w:space="0" w:color="auto"/>
              </w:divBdr>
              <w:divsChild>
                <w:div w:id="456024961">
                  <w:marLeft w:val="0"/>
                  <w:marRight w:val="0"/>
                  <w:marTop w:val="0"/>
                  <w:marBottom w:val="0"/>
                  <w:divBdr>
                    <w:top w:val="none" w:sz="0" w:space="0" w:color="auto"/>
                    <w:left w:val="none" w:sz="0" w:space="0" w:color="auto"/>
                    <w:bottom w:val="none" w:sz="0" w:space="0" w:color="auto"/>
                    <w:right w:val="none" w:sz="0" w:space="0" w:color="auto"/>
                  </w:divBdr>
                  <w:divsChild>
                    <w:div w:id="2129623966">
                      <w:marLeft w:val="0"/>
                      <w:marRight w:val="0"/>
                      <w:marTop w:val="0"/>
                      <w:marBottom w:val="0"/>
                      <w:divBdr>
                        <w:top w:val="none" w:sz="0" w:space="0" w:color="auto"/>
                        <w:left w:val="none" w:sz="0" w:space="0" w:color="auto"/>
                        <w:bottom w:val="none" w:sz="0" w:space="0" w:color="auto"/>
                        <w:right w:val="none" w:sz="0" w:space="0" w:color="auto"/>
                      </w:divBdr>
                      <w:divsChild>
                        <w:div w:id="168909463">
                          <w:marLeft w:val="0"/>
                          <w:marRight w:val="0"/>
                          <w:marTop w:val="0"/>
                          <w:marBottom w:val="0"/>
                          <w:divBdr>
                            <w:top w:val="none" w:sz="0" w:space="0" w:color="auto"/>
                            <w:left w:val="none" w:sz="0" w:space="0" w:color="auto"/>
                            <w:bottom w:val="none" w:sz="0" w:space="0" w:color="auto"/>
                            <w:right w:val="none" w:sz="0" w:space="0" w:color="auto"/>
                          </w:divBdr>
                          <w:divsChild>
                            <w:div w:id="1097094634">
                              <w:marLeft w:val="0"/>
                              <w:marRight w:val="0"/>
                              <w:marTop w:val="0"/>
                              <w:marBottom w:val="0"/>
                              <w:divBdr>
                                <w:top w:val="none" w:sz="0" w:space="0" w:color="auto"/>
                                <w:left w:val="none" w:sz="0" w:space="0" w:color="auto"/>
                                <w:bottom w:val="none" w:sz="0" w:space="0" w:color="auto"/>
                                <w:right w:val="none" w:sz="0" w:space="0" w:color="auto"/>
                              </w:divBdr>
                              <w:divsChild>
                                <w:div w:id="1969118299">
                                  <w:marLeft w:val="0"/>
                                  <w:marRight w:val="0"/>
                                  <w:marTop w:val="0"/>
                                  <w:marBottom w:val="0"/>
                                  <w:divBdr>
                                    <w:top w:val="none" w:sz="0" w:space="0" w:color="auto"/>
                                    <w:left w:val="none" w:sz="0" w:space="0" w:color="auto"/>
                                    <w:bottom w:val="none" w:sz="0" w:space="0" w:color="auto"/>
                                    <w:right w:val="none" w:sz="0" w:space="0" w:color="auto"/>
                                  </w:divBdr>
                                  <w:divsChild>
                                    <w:div w:id="148223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517953">
      <w:bodyDiv w:val="1"/>
      <w:marLeft w:val="0"/>
      <w:marRight w:val="0"/>
      <w:marTop w:val="0"/>
      <w:marBottom w:val="0"/>
      <w:divBdr>
        <w:top w:val="none" w:sz="0" w:space="0" w:color="auto"/>
        <w:left w:val="none" w:sz="0" w:space="0" w:color="auto"/>
        <w:bottom w:val="none" w:sz="0" w:space="0" w:color="auto"/>
        <w:right w:val="none" w:sz="0" w:space="0" w:color="auto"/>
      </w:divBdr>
    </w:div>
    <w:div w:id="755630566">
      <w:bodyDiv w:val="1"/>
      <w:marLeft w:val="0"/>
      <w:marRight w:val="0"/>
      <w:marTop w:val="0"/>
      <w:marBottom w:val="0"/>
      <w:divBdr>
        <w:top w:val="none" w:sz="0" w:space="0" w:color="auto"/>
        <w:left w:val="none" w:sz="0" w:space="0" w:color="auto"/>
        <w:bottom w:val="none" w:sz="0" w:space="0" w:color="auto"/>
        <w:right w:val="none" w:sz="0" w:space="0" w:color="auto"/>
      </w:divBdr>
      <w:divsChild>
        <w:div w:id="277369513">
          <w:marLeft w:val="0"/>
          <w:marRight w:val="0"/>
          <w:marTop w:val="0"/>
          <w:marBottom w:val="0"/>
          <w:divBdr>
            <w:top w:val="none" w:sz="0" w:space="0" w:color="auto"/>
            <w:left w:val="none" w:sz="0" w:space="0" w:color="auto"/>
            <w:bottom w:val="none" w:sz="0" w:space="0" w:color="auto"/>
            <w:right w:val="none" w:sz="0" w:space="0" w:color="auto"/>
          </w:divBdr>
          <w:divsChild>
            <w:div w:id="14608738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56439752">
      <w:bodyDiv w:val="1"/>
      <w:marLeft w:val="0"/>
      <w:marRight w:val="0"/>
      <w:marTop w:val="0"/>
      <w:marBottom w:val="0"/>
      <w:divBdr>
        <w:top w:val="none" w:sz="0" w:space="0" w:color="auto"/>
        <w:left w:val="none" w:sz="0" w:space="0" w:color="auto"/>
        <w:bottom w:val="none" w:sz="0" w:space="0" w:color="auto"/>
        <w:right w:val="none" w:sz="0" w:space="0" w:color="auto"/>
      </w:divBdr>
      <w:divsChild>
        <w:div w:id="243806517">
          <w:marLeft w:val="0"/>
          <w:marRight w:val="0"/>
          <w:marTop w:val="150"/>
          <w:marBottom w:val="0"/>
          <w:divBdr>
            <w:top w:val="none" w:sz="0" w:space="0" w:color="auto"/>
            <w:left w:val="none" w:sz="0" w:space="0" w:color="auto"/>
            <w:bottom w:val="none" w:sz="0" w:space="0" w:color="auto"/>
            <w:right w:val="none" w:sz="0" w:space="0" w:color="auto"/>
          </w:divBdr>
          <w:divsChild>
            <w:div w:id="640231791">
              <w:marLeft w:val="0"/>
              <w:marRight w:val="0"/>
              <w:marTop w:val="0"/>
              <w:marBottom w:val="0"/>
              <w:divBdr>
                <w:top w:val="none" w:sz="0" w:space="0" w:color="auto"/>
                <w:left w:val="none" w:sz="0" w:space="0" w:color="auto"/>
                <w:bottom w:val="single" w:sz="6" w:space="0" w:color="EFEFEF"/>
                <w:right w:val="none" w:sz="0" w:space="0" w:color="auto"/>
              </w:divBdr>
              <w:divsChild>
                <w:div w:id="570888247">
                  <w:marLeft w:val="0"/>
                  <w:marRight w:val="0"/>
                  <w:marTop w:val="0"/>
                  <w:marBottom w:val="0"/>
                  <w:divBdr>
                    <w:top w:val="none" w:sz="0" w:space="0" w:color="auto"/>
                    <w:left w:val="none" w:sz="0" w:space="0" w:color="auto"/>
                    <w:bottom w:val="none" w:sz="0" w:space="0" w:color="auto"/>
                    <w:right w:val="none" w:sz="0" w:space="0" w:color="auto"/>
                  </w:divBdr>
                </w:div>
                <w:div w:id="121596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96231">
          <w:marLeft w:val="0"/>
          <w:marRight w:val="0"/>
          <w:marTop w:val="300"/>
          <w:marBottom w:val="0"/>
          <w:divBdr>
            <w:top w:val="none" w:sz="0" w:space="0" w:color="auto"/>
            <w:left w:val="none" w:sz="0" w:space="0" w:color="auto"/>
            <w:bottom w:val="none" w:sz="0" w:space="0" w:color="auto"/>
            <w:right w:val="none" w:sz="0" w:space="0" w:color="auto"/>
          </w:divBdr>
          <w:divsChild>
            <w:div w:id="97793448">
              <w:marLeft w:val="-1350"/>
              <w:marRight w:val="0"/>
              <w:marTop w:val="0"/>
              <w:marBottom w:val="0"/>
              <w:divBdr>
                <w:top w:val="none" w:sz="0" w:space="0" w:color="auto"/>
                <w:left w:val="none" w:sz="0" w:space="0" w:color="auto"/>
                <w:bottom w:val="none" w:sz="0" w:space="0" w:color="auto"/>
                <w:right w:val="none" w:sz="0" w:space="0" w:color="auto"/>
              </w:divBdr>
              <w:divsChild>
                <w:div w:id="518929289">
                  <w:marLeft w:val="0"/>
                  <w:marRight w:val="0"/>
                  <w:marTop w:val="0"/>
                  <w:marBottom w:val="0"/>
                  <w:divBdr>
                    <w:top w:val="none" w:sz="0" w:space="0" w:color="auto"/>
                    <w:left w:val="none" w:sz="0" w:space="0" w:color="auto"/>
                    <w:bottom w:val="none" w:sz="0" w:space="0" w:color="auto"/>
                    <w:right w:val="none" w:sz="0" w:space="0" w:color="auto"/>
                  </w:divBdr>
                  <w:divsChild>
                    <w:div w:id="1503930231">
                      <w:marLeft w:val="0"/>
                      <w:marRight w:val="0"/>
                      <w:marTop w:val="0"/>
                      <w:marBottom w:val="0"/>
                      <w:divBdr>
                        <w:top w:val="none" w:sz="0" w:space="0" w:color="auto"/>
                        <w:left w:val="none" w:sz="0" w:space="0" w:color="auto"/>
                        <w:bottom w:val="none" w:sz="0" w:space="0" w:color="auto"/>
                        <w:right w:val="none" w:sz="0" w:space="0" w:color="auto"/>
                      </w:divBdr>
                      <w:divsChild>
                        <w:div w:id="884222608">
                          <w:marLeft w:val="0"/>
                          <w:marRight w:val="0"/>
                          <w:marTop w:val="0"/>
                          <w:marBottom w:val="0"/>
                          <w:divBdr>
                            <w:top w:val="single" w:sz="6" w:space="0" w:color="C7C7C7"/>
                            <w:left w:val="single" w:sz="6" w:space="0" w:color="C7C7C7"/>
                            <w:bottom w:val="single" w:sz="6" w:space="0" w:color="C7C7C7"/>
                            <w:right w:val="single" w:sz="6" w:space="0" w:color="C7C7C7"/>
                          </w:divBdr>
                          <w:divsChild>
                            <w:div w:id="74477731">
                              <w:marLeft w:val="0"/>
                              <w:marRight w:val="0"/>
                              <w:marTop w:val="100"/>
                              <w:marBottom w:val="100"/>
                              <w:divBdr>
                                <w:top w:val="none" w:sz="0" w:space="11" w:color="auto"/>
                                <w:left w:val="none" w:sz="0" w:space="0" w:color="auto"/>
                                <w:bottom w:val="single" w:sz="6" w:space="11" w:color="C7C7C7"/>
                                <w:right w:val="none" w:sz="0" w:space="0" w:color="auto"/>
                              </w:divBdr>
                            </w:div>
                            <w:div w:id="697197369">
                              <w:marLeft w:val="0"/>
                              <w:marRight w:val="0"/>
                              <w:marTop w:val="100"/>
                              <w:marBottom w:val="100"/>
                              <w:divBdr>
                                <w:top w:val="none" w:sz="0" w:space="0" w:color="auto"/>
                                <w:left w:val="none" w:sz="0" w:space="0" w:color="auto"/>
                                <w:bottom w:val="none" w:sz="0" w:space="0" w:color="auto"/>
                                <w:right w:val="none" w:sz="0" w:space="0" w:color="auto"/>
                              </w:divBdr>
                            </w:div>
                            <w:div w:id="1199395219">
                              <w:marLeft w:val="0"/>
                              <w:marRight w:val="0"/>
                              <w:marTop w:val="100"/>
                              <w:marBottom w:val="100"/>
                              <w:divBdr>
                                <w:top w:val="none" w:sz="0" w:space="11" w:color="auto"/>
                                <w:left w:val="none" w:sz="0" w:space="0" w:color="auto"/>
                                <w:bottom w:val="single" w:sz="6" w:space="11" w:color="C7C7C7"/>
                                <w:right w:val="none" w:sz="0" w:space="0" w:color="auto"/>
                              </w:divBdr>
                            </w:div>
                            <w:div w:id="129749467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603608667">
              <w:marLeft w:val="0"/>
              <w:marRight w:val="0"/>
              <w:marTop w:val="0"/>
              <w:marBottom w:val="0"/>
              <w:divBdr>
                <w:top w:val="none" w:sz="0" w:space="0" w:color="auto"/>
                <w:left w:val="none" w:sz="0" w:space="0" w:color="auto"/>
                <w:bottom w:val="none" w:sz="0" w:space="0" w:color="auto"/>
                <w:right w:val="none" w:sz="0" w:space="0" w:color="auto"/>
              </w:divBdr>
              <w:divsChild>
                <w:div w:id="1463692636">
                  <w:marLeft w:val="0"/>
                  <w:marRight w:val="0"/>
                  <w:marTop w:val="150"/>
                  <w:marBottom w:val="0"/>
                  <w:divBdr>
                    <w:top w:val="none" w:sz="0" w:space="0" w:color="auto"/>
                    <w:left w:val="none" w:sz="0" w:space="0" w:color="auto"/>
                    <w:bottom w:val="none" w:sz="0" w:space="0" w:color="auto"/>
                    <w:right w:val="none" w:sz="0" w:space="0" w:color="auto"/>
                  </w:divBdr>
                  <w:divsChild>
                    <w:div w:id="1032264885">
                      <w:marLeft w:val="0"/>
                      <w:marRight w:val="0"/>
                      <w:marTop w:val="0"/>
                      <w:marBottom w:val="0"/>
                      <w:divBdr>
                        <w:top w:val="none" w:sz="0" w:space="0" w:color="auto"/>
                        <w:left w:val="none" w:sz="0" w:space="0" w:color="auto"/>
                        <w:bottom w:val="none" w:sz="0" w:space="0" w:color="auto"/>
                        <w:right w:val="none" w:sz="0" w:space="0" w:color="auto"/>
                      </w:divBdr>
                      <w:divsChild>
                        <w:div w:id="47460626">
                          <w:marLeft w:val="0"/>
                          <w:marRight w:val="0"/>
                          <w:marTop w:val="0"/>
                          <w:marBottom w:val="0"/>
                          <w:divBdr>
                            <w:top w:val="none" w:sz="0" w:space="0" w:color="auto"/>
                            <w:left w:val="none" w:sz="0" w:space="0" w:color="auto"/>
                            <w:bottom w:val="none" w:sz="0" w:space="0" w:color="auto"/>
                            <w:right w:val="none" w:sz="0" w:space="0" w:color="auto"/>
                          </w:divBdr>
                        </w:div>
                        <w:div w:id="62069707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63005805">
                  <w:marLeft w:val="0"/>
                  <w:marRight w:val="0"/>
                  <w:marTop w:val="0"/>
                  <w:marBottom w:val="0"/>
                  <w:divBdr>
                    <w:top w:val="none" w:sz="0" w:space="0" w:color="auto"/>
                    <w:left w:val="none" w:sz="0" w:space="0" w:color="auto"/>
                    <w:bottom w:val="none" w:sz="0" w:space="0" w:color="auto"/>
                    <w:right w:val="none" w:sz="0" w:space="0" w:color="auto"/>
                  </w:divBdr>
                  <w:divsChild>
                    <w:div w:id="84679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824478">
      <w:bodyDiv w:val="1"/>
      <w:marLeft w:val="0"/>
      <w:marRight w:val="0"/>
      <w:marTop w:val="0"/>
      <w:marBottom w:val="0"/>
      <w:divBdr>
        <w:top w:val="none" w:sz="0" w:space="0" w:color="auto"/>
        <w:left w:val="none" w:sz="0" w:space="0" w:color="auto"/>
        <w:bottom w:val="none" w:sz="0" w:space="0" w:color="auto"/>
        <w:right w:val="none" w:sz="0" w:space="0" w:color="auto"/>
      </w:divBdr>
      <w:divsChild>
        <w:div w:id="1045059534">
          <w:marLeft w:val="0"/>
          <w:marRight w:val="0"/>
          <w:marTop w:val="0"/>
          <w:marBottom w:val="450"/>
          <w:divBdr>
            <w:top w:val="none" w:sz="0" w:space="0" w:color="auto"/>
            <w:left w:val="none" w:sz="0" w:space="0" w:color="auto"/>
            <w:bottom w:val="single" w:sz="6" w:space="19" w:color="EEEEEE"/>
            <w:right w:val="none" w:sz="0" w:space="0" w:color="auto"/>
          </w:divBdr>
          <w:divsChild>
            <w:div w:id="455415269">
              <w:marLeft w:val="0"/>
              <w:marRight w:val="0"/>
              <w:marTop w:val="0"/>
              <w:marBottom w:val="150"/>
              <w:divBdr>
                <w:top w:val="none" w:sz="0" w:space="0" w:color="auto"/>
                <w:left w:val="none" w:sz="0" w:space="0" w:color="auto"/>
                <w:bottom w:val="none" w:sz="0" w:space="0" w:color="auto"/>
                <w:right w:val="none" w:sz="0" w:space="0" w:color="auto"/>
              </w:divBdr>
              <w:divsChild>
                <w:div w:id="1553152532">
                  <w:marLeft w:val="0"/>
                  <w:marRight w:val="0"/>
                  <w:marTop w:val="0"/>
                  <w:marBottom w:val="0"/>
                  <w:divBdr>
                    <w:top w:val="none" w:sz="0" w:space="0" w:color="auto"/>
                    <w:left w:val="none" w:sz="0" w:space="0" w:color="auto"/>
                    <w:bottom w:val="none" w:sz="0" w:space="0" w:color="auto"/>
                    <w:right w:val="none" w:sz="0" w:space="0" w:color="auto"/>
                  </w:divBdr>
                </w:div>
              </w:divsChild>
            </w:div>
            <w:div w:id="306128019">
              <w:marLeft w:val="0"/>
              <w:marRight w:val="0"/>
              <w:marTop w:val="0"/>
              <w:marBottom w:val="0"/>
              <w:divBdr>
                <w:top w:val="none" w:sz="0" w:space="0" w:color="auto"/>
                <w:left w:val="none" w:sz="0" w:space="0" w:color="auto"/>
                <w:bottom w:val="none" w:sz="0" w:space="0" w:color="auto"/>
                <w:right w:val="none" w:sz="0" w:space="0" w:color="auto"/>
              </w:divBdr>
            </w:div>
          </w:divsChild>
        </w:div>
        <w:div w:id="896356789">
          <w:marLeft w:val="0"/>
          <w:marRight w:val="0"/>
          <w:marTop w:val="0"/>
          <w:marBottom w:val="0"/>
          <w:divBdr>
            <w:top w:val="none" w:sz="0" w:space="0" w:color="auto"/>
            <w:left w:val="none" w:sz="0" w:space="0" w:color="auto"/>
            <w:bottom w:val="none" w:sz="0" w:space="0" w:color="auto"/>
            <w:right w:val="none" w:sz="0" w:space="0" w:color="auto"/>
          </w:divBdr>
          <w:divsChild>
            <w:div w:id="182474069">
              <w:marLeft w:val="0"/>
              <w:marRight w:val="0"/>
              <w:marTop w:val="0"/>
              <w:marBottom w:val="0"/>
              <w:divBdr>
                <w:top w:val="none" w:sz="0" w:space="0" w:color="auto"/>
                <w:left w:val="none" w:sz="0" w:space="0" w:color="auto"/>
                <w:bottom w:val="none" w:sz="0" w:space="0" w:color="auto"/>
                <w:right w:val="none" w:sz="0" w:space="0" w:color="auto"/>
              </w:divBdr>
              <w:divsChild>
                <w:div w:id="182939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218287">
      <w:bodyDiv w:val="1"/>
      <w:marLeft w:val="0"/>
      <w:marRight w:val="0"/>
      <w:marTop w:val="0"/>
      <w:marBottom w:val="0"/>
      <w:divBdr>
        <w:top w:val="none" w:sz="0" w:space="0" w:color="auto"/>
        <w:left w:val="none" w:sz="0" w:space="0" w:color="auto"/>
        <w:bottom w:val="none" w:sz="0" w:space="0" w:color="auto"/>
        <w:right w:val="none" w:sz="0" w:space="0" w:color="auto"/>
      </w:divBdr>
      <w:divsChild>
        <w:div w:id="257950338">
          <w:marLeft w:val="0"/>
          <w:marRight w:val="0"/>
          <w:marTop w:val="0"/>
          <w:marBottom w:val="0"/>
          <w:divBdr>
            <w:top w:val="none" w:sz="0" w:space="0" w:color="auto"/>
            <w:left w:val="none" w:sz="0" w:space="0" w:color="auto"/>
            <w:bottom w:val="dotted" w:sz="6" w:space="4" w:color="DDDDDD"/>
            <w:right w:val="none" w:sz="0" w:space="0" w:color="auto"/>
          </w:divBdr>
        </w:div>
      </w:divsChild>
    </w:div>
    <w:div w:id="757288659">
      <w:bodyDiv w:val="1"/>
      <w:marLeft w:val="0"/>
      <w:marRight w:val="0"/>
      <w:marTop w:val="0"/>
      <w:marBottom w:val="0"/>
      <w:divBdr>
        <w:top w:val="none" w:sz="0" w:space="0" w:color="auto"/>
        <w:left w:val="none" w:sz="0" w:space="0" w:color="auto"/>
        <w:bottom w:val="none" w:sz="0" w:space="0" w:color="auto"/>
        <w:right w:val="none" w:sz="0" w:space="0" w:color="auto"/>
      </w:divBdr>
      <w:divsChild>
        <w:div w:id="2064987478">
          <w:marLeft w:val="0"/>
          <w:marRight w:val="0"/>
          <w:marTop w:val="0"/>
          <w:marBottom w:val="0"/>
          <w:divBdr>
            <w:top w:val="none" w:sz="0" w:space="0" w:color="auto"/>
            <w:left w:val="none" w:sz="0" w:space="0" w:color="auto"/>
            <w:bottom w:val="none" w:sz="0" w:space="0" w:color="auto"/>
            <w:right w:val="none" w:sz="0" w:space="0" w:color="auto"/>
          </w:divBdr>
        </w:div>
      </w:divsChild>
    </w:div>
    <w:div w:id="757599132">
      <w:bodyDiv w:val="1"/>
      <w:marLeft w:val="0"/>
      <w:marRight w:val="0"/>
      <w:marTop w:val="0"/>
      <w:marBottom w:val="0"/>
      <w:divBdr>
        <w:top w:val="none" w:sz="0" w:space="0" w:color="auto"/>
        <w:left w:val="none" w:sz="0" w:space="0" w:color="auto"/>
        <w:bottom w:val="none" w:sz="0" w:space="0" w:color="auto"/>
        <w:right w:val="none" w:sz="0" w:space="0" w:color="auto"/>
      </w:divBdr>
    </w:div>
    <w:div w:id="757797118">
      <w:bodyDiv w:val="1"/>
      <w:marLeft w:val="0"/>
      <w:marRight w:val="0"/>
      <w:marTop w:val="0"/>
      <w:marBottom w:val="0"/>
      <w:divBdr>
        <w:top w:val="none" w:sz="0" w:space="0" w:color="auto"/>
        <w:left w:val="none" w:sz="0" w:space="0" w:color="auto"/>
        <w:bottom w:val="none" w:sz="0" w:space="0" w:color="auto"/>
        <w:right w:val="none" w:sz="0" w:space="0" w:color="auto"/>
      </w:divBdr>
    </w:div>
    <w:div w:id="757868641">
      <w:bodyDiv w:val="1"/>
      <w:marLeft w:val="0"/>
      <w:marRight w:val="0"/>
      <w:marTop w:val="0"/>
      <w:marBottom w:val="0"/>
      <w:divBdr>
        <w:top w:val="none" w:sz="0" w:space="0" w:color="auto"/>
        <w:left w:val="none" w:sz="0" w:space="0" w:color="auto"/>
        <w:bottom w:val="none" w:sz="0" w:space="0" w:color="auto"/>
        <w:right w:val="none" w:sz="0" w:space="0" w:color="auto"/>
      </w:divBdr>
    </w:div>
    <w:div w:id="757946823">
      <w:bodyDiv w:val="1"/>
      <w:marLeft w:val="0"/>
      <w:marRight w:val="0"/>
      <w:marTop w:val="0"/>
      <w:marBottom w:val="0"/>
      <w:divBdr>
        <w:top w:val="none" w:sz="0" w:space="0" w:color="auto"/>
        <w:left w:val="none" w:sz="0" w:space="0" w:color="auto"/>
        <w:bottom w:val="none" w:sz="0" w:space="0" w:color="auto"/>
        <w:right w:val="none" w:sz="0" w:space="0" w:color="auto"/>
      </w:divBdr>
      <w:divsChild>
        <w:div w:id="986325502">
          <w:marLeft w:val="0"/>
          <w:marRight w:val="0"/>
          <w:marTop w:val="0"/>
          <w:marBottom w:val="300"/>
          <w:divBdr>
            <w:top w:val="none" w:sz="0" w:space="0" w:color="auto"/>
            <w:left w:val="none" w:sz="0" w:space="0" w:color="auto"/>
            <w:bottom w:val="none" w:sz="0" w:space="0" w:color="auto"/>
            <w:right w:val="none" w:sz="0" w:space="0" w:color="auto"/>
          </w:divBdr>
          <w:divsChild>
            <w:div w:id="887033308">
              <w:marLeft w:val="0"/>
              <w:marRight w:val="0"/>
              <w:marTop w:val="0"/>
              <w:marBottom w:val="0"/>
              <w:divBdr>
                <w:top w:val="none" w:sz="0" w:space="0" w:color="auto"/>
                <w:left w:val="none" w:sz="0" w:space="0" w:color="auto"/>
                <w:bottom w:val="none" w:sz="0" w:space="0" w:color="auto"/>
                <w:right w:val="none" w:sz="0" w:space="0" w:color="auto"/>
              </w:divBdr>
              <w:divsChild>
                <w:div w:id="131603613">
                  <w:marLeft w:val="0"/>
                  <w:marRight w:val="0"/>
                  <w:marTop w:val="0"/>
                  <w:marBottom w:val="0"/>
                  <w:divBdr>
                    <w:top w:val="none" w:sz="0" w:space="0" w:color="auto"/>
                    <w:left w:val="none" w:sz="0" w:space="0" w:color="auto"/>
                    <w:bottom w:val="none" w:sz="0" w:space="0" w:color="auto"/>
                    <w:right w:val="none" w:sz="0" w:space="0" w:color="auto"/>
                  </w:divBdr>
                  <w:divsChild>
                    <w:div w:id="1293244959">
                      <w:marLeft w:val="0"/>
                      <w:marRight w:val="0"/>
                      <w:marTop w:val="0"/>
                      <w:marBottom w:val="225"/>
                      <w:divBdr>
                        <w:top w:val="none" w:sz="0" w:space="0" w:color="2D2D2D"/>
                        <w:left w:val="none" w:sz="0" w:space="0" w:color="2D2D2D"/>
                        <w:bottom w:val="none" w:sz="0" w:space="0" w:color="2D2D2D"/>
                        <w:right w:val="none" w:sz="0" w:space="0" w:color="2D2D2D"/>
                      </w:divBdr>
                      <w:divsChild>
                        <w:div w:id="115686311">
                          <w:marLeft w:val="0"/>
                          <w:marRight w:val="0"/>
                          <w:marTop w:val="0"/>
                          <w:marBottom w:val="0"/>
                          <w:divBdr>
                            <w:top w:val="none" w:sz="0" w:space="0" w:color="auto"/>
                            <w:left w:val="none" w:sz="0" w:space="0" w:color="auto"/>
                            <w:bottom w:val="none" w:sz="0" w:space="0" w:color="auto"/>
                            <w:right w:val="none" w:sz="0" w:space="0" w:color="auto"/>
                          </w:divBdr>
                        </w:div>
                        <w:div w:id="441611579">
                          <w:marLeft w:val="0"/>
                          <w:marRight w:val="0"/>
                          <w:marTop w:val="0"/>
                          <w:marBottom w:val="0"/>
                          <w:divBdr>
                            <w:top w:val="none" w:sz="0" w:space="0" w:color="auto"/>
                            <w:left w:val="none" w:sz="0" w:space="0" w:color="auto"/>
                            <w:bottom w:val="none" w:sz="0" w:space="0" w:color="auto"/>
                            <w:right w:val="none" w:sz="0" w:space="0" w:color="auto"/>
                          </w:divBdr>
                          <w:divsChild>
                            <w:div w:id="522329561">
                              <w:marLeft w:val="0"/>
                              <w:marRight w:val="0"/>
                              <w:marTop w:val="0"/>
                              <w:marBottom w:val="0"/>
                              <w:divBdr>
                                <w:top w:val="none" w:sz="0" w:space="0" w:color="auto"/>
                                <w:left w:val="none" w:sz="0" w:space="0" w:color="auto"/>
                                <w:bottom w:val="none" w:sz="0" w:space="0" w:color="auto"/>
                                <w:right w:val="none" w:sz="0" w:space="0" w:color="auto"/>
                              </w:divBdr>
                              <w:divsChild>
                                <w:div w:id="1147093234">
                                  <w:marLeft w:val="0"/>
                                  <w:marRight w:val="0"/>
                                  <w:marTop w:val="0"/>
                                  <w:marBottom w:val="0"/>
                                  <w:divBdr>
                                    <w:top w:val="none" w:sz="0" w:space="0" w:color="auto"/>
                                    <w:left w:val="none" w:sz="0" w:space="0" w:color="auto"/>
                                    <w:bottom w:val="none" w:sz="0" w:space="0" w:color="auto"/>
                                    <w:right w:val="none" w:sz="0" w:space="0" w:color="auto"/>
                                  </w:divBdr>
                                </w:div>
                              </w:divsChild>
                            </w:div>
                            <w:div w:id="1304503337">
                              <w:marLeft w:val="0"/>
                              <w:marRight w:val="0"/>
                              <w:marTop w:val="0"/>
                              <w:marBottom w:val="0"/>
                              <w:divBdr>
                                <w:top w:val="none" w:sz="0" w:space="0" w:color="auto"/>
                                <w:left w:val="none" w:sz="0" w:space="0" w:color="auto"/>
                                <w:bottom w:val="none" w:sz="0" w:space="0" w:color="auto"/>
                                <w:right w:val="none" w:sz="0" w:space="0" w:color="auto"/>
                              </w:divBdr>
                            </w:div>
                          </w:divsChild>
                        </w:div>
                        <w:div w:id="659240235">
                          <w:marLeft w:val="0"/>
                          <w:marRight w:val="0"/>
                          <w:marTop w:val="0"/>
                          <w:marBottom w:val="0"/>
                          <w:divBdr>
                            <w:top w:val="none" w:sz="0" w:space="0" w:color="auto"/>
                            <w:left w:val="none" w:sz="0" w:space="0" w:color="auto"/>
                            <w:bottom w:val="none" w:sz="0" w:space="0" w:color="auto"/>
                            <w:right w:val="none" w:sz="0" w:space="0" w:color="auto"/>
                          </w:divBdr>
                        </w:div>
                        <w:div w:id="1000036689">
                          <w:marLeft w:val="0"/>
                          <w:marRight w:val="0"/>
                          <w:marTop w:val="0"/>
                          <w:marBottom w:val="0"/>
                          <w:divBdr>
                            <w:top w:val="none" w:sz="0" w:space="0" w:color="auto"/>
                            <w:left w:val="none" w:sz="0" w:space="0" w:color="auto"/>
                            <w:bottom w:val="none" w:sz="0" w:space="0" w:color="auto"/>
                            <w:right w:val="none" w:sz="0" w:space="0" w:color="auto"/>
                          </w:divBdr>
                          <w:divsChild>
                            <w:div w:id="1561358522">
                              <w:marLeft w:val="0"/>
                              <w:marRight w:val="0"/>
                              <w:marTop w:val="0"/>
                              <w:marBottom w:val="0"/>
                              <w:divBdr>
                                <w:top w:val="none" w:sz="0" w:space="0" w:color="auto"/>
                                <w:left w:val="none" w:sz="0" w:space="0" w:color="auto"/>
                                <w:bottom w:val="none" w:sz="0" w:space="0" w:color="auto"/>
                                <w:right w:val="none" w:sz="0" w:space="0" w:color="auto"/>
                              </w:divBdr>
                            </w:div>
                          </w:divsChild>
                        </w:div>
                        <w:div w:id="1290167910">
                          <w:marLeft w:val="0"/>
                          <w:marRight w:val="0"/>
                          <w:marTop w:val="0"/>
                          <w:marBottom w:val="0"/>
                          <w:divBdr>
                            <w:top w:val="single" w:sz="6" w:space="4" w:color="EEEEEE"/>
                            <w:left w:val="single" w:sz="6" w:space="8" w:color="EEEEEE"/>
                            <w:bottom w:val="none" w:sz="0" w:space="0" w:color="auto"/>
                            <w:right w:val="single" w:sz="6" w:space="8" w:color="EEEEEE"/>
                          </w:divBdr>
                        </w:div>
                        <w:div w:id="1741709261">
                          <w:marLeft w:val="0"/>
                          <w:marRight w:val="0"/>
                          <w:marTop w:val="0"/>
                          <w:marBottom w:val="0"/>
                          <w:divBdr>
                            <w:top w:val="none" w:sz="0" w:space="0" w:color="auto"/>
                            <w:left w:val="none" w:sz="0" w:space="0" w:color="auto"/>
                            <w:bottom w:val="none" w:sz="0" w:space="0" w:color="auto"/>
                            <w:right w:val="none" w:sz="0" w:space="0" w:color="auto"/>
                          </w:divBdr>
                          <w:divsChild>
                            <w:div w:id="1641764412">
                              <w:marLeft w:val="0"/>
                              <w:marRight w:val="0"/>
                              <w:marTop w:val="75"/>
                              <w:marBottom w:val="0"/>
                              <w:divBdr>
                                <w:top w:val="none" w:sz="0" w:space="0" w:color="auto"/>
                                <w:left w:val="none" w:sz="0" w:space="0" w:color="auto"/>
                                <w:bottom w:val="none" w:sz="0" w:space="0" w:color="auto"/>
                                <w:right w:val="none" w:sz="0" w:space="0" w:color="auto"/>
                              </w:divBdr>
                            </w:div>
                            <w:div w:id="1813716540">
                              <w:marLeft w:val="0"/>
                              <w:marRight w:val="0"/>
                              <w:marTop w:val="0"/>
                              <w:marBottom w:val="0"/>
                              <w:divBdr>
                                <w:top w:val="none" w:sz="0" w:space="0" w:color="auto"/>
                                <w:left w:val="none" w:sz="0" w:space="0" w:color="auto"/>
                                <w:bottom w:val="none" w:sz="0" w:space="0" w:color="auto"/>
                                <w:right w:val="none" w:sz="0" w:space="0" w:color="auto"/>
                              </w:divBdr>
                            </w:div>
                          </w:divsChild>
                        </w:div>
                        <w:div w:id="1775396206">
                          <w:marLeft w:val="0"/>
                          <w:marRight w:val="0"/>
                          <w:marTop w:val="0"/>
                          <w:marBottom w:val="300"/>
                          <w:divBdr>
                            <w:top w:val="none" w:sz="0" w:space="0" w:color="auto"/>
                            <w:left w:val="none" w:sz="0" w:space="0" w:color="auto"/>
                            <w:bottom w:val="none" w:sz="0" w:space="0" w:color="auto"/>
                            <w:right w:val="none" w:sz="0" w:space="0" w:color="auto"/>
                          </w:divBdr>
                          <w:divsChild>
                            <w:div w:id="64037212">
                              <w:marLeft w:val="0"/>
                              <w:marRight w:val="0"/>
                              <w:marTop w:val="0"/>
                              <w:marBottom w:val="0"/>
                              <w:divBdr>
                                <w:top w:val="none" w:sz="0" w:space="0" w:color="auto"/>
                                <w:left w:val="none" w:sz="0" w:space="0" w:color="auto"/>
                                <w:bottom w:val="none" w:sz="0" w:space="0" w:color="auto"/>
                                <w:right w:val="none" w:sz="0" w:space="0" w:color="auto"/>
                              </w:divBdr>
                              <w:divsChild>
                                <w:div w:id="744884828">
                                  <w:marLeft w:val="0"/>
                                  <w:marRight w:val="0"/>
                                  <w:marTop w:val="0"/>
                                  <w:marBottom w:val="0"/>
                                  <w:divBdr>
                                    <w:top w:val="none" w:sz="0" w:space="0" w:color="auto"/>
                                    <w:left w:val="none" w:sz="0" w:space="0" w:color="auto"/>
                                    <w:bottom w:val="none" w:sz="0" w:space="0" w:color="auto"/>
                                    <w:right w:val="none" w:sz="0" w:space="0" w:color="auto"/>
                                  </w:divBdr>
                                  <w:divsChild>
                                    <w:div w:id="281503072">
                                      <w:marLeft w:val="0"/>
                                      <w:marRight w:val="0"/>
                                      <w:marTop w:val="0"/>
                                      <w:marBottom w:val="0"/>
                                      <w:divBdr>
                                        <w:top w:val="none" w:sz="0" w:space="0" w:color="auto"/>
                                        <w:left w:val="none" w:sz="0" w:space="0" w:color="auto"/>
                                        <w:bottom w:val="none" w:sz="0" w:space="0" w:color="auto"/>
                                        <w:right w:val="none" w:sz="0" w:space="0" w:color="auto"/>
                                      </w:divBdr>
                                      <w:divsChild>
                                        <w:div w:id="670379278">
                                          <w:marLeft w:val="0"/>
                                          <w:marRight w:val="0"/>
                                          <w:marTop w:val="0"/>
                                          <w:marBottom w:val="0"/>
                                          <w:divBdr>
                                            <w:top w:val="single" w:sz="6" w:space="0" w:color="CCCCCC"/>
                                            <w:left w:val="single" w:sz="6" w:space="0" w:color="CCCCCC"/>
                                            <w:bottom w:val="single" w:sz="6" w:space="0" w:color="CCCCCC"/>
                                            <w:right w:val="single" w:sz="6" w:space="0" w:color="CCCCCC"/>
                                          </w:divBdr>
                                          <w:divsChild>
                                            <w:div w:id="1080178983">
                                              <w:marLeft w:val="0"/>
                                              <w:marRight w:val="0"/>
                                              <w:marTop w:val="0"/>
                                              <w:marBottom w:val="0"/>
                                              <w:divBdr>
                                                <w:top w:val="none" w:sz="0" w:space="0" w:color="auto"/>
                                                <w:left w:val="none" w:sz="0" w:space="0" w:color="auto"/>
                                                <w:bottom w:val="none" w:sz="0" w:space="0" w:color="auto"/>
                                                <w:right w:val="none" w:sz="0" w:space="0" w:color="auto"/>
                                              </w:divBdr>
                                              <w:divsChild>
                                                <w:div w:id="1177692184">
                                                  <w:marLeft w:val="150"/>
                                                  <w:marRight w:val="0"/>
                                                  <w:marTop w:val="0"/>
                                                  <w:marBottom w:val="0"/>
                                                  <w:divBdr>
                                                    <w:top w:val="none" w:sz="0" w:space="0" w:color="auto"/>
                                                    <w:left w:val="none" w:sz="0" w:space="0" w:color="auto"/>
                                                    <w:bottom w:val="none" w:sz="0" w:space="0" w:color="auto"/>
                                                    <w:right w:val="none" w:sz="0" w:space="0" w:color="auto"/>
                                                  </w:divBdr>
                                                  <w:divsChild>
                                                    <w:div w:id="1960410946">
                                                      <w:marLeft w:val="2205"/>
                                                      <w:marRight w:val="0"/>
                                                      <w:marTop w:val="0"/>
                                                      <w:marBottom w:val="0"/>
                                                      <w:divBdr>
                                                        <w:top w:val="none" w:sz="0" w:space="0" w:color="auto"/>
                                                        <w:left w:val="none" w:sz="0" w:space="0" w:color="auto"/>
                                                        <w:bottom w:val="none" w:sz="0" w:space="0" w:color="auto"/>
                                                        <w:right w:val="none" w:sz="0" w:space="0" w:color="auto"/>
                                                      </w:divBdr>
                                                      <w:divsChild>
                                                        <w:div w:id="910313765">
                                                          <w:marLeft w:val="0"/>
                                                          <w:marRight w:val="0"/>
                                                          <w:marTop w:val="0"/>
                                                          <w:marBottom w:val="0"/>
                                                          <w:divBdr>
                                                            <w:top w:val="none" w:sz="0" w:space="0" w:color="auto"/>
                                                            <w:left w:val="none" w:sz="0" w:space="0" w:color="auto"/>
                                                            <w:bottom w:val="none" w:sz="0" w:space="0" w:color="auto"/>
                                                            <w:right w:val="none" w:sz="0" w:space="0" w:color="auto"/>
                                                          </w:divBdr>
                                                        </w:div>
                                                        <w:div w:id="94820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8717">
                                                  <w:marLeft w:val="0"/>
                                                  <w:marRight w:val="0"/>
                                                  <w:marTop w:val="0"/>
                                                  <w:marBottom w:val="0"/>
                                                  <w:divBdr>
                                                    <w:top w:val="none" w:sz="0" w:space="0" w:color="auto"/>
                                                    <w:left w:val="none" w:sz="0" w:space="0" w:color="auto"/>
                                                    <w:bottom w:val="none" w:sz="0" w:space="0" w:color="auto"/>
                                                    <w:right w:val="none" w:sz="0" w:space="0" w:color="auto"/>
                                                  </w:divBdr>
                                                  <w:divsChild>
                                                    <w:div w:id="955991905">
                                                      <w:marLeft w:val="2205"/>
                                                      <w:marRight w:val="0"/>
                                                      <w:marTop w:val="0"/>
                                                      <w:marBottom w:val="0"/>
                                                      <w:divBdr>
                                                        <w:top w:val="none" w:sz="0" w:space="0" w:color="auto"/>
                                                        <w:left w:val="none" w:sz="0" w:space="0" w:color="auto"/>
                                                        <w:bottom w:val="none" w:sz="0" w:space="0" w:color="auto"/>
                                                        <w:right w:val="none" w:sz="0" w:space="0" w:color="auto"/>
                                                      </w:divBdr>
                                                      <w:divsChild>
                                                        <w:div w:id="946936021">
                                                          <w:marLeft w:val="0"/>
                                                          <w:marRight w:val="0"/>
                                                          <w:marTop w:val="0"/>
                                                          <w:marBottom w:val="0"/>
                                                          <w:divBdr>
                                                            <w:top w:val="none" w:sz="0" w:space="0" w:color="auto"/>
                                                            <w:left w:val="none" w:sz="0" w:space="0" w:color="auto"/>
                                                            <w:bottom w:val="none" w:sz="0" w:space="0" w:color="auto"/>
                                                            <w:right w:val="none" w:sz="0" w:space="0" w:color="auto"/>
                                                          </w:divBdr>
                                                        </w:div>
                                                        <w:div w:id="1408959586">
                                                          <w:marLeft w:val="0"/>
                                                          <w:marRight w:val="0"/>
                                                          <w:marTop w:val="0"/>
                                                          <w:marBottom w:val="0"/>
                                                          <w:divBdr>
                                                            <w:top w:val="none" w:sz="0" w:space="0" w:color="auto"/>
                                                            <w:left w:val="none" w:sz="0" w:space="0" w:color="auto"/>
                                                            <w:bottom w:val="none" w:sz="0" w:space="0" w:color="auto"/>
                                                            <w:right w:val="none" w:sz="0" w:space="0" w:color="auto"/>
                                                          </w:divBdr>
                                                        </w:div>
                                                      </w:divsChild>
                                                    </w:div>
                                                    <w:div w:id="1880193982">
                                                      <w:marLeft w:val="0"/>
                                                      <w:marRight w:val="0"/>
                                                      <w:marTop w:val="0"/>
                                                      <w:marBottom w:val="0"/>
                                                      <w:divBdr>
                                                        <w:top w:val="none" w:sz="0" w:space="0" w:color="auto"/>
                                                        <w:left w:val="none" w:sz="0" w:space="0" w:color="auto"/>
                                                        <w:bottom w:val="none" w:sz="0" w:space="0" w:color="auto"/>
                                                        <w:right w:val="none" w:sz="0" w:space="0" w:color="auto"/>
                                                      </w:divBdr>
                                                    </w:div>
                                                  </w:divsChild>
                                                </w:div>
                                                <w:div w:id="2022003543">
                                                  <w:marLeft w:val="150"/>
                                                  <w:marRight w:val="0"/>
                                                  <w:marTop w:val="0"/>
                                                  <w:marBottom w:val="0"/>
                                                  <w:divBdr>
                                                    <w:top w:val="none" w:sz="0" w:space="0" w:color="auto"/>
                                                    <w:left w:val="none" w:sz="0" w:space="0" w:color="auto"/>
                                                    <w:bottom w:val="none" w:sz="0" w:space="0" w:color="auto"/>
                                                    <w:right w:val="none" w:sz="0" w:space="0" w:color="auto"/>
                                                  </w:divBdr>
                                                  <w:divsChild>
                                                    <w:div w:id="709304419">
                                                      <w:marLeft w:val="2205"/>
                                                      <w:marRight w:val="0"/>
                                                      <w:marTop w:val="0"/>
                                                      <w:marBottom w:val="0"/>
                                                      <w:divBdr>
                                                        <w:top w:val="none" w:sz="0" w:space="0" w:color="auto"/>
                                                        <w:left w:val="none" w:sz="0" w:space="0" w:color="auto"/>
                                                        <w:bottom w:val="none" w:sz="0" w:space="0" w:color="auto"/>
                                                        <w:right w:val="none" w:sz="0" w:space="0" w:color="auto"/>
                                                      </w:divBdr>
                                                      <w:divsChild>
                                                        <w:div w:id="773206328">
                                                          <w:marLeft w:val="0"/>
                                                          <w:marRight w:val="0"/>
                                                          <w:marTop w:val="0"/>
                                                          <w:marBottom w:val="0"/>
                                                          <w:divBdr>
                                                            <w:top w:val="none" w:sz="0" w:space="0" w:color="auto"/>
                                                            <w:left w:val="none" w:sz="0" w:space="0" w:color="auto"/>
                                                            <w:bottom w:val="none" w:sz="0" w:space="0" w:color="auto"/>
                                                            <w:right w:val="none" w:sz="0" w:space="0" w:color="auto"/>
                                                          </w:divBdr>
                                                        </w:div>
                                                        <w:div w:id="95462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9628596">
                                      <w:marLeft w:val="0"/>
                                      <w:marRight w:val="0"/>
                                      <w:marTop w:val="0"/>
                                      <w:marBottom w:val="0"/>
                                      <w:divBdr>
                                        <w:top w:val="single" w:sz="2" w:space="0" w:color="auto"/>
                                        <w:left w:val="single" w:sz="2" w:space="0" w:color="auto"/>
                                        <w:bottom w:val="single" w:sz="2" w:space="0" w:color="auto"/>
                                        <w:right w:val="single" w:sz="2" w:space="0" w:color="auto"/>
                                      </w:divBdr>
                                      <w:divsChild>
                                        <w:div w:id="917204739">
                                          <w:marLeft w:val="0"/>
                                          <w:marRight w:val="0"/>
                                          <w:marTop w:val="0"/>
                                          <w:marBottom w:val="0"/>
                                          <w:divBdr>
                                            <w:top w:val="none" w:sz="0" w:space="0" w:color="auto"/>
                                            <w:left w:val="none" w:sz="0" w:space="0" w:color="auto"/>
                                            <w:bottom w:val="none" w:sz="0" w:space="0" w:color="auto"/>
                                            <w:right w:val="none" w:sz="0" w:space="0" w:color="auto"/>
                                          </w:divBdr>
                                          <w:divsChild>
                                            <w:div w:id="31969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8064801">
      <w:bodyDiv w:val="1"/>
      <w:marLeft w:val="0"/>
      <w:marRight w:val="0"/>
      <w:marTop w:val="0"/>
      <w:marBottom w:val="0"/>
      <w:divBdr>
        <w:top w:val="none" w:sz="0" w:space="0" w:color="auto"/>
        <w:left w:val="none" w:sz="0" w:space="0" w:color="auto"/>
        <w:bottom w:val="none" w:sz="0" w:space="0" w:color="auto"/>
        <w:right w:val="none" w:sz="0" w:space="0" w:color="auto"/>
      </w:divBdr>
      <w:divsChild>
        <w:div w:id="1289511650">
          <w:marLeft w:val="0"/>
          <w:marRight w:val="0"/>
          <w:marTop w:val="0"/>
          <w:marBottom w:val="0"/>
          <w:divBdr>
            <w:top w:val="none" w:sz="0" w:space="0" w:color="auto"/>
            <w:left w:val="none" w:sz="0" w:space="0" w:color="auto"/>
            <w:bottom w:val="none" w:sz="0" w:space="0" w:color="auto"/>
            <w:right w:val="none" w:sz="0" w:space="0" w:color="auto"/>
          </w:divBdr>
          <w:divsChild>
            <w:div w:id="1676346163">
              <w:marLeft w:val="0"/>
              <w:marRight w:val="0"/>
              <w:marTop w:val="0"/>
              <w:marBottom w:val="0"/>
              <w:divBdr>
                <w:top w:val="none" w:sz="0" w:space="0" w:color="auto"/>
                <w:left w:val="none" w:sz="0" w:space="0" w:color="auto"/>
                <w:bottom w:val="none" w:sz="0" w:space="0" w:color="auto"/>
                <w:right w:val="none" w:sz="0" w:space="0" w:color="auto"/>
              </w:divBdr>
              <w:divsChild>
                <w:div w:id="2064676374">
                  <w:marLeft w:val="0"/>
                  <w:marRight w:val="0"/>
                  <w:marTop w:val="0"/>
                  <w:marBottom w:val="0"/>
                  <w:divBdr>
                    <w:top w:val="none" w:sz="0" w:space="0" w:color="auto"/>
                    <w:left w:val="none" w:sz="0" w:space="0" w:color="auto"/>
                    <w:bottom w:val="none" w:sz="0" w:space="0" w:color="auto"/>
                    <w:right w:val="none" w:sz="0" w:space="0" w:color="auto"/>
                  </w:divBdr>
                  <w:divsChild>
                    <w:div w:id="1384914472">
                      <w:marLeft w:val="0"/>
                      <w:marRight w:val="0"/>
                      <w:marTop w:val="0"/>
                      <w:marBottom w:val="0"/>
                      <w:divBdr>
                        <w:top w:val="none" w:sz="0" w:space="0" w:color="auto"/>
                        <w:left w:val="none" w:sz="0" w:space="0" w:color="auto"/>
                        <w:bottom w:val="none" w:sz="0" w:space="0" w:color="auto"/>
                        <w:right w:val="none" w:sz="0" w:space="0" w:color="auto"/>
                      </w:divBdr>
                      <w:divsChild>
                        <w:div w:id="1258757845">
                          <w:marLeft w:val="0"/>
                          <w:marRight w:val="0"/>
                          <w:marTop w:val="0"/>
                          <w:marBottom w:val="0"/>
                          <w:divBdr>
                            <w:top w:val="none" w:sz="0" w:space="0" w:color="auto"/>
                            <w:left w:val="none" w:sz="0" w:space="0" w:color="auto"/>
                            <w:bottom w:val="none" w:sz="0" w:space="0" w:color="auto"/>
                            <w:right w:val="none" w:sz="0" w:space="0" w:color="auto"/>
                          </w:divBdr>
                          <w:divsChild>
                            <w:div w:id="3959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8064913">
      <w:bodyDiv w:val="1"/>
      <w:marLeft w:val="0"/>
      <w:marRight w:val="0"/>
      <w:marTop w:val="0"/>
      <w:marBottom w:val="0"/>
      <w:divBdr>
        <w:top w:val="none" w:sz="0" w:space="0" w:color="auto"/>
        <w:left w:val="none" w:sz="0" w:space="0" w:color="auto"/>
        <w:bottom w:val="none" w:sz="0" w:space="0" w:color="auto"/>
        <w:right w:val="none" w:sz="0" w:space="0" w:color="auto"/>
      </w:divBdr>
    </w:div>
    <w:div w:id="758259573">
      <w:bodyDiv w:val="1"/>
      <w:marLeft w:val="0"/>
      <w:marRight w:val="0"/>
      <w:marTop w:val="0"/>
      <w:marBottom w:val="0"/>
      <w:divBdr>
        <w:top w:val="none" w:sz="0" w:space="0" w:color="auto"/>
        <w:left w:val="none" w:sz="0" w:space="0" w:color="auto"/>
        <w:bottom w:val="none" w:sz="0" w:space="0" w:color="auto"/>
        <w:right w:val="none" w:sz="0" w:space="0" w:color="auto"/>
      </w:divBdr>
      <w:divsChild>
        <w:div w:id="1560242741">
          <w:marLeft w:val="0"/>
          <w:marRight w:val="0"/>
          <w:marTop w:val="0"/>
          <w:marBottom w:val="150"/>
          <w:divBdr>
            <w:top w:val="none" w:sz="0" w:space="0" w:color="auto"/>
            <w:left w:val="none" w:sz="0" w:space="0" w:color="auto"/>
            <w:bottom w:val="none" w:sz="0" w:space="0" w:color="auto"/>
            <w:right w:val="none" w:sz="0" w:space="0" w:color="auto"/>
          </w:divBdr>
        </w:div>
      </w:divsChild>
    </w:div>
    <w:div w:id="758674773">
      <w:bodyDiv w:val="1"/>
      <w:marLeft w:val="0"/>
      <w:marRight w:val="0"/>
      <w:marTop w:val="0"/>
      <w:marBottom w:val="0"/>
      <w:divBdr>
        <w:top w:val="none" w:sz="0" w:space="0" w:color="auto"/>
        <w:left w:val="none" w:sz="0" w:space="0" w:color="auto"/>
        <w:bottom w:val="none" w:sz="0" w:space="0" w:color="auto"/>
        <w:right w:val="none" w:sz="0" w:space="0" w:color="auto"/>
      </w:divBdr>
      <w:divsChild>
        <w:div w:id="1708755">
          <w:marLeft w:val="0"/>
          <w:marRight w:val="0"/>
          <w:marTop w:val="0"/>
          <w:marBottom w:val="0"/>
          <w:divBdr>
            <w:top w:val="none" w:sz="0" w:space="0" w:color="auto"/>
            <w:left w:val="none" w:sz="0" w:space="0" w:color="auto"/>
            <w:bottom w:val="dotted" w:sz="6" w:space="4" w:color="DDDDDD"/>
            <w:right w:val="none" w:sz="0" w:space="0" w:color="auto"/>
          </w:divBdr>
          <w:divsChild>
            <w:div w:id="61618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911855">
      <w:bodyDiv w:val="1"/>
      <w:marLeft w:val="0"/>
      <w:marRight w:val="0"/>
      <w:marTop w:val="0"/>
      <w:marBottom w:val="0"/>
      <w:divBdr>
        <w:top w:val="none" w:sz="0" w:space="0" w:color="auto"/>
        <w:left w:val="none" w:sz="0" w:space="0" w:color="auto"/>
        <w:bottom w:val="none" w:sz="0" w:space="0" w:color="auto"/>
        <w:right w:val="none" w:sz="0" w:space="0" w:color="auto"/>
      </w:divBdr>
    </w:div>
    <w:div w:id="759181431">
      <w:bodyDiv w:val="1"/>
      <w:marLeft w:val="0"/>
      <w:marRight w:val="0"/>
      <w:marTop w:val="0"/>
      <w:marBottom w:val="0"/>
      <w:divBdr>
        <w:top w:val="none" w:sz="0" w:space="0" w:color="auto"/>
        <w:left w:val="none" w:sz="0" w:space="0" w:color="auto"/>
        <w:bottom w:val="none" w:sz="0" w:space="0" w:color="auto"/>
        <w:right w:val="none" w:sz="0" w:space="0" w:color="auto"/>
      </w:divBdr>
      <w:divsChild>
        <w:div w:id="2103913866">
          <w:marLeft w:val="0"/>
          <w:marRight w:val="0"/>
          <w:marTop w:val="0"/>
          <w:marBottom w:val="0"/>
          <w:divBdr>
            <w:top w:val="none" w:sz="0" w:space="0" w:color="auto"/>
            <w:left w:val="none" w:sz="0" w:space="0" w:color="auto"/>
            <w:bottom w:val="dotted" w:sz="6" w:space="4" w:color="DDDDDD"/>
            <w:right w:val="none" w:sz="0" w:space="0" w:color="auto"/>
          </w:divBdr>
        </w:div>
      </w:divsChild>
    </w:div>
    <w:div w:id="759327904">
      <w:bodyDiv w:val="1"/>
      <w:marLeft w:val="0"/>
      <w:marRight w:val="0"/>
      <w:marTop w:val="0"/>
      <w:marBottom w:val="0"/>
      <w:divBdr>
        <w:top w:val="none" w:sz="0" w:space="0" w:color="auto"/>
        <w:left w:val="none" w:sz="0" w:space="0" w:color="auto"/>
        <w:bottom w:val="none" w:sz="0" w:space="0" w:color="auto"/>
        <w:right w:val="none" w:sz="0" w:space="0" w:color="auto"/>
      </w:divBdr>
    </w:div>
    <w:div w:id="759371987">
      <w:bodyDiv w:val="1"/>
      <w:marLeft w:val="0"/>
      <w:marRight w:val="0"/>
      <w:marTop w:val="0"/>
      <w:marBottom w:val="0"/>
      <w:divBdr>
        <w:top w:val="none" w:sz="0" w:space="0" w:color="auto"/>
        <w:left w:val="none" w:sz="0" w:space="0" w:color="auto"/>
        <w:bottom w:val="none" w:sz="0" w:space="0" w:color="auto"/>
        <w:right w:val="none" w:sz="0" w:space="0" w:color="auto"/>
      </w:divBdr>
      <w:divsChild>
        <w:div w:id="191650877">
          <w:marLeft w:val="0"/>
          <w:marRight w:val="0"/>
          <w:marTop w:val="0"/>
          <w:marBottom w:val="150"/>
          <w:divBdr>
            <w:top w:val="none" w:sz="0" w:space="0" w:color="auto"/>
            <w:left w:val="none" w:sz="0" w:space="0" w:color="auto"/>
            <w:bottom w:val="none" w:sz="0" w:space="0" w:color="auto"/>
            <w:right w:val="none" w:sz="0" w:space="0" w:color="auto"/>
          </w:divBdr>
        </w:div>
        <w:div w:id="219177854">
          <w:marLeft w:val="0"/>
          <w:marRight w:val="0"/>
          <w:marTop w:val="0"/>
          <w:marBottom w:val="150"/>
          <w:divBdr>
            <w:top w:val="none" w:sz="0" w:space="0" w:color="auto"/>
            <w:left w:val="none" w:sz="0" w:space="0" w:color="auto"/>
            <w:bottom w:val="none" w:sz="0" w:space="0" w:color="auto"/>
            <w:right w:val="none" w:sz="0" w:space="0" w:color="auto"/>
          </w:divBdr>
          <w:divsChild>
            <w:div w:id="1345935113">
              <w:marLeft w:val="0"/>
              <w:marRight w:val="0"/>
              <w:marTop w:val="0"/>
              <w:marBottom w:val="0"/>
              <w:divBdr>
                <w:top w:val="none" w:sz="0" w:space="0" w:color="auto"/>
                <w:left w:val="none" w:sz="0" w:space="0" w:color="auto"/>
                <w:bottom w:val="none" w:sz="0" w:space="0" w:color="auto"/>
                <w:right w:val="none" w:sz="0" w:space="0" w:color="auto"/>
              </w:divBdr>
            </w:div>
          </w:divsChild>
        </w:div>
        <w:div w:id="1726176440">
          <w:marLeft w:val="0"/>
          <w:marRight w:val="0"/>
          <w:marTop w:val="0"/>
          <w:marBottom w:val="0"/>
          <w:divBdr>
            <w:top w:val="none" w:sz="0" w:space="0" w:color="auto"/>
            <w:left w:val="none" w:sz="0" w:space="0" w:color="auto"/>
            <w:bottom w:val="none" w:sz="0" w:space="0" w:color="auto"/>
            <w:right w:val="none" w:sz="0" w:space="0" w:color="auto"/>
          </w:divBdr>
          <w:divsChild>
            <w:div w:id="35704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644479">
      <w:bodyDiv w:val="1"/>
      <w:marLeft w:val="0"/>
      <w:marRight w:val="0"/>
      <w:marTop w:val="0"/>
      <w:marBottom w:val="0"/>
      <w:divBdr>
        <w:top w:val="none" w:sz="0" w:space="0" w:color="auto"/>
        <w:left w:val="none" w:sz="0" w:space="0" w:color="auto"/>
        <w:bottom w:val="none" w:sz="0" w:space="0" w:color="auto"/>
        <w:right w:val="none" w:sz="0" w:space="0" w:color="auto"/>
      </w:divBdr>
      <w:divsChild>
        <w:div w:id="509640037">
          <w:marLeft w:val="0"/>
          <w:marRight w:val="0"/>
          <w:marTop w:val="0"/>
          <w:marBottom w:val="0"/>
          <w:divBdr>
            <w:top w:val="none" w:sz="0" w:space="0" w:color="auto"/>
            <w:left w:val="none" w:sz="0" w:space="0" w:color="auto"/>
            <w:bottom w:val="dotted" w:sz="6" w:space="4" w:color="DDDDDD"/>
            <w:right w:val="none" w:sz="0" w:space="0" w:color="auto"/>
          </w:divBdr>
        </w:div>
      </w:divsChild>
    </w:div>
    <w:div w:id="759834401">
      <w:bodyDiv w:val="1"/>
      <w:marLeft w:val="0"/>
      <w:marRight w:val="0"/>
      <w:marTop w:val="0"/>
      <w:marBottom w:val="0"/>
      <w:divBdr>
        <w:top w:val="none" w:sz="0" w:space="0" w:color="auto"/>
        <w:left w:val="none" w:sz="0" w:space="0" w:color="auto"/>
        <w:bottom w:val="none" w:sz="0" w:space="0" w:color="auto"/>
        <w:right w:val="none" w:sz="0" w:space="0" w:color="auto"/>
      </w:divBdr>
      <w:divsChild>
        <w:div w:id="457184456">
          <w:marLeft w:val="0"/>
          <w:marRight w:val="0"/>
          <w:marTop w:val="0"/>
          <w:marBottom w:val="150"/>
          <w:divBdr>
            <w:top w:val="none" w:sz="0" w:space="0" w:color="auto"/>
            <w:left w:val="none" w:sz="0" w:space="0" w:color="auto"/>
            <w:bottom w:val="none" w:sz="0" w:space="0" w:color="auto"/>
            <w:right w:val="none" w:sz="0" w:space="0" w:color="auto"/>
          </w:divBdr>
        </w:div>
      </w:divsChild>
    </w:div>
    <w:div w:id="760563711">
      <w:bodyDiv w:val="1"/>
      <w:marLeft w:val="0"/>
      <w:marRight w:val="0"/>
      <w:marTop w:val="0"/>
      <w:marBottom w:val="0"/>
      <w:divBdr>
        <w:top w:val="none" w:sz="0" w:space="0" w:color="auto"/>
        <w:left w:val="none" w:sz="0" w:space="0" w:color="auto"/>
        <w:bottom w:val="none" w:sz="0" w:space="0" w:color="auto"/>
        <w:right w:val="none" w:sz="0" w:space="0" w:color="auto"/>
      </w:divBdr>
      <w:divsChild>
        <w:div w:id="578289732">
          <w:marLeft w:val="0"/>
          <w:marRight w:val="0"/>
          <w:marTop w:val="0"/>
          <w:marBottom w:val="0"/>
          <w:divBdr>
            <w:top w:val="none" w:sz="0" w:space="0" w:color="auto"/>
            <w:left w:val="none" w:sz="0" w:space="0" w:color="auto"/>
            <w:bottom w:val="none" w:sz="0" w:space="0" w:color="auto"/>
            <w:right w:val="none" w:sz="0" w:space="0" w:color="auto"/>
          </w:divBdr>
        </w:div>
        <w:div w:id="1172986971">
          <w:marLeft w:val="0"/>
          <w:marRight w:val="0"/>
          <w:marTop w:val="0"/>
          <w:marBottom w:val="150"/>
          <w:divBdr>
            <w:top w:val="none" w:sz="0" w:space="0" w:color="auto"/>
            <w:left w:val="none" w:sz="0" w:space="0" w:color="auto"/>
            <w:bottom w:val="none" w:sz="0" w:space="0" w:color="auto"/>
            <w:right w:val="none" w:sz="0" w:space="0" w:color="auto"/>
          </w:divBdr>
        </w:div>
      </w:divsChild>
    </w:div>
    <w:div w:id="760683430">
      <w:bodyDiv w:val="1"/>
      <w:marLeft w:val="0"/>
      <w:marRight w:val="0"/>
      <w:marTop w:val="0"/>
      <w:marBottom w:val="0"/>
      <w:divBdr>
        <w:top w:val="none" w:sz="0" w:space="0" w:color="auto"/>
        <w:left w:val="none" w:sz="0" w:space="0" w:color="auto"/>
        <w:bottom w:val="none" w:sz="0" w:space="0" w:color="auto"/>
        <w:right w:val="none" w:sz="0" w:space="0" w:color="auto"/>
      </w:divBdr>
      <w:divsChild>
        <w:div w:id="912354891">
          <w:marLeft w:val="0"/>
          <w:marRight w:val="0"/>
          <w:marTop w:val="0"/>
          <w:marBottom w:val="150"/>
          <w:divBdr>
            <w:top w:val="none" w:sz="0" w:space="0" w:color="auto"/>
            <w:left w:val="none" w:sz="0" w:space="0" w:color="auto"/>
            <w:bottom w:val="none" w:sz="0" w:space="0" w:color="auto"/>
            <w:right w:val="none" w:sz="0" w:space="0" w:color="auto"/>
          </w:divBdr>
          <w:divsChild>
            <w:div w:id="265037361">
              <w:marLeft w:val="0"/>
              <w:marRight w:val="0"/>
              <w:marTop w:val="0"/>
              <w:marBottom w:val="0"/>
              <w:divBdr>
                <w:top w:val="none" w:sz="0" w:space="0" w:color="auto"/>
                <w:left w:val="none" w:sz="0" w:space="0" w:color="auto"/>
                <w:bottom w:val="none" w:sz="0" w:space="0" w:color="auto"/>
                <w:right w:val="none" w:sz="0" w:space="0" w:color="auto"/>
              </w:divBdr>
            </w:div>
          </w:divsChild>
        </w:div>
        <w:div w:id="961887347">
          <w:marLeft w:val="0"/>
          <w:marRight w:val="0"/>
          <w:marTop w:val="0"/>
          <w:marBottom w:val="0"/>
          <w:divBdr>
            <w:top w:val="none" w:sz="0" w:space="0" w:color="auto"/>
            <w:left w:val="none" w:sz="0" w:space="0" w:color="auto"/>
            <w:bottom w:val="none" w:sz="0" w:space="0" w:color="auto"/>
            <w:right w:val="none" w:sz="0" w:space="0" w:color="auto"/>
          </w:divBdr>
          <w:divsChild>
            <w:div w:id="909075187">
              <w:marLeft w:val="0"/>
              <w:marRight w:val="0"/>
              <w:marTop w:val="0"/>
              <w:marBottom w:val="0"/>
              <w:divBdr>
                <w:top w:val="none" w:sz="0" w:space="0" w:color="auto"/>
                <w:left w:val="none" w:sz="0" w:space="0" w:color="auto"/>
                <w:bottom w:val="none" w:sz="0" w:space="0" w:color="auto"/>
                <w:right w:val="none" w:sz="0" w:space="0" w:color="auto"/>
              </w:divBdr>
            </w:div>
          </w:divsChild>
        </w:div>
        <w:div w:id="1732843814">
          <w:marLeft w:val="0"/>
          <w:marRight w:val="0"/>
          <w:marTop w:val="0"/>
          <w:marBottom w:val="150"/>
          <w:divBdr>
            <w:top w:val="none" w:sz="0" w:space="0" w:color="auto"/>
            <w:left w:val="none" w:sz="0" w:space="0" w:color="auto"/>
            <w:bottom w:val="none" w:sz="0" w:space="0" w:color="auto"/>
            <w:right w:val="none" w:sz="0" w:space="0" w:color="auto"/>
          </w:divBdr>
        </w:div>
      </w:divsChild>
    </w:div>
    <w:div w:id="761414819">
      <w:bodyDiv w:val="1"/>
      <w:marLeft w:val="0"/>
      <w:marRight w:val="0"/>
      <w:marTop w:val="0"/>
      <w:marBottom w:val="0"/>
      <w:divBdr>
        <w:top w:val="none" w:sz="0" w:space="0" w:color="auto"/>
        <w:left w:val="none" w:sz="0" w:space="0" w:color="auto"/>
        <w:bottom w:val="none" w:sz="0" w:space="0" w:color="auto"/>
        <w:right w:val="none" w:sz="0" w:space="0" w:color="auto"/>
      </w:divBdr>
    </w:div>
    <w:div w:id="761536024">
      <w:bodyDiv w:val="1"/>
      <w:marLeft w:val="0"/>
      <w:marRight w:val="0"/>
      <w:marTop w:val="0"/>
      <w:marBottom w:val="0"/>
      <w:divBdr>
        <w:top w:val="none" w:sz="0" w:space="0" w:color="auto"/>
        <w:left w:val="none" w:sz="0" w:space="0" w:color="auto"/>
        <w:bottom w:val="none" w:sz="0" w:space="0" w:color="auto"/>
        <w:right w:val="none" w:sz="0" w:space="0" w:color="auto"/>
      </w:divBdr>
      <w:divsChild>
        <w:div w:id="1387685616">
          <w:marLeft w:val="0"/>
          <w:marRight w:val="0"/>
          <w:marTop w:val="0"/>
          <w:marBottom w:val="0"/>
          <w:divBdr>
            <w:top w:val="none" w:sz="0" w:space="0" w:color="auto"/>
            <w:left w:val="none" w:sz="0" w:space="0" w:color="auto"/>
            <w:bottom w:val="dotted" w:sz="6" w:space="4" w:color="DDDDDD"/>
            <w:right w:val="none" w:sz="0" w:space="0" w:color="auto"/>
          </w:divBdr>
          <w:divsChild>
            <w:div w:id="157975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2951">
      <w:bodyDiv w:val="1"/>
      <w:marLeft w:val="0"/>
      <w:marRight w:val="0"/>
      <w:marTop w:val="0"/>
      <w:marBottom w:val="0"/>
      <w:divBdr>
        <w:top w:val="none" w:sz="0" w:space="0" w:color="auto"/>
        <w:left w:val="none" w:sz="0" w:space="0" w:color="auto"/>
        <w:bottom w:val="none" w:sz="0" w:space="0" w:color="auto"/>
        <w:right w:val="none" w:sz="0" w:space="0" w:color="auto"/>
      </w:divBdr>
      <w:divsChild>
        <w:div w:id="854808566">
          <w:marLeft w:val="0"/>
          <w:marRight w:val="0"/>
          <w:marTop w:val="0"/>
          <w:marBottom w:val="0"/>
          <w:divBdr>
            <w:top w:val="none" w:sz="0" w:space="0" w:color="auto"/>
            <w:left w:val="none" w:sz="0" w:space="0" w:color="auto"/>
            <w:bottom w:val="none" w:sz="0" w:space="0" w:color="auto"/>
            <w:right w:val="none" w:sz="0" w:space="0" w:color="auto"/>
          </w:divBdr>
        </w:div>
      </w:divsChild>
    </w:div>
    <w:div w:id="762337834">
      <w:bodyDiv w:val="1"/>
      <w:marLeft w:val="0"/>
      <w:marRight w:val="0"/>
      <w:marTop w:val="0"/>
      <w:marBottom w:val="0"/>
      <w:divBdr>
        <w:top w:val="none" w:sz="0" w:space="0" w:color="auto"/>
        <w:left w:val="none" w:sz="0" w:space="0" w:color="auto"/>
        <w:bottom w:val="none" w:sz="0" w:space="0" w:color="auto"/>
        <w:right w:val="none" w:sz="0" w:space="0" w:color="auto"/>
      </w:divBdr>
      <w:divsChild>
        <w:div w:id="324821978">
          <w:marLeft w:val="0"/>
          <w:marRight w:val="0"/>
          <w:marTop w:val="150"/>
          <w:marBottom w:val="0"/>
          <w:divBdr>
            <w:top w:val="none" w:sz="0" w:space="0" w:color="auto"/>
            <w:left w:val="none" w:sz="0" w:space="0" w:color="auto"/>
            <w:bottom w:val="none" w:sz="0" w:space="0" w:color="auto"/>
            <w:right w:val="none" w:sz="0" w:space="0" w:color="auto"/>
          </w:divBdr>
          <w:divsChild>
            <w:div w:id="364991491">
              <w:marLeft w:val="0"/>
              <w:marRight w:val="0"/>
              <w:marTop w:val="0"/>
              <w:marBottom w:val="0"/>
              <w:divBdr>
                <w:top w:val="none" w:sz="0" w:space="0" w:color="auto"/>
                <w:left w:val="none" w:sz="0" w:space="0" w:color="auto"/>
                <w:bottom w:val="none" w:sz="0" w:space="0" w:color="auto"/>
                <w:right w:val="none" w:sz="0" w:space="0" w:color="auto"/>
              </w:divBdr>
              <w:divsChild>
                <w:div w:id="25445407">
                  <w:marLeft w:val="0"/>
                  <w:marRight w:val="0"/>
                  <w:marTop w:val="0"/>
                  <w:marBottom w:val="0"/>
                  <w:divBdr>
                    <w:top w:val="none" w:sz="0" w:space="0" w:color="auto"/>
                    <w:left w:val="none" w:sz="0" w:space="0" w:color="auto"/>
                    <w:bottom w:val="none" w:sz="0" w:space="0" w:color="auto"/>
                    <w:right w:val="none" w:sz="0" w:space="0" w:color="auto"/>
                  </w:divBdr>
                </w:div>
                <w:div w:id="201700280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587614434">
          <w:marLeft w:val="0"/>
          <w:marRight w:val="0"/>
          <w:marTop w:val="0"/>
          <w:marBottom w:val="0"/>
          <w:divBdr>
            <w:top w:val="none" w:sz="0" w:space="0" w:color="auto"/>
            <w:left w:val="none" w:sz="0" w:space="0" w:color="auto"/>
            <w:bottom w:val="none" w:sz="0" w:space="0" w:color="auto"/>
            <w:right w:val="none" w:sz="0" w:space="0" w:color="auto"/>
          </w:divBdr>
          <w:divsChild>
            <w:div w:id="135279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20677">
      <w:bodyDiv w:val="1"/>
      <w:marLeft w:val="0"/>
      <w:marRight w:val="0"/>
      <w:marTop w:val="0"/>
      <w:marBottom w:val="0"/>
      <w:divBdr>
        <w:top w:val="none" w:sz="0" w:space="0" w:color="auto"/>
        <w:left w:val="none" w:sz="0" w:space="0" w:color="auto"/>
        <w:bottom w:val="none" w:sz="0" w:space="0" w:color="auto"/>
        <w:right w:val="none" w:sz="0" w:space="0" w:color="auto"/>
      </w:divBdr>
      <w:divsChild>
        <w:div w:id="530383032">
          <w:marLeft w:val="0"/>
          <w:marRight w:val="0"/>
          <w:marTop w:val="0"/>
          <w:marBottom w:val="0"/>
          <w:divBdr>
            <w:top w:val="none" w:sz="0" w:space="0" w:color="auto"/>
            <w:left w:val="none" w:sz="0" w:space="0" w:color="auto"/>
            <w:bottom w:val="none" w:sz="0" w:space="0" w:color="auto"/>
            <w:right w:val="none" w:sz="0" w:space="0" w:color="auto"/>
          </w:divBdr>
          <w:divsChild>
            <w:div w:id="956109532">
              <w:marLeft w:val="0"/>
              <w:marRight w:val="0"/>
              <w:marTop w:val="0"/>
              <w:marBottom w:val="150"/>
              <w:divBdr>
                <w:top w:val="none" w:sz="0" w:space="0" w:color="auto"/>
                <w:left w:val="none" w:sz="0" w:space="0" w:color="auto"/>
                <w:bottom w:val="none" w:sz="0" w:space="0" w:color="auto"/>
                <w:right w:val="none" w:sz="0" w:space="0" w:color="auto"/>
              </w:divBdr>
            </w:div>
            <w:div w:id="2130322021">
              <w:marLeft w:val="0"/>
              <w:marRight w:val="0"/>
              <w:marTop w:val="0"/>
              <w:marBottom w:val="0"/>
              <w:divBdr>
                <w:top w:val="none" w:sz="0" w:space="0" w:color="auto"/>
                <w:left w:val="none" w:sz="0" w:space="0" w:color="auto"/>
                <w:bottom w:val="none" w:sz="0" w:space="0" w:color="auto"/>
                <w:right w:val="none" w:sz="0" w:space="0" w:color="auto"/>
              </w:divBdr>
            </w:div>
          </w:divsChild>
        </w:div>
        <w:div w:id="1012952707">
          <w:marLeft w:val="0"/>
          <w:marRight w:val="0"/>
          <w:marTop w:val="0"/>
          <w:marBottom w:val="150"/>
          <w:divBdr>
            <w:top w:val="none" w:sz="0" w:space="0" w:color="auto"/>
            <w:left w:val="none" w:sz="0" w:space="0" w:color="auto"/>
            <w:bottom w:val="none" w:sz="0" w:space="0" w:color="auto"/>
            <w:right w:val="none" w:sz="0" w:space="0" w:color="auto"/>
          </w:divBdr>
          <w:divsChild>
            <w:div w:id="133113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497705">
      <w:bodyDiv w:val="1"/>
      <w:marLeft w:val="0"/>
      <w:marRight w:val="0"/>
      <w:marTop w:val="0"/>
      <w:marBottom w:val="0"/>
      <w:divBdr>
        <w:top w:val="none" w:sz="0" w:space="0" w:color="auto"/>
        <w:left w:val="none" w:sz="0" w:space="0" w:color="auto"/>
        <w:bottom w:val="none" w:sz="0" w:space="0" w:color="auto"/>
        <w:right w:val="none" w:sz="0" w:space="0" w:color="auto"/>
      </w:divBdr>
      <w:divsChild>
        <w:div w:id="1190725920">
          <w:marLeft w:val="0"/>
          <w:marRight w:val="0"/>
          <w:marTop w:val="0"/>
          <w:marBottom w:val="0"/>
          <w:divBdr>
            <w:top w:val="none" w:sz="0" w:space="0" w:color="auto"/>
            <w:left w:val="none" w:sz="0" w:space="0" w:color="auto"/>
            <w:bottom w:val="dotted" w:sz="6" w:space="4" w:color="DDDDDD"/>
            <w:right w:val="none" w:sz="0" w:space="0" w:color="auto"/>
          </w:divBdr>
        </w:div>
      </w:divsChild>
    </w:div>
    <w:div w:id="764350693">
      <w:bodyDiv w:val="1"/>
      <w:marLeft w:val="0"/>
      <w:marRight w:val="0"/>
      <w:marTop w:val="0"/>
      <w:marBottom w:val="0"/>
      <w:divBdr>
        <w:top w:val="none" w:sz="0" w:space="0" w:color="auto"/>
        <w:left w:val="none" w:sz="0" w:space="0" w:color="auto"/>
        <w:bottom w:val="none" w:sz="0" w:space="0" w:color="auto"/>
        <w:right w:val="none" w:sz="0" w:space="0" w:color="auto"/>
      </w:divBdr>
    </w:div>
    <w:div w:id="764378954">
      <w:bodyDiv w:val="1"/>
      <w:marLeft w:val="0"/>
      <w:marRight w:val="0"/>
      <w:marTop w:val="0"/>
      <w:marBottom w:val="0"/>
      <w:divBdr>
        <w:top w:val="none" w:sz="0" w:space="0" w:color="auto"/>
        <w:left w:val="none" w:sz="0" w:space="0" w:color="auto"/>
        <w:bottom w:val="none" w:sz="0" w:space="0" w:color="auto"/>
        <w:right w:val="none" w:sz="0" w:space="0" w:color="auto"/>
      </w:divBdr>
      <w:divsChild>
        <w:div w:id="330527566">
          <w:marLeft w:val="0"/>
          <w:marRight w:val="0"/>
          <w:marTop w:val="0"/>
          <w:marBottom w:val="0"/>
          <w:divBdr>
            <w:top w:val="none" w:sz="0" w:space="0" w:color="auto"/>
            <w:left w:val="none" w:sz="0" w:space="0" w:color="auto"/>
            <w:bottom w:val="none" w:sz="0" w:space="0" w:color="auto"/>
            <w:right w:val="none" w:sz="0" w:space="0" w:color="auto"/>
          </w:divBdr>
          <w:divsChild>
            <w:div w:id="1811439206">
              <w:marLeft w:val="0"/>
              <w:marRight w:val="0"/>
              <w:marTop w:val="0"/>
              <w:marBottom w:val="0"/>
              <w:divBdr>
                <w:top w:val="none" w:sz="0" w:space="0" w:color="auto"/>
                <w:left w:val="none" w:sz="0" w:space="0" w:color="auto"/>
                <w:bottom w:val="none" w:sz="0" w:space="0" w:color="auto"/>
                <w:right w:val="none" w:sz="0" w:space="0" w:color="auto"/>
              </w:divBdr>
            </w:div>
          </w:divsChild>
        </w:div>
        <w:div w:id="773936346">
          <w:marLeft w:val="0"/>
          <w:marRight w:val="0"/>
          <w:marTop w:val="0"/>
          <w:marBottom w:val="150"/>
          <w:divBdr>
            <w:top w:val="none" w:sz="0" w:space="0" w:color="auto"/>
            <w:left w:val="none" w:sz="0" w:space="0" w:color="auto"/>
            <w:bottom w:val="none" w:sz="0" w:space="0" w:color="auto"/>
            <w:right w:val="none" w:sz="0" w:space="0" w:color="auto"/>
          </w:divBdr>
          <w:divsChild>
            <w:div w:id="1677264891">
              <w:marLeft w:val="0"/>
              <w:marRight w:val="0"/>
              <w:marTop w:val="0"/>
              <w:marBottom w:val="0"/>
              <w:divBdr>
                <w:top w:val="none" w:sz="0" w:space="0" w:color="auto"/>
                <w:left w:val="none" w:sz="0" w:space="0" w:color="auto"/>
                <w:bottom w:val="none" w:sz="0" w:space="0" w:color="auto"/>
                <w:right w:val="none" w:sz="0" w:space="0" w:color="auto"/>
              </w:divBdr>
            </w:div>
          </w:divsChild>
        </w:div>
        <w:div w:id="1158157813">
          <w:marLeft w:val="0"/>
          <w:marRight w:val="0"/>
          <w:marTop w:val="0"/>
          <w:marBottom w:val="150"/>
          <w:divBdr>
            <w:top w:val="none" w:sz="0" w:space="0" w:color="auto"/>
            <w:left w:val="none" w:sz="0" w:space="0" w:color="auto"/>
            <w:bottom w:val="none" w:sz="0" w:space="0" w:color="auto"/>
            <w:right w:val="none" w:sz="0" w:space="0" w:color="auto"/>
          </w:divBdr>
        </w:div>
      </w:divsChild>
    </w:div>
    <w:div w:id="764575149">
      <w:bodyDiv w:val="1"/>
      <w:marLeft w:val="0"/>
      <w:marRight w:val="0"/>
      <w:marTop w:val="0"/>
      <w:marBottom w:val="0"/>
      <w:divBdr>
        <w:top w:val="none" w:sz="0" w:space="0" w:color="auto"/>
        <w:left w:val="none" w:sz="0" w:space="0" w:color="auto"/>
        <w:bottom w:val="none" w:sz="0" w:space="0" w:color="auto"/>
        <w:right w:val="none" w:sz="0" w:space="0" w:color="auto"/>
      </w:divBdr>
      <w:divsChild>
        <w:div w:id="454642781">
          <w:marLeft w:val="0"/>
          <w:marRight w:val="0"/>
          <w:marTop w:val="0"/>
          <w:marBottom w:val="0"/>
          <w:divBdr>
            <w:top w:val="none" w:sz="0" w:space="0" w:color="auto"/>
            <w:left w:val="none" w:sz="0" w:space="0" w:color="auto"/>
            <w:bottom w:val="none" w:sz="0" w:space="0" w:color="auto"/>
            <w:right w:val="none" w:sz="0" w:space="0" w:color="auto"/>
          </w:divBdr>
          <w:divsChild>
            <w:div w:id="816216857">
              <w:marLeft w:val="0"/>
              <w:marRight w:val="0"/>
              <w:marTop w:val="0"/>
              <w:marBottom w:val="0"/>
              <w:divBdr>
                <w:top w:val="none" w:sz="0" w:space="0" w:color="auto"/>
                <w:left w:val="none" w:sz="0" w:space="0" w:color="auto"/>
                <w:bottom w:val="none" w:sz="0" w:space="0" w:color="auto"/>
                <w:right w:val="none" w:sz="0" w:space="0" w:color="auto"/>
              </w:divBdr>
              <w:divsChild>
                <w:div w:id="1363435177">
                  <w:marLeft w:val="0"/>
                  <w:marRight w:val="0"/>
                  <w:marTop w:val="225"/>
                  <w:marBottom w:val="225"/>
                  <w:divBdr>
                    <w:top w:val="none" w:sz="0" w:space="0" w:color="auto"/>
                    <w:left w:val="none" w:sz="0" w:space="0" w:color="auto"/>
                    <w:bottom w:val="none" w:sz="0" w:space="0" w:color="auto"/>
                    <w:right w:val="none" w:sz="0" w:space="0" w:color="auto"/>
                  </w:divBdr>
                </w:div>
              </w:divsChild>
            </w:div>
            <w:div w:id="1881626254">
              <w:marLeft w:val="0"/>
              <w:marRight w:val="0"/>
              <w:marTop w:val="0"/>
              <w:marBottom w:val="150"/>
              <w:divBdr>
                <w:top w:val="none" w:sz="0" w:space="0" w:color="auto"/>
                <w:left w:val="none" w:sz="0" w:space="0" w:color="auto"/>
                <w:bottom w:val="none" w:sz="0" w:space="0" w:color="auto"/>
                <w:right w:val="none" w:sz="0" w:space="0" w:color="auto"/>
              </w:divBdr>
            </w:div>
          </w:divsChild>
        </w:div>
        <w:div w:id="855769197">
          <w:marLeft w:val="0"/>
          <w:marRight w:val="0"/>
          <w:marTop w:val="0"/>
          <w:marBottom w:val="150"/>
          <w:divBdr>
            <w:top w:val="none" w:sz="0" w:space="0" w:color="auto"/>
            <w:left w:val="none" w:sz="0" w:space="0" w:color="auto"/>
            <w:bottom w:val="none" w:sz="0" w:space="0" w:color="auto"/>
            <w:right w:val="none" w:sz="0" w:space="0" w:color="auto"/>
          </w:divBdr>
          <w:divsChild>
            <w:div w:id="914976120">
              <w:marLeft w:val="0"/>
              <w:marRight w:val="0"/>
              <w:marTop w:val="0"/>
              <w:marBottom w:val="0"/>
              <w:divBdr>
                <w:top w:val="none" w:sz="0" w:space="0" w:color="auto"/>
                <w:left w:val="none" w:sz="0" w:space="0" w:color="auto"/>
                <w:bottom w:val="none" w:sz="0" w:space="0" w:color="auto"/>
                <w:right w:val="none" w:sz="0" w:space="0" w:color="auto"/>
              </w:divBdr>
              <w:divsChild>
                <w:div w:id="172833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73142">
      <w:bodyDiv w:val="1"/>
      <w:marLeft w:val="0"/>
      <w:marRight w:val="0"/>
      <w:marTop w:val="0"/>
      <w:marBottom w:val="0"/>
      <w:divBdr>
        <w:top w:val="none" w:sz="0" w:space="0" w:color="auto"/>
        <w:left w:val="none" w:sz="0" w:space="0" w:color="auto"/>
        <w:bottom w:val="none" w:sz="0" w:space="0" w:color="auto"/>
        <w:right w:val="none" w:sz="0" w:space="0" w:color="auto"/>
      </w:divBdr>
    </w:div>
    <w:div w:id="765079495">
      <w:bodyDiv w:val="1"/>
      <w:marLeft w:val="0"/>
      <w:marRight w:val="0"/>
      <w:marTop w:val="0"/>
      <w:marBottom w:val="0"/>
      <w:divBdr>
        <w:top w:val="none" w:sz="0" w:space="0" w:color="auto"/>
        <w:left w:val="none" w:sz="0" w:space="0" w:color="auto"/>
        <w:bottom w:val="none" w:sz="0" w:space="0" w:color="auto"/>
        <w:right w:val="none" w:sz="0" w:space="0" w:color="auto"/>
      </w:divBdr>
    </w:div>
    <w:div w:id="765686039">
      <w:bodyDiv w:val="1"/>
      <w:marLeft w:val="0"/>
      <w:marRight w:val="0"/>
      <w:marTop w:val="0"/>
      <w:marBottom w:val="0"/>
      <w:divBdr>
        <w:top w:val="none" w:sz="0" w:space="0" w:color="auto"/>
        <w:left w:val="none" w:sz="0" w:space="0" w:color="auto"/>
        <w:bottom w:val="none" w:sz="0" w:space="0" w:color="auto"/>
        <w:right w:val="none" w:sz="0" w:space="0" w:color="auto"/>
      </w:divBdr>
      <w:divsChild>
        <w:div w:id="227958341">
          <w:marLeft w:val="0"/>
          <w:marRight w:val="0"/>
          <w:marTop w:val="0"/>
          <w:marBottom w:val="0"/>
          <w:divBdr>
            <w:top w:val="none" w:sz="0" w:space="0" w:color="auto"/>
            <w:left w:val="none" w:sz="0" w:space="0" w:color="auto"/>
            <w:bottom w:val="none" w:sz="0" w:space="0" w:color="auto"/>
            <w:right w:val="none" w:sz="0" w:space="0" w:color="auto"/>
          </w:divBdr>
          <w:divsChild>
            <w:div w:id="657539887">
              <w:marLeft w:val="0"/>
              <w:marRight w:val="0"/>
              <w:marTop w:val="0"/>
              <w:marBottom w:val="0"/>
              <w:divBdr>
                <w:top w:val="none" w:sz="0" w:space="0" w:color="auto"/>
                <w:left w:val="none" w:sz="0" w:space="0" w:color="auto"/>
                <w:bottom w:val="none" w:sz="0" w:space="0" w:color="auto"/>
                <w:right w:val="none" w:sz="0" w:space="0" w:color="auto"/>
              </w:divBdr>
              <w:divsChild>
                <w:div w:id="2103455718">
                  <w:marLeft w:val="0"/>
                  <w:marRight w:val="0"/>
                  <w:marTop w:val="0"/>
                  <w:marBottom w:val="0"/>
                  <w:divBdr>
                    <w:top w:val="none" w:sz="0" w:space="0" w:color="auto"/>
                    <w:left w:val="none" w:sz="0" w:space="0" w:color="auto"/>
                    <w:bottom w:val="none" w:sz="0" w:space="0" w:color="auto"/>
                    <w:right w:val="none" w:sz="0" w:space="0" w:color="auto"/>
                  </w:divBdr>
                  <w:divsChild>
                    <w:div w:id="88353718">
                      <w:marLeft w:val="0"/>
                      <w:marRight w:val="0"/>
                      <w:marTop w:val="0"/>
                      <w:marBottom w:val="0"/>
                      <w:divBdr>
                        <w:top w:val="none" w:sz="0" w:space="0" w:color="auto"/>
                        <w:left w:val="none" w:sz="0" w:space="0" w:color="auto"/>
                        <w:bottom w:val="none" w:sz="0" w:space="0" w:color="auto"/>
                        <w:right w:val="none" w:sz="0" w:space="0" w:color="auto"/>
                      </w:divBdr>
                      <w:divsChild>
                        <w:div w:id="551622708">
                          <w:marLeft w:val="0"/>
                          <w:marRight w:val="0"/>
                          <w:marTop w:val="0"/>
                          <w:marBottom w:val="0"/>
                          <w:divBdr>
                            <w:top w:val="none" w:sz="0" w:space="0" w:color="auto"/>
                            <w:left w:val="none" w:sz="0" w:space="0" w:color="auto"/>
                            <w:bottom w:val="none" w:sz="0" w:space="0" w:color="auto"/>
                            <w:right w:val="none" w:sz="0" w:space="0" w:color="auto"/>
                          </w:divBdr>
                          <w:divsChild>
                            <w:div w:id="1232152289">
                              <w:marLeft w:val="0"/>
                              <w:marRight w:val="0"/>
                              <w:marTop w:val="0"/>
                              <w:marBottom w:val="0"/>
                              <w:divBdr>
                                <w:top w:val="none" w:sz="0" w:space="0" w:color="auto"/>
                                <w:left w:val="none" w:sz="0" w:space="0" w:color="auto"/>
                                <w:bottom w:val="none" w:sz="0" w:space="0" w:color="auto"/>
                                <w:right w:val="none" w:sz="0" w:space="0" w:color="auto"/>
                              </w:divBdr>
                              <w:divsChild>
                                <w:div w:id="1528134393">
                                  <w:marLeft w:val="0"/>
                                  <w:marRight w:val="0"/>
                                  <w:marTop w:val="0"/>
                                  <w:marBottom w:val="0"/>
                                  <w:divBdr>
                                    <w:top w:val="none" w:sz="0" w:space="0" w:color="auto"/>
                                    <w:left w:val="none" w:sz="0" w:space="0" w:color="auto"/>
                                    <w:bottom w:val="none" w:sz="0" w:space="0" w:color="auto"/>
                                    <w:right w:val="none" w:sz="0" w:space="0" w:color="auto"/>
                                  </w:divBdr>
                                  <w:divsChild>
                                    <w:div w:id="108287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004544">
      <w:bodyDiv w:val="1"/>
      <w:marLeft w:val="0"/>
      <w:marRight w:val="0"/>
      <w:marTop w:val="0"/>
      <w:marBottom w:val="0"/>
      <w:divBdr>
        <w:top w:val="none" w:sz="0" w:space="0" w:color="auto"/>
        <w:left w:val="none" w:sz="0" w:space="0" w:color="auto"/>
        <w:bottom w:val="none" w:sz="0" w:space="0" w:color="auto"/>
        <w:right w:val="none" w:sz="0" w:space="0" w:color="auto"/>
      </w:divBdr>
      <w:divsChild>
        <w:div w:id="12926968">
          <w:marLeft w:val="0"/>
          <w:marRight w:val="0"/>
          <w:marTop w:val="0"/>
          <w:marBottom w:val="0"/>
          <w:divBdr>
            <w:top w:val="none" w:sz="0" w:space="0" w:color="auto"/>
            <w:left w:val="none" w:sz="0" w:space="0" w:color="auto"/>
            <w:bottom w:val="none" w:sz="0" w:space="0" w:color="auto"/>
            <w:right w:val="none" w:sz="0" w:space="0" w:color="auto"/>
          </w:divBdr>
          <w:divsChild>
            <w:div w:id="196071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080984">
      <w:bodyDiv w:val="1"/>
      <w:marLeft w:val="0"/>
      <w:marRight w:val="0"/>
      <w:marTop w:val="0"/>
      <w:marBottom w:val="0"/>
      <w:divBdr>
        <w:top w:val="none" w:sz="0" w:space="0" w:color="auto"/>
        <w:left w:val="none" w:sz="0" w:space="0" w:color="auto"/>
        <w:bottom w:val="none" w:sz="0" w:space="0" w:color="auto"/>
        <w:right w:val="none" w:sz="0" w:space="0" w:color="auto"/>
      </w:divBdr>
      <w:divsChild>
        <w:div w:id="1596597705">
          <w:marLeft w:val="0"/>
          <w:marRight w:val="0"/>
          <w:marTop w:val="0"/>
          <w:marBottom w:val="150"/>
          <w:divBdr>
            <w:top w:val="none" w:sz="0" w:space="0" w:color="auto"/>
            <w:left w:val="none" w:sz="0" w:space="0" w:color="auto"/>
            <w:bottom w:val="none" w:sz="0" w:space="0" w:color="auto"/>
            <w:right w:val="none" w:sz="0" w:space="0" w:color="auto"/>
          </w:divBdr>
        </w:div>
      </w:divsChild>
    </w:div>
    <w:div w:id="766122532">
      <w:bodyDiv w:val="1"/>
      <w:marLeft w:val="0"/>
      <w:marRight w:val="0"/>
      <w:marTop w:val="0"/>
      <w:marBottom w:val="0"/>
      <w:divBdr>
        <w:top w:val="none" w:sz="0" w:space="0" w:color="auto"/>
        <w:left w:val="none" w:sz="0" w:space="0" w:color="auto"/>
        <w:bottom w:val="none" w:sz="0" w:space="0" w:color="auto"/>
        <w:right w:val="none" w:sz="0" w:space="0" w:color="auto"/>
      </w:divBdr>
      <w:divsChild>
        <w:div w:id="407700755">
          <w:marLeft w:val="0"/>
          <w:marRight w:val="0"/>
          <w:marTop w:val="0"/>
          <w:marBottom w:val="0"/>
          <w:divBdr>
            <w:top w:val="none" w:sz="0" w:space="0" w:color="auto"/>
            <w:left w:val="none" w:sz="0" w:space="0" w:color="auto"/>
            <w:bottom w:val="none" w:sz="0" w:space="0" w:color="auto"/>
            <w:right w:val="none" w:sz="0" w:space="0" w:color="auto"/>
          </w:divBdr>
          <w:divsChild>
            <w:div w:id="37239415">
              <w:marLeft w:val="0"/>
              <w:marRight w:val="0"/>
              <w:marTop w:val="0"/>
              <w:marBottom w:val="150"/>
              <w:divBdr>
                <w:top w:val="none" w:sz="0" w:space="0" w:color="auto"/>
                <w:left w:val="none" w:sz="0" w:space="0" w:color="auto"/>
                <w:bottom w:val="none" w:sz="0" w:space="0" w:color="auto"/>
                <w:right w:val="none" w:sz="0" w:space="0" w:color="auto"/>
              </w:divBdr>
            </w:div>
            <w:div w:id="309597216">
              <w:marLeft w:val="0"/>
              <w:marRight w:val="0"/>
              <w:marTop w:val="0"/>
              <w:marBottom w:val="0"/>
              <w:divBdr>
                <w:top w:val="none" w:sz="0" w:space="0" w:color="auto"/>
                <w:left w:val="none" w:sz="0" w:space="0" w:color="auto"/>
                <w:bottom w:val="none" w:sz="0" w:space="0" w:color="auto"/>
                <w:right w:val="none" w:sz="0" w:space="0" w:color="auto"/>
              </w:divBdr>
              <w:divsChild>
                <w:div w:id="131151768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99804341">
          <w:marLeft w:val="0"/>
          <w:marRight w:val="0"/>
          <w:marTop w:val="0"/>
          <w:marBottom w:val="150"/>
          <w:divBdr>
            <w:top w:val="none" w:sz="0" w:space="0" w:color="auto"/>
            <w:left w:val="none" w:sz="0" w:space="0" w:color="auto"/>
            <w:bottom w:val="none" w:sz="0" w:space="0" w:color="auto"/>
            <w:right w:val="none" w:sz="0" w:space="0" w:color="auto"/>
          </w:divBdr>
          <w:divsChild>
            <w:div w:id="883832995">
              <w:marLeft w:val="0"/>
              <w:marRight w:val="0"/>
              <w:marTop w:val="0"/>
              <w:marBottom w:val="0"/>
              <w:divBdr>
                <w:top w:val="none" w:sz="0" w:space="0" w:color="auto"/>
                <w:left w:val="none" w:sz="0" w:space="0" w:color="auto"/>
                <w:bottom w:val="none" w:sz="0" w:space="0" w:color="auto"/>
                <w:right w:val="none" w:sz="0" w:space="0" w:color="auto"/>
              </w:divBdr>
              <w:divsChild>
                <w:div w:id="70879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123286">
      <w:bodyDiv w:val="1"/>
      <w:marLeft w:val="0"/>
      <w:marRight w:val="0"/>
      <w:marTop w:val="0"/>
      <w:marBottom w:val="0"/>
      <w:divBdr>
        <w:top w:val="none" w:sz="0" w:space="0" w:color="auto"/>
        <w:left w:val="none" w:sz="0" w:space="0" w:color="auto"/>
        <w:bottom w:val="none" w:sz="0" w:space="0" w:color="auto"/>
        <w:right w:val="none" w:sz="0" w:space="0" w:color="auto"/>
      </w:divBdr>
    </w:div>
    <w:div w:id="766848747">
      <w:bodyDiv w:val="1"/>
      <w:marLeft w:val="0"/>
      <w:marRight w:val="0"/>
      <w:marTop w:val="0"/>
      <w:marBottom w:val="0"/>
      <w:divBdr>
        <w:top w:val="none" w:sz="0" w:space="0" w:color="auto"/>
        <w:left w:val="none" w:sz="0" w:space="0" w:color="auto"/>
        <w:bottom w:val="none" w:sz="0" w:space="0" w:color="auto"/>
        <w:right w:val="none" w:sz="0" w:space="0" w:color="auto"/>
      </w:divBdr>
      <w:divsChild>
        <w:div w:id="2007243289">
          <w:marLeft w:val="0"/>
          <w:marRight w:val="0"/>
          <w:marTop w:val="0"/>
          <w:marBottom w:val="0"/>
          <w:divBdr>
            <w:top w:val="none" w:sz="0" w:space="0" w:color="auto"/>
            <w:left w:val="none" w:sz="0" w:space="0" w:color="auto"/>
            <w:bottom w:val="none" w:sz="0" w:space="0" w:color="auto"/>
            <w:right w:val="none" w:sz="0" w:space="0" w:color="auto"/>
          </w:divBdr>
        </w:div>
      </w:divsChild>
    </w:div>
    <w:div w:id="766969625">
      <w:bodyDiv w:val="1"/>
      <w:marLeft w:val="0"/>
      <w:marRight w:val="0"/>
      <w:marTop w:val="0"/>
      <w:marBottom w:val="0"/>
      <w:divBdr>
        <w:top w:val="none" w:sz="0" w:space="0" w:color="auto"/>
        <w:left w:val="none" w:sz="0" w:space="0" w:color="auto"/>
        <w:bottom w:val="none" w:sz="0" w:space="0" w:color="auto"/>
        <w:right w:val="none" w:sz="0" w:space="0" w:color="auto"/>
      </w:divBdr>
    </w:div>
    <w:div w:id="766996333">
      <w:bodyDiv w:val="1"/>
      <w:marLeft w:val="0"/>
      <w:marRight w:val="0"/>
      <w:marTop w:val="0"/>
      <w:marBottom w:val="0"/>
      <w:divBdr>
        <w:top w:val="none" w:sz="0" w:space="0" w:color="auto"/>
        <w:left w:val="none" w:sz="0" w:space="0" w:color="auto"/>
        <w:bottom w:val="none" w:sz="0" w:space="0" w:color="auto"/>
        <w:right w:val="none" w:sz="0" w:space="0" w:color="auto"/>
      </w:divBdr>
      <w:divsChild>
        <w:div w:id="1699351224">
          <w:marLeft w:val="0"/>
          <w:marRight w:val="0"/>
          <w:marTop w:val="0"/>
          <w:marBottom w:val="0"/>
          <w:divBdr>
            <w:top w:val="none" w:sz="0" w:space="0" w:color="auto"/>
            <w:left w:val="none" w:sz="0" w:space="0" w:color="auto"/>
            <w:bottom w:val="none" w:sz="0" w:space="0" w:color="auto"/>
            <w:right w:val="none" w:sz="0" w:space="0" w:color="auto"/>
          </w:divBdr>
          <w:divsChild>
            <w:div w:id="89785413">
              <w:marLeft w:val="0"/>
              <w:marRight w:val="0"/>
              <w:marTop w:val="0"/>
              <w:marBottom w:val="0"/>
              <w:divBdr>
                <w:top w:val="none" w:sz="0" w:space="0" w:color="auto"/>
                <w:left w:val="none" w:sz="0" w:space="0" w:color="auto"/>
                <w:bottom w:val="none" w:sz="0" w:space="0" w:color="auto"/>
                <w:right w:val="none" w:sz="0" w:space="0" w:color="auto"/>
              </w:divBdr>
            </w:div>
            <w:div w:id="4786942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66996621">
      <w:bodyDiv w:val="1"/>
      <w:marLeft w:val="0"/>
      <w:marRight w:val="0"/>
      <w:marTop w:val="0"/>
      <w:marBottom w:val="0"/>
      <w:divBdr>
        <w:top w:val="none" w:sz="0" w:space="0" w:color="auto"/>
        <w:left w:val="none" w:sz="0" w:space="0" w:color="auto"/>
        <w:bottom w:val="none" w:sz="0" w:space="0" w:color="auto"/>
        <w:right w:val="none" w:sz="0" w:space="0" w:color="auto"/>
      </w:divBdr>
      <w:divsChild>
        <w:div w:id="1326393321">
          <w:marLeft w:val="0"/>
          <w:marRight w:val="0"/>
          <w:marTop w:val="0"/>
          <w:marBottom w:val="0"/>
          <w:divBdr>
            <w:top w:val="none" w:sz="0" w:space="0" w:color="auto"/>
            <w:left w:val="none" w:sz="0" w:space="0" w:color="auto"/>
            <w:bottom w:val="dotted" w:sz="6" w:space="4" w:color="DDDDDD"/>
            <w:right w:val="none" w:sz="0" w:space="0" w:color="auto"/>
          </w:divBdr>
          <w:divsChild>
            <w:div w:id="193582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195380">
      <w:bodyDiv w:val="1"/>
      <w:marLeft w:val="0"/>
      <w:marRight w:val="0"/>
      <w:marTop w:val="0"/>
      <w:marBottom w:val="0"/>
      <w:divBdr>
        <w:top w:val="none" w:sz="0" w:space="0" w:color="auto"/>
        <w:left w:val="none" w:sz="0" w:space="0" w:color="auto"/>
        <w:bottom w:val="none" w:sz="0" w:space="0" w:color="auto"/>
        <w:right w:val="none" w:sz="0" w:space="0" w:color="auto"/>
      </w:divBdr>
      <w:divsChild>
        <w:div w:id="807746071">
          <w:marLeft w:val="0"/>
          <w:marRight w:val="0"/>
          <w:marTop w:val="0"/>
          <w:marBottom w:val="0"/>
          <w:divBdr>
            <w:top w:val="none" w:sz="0" w:space="0" w:color="auto"/>
            <w:left w:val="none" w:sz="0" w:space="0" w:color="auto"/>
            <w:bottom w:val="dotted" w:sz="6" w:space="4" w:color="DDDDDD"/>
            <w:right w:val="none" w:sz="0" w:space="0" w:color="auto"/>
          </w:divBdr>
          <w:divsChild>
            <w:div w:id="131564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01314">
      <w:bodyDiv w:val="1"/>
      <w:marLeft w:val="0"/>
      <w:marRight w:val="0"/>
      <w:marTop w:val="0"/>
      <w:marBottom w:val="0"/>
      <w:divBdr>
        <w:top w:val="none" w:sz="0" w:space="0" w:color="auto"/>
        <w:left w:val="none" w:sz="0" w:space="0" w:color="auto"/>
        <w:bottom w:val="none" w:sz="0" w:space="0" w:color="auto"/>
        <w:right w:val="none" w:sz="0" w:space="0" w:color="auto"/>
      </w:divBdr>
    </w:div>
    <w:div w:id="767624181">
      <w:bodyDiv w:val="1"/>
      <w:marLeft w:val="0"/>
      <w:marRight w:val="0"/>
      <w:marTop w:val="0"/>
      <w:marBottom w:val="0"/>
      <w:divBdr>
        <w:top w:val="none" w:sz="0" w:space="0" w:color="auto"/>
        <w:left w:val="none" w:sz="0" w:space="0" w:color="auto"/>
        <w:bottom w:val="none" w:sz="0" w:space="0" w:color="auto"/>
        <w:right w:val="none" w:sz="0" w:space="0" w:color="auto"/>
      </w:divBdr>
      <w:divsChild>
        <w:div w:id="35859906">
          <w:marLeft w:val="0"/>
          <w:marRight w:val="0"/>
          <w:marTop w:val="0"/>
          <w:marBottom w:val="150"/>
          <w:divBdr>
            <w:top w:val="none" w:sz="0" w:space="0" w:color="auto"/>
            <w:left w:val="none" w:sz="0" w:space="0" w:color="auto"/>
            <w:bottom w:val="none" w:sz="0" w:space="0" w:color="auto"/>
            <w:right w:val="none" w:sz="0" w:space="0" w:color="auto"/>
          </w:divBdr>
        </w:div>
        <w:div w:id="203060467">
          <w:marLeft w:val="0"/>
          <w:marRight w:val="0"/>
          <w:marTop w:val="0"/>
          <w:marBottom w:val="0"/>
          <w:divBdr>
            <w:top w:val="none" w:sz="0" w:space="0" w:color="auto"/>
            <w:left w:val="none" w:sz="0" w:space="0" w:color="auto"/>
            <w:bottom w:val="none" w:sz="0" w:space="0" w:color="auto"/>
            <w:right w:val="none" w:sz="0" w:space="0" w:color="auto"/>
          </w:divBdr>
          <w:divsChild>
            <w:div w:id="1300960721">
              <w:marLeft w:val="0"/>
              <w:marRight w:val="0"/>
              <w:marTop w:val="225"/>
              <w:marBottom w:val="225"/>
              <w:divBdr>
                <w:top w:val="none" w:sz="0" w:space="0" w:color="auto"/>
                <w:left w:val="none" w:sz="0" w:space="0" w:color="auto"/>
                <w:bottom w:val="none" w:sz="0" w:space="0" w:color="auto"/>
                <w:right w:val="none" w:sz="0" w:space="0" w:color="auto"/>
              </w:divBdr>
            </w:div>
          </w:divsChild>
        </w:div>
        <w:div w:id="222329511">
          <w:marLeft w:val="0"/>
          <w:marRight w:val="0"/>
          <w:marTop w:val="0"/>
          <w:marBottom w:val="150"/>
          <w:divBdr>
            <w:top w:val="none" w:sz="0" w:space="0" w:color="auto"/>
            <w:left w:val="none" w:sz="0" w:space="0" w:color="auto"/>
            <w:bottom w:val="none" w:sz="0" w:space="0" w:color="auto"/>
            <w:right w:val="none" w:sz="0" w:space="0" w:color="auto"/>
          </w:divBdr>
          <w:divsChild>
            <w:div w:id="1330253115">
              <w:marLeft w:val="0"/>
              <w:marRight w:val="0"/>
              <w:marTop w:val="0"/>
              <w:marBottom w:val="0"/>
              <w:divBdr>
                <w:top w:val="none" w:sz="0" w:space="0" w:color="auto"/>
                <w:left w:val="none" w:sz="0" w:space="0" w:color="auto"/>
                <w:bottom w:val="none" w:sz="0" w:space="0" w:color="auto"/>
                <w:right w:val="none" w:sz="0" w:space="0" w:color="auto"/>
              </w:divBdr>
              <w:divsChild>
                <w:div w:id="46301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6252">
      <w:bodyDiv w:val="1"/>
      <w:marLeft w:val="0"/>
      <w:marRight w:val="0"/>
      <w:marTop w:val="0"/>
      <w:marBottom w:val="0"/>
      <w:divBdr>
        <w:top w:val="none" w:sz="0" w:space="0" w:color="auto"/>
        <w:left w:val="none" w:sz="0" w:space="0" w:color="auto"/>
        <w:bottom w:val="none" w:sz="0" w:space="0" w:color="auto"/>
        <w:right w:val="none" w:sz="0" w:space="0" w:color="auto"/>
      </w:divBdr>
      <w:divsChild>
        <w:div w:id="333533131">
          <w:marLeft w:val="0"/>
          <w:marRight w:val="0"/>
          <w:marTop w:val="0"/>
          <w:marBottom w:val="0"/>
          <w:divBdr>
            <w:top w:val="none" w:sz="0" w:space="0" w:color="auto"/>
            <w:left w:val="none" w:sz="0" w:space="0" w:color="auto"/>
            <w:bottom w:val="none" w:sz="0" w:space="0" w:color="auto"/>
            <w:right w:val="none" w:sz="0" w:space="0" w:color="auto"/>
          </w:divBdr>
          <w:divsChild>
            <w:div w:id="143027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936334">
      <w:bodyDiv w:val="1"/>
      <w:marLeft w:val="0"/>
      <w:marRight w:val="0"/>
      <w:marTop w:val="0"/>
      <w:marBottom w:val="0"/>
      <w:divBdr>
        <w:top w:val="none" w:sz="0" w:space="0" w:color="auto"/>
        <w:left w:val="none" w:sz="0" w:space="0" w:color="auto"/>
        <w:bottom w:val="none" w:sz="0" w:space="0" w:color="auto"/>
        <w:right w:val="none" w:sz="0" w:space="0" w:color="auto"/>
      </w:divBdr>
      <w:divsChild>
        <w:div w:id="633294498">
          <w:marLeft w:val="0"/>
          <w:marRight w:val="0"/>
          <w:marTop w:val="0"/>
          <w:marBottom w:val="0"/>
          <w:divBdr>
            <w:top w:val="none" w:sz="0" w:space="0" w:color="auto"/>
            <w:left w:val="none" w:sz="0" w:space="0" w:color="auto"/>
            <w:bottom w:val="none" w:sz="0" w:space="0" w:color="auto"/>
            <w:right w:val="none" w:sz="0" w:space="0" w:color="auto"/>
          </w:divBdr>
          <w:divsChild>
            <w:div w:id="1304582191">
              <w:marLeft w:val="0"/>
              <w:marRight w:val="0"/>
              <w:marTop w:val="0"/>
              <w:marBottom w:val="0"/>
              <w:divBdr>
                <w:top w:val="none" w:sz="0" w:space="0" w:color="auto"/>
                <w:left w:val="none" w:sz="0" w:space="0" w:color="auto"/>
                <w:bottom w:val="none" w:sz="0" w:space="0" w:color="auto"/>
                <w:right w:val="none" w:sz="0" w:space="0" w:color="auto"/>
              </w:divBdr>
              <w:divsChild>
                <w:div w:id="435711055">
                  <w:marLeft w:val="0"/>
                  <w:marRight w:val="0"/>
                  <w:marTop w:val="0"/>
                  <w:marBottom w:val="0"/>
                  <w:divBdr>
                    <w:top w:val="none" w:sz="0" w:space="0" w:color="auto"/>
                    <w:left w:val="none" w:sz="0" w:space="0" w:color="auto"/>
                    <w:bottom w:val="none" w:sz="0" w:space="0" w:color="auto"/>
                    <w:right w:val="none" w:sz="0" w:space="0" w:color="auto"/>
                  </w:divBdr>
                  <w:divsChild>
                    <w:div w:id="187181923">
                      <w:marLeft w:val="0"/>
                      <w:marRight w:val="0"/>
                      <w:marTop w:val="0"/>
                      <w:marBottom w:val="300"/>
                      <w:divBdr>
                        <w:top w:val="none" w:sz="0" w:space="0" w:color="auto"/>
                        <w:left w:val="none" w:sz="0" w:space="0" w:color="auto"/>
                        <w:bottom w:val="none" w:sz="0" w:space="0" w:color="auto"/>
                        <w:right w:val="none" w:sz="0" w:space="0" w:color="auto"/>
                      </w:divBdr>
                      <w:divsChild>
                        <w:div w:id="127288722">
                          <w:marLeft w:val="0"/>
                          <w:marRight w:val="0"/>
                          <w:marTop w:val="0"/>
                          <w:marBottom w:val="225"/>
                          <w:divBdr>
                            <w:top w:val="single" w:sz="6" w:space="11" w:color="E5E5E5"/>
                            <w:left w:val="single" w:sz="6" w:space="11" w:color="E5E5E5"/>
                            <w:bottom w:val="single" w:sz="6" w:space="1" w:color="E5E5E5"/>
                            <w:right w:val="single" w:sz="6" w:space="11" w:color="E5E5E5"/>
                          </w:divBdr>
                          <w:divsChild>
                            <w:div w:id="142052231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831141293">
          <w:marLeft w:val="0"/>
          <w:marRight w:val="0"/>
          <w:marTop w:val="0"/>
          <w:marBottom w:val="0"/>
          <w:divBdr>
            <w:top w:val="single" w:sz="6" w:space="0" w:color="E5E5E5"/>
            <w:left w:val="none" w:sz="0" w:space="0" w:color="auto"/>
            <w:bottom w:val="single" w:sz="18" w:space="0" w:color="000000"/>
            <w:right w:val="none" w:sz="0" w:space="0" w:color="auto"/>
          </w:divBdr>
          <w:divsChild>
            <w:div w:id="1544244130">
              <w:marLeft w:val="0"/>
              <w:marRight w:val="0"/>
              <w:marTop w:val="0"/>
              <w:marBottom w:val="0"/>
              <w:divBdr>
                <w:top w:val="none" w:sz="0" w:space="0" w:color="auto"/>
                <w:left w:val="none" w:sz="0" w:space="0" w:color="auto"/>
                <w:bottom w:val="none" w:sz="0" w:space="0" w:color="auto"/>
                <w:right w:val="none" w:sz="0" w:space="0" w:color="auto"/>
              </w:divBdr>
              <w:divsChild>
                <w:div w:id="5755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590996">
      <w:bodyDiv w:val="1"/>
      <w:marLeft w:val="0"/>
      <w:marRight w:val="0"/>
      <w:marTop w:val="0"/>
      <w:marBottom w:val="0"/>
      <w:divBdr>
        <w:top w:val="none" w:sz="0" w:space="0" w:color="auto"/>
        <w:left w:val="none" w:sz="0" w:space="0" w:color="auto"/>
        <w:bottom w:val="none" w:sz="0" w:space="0" w:color="auto"/>
        <w:right w:val="none" w:sz="0" w:space="0" w:color="auto"/>
      </w:divBdr>
    </w:div>
    <w:div w:id="770272784">
      <w:bodyDiv w:val="1"/>
      <w:marLeft w:val="0"/>
      <w:marRight w:val="0"/>
      <w:marTop w:val="0"/>
      <w:marBottom w:val="0"/>
      <w:divBdr>
        <w:top w:val="none" w:sz="0" w:space="0" w:color="auto"/>
        <w:left w:val="none" w:sz="0" w:space="0" w:color="auto"/>
        <w:bottom w:val="none" w:sz="0" w:space="0" w:color="auto"/>
        <w:right w:val="none" w:sz="0" w:space="0" w:color="auto"/>
      </w:divBdr>
      <w:divsChild>
        <w:div w:id="1487090556">
          <w:marLeft w:val="0"/>
          <w:marRight w:val="0"/>
          <w:marTop w:val="0"/>
          <w:marBottom w:val="0"/>
          <w:divBdr>
            <w:top w:val="none" w:sz="0" w:space="0" w:color="auto"/>
            <w:left w:val="none" w:sz="0" w:space="0" w:color="auto"/>
            <w:bottom w:val="none" w:sz="0" w:space="0" w:color="auto"/>
            <w:right w:val="none" w:sz="0" w:space="0" w:color="auto"/>
          </w:divBdr>
          <w:divsChild>
            <w:div w:id="10099847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70393761">
      <w:bodyDiv w:val="1"/>
      <w:marLeft w:val="0"/>
      <w:marRight w:val="0"/>
      <w:marTop w:val="0"/>
      <w:marBottom w:val="0"/>
      <w:divBdr>
        <w:top w:val="none" w:sz="0" w:space="0" w:color="auto"/>
        <w:left w:val="none" w:sz="0" w:space="0" w:color="auto"/>
        <w:bottom w:val="none" w:sz="0" w:space="0" w:color="auto"/>
        <w:right w:val="none" w:sz="0" w:space="0" w:color="auto"/>
      </w:divBdr>
    </w:div>
    <w:div w:id="770394451">
      <w:bodyDiv w:val="1"/>
      <w:marLeft w:val="0"/>
      <w:marRight w:val="0"/>
      <w:marTop w:val="0"/>
      <w:marBottom w:val="0"/>
      <w:divBdr>
        <w:top w:val="none" w:sz="0" w:space="0" w:color="auto"/>
        <w:left w:val="none" w:sz="0" w:space="0" w:color="auto"/>
        <w:bottom w:val="none" w:sz="0" w:space="0" w:color="auto"/>
        <w:right w:val="none" w:sz="0" w:space="0" w:color="auto"/>
      </w:divBdr>
    </w:div>
    <w:div w:id="770583716">
      <w:bodyDiv w:val="1"/>
      <w:marLeft w:val="0"/>
      <w:marRight w:val="0"/>
      <w:marTop w:val="0"/>
      <w:marBottom w:val="0"/>
      <w:divBdr>
        <w:top w:val="none" w:sz="0" w:space="0" w:color="auto"/>
        <w:left w:val="none" w:sz="0" w:space="0" w:color="auto"/>
        <w:bottom w:val="none" w:sz="0" w:space="0" w:color="auto"/>
        <w:right w:val="none" w:sz="0" w:space="0" w:color="auto"/>
      </w:divBdr>
    </w:div>
    <w:div w:id="770663848">
      <w:bodyDiv w:val="1"/>
      <w:marLeft w:val="0"/>
      <w:marRight w:val="0"/>
      <w:marTop w:val="0"/>
      <w:marBottom w:val="0"/>
      <w:divBdr>
        <w:top w:val="none" w:sz="0" w:space="0" w:color="auto"/>
        <w:left w:val="none" w:sz="0" w:space="0" w:color="auto"/>
        <w:bottom w:val="none" w:sz="0" w:space="0" w:color="auto"/>
        <w:right w:val="none" w:sz="0" w:space="0" w:color="auto"/>
      </w:divBdr>
      <w:divsChild>
        <w:div w:id="967050211">
          <w:marLeft w:val="0"/>
          <w:marRight w:val="0"/>
          <w:marTop w:val="0"/>
          <w:marBottom w:val="0"/>
          <w:divBdr>
            <w:top w:val="none" w:sz="0" w:space="0" w:color="auto"/>
            <w:left w:val="none" w:sz="0" w:space="0" w:color="auto"/>
            <w:bottom w:val="none" w:sz="0" w:space="0" w:color="auto"/>
            <w:right w:val="none" w:sz="0" w:space="0" w:color="auto"/>
          </w:divBdr>
        </w:div>
        <w:div w:id="1474173490">
          <w:marLeft w:val="0"/>
          <w:marRight w:val="0"/>
          <w:marTop w:val="0"/>
          <w:marBottom w:val="75"/>
          <w:divBdr>
            <w:top w:val="none" w:sz="0" w:space="0" w:color="auto"/>
            <w:left w:val="none" w:sz="0" w:space="0" w:color="auto"/>
            <w:bottom w:val="none" w:sz="0" w:space="0" w:color="auto"/>
            <w:right w:val="none" w:sz="0" w:space="0" w:color="auto"/>
          </w:divBdr>
        </w:div>
        <w:div w:id="1625691687">
          <w:marLeft w:val="0"/>
          <w:marRight w:val="0"/>
          <w:marTop w:val="0"/>
          <w:marBottom w:val="0"/>
          <w:divBdr>
            <w:top w:val="none" w:sz="0" w:space="0" w:color="auto"/>
            <w:left w:val="none" w:sz="0" w:space="0" w:color="auto"/>
            <w:bottom w:val="none" w:sz="0" w:space="0" w:color="auto"/>
            <w:right w:val="none" w:sz="0" w:space="0" w:color="auto"/>
          </w:divBdr>
          <w:divsChild>
            <w:div w:id="1896425747">
              <w:marLeft w:val="0"/>
              <w:marRight w:val="0"/>
              <w:marTop w:val="0"/>
              <w:marBottom w:val="0"/>
              <w:divBdr>
                <w:top w:val="none" w:sz="0" w:space="0" w:color="auto"/>
                <w:left w:val="none" w:sz="0" w:space="0" w:color="auto"/>
                <w:bottom w:val="none" w:sz="0" w:space="0" w:color="auto"/>
                <w:right w:val="none" w:sz="0" w:space="0" w:color="auto"/>
              </w:divBdr>
              <w:divsChild>
                <w:div w:id="47835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072166">
          <w:marLeft w:val="0"/>
          <w:marRight w:val="0"/>
          <w:marTop w:val="0"/>
          <w:marBottom w:val="300"/>
          <w:divBdr>
            <w:top w:val="none" w:sz="0" w:space="0" w:color="auto"/>
            <w:left w:val="none" w:sz="0" w:space="0" w:color="auto"/>
            <w:bottom w:val="none" w:sz="0" w:space="0" w:color="auto"/>
            <w:right w:val="none" w:sz="0" w:space="0" w:color="auto"/>
          </w:divBdr>
          <w:divsChild>
            <w:div w:id="211382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664958">
      <w:bodyDiv w:val="1"/>
      <w:marLeft w:val="0"/>
      <w:marRight w:val="0"/>
      <w:marTop w:val="0"/>
      <w:marBottom w:val="0"/>
      <w:divBdr>
        <w:top w:val="none" w:sz="0" w:space="0" w:color="auto"/>
        <w:left w:val="none" w:sz="0" w:space="0" w:color="auto"/>
        <w:bottom w:val="none" w:sz="0" w:space="0" w:color="auto"/>
        <w:right w:val="none" w:sz="0" w:space="0" w:color="auto"/>
      </w:divBdr>
      <w:divsChild>
        <w:div w:id="1224147055">
          <w:marLeft w:val="0"/>
          <w:marRight w:val="0"/>
          <w:marTop w:val="0"/>
          <w:marBottom w:val="0"/>
          <w:divBdr>
            <w:top w:val="none" w:sz="0" w:space="0" w:color="auto"/>
            <w:left w:val="none" w:sz="0" w:space="0" w:color="auto"/>
            <w:bottom w:val="none" w:sz="0" w:space="0" w:color="auto"/>
            <w:right w:val="none" w:sz="0" w:space="0" w:color="auto"/>
          </w:divBdr>
        </w:div>
      </w:divsChild>
    </w:div>
    <w:div w:id="771168056">
      <w:bodyDiv w:val="1"/>
      <w:marLeft w:val="0"/>
      <w:marRight w:val="0"/>
      <w:marTop w:val="0"/>
      <w:marBottom w:val="0"/>
      <w:divBdr>
        <w:top w:val="none" w:sz="0" w:space="0" w:color="auto"/>
        <w:left w:val="none" w:sz="0" w:space="0" w:color="auto"/>
        <w:bottom w:val="none" w:sz="0" w:space="0" w:color="auto"/>
        <w:right w:val="none" w:sz="0" w:space="0" w:color="auto"/>
      </w:divBdr>
      <w:divsChild>
        <w:div w:id="1032536023">
          <w:marLeft w:val="0"/>
          <w:marRight w:val="0"/>
          <w:marTop w:val="0"/>
          <w:marBottom w:val="0"/>
          <w:divBdr>
            <w:top w:val="none" w:sz="0" w:space="0" w:color="auto"/>
            <w:left w:val="none" w:sz="0" w:space="0" w:color="auto"/>
            <w:bottom w:val="dotted" w:sz="6" w:space="4" w:color="DDDDDD"/>
            <w:right w:val="none" w:sz="0" w:space="0" w:color="auto"/>
          </w:divBdr>
          <w:divsChild>
            <w:div w:id="6000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828174">
      <w:bodyDiv w:val="1"/>
      <w:marLeft w:val="0"/>
      <w:marRight w:val="0"/>
      <w:marTop w:val="0"/>
      <w:marBottom w:val="0"/>
      <w:divBdr>
        <w:top w:val="none" w:sz="0" w:space="0" w:color="auto"/>
        <w:left w:val="none" w:sz="0" w:space="0" w:color="auto"/>
        <w:bottom w:val="none" w:sz="0" w:space="0" w:color="auto"/>
        <w:right w:val="none" w:sz="0" w:space="0" w:color="auto"/>
      </w:divBdr>
      <w:divsChild>
        <w:div w:id="550651665">
          <w:marLeft w:val="0"/>
          <w:marRight w:val="0"/>
          <w:marTop w:val="0"/>
          <w:marBottom w:val="0"/>
          <w:divBdr>
            <w:top w:val="none" w:sz="0" w:space="0" w:color="auto"/>
            <w:left w:val="none" w:sz="0" w:space="0" w:color="auto"/>
            <w:bottom w:val="none" w:sz="0" w:space="0" w:color="auto"/>
            <w:right w:val="none" w:sz="0" w:space="0" w:color="auto"/>
          </w:divBdr>
          <w:divsChild>
            <w:div w:id="400178851">
              <w:marLeft w:val="0"/>
              <w:marRight w:val="0"/>
              <w:marTop w:val="0"/>
              <w:marBottom w:val="0"/>
              <w:divBdr>
                <w:top w:val="none" w:sz="0" w:space="0" w:color="auto"/>
                <w:left w:val="none" w:sz="0" w:space="0" w:color="auto"/>
                <w:bottom w:val="single" w:sz="6" w:space="11" w:color="EBEBEB"/>
                <w:right w:val="none" w:sz="0" w:space="0" w:color="auto"/>
              </w:divBdr>
              <w:divsChild>
                <w:div w:id="56126045">
                  <w:marLeft w:val="0"/>
                  <w:marRight w:val="0"/>
                  <w:marTop w:val="0"/>
                  <w:marBottom w:val="0"/>
                  <w:divBdr>
                    <w:top w:val="none" w:sz="0" w:space="0" w:color="auto"/>
                    <w:left w:val="none" w:sz="0" w:space="0" w:color="auto"/>
                    <w:bottom w:val="none" w:sz="0" w:space="0" w:color="auto"/>
                    <w:right w:val="none" w:sz="0" w:space="0" w:color="auto"/>
                  </w:divBdr>
                  <w:divsChild>
                    <w:div w:id="1923562523">
                      <w:marLeft w:val="0"/>
                      <w:marRight w:val="0"/>
                      <w:marTop w:val="0"/>
                      <w:marBottom w:val="0"/>
                      <w:divBdr>
                        <w:top w:val="none" w:sz="0" w:space="0" w:color="auto"/>
                        <w:left w:val="none" w:sz="0" w:space="0" w:color="auto"/>
                        <w:bottom w:val="none" w:sz="0" w:space="0" w:color="auto"/>
                        <w:right w:val="none" w:sz="0" w:space="0" w:color="auto"/>
                      </w:divBdr>
                    </w:div>
                  </w:divsChild>
                </w:div>
                <w:div w:id="37122502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12400722">
          <w:marLeft w:val="0"/>
          <w:marRight w:val="0"/>
          <w:marTop w:val="0"/>
          <w:marBottom w:val="0"/>
          <w:divBdr>
            <w:top w:val="none" w:sz="0" w:space="0" w:color="auto"/>
            <w:left w:val="none" w:sz="0" w:space="0" w:color="auto"/>
            <w:bottom w:val="none" w:sz="0" w:space="0" w:color="auto"/>
            <w:right w:val="none" w:sz="0" w:space="0" w:color="auto"/>
          </w:divBdr>
        </w:div>
        <w:div w:id="1950157205">
          <w:marLeft w:val="0"/>
          <w:marRight w:val="0"/>
          <w:marTop w:val="450"/>
          <w:marBottom w:val="600"/>
          <w:divBdr>
            <w:top w:val="none" w:sz="0" w:space="0" w:color="auto"/>
            <w:left w:val="none" w:sz="0" w:space="0" w:color="auto"/>
            <w:bottom w:val="none" w:sz="0" w:space="0" w:color="auto"/>
            <w:right w:val="none" w:sz="0" w:space="0" w:color="auto"/>
          </w:divBdr>
          <w:divsChild>
            <w:div w:id="89159333">
              <w:marLeft w:val="0"/>
              <w:marRight w:val="0"/>
              <w:marTop w:val="0"/>
              <w:marBottom w:val="0"/>
              <w:divBdr>
                <w:top w:val="none" w:sz="0" w:space="0" w:color="auto"/>
                <w:left w:val="none" w:sz="0" w:space="0" w:color="auto"/>
                <w:bottom w:val="none" w:sz="0" w:space="0" w:color="auto"/>
                <w:right w:val="none" w:sz="0" w:space="0" w:color="auto"/>
              </w:divBdr>
            </w:div>
            <w:div w:id="1912155082">
              <w:marLeft w:val="0"/>
              <w:marRight w:val="0"/>
              <w:marTop w:val="0"/>
              <w:marBottom w:val="0"/>
              <w:divBdr>
                <w:top w:val="none" w:sz="0" w:space="0" w:color="auto"/>
                <w:left w:val="none" w:sz="0" w:space="0" w:color="auto"/>
                <w:bottom w:val="none" w:sz="0" w:space="0" w:color="auto"/>
                <w:right w:val="none" w:sz="0" w:space="0" w:color="auto"/>
              </w:divBdr>
              <w:divsChild>
                <w:div w:id="136447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902978">
      <w:bodyDiv w:val="1"/>
      <w:marLeft w:val="0"/>
      <w:marRight w:val="0"/>
      <w:marTop w:val="0"/>
      <w:marBottom w:val="0"/>
      <w:divBdr>
        <w:top w:val="none" w:sz="0" w:space="0" w:color="auto"/>
        <w:left w:val="none" w:sz="0" w:space="0" w:color="auto"/>
        <w:bottom w:val="none" w:sz="0" w:space="0" w:color="auto"/>
        <w:right w:val="none" w:sz="0" w:space="0" w:color="auto"/>
      </w:divBdr>
      <w:divsChild>
        <w:div w:id="358164090">
          <w:marLeft w:val="0"/>
          <w:marRight w:val="0"/>
          <w:marTop w:val="0"/>
          <w:marBottom w:val="150"/>
          <w:divBdr>
            <w:top w:val="none" w:sz="0" w:space="0" w:color="auto"/>
            <w:left w:val="none" w:sz="0" w:space="0" w:color="auto"/>
            <w:bottom w:val="none" w:sz="0" w:space="0" w:color="auto"/>
            <w:right w:val="none" w:sz="0" w:space="0" w:color="auto"/>
          </w:divBdr>
        </w:div>
        <w:div w:id="1000545884">
          <w:marLeft w:val="0"/>
          <w:marRight w:val="0"/>
          <w:marTop w:val="0"/>
          <w:marBottom w:val="0"/>
          <w:divBdr>
            <w:top w:val="none" w:sz="0" w:space="0" w:color="auto"/>
            <w:left w:val="none" w:sz="0" w:space="0" w:color="auto"/>
            <w:bottom w:val="none" w:sz="0" w:space="0" w:color="auto"/>
            <w:right w:val="none" w:sz="0" w:space="0" w:color="auto"/>
          </w:divBdr>
          <w:divsChild>
            <w:div w:id="1689603040">
              <w:marLeft w:val="0"/>
              <w:marRight w:val="0"/>
              <w:marTop w:val="0"/>
              <w:marBottom w:val="225"/>
              <w:divBdr>
                <w:top w:val="none" w:sz="0" w:space="0" w:color="auto"/>
                <w:left w:val="none" w:sz="0" w:space="0" w:color="auto"/>
                <w:bottom w:val="none" w:sz="0" w:space="0" w:color="auto"/>
                <w:right w:val="none" w:sz="0" w:space="0" w:color="auto"/>
              </w:divBdr>
              <w:divsChild>
                <w:div w:id="480080213">
                  <w:marLeft w:val="0"/>
                  <w:marRight w:val="0"/>
                  <w:marTop w:val="0"/>
                  <w:marBottom w:val="225"/>
                  <w:divBdr>
                    <w:top w:val="none" w:sz="0" w:space="0" w:color="auto"/>
                    <w:left w:val="none" w:sz="0" w:space="0" w:color="auto"/>
                    <w:bottom w:val="none" w:sz="0" w:space="0" w:color="auto"/>
                    <w:right w:val="none" w:sz="0" w:space="0" w:color="auto"/>
                  </w:divBdr>
                </w:div>
              </w:divsChild>
            </w:div>
            <w:div w:id="180049434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772241518">
      <w:bodyDiv w:val="1"/>
      <w:marLeft w:val="0"/>
      <w:marRight w:val="0"/>
      <w:marTop w:val="0"/>
      <w:marBottom w:val="0"/>
      <w:divBdr>
        <w:top w:val="none" w:sz="0" w:space="0" w:color="auto"/>
        <w:left w:val="none" w:sz="0" w:space="0" w:color="auto"/>
        <w:bottom w:val="none" w:sz="0" w:space="0" w:color="auto"/>
        <w:right w:val="none" w:sz="0" w:space="0" w:color="auto"/>
      </w:divBdr>
    </w:div>
    <w:div w:id="772633233">
      <w:bodyDiv w:val="1"/>
      <w:marLeft w:val="0"/>
      <w:marRight w:val="0"/>
      <w:marTop w:val="0"/>
      <w:marBottom w:val="0"/>
      <w:divBdr>
        <w:top w:val="none" w:sz="0" w:space="0" w:color="auto"/>
        <w:left w:val="none" w:sz="0" w:space="0" w:color="auto"/>
        <w:bottom w:val="none" w:sz="0" w:space="0" w:color="auto"/>
        <w:right w:val="none" w:sz="0" w:space="0" w:color="auto"/>
      </w:divBdr>
      <w:divsChild>
        <w:div w:id="662898099">
          <w:marLeft w:val="0"/>
          <w:marRight w:val="0"/>
          <w:marTop w:val="0"/>
          <w:marBottom w:val="150"/>
          <w:divBdr>
            <w:top w:val="none" w:sz="0" w:space="0" w:color="auto"/>
            <w:left w:val="none" w:sz="0" w:space="0" w:color="auto"/>
            <w:bottom w:val="none" w:sz="0" w:space="0" w:color="auto"/>
            <w:right w:val="none" w:sz="0" w:space="0" w:color="auto"/>
          </w:divBdr>
        </w:div>
      </w:divsChild>
    </w:div>
    <w:div w:id="772671015">
      <w:bodyDiv w:val="1"/>
      <w:marLeft w:val="0"/>
      <w:marRight w:val="0"/>
      <w:marTop w:val="0"/>
      <w:marBottom w:val="0"/>
      <w:divBdr>
        <w:top w:val="none" w:sz="0" w:space="0" w:color="auto"/>
        <w:left w:val="none" w:sz="0" w:space="0" w:color="auto"/>
        <w:bottom w:val="none" w:sz="0" w:space="0" w:color="auto"/>
        <w:right w:val="none" w:sz="0" w:space="0" w:color="auto"/>
      </w:divBdr>
    </w:div>
    <w:div w:id="773015078">
      <w:bodyDiv w:val="1"/>
      <w:marLeft w:val="0"/>
      <w:marRight w:val="0"/>
      <w:marTop w:val="0"/>
      <w:marBottom w:val="0"/>
      <w:divBdr>
        <w:top w:val="none" w:sz="0" w:space="0" w:color="auto"/>
        <w:left w:val="none" w:sz="0" w:space="0" w:color="auto"/>
        <w:bottom w:val="none" w:sz="0" w:space="0" w:color="auto"/>
        <w:right w:val="none" w:sz="0" w:space="0" w:color="auto"/>
      </w:divBdr>
      <w:divsChild>
        <w:div w:id="411246639">
          <w:marLeft w:val="0"/>
          <w:marRight w:val="0"/>
          <w:marTop w:val="0"/>
          <w:marBottom w:val="450"/>
          <w:divBdr>
            <w:top w:val="none" w:sz="0" w:space="0" w:color="auto"/>
            <w:left w:val="none" w:sz="0" w:space="0" w:color="auto"/>
            <w:bottom w:val="single" w:sz="6" w:space="19" w:color="EEEEEE"/>
            <w:right w:val="none" w:sz="0" w:space="0" w:color="auto"/>
          </w:divBdr>
          <w:divsChild>
            <w:div w:id="1485120620">
              <w:marLeft w:val="0"/>
              <w:marRight w:val="0"/>
              <w:marTop w:val="0"/>
              <w:marBottom w:val="150"/>
              <w:divBdr>
                <w:top w:val="none" w:sz="0" w:space="0" w:color="auto"/>
                <w:left w:val="none" w:sz="0" w:space="0" w:color="auto"/>
                <w:bottom w:val="none" w:sz="0" w:space="0" w:color="auto"/>
                <w:right w:val="none" w:sz="0" w:space="0" w:color="auto"/>
              </w:divBdr>
              <w:divsChild>
                <w:div w:id="1958020038">
                  <w:marLeft w:val="0"/>
                  <w:marRight w:val="0"/>
                  <w:marTop w:val="0"/>
                  <w:marBottom w:val="0"/>
                  <w:divBdr>
                    <w:top w:val="none" w:sz="0" w:space="0" w:color="auto"/>
                    <w:left w:val="none" w:sz="0" w:space="0" w:color="auto"/>
                    <w:bottom w:val="none" w:sz="0" w:space="0" w:color="auto"/>
                    <w:right w:val="none" w:sz="0" w:space="0" w:color="auto"/>
                  </w:divBdr>
                </w:div>
              </w:divsChild>
            </w:div>
            <w:div w:id="1567106992">
              <w:marLeft w:val="0"/>
              <w:marRight w:val="0"/>
              <w:marTop w:val="0"/>
              <w:marBottom w:val="0"/>
              <w:divBdr>
                <w:top w:val="none" w:sz="0" w:space="0" w:color="auto"/>
                <w:left w:val="none" w:sz="0" w:space="0" w:color="auto"/>
                <w:bottom w:val="none" w:sz="0" w:space="0" w:color="auto"/>
                <w:right w:val="none" w:sz="0" w:space="0" w:color="auto"/>
              </w:divBdr>
            </w:div>
          </w:divsChild>
        </w:div>
        <w:div w:id="870335804">
          <w:marLeft w:val="0"/>
          <w:marRight w:val="0"/>
          <w:marTop w:val="0"/>
          <w:marBottom w:val="0"/>
          <w:divBdr>
            <w:top w:val="none" w:sz="0" w:space="0" w:color="auto"/>
            <w:left w:val="none" w:sz="0" w:space="0" w:color="auto"/>
            <w:bottom w:val="none" w:sz="0" w:space="0" w:color="auto"/>
            <w:right w:val="none" w:sz="0" w:space="0" w:color="auto"/>
          </w:divBdr>
          <w:divsChild>
            <w:div w:id="2133595325">
              <w:marLeft w:val="0"/>
              <w:marRight w:val="0"/>
              <w:marTop w:val="0"/>
              <w:marBottom w:val="0"/>
              <w:divBdr>
                <w:top w:val="none" w:sz="0" w:space="0" w:color="auto"/>
                <w:left w:val="none" w:sz="0" w:space="0" w:color="auto"/>
                <w:bottom w:val="none" w:sz="0" w:space="0" w:color="auto"/>
                <w:right w:val="none" w:sz="0" w:space="0" w:color="auto"/>
              </w:divBdr>
              <w:divsChild>
                <w:div w:id="203766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98072">
      <w:bodyDiv w:val="1"/>
      <w:marLeft w:val="0"/>
      <w:marRight w:val="0"/>
      <w:marTop w:val="0"/>
      <w:marBottom w:val="0"/>
      <w:divBdr>
        <w:top w:val="none" w:sz="0" w:space="0" w:color="auto"/>
        <w:left w:val="none" w:sz="0" w:space="0" w:color="auto"/>
        <w:bottom w:val="none" w:sz="0" w:space="0" w:color="auto"/>
        <w:right w:val="none" w:sz="0" w:space="0" w:color="auto"/>
      </w:divBdr>
    </w:div>
    <w:div w:id="773673079">
      <w:bodyDiv w:val="1"/>
      <w:marLeft w:val="0"/>
      <w:marRight w:val="0"/>
      <w:marTop w:val="0"/>
      <w:marBottom w:val="0"/>
      <w:divBdr>
        <w:top w:val="none" w:sz="0" w:space="0" w:color="auto"/>
        <w:left w:val="none" w:sz="0" w:space="0" w:color="auto"/>
        <w:bottom w:val="none" w:sz="0" w:space="0" w:color="auto"/>
        <w:right w:val="none" w:sz="0" w:space="0" w:color="auto"/>
      </w:divBdr>
      <w:divsChild>
        <w:div w:id="1772045252">
          <w:marLeft w:val="0"/>
          <w:marRight w:val="0"/>
          <w:marTop w:val="0"/>
          <w:marBottom w:val="150"/>
          <w:divBdr>
            <w:top w:val="none" w:sz="0" w:space="0" w:color="auto"/>
            <w:left w:val="none" w:sz="0" w:space="0" w:color="auto"/>
            <w:bottom w:val="none" w:sz="0" w:space="0" w:color="auto"/>
            <w:right w:val="none" w:sz="0" w:space="0" w:color="auto"/>
          </w:divBdr>
        </w:div>
      </w:divsChild>
    </w:div>
    <w:div w:id="773787606">
      <w:bodyDiv w:val="1"/>
      <w:marLeft w:val="0"/>
      <w:marRight w:val="0"/>
      <w:marTop w:val="0"/>
      <w:marBottom w:val="0"/>
      <w:divBdr>
        <w:top w:val="none" w:sz="0" w:space="0" w:color="auto"/>
        <w:left w:val="none" w:sz="0" w:space="0" w:color="auto"/>
        <w:bottom w:val="none" w:sz="0" w:space="0" w:color="auto"/>
        <w:right w:val="none" w:sz="0" w:space="0" w:color="auto"/>
      </w:divBdr>
      <w:divsChild>
        <w:div w:id="342246473">
          <w:marLeft w:val="0"/>
          <w:marRight w:val="0"/>
          <w:marTop w:val="0"/>
          <w:marBottom w:val="150"/>
          <w:divBdr>
            <w:top w:val="none" w:sz="0" w:space="0" w:color="auto"/>
            <w:left w:val="none" w:sz="0" w:space="0" w:color="auto"/>
            <w:bottom w:val="none" w:sz="0" w:space="0" w:color="auto"/>
            <w:right w:val="none" w:sz="0" w:space="0" w:color="auto"/>
          </w:divBdr>
        </w:div>
      </w:divsChild>
    </w:div>
    <w:div w:id="774133689">
      <w:bodyDiv w:val="1"/>
      <w:marLeft w:val="0"/>
      <w:marRight w:val="0"/>
      <w:marTop w:val="0"/>
      <w:marBottom w:val="0"/>
      <w:divBdr>
        <w:top w:val="none" w:sz="0" w:space="0" w:color="auto"/>
        <w:left w:val="none" w:sz="0" w:space="0" w:color="auto"/>
        <w:bottom w:val="none" w:sz="0" w:space="0" w:color="auto"/>
        <w:right w:val="none" w:sz="0" w:space="0" w:color="auto"/>
      </w:divBdr>
    </w:div>
    <w:div w:id="774635909">
      <w:bodyDiv w:val="1"/>
      <w:marLeft w:val="0"/>
      <w:marRight w:val="0"/>
      <w:marTop w:val="0"/>
      <w:marBottom w:val="0"/>
      <w:divBdr>
        <w:top w:val="none" w:sz="0" w:space="0" w:color="auto"/>
        <w:left w:val="none" w:sz="0" w:space="0" w:color="auto"/>
        <w:bottom w:val="none" w:sz="0" w:space="0" w:color="auto"/>
        <w:right w:val="none" w:sz="0" w:space="0" w:color="auto"/>
      </w:divBdr>
    </w:div>
    <w:div w:id="774667652">
      <w:bodyDiv w:val="1"/>
      <w:marLeft w:val="0"/>
      <w:marRight w:val="0"/>
      <w:marTop w:val="0"/>
      <w:marBottom w:val="0"/>
      <w:divBdr>
        <w:top w:val="none" w:sz="0" w:space="0" w:color="auto"/>
        <w:left w:val="none" w:sz="0" w:space="0" w:color="auto"/>
        <w:bottom w:val="none" w:sz="0" w:space="0" w:color="auto"/>
        <w:right w:val="none" w:sz="0" w:space="0" w:color="auto"/>
      </w:divBdr>
      <w:divsChild>
        <w:div w:id="96608626">
          <w:marLeft w:val="0"/>
          <w:marRight w:val="0"/>
          <w:marTop w:val="0"/>
          <w:marBottom w:val="0"/>
          <w:divBdr>
            <w:top w:val="none" w:sz="0" w:space="0" w:color="auto"/>
            <w:left w:val="none" w:sz="0" w:space="0" w:color="auto"/>
            <w:bottom w:val="none" w:sz="0" w:space="0" w:color="auto"/>
            <w:right w:val="none" w:sz="0" w:space="0" w:color="auto"/>
          </w:divBdr>
          <w:divsChild>
            <w:div w:id="587814908">
              <w:marLeft w:val="0"/>
              <w:marRight w:val="0"/>
              <w:marTop w:val="0"/>
              <w:marBottom w:val="0"/>
              <w:divBdr>
                <w:top w:val="none" w:sz="0" w:space="0" w:color="auto"/>
                <w:left w:val="none" w:sz="0" w:space="0" w:color="auto"/>
                <w:bottom w:val="none" w:sz="0" w:space="0" w:color="auto"/>
                <w:right w:val="none" w:sz="0" w:space="0" w:color="auto"/>
              </w:divBdr>
              <w:divsChild>
                <w:div w:id="1389062819">
                  <w:marLeft w:val="0"/>
                  <w:marRight w:val="0"/>
                  <w:marTop w:val="0"/>
                  <w:marBottom w:val="0"/>
                  <w:divBdr>
                    <w:top w:val="none" w:sz="0" w:space="0" w:color="auto"/>
                    <w:left w:val="none" w:sz="0" w:space="0" w:color="auto"/>
                    <w:bottom w:val="none" w:sz="0" w:space="0" w:color="auto"/>
                    <w:right w:val="none" w:sz="0" w:space="0" w:color="auto"/>
                  </w:divBdr>
                  <w:divsChild>
                    <w:div w:id="778329470">
                      <w:marLeft w:val="0"/>
                      <w:marRight w:val="0"/>
                      <w:marTop w:val="0"/>
                      <w:marBottom w:val="0"/>
                      <w:divBdr>
                        <w:top w:val="none" w:sz="0" w:space="0" w:color="auto"/>
                        <w:left w:val="none" w:sz="0" w:space="0" w:color="auto"/>
                        <w:bottom w:val="none" w:sz="0" w:space="0" w:color="auto"/>
                        <w:right w:val="none" w:sz="0" w:space="0" w:color="auto"/>
                      </w:divBdr>
                      <w:divsChild>
                        <w:div w:id="665130724">
                          <w:marLeft w:val="0"/>
                          <w:marRight w:val="0"/>
                          <w:marTop w:val="0"/>
                          <w:marBottom w:val="0"/>
                          <w:divBdr>
                            <w:top w:val="none" w:sz="0" w:space="0" w:color="auto"/>
                            <w:left w:val="none" w:sz="0" w:space="0" w:color="auto"/>
                            <w:bottom w:val="none" w:sz="0" w:space="0" w:color="auto"/>
                            <w:right w:val="none" w:sz="0" w:space="0" w:color="auto"/>
                          </w:divBdr>
                          <w:divsChild>
                            <w:div w:id="1803424000">
                              <w:marLeft w:val="0"/>
                              <w:marRight w:val="0"/>
                              <w:marTop w:val="0"/>
                              <w:marBottom w:val="0"/>
                              <w:divBdr>
                                <w:top w:val="none" w:sz="0" w:space="0" w:color="auto"/>
                                <w:left w:val="none" w:sz="0" w:space="0" w:color="auto"/>
                                <w:bottom w:val="none" w:sz="0" w:space="0" w:color="auto"/>
                                <w:right w:val="none" w:sz="0" w:space="0" w:color="auto"/>
                              </w:divBdr>
                              <w:divsChild>
                                <w:div w:id="761295549">
                                  <w:marLeft w:val="0"/>
                                  <w:marRight w:val="0"/>
                                  <w:marTop w:val="0"/>
                                  <w:marBottom w:val="0"/>
                                  <w:divBdr>
                                    <w:top w:val="none" w:sz="0" w:space="0" w:color="auto"/>
                                    <w:left w:val="none" w:sz="0" w:space="0" w:color="auto"/>
                                    <w:bottom w:val="none" w:sz="0" w:space="0" w:color="auto"/>
                                    <w:right w:val="none" w:sz="0" w:space="0" w:color="auto"/>
                                  </w:divBdr>
                                  <w:divsChild>
                                    <w:div w:id="678041943">
                                      <w:marLeft w:val="0"/>
                                      <w:marRight w:val="0"/>
                                      <w:marTop w:val="0"/>
                                      <w:marBottom w:val="0"/>
                                      <w:divBdr>
                                        <w:top w:val="none" w:sz="0" w:space="0" w:color="auto"/>
                                        <w:left w:val="none" w:sz="0" w:space="0" w:color="auto"/>
                                        <w:bottom w:val="none" w:sz="0" w:space="0" w:color="auto"/>
                                        <w:right w:val="none" w:sz="0" w:space="0" w:color="auto"/>
                                      </w:divBdr>
                                      <w:divsChild>
                                        <w:div w:id="55936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5291348">
      <w:bodyDiv w:val="1"/>
      <w:marLeft w:val="0"/>
      <w:marRight w:val="0"/>
      <w:marTop w:val="0"/>
      <w:marBottom w:val="0"/>
      <w:divBdr>
        <w:top w:val="none" w:sz="0" w:space="0" w:color="auto"/>
        <w:left w:val="none" w:sz="0" w:space="0" w:color="auto"/>
        <w:bottom w:val="none" w:sz="0" w:space="0" w:color="auto"/>
        <w:right w:val="none" w:sz="0" w:space="0" w:color="auto"/>
      </w:divBdr>
      <w:divsChild>
        <w:div w:id="1916545738">
          <w:marLeft w:val="0"/>
          <w:marRight w:val="0"/>
          <w:marTop w:val="0"/>
          <w:marBottom w:val="0"/>
          <w:divBdr>
            <w:top w:val="none" w:sz="0" w:space="0" w:color="auto"/>
            <w:left w:val="none" w:sz="0" w:space="0" w:color="auto"/>
            <w:bottom w:val="none" w:sz="0" w:space="0" w:color="auto"/>
            <w:right w:val="none" w:sz="0" w:space="0" w:color="auto"/>
          </w:divBdr>
        </w:div>
      </w:divsChild>
    </w:div>
    <w:div w:id="775561327">
      <w:bodyDiv w:val="1"/>
      <w:marLeft w:val="0"/>
      <w:marRight w:val="0"/>
      <w:marTop w:val="0"/>
      <w:marBottom w:val="0"/>
      <w:divBdr>
        <w:top w:val="none" w:sz="0" w:space="0" w:color="auto"/>
        <w:left w:val="none" w:sz="0" w:space="0" w:color="auto"/>
        <w:bottom w:val="none" w:sz="0" w:space="0" w:color="auto"/>
        <w:right w:val="none" w:sz="0" w:space="0" w:color="auto"/>
      </w:divBdr>
      <w:divsChild>
        <w:div w:id="1811746791">
          <w:marLeft w:val="0"/>
          <w:marRight w:val="0"/>
          <w:marTop w:val="0"/>
          <w:marBottom w:val="0"/>
          <w:divBdr>
            <w:top w:val="none" w:sz="0" w:space="0" w:color="auto"/>
            <w:left w:val="none" w:sz="0" w:space="0" w:color="auto"/>
            <w:bottom w:val="none" w:sz="0" w:space="0" w:color="auto"/>
            <w:right w:val="none" w:sz="0" w:space="0" w:color="auto"/>
          </w:divBdr>
          <w:divsChild>
            <w:div w:id="944536701">
              <w:marLeft w:val="0"/>
              <w:marRight w:val="0"/>
              <w:marTop w:val="0"/>
              <w:marBottom w:val="0"/>
              <w:divBdr>
                <w:top w:val="none" w:sz="0" w:space="0" w:color="auto"/>
                <w:left w:val="none" w:sz="0" w:space="0" w:color="auto"/>
                <w:bottom w:val="none" w:sz="0" w:space="0" w:color="auto"/>
                <w:right w:val="none" w:sz="0" w:space="0" w:color="auto"/>
              </w:divBdr>
            </w:div>
            <w:div w:id="13980902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76830068">
      <w:bodyDiv w:val="1"/>
      <w:marLeft w:val="0"/>
      <w:marRight w:val="0"/>
      <w:marTop w:val="0"/>
      <w:marBottom w:val="0"/>
      <w:divBdr>
        <w:top w:val="none" w:sz="0" w:space="0" w:color="auto"/>
        <w:left w:val="none" w:sz="0" w:space="0" w:color="auto"/>
        <w:bottom w:val="none" w:sz="0" w:space="0" w:color="auto"/>
        <w:right w:val="none" w:sz="0" w:space="0" w:color="auto"/>
      </w:divBdr>
    </w:div>
    <w:div w:id="777603422">
      <w:bodyDiv w:val="1"/>
      <w:marLeft w:val="0"/>
      <w:marRight w:val="0"/>
      <w:marTop w:val="0"/>
      <w:marBottom w:val="0"/>
      <w:divBdr>
        <w:top w:val="none" w:sz="0" w:space="0" w:color="auto"/>
        <w:left w:val="none" w:sz="0" w:space="0" w:color="auto"/>
        <w:bottom w:val="none" w:sz="0" w:space="0" w:color="auto"/>
        <w:right w:val="none" w:sz="0" w:space="0" w:color="auto"/>
      </w:divBdr>
    </w:div>
    <w:div w:id="777680086">
      <w:bodyDiv w:val="1"/>
      <w:marLeft w:val="0"/>
      <w:marRight w:val="0"/>
      <w:marTop w:val="0"/>
      <w:marBottom w:val="0"/>
      <w:divBdr>
        <w:top w:val="none" w:sz="0" w:space="0" w:color="auto"/>
        <w:left w:val="none" w:sz="0" w:space="0" w:color="auto"/>
        <w:bottom w:val="none" w:sz="0" w:space="0" w:color="auto"/>
        <w:right w:val="none" w:sz="0" w:space="0" w:color="auto"/>
      </w:divBdr>
    </w:div>
    <w:div w:id="778138957">
      <w:bodyDiv w:val="1"/>
      <w:marLeft w:val="0"/>
      <w:marRight w:val="0"/>
      <w:marTop w:val="0"/>
      <w:marBottom w:val="0"/>
      <w:divBdr>
        <w:top w:val="none" w:sz="0" w:space="0" w:color="auto"/>
        <w:left w:val="none" w:sz="0" w:space="0" w:color="auto"/>
        <w:bottom w:val="none" w:sz="0" w:space="0" w:color="auto"/>
        <w:right w:val="none" w:sz="0" w:space="0" w:color="auto"/>
      </w:divBdr>
      <w:divsChild>
        <w:div w:id="707607334">
          <w:marLeft w:val="0"/>
          <w:marRight w:val="0"/>
          <w:marTop w:val="0"/>
          <w:marBottom w:val="0"/>
          <w:divBdr>
            <w:top w:val="none" w:sz="0" w:space="0" w:color="auto"/>
            <w:left w:val="none" w:sz="0" w:space="0" w:color="auto"/>
            <w:bottom w:val="dotted" w:sz="6" w:space="4" w:color="DDDDDD"/>
            <w:right w:val="none" w:sz="0" w:space="0" w:color="auto"/>
          </w:divBdr>
        </w:div>
      </w:divsChild>
    </w:div>
    <w:div w:id="778381185">
      <w:bodyDiv w:val="1"/>
      <w:marLeft w:val="0"/>
      <w:marRight w:val="0"/>
      <w:marTop w:val="0"/>
      <w:marBottom w:val="0"/>
      <w:divBdr>
        <w:top w:val="none" w:sz="0" w:space="0" w:color="auto"/>
        <w:left w:val="none" w:sz="0" w:space="0" w:color="auto"/>
        <w:bottom w:val="none" w:sz="0" w:space="0" w:color="auto"/>
        <w:right w:val="none" w:sz="0" w:space="0" w:color="auto"/>
      </w:divBdr>
      <w:divsChild>
        <w:div w:id="1608732719">
          <w:marLeft w:val="0"/>
          <w:marRight w:val="0"/>
          <w:marTop w:val="0"/>
          <w:marBottom w:val="0"/>
          <w:divBdr>
            <w:top w:val="none" w:sz="0" w:space="0" w:color="auto"/>
            <w:left w:val="none" w:sz="0" w:space="0" w:color="auto"/>
            <w:bottom w:val="dotted" w:sz="6" w:space="4" w:color="DDDDDD"/>
            <w:right w:val="none" w:sz="0" w:space="0" w:color="auto"/>
          </w:divBdr>
        </w:div>
      </w:divsChild>
    </w:div>
    <w:div w:id="778455929">
      <w:bodyDiv w:val="1"/>
      <w:marLeft w:val="0"/>
      <w:marRight w:val="0"/>
      <w:marTop w:val="0"/>
      <w:marBottom w:val="0"/>
      <w:divBdr>
        <w:top w:val="none" w:sz="0" w:space="0" w:color="auto"/>
        <w:left w:val="none" w:sz="0" w:space="0" w:color="auto"/>
        <w:bottom w:val="none" w:sz="0" w:space="0" w:color="auto"/>
        <w:right w:val="none" w:sz="0" w:space="0" w:color="auto"/>
      </w:divBdr>
      <w:divsChild>
        <w:div w:id="662315992">
          <w:marLeft w:val="0"/>
          <w:marRight w:val="0"/>
          <w:marTop w:val="0"/>
          <w:marBottom w:val="0"/>
          <w:divBdr>
            <w:top w:val="none" w:sz="0" w:space="0" w:color="auto"/>
            <w:left w:val="none" w:sz="0" w:space="0" w:color="auto"/>
            <w:bottom w:val="none" w:sz="0" w:space="0" w:color="auto"/>
            <w:right w:val="none" w:sz="0" w:space="0" w:color="auto"/>
          </w:divBdr>
          <w:divsChild>
            <w:div w:id="1626229896">
              <w:marLeft w:val="0"/>
              <w:marRight w:val="0"/>
              <w:marTop w:val="0"/>
              <w:marBottom w:val="0"/>
              <w:divBdr>
                <w:top w:val="none" w:sz="0" w:space="0" w:color="auto"/>
                <w:left w:val="none" w:sz="0" w:space="0" w:color="auto"/>
                <w:bottom w:val="none" w:sz="0" w:space="0" w:color="auto"/>
                <w:right w:val="none" w:sz="0" w:space="0" w:color="auto"/>
              </w:divBdr>
              <w:divsChild>
                <w:div w:id="1353843451">
                  <w:marLeft w:val="0"/>
                  <w:marRight w:val="0"/>
                  <w:marTop w:val="0"/>
                  <w:marBottom w:val="0"/>
                  <w:divBdr>
                    <w:top w:val="none" w:sz="0" w:space="0" w:color="auto"/>
                    <w:left w:val="none" w:sz="0" w:space="0" w:color="auto"/>
                    <w:bottom w:val="none" w:sz="0" w:space="0" w:color="auto"/>
                    <w:right w:val="none" w:sz="0" w:space="0" w:color="auto"/>
                  </w:divBdr>
                  <w:divsChild>
                    <w:div w:id="179976391">
                      <w:marLeft w:val="0"/>
                      <w:marRight w:val="0"/>
                      <w:marTop w:val="0"/>
                      <w:marBottom w:val="0"/>
                      <w:divBdr>
                        <w:top w:val="none" w:sz="0" w:space="0" w:color="auto"/>
                        <w:left w:val="none" w:sz="0" w:space="0" w:color="auto"/>
                        <w:bottom w:val="none" w:sz="0" w:space="0" w:color="auto"/>
                        <w:right w:val="none" w:sz="0" w:space="0" w:color="auto"/>
                      </w:divBdr>
                      <w:divsChild>
                        <w:div w:id="1680040834">
                          <w:marLeft w:val="0"/>
                          <w:marRight w:val="0"/>
                          <w:marTop w:val="0"/>
                          <w:marBottom w:val="0"/>
                          <w:divBdr>
                            <w:top w:val="none" w:sz="0" w:space="0" w:color="auto"/>
                            <w:left w:val="none" w:sz="0" w:space="0" w:color="auto"/>
                            <w:bottom w:val="none" w:sz="0" w:space="0" w:color="auto"/>
                            <w:right w:val="none" w:sz="0" w:space="0" w:color="auto"/>
                          </w:divBdr>
                          <w:divsChild>
                            <w:div w:id="367726362">
                              <w:marLeft w:val="0"/>
                              <w:marRight w:val="0"/>
                              <w:marTop w:val="0"/>
                              <w:marBottom w:val="0"/>
                              <w:divBdr>
                                <w:top w:val="none" w:sz="0" w:space="0" w:color="auto"/>
                                <w:left w:val="none" w:sz="0" w:space="0" w:color="auto"/>
                                <w:bottom w:val="none" w:sz="0" w:space="0" w:color="auto"/>
                                <w:right w:val="none" w:sz="0" w:space="0" w:color="auto"/>
                              </w:divBdr>
                              <w:divsChild>
                                <w:div w:id="79502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8836362">
      <w:bodyDiv w:val="1"/>
      <w:marLeft w:val="0"/>
      <w:marRight w:val="0"/>
      <w:marTop w:val="0"/>
      <w:marBottom w:val="0"/>
      <w:divBdr>
        <w:top w:val="none" w:sz="0" w:space="0" w:color="auto"/>
        <w:left w:val="none" w:sz="0" w:space="0" w:color="auto"/>
        <w:bottom w:val="none" w:sz="0" w:space="0" w:color="auto"/>
        <w:right w:val="none" w:sz="0" w:space="0" w:color="auto"/>
      </w:divBdr>
      <w:divsChild>
        <w:div w:id="604268636">
          <w:marLeft w:val="0"/>
          <w:marRight w:val="0"/>
          <w:marTop w:val="0"/>
          <w:marBottom w:val="0"/>
          <w:divBdr>
            <w:top w:val="none" w:sz="0" w:space="0" w:color="auto"/>
            <w:left w:val="none" w:sz="0" w:space="0" w:color="auto"/>
            <w:bottom w:val="dotted" w:sz="6" w:space="4" w:color="DDDDDD"/>
            <w:right w:val="none" w:sz="0" w:space="0" w:color="auto"/>
          </w:divBdr>
          <w:divsChild>
            <w:div w:id="202227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875939">
      <w:bodyDiv w:val="1"/>
      <w:marLeft w:val="0"/>
      <w:marRight w:val="0"/>
      <w:marTop w:val="0"/>
      <w:marBottom w:val="0"/>
      <w:divBdr>
        <w:top w:val="none" w:sz="0" w:space="0" w:color="auto"/>
        <w:left w:val="none" w:sz="0" w:space="0" w:color="auto"/>
        <w:bottom w:val="none" w:sz="0" w:space="0" w:color="auto"/>
        <w:right w:val="none" w:sz="0" w:space="0" w:color="auto"/>
      </w:divBdr>
      <w:divsChild>
        <w:div w:id="778529982">
          <w:marLeft w:val="0"/>
          <w:marRight w:val="0"/>
          <w:marTop w:val="0"/>
          <w:marBottom w:val="0"/>
          <w:divBdr>
            <w:top w:val="none" w:sz="0" w:space="0" w:color="auto"/>
            <w:left w:val="none" w:sz="0" w:space="0" w:color="auto"/>
            <w:bottom w:val="none" w:sz="0" w:space="0" w:color="auto"/>
            <w:right w:val="none" w:sz="0" w:space="0" w:color="auto"/>
          </w:divBdr>
        </w:div>
        <w:div w:id="1848252632">
          <w:marLeft w:val="0"/>
          <w:marRight w:val="0"/>
          <w:marTop w:val="0"/>
          <w:marBottom w:val="0"/>
          <w:divBdr>
            <w:top w:val="none" w:sz="0" w:space="0" w:color="auto"/>
            <w:left w:val="none" w:sz="0" w:space="0" w:color="auto"/>
            <w:bottom w:val="none" w:sz="0" w:space="0" w:color="auto"/>
            <w:right w:val="none" w:sz="0" w:space="0" w:color="auto"/>
          </w:divBdr>
        </w:div>
      </w:divsChild>
    </w:div>
    <w:div w:id="781267880">
      <w:bodyDiv w:val="1"/>
      <w:marLeft w:val="0"/>
      <w:marRight w:val="0"/>
      <w:marTop w:val="0"/>
      <w:marBottom w:val="0"/>
      <w:divBdr>
        <w:top w:val="none" w:sz="0" w:space="0" w:color="auto"/>
        <w:left w:val="none" w:sz="0" w:space="0" w:color="auto"/>
        <w:bottom w:val="none" w:sz="0" w:space="0" w:color="auto"/>
        <w:right w:val="none" w:sz="0" w:space="0" w:color="auto"/>
      </w:divBdr>
      <w:divsChild>
        <w:div w:id="865673249">
          <w:marLeft w:val="0"/>
          <w:marRight w:val="0"/>
          <w:marTop w:val="0"/>
          <w:marBottom w:val="0"/>
          <w:divBdr>
            <w:top w:val="none" w:sz="0" w:space="0" w:color="auto"/>
            <w:left w:val="none" w:sz="0" w:space="0" w:color="auto"/>
            <w:bottom w:val="dotted" w:sz="6" w:space="4" w:color="DDDDDD"/>
            <w:right w:val="none" w:sz="0" w:space="0" w:color="auto"/>
          </w:divBdr>
        </w:div>
      </w:divsChild>
    </w:div>
    <w:div w:id="781268483">
      <w:bodyDiv w:val="1"/>
      <w:marLeft w:val="0"/>
      <w:marRight w:val="0"/>
      <w:marTop w:val="0"/>
      <w:marBottom w:val="0"/>
      <w:divBdr>
        <w:top w:val="none" w:sz="0" w:space="0" w:color="auto"/>
        <w:left w:val="none" w:sz="0" w:space="0" w:color="auto"/>
        <w:bottom w:val="none" w:sz="0" w:space="0" w:color="auto"/>
        <w:right w:val="none" w:sz="0" w:space="0" w:color="auto"/>
      </w:divBdr>
      <w:divsChild>
        <w:div w:id="1243492410">
          <w:marLeft w:val="0"/>
          <w:marRight w:val="0"/>
          <w:marTop w:val="0"/>
          <w:marBottom w:val="0"/>
          <w:divBdr>
            <w:top w:val="none" w:sz="0" w:space="0" w:color="auto"/>
            <w:left w:val="none" w:sz="0" w:space="0" w:color="auto"/>
            <w:bottom w:val="none" w:sz="0" w:space="0" w:color="auto"/>
            <w:right w:val="none" w:sz="0" w:space="0" w:color="auto"/>
          </w:divBdr>
          <w:divsChild>
            <w:div w:id="958877013">
              <w:marLeft w:val="0"/>
              <w:marRight w:val="0"/>
              <w:marTop w:val="0"/>
              <w:marBottom w:val="0"/>
              <w:divBdr>
                <w:top w:val="none" w:sz="0" w:space="0" w:color="auto"/>
                <w:left w:val="none" w:sz="0" w:space="0" w:color="auto"/>
                <w:bottom w:val="none" w:sz="0" w:space="0" w:color="auto"/>
                <w:right w:val="none" w:sz="0" w:space="0" w:color="auto"/>
              </w:divBdr>
              <w:divsChild>
                <w:div w:id="741100230">
                  <w:marLeft w:val="0"/>
                  <w:marRight w:val="0"/>
                  <w:marTop w:val="0"/>
                  <w:marBottom w:val="0"/>
                  <w:divBdr>
                    <w:top w:val="none" w:sz="0" w:space="0" w:color="auto"/>
                    <w:left w:val="none" w:sz="0" w:space="0" w:color="auto"/>
                    <w:bottom w:val="none" w:sz="0" w:space="0" w:color="auto"/>
                    <w:right w:val="none" w:sz="0" w:space="0" w:color="auto"/>
                  </w:divBdr>
                  <w:divsChild>
                    <w:div w:id="363212704">
                      <w:marLeft w:val="0"/>
                      <w:marRight w:val="0"/>
                      <w:marTop w:val="0"/>
                      <w:marBottom w:val="0"/>
                      <w:divBdr>
                        <w:top w:val="none" w:sz="0" w:space="0" w:color="auto"/>
                        <w:left w:val="none" w:sz="0" w:space="0" w:color="auto"/>
                        <w:bottom w:val="none" w:sz="0" w:space="0" w:color="auto"/>
                        <w:right w:val="none" w:sz="0" w:space="0" w:color="auto"/>
                      </w:divBdr>
                      <w:divsChild>
                        <w:div w:id="718432400">
                          <w:marLeft w:val="0"/>
                          <w:marRight w:val="0"/>
                          <w:marTop w:val="0"/>
                          <w:marBottom w:val="0"/>
                          <w:divBdr>
                            <w:top w:val="none" w:sz="0" w:space="0" w:color="auto"/>
                            <w:left w:val="none" w:sz="0" w:space="0" w:color="auto"/>
                            <w:bottom w:val="none" w:sz="0" w:space="0" w:color="auto"/>
                            <w:right w:val="none" w:sz="0" w:space="0" w:color="auto"/>
                          </w:divBdr>
                          <w:divsChild>
                            <w:div w:id="1399202876">
                              <w:marLeft w:val="0"/>
                              <w:marRight w:val="0"/>
                              <w:marTop w:val="0"/>
                              <w:marBottom w:val="0"/>
                              <w:divBdr>
                                <w:top w:val="none" w:sz="0" w:space="0" w:color="auto"/>
                                <w:left w:val="none" w:sz="0" w:space="0" w:color="auto"/>
                                <w:bottom w:val="none" w:sz="0" w:space="0" w:color="auto"/>
                                <w:right w:val="none" w:sz="0" w:space="0" w:color="auto"/>
                              </w:divBdr>
                              <w:divsChild>
                                <w:div w:id="659969846">
                                  <w:marLeft w:val="0"/>
                                  <w:marRight w:val="0"/>
                                  <w:marTop w:val="0"/>
                                  <w:marBottom w:val="0"/>
                                  <w:divBdr>
                                    <w:top w:val="none" w:sz="0" w:space="0" w:color="auto"/>
                                    <w:left w:val="none" w:sz="0" w:space="0" w:color="auto"/>
                                    <w:bottom w:val="none" w:sz="0" w:space="0" w:color="auto"/>
                                    <w:right w:val="none" w:sz="0" w:space="0" w:color="auto"/>
                                  </w:divBdr>
                                  <w:divsChild>
                                    <w:div w:id="191581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337136">
      <w:bodyDiv w:val="1"/>
      <w:marLeft w:val="0"/>
      <w:marRight w:val="0"/>
      <w:marTop w:val="0"/>
      <w:marBottom w:val="0"/>
      <w:divBdr>
        <w:top w:val="none" w:sz="0" w:space="0" w:color="auto"/>
        <w:left w:val="none" w:sz="0" w:space="0" w:color="auto"/>
        <w:bottom w:val="none" w:sz="0" w:space="0" w:color="auto"/>
        <w:right w:val="none" w:sz="0" w:space="0" w:color="auto"/>
      </w:divBdr>
      <w:divsChild>
        <w:div w:id="723603323">
          <w:marLeft w:val="0"/>
          <w:marRight w:val="0"/>
          <w:marTop w:val="0"/>
          <w:marBottom w:val="0"/>
          <w:divBdr>
            <w:top w:val="none" w:sz="0" w:space="0" w:color="auto"/>
            <w:left w:val="none" w:sz="0" w:space="0" w:color="auto"/>
            <w:bottom w:val="dotted" w:sz="6" w:space="4" w:color="DDDDDD"/>
            <w:right w:val="none" w:sz="0" w:space="0" w:color="auto"/>
          </w:divBdr>
        </w:div>
      </w:divsChild>
    </w:div>
    <w:div w:id="781649684">
      <w:bodyDiv w:val="1"/>
      <w:marLeft w:val="0"/>
      <w:marRight w:val="0"/>
      <w:marTop w:val="0"/>
      <w:marBottom w:val="0"/>
      <w:divBdr>
        <w:top w:val="none" w:sz="0" w:space="0" w:color="auto"/>
        <w:left w:val="none" w:sz="0" w:space="0" w:color="auto"/>
        <w:bottom w:val="none" w:sz="0" w:space="0" w:color="auto"/>
        <w:right w:val="none" w:sz="0" w:space="0" w:color="auto"/>
      </w:divBdr>
      <w:divsChild>
        <w:div w:id="1493447755">
          <w:marLeft w:val="0"/>
          <w:marRight w:val="0"/>
          <w:marTop w:val="0"/>
          <w:marBottom w:val="0"/>
          <w:divBdr>
            <w:top w:val="none" w:sz="0" w:space="0" w:color="auto"/>
            <w:left w:val="none" w:sz="0" w:space="0" w:color="auto"/>
            <w:bottom w:val="none" w:sz="0" w:space="0" w:color="auto"/>
            <w:right w:val="none" w:sz="0" w:space="0" w:color="auto"/>
          </w:divBdr>
          <w:divsChild>
            <w:div w:id="136798504">
              <w:marLeft w:val="0"/>
              <w:marRight w:val="0"/>
              <w:marTop w:val="0"/>
              <w:marBottom w:val="0"/>
              <w:divBdr>
                <w:top w:val="none" w:sz="0" w:space="0" w:color="auto"/>
                <w:left w:val="none" w:sz="0" w:space="0" w:color="auto"/>
                <w:bottom w:val="none" w:sz="0" w:space="0" w:color="auto"/>
                <w:right w:val="none" w:sz="0" w:space="0" w:color="auto"/>
              </w:divBdr>
              <w:divsChild>
                <w:div w:id="760175536">
                  <w:marLeft w:val="0"/>
                  <w:marRight w:val="0"/>
                  <w:marTop w:val="0"/>
                  <w:marBottom w:val="0"/>
                  <w:divBdr>
                    <w:top w:val="none" w:sz="0" w:space="0" w:color="auto"/>
                    <w:left w:val="none" w:sz="0" w:space="0" w:color="auto"/>
                    <w:bottom w:val="none" w:sz="0" w:space="0" w:color="auto"/>
                    <w:right w:val="none" w:sz="0" w:space="0" w:color="auto"/>
                  </w:divBdr>
                  <w:divsChild>
                    <w:div w:id="1586958365">
                      <w:marLeft w:val="0"/>
                      <w:marRight w:val="0"/>
                      <w:marTop w:val="0"/>
                      <w:marBottom w:val="0"/>
                      <w:divBdr>
                        <w:top w:val="none" w:sz="0" w:space="0" w:color="auto"/>
                        <w:left w:val="none" w:sz="0" w:space="0" w:color="auto"/>
                        <w:bottom w:val="none" w:sz="0" w:space="0" w:color="auto"/>
                        <w:right w:val="none" w:sz="0" w:space="0" w:color="auto"/>
                      </w:divBdr>
                      <w:divsChild>
                        <w:div w:id="877208704">
                          <w:marLeft w:val="0"/>
                          <w:marRight w:val="0"/>
                          <w:marTop w:val="0"/>
                          <w:marBottom w:val="0"/>
                          <w:divBdr>
                            <w:top w:val="none" w:sz="0" w:space="0" w:color="auto"/>
                            <w:left w:val="none" w:sz="0" w:space="0" w:color="auto"/>
                            <w:bottom w:val="none" w:sz="0" w:space="0" w:color="auto"/>
                            <w:right w:val="none" w:sz="0" w:space="0" w:color="auto"/>
                          </w:divBdr>
                          <w:divsChild>
                            <w:div w:id="1065493187">
                              <w:marLeft w:val="0"/>
                              <w:marRight w:val="0"/>
                              <w:marTop w:val="0"/>
                              <w:marBottom w:val="0"/>
                              <w:divBdr>
                                <w:top w:val="none" w:sz="0" w:space="0" w:color="auto"/>
                                <w:left w:val="none" w:sz="0" w:space="0" w:color="auto"/>
                                <w:bottom w:val="none" w:sz="0" w:space="0" w:color="auto"/>
                                <w:right w:val="none" w:sz="0" w:space="0" w:color="auto"/>
                              </w:divBdr>
                              <w:divsChild>
                                <w:div w:id="1959725161">
                                  <w:marLeft w:val="0"/>
                                  <w:marRight w:val="0"/>
                                  <w:marTop w:val="0"/>
                                  <w:marBottom w:val="0"/>
                                  <w:divBdr>
                                    <w:top w:val="none" w:sz="0" w:space="0" w:color="auto"/>
                                    <w:left w:val="none" w:sz="0" w:space="0" w:color="auto"/>
                                    <w:bottom w:val="none" w:sz="0" w:space="0" w:color="auto"/>
                                    <w:right w:val="none" w:sz="0" w:space="0" w:color="auto"/>
                                  </w:divBdr>
                                  <w:divsChild>
                                    <w:div w:id="193143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2305107">
      <w:bodyDiv w:val="1"/>
      <w:marLeft w:val="0"/>
      <w:marRight w:val="0"/>
      <w:marTop w:val="0"/>
      <w:marBottom w:val="0"/>
      <w:divBdr>
        <w:top w:val="none" w:sz="0" w:space="0" w:color="auto"/>
        <w:left w:val="none" w:sz="0" w:space="0" w:color="auto"/>
        <w:bottom w:val="none" w:sz="0" w:space="0" w:color="auto"/>
        <w:right w:val="none" w:sz="0" w:space="0" w:color="auto"/>
      </w:divBdr>
      <w:divsChild>
        <w:div w:id="135533959">
          <w:marLeft w:val="0"/>
          <w:marRight w:val="0"/>
          <w:marTop w:val="0"/>
          <w:marBottom w:val="150"/>
          <w:divBdr>
            <w:top w:val="none" w:sz="0" w:space="0" w:color="auto"/>
            <w:left w:val="none" w:sz="0" w:space="0" w:color="auto"/>
            <w:bottom w:val="none" w:sz="0" w:space="0" w:color="auto"/>
            <w:right w:val="none" w:sz="0" w:space="0" w:color="auto"/>
          </w:divBdr>
        </w:div>
        <w:div w:id="1258178545">
          <w:marLeft w:val="0"/>
          <w:marRight w:val="0"/>
          <w:marTop w:val="0"/>
          <w:marBottom w:val="150"/>
          <w:divBdr>
            <w:top w:val="none" w:sz="0" w:space="0" w:color="auto"/>
            <w:left w:val="none" w:sz="0" w:space="0" w:color="auto"/>
            <w:bottom w:val="none" w:sz="0" w:space="0" w:color="auto"/>
            <w:right w:val="none" w:sz="0" w:space="0" w:color="auto"/>
          </w:divBdr>
          <w:divsChild>
            <w:div w:id="1814903263">
              <w:marLeft w:val="0"/>
              <w:marRight w:val="0"/>
              <w:marTop w:val="0"/>
              <w:marBottom w:val="0"/>
              <w:divBdr>
                <w:top w:val="none" w:sz="0" w:space="0" w:color="auto"/>
                <w:left w:val="none" w:sz="0" w:space="0" w:color="auto"/>
                <w:bottom w:val="none" w:sz="0" w:space="0" w:color="auto"/>
                <w:right w:val="none" w:sz="0" w:space="0" w:color="auto"/>
              </w:divBdr>
            </w:div>
          </w:divsChild>
        </w:div>
        <w:div w:id="2083409106">
          <w:marLeft w:val="0"/>
          <w:marRight w:val="0"/>
          <w:marTop w:val="0"/>
          <w:marBottom w:val="0"/>
          <w:divBdr>
            <w:top w:val="none" w:sz="0" w:space="0" w:color="auto"/>
            <w:left w:val="none" w:sz="0" w:space="0" w:color="auto"/>
            <w:bottom w:val="none" w:sz="0" w:space="0" w:color="auto"/>
            <w:right w:val="none" w:sz="0" w:space="0" w:color="auto"/>
          </w:divBdr>
          <w:divsChild>
            <w:div w:id="174294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14162">
      <w:bodyDiv w:val="1"/>
      <w:marLeft w:val="0"/>
      <w:marRight w:val="0"/>
      <w:marTop w:val="0"/>
      <w:marBottom w:val="0"/>
      <w:divBdr>
        <w:top w:val="none" w:sz="0" w:space="0" w:color="auto"/>
        <w:left w:val="none" w:sz="0" w:space="0" w:color="auto"/>
        <w:bottom w:val="none" w:sz="0" w:space="0" w:color="auto"/>
        <w:right w:val="none" w:sz="0" w:space="0" w:color="auto"/>
      </w:divBdr>
      <w:divsChild>
        <w:div w:id="2066834760">
          <w:marLeft w:val="0"/>
          <w:marRight w:val="0"/>
          <w:marTop w:val="0"/>
          <w:marBottom w:val="0"/>
          <w:divBdr>
            <w:top w:val="none" w:sz="0" w:space="0" w:color="auto"/>
            <w:left w:val="none" w:sz="0" w:space="0" w:color="auto"/>
            <w:bottom w:val="dotted" w:sz="6" w:space="4" w:color="DDDDDD"/>
            <w:right w:val="none" w:sz="0" w:space="0" w:color="auto"/>
          </w:divBdr>
          <w:divsChild>
            <w:div w:id="39986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236834">
      <w:bodyDiv w:val="1"/>
      <w:marLeft w:val="0"/>
      <w:marRight w:val="0"/>
      <w:marTop w:val="0"/>
      <w:marBottom w:val="0"/>
      <w:divBdr>
        <w:top w:val="none" w:sz="0" w:space="0" w:color="auto"/>
        <w:left w:val="none" w:sz="0" w:space="0" w:color="auto"/>
        <w:bottom w:val="none" w:sz="0" w:space="0" w:color="auto"/>
        <w:right w:val="none" w:sz="0" w:space="0" w:color="auto"/>
      </w:divBdr>
      <w:divsChild>
        <w:div w:id="339695353">
          <w:marLeft w:val="0"/>
          <w:marRight w:val="0"/>
          <w:marTop w:val="0"/>
          <w:marBottom w:val="0"/>
          <w:divBdr>
            <w:top w:val="none" w:sz="0" w:space="0" w:color="auto"/>
            <w:left w:val="none" w:sz="0" w:space="0" w:color="auto"/>
            <w:bottom w:val="none" w:sz="0" w:space="0" w:color="auto"/>
            <w:right w:val="none" w:sz="0" w:space="0" w:color="auto"/>
          </w:divBdr>
        </w:div>
        <w:div w:id="1057126292">
          <w:marLeft w:val="0"/>
          <w:marRight w:val="0"/>
          <w:marTop w:val="0"/>
          <w:marBottom w:val="150"/>
          <w:divBdr>
            <w:top w:val="none" w:sz="0" w:space="0" w:color="auto"/>
            <w:left w:val="none" w:sz="0" w:space="0" w:color="auto"/>
            <w:bottom w:val="none" w:sz="0" w:space="0" w:color="auto"/>
            <w:right w:val="none" w:sz="0" w:space="0" w:color="auto"/>
          </w:divBdr>
        </w:div>
      </w:divsChild>
    </w:div>
    <w:div w:id="783960288">
      <w:bodyDiv w:val="1"/>
      <w:marLeft w:val="0"/>
      <w:marRight w:val="0"/>
      <w:marTop w:val="0"/>
      <w:marBottom w:val="0"/>
      <w:divBdr>
        <w:top w:val="none" w:sz="0" w:space="0" w:color="auto"/>
        <w:left w:val="none" w:sz="0" w:space="0" w:color="auto"/>
        <w:bottom w:val="none" w:sz="0" w:space="0" w:color="auto"/>
        <w:right w:val="none" w:sz="0" w:space="0" w:color="auto"/>
      </w:divBdr>
    </w:div>
    <w:div w:id="783965514">
      <w:bodyDiv w:val="1"/>
      <w:marLeft w:val="0"/>
      <w:marRight w:val="0"/>
      <w:marTop w:val="0"/>
      <w:marBottom w:val="0"/>
      <w:divBdr>
        <w:top w:val="none" w:sz="0" w:space="0" w:color="auto"/>
        <w:left w:val="none" w:sz="0" w:space="0" w:color="auto"/>
        <w:bottom w:val="none" w:sz="0" w:space="0" w:color="auto"/>
        <w:right w:val="none" w:sz="0" w:space="0" w:color="auto"/>
      </w:divBdr>
      <w:divsChild>
        <w:div w:id="952394947">
          <w:marLeft w:val="0"/>
          <w:marRight w:val="0"/>
          <w:marTop w:val="0"/>
          <w:marBottom w:val="0"/>
          <w:divBdr>
            <w:top w:val="none" w:sz="0" w:space="0" w:color="auto"/>
            <w:left w:val="none" w:sz="0" w:space="0" w:color="auto"/>
            <w:bottom w:val="none" w:sz="0" w:space="0" w:color="auto"/>
            <w:right w:val="none" w:sz="0" w:space="0" w:color="auto"/>
          </w:divBdr>
        </w:div>
      </w:divsChild>
    </w:div>
    <w:div w:id="784235827">
      <w:bodyDiv w:val="1"/>
      <w:marLeft w:val="0"/>
      <w:marRight w:val="0"/>
      <w:marTop w:val="0"/>
      <w:marBottom w:val="0"/>
      <w:divBdr>
        <w:top w:val="none" w:sz="0" w:space="0" w:color="auto"/>
        <w:left w:val="none" w:sz="0" w:space="0" w:color="auto"/>
        <w:bottom w:val="none" w:sz="0" w:space="0" w:color="auto"/>
        <w:right w:val="none" w:sz="0" w:space="0" w:color="auto"/>
      </w:divBdr>
      <w:divsChild>
        <w:div w:id="310210859">
          <w:marLeft w:val="0"/>
          <w:marRight w:val="0"/>
          <w:marTop w:val="0"/>
          <w:marBottom w:val="0"/>
          <w:divBdr>
            <w:top w:val="none" w:sz="0" w:space="0" w:color="auto"/>
            <w:left w:val="none" w:sz="0" w:space="0" w:color="auto"/>
            <w:bottom w:val="dotted" w:sz="6" w:space="4" w:color="DDDDDD"/>
            <w:right w:val="none" w:sz="0" w:space="0" w:color="auto"/>
          </w:divBdr>
        </w:div>
      </w:divsChild>
    </w:div>
    <w:div w:id="784695073">
      <w:bodyDiv w:val="1"/>
      <w:marLeft w:val="0"/>
      <w:marRight w:val="0"/>
      <w:marTop w:val="0"/>
      <w:marBottom w:val="0"/>
      <w:divBdr>
        <w:top w:val="none" w:sz="0" w:space="0" w:color="auto"/>
        <w:left w:val="none" w:sz="0" w:space="0" w:color="auto"/>
        <w:bottom w:val="none" w:sz="0" w:space="0" w:color="auto"/>
        <w:right w:val="none" w:sz="0" w:space="0" w:color="auto"/>
      </w:divBdr>
    </w:div>
    <w:div w:id="785001955">
      <w:bodyDiv w:val="1"/>
      <w:marLeft w:val="0"/>
      <w:marRight w:val="0"/>
      <w:marTop w:val="0"/>
      <w:marBottom w:val="0"/>
      <w:divBdr>
        <w:top w:val="none" w:sz="0" w:space="0" w:color="auto"/>
        <w:left w:val="none" w:sz="0" w:space="0" w:color="auto"/>
        <w:bottom w:val="none" w:sz="0" w:space="0" w:color="auto"/>
        <w:right w:val="none" w:sz="0" w:space="0" w:color="auto"/>
      </w:divBdr>
      <w:divsChild>
        <w:div w:id="254823097">
          <w:marLeft w:val="0"/>
          <w:marRight w:val="0"/>
          <w:marTop w:val="0"/>
          <w:marBottom w:val="0"/>
          <w:divBdr>
            <w:top w:val="none" w:sz="0" w:space="0" w:color="auto"/>
            <w:left w:val="none" w:sz="0" w:space="0" w:color="auto"/>
            <w:bottom w:val="dotted" w:sz="6" w:space="4" w:color="DDDDDD"/>
            <w:right w:val="none" w:sz="0" w:space="0" w:color="auto"/>
          </w:divBdr>
          <w:divsChild>
            <w:div w:id="92348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078565">
      <w:bodyDiv w:val="1"/>
      <w:marLeft w:val="0"/>
      <w:marRight w:val="0"/>
      <w:marTop w:val="0"/>
      <w:marBottom w:val="0"/>
      <w:divBdr>
        <w:top w:val="none" w:sz="0" w:space="0" w:color="auto"/>
        <w:left w:val="none" w:sz="0" w:space="0" w:color="auto"/>
        <w:bottom w:val="none" w:sz="0" w:space="0" w:color="auto"/>
        <w:right w:val="none" w:sz="0" w:space="0" w:color="auto"/>
      </w:divBdr>
      <w:divsChild>
        <w:div w:id="542519763">
          <w:marLeft w:val="0"/>
          <w:marRight w:val="0"/>
          <w:marTop w:val="0"/>
          <w:marBottom w:val="150"/>
          <w:divBdr>
            <w:top w:val="none" w:sz="0" w:space="0" w:color="auto"/>
            <w:left w:val="none" w:sz="0" w:space="0" w:color="auto"/>
            <w:bottom w:val="none" w:sz="0" w:space="0" w:color="auto"/>
            <w:right w:val="none" w:sz="0" w:space="0" w:color="auto"/>
          </w:divBdr>
        </w:div>
        <w:div w:id="663749089">
          <w:marLeft w:val="0"/>
          <w:marRight w:val="0"/>
          <w:marTop w:val="0"/>
          <w:marBottom w:val="0"/>
          <w:divBdr>
            <w:top w:val="none" w:sz="0" w:space="0" w:color="auto"/>
            <w:left w:val="none" w:sz="0" w:space="0" w:color="auto"/>
            <w:bottom w:val="none" w:sz="0" w:space="0" w:color="auto"/>
            <w:right w:val="none" w:sz="0" w:space="0" w:color="auto"/>
          </w:divBdr>
          <w:divsChild>
            <w:div w:id="424574849">
              <w:marLeft w:val="0"/>
              <w:marRight w:val="0"/>
              <w:marTop w:val="225"/>
              <w:marBottom w:val="225"/>
              <w:divBdr>
                <w:top w:val="none" w:sz="0" w:space="0" w:color="auto"/>
                <w:left w:val="none" w:sz="0" w:space="0" w:color="auto"/>
                <w:bottom w:val="none" w:sz="0" w:space="0" w:color="auto"/>
                <w:right w:val="none" w:sz="0" w:space="0" w:color="auto"/>
              </w:divBdr>
            </w:div>
          </w:divsChild>
        </w:div>
        <w:div w:id="1163475486">
          <w:marLeft w:val="0"/>
          <w:marRight w:val="0"/>
          <w:marTop w:val="0"/>
          <w:marBottom w:val="150"/>
          <w:divBdr>
            <w:top w:val="none" w:sz="0" w:space="0" w:color="auto"/>
            <w:left w:val="none" w:sz="0" w:space="0" w:color="auto"/>
            <w:bottom w:val="none" w:sz="0" w:space="0" w:color="auto"/>
            <w:right w:val="none" w:sz="0" w:space="0" w:color="auto"/>
          </w:divBdr>
          <w:divsChild>
            <w:div w:id="68305743">
              <w:marLeft w:val="0"/>
              <w:marRight w:val="0"/>
              <w:marTop w:val="0"/>
              <w:marBottom w:val="0"/>
              <w:divBdr>
                <w:top w:val="none" w:sz="0" w:space="0" w:color="auto"/>
                <w:left w:val="none" w:sz="0" w:space="0" w:color="auto"/>
                <w:bottom w:val="none" w:sz="0" w:space="0" w:color="auto"/>
                <w:right w:val="none" w:sz="0" w:space="0" w:color="auto"/>
              </w:divBdr>
              <w:divsChild>
                <w:div w:id="174437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387105">
      <w:bodyDiv w:val="1"/>
      <w:marLeft w:val="0"/>
      <w:marRight w:val="0"/>
      <w:marTop w:val="439"/>
      <w:marBottom w:val="0"/>
      <w:divBdr>
        <w:top w:val="none" w:sz="0" w:space="0" w:color="auto"/>
        <w:left w:val="none" w:sz="0" w:space="0" w:color="auto"/>
        <w:bottom w:val="none" w:sz="0" w:space="0" w:color="auto"/>
        <w:right w:val="none" w:sz="0" w:space="0" w:color="auto"/>
      </w:divBdr>
      <w:divsChild>
        <w:div w:id="326369338">
          <w:marLeft w:val="0"/>
          <w:marRight w:val="0"/>
          <w:marTop w:val="0"/>
          <w:marBottom w:val="0"/>
          <w:divBdr>
            <w:top w:val="none" w:sz="0" w:space="0" w:color="auto"/>
            <w:left w:val="single" w:sz="6" w:space="0" w:color="ECECEC"/>
            <w:bottom w:val="none" w:sz="0" w:space="0" w:color="auto"/>
            <w:right w:val="single" w:sz="6" w:space="0" w:color="ECECEC"/>
          </w:divBdr>
          <w:divsChild>
            <w:div w:id="2140762824">
              <w:marLeft w:val="0"/>
              <w:marRight w:val="0"/>
              <w:marTop w:val="0"/>
              <w:marBottom w:val="0"/>
              <w:divBdr>
                <w:top w:val="none" w:sz="0" w:space="0" w:color="auto"/>
                <w:left w:val="none" w:sz="0" w:space="0" w:color="auto"/>
                <w:bottom w:val="none" w:sz="0" w:space="0" w:color="auto"/>
                <w:right w:val="none" w:sz="0" w:space="0" w:color="auto"/>
              </w:divBdr>
              <w:divsChild>
                <w:div w:id="1716393191">
                  <w:marLeft w:val="0"/>
                  <w:marRight w:val="0"/>
                  <w:marTop w:val="0"/>
                  <w:marBottom w:val="0"/>
                  <w:divBdr>
                    <w:top w:val="none" w:sz="0" w:space="0" w:color="auto"/>
                    <w:left w:val="none" w:sz="0" w:space="0" w:color="auto"/>
                    <w:bottom w:val="none" w:sz="0" w:space="0" w:color="auto"/>
                    <w:right w:val="none" w:sz="0" w:space="0" w:color="auto"/>
                  </w:divBdr>
                  <w:divsChild>
                    <w:div w:id="992369453">
                      <w:marLeft w:val="0"/>
                      <w:marRight w:val="0"/>
                      <w:marTop w:val="0"/>
                      <w:marBottom w:val="0"/>
                      <w:divBdr>
                        <w:top w:val="none" w:sz="0" w:space="0" w:color="auto"/>
                        <w:left w:val="none" w:sz="0" w:space="0" w:color="auto"/>
                        <w:bottom w:val="none" w:sz="0" w:space="0" w:color="auto"/>
                        <w:right w:val="none" w:sz="0" w:space="0" w:color="auto"/>
                      </w:divBdr>
                      <w:divsChild>
                        <w:div w:id="53819481">
                          <w:marLeft w:val="0"/>
                          <w:marRight w:val="0"/>
                          <w:marTop w:val="0"/>
                          <w:marBottom w:val="0"/>
                          <w:divBdr>
                            <w:top w:val="none" w:sz="0" w:space="0" w:color="auto"/>
                            <w:left w:val="none" w:sz="0" w:space="0" w:color="auto"/>
                            <w:bottom w:val="none" w:sz="0" w:space="0" w:color="auto"/>
                            <w:right w:val="none" w:sz="0" w:space="0" w:color="auto"/>
                          </w:divBdr>
                          <w:divsChild>
                            <w:div w:id="1775326507">
                              <w:marLeft w:val="0"/>
                              <w:marRight w:val="0"/>
                              <w:marTop w:val="0"/>
                              <w:marBottom w:val="0"/>
                              <w:divBdr>
                                <w:top w:val="none" w:sz="0" w:space="0" w:color="auto"/>
                                <w:left w:val="none" w:sz="0" w:space="0" w:color="auto"/>
                                <w:bottom w:val="none" w:sz="0" w:space="0" w:color="auto"/>
                                <w:right w:val="none" w:sz="0" w:space="0" w:color="auto"/>
                              </w:divBdr>
                              <w:divsChild>
                                <w:div w:id="88711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394833">
      <w:bodyDiv w:val="1"/>
      <w:marLeft w:val="0"/>
      <w:marRight w:val="0"/>
      <w:marTop w:val="0"/>
      <w:marBottom w:val="0"/>
      <w:divBdr>
        <w:top w:val="none" w:sz="0" w:space="0" w:color="auto"/>
        <w:left w:val="none" w:sz="0" w:space="0" w:color="auto"/>
        <w:bottom w:val="none" w:sz="0" w:space="0" w:color="auto"/>
        <w:right w:val="none" w:sz="0" w:space="0" w:color="auto"/>
      </w:divBdr>
    </w:div>
    <w:div w:id="786318808">
      <w:bodyDiv w:val="1"/>
      <w:marLeft w:val="0"/>
      <w:marRight w:val="0"/>
      <w:marTop w:val="0"/>
      <w:marBottom w:val="0"/>
      <w:divBdr>
        <w:top w:val="none" w:sz="0" w:space="0" w:color="auto"/>
        <w:left w:val="none" w:sz="0" w:space="0" w:color="auto"/>
        <w:bottom w:val="none" w:sz="0" w:space="0" w:color="auto"/>
        <w:right w:val="none" w:sz="0" w:space="0" w:color="auto"/>
      </w:divBdr>
    </w:div>
    <w:div w:id="786463472">
      <w:bodyDiv w:val="1"/>
      <w:marLeft w:val="0"/>
      <w:marRight w:val="0"/>
      <w:marTop w:val="0"/>
      <w:marBottom w:val="0"/>
      <w:divBdr>
        <w:top w:val="none" w:sz="0" w:space="0" w:color="auto"/>
        <w:left w:val="none" w:sz="0" w:space="0" w:color="auto"/>
        <w:bottom w:val="none" w:sz="0" w:space="0" w:color="auto"/>
        <w:right w:val="none" w:sz="0" w:space="0" w:color="auto"/>
      </w:divBdr>
      <w:divsChild>
        <w:div w:id="1044451510">
          <w:marLeft w:val="0"/>
          <w:marRight w:val="0"/>
          <w:marTop w:val="0"/>
          <w:marBottom w:val="0"/>
          <w:divBdr>
            <w:top w:val="none" w:sz="0" w:space="0" w:color="auto"/>
            <w:left w:val="none" w:sz="0" w:space="0" w:color="auto"/>
            <w:bottom w:val="none" w:sz="0" w:space="0" w:color="auto"/>
            <w:right w:val="none" w:sz="0" w:space="0" w:color="auto"/>
          </w:divBdr>
          <w:divsChild>
            <w:div w:id="188035217">
              <w:marLeft w:val="0"/>
              <w:marRight w:val="0"/>
              <w:marTop w:val="0"/>
              <w:marBottom w:val="0"/>
              <w:divBdr>
                <w:top w:val="none" w:sz="0" w:space="0" w:color="auto"/>
                <w:left w:val="none" w:sz="0" w:space="0" w:color="auto"/>
                <w:bottom w:val="none" w:sz="0" w:space="0" w:color="auto"/>
                <w:right w:val="none" w:sz="0" w:space="0" w:color="auto"/>
              </w:divBdr>
            </w:div>
            <w:div w:id="266352976">
              <w:marLeft w:val="0"/>
              <w:marRight w:val="0"/>
              <w:marTop w:val="0"/>
              <w:marBottom w:val="0"/>
              <w:divBdr>
                <w:top w:val="none" w:sz="0" w:space="0" w:color="auto"/>
                <w:left w:val="none" w:sz="0" w:space="0" w:color="auto"/>
                <w:bottom w:val="none" w:sz="0" w:space="0" w:color="auto"/>
                <w:right w:val="none" w:sz="0" w:space="0" w:color="auto"/>
              </w:divBdr>
            </w:div>
            <w:div w:id="769399288">
              <w:marLeft w:val="0"/>
              <w:marRight w:val="0"/>
              <w:marTop w:val="0"/>
              <w:marBottom w:val="0"/>
              <w:divBdr>
                <w:top w:val="none" w:sz="0" w:space="0" w:color="auto"/>
                <w:left w:val="none" w:sz="0" w:space="0" w:color="auto"/>
                <w:bottom w:val="none" w:sz="0" w:space="0" w:color="auto"/>
                <w:right w:val="none" w:sz="0" w:space="0" w:color="auto"/>
              </w:divBdr>
            </w:div>
            <w:div w:id="1035540424">
              <w:marLeft w:val="0"/>
              <w:marRight w:val="0"/>
              <w:marTop w:val="0"/>
              <w:marBottom w:val="0"/>
              <w:divBdr>
                <w:top w:val="none" w:sz="0" w:space="0" w:color="auto"/>
                <w:left w:val="none" w:sz="0" w:space="0" w:color="auto"/>
                <w:bottom w:val="none" w:sz="0" w:space="0" w:color="auto"/>
                <w:right w:val="none" w:sz="0" w:space="0" w:color="auto"/>
              </w:divBdr>
            </w:div>
            <w:div w:id="1092897016">
              <w:marLeft w:val="0"/>
              <w:marRight w:val="0"/>
              <w:marTop w:val="0"/>
              <w:marBottom w:val="0"/>
              <w:divBdr>
                <w:top w:val="none" w:sz="0" w:space="0" w:color="auto"/>
                <w:left w:val="none" w:sz="0" w:space="0" w:color="auto"/>
                <w:bottom w:val="none" w:sz="0" w:space="0" w:color="auto"/>
                <w:right w:val="none" w:sz="0" w:space="0" w:color="auto"/>
              </w:divBdr>
            </w:div>
            <w:div w:id="1469784836">
              <w:marLeft w:val="0"/>
              <w:marRight w:val="0"/>
              <w:marTop w:val="0"/>
              <w:marBottom w:val="0"/>
              <w:divBdr>
                <w:top w:val="none" w:sz="0" w:space="0" w:color="auto"/>
                <w:left w:val="none" w:sz="0" w:space="0" w:color="auto"/>
                <w:bottom w:val="none" w:sz="0" w:space="0" w:color="auto"/>
                <w:right w:val="none" w:sz="0" w:space="0" w:color="auto"/>
              </w:divBdr>
            </w:div>
            <w:div w:id="1545562952">
              <w:marLeft w:val="0"/>
              <w:marRight w:val="0"/>
              <w:marTop w:val="0"/>
              <w:marBottom w:val="0"/>
              <w:divBdr>
                <w:top w:val="none" w:sz="0" w:space="0" w:color="auto"/>
                <w:left w:val="none" w:sz="0" w:space="0" w:color="auto"/>
                <w:bottom w:val="none" w:sz="0" w:space="0" w:color="auto"/>
                <w:right w:val="none" w:sz="0" w:space="0" w:color="auto"/>
              </w:divBdr>
            </w:div>
            <w:div w:id="1595477828">
              <w:marLeft w:val="0"/>
              <w:marRight w:val="0"/>
              <w:marTop w:val="0"/>
              <w:marBottom w:val="0"/>
              <w:divBdr>
                <w:top w:val="none" w:sz="0" w:space="0" w:color="auto"/>
                <w:left w:val="none" w:sz="0" w:space="0" w:color="auto"/>
                <w:bottom w:val="none" w:sz="0" w:space="0" w:color="auto"/>
                <w:right w:val="none" w:sz="0" w:space="0" w:color="auto"/>
              </w:divBdr>
            </w:div>
            <w:div w:id="1646735221">
              <w:marLeft w:val="0"/>
              <w:marRight w:val="0"/>
              <w:marTop w:val="0"/>
              <w:marBottom w:val="0"/>
              <w:divBdr>
                <w:top w:val="none" w:sz="0" w:space="0" w:color="auto"/>
                <w:left w:val="none" w:sz="0" w:space="0" w:color="auto"/>
                <w:bottom w:val="none" w:sz="0" w:space="0" w:color="auto"/>
                <w:right w:val="none" w:sz="0" w:space="0" w:color="auto"/>
              </w:divBdr>
            </w:div>
            <w:div w:id="1669289045">
              <w:marLeft w:val="0"/>
              <w:marRight w:val="0"/>
              <w:marTop w:val="0"/>
              <w:marBottom w:val="0"/>
              <w:divBdr>
                <w:top w:val="none" w:sz="0" w:space="0" w:color="auto"/>
                <w:left w:val="none" w:sz="0" w:space="0" w:color="auto"/>
                <w:bottom w:val="none" w:sz="0" w:space="0" w:color="auto"/>
                <w:right w:val="none" w:sz="0" w:space="0" w:color="auto"/>
              </w:divBdr>
            </w:div>
            <w:div w:id="206367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891003">
      <w:bodyDiv w:val="1"/>
      <w:marLeft w:val="0"/>
      <w:marRight w:val="0"/>
      <w:marTop w:val="0"/>
      <w:marBottom w:val="0"/>
      <w:divBdr>
        <w:top w:val="none" w:sz="0" w:space="0" w:color="auto"/>
        <w:left w:val="none" w:sz="0" w:space="0" w:color="auto"/>
        <w:bottom w:val="none" w:sz="0" w:space="0" w:color="auto"/>
        <w:right w:val="none" w:sz="0" w:space="0" w:color="auto"/>
      </w:divBdr>
      <w:divsChild>
        <w:div w:id="714234514">
          <w:marLeft w:val="0"/>
          <w:marRight w:val="0"/>
          <w:marTop w:val="0"/>
          <w:marBottom w:val="0"/>
          <w:divBdr>
            <w:top w:val="none" w:sz="0" w:space="0" w:color="auto"/>
            <w:left w:val="none" w:sz="0" w:space="0" w:color="auto"/>
            <w:bottom w:val="none" w:sz="0" w:space="0" w:color="auto"/>
            <w:right w:val="none" w:sz="0" w:space="0" w:color="auto"/>
          </w:divBdr>
        </w:div>
        <w:div w:id="1360937910">
          <w:marLeft w:val="0"/>
          <w:marRight w:val="0"/>
          <w:marTop w:val="0"/>
          <w:marBottom w:val="150"/>
          <w:divBdr>
            <w:top w:val="none" w:sz="0" w:space="0" w:color="auto"/>
            <w:left w:val="none" w:sz="0" w:space="0" w:color="auto"/>
            <w:bottom w:val="none" w:sz="0" w:space="0" w:color="auto"/>
            <w:right w:val="none" w:sz="0" w:space="0" w:color="auto"/>
          </w:divBdr>
        </w:div>
      </w:divsChild>
    </w:div>
    <w:div w:id="787090420">
      <w:bodyDiv w:val="1"/>
      <w:marLeft w:val="0"/>
      <w:marRight w:val="0"/>
      <w:marTop w:val="0"/>
      <w:marBottom w:val="0"/>
      <w:divBdr>
        <w:top w:val="none" w:sz="0" w:space="0" w:color="auto"/>
        <w:left w:val="none" w:sz="0" w:space="0" w:color="auto"/>
        <w:bottom w:val="none" w:sz="0" w:space="0" w:color="auto"/>
        <w:right w:val="none" w:sz="0" w:space="0" w:color="auto"/>
      </w:divBdr>
    </w:div>
    <w:div w:id="787090905">
      <w:bodyDiv w:val="1"/>
      <w:marLeft w:val="0"/>
      <w:marRight w:val="0"/>
      <w:marTop w:val="0"/>
      <w:marBottom w:val="0"/>
      <w:divBdr>
        <w:top w:val="none" w:sz="0" w:space="0" w:color="auto"/>
        <w:left w:val="none" w:sz="0" w:space="0" w:color="auto"/>
        <w:bottom w:val="none" w:sz="0" w:space="0" w:color="auto"/>
        <w:right w:val="none" w:sz="0" w:space="0" w:color="auto"/>
      </w:divBdr>
      <w:divsChild>
        <w:div w:id="394471838">
          <w:marLeft w:val="0"/>
          <w:marRight w:val="0"/>
          <w:marTop w:val="0"/>
          <w:marBottom w:val="0"/>
          <w:divBdr>
            <w:top w:val="none" w:sz="0" w:space="0" w:color="auto"/>
            <w:left w:val="none" w:sz="0" w:space="0" w:color="auto"/>
            <w:bottom w:val="none" w:sz="0" w:space="0" w:color="auto"/>
            <w:right w:val="none" w:sz="0" w:space="0" w:color="auto"/>
          </w:divBdr>
          <w:divsChild>
            <w:div w:id="224872380">
              <w:marLeft w:val="0"/>
              <w:marRight w:val="0"/>
              <w:marTop w:val="0"/>
              <w:marBottom w:val="0"/>
              <w:divBdr>
                <w:top w:val="none" w:sz="0" w:space="0" w:color="auto"/>
                <w:left w:val="none" w:sz="0" w:space="0" w:color="auto"/>
                <w:bottom w:val="none" w:sz="0" w:space="0" w:color="auto"/>
                <w:right w:val="none" w:sz="0" w:space="0" w:color="auto"/>
              </w:divBdr>
            </w:div>
          </w:divsChild>
        </w:div>
        <w:div w:id="600069185">
          <w:marLeft w:val="0"/>
          <w:marRight w:val="0"/>
          <w:marTop w:val="0"/>
          <w:marBottom w:val="150"/>
          <w:divBdr>
            <w:top w:val="none" w:sz="0" w:space="0" w:color="auto"/>
            <w:left w:val="none" w:sz="0" w:space="0" w:color="auto"/>
            <w:bottom w:val="none" w:sz="0" w:space="0" w:color="auto"/>
            <w:right w:val="none" w:sz="0" w:space="0" w:color="auto"/>
          </w:divBdr>
        </w:div>
        <w:div w:id="1235748975">
          <w:marLeft w:val="0"/>
          <w:marRight w:val="0"/>
          <w:marTop w:val="0"/>
          <w:marBottom w:val="150"/>
          <w:divBdr>
            <w:top w:val="none" w:sz="0" w:space="0" w:color="auto"/>
            <w:left w:val="none" w:sz="0" w:space="0" w:color="auto"/>
            <w:bottom w:val="none" w:sz="0" w:space="0" w:color="auto"/>
            <w:right w:val="none" w:sz="0" w:space="0" w:color="auto"/>
          </w:divBdr>
          <w:divsChild>
            <w:div w:id="139192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624310">
      <w:bodyDiv w:val="1"/>
      <w:marLeft w:val="0"/>
      <w:marRight w:val="0"/>
      <w:marTop w:val="0"/>
      <w:marBottom w:val="0"/>
      <w:divBdr>
        <w:top w:val="none" w:sz="0" w:space="0" w:color="auto"/>
        <w:left w:val="none" w:sz="0" w:space="0" w:color="auto"/>
        <w:bottom w:val="none" w:sz="0" w:space="0" w:color="auto"/>
        <w:right w:val="none" w:sz="0" w:space="0" w:color="auto"/>
      </w:divBdr>
    </w:div>
    <w:div w:id="787698358">
      <w:bodyDiv w:val="1"/>
      <w:marLeft w:val="0"/>
      <w:marRight w:val="0"/>
      <w:marTop w:val="0"/>
      <w:marBottom w:val="0"/>
      <w:divBdr>
        <w:top w:val="none" w:sz="0" w:space="0" w:color="auto"/>
        <w:left w:val="none" w:sz="0" w:space="0" w:color="auto"/>
        <w:bottom w:val="none" w:sz="0" w:space="0" w:color="auto"/>
        <w:right w:val="none" w:sz="0" w:space="0" w:color="auto"/>
      </w:divBdr>
      <w:divsChild>
        <w:div w:id="1595940677">
          <w:marLeft w:val="0"/>
          <w:marRight w:val="0"/>
          <w:marTop w:val="0"/>
          <w:marBottom w:val="0"/>
          <w:divBdr>
            <w:top w:val="none" w:sz="0" w:space="0" w:color="auto"/>
            <w:left w:val="none" w:sz="0" w:space="0" w:color="auto"/>
            <w:bottom w:val="none" w:sz="0" w:space="0" w:color="auto"/>
            <w:right w:val="none" w:sz="0" w:space="0" w:color="auto"/>
          </w:divBdr>
          <w:divsChild>
            <w:div w:id="1710491117">
              <w:marLeft w:val="0"/>
              <w:marRight w:val="0"/>
              <w:marTop w:val="0"/>
              <w:marBottom w:val="0"/>
              <w:divBdr>
                <w:top w:val="none" w:sz="0" w:space="0" w:color="auto"/>
                <w:left w:val="none" w:sz="0" w:space="0" w:color="auto"/>
                <w:bottom w:val="none" w:sz="0" w:space="0" w:color="auto"/>
                <w:right w:val="none" w:sz="0" w:space="0" w:color="auto"/>
              </w:divBdr>
              <w:divsChild>
                <w:div w:id="1154487243">
                  <w:marLeft w:val="0"/>
                  <w:marRight w:val="0"/>
                  <w:marTop w:val="0"/>
                  <w:marBottom w:val="0"/>
                  <w:divBdr>
                    <w:top w:val="none" w:sz="0" w:space="0" w:color="auto"/>
                    <w:left w:val="none" w:sz="0" w:space="0" w:color="auto"/>
                    <w:bottom w:val="none" w:sz="0" w:space="0" w:color="auto"/>
                    <w:right w:val="none" w:sz="0" w:space="0" w:color="auto"/>
                  </w:divBdr>
                  <w:divsChild>
                    <w:div w:id="1983195541">
                      <w:marLeft w:val="0"/>
                      <w:marRight w:val="0"/>
                      <w:marTop w:val="0"/>
                      <w:marBottom w:val="0"/>
                      <w:divBdr>
                        <w:top w:val="none" w:sz="0" w:space="0" w:color="auto"/>
                        <w:left w:val="none" w:sz="0" w:space="0" w:color="auto"/>
                        <w:bottom w:val="none" w:sz="0" w:space="0" w:color="auto"/>
                        <w:right w:val="none" w:sz="0" w:space="0" w:color="auto"/>
                      </w:divBdr>
                      <w:divsChild>
                        <w:div w:id="165360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472383">
      <w:bodyDiv w:val="1"/>
      <w:marLeft w:val="0"/>
      <w:marRight w:val="0"/>
      <w:marTop w:val="0"/>
      <w:marBottom w:val="0"/>
      <w:divBdr>
        <w:top w:val="none" w:sz="0" w:space="0" w:color="auto"/>
        <w:left w:val="none" w:sz="0" w:space="0" w:color="auto"/>
        <w:bottom w:val="none" w:sz="0" w:space="0" w:color="auto"/>
        <w:right w:val="none" w:sz="0" w:space="0" w:color="auto"/>
      </w:divBdr>
    </w:div>
    <w:div w:id="788548288">
      <w:bodyDiv w:val="1"/>
      <w:marLeft w:val="0"/>
      <w:marRight w:val="0"/>
      <w:marTop w:val="0"/>
      <w:marBottom w:val="0"/>
      <w:divBdr>
        <w:top w:val="none" w:sz="0" w:space="0" w:color="auto"/>
        <w:left w:val="none" w:sz="0" w:space="0" w:color="auto"/>
        <w:bottom w:val="none" w:sz="0" w:space="0" w:color="auto"/>
        <w:right w:val="none" w:sz="0" w:space="0" w:color="auto"/>
      </w:divBdr>
      <w:divsChild>
        <w:div w:id="300353591">
          <w:marLeft w:val="0"/>
          <w:marRight w:val="0"/>
          <w:marTop w:val="0"/>
          <w:marBottom w:val="150"/>
          <w:divBdr>
            <w:top w:val="none" w:sz="0" w:space="0" w:color="auto"/>
            <w:left w:val="none" w:sz="0" w:space="0" w:color="auto"/>
            <w:bottom w:val="none" w:sz="0" w:space="0" w:color="auto"/>
            <w:right w:val="none" w:sz="0" w:space="0" w:color="auto"/>
          </w:divBdr>
        </w:div>
      </w:divsChild>
    </w:div>
    <w:div w:id="788627431">
      <w:bodyDiv w:val="1"/>
      <w:marLeft w:val="0"/>
      <w:marRight w:val="0"/>
      <w:marTop w:val="0"/>
      <w:marBottom w:val="0"/>
      <w:divBdr>
        <w:top w:val="none" w:sz="0" w:space="0" w:color="auto"/>
        <w:left w:val="none" w:sz="0" w:space="0" w:color="auto"/>
        <w:bottom w:val="none" w:sz="0" w:space="0" w:color="auto"/>
        <w:right w:val="none" w:sz="0" w:space="0" w:color="auto"/>
      </w:divBdr>
    </w:div>
    <w:div w:id="788862579">
      <w:bodyDiv w:val="1"/>
      <w:marLeft w:val="0"/>
      <w:marRight w:val="0"/>
      <w:marTop w:val="0"/>
      <w:marBottom w:val="0"/>
      <w:divBdr>
        <w:top w:val="none" w:sz="0" w:space="0" w:color="auto"/>
        <w:left w:val="none" w:sz="0" w:space="0" w:color="auto"/>
        <w:bottom w:val="none" w:sz="0" w:space="0" w:color="auto"/>
        <w:right w:val="none" w:sz="0" w:space="0" w:color="auto"/>
      </w:divBdr>
      <w:divsChild>
        <w:div w:id="42409240">
          <w:marLeft w:val="0"/>
          <w:marRight w:val="0"/>
          <w:marTop w:val="0"/>
          <w:marBottom w:val="225"/>
          <w:divBdr>
            <w:top w:val="none" w:sz="0" w:space="0" w:color="auto"/>
            <w:left w:val="none" w:sz="0" w:space="0" w:color="auto"/>
            <w:bottom w:val="none" w:sz="0" w:space="0" w:color="auto"/>
            <w:right w:val="none" w:sz="0" w:space="0" w:color="auto"/>
          </w:divBdr>
        </w:div>
        <w:div w:id="85151087">
          <w:marLeft w:val="0"/>
          <w:marRight w:val="0"/>
          <w:marTop w:val="0"/>
          <w:marBottom w:val="225"/>
          <w:divBdr>
            <w:top w:val="none" w:sz="0" w:space="0" w:color="auto"/>
            <w:left w:val="none" w:sz="0" w:space="0" w:color="auto"/>
            <w:bottom w:val="none" w:sz="0" w:space="0" w:color="auto"/>
            <w:right w:val="none" w:sz="0" w:space="0" w:color="auto"/>
          </w:divBdr>
          <w:divsChild>
            <w:div w:id="888305189">
              <w:marLeft w:val="0"/>
              <w:marRight w:val="0"/>
              <w:marTop w:val="0"/>
              <w:marBottom w:val="0"/>
              <w:divBdr>
                <w:top w:val="none" w:sz="0" w:space="0" w:color="auto"/>
                <w:left w:val="none" w:sz="0" w:space="0" w:color="auto"/>
                <w:bottom w:val="none" w:sz="0" w:space="0" w:color="auto"/>
                <w:right w:val="none" w:sz="0" w:space="0" w:color="auto"/>
              </w:divBdr>
              <w:divsChild>
                <w:div w:id="49461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277492">
      <w:bodyDiv w:val="1"/>
      <w:marLeft w:val="0"/>
      <w:marRight w:val="0"/>
      <w:marTop w:val="0"/>
      <w:marBottom w:val="0"/>
      <w:divBdr>
        <w:top w:val="none" w:sz="0" w:space="0" w:color="auto"/>
        <w:left w:val="none" w:sz="0" w:space="0" w:color="auto"/>
        <w:bottom w:val="none" w:sz="0" w:space="0" w:color="auto"/>
        <w:right w:val="none" w:sz="0" w:space="0" w:color="auto"/>
      </w:divBdr>
      <w:divsChild>
        <w:div w:id="830488084">
          <w:marLeft w:val="0"/>
          <w:marRight w:val="0"/>
          <w:marTop w:val="0"/>
          <w:marBottom w:val="0"/>
          <w:divBdr>
            <w:top w:val="none" w:sz="0" w:space="0" w:color="auto"/>
            <w:left w:val="none" w:sz="0" w:space="0" w:color="auto"/>
            <w:bottom w:val="dotted" w:sz="6" w:space="4" w:color="DDDDDD"/>
            <w:right w:val="none" w:sz="0" w:space="0" w:color="auto"/>
          </w:divBdr>
          <w:divsChild>
            <w:div w:id="10990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478145">
      <w:bodyDiv w:val="1"/>
      <w:marLeft w:val="0"/>
      <w:marRight w:val="0"/>
      <w:marTop w:val="0"/>
      <w:marBottom w:val="0"/>
      <w:divBdr>
        <w:top w:val="none" w:sz="0" w:space="0" w:color="auto"/>
        <w:left w:val="none" w:sz="0" w:space="0" w:color="auto"/>
        <w:bottom w:val="none" w:sz="0" w:space="0" w:color="auto"/>
        <w:right w:val="none" w:sz="0" w:space="0" w:color="auto"/>
      </w:divBdr>
      <w:divsChild>
        <w:div w:id="641933145">
          <w:marLeft w:val="0"/>
          <w:marRight w:val="0"/>
          <w:marTop w:val="0"/>
          <w:marBottom w:val="0"/>
          <w:divBdr>
            <w:top w:val="none" w:sz="0" w:space="0" w:color="auto"/>
            <w:left w:val="none" w:sz="0" w:space="0" w:color="auto"/>
            <w:bottom w:val="none" w:sz="0" w:space="0" w:color="auto"/>
            <w:right w:val="none" w:sz="0" w:space="0" w:color="auto"/>
          </w:divBdr>
          <w:divsChild>
            <w:div w:id="2095473448">
              <w:marLeft w:val="0"/>
              <w:marRight w:val="0"/>
              <w:marTop w:val="0"/>
              <w:marBottom w:val="0"/>
              <w:divBdr>
                <w:top w:val="none" w:sz="0" w:space="0" w:color="auto"/>
                <w:left w:val="none" w:sz="0" w:space="0" w:color="auto"/>
                <w:bottom w:val="none" w:sz="0" w:space="0" w:color="auto"/>
                <w:right w:val="none" w:sz="0" w:space="0" w:color="auto"/>
              </w:divBdr>
              <w:divsChild>
                <w:div w:id="151144076">
                  <w:marLeft w:val="0"/>
                  <w:marRight w:val="0"/>
                  <w:marTop w:val="0"/>
                  <w:marBottom w:val="0"/>
                  <w:divBdr>
                    <w:top w:val="none" w:sz="0" w:space="0" w:color="auto"/>
                    <w:left w:val="none" w:sz="0" w:space="0" w:color="auto"/>
                    <w:bottom w:val="none" w:sz="0" w:space="0" w:color="auto"/>
                    <w:right w:val="none" w:sz="0" w:space="0" w:color="auto"/>
                  </w:divBdr>
                  <w:divsChild>
                    <w:div w:id="1508405703">
                      <w:marLeft w:val="0"/>
                      <w:marRight w:val="0"/>
                      <w:marTop w:val="0"/>
                      <w:marBottom w:val="0"/>
                      <w:divBdr>
                        <w:top w:val="none" w:sz="0" w:space="0" w:color="auto"/>
                        <w:left w:val="none" w:sz="0" w:space="0" w:color="auto"/>
                        <w:bottom w:val="none" w:sz="0" w:space="0" w:color="auto"/>
                        <w:right w:val="none" w:sz="0" w:space="0" w:color="auto"/>
                      </w:divBdr>
                      <w:divsChild>
                        <w:div w:id="1874607067">
                          <w:marLeft w:val="0"/>
                          <w:marRight w:val="0"/>
                          <w:marTop w:val="0"/>
                          <w:marBottom w:val="0"/>
                          <w:divBdr>
                            <w:top w:val="none" w:sz="0" w:space="0" w:color="auto"/>
                            <w:left w:val="none" w:sz="0" w:space="0" w:color="auto"/>
                            <w:bottom w:val="none" w:sz="0" w:space="0" w:color="auto"/>
                            <w:right w:val="none" w:sz="0" w:space="0" w:color="auto"/>
                          </w:divBdr>
                          <w:divsChild>
                            <w:div w:id="544565298">
                              <w:marLeft w:val="0"/>
                              <w:marRight w:val="0"/>
                              <w:marTop w:val="0"/>
                              <w:marBottom w:val="0"/>
                              <w:divBdr>
                                <w:top w:val="none" w:sz="0" w:space="0" w:color="auto"/>
                                <w:left w:val="none" w:sz="0" w:space="0" w:color="auto"/>
                                <w:bottom w:val="none" w:sz="0" w:space="0" w:color="auto"/>
                                <w:right w:val="none" w:sz="0" w:space="0" w:color="auto"/>
                              </w:divBdr>
                              <w:divsChild>
                                <w:div w:id="1435051221">
                                  <w:marLeft w:val="0"/>
                                  <w:marRight w:val="0"/>
                                  <w:marTop w:val="0"/>
                                  <w:marBottom w:val="0"/>
                                  <w:divBdr>
                                    <w:top w:val="none" w:sz="0" w:space="0" w:color="auto"/>
                                    <w:left w:val="none" w:sz="0" w:space="0" w:color="auto"/>
                                    <w:bottom w:val="none" w:sz="0" w:space="0" w:color="auto"/>
                                    <w:right w:val="none" w:sz="0" w:space="0" w:color="auto"/>
                                  </w:divBdr>
                                  <w:divsChild>
                                    <w:div w:id="115653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520784">
      <w:bodyDiv w:val="1"/>
      <w:marLeft w:val="0"/>
      <w:marRight w:val="0"/>
      <w:marTop w:val="0"/>
      <w:marBottom w:val="0"/>
      <w:divBdr>
        <w:top w:val="none" w:sz="0" w:space="0" w:color="auto"/>
        <w:left w:val="none" w:sz="0" w:space="0" w:color="auto"/>
        <w:bottom w:val="none" w:sz="0" w:space="0" w:color="auto"/>
        <w:right w:val="none" w:sz="0" w:space="0" w:color="auto"/>
      </w:divBdr>
      <w:divsChild>
        <w:div w:id="538318310">
          <w:marLeft w:val="0"/>
          <w:marRight w:val="0"/>
          <w:marTop w:val="0"/>
          <w:marBottom w:val="0"/>
          <w:divBdr>
            <w:top w:val="none" w:sz="0" w:space="0" w:color="auto"/>
            <w:left w:val="none" w:sz="0" w:space="0" w:color="auto"/>
            <w:bottom w:val="dotted" w:sz="6" w:space="4" w:color="DDDDDD"/>
            <w:right w:val="none" w:sz="0" w:space="0" w:color="auto"/>
          </w:divBdr>
          <w:divsChild>
            <w:div w:id="4148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243279">
      <w:bodyDiv w:val="1"/>
      <w:marLeft w:val="0"/>
      <w:marRight w:val="0"/>
      <w:marTop w:val="0"/>
      <w:marBottom w:val="0"/>
      <w:divBdr>
        <w:top w:val="none" w:sz="0" w:space="0" w:color="auto"/>
        <w:left w:val="none" w:sz="0" w:space="0" w:color="auto"/>
        <w:bottom w:val="none" w:sz="0" w:space="0" w:color="auto"/>
        <w:right w:val="none" w:sz="0" w:space="0" w:color="auto"/>
      </w:divBdr>
      <w:divsChild>
        <w:div w:id="1695880955">
          <w:marLeft w:val="0"/>
          <w:marRight w:val="0"/>
          <w:marTop w:val="0"/>
          <w:marBottom w:val="150"/>
          <w:divBdr>
            <w:top w:val="none" w:sz="0" w:space="0" w:color="auto"/>
            <w:left w:val="none" w:sz="0" w:space="0" w:color="auto"/>
            <w:bottom w:val="none" w:sz="0" w:space="0" w:color="auto"/>
            <w:right w:val="none" w:sz="0" w:space="0" w:color="auto"/>
          </w:divBdr>
        </w:div>
      </w:divsChild>
    </w:div>
    <w:div w:id="790828175">
      <w:bodyDiv w:val="1"/>
      <w:marLeft w:val="0"/>
      <w:marRight w:val="0"/>
      <w:marTop w:val="0"/>
      <w:marBottom w:val="0"/>
      <w:divBdr>
        <w:top w:val="none" w:sz="0" w:space="0" w:color="auto"/>
        <w:left w:val="none" w:sz="0" w:space="0" w:color="auto"/>
        <w:bottom w:val="none" w:sz="0" w:space="0" w:color="auto"/>
        <w:right w:val="none" w:sz="0" w:space="0" w:color="auto"/>
      </w:divBdr>
      <w:divsChild>
        <w:div w:id="1638949853">
          <w:marLeft w:val="0"/>
          <w:marRight w:val="0"/>
          <w:marTop w:val="0"/>
          <w:marBottom w:val="0"/>
          <w:divBdr>
            <w:top w:val="none" w:sz="0" w:space="0" w:color="auto"/>
            <w:left w:val="none" w:sz="0" w:space="0" w:color="auto"/>
            <w:bottom w:val="none" w:sz="0" w:space="0" w:color="auto"/>
            <w:right w:val="none" w:sz="0" w:space="0" w:color="auto"/>
          </w:divBdr>
          <w:divsChild>
            <w:div w:id="868182726">
              <w:marLeft w:val="0"/>
              <w:marRight w:val="0"/>
              <w:marTop w:val="0"/>
              <w:marBottom w:val="0"/>
              <w:divBdr>
                <w:top w:val="none" w:sz="0" w:space="0" w:color="auto"/>
                <w:left w:val="none" w:sz="0" w:space="0" w:color="auto"/>
                <w:bottom w:val="none" w:sz="0" w:space="0" w:color="auto"/>
                <w:right w:val="none" w:sz="0" w:space="0" w:color="auto"/>
              </w:divBdr>
            </w:div>
            <w:div w:id="16329022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90902174">
      <w:bodyDiv w:val="1"/>
      <w:marLeft w:val="0"/>
      <w:marRight w:val="0"/>
      <w:marTop w:val="0"/>
      <w:marBottom w:val="0"/>
      <w:divBdr>
        <w:top w:val="none" w:sz="0" w:space="0" w:color="auto"/>
        <w:left w:val="none" w:sz="0" w:space="0" w:color="auto"/>
        <w:bottom w:val="none" w:sz="0" w:space="0" w:color="auto"/>
        <w:right w:val="none" w:sz="0" w:space="0" w:color="auto"/>
      </w:divBdr>
    </w:div>
    <w:div w:id="790906610">
      <w:bodyDiv w:val="1"/>
      <w:marLeft w:val="0"/>
      <w:marRight w:val="0"/>
      <w:marTop w:val="0"/>
      <w:marBottom w:val="0"/>
      <w:divBdr>
        <w:top w:val="none" w:sz="0" w:space="0" w:color="auto"/>
        <w:left w:val="none" w:sz="0" w:space="0" w:color="auto"/>
        <w:bottom w:val="none" w:sz="0" w:space="0" w:color="auto"/>
        <w:right w:val="none" w:sz="0" w:space="0" w:color="auto"/>
      </w:divBdr>
      <w:divsChild>
        <w:div w:id="952058556">
          <w:marLeft w:val="0"/>
          <w:marRight w:val="0"/>
          <w:marTop w:val="0"/>
          <w:marBottom w:val="0"/>
          <w:divBdr>
            <w:top w:val="none" w:sz="0" w:space="0" w:color="auto"/>
            <w:left w:val="none" w:sz="0" w:space="0" w:color="auto"/>
            <w:bottom w:val="none" w:sz="0" w:space="0" w:color="auto"/>
            <w:right w:val="none" w:sz="0" w:space="0" w:color="auto"/>
          </w:divBdr>
          <w:divsChild>
            <w:div w:id="2104374978">
              <w:marLeft w:val="0"/>
              <w:marRight w:val="0"/>
              <w:marTop w:val="0"/>
              <w:marBottom w:val="0"/>
              <w:divBdr>
                <w:top w:val="none" w:sz="0" w:space="0" w:color="auto"/>
                <w:left w:val="none" w:sz="0" w:space="0" w:color="auto"/>
                <w:bottom w:val="none" w:sz="0" w:space="0" w:color="auto"/>
                <w:right w:val="none" w:sz="0" w:space="0" w:color="auto"/>
              </w:divBdr>
              <w:divsChild>
                <w:div w:id="140315899">
                  <w:marLeft w:val="0"/>
                  <w:marRight w:val="0"/>
                  <w:marTop w:val="0"/>
                  <w:marBottom w:val="0"/>
                  <w:divBdr>
                    <w:top w:val="none" w:sz="0" w:space="0" w:color="auto"/>
                    <w:left w:val="none" w:sz="0" w:space="0" w:color="auto"/>
                    <w:bottom w:val="none" w:sz="0" w:space="0" w:color="auto"/>
                    <w:right w:val="none" w:sz="0" w:space="0" w:color="auto"/>
                  </w:divBdr>
                  <w:divsChild>
                    <w:div w:id="714348706">
                      <w:marLeft w:val="0"/>
                      <w:marRight w:val="0"/>
                      <w:marTop w:val="0"/>
                      <w:marBottom w:val="0"/>
                      <w:divBdr>
                        <w:top w:val="none" w:sz="0" w:space="0" w:color="auto"/>
                        <w:left w:val="none" w:sz="0" w:space="0" w:color="auto"/>
                        <w:bottom w:val="none" w:sz="0" w:space="0" w:color="auto"/>
                        <w:right w:val="none" w:sz="0" w:space="0" w:color="auto"/>
                      </w:divBdr>
                      <w:divsChild>
                        <w:div w:id="1920097377">
                          <w:marLeft w:val="0"/>
                          <w:marRight w:val="0"/>
                          <w:marTop w:val="0"/>
                          <w:marBottom w:val="0"/>
                          <w:divBdr>
                            <w:top w:val="none" w:sz="0" w:space="0" w:color="auto"/>
                            <w:left w:val="none" w:sz="0" w:space="0" w:color="auto"/>
                            <w:bottom w:val="none" w:sz="0" w:space="0" w:color="auto"/>
                            <w:right w:val="none" w:sz="0" w:space="0" w:color="auto"/>
                          </w:divBdr>
                          <w:divsChild>
                            <w:div w:id="10884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1020397">
      <w:bodyDiv w:val="1"/>
      <w:marLeft w:val="0"/>
      <w:marRight w:val="0"/>
      <w:marTop w:val="0"/>
      <w:marBottom w:val="0"/>
      <w:divBdr>
        <w:top w:val="none" w:sz="0" w:space="0" w:color="auto"/>
        <w:left w:val="none" w:sz="0" w:space="0" w:color="auto"/>
        <w:bottom w:val="none" w:sz="0" w:space="0" w:color="auto"/>
        <w:right w:val="none" w:sz="0" w:space="0" w:color="auto"/>
      </w:divBdr>
      <w:divsChild>
        <w:div w:id="453520389">
          <w:marLeft w:val="0"/>
          <w:marRight w:val="0"/>
          <w:marTop w:val="0"/>
          <w:marBottom w:val="750"/>
          <w:divBdr>
            <w:top w:val="none" w:sz="0" w:space="0" w:color="auto"/>
            <w:left w:val="none" w:sz="0" w:space="0" w:color="auto"/>
            <w:bottom w:val="none" w:sz="0" w:space="0" w:color="auto"/>
            <w:right w:val="none" w:sz="0" w:space="0" w:color="auto"/>
          </w:divBdr>
          <w:divsChild>
            <w:div w:id="343215096">
              <w:marLeft w:val="1380"/>
              <w:marRight w:val="1380"/>
              <w:marTop w:val="375"/>
              <w:marBottom w:val="375"/>
              <w:divBdr>
                <w:top w:val="none" w:sz="0" w:space="0" w:color="auto"/>
                <w:left w:val="none" w:sz="0" w:space="0" w:color="auto"/>
                <w:bottom w:val="none" w:sz="0" w:space="0" w:color="auto"/>
                <w:right w:val="none" w:sz="0" w:space="0" w:color="auto"/>
              </w:divBdr>
            </w:div>
            <w:div w:id="1647203862">
              <w:marLeft w:val="0"/>
              <w:marRight w:val="0"/>
              <w:marTop w:val="0"/>
              <w:marBottom w:val="0"/>
              <w:divBdr>
                <w:top w:val="single" w:sz="6" w:space="11" w:color="E1E1E1"/>
                <w:left w:val="none" w:sz="0" w:space="0" w:color="auto"/>
                <w:bottom w:val="none" w:sz="0" w:space="0" w:color="auto"/>
                <w:right w:val="none" w:sz="0" w:space="0" w:color="auto"/>
              </w:divBdr>
              <w:divsChild>
                <w:div w:id="90873200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800343764">
          <w:marLeft w:val="0"/>
          <w:marRight w:val="0"/>
          <w:marTop w:val="0"/>
          <w:marBottom w:val="0"/>
          <w:divBdr>
            <w:top w:val="none" w:sz="0" w:space="0" w:color="auto"/>
            <w:left w:val="none" w:sz="0" w:space="0" w:color="auto"/>
            <w:bottom w:val="none" w:sz="0" w:space="0" w:color="auto"/>
            <w:right w:val="none" w:sz="0" w:space="0" w:color="auto"/>
          </w:divBdr>
          <w:divsChild>
            <w:div w:id="187256306">
              <w:marLeft w:val="0"/>
              <w:marRight w:val="0"/>
              <w:marTop w:val="0"/>
              <w:marBottom w:val="0"/>
              <w:divBdr>
                <w:top w:val="none" w:sz="0" w:space="0" w:color="auto"/>
                <w:left w:val="none" w:sz="0" w:space="0" w:color="auto"/>
                <w:bottom w:val="none" w:sz="0" w:space="0" w:color="auto"/>
                <w:right w:val="none" w:sz="0" w:space="0" w:color="auto"/>
              </w:divBdr>
              <w:divsChild>
                <w:div w:id="1271202713">
                  <w:marLeft w:val="0"/>
                  <w:marRight w:val="0"/>
                  <w:marTop w:val="0"/>
                  <w:marBottom w:val="750"/>
                  <w:divBdr>
                    <w:top w:val="none" w:sz="0" w:space="0" w:color="auto"/>
                    <w:left w:val="none" w:sz="0" w:space="0" w:color="auto"/>
                    <w:bottom w:val="none" w:sz="0" w:space="0" w:color="auto"/>
                    <w:right w:val="none" w:sz="0" w:space="0" w:color="auto"/>
                  </w:divBdr>
                  <w:divsChild>
                    <w:div w:id="1183278583">
                      <w:marLeft w:val="0"/>
                      <w:marRight w:val="0"/>
                      <w:marTop w:val="0"/>
                      <w:marBottom w:val="0"/>
                      <w:divBdr>
                        <w:top w:val="none" w:sz="0" w:space="0" w:color="auto"/>
                        <w:left w:val="none" w:sz="0" w:space="0" w:color="auto"/>
                        <w:bottom w:val="none" w:sz="0" w:space="0" w:color="auto"/>
                        <w:right w:val="none" w:sz="0" w:space="0" w:color="auto"/>
                      </w:divBdr>
                      <w:divsChild>
                        <w:div w:id="49630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1216309">
      <w:bodyDiv w:val="1"/>
      <w:marLeft w:val="0"/>
      <w:marRight w:val="0"/>
      <w:marTop w:val="0"/>
      <w:marBottom w:val="0"/>
      <w:divBdr>
        <w:top w:val="none" w:sz="0" w:space="0" w:color="auto"/>
        <w:left w:val="none" w:sz="0" w:space="0" w:color="auto"/>
        <w:bottom w:val="none" w:sz="0" w:space="0" w:color="auto"/>
        <w:right w:val="none" w:sz="0" w:space="0" w:color="auto"/>
      </w:divBdr>
    </w:div>
    <w:div w:id="791553844">
      <w:bodyDiv w:val="1"/>
      <w:marLeft w:val="0"/>
      <w:marRight w:val="0"/>
      <w:marTop w:val="0"/>
      <w:marBottom w:val="0"/>
      <w:divBdr>
        <w:top w:val="none" w:sz="0" w:space="0" w:color="auto"/>
        <w:left w:val="none" w:sz="0" w:space="0" w:color="auto"/>
        <w:bottom w:val="none" w:sz="0" w:space="0" w:color="auto"/>
        <w:right w:val="none" w:sz="0" w:space="0" w:color="auto"/>
      </w:divBdr>
      <w:divsChild>
        <w:div w:id="1097562127">
          <w:marLeft w:val="0"/>
          <w:marRight w:val="0"/>
          <w:marTop w:val="150"/>
          <w:marBottom w:val="0"/>
          <w:divBdr>
            <w:top w:val="none" w:sz="0" w:space="0" w:color="auto"/>
            <w:left w:val="none" w:sz="0" w:space="0" w:color="auto"/>
            <w:bottom w:val="none" w:sz="0" w:space="0" w:color="auto"/>
            <w:right w:val="none" w:sz="0" w:space="0" w:color="auto"/>
          </w:divBdr>
          <w:divsChild>
            <w:div w:id="172228780">
              <w:marLeft w:val="0"/>
              <w:marRight w:val="0"/>
              <w:marTop w:val="0"/>
              <w:marBottom w:val="0"/>
              <w:divBdr>
                <w:top w:val="none" w:sz="0" w:space="0" w:color="auto"/>
                <w:left w:val="none" w:sz="0" w:space="0" w:color="auto"/>
                <w:bottom w:val="none" w:sz="0" w:space="0" w:color="auto"/>
                <w:right w:val="none" w:sz="0" w:space="0" w:color="auto"/>
              </w:divBdr>
              <w:divsChild>
                <w:div w:id="434906534">
                  <w:marLeft w:val="0"/>
                  <w:marRight w:val="0"/>
                  <w:marTop w:val="0"/>
                  <w:marBottom w:val="0"/>
                  <w:divBdr>
                    <w:top w:val="none" w:sz="0" w:space="0" w:color="auto"/>
                    <w:left w:val="none" w:sz="0" w:space="0" w:color="auto"/>
                    <w:bottom w:val="none" w:sz="0" w:space="0" w:color="auto"/>
                    <w:right w:val="none" w:sz="0" w:space="0" w:color="auto"/>
                  </w:divBdr>
                </w:div>
                <w:div w:id="170178543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11424285">
          <w:marLeft w:val="0"/>
          <w:marRight w:val="0"/>
          <w:marTop w:val="0"/>
          <w:marBottom w:val="0"/>
          <w:divBdr>
            <w:top w:val="none" w:sz="0" w:space="0" w:color="auto"/>
            <w:left w:val="none" w:sz="0" w:space="0" w:color="auto"/>
            <w:bottom w:val="none" w:sz="0" w:space="0" w:color="auto"/>
            <w:right w:val="none" w:sz="0" w:space="0" w:color="auto"/>
          </w:divBdr>
          <w:divsChild>
            <w:div w:id="26623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752713">
      <w:bodyDiv w:val="1"/>
      <w:marLeft w:val="0"/>
      <w:marRight w:val="0"/>
      <w:marTop w:val="0"/>
      <w:marBottom w:val="0"/>
      <w:divBdr>
        <w:top w:val="none" w:sz="0" w:space="0" w:color="auto"/>
        <w:left w:val="none" w:sz="0" w:space="0" w:color="auto"/>
        <w:bottom w:val="none" w:sz="0" w:space="0" w:color="auto"/>
        <w:right w:val="none" w:sz="0" w:space="0" w:color="auto"/>
      </w:divBdr>
      <w:divsChild>
        <w:div w:id="368409550">
          <w:marLeft w:val="0"/>
          <w:marRight w:val="0"/>
          <w:marTop w:val="0"/>
          <w:marBottom w:val="0"/>
          <w:divBdr>
            <w:top w:val="none" w:sz="0" w:space="0" w:color="auto"/>
            <w:left w:val="none" w:sz="0" w:space="0" w:color="auto"/>
            <w:bottom w:val="dotted" w:sz="6" w:space="4" w:color="DDDDDD"/>
            <w:right w:val="none" w:sz="0" w:space="0" w:color="auto"/>
          </w:divBdr>
        </w:div>
      </w:divsChild>
    </w:div>
    <w:div w:id="791755225">
      <w:bodyDiv w:val="1"/>
      <w:marLeft w:val="0"/>
      <w:marRight w:val="0"/>
      <w:marTop w:val="0"/>
      <w:marBottom w:val="0"/>
      <w:divBdr>
        <w:top w:val="none" w:sz="0" w:space="0" w:color="auto"/>
        <w:left w:val="none" w:sz="0" w:space="0" w:color="auto"/>
        <w:bottom w:val="none" w:sz="0" w:space="0" w:color="auto"/>
        <w:right w:val="none" w:sz="0" w:space="0" w:color="auto"/>
      </w:divBdr>
      <w:divsChild>
        <w:div w:id="1931696476">
          <w:marLeft w:val="0"/>
          <w:marRight w:val="0"/>
          <w:marTop w:val="0"/>
          <w:marBottom w:val="150"/>
          <w:divBdr>
            <w:top w:val="none" w:sz="0" w:space="0" w:color="auto"/>
            <w:left w:val="none" w:sz="0" w:space="0" w:color="auto"/>
            <w:bottom w:val="none" w:sz="0" w:space="0" w:color="auto"/>
            <w:right w:val="none" w:sz="0" w:space="0" w:color="auto"/>
          </w:divBdr>
        </w:div>
      </w:divsChild>
    </w:div>
    <w:div w:id="791871573">
      <w:bodyDiv w:val="1"/>
      <w:marLeft w:val="0"/>
      <w:marRight w:val="0"/>
      <w:marTop w:val="0"/>
      <w:marBottom w:val="0"/>
      <w:divBdr>
        <w:top w:val="none" w:sz="0" w:space="0" w:color="auto"/>
        <w:left w:val="none" w:sz="0" w:space="0" w:color="auto"/>
        <w:bottom w:val="none" w:sz="0" w:space="0" w:color="auto"/>
        <w:right w:val="none" w:sz="0" w:space="0" w:color="auto"/>
      </w:divBdr>
    </w:div>
    <w:div w:id="791903911">
      <w:bodyDiv w:val="1"/>
      <w:marLeft w:val="0"/>
      <w:marRight w:val="0"/>
      <w:marTop w:val="0"/>
      <w:marBottom w:val="0"/>
      <w:divBdr>
        <w:top w:val="none" w:sz="0" w:space="0" w:color="auto"/>
        <w:left w:val="none" w:sz="0" w:space="0" w:color="auto"/>
        <w:bottom w:val="none" w:sz="0" w:space="0" w:color="auto"/>
        <w:right w:val="none" w:sz="0" w:space="0" w:color="auto"/>
      </w:divBdr>
    </w:div>
    <w:div w:id="792138031">
      <w:bodyDiv w:val="1"/>
      <w:marLeft w:val="0"/>
      <w:marRight w:val="0"/>
      <w:marTop w:val="0"/>
      <w:marBottom w:val="0"/>
      <w:divBdr>
        <w:top w:val="none" w:sz="0" w:space="0" w:color="auto"/>
        <w:left w:val="none" w:sz="0" w:space="0" w:color="auto"/>
        <w:bottom w:val="none" w:sz="0" w:space="0" w:color="auto"/>
        <w:right w:val="none" w:sz="0" w:space="0" w:color="auto"/>
      </w:divBdr>
      <w:divsChild>
        <w:div w:id="362900742">
          <w:marLeft w:val="0"/>
          <w:marRight w:val="0"/>
          <w:marTop w:val="0"/>
          <w:marBottom w:val="0"/>
          <w:divBdr>
            <w:top w:val="none" w:sz="0" w:space="0" w:color="auto"/>
            <w:left w:val="none" w:sz="0" w:space="0" w:color="auto"/>
            <w:bottom w:val="none" w:sz="0" w:space="0" w:color="auto"/>
            <w:right w:val="none" w:sz="0" w:space="0" w:color="auto"/>
          </w:divBdr>
          <w:divsChild>
            <w:div w:id="2064283744">
              <w:marLeft w:val="0"/>
              <w:marRight w:val="0"/>
              <w:marTop w:val="0"/>
              <w:marBottom w:val="0"/>
              <w:divBdr>
                <w:top w:val="none" w:sz="0" w:space="0" w:color="auto"/>
                <w:left w:val="none" w:sz="0" w:space="0" w:color="auto"/>
                <w:bottom w:val="none" w:sz="0" w:space="0" w:color="auto"/>
                <w:right w:val="none" w:sz="0" w:space="0" w:color="auto"/>
              </w:divBdr>
              <w:divsChild>
                <w:div w:id="856307542">
                  <w:marLeft w:val="0"/>
                  <w:marRight w:val="0"/>
                  <w:marTop w:val="0"/>
                  <w:marBottom w:val="0"/>
                  <w:divBdr>
                    <w:top w:val="none" w:sz="0" w:space="0" w:color="auto"/>
                    <w:left w:val="none" w:sz="0" w:space="0" w:color="auto"/>
                    <w:bottom w:val="none" w:sz="0" w:space="0" w:color="auto"/>
                    <w:right w:val="none" w:sz="0" w:space="0" w:color="auto"/>
                  </w:divBdr>
                  <w:divsChild>
                    <w:div w:id="1720862282">
                      <w:marLeft w:val="0"/>
                      <w:marRight w:val="0"/>
                      <w:marTop w:val="0"/>
                      <w:marBottom w:val="0"/>
                      <w:divBdr>
                        <w:top w:val="none" w:sz="0" w:space="0" w:color="auto"/>
                        <w:left w:val="none" w:sz="0" w:space="0" w:color="auto"/>
                        <w:bottom w:val="none" w:sz="0" w:space="0" w:color="auto"/>
                        <w:right w:val="none" w:sz="0" w:space="0" w:color="auto"/>
                      </w:divBdr>
                      <w:divsChild>
                        <w:div w:id="628246766">
                          <w:marLeft w:val="0"/>
                          <w:marRight w:val="0"/>
                          <w:marTop w:val="0"/>
                          <w:marBottom w:val="0"/>
                          <w:divBdr>
                            <w:top w:val="none" w:sz="0" w:space="0" w:color="auto"/>
                            <w:left w:val="none" w:sz="0" w:space="0" w:color="auto"/>
                            <w:bottom w:val="none" w:sz="0" w:space="0" w:color="auto"/>
                            <w:right w:val="none" w:sz="0" w:space="0" w:color="auto"/>
                          </w:divBdr>
                          <w:divsChild>
                            <w:div w:id="728571777">
                              <w:marLeft w:val="0"/>
                              <w:marRight w:val="0"/>
                              <w:marTop w:val="0"/>
                              <w:marBottom w:val="0"/>
                              <w:divBdr>
                                <w:top w:val="none" w:sz="0" w:space="0" w:color="auto"/>
                                <w:left w:val="none" w:sz="0" w:space="0" w:color="auto"/>
                                <w:bottom w:val="none" w:sz="0" w:space="0" w:color="auto"/>
                                <w:right w:val="none" w:sz="0" w:space="0" w:color="auto"/>
                              </w:divBdr>
                              <w:divsChild>
                                <w:div w:id="2134201918">
                                  <w:marLeft w:val="0"/>
                                  <w:marRight w:val="0"/>
                                  <w:marTop w:val="0"/>
                                  <w:marBottom w:val="0"/>
                                  <w:divBdr>
                                    <w:top w:val="none" w:sz="0" w:space="0" w:color="auto"/>
                                    <w:left w:val="none" w:sz="0" w:space="0" w:color="auto"/>
                                    <w:bottom w:val="none" w:sz="0" w:space="0" w:color="auto"/>
                                    <w:right w:val="none" w:sz="0" w:space="0" w:color="auto"/>
                                  </w:divBdr>
                                  <w:divsChild>
                                    <w:div w:id="145282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2216647">
      <w:bodyDiv w:val="1"/>
      <w:marLeft w:val="0"/>
      <w:marRight w:val="0"/>
      <w:marTop w:val="0"/>
      <w:marBottom w:val="0"/>
      <w:divBdr>
        <w:top w:val="none" w:sz="0" w:space="0" w:color="auto"/>
        <w:left w:val="none" w:sz="0" w:space="0" w:color="auto"/>
        <w:bottom w:val="none" w:sz="0" w:space="0" w:color="auto"/>
        <w:right w:val="none" w:sz="0" w:space="0" w:color="auto"/>
      </w:divBdr>
      <w:divsChild>
        <w:div w:id="1955674601">
          <w:marLeft w:val="0"/>
          <w:marRight w:val="0"/>
          <w:marTop w:val="0"/>
          <w:marBottom w:val="0"/>
          <w:divBdr>
            <w:top w:val="none" w:sz="0" w:space="0" w:color="auto"/>
            <w:left w:val="none" w:sz="0" w:space="0" w:color="auto"/>
            <w:bottom w:val="dotted" w:sz="6" w:space="4" w:color="DDDDDD"/>
            <w:right w:val="none" w:sz="0" w:space="0" w:color="auto"/>
          </w:divBdr>
        </w:div>
      </w:divsChild>
    </w:div>
    <w:div w:id="792792828">
      <w:bodyDiv w:val="1"/>
      <w:marLeft w:val="0"/>
      <w:marRight w:val="0"/>
      <w:marTop w:val="0"/>
      <w:marBottom w:val="0"/>
      <w:divBdr>
        <w:top w:val="none" w:sz="0" w:space="0" w:color="auto"/>
        <w:left w:val="none" w:sz="0" w:space="0" w:color="auto"/>
        <w:bottom w:val="none" w:sz="0" w:space="0" w:color="auto"/>
        <w:right w:val="none" w:sz="0" w:space="0" w:color="auto"/>
      </w:divBdr>
      <w:divsChild>
        <w:div w:id="264584044">
          <w:marLeft w:val="0"/>
          <w:marRight w:val="0"/>
          <w:marTop w:val="0"/>
          <w:marBottom w:val="150"/>
          <w:divBdr>
            <w:top w:val="none" w:sz="0" w:space="0" w:color="auto"/>
            <w:left w:val="none" w:sz="0" w:space="0" w:color="auto"/>
            <w:bottom w:val="none" w:sz="0" w:space="0" w:color="auto"/>
            <w:right w:val="none" w:sz="0" w:space="0" w:color="auto"/>
          </w:divBdr>
          <w:divsChild>
            <w:div w:id="366226522">
              <w:marLeft w:val="0"/>
              <w:marRight w:val="0"/>
              <w:marTop w:val="0"/>
              <w:marBottom w:val="0"/>
              <w:divBdr>
                <w:top w:val="none" w:sz="0" w:space="0" w:color="auto"/>
                <w:left w:val="none" w:sz="0" w:space="0" w:color="auto"/>
                <w:bottom w:val="none" w:sz="0" w:space="0" w:color="auto"/>
                <w:right w:val="none" w:sz="0" w:space="0" w:color="auto"/>
              </w:divBdr>
            </w:div>
          </w:divsChild>
        </w:div>
        <w:div w:id="645931946">
          <w:marLeft w:val="0"/>
          <w:marRight w:val="0"/>
          <w:marTop w:val="0"/>
          <w:marBottom w:val="150"/>
          <w:divBdr>
            <w:top w:val="none" w:sz="0" w:space="0" w:color="auto"/>
            <w:left w:val="none" w:sz="0" w:space="0" w:color="auto"/>
            <w:bottom w:val="none" w:sz="0" w:space="0" w:color="auto"/>
            <w:right w:val="none" w:sz="0" w:space="0" w:color="auto"/>
          </w:divBdr>
        </w:div>
        <w:div w:id="1932275973">
          <w:marLeft w:val="0"/>
          <w:marRight w:val="0"/>
          <w:marTop w:val="0"/>
          <w:marBottom w:val="0"/>
          <w:divBdr>
            <w:top w:val="none" w:sz="0" w:space="0" w:color="auto"/>
            <w:left w:val="none" w:sz="0" w:space="0" w:color="auto"/>
            <w:bottom w:val="none" w:sz="0" w:space="0" w:color="auto"/>
            <w:right w:val="none" w:sz="0" w:space="0" w:color="auto"/>
          </w:divBdr>
          <w:divsChild>
            <w:div w:id="54245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871033">
      <w:bodyDiv w:val="1"/>
      <w:marLeft w:val="0"/>
      <w:marRight w:val="0"/>
      <w:marTop w:val="0"/>
      <w:marBottom w:val="0"/>
      <w:divBdr>
        <w:top w:val="none" w:sz="0" w:space="0" w:color="auto"/>
        <w:left w:val="none" w:sz="0" w:space="0" w:color="auto"/>
        <w:bottom w:val="none" w:sz="0" w:space="0" w:color="auto"/>
        <w:right w:val="none" w:sz="0" w:space="0" w:color="auto"/>
      </w:divBdr>
    </w:div>
    <w:div w:id="793330387">
      <w:bodyDiv w:val="1"/>
      <w:marLeft w:val="0"/>
      <w:marRight w:val="0"/>
      <w:marTop w:val="0"/>
      <w:marBottom w:val="0"/>
      <w:divBdr>
        <w:top w:val="none" w:sz="0" w:space="0" w:color="auto"/>
        <w:left w:val="none" w:sz="0" w:space="0" w:color="auto"/>
        <w:bottom w:val="none" w:sz="0" w:space="0" w:color="auto"/>
        <w:right w:val="none" w:sz="0" w:space="0" w:color="auto"/>
      </w:divBdr>
    </w:div>
    <w:div w:id="793332373">
      <w:bodyDiv w:val="1"/>
      <w:marLeft w:val="0"/>
      <w:marRight w:val="0"/>
      <w:marTop w:val="0"/>
      <w:marBottom w:val="0"/>
      <w:divBdr>
        <w:top w:val="none" w:sz="0" w:space="0" w:color="auto"/>
        <w:left w:val="none" w:sz="0" w:space="0" w:color="auto"/>
        <w:bottom w:val="none" w:sz="0" w:space="0" w:color="auto"/>
        <w:right w:val="none" w:sz="0" w:space="0" w:color="auto"/>
      </w:divBdr>
      <w:divsChild>
        <w:div w:id="1173422778">
          <w:marLeft w:val="0"/>
          <w:marRight w:val="0"/>
          <w:marTop w:val="0"/>
          <w:marBottom w:val="225"/>
          <w:divBdr>
            <w:top w:val="none" w:sz="0" w:space="0" w:color="auto"/>
            <w:left w:val="none" w:sz="0" w:space="0" w:color="auto"/>
            <w:bottom w:val="none" w:sz="0" w:space="0" w:color="auto"/>
            <w:right w:val="none" w:sz="0" w:space="0" w:color="auto"/>
          </w:divBdr>
        </w:div>
      </w:divsChild>
    </w:div>
    <w:div w:id="793670525">
      <w:bodyDiv w:val="1"/>
      <w:marLeft w:val="0"/>
      <w:marRight w:val="0"/>
      <w:marTop w:val="0"/>
      <w:marBottom w:val="0"/>
      <w:divBdr>
        <w:top w:val="none" w:sz="0" w:space="0" w:color="auto"/>
        <w:left w:val="none" w:sz="0" w:space="0" w:color="auto"/>
        <w:bottom w:val="none" w:sz="0" w:space="0" w:color="auto"/>
        <w:right w:val="none" w:sz="0" w:space="0" w:color="auto"/>
      </w:divBdr>
      <w:divsChild>
        <w:div w:id="840511336">
          <w:marLeft w:val="0"/>
          <w:marRight w:val="0"/>
          <w:marTop w:val="0"/>
          <w:marBottom w:val="0"/>
          <w:divBdr>
            <w:top w:val="none" w:sz="0" w:space="0" w:color="auto"/>
            <w:left w:val="none" w:sz="0" w:space="0" w:color="auto"/>
            <w:bottom w:val="dotted" w:sz="6" w:space="4" w:color="DDDDDD"/>
            <w:right w:val="none" w:sz="0" w:space="0" w:color="auto"/>
          </w:divBdr>
          <w:divsChild>
            <w:div w:id="70464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988783">
      <w:bodyDiv w:val="1"/>
      <w:marLeft w:val="0"/>
      <w:marRight w:val="0"/>
      <w:marTop w:val="0"/>
      <w:marBottom w:val="0"/>
      <w:divBdr>
        <w:top w:val="none" w:sz="0" w:space="0" w:color="auto"/>
        <w:left w:val="none" w:sz="0" w:space="0" w:color="auto"/>
        <w:bottom w:val="none" w:sz="0" w:space="0" w:color="auto"/>
        <w:right w:val="none" w:sz="0" w:space="0" w:color="auto"/>
      </w:divBdr>
      <w:divsChild>
        <w:div w:id="1250844446">
          <w:marLeft w:val="0"/>
          <w:marRight w:val="0"/>
          <w:marTop w:val="0"/>
          <w:marBottom w:val="0"/>
          <w:divBdr>
            <w:top w:val="none" w:sz="0" w:space="0" w:color="auto"/>
            <w:left w:val="none" w:sz="0" w:space="0" w:color="auto"/>
            <w:bottom w:val="dotted" w:sz="6" w:space="4" w:color="DDDDDD"/>
            <w:right w:val="none" w:sz="0" w:space="0" w:color="auto"/>
          </w:divBdr>
        </w:div>
      </w:divsChild>
    </w:div>
    <w:div w:id="794444394">
      <w:bodyDiv w:val="1"/>
      <w:marLeft w:val="0"/>
      <w:marRight w:val="0"/>
      <w:marTop w:val="0"/>
      <w:marBottom w:val="0"/>
      <w:divBdr>
        <w:top w:val="none" w:sz="0" w:space="0" w:color="auto"/>
        <w:left w:val="none" w:sz="0" w:space="0" w:color="auto"/>
        <w:bottom w:val="none" w:sz="0" w:space="0" w:color="auto"/>
        <w:right w:val="none" w:sz="0" w:space="0" w:color="auto"/>
      </w:divBdr>
      <w:divsChild>
        <w:div w:id="1028028726">
          <w:marLeft w:val="0"/>
          <w:marRight w:val="0"/>
          <w:marTop w:val="0"/>
          <w:marBottom w:val="150"/>
          <w:divBdr>
            <w:top w:val="none" w:sz="0" w:space="0" w:color="auto"/>
            <w:left w:val="none" w:sz="0" w:space="0" w:color="auto"/>
            <w:bottom w:val="none" w:sz="0" w:space="0" w:color="auto"/>
            <w:right w:val="none" w:sz="0" w:space="0" w:color="auto"/>
          </w:divBdr>
        </w:div>
        <w:div w:id="1959486960">
          <w:marLeft w:val="0"/>
          <w:marRight w:val="0"/>
          <w:marTop w:val="0"/>
          <w:marBottom w:val="150"/>
          <w:divBdr>
            <w:top w:val="none" w:sz="0" w:space="0" w:color="auto"/>
            <w:left w:val="none" w:sz="0" w:space="0" w:color="auto"/>
            <w:bottom w:val="none" w:sz="0" w:space="0" w:color="auto"/>
            <w:right w:val="none" w:sz="0" w:space="0" w:color="auto"/>
          </w:divBdr>
          <w:divsChild>
            <w:div w:id="3250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59974">
      <w:bodyDiv w:val="1"/>
      <w:marLeft w:val="0"/>
      <w:marRight w:val="0"/>
      <w:marTop w:val="0"/>
      <w:marBottom w:val="0"/>
      <w:divBdr>
        <w:top w:val="none" w:sz="0" w:space="0" w:color="auto"/>
        <w:left w:val="none" w:sz="0" w:space="0" w:color="auto"/>
        <w:bottom w:val="none" w:sz="0" w:space="0" w:color="auto"/>
        <w:right w:val="none" w:sz="0" w:space="0" w:color="auto"/>
      </w:divBdr>
      <w:divsChild>
        <w:div w:id="638613603">
          <w:marLeft w:val="0"/>
          <w:marRight w:val="0"/>
          <w:marTop w:val="0"/>
          <w:marBottom w:val="150"/>
          <w:divBdr>
            <w:top w:val="none" w:sz="0" w:space="0" w:color="auto"/>
            <w:left w:val="none" w:sz="0" w:space="0" w:color="auto"/>
            <w:bottom w:val="none" w:sz="0" w:space="0" w:color="auto"/>
            <w:right w:val="none" w:sz="0" w:space="0" w:color="auto"/>
          </w:divBdr>
        </w:div>
        <w:div w:id="1334145600">
          <w:marLeft w:val="0"/>
          <w:marRight w:val="0"/>
          <w:marTop w:val="0"/>
          <w:marBottom w:val="0"/>
          <w:divBdr>
            <w:top w:val="none" w:sz="0" w:space="0" w:color="auto"/>
            <w:left w:val="none" w:sz="0" w:space="0" w:color="auto"/>
            <w:bottom w:val="none" w:sz="0" w:space="0" w:color="auto"/>
            <w:right w:val="none" w:sz="0" w:space="0" w:color="auto"/>
          </w:divBdr>
          <w:divsChild>
            <w:div w:id="1653673520">
              <w:marLeft w:val="0"/>
              <w:marRight w:val="0"/>
              <w:marTop w:val="0"/>
              <w:marBottom w:val="0"/>
              <w:divBdr>
                <w:top w:val="none" w:sz="0" w:space="0" w:color="auto"/>
                <w:left w:val="none" w:sz="0" w:space="0" w:color="auto"/>
                <w:bottom w:val="none" w:sz="0" w:space="0" w:color="auto"/>
                <w:right w:val="none" w:sz="0" w:space="0" w:color="auto"/>
              </w:divBdr>
            </w:div>
          </w:divsChild>
        </w:div>
        <w:div w:id="1508135836">
          <w:marLeft w:val="0"/>
          <w:marRight w:val="0"/>
          <w:marTop w:val="0"/>
          <w:marBottom w:val="150"/>
          <w:divBdr>
            <w:top w:val="none" w:sz="0" w:space="0" w:color="auto"/>
            <w:left w:val="none" w:sz="0" w:space="0" w:color="auto"/>
            <w:bottom w:val="none" w:sz="0" w:space="0" w:color="auto"/>
            <w:right w:val="none" w:sz="0" w:space="0" w:color="auto"/>
          </w:divBdr>
          <w:divsChild>
            <w:div w:id="131663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952833">
      <w:bodyDiv w:val="1"/>
      <w:marLeft w:val="0"/>
      <w:marRight w:val="0"/>
      <w:marTop w:val="0"/>
      <w:marBottom w:val="0"/>
      <w:divBdr>
        <w:top w:val="none" w:sz="0" w:space="0" w:color="auto"/>
        <w:left w:val="none" w:sz="0" w:space="0" w:color="auto"/>
        <w:bottom w:val="none" w:sz="0" w:space="0" w:color="auto"/>
        <w:right w:val="none" w:sz="0" w:space="0" w:color="auto"/>
      </w:divBdr>
      <w:divsChild>
        <w:div w:id="1823620468">
          <w:marLeft w:val="0"/>
          <w:marRight w:val="0"/>
          <w:marTop w:val="0"/>
          <w:marBottom w:val="0"/>
          <w:divBdr>
            <w:top w:val="none" w:sz="0" w:space="0" w:color="auto"/>
            <w:left w:val="none" w:sz="0" w:space="0" w:color="auto"/>
            <w:bottom w:val="dotted" w:sz="6" w:space="4" w:color="DDDDDD"/>
            <w:right w:val="none" w:sz="0" w:space="0" w:color="auto"/>
          </w:divBdr>
          <w:divsChild>
            <w:div w:id="81837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80118">
      <w:bodyDiv w:val="1"/>
      <w:marLeft w:val="0"/>
      <w:marRight w:val="0"/>
      <w:marTop w:val="0"/>
      <w:marBottom w:val="0"/>
      <w:divBdr>
        <w:top w:val="none" w:sz="0" w:space="0" w:color="auto"/>
        <w:left w:val="none" w:sz="0" w:space="0" w:color="auto"/>
        <w:bottom w:val="none" w:sz="0" w:space="0" w:color="auto"/>
        <w:right w:val="none" w:sz="0" w:space="0" w:color="auto"/>
      </w:divBdr>
      <w:divsChild>
        <w:div w:id="59905907">
          <w:marLeft w:val="0"/>
          <w:marRight w:val="0"/>
          <w:marTop w:val="0"/>
          <w:marBottom w:val="0"/>
          <w:divBdr>
            <w:top w:val="none" w:sz="0" w:space="0" w:color="auto"/>
            <w:left w:val="none" w:sz="0" w:space="0" w:color="auto"/>
            <w:bottom w:val="none" w:sz="0" w:space="0" w:color="auto"/>
            <w:right w:val="none" w:sz="0" w:space="0" w:color="auto"/>
          </w:divBdr>
          <w:divsChild>
            <w:div w:id="1551116764">
              <w:marLeft w:val="0"/>
              <w:marRight w:val="0"/>
              <w:marTop w:val="0"/>
              <w:marBottom w:val="0"/>
              <w:divBdr>
                <w:top w:val="none" w:sz="0" w:space="0" w:color="auto"/>
                <w:left w:val="none" w:sz="0" w:space="0" w:color="auto"/>
                <w:bottom w:val="none" w:sz="0" w:space="0" w:color="auto"/>
                <w:right w:val="none" w:sz="0" w:space="0" w:color="auto"/>
              </w:divBdr>
              <w:divsChild>
                <w:div w:id="996106049">
                  <w:marLeft w:val="0"/>
                  <w:marRight w:val="0"/>
                  <w:marTop w:val="0"/>
                  <w:marBottom w:val="0"/>
                  <w:divBdr>
                    <w:top w:val="none" w:sz="0" w:space="0" w:color="auto"/>
                    <w:left w:val="none" w:sz="0" w:space="0" w:color="auto"/>
                    <w:bottom w:val="none" w:sz="0" w:space="0" w:color="auto"/>
                    <w:right w:val="none" w:sz="0" w:space="0" w:color="auto"/>
                  </w:divBdr>
                  <w:divsChild>
                    <w:div w:id="1810512541">
                      <w:marLeft w:val="0"/>
                      <w:marRight w:val="0"/>
                      <w:marTop w:val="0"/>
                      <w:marBottom w:val="0"/>
                      <w:divBdr>
                        <w:top w:val="none" w:sz="0" w:space="0" w:color="auto"/>
                        <w:left w:val="none" w:sz="0" w:space="0" w:color="auto"/>
                        <w:bottom w:val="none" w:sz="0" w:space="0" w:color="auto"/>
                        <w:right w:val="none" w:sz="0" w:space="0" w:color="auto"/>
                      </w:divBdr>
                      <w:divsChild>
                        <w:div w:id="278340920">
                          <w:marLeft w:val="0"/>
                          <w:marRight w:val="0"/>
                          <w:marTop w:val="0"/>
                          <w:marBottom w:val="0"/>
                          <w:divBdr>
                            <w:top w:val="none" w:sz="0" w:space="0" w:color="auto"/>
                            <w:left w:val="none" w:sz="0" w:space="0" w:color="auto"/>
                            <w:bottom w:val="none" w:sz="0" w:space="0" w:color="auto"/>
                            <w:right w:val="none" w:sz="0" w:space="0" w:color="auto"/>
                          </w:divBdr>
                          <w:divsChild>
                            <w:div w:id="1218663073">
                              <w:marLeft w:val="0"/>
                              <w:marRight w:val="0"/>
                              <w:marTop w:val="0"/>
                              <w:marBottom w:val="0"/>
                              <w:divBdr>
                                <w:top w:val="none" w:sz="0" w:space="0" w:color="auto"/>
                                <w:left w:val="none" w:sz="0" w:space="0" w:color="auto"/>
                                <w:bottom w:val="none" w:sz="0" w:space="0" w:color="auto"/>
                                <w:right w:val="none" w:sz="0" w:space="0" w:color="auto"/>
                              </w:divBdr>
                              <w:divsChild>
                                <w:div w:id="1996491949">
                                  <w:marLeft w:val="0"/>
                                  <w:marRight w:val="0"/>
                                  <w:marTop w:val="0"/>
                                  <w:marBottom w:val="0"/>
                                  <w:divBdr>
                                    <w:top w:val="none" w:sz="0" w:space="0" w:color="auto"/>
                                    <w:left w:val="none" w:sz="0" w:space="0" w:color="auto"/>
                                    <w:bottom w:val="none" w:sz="0" w:space="0" w:color="auto"/>
                                    <w:right w:val="none" w:sz="0" w:space="0" w:color="auto"/>
                                  </w:divBdr>
                                  <w:divsChild>
                                    <w:div w:id="102055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758809">
      <w:bodyDiv w:val="1"/>
      <w:marLeft w:val="0"/>
      <w:marRight w:val="0"/>
      <w:marTop w:val="0"/>
      <w:marBottom w:val="0"/>
      <w:divBdr>
        <w:top w:val="none" w:sz="0" w:space="0" w:color="auto"/>
        <w:left w:val="none" w:sz="0" w:space="0" w:color="auto"/>
        <w:bottom w:val="none" w:sz="0" w:space="0" w:color="auto"/>
        <w:right w:val="none" w:sz="0" w:space="0" w:color="auto"/>
      </w:divBdr>
      <w:divsChild>
        <w:div w:id="1941601837">
          <w:marLeft w:val="0"/>
          <w:marRight w:val="0"/>
          <w:marTop w:val="0"/>
          <w:marBottom w:val="0"/>
          <w:divBdr>
            <w:top w:val="none" w:sz="0" w:space="0" w:color="auto"/>
            <w:left w:val="none" w:sz="0" w:space="0" w:color="auto"/>
            <w:bottom w:val="dotted" w:sz="6" w:space="4" w:color="DDDDDD"/>
            <w:right w:val="none" w:sz="0" w:space="0" w:color="auto"/>
          </w:divBdr>
        </w:div>
      </w:divsChild>
    </w:div>
    <w:div w:id="796022683">
      <w:bodyDiv w:val="1"/>
      <w:marLeft w:val="0"/>
      <w:marRight w:val="0"/>
      <w:marTop w:val="0"/>
      <w:marBottom w:val="0"/>
      <w:divBdr>
        <w:top w:val="none" w:sz="0" w:space="0" w:color="auto"/>
        <w:left w:val="none" w:sz="0" w:space="0" w:color="auto"/>
        <w:bottom w:val="none" w:sz="0" w:space="0" w:color="auto"/>
        <w:right w:val="none" w:sz="0" w:space="0" w:color="auto"/>
      </w:divBdr>
    </w:div>
    <w:div w:id="796142116">
      <w:bodyDiv w:val="1"/>
      <w:marLeft w:val="0"/>
      <w:marRight w:val="0"/>
      <w:marTop w:val="0"/>
      <w:marBottom w:val="0"/>
      <w:divBdr>
        <w:top w:val="none" w:sz="0" w:space="0" w:color="auto"/>
        <w:left w:val="none" w:sz="0" w:space="0" w:color="auto"/>
        <w:bottom w:val="none" w:sz="0" w:space="0" w:color="auto"/>
        <w:right w:val="none" w:sz="0" w:space="0" w:color="auto"/>
      </w:divBdr>
      <w:divsChild>
        <w:div w:id="1259755721">
          <w:marLeft w:val="0"/>
          <w:marRight w:val="0"/>
          <w:marTop w:val="0"/>
          <w:marBottom w:val="0"/>
          <w:divBdr>
            <w:top w:val="none" w:sz="0" w:space="0" w:color="auto"/>
            <w:left w:val="none" w:sz="0" w:space="0" w:color="auto"/>
            <w:bottom w:val="none" w:sz="0" w:space="0" w:color="auto"/>
            <w:right w:val="none" w:sz="0" w:space="0" w:color="auto"/>
          </w:divBdr>
        </w:div>
        <w:div w:id="1860780520">
          <w:marLeft w:val="0"/>
          <w:marRight w:val="0"/>
          <w:marTop w:val="0"/>
          <w:marBottom w:val="150"/>
          <w:divBdr>
            <w:top w:val="none" w:sz="0" w:space="0" w:color="auto"/>
            <w:left w:val="none" w:sz="0" w:space="0" w:color="auto"/>
            <w:bottom w:val="none" w:sz="0" w:space="0" w:color="auto"/>
            <w:right w:val="none" w:sz="0" w:space="0" w:color="auto"/>
          </w:divBdr>
        </w:div>
      </w:divsChild>
    </w:div>
    <w:div w:id="796262701">
      <w:bodyDiv w:val="1"/>
      <w:marLeft w:val="0"/>
      <w:marRight w:val="0"/>
      <w:marTop w:val="0"/>
      <w:marBottom w:val="0"/>
      <w:divBdr>
        <w:top w:val="none" w:sz="0" w:space="0" w:color="auto"/>
        <w:left w:val="none" w:sz="0" w:space="0" w:color="auto"/>
        <w:bottom w:val="none" w:sz="0" w:space="0" w:color="auto"/>
        <w:right w:val="none" w:sz="0" w:space="0" w:color="auto"/>
      </w:divBdr>
      <w:divsChild>
        <w:div w:id="143350623">
          <w:marLeft w:val="0"/>
          <w:marRight w:val="0"/>
          <w:marTop w:val="0"/>
          <w:marBottom w:val="0"/>
          <w:divBdr>
            <w:top w:val="none" w:sz="0" w:space="0" w:color="auto"/>
            <w:left w:val="none" w:sz="0" w:space="0" w:color="auto"/>
            <w:bottom w:val="none" w:sz="0" w:space="0" w:color="auto"/>
            <w:right w:val="none" w:sz="0" w:space="0" w:color="auto"/>
          </w:divBdr>
          <w:divsChild>
            <w:div w:id="357975088">
              <w:marLeft w:val="0"/>
              <w:marRight w:val="0"/>
              <w:marTop w:val="0"/>
              <w:marBottom w:val="150"/>
              <w:divBdr>
                <w:top w:val="none" w:sz="0" w:space="0" w:color="auto"/>
                <w:left w:val="none" w:sz="0" w:space="0" w:color="auto"/>
                <w:bottom w:val="none" w:sz="0" w:space="0" w:color="auto"/>
                <w:right w:val="none" w:sz="0" w:space="0" w:color="auto"/>
              </w:divBdr>
              <w:divsChild>
                <w:div w:id="163355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506867">
          <w:marLeft w:val="0"/>
          <w:marRight w:val="225"/>
          <w:marTop w:val="0"/>
          <w:marBottom w:val="0"/>
          <w:divBdr>
            <w:top w:val="none" w:sz="0" w:space="0" w:color="auto"/>
            <w:left w:val="none" w:sz="0" w:space="0" w:color="auto"/>
            <w:bottom w:val="none" w:sz="0" w:space="0" w:color="auto"/>
            <w:right w:val="none" w:sz="0" w:space="0" w:color="auto"/>
          </w:divBdr>
          <w:divsChild>
            <w:div w:id="770781206">
              <w:marLeft w:val="0"/>
              <w:marRight w:val="0"/>
              <w:marTop w:val="225"/>
              <w:marBottom w:val="0"/>
              <w:divBdr>
                <w:top w:val="none" w:sz="0" w:space="0" w:color="auto"/>
                <w:left w:val="none" w:sz="0" w:space="0" w:color="auto"/>
                <w:bottom w:val="none" w:sz="0" w:space="0" w:color="auto"/>
                <w:right w:val="none" w:sz="0" w:space="0" w:color="auto"/>
              </w:divBdr>
              <w:divsChild>
                <w:div w:id="200281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987751">
      <w:bodyDiv w:val="1"/>
      <w:marLeft w:val="0"/>
      <w:marRight w:val="0"/>
      <w:marTop w:val="0"/>
      <w:marBottom w:val="0"/>
      <w:divBdr>
        <w:top w:val="none" w:sz="0" w:space="0" w:color="auto"/>
        <w:left w:val="none" w:sz="0" w:space="0" w:color="auto"/>
        <w:bottom w:val="none" w:sz="0" w:space="0" w:color="auto"/>
        <w:right w:val="none" w:sz="0" w:space="0" w:color="auto"/>
      </w:divBdr>
      <w:divsChild>
        <w:div w:id="1855529264">
          <w:marLeft w:val="0"/>
          <w:marRight w:val="0"/>
          <w:marTop w:val="0"/>
          <w:marBottom w:val="0"/>
          <w:divBdr>
            <w:top w:val="none" w:sz="0" w:space="0" w:color="auto"/>
            <w:left w:val="none" w:sz="0" w:space="0" w:color="auto"/>
            <w:bottom w:val="dotted" w:sz="6" w:space="4" w:color="DDDDDD"/>
            <w:right w:val="none" w:sz="0" w:space="0" w:color="auto"/>
          </w:divBdr>
          <w:divsChild>
            <w:div w:id="115548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988468">
      <w:bodyDiv w:val="1"/>
      <w:marLeft w:val="0"/>
      <w:marRight w:val="0"/>
      <w:marTop w:val="0"/>
      <w:marBottom w:val="0"/>
      <w:divBdr>
        <w:top w:val="none" w:sz="0" w:space="0" w:color="auto"/>
        <w:left w:val="none" w:sz="0" w:space="0" w:color="auto"/>
        <w:bottom w:val="none" w:sz="0" w:space="0" w:color="auto"/>
        <w:right w:val="none" w:sz="0" w:space="0" w:color="auto"/>
      </w:divBdr>
      <w:divsChild>
        <w:div w:id="300237903">
          <w:marLeft w:val="0"/>
          <w:marRight w:val="0"/>
          <w:marTop w:val="0"/>
          <w:marBottom w:val="0"/>
          <w:divBdr>
            <w:top w:val="none" w:sz="0" w:space="0" w:color="auto"/>
            <w:left w:val="none" w:sz="0" w:space="0" w:color="auto"/>
            <w:bottom w:val="none" w:sz="0" w:space="0" w:color="auto"/>
            <w:right w:val="none" w:sz="0" w:space="0" w:color="auto"/>
          </w:divBdr>
          <w:divsChild>
            <w:div w:id="2099861013">
              <w:marLeft w:val="0"/>
              <w:marRight w:val="0"/>
              <w:marTop w:val="0"/>
              <w:marBottom w:val="0"/>
              <w:divBdr>
                <w:top w:val="none" w:sz="0" w:space="0" w:color="auto"/>
                <w:left w:val="none" w:sz="0" w:space="0" w:color="auto"/>
                <w:bottom w:val="none" w:sz="0" w:space="0" w:color="auto"/>
                <w:right w:val="none" w:sz="0" w:space="0" w:color="auto"/>
              </w:divBdr>
              <w:divsChild>
                <w:div w:id="1434477318">
                  <w:marLeft w:val="0"/>
                  <w:marRight w:val="0"/>
                  <w:marTop w:val="0"/>
                  <w:marBottom w:val="0"/>
                  <w:divBdr>
                    <w:top w:val="none" w:sz="0" w:space="0" w:color="auto"/>
                    <w:left w:val="none" w:sz="0" w:space="0" w:color="auto"/>
                    <w:bottom w:val="none" w:sz="0" w:space="0" w:color="auto"/>
                    <w:right w:val="none" w:sz="0" w:space="0" w:color="auto"/>
                  </w:divBdr>
                  <w:divsChild>
                    <w:div w:id="1210611429">
                      <w:marLeft w:val="0"/>
                      <w:marRight w:val="0"/>
                      <w:marTop w:val="0"/>
                      <w:marBottom w:val="0"/>
                      <w:divBdr>
                        <w:top w:val="none" w:sz="0" w:space="0" w:color="auto"/>
                        <w:left w:val="none" w:sz="0" w:space="0" w:color="auto"/>
                        <w:bottom w:val="none" w:sz="0" w:space="0" w:color="auto"/>
                        <w:right w:val="none" w:sz="0" w:space="0" w:color="auto"/>
                      </w:divBdr>
                      <w:divsChild>
                        <w:div w:id="275255769">
                          <w:marLeft w:val="0"/>
                          <w:marRight w:val="0"/>
                          <w:marTop w:val="0"/>
                          <w:marBottom w:val="0"/>
                          <w:divBdr>
                            <w:top w:val="none" w:sz="0" w:space="0" w:color="auto"/>
                            <w:left w:val="none" w:sz="0" w:space="0" w:color="auto"/>
                            <w:bottom w:val="none" w:sz="0" w:space="0" w:color="auto"/>
                            <w:right w:val="none" w:sz="0" w:space="0" w:color="auto"/>
                          </w:divBdr>
                          <w:divsChild>
                            <w:div w:id="842739185">
                              <w:marLeft w:val="0"/>
                              <w:marRight w:val="0"/>
                              <w:marTop w:val="0"/>
                              <w:marBottom w:val="0"/>
                              <w:divBdr>
                                <w:top w:val="none" w:sz="0" w:space="0" w:color="auto"/>
                                <w:left w:val="none" w:sz="0" w:space="0" w:color="auto"/>
                                <w:bottom w:val="none" w:sz="0" w:space="0" w:color="auto"/>
                                <w:right w:val="none" w:sz="0" w:space="0" w:color="auto"/>
                              </w:divBdr>
                              <w:divsChild>
                                <w:div w:id="893467944">
                                  <w:marLeft w:val="0"/>
                                  <w:marRight w:val="0"/>
                                  <w:marTop w:val="0"/>
                                  <w:marBottom w:val="0"/>
                                  <w:divBdr>
                                    <w:top w:val="none" w:sz="0" w:space="0" w:color="auto"/>
                                    <w:left w:val="none" w:sz="0" w:space="0" w:color="auto"/>
                                    <w:bottom w:val="none" w:sz="0" w:space="0" w:color="auto"/>
                                    <w:right w:val="none" w:sz="0" w:space="0" w:color="auto"/>
                                  </w:divBdr>
                                  <w:divsChild>
                                    <w:div w:id="1628853492">
                                      <w:marLeft w:val="0"/>
                                      <w:marRight w:val="0"/>
                                      <w:marTop w:val="0"/>
                                      <w:marBottom w:val="0"/>
                                      <w:divBdr>
                                        <w:top w:val="none" w:sz="0" w:space="0" w:color="auto"/>
                                        <w:left w:val="none" w:sz="0" w:space="0" w:color="auto"/>
                                        <w:bottom w:val="none" w:sz="0" w:space="0" w:color="auto"/>
                                        <w:right w:val="none" w:sz="0" w:space="0" w:color="auto"/>
                                      </w:divBdr>
                                      <w:divsChild>
                                        <w:div w:id="47390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7337125">
      <w:bodyDiv w:val="1"/>
      <w:marLeft w:val="0"/>
      <w:marRight w:val="0"/>
      <w:marTop w:val="0"/>
      <w:marBottom w:val="0"/>
      <w:divBdr>
        <w:top w:val="none" w:sz="0" w:space="0" w:color="auto"/>
        <w:left w:val="none" w:sz="0" w:space="0" w:color="auto"/>
        <w:bottom w:val="none" w:sz="0" w:space="0" w:color="auto"/>
        <w:right w:val="none" w:sz="0" w:space="0" w:color="auto"/>
      </w:divBdr>
      <w:divsChild>
        <w:div w:id="807433722">
          <w:marLeft w:val="0"/>
          <w:marRight w:val="0"/>
          <w:marTop w:val="0"/>
          <w:marBottom w:val="0"/>
          <w:divBdr>
            <w:top w:val="none" w:sz="0" w:space="0" w:color="auto"/>
            <w:left w:val="none" w:sz="0" w:space="0" w:color="auto"/>
            <w:bottom w:val="dotted" w:sz="6" w:space="4" w:color="DDDDDD"/>
            <w:right w:val="none" w:sz="0" w:space="0" w:color="auto"/>
          </w:divBdr>
          <w:divsChild>
            <w:div w:id="164936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79569">
      <w:bodyDiv w:val="1"/>
      <w:marLeft w:val="0"/>
      <w:marRight w:val="0"/>
      <w:marTop w:val="0"/>
      <w:marBottom w:val="0"/>
      <w:divBdr>
        <w:top w:val="none" w:sz="0" w:space="0" w:color="auto"/>
        <w:left w:val="none" w:sz="0" w:space="0" w:color="auto"/>
        <w:bottom w:val="none" w:sz="0" w:space="0" w:color="auto"/>
        <w:right w:val="none" w:sz="0" w:space="0" w:color="auto"/>
      </w:divBdr>
      <w:divsChild>
        <w:div w:id="131216245">
          <w:marLeft w:val="0"/>
          <w:marRight w:val="0"/>
          <w:marTop w:val="0"/>
          <w:marBottom w:val="150"/>
          <w:divBdr>
            <w:top w:val="none" w:sz="0" w:space="0" w:color="auto"/>
            <w:left w:val="none" w:sz="0" w:space="0" w:color="auto"/>
            <w:bottom w:val="none" w:sz="0" w:space="0" w:color="auto"/>
            <w:right w:val="none" w:sz="0" w:space="0" w:color="auto"/>
          </w:divBdr>
        </w:div>
      </w:divsChild>
    </w:div>
    <w:div w:id="797382076">
      <w:bodyDiv w:val="1"/>
      <w:marLeft w:val="0"/>
      <w:marRight w:val="0"/>
      <w:marTop w:val="0"/>
      <w:marBottom w:val="0"/>
      <w:divBdr>
        <w:top w:val="none" w:sz="0" w:space="0" w:color="auto"/>
        <w:left w:val="none" w:sz="0" w:space="0" w:color="auto"/>
        <w:bottom w:val="none" w:sz="0" w:space="0" w:color="auto"/>
        <w:right w:val="none" w:sz="0" w:space="0" w:color="auto"/>
      </w:divBdr>
    </w:div>
    <w:div w:id="797534334">
      <w:bodyDiv w:val="1"/>
      <w:marLeft w:val="0"/>
      <w:marRight w:val="0"/>
      <w:marTop w:val="0"/>
      <w:marBottom w:val="0"/>
      <w:divBdr>
        <w:top w:val="none" w:sz="0" w:space="0" w:color="auto"/>
        <w:left w:val="none" w:sz="0" w:space="0" w:color="auto"/>
        <w:bottom w:val="none" w:sz="0" w:space="0" w:color="auto"/>
        <w:right w:val="none" w:sz="0" w:space="0" w:color="auto"/>
      </w:divBdr>
      <w:divsChild>
        <w:div w:id="506940112">
          <w:marLeft w:val="0"/>
          <w:marRight w:val="0"/>
          <w:marTop w:val="0"/>
          <w:marBottom w:val="0"/>
          <w:divBdr>
            <w:top w:val="none" w:sz="0" w:space="0" w:color="auto"/>
            <w:left w:val="none" w:sz="0" w:space="0" w:color="auto"/>
            <w:bottom w:val="none" w:sz="0" w:space="0" w:color="auto"/>
            <w:right w:val="none" w:sz="0" w:space="0" w:color="auto"/>
          </w:divBdr>
        </w:div>
        <w:div w:id="605426090">
          <w:marLeft w:val="0"/>
          <w:marRight w:val="0"/>
          <w:marTop w:val="0"/>
          <w:marBottom w:val="0"/>
          <w:divBdr>
            <w:top w:val="none" w:sz="0" w:space="0" w:color="auto"/>
            <w:left w:val="none" w:sz="0" w:space="0" w:color="auto"/>
            <w:bottom w:val="none" w:sz="0" w:space="0" w:color="auto"/>
            <w:right w:val="none" w:sz="0" w:space="0" w:color="auto"/>
          </w:divBdr>
        </w:div>
      </w:divsChild>
    </w:div>
    <w:div w:id="797603204">
      <w:bodyDiv w:val="1"/>
      <w:marLeft w:val="0"/>
      <w:marRight w:val="0"/>
      <w:marTop w:val="0"/>
      <w:marBottom w:val="0"/>
      <w:divBdr>
        <w:top w:val="none" w:sz="0" w:space="0" w:color="auto"/>
        <w:left w:val="none" w:sz="0" w:space="0" w:color="auto"/>
        <w:bottom w:val="none" w:sz="0" w:space="0" w:color="auto"/>
        <w:right w:val="none" w:sz="0" w:space="0" w:color="auto"/>
      </w:divBdr>
      <w:divsChild>
        <w:div w:id="618142860">
          <w:marLeft w:val="0"/>
          <w:marRight w:val="0"/>
          <w:marTop w:val="0"/>
          <w:marBottom w:val="0"/>
          <w:divBdr>
            <w:top w:val="none" w:sz="0" w:space="0" w:color="auto"/>
            <w:left w:val="none" w:sz="0" w:space="0" w:color="auto"/>
            <w:bottom w:val="none" w:sz="0" w:space="0" w:color="auto"/>
            <w:right w:val="none" w:sz="0" w:space="0" w:color="auto"/>
          </w:divBdr>
          <w:divsChild>
            <w:div w:id="186740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39912">
      <w:bodyDiv w:val="1"/>
      <w:marLeft w:val="0"/>
      <w:marRight w:val="0"/>
      <w:marTop w:val="0"/>
      <w:marBottom w:val="0"/>
      <w:divBdr>
        <w:top w:val="none" w:sz="0" w:space="0" w:color="auto"/>
        <w:left w:val="none" w:sz="0" w:space="0" w:color="auto"/>
        <w:bottom w:val="none" w:sz="0" w:space="0" w:color="auto"/>
        <w:right w:val="none" w:sz="0" w:space="0" w:color="auto"/>
      </w:divBdr>
      <w:divsChild>
        <w:div w:id="305739984">
          <w:marLeft w:val="0"/>
          <w:marRight w:val="0"/>
          <w:marTop w:val="0"/>
          <w:marBottom w:val="0"/>
          <w:divBdr>
            <w:top w:val="none" w:sz="0" w:space="0" w:color="auto"/>
            <w:left w:val="none" w:sz="0" w:space="0" w:color="auto"/>
            <w:bottom w:val="none" w:sz="0" w:space="0" w:color="auto"/>
            <w:right w:val="none" w:sz="0" w:space="0" w:color="auto"/>
          </w:divBdr>
          <w:divsChild>
            <w:div w:id="110364120">
              <w:marLeft w:val="0"/>
              <w:marRight w:val="0"/>
              <w:marTop w:val="0"/>
              <w:marBottom w:val="150"/>
              <w:divBdr>
                <w:top w:val="none" w:sz="0" w:space="0" w:color="auto"/>
                <w:left w:val="none" w:sz="0" w:space="0" w:color="auto"/>
                <w:bottom w:val="none" w:sz="0" w:space="0" w:color="auto"/>
                <w:right w:val="none" w:sz="0" w:space="0" w:color="auto"/>
              </w:divBdr>
            </w:div>
            <w:div w:id="603997244">
              <w:marLeft w:val="0"/>
              <w:marRight w:val="0"/>
              <w:marTop w:val="0"/>
              <w:marBottom w:val="150"/>
              <w:divBdr>
                <w:top w:val="none" w:sz="0" w:space="0" w:color="auto"/>
                <w:left w:val="none" w:sz="0" w:space="0" w:color="auto"/>
                <w:bottom w:val="none" w:sz="0" w:space="0" w:color="auto"/>
                <w:right w:val="none" w:sz="0" w:space="0" w:color="auto"/>
              </w:divBdr>
            </w:div>
            <w:div w:id="698970996">
              <w:marLeft w:val="0"/>
              <w:marRight w:val="0"/>
              <w:marTop w:val="0"/>
              <w:marBottom w:val="150"/>
              <w:divBdr>
                <w:top w:val="none" w:sz="0" w:space="0" w:color="auto"/>
                <w:left w:val="none" w:sz="0" w:space="0" w:color="auto"/>
                <w:bottom w:val="none" w:sz="0" w:space="0" w:color="auto"/>
                <w:right w:val="none" w:sz="0" w:space="0" w:color="auto"/>
              </w:divBdr>
            </w:div>
            <w:div w:id="801773380">
              <w:marLeft w:val="0"/>
              <w:marRight w:val="0"/>
              <w:marTop w:val="0"/>
              <w:marBottom w:val="150"/>
              <w:divBdr>
                <w:top w:val="none" w:sz="0" w:space="0" w:color="auto"/>
                <w:left w:val="none" w:sz="0" w:space="0" w:color="auto"/>
                <w:bottom w:val="none" w:sz="0" w:space="0" w:color="auto"/>
                <w:right w:val="none" w:sz="0" w:space="0" w:color="auto"/>
              </w:divBdr>
            </w:div>
            <w:div w:id="1064639581">
              <w:marLeft w:val="0"/>
              <w:marRight w:val="0"/>
              <w:marTop w:val="0"/>
              <w:marBottom w:val="150"/>
              <w:divBdr>
                <w:top w:val="none" w:sz="0" w:space="0" w:color="auto"/>
                <w:left w:val="none" w:sz="0" w:space="0" w:color="auto"/>
                <w:bottom w:val="none" w:sz="0" w:space="0" w:color="auto"/>
                <w:right w:val="none" w:sz="0" w:space="0" w:color="auto"/>
              </w:divBdr>
            </w:div>
          </w:divsChild>
        </w:div>
        <w:div w:id="1071660004">
          <w:marLeft w:val="0"/>
          <w:marRight w:val="0"/>
          <w:marTop w:val="0"/>
          <w:marBottom w:val="0"/>
          <w:divBdr>
            <w:top w:val="none" w:sz="0" w:space="0" w:color="auto"/>
            <w:left w:val="none" w:sz="0" w:space="0" w:color="auto"/>
            <w:bottom w:val="none" w:sz="0" w:space="0" w:color="auto"/>
            <w:right w:val="none" w:sz="0" w:space="0" w:color="auto"/>
          </w:divBdr>
          <w:divsChild>
            <w:div w:id="972835570">
              <w:marLeft w:val="0"/>
              <w:marRight w:val="0"/>
              <w:marTop w:val="0"/>
              <w:marBottom w:val="150"/>
              <w:divBdr>
                <w:top w:val="none" w:sz="0" w:space="0" w:color="auto"/>
                <w:left w:val="none" w:sz="0" w:space="0" w:color="auto"/>
                <w:bottom w:val="none" w:sz="0" w:space="0" w:color="auto"/>
                <w:right w:val="none" w:sz="0" w:space="0" w:color="auto"/>
              </w:divBdr>
              <w:divsChild>
                <w:div w:id="458845859">
                  <w:marLeft w:val="0"/>
                  <w:marRight w:val="0"/>
                  <w:marTop w:val="0"/>
                  <w:marBottom w:val="0"/>
                  <w:divBdr>
                    <w:top w:val="none" w:sz="0" w:space="0" w:color="auto"/>
                    <w:left w:val="none" w:sz="0" w:space="0" w:color="auto"/>
                    <w:bottom w:val="none" w:sz="0" w:space="0" w:color="auto"/>
                    <w:right w:val="none" w:sz="0" w:space="0" w:color="auto"/>
                  </w:divBdr>
                  <w:divsChild>
                    <w:div w:id="1622494414">
                      <w:marLeft w:val="0"/>
                      <w:marRight w:val="0"/>
                      <w:marTop w:val="0"/>
                      <w:marBottom w:val="0"/>
                      <w:divBdr>
                        <w:top w:val="none" w:sz="0" w:space="0" w:color="auto"/>
                        <w:left w:val="none" w:sz="0" w:space="0" w:color="auto"/>
                        <w:bottom w:val="none" w:sz="0" w:space="0" w:color="auto"/>
                        <w:right w:val="none" w:sz="0" w:space="0" w:color="auto"/>
                      </w:divBdr>
                      <w:divsChild>
                        <w:div w:id="1442066835">
                          <w:marLeft w:val="0"/>
                          <w:marRight w:val="0"/>
                          <w:marTop w:val="0"/>
                          <w:marBottom w:val="0"/>
                          <w:divBdr>
                            <w:top w:val="none" w:sz="0" w:space="0" w:color="auto"/>
                            <w:left w:val="none" w:sz="0" w:space="0" w:color="auto"/>
                            <w:bottom w:val="none" w:sz="0" w:space="0" w:color="auto"/>
                            <w:right w:val="none" w:sz="0" w:space="0" w:color="auto"/>
                          </w:divBdr>
                          <w:divsChild>
                            <w:div w:id="7488852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90869432">
                  <w:marLeft w:val="75"/>
                  <w:marRight w:val="0"/>
                  <w:marTop w:val="0"/>
                  <w:marBottom w:val="0"/>
                  <w:divBdr>
                    <w:top w:val="none" w:sz="0" w:space="0" w:color="auto"/>
                    <w:left w:val="none" w:sz="0" w:space="0" w:color="auto"/>
                    <w:bottom w:val="none" w:sz="0" w:space="0" w:color="auto"/>
                    <w:right w:val="none" w:sz="0" w:space="0" w:color="auto"/>
                  </w:divBdr>
                  <w:divsChild>
                    <w:div w:id="15272908">
                      <w:marLeft w:val="0"/>
                      <w:marRight w:val="0"/>
                      <w:marTop w:val="0"/>
                      <w:marBottom w:val="0"/>
                      <w:divBdr>
                        <w:top w:val="none" w:sz="0" w:space="0" w:color="auto"/>
                        <w:left w:val="none" w:sz="0" w:space="0" w:color="auto"/>
                        <w:bottom w:val="none" w:sz="0" w:space="0" w:color="auto"/>
                        <w:right w:val="none" w:sz="0" w:space="0" w:color="auto"/>
                      </w:divBdr>
                    </w:div>
                  </w:divsChild>
                </w:div>
                <w:div w:id="1693452196">
                  <w:marLeft w:val="75"/>
                  <w:marRight w:val="0"/>
                  <w:marTop w:val="0"/>
                  <w:marBottom w:val="0"/>
                  <w:divBdr>
                    <w:top w:val="none" w:sz="0" w:space="0" w:color="auto"/>
                    <w:left w:val="none" w:sz="0" w:space="0" w:color="auto"/>
                    <w:bottom w:val="none" w:sz="0" w:space="0" w:color="auto"/>
                    <w:right w:val="none" w:sz="0" w:space="0" w:color="auto"/>
                  </w:divBdr>
                  <w:divsChild>
                    <w:div w:id="307900245">
                      <w:marLeft w:val="0"/>
                      <w:marRight w:val="0"/>
                      <w:marTop w:val="0"/>
                      <w:marBottom w:val="0"/>
                      <w:divBdr>
                        <w:top w:val="none" w:sz="0" w:space="0" w:color="auto"/>
                        <w:left w:val="none" w:sz="0" w:space="0" w:color="auto"/>
                        <w:bottom w:val="none" w:sz="0" w:space="0" w:color="auto"/>
                        <w:right w:val="none" w:sz="0" w:space="0" w:color="auto"/>
                      </w:divBdr>
                    </w:div>
                  </w:divsChild>
                </w:div>
                <w:div w:id="1934438038">
                  <w:marLeft w:val="75"/>
                  <w:marRight w:val="0"/>
                  <w:marTop w:val="0"/>
                  <w:marBottom w:val="0"/>
                  <w:divBdr>
                    <w:top w:val="none" w:sz="0" w:space="0" w:color="auto"/>
                    <w:left w:val="none" w:sz="0" w:space="0" w:color="auto"/>
                    <w:bottom w:val="none" w:sz="0" w:space="0" w:color="auto"/>
                    <w:right w:val="none" w:sz="0" w:space="0" w:color="auto"/>
                  </w:divBdr>
                  <w:divsChild>
                    <w:div w:id="599216900">
                      <w:marLeft w:val="0"/>
                      <w:marRight w:val="73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842966">
      <w:bodyDiv w:val="1"/>
      <w:marLeft w:val="0"/>
      <w:marRight w:val="0"/>
      <w:marTop w:val="0"/>
      <w:marBottom w:val="0"/>
      <w:divBdr>
        <w:top w:val="none" w:sz="0" w:space="0" w:color="auto"/>
        <w:left w:val="none" w:sz="0" w:space="0" w:color="auto"/>
        <w:bottom w:val="none" w:sz="0" w:space="0" w:color="auto"/>
        <w:right w:val="none" w:sz="0" w:space="0" w:color="auto"/>
      </w:divBdr>
      <w:divsChild>
        <w:div w:id="118233609">
          <w:marLeft w:val="0"/>
          <w:marRight w:val="0"/>
          <w:marTop w:val="0"/>
          <w:marBottom w:val="150"/>
          <w:divBdr>
            <w:top w:val="none" w:sz="0" w:space="0" w:color="auto"/>
            <w:left w:val="none" w:sz="0" w:space="0" w:color="auto"/>
            <w:bottom w:val="none" w:sz="0" w:space="0" w:color="auto"/>
            <w:right w:val="none" w:sz="0" w:space="0" w:color="auto"/>
          </w:divBdr>
          <w:divsChild>
            <w:div w:id="1097559001">
              <w:marLeft w:val="0"/>
              <w:marRight w:val="0"/>
              <w:marTop w:val="0"/>
              <w:marBottom w:val="0"/>
              <w:divBdr>
                <w:top w:val="none" w:sz="0" w:space="0" w:color="auto"/>
                <w:left w:val="none" w:sz="0" w:space="0" w:color="auto"/>
                <w:bottom w:val="none" w:sz="0" w:space="0" w:color="auto"/>
                <w:right w:val="none" w:sz="0" w:space="0" w:color="auto"/>
              </w:divBdr>
            </w:div>
          </w:divsChild>
        </w:div>
        <w:div w:id="1636132427">
          <w:marLeft w:val="0"/>
          <w:marRight w:val="0"/>
          <w:marTop w:val="0"/>
          <w:marBottom w:val="150"/>
          <w:divBdr>
            <w:top w:val="none" w:sz="0" w:space="0" w:color="auto"/>
            <w:left w:val="none" w:sz="0" w:space="0" w:color="auto"/>
            <w:bottom w:val="none" w:sz="0" w:space="0" w:color="auto"/>
            <w:right w:val="none" w:sz="0" w:space="0" w:color="auto"/>
          </w:divBdr>
        </w:div>
        <w:div w:id="1742751293">
          <w:marLeft w:val="0"/>
          <w:marRight w:val="0"/>
          <w:marTop w:val="0"/>
          <w:marBottom w:val="0"/>
          <w:divBdr>
            <w:top w:val="none" w:sz="0" w:space="0" w:color="auto"/>
            <w:left w:val="none" w:sz="0" w:space="0" w:color="auto"/>
            <w:bottom w:val="none" w:sz="0" w:space="0" w:color="auto"/>
            <w:right w:val="none" w:sz="0" w:space="0" w:color="auto"/>
          </w:divBdr>
          <w:divsChild>
            <w:div w:id="99845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20508">
      <w:bodyDiv w:val="1"/>
      <w:marLeft w:val="0"/>
      <w:marRight w:val="0"/>
      <w:marTop w:val="0"/>
      <w:marBottom w:val="0"/>
      <w:divBdr>
        <w:top w:val="none" w:sz="0" w:space="0" w:color="auto"/>
        <w:left w:val="none" w:sz="0" w:space="0" w:color="auto"/>
        <w:bottom w:val="none" w:sz="0" w:space="0" w:color="auto"/>
        <w:right w:val="none" w:sz="0" w:space="0" w:color="auto"/>
      </w:divBdr>
      <w:divsChild>
        <w:div w:id="803432106">
          <w:marLeft w:val="0"/>
          <w:marRight w:val="0"/>
          <w:marTop w:val="0"/>
          <w:marBottom w:val="0"/>
          <w:divBdr>
            <w:top w:val="none" w:sz="0" w:space="0" w:color="auto"/>
            <w:left w:val="none" w:sz="0" w:space="0" w:color="auto"/>
            <w:bottom w:val="none" w:sz="0" w:space="0" w:color="auto"/>
            <w:right w:val="none" w:sz="0" w:space="0" w:color="auto"/>
          </w:divBdr>
          <w:divsChild>
            <w:div w:id="31654306">
              <w:marLeft w:val="0"/>
              <w:marRight w:val="0"/>
              <w:marTop w:val="0"/>
              <w:marBottom w:val="0"/>
              <w:divBdr>
                <w:top w:val="none" w:sz="0" w:space="0" w:color="auto"/>
                <w:left w:val="none" w:sz="0" w:space="0" w:color="auto"/>
                <w:bottom w:val="none" w:sz="0" w:space="0" w:color="auto"/>
                <w:right w:val="none" w:sz="0" w:space="0" w:color="auto"/>
              </w:divBdr>
              <w:divsChild>
                <w:div w:id="2122530410">
                  <w:marLeft w:val="0"/>
                  <w:marRight w:val="0"/>
                  <w:marTop w:val="0"/>
                  <w:marBottom w:val="0"/>
                  <w:divBdr>
                    <w:top w:val="none" w:sz="0" w:space="0" w:color="auto"/>
                    <w:left w:val="none" w:sz="0" w:space="0" w:color="auto"/>
                    <w:bottom w:val="none" w:sz="0" w:space="0" w:color="auto"/>
                    <w:right w:val="none" w:sz="0" w:space="0" w:color="auto"/>
                  </w:divBdr>
                  <w:divsChild>
                    <w:div w:id="1025793941">
                      <w:marLeft w:val="0"/>
                      <w:marRight w:val="0"/>
                      <w:marTop w:val="0"/>
                      <w:marBottom w:val="0"/>
                      <w:divBdr>
                        <w:top w:val="none" w:sz="0" w:space="0" w:color="auto"/>
                        <w:left w:val="none" w:sz="0" w:space="0" w:color="auto"/>
                        <w:bottom w:val="none" w:sz="0" w:space="0" w:color="auto"/>
                        <w:right w:val="none" w:sz="0" w:space="0" w:color="auto"/>
                      </w:divBdr>
                      <w:divsChild>
                        <w:div w:id="857425626">
                          <w:marLeft w:val="0"/>
                          <w:marRight w:val="0"/>
                          <w:marTop w:val="0"/>
                          <w:marBottom w:val="0"/>
                          <w:divBdr>
                            <w:top w:val="none" w:sz="0" w:space="0" w:color="auto"/>
                            <w:left w:val="none" w:sz="0" w:space="0" w:color="auto"/>
                            <w:bottom w:val="none" w:sz="0" w:space="0" w:color="auto"/>
                            <w:right w:val="none" w:sz="0" w:space="0" w:color="auto"/>
                          </w:divBdr>
                          <w:divsChild>
                            <w:div w:id="1891915923">
                              <w:marLeft w:val="0"/>
                              <w:marRight w:val="0"/>
                              <w:marTop w:val="0"/>
                              <w:marBottom w:val="0"/>
                              <w:divBdr>
                                <w:top w:val="none" w:sz="0" w:space="0" w:color="auto"/>
                                <w:left w:val="none" w:sz="0" w:space="0" w:color="auto"/>
                                <w:bottom w:val="none" w:sz="0" w:space="0" w:color="auto"/>
                                <w:right w:val="none" w:sz="0" w:space="0" w:color="auto"/>
                              </w:divBdr>
                              <w:divsChild>
                                <w:div w:id="1533685526">
                                  <w:marLeft w:val="0"/>
                                  <w:marRight w:val="0"/>
                                  <w:marTop w:val="0"/>
                                  <w:marBottom w:val="0"/>
                                  <w:divBdr>
                                    <w:top w:val="none" w:sz="0" w:space="0" w:color="auto"/>
                                    <w:left w:val="none" w:sz="0" w:space="0" w:color="auto"/>
                                    <w:bottom w:val="none" w:sz="0" w:space="0" w:color="auto"/>
                                    <w:right w:val="none" w:sz="0" w:space="0" w:color="auto"/>
                                  </w:divBdr>
                                  <w:divsChild>
                                    <w:div w:id="770392595">
                                      <w:marLeft w:val="0"/>
                                      <w:marRight w:val="0"/>
                                      <w:marTop w:val="0"/>
                                      <w:marBottom w:val="0"/>
                                      <w:divBdr>
                                        <w:top w:val="none" w:sz="0" w:space="0" w:color="auto"/>
                                        <w:left w:val="none" w:sz="0" w:space="0" w:color="auto"/>
                                        <w:bottom w:val="none" w:sz="0" w:space="0" w:color="auto"/>
                                        <w:right w:val="none" w:sz="0" w:space="0" w:color="auto"/>
                                      </w:divBdr>
                                      <w:divsChild>
                                        <w:div w:id="6503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8255731">
      <w:bodyDiv w:val="1"/>
      <w:marLeft w:val="0"/>
      <w:marRight w:val="0"/>
      <w:marTop w:val="0"/>
      <w:marBottom w:val="0"/>
      <w:divBdr>
        <w:top w:val="none" w:sz="0" w:space="0" w:color="auto"/>
        <w:left w:val="none" w:sz="0" w:space="0" w:color="auto"/>
        <w:bottom w:val="none" w:sz="0" w:space="0" w:color="auto"/>
        <w:right w:val="none" w:sz="0" w:space="0" w:color="auto"/>
      </w:divBdr>
      <w:divsChild>
        <w:div w:id="223415192">
          <w:marLeft w:val="0"/>
          <w:marRight w:val="0"/>
          <w:marTop w:val="0"/>
          <w:marBottom w:val="150"/>
          <w:divBdr>
            <w:top w:val="none" w:sz="0" w:space="0" w:color="auto"/>
            <w:left w:val="none" w:sz="0" w:space="0" w:color="auto"/>
            <w:bottom w:val="none" w:sz="0" w:space="0" w:color="auto"/>
            <w:right w:val="none" w:sz="0" w:space="0" w:color="auto"/>
          </w:divBdr>
          <w:divsChild>
            <w:div w:id="747770228">
              <w:marLeft w:val="0"/>
              <w:marRight w:val="0"/>
              <w:marTop w:val="0"/>
              <w:marBottom w:val="0"/>
              <w:divBdr>
                <w:top w:val="none" w:sz="0" w:space="0" w:color="auto"/>
                <w:left w:val="none" w:sz="0" w:space="0" w:color="auto"/>
                <w:bottom w:val="none" w:sz="0" w:space="0" w:color="auto"/>
                <w:right w:val="none" w:sz="0" w:space="0" w:color="auto"/>
              </w:divBdr>
            </w:div>
          </w:divsChild>
        </w:div>
        <w:div w:id="1239439692">
          <w:marLeft w:val="0"/>
          <w:marRight w:val="0"/>
          <w:marTop w:val="0"/>
          <w:marBottom w:val="150"/>
          <w:divBdr>
            <w:top w:val="none" w:sz="0" w:space="0" w:color="auto"/>
            <w:left w:val="none" w:sz="0" w:space="0" w:color="auto"/>
            <w:bottom w:val="none" w:sz="0" w:space="0" w:color="auto"/>
            <w:right w:val="none" w:sz="0" w:space="0" w:color="auto"/>
          </w:divBdr>
        </w:div>
        <w:div w:id="1942032376">
          <w:marLeft w:val="0"/>
          <w:marRight w:val="0"/>
          <w:marTop w:val="0"/>
          <w:marBottom w:val="0"/>
          <w:divBdr>
            <w:top w:val="none" w:sz="0" w:space="0" w:color="auto"/>
            <w:left w:val="none" w:sz="0" w:space="0" w:color="auto"/>
            <w:bottom w:val="none" w:sz="0" w:space="0" w:color="auto"/>
            <w:right w:val="none" w:sz="0" w:space="0" w:color="auto"/>
          </w:divBdr>
          <w:divsChild>
            <w:div w:id="163436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95480">
      <w:bodyDiv w:val="1"/>
      <w:marLeft w:val="0"/>
      <w:marRight w:val="0"/>
      <w:marTop w:val="0"/>
      <w:marBottom w:val="0"/>
      <w:divBdr>
        <w:top w:val="none" w:sz="0" w:space="0" w:color="auto"/>
        <w:left w:val="none" w:sz="0" w:space="0" w:color="auto"/>
        <w:bottom w:val="none" w:sz="0" w:space="0" w:color="auto"/>
        <w:right w:val="none" w:sz="0" w:space="0" w:color="auto"/>
      </w:divBdr>
      <w:divsChild>
        <w:div w:id="1474103041">
          <w:marLeft w:val="0"/>
          <w:marRight w:val="0"/>
          <w:marTop w:val="0"/>
          <w:marBottom w:val="0"/>
          <w:divBdr>
            <w:top w:val="none" w:sz="0" w:space="0" w:color="auto"/>
            <w:left w:val="none" w:sz="0" w:space="0" w:color="auto"/>
            <w:bottom w:val="dotted" w:sz="6" w:space="4" w:color="DDDDDD"/>
            <w:right w:val="none" w:sz="0" w:space="0" w:color="auto"/>
          </w:divBdr>
        </w:div>
      </w:divsChild>
    </w:div>
    <w:div w:id="798761371">
      <w:bodyDiv w:val="1"/>
      <w:marLeft w:val="0"/>
      <w:marRight w:val="0"/>
      <w:marTop w:val="0"/>
      <w:marBottom w:val="0"/>
      <w:divBdr>
        <w:top w:val="none" w:sz="0" w:space="0" w:color="auto"/>
        <w:left w:val="none" w:sz="0" w:space="0" w:color="auto"/>
        <w:bottom w:val="none" w:sz="0" w:space="0" w:color="auto"/>
        <w:right w:val="none" w:sz="0" w:space="0" w:color="auto"/>
      </w:divBdr>
      <w:divsChild>
        <w:div w:id="1046904242">
          <w:marLeft w:val="0"/>
          <w:marRight w:val="0"/>
          <w:marTop w:val="0"/>
          <w:marBottom w:val="0"/>
          <w:divBdr>
            <w:top w:val="single" w:sz="2" w:space="0" w:color="E4E4E7"/>
            <w:left w:val="single" w:sz="2" w:space="0" w:color="E4E4E7"/>
            <w:bottom w:val="single" w:sz="2" w:space="0" w:color="E4E4E7"/>
            <w:right w:val="single" w:sz="2" w:space="0" w:color="E4E4E7"/>
          </w:divBdr>
          <w:divsChild>
            <w:div w:id="1273827501">
              <w:marLeft w:val="0"/>
              <w:marRight w:val="0"/>
              <w:marTop w:val="0"/>
              <w:marBottom w:val="0"/>
              <w:divBdr>
                <w:top w:val="single" w:sz="2" w:space="0" w:color="E4E4E7"/>
                <w:left w:val="single" w:sz="2" w:space="0" w:color="E4E4E7"/>
                <w:bottom w:val="single" w:sz="2" w:space="0" w:color="E4E4E7"/>
                <w:right w:val="single" w:sz="2" w:space="0" w:color="E4E4E7"/>
              </w:divBdr>
              <w:divsChild>
                <w:div w:id="876821984">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 w:id="1149829595">
          <w:marLeft w:val="0"/>
          <w:marRight w:val="0"/>
          <w:marTop w:val="0"/>
          <w:marBottom w:val="0"/>
          <w:divBdr>
            <w:top w:val="single" w:sz="2" w:space="0" w:color="E4E4E7"/>
            <w:left w:val="single" w:sz="2" w:space="0" w:color="E4E4E7"/>
            <w:bottom w:val="single" w:sz="2" w:space="0" w:color="E4E4E7"/>
            <w:right w:val="single" w:sz="2" w:space="0" w:color="E4E4E7"/>
          </w:divBdr>
          <w:divsChild>
            <w:div w:id="1410692913">
              <w:marLeft w:val="0"/>
              <w:marRight w:val="0"/>
              <w:marTop w:val="0"/>
              <w:marBottom w:val="0"/>
              <w:divBdr>
                <w:top w:val="single" w:sz="2" w:space="0" w:color="E4E4E7"/>
                <w:left w:val="single" w:sz="2" w:space="0" w:color="E4E4E7"/>
                <w:bottom w:val="single" w:sz="2" w:space="0" w:color="E4E4E7"/>
                <w:right w:val="single" w:sz="2" w:space="0" w:color="E4E4E7"/>
              </w:divBdr>
              <w:divsChild>
                <w:div w:id="1232230201">
                  <w:marLeft w:val="0"/>
                  <w:marRight w:val="0"/>
                  <w:marTop w:val="0"/>
                  <w:marBottom w:val="0"/>
                  <w:divBdr>
                    <w:top w:val="single" w:sz="2" w:space="0" w:color="E4E4E7"/>
                    <w:left w:val="single" w:sz="2" w:space="0" w:color="E4E4E7"/>
                    <w:bottom w:val="single" w:sz="2" w:space="0" w:color="E4E4E7"/>
                    <w:right w:val="single" w:sz="2" w:space="0" w:color="E4E4E7"/>
                  </w:divBdr>
                  <w:divsChild>
                    <w:div w:id="1295796531">
                      <w:marLeft w:val="0"/>
                      <w:marRight w:val="0"/>
                      <w:marTop w:val="0"/>
                      <w:marBottom w:val="0"/>
                      <w:divBdr>
                        <w:top w:val="single" w:sz="2" w:space="0" w:color="E4E4E7"/>
                        <w:left w:val="single" w:sz="2" w:space="0" w:color="E4E4E7"/>
                        <w:bottom w:val="single" w:sz="2" w:space="0" w:color="E4E4E7"/>
                        <w:right w:val="single" w:sz="2" w:space="0" w:color="E4E4E7"/>
                      </w:divBdr>
                      <w:divsChild>
                        <w:div w:id="916324988">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sChild>
    </w:div>
    <w:div w:id="799224822">
      <w:bodyDiv w:val="1"/>
      <w:marLeft w:val="0"/>
      <w:marRight w:val="0"/>
      <w:marTop w:val="0"/>
      <w:marBottom w:val="0"/>
      <w:divBdr>
        <w:top w:val="none" w:sz="0" w:space="0" w:color="auto"/>
        <w:left w:val="none" w:sz="0" w:space="0" w:color="auto"/>
        <w:bottom w:val="none" w:sz="0" w:space="0" w:color="auto"/>
        <w:right w:val="none" w:sz="0" w:space="0" w:color="auto"/>
      </w:divBdr>
      <w:divsChild>
        <w:div w:id="18162511">
          <w:marLeft w:val="0"/>
          <w:marRight w:val="0"/>
          <w:marTop w:val="0"/>
          <w:marBottom w:val="0"/>
          <w:divBdr>
            <w:top w:val="none" w:sz="0" w:space="0" w:color="auto"/>
            <w:left w:val="none" w:sz="0" w:space="0" w:color="auto"/>
            <w:bottom w:val="none" w:sz="0" w:space="0" w:color="auto"/>
            <w:right w:val="none" w:sz="0" w:space="0" w:color="auto"/>
          </w:divBdr>
          <w:divsChild>
            <w:div w:id="28723857">
              <w:marLeft w:val="0"/>
              <w:marRight w:val="0"/>
              <w:marTop w:val="0"/>
              <w:marBottom w:val="0"/>
              <w:divBdr>
                <w:top w:val="none" w:sz="0" w:space="0" w:color="auto"/>
                <w:left w:val="none" w:sz="0" w:space="0" w:color="auto"/>
                <w:bottom w:val="none" w:sz="0" w:space="0" w:color="auto"/>
                <w:right w:val="none" w:sz="0" w:space="0" w:color="auto"/>
              </w:divBdr>
            </w:div>
            <w:div w:id="358749544">
              <w:marLeft w:val="0"/>
              <w:marRight w:val="0"/>
              <w:marTop w:val="0"/>
              <w:marBottom w:val="0"/>
              <w:divBdr>
                <w:top w:val="none" w:sz="0" w:space="0" w:color="auto"/>
                <w:left w:val="none" w:sz="0" w:space="0" w:color="auto"/>
                <w:bottom w:val="none" w:sz="0" w:space="0" w:color="auto"/>
                <w:right w:val="none" w:sz="0" w:space="0" w:color="auto"/>
              </w:divBdr>
            </w:div>
            <w:div w:id="471991849">
              <w:marLeft w:val="0"/>
              <w:marRight w:val="0"/>
              <w:marTop w:val="0"/>
              <w:marBottom w:val="0"/>
              <w:divBdr>
                <w:top w:val="none" w:sz="0" w:space="0" w:color="auto"/>
                <w:left w:val="none" w:sz="0" w:space="0" w:color="auto"/>
                <w:bottom w:val="none" w:sz="0" w:space="0" w:color="auto"/>
                <w:right w:val="none" w:sz="0" w:space="0" w:color="auto"/>
              </w:divBdr>
            </w:div>
            <w:div w:id="577011060">
              <w:marLeft w:val="0"/>
              <w:marRight w:val="0"/>
              <w:marTop w:val="0"/>
              <w:marBottom w:val="0"/>
              <w:divBdr>
                <w:top w:val="none" w:sz="0" w:space="0" w:color="auto"/>
                <w:left w:val="none" w:sz="0" w:space="0" w:color="auto"/>
                <w:bottom w:val="none" w:sz="0" w:space="0" w:color="auto"/>
                <w:right w:val="none" w:sz="0" w:space="0" w:color="auto"/>
              </w:divBdr>
            </w:div>
            <w:div w:id="862860220">
              <w:marLeft w:val="0"/>
              <w:marRight w:val="0"/>
              <w:marTop w:val="0"/>
              <w:marBottom w:val="0"/>
              <w:divBdr>
                <w:top w:val="none" w:sz="0" w:space="0" w:color="auto"/>
                <w:left w:val="none" w:sz="0" w:space="0" w:color="auto"/>
                <w:bottom w:val="none" w:sz="0" w:space="0" w:color="auto"/>
                <w:right w:val="none" w:sz="0" w:space="0" w:color="auto"/>
              </w:divBdr>
            </w:div>
            <w:div w:id="962999565">
              <w:marLeft w:val="0"/>
              <w:marRight w:val="0"/>
              <w:marTop w:val="0"/>
              <w:marBottom w:val="0"/>
              <w:divBdr>
                <w:top w:val="none" w:sz="0" w:space="0" w:color="auto"/>
                <w:left w:val="none" w:sz="0" w:space="0" w:color="auto"/>
                <w:bottom w:val="none" w:sz="0" w:space="0" w:color="auto"/>
                <w:right w:val="none" w:sz="0" w:space="0" w:color="auto"/>
              </w:divBdr>
            </w:div>
            <w:div w:id="1097363334">
              <w:marLeft w:val="0"/>
              <w:marRight w:val="0"/>
              <w:marTop w:val="0"/>
              <w:marBottom w:val="0"/>
              <w:divBdr>
                <w:top w:val="none" w:sz="0" w:space="0" w:color="auto"/>
                <w:left w:val="none" w:sz="0" w:space="0" w:color="auto"/>
                <w:bottom w:val="none" w:sz="0" w:space="0" w:color="auto"/>
                <w:right w:val="none" w:sz="0" w:space="0" w:color="auto"/>
              </w:divBdr>
            </w:div>
            <w:div w:id="1200556577">
              <w:marLeft w:val="0"/>
              <w:marRight w:val="0"/>
              <w:marTop w:val="0"/>
              <w:marBottom w:val="0"/>
              <w:divBdr>
                <w:top w:val="none" w:sz="0" w:space="0" w:color="auto"/>
                <w:left w:val="none" w:sz="0" w:space="0" w:color="auto"/>
                <w:bottom w:val="none" w:sz="0" w:space="0" w:color="auto"/>
                <w:right w:val="none" w:sz="0" w:space="0" w:color="auto"/>
              </w:divBdr>
            </w:div>
            <w:div w:id="1221478324">
              <w:marLeft w:val="0"/>
              <w:marRight w:val="0"/>
              <w:marTop w:val="0"/>
              <w:marBottom w:val="0"/>
              <w:divBdr>
                <w:top w:val="none" w:sz="0" w:space="0" w:color="auto"/>
                <w:left w:val="none" w:sz="0" w:space="0" w:color="auto"/>
                <w:bottom w:val="none" w:sz="0" w:space="0" w:color="auto"/>
                <w:right w:val="none" w:sz="0" w:space="0" w:color="auto"/>
              </w:divBdr>
            </w:div>
            <w:div w:id="1300844830">
              <w:marLeft w:val="0"/>
              <w:marRight w:val="0"/>
              <w:marTop w:val="0"/>
              <w:marBottom w:val="0"/>
              <w:divBdr>
                <w:top w:val="none" w:sz="0" w:space="0" w:color="auto"/>
                <w:left w:val="none" w:sz="0" w:space="0" w:color="auto"/>
                <w:bottom w:val="none" w:sz="0" w:space="0" w:color="auto"/>
                <w:right w:val="none" w:sz="0" w:space="0" w:color="auto"/>
              </w:divBdr>
            </w:div>
            <w:div w:id="1584947808">
              <w:marLeft w:val="0"/>
              <w:marRight w:val="0"/>
              <w:marTop w:val="0"/>
              <w:marBottom w:val="0"/>
              <w:divBdr>
                <w:top w:val="none" w:sz="0" w:space="0" w:color="auto"/>
                <w:left w:val="none" w:sz="0" w:space="0" w:color="auto"/>
                <w:bottom w:val="none" w:sz="0" w:space="0" w:color="auto"/>
                <w:right w:val="none" w:sz="0" w:space="0" w:color="auto"/>
              </w:divBdr>
            </w:div>
            <w:div w:id="175069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231869">
      <w:bodyDiv w:val="1"/>
      <w:marLeft w:val="0"/>
      <w:marRight w:val="0"/>
      <w:marTop w:val="0"/>
      <w:marBottom w:val="0"/>
      <w:divBdr>
        <w:top w:val="none" w:sz="0" w:space="0" w:color="auto"/>
        <w:left w:val="none" w:sz="0" w:space="0" w:color="auto"/>
        <w:bottom w:val="none" w:sz="0" w:space="0" w:color="auto"/>
        <w:right w:val="none" w:sz="0" w:space="0" w:color="auto"/>
      </w:divBdr>
      <w:divsChild>
        <w:div w:id="768083910">
          <w:marLeft w:val="0"/>
          <w:marRight w:val="0"/>
          <w:marTop w:val="0"/>
          <w:marBottom w:val="0"/>
          <w:divBdr>
            <w:top w:val="none" w:sz="0" w:space="0" w:color="auto"/>
            <w:left w:val="none" w:sz="0" w:space="0" w:color="auto"/>
            <w:bottom w:val="none" w:sz="0" w:space="0" w:color="auto"/>
            <w:right w:val="none" w:sz="0" w:space="0" w:color="auto"/>
          </w:divBdr>
          <w:divsChild>
            <w:div w:id="1859150282">
              <w:marLeft w:val="0"/>
              <w:marRight w:val="0"/>
              <w:marTop w:val="0"/>
              <w:marBottom w:val="0"/>
              <w:divBdr>
                <w:top w:val="none" w:sz="0" w:space="0" w:color="auto"/>
                <w:left w:val="none" w:sz="0" w:space="0" w:color="auto"/>
                <w:bottom w:val="none" w:sz="0" w:space="0" w:color="auto"/>
                <w:right w:val="none" w:sz="0" w:space="0" w:color="auto"/>
              </w:divBdr>
              <w:divsChild>
                <w:div w:id="2062753897">
                  <w:marLeft w:val="0"/>
                  <w:marRight w:val="0"/>
                  <w:marTop w:val="0"/>
                  <w:marBottom w:val="0"/>
                  <w:divBdr>
                    <w:top w:val="none" w:sz="0" w:space="0" w:color="auto"/>
                    <w:left w:val="none" w:sz="0" w:space="0" w:color="auto"/>
                    <w:bottom w:val="none" w:sz="0" w:space="0" w:color="auto"/>
                    <w:right w:val="none" w:sz="0" w:space="0" w:color="auto"/>
                  </w:divBdr>
                  <w:divsChild>
                    <w:div w:id="1846162165">
                      <w:marLeft w:val="0"/>
                      <w:marRight w:val="0"/>
                      <w:marTop w:val="0"/>
                      <w:marBottom w:val="0"/>
                      <w:divBdr>
                        <w:top w:val="none" w:sz="0" w:space="0" w:color="auto"/>
                        <w:left w:val="none" w:sz="0" w:space="0" w:color="auto"/>
                        <w:bottom w:val="none" w:sz="0" w:space="0" w:color="auto"/>
                        <w:right w:val="none" w:sz="0" w:space="0" w:color="auto"/>
                      </w:divBdr>
                      <w:divsChild>
                        <w:div w:id="1912616880">
                          <w:marLeft w:val="0"/>
                          <w:marRight w:val="0"/>
                          <w:marTop w:val="0"/>
                          <w:marBottom w:val="0"/>
                          <w:divBdr>
                            <w:top w:val="none" w:sz="0" w:space="0" w:color="auto"/>
                            <w:left w:val="none" w:sz="0" w:space="0" w:color="auto"/>
                            <w:bottom w:val="none" w:sz="0" w:space="0" w:color="auto"/>
                            <w:right w:val="none" w:sz="0" w:space="0" w:color="auto"/>
                          </w:divBdr>
                          <w:divsChild>
                            <w:div w:id="1480223704">
                              <w:marLeft w:val="0"/>
                              <w:marRight w:val="0"/>
                              <w:marTop w:val="0"/>
                              <w:marBottom w:val="0"/>
                              <w:divBdr>
                                <w:top w:val="none" w:sz="0" w:space="0" w:color="auto"/>
                                <w:left w:val="none" w:sz="0" w:space="0" w:color="auto"/>
                                <w:bottom w:val="none" w:sz="0" w:space="0" w:color="auto"/>
                                <w:right w:val="none" w:sz="0" w:space="0" w:color="auto"/>
                              </w:divBdr>
                              <w:divsChild>
                                <w:div w:id="1625966205">
                                  <w:marLeft w:val="0"/>
                                  <w:marRight w:val="0"/>
                                  <w:marTop w:val="0"/>
                                  <w:marBottom w:val="0"/>
                                  <w:divBdr>
                                    <w:top w:val="none" w:sz="0" w:space="0" w:color="auto"/>
                                    <w:left w:val="none" w:sz="0" w:space="0" w:color="auto"/>
                                    <w:bottom w:val="none" w:sz="0" w:space="0" w:color="auto"/>
                                    <w:right w:val="none" w:sz="0" w:space="0" w:color="auto"/>
                                  </w:divBdr>
                                  <w:divsChild>
                                    <w:div w:id="131605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9305002">
      <w:bodyDiv w:val="1"/>
      <w:marLeft w:val="0"/>
      <w:marRight w:val="0"/>
      <w:marTop w:val="0"/>
      <w:marBottom w:val="0"/>
      <w:divBdr>
        <w:top w:val="none" w:sz="0" w:space="0" w:color="auto"/>
        <w:left w:val="none" w:sz="0" w:space="0" w:color="auto"/>
        <w:bottom w:val="none" w:sz="0" w:space="0" w:color="auto"/>
        <w:right w:val="none" w:sz="0" w:space="0" w:color="auto"/>
      </w:divBdr>
      <w:divsChild>
        <w:div w:id="859901379">
          <w:marLeft w:val="0"/>
          <w:marRight w:val="0"/>
          <w:marTop w:val="0"/>
          <w:marBottom w:val="150"/>
          <w:divBdr>
            <w:top w:val="none" w:sz="0" w:space="0" w:color="auto"/>
            <w:left w:val="none" w:sz="0" w:space="0" w:color="auto"/>
            <w:bottom w:val="none" w:sz="0" w:space="0" w:color="auto"/>
            <w:right w:val="none" w:sz="0" w:space="0" w:color="auto"/>
          </w:divBdr>
          <w:divsChild>
            <w:div w:id="1970738926">
              <w:marLeft w:val="0"/>
              <w:marRight w:val="0"/>
              <w:marTop w:val="0"/>
              <w:marBottom w:val="0"/>
              <w:divBdr>
                <w:top w:val="none" w:sz="0" w:space="0" w:color="auto"/>
                <w:left w:val="none" w:sz="0" w:space="0" w:color="auto"/>
                <w:bottom w:val="none" w:sz="0" w:space="0" w:color="auto"/>
                <w:right w:val="none" w:sz="0" w:space="0" w:color="auto"/>
              </w:divBdr>
              <w:divsChild>
                <w:div w:id="117919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465395">
          <w:marLeft w:val="0"/>
          <w:marRight w:val="0"/>
          <w:marTop w:val="0"/>
          <w:marBottom w:val="150"/>
          <w:divBdr>
            <w:top w:val="none" w:sz="0" w:space="0" w:color="auto"/>
            <w:left w:val="none" w:sz="0" w:space="0" w:color="auto"/>
            <w:bottom w:val="none" w:sz="0" w:space="0" w:color="auto"/>
            <w:right w:val="none" w:sz="0" w:space="0" w:color="auto"/>
          </w:divBdr>
        </w:div>
        <w:div w:id="279580414">
          <w:marLeft w:val="0"/>
          <w:marRight w:val="0"/>
          <w:marTop w:val="0"/>
          <w:marBottom w:val="0"/>
          <w:divBdr>
            <w:top w:val="none" w:sz="0" w:space="0" w:color="auto"/>
            <w:left w:val="none" w:sz="0" w:space="0" w:color="auto"/>
            <w:bottom w:val="none" w:sz="0" w:space="0" w:color="auto"/>
            <w:right w:val="none" w:sz="0" w:space="0" w:color="auto"/>
          </w:divBdr>
          <w:divsChild>
            <w:div w:id="95691384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99494992">
      <w:bodyDiv w:val="1"/>
      <w:marLeft w:val="0"/>
      <w:marRight w:val="0"/>
      <w:marTop w:val="0"/>
      <w:marBottom w:val="0"/>
      <w:divBdr>
        <w:top w:val="none" w:sz="0" w:space="0" w:color="auto"/>
        <w:left w:val="none" w:sz="0" w:space="0" w:color="auto"/>
        <w:bottom w:val="none" w:sz="0" w:space="0" w:color="auto"/>
        <w:right w:val="none" w:sz="0" w:space="0" w:color="auto"/>
      </w:divBdr>
      <w:divsChild>
        <w:div w:id="142744377">
          <w:marLeft w:val="0"/>
          <w:marRight w:val="0"/>
          <w:marTop w:val="0"/>
          <w:marBottom w:val="150"/>
          <w:divBdr>
            <w:top w:val="none" w:sz="0" w:space="0" w:color="auto"/>
            <w:left w:val="none" w:sz="0" w:space="0" w:color="auto"/>
            <w:bottom w:val="none" w:sz="0" w:space="0" w:color="auto"/>
            <w:right w:val="none" w:sz="0" w:space="0" w:color="auto"/>
          </w:divBdr>
        </w:div>
        <w:div w:id="814300741">
          <w:marLeft w:val="0"/>
          <w:marRight w:val="0"/>
          <w:marTop w:val="0"/>
          <w:marBottom w:val="150"/>
          <w:divBdr>
            <w:top w:val="none" w:sz="0" w:space="0" w:color="auto"/>
            <w:left w:val="none" w:sz="0" w:space="0" w:color="auto"/>
            <w:bottom w:val="none" w:sz="0" w:space="0" w:color="auto"/>
            <w:right w:val="none" w:sz="0" w:space="0" w:color="auto"/>
          </w:divBdr>
          <w:divsChild>
            <w:div w:id="1078481777">
              <w:marLeft w:val="0"/>
              <w:marRight w:val="0"/>
              <w:marTop w:val="0"/>
              <w:marBottom w:val="0"/>
              <w:divBdr>
                <w:top w:val="none" w:sz="0" w:space="0" w:color="auto"/>
                <w:left w:val="none" w:sz="0" w:space="0" w:color="auto"/>
                <w:bottom w:val="none" w:sz="0" w:space="0" w:color="auto"/>
                <w:right w:val="none" w:sz="0" w:space="0" w:color="auto"/>
              </w:divBdr>
            </w:div>
          </w:divsChild>
        </w:div>
        <w:div w:id="1244336380">
          <w:marLeft w:val="0"/>
          <w:marRight w:val="0"/>
          <w:marTop w:val="0"/>
          <w:marBottom w:val="0"/>
          <w:divBdr>
            <w:top w:val="none" w:sz="0" w:space="0" w:color="auto"/>
            <w:left w:val="none" w:sz="0" w:space="0" w:color="auto"/>
            <w:bottom w:val="none" w:sz="0" w:space="0" w:color="auto"/>
            <w:right w:val="none" w:sz="0" w:space="0" w:color="auto"/>
          </w:divBdr>
          <w:divsChild>
            <w:div w:id="130542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6897">
      <w:bodyDiv w:val="1"/>
      <w:marLeft w:val="0"/>
      <w:marRight w:val="0"/>
      <w:marTop w:val="0"/>
      <w:marBottom w:val="0"/>
      <w:divBdr>
        <w:top w:val="none" w:sz="0" w:space="0" w:color="auto"/>
        <w:left w:val="none" w:sz="0" w:space="0" w:color="auto"/>
        <w:bottom w:val="none" w:sz="0" w:space="0" w:color="auto"/>
        <w:right w:val="none" w:sz="0" w:space="0" w:color="auto"/>
      </w:divBdr>
      <w:divsChild>
        <w:div w:id="551310793">
          <w:marLeft w:val="0"/>
          <w:marRight w:val="0"/>
          <w:marTop w:val="0"/>
          <w:marBottom w:val="0"/>
          <w:divBdr>
            <w:top w:val="none" w:sz="0" w:space="0" w:color="auto"/>
            <w:left w:val="none" w:sz="0" w:space="0" w:color="auto"/>
            <w:bottom w:val="dotted" w:sz="6" w:space="4" w:color="DDDDDD"/>
            <w:right w:val="none" w:sz="0" w:space="0" w:color="auto"/>
          </w:divBdr>
        </w:div>
      </w:divsChild>
    </w:div>
    <w:div w:id="800150202">
      <w:bodyDiv w:val="1"/>
      <w:marLeft w:val="0"/>
      <w:marRight w:val="0"/>
      <w:marTop w:val="0"/>
      <w:marBottom w:val="0"/>
      <w:divBdr>
        <w:top w:val="none" w:sz="0" w:space="0" w:color="auto"/>
        <w:left w:val="none" w:sz="0" w:space="0" w:color="auto"/>
        <w:bottom w:val="none" w:sz="0" w:space="0" w:color="auto"/>
        <w:right w:val="none" w:sz="0" w:space="0" w:color="auto"/>
      </w:divBdr>
      <w:divsChild>
        <w:div w:id="540555132">
          <w:marLeft w:val="0"/>
          <w:marRight w:val="0"/>
          <w:marTop w:val="0"/>
          <w:marBottom w:val="0"/>
          <w:divBdr>
            <w:top w:val="none" w:sz="0" w:space="0" w:color="auto"/>
            <w:left w:val="none" w:sz="0" w:space="0" w:color="auto"/>
            <w:bottom w:val="none" w:sz="0" w:space="0" w:color="auto"/>
            <w:right w:val="none" w:sz="0" w:space="0" w:color="auto"/>
          </w:divBdr>
          <w:divsChild>
            <w:div w:id="209418599">
              <w:marLeft w:val="0"/>
              <w:marRight w:val="0"/>
              <w:marTop w:val="0"/>
              <w:marBottom w:val="0"/>
              <w:divBdr>
                <w:top w:val="none" w:sz="0" w:space="0" w:color="auto"/>
                <w:left w:val="none" w:sz="0" w:space="0" w:color="auto"/>
                <w:bottom w:val="none" w:sz="0" w:space="0" w:color="auto"/>
                <w:right w:val="none" w:sz="0" w:space="0" w:color="auto"/>
              </w:divBdr>
              <w:divsChild>
                <w:div w:id="118150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388917">
          <w:marLeft w:val="0"/>
          <w:marRight w:val="0"/>
          <w:marTop w:val="0"/>
          <w:marBottom w:val="75"/>
          <w:divBdr>
            <w:top w:val="none" w:sz="0" w:space="0" w:color="auto"/>
            <w:left w:val="none" w:sz="0" w:space="0" w:color="auto"/>
            <w:bottom w:val="none" w:sz="0" w:space="0" w:color="auto"/>
            <w:right w:val="none" w:sz="0" w:space="0" w:color="auto"/>
          </w:divBdr>
        </w:div>
      </w:divsChild>
    </w:div>
    <w:div w:id="800222927">
      <w:bodyDiv w:val="1"/>
      <w:marLeft w:val="0"/>
      <w:marRight w:val="0"/>
      <w:marTop w:val="0"/>
      <w:marBottom w:val="0"/>
      <w:divBdr>
        <w:top w:val="none" w:sz="0" w:space="0" w:color="auto"/>
        <w:left w:val="none" w:sz="0" w:space="0" w:color="auto"/>
        <w:bottom w:val="none" w:sz="0" w:space="0" w:color="auto"/>
        <w:right w:val="none" w:sz="0" w:space="0" w:color="auto"/>
      </w:divBdr>
      <w:divsChild>
        <w:div w:id="1355956757">
          <w:marLeft w:val="0"/>
          <w:marRight w:val="0"/>
          <w:marTop w:val="0"/>
          <w:marBottom w:val="0"/>
          <w:divBdr>
            <w:top w:val="none" w:sz="0" w:space="0" w:color="auto"/>
            <w:left w:val="none" w:sz="0" w:space="0" w:color="auto"/>
            <w:bottom w:val="none" w:sz="0" w:space="0" w:color="auto"/>
            <w:right w:val="none" w:sz="0" w:space="0" w:color="auto"/>
          </w:divBdr>
          <w:divsChild>
            <w:div w:id="6438536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00536745">
      <w:bodyDiv w:val="1"/>
      <w:marLeft w:val="0"/>
      <w:marRight w:val="0"/>
      <w:marTop w:val="0"/>
      <w:marBottom w:val="0"/>
      <w:divBdr>
        <w:top w:val="none" w:sz="0" w:space="0" w:color="auto"/>
        <w:left w:val="none" w:sz="0" w:space="0" w:color="auto"/>
        <w:bottom w:val="none" w:sz="0" w:space="0" w:color="auto"/>
        <w:right w:val="none" w:sz="0" w:space="0" w:color="auto"/>
      </w:divBdr>
      <w:divsChild>
        <w:div w:id="1461533324">
          <w:marLeft w:val="0"/>
          <w:marRight w:val="0"/>
          <w:marTop w:val="0"/>
          <w:marBottom w:val="0"/>
          <w:divBdr>
            <w:top w:val="none" w:sz="0" w:space="0" w:color="auto"/>
            <w:left w:val="none" w:sz="0" w:space="0" w:color="auto"/>
            <w:bottom w:val="none" w:sz="0" w:space="0" w:color="auto"/>
            <w:right w:val="none" w:sz="0" w:space="0" w:color="auto"/>
          </w:divBdr>
          <w:divsChild>
            <w:div w:id="377439009">
              <w:marLeft w:val="0"/>
              <w:marRight w:val="0"/>
              <w:marTop w:val="0"/>
              <w:marBottom w:val="0"/>
              <w:divBdr>
                <w:top w:val="none" w:sz="0" w:space="0" w:color="auto"/>
                <w:left w:val="none" w:sz="0" w:space="0" w:color="auto"/>
                <w:bottom w:val="none" w:sz="0" w:space="0" w:color="auto"/>
                <w:right w:val="none" w:sz="0" w:space="0" w:color="auto"/>
              </w:divBdr>
              <w:divsChild>
                <w:div w:id="280842586">
                  <w:marLeft w:val="0"/>
                  <w:marRight w:val="0"/>
                  <w:marTop w:val="0"/>
                  <w:marBottom w:val="0"/>
                  <w:divBdr>
                    <w:top w:val="none" w:sz="0" w:space="0" w:color="auto"/>
                    <w:left w:val="none" w:sz="0" w:space="0" w:color="auto"/>
                    <w:bottom w:val="none" w:sz="0" w:space="0" w:color="auto"/>
                    <w:right w:val="none" w:sz="0" w:space="0" w:color="auto"/>
                  </w:divBdr>
                  <w:divsChild>
                    <w:div w:id="1706053521">
                      <w:marLeft w:val="0"/>
                      <w:marRight w:val="0"/>
                      <w:marTop w:val="0"/>
                      <w:marBottom w:val="0"/>
                      <w:divBdr>
                        <w:top w:val="none" w:sz="0" w:space="0" w:color="auto"/>
                        <w:left w:val="none" w:sz="0" w:space="0" w:color="auto"/>
                        <w:bottom w:val="none" w:sz="0" w:space="0" w:color="auto"/>
                        <w:right w:val="none" w:sz="0" w:space="0" w:color="auto"/>
                      </w:divBdr>
                      <w:divsChild>
                        <w:div w:id="269821230">
                          <w:marLeft w:val="0"/>
                          <w:marRight w:val="0"/>
                          <w:marTop w:val="0"/>
                          <w:marBottom w:val="0"/>
                          <w:divBdr>
                            <w:top w:val="none" w:sz="0" w:space="0" w:color="auto"/>
                            <w:left w:val="none" w:sz="0" w:space="0" w:color="auto"/>
                            <w:bottom w:val="none" w:sz="0" w:space="0" w:color="auto"/>
                            <w:right w:val="none" w:sz="0" w:space="0" w:color="auto"/>
                          </w:divBdr>
                          <w:divsChild>
                            <w:div w:id="1416364629">
                              <w:marLeft w:val="0"/>
                              <w:marRight w:val="0"/>
                              <w:marTop w:val="0"/>
                              <w:marBottom w:val="0"/>
                              <w:divBdr>
                                <w:top w:val="none" w:sz="0" w:space="0" w:color="auto"/>
                                <w:left w:val="none" w:sz="0" w:space="0" w:color="auto"/>
                                <w:bottom w:val="none" w:sz="0" w:space="0" w:color="auto"/>
                                <w:right w:val="none" w:sz="0" w:space="0" w:color="auto"/>
                              </w:divBdr>
                              <w:divsChild>
                                <w:div w:id="129859195">
                                  <w:marLeft w:val="0"/>
                                  <w:marRight w:val="0"/>
                                  <w:marTop w:val="0"/>
                                  <w:marBottom w:val="0"/>
                                  <w:divBdr>
                                    <w:top w:val="none" w:sz="0" w:space="0" w:color="auto"/>
                                    <w:left w:val="none" w:sz="0" w:space="0" w:color="auto"/>
                                    <w:bottom w:val="none" w:sz="0" w:space="0" w:color="auto"/>
                                    <w:right w:val="none" w:sz="0" w:space="0" w:color="auto"/>
                                  </w:divBdr>
                                  <w:divsChild>
                                    <w:div w:id="23240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0608090">
      <w:bodyDiv w:val="1"/>
      <w:marLeft w:val="0"/>
      <w:marRight w:val="0"/>
      <w:marTop w:val="0"/>
      <w:marBottom w:val="0"/>
      <w:divBdr>
        <w:top w:val="none" w:sz="0" w:space="0" w:color="auto"/>
        <w:left w:val="none" w:sz="0" w:space="0" w:color="auto"/>
        <w:bottom w:val="none" w:sz="0" w:space="0" w:color="auto"/>
        <w:right w:val="none" w:sz="0" w:space="0" w:color="auto"/>
      </w:divBdr>
      <w:divsChild>
        <w:div w:id="705523287">
          <w:marLeft w:val="0"/>
          <w:marRight w:val="0"/>
          <w:marTop w:val="0"/>
          <w:marBottom w:val="0"/>
          <w:divBdr>
            <w:top w:val="none" w:sz="0" w:space="0" w:color="auto"/>
            <w:left w:val="none" w:sz="0" w:space="0" w:color="auto"/>
            <w:bottom w:val="none" w:sz="0" w:space="0" w:color="auto"/>
            <w:right w:val="none" w:sz="0" w:space="0" w:color="auto"/>
          </w:divBdr>
          <w:divsChild>
            <w:div w:id="488327594">
              <w:marLeft w:val="0"/>
              <w:marRight w:val="0"/>
              <w:marTop w:val="0"/>
              <w:marBottom w:val="0"/>
              <w:divBdr>
                <w:top w:val="none" w:sz="0" w:space="0" w:color="auto"/>
                <w:left w:val="none" w:sz="0" w:space="0" w:color="auto"/>
                <w:bottom w:val="none" w:sz="0" w:space="0" w:color="auto"/>
                <w:right w:val="none" w:sz="0" w:space="0" w:color="auto"/>
              </w:divBdr>
              <w:divsChild>
                <w:div w:id="957416155">
                  <w:marLeft w:val="0"/>
                  <w:marRight w:val="0"/>
                  <w:marTop w:val="0"/>
                  <w:marBottom w:val="0"/>
                  <w:divBdr>
                    <w:top w:val="none" w:sz="0" w:space="0" w:color="auto"/>
                    <w:left w:val="none" w:sz="0" w:space="0" w:color="auto"/>
                    <w:bottom w:val="none" w:sz="0" w:space="0" w:color="auto"/>
                    <w:right w:val="none" w:sz="0" w:space="0" w:color="auto"/>
                  </w:divBdr>
                  <w:divsChild>
                    <w:div w:id="1941600116">
                      <w:marLeft w:val="0"/>
                      <w:marRight w:val="0"/>
                      <w:marTop w:val="0"/>
                      <w:marBottom w:val="0"/>
                      <w:divBdr>
                        <w:top w:val="none" w:sz="0" w:space="0" w:color="auto"/>
                        <w:left w:val="none" w:sz="0" w:space="0" w:color="auto"/>
                        <w:bottom w:val="none" w:sz="0" w:space="0" w:color="auto"/>
                        <w:right w:val="none" w:sz="0" w:space="0" w:color="auto"/>
                      </w:divBdr>
                      <w:divsChild>
                        <w:div w:id="631711456">
                          <w:marLeft w:val="0"/>
                          <w:marRight w:val="0"/>
                          <w:marTop w:val="0"/>
                          <w:marBottom w:val="0"/>
                          <w:divBdr>
                            <w:top w:val="none" w:sz="0" w:space="0" w:color="auto"/>
                            <w:left w:val="none" w:sz="0" w:space="0" w:color="auto"/>
                            <w:bottom w:val="none" w:sz="0" w:space="0" w:color="auto"/>
                            <w:right w:val="none" w:sz="0" w:space="0" w:color="auto"/>
                          </w:divBdr>
                          <w:divsChild>
                            <w:div w:id="1924291041">
                              <w:marLeft w:val="0"/>
                              <w:marRight w:val="0"/>
                              <w:marTop w:val="0"/>
                              <w:marBottom w:val="0"/>
                              <w:divBdr>
                                <w:top w:val="none" w:sz="0" w:space="0" w:color="auto"/>
                                <w:left w:val="none" w:sz="0" w:space="0" w:color="auto"/>
                                <w:bottom w:val="none" w:sz="0" w:space="0" w:color="auto"/>
                                <w:right w:val="none" w:sz="0" w:space="0" w:color="auto"/>
                              </w:divBdr>
                              <w:divsChild>
                                <w:div w:id="241724880">
                                  <w:marLeft w:val="0"/>
                                  <w:marRight w:val="0"/>
                                  <w:marTop w:val="0"/>
                                  <w:marBottom w:val="0"/>
                                  <w:divBdr>
                                    <w:top w:val="none" w:sz="0" w:space="0" w:color="auto"/>
                                    <w:left w:val="none" w:sz="0" w:space="0" w:color="auto"/>
                                    <w:bottom w:val="none" w:sz="0" w:space="0" w:color="auto"/>
                                    <w:right w:val="none" w:sz="0" w:space="0" w:color="auto"/>
                                  </w:divBdr>
                                  <w:divsChild>
                                    <w:div w:id="1862889824">
                                      <w:marLeft w:val="0"/>
                                      <w:marRight w:val="0"/>
                                      <w:marTop w:val="0"/>
                                      <w:marBottom w:val="0"/>
                                      <w:divBdr>
                                        <w:top w:val="none" w:sz="0" w:space="0" w:color="auto"/>
                                        <w:left w:val="none" w:sz="0" w:space="0" w:color="auto"/>
                                        <w:bottom w:val="none" w:sz="0" w:space="0" w:color="auto"/>
                                        <w:right w:val="none" w:sz="0" w:space="0" w:color="auto"/>
                                      </w:divBdr>
                                      <w:divsChild>
                                        <w:div w:id="39991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0882171">
      <w:bodyDiv w:val="1"/>
      <w:marLeft w:val="0"/>
      <w:marRight w:val="0"/>
      <w:marTop w:val="0"/>
      <w:marBottom w:val="0"/>
      <w:divBdr>
        <w:top w:val="none" w:sz="0" w:space="0" w:color="auto"/>
        <w:left w:val="none" w:sz="0" w:space="0" w:color="auto"/>
        <w:bottom w:val="none" w:sz="0" w:space="0" w:color="auto"/>
        <w:right w:val="none" w:sz="0" w:space="0" w:color="auto"/>
      </w:divBdr>
      <w:divsChild>
        <w:div w:id="574239285">
          <w:marLeft w:val="0"/>
          <w:marRight w:val="0"/>
          <w:marTop w:val="0"/>
          <w:marBottom w:val="0"/>
          <w:divBdr>
            <w:top w:val="none" w:sz="0" w:space="0" w:color="auto"/>
            <w:left w:val="none" w:sz="0" w:space="0" w:color="auto"/>
            <w:bottom w:val="none" w:sz="0" w:space="0" w:color="auto"/>
            <w:right w:val="none" w:sz="0" w:space="0" w:color="auto"/>
          </w:divBdr>
          <w:divsChild>
            <w:div w:id="1091700691">
              <w:marLeft w:val="0"/>
              <w:marRight w:val="0"/>
              <w:marTop w:val="0"/>
              <w:marBottom w:val="0"/>
              <w:divBdr>
                <w:top w:val="none" w:sz="0" w:space="0" w:color="auto"/>
                <w:left w:val="none" w:sz="0" w:space="0" w:color="auto"/>
                <w:bottom w:val="none" w:sz="0" w:space="0" w:color="auto"/>
                <w:right w:val="none" w:sz="0" w:space="0" w:color="auto"/>
              </w:divBdr>
              <w:divsChild>
                <w:div w:id="1352562728">
                  <w:marLeft w:val="0"/>
                  <w:marRight w:val="0"/>
                  <w:marTop w:val="0"/>
                  <w:marBottom w:val="0"/>
                  <w:divBdr>
                    <w:top w:val="none" w:sz="0" w:space="0" w:color="auto"/>
                    <w:left w:val="none" w:sz="0" w:space="0" w:color="auto"/>
                    <w:bottom w:val="none" w:sz="0" w:space="0" w:color="auto"/>
                    <w:right w:val="none" w:sz="0" w:space="0" w:color="auto"/>
                  </w:divBdr>
                  <w:divsChild>
                    <w:div w:id="1347437128">
                      <w:marLeft w:val="0"/>
                      <w:marRight w:val="0"/>
                      <w:marTop w:val="0"/>
                      <w:marBottom w:val="0"/>
                      <w:divBdr>
                        <w:top w:val="none" w:sz="0" w:space="0" w:color="auto"/>
                        <w:left w:val="none" w:sz="0" w:space="0" w:color="auto"/>
                        <w:bottom w:val="none" w:sz="0" w:space="0" w:color="auto"/>
                        <w:right w:val="none" w:sz="0" w:space="0" w:color="auto"/>
                      </w:divBdr>
                      <w:divsChild>
                        <w:div w:id="1487896197">
                          <w:marLeft w:val="0"/>
                          <w:marRight w:val="0"/>
                          <w:marTop w:val="0"/>
                          <w:marBottom w:val="0"/>
                          <w:divBdr>
                            <w:top w:val="none" w:sz="0" w:space="0" w:color="auto"/>
                            <w:left w:val="none" w:sz="0" w:space="0" w:color="auto"/>
                            <w:bottom w:val="none" w:sz="0" w:space="0" w:color="auto"/>
                            <w:right w:val="none" w:sz="0" w:space="0" w:color="auto"/>
                          </w:divBdr>
                          <w:divsChild>
                            <w:div w:id="276258258">
                              <w:marLeft w:val="0"/>
                              <w:marRight w:val="0"/>
                              <w:marTop w:val="0"/>
                              <w:marBottom w:val="0"/>
                              <w:divBdr>
                                <w:top w:val="none" w:sz="0" w:space="0" w:color="auto"/>
                                <w:left w:val="none" w:sz="0" w:space="0" w:color="auto"/>
                                <w:bottom w:val="none" w:sz="0" w:space="0" w:color="auto"/>
                                <w:right w:val="none" w:sz="0" w:space="0" w:color="auto"/>
                              </w:divBdr>
                              <w:divsChild>
                                <w:div w:id="1964996593">
                                  <w:marLeft w:val="0"/>
                                  <w:marRight w:val="0"/>
                                  <w:marTop w:val="0"/>
                                  <w:marBottom w:val="0"/>
                                  <w:divBdr>
                                    <w:top w:val="none" w:sz="0" w:space="0" w:color="auto"/>
                                    <w:left w:val="none" w:sz="0" w:space="0" w:color="auto"/>
                                    <w:bottom w:val="none" w:sz="0" w:space="0" w:color="auto"/>
                                    <w:right w:val="none" w:sz="0" w:space="0" w:color="auto"/>
                                  </w:divBdr>
                                  <w:divsChild>
                                    <w:div w:id="50143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0919904">
      <w:bodyDiv w:val="1"/>
      <w:marLeft w:val="0"/>
      <w:marRight w:val="0"/>
      <w:marTop w:val="0"/>
      <w:marBottom w:val="0"/>
      <w:divBdr>
        <w:top w:val="none" w:sz="0" w:space="0" w:color="auto"/>
        <w:left w:val="none" w:sz="0" w:space="0" w:color="auto"/>
        <w:bottom w:val="none" w:sz="0" w:space="0" w:color="auto"/>
        <w:right w:val="none" w:sz="0" w:space="0" w:color="auto"/>
      </w:divBdr>
      <w:divsChild>
        <w:div w:id="616831319">
          <w:marLeft w:val="0"/>
          <w:marRight w:val="0"/>
          <w:marTop w:val="0"/>
          <w:marBottom w:val="0"/>
          <w:divBdr>
            <w:top w:val="none" w:sz="0" w:space="0" w:color="auto"/>
            <w:left w:val="none" w:sz="0" w:space="0" w:color="auto"/>
            <w:bottom w:val="dotted" w:sz="6" w:space="4" w:color="DDDDDD"/>
            <w:right w:val="none" w:sz="0" w:space="0" w:color="auto"/>
          </w:divBdr>
        </w:div>
      </w:divsChild>
    </w:div>
    <w:div w:id="800925637">
      <w:bodyDiv w:val="1"/>
      <w:marLeft w:val="0"/>
      <w:marRight w:val="0"/>
      <w:marTop w:val="0"/>
      <w:marBottom w:val="0"/>
      <w:divBdr>
        <w:top w:val="none" w:sz="0" w:space="0" w:color="auto"/>
        <w:left w:val="none" w:sz="0" w:space="0" w:color="auto"/>
        <w:bottom w:val="none" w:sz="0" w:space="0" w:color="auto"/>
        <w:right w:val="none" w:sz="0" w:space="0" w:color="auto"/>
      </w:divBdr>
      <w:divsChild>
        <w:div w:id="437257948">
          <w:marLeft w:val="0"/>
          <w:marRight w:val="0"/>
          <w:marTop w:val="0"/>
          <w:marBottom w:val="0"/>
          <w:divBdr>
            <w:top w:val="none" w:sz="0" w:space="0" w:color="auto"/>
            <w:left w:val="none" w:sz="0" w:space="0" w:color="auto"/>
            <w:bottom w:val="none" w:sz="0" w:space="0" w:color="auto"/>
            <w:right w:val="none" w:sz="0" w:space="0" w:color="auto"/>
          </w:divBdr>
        </w:div>
      </w:divsChild>
    </w:div>
    <w:div w:id="801114422">
      <w:bodyDiv w:val="1"/>
      <w:marLeft w:val="0"/>
      <w:marRight w:val="0"/>
      <w:marTop w:val="0"/>
      <w:marBottom w:val="0"/>
      <w:divBdr>
        <w:top w:val="none" w:sz="0" w:space="0" w:color="auto"/>
        <w:left w:val="none" w:sz="0" w:space="0" w:color="auto"/>
        <w:bottom w:val="none" w:sz="0" w:space="0" w:color="auto"/>
        <w:right w:val="none" w:sz="0" w:space="0" w:color="auto"/>
      </w:divBdr>
      <w:divsChild>
        <w:div w:id="1035155698">
          <w:marLeft w:val="0"/>
          <w:marRight w:val="0"/>
          <w:marTop w:val="0"/>
          <w:marBottom w:val="0"/>
          <w:divBdr>
            <w:top w:val="none" w:sz="0" w:space="0" w:color="auto"/>
            <w:left w:val="none" w:sz="0" w:space="0" w:color="auto"/>
            <w:bottom w:val="dotted" w:sz="6" w:space="4" w:color="DDDDDD"/>
            <w:right w:val="none" w:sz="0" w:space="0" w:color="auto"/>
          </w:divBdr>
          <w:divsChild>
            <w:div w:id="16609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12898">
      <w:bodyDiv w:val="1"/>
      <w:marLeft w:val="0"/>
      <w:marRight w:val="0"/>
      <w:marTop w:val="0"/>
      <w:marBottom w:val="0"/>
      <w:divBdr>
        <w:top w:val="none" w:sz="0" w:space="0" w:color="auto"/>
        <w:left w:val="none" w:sz="0" w:space="0" w:color="auto"/>
        <w:bottom w:val="none" w:sz="0" w:space="0" w:color="auto"/>
        <w:right w:val="none" w:sz="0" w:space="0" w:color="auto"/>
      </w:divBdr>
    </w:div>
    <w:div w:id="801577899">
      <w:bodyDiv w:val="1"/>
      <w:marLeft w:val="0"/>
      <w:marRight w:val="0"/>
      <w:marTop w:val="0"/>
      <w:marBottom w:val="0"/>
      <w:divBdr>
        <w:top w:val="none" w:sz="0" w:space="0" w:color="auto"/>
        <w:left w:val="none" w:sz="0" w:space="0" w:color="auto"/>
        <w:bottom w:val="none" w:sz="0" w:space="0" w:color="auto"/>
        <w:right w:val="none" w:sz="0" w:space="0" w:color="auto"/>
      </w:divBdr>
      <w:divsChild>
        <w:div w:id="1349714331">
          <w:marLeft w:val="0"/>
          <w:marRight w:val="0"/>
          <w:marTop w:val="0"/>
          <w:marBottom w:val="0"/>
          <w:divBdr>
            <w:top w:val="none" w:sz="0" w:space="0" w:color="auto"/>
            <w:left w:val="none" w:sz="0" w:space="0" w:color="auto"/>
            <w:bottom w:val="dotted" w:sz="6" w:space="4" w:color="DDDDDD"/>
            <w:right w:val="none" w:sz="0" w:space="0" w:color="auto"/>
          </w:divBdr>
        </w:div>
      </w:divsChild>
    </w:div>
    <w:div w:id="802038741">
      <w:bodyDiv w:val="1"/>
      <w:marLeft w:val="0"/>
      <w:marRight w:val="0"/>
      <w:marTop w:val="0"/>
      <w:marBottom w:val="0"/>
      <w:divBdr>
        <w:top w:val="none" w:sz="0" w:space="0" w:color="auto"/>
        <w:left w:val="none" w:sz="0" w:space="0" w:color="auto"/>
        <w:bottom w:val="none" w:sz="0" w:space="0" w:color="auto"/>
        <w:right w:val="none" w:sz="0" w:space="0" w:color="auto"/>
      </w:divBdr>
      <w:divsChild>
        <w:div w:id="1747603680">
          <w:marLeft w:val="0"/>
          <w:marRight w:val="0"/>
          <w:marTop w:val="0"/>
          <w:marBottom w:val="0"/>
          <w:divBdr>
            <w:top w:val="none" w:sz="0" w:space="0" w:color="auto"/>
            <w:left w:val="none" w:sz="0" w:space="0" w:color="auto"/>
            <w:bottom w:val="dotted" w:sz="6" w:space="4" w:color="DDDDDD"/>
            <w:right w:val="none" w:sz="0" w:space="0" w:color="auto"/>
          </w:divBdr>
          <w:divsChild>
            <w:div w:id="119388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043737">
      <w:bodyDiv w:val="1"/>
      <w:marLeft w:val="0"/>
      <w:marRight w:val="0"/>
      <w:marTop w:val="0"/>
      <w:marBottom w:val="0"/>
      <w:divBdr>
        <w:top w:val="none" w:sz="0" w:space="0" w:color="auto"/>
        <w:left w:val="none" w:sz="0" w:space="0" w:color="auto"/>
        <w:bottom w:val="none" w:sz="0" w:space="0" w:color="auto"/>
        <w:right w:val="none" w:sz="0" w:space="0" w:color="auto"/>
      </w:divBdr>
      <w:divsChild>
        <w:div w:id="354580079">
          <w:marLeft w:val="0"/>
          <w:marRight w:val="0"/>
          <w:marTop w:val="0"/>
          <w:marBottom w:val="300"/>
          <w:divBdr>
            <w:top w:val="none" w:sz="0" w:space="0" w:color="auto"/>
            <w:left w:val="none" w:sz="0" w:space="0" w:color="auto"/>
            <w:bottom w:val="none" w:sz="0" w:space="0" w:color="auto"/>
            <w:right w:val="none" w:sz="0" w:space="0" w:color="auto"/>
          </w:divBdr>
          <w:divsChild>
            <w:div w:id="735668705">
              <w:marLeft w:val="0"/>
              <w:marRight w:val="0"/>
              <w:marTop w:val="0"/>
              <w:marBottom w:val="0"/>
              <w:divBdr>
                <w:top w:val="none" w:sz="0" w:space="0" w:color="auto"/>
                <w:left w:val="none" w:sz="0" w:space="0" w:color="auto"/>
                <w:bottom w:val="none" w:sz="0" w:space="0" w:color="auto"/>
                <w:right w:val="none" w:sz="0" w:space="0" w:color="auto"/>
              </w:divBdr>
            </w:div>
          </w:divsChild>
        </w:div>
        <w:div w:id="531502323">
          <w:marLeft w:val="0"/>
          <w:marRight w:val="0"/>
          <w:marTop w:val="0"/>
          <w:marBottom w:val="75"/>
          <w:divBdr>
            <w:top w:val="none" w:sz="0" w:space="0" w:color="auto"/>
            <w:left w:val="none" w:sz="0" w:space="0" w:color="auto"/>
            <w:bottom w:val="none" w:sz="0" w:space="0" w:color="auto"/>
            <w:right w:val="none" w:sz="0" w:space="0" w:color="auto"/>
          </w:divBdr>
        </w:div>
        <w:div w:id="558980110">
          <w:marLeft w:val="0"/>
          <w:marRight w:val="0"/>
          <w:marTop w:val="0"/>
          <w:marBottom w:val="0"/>
          <w:divBdr>
            <w:top w:val="none" w:sz="0" w:space="0" w:color="auto"/>
            <w:left w:val="none" w:sz="0" w:space="0" w:color="auto"/>
            <w:bottom w:val="none" w:sz="0" w:space="0" w:color="auto"/>
            <w:right w:val="none" w:sz="0" w:space="0" w:color="auto"/>
          </w:divBdr>
        </w:div>
        <w:div w:id="2025861958">
          <w:marLeft w:val="0"/>
          <w:marRight w:val="0"/>
          <w:marTop w:val="0"/>
          <w:marBottom w:val="0"/>
          <w:divBdr>
            <w:top w:val="none" w:sz="0" w:space="0" w:color="auto"/>
            <w:left w:val="none" w:sz="0" w:space="0" w:color="auto"/>
            <w:bottom w:val="none" w:sz="0" w:space="0" w:color="auto"/>
            <w:right w:val="none" w:sz="0" w:space="0" w:color="auto"/>
          </w:divBdr>
          <w:divsChild>
            <w:div w:id="1683429474">
              <w:marLeft w:val="0"/>
              <w:marRight w:val="0"/>
              <w:marTop w:val="0"/>
              <w:marBottom w:val="0"/>
              <w:divBdr>
                <w:top w:val="none" w:sz="0" w:space="0" w:color="auto"/>
                <w:left w:val="none" w:sz="0" w:space="0" w:color="auto"/>
                <w:bottom w:val="none" w:sz="0" w:space="0" w:color="auto"/>
                <w:right w:val="none" w:sz="0" w:space="0" w:color="auto"/>
              </w:divBdr>
              <w:divsChild>
                <w:div w:id="30058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8570">
      <w:bodyDiv w:val="1"/>
      <w:marLeft w:val="0"/>
      <w:marRight w:val="0"/>
      <w:marTop w:val="0"/>
      <w:marBottom w:val="0"/>
      <w:divBdr>
        <w:top w:val="none" w:sz="0" w:space="0" w:color="auto"/>
        <w:left w:val="none" w:sz="0" w:space="0" w:color="auto"/>
        <w:bottom w:val="none" w:sz="0" w:space="0" w:color="auto"/>
        <w:right w:val="none" w:sz="0" w:space="0" w:color="auto"/>
      </w:divBdr>
      <w:divsChild>
        <w:div w:id="1647124910">
          <w:marLeft w:val="0"/>
          <w:marRight w:val="0"/>
          <w:marTop w:val="0"/>
          <w:marBottom w:val="0"/>
          <w:divBdr>
            <w:top w:val="none" w:sz="0" w:space="0" w:color="auto"/>
            <w:left w:val="none" w:sz="0" w:space="0" w:color="auto"/>
            <w:bottom w:val="none" w:sz="0" w:space="0" w:color="auto"/>
            <w:right w:val="none" w:sz="0" w:space="0" w:color="auto"/>
          </w:divBdr>
          <w:divsChild>
            <w:div w:id="19497725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02774119">
      <w:bodyDiv w:val="1"/>
      <w:marLeft w:val="0"/>
      <w:marRight w:val="0"/>
      <w:marTop w:val="0"/>
      <w:marBottom w:val="0"/>
      <w:divBdr>
        <w:top w:val="none" w:sz="0" w:space="0" w:color="auto"/>
        <w:left w:val="none" w:sz="0" w:space="0" w:color="auto"/>
        <w:bottom w:val="none" w:sz="0" w:space="0" w:color="auto"/>
        <w:right w:val="none" w:sz="0" w:space="0" w:color="auto"/>
      </w:divBdr>
      <w:divsChild>
        <w:div w:id="580140748">
          <w:marLeft w:val="0"/>
          <w:marRight w:val="0"/>
          <w:marTop w:val="0"/>
          <w:marBottom w:val="0"/>
          <w:divBdr>
            <w:top w:val="none" w:sz="0" w:space="0" w:color="auto"/>
            <w:left w:val="none" w:sz="0" w:space="0" w:color="auto"/>
            <w:bottom w:val="dotted" w:sz="6" w:space="4" w:color="DDDDDD"/>
            <w:right w:val="none" w:sz="0" w:space="0" w:color="auto"/>
          </w:divBdr>
          <w:divsChild>
            <w:div w:id="163722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080959">
      <w:bodyDiv w:val="1"/>
      <w:marLeft w:val="0"/>
      <w:marRight w:val="0"/>
      <w:marTop w:val="0"/>
      <w:marBottom w:val="0"/>
      <w:divBdr>
        <w:top w:val="none" w:sz="0" w:space="0" w:color="auto"/>
        <w:left w:val="none" w:sz="0" w:space="0" w:color="auto"/>
        <w:bottom w:val="none" w:sz="0" w:space="0" w:color="auto"/>
        <w:right w:val="none" w:sz="0" w:space="0" w:color="auto"/>
      </w:divBdr>
      <w:divsChild>
        <w:div w:id="856968036">
          <w:marLeft w:val="0"/>
          <w:marRight w:val="0"/>
          <w:marTop w:val="0"/>
          <w:marBottom w:val="150"/>
          <w:divBdr>
            <w:top w:val="none" w:sz="0" w:space="0" w:color="auto"/>
            <w:left w:val="none" w:sz="0" w:space="0" w:color="auto"/>
            <w:bottom w:val="none" w:sz="0" w:space="0" w:color="auto"/>
            <w:right w:val="none" w:sz="0" w:space="0" w:color="auto"/>
          </w:divBdr>
        </w:div>
        <w:div w:id="1163472103">
          <w:marLeft w:val="0"/>
          <w:marRight w:val="0"/>
          <w:marTop w:val="0"/>
          <w:marBottom w:val="0"/>
          <w:divBdr>
            <w:top w:val="none" w:sz="0" w:space="0" w:color="auto"/>
            <w:left w:val="none" w:sz="0" w:space="0" w:color="auto"/>
            <w:bottom w:val="none" w:sz="0" w:space="0" w:color="auto"/>
            <w:right w:val="none" w:sz="0" w:space="0" w:color="auto"/>
          </w:divBdr>
          <w:divsChild>
            <w:div w:id="1582564681">
              <w:marLeft w:val="0"/>
              <w:marRight w:val="0"/>
              <w:marTop w:val="225"/>
              <w:marBottom w:val="225"/>
              <w:divBdr>
                <w:top w:val="none" w:sz="0" w:space="0" w:color="auto"/>
                <w:left w:val="none" w:sz="0" w:space="0" w:color="auto"/>
                <w:bottom w:val="none" w:sz="0" w:space="0" w:color="auto"/>
                <w:right w:val="none" w:sz="0" w:space="0" w:color="auto"/>
              </w:divBdr>
            </w:div>
          </w:divsChild>
        </w:div>
        <w:div w:id="1404990180">
          <w:marLeft w:val="0"/>
          <w:marRight w:val="0"/>
          <w:marTop w:val="0"/>
          <w:marBottom w:val="150"/>
          <w:divBdr>
            <w:top w:val="none" w:sz="0" w:space="0" w:color="auto"/>
            <w:left w:val="none" w:sz="0" w:space="0" w:color="auto"/>
            <w:bottom w:val="none" w:sz="0" w:space="0" w:color="auto"/>
            <w:right w:val="none" w:sz="0" w:space="0" w:color="auto"/>
          </w:divBdr>
          <w:divsChild>
            <w:div w:id="206258660">
              <w:marLeft w:val="0"/>
              <w:marRight w:val="0"/>
              <w:marTop w:val="0"/>
              <w:marBottom w:val="0"/>
              <w:divBdr>
                <w:top w:val="none" w:sz="0" w:space="0" w:color="auto"/>
                <w:left w:val="none" w:sz="0" w:space="0" w:color="auto"/>
                <w:bottom w:val="none" w:sz="0" w:space="0" w:color="auto"/>
                <w:right w:val="none" w:sz="0" w:space="0" w:color="auto"/>
              </w:divBdr>
              <w:divsChild>
                <w:div w:id="196071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350966">
      <w:bodyDiv w:val="1"/>
      <w:marLeft w:val="0"/>
      <w:marRight w:val="0"/>
      <w:marTop w:val="0"/>
      <w:marBottom w:val="0"/>
      <w:divBdr>
        <w:top w:val="none" w:sz="0" w:space="0" w:color="auto"/>
        <w:left w:val="none" w:sz="0" w:space="0" w:color="auto"/>
        <w:bottom w:val="none" w:sz="0" w:space="0" w:color="auto"/>
        <w:right w:val="none" w:sz="0" w:space="0" w:color="auto"/>
      </w:divBdr>
      <w:divsChild>
        <w:div w:id="658967434">
          <w:marLeft w:val="0"/>
          <w:marRight w:val="0"/>
          <w:marTop w:val="0"/>
          <w:marBottom w:val="0"/>
          <w:divBdr>
            <w:top w:val="none" w:sz="0" w:space="0" w:color="auto"/>
            <w:left w:val="none" w:sz="0" w:space="0" w:color="auto"/>
            <w:bottom w:val="dotted" w:sz="6" w:space="4" w:color="DDDDDD"/>
            <w:right w:val="none" w:sz="0" w:space="0" w:color="auto"/>
          </w:divBdr>
        </w:div>
      </w:divsChild>
    </w:div>
    <w:div w:id="803542028">
      <w:bodyDiv w:val="1"/>
      <w:marLeft w:val="0"/>
      <w:marRight w:val="0"/>
      <w:marTop w:val="0"/>
      <w:marBottom w:val="0"/>
      <w:divBdr>
        <w:top w:val="none" w:sz="0" w:space="0" w:color="auto"/>
        <w:left w:val="none" w:sz="0" w:space="0" w:color="auto"/>
        <w:bottom w:val="none" w:sz="0" w:space="0" w:color="auto"/>
        <w:right w:val="none" w:sz="0" w:space="0" w:color="auto"/>
      </w:divBdr>
      <w:divsChild>
        <w:div w:id="964312960">
          <w:marLeft w:val="0"/>
          <w:marRight w:val="0"/>
          <w:marTop w:val="0"/>
          <w:marBottom w:val="150"/>
          <w:divBdr>
            <w:top w:val="none" w:sz="0" w:space="0" w:color="auto"/>
            <w:left w:val="none" w:sz="0" w:space="0" w:color="auto"/>
            <w:bottom w:val="none" w:sz="0" w:space="0" w:color="auto"/>
            <w:right w:val="none" w:sz="0" w:space="0" w:color="auto"/>
          </w:divBdr>
        </w:div>
      </w:divsChild>
    </w:div>
    <w:div w:id="803813018">
      <w:bodyDiv w:val="1"/>
      <w:marLeft w:val="0"/>
      <w:marRight w:val="0"/>
      <w:marTop w:val="0"/>
      <w:marBottom w:val="0"/>
      <w:divBdr>
        <w:top w:val="none" w:sz="0" w:space="0" w:color="auto"/>
        <w:left w:val="none" w:sz="0" w:space="0" w:color="auto"/>
        <w:bottom w:val="none" w:sz="0" w:space="0" w:color="auto"/>
        <w:right w:val="none" w:sz="0" w:space="0" w:color="auto"/>
      </w:divBdr>
      <w:divsChild>
        <w:div w:id="310060032">
          <w:marLeft w:val="0"/>
          <w:marRight w:val="0"/>
          <w:marTop w:val="0"/>
          <w:marBottom w:val="0"/>
          <w:divBdr>
            <w:top w:val="none" w:sz="0" w:space="0" w:color="auto"/>
            <w:left w:val="none" w:sz="0" w:space="0" w:color="auto"/>
            <w:bottom w:val="none" w:sz="0" w:space="0" w:color="auto"/>
            <w:right w:val="none" w:sz="0" w:space="0" w:color="auto"/>
          </w:divBdr>
          <w:divsChild>
            <w:div w:id="52461547">
              <w:marLeft w:val="0"/>
              <w:marRight w:val="0"/>
              <w:marTop w:val="0"/>
              <w:marBottom w:val="0"/>
              <w:divBdr>
                <w:top w:val="none" w:sz="0" w:space="0" w:color="auto"/>
                <w:left w:val="none" w:sz="0" w:space="0" w:color="auto"/>
                <w:bottom w:val="none" w:sz="0" w:space="0" w:color="auto"/>
                <w:right w:val="none" w:sz="0" w:space="0" w:color="auto"/>
              </w:divBdr>
              <w:divsChild>
                <w:div w:id="1060176492">
                  <w:marLeft w:val="0"/>
                  <w:marRight w:val="0"/>
                  <w:marTop w:val="0"/>
                  <w:marBottom w:val="0"/>
                  <w:divBdr>
                    <w:top w:val="none" w:sz="0" w:space="0" w:color="auto"/>
                    <w:left w:val="none" w:sz="0" w:space="0" w:color="auto"/>
                    <w:bottom w:val="none" w:sz="0" w:space="0" w:color="auto"/>
                    <w:right w:val="none" w:sz="0" w:space="0" w:color="auto"/>
                  </w:divBdr>
                  <w:divsChild>
                    <w:div w:id="217134465">
                      <w:marLeft w:val="0"/>
                      <w:marRight w:val="0"/>
                      <w:marTop w:val="0"/>
                      <w:marBottom w:val="0"/>
                      <w:divBdr>
                        <w:top w:val="none" w:sz="0" w:space="0" w:color="auto"/>
                        <w:left w:val="none" w:sz="0" w:space="0" w:color="auto"/>
                        <w:bottom w:val="none" w:sz="0" w:space="0" w:color="auto"/>
                        <w:right w:val="none" w:sz="0" w:space="0" w:color="auto"/>
                      </w:divBdr>
                      <w:divsChild>
                        <w:div w:id="1486124944">
                          <w:marLeft w:val="0"/>
                          <w:marRight w:val="0"/>
                          <w:marTop w:val="0"/>
                          <w:marBottom w:val="0"/>
                          <w:divBdr>
                            <w:top w:val="none" w:sz="0" w:space="0" w:color="auto"/>
                            <w:left w:val="none" w:sz="0" w:space="0" w:color="auto"/>
                            <w:bottom w:val="none" w:sz="0" w:space="0" w:color="auto"/>
                            <w:right w:val="none" w:sz="0" w:space="0" w:color="auto"/>
                          </w:divBdr>
                          <w:divsChild>
                            <w:div w:id="838422753">
                              <w:marLeft w:val="0"/>
                              <w:marRight w:val="0"/>
                              <w:marTop w:val="0"/>
                              <w:marBottom w:val="0"/>
                              <w:divBdr>
                                <w:top w:val="none" w:sz="0" w:space="0" w:color="auto"/>
                                <w:left w:val="none" w:sz="0" w:space="0" w:color="auto"/>
                                <w:bottom w:val="none" w:sz="0" w:space="0" w:color="auto"/>
                                <w:right w:val="none" w:sz="0" w:space="0" w:color="auto"/>
                              </w:divBdr>
                              <w:divsChild>
                                <w:div w:id="799998704">
                                  <w:marLeft w:val="0"/>
                                  <w:marRight w:val="0"/>
                                  <w:marTop w:val="0"/>
                                  <w:marBottom w:val="0"/>
                                  <w:divBdr>
                                    <w:top w:val="none" w:sz="0" w:space="0" w:color="auto"/>
                                    <w:left w:val="none" w:sz="0" w:space="0" w:color="auto"/>
                                    <w:bottom w:val="none" w:sz="0" w:space="0" w:color="auto"/>
                                    <w:right w:val="none" w:sz="0" w:space="0" w:color="auto"/>
                                  </w:divBdr>
                                  <w:divsChild>
                                    <w:div w:id="139488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3816437">
      <w:bodyDiv w:val="1"/>
      <w:marLeft w:val="0"/>
      <w:marRight w:val="0"/>
      <w:marTop w:val="0"/>
      <w:marBottom w:val="0"/>
      <w:divBdr>
        <w:top w:val="none" w:sz="0" w:space="0" w:color="auto"/>
        <w:left w:val="none" w:sz="0" w:space="0" w:color="auto"/>
        <w:bottom w:val="none" w:sz="0" w:space="0" w:color="auto"/>
        <w:right w:val="none" w:sz="0" w:space="0" w:color="auto"/>
      </w:divBdr>
      <w:divsChild>
        <w:div w:id="220485829">
          <w:marLeft w:val="0"/>
          <w:marRight w:val="0"/>
          <w:marTop w:val="0"/>
          <w:marBottom w:val="0"/>
          <w:divBdr>
            <w:top w:val="none" w:sz="0" w:space="0" w:color="auto"/>
            <w:left w:val="none" w:sz="0" w:space="0" w:color="auto"/>
            <w:bottom w:val="dotted" w:sz="6" w:space="4" w:color="DDDDDD"/>
            <w:right w:val="none" w:sz="0" w:space="0" w:color="auto"/>
          </w:divBdr>
          <w:divsChild>
            <w:div w:id="202697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933864">
      <w:bodyDiv w:val="1"/>
      <w:marLeft w:val="0"/>
      <w:marRight w:val="0"/>
      <w:marTop w:val="0"/>
      <w:marBottom w:val="0"/>
      <w:divBdr>
        <w:top w:val="none" w:sz="0" w:space="0" w:color="auto"/>
        <w:left w:val="none" w:sz="0" w:space="0" w:color="auto"/>
        <w:bottom w:val="none" w:sz="0" w:space="0" w:color="auto"/>
        <w:right w:val="none" w:sz="0" w:space="0" w:color="auto"/>
      </w:divBdr>
      <w:divsChild>
        <w:div w:id="325136133">
          <w:marLeft w:val="0"/>
          <w:marRight w:val="0"/>
          <w:marTop w:val="0"/>
          <w:marBottom w:val="75"/>
          <w:divBdr>
            <w:top w:val="none" w:sz="0" w:space="0" w:color="auto"/>
            <w:left w:val="none" w:sz="0" w:space="0" w:color="auto"/>
            <w:bottom w:val="none" w:sz="0" w:space="0" w:color="auto"/>
            <w:right w:val="none" w:sz="0" w:space="0" w:color="auto"/>
          </w:divBdr>
        </w:div>
        <w:div w:id="1674333992">
          <w:marLeft w:val="0"/>
          <w:marRight w:val="0"/>
          <w:marTop w:val="0"/>
          <w:marBottom w:val="300"/>
          <w:divBdr>
            <w:top w:val="none" w:sz="0" w:space="0" w:color="auto"/>
            <w:left w:val="none" w:sz="0" w:space="0" w:color="auto"/>
            <w:bottom w:val="none" w:sz="0" w:space="0" w:color="auto"/>
            <w:right w:val="none" w:sz="0" w:space="0" w:color="auto"/>
          </w:divBdr>
          <w:divsChild>
            <w:div w:id="1964924263">
              <w:marLeft w:val="0"/>
              <w:marRight w:val="0"/>
              <w:marTop w:val="0"/>
              <w:marBottom w:val="0"/>
              <w:divBdr>
                <w:top w:val="none" w:sz="0" w:space="0" w:color="auto"/>
                <w:left w:val="none" w:sz="0" w:space="0" w:color="auto"/>
                <w:bottom w:val="none" w:sz="0" w:space="0" w:color="auto"/>
                <w:right w:val="none" w:sz="0" w:space="0" w:color="auto"/>
              </w:divBdr>
            </w:div>
          </w:divsChild>
        </w:div>
        <w:div w:id="1786147709">
          <w:marLeft w:val="0"/>
          <w:marRight w:val="0"/>
          <w:marTop w:val="0"/>
          <w:marBottom w:val="0"/>
          <w:divBdr>
            <w:top w:val="none" w:sz="0" w:space="0" w:color="auto"/>
            <w:left w:val="none" w:sz="0" w:space="0" w:color="auto"/>
            <w:bottom w:val="none" w:sz="0" w:space="0" w:color="auto"/>
            <w:right w:val="none" w:sz="0" w:space="0" w:color="auto"/>
          </w:divBdr>
          <w:divsChild>
            <w:div w:id="1528522278">
              <w:marLeft w:val="0"/>
              <w:marRight w:val="0"/>
              <w:marTop w:val="0"/>
              <w:marBottom w:val="0"/>
              <w:divBdr>
                <w:top w:val="none" w:sz="0" w:space="0" w:color="auto"/>
                <w:left w:val="none" w:sz="0" w:space="0" w:color="auto"/>
                <w:bottom w:val="none" w:sz="0" w:space="0" w:color="auto"/>
                <w:right w:val="none" w:sz="0" w:space="0" w:color="auto"/>
              </w:divBdr>
              <w:divsChild>
                <w:div w:id="854853795">
                  <w:marLeft w:val="0"/>
                  <w:marRight w:val="0"/>
                  <w:marTop w:val="0"/>
                  <w:marBottom w:val="150"/>
                  <w:divBdr>
                    <w:top w:val="none" w:sz="0" w:space="0" w:color="auto"/>
                    <w:left w:val="none" w:sz="0" w:space="0" w:color="auto"/>
                    <w:bottom w:val="none" w:sz="0" w:space="0" w:color="auto"/>
                    <w:right w:val="none" w:sz="0" w:space="0" w:color="auto"/>
                  </w:divBdr>
                  <w:divsChild>
                    <w:div w:id="1296373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7428429">
          <w:marLeft w:val="0"/>
          <w:marRight w:val="0"/>
          <w:marTop w:val="0"/>
          <w:marBottom w:val="0"/>
          <w:divBdr>
            <w:top w:val="none" w:sz="0" w:space="0" w:color="auto"/>
            <w:left w:val="none" w:sz="0" w:space="0" w:color="auto"/>
            <w:bottom w:val="none" w:sz="0" w:space="0" w:color="auto"/>
            <w:right w:val="none" w:sz="0" w:space="0" w:color="auto"/>
          </w:divBdr>
          <w:divsChild>
            <w:div w:id="240915217">
              <w:marLeft w:val="0"/>
              <w:marRight w:val="0"/>
              <w:marTop w:val="0"/>
              <w:marBottom w:val="0"/>
              <w:divBdr>
                <w:top w:val="none" w:sz="0" w:space="0" w:color="auto"/>
                <w:left w:val="none" w:sz="0" w:space="0" w:color="auto"/>
                <w:bottom w:val="none" w:sz="0" w:space="0" w:color="auto"/>
                <w:right w:val="none" w:sz="0" w:space="0" w:color="auto"/>
              </w:divBdr>
              <w:divsChild>
                <w:div w:id="68907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396562">
      <w:bodyDiv w:val="1"/>
      <w:marLeft w:val="0"/>
      <w:marRight w:val="0"/>
      <w:marTop w:val="0"/>
      <w:marBottom w:val="0"/>
      <w:divBdr>
        <w:top w:val="none" w:sz="0" w:space="0" w:color="auto"/>
        <w:left w:val="none" w:sz="0" w:space="0" w:color="auto"/>
        <w:bottom w:val="none" w:sz="0" w:space="0" w:color="auto"/>
        <w:right w:val="none" w:sz="0" w:space="0" w:color="auto"/>
      </w:divBdr>
    </w:div>
    <w:div w:id="804397629">
      <w:bodyDiv w:val="1"/>
      <w:marLeft w:val="0"/>
      <w:marRight w:val="0"/>
      <w:marTop w:val="0"/>
      <w:marBottom w:val="0"/>
      <w:divBdr>
        <w:top w:val="none" w:sz="0" w:space="0" w:color="auto"/>
        <w:left w:val="none" w:sz="0" w:space="0" w:color="auto"/>
        <w:bottom w:val="none" w:sz="0" w:space="0" w:color="auto"/>
        <w:right w:val="none" w:sz="0" w:space="0" w:color="auto"/>
      </w:divBdr>
    </w:div>
    <w:div w:id="804466549">
      <w:bodyDiv w:val="1"/>
      <w:marLeft w:val="0"/>
      <w:marRight w:val="0"/>
      <w:marTop w:val="0"/>
      <w:marBottom w:val="0"/>
      <w:divBdr>
        <w:top w:val="none" w:sz="0" w:space="0" w:color="auto"/>
        <w:left w:val="none" w:sz="0" w:space="0" w:color="auto"/>
        <w:bottom w:val="none" w:sz="0" w:space="0" w:color="auto"/>
        <w:right w:val="none" w:sz="0" w:space="0" w:color="auto"/>
      </w:divBdr>
      <w:divsChild>
        <w:div w:id="669404997">
          <w:marLeft w:val="0"/>
          <w:marRight w:val="0"/>
          <w:marTop w:val="0"/>
          <w:marBottom w:val="0"/>
          <w:divBdr>
            <w:top w:val="none" w:sz="0" w:space="0" w:color="auto"/>
            <w:left w:val="none" w:sz="0" w:space="0" w:color="auto"/>
            <w:bottom w:val="none" w:sz="0" w:space="0" w:color="auto"/>
            <w:right w:val="none" w:sz="0" w:space="0" w:color="auto"/>
          </w:divBdr>
          <w:divsChild>
            <w:div w:id="1366753301">
              <w:marLeft w:val="0"/>
              <w:marRight w:val="0"/>
              <w:marTop w:val="0"/>
              <w:marBottom w:val="0"/>
              <w:divBdr>
                <w:top w:val="none" w:sz="0" w:space="0" w:color="auto"/>
                <w:left w:val="none" w:sz="0" w:space="0" w:color="auto"/>
                <w:bottom w:val="none" w:sz="0" w:space="0" w:color="auto"/>
                <w:right w:val="none" w:sz="0" w:space="0" w:color="auto"/>
              </w:divBdr>
              <w:divsChild>
                <w:div w:id="565264587">
                  <w:marLeft w:val="0"/>
                  <w:marRight w:val="0"/>
                  <w:marTop w:val="0"/>
                  <w:marBottom w:val="0"/>
                  <w:divBdr>
                    <w:top w:val="none" w:sz="0" w:space="0" w:color="auto"/>
                    <w:left w:val="none" w:sz="0" w:space="0" w:color="auto"/>
                    <w:bottom w:val="none" w:sz="0" w:space="0" w:color="auto"/>
                    <w:right w:val="none" w:sz="0" w:space="0" w:color="auto"/>
                  </w:divBdr>
                  <w:divsChild>
                    <w:div w:id="640233603">
                      <w:marLeft w:val="0"/>
                      <w:marRight w:val="0"/>
                      <w:marTop w:val="0"/>
                      <w:marBottom w:val="0"/>
                      <w:divBdr>
                        <w:top w:val="none" w:sz="0" w:space="0" w:color="auto"/>
                        <w:left w:val="none" w:sz="0" w:space="0" w:color="auto"/>
                        <w:bottom w:val="none" w:sz="0" w:space="0" w:color="auto"/>
                        <w:right w:val="none" w:sz="0" w:space="0" w:color="auto"/>
                      </w:divBdr>
                      <w:divsChild>
                        <w:div w:id="1520580086">
                          <w:marLeft w:val="0"/>
                          <w:marRight w:val="0"/>
                          <w:marTop w:val="0"/>
                          <w:marBottom w:val="0"/>
                          <w:divBdr>
                            <w:top w:val="none" w:sz="0" w:space="0" w:color="auto"/>
                            <w:left w:val="none" w:sz="0" w:space="0" w:color="auto"/>
                            <w:bottom w:val="none" w:sz="0" w:space="0" w:color="auto"/>
                            <w:right w:val="none" w:sz="0" w:space="0" w:color="auto"/>
                          </w:divBdr>
                          <w:divsChild>
                            <w:div w:id="823739382">
                              <w:marLeft w:val="0"/>
                              <w:marRight w:val="0"/>
                              <w:marTop w:val="0"/>
                              <w:marBottom w:val="0"/>
                              <w:divBdr>
                                <w:top w:val="none" w:sz="0" w:space="0" w:color="auto"/>
                                <w:left w:val="none" w:sz="0" w:space="0" w:color="auto"/>
                                <w:bottom w:val="none" w:sz="0" w:space="0" w:color="auto"/>
                                <w:right w:val="none" w:sz="0" w:space="0" w:color="auto"/>
                              </w:divBdr>
                              <w:divsChild>
                                <w:div w:id="1275986819">
                                  <w:marLeft w:val="0"/>
                                  <w:marRight w:val="0"/>
                                  <w:marTop w:val="0"/>
                                  <w:marBottom w:val="0"/>
                                  <w:divBdr>
                                    <w:top w:val="none" w:sz="0" w:space="0" w:color="auto"/>
                                    <w:left w:val="none" w:sz="0" w:space="0" w:color="auto"/>
                                    <w:bottom w:val="none" w:sz="0" w:space="0" w:color="auto"/>
                                    <w:right w:val="none" w:sz="0" w:space="0" w:color="auto"/>
                                  </w:divBdr>
                                  <w:divsChild>
                                    <w:div w:id="691490660">
                                      <w:marLeft w:val="0"/>
                                      <w:marRight w:val="0"/>
                                      <w:marTop w:val="0"/>
                                      <w:marBottom w:val="0"/>
                                      <w:divBdr>
                                        <w:top w:val="none" w:sz="0" w:space="0" w:color="auto"/>
                                        <w:left w:val="none" w:sz="0" w:space="0" w:color="auto"/>
                                        <w:bottom w:val="none" w:sz="0" w:space="0" w:color="auto"/>
                                        <w:right w:val="none" w:sz="0" w:space="0" w:color="auto"/>
                                      </w:divBdr>
                                      <w:divsChild>
                                        <w:div w:id="200712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4665367">
      <w:bodyDiv w:val="1"/>
      <w:marLeft w:val="0"/>
      <w:marRight w:val="0"/>
      <w:marTop w:val="0"/>
      <w:marBottom w:val="0"/>
      <w:divBdr>
        <w:top w:val="none" w:sz="0" w:space="0" w:color="auto"/>
        <w:left w:val="none" w:sz="0" w:space="0" w:color="auto"/>
        <w:bottom w:val="none" w:sz="0" w:space="0" w:color="auto"/>
        <w:right w:val="none" w:sz="0" w:space="0" w:color="auto"/>
      </w:divBdr>
      <w:divsChild>
        <w:div w:id="419647638">
          <w:marLeft w:val="0"/>
          <w:marRight w:val="0"/>
          <w:marTop w:val="0"/>
          <w:marBottom w:val="0"/>
          <w:divBdr>
            <w:top w:val="none" w:sz="0" w:space="0" w:color="auto"/>
            <w:left w:val="none" w:sz="0" w:space="0" w:color="auto"/>
            <w:bottom w:val="none" w:sz="0" w:space="0" w:color="auto"/>
            <w:right w:val="none" w:sz="0" w:space="0" w:color="auto"/>
          </w:divBdr>
        </w:div>
      </w:divsChild>
    </w:div>
    <w:div w:id="804784092">
      <w:bodyDiv w:val="1"/>
      <w:marLeft w:val="0"/>
      <w:marRight w:val="0"/>
      <w:marTop w:val="0"/>
      <w:marBottom w:val="0"/>
      <w:divBdr>
        <w:top w:val="none" w:sz="0" w:space="0" w:color="auto"/>
        <w:left w:val="none" w:sz="0" w:space="0" w:color="auto"/>
        <w:bottom w:val="none" w:sz="0" w:space="0" w:color="auto"/>
        <w:right w:val="none" w:sz="0" w:space="0" w:color="auto"/>
      </w:divBdr>
      <w:divsChild>
        <w:div w:id="232129591">
          <w:marLeft w:val="0"/>
          <w:marRight w:val="0"/>
          <w:marTop w:val="0"/>
          <w:marBottom w:val="150"/>
          <w:divBdr>
            <w:top w:val="none" w:sz="0" w:space="0" w:color="auto"/>
            <w:left w:val="none" w:sz="0" w:space="0" w:color="auto"/>
            <w:bottom w:val="none" w:sz="0" w:space="0" w:color="auto"/>
            <w:right w:val="none" w:sz="0" w:space="0" w:color="auto"/>
          </w:divBdr>
        </w:div>
      </w:divsChild>
    </w:div>
    <w:div w:id="804931436">
      <w:bodyDiv w:val="1"/>
      <w:marLeft w:val="0"/>
      <w:marRight w:val="0"/>
      <w:marTop w:val="0"/>
      <w:marBottom w:val="0"/>
      <w:divBdr>
        <w:top w:val="none" w:sz="0" w:space="0" w:color="auto"/>
        <w:left w:val="none" w:sz="0" w:space="0" w:color="auto"/>
        <w:bottom w:val="none" w:sz="0" w:space="0" w:color="auto"/>
        <w:right w:val="none" w:sz="0" w:space="0" w:color="auto"/>
      </w:divBdr>
      <w:divsChild>
        <w:div w:id="1415006324">
          <w:marLeft w:val="0"/>
          <w:marRight w:val="0"/>
          <w:marTop w:val="0"/>
          <w:marBottom w:val="0"/>
          <w:divBdr>
            <w:top w:val="none" w:sz="0" w:space="0" w:color="auto"/>
            <w:left w:val="none" w:sz="0" w:space="0" w:color="auto"/>
            <w:bottom w:val="none" w:sz="0" w:space="0" w:color="auto"/>
            <w:right w:val="none" w:sz="0" w:space="0" w:color="auto"/>
          </w:divBdr>
        </w:div>
      </w:divsChild>
    </w:div>
    <w:div w:id="805703659">
      <w:bodyDiv w:val="1"/>
      <w:marLeft w:val="0"/>
      <w:marRight w:val="0"/>
      <w:marTop w:val="0"/>
      <w:marBottom w:val="0"/>
      <w:divBdr>
        <w:top w:val="none" w:sz="0" w:space="0" w:color="auto"/>
        <w:left w:val="none" w:sz="0" w:space="0" w:color="auto"/>
        <w:bottom w:val="none" w:sz="0" w:space="0" w:color="auto"/>
        <w:right w:val="none" w:sz="0" w:space="0" w:color="auto"/>
      </w:divBdr>
      <w:divsChild>
        <w:div w:id="1993869961">
          <w:marLeft w:val="0"/>
          <w:marRight w:val="0"/>
          <w:marTop w:val="0"/>
          <w:marBottom w:val="0"/>
          <w:divBdr>
            <w:top w:val="none" w:sz="0" w:space="0" w:color="auto"/>
            <w:left w:val="none" w:sz="0" w:space="0" w:color="auto"/>
            <w:bottom w:val="none" w:sz="0" w:space="0" w:color="auto"/>
            <w:right w:val="none" w:sz="0" w:space="0" w:color="auto"/>
          </w:divBdr>
        </w:div>
      </w:divsChild>
    </w:div>
    <w:div w:id="805709257">
      <w:bodyDiv w:val="1"/>
      <w:marLeft w:val="0"/>
      <w:marRight w:val="0"/>
      <w:marTop w:val="0"/>
      <w:marBottom w:val="0"/>
      <w:divBdr>
        <w:top w:val="none" w:sz="0" w:space="0" w:color="auto"/>
        <w:left w:val="none" w:sz="0" w:space="0" w:color="auto"/>
        <w:bottom w:val="none" w:sz="0" w:space="0" w:color="auto"/>
        <w:right w:val="none" w:sz="0" w:space="0" w:color="auto"/>
      </w:divBdr>
      <w:divsChild>
        <w:div w:id="939336814">
          <w:marLeft w:val="0"/>
          <w:marRight w:val="0"/>
          <w:marTop w:val="0"/>
          <w:marBottom w:val="150"/>
          <w:divBdr>
            <w:top w:val="none" w:sz="0" w:space="0" w:color="auto"/>
            <w:left w:val="none" w:sz="0" w:space="0" w:color="auto"/>
            <w:bottom w:val="none" w:sz="0" w:space="0" w:color="auto"/>
            <w:right w:val="none" w:sz="0" w:space="0" w:color="auto"/>
          </w:divBdr>
        </w:div>
      </w:divsChild>
    </w:div>
    <w:div w:id="805900756">
      <w:bodyDiv w:val="1"/>
      <w:marLeft w:val="0"/>
      <w:marRight w:val="0"/>
      <w:marTop w:val="0"/>
      <w:marBottom w:val="0"/>
      <w:divBdr>
        <w:top w:val="none" w:sz="0" w:space="0" w:color="auto"/>
        <w:left w:val="none" w:sz="0" w:space="0" w:color="auto"/>
        <w:bottom w:val="none" w:sz="0" w:space="0" w:color="auto"/>
        <w:right w:val="none" w:sz="0" w:space="0" w:color="auto"/>
      </w:divBdr>
      <w:divsChild>
        <w:div w:id="645400027">
          <w:marLeft w:val="0"/>
          <w:marRight w:val="0"/>
          <w:marTop w:val="0"/>
          <w:marBottom w:val="0"/>
          <w:divBdr>
            <w:top w:val="none" w:sz="0" w:space="0" w:color="auto"/>
            <w:left w:val="none" w:sz="0" w:space="0" w:color="auto"/>
            <w:bottom w:val="none" w:sz="0" w:space="0" w:color="auto"/>
            <w:right w:val="none" w:sz="0" w:space="0" w:color="auto"/>
          </w:divBdr>
          <w:divsChild>
            <w:div w:id="1537085145">
              <w:marLeft w:val="0"/>
              <w:marRight w:val="0"/>
              <w:marTop w:val="0"/>
              <w:marBottom w:val="0"/>
              <w:divBdr>
                <w:top w:val="none" w:sz="0" w:space="0" w:color="auto"/>
                <w:left w:val="none" w:sz="0" w:space="0" w:color="auto"/>
                <w:bottom w:val="none" w:sz="0" w:space="0" w:color="auto"/>
                <w:right w:val="none" w:sz="0" w:space="0" w:color="auto"/>
              </w:divBdr>
            </w:div>
          </w:divsChild>
        </w:div>
        <w:div w:id="865363771">
          <w:marLeft w:val="0"/>
          <w:marRight w:val="0"/>
          <w:marTop w:val="0"/>
          <w:marBottom w:val="150"/>
          <w:divBdr>
            <w:top w:val="none" w:sz="0" w:space="0" w:color="auto"/>
            <w:left w:val="none" w:sz="0" w:space="0" w:color="auto"/>
            <w:bottom w:val="none" w:sz="0" w:space="0" w:color="auto"/>
            <w:right w:val="none" w:sz="0" w:space="0" w:color="auto"/>
          </w:divBdr>
          <w:divsChild>
            <w:div w:id="1131942925">
              <w:marLeft w:val="0"/>
              <w:marRight w:val="0"/>
              <w:marTop w:val="0"/>
              <w:marBottom w:val="0"/>
              <w:divBdr>
                <w:top w:val="none" w:sz="0" w:space="0" w:color="auto"/>
                <w:left w:val="none" w:sz="0" w:space="0" w:color="auto"/>
                <w:bottom w:val="none" w:sz="0" w:space="0" w:color="auto"/>
                <w:right w:val="none" w:sz="0" w:space="0" w:color="auto"/>
              </w:divBdr>
            </w:div>
          </w:divsChild>
        </w:div>
        <w:div w:id="1731340309">
          <w:marLeft w:val="0"/>
          <w:marRight w:val="0"/>
          <w:marTop w:val="0"/>
          <w:marBottom w:val="150"/>
          <w:divBdr>
            <w:top w:val="none" w:sz="0" w:space="0" w:color="auto"/>
            <w:left w:val="none" w:sz="0" w:space="0" w:color="auto"/>
            <w:bottom w:val="none" w:sz="0" w:space="0" w:color="auto"/>
            <w:right w:val="none" w:sz="0" w:space="0" w:color="auto"/>
          </w:divBdr>
        </w:div>
      </w:divsChild>
    </w:div>
    <w:div w:id="806052178">
      <w:bodyDiv w:val="1"/>
      <w:marLeft w:val="0"/>
      <w:marRight w:val="0"/>
      <w:marTop w:val="0"/>
      <w:marBottom w:val="0"/>
      <w:divBdr>
        <w:top w:val="none" w:sz="0" w:space="0" w:color="auto"/>
        <w:left w:val="none" w:sz="0" w:space="0" w:color="auto"/>
        <w:bottom w:val="none" w:sz="0" w:space="0" w:color="auto"/>
        <w:right w:val="none" w:sz="0" w:space="0" w:color="auto"/>
      </w:divBdr>
      <w:divsChild>
        <w:div w:id="1296373686">
          <w:marLeft w:val="0"/>
          <w:marRight w:val="0"/>
          <w:marTop w:val="0"/>
          <w:marBottom w:val="225"/>
          <w:divBdr>
            <w:top w:val="single" w:sz="6" w:space="11" w:color="E5E5E5"/>
            <w:left w:val="single" w:sz="6" w:space="11" w:color="E5E5E5"/>
            <w:bottom w:val="single" w:sz="6" w:space="1" w:color="E5E5E5"/>
            <w:right w:val="single" w:sz="6" w:space="11" w:color="E5E5E5"/>
          </w:divBdr>
          <w:divsChild>
            <w:div w:id="15930902">
              <w:marLeft w:val="0"/>
              <w:marRight w:val="0"/>
              <w:marTop w:val="0"/>
              <w:marBottom w:val="0"/>
              <w:divBdr>
                <w:top w:val="none" w:sz="0" w:space="0" w:color="auto"/>
                <w:left w:val="none" w:sz="0" w:space="0" w:color="auto"/>
                <w:bottom w:val="none" w:sz="0" w:space="0" w:color="auto"/>
                <w:right w:val="none" w:sz="0" w:space="0" w:color="auto"/>
              </w:divBdr>
              <w:divsChild>
                <w:div w:id="1855025497">
                  <w:marLeft w:val="0"/>
                  <w:marRight w:val="0"/>
                  <w:marTop w:val="0"/>
                  <w:marBottom w:val="0"/>
                  <w:divBdr>
                    <w:top w:val="none" w:sz="0" w:space="0" w:color="auto"/>
                    <w:left w:val="none" w:sz="0" w:space="0" w:color="auto"/>
                    <w:bottom w:val="none" w:sz="0" w:space="0" w:color="auto"/>
                    <w:right w:val="none" w:sz="0" w:space="0" w:color="auto"/>
                  </w:divBdr>
                </w:div>
              </w:divsChild>
            </w:div>
            <w:div w:id="44554327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 w:id="806361332">
      <w:bodyDiv w:val="1"/>
      <w:marLeft w:val="0"/>
      <w:marRight w:val="0"/>
      <w:marTop w:val="0"/>
      <w:marBottom w:val="0"/>
      <w:divBdr>
        <w:top w:val="none" w:sz="0" w:space="0" w:color="auto"/>
        <w:left w:val="none" w:sz="0" w:space="0" w:color="auto"/>
        <w:bottom w:val="none" w:sz="0" w:space="0" w:color="auto"/>
        <w:right w:val="none" w:sz="0" w:space="0" w:color="auto"/>
      </w:divBdr>
      <w:divsChild>
        <w:div w:id="167789961">
          <w:marLeft w:val="0"/>
          <w:marRight w:val="0"/>
          <w:marTop w:val="0"/>
          <w:marBottom w:val="150"/>
          <w:divBdr>
            <w:top w:val="none" w:sz="0" w:space="0" w:color="auto"/>
            <w:left w:val="none" w:sz="0" w:space="0" w:color="auto"/>
            <w:bottom w:val="none" w:sz="0" w:space="0" w:color="auto"/>
            <w:right w:val="none" w:sz="0" w:space="0" w:color="auto"/>
          </w:divBdr>
        </w:div>
      </w:divsChild>
    </w:div>
    <w:div w:id="806630462">
      <w:bodyDiv w:val="1"/>
      <w:marLeft w:val="0"/>
      <w:marRight w:val="0"/>
      <w:marTop w:val="0"/>
      <w:marBottom w:val="0"/>
      <w:divBdr>
        <w:top w:val="none" w:sz="0" w:space="0" w:color="auto"/>
        <w:left w:val="none" w:sz="0" w:space="0" w:color="auto"/>
        <w:bottom w:val="none" w:sz="0" w:space="0" w:color="auto"/>
        <w:right w:val="none" w:sz="0" w:space="0" w:color="auto"/>
      </w:divBdr>
      <w:divsChild>
        <w:div w:id="254637075">
          <w:marLeft w:val="0"/>
          <w:marRight w:val="0"/>
          <w:marTop w:val="0"/>
          <w:marBottom w:val="150"/>
          <w:divBdr>
            <w:top w:val="none" w:sz="0" w:space="0" w:color="auto"/>
            <w:left w:val="none" w:sz="0" w:space="0" w:color="auto"/>
            <w:bottom w:val="none" w:sz="0" w:space="0" w:color="auto"/>
            <w:right w:val="none" w:sz="0" w:space="0" w:color="auto"/>
          </w:divBdr>
        </w:div>
      </w:divsChild>
    </w:div>
    <w:div w:id="806820788">
      <w:bodyDiv w:val="1"/>
      <w:marLeft w:val="0"/>
      <w:marRight w:val="0"/>
      <w:marTop w:val="0"/>
      <w:marBottom w:val="0"/>
      <w:divBdr>
        <w:top w:val="none" w:sz="0" w:space="0" w:color="auto"/>
        <w:left w:val="none" w:sz="0" w:space="0" w:color="auto"/>
        <w:bottom w:val="none" w:sz="0" w:space="0" w:color="auto"/>
        <w:right w:val="none" w:sz="0" w:space="0" w:color="auto"/>
      </w:divBdr>
      <w:divsChild>
        <w:div w:id="1715082329">
          <w:marLeft w:val="0"/>
          <w:marRight w:val="0"/>
          <w:marTop w:val="0"/>
          <w:marBottom w:val="0"/>
          <w:divBdr>
            <w:top w:val="none" w:sz="0" w:space="0" w:color="auto"/>
            <w:left w:val="none" w:sz="0" w:space="0" w:color="auto"/>
            <w:bottom w:val="none" w:sz="0" w:space="0" w:color="auto"/>
            <w:right w:val="none" w:sz="0" w:space="0" w:color="auto"/>
          </w:divBdr>
          <w:divsChild>
            <w:div w:id="1016076983">
              <w:marLeft w:val="0"/>
              <w:marRight w:val="0"/>
              <w:marTop w:val="0"/>
              <w:marBottom w:val="0"/>
              <w:divBdr>
                <w:top w:val="none" w:sz="0" w:space="0" w:color="auto"/>
                <w:left w:val="none" w:sz="0" w:space="0" w:color="auto"/>
                <w:bottom w:val="none" w:sz="0" w:space="0" w:color="auto"/>
                <w:right w:val="none" w:sz="0" w:space="0" w:color="auto"/>
              </w:divBdr>
              <w:divsChild>
                <w:div w:id="381295352">
                  <w:marLeft w:val="0"/>
                  <w:marRight w:val="0"/>
                  <w:marTop w:val="0"/>
                  <w:marBottom w:val="0"/>
                  <w:divBdr>
                    <w:top w:val="none" w:sz="0" w:space="0" w:color="auto"/>
                    <w:left w:val="none" w:sz="0" w:space="0" w:color="auto"/>
                    <w:bottom w:val="none" w:sz="0" w:space="0" w:color="auto"/>
                    <w:right w:val="none" w:sz="0" w:space="0" w:color="auto"/>
                  </w:divBdr>
                  <w:divsChild>
                    <w:div w:id="1312950914">
                      <w:marLeft w:val="0"/>
                      <w:marRight w:val="0"/>
                      <w:marTop w:val="0"/>
                      <w:marBottom w:val="0"/>
                      <w:divBdr>
                        <w:top w:val="none" w:sz="0" w:space="0" w:color="auto"/>
                        <w:left w:val="none" w:sz="0" w:space="0" w:color="auto"/>
                        <w:bottom w:val="none" w:sz="0" w:space="0" w:color="auto"/>
                        <w:right w:val="none" w:sz="0" w:space="0" w:color="auto"/>
                      </w:divBdr>
                      <w:divsChild>
                        <w:div w:id="238293806">
                          <w:marLeft w:val="0"/>
                          <w:marRight w:val="0"/>
                          <w:marTop w:val="0"/>
                          <w:marBottom w:val="0"/>
                          <w:divBdr>
                            <w:top w:val="none" w:sz="0" w:space="0" w:color="auto"/>
                            <w:left w:val="none" w:sz="0" w:space="0" w:color="auto"/>
                            <w:bottom w:val="none" w:sz="0" w:space="0" w:color="auto"/>
                            <w:right w:val="none" w:sz="0" w:space="0" w:color="auto"/>
                          </w:divBdr>
                          <w:divsChild>
                            <w:div w:id="2071423284">
                              <w:marLeft w:val="0"/>
                              <w:marRight w:val="0"/>
                              <w:marTop w:val="0"/>
                              <w:marBottom w:val="0"/>
                              <w:divBdr>
                                <w:top w:val="none" w:sz="0" w:space="0" w:color="auto"/>
                                <w:left w:val="none" w:sz="0" w:space="0" w:color="auto"/>
                                <w:bottom w:val="none" w:sz="0" w:space="0" w:color="auto"/>
                                <w:right w:val="none" w:sz="0" w:space="0" w:color="auto"/>
                              </w:divBdr>
                              <w:divsChild>
                                <w:div w:id="2081295240">
                                  <w:marLeft w:val="0"/>
                                  <w:marRight w:val="0"/>
                                  <w:marTop w:val="0"/>
                                  <w:marBottom w:val="0"/>
                                  <w:divBdr>
                                    <w:top w:val="none" w:sz="0" w:space="0" w:color="auto"/>
                                    <w:left w:val="none" w:sz="0" w:space="0" w:color="auto"/>
                                    <w:bottom w:val="none" w:sz="0" w:space="0" w:color="auto"/>
                                    <w:right w:val="none" w:sz="0" w:space="0" w:color="auto"/>
                                  </w:divBdr>
                                  <w:divsChild>
                                    <w:div w:id="582304919">
                                      <w:marLeft w:val="0"/>
                                      <w:marRight w:val="0"/>
                                      <w:marTop w:val="0"/>
                                      <w:marBottom w:val="0"/>
                                      <w:divBdr>
                                        <w:top w:val="none" w:sz="0" w:space="0" w:color="auto"/>
                                        <w:left w:val="none" w:sz="0" w:space="0" w:color="auto"/>
                                        <w:bottom w:val="none" w:sz="0" w:space="0" w:color="auto"/>
                                        <w:right w:val="none" w:sz="0" w:space="0" w:color="auto"/>
                                      </w:divBdr>
                                      <w:divsChild>
                                        <w:div w:id="196715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6901076">
      <w:bodyDiv w:val="1"/>
      <w:marLeft w:val="0"/>
      <w:marRight w:val="0"/>
      <w:marTop w:val="0"/>
      <w:marBottom w:val="0"/>
      <w:divBdr>
        <w:top w:val="none" w:sz="0" w:space="0" w:color="auto"/>
        <w:left w:val="none" w:sz="0" w:space="0" w:color="auto"/>
        <w:bottom w:val="none" w:sz="0" w:space="0" w:color="auto"/>
        <w:right w:val="none" w:sz="0" w:space="0" w:color="auto"/>
      </w:divBdr>
    </w:div>
    <w:div w:id="807094986">
      <w:bodyDiv w:val="1"/>
      <w:marLeft w:val="0"/>
      <w:marRight w:val="0"/>
      <w:marTop w:val="0"/>
      <w:marBottom w:val="0"/>
      <w:divBdr>
        <w:top w:val="none" w:sz="0" w:space="0" w:color="auto"/>
        <w:left w:val="none" w:sz="0" w:space="0" w:color="auto"/>
        <w:bottom w:val="none" w:sz="0" w:space="0" w:color="auto"/>
        <w:right w:val="none" w:sz="0" w:space="0" w:color="auto"/>
      </w:divBdr>
      <w:divsChild>
        <w:div w:id="1153982409">
          <w:marLeft w:val="0"/>
          <w:marRight w:val="0"/>
          <w:marTop w:val="0"/>
          <w:marBottom w:val="150"/>
          <w:divBdr>
            <w:top w:val="none" w:sz="0" w:space="0" w:color="auto"/>
            <w:left w:val="none" w:sz="0" w:space="0" w:color="auto"/>
            <w:bottom w:val="none" w:sz="0" w:space="0" w:color="auto"/>
            <w:right w:val="none" w:sz="0" w:space="0" w:color="auto"/>
          </w:divBdr>
          <w:divsChild>
            <w:div w:id="960499451">
              <w:marLeft w:val="0"/>
              <w:marRight w:val="0"/>
              <w:marTop w:val="0"/>
              <w:marBottom w:val="0"/>
              <w:divBdr>
                <w:top w:val="none" w:sz="0" w:space="0" w:color="auto"/>
                <w:left w:val="none" w:sz="0" w:space="0" w:color="auto"/>
                <w:bottom w:val="none" w:sz="0" w:space="0" w:color="auto"/>
                <w:right w:val="none" w:sz="0" w:space="0" w:color="auto"/>
              </w:divBdr>
            </w:div>
          </w:divsChild>
        </w:div>
        <w:div w:id="1226141048">
          <w:marLeft w:val="0"/>
          <w:marRight w:val="0"/>
          <w:marTop w:val="0"/>
          <w:marBottom w:val="150"/>
          <w:divBdr>
            <w:top w:val="none" w:sz="0" w:space="0" w:color="auto"/>
            <w:left w:val="none" w:sz="0" w:space="0" w:color="auto"/>
            <w:bottom w:val="none" w:sz="0" w:space="0" w:color="auto"/>
            <w:right w:val="none" w:sz="0" w:space="0" w:color="auto"/>
          </w:divBdr>
        </w:div>
      </w:divsChild>
    </w:div>
    <w:div w:id="807893957">
      <w:bodyDiv w:val="1"/>
      <w:marLeft w:val="0"/>
      <w:marRight w:val="0"/>
      <w:marTop w:val="0"/>
      <w:marBottom w:val="0"/>
      <w:divBdr>
        <w:top w:val="none" w:sz="0" w:space="0" w:color="auto"/>
        <w:left w:val="none" w:sz="0" w:space="0" w:color="auto"/>
        <w:bottom w:val="none" w:sz="0" w:space="0" w:color="auto"/>
        <w:right w:val="none" w:sz="0" w:space="0" w:color="auto"/>
      </w:divBdr>
    </w:div>
    <w:div w:id="807934045">
      <w:bodyDiv w:val="1"/>
      <w:marLeft w:val="0"/>
      <w:marRight w:val="0"/>
      <w:marTop w:val="0"/>
      <w:marBottom w:val="0"/>
      <w:divBdr>
        <w:top w:val="none" w:sz="0" w:space="0" w:color="auto"/>
        <w:left w:val="none" w:sz="0" w:space="0" w:color="auto"/>
        <w:bottom w:val="none" w:sz="0" w:space="0" w:color="auto"/>
        <w:right w:val="none" w:sz="0" w:space="0" w:color="auto"/>
      </w:divBdr>
      <w:divsChild>
        <w:div w:id="620183183">
          <w:marLeft w:val="0"/>
          <w:marRight w:val="0"/>
          <w:marTop w:val="0"/>
          <w:marBottom w:val="150"/>
          <w:divBdr>
            <w:top w:val="none" w:sz="0" w:space="0" w:color="auto"/>
            <w:left w:val="none" w:sz="0" w:space="0" w:color="auto"/>
            <w:bottom w:val="none" w:sz="0" w:space="0" w:color="auto"/>
            <w:right w:val="none" w:sz="0" w:space="0" w:color="auto"/>
          </w:divBdr>
        </w:div>
        <w:div w:id="1258437958">
          <w:marLeft w:val="0"/>
          <w:marRight w:val="0"/>
          <w:marTop w:val="0"/>
          <w:marBottom w:val="0"/>
          <w:divBdr>
            <w:top w:val="none" w:sz="0" w:space="0" w:color="auto"/>
            <w:left w:val="none" w:sz="0" w:space="0" w:color="auto"/>
            <w:bottom w:val="none" w:sz="0" w:space="0" w:color="auto"/>
            <w:right w:val="none" w:sz="0" w:space="0" w:color="auto"/>
          </w:divBdr>
          <w:divsChild>
            <w:div w:id="940916595">
              <w:marLeft w:val="0"/>
              <w:marRight w:val="0"/>
              <w:marTop w:val="0"/>
              <w:marBottom w:val="0"/>
              <w:divBdr>
                <w:top w:val="none" w:sz="0" w:space="0" w:color="auto"/>
                <w:left w:val="none" w:sz="0" w:space="0" w:color="auto"/>
                <w:bottom w:val="none" w:sz="0" w:space="0" w:color="auto"/>
                <w:right w:val="none" w:sz="0" w:space="0" w:color="auto"/>
              </w:divBdr>
            </w:div>
          </w:divsChild>
        </w:div>
        <w:div w:id="1524511418">
          <w:marLeft w:val="0"/>
          <w:marRight w:val="0"/>
          <w:marTop w:val="0"/>
          <w:marBottom w:val="150"/>
          <w:divBdr>
            <w:top w:val="none" w:sz="0" w:space="0" w:color="auto"/>
            <w:left w:val="none" w:sz="0" w:space="0" w:color="auto"/>
            <w:bottom w:val="none" w:sz="0" w:space="0" w:color="auto"/>
            <w:right w:val="none" w:sz="0" w:space="0" w:color="auto"/>
          </w:divBdr>
          <w:divsChild>
            <w:div w:id="16732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204540">
      <w:bodyDiv w:val="1"/>
      <w:marLeft w:val="0"/>
      <w:marRight w:val="0"/>
      <w:marTop w:val="0"/>
      <w:marBottom w:val="0"/>
      <w:divBdr>
        <w:top w:val="none" w:sz="0" w:space="0" w:color="auto"/>
        <w:left w:val="none" w:sz="0" w:space="0" w:color="auto"/>
        <w:bottom w:val="none" w:sz="0" w:space="0" w:color="auto"/>
        <w:right w:val="none" w:sz="0" w:space="0" w:color="auto"/>
      </w:divBdr>
      <w:divsChild>
        <w:div w:id="175773729">
          <w:marLeft w:val="0"/>
          <w:marRight w:val="0"/>
          <w:marTop w:val="0"/>
          <w:marBottom w:val="0"/>
          <w:divBdr>
            <w:top w:val="none" w:sz="0" w:space="0" w:color="auto"/>
            <w:left w:val="none" w:sz="0" w:space="0" w:color="auto"/>
            <w:bottom w:val="none" w:sz="0" w:space="0" w:color="auto"/>
            <w:right w:val="none" w:sz="0" w:space="0" w:color="auto"/>
          </w:divBdr>
        </w:div>
      </w:divsChild>
    </w:div>
    <w:div w:id="808282587">
      <w:bodyDiv w:val="1"/>
      <w:marLeft w:val="0"/>
      <w:marRight w:val="0"/>
      <w:marTop w:val="0"/>
      <w:marBottom w:val="0"/>
      <w:divBdr>
        <w:top w:val="none" w:sz="0" w:space="0" w:color="auto"/>
        <w:left w:val="none" w:sz="0" w:space="0" w:color="auto"/>
        <w:bottom w:val="none" w:sz="0" w:space="0" w:color="auto"/>
        <w:right w:val="none" w:sz="0" w:space="0" w:color="auto"/>
      </w:divBdr>
      <w:divsChild>
        <w:div w:id="1208182339">
          <w:marLeft w:val="0"/>
          <w:marRight w:val="0"/>
          <w:marTop w:val="0"/>
          <w:marBottom w:val="0"/>
          <w:divBdr>
            <w:top w:val="none" w:sz="0" w:space="0" w:color="auto"/>
            <w:left w:val="none" w:sz="0" w:space="0" w:color="auto"/>
            <w:bottom w:val="none" w:sz="0" w:space="0" w:color="auto"/>
            <w:right w:val="none" w:sz="0" w:space="0" w:color="auto"/>
          </w:divBdr>
          <w:divsChild>
            <w:div w:id="89548999">
              <w:marLeft w:val="0"/>
              <w:marRight w:val="0"/>
              <w:marTop w:val="0"/>
              <w:marBottom w:val="0"/>
              <w:divBdr>
                <w:top w:val="none" w:sz="0" w:space="0" w:color="auto"/>
                <w:left w:val="none" w:sz="0" w:space="0" w:color="auto"/>
                <w:bottom w:val="none" w:sz="0" w:space="0" w:color="auto"/>
                <w:right w:val="none" w:sz="0" w:space="0" w:color="auto"/>
              </w:divBdr>
              <w:divsChild>
                <w:div w:id="1219710771">
                  <w:marLeft w:val="0"/>
                  <w:marRight w:val="0"/>
                  <w:marTop w:val="0"/>
                  <w:marBottom w:val="0"/>
                  <w:divBdr>
                    <w:top w:val="none" w:sz="0" w:space="0" w:color="auto"/>
                    <w:left w:val="none" w:sz="0" w:space="0" w:color="auto"/>
                    <w:bottom w:val="none" w:sz="0" w:space="0" w:color="auto"/>
                    <w:right w:val="none" w:sz="0" w:space="0" w:color="auto"/>
                  </w:divBdr>
                  <w:divsChild>
                    <w:div w:id="1879975687">
                      <w:marLeft w:val="0"/>
                      <w:marRight w:val="0"/>
                      <w:marTop w:val="0"/>
                      <w:marBottom w:val="0"/>
                      <w:divBdr>
                        <w:top w:val="none" w:sz="0" w:space="0" w:color="auto"/>
                        <w:left w:val="none" w:sz="0" w:space="0" w:color="auto"/>
                        <w:bottom w:val="none" w:sz="0" w:space="0" w:color="auto"/>
                        <w:right w:val="none" w:sz="0" w:space="0" w:color="auto"/>
                      </w:divBdr>
                      <w:divsChild>
                        <w:div w:id="170874926">
                          <w:marLeft w:val="0"/>
                          <w:marRight w:val="0"/>
                          <w:marTop w:val="0"/>
                          <w:marBottom w:val="0"/>
                          <w:divBdr>
                            <w:top w:val="none" w:sz="0" w:space="0" w:color="auto"/>
                            <w:left w:val="none" w:sz="0" w:space="0" w:color="auto"/>
                            <w:bottom w:val="none" w:sz="0" w:space="0" w:color="auto"/>
                            <w:right w:val="none" w:sz="0" w:space="0" w:color="auto"/>
                          </w:divBdr>
                          <w:divsChild>
                            <w:div w:id="1494830923">
                              <w:marLeft w:val="0"/>
                              <w:marRight w:val="0"/>
                              <w:marTop w:val="0"/>
                              <w:marBottom w:val="0"/>
                              <w:divBdr>
                                <w:top w:val="none" w:sz="0" w:space="0" w:color="auto"/>
                                <w:left w:val="none" w:sz="0" w:space="0" w:color="auto"/>
                                <w:bottom w:val="none" w:sz="0" w:space="0" w:color="auto"/>
                                <w:right w:val="none" w:sz="0" w:space="0" w:color="auto"/>
                              </w:divBdr>
                              <w:divsChild>
                                <w:div w:id="1769618639">
                                  <w:marLeft w:val="0"/>
                                  <w:marRight w:val="0"/>
                                  <w:marTop w:val="0"/>
                                  <w:marBottom w:val="75"/>
                                  <w:divBdr>
                                    <w:top w:val="none" w:sz="0" w:space="0" w:color="auto"/>
                                    <w:left w:val="none" w:sz="0" w:space="0" w:color="auto"/>
                                    <w:bottom w:val="none" w:sz="0" w:space="0" w:color="auto"/>
                                    <w:right w:val="none" w:sz="0" w:space="0" w:color="auto"/>
                                  </w:divBdr>
                                  <w:divsChild>
                                    <w:div w:id="870845046">
                                      <w:marLeft w:val="0"/>
                                      <w:marRight w:val="0"/>
                                      <w:marTop w:val="0"/>
                                      <w:marBottom w:val="0"/>
                                      <w:divBdr>
                                        <w:top w:val="none" w:sz="0" w:space="0" w:color="auto"/>
                                        <w:left w:val="none" w:sz="0" w:space="0" w:color="auto"/>
                                        <w:bottom w:val="none" w:sz="0" w:space="0" w:color="auto"/>
                                        <w:right w:val="none" w:sz="0" w:space="0" w:color="auto"/>
                                      </w:divBdr>
                                      <w:divsChild>
                                        <w:div w:id="602884896">
                                          <w:marLeft w:val="0"/>
                                          <w:marRight w:val="0"/>
                                          <w:marTop w:val="0"/>
                                          <w:marBottom w:val="0"/>
                                          <w:divBdr>
                                            <w:top w:val="none" w:sz="0" w:space="0" w:color="auto"/>
                                            <w:left w:val="none" w:sz="0" w:space="0" w:color="auto"/>
                                            <w:bottom w:val="none" w:sz="0" w:space="0" w:color="auto"/>
                                            <w:right w:val="none" w:sz="0" w:space="0" w:color="auto"/>
                                          </w:divBdr>
                                          <w:divsChild>
                                            <w:div w:id="1791775454">
                                              <w:marLeft w:val="0"/>
                                              <w:marRight w:val="0"/>
                                              <w:marTop w:val="0"/>
                                              <w:marBottom w:val="0"/>
                                              <w:divBdr>
                                                <w:top w:val="none" w:sz="0" w:space="0" w:color="auto"/>
                                                <w:left w:val="none" w:sz="0" w:space="0" w:color="auto"/>
                                                <w:bottom w:val="none" w:sz="0" w:space="0" w:color="auto"/>
                                                <w:right w:val="none" w:sz="0" w:space="0" w:color="auto"/>
                                              </w:divBdr>
                                              <w:divsChild>
                                                <w:div w:id="156378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8283651">
      <w:bodyDiv w:val="1"/>
      <w:marLeft w:val="0"/>
      <w:marRight w:val="0"/>
      <w:marTop w:val="0"/>
      <w:marBottom w:val="0"/>
      <w:divBdr>
        <w:top w:val="none" w:sz="0" w:space="0" w:color="auto"/>
        <w:left w:val="none" w:sz="0" w:space="0" w:color="auto"/>
        <w:bottom w:val="none" w:sz="0" w:space="0" w:color="auto"/>
        <w:right w:val="none" w:sz="0" w:space="0" w:color="auto"/>
      </w:divBdr>
      <w:divsChild>
        <w:div w:id="1871993660">
          <w:marLeft w:val="0"/>
          <w:marRight w:val="0"/>
          <w:marTop w:val="0"/>
          <w:marBottom w:val="0"/>
          <w:divBdr>
            <w:top w:val="none" w:sz="0" w:space="0" w:color="auto"/>
            <w:left w:val="none" w:sz="0" w:space="0" w:color="auto"/>
            <w:bottom w:val="none" w:sz="0" w:space="0" w:color="auto"/>
            <w:right w:val="none" w:sz="0" w:space="0" w:color="auto"/>
          </w:divBdr>
        </w:div>
      </w:divsChild>
    </w:div>
    <w:div w:id="808328683">
      <w:bodyDiv w:val="1"/>
      <w:marLeft w:val="0"/>
      <w:marRight w:val="0"/>
      <w:marTop w:val="0"/>
      <w:marBottom w:val="0"/>
      <w:divBdr>
        <w:top w:val="none" w:sz="0" w:space="0" w:color="auto"/>
        <w:left w:val="none" w:sz="0" w:space="0" w:color="auto"/>
        <w:bottom w:val="none" w:sz="0" w:space="0" w:color="auto"/>
        <w:right w:val="none" w:sz="0" w:space="0" w:color="auto"/>
      </w:divBdr>
    </w:div>
    <w:div w:id="808665742">
      <w:bodyDiv w:val="1"/>
      <w:marLeft w:val="0"/>
      <w:marRight w:val="0"/>
      <w:marTop w:val="0"/>
      <w:marBottom w:val="0"/>
      <w:divBdr>
        <w:top w:val="none" w:sz="0" w:space="0" w:color="auto"/>
        <w:left w:val="none" w:sz="0" w:space="0" w:color="auto"/>
        <w:bottom w:val="none" w:sz="0" w:space="0" w:color="auto"/>
        <w:right w:val="none" w:sz="0" w:space="0" w:color="auto"/>
      </w:divBdr>
    </w:div>
    <w:div w:id="808783446">
      <w:bodyDiv w:val="1"/>
      <w:marLeft w:val="0"/>
      <w:marRight w:val="0"/>
      <w:marTop w:val="0"/>
      <w:marBottom w:val="0"/>
      <w:divBdr>
        <w:top w:val="none" w:sz="0" w:space="0" w:color="auto"/>
        <w:left w:val="none" w:sz="0" w:space="0" w:color="auto"/>
        <w:bottom w:val="none" w:sz="0" w:space="0" w:color="auto"/>
        <w:right w:val="none" w:sz="0" w:space="0" w:color="auto"/>
      </w:divBdr>
      <w:divsChild>
        <w:div w:id="1308172041">
          <w:marLeft w:val="0"/>
          <w:marRight w:val="0"/>
          <w:marTop w:val="0"/>
          <w:marBottom w:val="0"/>
          <w:divBdr>
            <w:top w:val="none" w:sz="0" w:space="0" w:color="auto"/>
            <w:left w:val="none" w:sz="0" w:space="0" w:color="auto"/>
            <w:bottom w:val="none" w:sz="0" w:space="0" w:color="auto"/>
            <w:right w:val="none" w:sz="0" w:space="0" w:color="auto"/>
          </w:divBdr>
        </w:div>
        <w:div w:id="2025592248">
          <w:marLeft w:val="0"/>
          <w:marRight w:val="0"/>
          <w:marTop w:val="0"/>
          <w:marBottom w:val="150"/>
          <w:divBdr>
            <w:top w:val="none" w:sz="0" w:space="0" w:color="auto"/>
            <w:left w:val="none" w:sz="0" w:space="0" w:color="auto"/>
            <w:bottom w:val="none" w:sz="0" w:space="0" w:color="auto"/>
            <w:right w:val="none" w:sz="0" w:space="0" w:color="auto"/>
          </w:divBdr>
        </w:div>
      </w:divsChild>
    </w:div>
    <w:div w:id="809782810">
      <w:bodyDiv w:val="1"/>
      <w:marLeft w:val="0"/>
      <w:marRight w:val="0"/>
      <w:marTop w:val="0"/>
      <w:marBottom w:val="0"/>
      <w:divBdr>
        <w:top w:val="none" w:sz="0" w:space="0" w:color="auto"/>
        <w:left w:val="none" w:sz="0" w:space="0" w:color="auto"/>
        <w:bottom w:val="none" w:sz="0" w:space="0" w:color="auto"/>
        <w:right w:val="none" w:sz="0" w:space="0" w:color="auto"/>
      </w:divBdr>
      <w:divsChild>
        <w:div w:id="636568211">
          <w:marLeft w:val="0"/>
          <w:marRight w:val="0"/>
          <w:marTop w:val="0"/>
          <w:marBottom w:val="0"/>
          <w:divBdr>
            <w:top w:val="none" w:sz="0" w:space="0" w:color="auto"/>
            <w:left w:val="none" w:sz="0" w:space="0" w:color="auto"/>
            <w:bottom w:val="none" w:sz="0" w:space="0" w:color="auto"/>
            <w:right w:val="none" w:sz="0" w:space="0" w:color="auto"/>
          </w:divBdr>
        </w:div>
      </w:divsChild>
    </w:div>
    <w:div w:id="809786567">
      <w:bodyDiv w:val="1"/>
      <w:marLeft w:val="0"/>
      <w:marRight w:val="0"/>
      <w:marTop w:val="0"/>
      <w:marBottom w:val="0"/>
      <w:divBdr>
        <w:top w:val="none" w:sz="0" w:space="0" w:color="auto"/>
        <w:left w:val="none" w:sz="0" w:space="0" w:color="auto"/>
        <w:bottom w:val="none" w:sz="0" w:space="0" w:color="auto"/>
        <w:right w:val="none" w:sz="0" w:space="0" w:color="auto"/>
      </w:divBdr>
      <w:divsChild>
        <w:div w:id="164519847">
          <w:marLeft w:val="0"/>
          <w:marRight w:val="0"/>
          <w:marTop w:val="0"/>
          <w:marBottom w:val="150"/>
          <w:divBdr>
            <w:top w:val="none" w:sz="0" w:space="0" w:color="auto"/>
            <w:left w:val="none" w:sz="0" w:space="0" w:color="auto"/>
            <w:bottom w:val="none" w:sz="0" w:space="0" w:color="auto"/>
            <w:right w:val="none" w:sz="0" w:space="0" w:color="auto"/>
          </w:divBdr>
          <w:divsChild>
            <w:div w:id="1085808689">
              <w:marLeft w:val="0"/>
              <w:marRight w:val="0"/>
              <w:marTop w:val="0"/>
              <w:marBottom w:val="0"/>
              <w:divBdr>
                <w:top w:val="none" w:sz="0" w:space="0" w:color="auto"/>
                <w:left w:val="none" w:sz="0" w:space="0" w:color="auto"/>
                <w:bottom w:val="none" w:sz="0" w:space="0" w:color="auto"/>
                <w:right w:val="none" w:sz="0" w:space="0" w:color="auto"/>
              </w:divBdr>
              <w:divsChild>
                <w:div w:id="161771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33225">
          <w:marLeft w:val="0"/>
          <w:marRight w:val="0"/>
          <w:marTop w:val="0"/>
          <w:marBottom w:val="150"/>
          <w:divBdr>
            <w:top w:val="none" w:sz="0" w:space="0" w:color="auto"/>
            <w:left w:val="none" w:sz="0" w:space="0" w:color="auto"/>
            <w:bottom w:val="none" w:sz="0" w:space="0" w:color="auto"/>
            <w:right w:val="none" w:sz="0" w:space="0" w:color="auto"/>
          </w:divBdr>
        </w:div>
        <w:div w:id="27920703">
          <w:marLeft w:val="0"/>
          <w:marRight w:val="0"/>
          <w:marTop w:val="0"/>
          <w:marBottom w:val="0"/>
          <w:divBdr>
            <w:top w:val="none" w:sz="0" w:space="0" w:color="auto"/>
            <w:left w:val="none" w:sz="0" w:space="0" w:color="auto"/>
            <w:bottom w:val="none" w:sz="0" w:space="0" w:color="auto"/>
            <w:right w:val="none" w:sz="0" w:space="0" w:color="auto"/>
          </w:divBdr>
          <w:divsChild>
            <w:div w:id="140660741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10975009">
      <w:bodyDiv w:val="1"/>
      <w:marLeft w:val="0"/>
      <w:marRight w:val="0"/>
      <w:marTop w:val="0"/>
      <w:marBottom w:val="0"/>
      <w:divBdr>
        <w:top w:val="none" w:sz="0" w:space="0" w:color="auto"/>
        <w:left w:val="none" w:sz="0" w:space="0" w:color="auto"/>
        <w:bottom w:val="none" w:sz="0" w:space="0" w:color="auto"/>
        <w:right w:val="none" w:sz="0" w:space="0" w:color="auto"/>
      </w:divBdr>
      <w:divsChild>
        <w:div w:id="354577710">
          <w:marLeft w:val="0"/>
          <w:marRight w:val="0"/>
          <w:marTop w:val="0"/>
          <w:marBottom w:val="150"/>
          <w:divBdr>
            <w:top w:val="none" w:sz="0" w:space="0" w:color="auto"/>
            <w:left w:val="none" w:sz="0" w:space="0" w:color="auto"/>
            <w:bottom w:val="none" w:sz="0" w:space="0" w:color="auto"/>
            <w:right w:val="none" w:sz="0" w:space="0" w:color="auto"/>
          </w:divBdr>
        </w:div>
      </w:divsChild>
    </w:div>
    <w:div w:id="811217398">
      <w:bodyDiv w:val="1"/>
      <w:marLeft w:val="0"/>
      <w:marRight w:val="0"/>
      <w:marTop w:val="0"/>
      <w:marBottom w:val="0"/>
      <w:divBdr>
        <w:top w:val="none" w:sz="0" w:space="0" w:color="auto"/>
        <w:left w:val="none" w:sz="0" w:space="0" w:color="auto"/>
        <w:bottom w:val="none" w:sz="0" w:space="0" w:color="auto"/>
        <w:right w:val="none" w:sz="0" w:space="0" w:color="auto"/>
      </w:divBdr>
      <w:divsChild>
        <w:div w:id="345864605">
          <w:marLeft w:val="0"/>
          <w:marRight w:val="0"/>
          <w:marTop w:val="0"/>
          <w:marBottom w:val="0"/>
          <w:divBdr>
            <w:top w:val="none" w:sz="0" w:space="0" w:color="auto"/>
            <w:left w:val="none" w:sz="0" w:space="0" w:color="auto"/>
            <w:bottom w:val="none" w:sz="0" w:space="0" w:color="auto"/>
            <w:right w:val="none" w:sz="0" w:space="0" w:color="auto"/>
          </w:divBdr>
          <w:divsChild>
            <w:div w:id="2033526233">
              <w:marLeft w:val="0"/>
              <w:marRight w:val="0"/>
              <w:marTop w:val="0"/>
              <w:marBottom w:val="0"/>
              <w:divBdr>
                <w:top w:val="none" w:sz="0" w:space="0" w:color="auto"/>
                <w:left w:val="none" w:sz="0" w:space="0" w:color="auto"/>
                <w:bottom w:val="none" w:sz="0" w:space="0" w:color="auto"/>
                <w:right w:val="none" w:sz="0" w:space="0" w:color="auto"/>
              </w:divBdr>
              <w:divsChild>
                <w:div w:id="1386173793">
                  <w:marLeft w:val="0"/>
                  <w:marRight w:val="0"/>
                  <w:marTop w:val="0"/>
                  <w:marBottom w:val="0"/>
                  <w:divBdr>
                    <w:top w:val="none" w:sz="0" w:space="0" w:color="auto"/>
                    <w:left w:val="none" w:sz="0" w:space="0" w:color="auto"/>
                    <w:bottom w:val="none" w:sz="0" w:space="0" w:color="auto"/>
                    <w:right w:val="none" w:sz="0" w:space="0" w:color="auto"/>
                  </w:divBdr>
                  <w:divsChild>
                    <w:div w:id="302345272">
                      <w:marLeft w:val="0"/>
                      <w:marRight w:val="0"/>
                      <w:marTop w:val="0"/>
                      <w:marBottom w:val="0"/>
                      <w:divBdr>
                        <w:top w:val="none" w:sz="0" w:space="0" w:color="auto"/>
                        <w:left w:val="none" w:sz="0" w:space="0" w:color="auto"/>
                        <w:bottom w:val="none" w:sz="0" w:space="0" w:color="auto"/>
                        <w:right w:val="none" w:sz="0" w:space="0" w:color="auto"/>
                      </w:divBdr>
                      <w:divsChild>
                        <w:div w:id="241063732">
                          <w:marLeft w:val="0"/>
                          <w:marRight w:val="0"/>
                          <w:marTop w:val="0"/>
                          <w:marBottom w:val="0"/>
                          <w:divBdr>
                            <w:top w:val="none" w:sz="0" w:space="0" w:color="auto"/>
                            <w:left w:val="none" w:sz="0" w:space="0" w:color="auto"/>
                            <w:bottom w:val="none" w:sz="0" w:space="0" w:color="auto"/>
                            <w:right w:val="none" w:sz="0" w:space="0" w:color="auto"/>
                          </w:divBdr>
                          <w:divsChild>
                            <w:div w:id="1489861094">
                              <w:marLeft w:val="0"/>
                              <w:marRight w:val="0"/>
                              <w:marTop w:val="0"/>
                              <w:marBottom w:val="0"/>
                              <w:divBdr>
                                <w:top w:val="none" w:sz="0" w:space="0" w:color="auto"/>
                                <w:left w:val="none" w:sz="0" w:space="0" w:color="auto"/>
                                <w:bottom w:val="none" w:sz="0" w:space="0" w:color="auto"/>
                                <w:right w:val="none" w:sz="0" w:space="0" w:color="auto"/>
                              </w:divBdr>
                              <w:divsChild>
                                <w:div w:id="2029410599">
                                  <w:marLeft w:val="0"/>
                                  <w:marRight w:val="0"/>
                                  <w:marTop w:val="0"/>
                                  <w:marBottom w:val="0"/>
                                  <w:divBdr>
                                    <w:top w:val="none" w:sz="0" w:space="0" w:color="auto"/>
                                    <w:left w:val="none" w:sz="0" w:space="0" w:color="auto"/>
                                    <w:bottom w:val="none" w:sz="0" w:space="0" w:color="auto"/>
                                    <w:right w:val="none" w:sz="0" w:space="0" w:color="auto"/>
                                  </w:divBdr>
                                  <w:divsChild>
                                    <w:div w:id="798956365">
                                      <w:marLeft w:val="0"/>
                                      <w:marRight w:val="0"/>
                                      <w:marTop w:val="0"/>
                                      <w:marBottom w:val="0"/>
                                      <w:divBdr>
                                        <w:top w:val="none" w:sz="0" w:space="0" w:color="auto"/>
                                        <w:left w:val="none" w:sz="0" w:space="0" w:color="auto"/>
                                        <w:bottom w:val="none" w:sz="0" w:space="0" w:color="auto"/>
                                        <w:right w:val="none" w:sz="0" w:space="0" w:color="auto"/>
                                      </w:divBdr>
                                      <w:divsChild>
                                        <w:div w:id="193338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1797550">
      <w:bodyDiv w:val="1"/>
      <w:marLeft w:val="0"/>
      <w:marRight w:val="0"/>
      <w:marTop w:val="0"/>
      <w:marBottom w:val="0"/>
      <w:divBdr>
        <w:top w:val="none" w:sz="0" w:space="0" w:color="auto"/>
        <w:left w:val="none" w:sz="0" w:space="0" w:color="auto"/>
        <w:bottom w:val="none" w:sz="0" w:space="0" w:color="auto"/>
        <w:right w:val="none" w:sz="0" w:space="0" w:color="auto"/>
      </w:divBdr>
      <w:divsChild>
        <w:div w:id="1564292564">
          <w:marLeft w:val="0"/>
          <w:marRight w:val="0"/>
          <w:marTop w:val="0"/>
          <w:marBottom w:val="0"/>
          <w:divBdr>
            <w:top w:val="none" w:sz="0" w:space="0" w:color="auto"/>
            <w:left w:val="none" w:sz="0" w:space="0" w:color="auto"/>
            <w:bottom w:val="dotted" w:sz="6" w:space="4" w:color="DDDDDD"/>
            <w:right w:val="none" w:sz="0" w:space="0" w:color="auto"/>
          </w:divBdr>
          <w:divsChild>
            <w:div w:id="78153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016963">
      <w:bodyDiv w:val="1"/>
      <w:marLeft w:val="0"/>
      <w:marRight w:val="0"/>
      <w:marTop w:val="0"/>
      <w:marBottom w:val="0"/>
      <w:divBdr>
        <w:top w:val="none" w:sz="0" w:space="0" w:color="auto"/>
        <w:left w:val="none" w:sz="0" w:space="0" w:color="auto"/>
        <w:bottom w:val="none" w:sz="0" w:space="0" w:color="auto"/>
        <w:right w:val="none" w:sz="0" w:space="0" w:color="auto"/>
      </w:divBdr>
      <w:divsChild>
        <w:div w:id="397291678">
          <w:marLeft w:val="0"/>
          <w:marRight w:val="0"/>
          <w:marTop w:val="0"/>
          <w:marBottom w:val="150"/>
          <w:divBdr>
            <w:top w:val="none" w:sz="0" w:space="0" w:color="auto"/>
            <w:left w:val="none" w:sz="0" w:space="0" w:color="auto"/>
            <w:bottom w:val="none" w:sz="0" w:space="0" w:color="auto"/>
            <w:right w:val="none" w:sz="0" w:space="0" w:color="auto"/>
          </w:divBdr>
        </w:div>
      </w:divsChild>
    </w:div>
    <w:div w:id="812404804">
      <w:bodyDiv w:val="1"/>
      <w:marLeft w:val="0"/>
      <w:marRight w:val="0"/>
      <w:marTop w:val="0"/>
      <w:marBottom w:val="0"/>
      <w:divBdr>
        <w:top w:val="none" w:sz="0" w:space="0" w:color="auto"/>
        <w:left w:val="none" w:sz="0" w:space="0" w:color="auto"/>
        <w:bottom w:val="none" w:sz="0" w:space="0" w:color="auto"/>
        <w:right w:val="none" w:sz="0" w:space="0" w:color="auto"/>
      </w:divBdr>
      <w:divsChild>
        <w:div w:id="1450003514">
          <w:marLeft w:val="0"/>
          <w:marRight w:val="0"/>
          <w:marTop w:val="0"/>
          <w:marBottom w:val="225"/>
          <w:divBdr>
            <w:top w:val="none" w:sz="0" w:space="0" w:color="auto"/>
            <w:left w:val="none" w:sz="0" w:space="0" w:color="auto"/>
            <w:bottom w:val="none" w:sz="0" w:space="0" w:color="auto"/>
            <w:right w:val="none" w:sz="0" w:space="0" w:color="auto"/>
          </w:divBdr>
          <w:divsChild>
            <w:div w:id="114448972">
              <w:marLeft w:val="0"/>
              <w:marRight w:val="0"/>
              <w:marTop w:val="0"/>
              <w:marBottom w:val="150"/>
              <w:divBdr>
                <w:top w:val="none" w:sz="0" w:space="0" w:color="auto"/>
                <w:left w:val="none" w:sz="0" w:space="0" w:color="auto"/>
                <w:bottom w:val="none" w:sz="0" w:space="0" w:color="auto"/>
                <w:right w:val="none" w:sz="0" w:space="0" w:color="auto"/>
              </w:divBdr>
            </w:div>
            <w:div w:id="344671602">
              <w:marLeft w:val="0"/>
              <w:marRight w:val="0"/>
              <w:marTop w:val="0"/>
              <w:marBottom w:val="150"/>
              <w:divBdr>
                <w:top w:val="none" w:sz="0" w:space="0" w:color="auto"/>
                <w:left w:val="none" w:sz="0" w:space="0" w:color="auto"/>
                <w:bottom w:val="none" w:sz="0" w:space="0" w:color="auto"/>
                <w:right w:val="none" w:sz="0" w:space="0" w:color="auto"/>
              </w:divBdr>
            </w:div>
            <w:div w:id="450977165">
              <w:marLeft w:val="0"/>
              <w:marRight w:val="0"/>
              <w:marTop w:val="0"/>
              <w:marBottom w:val="150"/>
              <w:divBdr>
                <w:top w:val="none" w:sz="0" w:space="0" w:color="auto"/>
                <w:left w:val="none" w:sz="0" w:space="0" w:color="auto"/>
                <w:bottom w:val="none" w:sz="0" w:space="0" w:color="auto"/>
                <w:right w:val="none" w:sz="0" w:space="0" w:color="auto"/>
              </w:divBdr>
            </w:div>
            <w:div w:id="779689800">
              <w:marLeft w:val="0"/>
              <w:marRight w:val="0"/>
              <w:marTop w:val="0"/>
              <w:marBottom w:val="150"/>
              <w:divBdr>
                <w:top w:val="none" w:sz="0" w:space="0" w:color="auto"/>
                <w:left w:val="none" w:sz="0" w:space="0" w:color="auto"/>
                <w:bottom w:val="none" w:sz="0" w:space="0" w:color="auto"/>
                <w:right w:val="none" w:sz="0" w:space="0" w:color="auto"/>
              </w:divBdr>
            </w:div>
            <w:div w:id="814564971">
              <w:marLeft w:val="0"/>
              <w:marRight w:val="0"/>
              <w:marTop w:val="0"/>
              <w:marBottom w:val="150"/>
              <w:divBdr>
                <w:top w:val="none" w:sz="0" w:space="0" w:color="auto"/>
                <w:left w:val="none" w:sz="0" w:space="0" w:color="auto"/>
                <w:bottom w:val="none" w:sz="0" w:space="0" w:color="auto"/>
                <w:right w:val="none" w:sz="0" w:space="0" w:color="auto"/>
              </w:divBdr>
            </w:div>
            <w:div w:id="867838884">
              <w:marLeft w:val="0"/>
              <w:marRight w:val="0"/>
              <w:marTop w:val="0"/>
              <w:marBottom w:val="150"/>
              <w:divBdr>
                <w:top w:val="none" w:sz="0" w:space="0" w:color="auto"/>
                <w:left w:val="none" w:sz="0" w:space="0" w:color="auto"/>
                <w:bottom w:val="none" w:sz="0" w:space="0" w:color="auto"/>
                <w:right w:val="none" w:sz="0" w:space="0" w:color="auto"/>
              </w:divBdr>
            </w:div>
            <w:div w:id="1011449193">
              <w:marLeft w:val="0"/>
              <w:marRight w:val="0"/>
              <w:marTop w:val="0"/>
              <w:marBottom w:val="150"/>
              <w:divBdr>
                <w:top w:val="none" w:sz="0" w:space="0" w:color="auto"/>
                <w:left w:val="none" w:sz="0" w:space="0" w:color="auto"/>
                <w:bottom w:val="none" w:sz="0" w:space="0" w:color="auto"/>
                <w:right w:val="none" w:sz="0" w:space="0" w:color="auto"/>
              </w:divBdr>
            </w:div>
            <w:div w:id="1150169555">
              <w:marLeft w:val="0"/>
              <w:marRight w:val="0"/>
              <w:marTop w:val="0"/>
              <w:marBottom w:val="150"/>
              <w:divBdr>
                <w:top w:val="none" w:sz="0" w:space="0" w:color="auto"/>
                <w:left w:val="none" w:sz="0" w:space="0" w:color="auto"/>
                <w:bottom w:val="none" w:sz="0" w:space="0" w:color="auto"/>
                <w:right w:val="none" w:sz="0" w:space="0" w:color="auto"/>
              </w:divBdr>
            </w:div>
            <w:div w:id="18708784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12723198">
      <w:bodyDiv w:val="1"/>
      <w:marLeft w:val="0"/>
      <w:marRight w:val="0"/>
      <w:marTop w:val="0"/>
      <w:marBottom w:val="0"/>
      <w:divBdr>
        <w:top w:val="none" w:sz="0" w:space="0" w:color="auto"/>
        <w:left w:val="none" w:sz="0" w:space="0" w:color="auto"/>
        <w:bottom w:val="none" w:sz="0" w:space="0" w:color="auto"/>
        <w:right w:val="none" w:sz="0" w:space="0" w:color="auto"/>
      </w:divBdr>
    </w:div>
    <w:div w:id="812723949">
      <w:bodyDiv w:val="1"/>
      <w:marLeft w:val="0"/>
      <w:marRight w:val="0"/>
      <w:marTop w:val="0"/>
      <w:marBottom w:val="0"/>
      <w:divBdr>
        <w:top w:val="none" w:sz="0" w:space="0" w:color="auto"/>
        <w:left w:val="none" w:sz="0" w:space="0" w:color="auto"/>
        <w:bottom w:val="none" w:sz="0" w:space="0" w:color="auto"/>
        <w:right w:val="none" w:sz="0" w:space="0" w:color="auto"/>
      </w:divBdr>
      <w:divsChild>
        <w:div w:id="2145731043">
          <w:marLeft w:val="0"/>
          <w:marRight w:val="0"/>
          <w:marTop w:val="0"/>
          <w:marBottom w:val="0"/>
          <w:divBdr>
            <w:top w:val="none" w:sz="0" w:space="0" w:color="auto"/>
            <w:left w:val="none" w:sz="0" w:space="0" w:color="auto"/>
            <w:bottom w:val="none" w:sz="0" w:space="0" w:color="auto"/>
            <w:right w:val="none" w:sz="0" w:space="0" w:color="auto"/>
          </w:divBdr>
        </w:div>
      </w:divsChild>
    </w:div>
    <w:div w:id="813371931">
      <w:bodyDiv w:val="1"/>
      <w:marLeft w:val="0"/>
      <w:marRight w:val="0"/>
      <w:marTop w:val="0"/>
      <w:marBottom w:val="0"/>
      <w:divBdr>
        <w:top w:val="none" w:sz="0" w:space="0" w:color="auto"/>
        <w:left w:val="none" w:sz="0" w:space="0" w:color="auto"/>
        <w:bottom w:val="none" w:sz="0" w:space="0" w:color="auto"/>
        <w:right w:val="none" w:sz="0" w:space="0" w:color="auto"/>
      </w:divBdr>
    </w:div>
    <w:div w:id="813647126">
      <w:bodyDiv w:val="1"/>
      <w:marLeft w:val="0"/>
      <w:marRight w:val="0"/>
      <w:marTop w:val="0"/>
      <w:marBottom w:val="0"/>
      <w:divBdr>
        <w:top w:val="none" w:sz="0" w:space="0" w:color="auto"/>
        <w:left w:val="none" w:sz="0" w:space="0" w:color="auto"/>
        <w:bottom w:val="none" w:sz="0" w:space="0" w:color="auto"/>
        <w:right w:val="none" w:sz="0" w:space="0" w:color="auto"/>
      </w:divBdr>
      <w:divsChild>
        <w:div w:id="1415778783">
          <w:marLeft w:val="0"/>
          <w:marRight w:val="0"/>
          <w:marTop w:val="0"/>
          <w:marBottom w:val="0"/>
          <w:divBdr>
            <w:top w:val="none" w:sz="0" w:space="0" w:color="auto"/>
            <w:left w:val="none" w:sz="0" w:space="0" w:color="auto"/>
            <w:bottom w:val="none" w:sz="0" w:space="0" w:color="auto"/>
            <w:right w:val="none" w:sz="0" w:space="0" w:color="auto"/>
          </w:divBdr>
          <w:divsChild>
            <w:div w:id="276720947">
              <w:marLeft w:val="0"/>
              <w:marRight w:val="0"/>
              <w:marTop w:val="0"/>
              <w:marBottom w:val="0"/>
              <w:divBdr>
                <w:top w:val="none" w:sz="0" w:space="0" w:color="auto"/>
                <w:left w:val="none" w:sz="0" w:space="0" w:color="auto"/>
                <w:bottom w:val="none" w:sz="0" w:space="0" w:color="auto"/>
                <w:right w:val="none" w:sz="0" w:space="0" w:color="auto"/>
              </w:divBdr>
              <w:divsChild>
                <w:div w:id="551355630">
                  <w:marLeft w:val="0"/>
                  <w:marRight w:val="0"/>
                  <w:marTop w:val="0"/>
                  <w:marBottom w:val="300"/>
                  <w:divBdr>
                    <w:top w:val="single" w:sz="6" w:space="0" w:color="E5E5E5"/>
                    <w:left w:val="single" w:sz="6" w:space="0" w:color="E5E5E5"/>
                    <w:bottom w:val="single" w:sz="6" w:space="0" w:color="E5E5E5"/>
                    <w:right w:val="single" w:sz="6" w:space="0" w:color="E5E5E5"/>
                  </w:divBdr>
                  <w:divsChild>
                    <w:div w:id="198710988">
                      <w:marLeft w:val="0"/>
                      <w:marRight w:val="0"/>
                      <w:marTop w:val="0"/>
                      <w:marBottom w:val="0"/>
                      <w:divBdr>
                        <w:top w:val="none" w:sz="0" w:space="0" w:color="auto"/>
                        <w:left w:val="none" w:sz="0" w:space="0" w:color="auto"/>
                        <w:bottom w:val="none" w:sz="0" w:space="0" w:color="auto"/>
                        <w:right w:val="none" w:sz="0" w:space="0" w:color="auto"/>
                      </w:divBdr>
                    </w:div>
                  </w:divsChild>
                </w:div>
                <w:div w:id="598955492">
                  <w:marLeft w:val="0"/>
                  <w:marRight w:val="0"/>
                  <w:marTop w:val="0"/>
                  <w:marBottom w:val="300"/>
                  <w:divBdr>
                    <w:top w:val="single" w:sz="6" w:space="0" w:color="E5E5E5"/>
                    <w:left w:val="single" w:sz="6" w:space="0" w:color="E5E5E5"/>
                    <w:bottom w:val="single" w:sz="6" w:space="0" w:color="E5E5E5"/>
                    <w:right w:val="single" w:sz="6" w:space="0" w:color="E5E5E5"/>
                  </w:divBdr>
                  <w:divsChild>
                    <w:div w:id="1427847069">
                      <w:marLeft w:val="0"/>
                      <w:marRight w:val="0"/>
                      <w:marTop w:val="0"/>
                      <w:marBottom w:val="0"/>
                      <w:divBdr>
                        <w:top w:val="none" w:sz="0" w:space="0" w:color="auto"/>
                        <w:left w:val="none" w:sz="0" w:space="0" w:color="auto"/>
                        <w:bottom w:val="none" w:sz="0" w:space="0" w:color="auto"/>
                        <w:right w:val="none" w:sz="0" w:space="0" w:color="auto"/>
                      </w:divBdr>
                      <w:divsChild>
                        <w:div w:id="371079327">
                          <w:marLeft w:val="0"/>
                          <w:marRight w:val="0"/>
                          <w:marTop w:val="0"/>
                          <w:marBottom w:val="0"/>
                          <w:divBdr>
                            <w:top w:val="none" w:sz="0" w:space="0" w:color="auto"/>
                            <w:left w:val="none" w:sz="0" w:space="0" w:color="auto"/>
                            <w:bottom w:val="none" w:sz="0" w:space="0" w:color="auto"/>
                            <w:right w:val="none" w:sz="0" w:space="0" w:color="auto"/>
                          </w:divBdr>
                          <w:divsChild>
                            <w:div w:id="75901838">
                              <w:marLeft w:val="0"/>
                              <w:marRight w:val="0"/>
                              <w:marTop w:val="0"/>
                              <w:marBottom w:val="0"/>
                              <w:divBdr>
                                <w:top w:val="none" w:sz="0" w:space="0" w:color="auto"/>
                                <w:left w:val="none" w:sz="0" w:space="0" w:color="auto"/>
                                <w:bottom w:val="none" w:sz="0" w:space="0" w:color="auto"/>
                                <w:right w:val="none" w:sz="0" w:space="0" w:color="auto"/>
                              </w:divBdr>
                            </w:div>
                            <w:div w:id="202909247">
                              <w:marLeft w:val="0"/>
                              <w:marRight w:val="0"/>
                              <w:marTop w:val="0"/>
                              <w:marBottom w:val="0"/>
                              <w:divBdr>
                                <w:top w:val="none" w:sz="0" w:space="0" w:color="auto"/>
                                <w:left w:val="none" w:sz="0" w:space="0" w:color="auto"/>
                                <w:bottom w:val="none" w:sz="0" w:space="0" w:color="auto"/>
                                <w:right w:val="none" w:sz="0" w:space="0" w:color="auto"/>
                              </w:divBdr>
                            </w:div>
                            <w:div w:id="421730713">
                              <w:marLeft w:val="0"/>
                              <w:marRight w:val="0"/>
                              <w:marTop w:val="0"/>
                              <w:marBottom w:val="0"/>
                              <w:divBdr>
                                <w:top w:val="none" w:sz="0" w:space="0" w:color="auto"/>
                                <w:left w:val="none" w:sz="0" w:space="0" w:color="auto"/>
                                <w:bottom w:val="none" w:sz="0" w:space="0" w:color="auto"/>
                                <w:right w:val="none" w:sz="0" w:space="0" w:color="auto"/>
                              </w:divBdr>
                            </w:div>
                            <w:div w:id="505560255">
                              <w:marLeft w:val="0"/>
                              <w:marRight w:val="0"/>
                              <w:marTop w:val="0"/>
                              <w:marBottom w:val="0"/>
                              <w:divBdr>
                                <w:top w:val="none" w:sz="0" w:space="0" w:color="auto"/>
                                <w:left w:val="none" w:sz="0" w:space="0" w:color="auto"/>
                                <w:bottom w:val="none" w:sz="0" w:space="0" w:color="auto"/>
                                <w:right w:val="none" w:sz="0" w:space="0" w:color="auto"/>
                              </w:divBdr>
                            </w:div>
                            <w:div w:id="518081969">
                              <w:marLeft w:val="0"/>
                              <w:marRight w:val="0"/>
                              <w:marTop w:val="0"/>
                              <w:marBottom w:val="0"/>
                              <w:divBdr>
                                <w:top w:val="none" w:sz="0" w:space="0" w:color="auto"/>
                                <w:left w:val="none" w:sz="0" w:space="0" w:color="auto"/>
                                <w:bottom w:val="none" w:sz="0" w:space="0" w:color="auto"/>
                                <w:right w:val="none" w:sz="0" w:space="0" w:color="auto"/>
                              </w:divBdr>
                            </w:div>
                            <w:div w:id="1284728870">
                              <w:marLeft w:val="0"/>
                              <w:marRight w:val="0"/>
                              <w:marTop w:val="0"/>
                              <w:marBottom w:val="0"/>
                              <w:divBdr>
                                <w:top w:val="none" w:sz="0" w:space="0" w:color="auto"/>
                                <w:left w:val="none" w:sz="0" w:space="0" w:color="auto"/>
                                <w:bottom w:val="none" w:sz="0" w:space="0" w:color="auto"/>
                                <w:right w:val="none" w:sz="0" w:space="0" w:color="auto"/>
                              </w:divBdr>
                            </w:div>
                            <w:div w:id="1771046039">
                              <w:marLeft w:val="0"/>
                              <w:marRight w:val="0"/>
                              <w:marTop w:val="0"/>
                              <w:marBottom w:val="0"/>
                              <w:divBdr>
                                <w:top w:val="none" w:sz="0" w:space="0" w:color="auto"/>
                                <w:left w:val="none" w:sz="0" w:space="0" w:color="auto"/>
                                <w:bottom w:val="none" w:sz="0" w:space="0" w:color="auto"/>
                                <w:right w:val="none" w:sz="0" w:space="0" w:color="auto"/>
                              </w:divBdr>
                            </w:div>
                            <w:div w:id="190705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473745">
                  <w:marLeft w:val="0"/>
                  <w:marRight w:val="0"/>
                  <w:marTop w:val="0"/>
                  <w:marBottom w:val="300"/>
                  <w:divBdr>
                    <w:top w:val="single" w:sz="6" w:space="0" w:color="E5E5E5"/>
                    <w:left w:val="single" w:sz="6" w:space="0" w:color="E5E5E5"/>
                    <w:bottom w:val="single" w:sz="6" w:space="0" w:color="E5E5E5"/>
                    <w:right w:val="single" w:sz="6" w:space="0" w:color="E5E5E5"/>
                  </w:divBdr>
                  <w:divsChild>
                    <w:div w:id="1888376513">
                      <w:marLeft w:val="0"/>
                      <w:marRight w:val="0"/>
                      <w:marTop w:val="0"/>
                      <w:marBottom w:val="0"/>
                      <w:divBdr>
                        <w:top w:val="none" w:sz="0" w:space="0" w:color="auto"/>
                        <w:left w:val="none" w:sz="0" w:space="0" w:color="auto"/>
                        <w:bottom w:val="none" w:sz="0" w:space="0" w:color="auto"/>
                        <w:right w:val="none" w:sz="0" w:space="0" w:color="auto"/>
                      </w:divBdr>
                      <w:divsChild>
                        <w:div w:id="76913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520538">
                  <w:marLeft w:val="0"/>
                  <w:marRight w:val="0"/>
                  <w:marTop w:val="0"/>
                  <w:marBottom w:val="300"/>
                  <w:divBdr>
                    <w:top w:val="single" w:sz="6" w:space="0" w:color="E5E5E5"/>
                    <w:left w:val="single" w:sz="6" w:space="0" w:color="E5E5E5"/>
                    <w:bottom w:val="single" w:sz="6" w:space="0" w:color="E5E5E5"/>
                    <w:right w:val="single" w:sz="6" w:space="0" w:color="E5E5E5"/>
                  </w:divBdr>
                  <w:divsChild>
                    <w:div w:id="171076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126115">
          <w:marLeft w:val="0"/>
          <w:marRight w:val="0"/>
          <w:marTop w:val="0"/>
          <w:marBottom w:val="0"/>
          <w:divBdr>
            <w:top w:val="none" w:sz="0" w:space="0" w:color="auto"/>
            <w:left w:val="none" w:sz="0" w:space="0" w:color="auto"/>
            <w:bottom w:val="none" w:sz="0" w:space="0" w:color="auto"/>
            <w:right w:val="none" w:sz="0" w:space="0" w:color="auto"/>
          </w:divBdr>
          <w:divsChild>
            <w:div w:id="662468238">
              <w:marLeft w:val="0"/>
              <w:marRight w:val="0"/>
              <w:marTop w:val="0"/>
              <w:marBottom w:val="0"/>
              <w:divBdr>
                <w:top w:val="none" w:sz="0" w:space="0" w:color="auto"/>
                <w:left w:val="none" w:sz="0" w:space="0" w:color="auto"/>
                <w:bottom w:val="none" w:sz="0" w:space="0" w:color="auto"/>
                <w:right w:val="none" w:sz="0" w:space="0" w:color="auto"/>
              </w:divBdr>
              <w:divsChild>
                <w:div w:id="197940731">
                  <w:marLeft w:val="0"/>
                  <w:marRight w:val="0"/>
                  <w:marTop w:val="0"/>
                  <w:marBottom w:val="0"/>
                  <w:divBdr>
                    <w:top w:val="none" w:sz="0" w:space="0" w:color="auto"/>
                    <w:left w:val="none" w:sz="0" w:space="0" w:color="auto"/>
                    <w:bottom w:val="none" w:sz="0" w:space="0" w:color="auto"/>
                    <w:right w:val="none" w:sz="0" w:space="0" w:color="auto"/>
                  </w:divBdr>
                  <w:divsChild>
                    <w:div w:id="178734939">
                      <w:marLeft w:val="0"/>
                      <w:marRight w:val="0"/>
                      <w:marTop w:val="0"/>
                      <w:marBottom w:val="0"/>
                      <w:divBdr>
                        <w:top w:val="none" w:sz="0" w:space="0" w:color="auto"/>
                        <w:left w:val="none" w:sz="0" w:space="0" w:color="auto"/>
                        <w:bottom w:val="none" w:sz="0" w:space="0" w:color="auto"/>
                        <w:right w:val="none" w:sz="0" w:space="0" w:color="auto"/>
                      </w:divBdr>
                    </w:div>
                    <w:div w:id="883441108">
                      <w:marLeft w:val="0"/>
                      <w:marRight w:val="0"/>
                      <w:marTop w:val="0"/>
                      <w:marBottom w:val="300"/>
                      <w:divBdr>
                        <w:top w:val="none" w:sz="0" w:space="0" w:color="auto"/>
                        <w:left w:val="none" w:sz="0" w:space="0" w:color="auto"/>
                        <w:bottom w:val="none" w:sz="0" w:space="0" w:color="auto"/>
                        <w:right w:val="none" w:sz="0" w:space="0" w:color="auto"/>
                      </w:divBdr>
                      <w:divsChild>
                        <w:div w:id="642275986">
                          <w:marLeft w:val="0"/>
                          <w:marRight w:val="0"/>
                          <w:marTop w:val="0"/>
                          <w:marBottom w:val="225"/>
                          <w:divBdr>
                            <w:top w:val="single" w:sz="6" w:space="11" w:color="E5E5E5"/>
                            <w:left w:val="single" w:sz="6" w:space="11" w:color="E5E5E5"/>
                            <w:bottom w:val="single" w:sz="6" w:space="1" w:color="E5E5E5"/>
                            <w:right w:val="single" w:sz="6" w:space="11" w:color="E5E5E5"/>
                          </w:divBdr>
                          <w:divsChild>
                            <w:div w:id="1265310244">
                              <w:marLeft w:val="0"/>
                              <w:marRight w:val="0"/>
                              <w:marTop w:val="0"/>
                              <w:marBottom w:val="0"/>
                              <w:divBdr>
                                <w:top w:val="none" w:sz="0" w:space="0" w:color="auto"/>
                                <w:left w:val="none" w:sz="0" w:space="0" w:color="auto"/>
                                <w:bottom w:val="dotted" w:sz="6" w:space="4" w:color="DDDDDD"/>
                                <w:right w:val="none" w:sz="0" w:space="0" w:color="auto"/>
                              </w:divBdr>
                              <w:divsChild>
                                <w:div w:id="876045971">
                                  <w:marLeft w:val="0"/>
                                  <w:marRight w:val="0"/>
                                  <w:marTop w:val="0"/>
                                  <w:marBottom w:val="0"/>
                                  <w:divBdr>
                                    <w:top w:val="none" w:sz="0" w:space="0" w:color="auto"/>
                                    <w:left w:val="none" w:sz="0" w:space="0" w:color="auto"/>
                                    <w:bottom w:val="none" w:sz="0" w:space="0" w:color="auto"/>
                                    <w:right w:val="none" w:sz="0" w:space="0" w:color="auto"/>
                                  </w:divBdr>
                                </w:div>
                              </w:divsChild>
                            </w:div>
                            <w:div w:id="1799449512">
                              <w:marLeft w:val="0"/>
                              <w:marRight w:val="0"/>
                              <w:marTop w:val="0"/>
                              <w:marBottom w:val="0"/>
                              <w:divBdr>
                                <w:top w:val="none" w:sz="0" w:space="0" w:color="auto"/>
                                <w:left w:val="none" w:sz="0" w:space="0" w:color="auto"/>
                                <w:bottom w:val="none" w:sz="0" w:space="0" w:color="auto"/>
                                <w:right w:val="none" w:sz="0" w:space="0" w:color="auto"/>
                              </w:divBdr>
                            </w:div>
                            <w:div w:id="2124569376">
                              <w:marLeft w:val="0"/>
                              <w:marRight w:val="0"/>
                              <w:marTop w:val="0"/>
                              <w:marBottom w:val="0"/>
                              <w:divBdr>
                                <w:top w:val="none" w:sz="0" w:space="0" w:color="auto"/>
                                <w:left w:val="none" w:sz="0" w:space="0" w:color="auto"/>
                                <w:bottom w:val="none" w:sz="0" w:space="0" w:color="auto"/>
                                <w:right w:val="none" w:sz="0" w:space="0" w:color="auto"/>
                              </w:divBdr>
                              <w:divsChild>
                                <w:div w:id="140498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4223596">
      <w:bodyDiv w:val="1"/>
      <w:marLeft w:val="0"/>
      <w:marRight w:val="0"/>
      <w:marTop w:val="0"/>
      <w:marBottom w:val="0"/>
      <w:divBdr>
        <w:top w:val="none" w:sz="0" w:space="0" w:color="auto"/>
        <w:left w:val="none" w:sz="0" w:space="0" w:color="auto"/>
        <w:bottom w:val="none" w:sz="0" w:space="0" w:color="auto"/>
        <w:right w:val="none" w:sz="0" w:space="0" w:color="auto"/>
      </w:divBdr>
      <w:divsChild>
        <w:div w:id="1435398607">
          <w:marLeft w:val="0"/>
          <w:marRight w:val="0"/>
          <w:marTop w:val="0"/>
          <w:marBottom w:val="0"/>
          <w:divBdr>
            <w:top w:val="none" w:sz="0" w:space="0" w:color="auto"/>
            <w:left w:val="none" w:sz="0" w:space="0" w:color="auto"/>
            <w:bottom w:val="none" w:sz="0" w:space="0" w:color="auto"/>
            <w:right w:val="none" w:sz="0" w:space="0" w:color="auto"/>
          </w:divBdr>
          <w:divsChild>
            <w:div w:id="176698901">
              <w:marLeft w:val="0"/>
              <w:marRight w:val="0"/>
              <w:marTop w:val="0"/>
              <w:marBottom w:val="0"/>
              <w:divBdr>
                <w:top w:val="none" w:sz="0" w:space="0" w:color="auto"/>
                <w:left w:val="none" w:sz="0" w:space="0" w:color="auto"/>
                <w:bottom w:val="none" w:sz="0" w:space="0" w:color="auto"/>
                <w:right w:val="none" w:sz="0" w:space="0" w:color="auto"/>
              </w:divBdr>
              <w:divsChild>
                <w:div w:id="439185906">
                  <w:marLeft w:val="0"/>
                  <w:marRight w:val="0"/>
                  <w:marTop w:val="0"/>
                  <w:marBottom w:val="0"/>
                  <w:divBdr>
                    <w:top w:val="none" w:sz="0" w:space="0" w:color="auto"/>
                    <w:left w:val="none" w:sz="0" w:space="0" w:color="auto"/>
                    <w:bottom w:val="none" w:sz="0" w:space="0" w:color="auto"/>
                    <w:right w:val="none" w:sz="0" w:space="0" w:color="auto"/>
                  </w:divBdr>
                  <w:divsChild>
                    <w:div w:id="1353914447">
                      <w:marLeft w:val="0"/>
                      <w:marRight w:val="0"/>
                      <w:marTop w:val="0"/>
                      <w:marBottom w:val="0"/>
                      <w:divBdr>
                        <w:top w:val="none" w:sz="0" w:space="0" w:color="auto"/>
                        <w:left w:val="none" w:sz="0" w:space="0" w:color="auto"/>
                        <w:bottom w:val="none" w:sz="0" w:space="0" w:color="auto"/>
                        <w:right w:val="none" w:sz="0" w:space="0" w:color="auto"/>
                      </w:divBdr>
                      <w:divsChild>
                        <w:div w:id="1671370732">
                          <w:marLeft w:val="0"/>
                          <w:marRight w:val="0"/>
                          <w:marTop w:val="0"/>
                          <w:marBottom w:val="0"/>
                          <w:divBdr>
                            <w:top w:val="none" w:sz="0" w:space="0" w:color="auto"/>
                            <w:left w:val="none" w:sz="0" w:space="0" w:color="auto"/>
                            <w:bottom w:val="none" w:sz="0" w:space="0" w:color="auto"/>
                            <w:right w:val="none" w:sz="0" w:space="0" w:color="auto"/>
                          </w:divBdr>
                          <w:divsChild>
                            <w:div w:id="325399288">
                              <w:marLeft w:val="0"/>
                              <w:marRight w:val="0"/>
                              <w:marTop w:val="0"/>
                              <w:marBottom w:val="0"/>
                              <w:divBdr>
                                <w:top w:val="none" w:sz="0" w:space="0" w:color="auto"/>
                                <w:left w:val="none" w:sz="0" w:space="0" w:color="auto"/>
                                <w:bottom w:val="none" w:sz="0" w:space="0" w:color="auto"/>
                                <w:right w:val="none" w:sz="0" w:space="0" w:color="auto"/>
                              </w:divBdr>
                              <w:divsChild>
                                <w:div w:id="1420637188">
                                  <w:marLeft w:val="0"/>
                                  <w:marRight w:val="0"/>
                                  <w:marTop w:val="0"/>
                                  <w:marBottom w:val="0"/>
                                  <w:divBdr>
                                    <w:top w:val="none" w:sz="0" w:space="0" w:color="auto"/>
                                    <w:left w:val="none" w:sz="0" w:space="0" w:color="auto"/>
                                    <w:bottom w:val="none" w:sz="0" w:space="0" w:color="auto"/>
                                    <w:right w:val="none" w:sz="0" w:space="0" w:color="auto"/>
                                  </w:divBdr>
                                  <w:divsChild>
                                    <w:div w:id="114400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4301176">
      <w:bodyDiv w:val="1"/>
      <w:marLeft w:val="0"/>
      <w:marRight w:val="0"/>
      <w:marTop w:val="0"/>
      <w:marBottom w:val="0"/>
      <w:divBdr>
        <w:top w:val="none" w:sz="0" w:space="0" w:color="auto"/>
        <w:left w:val="none" w:sz="0" w:space="0" w:color="auto"/>
        <w:bottom w:val="none" w:sz="0" w:space="0" w:color="auto"/>
        <w:right w:val="none" w:sz="0" w:space="0" w:color="auto"/>
      </w:divBdr>
      <w:divsChild>
        <w:div w:id="1521774407">
          <w:marLeft w:val="0"/>
          <w:marRight w:val="0"/>
          <w:marTop w:val="0"/>
          <w:marBottom w:val="150"/>
          <w:divBdr>
            <w:top w:val="none" w:sz="0" w:space="0" w:color="auto"/>
            <w:left w:val="none" w:sz="0" w:space="0" w:color="auto"/>
            <w:bottom w:val="none" w:sz="0" w:space="0" w:color="auto"/>
            <w:right w:val="none" w:sz="0" w:space="0" w:color="auto"/>
          </w:divBdr>
          <w:divsChild>
            <w:div w:id="1434545088">
              <w:marLeft w:val="0"/>
              <w:marRight w:val="0"/>
              <w:marTop w:val="0"/>
              <w:marBottom w:val="0"/>
              <w:divBdr>
                <w:top w:val="none" w:sz="0" w:space="0" w:color="auto"/>
                <w:left w:val="none" w:sz="0" w:space="0" w:color="auto"/>
                <w:bottom w:val="none" w:sz="0" w:space="0" w:color="auto"/>
                <w:right w:val="none" w:sz="0" w:space="0" w:color="auto"/>
              </w:divBdr>
              <w:divsChild>
                <w:div w:id="1661345836">
                  <w:marLeft w:val="0"/>
                  <w:marRight w:val="0"/>
                  <w:marTop w:val="0"/>
                  <w:marBottom w:val="0"/>
                  <w:divBdr>
                    <w:top w:val="none" w:sz="0" w:space="0" w:color="auto"/>
                    <w:left w:val="none" w:sz="0" w:space="0" w:color="auto"/>
                    <w:bottom w:val="none" w:sz="0" w:space="0" w:color="auto"/>
                    <w:right w:val="none" w:sz="0" w:space="0" w:color="auto"/>
                  </w:divBdr>
                  <w:divsChild>
                    <w:div w:id="302545397">
                      <w:marLeft w:val="0"/>
                      <w:marRight w:val="150"/>
                      <w:marTop w:val="0"/>
                      <w:marBottom w:val="0"/>
                      <w:divBdr>
                        <w:top w:val="none" w:sz="0" w:space="0" w:color="auto"/>
                        <w:left w:val="none" w:sz="0" w:space="0" w:color="auto"/>
                        <w:bottom w:val="none" w:sz="0" w:space="0" w:color="auto"/>
                        <w:right w:val="none" w:sz="0" w:space="0" w:color="auto"/>
                      </w:divBdr>
                      <w:divsChild>
                        <w:div w:id="71061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262219">
          <w:marLeft w:val="0"/>
          <w:marRight w:val="0"/>
          <w:marTop w:val="0"/>
          <w:marBottom w:val="150"/>
          <w:divBdr>
            <w:top w:val="none" w:sz="0" w:space="0" w:color="auto"/>
            <w:left w:val="none" w:sz="0" w:space="0" w:color="auto"/>
            <w:bottom w:val="none" w:sz="0" w:space="0" w:color="auto"/>
            <w:right w:val="none" w:sz="0" w:space="0" w:color="auto"/>
          </w:divBdr>
        </w:div>
        <w:div w:id="1057706141">
          <w:marLeft w:val="0"/>
          <w:marRight w:val="0"/>
          <w:marTop w:val="0"/>
          <w:marBottom w:val="0"/>
          <w:divBdr>
            <w:top w:val="none" w:sz="0" w:space="0" w:color="auto"/>
            <w:left w:val="none" w:sz="0" w:space="0" w:color="auto"/>
            <w:bottom w:val="none" w:sz="0" w:space="0" w:color="auto"/>
            <w:right w:val="none" w:sz="0" w:space="0" w:color="auto"/>
          </w:divBdr>
          <w:divsChild>
            <w:div w:id="75440044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14570471">
      <w:bodyDiv w:val="1"/>
      <w:marLeft w:val="0"/>
      <w:marRight w:val="0"/>
      <w:marTop w:val="0"/>
      <w:marBottom w:val="0"/>
      <w:divBdr>
        <w:top w:val="none" w:sz="0" w:space="0" w:color="auto"/>
        <w:left w:val="none" w:sz="0" w:space="0" w:color="auto"/>
        <w:bottom w:val="none" w:sz="0" w:space="0" w:color="auto"/>
        <w:right w:val="none" w:sz="0" w:space="0" w:color="auto"/>
      </w:divBdr>
    </w:div>
    <w:div w:id="814835913">
      <w:bodyDiv w:val="1"/>
      <w:marLeft w:val="0"/>
      <w:marRight w:val="0"/>
      <w:marTop w:val="0"/>
      <w:marBottom w:val="0"/>
      <w:divBdr>
        <w:top w:val="none" w:sz="0" w:space="0" w:color="auto"/>
        <w:left w:val="none" w:sz="0" w:space="0" w:color="auto"/>
        <w:bottom w:val="none" w:sz="0" w:space="0" w:color="auto"/>
        <w:right w:val="none" w:sz="0" w:space="0" w:color="auto"/>
      </w:divBdr>
    </w:div>
    <w:div w:id="814954488">
      <w:bodyDiv w:val="1"/>
      <w:marLeft w:val="0"/>
      <w:marRight w:val="0"/>
      <w:marTop w:val="0"/>
      <w:marBottom w:val="0"/>
      <w:divBdr>
        <w:top w:val="none" w:sz="0" w:space="0" w:color="auto"/>
        <w:left w:val="none" w:sz="0" w:space="0" w:color="auto"/>
        <w:bottom w:val="none" w:sz="0" w:space="0" w:color="auto"/>
        <w:right w:val="none" w:sz="0" w:space="0" w:color="auto"/>
      </w:divBdr>
      <w:divsChild>
        <w:div w:id="88934639">
          <w:marLeft w:val="0"/>
          <w:marRight w:val="0"/>
          <w:marTop w:val="0"/>
          <w:marBottom w:val="0"/>
          <w:divBdr>
            <w:top w:val="none" w:sz="0" w:space="0" w:color="auto"/>
            <w:left w:val="none" w:sz="0" w:space="0" w:color="auto"/>
            <w:bottom w:val="none" w:sz="0" w:space="0" w:color="auto"/>
            <w:right w:val="none" w:sz="0" w:space="0" w:color="auto"/>
          </w:divBdr>
        </w:div>
        <w:div w:id="153570574">
          <w:marLeft w:val="0"/>
          <w:marRight w:val="0"/>
          <w:marTop w:val="0"/>
          <w:marBottom w:val="0"/>
          <w:divBdr>
            <w:top w:val="none" w:sz="0" w:space="0" w:color="auto"/>
            <w:left w:val="none" w:sz="0" w:space="0" w:color="auto"/>
            <w:bottom w:val="none" w:sz="0" w:space="0" w:color="auto"/>
            <w:right w:val="none" w:sz="0" w:space="0" w:color="auto"/>
          </w:divBdr>
        </w:div>
        <w:div w:id="304703973">
          <w:marLeft w:val="0"/>
          <w:marRight w:val="0"/>
          <w:marTop w:val="0"/>
          <w:marBottom w:val="0"/>
          <w:divBdr>
            <w:top w:val="none" w:sz="0" w:space="0" w:color="auto"/>
            <w:left w:val="none" w:sz="0" w:space="0" w:color="auto"/>
            <w:bottom w:val="none" w:sz="0" w:space="0" w:color="auto"/>
            <w:right w:val="none" w:sz="0" w:space="0" w:color="auto"/>
          </w:divBdr>
          <w:divsChild>
            <w:div w:id="634915814">
              <w:marLeft w:val="0"/>
              <w:marRight w:val="0"/>
              <w:marTop w:val="0"/>
              <w:marBottom w:val="0"/>
              <w:divBdr>
                <w:top w:val="single" w:sz="8" w:space="3" w:color="E1E1E1"/>
                <w:left w:val="none" w:sz="0" w:space="0" w:color="auto"/>
                <w:bottom w:val="none" w:sz="0" w:space="0" w:color="auto"/>
                <w:right w:val="none" w:sz="0" w:space="0" w:color="auto"/>
              </w:divBdr>
            </w:div>
          </w:divsChild>
        </w:div>
        <w:div w:id="343433583">
          <w:marLeft w:val="0"/>
          <w:marRight w:val="0"/>
          <w:marTop w:val="0"/>
          <w:marBottom w:val="0"/>
          <w:divBdr>
            <w:top w:val="none" w:sz="0" w:space="0" w:color="auto"/>
            <w:left w:val="none" w:sz="0" w:space="0" w:color="auto"/>
            <w:bottom w:val="none" w:sz="0" w:space="0" w:color="auto"/>
            <w:right w:val="none" w:sz="0" w:space="0" w:color="auto"/>
          </w:divBdr>
        </w:div>
        <w:div w:id="449516382">
          <w:marLeft w:val="0"/>
          <w:marRight w:val="0"/>
          <w:marTop w:val="0"/>
          <w:marBottom w:val="0"/>
          <w:divBdr>
            <w:top w:val="none" w:sz="0" w:space="0" w:color="auto"/>
            <w:left w:val="none" w:sz="0" w:space="0" w:color="auto"/>
            <w:bottom w:val="none" w:sz="0" w:space="0" w:color="auto"/>
            <w:right w:val="none" w:sz="0" w:space="0" w:color="auto"/>
          </w:divBdr>
        </w:div>
        <w:div w:id="586811418">
          <w:marLeft w:val="0"/>
          <w:marRight w:val="0"/>
          <w:marTop w:val="0"/>
          <w:marBottom w:val="0"/>
          <w:divBdr>
            <w:top w:val="none" w:sz="0" w:space="0" w:color="auto"/>
            <w:left w:val="none" w:sz="0" w:space="0" w:color="auto"/>
            <w:bottom w:val="none" w:sz="0" w:space="0" w:color="auto"/>
            <w:right w:val="none" w:sz="0" w:space="0" w:color="auto"/>
          </w:divBdr>
        </w:div>
        <w:div w:id="651102066">
          <w:marLeft w:val="0"/>
          <w:marRight w:val="0"/>
          <w:marTop w:val="0"/>
          <w:marBottom w:val="0"/>
          <w:divBdr>
            <w:top w:val="none" w:sz="0" w:space="0" w:color="auto"/>
            <w:left w:val="none" w:sz="0" w:space="0" w:color="auto"/>
            <w:bottom w:val="none" w:sz="0" w:space="0" w:color="auto"/>
            <w:right w:val="none" w:sz="0" w:space="0" w:color="auto"/>
          </w:divBdr>
          <w:divsChild>
            <w:div w:id="98188877">
              <w:marLeft w:val="0"/>
              <w:marRight w:val="0"/>
              <w:marTop w:val="0"/>
              <w:marBottom w:val="0"/>
              <w:divBdr>
                <w:top w:val="none" w:sz="0" w:space="0" w:color="auto"/>
                <w:left w:val="none" w:sz="0" w:space="0" w:color="auto"/>
                <w:bottom w:val="none" w:sz="0" w:space="0" w:color="auto"/>
                <w:right w:val="none" w:sz="0" w:space="0" w:color="auto"/>
              </w:divBdr>
              <w:divsChild>
                <w:div w:id="205607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5429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4545495">
                  <w:marLeft w:val="0"/>
                  <w:marRight w:val="0"/>
                  <w:marTop w:val="0"/>
                  <w:marBottom w:val="0"/>
                  <w:divBdr>
                    <w:top w:val="none" w:sz="0" w:space="0" w:color="auto"/>
                    <w:left w:val="none" w:sz="0" w:space="0" w:color="auto"/>
                    <w:bottom w:val="none" w:sz="0" w:space="0" w:color="auto"/>
                    <w:right w:val="none" w:sz="0" w:space="0" w:color="auto"/>
                  </w:divBdr>
                </w:div>
              </w:divsChild>
            </w:div>
            <w:div w:id="1408724646">
              <w:marLeft w:val="0"/>
              <w:marRight w:val="0"/>
              <w:marTop w:val="0"/>
              <w:marBottom w:val="0"/>
              <w:divBdr>
                <w:top w:val="none" w:sz="0" w:space="0" w:color="auto"/>
                <w:left w:val="none" w:sz="0" w:space="0" w:color="auto"/>
                <w:bottom w:val="none" w:sz="0" w:space="0" w:color="auto"/>
                <w:right w:val="none" w:sz="0" w:space="0" w:color="auto"/>
              </w:divBdr>
            </w:div>
          </w:divsChild>
        </w:div>
        <w:div w:id="1693023101">
          <w:marLeft w:val="0"/>
          <w:marRight w:val="0"/>
          <w:marTop w:val="0"/>
          <w:marBottom w:val="0"/>
          <w:divBdr>
            <w:top w:val="none" w:sz="0" w:space="0" w:color="auto"/>
            <w:left w:val="none" w:sz="0" w:space="0" w:color="auto"/>
            <w:bottom w:val="none" w:sz="0" w:space="0" w:color="auto"/>
            <w:right w:val="none" w:sz="0" w:space="0" w:color="auto"/>
          </w:divBdr>
        </w:div>
      </w:divsChild>
    </w:div>
    <w:div w:id="815030727">
      <w:bodyDiv w:val="1"/>
      <w:marLeft w:val="0"/>
      <w:marRight w:val="0"/>
      <w:marTop w:val="0"/>
      <w:marBottom w:val="0"/>
      <w:divBdr>
        <w:top w:val="none" w:sz="0" w:space="0" w:color="auto"/>
        <w:left w:val="none" w:sz="0" w:space="0" w:color="auto"/>
        <w:bottom w:val="none" w:sz="0" w:space="0" w:color="auto"/>
        <w:right w:val="none" w:sz="0" w:space="0" w:color="auto"/>
      </w:divBdr>
      <w:divsChild>
        <w:div w:id="1160270747">
          <w:marLeft w:val="0"/>
          <w:marRight w:val="0"/>
          <w:marTop w:val="0"/>
          <w:marBottom w:val="150"/>
          <w:divBdr>
            <w:top w:val="none" w:sz="0" w:space="0" w:color="auto"/>
            <w:left w:val="none" w:sz="0" w:space="0" w:color="auto"/>
            <w:bottom w:val="none" w:sz="0" w:space="0" w:color="auto"/>
            <w:right w:val="none" w:sz="0" w:space="0" w:color="auto"/>
          </w:divBdr>
          <w:divsChild>
            <w:div w:id="650869420">
              <w:marLeft w:val="0"/>
              <w:marRight w:val="0"/>
              <w:marTop w:val="0"/>
              <w:marBottom w:val="0"/>
              <w:divBdr>
                <w:top w:val="none" w:sz="0" w:space="0" w:color="auto"/>
                <w:left w:val="none" w:sz="0" w:space="0" w:color="auto"/>
                <w:bottom w:val="none" w:sz="0" w:space="0" w:color="auto"/>
                <w:right w:val="none" w:sz="0" w:space="0" w:color="auto"/>
              </w:divBdr>
              <w:divsChild>
                <w:div w:id="109590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468567">
          <w:marLeft w:val="0"/>
          <w:marRight w:val="0"/>
          <w:marTop w:val="0"/>
          <w:marBottom w:val="0"/>
          <w:divBdr>
            <w:top w:val="none" w:sz="0" w:space="0" w:color="auto"/>
            <w:left w:val="none" w:sz="0" w:space="0" w:color="auto"/>
            <w:bottom w:val="none" w:sz="0" w:space="0" w:color="auto"/>
            <w:right w:val="none" w:sz="0" w:space="0" w:color="auto"/>
          </w:divBdr>
          <w:divsChild>
            <w:div w:id="349844886">
              <w:marLeft w:val="0"/>
              <w:marRight w:val="0"/>
              <w:marTop w:val="225"/>
              <w:marBottom w:val="225"/>
              <w:divBdr>
                <w:top w:val="none" w:sz="0" w:space="0" w:color="auto"/>
                <w:left w:val="none" w:sz="0" w:space="0" w:color="auto"/>
                <w:bottom w:val="none" w:sz="0" w:space="0" w:color="auto"/>
                <w:right w:val="none" w:sz="0" w:space="0" w:color="auto"/>
              </w:divBdr>
            </w:div>
          </w:divsChild>
        </w:div>
        <w:div w:id="2039964697">
          <w:marLeft w:val="0"/>
          <w:marRight w:val="0"/>
          <w:marTop w:val="0"/>
          <w:marBottom w:val="150"/>
          <w:divBdr>
            <w:top w:val="none" w:sz="0" w:space="0" w:color="auto"/>
            <w:left w:val="none" w:sz="0" w:space="0" w:color="auto"/>
            <w:bottom w:val="none" w:sz="0" w:space="0" w:color="auto"/>
            <w:right w:val="none" w:sz="0" w:space="0" w:color="auto"/>
          </w:divBdr>
        </w:div>
      </w:divsChild>
    </w:div>
    <w:div w:id="815293498">
      <w:bodyDiv w:val="1"/>
      <w:marLeft w:val="0"/>
      <w:marRight w:val="0"/>
      <w:marTop w:val="0"/>
      <w:marBottom w:val="0"/>
      <w:divBdr>
        <w:top w:val="none" w:sz="0" w:space="0" w:color="auto"/>
        <w:left w:val="none" w:sz="0" w:space="0" w:color="auto"/>
        <w:bottom w:val="none" w:sz="0" w:space="0" w:color="auto"/>
        <w:right w:val="none" w:sz="0" w:space="0" w:color="auto"/>
      </w:divBdr>
      <w:divsChild>
        <w:div w:id="499735543">
          <w:marLeft w:val="0"/>
          <w:marRight w:val="0"/>
          <w:marTop w:val="0"/>
          <w:marBottom w:val="0"/>
          <w:divBdr>
            <w:top w:val="none" w:sz="0" w:space="0" w:color="auto"/>
            <w:left w:val="none" w:sz="0" w:space="0" w:color="auto"/>
            <w:bottom w:val="none" w:sz="0" w:space="0" w:color="auto"/>
            <w:right w:val="none" w:sz="0" w:space="0" w:color="auto"/>
          </w:divBdr>
          <w:divsChild>
            <w:div w:id="156776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534204">
      <w:bodyDiv w:val="1"/>
      <w:marLeft w:val="0"/>
      <w:marRight w:val="0"/>
      <w:marTop w:val="0"/>
      <w:marBottom w:val="0"/>
      <w:divBdr>
        <w:top w:val="none" w:sz="0" w:space="0" w:color="auto"/>
        <w:left w:val="none" w:sz="0" w:space="0" w:color="auto"/>
        <w:bottom w:val="none" w:sz="0" w:space="0" w:color="auto"/>
        <w:right w:val="none" w:sz="0" w:space="0" w:color="auto"/>
      </w:divBdr>
      <w:divsChild>
        <w:div w:id="1149245766">
          <w:marLeft w:val="0"/>
          <w:marRight w:val="0"/>
          <w:marTop w:val="0"/>
          <w:marBottom w:val="0"/>
          <w:divBdr>
            <w:top w:val="none" w:sz="0" w:space="0" w:color="auto"/>
            <w:left w:val="none" w:sz="0" w:space="0" w:color="auto"/>
            <w:bottom w:val="dotted" w:sz="6" w:space="4" w:color="DDDDDD"/>
            <w:right w:val="none" w:sz="0" w:space="0" w:color="auto"/>
          </w:divBdr>
        </w:div>
      </w:divsChild>
    </w:div>
    <w:div w:id="815757205">
      <w:bodyDiv w:val="1"/>
      <w:marLeft w:val="0"/>
      <w:marRight w:val="0"/>
      <w:marTop w:val="0"/>
      <w:marBottom w:val="0"/>
      <w:divBdr>
        <w:top w:val="none" w:sz="0" w:space="0" w:color="auto"/>
        <w:left w:val="none" w:sz="0" w:space="0" w:color="auto"/>
        <w:bottom w:val="none" w:sz="0" w:space="0" w:color="auto"/>
        <w:right w:val="none" w:sz="0" w:space="0" w:color="auto"/>
      </w:divBdr>
      <w:divsChild>
        <w:div w:id="65539227">
          <w:marLeft w:val="0"/>
          <w:marRight w:val="0"/>
          <w:marTop w:val="0"/>
          <w:marBottom w:val="0"/>
          <w:divBdr>
            <w:top w:val="none" w:sz="0" w:space="0" w:color="auto"/>
            <w:left w:val="none" w:sz="0" w:space="0" w:color="auto"/>
            <w:bottom w:val="none" w:sz="0" w:space="0" w:color="auto"/>
            <w:right w:val="none" w:sz="0" w:space="0" w:color="auto"/>
          </w:divBdr>
          <w:divsChild>
            <w:div w:id="383718094">
              <w:marLeft w:val="0"/>
              <w:marRight w:val="0"/>
              <w:marTop w:val="0"/>
              <w:marBottom w:val="0"/>
              <w:divBdr>
                <w:top w:val="none" w:sz="0" w:space="0" w:color="auto"/>
                <w:left w:val="none" w:sz="0" w:space="0" w:color="auto"/>
                <w:bottom w:val="none" w:sz="0" w:space="0" w:color="auto"/>
                <w:right w:val="none" w:sz="0" w:space="0" w:color="auto"/>
              </w:divBdr>
              <w:divsChild>
                <w:div w:id="1564678713">
                  <w:marLeft w:val="0"/>
                  <w:marRight w:val="0"/>
                  <w:marTop w:val="0"/>
                  <w:marBottom w:val="150"/>
                  <w:divBdr>
                    <w:top w:val="none" w:sz="0" w:space="0" w:color="auto"/>
                    <w:left w:val="none" w:sz="0" w:space="0" w:color="auto"/>
                    <w:bottom w:val="none" w:sz="0" w:space="0" w:color="auto"/>
                    <w:right w:val="none" w:sz="0" w:space="0" w:color="auto"/>
                  </w:divBdr>
                  <w:divsChild>
                    <w:div w:id="1683240676">
                      <w:marLeft w:val="0"/>
                      <w:marRight w:val="0"/>
                      <w:marTop w:val="0"/>
                      <w:marBottom w:val="0"/>
                      <w:divBdr>
                        <w:top w:val="none" w:sz="0" w:space="0" w:color="auto"/>
                        <w:left w:val="none" w:sz="0" w:space="0" w:color="auto"/>
                        <w:bottom w:val="none" w:sz="0" w:space="0" w:color="auto"/>
                        <w:right w:val="none" w:sz="0" w:space="0" w:color="auto"/>
                      </w:divBdr>
                      <w:divsChild>
                        <w:div w:id="1866477270">
                          <w:marLeft w:val="0"/>
                          <w:marRight w:val="0"/>
                          <w:marTop w:val="0"/>
                          <w:marBottom w:val="0"/>
                          <w:divBdr>
                            <w:top w:val="none" w:sz="0" w:space="0" w:color="auto"/>
                            <w:left w:val="none" w:sz="0" w:space="0" w:color="auto"/>
                            <w:bottom w:val="none" w:sz="0" w:space="0" w:color="auto"/>
                            <w:right w:val="none" w:sz="0" w:space="0" w:color="auto"/>
                          </w:divBdr>
                          <w:divsChild>
                            <w:div w:id="1704669721">
                              <w:marLeft w:val="0"/>
                              <w:marRight w:val="0"/>
                              <w:marTop w:val="0"/>
                              <w:marBottom w:val="0"/>
                              <w:divBdr>
                                <w:top w:val="none" w:sz="0" w:space="0" w:color="auto"/>
                                <w:left w:val="none" w:sz="0" w:space="0" w:color="auto"/>
                                <w:bottom w:val="none" w:sz="0" w:space="0" w:color="auto"/>
                                <w:right w:val="none" w:sz="0" w:space="0" w:color="auto"/>
                              </w:divBdr>
                              <w:divsChild>
                                <w:div w:id="1781294176">
                                  <w:marLeft w:val="0"/>
                                  <w:marRight w:val="0"/>
                                  <w:marTop w:val="0"/>
                                  <w:marBottom w:val="0"/>
                                  <w:divBdr>
                                    <w:top w:val="none" w:sz="0" w:space="0" w:color="auto"/>
                                    <w:left w:val="none" w:sz="0" w:space="0" w:color="auto"/>
                                    <w:bottom w:val="none" w:sz="0" w:space="0" w:color="auto"/>
                                    <w:right w:val="none" w:sz="0" w:space="0" w:color="auto"/>
                                  </w:divBdr>
                                  <w:divsChild>
                                    <w:div w:id="1604221136">
                                      <w:marLeft w:val="0"/>
                                      <w:marRight w:val="0"/>
                                      <w:marTop w:val="0"/>
                                      <w:marBottom w:val="0"/>
                                      <w:divBdr>
                                        <w:top w:val="none" w:sz="0" w:space="0" w:color="auto"/>
                                        <w:left w:val="none" w:sz="0" w:space="0" w:color="auto"/>
                                        <w:bottom w:val="none" w:sz="0" w:space="0" w:color="auto"/>
                                        <w:right w:val="none" w:sz="0" w:space="0" w:color="auto"/>
                                      </w:divBdr>
                                      <w:divsChild>
                                        <w:div w:id="246307538">
                                          <w:marLeft w:val="0"/>
                                          <w:marRight w:val="0"/>
                                          <w:marTop w:val="0"/>
                                          <w:marBottom w:val="0"/>
                                          <w:divBdr>
                                            <w:top w:val="none" w:sz="0" w:space="0" w:color="auto"/>
                                            <w:left w:val="none" w:sz="0" w:space="0" w:color="auto"/>
                                            <w:bottom w:val="none" w:sz="0" w:space="0" w:color="auto"/>
                                            <w:right w:val="none" w:sz="0" w:space="0" w:color="auto"/>
                                          </w:divBdr>
                                          <w:divsChild>
                                            <w:div w:id="750859852">
                                              <w:marLeft w:val="0"/>
                                              <w:marRight w:val="0"/>
                                              <w:marTop w:val="0"/>
                                              <w:marBottom w:val="0"/>
                                              <w:divBdr>
                                                <w:top w:val="none" w:sz="0" w:space="0" w:color="auto"/>
                                                <w:left w:val="none" w:sz="0" w:space="0" w:color="auto"/>
                                                <w:bottom w:val="none" w:sz="0" w:space="0" w:color="auto"/>
                                                <w:right w:val="none" w:sz="0" w:space="0" w:color="auto"/>
                                              </w:divBdr>
                                              <w:divsChild>
                                                <w:div w:id="30817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6146663">
      <w:bodyDiv w:val="1"/>
      <w:marLeft w:val="0"/>
      <w:marRight w:val="0"/>
      <w:marTop w:val="0"/>
      <w:marBottom w:val="0"/>
      <w:divBdr>
        <w:top w:val="none" w:sz="0" w:space="0" w:color="auto"/>
        <w:left w:val="none" w:sz="0" w:space="0" w:color="auto"/>
        <w:bottom w:val="none" w:sz="0" w:space="0" w:color="auto"/>
        <w:right w:val="none" w:sz="0" w:space="0" w:color="auto"/>
      </w:divBdr>
    </w:div>
    <w:div w:id="817454317">
      <w:bodyDiv w:val="1"/>
      <w:marLeft w:val="0"/>
      <w:marRight w:val="0"/>
      <w:marTop w:val="0"/>
      <w:marBottom w:val="0"/>
      <w:divBdr>
        <w:top w:val="none" w:sz="0" w:space="0" w:color="auto"/>
        <w:left w:val="none" w:sz="0" w:space="0" w:color="auto"/>
        <w:bottom w:val="none" w:sz="0" w:space="0" w:color="auto"/>
        <w:right w:val="none" w:sz="0" w:space="0" w:color="auto"/>
      </w:divBdr>
    </w:div>
    <w:div w:id="817500379">
      <w:bodyDiv w:val="1"/>
      <w:marLeft w:val="0"/>
      <w:marRight w:val="0"/>
      <w:marTop w:val="0"/>
      <w:marBottom w:val="0"/>
      <w:divBdr>
        <w:top w:val="none" w:sz="0" w:space="0" w:color="auto"/>
        <w:left w:val="none" w:sz="0" w:space="0" w:color="auto"/>
        <w:bottom w:val="none" w:sz="0" w:space="0" w:color="auto"/>
        <w:right w:val="none" w:sz="0" w:space="0" w:color="auto"/>
      </w:divBdr>
      <w:divsChild>
        <w:div w:id="1548486841">
          <w:marLeft w:val="0"/>
          <w:marRight w:val="0"/>
          <w:marTop w:val="0"/>
          <w:marBottom w:val="0"/>
          <w:divBdr>
            <w:top w:val="none" w:sz="0" w:space="0" w:color="auto"/>
            <w:left w:val="none" w:sz="0" w:space="0" w:color="auto"/>
            <w:bottom w:val="dotted" w:sz="6" w:space="4" w:color="DDDDDD"/>
            <w:right w:val="none" w:sz="0" w:space="0" w:color="auto"/>
          </w:divBdr>
        </w:div>
      </w:divsChild>
    </w:div>
    <w:div w:id="817646798">
      <w:bodyDiv w:val="1"/>
      <w:marLeft w:val="0"/>
      <w:marRight w:val="0"/>
      <w:marTop w:val="0"/>
      <w:marBottom w:val="0"/>
      <w:divBdr>
        <w:top w:val="none" w:sz="0" w:space="0" w:color="auto"/>
        <w:left w:val="none" w:sz="0" w:space="0" w:color="auto"/>
        <w:bottom w:val="none" w:sz="0" w:space="0" w:color="auto"/>
        <w:right w:val="none" w:sz="0" w:space="0" w:color="auto"/>
      </w:divBdr>
      <w:divsChild>
        <w:div w:id="139228319">
          <w:marLeft w:val="0"/>
          <w:marRight w:val="0"/>
          <w:marTop w:val="0"/>
          <w:marBottom w:val="0"/>
          <w:divBdr>
            <w:top w:val="none" w:sz="0" w:space="0" w:color="auto"/>
            <w:left w:val="none" w:sz="0" w:space="0" w:color="auto"/>
            <w:bottom w:val="none" w:sz="0" w:space="0" w:color="auto"/>
            <w:right w:val="none" w:sz="0" w:space="0" w:color="auto"/>
          </w:divBdr>
          <w:divsChild>
            <w:div w:id="1773933499">
              <w:marLeft w:val="0"/>
              <w:marRight w:val="0"/>
              <w:marTop w:val="225"/>
              <w:marBottom w:val="225"/>
              <w:divBdr>
                <w:top w:val="none" w:sz="0" w:space="0" w:color="auto"/>
                <w:left w:val="none" w:sz="0" w:space="0" w:color="auto"/>
                <w:bottom w:val="none" w:sz="0" w:space="0" w:color="auto"/>
                <w:right w:val="none" w:sz="0" w:space="0" w:color="auto"/>
              </w:divBdr>
            </w:div>
          </w:divsChild>
        </w:div>
        <w:div w:id="348414672">
          <w:marLeft w:val="0"/>
          <w:marRight w:val="0"/>
          <w:marTop w:val="0"/>
          <w:marBottom w:val="150"/>
          <w:divBdr>
            <w:top w:val="none" w:sz="0" w:space="0" w:color="auto"/>
            <w:left w:val="none" w:sz="0" w:space="0" w:color="auto"/>
            <w:bottom w:val="none" w:sz="0" w:space="0" w:color="auto"/>
            <w:right w:val="none" w:sz="0" w:space="0" w:color="auto"/>
          </w:divBdr>
          <w:divsChild>
            <w:div w:id="1133211916">
              <w:marLeft w:val="0"/>
              <w:marRight w:val="0"/>
              <w:marTop w:val="0"/>
              <w:marBottom w:val="0"/>
              <w:divBdr>
                <w:top w:val="none" w:sz="0" w:space="0" w:color="auto"/>
                <w:left w:val="none" w:sz="0" w:space="0" w:color="auto"/>
                <w:bottom w:val="none" w:sz="0" w:space="0" w:color="auto"/>
                <w:right w:val="none" w:sz="0" w:space="0" w:color="auto"/>
              </w:divBdr>
              <w:divsChild>
                <w:div w:id="191366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331984">
          <w:marLeft w:val="0"/>
          <w:marRight w:val="0"/>
          <w:marTop w:val="0"/>
          <w:marBottom w:val="150"/>
          <w:divBdr>
            <w:top w:val="none" w:sz="0" w:space="0" w:color="auto"/>
            <w:left w:val="none" w:sz="0" w:space="0" w:color="auto"/>
            <w:bottom w:val="none" w:sz="0" w:space="0" w:color="auto"/>
            <w:right w:val="none" w:sz="0" w:space="0" w:color="auto"/>
          </w:divBdr>
        </w:div>
      </w:divsChild>
    </w:div>
    <w:div w:id="818111123">
      <w:bodyDiv w:val="1"/>
      <w:marLeft w:val="0"/>
      <w:marRight w:val="0"/>
      <w:marTop w:val="0"/>
      <w:marBottom w:val="0"/>
      <w:divBdr>
        <w:top w:val="none" w:sz="0" w:space="0" w:color="auto"/>
        <w:left w:val="none" w:sz="0" w:space="0" w:color="auto"/>
        <w:bottom w:val="none" w:sz="0" w:space="0" w:color="auto"/>
        <w:right w:val="none" w:sz="0" w:space="0" w:color="auto"/>
      </w:divBdr>
      <w:divsChild>
        <w:div w:id="295109980">
          <w:marLeft w:val="0"/>
          <w:marRight w:val="0"/>
          <w:marTop w:val="0"/>
          <w:marBottom w:val="225"/>
          <w:divBdr>
            <w:top w:val="none" w:sz="0" w:space="0" w:color="auto"/>
            <w:left w:val="none" w:sz="0" w:space="0" w:color="auto"/>
            <w:bottom w:val="none" w:sz="0" w:space="0" w:color="auto"/>
            <w:right w:val="none" w:sz="0" w:space="0" w:color="auto"/>
          </w:divBdr>
          <w:divsChild>
            <w:div w:id="1254360492">
              <w:marLeft w:val="0"/>
              <w:marRight w:val="0"/>
              <w:marTop w:val="0"/>
              <w:marBottom w:val="0"/>
              <w:divBdr>
                <w:top w:val="none" w:sz="0" w:space="0" w:color="auto"/>
                <w:left w:val="none" w:sz="0" w:space="0" w:color="auto"/>
                <w:bottom w:val="none" w:sz="0" w:space="0" w:color="auto"/>
                <w:right w:val="none" w:sz="0" w:space="0" w:color="auto"/>
              </w:divBdr>
            </w:div>
          </w:divsChild>
        </w:div>
        <w:div w:id="1637640391">
          <w:marLeft w:val="0"/>
          <w:marRight w:val="0"/>
          <w:marTop w:val="0"/>
          <w:marBottom w:val="225"/>
          <w:divBdr>
            <w:top w:val="none" w:sz="0" w:space="0" w:color="auto"/>
            <w:left w:val="none" w:sz="0" w:space="0" w:color="auto"/>
            <w:bottom w:val="none" w:sz="0" w:space="0" w:color="auto"/>
            <w:right w:val="none" w:sz="0" w:space="0" w:color="auto"/>
          </w:divBdr>
        </w:div>
      </w:divsChild>
    </w:div>
    <w:div w:id="818111623">
      <w:bodyDiv w:val="1"/>
      <w:marLeft w:val="0"/>
      <w:marRight w:val="0"/>
      <w:marTop w:val="0"/>
      <w:marBottom w:val="0"/>
      <w:divBdr>
        <w:top w:val="none" w:sz="0" w:space="0" w:color="auto"/>
        <w:left w:val="none" w:sz="0" w:space="0" w:color="auto"/>
        <w:bottom w:val="none" w:sz="0" w:space="0" w:color="auto"/>
        <w:right w:val="none" w:sz="0" w:space="0" w:color="auto"/>
      </w:divBdr>
      <w:divsChild>
        <w:div w:id="1135754018">
          <w:marLeft w:val="0"/>
          <w:marRight w:val="0"/>
          <w:marTop w:val="0"/>
          <w:marBottom w:val="0"/>
          <w:divBdr>
            <w:top w:val="none" w:sz="0" w:space="0" w:color="auto"/>
            <w:left w:val="none" w:sz="0" w:space="0" w:color="auto"/>
            <w:bottom w:val="none" w:sz="0" w:space="0" w:color="auto"/>
            <w:right w:val="none" w:sz="0" w:space="0" w:color="auto"/>
          </w:divBdr>
          <w:divsChild>
            <w:div w:id="876699650">
              <w:marLeft w:val="0"/>
              <w:marRight w:val="0"/>
              <w:marTop w:val="0"/>
              <w:marBottom w:val="0"/>
              <w:divBdr>
                <w:top w:val="none" w:sz="0" w:space="0" w:color="auto"/>
                <w:left w:val="none" w:sz="0" w:space="0" w:color="auto"/>
                <w:bottom w:val="none" w:sz="0" w:space="0" w:color="auto"/>
                <w:right w:val="none" w:sz="0" w:space="0" w:color="auto"/>
              </w:divBdr>
              <w:divsChild>
                <w:div w:id="1832940366">
                  <w:marLeft w:val="0"/>
                  <w:marRight w:val="0"/>
                  <w:marTop w:val="0"/>
                  <w:marBottom w:val="0"/>
                  <w:divBdr>
                    <w:top w:val="none" w:sz="0" w:space="0" w:color="auto"/>
                    <w:left w:val="none" w:sz="0" w:space="0" w:color="auto"/>
                    <w:bottom w:val="none" w:sz="0" w:space="0" w:color="auto"/>
                    <w:right w:val="none" w:sz="0" w:space="0" w:color="auto"/>
                  </w:divBdr>
                  <w:divsChild>
                    <w:div w:id="958217630">
                      <w:marLeft w:val="0"/>
                      <w:marRight w:val="0"/>
                      <w:marTop w:val="225"/>
                      <w:marBottom w:val="150"/>
                      <w:divBdr>
                        <w:top w:val="none" w:sz="0" w:space="4" w:color="auto"/>
                        <w:left w:val="none" w:sz="0" w:space="0" w:color="auto"/>
                        <w:bottom w:val="single" w:sz="6" w:space="4" w:color="CECECE"/>
                        <w:right w:val="none" w:sz="0" w:space="0" w:color="auto"/>
                      </w:divBdr>
                      <w:divsChild>
                        <w:div w:id="1438675000">
                          <w:marLeft w:val="0"/>
                          <w:marRight w:val="0"/>
                          <w:marTop w:val="75"/>
                          <w:marBottom w:val="75"/>
                          <w:divBdr>
                            <w:top w:val="none" w:sz="0" w:space="0" w:color="auto"/>
                            <w:left w:val="none" w:sz="0" w:space="0" w:color="auto"/>
                            <w:bottom w:val="none" w:sz="0" w:space="0" w:color="auto"/>
                            <w:right w:val="none" w:sz="0" w:space="0" w:color="auto"/>
                          </w:divBdr>
                          <w:divsChild>
                            <w:div w:id="1689287752">
                              <w:marLeft w:val="0"/>
                              <w:marRight w:val="135"/>
                              <w:marTop w:val="0"/>
                              <w:marBottom w:val="0"/>
                              <w:divBdr>
                                <w:top w:val="none" w:sz="0" w:space="0" w:color="auto"/>
                                <w:left w:val="none" w:sz="0" w:space="0" w:color="auto"/>
                                <w:bottom w:val="none" w:sz="0" w:space="0" w:color="auto"/>
                                <w:right w:val="none" w:sz="0" w:space="0" w:color="auto"/>
                              </w:divBdr>
                            </w:div>
                            <w:div w:id="1981493023">
                              <w:marLeft w:val="0"/>
                              <w:marRight w:val="0"/>
                              <w:marTop w:val="45"/>
                              <w:marBottom w:val="0"/>
                              <w:divBdr>
                                <w:top w:val="none" w:sz="0" w:space="0" w:color="auto"/>
                                <w:left w:val="none" w:sz="0" w:space="0" w:color="auto"/>
                                <w:bottom w:val="none" w:sz="0" w:space="0" w:color="auto"/>
                                <w:right w:val="none" w:sz="0" w:space="0" w:color="auto"/>
                              </w:divBdr>
                            </w:div>
                          </w:divsChild>
                        </w:div>
                        <w:div w:id="199402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8113350">
      <w:bodyDiv w:val="1"/>
      <w:marLeft w:val="0"/>
      <w:marRight w:val="0"/>
      <w:marTop w:val="0"/>
      <w:marBottom w:val="0"/>
      <w:divBdr>
        <w:top w:val="none" w:sz="0" w:space="0" w:color="auto"/>
        <w:left w:val="none" w:sz="0" w:space="0" w:color="auto"/>
        <w:bottom w:val="none" w:sz="0" w:space="0" w:color="auto"/>
        <w:right w:val="none" w:sz="0" w:space="0" w:color="auto"/>
      </w:divBdr>
      <w:divsChild>
        <w:div w:id="609554388">
          <w:marLeft w:val="0"/>
          <w:marRight w:val="0"/>
          <w:marTop w:val="0"/>
          <w:marBottom w:val="0"/>
          <w:divBdr>
            <w:top w:val="none" w:sz="0" w:space="0" w:color="auto"/>
            <w:left w:val="none" w:sz="0" w:space="0" w:color="auto"/>
            <w:bottom w:val="none" w:sz="0" w:space="0" w:color="auto"/>
            <w:right w:val="none" w:sz="0" w:space="0" w:color="auto"/>
          </w:divBdr>
        </w:div>
        <w:div w:id="2058239592">
          <w:marLeft w:val="0"/>
          <w:marRight w:val="0"/>
          <w:marTop w:val="0"/>
          <w:marBottom w:val="0"/>
          <w:divBdr>
            <w:top w:val="none" w:sz="0" w:space="0" w:color="auto"/>
            <w:left w:val="none" w:sz="0" w:space="0" w:color="auto"/>
            <w:bottom w:val="none" w:sz="0" w:space="0" w:color="auto"/>
            <w:right w:val="none" w:sz="0" w:space="0" w:color="auto"/>
          </w:divBdr>
          <w:divsChild>
            <w:div w:id="78648111">
              <w:marLeft w:val="0"/>
              <w:marRight w:val="150"/>
              <w:marTop w:val="0"/>
              <w:marBottom w:val="0"/>
              <w:divBdr>
                <w:top w:val="none" w:sz="0" w:space="0" w:color="auto"/>
                <w:left w:val="none" w:sz="0" w:space="0" w:color="auto"/>
                <w:bottom w:val="none" w:sz="0" w:space="0" w:color="auto"/>
                <w:right w:val="none" w:sz="0" w:space="0" w:color="auto"/>
              </w:divBdr>
            </w:div>
            <w:div w:id="111899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352447">
      <w:bodyDiv w:val="1"/>
      <w:marLeft w:val="0"/>
      <w:marRight w:val="0"/>
      <w:marTop w:val="0"/>
      <w:marBottom w:val="0"/>
      <w:divBdr>
        <w:top w:val="none" w:sz="0" w:space="0" w:color="auto"/>
        <w:left w:val="none" w:sz="0" w:space="0" w:color="auto"/>
        <w:bottom w:val="none" w:sz="0" w:space="0" w:color="auto"/>
        <w:right w:val="none" w:sz="0" w:space="0" w:color="auto"/>
      </w:divBdr>
      <w:divsChild>
        <w:div w:id="929193338">
          <w:marLeft w:val="0"/>
          <w:marRight w:val="0"/>
          <w:marTop w:val="0"/>
          <w:marBottom w:val="0"/>
          <w:divBdr>
            <w:top w:val="none" w:sz="0" w:space="0" w:color="auto"/>
            <w:left w:val="none" w:sz="0" w:space="0" w:color="auto"/>
            <w:bottom w:val="none" w:sz="0" w:space="0" w:color="auto"/>
            <w:right w:val="none" w:sz="0" w:space="0" w:color="auto"/>
          </w:divBdr>
          <w:divsChild>
            <w:div w:id="37553854">
              <w:marLeft w:val="0"/>
              <w:marRight w:val="0"/>
              <w:marTop w:val="0"/>
              <w:marBottom w:val="0"/>
              <w:divBdr>
                <w:top w:val="none" w:sz="0" w:space="0" w:color="auto"/>
                <w:left w:val="none" w:sz="0" w:space="0" w:color="auto"/>
                <w:bottom w:val="none" w:sz="0" w:space="0" w:color="auto"/>
                <w:right w:val="none" w:sz="0" w:space="0" w:color="auto"/>
              </w:divBdr>
            </w:div>
          </w:divsChild>
        </w:div>
        <w:div w:id="860241916">
          <w:marLeft w:val="0"/>
          <w:marRight w:val="0"/>
          <w:marTop w:val="0"/>
          <w:marBottom w:val="0"/>
          <w:divBdr>
            <w:top w:val="none" w:sz="0" w:space="0" w:color="auto"/>
            <w:left w:val="none" w:sz="0" w:space="0" w:color="auto"/>
            <w:bottom w:val="none" w:sz="0" w:space="0" w:color="auto"/>
            <w:right w:val="none" w:sz="0" w:space="0" w:color="auto"/>
          </w:divBdr>
        </w:div>
        <w:div w:id="217013789">
          <w:marLeft w:val="0"/>
          <w:marRight w:val="0"/>
          <w:marTop w:val="0"/>
          <w:marBottom w:val="0"/>
          <w:divBdr>
            <w:top w:val="none" w:sz="0" w:space="0" w:color="auto"/>
            <w:left w:val="none" w:sz="0" w:space="0" w:color="auto"/>
            <w:bottom w:val="none" w:sz="0" w:space="0" w:color="auto"/>
            <w:right w:val="none" w:sz="0" w:space="0" w:color="auto"/>
          </w:divBdr>
          <w:divsChild>
            <w:div w:id="1716081393">
              <w:marLeft w:val="-225"/>
              <w:marRight w:val="-225"/>
              <w:marTop w:val="0"/>
              <w:marBottom w:val="0"/>
              <w:divBdr>
                <w:top w:val="none" w:sz="0" w:space="0" w:color="auto"/>
                <w:left w:val="none" w:sz="0" w:space="0" w:color="auto"/>
                <w:bottom w:val="none" w:sz="0" w:space="0" w:color="auto"/>
                <w:right w:val="none" w:sz="0" w:space="0" w:color="auto"/>
              </w:divBdr>
              <w:divsChild>
                <w:div w:id="1910113460">
                  <w:marLeft w:val="0"/>
                  <w:marRight w:val="0"/>
                  <w:marTop w:val="0"/>
                  <w:marBottom w:val="0"/>
                  <w:divBdr>
                    <w:top w:val="none" w:sz="0" w:space="0" w:color="auto"/>
                    <w:left w:val="none" w:sz="0" w:space="0" w:color="auto"/>
                    <w:bottom w:val="none" w:sz="0" w:space="0" w:color="auto"/>
                    <w:right w:val="single" w:sz="6" w:space="0" w:color="000000"/>
                  </w:divBdr>
                  <w:divsChild>
                    <w:div w:id="1514035096">
                      <w:marLeft w:val="0"/>
                      <w:marRight w:val="0"/>
                      <w:marTop w:val="0"/>
                      <w:marBottom w:val="0"/>
                      <w:divBdr>
                        <w:top w:val="none" w:sz="0" w:space="0" w:color="auto"/>
                        <w:left w:val="none" w:sz="0" w:space="0" w:color="auto"/>
                        <w:bottom w:val="none" w:sz="0" w:space="0" w:color="auto"/>
                        <w:right w:val="none" w:sz="0" w:space="0" w:color="auto"/>
                      </w:divBdr>
                      <w:divsChild>
                        <w:div w:id="122390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72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620461">
      <w:bodyDiv w:val="1"/>
      <w:marLeft w:val="0"/>
      <w:marRight w:val="0"/>
      <w:marTop w:val="0"/>
      <w:marBottom w:val="0"/>
      <w:divBdr>
        <w:top w:val="none" w:sz="0" w:space="0" w:color="auto"/>
        <w:left w:val="none" w:sz="0" w:space="0" w:color="auto"/>
        <w:bottom w:val="none" w:sz="0" w:space="0" w:color="auto"/>
        <w:right w:val="none" w:sz="0" w:space="0" w:color="auto"/>
      </w:divBdr>
    </w:div>
    <w:div w:id="819154619">
      <w:bodyDiv w:val="1"/>
      <w:marLeft w:val="0"/>
      <w:marRight w:val="0"/>
      <w:marTop w:val="0"/>
      <w:marBottom w:val="0"/>
      <w:divBdr>
        <w:top w:val="none" w:sz="0" w:space="0" w:color="auto"/>
        <w:left w:val="none" w:sz="0" w:space="0" w:color="auto"/>
        <w:bottom w:val="none" w:sz="0" w:space="0" w:color="auto"/>
        <w:right w:val="none" w:sz="0" w:space="0" w:color="auto"/>
      </w:divBdr>
      <w:divsChild>
        <w:div w:id="1885212337">
          <w:marLeft w:val="0"/>
          <w:marRight w:val="0"/>
          <w:marTop w:val="0"/>
          <w:marBottom w:val="0"/>
          <w:divBdr>
            <w:top w:val="none" w:sz="0" w:space="0" w:color="auto"/>
            <w:left w:val="none" w:sz="0" w:space="0" w:color="auto"/>
            <w:bottom w:val="none" w:sz="0" w:space="0" w:color="auto"/>
            <w:right w:val="none" w:sz="0" w:space="0" w:color="auto"/>
          </w:divBdr>
          <w:divsChild>
            <w:div w:id="86078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349423">
      <w:bodyDiv w:val="1"/>
      <w:marLeft w:val="0"/>
      <w:marRight w:val="0"/>
      <w:marTop w:val="0"/>
      <w:marBottom w:val="0"/>
      <w:divBdr>
        <w:top w:val="none" w:sz="0" w:space="0" w:color="auto"/>
        <w:left w:val="none" w:sz="0" w:space="0" w:color="auto"/>
        <w:bottom w:val="none" w:sz="0" w:space="0" w:color="auto"/>
        <w:right w:val="none" w:sz="0" w:space="0" w:color="auto"/>
      </w:divBdr>
    </w:div>
    <w:div w:id="819691032">
      <w:bodyDiv w:val="1"/>
      <w:marLeft w:val="0"/>
      <w:marRight w:val="0"/>
      <w:marTop w:val="0"/>
      <w:marBottom w:val="0"/>
      <w:divBdr>
        <w:top w:val="none" w:sz="0" w:space="0" w:color="auto"/>
        <w:left w:val="none" w:sz="0" w:space="0" w:color="auto"/>
        <w:bottom w:val="none" w:sz="0" w:space="0" w:color="auto"/>
        <w:right w:val="none" w:sz="0" w:space="0" w:color="auto"/>
      </w:divBdr>
      <w:divsChild>
        <w:div w:id="1310402741">
          <w:marLeft w:val="0"/>
          <w:marRight w:val="0"/>
          <w:marTop w:val="0"/>
          <w:marBottom w:val="0"/>
          <w:divBdr>
            <w:top w:val="none" w:sz="0" w:space="0" w:color="auto"/>
            <w:left w:val="none" w:sz="0" w:space="0" w:color="auto"/>
            <w:bottom w:val="none" w:sz="0" w:space="0" w:color="auto"/>
            <w:right w:val="none" w:sz="0" w:space="0" w:color="auto"/>
          </w:divBdr>
        </w:div>
      </w:divsChild>
    </w:div>
    <w:div w:id="820006981">
      <w:bodyDiv w:val="1"/>
      <w:marLeft w:val="0"/>
      <w:marRight w:val="0"/>
      <w:marTop w:val="0"/>
      <w:marBottom w:val="0"/>
      <w:divBdr>
        <w:top w:val="none" w:sz="0" w:space="0" w:color="auto"/>
        <w:left w:val="none" w:sz="0" w:space="0" w:color="auto"/>
        <w:bottom w:val="none" w:sz="0" w:space="0" w:color="auto"/>
        <w:right w:val="none" w:sz="0" w:space="0" w:color="auto"/>
      </w:divBdr>
    </w:div>
    <w:div w:id="820074117">
      <w:bodyDiv w:val="1"/>
      <w:marLeft w:val="0"/>
      <w:marRight w:val="0"/>
      <w:marTop w:val="0"/>
      <w:marBottom w:val="0"/>
      <w:divBdr>
        <w:top w:val="none" w:sz="0" w:space="0" w:color="auto"/>
        <w:left w:val="none" w:sz="0" w:space="0" w:color="auto"/>
        <w:bottom w:val="none" w:sz="0" w:space="0" w:color="auto"/>
        <w:right w:val="none" w:sz="0" w:space="0" w:color="auto"/>
      </w:divBdr>
      <w:divsChild>
        <w:div w:id="18237951">
          <w:marLeft w:val="360"/>
          <w:marRight w:val="0"/>
          <w:marTop w:val="0"/>
          <w:marBottom w:val="0"/>
          <w:divBdr>
            <w:top w:val="none" w:sz="0" w:space="0" w:color="auto"/>
            <w:left w:val="none" w:sz="0" w:space="0" w:color="auto"/>
            <w:bottom w:val="none" w:sz="0" w:space="0" w:color="auto"/>
            <w:right w:val="none" w:sz="0" w:space="0" w:color="auto"/>
          </w:divBdr>
        </w:div>
        <w:div w:id="21102596">
          <w:marLeft w:val="0"/>
          <w:marRight w:val="0"/>
          <w:marTop w:val="0"/>
          <w:marBottom w:val="0"/>
          <w:divBdr>
            <w:top w:val="none" w:sz="0" w:space="0" w:color="auto"/>
            <w:left w:val="none" w:sz="0" w:space="0" w:color="auto"/>
            <w:bottom w:val="none" w:sz="0" w:space="0" w:color="auto"/>
            <w:right w:val="none" w:sz="0" w:space="0" w:color="auto"/>
          </w:divBdr>
        </w:div>
        <w:div w:id="21320576">
          <w:marLeft w:val="0"/>
          <w:marRight w:val="0"/>
          <w:marTop w:val="0"/>
          <w:marBottom w:val="0"/>
          <w:divBdr>
            <w:top w:val="none" w:sz="0" w:space="0" w:color="auto"/>
            <w:left w:val="none" w:sz="0" w:space="0" w:color="auto"/>
            <w:bottom w:val="none" w:sz="0" w:space="0" w:color="auto"/>
            <w:right w:val="none" w:sz="0" w:space="0" w:color="auto"/>
          </w:divBdr>
        </w:div>
        <w:div w:id="64181729">
          <w:marLeft w:val="0"/>
          <w:marRight w:val="0"/>
          <w:marTop w:val="0"/>
          <w:marBottom w:val="0"/>
          <w:divBdr>
            <w:top w:val="none" w:sz="0" w:space="0" w:color="auto"/>
            <w:left w:val="none" w:sz="0" w:space="0" w:color="auto"/>
            <w:bottom w:val="none" w:sz="0" w:space="0" w:color="auto"/>
            <w:right w:val="none" w:sz="0" w:space="0" w:color="auto"/>
          </w:divBdr>
        </w:div>
        <w:div w:id="93987595">
          <w:marLeft w:val="0"/>
          <w:marRight w:val="0"/>
          <w:marTop w:val="0"/>
          <w:marBottom w:val="0"/>
          <w:divBdr>
            <w:top w:val="none" w:sz="0" w:space="0" w:color="auto"/>
            <w:left w:val="none" w:sz="0" w:space="0" w:color="auto"/>
            <w:bottom w:val="none" w:sz="0" w:space="0" w:color="auto"/>
            <w:right w:val="none" w:sz="0" w:space="0" w:color="auto"/>
          </w:divBdr>
        </w:div>
        <w:div w:id="139739558">
          <w:marLeft w:val="360"/>
          <w:marRight w:val="0"/>
          <w:marTop w:val="0"/>
          <w:marBottom w:val="0"/>
          <w:divBdr>
            <w:top w:val="none" w:sz="0" w:space="0" w:color="auto"/>
            <w:left w:val="none" w:sz="0" w:space="0" w:color="auto"/>
            <w:bottom w:val="none" w:sz="0" w:space="0" w:color="auto"/>
            <w:right w:val="none" w:sz="0" w:space="0" w:color="auto"/>
          </w:divBdr>
        </w:div>
        <w:div w:id="147599745">
          <w:marLeft w:val="0"/>
          <w:marRight w:val="0"/>
          <w:marTop w:val="0"/>
          <w:marBottom w:val="0"/>
          <w:divBdr>
            <w:top w:val="none" w:sz="0" w:space="0" w:color="auto"/>
            <w:left w:val="none" w:sz="0" w:space="0" w:color="auto"/>
            <w:bottom w:val="none" w:sz="0" w:space="0" w:color="auto"/>
            <w:right w:val="none" w:sz="0" w:space="0" w:color="auto"/>
          </w:divBdr>
        </w:div>
        <w:div w:id="210650697">
          <w:marLeft w:val="0"/>
          <w:marRight w:val="0"/>
          <w:marTop w:val="0"/>
          <w:marBottom w:val="0"/>
          <w:divBdr>
            <w:top w:val="none" w:sz="0" w:space="0" w:color="auto"/>
            <w:left w:val="none" w:sz="0" w:space="0" w:color="auto"/>
            <w:bottom w:val="none" w:sz="0" w:space="0" w:color="auto"/>
            <w:right w:val="none" w:sz="0" w:space="0" w:color="auto"/>
          </w:divBdr>
        </w:div>
        <w:div w:id="225379081">
          <w:marLeft w:val="0"/>
          <w:marRight w:val="0"/>
          <w:marTop w:val="0"/>
          <w:marBottom w:val="0"/>
          <w:divBdr>
            <w:top w:val="none" w:sz="0" w:space="0" w:color="auto"/>
            <w:left w:val="none" w:sz="0" w:space="0" w:color="auto"/>
            <w:bottom w:val="none" w:sz="0" w:space="0" w:color="auto"/>
            <w:right w:val="none" w:sz="0" w:space="0" w:color="auto"/>
          </w:divBdr>
        </w:div>
        <w:div w:id="232933848">
          <w:marLeft w:val="0"/>
          <w:marRight w:val="0"/>
          <w:marTop w:val="0"/>
          <w:marBottom w:val="0"/>
          <w:divBdr>
            <w:top w:val="none" w:sz="0" w:space="0" w:color="auto"/>
            <w:left w:val="none" w:sz="0" w:space="0" w:color="auto"/>
            <w:bottom w:val="none" w:sz="0" w:space="0" w:color="auto"/>
            <w:right w:val="none" w:sz="0" w:space="0" w:color="auto"/>
          </w:divBdr>
        </w:div>
        <w:div w:id="233248895">
          <w:marLeft w:val="0"/>
          <w:marRight w:val="0"/>
          <w:marTop w:val="0"/>
          <w:marBottom w:val="0"/>
          <w:divBdr>
            <w:top w:val="none" w:sz="0" w:space="0" w:color="auto"/>
            <w:left w:val="none" w:sz="0" w:space="0" w:color="auto"/>
            <w:bottom w:val="none" w:sz="0" w:space="0" w:color="auto"/>
            <w:right w:val="none" w:sz="0" w:space="0" w:color="auto"/>
          </w:divBdr>
        </w:div>
        <w:div w:id="238180752">
          <w:marLeft w:val="0"/>
          <w:marRight w:val="0"/>
          <w:marTop w:val="0"/>
          <w:marBottom w:val="0"/>
          <w:divBdr>
            <w:top w:val="none" w:sz="0" w:space="0" w:color="auto"/>
            <w:left w:val="none" w:sz="0" w:space="0" w:color="auto"/>
            <w:bottom w:val="none" w:sz="0" w:space="0" w:color="auto"/>
            <w:right w:val="none" w:sz="0" w:space="0" w:color="auto"/>
          </w:divBdr>
        </w:div>
        <w:div w:id="243611182">
          <w:marLeft w:val="0"/>
          <w:marRight w:val="0"/>
          <w:marTop w:val="0"/>
          <w:marBottom w:val="0"/>
          <w:divBdr>
            <w:top w:val="none" w:sz="0" w:space="0" w:color="auto"/>
            <w:left w:val="none" w:sz="0" w:space="0" w:color="auto"/>
            <w:bottom w:val="none" w:sz="0" w:space="0" w:color="auto"/>
            <w:right w:val="none" w:sz="0" w:space="0" w:color="auto"/>
          </w:divBdr>
        </w:div>
        <w:div w:id="304360151">
          <w:marLeft w:val="0"/>
          <w:marRight w:val="0"/>
          <w:marTop w:val="0"/>
          <w:marBottom w:val="0"/>
          <w:divBdr>
            <w:top w:val="none" w:sz="0" w:space="0" w:color="auto"/>
            <w:left w:val="none" w:sz="0" w:space="0" w:color="auto"/>
            <w:bottom w:val="none" w:sz="0" w:space="0" w:color="auto"/>
            <w:right w:val="none" w:sz="0" w:space="0" w:color="auto"/>
          </w:divBdr>
        </w:div>
        <w:div w:id="318510161">
          <w:marLeft w:val="0"/>
          <w:marRight w:val="0"/>
          <w:marTop w:val="0"/>
          <w:marBottom w:val="0"/>
          <w:divBdr>
            <w:top w:val="none" w:sz="0" w:space="0" w:color="auto"/>
            <w:left w:val="none" w:sz="0" w:space="0" w:color="auto"/>
            <w:bottom w:val="none" w:sz="0" w:space="0" w:color="auto"/>
            <w:right w:val="none" w:sz="0" w:space="0" w:color="auto"/>
          </w:divBdr>
        </w:div>
        <w:div w:id="338895778">
          <w:marLeft w:val="0"/>
          <w:marRight w:val="0"/>
          <w:marTop w:val="0"/>
          <w:marBottom w:val="0"/>
          <w:divBdr>
            <w:top w:val="none" w:sz="0" w:space="0" w:color="auto"/>
            <w:left w:val="none" w:sz="0" w:space="0" w:color="auto"/>
            <w:bottom w:val="none" w:sz="0" w:space="0" w:color="auto"/>
            <w:right w:val="none" w:sz="0" w:space="0" w:color="auto"/>
          </w:divBdr>
        </w:div>
        <w:div w:id="390740306">
          <w:marLeft w:val="0"/>
          <w:marRight w:val="0"/>
          <w:marTop w:val="0"/>
          <w:marBottom w:val="0"/>
          <w:divBdr>
            <w:top w:val="none" w:sz="0" w:space="0" w:color="auto"/>
            <w:left w:val="none" w:sz="0" w:space="0" w:color="auto"/>
            <w:bottom w:val="none" w:sz="0" w:space="0" w:color="auto"/>
            <w:right w:val="none" w:sz="0" w:space="0" w:color="auto"/>
          </w:divBdr>
        </w:div>
        <w:div w:id="399448417">
          <w:marLeft w:val="0"/>
          <w:marRight w:val="0"/>
          <w:marTop w:val="0"/>
          <w:marBottom w:val="0"/>
          <w:divBdr>
            <w:top w:val="none" w:sz="0" w:space="0" w:color="auto"/>
            <w:left w:val="none" w:sz="0" w:space="0" w:color="auto"/>
            <w:bottom w:val="none" w:sz="0" w:space="0" w:color="auto"/>
            <w:right w:val="none" w:sz="0" w:space="0" w:color="auto"/>
          </w:divBdr>
        </w:div>
        <w:div w:id="407701912">
          <w:marLeft w:val="0"/>
          <w:marRight w:val="0"/>
          <w:marTop w:val="0"/>
          <w:marBottom w:val="0"/>
          <w:divBdr>
            <w:top w:val="none" w:sz="0" w:space="0" w:color="auto"/>
            <w:left w:val="none" w:sz="0" w:space="0" w:color="auto"/>
            <w:bottom w:val="none" w:sz="0" w:space="0" w:color="auto"/>
            <w:right w:val="none" w:sz="0" w:space="0" w:color="auto"/>
          </w:divBdr>
        </w:div>
        <w:div w:id="407776938">
          <w:marLeft w:val="0"/>
          <w:marRight w:val="0"/>
          <w:marTop w:val="0"/>
          <w:marBottom w:val="0"/>
          <w:divBdr>
            <w:top w:val="none" w:sz="0" w:space="0" w:color="auto"/>
            <w:left w:val="none" w:sz="0" w:space="0" w:color="auto"/>
            <w:bottom w:val="none" w:sz="0" w:space="0" w:color="auto"/>
            <w:right w:val="none" w:sz="0" w:space="0" w:color="auto"/>
          </w:divBdr>
        </w:div>
        <w:div w:id="445778164">
          <w:marLeft w:val="360"/>
          <w:marRight w:val="0"/>
          <w:marTop w:val="0"/>
          <w:marBottom w:val="0"/>
          <w:divBdr>
            <w:top w:val="none" w:sz="0" w:space="0" w:color="auto"/>
            <w:left w:val="none" w:sz="0" w:space="0" w:color="auto"/>
            <w:bottom w:val="none" w:sz="0" w:space="0" w:color="auto"/>
            <w:right w:val="none" w:sz="0" w:space="0" w:color="auto"/>
          </w:divBdr>
        </w:div>
        <w:div w:id="471949023">
          <w:marLeft w:val="0"/>
          <w:marRight w:val="0"/>
          <w:marTop w:val="0"/>
          <w:marBottom w:val="0"/>
          <w:divBdr>
            <w:top w:val="none" w:sz="0" w:space="0" w:color="auto"/>
            <w:left w:val="none" w:sz="0" w:space="0" w:color="auto"/>
            <w:bottom w:val="none" w:sz="0" w:space="0" w:color="auto"/>
            <w:right w:val="none" w:sz="0" w:space="0" w:color="auto"/>
          </w:divBdr>
        </w:div>
        <w:div w:id="582105600">
          <w:marLeft w:val="0"/>
          <w:marRight w:val="0"/>
          <w:marTop w:val="0"/>
          <w:marBottom w:val="0"/>
          <w:divBdr>
            <w:top w:val="none" w:sz="0" w:space="0" w:color="auto"/>
            <w:left w:val="none" w:sz="0" w:space="0" w:color="auto"/>
            <w:bottom w:val="none" w:sz="0" w:space="0" w:color="auto"/>
            <w:right w:val="none" w:sz="0" w:space="0" w:color="auto"/>
          </w:divBdr>
        </w:div>
        <w:div w:id="608007696">
          <w:marLeft w:val="0"/>
          <w:marRight w:val="0"/>
          <w:marTop w:val="0"/>
          <w:marBottom w:val="0"/>
          <w:divBdr>
            <w:top w:val="none" w:sz="0" w:space="0" w:color="auto"/>
            <w:left w:val="none" w:sz="0" w:space="0" w:color="auto"/>
            <w:bottom w:val="none" w:sz="0" w:space="0" w:color="auto"/>
            <w:right w:val="none" w:sz="0" w:space="0" w:color="auto"/>
          </w:divBdr>
        </w:div>
        <w:div w:id="614294409">
          <w:marLeft w:val="0"/>
          <w:marRight w:val="0"/>
          <w:marTop w:val="0"/>
          <w:marBottom w:val="0"/>
          <w:divBdr>
            <w:top w:val="none" w:sz="0" w:space="0" w:color="auto"/>
            <w:left w:val="none" w:sz="0" w:space="0" w:color="auto"/>
            <w:bottom w:val="none" w:sz="0" w:space="0" w:color="auto"/>
            <w:right w:val="none" w:sz="0" w:space="0" w:color="auto"/>
          </w:divBdr>
        </w:div>
        <w:div w:id="729305516">
          <w:marLeft w:val="0"/>
          <w:marRight w:val="0"/>
          <w:marTop w:val="0"/>
          <w:marBottom w:val="0"/>
          <w:divBdr>
            <w:top w:val="none" w:sz="0" w:space="0" w:color="auto"/>
            <w:left w:val="none" w:sz="0" w:space="0" w:color="auto"/>
            <w:bottom w:val="none" w:sz="0" w:space="0" w:color="auto"/>
            <w:right w:val="none" w:sz="0" w:space="0" w:color="auto"/>
          </w:divBdr>
        </w:div>
        <w:div w:id="776755467">
          <w:marLeft w:val="0"/>
          <w:marRight w:val="0"/>
          <w:marTop w:val="0"/>
          <w:marBottom w:val="0"/>
          <w:divBdr>
            <w:top w:val="none" w:sz="0" w:space="0" w:color="auto"/>
            <w:left w:val="none" w:sz="0" w:space="0" w:color="auto"/>
            <w:bottom w:val="none" w:sz="0" w:space="0" w:color="auto"/>
            <w:right w:val="none" w:sz="0" w:space="0" w:color="auto"/>
          </w:divBdr>
        </w:div>
        <w:div w:id="805976359">
          <w:marLeft w:val="0"/>
          <w:marRight w:val="0"/>
          <w:marTop w:val="0"/>
          <w:marBottom w:val="0"/>
          <w:divBdr>
            <w:top w:val="none" w:sz="0" w:space="0" w:color="auto"/>
            <w:left w:val="none" w:sz="0" w:space="0" w:color="auto"/>
            <w:bottom w:val="none" w:sz="0" w:space="0" w:color="auto"/>
            <w:right w:val="none" w:sz="0" w:space="0" w:color="auto"/>
          </w:divBdr>
        </w:div>
        <w:div w:id="847446492">
          <w:marLeft w:val="0"/>
          <w:marRight w:val="0"/>
          <w:marTop w:val="0"/>
          <w:marBottom w:val="0"/>
          <w:divBdr>
            <w:top w:val="none" w:sz="0" w:space="0" w:color="auto"/>
            <w:left w:val="none" w:sz="0" w:space="0" w:color="auto"/>
            <w:bottom w:val="none" w:sz="0" w:space="0" w:color="auto"/>
            <w:right w:val="none" w:sz="0" w:space="0" w:color="auto"/>
          </w:divBdr>
        </w:div>
        <w:div w:id="850220392">
          <w:marLeft w:val="0"/>
          <w:marRight w:val="0"/>
          <w:marTop w:val="0"/>
          <w:marBottom w:val="0"/>
          <w:divBdr>
            <w:top w:val="none" w:sz="0" w:space="0" w:color="auto"/>
            <w:left w:val="none" w:sz="0" w:space="0" w:color="auto"/>
            <w:bottom w:val="none" w:sz="0" w:space="0" w:color="auto"/>
            <w:right w:val="none" w:sz="0" w:space="0" w:color="auto"/>
          </w:divBdr>
        </w:div>
        <w:div w:id="857039587">
          <w:marLeft w:val="360"/>
          <w:marRight w:val="0"/>
          <w:marTop w:val="0"/>
          <w:marBottom w:val="0"/>
          <w:divBdr>
            <w:top w:val="none" w:sz="0" w:space="0" w:color="auto"/>
            <w:left w:val="none" w:sz="0" w:space="0" w:color="auto"/>
            <w:bottom w:val="none" w:sz="0" w:space="0" w:color="auto"/>
            <w:right w:val="none" w:sz="0" w:space="0" w:color="auto"/>
          </w:divBdr>
        </w:div>
        <w:div w:id="863399286">
          <w:marLeft w:val="0"/>
          <w:marRight w:val="0"/>
          <w:marTop w:val="0"/>
          <w:marBottom w:val="0"/>
          <w:divBdr>
            <w:top w:val="none" w:sz="0" w:space="0" w:color="auto"/>
            <w:left w:val="none" w:sz="0" w:space="0" w:color="auto"/>
            <w:bottom w:val="none" w:sz="0" w:space="0" w:color="auto"/>
            <w:right w:val="none" w:sz="0" w:space="0" w:color="auto"/>
          </w:divBdr>
        </w:div>
        <w:div w:id="943919449">
          <w:marLeft w:val="0"/>
          <w:marRight w:val="0"/>
          <w:marTop w:val="0"/>
          <w:marBottom w:val="0"/>
          <w:divBdr>
            <w:top w:val="none" w:sz="0" w:space="0" w:color="auto"/>
            <w:left w:val="none" w:sz="0" w:space="0" w:color="auto"/>
            <w:bottom w:val="none" w:sz="0" w:space="0" w:color="auto"/>
            <w:right w:val="none" w:sz="0" w:space="0" w:color="auto"/>
          </w:divBdr>
        </w:div>
        <w:div w:id="947542169">
          <w:marLeft w:val="0"/>
          <w:marRight w:val="0"/>
          <w:marTop w:val="0"/>
          <w:marBottom w:val="0"/>
          <w:divBdr>
            <w:top w:val="none" w:sz="0" w:space="0" w:color="auto"/>
            <w:left w:val="none" w:sz="0" w:space="0" w:color="auto"/>
            <w:bottom w:val="none" w:sz="0" w:space="0" w:color="auto"/>
            <w:right w:val="none" w:sz="0" w:space="0" w:color="auto"/>
          </w:divBdr>
        </w:div>
        <w:div w:id="958798681">
          <w:marLeft w:val="0"/>
          <w:marRight w:val="0"/>
          <w:marTop w:val="0"/>
          <w:marBottom w:val="0"/>
          <w:divBdr>
            <w:top w:val="none" w:sz="0" w:space="0" w:color="auto"/>
            <w:left w:val="none" w:sz="0" w:space="0" w:color="auto"/>
            <w:bottom w:val="none" w:sz="0" w:space="0" w:color="auto"/>
            <w:right w:val="none" w:sz="0" w:space="0" w:color="auto"/>
          </w:divBdr>
        </w:div>
        <w:div w:id="1076829494">
          <w:marLeft w:val="0"/>
          <w:marRight w:val="0"/>
          <w:marTop w:val="0"/>
          <w:marBottom w:val="0"/>
          <w:divBdr>
            <w:top w:val="none" w:sz="0" w:space="0" w:color="auto"/>
            <w:left w:val="none" w:sz="0" w:space="0" w:color="auto"/>
            <w:bottom w:val="none" w:sz="0" w:space="0" w:color="auto"/>
            <w:right w:val="none" w:sz="0" w:space="0" w:color="auto"/>
          </w:divBdr>
        </w:div>
        <w:div w:id="1223717569">
          <w:marLeft w:val="0"/>
          <w:marRight w:val="0"/>
          <w:marTop w:val="0"/>
          <w:marBottom w:val="0"/>
          <w:divBdr>
            <w:top w:val="none" w:sz="0" w:space="0" w:color="auto"/>
            <w:left w:val="none" w:sz="0" w:space="0" w:color="auto"/>
            <w:bottom w:val="none" w:sz="0" w:space="0" w:color="auto"/>
            <w:right w:val="none" w:sz="0" w:space="0" w:color="auto"/>
          </w:divBdr>
        </w:div>
        <w:div w:id="1245071244">
          <w:marLeft w:val="0"/>
          <w:marRight w:val="0"/>
          <w:marTop w:val="0"/>
          <w:marBottom w:val="0"/>
          <w:divBdr>
            <w:top w:val="none" w:sz="0" w:space="0" w:color="auto"/>
            <w:left w:val="none" w:sz="0" w:space="0" w:color="auto"/>
            <w:bottom w:val="none" w:sz="0" w:space="0" w:color="auto"/>
            <w:right w:val="none" w:sz="0" w:space="0" w:color="auto"/>
          </w:divBdr>
        </w:div>
        <w:div w:id="1264073054">
          <w:marLeft w:val="0"/>
          <w:marRight w:val="0"/>
          <w:marTop w:val="0"/>
          <w:marBottom w:val="0"/>
          <w:divBdr>
            <w:top w:val="none" w:sz="0" w:space="0" w:color="auto"/>
            <w:left w:val="none" w:sz="0" w:space="0" w:color="auto"/>
            <w:bottom w:val="none" w:sz="0" w:space="0" w:color="auto"/>
            <w:right w:val="none" w:sz="0" w:space="0" w:color="auto"/>
          </w:divBdr>
        </w:div>
        <w:div w:id="1300376431">
          <w:marLeft w:val="0"/>
          <w:marRight w:val="0"/>
          <w:marTop w:val="0"/>
          <w:marBottom w:val="0"/>
          <w:divBdr>
            <w:top w:val="none" w:sz="0" w:space="0" w:color="auto"/>
            <w:left w:val="none" w:sz="0" w:space="0" w:color="auto"/>
            <w:bottom w:val="none" w:sz="0" w:space="0" w:color="auto"/>
            <w:right w:val="none" w:sz="0" w:space="0" w:color="auto"/>
          </w:divBdr>
        </w:div>
        <w:div w:id="1375429046">
          <w:marLeft w:val="0"/>
          <w:marRight w:val="0"/>
          <w:marTop w:val="0"/>
          <w:marBottom w:val="0"/>
          <w:divBdr>
            <w:top w:val="none" w:sz="0" w:space="0" w:color="auto"/>
            <w:left w:val="none" w:sz="0" w:space="0" w:color="auto"/>
            <w:bottom w:val="none" w:sz="0" w:space="0" w:color="auto"/>
            <w:right w:val="none" w:sz="0" w:space="0" w:color="auto"/>
          </w:divBdr>
        </w:div>
        <w:div w:id="1375959278">
          <w:marLeft w:val="0"/>
          <w:marRight w:val="0"/>
          <w:marTop w:val="0"/>
          <w:marBottom w:val="0"/>
          <w:divBdr>
            <w:top w:val="none" w:sz="0" w:space="0" w:color="auto"/>
            <w:left w:val="none" w:sz="0" w:space="0" w:color="auto"/>
            <w:bottom w:val="none" w:sz="0" w:space="0" w:color="auto"/>
            <w:right w:val="none" w:sz="0" w:space="0" w:color="auto"/>
          </w:divBdr>
        </w:div>
        <w:div w:id="1377121260">
          <w:marLeft w:val="360"/>
          <w:marRight w:val="0"/>
          <w:marTop w:val="0"/>
          <w:marBottom w:val="0"/>
          <w:divBdr>
            <w:top w:val="none" w:sz="0" w:space="0" w:color="auto"/>
            <w:left w:val="none" w:sz="0" w:space="0" w:color="auto"/>
            <w:bottom w:val="none" w:sz="0" w:space="0" w:color="auto"/>
            <w:right w:val="none" w:sz="0" w:space="0" w:color="auto"/>
          </w:divBdr>
        </w:div>
        <w:div w:id="1380548494">
          <w:marLeft w:val="0"/>
          <w:marRight w:val="0"/>
          <w:marTop w:val="0"/>
          <w:marBottom w:val="0"/>
          <w:divBdr>
            <w:top w:val="none" w:sz="0" w:space="0" w:color="auto"/>
            <w:left w:val="none" w:sz="0" w:space="0" w:color="auto"/>
            <w:bottom w:val="none" w:sz="0" w:space="0" w:color="auto"/>
            <w:right w:val="none" w:sz="0" w:space="0" w:color="auto"/>
          </w:divBdr>
        </w:div>
        <w:div w:id="1383360534">
          <w:marLeft w:val="0"/>
          <w:marRight w:val="0"/>
          <w:marTop w:val="0"/>
          <w:marBottom w:val="0"/>
          <w:divBdr>
            <w:top w:val="none" w:sz="0" w:space="0" w:color="auto"/>
            <w:left w:val="none" w:sz="0" w:space="0" w:color="auto"/>
            <w:bottom w:val="none" w:sz="0" w:space="0" w:color="auto"/>
            <w:right w:val="none" w:sz="0" w:space="0" w:color="auto"/>
          </w:divBdr>
        </w:div>
        <w:div w:id="1558589504">
          <w:marLeft w:val="0"/>
          <w:marRight w:val="0"/>
          <w:marTop w:val="0"/>
          <w:marBottom w:val="0"/>
          <w:divBdr>
            <w:top w:val="none" w:sz="0" w:space="0" w:color="auto"/>
            <w:left w:val="none" w:sz="0" w:space="0" w:color="auto"/>
            <w:bottom w:val="none" w:sz="0" w:space="0" w:color="auto"/>
            <w:right w:val="none" w:sz="0" w:space="0" w:color="auto"/>
          </w:divBdr>
        </w:div>
        <w:div w:id="1614365488">
          <w:marLeft w:val="0"/>
          <w:marRight w:val="0"/>
          <w:marTop w:val="0"/>
          <w:marBottom w:val="0"/>
          <w:divBdr>
            <w:top w:val="none" w:sz="0" w:space="0" w:color="auto"/>
            <w:left w:val="none" w:sz="0" w:space="0" w:color="auto"/>
            <w:bottom w:val="none" w:sz="0" w:space="0" w:color="auto"/>
            <w:right w:val="none" w:sz="0" w:space="0" w:color="auto"/>
          </w:divBdr>
        </w:div>
        <w:div w:id="1639341064">
          <w:marLeft w:val="360"/>
          <w:marRight w:val="0"/>
          <w:marTop w:val="0"/>
          <w:marBottom w:val="0"/>
          <w:divBdr>
            <w:top w:val="none" w:sz="0" w:space="0" w:color="auto"/>
            <w:left w:val="none" w:sz="0" w:space="0" w:color="auto"/>
            <w:bottom w:val="none" w:sz="0" w:space="0" w:color="auto"/>
            <w:right w:val="none" w:sz="0" w:space="0" w:color="auto"/>
          </w:divBdr>
        </w:div>
        <w:div w:id="1654990546">
          <w:marLeft w:val="0"/>
          <w:marRight w:val="0"/>
          <w:marTop w:val="0"/>
          <w:marBottom w:val="0"/>
          <w:divBdr>
            <w:top w:val="none" w:sz="0" w:space="0" w:color="auto"/>
            <w:left w:val="none" w:sz="0" w:space="0" w:color="auto"/>
            <w:bottom w:val="none" w:sz="0" w:space="0" w:color="auto"/>
            <w:right w:val="none" w:sz="0" w:space="0" w:color="auto"/>
          </w:divBdr>
        </w:div>
        <w:div w:id="1665010749">
          <w:marLeft w:val="0"/>
          <w:marRight w:val="0"/>
          <w:marTop w:val="0"/>
          <w:marBottom w:val="0"/>
          <w:divBdr>
            <w:top w:val="none" w:sz="0" w:space="0" w:color="auto"/>
            <w:left w:val="none" w:sz="0" w:space="0" w:color="auto"/>
            <w:bottom w:val="none" w:sz="0" w:space="0" w:color="auto"/>
            <w:right w:val="none" w:sz="0" w:space="0" w:color="auto"/>
          </w:divBdr>
        </w:div>
        <w:div w:id="1674340315">
          <w:marLeft w:val="0"/>
          <w:marRight w:val="0"/>
          <w:marTop w:val="0"/>
          <w:marBottom w:val="0"/>
          <w:divBdr>
            <w:top w:val="none" w:sz="0" w:space="0" w:color="auto"/>
            <w:left w:val="none" w:sz="0" w:space="0" w:color="auto"/>
            <w:bottom w:val="none" w:sz="0" w:space="0" w:color="auto"/>
            <w:right w:val="none" w:sz="0" w:space="0" w:color="auto"/>
          </w:divBdr>
        </w:div>
        <w:div w:id="1732384732">
          <w:marLeft w:val="0"/>
          <w:marRight w:val="0"/>
          <w:marTop w:val="0"/>
          <w:marBottom w:val="0"/>
          <w:divBdr>
            <w:top w:val="none" w:sz="0" w:space="0" w:color="auto"/>
            <w:left w:val="none" w:sz="0" w:space="0" w:color="auto"/>
            <w:bottom w:val="none" w:sz="0" w:space="0" w:color="auto"/>
            <w:right w:val="none" w:sz="0" w:space="0" w:color="auto"/>
          </w:divBdr>
        </w:div>
        <w:div w:id="1867330208">
          <w:marLeft w:val="0"/>
          <w:marRight w:val="0"/>
          <w:marTop w:val="0"/>
          <w:marBottom w:val="0"/>
          <w:divBdr>
            <w:top w:val="none" w:sz="0" w:space="0" w:color="auto"/>
            <w:left w:val="none" w:sz="0" w:space="0" w:color="auto"/>
            <w:bottom w:val="none" w:sz="0" w:space="0" w:color="auto"/>
            <w:right w:val="none" w:sz="0" w:space="0" w:color="auto"/>
          </w:divBdr>
        </w:div>
        <w:div w:id="1905338705">
          <w:marLeft w:val="0"/>
          <w:marRight w:val="0"/>
          <w:marTop w:val="0"/>
          <w:marBottom w:val="0"/>
          <w:divBdr>
            <w:top w:val="none" w:sz="0" w:space="0" w:color="auto"/>
            <w:left w:val="none" w:sz="0" w:space="0" w:color="auto"/>
            <w:bottom w:val="none" w:sz="0" w:space="0" w:color="auto"/>
            <w:right w:val="none" w:sz="0" w:space="0" w:color="auto"/>
          </w:divBdr>
        </w:div>
        <w:div w:id="1940941973">
          <w:marLeft w:val="0"/>
          <w:marRight w:val="0"/>
          <w:marTop w:val="0"/>
          <w:marBottom w:val="0"/>
          <w:divBdr>
            <w:top w:val="none" w:sz="0" w:space="0" w:color="auto"/>
            <w:left w:val="none" w:sz="0" w:space="0" w:color="auto"/>
            <w:bottom w:val="none" w:sz="0" w:space="0" w:color="auto"/>
            <w:right w:val="none" w:sz="0" w:space="0" w:color="auto"/>
          </w:divBdr>
        </w:div>
        <w:div w:id="2057657921">
          <w:marLeft w:val="0"/>
          <w:marRight w:val="0"/>
          <w:marTop w:val="0"/>
          <w:marBottom w:val="0"/>
          <w:divBdr>
            <w:top w:val="none" w:sz="0" w:space="0" w:color="auto"/>
            <w:left w:val="none" w:sz="0" w:space="0" w:color="auto"/>
            <w:bottom w:val="none" w:sz="0" w:space="0" w:color="auto"/>
            <w:right w:val="none" w:sz="0" w:space="0" w:color="auto"/>
          </w:divBdr>
        </w:div>
        <w:div w:id="2105220128">
          <w:marLeft w:val="0"/>
          <w:marRight w:val="0"/>
          <w:marTop w:val="0"/>
          <w:marBottom w:val="0"/>
          <w:divBdr>
            <w:top w:val="none" w:sz="0" w:space="0" w:color="auto"/>
            <w:left w:val="none" w:sz="0" w:space="0" w:color="auto"/>
            <w:bottom w:val="none" w:sz="0" w:space="0" w:color="auto"/>
            <w:right w:val="none" w:sz="0" w:space="0" w:color="auto"/>
          </w:divBdr>
        </w:div>
        <w:div w:id="2110806685">
          <w:marLeft w:val="0"/>
          <w:marRight w:val="0"/>
          <w:marTop w:val="0"/>
          <w:marBottom w:val="0"/>
          <w:divBdr>
            <w:top w:val="none" w:sz="0" w:space="0" w:color="auto"/>
            <w:left w:val="none" w:sz="0" w:space="0" w:color="auto"/>
            <w:bottom w:val="none" w:sz="0" w:space="0" w:color="auto"/>
            <w:right w:val="none" w:sz="0" w:space="0" w:color="auto"/>
          </w:divBdr>
        </w:div>
        <w:div w:id="2132745005">
          <w:marLeft w:val="0"/>
          <w:marRight w:val="0"/>
          <w:marTop w:val="0"/>
          <w:marBottom w:val="0"/>
          <w:divBdr>
            <w:top w:val="none" w:sz="0" w:space="0" w:color="auto"/>
            <w:left w:val="none" w:sz="0" w:space="0" w:color="auto"/>
            <w:bottom w:val="none" w:sz="0" w:space="0" w:color="auto"/>
            <w:right w:val="none" w:sz="0" w:space="0" w:color="auto"/>
          </w:divBdr>
        </w:div>
      </w:divsChild>
    </w:div>
    <w:div w:id="820460529">
      <w:bodyDiv w:val="1"/>
      <w:marLeft w:val="0"/>
      <w:marRight w:val="0"/>
      <w:marTop w:val="0"/>
      <w:marBottom w:val="0"/>
      <w:divBdr>
        <w:top w:val="none" w:sz="0" w:space="0" w:color="auto"/>
        <w:left w:val="none" w:sz="0" w:space="0" w:color="auto"/>
        <w:bottom w:val="none" w:sz="0" w:space="0" w:color="auto"/>
        <w:right w:val="none" w:sz="0" w:space="0" w:color="auto"/>
      </w:divBdr>
    </w:div>
    <w:div w:id="820777490">
      <w:bodyDiv w:val="1"/>
      <w:marLeft w:val="0"/>
      <w:marRight w:val="0"/>
      <w:marTop w:val="0"/>
      <w:marBottom w:val="0"/>
      <w:divBdr>
        <w:top w:val="none" w:sz="0" w:space="0" w:color="auto"/>
        <w:left w:val="none" w:sz="0" w:space="0" w:color="auto"/>
        <w:bottom w:val="none" w:sz="0" w:space="0" w:color="auto"/>
        <w:right w:val="none" w:sz="0" w:space="0" w:color="auto"/>
      </w:divBdr>
      <w:divsChild>
        <w:div w:id="1426416905">
          <w:marLeft w:val="0"/>
          <w:marRight w:val="0"/>
          <w:marTop w:val="0"/>
          <w:marBottom w:val="0"/>
          <w:divBdr>
            <w:top w:val="none" w:sz="0" w:space="0" w:color="auto"/>
            <w:left w:val="none" w:sz="0" w:space="0" w:color="auto"/>
            <w:bottom w:val="none" w:sz="0" w:space="0" w:color="auto"/>
            <w:right w:val="none" w:sz="0" w:space="0" w:color="auto"/>
          </w:divBdr>
        </w:div>
      </w:divsChild>
    </w:div>
    <w:div w:id="821576962">
      <w:bodyDiv w:val="1"/>
      <w:marLeft w:val="0"/>
      <w:marRight w:val="0"/>
      <w:marTop w:val="0"/>
      <w:marBottom w:val="0"/>
      <w:divBdr>
        <w:top w:val="none" w:sz="0" w:space="0" w:color="auto"/>
        <w:left w:val="none" w:sz="0" w:space="0" w:color="auto"/>
        <w:bottom w:val="none" w:sz="0" w:space="0" w:color="auto"/>
        <w:right w:val="none" w:sz="0" w:space="0" w:color="auto"/>
      </w:divBdr>
    </w:div>
    <w:div w:id="821577125">
      <w:bodyDiv w:val="1"/>
      <w:marLeft w:val="0"/>
      <w:marRight w:val="0"/>
      <w:marTop w:val="0"/>
      <w:marBottom w:val="0"/>
      <w:divBdr>
        <w:top w:val="none" w:sz="0" w:space="0" w:color="auto"/>
        <w:left w:val="none" w:sz="0" w:space="0" w:color="auto"/>
        <w:bottom w:val="none" w:sz="0" w:space="0" w:color="auto"/>
        <w:right w:val="none" w:sz="0" w:space="0" w:color="auto"/>
      </w:divBdr>
      <w:divsChild>
        <w:div w:id="1104765613">
          <w:marLeft w:val="0"/>
          <w:marRight w:val="0"/>
          <w:marTop w:val="0"/>
          <w:marBottom w:val="0"/>
          <w:divBdr>
            <w:top w:val="none" w:sz="0" w:space="0" w:color="auto"/>
            <w:left w:val="none" w:sz="0" w:space="0" w:color="auto"/>
            <w:bottom w:val="none" w:sz="0" w:space="0" w:color="auto"/>
            <w:right w:val="none" w:sz="0" w:space="0" w:color="auto"/>
          </w:divBdr>
          <w:divsChild>
            <w:div w:id="1562057204">
              <w:marLeft w:val="0"/>
              <w:marRight w:val="0"/>
              <w:marTop w:val="0"/>
              <w:marBottom w:val="0"/>
              <w:divBdr>
                <w:top w:val="none" w:sz="0" w:space="0" w:color="auto"/>
                <w:left w:val="none" w:sz="0" w:space="0" w:color="auto"/>
                <w:bottom w:val="none" w:sz="0" w:space="0" w:color="auto"/>
                <w:right w:val="none" w:sz="0" w:space="0" w:color="auto"/>
              </w:divBdr>
              <w:divsChild>
                <w:div w:id="1540782925">
                  <w:marLeft w:val="0"/>
                  <w:marRight w:val="0"/>
                  <w:marTop w:val="0"/>
                  <w:marBottom w:val="450"/>
                  <w:divBdr>
                    <w:top w:val="none" w:sz="0" w:space="0" w:color="auto"/>
                    <w:left w:val="none" w:sz="0" w:space="0" w:color="auto"/>
                    <w:bottom w:val="none" w:sz="0" w:space="0" w:color="auto"/>
                    <w:right w:val="none" w:sz="0" w:space="0" w:color="auto"/>
                  </w:divBdr>
                  <w:divsChild>
                    <w:div w:id="3377790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21581936">
      <w:bodyDiv w:val="1"/>
      <w:marLeft w:val="0"/>
      <w:marRight w:val="0"/>
      <w:marTop w:val="0"/>
      <w:marBottom w:val="0"/>
      <w:divBdr>
        <w:top w:val="none" w:sz="0" w:space="0" w:color="auto"/>
        <w:left w:val="none" w:sz="0" w:space="0" w:color="auto"/>
        <w:bottom w:val="none" w:sz="0" w:space="0" w:color="auto"/>
        <w:right w:val="none" w:sz="0" w:space="0" w:color="auto"/>
      </w:divBdr>
      <w:divsChild>
        <w:div w:id="814221601">
          <w:marLeft w:val="0"/>
          <w:marRight w:val="0"/>
          <w:marTop w:val="0"/>
          <w:marBottom w:val="180"/>
          <w:divBdr>
            <w:top w:val="none" w:sz="0" w:space="0" w:color="auto"/>
            <w:left w:val="none" w:sz="0" w:space="0" w:color="auto"/>
            <w:bottom w:val="none" w:sz="0" w:space="0" w:color="auto"/>
            <w:right w:val="none" w:sz="0" w:space="0" w:color="auto"/>
          </w:divBdr>
        </w:div>
      </w:divsChild>
    </w:div>
    <w:div w:id="821964280">
      <w:bodyDiv w:val="1"/>
      <w:marLeft w:val="0"/>
      <w:marRight w:val="0"/>
      <w:marTop w:val="0"/>
      <w:marBottom w:val="0"/>
      <w:divBdr>
        <w:top w:val="none" w:sz="0" w:space="0" w:color="auto"/>
        <w:left w:val="none" w:sz="0" w:space="0" w:color="auto"/>
        <w:bottom w:val="none" w:sz="0" w:space="0" w:color="auto"/>
        <w:right w:val="none" w:sz="0" w:space="0" w:color="auto"/>
      </w:divBdr>
      <w:divsChild>
        <w:div w:id="869563702">
          <w:marLeft w:val="0"/>
          <w:marRight w:val="0"/>
          <w:marTop w:val="0"/>
          <w:marBottom w:val="0"/>
          <w:divBdr>
            <w:top w:val="none" w:sz="0" w:space="0" w:color="auto"/>
            <w:left w:val="none" w:sz="0" w:space="0" w:color="auto"/>
            <w:bottom w:val="none" w:sz="0" w:space="0" w:color="auto"/>
            <w:right w:val="none" w:sz="0" w:space="0" w:color="auto"/>
          </w:divBdr>
        </w:div>
      </w:divsChild>
    </w:div>
    <w:div w:id="822309050">
      <w:bodyDiv w:val="1"/>
      <w:marLeft w:val="0"/>
      <w:marRight w:val="0"/>
      <w:marTop w:val="0"/>
      <w:marBottom w:val="0"/>
      <w:divBdr>
        <w:top w:val="none" w:sz="0" w:space="0" w:color="auto"/>
        <w:left w:val="none" w:sz="0" w:space="0" w:color="auto"/>
        <w:bottom w:val="none" w:sz="0" w:space="0" w:color="auto"/>
        <w:right w:val="none" w:sz="0" w:space="0" w:color="auto"/>
      </w:divBdr>
    </w:div>
    <w:div w:id="822426343">
      <w:bodyDiv w:val="1"/>
      <w:marLeft w:val="0"/>
      <w:marRight w:val="0"/>
      <w:marTop w:val="0"/>
      <w:marBottom w:val="0"/>
      <w:divBdr>
        <w:top w:val="none" w:sz="0" w:space="0" w:color="auto"/>
        <w:left w:val="none" w:sz="0" w:space="0" w:color="auto"/>
        <w:bottom w:val="none" w:sz="0" w:space="0" w:color="auto"/>
        <w:right w:val="none" w:sz="0" w:space="0" w:color="auto"/>
      </w:divBdr>
    </w:div>
    <w:div w:id="822429001">
      <w:bodyDiv w:val="1"/>
      <w:marLeft w:val="0"/>
      <w:marRight w:val="0"/>
      <w:marTop w:val="0"/>
      <w:marBottom w:val="0"/>
      <w:divBdr>
        <w:top w:val="none" w:sz="0" w:space="0" w:color="auto"/>
        <w:left w:val="none" w:sz="0" w:space="0" w:color="auto"/>
        <w:bottom w:val="none" w:sz="0" w:space="0" w:color="auto"/>
        <w:right w:val="none" w:sz="0" w:space="0" w:color="auto"/>
      </w:divBdr>
      <w:divsChild>
        <w:div w:id="301270805">
          <w:marLeft w:val="0"/>
          <w:marRight w:val="0"/>
          <w:marTop w:val="0"/>
          <w:marBottom w:val="150"/>
          <w:divBdr>
            <w:top w:val="none" w:sz="0" w:space="0" w:color="auto"/>
            <w:left w:val="none" w:sz="0" w:space="0" w:color="auto"/>
            <w:bottom w:val="none" w:sz="0" w:space="0" w:color="auto"/>
            <w:right w:val="none" w:sz="0" w:space="0" w:color="auto"/>
          </w:divBdr>
        </w:div>
      </w:divsChild>
    </w:div>
    <w:div w:id="822625045">
      <w:bodyDiv w:val="1"/>
      <w:marLeft w:val="0"/>
      <w:marRight w:val="0"/>
      <w:marTop w:val="0"/>
      <w:marBottom w:val="0"/>
      <w:divBdr>
        <w:top w:val="none" w:sz="0" w:space="0" w:color="auto"/>
        <w:left w:val="none" w:sz="0" w:space="0" w:color="auto"/>
        <w:bottom w:val="none" w:sz="0" w:space="0" w:color="auto"/>
        <w:right w:val="none" w:sz="0" w:space="0" w:color="auto"/>
      </w:divBdr>
    </w:div>
    <w:div w:id="823623675">
      <w:bodyDiv w:val="1"/>
      <w:marLeft w:val="0"/>
      <w:marRight w:val="0"/>
      <w:marTop w:val="0"/>
      <w:marBottom w:val="0"/>
      <w:divBdr>
        <w:top w:val="none" w:sz="0" w:space="0" w:color="auto"/>
        <w:left w:val="none" w:sz="0" w:space="0" w:color="auto"/>
        <w:bottom w:val="none" w:sz="0" w:space="0" w:color="auto"/>
        <w:right w:val="none" w:sz="0" w:space="0" w:color="auto"/>
      </w:divBdr>
      <w:divsChild>
        <w:div w:id="634335143">
          <w:marLeft w:val="0"/>
          <w:marRight w:val="0"/>
          <w:marTop w:val="0"/>
          <w:marBottom w:val="0"/>
          <w:divBdr>
            <w:top w:val="none" w:sz="0" w:space="0" w:color="auto"/>
            <w:left w:val="none" w:sz="0" w:space="0" w:color="auto"/>
            <w:bottom w:val="none" w:sz="0" w:space="0" w:color="auto"/>
            <w:right w:val="none" w:sz="0" w:space="0" w:color="auto"/>
          </w:divBdr>
          <w:divsChild>
            <w:div w:id="1295718035">
              <w:marLeft w:val="0"/>
              <w:marRight w:val="0"/>
              <w:marTop w:val="0"/>
              <w:marBottom w:val="0"/>
              <w:divBdr>
                <w:top w:val="none" w:sz="0" w:space="0" w:color="auto"/>
                <w:left w:val="none" w:sz="0" w:space="0" w:color="auto"/>
                <w:bottom w:val="none" w:sz="0" w:space="0" w:color="auto"/>
                <w:right w:val="none" w:sz="0" w:space="0" w:color="auto"/>
              </w:divBdr>
              <w:divsChild>
                <w:div w:id="2086297532">
                  <w:marLeft w:val="0"/>
                  <w:marRight w:val="0"/>
                  <w:marTop w:val="0"/>
                  <w:marBottom w:val="0"/>
                  <w:divBdr>
                    <w:top w:val="none" w:sz="0" w:space="0" w:color="auto"/>
                    <w:left w:val="none" w:sz="0" w:space="0" w:color="auto"/>
                    <w:bottom w:val="none" w:sz="0" w:space="0" w:color="auto"/>
                    <w:right w:val="none" w:sz="0" w:space="0" w:color="auto"/>
                  </w:divBdr>
                  <w:divsChild>
                    <w:div w:id="1690184483">
                      <w:marLeft w:val="0"/>
                      <w:marRight w:val="0"/>
                      <w:marTop w:val="0"/>
                      <w:marBottom w:val="0"/>
                      <w:divBdr>
                        <w:top w:val="none" w:sz="0" w:space="0" w:color="auto"/>
                        <w:left w:val="none" w:sz="0" w:space="0" w:color="auto"/>
                        <w:bottom w:val="none" w:sz="0" w:space="0" w:color="auto"/>
                        <w:right w:val="none" w:sz="0" w:space="0" w:color="auto"/>
                      </w:divBdr>
                      <w:divsChild>
                        <w:div w:id="676663126">
                          <w:marLeft w:val="0"/>
                          <w:marRight w:val="0"/>
                          <w:marTop w:val="0"/>
                          <w:marBottom w:val="0"/>
                          <w:divBdr>
                            <w:top w:val="none" w:sz="0" w:space="0" w:color="auto"/>
                            <w:left w:val="none" w:sz="0" w:space="0" w:color="auto"/>
                            <w:bottom w:val="none" w:sz="0" w:space="0" w:color="auto"/>
                            <w:right w:val="none" w:sz="0" w:space="0" w:color="auto"/>
                          </w:divBdr>
                          <w:divsChild>
                            <w:div w:id="605312958">
                              <w:marLeft w:val="0"/>
                              <w:marRight w:val="0"/>
                              <w:marTop w:val="0"/>
                              <w:marBottom w:val="0"/>
                              <w:divBdr>
                                <w:top w:val="none" w:sz="0" w:space="0" w:color="auto"/>
                                <w:left w:val="none" w:sz="0" w:space="0" w:color="auto"/>
                                <w:bottom w:val="none" w:sz="0" w:space="0" w:color="auto"/>
                                <w:right w:val="none" w:sz="0" w:space="0" w:color="auto"/>
                              </w:divBdr>
                              <w:divsChild>
                                <w:div w:id="23098871">
                                  <w:marLeft w:val="0"/>
                                  <w:marRight w:val="0"/>
                                  <w:marTop w:val="0"/>
                                  <w:marBottom w:val="0"/>
                                  <w:divBdr>
                                    <w:top w:val="none" w:sz="0" w:space="0" w:color="auto"/>
                                    <w:left w:val="none" w:sz="0" w:space="0" w:color="auto"/>
                                    <w:bottom w:val="none" w:sz="0" w:space="0" w:color="auto"/>
                                    <w:right w:val="none" w:sz="0" w:space="0" w:color="auto"/>
                                  </w:divBdr>
                                  <w:divsChild>
                                    <w:div w:id="901328586">
                                      <w:marLeft w:val="0"/>
                                      <w:marRight w:val="0"/>
                                      <w:marTop w:val="0"/>
                                      <w:marBottom w:val="0"/>
                                      <w:divBdr>
                                        <w:top w:val="none" w:sz="0" w:space="0" w:color="auto"/>
                                        <w:left w:val="none" w:sz="0" w:space="0" w:color="auto"/>
                                        <w:bottom w:val="none" w:sz="0" w:space="0" w:color="auto"/>
                                        <w:right w:val="none" w:sz="0" w:space="0" w:color="auto"/>
                                      </w:divBdr>
                                      <w:divsChild>
                                        <w:div w:id="126210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4079815">
      <w:bodyDiv w:val="1"/>
      <w:marLeft w:val="0"/>
      <w:marRight w:val="0"/>
      <w:marTop w:val="0"/>
      <w:marBottom w:val="0"/>
      <w:divBdr>
        <w:top w:val="none" w:sz="0" w:space="0" w:color="auto"/>
        <w:left w:val="none" w:sz="0" w:space="0" w:color="auto"/>
        <w:bottom w:val="none" w:sz="0" w:space="0" w:color="auto"/>
        <w:right w:val="none" w:sz="0" w:space="0" w:color="auto"/>
      </w:divBdr>
      <w:divsChild>
        <w:div w:id="1386877824">
          <w:marLeft w:val="0"/>
          <w:marRight w:val="0"/>
          <w:marTop w:val="0"/>
          <w:marBottom w:val="0"/>
          <w:divBdr>
            <w:top w:val="none" w:sz="0" w:space="0" w:color="auto"/>
            <w:left w:val="none" w:sz="0" w:space="0" w:color="auto"/>
            <w:bottom w:val="none" w:sz="0" w:space="0" w:color="auto"/>
            <w:right w:val="none" w:sz="0" w:space="0" w:color="auto"/>
          </w:divBdr>
          <w:divsChild>
            <w:div w:id="938563038">
              <w:marLeft w:val="0"/>
              <w:marRight w:val="0"/>
              <w:marTop w:val="0"/>
              <w:marBottom w:val="0"/>
              <w:divBdr>
                <w:top w:val="none" w:sz="0" w:space="0" w:color="auto"/>
                <w:left w:val="none" w:sz="0" w:space="0" w:color="auto"/>
                <w:bottom w:val="none" w:sz="0" w:space="0" w:color="auto"/>
                <w:right w:val="none" w:sz="0" w:space="0" w:color="auto"/>
              </w:divBdr>
            </w:div>
          </w:divsChild>
        </w:div>
        <w:div w:id="1568495877">
          <w:marLeft w:val="0"/>
          <w:marRight w:val="0"/>
          <w:marTop w:val="0"/>
          <w:marBottom w:val="150"/>
          <w:divBdr>
            <w:top w:val="none" w:sz="0" w:space="0" w:color="auto"/>
            <w:left w:val="none" w:sz="0" w:space="0" w:color="auto"/>
            <w:bottom w:val="none" w:sz="0" w:space="0" w:color="auto"/>
            <w:right w:val="none" w:sz="0" w:space="0" w:color="auto"/>
          </w:divBdr>
        </w:div>
        <w:div w:id="2045668328">
          <w:marLeft w:val="0"/>
          <w:marRight w:val="0"/>
          <w:marTop w:val="0"/>
          <w:marBottom w:val="150"/>
          <w:divBdr>
            <w:top w:val="none" w:sz="0" w:space="0" w:color="auto"/>
            <w:left w:val="none" w:sz="0" w:space="0" w:color="auto"/>
            <w:bottom w:val="none" w:sz="0" w:space="0" w:color="auto"/>
            <w:right w:val="none" w:sz="0" w:space="0" w:color="auto"/>
          </w:divBdr>
          <w:divsChild>
            <w:div w:id="80447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320384">
      <w:bodyDiv w:val="1"/>
      <w:marLeft w:val="0"/>
      <w:marRight w:val="0"/>
      <w:marTop w:val="0"/>
      <w:marBottom w:val="0"/>
      <w:divBdr>
        <w:top w:val="none" w:sz="0" w:space="0" w:color="auto"/>
        <w:left w:val="none" w:sz="0" w:space="0" w:color="auto"/>
        <w:bottom w:val="none" w:sz="0" w:space="0" w:color="auto"/>
        <w:right w:val="none" w:sz="0" w:space="0" w:color="auto"/>
      </w:divBdr>
    </w:div>
    <w:div w:id="824323175">
      <w:bodyDiv w:val="1"/>
      <w:marLeft w:val="0"/>
      <w:marRight w:val="0"/>
      <w:marTop w:val="0"/>
      <w:marBottom w:val="0"/>
      <w:divBdr>
        <w:top w:val="none" w:sz="0" w:space="0" w:color="auto"/>
        <w:left w:val="none" w:sz="0" w:space="0" w:color="auto"/>
        <w:bottom w:val="none" w:sz="0" w:space="0" w:color="auto"/>
        <w:right w:val="none" w:sz="0" w:space="0" w:color="auto"/>
      </w:divBdr>
      <w:divsChild>
        <w:div w:id="259487030">
          <w:marLeft w:val="0"/>
          <w:marRight w:val="0"/>
          <w:marTop w:val="0"/>
          <w:marBottom w:val="150"/>
          <w:divBdr>
            <w:top w:val="none" w:sz="0" w:space="0" w:color="auto"/>
            <w:left w:val="none" w:sz="0" w:space="0" w:color="auto"/>
            <w:bottom w:val="none" w:sz="0" w:space="0" w:color="auto"/>
            <w:right w:val="none" w:sz="0" w:space="0" w:color="auto"/>
          </w:divBdr>
        </w:div>
      </w:divsChild>
    </w:div>
    <w:div w:id="824513491">
      <w:bodyDiv w:val="1"/>
      <w:marLeft w:val="0"/>
      <w:marRight w:val="0"/>
      <w:marTop w:val="0"/>
      <w:marBottom w:val="0"/>
      <w:divBdr>
        <w:top w:val="none" w:sz="0" w:space="0" w:color="auto"/>
        <w:left w:val="none" w:sz="0" w:space="0" w:color="auto"/>
        <w:bottom w:val="none" w:sz="0" w:space="0" w:color="auto"/>
        <w:right w:val="none" w:sz="0" w:space="0" w:color="auto"/>
      </w:divBdr>
      <w:divsChild>
        <w:div w:id="1897157319">
          <w:marLeft w:val="0"/>
          <w:marRight w:val="0"/>
          <w:marTop w:val="0"/>
          <w:marBottom w:val="0"/>
          <w:divBdr>
            <w:top w:val="none" w:sz="0" w:space="0" w:color="auto"/>
            <w:left w:val="none" w:sz="0" w:space="0" w:color="auto"/>
            <w:bottom w:val="dotted" w:sz="6" w:space="4" w:color="DDDDDD"/>
            <w:right w:val="none" w:sz="0" w:space="0" w:color="auto"/>
          </w:divBdr>
        </w:div>
      </w:divsChild>
    </w:div>
    <w:div w:id="824786531">
      <w:bodyDiv w:val="1"/>
      <w:marLeft w:val="0"/>
      <w:marRight w:val="0"/>
      <w:marTop w:val="0"/>
      <w:marBottom w:val="0"/>
      <w:divBdr>
        <w:top w:val="none" w:sz="0" w:space="0" w:color="auto"/>
        <w:left w:val="none" w:sz="0" w:space="0" w:color="auto"/>
        <w:bottom w:val="none" w:sz="0" w:space="0" w:color="auto"/>
        <w:right w:val="none" w:sz="0" w:space="0" w:color="auto"/>
      </w:divBdr>
    </w:div>
    <w:div w:id="824972574">
      <w:bodyDiv w:val="1"/>
      <w:marLeft w:val="0"/>
      <w:marRight w:val="0"/>
      <w:marTop w:val="0"/>
      <w:marBottom w:val="0"/>
      <w:divBdr>
        <w:top w:val="none" w:sz="0" w:space="0" w:color="auto"/>
        <w:left w:val="none" w:sz="0" w:space="0" w:color="auto"/>
        <w:bottom w:val="none" w:sz="0" w:space="0" w:color="auto"/>
        <w:right w:val="none" w:sz="0" w:space="0" w:color="auto"/>
      </w:divBdr>
      <w:divsChild>
        <w:div w:id="1498036619">
          <w:marLeft w:val="0"/>
          <w:marRight w:val="0"/>
          <w:marTop w:val="0"/>
          <w:marBottom w:val="0"/>
          <w:divBdr>
            <w:top w:val="none" w:sz="0" w:space="0" w:color="auto"/>
            <w:left w:val="none" w:sz="0" w:space="0" w:color="auto"/>
            <w:bottom w:val="none" w:sz="0" w:space="0" w:color="auto"/>
            <w:right w:val="none" w:sz="0" w:space="0" w:color="auto"/>
          </w:divBdr>
          <w:divsChild>
            <w:div w:id="20394247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25165296">
      <w:bodyDiv w:val="1"/>
      <w:marLeft w:val="0"/>
      <w:marRight w:val="0"/>
      <w:marTop w:val="0"/>
      <w:marBottom w:val="0"/>
      <w:divBdr>
        <w:top w:val="none" w:sz="0" w:space="0" w:color="auto"/>
        <w:left w:val="none" w:sz="0" w:space="0" w:color="auto"/>
        <w:bottom w:val="none" w:sz="0" w:space="0" w:color="auto"/>
        <w:right w:val="none" w:sz="0" w:space="0" w:color="auto"/>
      </w:divBdr>
      <w:divsChild>
        <w:div w:id="511727460">
          <w:marLeft w:val="0"/>
          <w:marRight w:val="0"/>
          <w:marTop w:val="0"/>
          <w:marBottom w:val="0"/>
          <w:divBdr>
            <w:top w:val="none" w:sz="0" w:space="0" w:color="auto"/>
            <w:left w:val="none" w:sz="0" w:space="0" w:color="auto"/>
            <w:bottom w:val="dotted" w:sz="6" w:space="4" w:color="DDDDDD"/>
            <w:right w:val="none" w:sz="0" w:space="0" w:color="auto"/>
          </w:divBdr>
          <w:divsChild>
            <w:div w:id="65726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702043">
      <w:bodyDiv w:val="1"/>
      <w:marLeft w:val="0"/>
      <w:marRight w:val="0"/>
      <w:marTop w:val="0"/>
      <w:marBottom w:val="0"/>
      <w:divBdr>
        <w:top w:val="none" w:sz="0" w:space="0" w:color="auto"/>
        <w:left w:val="none" w:sz="0" w:space="0" w:color="auto"/>
        <w:bottom w:val="none" w:sz="0" w:space="0" w:color="auto"/>
        <w:right w:val="none" w:sz="0" w:space="0" w:color="auto"/>
      </w:divBdr>
      <w:divsChild>
        <w:div w:id="1151943102">
          <w:marLeft w:val="0"/>
          <w:marRight w:val="0"/>
          <w:marTop w:val="0"/>
          <w:marBottom w:val="0"/>
          <w:divBdr>
            <w:top w:val="none" w:sz="0" w:space="0" w:color="auto"/>
            <w:left w:val="none" w:sz="0" w:space="0" w:color="auto"/>
            <w:bottom w:val="none" w:sz="0" w:space="0" w:color="auto"/>
            <w:right w:val="none" w:sz="0" w:space="0" w:color="auto"/>
          </w:divBdr>
        </w:div>
      </w:divsChild>
    </w:div>
    <w:div w:id="826557179">
      <w:bodyDiv w:val="1"/>
      <w:marLeft w:val="0"/>
      <w:marRight w:val="0"/>
      <w:marTop w:val="0"/>
      <w:marBottom w:val="0"/>
      <w:divBdr>
        <w:top w:val="none" w:sz="0" w:space="0" w:color="auto"/>
        <w:left w:val="none" w:sz="0" w:space="0" w:color="auto"/>
        <w:bottom w:val="none" w:sz="0" w:space="0" w:color="auto"/>
        <w:right w:val="none" w:sz="0" w:space="0" w:color="auto"/>
      </w:divBdr>
    </w:div>
    <w:div w:id="826752357">
      <w:bodyDiv w:val="1"/>
      <w:marLeft w:val="0"/>
      <w:marRight w:val="0"/>
      <w:marTop w:val="0"/>
      <w:marBottom w:val="0"/>
      <w:divBdr>
        <w:top w:val="none" w:sz="0" w:space="0" w:color="auto"/>
        <w:left w:val="none" w:sz="0" w:space="0" w:color="auto"/>
        <w:bottom w:val="none" w:sz="0" w:space="0" w:color="auto"/>
        <w:right w:val="none" w:sz="0" w:space="0" w:color="auto"/>
      </w:divBdr>
      <w:divsChild>
        <w:div w:id="614798258">
          <w:marLeft w:val="0"/>
          <w:marRight w:val="0"/>
          <w:marTop w:val="150"/>
          <w:marBottom w:val="0"/>
          <w:divBdr>
            <w:top w:val="none" w:sz="0" w:space="0" w:color="auto"/>
            <w:left w:val="none" w:sz="0" w:space="0" w:color="auto"/>
            <w:bottom w:val="none" w:sz="0" w:space="0" w:color="auto"/>
            <w:right w:val="none" w:sz="0" w:space="0" w:color="auto"/>
          </w:divBdr>
          <w:divsChild>
            <w:div w:id="1489319464">
              <w:marLeft w:val="0"/>
              <w:marRight w:val="150"/>
              <w:marTop w:val="0"/>
              <w:marBottom w:val="0"/>
              <w:divBdr>
                <w:top w:val="none" w:sz="0" w:space="0" w:color="auto"/>
                <w:left w:val="none" w:sz="0" w:space="0" w:color="auto"/>
                <w:bottom w:val="none" w:sz="0" w:space="0" w:color="auto"/>
                <w:right w:val="none" w:sz="0" w:space="0" w:color="auto"/>
              </w:divBdr>
            </w:div>
          </w:divsChild>
        </w:div>
        <w:div w:id="2031956424">
          <w:marLeft w:val="0"/>
          <w:marRight w:val="0"/>
          <w:marTop w:val="0"/>
          <w:marBottom w:val="0"/>
          <w:divBdr>
            <w:top w:val="none" w:sz="0" w:space="8" w:color="auto"/>
            <w:left w:val="none" w:sz="0" w:space="2" w:color="auto"/>
            <w:bottom w:val="single" w:sz="6" w:space="8" w:color="DDDDDD"/>
            <w:right w:val="none" w:sz="0" w:space="0" w:color="auto"/>
          </w:divBdr>
        </w:div>
      </w:divsChild>
    </w:div>
    <w:div w:id="826938494">
      <w:bodyDiv w:val="1"/>
      <w:marLeft w:val="0"/>
      <w:marRight w:val="0"/>
      <w:marTop w:val="0"/>
      <w:marBottom w:val="0"/>
      <w:divBdr>
        <w:top w:val="none" w:sz="0" w:space="0" w:color="auto"/>
        <w:left w:val="none" w:sz="0" w:space="0" w:color="auto"/>
        <w:bottom w:val="none" w:sz="0" w:space="0" w:color="auto"/>
        <w:right w:val="none" w:sz="0" w:space="0" w:color="auto"/>
      </w:divBdr>
      <w:divsChild>
        <w:div w:id="1824619183">
          <w:marLeft w:val="0"/>
          <w:marRight w:val="0"/>
          <w:marTop w:val="0"/>
          <w:marBottom w:val="150"/>
          <w:divBdr>
            <w:top w:val="none" w:sz="0" w:space="0" w:color="auto"/>
            <w:left w:val="none" w:sz="0" w:space="0" w:color="auto"/>
            <w:bottom w:val="none" w:sz="0" w:space="0" w:color="auto"/>
            <w:right w:val="none" w:sz="0" w:space="0" w:color="auto"/>
          </w:divBdr>
        </w:div>
      </w:divsChild>
    </w:div>
    <w:div w:id="827013270">
      <w:bodyDiv w:val="1"/>
      <w:marLeft w:val="0"/>
      <w:marRight w:val="0"/>
      <w:marTop w:val="0"/>
      <w:marBottom w:val="0"/>
      <w:divBdr>
        <w:top w:val="none" w:sz="0" w:space="0" w:color="auto"/>
        <w:left w:val="none" w:sz="0" w:space="0" w:color="auto"/>
        <w:bottom w:val="none" w:sz="0" w:space="0" w:color="auto"/>
        <w:right w:val="none" w:sz="0" w:space="0" w:color="auto"/>
      </w:divBdr>
      <w:divsChild>
        <w:div w:id="503740696">
          <w:marLeft w:val="0"/>
          <w:marRight w:val="0"/>
          <w:marTop w:val="0"/>
          <w:marBottom w:val="0"/>
          <w:divBdr>
            <w:top w:val="none" w:sz="0" w:space="0" w:color="auto"/>
            <w:left w:val="none" w:sz="0" w:space="0" w:color="auto"/>
            <w:bottom w:val="none" w:sz="0" w:space="0" w:color="auto"/>
            <w:right w:val="none" w:sz="0" w:space="0" w:color="auto"/>
          </w:divBdr>
        </w:div>
        <w:div w:id="813522735">
          <w:marLeft w:val="0"/>
          <w:marRight w:val="0"/>
          <w:marTop w:val="0"/>
          <w:marBottom w:val="0"/>
          <w:divBdr>
            <w:top w:val="none" w:sz="0" w:space="0" w:color="auto"/>
            <w:left w:val="none" w:sz="0" w:space="0" w:color="auto"/>
            <w:bottom w:val="none" w:sz="0" w:space="0" w:color="auto"/>
            <w:right w:val="none" w:sz="0" w:space="0" w:color="auto"/>
          </w:divBdr>
        </w:div>
      </w:divsChild>
    </w:div>
    <w:div w:id="827407340">
      <w:bodyDiv w:val="1"/>
      <w:marLeft w:val="0"/>
      <w:marRight w:val="0"/>
      <w:marTop w:val="0"/>
      <w:marBottom w:val="0"/>
      <w:divBdr>
        <w:top w:val="none" w:sz="0" w:space="0" w:color="auto"/>
        <w:left w:val="none" w:sz="0" w:space="0" w:color="auto"/>
        <w:bottom w:val="none" w:sz="0" w:space="0" w:color="auto"/>
        <w:right w:val="none" w:sz="0" w:space="0" w:color="auto"/>
      </w:divBdr>
      <w:divsChild>
        <w:div w:id="502548216">
          <w:marLeft w:val="0"/>
          <w:marRight w:val="0"/>
          <w:marTop w:val="0"/>
          <w:marBottom w:val="0"/>
          <w:divBdr>
            <w:top w:val="none" w:sz="0" w:space="0" w:color="auto"/>
            <w:left w:val="none" w:sz="0" w:space="0" w:color="auto"/>
            <w:bottom w:val="dotted" w:sz="6" w:space="4" w:color="DDDDDD"/>
            <w:right w:val="none" w:sz="0" w:space="0" w:color="auto"/>
          </w:divBdr>
        </w:div>
      </w:divsChild>
    </w:div>
    <w:div w:id="827481522">
      <w:bodyDiv w:val="1"/>
      <w:marLeft w:val="0"/>
      <w:marRight w:val="0"/>
      <w:marTop w:val="0"/>
      <w:marBottom w:val="0"/>
      <w:divBdr>
        <w:top w:val="none" w:sz="0" w:space="0" w:color="auto"/>
        <w:left w:val="none" w:sz="0" w:space="0" w:color="auto"/>
        <w:bottom w:val="none" w:sz="0" w:space="0" w:color="auto"/>
        <w:right w:val="none" w:sz="0" w:space="0" w:color="auto"/>
      </w:divBdr>
    </w:div>
    <w:div w:id="827868099">
      <w:bodyDiv w:val="1"/>
      <w:marLeft w:val="0"/>
      <w:marRight w:val="0"/>
      <w:marTop w:val="0"/>
      <w:marBottom w:val="0"/>
      <w:divBdr>
        <w:top w:val="none" w:sz="0" w:space="0" w:color="auto"/>
        <w:left w:val="none" w:sz="0" w:space="0" w:color="auto"/>
        <w:bottom w:val="none" w:sz="0" w:space="0" w:color="auto"/>
        <w:right w:val="none" w:sz="0" w:space="0" w:color="auto"/>
      </w:divBdr>
      <w:divsChild>
        <w:div w:id="1893037462">
          <w:marLeft w:val="0"/>
          <w:marRight w:val="0"/>
          <w:marTop w:val="0"/>
          <w:marBottom w:val="0"/>
          <w:divBdr>
            <w:top w:val="none" w:sz="0" w:space="0" w:color="auto"/>
            <w:left w:val="none" w:sz="0" w:space="0" w:color="auto"/>
            <w:bottom w:val="dotted" w:sz="6" w:space="4" w:color="DDDDDD"/>
            <w:right w:val="none" w:sz="0" w:space="0" w:color="auto"/>
          </w:divBdr>
          <w:divsChild>
            <w:div w:id="205600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938432">
      <w:bodyDiv w:val="1"/>
      <w:marLeft w:val="0"/>
      <w:marRight w:val="0"/>
      <w:marTop w:val="0"/>
      <w:marBottom w:val="0"/>
      <w:divBdr>
        <w:top w:val="none" w:sz="0" w:space="0" w:color="auto"/>
        <w:left w:val="none" w:sz="0" w:space="0" w:color="auto"/>
        <w:bottom w:val="none" w:sz="0" w:space="0" w:color="auto"/>
        <w:right w:val="none" w:sz="0" w:space="0" w:color="auto"/>
      </w:divBdr>
      <w:divsChild>
        <w:div w:id="1199388934">
          <w:marLeft w:val="0"/>
          <w:marRight w:val="0"/>
          <w:marTop w:val="0"/>
          <w:marBottom w:val="0"/>
          <w:divBdr>
            <w:top w:val="none" w:sz="0" w:space="0" w:color="auto"/>
            <w:left w:val="none" w:sz="0" w:space="0" w:color="auto"/>
            <w:bottom w:val="none" w:sz="0" w:space="0" w:color="auto"/>
            <w:right w:val="none" w:sz="0" w:space="0" w:color="auto"/>
          </w:divBdr>
          <w:divsChild>
            <w:div w:id="64494944">
              <w:marLeft w:val="0"/>
              <w:marRight w:val="0"/>
              <w:marTop w:val="0"/>
              <w:marBottom w:val="0"/>
              <w:divBdr>
                <w:top w:val="none" w:sz="0" w:space="0" w:color="auto"/>
                <w:left w:val="none" w:sz="0" w:space="0" w:color="auto"/>
                <w:bottom w:val="none" w:sz="0" w:space="0" w:color="auto"/>
                <w:right w:val="none" w:sz="0" w:space="0" w:color="auto"/>
              </w:divBdr>
            </w:div>
            <w:div w:id="70734118">
              <w:marLeft w:val="0"/>
              <w:marRight w:val="0"/>
              <w:marTop w:val="0"/>
              <w:marBottom w:val="0"/>
              <w:divBdr>
                <w:top w:val="none" w:sz="0" w:space="0" w:color="auto"/>
                <w:left w:val="none" w:sz="0" w:space="0" w:color="auto"/>
                <w:bottom w:val="none" w:sz="0" w:space="0" w:color="auto"/>
                <w:right w:val="none" w:sz="0" w:space="0" w:color="auto"/>
              </w:divBdr>
            </w:div>
            <w:div w:id="100957166">
              <w:marLeft w:val="0"/>
              <w:marRight w:val="0"/>
              <w:marTop w:val="0"/>
              <w:marBottom w:val="0"/>
              <w:divBdr>
                <w:top w:val="none" w:sz="0" w:space="0" w:color="auto"/>
                <w:left w:val="none" w:sz="0" w:space="0" w:color="auto"/>
                <w:bottom w:val="none" w:sz="0" w:space="0" w:color="auto"/>
                <w:right w:val="none" w:sz="0" w:space="0" w:color="auto"/>
              </w:divBdr>
            </w:div>
            <w:div w:id="115149241">
              <w:marLeft w:val="0"/>
              <w:marRight w:val="0"/>
              <w:marTop w:val="0"/>
              <w:marBottom w:val="0"/>
              <w:divBdr>
                <w:top w:val="none" w:sz="0" w:space="0" w:color="auto"/>
                <w:left w:val="none" w:sz="0" w:space="0" w:color="auto"/>
                <w:bottom w:val="none" w:sz="0" w:space="0" w:color="auto"/>
                <w:right w:val="none" w:sz="0" w:space="0" w:color="auto"/>
              </w:divBdr>
            </w:div>
            <w:div w:id="310406081">
              <w:marLeft w:val="0"/>
              <w:marRight w:val="0"/>
              <w:marTop w:val="0"/>
              <w:marBottom w:val="0"/>
              <w:divBdr>
                <w:top w:val="none" w:sz="0" w:space="0" w:color="auto"/>
                <w:left w:val="none" w:sz="0" w:space="0" w:color="auto"/>
                <w:bottom w:val="none" w:sz="0" w:space="0" w:color="auto"/>
                <w:right w:val="none" w:sz="0" w:space="0" w:color="auto"/>
              </w:divBdr>
            </w:div>
            <w:div w:id="372196298">
              <w:marLeft w:val="0"/>
              <w:marRight w:val="0"/>
              <w:marTop w:val="0"/>
              <w:marBottom w:val="0"/>
              <w:divBdr>
                <w:top w:val="none" w:sz="0" w:space="0" w:color="auto"/>
                <w:left w:val="none" w:sz="0" w:space="0" w:color="auto"/>
                <w:bottom w:val="none" w:sz="0" w:space="0" w:color="auto"/>
                <w:right w:val="none" w:sz="0" w:space="0" w:color="auto"/>
              </w:divBdr>
            </w:div>
            <w:div w:id="441462145">
              <w:marLeft w:val="0"/>
              <w:marRight w:val="0"/>
              <w:marTop w:val="0"/>
              <w:marBottom w:val="0"/>
              <w:divBdr>
                <w:top w:val="none" w:sz="0" w:space="0" w:color="auto"/>
                <w:left w:val="none" w:sz="0" w:space="0" w:color="auto"/>
                <w:bottom w:val="none" w:sz="0" w:space="0" w:color="auto"/>
                <w:right w:val="none" w:sz="0" w:space="0" w:color="auto"/>
              </w:divBdr>
            </w:div>
            <w:div w:id="613636540">
              <w:marLeft w:val="0"/>
              <w:marRight w:val="0"/>
              <w:marTop w:val="0"/>
              <w:marBottom w:val="0"/>
              <w:divBdr>
                <w:top w:val="none" w:sz="0" w:space="0" w:color="auto"/>
                <w:left w:val="none" w:sz="0" w:space="0" w:color="auto"/>
                <w:bottom w:val="none" w:sz="0" w:space="0" w:color="auto"/>
                <w:right w:val="none" w:sz="0" w:space="0" w:color="auto"/>
              </w:divBdr>
            </w:div>
            <w:div w:id="641928646">
              <w:marLeft w:val="0"/>
              <w:marRight w:val="0"/>
              <w:marTop w:val="0"/>
              <w:marBottom w:val="0"/>
              <w:divBdr>
                <w:top w:val="none" w:sz="0" w:space="0" w:color="auto"/>
                <w:left w:val="none" w:sz="0" w:space="0" w:color="auto"/>
                <w:bottom w:val="none" w:sz="0" w:space="0" w:color="auto"/>
                <w:right w:val="none" w:sz="0" w:space="0" w:color="auto"/>
              </w:divBdr>
            </w:div>
            <w:div w:id="736709909">
              <w:marLeft w:val="0"/>
              <w:marRight w:val="0"/>
              <w:marTop w:val="0"/>
              <w:marBottom w:val="0"/>
              <w:divBdr>
                <w:top w:val="none" w:sz="0" w:space="0" w:color="auto"/>
                <w:left w:val="none" w:sz="0" w:space="0" w:color="auto"/>
                <w:bottom w:val="none" w:sz="0" w:space="0" w:color="auto"/>
                <w:right w:val="none" w:sz="0" w:space="0" w:color="auto"/>
              </w:divBdr>
            </w:div>
            <w:div w:id="812453521">
              <w:marLeft w:val="0"/>
              <w:marRight w:val="0"/>
              <w:marTop w:val="0"/>
              <w:marBottom w:val="0"/>
              <w:divBdr>
                <w:top w:val="none" w:sz="0" w:space="0" w:color="auto"/>
                <w:left w:val="none" w:sz="0" w:space="0" w:color="auto"/>
                <w:bottom w:val="none" w:sz="0" w:space="0" w:color="auto"/>
                <w:right w:val="none" w:sz="0" w:space="0" w:color="auto"/>
              </w:divBdr>
            </w:div>
            <w:div w:id="908686526">
              <w:marLeft w:val="0"/>
              <w:marRight w:val="0"/>
              <w:marTop w:val="0"/>
              <w:marBottom w:val="0"/>
              <w:divBdr>
                <w:top w:val="none" w:sz="0" w:space="0" w:color="auto"/>
                <w:left w:val="none" w:sz="0" w:space="0" w:color="auto"/>
                <w:bottom w:val="none" w:sz="0" w:space="0" w:color="auto"/>
                <w:right w:val="none" w:sz="0" w:space="0" w:color="auto"/>
              </w:divBdr>
            </w:div>
            <w:div w:id="967927888">
              <w:marLeft w:val="0"/>
              <w:marRight w:val="0"/>
              <w:marTop w:val="0"/>
              <w:marBottom w:val="0"/>
              <w:divBdr>
                <w:top w:val="none" w:sz="0" w:space="0" w:color="auto"/>
                <w:left w:val="none" w:sz="0" w:space="0" w:color="auto"/>
                <w:bottom w:val="none" w:sz="0" w:space="0" w:color="auto"/>
                <w:right w:val="none" w:sz="0" w:space="0" w:color="auto"/>
              </w:divBdr>
            </w:div>
            <w:div w:id="999116198">
              <w:marLeft w:val="0"/>
              <w:marRight w:val="0"/>
              <w:marTop w:val="0"/>
              <w:marBottom w:val="0"/>
              <w:divBdr>
                <w:top w:val="none" w:sz="0" w:space="0" w:color="auto"/>
                <w:left w:val="none" w:sz="0" w:space="0" w:color="auto"/>
                <w:bottom w:val="none" w:sz="0" w:space="0" w:color="auto"/>
                <w:right w:val="none" w:sz="0" w:space="0" w:color="auto"/>
              </w:divBdr>
            </w:div>
            <w:div w:id="1036852665">
              <w:marLeft w:val="0"/>
              <w:marRight w:val="0"/>
              <w:marTop w:val="0"/>
              <w:marBottom w:val="0"/>
              <w:divBdr>
                <w:top w:val="none" w:sz="0" w:space="0" w:color="auto"/>
                <w:left w:val="none" w:sz="0" w:space="0" w:color="auto"/>
                <w:bottom w:val="none" w:sz="0" w:space="0" w:color="auto"/>
                <w:right w:val="none" w:sz="0" w:space="0" w:color="auto"/>
              </w:divBdr>
            </w:div>
            <w:div w:id="1137650352">
              <w:marLeft w:val="0"/>
              <w:marRight w:val="0"/>
              <w:marTop w:val="0"/>
              <w:marBottom w:val="0"/>
              <w:divBdr>
                <w:top w:val="none" w:sz="0" w:space="0" w:color="auto"/>
                <w:left w:val="none" w:sz="0" w:space="0" w:color="auto"/>
                <w:bottom w:val="none" w:sz="0" w:space="0" w:color="auto"/>
                <w:right w:val="none" w:sz="0" w:space="0" w:color="auto"/>
              </w:divBdr>
            </w:div>
            <w:div w:id="1197234178">
              <w:marLeft w:val="0"/>
              <w:marRight w:val="0"/>
              <w:marTop w:val="0"/>
              <w:marBottom w:val="0"/>
              <w:divBdr>
                <w:top w:val="none" w:sz="0" w:space="0" w:color="auto"/>
                <w:left w:val="none" w:sz="0" w:space="0" w:color="auto"/>
                <w:bottom w:val="none" w:sz="0" w:space="0" w:color="auto"/>
                <w:right w:val="none" w:sz="0" w:space="0" w:color="auto"/>
              </w:divBdr>
            </w:div>
            <w:div w:id="1219825549">
              <w:marLeft w:val="0"/>
              <w:marRight w:val="0"/>
              <w:marTop w:val="0"/>
              <w:marBottom w:val="0"/>
              <w:divBdr>
                <w:top w:val="none" w:sz="0" w:space="0" w:color="auto"/>
                <w:left w:val="none" w:sz="0" w:space="0" w:color="auto"/>
                <w:bottom w:val="none" w:sz="0" w:space="0" w:color="auto"/>
                <w:right w:val="none" w:sz="0" w:space="0" w:color="auto"/>
              </w:divBdr>
            </w:div>
            <w:div w:id="1288470205">
              <w:marLeft w:val="0"/>
              <w:marRight w:val="0"/>
              <w:marTop w:val="0"/>
              <w:marBottom w:val="0"/>
              <w:divBdr>
                <w:top w:val="none" w:sz="0" w:space="0" w:color="auto"/>
                <w:left w:val="none" w:sz="0" w:space="0" w:color="auto"/>
                <w:bottom w:val="none" w:sz="0" w:space="0" w:color="auto"/>
                <w:right w:val="none" w:sz="0" w:space="0" w:color="auto"/>
              </w:divBdr>
            </w:div>
            <w:div w:id="1308436384">
              <w:marLeft w:val="0"/>
              <w:marRight w:val="0"/>
              <w:marTop w:val="0"/>
              <w:marBottom w:val="0"/>
              <w:divBdr>
                <w:top w:val="none" w:sz="0" w:space="0" w:color="auto"/>
                <w:left w:val="none" w:sz="0" w:space="0" w:color="auto"/>
                <w:bottom w:val="none" w:sz="0" w:space="0" w:color="auto"/>
                <w:right w:val="none" w:sz="0" w:space="0" w:color="auto"/>
              </w:divBdr>
            </w:div>
            <w:div w:id="1324237507">
              <w:marLeft w:val="0"/>
              <w:marRight w:val="0"/>
              <w:marTop w:val="0"/>
              <w:marBottom w:val="0"/>
              <w:divBdr>
                <w:top w:val="none" w:sz="0" w:space="0" w:color="auto"/>
                <w:left w:val="none" w:sz="0" w:space="0" w:color="auto"/>
                <w:bottom w:val="none" w:sz="0" w:space="0" w:color="auto"/>
                <w:right w:val="none" w:sz="0" w:space="0" w:color="auto"/>
              </w:divBdr>
            </w:div>
            <w:div w:id="1444766189">
              <w:marLeft w:val="0"/>
              <w:marRight w:val="0"/>
              <w:marTop w:val="0"/>
              <w:marBottom w:val="0"/>
              <w:divBdr>
                <w:top w:val="none" w:sz="0" w:space="0" w:color="auto"/>
                <w:left w:val="none" w:sz="0" w:space="0" w:color="auto"/>
                <w:bottom w:val="none" w:sz="0" w:space="0" w:color="auto"/>
                <w:right w:val="none" w:sz="0" w:space="0" w:color="auto"/>
              </w:divBdr>
            </w:div>
            <w:div w:id="1578855626">
              <w:marLeft w:val="0"/>
              <w:marRight w:val="0"/>
              <w:marTop w:val="0"/>
              <w:marBottom w:val="0"/>
              <w:divBdr>
                <w:top w:val="none" w:sz="0" w:space="0" w:color="auto"/>
                <w:left w:val="none" w:sz="0" w:space="0" w:color="auto"/>
                <w:bottom w:val="none" w:sz="0" w:space="0" w:color="auto"/>
                <w:right w:val="none" w:sz="0" w:space="0" w:color="auto"/>
              </w:divBdr>
            </w:div>
            <w:div w:id="1618675650">
              <w:marLeft w:val="0"/>
              <w:marRight w:val="0"/>
              <w:marTop w:val="0"/>
              <w:marBottom w:val="0"/>
              <w:divBdr>
                <w:top w:val="none" w:sz="0" w:space="0" w:color="auto"/>
                <w:left w:val="none" w:sz="0" w:space="0" w:color="auto"/>
                <w:bottom w:val="none" w:sz="0" w:space="0" w:color="auto"/>
                <w:right w:val="none" w:sz="0" w:space="0" w:color="auto"/>
              </w:divBdr>
            </w:div>
            <w:div w:id="1727954544">
              <w:marLeft w:val="0"/>
              <w:marRight w:val="0"/>
              <w:marTop w:val="0"/>
              <w:marBottom w:val="0"/>
              <w:divBdr>
                <w:top w:val="none" w:sz="0" w:space="0" w:color="auto"/>
                <w:left w:val="none" w:sz="0" w:space="0" w:color="auto"/>
                <w:bottom w:val="none" w:sz="0" w:space="0" w:color="auto"/>
                <w:right w:val="none" w:sz="0" w:space="0" w:color="auto"/>
              </w:divBdr>
            </w:div>
            <w:div w:id="1995185041">
              <w:marLeft w:val="0"/>
              <w:marRight w:val="0"/>
              <w:marTop w:val="0"/>
              <w:marBottom w:val="0"/>
              <w:divBdr>
                <w:top w:val="none" w:sz="0" w:space="0" w:color="auto"/>
                <w:left w:val="none" w:sz="0" w:space="0" w:color="auto"/>
                <w:bottom w:val="none" w:sz="0" w:space="0" w:color="auto"/>
                <w:right w:val="none" w:sz="0" w:space="0" w:color="auto"/>
              </w:divBdr>
            </w:div>
            <w:div w:id="2004968315">
              <w:marLeft w:val="0"/>
              <w:marRight w:val="0"/>
              <w:marTop w:val="0"/>
              <w:marBottom w:val="0"/>
              <w:divBdr>
                <w:top w:val="none" w:sz="0" w:space="0" w:color="auto"/>
                <w:left w:val="none" w:sz="0" w:space="0" w:color="auto"/>
                <w:bottom w:val="none" w:sz="0" w:space="0" w:color="auto"/>
                <w:right w:val="none" w:sz="0" w:space="0" w:color="auto"/>
              </w:divBdr>
            </w:div>
            <w:div w:id="2025401083">
              <w:marLeft w:val="0"/>
              <w:marRight w:val="0"/>
              <w:marTop w:val="0"/>
              <w:marBottom w:val="0"/>
              <w:divBdr>
                <w:top w:val="none" w:sz="0" w:space="0" w:color="auto"/>
                <w:left w:val="none" w:sz="0" w:space="0" w:color="auto"/>
                <w:bottom w:val="none" w:sz="0" w:space="0" w:color="auto"/>
                <w:right w:val="none" w:sz="0" w:space="0" w:color="auto"/>
              </w:divBdr>
            </w:div>
            <w:div w:id="2033409781">
              <w:marLeft w:val="0"/>
              <w:marRight w:val="0"/>
              <w:marTop w:val="0"/>
              <w:marBottom w:val="0"/>
              <w:divBdr>
                <w:top w:val="none" w:sz="0" w:space="0" w:color="auto"/>
                <w:left w:val="none" w:sz="0" w:space="0" w:color="auto"/>
                <w:bottom w:val="none" w:sz="0" w:space="0" w:color="auto"/>
                <w:right w:val="none" w:sz="0" w:space="0" w:color="auto"/>
              </w:divBdr>
            </w:div>
            <w:div w:id="2080931780">
              <w:marLeft w:val="0"/>
              <w:marRight w:val="0"/>
              <w:marTop w:val="0"/>
              <w:marBottom w:val="0"/>
              <w:divBdr>
                <w:top w:val="none" w:sz="0" w:space="0" w:color="auto"/>
                <w:left w:val="none" w:sz="0" w:space="0" w:color="auto"/>
                <w:bottom w:val="none" w:sz="0" w:space="0" w:color="auto"/>
                <w:right w:val="none" w:sz="0" w:space="0" w:color="auto"/>
              </w:divBdr>
            </w:div>
            <w:div w:id="212068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137991">
      <w:bodyDiv w:val="1"/>
      <w:marLeft w:val="0"/>
      <w:marRight w:val="0"/>
      <w:marTop w:val="0"/>
      <w:marBottom w:val="0"/>
      <w:divBdr>
        <w:top w:val="none" w:sz="0" w:space="0" w:color="auto"/>
        <w:left w:val="none" w:sz="0" w:space="0" w:color="auto"/>
        <w:bottom w:val="none" w:sz="0" w:space="0" w:color="auto"/>
        <w:right w:val="none" w:sz="0" w:space="0" w:color="auto"/>
      </w:divBdr>
    </w:div>
    <w:div w:id="828256236">
      <w:bodyDiv w:val="1"/>
      <w:marLeft w:val="0"/>
      <w:marRight w:val="0"/>
      <w:marTop w:val="0"/>
      <w:marBottom w:val="0"/>
      <w:divBdr>
        <w:top w:val="none" w:sz="0" w:space="0" w:color="auto"/>
        <w:left w:val="none" w:sz="0" w:space="0" w:color="auto"/>
        <w:bottom w:val="none" w:sz="0" w:space="0" w:color="auto"/>
        <w:right w:val="none" w:sz="0" w:space="0" w:color="auto"/>
      </w:divBdr>
      <w:divsChild>
        <w:div w:id="97068664">
          <w:marLeft w:val="0"/>
          <w:marRight w:val="0"/>
          <w:marTop w:val="0"/>
          <w:marBottom w:val="150"/>
          <w:divBdr>
            <w:top w:val="none" w:sz="0" w:space="0" w:color="auto"/>
            <w:left w:val="none" w:sz="0" w:space="0" w:color="auto"/>
            <w:bottom w:val="none" w:sz="0" w:space="0" w:color="auto"/>
            <w:right w:val="none" w:sz="0" w:space="0" w:color="auto"/>
          </w:divBdr>
          <w:divsChild>
            <w:div w:id="1959221651">
              <w:marLeft w:val="0"/>
              <w:marRight w:val="0"/>
              <w:marTop w:val="0"/>
              <w:marBottom w:val="0"/>
              <w:divBdr>
                <w:top w:val="none" w:sz="0" w:space="0" w:color="auto"/>
                <w:left w:val="none" w:sz="0" w:space="0" w:color="auto"/>
                <w:bottom w:val="none" w:sz="0" w:space="0" w:color="auto"/>
                <w:right w:val="none" w:sz="0" w:space="0" w:color="auto"/>
              </w:divBdr>
              <w:divsChild>
                <w:div w:id="2838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577596">
          <w:marLeft w:val="0"/>
          <w:marRight w:val="0"/>
          <w:marTop w:val="0"/>
          <w:marBottom w:val="150"/>
          <w:divBdr>
            <w:top w:val="none" w:sz="0" w:space="0" w:color="auto"/>
            <w:left w:val="none" w:sz="0" w:space="0" w:color="auto"/>
            <w:bottom w:val="none" w:sz="0" w:space="0" w:color="auto"/>
            <w:right w:val="none" w:sz="0" w:space="0" w:color="auto"/>
          </w:divBdr>
        </w:div>
        <w:div w:id="406923104">
          <w:marLeft w:val="0"/>
          <w:marRight w:val="0"/>
          <w:marTop w:val="0"/>
          <w:marBottom w:val="0"/>
          <w:divBdr>
            <w:top w:val="none" w:sz="0" w:space="0" w:color="auto"/>
            <w:left w:val="none" w:sz="0" w:space="0" w:color="auto"/>
            <w:bottom w:val="none" w:sz="0" w:space="0" w:color="auto"/>
            <w:right w:val="none" w:sz="0" w:space="0" w:color="auto"/>
          </w:divBdr>
          <w:divsChild>
            <w:div w:id="10474153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28399936">
      <w:bodyDiv w:val="1"/>
      <w:marLeft w:val="0"/>
      <w:marRight w:val="0"/>
      <w:marTop w:val="0"/>
      <w:marBottom w:val="0"/>
      <w:divBdr>
        <w:top w:val="none" w:sz="0" w:space="0" w:color="auto"/>
        <w:left w:val="none" w:sz="0" w:space="0" w:color="auto"/>
        <w:bottom w:val="none" w:sz="0" w:space="0" w:color="auto"/>
        <w:right w:val="none" w:sz="0" w:space="0" w:color="auto"/>
      </w:divBdr>
    </w:div>
    <w:div w:id="829247198">
      <w:bodyDiv w:val="1"/>
      <w:marLeft w:val="0"/>
      <w:marRight w:val="0"/>
      <w:marTop w:val="0"/>
      <w:marBottom w:val="0"/>
      <w:divBdr>
        <w:top w:val="none" w:sz="0" w:space="0" w:color="auto"/>
        <w:left w:val="none" w:sz="0" w:space="0" w:color="auto"/>
        <w:bottom w:val="none" w:sz="0" w:space="0" w:color="auto"/>
        <w:right w:val="none" w:sz="0" w:space="0" w:color="auto"/>
      </w:divBdr>
      <w:divsChild>
        <w:div w:id="1564095973">
          <w:marLeft w:val="0"/>
          <w:marRight w:val="0"/>
          <w:marTop w:val="0"/>
          <w:marBottom w:val="0"/>
          <w:divBdr>
            <w:top w:val="none" w:sz="0" w:space="0" w:color="auto"/>
            <w:left w:val="none" w:sz="0" w:space="0" w:color="auto"/>
            <w:bottom w:val="dotted" w:sz="6" w:space="4" w:color="DDDDDD"/>
            <w:right w:val="none" w:sz="0" w:space="0" w:color="auto"/>
          </w:divBdr>
          <w:divsChild>
            <w:div w:id="61636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829685">
      <w:bodyDiv w:val="1"/>
      <w:marLeft w:val="0"/>
      <w:marRight w:val="0"/>
      <w:marTop w:val="0"/>
      <w:marBottom w:val="0"/>
      <w:divBdr>
        <w:top w:val="none" w:sz="0" w:space="0" w:color="auto"/>
        <w:left w:val="none" w:sz="0" w:space="0" w:color="auto"/>
        <w:bottom w:val="none" w:sz="0" w:space="0" w:color="auto"/>
        <w:right w:val="none" w:sz="0" w:space="0" w:color="auto"/>
      </w:divBdr>
    </w:div>
    <w:div w:id="829905995">
      <w:bodyDiv w:val="1"/>
      <w:marLeft w:val="0"/>
      <w:marRight w:val="0"/>
      <w:marTop w:val="0"/>
      <w:marBottom w:val="0"/>
      <w:divBdr>
        <w:top w:val="none" w:sz="0" w:space="0" w:color="auto"/>
        <w:left w:val="none" w:sz="0" w:space="0" w:color="auto"/>
        <w:bottom w:val="none" w:sz="0" w:space="0" w:color="auto"/>
        <w:right w:val="none" w:sz="0" w:space="0" w:color="auto"/>
      </w:divBdr>
    </w:div>
    <w:div w:id="830829572">
      <w:bodyDiv w:val="1"/>
      <w:marLeft w:val="0"/>
      <w:marRight w:val="0"/>
      <w:marTop w:val="0"/>
      <w:marBottom w:val="0"/>
      <w:divBdr>
        <w:top w:val="none" w:sz="0" w:space="0" w:color="auto"/>
        <w:left w:val="none" w:sz="0" w:space="0" w:color="auto"/>
        <w:bottom w:val="none" w:sz="0" w:space="0" w:color="auto"/>
        <w:right w:val="none" w:sz="0" w:space="0" w:color="auto"/>
      </w:divBdr>
      <w:divsChild>
        <w:div w:id="287051635">
          <w:marLeft w:val="0"/>
          <w:marRight w:val="0"/>
          <w:marTop w:val="0"/>
          <w:marBottom w:val="0"/>
          <w:divBdr>
            <w:top w:val="none" w:sz="0" w:space="0" w:color="auto"/>
            <w:left w:val="none" w:sz="0" w:space="0" w:color="auto"/>
            <w:bottom w:val="none" w:sz="0" w:space="0" w:color="auto"/>
            <w:right w:val="none" w:sz="0" w:space="0" w:color="auto"/>
          </w:divBdr>
        </w:div>
        <w:div w:id="1226336390">
          <w:marLeft w:val="0"/>
          <w:marRight w:val="0"/>
          <w:marTop w:val="0"/>
          <w:marBottom w:val="150"/>
          <w:divBdr>
            <w:top w:val="none" w:sz="0" w:space="0" w:color="auto"/>
            <w:left w:val="none" w:sz="0" w:space="0" w:color="auto"/>
            <w:bottom w:val="none" w:sz="0" w:space="0" w:color="auto"/>
            <w:right w:val="none" w:sz="0" w:space="0" w:color="auto"/>
          </w:divBdr>
          <w:divsChild>
            <w:div w:id="145143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4485">
      <w:bodyDiv w:val="1"/>
      <w:marLeft w:val="0"/>
      <w:marRight w:val="0"/>
      <w:marTop w:val="0"/>
      <w:marBottom w:val="0"/>
      <w:divBdr>
        <w:top w:val="none" w:sz="0" w:space="0" w:color="auto"/>
        <w:left w:val="none" w:sz="0" w:space="0" w:color="auto"/>
        <w:bottom w:val="none" w:sz="0" w:space="0" w:color="auto"/>
        <w:right w:val="none" w:sz="0" w:space="0" w:color="auto"/>
      </w:divBdr>
      <w:divsChild>
        <w:div w:id="593629809">
          <w:marLeft w:val="0"/>
          <w:marRight w:val="0"/>
          <w:marTop w:val="0"/>
          <w:marBottom w:val="225"/>
          <w:divBdr>
            <w:top w:val="none" w:sz="0" w:space="0" w:color="auto"/>
            <w:left w:val="none" w:sz="0" w:space="0" w:color="auto"/>
            <w:bottom w:val="none" w:sz="0" w:space="0" w:color="auto"/>
            <w:right w:val="none" w:sz="0" w:space="0" w:color="auto"/>
          </w:divBdr>
        </w:div>
        <w:div w:id="1827669797">
          <w:marLeft w:val="0"/>
          <w:marRight w:val="0"/>
          <w:marTop w:val="0"/>
          <w:marBottom w:val="225"/>
          <w:divBdr>
            <w:top w:val="none" w:sz="0" w:space="0" w:color="auto"/>
            <w:left w:val="none" w:sz="0" w:space="0" w:color="auto"/>
            <w:bottom w:val="none" w:sz="0" w:space="0" w:color="auto"/>
            <w:right w:val="none" w:sz="0" w:space="0" w:color="auto"/>
          </w:divBdr>
          <w:divsChild>
            <w:div w:id="1798571782">
              <w:marLeft w:val="0"/>
              <w:marRight w:val="0"/>
              <w:marTop w:val="0"/>
              <w:marBottom w:val="0"/>
              <w:divBdr>
                <w:top w:val="none" w:sz="0" w:space="0" w:color="auto"/>
                <w:left w:val="none" w:sz="0" w:space="0" w:color="auto"/>
                <w:bottom w:val="none" w:sz="0" w:space="0" w:color="auto"/>
                <w:right w:val="none" w:sz="0" w:space="0" w:color="auto"/>
              </w:divBdr>
              <w:divsChild>
                <w:div w:id="211262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528031">
      <w:bodyDiv w:val="1"/>
      <w:marLeft w:val="0"/>
      <w:marRight w:val="0"/>
      <w:marTop w:val="0"/>
      <w:marBottom w:val="0"/>
      <w:divBdr>
        <w:top w:val="none" w:sz="0" w:space="0" w:color="auto"/>
        <w:left w:val="none" w:sz="0" w:space="0" w:color="auto"/>
        <w:bottom w:val="none" w:sz="0" w:space="0" w:color="auto"/>
        <w:right w:val="none" w:sz="0" w:space="0" w:color="auto"/>
      </w:divBdr>
      <w:divsChild>
        <w:div w:id="144250342">
          <w:marLeft w:val="0"/>
          <w:marRight w:val="0"/>
          <w:marTop w:val="0"/>
          <w:marBottom w:val="0"/>
          <w:divBdr>
            <w:top w:val="none" w:sz="0" w:space="0" w:color="auto"/>
            <w:left w:val="none" w:sz="0" w:space="0" w:color="auto"/>
            <w:bottom w:val="dotted" w:sz="6" w:space="4" w:color="DDDDDD"/>
            <w:right w:val="none" w:sz="0" w:space="0" w:color="auto"/>
          </w:divBdr>
        </w:div>
      </w:divsChild>
    </w:div>
    <w:div w:id="832140012">
      <w:bodyDiv w:val="1"/>
      <w:marLeft w:val="0"/>
      <w:marRight w:val="0"/>
      <w:marTop w:val="0"/>
      <w:marBottom w:val="0"/>
      <w:divBdr>
        <w:top w:val="none" w:sz="0" w:space="0" w:color="auto"/>
        <w:left w:val="none" w:sz="0" w:space="0" w:color="auto"/>
        <w:bottom w:val="none" w:sz="0" w:space="0" w:color="auto"/>
        <w:right w:val="none" w:sz="0" w:space="0" w:color="auto"/>
      </w:divBdr>
      <w:divsChild>
        <w:div w:id="506092965">
          <w:marLeft w:val="0"/>
          <w:marRight w:val="0"/>
          <w:marTop w:val="0"/>
          <w:marBottom w:val="0"/>
          <w:divBdr>
            <w:top w:val="none" w:sz="0" w:space="0" w:color="auto"/>
            <w:left w:val="none" w:sz="0" w:space="0" w:color="auto"/>
            <w:bottom w:val="dotted" w:sz="6" w:space="4" w:color="DDDDDD"/>
            <w:right w:val="none" w:sz="0" w:space="0" w:color="auto"/>
          </w:divBdr>
          <w:divsChild>
            <w:div w:id="70248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529159">
      <w:bodyDiv w:val="1"/>
      <w:marLeft w:val="0"/>
      <w:marRight w:val="0"/>
      <w:marTop w:val="0"/>
      <w:marBottom w:val="0"/>
      <w:divBdr>
        <w:top w:val="none" w:sz="0" w:space="0" w:color="auto"/>
        <w:left w:val="none" w:sz="0" w:space="0" w:color="auto"/>
        <w:bottom w:val="none" w:sz="0" w:space="0" w:color="auto"/>
        <w:right w:val="none" w:sz="0" w:space="0" w:color="auto"/>
      </w:divBdr>
    </w:div>
    <w:div w:id="833187336">
      <w:bodyDiv w:val="1"/>
      <w:marLeft w:val="0"/>
      <w:marRight w:val="0"/>
      <w:marTop w:val="0"/>
      <w:marBottom w:val="0"/>
      <w:divBdr>
        <w:top w:val="none" w:sz="0" w:space="0" w:color="auto"/>
        <w:left w:val="none" w:sz="0" w:space="0" w:color="auto"/>
        <w:bottom w:val="none" w:sz="0" w:space="0" w:color="auto"/>
        <w:right w:val="none" w:sz="0" w:space="0" w:color="auto"/>
      </w:divBdr>
      <w:divsChild>
        <w:div w:id="1041395868">
          <w:marLeft w:val="0"/>
          <w:marRight w:val="0"/>
          <w:marTop w:val="0"/>
          <w:marBottom w:val="150"/>
          <w:divBdr>
            <w:top w:val="none" w:sz="0" w:space="0" w:color="auto"/>
            <w:left w:val="none" w:sz="0" w:space="0" w:color="auto"/>
            <w:bottom w:val="none" w:sz="0" w:space="0" w:color="auto"/>
            <w:right w:val="none" w:sz="0" w:space="0" w:color="auto"/>
          </w:divBdr>
          <w:divsChild>
            <w:div w:id="319042251">
              <w:marLeft w:val="0"/>
              <w:marRight w:val="0"/>
              <w:marTop w:val="0"/>
              <w:marBottom w:val="0"/>
              <w:divBdr>
                <w:top w:val="none" w:sz="0" w:space="0" w:color="auto"/>
                <w:left w:val="none" w:sz="0" w:space="0" w:color="auto"/>
                <w:bottom w:val="none" w:sz="0" w:space="0" w:color="auto"/>
                <w:right w:val="none" w:sz="0" w:space="0" w:color="auto"/>
              </w:divBdr>
              <w:divsChild>
                <w:div w:id="1985352752">
                  <w:marLeft w:val="0"/>
                  <w:marRight w:val="0"/>
                  <w:marTop w:val="0"/>
                  <w:marBottom w:val="0"/>
                  <w:divBdr>
                    <w:top w:val="none" w:sz="0" w:space="0" w:color="auto"/>
                    <w:left w:val="none" w:sz="0" w:space="0" w:color="auto"/>
                    <w:bottom w:val="none" w:sz="0" w:space="0" w:color="auto"/>
                    <w:right w:val="none" w:sz="0" w:space="0" w:color="auto"/>
                  </w:divBdr>
                  <w:divsChild>
                    <w:div w:id="999315081">
                      <w:marLeft w:val="0"/>
                      <w:marRight w:val="150"/>
                      <w:marTop w:val="0"/>
                      <w:marBottom w:val="0"/>
                      <w:divBdr>
                        <w:top w:val="none" w:sz="0" w:space="0" w:color="auto"/>
                        <w:left w:val="none" w:sz="0" w:space="0" w:color="auto"/>
                        <w:bottom w:val="none" w:sz="0" w:space="0" w:color="auto"/>
                        <w:right w:val="none" w:sz="0" w:space="0" w:color="auto"/>
                      </w:divBdr>
                      <w:divsChild>
                        <w:div w:id="125883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831820">
          <w:marLeft w:val="0"/>
          <w:marRight w:val="0"/>
          <w:marTop w:val="0"/>
          <w:marBottom w:val="150"/>
          <w:divBdr>
            <w:top w:val="none" w:sz="0" w:space="0" w:color="auto"/>
            <w:left w:val="none" w:sz="0" w:space="0" w:color="auto"/>
            <w:bottom w:val="none" w:sz="0" w:space="0" w:color="auto"/>
            <w:right w:val="none" w:sz="0" w:space="0" w:color="auto"/>
          </w:divBdr>
        </w:div>
        <w:div w:id="1804538822">
          <w:marLeft w:val="0"/>
          <w:marRight w:val="0"/>
          <w:marTop w:val="0"/>
          <w:marBottom w:val="0"/>
          <w:divBdr>
            <w:top w:val="none" w:sz="0" w:space="0" w:color="auto"/>
            <w:left w:val="none" w:sz="0" w:space="0" w:color="auto"/>
            <w:bottom w:val="none" w:sz="0" w:space="0" w:color="auto"/>
            <w:right w:val="none" w:sz="0" w:space="0" w:color="auto"/>
          </w:divBdr>
          <w:divsChild>
            <w:div w:id="1837900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33570447">
      <w:bodyDiv w:val="1"/>
      <w:marLeft w:val="0"/>
      <w:marRight w:val="0"/>
      <w:marTop w:val="0"/>
      <w:marBottom w:val="0"/>
      <w:divBdr>
        <w:top w:val="none" w:sz="0" w:space="0" w:color="auto"/>
        <w:left w:val="none" w:sz="0" w:space="0" w:color="auto"/>
        <w:bottom w:val="none" w:sz="0" w:space="0" w:color="auto"/>
        <w:right w:val="none" w:sz="0" w:space="0" w:color="auto"/>
      </w:divBdr>
    </w:div>
    <w:div w:id="833912816">
      <w:bodyDiv w:val="1"/>
      <w:marLeft w:val="0"/>
      <w:marRight w:val="0"/>
      <w:marTop w:val="0"/>
      <w:marBottom w:val="0"/>
      <w:divBdr>
        <w:top w:val="none" w:sz="0" w:space="0" w:color="auto"/>
        <w:left w:val="none" w:sz="0" w:space="0" w:color="auto"/>
        <w:bottom w:val="none" w:sz="0" w:space="0" w:color="auto"/>
        <w:right w:val="none" w:sz="0" w:space="0" w:color="auto"/>
      </w:divBdr>
    </w:div>
    <w:div w:id="834103692">
      <w:bodyDiv w:val="1"/>
      <w:marLeft w:val="0"/>
      <w:marRight w:val="0"/>
      <w:marTop w:val="0"/>
      <w:marBottom w:val="0"/>
      <w:divBdr>
        <w:top w:val="none" w:sz="0" w:space="0" w:color="auto"/>
        <w:left w:val="none" w:sz="0" w:space="0" w:color="auto"/>
        <w:bottom w:val="none" w:sz="0" w:space="0" w:color="auto"/>
        <w:right w:val="none" w:sz="0" w:space="0" w:color="auto"/>
      </w:divBdr>
      <w:divsChild>
        <w:div w:id="133715859">
          <w:marLeft w:val="0"/>
          <w:marRight w:val="0"/>
          <w:marTop w:val="0"/>
          <w:marBottom w:val="0"/>
          <w:divBdr>
            <w:top w:val="none" w:sz="0" w:space="0" w:color="auto"/>
            <w:left w:val="none" w:sz="0" w:space="0" w:color="auto"/>
            <w:bottom w:val="none" w:sz="0" w:space="0" w:color="auto"/>
            <w:right w:val="none" w:sz="0" w:space="0" w:color="auto"/>
          </w:divBdr>
          <w:divsChild>
            <w:div w:id="335889049">
              <w:marLeft w:val="0"/>
              <w:marRight w:val="0"/>
              <w:marTop w:val="0"/>
              <w:marBottom w:val="0"/>
              <w:divBdr>
                <w:top w:val="none" w:sz="0" w:space="0" w:color="auto"/>
                <w:left w:val="none" w:sz="0" w:space="0" w:color="auto"/>
                <w:bottom w:val="none" w:sz="0" w:space="0" w:color="auto"/>
                <w:right w:val="none" w:sz="0" w:space="0" w:color="auto"/>
              </w:divBdr>
              <w:divsChild>
                <w:div w:id="565989309">
                  <w:marLeft w:val="0"/>
                  <w:marRight w:val="0"/>
                  <w:marTop w:val="0"/>
                  <w:marBottom w:val="0"/>
                  <w:divBdr>
                    <w:top w:val="none" w:sz="0" w:space="0" w:color="auto"/>
                    <w:left w:val="none" w:sz="0" w:space="0" w:color="auto"/>
                    <w:bottom w:val="none" w:sz="0" w:space="0" w:color="auto"/>
                    <w:right w:val="none" w:sz="0" w:space="0" w:color="auto"/>
                  </w:divBdr>
                  <w:divsChild>
                    <w:div w:id="401147989">
                      <w:marLeft w:val="0"/>
                      <w:marRight w:val="0"/>
                      <w:marTop w:val="0"/>
                      <w:marBottom w:val="0"/>
                      <w:divBdr>
                        <w:top w:val="none" w:sz="0" w:space="0" w:color="auto"/>
                        <w:left w:val="none" w:sz="0" w:space="0" w:color="auto"/>
                        <w:bottom w:val="none" w:sz="0" w:space="0" w:color="auto"/>
                        <w:right w:val="none" w:sz="0" w:space="0" w:color="auto"/>
                      </w:divBdr>
                      <w:divsChild>
                        <w:div w:id="1607888354">
                          <w:marLeft w:val="0"/>
                          <w:marRight w:val="0"/>
                          <w:marTop w:val="0"/>
                          <w:marBottom w:val="0"/>
                          <w:divBdr>
                            <w:top w:val="none" w:sz="0" w:space="0" w:color="auto"/>
                            <w:left w:val="none" w:sz="0" w:space="0" w:color="auto"/>
                            <w:bottom w:val="none" w:sz="0" w:space="0" w:color="auto"/>
                            <w:right w:val="none" w:sz="0" w:space="0" w:color="auto"/>
                          </w:divBdr>
                          <w:divsChild>
                            <w:div w:id="2049141129">
                              <w:marLeft w:val="0"/>
                              <w:marRight w:val="0"/>
                              <w:marTop w:val="0"/>
                              <w:marBottom w:val="0"/>
                              <w:divBdr>
                                <w:top w:val="none" w:sz="0" w:space="0" w:color="auto"/>
                                <w:left w:val="none" w:sz="0" w:space="0" w:color="auto"/>
                                <w:bottom w:val="none" w:sz="0" w:space="0" w:color="auto"/>
                                <w:right w:val="none" w:sz="0" w:space="0" w:color="auto"/>
                              </w:divBdr>
                              <w:divsChild>
                                <w:div w:id="1136875549">
                                  <w:marLeft w:val="0"/>
                                  <w:marRight w:val="0"/>
                                  <w:marTop w:val="0"/>
                                  <w:marBottom w:val="0"/>
                                  <w:divBdr>
                                    <w:top w:val="none" w:sz="0" w:space="0" w:color="auto"/>
                                    <w:left w:val="none" w:sz="0" w:space="0" w:color="auto"/>
                                    <w:bottom w:val="none" w:sz="0" w:space="0" w:color="auto"/>
                                    <w:right w:val="none" w:sz="0" w:space="0" w:color="auto"/>
                                  </w:divBdr>
                                  <w:divsChild>
                                    <w:div w:id="14886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4490942">
      <w:bodyDiv w:val="1"/>
      <w:marLeft w:val="0"/>
      <w:marRight w:val="0"/>
      <w:marTop w:val="0"/>
      <w:marBottom w:val="0"/>
      <w:divBdr>
        <w:top w:val="none" w:sz="0" w:space="0" w:color="auto"/>
        <w:left w:val="none" w:sz="0" w:space="0" w:color="auto"/>
        <w:bottom w:val="none" w:sz="0" w:space="0" w:color="auto"/>
        <w:right w:val="none" w:sz="0" w:space="0" w:color="auto"/>
      </w:divBdr>
      <w:divsChild>
        <w:div w:id="1154839411">
          <w:marLeft w:val="0"/>
          <w:marRight w:val="0"/>
          <w:marTop w:val="0"/>
          <w:marBottom w:val="150"/>
          <w:divBdr>
            <w:top w:val="none" w:sz="0" w:space="0" w:color="auto"/>
            <w:left w:val="none" w:sz="0" w:space="0" w:color="auto"/>
            <w:bottom w:val="none" w:sz="0" w:space="0" w:color="auto"/>
            <w:right w:val="none" w:sz="0" w:space="0" w:color="auto"/>
          </w:divBdr>
        </w:div>
      </w:divsChild>
    </w:div>
    <w:div w:id="835800935">
      <w:bodyDiv w:val="1"/>
      <w:marLeft w:val="0"/>
      <w:marRight w:val="0"/>
      <w:marTop w:val="0"/>
      <w:marBottom w:val="0"/>
      <w:divBdr>
        <w:top w:val="none" w:sz="0" w:space="0" w:color="auto"/>
        <w:left w:val="none" w:sz="0" w:space="0" w:color="auto"/>
        <w:bottom w:val="none" w:sz="0" w:space="0" w:color="auto"/>
        <w:right w:val="none" w:sz="0" w:space="0" w:color="auto"/>
      </w:divBdr>
      <w:divsChild>
        <w:div w:id="530263294">
          <w:marLeft w:val="0"/>
          <w:marRight w:val="0"/>
          <w:marTop w:val="0"/>
          <w:marBottom w:val="0"/>
          <w:divBdr>
            <w:top w:val="none" w:sz="0" w:space="0" w:color="auto"/>
            <w:left w:val="none" w:sz="0" w:space="0" w:color="auto"/>
            <w:bottom w:val="none" w:sz="0" w:space="0" w:color="auto"/>
            <w:right w:val="none" w:sz="0" w:space="0" w:color="auto"/>
          </w:divBdr>
          <w:divsChild>
            <w:div w:id="190188736">
              <w:marLeft w:val="0"/>
              <w:marRight w:val="0"/>
              <w:marTop w:val="0"/>
              <w:marBottom w:val="0"/>
              <w:divBdr>
                <w:top w:val="none" w:sz="0" w:space="0" w:color="auto"/>
                <w:left w:val="none" w:sz="0" w:space="0" w:color="auto"/>
                <w:bottom w:val="none" w:sz="0" w:space="0" w:color="auto"/>
                <w:right w:val="none" w:sz="0" w:space="0" w:color="auto"/>
              </w:divBdr>
            </w:div>
          </w:divsChild>
        </w:div>
        <w:div w:id="1308973856">
          <w:marLeft w:val="0"/>
          <w:marRight w:val="0"/>
          <w:marTop w:val="0"/>
          <w:marBottom w:val="0"/>
          <w:divBdr>
            <w:top w:val="none" w:sz="0" w:space="0" w:color="auto"/>
            <w:left w:val="none" w:sz="0" w:space="0" w:color="auto"/>
            <w:bottom w:val="none" w:sz="0" w:space="0" w:color="auto"/>
            <w:right w:val="none" w:sz="0" w:space="0" w:color="auto"/>
          </w:divBdr>
          <w:divsChild>
            <w:div w:id="921990648">
              <w:marLeft w:val="0"/>
              <w:marRight w:val="0"/>
              <w:marTop w:val="0"/>
              <w:marBottom w:val="0"/>
              <w:divBdr>
                <w:top w:val="none" w:sz="0" w:space="0" w:color="auto"/>
                <w:left w:val="none" w:sz="0" w:space="0" w:color="auto"/>
                <w:bottom w:val="none" w:sz="0" w:space="0" w:color="auto"/>
                <w:right w:val="none" w:sz="0" w:space="0" w:color="auto"/>
              </w:divBdr>
              <w:divsChild>
                <w:div w:id="88109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968">
          <w:marLeft w:val="0"/>
          <w:marRight w:val="0"/>
          <w:marTop w:val="0"/>
          <w:marBottom w:val="75"/>
          <w:divBdr>
            <w:top w:val="none" w:sz="0" w:space="0" w:color="auto"/>
            <w:left w:val="none" w:sz="0" w:space="0" w:color="auto"/>
            <w:bottom w:val="none" w:sz="0" w:space="0" w:color="auto"/>
            <w:right w:val="none" w:sz="0" w:space="0" w:color="auto"/>
          </w:divBdr>
        </w:div>
      </w:divsChild>
    </w:div>
    <w:div w:id="835846901">
      <w:bodyDiv w:val="1"/>
      <w:marLeft w:val="0"/>
      <w:marRight w:val="0"/>
      <w:marTop w:val="0"/>
      <w:marBottom w:val="0"/>
      <w:divBdr>
        <w:top w:val="none" w:sz="0" w:space="0" w:color="auto"/>
        <w:left w:val="none" w:sz="0" w:space="0" w:color="auto"/>
        <w:bottom w:val="none" w:sz="0" w:space="0" w:color="auto"/>
        <w:right w:val="none" w:sz="0" w:space="0" w:color="auto"/>
      </w:divBdr>
      <w:divsChild>
        <w:div w:id="1068112402">
          <w:marLeft w:val="0"/>
          <w:marRight w:val="225"/>
          <w:marTop w:val="0"/>
          <w:marBottom w:val="75"/>
          <w:divBdr>
            <w:top w:val="none" w:sz="0" w:space="0" w:color="auto"/>
            <w:left w:val="none" w:sz="0" w:space="0" w:color="auto"/>
            <w:bottom w:val="none" w:sz="0" w:space="0" w:color="auto"/>
            <w:right w:val="none" w:sz="0" w:space="0" w:color="auto"/>
          </w:divBdr>
          <w:divsChild>
            <w:div w:id="824514490">
              <w:marLeft w:val="0"/>
              <w:marRight w:val="0"/>
              <w:marTop w:val="0"/>
              <w:marBottom w:val="0"/>
              <w:divBdr>
                <w:top w:val="none" w:sz="0" w:space="0" w:color="auto"/>
                <w:left w:val="none" w:sz="0" w:space="0" w:color="auto"/>
                <w:bottom w:val="none" w:sz="0" w:space="0" w:color="auto"/>
                <w:right w:val="none" w:sz="0" w:space="0" w:color="auto"/>
              </w:divBdr>
            </w:div>
          </w:divsChild>
        </w:div>
        <w:div w:id="1594631679">
          <w:marLeft w:val="0"/>
          <w:marRight w:val="0"/>
          <w:marTop w:val="0"/>
          <w:marBottom w:val="0"/>
          <w:divBdr>
            <w:top w:val="none" w:sz="0" w:space="0" w:color="auto"/>
            <w:left w:val="none" w:sz="0" w:space="0" w:color="auto"/>
            <w:bottom w:val="dotted" w:sz="6" w:space="4" w:color="DDDDDD"/>
            <w:right w:val="none" w:sz="0" w:space="0" w:color="auto"/>
          </w:divBdr>
        </w:div>
      </w:divsChild>
    </w:div>
    <w:div w:id="836069229">
      <w:bodyDiv w:val="1"/>
      <w:marLeft w:val="0"/>
      <w:marRight w:val="0"/>
      <w:marTop w:val="0"/>
      <w:marBottom w:val="0"/>
      <w:divBdr>
        <w:top w:val="none" w:sz="0" w:space="0" w:color="auto"/>
        <w:left w:val="none" w:sz="0" w:space="0" w:color="auto"/>
        <w:bottom w:val="none" w:sz="0" w:space="0" w:color="auto"/>
        <w:right w:val="none" w:sz="0" w:space="0" w:color="auto"/>
      </w:divBdr>
    </w:div>
    <w:div w:id="836530677">
      <w:bodyDiv w:val="1"/>
      <w:marLeft w:val="0"/>
      <w:marRight w:val="0"/>
      <w:marTop w:val="0"/>
      <w:marBottom w:val="0"/>
      <w:divBdr>
        <w:top w:val="none" w:sz="0" w:space="0" w:color="auto"/>
        <w:left w:val="none" w:sz="0" w:space="0" w:color="auto"/>
        <w:bottom w:val="none" w:sz="0" w:space="0" w:color="auto"/>
        <w:right w:val="none" w:sz="0" w:space="0" w:color="auto"/>
      </w:divBdr>
      <w:divsChild>
        <w:div w:id="996110068">
          <w:marLeft w:val="0"/>
          <w:marRight w:val="0"/>
          <w:marTop w:val="0"/>
          <w:marBottom w:val="0"/>
          <w:divBdr>
            <w:top w:val="none" w:sz="0" w:space="0" w:color="auto"/>
            <w:left w:val="none" w:sz="0" w:space="0" w:color="auto"/>
            <w:bottom w:val="dotted" w:sz="6" w:space="4" w:color="DDDDDD"/>
            <w:right w:val="none" w:sz="0" w:space="0" w:color="auto"/>
          </w:divBdr>
          <w:divsChild>
            <w:div w:id="73678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33429">
      <w:bodyDiv w:val="1"/>
      <w:marLeft w:val="0"/>
      <w:marRight w:val="0"/>
      <w:marTop w:val="0"/>
      <w:marBottom w:val="0"/>
      <w:divBdr>
        <w:top w:val="none" w:sz="0" w:space="0" w:color="auto"/>
        <w:left w:val="none" w:sz="0" w:space="0" w:color="auto"/>
        <w:bottom w:val="none" w:sz="0" w:space="0" w:color="auto"/>
        <w:right w:val="none" w:sz="0" w:space="0" w:color="auto"/>
      </w:divBdr>
      <w:divsChild>
        <w:div w:id="1681665589">
          <w:marLeft w:val="0"/>
          <w:marRight w:val="0"/>
          <w:marTop w:val="0"/>
          <w:marBottom w:val="0"/>
          <w:divBdr>
            <w:top w:val="none" w:sz="0" w:space="0" w:color="auto"/>
            <w:left w:val="none" w:sz="0" w:space="0" w:color="auto"/>
            <w:bottom w:val="dotted" w:sz="6" w:space="4" w:color="DDDDDD"/>
            <w:right w:val="none" w:sz="0" w:space="0" w:color="auto"/>
          </w:divBdr>
        </w:div>
      </w:divsChild>
    </w:div>
    <w:div w:id="836767438">
      <w:bodyDiv w:val="1"/>
      <w:marLeft w:val="0"/>
      <w:marRight w:val="0"/>
      <w:marTop w:val="0"/>
      <w:marBottom w:val="0"/>
      <w:divBdr>
        <w:top w:val="none" w:sz="0" w:space="0" w:color="auto"/>
        <w:left w:val="none" w:sz="0" w:space="0" w:color="auto"/>
        <w:bottom w:val="none" w:sz="0" w:space="0" w:color="auto"/>
        <w:right w:val="none" w:sz="0" w:space="0" w:color="auto"/>
      </w:divBdr>
      <w:divsChild>
        <w:div w:id="528028461">
          <w:marLeft w:val="0"/>
          <w:marRight w:val="0"/>
          <w:marTop w:val="0"/>
          <w:marBottom w:val="150"/>
          <w:divBdr>
            <w:top w:val="none" w:sz="0" w:space="0" w:color="auto"/>
            <w:left w:val="none" w:sz="0" w:space="0" w:color="auto"/>
            <w:bottom w:val="none" w:sz="0" w:space="0" w:color="auto"/>
            <w:right w:val="none" w:sz="0" w:space="0" w:color="auto"/>
          </w:divBdr>
        </w:div>
      </w:divsChild>
    </w:div>
    <w:div w:id="836768131">
      <w:bodyDiv w:val="1"/>
      <w:marLeft w:val="0"/>
      <w:marRight w:val="0"/>
      <w:marTop w:val="0"/>
      <w:marBottom w:val="0"/>
      <w:divBdr>
        <w:top w:val="none" w:sz="0" w:space="0" w:color="auto"/>
        <w:left w:val="none" w:sz="0" w:space="0" w:color="auto"/>
        <w:bottom w:val="none" w:sz="0" w:space="0" w:color="auto"/>
        <w:right w:val="none" w:sz="0" w:space="0" w:color="auto"/>
      </w:divBdr>
      <w:divsChild>
        <w:div w:id="1125923175">
          <w:marLeft w:val="0"/>
          <w:marRight w:val="0"/>
          <w:marTop w:val="0"/>
          <w:marBottom w:val="0"/>
          <w:divBdr>
            <w:top w:val="none" w:sz="0" w:space="0" w:color="auto"/>
            <w:left w:val="none" w:sz="0" w:space="0" w:color="auto"/>
            <w:bottom w:val="none" w:sz="0" w:space="0" w:color="auto"/>
            <w:right w:val="none" w:sz="0" w:space="0" w:color="auto"/>
          </w:divBdr>
        </w:div>
      </w:divsChild>
    </w:div>
    <w:div w:id="836965179">
      <w:bodyDiv w:val="1"/>
      <w:marLeft w:val="0"/>
      <w:marRight w:val="0"/>
      <w:marTop w:val="0"/>
      <w:marBottom w:val="0"/>
      <w:divBdr>
        <w:top w:val="none" w:sz="0" w:space="0" w:color="auto"/>
        <w:left w:val="none" w:sz="0" w:space="0" w:color="auto"/>
        <w:bottom w:val="none" w:sz="0" w:space="0" w:color="auto"/>
        <w:right w:val="none" w:sz="0" w:space="0" w:color="auto"/>
      </w:divBdr>
      <w:divsChild>
        <w:div w:id="908882967">
          <w:marLeft w:val="0"/>
          <w:marRight w:val="0"/>
          <w:marTop w:val="0"/>
          <w:marBottom w:val="0"/>
          <w:divBdr>
            <w:top w:val="none" w:sz="0" w:space="0" w:color="auto"/>
            <w:left w:val="none" w:sz="0" w:space="0" w:color="auto"/>
            <w:bottom w:val="none" w:sz="0" w:space="0" w:color="auto"/>
            <w:right w:val="none" w:sz="0" w:space="0" w:color="auto"/>
          </w:divBdr>
          <w:divsChild>
            <w:div w:id="867331691">
              <w:marLeft w:val="0"/>
              <w:marRight w:val="0"/>
              <w:marTop w:val="0"/>
              <w:marBottom w:val="0"/>
              <w:divBdr>
                <w:top w:val="none" w:sz="0" w:space="0" w:color="auto"/>
                <w:left w:val="none" w:sz="0" w:space="0" w:color="auto"/>
                <w:bottom w:val="none" w:sz="0" w:space="0" w:color="auto"/>
                <w:right w:val="none" w:sz="0" w:space="0" w:color="auto"/>
              </w:divBdr>
              <w:divsChild>
                <w:div w:id="1579166434">
                  <w:marLeft w:val="0"/>
                  <w:marRight w:val="0"/>
                  <w:marTop w:val="0"/>
                  <w:marBottom w:val="0"/>
                  <w:divBdr>
                    <w:top w:val="none" w:sz="0" w:space="0" w:color="auto"/>
                    <w:left w:val="none" w:sz="0" w:space="0" w:color="auto"/>
                    <w:bottom w:val="none" w:sz="0" w:space="0" w:color="auto"/>
                    <w:right w:val="none" w:sz="0" w:space="0" w:color="auto"/>
                  </w:divBdr>
                  <w:divsChild>
                    <w:div w:id="1816752522">
                      <w:marLeft w:val="0"/>
                      <w:marRight w:val="0"/>
                      <w:marTop w:val="0"/>
                      <w:marBottom w:val="0"/>
                      <w:divBdr>
                        <w:top w:val="none" w:sz="0" w:space="0" w:color="auto"/>
                        <w:left w:val="none" w:sz="0" w:space="0" w:color="auto"/>
                        <w:bottom w:val="none" w:sz="0" w:space="0" w:color="auto"/>
                        <w:right w:val="none" w:sz="0" w:space="0" w:color="auto"/>
                      </w:divBdr>
                      <w:divsChild>
                        <w:div w:id="1898856822">
                          <w:marLeft w:val="0"/>
                          <w:marRight w:val="0"/>
                          <w:marTop w:val="0"/>
                          <w:marBottom w:val="0"/>
                          <w:divBdr>
                            <w:top w:val="none" w:sz="0" w:space="0" w:color="auto"/>
                            <w:left w:val="none" w:sz="0" w:space="0" w:color="auto"/>
                            <w:bottom w:val="none" w:sz="0" w:space="0" w:color="auto"/>
                            <w:right w:val="none" w:sz="0" w:space="0" w:color="auto"/>
                          </w:divBdr>
                          <w:divsChild>
                            <w:div w:id="1892571849">
                              <w:marLeft w:val="0"/>
                              <w:marRight w:val="0"/>
                              <w:marTop w:val="0"/>
                              <w:marBottom w:val="0"/>
                              <w:divBdr>
                                <w:top w:val="none" w:sz="0" w:space="0" w:color="auto"/>
                                <w:left w:val="none" w:sz="0" w:space="0" w:color="auto"/>
                                <w:bottom w:val="none" w:sz="0" w:space="0" w:color="auto"/>
                                <w:right w:val="none" w:sz="0" w:space="0" w:color="auto"/>
                              </w:divBdr>
                              <w:divsChild>
                                <w:div w:id="669217426">
                                  <w:marLeft w:val="0"/>
                                  <w:marRight w:val="0"/>
                                  <w:marTop w:val="0"/>
                                  <w:marBottom w:val="0"/>
                                  <w:divBdr>
                                    <w:top w:val="none" w:sz="0" w:space="0" w:color="auto"/>
                                    <w:left w:val="none" w:sz="0" w:space="0" w:color="auto"/>
                                    <w:bottom w:val="none" w:sz="0" w:space="0" w:color="auto"/>
                                    <w:right w:val="none" w:sz="0" w:space="0" w:color="auto"/>
                                  </w:divBdr>
                                  <w:divsChild>
                                    <w:div w:id="16590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7039590">
      <w:bodyDiv w:val="1"/>
      <w:marLeft w:val="0"/>
      <w:marRight w:val="0"/>
      <w:marTop w:val="0"/>
      <w:marBottom w:val="0"/>
      <w:divBdr>
        <w:top w:val="none" w:sz="0" w:space="0" w:color="auto"/>
        <w:left w:val="none" w:sz="0" w:space="0" w:color="auto"/>
        <w:bottom w:val="none" w:sz="0" w:space="0" w:color="auto"/>
        <w:right w:val="none" w:sz="0" w:space="0" w:color="auto"/>
      </w:divBdr>
    </w:div>
    <w:div w:id="837160610">
      <w:bodyDiv w:val="1"/>
      <w:marLeft w:val="0"/>
      <w:marRight w:val="0"/>
      <w:marTop w:val="0"/>
      <w:marBottom w:val="0"/>
      <w:divBdr>
        <w:top w:val="none" w:sz="0" w:space="0" w:color="auto"/>
        <w:left w:val="none" w:sz="0" w:space="0" w:color="auto"/>
        <w:bottom w:val="none" w:sz="0" w:space="0" w:color="auto"/>
        <w:right w:val="none" w:sz="0" w:space="0" w:color="auto"/>
      </w:divBdr>
    </w:div>
    <w:div w:id="837497714">
      <w:bodyDiv w:val="1"/>
      <w:marLeft w:val="0"/>
      <w:marRight w:val="0"/>
      <w:marTop w:val="0"/>
      <w:marBottom w:val="0"/>
      <w:divBdr>
        <w:top w:val="none" w:sz="0" w:space="0" w:color="auto"/>
        <w:left w:val="none" w:sz="0" w:space="0" w:color="auto"/>
        <w:bottom w:val="none" w:sz="0" w:space="0" w:color="auto"/>
        <w:right w:val="none" w:sz="0" w:space="0" w:color="auto"/>
      </w:divBdr>
      <w:divsChild>
        <w:div w:id="519704835">
          <w:marLeft w:val="0"/>
          <w:marRight w:val="0"/>
          <w:marTop w:val="0"/>
          <w:marBottom w:val="0"/>
          <w:divBdr>
            <w:top w:val="none" w:sz="0" w:space="0" w:color="auto"/>
            <w:left w:val="none" w:sz="0" w:space="0" w:color="auto"/>
            <w:bottom w:val="none" w:sz="0" w:space="0" w:color="auto"/>
            <w:right w:val="none" w:sz="0" w:space="0" w:color="auto"/>
          </w:divBdr>
          <w:divsChild>
            <w:div w:id="10907364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38160319">
      <w:bodyDiv w:val="1"/>
      <w:marLeft w:val="0"/>
      <w:marRight w:val="0"/>
      <w:marTop w:val="0"/>
      <w:marBottom w:val="0"/>
      <w:divBdr>
        <w:top w:val="none" w:sz="0" w:space="0" w:color="auto"/>
        <w:left w:val="none" w:sz="0" w:space="0" w:color="auto"/>
        <w:bottom w:val="none" w:sz="0" w:space="0" w:color="auto"/>
        <w:right w:val="none" w:sz="0" w:space="0" w:color="auto"/>
      </w:divBdr>
    </w:div>
    <w:div w:id="838807967">
      <w:bodyDiv w:val="1"/>
      <w:marLeft w:val="0"/>
      <w:marRight w:val="0"/>
      <w:marTop w:val="0"/>
      <w:marBottom w:val="0"/>
      <w:divBdr>
        <w:top w:val="none" w:sz="0" w:space="0" w:color="auto"/>
        <w:left w:val="none" w:sz="0" w:space="0" w:color="auto"/>
        <w:bottom w:val="none" w:sz="0" w:space="0" w:color="auto"/>
        <w:right w:val="none" w:sz="0" w:space="0" w:color="auto"/>
      </w:divBdr>
    </w:div>
    <w:div w:id="839155303">
      <w:bodyDiv w:val="1"/>
      <w:marLeft w:val="0"/>
      <w:marRight w:val="0"/>
      <w:marTop w:val="0"/>
      <w:marBottom w:val="0"/>
      <w:divBdr>
        <w:top w:val="none" w:sz="0" w:space="0" w:color="auto"/>
        <w:left w:val="none" w:sz="0" w:space="0" w:color="auto"/>
        <w:bottom w:val="none" w:sz="0" w:space="0" w:color="auto"/>
        <w:right w:val="none" w:sz="0" w:space="0" w:color="auto"/>
      </w:divBdr>
    </w:div>
    <w:div w:id="839537709">
      <w:bodyDiv w:val="1"/>
      <w:marLeft w:val="0"/>
      <w:marRight w:val="0"/>
      <w:marTop w:val="0"/>
      <w:marBottom w:val="0"/>
      <w:divBdr>
        <w:top w:val="none" w:sz="0" w:space="0" w:color="auto"/>
        <w:left w:val="none" w:sz="0" w:space="0" w:color="auto"/>
        <w:bottom w:val="none" w:sz="0" w:space="0" w:color="auto"/>
        <w:right w:val="none" w:sz="0" w:space="0" w:color="auto"/>
      </w:divBdr>
      <w:divsChild>
        <w:div w:id="368650266">
          <w:marLeft w:val="0"/>
          <w:marRight w:val="0"/>
          <w:marTop w:val="0"/>
          <w:marBottom w:val="150"/>
          <w:divBdr>
            <w:top w:val="none" w:sz="0" w:space="0" w:color="auto"/>
            <w:left w:val="none" w:sz="0" w:space="0" w:color="auto"/>
            <w:bottom w:val="none" w:sz="0" w:space="0" w:color="auto"/>
            <w:right w:val="none" w:sz="0" w:space="0" w:color="auto"/>
          </w:divBdr>
          <w:divsChild>
            <w:div w:id="1157378459">
              <w:marLeft w:val="0"/>
              <w:marRight w:val="0"/>
              <w:marTop w:val="0"/>
              <w:marBottom w:val="0"/>
              <w:divBdr>
                <w:top w:val="none" w:sz="0" w:space="0" w:color="auto"/>
                <w:left w:val="none" w:sz="0" w:space="0" w:color="auto"/>
                <w:bottom w:val="none" w:sz="0" w:space="0" w:color="auto"/>
                <w:right w:val="none" w:sz="0" w:space="0" w:color="auto"/>
              </w:divBdr>
            </w:div>
          </w:divsChild>
        </w:div>
        <w:div w:id="564605506">
          <w:marLeft w:val="0"/>
          <w:marRight w:val="0"/>
          <w:marTop w:val="0"/>
          <w:marBottom w:val="0"/>
          <w:divBdr>
            <w:top w:val="none" w:sz="0" w:space="0" w:color="auto"/>
            <w:left w:val="none" w:sz="0" w:space="0" w:color="auto"/>
            <w:bottom w:val="none" w:sz="0" w:space="0" w:color="auto"/>
            <w:right w:val="none" w:sz="0" w:space="0" w:color="auto"/>
          </w:divBdr>
          <w:divsChild>
            <w:div w:id="218057337">
              <w:marLeft w:val="0"/>
              <w:marRight w:val="0"/>
              <w:marTop w:val="0"/>
              <w:marBottom w:val="0"/>
              <w:divBdr>
                <w:top w:val="none" w:sz="0" w:space="0" w:color="auto"/>
                <w:left w:val="none" w:sz="0" w:space="0" w:color="auto"/>
                <w:bottom w:val="none" w:sz="0" w:space="0" w:color="auto"/>
                <w:right w:val="none" w:sz="0" w:space="0" w:color="auto"/>
              </w:divBdr>
            </w:div>
          </w:divsChild>
        </w:div>
        <w:div w:id="2050295689">
          <w:marLeft w:val="0"/>
          <w:marRight w:val="0"/>
          <w:marTop w:val="0"/>
          <w:marBottom w:val="150"/>
          <w:divBdr>
            <w:top w:val="none" w:sz="0" w:space="0" w:color="auto"/>
            <w:left w:val="none" w:sz="0" w:space="0" w:color="auto"/>
            <w:bottom w:val="none" w:sz="0" w:space="0" w:color="auto"/>
            <w:right w:val="none" w:sz="0" w:space="0" w:color="auto"/>
          </w:divBdr>
        </w:div>
      </w:divsChild>
    </w:div>
    <w:div w:id="839660154">
      <w:bodyDiv w:val="1"/>
      <w:marLeft w:val="0"/>
      <w:marRight w:val="0"/>
      <w:marTop w:val="0"/>
      <w:marBottom w:val="0"/>
      <w:divBdr>
        <w:top w:val="none" w:sz="0" w:space="0" w:color="auto"/>
        <w:left w:val="none" w:sz="0" w:space="0" w:color="auto"/>
        <w:bottom w:val="none" w:sz="0" w:space="0" w:color="auto"/>
        <w:right w:val="none" w:sz="0" w:space="0" w:color="auto"/>
      </w:divBdr>
      <w:divsChild>
        <w:div w:id="1637954034">
          <w:marLeft w:val="0"/>
          <w:marRight w:val="0"/>
          <w:marTop w:val="0"/>
          <w:marBottom w:val="0"/>
          <w:divBdr>
            <w:top w:val="none" w:sz="0" w:space="0" w:color="auto"/>
            <w:left w:val="none" w:sz="0" w:space="0" w:color="auto"/>
            <w:bottom w:val="none" w:sz="0" w:space="0" w:color="auto"/>
            <w:right w:val="none" w:sz="0" w:space="0" w:color="auto"/>
          </w:divBdr>
          <w:divsChild>
            <w:div w:id="1345015462">
              <w:marLeft w:val="0"/>
              <w:marRight w:val="0"/>
              <w:marTop w:val="0"/>
              <w:marBottom w:val="0"/>
              <w:divBdr>
                <w:top w:val="none" w:sz="0" w:space="0" w:color="auto"/>
                <w:left w:val="none" w:sz="0" w:space="0" w:color="auto"/>
                <w:bottom w:val="none" w:sz="0" w:space="0" w:color="auto"/>
                <w:right w:val="none" w:sz="0" w:space="0" w:color="auto"/>
              </w:divBdr>
              <w:divsChild>
                <w:div w:id="1517427699">
                  <w:marLeft w:val="0"/>
                  <w:marRight w:val="0"/>
                  <w:marTop w:val="0"/>
                  <w:marBottom w:val="0"/>
                  <w:divBdr>
                    <w:top w:val="none" w:sz="0" w:space="0" w:color="auto"/>
                    <w:left w:val="none" w:sz="0" w:space="0" w:color="auto"/>
                    <w:bottom w:val="none" w:sz="0" w:space="0" w:color="auto"/>
                    <w:right w:val="none" w:sz="0" w:space="0" w:color="auto"/>
                  </w:divBdr>
                  <w:divsChild>
                    <w:div w:id="145519129">
                      <w:marLeft w:val="0"/>
                      <w:marRight w:val="0"/>
                      <w:marTop w:val="0"/>
                      <w:marBottom w:val="0"/>
                      <w:divBdr>
                        <w:top w:val="none" w:sz="0" w:space="0" w:color="auto"/>
                        <w:left w:val="none" w:sz="0" w:space="0" w:color="auto"/>
                        <w:bottom w:val="none" w:sz="0" w:space="0" w:color="auto"/>
                        <w:right w:val="none" w:sz="0" w:space="0" w:color="auto"/>
                      </w:divBdr>
                      <w:divsChild>
                        <w:div w:id="844515006">
                          <w:marLeft w:val="0"/>
                          <w:marRight w:val="0"/>
                          <w:marTop w:val="0"/>
                          <w:marBottom w:val="0"/>
                          <w:divBdr>
                            <w:top w:val="none" w:sz="0" w:space="0" w:color="auto"/>
                            <w:left w:val="none" w:sz="0" w:space="0" w:color="auto"/>
                            <w:bottom w:val="none" w:sz="0" w:space="0" w:color="auto"/>
                            <w:right w:val="none" w:sz="0" w:space="0" w:color="auto"/>
                          </w:divBdr>
                          <w:divsChild>
                            <w:div w:id="1726173951">
                              <w:marLeft w:val="0"/>
                              <w:marRight w:val="0"/>
                              <w:marTop w:val="0"/>
                              <w:marBottom w:val="0"/>
                              <w:divBdr>
                                <w:top w:val="none" w:sz="0" w:space="0" w:color="auto"/>
                                <w:left w:val="none" w:sz="0" w:space="0" w:color="auto"/>
                                <w:bottom w:val="none" w:sz="0" w:space="0" w:color="auto"/>
                                <w:right w:val="none" w:sz="0" w:space="0" w:color="auto"/>
                              </w:divBdr>
                              <w:divsChild>
                                <w:div w:id="843475474">
                                  <w:marLeft w:val="0"/>
                                  <w:marRight w:val="0"/>
                                  <w:marTop w:val="0"/>
                                  <w:marBottom w:val="0"/>
                                  <w:divBdr>
                                    <w:top w:val="none" w:sz="0" w:space="0" w:color="auto"/>
                                    <w:left w:val="none" w:sz="0" w:space="0" w:color="auto"/>
                                    <w:bottom w:val="none" w:sz="0" w:space="0" w:color="auto"/>
                                    <w:right w:val="none" w:sz="0" w:space="0" w:color="auto"/>
                                  </w:divBdr>
                                  <w:divsChild>
                                    <w:div w:id="194703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048989">
      <w:bodyDiv w:val="1"/>
      <w:marLeft w:val="0"/>
      <w:marRight w:val="0"/>
      <w:marTop w:val="0"/>
      <w:marBottom w:val="0"/>
      <w:divBdr>
        <w:top w:val="none" w:sz="0" w:space="0" w:color="auto"/>
        <w:left w:val="none" w:sz="0" w:space="0" w:color="auto"/>
        <w:bottom w:val="none" w:sz="0" w:space="0" w:color="auto"/>
        <w:right w:val="none" w:sz="0" w:space="0" w:color="auto"/>
      </w:divBdr>
      <w:divsChild>
        <w:div w:id="403988958">
          <w:marLeft w:val="0"/>
          <w:marRight w:val="0"/>
          <w:marTop w:val="0"/>
          <w:marBottom w:val="0"/>
          <w:divBdr>
            <w:top w:val="none" w:sz="0" w:space="0" w:color="auto"/>
            <w:left w:val="none" w:sz="0" w:space="0" w:color="auto"/>
            <w:bottom w:val="dotted" w:sz="6" w:space="4" w:color="DDDDDD"/>
            <w:right w:val="none" w:sz="0" w:space="0" w:color="auto"/>
          </w:divBdr>
          <w:divsChild>
            <w:div w:id="182277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18158">
      <w:bodyDiv w:val="1"/>
      <w:marLeft w:val="0"/>
      <w:marRight w:val="0"/>
      <w:marTop w:val="0"/>
      <w:marBottom w:val="0"/>
      <w:divBdr>
        <w:top w:val="none" w:sz="0" w:space="0" w:color="auto"/>
        <w:left w:val="none" w:sz="0" w:space="0" w:color="auto"/>
        <w:bottom w:val="none" w:sz="0" w:space="0" w:color="auto"/>
        <w:right w:val="none" w:sz="0" w:space="0" w:color="auto"/>
      </w:divBdr>
      <w:divsChild>
        <w:div w:id="1852984330">
          <w:marLeft w:val="0"/>
          <w:marRight w:val="0"/>
          <w:marTop w:val="0"/>
          <w:marBottom w:val="0"/>
          <w:divBdr>
            <w:top w:val="none" w:sz="0" w:space="0" w:color="auto"/>
            <w:left w:val="none" w:sz="0" w:space="0" w:color="auto"/>
            <w:bottom w:val="none" w:sz="0" w:space="0" w:color="auto"/>
            <w:right w:val="none" w:sz="0" w:space="0" w:color="auto"/>
          </w:divBdr>
        </w:div>
      </w:divsChild>
    </w:div>
    <w:div w:id="840508020">
      <w:bodyDiv w:val="1"/>
      <w:marLeft w:val="0"/>
      <w:marRight w:val="0"/>
      <w:marTop w:val="0"/>
      <w:marBottom w:val="0"/>
      <w:divBdr>
        <w:top w:val="none" w:sz="0" w:space="0" w:color="auto"/>
        <w:left w:val="none" w:sz="0" w:space="0" w:color="auto"/>
        <w:bottom w:val="none" w:sz="0" w:space="0" w:color="auto"/>
        <w:right w:val="none" w:sz="0" w:space="0" w:color="auto"/>
      </w:divBdr>
    </w:div>
    <w:div w:id="840701549">
      <w:bodyDiv w:val="1"/>
      <w:marLeft w:val="0"/>
      <w:marRight w:val="0"/>
      <w:marTop w:val="0"/>
      <w:marBottom w:val="0"/>
      <w:divBdr>
        <w:top w:val="none" w:sz="0" w:space="0" w:color="auto"/>
        <w:left w:val="none" w:sz="0" w:space="0" w:color="auto"/>
        <w:bottom w:val="none" w:sz="0" w:space="0" w:color="auto"/>
        <w:right w:val="none" w:sz="0" w:space="0" w:color="auto"/>
      </w:divBdr>
    </w:div>
    <w:div w:id="840703677">
      <w:bodyDiv w:val="1"/>
      <w:marLeft w:val="0"/>
      <w:marRight w:val="0"/>
      <w:marTop w:val="0"/>
      <w:marBottom w:val="0"/>
      <w:divBdr>
        <w:top w:val="none" w:sz="0" w:space="0" w:color="auto"/>
        <w:left w:val="none" w:sz="0" w:space="0" w:color="auto"/>
        <w:bottom w:val="none" w:sz="0" w:space="0" w:color="auto"/>
        <w:right w:val="none" w:sz="0" w:space="0" w:color="auto"/>
      </w:divBdr>
    </w:div>
    <w:div w:id="841286838">
      <w:bodyDiv w:val="1"/>
      <w:marLeft w:val="0"/>
      <w:marRight w:val="0"/>
      <w:marTop w:val="0"/>
      <w:marBottom w:val="0"/>
      <w:divBdr>
        <w:top w:val="none" w:sz="0" w:space="0" w:color="auto"/>
        <w:left w:val="none" w:sz="0" w:space="0" w:color="auto"/>
        <w:bottom w:val="none" w:sz="0" w:space="0" w:color="auto"/>
        <w:right w:val="none" w:sz="0" w:space="0" w:color="auto"/>
      </w:divBdr>
      <w:divsChild>
        <w:div w:id="1432164598">
          <w:marLeft w:val="0"/>
          <w:marRight w:val="0"/>
          <w:marTop w:val="0"/>
          <w:marBottom w:val="150"/>
          <w:divBdr>
            <w:top w:val="none" w:sz="0" w:space="0" w:color="auto"/>
            <w:left w:val="none" w:sz="0" w:space="0" w:color="auto"/>
            <w:bottom w:val="none" w:sz="0" w:space="0" w:color="auto"/>
            <w:right w:val="none" w:sz="0" w:space="0" w:color="auto"/>
          </w:divBdr>
          <w:divsChild>
            <w:div w:id="415789056">
              <w:marLeft w:val="0"/>
              <w:marRight w:val="0"/>
              <w:marTop w:val="0"/>
              <w:marBottom w:val="0"/>
              <w:divBdr>
                <w:top w:val="none" w:sz="0" w:space="0" w:color="auto"/>
                <w:left w:val="none" w:sz="0" w:space="0" w:color="auto"/>
                <w:bottom w:val="none" w:sz="0" w:space="0" w:color="auto"/>
                <w:right w:val="none" w:sz="0" w:space="0" w:color="auto"/>
              </w:divBdr>
              <w:divsChild>
                <w:div w:id="158205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06264">
          <w:marLeft w:val="0"/>
          <w:marRight w:val="0"/>
          <w:marTop w:val="0"/>
          <w:marBottom w:val="150"/>
          <w:divBdr>
            <w:top w:val="none" w:sz="0" w:space="0" w:color="auto"/>
            <w:left w:val="none" w:sz="0" w:space="0" w:color="auto"/>
            <w:bottom w:val="none" w:sz="0" w:space="0" w:color="auto"/>
            <w:right w:val="none" w:sz="0" w:space="0" w:color="auto"/>
          </w:divBdr>
        </w:div>
        <w:div w:id="1742292127">
          <w:marLeft w:val="0"/>
          <w:marRight w:val="0"/>
          <w:marTop w:val="0"/>
          <w:marBottom w:val="0"/>
          <w:divBdr>
            <w:top w:val="none" w:sz="0" w:space="0" w:color="auto"/>
            <w:left w:val="none" w:sz="0" w:space="0" w:color="auto"/>
            <w:bottom w:val="none" w:sz="0" w:space="0" w:color="auto"/>
            <w:right w:val="none" w:sz="0" w:space="0" w:color="auto"/>
          </w:divBdr>
          <w:divsChild>
            <w:div w:id="181444736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41356966">
      <w:bodyDiv w:val="1"/>
      <w:marLeft w:val="0"/>
      <w:marRight w:val="0"/>
      <w:marTop w:val="0"/>
      <w:marBottom w:val="0"/>
      <w:divBdr>
        <w:top w:val="none" w:sz="0" w:space="0" w:color="auto"/>
        <w:left w:val="none" w:sz="0" w:space="0" w:color="auto"/>
        <w:bottom w:val="none" w:sz="0" w:space="0" w:color="auto"/>
        <w:right w:val="none" w:sz="0" w:space="0" w:color="auto"/>
      </w:divBdr>
      <w:divsChild>
        <w:div w:id="777027134">
          <w:marLeft w:val="0"/>
          <w:marRight w:val="0"/>
          <w:marTop w:val="0"/>
          <w:marBottom w:val="0"/>
          <w:divBdr>
            <w:top w:val="none" w:sz="0" w:space="0" w:color="auto"/>
            <w:left w:val="none" w:sz="0" w:space="0" w:color="auto"/>
            <w:bottom w:val="dotted" w:sz="6" w:space="4" w:color="DDDDDD"/>
            <w:right w:val="none" w:sz="0" w:space="0" w:color="auto"/>
          </w:divBdr>
          <w:divsChild>
            <w:div w:id="174529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083343">
      <w:bodyDiv w:val="1"/>
      <w:marLeft w:val="0"/>
      <w:marRight w:val="0"/>
      <w:marTop w:val="0"/>
      <w:marBottom w:val="0"/>
      <w:divBdr>
        <w:top w:val="none" w:sz="0" w:space="0" w:color="auto"/>
        <w:left w:val="none" w:sz="0" w:space="0" w:color="auto"/>
        <w:bottom w:val="none" w:sz="0" w:space="0" w:color="auto"/>
        <w:right w:val="none" w:sz="0" w:space="0" w:color="auto"/>
      </w:divBdr>
    </w:div>
    <w:div w:id="842431905">
      <w:bodyDiv w:val="1"/>
      <w:marLeft w:val="0"/>
      <w:marRight w:val="0"/>
      <w:marTop w:val="0"/>
      <w:marBottom w:val="0"/>
      <w:divBdr>
        <w:top w:val="none" w:sz="0" w:space="0" w:color="auto"/>
        <w:left w:val="none" w:sz="0" w:space="0" w:color="auto"/>
        <w:bottom w:val="none" w:sz="0" w:space="0" w:color="auto"/>
        <w:right w:val="none" w:sz="0" w:space="0" w:color="auto"/>
      </w:divBdr>
      <w:divsChild>
        <w:div w:id="1758483139">
          <w:marLeft w:val="0"/>
          <w:marRight w:val="0"/>
          <w:marTop w:val="0"/>
          <w:marBottom w:val="0"/>
          <w:divBdr>
            <w:top w:val="none" w:sz="0" w:space="0" w:color="auto"/>
            <w:left w:val="none" w:sz="0" w:space="0" w:color="auto"/>
            <w:bottom w:val="dotted" w:sz="6" w:space="4" w:color="DDDDDD"/>
            <w:right w:val="none" w:sz="0" w:space="0" w:color="auto"/>
          </w:divBdr>
          <w:divsChild>
            <w:div w:id="198947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817943">
      <w:bodyDiv w:val="1"/>
      <w:marLeft w:val="0"/>
      <w:marRight w:val="0"/>
      <w:marTop w:val="0"/>
      <w:marBottom w:val="0"/>
      <w:divBdr>
        <w:top w:val="none" w:sz="0" w:space="0" w:color="auto"/>
        <w:left w:val="none" w:sz="0" w:space="0" w:color="auto"/>
        <w:bottom w:val="none" w:sz="0" w:space="0" w:color="auto"/>
        <w:right w:val="none" w:sz="0" w:space="0" w:color="auto"/>
      </w:divBdr>
      <w:divsChild>
        <w:div w:id="1709841988">
          <w:marLeft w:val="0"/>
          <w:marRight w:val="0"/>
          <w:marTop w:val="0"/>
          <w:marBottom w:val="0"/>
          <w:divBdr>
            <w:top w:val="none" w:sz="0" w:space="0" w:color="auto"/>
            <w:left w:val="none" w:sz="0" w:space="0" w:color="auto"/>
            <w:bottom w:val="dotted" w:sz="6" w:space="4" w:color="DDDDDD"/>
            <w:right w:val="none" w:sz="0" w:space="0" w:color="auto"/>
          </w:divBdr>
        </w:div>
      </w:divsChild>
    </w:div>
    <w:div w:id="842932740">
      <w:bodyDiv w:val="1"/>
      <w:marLeft w:val="0"/>
      <w:marRight w:val="0"/>
      <w:marTop w:val="0"/>
      <w:marBottom w:val="0"/>
      <w:divBdr>
        <w:top w:val="none" w:sz="0" w:space="0" w:color="auto"/>
        <w:left w:val="none" w:sz="0" w:space="0" w:color="auto"/>
        <w:bottom w:val="none" w:sz="0" w:space="0" w:color="auto"/>
        <w:right w:val="none" w:sz="0" w:space="0" w:color="auto"/>
      </w:divBdr>
      <w:divsChild>
        <w:div w:id="695082274">
          <w:marLeft w:val="0"/>
          <w:marRight w:val="0"/>
          <w:marTop w:val="0"/>
          <w:marBottom w:val="0"/>
          <w:divBdr>
            <w:top w:val="none" w:sz="0" w:space="0" w:color="auto"/>
            <w:left w:val="none" w:sz="0" w:space="0" w:color="auto"/>
            <w:bottom w:val="none" w:sz="0" w:space="0" w:color="auto"/>
            <w:right w:val="none" w:sz="0" w:space="0" w:color="auto"/>
          </w:divBdr>
        </w:div>
        <w:div w:id="833305173">
          <w:marLeft w:val="0"/>
          <w:marRight w:val="0"/>
          <w:marTop w:val="0"/>
          <w:marBottom w:val="0"/>
          <w:divBdr>
            <w:top w:val="none" w:sz="0" w:space="0" w:color="auto"/>
            <w:left w:val="none" w:sz="0" w:space="0" w:color="auto"/>
            <w:bottom w:val="none" w:sz="0" w:space="0" w:color="auto"/>
            <w:right w:val="none" w:sz="0" w:space="0" w:color="auto"/>
          </w:divBdr>
        </w:div>
        <w:div w:id="1002046078">
          <w:marLeft w:val="0"/>
          <w:marRight w:val="0"/>
          <w:marTop w:val="0"/>
          <w:marBottom w:val="0"/>
          <w:divBdr>
            <w:top w:val="none" w:sz="0" w:space="0" w:color="auto"/>
            <w:left w:val="none" w:sz="0" w:space="0" w:color="auto"/>
            <w:bottom w:val="none" w:sz="0" w:space="0" w:color="auto"/>
            <w:right w:val="none" w:sz="0" w:space="0" w:color="auto"/>
          </w:divBdr>
        </w:div>
        <w:div w:id="2105420918">
          <w:marLeft w:val="0"/>
          <w:marRight w:val="0"/>
          <w:marTop w:val="0"/>
          <w:marBottom w:val="0"/>
          <w:divBdr>
            <w:top w:val="none" w:sz="0" w:space="0" w:color="auto"/>
            <w:left w:val="none" w:sz="0" w:space="0" w:color="auto"/>
            <w:bottom w:val="none" w:sz="0" w:space="0" w:color="auto"/>
            <w:right w:val="none" w:sz="0" w:space="0" w:color="auto"/>
          </w:divBdr>
        </w:div>
      </w:divsChild>
    </w:div>
    <w:div w:id="843011375">
      <w:bodyDiv w:val="1"/>
      <w:marLeft w:val="0"/>
      <w:marRight w:val="0"/>
      <w:marTop w:val="0"/>
      <w:marBottom w:val="0"/>
      <w:divBdr>
        <w:top w:val="none" w:sz="0" w:space="0" w:color="auto"/>
        <w:left w:val="none" w:sz="0" w:space="0" w:color="auto"/>
        <w:bottom w:val="none" w:sz="0" w:space="0" w:color="auto"/>
        <w:right w:val="none" w:sz="0" w:space="0" w:color="auto"/>
      </w:divBdr>
    </w:div>
    <w:div w:id="843742770">
      <w:bodyDiv w:val="1"/>
      <w:marLeft w:val="0"/>
      <w:marRight w:val="0"/>
      <w:marTop w:val="0"/>
      <w:marBottom w:val="0"/>
      <w:divBdr>
        <w:top w:val="none" w:sz="0" w:space="0" w:color="auto"/>
        <w:left w:val="none" w:sz="0" w:space="0" w:color="auto"/>
        <w:bottom w:val="none" w:sz="0" w:space="0" w:color="auto"/>
        <w:right w:val="none" w:sz="0" w:space="0" w:color="auto"/>
      </w:divBdr>
      <w:divsChild>
        <w:div w:id="1685009587">
          <w:marLeft w:val="0"/>
          <w:marRight w:val="0"/>
          <w:marTop w:val="150"/>
          <w:marBottom w:val="0"/>
          <w:divBdr>
            <w:top w:val="none" w:sz="0" w:space="0" w:color="auto"/>
            <w:left w:val="none" w:sz="0" w:space="0" w:color="auto"/>
            <w:bottom w:val="none" w:sz="0" w:space="0" w:color="auto"/>
            <w:right w:val="none" w:sz="0" w:space="0" w:color="auto"/>
          </w:divBdr>
          <w:divsChild>
            <w:div w:id="1410494247">
              <w:marLeft w:val="0"/>
              <w:marRight w:val="0"/>
              <w:marTop w:val="0"/>
              <w:marBottom w:val="0"/>
              <w:divBdr>
                <w:top w:val="none" w:sz="0" w:space="0" w:color="auto"/>
                <w:left w:val="none" w:sz="0" w:space="0" w:color="auto"/>
                <w:bottom w:val="none" w:sz="0" w:space="0" w:color="auto"/>
                <w:right w:val="none" w:sz="0" w:space="0" w:color="auto"/>
              </w:divBdr>
              <w:divsChild>
                <w:div w:id="394428393">
                  <w:marLeft w:val="0"/>
                  <w:marRight w:val="0"/>
                  <w:marTop w:val="0"/>
                  <w:marBottom w:val="0"/>
                  <w:divBdr>
                    <w:top w:val="none" w:sz="0" w:space="0" w:color="auto"/>
                    <w:left w:val="none" w:sz="0" w:space="0" w:color="auto"/>
                    <w:bottom w:val="none" w:sz="0" w:space="0" w:color="auto"/>
                    <w:right w:val="none" w:sz="0" w:space="0" w:color="auto"/>
                  </w:divBdr>
                </w:div>
                <w:div w:id="82211425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29579589">
          <w:marLeft w:val="0"/>
          <w:marRight w:val="0"/>
          <w:marTop w:val="0"/>
          <w:marBottom w:val="0"/>
          <w:divBdr>
            <w:top w:val="none" w:sz="0" w:space="0" w:color="auto"/>
            <w:left w:val="none" w:sz="0" w:space="0" w:color="auto"/>
            <w:bottom w:val="none" w:sz="0" w:space="0" w:color="auto"/>
            <w:right w:val="none" w:sz="0" w:space="0" w:color="auto"/>
          </w:divBdr>
          <w:divsChild>
            <w:div w:id="142556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057909">
      <w:bodyDiv w:val="1"/>
      <w:marLeft w:val="0"/>
      <w:marRight w:val="0"/>
      <w:marTop w:val="0"/>
      <w:marBottom w:val="0"/>
      <w:divBdr>
        <w:top w:val="none" w:sz="0" w:space="0" w:color="auto"/>
        <w:left w:val="none" w:sz="0" w:space="0" w:color="auto"/>
        <w:bottom w:val="none" w:sz="0" w:space="0" w:color="auto"/>
        <w:right w:val="none" w:sz="0" w:space="0" w:color="auto"/>
      </w:divBdr>
      <w:divsChild>
        <w:div w:id="345063226">
          <w:marLeft w:val="0"/>
          <w:marRight w:val="0"/>
          <w:marTop w:val="0"/>
          <w:marBottom w:val="150"/>
          <w:divBdr>
            <w:top w:val="none" w:sz="0" w:space="0" w:color="auto"/>
            <w:left w:val="none" w:sz="0" w:space="0" w:color="auto"/>
            <w:bottom w:val="none" w:sz="0" w:space="0" w:color="auto"/>
            <w:right w:val="none" w:sz="0" w:space="0" w:color="auto"/>
          </w:divBdr>
        </w:div>
      </w:divsChild>
    </w:div>
    <w:div w:id="844831310">
      <w:bodyDiv w:val="1"/>
      <w:marLeft w:val="0"/>
      <w:marRight w:val="0"/>
      <w:marTop w:val="0"/>
      <w:marBottom w:val="0"/>
      <w:divBdr>
        <w:top w:val="none" w:sz="0" w:space="0" w:color="auto"/>
        <w:left w:val="none" w:sz="0" w:space="0" w:color="auto"/>
        <w:bottom w:val="none" w:sz="0" w:space="0" w:color="auto"/>
        <w:right w:val="none" w:sz="0" w:space="0" w:color="auto"/>
      </w:divBdr>
    </w:div>
    <w:div w:id="845025067">
      <w:bodyDiv w:val="1"/>
      <w:marLeft w:val="0"/>
      <w:marRight w:val="0"/>
      <w:marTop w:val="0"/>
      <w:marBottom w:val="0"/>
      <w:divBdr>
        <w:top w:val="none" w:sz="0" w:space="0" w:color="auto"/>
        <w:left w:val="none" w:sz="0" w:space="0" w:color="auto"/>
        <w:bottom w:val="none" w:sz="0" w:space="0" w:color="auto"/>
        <w:right w:val="none" w:sz="0" w:space="0" w:color="auto"/>
      </w:divBdr>
    </w:div>
    <w:div w:id="845094426">
      <w:bodyDiv w:val="1"/>
      <w:marLeft w:val="0"/>
      <w:marRight w:val="0"/>
      <w:marTop w:val="0"/>
      <w:marBottom w:val="0"/>
      <w:divBdr>
        <w:top w:val="none" w:sz="0" w:space="0" w:color="auto"/>
        <w:left w:val="none" w:sz="0" w:space="0" w:color="auto"/>
        <w:bottom w:val="none" w:sz="0" w:space="0" w:color="auto"/>
        <w:right w:val="none" w:sz="0" w:space="0" w:color="auto"/>
      </w:divBdr>
      <w:divsChild>
        <w:div w:id="1016349548">
          <w:marLeft w:val="0"/>
          <w:marRight w:val="0"/>
          <w:marTop w:val="0"/>
          <w:marBottom w:val="0"/>
          <w:divBdr>
            <w:top w:val="none" w:sz="0" w:space="0" w:color="auto"/>
            <w:left w:val="none" w:sz="0" w:space="0" w:color="auto"/>
            <w:bottom w:val="none" w:sz="0" w:space="0" w:color="auto"/>
            <w:right w:val="none" w:sz="0" w:space="0" w:color="auto"/>
          </w:divBdr>
          <w:divsChild>
            <w:div w:id="6935759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45512430">
      <w:bodyDiv w:val="1"/>
      <w:marLeft w:val="0"/>
      <w:marRight w:val="0"/>
      <w:marTop w:val="0"/>
      <w:marBottom w:val="0"/>
      <w:divBdr>
        <w:top w:val="none" w:sz="0" w:space="0" w:color="auto"/>
        <w:left w:val="none" w:sz="0" w:space="0" w:color="auto"/>
        <w:bottom w:val="none" w:sz="0" w:space="0" w:color="auto"/>
        <w:right w:val="none" w:sz="0" w:space="0" w:color="auto"/>
      </w:divBdr>
    </w:div>
    <w:div w:id="845638088">
      <w:bodyDiv w:val="1"/>
      <w:marLeft w:val="0"/>
      <w:marRight w:val="0"/>
      <w:marTop w:val="0"/>
      <w:marBottom w:val="0"/>
      <w:divBdr>
        <w:top w:val="none" w:sz="0" w:space="0" w:color="auto"/>
        <w:left w:val="none" w:sz="0" w:space="0" w:color="auto"/>
        <w:bottom w:val="none" w:sz="0" w:space="0" w:color="auto"/>
        <w:right w:val="none" w:sz="0" w:space="0" w:color="auto"/>
      </w:divBdr>
      <w:divsChild>
        <w:div w:id="474763398">
          <w:marLeft w:val="0"/>
          <w:marRight w:val="0"/>
          <w:marTop w:val="0"/>
          <w:marBottom w:val="150"/>
          <w:divBdr>
            <w:top w:val="none" w:sz="0" w:space="0" w:color="auto"/>
            <w:left w:val="none" w:sz="0" w:space="0" w:color="auto"/>
            <w:bottom w:val="none" w:sz="0" w:space="0" w:color="auto"/>
            <w:right w:val="none" w:sz="0" w:space="0" w:color="auto"/>
          </w:divBdr>
        </w:div>
      </w:divsChild>
    </w:div>
    <w:div w:id="846140610">
      <w:bodyDiv w:val="1"/>
      <w:marLeft w:val="0"/>
      <w:marRight w:val="0"/>
      <w:marTop w:val="0"/>
      <w:marBottom w:val="0"/>
      <w:divBdr>
        <w:top w:val="none" w:sz="0" w:space="0" w:color="auto"/>
        <w:left w:val="none" w:sz="0" w:space="0" w:color="auto"/>
        <w:bottom w:val="none" w:sz="0" w:space="0" w:color="auto"/>
        <w:right w:val="none" w:sz="0" w:space="0" w:color="auto"/>
      </w:divBdr>
      <w:divsChild>
        <w:div w:id="1827285246">
          <w:marLeft w:val="0"/>
          <w:marRight w:val="0"/>
          <w:marTop w:val="0"/>
          <w:marBottom w:val="0"/>
          <w:divBdr>
            <w:top w:val="none" w:sz="0" w:space="0" w:color="auto"/>
            <w:left w:val="none" w:sz="0" w:space="0" w:color="auto"/>
            <w:bottom w:val="none" w:sz="0" w:space="0" w:color="auto"/>
            <w:right w:val="none" w:sz="0" w:space="0" w:color="auto"/>
          </w:divBdr>
          <w:divsChild>
            <w:div w:id="506407441">
              <w:marLeft w:val="0"/>
              <w:marRight w:val="0"/>
              <w:marTop w:val="0"/>
              <w:marBottom w:val="0"/>
              <w:divBdr>
                <w:top w:val="none" w:sz="0" w:space="0" w:color="auto"/>
                <w:left w:val="none" w:sz="0" w:space="0" w:color="auto"/>
                <w:bottom w:val="none" w:sz="0" w:space="0" w:color="auto"/>
                <w:right w:val="none" w:sz="0" w:space="0" w:color="auto"/>
              </w:divBdr>
              <w:divsChild>
                <w:div w:id="1019695534">
                  <w:marLeft w:val="0"/>
                  <w:marRight w:val="0"/>
                  <w:marTop w:val="0"/>
                  <w:marBottom w:val="0"/>
                  <w:divBdr>
                    <w:top w:val="none" w:sz="0" w:space="0" w:color="auto"/>
                    <w:left w:val="none" w:sz="0" w:space="0" w:color="auto"/>
                    <w:bottom w:val="none" w:sz="0" w:space="0" w:color="auto"/>
                    <w:right w:val="none" w:sz="0" w:space="0" w:color="auto"/>
                  </w:divBdr>
                  <w:divsChild>
                    <w:div w:id="195852992">
                      <w:marLeft w:val="0"/>
                      <w:marRight w:val="0"/>
                      <w:marTop w:val="0"/>
                      <w:marBottom w:val="0"/>
                      <w:divBdr>
                        <w:top w:val="none" w:sz="0" w:space="0" w:color="auto"/>
                        <w:left w:val="none" w:sz="0" w:space="0" w:color="auto"/>
                        <w:bottom w:val="none" w:sz="0" w:space="0" w:color="auto"/>
                        <w:right w:val="none" w:sz="0" w:space="0" w:color="auto"/>
                      </w:divBdr>
                      <w:divsChild>
                        <w:div w:id="1987204609">
                          <w:marLeft w:val="0"/>
                          <w:marRight w:val="0"/>
                          <w:marTop w:val="0"/>
                          <w:marBottom w:val="0"/>
                          <w:divBdr>
                            <w:top w:val="none" w:sz="0" w:space="0" w:color="auto"/>
                            <w:left w:val="none" w:sz="0" w:space="0" w:color="auto"/>
                            <w:bottom w:val="none" w:sz="0" w:space="0" w:color="auto"/>
                            <w:right w:val="none" w:sz="0" w:space="0" w:color="auto"/>
                          </w:divBdr>
                          <w:divsChild>
                            <w:div w:id="632516102">
                              <w:marLeft w:val="0"/>
                              <w:marRight w:val="0"/>
                              <w:marTop w:val="0"/>
                              <w:marBottom w:val="0"/>
                              <w:divBdr>
                                <w:top w:val="none" w:sz="0" w:space="0" w:color="auto"/>
                                <w:left w:val="none" w:sz="0" w:space="0" w:color="auto"/>
                                <w:bottom w:val="none" w:sz="0" w:space="0" w:color="auto"/>
                                <w:right w:val="none" w:sz="0" w:space="0" w:color="auto"/>
                              </w:divBdr>
                              <w:divsChild>
                                <w:div w:id="1425415801">
                                  <w:marLeft w:val="0"/>
                                  <w:marRight w:val="0"/>
                                  <w:marTop w:val="0"/>
                                  <w:marBottom w:val="0"/>
                                  <w:divBdr>
                                    <w:top w:val="none" w:sz="0" w:space="0" w:color="auto"/>
                                    <w:left w:val="none" w:sz="0" w:space="0" w:color="auto"/>
                                    <w:bottom w:val="none" w:sz="0" w:space="0" w:color="auto"/>
                                    <w:right w:val="none" w:sz="0" w:space="0" w:color="auto"/>
                                  </w:divBdr>
                                  <w:divsChild>
                                    <w:div w:id="70903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11782">
      <w:bodyDiv w:val="1"/>
      <w:marLeft w:val="0"/>
      <w:marRight w:val="0"/>
      <w:marTop w:val="0"/>
      <w:marBottom w:val="0"/>
      <w:divBdr>
        <w:top w:val="none" w:sz="0" w:space="0" w:color="auto"/>
        <w:left w:val="none" w:sz="0" w:space="0" w:color="auto"/>
        <w:bottom w:val="none" w:sz="0" w:space="0" w:color="auto"/>
        <w:right w:val="none" w:sz="0" w:space="0" w:color="auto"/>
      </w:divBdr>
      <w:divsChild>
        <w:div w:id="1595629075">
          <w:marLeft w:val="0"/>
          <w:marRight w:val="0"/>
          <w:marTop w:val="0"/>
          <w:marBottom w:val="180"/>
          <w:divBdr>
            <w:top w:val="none" w:sz="0" w:space="0" w:color="auto"/>
            <w:left w:val="none" w:sz="0" w:space="0" w:color="auto"/>
            <w:bottom w:val="none" w:sz="0" w:space="0" w:color="auto"/>
            <w:right w:val="none" w:sz="0" w:space="0" w:color="auto"/>
          </w:divBdr>
        </w:div>
      </w:divsChild>
    </w:div>
    <w:div w:id="846360627">
      <w:bodyDiv w:val="1"/>
      <w:marLeft w:val="0"/>
      <w:marRight w:val="0"/>
      <w:marTop w:val="0"/>
      <w:marBottom w:val="0"/>
      <w:divBdr>
        <w:top w:val="none" w:sz="0" w:space="0" w:color="auto"/>
        <w:left w:val="none" w:sz="0" w:space="0" w:color="auto"/>
        <w:bottom w:val="none" w:sz="0" w:space="0" w:color="auto"/>
        <w:right w:val="none" w:sz="0" w:space="0" w:color="auto"/>
      </w:divBdr>
    </w:div>
    <w:div w:id="846560376">
      <w:bodyDiv w:val="1"/>
      <w:marLeft w:val="0"/>
      <w:marRight w:val="0"/>
      <w:marTop w:val="0"/>
      <w:marBottom w:val="0"/>
      <w:divBdr>
        <w:top w:val="none" w:sz="0" w:space="0" w:color="auto"/>
        <w:left w:val="none" w:sz="0" w:space="0" w:color="auto"/>
        <w:bottom w:val="none" w:sz="0" w:space="0" w:color="auto"/>
        <w:right w:val="none" w:sz="0" w:space="0" w:color="auto"/>
      </w:divBdr>
      <w:divsChild>
        <w:div w:id="681859125">
          <w:marLeft w:val="0"/>
          <w:marRight w:val="0"/>
          <w:marTop w:val="0"/>
          <w:marBottom w:val="450"/>
          <w:divBdr>
            <w:top w:val="none" w:sz="0" w:space="0" w:color="auto"/>
            <w:left w:val="none" w:sz="0" w:space="0" w:color="auto"/>
            <w:bottom w:val="single" w:sz="6" w:space="19" w:color="EEEEEE"/>
            <w:right w:val="none" w:sz="0" w:space="0" w:color="auto"/>
          </w:divBdr>
          <w:divsChild>
            <w:div w:id="1480150594">
              <w:marLeft w:val="0"/>
              <w:marRight w:val="0"/>
              <w:marTop w:val="0"/>
              <w:marBottom w:val="150"/>
              <w:divBdr>
                <w:top w:val="none" w:sz="0" w:space="0" w:color="auto"/>
                <w:left w:val="none" w:sz="0" w:space="0" w:color="auto"/>
                <w:bottom w:val="none" w:sz="0" w:space="0" w:color="auto"/>
                <w:right w:val="none" w:sz="0" w:space="0" w:color="auto"/>
              </w:divBdr>
              <w:divsChild>
                <w:div w:id="857738130">
                  <w:marLeft w:val="0"/>
                  <w:marRight w:val="0"/>
                  <w:marTop w:val="0"/>
                  <w:marBottom w:val="0"/>
                  <w:divBdr>
                    <w:top w:val="none" w:sz="0" w:space="0" w:color="auto"/>
                    <w:left w:val="none" w:sz="0" w:space="0" w:color="auto"/>
                    <w:bottom w:val="none" w:sz="0" w:space="0" w:color="auto"/>
                    <w:right w:val="none" w:sz="0" w:space="0" w:color="auto"/>
                  </w:divBdr>
                </w:div>
              </w:divsChild>
            </w:div>
            <w:div w:id="1371799863">
              <w:marLeft w:val="0"/>
              <w:marRight w:val="0"/>
              <w:marTop w:val="0"/>
              <w:marBottom w:val="0"/>
              <w:divBdr>
                <w:top w:val="none" w:sz="0" w:space="0" w:color="auto"/>
                <w:left w:val="none" w:sz="0" w:space="0" w:color="auto"/>
                <w:bottom w:val="none" w:sz="0" w:space="0" w:color="auto"/>
                <w:right w:val="none" w:sz="0" w:space="0" w:color="auto"/>
              </w:divBdr>
            </w:div>
          </w:divsChild>
        </w:div>
        <w:div w:id="1793477965">
          <w:marLeft w:val="0"/>
          <w:marRight w:val="0"/>
          <w:marTop w:val="0"/>
          <w:marBottom w:val="0"/>
          <w:divBdr>
            <w:top w:val="none" w:sz="0" w:space="0" w:color="auto"/>
            <w:left w:val="none" w:sz="0" w:space="0" w:color="auto"/>
            <w:bottom w:val="none" w:sz="0" w:space="0" w:color="auto"/>
            <w:right w:val="none" w:sz="0" w:space="0" w:color="auto"/>
          </w:divBdr>
          <w:divsChild>
            <w:div w:id="2086682755">
              <w:marLeft w:val="0"/>
              <w:marRight w:val="0"/>
              <w:marTop w:val="0"/>
              <w:marBottom w:val="0"/>
              <w:divBdr>
                <w:top w:val="none" w:sz="0" w:space="0" w:color="auto"/>
                <w:left w:val="none" w:sz="0" w:space="0" w:color="auto"/>
                <w:bottom w:val="none" w:sz="0" w:space="0" w:color="auto"/>
                <w:right w:val="none" w:sz="0" w:space="0" w:color="auto"/>
              </w:divBdr>
              <w:divsChild>
                <w:div w:id="44619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674356">
      <w:bodyDiv w:val="1"/>
      <w:marLeft w:val="0"/>
      <w:marRight w:val="0"/>
      <w:marTop w:val="0"/>
      <w:marBottom w:val="0"/>
      <w:divBdr>
        <w:top w:val="none" w:sz="0" w:space="0" w:color="auto"/>
        <w:left w:val="none" w:sz="0" w:space="0" w:color="auto"/>
        <w:bottom w:val="none" w:sz="0" w:space="0" w:color="auto"/>
        <w:right w:val="none" w:sz="0" w:space="0" w:color="auto"/>
      </w:divBdr>
      <w:divsChild>
        <w:div w:id="1631327038">
          <w:marLeft w:val="0"/>
          <w:marRight w:val="0"/>
          <w:marTop w:val="0"/>
          <w:marBottom w:val="0"/>
          <w:divBdr>
            <w:top w:val="none" w:sz="0" w:space="0" w:color="auto"/>
            <w:left w:val="none" w:sz="0" w:space="0" w:color="auto"/>
            <w:bottom w:val="dotted" w:sz="6" w:space="4" w:color="DDDDDD"/>
            <w:right w:val="none" w:sz="0" w:space="0" w:color="auto"/>
          </w:divBdr>
          <w:divsChild>
            <w:div w:id="209423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140919">
      <w:bodyDiv w:val="1"/>
      <w:marLeft w:val="0"/>
      <w:marRight w:val="0"/>
      <w:marTop w:val="0"/>
      <w:marBottom w:val="0"/>
      <w:divBdr>
        <w:top w:val="none" w:sz="0" w:space="0" w:color="auto"/>
        <w:left w:val="none" w:sz="0" w:space="0" w:color="auto"/>
        <w:bottom w:val="none" w:sz="0" w:space="0" w:color="auto"/>
        <w:right w:val="none" w:sz="0" w:space="0" w:color="auto"/>
      </w:divBdr>
      <w:divsChild>
        <w:div w:id="2108579821">
          <w:marLeft w:val="0"/>
          <w:marRight w:val="0"/>
          <w:marTop w:val="0"/>
          <w:marBottom w:val="0"/>
          <w:divBdr>
            <w:top w:val="none" w:sz="0" w:space="0" w:color="auto"/>
            <w:left w:val="none" w:sz="0" w:space="0" w:color="auto"/>
            <w:bottom w:val="none" w:sz="0" w:space="0" w:color="auto"/>
            <w:right w:val="none" w:sz="0" w:space="0" w:color="auto"/>
          </w:divBdr>
          <w:divsChild>
            <w:div w:id="383527018">
              <w:marLeft w:val="0"/>
              <w:marRight w:val="0"/>
              <w:marTop w:val="0"/>
              <w:marBottom w:val="0"/>
              <w:divBdr>
                <w:top w:val="none" w:sz="0" w:space="0" w:color="auto"/>
                <w:left w:val="none" w:sz="0" w:space="0" w:color="auto"/>
                <w:bottom w:val="none" w:sz="0" w:space="0" w:color="auto"/>
                <w:right w:val="none" w:sz="0" w:space="0" w:color="auto"/>
              </w:divBdr>
              <w:divsChild>
                <w:div w:id="1407727517">
                  <w:marLeft w:val="0"/>
                  <w:marRight w:val="0"/>
                  <w:marTop w:val="0"/>
                  <w:marBottom w:val="0"/>
                  <w:divBdr>
                    <w:top w:val="none" w:sz="0" w:space="0" w:color="auto"/>
                    <w:left w:val="none" w:sz="0" w:space="0" w:color="auto"/>
                    <w:bottom w:val="none" w:sz="0" w:space="0" w:color="auto"/>
                    <w:right w:val="none" w:sz="0" w:space="0" w:color="auto"/>
                  </w:divBdr>
                  <w:divsChild>
                    <w:div w:id="365834212">
                      <w:marLeft w:val="0"/>
                      <w:marRight w:val="0"/>
                      <w:marTop w:val="0"/>
                      <w:marBottom w:val="0"/>
                      <w:divBdr>
                        <w:top w:val="none" w:sz="0" w:space="0" w:color="auto"/>
                        <w:left w:val="none" w:sz="0" w:space="0" w:color="auto"/>
                        <w:bottom w:val="none" w:sz="0" w:space="0" w:color="auto"/>
                        <w:right w:val="none" w:sz="0" w:space="0" w:color="auto"/>
                      </w:divBdr>
                      <w:divsChild>
                        <w:div w:id="1653868865">
                          <w:marLeft w:val="0"/>
                          <w:marRight w:val="0"/>
                          <w:marTop w:val="0"/>
                          <w:marBottom w:val="0"/>
                          <w:divBdr>
                            <w:top w:val="none" w:sz="0" w:space="0" w:color="auto"/>
                            <w:left w:val="none" w:sz="0" w:space="0" w:color="auto"/>
                            <w:bottom w:val="none" w:sz="0" w:space="0" w:color="auto"/>
                            <w:right w:val="none" w:sz="0" w:space="0" w:color="auto"/>
                          </w:divBdr>
                          <w:divsChild>
                            <w:div w:id="280188723">
                              <w:marLeft w:val="0"/>
                              <w:marRight w:val="0"/>
                              <w:marTop w:val="0"/>
                              <w:marBottom w:val="0"/>
                              <w:divBdr>
                                <w:top w:val="none" w:sz="0" w:space="0" w:color="auto"/>
                                <w:left w:val="none" w:sz="0" w:space="0" w:color="auto"/>
                                <w:bottom w:val="none" w:sz="0" w:space="0" w:color="auto"/>
                                <w:right w:val="none" w:sz="0" w:space="0" w:color="auto"/>
                              </w:divBdr>
                              <w:divsChild>
                                <w:div w:id="91940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7252884">
      <w:bodyDiv w:val="1"/>
      <w:marLeft w:val="0"/>
      <w:marRight w:val="0"/>
      <w:marTop w:val="0"/>
      <w:marBottom w:val="0"/>
      <w:divBdr>
        <w:top w:val="none" w:sz="0" w:space="0" w:color="auto"/>
        <w:left w:val="none" w:sz="0" w:space="0" w:color="auto"/>
        <w:bottom w:val="none" w:sz="0" w:space="0" w:color="auto"/>
        <w:right w:val="none" w:sz="0" w:space="0" w:color="auto"/>
      </w:divBdr>
      <w:divsChild>
        <w:div w:id="1989436941">
          <w:marLeft w:val="0"/>
          <w:marRight w:val="0"/>
          <w:marTop w:val="0"/>
          <w:marBottom w:val="0"/>
          <w:divBdr>
            <w:top w:val="none" w:sz="0" w:space="0" w:color="auto"/>
            <w:left w:val="none" w:sz="0" w:space="0" w:color="auto"/>
            <w:bottom w:val="none" w:sz="0" w:space="0" w:color="auto"/>
            <w:right w:val="none" w:sz="0" w:space="0" w:color="auto"/>
          </w:divBdr>
          <w:divsChild>
            <w:div w:id="167360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478310">
      <w:bodyDiv w:val="1"/>
      <w:marLeft w:val="0"/>
      <w:marRight w:val="0"/>
      <w:marTop w:val="0"/>
      <w:marBottom w:val="0"/>
      <w:divBdr>
        <w:top w:val="none" w:sz="0" w:space="0" w:color="auto"/>
        <w:left w:val="none" w:sz="0" w:space="0" w:color="auto"/>
        <w:bottom w:val="none" w:sz="0" w:space="0" w:color="auto"/>
        <w:right w:val="none" w:sz="0" w:space="0" w:color="auto"/>
      </w:divBdr>
      <w:divsChild>
        <w:div w:id="2108039985">
          <w:marLeft w:val="0"/>
          <w:marRight w:val="0"/>
          <w:marTop w:val="0"/>
          <w:marBottom w:val="0"/>
          <w:divBdr>
            <w:top w:val="none" w:sz="0" w:space="0" w:color="auto"/>
            <w:left w:val="none" w:sz="0" w:space="0" w:color="auto"/>
            <w:bottom w:val="none" w:sz="0" w:space="0" w:color="auto"/>
            <w:right w:val="none" w:sz="0" w:space="0" w:color="auto"/>
          </w:divBdr>
        </w:div>
      </w:divsChild>
    </w:div>
    <w:div w:id="847527556">
      <w:bodyDiv w:val="1"/>
      <w:marLeft w:val="0"/>
      <w:marRight w:val="0"/>
      <w:marTop w:val="0"/>
      <w:marBottom w:val="0"/>
      <w:divBdr>
        <w:top w:val="none" w:sz="0" w:space="0" w:color="auto"/>
        <w:left w:val="none" w:sz="0" w:space="0" w:color="auto"/>
        <w:bottom w:val="none" w:sz="0" w:space="0" w:color="auto"/>
        <w:right w:val="none" w:sz="0" w:space="0" w:color="auto"/>
      </w:divBdr>
      <w:divsChild>
        <w:div w:id="471141658">
          <w:marLeft w:val="0"/>
          <w:marRight w:val="0"/>
          <w:marTop w:val="0"/>
          <w:marBottom w:val="0"/>
          <w:divBdr>
            <w:top w:val="none" w:sz="0" w:space="0" w:color="auto"/>
            <w:left w:val="none" w:sz="0" w:space="0" w:color="auto"/>
            <w:bottom w:val="dotted" w:sz="6" w:space="4" w:color="DDDDDD"/>
            <w:right w:val="none" w:sz="0" w:space="0" w:color="auto"/>
          </w:divBdr>
          <w:divsChild>
            <w:div w:id="164870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597110">
      <w:bodyDiv w:val="1"/>
      <w:marLeft w:val="0"/>
      <w:marRight w:val="0"/>
      <w:marTop w:val="0"/>
      <w:marBottom w:val="0"/>
      <w:divBdr>
        <w:top w:val="none" w:sz="0" w:space="0" w:color="auto"/>
        <w:left w:val="none" w:sz="0" w:space="0" w:color="auto"/>
        <w:bottom w:val="none" w:sz="0" w:space="0" w:color="auto"/>
        <w:right w:val="none" w:sz="0" w:space="0" w:color="auto"/>
      </w:divBdr>
    </w:div>
    <w:div w:id="847643865">
      <w:bodyDiv w:val="1"/>
      <w:marLeft w:val="0"/>
      <w:marRight w:val="0"/>
      <w:marTop w:val="0"/>
      <w:marBottom w:val="0"/>
      <w:divBdr>
        <w:top w:val="none" w:sz="0" w:space="0" w:color="auto"/>
        <w:left w:val="none" w:sz="0" w:space="0" w:color="auto"/>
        <w:bottom w:val="none" w:sz="0" w:space="0" w:color="auto"/>
        <w:right w:val="none" w:sz="0" w:space="0" w:color="auto"/>
      </w:divBdr>
      <w:divsChild>
        <w:div w:id="302346831">
          <w:marLeft w:val="0"/>
          <w:marRight w:val="0"/>
          <w:marTop w:val="0"/>
          <w:marBottom w:val="150"/>
          <w:divBdr>
            <w:top w:val="none" w:sz="0" w:space="0" w:color="auto"/>
            <w:left w:val="none" w:sz="0" w:space="0" w:color="auto"/>
            <w:bottom w:val="none" w:sz="0" w:space="0" w:color="auto"/>
            <w:right w:val="none" w:sz="0" w:space="0" w:color="auto"/>
          </w:divBdr>
        </w:div>
      </w:divsChild>
    </w:div>
    <w:div w:id="847669808">
      <w:bodyDiv w:val="1"/>
      <w:marLeft w:val="0"/>
      <w:marRight w:val="0"/>
      <w:marTop w:val="0"/>
      <w:marBottom w:val="0"/>
      <w:divBdr>
        <w:top w:val="none" w:sz="0" w:space="0" w:color="auto"/>
        <w:left w:val="none" w:sz="0" w:space="0" w:color="auto"/>
        <w:bottom w:val="none" w:sz="0" w:space="0" w:color="auto"/>
        <w:right w:val="none" w:sz="0" w:space="0" w:color="auto"/>
      </w:divBdr>
      <w:divsChild>
        <w:div w:id="596443201">
          <w:marLeft w:val="0"/>
          <w:marRight w:val="0"/>
          <w:marTop w:val="150"/>
          <w:marBottom w:val="0"/>
          <w:divBdr>
            <w:top w:val="none" w:sz="0" w:space="0" w:color="auto"/>
            <w:left w:val="none" w:sz="0" w:space="0" w:color="auto"/>
            <w:bottom w:val="none" w:sz="0" w:space="0" w:color="auto"/>
            <w:right w:val="none" w:sz="0" w:space="0" w:color="auto"/>
          </w:divBdr>
          <w:divsChild>
            <w:div w:id="1437554224">
              <w:marLeft w:val="0"/>
              <w:marRight w:val="0"/>
              <w:marTop w:val="0"/>
              <w:marBottom w:val="0"/>
              <w:divBdr>
                <w:top w:val="none" w:sz="0" w:space="0" w:color="auto"/>
                <w:left w:val="none" w:sz="0" w:space="0" w:color="auto"/>
                <w:bottom w:val="none" w:sz="0" w:space="0" w:color="auto"/>
                <w:right w:val="none" w:sz="0" w:space="0" w:color="auto"/>
              </w:divBdr>
              <w:divsChild>
                <w:div w:id="200673986">
                  <w:marLeft w:val="0"/>
                  <w:marRight w:val="0"/>
                  <w:marTop w:val="0"/>
                  <w:marBottom w:val="0"/>
                  <w:divBdr>
                    <w:top w:val="none" w:sz="0" w:space="0" w:color="auto"/>
                    <w:left w:val="none" w:sz="0" w:space="0" w:color="auto"/>
                    <w:bottom w:val="none" w:sz="0" w:space="0" w:color="auto"/>
                    <w:right w:val="none" w:sz="0" w:space="0" w:color="auto"/>
                  </w:divBdr>
                </w:div>
                <w:div w:id="121897307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86577598">
          <w:marLeft w:val="0"/>
          <w:marRight w:val="0"/>
          <w:marTop w:val="0"/>
          <w:marBottom w:val="0"/>
          <w:divBdr>
            <w:top w:val="none" w:sz="0" w:space="0" w:color="auto"/>
            <w:left w:val="none" w:sz="0" w:space="0" w:color="auto"/>
            <w:bottom w:val="none" w:sz="0" w:space="0" w:color="auto"/>
            <w:right w:val="none" w:sz="0" w:space="0" w:color="auto"/>
          </w:divBdr>
          <w:divsChild>
            <w:div w:id="111293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788123">
      <w:bodyDiv w:val="1"/>
      <w:marLeft w:val="0"/>
      <w:marRight w:val="0"/>
      <w:marTop w:val="0"/>
      <w:marBottom w:val="0"/>
      <w:divBdr>
        <w:top w:val="none" w:sz="0" w:space="0" w:color="auto"/>
        <w:left w:val="none" w:sz="0" w:space="0" w:color="auto"/>
        <w:bottom w:val="none" w:sz="0" w:space="0" w:color="auto"/>
        <w:right w:val="none" w:sz="0" w:space="0" w:color="auto"/>
      </w:divBdr>
      <w:divsChild>
        <w:div w:id="700088250">
          <w:marLeft w:val="0"/>
          <w:marRight w:val="0"/>
          <w:marTop w:val="0"/>
          <w:marBottom w:val="150"/>
          <w:divBdr>
            <w:top w:val="none" w:sz="0" w:space="0" w:color="auto"/>
            <w:left w:val="none" w:sz="0" w:space="0" w:color="auto"/>
            <w:bottom w:val="none" w:sz="0" w:space="0" w:color="auto"/>
            <w:right w:val="none" w:sz="0" w:space="0" w:color="auto"/>
          </w:divBdr>
        </w:div>
      </w:divsChild>
    </w:div>
    <w:div w:id="848178615">
      <w:bodyDiv w:val="1"/>
      <w:marLeft w:val="0"/>
      <w:marRight w:val="0"/>
      <w:marTop w:val="0"/>
      <w:marBottom w:val="0"/>
      <w:divBdr>
        <w:top w:val="none" w:sz="0" w:space="0" w:color="auto"/>
        <w:left w:val="none" w:sz="0" w:space="0" w:color="auto"/>
        <w:bottom w:val="none" w:sz="0" w:space="0" w:color="auto"/>
        <w:right w:val="none" w:sz="0" w:space="0" w:color="auto"/>
      </w:divBdr>
      <w:divsChild>
        <w:div w:id="1921717421">
          <w:marLeft w:val="0"/>
          <w:marRight w:val="0"/>
          <w:marTop w:val="0"/>
          <w:marBottom w:val="0"/>
          <w:divBdr>
            <w:top w:val="none" w:sz="0" w:space="0" w:color="auto"/>
            <w:left w:val="none" w:sz="0" w:space="0" w:color="auto"/>
            <w:bottom w:val="none" w:sz="0" w:space="0" w:color="auto"/>
            <w:right w:val="none" w:sz="0" w:space="0" w:color="auto"/>
          </w:divBdr>
          <w:divsChild>
            <w:div w:id="1071730189">
              <w:marLeft w:val="0"/>
              <w:marRight w:val="0"/>
              <w:marTop w:val="0"/>
              <w:marBottom w:val="0"/>
              <w:divBdr>
                <w:top w:val="none" w:sz="0" w:space="0" w:color="auto"/>
                <w:left w:val="none" w:sz="0" w:space="0" w:color="auto"/>
                <w:bottom w:val="none" w:sz="0" w:space="0" w:color="auto"/>
                <w:right w:val="none" w:sz="0" w:space="0" w:color="auto"/>
              </w:divBdr>
              <w:divsChild>
                <w:div w:id="832916850">
                  <w:marLeft w:val="0"/>
                  <w:marRight w:val="0"/>
                  <w:marTop w:val="0"/>
                  <w:marBottom w:val="0"/>
                  <w:divBdr>
                    <w:top w:val="none" w:sz="0" w:space="0" w:color="auto"/>
                    <w:left w:val="none" w:sz="0" w:space="0" w:color="auto"/>
                    <w:bottom w:val="none" w:sz="0" w:space="0" w:color="auto"/>
                    <w:right w:val="none" w:sz="0" w:space="0" w:color="auto"/>
                  </w:divBdr>
                  <w:divsChild>
                    <w:div w:id="801114591">
                      <w:marLeft w:val="0"/>
                      <w:marRight w:val="0"/>
                      <w:marTop w:val="0"/>
                      <w:marBottom w:val="0"/>
                      <w:divBdr>
                        <w:top w:val="none" w:sz="0" w:space="0" w:color="auto"/>
                        <w:left w:val="none" w:sz="0" w:space="0" w:color="auto"/>
                        <w:bottom w:val="none" w:sz="0" w:space="0" w:color="auto"/>
                        <w:right w:val="none" w:sz="0" w:space="0" w:color="auto"/>
                      </w:divBdr>
                      <w:divsChild>
                        <w:div w:id="1075512942">
                          <w:marLeft w:val="0"/>
                          <w:marRight w:val="0"/>
                          <w:marTop w:val="0"/>
                          <w:marBottom w:val="0"/>
                          <w:divBdr>
                            <w:top w:val="none" w:sz="0" w:space="0" w:color="auto"/>
                            <w:left w:val="none" w:sz="0" w:space="0" w:color="auto"/>
                            <w:bottom w:val="none" w:sz="0" w:space="0" w:color="auto"/>
                            <w:right w:val="none" w:sz="0" w:space="0" w:color="auto"/>
                          </w:divBdr>
                          <w:divsChild>
                            <w:div w:id="25613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8180244">
      <w:bodyDiv w:val="1"/>
      <w:marLeft w:val="0"/>
      <w:marRight w:val="0"/>
      <w:marTop w:val="0"/>
      <w:marBottom w:val="0"/>
      <w:divBdr>
        <w:top w:val="none" w:sz="0" w:space="0" w:color="auto"/>
        <w:left w:val="none" w:sz="0" w:space="0" w:color="auto"/>
        <w:bottom w:val="none" w:sz="0" w:space="0" w:color="auto"/>
        <w:right w:val="none" w:sz="0" w:space="0" w:color="auto"/>
      </w:divBdr>
      <w:divsChild>
        <w:div w:id="669530678">
          <w:marLeft w:val="0"/>
          <w:marRight w:val="0"/>
          <w:marTop w:val="0"/>
          <w:marBottom w:val="0"/>
          <w:divBdr>
            <w:top w:val="none" w:sz="0" w:space="0" w:color="auto"/>
            <w:left w:val="none" w:sz="0" w:space="0" w:color="auto"/>
            <w:bottom w:val="none" w:sz="0" w:space="0" w:color="auto"/>
            <w:right w:val="none" w:sz="0" w:space="0" w:color="auto"/>
          </w:divBdr>
          <w:divsChild>
            <w:div w:id="12255257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48451173">
      <w:bodyDiv w:val="1"/>
      <w:marLeft w:val="0"/>
      <w:marRight w:val="0"/>
      <w:marTop w:val="0"/>
      <w:marBottom w:val="0"/>
      <w:divBdr>
        <w:top w:val="none" w:sz="0" w:space="0" w:color="auto"/>
        <w:left w:val="none" w:sz="0" w:space="0" w:color="auto"/>
        <w:bottom w:val="none" w:sz="0" w:space="0" w:color="auto"/>
        <w:right w:val="none" w:sz="0" w:space="0" w:color="auto"/>
      </w:divBdr>
      <w:divsChild>
        <w:div w:id="1542202635">
          <w:marLeft w:val="0"/>
          <w:marRight w:val="0"/>
          <w:marTop w:val="0"/>
          <w:marBottom w:val="0"/>
          <w:divBdr>
            <w:top w:val="none" w:sz="0" w:space="0" w:color="auto"/>
            <w:left w:val="none" w:sz="0" w:space="0" w:color="auto"/>
            <w:bottom w:val="none" w:sz="0" w:space="0" w:color="auto"/>
            <w:right w:val="none" w:sz="0" w:space="0" w:color="auto"/>
          </w:divBdr>
        </w:div>
      </w:divsChild>
    </w:div>
    <w:div w:id="848566595">
      <w:bodyDiv w:val="1"/>
      <w:marLeft w:val="0"/>
      <w:marRight w:val="0"/>
      <w:marTop w:val="0"/>
      <w:marBottom w:val="0"/>
      <w:divBdr>
        <w:top w:val="none" w:sz="0" w:space="0" w:color="auto"/>
        <w:left w:val="none" w:sz="0" w:space="0" w:color="auto"/>
        <w:bottom w:val="none" w:sz="0" w:space="0" w:color="auto"/>
        <w:right w:val="none" w:sz="0" w:space="0" w:color="auto"/>
      </w:divBdr>
      <w:divsChild>
        <w:div w:id="634680403">
          <w:marLeft w:val="0"/>
          <w:marRight w:val="0"/>
          <w:marTop w:val="0"/>
          <w:marBottom w:val="0"/>
          <w:divBdr>
            <w:top w:val="none" w:sz="0" w:space="0" w:color="auto"/>
            <w:left w:val="none" w:sz="0" w:space="0" w:color="auto"/>
            <w:bottom w:val="none" w:sz="0" w:space="0" w:color="auto"/>
            <w:right w:val="none" w:sz="0" w:space="0" w:color="auto"/>
          </w:divBdr>
        </w:div>
      </w:divsChild>
    </w:div>
    <w:div w:id="848830041">
      <w:bodyDiv w:val="1"/>
      <w:marLeft w:val="0"/>
      <w:marRight w:val="0"/>
      <w:marTop w:val="0"/>
      <w:marBottom w:val="0"/>
      <w:divBdr>
        <w:top w:val="none" w:sz="0" w:space="0" w:color="auto"/>
        <w:left w:val="none" w:sz="0" w:space="0" w:color="auto"/>
        <w:bottom w:val="none" w:sz="0" w:space="0" w:color="auto"/>
        <w:right w:val="none" w:sz="0" w:space="0" w:color="auto"/>
      </w:divBdr>
    </w:div>
    <w:div w:id="849637437">
      <w:bodyDiv w:val="1"/>
      <w:marLeft w:val="0"/>
      <w:marRight w:val="0"/>
      <w:marTop w:val="0"/>
      <w:marBottom w:val="0"/>
      <w:divBdr>
        <w:top w:val="none" w:sz="0" w:space="0" w:color="auto"/>
        <w:left w:val="none" w:sz="0" w:space="0" w:color="auto"/>
        <w:bottom w:val="none" w:sz="0" w:space="0" w:color="auto"/>
        <w:right w:val="none" w:sz="0" w:space="0" w:color="auto"/>
      </w:divBdr>
      <w:divsChild>
        <w:div w:id="1846508607">
          <w:marLeft w:val="0"/>
          <w:marRight w:val="0"/>
          <w:marTop w:val="0"/>
          <w:marBottom w:val="0"/>
          <w:divBdr>
            <w:top w:val="none" w:sz="0" w:space="0" w:color="auto"/>
            <w:left w:val="none" w:sz="0" w:space="0" w:color="auto"/>
            <w:bottom w:val="none" w:sz="0" w:space="0" w:color="auto"/>
            <w:right w:val="none" w:sz="0" w:space="0" w:color="auto"/>
          </w:divBdr>
          <w:divsChild>
            <w:div w:id="1863930415">
              <w:marLeft w:val="0"/>
              <w:marRight w:val="0"/>
              <w:marTop w:val="0"/>
              <w:marBottom w:val="0"/>
              <w:divBdr>
                <w:top w:val="none" w:sz="0" w:space="0" w:color="auto"/>
                <w:left w:val="none" w:sz="0" w:space="0" w:color="auto"/>
                <w:bottom w:val="none" w:sz="0" w:space="0" w:color="auto"/>
                <w:right w:val="none" w:sz="0" w:space="0" w:color="auto"/>
              </w:divBdr>
              <w:divsChild>
                <w:div w:id="363795867">
                  <w:marLeft w:val="0"/>
                  <w:marRight w:val="0"/>
                  <w:marTop w:val="0"/>
                  <w:marBottom w:val="0"/>
                  <w:divBdr>
                    <w:top w:val="none" w:sz="0" w:space="0" w:color="auto"/>
                    <w:left w:val="none" w:sz="0" w:space="0" w:color="auto"/>
                    <w:bottom w:val="none" w:sz="0" w:space="0" w:color="auto"/>
                    <w:right w:val="none" w:sz="0" w:space="0" w:color="auto"/>
                  </w:divBdr>
                  <w:divsChild>
                    <w:div w:id="1512454952">
                      <w:marLeft w:val="0"/>
                      <w:marRight w:val="0"/>
                      <w:marTop w:val="0"/>
                      <w:marBottom w:val="0"/>
                      <w:divBdr>
                        <w:top w:val="none" w:sz="0" w:space="0" w:color="auto"/>
                        <w:left w:val="none" w:sz="0" w:space="0" w:color="auto"/>
                        <w:bottom w:val="none" w:sz="0" w:space="0" w:color="auto"/>
                        <w:right w:val="none" w:sz="0" w:space="0" w:color="auto"/>
                      </w:divBdr>
                      <w:divsChild>
                        <w:div w:id="790169216">
                          <w:marLeft w:val="0"/>
                          <w:marRight w:val="0"/>
                          <w:marTop w:val="0"/>
                          <w:marBottom w:val="0"/>
                          <w:divBdr>
                            <w:top w:val="none" w:sz="0" w:space="0" w:color="auto"/>
                            <w:left w:val="none" w:sz="0" w:space="0" w:color="auto"/>
                            <w:bottom w:val="none" w:sz="0" w:space="0" w:color="auto"/>
                            <w:right w:val="none" w:sz="0" w:space="0" w:color="auto"/>
                          </w:divBdr>
                          <w:divsChild>
                            <w:div w:id="23390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829279">
      <w:bodyDiv w:val="1"/>
      <w:marLeft w:val="0"/>
      <w:marRight w:val="0"/>
      <w:marTop w:val="0"/>
      <w:marBottom w:val="0"/>
      <w:divBdr>
        <w:top w:val="none" w:sz="0" w:space="0" w:color="auto"/>
        <w:left w:val="none" w:sz="0" w:space="0" w:color="auto"/>
        <w:bottom w:val="none" w:sz="0" w:space="0" w:color="auto"/>
        <w:right w:val="none" w:sz="0" w:space="0" w:color="auto"/>
      </w:divBdr>
      <w:divsChild>
        <w:div w:id="1340887220">
          <w:marLeft w:val="0"/>
          <w:marRight w:val="0"/>
          <w:marTop w:val="0"/>
          <w:marBottom w:val="0"/>
          <w:divBdr>
            <w:top w:val="none" w:sz="0" w:space="0" w:color="auto"/>
            <w:left w:val="none" w:sz="0" w:space="0" w:color="auto"/>
            <w:bottom w:val="dotted" w:sz="6" w:space="4" w:color="DDDDDD"/>
            <w:right w:val="none" w:sz="0" w:space="0" w:color="auto"/>
          </w:divBdr>
        </w:div>
      </w:divsChild>
    </w:div>
    <w:div w:id="849874028">
      <w:bodyDiv w:val="1"/>
      <w:marLeft w:val="0"/>
      <w:marRight w:val="0"/>
      <w:marTop w:val="0"/>
      <w:marBottom w:val="0"/>
      <w:divBdr>
        <w:top w:val="none" w:sz="0" w:space="0" w:color="auto"/>
        <w:left w:val="none" w:sz="0" w:space="0" w:color="auto"/>
        <w:bottom w:val="none" w:sz="0" w:space="0" w:color="auto"/>
        <w:right w:val="none" w:sz="0" w:space="0" w:color="auto"/>
      </w:divBdr>
      <w:divsChild>
        <w:div w:id="1214387663">
          <w:marLeft w:val="0"/>
          <w:marRight w:val="0"/>
          <w:marTop w:val="0"/>
          <w:marBottom w:val="0"/>
          <w:divBdr>
            <w:top w:val="none" w:sz="0" w:space="0" w:color="auto"/>
            <w:left w:val="none" w:sz="0" w:space="0" w:color="auto"/>
            <w:bottom w:val="none" w:sz="0" w:space="0" w:color="auto"/>
            <w:right w:val="none" w:sz="0" w:space="0" w:color="auto"/>
          </w:divBdr>
          <w:divsChild>
            <w:div w:id="364141222">
              <w:marLeft w:val="0"/>
              <w:marRight w:val="0"/>
              <w:marTop w:val="225"/>
              <w:marBottom w:val="225"/>
              <w:divBdr>
                <w:top w:val="none" w:sz="0" w:space="0" w:color="auto"/>
                <w:left w:val="none" w:sz="0" w:space="0" w:color="auto"/>
                <w:bottom w:val="none" w:sz="0" w:space="0" w:color="auto"/>
                <w:right w:val="none" w:sz="0" w:space="0" w:color="auto"/>
              </w:divBdr>
            </w:div>
          </w:divsChild>
        </w:div>
        <w:div w:id="1285229525">
          <w:marLeft w:val="0"/>
          <w:marRight w:val="0"/>
          <w:marTop w:val="0"/>
          <w:marBottom w:val="150"/>
          <w:divBdr>
            <w:top w:val="none" w:sz="0" w:space="0" w:color="auto"/>
            <w:left w:val="none" w:sz="0" w:space="0" w:color="auto"/>
            <w:bottom w:val="none" w:sz="0" w:space="0" w:color="auto"/>
            <w:right w:val="none" w:sz="0" w:space="0" w:color="auto"/>
          </w:divBdr>
          <w:divsChild>
            <w:div w:id="700013396">
              <w:marLeft w:val="0"/>
              <w:marRight w:val="0"/>
              <w:marTop w:val="0"/>
              <w:marBottom w:val="0"/>
              <w:divBdr>
                <w:top w:val="none" w:sz="0" w:space="0" w:color="auto"/>
                <w:left w:val="none" w:sz="0" w:space="0" w:color="auto"/>
                <w:bottom w:val="none" w:sz="0" w:space="0" w:color="auto"/>
                <w:right w:val="none" w:sz="0" w:space="0" w:color="auto"/>
              </w:divBdr>
              <w:divsChild>
                <w:div w:id="87866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742030">
          <w:marLeft w:val="0"/>
          <w:marRight w:val="0"/>
          <w:marTop w:val="0"/>
          <w:marBottom w:val="150"/>
          <w:divBdr>
            <w:top w:val="none" w:sz="0" w:space="0" w:color="auto"/>
            <w:left w:val="none" w:sz="0" w:space="0" w:color="auto"/>
            <w:bottom w:val="none" w:sz="0" w:space="0" w:color="auto"/>
            <w:right w:val="none" w:sz="0" w:space="0" w:color="auto"/>
          </w:divBdr>
        </w:div>
      </w:divsChild>
    </w:div>
    <w:div w:id="850224451">
      <w:bodyDiv w:val="1"/>
      <w:marLeft w:val="0"/>
      <w:marRight w:val="0"/>
      <w:marTop w:val="0"/>
      <w:marBottom w:val="0"/>
      <w:divBdr>
        <w:top w:val="none" w:sz="0" w:space="0" w:color="auto"/>
        <w:left w:val="none" w:sz="0" w:space="0" w:color="auto"/>
        <w:bottom w:val="none" w:sz="0" w:space="0" w:color="auto"/>
        <w:right w:val="none" w:sz="0" w:space="0" w:color="auto"/>
      </w:divBdr>
      <w:divsChild>
        <w:div w:id="1090656532">
          <w:marLeft w:val="0"/>
          <w:marRight w:val="0"/>
          <w:marTop w:val="0"/>
          <w:marBottom w:val="0"/>
          <w:divBdr>
            <w:top w:val="none" w:sz="0" w:space="0" w:color="auto"/>
            <w:left w:val="none" w:sz="0" w:space="0" w:color="auto"/>
            <w:bottom w:val="none" w:sz="0" w:space="0" w:color="auto"/>
            <w:right w:val="none" w:sz="0" w:space="0" w:color="auto"/>
          </w:divBdr>
        </w:div>
      </w:divsChild>
    </w:div>
    <w:div w:id="850418100">
      <w:bodyDiv w:val="1"/>
      <w:marLeft w:val="0"/>
      <w:marRight w:val="0"/>
      <w:marTop w:val="0"/>
      <w:marBottom w:val="0"/>
      <w:divBdr>
        <w:top w:val="none" w:sz="0" w:space="0" w:color="auto"/>
        <w:left w:val="none" w:sz="0" w:space="0" w:color="auto"/>
        <w:bottom w:val="none" w:sz="0" w:space="0" w:color="auto"/>
        <w:right w:val="none" w:sz="0" w:space="0" w:color="auto"/>
      </w:divBdr>
    </w:div>
    <w:div w:id="850727744">
      <w:bodyDiv w:val="1"/>
      <w:marLeft w:val="0"/>
      <w:marRight w:val="0"/>
      <w:marTop w:val="0"/>
      <w:marBottom w:val="0"/>
      <w:divBdr>
        <w:top w:val="none" w:sz="0" w:space="0" w:color="auto"/>
        <w:left w:val="none" w:sz="0" w:space="0" w:color="auto"/>
        <w:bottom w:val="none" w:sz="0" w:space="0" w:color="auto"/>
        <w:right w:val="none" w:sz="0" w:space="0" w:color="auto"/>
      </w:divBdr>
      <w:divsChild>
        <w:div w:id="816413789">
          <w:marLeft w:val="0"/>
          <w:marRight w:val="0"/>
          <w:marTop w:val="0"/>
          <w:marBottom w:val="0"/>
          <w:divBdr>
            <w:top w:val="none" w:sz="0" w:space="0" w:color="auto"/>
            <w:left w:val="none" w:sz="0" w:space="0" w:color="auto"/>
            <w:bottom w:val="dotted" w:sz="6" w:space="4" w:color="DDDDDD"/>
            <w:right w:val="none" w:sz="0" w:space="0" w:color="auto"/>
          </w:divBdr>
        </w:div>
      </w:divsChild>
    </w:div>
    <w:div w:id="850947378">
      <w:bodyDiv w:val="1"/>
      <w:marLeft w:val="0"/>
      <w:marRight w:val="0"/>
      <w:marTop w:val="0"/>
      <w:marBottom w:val="0"/>
      <w:divBdr>
        <w:top w:val="none" w:sz="0" w:space="0" w:color="auto"/>
        <w:left w:val="none" w:sz="0" w:space="0" w:color="auto"/>
        <w:bottom w:val="none" w:sz="0" w:space="0" w:color="auto"/>
        <w:right w:val="none" w:sz="0" w:space="0" w:color="auto"/>
      </w:divBdr>
      <w:divsChild>
        <w:div w:id="1363435938">
          <w:marLeft w:val="0"/>
          <w:marRight w:val="0"/>
          <w:marTop w:val="0"/>
          <w:marBottom w:val="0"/>
          <w:divBdr>
            <w:top w:val="none" w:sz="0" w:space="0" w:color="auto"/>
            <w:left w:val="none" w:sz="0" w:space="0" w:color="auto"/>
            <w:bottom w:val="dotted" w:sz="6" w:space="4" w:color="DDDDDD"/>
            <w:right w:val="none" w:sz="0" w:space="0" w:color="auto"/>
          </w:divBdr>
          <w:divsChild>
            <w:div w:id="52521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265215">
      <w:bodyDiv w:val="1"/>
      <w:marLeft w:val="0"/>
      <w:marRight w:val="0"/>
      <w:marTop w:val="0"/>
      <w:marBottom w:val="0"/>
      <w:divBdr>
        <w:top w:val="none" w:sz="0" w:space="0" w:color="auto"/>
        <w:left w:val="none" w:sz="0" w:space="0" w:color="auto"/>
        <w:bottom w:val="none" w:sz="0" w:space="0" w:color="auto"/>
        <w:right w:val="none" w:sz="0" w:space="0" w:color="auto"/>
      </w:divBdr>
      <w:divsChild>
        <w:div w:id="133181354">
          <w:marLeft w:val="0"/>
          <w:marRight w:val="0"/>
          <w:marTop w:val="0"/>
          <w:marBottom w:val="0"/>
          <w:divBdr>
            <w:top w:val="none" w:sz="0" w:space="0" w:color="auto"/>
            <w:left w:val="none" w:sz="0" w:space="0" w:color="auto"/>
            <w:bottom w:val="dotted" w:sz="6" w:space="4" w:color="DDDDDD"/>
            <w:right w:val="none" w:sz="0" w:space="0" w:color="auto"/>
          </w:divBdr>
          <w:divsChild>
            <w:div w:id="23705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533658">
      <w:bodyDiv w:val="1"/>
      <w:marLeft w:val="0"/>
      <w:marRight w:val="0"/>
      <w:marTop w:val="0"/>
      <w:marBottom w:val="0"/>
      <w:divBdr>
        <w:top w:val="none" w:sz="0" w:space="0" w:color="auto"/>
        <w:left w:val="none" w:sz="0" w:space="0" w:color="auto"/>
        <w:bottom w:val="none" w:sz="0" w:space="0" w:color="auto"/>
        <w:right w:val="none" w:sz="0" w:space="0" w:color="auto"/>
      </w:divBdr>
      <w:divsChild>
        <w:div w:id="213742104">
          <w:marLeft w:val="0"/>
          <w:marRight w:val="0"/>
          <w:marTop w:val="0"/>
          <w:marBottom w:val="0"/>
          <w:divBdr>
            <w:top w:val="none" w:sz="0" w:space="0" w:color="auto"/>
            <w:left w:val="none" w:sz="0" w:space="0" w:color="auto"/>
            <w:bottom w:val="none" w:sz="0" w:space="0" w:color="auto"/>
            <w:right w:val="none" w:sz="0" w:space="0" w:color="auto"/>
          </w:divBdr>
          <w:divsChild>
            <w:div w:id="788089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52458541">
      <w:bodyDiv w:val="1"/>
      <w:marLeft w:val="0"/>
      <w:marRight w:val="0"/>
      <w:marTop w:val="0"/>
      <w:marBottom w:val="0"/>
      <w:divBdr>
        <w:top w:val="none" w:sz="0" w:space="0" w:color="auto"/>
        <w:left w:val="none" w:sz="0" w:space="0" w:color="auto"/>
        <w:bottom w:val="none" w:sz="0" w:space="0" w:color="auto"/>
        <w:right w:val="none" w:sz="0" w:space="0" w:color="auto"/>
      </w:divBdr>
      <w:divsChild>
        <w:div w:id="1676105779">
          <w:marLeft w:val="0"/>
          <w:marRight w:val="0"/>
          <w:marTop w:val="0"/>
          <w:marBottom w:val="0"/>
          <w:divBdr>
            <w:top w:val="none" w:sz="0" w:space="0" w:color="auto"/>
            <w:left w:val="none" w:sz="0" w:space="0" w:color="auto"/>
            <w:bottom w:val="dotted" w:sz="6" w:space="4" w:color="DDDDDD"/>
            <w:right w:val="none" w:sz="0" w:space="0" w:color="auto"/>
          </w:divBdr>
          <w:divsChild>
            <w:div w:id="102355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836435">
      <w:bodyDiv w:val="1"/>
      <w:marLeft w:val="0"/>
      <w:marRight w:val="0"/>
      <w:marTop w:val="0"/>
      <w:marBottom w:val="0"/>
      <w:divBdr>
        <w:top w:val="none" w:sz="0" w:space="0" w:color="auto"/>
        <w:left w:val="none" w:sz="0" w:space="0" w:color="auto"/>
        <w:bottom w:val="none" w:sz="0" w:space="0" w:color="auto"/>
        <w:right w:val="none" w:sz="0" w:space="0" w:color="auto"/>
      </w:divBdr>
      <w:divsChild>
        <w:div w:id="392970662">
          <w:marLeft w:val="0"/>
          <w:marRight w:val="0"/>
          <w:marTop w:val="0"/>
          <w:marBottom w:val="0"/>
          <w:divBdr>
            <w:top w:val="none" w:sz="0" w:space="8" w:color="auto"/>
            <w:left w:val="none" w:sz="0" w:space="2" w:color="auto"/>
            <w:bottom w:val="single" w:sz="6" w:space="8" w:color="DDDDDD"/>
            <w:right w:val="none" w:sz="0" w:space="0" w:color="auto"/>
          </w:divBdr>
        </w:div>
        <w:div w:id="941763875">
          <w:marLeft w:val="0"/>
          <w:marRight w:val="0"/>
          <w:marTop w:val="150"/>
          <w:marBottom w:val="0"/>
          <w:divBdr>
            <w:top w:val="none" w:sz="0" w:space="0" w:color="auto"/>
            <w:left w:val="none" w:sz="0" w:space="0" w:color="auto"/>
            <w:bottom w:val="none" w:sz="0" w:space="0" w:color="auto"/>
            <w:right w:val="none" w:sz="0" w:space="0" w:color="auto"/>
          </w:divBdr>
          <w:divsChild>
            <w:div w:id="58407196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852963384">
      <w:bodyDiv w:val="1"/>
      <w:marLeft w:val="0"/>
      <w:marRight w:val="0"/>
      <w:marTop w:val="0"/>
      <w:marBottom w:val="0"/>
      <w:divBdr>
        <w:top w:val="none" w:sz="0" w:space="0" w:color="auto"/>
        <w:left w:val="none" w:sz="0" w:space="0" w:color="auto"/>
        <w:bottom w:val="none" w:sz="0" w:space="0" w:color="auto"/>
        <w:right w:val="none" w:sz="0" w:space="0" w:color="auto"/>
      </w:divBdr>
      <w:divsChild>
        <w:div w:id="683820121">
          <w:marLeft w:val="0"/>
          <w:marRight w:val="0"/>
          <w:marTop w:val="0"/>
          <w:marBottom w:val="0"/>
          <w:divBdr>
            <w:top w:val="none" w:sz="0" w:space="0" w:color="auto"/>
            <w:left w:val="none" w:sz="0" w:space="0" w:color="auto"/>
            <w:bottom w:val="dotted" w:sz="6" w:space="4" w:color="DDDDDD"/>
            <w:right w:val="none" w:sz="0" w:space="0" w:color="auto"/>
          </w:divBdr>
          <w:divsChild>
            <w:div w:id="193635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147896">
      <w:bodyDiv w:val="1"/>
      <w:marLeft w:val="0"/>
      <w:marRight w:val="0"/>
      <w:marTop w:val="0"/>
      <w:marBottom w:val="0"/>
      <w:divBdr>
        <w:top w:val="none" w:sz="0" w:space="0" w:color="auto"/>
        <w:left w:val="none" w:sz="0" w:space="0" w:color="auto"/>
        <w:bottom w:val="none" w:sz="0" w:space="0" w:color="auto"/>
        <w:right w:val="none" w:sz="0" w:space="0" w:color="auto"/>
      </w:divBdr>
      <w:divsChild>
        <w:div w:id="574052703">
          <w:marLeft w:val="0"/>
          <w:marRight w:val="0"/>
          <w:marTop w:val="0"/>
          <w:marBottom w:val="150"/>
          <w:divBdr>
            <w:top w:val="none" w:sz="0" w:space="0" w:color="auto"/>
            <w:left w:val="none" w:sz="0" w:space="0" w:color="auto"/>
            <w:bottom w:val="none" w:sz="0" w:space="0" w:color="auto"/>
            <w:right w:val="none" w:sz="0" w:space="0" w:color="auto"/>
          </w:divBdr>
        </w:div>
      </w:divsChild>
    </w:div>
    <w:div w:id="853303214">
      <w:bodyDiv w:val="1"/>
      <w:marLeft w:val="0"/>
      <w:marRight w:val="0"/>
      <w:marTop w:val="0"/>
      <w:marBottom w:val="0"/>
      <w:divBdr>
        <w:top w:val="none" w:sz="0" w:space="0" w:color="auto"/>
        <w:left w:val="none" w:sz="0" w:space="0" w:color="auto"/>
        <w:bottom w:val="none" w:sz="0" w:space="0" w:color="auto"/>
        <w:right w:val="none" w:sz="0" w:space="0" w:color="auto"/>
      </w:divBdr>
    </w:div>
    <w:div w:id="853416812">
      <w:bodyDiv w:val="1"/>
      <w:marLeft w:val="0"/>
      <w:marRight w:val="0"/>
      <w:marTop w:val="0"/>
      <w:marBottom w:val="0"/>
      <w:divBdr>
        <w:top w:val="none" w:sz="0" w:space="0" w:color="auto"/>
        <w:left w:val="none" w:sz="0" w:space="0" w:color="auto"/>
        <w:bottom w:val="none" w:sz="0" w:space="0" w:color="auto"/>
        <w:right w:val="none" w:sz="0" w:space="0" w:color="auto"/>
      </w:divBdr>
      <w:divsChild>
        <w:div w:id="120929609">
          <w:marLeft w:val="0"/>
          <w:marRight w:val="0"/>
          <w:marTop w:val="0"/>
          <w:marBottom w:val="0"/>
          <w:divBdr>
            <w:top w:val="none" w:sz="0" w:space="0" w:color="auto"/>
            <w:left w:val="none" w:sz="0" w:space="0" w:color="auto"/>
            <w:bottom w:val="none" w:sz="0" w:space="0" w:color="auto"/>
            <w:right w:val="none" w:sz="0" w:space="0" w:color="auto"/>
          </w:divBdr>
          <w:divsChild>
            <w:div w:id="2001738570">
              <w:marLeft w:val="0"/>
              <w:marRight w:val="0"/>
              <w:marTop w:val="0"/>
              <w:marBottom w:val="0"/>
              <w:divBdr>
                <w:top w:val="none" w:sz="0" w:space="0" w:color="auto"/>
                <w:left w:val="none" w:sz="0" w:space="0" w:color="auto"/>
                <w:bottom w:val="none" w:sz="0" w:space="0" w:color="auto"/>
                <w:right w:val="none" w:sz="0" w:space="0" w:color="auto"/>
              </w:divBdr>
            </w:div>
          </w:divsChild>
        </w:div>
        <w:div w:id="212664403">
          <w:marLeft w:val="0"/>
          <w:marRight w:val="0"/>
          <w:marTop w:val="0"/>
          <w:marBottom w:val="150"/>
          <w:divBdr>
            <w:top w:val="none" w:sz="0" w:space="0" w:color="auto"/>
            <w:left w:val="none" w:sz="0" w:space="0" w:color="auto"/>
            <w:bottom w:val="none" w:sz="0" w:space="0" w:color="auto"/>
            <w:right w:val="none" w:sz="0" w:space="0" w:color="auto"/>
          </w:divBdr>
        </w:div>
        <w:div w:id="1483279288">
          <w:marLeft w:val="0"/>
          <w:marRight w:val="0"/>
          <w:marTop w:val="0"/>
          <w:marBottom w:val="150"/>
          <w:divBdr>
            <w:top w:val="none" w:sz="0" w:space="0" w:color="auto"/>
            <w:left w:val="none" w:sz="0" w:space="0" w:color="auto"/>
            <w:bottom w:val="none" w:sz="0" w:space="0" w:color="auto"/>
            <w:right w:val="none" w:sz="0" w:space="0" w:color="auto"/>
          </w:divBdr>
          <w:divsChild>
            <w:div w:id="167021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763696">
      <w:bodyDiv w:val="1"/>
      <w:marLeft w:val="0"/>
      <w:marRight w:val="0"/>
      <w:marTop w:val="0"/>
      <w:marBottom w:val="0"/>
      <w:divBdr>
        <w:top w:val="none" w:sz="0" w:space="0" w:color="auto"/>
        <w:left w:val="none" w:sz="0" w:space="0" w:color="auto"/>
        <w:bottom w:val="none" w:sz="0" w:space="0" w:color="auto"/>
        <w:right w:val="none" w:sz="0" w:space="0" w:color="auto"/>
      </w:divBdr>
      <w:divsChild>
        <w:div w:id="2094620056">
          <w:marLeft w:val="0"/>
          <w:marRight w:val="0"/>
          <w:marTop w:val="0"/>
          <w:marBottom w:val="0"/>
          <w:divBdr>
            <w:top w:val="none" w:sz="0" w:space="0" w:color="auto"/>
            <w:left w:val="none" w:sz="0" w:space="0" w:color="auto"/>
            <w:bottom w:val="none" w:sz="0" w:space="0" w:color="auto"/>
            <w:right w:val="none" w:sz="0" w:space="0" w:color="auto"/>
          </w:divBdr>
          <w:divsChild>
            <w:div w:id="989479704">
              <w:marLeft w:val="0"/>
              <w:marRight w:val="0"/>
              <w:marTop w:val="0"/>
              <w:marBottom w:val="0"/>
              <w:divBdr>
                <w:top w:val="none" w:sz="0" w:space="0" w:color="auto"/>
                <w:left w:val="none" w:sz="0" w:space="0" w:color="auto"/>
                <w:bottom w:val="none" w:sz="0" w:space="0" w:color="auto"/>
                <w:right w:val="none" w:sz="0" w:space="0" w:color="auto"/>
              </w:divBdr>
              <w:divsChild>
                <w:div w:id="405342637">
                  <w:marLeft w:val="0"/>
                  <w:marRight w:val="0"/>
                  <w:marTop w:val="0"/>
                  <w:marBottom w:val="0"/>
                  <w:divBdr>
                    <w:top w:val="none" w:sz="0" w:space="0" w:color="auto"/>
                    <w:left w:val="none" w:sz="0" w:space="0" w:color="auto"/>
                    <w:bottom w:val="none" w:sz="0" w:space="0" w:color="auto"/>
                    <w:right w:val="none" w:sz="0" w:space="0" w:color="auto"/>
                  </w:divBdr>
                  <w:divsChild>
                    <w:div w:id="8261193">
                      <w:marLeft w:val="0"/>
                      <w:marRight w:val="0"/>
                      <w:marTop w:val="0"/>
                      <w:marBottom w:val="0"/>
                      <w:divBdr>
                        <w:top w:val="none" w:sz="0" w:space="0" w:color="auto"/>
                        <w:left w:val="none" w:sz="0" w:space="0" w:color="auto"/>
                        <w:bottom w:val="none" w:sz="0" w:space="0" w:color="auto"/>
                        <w:right w:val="none" w:sz="0" w:space="0" w:color="auto"/>
                      </w:divBdr>
                      <w:divsChild>
                        <w:div w:id="2092583210">
                          <w:marLeft w:val="0"/>
                          <w:marRight w:val="0"/>
                          <w:marTop w:val="0"/>
                          <w:marBottom w:val="0"/>
                          <w:divBdr>
                            <w:top w:val="none" w:sz="0" w:space="0" w:color="auto"/>
                            <w:left w:val="none" w:sz="0" w:space="0" w:color="auto"/>
                            <w:bottom w:val="none" w:sz="0" w:space="0" w:color="auto"/>
                            <w:right w:val="none" w:sz="0" w:space="0" w:color="auto"/>
                          </w:divBdr>
                          <w:divsChild>
                            <w:div w:id="1874028131">
                              <w:marLeft w:val="0"/>
                              <w:marRight w:val="0"/>
                              <w:marTop w:val="0"/>
                              <w:marBottom w:val="0"/>
                              <w:divBdr>
                                <w:top w:val="none" w:sz="0" w:space="0" w:color="auto"/>
                                <w:left w:val="none" w:sz="0" w:space="0" w:color="auto"/>
                                <w:bottom w:val="none" w:sz="0" w:space="0" w:color="auto"/>
                                <w:right w:val="none" w:sz="0" w:space="0" w:color="auto"/>
                              </w:divBdr>
                              <w:divsChild>
                                <w:div w:id="137456891">
                                  <w:marLeft w:val="0"/>
                                  <w:marRight w:val="0"/>
                                  <w:marTop w:val="0"/>
                                  <w:marBottom w:val="0"/>
                                  <w:divBdr>
                                    <w:top w:val="none" w:sz="0" w:space="0" w:color="auto"/>
                                    <w:left w:val="none" w:sz="0" w:space="0" w:color="auto"/>
                                    <w:bottom w:val="none" w:sz="0" w:space="0" w:color="auto"/>
                                    <w:right w:val="none" w:sz="0" w:space="0" w:color="auto"/>
                                  </w:divBdr>
                                  <w:divsChild>
                                    <w:div w:id="683089402">
                                      <w:marLeft w:val="0"/>
                                      <w:marRight w:val="0"/>
                                      <w:marTop w:val="0"/>
                                      <w:marBottom w:val="0"/>
                                      <w:divBdr>
                                        <w:top w:val="none" w:sz="0" w:space="0" w:color="auto"/>
                                        <w:left w:val="none" w:sz="0" w:space="0" w:color="auto"/>
                                        <w:bottom w:val="none" w:sz="0" w:space="0" w:color="auto"/>
                                        <w:right w:val="none" w:sz="0" w:space="0" w:color="auto"/>
                                      </w:divBdr>
                                      <w:divsChild>
                                        <w:div w:id="162608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4001661">
      <w:bodyDiv w:val="1"/>
      <w:marLeft w:val="0"/>
      <w:marRight w:val="0"/>
      <w:marTop w:val="0"/>
      <w:marBottom w:val="0"/>
      <w:divBdr>
        <w:top w:val="none" w:sz="0" w:space="0" w:color="auto"/>
        <w:left w:val="none" w:sz="0" w:space="0" w:color="auto"/>
        <w:bottom w:val="none" w:sz="0" w:space="0" w:color="auto"/>
        <w:right w:val="none" w:sz="0" w:space="0" w:color="auto"/>
      </w:divBdr>
      <w:divsChild>
        <w:div w:id="1685085425">
          <w:marLeft w:val="0"/>
          <w:marRight w:val="0"/>
          <w:marTop w:val="0"/>
          <w:marBottom w:val="0"/>
          <w:divBdr>
            <w:top w:val="none" w:sz="0" w:space="0" w:color="auto"/>
            <w:left w:val="none" w:sz="0" w:space="0" w:color="auto"/>
            <w:bottom w:val="none" w:sz="0" w:space="0" w:color="auto"/>
            <w:right w:val="none" w:sz="0" w:space="0" w:color="auto"/>
          </w:divBdr>
        </w:div>
      </w:divsChild>
    </w:div>
    <w:div w:id="854267926">
      <w:bodyDiv w:val="1"/>
      <w:marLeft w:val="0"/>
      <w:marRight w:val="0"/>
      <w:marTop w:val="0"/>
      <w:marBottom w:val="0"/>
      <w:divBdr>
        <w:top w:val="none" w:sz="0" w:space="0" w:color="auto"/>
        <w:left w:val="none" w:sz="0" w:space="0" w:color="auto"/>
        <w:bottom w:val="none" w:sz="0" w:space="0" w:color="auto"/>
        <w:right w:val="none" w:sz="0" w:space="0" w:color="auto"/>
      </w:divBdr>
      <w:divsChild>
        <w:div w:id="1614248920">
          <w:marLeft w:val="0"/>
          <w:marRight w:val="0"/>
          <w:marTop w:val="0"/>
          <w:marBottom w:val="0"/>
          <w:divBdr>
            <w:top w:val="none" w:sz="0" w:space="0" w:color="auto"/>
            <w:left w:val="none" w:sz="0" w:space="0" w:color="auto"/>
            <w:bottom w:val="none" w:sz="0" w:space="0" w:color="auto"/>
            <w:right w:val="none" w:sz="0" w:space="0" w:color="auto"/>
          </w:divBdr>
          <w:divsChild>
            <w:div w:id="466969160">
              <w:marLeft w:val="0"/>
              <w:marRight w:val="0"/>
              <w:marTop w:val="0"/>
              <w:marBottom w:val="0"/>
              <w:divBdr>
                <w:top w:val="none" w:sz="0" w:space="0" w:color="auto"/>
                <w:left w:val="none" w:sz="0" w:space="0" w:color="auto"/>
                <w:bottom w:val="none" w:sz="0" w:space="0" w:color="auto"/>
                <w:right w:val="none" w:sz="0" w:space="0" w:color="auto"/>
              </w:divBdr>
            </w:div>
          </w:divsChild>
        </w:div>
        <w:div w:id="1879733770">
          <w:marLeft w:val="0"/>
          <w:marRight w:val="0"/>
          <w:marTop w:val="150"/>
          <w:marBottom w:val="0"/>
          <w:divBdr>
            <w:top w:val="none" w:sz="0" w:space="0" w:color="auto"/>
            <w:left w:val="none" w:sz="0" w:space="0" w:color="auto"/>
            <w:bottom w:val="none" w:sz="0" w:space="0" w:color="auto"/>
            <w:right w:val="none" w:sz="0" w:space="0" w:color="auto"/>
          </w:divBdr>
          <w:divsChild>
            <w:div w:id="1787115150">
              <w:marLeft w:val="0"/>
              <w:marRight w:val="0"/>
              <w:marTop w:val="0"/>
              <w:marBottom w:val="0"/>
              <w:divBdr>
                <w:top w:val="none" w:sz="0" w:space="0" w:color="auto"/>
                <w:left w:val="none" w:sz="0" w:space="0" w:color="auto"/>
                <w:bottom w:val="none" w:sz="0" w:space="0" w:color="auto"/>
                <w:right w:val="none" w:sz="0" w:space="0" w:color="auto"/>
              </w:divBdr>
              <w:divsChild>
                <w:div w:id="1462845190">
                  <w:marLeft w:val="75"/>
                  <w:marRight w:val="0"/>
                  <w:marTop w:val="0"/>
                  <w:marBottom w:val="0"/>
                  <w:divBdr>
                    <w:top w:val="none" w:sz="0" w:space="0" w:color="auto"/>
                    <w:left w:val="none" w:sz="0" w:space="0" w:color="auto"/>
                    <w:bottom w:val="none" w:sz="0" w:space="0" w:color="auto"/>
                    <w:right w:val="none" w:sz="0" w:space="0" w:color="auto"/>
                  </w:divBdr>
                </w:div>
                <w:div w:id="202382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577433">
      <w:bodyDiv w:val="1"/>
      <w:marLeft w:val="0"/>
      <w:marRight w:val="0"/>
      <w:marTop w:val="0"/>
      <w:marBottom w:val="0"/>
      <w:divBdr>
        <w:top w:val="none" w:sz="0" w:space="0" w:color="auto"/>
        <w:left w:val="none" w:sz="0" w:space="0" w:color="auto"/>
        <w:bottom w:val="none" w:sz="0" w:space="0" w:color="auto"/>
        <w:right w:val="none" w:sz="0" w:space="0" w:color="auto"/>
      </w:divBdr>
      <w:divsChild>
        <w:div w:id="1021709931">
          <w:marLeft w:val="0"/>
          <w:marRight w:val="0"/>
          <w:marTop w:val="0"/>
          <w:marBottom w:val="0"/>
          <w:divBdr>
            <w:top w:val="none" w:sz="0" w:space="0" w:color="auto"/>
            <w:left w:val="none" w:sz="0" w:space="0" w:color="auto"/>
            <w:bottom w:val="dotted" w:sz="6" w:space="4" w:color="DDDDDD"/>
            <w:right w:val="none" w:sz="0" w:space="0" w:color="auto"/>
          </w:divBdr>
          <w:divsChild>
            <w:div w:id="143701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658950">
      <w:bodyDiv w:val="1"/>
      <w:marLeft w:val="0"/>
      <w:marRight w:val="0"/>
      <w:marTop w:val="0"/>
      <w:marBottom w:val="0"/>
      <w:divBdr>
        <w:top w:val="none" w:sz="0" w:space="0" w:color="auto"/>
        <w:left w:val="none" w:sz="0" w:space="0" w:color="auto"/>
        <w:bottom w:val="none" w:sz="0" w:space="0" w:color="auto"/>
        <w:right w:val="none" w:sz="0" w:space="0" w:color="auto"/>
      </w:divBdr>
    </w:div>
    <w:div w:id="855730829">
      <w:bodyDiv w:val="1"/>
      <w:marLeft w:val="0"/>
      <w:marRight w:val="0"/>
      <w:marTop w:val="0"/>
      <w:marBottom w:val="0"/>
      <w:divBdr>
        <w:top w:val="none" w:sz="0" w:space="0" w:color="auto"/>
        <w:left w:val="none" w:sz="0" w:space="0" w:color="auto"/>
        <w:bottom w:val="none" w:sz="0" w:space="0" w:color="auto"/>
        <w:right w:val="none" w:sz="0" w:space="0" w:color="auto"/>
      </w:divBdr>
      <w:divsChild>
        <w:div w:id="197475887">
          <w:marLeft w:val="0"/>
          <w:marRight w:val="0"/>
          <w:marTop w:val="0"/>
          <w:marBottom w:val="0"/>
          <w:divBdr>
            <w:top w:val="none" w:sz="0" w:space="0" w:color="auto"/>
            <w:left w:val="none" w:sz="0" w:space="0" w:color="auto"/>
            <w:bottom w:val="none" w:sz="0" w:space="0" w:color="auto"/>
            <w:right w:val="none" w:sz="0" w:space="0" w:color="auto"/>
          </w:divBdr>
          <w:divsChild>
            <w:div w:id="1161308887">
              <w:marLeft w:val="0"/>
              <w:marRight w:val="0"/>
              <w:marTop w:val="0"/>
              <w:marBottom w:val="0"/>
              <w:divBdr>
                <w:top w:val="none" w:sz="0" w:space="0" w:color="auto"/>
                <w:left w:val="none" w:sz="0" w:space="0" w:color="auto"/>
                <w:bottom w:val="none" w:sz="0" w:space="0" w:color="auto"/>
                <w:right w:val="none" w:sz="0" w:space="0" w:color="auto"/>
              </w:divBdr>
            </w:div>
          </w:divsChild>
        </w:div>
        <w:div w:id="1446384316">
          <w:marLeft w:val="0"/>
          <w:marRight w:val="0"/>
          <w:marTop w:val="0"/>
          <w:marBottom w:val="150"/>
          <w:divBdr>
            <w:top w:val="none" w:sz="0" w:space="0" w:color="auto"/>
            <w:left w:val="none" w:sz="0" w:space="0" w:color="auto"/>
            <w:bottom w:val="none" w:sz="0" w:space="0" w:color="auto"/>
            <w:right w:val="none" w:sz="0" w:space="0" w:color="auto"/>
          </w:divBdr>
        </w:div>
        <w:div w:id="1892035212">
          <w:marLeft w:val="0"/>
          <w:marRight w:val="0"/>
          <w:marTop w:val="0"/>
          <w:marBottom w:val="150"/>
          <w:divBdr>
            <w:top w:val="none" w:sz="0" w:space="0" w:color="auto"/>
            <w:left w:val="none" w:sz="0" w:space="0" w:color="auto"/>
            <w:bottom w:val="none" w:sz="0" w:space="0" w:color="auto"/>
            <w:right w:val="none" w:sz="0" w:space="0" w:color="auto"/>
          </w:divBdr>
          <w:divsChild>
            <w:div w:id="2124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851599">
      <w:bodyDiv w:val="1"/>
      <w:marLeft w:val="0"/>
      <w:marRight w:val="0"/>
      <w:marTop w:val="0"/>
      <w:marBottom w:val="0"/>
      <w:divBdr>
        <w:top w:val="none" w:sz="0" w:space="0" w:color="auto"/>
        <w:left w:val="none" w:sz="0" w:space="0" w:color="auto"/>
        <w:bottom w:val="none" w:sz="0" w:space="0" w:color="auto"/>
        <w:right w:val="none" w:sz="0" w:space="0" w:color="auto"/>
      </w:divBdr>
      <w:divsChild>
        <w:div w:id="1695879320">
          <w:marLeft w:val="0"/>
          <w:marRight w:val="0"/>
          <w:marTop w:val="0"/>
          <w:marBottom w:val="0"/>
          <w:divBdr>
            <w:top w:val="none" w:sz="0" w:space="0" w:color="auto"/>
            <w:left w:val="none" w:sz="0" w:space="0" w:color="auto"/>
            <w:bottom w:val="dotted" w:sz="6" w:space="4" w:color="DDDDDD"/>
            <w:right w:val="none" w:sz="0" w:space="0" w:color="auto"/>
          </w:divBdr>
          <w:divsChild>
            <w:div w:id="148211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20762">
      <w:bodyDiv w:val="1"/>
      <w:marLeft w:val="0"/>
      <w:marRight w:val="0"/>
      <w:marTop w:val="0"/>
      <w:marBottom w:val="0"/>
      <w:divBdr>
        <w:top w:val="none" w:sz="0" w:space="0" w:color="auto"/>
        <w:left w:val="none" w:sz="0" w:space="0" w:color="auto"/>
        <w:bottom w:val="none" w:sz="0" w:space="0" w:color="auto"/>
        <w:right w:val="none" w:sz="0" w:space="0" w:color="auto"/>
      </w:divBdr>
      <w:divsChild>
        <w:div w:id="989938264">
          <w:marLeft w:val="0"/>
          <w:marRight w:val="0"/>
          <w:marTop w:val="0"/>
          <w:marBottom w:val="0"/>
          <w:divBdr>
            <w:top w:val="none" w:sz="0" w:space="0" w:color="auto"/>
            <w:left w:val="none" w:sz="0" w:space="0" w:color="auto"/>
            <w:bottom w:val="none" w:sz="0" w:space="0" w:color="auto"/>
            <w:right w:val="none" w:sz="0" w:space="0" w:color="auto"/>
          </w:divBdr>
        </w:div>
      </w:divsChild>
    </w:div>
    <w:div w:id="856581487">
      <w:bodyDiv w:val="1"/>
      <w:marLeft w:val="0"/>
      <w:marRight w:val="0"/>
      <w:marTop w:val="0"/>
      <w:marBottom w:val="0"/>
      <w:divBdr>
        <w:top w:val="none" w:sz="0" w:space="0" w:color="auto"/>
        <w:left w:val="none" w:sz="0" w:space="0" w:color="auto"/>
        <w:bottom w:val="none" w:sz="0" w:space="0" w:color="auto"/>
        <w:right w:val="none" w:sz="0" w:space="0" w:color="auto"/>
      </w:divBdr>
    </w:div>
    <w:div w:id="856892389">
      <w:bodyDiv w:val="1"/>
      <w:marLeft w:val="0"/>
      <w:marRight w:val="0"/>
      <w:marTop w:val="0"/>
      <w:marBottom w:val="0"/>
      <w:divBdr>
        <w:top w:val="none" w:sz="0" w:space="0" w:color="auto"/>
        <w:left w:val="none" w:sz="0" w:space="0" w:color="auto"/>
        <w:bottom w:val="none" w:sz="0" w:space="0" w:color="auto"/>
        <w:right w:val="none" w:sz="0" w:space="0" w:color="auto"/>
      </w:divBdr>
      <w:divsChild>
        <w:div w:id="1611663215">
          <w:marLeft w:val="0"/>
          <w:marRight w:val="0"/>
          <w:marTop w:val="0"/>
          <w:marBottom w:val="150"/>
          <w:divBdr>
            <w:top w:val="none" w:sz="0" w:space="0" w:color="auto"/>
            <w:left w:val="none" w:sz="0" w:space="0" w:color="auto"/>
            <w:bottom w:val="none" w:sz="0" w:space="0" w:color="auto"/>
            <w:right w:val="none" w:sz="0" w:space="0" w:color="auto"/>
          </w:divBdr>
          <w:divsChild>
            <w:div w:id="455371632">
              <w:marLeft w:val="0"/>
              <w:marRight w:val="0"/>
              <w:marTop w:val="0"/>
              <w:marBottom w:val="0"/>
              <w:divBdr>
                <w:top w:val="none" w:sz="0" w:space="0" w:color="auto"/>
                <w:left w:val="none" w:sz="0" w:space="0" w:color="auto"/>
                <w:bottom w:val="none" w:sz="0" w:space="0" w:color="auto"/>
                <w:right w:val="none" w:sz="0" w:space="0" w:color="auto"/>
              </w:divBdr>
            </w:div>
          </w:divsChild>
        </w:div>
        <w:div w:id="2144351073">
          <w:marLeft w:val="0"/>
          <w:marRight w:val="0"/>
          <w:marTop w:val="0"/>
          <w:marBottom w:val="0"/>
          <w:divBdr>
            <w:top w:val="none" w:sz="0" w:space="0" w:color="auto"/>
            <w:left w:val="none" w:sz="0" w:space="0" w:color="auto"/>
            <w:bottom w:val="none" w:sz="0" w:space="0" w:color="auto"/>
            <w:right w:val="none" w:sz="0" w:space="0" w:color="auto"/>
          </w:divBdr>
          <w:divsChild>
            <w:div w:id="864364125">
              <w:marLeft w:val="0"/>
              <w:marRight w:val="0"/>
              <w:marTop w:val="0"/>
              <w:marBottom w:val="150"/>
              <w:divBdr>
                <w:top w:val="none" w:sz="0" w:space="0" w:color="auto"/>
                <w:left w:val="none" w:sz="0" w:space="0" w:color="auto"/>
                <w:bottom w:val="none" w:sz="0" w:space="0" w:color="auto"/>
                <w:right w:val="none" w:sz="0" w:space="0" w:color="auto"/>
              </w:divBdr>
            </w:div>
            <w:div w:id="114893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155904">
      <w:bodyDiv w:val="1"/>
      <w:marLeft w:val="0"/>
      <w:marRight w:val="0"/>
      <w:marTop w:val="0"/>
      <w:marBottom w:val="0"/>
      <w:divBdr>
        <w:top w:val="none" w:sz="0" w:space="0" w:color="auto"/>
        <w:left w:val="none" w:sz="0" w:space="0" w:color="auto"/>
        <w:bottom w:val="none" w:sz="0" w:space="0" w:color="auto"/>
        <w:right w:val="none" w:sz="0" w:space="0" w:color="auto"/>
      </w:divBdr>
      <w:divsChild>
        <w:div w:id="1995521723">
          <w:marLeft w:val="0"/>
          <w:marRight w:val="0"/>
          <w:marTop w:val="150"/>
          <w:marBottom w:val="0"/>
          <w:divBdr>
            <w:top w:val="none" w:sz="0" w:space="0" w:color="auto"/>
            <w:left w:val="none" w:sz="0" w:space="0" w:color="auto"/>
            <w:bottom w:val="none" w:sz="0" w:space="0" w:color="auto"/>
            <w:right w:val="none" w:sz="0" w:space="0" w:color="auto"/>
          </w:divBdr>
          <w:divsChild>
            <w:div w:id="880291453">
              <w:marLeft w:val="0"/>
              <w:marRight w:val="150"/>
              <w:marTop w:val="0"/>
              <w:marBottom w:val="0"/>
              <w:divBdr>
                <w:top w:val="none" w:sz="0" w:space="0" w:color="auto"/>
                <w:left w:val="none" w:sz="0" w:space="0" w:color="auto"/>
                <w:bottom w:val="none" w:sz="0" w:space="0" w:color="auto"/>
                <w:right w:val="none" w:sz="0" w:space="0" w:color="auto"/>
              </w:divBdr>
              <w:divsChild>
                <w:div w:id="545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750565">
          <w:marLeft w:val="0"/>
          <w:marRight w:val="0"/>
          <w:marTop w:val="0"/>
          <w:marBottom w:val="0"/>
          <w:divBdr>
            <w:top w:val="none" w:sz="0" w:space="8" w:color="auto"/>
            <w:left w:val="none" w:sz="0" w:space="2" w:color="auto"/>
            <w:bottom w:val="single" w:sz="6" w:space="8" w:color="DDDDDD"/>
            <w:right w:val="none" w:sz="0" w:space="0" w:color="auto"/>
          </w:divBdr>
        </w:div>
      </w:divsChild>
    </w:div>
    <w:div w:id="857351989">
      <w:bodyDiv w:val="1"/>
      <w:marLeft w:val="0"/>
      <w:marRight w:val="0"/>
      <w:marTop w:val="0"/>
      <w:marBottom w:val="0"/>
      <w:divBdr>
        <w:top w:val="none" w:sz="0" w:space="0" w:color="auto"/>
        <w:left w:val="none" w:sz="0" w:space="0" w:color="auto"/>
        <w:bottom w:val="none" w:sz="0" w:space="0" w:color="auto"/>
        <w:right w:val="none" w:sz="0" w:space="0" w:color="auto"/>
      </w:divBdr>
    </w:div>
    <w:div w:id="857549514">
      <w:bodyDiv w:val="1"/>
      <w:marLeft w:val="0"/>
      <w:marRight w:val="0"/>
      <w:marTop w:val="0"/>
      <w:marBottom w:val="0"/>
      <w:divBdr>
        <w:top w:val="none" w:sz="0" w:space="0" w:color="auto"/>
        <w:left w:val="none" w:sz="0" w:space="0" w:color="auto"/>
        <w:bottom w:val="none" w:sz="0" w:space="0" w:color="auto"/>
        <w:right w:val="none" w:sz="0" w:space="0" w:color="auto"/>
      </w:divBdr>
      <w:divsChild>
        <w:div w:id="1493369354">
          <w:marLeft w:val="0"/>
          <w:marRight w:val="0"/>
          <w:marTop w:val="0"/>
          <w:marBottom w:val="150"/>
          <w:divBdr>
            <w:top w:val="none" w:sz="0" w:space="0" w:color="auto"/>
            <w:left w:val="none" w:sz="0" w:space="0" w:color="auto"/>
            <w:bottom w:val="none" w:sz="0" w:space="0" w:color="auto"/>
            <w:right w:val="none" w:sz="0" w:space="0" w:color="auto"/>
          </w:divBdr>
          <w:divsChild>
            <w:div w:id="71125823">
              <w:marLeft w:val="0"/>
              <w:marRight w:val="0"/>
              <w:marTop w:val="0"/>
              <w:marBottom w:val="0"/>
              <w:divBdr>
                <w:top w:val="none" w:sz="0" w:space="0" w:color="auto"/>
                <w:left w:val="none" w:sz="0" w:space="0" w:color="auto"/>
                <w:bottom w:val="none" w:sz="0" w:space="0" w:color="auto"/>
                <w:right w:val="none" w:sz="0" w:space="0" w:color="auto"/>
              </w:divBdr>
              <w:divsChild>
                <w:div w:id="468596423">
                  <w:marLeft w:val="0"/>
                  <w:marRight w:val="0"/>
                  <w:marTop w:val="0"/>
                  <w:marBottom w:val="0"/>
                  <w:divBdr>
                    <w:top w:val="none" w:sz="0" w:space="0" w:color="auto"/>
                    <w:left w:val="none" w:sz="0" w:space="0" w:color="auto"/>
                    <w:bottom w:val="none" w:sz="0" w:space="0" w:color="auto"/>
                    <w:right w:val="none" w:sz="0" w:space="0" w:color="auto"/>
                  </w:divBdr>
                  <w:divsChild>
                    <w:div w:id="78604229">
                      <w:marLeft w:val="0"/>
                      <w:marRight w:val="150"/>
                      <w:marTop w:val="0"/>
                      <w:marBottom w:val="0"/>
                      <w:divBdr>
                        <w:top w:val="none" w:sz="0" w:space="0" w:color="auto"/>
                        <w:left w:val="none" w:sz="0" w:space="0" w:color="auto"/>
                        <w:bottom w:val="none" w:sz="0" w:space="0" w:color="auto"/>
                        <w:right w:val="none" w:sz="0" w:space="0" w:color="auto"/>
                      </w:divBdr>
                      <w:divsChild>
                        <w:div w:id="211112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275028">
          <w:marLeft w:val="0"/>
          <w:marRight w:val="0"/>
          <w:marTop w:val="0"/>
          <w:marBottom w:val="150"/>
          <w:divBdr>
            <w:top w:val="none" w:sz="0" w:space="0" w:color="auto"/>
            <w:left w:val="none" w:sz="0" w:space="0" w:color="auto"/>
            <w:bottom w:val="none" w:sz="0" w:space="0" w:color="auto"/>
            <w:right w:val="none" w:sz="0" w:space="0" w:color="auto"/>
          </w:divBdr>
        </w:div>
        <w:div w:id="1828398441">
          <w:marLeft w:val="0"/>
          <w:marRight w:val="0"/>
          <w:marTop w:val="0"/>
          <w:marBottom w:val="0"/>
          <w:divBdr>
            <w:top w:val="none" w:sz="0" w:space="0" w:color="auto"/>
            <w:left w:val="none" w:sz="0" w:space="0" w:color="auto"/>
            <w:bottom w:val="none" w:sz="0" w:space="0" w:color="auto"/>
            <w:right w:val="none" w:sz="0" w:space="0" w:color="auto"/>
          </w:divBdr>
          <w:divsChild>
            <w:div w:id="13672732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57743343">
      <w:bodyDiv w:val="1"/>
      <w:marLeft w:val="0"/>
      <w:marRight w:val="0"/>
      <w:marTop w:val="0"/>
      <w:marBottom w:val="0"/>
      <w:divBdr>
        <w:top w:val="none" w:sz="0" w:space="0" w:color="auto"/>
        <w:left w:val="none" w:sz="0" w:space="0" w:color="auto"/>
        <w:bottom w:val="none" w:sz="0" w:space="0" w:color="auto"/>
        <w:right w:val="none" w:sz="0" w:space="0" w:color="auto"/>
      </w:divBdr>
      <w:divsChild>
        <w:div w:id="323357051">
          <w:marLeft w:val="0"/>
          <w:marRight w:val="0"/>
          <w:marTop w:val="0"/>
          <w:marBottom w:val="150"/>
          <w:divBdr>
            <w:top w:val="none" w:sz="0" w:space="0" w:color="auto"/>
            <w:left w:val="none" w:sz="0" w:space="0" w:color="auto"/>
            <w:bottom w:val="none" w:sz="0" w:space="0" w:color="auto"/>
            <w:right w:val="none" w:sz="0" w:space="0" w:color="auto"/>
          </w:divBdr>
          <w:divsChild>
            <w:div w:id="5064633">
              <w:marLeft w:val="0"/>
              <w:marRight w:val="0"/>
              <w:marTop w:val="0"/>
              <w:marBottom w:val="0"/>
              <w:divBdr>
                <w:top w:val="none" w:sz="0" w:space="0" w:color="auto"/>
                <w:left w:val="none" w:sz="0" w:space="0" w:color="auto"/>
                <w:bottom w:val="none" w:sz="0" w:space="0" w:color="auto"/>
                <w:right w:val="none" w:sz="0" w:space="0" w:color="auto"/>
              </w:divBdr>
            </w:div>
          </w:divsChild>
        </w:div>
        <w:div w:id="686639207">
          <w:marLeft w:val="0"/>
          <w:marRight w:val="0"/>
          <w:marTop w:val="0"/>
          <w:marBottom w:val="0"/>
          <w:divBdr>
            <w:top w:val="none" w:sz="0" w:space="0" w:color="auto"/>
            <w:left w:val="none" w:sz="0" w:space="0" w:color="auto"/>
            <w:bottom w:val="none" w:sz="0" w:space="0" w:color="auto"/>
            <w:right w:val="none" w:sz="0" w:space="0" w:color="auto"/>
          </w:divBdr>
          <w:divsChild>
            <w:div w:id="21907622">
              <w:marLeft w:val="0"/>
              <w:marRight w:val="0"/>
              <w:marTop w:val="0"/>
              <w:marBottom w:val="0"/>
              <w:divBdr>
                <w:top w:val="none" w:sz="0" w:space="0" w:color="auto"/>
                <w:left w:val="none" w:sz="0" w:space="0" w:color="auto"/>
                <w:bottom w:val="none" w:sz="0" w:space="0" w:color="auto"/>
                <w:right w:val="none" w:sz="0" w:space="0" w:color="auto"/>
              </w:divBdr>
            </w:div>
            <w:div w:id="12068717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57885816">
      <w:bodyDiv w:val="1"/>
      <w:marLeft w:val="0"/>
      <w:marRight w:val="0"/>
      <w:marTop w:val="0"/>
      <w:marBottom w:val="0"/>
      <w:divBdr>
        <w:top w:val="none" w:sz="0" w:space="0" w:color="auto"/>
        <w:left w:val="none" w:sz="0" w:space="0" w:color="auto"/>
        <w:bottom w:val="none" w:sz="0" w:space="0" w:color="auto"/>
        <w:right w:val="none" w:sz="0" w:space="0" w:color="auto"/>
      </w:divBdr>
      <w:divsChild>
        <w:div w:id="2027749534">
          <w:marLeft w:val="0"/>
          <w:marRight w:val="0"/>
          <w:marTop w:val="0"/>
          <w:marBottom w:val="150"/>
          <w:divBdr>
            <w:top w:val="none" w:sz="0" w:space="0" w:color="auto"/>
            <w:left w:val="none" w:sz="0" w:space="0" w:color="auto"/>
            <w:bottom w:val="none" w:sz="0" w:space="0" w:color="auto"/>
            <w:right w:val="none" w:sz="0" w:space="0" w:color="auto"/>
          </w:divBdr>
          <w:divsChild>
            <w:div w:id="1234509829">
              <w:marLeft w:val="0"/>
              <w:marRight w:val="0"/>
              <w:marTop w:val="0"/>
              <w:marBottom w:val="0"/>
              <w:divBdr>
                <w:top w:val="none" w:sz="0" w:space="0" w:color="auto"/>
                <w:left w:val="none" w:sz="0" w:space="0" w:color="auto"/>
                <w:bottom w:val="none" w:sz="0" w:space="0" w:color="auto"/>
                <w:right w:val="none" w:sz="0" w:space="0" w:color="auto"/>
              </w:divBdr>
            </w:div>
          </w:divsChild>
        </w:div>
        <w:div w:id="843016044">
          <w:marLeft w:val="0"/>
          <w:marRight w:val="0"/>
          <w:marTop w:val="0"/>
          <w:marBottom w:val="0"/>
          <w:divBdr>
            <w:top w:val="none" w:sz="0" w:space="0" w:color="auto"/>
            <w:left w:val="none" w:sz="0" w:space="0" w:color="auto"/>
            <w:bottom w:val="none" w:sz="0" w:space="0" w:color="auto"/>
            <w:right w:val="none" w:sz="0" w:space="0" w:color="auto"/>
          </w:divBdr>
        </w:div>
      </w:divsChild>
    </w:div>
    <w:div w:id="858011996">
      <w:bodyDiv w:val="1"/>
      <w:marLeft w:val="0"/>
      <w:marRight w:val="0"/>
      <w:marTop w:val="0"/>
      <w:marBottom w:val="0"/>
      <w:divBdr>
        <w:top w:val="none" w:sz="0" w:space="0" w:color="auto"/>
        <w:left w:val="none" w:sz="0" w:space="0" w:color="auto"/>
        <w:bottom w:val="none" w:sz="0" w:space="0" w:color="auto"/>
        <w:right w:val="none" w:sz="0" w:space="0" w:color="auto"/>
      </w:divBdr>
    </w:div>
    <w:div w:id="858200953">
      <w:bodyDiv w:val="1"/>
      <w:marLeft w:val="0"/>
      <w:marRight w:val="0"/>
      <w:marTop w:val="0"/>
      <w:marBottom w:val="0"/>
      <w:divBdr>
        <w:top w:val="none" w:sz="0" w:space="0" w:color="auto"/>
        <w:left w:val="none" w:sz="0" w:space="0" w:color="auto"/>
        <w:bottom w:val="none" w:sz="0" w:space="0" w:color="auto"/>
        <w:right w:val="none" w:sz="0" w:space="0" w:color="auto"/>
      </w:divBdr>
      <w:divsChild>
        <w:div w:id="939876333">
          <w:marLeft w:val="0"/>
          <w:marRight w:val="0"/>
          <w:marTop w:val="0"/>
          <w:marBottom w:val="0"/>
          <w:divBdr>
            <w:top w:val="none" w:sz="0" w:space="0" w:color="auto"/>
            <w:left w:val="none" w:sz="0" w:space="0" w:color="auto"/>
            <w:bottom w:val="none" w:sz="0" w:space="0" w:color="auto"/>
            <w:right w:val="none" w:sz="0" w:space="0" w:color="auto"/>
          </w:divBdr>
        </w:div>
      </w:divsChild>
    </w:div>
    <w:div w:id="858347669">
      <w:bodyDiv w:val="1"/>
      <w:marLeft w:val="0"/>
      <w:marRight w:val="0"/>
      <w:marTop w:val="0"/>
      <w:marBottom w:val="0"/>
      <w:divBdr>
        <w:top w:val="none" w:sz="0" w:space="0" w:color="auto"/>
        <w:left w:val="none" w:sz="0" w:space="0" w:color="auto"/>
        <w:bottom w:val="none" w:sz="0" w:space="0" w:color="auto"/>
        <w:right w:val="none" w:sz="0" w:space="0" w:color="auto"/>
      </w:divBdr>
      <w:divsChild>
        <w:div w:id="1994213939">
          <w:marLeft w:val="0"/>
          <w:marRight w:val="0"/>
          <w:marTop w:val="0"/>
          <w:marBottom w:val="150"/>
          <w:divBdr>
            <w:top w:val="none" w:sz="0" w:space="0" w:color="auto"/>
            <w:left w:val="none" w:sz="0" w:space="0" w:color="auto"/>
            <w:bottom w:val="none" w:sz="0" w:space="0" w:color="auto"/>
            <w:right w:val="none" w:sz="0" w:space="0" w:color="auto"/>
          </w:divBdr>
          <w:divsChild>
            <w:div w:id="350452844">
              <w:marLeft w:val="0"/>
              <w:marRight w:val="0"/>
              <w:marTop w:val="0"/>
              <w:marBottom w:val="0"/>
              <w:divBdr>
                <w:top w:val="none" w:sz="0" w:space="0" w:color="auto"/>
                <w:left w:val="none" w:sz="0" w:space="0" w:color="auto"/>
                <w:bottom w:val="none" w:sz="0" w:space="0" w:color="auto"/>
                <w:right w:val="none" w:sz="0" w:space="0" w:color="auto"/>
              </w:divBdr>
              <w:divsChild>
                <w:div w:id="832910343">
                  <w:marLeft w:val="0"/>
                  <w:marRight w:val="0"/>
                  <w:marTop w:val="0"/>
                  <w:marBottom w:val="0"/>
                  <w:divBdr>
                    <w:top w:val="none" w:sz="0" w:space="0" w:color="auto"/>
                    <w:left w:val="none" w:sz="0" w:space="0" w:color="auto"/>
                    <w:bottom w:val="none" w:sz="0" w:space="0" w:color="auto"/>
                    <w:right w:val="none" w:sz="0" w:space="0" w:color="auto"/>
                  </w:divBdr>
                  <w:divsChild>
                    <w:div w:id="1961648313">
                      <w:marLeft w:val="0"/>
                      <w:marRight w:val="150"/>
                      <w:marTop w:val="0"/>
                      <w:marBottom w:val="0"/>
                      <w:divBdr>
                        <w:top w:val="none" w:sz="0" w:space="0" w:color="auto"/>
                        <w:left w:val="none" w:sz="0" w:space="0" w:color="auto"/>
                        <w:bottom w:val="none" w:sz="0" w:space="0" w:color="auto"/>
                        <w:right w:val="none" w:sz="0" w:space="0" w:color="auto"/>
                      </w:divBdr>
                      <w:divsChild>
                        <w:div w:id="104359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793735">
          <w:marLeft w:val="0"/>
          <w:marRight w:val="0"/>
          <w:marTop w:val="0"/>
          <w:marBottom w:val="150"/>
          <w:divBdr>
            <w:top w:val="none" w:sz="0" w:space="0" w:color="auto"/>
            <w:left w:val="none" w:sz="0" w:space="0" w:color="auto"/>
            <w:bottom w:val="none" w:sz="0" w:space="0" w:color="auto"/>
            <w:right w:val="none" w:sz="0" w:space="0" w:color="auto"/>
          </w:divBdr>
        </w:div>
        <w:div w:id="884024721">
          <w:marLeft w:val="0"/>
          <w:marRight w:val="0"/>
          <w:marTop w:val="0"/>
          <w:marBottom w:val="0"/>
          <w:divBdr>
            <w:top w:val="none" w:sz="0" w:space="0" w:color="auto"/>
            <w:left w:val="none" w:sz="0" w:space="0" w:color="auto"/>
            <w:bottom w:val="none" w:sz="0" w:space="0" w:color="auto"/>
            <w:right w:val="none" w:sz="0" w:space="0" w:color="auto"/>
          </w:divBdr>
          <w:divsChild>
            <w:div w:id="120390132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58399112">
      <w:bodyDiv w:val="1"/>
      <w:marLeft w:val="0"/>
      <w:marRight w:val="0"/>
      <w:marTop w:val="0"/>
      <w:marBottom w:val="0"/>
      <w:divBdr>
        <w:top w:val="none" w:sz="0" w:space="0" w:color="auto"/>
        <w:left w:val="none" w:sz="0" w:space="0" w:color="auto"/>
        <w:bottom w:val="none" w:sz="0" w:space="0" w:color="auto"/>
        <w:right w:val="none" w:sz="0" w:space="0" w:color="auto"/>
      </w:divBdr>
      <w:divsChild>
        <w:div w:id="313067115">
          <w:marLeft w:val="0"/>
          <w:marRight w:val="0"/>
          <w:marTop w:val="0"/>
          <w:marBottom w:val="0"/>
          <w:divBdr>
            <w:top w:val="none" w:sz="0" w:space="0" w:color="auto"/>
            <w:left w:val="none" w:sz="0" w:space="0" w:color="auto"/>
            <w:bottom w:val="none" w:sz="0" w:space="0" w:color="auto"/>
            <w:right w:val="none" w:sz="0" w:space="0" w:color="auto"/>
          </w:divBdr>
        </w:div>
      </w:divsChild>
    </w:div>
    <w:div w:id="858852436">
      <w:bodyDiv w:val="1"/>
      <w:marLeft w:val="0"/>
      <w:marRight w:val="0"/>
      <w:marTop w:val="0"/>
      <w:marBottom w:val="0"/>
      <w:divBdr>
        <w:top w:val="none" w:sz="0" w:space="0" w:color="auto"/>
        <w:left w:val="none" w:sz="0" w:space="0" w:color="auto"/>
        <w:bottom w:val="none" w:sz="0" w:space="0" w:color="auto"/>
        <w:right w:val="none" w:sz="0" w:space="0" w:color="auto"/>
      </w:divBdr>
    </w:div>
    <w:div w:id="858855012">
      <w:bodyDiv w:val="1"/>
      <w:marLeft w:val="0"/>
      <w:marRight w:val="0"/>
      <w:marTop w:val="0"/>
      <w:marBottom w:val="0"/>
      <w:divBdr>
        <w:top w:val="none" w:sz="0" w:space="0" w:color="auto"/>
        <w:left w:val="none" w:sz="0" w:space="0" w:color="auto"/>
        <w:bottom w:val="none" w:sz="0" w:space="0" w:color="auto"/>
        <w:right w:val="none" w:sz="0" w:space="0" w:color="auto"/>
      </w:divBdr>
    </w:div>
    <w:div w:id="859122696">
      <w:bodyDiv w:val="1"/>
      <w:marLeft w:val="0"/>
      <w:marRight w:val="0"/>
      <w:marTop w:val="0"/>
      <w:marBottom w:val="0"/>
      <w:divBdr>
        <w:top w:val="none" w:sz="0" w:space="0" w:color="auto"/>
        <w:left w:val="none" w:sz="0" w:space="0" w:color="auto"/>
        <w:bottom w:val="none" w:sz="0" w:space="0" w:color="auto"/>
        <w:right w:val="none" w:sz="0" w:space="0" w:color="auto"/>
      </w:divBdr>
      <w:divsChild>
        <w:div w:id="903177538">
          <w:marLeft w:val="0"/>
          <w:marRight w:val="0"/>
          <w:marTop w:val="0"/>
          <w:marBottom w:val="150"/>
          <w:divBdr>
            <w:top w:val="none" w:sz="0" w:space="0" w:color="auto"/>
            <w:left w:val="none" w:sz="0" w:space="0" w:color="auto"/>
            <w:bottom w:val="none" w:sz="0" w:space="0" w:color="auto"/>
            <w:right w:val="none" w:sz="0" w:space="0" w:color="auto"/>
          </w:divBdr>
        </w:div>
      </w:divsChild>
    </w:div>
    <w:div w:id="859779468">
      <w:bodyDiv w:val="1"/>
      <w:marLeft w:val="0"/>
      <w:marRight w:val="0"/>
      <w:marTop w:val="0"/>
      <w:marBottom w:val="0"/>
      <w:divBdr>
        <w:top w:val="none" w:sz="0" w:space="0" w:color="auto"/>
        <w:left w:val="none" w:sz="0" w:space="0" w:color="auto"/>
        <w:bottom w:val="none" w:sz="0" w:space="0" w:color="auto"/>
        <w:right w:val="none" w:sz="0" w:space="0" w:color="auto"/>
      </w:divBdr>
      <w:divsChild>
        <w:div w:id="802425953">
          <w:marLeft w:val="0"/>
          <w:marRight w:val="0"/>
          <w:marTop w:val="0"/>
          <w:marBottom w:val="150"/>
          <w:divBdr>
            <w:top w:val="none" w:sz="0" w:space="0" w:color="auto"/>
            <w:left w:val="none" w:sz="0" w:space="0" w:color="auto"/>
            <w:bottom w:val="none" w:sz="0" w:space="0" w:color="auto"/>
            <w:right w:val="none" w:sz="0" w:space="0" w:color="auto"/>
          </w:divBdr>
          <w:divsChild>
            <w:div w:id="1373266432">
              <w:marLeft w:val="0"/>
              <w:marRight w:val="0"/>
              <w:marTop w:val="0"/>
              <w:marBottom w:val="0"/>
              <w:divBdr>
                <w:top w:val="none" w:sz="0" w:space="0" w:color="auto"/>
                <w:left w:val="none" w:sz="0" w:space="0" w:color="auto"/>
                <w:bottom w:val="none" w:sz="0" w:space="0" w:color="auto"/>
                <w:right w:val="none" w:sz="0" w:space="0" w:color="auto"/>
              </w:divBdr>
              <w:divsChild>
                <w:div w:id="58722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6996">
          <w:marLeft w:val="0"/>
          <w:marRight w:val="0"/>
          <w:marTop w:val="0"/>
          <w:marBottom w:val="150"/>
          <w:divBdr>
            <w:top w:val="none" w:sz="0" w:space="0" w:color="auto"/>
            <w:left w:val="none" w:sz="0" w:space="0" w:color="auto"/>
            <w:bottom w:val="none" w:sz="0" w:space="0" w:color="auto"/>
            <w:right w:val="none" w:sz="0" w:space="0" w:color="auto"/>
          </w:divBdr>
        </w:div>
        <w:div w:id="984773678">
          <w:marLeft w:val="0"/>
          <w:marRight w:val="0"/>
          <w:marTop w:val="0"/>
          <w:marBottom w:val="0"/>
          <w:divBdr>
            <w:top w:val="none" w:sz="0" w:space="0" w:color="auto"/>
            <w:left w:val="none" w:sz="0" w:space="0" w:color="auto"/>
            <w:bottom w:val="none" w:sz="0" w:space="0" w:color="auto"/>
            <w:right w:val="none" w:sz="0" w:space="0" w:color="auto"/>
          </w:divBdr>
          <w:divsChild>
            <w:div w:id="20863685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59783689">
      <w:bodyDiv w:val="1"/>
      <w:marLeft w:val="0"/>
      <w:marRight w:val="0"/>
      <w:marTop w:val="0"/>
      <w:marBottom w:val="0"/>
      <w:divBdr>
        <w:top w:val="none" w:sz="0" w:space="0" w:color="auto"/>
        <w:left w:val="none" w:sz="0" w:space="0" w:color="auto"/>
        <w:bottom w:val="none" w:sz="0" w:space="0" w:color="auto"/>
        <w:right w:val="none" w:sz="0" w:space="0" w:color="auto"/>
      </w:divBdr>
    </w:div>
    <w:div w:id="859857895">
      <w:bodyDiv w:val="1"/>
      <w:marLeft w:val="0"/>
      <w:marRight w:val="0"/>
      <w:marTop w:val="0"/>
      <w:marBottom w:val="0"/>
      <w:divBdr>
        <w:top w:val="none" w:sz="0" w:space="0" w:color="auto"/>
        <w:left w:val="none" w:sz="0" w:space="0" w:color="auto"/>
        <w:bottom w:val="none" w:sz="0" w:space="0" w:color="auto"/>
        <w:right w:val="none" w:sz="0" w:space="0" w:color="auto"/>
      </w:divBdr>
      <w:divsChild>
        <w:div w:id="1169060153">
          <w:marLeft w:val="0"/>
          <w:marRight w:val="0"/>
          <w:marTop w:val="0"/>
          <w:marBottom w:val="0"/>
          <w:divBdr>
            <w:top w:val="none" w:sz="0" w:space="0" w:color="auto"/>
            <w:left w:val="none" w:sz="0" w:space="0" w:color="auto"/>
            <w:bottom w:val="none" w:sz="0" w:space="0" w:color="auto"/>
            <w:right w:val="none" w:sz="0" w:space="0" w:color="auto"/>
          </w:divBdr>
          <w:divsChild>
            <w:div w:id="1144349705">
              <w:marLeft w:val="0"/>
              <w:marRight w:val="0"/>
              <w:marTop w:val="0"/>
              <w:marBottom w:val="0"/>
              <w:divBdr>
                <w:top w:val="none" w:sz="0" w:space="0" w:color="auto"/>
                <w:left w:val="none" w:sz="0" w:space="0" w:color="auto"/>
                <w:bottom w:val="none" w:sz="0" w:space="0" w:color="auto"/>
                <w:right w:val="none" w:sz="0" w:space="0" w:color="auto"/>
              </w:divBdr>
              <w:divsChild>
                <w:div w:id="72439642">
                  <w:marLeft w:val="0"/>
                  <w:marRight w:val="0"/>
                  <w:marTop w:val="0"/>
                  <w:marBottom w:val="0"/>
                  <w:divBdr>
                    <w:top w:val="none" w:sz="0" w:space="0" w:color="auto"/>
                    <w:left w:val="none" w:sz="0" w:space="0" w:color="auto"/>
                    <w:bottom w:val="none" w:sz="0" w:space="0" w:color="auto"/>
                    <w:right w:val="none" w:sz="0" w:space="0" w:color="auto"/>
                  </w:divBdr>
                  <w:divsChild>
                    <w:div w:id="2085452075">
                      <w:marLeft w:val="0"/>
                      <w:marRight w:val="0"/>
                      <w:marTop w:val="0"/>
                      <w:marBottom w:val="0"/>
                      <w:divBdr>
                        <w:top w:val="none" w:sz="0" w:space="0" w:color="auto"/>
                        <w:left w:val="none" w:sz="0" w:space="0" w:color="auto"/>
                        <w:bottom w:val="none" w:sz="0" w:space="0" w:color="auto"/>
                        <w:right w:val="none" w:sz="0" w:space="0" w:color="auto"/>
                      </w:divBdr>
                      <w:divsChild>
                        <w:div w:id="1151409884">
                          <w:marLeft w:val="0"/>
                          <w:marRight w:val="0"/>
                          <w:marTop w:val="0"/>
                          <w:marBottom w:val="0"/>
                          <w:divBdr>
                            <w:top w:val="none" w:sz="0" w:space="0" w:color="auto"/>
                            <w:left w:val="none" w:sz="0" w:space="0" w:color="auto"/>
                            <w:bottom w:val="none" w:sz="0" w:space="0" w:color="auto"/>
                            <w:right w:val="none" w:sz="0" w:space="0" w:color="auto"/>
                          </w:divBdr>
                          <w:divsChild>
                            <w:div w:id="194930654">
                              <w:marLeft w:val="0"/>
                              <w:marRight w:val="0"/>
                              <w:marTop w:val="0"/>
                              <w:marBottom w:val="0"/>
                              <w:divBdr>
                                <w:top w:val="none" w:sz="0" w:space="0" w:color="auto"/>
                                <w:left w:val="none" w:sz="0" w:space="0" w:color="auto"/>
                                <w:bottom w:val="none" w:sz="0" w:space="0" w:color="auto"/>
                                <w:right w:val="none" w:sz="0" w:space="0" w:color="auto"/>
                              </w:divBdr>
                              <w:divsChild>
                                <w:div w:id="2071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9860674">
      <w:bodyDiv w:val="1"/>
      <w:marLeft w:val="0"/>
      <w:marRight w:val="0"/>
      <w:marTop w:val="0"/>
      <w:marBottom w:val="0"/>
      <w:divBdr>
        <w:top w:val="none" w:sz="0" w:space="0" w:color="auto"/>
        <w:left w:val="none" w:sz="0" w:space="0" w:color="auto"/>
        <w:bottom w:val="none" w:sz="0" w:space="0" w:color="auto"/>
        <w:right w:val="none" w:sz="0" w:space="0" w:color="auto"/>
      </w:divBdr>
    </w:div>
    <w:div w:id="860047834">
      <w:bodyDiv w:val="1"/>
      <w:marLeft w:val="0"/>
      <w:marRight w:val="0"/>
      <w:marTop w:val="0"/>
      <w:marBottom w:val="0"/>
      <w:divBdr>
        <w:top w:val="none" w:sz="0" w:space="0" w:color="auto"/>
        <w:left w:val="none" w:sz="0" w:space="0" w:color="auto"/>
        <w:bottom w:val="none" w:sz="0" w:space="0" w:color="auto"/>
        <w:right w:val="none" w:sz="0" w:space="0" w:color="auto"/>
      </w:divBdr>
      <w:divsChild>
        <w:div w:id="845632069">
          <w:marLeft w:val="0"/>
          <w:marRight w:val="0"/>
          <w:marTop w:val="0"/>
          <w:marBottom w:val="0"/>
          <w:divBdr>
            <w:top w:val="none" w:sz="0" w:space="0" w:color="auto"/>
            <w:left w:val="none" w:sz="0" w:space="0" w:color="auto"/>
            <w:bottom w:val="none" w:sz="0" w:space="0" w:color="auto"/>
            <w:right w:val="none" w:sz="0" w:space="0" w:color="auto"/>
          </w:divBdr>
          <w:divsChild>
            <w:div w:id="1921137713">
              <w:marLeft w:val="0"/>
              <w:marRight w:val="0"/>
              <w:marTop w:val="0"/>
              <w:marBottom w:val="0"/>
              <w:divBdr>
                <w:top w:val="none" w:sz="0" w:space="0" w:color="auto"/>
                <w:left w:val="none" w:sz="0" w:space="0" w:color="auto"/>
                <w:bottom w:val="none" w:sz="0" w:space="0" w:color="auto"/>
                <w:right w:val="none" w:sz="0" w:space="0" w:color="auto"/>
              </w:divBdr>
              <w:divsChild>
                <w:div w:id="1934557550">
                  <w:marLeft w:val="0"/>
                  <w:marRight w:val="0"/>
                  <w:marTop w:val="0"/>
                  <w:marBottom w:val="0"/>
                  <w:divBdr>
                    <w:top w:val="none" w:sz="0" w:space="0" w:color="auto"/>
                    <w:left w:val="none" w:sz="0" w:space="0" w:color="auto"/>
                    <w:bottom w:val="none" w:sz="0" w:space="0" w:color="auto"/>
                    <w:right w:val="none" w:sz="0" w:space="0" w:color="auto"/>
                  </w:divBdr>
                  <w:divsChild>
                    <w:div w:id="9138911">
                      <w:marLeft w:val="0"/>
                      <w:marRight w:val="0"/>
                      <w:marTop w:val="0"/>
                      <w:marBottom w:val="0"/>
                      <w:divBdr>
                        <w:top w:val="none" w:sz="0" w:space="0" w:color="auto"/>
                        <w:left w:val="none" w:sz="0" w:space="0" w:color="auto"/>
                        <w:bottom w:val="none" w:sz="0" w:space="0" w:color="auto"/>
                        <w:right w:val="none" w:sz="0" w:space="0" w:color="auto"/>
                      </w:divBdr>
                      <w:divsChild>
                        <w:div w:id="768624431">
                          <w:marLeft w:val="0"/>
                          <w:marRight w:val="0"/>
                          <w:marTop w:val="0"/>
                          <w:marBottom w:val="0"/>
                          <w:divBdr>
                            <w:top w:val="none" w:sz="0" w:space="0" w:color="auto"/>
                            <w:left w:val="none" w:sz="0" w:space="0" w:color="auto"/>
                            <w:bottom w:val="none" w:sz="0" w:space="0" w:color="auto"/>
                            <w:right w:val="none" w:sz="0" w:space="0" w:color="auto"/>
                          </w:divBdr>
                          <w:divsChild>
                            <w:div w:id="1463964642">
                              <w:marLeft w:val="0"/>
                              <w:marRight w:val="0"/>
                              <w:marTop w:val="0"/>
                              <w:marBottom w:val="0"/>
                              <w:divBdr>
                                <w:top w:val="none" w:sz="0" w:space="0" w:color="auto"/>
                                <w:left w:val="none" w:sz="0" w:space="0" w:color="auto"/>
                                <w:bottom w:val="none" w:sz="0" w:space="0" w:color="auto"/>
                                <w:right w:val="none" w:sz="0" w:space="0" w:color="auto"/>
                              </w:divBdr>
                              <w:divsChild>
                                <w:div w:id="2039967093">
                                  <w:marLeft w:val="0"/>
                                  <w:marRight w:val="0"/>
                                  <w:marTop w:val="0"/>
                                  <w:marBottom w:val="0"/>
                                  <w:divBdr>
                                    <w:top w:val="none" w:sz="0" w:space="0" w:color="auto"/>
                                    <w:left w:val="none" w:sz="0" w:space="0" w:color="auto"/>
                                    <w:bottom w:val="none" w:sz="0" w:space="0" w:color="auto"/>
                                    <w:right w:val="none" w:sz="0" w:space="0" w:color="auto"/>
                                  </w:divBdr>
                                  <w:divsChild>
                                    <w:div w:id="173665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0120565">
      <w:bodyDiv w:val="1"/>
      <w:marLeft w:val="0"/>
      <w:marRight w:val="0"/>
      <w:marTop w:val="0"/>
      <w:marBottom w:val="0"/>
      <w:divBdr>
        <w:top w:val="none" w:sz="0" w:space="0" w:color="auto"/>
        <w:left w:val="none" w:sz="0" w:space="0" w:color="auto"/>
        <w:bottom w:val="none" w:sz="0" w:space="0" w:color="auto"/>
        <w:right w:val="none" w:sz="0" w:space="0" w:color="auto"/>
      </w:divBdr>
      <w:divsChild>
        <w:div w:id="1156455354">
          <w:marLeft w:val="0"/>
          <w:marRight w:val="0"/>
          <w:marTop w:val="0"/>
          <w:marBottom w:val="0"/>
          <w:divBdr>
            <w:top w:val="none" w:sz="0" w:space="0" w:color="auto"/>
            <w:left w:val="none" w:sz="0" w:space="0" w:color="auto"/>
            <w:bottom w:val="none" w:sz="0" w:space="0" w:color="auto"/>
            <w:right w:val="none" w:sz="0" w:space="0" w:color="auto"/>
          </w:divBdr>
          <w:divsChild>
            <w:div w:id="221720448">
              <w:marLeft w:val="0"/>
              <w:marRight w:val="0"/>
              <w:marTop w:val="225"/>
              <w:marBottom w:val="225"/>
              <w:divBdr>
                <w:top w:val="none" w:sz="0" w:space="0" w:color="auto"/>
                <w:left w:val="none" w:sz="0" w:space="0" w:color="auto"/>
                <w:bottom w:val="none" w:sz="0" w:space="0" w:color="auto"/>
                <w:right w:val="none" w:sz="0" w:space="0" w:color="auto"/>
              </w:divBdr>
            </w:div>
          </w:divsChild>
        </w:div>
        <w:div w:id="1372999591">
          <w:marLeft w:val="0"/>
          <w:marRight w:val="0"/>
          <w:marTop w:val="0"/>
          <w:marBottom w:val="150"/>
          <w:divBdr>
            <w:top w:val="none" w:sz="0" w:space="0" w:color="auto"/>
            <w:left w:val="none" w:sz="0" w:space="0" w:color="auto"/>
            <w:bottom w:val="none" w:sz="0" w:space="0" w:color="auto"/>
            <w:right w:val="none" w:sz="0" w:space="0" w:color="auto"/>
          </w:divBdr>
          <w:divsChild>
            <w:div w:id="1060520980">
              <w:marLeft w:val="0"/>
              <w:marRight w:val="0"/>
              <w:marTop w:val="0"/>
              <w:marBottom w:val="0"/>
              <w:divBdr>
                <w:top w:val="none" w:sz="0" w:space="0" w:color="auto"/>
                <w:left w:val="none" w:sz="0" w:space="0" w:color="auto"/>
                <w:bottom w:val="none" w:sz="0" w:space="0" w:color="auto"/>
                <w:right w:val="none" w:sz="0" w:space="0" w:color="auto"/>
              </w:divBdr>
              <w:divsChild>
                <w:div w:id="185607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410914">
          <w:marLeft w:val="0"/>
          <w:marRight w:val="0"/>
          <w:marTop w:val="0"/>
          <w:marBottom w:val="150"/>
          <w:divBdr>
            <w:top w:val="none" w:sz="0" w:space="0" w:color="auto"/>
            <w:left w:val="none" w:sz="0" w:space="0" w:color="auto"/>
            <w:bottom w:val="none" w:sz="0" w:space="0" w:color="auto"/>
            <w:right w:val="none" w:sz="0" w:space="0" w:color="auto"/>
          </w:divBdr>
        </w:div>
      </w:divsChild>
    </w:div>
    <w:div w:id="860439047">
      <w:bodyDiv w:val="1"/>
      <w:marLeft w:val="0"/>
      <w:marRight w:val="0"/>
      <w:marTop w:val="0"/>
      <w:marBottom w:val="0"/>
      <w:divBdr>
        <w:top w:val="none" w:sz="0" w:space="0" w:color="auto"/>
        <w:left w:val="none" w:sz="0" w:space="0" w:color="auto"/>
        <w:bottom w:val="none" w:sz="0" w:space="0" w:color="auto"/>
        <w:right w:val="none" w:sz="0" w:space="0" w:color="auto"/>
      </w:divBdr>
      <w:divsChild>
        <w:div w:id="88090925">
          <w:marLeft w:val="0"/>
          <w:marRight w:val="0"/>
          <w:marTop w:val="0"/>
          <w:marBottom w:val="0"/>
          <w:divBdr>
            <w:top w:val="none" w:sz="0" w:space="0" w:color="auto"/>
            <w:left w:val="none" w:sz="0" w:space="0" w:color="auto"/>
            <w:bottom w:val="none" w:sz="0" w:space="0" w:color="auto"/>
            <w:right w:val="none" w:sz="0" w:space="0" w:color="auto"/>
          </w:divBdr>
        </w:div>
      </w:divsChild>
    </w:div>
    <w:div w:id="860977487">
      <w:bodyDiv w:val="1"/>
      <w:marLeft w:val="0"/>
      <w:marRight w:val="0"/>
      <w:marTop w:val="0"/>
      <w:marBottom w:val="0"/>
      <w:divBdr>
        <w:top w:val="none" w:sz="0" w:space="0" w:color="auto"/>
        <w:left w:val="none" w:sz="0" w:space="0" w:color="auto"/>
        <w:bottom w:val="none" w:sz="0" w:space="0" w:color="auto"/>
        <w:right w:val="none" w:sz="0" w:space="0" w:color="auto"/>
      </w:divBdr>
      <w:divsChild>
        <w:div w:id="150368996">
          <w:marLeft w:val="0"/>
          <w:marRight w:val="0"/>
          <w:marTop w:val="0"/>
          <w:marBottom w:val="150"/>
          <w:divBdr>
            <w:top w:val="none" w:sz="0" w:space="0" w:color="auto"/>
            <w:left w:val="none" w:sz="0" w:space="0" w:color="auto"/>
            <w:bottom w:val="none" w:sz="0" w:space="0" w:color="auto"/>
            <w:right w:val="none" w:sz="0" w:space="0" w:color="auto"/>
          </w:divBdr>
        </w:div>
      </w:divsChild>
    </w:div>
    <w:div w:id="861479118">
      <w:bodyDiv w:val="1"/>
      <w:marLeft w:val="0"/>
      <w:marRight w:val="0"/>
      <w:marTop w:val="0"/>
      <w:marBottom w:val="0"/>
      <w:divBdr>
        <w:top w:val="none" w:sz="0" w:space="0" w:color="auto"/>
        <w:left w:val="none" w:sz="0" w:space="0" w:color="auto"/>
        <w:bottom w:val="none" w:sz="0" w:space="0" w:color="auto"/>
        <w:right w:val="none" w:sz="0" w:space="0" w:color="auto"/>
      </w:divBdr>
      <w:divsChild>
        <w:div w:id="1188638968">
          <w:marLeft w:val="0"/>
          <w:marRight w:val="0"/>
          <w:marTop w:val="0"/>
          <w:marBottom w:val="0"/>
          <w:divBdr>
            <w:top w:val="none" w:sz="0" w:space="0" w:color="auto"/>
            <w:left w:val="none" w:sz="0" w:space="0" w:color="auto"/>
            <w:bottom w:val="dotted" w:sz="6" w:space="4" w:color="DDDDDD"/>
            <w:right w:val="none" w:sz="0" w:space="0" w:color="auto"/>
          </w:divBdr>
          <w:divsChild>
            <w:div w:id="93462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938161">
      <w:bodyDiv w:val="1"/>
      <w:marLeft w:val="0"/>
      <w:marRight w:val="0"/>
      <w:marTop w:val="0"/>
      <w:marBottom w:val="0"/>
      <w:divBdr>
        <w:top w:val="none" w:sz="0" w:space="0" w:color="auto"/>
        <w:left w:val="none" w:sz="0" w:space="0" w:color="auto"/>
        <w:bottom w:val="none" w:sz="0" w:space="0" w:color="auto"/>
        <w:right w:val="none" w:sz="0" w:space="0" w:color="auto"/>
      </w:divBdr>
    </w:div>
    <w:div w:id="862522112">
      <w:bodyDiv w:val="1"/>
      <w:marLeft w:val="0"/>
      <w:marRight w:val="0"/>
      <w:marTop w:val="0"/>
      <w:marBottom w:val="0"/>
      <w:divBdr>
        <w:top w:val="none" w:sz="0" w:space="0" w:color="auto"/>
        <w:left w:val="none" w:sz="0" w:space="0" w:color="auto"/>
        <w:bottom w:val="none" w:sz="0" w:space="0" w:color="auto"/>
        <w:right w:val="none" w:sz="0" w:space="0" w:color="auto"/>
      </w:divBdr>
      <w:divsChild>
        <w:div w:id="101657534">
          <w:marLeft w:val="0"/>
          <w:marRight w:val="0"/>
          <w:marTop w:val="0"/>
          <w:marBottom w:val="0"/>
          <w:divBdr>
            <w:top w:val="none" w:sz="0" w:space="0" w:color="auto"/>
            <w:left w:val="none" w:sz="0" w:space="0" w:color="auto"/>
            <w:bottom w:val="dotted" w:sz="6" w:space="4" w:color="DDDDDD"/>
            <w:right w:val="none" w:sz="0" w:space="0" w:color="auto"/>
          </w:divBdr>
          <w:divsChild>
            <w:div w:id="140328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667292">
      <w:bodyDiv w:val="1"/>
      <w:marLeft w:val="0"/>
      <w:marRight w:val="0"/>
      <w:marTop w:val="0"/>
      <w:marBottom w:val="0"/>
      <w:divBdr>
        <w:top w:val="none" w:sz="0" w:space="0" w:color="auto"/>
        <w:left w:val="none" w:sz="0" w:space="0" w:color="auto"/>
        <w:bottom w:val="none" w:sz="0" w:space="0" w:color="auto"/>
        <w:right w:val="none" w:sz="0" w:space="0" w:color="auto"/>
      </w:divBdr>
      <w:divsChild>
        <w:div w:id="762649460">
          <w:marLeft w:val="0"/>
          <w:marRight w:val="0"/>
          <w:marTop w:val="0"/>
          <w:marBottom w:val="0"/>
          <w:divBdr>
            <w:top w:val="none" w:sz="0" w:space="0" w:color="auto"/>
            <w:left w:val="none" w:sz="0" w:space="0" w:color="auto"/>
            <w:bottom w:val="none" w:sz="0" w:space="0" w:color="auto"/>
            <w:right w:val="none" w:sz="0" w:space="0" w:color="auto"/>
          </w:divBdr>
          <w:divsChild>
            <w:div w:id="25841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29718">
      <w:bodyDiv w:val="1"/>
      <w:marLeft w:val="0"/>
      <w:marRight w:val="0"/>
      <w:marTop w:val="0"/>
      <w:marBottom w:val="0"/>
      <w:divBdr>
        <w:top w:val="none" w:sz="0" w:space="0" w:color="auto"/>
        <w:left w:val="none" w:sz="0" w:space="0" w:color="auto"/>
        <w:bottom w:val="none" w:sz="0" w:space="0" w:color="auto"/>
        <w:right w:val="none" w:sz="0" w:space="0" w:color="auto"/>
      </w:divBdr>
      <w:divsChild>
        <w:div w:id="1170025093">
          <w:marLeft w:val="0"/>
          <w:marRight w:val="0"/>
          <w:marTop w:val="0"/>
          <w:marBottom w:val="0"/>
          <w:divBdr>
            <w:top w:val="none" w:sz="0" w:space="0" w:color="auto"/>
            <w:left w:val="none" w:sz="0" w:space="0" w:color="auto"/>
            <w:bottom w:val="none" w:sz="0" w:space="0" w:color="auto"/>
            <w:right w:val="none" w:sz="0" w:space="0" w:color="auto"/>
          </w:divBdr>
          <w:divsChild>
            <w:div w:id="141639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2957">
      <w:bodyDiv w:val="1"/>
      <w:marLeft w:val="0"/>
      <w:marRight w:val="0"/>
      <w:marTop w:val="0"/>
      <w:marBottom w:val="0"/>
      <w:divBdr>
        <w:top w:val="none" w:sz="0" w:space="0" w:color="auto"/>
        <w:left w:val="none" w:sz="0" w:space="0" w:color="auto"/>
        <w:bottom w:val="none" w:sz="0" w:space="0" w:color="auto"/>
        <w:right w:val="none" w:sz="0" w:space="0" w:color="auto"/>
      </w:divBdr>
    </w:div>
    <w:div w:id="863590287">
      <w:bodyDiv w:val="1"/>
      <w:marLeft w:val="0"/>
      <w:marRight w:val="0"/>
      <w:marTop w:val="0"/>
      <w:marBottom w:val="0"/>
      <w:divBdr>
        <w:top w:val="none" w:sz="0" w:space="0" w:color="auto"/>
        <w:left w:val="none" w:sz="0" w:space="0" w:color="auto"/>
        <w:bottom w:val="none" w:sz="0" w:space="0" w:color="auto"/>
        <w:right w:val="none" w:sz="0" w:space="0" w:color="auto"/>
      </w:divBdr>
      <w:divsChild>
        <w:div w:id="1993288884">
          <w:marLeft w:val="0"/>
          <w:marRight w:val="0"/>
          <w:marTop w:val="0"/>
          <w:marBottom w:val="0"/>
          <w:divBdr>
            <w:top w:val="none" w:sz="0" w:space="0" w:color="auto"/>
            <w:left w:val="none" w:sz="0" w:space="0" w:color="auto"/>
            <w:bottom w:val="none" w:sz="0" w:space="0" w:color="auto"/>
            <w:right w:val="none" w:sz="0" w:space="0" w:color="auto"/>
          </w:divBdr>
        </w:div>
        <w:div w:id="1995254354">
          <w:marLeft w:val="0"/>
          <w:marRight w:val="0"/>
          <w:marTop w:val="0"/>
          <w:marBottom w:val="0"/>
          <w:divBdr>
            <w:top w:val="none" w:sz="0" w:space="0" w:color="auto"/>
            <w:left w:val="none" w:sz="0" w:space="0" w:color="auto"/>
            <w:bottom w:val="none" w:sz="0" w:space="0" w:color="auto"/>
            <w:right w:val="none" w:sz="0" w:space="0" w:color="auto"/>
          </w:divBdr>
          <w:divsChild>
            <w:div w:id="752436809">
              <w:marLeft w:val="-225"/>
              <w:marRight w:val="-225"/>
              <w:marTop w:val="0"/>
              <w:marBottom w:val="0"/>
              <w:divBdr>
                <w:top w:val="none" w:sz="0" w:space="0" w:color="auto"/>
                <w:left w:val="none" w:sz="0" w:space="0" w:color="auto"/>
                <w:bottom w:val="none" w:sz="0" w:space="0" w:color="auto"/>
                <w:right w:val="none" w:sz="0" w:space="0" w:color="auto"/>
              </w:divBdr>
              <w:divsChild>
                <w:div w:id="210587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710833">
      <w:bodyDiv w:val="1"/>
      <w:marLeft w:val="0"/>
      <w:marRight w:val="0"/>
      <w:marTop w:val="0"/>
      <w:marBottom w:val="0"/>
      <w:divBdr>
        <w:top w:val="none" w:sz="0" w:space="0" w:color="auto"/>
        <w:left w:val="none" w:sz="0" w:space="0" w:color="auto"/>
        <w:bottom w:val="none" w:sz="0" w:space="0" w:color="auto"/>
        <w:right w:val="none" w:sz="0" w:space="0" w:color="auto"/>
      </w:divBdr>
      <w:divsChild>
        <w:div w:id="801114940">
          <w:marLeft w:val="0"/>
          <w:marRight w:val="0"/>
          <w:marTop w:val="0"/>
          <w:marBottom w:val="240"/>
          <w:divBdr>
            <w:top w:val="none" w:sz="0" w:space="0" w:color="auto"/>
            <w:left w:val="none" w:sz="0" w:space="0" w:color="auto"/>
            <w:bottom w:val="none" w:sz="0" w:space="0" w:color="auto"/>
            <w:right w:val="none" w:sz="0" w:space="0" w:color="auto"/>
          </w:divBdr>
        </w:div>
        <w:div w:id="178007927">
          <w:marLeft w:val="0"/>
          <w:marRight w:val="0"/>
          <w:marTop w:val="0"/>
          <w:marBottom w:val="240"/>
          <w:divBdr>
            <w:top w:val="none" w:sz="0" w:space="0" w:color="auto"/>
            <w:left w:val="none" w:sz="0" w:space="0" w:color="auto"/>
            <w:bottom w:val="none" w:sz="0" w:space="0" w:color="auto"/>
            <w:right w:val="none" w:sz="0" w:space="0" w:color="auto"/>
          </w:divBdr>
        </w:div>
        <w:div w:id="272369637">
          <w:marLeft w:val="0"/>
          <w:marRight w:val="0"/>
          <w:marTop w:val="0"/>
          <w:marBottom w:val="240"/>
          <w:divBdr>
            <w:top w:val="none" w:sz="0" w:space="0" w:color="auto"/>
            <w:left w:val="none" w:sz="0" w:space="0" w:color="auto"/>
            <w:bottom w:val="none" w:sz="0" w:space="0" w:color="auto"/>
            <w:right w:val="none" w:sz="0" w:space="0" w:color="auto"/>
          </w:divBdr>
        </w:div>
        <w:div w:id="1571581174">
          <w:marLeft w:val="0"/>
          <w:marRight w:val="0"/>
          <w:marTop w:val="0"/>
          <w:marBottom w:val="240"/>
          <w:divBdr>
            <w:top w:val="none" w:sz="0" w:space="0" w:color="auto"/>
            <w:left w:val="none" w:sz="0" w:space="0" w:color="auto"/>
            <w:bottom w:val="none" w:sz="0" w:space="0" w:color="auto"/>
            <w:right w:val="none" w:sz="0" w:space="0" w:color="auto"/>
          </w:divBdr>
        </w:div>
      </w:divsChild>
    </w:div>
    <w:div w:id="863909834">
      <w:bodyDiv w:val="1"/>
      <w:marLeft w:val="0"/>
      <w:marRight w:val="0"/>
      <w:marTop w:val="0"/>
      <w:marBottom w:val="0"/>
      <w:divBdr>
        <w:top w:val="none" w:sz="0" w:space="0" w:color="auto"/>
        <w:left w:val="none" w:sz="0" w:space="0" w:color="auto"/>
        <w:bottom w:val="none" w:sz="0" w:space="0" w:color="auto"/>
        <w:right w:val="none" w:sz="0" w:space="0" w:color="auto"/>
      </w:divBdr>
      <w:divsChild>
        <w:div w:id="1948657388">
          <w:marLeft w:val="0"/>
          <w:marRight w:val="0"/>
          <w:marTop w:val="0"/>
          <w:marBottom w:val="0"/>
          <w:divBdr>
            <w:top w:val="none" w:sz="0" w:space="0" w:color="auto"/>
            <w:left w:val="none" w:sz="0" w:space="0" w:color="auto"/>
            <w:bottom w:val="none" w:sz="0" w:space="0" w:color="auto"/>
            <w:right w:val="none" w:sz="0" w:space="0" w:color="auto"/>
          </w:divBdr>
        </w:div>
      </w:divsChild>
    </w:div>
    <w:div w:id="863983755">
      <w:bodyDiv w:val="1"/>
      <w:marLeft w:val="0"/>
      <w:marRight w:val="0"/>
      <w:marTop w:val="0"/>
      <w:marBottom w:val="0"/>
      <w:divBdr>
        <w:top w:val="none" w:sz="0" w:space="0" w:color="auto"/>
        <w:left w:val="none" w:sz="0" w:space="0" w:color="auto"/>
        <w:bottom w:val="none" w:sz="0" w:space="0" w:color="auto"/>
        <w:right w:val="none" w:sz="0" w:space="0" w:color="auto"/>
      </w:divBdr>
      <w:divsChild>
        <w:div w:id="1968733541">
          <w:marLeft w:val="0"/>
          <w:marRight w:val="0"/>
          <w:marTop w:val="0"/>
          <w:marBottom w:val="0"/>
          <w:divBdr>
            <w:top w:val="none" w:sz="0" w:space="0" w:color="auto"/>
            <w:left w:val="none" w:sz="0" w:space="0" w:color="auto"/>
            <w:bottom w:val="dotted" w:sz="6" w:space="4" w:color="DDDDDD"/>
            <w:right w:val="none" w:sz="0" w:space="0" w:color="auto"/>
          </w:divBdr>
        </w:div>
      </w:divsChild>
    </w:div>
    <w:div w:id="864633327">
      <w:bodyDiv w:val="1"/>
      <w:marLeft w:val="0"/>
      <w:marRight w:val="0"/>
      <w:marTop w:val="0"/>
      <w:marBottom w:val="0"/>
      <w:divBdr>
        <w:top w:val="none" w:sz="0" w:space="0" w:color="auto"/>
        <w:left w:val="none" w:sz="0" w:space="0" w:color="auto"/>
        <w:bottom w:val="none" w:sz="0" w:space="0" w:color="auto"/>
        <w:right w:val="none" w:sz="0" w:space="0" w:color="auto"/>
      </w:divBdr>
    </w:div>
    <w:div w:id="865022347">
      <w:bodyDiv w:val="1"/>
      <w:marLeft w:val="0"/>
      <w:marRight w:val="0"/>
      <w:marTop w:val="0"/>
      <w:marBottom w:val="0"/>
      <w:divBdr>
        <w:top w:val="none" w:sz="0" w:space="0" w:color="auto"/>
        <w:left w:val="none" w:sz="0" w:space="0" w:color="auto"/>
        <w:bottom w:val="none" w:sz="0" w:space="0" w:color="auto"/>
        <w:right w:val="none" w:sz="0" w:space="0" w:color="auto"/>
      </w:divBdr>
      <w:divsChild>
        <w:div w:id="704987622">
          <w:marLeft w:val="0"/>
          <w:marRight w:val="0"/>
          <w:marTop w:val="0"/>
          <w:marBottom w:val="150"/>
          <w:divBdr>
            <w:top w:val="none" w:sz="0" w:space="0" w:color="auto"/>
            <w:left w:val="none" w:sz="0" w:space="0" w:color="auto"/>
            <w:bottom w:val="none" w:sz="0" w:space="0" w:color="auto"/>
            <w:right w:val="none" w:sz="0" w:space="0" w:color="auto"/>
          </w:divBdr>
        </w:div>
        <w:div w:id="1901090182">
          <w:marLeft w:val="0"/>
          <w:marRight w:val="0"/>
          <w:marTop w:val="0"/>
          <w:marBottom w:val="150"/>
          <w:divBdr>
            <w:top w:val="none" w:sz="0" w:space="0" w:color="auto"/>
            <w:left w:val="none" w:sz="0" w:space="0" w:color="auto"/>
            <w:bottom w:val="none" w:sz="0" w:space="0" w:color="auto"/>
            <w:right w:val="none" w:sz="0" w:space="0" w:color="auto"/>
          </w:divBdr>
          <w:divsChild>
            <w:div w:id="42207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215399">
      <w:bodyDiv w:val="1"/>
      <w:marLeft w:val="0"/>
      <w:marRight w:val="0"/>
      <w:marTop w:val="0"/>
      <w:marBottom w:val="0"/>
      <w:divBdr>
        <w:top w:val="none" w:sz="0" w:space="0" w:color="auto"/>
        <w:left w:val="none" w:sz="0" w:space="0" w:color="auto"/>
        <w:bottom w:val="none" w:sz="0" w:space="0" w:color="auto"/>
        <w:right w:val="none" w:sz="0" w:space="0" w:color="auto"/>
      </w:divBdr>
      <w:divsChild>
        <w:div w:id="213351023">
          <w:marLeft w:val="0"/>
          <w:marRight w:val="0"/>
          <w:marTop w:val="0"/>
          <w:marBottom w:val="0"/>
          <w:divBdr>
            <w:top w:val="none" w:sz="0" w:space="0" w:color="auto"/>
            <w:left w:val="none" w:sz="0" w:space="0" w:color="auto"/>
            <w:bottom w:val="none" w:sz="0" w:space="0" w:color="auto"/>
            <w:right w:val="none" w:sz="0" w:space="0" w:color="auto"/>
          </w:divBdr>
          <w:divsChild>
            <w:div w:id="345209063">
              <w:marLeft w:val="0"/>
              <w:marRight w:val="0"/>
              <w:marTop w:val="0"/>
              <w:marBottom w:val="150"/>
              <w:divBdr>
                <w:top w:val="none" w:sz="0" w:space="0" w:color="auto"/>
                <w:left w:val="none" w:sz="0" w:space="0" w:color="auto"/>
                <w:bottom w:val="none" w:sz="0" w:space="0" w:color="auto"/>
                <w:right w:val="none" w:sz="0" w:space="0" w:color="auto"/>
              </w:divBdr>
            </w:div>
            <w:div w:id="152038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293319">
      <w:bodyDiv w:val="1"/>
      <w:marLeft w:val="0"/>
      <w:marRight w:val="0"/>
      <w:marTop w:val="0"/>
      <w:marBottom w:val="0"/>
      <w:divBdr>
        <w:top w:val="none" w:sz="0" w:space="0" w:color="auto"/>
        <w:left w:val="none" w:sz="0" w:space="0" w:color="auto"/>
        <w:bottom w:val="none" w:sz="0" w:space="0" w:color="auto"/>
        <w:right w:val="none" w:sz="0" w:space="0" w:color="auto"/>
      </w:divBdr>
    </w:div>
    <w:div w:id="866212535">
      <w:bodyDiv w:val="1"/>
      <w:marLeft w:val="0"/>
      <w:marRight w:val="0"/>
      <w:marTop w:val="0"/>
      <w:marBottom w:val="0"/>
      <w:divBdr>
        <w:top w:val="none" w:sz="0" w:space="0" w:color="auto"/>
        <w:left w:val="none" w:sz="0" w:space="0" w:color="auto"/>
        <w:bottom w:val="none" w:sz="0" w:space="0" w:color="auto"/>
        <w:right w:val="none" w:sz="0" w:space="0" w:color="auto"/>
      </w:divBdr>
      <w:divsChild>
        <w:div w:id="1471947199">
          <w:marLeft w:val="0"/>
          <w:marRight w:val="0"/>
          <w:marTop w:val="0"/>
          <w:marBottom w:val="0"/>
          <w:divBdr>
            <w:top w:val="none" w:sz="0" w:space="0" w:color="auto"/>
            <w:left w:val="none" w:sz="0" w:space="0" w:color="auto"/>
            <w:bottom w:val="dotted" w:sz="6" w:space="4" w:color="DDDDDD"/>
            <w:right w:val="none" w:sz="0" w:space="0" w:color="auto"/>
          </w:divBdr>
        </w:div>
      </w:divsChild>
    </w:div>
    <w:div w:id="866410024">
      <w:bodyDiv w:val="1"/>
      <w:marLeft w:val="0"/>
      <w:marRight w:val="0"/>
      <w:marTop w:val="0"/>
      <w:marBottom w:val="0"/>
      <w:divBdr>
        <w:top w:val="none" w:sz="0" w:space="0" w:color="auto"/>
        <w:left w:val="none" w:sz="0" w:space="0" w:color="auto"/>
        <w:bottom w:val="none" w:sz="0" w:space="0" w:color="auto"/>
        <w:right w:val="none" w:sz="0" w:space="0" w:color="auto"/>
      </w:divBdr>
      <w:divsChild>
        <w:div w:id="1546717936">
          <w:marLeft w:val="0"/>
          <w:marRight w:val="0"/>
          <w:marTop w:val="0"/>
          <w:marBottom w:val="0"/>
          <w:divBdr>
            <w:top w:val="none" w:sz="0" w:space="0" w:color="auto"/>
            <w:left w:val="none" w:sz="0" w:space="0" w:color="auto"/>
            <w:bottom w:val="none" w:sz="0" w:space="0" w:color="auto"/>
            <w:right w:val="none" w:sz="0" w:space="0" w:color="auto"/>
          </w:divBdr>
          <w:divsChild>
            <w:div w:id="143670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526145">
      <w:bodyDiv w:val="1"/>
      <w:marLeft w:val="0"/>
      <w:marRight w:val="0"/>
      <w:marTop w:val="0"/>
      <w:marBottom w:val="0"/>
      <w:divBdr>
        <w:top w:val="none" w:sz="0" w:space="0" w:color="auto"/>
        <w:left w:val="none" w:sz="0" w:space="0" w:color="auto"/>
        <w:bottom w:val="none" w:sz="0" w:space="0" w:color="auto"/>
        <w:right w:val="none" w:sz="0" w:space="0" w:color="auto"/>
      </w:divBdr>
      <w:divsChild>
        <w:div w:id="751708568">
          <w:marLeft w:val="0"/>
          <w:marRight w:val="0"/>
          <w:marTop w:val="0"/>
          <w:marBottom w:val="0"/>
          <w:divBdr>
            <w:top w:val="none" w:sz="0" w:space="0" w:color="auto"/>
            <w:left w:val="none" w:sz="0" w:space="0" w:color="auto"/>
            <w:bottom w:val="dotted" w:sz="6" w:space="4" w:color="DDDDDD"/>
            <w:right w:val="none" w:sz="0" w:space="0" w:color="auto"/>
          </w:divBdr>
          <w:divsChild>
            <w:div w:id="78893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528191">
      <w:bodyDiv w:val="1"/>
      <w:marLeft w:val="0"/>
      <w:marRight w:val="0"/>
      <w:marTop w:val="0"/>
      <w:marBottom w:val="0"/>
      <w:divBdr>
        <w:top w:val="none" w:sz="0" w:space="0" w:color="auto"/>
        <w:left w:val="none" w:sz="0" w:space="0" w:color="auto"/>
        <w:bottom w:val="none" w:sz="0" w:space="0" w:color="auto"/>
        <w:right w:val="none" w:sz="0" w:space="0" w:color="auto"/>
      </w:divBdr>
      <w:divsChild>
        <w:div w:id="156112155">
          <w:marLeft w:val="0"/>
          <w:marRight w:val="0"/>
          <w:marTop w:val="0"/>
          <w:marBottom w:val="300"/>
          <w:divBdr>
            <w:top w:val="none" w:sz="0" w:space="0" w:color="auto"/>
            <w:left w:val="none" w:sz="0" w:space="0" w:color="auto"/>
            <w:bottom w:val="none" w:sz="0" w:space="0" w:color="auto"/>
            <w:right w:val="none" w:sz="0" w:space="0" w:color="auto"/>
          </w:divBdr>
          <w:divsChild>
            <w:div w:id="1870989253">
              <w:marLeft w:val="0"/>
              <w:marRight w:val="0"/>
              <w:marTop w:val="0"/>
              <w:marBottom w:val="0"/>
              <w:divBdr>
                <w:top w:val="none" w:sz="0" w:space="0" w:color="auto"/>
                <w:left w:val="none" w:sz="0" w:space="0" w:color="auto"/>
                <w:bottom w:val="none" w:sz="0" w:space="0" w:color="auto"/>
                <w:right w:val="none" w:sz="0" w:space="0" w:color="auto"/>
              </w:divBdr>
            </w:div>
          </w:divsChild>
        </w:div>
        <w:div w:id="672991283">
          <w:marLeft w:val="0"/>
          <w:marRight w:val="0"/>
          <w:marTop w:val="0"/>
          <w:marBottom w:val="0"/>
          <w:divBdr>
            <w:top w:val="none" w:sz="0" w:space="0" w:color="auto"/>
            <w:left w:val="none" w:sz="0" w:space="0" w:color="auto"/>
            <w:bottom w:val="none" w:sz="0" w:space="0" w:color="auto"/>
            <w:right w:val="none" w:sz="0" w:space="0" w:color="auto"/>
          </w:divBdr>
          <w:divsChild>
            <w:div w:id="244267870">
              <w:marLeft w:val="0"/>
              <w:marRight w:val="0"/>
              <w:marTop w:val="0"/>
              <w:marBottom w:val="0"/>
              <w:divBdr>
                <w:top w:val="none" w:sz="0" w:space="0" w:color="auto"/>
                <w:left w:val="none" w:sz="0" w:space="0" w:color="auto"/>
                <w:bottom w:val="none" w:sz="0" w:space="0" w:color="auto"/>
                <w:right w:val="none" w:sz="0" w:space="0" w:color="auto"/>
              </w:divBdr>
              <w:divsChild>
                <w:div w:id="72345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631366">
          <w:marLeft w:val="0"/>
          <w:marRight w:val="0"/>
          <w:marTop w:val="0"/>
          <w:marBottom w:val="75"/>
          <w:divBdr>
            <w:top w:val="none" w:sz="0" w:space="0" w:color="auto"/>
            <w:left w:val="none" w:sz="0" w:space="0" w:color="auto"/>
            <w:bottom w:val="none" w:sz="0" w:space="0" w:color="auto"/>
            <w:right w:val="none" w:sz="0" w:space="0" w:color="auto"/>
          </w:divBdr>
        </w:div>
        <w:div w:id="911741000">
          <w:marLeft w:val="0"/>
          <w:marRight w:val="0"/>
          <w:marTop w:val="0"/>
          <w:marBottom w:val="0"/>
          <w:divBdr>
            <w:top w:val="none" w:sz="0" w:space="0" w:color="auto"/>
            <w:left w:val="none" w:sz="0" w:space="0" w:color="auto"/>
            <w:bottom w:val="none" w:sz="0" w:space="0" w:color="auto"/>
            <w:right w:val="none" w:sz="0" w:space="0" w:color="auto"/>
          </w:divBdr>
        </w:div>
      </w:divsChild>
    </w:div>
    <w:div w:id="866676691">
      <w:bodyDiv w:val="1"/>
      <w:marLeft w:val="0"/>
      <w:marRight w:val="0"/>
      <w:marTop w:val="0"/>
      <w:marBottom w:val="0"/>
      <w:divBdr>
        <w:top w:val="none" w:sz="0" w:space="0" w:color="auto"/>
        <w:left w:val="none" w:sz="0" w:space="0" w:color="auto"/>
        <w:bottom w:val="none" w:sz="0" w:space="0" w:color="auto"/>
        <w:right w:val="none" w:sz="0" w:space="0" w:color="auto"/>
      </w:divBdr>
    </w:div>
    <w:div w:id="866676696">
      <w:bodyDiv w:val="1"/>
      <w:marLeft w:val="0"/>
      <w:marRight w:val="0"/>
      <w:marTop w:val="0"/>
      <w:marBottom w:val="0"/>
      <w:divBdr>
        <w:top w:val="none" w:sz="0" w:space="0" w:color="auto"/>
        <w:left w:val="none" w:sz="0" w:space="0" w:color="auto"/>
        <w:bottom w:val="none" w:sz="0" w:space="0" w:color="auto"/>
        <w:right w:val="none" w:sz="0" w:space="0" w:color="auto"/>
      </w:divBdr>
    </w:div>
    <w:div w:id="866679294">
      <w:bodyDiv w:val="1"/>
      <w:marLeft w:val="0"/>
      <w:marRight w:val="0"/>
      <w:marTop w:val="0"/>
      <w:marBottom w:val="0"/>
      <w:divBdr>
        <w:top w:val="none" w:sz="0" w:space="0" w:color="auto"/>
        <w:left w:val="none" w:sz="0" w:space="0" w:color="auto"/>
        <w:bottom w:val="none" w:sz="0" w:space="0" w:color="auto"/>
        <w:right w:val="none" w:sz="0" w:space="0" w:color="auto"/>
      </w:divBdr>
      <w:divsChild>
        <w:div w:id="1845629537">
          <w:marLeft w:val="0"/>
          <w:marRight w:val="0"/>
          <w:marTop w:val="0"/>
          <w:marBottom w:val="0"/>
          <w:divBdr>
            <w:top w:val="none" w:sz="0" w:space="0" w:color="auto"/>
            <w:left w:val="none" w:sz="0" w:space="0" w:color="auto"/>
            <w:bottom w:val="none" w:sz="0" w:space="0" w:color="auto"/>
            <w:right w:val="none" w:sz="0" w:space="0" w:color="auto"/>
          </w:divBdr>
          <w:divsChild>
            <w:div w:id="473454314">
              <w:marLeft w:val="0"/>
              <w:marRight w:val="0"/>
              <w:marTop w:val="0"/>
              <w:marBottom w:val="0"/>
              <w:divBdr>
                <w:top w:val="none" w:sz="0" w:space="0" w:color="auto"/>
                <w:left w:val="none" w:sz="0" w:space="0" w:color="auto"/>
                <w:bottom w:val="none" w:sz="0" w:space="0" w:color="auto"/>
                <w:right w:val="none" w:sz="0" w:space="0" w:color="auto"/>
              </w:divBdr>
              <w:divsChild>
                <w:div w:id="1588539376">
                  <w:marLeft w:val="0"/>
                  <w:marRight w:val="0"/>
                  <w:marTop w:val="0"/>
                  <w:marBottom w:val="0"/>
                  <w:divBdr>
                    <w:top w:val="none" w:sz="0" w:space="0" w:color="auto"/>
                    <w:left w:val="none" w:sz="0" w:space="0" w:color="auto"/>
                    <w:bottom w:val="none" w:sz="0" w:space="0" w:color="auto"/>
                    <w:right w:val="none" w:sz="0" w:space="0" w:color="auto"/>
                  </w:divBdr>
                  <w:divsChild>
                    <w:div w:id="58947328">
                      <w:marLeft w:val="0"/>
                      <w:marRight w:val="0"/>
                      <w:marTop w:val="0"/>
                      <w:marBottom w:val="0"/>
                      <w:divBdr>
                        <w:top w:val="none" w:sz="0" w:space="0" w:color="auto"/>
                        <w:left w:val="none" w:sz="0" w:space="0" w:color="auto"/>
                        <w:bottom w:val="none" w:sz="0" w:space="0" w:color="auto"/>
                        <w:right w:val="none" w:sz="0" w:space="0" w:color="auto"/>
                      </w:divBdr>
                      <w:divsChild>
                        <w:div w:id="1509830706">
                          <w:marLeft w:val="0"/>
                          <w:marRight w:val="0"/>
                          <w:marTop w:val="0"/>
                          <w:marBottom w:val="0"/>
                          <w:divBdr>
                            <w:top w:val="none" w:sz="0" w:space="0" w:color="auto"/>
                            <w:left w:val="none" w:sz="0" w:space="0" w:color="auto"/>
                            <w:bottom w:val="none" w:sz="0" w:space="0" w:color="auto"/>
                            <w:right w:val="none" w:sz="0" w:space="0" w:color="auto"/>
                          </w:divBdr>
                          <w:divsChild>
                            <w:div w:id="167062697">
                              <w:marLeft w:val="0"/>
                              <w:marRight w:val="0"/>
                              <w:marTop w:val="0"/>
                              <w:marBottom w:val="0"/>
                              <w:divBdr>
                                <w:top w:val="none" w:sz="0" w:space="0" w:color="auto"/>
                                <w:left w:val="none" w:sz="0" w:space="0" w:color="auto"/>
                                <w:bottom w:val="none" w:sz="0" w:space="0" w:color="auto"/>
                                <w:right w:val="none" w:sz="0" w:space="0" w:color="auto"/>
                              </w:divBdr>
                              <w:divsChild>
                                <w:div w:id="1102191014">
                                  <w:marLeft w:val="0"/>
                                  <w:marRight w:val="0"/>
                                  <w:marTop w:val="0"/>
                                  <w:marBottom w:val="0"/>
                                  <w:divBdr>
                                    <w:top w:val="none" w:sz="0" w:space="0" w:color="auto"/>
                                    <w:left w:val="none" w:sz="0" w:space="0" w:color="auto"/>
                                    <w:bottom w:val="none" w:sz="0" w:space="0" w:color="auto"/>
                                    <w:right w:val="none" w:sz="0" w:space="0" w:color="auto"/>
                                  </w:divBdr>
                                  <w:divsChild>
                                    <w:div w:id="2891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6869560">
      <w:bodyDiv w:val="1"/>
      <w:marLeft w:val="0"/>
      <w:marRight w:val="0"/>
      <w:marTop w:val="0"/>
      <w:marBottom w:val="0"/>
      <w:divBdr>
        <w:top w:val="none" w:sz="0" w:space="0" w:color="auto"/>
        <w:left w:val="none" w:sz="0" w:space="0" w:color="auto"/>
        <w:bottom w:val="none" w:sz="0" w:space="0" w:color="auto"/>
        <w:right w:val="none" w:sz="0" w:space="0" w:color="auto"/>
      </w:divBdr>
      <w:divsChild>
        <w:div w:id="57559540">
          <w:marLeft w:val="0"/>
          <w:marRight w:val="0"/>
          <w:marTop w:val="0"/>
          <w:marBottom w:val="0"/>
          <w:divBdr>
            <w:top w:val="none" w:sz="0" w:space="0" w:color="auto"/>
            <w:left w:val="none" w:sz="0" w:space="0" w:color="auto"/>
            <w:bottom w:val="dotted" w:sz="6" w:space="4" w:color="DDDDDD"/>
            <w:right w:val="none" w:sz="0" w:space="0" w:color="auto"/>
          </w:divBdr>
        </w:div>
      </w:divsChild>
    </w:div>
    <w:div w:id="866912885">
      <w:bodyDiv w:val="1"/>
      <w:marLeft w:val="0"/>
      <w:marRight w:val="0"/>
      <w:marTop w:val="0"/>
      <w:marBottom w:val="0"/>
      <w:divBdr>
        <w:top w:val="none" w:sz="0" w:space="0" w:color="auto"/>
        <w:left w:val="none" w:sz="0" w:space="0" w:color="auto"/>
        <w:bottom w:val="none" w:sz="0" w:space="0" w:color="auto"/>
        <w:right w:val="none" w:sz="0" w:space="0" w:color="auto"/>
      </w:divBdr>
      <w:divsChild>
        <w:div w:id="887912614">
          <w:marLeft w:val="0"/>
          <w:marRight w:val="0"/>
          <w:marTop w:val="0"/>
          <w:marBottom w:val="0"/>
          <w:divBdr>
            <w:top w:val="none" w:sz="0" w:space="0" w:color="auto"/>
            <w:left w:val="none" w:sz="0" w:space="0" w:color="auto"/>
            <w:bottom w:val="none" w:sz="0" w:space="0" w:color="auto"/>
            <w:right w:val="none" w:sz="0" w:space="0" w:color="auto"/>
          </w:divBdr>
          <w:divsChild>
            <w:div w:id="7561698">
              <w:marLeft w:val="0"/>
              <w:marRight w:val="0"/>
              <w:marTop w:val="0"/>
              <w:marBottom w:val="0"/>
              <w:divBdr>
                <w:top w:val="none" w:sz="0" w:space="0" w:color="auto"/>
                <w:left w:val="none" w:sz="0" w:space="0" w:color="auto"/>
                <w:bottom w:val="none" w:sz="0" w:space="0" w:color="auto"/>
                <w:right w:val="none" w:sz="0" w:space="0" w:color="auto"/>
              </w:divBdr>
              <w:divsChild>
                <w:div w:id="2067796002">
                  <w:marLeft w:val="0"/>
                  <w:marRight w:val="0"/>
                  <w:marTop w:val="0"/>
                  <w:marBottom w:val="0"/>
                  <w:divBdr>
                    <w:top w:val="none" w:sz="0" w:space="0" w:color="auto"/>
                    <w:left w:val="none" w:sz="0" w:space="0" w:color="auto"/>
                    <w:bottom w:val="none" w:sz="0" w:space="0" w:color="auto"/>
                    <w:right w:val="none" w:sz="0" w:space="0" w:color="auto"/>
                  </w:divBdr>
                  <w:divsChild>
                    <w:div w:id="1736856645">
                      <w:marLeft w:val="0"/>
                      <w:marRight w:val="0"/>
                      <w:marTop w:val="0"/>
                      <w:marBottom w:val="0"/>
                      <w:divBdr>
                        <w:top w:val="none" w:sz="0" w:space="0" w:color="auto"/>
                        <w:left w:val="none" w:sz="0" w:space="0" w:color="auto"/>
                        <w:bottom w:val="none" w:sz="0" w:space="0" w:color="auto"/>
                        <w:right w:val="none" w:sz="0" w:space="0" w:color="auto"/>
                      </w:divBdr>
                      <w:divsChild>
                        <w:div w:id="172572032">
                          <w:marLeft w:val="0"/>
                          <w:marRight w:val="0"/>
                          <w:marTop w:val="0"/>
                          <w:marBottom w:val="0"/>
                          <w:divBdr>
                            <w:top w:val="none" w:sz="0" w:space="0" w:color="auto"/>
                            <w:left w:val="none" w:sz="0" w:space="0" w:color="auto"/>
                            <w:bottom w:val="none" w:sz="0" w:space="0" w:color="auto"/>
                            <w:right w:val="none" w:sz="0" w:space="0" w:color="auto"/>
                          </w:divBdr>
                          <w:divsChild>
                            <w:div w:id="898399624">
                              <w:marLeft w:val="0"/>
                              <w:marRight w:val="0"/>
                              <w:marTop w:val="0"/>
                              <w:marBottom w:val="0"/>
                              <w:divBdr>
                                <w:top w:val="none" w:sz="0" w:space="0" w:color="auto"/>
                                <w:left w:val="none" w:sz="0" w:space="0" w:color="auto"/>
                                <w:bottom w:val="none" w:sz="0" w:space="0" w:color="auto"/>
                                <w:right w:val="none" w:sz="0" w:space="0" w:color="auto"/>
                              </w:divBdr>
                              <w:divsChild>
                                <w:div w:id="163683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7179880">
      <w:bodyDiv w:val="1"/>
      <w:marLeft w:val="0"/>
      <w:marRight w:val="0"/>
      <w:marTop w:val="0"/>
      <w:marBottom w:val="0"/>
      <w:divBdr>
        <w:top w:val="none" w:sz="0" w:space="0" w:color="auto"/>
        <w:left w:val="none" w:sz="0" w:space="0" w:color="auto"/>
        <w:bottom w:val="none" w:sz="0" w:space="0" w:color="auto"/>
        <w:right w:val="none" w:sz="0" w:space="0" w:color="auto"/>
      </w:divBdr>
    </w:div>
    <w:div w:id="867304384">
      <w:bodyDiv w:val="1"/>
      <w:marLeft w:val="0"/>
      <w:marRight w:val="0"/>
      <w:marTop w:val="0"/>
      <w:marBottom w:val="0"/>
      <w:divBdr>
        <w:top w:val="none" w:sz="0" w:space="0" w:color="auto"/>
        <w:left w:val="none" w:sz="0" w:space="0" w:color="auto"/>
        <w:bottom w:val="none" w:sz="0" w:space="0" w:color="auto"/>
        <w:right w:val="none" w:sz="0" w:space="0" w:color="auto"/>
      </w:divBdr>
    </w:div>
    <w:div w:id="867723519">
      <w:bodyDiv w:val="1"/>
      <w:marLeft w:val="0"/>
      <w:marRight w:val="0"/>
      <w:marTop w:val="0"/>
      <w:marBottom w:val="0"/>
      <w:divBdr>
        <w:top w:val="none" w:sz="0" w:space="0" w:color="auto"/>
        <w:left w:val="none" w:sz="0" w:space="0" w:color="auto"/>
        <w:bottom w:val="none" w:sz="0" w:space="0" w:color="auto"/>
        <w:right w:val="none" w:sz="0" w:space="0" w:color="auto"/>
      </w:divBdr>
      <w:divsChild>
        <w:div w:id="1412701938">
          <w:marLeft w:val="0"/>
          <w:marRight w:val="0"/>
          <w:marTop w:val="0"/>
          <w:marBottom w:val="0"/>
          <w:divBdr>
            <w:top w:val="none" w:sz="0" w:space="0" w:color="auto"/>
            <w:left w:val="none" w:sz="0" w:space="0" w:color="auto"/>
            <w:bottom w:val="none" w:sz="0" w:space="0" w:color="auto"/>
            <w:right w:val="none" w:sz="0" w:space="0" w:color="auto"/>
          </w:divBdr>
          <w:divsChild>
            <w:div w:id="739405817">
              <w:marLeft w:val="0"/>
              <w:marRight w:val="0"/>
              <w:marTop w:val="0"/>
              <w:marBottom w:val="0"/>
              <w:divBdr>
                <w:top w:val="none" w:sz="0" w:space="0" w:color="auto"/>
                <w:left w:val="none" w:sz="0" w:space="0" w:color="auto"/>
                <w:bottom w:val="none" w:sz="0" w:space="0" w:color="auto"/>
                <w:right w:val="none" w:sz="0" w:space="0" w:color="auto"/>
              </w:divBdr>
              <w:divsChild>
                <w:div w:id="1275090317">
                  <w:marLeft w:val="0"/>
                  <w:marRight w:val="0"/>
                  <w:marTop w:val="0"/>
                  <w:marBottom w:val="0"/>
                  <w:divBdr>
                    <w:top w:val="none" w:sz="0" w:space="0" w:color="auto"/>
                    <w:left w:val="none" w:sz="0" w:space="0" w:color="auto"/>
                    <w:bottom w:val="none" w:sz="0" w:space="0" w:color="auto"/>
                    <w:right w:val="none" w:sz="0" w:space="0" w:color="auto"/>
                  </w:divBdr>
                  <w:divsChild>
                    <w:div w:id="2116704020">
                      <w:marLeft w:val="0"/>
                      <w:marRight w:val="0"/>
                      <w:marTop w:val="0"/>
                      <w:marBottom w:val="0"/>
                      <w:divBdr>
                        <w:top w:val="none" w:sz="0" w:space="0" w:color="auto"/>
                        <w:left w:val="none" w:sz="0" w:space="0" w:color="auto"/>
                        <w:bottom w:val="none" w:sz="0" w:space="0" w:color="auto"/>
                        <w:right w:val="none" w:sz="0" w:space="0" w:color="auto"/>
                      </w:divBdr>
                      <w:divsChild>
                        <w:div w:id="1749379776">
                          <w:marLeft w:val="0"/>
                          <w:marRight w:val="0"/>
                          <w:marTop w:val="0"/>
                          <w:marBottom w:val="0"/>
                          <w:divBdr>
                            <w:top w:val="none" w:sz="0" w:space="0" w:color="auto"/>
                            <w:left w:val="none" w:sz="0" w:space="0" w:color="auto"/>
                            <w:bottom w:val="none" w:sz="0" w:space="0" w:color="auto"/>
                            <w:right w:val="none" w:sz="0" w:space="0" w:color="auto"/>
                          </w:divBdr>
                          <w:divsChild>
                            <w:div w:id="1879514480">
                              <w:marLeft w:val="0"/>
                              <w:marRight w:val="0"/>
                              <w:marTop w:val="0"/>
                              <w:marBottom w:val="0"/>
                              <w:divBdr>
                                <w:top w:val="none" w:sz="0" w:space="0" w:color="auto"/>
                                <w:left w:val="none" w:sz="0" w:space="0" w:color="auto"/>
                                <w:bottom w:val="none" w:sz="0" w:space="0" w:color="auto"/>
                                <w:right w:val="none" w:sz="0" w:space="0" w:color="auto"/>
                              </w:divBdr>
                              <w:divsChild>
                                <w:div w:id="1229607945">
                                  <w:marLeft w:val="0"/>
                                  <w:marRight w:val="0"/>
                                  <w:marTop w:val="0"/>
                                  <w:marBottom w:val="0"/>
                                  <w:divBdr>
                                    <w:top w:val="none" w:sz="0" w:space="0" w:color="auto"/>
                                    <w:left w:val="none" w:sz="0" w:space="0" w:color="auto"/>
                                    <w:bottom w:val="none" w:sz="0" w:space="0" w:color="auto"/>
                                    <w:right w:val="none" w:sz="0" w:space="0" w:color="auto"/>
                                  </w:divBdr>
                                  <w:divsChild>
                                    <w:div w:id="67792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98671">
      <w:bodyDiv w:val="1"/>
      <w:marLeft w:val="0"/>
      <w:marRight w:val="0"/>
      <w:marTop w:val="0"/>
      <w:marBottom w:val="0"/>
      <w:divBdr>
        <w:top w:val="none" w:sz="0" w:space="0" w:color="auto"/>
        <w:left w:val="none" w:sz="0" w:space="0" w:color="auto"/>
        <w:bottom w:val="none" w:sz="0" w:space="0" w:color="auto"/>
        <w:right w:val="none" w:sz="0" w:space="0" w:color="auto"/>
      </w:divBdr>
      <w:divsChild>
        <w:div w:id="1951350099">
          <w:marLeft w:val="0"/>
          <w:marRight w:val="0"/>
          <w:marTop w:val="0"/>
          <w:marBottom w:val="150"/>
          <w:divBdr>
            <w:top w:val="none" w:sz="0" w:space="0" w:color="auto"/>
            <w:left w:val="none" w:sz="0" w:space="0" w:color="auto"/>
            <w:bottom w:val="none" w:sz="0" w:space="0" w:color="auto"/>
            <w:right w:val="none" w:sz="0" w:space="0" w:color="auto"/>
          </w:divBdr>
        </w:div>
      </w:divsChild>
    </w:div>
    <w:div w:id="869298869">
      <w:bodyDiv w:val="1"/>
      <w:marLeft w:val="0"/>
      <w:marRight w:val="0"/>
      <w:marTop w:val="0"/>
      <w:marBottom w:val="0"/>
      <w:divBdr>
        <w:top w:val="none" w:sz="0" w:space="0" w:color="auto"/>
        <w:left w:val="none" w:sz="0" w:space="0" w:color="auto"/>
        <w:bottom w:val="none" w:sz="0" w:space="0" w:color="auto"/>
        <w:right w:val="none" w:sz="0" w:space="0" w:color="auto"/>
      </w:divBdr>
    </w:div>
    <w:div w:id="870264374">
      <w:bodyDiv w:val="1"/>
      <w:marLeft w:val="0"/>
      <w:marRight w:val="0"/>
      <w:marTop w:val="0"/>
      <w:marBottom w:val="0"/>
      <w:divBdr>
        <w:top w:val="none" w:sz="0" w:space="0" w:color="auto"/>
        <w:left w:val="none" w:sz="0" w:space="0" w:color="auto"/>
        <w:bottom w:val="none" w:sz="0" w:space="0" w:color="auto"/>
        <w:right w:val="none" w:sz="0" w:space="0" w:color="auto"/>
      </w:divBdr>
      <w:divsChild>
        <w:div w:id="1010790696">
          <w:marLeft w:val="0"/>
          <w:marRight w:val="0"/>
          <w:marTop w:val="0"/>
          <w:marBottom w:val="0"/>
          <w:divBdr>
            <w:top w:val="none" w:sz="0" w:space="0" w:color="auto"/>
            <w:left w:val="none" w:sz="0" w:space="0" w:color="auto"/>
            <w:bottom w:val="none" w:sz="0" w:space="0" w:color="auto"/>
            <w:right w:val="none" w:sz="0" w:space="0" w:color="auto"/>
          </w:divBdr>
          <w:divsChild>
            <w:div w:id="2146192294">
              <w:marLeft w:val="0"/>
              <w:marRight w:val="0"/>
              <w:marTop w:val="0"/>
              <w:marBottom w:val="0"/>
              <w:divBdr>
                <w:top w:val="none" w:sz="0" w:space="0" w:color="auto"/>
                <w:left w:val="none" w:sz="0" w:space="0" w:color="auto"/>
                <w:bottom w:val="none" w:sz="0" w:space="0" w:color="auto"/>
                <w:right w:val="none" w:sz="0" w:space="0" w:color="auto"/>
              </w:divBdr>
              <w:divsChild>
                <w:div w:id="1294022583">
                  <w:marLeft w:val="0"/>
                  <w:marRight w:val="0"/>
                  <w:marTop w:val="0"/>
                  <w:marBottom w:val="0"/>
                  <w:divBdr>
                    <w:top w:val="none" w:sz="0" w:space="0" w:color="auto"/>
                    <w:left w:val="none" w:sz="0" w:space="0" w:color="auto"/>
                    <w:bottom w:val="none" w:sz="0" w:space="0" w:color="auto"/>
                    <w:right w:val="none" w:sz="0" w:space="0" w:color="auto"/>
                  </w:divBdr>
                  <w:divsChild>
                    <w:div w:id="1133672718">
                      <w:marLeft w:val="0"/>
                      <w:marRight w:val="0"/>
                      <w:marTop w:val="0"/>
                      <w:marBottom w:val="0"/>
                      <w:divBdr>
                        <w:top w:val="none" w:sz="0" w:space="0" w:color="auto"/>
                        <w:left w:val="none" w:sz="0" w:space="0" w:color="auto"/>
                        <w:bottom w:val="none" w:sz="0" w:space="0" w:color="auto"/>
                        <w:right w:val="none" w:sz="0" w:space="0" w:color="auto"/>
                      </w:divBdr>
                      <w:divsChild>
                        <w:div w:id="441917784">
                          <w:marLeft w:val="0"/>
                          <w:marRight w:val="0"/>
                          <w:marTop w:val="0"/>
                          <w:marBottom w:val="0"/>
                          <w:divBdr>
                            <w:top w:val="none" w:sz="0" w:space="0" w:color="auto"/>
                            <w:left w:val="none" w:sz="0" w:space="0" w:color="auto"/>
                            <w:bottom w:val="none" w:sz="0" w:space="0" w:color="auto"/>
                            <w:right w:val="none" w:sz="0" w:space="0" w:color="auto"/>
                          </w:divBdr>
                          <w:divsChild>
                            <w:div w:id="2136636332">
                              <w:marLeft w:val="0"/>
                              <w:marRight w:val="0"/>
                              <w:marTop w:val="0"/>
                              <w:marBottom w:val="0"/>
                              <w:divBdr>
                                <w:top w:val="none" w:sz="0" w:space="0" w:color="auto"/>
                                <w:left w:val="none" w:sz="0" w:space="0" w:color="auto"/>
                                <w:bottom w:val="none" w:sz="0" w:space="0" w:color="auto"/>
                                <w:right w:val="none" w:sz="0" w:space="0" w:color="auto"/>
                              </w:divBdr>
                              <w:divsChild>
                                <w:div w:id="1310863553">
                                  <w:marLeft w:val="0"/>
                                  <w:marRight w:val="0"/>
                                  <w:marTop w:val="0"/>
                                  <w:marBottom w:val="0"/>
                                  <w:divBdr>
                                    <w:top w:val="none" w:sz="0" w:space="0" w:color="auto"/>
                                    <w:left w:val="none" w:sz="0" w:space="0" w:color="auto"/>
                                    <w:bottom w:val="none" w:sz="0" w:space="0" w:color="auto"/>
                                    <w:right w:val="none" w:sz="0" w:space="0" w:color="auto"/>
                                  </w:divBdr>
                                  <w:divsChild>
                                    <w:div w:id="209573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922223">
      <w:bodyDiv w:val="1"/>
      <w:marLeft w:val="0"/>
      <w:marRight w:val="0"/>
      <w:marTop w:val="439"/>
      <w:marBottom w:val="0"/>
      <w:divBdr>
        <w:top w:val="none" w:sz="0" w:space="0" w:color="auto"/>
        <w:left w:val="none" w:sz="0" w:space="0" w:color="auto"/>
        <w:bottom w:val="none" w:sz="0" w:space="0" w:color="auto"/>
        <w:right w:val="none" w:sz="0" w:space="0" w:color="auto"/>
      </w:divBdr>
      <w:divsChild>
        <w:div w:id="808743728">
          <w:marLeft w:val="0"/>
          <w:marRight w:val="0"/>
          <w:marTop w:val="0"/>
          <w:marBottom w:val="0"/>
          <w:divBdr>
            <w:top w:val="none" w:sz="0" w:space="0" w:color="auto"/>
            <w:left w:val="single" w:sz="6" w:space="0" w:color="ECECEC"/>
            <w:bottom w:val="none" w:sz="0" w:space="0" w:color="auto"/>
            <w:right w:val="single" w:sz="6" w:space="0" w:color="ECECEC"/>
          </w:divBdr>
          <w:divsChild>
            <w:div w:id="1318878488">
              <w:marLeft w:val="0"/>
              <w:marRight w:val="0"/>
              <w:marTop w:val="0"/>
              <w:marBottom w:val="0"/>
              <w:divBdr>
                <w:top w:val="none" w:sz="0" w:space="0" w:color="auto"/>
                <w:left w:val="none" w:sz="0" w:space="0" w:color="auto"/>
                <w:bottom w:val="none" w:sz="0" w:space="0" w:color="auto"/>
                <w:right w:val="none" w:sz="0" w:space="0" w:color="auto"/>
              </w:divBdr>
              <w:divsChild>
                <w:div w:id="1608662276">
                  <w:marLeft w:val="0"/>
                  <w:marRight w:val="0"/>
                  <w:marTop w:val="0"/>
                  <w:marBottom w:val="0"/>
                  <w:divBdr>
                    <w:top w:val="none" w:sz="0" w:space="0" w:color="auto"/>
                    <w:left w:val="none" w:sz="0" w:space="0" w:color="auto"/>
                    <w:bottom w:val="none" w:sz="0" w:space="0" w:color="auto"/>
                    <w:right w:val="none" w:sz="0" w:space="0" w:color="auto"/>
                  </w:divBdr>
                  <w:divsChild>
                    <w:div w:id="1982885992">
                      <w:marLeft w:val="0"/>
                      <w:marRight w:val="0"/>
                      <w:marTop w:val="0"/>
                      <w:marBottom w:val="0"/>
                      <w:divBdr>
                        <w:top w:val="none" w:sz="0" w:space="0" w:color="auto"/>
                        <w:left w:val="none" w:sz="0" w:space="0" w:color="auto"/>
                        <w:bottom w:val="none" w:sz="0" w:space="0" w:color="auto"/>
                        <w:right w:val="none" w:sz="0" w:space="0" w:color="auto"/>
                      </w:divBdr>
                      <w:divsChild>
                        <w:div w:id="1287545833">
                          <w:marLeft w:val="0"/>
                          <w:marRight w:val="0"/>
                          <w:marTop w:val="0"/>
                          <w:marBottom w:val="0"/>
                          <w:divBdr>
                            <w:top w:val="none" w:sz="0" w:space="0" w:color="auto"/>
                            <w:left w:val="none" w:sz="0" w:space="0" w:color="auto"/>
                            <w:bottom w:val="none" w:sz="0" w:space="0" w:color="auto"/>
                            <w:right w:val="none" w:sz="0" w:space="0" w:color="auto"/>
                          </w:divBdr>
                          <w:divsChild>
                            <w:div w:id="852380546">
                              <w:marLeft w:val="0"/>
                              <w:marRight w:val="0"/>
                              <w:marTop w:val="0"/>
                              <w:marBottom w:val="0"/>
                              <w:divBdr>
                                <w:top w:val="none" w:sz="0" w:space="0" w:color="auto"/>
                                <w:left w:val="none" w:sz="0" w:space="0" w:color="auto"/>
                                <w:bottom w:val="none" w:sz="0" w:space="0" w:color="auto"/>
                                <w:right w:val="none" w:sz="0" w:space="0" w:color="auto"/>
                              </w:divBdr>
                              <w:divsChild>
                                <w:div w:id="206440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924037">
      <w:bodyDiv w:val="1"/>
      <w:marLeft w:val="0"/>
      <w:marRight w:val="0"/>
      <w:marTop w:val="0"/>
      <w:marBottom w:val="0"/>
      <w:divBdr>
        <w:top w:val="none" w:sz="0" w:space="0" w:color="auto"/>
        <w:left w:val="none" w:sz="0" w:space="0" w:color="auto"/>
        <w:bottom w:val="none" w:sz="0" w:space="0" w:color="auto"/>
        <w:right w:val="none" w:sz="0" w:space="0" w:color="auto"/>
      </w:divBdr>
      <w:divsChild>
        <w:div w:id="557939402">
          <w:marLeft w:val="0"/>
          <w:marRight w:val="0"/>
          <w:marTop w:val="0"/>
          <w:marBottom w:val="0"/>
          <w:divBdr>
            <w:top w:val="none" w:sz="0" w:space="0" w:color="auto"/>
            <w:left w:val="none" w:sz="0" w:space="0" w:color="auto"/>
            <w:bottom w:val="dotted" w:sz="6" w:space="4" w:color="DDDDDD"/>
            <w:right w:val="none" w:sz="0" w:space="0" w:color="auto"/>
          </w:divBdr>
        </w:div>
      </w:divsChild>
    </w:div>
    <w:div w:id="871385686">
      <w:bodyDiv w:val="1"/>
      <w:marLeft w:val="0"/>
      <w:marRight w:val="0"/>
      <w:marTop w:val="0"/>
      <w:marBottom w:val="0"/>
      <w:divBdr>
        <w:top w:val="none" w:sz="0" w:space="0" w:color="auto"/>
        <w:left w:val="none" w:sz="0" w:space="0" w:color="auto"/>
        <w:bottom w:val="none" w:sz="0" w:space="0" w:color="auto"/>
        <w:right w:val="none" w:sz="0" w:space="0" w:color="auto"/>
      </w:divBdr>
      <w:divsChild>
        <w:div w:id="1181698064">
          <w:marLeft w:val="0"/>
          <w:marRight w:val="0"/>
          <w:marTop w:val="0"/>
          <w:marBottom w:val="0"/>
          <w:divBdr>
            <w:top w:val="none" w:sz="0" w:space="0" w:color="auto"/>
            <w:left w:val="none" w:sz="0" w:space="0" w:color="auto"/>
            <w:bottom w:val="none" w:sz="0" w:space="0" w:color="auto"/>
            <w:right w:val="none" w:sz="0" w:space="0" w:color="auto"/>
          </w:divBdr>
          <w:divsChild>
            <w:div w:id="1784689737">
              <w:marLeft w:val="0"/>
              <w:marRight w:val="0"/>
              <w:marTop w:val="0"/>
              <w:marBottom w:val="150"/>
              <w:divBdr>
                <w:top w:val="none" w:sz="0" w:space="0" w:color="auto"/>
                <w:left w:val="none" w:sz="0" w:space="0" w:color="auto"/>
                <w:bottom w:val="none" w:sz="0" w:space="0" w:color="auto"/>
                <w:right w:val="none" w:sz="0" w:space="0" w:color="auto"/>
              </w:divBdr>
            </w:div>
            <w:div w:id="205928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77803">
      <w:bodyDiv w:val="1"/>
      <w:marLeft w:val="0"/>
      <w:marRight w:val="0"/>
      <w:marTop w:val="0"/>
      <w:marBottom w:val="0"/>
      <w:divBdr>
        <w:top w:val="none" w:sz="0" w:space="0" w:color="auto"/>
        <w:left w:val="none" w:sz="0" w:space="0" w:color="auto"/>
        <w:bottom w:val="none" w:sz="0" w:space="0" w:color="auto"/>
        <w:right w:val="none" w:sz="0" w:space="0" w:color="auto"/>
      </w:divBdr>
      <w:divsChild>
        <w:div w:id="117533855">
          <w:marLeft w:val="0"/>
          <w:marRight w:val="0"/>
          <w:marTop w:val="0"/>
          <w:marBottom w:val="150"/>
          <w:divBdr>
            <w:top w:val="none" w:sz="0" w:space="0" w:color="auto"/>
            <w:left w:val="none" w:sz="0" w:space="0" w:color="auto"/>
            <w:bottom w:val="none" w:sz="0" w:space="0" w:color="auto"/>
            <w:right w:val="none" w:sz="0" w:space="0" w:color="auto"/>
          </w:divBdr>
          <w:divsChild>
            <w:div w:id="1265653933">
              <w:marLeft w:val="0"/>
              <w:marRight w:val="0"/>
              <w:marTop w:val="0"/>
              <w:marBottom w:val="0"/>
              <w:divBdr>
                <w:top w:val="none" w:sz="0" w:space="0" w:color="auto"/>
                <w:left w:val="none" w:sz="0" w:space="0" w:color="auto"/>
                <w:bottom w:val="none" w:sz="0" w:space="0" w:color="auto"/>
                <w:right w:val="none" w:sz="0" w:space="0" w:color="auto"/>
              </w:divBdr>
              <w:divsChild>
                <w:div w:id="598147895">
                  <w:marLeft w:val="0"/>
                  <w:marRight w:val="0"/>
                  <w:marTop w:val="0"/>
                  <w:marBottom w:val="0"/>
                  <w:divBdr>
                    <w:top w:val="none" w:sz="0" w:space="0" w:color="auto"/>
                    <w:left w:val="none" w:sz="0" w:space="0" w:color="auto"/>
                    <w:bottom w:val="none" w:sz="0" w:space="0" w:color="auto"/>
                    <w:right w:val="none" w:sz="0" w:space="0" w:color="auto"/>
                  </w:divBdr>
                  <w:divsChild>
                    <w:div w:id="2000647888">
                      <w:marLeft w:val="0"/>
                      <w:marRight w:val="150"/>
                      <w:marTop w:val="0"/>
                      <w:marBottom w:val="0"/>
                      <w:divBdr>
                        <w:top w:val="none" w:sz="0" w:space="0" w:color="auto"/>
                        <w:left w:val="none" w:sz="0" w:space="0" w:color="auto"/>
                        <w:bottom w:val="none" w:sz="0" w:space="0" w:color="auto"/>
                        <w:right w:val="none" w:sz="0" w:space="0" w:color="auto"/>
                      </w:divBdr>
                      <w:divsChild>
                        <w:div w:id="11036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278912">
          <w:marLeft w:val="0"/>
          <w:marRight w:val="0"/>
          <w:marTop w:val="0"/>
          <w:marBottom w:val="150"/>
          <w:divBdr>
            <w:top w:val="none" w:sz="0" w:space="0" w:color="auto"/>
            <w:left w:val="none" w:sz="0" w:space="0" w:color="auto"/>
            <w:bottom w:val="none" w:sz="0" w:space="0" w:color="auto"/>
            <w:right w:val="none" w:sz="0" w:space="0" w:color="auto"/>
          </w:divBdr>
        </w:div>
        <w:div w:id="725879817">
          <w:marLeft w:val="0"/>
          <w:marRight w:val="0"/>
          <w:marTop w:val="0"/>
          <w:marBottom w:val="0"/>
          <w:divBdr>
            <w:top w:val="none" w:sz="0" w:space="0" w:color="auto"/>
            <w:left w:val="none" w:sz="0" w:space="0" w:color="auto"/>
            <w:bottom w:val="none" w:sz="0" w:space="0" w:color="auto"/>
            <w:right w:val="none" w:sz="0" w:space="0" w:color="auto"/>
          </w:divBdr>
          <w:divsChild>
            <w:div w:id="3198906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71915389">
      <w:bodyDiv w:val="1"/>
      <w:marLeft w:val="0"/>
      <w:marRight w:val="0"/>
      <w:marTop w:val="0"/>
      <w:marBottom w:val="0"/>
      <w:divBdr>
        <w:top w:val="none" w:sz="0" w:space="0" w:color="auto"/>
        <w:left w:val="none" w:sz="0" w:space="0" w:color="auto"/>
        <w:bottom w:val="none" w:sz="0" w:space="0" w:color="auto"/>
        <w:right w:val="none" w:sz="0" w:space="0" w:color="auto"/>
      </w:divBdr>
      <w:divsChild>
        <w:div w:id="129594347">
          <w:marLeft w:val="0"/>
          <w:marRight w:val="0"/>
          <w:marTop w:val="0"/>
          <w:marBottom w:val="0"/>
          <w:divBdr>
            <w:top w:val="none" w:sz="0" w:space="0" w:color="auto"/>
            <w:left w:val="none" w:sz="0" w:space="0" w:color="auto"/>
            <w:bottom w:val="none" w:sz="0" w:space="0" w:color="auto"/>
            <w:right w:val="none" w:sz="0" w:space="0" w:color="auto"/>
          </w:divBdr>
        </w:div>
      </w:divsChild>
    </w:div>
    <w:div w:id="872185600">
      <w:bodyDiv w:val="1"/>
      <w:marLeft w:val="0"/>
      <w:marRight w:val="0"/>
      <w:marTop w:val="0"/>
      <w:marBottom w:val="0"/>
      <w:divBdr>
        <w:top w:val="none" w:sz="0" w:space="0" w:color="auto"/>
        <w:left w:val="none" w:sz="0" w:space="0" w:color="auto"/>
        <w:bottom w:val="none" w:sz="0" w:space="0" w:color="auto"/>
        <w:right w:val="none" w:sz="0" w:space="0" w:color="auto"/>
      </w:divBdr>
    </w:div>
    <w:div w:id="872302092">
      <w:bodyDiv w:val="1"/>
      <w:marLeft w:val="0"/>
      <w:marRight w:val="0"/>
      <w:marTop w:val="0"/>
      <w:marBottom w:val="0"/>
      <w:divBdr>
        <w:top w:val="none" w:sz="0" w:space="0" w:color="auto"/>
        <w:left w:val="none" w:sz="0" w:space="0" w:color="auto"/>
        <w:bottom w:val="none" w:sz="0" w:space="0" w:color="auto"/>
        <w:right w:val="none" w:sz="0" w:space="0" w:color="auto"/>
      </w:divBdr>
      <w:divsChild>
        <w:div w:id="1140532124">
          <w:marLeft w:val="0"/>
          <w:marRight w:val="0"/>
          <w:marTop w:val="0"/>
          <w:marBottom w:val="0"/>
          <w:divBdr>
            <w:top w:val="none" w:sz="0" w:space="0" w:color="auto"/>
            <w:left w:val="none" w:sz="0" w:space="0" w:color="auto"/>
            <w:bottom w:val="none" w:sz="0" w:space="0" w:color="auto"/>
            <w:right w:val="none" w:sz="0" w:space="0" w:color="auto"/>
          </w:divBdr>
          <w:divsChild>
            <w:div w:id="2141027418">
              <w:marLeft w:val="0"/>
              <w:marRight w:val="0"/>
              <w:marTop w:val="0"/>
              <w:marBottom w:val="0"/>
              <w:divBdr>
                <w:top w:val="none" w:sz="0" w:space="0" w:color="auto"/>
                <w:left w:val="none" w:sz="0" w:space="0" w:color="auto"/>
                <w:bottom w:val="none" w:sz="0" w:space="0" w:color="auto"/>
                <w:right w:val="none" w:sz="0" w:space="0" w:color="auto"/>
              </w:divBdr>
              <w:divsChild>
                <w:div w:id="942809881">
                  <w:marLeft w:val="0"/>
                  <w:marRight w:val="0"/>
                  <w:marTop w:val="0"/>
                  <w:marBottom w:val="0"/>
                  <w:divBdr>
                    <w:top w:val="none" w:sz="0" w:space="0" w:color="auto"/>
                    <w:left w:val="none" w:sz="0" w:space="0" w:color="auto"/>
                    <w:bottom w:val="none" w:sz="0" w:space="0" w:color="auto"/>
                    <w:right w:val="none" w:sz="0" w:space="0" w:color="auto"/>
                  </w:divBdr>
                  <w:divsChild>
                    <w:div w:id="1477648017">
                      <w:marLeft w:val="0"/>
                      <w:marRight w:val="0"/>
                      <w:marTop w:val="0"/>
                      <w:marBottom w:val="0"/>
                      <w:divBdr>
                        <w:top w:val="none" w:sz="0" w:space="0" w:color="auto"/>
                        <w:left w:val="none" w:sz="0" w:space="0" w:color="auto"/>
                        <w:bottom w:val="none" w:sz="0" w:space="0" w:color="auto"/>
                        <w:right w:val="none" w:sz="0" w:space="0" w:color="auto"/>
                      </w:divBdr>
                      <w:divsChild>
                        <w:div w:id="1362627927">
                          <w:marLeft w:val="0"/>
                          <w:marRight w:val="0"/>
                          <w:marTop w:val="0"/>
                          <w:marBottom w:val="0"/>
                          <w:divBdr>
                            <w:top w:val="none" w:sz="0" w:space="0" w:color="auto"/>
                            <w:left w:val="none" w:sz="0" w:space="0" w:color="auto"/>
                            <w:bottom w:val="none" w:sz="0" w:space="0" w:color="auto"/>
                            <w:right w:val="none" w:sz="0" w:space="0" w:color="auto"/>
                          </w:divBdr>
                          <w:divsChild>
                            <w:div w:id="566762286">
                              <w:marLeft w:val="0"/>
                              <w:marRight w:val="0"/>
                              <w:marTop w:val="0"/>
                              <w:marBottom w:val="0"/>
                              <w:divBdr>
                                <w:top w:val="none" w:sz="0" w:space="0" w:color="auto"/>
                                <w:left w:val="none" w:sz="0" w:space="0" w:color="auto"/>
                                <w:bottom w:val="none" w:sz="0" w:space="0" w:color="auto"/>
                                <w:right w:val="none" w:sz="0" w:space="0" w:color="auto"/>
                              </w:divBdr>
                              <w:divsChild>
                                <w:div w:id="339167094">
                                  <w:marLeft w:val="0"/>
                                  <w:marRight w:val="0"/>
                                  <w:marTop w:val="0"/>
                                  <w:marBottom w:val="0"/>
                                  <w:divBdr>
                                    <w:top w:val="none" w:sz="0" w:space="0" w:color="auto"/>
                                    <w:left w:val="none" w:sz="0" w:space="0" w:color="auto"/>
                                    <w:bottom w:val="none" w:sz="0" w:space="0" w:color="auto"/>
                                    <w:right w:val="none" w:sz="0" w:space="0" w:color="auto"/>
                                  </w:divBdr>
                                  <w:divsChild>
                                    <w:div w:id="128696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3426671">
      <w:bodyDiv w:val="1"/>
      <w:marLeft w:val="0"/>
      <w:marRight w:val="0"/>
      <w:marTop w:val="0"/>
      <w:marBottom w:val="0"/>
      <w:divBdr>
        <w:top w:val="none" w:sz="0" w:space="0" w:color="auto"/>
        <w:left w:val="none" w:sz="0" w:space="0" w:color="auto"/>
        <w:bottom w:val="none" w:sz="0" w:space="0" w:color="auto"/>
        <w:right w:val="none" w:sz="0" w:space="0" w:color="auto"/>
      </w:divBdr>
      <w:divsChild>
        <w:div w:id="774208138">
          <w:marLeft w:val="0"/>
          <w:marRight w:val="0"/>
          <w:marTop w:val="0"/>
          <w:marBottom w:val="0"/>
          <w:divBdr>
            <w:top w:val="none" w:sz="0" w:space="0" w:color="auto"/>
            <w:left w:val="none" w:sz="0" w:space="0" w:color="auto"/>
            <w:bottom w:val="none" w:sz="0" w:space="0" w:color="auto"/>
            <w:right w:val="none" w:sz="0" w:space="0" w:color="auto"/>
          </w:divBdr>
          <w:divsChild>
            <w:div w:id="922958206">
              <w:marLeft w:val="0"/>
              <w:marRight w:val="0"/>
              <w:marTop w:val="0"/>
              <w:marBottom w:val="0"/>
              <w:divBdr>
                <w:top w:val="none" w:sz="0" w:space="0" w:color="auto"/>
                <w:left w:val="none" w:sz="0" w:space="0" w:color="auto"/>
                <w:bottom w:val="none" w:sz="0" w:space="0" w:color="auto"/>
                <w:right w:val="none" w:sz="0" w:space="0" w:color="auto"/>
              </w:divBdr>
              <w:divsChild>
                <w:div w:id="1373774918">
                  <w:marLeft w:val="0"/>
                  <w:marRight w:val="0"/>
                  <w:marTop w:val="0"/>
                  <w:marBottom w:val="150"/>
                  <w:divBdr>
                    <w:top w:val="none" w:sz="0" w:space="0" w:color="auto"/>
                    <w:left w:val="none" w:sz="0" w:space="0" w:color="auto"/>
                    <w:bottom w:val="none" w:sz="0" w:space="0" w:color="auto"/>
                    <w:right w:val="none" w:sz="0" w:space="0" w:color="auto"/>
                  </w:divBdr>
                  <w:divsChild>
                    <w:div w:id="258947248">
                      <w:marLeft w:val="0"/>
                      <w:marRight w:val="0"/>
                      <w:marTop w:val="0"/>
                      <w:marBottom w:val="0"/>
                      <w:divBdr>
                        <w:top w:val="none" w:sz="0" w:space="0" w:color="auto"/>
                        <w:left w:val="none" w:sz="0" w:space="0" w:color="auto"/>
                        <w:bottom w:val="none" w:sz="0" w:space="0" w:color="auto"/>
                        <w:right w:val="none" w:sz="0" w:space="0" w:color="auto"/>
                      </w:divBdr>
                      <w:divsChild>
                        <w:div w:id="937952847">
                          <w:marLeft w:val="0"/>
                          <w:marRight w:val="0"/>
                          <w:marTop w:val="0"/>
                          <w:marBottom w:val="0"/>
                          <w:divBdr>
                            <w:top w:val="none" w:sz="0" w:space="0" w:color="auto"/>
                            <w:left w:val="none" w:sz="0" w:space="0" w:color="auto"/>
                            <w:bottom w:val="none" w:sz="0" w:space="0" w:color="auto"/>
                            <w:right w:val="none" w:sz="0" w:space="0" w:color="auto"/>
                          </w:divBdr>
                          <w:divsChild>
                            <w:div w:id="1233665390">
                              <w:marLeft w:val="0"/>
                              <w:marRight w:val="0"/>
                              <w:marTop w:val="0"/>
                              <w:marBottom w:val="0"/>
                              <w:divBdr>
                                <w:top w:val="none" w:sz="0" w:space="0" w:color="auto"/>
                                <w:left w:val="none" w:sz="0" w:space="0" w:color="auto"/>
                                <w:bottom w:val="none" w:sz="0" w:space="0" w:color="auto"/>
                                <w:right w:val="none" w:sz="0" w:space="0" w:color="auto"/>
                              </w:divBdr>
                              <w:divsChild>
                                <w:div w:id="1832329173">
                                  <w:marLeft w:val="0"/>
                                  <w:marRight w:val="0"/>
                                  <w:marTop w:val="0"/>
                                  <w:marBottom w:val="0"/>
                                  <w:divBdr>
                                    <w:top w:val="none" w:sz="0" w:space="0" w:color="auto"/>
                                    <w:left w:val="none" w:sz="0" w:space="0" w:color="auto"/>
                                    <w:bottom w:val="none" w:sz="0" w:space="0" w:color="auto"/>
                                    <w:right w:val="none" w:sz="0" w:space="0" w:color="auto"/>
                                  </w:divBdr>
                                  <w:divsChild>
                                    <w:div w:id="1790666025">
                                      <w:marLeft w:val="0"/>
                                      <w:marRight w:val="0"/>
                                      <w:marTop w:val="0"/>
                                      <w:marBottom w:val="0"/>
                                      <w:divBdr>
                                        <w:top w:val="none" w:sz="0" w:space="0" w:color="auto"/>
                                        <w:left w:val="none" w:sz="0" w:space="0" w:color="auto"/>
                                        <w:bottom w:val="none" w:sz="0" w:space="0" w:color="auto"/>
                                        <w:right w:val="none" w:sz="0" w:space="0" w:color="auto"/>
                                      </w:divBdr>
                                      <w:divsChild>
                                        <w:div w:id="1647540776">
                                          <w:marLeft w:val="0"/>
                                          <w:marRight w:val="0"/>
                                          <w:marTop w:val="0"/>
                                          <w:marBottom w:val="0"/>
                                          <w:divBdr>
                                            <w:top w:val="none" w:sz="0" w:space="0" w:color="auto"/>
                                            <w:left w:val="none" w:sz="0" w:space="0" w:color="auto"/>
                                            <w:bottom w:val="none" w:sz="0" w:space="0" w:color="auto"/>
                                            <w:right w:val="none" w:sz="0" w:space="0" w:color="auto"/>
                                          </w:divBdr>
                                          <w:divsChild>
                                            <w:div w:id="206454244">
                                              <w:marLeft w:val="0"/>
                                              <w:marRight w:val="0"/>
                                              <w:marTop w:val="0"/>
                                              <w:marBottom w:val="0"/>
                                              <w:divBdr>
                                                <w:top w:val="none" w:sz="0" w:space="0" w:color="auto"/>
                                                <w:left w:val="none" w:sz="0" w:space="0" w:color="auto"/>
                                                <w:bottom w:val="none" w:sz="0" w:space="0" w:color="auto"/>
                                                <w:right w:val="none" w:sz="0" w:space="0" w:color="auto"/>
                                              </w:divBdr>
                                              <w:divsChild>
                                                <w:div w:id="181248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3730899">
      <w:bodyDiv w:val="1"/>
      <w:marLeft w:val="0"/>
      <w:marRight w:val="0"/>
      <w:marTop w:val="0"/>
      <w:marBottom w:val="0"/>
      <w:divBdr>
        <w:top w:val="none" w:sz="0" w:space="0" w:color="auto"/>
        <w:left w:val="none" w:sz="0" w:space="0" w:color="auto"/>
        <w:bottom w:val="none" w:sz="0" w:space="0" w:color="auto"/>
        <w:right w:val="none" w:sz="0" w:space="0" w:color="auto"/>
      </w:divBdr>
      <w:divsChild>
        <w:div w:id="483548411">
          <w:marLeft w:val="0"/>
          <w:marRight w:val="0"/>
          <w:marTop w:val="0"/>
          <w:marBottom w:val="0"/>
          <w:divBdr>
            <w:top w:val="none" w:sz="0" w:space="0" w:color="auto"/>
            <w:left w:val="none" w:sz="0" w:space="0" w:color="auto"/>
            <w:bottom w:val="none" w:sz="0" w:space="0" w:color="auto"/>
            <w:right w:val="none" w:sz="0" w:space="0" w:color="auto"/>
          </w:divBdr>
          <w:divsChild>
            <w:div w:id="1065765680">
              <w:marLeft w:val="0"/>
              <w:marRight w:val="0"/>
              <w:marTop w:val="0"/>
              <w:marBottom w:val="0"/>
              <w:divBdr>
                <w:top w:val="none" w:sz="0" w:space="0" w:color="auto"/>
                <w:left w:val="none" w:sz="0" w:space="0" w:color="auto"/>
                <w:bottom w:val="none" w:sz="0" w:space="0" w:color="auto"/>
                <w:right w:val="none" w:sz="0" w:space="0" w:color="auto"/>
              </w:divBdr>
            </w:div>
          </w:divsChild>
        </w:div>
        <w:div w:id="1612276352">
          <w:marLeft w:val="0"/>
          <w:marRight w:val="0"/>
          <w:marTop w:val="0"/>
          <w:marBottom w:val="150"/>
          <w:divBdr>
            <w:top w:val="none" w:sz="0" w:space="0" w:color="auto"/>
            <w:left w:val="none" w:sz="0" w:space="0" w:color="auto"/>
            <w:bottom w:val="none" w:sz="0" w:space="0" w:color="auto"/>
            <w:right w:val="none" w:sz="0" w:space="0" w:color="auto"/>
          </w:divBdr>
          <w:divsChild>
            <w:div w:id="877544672">
              <w:marLeft w:val="0"/>
              <w:marRight w:val="0"/>
              <w:marTop w:val="0"/>
              <w:marBottom w:val="0"/>
              <w:divBdr>
                <w:top w:val="none" w:sz="0" w:space="0" w:color="auto"/>
                <w:left w:val="none" w:sz="0" w:space="0" w:color="auto"/>
                <w:bottom w:val="none" w:sz="0" w:space="0" w:color="auto"/>
                <w:right w:val="none" w:sz="0" w:space="0" w:color="auto"/>
              </w:divBdr>
            </w:div>
          </w:divsChild>
        </w:div>
        <w:div w:id="1689672583">
          <w:marLeft w:val="0"/>
          <w:marRight w:val="0"/>
          <w:marTop w:val="0"/>
          <w:marBottom w:val="150"/>
          <w:divBdr>
            <w:top w:val="none" w:sz="0" w:space="0" w:color="auto"/>
            <w:left w:val="none" w:sz="0" w:space="0" w:color="auto"/>
            <w:bottom w:val="none" w:sz="0" w:space="0" w:color="auto"/>
            <w:right w:val="none" w:sz="0" w:space="0" w:color="auto"/>
          </w:divBdr>
        </w:div>
      </w:divsChild>
    </w:div>
    <w:div w:id="873931501">
      <w:bodyDiv w:val="1"/>
      <w:marLeft w:val="0"/>
      <w:marRight w:val="0"/>
      <w:marTop w:val="0"/>
      <w:marBottom w:val="0"/>
      <w:divBdr>
        <w:top w:val="none" w:sz="0" w:space="0" w:color="auto"/>
        <w:left w:val="none" w:sz="0" w:space="0" w:color="auto"/>
        <w:bottom w:val="none" w:sz="0" w:space="0" w:color="auto"/>
        <w:right w:val="none" w:sz="0" w:space="0" w:color="auto"/>
      </w:divBdr>
      <w:divsChild>
        <w:div w:id="1152328066">
          <w:marLeft w:val="0"/>
          <w:marRight w:val="0"/>
          <w:marTop w:val="300"/>
          <w:marBottom w:val="0"/>
          <w:divBdr>
            <w:top w:val="none" w:sz="0" w:space="0" w:color="auto"/>
            <w:left w:val="none" w:sz="0" w:space="0" w:color="auto"/>
            <w:bottom w:val="none" w:sz="0" w:space="0" w:color="auto"/>
            <w:right w:val="none" w:sz="0" w:space="0" w:color="auto"/>
          </w:divBdr>
          <w:divsChild>
            <w:div w:id="1331248417">
              <w:marLeft w:val="0"/>
              <w:marRight w:val="0"/>
              <w:marTop w:val="0"/>
              <w:marBottom w:val="0"/>
              <w:divBdr>
                <w:top w:val="none" w:sz="0" w:space="0" w:color="auto"/>
                <w:left w:val="none" w:sz="0" w:space="0" w:color="auto"/>
                <w:bottom w:val="none" w:sz="0" w:space="0" w:color="auto"/>
                <w:right w:val="none" w:sz="0" w:space="0" w:color="auto"/>
              </w:divBdr>
              <w:divsChild>
                <w:div w:id="9456490">
                  <w:marLeft w:val="0"/>
                  <w:marRight w:val="0"/>
                  <w:marTop w:val="0"/>
                  <w:marBottom w:val="0"/>
                  <w:divBdr>
                    <w:top w:val="none" w:sz="0" w:space="0" w:color="auto"/>
                    <w:left w:val="none" w:sz="0" w:space="0" w:color="auto"/>
                    <w:bottom w:val="none" w:sz="0" w:space="0" w:color="auto"/>
                    <w:right w:val="none" w:sz="0" w:space="0" w:color="auto"/>
                  </w:divBdr>
                  <w:divsChild>
                    <w:div w:id="1729954245">
                      <w:marLeft w:val="0"/>
                      <w:marRight w:val="0"/>
                      <w:marTop w:val="0"/>
                      <w:marBottom w:val="0"/>
                      <w:divBdr>
                        <w:top w:val="none" w:sz="0" w:space="0" w:color="auto"/>
                        <w:left w:val="none" w:sz="0" w:space="0" w:color="auto"/>
                        <w:bottom w:val="none" w:sz="0" w:space="0" w:color="auto"/>
                        <w:right w:val="none" w:sz="0" w:space="0" w:color="auto"/>
                      </w:divBdr>
                    </w:div>
                  </w:divsChild>
                </w:div>
                <w:div w:id="1303779192">
                  <w:marLeft w:val="0"/>
                  <w:marRight w:val="0"/>
                  <w:marTop w:val="150"/>
                  <w:marBottom w:val="0"/>
                  <w:divBdr>
                    <w:top w:val="none" w:sz="0" w:space="0" w:color="auto"/>
                    <w:left w:val="none" w:sz="0" w:space="0" w:color="auto"/>
                    <w:bottom w:val="none" w:sz="0" w:space="0" w:color="auto"/>
                    <w:right w:val="none" w:sz="0" w:space="0" w:color="auto"/>
                  </w:divBdr>
                  <w:divsChild>
                    <w:div w:id="387455393">
                      <w:marLeft w:val="0"/>
                      <w:marRight w:val="0"/>
                      <w:marTop w:val="0"/>
                      <w:marBottom w:val="0"/>
                      <w:divBdr>
                        <w:top w:val="none" w:sz="0" w:space="0" w:color="auto"/>
                        <w:left w:val="none" w:sz="0" w:space="0" w:color="auto"/>
                        <w:bottom w:val="none" w:sz="0" w:space="0" w:color="auto"/>
                        <w:right w:val="none" w:sz="0" w:space="0" w:color="auto"/>
                      </w:divBdr>
                      <w:divsChild>
                        <w:div w:id="390540865">
                          <w:marLeft w:val="75"/>
                          <w:marRight w:val="0"/>
                          <w:marTop w:val="0"/>
                          <w:marBottom w:val="0"/>
                          <w:divBdr>
                            <w:top w:val="none" w:sz="0" w:space="0" w:color="auto"/>
                            <w:left w:val="none" w:sz="0" w:space="0" w:color="auto"/>
                            <w:bottom w:val="none" w:sz="0" w:space="0" w:color="auto"/>
                            <w:right w:val="none" w:sz="0" w:space="0" w:color="auto"/>
                          </w:divBdr>
                        </w:div>
                        <w:div w:id="160695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3931841">
      <w:bodyDiv w:val="1"/>
      <w:marLeft w:val="0"/>
      <w:marRight w:val="0"/>
      <w:marTop w:val="0"/>
      <w:marBottom w:val="0"/>
      <w:divBdr>
        <w:top w:val="none" w:sz="0" w:space="0" w:color="auto"/>
        <w:left w:val="none" w:sz="0" w:space="0" w:color="auto"/>
        <w:bottom w:val="none" w:sz="0" w:space="0" w:color="auto"/>
        <w:right w:val="none" w:sz="0" w:space="0" w:color="auto"/>
      </w:divBdr>
      <w:divsChild>
        <w:div w:id="284115538">
          <w:marLeft w:val="0"/>
          <w:marRight w:val="0"/>
          <w:marTop w:val="0"/>
          <w:marBottom w:val="0"/>
          <w:divBdr>
            <w:top w:val="none" w:sz="0" w:space="0" w:color="auto"/>
            <w:left w:val="none" w:sz="0" w:space="0" w:color="auto"/>
            <w:bottom w:val="none" w:sz="0" w:space="0" w:color="auto"/>
            <w:right w:val="none" w:sz="0" w:space="0" w:color="auto"/>
          </w:divBdr>
        </w:div>
        <w:div w:id="1409570296">
          <w:marLeft w:val="0"/>
          <w:marRight w:val="0"/>
          <w:marTop w:val="0"/>
          <w:marBottom w:val="0"/>
          <w:divBdr>
            <w:top w:val="none" w:sz="0" w:space="0" w:color="auto"/>
            <w:left w:val="none" w:sz="0" w:space="0" w:color="auto"/>
            <w:bottom w:val="none" w:sz="0" w:space="0" w:color="auto"/>
            <w:right w:val="none" w:sz="0" w:space="0" w:color="auto"/>
          </w:divBdr>
          <w:divsChild>
            <w:div w:id="1033652458">
              <w:marLeft w:val="0"/>
              <w:marRight w:val="0"/>
              <w:marTop w:val="0"/>
              <w:marBottom w:val="0"/>
              <w:divBdr>
                <w:top w:val="none" w:sz="0" w:space="0" w:color="auto"/>
                <w:left w:val="none" w:sz="0" w:space="0" w:color="auto"/>
                <w:bottom w:val="single" w:sz="6" w:space="11" w:color="EBEBEB"/>
                <w:right w:val="none" w:sz="0" w:space="0" w:color="auto"/>
              </w:divBdr>
              <w:divsChild>
                <w:div w:id="1456632114">
                  <w:marLeft w:val="0"/>
                  <w:marRight w:val="0"/>
                  <w:marTop w:val="0"/>
                  <w:marBottom w:val="0"/>
                  <w:divBdr>
                    <w:top w:val="none" w:sz="0" w:space="0" w:color="auto"/>
                    <w:left w:val="none" w:sz="0" w:space="0" w:color="auto"/>
                    <w:bottom w:val="none" w:sz="0" w:space="0" w:color="auto"/>
                    <w:right w:val="none" w:sz="0" w:space="0" w:color="auto"/>
                  </w:divBdr>
                  <w:divsChild>
                    <w:div w:id="553465071">
                      <w:marLeft w:val="0"/>
                      <w:marRight w:val="0"/>
                      <w:marTop w:val="0"/>
                      <w:marBottom w:val="0"/>
                      <w:divBdr>
                        <w:top w:val="none" w:sz="0" w:space="0" w:color="auto"/>
                        <w:left w:val="none" w:sz="0" w:space="0" w:color="auto"/>
                        <w:bottom w:val="none" w:sz="0" w:space="0" w:color="auto"/>
                        <w:right w:val="none" w:sz="0" w:space="0" w:color="auto"/>
                      </w:divBdr>
                    </w:div>
                  </w:divsChild>
                </w:div>
                <w:div w:id="189912200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69479593">
          <w:marLeft w:val="0"/>
          <w:marRight w:val="0"/>
          <w:marTop w:val="450"/>
          <w:marBottom w:val="600"/>
          <w:divBdr>
            <w:top w:val="none" w:sz="0" w:space="0" w:color="auto"/>
            <w:left w:val="none" w:sz="0" w:space="0" w:color="auto"/>
            <w:bottom w:val="none" w:sz="0" w:space="0" w:color="auto"/>
            <w:right w:val="none" w:sz="0" w:space="0" w:color="auto"/>
          </w:divBdr>
          <w:divsChild>
            <w:div w:id="721832621">
              <w:marLeft w:val="0"/>
              <w:marRight w:val="0"/>
              <w:marTop w:val="0"/>
              <w:marBottom w:val="0"/>
              <w:divBdr>
                <w:top w:val="none" w:sz="0" w:space="0" w:color="auto"/>
                <w:left w:val="none" w:sz="0" w:space="0" w:color="auto"/>
                <w:bottom w:val="none" w:sz="0" w:space="0" w:color="auto"/>
                <w:right w:val="none" w:sz="0" w:space="0" w:color="auto"/>
              </w:divBdr>
              <w:divsChild>
                <w:div w:id="379860294">
                  <w:marLeft w:val="0"/>
                  <w:marRight w:val="0"/>
                  <w:marTop w:val="0"/>
                  <w:marBottom w:val="0"/>
                  <w:divBdr>
                    <w:top w:val="none" w:sz="0" w:space="0" w:color="auto"/>
                    <w:left w:val="none" w:sz="0" w:space="0" w:color="auto"/>
                    <w:bottom w:val="none" w:sz="0" w:space="0" w:color="auto"/>
                    <w:right w:val="none" w:sz="0" w:space="0" w:color="auto"/>
                  </w:divBdr>
                </w:div>
              </w:divsChild>
            </w:div>
            <w:div w:id="89616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077784">
      <w:bodyDiv w:val="1"/>
      <w:marLeft w:val="0"/>
      <w:marRight w:val="0"/>
      <w:marTop w:val="0"/>
      <w:marBottom w:val="0"/>
      <w:divBdr>
        <w:top w:val="none" w:sz="0" w:space="0" w:color="auto"/>
        <w:left w:val="none" w:sz="0" w:space="0" w:color="auto"/>
        <w:bottom w:val="none" w:sz="0" w:space="0" w:color="auto"/>
        <w:right w:val="none" w:sz="0" w:space="0" w:color="auto"/>
      </w:divBdr>
      <w:divsChild>
        <w:div w:id="1704280750">
          <w:marLeft w:val="0"/>
          <w:marRight w:val="0"/>
          <w:marTop w:val="0"/>
          <w:marBottom w:val="0"/>
          <w:divBdr>
            <w:top w:val="none" w:sz="0" w:space="0" w:color="auto"/>
            <w:left w:val="none" w:sz="0" w:space="0" w:color="auto"/>
            <w:bottom w:val="none" w:sz="0" w:space="0" w:color="auto"/>
            <w:right w:val="none" w:sz="0" w:space="0" w:color="auto"/>
          </w:divBdr>
          <w:divsChild>
            <w:div w:id="1190217218">
              <w:marLeft w:val="0"/>
              <w:marRight w:val="0"/>
              <w:marTop w:val="0"/>
              <w:marBottom w:val="0"/>
              <w:divBdr>
                <w:top w:val="none" w:sz="0" w:space="0" w:color="auto"/>
                <w:left w:val="none" w:sz="0" w:space="0" w:color="auto"/>
                <w:bottom w:val="none" w:sz="0" w:space="0" w:color="auto"/>
                <w:right w:val="none" w:sz="0" w:space="0" w:color="auto"/>
              </w:divBdr>
              <w:divsChild>
                <w:div w:id="996110476">
                  <w:marLeft w:val="0"/>
                  <w:marRight w:val="0"/>
                  <w:marTop w:val="0"/>
                  <w:marBottom w:val="0"/>
                  <w:divBdr>
                    <w:top w:val="none" w:sz="0" w:space="0" w:color="auto"/>
                    <w:left w:val="none" w:sz="0" w:space="0" w:color="auto"/>
                    <w:bottom w:val="none" w:sz="0" w:space="0" w:color="auto"/>
                    <w:right w:val="none" w:sz="0" w:space="0" w:color="auto"/>
                  </w:divBdr>
                  <w:divsChild>
                    <w:div w:id="599947144">
                      <w:marLeft w:val="0"/>
                      <w:marRight w:val="0"/>
                      <w:marTop w:val="0"/>
                      <w:marBottom w:val="0"/>
                      <w:divBdr>
                        <w:top w:val="none" w:sz="0" w:space="0" w:color="auto"/>
                        <w:left w:val="none" w:sz="0" w:space="0" w:color="auto"/>
                        <w:bottom w:val="none" w:sz="0" w:space="0" w:color="auto"/>
                        <w:right w:val="none" w:sz="0" w:space="0" w:color="auto"/>
                      </w:divBdr>
                      <w:divsChild>
                        <w:div w:id="937178407">
                          <w:marLeft w:val="0"/>
                          <w:marRight w:val="0"/>
                          <w:marTop w:val="0"/>
                          <w:marBottom w:val="0"/>
                          <w:divBdr>
                            <w:top w:val="none" w:sz="0" w:space="0" w:color="auto"/>
                            <w:left w:val="none" w:sz="0" w:space="0" w:color="auto"/>
                            <w:bottom w:val="none" w:sz="0" w:space="0" w:color="auto"/>
                            <w:right w:val="none" w:sz="0" w:space="0" w:color="auto"/>
                          </w:divBdr>
                          <w:divsChild>
                            <w:div w:id="253320243">
                              <w:marLeft w:val="0"/>
                              <w:marRight w:val="0"/>
                              <w:marTop w:val="0"/>
                              <w:marBottom w:val="0"/>
                              <w:divBdr>
                                <w:top w:val="none" w:sz="0" w:space="0" w:color="auto"/>
                                <w:left w:val="none" w:sz="0" w:space="0" w:color="auto"/>
                                <w:bottom w:val="none" w:sz="0" w:space="0" w:color="auto"/>
                                <w:right w:val="none" w:sz="0" w:space="0" w:color="auto"/>
                              </w:divBdr>
                              <w:divsChild>
                                <w:div w:id="1717511157">
                                  <w:marLeft w:val="0"/>
                                  <w:marRight w:val="0"/>
                                  <w:marTop w:val="0"/>
                                  <w:marBottom w:val="0"/>
                                  <w:divBdr>
                                    <w:top w:val="none" w:sz="0" w:space="0" w:color="auto"/>
                                    <w:left w:val="none" w:sz="0" w:space="0" w:color="auto"/>
                                    <w:bottom w:val="none" w:sz="0" w:space="0" w:color="auto"/>
                                    <w:right w:val="none" w:sz="0" w:space="0" w:color="auto"/>
                                  </w:divBdr>
                                  <w:divsChild>
                                    <w:div w:id="202108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469730">
      <w:bodyDiv w:val="1"/>
      <w:marLeft w:val="0"/>
      <w:marRight w:val="0"/>
      <w:marTop w:val="0"/>
      <w:marBottom w:val="0"/>
      <w:divBdr>
        <w:top w:val="none" w:sz="0" w:space="0" w:color="auto"/>
        <w:left w:val="none" w:sz="0" w:space="0" w:color="auto"/>
        <w:bottom w:val="none" w:sz="0" w:space="0" w:color="auto"/>
        <w:right w:val="none" w:sz="0" w:space="0" w:color="auto"/>
      </w:divBdr>
      <w:divsChild>
        <w:div w:id="1060444567">
          <w:marLeft w:val="0"/>
          <w:marRight w:val="0"/>
          <w:marTop w:val="0"/>
          <w:marBottom w:val="0"/>
          <w:divBdr>
            <w:top w:val="none" w:sz="0" w:space="0" w:color="auto"/>
            <w:left w:val="none" w:sz="0" w:space="0" w:color="auto"/>
            <w:bottom w:val="dotted" w:sz="6" w:space="4" w:color="DDDDDD"/>
            <w:right w:val="none" w:sz="0" w:space="0" w:color="auto"/>
          </w:divBdr>
          <w:divsChild>
            <w:div w:id="232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36983">
      <w:bodyDiv w:val="1"/>
      <w:marLeft w:val="0"/>
      <w:marRight w:val="0"/>
      <w:marTop w:val="0"/>
      <w:marBottom w:val="0"/>
      <w:divBdr>
        <w:top w:val="none" w:sz="0" w:space="0" w:color="auto"/>
        <w:left w:val="none" w:sz="0" w:space="0" w:color="auto"/>
        <w:bottom w:val="none" w:sz="0" w:space="0" w:color="auto"/>
        <w:right w:val="none" w:sz="0" w:space="0" w:color="auto"/>
      </w:divBdr>
      <w:divsChild>
        <w:div w:id="1252273984">
          <w:marLeft w:val="0"/>
          <w:marRight w:val="0"/>
          <w:marTop w:val="0"/>
          <w:marBottom w:val="0"/>
          <w:divBdr>
            <w:top w:val="none" w:sz="0" w:space="0" w:color="auto"/>
            <w:left w:val="none" w:sz="0" w:space="0" w:color="auto"/>
            <w:bottom w:val="dotted" w:sz="6" w:space="4" w:color="DDDDDD"/>
            <w:right w:val="none" w:sz="0" w:space="0" w:color="auto"/>
          </w:divBdr>
          <w:divsChild>
            <w:div w:id="175192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80688">
      <w:bodyDiv w:val="1"/>
      <w:marLeft w:val="0"/>
      <w:marRight w:val="0"/>
      <w:marTop w:val="0"/>
      <w:marBottom w:val="0"/>
      <w:divBdr>
        <w:top w:val="none" w:sz="0" w:space="0" w:color="auto"/>
        <w:left w:val="none" w:sz="0" w:space="0" w:color="auto"/>
        <w:bottom w:val="none" w:sz="0" w:space="0" w:color="auto"/>
        <w:right w:val="none" w:sz="0" w:space="0" w:color="auto"/>
      </w:divBdr>
      <w:divsChild>
        <w:div w:id="1654798792">
          <w:marLeft w:val="0"/>
          <w:marRight w:val="0"/>
          <w:marTop w:val="0"/>
          <w:marBottom w:val="0"/>
          <w:divBdr>
            <w:top w:val="none" w:sz="0" w:space="0" w:color="auto"/>
            <w:left w:val="none" w:sz="0" w:space="0" w:color="auto"/>
            <w:bottom w:val="none" w:sz="0" w:space="0" w:color="auto"/>
            <w:right w:val="none" w:sz="0" w:space="0" w:color="auto"/>
          </w:divBdr>
        </w:div>
      </w:divsChild>
    </w:div>
    <w:div w:id="874582519">
      <w:bodyDiv w:val="1"/>
      <w:marLeft w:val="0"/>
      <w:marRight w:val="0"/>
      <w:marTop w:val="0"/>
      <w:marBottom w:val="0"/>
      <w:divBdr>
        <w:top w:val="none" w:sz="0" w:space="0" w:color="auto"/>
        <w:left w:val="none" w:sz="0" w:space="0" w:color="auto"/>
        <w:bottom w:val="none" w:sz="0" w:space="0" w:color="auto"/>
        <w:right w:val="none" w:sz="0" w:space="0" w:color="auto"/>
      </w:divBdr>
      <w:divsChild>
        <w:div w:id="92286634">
          <w:marLeft w:val="0"/>
          <w:marRight w:val="0"/>
          <w:marTop w:val="0"/>
          <w:marBottom w:val="0"/>
          <w:divBdr>
            <w:top w:val="none" w:sz="0" w:space="0" w:color="auto"/>
            <w:left w:val="none" w:sz="0" w:space="0" w:color="auto"/>
            <w:bottom w:val="none" w:sz="0" w:space="0" w:color="auto"/>
            <w:right w:val="none" w:sz="0" w:space="0" w:color="auto"/>
          </w:divBdr>
          <w:divsChild>
            <w:div w:id="1591810330">
              <w:marLeft w:val="0"/>
              <w:marRight w:val="0"/>
              <w:marTop w:val="225"/>
              <w:marBottom w:val="225"/>
              <w:divBdr>
                <w:top w:val="none" w:sz="0" w:space="0" w:color="auto"/>
                <w:left w:val="none" w:sz="0" w:space="0" w:color="auto"/>
                <w:bottom w:val="none" w:sz="0" w:space="0" w:color="auto"/>
                <w:right w:val="none" w:sz="0" w:space="0" w:color="auto"/>
              </w:divBdr>
            </w:div>
          </w:divsChild>
        </w:div>
        <w:div w:id="282082040">
          <w:marLeft w:val="0"/>
          <w:marRight w:val="0"/>
          <w:marTop w:val="0"/>
          <w:marBottom w:val="150"/>
          <w:divBdr>
            <w:top w:val="none" w:sz="0" w:space="0" w:color="auto"/>
            <w:left w:val="none" w:sz="0" w:space="0" w:color="auto"/>
            <w:bottom w:val="none" w:sz="0" w:space="0" w:color="auto"/>
            <w:right w:val="none" w:sz="0" w:space="0" w:color="auto"/>
          </w:divBdr>
          <w:divsChild>
            <w:div w:id="660813795">
              <w:marLeft w:val="0"/>
              <w:marRight w:val="0"/>
              <w:marTop w:val="0"/>
              <w:marBottom w:val="0"/>
              <w:divBdr>
                <w:top w:val="none" w:sz="0" w:space="0" w:color="auto"/>
                <w:left w:val="none" w:sz="0" w:space="0" w:color="auto"/>
                <w:bottom w:val="none" w:sz="0" w:space="0" w:color="auto"/>
                <w:right w:val="none" w:sz="0" w:space="0" w:color="auto"/>
              </w:divBdr>
              <w:divsChild>
                <w:div w:id="154705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974162">
          <w:marLeft w:val="0"/>
          <w:marRight w:val="0"/>
          <w:marTop w:val="0"/>
          <w:marBottom w:val="150"/>
          <w:divBdr>
            <w:top w:val="none" w:sz="0" w:space="0" w:color="auto"/>
            <w:left w:val="none" w:sz="0" w:space="0" w:color="auto"/>
            <w:bottom w:val="none" w:sz="0" w:space="0" w:color="auto"/>
            <w:right w:val="none" w:sz="0" w:space="0" w:color="auto"/>
          </w:divBdr>
        </w:div>
      </w:divsChild>
    </w:div>
    <w:div w:id="874658450">
      <w:bodyDiv w:val="1"/>
      <w:marLeft w:val="0"/>
      <w:marRight w:val="0"/>
      <w:marTop w:val="0"/>
      <w:marBottom w:val="0"/>
      <w:divBdr>
        <w:top w:val="none" w:sz="0" w:space="0" w:color="auto"/>
        <w:left w:val="none" w:sz="0" w:space="0" w:color="auto"/>
        <w:bottom w:val="none" w:sz="0" w:space="0" w:color="auto"/>
        <w:right w:val="none" w:sz="0" w:space="0" w:color="auto"/>
      </w:divBdr>
      <w:divsChild>
        <w:div w:id="243229387">
          <w:marLeft w:val="0"/>
          <w:marRight w:val="0"/>
          <w:marTop w:val="0"/>
          <w:marBottom w:val="0"/>
          <w:divBdr>
            <w:top w:val="none" w:sz="0" w:space="0" w:color="auto"/>
            <w:left w:val="none" w:sz="0" w:space="0" w:color="auto"/>
            <w:bottom w:val="none" w:sz="0" w:space="0" w:color="auto"/>
            <w:right w:val="none" w:sz="0" w:space="0" w:color="auto"/>
          </w:divBdr>
          <w:divsChild>
            <w:div w:id="844242843">
              <w:marLeft w:val="0"/>
              <w:marRight w:val="0"/>
              <w:marTop w:val="0"/>
              <w:marBottom w:val="0"/>
              <w:divBdr>
                <w:top w:val="none" w:sz="0" w:space="0" w:color="auto"/>
                <w:left w:val="none" w:sz="0" w:space="0" w:color="auto"/>
                <w:bottom w:val="none" w:sz="0" w:space="0" w:color="auto"/>
                <w:right w:val="none" w:sz="0" w:space="0" w:color="auto"/>
              </w:divBdr>
            </w:div>
          </w:divsChild>
        </w:div>
        <w:div w:id="967470967">
          <w:marLeft w:val="0"/>
          <w:marRight w:val="0"/>
          <w:marTop w:val="0"/>
          <w:marBottom w:val="150"/>
          <w:divBdr>
            <w:top w:val="none" w:sz="0" w:space="0" w:color="auto"/>
            <w:left w:val="none" w:sz="0" w:space="0" w:color="auto"/>
            <w:bottom w:val="none" w:sz="0" w:space="0" w:color="auto"/>
            <w:right w:val="none" w:sz="0" w:space="0" w:color="auto"/>
          </w:divBdr>
          <w:divsChild>
            <w:div w:id="1856797886">
              <w:marLeft w:val="0"/>
              <w:marRight w:val="0"/>
              <w:marTop w:val="0"/>
              <w:marBottom w:val="0"/>
              <w:divBdr>
                <w:top w:val="none" w:sz="0" w:space="0" w:color="auto"/>
                <w:left w:val="none" w:sz="0" w:space="0" w:color="auto"/>
                <w:bottom w:val="none" w:sz="0" w:space="0" w:color="auto"/>
                <w:right w:val="none" w:sz="0" w:space="0" w:color="auto"/>
              </w:divBdr>
            </w:div>
          </w:divsChild>
        </w:div>
        <w:div w:id="1401368183">
          <w:marLeft w:val="0"/>
          <w:marRight w:val="0"/>
          <w:marTop w:val="0"/>
          <w:marBottom w:val="150"/>
          <w:divBdr>
            <w:top w:val="none" w:sz="0" w:space="0" w:color="auto"/>
            <w:left w:val="none" w:sz="0" w:space="0" w:color="auto"/>
            <w:bottom w:val="none" w:sz="0" w:space="0" w:color="auto"/>
            <w:right w:val="none" w:sz="0" w:space="0" w:color="auto"/>
          </w:divBdr>
        </w:div>
      </w:divsChild>
    </w:div>
    <w:div w:id="874971638">
      <w:bodyDiv w:val="1"/>
      <w:marLeft w:val="0"/>
      <w:marRight w:val="0"/>
      <w:marTop w:val="0"/>
      <w:marBottom w:val="0"/>
      <w:divBdr>
        <w:top w:val="none" w:sz="0" w:space="0" w:color="auto"/>
        <w:left w:val="none" w:sz="0" w:space="0" w:color="auto"/>
        <w:bottom w:val="none" w:sz="0" w:space="0" w:color="auto"/>
        <w:right w:val="none" w:sz="0" w:space="0" w:color="auto"/>
      </w:divBdr>
      <w:divsChild>
        <w:div w:id="420639310">
          <w:marLeft w:val="0"/>
          <w:marRight w:val="0"/>
          <w:marTop w:val="0"/>
          <w:marBottom w:val="0"/>
          <w:divBdr>
            <w:top w:val="none" w:sz="0" w:space="0" w:color="auto"/>
            <w:left w:val="none" w:sz="0" w:space="0" w:color="auto"/>
            <w:bottom w:val="none" w:sz="0" w:space="0" w:color="auto"/>
            <w:right w:val="none" w:sz="0" w:space="0" w:color="auto"/>
          </w:divBdr>
        </w:div>
        <w:div w:id="1592858022">
          <w:marLeft w:val="0"/>
          <w:marRight w:val="0"/>
          <w:marTop w:val="0"/>
          <w:marBottom w:val="0"/>
          <w:divBdr>
            <w:top w:val="none" w:sz="0" w:space="0" w:color="auto"/>
            <w:left w:val="none" w:sz="0" w:space="0" w:color="auto"/>
            <w:bottom w:val="none" w:sz="0" w:space="0" w:color="auto"/>
            <w:right w:val="none" w:sz="0" w:space="0" w:color="auto"/>
          </w:divBdr>
        </w:div>
      </w:divsChild>
    </w:div>
    <w:div w:id="875434201">
      <w:bodyDiv w:val="1"/>
      <w:marLeft w:val="0"/>
      <w:marRight w:val="0"/>
      <w:marTop w:val="0"/>
      <w:marBottom w:val="0"/>
      <w:divBdr>
        <w:top w:val="none" w:sz="0" w:space="0" w:color="auto"/>
        <w:left w:val="none" w:sz="0" w:space="0" w:color="auto"/>
        <w:bottom w:val="none" w:sz="0" w:space="0" w:color="auto"/>
        <w:right w:val="none" w:sz="0" w:space="0" w:color="auto"/>
      </w:divBdr>
      <w:divsChild>
        <w:div w:id="1440370581">
          <w:marLeft w:val="0"/>
          <w:marRight w:val="0"/>
          <w:marTop w:val="0"/>
          <w:marBottom w:val="0"/>
          <w:divBdr>
            <w:top w:val="none" w:sz="0" w:space="0" w:color="auto"/>
            <w:left w:val="none" w:sz="0" w:space="0" w:color="auto"/>
            <w:bottom w:val="none" w:sz="0" w:space="0" w:color="auto"/>
            <w:right w:val="none" w:sz="0" w:space="0" w:color="auto"/>
          </w:divBdr>
          <w:divsChild>
            <w:div w:id="849948747">
              <w:marLeft w:val="0"/>
              <w:marRight w:val="0"/>
              <w:marTop w:val="0"/>
              <w:marBottom w:val="0"/>
              <w:divBdr>
                <w:top w:val="none" w:sz="0" w:space="0" w:color="auto"/>
                <w:left w:val="none" w:sz="0" w:space="0" w:color="auto"/>
                <w:bottom w:val="none" w:sz="0" w:space="0" w:color="auto"/>
                <w:right w:val="none" w:sz="0" w:space="0" w:color="auto"/>
              </w:divBdr>
              <w:divsChild>
                <w:div w:id="1684087692">
                  <w:marLeft w:val="0"/>
                  <w:marRight w:val="0"/>
                  <w:marTop w:val="0"/>
                  <w:marBottom w:val="0"/>
                  <w:divBdr>
                    <w:top w:val="none" w:sz="0" w:space="0" w:color="auto"/>
                    <w:left w:val="none" w:sz="0" w:space="0" w:color="auto"/>
                    <w:bottom w:val="none" w:sz="0" w:space="0" w:color="auto"/>
                    <w:right w:val="none" w:sz="0" w:space="0" w:color="auto"/>
                  </w:divBdr>
                  <w:divsChild>
                    <w:div w:id="1162745400">
                      <w:marLeft w:val="0"/>
                      <w:marRight w:val="0"/>
                      <w:marTop w:val="0"/>
                      <w:marBottom w:val="0"/>
                      <w:divBdr>
                        <w:top w:val="none" w:sz="0" w:space="0" w:color="auto"/>
                        <w:left w:val="none" w:sz="0" w:space="0" w:color="auto"/>
                        <w:bottom w:val="none" w:sz="0" w:space="0" w:color="auto"/>
                        <w:right w:val="none" w:sz="0" w:space="0" w:color="auto"/>
                      </w:divBdr>
                      <w:divsChild>
                        <w:div w:id="696931149">
                          <w:marLeft w:val="0"/>
                          <w:marRight w:val="0"/>
                          <w:marTop w:val="0"/>
                          <w:marBottom w:val="0"/>
                          <w:divBdr>
                            <w:top w:val="none" w:sz="0" w:space="0" w:color="auto"/>
                            <w:left w:val="none" w:sz="0" w:space="0" w:color="auto"/>
                            <w:bottom w:val="none" w:sz="0" w:space="0" w:color="auto"/>
                            <w:right w:val="none" w:sz="0" w:space="0" w:color="auto"/>
                          </w:divBdr>
                          <w:divsChild>
                            <w:div w:id="1524516006">
                              <w:marLeft w:val="0"/>
                              <w:marRight w:val="0"/>
                              <w:marTop w:val="0"/>
                              <w:marBottom w:val="0"/>
                              <w:divBdr>
                                <w:top w:val="none" w:sz="0" w:space="0" w:color="auto"/>
                                <w:left w:val="none" w:sz="0" w:space="0" w:color="auto"/>
                                <w:bottom w:val="none" w:sz="0" w:space="0" w:color="auto"/>
                                <w:right w:val="none" w:sz="0" w:space="0" w:color="auto"/>
                              </w:divBdr>
                              <w:divsChild>
                                <w:div w:id="24957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511642">
      <w:bodyDiv w:val="1"/>
      <w:marLeft w:val="0"/>
      <w:marRight w:val="0"/>
      <w:marTop w:val="0"/>
      <w:marBottom w:val="0"/>
      <w:divBdr>
        <w:top w:val="none" w:sz="0" w:space="0" w:color="auto"/>
        <w:left w:val="none" w:sz="0" w:space="0" w:color="auto"/>
        <w:bottom w:val="none" w:sz="0" w:space="0" w:color="auto"/>
        <w:right w:val="none" w:sz="0" w:space="0" w:color="auto"/>
      </w:divBdr>
      <w:divsChild>
        <w:div w:id="1638220766">
          <w:marLeft w:val="0"/>
          <w:marRight w:val="0"/>
          <w:marTop w:val="0"/>
          <w:marBottom w:val="0"/>
          <w:divBdr>
            <w:top w:val="none" w:sz="0" w:space="0" w:color="auto"/>
            <w:left w:val="none" w:sz="0" w:space="0" w:color="auto"/>
            <w:bottom w:val="none" w:sz="0" w:space="0" w:color="auto"/>
            <w:right w:val="none" w:sz="0" w:space="0" w:color="auto"/>
          </w:divBdr>
        </w:div>
      </w:divsChild>
    </w:div>
    <w:div w:id="875777312">
      <w:bodyDiv w:val="1"/>
      <w:marLeft w:val="0"/>
      <w:marRight w:val="0"/>
      <w:marTop w:val="0"/>
      <w:marBottom w:val="0"/>
      <w:divBdr>
        <w:top w:val="none" w:sz="0" w:space="0" w:color="auto"/>
        <w:left w:val="none" w:sz="0" w:space="0" w:color="auto"/>
        <w:bottom w:val="none" w:sz="0" w:space="0" w:color="auto"/>
        <w:right w:val="none" w:sz="0" w:space="0" w:color="auto"/>
      </w:divBdr>
    </w:div>
    <w:div w:id="876164241">
      <w:bodyDiv w:val="1"/>
      <w:marLeft w:val="0"/>
      <w:marRight w:val="0"/>
      <w:marTop w:val="0"/>
      <w:marBottom w:val="0"/>
      <w:divBdr>
        <w:top w:val="none" w:sz="0" w:space="0" w:color="auto"/>
        <w:left w:val="none" w:sz="0" w:space="0" w:color="auto"/>
        <w:bottom w:val="none" w:sz="0" w:space="0" w:color="auto"/>
        <w:right w:val="none" w:sz="0" w:space="0" w:color="auto"/>
      </w:divBdr>
      <w:divsChild>
        <w:div w:id="1508640213">
          <w:marLeft w:val="0"/>
          <w:marRight w:val="0"/>
          <w:marTop w:val="0"/>
          <w:marBottom w:val="0"/>
          <w:divBdr>
            <w:top w:val="none" w:sz="0" w:space="0" w:color="auto"/>
            <w:left w:val="none" w:sz="0" w:space="0" w:color="auto"/>
            <w:bottom w:val="dotted" w:sz="6" w:space="4" w:color="DDDDDD"/>
            <w:right w:val="none" w:sz="0" w:space="0" w:color="auto"/>
          </w:divBdr>
          <w:divsChild>
            <w:div w:id="126781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697091">
      <w:bodyDiv w:val="1"/>
      <w:marLeft w:val="0"/>
      <w:marRight w:val="0"/>
      <w:marTop w:val="0"/>
      <w:marBottom w:val="0"/>
      <w:divBdr>
        <w:top w:val="none" w:sz="0" w:space="0" w:color="auto"/>
        <w:left w:val="none" w:sz="0" w:space="0" w:color="auto"/>
        <w:bottom w:val="none" w:sz="0" w:space="0" w:color="auto"/>
        <w:right w:val="none" w:sz="0" w:space="0" w:color="auto"/>
      </w:divBdr>
    </w:div>
    <w:div w:id="877165802">
      <w:bodyDiv w:val="1"/>
      <w:marLeft w:val="0"/>
      <w:marRight w:val="0"/>
      <w:marTop w:val="0"/>
      <w:marBottom w:val="0"/>
      <w:divBdr>
        <w:top w:val="none" w:sz="0" w:space="0" w:color="auto"/>
        <w:left w:val="none" w:sz="0" w:space="0" w:color="auto"/>
        <w:bottom w:val="none" w:sz="0" w:space="0" w:color="auto"/>
        <w:right w:val="none" w:sz="0" w:space="0" w:color="auto"/>
      </w:divBdr>
      <w:divsChild>
        <w:div w:id="1428698384">
          <w:marLeft w:val="0"/>
          <w:marRight w:val="0"/>
          <w:marTop w:val="0"/>
          <w:marBottom w:val="0"/>
          <w:divBdr>
            <w:top w:val="none" w:sz="0" w:space="0" w:color="auto"/>
            <w:left w:val="none" w:sz="0" w:space="0" w:color="auto"/>
            <w:bottom w:val="none" w:sz="0" w:space="0" w:color="auto"/>
            <w:right w:val="none" w:sz="0" w:space="0" w:color="auto"/>
          </w:divBdr>
        </w:div>
      </w:divsChild>
    </w:div>
    <w:div w:id="877204007">
      <w:bodyDiv w:val="1"/>
      <w:marLeft w:val="0"/>
      <w:marRight w:val="0"/>
      <w:marTop w:val="0"/>
      <w:marBottom w:val="0"/>
      <w:divBdr>
        <w:top w:val="none" w:sz="0" w:space="0" w:color="auto"/>
        <w:left w:val="none" w:sz="0" w:space="0" w:color="auto"/>
        <w:bottom w:val="none" w:sz="0" w:space="0" w:color="auto"/>
        <w:right w:val="none" w:sz="0" w:space="0" w:color="auto"/>
      </w:divBdr>
      <w:divsChild>
        <w:div w:id="1376270361">
          <w:marLeft w:val="0"/>
          <w:marRight w:val="0"/>
          <w:marTop w:val="0"/>
          <w:marBottom w:val="0"/>
          <w:divBdr>
            <w:top w:val="none" w:sz="0" w:space="0" w:color="auto"/>
            <w:left w:val="none" w:sz="0" w:space="0" w:color="auto"/>
            <w:bottom w:val="none" w:sz="0" w:space="0" w:color="auto"/>
            <w:right w:val="none" w:sz="0" w:space="0" w:color="auto"/>
          </w:divBdr>
          <w:divsChild>
            <w:div w:id="611009910">
              <w:marLeft w:val="0"/>
              <w:marRight w:val="0"/>
              <w:marTop w:val="0"/>
              <w:marBottom w:val="0"/>
              <w:divBdr>
                <w:top w:val="none" w:sz="0" w:space="0" w:color="auto"/>
                <w:left w:val="none" w:sz="0" w:space="0" w:color="auto"/>
                <w:bottom w:val="none" w:sz="0" w:space="0" w:color="auto"/>
                <w:right w:val="none" w:sz="0" w:space="0" w:color="auto"/>
              </w:divBdr>
              <w:divsChild>
                <w:div w:id="1802379804">
                  <w:marLeft w:val="0"/>
                  <w:marRight w:val="0"/>
                  <w:marTop w:val="0"/>
                  <w:marBottom w:val="0"/>
                  <w:divBdr>
                    <w:top w:val="none" w:sz="0" w:space="0" w:color="auto"/>
                    <w:left w:val="none" w:sz="0" w:space="0" w:color="auto"/>
                    <w:bottom w:val="none" w:sz="0" w:space="0" w:color="auto"/>
                    <w:right w:val="none" w:sz="0" w:space="0" w:color="auto"/>
                  </w:divBdr>
                  <w:divsChild>
                    <w:div w:id="866210327">
                      <w:marLeft w:val="0"/>
                      <w:marRight w:val="0"/>
                      <w:marTop w:val="0"/>
                      <w:marBottom w:val="0"/>
                      <w:divBdr>
                        <w:top w:val="none" w:sz="0" w:space="0" w:color="auto"/>
                        <w:left w:val="none" w:sz="0" w:space="0" w:color="auto"/>
                        <w:bottom w:val="none" w:sz="0" w:space="0" w:color="auto"/>
                        <w:right w:val="none" w:sz="0" w:space="0" w:color="auto"/>
                      </w:divBdr>
                      <w:divsChild>
                        <w:div w:id="1173645350">
                          <w:marLeft w:val="0"/>
                          <w:marRight w:val="0"/>
                          <w:marTop w:val="0"/>
                          <w:marBottom w:val="0"/>
                          <w:divBdr>
                            <w:top w:val="none" w:sz="0" w:space="0" w:color="auto"/>
                            <w:left w:val="none" w:sz="0" w:space="0" w:color="auto"/>
                            <w:bottom w:val="none" w:sz="0" w:space="0" w:color="auto"/>
                            <w:right w:val="none" w:sz="0" w:space="0" w:color="auto"/>
                          </w:divBdr>
                          <w:divsChild>
                            <w:div w:id="120928559">
                              <w:marLeft w:val="0"/>
                              <w:marRight w:val="0"/>
                              <w:marTop w:val="0"/>
                              <w:marBottom w:val="0"/>
                              <w:divBdr>
                                <w:top w:val="none" w:sz="0" w:space="0" w:color="auto"/>
                                <w:left w:val="none" w:sz="0" w:space="0" w:color="auto"/>
                                <w:bottom w:val="none" w:sz="0" w:space="0" w:color="auto"/>
                                <w:right w:val="none" w:sz="0" w:space="0" w:color="auto"/>
                              </w:divBdr>
                              <w:divsChild>
                                <w:div w:id="1889607989">
                                  <w:marLeft w:val="0"/>
                                  <w:marRight w:val="0"/>
                                  <w:marTop w:val="0"/>
                                  <w:marBottom w:val="0"/>
                                  <w:divBdr>
                                    <w:top w:val="none" w:sz="0" w:space="0" w:color="auto"/>
                                    <w:left w:val="none" w:sz="0" w:space="0" w:color="auto"/>
                                    <w:bottom w:val="none" w:sz="0" w:space="0" w:color="auto"/>
                                    <w:right w:val="none" w:sz="0" w:space="0" w:color="auto"/>
                                  </w:divBdr>
                                  <w:divsChild>
                                    <w:div w:id="286204940">
                                      <w:marLeft w:val="0"/>
                                      <w:marRight w:val="0"/>
                                      <w:marTop w:val="0"/>
                                      <w:marBottom w:val="0"/>
                                      <w:divBdr>
                                        <w:top w:val="none" w:sz="0" w:space="0" w:color="auto"/>
                                        <w:left w:val="none" w:sz="0" w:space="0" w:color="auto"/>
                                        <w:bottom w:val="none" w:sz="0" w:space="0" w:color="auto"/>
                                        <w:right w:val="none" w:sz="0" w:space="0" w:color="auto"/>
                                      </w:divBdr>
                                      <w:divsChild>
                                        <w:div w:id="39682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7740751">
      <w:bodyDiv w:val="1"/>
      <w:marLeft w:val="0"/>
      <w:marRight w:val="0"/>
      <w:marTop w:val="0"/>
      <w:marBottom w:val="0"/>
      <w:divBdr>
        <w:top w:val="none" w:sz="0" w:space="0" w:color="auto"/>
        <w:left w:val="none" w:sz="0" w:space="0" w:color="auto"/>
        <w:bottom w:val="none" w:sz="0" w:space="0" w:color="auto"/>
        <w:right w:val="none" w:sz="0" w:space="0" w:color="auto"/>
      </w:divBdr>
      <w:divsChild>
        <w:div w:id="160976669">
          <w:marLeft w:val="0"/>
          <w:marRight w:val="0"/>
          <w:marTop w:val="0"/>
          <w:marBottom w:val="0"/>
          <w:divBdr>
            <w:top w:val="none" w:sz="0" w:space="0" w:color="auto"/>
            <w:left w:val="none" w:sz="0" w:space="0" w:color="auto"/>
            <w:bottom w:val="none" w:sz="0" w:space="0" w:color="auto"/>
            <w:right w:val="none" w:sz="0" w:space="0" w:color="auto"/>
          </w:divBdr>
          <w:divsChild>
            <w:div w:id="273366610">
              <w:marLeft w:val="0"/>
              <w:marRight w:val="0"/>
              <w:marTop w:val="0"/>
              <w:marBottom w:val="0"/>
              <w:divBdr>
                <w:top w:val="none" w:sz="0" w:space="0" w:color="auto"/>
                <w:left w:val="none" w:sz="0" w:space="0" w:color="auto"/>
                <w:bottom w:val="none" w:sz="0" w:space="0" w:color="auto"/>
                <w:right w:val="none" w:sz="0" w:space="0" w:color="auto"/>
              </w:divBdr>
            </w:div>
          </w:divsChild>
        </w:div>
        <w:div w:id="1398934459">
          <w:marLeft w:val="0"/>
          <w:marRight w:val="0"/>
          <w:marTop w:val="150"/>
          <w:marBottom w:val="0"/>
          <w:divBdr>
            <w:top w:val="none" w:sz="0" w:space="0" w:color="auto"/>
            <w:left w:val="none" w:sz="0" w:space="0" w:color="auto"/>
            <w:bottom w:val="none" w:sz="0" w:space="0" w:color="auto"/>
            <w:right w:val="none" w:sz="0" w:space="0" w:color="auto"/>
          </w:divBdr>
          <w:divsChild>
            <w:div w:id="116486971">
              <w:marLeft w:val="0"/>
              <w:marRight w:val="0"/>
              <w:marTop w:val="0"/>
              <w:marBottom w:val="0"/>
              <w:divBdr>
                <w:top w:val="none" w:sz="0" w:space="0" w:color="auto"/>
                <w:left w:val="none" w:sz="0" w:space="0" w:color="auto"/>
                <w:bottom w:val="none" w:sz="0" w:space="0" w:color="auto"/>
                <w:right w:val="none" w:sz="0" w:space="0" w:color="auto"/>
              </w:divBdr>
              <w:divsChild>
                <w:div w:id="79643139">
                  <w:marLeft w:val="75"/>
                  <w:marRight w:val="0"/>
                  <w:marTop w:val="0"/>
                  <w:marBottom w:val="0"/>
                  <w:divBdr>
                    <w:top w:val="none" w:sz="0" w:space="0" w:color="auto"/>
                    <w:left w:val="none" w:sz="0" w:space="0" w:color="auto"/>
                    <w:bottom w:val="none" w:sz="0" w:space="0" w:color="auto"/>
                    <w:right w:val="none" w:sz="0" w:space="0" w:color="auto"/>
                  </w:divBdr>
                </w:div>
                <w:div w:id="146696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203264">
      <w:bodyDiv w:val="1"/>
      <w:marLeft w:val="0"/>
      <w:marRight w:val="0"/>
      <w:marTop w:val="0"/>
      <w:marBottom w:val="0"/>
      <w:divBdr>
        <w:top w:val="none" w:sz="0" w:space="0" w:color="auto"/>
        <w:left w:val="none" w:sz="0" w:space="0" w:color="auto"/>
        <w:bottom w:val="none" w:sz="0" w:space="0" w:color="auto"/>
        <w:right w:val="none" w:sz="0" w:space="0" w:color="auto"/>
      </w:divBdr>
      <w:divsChild>
        <w:div w:id="598223976">
          <w:marLeft w:val="0"/>
          <w:marRight w:val="0"/>
          <w:marTop w:val="0"/>
          <w:marBottom w:val="0"/>
          <w:divBdr>
            <w:top w:val="none" w:sz="0" w:space="0" w:color="auto"/>
            <w:left w:val="none" w:sz="0" w:space="0" w:color="auto"/>
            <w:bottom w:val="none" w:sz="0" w:space="0" w:color="auto"/>
            <w:right w:val="none" w:sz="0" w:space="0" w:color="auto"/>
          </w:divBdr>
        </w:div>
      </w:divsChild>
    </w:div>
    <w:div w:id="878322621">
      <w:bodyDiv w:val="1"/>
      <w:marLeft w:val="0"/>
      <w:marRight w:val="0"/>
      <w:marTop w:val="0"/>
      <w:marBottom w:val="0"/>
      <w:divBdr>
        <w:top w:val="none" w:sz="0" w:space="0" w:color="auto"/>
        <w:left w:val="none" w:sz="0" w:space="0" w:color="auto"/>
        <w:bottom w:val="none" w:sz="0" w:space="0" w:color="auto"/>
        <w:right w:val="none" w:sz="0" w:space="0" w:color="auto"/>
      </w:divBdr>
      <w:divsChild>
        <w:div w:id="1181316557">
          <w:marLeft w:val="0"/>
          <w:marRight w:val="0"/>
          <w:marTop w:val="0"/>
          <w:marBottom w:val="150"/>
          <w:divBdr>
            <w:top w:val="none" w:sz="0" w:space="0" w:color="auto"/>
            <w:left w:val="none" w:sz="0" w:space="0" w:color="auto"/>
            <w:bottom w:val="none" w:sz="0" w:space="0" w:color="auto"/>
            <w:right w:val="none" w:sz="0" w:space="0" w:color="auto"/>
          </w:divBdr>
        </w:div>
        <w:div w:id="1996831813">
          <w:marLeft w:val="0"/>
          <w:marRight w:val="0"/>
          <w:marTop w:val="0"/>
          <w:marBottom w:val="0"/>
          <w:divBdr>
            <w:top w:val="none" w:sz="0" w:space="0" w:color="auto"/>
            <w:left w:val="none" w:sz="0" w:space="0" w:color="auto"/>
            <w:bottom w:val="none" w:sz="0" w:space="0" w:color="auto"/>
            <w:right w:val="none" w:sz="0" w:space="0" w:color="auto"/>
          </w:divBdr>
        </w:div>
      </w:divsChild>
    </w:div>
    <w:div w:id="878400446">
      <w:bodyDiv w:val="1"/>
      <w:marLeft w:val="0"/>
      <w:marRight w:val="0"/>
      <w:marTop w:val="0"/>
      <w:marBottom w:val="0"/>
      <w:divBdr>
        <w:top w:val="none" w:sz="0" w:space="0" w:color="auto"/>
        <w:left w:val="none" w:sz="0" w:space="0" w:color="auto"/>
        <w:bottom w:val="none" w:sz="0" w:space="0" w:color="auto"/>
        <w:right w:val="none" w:sz="0" w:space="0" w:color="auto"/>
      </w:divBdr>
    </w:div>
    <w:div w:id="878855792">
      <w:bodyDiv w:val="1"/>
      <w:marLeft w:val="0"/>
      <w:marRight w:val="0"/>
      <w:marTop w:val="0"/>
      <w:marBottom w:val="0"/>
      <w:divBdr>
        <w:top w:val="none" w:sz="0" w:space="0" w:color="auto"/>
        <w:left w:val="none" w:sz="0" w:space="0" w:color="auto"/>
        <w:bottom w:val="none" w:sz="0" w:space="0" w:color="auto"/>
        <w:right w:val="none" w:sz="0" w:space="0" w:color="auto"/>
      </w:divBdr>
      <w:divsChild>
        <w:div w:id="801657771">
          <w:marLeft w:val="0"/>
          <w:marRight w:val="0"/>
          <w:marTop w:val="0"/>
          <w:marBottom w:val="150"/>
          <w:divBdr>
            <w:top w:val="none" w:sz="0" w:space="0" w:color="auto"/>
            <w:left w:val="none" w:sz="0" w:space="0" w:color="auto"/>
            <w:bottom w:val="none" w:sz="0" w:space="0" w:color="auto"/>
            <w:right w:val="none" w:sz="0" w:space="0" w:color="auto"/>
          </w:divBdr>
          <w:divsChild>
            <w:div w:id="86123764">
              <w:marLeft w:val="0"/>
              <w:marRight w:val="0"/>
              <w:marTop w:val="0"/>
              <w:marBottom w:val="0"/>
              <w:divBdr>
                <w:top w:val="none" w:sz="0" w:space="0" w:color="auto"/>
                <w:left w:val="none" w:sz="0" w:space="0" w:color="auto"/>
                <w:bottom w:val="none" w:sz="0" w:space="0" w:color="auto"/>
                <w:right w:val="none" w:sz="0" w:space="0" w:color="auto"/>
              </w:divBdr>
            </w:div>
          </w:divsChild>
        </w:div>
        <w:div w:id="1589534097">
          <w:marLeft w:val="0"/>
          <w:marRight w:val="0"/>
          <w:marTop w:val="0"/>
          <w:marBottom w:val="0"/>
          <w:divBdr>
            <w:top w:val="none" w:sz="0" w:space="0" w:color="auto"/>
            <w:left w:val="none" w:sz="0" w:space="0" w:color="auto"/>
            <w:bottom w:val="none" w:sz="0" w:space="0" w:color="auto"/>
            <w:right w:val="none" w:sz="0" w:space="0" w:color="auto"/>
          </w:divBdr>
          <w:divsChild>
            <w:div w:id="897935400">
              <w:marLeft w:val="0"/>
              <w:marRight w:val="0"/>
              <w:marTop w:val="0"/>
              <w:marBottom w:val="0"/>
              <w:divBdr>
                <w:top w:val="none" w:sz="0" w:space="0" w:color="auto"/>
                <w:left w:val="none" w:sz="0" w:space="0" w:color="auto"/>
                <w:bottom w:val="none" w:sz="0" w:space="0" w:color="auto"/>
                <w:right w:val="none" w:sz="0" w:space="0" w:color="auto"/>
              </w:divBdr>
            </w:div>
            <w:div w:id="19729016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78979162">
      <w:bodyDiv w:val="1"/>
      <w:marLeft w:val="0"/>
      <w:marRight w:val="0"/>
      <w:marTop w:val="0"/>
      <w:marBottom w:val="0"/>
      <w:divBdr>
        <w:top w:val="none" w:sz="0" w:space="0" w:color="auto"/>
        <w:left w:val="none" w:sz="0" w:space="0" w:color="auto"/>
        <w:bottom w:val="none" w:sz="0" w:space="0" w:color="auto"/>
        <w:right w:val="none" w:sz="0" w:space="0" w:color="auto"/>
      </w:divBdr>
    </w:div>
    <w:div w:id="879197823">
      <w:bodyDiv w:val="1"/>
      <w:marLeft w:val="0"/>
      <w:marRight w:val="0"/>
      <w:marTop w:val="0"/>
      <w:marBottom w:val="0"/>
      <w:divBdr>
        <w:top w:val="none" w:sz="0" w:space="0" w:color="auto"/>
        <w:left w:val="none" w:sz="0" w:space="0" w:color="auto"/>
        <w:bottom w:val="none" w:sz="0" w:space="0" w:color="auto"/>
        <w:right w:val="none" w:sz="0" w:space="0" w:color="auto"/>
      </w:divBdr>
      <w:divsChild>
        <w:div w:id="1687563035">
          <w:marLeft w:val="0"/>
          <w:marRight w:val="0"/>
          <w:marTop w:val="0"/>
          <w:marBottom w:val="0"/>
          <w:divBdr>
            <w:top w:val="none" w:sz="0" w:space="0" w:color="auto"/>
            <w:left w:val="none" w:sz="0" w:space="0" w:color="auto"/>
            <w:bottom w:val="dotted" w:sz="6" w:space="4" w:color="DDDDDD"/>
            <w:right w:val="none" w:sz="0" w:space="0" w:color="auto"/>
          </w:divBdr>
        </w:div>
      </w:divsChild>
    </w:div>
    <w:div w:id="879391126">
      <w:bodyDiv w:val="1"/>
      <w:marLeft w:val="0"/>
      <w:marRight w:val="0"/>
      <w:marTop w:val="0"/>
      <w:marBottom w:val="0"/>
      <w:divBdr>
        <w:top w:val="none" w:sz="0" w:space="0" w:color="auto"/>
        <w:left w:val="none" w:sz="0" w:space="0" w:color="auto"/>
        <w:bottom w:val="none" w:sz="0" w:space="0" w:color="auto"/>
        <w:right w:val="none" w:sz="0" w:space="0" w:color="auto"/>
      </w:divBdr>
      <w:divsChild>
        <w:div w:id="1602687356">
          <w:marLeft w:val="0"/>
          <w:marRight w:val="0"/>
          <w:marTop w:val="0"/>
          <w:marBottom w:val="150"/>
          <w:divBdr>
            <w:top w:val="none" w:sz="0" w:space="0" w:color="auto"/>
            <w:left w:val="none" w:sz="0" w:space="0" w:color="auto"/>
            <w:bottom w:val="none" w:sz="0" w:space="0" w:color="auto"/>
            <w:right w:val="none" w:sz="0" w:space="0" w:color="auto"/>
          </w:divBdr>
        </w:div>
      </w:divsChild>
    </w:div>
    <w:div w:id="879510079">
      <w:bodyDiv w:val="1"/>
      <w:marLeft w:val="0"/>
      <w:marRight w:val="0"/>
      <w:marTop w:val="0"/>
      <w:marBottom w:val="0"/>
      <w:divBdr>
        <w:top w:val="none" w:sz="0" w:space="0" w:color="auto"/>
        <w:left w:val="none" w:sz="0" w:space="0" w:color="auto"/>
        <w:bottom w:val="none" w:sz="0" w:space="0" w:color="auto"/>
        <w:right w:val="none" w:sz="0" w:space="0" w:color="auto"/>
      </w:divBdr>
      <w:divsChild>
        <w:div w:id="1756854969">
          <w:marLeft w:val="0"/>
          <w:marRight w:val="0"/>
          <w:marTop w:val="0"/>
          <w:marBottom w:val="0"/>
          <w:divBdr>
            <w:top w:val="none" w:sz="0" w:space="0" w:color="auto"/>
            <w:left w:val="none" w:sz="0" w:space="0" w:color="auto"/>
            <w:bottom w:val="dotted" w:sz="6" w:space="4" w:color="DDDDDD"/>
            <w:right w:val="none" w:sz="0" w:space="0" w:color="auto"/>
          </w:divBdr>
        </w:div>
      </w:divsChild>
    </w:div>
    <w:div w:id="879589789">
      <w:bodyDiv w:val="1"/>
      <w:marLeft w:val="0"/>
      <w:marRight w:val="0"/>
      <w:marTop w:val="0"/>
      <w:marBottom w:val="0"/>
      <w:divBdr>
        <w:top w:val="none" w:sz="0" w:space="0" w:color="auto"/>
        <w:left w:val="none" w:sz="0" w:space="0" w:color="auto"/>
        <w:bottom w:val="none" w:sz="0" w:space="0" w:color="auto"/>
        <w:right w:val="none" w:sz="0" w:space="0" w:color="auto"/>
      </w:divBdr>
      <w:divsChild>
        <w:div w:id="261424810">
          <w:marLeft w:val="0"/>
          <w:marRight w:val="0"/>
          <w:marTop w:val="0"/>
          <w:marBottom w:val="0"/>
          <w:divBdr>
            <w:top w:val="none" w:sz="0" w:space="0" w:color="auto"/>
            <w:left w:val="none" w:sz="0" w:space="0" w:color="auto"/>
            <w:bottom w:val="none" w:sz="0" w:space="0" w:color="auto"/>
            <w:right w:val="none" w:sz="0" w:space="0" w:color="auto"/>
          </w:divBdr>
          <w:divsChild>
            <w:div w:id="122749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82635">
      <w:bodyDiv w:val="1"/>
      <w:marLeft w:val="0"/>
      <w:marRight w:val="0"/>
      <w:marTop w:val="0"/>
      <w:marBottom w:val="0"/>
      <w:divBdr>
        <w:top w:val="none" w:sz="0" w:space="0" w:color="auto"/>
        <w:left w:val="none" w:sz="0" w:space="0" w:color="auto"/>
        <w:bottom w:val="none" w:sz="0" w:space="0" w:color="auto"/>
        <w:right w:val="none" w:sz="0" w:space="0" w:color="auto"/>
      </w:divBdr>
      <w:divsChild>
        <w:div w:id="1868131217">
          <w:marLeft w:val="0"/>
          <w:marRight w:val="0"/>
          <w:marTop w:val="0"/>
          <w:marBottom w:val="0"/>
          <w:divBdr>
            <w:top w:val="none" w:sz="0" w:space="0" w:color="auto"/>
            <w:left w:val="none" w:sz="0" w:space="0" w:color="auto"/>
            <w:bottom w:val="dotted" w:sz="6" w:space="4" w:color="DDDDDD"/>
            <w:right w:val="none" w:sz="0" w:space="0" w:color="auto"/>
          </w:divBdr>
          <w:divsChild>
            <w:div w:id="2242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9931">
      <w:bodyDiv w:val="1"/>
      <w:marLeft w:val="0"/>
      <w:marRight w:val="0"/>
      <w:marTop w:val="0"/>
      <w:marBottom w:val="0"/>
      <w:divBdr>
        <w:top w:val="none" w:sz="0" w:space="0" w:color="auto"/>
        <w:left w:val="none" w:sz="0" w:space="0" w:color="auto"/>
        <w:bottom w:val="none" w:sz="0" w:space="0" w:color="auto"/>
        <w:right w:val="none" w:sz="0" w:space="0" w:color="auto"/>
      </w:divBdr>
      <w:divsChild>
        <w:div w:id="820511088">
          <w:marLeft w:val="0"/>
          <w:marRight w:val="0"/>
          <w:marTop w:val="0"/>
          <w:marBottom w:val="0"/>
          <w:divBdr>
            <w:top w:val="none" w:sz="0" w:space="0" w:color="auto"/>
            <w:left w:val="none" w:sz="0" w:space="0" w:color="auto"/>
            <w:bottom w:val="dotted" w:sz="6" w:space="4" w:color="DDDDDD"/>
            <w:right w:val="none" w:sz="0" w:space="0" w:color="auto"/>
          </w:divBdr>
        </w:div>
      </w:divsChild>
    </w:div>
    <w:div w:id="880243138">
      <w:bodyDiv w:val="1"/>
      <w:marLeft w:val="0"/>
      <w:marRight w:val="0"/>
      <w:marTop w:val="0"/>
      <w:marBottom w:val="0"/>
      <w:divBdr>
        <w:top w:val="none" w:sz="0" w:space="0" w:color="auto"/>
        <w:left w:val="none" w:sz="0" w:space="0" w:color="auto"/>
        <w:bottom w:val="none" w:sz="0" w:space="0" w:color="auto"/>
        <w:right w:val="none" w:sz="0" w:space="0" w:color="auto"/>
      </w:divBdr>
      <w:divsChild>
        <w:div w:id="283462626">
          <w:marLeft w:val="0"/>
          <w:marRight w:val="0"/>
          <w:marTop w:val="0"/>
          <w:marBottom w:val="0"/>
          <w:divBdr>
            <w:top w:val="none" w:sz="0" w:space="0" w:color="auto"/>
            <w:left w:val="none" w:sz="0" w:space="0" w:color="auto"/>
            <w:bottom w:val="none" w:sz="0" w:space="0" w:color="auto"/>
            <w:right w:val="none" w:sz="0" w:space="0" w:color="auto"/>
          </w:divBdr>
          <w:divsChild>
            <w:div w:id="1149907074">
              <w:marLeft w:val="0"/>
              <w:marRight w:val="0"/>
              <w:marTop w:val="0"/>
              <w:marBottom w:val="0"/>
              <w:divBdr>
                <w:top w:val="none" w:sz="0" w:space="0" w:color="auto"/>
                <w:left w:val="none" w:sz="0" w:space="0" w:color="auto"/>
                <w:bottom w:val="none" w:sz="0" w:space="0" w:color="auto"/>
                <w:right w:val="none" w:sz="0" w:space="0" w:color="auto"/>
              </w:divBdr>
              <w:divsChild>
                <w:div w:id="528757301">
                  <w:marLeft w:val="0"/>
                  <w:marRight w:val="0"/>
                  <w:marTop w:val="0"/>
                  <w:marBottom w:val="0"/>
                  <w:divBdr>
                    <w:top w:val="none" w:sz="0" w:space="0" w:color="auto"/>
                    <w:left w:val="none" w:sz="0" w:space="0" w:color="auto"/>
                    <w:bottom w:val="none" w:sz="0" w:space="0" w:color="auto"/>
                    <w:right w:val="none" w:sz="0" w:space="0" w:color="auto"/>
                  </w:divBdr>
                  <w:divsChild>
                    <w:div w:id="1903908541">
                      <w:marLeft w:val="0"/>
                      <w:marRight w:val="0"/>
                      <w:marTop w:val="0"/>
                      <w:marBottom w:val="0"/>
                      <w:divBdr>
                        <w:top w:val="none" w:sz="0" w:space="0" w:color="auto"/>
                        <w:left w:val="none" w:sz="0" w:space="0" w:color="auto"/>
                        <w:bottom w:val="none" w:sz="0" w:space="0" w:color="auto"/>
                        <w:right w:val="none" w:sz="0" w:space="0" w:color="auto"/>
                      </w:divBdr>
                      <w:divsChild>
                        <w:div w:id="1663697463">
                          <w:marLeft w:val="0"/>
                          <w:marRight w:val="0"/>
                          <w:marTop w:val="0"/>
                          <w:marBottom w:val="0"/>
                          <w:divBdr>
                            <w:top w:val="none" w:sz="0" w:space="0" w:color="auto"/>
                            <w:left w:val="none" w:sz="0" w:space="0" w:color="auto"/>
                            <w:bottom w:val="none" w:sz="0" w:space="0" w:color="auto"/>
                            <w:right w:val="none" w:sz="0" w:space="0" w:color="auto"/>
                          </w:divBdr>
                          <w:divsChild>
                            <w:div w:id="600186561">
                              <w:marLeft w:val="0"/>
                              <w:marRight w:val="0"/>
                              <w:marTop w:val="0"/>
                              <w:marBottom w:val="0"/>
                              <w:divBdr>
                                <w:top w:val="none" w:sz="0" w:space="0" w:color="auto"/>
                                <w:left w:val="none" w:sz="0" w:space="0" w:color="auto"/>
                                <w:bottom w:val="none" w:sz="0" w:space="0" w:color="auto"/>
                                <w:right w:val="none" w:sz="0" w:space="0" w:color="auto"/>
                              </w:divBdr>
                              <w:divsChild>
                                <w:div w:id="968978834">
                                  <w:marLeft w:val="0"/>
                                  <w:marRight w:val="0"/>
                                  <w:marTop w:val="0"/>
                                  <w:marBottom w:val="0"/>
                                  <w:divBdr>
                                    <w:top w:val="none" w:sz="0" w:space="0" w:color="auto"/>
                                    <w:left w:val="none" w:sz="0" w:space="0" w:color="auto"/>
                                    <w:bottom w:val="none" w:sz="0" w:space="0" w:color="auto"/>
                                    <w:right w:val="none" w:sz="0" w:space="0" w:color="auto"/>
                                  </w:divBdr>
                                  <w:divsChild>
                                    <w:div w:id="322125139">
                                      <w:marLeft w:val="0"/>
                                      <w:marRight w:val="0"/>
                                      <w:marTop w:val="0"/>
                                      <w:marBottom w:val="0"/>
                                      <w:divBdr>
                                        <w:top w:val="none" w:sz="0" w:space="0" w:color="auto"/>
                                        <w:left w:val="none" w:sz="0" w:space="0" w:color="auto"/>
                                        <w:bottom w:val="none" w:sz="0" w:space="0" w:color="auto"/>
                                        <w:right w:val="none" w:sz="0" w:space="0" w:color="auto"/>
                                      </w:divBdr>
                                      <w:divsChild>
                                        <w:div w:id="86713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0286124">
      <w:bodyDiv w:val="1"/>
      <w:marLeft w:val="0"/>
      <w:marRight w:val="0"/>
      <w:marTop w:val="0"/>
      <w:marBottom w:val="0"/>
      <w:divBdr>
        <w:top w:val="none" w:sz="0" w:space="0" w:color="auto"/>
        <w:left w:val="none" w:sz="0" w:space="0" w:color="auto"/>
        <w:bottom w:val="none" w:sz="0" w:space="0" w:color="auto"/>
        <w:right w:val="none" w:sz="0" w:space="0" w:color="auto"/>
      </w:divBdr>
      <w:divsChild>
        <w:div w:id="1543595954">
          <w:marLeft w:val="0"/>
          <w:marRight w:val="0"/>
          <w:marTop w:val="0"/>
          <w:marBottom w:val="0"/>
          <w:divBdr>
            <w:top w:val="none" w:sz="0" w:space="0" w:color="auto"/>
            <w:left w:val="none" w:sz="0" w:space="0" w:color="auto"/>
            <w:bottom w:val="dotted" w:sz="6" w:space="4" w:color="DDDDDD"/>
            <w:right w:val="none" w:sz="0" w:space="0" w:color="auto"/>
          </w:divBdr>
        </w:div>
      </w:divsChild>
    </w:div>
    <w:div w:id="881551903">
      <w:bodyDiv w:val="1"/>
      <w:marLeft w:val="0"/>
      <w:marRight w:val="0"/>
      <w:marTop w:val="0"/>
      <w:marBottom w:val="0"/>
      <w:divBdr>
        <w:top w:val="none" w:sz="0" w:space="0" w:color="auto"/>
        <w:left w:val="none" w:sz="0" w:space="0" w:color="auto"/>
        <w:bottom w:val="none" w:sz="0" w:space="0" w:color="auto"/>
        <w:right w:val="none" w:sz="0" w:space="0" w:color="auto"/>
      </w:divBdr>
      <w:divsChild>
        <w:div w:id="695889282">
          <w:marLeft w:val="0"/>
          <w:marRight w:val="0"/>
          <w:marTop w:val="0"/>
          <w:marBottom w:val="0"/>
          <w:divBdr>
            <w:top w:val="none" w:sz="0" w:space="0" w:color="auto"/>
            <w:left w:val="none" w:sz="0" w:space="0" w:color="auto"/>
            <w:bottom w:val="dotted" w:sz="6" w:space="4" w:color="DDDDDD"/>
            <w:right w:val="none" w:sz="0" w:space="0" w:color="auto"/>
          </w:divBdr>
          <w:divsChild>
            <w:div w:id="89643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180592">
      <w:bodyDiv w:val="1"/>
      <w:marLeft w:val="0"/>
      <w:marRight w:val="0"/>
      <w:marTop w:val="0"/>
      <w:marBottom w:val="0"/>
      <w:divBdr>
        <w:top w:val="none" w:sz="0" w:space="0" w:color="auto"/>
        <w:left w:val="none" w:sz="0" w:space="0" w:color="auto"/>
        <w:bottom w:val="none" w:sz="0" w:space="0" w:color="auto"/>
        <w:right w:val="none" w:sz="0" w:space="0" w:color="auto"/>
      </w:divBdr>
    </w:div>
    <w:div w:id="882594076">
      <w:bodyDiv w:val="1"/>
      <w:marLeft w:val="0"/>
      <w:marRight w:val="0"/>
      <w:marTop w:val="0"/>
      <w:marBottom w:val="0"/>
      <w:divBdr>
        <w:top w:val="none" w:sz="0" w:space="0" w:color="auto"/>
        <w:left w:val="none" w:sz="0" w:space="0" w:color="auto"/>
        <w:bottom w:val="none" w:sz="0" w:space="0" w:color="auto"/>
        <w:right w:val="none" w:sz="0" w:space="0" w:color="auto"/>
      </w:divBdr>
    </w:div>
    <w:div w:id="882979799">
      <w:bodyDiv w:val="1"/>
      <w:marLeft w:val="0"/>
      <w:marRight w:val="0"/>
      <w:marTop w:val="0"/>
      <w:marBottom w:val="0"/>
      <w:divBdr>
        <w:top w:val="none" w:sz="0" w:space="0" w:color="auto"/>
        <w:left w:val="none" w:sz="0" w:space="0" w:color="auto"/>
        <w:bottom w:val="none" w:sz="0" w:space="0" w:color="auto"/>
        <w:right w:val="none" w:sz="0" w:space="0" w:color="auto"/>
      </w:divBdr>
      <w:divsChild>
        <w:div w:id="1741901908">
          <w:marLeft w:val="0"/>
          <w:marRight w:val="0"/>
          <w:marTop w:val="0"/>
          <w:marBottom w:val="180"/>
          <w:divBdr>
            <w:top w:val="none" w:sz="0" w:space="0" w:color="auto"/>
            <w:left w:val="none" w:sz="0" w:space="0" w:color="auto"/>
            <w:bottom w:val="none" w:sz="0" w:space="0" w:color="auto"/>
            <w:right w:val="none" w:sz="0" w:space="0" w:color="auto"/>
          </w:divBdr>
        </w:div>
      </w:divsChild>
    </w:div>
    <w:div w:id="882983186">
      <w:bodyDiv w:val="1"/>
      <w:marLeft w:val="0"/>
      <w:marRight w:val="0"/>
      <w:marTop w:val="0"/>
      <w:marBottom w:val="0"/>
      <w:divBdr>
        <w:top w:val="none" w:sz="0" w:space="0" w:color="auto"/>
        <w:left w:val="none" w:sz="0" w:space="0" w:color="auto"/>
        <w:bottom w:val="none" w:sz="0" w:space="0" w:color="auto"/>
        <w:right w:val="none" w:sz="0" w:space="0" w:color="auto"/>
      </w:divBdr>
      <w:divsChild>
        <w:div w:id="714160848">
          <w:marLeft w:val="0"/>
          <w:marRight w:val="0"/>
          <w:marTop w:val="0"/>
          <w:marBottom w:val="150"/>
          <w:divBdr>
            <w:top w:val="none" w:sz="0" w:space="0" w:color="auto"/>
            <w:left w:val="none" w:sz="0" w:space="0" w:color="auto"/>
            <w:bottom w:val="none" w:sz="0" w:space="0" w:color="auto"/>
            <w:right w:val="none" w:sz="0" w:space="0" w:color="auto"/>
          </w:divBdr>
        </w:div>
      </w:divsChild>
    </w:div>
    <w:div w:id="883372511">
      <w:bodyDiv w:val="1"/>
      <w:marLeft w:val="0"/>
      <w:marRight w:val="0"/>
      <w:marTop w:val="0"/>
      <w:marBottom w:val="0"/>
      <w:divBdr>
        <w:top w:val="none" w:sz="0" w:space="0" w:color="auto"/>
        <w:left w:val="none" w:sz="0" w:space="0" w:color="auto"/>
        <w:bottom w:val="none" w:sz="0" w:space="0" w:color="auto"/>
        <w:right w:val="none" w:sz="0" w:space="0" w:color="auto"/>
      </w:divBdr>
    </w:div>
    <w:div w:id="883491739">
      <w:bodyDiv w:val="1"/>
      <w:marLeft w:val="0"/>
      <w:marRight w:val="0"/>
      <w:marTop w:val="0"/>
      <w:marBottom w:val="0"/>
      <w:divBdr>
        <w:top w:val="none" w:sz="0" w:space="0" w:color="auto"/>
        <w:left w:val="none" w:sz="0" w:space="0" w:color="auto"/>
        <w:bottom w:val="none" w:sz="0" w:space="0" w:color="auto"/>
        <w:right w:val="none" w:sz="0" w:space="0" w:color="auto"/>
      </w:divBdr>
      <w:divsChild>
        <w:div w:id="1839496305">
          <w:marLeft w:val="0"/>
          <w:marRight w:val="0"/>
          <w:marTop w:val="0"/>
          <w:marBottom w:val="0"/>
          <w:divBdr>
            <w:top w:val="none" w:sz="0" w:space="0" w:color="auto"/>
            <w:left w:val="none" w:sz="0" w:space="0" w:color="auto"/>
            <w:bottom w:val="none" w:sz="0" w:space="0" w:color="auto"/>
            <w:right w:val="none" w:sz="0" w:space="0" w:color="auto"/>
          </w:divBdr>
        </w:div>
      </w:divsChild>
    </w:div>
    <w:div w:id="883636217">
      <w:bodyDiv w:val="1"/>
      <w:marLeft w:val="0"/>
      <w:marRight w:val="0"/>
      <w:marTop w:val="0"/>
      <w:marBottom w:val="0"/>
      <w:divBdr>
        <w:top w:val="none" w:sz="0" w:space="0" w:color="auto"/>
        <w:left w:val="none" w:sz="0" w:space="0" w:color="auto"/>
        <w:bottom w:val="none" w:sz="0" w:space="0" w:color="auto"/>
        <w:right w:val="none" w:sz="0" w:space="0" w:color="auto"/>
      </w:divBdr>
      <w:divsChild>
        <w:div w:id="887229095">
          <w:marLeft w:val="0"/>
          <w:marRight w:val="0"/>
          <w:marTop w:val="0"/>
          <w:marBottom w:val="0"/>
          <w:divBdr>
            <w:top w:val="none" w:sz="0" w:space="0" w:color="auto"/>
            <w:left w:val="none" w:sz="0" w:space="0" w:color="auto"/>
            <w:bottom w:val="dotted" w:sz="6" w:space="4" w:color="DDDDDD"/>
            <w:right w:val="none" w:sz="0" w:space="0" w:color="auto"/>
          </w:divBdr>
          <w:divsChild>
            <w:div w:id="13641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980055">
      <w:bodyDiv w:val="1"/>
      <w:marLeft w:val="0"/>
      <w:marRight w:val="0"/>
      <w:marTop w:val="0"/>
      <w:marBottom w:val="0"/>
      <w:divBdr>
        <w:top w:val="none" w:sz="0" w:space="0" w:color="auto"/>
        <w:left w:val="none" w:sz="0" w:space="0" w:color="auto"/>
        <w:bottom w:val="none" w:sz="0" w:space="0" w:color="auto"/>
        <w:right w:val="none" w:sz="0" w:space="0" w:color="auto"/>
      </w:divBdr>
      <w:divsChild>
        <w:div w:id="263928747">
          <w:marLeft w:val="0"/>
          <w:marRight w:val="0"/>
          <w:marTop w:val="0"/>
          <w:marBottom w:val="0"/>
          <w:divBdr>
            <w:top w:val="none" w:sz="0" w:space="0" w:color="auto"/>
            <w:left w:val="none" w:sz="0" w:space="0" w:color="auto"/>
            <w:bottom w:val="dotted" w:sz="6" w:space="4" w:color="DDDDDD"/>
            <w:right w:val="none" w:sz="0" w:space="0" w:color="auto"/>
          </w:divBdr>
          <w:divsChild>
            <w:div w:id="189531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024186">
      <w:bodyDiv w:val="1"/>
      <w:marLeft w:val="0"/>
      <w:marRight w:val="0"/>
      <w:marTop w:val="0"/>
      <w:marBottom w:val="0"/>
      <w:divBdr>
        <w:top w:val="none" w:sz="0" w:space="0" w:color="auto"/>
        <w:left w:val="none" w:sz="0" w:space="0" w:color="auto"/>
        <w:bottom w:val="none" w:sz="0" w:space="0" w:color="auto"/>
        <w:right w:val="none" w:sz="0" w:space="0" w:color="auto"/>
      </w:divBdr>
      <w:divsChild>
        <w:div w:id="1951234732">
          <w:marLeft w:val="0"/>
          <w:marRight w:val="0"/>
          <w:marTop w:val="0"/>
          <w:marBottom w:val="0"/>
          <w:divBdr>
            <w:top w:val="none" w:sz="0" w:space="0" w:color="auto"/>
            <w:left w:val="none" w:sz="0" w:space="0" w:color="auto"/>
            <w:bottom w:val="dotted" w:sz="6" w:space="4" w:color="DDDDDD"/>
            <w:right w:val="none" w:sz="0" w:space="0" w:color="auto"/>
          </w:divBdr>
          <w:divsChild>
            <w:div w:id="129606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098429">
      <w:bodyDiv w:val="1"/>
      <w:marLeft w:val="0"/>
      <w:marRight w:val="0"/>
      <w:marTop w:val="0"/>
      <w:marBottom w:val="0"/>
      <w:divBdr>
        <w:top w:val="none" w:sz="0" w:space="0" w:color="auto"/>
        <w:left w:val="none" w:sz="0" w:space="0" w:color="auto"/>
        <w:bottom w:val="none" w:sz="0" w:space="0" w:color="auto"/>
        <w:right w:val="none" w:sz="0" w:space="0" w:color="auto"/>
      </w:divBdr>
      <w:divsChild>
        <w:div w:id="1937905680">
          <w:marLeft w:val="0"/>
          <w:marRight w:val="0"/>
          <w:marTop w:val="0"/>
          <w:marBottom w:val="0"/>
          <w:divBdr>
            <w:top w:val="none" w:sz="0" w:space="0" w:color="auto"/>
            <w:left w:val="none" w:sz="0" w:space="0" w:color="auto"/>
            <w:bottom w:val="dotted" w:sz="6" w:space="4" w:color="DDDDDD"/>
            <w:right w:val="none" w:sz="0" w:space="0" w:color="auto"/>
          </w:divBdr>
          <w:divsChild>
            <w:div w:id="170813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93261">
      <w:bodyDiv w:val="1"/>
      <w:marLeft w:val="0"/>
      <w:marRight w:val="0"/>
      <w:marTop w:val="0"/>
      <w:marBottom w:val="0"/>
      <w:divBdr>
        <w:top w:val="none" w:sz="0" w:space="0" w:color="auto"/>
        <w:left w:val="none" w:sz="0" w:space="0" w:color="auto"/>
        <w:bottom w:val="none" w:sz="0" w:space="0" w:color="auto"/>
        <w:right w:val="none" w:sz="0" w:space="0" w:color="auto"/>
      </w:divBdr>
      <w:divsChild>
        <w:div w:id="293564735">
          <w:marLeft w:val="0"/>
          <w:marRight w:val="0"/>
          <w:marTop w:val="0"/>
          <w:marBottom w:val="0"/>
          <w:divBdr>
            <w:top w:val="none" w:sz="0" w:space="0" w:color="auto"/>
            <w:left w:val="none" w:sz="0" w:space="0" w:color="auto"/>
            <w:bottom w:val="none" w:sz="0" w:space="0" w:color="auto"/>
            <w:right w:val="none" w:sz="0" w:space="0" w:color="auto"/>
          </w:divBdr>
          <w:divsChild>
            <w:div w:id="745804798">
              <w:marLeft w:val="0"/>
              <w:marRight w:val="0"/>
              <w:marTop w:val="0"/>
              <w:marBottom w:val="0"/>
              <w:divBdr>
                <w:top w:val="none" w:sz="0" w:space="0" w:color="auto"/>
                <w:left w:val="none" w:sz="0" w:space="0" w:color="auto"/>
                <w:bottom w:val="none" w:sz="0" w:space="0" w:color="auto"/>
                <w:right w:val="none" w:sz="0" w:space="0" w:color="auto"/>
              </w:divBdr>
            </w:div>
          </w:divsChild>
        </w:div>
        <w:div w:id="339162886">
          <w:marLeft w:val="0"/>
          <w:marRight w:val="0"/>
          <w:marTop w:val="0"/>
          <w:marBottom w:val="150"/>
          <w:divBdr>
            <w:top w:val="none" w:sz="0" w:space="0" w:color="auto"/>
            <w:left w:val="none" w:sz="0" w:space="0" w:color="auto"/>
            <w:bottom w:val="none" w:sz="0" w:space="0" w:color="auto"/>
            <w:right w:val="none" w:sz="0" w:space="0" w:color="auto"/>
          </w:divBdr>
        </w:div>
        <w:div w:id="1845852225">
          <w:marLeft w:val="0"/>
          <w:marRight w:val="0"/>
          <w:marTop w:val="0"/>
          <w:marBottom w:val="150"/>
          <w:divBdr>
            <w:top w:val="none" w:sz="0" w:space="0" w:color="auto"/>
            <w:left w:val="none" w:sz="0" w:space="0" w:color="auto"/>
            <w:bottom w:val="none" w:sz="0" w:space="0" w:color="auto"/>
            <w:right w:val="none" w:sz="0" w:space="0" w:color="auto"/>
          </w:divBdr>
          <w:divsChild>
            <w:div w:id="182014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802007">
      <w:bodyDiv w:val="1"/>
      <w:marLeft w:val="0"/>
      <w:marRight w:val="0"/>
      <w:marTop w:val="0"/>
      <w:marBottom w:val="0"/>
      <w:divBdr>
        <w:top w:val="none" w:sz="0" w:space="0" w:color="auto"/>
        <w:left w:val="none" w:sz="0" w:space="0" w:color="auto"/>
        <w:bottom w:val="none" w:sz="0" w:space="0" w:color="auto"/>
        <w:right w:val="none" w:sz="0" w:space="0" w:color="auto"/>
      </w:divBdr>
      <w:divsChild>
        <w:div w:id="1754159335">
          <w:marLeft w:val="0"/>
          <w:marRight w:val="0"/>
          <w:marTop w:val="0"/>
          <w:marBottom w:val="0"/>
          <w:divBdr>
            <w:top w:val="none" w:sz="0" w:space="0" w:color="auto"/>
            <w:left w:val="none" w:sz="0" w:space="0" w:color="auto"/>
            <w:bottom w:val="dotted" w:sz="6" w:space="4" w:color="DDDDDD"/>
            <w:right w:val="none" w:sz="0" w:space="0" w:color="auto"/>
          </w:divBdr>
          <w:divsChild>
            <w:div w:id="36576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951598">
      <w:bodyDiv w:val="1"/>
      <w:marLeft w:val="0"/>
      <w:marRight w:val="0"/>
      <w:marTop w:val="0"/>
      <w:marBottom w:val="0"/>
      <w:divBdr>
        <w:top w:val="none" w:sz="0" w:space="0" w:color="auto"/>
        <w:left w:val="none" w:sz="0" w:space="0" w:color="auto"/>
        <w:bottom w:val="none" w:sz="0" w:space="0" w:color="auto"/>
        <w:right w:val="none" w:sz="0" w:space="0" w:color="auto"/>
      </w:divBdr>
      <w:divsChild>
        <w:div w:id="2142111222">
          <w:marLeft w:val="0"/>
          <w:marRight w:val="0"/>
          <w:marTop w:val="0"/>
          <w:marBottom w:val="0"/>
          <w:divBdr>
            <w:top w:val="none" w:sz="0" w:space="0" w:color="auto"/>
            <w:left w:val="none" w:sz="0" w:space="0" w:color="auto"/>
            <w:bottom w:val="none" w:sz="0" w:space="0" w:color="auto"/>
            <w:right w:val="none" w:sz="0" w:space="0" w:color="auto"/>
          </w:divBdr>
          <w:divsChild>
            <w:div w:id="1340304391">
              <w:marLeft w:val="0"/>
              <w:marRight w:val="0"/>
              <w:marTop w:val="0"/>
              <w:marBottom w:val="0"/>
              <w:divBdr>
                <w:top w:val="none" w:sz="0" w:space="0" w:color="auto"/>
                <w:left w:val="none" w:sz="0" w:space="0" w:color="auto"/>
                <w:bottom w:val="none" w:sz="0" w:space="0" w:color="auto"/>
                <w:right w:val="none" w:sz="0" w:space="0" w:color="auto"/>
              </w:divBdr>
              <w:divsChild>
                <w:div w:id="859466621">
                  <w:marLeft w:val="0"/>
                  <w:marRight w:val="0"/>
                  <w:marTop w:val="0"/>
                  <w:marBottom w:val="0"/>
                  <w:divBdr>
                    <w:top w:val="none" w:sz="0" w:space="0" w:color="auto"/>
                    <w:left w:val="none" w:sz="0" w:space="0" w:color="auto"/>
                    <w:bottom w:val="none" w:sz="0" w:space="0" w:color="auto"/>
                    <w:right w:val="none" w:sz="0" w:space="0" w:color="auto"/>
                  </w:divBdr>
                  <w:divsChild>
                    <w:div w:id="126168042">
                      <w:marLeft w:val="0"/>
                      <w:marRight w:val="0"/>
                      <w:marTop w:val="0"/>
                      <w:marBottom w:val="0"/>
                      <w:divBdr>
                        <w:top w:val="none" w:sz="0" w:space="0" w:color="auto"/>
                        <w:left w:val="none" w:sz="0" w:space="0" w:color="auto"/>
                        <w:bottom w:val="none" w:sz="0" w:space="0" w:color="auto"/>
                        <w:right w:val="none" w:sz="0" w:space="0" w:color="auto"/>
                      </w:divBdr>
                      <w:divsChild>
                        <w:div w:id="1616400326">
                          <w:marLeft w:val="0"/>
                          <w:marRight w:val="0"/>
                          <w:marTop w:val="0"/>
                          <w:marBottom w:val="0"/>
                          <w:divBdr>
                            <w:top w:val="none" w:sz="0" w:space="0" w:color="auto"/>
                            <w:left w:val="none" w:sz="0" w:space="0" w:color="auto"/>
                            <w:bottom w:val="none" w:sz="0" w:space="0" w:color="auto"/>
                            <w:right w:val="none" w:sz="0" w:space="0" w:color="auto"/>
                          </w:divBdr>
                          <w:divsChild>
                            <w:div w:id="1549299846">
                              <w:marLeft w:val="0"/>
                              <w:marRight w:val="0"/>
                              <w:marTop w:val="0"/>
                              <w:marBottom w:val="0"/>
                              <w:divBdr>
                                <w:top w:val="none" w:sz="0" w:space="0" w:color="auto"/>
                                <w:left w:val="none" w:sz="0" w:space="0" w:color="auto"/>
                                <w:bottom w:val="none" w:sz="0" w:space="0" w:color="auto"/>
                                <w:right w:val="none" w:sz="0" w:space="0" w:color="auto"/>
                              </w:divBdr>
                              <w:divsChild>
                                <w:div w:id="121459907">
                                  <w:marLeft w:val="0"/>
                                  <w:marRight w:val="0"/>
                                  <w:marTop w:val="0"/>
                                  <w:marBottom w:val="0"/>
                                  <w:divBdr>
                                    <w:top w:val="none" w:sz="0" w:space="0" w:color="auto"/>
                                    <w:left w:val="none" w:sz="0" w:space="0" w:color="auto"/>
                                    <w:bottom w:val="none" w:sz="0" w:space="0" w:color="auto"/>
                                    <w:right w:val="none" w:sz="0" w:space="0" w:color="auto"/>
                                  </w:divBdr>
                                  <w:divsChild>
                                    <w:div w:id="118281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987506">
      <w:bodyDiv w:val="1"/>
      <w:marLeft w:val="0"/>
      <w:marRight w:val="0"/>
      <w:marTop w:val="0"/>
      <w:marBottom w:val="0"/>
      <w:divBdr>
        <w:top w:val="none" w:sz="0" w:space="0" w:color="auto"/>
        <w:left w:val="none" w:sz="0" w:space="0" w:color="auto"/>
        <w:bottom w:val="none" w:sz="0" w:space="0" w:color="auto"/>
        <w:right w:val="none" w:sz="0" w:space="0" w:color="auto"/>
      </w:divBdr>
    </w:div>
    <w:div w:id="886457535">
      <w:bodyDiv w:val="1"/>
      <w:marLeft w:val="0"/>
      <w:marRight w:val="0"/>
      <w:marTop w:val="0"/>
      <w:marBottom w:val="0"/>
      <w:divBdr>
        <w:top w:val="none" w:sz="0" w:space="0" w:color="auto"/>
        <w:left w:val="none" w:sz="0" w:space="0" w:color="auto"/>
        <w:bottom w:val="none" w:sz="0" w:space="0" w:color="auto"/>
        <w:right w:val="none" w:sz="0" w:space="0" w:color="auto"/>
      </w:divBdr>
      <w:divsChild>
        <w:div w:id="982806597">
          <w:marLeft w:val="0"/>
          <w:marRight w:val="0"/>
          <w:marTop w:val="0"/>
          <w:marBottom w:val="0"/>
          <w:divBdr>
            <w:top w:val="none" w:sz="0" w:space="0" w:color="auto"/>
            <w:left w:val="none" w:sz="0" w:space="0" w:color="auto"/>
            <w:bottom w:val="dotted" w:sz="6" w:space="4" w:color="DDDDDD"/>
            <w:right w:val="none" w:sz="0" w:space="0" w:color="auto"/>
          </w:divBdr>
          <w:divsChild>
            <w:div w:id="164550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18747">
      <w:bodyDiv w:val="1"/>
      <w:marLeft w:val="0"/>
      <w:marRight w:val="0"/>
      <w:marTop w:val="0"/>
      <w:marBottom w:val="0"/>
      <w:divBdr>
        <w:top w:val="none" w:sz="0" w:space="0" w:color="auto"/>
        <w:left w:val="none" w:sz="0" w:space="0" w:color="auto"/>
        <w:bottom w:val="none" w:sz="0" w:space="0" w:color="auto"/>
        <w:right w:val="none" w:sz="0" w:space="0" w:color="auto"/>
      </w:divBdr>
    </w:div>
    <w:div w:id="887035735">
      <w:bodyDiv w:val="1"/>
      <w:marLeft w:val="0"/>
      <w:marRight w:val="0"/>
      <w:marTop w:val="0"/>
      <w:marBottom w:val="0"/>
      <w:divBdr>
        <w:top w:val="none" w:sz="0" w:space="0" w:color="auto"/>
        <w:left w:val="none" w:sz="0" w:space="0" w:color="auto"/>
        <w:bottom w:val="none" w:sz="0" w:space="0" w:color="auto"/>
        <w:right w:val="none" w:sz="0" w:space="0" w:color="auto"/>
      </w:divBdr>
      <w:divsChild>
        <w:div w:id="27723601">
          <w:marLeft w:val="0"/>
          <w:marRight w:val="0"/>
          <w:marTop w:val="0"/>
          <w:marBottom w:val="0"/>
          <w:divBdr>
            <w:top w:val="none" w:sz="0" w:space="0" w:color="auto"/>
            <w:left w:val="none" w:sz="0" w:space="0" w:color="auto"/>
            <w:bottom w:val="none" w:sz="0" w:space="0" w:color="auto"/>
            <w:right w:val="none" w:sz="0" w:space="0" w:color="auto"/>
          </w:divBdr>
          <w:divsChild>
            <w:div w:id="3952476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87377334">
      <w:bodyDiv w:val="1"/>
      <w:marLeft w:val="0"/>
      <w:marRight w:val="0"/>
      <w:marTop w:val="0"/>
      <w:marBottom w:val="0"/>
      <w:divBdr>
        <w:top w:val="none" w:sz="0" w:space="0" w:color="auto"/>
        <w:left w:val="none" w:sz="0" w:space="0" w:color="auto"/>
        <w:bottom w:val="none" w:sz="0" w:space="0" w:color="auto"/>
        <w:right w:val="none" w:sz="0" w:space="0" w:color="auto"/>
      </w:divBdr>
      <w:divsChild>
        <w:div w:id="94982888">
          <w:marLeft w:val="0"/>
          <w:marRight w:val="0"/>
          <w:marTop w:val="0"/>
          <w:marBottom w:val="0"/>
          <w:divBdr>
            <w:top w:val="none" w:sz="0" w:space="0" w:color="auto"/>
            <w:left w:val="none" w:sz="0" w:space="0" w:color="auto"/>
            <w:bottom w:val="none" w:sz="0" w:space="0" w:color="auto"/>
            <w:right w:val="none" w:sz="0" w:space="0" w:color="auto"/>
          </w:divBdr>
          <w:divsChild>
            <w:div w:id="1567910289">
              <w:marLeft w:val="0"/>
              <w:marRight w:val="0"/>
              <w:marTop w:val="225"/>
              <w:marBottom w:val="225"/>
              <w:divBdr>
                <w:top w:val="none" w:sz="0" w:space="0" w:color="auto"/>
                <w:left w:val="none" w:sz="0" w:space="0" w:color="auto"/>
                <w:bottom w:val="none" w:sz="0" w:space="0" w:color="auto"/>
                <w:right w:val="none" w:sz="0" w:space="0" w:color="auto"/>
              </w:divBdr>
            </w:div>
          </w:divsChild>
        </w:div>
        <w:div w:id="308243106">
          <w:marLeft w:val="0"/>
          <w:marRight w:val="0"/>
          <w:marTop w:val="0"/>
          <w:marBottom w:val="150"/>
          <w:divBdr>
            <w:top w:val="none" w:sz="0" w:space="0" w:color="auto"/>
            <w:left w:val="none" w:sz="0" w:space="0" w:color="auto"/>
            <w:bottom w:val="none" w:sz="0" w:space="0" w:color="auto"/>
            <w:right w:val="none" w:sz="0" w:space="0" w:color="auto"/>
          </w:divBdr>
        </w:div>
        <w:div w:id="470097032">
          <w:marLeft w:val="0"/>
          <w:marRight w:val="0"/>
          <w:marTop w:val="0"/>
          <w:marBottom w:val="150"/>
          <w:divBdr>
            <w:top w:val="none" w:sz="0" w:space="0" w:color="auto"/>
            <w:left w:val="none" w:sz="0" w:space="0" w:color="auto"/>
            <w:bottom w:val="none" w:sz="0" w:space="0" w:color="auto"/>
            <w:right w:val="none" w:sz="0" w:space="0" w:color="auto"/>
          </w:divBdr>
          <w:divsChild>
            <w:div w:id="698236409">
              <w:marLeft w:val="0"/>
              <w:marRight w:val="0"/>
              <w:marTop w:val="0"/>
              <w:marBottom w:val="0"/>
              <w:divBdr>
                <w:top w:val="none" w:sz="0" w:space="0" w:color="auto"/>
                <w:left w:val="none" w:sz="0" w:space="0" w:color="auto"/>
                <w:bottom w:val="none" w:sz="0" w:space="0" w:color="auto"/>
                <w:right w:val="none" w:sz="0" w:space="0" w:color="auto"/>
              </w:divBdr>
              <w:divsChild>
                <w:div w:id="73933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380413">
      <w:bodyDiv w:val="1"/>
      <w:marLeft w:val="0"/>
      <w:marRight w:val="0"/>
      <w:marTop w:val="0"/>
      <w:marBottom w:val="0"/>
      <w:divBdr>
        <w:top w:val="none" w:sz="0" w:space="0" w:color="auto"/>
        <w:left w:val="none" w:sz="0" w:space="0" w:color="auto"/>
        <w:bottom w:val="none" w:sz="0" w:space="0" w:color="auto"/>
        <w:right w:val="none" w:sz="0" w:space="0" w:color="auto"/>
      </w:divBdr>
    </w:div>
    <w:div w:id="887913491">
      <w:bodyDiv w:val="1"/>
      <w:marLeft w:val="0"/>
      <w:marRight w:val="0"/>
      <w:marTop w:val="0"/>
      <w:marBottom w:val="0"/>
      <w:divBdr>
        <w:top w:val="none" w:sz="0" w:space="0" w:color="auto"/>
        <w:left w:val="none" w:sz="0" w:space="0" w:color="auto"/>
        <w:bottom w:val="none" w:sz="0" w:space="0" w:color="auto"/>
        <w:right w:val="none" w:sz="0" w:space="0" w:color="auto"/>
      </w:divBdr>
      <w:divsChild>
        <w:div w:id="1968314518">
          <w:marLeft w:val="0"/>
          <w:marRight w:val="0"/>
          <w:marTop w:val="0"/>
          <w:marBottom w:val="240"/>
          <w:divBdr>
            <w:top w:val="none" w:sz="0" w:space="0" w:color="auto"/>
            <w:left w:val="none" w:sz="0" w:space="0" w:color="auto"/>
            <w:bottom w:val="none" w:sz="0" w:space="0" w:color="auto"/>
            <w:right w:val="none" w:sz="0" w:space="0" w:color="auto"/>
          </w:divBdr>
        </w:div>
      </w:divsChild>
    </w:div>
    <w:div w:id="888106888">
      <w:bodyDiv w:val="1"/>
      <w:marLeft w:val="0"/>
      <w:marRight w:val="0"/>
      <w:marTop w:val="0"/>
      <w:marBottom w:val="0"/>
      <w:divBdr>
        <w:top w:val="none" w:sz="0" w:space="0" w:color="auto"/>
        <w:left w:val="none" w:sz="0" w:space="0" w:color="auto"/>
        <w:bottom w:val="none" w:sz="0" w:space="0" w:color="auto"/>
        <w:right w:val="none" w:sz="0" w:space="0" w:color="auto"/>
      </w:divBdr>
    </w:div>
    <w:div w:id="888107389">
      <w:bodyDiv w:val="1"/>
      <w:marLeft w:val="0"/>
      <w:marRight w:val="0"/>
      <w:marTop w:val="0"/>
      <w:marBottom w:val="0"/>
      <w:divBdr>
        <w:top w:val="none" w:sz="0" w:space="0" w:color="auto"/>
        <w:left w:val="none" w:sz="0" w:space="0" w:color="auto"/>
        <w:bottom w:val="none" w:sz="0" w:space="0" w:color="auto"/>
        <w:right w:val="none" w:sz="0" w:space="0" w:color="auto"/>
      </w:divBdr>
      <w:divsChild>
        <w:div w:id="398212948">
          <w:marLeft w:val="0"/>
          <w:marRight w:val="0"/>
          <w:marTop w:val="135"/>
          <w:marBottom w:val="0"/>
          <w:divBdr>
            <w:top w:val="none" w:sz="0" w:space="0" w:color="auto"/>
            <w:left w:val="none" w:sz="0" w:space="0" w:color="auto"/>
            <w:bottom w:val="none" w:sz="0" w:space="0" w:color="auto"/>
            <w:right w:val="none" w:sz="0" w:space="0" w:color="auto"/>
          </w:divBdr>
          <w:divsChild>
            <w:div w:id="70008376">
              <w:marLeft w:val="0"/>
              <w:marRight w:val="0"/>
              <w:marTop w:val="45"/>
              <w:marBottom w:val="0"/>
              <w:divBdr>
                <w:top w:val="none" w:sz="0" w:space="0" w:color="auto"/>
                <w:left w:val="none" w:sz="0" w:space="0" w:color="auto"/>
                <w:bottom w:val="none" w:sz="0" w:space="0" w:color="auto"/>
                <w:right w:val="none" w:sz="0" w:space="0" w:color="auto"/>
              </w:divBdr>
            </w:div>
          </w:divsChild>
        </w:div>
        <w:div w:id="1255281964">
          <w:marLeft w:val="0"/>
          <w:marRight w:val="0"/>
          <w:marTop w:val="300"/>
          <w:marBottom w:val="0"/>
          <w:divBdr>
            <w:top w:val="none" w:sz="0" w:space="0" w:color="auto"/>
            <w:left w:val="none" w:sz="0" w:space="0" w:color="auto"/>
            <w:bottom w:val="none" w:sz="0" w:space="0" w:color="auto"/>
            <w:right w:val="none" w:sz="0" w:space="0" w:color="auto"/>
          </w:divBdr>
          <w:divsChild>
            <w:div w:id="43255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345509">
      <w:bodyDiv w:val="1"/>
      <w:marLeft w:val="0"/>
      <w:marRight w:val="0"/>
      <w:marTop w:val="0"/>
      <w:marBottom w:val="0"/>
      <w:divBdr>
        <w:top w:val="none" w:sz="0" w:space="0" w:color="auto"/>
        <w:left w:val="none" w:sz="0" w:space="0" w:color="auto"/>
        <w:bottom w:val="none" w:sz="0" w:space="0" w:color="auto"/>
        <w:right w:val="none" w:sz="0" w:space="0" w:color="auto"/>
      </w:divBdr>
      <w:divsChild>
        <w:div w:id="1312710420">
          <w:marLeft w:val="0"/>
          <w:marRight w:val="0"/>
          <w:marTop w:val="0"/>
          <w:marBottom w:val="0"/>
          <w:divBdr>
            <w:top w:val="none" w:sz="0" w:space="0" w:color="auto"/>
            <w:left w:val="none" w:sz="0" w:space="0" w:color="auto"/>
            <w:bottom w:val="none" w:sz="0" w:space="0" w:color="auto"/>
            <w:right w:val="none" w:sz="0" w:space="0" w:color="auto"/>
          </w:divBdr>
          <w:divsChild>
            <w:div w:id="796145606">
              <w:marLeft w:val="0"/>
              <w:marRight w:val="0"/>
              <w:marTop w:val="0"/>
              <w:marBottom w:val="0"/>
              <w:divBdr>
                <w:top w:val="none" w:sz="0" w:space="0" w:color="auto"/>
                <w:left w:val="none" w:sz="0" w:space="0" w:color="auto"/>
                <w:bottom w:val="none" w:sz="0" w:space="0" w:color="auto"/>
                <w:right w:val="none" w:sz="0" w:space="0" w:color="auto"/>
              </w:divBdr>
              <w:divsChild>
                <w:div w:id="176115222">
                  <w:marLeft w:val="0"/>
                  <w:marRight w:val="0"/>
                  <w:marTop w:val="0"/>
                  <w:marBottom w:val="0"/>
                  <w:divBdr>
                    <w:top w:val="none" w:sz="0" w:space="0" w:color="auto"/>
                    <w:left w:val="none" w:sz="0" w:space="0" w:color="auto"/>
                    <w:bottom w:val="none" w:sz="0" w:space="0" w:color="auto"/>
                    <w:right w:val="none" w:sz="0" w:space="0" w:color="auto"/>
                  </w:divBdr>
                  <w:divsChild>
                    <w:div w:id="2123912962">
                      <w:marLeft w:val="0"/>
                      <w:marRight w:val="0"/>
                      <w:marTop w:val="0"/>
                      <w:marBottom w:val="0"/>
                      <w:divBdr>
                        <w:top w:val="none" w:sz="0" w:space="0" w:color="auto"/>
                        <w:left w:val="none" w:sz="0" w:space="0" w:color="auto"/>
                        <w:bottom w:val="none" w:sz="0" w:space="0" w:color="auto"/>
                        <w:right w:val="none" w:sz="0" w:space="0" w:color="auto"/>
                      </w:divBdr>
                      <w:divsChild>
                        <w:div w:id="978606383">
                          <w:marLeft w:val="0"/>
                          <w:marRight w:val="0"/>
                          <w:marTop w:val="0"/>
                          <w:marBottom w:val="0"/>
                          <w:divBdr>
                            <w:top w:val="none" w:sz="0" w:space="0" w:color="auto"/>
                            <w:left w:val="none" w:sz="0" w:space="0" w:color="auto"/>
                            <w:bottom w:val="none" w:sz="0" w:space="0" w:color="auto"/>
                            <w:right w:val="none" w:sz="0" w:space="0" w:color="auto"/>
                          </w:divBdr>
                          <w:divsChild>
                            <w:div w:id="913703294">
                              <w:marLeft w:val="0"/>
                              <w:marRight w:val="0"/>
                              <w:marTop w:val="0"/>
                              <w:marBottom w:val="0"/>
                              <w:divBdr>
                                <w:top w:val="none" w:sz="0" w:space="0" w:color="auto"/>
                                <w:left w:val="none" w:sz="0" w:space="0" w:color="auto"/>
                                <w:bottom w:val="none" w:sz="0" w:space="0" w:color="auto"/>
                                <w:right w:val="none" w:sz="0" w:space="0" w:color="auto"/>
                              </w:divBdr>
                              <w:divsChild>
                                <w:div w:id="1175725854">
                                  <w:marLeft w:val="0"/>
                                  <w:marRight w:val="0"/>
                                  <w:marTop w:val="0"/>
                                  <w:marBottom w:val="75"/>
                                  <w:divBdr>
                                    <w:top w:val="none" w:sz="0" w:space="0" w:color="auto"/>
                                    <w:left w:val="none" w:sz="0" w:space="0" w:color="auto"/>
                                    <w:bottom w:val="none" w:sz="0" w:space="0" w:color="auto"/>
                                    <w:right w:val="none" w:sz="0" w:space="0" w:color="auto"/>
                                  </w:divBdr>
                                  <w:divsChild>
                                    <w:div w:id="584074163">
                                      <w:marLeft w:val="0"/>
                                      <w:marRight w:val="0"/>
                                      <w:marTop w:val="0"/>
                                      <w:marBottom w:val="0"/>
                                      <w:divBdr>
                                        <w:top w:val="none" w:sz="0" w:space="0" w:color="auto"/>
                                        <w:left w:val="none" w:sz="0" w:space="0" w:color="auto"/>
                                        <w:bottom w:val="none" w:sz="0" w:space="0" w:color="auto"/>
                                        <w:right w:val="none" w:sz="0" w:space="0" w:color="auto"/>
                                      </w:divBdr>
                                      <w:divsChild>
                                        <w:div w:id="474495474">
                                          <w:marLeft w:val="0"/>
                                          <w:marRight w:val="0"/>
                                          <w:marTop w:val="0"/>
                                          <w:marBottom w:val="0"/>
                                          <w:divBdr>
                                            <w:top w:val="none" w:sz="0" w:space="0" w:color="auto"/>
                                            <w:left w:val="none" w:sz="0" w:space="0" w:color="auto"/>
                                            <w:bottom w:val="none" w:sz="0" w:space="0" w:color="auto"/>
                                            <w:right w:val="none" w:sz="0" w:space="0" w:color="auto"/>
                                          </w:divBdr>
                                          <w:divsChild>
                                            <w:div w:id="3022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8688373">
      <w:bodyDiv w:val="1"/>
      <w:marLeft w:val="0"/>
      <w:marRight w:val="0"/>
      <w:marTop w:val="0"/>
      <w:marBottom w:val="0"/>
      <w:divBdr>
        <w:top w:val="none" w:sz="0" w:space="0" w:color="auto"/>
        <w:left w:val="none" w:sz="0" w:space="0" w:color="auto"/>
        <w:bottom w:val="none" w:sz="0" w:space="0" w:color="auto"/>
        <w:right w:val="none" w:sz="0" w:space="0" w:color="auto"/>
      </w:divBdr>
      <w:divsChild>
        <w:div w:id="1340422449">
          <w:marLeft w:val="0"/>
          <w:marRight w:val="0"/>
          <w:marTop w:val="0"/>
          <w:marBottom w:val="0"/>
          <w:divBdr>
            <w:top w:val="none" w:sz="0" w:space="0" w:color="auto"/>
            <w:left w:val="none" w:sz="0" w:space="0" w:color="auto"/>
            <w:bottom w:val="none" w:sz="0" w:space="0" w:color="auto"/>
            <w:right w:val="none" w:sz="0" w:space="0" w:color="auto"/>
          </w:divBdr>
        </w:div>
      </w:divsChild>
    </w:div>
    <w:div w:id="889078251">
      <w:bodyDiv w:val="1"/>
      <w:marLeft w:val="0"/>
      <w:marRight w:val="0"/>
      <w:marTop w:val="0"/>
      <w:marBottom w:val="0"/>
      <w:divBdr>
        <w:top w:val="none" w:sz="0" w:space="0" w:color="auto"/>
        <w:left w:val="none" w:sz="0" w:space="0" w:color="auto"/>
        <w:bottom w:val="none" w:sz="0" w:space="0" w:color="auto"/>
        <w:right w:val="none" w:sz="0" w:space="0" w:color="auto"/>
      </w:divBdr>
      <w:divsChild>
        <w:div w:id="2032412332">
          <w:marLeft w:val="0"/>
          <w:marRight w:val="0"/>
          <w:marTop w:val="0"/>
          <w:marBottom w:val="0"/>
          <w:divBdr>
            <w:top w:val="none" w:sz="0" w:space="0" w:color="auto"/>
            <w:left w:val="none" w:sz="0" w:space="0" w:color="auto"/>
            <w:bottom w:val="dotted" w:sz="6" w:space="4" w:color="DDDDDD"/>
            <w:right w:val="none" w:sz="0" w:space="0" w:color="auto"/>
          </w:divBdr>
          <w:divsChild>
            <w:div w:id="172236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418827">
      <w:bodyDiv w:val="1"/>
      <w:marLeft w:val="0"/>
      <w:marRight w:val="0"/>
      <w:marTop w:val="0"/>
      <w:marBottom w:val="0"/>
      <w:divBdr>
        <w:top w:val="none" w:sz="0" w:space="0" w:color="auto"/>
        <w:left w:val="none" w:sz="0" w:space="0" w:color="auto"/>
        <w:bottom w:val="none" w:sz="0" w:space="0" w:color="auto"/>
        <w:right w:val="none" w:sz="0" w:space="0" w:color="auto"/>
      </w:divBdr>
      <w:divsChild>
        <w:div w:id="1754544023">
          <w:marLeft w:val="0"/>
          <w:marRight w:val="0"/>
          <w:marTop w:val="0"/>
          <w:marBottom w:val="0"/>
          <w:divBdr>
            <w:top w:val="none" w:sz="0" w:space="0" w:color="auto"/>
            <w:left w:val="none" w:sz="0" w:space="0" w:color="auto"/>
            <w:bottom w:val="dotted" w:sz="6" w:space="4" w:color="DDDDDD"/>
            <w:right w:val="none" w:sz="0" w:space="0" w:color="auto"/>
          </w:divBdr>
        </w:div>
      </w:divsChild>
    </w:div>
    <w:div w:id="889683609">
      <w:bodyDiv w:val="1"/>
      <w:marLeft w:val="0"/>
      <w:marRight w:val="0"/>
      <w:marTop w:val="0"/>
      <w:marBottom w:val="0"/>
      <w:divBdr>
        <w:top w:val="none" w:sz="0" w:space="0" w:color="auto"/>
        <w:left w:val="none" w:sz="0" w:space="0" w:color="auto"/>
        <w:bottom w:val="none" w:sz="0" w:space="0" w:color="auto"/>
        <w:right w:val="none" w:sz="0" w:space="0" w:color="auto"/>
      </w:divBdr>
    </w:div>
    <w:div w:id="889999495">
      <w:bodyDiv w:val="1"/>
      <w:marLeft w:val="0"/>
      <w:marRight w:val="0"/>
      <w:marTop w:val="0"/>
      <w:marBottom w:val="0"/>
      <w:divBdr>
        <w:top w:val="none" w:sz="0" w:space="0" w:color="auto"/>
        <w:left w:val="none" w:sz="0" w:space="0" w:color="auto"/>
        <w:bottom w:val="none" w:sz="0" w:space="0" w:color="auto"/>
        <w:right w:val="none" w:sz="0" w:space="0" w:color="auto"/>
      </w:divBdr>
    </w:div>
    <w:div w:id="890649656">
      <w:bodyDiv w:val="1"/>
      <w:marLeft w:val="0"/>
      <w:marRight w:val="0"/>
      <w:marTop w:val="0"/>
      <w:marBottom w:val="0"/>
      <w:divBdr>
        <w:top w:val="none" w:sz="0" w:space="0" w:color="auto"/>
        <w:left w:val="none" w:sz="0" w:space="0" w:color="auto"/>
        <w:bottom w:val="none" w:sz="0" w:space="0" w:color="auto"/>
        <w:right w:val="none" w:sz="0" w:space="0" w:color="auto"/>
      </w:divBdr>
    </w:div>
    <w:div w:id="891312682">
      <w:bodyDiv w:val="1"/>
      <w:marLeft w:val="0"/>
      <w:marRight w:val="0"/>
      <w:marTop w:val="0"/>
      <w:marBottom w:val="0"/>
      <w:divBdr>
        <w:top w:val="none" w:sz="0" w:space="0" w:color="auto"/>
        <w:left w:val="none" w:sz="0" w:space="0" w:color="auto"/>
        <w:bottom w:val="none" w:sz="0" w:space="0" w:color="auto"/>
        <w:right w:val="none" w:sz="0" w:space="0" w:color="auto"/>
      </w:divBdr>
      <w:divsChild>
        <w:div w:id="557478578">
          <w:marLeft w:val="0"/>
          <w:marRight w:val="0"/>
          <w:marTop w:val="0"/>
          <w:marBottom w:val="0"/>
          <w:divBdr>
            <w:top w:val="none" w:sz="0" w:space="0" w:color="auto"/>
            <w:left w:val="none" w:sz="0" w:space="0" w:color="auto"/>
            <w:bottom w:val="dotted" w:sz="6" w:space="4" w:color="DDDDDD"/>
            <w:right w:val="none" w:sz="0" w:space="0" w:color="auto"/>
          </w:divBdr>
          <w:divsChild>
            <w:div w:id="184007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382157">
      <w:bodyDiv w:val="1"/>
      <w:marLeft w:val="0"/>
      <w:marRight w:val="0"/>
      <w:marTop w:val="0"/>
      <w:marBottom w:val="0"/>
      <w:divBdr>
        <w:top w:val="none" w:sz="0" w:space="0" w:color="auto"/>
        <w:left w:val="none" w:sz="0" w:space="0" w:color="auto"/>
        <w:bottom w:val="none" w:sz="0" w:space="0" w:color="auto"/>
        <w:right w:val="none" w:sz="0" w:space="0" w:color="auto"/>
      </w:divBdr>
    </w:div>
    <w:div w:id="891382559">
      <w:bodyDiv w:val="1"/>
      <w:marLeft w:val="0"/>
      <w:marRight w:val="0"/>
      <w:marTop w:val="0"/>
      <w:marBottom w:val="0"/>
      <w:divBdr>
        <w:top w:val="none" w:sz="0" w:space="0" w:color="auto"/>
        <w:left w:val="none" w:sz="0" w:space="0" w:color="auto"/>
        <w:bottom w:val="none" w:sz="0" w:space="0" w:color="auto"/>
        <w:right w:val="none" w:sz="0" w:space="0" w:color="auto"/>
      </w:divBdr>
      <w:divsChild>
        <w:div w:id="283464220">
          <w:marLeft w:val="0"/>
          <w:marRight w:val="0"/>
          <w:marTop w:val="150"/>
          <w:marBottom w:val="0"/>
          <w:divBdr>
            <w:top w:val="none" w:sz="0" w:space="0" w:color="auto"/>
            <w:left w:val="none" w:sz="0" w:space="0" w:color="auto"/>
            <w:bottom w:val="none" w:sz="0" w:space="0" w:color="auto"/>
            <w:right w:val="none" w:sz="0" w:space="0" w:color="auto"/>
          </w:divBdr>
          <w:divsChild>
            <w:div w:id="62408729">
              <w:marLeft w:val="0"/>
              <w:marRight w:val="0"/>
              <w:marTop w:val="0"/>
              <w:marBottom w:val="0"/>
              <w:divBdr>
                <w:top w:val="none" w:sz="0" w:space="0" w:color="auto"/>
                <w:left w:val="none" w:sz="0" w:space="0" w:color="auto"/>
                <w:bottom w:val="none" w:sz="0" w:space="0" w:color="auto"/>
                <w:right w:val="none" w:sz="0" w:space="0" w:color="auto"/>
              </w:divBdr>
              <w:divsChild>
                <w:div w:id="45784612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306520821">
          <w:marLeft w:val="0"/>
          <w:marRight w:val="0"/>
          <w:marTop w:val="0"/>
          <w:marBottom w:val="0"/>
          <w:divBdr>
            <w:top w:val="none" w:sz="0" w:space="0" w:color="auto"/>
            <w:left w:val="none" w:sz="0" w:space="0" w:color="auto"/>
            <w:bottom w:val="none" w:sz="0" w:space="0" w:color="auto"/>
            <w:right w:val="none" w:sz="0" w:space="0" w:color="auto"/>
          </w:divBdr>
          <w:divsChild>
            <w:div w:id="32875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690805">
      <w:bodyDiv w:val="1"/>
      <w:marLeft w:val="0"/>
      <w:marRight w:val="0"/>
      <w:marTop w:val="0"/>
      <w:marBottom w:val="0"/>
      <w:divBdr>
        <w:top w:val="none" w:sz="0" w:space="0" w:color="auto"/>
        <w:left w:val="none" w:sz="0" w:space="0" w:color="auto"/>
        <w:bottom w:val="none" w:sz="0" w:space="0" w:color="auto"/>
        <w:right w:val="none" w:sz="0" w:space="0" w:color="auto"/>
      </w:divBdr>
      <w:divsChild>
        <w:div w:id="1488856788">
          <w:marLeft w:val="0"/>
          <w:marRight w:val="0"/>
          <w:marTop w:val="0"/>
          <w:marBottom w:val="0"/>
          <w:divBdr>
            <w:top w:val="none" w:sz="0" w:space="0" w:color="auto"/>
            <w:left w:val="none" w:sz="0" w:space="0" w:color="auto"/>
            <w:bottom w:val="none" w:sz="0" w:space="0" w:color="auto"/>
            <w:right w:val="none" w:sz="0" w:space="0" w:color="auto"/>
          </w:divBdr>
          <w:divsChild>
            <w:div w:id="183441552">
              <w:marLeft w:val="0"/>
              <w:marRight w:val="0"/>
              <w:marTop w:val="0"/>
              <w:marBottom w:val="0"/>
              <w:divBdr>
                <w:top w:val="none" w:sz="0" w:space="0" w:color="auto"/>
                <w:left w:val="none" w:sz="0" w:space="0" w:color="auto"/>
                <w:bottom w:val="none" w:sz="0" w:space="0" w:color="auto"/>
                <w:right w:val="none" w:sz="0" w:space="0" w:color="auto"/>
              </w:divBdr>
              <w:divsChild>
                <w:div w:id="524559840">
                  <w:marLeft w:val="0"/>
                  <w:marRight w:val="0"/>
                  <w:marTop w:val="0"/>
                  <w:marBottom w:val="0"/>
                  <w:divBdr>
                    <w:top w:val="none" w:sz="0" w:space="0" w:color="auto"/>
                    <w:left w:val="none" w:sz="0" w:space="0" w:color="auto"/>
                    <w:bottom w:val="none" w:sz="0" w:space="0" w:color="auto"/>
                    <w:right w:val="none" w:sz="0" w:space="0" w:color="auto"/>
                  </w:divBdr>
                  <w:divsChild>
                    <w:div w:id="1626278823">
                      <w:marLeft w:val="0"/>
                      <w:marRight w:val="0"/>
                      <w:marTop w:val="0"/>
                      <w:marBottom w:val="0"/>
                      <w:divBdr>
                        <w:top w:val="none" w:sz="0" w:space="0" w:color="auto"/>
                        <w:left w:val="none" w:sz="0" w:space="0" w:color="auto"/>
                        <w:bottom w:val="none" w:sz="0" w:space="0" w:color="auto"/>
                        <w:right w:val="none" w:sz="0" w:space="0" w:color="auto"/>
                      </w:divBdr>
                      <w:divsChild>
                        <w:div w:id="1611618676">
                          <w:marLeft w:val="0"/>
                          <w:marRight w:val="0"/>
                          <w:marTop w:val="0"/>
                          <w:marBottom w:val="0"/>
                          <w:divBdr>
                            <w:top w:val="none" w:sz="0" w:space="0" w:color="auto"/>
                            <w:left w:val="none" w:sz="0" w:space="0" w:color="auto"/>
                            <w:bottom w:val="none" w:sz="0" w:space="0" w:color="auto"/>
                            <w:right w:val="none" w:sz="0" w:space="0" w:color="auto"/>
                          </w:divBdr>
                          <w:divsChild>
                            <w:div w:id="2017689234">
                              <w:marLeft w:val="0"/>
                              <w:marRight w:val="0"/>
                              <w:marTop w:val="0"/>
                              <w:marBottom w:val="0"/>
                              <w:divBdr>
                                <w:top w:val="none" w:sz="0" w:space="0" w:color="auto"/>
                                <w:left w:val="none" w:sz="0" w:space="0" w:color="auto"/>
                                <w:bottom w:val="none" w:sz="0" w:space="0" w:color="auto"/>
                                <w:right w:val="none" w:sz="0" w:space="0" w:color="auto"/>
                              </w:divBdr>
                              <w:divsChild>
                                <w:div w:id="472529860">
                                  <w:marLeft w:val="0"/>
                                  <w:marRight w:val="0"/>
                                  <w:marTop w:val="0"/>
                                  <w:marBottom w:val="0"/>
                                  <w:divBdr>
                                    <w:top w:val="none" w:sz="0" w:space="0" w:color="auto"/>
                                    <w:left w:val="none" w:sz="0" w:space="0" w:color="auto"/>
                                    <w:bottom w:val="none" w:sz="0" w:space="0" w:color="auto"/>
                                    <w:right w:val="none" w:sz="0" w:space="0" w:color="auto"/>
                                  </w:divBdr>
                                  <w:divsChild>
                                    <w:div w:id="104182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2038649">
      <w:bodyDiv w:val="1"/>
      <w:marLeft w:val="0"/>
      <w:marRight w:val="0"/>
      <w:marTop w:val="0"/>
      <w:marBottom w:val="0"/>
      <w:divBdr>
        <w:top w:val="none" w:sz="0" w:space="0" w:color="auto"/>
        <w:left w:val="none" w:sz="0" w:space="0" w:color="auto"/>
        <w:bottom w:val="none" w:sz="0" w:space="0" w:color="auto"/>
        <w:right w:val="none" w:sz="0" w:space="0" w:color="auto"/>
      </w:divBdr>
      <w:divsChild>
        <w:div w:id="297339471">
          <w:marLeft w:val="0"/>
          <w:marRight w:val="0"/>
          <w:marTop w:val="0"/>
          <w:marBottom w:val="150"/>
          <w:divBdr>
            <w:top w:val="none" w:sz="0" w:space="0" w:color="auto"/>
            <w:left w:val="none" w:sz="0" w:space="0" w:color="auto"/>
            <w:bottom w:val="none" w:sz="0" w:space="0" w:color="auto"/>
            <w:right w:val="none" w:sz="0" w:space="0" w:color="auto"/>
          </w:divBdr>
        </w:div>
        <w:div w:id="1043604334">
          <w:marLeft w:val="0"/>
          <w:marRight w:val="0"/>
          <w:marTop w:val="0"/>
          <w:marBottom w:val="0"/>
          <w:divBdr>
            <w:top w:val="none" w:sz="0" w:space="0" w:color="auto"/>
            <w:left w:val="none" w:sz="0" w:space="0" w:color="auto"/>
            <w:bottom w:val="none" w:sz="0" w:space="0" w:color="auto"/>
            <w:right w:val="none" w:sz="0" w:space="0" w:color="auto"/>
          </w:divBdr>
          <w:divsChild>
            <w:div w:id="87310999">
              <w:marLeft w:val="0"/>
              <w:marRight w:val="0"/>
              <w:marTop w:val="225"/>
              <w:marBottom w:val="225"/>
              <w:divBdr>
                <w:top w:val="none" w:sz="0" w:space="0" w:color="auto"/>
                <w:left w:val="none" w:sz="0" w:space="0" w:color="auto"/>
                <w:bottom w:val="none" w:sz="0" w:space="0" w:color="auto"/>
                <w:right w:val="none" w:sz="0" w:space="0" w:color="auto"/>
              </w:divBdr>
            </w:div>
          </w:divsChild>
        </w:div>
        <w:div w:id="1774978722">
          <w:marLeft w:val="0"/>
          <w:marRight w:val="0"/>
          <w:marTop w:val="0"/>
          <w:marBottom w:val="150"/>
          <w:divBdr>
            <w:top w:val="none" w:sz="0" w:space="0" w:color="auto"/>
            <w:left w:val="none" w:sz="0" w:space="0" w:color="auto"/>
            <w:bottom w:val="none" w:sz="0" w:space="0" w:color="auto"/>
            <w:right w:val="none" w:sz="0" w:space="0" w:color="auto"/>
          </w:divBdr>
          <w:divsChild>
            <w:div w:id="1454136746">
              <w:marLeft w:val="0"/>
              <w:marRight w:val="0"/>
              <w:marTop w:val="0"/>
              <w:marBottom w:val="0"/>
              <w:divBdr>
                <w:top w:val="none" w:sz="0" w:space="0" w:color="auto"/>
                <w:left w:val="none" w:sz="0" w:space="0" w:color="auto"/>
                <w:bottom w:val="none" w:sz="0" w:space="0" w:color="auto"/>
                <w:right w:val="none" w:sz="0" w:space="0" w:color="auto"/>
              </w:divBdr>
              <w:divsChild>
                <w:div w:id="131317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159827">
      <w:bodyDiv w:val="1"/>
      <w:marLeft w:val="0"/>
      <w:marRight w:val="0"/>
      <w:marTop w:val="0"/>
      <w:marBottom w:val="0"/>
      <w:divBdr>
        <w:top w:val="none" w:sz="0" w:space="0" w:color="auto"/>
        <w:left w:val="none" w:sz="0" w:space="0" w:color="auto"/>
        <w:bottom w:val="none" w:sz="0" w:space="0" w:color="auto"/>
        <w:right w:val="none" w:sz="0" w:space="0" w:color="auto"/>
      </w:divBdr>
    </w:div>
    <w:div w:id="892348655">
      <w:bodyDiv w:val="1"/>
      <w:marLeft w:val="0"/>
      <w:marRight w:val="0"/>
      <w:marTop w:val="0"/>
      <w:marBottom w:val="0"/>
      <w:divBdr>
        <w:top w:val="none" w:sz="0" w:space="0" w:color="auto"/>
        <w:left w:val="none" w:sz="0" w:space="0" w:color="auto"/>
        <w:bottom w:val="none" w:sz="0" w:space="0" w:color="auto"/>
        <w:right w:val="none" w:sz="0" w:space="0" w:color="auto"/>
      </w:divBdr>
      <w:divsChild>
        <w:div w:id="582492177">
          <w:marLeft w:val="0"/>
          <w:marRight w:val="0"/>
          <w:marTop w:val="0"/>
          <w:marBottom w:val="0"/>
          <w:divBdr>
            <w:top w:val="none" w:sz="0" w:space="0" w:color="auto"/>
            <w:left w:val="none" w:sz="0" w:space="0" w:color="auto"/>
            <w:bottom w:val="dotted" w:sz="6" w:space="4" w:color="DDDDDD"/>
            <w:right w:val="none" w:sz="0" w:space="0" w:color="auto"/>
          </w:divBdr>
          <w:divsChild>
            <w:div w:id="13121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355030">
      <w:bodyDiv w:val="1"/>
      <w:marLeft w:val="0"/>
      <w:marRight w:val="0"/>
      <w:marTop w:val="0"/>
      <w:marBottom w:val="0"/>
      <w:divBdr>
        <w:top w:val="none" w:sz="0" w:space="0" w:color="auto"/>
        <w:left w:val="none" w:sz="0" w:space="0" w:color="auto"/>
        <w:bottom w:val="none" w:sz="0" w:space="0" w:color="auto"/>
        <w:right w:val="none" w:sz="0" w:space="0" w:color="auto"/>
      </w:divBdr>
    </w:div>
    <w:div w:id="892735975">
      <w:bodyDiv w:val="1"/>
      <w:marLeft w:val="0"/>
      <w:marRight w:val="0"/>
      <w:marTop w:val="0"/>
      <w:marBottom w:val="0"/>
      <w:divBdr>
        <w:top w:val="none" w:sz="0" w:space="0" w:color="auto"/>
        <w:left w:val="none" w:sz="0" w:space="0" w:color="auto"/>
        <w:bottom w:val="none" w:sz="0" w:space="0" w:color="auto"/>
        <w:right w:val="none" w:sz="0" w:space="0" w:color="auto"/>
      </w:divBdr>
      <w:divsChild>
        <w:div w:id="1477379918">
          <w:marLeft w:val="0"/>
          <w:marRight w:val="0"/>
          <w:marTop w:val="0"/>
          <w:marBottom w:val="0"/>
          <w:divBdr>
            <w:top w:val="none" w:sz="0" w:space="0" w:color="auto"/>
            <w:left w:val="none" w:sz="0" w:space="0" w:color="auto"/>
            <w:bottom w:val="dotted" w:sz="6" w:space="4" w:color="DDDDDD"/>
            <w:right w:val="none" w:sz="0" w:space="0" w:color="auto"/>
          </w:divBdr>
        </w:div>
      </w:divsChild>
    </w:div>
    <w:div w:id="893351701">
      <w:bodyDiv w:val="1"/>
      <w:marLeft w:val="0"/>
      <w:marRight w:val="0"/>
      <w:marTop w:val="0"/>
      <w:marBottom w:val="0"/>
      <w:divBdr>
        <w:top w:val="none" w:sz="0" w:space="0" w:color="auto"/>
        <w:left w:val="none" w:sz="0" w:space="0" w:color="auto"/>
        <w:bottom w:val="none" w:sz="0" w:space="0" w:color="auto"/>
        <w:right w:val="none" w:sz="0" w:space="0" w:color="auto"/>
      </w:divBdr>
      <w:divsChild>
        <w:div w:id="771820975">
          <w:marLeft w:val="0"/>
          <w:marRight w:val="0"/>
          <w:marTop w:val="0"/>
          <w:marBottom w:val="150"/>
          <w:divBdr>
            <w:top w:val="none" w:sz="0" w:space="0" w:color="auto"/>
            <w:left w:val="none" w:sz="0" w:space="0" w:color="auto"/>
            <w:bottom w:val="none" w:sz="0" w:space="0" w:color="auto"/>
            <w:right w:val="none" w:sz="0" w:space="0" w:color="auto"/>
          </w:divBdr>
        </w:div>
      </w:divsChild>
    </w:div>
    <w:div w:id="894195034">
      <w:bodyDiv w:val="1"/>
      <w:marLeft w:val="0"/>
      <w:marRight w:val="0"/>
      <w:marTop w:val="0"/>
      <w:marBottom w:val="0"/>
      <w:divBdr>
        <w:top w:val="none" w:sz="0" w:space="0" w:color="auto"/>
        <w:left w:val="none" w:sz="0" w:space="0" w:color="auto"/>
        <w:bottom w:val="none" w:sz="0" w:space="0" w:color="auto"/>
        <w:right w:val="none" w:sz="0" w:space="0" w:color="auto"/>
      </w:divBdr>
    </w:div>
    <w:div w:id="894271360">
      <w:bodyDiv w:val="1"/>
      <w:marLeft w:val="0"/>
      <w:marRight w:val="0"/>
      <w:marTop w:val="0"/>
      <w:marBottom w:val="0"/>
      <w:divBdr>
        <w:top w:val="none" w:sz="0" w:space="0" w:color="auto"/>
        <w:left w:val="none" w:sz="0" w:space="0" w:color="auto"/>
        <w:bottom w:val="none" w:sz="0" w:space="0" w:color="auto"/>
        <w:right w:val="none" w:sz="0" w:space="0" w:color="auto"/>
      </w:divBdr>
    </w:div>
    <w:div w:id="894587382">
      <w:bodyDiv w:val="1"/>
      <w:marLeft w:val="0"/>
      <w:marRight w:val="0"/>
      <w:marTop w:val="0"/>
      <w:marBottom w:val="0"/>
      <w:divBdr>
        <w:top w:val="none" w:sz="0" w:space="0" w:color="auto"/>
        <w:left w:val="none" w:sz="0" w:space="0" w:color="auto"/>
        <w:bottom w:val="none" w:sz="0" w:space="0" w:color="auto"/>
        <w:right w:val="none" w:sz="0" w:space="0" w:color="auto"/>
      </w:divBdr>
      <w:divsChild>
        <w:div w:id="1286082375">
          <w:marLeft w:val="0"/>
          <w:marRight w:val="0"/>
          <w:marTop w:val="0"/>
          <w:marBottom w:val="0"/>
          <w:divBdr>
            <w:top w:val="none" w:sz="0" w:space="0" w:color="auto"/>
            <w:left w:val="none" w:sz="0" w:space="0" w:color="auto"/>
            <w:bottom w:val="none" w:sz="0" w:space="0" w:color="auto"/>
            <w:right w:val="none" w:sz="0" w:space="0" w:color="auto"/>
          </w:divBdr>
          <w:divsChild>
            <w:div w:id="1162309448">
              <w:marLeft w:val="0"/>
              <w:marRight w:val="0"/>
              <w:marTop w:val="0"/>
              <w:marBottom w:val="150"/>
              <w:divBdr>
                <w:top w:val="none" w:sz="0" w:space="0" w:color="auto"/>
                <w:left w:val="none" w:sz="0" w:space="0" w:color="auto"/>
                <w:bottom w:val="none" w:sz="0" w:space="0" w:color="auto"/>
                <w:right w:val="none" w:sz="0" w:space="0" w:color="auto"/>
              </w:divBdr>
            </w:div>
            <w:div w:id="131275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07751">
      <w:bodyDiv w:val="1"/>
      <w:marLeft w:val="0"/>
      <w:marRight w:val="0"/>
      <w:marTop w:val="0"/>
      <w:marBottom w:val="0"/>
      <w:divBdr>
        <w:top w:val="none" w:sz="0" w:space="0" w:color="auto"/>
        <w:left w:val="none" w:sz="0" w:space="0" w:color="auto"/>
        <w:bottom w:val="none" w:sz="0" w:space="0" w:color="auto"/>
        <w:right w:val="none" w:sz="0" w:space="0" w:color="auto"/>
      </w:divBdr>
      <w:divsChild>
        <w:div w:id="810296085">
          <w:marLeft w:val="0"/>
          <w:marRight w:val="0"/>
          <w:marTop w:val="0"/>
          <w:marBottom w:val="150"/>
          <w:divBdr>
            <w:top w:val="none" w:sz="0" w:space="0" w:color="auto"/>
            <w:left w:val="none" w:sz="0" w:space="0" w:color="auto"/>
            <w:bottom w:val="none" w:sz="0" w:space="0" w:color="auto"/>
            <w:right w:val="none" w:sz="0" w:space="0" w:color="auto"/>
          </w:divBdr>
          <w:divsChild>
            <w:div w:id="1888879073">
              <w:marLeft w:val="0"/>
              <w:marRight w:val="0"/>
              <w:marTop w:val="0"/>
              <w:marBottom w:val="0"/>
              <w:divBdr>
                <w:top w:val="none" w:sz="0" w:space="0" w:color="auto"/>
                <w:left w:val="none" w:sz="0" w:space="0" w:color="auto"/>
                <w:bottom w:val="none" w:sz="0" w:space="0" w:color="auto"/>
                <w:right w:val="none" w:sz="0" w:space="0" w:color="auto"/>
              </w:divBdr>
            </w:div>
          </w:divsChild>
        </w:div>
        <w:div w:id="964853250">
          <w:marLeft w:val="0"/>
          <w:marRight w:val="0"/>
          <w:marTop w:val="0"/>
          <w:marBottom w:val="0"/>
          <w:divBdr>
            <w:top w:val="none" w:sz="0" w:space="0" w:color="auto"/>
            <w:left w:val="none" w:sz="0" w:space="0" w:color="auto"/>
            <w:bottom w:val="none" w:sz="0" w:space="0" w:color="auto"/>
            <w:right w:val="none" w:sz="0" w:space="0" w:color="auto"/>
          </w:divBdr>
          <w:divsChild>
            <w:div w:id="2054959306">
              <w:marLeft w:val="0"/>
              <w:marRight w:val="0"/>
              <w:marTop w:val="0"/>
              <w:marBottom w:val="0"/>
              <w:divBdr>
                <w:top w:val="none" w:sz="0" w:space="0" w:color="auto"/>
                <w:left w:val="none" w:sz="0" w:space="0" w:color="auto"/>
                <w:bottom w:val="none" w:sz="0" w:space="0" w:color="auto"/>
                <w:right w:val="none" w:sz="0" w:space="0" w:color="auto"/>
              </w:divBdr>
            </w:div>
          </w:divsChild>
        </w:div>
        <w:div w:id="1927380347">
          <w:marLeft w:val="0"/>
          <w:marRight w:val="0"/>
          <w:marTop w:val="0"/>
          <w:marBottom w:val="150"/>
          <w:divBdr>
            <w:top w:val="none" w:sz="0" w:space="0" w:color="auto"/>
            <w:left w:val="none" w:sz="0" w:space="0" w:color="auto"/>
            <w:bottom w:val="none" w:sz="0" w:space="0" w:color="auto"/>
            <w:right w:val="none" w:sz="0" w:space="0" w:color="auto"/>
          </w:divBdr>
        </w:div>
      </w:divsChild>
    </w:div>
    <w:div w:id="894967374">
      <w:bodyDiv w:val="1"/>
      <w:marLeft w:val="0"/>
      <w:marRight w:val="0"/>
      <w:marTop w:val="0"/>
      <w:marBottom w:val="0"/>
      <w:divBdr>
        <w:top w:val="none" w:sz="0" w:space="0" w:color="auto"/>
        <w:left w:val="none" w:sz="0" w:space="0" w:color="auto"/>
        <w:bottom w:val="none" w:sz="0" w:space="0" w:color="auto"/>
        <w:right w:val="none" w:sz="0" w:space="0" w:color="auto"/>
      </w:divBdr>
    </w:div>
    <w:div w:id="895626487">
      <w:bodyDiv w:val="1"/>
      <w:marLeft w:val="0"/>
      <w:marRight w:val="0"/>
      <w:marTop w:val="0"/>
      <w:marBottom w:val="0"/>
      <w:divBdr>
        <w:top w:val="none" w:sz="0" w:space="0" w:color="auto"/>
        <w:left w:val="none" w:sz="0" w:space="0" w:color="auto"/>
        <w:bottom w:val="none" w:sz="0" w:space="0" w:color="auto"/>
        <w:right w:val="none" w:sz="0" w:space="0" w:color="auto"/>
      </w:divBdr>
    </w:div>
    <w:div w:id="896285605">
      <w:bodyDiv w:val="1"/>
      <w:marLeft w:val="0"/>
      <w:marRight w:val="0"/>
      <w:marTop w:val="0"/>
      <w:marBottom w:val="0"/>
      <w:divBdr>
        <w:top w:val="none" w:sz="0" w:space="0" w:color="auto"/>
        <w:left w:val="none" w:sz="0" w:space="0" w:color="auto"/>
        <w:bottom w:val="none" w:sz="0" w:space="0" w:color="auto"/>
        <w:right w:val="none" w:sz="0" w:space="0" w:color="auto"/>
      </w:divBdr>
    </w:div>
    <w:div w:id="896473151">
      <w:bodyDiv w:val="1"/>
      <w:marLeft w:val="0"/>
      <w:marRight w:val="0"/>
      <w:marTop w:val="0"/>
      <w:marBottom w:val="0"/>
      <w:divBdr>
        <w:top w:val="none" w:sz="0" w:space="0" w:color="auto"/>
        <w:left w:val="none" w:sz="0" w:space="0" w:color="auto"/>
        <w:bottom w:val="none" w:sz="0" w:space="0" w:color="auto"/>
        <w:right w:val="none" w:sz="0" w:space="0" w:color="auto"/>
      </w:divBdr>
    </w:div>
    <w:div w:id="896555787">
      <w:bodyDiv w:val="1"/>
      <w:marLeft w:val="0"/>
      <w:marRight w:val="0"/>
      <w:marTop w:val="0"/>
      <w:marBottom w:val="0"/>
      <w:divBdr>
        <w:top w:val="none" w:sz="0" w:space="0" w:color="auto"/>
        <w:left w:val="none" w:sz="0" w:space="0" w:color="auto"/>
        <w:bottom w:val="none" w:sz="0" w:space="0" w:color="auto"/>
        <w:right w:val="none" w:sz="0" w:space="0" w:color="auto"/>
      </w:divBdr>
      <w:divsChild>
        <w:div w:id="237834418">
          <w:marLeft w:val="0"/>
          <w:marRight w:val="0"/>
          <w:marTop w:val="0"/>
          <w:marBottom w:val="150"/>
          <w:divBdr>
            <w:top w:val="none" w:sz="0" w:space="0" w:color="auto"/>
            <w:left w:val="none" w:sz="0" w:space="0" w:color="auto"/>
            <w:bottom w:val="none" w:sz="0" w:space="0" w:color="auto"/>
            <w:right w:val="none" w:sz="0" w:space="0" w:color="auto"/>
          </w:divBdr>
          <w:divsChild>
            <w:div w:id="2026397880">
              <w:marLeft w:val="0"/>
              <w:marRight w:val="0"/>
              <w:marTop w:val="0"/>
              <w:marBottom w:val="0"/>
              <w:divBdr>
                <w:top w:val="none" w:sz="0" w:space="0" w:color="auto"/>
                <w:left w:val="none" w:sz="0" w:space="0" w:color="auto"/>
                <w:bottom w:val="none" w:sz="0" w:space="0" w:color="auto"/>
                <w:right w:val="none" w:sz="0" w:space="0" w:color="auto"/>
              </w:divBdr>
            </w:div>
          </w:divsChild>
        </w:div>
        <w:div w:id="457801407">
          <w:marLeft w:val="0"/>
          <w:marRight w:val="0"/>
          <w:marTop w:val="0"/>
          <w:marBottom w:val="150"/>
          <w:divBdr>
            <w:top w:val="none" w:sz="0" w:space="0" w:color="auto"/>
            <w:left w:val="none" w:sz="0" w:space="0" w:color="auto"/>
            <w:bottom w:val="none" w:sz="0" w:space="0" w:color="auto"/>
            <w:right w:val="none" w:sz="0" w:space="0" w:color="auto"/>
          </w:divBdr>
        </w:div>
        <w:div w:id="1702315368">
          <w:marLeft w:val="0"/>
          <w:marRight w:val="0"/>
          <w:marTop w:val="0"/>
          <w:marBottom w:val="0"/>
          <w:divBdr>
            <w:top w:val="none" w:sz="0" w:space="0" w:color="auto"/>
            <w:left w:val="none" w:sz="0" w:space="0" w:color="auto"/>
            <w:bottom w:val="none" w:sz="0" w:space="0" w:color="auto"/>
            <w:right w:val="none" w:sz="0" w:space="0" w:color="auto"/>
          </w:divBdr>
          <w:divsChild>
            <w:div w:id="206933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890712">
      <w:bodyDiv w:val="1"/>
      <w:marLeft w:val="0"/>
      <w:marRight w:val="0"/>
      <w:marTop w:val="0"/>
      <w:marBottom w:val="0"/>
      <w:divBdr>
        <w:top w:val="none" w:sz="0" w:space="0" w:color="auto"/>
        <w:left w:val="none" w:sz="0" w:space="0" w:color="auto"/>
        <w:bottom w:val="none" w:sz="0" w:space="0" w:color="auto"/>
        <w:right w:val="none" w:sz="0" w:space="0" w:color="auto"/>
      </w:divBdr>
      <w:divsChild>
        <w:div w:id="1243879897">
          <w:marLeft w:val="0"/>
          <w:marRight w:val="0"/>
          <w:marTop w:val="0"/>
          <w:marBottom w:val="0"/>
          <w:divBdr>
            <w:top w:val="none" w:sz="0" w:space="0" w:color="auto"/>
            <w:left w:val="none" w:sz="0" w:space="0" w:color="auto"/>
            <w:bottom w:val="none" w:sz="0" w:space="0" w:color="auto"/>
            <w:right w:val="none" w:sz="0" w:space="0" w:color="auto"/>
          </w:divBdr>
          <w:divsChild>
            <w:div w:id="14688902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96934192">
      <w:bodyDiv w:val="1"/>
      <w:marLeft w:val="0"/>
      <w:marRight w:val="0"/>
      <w:marTop w:val="0"/>
      <w:marBottom w:val="0"/>
      <w:divBdr>
        <w:top w:val="none" w:sz="0" w:space="0" w:color="auto"/>
        <w:left w:val="none" w:sz="0" w:space="0" w:color="auto"/>
        <w:bottom w:val="none" w:sz="0" w:space="0" w:color="auto"/>
        <w:right w:val="none" w:sz="0" w:space="0" w:color="auto"/>
      </w:divBdr>
      <w:divsChild>
        <w:div w:id="1042940783">
          <w:marLeft w:val="0"/>
          <w:marRight w:val="0"/>
          <w:marTop w:val="0"/>
          <w:marBottom w:val="150"/>
          <w:divBdr>
            <w:top w:val="none" w:sz="0" w:space="0" w:color="auto"/>
            <w:left w:val="none" w:sz="0" w:space="0" w:color="auto"/>
            <w:bottom w:val="none" w:sz="0" w:space="0" w:color="auto"/>
            <w:right w:val="none" w:sz="0" w:space="0" w:color="auto"/>
          </w:divBdr>
          <w:divsChild>
            <w:div w:id="2063208858">
              <w:marLeft w:val="0"/>
              <w:marRight w:val="0"/>
              <w:marTop w:val="0"/>
              <w:marBottom w:val="0"/>
              <w:divBdr>
                <w:top w:val="none" w:sz="0" w:space="0" w:color="auto"/>
                <w:left w:val="none" w:sz="0" w:space="0" w:color="auto"/>
                <w:bottom w:val="none" w:sz="0" w:space="0" w:color="auto"/>
                <w:right w:val="none" w:sz="0" w:space="0" w:color="auto"/>
              </w:divBdr>
              <w:divsChild>
                <w:div w:id="106687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819029">
          <w:marLeft w:val="0"/>
          <w:marRight w:val="0"/>
          <w:marTop w:val="0"/>
          <w:marBottom w:val="0"/>
          <w:divBdr>
            <w:top w:val="none" w:sz="0" w:space="0" w:color="auto"/>
            <w:left w:val="none" w:sz="0" w:space="0" w:color="auto"/>
            <w:bottom w:val="none" w:sz="0" w:space="0" w:color="auto"/>
            <w:right w:val="none" w:sz="0" w:space="0" w:color="auto"/>
          </w:divBdr>
          <w:divsChild>
            <w:div w:id="440955597">
              <w:marLeft w:val="0"/>
              <w:marRight w:val="0"/>
              <w:marTop w:val="0"/>
              <w:marBottom w:val="0"/>
              <w:divBdr>
                <w:top w:val="none" w:sz="0" w:space="0" w:color="auto"/>
                <w:left w:val="none" w:sz="0" w:space="0" w:color="auto"/>
                <w:bottom w:val="none" w:sz="0" w:space="0" w:color="auto"/>
                <w:right w:val="none" w:sz="0" w:space="0" w:color="auto"/>
              </w:divBdr>
              <w:divsChild>
                <w:div w:id="1450667300">
                  <w:marLeft w:val="0"/>
                  <w:marRight w:val="0"/>
                  <w:marTop w:val="225"/>
                  <w:marBottom w:val="225"/>
                  <w:divBdr>
                    <w:top w:val="none" w:sz="0" w:space="0" w:color="auto"/>
                    <w:left w:val="none" w:sz="0" w:space="0" w:color="auto"/>
                    <w:bottom w:val="none" w:sz="0" w:space="0" w:color="auto"/>
                    <w:right w:val="none" w:sz="0" w:space="0" w:color="auto"/>
                  </w:divBdr>
                </w:div>
              </w:divsChild>
            </w:div>
            <w:div w:id="14146674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97712539">
      <w:bodyDiv w:val="1"/>
      <w:marLeft w:val="0"/>
      <w:marRight w:val="0"/>
      <w:marTop w:val="0"/>
      <w:marBottom w:val="0"/>
      <w:divBdr>
        <w:top w:val="none" w:sz="0" w:space="0" w:color="auto"/>
        <w:left w:val="none" w:sz="0" w:space="0" w:color="auto"/>
        <w:bottom w:val="none" w:sz="0" w:space="0" w:color="auto"/>
        <w:right w:val="none" w:sz="0" w:space="0" w:color="auto"/>
      </w:divBdr>
    </w:div>
    <w:div w:id="898126539">
      <w:bodyDiv w:val="1"/>
      <w:marLeft w:val="0"/>
      <w:marRight w:val="0"/>
      <w:marTop w:val="0"/>
      <w:marBottom w:val="0"/>
      <w:divBdr>
        <w:top w:val="none" w:sz="0" w:space="0" w:color="auto"/>
        <w:left w:val="none" w:sz="0" w:space="0" w:color="auto"/>
        <w:bottom w:val="none" w:sz="0" w:space="0" w:color="auto"/>
        <w:right w:val="none" w:sz="0" w:space="0" w:color="auto"/>
      </w:divBdr>
      <w:divsChild>
        <w:div w:id="1001814666">
          <w:marLeft w:val="0"/>
          <w:marRight w:val="0"/>
          <w:marTop w:val="0"/>
          <w:marBottom w:val="0"/>
          <w:divBdr>
            <w:top w:val="none" w:sz="0" w:space="0" w:color="auto"/>
            <w:left w:val="none" w:sz="0" w:space="0" w:color="auto"/>
            <w:bottom w:val="none" w:sz="0" w:space="0" w:color="auto"/>
            <w:right w:val="none" w:sz="0" w:space="0" w:color="auto"/>
          </w:divBdr>
          <w:divsChild>
            <w:div w:id="87386017">
              <w:marLeft w:val="0"/>
              <w:marRight w:val="0"/>
              <w:marTop w:val="0"/>
              <w:marBottom w:val="0"/>
              <w:divBdr>
                <w:top w:val="none" w:sz="0" w:space="0" w:color="auto"/>
                <w:left w:val="none" w:sz="0" w:space="0" w:color="auto"/>
                <w:bottom w:val="none" w:sz="0" w:space="0" w:color="auto"/>
                <w:right w:val="none" w:sz="0" w:space="0" w:color="auto"/>
              </w:divBdr>
              <w:divsChild>
                <w:div w:id="1715958572">
                  <w:marLeft w:val="0"/>
                  <w:marRight w:val="0"/>
                  <w:marTop w:val="0"/>
                  <w:marBottom w:val="0"/>
                  <w:divBdr>
                    <w:top w:val="none" w:sz="0" w:space="0" w:color="auto"/>
                    <w:left w:val="none" w:sz="0" w:space="0" w:color="auto"/>
                    <w:bottom w:val="none" w:sz="0" w:space="0" w:color="auto"/>
                    <w:right w:val="none" w:sz="0" w:space="0" w:color="auto"/>
                  </w:divBdr>
                  <w:divsChild>
                    <w:div w:id="1702973225">
                      <w:marLeft w:val="0"/>
                      <w:marRight w:val="0"/>
                      <w:marTop w:val="0"/>
                      <w:marBottom w:val="0"/>
                      <w:divBdr>
                        <w:top w:val="none" w:sz="0" w:space="0" w:color="auto"/>
                        <w:left w:val="none" w:sz="0" w:space="0" w:color="auto"/>
                        <w:bottom w:val="none" w:sz="0" w:space="0" w:color="auto"/>
                        <w:right w:val="none" w:sz="0" w:space="0" w:color="auto"/>
                      </w:divBdr>
                      <w:divsChild>
                        <w:div w:id="874928177">
                          <w:marLeft w:val="0"/>
                          <w:marRight w:val="0"/>
                          <w:marTop w:val="0"/>
                          <w:marBottom w:val="0"/>
                          <w:divBdr>
                            <w:top w:val="none" w:sz="0" w:space="0" w:color="auto"/>
                            <w:left w:val="none" w:sz="0" w:space="0" w:color="auto"/>
                            <w:bottom w:val="none" w:sz="0" w:space="0" w:color="auto"/>
                            <w:right w:val="none" w:sz="0" w:space="0" w:color="auto"/>
                          </w:divBdr>
                          <w:divsChild>
                            <w:div w:id="815147836">
                              <w:marLeft w:val="0"/>
                              <w:marRight w:val="0"/>
                              <w:marTop w:val="0"/>
                              <w:marBottom w:val="0"/>
                              <w:divBdr>
                                <w:top w:val="none" w:sz="0" w:space="0" w:color="auto"/>
                                <w:left w:val="none" w:sz="0" w:space="0" w:color="auto"/>
                                <w:bottom w:val="none" w:sz="0" w:space="0" w:color="auto"/>
                                <w:right w:val="none" w:sz="0" w:space="0" w:color="auto"/>
                              </w:divBdr>
                              <w:divsChild>
                                <w:div w:id="1306549629">
                                  <w:marLeft w:val="0"/>
                                  <w:marRight w:val="0"/>
                                  <w:marTop w:val="0"/>
                                  <w:marBottom w:val="0"/>
                                  <w:divBdr>
                                    <w:top w:val="none" w:sz="0" w:space="0" w:color="auto"/>
                                    <w:left w:val="none" w:sz="0" w:space="0" w:color="auto"/>
                                    <w:bottom w:val="none" w:sz="0" w:space="0" w:color="auto"/>
                                    <w:right w:val="none" w:sz="0" w:space="0" w:color="auto"/>
                                  </w:divBdr>
                                  <w:divsChild>
                                    <w:div w:id="148519909">
                                      <w:marLeft w:val="0"/>
                                      <w:marRight w:val="0"/>
                                      <w:marTop w:val="0"/>
                                      <w:marBottom w:val="0"/>
                                      <w:divBdr>
                                        <w:top w:val="none" w:sz="0" w:space="0" w:color="auto"/>
                                        <w:left w:val="none" w:sz="0" w:space="0" w:color="auto"/>
                                        <w:bottom w:val="none" w:sz="0" w:space="0" w:color="auto"/>
                                        <w:right w:val="none" w:sz="0" w:space="0" w:color="auto"/>
                                      </w:divBdr>
                                      <w:divsChild>
                                        <w:div w:id="2072195332">
                                          <w:marLeft w:val="0"/>
                                          <w:marRight w:val="0"/>
                                          <w:marTop w:val="0"/>
                                          <w:marBottom w:val="0"/>
                                          <w:divBdr>
                                            <w:top w:val="none" w:sz="0" w:space="0" w:color="auto"/>
                                            <w:left w:val="none" w:sz="0" w:space="0" w:color="auto"/>
                                            <w:bottom w:val="none" w:sz="0" w:space="0" w:color="auto"/>
                                            <w:right w:val="none" w:sz="0" w:space="0" w:color="auto"/>
                                          </w:divBdr>
                                          <w:divsChild>
                                            <w:div w:id="532575152">
                                              <w:marLeft w:val="0"/>
                                              <w:marRight w:val="0"/>
                                              <w:marTop w:val="0"/>
                                              <w:marBottom w:val="0"/>
                                              <w:divBdr>
                                                <w:top w:val="none" w:sz="0" w:space="0" w:color="auto"/>
                                                <w:left w:val="none" w:sz="0" w:space="0" w:color="auto"/>
                                                <w:bottom w:val="none" w:sz="0" w:space="0" w:color="auto"/>
                                                <w:right w:val="none" w:sz="0" w:space="0" w:color="auto"/>
                                              </w:divBdr>
                                            </w:div>
                                            <w:div w:id="672488205">
                                              <w:marLeft w:val="0"/>
                                              <w:marRight w:val="0"/>
                                              <w:marTop w:val="0"/>
                                              <w:marBottom w:val="0"/>
                                              <w:divBdr>
                                                <w:top w:val="none" w:sz="0" w:space="0" w:color="auto"/>
                                                <w:left w:val="none" w:sz="0" w:space="0" w:color="auto"/>
                                                <w:bottom w:val="none" w:sz="0" w:space="0" w:color="auto"/>
                                                <w:right w:val="none" w:sz="0" w:space="0" w:color="auto"/>
                                              </w:divBdr>
                                            </w:div>
                                            <w:div w:id="862741504">
                                              <w:marLeft w:val="0"/>
                                              <w:marRight w:val="0"/>
                                              <w:marTop w:val="0"/>
                                              <w:marBottom w:val="0"/>
                                              <w:divBdr>
                                                <w:top w:val="none" w:sz="0" w:space="0" w:color="auto"/>
                                                <w:left w:val="none" w:sz="0" w:space="0" w:color="auto"/>
                                                <w:bottom w:val="none" w:sz="0" w:space="0" w:color="auto"/>
                                                <w:right w:val="none" w:sz="0" w:space="0" w:color="auto"/>
                                              </w:divBdr>
                                            </w:div>
                                            <w:div w:id="1349522001">
                                              <w:marLeft w:val="0"/>
                                              <w:marRight w:val="0"/>
                                              <w:marTop w:val="0"/>
                                              <w:marBottom w:val="0"/>
                                              <w:divBdr>
                                                <w:top w:val="none" w:sz="0" w:space="0" w:color="auto"/>
                                                <w:left w:val="none" w:sz="0" w:space="0" w:color="auto"/>
                                                <w:bottom w:val="none" w:sz="0" w:space="0" w:color="auto"/>
                                                <w:right w:val="none" w:sz="0" w:space="0" w:color="auto"/>
                                              </w:divBdr>
                                            </w:div>
                                            <w:div w:id="178719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8133588">
      <w:bodyDiv w:val="1"/>
      <w:marLeft w:val="0"/>
      <w:marRight w:val="0"/>
      <w:marTop w:val="0"/>
      <w:marBottom w:val="0"/>
      <w:divBdr>
        <w:top w:val="none" w:sz="0" w:space="0" w:color="auto"/>
        <w:left w:val="none" w:sz="0" w:space="0" w:color="auto"/>
        <w:bottom w:val="none" w:sz="0" w:space="0" w:color="auto"/>
        <w:right w:val="none" w:sz="0" w:space="0" w:color="auto"/>
      </w:divBdr>
      <w:divsChild>
        <w:div w:id="830485736">
          <w:marLeft w:val="0"/>
          <w:marRight w:val="0"/>
          <w:marTop w:val="0"/>
          <w:marBottom w:val="0"/>
          <w:divBdr>
            <w:top w:val="none" w:sz="0" w:space="0" w:color="auto"/>
            <w:left w:val="none" w:sz="0" w:space="0" w:color="auto"/>
            <w:bottom w:val="dotted" w:sz="6" w:space="4" w:color="DDDDDD"/>
            <w:right w:val="none" w:sz="0" w:space="0" w:color="auto"/>
          </w:divBdr>
        </w:div>
      </w:divsChild>
    </w:div>
    <w:div w:id="898252767">
      <w:bodyDiv w:val="1"/>
      <w:marLeft w:val="0"/>
      <w:marRight w:val="0"/>
      <w:marTop w:val="0"/>
      <w:marBottom w:val="0"/>
      <w:divBdr>
        <w:top w:val="none" w:sz="0" w:space="0" w:color="auto"/>
        <w:left w:val="none" w:sz="0" w:space="0" w:color="auto"/>
        <w:bottom w:val="none" w:sz="0" w:space="0" w:color="auto"/>
        <w:right w:val="none" w:sz="0" w:space="0" w:color="auto"/>
      </w:divBdr>
      <w:divsChild>
        <w:div w:id="1667437898">
          <w:marLeft w:val="0"/>
          <w:marRight w:val="0"/>
          <w:marTop w:val="0"/>
          <w:marBottom w:val="0"/>
          <w:divBdr>
            <w:top w:val="none" w:sz="0" w:space="0" w:color="auto"/>
            <w:left w:val="none" w:sz="0" w:space="0" w:color="auto"/>
            <w:bottom w:val="dotted" w:sz="6" w:space="4" w:color="DDDDDD"/>
            <w:right w:val="none" w:sz="0" w:space="0" w:color="auto"/>
          </w:divBdr>
        </w:div>
      </w:divsChild>
    </w:div>
    <w:div w:id="898396544">
      <w:bodyDiv w:val="1"/>
      <w:marLeft w:val="0"/>
      <w:marRight w:val="0"/>
      <w:marTop w:val="0"/>
      <w:marBottom w:val="0"/>
      <w:divBdr>
        <w:top w:val="none" w:sz="0" w:space="0" w:color="auto"/>
        <w:left w:val="none" w:sz="0" w:space="0" w:color="auto"/>
        <w:bottom w:val="none" w:sz="0" w:space="0" w:color="auto"/>
        <w:right w:val="none" w:sz="0" w:space="0" w:color="auto"/>
      </w:divBdr>
    </w:div>
    <w:div w:id="898438317">
      <w:bodyDiv w:val="1"/>
      <w:marLeft w:val="0"/>
      <w:marRight w:val="0"/>
      <w:marTop w:val="0"/>
      <w:marBottom w:val="0"/>
      <w:divBdr>
        <w:top w:val="none" w:sz="0" w:space="0" w:color="auto"/>
        <w:left w:val="none" w:sz="0" w:space="0" w:color="auto"/>
        <w:bottom w:val="none" w:sz="0" w:space="0" w:color="auto"/>
        <w:right w:val="none" w:sz="0" w:space="0" w:color="auto"/>
      </w:divBdr>
      <w:divsChild>
        <w:div w:id="35014025">
          <w:marLeft w:val="0"/>
          <w:marRight w:val="0"/>
          <w:marTop w:val="0"/>
          <w:marBottom w:val="150"/>
          <w:divBdr>
            <w:top w:val="none" w:sz="0" w:space="0" w:color="auto"/>
            <w:left w:val="none" w:sz="0" w:space="0" w:color="auto"/>
            <w:bottom w:val="none" w:sz="0" w:space="0" w:color="auto"/>
            <w:right w:val="none" w:sz="0" w:space="0" w:color="auto"/>
          </w:divBdr>
        </w:div>
      </w:divsChild>
    </w:div>
    <w:div w:id="898636660">
      <w:bodyDiv w:val="1"/>
      <w:marLeft w:val="0"/>
      <w:marRight w:val="0"/>
      <w:marTop w:val="0"/>
      <w:marBottom w:val="0"/>
      <w:divBdr>
        <w:top w:val="none" w:sz="0" w:space="0" w:color="auto"/>
        <w:left w:val="none" w:sz="0" w:space="0" w:color="auto"/>
        <w:bottom w:val="none" w:sz="0" w:space="0" w:color="auto"/>
        <w:right w:val="none" w:sz="0" w:space="0" w:color="auto"/>
      </w:divBdr>
      <w:divsChild>
        <w:div w:id="1802460968">
          <w:marLeft w:val="0"/>
          <w:marRight w:val="0"/>
          <w:marTop w:val="0"/>
          <w:marBottom w:val="0"/>
          <w:divBdr>
            <w:top w:val="none" w:sz="0" w:space="0" w:color="auto"/>
            <w:left w:val="none" w:sz="0" w:space="0" w:color="auto"/>
            <w:bottom w:val="none" w:sz="0" w:space="0" w:color="auto"/>
            <w:right w:val="none" w:sz="0" w:space="0" w:color="auto"/>
          </w:divBdr>
          <w:divsChild>
            <w:div w:id="1156603860">
              <w:marLeft w:val="0"/>
              <w:marRight w:val="150"/>
              <w:marTop w:val="0"/>
              <w:marBottom w:val="0"/>
              <w:divBdr>
                <w:top w:val="none" w:sz="0" w:space="0" w:color="auto"/>
                <w:left w:val="none" w:sz="0" w:space="0" w:color="auto"/>
                <w:bottom w:val="none" w:sz="0" w:space="0" w:color="auto"/>
                <w:right w:val="none" w:sz="0" w:space="0" w:color="auto"/>
              </w:divBdr>
            </w:div>
            <w:div w:id="1426799508">
              <w:marLeft w:val="0"/>
              <w:marRight w:val="0"/>
              <w:marTop w:val="0"/>
              <w:marBottom w:val="0"/>
              <w:divBdr>
                <w:top w:val="none" w:sz="0" w:space="0" w:color="auto"/>
                <w:left w:val="none" w:sz="0" w:space="0" w:color="auto"/>
                <w:bottom w:val="none" w:sz="0" w:space="0" w:color="auto"/>
                <w:right w:val="none" w:sz="0" w:space="0" w:color="auto"/>
              </w:divBdr>
            </w:div>
          </w:divsChild>
        </w:div>
        <w:div w:id="1965845580">
          <w:marLeft w:val="0"/>
          <w:marRight w:val="0"/>
          <w:marTop w:val="0"/>
          <w:marBottom w:val="0"/>
          <w:divBdr>
            <w:top w:val="none" w:sz="0" w:space="0" w:color="auto"/>
            <w:left w:val="none" w:sz="0" w:space="0" w:color="auto"/>
            <w:bottom w:val="none" w:sz="0" w:space="0" w:color="auto"/>
            <w:right w:val="none" w:sz="0" w:space="0" w:color="auto"/>
          </w:divBdr>
        </w:div>
      </w:divsChild>
    </w:div>
    <w:div w:id="899049199">
      <w:bodyDiv w:val="1"/>
      <w:marLeft w:val="0"/>
      <w:marRight w:val="0"/>
      <w:marTop w:val="0"/>
      <w:marBottom w:val="0"/>
      <w:divBdr>
        <w:top w:val="none" w:sz="0" w:space="0" w:color="auto"/>
        <w:left w:val="none" w:sz="0" w:space="0" w:color="auto"/>
        <w:bottom w:val="none" w:sz="0" w:space="0" w:color="auto"/>
        <w:right w:val="none" w:sz="0" w:space="0" w:color="auto"/>
      </w:divBdr>
      <w:divsChild>
        <w:div w:id="1822230807">
          <w:marLeft w:val="0"/>
          <w:marRight w:val="0"/>
          <w:marTop w:val="0"/>
          <w:marBottom w:val="0"/>
          <w:divBdr>
            <w:top w:val="none" w:sz="0" w:space="0" w:color="auto"/>
            <w:left w:val="none" w:sz="0" w:space="0" w:color="auto"/>
            <w:bottom w:val="dotted" w:sz="6" w:space="4" w:color="DDDDDD"/>
            <w:right w:val="none" w:sz="0" w:space="0" w:color="auto"/>
          </w:divBdr>
        </w:div>
      </w:divsChild>
    </w:div>
    <w:div w:id="899555115">
      <w:bodyDiv w:val="1"/>
      <w:marLeft w:val="0"/>
      <w:marRight w:val="0"/>
      <w:marTop w:val="0"/>
      <w:marBottom w:val="0"/>
      <w:divBdr>
        <w:top w:val="none" w:sz="0" w:space="0" w:color="auto"/>
        <w:left w:val="none" w:sz="0" w:space="0" w:color="auto"/>
        <w:bottom w:val="none" w:sz="0" w:space="0" w:color="auto"/>
        <w:right w:val="none" w:sz="0" w:space="0" w:color="auto"/>
      </w:divBdr>
    </w:div>
    <w:div w:id="899751061">
      <w:bodyDiv w:val="1"/>
      <w:marLeft w:val="0"/>
      <w:marRight w:val="0"/>
      <w:marTop w:val="0"/>
      <w:marBottom w:val="0"/>
      <w:divBdr>
        <w:top w:val="none" w:sz="0" w:space="0" w:color="auto"/>
        <w:left w:val="none" w:sz="0" w:space="0" w:color="auto"/>
        <w:bottom w:val="none" w:sz="0" w:space="0" w:color="auto"/>
        <w:right w:val="none" w:sz="0" w:space="0" w:color="auto"/>
      </w:divBdr>
      <w:divsChild>
        <w:div w:id="495923945">
          <w:marLeft w:val="0"/>
          <w:marRight w:val="0"/>
          <w:marTop w:val="0"/>
          <w:marBottom w:val="0"/>
          <w:divBdr>
            <w:top w:val="none" w:sz="0" w:space="0" w:color="auto"/>
            <w:left w:val="none" w:sz="0" w:space="0" w:color="auto"/>
            <w:bottom w:val="none" w:sz="0" w:space="0" w:color="auto"/>
            <w:right w:val="none" w:sz="0" w:space="0" w:color="auto"/>
          </w:divBdr>
          <w:divsChild>
            <w:div w:id="602500014">
              <w:marLeft w:val="0"/>
              <w:marRight w:val="0"/>
              <w:marTop w:val="0"/>
              <w:marBottom w:val="0"/>
              <w:divBdr>
                <w:top w:val="none" w:sz="0" w:space="0" w:color="auto"/>
                <w:left w:val="none" w:sz="0" w:space="0" w:color="auto"/>
                <w:bottom w:val="none" w:sz="0" w:space="0" w:color="auto"/>
                <w:right w:val="none" w:sz="0" w:space="0" w:color="auto"/>
              </w:divBdr>
              <w:divsChild>
                <w:div w:id="521164847">
                  <w:marLeft w:val="0"/>
                  <w:marRight w:val="0"/>
                  <w:marTop w:val="0"/>
                  <w:marBottom w:val="0"/>
                  <w:divBdr>
                    <w:top w:val="none" w:sz="0" w:space="0" w:color="auto"/>
                    <w:left w:val="none" w:sz="0" w:space="0" w:color="auto"/>
                    <w:bottom w:val="none" w:sz="0" w:space="0" w:color="auto"/>
                    <w:right w:val="none" w:sz="0" w:space="0" w:color="auto"/>
                  </w:divBdr>
                  <w:divsChild>
                    <w:div w:id="128286473">
                      <w:marLeft w:val="0"/>
                      <w:marRight w:val="0"/>
                      <w:marTop w:val="0"/>
                      <w:marBottom w:val="0"/>
                      <w:divBdr>
                        <w:top w:val="none" w:sz="0" w:space="0" w:color="auto"/>
                        <w:left w:val="none" w:sz="0" w:space="0" w:color="auto"/>
                        <w:bottom w:val="none" w:sz="0" w:space="0" w:color="auto"/>
                        <w:right w:val="none" w:sz="0" w:space="0" w:color="auto"/>
                      </w:divBdr>
                      <w:divsChild>
                        <w:div w:id="768620635">
                          <w:marLeft w:val="0"/>
                          <w:marRight w:val="0"/>
                          <w:marTop w:val="0"/>
                          <w:marBottom w:val="0"/>
                          <w:divBdr>
                            <w:top w:val="none" w:sz="0" w:space="0" w:color="auto"/>
                            <w:left w:val="none" w:sz="0" w:space="0" w:color="auto"/>
                            <w:bottom w:val="none" w:sz="0" w:space="0" w:color="auto"/>
                            <w:right w:val="none" w:sz="0" w:space="0" w:color="auto"/>
                          </w:divBdr>
                          <w:divsChild>
                            <w:div w:id="1562864572">
                              <w:marLeft w:val="0"/>
                              <w:marRight w:val="0"/>
                              <w:marTop w:val="0"/>
                              <w:marBottom w:val="0"/>
                              <w:divBdr>
                                <w:top w:val="none" w:sz="0" w:space="0" w:color="auto"/>
                                <w:left w:val="none" w:sz="0" w:space="0" w:color="auto"/>
                                <w:bottom w:val="none" w:sz="0" w:space="0" w:color="auto"/>
                                <w:right w:val="none" w:sz="0" w:space="0" w:color="auto"/>
                              </w:divBdr>
                              <w:divsChild>
                                <w:div w:id="1648582838">
                                  <w:marLeft w:val="0"/>
                                  <w:marRight w:val="0"/>
                                  <w:marTop w:val="0"/>
                                  <w:marBottom w:val="0"/>
                                  <w:divBdr>
                                    <w:top w:val="none" w:sz="0" w:space="0" w:color="auto"/>
                                    <w:left w:val="none" w:sz="0" w:space="0" w:color="auto"/>
                                    <w:bottom w:val="none" w:sz="0" w:space="0" w:color="auto"/>
                                    <w:right w:val="none" w:sz="0" w:space="0" w:color="auto"/>
                                  </w:divBdr>
                                  <w:divsChild>
                                    <w:div w:id="2104184963">
                                      <w:marLeft w:val="0"/>
                                      <w:marRight w:val="0"/>
                                      <w:marTop w:val="0"/>
                                      <w:marBottom w:val="0"/>
                                      <w:divBdr>
                                        <w:top w:val="none" w:sz="0" w:space="0" w:color="auto"/>
                                        <w:left w:val="none" w:sz="0" w:space="0" w:color="auto"/>
                                        <w:bottom w:val="none" w:sz="0" w:space="0" w:color="auto"/>
                                        <w:right w:val="none" w:sz="0" w:space="0" w:color="auto"/>
                                      </w:divBdr>
                                      <w:divsChild>
                                        <w:div w:id="128831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9822572">
      <w:bodyDiv w:val="1"/>
      <w:marLeft w:val="0"/>
      <w:marRight w:val="0"/>
      <w:marTop w:val="0"/>
      <w:marBottom w:val="0"/>
      <w:divBdr>
        <w:top w:val="none" w:sz="0" w:space="0" w:color="auto"/>
        <w:left w:val="none" w:sz="0" w:space="0" w:color="auto"/>
        <w:bottom w:val="none" w:sz="0" w:space="0" w:color="auto"/>
        <w:right w:val="none" w:sz="0" w:space="0" w:color="auto"/>
      </w:divBdr>
      <w:divsChild>
        <w:div w:id="1346593290">
          <w:marLeft w:val="0"/>
          <w:marRight w:val="0"/>
          <w:marTop w:val="225"/>
          <w:marBottom w:val="225"/>
          <w:divBdr>
            <w:top w:val="none" w:sz="0" w:space="0" w:color="auto"/>
            <w:left w:val="none" w:sz="0" w:space="0" w:color="auto"/>
            <w:bottom w:val="none" w:sz="0" w:space="0" w:color="auto"/>
            <w:right w:val="none" w:sz="0" w:space="0" w:color="auto"/>
          </w:divBdr>
        </w:div>
      </w:divsChild>
    </w:div>
    <w:div w:id="899942359">
      <w:bodyDiv w:val="1"/>
      <w:marLeft w:val="0"/>
      <w:marRight w:val="0"/>
      <w:marTop w:val="0"/>
      <w:marBottom w:val="0"/>
      <w:divBdr>
        <w:top w:val="none" w:sz="0" w:space="0" w:color="auto"/>
        <w:left w:val="none" w:sz="0" w:space="0" w:color="auto"/>
        <w:bottom w:val="none" w:sz="0" w:space="0" w:color="auto"/>
        <w:right w:val="none" w:sz="0" w:space="0" w:color="auto"/>
      </w:divBdr>
      <w:divsChild>
        <w:div w:id="917448478">
          <w:marLeft w:val="0"/>
          <w:marRight w:val="0"/>
          <w:marTop w:val="0"/>
          <w:marBottom w:val="75"/>
          <w:divBdr>
            <w:top w:val="none" w:sz="0" w:space="0" w:color="auto"/>
            <w:left w:val="none" w:sz="0" w:space="0" w:color="auto"/>
            <w:bottom w:val="none" w:sz="0" w:space="0" w:color="auto"/>
            <w:right w:val="none" w:sz="0" w:space="0" w:color="auto"/>
          </w:divBdr>
        </w:div>
        <w:div w:id="1198008771">
          <w:marLeft w:val="0"/>
          <w:marRight w:val="0"/>
          <w:marTop w:val="0"/>
          <w:marBottom w:val="0"/>
          <w:divBdr>
            <w:top w:val="none" w:sz="0" w:space="0" w:color="auto"/>
            <w:left w:val="none" w:sz="0" w:space="0" w:color="auto"/>
            <w:bottom w:val="none" w:sz="0" w:space="0" w:color="auto"/>
            <w:right w:val="none" w:sz="0" w:space="0" w:color="auto"/>
          </w:divBdr>
        </w:div>
        <w:div w:id="1719014976">
          <w:marLeft w:val="0"/>
          <w:marRight w:val="0"/>
          <w:marTop w:val="0"/>
          <w:marBottom w:val="0"/>
          <w:divBdr>
            <w:top w:val="none" w:sz="0" w:space="0" w:color="auto"/>
            <w:left w:val="none" w:sz="0" w:space="0" w:color="auto"/>
            <w:bottom w:val="none" w:sz="0" w:space="0" w:color="auto"/>
            <w:right w:val="none" w:sz="0" w:space="0" w:color="auto"/>
          </w:divBdr>
          <w:divsChild>
            <w:div w:id="1412505942">
              <w:marLeft w:val="0"/>
              <w:marRight w:val="0"/>
              <w:marTop w:val="0"/>
              <w:marBottom w:val="0"/>
              <w:divBdr>
                <w:top w:val="none" w:sz="0" w:space="0" w:color="auto"/>
                <w:left w:val="none" w:sz="0" w:space="0" w:color="auto"/>
                <w:bottom w:val="none" w:sz="0" w:space="0" w:color="auto"/>
                <w:right w:val="none" w:sz="0" w:space="0" w:color="auto"/>
              </w:divBdr>
              <w:divsChild>
                <w:div w:id="47009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71710">
          <w:marLeft w:val="0"/>
          <w:marRight w:val="0"/>
          <w:marTop w:val="0"/>
          <w:marBottom w:val="300"/>
          <w:divBdr>
            <w:top w:val="none" w:sz="0" w:space="0" w:color="auto"/>
            <w:left w:val="none" w:sz="0" w:space="0" w:color="auto"/>
            <w:bottom w:val="none" w:sz="0" w:space="0" w:color="auto"/>
            <w:right w:val="none" w:sz="0" w:space="0" w:color="auto"/>
          </w:divBdr>
          <w:divsChild>
            <w:div w:id="73833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942918">
      <w:bodyDiv w:val="1"/>
      <w:marLeft w:val="0"/>
      <w:marRight w:val="0"/>
      <w:marTop w:val="0"/>
      <w:marBottom w:val="0"/>
      <w:divBdr>
        <w:top w:val="none" w:sz="0" w:space="0" w:color="auto"/>
        <w:left w:val="none" w:sz="0" w:space="0" w:color="auto"/>
        <w:bottom w:val="none" w:sz="0" w:space="0" w:color="auto"/>
        <w:right w:val="none" w:sz="0" w:space="0" w:color="auto"/>
      </w:divBdr>
    </w:div>
    <w:div w:id="900404563">
      <w:bodyDiv w:val="1"/>
      <w:marLeft w:val="0"/>
      <w:marRight w:val="0"/>
      <w:marTop w:val="0"/>
      <w:marBottom w:val="0"/>
      <w:divBdr>
        <w:top w:val="none" w:sz="0" w:space="0" w:color="auto"/>
        <w:left w:val="none" w:sz="0" w:space="0" w:color="auto"/>
        <w:bottom w:val="none" w:sz="0" w:space="0" w:color="auto"/>
        <w:right w:val="none" w:sz="0" w:space="0" w:color="auto"/>
      </w:divBdr>
      <w:divsChild>
        <w:div w:id="424958910">
          <w:marLeft w:val="0"/>
          <w:marRight w:val="0"/>
          <w:marTop w:val="0"/>
          <w:marBottom w:val="0"/>
          <w:divBdr>
            <w:top w:val="none" w:sz="0" w:space="0" w:color="auto"/>
            <w:left w:val="none" w:sz="0" w:space="0" w:color="auto"/>
            <w:bottom w:val="none" w:sz="0" w:space="0" w:color="auto"/>
            <w:right w:val="none" w:sz="0" w:space="0" w:color="auto"/>
          </w:divBdr>
          <w:divsChild>
            <w:div w:id="1494682198">
              <w:marLeft w:val="0"/>
              <w:marRight w:val="0"/>
              <w:marTop w:val="0"/>
              <w:marBottom w:val="0"/>
              <w:divBdr>
                <w:top w:val="none" w:sz="0" w:space="0" w:color="auto"/>
                <w:left w:val="none" w:sz="0" w:space="0" w:color="auto"/>
                <w:bottom w:val="none" w:sz="0" w:space="0" w:color="auto"/>
                <w:right w:val="none" w:sz="0" w:space="0" w:color="auto"/>
              </w:divBdr>
            </w:div>
          </w:divsChild>
        </w:div>
        <w:div w:id="1578782124">
          <w:marLeft w:val="0"/>
          <w:marRight w:val="0"/>
          <w:marTop w:val="0"/>
          <w:marBottom w:val="150"/>
          <w:divBdr>
            <w:top w:val="none" w:sz="0" w:space="0" w:color="auto"/>
            <w:left w:val="none" w:sz="0" w:space="0" w:color="auto"/>
            <w:bottom w:val="none" w:sz="0" w:space="0" w:color="auto"/>
            <w:right w:val="none" w:sz="0" w:space="0" w:color="auto"/>
          </w:divBdr>
        </w:div>
        <w:div w:id="1944149251">
          <w:marLeft w:val="0"/>
          <w:marRight w:val="0"/>
          <w:marTop w:val="0"/>
          <w:marBottom w:val="150"/>
          <w:divBdr>
            <w:top w:val="none" w:sz="0" w:space="0" w:color="auto"/>
            <w:left w:val="none" w:sz="0" w:space="0" w:color="auto"/>
            <w:bottom w:val="none" w:sz="0" w:space="0" w:color="auto"/>
            <w:right w:val="none" w:sz="0" w:space="0" w:color="auto"/>
          </w:divBdr>
          <w:divsChild>
            <w:div w:id="182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671570">
      <w:bodyDiv w:val="1"/>
      <w:marLeft w:val="0"/>
      <w:marRight w:val="0"/>
      <w:marTop w:val="0"/>
      <w:marBottom w:val="0"/>
      <w:divBdr>
        <w:top w:val="none" w:sz="0" w:space="0" w:color="auto"/>
        <w:left w:val="none" w:sz="0" w:space="0" w:color="auto"/>
        <w:bottom w:val="none" w:sz="0" w:space="0" w:color="auto"/>
        <w:right w:val="none" w:sz="0" w:space="0" w:color="auto"/>
      </w:divBdr>
      <w:divsChild>
        <w:div w:id="448670554">
          <w:marLeft w:val="0"/>
          <w:marRight w:val="0"/>
          <w:marTop w:val="0"/>
          <w:marBottom w:val="0"/>
          <w:divBdr>
            <w:top w:val="none" w:sz="0" w:space="0" w:color="auto"/>
            <w:left w:val="none" w:sz="0" w:space="0" w:color="auto"/>
            <w:bottom w:val="none" w:sz="0" w:space="0" w:color="auto"/>
            <w:right w:val="none" w:sz="0" w:space="0" w:color="auto"/>
          </w:divBdr>
        </w:div>
      </w:divsChild>
    </w:div>
    <w:div w:id="900749958">
      <w:bodyDiv w:val="1"/>
      <w:marLeft w:val="0"/>
      <w:marRight w:val="0"/>
      <w:marTop w:val="0"/>
      <w:marBottom w:val="0"/>
      <w:divBdr>
        <w:top w:val="none" w:sz="0" w:space="0" w:color="auto"/>
        <w:left w:val="none" w:sz="0" w:space="0" w:color="auto"/>
        <w:bottom w:val="none" w:sz="0" w:space="0" w:color="auto"/>
        <w:right w:val="none" w:sz="0" w:space="0" w:color="auto"/>
      </w:divBdr>
      <w:divsChild>
        <w:div w:id="439104540">
          <w:marLeft w:val="0"/>
          <w:marRight w:val="0"/>
          <w:marTop w:val="0"/>
          <w:marBottom w:val="0"/>
          <w:divBdr>
            <w:top w:val="none" w:sz="0" w:space="0" w:color="auto"/>
            <w:left w:val="none" w:sz="0" w:space="0" w:color="auto"/>
            <w:bottom w:val="none" w:sz="0" w:space="0" w:color="auto"/>
            <w:right w:val="none" w:sz="0" w:space="0" w:color="auto"/>
          </w:divBdr>
          <w:divsChild>
            <w:div w:id="948009323">
              <w:marLeft w:val="0"/>
              <w:marRight w:val="0"/>
              <w:marTop w:val="0"/>
              <w:marBottom w:val="0"/>
              <w:divBdr>
                <w:top w:val="none" w:sz="0" w:space="0" w:color="auto"/>
                <w:left w:val="none" w:sz="0" w:space="0" w:color="auto"/>
                <w:bottom w:val="none" w:sz="0" w:space="0" w:color="auto"/>
                <w:right w:val="none" w:sz="0" w:space="0" w:color="auto"/>
              </w:divBdr>
              <w:divsChild>
                <w:div w:id="1701320237">
                  <w:marLeft w:val="0"/>
                  <w:marRight w:val="0"/>
                  <w:marTop w:val="0"/>
                  <w:marBottom w:val="0"/>
                  <w:divBdr>
                    <w:top w:val="none" w:sz="0" w:space="0" w:color="auto"/>
                    <w:left w:val="none" w:sz="0" w:space="0" w:color="auto"/>
                    <w:bottom w:val="none" w:sz="0" w:space="0" w:color="auto"/>
                    <w:right w:val="none" w:sz="0" w:space="0" w:color="auto"/>
                  </w:divBdr>
                  <w:divsChild>
                    <w:div w:id="695814635">
                      <w:marLeft w:val="0"/>
                      <w:marRight w:val="0"/>
                      <w:marTop w:val="0"/>
                      <w:marBottom w:val="0"/>
                      <w:divBdr>
                        <w:top w:val="none" w:sz="0" w:space="0" w:color="auto"/>
                        <w:left w:val="none" w:sz="0" w:space="0" w:color="auto"/>
                        <w:bottom w:val="none" w:sz="0" w:space="0" w:color="auto"/>
                        <w:right w:val="none" w:sz="0" w:space="0" w:color="auto"/>
                      </w:divBdr>
                      <w:divsChild>
                        <w:div w:id="1365323283">
                          <w:marLeft w:val="0"/>
                          <w:marRight w:val="0"/>
                          <w:marTop w:val="0"/>
                          <w:marBottom w:val="0"/>
                          <w:divBdr>
                            <w:top w:val="none" w:sz="0" w:space="0" w:color="auto"/>
                            <w:left w:val="none" w:sz="0" w:space="0" w:color="auto"/>
                            <w:bottom w:val="none" w:sz="0" w:space="0" w:color="auto"/>
                            <w:right w:val="none" w:sz="0" w:space="0" w:color="auto"/>
                          </w:divBdr>
                          <w:divsChild>
                            <w:div w:id="45419840">
                              <w:marLeft w:val="0"/>
                              <w:marRight w:val="0"/>
                              <w:marTop w:val="0"/>
                              <w:marBottom w:val="0"/>
                              <w:divBdr>
                                <w:top w:val="none" w:sz="0" w:space="0" w:color="auto"/>
                                <w:left w:val="none" w:sz="0" w:space="0" w:color="auto"/>
                                <w:bottom w:val="none" w:sz="0" w:space="0" w:color="auto"/>
                                <w:right w:val="none" w:sz="0" w:space="0" w:color="auto"/>
                              </w:divBdr>
                              <w:divsChild>
                                <w:div w:id="1148783834">
                                  <w:marLeft w:val="0"/>
                                  <w:marRight w:val="0"/>
                                  <w:marTop w:val="0"/>
                                  <w:marBottom w:val="0"/>
                                  <w:divBdr>
                                    <w:top w:val="none" w:sz="0" w:space="0" w:color="auto"/>
                                    <w:left w:val="none" w:sz="0" w:space="0" w:color="auto"/>
                                    <w:bottom w:val="none" w:sz="0" w:space="0" w:color="auto"/>
                                    <w:right w:val="none" w:sz="0" w:space="0" w:color="auto"/>
                                  </w:divBdr>
                                  <w:divsChild>
                                    <w:div w:id="58480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754630">
      <w:bodyDiv w:val="1"/>
      <w:marLeft w:val="0"/>
      <w:marRight w:val="0"/>
      <w:marTop w:val="0"/>
      <w:marBottom w:val="0"/>
      <w:divBdr>
        <w:top w:val="none" w:sz="0" w:space="0" w:color="auto"/>
        <w:left w:val="none" w:sz="0" w:space="0" w:color="auto"/>
        <w:bottom w:val="none" w:sz="0" w:space="0" w:color="auto"/>
        <w:right w:val="none" w:sz="0" w:space="0" w:color="auto"/>
      </w:divBdr>
      <w:divsChild>
        <w:div w:id="281114153">
          <w:marLeft w:val="0"/>
          <w:marRight w:val="0"/>
          <w:marTop w:val="0"/>
          <w:marBottom w:val="180"/>
          <w:divBdr>
            <w:top w:val="none" w:sz="0" w:space="0" w:color="auto"/>
            <w:left w:val="none" w:sz="0" w:space="0" w:color="auto"/>
            <w:bottom w:val="none" w:sz="0" w:space="0" w:color="auto"/>
            <w:right w:val="none" w:sz="0" w:space="0" w:color="auto"/>
          </w:divBdr>
        </w:div>
      </w:divsChild>
    </w:div>
    <w:div w:id="901017990">
      <w:bodyDiv w:val="1"/>
      <w:marLeft w:val="0"/>
      <w:marRight w:val="0"/>
      <w:marTop w:val="0"/>
      <w:marBottom w:val="0"/>
      <w:divBdr>
        <w:top w:val="none" w:sz="0" w:space="0" w:color="auto"/>
        <w:left w:val="none" w:sz="0" w:space="0" w:color="auto"/>
        <w:bottom w:val="none" w:sz="0" w:space="0" w:color="auto"/>
        <w:right w:val="none" w:sz="0" w:space="0" w:color="auto"/>
      </w:divBdr>
    </w:div>
    <w:div w:id="901061084">
      <w:bodyDiv w:val="1"/>
      <w:marLeft w:val="0"/>
      <w:marRight w:val="0"/>
      <w:marTop w:val="0"/>
      <w:marBottom w:val="0"/>
      <w:divBdr>
        <w:top w:val="none" w:sz="0" w:space="0" w:color="auto"/>
        <w:left w:val="none" w:sz="0" w:space="0" w:color="auto"/>
        <w:bottom w:val="none" w:sz="0" w:space="0" w:color="auto"/>
        <w:right w:val="none" w:sz="0" w:space="0" w:color="auto"/>
      </w:divBdr>
    </w:div>
    <w:div w:id="901713156">
      <w:bodyDiv w:val="1"/>
      <w:marLeft w:val="0"/>
      <w:marRight w:val="0"/>
      <w:marTop w:val="0"/>
      <w:marBottom w:val="0"/>
      <w:divBdr>
        <w:top w:val="none" w:sz="0" w:space="0" w:color="auto"/>
        <w:left w:val="none" w:sz="0" w:space="0" w:color="auto"/>
        <w:bottom w:val="none" w:sz="0" w:space="0" w:color="auto"/>
        <w:right w:val="none" w:sz="0" w:space="0" w:color="auto"/>
      </w:divBdr>
      <w:divsChild>
        <w:div w:id="1881933412">
          <w:marLeft w:val="0"/>
          <w:marRight w:val="0"/>
          <w:marTop w:val="0"/>
          <w:marBottom w:val="0"/>
          <w:divBdr>
            <w:top w:val="none" w:sz="0" w:space="0" w:color="auto"/>
            <w:left w:val="none" w:sz="0" w:space="0" w:color="auto"/>
            <w:bottom w:val="none" w:sz="0" w:space="0" w:color="auto"/>
            <w:right w:val="none" w:sz="0" w:space="0" w:color="auto"/>
          </w:divBdr>
        </w:div>
        <w:div w:id="1972200211">
          <w:marLeft w:val="0"/>
          <w:marRight w:val="0"/>
          <w:marTop w:val="0"/>
          <w:marBottom w:val="0"/>
          <w:divBdr>
            <w:top w:val="none" w:sz="0" w:space="0" w:color="auto"/>
            <w:left w:val="none" w:sz="0" w:space="0" w:color="auto"/>
            <w:bottom w:val="dotted" w:sz="6" w:space="4" w:color="DDDDDD"/>
            <w:right w:val="none" w:sz="0" w:space="0" w:color="auto"/>
          </w:divBdr>
        </w:div>
      </w:divsChild>
    </w:div>
    <w:div w:id="902255171">
      <w:bodyDiv w:val="1"/>
      <w:marLeft w:val="0"/>
      <w:marRight w:val="0"/>
      <w:marTop w:val="0"/>
      <w:marBottom w:val="0"/>
      <w:divBdr>
        <w:top w:val="none" w:sz="0" w:space="0" w:color="auto"/>
        <w:left w:val="none" w:sz="0" w:space="0" w:color="auto"/>
        <w:bottom w:val="none" w:sz="0" w:space="0" w:color="auto"/>
        <w:right w:val="none" w:sz="0" w:space="0" w:color="auto"/>
      </w:divBdr>
    </w:div>
    <w:div w:id="903176434">
      <w:bodyDiv w:val="1"/>
      <w:marLeft w:val="0"/>
      <w:marRight w:val="0"/>
      <w:marTop w:val="0"/>
      <w:marBottom w:val="0"/>
      <w:divBdr>
        <w:top w:val="none" w:sz="0" w:space="0" w:color="auto"/>
        <w:left w:val="none" w:sz="0" w:space="0" w:color="auto"/>
        <w:bottom w:val="none" w:sz="0" w:space="0" w:color="auto"/>
        <w:right w:val="none" w:sz="0" w:space="0" w:color="auto"/>
      </w:divBdr>
      <w:divsChild>
        <w:div w:id="2097437657">
          <w:marLeft w:val="0"/>
          <w:marRight w:val="0"/>
          <w:marTop w:val="0"/>
          <w:marBottom w:val="0"/>
          <w:divBdr>
            <w:top w:val="none" w:sz="0" w:space="0" w:color="auto"/>
            <w:left w:val="none" w:sz="0" w:space="0" w:color="auto"/>
            <w:bottom w:val="dotted" w:sz="6" w:space="4" w:color="DDDDDD"/>
            <w:right w:val="none" w:sz="0" w:space="0" w:color="auto"/>
          </w:divBdr>
          <w:divsChild>
            <w:div w:id="71716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178030">
      <w:bodyDiv w:val="1"/>
      <w:marLeft w:val="0"/>
      <w:marRight w:val="0"/>
      <w:marTop w:val="0"/>
      <w:marBottom w:val="0"/>
      <w:divBdr>
        <w:top w:val="none" w:sz="0" w:space="0" w:color="auto"/>
        <w:left w:val="none" w:sz="0" w:space="0" w:color="auto"/>
        <w:bottom w:val="none" w:sz="0" w:space="0" w:color="auto"/>
        <w:right w:val="none" w:sz="0" w:space="0" w:color="auto"/>
      </w:divBdr>
      <w:divsChild>
        <w:div w:id="899052673">
          <w:marLeft w:val="0"/>
          <w:marRight w:val="0"/>
          <w:marTop w:val="0"/>
          <w:marBottom w:val="0"/>
          <w:divBdr>
            <w:top w:val="none" w:sz="0" w:space="0" w:color="auto"/>
            <w:left w:val="none" w:sz="0" w:space="0" w:color="auto"/>
            <w:bottom w:val="none" w:sz="0" w:space="0" w:color="auto"/>
            <w:right w:val="none" w:sz="0" w:space="0" w:color="auto"/>
          </w:divBdr>
          <w:divsChild>
            <w:div w:id="847406859">
              <w:marLeft w:val="0"/>
              <w:marRight w:val="0"/>
              <w:marTop w:val="0"/>
              <w:marBottom w:val="0"/>
              <w:divBdr>
                <w:top w:val="none" w:sz="0" w:space="0" w:color="auto"/>
                <w:left w:val="none" w:sz="0" w:space="0" w:color="auto"/>
                <w:bottom w:val="none" w:sz="0" w:space="0" w:color="auto"/>
                <w:right w:val="none" w:sz="0" w:space="0" w:color="auto"/>
              </w:divBdr>
              <w:divsChild>
                <w:div w:id="275141859">
                  <w:marLeft w:val="0"/>
                  <w:marRight w:val="0"/>
                  <w:marTop w:val="0"/>
                  <w:marBottom w:val="0"/>
                  <w:divBdr>
                    <w:top w:val="none" w:sz="0" w:space="0" w:color="auto"/>
                    <w:left w:val="none" w:sz="0" w:space="0" w:color="auto"/>
                    <w:bottom w:val="none" w:sz="0" w:space="0" w:color="auto"/>
                    <w:right w:val="none" w:sz="0" w:space="0" w:color="auto"/>
                  </w:divBdr>
                  <w:divsChild>
                    <w:div w:id="2030984155">
                      <w:marLeft w:val="0"/>
                      <w:marRight w:val="0"/>
                      <w:marTop w:val="0"/>
                      <w:marBottom w:val="0"/>
                      <w:divBdr>
                        <w:top w:val="none" w:sz="0" w:space="0" w:color="auto"/>
                        <w:left w:val="none" w:sz="0" w:space="0" w:color="auto"/>
                        <w:bottom w:val="none" w:sz="0" w:space="0" w:color="auto"/>
                        <w:right w:val="none" w:sz="0" w:space="0" w:color="auto"/>
                      </w:divBdr>
                      <w:divsChild>
                        <w:div w:id="122774181">
                          <w:marLeft w:val="0"/>
                          <w:marRight w:val="0"/>
                          <w:marTop w:val="0"/>
                          <w:marBottom w:val="0"/>
                          <w:divBdr>
                            <w:top w:val="none" w:sz="0" w:space="0" w:color="auto"/>
                            <w:left w:val="none" w:sz="0" w:space="0" w:color="auto"/>
                            <w:bottom w:val="none" w:sz="0" w:space="0" w:color="auto"/>
                            <w:right w:val="none" w:sz="0" w:space="0" w:color="auto"/>
                          </w:divBdr>
                          <w:divsChild>
                            <w:div w:id="1721586961">
                              <w:marLeft w:val="0"/>
                              <w:marRight w:val="0"/>
                              <w:marTop w:val="0"/>
                              <w:marBottom w:val="0"/>
                              <w:divBdr>
                                <w:top w:val="none" w:sz="0" w:space="0" w:color="auto"/>
                                <w:left w:val="none" w:sz="0" w:space="0" w:color="auto"/>
                                <w:bottom w:val="none" w:sz="0" w:space="0" w:color="auto"/>
                                <w:right w:val="none" w:sz="0" w:space="0" w:color="auto"/>
                              </w:divBdr>
                              <w:divsChild>
                                <w:div w:id="529605700">
                                  <w:marLeft w:val="0"/>
                                  <w:marRight w:val="0"/>
                                  <w:marTop w:val="0"/>
                                  <w:marBottom w:val="0"/>
                                  <w:divBdr>
                                    <w:top w:val="none" w:sz="0" w:space="0" w:color="auto"/>
                                    <w:left w:val="none" w:sz="0" w:space="0" w:color="auto"/>
                                    <w:bottom w:val="none" w:sz="0" w:space="0" w:color="auto"/>
                                    <w:right w:val="none" w:sz="0" w:space="0" w:color="auto"/>
                                  </w:divBdr>
                                  <w:divsChild>
                                    <w:div w:id="72059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3640002">
      <w:bodyDiv w:val="1"/>
      <w:marLeft w:val="0"/>
      <w:marRight w:val="0"/>
      <w:marTop w:val="0"/>
      <w:marBottom w:val="0"/>
      <w:divBdr>
        <w:top w:val="none" w:sz="0" w:space="0" w:color="auto"/>
        <w:left w:val="none" w:sz="0" w:space="0" w:color="auto"/>
        <w:bottom w:val="none" w:sz="0" w:space="0" w:color="auto"/>
        <w:right w:val="none" w:sz="0" w:space="0" w:color="auto"/>
      </w:divBdr>
      <w:divsChild>
        <w:div w:id="938299289">
          <w:marLeft w:val="0"/>
          <w:marRight w:val="0"/>
          <w:marTop w:val="0"/>
          <w:marBottom w:val="0"/>
          <w:divBdr>
            <w:top w:val="none" w:sz="0" w:space="0" w:color="auto"/>
            <w:left w:val="none" w:sz="0" w:space="0" w:color="auto"/>
            <w:bottom w:val="dotted" w:sz="6" w:space="4" w:color="DDDDDD"/>
            <w:right w:val="none" w:sz="0" w:space="0" w:color="auto"/>
          </w:divBdr>
          <w:divsChild>
            <w:div w:id="149194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4849">
      <w:bodyDiv w:val="1"/>
      <w:marLeft w:val="0"/>
      <w:marRight w:val="0"/>
      <w:marTop w:val="0"/>
      <w:marBottom w:val="0"/>
      <w:divBdr>
        <w:top w:val="none" w:sz="0" w:space="0" w:color="auto"/>
        <w:left w:val="none" w:sz="0" w:space="0" w:color="auto"/>
        <w:bottom w:val="none" w:sz="0" w:space="0" w:color="auto"/>
        <w:right w:val="none" w:sz="0" w:space="0" w:color="auto"/>
      </w:divBdr>
      <w:divsChild>
        <w:div w:id="654995822">
          <w:marLeft w:val="0"/>
          <w:marRight w:val="0"/>
          <w:marTop w:val="0"/>
          <w:marBottom w:val="0"/>
          <w:divBdr>
            <w:top w:val="none" w:sz="0" w:space="0" w:color="auto"/>
            <w:left w:val="none" w:sz="0" w:space="0" w:color="auto"/>
            <w:bottom w:val="dotted" w:sz="6" w:space="4" w:color="DDDDDD"/>
            <w:right w:val="none" w:sz="0" w:space="0" w:color="auto"/>
          </w:divBdr>
          <w:divsChild>
            <w:div w:id="138348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22555">
      <w:bodyDiv w:val="1"/>
      <w:marLeft w:val="0"/>
      <w:marRight w:val="0"/>
      <w:marTop w:val="0"/>
      <w:marBottom w:val="0"/>
      <w:divBdr>
        <w:top w:val="none" w:sz="0" w:space="0" w:color="auto"/>
        <w:left w:val="none" w:sz="0" w:space="0" w:color="auto"/>
        <w:bottom w:val="none" w:sz="0" w:space="0" w:color="auto"/>
        <w:right w:val="none" w:sz="0" w:space="0" w:color="auto"/>
      </w:divBdr>
    </w:div>
    <w:div w:id="904875019">
      <w:bodyDiv w:val="1"/>
      <w:marLeft w:val="0"/>
      <w:marRight w:val="0"/>
      <w:marTop w:val="0"/>
      <w:marBottom w:val="0"/>
      <w:divBdr>
        <w:top w:val="none" w:sz="0" w:space="0" w:color="auto"/>
        <w:left w:val="none" w:sz="0" w:space="0" w:color="auto"/>
        <w:bottom w:val="none" w:sz="0" w:space="0" w:color="auto"/>
        <w:right w:val="none" w:sz="0" w:space="0" w:color="auto"/>
      </w:divBdr>
    </w:div>
    <w:div w:id="905187648">
      <w:bodyDiv w:val="1"/>
      <w:marLeft w:val="0"/>
      <w:marRight w:val="0"/>
      <w:marTop w:val="0"/>
      <w:marBottom w:val="0"/>
      <w:divBdr>
        <w:top w:val="none" w:sz="0" w:space="0" w:color="auto"/>
        <w:left w:val="none" w:sz="0" w:space="0" w:color="auto"/>
        <w:bottom w:val="none" w:sz="0" w:space="0" w:color="auto"/>
        <w:right w:val="none" w:sz="0" w:space="0" w:color="auto"/>
      </w:divBdr>
      <w:divsChild>
        <w:div w:id="392628962">
          <w:marLeft w:val="0"/>
          <w:marRight w:val="0"/>
          <w:marTop w:val="0"/>
          <w:marBottom w:val="150"/>
          <w:divBdr>
            <w:top w:val="none" w:sz="0" w:space="0" w:color="auto"/>
            <w:left w:val="none" w:sz="0" w:space="0" w:color="auto"/>
            <w:bottom w:val="none" w:sz="0" w:space="0" w:color="auto"/>
            <w:right w:val="none" w:sz="0" w:space="0" w:color="auto"/>
          </w:divBdr>
          <w:divsChild>
            <w:div w:id="298805359">
              <w:marLeft w:val="0"/>
              <w:marRight w:val="0"/>
              <w:marTop w:val="0"/>
              <w:marBottom w:val="0"/>
              <w:divBdr>
                <w:top w:val="none" w:sz="0" w:space="0" w:color="auto"/>
                <w:left w:val="none" w:sz="0" w:space="0" w:color="auto"/>
                <w:bottom w:val="none" w:sz="0" w:space="0" w:color="auto"/>
                <w:right w:val="none" w:sz="0" w:space="0" w:color="auto"/>
              </w:divBdr>
            </w:div>
          </w:divsChild>
        </w:div>
        <w:div w:id="430584400">
          <w:marLeft w:val="0"/>
          <w:marRight w:val="0"/>
          <w:marTop w:val="0"/>
          <w:marBottom w:val="150"/>
          <w:divBdr>
            <w:top w:val="none" w:sz="0" w:space="0" w:color="auto"/>
            <w:left w:val="none" w:sz="0" w:space="0" w:color="auto"/>
            <w:bottom w:val="none" w:sz="0" w:space="0" w:color="auto"/>
            <w:right w:val="none" w:sz="0" w:space="0" w:color="auto"/>
          </w:divBdr>
        </w:div>
        <w:div w:id="856117185">
          <w:marLeft w:val="0"/>
          <w:marRight w:val="0"/>
          <w:marTop w:val="0"/>
          <w:marBottom w:val="0"/>
          <w:divBdr>
            <w:top w:val="none" w:sz="0" w:space="0" w:color="auto"/>
            <w:left w:val="none" w:sz="0" w:space="0" w:color="auto"/>
            <w:bottom w:val="none" w:sz="0" w:space="0" w:color="auto"/>
            <w:right w:val="none" w:sz="0" w:space="0" w:color="auto"/>
          </w:divBdr>
          <w:divsChild>
            <w:div w:id="45568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48035">
      <w:bodyDiv w:val="1"/>
      <w:marLeft w:val="0"/>
      <w:marRight w:val="0"/>
      <w:marTop w:val="0"/>
      <w:marBottom w:val="0"/>
      <w:divBdr>
        <w:top w:val="none" w:sz="0" w:space="0" w:color="auto"/>
        <w:left w:val="none" w:sz="0" w:space="0" w:color="auto"/>
        <w:bottom w:val="none" w:sz="0" w:space="0" w:color="auto"/>
        <w:right w:val="none" w:sz="0" w:space="0" w:color="auto"/>
      </w:divBdr>
      <w:divsChild>
        <w:div w:id="513495908">
          <w:marLeft w:val="0"/>
          <w:marRight w:val="0"/>
          <w:marTop w:val="0"/>
          <w:marBottom w:val="0"/>
          <w:divBdr>
            <w:top w:val="none" w:sz="0" w:space="0" w:color="auto"/>
            <w:left w:val="none" w:sz="0" w:space="0" w:color="auto"/>
            <w:bottom w:val="none" w:sz="0" w:space="0" w:color="auto"/>
            <w:right w:val="none" w:sz="0" w:space="0" w:color="auto"/>
          </w:divBdr>
        </w:div>
      </w:divsChild>
    </w:div>
    <w:div w:id="905989200">
      <w:bodyDiv w:val="1"/>
      <w:marLeft w:val="0"/>
      <w:marRight w:val="0"/>
      <w:marTop w:val="0"/>
      <w:marBottom w:val="0"/>
      <w:divBdr>
        <w:top w:val="none" w:sz="0" w:space="0" w:color="auto"/>
        <w:left w:val="none" w:sz="0" w:space="0" w:color="auto"/>
        <w:bottom w:val="none" w:sz="0" w:space="0" w:color="auto"/>
        <w:right w:val="none" w:sz="0" w:space="0" w:color="auto"/>
      </w:divBdr>
      <w:divsChild>
        <w:div w:id="490216441">
          <w:marLeft w:val="0"/>
          <w:marRight w:val="0"/>
          <w:marTop w:val="0"/>
          <w:marBottom w:val="150"/>
          <w:divBdr>
            <w:top w:val="none" w:sz="0" w:space="0" w:color="auto"/>
            <w:left w:val="none" w:sz="0" w:space="0" w:color="auto"/>
            <w:bottom w:val="none" w:sz="0" w:space="0" w:color="auto"/>
            <w:right w:val="none" w:sz="0" w:space="0" w:color="auto"/>
          </w:divBdr>
        </w:div>
      </w:divsChild>
    </w:div>
    <w:div w:id="906067300">
      <w:bodyDiv w:val="1"/>
      <w:marLeft w:val="0"/>
      <w:marRight w:val="0"/>
      <w:marTop w:val="0"/>
      <w:marBottom w:val="0"/>
      <w:divBdr>
        <w:top w:val="none" w:sz="0" w:space="0" w:color="auto"/>
        <w:left w:val="none" w:sz="0" w:space="0" w:color="auto"/>
        <w:bottom w:val="none" w:sz="0" w:space="0" w:color="auto"/>
        <w:right w:val="none" w:sz="0" w:space="0" w:color="auto"/>
      </w:divBdr>
    </w:div>
    <w:div w:id="906263414">
      <w:bodyDiv w:val="1"/>
      <w:marLeft w:val="0"/>
      <w:marRight w:val="0"/>
      <w:marTop w:val="0"/>
      <w:marBottom w:val="0"/>
      <w:divBdr>
        <w:top w:val="none" w:sz="0" w:space="0" w:color="auto"/>
        <w:left w:val="none" w:sz="0" w:space="0" w:color="auto"/>
        <w:bottom w:val="none" w:sz="0" w:space="0" w:color="auto"/>
        <w:right w:val="none" w:sz="0" w:space="0" w:color="auto"/>
      </w:divBdr>
      <w:divsChild>
        <w:div w:id="1595355614">
          <w:marLeft w:val="0"/>
          <w:marRight w:val="0"/>
          <w:marTop w:val="0"/>
          <w:marBottom w:val="0"/>
          <w:divBdr>
            <w:top w:val="none" w:sz="0" w:space="0" w:color="auto"/>
            <w:left w:val="none" w:sz="0" w:space="0" w:color="auto"/>
            <w:bottom w:val="dotted" w:sz="6" w:space="4" w:color="DDDDDD"/>
            <w:right w:val="none" w:sz="0" w:space="0" w:color="auto"/>
          </w:divBdr>
        </w:div>
      </w:divsChild>
    </w:div>
    <w:div w:id="906377867">
      <w:bodyDiv w:val="1"/>
      <w:marLeft w:val="0"/>
      <w:marRight w:val="0"/>
      <w:marTop w:val="0"/>
      <w:marBottom w:val="0"/>
      <w:divBdr>
        <w:top w:val="none" w:sz="0" w:space="0" w:color="auto"/>
        <w:left w:val="none" w:sz="0" w:space="0" w:color="auto"/>
        <w:bottom w:val="none" w:sz="0" w:space="0" w:color="auto"/>
        <w:right w:val="none" w:sz="0" w:space="0" w:color="auto"/>
      </w:divBdr>
      <w:divsChild>
        <w:div w:id="862288218">
          <w:marLeft w:val="0"/>
          <w:marRight w:val="0"/>
          <w:marTop w:val="0"/>
          <w:marBottom w:val="150"/>
          <w:divBdr>
            <w:top w:val="none" w:sz="0" w:space="0" w:color="auto"/>
            <w:left w:val="none" w:sz="0" w:space="0" w:color="auto"/>
            <w:bottom w:val="none" w:sz="0" w:space="0" w:color="auto"/>
            <w:right w:val="none" w:sz="0" w:space="0" w:color="auto"/>
          </w:divBdr>
        </w:div>
        <w:div w:id="949094712">
          <w:marLeft w:val="0"/>
          <w:marRight w:val="0"/>
          <w:marTop w:val="0"/>
          <w:marBottom w:val="0"/>
          <w:divBdr>
            <w:top w:val="none" w:sz="0" w:space="0" w:color="auto"/>
            <w:left w:val="none" w:sz="0" w:space="0" w:color="auto"/>
            <w:bottom w:val="none" w:sz="0" w:space="0" w:color="auto"/>
            <w:right w:val="none" w:sz="0" w:space="0" w:color="auto"/>
          </w:divBdr>
          <w:divsChild>
            <w:div w:id="2040398342">
              <w:marLeft w:val="0"/>
              <w:marRight w:val="0"/>
              <w:marTop w:val="0"/>
              <w:marBottom w:val="0"/>
              <w:divBdr>
                <w:top w:val="none" w:sz="0" w:space="0" w:color="auto"/>
                <w:left w:val="none" w:sz="0" w:space="0" w:color="auto"/>
                <w:bottom w:val="none" w:sz="0" w:space="0" w:color="auto"/>
                <w:right w:val="none" w:sz="0" w:space="0" w:color="auto"/>
              </w:divBdr>
            </w:div>
          </w:divsChild>
        </w:div>
        <w:div w:id="1907757679">
          <w:marLeft w:val="0"/>
          <w:marRight w:val="0"/>
          <w:marTop w:val="0"/>
          <w:marBottom w:val="150"/>
          <w:divBdr>
            <w:top w:val="none" w:sz="0" w:space="0" w:color="auto"/>
            <w:left w:val="none" w:sz="0" w:space="0" w:color="auto"/>
            <w:bottom w:val="none" w:sz="0" w:space="0" w:color="auto"/>
            <w:right w:val="none" w:sz="0" w:space="0" w:color="auto"/>
          </w:divBdr>
          <w:divsChild>
            <w:div w:id="54417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4018">
      <w:bodyDiv w:val="1"/>
      <w:marLeft w:val="0"/>
      <w:marRight w:val="0"/>
      <w:marTop w:val="0"/>
      <w:marBottom w:val="0"/>
      <w:divBdr>
        <w:top w:val="none" w:sz="0" w:space="0" w:color="auto"/>
        <w:left w:val="none" w:sz="0" w:space="0" w:color="auto"/>
        <w:bottom w:val="none" w:sz="0" w:space="0" w:color="auto"/>
        <w:right w:val="none" w:sz="0" w:space="0" w:color="auto"/>
      </w:divBdr>
      <w:divsChild>
        <w:div w:id="858741909">
          <w:marLeft w:val="0"/>
          <w:marRight w:val="0"/>
          <w:marTop w:val="0"/>
          <w:marBottom w:val="150"/>
          <w:divBdr>
            <w:top w:val="none" w:sz="0" w:space="0" w:color="auto"/>
            <w:left w:val="none" w:sz="0" w:space="0" w:color="auto"/>
            <w:bottom w:val="none" w:sz="0" w:space="0" w:color="auto"/>
            <w:right w:val="none" w:sz="0" w:space="0" w:color="auto"/>
          </w:divBdr>
          <w:divsChild>
            <w:div w:id="305932879">
              <w:marLeft w:val="0"/>
              <w:marRight w:val="0"/>
              <w:marTop w:val="0"/>
              <w:marBottom w:val="0"/>
              <w:divBdr>
                <w:top w:val="none" w:sz="0" w:space="0" w:color="auto"/>
                <w:left w:val="none" w:sz="0" w:space="0" w:color="auto"/>
                <w:bottom w:val="none" w:sz="0" w:space="0" w:color="auto"/>
                <w:right w:val="none" w:sz="0" w:space="0" w:color="auto"/>
              </w:divBdr>
              <w:divsChild>
                <w:div w:id="171588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998818">
          <w:marLeft w:val="0"/>
          <w:marRight w:val="0"/>
          <w:marTop w:val="0"/>
          <w:marBottom w:val="150"/>
          <w:divBdr>
            <w:top w:val="none" w:sz="0" w:space="0" w:color="auto"/>
            <w:left w:val="none" w:sz="0" w:space="0" w:color="auto"/>
            <w:bottom w:val="none" w:sz="0" w:space="0" w:color="auto"/>
            <w:right w:val="none" w:sz="0" w:space="0" w:color="auto"/>
          </w:divBdr>
        </w:div>
        <w:div w:id="1997027527">
          <w:marLeft w:val="0"/>
          <w:marRight w:val="0"/>
          <w:marTop w:val="0"/>
          <w:marBottom w:val="0"/>
          <w:divBdr>
            <w:top w:val="none" w:sz="0" w:space="0" w:color="auto"/>
            <w:left w:val="none" w:sz="0" w:space="0" w:color="auto"/>
            <w:bottom w:val="none" w:sz="0" w:space="0" w:color="auto"/>
            <w:right w:val="none" w:sz="0" w:space="0" w:color="auto"/>
          </w:divBdr>
          <w:divsChild>
            <w:div w:id="198686110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06955332">
      <w:bodyDiv w:val="1"/>
      <w:marLeft w:val="0"/>
      <w:marRight w:val="0"/>
      <w:marTop w:val="0"/>
      <w:marBottom w:val="0"/>
      <w:divBdr>
        <w:top w:val="none" w:sz="0" w:space="0" w:color="auto"/>
        <w:left w:val="none" w:sz="0" w:space="0" w:color="auto"/>
        <w:bottom w:val="none" w:sz="0" w:space="0" w:color="auto"/>
        <w:right w:val="none" w:sz="0" w:space="0" w:color="auto"/>
      </w:divBdr>
      <w:divsChild>
        <w:div w:id="1891384739">
          <w:marLeft w:val="0"/>
          <w:marRight w:val="0"/>
          <w:marTop w:val="0"/>
          <w:marBottom w:val="0"/>
          <w:divBdr>
            <w:top w:val="none" w:sz="0" w:space="0" w:color="auto"/>
            <w:left w:val="none" w:sz="0" w:space="0" w:color="auto"/>
            <w:bottom w:val="none" w:sz="0" w:space="0" w:color="auto"/>
            <w:right w:val="none" w:sz="0" w:space="0" w:color="auto"/>
          </w:divBdr>
        </w:div>
      </w:divsChild>
    </w:div>
    <w:div w:id="906961915">
      <w:bodyDiv w:val="1"/>
      <w:marLeft w:val="0"/>
      <w:marRight w:val="0"/>
      <w:marTop w:val="0"/>
      <w:marBottom w:val="0"/>
      <w:divBdr>
        <w:top w:val="none" w:sz="0" w:space="0" w:color="auto"/>
        <w:left w:val="none" w:sz="0" w:space="0" w:color="auto"/>
        <w:bottom w:val="none" w:sz="0" w:space="0" w:color="auto"/>
        <w:right w:val="none" w:sz="0" w:space="0" w:color="auto"/>
      </w:divBdr>
    </w:div>
    <w:div w:id="907113396">
      <w:bodyDiv w:val="1"/>
      <w:marLeft w:val="0"/>
      <w:marRight w:val="0"/>
      <w:marTop w:val="0"/>
      <w:marBottom w:val="0"/>
      <w:divBdr>
        <w:top w:val="none" w:sz="0" w:space="0" w:color="auto"/>
        <w:left w:val="none" w:sz="0" w:space="0" w:color="auto"/>
        <w:bottom w:val="none" w:sz="0" w:space="0" w:color="auto"/>
        <w:right w:val="none" w:sz="0" w:space="0" w:color="auto"/>
      </w:divBdr>
    </w:div>
    <w:div w:id="907570608">
      <w:bodyDiv w:val="1"/>
      <w:marLeft w:val="0"/>
      <w:marRight w:val="0"/>
      <w:marTop w:val="0"/>
      <w:marBottom w:val="0"/>
      <w:divBdr>
        <w:top w:val="none" w:sz="0" w:space="0" w:color="auto"/>
        <w:left w:val="none" w:sz="0" w:space="0" w:color="auto"/>
        <w:bottom w:val="none" w:sz="0" w:space="0" w:color="auto"/>
        <w:right w:val="none" w:sz="0" w:space="0" w:color="auto"/>
      </w:divBdr>
      <w:divsChild>
        <w:div w:id="1393888445">
          <w:marLeft w:val="0"/>
          <w:marRight w:val="0"/>
          <w:marTop w:val="0"/>
          <w:marBottom w:val="0"/>
          <w:divBdr>
            <w:top w:val="none" w:sz="0" w:space="0" w:color="auto"/>
            <w:left w:val="none" w:sz="0" w:space="0" w:color="auto"/>
            <w:bottom w:val="dotted" w:sz="6" w:space="4" w:color="DDDDDD"/>
            <w:right w:val="none" w:sz="0" w:space="0" w:color="auto"/>
          </w:divBdr>
        </w:div>
      </w:divsChild>
    </w:div>
    <w:div w:id="907687945">
      <w:bodyDiv w:val="1"/>
      <w:marLeft w:val="0"/>
      <w:marRight w:val="0"/>
      <w:marTop w:val="0"/>
      <w:marBottom w:val="0"/>
      <w:divBdr>
        <w:top w:val="none" w:sz="0" w:space="0" w:color="auto"/>
        <w:left w:val="none" w:sz="0" w:space="0" w:color="auto"/>
        <w:bottom w:val="none" w:sz="0" w:space="0" w:color="auto"/>
        <w:right w:val="none" w:sz="0" w:space="0" w:color="auto"/>
      </w:divBdr>
    </w:div>
    <w:div w:id="907804978">
      <w:bodyDiv w:val="1"/>
      <w:marLeft w:val="0"/>
      <w:marRight w:val="0"/>
      <w:marTop w:val="0"/>
      <w:marBottom w:val="0"/>
      <w:divBdr>
        <w:top w:val="none" w:sz="0" w:space="0" w:color="auto"/>
        <w:left w:val="none" w:sz="0" w:space="0" w:color="auto"/>
        <w:bottom w:val="none" w:sz="0" w:space="0" w:color="auto"/>
        <w:right w:val="none" w:sz="0" w:space="0" w:color="auto"/>
      </w:divBdr>
      <w:divsChild>
        <w:div w:id="1751384296">
          <w:marLeft w:val="0"/>
          <w:marRight w:val="0"/>
          <w:marTop w:val="0"/>
          <w:marBottom w:val="450"/>
          <w:divBdr>
            <w:top w:val="none" w:sz="0" w:space="0" w:color="auto"/>
            <w:left w:val="none" w:sz="0" w:space="0" w:color="auto"/>
            <w:bottom w:val="single" w:sz="6" w:space="19" w:color="EEEEEE"/>
            <w:right w:val="none" w:sz="0" w:space="0" w:color="auto"/>
          </w:divBdr>
          <w:divsChild>
            <w:div w:id="592669499">
              <w:marLeft w:val="0"/>
              <w:marRight w:val="0"/>
              <w:marTop w:val="0"/>
              <w:marBottom w:val="150"/>
              <w:divBdr>
                <w:top w:val="none" w:sz="0" w:space="0" w:color="auto"/>
                <w:left w:val="none" w:sz="0" w:space="0" w:color="auto"/>
                <w:bottom w:val="none" w:sz="0" w:space="0" w:color="auto"/>
                <w:right w:val="none" w:sz="0" w:space="0" w:color="auto"/>
              </w:divBdr>
              <w:divsChild>
                <w:div w:id="806632600">
                  <w:marLeft w:val="0"/>
                  <w:marRight w:val="0"/>
                  <w:marTop w:val="0"/>
                  <w:marBottom w:val="0"/>
                  <w:divBdr>
                    <w:top w:val="none" w:sz="0" w:space="0" w:color="auto"/>
                    <w:left w:val="none" w:sz="0" w:space="0" w:color="auto"/>
                    <w:bottom w:val="none" w:sz="0" w:space="0" w:color="auto"/>
                    <w:right w:val="none" w:sz="0" w:space="0" w:color="auto"/>
                  </w:divBdr>
                </w:div>
              </w:divsChild>
            </w:div>
            <w:div w:id="1290429059">
              <w:marLeft w:val="0"/>
              <w:marRight w:val="0"/>
              <w:marTop w:val="0"/>
              <w:marBottom w:val="0"/>
              <w:divBdr>
                <w:top w:val="none" w:sz="0" w:space="0" w:color="auto"/>
                <w:left w:val="none" w:sz="0" w:space="0" w:color="auto"/>
                <w:bottom w:val="none" w:sz="0" w:space="0" w:color="auto"/>
                <w:right w:val="none" w:sz="0" w:space="0" w:color="auto"/>
              </w:divBdr>
            </w:div>
          </w:divsChild>
        </w:div>
        <w:div w:id="334724963">
          <w:marLeft w:val="0"/>
          <w:marRight w:val="0"/>
          <w:marTop w:val="0"/>
          <w:marBottom w:val="0"/>
          <w:divBdr>
            <w:top w:val="none" w:sz="0" w:space="0" w:color="auto"/>
            <w:left w:val="none" w:sz="0" w:space="0" w:color="auto"/>
            <w:bottom w:val="none" w:sz="0" w:space="0" w:color="auto"/>
            <w:right w:val="none" w:sz="0" w:space="0" w:color="auto"/>
          </w:divBdr>
          <w:divsChild>
            <w:div w:id="1763261918">
              <w:marLeft w:val="0"/>
              <w:marRight w:val="0"/>
              <w:marTop w:val="0"/>
              <w:marBottom w:val="0"/>
              <w:divBdr>
                <w:top w:val="none" w:sz="0" w:space="0" w:color="auto"/>
                <w:left w:val="none" w:sz="0" w:space="0" w:color="auto"/>
                <w:bottom w:val="none" w:sz="0" w:space="0" w:color="auto"/>
                <w:right w:val="none" w:sz="0" w:space="0" w:color="auto"/>
              </w:divBdr>
              <w:divsChild>
                <w:div w:id="96346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273946">
      <w:bodyDiv w:val="1"/>
      <w:marLeft w:val="0"/>
      <w:marRight w:val="0"/>
      <w:marTop w:val="0"/>
      <w:marBottom w:val="0"/>
      <w:divBdr>
        <w:top w:val="none" w:sz="0" w:space="0" w:color="auto"/>
        <w:left w:val="none" w:sz="0" w:space="0" w:color="auto"/>
        <w:bottom w:val="none" w:sz="0" w:space="0" w:color="auto"/>
        <w:right w:val="none" w:sz="0" w:space="0" w:color="auto"/>
      </w:divBdr>
      <w:divsChild>
        <w:div w:id="1558784778">
          <w:marLeft w:val="0"/>
          <w:marRight w:val="0"/>
          <w:marTop w:val="0"/>
          <w:marBottom w:val="225"/>
          <w:divBdr>
            <w:top w:val="none" w:sz="0" w:space="0" w:color="auto"/>
            <w:left w:val="none" w:sz="0" w:space="0" w:color="auto"/>
            <w:bottom w:val="none" w:sz="0" w:space="0" w:color="auto"/>
            <w:right w:val="none" w:sz="0" w:space="0" w:color="auto"/>
          </w:divBdr>
        </w:div>
      </w:divsChild>
    </w:div>
    <w:div w:id="908343266">
      <w:bodyDiv w:val="1"/>
      <w:marLeft w:val="0"/>
      <w:marRight w:val="0"/>
      <w:marTop w:val="0"/>
      <w:marBottom w:val="0"/>
      <w:divBdr>
        <w:top w:val="none" w:sz="0" w:space="0" w:color="auto"/>
        <w:left w:val="none" w:sz="0" w:space="0" w:color="auto"/>
        <w:bottom w:val="none" w:sz="0" w:space="0" w:color="auto"/>
        <w:right w:val="none" w:sz="0" w:space="0" w:color="auto"/>
      </w:divBdr>
      <w:divsChild>
        <w:div w:id="81803943">
          <w:marLeft w:val="0"/>
          <w:marRight w:val="0"/>
          <w:marTop w:val="0"/>
          <w:marBottom w:val="0"/>
          <w:divBdr>
            <w:top w:val="none" w:sz="0" w:space="0" w:color="auto"/>
            <w:left w:val="none" w:sz="0" w:space="0" w:color="auto"/>
            <w:bottom w:val="none" w:sz="0" w:space="0" w:color="auto"/>
            <w:right w:val="none" w:sz="0" w:space="0" w:color="auto"/>
          </w:divBdr>
          <w:divsChild>
            <w:div w:id="6688700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08463236">
      <w:bodyDiv w:val="1"/>
      <w:marLeft w:val="0"/>
      <w:marRight w:val="0"/>
      <w:marTop w:val="0"/>
      <w:marBottom w:val="0"/>
      <w:divBdr>
        <w:top w:val="none" w:sz="0" w:space="0" w:color="auto"/>
        <w:left w:val="none" w:sz="0" w:space="0" w:color="auto"/>
        <w:bottom w:val="none" w:sz="0" w:space="0" w:color="auto"/>
        <w:right w:val="none" w:sz="0" w:space="0" w:color="auto"/>
      </w:divBdr>
      <w:divsChild>
        <w:div w:id="304168622">
          <w:marLeft w:val="0"/>
          <w:marRight w:val="0"/>
          <w:marTop w:val="0"/>
          <w:marBottom w:val="0"/>
          <w:divBdr>
            <w:top w:val="none" w:sz="0" w:space="0" w:color="auto"/>
            <w:left w:val="none" w:sz="0" w:space="0" w:color="auto"/>
            <w:bottom w:val="none" w:sz="0" w:space="0" w:color="auto"/>
            <w:right w:val="none" w:sz="0" w:space="0" w:color="auto"/>
          </w:divBdr>
          <w:divsChild>
            <w:div w:id="344140423">
              <w:marLeft w:val="0"/>
              <w:marRight w:val="0"/>
              <w:marTop w:val="0"/>
              <w:marBottom w:val="0"/>
              <w:divBdr>
                <w:top w:val="none" w:sz="0" w:space="0" w:color="auto"/>
                <w:left w:val="none" w:sz="0" w:space="0" w:color="auto"/>
                <w:bottom w:val="none" w:sz="0" w:space="0" w:color="auto"/>
                <w:right w:val="none" w:sz="0" w:space="0" w:color="auto"/>
              </w:divBdr>
              <w:divsChild>
                <w:div w:id="1274047569">
                  <w:marLeft w:val="0"/>
                  <w:marRight w:val="0"/>
                  <w:marTop w:val="0"/>
                  <w:marBottom w:val="0"/>
                  <w:divBdr>
                    <w:top w:val="none" w:sz="0" w:space="0" w:color="auto"/>
                    <w:left w:val="none" w:sz="0" w:space="0" w:color="auto"/>
                    <w:bottom w:val="none" w:sz="0" w:space="0" w:color="auto"/>
                    <w:right w:val="none" w:sz="0" w:space="0" w:color="auto"/>
                  </w:divBdr>
                  <w:divsChild>
                    <w:div w:id="453527369">
                      <w:marLeft w:val="0"/>
                      <w:marRight w:val="0"/>
                      <w:marTop w:val="0"/>
                      <w:marBottom w:val="0"/>
                      <w:divBdr>
                        <w:top w:val="none" w:sz="0" w:space="0" w:color="auto"/>
                        <w:left w:val="none" w:sz="0" w:space="0" w:color="auto"/>
                        <w:bottom w:val="none" w:sz="0" w:space="0" w:color="auto"/>
                        <w:right w:val="none" w:sz="0" w:space="0" w:color="auto"/>
                      </w:divBdr>
                      <w:divsChild>
                        <w:div w:id="1114666997">
                          <w:marLeft w:val="0"/>
                          <w:marRight w:val="0"/>
                          <w:marTop w:val="0"/>
                          <w:marBottom w:val="0"/>
                          <w:divBdr>
                            <w:top w:val="none" w:sz="0" w:space="0" w:color="auto"/>
                            <w:left w:val="none" w:sz="0" w:space="0" w:color="auto"/>
                            <w:bottom w:val="none" w:sz="0" w:space="0" w:color="auto"/>
                            <w:right w:val="none" w:sz="0" w:space="0" w:color="auto"/>
                          </w:divBdr>
                          <w:divsChild>
                            <w:div w:id="528299193">
                              <w:marLeft w:val="0"/>
                              <w:marRight w:val="0"/>
                              <w:marTop w:val="0"/>
                              <w:marBottom w:val="0"/>
                              <w:divBdr>
                                <w:top w:val="none" w:sz="0" w:space="0" w:color="auto"/>
                                <w:left w:val="none" w:sz="0" w:space="0" w:color="auto"/>
                                <w:bottom w:val="none" w:sz="0" w:space="0" w:color="auto"/>
                                <w:right w:val="none" w:sz="0" w:space="0" w:color="auto"/>
                              </w:divBdr>
                              <w:divsChild>
                                <w:div w:id="1159426040">
                                  <w:marLeft w:val="0"/>
                                  <w:marRight w:val="0"/>
                                  <w:marTop w:val="0"/>
                                  <w:marBottom w:val="0"/>
                                  <w:divBdr>
                                    <w:top w:val="none" w:sz="0" w:space="0" w:color="auto"/>
                                    <w:left w:val="none" w:sz="0" w:space="0" w:color="auto"/>
                                    <w:bottom w:val="none" w:sz="0" w:space="0" w:color="auto"/>
                                    <w:right w:val="none" w:sz="0" w:space="0" w:color="auto"/>
                                  </w:divBdr>
                                  <w:divsChild>
                                    <w:div w:id="1016804514">
                                      <w:marLeft w:val="0"/>
                                      <w:marRight w:val="0"/>
                                      <w:marTop w:val="0"/>
                                      <w:marBottom w:val="0"/>
                                      <w:divBdr>
                                        <w:top w:val="none" w:sz="0" w:space="0" w:color="auto"/>
                                        <w:left w:val="none" w:sz="0" w:space="0" w:color="auto"/>
                                        <w:bottom w:val="none" w:sz="0" w:space="0" w:color="auto"/>
                                        <w:right w:val="none" w:sz="0" w:space="0" w:color="auto"/>
                                      </w:divBdr>
                                      <w:divsChild>
                                        <w:div w:id="126441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9847350">
      <w:bodyDiv w:val="1"/>
      <w:marLeft w:val="0"/>
      <w:marRight w:val="0"/>
      <w:marTop w:val="0"/>
      <w:marBottom w:val="0"/>
      <w:divBdr>
        <w:top w:val="none" w:sz="0" w:space="0" w:color="auto"/>
        <w:left w:val="none" w:sz="0" w:space="0" w:color="auto"/>
        <w:bottom w:val="none" w:sz="0" w:space="0" w:color="auto"/>
        <w:right w:val="none" w:sz="0" w:space="0" w:color="auto"/>
      </w:divBdr>
      <w:divsChild>
        <w:div w:id="1004818816">
          <w:marLeft w:val="0"/>
          <w:marRight w:val="0"/>
          <w:marTop w:val="0"/>
          <w:marBottom w:val="0"/>
          <w:divBdr>
            <w:top w:val="none" w:sz="0" w:space="0" w:color="auto"/>
            <w:left w:val="none" w:sz="0" w:space="0" w:color="auto"/>
            <w:bottom w:val="none" w:sz="0" w:space="0" w:color="auto"/>
            <w:right w:val="none" w:sz="0" w:space="0" w:color="auto"/>
          </w:divBdr>
        </w:div>
        <w:div w:id="1037042806">
          <w:marLeft w:val="0"/>
          <w:marRight w:val="0"/>
          <w:marTop w:val="0"/>
          <w:marBottom w:val="0"/>
          <w:divBdr>
            <w:top w:val="none" w:sz="0" w:space="0" w:color="auto"/>
            <w:left w:val="none" w:sz="0" w:space="0" w:color="auto"/>
            <w:bottom w:val="none" w:sz="0" w:space="0" w:color="auto"/>
            <w:right w:val="none" w:sz="0" w:space="0" w:color="auto"/>
          </w:divBdr>
        </w:div>
      </w:divsChild>
    </w:div>
    <w:div w:id="910427763">
      <w:bodyDiv w:val="1"/>
      <w:marLeft w:val="0"/>
      <w:marRight w:val="0"/>
      <w:marTop w:val="0"/>
      <w:marBottom w:val="0"/>
      <w:divBdr>
        <w:top w:val="none" w:sz="0" w:space="0" w:color="auto"/>
        <w:left w:val="none" w:sz="0" w:space="0" w:color="auto"/>
        <w:bottom w:val="none" w:sz="0" w:space="0" w:color="auto"/>
        <w:right w:val="none" w:sz="0" w:space="0" w:color="auto"/>
      </w:divBdr>
      <w:divsChild>
        <w:div w:id="177282513">
          <w:marLeft w:val="0"/>
          <w:marRight w:val="0"/>
          <w:marTop w:val="0"/>
          <w:marBottom w:val="450"/>
          <w:divBdr>
            <w:top w:val="none" w:sz="0" w:space="0" w:color="auto"/>
            <w:left w:val="none" w:sz="0" w:space="0" w:color="auto"/>
            <w:bottom w:val="single" w:sz="6" w:space="19" w:color="EEEEEE"/>
            <w:right w:val="none" w:sz="0" w:space="0" w:color="auto"/>
          </w:divBdr>
          <w:divsChild>
            <w:div w:id="899246258">
              <w:marLeft w:val="0"/>
              <w:marRight w:val="0"/>
              <w:marTop w:val="0"/>
              <w:marBottom w:val="150"/>
              <w:divBdr>
                <w:top w:val="none" w:sz="0" w:space="0" w:color="auto"/>
                <w:left w:val="none" w:sz="0" w:space="0" w:color="auto"/>
                <w:bottom w:val="none" w:sz="0" w:space="0" w:color="auto"/>
                <w:right w:val="none" w:sz="0" w:space="0" w:color="auto"/>
              </w:divBdr>
              <w:divsChild>
                <w:div w:id="541672381">
                  <w:marLeft w:val="0"/>
                  <w:marRight w:val="0"/>
                  <w:marTop w:val="0"/>
                  <w:marBottom w:val="0"/>
                  <w:divBdr>
                    <w:top w:val="none" w:sz="0" w:space="0" w:color="auto"/>
                    <w:left w:val="none" w:sz="0" w:space="0" w:color="auto"/>
                    <w:bottom w:val="none" w:sz="0" w:space="0" w:color="auto"/>
                    <w:right w:val="none" w:sz="0" w:space="0" w:color="auto"/>
                  </w:divBdr>
                </w:div>
              </w:divsChild>
            </w:div>
            <w:div w:id="241913668">
              <w:marLeft w:val="0"/>
              <w:marRight w:val="0"/>
              <w:marTop w:val="0"/>
              <w:marBottom w:val="0"/>
              <w:divBdr>
                <w:top w:val="none" w:sz="0" w:space="0" w:color="auto"/>
                <w:left w:val="none" w:sz="0" w:space="0" w:color="auto"/>
                <w:bottom w:val="none" w:sz="0" w:space="0" w:color="auto"/>
                <w:right w:val="none" w:sz="0" w:space="0" w:color="auto"/>
              </w:divBdr>
            </w:div>
          </w:divsChild>
        </w:div>
        <w:div w:id="232006460">
          <w:marLeft w:val="0"/>
          <w:marRight w:val="0"/>
          <w:marTop w:val="0"/>
          <w:marBottom w:val="0"/>
          <w:divBdr>
            <w:top w:val="none" w:sz="0" w:space="0" w:color="auto"/>
            <w:left w:val="none" w:sz="0" w:space="0" w:color="auto"/>
            <w:bottom w:val="none" w:sz="0" w:space="0" w:color="auto"/>
            <w:right w:val="none" w:sz="0" w:space="0" w:color="auto"/>
          </w:divBdr>
          <w:divsChild>
            <w:div w:id="419571018">
              <w:marLeft w:val="0"/>
              <w:marRight w:val="0"/>
              <w:marTop w:val="0"/>
              <w:marBottom w:val="0"/>
              <w:divBdr>
                <w:top w:val="none" w:sz="0" w:space="0" w:color="auto"/>
                <w:left w:val="none" w:sz="0" w:space="0" w:color="auto"/>
                <w:bottom w:val="none" w:sz="0" w:space="0" w:color="auto"/>
                <w:right w:val="none" w:sz="0" w:space="0" w:color="auto"/>
              </w:divBdr>
              <w:divsChild>
                <w:div w:id="138949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96111">
      <w:bodyDiv w:val="1"/>
      <w:marLeft w:val="0"/>
      <w:marRight w:val="0"/>
      <w:marTop w:val="0"/>
      <w:marBottom w:val="0"/>
      <w:divBdr>
        <w:top w:val="none" w:sz="0" w:space="0" w:color="auto"/>
        <w:left w:val="none" w:sz="0" w:space="0" w:color="auto"/>
        <w:bottom w:val="none" w:sz="0" w:space="0" w:color="auto"/>
        <w:right w:val="none" w:sz="0" w:space="0" w:color="auto"/>
      </w:divBdr>
      <w:divsChild>
        <w:div w:id="137302482">
          <w:marLeft w:val="0"/>
          <w:marRight w:val="0"/>
          <w:marTop w:val="0"/>
          <w:marBottom w:val="0"/>
          <w:divBdr>
            <w:top w:val="none" w:sz="0" w:space="0" w:color="auto"/>
            <w:left w:val="none" w:sz="0" w:space="0" w:color="auto"/>
            <w:bottom w:val="none" w:sz="0" w:space="0" w:color="auto"/>
            <w:right w:val="none" w:sz="0" w:space="0" w:color="auto"/>
          </w:divBdr>
        </w:div>
      </w:divsChild>
    </w:div>
    <w:div w:id="911350181">
      <w:bodyDiv w:val="1"/>
      <w:marLeft w:val="0"/>
      <w:marRight w:val="0"/>
      <w:marTop w:val="0"/>
      <w:marBottom w:val="0"/>
      <w:divBdr>
        <w:top w:val="none" w:sz="0" w:space="0" w:color="auto"/>
        <w:left w:val="none" w:sz="0" w:space="0" w:color="auto"/>
        <w:bottom w:val="none" w:sz="0" w:space="0" w:color="auto"/>
        <w:right w:val="none" w:sz="0" w:space="0" w:color="auto"/>
      </w:divBdr>
      <w:divsChild>
        <w:div w:id="376512029">
          <w:marLeft w:val="0"/>
          <w:marRight w:val="0"/>
          <w:marTop w:val="0"/>
          <w:marBottom w:val="450"/>
          <w:divBdr>
            <w:top w:val="none" w:sz="0" w:space="0" w:color="auto"/>
            <w:left w:val="none" w:sz="0" w:space="0" w:color="auto"/>
            <w:bottom w:val="single" w:sz="6" w:space="19" w:color="EEEEEE"/>
            <w:right w:val="none" w:sz="0" w:space="0" w:color="auto"/>
          </w:divBdr>
          <w:divsChild>
            <w:div w:id="1750495014">
              <w:marLeft w:val="0"/>
              <w:marRight w:val="0"/>
              <w:marTop w:val="0"/>
              <w:marBottom w:val="150"/>
              <w:divBdr>
                <w:top w:val="none" w:sz="0" w:space="0" w:color="auto"/>
                <w:left w:val="none" w:sz="0" w:space="0" w:color="auto"/>
                <w:bottom w:val="none" w:sz="0" w:space="0" w:color="auto"/>
                <w:right w:val="none" w:sz="0" w:space="0" w:color="auto"/>
              </w:divBdr>
              <w:divsChild>
                <w:div w:id="605230661">
                  <w:marLeft w:val="0"/>
                  <w:marRight w:val="0"/>
                  <w:marTop w:val="0"/>
                  <w:marBottom w:val="0"/>
                  <w:divBdr>
                    <w:top w:val="none" w:sz="0" w:space="0" w:color="auto"/>
                    <w:left w:val="none" w:sz="0" w:space="0" w:color="auto"/>
                    <w:bottom w:val="none" w:sz="0" w:space="0" w:color="auto"/>
                    <w:right w:val="none" w:sz="0" w:space="0" w:color="auto"/>
                  </w:divBdr>
                </w:div>
              </w:divsChild>
            </w:div>
            <w:div w:id="506990747">
              <w:marLeft w:val="0"/>
              <w:marRight w:val="0"/>
              <w:marTop w:val="0"/>
              <w:marBottom w:val="0"/>
              <w:divBdr>
                <w:top w:val="none" w:sz="0" w:space="0" w:color="auto"/>
                <w:left w:val="none" w:sz="0" w:space="0" w:color="auto"/>
                <w:bottom w:val="none" w:sz="0" w:space="0" w:color="auto"/>
                <w:right w:val="none" w:sz="0" w:space="0" w:color="auto"/>
              </w:divBdr>
            </w:div>
          </w:divsChild>
        </w:div>
        <w:div w:id="1544292547">
          <w:marLeft w:val="0"/>
          <w:marRight w:val="0"/>
          <w:marTop w:val="0"/>
          <w:marBottom w:val="0"/>
          <w:divBdr>
            <w:top w:val="none" w:sz="0" w:space="0" w:color="auto"/>
            <w:left w:val="none" w:sz="0" w:space="0" w:color="auto"/>
            <w:bottom w:val="none" w:sz="0" w:space="0" w:color="auto"/>
            <w:right w:val="none" w:sz="0" w:space="0" w:color="auto"/>
          </w:divBdr>
          <w:divsChild>
            <w:div w:id="1319110649">
              <w:marLeft w:val="0"/>
              <w:marRight w:val="0"/>
              <w:marTop w:val="0"/>
              <w:marBottom w:val="0"/>
              <w:divBdr>
                <w:top w:val="none" w:sz="0" w:space="0" w:color="auto"/>
                <w:left w:val="none" w:sz="0" w:space="0" w:color="auto"/>
                <w:bottom w:val="none" w:sz="0" w:space="0" w:color="auto"/>
                <w:right w:val="none" w:sz="0" w:space="0" w:color="auto"/>
              </w:divBdr>
              <w:divsChild>
                <w:div w:id="194334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547288">
      <w:bodyDiv w:val="1"/>
      <w:marLeft w:val="0"/>
      <w:marRight w:val="0"/>
      <w:marTop w:val="0"/>
      <w:marBottom w:val="0"/>
      <w:divBdr>
        <w:top w:val="none" w:sz="0" w:space="0" w:color="auto"/>
        <w:left w:val="none" w:sz="0" w:space="0" w:color="auto"/>
        <w:bottom w:val="none" w:sz="0" w:space="0" w:color="auto"/>
        <w:right w:val="none" w:sz="0" w:space="0" w:color="auto"/>
      </w:divBdr>
      <w:divsChild>
        <w:div w:id="421070002">
          <w:marLeft w:val="0"/>
          <w:marRight w:val="0"/>
          <w:marTop w:val="0"/>
          <w:marBottom w:val="150"/>
          <w:divBdr>
            <w:top w:val="none" w:sz="0" w:space="0" w:color="auto"/>
            <w:left w:val="none" w:sz="0" w:space="0" w:color="auto"/>
            <w:bottom w:val="none" w:sz="0" w:space="0" w:color="auto"/>
            <w:right w:val="none" w:sz="0" w:space="0" w:color="auto"/>
          </w:divBdr>
          <w:divsChild>
            <w:div w:id="1686709882">
              <w:marLeft w:val="0"/>
              <w:marRight w:val="0"/>
              <w:marTop w:val="0"/>
              <w:marBottom w:val="0"/>
              <w:divBdr>
                <w:top w:val="none" w:sz="0" w:space="0" w:color="auto"/>
                <w:left w:val="none" w:sz="0" w:space="0" w:color="auto"/>
                <w:bottom w:val="none" w:sz="0" w:space="0" w:color="auto"/>
                <w:right w:val="none" w:sz="0" w:space="0" w:color="auto"/>
              </w:divBdr>
            </w:div>
          </w:divsChild>
        </w:div>
        <w:div w:id="746147399">
          <w:marLeft w:val="0"/>
          <w:marRight w:val="0"/>
          <w:marTop w:val="0"/>
          <w:marBottom w:val="150"/>
          <w:divBdr>
            <w:top w:val="none" w:sz="0" w:space="0" w:color="auto"/>
            <w:left w:val="none" w:sz="0" w:space="0" w:color="auto"/>
            <w:bottom w:val="none" w:sz="0" w:space="0" w:color="auto"/>
            <w:right w:val="none" w:sz="0" w:space="0" w:color="auto"/>
          </w:divBdr>
        </w:div>
        <w:div w:id="1178276830">
          <w:marLeft w:val="0"/>
          <w:marRight w:val="0"/>
          <w:marTop w:val="0"/>
          <w:marBottom w:val="0"/>
          <w:divBdr>
            <w:top w:val="none" w:sz="0" w:space="0" w:color="auto"/>
            <w:left w:val="none" w:sz="0" w:space="0" w:color="auto"/>
            <w:bottom w:val="none" w:sz="0" w:space="0" w:color="auto"/>
            <w:right w:val="none" w:sz="0" w:space="0" w:color="auto"/>
          </w:divBdr>
          <w:divsChild>
            <w:div w:id="4575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815320">
      <w:bodyDiv w:val="1"/>
      <w:marLeft w:val="0"/>
      <w:marRight w:val="0"/>
      <w:marTop w:val="0"/>
      <w:marBottom w:val="0"/>
      <w:divBdr>
        <w:top w:val="none" w:sz="0" w:space="0" w:color="auto"/>
        <w:left w:val="none" w:sz="0" w:space="0" w:color="auto"/>
        <w:bottom w:val="none" w:sz="0" w:space="0" w:color="auto"/>
        <w:right w:val="none" w:sz="0" w:space="0" w:color="auto"/>
      </w:divBdr>
      <w:divsChild>
        <w:div w:id="453989780">
          <w:marLeft w:val="0"/>
          <w:marRight w:val="0"/>
          <w:marTop w:val="0"/>
          <w:marBottom w:val="0"/>
          <w:divBdr>
            <w:top w:val="none" w:sz="0" w:space="0" w:color="auto"/>
            <w:left w:val="none" w:sz="0" w:space="0" w:color="auto"/>
            <w:bottom w:val="none" w:sz="0" w:space="0" w:color="auto"/>
            <w:right w:val="none" w:sz="0" w:space="0" w:color="auto"/>
          </w:divBdr>
          <w:divsChild>
            <w:div w:id="1253901880">
              <w:marLeft w:val="0"/>
              <w:marRight w:val="0"/>
              <w:marTop w:val="0"/>
              <w:marBottom w:val="0"/>
              <w:divBdr>
                <w:top w:val="none" w:sz="0" w:space="0" w:color="auto"/>
                <w:left w:val="none" w:sz="0" w:space="0" w:color="auto"/>
                <w:bottom w:val="none" w:sz="0" w:space="0" w:color="auto"/>
                <w:right w:val="none" w:sz="0" w:space="0" w:color="auto"/>
              </w:divBdr>
            </w:div>
          </w:divsChild>
        </w:div>
        <w:div w:id="1267352316">
          <w:marLeft w:val="0"/>
          <w:marRight w:val="0"/>
          <w:marTop w:val="0"/>
          <w:marBottom w:val="150"/>
          <w:divBdr>
            <w:top w:val="none" w:sz="0" w:space="0" w:color="auto"/>
            <w:left w:val="none" w:sz="0" w:space="0" w:color="auto"/>
            <w:bottom w:val="none" w:sz="0" w:space="0" w:color="auto"/>
            <w:right w:val="none" w:sz="0" w:space="0" w:color="auto"/>
          </w:divBdr>
          <w:divsChild>
            <w:div w:id="768887812">
              <w:marLeft w:val="0"/>
              <w:marRight w:val="0"/>
              <w:marTop w:val="0"/>
              <w:marBottom w:val="0"/>
              <w:divBdr>
                <w:top w:val="none" w:sz="0" w:space="0" w:color="auto"/>
                <w:left w:val="none" w:sz="0" w:space="0" w:color="auto"/>
                <w:bottom w:val="none" w:sz="0" w:space="0" w:color="auto"/>
                <w:right w:val="none" w:sz="0" w:space="0" w:color="auto"/>
              </w:divBdr>
            </w:div>
          </w:divsChild>
        </w:div>
        <w:div w:id="1378579260">
          <w:marLeft w:val="0"/>
          <w:marRight w:val="0"/>
          <w:marTop w:val="0"/>
          <w:marBottom w:val="150"/>
          <w:divBdr>
            <w:top w:val="none" w:sz="0" w:space="0" w:color="auto"/>
            <w:left w:val="none" w:sz="0" w:space="0" w:color="auto"/>
            <w:bottom w:val="none" w:sz="0" w:space="0" w:color="auto"/>
            <w:right w:val="none" w:sz="0" w:space="0" w:color="auto"/>
          </w:divBdr>
        </w:div>
      </w:divsChild>
    </w:div>
    <w:div w:id="912198680">
      <w:bodyDiv w:val="1"/>
      <w:marLeft w:val="0"/>
      <w:marRight w:val="0"/>
      <w:marTop w:val="0"/>
      <w:marBottom w:val="0"/>
      <w:divBdr>
        <w:top w:val="none" w:sz="0" w:space="0" w:color="auto"/>
        <w:left w:val="none" w:sz="0" w:space="0" w:color="auto"/>
        <w:bottom w:val="none" w:sz="0" w:space="0" w:color="auto"/>
        <w:right w:val="none" w:sz="0" w:space="0" w:color="auto"/>
      </w:divBdr>
      <w:divsChild>
        <w:div w:id="967248146">
          <w:marLeft w:val="0"/>
          <w:marRight w:val="0"/>
          <w:marTop w:val="0"/>
          <w:marBottom w:val="0"/>
          <w:divBdr>
            <w:top w:val="none" w:sz="0" w:space="0" w:color="auto"/>
            <w:left w:val="none" w:sz="0" w:space="0" w:color="auto"/>
            <w:bottom w:val="none" w:sz="0" w:space="0" w:color="auto"/>
            <w:right w:val="none" w:sz="0" w:space="0" w:color="auto"/>
          </w:divBdr>
        </w:div>
        <w:div w:id="553657298">
          <w:marLeft w:val="0"/>
          <w:marRight w:val="0"/>
          <w:marTop w:val="0"/>
          <w:marBottom w:val="0"/>
          <w:divBdr>
            <w:top w:val="none" w:sz="0" w:space="0" w:color="auto"/>
            <w:left w:val="none" w:sz="0" w:space="0" w:color="auto"/>
            <w:bottom w:val="none" w:sz="0" w:space="0" w:color="auto"/>
            <w:right w:val="none" w:sz="0" w:space="0" w:color="auto"/>
          </w:divBdr>
          <w:divsChild>
            <w:div w:id="947810519">
              <w:marLeft w:val="-225"/>
              <w:marRight w:val="-225"/>
              <w:marTop w:val="0"/>
              <w:marBottom w:val="0"/>
              <w:divBdr>
                <w:top w:val="none" w:sz="0" w:space="0" w:color="auto"/>
                <w:left w:val="none" w:sz="0" w:space="0" w:color="auto"/>
                <w:bottom w:val="none" w:sz="0" w:space="0" w:color="auto"/>
                <w:right w:val="none" w:sz="0" w:space="0" w:color="auto"/>
              </w:divBdr>
              <w:divsChild>
                <w:div w:id="1960405671">
                  <w:marLeft w:val="0"/>
                  <w:marRight w:val="0"/>
                  <w:marTop w:val="0"/>
                  <w:marBottom w:val="0"/>
                  <w:divBdr>
                    <w:top w:val="none" w:sz="0" w:space="0" w:color="auto"/>
                    <w:left w:val="none" w:sz="0" w:space="0" w:color="auto"/>
                    <w:bottom w:val="none" w:sz="0" w:space="0" w:color="auto"/>
                    <w:right w:val="single" w:sz="6" w:space="0" w:color="000000"/>
                  </w:divBdr>
                  <w:divsChild>
                    <w:div w:id="1713505530">
                      <w:marLeft w:val="0"/>
                      <w:marRight w:val="0"/>
                      <w:marTop w:val="0"/>
                      <w:marBottom w:val="0"/>
                      <w:divBdr>
                        <w:top w:val="none" w:sz="0" w:space="0" w:color="auto"/>
                        <w:left w:val="none" w:sz="0" w:space="0" w:color="auto"/>
                        <w:bottom w:val="none" w:sz="0" w:space="0" w:color="auto"/>
                        <w:right w:val="none" w:sz="0" w:space="0" w:color="auto"/>
                      </w:divBdr>
                      <w:divsChild>
                        <w:div w:id="213420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9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395236">
      <w:bodyDiv w:val="1"/>
      <w:marLeft w:val="0"/>
      <w:marRight w:val="0"/>
      <w:marTop w:val="0"/>
      <w:marBottom w:val="0"/>
      <w:divBdr>
        <w:top w:val="none" w:sz="0" w:space="0" w:color="auto"/>
        <w:left w:val="none" w:sz="0" w:space="0" w:color="auto"/>
        <w:bottom w:val="none" w:sz="0" w:space="0" w:color="auto"/>
        <w:right w:val="none" w:sz="0" w:space="0" w:color="auto"/>
      </w:divBdr>
    </w:div>
    <w:div w:id="912616694">
      <w:bodyDiv w:val="1"/>
      <w:marLeft w:val="0"/>
      <w:marRight w:val="0"/>
      <w:marTop w:val="0"/>
      <w:marBottom w:val="0"/>
      <w:divBdr>
        <w:top w:val="none" w:sz="0" w:space="0" w:color="auto"/>
        <w:left w:val="none" w:sz="0" w:space="0" w:color="auto"/>
        <w:bottom w:val="none" w:sz="0" w:space="0" w:color="auto"/>
        <w:right w:val="none" w:sz="0" w:space="0" w:color="auto"/>
      </w:divBdr>
    </w:div>
    <w:div w:id="913048314">
      <w:bodyDiv w:val="1"/>
      <w:marLeft w:val="0"/>
      <w:marRight w:val="0"/>
      <w:marTop w:val="0"/>
      <w:marBottom w:val="0"/>
      <w:divBdr>
        <w:top w:val="none" w:sz="0" w:space="0" w:color="auto"/>
        <w:left w:val="none" w:sz="0" w:space="0" w:color="auto"/>
        <w:bottom w:val="none" w:sz="0" w:space="0" w:color="auto"/>
        <w:right w:val="none" w:sz="0" w:space="0" w:color="auto"/>
      </w:divBdr>
      <w:divsChild>
        <w:div w:id="1289820473">
          <w:marLeft w:val="0"/>
          <w:marRight w:val="0"/>
          <w:marTop w:val="0"/>
          <w:marBottom w:val="0"/>
          <w:divBdr>
            <w:top w:val="none" w:sz="0" w:space="0" w:color="auto"/>
            <w:left w:val="none" w:sz="0" w:space="0" w:color="auto"/>
            <w:bottom w:val="none" w:sz="0" w:space="0" w:color="auto"/>
            <w:right w:val="none" w:sz="0" w:space="0" w:color="auto"/>
          </w:divBdr>
          <w:divsChild>
            <w:div w:id="16457011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13396670">
      <w:bodyDiv w:val="1"/>
      <w:marLeft w:val="0"/>
      <w:marRight w:val="0"/>
      <w:marTop w:val="0"/>
      <w:marBottom w:val="0"/>
      <w:divBdr>
        <w:top w:val="none" w:sz="0" w:space="0" w:color="auto"/>
        <w:left w:val="none" w:sz="0" w:space="0" w:color="auto"/>
        <w:bottom w:val="none" w:sz="0" w:space="0" w:color="auto"/>
        <w:right w:val="none" w:sz="0" w:space="0" w:color="auto"/>
      </w:divBdr>
      <w:divsChild>
        <w:div w:id="1747845155">
          <w:marLeft w:val="0"/>
          <w:marRight w:val="0"/>
          <w:marTop w:val="0"/>
          <w:marBottom w:val="0"/>
          <w:divBdr>
            <w:top w:val="none" w:sz="0" w:space="0" w:color="auto"/>
            <w:left w:val="none" w:sz="0" w:space="0" w:color="auto"/>
            <w:bottom w:val="none" w:sz="0" w:space="0" w:color="auto"/>
            <w:right w:val="none" w:sz="0" w:space="0" w:color="auto"/>
          </w:divBdr>
        </w:div>
      </w:divsChild>
    </w:div>
    <w:div w:id="913507775">
      <w:bodyDiv w:val="1"/>
      <w:marLeft w:val="0"/>
      <w:marRight w:val="0"/>
      <w:marTop w:val="0"/>
      <w:marBottom w:val="0"/>
      <w:divBdr>
        <w:top w:val="none" w:sz="0" w:space="0" w:color="auto"/>
        <w:left w:val="none" w:sz="0" w:space="0" w:color="auto"/>
        <w:bottom w:val="none" w:sz="0" w:space="0" w:color="auto"/>
        <w:right w:val="none" w:sz="0" w:space="0" w:color="auto"/>
      </w:divBdr>
      <w:divsChild>
        <w:div w:id="1485393810">
          <w:marLeft w:val="0"/>
          <w:marRight w:val="0"/>
          <w:marTop w:val="0"/>
          <w:marBottom w:val="0"/>
          <w:divBdr>
            <w:top w:val="none" w:sz="0" w:space="0" w:color="auto"/>
            <w:left w:val="none" w:sz="0" w:space="0" w:color="auto"/>
            <w:bottom w:val="none" w:sz="0" w:space="0" w:color="auto"/>
            <w:right w:val="none" w:sz="0" w:space="0" w:color="auto"/>
          </w:divBdr>
          <w:divsChild>
            <w:div w:id="2482783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13508417">
      <w:bodyDiv w:val="1"/>
      <w:marLeft w:val="0"/>
      <w:marRight w:val="0"/>
      <w:marTop w:val="0"/>
      <w:marBottom w:val="0"/>
      <w:divBdr>
        <w:top w:val="none" w:sz="0" w:space="0" w:color="auto"/>
        <w:left w:val="none" w:sz="0" w:space="0" w:color="auto"/>
        <w:bottom w:val="none" w:sz="0" w:space="0" w:color="auto"/>
        <w:right w:val="none" w:sz="0" w:space="0" w:color="auto"/>
      </w:divBdr>
      <w:divsChild>
        <w:div w:id="393049451">
          <w:marLeft w:val="0"/>
          <w:marRight w:val="0"/>
          <w:marTop w:val="0"/>
          <w:marBottom w:val="0"/>
          <w:divBdr>
            <w:top w:val="none" w:sz="0" w:space="0" w:color="auto"/>
            <w:left w:val="none" w:sz="0" w:space="0" w:color="auto"/>
            <w:bottom w:val="none" w:sz="0" w:space="0" w:color="auto"/>
            <w:right w:val="none" w:sz="0" w:space="0" w:color="auto"/>
          </w:divBdr>
        </w:div>
      </w:divsChild>
    </w:div>
    <w:div w:id="913779564">
      <w:bodyDiv w:val="1"/>
      <w:marLeft w:val="0"/>
      <w:marRight w:val="0"/>
      <w:marTop w:val="0"/>
      <w:marBottom w:val="0"/>
      <w:divBdr>
        <w:top w:val="none" w:sz="0" w:space="0" w:color="auto"/>
        <w:left w:val="none" w:sz="0" w:space="0" w:color="auto"/>
        <w:bottom w:val="none" w:sz="0" w:space="0" w:color="auto"/>
        <w:right w:val="none" w:sz="0" w:space="0" w:color="auto"/>
      </w:divBdr>
      <w:divsChild>
        <w:div w:id="279533445">
          <w:marLeft w:val="0"/>
          <w:marRight w:val="0"/>
          <w:marTop w:val="0"/>
          <w:marBottom w:val="0"/>
          <w:divBdr>
            <w:top w:val="none" w:sz="0" w:space="0" w:color="auto"/>
            <w:left w:val="none" w:sz="0" w:space="0" w:color="auto"/>
            <w:bottom w:val="none" w:sz="0" w:space="0" w:color="auto"/>
            <w:right w:val="none" w:sz="0" w:space="0" w:color="auto"/>
          </w:divBdr>
        </w:div>
      </w:divsChild>
    </w:div>
    <w:div w:id="914247833">
      <w:bodyDiv w:val="1"/>
      <w:marLeft w:val="0"/>
      <w:marRight w:val="0"/>
      <w:marTop w:val="0"/>
      <w:marBottom w:val="0"/>
      <w:divBdr>
        <w:top w:val="none" w:sz="0" w:space="0" w:color="auto"/>
        <w:left w:val="none" w:sz="0" w:space="0" w:color="auto"/>
        <w:bottom w:val="none" w:sz="0" w:space="0" w:color="auto"/>
        <w:right w:val="none" w:sz="0" w:space="0" w:color="auto"/>
      </w:divBdr>
      <w:divsChild>
        <w:div w:id="37358257">
          <w:marLeft w:val="0"/>
          <w:marRight w:val="0"/>
          <w:marTop w:val="0"/>
          <w:marBottom w:val="150"/>
          <w:divBdr>
            <w:top w:val="none" w:sz="0" w:space="0" w:color="auto"/>
            <w:left w:val="none" w:sz="0" w:space="0" w:color="auto"/>
            <w:bottom w:val="none" w:sz="0" w:space="0" w:color="auto"/>
            <w:right w:val="none" w:sz="0" w:space="0" w:color="auto"/>
          </w:divBdr>
        </w:div>
        <w:div w:id="1012491597">
          <w:marLeft w:val="0"/>
          <w:marRight w:val="0"/>
          <w:marTop w:val="0"/>
          <w:marBottom w:val="150"/>
          <w:divBdr>
            <w:top w:val="none" w:sz="0" w:space="0" w:color="auto"/>
            <w:left w:val="none" w:sz="0" w:space="0" w:color="auto"/>
            <w:bottom w:val="none" w:sz="0" w:space="0" w:color="auto"/>
            <w:right w:val="none" w:sz="0" w:space="0" w:color="auto"/>
          </w:divBdr>
        </w:div>
        <w:div w:id="1349453970">
          <w:marLeft w:val="0"/>
          <w:marRight w:val="0"/>
          <w:marTop w:val="0"/>
          <w:marBottom w:val="150"/>
          <w:divBdr>
            <w:top w:val="none" w:sz="0" w:space="0" w:color="auto"/>
            <w:left w:val="none" w:sz="0" w:space="0" w:color="auto"/>
            <w:bottom w:val="none" w:sz="0" w:space="0" w:color="auto"/>
            <w:right w:val="none" w:sz="0" w:space="0" w:color="auto"/>
          </w:divBdr>
        </w:div>
        <w:div w:id="1421098181">
          <w:marLeft w:val="0"/>
          <w:marRight w:val="0"/>
          <w:marTop w:val="0"/>
          <w:marBottom w:val="150"/>
          <w:divBdr>
            <w:top w:val="none" w:sz="0" w:space="0" w:color="auto"/>
            <w:left w:val="none" w:sz="0" w:space="0" w:color="auto"/>
            <w:bottom w:val="none" w:sz="0" w:space="0" w:color="auto"/>
            <w:right w:val="none" w:sz="0" w:space="0" w:color="auto"/>
          </w:divBdr>
        </w:div>
        <w:div w:id="1934168849">
          <w:marLeft w:val="0"/>
          <w:marRight w:val="0"/>
          <w:marTop w:val="0"/>
          <w:marBottom w:val="150"/>
          <w:divBdr>
            <w:top w:val="none" w:sz="0" w:space="0" w:color="auto"/>
            <w:left w:val="none" w:sz="0" w:space="0" w:color="auto"/>
            <w:bottom w:val="none" w:sz="0" w:space="0" w:color="auto"/>
            <w:right w:val="none" w:sz="0" w:space="0" w:color="auto"/>
          </w:divBdr>
        </w:div>
      </w:divsChild>
    </w:div>
    <w:div w:id="914970606">
      <w:bodyDiv w:val="1"/>
      <w:marLeft w:val="0"/>
      <w:marRight w:val="0"/>
      <w:marTop w:val="0"/>
      <w:marBottom w:val="0"/>
      <w:divBdr>
        <w:top w:val="none" w:sz="0" w:space="0" w:color="auto"/>
        <w:left w:val="none" w:sz="0" w:space="0" w:color="auto"/>
        <w:bottom w:val="none" w:sz="0" w:space="0" w:color="auto"/>
        <w:right w:val="none" w:sz="0" w:space="0" w:color="auto"/>
      </w:divBdr>
      <w:divsChild>
        <w:div w:id="1758211156">
          <w:marLeft w:val="0"/>
          <w:marRight w:val="0"/>
          <w:marTop w:val="0"/>
          <w:marBottom w:val="0"/>
          <w:divBdr>
            <w:top w:val="none" w:sz="0" w:space="0" w:color="auto"/>
            <w:left w:val="none" w:sz="0" w:space="0" w:color="auto"/>
            <w:bottom w:val="dotted" w:sz="6" w:space="4" w:color="DDDDDD"/>
            <w:right w:val="none" w:sz="0" w:space="0" w:color="auto"/>
          </w:divBdr>
        </w:div>
      </w:divsChild>
    </w:div>
    <w:div w:id="914972084">
      <w:bodyDiv w:val="1"/>
      <w:marLeft w:val="0"/>
      <w:marRight w:val="0"/>
      <w:marTop w:val="0"/>
      <w:marBottom w:val="0"/>
      <w:divBdr>
        <w:top w:val="none" w:sz="0" w:space="0" w:color="auto"/>
        <w:left w:val="none" w:sz="0" w:space="0" w:color="auto"/>
        <w:bottom w:val="none" w:sz="0" w:space="0" w:color="auto"/>
        <w:right w:val="none" w:sz="0" w:space="0" w:color="auto"/>
      </w:divBdr>
      <w:divsChild>
        <w:div w:id="1813937953">
          <w:marLeft w:val="0"/>
          <w:marRight w:val="0"/>
          <w:marTop w:val="0"/>
          <w:marBottom w:val="0"/>
          <w:divBdr>
            <w:top w:val="none" w:sz="0" w:space="0" w:color="auto"/>
            <w:left w:val="none" w:sz="0" w:space="0" w:color="auto"/>
            <w:bottom w:val="dotted" w:sz="6" w:space="4" w:color="DDDDDD"/>
            <w:right w:val="none" w:sz="0" w:space="0" w:color="auto"/>
          </w:divBdr>
          <w:divsChild>
            <w:div w:id="208360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11786">
      <w:bodyDiv w:val="1"/>
      <w:marLeft w:val="0"/>
      <w:marRight w:val="0"/>
      <w:marTop w:val="0"/>
      <w:marBottom w:val="0"/>
      <w:divBdr>
        <w:top w:val="none" w:sz="0" w:space="0" w:color="auto"/>
        <w:left w:val="none" w:sz="0" w:space="0" w:color="auto"/>
        <w:bottom w:val="none" w:sz="0" w:space="0" w:color="auto"/>
        <w:right w:val="none" w:sz="0" w:space="0" w:color="auto"/>
      </w:divBdr>
    </w:div>
    <w:div w:id="915549646">
      <w:bodyDiv w:val="1"/>
      <w:marLeft w:val="0"/>
      <w:marRight w:val="0"/>
      <w:marTop w:val="0"/>
      <w:marBottom w:val="0"/>
      <w:divBdr>
        <w:top w:val="none" w:sz="0" w:space="0" w:color="auto"/>
        <w:left w:val="none" w:sz="0" w:space="0" w:color="auto"/>
        <w:bottom w:val="none" w:sz="0" w:space="0" w:color="auto"/>
        <w:right w:val="none" w:sz="0" w:space="0" w:color="auto"/>
      </w:divBdr>
      <w:divsChild>
        <w:div w:id="1996253349">
          <w:marLeft w:val="0"/>
          <w:marRight w:val="0"/>
          <w:marTop w:val="0"/>
          <w:marBottom w:val="0"/>
          <w:divBdr>
            <w:top w:val="none" w:sz="0" w:space="0" w:color="auto"/>
            <w:left w:val="none" w:sz="0" w:space="0" w:color="auto"/>
            <w:bottom w:val="dotted" w:sz="6" w:space="4" w:color="DDDDDD"/>
            <w:right w:val="none" w:sz="0" w:space="0" w:color="auto"/>
          </w:divBdr>
          <w:divsChild>
            <w:div w:id="188660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523230">
      <w:bodyDiv w:val="1"/>
      <w:marLeft w:val="0"/>
      <w:marRight w:val="0"/>
      <w:marTop w:val="0"/>
      <w:marBottom w:val="0"/>
      <w:divBdr>
        <w:top w:val="none" w:sz="0" w:space="0" w:color="auto"/>
        <w:left w:val="none" w:sz="0" w:space="0" w:color="auto"/>
        <w:bottom w:val="none" w:sz="0" w:space="0" w:color="auto"/>
        <w:right w:val="none" w:sz="0" w:space="0" w:color="auto"/>
      </w:divBdr>
    </w:div>
    <w:div w:id="916674127">
      <w:bodyDiv w:val="1"/>
      <w:marLeft w:val="0"/>
      <w:marRight w:val="0"/>
      <w:marTop w:val="0"/>
      <w:marBottom w:val="0"/>
      <w:divBdr>
        <w:top w:val="none" w:sz="0" w:space="0" w:color="auto"/>
        <w:left w:val="none" w:sz="0" w:space="0" w:color="auto"/>
        <w:bottom w:val="none" w:sz="0" w:space="0" w:color="auto"/>
        <w:right w:val="none" w:sz="0" w:space="0" w:color="auto"/>
      </w:divBdr>
    </w:div>
    <w:div w:id="916985069">
      <w:bodyDiv w:val="1"/>
      <w:marLeft w:val="0"/>
      <w:marRight w:val="0"/>
      <w:marTop w:val="0"/>
      <w:marBottom w:val="0"/>
      <w:divBdr>
        <w:top w:val="none" w:sz="0" w:space="0" w:color="auto"/>
        <w:left w:val="none" w:sz="0" w:space="0" w:color="auto"/>
        <w:bottom w:val="none" w:sz="0" w:space="0" w:color="auto"/>
        <w:right w:val="none" w:sz="0" w:space="0" w:color="auto"/>
      </w:divBdr>
      <w:divsChild>
        <w:div w:id="338967614">
          <w:marLeft w:val="0"/>
          <w:marRight w:val="0"/>
          <w:marTop w:val="0"/>
          <w:marBottom w:val="0"/>
          <w:divBdr>
            <w:top w:val="none" w:sz="0" w:space="0" w:color="auto"/>
            <w:left w:val="none" w:sz="0" w:space="0" w:color="auto"/>
            <w:bottom w:val="none" w:sz="0" w:space="0" w:color="auto"/>
            <w:right w:val="none" w:sz="0" w:space="0" w:color="auto"/>
          </w:divBdr>
          <w:divsChild>
            <w:div w:id="189992501">
              <w:marLeft w:val="0"/>
              <w:marRight w:val="0"/>
              <w:marTop w:val="0"/>
              <w:marBottom w:val="0"/>
              <w:divBdr>
                <w:top w:val="none" w:sz="0" w:space="0" w:color="auto"/>
                <w:left w:val="none" w:sz="0" w:space="0" w:color="auto"/>
                <w:bottom w:val="none" w:sz="0" w:space="0" w:color="auto"/>
                <w:right w:val="none" w:sz="0" w:space="0" w:color="auto"/>
              </w:divBdr>
              <w:divsChild>
                <w:div w:id="1147741437">
                  <w:marLeft w:val="0"/>
                  <w:marRight w:val="0"/>
                  <w:marTop w:val="0"/>
                  <w:marBottom w:val="0"/>
                  <w:divBdr>
                    <w:top w:val="none" w:sz="0" w:space="0" w:color="auto"/>
                    <w:left w:val="none" w:sz="0" w:space="0" w:color="auto"/>
                    <w:bottom w:val="none" w:sz="0" w:space="0" w:color="auto"/>
                    <w:right w:val="none" w:sz="0" w:space="0" w:color="auto"/>
                  </w:divBdr>
                  <w:divsChild>
                    <w:div w:id="807667267">
                      <w:marLeft w:val="0"/>
                      <w:marRight w:val="0"/>
                      <w:marTop w:val="0"/>
                      <w:marBottom w:val="0"/>
                      <w:divBdr>
                        <w:top w:val="none" w:sz="0" w:space="0" w:color="auto"/>
                        <w:left w:val="none" w:sz="0" w:space="0" w:color="auto"/>
                        <w:bottom w:val="none" w:sz="0" w:space="0" w:color="auto"/>
                        <w:right w:val="none" w:sz="0" w:space="0" w:color="auto"/>
                      </w:divBdr>
                      <w:divsChild>
                        <w:div w:id="1942302568">
                          <w:marLeft w:val="0"/>
                          <w:marRight w:val="0"/>
                          <w:marTop w:val="0"/>
                          <w:marBottom w:val="0"/>
                          <w:divBdr>
                            <w:top w:val="none" w:sz="0" w:space="0" w:color="auto"/>
                            <w:left w:val="none" w:sz="0" w:space="0" w:color="auto"/>
                            <w:bottom w:val="none" w:sz="0" w:space="0" w:color="auto"/>
                            <w:right w:val="none" w:sz="0" w:space="0" w:color="auto"/>
                          </w:divBdr>
                          <w:divsChild>
                            <w:div w:id="749011324">
                              <w:marLeft w:val="0"/>
                              <w:marRight w:val="0"/>
                              <w:marTop w:val="0"/>
                              <w:marBottom w:val="0"/>
                              <w:divBdr>
                                <w:top w:val="none" w:sz="0" w:space="0" w:color="auto"/>
                                <w:left w:val="none" w:sz="0" w:space="0" w:color="auto"/>
                                <w:bottom w:val="none" w:sz="0" w:space="0" w:color="auto"/>
                                <w:right w:val="none" w:sz="0" w:space="0" w:color="auto"/>
                              </w:divBdr>
                              <w:divsChild>
                                <w:div w:id="209427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7859402">
      <w:bodyDiv w:val="1"/>
      <w:marLeft w:val="0"/>
      <w:marRight w:val="0"/>
      <w:marTop w:val="0"/>
      <w:marBottom w:val="0"/>
      <w:divBdr>
        <w:top w:val="none" w:sz="0" w:space="0" w:color="auto"/>
        <w:left w:val="none" w:sz="0" w:space="0" w:color="auto"/>
        <w:bottom w:val="none" w:sz="0" w:space="0" w:color="auto"/>
        <w:right w:val="none" w:sz="0" w:space="0" w:color="auto"/>
      </w:divBdr>
      <w:divsChild>
        <w:div w:id="2080520781">
          <w:marLeft w:val="0"/>
          <w:marRight w:val="0"/>
          <w:marTop w:val="0"/>
          <w:marBottom w:val="0"/>
          <w:divBdr>
            <w:top w:val="none" w:sz="0" w:space="0" w:color="auto"/>
            <w:left w:val="none" w:sz="0" w:space="0" w:color="auto"/>
            <w:bottom w:val="none" w:sz="0" w:space="0" w:color="auto"/>
            <w:right w:val="none" w:sz="0" w:space="0" w:color="auto"/>
          </w:divBdr>
        </w:div>
      </w:divsChild>
    </w:div>
    <w:div w:id="918369435">
      <w:bodyDiv w:val="1"/>
      <w:marLeft w:val="0"/>
      <w:marRight w:val="0"/>
      <w:marTop w:val="0"/>
      <w:marBottom w:val="0"/>
      <w:divBdr>
        <w:top w:val="none" w:sz="0" w:space="0" w:color="auto"/>
        <w:left w:val="none" w:sz="0" w:space="0" w:color="auto"/>
        <w:bottom w:val="none" w:sz="0" w:space="0" w:color="auto"/>
        <w:right w:val="none" w:sz="0" w:space="0" w:color="auto"/>
      </w:divBdr>
      <w:divsChild>
        <w:div w:id="1999532455">
          <w:marLeft w:val="0"/>
          <w:marRight w:val="0"/>
          <w:marTop w:val="0"/>
          <w:marBottom w:val="0"/>
          <w:divBdr>
            <w:top w:val="none" w:sz="0" w:space="0" w:color="auto"/>
            <w:left w:val="none" w:sz="0" w:space="0" w:color="auto"/>
            <w:bottom w:val="dotted" w:sz="6" w:space="4" w:color="DDDDDD"/>
            <w:right w:val="none" w:sz="0" w:space="0" w:color="auto"/>
          </w:divBdr>
        </w:div>
      </w:divsChild>
    </w:div>
    <w:div w:id="918445396">
      <w:bodyDiv w:val="1"/>
      <w:marLeft w:val="0"/>
      <w:marRight w:val="0"/>
      <w:marTop w:val="0"/>
      <w:marBottom w:val="0"/>
      <w:divBdr>
        <w:top w:val="none" w:sz="0" w:space="0" w:color="auto"/>
        <w:left w:val="none" w:sz="0" w:space="0" w:color="auto"/>
        <w:bottom w:val="none" w:sz="0" w:space="0" w:color="auto"/>
        <w:right w:val="none" w:sz="0" w:space="0" w:color="auto"/>
      </w:divBdr>
      <w:divsChild>
        <w:div w:id="63338472">
          <w:marLeft w:val="0"/>
          <w:marRight w:val="0"/>
          <w:marTop w:val="0"/>
          <w:marBottom w:val="225"/>
          <w:divBdr>
            <w:top w:val="none" w:sz="0" w:space="0" w:color="auto"/>
            <w:left w:val="none" w:sz="0" w:space="0" w:color="auto"/>
            <w:bottom w:val="none" w:sz="0" w:space="0" w:color="auto"/>
            <w:right w:val="none" w:sz="0" w:space="0" w:color="auto"/>
          </w:divBdr>
        </w:div>
        <w:div w:id="1504974988">
          <w:marLeft w:val="0"/>
          <w:marRight w:val="0"/>
          <w:marTop w:val="0"/>
          <w:marBottom w:val="225"/>
          <w:divBdr>
            <w:top w:val="none" w:sz="0" w:space="0" w:color="auto"/>
            <w:left w:val="none" w:sz="0" w:space="0" w:color="auto"/>
            <w:bottom w:val="none" w:sz="0" w:space="0" w:color="auto"/>
            <w:right w:val="none" w:sz="0" w:space="0" w:color="auto"/>
          </w:divBdr>
          <w:divsChild>
            <w:div w:id="102413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758463">
      <w:bodyDiv w:val="1"/>
      <w:marLeft w:val="0"/>
      <w:marRight w:val="0"/>
      <w:marTop w:val="0"/>
      <w:marBottom w:val="0"/>
      <w:divBdr>
        <w:top w:val="none" w:sz="0" w:space="0" w:color="auto"/>
        <w:left w:val="none" w:sz="0" w:space="0" w:color="auto"/>
        <w:bottom w:val="none" w:sz="0" w:space="0" w:color="auto"/>
        <w:right w:val="none" w:sz="0" w:space="0" w:color="auto"/>
      </w:divBdr>
      <w:divsChild>
        <w:div w:id="43721178">
          <w:marLeft w:val="0"/>
          <w:marRight w:val="0"/>
          <w:marTop w:val="0"/>
          <w:marBottom w:val="0"/>
          <w:divBdr>
            <w:top w:val="none" w:sz="0" w:space="0" w:color="auto"/>
            <w:left w:val="none" w:sz="0" w:space="0" w:color="auto"/>
            <w:bottom w:val="dotted" w:sz="6" w:space="4" w:color="DDDDDD"/>
            <w:right w:val="none" w:sz="0" w:space="0" w:color="auto"/>
          </w:divBdr>
          <w:divsChild>
            <w:div w:id="3087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170966">
      <w:bodyDiv w:val="1"/>
      <w:marLeft w:val="0"/>
      <w:marRight w:val="0"/>
      <w:marTop w:val="0"/>
      <w:marBottom w:val="0"/>
      <w:divBdr>
        <w:top w:val="none" w:sz="0" w:space="0" w:color="auto"/>
        <w:left w:val="none" w:sz="0" w:space="0" w:color="auto"/>
        <w:bottom w:val="none" w:sz="0" w:space="0" w:color="auto"/>
        <w:right w:val="none" w:sz="0" w:space="0" w:color="auto"/>
      </w:divBdr>
    </w:div>
    <w:div w:id="919217276">
      <w:bodyDiv w:val="1"/>
      <w:marLeft w:val="0"/>
      <w:marRight w:val="0"/>
      <w:marTop w:val="0"/>
      <w:marBottom w:val="0"/>
      <w:divBdr>
        <w:top w:val="none" w:sz="0" w:space="0" w:color="auto"/>
        <w:left w:val="none" w:sz="0" w:space="0" w:color="auto"/>
        <w:bottom w:val="none" w:sz="0" w:space="0" w:color="auto"/>
        <w:right w:val="none" w:sz="0" w:space="0" w:color="auto"/>
      </w:divBdr>
      <w:divsChild>
        <w:div w:id="1133133453">
          <w:marLeft w:val="0"/>
          <w:marRight w:val="0"/>
          <w:marTop w:val="0"/>
          <w:marBottom w:val="0"/>
          <w:divBdr>
            <w:top w:val="none" w:sz="0" w:space="0" w:color="auto"/>
            <w:left w:val="none" w:sz="0" w:space="0" w:color="auto"/>
            <w:bottom w:val="dotted" w:sz="6" w:space="4" w:color="DDDDDD"/>
            <w:right w:val="none" w:sz="0" w:space="0" w:color="auto"/>
          </w:divBdr>
        </w:div>
      </w:divsChild>
    </w:div>
    <w:div w:id="919406655">
      <w:bodyDiv w:val="1"/>
      <w:marLeft w:val="0"/>
      <w:marRight w:val="0"/>
      <w:marTop w:val="0"/>
      <w:marBottom w:val="0"/>
      <w:divBdr>
        <w:top w:val="none" w:sz="0" w:space="0" w:color="auto"/>
        <w:left w:val="none" w:sz="0" w:space="0" w:color="auto"/>
        <w:bottom w:val="none" w:sz="0" w:space="0" w:color="auto"/>
        <w:right w:val="none" w:sz="0" w:space="0" w:color="auto"/>
      </w:divBdr>
      <w:divsChild>
        <w:div w:id="1690981493">
          <w:marLeft w:val="0"/>
          <w:marRight w:val="0"/>
          <w:marTop w:val="0"/>
          <w:marBottom w:val="0"/>
          <w:divBdr>
            <w:top w:val="none" w:sz="0" w:space="0" w:color="auto"/>
            <w:left w:val="none" w:sz="0" w:space="0" w:color="auto"/>
            <w:bottom w:val="none" w:sz="0" w:space="0" w:color="auto"/>
            <w:right w:val="none" w:sz="0" w:space="0" w:color="auto"/>
          </w:divBdr>
          <w:divsChild>
            <w:div w:id="208035235">
              <w:marLeft w:val="0"/>
              <w:marRight w:val="0"/>
              <w:marTop w:val="0"/>
              <w:marBottom w:val="0"/>
              <w:divBdr>
                <w:top w:val="none" w:sz="0" w:space="0" w:color="auto"/>
                <w:left w:val="none" w:sz="0" w:space="0" w:color="auto"/>
                <w:bottom w:val="none" w:sz="0" w:space="0" w:color="auto"/>
                <w:right w:val="none" w:sz="0" w:space="0" w:color="auto"/>
              </w:divBdr>
              <w:divsChild>
                <w:div w:id="45305401">
                  <w:marLeft w:val="0"/>
                  <w:marRight w:val="0"/>
                  <w:marTop w:val="0"/>
                  <w:marBottom w:val="150"/>
                  <w:divBdr>
                    <w:top w:val="none" w:sz="0" w:space="0" w:color="auto"/>
                    <w:left w:val="none" w:sz="0" w:space="0" w:color="auto"/>
                    <w:bottom w:val="none" w:sz="0" w:space="0" w:color="auto"/>
                    <w:right w:val="none" w:sz="0" w:space="0" w:color="auto"/>
                  </w:divBdr>
                  <w:divsChild>
                    <w:div w:id="1671524326">
                      <w:marLeft w:val="0"/>
                      <w:marRight w:val="0"/>
                      <w:marTop w:val="0"/>
                      <w:marBottom w:val="0"/>
                      <w:divBdr>
                        <w:top w:val="none" w:sz="0" w:space="0" w:color="auto"/>
                        <w:left w:val="none" w:sz="0" w:space="0" w:color="auto"/>
                        <w:bottom w:val="none" w:sz="0" w:space="0" w:color="auto"/>
                        <w:right w:val="none" w:sz="0" w:space="0" w:color="auto"/>
                      </w:divBdr>
                      <w:divsChild>
                        <w:div w:id="1024863988">
                          <w:marLeft w:val="0"/>
                          <w:marRight w:val="0"/>
                          <w:marTop w:val="0"/>
                          <w:marBottom w:val="0"/>
                          <w:divBdr>
                            <w:top w:val="none" w:sz="0" w:space="0" w:color="auto"/>
                            <w:left w:val="none" w:sz="0" w:space="0" w:color="auto"/>
                            <w:bottom w:val="none" w:sz="0" w:space="0" w:color="auto"/>
                            <w:right w:val="none" w:sz="0" w:space="0" w:color="auto"/>
                          </w:divBdr>
                          <w:divsChild>
                            <w:div w:id="94520153">
                              <w:marLeft w:val="0"/>
                              <w:marRight w:val="0"/>
                              <w:marTop w:val="0"/>
                              <w:marBottom w:val="0"/>
                              <w:divBdr>
                                <w:top w:val="none" w:sz="0" w:space="0" w:color="auto"/>
                                <w:left w:val="none" w:sz="0" w:space="0" w:color="auto"/>
                                <w:bottom w:val="none" w:sz="0" w:space="0" w:color="auto"/>
                                <w:right w:val="none" w:sz="0" w:space="0" w:color="auto"/>
                              </w:divBdr>
                              <w:divsChild>
                                <w:div w:id="1507017209">
                                  <w:marLeft w:val="0"/>
                                  <w:marRight w:val="0"/>
                                  <w:marTop w:val="0"/>
                                  <w:marBottom w:val="0"/>
                                  <w:divBdr>
                                    <w:top w:val="none" w:sz="0" w:space="0" w:color="auto"/>
                                    <w:left w:val="none" w:sz="0" w:space="0" w:color="auto"/>
                                    <w:bottom w:val="none" w:sz="0" w:space="0" w:color="auto"/>
                                    <w:right w:val="none" w:sz="0" w:space="0" w:color="auto"/>
                                  </w:divBdr>
                                  <w:divsChild>
                                    <w:div w:id="1805997748">
                                      <w:marLeft w:val="0"/>
                                      <w:marRight w:val="0"/>
                                      <w:marTop w:val="0"/>
                                      <w:marBottom w:val="0"/>
                                      <w:divBdr>
                                        <w:top w:val="none" w:sz="0" w:space="0" w:color="auto"/>
                                        <w:left w:val="none" w:sz="0" w:space="0" w:color="auto"/>
                                        <w:bottom w:val="none" w:sz="0" w:space="0" w:color="auto"/>
                                        <w:right w:val="none" w:sz="0" w:space="0" w:color="auto"/>
                                      </w:divBdr>
                                      <w:divsChild>
                                        <w:div w:id="1416396221">
                                          <w:marLeft w:val="0"/>
                                          <w:marRight w:val="0"/>
                                          <w:marTop w:val="0"/>
                                          <w:marBottom w:val="0"/>
                                          <w:divBdr>
                                            <w:top w:val="none" w:sz="0" w:space="0" w:color="auto"/>
                                            <w:left w:val="none" w:sz="0" w:space="0" w:color="auto"/>
                                            <w:bottom w:val="none" w:sz="0" w:space="0" w:color="auto"/>
                                            <w:right w:val="none" w:sz="0" w:space="0" w:color="auto"/>
                                          </w:divBdr>
                                          <w:divsChild>
                                            <w:div w:id="1876234567">
                                              <w:marLeft w:val="0"/>
                                              <w:marRight w:val="0"/>
                                              <w:marTop w:val="0"/>
                                              <w:marBottom w:val="0"/>
                                              <w:divBdr>
                                                <w:top w:val="none" w:sz="0" w:space="0" w:color="auto"/>
                                                <w:left w:val="none" w:sz="0" w:space="0" w:color="auto"/>
                                                <w:bottom w:val="none" w:sz="0" w:space="0" w:color="auto"/>
                                                <w:right w:val="none" w:sz="0" w:space="0" w:color="auto"/>
                                              </w:divBdr>
                                              <w:divsChild>
                                                <w:div w:id="213327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9412138">
      <w:bodyDiv w:val="1"/>
      <w:marLeft w:val="0"/>
      <w:marRight w:val="0"/>
      <w:marTop w:val="0"/>
      <w:marBottom w:val="0"/>
      <w:divBdr>
        <w:top w:val="none" w:sz="0" w:space="0" w:color="auto"/>
        <w:left w:val="none" w:sz="0" w:space="0" w:color="auto"/>
        <w:bottom w:val="none" w:sz="0" w:space="0" w:color="auto"/>
        <w:right w:val="none" w:sz="0" w:space="0" w:color="auto"/>
      </w:divBdr>
    </w:div>
    <w:div w:id="919872945">
      <w:bodyDiv w:val="1"/>
      <w:marLeft w:val="0"/>
      <w:marRight w:val="0"/>
      <w:marTop w:val="0"/>
      <w:marBottom w:val="0"/>
      <w:divBdr>
        <w:top w:val="none" w:sz="0" w:space="0" w:color="auto"/>
        <w:left w:val="none" w:sz="0" w:space="0" w:color="auto"/>
        <w:bottom w:val="none" w:sz="0" w:space="0" w:color="auto"/>
        <w:right w:val="none" w:sz="0" w:space="0" w:color="auto"/>
      </w:divBdr>
      <w:divsChild>
        <w:div w:id="1022897316">
          <w:marLeft w:val="0"/>
          <w:marRight w:val="0"/>
          <w:marTop w:val="0"/>
          <w:marBottom w:val="0"/>
          <w:divBdr>
            <w:top w:val="none" w:sz="0" w:space="0" w:color="auto"/>
            <w:left w:val="none" w:sz="0" w:space="0" w:color="auto"/>
            <w:bottom w:val="none" w:sz="0" w:space="0" w:color="auto"/>
            <w:right w:val="none" w:sz="0" w:space="0" w:color="auto"/>
          </w:divBdr>
          <w:divsChild>
            <w:div w:id="18626282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20329391">
      <w:bodyDiv w:val="1"/>
      <w:marLeft w:val="0"/>
      <w:marRight w:val="0"/>
      <w:marTop w:val="0"/>
      <w:marBottom w:val="0"/>
      <w:divBdr>
        <w:top w:val="none" w:sz="0" w:space="0" w:color="auto"/>
        <w:left w:val="none" w:sz="0" w:space="0" w:color="auto"/>
        <w:bottom w:val="none" w:sz="0" w:space="0" w:color="auto"/>
        <w:right w:val="none" w:sz="0" w:space="0" w:color="auto"/>
      </w:divBdr>
    </w:div>
    <w:div w:id="920602256">
      <w:bodyDiv w:val="1"/>
      <w:marLeft w:val="0"/>
      <w:marRight w:val="0"/>
      <w:marTop w:val="0"/>
      <w:marBottom w:val="0"/>
      <w:divBdr>
        <w:top w:val="none" w:sz="0" w:space="0" w:color="auto"/>
        <w:left w:val="none" w:sz="0" w:space="0" w:color="auto"/>
        <w:bottom w:val="none" w:sz="0" w:space="0" w:color="auto"/>
        <w:right w:val="none" w:sz="0" w:space="0" w:color="auto"/>
      </w:divBdr>
      <w:divsChild>
        <w:div w:id="2048292977">
          <w:marLeft w:val="0"/>
          <w:marRight w:val="0"/>
          <w:marTop w:val="0"/>
          <w:marBottom w:val="150"/>
          <w:divBdr>
            <w:top w:val="none" w:sz="0" w:space="0" w:color="auto"/>
            <w:left w:val="none" w:sz="0" w:space="0" w:color="auto"/>
            <w:bottom w:val="none" w:sz="0" w:space="0" w:color="auto"/>
            <w:right w:val="none" w:sz="0" w:space="0" w:color="auto"/>
          </w:divBdr>
        </w:div>
      </w:divsChild>
    </w:div>
    <w:div w:id="921334716">
      <w:bodyDiv w:val="1"/>
      <w:marLeft w:val="0"/>
      <w:marRight w:val="0"/>
      <w:marTop w:val="0"/>
      <w:marBottom w:val="0"/>
      <w:divBdr>
        <w:top w:val="none" w:sz="0" w:space="0" w:color="auto"/>
        <w:left w:val="none" w:sz="0" w:space="0" w:color="auto"/>
        <w:bottom w:val="none" w:sz="0" w:space="0" w:color="auto"/>
        <w:right w:val="none" w:sz="0" w:space="0" w:color="auto"/>
      </w:divBdr>
      <w:divsChild>
        <w:div w:id="264925003">
          <w:marLeft w:val="0"/>
          <w:marRight w:val="0"/>
          <w:marTop w:val="0"/>
          <w:marBottom w:val="0"/>
          <w:divBdr>
            <w:top w:val="none" w:sz="0" w:space="0" w:color="auto"/>
            <w:left w:val="none" w:sz="0" w:space="0" w:color="auto"/>
            <w:bottom w:val="none" w:sz="0" w:space="0" w:color="auto"/>
            <w:right w:val="none" w:sz="0" w:space="0" w:color="auto"/>
          </w:divBdr>
          <w:divsChild>
            <w:div w:id="552235844">
              <w:marLeft w:val="0"/>
              <w:marRight w:val="0"/>
              <w:marTop w:val="0"/>
              <w:marBottom w:val="0"/>
              <w:divBdr>
                <w:top w:val="none" w:sz="0" w:space="0" w:color="auto"/>
                <w:left w:val="none" w:sz="0" w:space="0" w:color="auto"/>
                <w:bottom w:val="none" w:sz="0" w:space="0" w:color="auto"/>
                <w:right w:val="none" w:sz="0" w:space="0" w:color="auto"/>
              </w:divBdr>
              <w:divsChild>
                <w:div w:id="499198723">
                  <w:marLeft w:val="0"/>
                  <w:marRight w:val="0"/>
                  <w:marTop w:val="0"/>
                  <w:marBottom w:val="0"/>
                  <w:divBdr>
                    <w:top w:val="none" w:sz="0" w:space="0" w:color="auto"/>
                    <w:left w:val="none" w:sz="0" w:space="0" w:color="auto"/>
                    <w:bottom w:val="none" w:sz="0" w:space="0" w:color="auto"/>
                    <w:right w:val="none" w:sz="0" w:space="0" w:color="auto"/>
                  </w:divBdr>
                  <w:divsChild>
                    <w:div w:id="134758592">
                      <w:marLeft w:val="0"/>
                      <w:marRight w:val="0"/>
                      <w:marTop w:val="0"/>
                      <w:marBottom w:val="0"/>
                      <w:divBdr>
                        <w:top w:val="none" w:sz="0" w:space="0" w:color="auto"/>
                        <w:left w:val="none" w:sz="0" w:space="0" w:color="auto"/>
                        <w:bottom w:val="none" w:sz="0" w:space="0" w:color="auto"/>
                        <w:right w:val="none" w:sz="0" w:space="0" w:color="auto"/>
                      </w:divBdr>
                      <w:divsChild>
                        <w:div w:id="1714037489">
                          <w:marLeft w:val="0"/>
                          <w:marRight w:val="0"/>
                          <w:marTop w:val="0"/>
                          <w:marBottom w:val="0"/>
                          <w:divBdr>
                            <w:top w:val="none" w:sz="0" w:space="0" w:color="auto"/>
                            <w:left w:val="none" w:sz="0" w:space="0" w:color="auto"/>
                            <w:bottom w:val="none" w:sz="0" w:space="0" w:color="auto"/>
                            <w:right w:val="none" w:sz="0" w:space="0" w:color="auto"/>
                          </w:divBdr>
                          <w:divsChild>
                            <w:div w:id="190317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14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764693">
              <w:marLeft w:val="0"/>
              <w:marRight w:val="0"/>
              <w:marTop w:val="0"/>
              <w:marBottom w:val="0"/>
              <w:divBdr>
                <w:top w:val="none" w:sz="0" w:space="0" w:color="auto"/>
                <w:left w:val="none" w:sz="0" w:space="0" w:color="auto"/>
                <w:bottom w:val="none" w:sz="0" w:space="0" w:color="auto"/>
                <w:right w:val="none" w:sz="0" w:space="0" w:color="auto"/>
              </w:divBdr>
            </w:div>
            <w:div w:id="1353535917">
              <w:marLeft w:val="0"/>
              <w:marRight w:val="0"/>
              <w:marTop w:val="0"/>
              <w:marBottom w:val="0"/>
              <w:divBdr>
                <w:top w:val="none" w:sz="0" w:space="0" w:color="auto"/>
                <w:left w:val="none" w:sz="0" w:space="0" w:color="auto"/>
                <w:bottom w:val="none" w:sz="0" w:space="0" w:color="auto"/>
                <w:right w:val="none" w:sz="0" w:space="0" w:color="auto"/>
              </w:divBdr>
            </w:div>
          </w:divsChild>
        </w:div>
        <w:div w:id="1746949524">
          <w:marLeft w:val="0"/>
          <w:marRight w:val="0"/>
          <w:marTop w:val="150"/>
          <w:marBottom w:val="0"/>
          <w:divBdr>
            <w:top w:val="none" w:sz="0" w:space="0" w:color="auto"/>
            <w:left w:val="none" w:sz="0" w:space="0" w:color="auto"/>
            <w:bottom w:val="none" w:sz="0" w:space="0" w:color="auto"/>
            <w:right w:val="none" w:sz="0" w:space="0" w:color="auto"/>
          </w:divBdr>
          <w:divsChild>
            <w:div w:id="1650938655">
              <w:marLeft w:val="0"/>
              <w:marRight w:val="0"/>
              <w:marTop w:val="0"/>
              <w:marBottom w:val="0"/>
              <w:divBdr>
                <w:top w:val="none" w:sz="0" w:space="0" w:color="auto"/>
                <w:left w:val="none" w:sz="0" w:space="0" w:color="auto"/>
                <w:bottom w:val="none" w:sz="0" w:space="0" w:color="auto"/>
                <w:right w:val="none" w:sz="0" w:space="0" w:color="auto"/>
              </w:divBdr>
              <w:divsChild>
                <w:div w:id="110919835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454213">
      <w:bodyDiv w:val="1"/>
      <w:marLeft w:val="0"/>
      <w:marRight w:val="0"/>
      <w:marTop w:val="0"/>
      <w:marBottom w:val="0"/>
      <w:divBdr>
        <w:top w:val="none" w:sz="0" w:space="0" w:color="auto"/>
        <w:left w:val="none" w:sz="0" w:space="0" w:color="auto"/>
        <w:bottom w:val="none" w:sz="0" w:space="0" w:color="auto"/>
        <w:right w:val="none" w:sz="0" w:space="0" w:color="auto"/>
      </w:divBdr>
      <w:divsChild>
        <w:div w:id="1224485522">
          <w:marLeft w:val="0"/>
          <w:marRight w:val="0"/>
          <w:marTop w:val="0"/>
          <w:marBottom w:val="0"/>
          <w:divBdr>
            <w:top w:val="none" w:sz="0" w:space="0" w:color="auto"/>
            <w:left w:val="none" w:sz="0" w:space="0" w:color="auto"/>
            <w:bottom w:val="dotted" w:sz="6" w:space="4" w:color="DDDDDD"/>
            <w:right w:val="none" w:sz="0" w:space="0" w:color="auto"/>
          </w:divBdr>
          <w:divsChild>
            <w:div w:id="86070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639953">
      <w:bodyDiv w:val="1"/>
      <w:marLeft w:val="0"/>
      <w:marRight w:val="0"/>
      <w:marTop w:val="0"/>
      <w:marBottom w:val="0"/>
      <w:divBdr>
        <w:top w:val="none" w:sz="0" w:space="0" w:color="auto"/>
        <w:left w:val="none" w:sz="0" w:space="0" w:color="auto"/>
        <w:bottom w:val="none" w:sz="0" w:space="0" w:color="auto"/>
        <w:right w:val="none" w:sz="0" w:space="0" w:color="auto"/>
      </w:divBdr>
      <w:divsChild>
        <w:div w:id="1740400432">
          <w:marLeft w:val="0"/>
          <w:marRight w:val="0"/>
          <w:marTop w:val="0"/>
          <w:marBottom w:val="0"/>
          <w:divBdr>
            <w:top w:val="none" w:sz="0" w:space="0" w:color="auto"/>
            <w:left w:val="none" w:sz="0" w:space="0" w:color="auto"/>
            <w:bottom w:val="dotted" w:sz="6" w:space="4" w:color="DDDDDD"/>
            <w:right w:val="none" w:sz="0" w:space="0" w:color="auto"/>
          </w:divBdr>
          <w:divsChild>
            <w:div w:id="207573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419813">
      <w:bodyDiv w:val="1"/>
      <w:marLeft w:val="0"/>
      <w:marRight w:val="0"/>
      <w:marTop w:val="0"/>
      <w:marBottom w:val="0"/>
      <w:divBdr>
        <w:top w:val="none" w:sz="0" w:space="0" w:color="auto"/>
        <w:left w:val="none" w:sz="0" w:space="0" w:color="auto"/>
        <w:bottom w:val="none" w:sz="0" w:space="0" w:color="auto"/>
        <w:right w:val="none" w:sz="0" w:space="0" w:color="auto"/>
      </w:divBdr>
      <w:divsChild>
        <w:div w:id="1763060844">
          <w:marLeft w:val="0"/>
          <w:marRight w:val="0"/>
          <w:marTop w:val="0"/>
          <w:marBottom w:val="450"/>
          <w:divBdr>
            <w:top w:val="none" w:sz="0" w:space="0" w:color="auto"/>
            <w:left w:val="none" w:sz="0" w:space="0" w:color="auto"/>
            <w:bottom w:val="none" w:sz="0" w:space="0" w:color="auto"/>
            <w:right w:val="none" w:sz="0" w:space="0" w:color="auto"/>
          </w:divBdr>
        </w:div>
        <w:div w:id="2034183154">
          <w:marLeft w:val="0"/>
          <w:marRight w:val="0"/>
          <w:marTop w:val="0"/>
          <w:marBottom w:val="450"/>
          <w:divBdr>
            <w:top w:val="none" w:sz="0" w:space="0" w:color="auto"/>
            <w:left w:val="none" w:sz="0" w:space="0" w:color="auto"/>
            <w:bottom w:val="none" w:sz="0" w:space="0" w:color="auto"/>
            <w:right w:val="none" w:sz="0" w:space="0" w:color="auto"/>
          </w:divBdr>
          <w:divsChild>
            <w:div w:id="1721201842">
              <w:marLeft w:val="0"/>
              <w:marRight w:val="0"/>
              <w:marTop w:val="0"/>
              <w:marBottom w:val="0"/>
              <w:divBdr>
                <w:top w:val="none" w:sz="0" w:space="0" w:color="auto"/>
                <w:left w:val="none" w:sz="0" w:space="0" w:color="auto"/>
                <w:bottom w:val="none" w:sz="0" w:space="0" w:color="auto"/>
                <w:right w:val="none" w:sz="0" w:space="0" w:color="auto"/>
              </w:divBdr>
              <w:divsChild>
                <w:div w:id="369885517">
                  <w:marLeft w:val="0"/>
                  <w:marRight w:val="0"/>
                  <w:marTop w:val="0"/>
                  <w:marBottom w:val="0"/>
                  <w:divBdr>
                    <w:top w:val="none" w:sz="0" w:space="0" w:color="auto"/>
                    <w:left w:val="none" w:sz="0" w:space="0" w:color="auto"/>
                    <w:bottom w:val="none" w:sz="0" w:space="0" w:color="auto"/>
                    <w:right w:val="none" w:sz="0" w:space="0" w:color="auto"/>
                  </w:divBdr>
                  <w:divsChild>
                    <w:div w:id="147548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491102">
      <w:bodyDiv w:val="1"/>
      <w:marLeft w:val="0"/>
      <w:marRight w:val="0"/>
      <w:marTop w:val="0"/>
      <w:marBottom w:val="0"/>
      <w:divBdr>
        <w:top w:val="none" w:sz="0" w:space="0" w:color="auto"/>
        <w:left w:val="none" w:sz="0" w:space="0" w:color="auto"/>
        <w:bottom w:val="none" w:sz="0" w:space="0" w:color="auto"/>
        <w:right w:val="none" w:sz="0" w:space="0" w:color="auto"/>
      </w:divBdr>
      <w:divsChild>
        <w:div w:id="61147101">
          <w:marLeft w:val="0"/>
          <w:marRight w:val="0"/>
          <w:marTop w:val="0"/>
          <w:marBottom w:val="0"/>
          <w:divBdr>
            <w:top w:val="none" w:sz="0" w:space="0" w:color="auto"/>
            <w:left w:val="none" w:sz="0" w:space="0" w:color="auto"/>
            <w:bottom w:val="none" w:sz="0" w:space="0" w:color="auto"/>
            <w:right w:val="none" w:sz="0" w:space="0" w:color="auto"/>
          </w:divBdr>
          <w:divsChild>
            <w:div w:id="1493524777">
              <w:marLeft w:val="0"/>
              <w:marRight w:val="0"/>
              <w:marTop w:val="0"/>
              <w:marBottom w:val="0"/>
              <w:divBdr>
                <w:top w:val="none" w:sz="0" w:space="0" w:color="auto"/>
                <w:left w:val="none" w:sz="0" w:space="0" w:color="auto"/>
                <w:bottom w:val="none" w:sz="0" w:space="0" w:color="auto"/>
                <w:right w:val="none" w:sz="0" w:space="0" w:color="auto"/>
              </w:divBdr>
            </w:div>
          </w:divsChild>
        </w:div>
        <w:div w:id="172182371">
          <w:marLeft w:val="0"/>
          <w:marRight w:val="0"/>
          <w:marTop w:val="0"/>
          <w:marBottom w:val="150"/>
          <w:divBdr>
            <w:top w:val="none" w:sz="0" w:space="0" w:color="auto"/>
            <w:left w:val="none" w:sz="0" w:space="0" w:color="auto"/>
            <w:bottom w:val="none" w:sz="0" w:space="0" w:color="auto"/>
            <w:right w:val="none" w:sz="0" w:space="0" w:color="auto"/>
          </w:divBdr>
          <w:divsChild>
            <w:div w:id="461769989">
              <w:marLeft w:val="0"/>
              <w:marRight w:val="0"/>
              <w:marTop w:val="0"/>
              <w:marBottom w:val="0"/>
              <w:divBdr>
                <w:top w:val="none" w:sz="0" w:space="0" w:color="auto"/>
                <w:left w:val="none" w:sz="0" w:space="0" w:color="auto"/>
                <w:bottom w:val="none" w:sz="0" w:space="0" w:color="auto"/>
                <w:right w:val="none" w:sz="0" w:space="0" w:color="auto"/>
              </w:divBdr>
            </w:div>
          </w:divsChild>
        </w:div>
        <w:div w:id="825173904">
          <w:marLeft w:val="0"/>
          <w:marRight w:val="0"/>
          <w:marTop w:val="0"/>
          <w:marBottom w:val="150"/>
          <w:divBdr>
            <w:top w:val="none" w:sz="0" w:space="0" w:color="auto"/>
            <w:left w:val="none" w:sz="0" w:space="0" w:color="auto"/>
            <w:bottom w:val="none" w:sz="0" w:space="0" w:color="auto"/>
            <w:right w:val="none" w:sz="0" w:space="0" w:color="auto"/>
          </w:divBdr>
        </w:div>
      </w:divsChild>
    </w:div>
    <w:div w:id="922497769">
      <w:bodyDiv w:val="1"/>
      <w:marLeft w:val="0"/>
      <w:marRight w:val="0"/>
      <w:marTop w:val="0"/>
      <w:marBottom w:val="0"/>
      <w:divBdr>
        <w:top w:val="none" w:sz="0" w:space="0" w:color="auto"/>
        <w:left w:val="none" w:sz="0" w:space="0" w:color="auto"/>
        <w:bottom w:val="none" w:sz="0" w:space="0" w:color="auto"/>
        <w:right w:val="none" w:sz="0" w:space="0" w:color="auto"/>
      </w:divBdr>
      <w:divsChild>
        <w:div w:id="701711256">
          <w:marLeft w:val="0"/>
          <w:marRight w:val="0"/>
          <w:marTop w:val="0"/>
          <w:marBottom w:val="0"/>
          <w:divBdr>
            <w:top w:val="none" w:sz="0" w:space="0" w:color="auto"/>
            <w:left w:val="none" w:sz="0" w:space="0" w:color="auto"/>
            <w:bottom w:val="none" w:sz="0" w:space="0" w:color="auto"/>
            <w:right w:val="none" w:sz="0" w:space="0" w:color="auto"/>
          </w:divBdr>
          <w:divsChild>
            <w:div w:id="177432214">
              <w:marLeft w:val="0"/>
              <w:marRight w:val="0"/>
              <w:marTop w:val="0"/>
              <w:marBottom w:val="150"/>
              <w:divBdr>
                <w:top w:val="none" w:sz="0" w:space="0" w:color="auto"/>
                <w:left w:val="none" w:sz="0" w:space="0" w:color="auto"/>
                <w:bottom w:val="none" w:sz="0" w:space="0" w:color="auto"/>
                <w:right w:val="none" w:sz="0" w:space="0" w:color="auto"/>
              </w:divBdr>
            </w:div>
            <w:div w:id="50150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835374">
      <w:bodyDiv w:val="1"/>
      <w:marLeft w:val="0"/>
      <w:marRight w:val="0"/>
      <w:marTop w:val="0"/>
      <w:marBottom w:val="0"/>
      <w:divBdr>
        <w:top w:val="none" w:sz="0" w:space="0" w:color="auto"/>
        <w:left w:val="none" w:sz="0" w:space="0" w:color="auto"/>
        <w:bottom w:val="none" w:sz="0" w:space="0" w:color="auto"/>
        <w:right w:val="none" w:sz="0" w:space="0" w:color="auto"/>
      </w:divBdr>
    </w:div>
    <w:div w:id="923028333">
      <w:bodyDiv w:val="1"/>
      <w:marLeft w:val="0"/>
      <w:marRight w:val="0"/>
      <w:marTop w:val="0"/>
      <w:marBottom w:val="0"/>
      <w:divBdr>
        <w:top w:val="none" w:sz="0" w:space="0" w:color="auto"/>
        <w:left w:val="none" w:sz="0" w:space="0" w:color="auto"/>
        <w:bottom w:val="none" w:sz="0" w:space="0" w:color="auto"/>
        <w:right w:val="none" w:sz="0" w:space="0" w:color="auto"/>
      </w:divBdr>
    </w:div>
    <w:div w:id="923802119">
      <w:bodyDiv w:val="1"/>
      <w:marLeft w:val="0"/>
      <w:marRight w:val="0"/>
      <w:marTop w:val="0"/>
      <w:marBottom w:val="0"/>
      <w:divBdr>
        <w:top w:val="none" w:sz="0" w:space="0" w:color="auto"/>
        <w:left w:val="none" w:sz="0" w:space="0" w:color="auto"/>
        <w:bottom w:val="none" w:sz="0" w:space="0" w:color="auto"/>
        <w:right w:val="none" w:sz="0" w:space="0" w:color="auto"/>
      </w:divBdr>
      <w:divsChild>
        <w:div w:id="604003759">
          <w:marLeft w:val="0"/>
          <w:marRight w:val="0"/>
          <w:marTop w:val="0"/>
          <w:marBottom w:val="0"/>
          <w:divBdr>
            <w:top w:val="none" w:sz="0" w:space="0" w:color="auto"/>
            <w:left w:val="none" w:sz="0" w:space="0" w:color="auto"/>
            <w:bottom w:val="none" w:sz="0" w:space="0" w:color="auto"/>
            <w:right w:val="none" w:sz="0" w:space="0" w:color="auto"/>
          </w:divBdr>
          <w:divsChild>
            <w:div w:id="2103212505">
              <w:marLeft w:val="0"/>
              <w:marRight w:val="0"/>
              <w:marTop w:val="0"/>
              <w:marBottom w:val="0"/>
              <w:divBdr>
                <w:top w:val="none" w:sz="0" w:space="0" w:color="auto"/>
                <w:left w:val="none" w:sz="0" w:space="0" w:color="auto"/>
                <w:bottom w:val="none" w:sz="0" w:space="0" w:color="auto"/>
                <w:right w:val="none" w:sz="0" w:space="0" w:color="auto"/>
              </w:divBdr>
              <w:divsChild>
                <w:div w:id="1731920305">
                  <w:marLeft w:val="0"/>
                  <w:marRight w:val="0"/>
                  <w:marTop w:val="0"/>
                  <w:marBottom w:val="0"/>
                  <w:divBdr>
                    <w:top w:val="none" w:sz="0" w:space="0" w:color="auto"/>
                    <w:left w:val="none" w:sz="0" w:space="0" w:color="auto"/>
                    <w:bottom w:val="none" w:sz="0" w:space="0" w:color="auto"/>
                    <w:right w:val="none" w:sz="0" w:space="0" w:color="auto"/>
                  </w:divBdr>
                  <w:divsChild>
                    <w:div w:id="555239348">
                      <w:marLeft w:val="0"/>
                      <w:marRight w:val="0"/>
                      <w:marTop w:val="0"/>
                      <w:marBottom w:val="0"/>
                      <w:divBdr>
                        <w:top w:val="none" w:sz="0" w:space="0" w:color="auto"/>
                        <w:left w:val="none" w:sz="0" w:space="0" w:color="auto"/>
                        <w:bottom w:val="none" w:sz="0" w:space="0" w:color="auto"/>
                        <w:right w:val="none" w:sz="0" w:space="0" w:color="auto"/>
                      </w:divBdr>
                      <w:divsChild>
                        <w:div w:id="1573614341">
                          <w:marLeft w:val="0"/>
                          <w:marRight w:val="0"/>
                          <w:marTop w:val="0"/>
                          <w:marBottom w:val="0"/>
                          <w:divBdr>
                            <w:top w:val="none" w:sz="0" w:space="0" w:color="auto"/>
                            <w:left w:val="none" w:sz="0" w:space="0" w:color="auto"/>
                            <w:bottom w:val="none" w:sz="0" w:space="0" w:color="auto"/>
                            <w:right w:val="none" w:sz="0" w:space="0" w:color="auto"/>
                          </w:divBdr>
                          <w:divsChild>
                            <w:div w:id="835724683">
                              <w:marLeft w:val="0"/>
                              <w:marRight w:val="0"/>
                              <w:marTop w:val="0"/>
                              <w:marBottom w:val="0"/>
                              <w:divBdr>
                                <w:top w:val="none" w:sz="0" w:space="0" w:color="auto"/>
                                <w:left w:val="none" w:sz="0" w:space="0" w:color="auto"/>
                                <w:bottom w:val="none" w:sz="0" w:space="0" w:color="auto"/>
                                <w:right w:val="none" w:sz="0" w:space="0" w:color="auto"/>
                              </w:divBdr>
                              <w:divsChild>
                                <w:div w:id="8758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3881748">
      <w:bodyDiv w:val="1"/>
      <w:marLeft w:val="0"/>
      <w:marRight w:val="0"/>
      <w:marTop w:val="0"/>
      <w:marBottom w:val="0"/>
      <w:divBdr>
        <w:top w:val="none" w:sz="0" w:space="0" w:color="auto"/>
        <w:left w:val="none" w:sz="0" w:space="0" w:color="auto"/>
        <w:bottom w:val="none" w:sz="0" w:space="0" w:color="auto"/>
        <w:right w:val="none" w:sz="0" w:space="0" w:color="auto"/>
      </w:divBdr>
      <w:divsChild>
        <w:div w:id="299698054">
          <w:marLeft w:val="0"/>
          <w:marRight w:val="0"/>
          <w:marTop w:val="0"/>
          <w:marBottom w:val="0"/>
          <w:divBdr>
            <w:top w:val="none" w:sz="0" w:space="0" w:color="auto"/>
            <w:left w:val="none" w:sz="0" w:space="0" w:color="auto"/>
            <w:bottom w:val="none" w:sz="0" w:space="0" w:color="auto"/>
            <w:right w:val="none" w:sz="0" w:space="0" w:color="auto"/>
          </w:divBdr>
          <w:divsChild>
            <w:div w:id="1438676634">
              <w:marLeft w:val="0"/>
              <w:marRight w:val="0"/>
              <w:marTop w:val="0"/>
              <w:marBottom w:val="0"/>
              <w:divBdr>
                <w:top w:val="none" w:sz="0" w:space="0" w:color="auto"/>
                <w:left w:val="none" w:sz="0" w:space="0" w:color="auto"/>
                <w:bottom w:val="none" w:sz="0" w:space="0" w:color="auto"/>
                <w:right w:val="none" w:sz="0" w:space="0" w:color="auto"/>
              </w:divBdr>
              <w:divsChild>
                <w:div w:id="1547259832">
                  <w:marLeft w:val="0"/>
                  <w:marRight w:val="0"/>
                  <w:marTop w:val="0"/>
                  <w:marBottom w:val="0"/>
                  <w:divBdr>
                    <w:top w:val="none" w:sz="0" w:space="0" w:color="auto"/>
                    <w:left w:val="none" w:sz="0" w:space="0" w:color="auto"/>
                    <w:bottom w:val="none" w:sz="0" w:space="0" w:color="auto"/>
                    <w:right w:val="none" w:sz="0" w:space="0" w:color="auto"/>
                  </w:divBdr>
                  <w:divsChild>
                    <w:div w:id="887914390">
                      <w:marLeft w:val="0"/>
                      <w:marRight w:val="0"/>
                      <w:marTop w:val="0"/>
                      <w:marBottom w:val="0"/>
                      <w:divBdr>
                        <w:top w:val="none" w:sz="0" w:space="0" w:color="auto"/>
                        <w:left w:val="none" w:sz="0" w:space="0" w:color="auto"/>
                        <w:bottom w:val="none" w:sz="0" w:space="0" w:color="auto"/>
                        <w:right w:val="none" w:sz="0" w:space="0" w:color="auto"/>
                      </w:divBdr>
                      <w:divsChild>
                        <w:div w:id="102309378">
                          <w:marLeft w:val="0"/>
                          <w:marRight w:val="0"/>
                          <w:marTop w:val="0"/>
                          <w:marBottom w:val="0"/>
                          <w:divBdr>
                            <w:top w:val="none" w:sz="0" w:space="0" w:color="auto"/>
                            <w:left w:val="none" w:sz="0" w:space="0" w:color="auto"/>
                            <w:bottom w:val="none" w:sz="0" w:space="0" w:color="auto"/>
                            <w:right w:val="none" w:sz="0" w:space="0" w:color="auto"/>
                          </w:divBdr>
                          <w:divsChild>
                            <w:div w:id="263610181">
                              <w:marLeft w:val="0"/>
                              <w:marRight w:val="0"/>
                              <w:marTop w:val="0"/>
                              <w:marBottom w:val="0"/>
                              <w:divBdr>
                                <w:top w:val="none" w:sz="0" w:space="0" w:color="auto"/>
                                <w:left w:val="none" w:sz="0" w:space="0" w:color="auto"/>
                                <w:bottom w:val="none" w:sz="0" w:space="0" w:color="auto"/>
                                <w:right w:val="none" w:sz="0" w:space="0" w:color="auto"/>
                              </w:divBdr>
                              <w:divsChild>
                                <w:div w:id="258760694">
                                  <w:marLeft w:val="0"/>
                                  <w:marRight w:val="0"/>
                                  <w:marTop w:val="0"/>
                                  <w:marBottom w:val="0"/>
                                  <w:divBdr>
                                    <w:top w:val="none" w:sz="0" w:space="0" w:color="auto"/>
                                    <w:left w:val="none" w:sz="0" w:space="0" w:color="auto"/>
                                    <w:bottom w:val="none" w:sz="0" w:space="0" w:color="auto"/>
                                    <w:right w:val="none" w:sz="0" w:space="0" w:color="auto"/>
                                  </w:divBdr>
                                  <w:divsChild>
                                    <w:div w:id="1394235368">
                                      <w:marLeft w:val="0"/>
                                      <w:marRight w:val="0"/>
                                      <w:marTop w:val="0"/>
                                      <w:marBottom w:val="0"/>
                                      <w:divBdr>
                                        <w:top w:val="none" w:sz="0" w:space="0" w:color="auto"/>
                                        <w:left w:val="none" w:sz="0" w:space="0" w:color="auto"/>
                                        <w:bottom w:val="none" w:sz="0" w:space="0" w:color="auto"/>
                                        <w:right w:val="none" w:sz="0" w:space="0" w:color="auto"/>
                                      </w:divBdr>
                                      <w:divsChild>
                                        <w:div w:id="174806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3999433">
      <w:bodyDiv w:val="1"/>
      <w:marLeft w:val="0"/>
      <w:marRight w:val="0"/>
      <w:marTop w:val="0"/>
      <w:marBottom w:val="0"/>
      <w:divBdr>
        <w:top w:val="none" w:sz="0" w:space="0" w:color="auto"/>
        <w:left w:val="none" w:sz="0" w:space="0" w:color="auto"/>
        <w:bottom w:val="none" w:sz="0" w:space="0" w:color="auto"/>
        <w:right w:val="none" w:sz="0" w:space="0" w:color="auto"/>
      </w:divBdr>
      <w:divsChild>
        <w:div w:id="2001231963">
          <w:marLeft w:val="0"/>
          <w:marRight w:val="0"/>
          <w:marTop w:val="0"/>
          <w:marBottom w:val="0"/>
          <w:divBdr>
            <w:top w:val="none" w:sz="0" w:space="0" w:color="auto"/>
            <w:left w:val="none" w:sz="0" w:space="0" w:color="auto"/>
            <w:bottom w:val="dotted" w:sz="6" w:space="4" w:color="DDDDDD"/>
            <w:right w:val="none" w:sz="0" w:space="0" w:color="auto"/>
          </w:divBdr>
        </w:div>
      </w:divsChild>
    </w:div>
    <w:div w:id="924608197">
      <w:bodyDiv w:val="1"/>
      <w:marLeft w:val="0"/>
      <w:marRight w:val="0"/>
      <w:marTop w:val="0"/>
      <w:marBottom w:val="0"/>
      <w:divBdr>
        <w:top w:val="none" w:sz="0" w:space="0" w:color="auto"/>
        <w:left w:val="none" w:sz="0" w:space="0" w:color="auto"/>
        <w:bottom w:val="none" w:sz="0" w:space="0" w:color="auto"/>
        <w:right w:val="none" w:sz="0" w:space="0" w:color="auto"/>
      </w:divBdr>
      <w:divsChild>
        <w:div w:id="1913074726">
          <w:marLeft w:val="0"/>
          <w:marRight w:val="0"/>
          <w:marTop w:val="0"/>
          <w:marBottom w:val="225"/>
          <w:divBdr>
            <w:top w:val="none" w:sz="0" w:space="0" w:color="auto"/>
            <w:left w:val="none" w:sz="0" w:space="0" w:color="auto"/>
            <w:bottom w:val="none" w:sz="0" w:space="0" w:color="auto"/>
            <w:right w:val="none" w:sz="0" w:space="0" w:color="auto"/>
          </w:divBdr>
        </w:div>
        <w:div w:id="534850888">
          <w:marLeft w:val="0"/>
          <w:marRight w:val="0"/>
          <w:marTop w:val="0"/>
          <w:marBottom w:val="225"/>
          <w:divBdr>
            <w:top w:val="none" w:sz="0" w:space="0" w:color="auto"/>
            <w:left w:val="none" w:sz="0" w:space="0" w:color="auto"/>
            <w:bottom w:val="none" w:sz="0" w:space="0" w:color="auto"/>
            <w:right w:val="none" w:sz="0" w:space="0" w:color="auto"/>
          </w:divBdr>
          <w:divsChild>
            <w:div w:id="1048187262">
              <w:marLeft w:val="0"/>
              <w:marRight w:val="0"/>
              <w:marTop w:val="0"/>
              <w:marBottom w:val="0"/>
              <w:divBdr>
                <w:top w:val="none" w:sz="0" w:space="0" w:color="auto"/>
                <w:left w:val="none" w:sz="0" w:space="0" w:color="auto"/>
                <w:bottom w:val="none" w:sz="0" w:space="0" w:color="auto"/>
                <w:right w:val="none" w:sz="0" w:space="0" w:color="auto"/>
              </w:divBdr>
              <w:divsChild>
                <w:div w:id="99438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923799">
      <w:bodyDiv w:val="1"/>
      <w:marLeft w:val="0"/>
      <w:marRight w:val="0"/>
      <w:marTop w:val="0"/>
      <w:marBottom w:val="0"/>
      <w:divBdr>
        <w:top w:val="none" w:sz="0" w:space="0" w:color="auto"/>
        <w:left w:val="none" w:sz="0" w:space="0" w:color="auto"/>
        <w:bottom w:val="none" w:sz="0" w:space="0" w:color="auto"/>
        <w:right w:val="none" w:sz="0" w:space="0" w:color="auto"/>
      </w:divBdr>
      <w:divsChild>
        <w:div w:id="1396508927">
          <w:marLeft w:val="0"/>
          <w:marRight w:val="0"/>
          <w:marTop w:val="0"/>
          <w:marBottom w:val="0"/>
          <w:divBdr>
            <w:top w:val="none" w:sz="0" w:space="0" w:color="auto"/>
            <w:left w:val="none" w:sz="0" w:space="0" w:color="auto"/>
            <w:bottom w:val="none" w:sz="0" w:space="0" w:color="auto"/>
            <w:right w:val="none" w:sz="0" w:space="0" w:color="auto"/>
          </w:divBdr>
          <w:divsChild>
            <w:div w:id="62220271">
              <w:marLeft w:val="0"/>
              <w:marRight w:val="0"/>
              <w:marTop w:val="0"/>
              <w:marBottom w:val="0"/>
              <w:divBdr>
                <w:top w:val="none" w:sz="0" w:space="0" w:color="auto"/>
                <w:left w:val="none" w:sz="0" w:space="0" w:color="auto"/>
                <w:bottom w:val="none" w:sz="0" w:space="0" w:color="auto"/>
                <w:right w:val="none" w:sz="0" w:space="0" w:color="auto"/>
              </w:divBdr>
            </w:div>
            <w:div w:id="686447569">
              <w:marLeft w:val="0"/>
              <w:marRight w:val="0"/>
              <w:marTop w:val="0"/>
              <w:marBottom w:val="0"/>
              <w:divBdr>
                <w:top w:val="none" w:sz="0" w:space="0" w:color="auto"/>
                <w:left w:val="none" w:sz="0" w:space="0" w:color="auto"/>
                <w:bottom w:val="none" w:sz="0" w:space="0" w:color="auto"/>
                <w:right w:val="none" w:sz="0" w:space="0" w:color="auto"/>
              </w:divBdr>
            </w:div>
            <w:div w:id="815685987">
              <w:marLeft w:val="0"/>
              <w:marRight w:val="0"/>
              <w:marTop w:val="0"/>
              <w:marBottom w:val="0"/>
              <w:divBdr>
                <w:top w:val="none" w:sz="0" w:space="0" w:color="auto"/>
                <w:left w:val="none" w:sz="0" w:space="0" w:color="auto"/>
                <w:bottom w:val="none" w:sz="0" w:space="0" w:color="auto"/>
                <w:right w:val="none" w:sz="0" w:space="0" w:color="auto"/>
              </w:divBdr>
            </w:div>
            <w:div w:id="1475294211">
              <w:marLeft w:val="0"/>
              <w:marRight w:val="0"/>
              <w:marTop w:val="0"/>
              <w:marBottom w:val="0"/>
              <w:divBdr>
                <w:top w:val="none" w:sz="0" w:space="0" w:color="auto"/>
                <w:left w:val="none" w:sz="0" w:space="0" w:color="auto"/>
                <w:bottom w:val="none" w:sz="0" w:space="0" w:color="auto"/>
                <w:right w:val="none" w:sz="0" w:space="0" w:color="auto"/>
              </w:divBdr>
            </w:div>
            <w:div w:id="1634944121">
              <w:marLeft w:val="0"/>
              <w:marRight w:val="0"/>
              <w:marTop w:val="0"/>
              <w:marBottom w:val="0"/>
              <w:divBdr>
                <w:top w:val="none" w:sz="0" w:space="0" w:color="auto"/>
                <w:left w:val="none" w:sz="0" w:space="0" w:color="auto"/>
                <w:bottom w:val="none" w:sz="0" w:space="0" w:color="auto"/>
                <w:right w:val="none" w:sz="0" w:space="0" w:color="auto"/>
              </w:divBdr>
            </w:div>
            <w:div w:id="1831555936">
              <w:marLeft w:val="0"/>
              <w:marRight w:val="0"/>
              <w:marTop w:val="0"/>
              <w:marBottom w:val="0"/>
              <w:divBdr>
                <w:top w:val="none" w:sz="0" w:space="0" w:color="auto"/>
                <w:left w:val="none" w:sz="0" w:space="0" w:color="auto"/>
                <w:bottom w:val="none" w:sz="0" w:space="0" w:color="auto"/>
                <w:right w:val="none" w:sz="0" w:space="0" w:color="auto"/>
              </w:divBdr>
            </w:div>
            <w:div w:id="1902325572">
              <w:marLeft w:val="0"/>
              <w:marRight w:val="0"/>
              <w:marTop w:val="0"/>
              <w:marBottom w:val="0"/>
              <w:divBdr>
                <w:top w:val="none" w:sz="0" w:space="0" w:color="auto"/>
                <w:left w:val="none" w:sz="0" w:space="0" w:color="auto"/>
                <w:bottom w:val="none" w:sz="0" w:space="0" w:color="auto"/>
                <w:right w:val="none" w:sz="0" w:space="0" w:color="auto"/>
              </w:divBdr>
            </w:div>
            <w:div w:id="213204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94111">
      <w:bodyDiv w:val="1"/>
      <w:marLeft w:val="0"/>
      <w:marRight w:val="0"/>
      <w:marTop w:val="0"/>
      <w:marBottom w:val="0"/>
      <w:divBdr>
        <w:top w:val="none" w:sz="0" w:space="0" w:color="auto"/>
        <w:left w:val="none" w:sz="0" w:space="0" w:color="auto"/>
        <w:bottom w:val="none" w:sz="0" w:space="0" w:color="auto"/>
        <w:right w:val="none" w:sz="0" w:space="0" w:color="auto"/>
      </w:divBdr>
    </w:div>
    <w:div w:id="925069524">
      <w:bodyDiv w:val="1"/>
      <w:marLeft w:val="0"/>
      <w:marRight w:val="0"/>
      <w:marTop w:val="0"/>
      <w:marBottom w:val="0"/>
      <w:divBdr>
        <w:top w:val="none" w:sz="0" w:space="0" w:color="auto"/>
        <w:left w:val="none" w:sz="0" w:space="0" w:color="auto"/>
        <w:bottom w:val="none" w:sz="0" w:space="0" w:color="auto"/>
        <w:right w:val="none" w:sz="0" w:space="0" w:color="auto"/>
      </w:divBdr>
      <w:divsChild>
        <w:div w:id="1137989686">
          <w:marLeft w:val="0"/>
          <w:marRight w:val="0"/>
          <w:marTop w:val="0"/>
          <w:marBottom w:val="0"/>
          <w:divBdr>
            <w:top w:val="none" w:sz="0" w:space="0" w:color="auto"/>
            <w:left w:val="none" w:sz="0" w:space="0" w:color="auto"/>
            <w:bottom w:val="none" w:sz="0" w:space="0" w:color="auto"/>
            <w:right w:val="none" w:sz="0" w:space="0" w:color="auto"/>
          </w:divBdr>
        </w:div>
      </w:divsChild>
    </w:div>
    <w:div w:id="925769924">
      <w:bodyDiv w:val="1"/>
      <w:marLeft w:val="0"/>
      <w:marRight w:val="0"/>
      <w:marTop w:val="0"/>
      <w:marBottom w:val="0"/>
      <w:divBdr>
        <w:top w:val="none" w:sz="0" w:space="0" w:color="auto"/>
        <w:left w:val="none" w:sz="0" w:space="0" w:color="auto"/>
        <w:bottom w:val="none" w:sz="0" w:space="0" w:color="auto"/>
        <w:right w:val="none" w:sz="0" w:space="0" w:color="auto"/>
      </w:divBdr>
    </w:div>
    <w:div w:id="925845594">
      <w:bodyDiv w:val="1"/>
      <w:marLeft w:val="0"/>
      <w:marRight w:val="0"/>
      <w:marTop w:val="0"/>
      <w:marBottom w:val="0"/>
      <w:divBdr>
        <w:top w:val="none" w:sz="0" w:space="0" w:color="auto"/>
        <w:left w:val="none" w:sz="0" w:space="0" w:color="auto"/>
        <w:bottom w:val="none" w:sz="0" w:space="0" w:color="auto"/>
        <w:right w:val="none" w:sz="0" w:space="0" w:color="auto"/>
      </w:divBdr>
      <w:divsChild>
        <w:div w:id="27336511">
          <w:marLeft w:val="0"/>
          <w:marRight w:val="0"/>
          <w:marTop w:val="0"/>
          <w:marBottom w:val="0"/>
          <w:divBdr>
            <w:top w:val="none" w:sz="0" w:space="0" w:color="auto"/>
            <w:left w:val="none" w:sz="0" w:space="0" w:color="auto"/>
            <w:bottom w:val="none" w:sz="0" w:space="0" w:color="auto"/>
            <w:right w:val="none" w:sz="0" w:space="0" w:color="auto"/>
          </w:divBdr>
          <w:divsChild>
            <w:div w:id="184949175">
              <w:marLeft w:val="0"/>
              <w:marRight w:val="0"/>
              <w:marTop w:val="0"/>
              <w:marBottom w:val="150"/>
              <w:divBdr>
                <w:top w:val="none" w:sz="0" w:space="0" w:color="auto"/>
                <w:left w:val="none" w:sz="0" w:space="0" w:color="auto"/>
                <w:bottom w:val="none" w:sz="0" w:space="0" w:color="auto"/>
                <w:right w:val="none" w:sz="0" w:space="0" w:color="auto"/>
              </w:divBdr>
            </w:div>
            <w:div w:id="214041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6408">
      <w:bodyDiv w:val="1"/>
      <w:marLeft w:val="0"/>
      <w:marRight w:val="0"/>
      <w:marTop w:val="0"/>
      <w:marBottom w:val="0"/>
      <w:divBdr>
        <w:top w:val="none" w:sz="0" w:space="0" w:color="auto"/>
        <w:left w:val="none" w:sz="0" w:space="0" w:color="auto"/>
        <w:bottom w:val="none" w:sz="0" w:space="0" w:color="auto"/>
        <w:right w:val="none" w:sz="0" w:space="0" w:color="auto"/>
      </w:divBdr>
      <w:divsChild>
        <w:div w:id="1881086167">
          <w:marLeft w:val="0"/>
          <w:marRight w:val="0"/>
          <w:marTop w:val="0"/>
          <w:marBottom w:val="150"/>
          <w:divBdr>
            <w:top w:val="none" w:sz="0" w:space="0" w:color="auto"/>
            <w:left w:val="none" w:sz="0" w:space="0" w:color="auto"/>
            <w:bottom w:val="none" w:sz="0" w:space="0" w:color="auto"/>
            <w:right w:val="none" w:sz="0" w:space="0" w:color="auto"/>
          </w:divBdr>
          <w:divsChild>
            <w:div w:id="51656093">
              <w:marLeft w:val="0"/>
              <w:marRight w:val="0"/>
              <w:marTop w:val="0"/>
              <w:marBottom w:val="0"/>
              <w:divBdr>
                <w:top w:val="none" w:sz="0" w:space="0" w:color="auto"/>
                <w:left w:val="none" w:sz="0" w:space="0" w:color="auto"/>
                <w:bottom w:val="none" w:sz="0" w:space="0" w:color="auto"/>
                <w:right w:val="none" w:sz="0" w:space="0" w:color="auto"/>
              </w:divBdr>
              <w:divsChild>
                <w:div w:id="201237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35222">
          <w:marLeft w:val="0"/>
          <w:marRight w:val="0"/>
          <w:marTop w:val="0"/>
          <w:marBottom w:val="150"/>
          <w:divBdr>
            <w:top w:val="none" w:sz="0" w:space="0" w:color="auto"/>
            <w:left w:val="none" w:sz="0" w:space="0" w:color="auto"/>
            <w:bottom w:val="none" w:sz="0" w:space="0" w:color="auto"/>
            <w:right w:val="none" w:sz="0" w:space="0" w:color="auto"/>
          </w:divBdr>
        </w:div>
        <w:div w:id="300038900">
          <w:marLeft w:val="0"/>
          <w:marRight w:val="0"/>
          <w:marTop w:val="0"/>
          <w:marBottom w:val="0"/>
          <w:divBdr>
            <w:top w:val="none" w:sz="0" w:space="0" w:color="auto"/>
            <w:left w:val="none" w:sz="0" w:space="0" w:color="auto"/>
            <w:bottom w:val="none" w:sz="0" w:space="0" w:color="auto"/>
            <w:right w:val="none" w:sz="0" w:space="0" w:color="auto"/>
          </w:divBdr>
          <w:divsChild>
            <w:div w:id="21220666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25916136">
      <w:bodyDiv w:val="1"/>
      <w:marLeft w:val="0"/>
      <w:marRight w:val="0"/>
      <w:marTop w:val="0"/>
      <w:marBottom w:val="0"/>
      <w:divBdr>
        <w:top w:val="none" w:sz="0" w:space="0" w:color="auto"/>
        <w:left w:val="none" w:sz="0" w:space="0" w:color="auto"/>
        <w:bottom w:val="none" w:sz="0" w:space="0" w:color="auto"/>
        <w:right w:val="none" w:sz="0" w:space="0" w:color="auto"/>
      </w:divBdr>
      <w:divsChild>
        <w:div w:id="964458362">
          <w:marLeft w:val="0"/>
          <w:marRight w:val="0"/>
          <w:marTop w:val="0"/>
          <w:marBottom w:val="150"/>
          <w:divBdr>
            <w:top w:val="none" w:sz="0" w:space="0" w:color="auto"/>
            <w:left w:val="none" w:sz="0" w:space="0" w:color="auto"/>
            <w:bottom w:val="none" w:sz="0" w:space="0" w:color="auto"/>
            <w:right w:val="none" w:sz="0" w:space="0" w:color="auto"/>
          </w:divBdr>
        </w:div>
      </w:divsChild>
    </w:div>
    <w:div w:id="926503829">
      <w:bodyDiv w:val="1"/>
      <w:marLeft w:val="0"/>
      <w:marRight w:val="0"/>
      <w:marTop w:val="0"/>
      <w:marBottom w:val="0"/>
      <w:divBdr>
        <w:top w:val="none" w:sz="0" w:space="0" w:color="auto"/>
        <w:left w:val="none" w:sz="0" w:space="0" w:color="auto"/>
        <w:bottom w:val="none" w:sz="0" w:space="0" w:color="auto"/>
        <w:right w:val="none" w:sz="0" w:space="0" w:color="auto"/>
      </w:divBdr>
      <w:divsChild>
        <w:div w:id="1353606032">
          <w:marLeft w:val="0"/>
          <w:marRight w:val="0"/>
          <w:marTop w:val="0"/>
          <w:marBottom w:val="0"/>
          <w:divBdr>
            <w:top w:val="none" w:sz="0" w:space="0" w:color="auto"/>
            <w:left w:val="none" w:sz="0" w:space="0" w:color="auto"/>
            <w:bottom w:val="none" w:sz="0" w:space="0" w:color="auto"/>
            <w:right w:val="none" w:sz="0" w:space="0" w:color="auto"/>
          </w:divBdr>
          <w:divsChild>
            <w:div w:id="17690343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26839812">
      <w:bodyDiv w:val="1"/>
      <w:marLeft w:val="0"/>
      <w:marRight w:val="0"/>
      <w:marTop w:val="0"/>
      <w:marBottom w:val="0"/>
      <w:divBdr>
        <w:top w:val="none" w:sz="0" w:space="0" w:color="auto"/>
        <w:left w:val="none" w:sz="0" w:space="0" w:color="auto"/>
        <w:bottom w:val="none" w:sz="0" w:space="0" w:color="auto"/>
        <w:right w:val="none" w:sz="0" w:space="0" w:color="auto"/>
      </w:divBdr>
      <w:divsChild>
        <w:div w:id="1262226748">
          <w:marLeft w:val="0"/>
          <w:marRight w:val="0"/>
          <w:marTop w:val="0"/>
          <w:marBottom w:val="0"/>
          <w:divBdr>
            <w:top w:val="none" w:sz="0" w:space="0" w:color="auto"/>
            <w:left w:val="none" w:sz="0" w:space="0" w:color="auto"/>
            <w:bottom w:val="dotted" w:sz="6" w:space="4" w:color="DDDDDD"/>
            <w:right w:val="none" w:sz="0" w:space="0" w:color="auto"/>
          </w:divBdr>
        </w:div>
      </w:divsChild>
    </w:div>
    <w:div w:id="926840443">
      <w:bodyDiv w:val="1"/>
      <w:marLeft w:val="0"/>
      <w:marRight w:val="0"/>
      <w:marTop w:val="0"/>
      <w:marBottom w:val="0"/>
      <w:divBdr>
        <w:top w:val="none" w:sz="0" w:space="0" w:color="auto"/>
        <w:left w:val="none" w:sz="0" w:space="0" w:color="auto"/>
        <w:bottom w:val="none" w:sz="0" w:space="0" w:color="auto"/>
        <w:right w:val="none" w:sz="0" w:space="0" w:color="auto"/>
      </w:divBdr>
    </w:div>
    <w:div w:id="926964983">
      <w:bodyDiv w:val="1"/>
      <w:marLeft w:val="0"/>
      <w:marRight w:val="0"/>
      <w:marTop w:val="0"/>
      <w:marBottom w:val="0"/>
      <w:divBdr>
        <w:top w:val="none" w:sz="0" w:space="0" w:color="auto"/>
        <w:left w:val="none" w:sz="0" w:space="0" w:color="auto"/>
        <w:bottom w:val="none" w:sz="0" w:space="0" w:color="auto"/>
        <w:right w:val="none" w:sz="0" w:space="0" w:color="auto"/>
      </w:divBdr>
      <w:divsChild>
        <w:div w:id="1269773093">
          <w:marLeft w:val="0"/>
          <w:marRight w:val="0"/>
          <w:marTop w:val="0"/>
          <w:marBottom w:val="0"/>
          <w:divBdr>
            <w:top w:val="none" w:sz="0" w:space="0" w:color="auto"/>
            <w:left w:val="none" w:sz="0" w:space="0" w:color="auto"/>
            <w:bottom w:val="dotted" w:sz="6" w:space="4" w:color="DDDDDD"/>
            <w:right w:val="none" w:sz="0" w:space="0" w:color="auto"/>
          </w:divBdr>
          <w:divsChild>
            <w:div w:id="97833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81734">
      <w:bodyDiv w:val="1"/>
      <w:marLeft w:val="0"/>
      <w:marRight w:val="0"/>
      <w:marTop w:val="0"/>
      <w:marBottom w:val="0"/>
      <w:divBdr>
        <w:top w:val="none" w:sz="0" w:space="0" w:color="auto"/>
        <w:left w:val="none" w:sz="0" w:space="0" w:color="auto"/>
        <w:bottom w:val="none" w:sz="0" w:space="0" w:color="auto"/>
        <w:right w:val="none" w:sz="0" w:space="0" w:color="auto"/>
      </w:divBdr>
      <w:divsChild>
        <w:div w:id="1040670595">
          <w:marLeft w:val="0"/>
          <w:marRight w:val="0"/>
          <w:marTop w:val="0"/>
          <w:marBottom w:val="0"/>
          <w:divBdr>
            <w:top w:val="none" w:sz="0" w:space="0" w:color="auto"/>
            <w:left w:val="none" w:sz="0" w:space="0" w:color="auto"/>
            <w:bottom w:val="dotted" w:sz="6" w:space="4" w:color="DDDDDD"/>
            <w:right w:val="none" w:sz="0" w:space="0" w:color="auto"/>
          </w:divBdr>
        </w:div>
      </w:divsChild>
    </w:div>
    <w:div w:id="927276549">
      <w:bodyDiv w:val="1"/>
      <w:marLeft w:val="0"/>
      <w:marRight w:val="0"/>
      <w:marTop w:val="0"/>
      <w:marBottom w:val="0"/>
      <w:divBdr>
        <w:top w:val="none" w:sz="0" w:space="0" w:color="auto"/>
        <w:left w:val="none" w:sz="0" w:space="0" w:color="auto"/>
        <w:bottom w:val="none" w:sz="0" w:space="0" w:color="auto"/>
        <w:right w:val="none" w:sz="0" w:space="0" w:color="auto"/>
      </w:divBdr>
      <w:divsChild>
        <w:div w:id="373502472">
          <w:marLeft w:val="0"/>
          <w:marRight w:val="0"/>
          <w:marTop w:val="0"/>
          <w:marBottom w:val="150"/>
          <w:divBdr>
            <w:top w:val="none" w:sz="0" w:space="0" w:color="auto"/>
            <w:left w:val="none" w:sz="0" w:space="0" w:color="auto"/>
            <w:bottom w:val="none" w:sz="0" w:space="0" w:color="auto"/>
            <w:right w:val="none" w:sz="0" w:space="0" w:color="auto"/>
          </w:divBdr>
          <w:divsChild>
            <w:div w:id="1758285453">
              <w:marLeft w:val="0"/>
              <w:marRight w:val="0"/>
              <w:marTop w:val="0"/>
              <w:marBottom w:val="0"/>
              <w:divBdr>
                <w:top w:val="none" w:sz="0" w:space="0" w:color="auto"/>
                <w:left w:val="none" w:sz="0" w:space="0" w:color="auto"/>
                <w:bottom w:val="none" w:sz="0" w:space="0" w:color="auto"/>
                <w:right w:val="none" w:sz="0" w:space="0" w:color="auto"/>
              </w:divBdr>
              <w:divsChild>
                <w:div w:id="28674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862406">
          <w:marLeft w:val="0"/>
          <w:marRight w:val="0"/>
          <w:marTop w:val="0"/>
          <w:marBottom w:val="0"/>
          <w:divBdr>
            <w:top w:val="none" w:sz="0" w:space="0" w:color="auto"/>
            <w:left w:val="none" w:sz="0" w:space="0" w:color="auto"/>
            <w:bottom w:val="none" w:sz="0" w:space="0" w:color="auto"/>
            <w:right w:val="none" w:sz="0" w:space="0" w:color="auto"/>
          </w:divBdr>
          <w:divsChild>
            <w:div w:id="1999840134">
              <w:marLeft w:val="0"/>
              <w:marRight w:val="0"/>
              <w:marTop w:val="225"/>
              <w:marBottom w:val="225"/>
              <w:divBdr>
                <w:top w:val="none" w:sz="0" w:space="0" w:color="auto"/>
                <w:left w:val="none" w:sz="0" w:space="0" w:color="auto"/>
                <w:bottom w:val="none" w:sz="0" w:space="0" w:color="auto"/>
                <w:right w:val="none" w:sz="0" w:space="0" w:color="auto"/>
              </w:divBdr>
            </w:div>
          </w:divsChild>
        </w:div>
        <w:div w:id="1666930439">
          <w:marLeft w:val="0"/>
          <w:marRight w:val="0"/>
          <w:marTop w:val="0"/>
          <w:marBottom w:val="150"/>
          <w:divBdr>
            <w:top w:val="none" w:sz="0" w:space="0" w:color="auto"/>
            <w:left w:val="none" w:sz="0" w:space="0" w:color="auto"/>
            <w:bottom w:val="none" w:sz="0" w:space="0" w:color="auto"/>
            <w:right w:val="none" w:sz="0" w:space="0" w:color="auto"/>
          </w:divBdr>
        </w:div>
      </w:divsChild>
    </w:div>
    <w:div w:id="927419486">
      <w:bodyDiv w:val="1"/>
      <w:marLeft w:val="0"/>
      <w:marRight w:val="0"/>
      <w:marTop w:val="0"/>
      <w:marBottom w:val="0"/>
      <w:divBdr>
        <w:top w:val="none" w:sz="0" w:space="0" w:color="auto"/>
        <w:left w:val="none" w:sz="0" w:space="0" w:color="auto"/>
        <w:bottom w:val="none" w:sz="0" w:space="0" w:color="auto"/>
        <w:right w:val="none" w:sz="0" w:space="0" w:color="auto"/>
      </w:divBdr>
      <w:divsChild>
        <w:div w:id="1266353397">
          <w:marLeft w:val="0"/>
          <w:marRight w:val="0"/>
          <w:marTop w:val="0"/>
          <w:marBottom w:val="0"/>
          <w:divBdr>
            <w:top w:val="none" w:sz="0" w:space="0" w:color="auto"/>
            <w:left w:val="none" w:sz="0" w:space="0" w:color="auto"/>
            <w:bottom w:val="none" w:sz="0" w:space="0" w:color="auto"/>
            <w:right w:val="none" w:sz="0" w:space="0" w:color="auto"/>
          </w:divBdr>
          <w:divsChild>
            <w:div w:id="2126728970">
              <w:marLeft w:val="0"/>
              <w:marRight w:val="0"/>
              <w:marTop w:val="0"/>
              <w:marBottom w:val="0"/>
              <w:divBdr>
                <w:top w:val="none" w:sz="0" w:space="0" w:color="auto"/>
                <w:left w:val="none" w:sz="0" w:space="0" w:color="auto"/>
                <w:bottom w:val="none" w:sz="0" w:space="0" w:color="auto"/>
                <w:right w:val="none" w:sz="0" w:space="0" w:color="auto"/>
              </w:divBdr>
              <w:divsChild>
                <w:div w:id="917397827">
                  <w:marLeft w:val="0"/>
                  <w:marRight w:val="0"/>
                  <w:marTop w:val="0"/>
                  <w:marBottom w:val="0"/>
                  <w:divBdr>
                    <w:top w:val="none" w:sz="0" w:space="0" w:color="auto"/>
                    <w:left w:val="none" w:sz="0" w:space="0" w:color="auto"/>
                    <w:bottom w:val="none" w:sz="0" w:space="0" w:color="auto"/>
                    <w:right w:val="none" w:sz="0" w:space="0" w:color="auto"/>
                  </w:divBdr>
                  <w:divsChild>
                    <w:div w:id="1453357413">
                      <w:marLeft w:val="0"/>
                      <w:marRight w:val="0"/>
                      <w:marTop w:val="0"/>
                      <w:marBottom w:val="0"/>
                      <w:divBdr>
                        <w:top w:val="none" w:sz="0" w:space="0" w:color="auto"/>
                        <w:left w:val="none" w:sz="0" w:space="0" w:color="auto"/>
                        <w:bottom w:val="none" w:sz="0" w:space="0" w:color="auto"/>
                        <w:right w:val="none" w:sz="0" w:space="0" w:color="auto"/>
                      </w:divBdr>
                      <w:divsChild>
                        <w:div w:id="1194346440">
                          <w:marLeft w:val="0"/>
                          <w:marRight w:val="0"/>
                          <w:marTop w:val="0"/>
                          <w:marBottom w:val="0"/>
                          <w:divBdr>
                            <w:top w:val="none" w:sz="0" w:space="0" w:color="auto"/>
                            <w:left w:val="none" w:sz="0" w:space="0" w:color="auto"/>
                            <w:bottom w:val="none" w:sz="0" w:space="0" w:color="auto"/>
                            <w:right w:val="none" w:sz="0" w:space="0" w:color="auto"/>
                          </w:divBdr>
                          <w:divsChild>
                            <w:div w:id="690299101">
                              <w:marLeft w:val="0"/>
                              <w:marRight w:val="0"/>
                              <w:marTop w:val="0"/>
                              <w:marBottom w:val="0"/>
                              <w:divBdr>
                                <w:top w:val="none" w:sz="0" w:space="0" w:color="auto"/>
                                <w:left w:val="none" w:sz="0" w:space="0" w:color="auto"/>
                                <w:bottom w:val="none" w:sz="0" w:space="0" w:color="auto"/>
                                <w:right w:val="none" w:sz="0" w:space="0" w:color="auto"/>
                              </w:divBdr>
                              <w:divsChild>
                                <w:div w:id="37540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8271195">
      <w:bodyDiv w:val="1"/>
      <w:marLeft w:val="0"/>
      <w:marRight w:val="0"/>
      <w:marTop w:val="0"/>
      <w:marBottom w:val="0"/>
      <w:divBdr>
        <w:top w:val="none" w:sz="0" w:space="0" w:color="auto"/>
        <w:left w:val="none" w:sz="0" w:space="0" w:color="auto"/>
        <w:bottom w:val="none" w:sz="0" w:space="0" w:color="auto"/>
        <w:right w:val="none" w:sz="0" w:space="0" w:color="auto"/>
      </w:divBdr>
      <w:divsChild>
        <w:div w:id="1447625232">
          <w:marLeft w:val="0"/>
          <w:marRight w:val="0"/>
          <w:marTop w:val="0"/>
          <w:marBottom w:val="0"/>
          <w:divBdr>
            <w:top w:val="none" w:sz="0" w:space="0" w:color="auto"/>
            <w:left w:val="none" w:sz="0" w:space="0" w:color="auto"/>
            <w:bottom w:val="none" w:sz="0" w:space="0" w:color="auto"/>
            <w:right w:val="none" w:sz="0" w:space="0" w:color="auto"/>
          </w:divBdr>
          <w:divsChild>
            <w:div w:id="421800571">
              <w:marLeft w:val="0"/>
              <w:marRight w:val="0"/>
              <w:marTop w:val="0"/>
              <w:marBottom w:val="0"/>
              <w:divBdr>
                <w:top w:val="none" w:sz="0" w:space="0" w:color="auto"/>
                <w:left w:val="none" w:sz="0" w:space="0" w:color="auto"/>
                <w:bottom w:val="none" w:sz="0" w:space="0" w:color="auto"/>
                <w:right w:val="none" w:sz="0" w:space="0" w:color="auto"/>
              </w:divBdr>
              <w:divsChild>
                <w:div w:id="2105807070">
                  <w:marLeft w:val="0"/>
                  <w:marRight w:val="0"/>
                  <w:marTop w:val="225"/>
                  <w:marBottom w:val="225"/>
                  <w:divBdr>
                    <w:top w:val="none" w:sz="0" w:space="0" w:color="auto"/>
                    <w:left w:val="none" w:sz="0" w:space="0" w:color="auto"/>
                    <w:bottom w:val="none" w:sz="0" w:space="0" w:color="auto"/>
                    <w:right w:val="none" w:sz="0" w:space="0" w:color="auto"/>
                  </w:divBdr>
                </w:div>
              </w:divsChild>
            </w:div>
            <w:div w:id="1898204822">
              <w:marLeft w:val="0"/>
              <w:marRight w:val="0"/>
              <w:marTop w:val="0"/>
              <w:marBottom w:val="150"/>
              <w:divBdr>
                <w:top w:val="none" w:sz="0" w:space="0" w:color="auto"/>
                <w:left w:val="none" w:sz="0" w:space="0" w:color="auto"/>
                <w:bottom w:val="none" w:sz="0" w:space="0" w:color="auto"/>
                <w:right w:val="none" w:sz="0" w:space="0" w:color="auto"/>
              </w:divBdr>
            </w:div>
          </w:divsChild>
        </w:div>
        <w:div w:id="1850172736">
          <w:marLeft w:val="0"/>
          <w:marRight w:val="0"/>
          <w:marTop w:val="0"/>
          <w:marBottom w:val="150"/>
          <w:divBdr>
            <w:top w:val="none" w:sz="0" w:space="0" w:color="auto"/>
            <w:left w:val="none" w:sz="0" w:space="0" w:color="auto"/>
            <w:bottom w:val="none" w:sz="0" w:space="0" w:color="auto"/>
            <w:right w:val="none" w:sz="0" w:space="0" w:color="auto"/>
          </w:divBdr>
          <w:divsChild>
            <w:div w:id="1087851401">
              <w:marLeft w:val="0"/>
              <w:marRight w:val="0"/>
              <w:marTop w:val="0"/>
              <w:marBottom w:val="0"/>
              <w:divBdr>
                <w:top w:val="none" w:sz="0" w:space="0" w:color="auto"/>
                <w:left w:val="none" w:sz="0" w:space="0" w:color="auto"/>
                <w:bottom w:val="none" w:sz="0" w:space="0" w:color="auto"/>
                <w:right w:val="none" w:sz="0" w:space="0" w:color="auto"/>
              </w:divBdr>
              <w:divsChild>
                <w:div w:id="76619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387888">
      <w:bodyDiv w:val="1"/>
      <w:marLeft w:val="0"/>
      <w:marRight w:val="0"/>
      <w:marTop w:val="0"/>
      <w:marBottom w:val="0"/>
      <w:divBdr>
        <w:top w:val="none" w:sz="0" w:space="0" w:color="auto"/>
        <w:left w:val="none" w:sz="0" w:space="0" w:color="auto"/>
        <w:bottom w:val="none" w:sz="0" w:space="0" w:color="auto"/>
        <w:right w:val="none" w:sz="0" w:space="0" w:color="auto"/>
      </w:divBdr>
      <w:divsChild>
        <w:div w:id="1155758864">
          <w:marLeft w:val="0"/>
          <w:marRight w:val="0"/>
          <w:marTop w:val="0"/>
          <w:marBottom w:val="0"/>
          <w:divBdr>
            <w:top w:val="none" w:sz="0" w:space="0" w:color="auto"/>
            <w:left w:val="none" w:sz="0" w:space="0" w:color="auto"/>
            <w:bottom w:val="none" w:sz="0" w:space="0" w:color="auto"/>
            <w:right w:val="none" w:sz="0" w:space="0" w:color="auto"/>
          </w:divBdr>
        </w:div>
      </w:divsChild>
    </w:div>
    <w:div w:id="928468449">
      <w:bodyDiv w:val="1"/>
      <w:marLeft w:val="0"/>
      <w:marRight w:val="0"/>
      <w:marTop w:val="0"/>
      <w:marBottom w:val="0"/>
      <w:divBdr>
        <w:top w:val="none" w:sz="0" w:space="0" w:color="auto"/>
        <w:left w:val="none" w:sz="0" w:space="0" w:color="auto"/>
        <w:bottom w:val="none" w:sz="0" w:space="0" w:color="auto"/>
        <w:right w:val="none" w:sz="0" w:space="0" w:color="auto"/>
      </w:divBdr>
      <w:divsChild>
        <w:div w:id="425228885">
          <w:marLeft w:val="0"/>
          <w:marRight w:val="0"/>
          <w:marTop w:val="0"/>
          <w:marBottom w:val="0"/>
          <w:divBdr>
            <w:top w:val="none" w:sz="0" w:space="0" w:color="auto"/>
            <w:left w:val="none" w:sz="0" w:space="0" w:color="auto"/>
            <w:bottom w:val="none" w:sz="0" w:space="0" w:color="auto"/>
            <w:right w:val="none" w:sz="0" w:space="0" w:color="auto"/>
          </w:divBdr>
          <w:divsChild>
            <w:div w:id="786198146">
              <w:marLeft w:val="0"/>
              <w:marRight w:val="0"/>
              <w:marTop w:val="0"/>
              <w:marBottom w:val="0"/>
              <w:divBdr>
                <w:top w:val="none" w:sz="0" w:space="0" w:color="auto"/>
                <w:left w:val="none" w:sz="0" w:space="0" w:color="auto"/>
                <w:bottom w:val="none" w:sz="0" w:space="0" w:color="auto"/>
                <w:right w:val="none" w:sz="0" w:space="0" w:color="auto"/>
              </w:divBdr>
              <w:divsChild>
                <w:div w:id="1745369617">
                  <w:marLeft w:val="0"/>
                  <w:marRight w:val="0"/>
                  <w:marTop w:val="0"/>
                  <w:marBottom w:val="0"/>
                  <w:divBdr>
                    <w:top w:val="none" w:sz="0" w:space="0" w:color="auto"/>
                    <w:left w:val="none" w:sz="0" w:space="0" w:color="auto"/>
                    <w:bottom w:val="none" w:sz="0" w:space="0" w:color="auto"/>
                    <w:right w:val="none" w:sz="0" w:space="0" w:color="auto"/>
                  </w:divBdr>
                  <w:divsChild>
                    <w:div w:id="156456021">
                      <w:marLeft w:val="0"/>
                      <w:marRight w:val="0"/>
                      <w:marTop w:val="0"/>
                      <w:marBottom w:val="0"/>
                      <w:divBdr>
                        <w:top w:val="none" w:sz="0" w:space="0" w:color="auto"/>
                        <w:left w:val="none" w:sz="0" w:space="0" w:color="auto"/>
                        <w:bottom w:val="none" w:sz="0" w:space="0" w:color="auto"/>
                        <w:right w:val="none" w:sz="0" w:space="0" w:color="auto"/>
                      </w:divBdr>
                      <w:divsChild>
                        <w:div w:id="174416986">
                          <w:marLeft w:val="0"/>
                          <w:marRight w:val="0"/>
                          <w:marTop w:val="0"/>
                          <w:marBottom w:val="0"/>
                          <w:divBdr>
                            <w:top w:val="none" w:sz="0" w:space="0" w:color="auto"/>
                            <w:left w:val="none" w:sz="0" w:space="0" w:color="auto"/>
                            <w:bottom w:val="none" w:sz="0" w:space="0" w:color="auto"/>
                            <w:right w:val="none" w:sz="0" w:space="0" w:color="auto"/>
                          </w:divBdr>
                          <w:divsChild>
                            <w:div w:id="1462530990">
                              <w:marLeft w:val="0"/>
                              <w:marRight w:val="0"/>
                              <w:marTop w:val="0"/>
                              <w:marBottom w:val="0"/>
                              <w:divBdr>
                                <w:top w:val="none" w:sz="0" w:space="0" w:color="auto"/>
                                <w:left w:val="none" w:sz="0" w:space="0" w:color="auto"/>
                                <w:bottom w:val="none" w:sz="0" w:space="0" w:color="auto"/>
                                <w:right w:val="none" w:sz="0" w:space="0" w:color="auto"/>
                              </w:divBdr>
                              <w:divsChild>
                                <w:div w:id="117533262">
                                  <w:marLeft w:val="0"/>
                                  <w:marRight w:val="0"/>
                                  <w:marTop w:val="0"/>
                                  <w:marBottom w:val="0"/>
                                  <w:divBdr>
                                    <w:top w:val="none" w:sz="0" w:space="0" w:color="auto"/>
                                    <w:left w:val="none" w:sz="0" w:space="0" w:color="auto"/>
                                    <w:bottom w:val="none" w:sz="0" w:space="0" w:color="auto"/>
                                    <w:right w:val="none" w:sz="0" w:space="0" w:color="auto"/>
                                  </w:divBdr>
                                  <w:divsChild>
                                    <w:div w:id="2141722068">
                                      <w:marLeft w:val="0"/>
                                      <w:marRight w:val="0"/>
                                      <w:marTop w:val="0"/>
                                      <w:marBottom w:val="0"/>
                                      <w:divBdr>
                                        <w:top w:val="none" w:sz="0" w:space="0" w:color="auto"/>
                                        <w:left w:val="none" w:sz="0" w:space="0" w:color="auto"/>
                                        <w:bottom w:val="none" w:sz="0" w:space="0" w:color="auto"/>
                                        <w:right w:val="none" w:sz="0" w:space="0" w:color="auto"/>
                                      </w:divBdr>
                                      <w:divsChild>
                                        <w:div w:id="88961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193523">
      <w:bodyDiv w:val="1"/>
      <w:marLeft w:val="0"/>
      <w:marRight w:val="0"/>
      <w:marTop w:val="0"/>
      <w:marBottom w:val="0"/>
      <w:divBdr>
        <w:top w:val="none" w:sz="0" w:space="0" w:color="auto"/>
        <w:left w:val="none" w:sz="0" w:space="0" w:color="auto"/>
        <w:bottom w:val="none" w:sz="0" w:space="0" w:color="auto"/>
        <w:right w:val="none" w:sz="0" w:space="0" w:color="auto"/>
      </w:divBdr>
      <w:divsChild>
        <w:div w:id="1359314857">
          <w:marLeft w:val="0"/>
          <w:marRight w:val="0"/>
          <w:marTop w:val="0"/>
          <w:marBottom w:val="0"/>
          <w:divBdr>
            <w:top w:val="none" w:sz="0" w:space="0" w:color="auto"/>
            <w:left w:val="none" w:sz="0" w:space="0" w:color="auto"/>
            <w:bottom w:val="none" w:sz="0" w:space="0" w:color="auto"/>
            <w:right w:val="none" w:sz="0" w:space="0" w:color="auto"/>
          </w:divBdr>
          <w:divsChild>
            <w:div w:id="1980568619">
              <w:marLeft w:val="0"/>
              <w:marRight w:val="0"/>
              <w:marTop w:val="0"/>
              <w:marBottom w:val="0"/>
              <w:divBdr>
                <w:top w:val="none" w:sz="0" w:space="0" w:color="auto"/>
                <w:left w:val="none" w:sz="0" w:space="0" w:color="auto"/>
                <w:bottom w:val="none" w:sz="0" w:space="0" w:color="auto"/>
                <w:right w:val="none" w:sz="0" w:space="0" w:color="auto"/>
              </w:divBdr>
              <w:divsChild>
                <w:div w:id="486939089">
                  <w:marLeft w:val="0"/>
                  <w:marRight w:val="0"/>
                  <w:marTop w:val="0"/>
                  <w:marBottom w:val="0"/>
                  <w:divBdr>
                    <w:top w:val="none" w:sz="0" w:space="0" w:color="auto"/>
                    <w:left w:val="none" w:sz="0" w:space="0" w:color="auto"/>
                    <w:bottom w:val="none" w:sz="0" w:space="0" w:color="auto"/>
                    <w:right w:val="none" w:sz="0" w:space="0" w:color="auto"/>
                  </w:divBdr>
                  <w:divsChild>
                    <w:div w:id="1925337701">
                      <w:marLeft w:val="0"/>
                      <w:marRight w:val="0"/>
                      <w:marTop w:val="0"/>
                      <w:marBottom w:val="0"/>
                      <w:divBdr>
                        <w:top w:val="none" w:sz="0" w:space="0" w:color="auto"/>
                        <w:left w:val="none" w:sz="0" w:space="0" w:color="auto"/>
                        <w:bottom w:val="none" w:sz="0" w:space="0" w:color="auto"/>
                        <w:right w:val="none" w:sz="0" w:space="0" w:color="auto"/>
                      </w:divBdr>
                      <w:divsChild>
                        <w:div w:id="1641037484">
                          <w:marLeft w:val="0"/>
                          <w:marRight w:val="0"/>
                          <w:marTop w:val="0"/>
                          <w:marBottom w:val="0"/>
                          <w:divBdr>
                            <w:top w:val="none" w:sz="0" w:space="0" w:color="auto"/>
                            <w:left w:val="none" w:sz="0" w:space="0" w:color="auto"/>
                            <w:bottom w:val="none" w:sz="0" w:space="0" w:color="auto"/>
                            <w:right w:val="none" w:sz="0" w:space="0" w:color="auto"/>
                          </w:divBdr>
                          <w:divsChild>
                            <w:div w:id="124992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9394151">
      <w:bodyDiv w:val="1"/>
      <w:marLeft w:val="0"/>
      <w:marRight w:val="0"/>
      <w:marTop w:val="0"/>
      <w:marBottom w:val="0"/>
      <w:divBdr>
        <w:top w:val="none" w:sz="0" w:space="0" w:color="auto"/>
        <w:left w:val="none" w:sz="0" w:space="0" w:color="auto"/>
        <w:bottom w:val="none" w:sz="0" w:space="0" w:color="auto"/>
        <w:right w:val="none" w:sz="0" w:space="0" w:color="auto"/>
      </w:divBdr>
      <w:divsChild>
        <w:div w:id="177503265">
          <w:marLeft w:val="0"/>
          <w:marRight w:val="0"/>
          <w:marTop w:val="0"/>
          <w:marBottom w:val="0"/>
          <w:divBdr>
            <w:top w:val="none" w:sz="0" w:space="0" w:color="auto"/>
            <w:left w:val="none" w:sz="0" w:space="0" w:color="auto"/>
            <w:bottom w:val="none" w:sz="0" w:space="0" w:color="auto"/>
            <w:right w:val="none" w:sz="0" w:space="0" w:color="auto"/>
          </w:divBdr>
          <w:divsChild>
            <w:div w:id="1619527928">
              <w:marLeft w:val="0"/>
              <w:marRight w:val="0"/>
              <w:marTop w:val="0"/>
              <w:marBottom w:val="0"/>
              <w:divBdr>
                <w:top w:val="none" w:sz="0" w:space="0" w:color="auto"/>
                <w:left w:val="none" w:sz="0" w:space="0" w:color="auto"/>
                <w:bottom w:val="none" w:sz="0" w:space="0" w:color="auto"/>
                <w:right w:val="none" w:sz="0" w:space="0" w:color="auto"/>
              </w:divBdr>
              <w:divsChild>
                <w:div w:id="204567025">
                  <w:marLeft w:val="0"/>
                  <w:marRight w:val="0"/>
                  <w:marTop w:val="0"/>
                  <w:marBottom w:val="0"/>
                  <w:divBdr>
                    <w:top w:val="none" w:sz="0" w:space="0" w:color="auto"/>
                    <w:left w:val="none" w:sz="0" w:space="0" w:color="auto"/>
                    <w:bottom w:val="none" w:sz="0" w:space="0" w:color="auto"/>
                    <w:right w:val="none" w:sz="0" w:space="0" w:color="auto"/>
                  </w:divBdr>
                  <w:divsChild>
                    <w:div w:id="1507284194">
                      <w:marLeft w:val="0"/>
                      <w:marRight w:val="0"/>
                      <w:marTop w:val="0"/>
                      <w:marBottom w:val="0"/>
                      <w:divBdr>
                        <w:top w:val="none" w:sz="0" w:space="0" w:color="auto"/>
                        <w:left w:val="none" w:sz="0" w:space="0" w:color="auto"/>
                        <w:bottom w:val="none" w:sz="0" w:space="0" w:color="auto"/>
                        <w:right w:val="none" w:sz="0" w:space="0" w:color="auto"/>
                      </w:divBdr>
                      <w:divsChild>
                        <w:div w:id="1853765581">
                          <w:marLeft w:val="0"/>
                          <w:marRight w:val="0"/>
                          <w:marTop w:val="0"/>
                          <w:marBottom w:val="0"/>
                          <w:divBdr>
                            <w:top w:val="none" w:sz="0" w:space="0" w:color="auto"/>
                            <w:left w:val="none" w:sz="0" w:space="0" w:color="auto"/>
                            <w:bottom w:val="none" w:sz="0" w:space="0" w:color="auto"/>
                            <w:right w:val="none" w:sz="0" w:space="0" w:color="auto"/>
                          </w:divBdr>
                          <w:divsChild>
                            <w:div w:id="786243102">
                              <w:marLeft w:val="0"/>
                              <w:marRight w:val="0"/>
                              <w:marTop w:val="0"/>
                              <w:marBottom w:val="0"/>
                              <w:divBdr>
                                <w:top w:val="none" w:sz="0" w:space="0" w:color="auto"/>
                                <w:left w:val="none" w:sz="0" w:space="0" w:color="auto"/>
                                <w:bottom w:val="none" w:sz="0" w:space="0" w:color="auto"/>
                                <w:right w:val="none" w:sz="0" w:space="0" w:color="auto"/>
                              </w:divBdr>
                              <w:divsChild>
                                <w:div w:id="30736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9966254">
      <w:bodyDiv w:val="1"/>
      <w:marLeft w:val="0"/>
      <w:marRight w:val="0"/>
      <w:marTop w:val="0"/>
      <w:marBottom w:val="0"/>
      <w:divBdr>
        <w:top w:val="none" w:sz="0" w:space="0" w:color="auto"/>
        <w:left w:val="none" w:sz="0" w:space="0" w:color="auto"/>
        <w:bottom w:val="none" w:sz="0" w:space="0" w:color="auto"/>
        <w:right w:val="none" w:sz="0" w:space="0" w:color="auto"/>
      </w:divBdr>
    </w:div>
    <w:div w:id="930433184">
      <w:bodyDiv w:val="1"/>
      <w:marLeft w:val="0"/>
      <w:marRight w:val="0"/>
      <w:marTop w:val="0"/>
      <w:marBottom w:val="0"/>
      <w:divBdr>
        <w:top w:val="none" w:sz="0" w:space="0" w:color="auto"/>
        <w:left w:val="none" w:sz="0" w:space="0" w:color="auto"/>
        <w:bottom w:val="none" w:sz="0" w:space="0" w:color="auto"/>
        <w:right w:val="none" w:sz="0" w:space="0" w:color="auto"/>
      </w:divBdr>
    </w:div>
    <w:div w:id="930699343">
      <w:bodyDiv w:val="1"/>
      <w:marLeft w:val="0"/>
      <w:marRight w:val="0"/>
      <w:marTop w:val="0"/>
      <w:marBottom w:val="0"/>
      <w:divBdr>
        <w:top w:val="none" w:sz="0" w:space="0" w:color="auto"/>
        <w:left w:val="none" w:sz="0" w:space="0" w:color="auto"/>
        <w:bottom w:val="none" w:sz="0" w:space="0" w:color="auto"/>
        <w:right w:val="none" w:sz="0" w:space="0" w:color="auto"/>
      </w:divBdr>
      <w:divsChild>
        <w:div w:id="1798450524">
          <w:marLeft w:val="0"/>
          <w:marRight w:val="0"/>
          <w:marTop w:val="0"/>
          <w:marBottom w:val="0"/>
          <w:divBdr>
            <w:top w:val="none" w:sz="0" w:space="0" w:color="auto"/>
            <w:left w:val="none" w:sz="0" w:space="0" w:color="auto"/>
            <w:bottom w:val="dotted" w:sz="6" w:space="4" w:color="DDDDDD"/>
            <w:right w:val="none" w:sz="0" w:space="0" w:color="auto"/>
          </w:divBdr>
          <w:divsChild>
            <w:div w:id="25016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889816">
      <w:bodyDiv w:val="1"/>
      <w:marLeft w:val="0"/>
      <w:marRight w:val="0"/>
      <w:marTop w:val="0"/>
      <w:marBottom w:val="0"/>
      <w:divBdr>
        <w:top w:val="none" w:sz="0" w:space="0" w:color="auto"/>
        <w:left w:val="none" w:sz="0" w:space="0" w:color="auto"/>
        <w:bottom w:val="none" w:sz="0" w:space="0" w:color="auto"/>
        <w:right w:val="none" w:sz="0" w:space="0" w:color="auto"/>
      </w:divBdr>
      <w:divsChild>
        <w:div w:id="1307784891">
          <w:marLeft w:val="0"/>
          <w:marRight w:val="0"/>
          <w:marTop w:val="0"/>
          <w:marBottom w:val="0"/>
          <w:divBdr>
            <w:top w:val="none" w:sz="0" w:space="0" w:color="auto"/>
            <w:left w:val="none" w:sz="0" w:space="0" w:color="auto"/>
            <w:bottom w:val="none" w:sz="0" w:space="0" w:color="auto"/>
            <w:right w:val="none" w:sz="0" w:space="0" w:color="auto"/>
          </w:divBdr>
          <w:divsChild>
            <w:div w:id="71661431">
              <w:marLeft w:val="0"/>
              <w:marRight w:val="0"/>
              <w:marTop w:val="0"/>
              <w:marBottom w:val="0"/>
              <w:divBdr>
                <w:top w:val="none" w:sz="0" w:space="0" w:color="auto"/>
                <w:left w:val="none" w:sz="0" w:space="0" w:color="auto"/>
                <w:bottom w:val="none" w:sz="0" w:space="0" w:color="auto"/>
                <w:right w:val="none" w:sz="0" w:space="0" w:color="auto"/>
              </w:divBdr>
              <w:divsChild>
                <w:div w:id="10300389">
                  <w:marLeft w:val="0"/>
                  <w:marRight w:val="0"/>
                  <w:marTop w:val="0"/>
                  <w:marBottom w:val="0"/>
                  <w:divBdr>
                    <w:top w:val="none" w:sz="0" w:space="0" w:color="auto"/>
                    <w:left w:val="none" w:sz="0" w:space="0" w:color="auto"/>
                    <w:bottom w:val="none" w:sz="0" w:space="0" w:color="auto"/>
                    <w:right w:val="none" w:sz="0" w:space="0" w:color="auto"/>
                  </w:divBdr>
                  <w:divsChild>
                    <w:div w:id="1197305330">
                      <w:marLeft w:val="0"/>
                      <w:marRight w:val="0"/>
                      <w:marTop w:val="0"/>
                      <w:marBottom w:val="0"/>
                      <w:divBdr>
                        <w:top w:val="none" w:sz="0" w:space="0" w:color="auto"/>
                        <w:left w:val="none" w:sz="0" w:space="0" w:color="auto"/>
                        <w:bottom w:val="none" w:sz="0" w:space="0" w:color="auto"/>
                        <w:right w:val="none" w:sz="0" w:space="0" w:color="auto"/>
                      </w:divBdr>
                      <w:divsChild>
                        <w:div w:id="909271159">
                          <w:marLeft w:val="0"/>
                          <w:marRight w:val="0"/>
                          <w:marTop w:val="0"/>
                          <w:marBottom w:val="0"/>
                          <w:divBdr>
                            <w:top w:val="none" w:sz="0" w:space="0" w:color="auto"/>
                            <w:left w:val="none" w:sz="0" w:space="0" w:color="auto"/>
                            <w:bottom w:val="none" w:sz="0" w:space="0" w:color="auto"/>
                            <w:right w:val="none" w:sz="0" w:space="0" w:color="auto"/>
                          </w:divBdr>
                          <w:divsChild>
                            <w:div w:id="357119578">
                              <w:marLeft w:val="0"/>
                              <w:marRight w:val="0"/>
                              <w:marTop w:val="0"/>
                              <w:marBottom w:val="0"/>
                              <w:divBdr>
                                <w:top w:val="none" w:sz="0" w:space="0" w:color="auto"/>
                                <w:left w:val="none" w:sz="0" w:space="0" w:color="auto"/>
                                <w:bottom w:val="none" w:sz="0" w:space="0" w:color="auto"/>
                                <w:right w:val="none" w:sz="0" w:space="0" w:color="auto"/>
                              </w:divBdr>
                              <w:divsChild>
                                <w:div w:id="968167115">
                                  <w:marLeft w:val="0"/>
                                  <w:marRight w:val="0"/>
                                  <w:marTop w:val="0"/>
                                  <w:marBottom w:val="0"/>
                                  <w:divBdr>
                                    <w:top w:val="none" w:sz="0" w:space="0" w:color="auto"/>
                                    <w:left w:val="none" w:sz="0" w:space="0" w:color="auto"/>
                                    <w:bottom w:val="none" w:sz="0" w:space="0" w:color="auto"/>
                                    <w:right w:val="none" w:sz="0" w:space="0" w:color="auto"/>
                                  </w:divBdr>
                                  <w:divsChild>
                                    <w:div w:id="90781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0940465">
      <w:bodyDiv w:val="1"/>
      <w:marLeft w:val="0"/>
      <w:marRight w:val="0"/>
      <w:marTop w:val="0"/>
      <w:marBottom w:val="0"/>
      <w:divBdr>
        <w:top w:val="none" w:sz="0" w:space="0" w:color="auto"/>
        <w:left w:val="none" w:sz="0" w:space="0" w:color="auto"/>
        <w:bottom w:val="none" w:sz="0" w:space="0" w:color="auto"/>
        <w:right w:val="none" w:sz="0" w:space="0" w:color="auto"/>
      </w:divBdr>
    </w:div>
    <w:div w:id="931015713">
      <w:bodyDiv w:val="1"/>
      <w:marLeft w:val="0"/>
      <w:marRight w:val="0"/>
      <w:marTop w:val="0"/>
      <w:marBottom w:val="0"/>
      <w:divBdr>
        <w:top w:val="none" w:sz="0" w:space="0" w:color="auto"/>
        <w:left w:val="none" w:sz="0" w:space="0" w:color="auto"/>
        <w:bottom w:val="none" w:sz="0" w:space="0" w:color="auto"/>
        <w:right w:val="none" w:sz="0" w:space="0" w:color="auto"/>
      </w:divBdr>
      <w:divsChild>
        <w:div w:id="1126974280">
          <w:marLeft w:val="0"/>
          <w:marRight w:val="0"/>
          <w:marTop w:val="0"/>
          <w:marBottom w:val="0"/>
          <w:divBdr>
            <w:top w:val="none" w:sz="0" w:space="0" w:color="auto"/>
            <w:left w:val="none" w:sz="0" w:space="0" w:color="auto"/>
            <w:bottom w:val="dotted" w:sz="6" w:space="4" w:color="DDDDDD"/>
            <w:right w:val="none" w:sz="0" w:space="0" w:color="auto"/>
          </w:divBdr>
          <w:divsChild>
            <w:div w:id="51742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202050">
      <w:bodyDiv w:val="1"/>
      <w:marLeft w:val="0"/>
      <w:marRight w:val="0"/>
      <w:marTop w:val="0"/>
      <w:marBottom w:val="0"/>
      <w:divBdr>
        <w:top w:val="none" w:sz="0" w:space="0" w:color="auto"/>
        <w:left w:val="none" w:sz="0" w:space="0" w:color="auto"/>
        <w:bottom w:val="none" w:sz="0" w:space="0" w:color="auto"/>
        <w:right w:val="none" w:sz="0" w:space="0" w:color="auto"/>
      </w:divBdr>
    </w:div>
    <w:div w:id="931549080">
      <w:bodyDiv w:val="1"/>
      <w:marLeft w:val="0"/>
      <w:marRight w:val="0"/>
      <w:marTop w:val="0"/>
      <w:marBottom w:val="0"/>
      <w:divBdr>
        <w:top w:val="none" w:sz="0" w:space="0" w:color="auto"/>
        <w:left w:val="none" w:sz="0" w:space="0" w:color="auto"/>
        <w:bottom w:val="none" w:sz="0" w:space="0" w:color="auto"/>
        <w:right w:val="none" w:sz="0" w:space="0" w:color="auto"/>
      </w:divBdr>
      <w:divsChild>
        <w:div w:id="1603954346">
          <w:marLeft w:val="0"/>
          <w:marRight w:val="0"/>
          <w:marTop w:val="0"/>
          <w:marBottom w:val="0"/>
          <w:divBdr>
            <w:top w:val="none" w:sz="0" w:space="0" w:color="auto"/>
            <w:left w:val="none" w:sz="0" w:space="0" w:color="auto"/>
            <w:bottom w:val="none" w:sz="0" w:space="0" w:color="auto"/>
            <w:right w:val="none" w:sz="0" w:space="0" w:color="auto"/>
          </w:divBdr>
          <w:divsChild>
            <w:div w:id="1883446290">
              <w:marLeft w:val="0"/>
              <w:marRight w:val="0"/>
              <w:marTop w:val="0"/>
              <w:marBottom w:val="0"/>
              <w:divBdr>
                <w:top w:val="none" w:sz="0" w:space="0" w:color="auto"/>
                <w:left w:val="none" w:sz="0" w:space="0" w:color="auto"/>
                <w:bottom w:val="none" w:sz="0" w:space="0" w:color="auto"/>
                <w:right w:val="none" w:sz="0" w:space="0" w:color="auto"/>
              </w:divBdr>
              <w:divsChild>
                <w:div w:id="1425491479">
                  <w:marLeft w:val="0"/>
                  <w:marRight w:val="0"/>
                  <w:marTop w:val="0"/>
                  <w:marBottom w:val="0"/>
                  <w:divBdr>
                    <w:top w:val="none" w:sz="0" w:space="0" w:color="auto"/>
                    <w:left w:val="none" w:sz="0" w:space="0" w:color="auto"/>
                    <w:bottom w:val="none" w:sz="0" w:space="0" w:color="auto"/>
                    <w:right w:val="none" w:sz="0" w:space="0" w:color="auto"/>
                  </w:divBdr>
                  <w:divsChild>
                    <w:div w:id="212039657">
                      <w:marLeft w:val="0"/>
                      <w:marRight w:val="0"/>
                      <w:marTop w:val="0"/>
                      <w:marBottom w:val="0"/>
                      <w:divBdr>
                        <w:top w:val="none" w:sz="0" w:space="0" w:color="auto"/>
                        <w:left w:val="none" w:sz="0" w:space="0" w:color="auto"/>
                        <w:bottom w:val="none" w:sz="0" w:space="0" w:color="auto"/>
                        <w:right w:val="none" w:sz="0" w:space="0" w:color="auto"/>
                      </w:divBdr>
                      <w:divsChild>
                        <w:div w:id="1565331507">
                          <w:marLeft w:val="0"/>
                          <w:marRight w:val="0"/>
                          <w:marTop w:val="0"/>
                          <w:marBottom w:val="0"/>
                          <w:divBdr>
                            <w:top w:val="none" w:sz="0" w:space="0" w:color="auto"/>
                            <w:left w:val="none" w:sz="0" w:space="0" w:color="auto"/>
                            <w:bottom w:val="none" w:sz="0" w:space="0" w:color="auto"/>
                            <w:right w:val="none" w:sz="0" w:space="0" w:color="auto"/>
                          </w:divBdr>
                          <w:divsChild>
                            <w:div w:id="1746535470">
                              <w:marLeft w:val="0"/>
                              <w:marRight w:val="0"/>
                              <w:marTop w:val="0"/>
                              <w:marBottom w:val="0"/>
                              <w:divBdr>
                                <w:top w:val="none" w:sz="0" w:space="0" w:color="auto"/>
                                <w:left w:val="none" w:sz="0" w:space="0" w:color="auto"/>
                                <w:bottom w:val="none" w:sz="0" w:space="0" w:color="auto"/>
                                <w:right w:val="none" w:sz="0" w:space="0" w:color="auto"/>
                              </w:divBdr>
                              <w:divsChild>
                                <w:div w:id="317922188">
                                  <w:marLeft w:val="0"/>
                                  <w:marRight w:val="0"/>
                                  <w:marTop w:val="0"/>
                                  <w:marBottom w:val="0"/>
                                  <w:divBdr>
                                    <w:top w:val="none" w:sz="0" w:space="0" w:color="auto"/>
                                    <w:left w:val="none" w:sz="0" w:space="0" w:color="auto"/>
                                    <w:bottom w:val="none" w:sz="0" w:space="0" w:color="auto"/>
                                    <w:right w:val="none" w:sz="0" w:space="0" w:color="auto"/>
                                  </w:divBdr>
                                  <w:divsChild>
                                    <w:div w:id="128137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200731">
      <w:bodyDiv w:val="1"/>
      <w:marLeft w:val="0"/>
      <w:marRight w:val="0"/>
      <w:marTop w:val="0"/>
      <w:marBottom w:val="0"/>
      <w:divBdr>
        <w:top w:val="none" w:sz="0" w:space="0" w:color="auto"/>
        <w:left w:val="none" w:sz="0" w:space="0" w:color="auto"/>
        <w:bottom w:val="none" w:sz="0" w:space="0" w:color="auto"/>
        <w:right w:val="none" w:sz="0" w:space="0" w:color="auto"/>
      </w:divBdr>
      <w:divsChild>
        <w:div w:id="97679255">
          <w:marLeft w:val="0"/>
          <w:marRight w:val="0"/>
          <w:marTop w:val="0"/>
          <w:marBottom w:val="150"/>
          <w:divBdr>
            <w:top w:val="none" w:sz="0" w:space="0" w:color="auto"/>
            <w:left w:val="none" w:sz="0" w:space="0" w:color="auto"/>
            <w:bottom w:val="none" w:sz="0" w:space="0" w:color="auto"/>
            <w:right w:val="none" w:sz="0" w:space="0" w:color="auto"/>
          </w:divBdr>
          <w:divsChild>
            <w:div w:id="1203398964">
              <w:marLeft w:val="0"/>
              <w:marRight w:val="0"/>
              <w:marTop w:val="0"/>
              <w:marBottom w:val="0"/>
              <w:divBdr>
                <w:top w:val="none" w:sz="0" w:space="0" w:color="auto"/>
                <w:left w:val="none" w:sz="0" w:space="0" w:color="auto"/>
                <w:bottom w:val="none" w:sz="0" w:space="0" w:color="auto"/>
                <w:right w:val="none" w:sz="0" w:space="0" w:color="auto"/>
              </w:divBdr>
            </w:div>
          </w:divsChild>
        </w:div>
        <w:div w:id="427625509">
          <w:marLeft w:val="0"/>
          <w:marRight w:val="0"/>
          <w:marTop w:val="0"/>
          <w:marBottom w:val="150"/>
          <w:divBdr>
            <w:top w:val="none" w:sz="0" w:space="0" w:color="auto"/>
            <w:left w:val="none" w:sz="0" w:space="0" w:color="auto"/>
            <w:bottom w:val="none" w:sz="0" w:space="0" w:color="auto"/>
            <w:right w:val="none" w:sz="0" w:space="0" w:color="auto"/>
          </w:divBdr>
        </w:div>
        <w:div w:id="1053626123">
          <w:marLeft w:val="0"/>
          <w:marRight w:val="0"/>
          <w:marTop w:val="0"/>
          <w:marBottom w:val="0"/>
          <w:divBdr>
            <w:top w:val="none" w:sz="0" w:space="0" w:color="auto"/>
            <w:left w:val="none" w:sz="0" w:space="0" w:color="auto"/>
            <w:bottom w:val="none" w:sz="0" w:space="0" w:color="auto"/>
            <w:right w:val="none" w:sz="0" w:space="0" w:color="auto"/>
          </w:divBdr>
          <w:divsChild>
            <w:div w:id="6239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475799">
      <w:bodyDiv w:val="1"/>
      <w:marLeft w:val="0"/>
      <w:marRight w:val="0"/>
      <w:marTop w:val="0"/>
      <w:marBottom w:val="0"/>
      <w:divBdr>
        <w:top w:val="none" w:sz="0" w:space="0" w:color="auto"/>
        <w:left w:val="none" w:sz="0" w:space="0" w:color="auto"/>
        <w:bottom w:val="none" w:sz="0" w:space="0" w:color="auto"/>
        <w:right w:val="none" w:sz="0" w:space="0" w:color="auto"/>
      </w:divBdr>
      <w:divsChild>
        <w:div w:id="474570930">
          <w:marLeft w:val="0"/>
          <w:marRight w:val="0"/>
          <w:marTop w:val="0"/>
          <w:marBottom w:val="0"/>
          <w:divBdr>
            <w:top w:val="none" w:sz="0" w:space="0" w:color="auto"/>
            <w:left w:val="none" w:sz="0" w:space="0" w:color="auto"/>
            <w:bottom w:val="dotted" w:sz="6" w:space="4" w:color="DDDDDD"/>
            <w:right w:val="none" w:sz="0" w:space="0" w:color="auto"/>
          </w:divBdr>
          <w:divsChild>
            <w:div w:id="188012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590995">
      <w:bodyDiv w:val="1"/>
      <w:marLeft w:val="0"/>
      <w:marRight w:val="0"/>
      <w:marTop w:val="0"/>
      <w:marBottom w:val="0"/>
      <w:divBdr>
        <w:top w:val="none" w:sz="0" w:space="0" w:color="auto"/>
        <w:left w:val="none" w:sz="0" w:space="0" w:color="auto"/>
        <w:bottom w:val="none" w:sz="0" w:space="0" w:color="auto"/>
        <w:right w:val="none" w:sz="0" w:space="0" w:color="auto"/>
      </w:divBdr>
      <w:divsChild>
        <w:div w:id="1252659790">
          <w:marLeft w:val="0"/>
          <w:marRight w:val="0"/>
          <w:marTop w:val="0"/>
          <w:marBottom w:val="0"/>
          <w:divBdr>
            <w:top w:val="none" w:sz="0" w:space="0" w:color="auto"/>
            <w:left w:val="none" w:sz="0" w:space="0" w:color="auto"/>
            <w:bottom w:val="none" w:sz="0" w:space="0" w:color="auto"/>
            <w:right w:val="none" w:sz="0" w:space="0" w:color="auto"/>
          </w:divBdr>
          <w:divsChild>
            <w:div w:id="1600872760">
              <w:marLeft w:val="0"/>
              <w:marRight w:val="0"/>
              <w:marTop w:val="0"/>
              <w:marBottom w:val="0"/>
              <w:divBdr>
                <w:top w:val="none" w:sz="0" w:space="0" w:color="auto"/>
                <w:left w:val="none" w:sz="0" w:space="0" w:color="auto"/>
                <w:bottom w:val="none" w:sz="0" w:space="0" w:color="auto"/>
                <w:right w:val="none" w:sz="0" w:space="0" w:color="auto"/>
              </w:divBdr>
            </w:div>
          </w:divsChild>
        </w:div>
        <w:div w:id="1072115970">
          <w:marLeft w:val="0"/>
          <w:marRight w:val="0"/>
          <w:marTop w:val="0"/>
          <w:marBottom w:val="0"/>
          <w:divBdr>
            <w:top w:val="none" w:sz="0" w:space="0" w:color="auto"/>
            <w:left w:val="none" w:sz="0" w:space="0" w:color="auto"/>
            <w:bottom w:val="none" w:sz="0" w:space="0" w:color="auto"/>
            <w:right w:val="none" w:sz="0" w:space="0" w:color="auto"/>
          </w:divBdr>
        </w:div>
        <w:div w:id="1978804468">
          <w:marLeft w:val="0"/>
          <w:marRight w:val="0"/>
          <w:marTop w:val="0"/>
          <w:marBottom w:val="0"/>
          <w:divBdr>
            <w:top w:val="none" w:sz="0" w:space="0" w:color="auto"/>
            <w:left w:val="none" w:sz="0" w:space="0" w:color="auto"/>
            <w:bottom w:val="none" w:sz="0" w:space="0" w:color="auto"/>
            <w:right w:val="none" w:sz="0" w:space="0" w:color="auto"/>
          </w:divBdr>
          <w:divsChild>
            <w:div w:id="751241760">
              <w:marLeft w:val="-225"/>
              <w:marRight w:val="-225"/>
              <w:marTop w:val="0"/>
              <w:marBottom w:val="0"/>
              <w:divBdr>
                <w:top w:val="none" w:sz="0" w:space="0" w:color="auto"/>
                <w:left w:val="none" w:sz="0" w:space="0" w:color="auto"/>
                <w:bottom w:val="none" w:sz="0" w:space="0" w:color="auto"/>
                <w:right w:val="none" w:sz="0" w:space="0" w:color="auto"/>
              </w:divBdr>
              <w:divsChild>
                <w:div w:id="1566523482">
                  <w:marLeft w:val="0"/>
                  <w:marRight w:val="0"/>
                  <w:marTop w:val="0"/>
                  <w:marBottom w:val="0"/>
                  <w:divBdr>
                    <w:top w:val="none" w:sz="0" w:space="0" w:color="auto"/>
                    <w:left w:val="none" w:sz="0" w:space="0" w:color="auto"/>
                    <w:bottom w:val="none" w:sz="0" w:space="0" w:color="auto"/>
                    <w:right w:val="single" w:sz="6" w:space="0" w:color="000000"/>
                  </w:divBdr>
                  <w:divsChild>
                    <w:div w:id="804276118">
                      <w:marLeft w:val="0"/>
                      <w:marRight w:val="0"/>
                      <w:marTop w:val="0"/>
                      <w:marBottom w:val="0"/>
                      <w:divBdr>
                        <w:top w:val="none" w:sz="0" w:space="0" w:color="auto"/>
                        <w:left w:val="none" w:sz="0" w:space="0" w:color="auto"/>
                        <w:bottom w:val="none" w:sz="0" w:space="0" w:color="auto"/>
                        <w:right w:val="none" w:sz="0" w:space="0" w:color="auto"/>
                      </w:divBdr>
                      <w:divsChild>
                        <w:div w:id="573668441">
                          <w:marLeft w:val="0"/>
                          <w:marRight w:val="0"/>
                          <w:marTop w:val="0"/>
                          <w:marBottom w:val="0"/>
                          <w:divBdr>
                            <w:top w:val="none" w:sz="0" w:space="0" w:color="auto"/>
                            <w:left w:val="none" w:sz="0" w:space="0" w:color="auto"/>
                            <w:bottom w:val="none" w:sz="0" w:space="0" w:color="auto"/>
                            <w:right w:val="none" w:sz="0" w:space="0" w:color="auto"/>
                          </w:divBdr>
                        </w:div>
                        <w:div w:id="204947776">
                          <w:marLeft w:val="0"/>
                          <w:marRight w:val="0"/>
                          <w:marTop w:val="0"/>
                          <w:marBottom w:val="0"/>
                          <w:divBdr>
                            <w:top w:val="none" w:sz="0" w:space="0" w:color="auto"/>
                            <w:left w:val="none" w:sz="0" w:space="0" w:color="auto"/>
                            <w:bottom w:val="none" w:sz="0" w:space="0" w:color="auto"/>
                            <w:right w:val="none" w:sz="0" w:space="0" w:color="auto"/>
                          </w:divBdr>
                        </w:div>
                        <w:div w:id="1223491625">
                          <w:marLeft w:val="0"/>
                          <w:marRight w:val="0"/>
                          <w:marTop w:val="0"/>
                          <w:marBottom w:val="0"/>
                          <w:divBdr>
                            <w:top w:val="none" w:sz="0" w:space="0" w:color="auto"/>
                            <w:left w:val="none" w:sz="0" w:space="0" w:color="auto"/>
                            <w:bottom w:val="none" w:sz="0" w:space="0" w:color="auto"/>
                            <w:right w:val="none" w:sz="0" w:space="0" w:color="auto"/>
                          </w:divBdr>
                        </w:div>
                        <w:div w:id="107100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48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668521">
      <w:bodyDiv w:val="1"/>
      <w:marLeft w:val="0"/>
      <w:marRight w:val="0"/>
      <w:marTop w:val="0"/>
      <w:marBottom w:val="0"/>
      <w:divBdr>
        <w:top w:val="none" w:sz="0" w:space="0" w:color="auto"/>
        <w:left w:val="none" w:sz="0" w:space="0" w:color="auto"/>
        <w:bottom w:val="none" w:sz="0" w:space="0" w:color="auto"/>
        <w:right w:val="none" w:sz="0" w:space="0" w:color="auto"/>
      </w:divBdr>
    </w:div>
    <w:div w:id="932906706">
      <w:bodyDiv w:val="1"/>
      <w:marLeft w:val="0"/>
      <w:marRight w:val="0"/>
      <w:marTop w:val="0"/>
      <w:marBottom w:val="0"/>
      <w:divBdr>
        <w:top w:val="none" w:sz="0" w:space="0" w:color="auto"/>
        <w:left w:val="none" w:sz="0" w:space="0" w:color="auto"/>
        <w:bottom w:val="none" w:sz="0" w:space="0" w:color="auto"/>
        <w:right w:val="none" w:sz="0" w:space="0" w:color="auto"/>
      </w:divBdr>
      <w:divsChild>
        <w:div w:id="1330249866">
          <w:marLeft w:val="0"/>
          <w:marRight w:val="0"/>
          <w:marTop w:val="0"/>
          <w:marBottom w:val="0"/>
          <w:divBdr>
            <w:top w:val="none" w:sz="0" w:space="0" w:color="auto"/>
            <w:left w:val="none" w:sz="0" w:space="0" w:color="auto"/>
            <w:bottom w:val="dotted" w:sz="6" w:space="4" w:color="DDDDDD"/>
            <w:right w:val="none" w:sz="0" w:space="0" w:color="auto"/>
          </w:divBdr>
          <w:divsChild>
            <w:div w:id="209971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32328">
      <w:bodyDiv w:val="1"/>
      <w:marLeft w:val="0"/>
      <w:marRight w:val="0"/>
      <w:marTop w:val="0"/>
      <w:marBottom w:val="0"/>
      <w:divBdr>
        <w:top w:val="none" w:sz="0" w:space="0" w:color="auto"/>
        <w:left w:val="none" w:sz="0" w:space="0" w:color="auto"/>
        <w:bottom w:val="none" w:sz="0" w:space="0" w:color="auto"/>
        <w:right w:val="none" w:sz="0" w:space="0" w:color="auto"/>
      </w:divBdr>
    </w:div>
    <w:div w:id="933435656">
      <w:bodyDiv w:val="1"/>
      <w:marLeft w:val="0"/>
      <w:marRight w:val="0"/>
      <w:marTop w:val="0"/>
      <w:marBottom w:val="0"/>
      <w:divBdr>
        <w:top w:val="none" w:sz="0" w:space="0" w:color="auto"/>
        <w:left w:val="none" w:sz="0" w:space="0" w:color="auto"/>
        <w:bottom w:val="none" w:sz="0" w:space="0" w:color="auto"/>
        <w:right w:val="none" w:sz="0" w:space="0" w:color="auto"/>
      </w:divBdr>
      <w:divsChild>
        <w:div w:id="764036486">
          <w:marLeft w:val="0"/>
          <w:marRight w:val="0"/>
          <w:marTop w:val="0"/>
          <w:marBottom w:val="0"/>
          <w:divBdr>
            <w:top w:val="none" w:sz="0" w:space="0" w:color="auto"/>
            <w:left w:val="none" w:sz="0" w:space="0" w:color="auto"/>
            <w:bottom w:val="none" w:sz="0" w:space="0" w:color="auto"/>
            <w:right w:val="none" w:sz="0" w:space="0" w:color="auto"/>
          </w:divBdr>
          <w:divsChild>
            <w:div w:id="1108545652">
              <w:marLeft w:val="0"/>
              <w:marRight w:val="0"/>
              <w:marTop w:val="0"/>
              <w:marBottom w:val="0"/>
              <w:divBdr>
                <w:top w:val="none" w:sz="0" w:space="0" w:color="auto"/>
                <w:left w:val="none" w:sz="0" w:space="0" w:color="auto"/>
                <w:bottom w:val="none" w:sz="0" w:space="0" w:color="auto"/>
                <w:right w:val="none" w:sz="0" w:space="0" w:color="auto"/>
              </w:divBdr>
              <w:divsChild>
                <w:div w:id="744493843">
                  <w:marLeft w:val="0"/>
                  <w:marRight w:val="0"/>
                  <w:marTop w:val="0"/>
                  <w:marBottom w:val="0"/>
                  <w:divBdr>
                    <w:top w:val="none" w:sz="0" w:space="0" w:color="auto"/>
                    <w:left w:val="none" w:sz="0" w:space="0" w:color="auto"/>
                    <w:bottom w:val="none" w:sz="0" w:space="0" w:color="auto"/>
                    <w:right w:val="none" w:sz="0" w:space="0" w:color="auto"/>
                  </w:divBdr>
                  <w:divsChild>
                    <w:div w:id="1230195154">
                      <w:marLeft w:val="0"/>
                      <w:marRight w:val="0"/>
                      <w:marTop w:val="0"/>
                      <w:marBottom w:val="0"/>
                      <w:divBdr>
                        <w:top w:val="none" w:sz="0" w:space="0" w:color="auto"/>
                        <w:left w:val="none" w:sz="0" w:space="0" w:color="auto"/>
                        <w:bottom w:val="none" w:sz="0" w:space="0" w:color="auto"/>
                        <w:right w:val="none" w:sz="0" w:space="0" w:color="auto"/>
                      </w:divBdr>
                      <w:divsChild>
                        <w:div w:id="1976636699">
                          <w:marLeft w:val="0"/>
                          <w:marRight w:val="0"/>
                          <w:marTop w:val="0"/>
                          <w:marBottom w:val="0"/>
                          <w:divBdr>
                            <w:top w:val="none" w:sz="0" w:space="0" w:color="auto"/>
                            <w:left w:val="none" w:sz="0" w:space="0" w:color="auto"/>
                            <w:bottom w:val="none" w:sz="0" w:space="0" w:color="auto"/>
                            <w:right w:val="none" w:sz="0" w:space="0" w:color="auto"/>
                          </w:divBdr>
                          <w:divsChild>
                            <w:div w:id="1210873180">
                              <w:marLeft w:val="0"/>
                              <w:marRight w:val="0"/>
                              <w:marTop w:val="0"/>
                              <w:marBottom w:val="0"/>
                              <w:divBdr>
                                <w:top w:val="none" w:sz="0" w:space="0" w:color="auto"/>
                                <w:left w:val="none" w:sz="0" w:space="0" w:color="auto"/>
                                <w:bottom w:val="none" w:sz="0" w:space="0" w:color="auto"/>
                                <w:right w:val="none" w:sz="0" w:space="0" w:color="auto"/>
                              </w:divBdr>
                              <w:divsChild>
                                <w:div w:id="2103642738">
                                  <w:marLeft w:val="0"/>
                                  <w:marRight w:val="0"/>
                                  <w:marTop w:val="0"/>
                                  <w:marBottom w:val="0"/>
                                  <w:divBdr>
                                    <w:top w:val="none" w:sz="0" w:space="0" w:color="auto"/>
                                    <w:left w:val="none" w:sz="0" w:space="0" w:color="auto"/>
                                    <w:bottom w:val="none" w:sz="0" w:space="0" w:color="auto"/>
                                    <w:right w:val="none" w:sz="0" w:space="0" w:color="auto"/>
                                  </w:divBdr>
                                  <w:divsChild>
                                    <w:div w:id="1694070185">
                                      <w:marLeft w:val="0"/>
                                      <w:marRight w:val="0"/>
                                      <w:marTop w:val="0"/>
                                      <w:marBottom w:val="0"/>
                                      <w:divBdr>
                                        <w:top w:val="none" w:sz="0" w:space="0" w:color="auto"/>
                                        <w:left w:val="none" w:sz="0" w:space="0" w:color="auto"/>
                                        <w:bottom w:val="none" w:sz="0" w:space="0" w:color="auto"/>
                                        <w:right w:val="none" w:sz="0" w:space="0" w:color="auto"/>
                                      </w:divBdr>
                                      <w:divsChild>
                                        <w:div w:id="136448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3900433">
      <w:bodyDiv w:val="1"/>
      <w:marLeft w:val="0"/>
      <w:marRight w:val="0"/>
      <w:marTop w:val="0"/>
      <w:marBottom w:val="0"/>
      <w:divBdr>
        <w:top w:val="none" w:sz="0" w:space="0" w:color="auto"/>
        <w:left w:val="none" w:sz="0" w:space="0" w:color="auto"/>
        <w:bottom w:val="none" w:sz="0" w:space="0" w:color="auto"/>
        <w:right w:val="none" w:sz="0" w:space="0" w:color="auto"/>
      </w:divBdr>
      <w:divsChild>
        <w:div w:id="516847325">
          <w:marLeft w:val="0"/>
          <w:marRight w:val="0"/>
          <w:marTop w:val="0"/>
          <w:marBottom w:val="0"/>
          <w:divBdr>
            <w:top w:val="none" w:sz="0" w:space="0" w:color="auto"/>
            <w:left w:val="none" w:sz="0" w:space="0" w:color="auto"/>
            <w:bottom w:val="dotted" w:sz="6" w:space="4" w:color="DDDDDD"/>
            <w:right w:val="none" w:sz="0" w:space="0" w:color="auto"/>
          </w:divBdr>
        </w:div>
      </w:divsChild>
    </w:div>
    <w:div w:id="934363537">
      <w:bodyDiv w:val="1"/>
      <w:marLeft w:val="0"/>
      <w:marRight w:val="0"/>
      <w:marTop w:val="0"/>
      <w:marBottom w:val="0"/>
      <w:divBdr>
        <w:top w:val="none" w:sz="0" w:space="0" w:color="auto"/>
        <w:left w:val="none" w:sz="0" w:space="0" w:color="auto"/>
        <w:bottom w:val="none" w:sz="0" w:space="0" w:color="auto"/>
        <w:right w:val="none" w:sz="0" w:space="0" w:color="auto"/>
      </w:divBdr>
      <w:divsChild>
        <w:div w:id="482507959">
          <w:marLeft w:val="0"/>
          <w:marRight w:val="0"/>
          <w:marTop w:val="0"/>
          <w:marBottom w:val="0"/>
          <w:divBdr>
            <w:top w:val="none" w:sz="0" w:space="0" w:color="auto"/>
            <w:left w:val="none" w:sz="0" w:space="0" w:color="auto"/>
            <w:bottom w:val="none" w:sz="0" w:space="0" w:color="auto"/>
            <w:right w:val="none" w:sz="0" w:space="0" w:color="auto"/>
          </w:divBdr>
          <w:divsChild>
            <w:div w:id="301810710">
              <w:marLeft w:val="0"/>
              <w:marRight w:val="0"/>
              <w:marTop w:val="225"/>
              <w:marBottom w:val="225"/>
              <w:divBdr>
                <w:top w:val="none" w:sz="0" w:space="0" w:color="auto"/>
                <w:left w:val="none" w:sz="0" w:space="0" w:color="auto"/>
                <w:bottom w:val="none" w:sz="0" w:space="0" w:color="auto"/>
                <w:right w:val="none" w:sz="0" w:space="0" w:color="auto"/>
              </w:divBdr>
            </w:div>
          </w:divsChild>
        </w:div>
        <w:div w:id="1125343731">
          <w:marLeft w:val="0"/>
          <w:marRight w:val="0"/>
          <w:marTop w:val="0"/>
          <w:marBottom w:val="150"/>
          <w:divBdr>
            <w:top w:val="none" w:sz="0" w:space="0" w:color="auto"/>
            <w:left w:val="none" w:sz="0" w:space="0" w:color="auto"/>
            <w:bottom w:val="none" w:sz="0" w:space="0" w:color="auto"/>
            <w:right w:val="none" w:sz="0" w:space="0" w:color="auto"/>
          </w:divBdr>
        </w:div>
        <w:div w:id="1580289181">
          <w:marLeft w:val="0"/>
          <w:marRight w:val="0"/>
          <w:marTop w:val="0"/>
          <w:marBottom w:val="150"/>
          <w:divBdr>
            <w:top w:val="none" w:sz="0" w:space="0" w:color="auto"/>
            <w:left w:val="none" w:sz="0" w:space="0" w:color="auto"/>
            <w:bottom w:val="none" w:sz="0" w:space="0" w:color="auto"/>
            <w:right w:val="none" w:sz="0" w:space="0" w:color="auto"/>
          </w:divBdr>
          <w:divsChild>
            <w:div w:id="134489593">
              <w:marLeft w:val="0"/>
              <w:marRight w:val="0"/>
              <w:marTop w:val="0"/>
              <w:marBottom w:val="0"/>
              <w:divBdr>
                <w:top w:val="none" w:sz="0" w:space="0" w:color="auto"/>
                <w:left w:val="none" w:sz="0" w:space="0" w:color="auto"/>
                <w:bottom w:val="none" w:sz="0" w:space="0" w:color="auto"/>
                <w:right w:val="none" w:sz="0" w:space="0" w:color="auto"/>
              </w:divBdr>
              <w:divsChild>
                <w:div w:id="209134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84409">
      <w:bodyDiv w:val="1"/>
      <w:marLeft w:val="0"/>
      <w:marRight w:val="0"/>
      <w:marTop w:val="0"/>
      <w:marBottom w:val="0"/>
      <w:divBdr>
        <w:top w:val="none" w:sz="0" w:space="0" w:color="auto"/>
        <w:left w:val="none" w:sz="0" w:space="0" w:color="auto"/>
        <w:bottom w:val="none" w:sz="0" w:space="0" w:color="auto"/>
        <w:right w:val="none" w:sz="0" w:space="0" w:color="auto"/>
      </w:divBdr>
      <w:divsChild>
        <w:div w:id="1091775089">
          <w:marLeft w:val="0"/>
          <w:marRight w:val="0"/>
          <w:marTop w:val="0"/>
          <w:marBottom w:val="0"/>
          <w:divBdr>
            <w:top w:val="none" w:sz="0" w:space="0" w:color="auto"/>
            <w:left w:val="none" w:sz="0" w:space="0" w:color="auto"/>
            <w:bottom w:val="none" w:sz="0" w:space="0" w:color="auto"/>
            <w:right w:val="none" w:sz="0" w:space="0" w:color="auto"/>
          </w:divBdr>
          <w:divsChild>
            <w:div w:id="571935082">
              <w:marLeft w:val="0"/>
              <w:marRight w:val="0"/>
              <w:marTop w:val="0"/>
              <w:marBottom w:val="0"/>
              <w:divBdr>
                <w:top w:val="none" w:sz="0" w:space="0" w:color="auto"/>
                <w:left w:val="none" w:sz="0" w:space="0" w:color="auto"/>
                <w:bottom w:val="none" w:sz="0" w:space="0" w:color="auto"/>
                <w:right w:val="none" w:sz="0" w:space="0" w:color="auto"/>
              </w:divBdr>
              <w:divsChild>
                <w:div w:id="715008894">
                  <w:marLeft w:val="0"/>
                  <w:marRight w:val="0"/>
                  <w:marTop w:val="0"/>
                  <w:marBottom w:val="0"/>
                  <w:divBdr>
                    <w:top w:val="none" w:sz="0" w:space="0" w:color="auto"/>
                    <w:left w:val="none" w:sz="0" w:space="0" w:color="auto"/>
                    <w:bottom w:val="none" w:sz="0" w:space="0" w:color="auto"/>
                    <w:right w:val="none" w:sz="0" w:space="0" w:color="auto"/>
                  </w:divBdr>
                  <w:divsChild>
                    <w:div w:id="1020427581">
                      <w:marLeft w:val="0"/>
                      <w:marRight w:val="0"/>
                      <w:marTop w:val="0"/>
                      <w:marBottom w:val="0"/>
                      <w:divBdr>
                        <w:top w:val="none" w:sz="0" w:space="0" w:color="auto"/>
                        <w:left w:val="none" w:sz="0" w:space="0" w:color="auto"/>
                        <w:bottom w:val="none" w:sz="0" w:space="0" w:color="auto"/>
                        <w:right w:val="none" w:sz="0" w:space="0" w:color="auto"/>
                      </w:divBdr>
                      <w:divsChild>
                        <w:div w:id="542136237">
                          <w:marLeft w:val="0"/>
                          <w:marRight w:val="0"/>
                          <w:marTop w:val="0"/>
                          <w:marBottom w:val="0"/>
                          <w:divBdr>
                            <w:top w:val="none" w:sz="0" w:space="0" w:color="auto"/>
                            <w:left w:val="none" w:sz="0" w:space="0" w:color="auto"/>
                            <w:bottom w:val="none" w:sz="0" w:space="0" w:color="auto"/>
                            <w:right w:val="none" w:sz="0" w:space="0" w:color="auto"/>
                          </w:divBdr>
                          <w:divsChild>
                            <w:div w:id="1026440217">
                              <w:marLeft w:val="0"/>
                              <w:marRight w:val="0"/>
                              <w:marTop w:val="0"/>
                              <w:marBottom w:val="0"/>
                              <w:divBdr>
                                <w:top w:val="none" w:sz="0" w:space="0" w:color="auto"/>
                                <w:left w:val="none" w:sz="0" w:space="0" w:color="auto"/>
                                <w:bottom w:val="none" w:sz="0" w:space="0" w:color="auto"/>
                                <w:right w:val="none" w:sz="0" w:space="0" w:color="auto"/>
                              </w:divBdr>
                              <w:divsChild>
                                <w:div w:id="1627269698">
                                  <w:marLeft w:val="0"/>
                                  <w:marRight w:val="0"/>
                                  <w:marTop w:val="0"/>
                                  <w:marBottom w:val="0"/>
                                  <w:divBdr>
                                    <w:top w:val="none" w:sz="0" w:space="0" w:color="auto"/>
                                    <w:left w:val="none" w:sz="0" w:space="0" w:color="auto"/>
                                    <w:bottom w:val="none" w:sz="0" w:space="0" w:color="auto"/>
                                    <w:right w:val="none" w:sz="0" w:space="0" w:color="auto"/>
                                  </w:divBdr>
                                  <w:divsChild>
                                    <w:div w:id="96655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5402254">
      <w:bodyDiv w:val="1"/>
      <w:marLeft w:val="0"/>
      <w:marRight w:val="0"/>
      <w:marTop w:val="0"/>
      <w:marBottom w:val="0"/>
      <w:divBdr>
        <w:top w:val="none" w:sz="0" w:space="0" w:color="auto"/>
        <w:left w:val="none" w:sz="0" w:space="0" w:color="auto"/>
        <w:bottom w:val="none" w:sz="0" w:space="0" w:color="auto"/>
        <w:right w:val="none" w:sz="0" w:space="0" w:color="auto"/>
      </w:divBdr>
    </w:div>
    <w:div w:id="935558157">
      <w:bodyDiv w:val="1"/>
      <w:marLeft w:val="0"/>
      <w:marRight w:val="0"/>
      <w:marTop w:val="0"/>
      <w:marBottom w:val="0"/>
      <w:divBdr>
        <w:top w:val="none" w:sz="0" w:space="0" w:color="auto"/>
        <w:left w:val="none" w:sz="0" w:space="0" w:color="auto"/>
        <w:bottom w:val="none" w:sz="0" w:space="0" w:color="auto"/>
        <w:right w:val="none" w:sz="0" w:space="0" w:color="auto"/>
      </w:divBdr>
      <w:divsChild>
        <w:div w:id="1868719376">
          <w:marLeft w:val="0"/>
          <w:marRight w:val="0"/>
          <w:marTop w:val="0"/>
          <w:marBottom w:val="150"/>
          <w:divBdr>
            <w:top w:val="none" w:sz="0" w:space="0" w:color="auto"/>
            <w:left w:val="none" w:sz="0" w:space="0" w:color="auto"/>
            <w:bottom w:val="none" w:sz="0" w:space="0" w:color="auto"/>
            <w:right w:val="none" w:sz="0" w:space="0" w:color="auto"/>
          </w:divBdr>
        </w:div>
      </w:divsChild>
    </w:div>
    <w:div w:id="935670254">
      <w:bodyDiv w:val="1"/>
      <w:marLeft w:val="0"/>
      <w:marRight w:val="0"/>
      <w:marTop w:val="0"/>
      <w:marBottom w:val="0"/>
      <w:divBdr>
        <w:top w:val="none" w:sz="0" w:space="0" w:color="auto"/>
        <w:left w:val="none" w:sz="0" w:space="0" w:color="auto"/>
        <w:bottom w:val="none" w:sz="0" w:space="0" w:color="auto"/>
        <w:right w:val="none" w:sz="0" w:space="0" w:color="auto"/>
      </w:divBdr>
      <w:divsChild>
        <w:div w:id="2076781042">
          <w:marLeft w:val="0"/>
          <w:marRight w:val="0"/>
          <w:marTop w:val="0"/>
          <w:marBottom w:val="0"/>
          <w:divBdr>
            <w:top w:val="none" w:sz="0" w:space="0" w:color="auto"/>
            <w:left w:val="none" w:sz="0" w:space="0" w:color="auto"/>
            <w:bottom w:val="dotted" w:sz="6" w:space="4" w:color="DDDDDD"/>
            <w:right w:val="none" w:sz="0" w:space="0" w:color="auto"/>
          </w:divBdr>
          <w:divsChild>
            <w:div w:id="148334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444177">
      <w:bodyDiv w:val="1"/>
      <w:marLeft w:val="0"/>
      <w:marRight w:val="0"/>
      <w:marTop w:val="0"/>
      <w:marBottom w:val="0"/>
      <w:divBdr>
        <w:top w:val="none" w:sz="0" w:space="0" w:color="auto"/>
        <w:left w:val="none" w:sz="0" w:space="0" w:color="auto"/>
        <w:bottom w:val="none" w:sz="0" w:space="0" w:color="auto"/>
        <w:right w:val="none" w:sz="0" w:space="0" w:color="auto"/>
      </w:divBdr>
      <w:divsChild>
        <w:div w:id="105463450">
          <w:marLeft w:val="0"/>
          <w:marRight w:val="0"/>
          <w:marTop w:val="300"/>
          <w:marBottom w:val="0"/>
          <w:divBdr>
            <w:top w:val="none" w:sz="0" w:space="0" w:color="auto"/>
            <w:left w:val="none" w:sz="0" w:space="0" w:color="auto"/>
            <w:bottom w:val="none" w:sz="0" w:space="0" w:color="auto"/>
            <w:right w:val="none" w:sz="0" w:space="0" w:color="auto"/>
          </w:divBdr>
          <w:divsChild>
            <w:div w:id="884876548">
              <w:marLeft w:val="-1350"/>
              <w:marRight w:val="0"/>
              <w:marTop w:val="0"/>
              <w:marBottom w:val="0"/>
              <w:divBdr>
                <w:top w:val="none" w:sz="0" w:space="0" w:color="auto"/>
                <w:left w:val="none" w:sz="0" w:space="0" w:color="auto"/>
                <w:bottom w:val="none" w:sz="0" w:space="0" w:color="auto"/>
                <w:right w:val="none" w:sz="0" w:space="0" w:color="auto"/>
              </w:divBdr>
              <w:divsChild>
                <w:div w:id="232661262">
                  <w:marLeft w:val="0"/>
                  <w:marRight w:val="0"/>
                  <w:marTop w:val="0"/>
                  <w:marBottom w:val="0"/>
                  <w:divBdr>
                    <w:top w:val="none" w:sz="0" w:space="0" w:color="auto"/>
                    <w:left w:val="none" w:sz="0" w:space="0" w:color="auto"/>
                    <w:bottom w:val="none" w:sz="0" w:space="0" w:color="auto"/>
                    <w:right w:val="none" w:sz="0" w:space="0" w:color="auto"/>
                  </w:divBdr>
                  <w:divsChild>
                    <w:div w:id="1915240833">
                      <w:marLeft w:val="0"/>
                      <w:marRight w:val="0"/>
                      <w:marTop w:val="0"/>
                      <w:marBottom w:val="0"/>
                      <w:divBdr>
                        <w:top w:val="none" w:sz="0" w:space="0" w:color="auto"/>
                        <w:left w:val="none" w:sz="0" w:space="0" w:color="auto"/>
                        <w:bottom w:val="none" w:sz="0" w:space="0" w:color="auto"/>
                        <w:right w:val="none" w:sz="0" w:space="0" w:color="auto"/>
                      </w:divBdr>
                      <w:divsChild>
                        <w:div w:id="1008404120">
                          <w:marLeft w:val="0"/>
                          <w:marRight w:val="0"/>
                          <w:marTop w:val="0"/>
                          <w:marBottom w:val="0"/>
                          <w:divBdr>
                            <w:top w:val="single" w:sz="6" w:space="0" w:color="C7C7C7"/>
                            <w:left w:val="single" w:sz="6" w:space="0" w:color="C7C7C7"/>
                            <w:bottom w:val="single" w:sz="6" w:space="0" w:color="C7C7C7"/>
                            <w:right w:val="single" w:sz="6" w:space="0" w:color="C7C7C7"/>
                          </w:divBdr>
                          <w:divsChild>
                            <w:div w:id="338318501">
                              <w:marLeft w:val="0"/>
                              <w:marRight w:val="0"/>
                              <w:marTop w:val="100"/>
                              <w:marBottom w:val="100"/>
                              <w:divBdr>
                                <w:top w:val="none" w:sz="0" w:space="11" w:color="auto"/>
                                <w:left w:val="none" w:sz="0" w:space="0" w:color="auto"/>
                                <w:bottom w:val="single" w:sz="6" w:space="11" w:color="C7C7C7"/>
                                <w:right w:val="none" w:sz="0" w:space="0" w:color="auto"/>
                              </w:divBdr>
                            </w:div>
                            <w:div w:id="744107976">
                              <w:marLeft w:val="0"/>
                              <w:marRight w:val="0"/>
                              <w:marTop w:val="100"/>
                              <w:marBottom w:val="100"/>
                              <w:divBdr>
                                <w:top w:val="none" w:sz="0" w:space="11" w:color="auto"/>
                                <w:left w:val="none" w:sz="0" w:space="0" w:color="auto"/>
                                <w:bottom w:val="single" w:sz="6" w:space="11" w:color="C7C7C7"/>
                                <w:right w:val="none" w:sz="0" w:space="0" w:color="auto"/>
                              </w:divBdr>
                            </w:div>
                            <w:div w:id="1101148718">
                              <w:marLeft w:val="0"/>
                              <w:marRight w:val="0"/>
                              <w:marTop w:val="100"/>
                              <w:marBottom w:val="100"/>
                              <w:divBdr>
                                <w:top w:val="none" w:sz="0" w:space="11" w:color="auto"/>
                                <w:left w:val="none" w:sz="0" w:space="0" w:color="auto"/>
                                <w:bottom w:val="single" w:sz="6" w:space="11" w:color="C7C7C7"/>
                                <w:right w:val="none" w:sz="0" w:space="0" w:color="auto"/>
                              </w:divBdr>
                            </w:div>
                            <w:div w:id="165892460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151406265">
              <w:marLeft w:val="0"/>
              <w:marRight w:val="0"/>
              <w:marTop w:val="0"/>
              <w:marBottom w:val="0"/>
              <w:divBdr>
                <w:top w:val="none" w:sz="0" w:space="0" w:color="auto"/>
                <w:left w:val="none" w:sz="0" w:space="0" w:color="auto"/>
                <w:bottom w:val="none" w:sz="0" w:space="0" w:color="auto"/>
                <w:right w:val="none" w:sz="0" w:space="0" w:color="auto"/>
              </w:divBdr>
              <w:divsChild>
                <w:div w:id="1148522625">
                  <w:marLeft w:val="0"/>
                  <w:marRight w:val="0"/>
                  <w:marTop w:val="0"/>
                  <w:marBottom w:val="0"/>
                  <w:divBdr>
                    <w:top w:val="none" w:sz="0" w:space="0" w:color="auto"/>
                    <w:left w:val="none" w:sz="0" w:space="0" w:color="auto"/>
                    <w:bottom w:val="none" w:sz="0" w:space="0" w:color="auto"/>
                    <w:right w:val="none" w:sz="0" w:space="0" w:color="auto"/>
                  </w:divBdr>
                  <w:divsChild>
                    <w:div w:id="963316885">
                      <w:marLeft w:val="0"/>
                      <w:marRight w:val="0"/>
                      <w:marTop w:val="0"/>
                      <w:marBottom w:val="0"/>
                      <w:divBdr>
                        <w:top w:val="none" w:sz="0" w:space="0" w:color="auto"/>
                        <w:left w:val="none" w:sz="0" w:space="0" w:color="auto"/>
                        <w:bottom w:val="none" w:sz="0" w:space="0" w:color="auto"/>
                        <w:right w:val="none" w:sz="0" w:space="0" w:color="auto"/>
                      </w:divBdr>
                    </w:div>
                  </w:divsChild>
                </w:div>
                <w:div w:id="1557274971">
                  <w:marLeft w:val="0"/>
                  <w:marRight w:val="0"/>
                  <w:marTop w:val="150"/>
                  <w:marBottom w:val="0"/>
                  <w:divBdr>
                    <w:top w:val="none" w:sz="0" w:space="0" w:color="auto"/>
                    <w:left w:val="none" w:sz="0" w:space="0" w:color="auto"/>
                    <w:bottom w:val="none" w:sz="0" w:space="0" w:color="auto"/>
                    <w:right w:val="none" w:sz="0" w:space="0" w:color="auto"/>
                  </w:divBdr>
                  <w:divsChild>
                    <w:div w:id="322201850">
                      <w:marLeft w:val="0"/>
                      <w:marRight w:val="0"/>
                      <w:marTop w:val="0"/>
                      <w:marBottom w:val="0"/>
                      <w:divBdr>
                        <w:top w:val="none" w:sz="0" w:space="0" w:color="auto"/>
                        <w:left w:val="none" w:sz="0" w:space="0" w:color="auto"/>
                        <w:bottom w:val="none" w:sz="0" w:space="0" w:color="auto"/>
                        <w:right w:val="none" w:sz="0" w:space="0" w:color="auto"/>
                      </w:divBdr>
                      <w:divsChild>
                        <w:div w:id="78828195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621392">
          <w:marLeft w:val="0"/>
          <w:marRight w:val="0"/>
          <w:marTop w:val="150"/>
          <w:marBottom w:val="0"/>
          <w:divBdr>
            <w:top w:val="none" w:sz="0" w:space="0" w:color="auto"/>
            <w:left w:val="none" w:sz="0" w:space="0" w:color="auto"/>
            <w:bottom w:val="none" w:sz="0" w:space="0" w:color="auto"/>
            <w:right w:val="none" w:sz="0" w:space="0" w:color="auto"/>
          </w:divBdr>
          <w:divsChild>
            <w:div w:id="2089035531">
              <w:marLeft w:val="0"/>
              <w:marRight w:val="0"/>
              <w:marTop w:val="0"/>
              <w:marBottom w:val="0"/>
              <w:divBdr>
                <w:top w:val="none" w:sz="0" w:space="0" w:color="auto"/>
                <w:left w:val="none" w:sz="0" w:space="0" w:color="auto"/>
                <w:bottom w:val="single" w:sz="6" w:space="0" w:color="EFEFEF"/>
                <w:right w:val="none" w:sz="0" w:space="0" w:color="auto"/>
              </w:divBdr>
              <w:divsChild>
                <w:div w:id="234046572">
                  <w:marLeft w:val="0"/>
                  <w:marRight w:val="0"/>
                  <w:marTop w:val="0"/>
                  <w:marBottom w:val="0"/>
                  <w:divBdr>
                    <w:top w:val="none" w:sz="0" w:space="0" w:color="auto"/>
                    <w:left w:val="none" w:sz="0" w:space="0" w:color="auto"/>
                    <w:bottom w:val="none" w:sz="0" w:space="0" w:color="auto"/>
                    <w:right w:val="none" w:sz="0" w:space="0" w:color="auto"/>
                  </w:divBdr>
                </w:div>
                <w:div w:id="190109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90118">
      <w:bodyDiv w:val="1"/>
      <w:marLeft w:val="0"/>
      <w:marRight w:val="0"/>
      <w:marTop w:val="0"/>
      <w:marBottom w:val="0"/>
      <w:divBdr>
        <w:top w:val="none" w:sz="0" w:space="0" w:color="auto"/>
        <w:left w:val="none" w:sz="0" w:space="0" w:color="auto"/>
        <w:bottom w:val="none" w:sz="0" w:space="0" w:color="auto"/>
        <w:right w:val="none" w:sz="0" w:space="0" w:color="auto"/>
      </w:divBdr>
    </w:div>
    <w:div w:id="937061305">
      <w:bodyDiv w:val="1"/>
      <w:marLeft w:val="0"/>
      <w:marRight w:val="0"/>
      <w:marTop w:val="0"/>
      <w:marBottom w:val="0"/>
      <w:divBdr>
        <w:top w:val="none" w:sz="0" w:space="0" w:color="auto"/>
        <w:left w:val="none" w:sz="0" w:space="0" w:color="auto"/>
        <w:bottom w:val="none" w:sz="0" w:space="0" w:color="auto"/>
        <w:right w:val="none" w:sz="0" w:space="0" w:color="auto"/>
      </w:divBdr>
      <w:divsChild>
        <w:div w:id="956107695">
          <w:marLeft w:val="0"/>
          <w:marRight w:val="0"/>
          <w:marTop w:val="0"/>
          <w:marBottom w:val="0"/>
          <w:divBdr>
            <w:top w:val="none" w:sz="0" w:space="0" w:color="auto"/>
            <w:left w:val="none" w:sz="0" w:space="0" w:color="auto"/>
            <w:bottom w:val="none" w:sz="0" w:space="0" w:color="auto"/>
            <w:right w:val="none" w:sz="0" w:space="0" w:color="auto"/>
          </w:divBdr>
        </w:div>
      </w:divsChild>
    </w:div>
    <w:div w:id="937249334">
      <w:bodyDiv w:val="1"/>
      <w:marLeft w:val="0"/>
      <w:marRight w:val="0"/>
      <w:marTop w:val="0"/>
      <w:marBottom w:val="0"/>
      <w:divBdr>
        <w:top w:val="none" w:sz="0" w:space="0" w:color="auto"/>
        <w:left w:val="none" w:sz="0" w:space="0" w:color="auto"/>
        <w:bottom w:val="none" w:sz="0" w:space="0" w:color="auto"/>
        <w:right w:val="none" w:sz="0" w:space="0" w:color="auto"/>
      </w:divBdr>
    </w:div>
    <w:div w:id="937323687">
      <w:bodyDiv w:val="1"/>
      <w:marLeft w:val="0"/>
      <w:marRight w:val="0"/>
      <w:marTop w:val="0"/>
      <w:marBottom w:val="0"/>
      <w:divBdr>
        <w:top w:val="none" w:sz="0" w:space="0" w:color="auto"/>
        <w:left w:val="none" w:sz="0" w:space="0" w:color="auto"/>
        <w:bottom w:val="none" w:sz="0" w:space="0" w:color="auto"/>
        <w:right w:val="none" w:sz="0" w:space="0" w:color="auto"/>
      </w:divBdr>
      <w:divsChild>
        <w:div w:id="171989927">
          <w:marLeft w:val="0"/>
          <w:marRight w:val="0"/>
          <w:marTop w:val="0"/>
          <w:marBottom w:val="0"/>
          <w:divBdr>
            <w:top w:val="none" w:sz="0" w:space="0" w:color="auto"/>
            <w:left w:val="none" w:sz="0" w:space="0" w:color="auto"/>
            <w:bottom w:val="none" w:sz="0" w:space="0" w:color="auto"/>
            <w:right w:val="none" w:sz="0" w:space="0" w:color="auto"/>
          </w:divBdr>
          <w:divsChild>
            <w:div w:id="1499538448">
              <w:marLeft w:val="0"/>
              <w:marRight w:val="0"/>
              <w:marTop w:val="0"/>
              <w:marBottom w:val="0"/>
              <w:divBdr>
                <w:top w:val="none" w:sz="0" w:space="0" w:color="auto"/>
                <w:left w:val="none" w:sz="0" w:space="0" w:color="auto"/>
                <w:bottom w:val="none" w:sz="0" w:space="0" w:color="auto"/>
                <w:right w:val="none" w:sz="0" w:space="0" w:color="auto"/>
              </w:divBdr>
              <w:divsChild>
                <w:div w:id="816260167">
                  <w:marLeft w:val="0"/>
                  <w:marRight w:val="0"/>
                  <w:marTop w:val="0"/>
                  <w:marBottom w:val="0"/>
                  <w:divBdr>
                    <w:top w:val="none" w:sz="0" w:space="0" w:color="auto"/>
                    <w:left w:val="none" w:sz="0" w:space="0" w:color="auto"/>
                    <w:bottom w:val="none" w:sz="0" w:space="0" w:color="auto"/>
                    <w:right w:val="none" w:sz="0" w:space="0" w:color="auto"/>
                  </w:divBdr>
                  <w:divsChild>
                    <w:div w:id="2109307860">
                      <w:marLeft w:val="0"/>
                      <w:marRight w:val="0"/>
                      <w:marTop w:val="0"/>
                      <w:marBottom w:val="0"/>
                      <w:divBdr>
                        <w:top w:val="none" w:sz="0" w:space="0" w:color="auto"/>
                        <w:left w:val="none" w:sz="0" w:space="0" w:color="auto"/>
                        <w:bottom w:val="none" w:sz="0" w:space="0" w:color="auto"/>
                        <w:right w:val="none" w:sz="0" w:space="0" w:color="auto"/>
                      </w:divBdr>
                      <w:divsChild>
                        <w:div w:id="600719898">
                          <w:marLeft w:val="0"/>
                          <w:marRight w:val="0"/>
                          <w:marTop w:val="0"/>
                          <w:marBottom w:val="0"/>
                          <w:divBdr>
                            <w:top w:val="none" w:sz="0" w:space="0" w:color="auto"/>
                            <w:left w:val="none" w:sz="0" w:space="0" w:color="auto"/>
                            <w:bottom w:val="none" w:sz="0" w:space="0" w:color="auto"/>
                            <w:right w:val="none" w:sz="0" w:space="0" w:color="auto"/>
                          </w:divBdr>
                          <w:divsChild>
                            <w:div w:id="829908196">
                              <w:marLeft w:val="0"/>
                              <w:marRight w:val="0"/>
                              <w:marTop w:val="0"/>
                              <w:marBottom w:val="0"/>
                              <w:divBdr>
                                <w:top w:val="none" w:sz="0" w:space="0" w:color="auto"/>
                                <w:left w:val="none" w:sz="0" w:space="0" w:color="auto"/>
                                <w:bottom w:val="none" w:sz="0" w:space="0" w:color="auto"/>
                                <w:right w:val="none" w:sz="0" w:space="0" w:color="auto"/>
                              </w:divBdr>
                              <w:divsChild>
                                <w:div w:id="1701466649">
                                  <w:marLeft w:val="0"/>
                                  <w:marRight w:val="0"/>
                                  <w:marTop w:val="0"/>
                                  <w:marBottom w:val="0"/>
                                  <w:divBdr>
                                    <w:top w:val="none" w:sz="0" w:space="0" w:color="auto"/>
                                    <w:left w:val="none" w:sz="0" w:space="0" w:color="auto"/>
                                    <w:bottom w:val="none" w:sz="0" w:space="0" w:color="auto"/>
                                    <w:right w:val="none" w:sz="0" w:space="0" w:color="auto"/>
                                  </w:divBdr>
                                  <w:divsChild>
                                    <w:div w:id="197591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7371177">
      <w:bodyDiv w:val="1"/>
      <w:marLeft w:val="0"/>
      <w:marRight w:val="0"/>
      <w:marTop w:val="0"/>
      <w:marBottom w:val="0"/>
      <w:divBdr>
        <w:top w:val="none" w:sz="0" w:space="0" w:color="auto"/>
        <w:left w:val="none" w:sz="0" w:space="0" w:color="auto"/>
        <w:bottom w:val="none" w:sz="0" w:space="0" w:color="auto"/>
        <w:right w:val="none" w:sz="0" w:space="0" w:color="auto"/>
      </w:divBdr>
      <w:divsChild>
        <w:div w:id="326907052">
          <w:marLeft w:val="0"/>
          <w:marRight w:val="0"/>
          <w:marTop w:val="0"/>
          <w:marBottom w:val="0"/>
          <w:divBdr>
            <w:top w:val="none" w:sz="0" w:space="0" w:color="auto"/>
            <w:left w:val="none" w:sz="0" w:space="0" w:color="auto"/>
            <w:bottom w:val="none" w:sz="0" w:space="0" w:color="auto"/>
            <w:right w:val="none" w:sz="0" w:space="0" w:color="auto"/>
          </w:divBdr>
          <w:divsChild>
            <w:div w:id="750808689">
              <w:marLeft w:val="0"/>
              <w:marRight w:val="0"/>
              <w:marTop w:val="0"/>
              <w:marBottom w:val="0"/>
              <w:divBdr>
                <w:top w:val="none" w:sz="0" w:space="0" w:color="auto"/>
                <w:left w:val="none" w:sz="0" w:space="0" w:color="auto"/>
                <w:bottom w:val="none" w:sz="0" w:space="0" w:color="auto"/>
                <w:right w:val="none" w:sz="0" w:space="0" w:color="auto"/>
              </w:divBdr>
              <w:divsChild>
                <w:div w:id="1947805436">
                  <w:marLeft w:val="0"/>
                  <w:marRight w:val="0"/>
                  <w:marTop w:val="0"/>
                  <w:marBottom w:val="0"/>
                  <w:divBdr>
                    <w:top w:val="none" w:sz="0" w:space="0" w:color="auto"/>
                    <w:left w:val="none" w:sz="0" w:space="0" w:color="auto"/>
                    <w:bottom w:val="none" w:sz="0" w:space="0" w:color="auto"/>
                    <w:right w:val="none" w:sz="0" w:space="0" w:color="auto"/>
                  </w:divBdr>
                  <w:divsChild>
                    <w:div w:id="13117199">
                      <w:marLeft w:val="0"/>
                      <w:marRight w:val="0"/>
                      <w:marTop w:val="0"/>
                      <w:marBottom w:val="0"/>
                      <w:divBdr>
                        <w:top w:val="none" w:sz="0" w:space="0" w:color="auto"/>
                        <w:left w:val="none" w:sz="0" w:space="0" w:color="auto"/>
                        <w:bottom w:val="none" w:sz="0" w:space="0" w:color="auto"/>
                        <w:right w:val="none" w:sz="0" w:space="0" w:color="auto"/>
                      </w:divBdr>
                      <w:divsChild>
                        <w:div w:id="104813994">
                          <w:marLeft w:val="0"/>
                          <w:marRight w:val="0"/>
                          <w:marTop w:val="0"/>
                          <w:marBottom w:val="0"/>
                          <w:divBdr>
                            <w:top w:val="none" w:sz="0" w:space="0" w:color="auto"/>
                            <w:left w:val="none" w:sz="0" w:space="0" w:color="auto"/>
                            <w:bottom w:val="none" w:sz="0" w:space="0" w:color="auto"/>
                            <w:right w:val="none" w:sz="0" w:space="0" w:color="auto"/>
                          </w:divBdr>
                          <w:divsChild>
                            <w:div w:id="1573813847">
                              <w:marLeft w:val="0"/>
                              <w:marRight w:val="0"/>
                              <w:marTop w:val="0"/>
                              <w:marBottom w:val="0"/>
                              <w:divBdr>
                                <w:top w:val="none" w:sz="0" w:space="0" w:color="auto"/>
                                <w:left w:val="none" w:sz="0" w:space="0" w:color="auto"/>
                                <w:bottom w:val="none" w:sz="0" w:space="0" w:color="auto"/>
                                <w:right w:val="none" w:sz="0" w:space="0" w:color="auto"/>
                              </w:divBdr>
                              <w:divsChild>
                                <w:div w:id="79837133">
                                  <w:marLeft w:val="0"/>
                                  <w:marRight w:val="0"/>
                                  <w:marTop w:val="0"/>
                                  <w:marBottom w:val="0"/>
                                  <w:divBdr>
                                    <w:top w:val="none" w:sz="0" w:space="0" w:color="auto"/>
                                    <w:left w:val="none" w:sz="0" w:space="0" w:color="auto"/>
                                    <w:bottom w:val="none" w:sz="0" w:space="0" w:color="auto"/>
                                    <w:right w:val="none" w:sz="0" w:space="0" w:color="auto"/>
                                  </w:divBdr>
                                  <w:divsChild>
                                    <w:div w:id="175886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7561671">
      <w:bodyDiv w:val="1"/>
      <w:marLeft w:val="0"/>
      <w:marRight w:val="0"/>
      <w:marTop w:val="0"/>
      <w:marBottom w:val="0"/>
      <w:divBdr>
        <w:top w:val="none" w:sz="0" w:space="0" w:color="auto"/>
        <w:left w:val="none" w:sz="0" w:space="0" w:color="auto"/>
        <w:bottom w:val="none" w:sz="0" w:space="0" w:color="auto"/>
        <w:right w:val="none" w:sz="0" w:space="0" w:color="auto"/>
      </w:divBdr>
      <w:divsChild>
        <w:div w:id="54285870">
          <w:marLeft w:val="0"/>
          <w:marRight w:val="0"/>
          <w:marTop w:val="0"/>
          <w:marBottom w:val="0"/>
          <w:divBdr>
            <w:top w:val="none" w:sz="0" w:space="0" w:color="auto"/>
            <w:left w:val="none" w:sz="0" w:space="0" w:color="auto"/>
            <w:bottom w:val="none" w:sz="0" w:space="0" w:color="auto"/>
            <w:right w:val="none" w:sz="0" w:space="0" w:color="auto"/>
          </w:divBdr>
        </w:div>
        <w:div w:id="1272854544">
          <w:marLeft w:val="0"/>
          <w:marRight w:val="0"/>
          <w:marTop w:val="0"/>
          <w:marBottom w:val="0"/>
          <w:divBdr>
            <w:top w:val="none" w:sz="0" w:space="0" w:color="auto"/>
            <w:left w:val="none" w:sz="0" w:space="0" w:color="auto"/>
            <w:bottom w:val="none" w:sz="0" w:space="0" w:color="auto"/>
            <w:right w:val="none" w:sz="0" w:space="0" w:color="auto"/>
          </w:divBdr>
        </w:div>
        <w:div w:id="1486045277">
          <w:marLeft w:val="0"/>
          <w:marRight w:val="0"/>
          <w:marTop w:val="0"/>
          <w:marBottom w:val="0"/>
          <w:divBdr>
            <w:top w:val="none" w:sz="0" w:space="0" w:color="auto"/>
            <w:left w:val="none" w:sz="0" w:space="0" w:color="auto"/>
            <w:bottom w:val="none" w:sz="0" w:space="0" w:color="auto"/>
            <w:right w:val="none" w:sz="0" w:space="0" w:color="auto"/>
          </w:divBdr>
        </w:div>
      </w:divsChild>
    </w:div>
    <w:div w:id="938098231">
      <w:bodyDiv w:val="1"/>
      <w:marLeft w:val="0"/>
      <w:marRight w:val="0"/>
      <w:marTop w:val="0"/>
      <w:marBottom w:val="0"/>
      <w:divBdr>
        <w:top w:val="none" w:sz="0" w:space="0" w:color="auto"/>
        <w:left w:val="none" w:sz="0" w:space="0" w:color="auto"/>
        <w:bottom w:val="none" w:sz="0" w:space="0" w:color="auto"/>
        <w:right w:val="none" w:sz="0" w:space="0" w:color="auto"/>
      </w:divBdr>
    </w:div>
    <w:div w:id="938179937">
      <w:bodyDiv w:val="1"/>
      <w:marLeft w:val="0"/>
      <w:marRight w:val="0"/>
      <w:marTop w:val="0"/>
      <w:marBottom w:val="0"/>
      <w:divBdr>
        <w:top w:val="none" w:sz="0" w:space="0" w:color="auto"/>
        <w:left w:val="none" w:sz="0" w:space="0" w:color="auto"/>
        <w:bottom w:val="none" w:sz="0" w:space="0" w:color="auto"/>
        <w:right w:val="none" w:sz="0" w:space="0" w:color="auto"/>
      </w:divBdr>
      <w:divsChild>
        <w:div w:id="414280912">
          <w:marLeft w:val="0"/>
          <w:marRight w:val="0"/>
          <w:marTop w:val="0"/>
          <w:marBottom w:val="0"/>
          <w:divBdr>
            <w:top w:val="none" w:sz="0" w:space="0" w:color="auto"/>
            <w:left w:val="none" w:sz="0" w:space="0" w:color="auto"/>
            <w:bottom w:val="none" w:sz="0" w:space="0" w:color="auto"/>
            <w:right w:val="none" w:sz="0" w:space="0" w:color="auto"/>
          </w:divBdr>
        </w:div>
        <w:div w:id="421873560">
          <w:marLeft w:val="0"/>
          <w:marRight w:val="0"/>
          <w:marTop w:val="0"/>
          <w:marBottom w:val="0"/>
          <w:divBdr>
            <w:top w:val="none" w:sz="0" w:space="0" w:color="auto"/>
            <w:left w:val="none" w:sz="0" w:space="0" w:color="auto"/>
            <w:bottom w:val="none" w:sz="0" w:space="0" w:color="auto"/>
            <w:right w:val="none" w:sz="0" w:space="0" w:color="auto"/>
          </w:divBdr>
        </w:div>
      </w:divsChild>
    </w:div>
    <w:div w:id="938216482">
      <w:bodyDiv w:val="1"/>
      <w:marLeft w:val="0"/>
      <w:marRight w:val="0"/>
      <w:marTop w:val="0"/>
      <w:marBottom w:val="0"/>
      <w:divBdr>
        <w:top w:val="none" w:sz="0" w:space="0" w:color="auto"/>
        <w:left w:val="none" w:sz="0" w:space="0" w:color="auto"/>
        <w:bottom w:val="none" w:sz="0" w:space="0" w:color="auto"/>
        <w:right w:val="none" w:sz="0" w:space="0" w:color="auto"/>
      </w:divBdr>
      <w:divsChild>
        <w:div w:id="1134565142">
          <w:marLeft w:val="0"/>
          <w:marRight w:val="0"/>
          <w:marTop w:val="0"/>
          <w:marBottom w:val="0"/>
          <w:divBdr>
            <w:top w:val="none" w:sz="0" w:space="0" w:color="auto"/>
            <w:left w:val="none" w:sz="0" w:space="0" w:color="auto"/>
            <w:bottom w:val="dotted" w:sz="6" w:space="4" w:color="DDDDDD"/>
            <w:right w:val="none" w:sz="0" w:space="0" w:color="auto"/>
          </w:divBdr>
          <w:divsChild>
            <w:div w:id="19924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564888">
      <w:bodyDiv w:val="1"/>
      <w:marLeft w:val="0"/>
      <w:marRight w:val="0"/>
      <w:marTop w:val="0"/>
      <w:marBottom w:val="0"/>
      <w:divBdr>
        <w:top w:val="none" w:sz="0" w:space="0" w:color="auto"/>
        <w:left w:val="none" w:sz="0" w:space="0" w:color="auto"/>
        <w:bottom w:val="none" w:sz="0" w:space="0" w:color="auto"/>
        <w:right w:val="none" w:sz="0" w:space="0" w:color="auto"/>
      </w:divBdr>
      <w:divsChild>
        <w:div w:id="1966427473">
          <w:marLeft w:val="0"/>
          <w:marRight w:val="0"/>
          <w:marTop w:val="0"/>
          <w:marBottom w:val="0"/>
          <w:divBdr>
            <w:top w:val="none" w:sz="0" w:space="0" w:color="auto"/>
            <w:left w:val="none" w:sz="0" w:space="0" w:color="auto"/>
            <w:bottom w:val="none" w:sz="0" w:space="0" w:color="auto"/>
            <w:right w:val="none" w:sz="0" w:space="0" w:color="auto"/>
          </w:divBdr>
          <w:divsChild>
            <w:div w:id="1791240318">
              <w:marLeft w:val="0"/>
              <w:marRight w:val="0"/>
              <w:marTop w:val="0"/>
              <w:marBottom w:val="0"/>
              <w:divBdr>
                <w:top w:val="none" w:sz="0" w:space="0" w:color="auto"/>
                <w:left w:val="none" w:sz="0" w:space="0" w:color="auto"/>
                <w:bottom w:val="none" w:sz="0" w:space="0" w:color="auto"/>
                <w:right w:val="none" w:sz="0" w:space="0" w:color="auto"/>
              </w:divBdr>
              <w:divsChild>
                <w:div w:id="1588726924">
                  <w:marLeft w:val="0"/>
                  <w:marRight w:val="0"/>
                  <w:marTop w:val="0"/>
                  <w:marBottom w:val="0"/>
                  <w:divBdr>
                    <w:top w:val="none" w:sz="0" w:space="0" w:color="auto"/>
                    <w:left w:val="none" w:sz="0" w:space="0" w:color="auto"/>
                    <w:bottom w:val="none" w:sz="0" w:space="0" w:color="auto"/>
                    <w:right w:val="none" w:sz="0" w:space="0" w:color="auto"/>
                  </w:divBdr>
                  <w:divsChild>
                    <w:div w:id="956332823">
                      <w:marLeft w:val="0"/>
                      <w:marRight w:val="0"/>
                      <w:marTop w:val="0"/>
                      <w:marBottom w:val="0"/>
                      <w:divBdr>
                        <w:top w:val="none" w:sz="0" w:space="0" w:color="auto"/>
                        <w:left w:val="none" w:sz="0" w:space="0" w:color="auto"/>
                        <w:bottom w:val="none" w:sz="0" w:space="0" w:color="auto"/>
                        <w:right w:val="none" w:sz="0" w:space="0" w:color="auto"/>
                      </w:divBdr>
                      <w:divsChild>
                        <w:div w:id="1975942531">
                          <w:marLeft w:val="0"/>
                          <w:marRight w:val="0"/>
                          <w:marTop w:val="0"/>
                          <w:marBottom w:val="0"/>
                          <w:divBdr>
                            <w:top w:val="none" w:sz="0" w:space="0" w:color="auto"/>
                            <w:left w:val="none" w:sz="0" w:space="0" w:color="auto"/>
                            <w:bottom w:val="none" w:sz="0" w:space="0" w:color="auto"/>
                            <w:right w:val="none" w:sz="0" w:space="0" w:color="auto"/>
                          </w:divBdr>
                          <w:divsChild>
                            <w:div w:id="1281032518">
                              <w:marLeft w:val="0"/>
                              <w:marRight w:val="0"/>
                              <w:marTop w:val="0"/>
                              <w:marBottom w:val="0"/>
                              <w:divBdr>
                                <w:top w:val="none" w:sz="0" w:space="0" w:color="auto"/>
                                <w:left w:val="none" w:sz="0" w:space="0" w:color="auto"/>
                                <w:bottom w:val="none" w:sz="0" w:space="0" w:color="auto"/>
                                <w:right w:val="none" w:sz="0" w:space="0" w:color="auto"/>
                              </w:divBdr>
                              <w:divsChild>
                                <w:div w:id="82798654">
                                  <w:marLeft w:val="0"/>
                                  <w:marRight w:val="0"/>
                                  <w:marTop w:val="0"/>
                                  <w:marBottom w:val="0"/>
                                  <w:divBdr>
                                    <w:top w:val="none" w:sz="0" w:space="0" w:color="auto"/>
                                    <w:left w:val="none" w:sz="0" w:space="0" w:color="auto"/>
                                    <w:bottom w:val="none" w:sz="0" w:space="0" w:color="auto"/>
                                    <w:right w:val="none" w:sz="0" w:space="0" w:color="auto"/>
                                  </w:divBdr>
                                  <w:divsChild>
                                    <w:div w:id="98311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8803822">
      <w:bodyDiv w:val="1"/>
      <w:marLeft w:val="0"/>
      <w:marRight w:val="0"/>
      <w:marTop w:val="0"/>
      <w:marBottom w:val="0"/>
      <w:divBdr>
        <w:top w:val="none" w:sz="0" w:space="0" w:color="auto"/>
        <w:left w:val="none" w:sz="0" w:space="0" w:color="auto"/>
        <w:bottom w:val="none" w:sz="0" w:space="0" w:color="auto"/>
        <w:right w:val="none" w:sz="0" w:space="0" w:color="auto"/>
      </w:divBdr>
      <w:divsChild>
        <w:div w:id="1435711029">
          <w:marLeft w:val="0"/>
          <w:marRight w:val="0"/>
          <w:marTop w:val="0"/>
          <w:marBottom w:val="0"/>
          <w:divBdr>
            <w:top w:val="none" w:sz="0" w:space="0" w:color="auto"/>
            <w:left w:val="none" w:sz="0" w:space="0" w:color="auto"/>
            <w:bottom w:val="none" w:sz="0" w:space="0" w:color="auto"/>
            <w:right w:val="none" w:sz="0" w:space="0" w:color="auto"/>
          </w:divBdr>
          <w:divsChild>
            <w:div w:id="1288972950">
              <w:marLeft w:val="0"/>
              <w:marRight w:val="0"/>
              <w:marTop w:val="0"/>
              <w:marBottom w:val="0"/>
              <w:divBdr>
                <w:top w:val="none" w:sz="0" w:space="0" w:color="auto"/>
                <w:left w:val="none" w:sz="0" w:space="0" w:color="auto"/>
                <w:bottom w:val="none" w:sz="0" w:space="0" w:color="auto"/>
                <w:right w:val="none" w:sz="0" w:space="0" w:color="auto"/>
              </w:divBdr>
              <w:divsChild>
                <w:div w:id="36321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143350">
      <w:bodyDiv w:val="1"/>
      <w:marLeft w:val="0"/>
      <w:marRight w:val="0"/>
      <w:marTop w:val="0"/>
      <w:marBottom w:val="0"/>
      <w:divBdr>
        <w:top w:val="none" w:sz="0" w:space="0" w:color="auto"/>
        <w:left w:val="none" w:sz="0" w:space="0" w:color="auto"/>
        <w:bottom w:val="none" w:sz="0" w:space="0" w:color="auto"/>
        <w:right w:val="none" w:sz="0" w:space="0" w:color="auto"/>
      </w:divBdr>
      <w:divsChild>
        <w:div w:id="1437290436">
          <w:marLeft w:val="0"/>
          <w:marRight w:val="0"/>
          <w:marTop w:val="0"/>
          <w:marBottom w:val="0"/>
          <w:divBdr>
            <w:top w:val="none" w:sz="0" w:space="0" w:color="auto"/>
            <w:left w:val="none" w:sz="0" w:space="0" w:color="auto"/>
            <w:bottom w:val="dotted" w:sz="6" w:space="4" w:color="DDDDDD"/>
            <w:right w:val="none" w:sz="0" w:space="0" w:color="auto"/>
          </w:divBdr>
          <w:divsChild>
            <w:div w:id="127297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334409">
      <w:bodyDiv w:val="1"/>
      <w:marLeft w:val="0"/>
      <w:marRight w:val="0"/>
      <w:marTop w:val="0"/>
      <w:marBottom w:val="0"/>
      <w:divBdr>
        <w:top w:val="none" w:sz="0" w:space="0" w:color="auto"/>
        <w:left w:val="none" w:sz="0" w:space="0" w:color="auto"/>
        <w:bottom w:val="none" w:sz="0" w:space="0" w:color="auto"/>
        <w:right w:val="none" w:sz="0" w:space="0" w:color="auto"/>
      </w:divBdr>
    </w:div>
    <w:div w:id="939409486">
      <w:bodyDiv w:val="1"/>
      <w:marLeft w:val="0"/>
      <w:marRight w:val="0"/>
      <w:marTop w:val="0"/>
      <w:marBottom w:val="0"/>
      <w:divBdr>
        <w:top w:val="none" w:sz="0" w:space="0" w:color="auto"/>
        <w:left w:val="none" w:sz="0" w:space="0" w:color="auto"/>
        <w:bottom w:val="none" w:sz="0" w:space="0" w:color="auto"/>
        <w:right w:val="none" w:sz="0" w:space="0" w:color="auto"/>
      </w:divBdr>
      <w:divsChild>
        <w:div w:id="1120757882">
          <w:marLeft w:val="0"/>
          <w:marRight w:val="0"/>
          <w:marTop w:val="0"/>
          <w:marBottom w:val="0"/>
          <w:divBdr>
            <w:top w:val="none" w:sz="0" w:space="0" w:color="auto"/>
            <w:left w:val="none" w:sz="0" w:space="0" w:color="auto"/>
            <w:bottom w:val="none" w:sz="0" w:space="0" w:color="auto"/>
            <w:right w:val="none" w:sz="0" w:space="0" w:color="auto"/>
          </w:divBdr>
        </w:div>
        <w:div w:id="1907914972">
          <w:marLeft w:val="0"/>
          <w:marRight w:val="0"/>
          <w:marTop w:val="0"/>
          <w:marBottom w:val="150"/>
          <w:divBdr>
            <w:top w:val="none" w:sz="0" w:space="0" w:color="auto"/>
            <w:left w:val="none" w:sz="0" w:space="0" w:color="auto"/>
            <w:bottom w:val="none" w:sz="0" w:space="0" w:color="auto"/>
            <w:right w:val="none" w:sz="0" w:space="0" w:color="auto"/>
          </w:divBdr>
          <w:divsChild>
            <w:div w:id="145097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10116">
      <w:bodyDiv w:val="1"/>
      <w:marLeft w:val="0"/>
      <w:marRight w:val="0"/>
      <w:marTop w:val="0"/>
      <w:marBottom w:val="0"/>
      <w:divBdr>
        <w:top w:val="none" w:sz="0" w:space="0" w:color="auto"/>
        <w:left w:val="none" w:sz="0" w:space="0" w:color="auto"/>
        <w:bottom w:val="none" w:sz="0" w:space="0" w:color="auto"/>
        <w:right w:val="none" w:sz="0" w:space="0" w:color="auto"/>
      </w:divBdr>
    </w:div>
    <w:div w:id="941188810">
      <w:bodyDiv w:val="1"/>
      <w:marLeft w:val="0"/>
      <w:marRight w:val="0"/>
      <w:marTop w:val="0"/>
      <w:marBottom w:val="0"/>
      <w:divBdr>
        <w:top w:val="none" w:sz="0" w:space="0" w:color="auto"/>
        <w:left w:val="none" w:sz="0" w:space="0" w:color="auto"/>
        <w:bottom w:val="none" w:sz="0" w:space="0" w:color="auto"/>
        <w:right w:val="none" w:sz="0" w:space="0" w:color="auto"/>
      </w:divBdr>
      <w:divsChild>
        <w:div w:id="660162520">
          <w:marLeft w:val="0"/>
          <w:marRight w:val="0"/>
          <w:marTop w:val="0"/>
          <w:marBottom w:val="0"/>
          <w:divBdr>
            <w:top w:val="none" w:sz="0" w:space="0" w:color="auto"/>
            <w:left w:val="none" w:sz="0" w:space="0" w:color="auto"/>
            <w:bottom w:val="dotted" w:sz="6" w:space="4" w:color="DDDDDD"/>
            <w:right w:val="none" w:sz="0" w:space="0" w:color="auto"/>
          </w:divBdr>
          <w:divsChild>
            <w:div w:id="185218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496850">
      <w:bodyDiv w:val="1"/>
      <w:marLeft w:val="0"/>
      <w:marRight w:val="0"/>
      <w:marTop w:val="0"/>
      <w:marBottom w:val="0"/>
      <w:divBdr>
        <w:top w:val="none" w:sz="0" w:space="0" w:color="auto"/>
        <w:left w:val="none" w:sz="0" w:space="0" w:color="auto"/>
        <w:bottom w:val="none" w:sz="0" w:space="0" w:color="auto"/>
        <w:right w:val="none" w:sz="0" w:space="0" w:color="auto"/>
      </w:divBdr>
      <w:divsChild>
        <w:div w:id="1637955516">
          <w:marLeft w:val="0"/>
          <w:marRight w:val="0"/>
          <w:marTop w:val="0"/>
          <w:marBottom w:val="0"/>
          <w:divBdr>
            <w:top w:val="none" w:sz="0" w:space="0" w:color="auto"/>
            <w:left w:val="none" w:sz="0" w:space="0" w:color="auto"/>
            <w:bottom w:val="none" w:sz="0" w:space="0" w:color="auto"/>
            <w:right w:val="none" w:sz="0" w:space="0" w:color="auto"/>
          </w:divBdr>
          <w:divsChild>
            <w:div w:id="1697195503">
              <w:marLeft w:val="0"/>
              <w:marRight w:val="0"/>
              <w:marTop w:val="0"/>
              <w:marBottom w:val="0"/>
              <w:divBdr>
                <w:top w:val="none" w:sz="0" w:space="0" w:color="auto"/>
                <w:left w:val="none" w:sz="0" w:space="0" w:color="auto"/>
                <w:bottom w:val="none" w:sz="0" w:space="0" w:color="auto"/>
                <w:right w:val="none" w:sz="0" w:space="0" w:color="auto"/>
              </w:divBdr>
              <w:divsChild>
                <w:div w:id="1403797408">
                  <w:marLeft w:val="0"/>
                  <w:marRight w:val="0"/>
                  <w:marTop w:val="0"/>
                  <w:marBottom w:val="0"/>
                  <w:divBdr>
                    <w:top w:val="none" w:sz="0" w:space="0" w:color="auto"/>
                    <w:left w:val="none" w:sz="0" w:space="0" w:color="auto"/>
                    <w:bottom w:val="none" w:sz="0" w:space="0" w:color="auto"/>
                    <w:right w:val="none" w:sz="0" w:space="0" w:color="auto"/>
                  </w:divBdr>
                  <w:divsChild>
                    <w:div w:id="599532275">
                      <w:marLeft w:val="0"/>
                      <w:marRight w:val="0"/>
                      <w:marTop w:val="0"/>
                      <w:marBottom w:val="0"/>
                      <w:divBdr>
                        <w:top w:val="none" w:sz="0" w:space="0" w:color="auto"/>
                        <w:left w:val="none" w:sz="0" w:space="0" w:color="auto"/>
                        <w:bottom w:val="none" w:sz="0" w:space="0" w:color="auto"/>
                        <w:right w:val="none" w:sz="0" w:space="0" w:color="auto"/>
                      </w:divBdr>
                      <w:divsChild>
                        <w:div w:id="1295869026">
                          <w:marLeft w:val="0"/>
                          <w:marRight w:val="0"/>
                          <w:marTop w:val="0"/>
                          <w:marBottom w:val="0"/>
                          <w:divBdr>
                            <w:top w:val="none" w:sz="0" w:space="0" w:color="auto"/>
                            <w:left w:val="none" w:sz="0" w:space="0" w:color="auto"/>
                            <w:bottom w:val="none" w:sz="0" w:space="0" w:color="auto"/>
                            <w:right w:val="none" w:sz="0" w:space="0" w:color="auto"/>
                          </w:divBdr>
                          <w:divsChild>
                            <w:div w:id="2091340945">
                              <w:marLeft w:val="0"/>
                              <w:marRight w:val="0"/>
                              <w:marTop w:val="0"/>
                              <w:marBottom w:val="0"/>
                              <w:divBdr>
                                <w:top w:val="none" w:sz="0" w:space="0" w:color="auto"/>
                                <w:left w:val="none" w:sz="0" w:space="0" w:color="auto"/>
                                <w:bottom w:val="none" w:sz="0" w:space="0" w:color="auto"/>
                                <w:right w:val="none" w:sz="0" w:space="0" w:color="auto"/>
                              </w:divBdr>
                              <w:divsChild>
                                <w:div w:id="5173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643111">
      <w:bodyDiv w:val="1"/>
      <w:marLeft w:val="0"/>
      <w:marRight w:val="0"/>
      <w:marTop w:val="0"/>
      <w:marBottom w:val="0"/>
      <w:divBdr>
        <w:top w:val="none" w:sz="0" w:space="0" w:color="auto"/>
        <w:left w:val="none" w:sz="0" w:space="0" w:color="auto"/>
        <w:bottom w:val="none" w:sz="0" w:space="0" w:color="auto"/>
        <w:right w:val="none" w:sz="0" w:space="0" w:color="auto"/>
      </w:divBdr>
      <w:divsChild>
        <w:div w:id="162279012">
          <w:marLeft w:val="0"/>
          <w:marRight w:val="0"/>
          <w:marTop w:val="0"/>
          <w:marBottom w:val="150"/>
          <w:divBdr>
            <w:top w:val="none" w:sz="0" w:space="0" w:color="auto"/>
            <w:left w:val="none" w:sz="0" w:space="0" w:color="auto"/>
            <w:bottom w:val="none" w:sz="0" w:space="0" w:color="auto"/>
            <w:right w:val="none" w:sz="0" w:space="0" w:color="auto"/>
          </w:divBdr>
        </w:div>
      </w:divsChild>
    </w:div>
    <w:div w:id="942030150">
      <w:bodyDiv w:val="1"/>
      <w:marLeft w:val="0"/>
      <w:marRight w:val="0"/>
      <w:marTop w:val="0"/>
      <w:marBottom w:val="0"/>
      <w:divBdr>
        <w:top w:val="none" w:sz="0" w:space="0" w:color="auto"/>
        <w:left w:val="none" w:sz="0" w:space="0" w:color="auto"/>
        <w:bottom w:val="none" w:sz="0" w:space="0" w:color="auto"/>
        <w:right w:val="none" w:sz="0" w:space="0" w:color="auto"/>
      </w:divBdr>
      <w:divsChild>
        <w:div w:id="901721860">
          <w:marLeft w:val="0"/>
          <w:marRight w:val="0"/>
          <w:marTop w:val="0"/>
          <w:marBottom w:val="0"/>
          <w:divBdr>
            <w:top w:val="none" w:sz="0" w:space="0" w:color="auto"/>
            <w:left w:val="none" w:sz="0" w:space="0" w:color="auto"/>
            <w:bottom w:val="none" w:sz="0" w:space="0" w:color="auto"/>
            <w:right w:val="none" w:sz="0" w:space="0" w:color="auto"/>
          </w:divBdr>
          <w:divsChild>
            <w:div w:id="1670517189">
              <w:marLeft w:val="0"/>
              <w:marRight w:val="0"/>
              <w:marTop w:val="0"/>
              <w:marBottom w:val="0"/>
              <w:divBdr>
                <w:top w:val="none" w:sz="0" w:space="0" w:color="auto"/>
                <w:left w:val="none" w:sz="0" w:space="0" w:color="auto"/>
                <w:bottom w:val="none" w:sz="0" w:space="0" w:color="auto"/>
                <w:right w:val="none" w:sz="0" w:space="0" w:color="auto"/>
              </w:divBdr>
              <w:divsChild>
                <w:div w:id="2086877224">
                  <w:marLeft w:val="0"/>
                  <w:marRight w:val="0"/>
                  <w:marTop w:val="0"/>
                  <w:marBottom w:val="176"/>
                  <w:divBdr>
                    <w:top w:val="none" w:sz="0" w:space="0" w:color="auto"/>
                    <w:left w:val="none" w:sz="0" w:space="0" w:color="auto"/>
                    <w:bottom w:val="none" w:sz="0" w:space="0" w:color="auto"/>
                    <w:right w:val="none" w:sz="0" w:space="0" w:color="auto"/>
                  </w:divBdr>
                  <w:divsChild>
                    <w:div w:id="693581661">
                      <w:marLeft w:val="0"/>
                      <w:marRight w:val="0"/>
                      <w:marTop w:val="0"/>
                      <w:marBottom w:val="0"/>
                      <w:divBdr>
                        <w:top w:val="none" w:sz="0" w:space="0" w:color="auto"/>
                        <w:left w:val="none" w:sz="0" w:space="0" w:color="auto"/>
                        <w:bottom w:val="none" w:sz="0" w:space="0" w:color="auto"/>
                        <w:right w:val="none" w:sz="0" w:space="0" w:color="auto"/>
                      </w:divBdr>
                      <w:divsChild>
                        <w:div w:id="1673725803">
                          <w:marLeft w:val="0"/>
                          <w:marRight w:val="0"/>
                          <w:marTop w:val="0"/>
                          <w:marBottom w:val="0"/>
                          <w:divBdr>
                            <w:top w:val="none" w:sz="0" w:space="0" w:color="auto"/>
                            <w:left w:val="none" w:sz="0" w:space="0" w:color="auto"/>
                            <w:bottom w:val="none" w:sz="0" w:space="0" w:color="auto"/>
                            <w:right w:val="none" w:sz="0" w:space="0" w:color="auto"/>
                          </w:divBdr>
                          <w:divsChild>
                            <w:div w:id="285351090">
                              <w:marLeft w:val="0"/>
                              <w:marRight w:val="0"/>
                              <w:marTop w:val="0"/>
                              <w:marBottom w:val="0"/>
                              <w:divBdr>
                                <w:top w:val="none" w:sz="0" w:space="0" w:color="auto"/>
                                <w:left w:val="none" w:sz="0" w:space="0" w:color="auto"/>
                                <w:bottom w:val="none" w:sz="0" w:space="0" w:color="auto"/>
                                <w:right w:val="none" w:sz="0" w:space="0" w:color="auto"/>
                              </w:divBdr>
                              <w:divsChild>
                                <w:div w:id="1605304971">
                                  <w:marLeft w:val="0"/>
                                  <w:marRight w:val="0"/>
                                  <w:marTop w:val="0"/>
                                  <w:marBottom w:val="0"/>
                                  <w:divBdr>
                                    <w:top w:val="none" w:sz="0" w:space="0" w:color="auto"/>
                                    <w:left w:val="none" w:sz="0" w:space="0" w:color="auto"/>
                                    <w:bottom w:val="none" w:sz="0" w:space="0" w:color="auto"/>
                                    <w:right w:val="none" w:sz="0" w:space="0" w:color="auto"/>
                                  </w:divBdr>
                                  <w:divsChild>
                                    <w:div w:id="1222131842">
                                      <w:marLeft w:val="0"/>
                                      <w:marRight w:val="0"/>
                                      <w:marTop w:val="0"/>
                                      <w:marBottom w:val="0"/>
                                      <w:divBdr>
                                        <w:top w:val="none" w:sz="0" w:space="0" w:color="auto"/>
                                        <w:left w:val="none" w:sz="0" w:space="0" w:color="auto"/>
                                        <w:bottom w:val="none" w:sz="0" w:space="0" w:color="auto"/>
                                        <w:right w:val="none" w:sz="0" w:space="0" w:color="auto"/>
                                      </w:divBdr>
                                      <w:divsChild>
                                        <w:div w:id="867259640">
                                          <w:marLeft w:val="0"/>
                                          <w:marRight w:val="0"/>
                                          <w:marTop w:val="0"/>
                                          <w:marBottom w:val="0"/>
                                          <w:divBdr>
                                            <w:top w:val="none" w:sz="0" w:space="0" w:color="auto"/>
                                            <w:left w:val="none" w:sz="0" w:space="0" w:color="auto"/>
                                            <w:bottom w:val="none" w:sz="0" w:space="0" w:color="auto"/>
                                            <w:right w:val="none" w:sz="0" w:space="0" w:color="auto"/>
                                          </w:divBdr>
                                          <w:divsChild>
                                            <w:div w:id="1660377496">
                                              <w:marLeft w:val="0"/>
                                              <w:marRight w:val="0"/>
                                              <w:marTop w:val="0"/>
                                              <w:marBottom w:val="0"/>
                                              <w:divBdr>
                                                <w:top w:val="none" w:sz="0" w:space="0" w:color="auto"/>
                                                <w:left w:val="none" w:sz="0" w:space="0" w:color="auto"/>
                                                <w:bottom w:val="none" w:sz="0" w:space="0" w:color="auto"/>
                                                <w:right w:val="none" w:sz="0" w:space="0" w:color="auto"/>
                                              </w:divBdr>
                                              <w:divsChild>
                                                <w:div w:id="124684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2030474">
      <w:bodyDiv w:val="1"/>
      <w:marLeft w:val="0"/>
      <w:marRight w:val="0"/>
      <w:marTop w:val="0"/>
      <w:marBottom w:val="0"/>
      <w:divBdr>
        <w:top w:val="none" w:sz="0" w:space="0" w:color="auto"/>
        <w:left w:val="none" w:sz="0" w:space="0" w:color="auto"/>
        <w:bottom w:val="none" w:sz="0" w:space="0" w:color="auto"/>
        <w:right w:val="none" w:sz="0" w:space="0" w:color="auto"/>
      </w:divBdr>
      <w:divsChild>
        <w:div w:id="156191831">
          <w:marLeft w:val="0"/>
          <w:marRight w:val="0"/>
          <w:marTop w:val="0"/>
          <w:marBottom w:val="0"/>
          <w:divBdr>
            <w:top w:val="none" w:sz="0" w:space="0" w:color="auto"/>
            <w:left w:val="none" w:sz="0" w:space="0" w:color="auto"/>
            <w:bottom w:val="dotted" w:sz="6" w:space="4" w:color="DDDDDD"/>
            <w:right w:val="none" w:sz="0" w:space="0" w:color="auto"/>
          </w:divBdr>
          <w:divsChild>
            <w:div w:id="140549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372455">
      <w:bodyDiv w:val="1"/>
      <w:marLeft w:val="0"/>
      <w:marRight w:val="0"/>
      <w:marTop w:val="0"/>
      <w:marBottom w:val="0"/>
      <w:divBdr>
        <w:top w:val="none" w:sz="0" w:space="0" w:color="auto"/>
        <w:left w:val="none" w:sz="0" w:space="0" w:color="auto"/>
        <w:bottom w:val="none" w:sz="0" w:space="0" w:color="auto"/>
        <w:right w:val="none" w:sz="0" w:space="0" w:color="auto"/>
      </w:divBdr>
      <w:divsChild>
        <w:div w:id="106195380">
          <w:marLeft w:val="0"/>
          <w:marRight w:val="0"/>
          <w:marTop w:val="0"/>
          <w:marBottom w:val="0"/>
          <w:divBdr>
            <w:top w:val="none" w:sz="0" w:space="0" w:color="auto"/>
            <w:left w:val="none" w:sz="0" w:space="0" w:color="auto"/>
            <w:bottom w:val="dotted" w:sz="6" w:space="4" w:color="DDDDDD"/>
            <w:right w:val="none" w:sz="0" w:space="0" w:color="auto"/>
          </w:divBdr>
          <w:divsChild>
            <w:div w:id="137982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09811">
      <w:bodyDiv w:val="1"/>
      <w:marLeft w:val="0"/>
      <w:marRight w:val="0"/>
      <w:marTop w:val="0"/>
      <w:marBottom w:val="0"/>
      <w:divBdr>
        <w:top w:val="none" w:sz="0" w:space="0" w:color="auto"/>
        <w:left w:val="none" w:sz="0" w:space="0" w:color="auto"/>
        <w:bottom w:val="none" w:sz="0" w:space="0" w:color="auto"/>
        <w:right w:val="none" w:sz="0" w:space="0" w:color="auto"/>
      </w:divBdr>
    </w:div>
    <w:div w:id="942762922">
      <w:bodyDiv w:val="1"/>
      <w:marLeft w:val="0"/>
      <w:marRight w:val="0"/>
      <w:marTop w:val="0"/>
      <w:marBottom w:val="0"/>
      <w:divBdr>
        <w:top w:val="none" w:sz="0" w:space="0" w:color="auto"/>
        <w:left w:val="none" w:sz="0" w:space="0" w:color="auto"/>
        <w:bottom w:val="none" w:sz="0" w:space="0" w:color="auto"/>
        <w:right w:val="none" w:sz="0" w:space="0" w:color="auto"/>
      </w:divBdr>
    </w:div>
    <w:div w:id="942764196">
      <w:bodyDiv w:val="1"/>
      <w:marLeft w:val="0"/>
      <w:marRight w:val="0"/>
      <w:marTop w:val="0"/>
      <w:marBottom w:val="0"/>
      <w:divBdr>
        <w:top w:val="none" w:sz="0" w:space="0" w:color="auto"/>
        <w:left w:val="none" w:sz="0" w:space="0" w:color="auto"/>
        <w:bottom w:val="none" w:sz="0" w:space="0" w:color="auto"/>
        <w:right w:val="none" w:sz="0" w:space="0" w:color="auto"/>
      </w:divBdr>
      <w:divsChild>
        <w:div w:id="1420524651">
          <w:marLeft w:val="0"/>
          <w:marRight w:val="0"/>
          <w:marTop w:val="0"/>
          <w:marBottom w:val="0"/>
          <w:divBdr>
            <w:top w:val="none" w:sz="0" w:space="0" w:color="auto"/>
            <w:left w:val="none" w:sz="0" w:space="0" w:color="auto"/>
            <w:bottom w:val="none" w:sz="0" w:space="0" w:color="auto"/>
            <w:right w:val="none" w:sz="0" w:space="0" w:color="auto"/>
          </w:divBdr>
          <w:divsChild>
            <w:div w:id="1326976747">
              <w:marLeft w:val="0"/>
              <w:marRight w:val="0"/>
              <w:marTop w:val="0"/>
              <w:marBottom w:val="0"/>
              <w:divBdr>
                <w:top w:val="none" w:sz="0" w:space="0" w:color="auto"/>
                <w:left w:val="none" w:sz="0" w:space="0" w:color="auto"/>
                <w:bottom w:val="none" w:sz="0" w:space="0" w:color="auto"/>
                <w:right w:val="none" w:sz="0" w:space="0" w:color="auto"/>
              </w:divBdr>
              <w:divsChild>
                <w:div w:id="114951877">
                  <w:marLeft w:val="0"/>
                  <w:marRight w:val="0"/>
                  <w:marTop w:val="0"/>
                  <w:marBottom w:val="0"/>
                  <w:divBdr>
                    <w:top w:val="none" w:sz="0" w:space="0" w:color="auto"/>
                    <w:left w:val="none" w:sz="0" w:space="0" w:color="auto"/>
                    <w:bottom w:val="none" w:sz="0" w:space="0" w:color="auto"/>
                    <w:right w:val="none" w:sz="0" w:space="0" w:color="auto"/>
                  </w:divBdr>
                  <w:divsChild>
                    <w:div w:id="2023969701">
                      <w:marLeft w:val="0"/>
                      <w:marRight w:val="0"/>
                      <w:marTop w:val="0"/>
                      <w:marBottom w:val="0"/>
                      <w:divBdr>
                        <w:top w:val="none" w:sz="0" w:space="0" w:color="auto"/>
                        <w:left w:val="none" w:sz="0" w:space="0" w:color="auto"/>
                        <w:bottom w:val="none" w:sz="0" w:space="0" w:color="auto"/>
                        <w:right w:val="none" w:sz="0" w:space="0" w:color="auto"/>
                      </w:divBdr>
                      <w:divsChild>
                        <w:div w:id="1286229294">
                          <w:marLeft w:val="0"/>
                          <w:marRight w:val="0"/>
                          <w:marTop w:val="0"/>
                          <w:marBottom w:val="0"/>
                          <w:divBdr>
                            <w:top w:val="none" w:sz="0" w:space="0" w:color="auto"/>
                            <w:left w:val="none" w:sz="0" w:space="0" w:color="auto"/>
                            <w:bottom w:val="none" w:sz="0" w:space="0" w:color="auto"/>
                            <w:right w:val="none" w:sz="0" w:space="0" w:color="auto"/>
                          </w:divBdr>
                          <w:divsChild>
                            <w:div w:id="1978223113">
                              <w:marLeft w:val="0"/>
                              <w:marRight w:val="0"/>
                              <w:marTop w:val="0"/>
                              <w:marBottom w:val="0"/>
                              <w:divBdr>
                                <w:top w:val="none" w:sz="0" w:space="0" w:color="auto"/>
                                <w:left w:val="none" w:sz="0" w:space="0" w:color="auto"/>
                                <w:bottom w:val="none" w:sz="0" w:space="0" w:color="auto"/>
                                <w:right w:val="none" w:sz="0" w:space="0" w:color="auto"/>
                              </w:divBdr>
                              <w:divsChild>
                                <w:div w:id="2112511619">
                                  <w:marLeft w:val="0"/>
                                  <w:marRight w:val="0"/>
                                  <w:marTop w:val="0"/>
                                  <w:marBottom w:val="0"/>
                                  <w:divBdr>
                                    <w:top w:val="none" w:sz="0" w:space="0" w:color="auto"/>
                                    <w:left w:val="none" w:sz="0" w:space="0" w:color="auto"/>
                                    <w:bottom w:val="none" w:sz="0" w:space="0" w:color="auto"/>
                                    <w:right w:val="none" w:sz="0" w:space="0" w:color="auto"/>
                                  </w:divBdr>
                                  <w:divsChild>
                                    <w:div w:id="1986007081">
                                      <w:marLeft w:val="0"/>
                                      <w:marRight w:val="0"/>
                                      <w:marTop w:val="0"/>
                                      <w:marBottom w:val="0"/>
                                      <w:divBdr>
                                        <w:top w:val="none" w:sz="0" w:space="0" w:color="auto"/>
                                        <w:left w:val="none" w:sz="0" w:space="0" w:color="auto"/>
                                        <w:bottom w:val="none" w:sz="0" w:space="0" w:color="auto"/>
                                        <w:right w:val="none" w:sz="0" w:space="0" w:color="auto"/>
                                      </w:divBdr>
                                      <w:divsChild>
                                        <w:div w:id="204698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2999553">
      <w:bodyDiv w:val="1"/>
      <w:marLeft w:val="0"/>
      <w:marRight w:val="0"/>
      <w:marTop w:val="0"/>
      <w:marBottom w:val="0"/>
      <w:divBdr>
        <w:top w:val="none" w:sz="0" w:space="0" w:color="auto"/>
        <w:left w:val="none" w:sz="0" w:space="0" w:color="auto"/>
        <w:bottom w:val="none" w:sz="0" w:space="0" w:color="auto"/>
        <w:right w:val="none" w:sz="0" w:space="0" w:color="auto"/>
      </w:divBdr>
    </w:div>
    <w:div w:id="943070463">
      <w:bodyDiv w:val="1"/>
      <w:marLeft w:val="0"/>
      <w:marRight w:val="0"/>
      <w:marTop w:val="0"/>
      <w:marBottom w:val="0"/>
      <w:divBdr>
        <w:top w:val="none" w:sz="0" w:space="0" w:color="auto"/>
        <w:left w:val="none" w:sz="0" w:space="0" w:color="auto"/>
        <w:bottom w:val="none" w:sz="0" w:space="0" w:color="auto"/>
        <w:right w:val="none" w:sz="0" w:space="0" w:color="auto"/>
      </w:divBdr>
    </w:div>
    <w:div w:id="943805788">
      <w:bodyDiv w:val="1"/>
      <w:marLeft w:val="0"/>
      <w:marRight w:val="0"/>
      <w:marTop w:val="0"/>
      <w:marBottom w:val="0"/>
      <w:divBdr>
        <w:top w:val="none" w:sz="0" w:space="0" w:color="auto"/>
        <w:left w:val="none" w:sz="0" w:space="0" w:color="auto"/>
        <w:bottom w:val="none" w:sz="0" w:space="0" w:color="auto"/>
        <w:right w:val="none" w:sz="0" w:space="0" w:color="auto"/>
      </w:divBdr>
      <w:divsChild>
        <w:div w:id="1088965715">
          <w:marLeft w:val="0"/>
          <w:marRight w:val="0"/>
          <w:marTop w:val="0"/>
          <w:marBottom w:val="0"/>
          <w:divBdr>
            <w:top w:val="none" w:sz="0" w:space="0" w:color="auto"/>
            <w:left w:val="none" w:sz="0" w:space="0" w:color="auto"/>
            <w:bottom w:val="none" w:sz="0" w:space="0" w:color="auto"/>
            <w:right w:val="none" w:sz="0" w:space="0" w:color="auto"/>
          </w:divBdr>
          <w:divsChild>
            <w:div w:id="87562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02555">
      <w:bodyDiv w:val="1"/>
      <w:marLeft w:val="0"/>
      <w:marRight w:val="0"/>
      <w:marTop w:val="0"/>
      <w:marBottom w:val="0"/>
      <w:divBdr>
        <w:top w:val="none" w:sz="0" w:space="0" w:color="auto"/>
        <w:left w:val="none" w:sz="0" w:space="0" w:color="auto"/>
        <w:bottom w:val="none" w:sz="0" w:space="0" w:color="auto"/>
        <w:right w:val="none" w:sz="0" w:space="0" w:color="auto"/>
      </w:divBdr>
      <w:divsChild>
        <w:div w:id="426460029">
          <w:marLeft w:val="0"/>
          <w:marRight w:val="0"/>
          <w:marTop w:val="0"/>
          <w:marBottom w:val="0"/>
          <w:divBdr>
            <w:top w:val="none" w:sz="0" w:space="0" w:color="auto"/>
            <w:left w:val="none" w:sz="0" w:space="0" w:color="auto"/>
            <w:bottom w:val="none" w:sz="0" w:space="0" w:color="auto"/>
            <w:right w:val="none" w:sz="0" w:space="0" w:color="auto"/>
          </w:divBdr>
          <w:divsChild>
            <w:div w:id="6164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194136">
      <w:bodyDiv w:val="1"/>
      <w:marLeft w:val="0"/>
      <w:marRight w:val="0"/>
      <w:marTop w:val="0"/>
      <w:marBottom w:val="0"/>
      <w:divBdr>
        <w:top w:val="none" w:sz="0" w:space="0" w:color="auto"/>
        <w:left w:val="none" w:sz="0" w:space="0" w:color="auto"/>
        <w:bottom w:val="none" w:sz="0" w:space="0" w:color="auto"/>
        <w:right w:val="none" w:sz="0" w:space="0" w:color="auto"/>
      </w:divBdr>
      <w:divsChild>
        <w:div w:id="834103074">
          <w:marLeft w:val="0"/>
          <w:marRight w:val="0"/>
          <w:marTop w:val="0"/>
          <w:marBottom w:val="0"/>
          <w:divBdr>
            <w:top w:val="none" w:sz="0" w:space="0" w:color="auto"/>
            <w:left w:val="none" w:sz="0" w:space="0" w:color="auto"/>
            <w:bottom w:val="none" w:sz="0" w:space="0" w:color="auto"/>
            <w:right w:val="none" w:sz="0" w:space="0" w:color="auto"/>
          </w:divBdr>
          <w:divsChild>
            <w:div w:id="166928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339405">
      <w:bodyDiv w:val="1"/>
      <w:marLeft w:val="0"/>
      <w:marRight w:val="0"/>
      <w:marTop w:val="0"/>
      <w:marBottom w:val="0"/>
      <w:divBdr>
        <w:top w:val="none" w:sz="0" w:space="0" w:color="auto"/>
        <w:left w:val="none" w:sz="0" w:space="0" w:color="auto"/>
        <w:bottom w:val="none" w:sz="0" w:space="0" w:color="auto"/>
        <w:right w:val="none" w:sz="0" w:space="0" w:color="auto"/>
      </w:divBdr>
      <w:divsChild>
        <w:div w:id="2074500356">
          <w:marLeft w:val="0"/>
          <w:marRight w:val="0"/>
          <w:marTop w:val="0"/>
          <w:marBottom w:val="0"/>
          <w:divBdr>
            <w:top w:val="none" w:sz="0" w:space="0" w:color="auto"/>
            <w:left w:val="none" w:sz="0" w:space="0" w:color="auto"/>
            <w:bottom w:val="none" w:sz="0" w:space="0" w:color="auto"/>
            <w:right w:val="none" w:sz="0" w:space="0" w:color="auto"/>
          </w:divBdr>
          <w:divsChild>
            <w:div w:id="981160212">
              <w:marLeft w:val="0"/>
              <w:marRight w:val="0"/>
              <w:marTop w:val="0"/>
              <w:marBottom w:val="0"/>
              <w:divBdr>
                <w:top w:val="none" w:sz="0" w:space="0" w:color="auto"/>
                <w:left w:val="none" w:sz="0" w:space="0" w:color="auto"/>
                <w:bottom w:val="none" w:sz="0" w:space="0" w:color="auto"/>
                <w:right w:val="none" w:sz="0" w:space="0" w:color="auto"/>
              </w:divBdr>
            </w:div>
          </w:divsChild>
        </w:div>
        <w:div w:id="203715823">
          <w:marLeft w:val="0"/>
          <w:marRight w:val="0"/>
          <w:marTop w:val="0"/>
          <w:marBottom w:val="0"/>
          <w:divBdr>
            <w:top w:val="none" w:sz="0" w:space="0" w:color="auto"/>
            <w:left w:val="none" w:sz="0" w:space="0" w:color="auto"/>
            <w:bottom w:val="none" w:sz="0" w:space="0" w:color="auto"/>
            <w:right w:val="none" w:sz="0" w:space="0" w:color="auto"/>
          </w:divBdr>
        </w:div>
        <w:div w:id="1790858597">
          <w:marLeft w:val="0"/>
          <w:marRight w:val="0"/>
          <w:marTop w:val="0"/>
          <w:marBottom w:val="0"/>
          <w:divBdr>
            <w:top w:val="none" w:sz="0" w:space="0" w:color="auto"/>
            <w:left w:val="none" w:sz="0" w:space="0" w:color="auto"/>
            <w:bottom w:val="none" w:sz="0" w:space="0" w:color="auto"/>
            <w:right w:val="none" w:sz="0" w:space="0" w:color="auto"/>
          </w:divBdr>
          <w:divsChild>
            <w:div w:id="1953854842">
              <w:marLeft w:val="-225"/>
              <w:marRight w:val="-225"/>
              <w:marTop w:val="0"/>
              <w:marBottom w:val="0"/>
              <w:divBdr>
                <w:top w:val="none" w:sz="0" w:space="0" w:color="auto"/>
                <w:left w:val="none" w:sz="0" w:space="0" w:color="auto"/>
                <w:bottom w:val="none" w:sz="0" w:space="0" w:color="auto"/>
                <w:right w:val="none" w:sz="0" w:space="0" w:color="auto"/>
              </w:divBdr>
              <w:divsChild>
                <w:div w:id="1500999327">
                  <w:marLeft w:val="0"/>
                  <w:marRight w:val="0"/>
                  <w:marTop w:val="0"/>
                  <w:marBottom w:val="0"/>
                  <w:divBdr>
                    <w:top w:val="none" w:sz="0" w:space="0" w:color="auto"/>
                    <w:left w:val="none" w:sz="0" w:space="0" w:color="auto"/>
                    <w:bottom w:val="none" w:sz="0" w:space="0" w:color="auto"/>
                    <w:right w:val="single" w:sz="6" w:space="0" w:color="000000"/>
                  </w:divBdr>
                  <w:divsChild>
                    <w:div w:id="53939797">
                      <w:marLeft w:val="0"/>
                      <w:marRight w:val="0"/>
                      <w:marTop w:val="0"/>
                      <w:marBottom w:val="0"/>
                      <w:divBdr>
                        <w:top w:val="none" w:sz="0" w:space="0" w:color="auto"/>
                        <w:left w:val="none" w:sz="0" w:space="0" w:color="auto"/>
                        <w:bottom w:val="none" w:sz="0" w:space="0" w:color="auto"/>
                        <w:right w:val="none" w:sz="0" w:space="0" w:color="auto"/>
                      </w:divBdr>
                      <w:divsChild>
                        <w:div w:id="390157239">
                          <w:marLeft w:val="0"/>
                          <w:marRight w:val="0"/>
                          <w:marTop w:val="0"/>
                          <w:marBottom w:val="0"/>
                          <w:divBdr>
                            <w:top w:val="none" w:sz="0" w:space="0" w:color="auto"/>
                            <w:left w:val="none" w:sz="0" w:space="0" w:color="auto"/>
                            <w:bottom w:val="none" w:sz="0" w:space="0" w:color="auto"/>
                            <w:right w:val="none" w:sz="0" w:space="0" w:color="auto"/>
                          </w:divBdr>
                        </w:div>
                        <w:div w:id="1112673316">
                          <w:marLeft w:val="0"/>
                          <w:marRight w:val="0"/>
                          <w:marTop w:val="0"/>
                          <w:marBottom w:val="0"/>
                          <w:divBdr>
                            <w:top w:val="none" w:sz="0" w:space="0" w:color="auto"/>
                            <w:left w:val="none" w:sz="0" w:space="0" w:color="auto"/>
                            <w:bottom w:val="none" w:sz="0" w:space="0" w:color="auto"/>
                            <w:right w:val="none" w:sz="0" w:space="0" w:color="auto"/>
                          </w:divBdr>
                        </w:div>
                        <w:div w:id="1260869867">
                          <w:marLeft w:val="0"/>
                          <w:marRight w:val="0"/>
                          <w:marTop w:val="0"/>
                          <w:marBottom w:val="0"/>
                          <w:divBdr>
                            <w:top w:val="none" w:sz="0" w:space="0" w:color="auto"/>
                            <w:left w:val="none" w:sz="0" w:space="0" w:color="auto"/>
                            <w:bottom w:val="none" w:sz="0" w:space="0" w:color="auto"/>
                            <w:right w:val="none" w:sz="0" w:space="0" w:color="auto"/>
                          </w:divBdr>
                        </w:div>
                        <w:div w:id="1681204247">
                          <w:marLeft w:val="0"/>
                          <w:marRight w:val="0"/>
                          <w:marTop w:val="0"/>
                          <w:marBottom w:val="0"/>
                          <w:divBdr>
                            <w:top w:val="none" w:sz="0" w:space="0" w:color="auto"/>
                            <w:left w:val="none" w:sz="0" w:space="0" w:color="auto"/>
                            <w:bottom w:val="none" w:sz="0" w:space="0" w:color="auto"/>
                            <w:right w:val="none" w:sz="0" w:space="0" w:color="auto"/>
                          </w:divBdr>
                        </w:div>
                        <w:div w:id="33076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57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458937">
      <w:bodyDiv w:val="1"/>
      <w:marLeft w:val="0"/>
      <w:marRight w:val="0"/>
      <w:marTop w:val="0"/>
      <w:marBottom w:val="0"/>
      <w:divBdr>
        <w:top w:val="none" w:sz="0" w:space="0" w:color="auto"/>
        <w:left w:val="none" w:sz="0" w:space="0" w:color="auto"/>
        <w:bottom w:val="none" w:sz="0" w:space="0" w:color="auto"/>
        <w:right w:val="none" w:sz="0" w:space="0" w:color="auto"/>
      </w:divBdr>
    </w:div>
    <w:div w:id="944968877">
      <w:bodyDiv w:val="1"/>
      <w:marLeft w:val="0"/>
      <w:marRight w:val="0"/>
      <w:marTop w:val="0"/>
      <w:marBottom w:val="0"/>
      <w:divBdr>
        <w:top w:val="none" w:sz="0" w:space="0" w:color="auto"/>
        <w:left w:val="none" w:sz="0" w:space="0" w:color="auto"/>
        <w:bottom w:val="none" w:sz="0" w:space="0" w:color="auto"/>
        <w:right w:val="none" w:sz="0" w:space="0" w:color="auto"/>
      </w:divBdr>
      <w:divsChild>
        <w:div w:id="284119942">
          <w:marLeft w:val="0"/>
          <w:marRight w:val="0"/>
          <w:marTop w:val="0"/>
          <w:marBottom w:val="150"/>
          <w:divBdr>
            <w:top w:val="none" w:sz="0" w:space="0" w:color="auto"/>
            <w:left w:val="none" w:sz="0" w:space="0" w:color="auto"/>
            <w:bottom w:val="none" w:sz="0" w:space="0" w:color="auto"/>
            <w:right w:val="none" w:sz="0" w:space="0" w:color="auto"/>
          </w:divBdr>
        </w:div>
        <w:div w:id="942106193">
          <w:marLeft w:val="0"/>
          <w:marRight w:val="0"/>
          <w:marTop w:val="0"/>
          <w:marBottom w:val="150"/>
          <w:divBdr>
            <w:top w:val="none" w:sz="0" w:space="0" w:color="auto"/>
            <w:left w:val="none" w:sz="0" w:space="0" w:color="auto"/>
            <w:bottom w:val="none" w:sz="0" w:space="0" w:color="auto"/>
            <w:right w:val="none" w:sz="0" w:space="0" w:color="auto"/>
          </w:divBdr>
        </w:div>
        <w:div w:id="1140731969">
          <w:marLeft w:val="0"/>
          <w:marRight w:val="0"/>
          <w:marTop w:val="0"/>
          <w:marBottom w:val="150"/>
          <w:divBdr>
            <w:top w:val="none" w:sz="0" w:space="0" w:color="auto"/>
            <w:left w:val="none" w:sz="0" w:space="0" w:color="auto"/>
            <w:bottom w:val="none" w:sz="0" w:space="0" w:color="auto"/>
            <w:right w:val="none" w:sz="0" w:space="0" w:color="auto"/>
          </w:divBdr>
        </w:div>
        <w:div w:id="1261987795">
          <w:marLeft w:val="0"/>
          <w:marRight w:val="0"/>
          <w:marTop w:val="0"/>
          <w:marBottom w:val="150"/>
          <w:divBdr>
            <w:top w:val="none" w:sz="0" w:space="0" w:color="auto"/>
            <w:left w:val="none" w:sz="0" w:space="0" w:color="auto"/>
            <w:bottom w:val="none" w:sz="0" w:space="0" w:color="auto"/>
            <w:right w:val="none" w:sz="0" w:space="0" w:color="auto"/>
          </w:divBdr>
        </w:div>
        <w:div w:id="1443695206">
          <w:marLeft w:val="0"/>
          <w:marRight w:val="0"/>
          <w:marTop w:val="0"/>
          <w:marBottom w:val="150"/>
          <w:divBdr>
            <w:top w:val="none" w:sz="0" w:space="0" w:color="auto"/>
            <w:left w:val="none" w:sz="0" w:space="0" w:color="auto"/>
            <w:bottom w:val="none" w:sz="0" w:space="0" w:color="auto"/>
            <w:right w:val="none" w:sz="0" w:space="0" w:color="auto"/>
          </w:divBdr>
        </w:div>
        <w:div w:id="1709715836">
          <w:marLeft w:val="0"/>
          <w:marRight w:val="0"/>
          <w:marTop w:val="0"/>
          <w:marBottom w:val="150"/>
          <w:divBdr>
            <w:top w:val="none" w:sz="0" w:space="0" w:color="auto"/>
            <w:left w:val="none" w:sz="0" w:space="0" w:color="auto"/>
            <w:bottom w:val="none" w:sz="0" w:space="0" w:color="auto"/>
            <w:right w:val="none" w:sz="0" w:space="0" w:color="auto"/>
          </w:divBdr>
        </w:div>
        <w:div w:id="1868249775">
          <w:marLeft w:val="0"/>
          <w:marRight w:val="0"/>
          <w:marTop w:val="0"/>
          <w:marBottom w:val="150"/>
          <w:divBdr>
            <w:top w:val="none" w:sz="0" w:space="0" w:color="auto"/>
            <w:left w:val="none" w:sz="0" w:space="0" w:color="auto"/>
            <w:bottom w:val="none" w:sz="0" w:space="0" w:color="auto"/>
            <w:right w:val="none" w:sz="0" w:space="0" w:color="auto"/>
          </w:divBdr>
        </w:div>
        <w:div w:id="1910845785">
          <w:marLeft w:val="0"/>
          <w:marRight w:val="0"/>
          <w:marTop w:val="0"/>
          <w:marBottom w:val="150"/>
          <w:divBdr>
            <w:top w:val="none" w:sz="0" w:space="0" w:color="auto"/>
            <w:left w:val="none" w:sz="0" w:space="0" w:color="auto"/>
            <w:bottom w:val="none" w:sz="0" w:space="0" w:color="auto"/>
            <w:right w:val="none" w:sz="0" w:space="0" w:color="auto"/>
          </w:divBdr>
        </w:div>
        <w:div w:id="1969966866">
          <w:marLeft w:val="0"/>
          <w:marRight w:val="0"/>
          <w:marTop w:val="0"/>
          <w:marBottom w:val="150"/>
          <w:divBdr>
            <w:top w:val="none" w:sz="0" w:space="0" w:color="auto"/>
            <w:left w:val="none" w:sz="0" w:space="0" w:color="auto"/>
            <w:bottom w:val="none" w:sz="0" w:space="0" w:color="auto"/>
            <w:right w:val="none" w:sz="0" w:space="0" w:color="auto"/>
          </w:divBdr>
        </w:div>
        <w:div w:id="2079860537">
          <w:marLeft w:val="0"/>
          <w:marRight w:val="0"/>
          <w:marTop w:val="0"/>
          <w:marBottom w:val="150"/>
          <w:divBdr>
            <w:top w:val="none" w:sz="0" w:space="0" w:color="auto"/>
            <w:left w:val="none" w:sz="0" w:space="0" w:color="auto"/>
            <w:bottom w:val="none" w:sz="0" w:space="0" w:color="auto"/>
            <w:right w:val="none" w:sz="0" w:space="0" w:color="auto"/>
          </w:divBdr>
        </w:div>
        <w:div w:id="2127191173">
          <w:marLeft w:val="0"/>
          <w:marRight w:val="0"/>
          <w:marTop w:val="0"/>
          <w:marBottom w:val="150"/>
          <w:divBdr>
            <w:top w:val="none" w:sz="0" w:space="0" w:color="auto"/>
            <w:left w:val="none" w:sz="0" w:space="0" w:color="auto"/>
            <w:bottom w:val="none" w:sz="0" w:space="0" w:color="auto"/>
            <w:right w:val="none" w:sz="0" w:space="0" w:color="auto"/>
          </w:divBdr>
        </w:div>
      </w:divsChild>
    </w:div>
    <w:div w:id="944994062">
      <w:bodyDiv w:val="1"/>
      <w:marLeft w:val="0"/>
      <w:marRight w:val="0"/>
      <w:marTop w:val="0"/>
      <w:marBottom w:val="0"/>
      <w:divBdr>
        <w:top w:val="none" w:sz="0" w:space="0" w:color="auto"/>
        <w:left w:val="none" w:sz="0" w:space="0" w:color="auto"/>
        <w:bottom w:val="none" w:sz="0" w:space="0" w:color="auto"/>
        <w:right w:val="none" w:sz="0" w:space="0" w:color="auto"/>
      </w:divBdr>
    </w:div>
    <w:div w:id="945232774">
      <w:bodyDiv w:val="1"/>
      <w:marLeft w:val="0"/>
      <w:marRight w:val="0"/>
      <w:marTop w:val="0"/>
      <w:marBottom w:val="0"/>
      <w:divBdr>
        <w:top w:val="none" w:sz="0" w:space="0" w:color="auto"/>
        <w:left w:val="none" w:sz="0" w:space="0" w:color="auto"/>
        <w:bottom w:val="none" w:sz="0" w:space="0" w:color="auto"/>
        <w:right w:val="none" w:sz="0" w:space="0" w:color="auto"/>
      </w:divBdr>
      <w:divsChild>
        <w:div w:id="1086345503">
          <w:marLeft w:val="0"/>
          <w:marRight w:val="0"/>
          <w:marTop w:val="0"/>
          <w:marBottom w:val="0"/>
          <w:divBdr>
            <w:top w:val="none" w:sz="0" w:space="0" w:color="auto"/>
            <w:left w:val="none" w:sz="0" w:space="0" w:color="auto"/>
            <w:bottom w:val="none" w:sz="0" w:space="0" w:color="auto"/>
            <w:right w:val="none" w:sz="0" w:space="0" w:color="auto"/>
          </w:divBdr>
          <w:divsChild>
            <w:div w:id="1611890578">
              <w:marLeft w:val="0"/>
              <w:marRight w:val="0"/>
              <w:marTop w:val="225"/>
              <w:marBottom w:val="225"/>
              <w:divBdr>
                <w:top w:val="none" w:sz="0" w:space="0" w:color="auto"/>
                <w:left w:val="none" w:sz="0" w:space="0" w:color="auto"/>
                <w:bottom w:val="none" w:sz="0" w:space="0" w:color="auto"/>
                <w:right w:val="none" w:sz="0" w:space="0" w:color="auto"/>
              </w:divBdr>
            </w:div>
          </w:divsChild>
        </w:div>
        <w:div w:id="1246838917">
          <w:marLeft w:val="0"/>
          <w:marRight w:val="0"/>
          <w:marTop w:val="0"/>
          <w:marBottom w:val="150"/>
          <w:divBdr>
            <w:top w:val="none" w:sz="0" w:space="0" w:color="auto"/>
            <w:left w:val="none" w:sz="0" w:space="0" w:color="auto"/>
            <w:bottom w:val="none" w:sz="0" w:space="0" w:color="auto"/>
            <w:right w:val="none" w:sz="0" w:space="0" w:color="auto"/>
          </w:divBdr>
          <w:divsChild>
            <w:div w:id="1798334840">
              <w:marLeft w:val="0"/>
              <w:marRight w:val="0"/>
              <w:marTop w:val="0"/>
              <w:marBottom w:val="0"/>
              <w:divBdr>
                <w:top w:val="none" w:sz="0" w:space="0" w:color="auto"/>
                <w:left w:val="none" w:sz="0" w:space="0" w:color="auto"/>
                <w:bottom w:val="none" w:sz="0" w:space="0" w:color="auto"/>
                <w:right w:val="none" w:sz="0" w:space="0" w:color="auto"/>
              </w:divBdr>
              <w:divsChild>
                <w:div w:id="76612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120303">
          <w:marLeft w:val="0"/>
          <w:marRight w:val="0"/>
          <w:marTop w:val="0"/>
          <w:marBottom w:val="150"/>
          <w:divBdr>
            <w:top w:val="none" w:sz="0" w:space="0" w:color="auto"/>
            <w:left w:val="none" w:sz="0" w:space="0" w:color="auto"/>
            <w:bottom w:val="none" w:sz="0" w:space="0" w:color="auto"/>
            <w:right w:val="none" w:sz="0" w:space="0" w:color="auto"/>
          </w:divBdr>
        </w:div>
      </w:divsChild>
    </w:div>
    <w:div w:id="945573827">
      <w:bodyDiv w:val="1"/>
      <w:marLeft w:val="0"/>
      <w:marRight w:val="0"/>
      <w:marTop w:val="0"/>
      <w:marBottom w:val="0"/>
      <w:divBdr>
        <w:top w:val="none" w:sz="0" w:space="0" w:color="auto"/>
        <w:left w:val="none" w:sz="0" w:space="0" w:color="auto"/>
        <w:bottom w:val="none" w:sz="0" w:space="0" w:color="auto"/>
        <w:right w:val="none" w:sz="0" w:space="0" w:color="auto"/>
      </w:divBdr>
      <w:divsChild>
        <w:div w:id="1318412920">
          <w:marLeft w:val="0"/>
          <w:marRight w:val="0"/>
          <w:marTop w:val="0"/>
          <w:marBottom w:val="150"/>
          <w:divBdr>
            <w:top w:val="none" w:sz="0" w:space="0" w:color="auto"/>
            <w:left w:val="none" w:sz="0" w:space="0" w:color="auto"/>
            <w:bottom w:val="none" w:sz="0" w:space="0" w:color="auto"/>
            <w:right w:val="none" w:sz="0" w:space="0" w:color="auto"/>
          </w:divBdr>
        </w:div>
      </w:divsChild>
    </w:div>
    <w:div w:id="945579090">
      <w:bodyDiv w:val="1"/>
      <w:marLeft w:val="0"/>
      <w:marRight w:val="0"/>
      <w:marTop w:val="0"/>
      <w:marBottom w:val="0"/>
      <w:divBdr>
        <w:top w:val="none" w:sz="0" w:space="0" w:color="auto"/>
        <w:left w:val="none" w:sz="0" w:space="0" w:color="auto"/>
        <w:bottom w:val="none" w:sz="0" w:space="0" w:color="auto"/>
        <w:right w:val="none" w:sz="0" w:space="0" w:color="auto"/>
      </w:divBdr>
      <w:divsChild>
        <w:div w:id="884222431">
          <w:marLeft w:val="0"/>
          <w:marRight w:val="0"/>
          <w:marTop w:val="0"/>
          <w:marBottom w:val="150"/>
          <w:divBdr>
            <w:top w:val="none" w:sz="0" w:space="0" w:color="auto"/>
            <w:left w:val="none" w:sz="0" w:space="0" w:color="auto"/>
            <w:bottom w:val="none" w:sz="0" w:space="0" w:color="auto"/>
            <w:right w:val="none" w:sz="0" w:space="0" w:color="auto"/>
          </w:divBdr>
          <w:divsChild>
            <w:div w:id="1317101062">
              <w:marLeft w:val="0"/>
              <w:marRight w:val="0"/>
              <w:marTop w:val="0"/>
              <w:marBottom w:val="0"/>
              <w:divBdr>
                <w:top w:val="none" w:sz="0" w:space="0" w:color="auto"/>
                <w:left w:val="none" w:sz="0" w:space="0" w:color="auto"/>
                <w:bottom w:val="none" w:sz="0" w:space="0" w:color="auto"/>
                <w:right w:val="none" w:sz="0" w:space="0" w:color="auto"/>
              </w:divBdr>
            </w:div>
          </w:divsChild>
        </w:div>
        <w:div w:id="1590966191">
          <w:marLeft w:val="0"/>
          <w:marRight w:val="0"/>
          <w:marTop w:val="0"/>
          <w:marBottom w:val="150"/>
          <w:divBdr>
            <w:top w:val="none" w:sz="0" w:space="0" w:color="auto"/>
            <w:left w:val="none" w:sz="0" w:space="0" w:color="auto"/>
            <w:bottom w:val="none" w:sz="0" w:space="0" w:color="auto"/>
            <w:right w:val="none" w:sz="0" w:space="0" w:color="auto"/>
          </w:divBdr>
        </w:div>
        <w:div w:id="2062750306">
          <w:marLeft w:val="0"/>
          <w:marRight w:val="0"/>
          <w:marTop w:val="0"/>
          <w:marBottom w:val="0"/>
          <w:divBdr>
            <w:top w:val="none" w:sz="0" w:space="0" w:color="auto"/>
            <w:left w:val="none" w:sz="0" w:space="0" w:color="auto"/>
            <w:bottom w:val="none" w:sz="0" w:space="0" w:color="auto"/>
            <w:right w:val="none" w:sz="0" w:space="0" w:color="auto"/>
          </w:divBdr>
          <w:divsChild>
            <w:div w:id="65079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621094">
      <w:bodyDiv w:val="1"/>
      <w:marLeft w:val="0"/>
      <w:marRight w:val="0"/>
      <w:marTop w:val="0"/>
      <w:marBottom w:val="0"/>
      <w:divBdr>
        <w:top w:val="none" w:sz="0" w:space="0" w:color="auto"/>
        <w:left w:val="none" w:sz="0" w:space="0" w:color="auto"/>
        <w:bottom w:val="none" w:sz="0" w:space="0" w:color="auto"/>
        <w:right w:val="none" w:sz="0" w:space="0" w:color="auto"/>
      </w:divBdr>
      <w:divsChild>
        <w:div w:id="719279805">
          <w:marLeft w:val="0"/>
          <w:marRight w:val="0"/>
          <w:marTop w:val="0"/>
          <w:marBottom w:val="0"/>
          <w:divBdr>
            <w:top w:val="none" w:sz="0" w:space="0" w:color="auto"/>
            <w:left w:val="none" w:sz="0" w:space="0" w:color="auto"/>
            <w:bottom w:val="none" w:sz="0" w:space="0" w:color="auto"/>
            <w:right w:val="none" w:sz="0" w:space="0" w:color="auto"/>
          </w:divBdr>
          <w:divsChild>
            <w:div w:id="1664314747">
              <w:marLeft w:val="0"/>
              <w:marRight w:val="0"/>
              <w:marTop w:val="0"/>
              <w:marBottom w:val="0"/>
              <w:divBdr>
                <w:top w:val="none" w:sz="0" w:space="0" w:color="auto"/>
                <w:left w:val="none" w:sz="0" w:space="0" w:color="auto"/>
                <w:bottom w:val="none" w:sz="0" w:space="0" w:color="auto"/>
                <w:right w:val="none" w:sz="0" w:space="0" w:color="auto"/>
              </w:divBdr>
              <w:divsChild>
                <w:div w:id="1130199785">
                  <w:marLeft w:val="0"/>
                  <w:marRight w:val="0"/>
                  <w:marTop w:val="0"/>
                  <w:marBottom w:val="0"/>
                  <w:divBdr>
                    <w:top w:val="none" w:sz="0" w:space="0" w:color="auto"/>
                    <w:left w:val="none" w:sz="0" w:space="0" w:color="auto"/>
                    <w:bottom w:val="none" w:sz="0" w:space="0" w:color="auto"/>
                    <w:right w:val="none" w:sz="0" w:space="0" w:color="auto"/>
                  </w:divBdr>
                  <w:divsChild>
                    <w:div w:id="1868133993">
                      <w:marLeft w:val="0"/>
                      <w:marRight w:val="0"/>
                      <w:marTop w:val="0"/>
                      <w:marBottom w:val="0"/>
                      <w:divBdr>
                        <w:top w:val="none" w:sz="0" w:space="0" w:color="auto"/>
                        <w:left w:val="none" w:sz="0" w:space="0" w:color="auto"/>
                        <w:bottom w:val="none" w:sz="0" w:space="0" w:color="auto"/>
                        <w:right w:val="none" w:sz="0" w:space="0" w:color="auto"/>
                      </w:divBdr>
                      <w:divsChild>
                        <w:div w:id="242565878">
                          <w:marLeft w:val="0"/>
                          <w:marRight w:val="0"/>
                          <w:marTop w:val="0"/>
                          <w:marBottom w:val="0"/>
                          <w:divBdr>
                            <w:top w:val="none" w:sz="0" w:space="0" w:color="auto"/>
                            <w:left w:val="none" w:sz="0" w:space="0" w:color="auto"/>
                            <w:bottom w:val="none" w:sz="0" w:space="0" w:color="auto"/>
                            <w:right w:val="none" w:sz="0" w:space="0" w:color="auto"/>
                          </w:divBdr>
                          <w:divsChild>
                            <w:div w:id="274673027">
                              <w:marLeft w:val="0"/>
                              <w:marRight w:val="0"/>
                              <w:marTop w:val="0"/>
                              <w:marBottom w:val="0"/>
                              <w:divBdr>
                                <w:top w:val="none" w:sz="0" w:space="0" w:color="auto"/>
                                <w:left w:val="none" w:sz="0" w:space="0" w:color="auto"/>
                                <w:bottom w:val="none" w:sz="0" w:space="0" w:color="auto"/>
                                <w:right w:val="none" w:sz="0" w:space="0" w:color="auto"/>
                              </w:divBdr>
                              <w:divsChild>
                                <w:div w:id="209733417">
                                  <w:marLeft w:val="0"/>
                                  <w:marRight w:val="0"/>
                                  <w:marTop w:val="0"/>
                                  <w:marBottom w:val="0"/>
                                  <w:divBdr>
                                    <w:top w:val="none" w:sz="0" w:space="0" w:color="auto"/>
                                    <w:left w:val="none" w:sz="0" w:space="0" w:color="auto"/>
                                    <w:bottom w:val="none" w:sz="0" w:space="0" w:color="auto"/>
                                    <w:right w:val="none" w:sz="0" w:space="0" w:color="auto"/>
                                  </w:divBdr>
                                  <w:divsChild>
                                    <w:div w:id="108036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5887994">
      <w:bodyDiv w:val="1"/>
      <w:marLeft w:val="0"/>
      <w:marRight w:val="0"/>
      <w:marTop w:val="0"/>
      <w:marBottom w:val="0"/>
      <w:divBdr>
        <w:top w:val="none" w:sz="0" w:space="0" w:color="auto"/>
        <w:left w:val="none" w:sz="0" w:space="0" w:color="auto"/>
        <w:bottom w:val="none" w:sz="0" w:space="0" w:color="auto"/>
        <w:right w:val="none" w:sz="0" w:space="0" w:color="auto"/>
      </w:divBdr>
      <w:divsChild>
        <w:div w:id="81420690">
          <w:marLeft w:val="0"/>
          <w:marRight w:val="0"/>
          <w:marTop w:val="0"/>
          <w:marBottom w:val="0"/>
          <w:divBdr>
            <w:top w:val="none" w:sz="0" w:space="0" w:color="auto"/>
            <w:left w:val="none" w:sz="0" w:space="0" w:color="auto"/>
            <w:bottom w:val="none" w:sz="0" w:space="0" w:color="auto"/>
            <w:right w:val="none" w:sz="0" w:space="0" w:color="auto"/>
          </w:divBdr>
          <w:divsChild>
            <w:div w:id="65303990">
              <w:marLeft w:val="0"/>
              <w:marRight w:val="0"/>
              <w:marTop w:val="0"/>
              <w:marBottom w:val="0"/>
              <w:divBdr>
                <w:top w:val="none" w:sz="0" w:space="0" w:color="auto"/>
                <w:left w:val="none" w:sz="0" w:space="0" w:color="auto"/>
                <w:bottom w:val="none" w:sz="0" w:space="0" w:color="auto"/>
                <w:right w:val="none" w:sz="0" w:space="0" w:color="auto"/>
              </w:divBdr>
              <w:divsChild>
                <w:div w:id="537282265">
                  <w:marLeft w:val="0"/>
                  <w:marRight w:val="0"/>
                  <w:marTop w:val="0"/>
                  <w:marBottom w:val="0"/>
                  <w:divBdr>
                    <w:top w:val="none" w:sz="0" w:space="0" w:color="auto"/>
                    <w:left w:val="none" w:sz="0" w:space="0" w:color="auto"/>
                    <w:bottom w:val="none" w:sz="0" w:space="0" w:color="auto"/>
                    <w:right w:val="none" w:sz="0" w:space="0" w:color="auto"/>
                  </w:divBdr>
                  <w:divsChild>
                    <w:div w:id="141236042">
                      <w:marLeft w:val="0"/>
                      <w:marRight w:val="0"/>
                      <w:marTop w:val="0"/>
                      <w:marBottom w:val="75"/>
                      <w:divBdr>
                        <w:top w:val="none" w:sz="0" w:space="0" w:color="auto"/>
                        <w:left w:val="none" w:sz="0" w:space="0" w:color="auto"/>
                        <w:bottom w:val="none" w:sz="0" w:space="0" w:color="auto"/>
                        <w:right w:val="none" w:sz="0" w:space="0" w:color="auto"/>
                      </w:divBdr>
                    </w:div>
                    <w:div w:id="1672413331">
                      <w:marLeft w:val="0"/>
                      <w:marRight w:val="0"/>
                      <w:marTop w:val="0"/>
                      <w:marBottom w:val="0"/>
                      <w:divBdr>
                        <w:top w:val="none" w:sz="0" w:space="0" w:color="auto"/>
                        <w:left w:val="none" w:sz="0" w:space="0" w:color="auto"/>
                        <w:bottom w:val="none" w:sz="0" w:space="0" w:color="auto"/>
                        <w:right w:val="none" w:sz="0" w:space="0" w:color="auto"/>
                      </w:divBdr>
                    </w:div>
                    <w:div w:id="1682118995">
                      <w:marLeft w:val="0"/>
                      <w:marRight w:val="0"/>
                      <w:marTop w:val="0"/>
                      <w:marBottom w:val="0"/>
                      <w:divBdr>
                        <w:top w:val="none" w:sz="0" w:space="0" w:color="auto"/>
                        <w:left w:val="none" w:sz="0" w:space="0" w:color="auto"/>
                        <w:bottom w:val="none" w:sz="0" w:space="0" w:color="auto"/>
                        <w:right w:val="none" w:sz="0" w:space="0" w:color="auto"/>
                      </w:divBdr>
                      <w:divsChild>
                        <w:div w:id="45565022">
                          <w:marLeft w:val="0"/>
                          <w:marRight w:val="0"/>
                          <w:marTop w:val="0"/>
                          <w:marBottom w:val="0"/>
                          <w:divBdr>
                            <w:top w:val="none" w:sz="0" w:space="0" w:color="auto"/>
                            <w:left w:val="none" w:sz="0" w:space="0" w:color="auto"/>
                            <w:bottom w:val="none" w:sz="0" w:space="0" w:color="auto"/>
                            <w:right w:val="none" w:sz="0" w:space="0" w:color="auto"/>
                          </w:divBdr>
                          <w:divsChild>
                            <w:div w:id="86895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399234">
                      <w:marLeft w:val="0"/>
                      <w:marRight w:val="0"/>
                      <w:marTop w:val="0"/>
                      <w:marBottom w:val="300"/>
                      <w:divBdr>
                        <w:top w:val="none" w:sz="0" w:space="0" w:color="auto"/>
                        <w:left w:val="none" w:sz="0" w:space="0" w:color="auto"/>
                        <w:bottom w:val="none" w:sz="0" w:space="0" w:color="auto"/>
                        <w:right w:val="none" w:sz="0" w:space="0" w:color="auto"/>
                      </w:divBdr>
                      <w:divsChild>
                        <w:div w:id="200207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70654">
                  <w:marLeft w:val="0"/>
                  <w:marRight w:val="0"/>
                  <w:marTop w:val="0"/>
                  <w:marBottom w:val="0"/>
                  <w:divBdr>
                    <w:top w:val="none" w:sz="0" w:space="0" w:color="auto"/>
                    <w:left w:val="none" w:sz="0" w:space="0" w:color="auto"/>
                    <w:bottom w:val="none" w:sz="0" w:space="0" w:color="auto"/>
                    <w:right w:val="none" w:sz="0" w:space="0" w:color="auto"/>
                  </w:divBdr>
                  <w:divsChild>
                    <w:div w:id="323123343">
                      <w:marLeft w:val="0"/>
                      <w:marRight w:val="0"/>
                      <w:marTop w:val="0"/>
                      <w:marBottom w:val="300"/>
                      <w:divBdr>
                        <w:top w:val="none" w:sz="0" w:space="0" w:color="auto"/>
                        <w:left w:val="none" w:sz="0" w:space="0" w:color="auto"/>
                        <w:bottom w:val="none" w:sz="0" w:space="0" w:color="auto"/>
                        <w:right w:val="none" w:sz="0" w:space="0" w:color="auto"/>
                      </w:divBdr>
                      <w:divsChild>
                        <w:div w:id="1305425834">
                          <w:marLeft w:val="0"/>
                          <w:marRight w:val="0"/>
                          <w:marTop w:val="0"/>
                          <w:marBottom w:val="0"/>
                          <w:divBdr>
                            <w:top w:val="none" w:sz="0" w:space="0" w:color="auto"/>
                            <w:left w:val="none" w:sz="0" w:space="0" w:color="auto"/>
                            <w:bottom w:val="none" w:sz="0" w:space="0" w:color="auto"/>
                            <w:right w:val="none" w:sz="0" w:space="0" w:color="auto"/>
                          </w:divBdr>
                          <w:divsChild>
                            <w:div w:id="1977832723">
                              <w:marLeft w:val="0"/>
                              <w:marRight w:val="0"/>
                              <w:marTop w:val="0"/>
                              <w:marBottom w:val="0"/>
                              <w:divBdr>
                                <w:top w:val="none" w:sz="0" w:space="0" w:color="auto"/>
                                <w:left w:val="none" w:sz="0" w:space="0" w:color="auto"/>
                                <w:bottom w:val="none" w:sz="0" w:space="0" w:color="auto"/>
                                <w:right w:val="none" w:sz="0" w:space="0" w:color="auto"/>
                              </w:divBdr>
                              <w:divsChild>
                                <w:div w:id="2114207595">
                                  <w:marLeft w:val="0"/>
                                  <w:marRight w:val="0"/>
                                  <w:marTop w:val="0"/>
                                  <w:marBottom w:val="0"/>
                                  <w:divBdr>
                                    <w:top w:val="single" w:sz="2" w:space="0" w:color="DFDFDF"/>
                                    <w:left w:val="single" w:sz="2" w:space="0" w:color="DFDFDF"/>
                                    <w:bottom w:val="single" w:sz="2" w:space="0" w:color="DFDFDF"/>
                                    <w:right w:val="single" w:sz="2" w:space="0" w:color="DFDFDF"/>
                                  </w:divBdr>
                                  <w:divsChild>
                                    <w:div w:id="1724058161">
                                      <w:marLeft w:val="-90"/>
                                      <w:marRight w:val="0"/>
                                      <w:marTop w:val="0"/>
                                      <w:marBottom w:val="0"/>
                                      <w:divBdr>
                                        <w:top w:val="none" w:sz="0" w:space="0" w:color="auto"/>
                                        <w:left w:val="none" w:sz="0" w:space="0" w:color="auto"/>
                                        <w:bottom w:val="none" w:sz="0" w:space="0" w:color="auto"/>
                                        <w:right w:val="none" w:sz="0" w:space="0" w:color="auto"/>
                                      </w:divBdr>
                                      <w:divsChild>
                                        <w:div w:id="282807484">
                                          <w:marLeft w:val="0"/>
                                          <w:marRight w:val="0"/>
                                          <w:marTop w:val="0"/>
                                          <w:marBottom w:val="45"/>
                                          <w:divBdr>
                                            <w:top w:val="single" w:sz="2" w:space="0" w:color="A9A9A9"/>
                                            <w:left w:val="single" w:sz="2" w:space="0" w:color="A9A9A9"/>
                                            <w:bottom w:val="single" w:sz="2" w:space="0" w:color="A9A9A9"/>
                                            <w:right w:val="single" w:sz="2" w:space="0" w:color="A9A9A9"/>
                                          </w:divBdr>
                                          <w:divsChild>
                                            <w:div w:id="1425151652">
                                              <w:marLeft w:val="0"/>
                                              <w:marRight w:val="0"/>
                                              <w:marTop w:val="0"/>
                                              <w:marBottom w:val="0"/>
                                              <w:divBdr>
                                                <w:top w:val="none" w:sz="0" w:space="0" w:color="auto"/>
                                                <w:left w:val="none" w:sz="0" w:space="0" w:color="auto"/>
                                                <w:bottom w:val="none" w:sz="0" w:space="0" w:color="auto"/>
                                                <w:right w:val="none" w:sz="0" w:space="0" w:color="auto"/>
                                              </w:divBdr>
                                              <w:divsChild>
                                                <w:div w:id="156463972">
                                                  <w:marLeft w:val="92"/>
                                                  <w:marRight w:val="0"/>
                                                  <w:marTop w:val="0"/>
                                                  <w:marBottom w:val="150"/>
                                                  <w:divBdr>
                                                    <w:top w:val="single" w:sz="2" w:space="0" w:color="E4E4E4"/>
                                                    <w:left w:val="single" w:sz="2" w:space="0" w:color="E4E4E4"/>
                                                    <w:bottom w:val="single" w:sz="2" w:space="0" w:color="E4E4E4"/>
                                                    <w:right w:val="single" w:sz="2" w:space="0" w:color="E4E4E4"/>
                                                  </w:divBdr>
                                                </w:div>
                                                <w:div w:id="814221348">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527408280">
                          <w:marLeft w:val="0"/>
                          <w:marRight w:val="0"/>
                          <w:marTop w:val="0"/>
                          <w:marBottom w:val="0"/>
                          <w:divBdr>
                            <w:top w:val="none" w:sz="0" w:space="0" w:color="auto"/>
                            <w:left w:val="none" w:sz="0" w:space="0" w:color="auto"/>
                            <w:bottom w:val="none" w:sz="0" w:space="0" w:color="auto"/>
                            <w:right w:val="none" w:sz="0" w:space="0" w:color="auto"/>
                          </w:divBdr>
                          <w:divsChild>
                            <w:div w:id="82339799">
                              <w:marLeft w:val="0"/>
                              <w:marRight w:val="0"/>
                              <w:marTop w:val="0"/>
                              <w:marBottom w:val="0"/>
                              <w:divBdr>
                                <w:top w:val="none" w:sz="0" w:space="0" w:color="auto"/>
                                <w:left w:val="none" w:sz="0" w:space="0" w:color="auto"/>
                                <w:bottom w:val="none" w:sz="0" w:space="0" w:color="auto"/>
                                <w:right w:val="none" w:sz="0" w:space="0" w:color="auto"/>
                              </w:divBdr>
                              <w:divsChild>
                                <w:div w:id="425616848">
                                  <w:marLeft w:val="0"/>
                                  <w:marRight w:val="0"/>
                                  <w:marTop w:val="0"/>
                                  <w:marBottom w:val="0"/>
                                  <w:divBdr>
                                    <w:top w:val="single" w:sz="2" w:space="0" w:color="DFDFDF"/>
                                    <w:left w:val="single" w:sz="2" w:space="0" w:color="DFDFDF"/>
                                    <w:bottom w:val="single" w:sz="2" w:space="0" w:color="DFDFDF"/>
                                    <w:right w:val="single" w:sz="2" w:space="0" w:color="DFDFDF"/>
                                  </w:divBdr>
                                  <w:divsChild>
                                    <w:div w:id="1814130383">
                                      <w:marLeft w:val="-90"/>
                                      <w:marRight w:val="0"/>
                                      <w:marTop w:val="0"/>
                                      <w:marBottom w:val="0"/>
                                      <w:divBdr>
                                        <w:top w:val="none" w:sz="0" w:space="0" w:color="auto"/>
                                        <w:left w:val="none" w:sz="0" w:space="0" w:color="auto"/>
                                        <w:bottom w:val="none" w:sz="0" w:space="0" w:color="auto"/>
                                        <w:right w:val="none" w:sz="0" w:space="0" w:color="auto"/>
                                      </w:divBdr>
                                      <w:divsChild>
                                        <w:div w:id="647786917">
                                          <w:marLeft w:val="0"/>
                                          <w:marRight w:val="0"/>
                                          <w:marTop w:val="0"/>
                                          <w:marBottom w:val="45"/>
                                          <w:divBdr>
                                            <w:top w:val="single" w:sz="2" w:space="0" w:color="A9A9A9"/>
                                            <w:left w:val="single" w:sz="2" w:space="0" w:color="A9A9A9"/>
                                            <w:bottom w:val="single" w:sz="2" w:space="0" w:color="A9A9A9"/>
                                            <w:right w:val="single" w:sz="2" w:space="0" w:color="A9A9A9"/>
                                          </w:divBdr>
                                          <w:divsChild>
                                            <w:div w:id="1649899432">
                                              <w:marLeft w:val="0"/>
                                              <w:marRight w:val="0"/>
                                              <w:marTop w:val="0"/>
                                              <w:marBottom w:val="0"/>
                                              <w:divBdr>
                                                <w:top w:val="none" w:sz="0" w:space="0" w:color="auto"/>
                                                <w:left w:val="none" w:sz="0" w:space="0" w:color="auto"/>
                                                <w:bottom w:val="none" w:sz="0" w:space="0" w:color="auto"/>
                                                <w:right w:val="none" w:sz="0" w:space="0" w:color="auto"/>
                                              </w:divBdr>
                                              <w:divsChild>
                                                <w:div w:id="181302048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2040467214">
                                      <w:marLeft w:val="0"/>
                                      <w:marRight w:val="0"/>
                                      <w:marTop w:val="0"/>
                                      <w:marBottom w:val="270"/>
                                      <w:divBdr>
                                        <w:top w:val="none" w:sz="0" w:space="0" w:color="auto"/>
                                        <w:left w:val="none" w:sz="0" w:space="0" w:color="auto"/>
                                        <w:bottom w:val="single" w:sz="12" w:space="5" w:color="DADADA"/>
                                        <w:right w:val="none" w:sz="0" w:space="0" w:color="auto"/>
                                      </w:divBdr>
                                      <w:divsChild>
                                        <w:div w:id="110685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820106">
                      <w:marLeft w:val="0"/>
                      <w:marRight w:val="0"/>
                      <w:marTop w:val="0"/>
                      <w:marBottom w:val="300"/>
                      <w:divBdr>
                        <w:top w:val="none" w:sz="0" w:space="0" w:color="auto"/>
                        <w:left w:val="none" w:sz="0" w:space="0" w:color="auto"/>
                        <w:bottom w:val="none" w:sz="0" w:space="0" w:color="auto"/>
                        <w:right w:val="none" w:sz="0" w:space="0" w:color="auto"/>
                      </w:divBdr>
                      <w:divsChild>
                        <w:div w:id="1000695434">
                          <w:marLeft w:val="0"/>
                          <w:marRight w:val="0"/>
                          <w:marTop w:val="0"/>
                          <w:marBottom w:val="0"/>
                          <w:divBdr>
                            <w:top w:val="none" w:sz="0" w:space="0" w:color="auto"/>
                            <w:left w:val="none" w:sz="0" w:space="0" w:color="auto"/>
                            <w:bottom w:val="none" w:sz="0" w:space="0" w:color="auto"/>
                            <w:right w:val="none" w:sz="0" w:space="0" w:color="auto"/>
                          </w:divBdr>
                          <w:divsChild>
                            <w:div w:id="1872036085">
                              <w:marLeft w:val="0"/>
                              <w:marRight w:val="0"/>
                              <w:marTop w:val="0"/>
                              <w:marBottom w:val="0"/>
                              <w:divBdr>
                                <w:top w:val="none" w:sz="0" w:space="0" w:color="auto"/>
                                <w:left w:val="none" w:sz="0" w:space="0" w:color="auto"/>
                                <w:bottom w:val="none" w:sz="0" w:space="0" w:color="auto"/>
                                <w:right w:val="none" w:sz="0" w:space="0" w:color="auto"/>
                              </w:divBdr>
                              <w:divsChild>
                                <w:div w:id="54283025">
                                  <w:marLeft w:val="0"/>
                                  <w:marRight w:val="600"/>
                                  <w:marTop w:val="0"/>
                                  <w:marBottom w:val="0"/>
                                  <w:divBdr>
                                    <w:top w:val="none" w:sz="0" w:space="0" w:color="auto"/>
                                    <w:left w:val="none" w:sz="0" w:space="0" w:color="auto"/>
                                    <w:bottom w:val="none" w:sz="0" w:space="0" w:color="auto"/>
                                    <w:right w:val="none" w:sz="0" w:space="0" w:color="auto"/>
                                  </w:divBdr>
                                  <w:divsChild>
                                    <w:div w:id="861355853">
                                      <w:marLeft w:val="0"/>
                                      <w:marRight w:val="0"/>
                                      <w:marTop w:val="0"/>
                                      <w:marBottom w:val="120"/>
                                      <w:divBdr>
                                        <w:top w:val="none" w:sz="0" w:space="0" w:color="auto"/>
                                        <w:left w:val="none" w:sz="0" w:space="0" w:color="auto"/>
                                        <w:bottom w:val="single" w:sz="6" w:space="6" w:color="EEEEEE"/>
                                        <w:right w:val="none" w:sz="0" w:space="0" w:color="auto"/>
                                      </w:divBdr>
                                      <w:divsChild>
                                        <w:div w:id="1938707984">
                                          <w:marLeft w:val="0"/>
                                          <w:marRight w:val="0"/>
                                          <w:marTop w:val="0"/>
                                          <w:marBottom w:val="0"/>
                                          <w:divBdr>
                                            <w:top w:val="none" w:sz="0" w:space="0" w:color="auto"/>
                                            <w:left w:val="none" w:sz="0" w:space="0" w:color="auto"/>
                                            <w:bottom w:val="none" w:sz="0" w:space="0" w:color="auto"/>
                                            <w:right w:val="none" w:sz="0" w:space="0" w:color="auto"/>
                                          </w:divBdr>
                                        </w:div>
                                      </w:divsChild>
                                    </w:div>
                                    <w:div w:id="1115438888">
                                      <w:marLeft w:val="0"/>
                                      <w:marRight w:val="0"/>
                                      <w:marTop w:val="0"/>
                                      <w:marBottom w:val="120"/>
                                      <w:divBdr>
                                        <w:top w:val="none" w:sz="0" w:space="0" w:color="auto"/>
                                        <w:left w:val="none" w:sz="0" w:space="0" w:color="auto"/>
                                        <w:bottom w:val="single" w:sz="6" w:space="6" w:color="EEEEEE"/>
                                        <w:right w:val="none" w:sz="0" w:space="0" w:color="auto"/>
                                      </w:divBdr>
                                      <w:divsChild>
                                        <w:div w:id="1087652230">
                                          <w:marLeft w:val="0"/>
                                          <w:marRight w:val="0"/>
                                          <w:marTop w:val="0"/>
                                          <w:marBottom w:val="0"/>
                                          <w:divBdr>
                                            <w:top w:val="none" w:sz="0" w:space="0" w:color="auto"/>
                                            <w:left w:val="none" w:sz="0" w:space="0" w:color="auto"/>
                                            <w:bottom w:val="none" w:sz="0" w:space="0" w:color="auto"/>
                                            <w:right w:val="none" w:sz="0" w:space="0" w:color="auto"/>
                                          </w:divBdr>
                                        </w:div>
                                      </w:divsChild>
                                    </w:div>
                                    <w:div w:id="1531333264">
                                      <w:marLeft w:val="0"/>
                                      <w:marRight w:val="0"/>
                                      <w:marTop w:val="0"/>
                                      <w:marBottom w:val="120"/>
                                      <w:divBdr>
                                        <w:top w:val="none" w:sz="0" w:space="0" w:color="auto"/>
                                        <w:left w:val="none" w:sz="0" w:space="0" w:color="auto"/>
                                        <w:bottom w:val="none" w:sz="0" w:space="0" w:color="auto"/>
                                        <w:right w:val="none" w:sz="0" w:space="0" w:color="auto"/>
                                      </w:divBdr>
                                      <w:divsChild>
                                        <w:div w:id="1897742433">
                                          <w:marLeft w:val="0"/>
                                          <w:marRight w:val="0"/>
                                          <w:marTop w:val="0"/>
                                          <w:marBottom w:val="0"/>
                                          <w:divBdr>
                                            <w:top w:val="none" w:sz="0" w:space="0" w:color="auto"/>
                                            <w:left w:val="none" w:sz="0" w:space="0" w:color="auto"/>
                                            <w:bottom w:val="none" w:sz="0" w:space="0" w:color="auto"/>
                                            <w:right w:val="none" w:sz="0" w:space="0" w:color="auto"/>
                                          </w:divBdr>
                                        </w:div>
                                      </w:divsChild>
                                    </w:div>
                                    <w:div w:id="2027559824">
                                      <w:marLeft w:val="0"/>
                                      <w:marRight w:val="0"/>
                                      <w:marTop w:val="0"/>
                                      <w:marBottom w:val="120"/>
                                      <w:divBdr>
                                        <w:top w:val="none" w:sz="0" w:space="0" w:color="auto"/>
                                        <w:left w:val="none" w:sz="0" w:space="0" w:color="auto"/>
                                        <w:bottom w:val="single" w:sz="6" w:space="6" w:color="EEEEEE"/>
                                        <w:right w:val="none" w:sz="0" w:space="0" w:color="auto"/>
                                      </w:divBdr>
                                      <w:divsChild>
                                        <w:div w:id="401830696">
                                          <w:marLeft w:val="0"/>
                                          <w:marRight w:val="0"/>
                                          <w:marTop w:val="0"/>
                                          <w:marBottom w:val="0"/>
                                          <w:divBdr>
                                            <w:top w:val="none" w:sz="0" w:space="0" w:color="auto"/>
                                            <w:left w:val="none" w:sz="0" w:space="0" w:color="auto"/>
                                            <w:bottom w:val="none" w:sz="0" w:space="0" w:color="auto"/>
                                            <w:right w:val="none" w:sz="0" w:space="0" w:color="auto"/>
                                          </w:divBdr>
                                        </w:div>
                                      </w:divsChild>
                                    </w:div>
                                    <w:div w:id="2035500979">
                                      <w:marLeft w:val="0"/>
                                      <w:marRight w:val="0"/>
                                      <w:marTop w:val="0"/>
                                      <w:marBottom w:val="120"/>
                                      <w:divBdr>
                                        <w:top w:val="none" w:sz="0" w:space="0" w:color="auto"/>
                                        <w:left w:val="none" w:sz="0" w:space="0" w:color="auto"/>
                                        <w:bottom w:val="single" w:sz="6" w:space="6" w:color="EEEEEE"/>
                                        <w:right w:val="none" w:sz="0" w:space="0" w:color="auto"/>
                                      </w:divBdr>
                                      <w:divsChild>
                                        <w:div w:id="195628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82018">
                                  <w:marLeft w:val="0"/>
                                  <w:marRight w:val="600"/>
                                  <w:marTop w:val="0"/>
                                  <w:marBottom w:val="0"/>
                                  <w:divBdr>
                                    <w:top w:val="none" w:sz="0" w:space="0" w:color="auto"/>
                                    <w:left w:val="none" w:sz="0" w:space="0" w:color="auto"/>
                                    <w:bottom w:val="none" w:sz="0" w:space="0" w:color="auto"/>
                                    <w:right w:val="none" w:sz="0" w:space="0" w:color="auto"/>
                                  </w:divBdr>
                                  <w:divsChild>
                                    <w:div w:id="499271274">
                                      <w:marLeft w:val="0"/>
                                      <w:marRight w:val="0"/>
                                      <w:marTop w:val="0"/>
                                      <w:marBottom w:val="120"/>
                                      <w:divBdr>
                                        <w:top w:val="none" w:sz="0" w:space="0" w:color="auto"/>
                                        <w:left w:val="none" w:sz="0" w:space="0" w:color="auto"/>
                                        <w:bottom w:val="single" w:sz="6" w:space="6" w:color="EEEEEE"/>
                                        <w:right w:val="none" w:sz="0" w:space="0" w:color="auto"/>
                                      </w:divBdr>
                                      <w:divsChild>
                                        <w:div w:id="1599095400">
                                          <w:marLeft w:val="0"/>
                                          <w:marRight w:val="0"/>
                                          <w:marTop w:val="0"/>
                                          <w:marBottom w:val="0"/>
                                          <w:divBdr>
                                            <w:top w:val="none" w:sz="0" w:space="0" w:color="auto"/>
                                            <w:left w:val="none" w:sz="0" w:space="0" w:color="auto"/>
                                            <w:bottom w:val="none" w:sz="0" w:space="0" w:color="auto"/>
                                            <w:right w:val="none" w:sz="0" w:space="0" w:color="auto"/>
                                          </w:divBdr>
                                        </w:div>
                                      </w:divsChild>
                                    </w:div>
                                    <w:div w:id="1152868708">
                                      <w:marLeft w:val="0"/>
                                      <w:marRight w:val="0"/>
                                      <w:marTop w:val="0"/>
                                      <w:marBottom w:val="120"/>
                                      <w:divBdr>
                                        <w:top w:val="none" w:sz="0" w:space="0" w:color="auto"/>
                                        <w:left w:val="none" w:sz="0" w:space="0" w:color="auto"/>
                                        <w:bottom w:val="single" w:sz="6" w:space="6" w:color="EEEEEE"/>
                                        <w:right w:val="none" w:sz="0" w:space="0" w:color="auto"/>
                                      </w:divBdr>
                                      <w:divsChild>
                                        <w:div w:id="1001587674">
                                          <w:marLeft w:val="0"/>
                                          <w:marRight w:val="0"/>
                                          <w:marTop w:val="0"/>
                                          <w:marBottom w:val="0"/>
                                          <w:divBdr>
                                            <w:top w:val="none" w:sz="0" w:space="0" w:color="auto"/>
                                            <w:left w:val="none" w:sz="0" w:space="0" w:color="auto"/>
                                            <w:bottom w:val="none" w:sz="0" w:space="0" w:color="auto"/>
                                            <w:right w:val="none" w:sz="0" w:space="0" w:color="auto"/>
                                          </w:divBdr>
                                        </w:div>
                                      </w:divsChild>
                                    </w:div>
                                    <w:div w:id="1361083098">
                                      <w:marLeft w:val="0"/>
                                      <w:marRight w:val="0"/>
                                      <w:marTop w:val="0"/>
                                      <w:marBottom w:val="120"/>
                                      <w:divBdr>
                                        <w:top w:val="none" w:sz="0" w:space="0" w:color="auto"/>
                                        <w:left w:val="none" w:sz="0" w:space="0" w:color="auto"/>
                                        <w:bottom w:val="single" w:sz="6" w:space="6" w:color="EEEEEE"/>
                                        <w:right w:val="none" w:sz="0" w:space="0" w:color="auto"/>
                                      </w:divBdr>
                                      <w:divsChild>
                                        <w:div w:id="765266183">
                                          <w:marLeft w:val="0"/>
                                          <w:marRight w:val="0"/>
                                          <w:marTop w:val="0"/>
                                          <w:marBottom w:val="0"/>
                                          <w:divBdr>
                                            <w:top w:val="none" w:sz="0" w:space="0" w:color="auto"/>
                                            <w:left w:val="none" w:sz="0" w:space="0" w:color="auto"/>
                                            <w:bottom w:val="none" w:sz="0" w:space="0" w:color="auto"/>
                                            <w:right w:val="none" w:sz="0" w:space="0" w:color="auto"/>
                                          </w:divBdr>
                                        </w:div>
                                      </w:divsChild>
                                    </w:div>
                                    <w:div w:id="1380396326">
                                      <w:marLeft w:val="0"/>
                                      <w:marRight w:val="0"/>
                                      <w:marTop w:val="0"/>
                                      <w:marBottom w:val="120"/>
                                      <w:divBdr>
                                        <w:top w:val="none" w:sz="0" w:space="0" w:color="auto"/>
                                        <w:left w:val="none" w:sz="0" w:space="0" w:color="auto"/>
                                        <w:bottom w:val="single" w:sz="6" w:space="6" w:color="EEEEEE"/>
                                        <w:right w:val="none" w:sz="0" w:space="0" w:color="auto"/>
                                      </w:divBdr>
                                      <w:divsChild>
                                        <w:div w:id="1755780500">
                                          <w:marLeft w:val="0"/>
                                          <w:marRight w:val="0"/>
                                          <w:marTop w:val="0"/>
                                          <w:marBottom w:val="0"/>
                                          <w:divBdr>
                                            <w:top w:val="none" w:sz="0" w:space="0" w:color="auto"/>
                                            <w:left w:val="none" w:sz="0" w:space="0" w:color="auto"/>
                                            <w:bottom w:val="none" w:sz="0" w:space="0" w:color="auto"/>
                                            <w:right w:val="none" w:sz="0" w:space="0" w:color="auto"/>
                                          </w:divBdr>
                                        </w:div>
                                      </w:divsChild>
                                    </w:div>
                                    <w:div w:id="1822573812">
                                      <w:marLeft w:val="0"/>
                                      <w:marRight w:val="0"/>
                                      <w:marTop w:val="0"/>
                                      <w:marBottom w:val="120"/>
                                      <w:divBdr>
                                        <w:top w:val="none" w:sz="0" w:space="0" w:color="auto"/>
                                        <w:left w:val="none" w:sz="0" w:space="0" w:color="auto"/>
                                        <w:bottom w:val="none" w:sz="0" w:space="0" w:color="auto"/>
                                        <w:right w:val="none" w:sz="0" w:space="0" w:color="auto"/>
                                      </w:divBdr>
                                      <w:divsChild>
                                        <w:div w:id="208085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522255">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sChild>
            </w:div>
          </w:divsChild>
        </w:div>
        <w:div w:id="1733773489">
          <w:marLeft w:val="0"/>
          <w:marRight w:val="0"/>
          <w:marTop w:val="0"/>
          <w:marBottom w:val="0"/>
          <w:divBdr>
            <w:top w:val="none" w:sz="0" w:space="0" w:color="auto"/>
            <w:left w:val="none" w:sz="0" w:space="0" w:color="auto"/>
            <w:bottom w:val="none" w:sz="0" w:space="0" w:color="auto"/>
            <w:right w:val="none" w:sz="0" w:space="0" w:color="auto"/>
          </w:divBdr>
          <w:divsChild>
            <w:div w:id="141350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886928">
      <w:bodyDiv w:val="1"/>
      <w:marLeft w:val="0"/>
      <w:marRight w:val="0"/>
      <w:marTop w:val="0"/>
      <w:marBottom w:val="0"/>
      <w:divBdr>
        <w:top w:val="none" w:sz="0" w:space="0" w:color="auto"/>
        <w:left w:val="none" w:sz="0" w:space="0" w:color="auto"/>
        <w:bottom w:val="none" w:sz="0" w:space="0" w:color="auto"/>
        <w:right w:val="none" w:sz="0" w:space="0" w:color="auto"/>
      </w:divBdr>
      <w:divsChild>
        <w:div w:id="1858277739">
          <w:marLeft w:val="0"/>
          <w:marRight w:val="0"/>
          <w:marTop w:val="0"/>
          <w:marBottom w:val="0"/>
          <w:divBdr>
            <w:top w:val="none" w:sz="0" w:space="0" w:color="auto"/>
            <w:left w:val="none" w:sz="0" w:space="0" w:color="auto"/>
            <w:bottom w:val="dotted" w:sz="6" w:space="4" w:color="DDDDDD"/>
            <w:right w:val="none" w:sz="0" w:space="0" w:color="auto"/>
          </w:divBdr>
          <w:divsChild>
            <w:div w:id="23444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004474">
      <w:bodyDiv w:val="1"/>
      <w:marLeft w:val="0"/>
      <w:marRight w:val="0"/>
      <w:marTop w:val="0"/>
      <w:marBottom w:val="0"/>
      <w:divBdr>
        <w:top w:val="none" w:sz="0" w:space="0" w:color="auto"/>
        <w:left w:val="none" w:sz="0" w:space="0" w:color="auto"/>
        <w:bottom w:val="none" w:sz="0" w:space="0" w:color="auto"/>
        <w:right w:val="none" w:sz="0" w:space="0" w:color="auto"/>
      </w:divBdr>
      <w:divsChild>
        <w:div w:id="941960288">
          <w:marLeft w:val="0"/>
          <w:marRight w:val="0"/>
          <w:marTop w:val="0"/>
          <w:marBottom w:val="0"/>
          <w:divBdr>
            <w:top w:val="none" w:sz="0" w:space="0" w:color="auto"/>
            <w:left w:val="none" w:sz="0" w:space="0" w:color="auto"/>
            <w:bottom w:val="none" w:sz="0" w:space="0" w:color="auto"/>
            <w:right w:val="none" w:sz="0" w:space="0" w:color="auto"/>
          </w:divBdr>
          <w:divsChild>
            <w:div w:id="682782262">
              <w:marLeft w:val="0"/>
              <w:marRight w:val="0"/>
              <w:marTop w:val="0"/>
              <w:marBottom w:val="300"/>
              <w:divBdr>
                <w:top w:val="none" w:sz="0" w:space="0" w:color="auto"/>
                <w:left w:val="none" w:sz="0" w:space="0" w:color="auto"/>
                <w:bottom w:val="single" w:sz="6" w:space="0" w:color="F1F1F1"/>
                <w:right w:val="none" w:sz="0" w:space="0" w:color="auto"/>
              </w:divBdr>
              <w:divsChild>
                <w:div w:id="19386361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21914076">
          <w:marLeft w:val="0"/>
          <w:marRight w:val="0"/>
          <w:marTop w:val="0"/>
          <w:marBottom w:val="0"/>
          <w:divBdr>
            <w:top w:val="none" w:sz="0" w:space="0" w:color="auto"/>
            <w:left w:val="none" w:sz="0" w:space="0" w:color="auto"/>
            <w:bottom w:val="none" w:sz="0" w:space="0" w:color="auto"/>
            <w:right w:val="none" w:sz="0" w:space="0" w:color="auto"/>
          </w:divBdr>
          <w:divsChild>
            <w:div w:id="826945925">
              <w:marLeft w:val="0"/>
              <w:marRight w:val="0"/>
              <w:marTop w:val="0"/>
              <w:marBottom w:val="0"/>
              <w:divBdr>
                <w:top w:val="none" w:sz="0" w:space="0" w:color="auto"/>
                <w:left w:val="none" w:sz="0" w:space="0" w:color="auto"/>
                <w:bottom w:val="none" w:sz="0" w:space="0" w:color="auto"/>
                <w:right w:val="none" w:sz="0" w:space="0" w:color="auto"/>
              </w:divBdr>
              <w:divsChild>
                <w:div w:id="451678617">
                  <w:marLeft w:val="0"/>
                  <w:marRight w:val="0"/>
                  <w:marTop w:val="0"/>
                  <w:marBottom w:val="0"/>
                  <w:divBdr>
                    <w:top w:val="none" w:sz="0" w:space="0" w:color="auto"/>
                    <w:left w:val="none" w:sz="0" w:space="0" w:color="auto"/>
                    <w:bottom w:val="none" w:sz="0" w:space="0" w:color="auto"/>
                    <w:right w:val="none" w:sz="0" w:space="0" w:color="auto"/>
                  </w:divBdr>
                  <w:divsChild>
                    <w:div w:id="841819373">
                      <w:marLeft w:val="0"/>
                      <w:marRight w:val="0"/>
                      <w:marTop w:val="0"/>
                      <w:marBottom w:val="300"/>
                      <w:divBdr>
                        <w:top w:val="none" w:sz="0" w:space="0" w:color="auto"/>
                        <w:left w:val="none" w:sz="0" w:space="0" w:color="auto"/>
                        <w:bottom w:val="none" w:sz="0" w:space="0" w:color="auto"/>
                        <w:right w:val="none" w:sz="0" w:space="0" w:color="auto"/>
                      </w:divBdr>
                      <w:divsChild>
                        <w:div w:id="1925604824">
                          <w:marLeft w:val="0"/>
                          <w:marRight w:val="0"/>
                          <w:marTop w:val="0"/>
                          <w:marBottom w:val="0"/>
                          <w:divBdr>
                            <w:top w:val="none" w:sz="0" w:space="0" w:color="auto"/>
                            <w:left w:val="none" w:sz="0" w:space="0" w:color="auto"/>
                            <w:bottom w:val="none" w:sz="0" w:space="0" w:color="auto"/>
                            <w:right w:val="none" w:sz="0" w:space="0" w:color="auto"/>
                          </w:divBdr>
                        </w:div>
                      </w:divsChild>
                    </w:div>
                    <w:div w:id="920530730">
                      <w:marLeft w:val="0"/>
                      <w:marRight w:val="0"/>
                      <w:marTop w:val="0"/>
                      <w:marBottom w:val="75"/>
                      <w:divBdr>
                        <w:top w:val="none" w:sz="0" w:space="0" w:color="auto"/>
                        <w:left w:val="none" w:sz="0" w:space="0" w:color="auto"/>
                        <w:bottom w:val="none" w:sz="0" w:space="0" w:color="auto"/>
                        <w:right w:val="none" w:sz="0" w:space="0" w:color="auto"/>
                      </w:divBdr>
                    </w:div>
                    <w:div w:id="956984485">
                      <w:marLeft w:val="0"/>
                      <w:marRight w:val="0"/>
                      <w:marTop w:val="0"/>
                      <w:marBottom w:val="0"/>
                      <w:divBdr>
                        <w:top w:val="none" w:sz="0" w:space="0" w:color="auto"/>
                        <w:left w:val="none" w:sz="0" w:space="0" w:color="auto"/>
                        <w:bottom w:val="none" w:sz="0" w:space="0" w:color="auto"/>
                        <w:right w:val="none" w:sz="0" w:space="0" w:color="auto"/>
                      </w:divBdr>
                    </w:div>
                    <w:div w:id="1602100771">
                      <w:marLeft w:val="0"/>
                      <w:marRight w:val="0"/>
                      <w:marTop w:val="0"/>
                      <w:marBottom w:val="0"/>
                      <w:divBdr>
                        <w:top w:val="none" w:sz="0" w:space="0" w:color="auto"/>
                        <w:left w:val="none" w:sz="0" w:space="0" w:color="auto"/>
                        <w:bottom w:val="none" w:sz="0" w:space="0" w:color="auto"/>
                        <w:right w:val="none" w:sz="0" w:space="0" w:color="auto"/>
                      </w:divBdr>
                      <w:divsChild>
                        <w:div w:id="1204749805">
                          <w:marLeft w:val="0"/>
                          <w:marRight w:val="0"/>
                          <w:marTop w:val="0"/>
                          <w:marBottom w:val="0"/>
                          <w:divBdr>
                            <w:top w:val="none" w:sz="0" w:space="0" w:color="auto"/>
                            <w:left w:val="none" w:sz="0" w:space="0" w:color="auto"/>
                            <w:bottom w:val="none" w:sz="0" w:space="0" w:color="auto"/>
                            <w:right w:val="none" w:sz="0" w:space="0" w:color="auto"/>
                          </w:divBdr>
                          <w:divsChild>
                            <w:div w:id="166292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204391">
      <w:bodyDiv w:val="1"/>
      <w:marLeft w:val="0"/>
      <w:marRight w:val="0"/>
      <w:marTop w:val="0"/>
      <w:marBottom w:val="0"/>
      <w:divBdr>
        <w:top w:val="none" w:sz="0" w:space="0" w:color="auto"/>
        <w:left w:val="none" w:sz="0" w:space="0" w:color="auto"/>
        <w:bottom w:val="none" w:sz="0" w:space="0" w:color="auto"/>
        <w:right w:val="none" w:sz="0" w:space="0" w:color="auto"/>
      </w:divBdr>
      <w:divsChild>
        <w:div w:id="636305154">
          <w:marLeft w:val="0"/>
          <w:marRight w:val="0"/>
          <w:marTop w:val="0"/>
          <w:marBottom w:val="0"/>
          <w:divBdr>
            <w:top w:val="none" w:sz="0" w:space="0" w:color="auto"/>
            <w:left w:val="none" w:sz="0" w:space="0" w:color="auto"/>
            <w:bottom w:val="dotted" w:sz="6" w:space="4" w:color="DDDDDD"/>
            <w:right w:val="none" w:sz="0" w:space="0" w:color="auto"/>
          </w:divBdr>
          <w:divsChild>
            <w:div w:id="80027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546857">
      <w:bodyDiv w:val="1"/>
      <w:marLeft w:val="0"/>
      <w:marRight w:val="0"/>
      <w:marTop w:val="0"/>
      <w:marBottom w:val="0"/>
      <w:divBdr>
        <w:top w:val="none" w:sz="0" w:space="0" w:color="auto"/>
        <w:left w:val="none" w:sz="0" w:space="0" w:color="auto"/>
        <w:bottom w:val="none" w:sz="0" w:space="0" w:color="auto"/>
        <w:right w:val="none" w:sz="0" w:space="0" w:color="auto"/>
      </w:divBdr>
      <w:divsChild>
        <w:div w:id="660618072">
          <w:marLeft w:val="0"/>
          <w:marRight w:val="0"/>
          <w:marTop w:val="0"/>
          <w:marBottom w:val="150"/>
          <w:divBdr>
            <w:top w:val="none" w:sz="0" w:space="0" w:color="auto"/>
            <w:left w:val="none" w:sz="0" w:space="0" w:color="auto"/>
            <w:bottom w:val="none" w:sz="0" w:space="0" w:color="auto"/>
            <w:right w:val="none" w:sz="0" w:space="0" w:color="auto"/>
          </w:divBdr>
        </w:div>
        <w:div w:id="1490245419">
          <w:marLeft w:val="0"/>
          <w:marRight w:val="0"/>
          <w:marTop w:val="0"/>
          <w:marBottom w:val="150"/>
          <w:divBdr>
            <w:top w:val="none" w:sz="0" w:space="0" w:color="auto"/>
            <w:left w:val="none" w:sz="0" w:space="0" w:color="auto"/>
            <w:bottom w:val="none" w:sz="0" w:space="0" w:color="auto"/>
            <w:right w:val="none" w:sz="0" w:space="0" w:color="auto"/>
          </w:divBdr>
          <w:divsChild>
            <w:div w:id="2085174515">
              <w:marLeft w:val="0"/>
              <w:marRight w:val="0"/>
              <w:marTop w:val="0"/>
              <w:marBottom w:val="0"/>
              <w:divBdr>
                <w:top w:val="none" w:sz="0" w:space="0" w:color="auto"/>
                <w:left w:val="none" w:sz="0" w:space="0" w:color="auto"/>
                <w:bottom w:val="none" w:sz="0" w:space="0" w:color="auto"/>
                <w:right w:val="none" w:sz="0" w:space="0" w:color="auto"/>
              </w:divBdr>
              <w:divsChild>
                <w:div w:id="164654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049098">
      <w:bodyDiv w:val="1"/>
      <w:marLeft w:val="0"/>
      <w:marRight w:val="0"/>
      <w:marTop w:val="0"/>
      <w:marBottom w:val="0"/>
      <w:divBdr>
        <w:top w:val="none" w:sz="0" w:space="0" w:color="auto"/>
        <w:left w:val="none" w:sz="0" w:space="0" w:color="auto"/>
        <w:bottom w:val="none" w:sz="0" w:space="0" w:color="auto"/>
        <w:right w:val="none" w:sz="0" w:space="0" w:color="auto"/>
      </w:divBdr>
      <w:divsChild>
        <w:div w:id="1744063445">
          <w:marLeft w:val="0"/>
          <w:marRight w:val="0"/>
          <w:marTop w:val="0"/>
          <w:marBottom w:val="0"/>
          <w:divBdr>
            <w:top w:val="none" w:sz="0" w:space="0" w:color="auto"/>
            <w:left w:val="none" w:sz="0" w:space="0" w:color="auto"/>
            <w:bottom w:val="none" w:sz="0" w:space="0" w:color="auto"/>
            <w:right w:val="none" w:sz="0" w:space="0" w:color="auto"/>
          </w:divBdr>
          <w:divsChild>
            <w:div w:id="23281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124516">
      <w:bodyDiv w:val="1"/>
      <w:marLeft w:val="0"/>
      <w:marRight w:val="0"/>
      <w:marTop w:val="0"/>
      <w:marBottom w:val="0"/>
      <w:divBdr>
        <w:top w:val="none" w:sz="0" w:space="0" w:color="auto"/>
        <w:left w:val="none" w:sz="0" w:space="0" w:color="auto"/>
        <w:bottom w:val="none" w:sz="0" w:space="0" w:color="auto"/>
        <w:right w:val="none" w:sz="0" w:space="0" w:color="auto"/>
      </w:divBdr>
      <w:divsChild>
        <w:div w:id="34934176">
          <w:marLeft w:val="0"/>
          <w:marRight w:val="0"/>
          <w:marTop w:val="0"/>
          <w:marBottom w:val="0"/>
          <w:divBdr>
            <w:top w:val="none" w:sz="0" w:space="0" w:color="auto"/>
            <w:left w:val="none" w:sz="0" w:space="0" w:color="auto"/>
            <w:bottom w:val="none" w:sz="0" w:space="0" w:color="auto"/>
            <w:right w:val="none" w:sz="0" w:space="0" w:color="auto"/>
          </w:divBdr>
          <w:divsChild>
            <w:div w:id="251278570">
              <w:marLeft w:val="0"/>
              <w:marRight w:val="0"/>
              <w:marTop w:val="0"/>
              <w:marBottom w:val="150"/>
              <w:divBdr>
                <w:top w:val="none" w:sz="0" w:space="0" w:color="auto"/>
                <w:left w:val="none" w:sz="0" w:space="0" w:color="auto"/>
                <w:bottom w:val="none" w:sz="0" w:space="0" w:color="auto"/>
                <w:right w:val="none" w:sz="0" w:space="0" w:color="auto"/>
              </w:divBdr>
            </w:div>
            <w:div w:id="685864138">
              <w:marLeft w:val="0"/>
              <w:marRight w:val="0"/>
              <w:marTop w:val="0"/>
              <w:marBottom w:val="0"/>
              <w:divBdr>
                <w:top w:val="none" w:sz="0" w:space="0" w:color="auto"/>
                <w:left w:val="none" w:sz="0" w:space="0" w:color="auto"/>
                <w:bottom w:val="none" w:sz="0" w:space="0" w:color="auto"/>
                <w:right w:val="none" w:sz="0" w:space="0" w:color="auto"/>
              </w:divBdr>
              <w:divsChild>
                <w:div w:id="75166239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31919958">
          <w:marLeft w:val="0"/>
          <w:marRight w:val="0"/>
          <w:marTop w:val="0"/>
          <w:marBottom w:val="150"/>
          <w:divBdr>
            <w:top w:val="none" w:sz="0" w:space="0" w:color="auto"/>
            <w:left w:val="none" w:sz="0" w:space="0" w:color="auto"/>
            <w:bottom w:val="none" w:sz="0" w:space="0" w:color="auto"/>
            <w:right w:val="none" w:sz="0" w:space="0" w:color="auto"/>
          </w:divBdr>
          <w:divsChild>
            <w:div w:id="759525680">
              <w:marLeft w:val="0"/>
              <w:marRight w:val="0"/>
              <w:marTop w:val="0"/>
              <w:marBottom w:val="0"/>
              <w:divBdr>
                <w:top w:val="none" w:sz="0" w:space="0" w:color="auto"/>
                <w:left w:val="none" w:sz="0" w:space="0" w:color="auto"/>
                <w:bottom w:val="none" w:sz="0" w:space="0" w:color="auto"/>
                <w:right w:val="none" w:sz="0" w:space="0" w:color="auto"/>
              </w:divBdr>
              <w:divsChild>
                <w:div w:id="23058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663510">
      <w:bodyDiv w:val="1"/>
      <w:marLeft w:val="0"/>
      <w:marRight w:val="0"/>
      <w:marTop w:val="0"/>
      <w:marBottom w:val="0"/>
      <w:divBdr>
        <w:top w:val="none" w:sz="0" w:space="0" w:color="auto"/>
        <w:left w:val="none" w:sz="0" w:space="0" w:color="auto"/>
        <w:bottom w:val="none" w:sz="0" w:space="0" w:color="auto"/>
        <w:right w:val="none" w:sz="0" w:space="0" w:color="auto"/>
      </w:divBdr>
    </w:div>
    <w:div w:id="948699148">
      <w:bodyDiv w:val="1"/>
      <w:marLeft w:val="0"/>
      <w:marRight w:val="0"/>
      <w:marTop w:val="0"/>
      <w:marBottom w:val="0"/>
      <w:divBdr>
        <w:top w:val="none" w:sz="0" w:space="0" w:color="auto"/>
        <w:left w:val="none" w:sz="0" w:space="0" w:color="auto"/>
        <w:bottom w:val="none" w:sz="0" w:space="0" w:color="auto"/>
        <w:right w:val="none" w:sz="0" w:space="0" w:color="auto"/>
      </w:divBdr>
      <w:divsChild>
        <w:div w:id="832334175">
          <w:marLeft w:val="0"/>
          <w:marRight w:val="0"/>
          <w:marTop w:val="0"/>
          <w:marBottom w:val="150"/>
          <w:divBdr>
            <w:top w:val="none" w:sz="0" w:space="0" w:color="auto"/>
            <w:left w:val="none" w:sz="0" w:space="0" w:color="auto"/>
            <w:bottom w:val="none" w:sz="0" w:space="0" w:color="auto"/>
            <w:right w:val="none" w:sz="0" w:space="0" w:color="auto"/>
          </w:divBdr>
          <w:divsChild>
            <w:div w:id="249391736">
              <w:marLeft w:val="0"/>
              <w:marRight w:val="0"/>
              <w:marTop w:val="0"/>
              <w:marBottom w:val="0"/>
              <w:divBdr>
                <w:top w:val="none" w:sz="0" w:space="0" w:color="auto"/>
                <w:left w:val="none" w:sz="0" w:space="0" w:color="auto"/>
                <w:bottom w:val="none" w:sz="0" w:space="0" w:color="auto"/>
                <w:right w:val="none" w:sz="0" w:space="0" w:color="auto"/>
              </w:divBdr>
              <w:divsChild>
                <w:div w:id="190795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225818">
          <w:marLeft w:val="0"/>
          <w:marRight w:val="0"/>
          <w:marTop w:val="0"/>
          <w:marBottom w:val="0"/>
          <w:divBdr>
            <w:top w:val="none" w:sz="0" w:space="0" w:color="auto"/>
            <w:left w:val="none" w:sz="0" w:space="0" w:color="auto"/>
            <w:bottom w:val="none" w:sz="0" w:space="0" w:color="auto"/>
            <w:right w:val="none" w:sz="0" w:space="0" w:color="auto"/>
          </w:divBdr>
          <w:divsChild>
            <w:div w:id="301350551">
              <w:marLeft w:val="0"/>
              <w:marRight w:val="0"/>
              <w:marTop w:val="0"/>
              <w:marBottom w:val="150"/>
              <w:divBdr>
                <w:top w:val="none" w:sz="0" w:space="0" w:color="auto"/>
                <w:left w:val="none" w:sz="0" w:space="0" w:color="auto"/>
                <w:bottom w:val="none" w:sz="0" w:space="0" w:color="auto"/>
                <w:right w:val="none" w:sz="0" w:space="0" w:color="auto"/>
              </w:divBdr>
            </w:div>
            <w:div w:id="1632587823">
              <w:marLeft w:val="0"/>
              <w:marRight w:val="0"/>
              <w:marTop w:val="0"/>
              <w:marBottom w:val="0"/>
              <w:divBdr>
                <w:top w:val="none" w:sz="0" w:space="0" w:color="auto"/>
                <w:left w:val="none" w:sz="0" w:space="0" w:color="auto"/>
                <w:bottom w:val="none" w:sz="0" w:space="0" w:color="auto"/>
                <w:right w:val="none" w:sz="0" w:space="0" w:color="auto"/>
              </w:divBdr>
              <w:divsChild>
                <w:div w:id="62261731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949243643">
      <w:bodyDiv w:val="1"/>
      <w:marLeft w:val="0"/>
      <w:marRight w:val="0"/>
      <w:marTop w:val="0"/>
      <w:marBottom w:val="0"/>
      <w:divBdr>
        <w:top w:val="none" w:sz="0" w:space="0" w:color="auto"/>
        <w:left w:val="none" w:sz="0" w:space="0" w:color="auto"/>
        <w:bottom w:val="none" w:sz="0" w:space="0" w:color="auto"/>
        <w:right w:val="none" w:sz="0" w:space="0" w:color="auto"/>
      </w:divBdr>
      <w:divsChild>
        <w:div w:id="313145076">
          <w:marLeft w:val="0"/>
          <w:marRight w:val="0"/>
          <w:marTop w:val="0"/>
          <w:marBottom w:val="150"/>
          <w:divBdr>
            <w:top w:val="none" w:sz="0" w:space="0" w:color="auto"/>
            <w:left w:val="none" w:sz="0" w:space="0" w:color="auto"/>
            <w:bottom w:val="none" w:sz="0" w:space="0" w:color="auto"/>
            <w:right w:val="none" w:sz="0" w:space="0" w:color="auto"/>
          </w:divBdr>
        </w:div>
        <w:div w:id="781189564">
          <w:marLeft w:val="0"/>
          <w:marRight w:val="0"/>
          <w:marTop w:val="0"/>
          <w:marBottom w:val="150"/>
          <w:divBdr>
            <w:top w:val="none" w:sz="0" w:space="0" w:color="auto"/>
            <w:left w:val="none" w:sz="0" w:space="0" w:color="auto"/>
            <w:bottom w:val="none" w:sz="0" w:space="0" w:color="auto"/>
            <w:right w:val="none" w:sz="0" w:space="0" w:color="auto"/>
          </w:divBdr>
          <w:divsChild>
            <w:div w:id="163591403">
              <w:marLeft w:val="0"/>
              <w:marRight w:val="0"/>
              <w:marTop w:val="0"/>
              <w:marBottom w:val="0"/>
              <w:divBdr>
                <w:top w:val="none" w:sz="0" w:space="0" w:color="auto"/>
                <w:left w:val="none" w:sz="0" w:space="0" w:color="auto"/>
                <w:bottom w:val="none" w:sz="0" w:space="0" w:color="auto"/>
                <w:right w:val="none" w:sz="0" w:space="0" w:color="auto"/>
              </w:divBdr>
            </w:div>
          </w:divsChild>
        </w:div>
        <w:div w:id="1433359567">
          <w:marLeft w:val="0"/>
          <w:marRight w:val="0"/>
          <w:marTop w:val="0"/>
          <w:marBottom w:val="0"/>
          <w:divBdr>
            <w:top w:val="none" w:sz="0" w:space="0" w:color="auto"/>
            <w:left w:val="none" w:sz="0" w:space="0" w:color="auto"/>
            <w:bottom w:val="none" w:sz="0" w:space="0" w:color="auto"/>
            <w:right w:val="none" w:sz="0" w:space="0" w:color="auto"/>
          </w:divBdr>
          <w:divsChild>
            <w:div w:id="74226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437863">
      <w:bodyDiv w:val="1"/>
      <w:marLeft w:val="0"/>
      <w:marRight w:val="0"/>
      <w:marTop w:val="0"/>
      <w:marBottom w:val="0"/>
      <w:divBdr>
        <w:top w:val="none" w:sz="0" w:space="0" w:color="auto"/>
        <w:left w:val="none" w:sz="0" w:space="0" w:color="auto"/>
        <w:bottom w:val="none" w:sz="0" w:space="0" w:color="auto"/>
        <w:right w:val="none" w:sz="0" w:space="0" w:color="auto"/>
      </w:divBdr>
      <w:divsChild>
        <w:div w:id="1678770488">
          <w:marLeft w:val="0"/>
          <w:marRight w:val="0"/>
          <w:marTop w:val="0"/>
          <w:marBottom w:val="0"/>
          <w:divBdr>
            <w:top w:val="none" w:sz="0" w:space="0" w:color="auto"/>
            <w:left w:val="none" w:sz="0" w:space="0" w:color="auto"/>
            <w:bottom w:val="none" w:sz="0" w:space="0" w:color="auto"/>
            <w:right w:val="none" w:sz="0" w:space="0" w:color="auto"/>
          </w:divBdr>
          <w:divsChild>
            <w:div w:id="1536115769">
              <w:marLeft w:val="0"/>
              <w:marRight w:val="0"/>
              <w:marTop w:val="0"/>
              <w:marBottom w:val="0"/>
              <w:divBdr>
                <w:top w:val="none" w:sz="0" w:space="0" w:color="auto"/>
                <w:left w:val="none" w:sz="0" w:space="0" w:color="auto"/>
                <w:bottom w:val="none" w:sz="0" w:space="0" w:color="auto"/>
                <w:right w:val="none" w:sz="0" w:space="0" w:color="auto"/>
              </w:divBdr>
              <w:divsChild>
                <w:div w:id="1103568644">
                  <w:marLeft w:val="0"/>
                  <w:marRight w:val="0"/>
                  <w:marTop w:val="0"/>
                  <w:marBottom w:val="0"/>
                  <w:divBdr>
                    <w:top w:val="none" w:sz="0" w:space="0" w:color="auto"/>
                    <w:left w:val="none" w:sz="0" w:space="0" w:color="auto"/>
                    <w:bottom w:val="none" w:sz="0" w:space="0" w:color="auto"/>
                    <w:right w:val="none" w:sz="0" w:space="0" w:color="auto"/>
                  </w:divBdr>
                  <w:divsChild>
                    <w:div w:id="83848038">
                      <w:marLeft w:val="0"/>
                      <w:marRight w:val="0"/>
                      <w:marTop w:val="0"/>
                      <w:marBottom w:val="0"/>
                      <w:divBdr>
                        <w:top w:val="none" w:sz="0" w:space="0" w:color="auto"/>
                        <w:left w:val="none" w:sz="0" w:space="0" w:color="auto"/>
                        <w:bottom w:val="none" w:sz="0" w:space="0" w:color="auto"/>
                        <w:right w:val="none" w:sz="0" w:space="0" w:color="auto"/>
                      </w:divBdr>
                      <w:divsChild>
                        <w:div w:id="21054012">
                          <w:marLeft w:val="0"/>
                          <w:marRight w:val="0"/>
                          <w:marTop w:val="0"/>
                          <w:marBottom w:val="0"/>
                          <w:divBdr>
                            <w:top w:val="none" w:sz="0" w:space="0" w:color="auto"/>
                            <w:left w:val="none" w:sz="0" w:space="0" w:color="auto"/>
                            <w:bottom w:val="none" w:sz="0" w:space="0" w:color="auto"/>
                            <w:right w:val="none" w:sz="0" w:space="0" w:color="auto"/>
                          </w:divBdr>
                          <w:divsChild>
                            <w:div w:id="1241021999">
                              <w:marLeft w:val="0"/>
                              <w:marRight w:val="0"/>
                              <w:marTop w:val="0"/>
                              <w:marBottom w:val="0"/>
                              <w:divBdr>
                                <w:top w:val="none" w:sz="0" w:space="0" w:color="auto"/>
                                <w:left w:val="none" w:sz="0" w:space="0" w:color="auto"/>
                                <w:bottom w:val="none" w:sz="0" w:space="0" w:color="auto"/>
                                <w:right w:val="none" w:sz="0" w:space="0" w:color="auto"/>
                              </w:divBdr>
                              <w:divsChild>
                                <w:div w:id="1982877747">
                                  <w:marLeft w:val="0"/>
                                  <w:marRight w:val="0"/>
                                  <w:marTop w:val="0"/>
                                  <w:marBottom w:val="0"/>
                                  <w:divBdr>
                                    <w:top w:val="none" w:sz="0" w:space="0" w:color="auto"/>
                                    <w:left w:val="none" w:sz="0" w:space="0" w:color="auto"/>
                                    <w:bottom w:val="none" w:sz="0" w:space="0" w:color="auto"/>
                                    <w:right w:val="none" w:sz="0" w:space="0" w:color="auto"/>
                                  </w:divBdr>
                                  <w:divsChild>
                                    <w:div w:id="154956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1086459">
      <w:bodyDiv w:val="1"/>
      <w:marLeft w:val="0"/>
      <w:marRight w:val="0"/>
      <w:marTop w:val="0"/>
      <w:marBottom w:val="0"/>
      <w:divBdr>
        <w:top w:val="none" w:sz="0" w:space="0" w:color="auto"/>
        <w:left w:val="none" w:sz="0" w:space="0" w:color="auto"/>
        <w:bottom w:val="none" w:sz="0" w:space="0" w:color="auto"/>
        <w:right w:val="none" w:sz="0" w:space="0" w:color="auto"/>
      </w:divBdr>
      <w:divsChild>
        <w:div w:id="349574131">
          <w:marLeft w:val="0"/>
          <w:marRight w:val="0"/>
          <w:marTop w:val="0"/>
          <w:marBottom w:val="150"/>
          <w:divBdr>
            <w:top w:val="none" w:sz="0" w:space="0" w:color="auto"/>
            <w:left w:val="none" w:sz="0" w:space="0" w:color="auto"/>
            <w:bottom w:val="none" w:sz="0" w:space="0" w:color="auto"/>
            <w:right w:val="none" w:sz="0" w:space="0" w:color="auto"/>
          </w:divBdr>
          <w:divsChild>
            <w:div w:id="1198083074">
              <w:marLeft w:val="0"/>
              <w:marRight w:val="0"/>
              <w:marTop w:val="0"/>
              <w:marBottom w:val="0"/>
              <w:divBdr>
                <w:top w:val="none" w:sz="0" w:space="0" w:color="auto"/>
                <w:left w:val="none" w:sz="0" w:space="0" w:color="auto"/>
                <w:bottom w:val="none" w:sz="0" w:space="0" w:color="auto"/>
                <w:right w:val="none" w:sz="0" w:space="0" w:color="auto"/>
              </w:divBdr>
            </w:div>
          </w:divsChild>
        </w:div>
        <w:div w:id="1727030330">
          <w:marLeft w:val="0"/>
          <w:marRight w:val="0"/>
          <w:marTop w:val="0"/>
          <w:marBottom w:val="150"/>
          <w:divBdr>
            <w:top w:val="none" w:sz="0" w:space="0" w:color="auto"/>
            <w:left w:val="none" w:sz="0" w:space="0" w:color="auto"/>
            <w:bottom w:val="none" w:sz="0" w:space="0" w:color="auto"/>
            <w:right w:val="none" w:sz="0" w:space="0" w:color="auto"/>
          </w:divBdr>
        </w:div>
        <w:div w:id="1832984726">
          <w:marLeft w:val="0"/>
          <w:marRight w:val="0"/>
          <w:marTop w:val="0"/>
          <w:marBottom w:val="0"/>
          <w:divBdr>
            <w:top w:val="none" w:sz="0" w:space="0" w:color="auto"/>
            <w:left w:val="none" w:sz="0" w:space="0" w:color="auto"/>
            <w:bottom w:val="none" w:sz="0" w:space="0" w:color="auto"/>
            <w:right w:val="none" w:sz="0" w:space="0" w:color="auto"/>
          </w:divBdr>
          <w:divsChild>
            <w:div w:id="160919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133138">
      <w:bodyDiv w:val="1"/>
      <w:marLeft w:val="0"/>
      <w:marRight w:val="0"/>
      <w:marTop w:val="0"/>
      <w:marBottom w:val="0"/>
      <w:divBdr>
        <w:top w:val="none" w:sz="0" w:space="0" w:color="auto"/>
        <w:left w:val="none" w:sz="0" w:space="0" w:color="auto"/>
        <w:bottom w:val="none" w:sz="0" w:space="0" w:color="auto"/>
        <w:right w:val="none" w:sz="0" w:space="0" w:color="auto"/>
      </w:divBdr>
    </w:div>
    <w:div w:id="951202402">
      <w:bodyDiv w:val="1"/>
      <w:marLeft w:val="0"/>
      <w:marRight w:val="0"/>
      <w:marTop w:val="0"/>
      <w:marBottom w:val="0"/>
      <w:divBdr>
        <w:top w:val="none" w:sz="0" w:space="0" w:color="auto"/>
        <w:left w:val="none" w:sz="0" w:space="0" w:color="auto"/>
        <w:bottom w:val="none" w:sz="0" w:space="0" w:color="auto"/>
        <w:right w:val="none" w:sz="0" w:space="0" w:color="auto"/>
      </w:divBdr>
      <w:divsChild>
        <w:div w:id="1823695450">
          <w:marLeft w:val="0"/>
          <w:marRight w:val="0"/>
          <w:marTop w:val="0"/>
          <w:marBottom w:val="0"/>
          <w:divBdr>
            <w:top w:val="none" w:sz="0" w:space="0" w:color="auto"/>
            <w:left w:val="none" w:sz="0" w:space="0" w:color="auto"/>
            <w:bottom w:val="none" w:sz="0" w:space="0" w:color="auto"/>
            <w:right w:val="none" w:sz="0" w:space="0" w:color="auto"/>
          </w:divBdr>
          <w:divsChild>
            <w:div w:id="84421807">
              <w:marLeft w:val="0"/>
              <w:marRight w:val="0"/>
              <w:marTop w:val="0"/>
              <w:marBottom w:val="0"/>
              <w:divBdr>
                <w:top w:val="none" w:sz="0" w:space="0" w:color="auto"/>
                <w:left w:val="none" w:sz="0" w:space="0" w:color="auto"/>
                <w:bottom w:val="none" w:sz="0" w:space="0" w:color="auto"/>
                <w:right w:val="none" w:sz="0" w:space="0" w:color="auto"/>
              </w:divBdr>
            </w:div>
            <w:div w:id="277877467">
              <w:marLeft w:val="0"/>
              <w:marRight w:val="0"/>
              <w:marTop w:val="0"/>
              <w:marBottom w:val="0"/>
              <w:divBdr>
                <w:top w:val="none" w:sz="0" w:space="0" w:color="auto"/>
                <w:left w:val="none" w:sz="0" w:space="0" w:color="auto"/>
                <w:bottom w:val="none" w:sz="0" w:space="0" w:color="auto"/>
                <w:right w:val="none" w:sz="0" w:space="0" w:color="auto"/>
              </w:divBdr>
            </w:div>
            <w:div w:id="576011985">
              <w:marLeft w:val="0"/>
              <w:marRight w:val="0"/>
              <w:marTop w:val="0"/>
              <w:marBottom w:val="0"/>
              <w:divBdr>
                <w:top w:val="none" w:sz="0" w:space="0" w:color="auto"/>
                <w:left w:val="none" w:sz="0" w:space="0" w:color="auto"/>
                <w:bottom w:val="none" w:sz="0" w:space="0" w:color="auto"/>
                <w:right w:val="none" w:sz="0" w:space="0" w:color="auto"/>
              </w:divBdr>
            </w:div>
            <w:div w:id="856695023">
              <w:marLeft w:val="0"/>
              <w:marRight w:val="0"/>
              <w:marTop w:val="0"/>
              <w:marBottom w:val="0"/>
              <w:divBdr>
                <w:top w:val="none" w:sz="0" w:space="0" w:color="auto"/>
                <w:left w:val="none" w:sz="0" w:space="0" w:color="auto"/>
                <w:bottom w:val="none" w:sz="0" w:space="0" w:color="auto"/>
                <w:right w:val="none" w:sz="0" w:space="0" w:color="auto"/>
              </w:divBdr>
            </w:div>
            <w:div w:id="955479411">
              <w:marLeft w:val="0"/>
              <w:marRight w:val="0"/>
              <w:marTop w:val="0"/>
              <w:marBottom w:val="0"/>
              <w:divBdr>
                <w:top w:val="none" w:sz="0" w:space="0" w:color="auto"/>
                <w:left w:val="none" w:sz="0" w:space="0" w:color="auto"/>
                <w:bottom w:val="none" w:sz="0" w:space="0" w:color="auto"/>
                <w:right w:val="none" w:sz="0" w:space="0" w:color="auto"/>
              </w:divBdr>
            </w:div>
            <w:div w:id="1179269726">
              <w:marLeft w:val="0"/>
              <w:marRight w:val="0"/>
              <w:marTop w:val="0"/>
              <w:marBottom w:val="0"/>
              <w:divBdr>
                <w:top w:val="none" w:sz="0" w:space="0" w:color="auto"/>
                <w:left w:val="none" w:sz="0" w:space="0" w:color="auto"/>
                <w:bottom w:val="none" w:sz="0" w:space="0" w:color="auto"/>
                <w:right w:val="none" w:sz="0" w:space="0" w:color="auto"/>
              </w:divBdr>
            </w:div>
            <w:div w:id="1196504776">
              <w:marLeft w:val="0"/>
              <w:marRight w:val="0"/>
              <w:marTop w:val="0"/>
              <w:marBottom w:val="0"/>
              <w:divBdr>
                <w:top w:val="none" w:sz="0" w:space="0" w:color="auto"/>
                <w:left w:val="none" w:sz="0" w:space="0" w:color="auto"/>
                <w:bottom w:val="none" w:sz="0" w:space="0" w:color="auto"/>
                <w:right w:val="none" w:sz="0" w:space="0" w:color="auto"/>
              </w:divBdr>
            </w:div>
            <w:div w:id="1313410927">
              <w:marLeft w:val="0"/>
              <w:marRight w:val="0"/>
              <w:marTop w:val="0"/>
              <w:marBottom w:val="0"/>
              <w:divBdr>
                <w:top w:val="none" w:sz="0" w:space="0" w:color="auto"/>
                <w:left w:val="none" w:sz="0" w:space="0" w:color="auto"/>
                <w:bottom w:val="none" w:sz="0" w:space="0" w:color="auto"/>
                <w:right w:val="none" w:sz="0" w:space="0" w:color="auto"/>
              </w:divBdr>
            </w:div>
            <w:div w:id="1800613436">
              <w:marLeft w:val="0"/>
              <w:marRight w:val="0"/>
              <w:marTop w:val="0"/>
              <w:marBottom w:val="0"/>
              <w:divBdr>
                <w:top w:val="none" w:sz="0" w:space="0" w:color="auto"/>
                <w:left w:val="none" w:sz="0" w:space="0" w:color="auto"/>
                <w:bottom w:val="none" w:sz="0" w:space="0" w:color="auto"/>
                <w:right w:val="none" w:sz="0" w:space="0" w:color="auto"/>
              </w:divBdr>
            </w:div>
            <w:div w:id="1956715223">
              <w:marLeft w:val="0"/>
              <w:marRight w:val="0"/>
              <w:marTop w:val="0"/>
              <w:marBottom w:val="0"/>
              <w:divBdr>
                <w:top w:val="none" w:sz="0" w:space="0" w:color="auto"/>
                <w:left w:val="none" w:sz="0" w:space="0" w:color="auto"/>
                <w:bottom w:val="none" w:sz="0" w:space="0" w:color="auto"/>
                <w:right w:val="none" w:sz="0" w:space="0" w:color="auto"/>
              </w:divBdr>
            </w:div>
            <w:div w:id="198924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665241">
      <w:bodyDiv w:val="1"/>
      <w:marLeft w:val="0"/>
      <w:marRight w:val="0"/>
      <w:marTop w:val="0"/>
      <w:marBottom w:val="0"/>
      <w:divBdr>
        <w:top w:val="none" w:sz="0" w:space="0" w:color="auto"/>
        <w:left w:val="none" w:sz="0" w:space="0" w:color="auto"/>
        <w:bottom w:val="none" w:sz="0" w:space="0" w:color="auto"/>
        <w:right w:val="none" w:sz="0" w:space="0" w:color="auto"/>
      </w:divBdr>
      <w:divsChild>
        <w:div w:id="184834850">
          <w:marLeft w:val="0"/>
          <w:marRight w:val="0"/>
          <w:marTop w:val="0"/>
          <w:marBottom w:val="0"/>
          <w:divBdr>
            <w:top w:val="none" w:sz="0" w:space="0" w:color="auto"/>
            <w:left w:val="none" w:sz="0" w:space="0" w:color="auto"/>
            <w:bottom w:val="none" w:sz="0" w:space="0" w:color="auto"/>
            <w:right w:val="none" w:sz="0" w:space="0" w:color="auto"/>
          </w:divBdr>
          <w:divsChild>
            <w:div w:id="1497721533">
              <w:marLeft w:val="0"/>
              <w:marRight w:val="0"/>
              <w:marTop w:val="0"/>
              <w:marBottom w:val="0"/>
              <w:divBdr>
                <w:top w:val="none" w:sz="0" w:space="0" w:color="auto"/>
                <w:left w:val="none" w:sz="0" w:space="0" w:color="auto"/>
                <w:bottom w:val="none" w:sz="0" w:space="0" w:color="auto"/>
                <w:right w:val="none" w:sz="0" w:space="0" w:color="auto"/>
              </w:divBdr>
              <w:divsChild>
                <w:div w:id="1678850448">
                  <w:marLeft w:val="0"/>
                  <w:marRight w:val="0"/>
                  <w:marTop w:val="0"/>
                  <w:marBottom w:val="0"/>
                  <w:divBdr>
                    <w:top w:val="none" w:sz="0" w:space="0" w:color="auto"/>
                    <w:left w:val="none" w:sz="0" w:space="0" w:color="auto"/>
                    <w:bottom w:val="none" w:sz="0" w:space="0" w:color="auto"/>
                    <w:right w:val="none" w:sz="0" w:space="0" w:color="auto"/>
                  </w:divBdr>
                  <w:divsChild>
                    <w:div w:id="1237590631">
                      <w:marLeft w:val="0"/>
                      <w:marRight w:val="0"/>
                      <w:marTop w:val="0"/>
                      <w:marBottom w:val="0"/>
                      <w:divBdr>
                        <w:top w:val="none" w:sz="0" w:space="0" w:color="auto"/>
                        <w:left w:val="none" w:sz="0" w:space="0" w:color="auto"/>
                        <w:bottom w:val="none" w:sz="0" w:space="0" w:color="auto"/>
                        <w:right w:val="none" w:sz="0" w:space="0" w:color="auto"/>
                      </w:divBdr>
                      <w:divsChild>
                        <w:div w:id="123622414">
                          <w:marLeft w:val="0"/>
                          <w:marRight w:val="0"/>
                          <w:marTop w:val="0"/>
                          <w:marBottom w:val="0"/>
                          <w:divBdr>
                            <w:top w:val="none" w:sz="0" w:space="0" w:color="auto"/>
                            <w:left w:val="none" w:sz="0" w:space="0" w:color="auto"/>
                            <w:bottom w:val="none" w:sz="0" w:space="0" w:color="auto"/>
                            <w:right w:val="none" w:sz="0" w:space="0" w:color="auto"/>
                          </w:divBdr>
                          <w:divsChild>
                            <w:div w:id="1481270453">
                              <w:marLeft w:val="0"/>
                              <w:marRight w:val="0"/>
                              <w:marTop w:val="0"/>
                              <w:marBottom w:val="0"/>
                              <w:divBdr>
                                <w:top w:val="none" w:sz="0" w:space="0" w:color="auto"/>
                                <w:left w:val="none" w:sz="0" w:space="0" w:color="auto"/>
                                <w:bottom w:val="none" w:sz="0" w:space="0" w:color="auto"/>
                                <w:right w:val="none" w:sz="0" w:space="0" w:color="auto"/>
                              </w:divBdr>
                              <w:divsChild>
                                <w:div w:id="758141133">
                                  <w:marLeft w:val="0"/>
                                  <w:marRight w:val="0"/>
                                  <w:marTop w:val="0"/>
                                  <w:marBottom w:val="0"/>
                                  <w:divBdr>
                                    <w:top w:val="none" w:sz="0" w:space="0" w:color="auto"/>
                                    <w:left w:val="none" w:sz="0" w:space="0" w:color="auto"/>
                                    <w:bottom w:val="none" w:sz="0" w:space="0" w:color="auto"/>
                                    <w:right w:val="none" w:sz="0" w:space="0" w:color="auto"/>
                                  </w:divBdr>
                                  <w:divsChild>
                                    <w:div w:id="168181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3094638">
      <w:bodyDiv w:val="1"/>
      <w:marLeft w:val="0"/>
      <w:marRight w:val="0"/>
      <w:marTop w:val="0"/>
      <w:marBottom w:val="0"/>
      <w:divBdr>
        <w:top w:val="none" w:sz="0" w:space="0" w:color="auto"/>
        <w:left w:val="none" w:sz="0" w:space="0" w:color="auto"/>
        <w:bottom w:val="none" w:sz="0" w:space="0" w:color="auto"/>
        <w:right w:val="none" w:sz="0" w:space="0" w:color="auto"/>
      </w:divBdr>
      <w:divsChild>
        <w:div w:id="1403335992">
          <w:marLeft w:val="0"/>
          <w:marRight w:val="0"/>
          <w:marTop w:val="0"/>
          <w:marBottom w:val="450"/>
          <w:divBdr>
            <w:top w:val="none" w:sz="0" w:space="0" w:color="auto"/>
            <w:left w:val="none" w:sz="0" w:space="0" w:color="auto"/>
            <w:bottom w:val="single" w:sz="6" w:space="19" w:color="EEEEEE"/>
            <w:right w:val="none" w:sz="0" w:space="0" w:color="auto"/>
          </w:divBdr>
          <w:divsChild>
            <w:div w:id="956596206">
              <w:marLeft w:val="0"/>
              <w:marRight w:val="0"/>
              <w:marTop w:val="0"/>
              <w:marBottom w:val="150"/>
              <w:divBdr>
                <w:top w:val="none" w:sz="0" w:space="0" w:color="auto"/>
                <w:left w:val="none" w:sz="0" w:space="0" w:color="auto"/>
                <w:bottom w:val="none" w:sz="0" w:space="0" w:color="auto"/>
                <w:right w:val="none" w:sz="0" w:space="0" w:color="auto"/>
              </w:divBdr>
              <w:divsChild>
                <w:div w:id="500048449">
                  <w:marLeft w:val="0"/>
                  <w:marRight w:val="0"/>
                  <w:marTop w:val="0"/>
                  <w:marBottom w:val="0"/>
                  <w:divBdr>
                    <w:top w:val="none" w:sz="0" w:space="0" w:color="auto"/>
                    <w:left w:val="none" w:sz="0" w:space="0" w:color="auto"/>
                    <w:bottom w:val="none" w:sz="0" w:space="0" w:color="auto"/>
                    <w:right w:val="none" w:sz="0" w:space="0" w:color="auto"/>
                  </w:divBdr>
                </w:div>
              </w:divsChild>
            </w:div>
            <w:div w:id="95365605">
              <w:marLeft w:val="0"/>
              <w:marRight w:val="0"/>
              <w:marTop w:val="0"/>
              <w:marBottom w:val="0"/>
              <w:divBdr>
                <w:top w:val="none" w:sz="0" w:space="0" w:color="auto"/>
                <w:left w:val="none" w:sz="0" w:space="0" w:color="auto"/>
                <w:bottom w:val="none" w:sz="0" w:space="0" w:color="auto"/>
                <w:right w:val="none" w:sz="0" w:space="0" w:color="auto"/>
              </w:divBdr>
            </w:div>
          </w:divsChild>
        </w:div>
        <w:div w:id="1317684200">
          <w:marLeft w:val="0"/>
          <w:marRight w:val="0"/>
          <w:marTop w:val="0"/>
          <w:marBottom w:val="0"/>
          <w:divBdr>
            <w:top w:val="none" w:sz="0" w:space="0" w:color="auto"/>
            <w:left w:val="none" w:sz="0" w:space="0" w:color="auto"/>
            <w:bottom w:val="none" w:sz="0" w:space="0" w:color="auto"/>
            <w:right w:val="none" w:sz="0" w:space="0" w:color="auto"/>
          </w:divBdr>
          <w:divsChild>
            <w:div w:id="901797622">
              <w:marLeft w:val="0"/>
              <w:marRight w:val="0"/>
              <w:marTop w:val="0"/>
              <w:marBottom w:val="0"/>
              <w:divBdr>
                <w:top w:val="none" w:sz="0" w:space="0" w:color="auto"/>
                <w:left w:val="none" w:sz="0" w:space="0" w:color="auto"/>
                <w:bottom w:val="none" w:sz="0" w:space="0" w:color="auto"/>
                <w:right w:val="none" w:sz="0" w:space="0" w:color="auto"/>
              </w:divBdr>
              <w:divsChild>
                <w:div w:id="110364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096461">
      <w:bodyDiv w:val="1"/>
      <w:marLeft w:val="0"/>
      <w:marRight w:val="0"/>
      <w:marTop w:val="0"/>
      <w:marBottom w:val="0"/>
      <w:divBdr>
        <w:top w:val="none" w:sz="0" w:space="0" w:color="auto"/>
        <w:left w:val="none" w:sz="0" w:space="0" w:color="auto"/>
        <w:bottom w:val="none" w:sz="0" w:space="0" w:color="auto"/>
        <w:right w:val="none" w:sz="0" w:space="0" w:color="auto"/>
      </w:divBdr>
    </w:div>
    <w:div w:id="953488802">
      <w:bodyDiv w:val="1"/>
      <w:marLeft w:val="0"/>
      <w:marRight w:val="0"/>
      <w:marTop w:val="0"/>
      <w:marBottom w:val="0"/>
      <w:divBdr>
        <w:top w:val="none" w:sz="0" w:space="0" w:color="auto"/>
        <w:left w:val="none" w:sz="0" w:space="0" w:color="auto"/>
        <w:bottom w:val="none" w:sz="0" w:space="0" w:color="auto"/>
        <w:right w:val="none" w:sz="0" w:space="0" w:color="auto"/>
      </w:divBdr>
      <w:divsChild>
        <w:div w:id="318078737">
          <w:marLeft w:val="0"/>
          <w:marRight w:val="0"/>
          <w:marTop w:val="0"/>
          <w:marBottom w:val="75"/>
          <w:divBdr>
            <w:top w:val="none" w:sz="0" w:space="0" w:color="auto"/>
            <w:left w:val="none" w:sz="0" w:space="0" w:color="auto"/>
            <w:bottom w:val="none" w:sz="0" w:space="0" w:color="auto"/>
            <w:right w:val="none" w:sz="0" w:space="0" w:color="auto"/>
          </w:divBdr>
        </w:div>
        <w:div w:id="1289167435">
          <w:marLeft w:val="0"/>
          <w:marRight w:val="0"/>
          <w:marTop w:val="600"/>
          <w:marBottom w:val="450"/>
          <w:divBdr>
            <w:top w:val="none" w:sz="0" w:space="0" w:color="auto"/>
            <w:left w:val="none" w:sz="0" w:space="0" w:color="auto"/>
            <w:bottom w:val="single" w:sz="6" w:space="15" w:color="D7D7D7"/>
            <w:right w:val="none" w:sz="0" w:space="0" w:color="auto"/>
          </w:divBdr>
        </w:div>
        <w:div w:id="1768503833">
          <w:marLeft w:val="0"/>
          <w:marRight w:val="0"/>
          <w:marTop w:val="0"/>
          <w:marBottom w:val="0"/>
          <w:divBdr>
            <w:top w:val="none" w:sz="0" w:space="0" w:color="auto"/>
            <w:left w:val="none" w:sz="0" w:space="0" w:color="auto"/>
            <w:bottom w:val="none" w:sz="0" w:space="0" w:color="auto"/>
            <w:right w:val="none" w:sz="0" w:space="0" w:color="auto"/>
          </w:divBdr>
        </w:div>
        <w:div w:id="2027902303">
          <w:marLeft w:val="0"/>
          <w:marRight w:val="0"/>
          <w:marTop w:val="300"/>
          <w:marBottom w:val="0"/>
          <w:divBdr>
            <w:top w:val="none" w:sz="0" w:space="0" w:color="auto"/>
            <w:left w:val="none" w:sz="0" w:space="0" w:color="auto"/>
            <w:bottom w:val="none" w:sz="0" w:space="0" w:color="auto"/>
            <w:right w:val="none" w:sz="0" w:space="0" w:color="auto"/>
          </w:divBdr>
        </w:div>
      </w:divsChild>
    </w:div>
    <w:div w:id="953634040">
      <w:bodyDiv w:val="1"/>
      <w:marLeft w:val="0"/>
      <w:marRight w:val="0"/>
      <w:marTop w:val="0"/>
      <w:marBottom w:val="0"/>
      <w:divBdr>
        <w:top w:val="none" w:sz="0" w:space="0" w:color="auto"/>
        <w:left w:val="none" w:sz="0" w:space="0" w:color="auto"/>
        <w:bottom w:val="none" w:sz="0" w:space="0" w:color="auto"/>
        <w:right w:val="none" w:sz="0" w:space="0" w:color="auto"/>
      </w:divBdr>
      <w:divsChild>
        <w:div w:id="1649163019">
          <w:marLeft w:val="0"/>
          <w:marRight w:val="0"/>
          <w:marTop w:val="0"/>
          <w:marBottom w:val="0"/>
          <w:divBdr>
            <w:top w:val="none" w:sz="0" w:space="0" w:color="auto"/>
            <w:left w:val="none" w:sz="0" w:space="0" w:color="auto"/>
            <w:bottom w:val="dotted" w:sz="6" w:space="4" w:color="DDDDDD"/>
            <w:right w:val="none" w:sz="0" w:space="0" w:color="auto"/>
          </w:divBdr>
        </w:div>
      </w:divsChild>
    </w:div>
    <w:div w:id="953827500">
      <w:bodyDiv w:val="1"/>
      <w:marLeft w:val="0"/>
      <w:marRight w:val="0"/>
      <w:marTop w:val="0"/>
      <w:marBottom w:val="0"/>
      <w:divBdr>
        <w:top w:val="none" w:sz="0" w:space="0" w:color="auto"/>
        <w:left w:val="none" w:sz="0" w:space="0" w:color="auto"/>
        <w:bottom w:val="none" w:sz="0" w:space="0" w:color="auto"/>
        <w:right w:val="none" w:sz="0" w:space="0" w:color="auto"/>
      </w:divBdr>
      <w:divsChild>
        <w:div w:id="603076176">
          <w:marLeft w:val="0"/>
          <w:marRight w:val="0"/>
          <w:marTop w:val="0"/>
          <w:marBottom w:val="0"/>
          <w:divBdr>
            <w:top w:val="none" w:sz="0" w:space="0" w:color="auto"/>
            <w:left w:val="none" w:sz="0" w:space="0" w:color="auto"/>
            <w:bottom w:val="none" w:sz="0" w:space="0" w:color="auto"/>
            <w:right w:val="none" w:sz="0" w:space="0" w:color="auto"/>
          </w:divBdr>
          <w:divsChild>
            <w:div w:id="1512258492">
              <w:marLeft w:val="0"/>
              <w:marRight w:val="0"/>
              <w:marTop w:val="0"/>
              <w:marBottom w:val="0"/>
              <w:divBdr>
                <w:top w:val="none" w:sz="0" w:space="0" w:color="auto"/>
                <w:left w:val="none" w:sz="0" w:space="0" w:color="auto"/>
                <w:bottom w:val="none" w:sz="0" w:space="0" w:color="auto"/>
                <w:right w:val="none" w:sz="0" w:space="0" w:color="auto"/>
              </w:divBdr>
              <w:divsChild>
                <w:div w:id="1603495305">
                  <w:marLeft w:val="0"/>
                  <w:marRight w:val="0"/>
                  <w:marTop w:val="0"/>
                  <w:marBottom w:val="0"/>
                  <w:divBdr>
                    <w:top w:val="none" w:sz="0" w:space="0" w:color="auto"/>
                    <w:left w:val="none" w:sz="0" w:space="0" w:color="auto"/>
                    <w:bottom w:val="none" w:sz="0" w:space="0" w:color="auto"/>
                    <w:right w:val="none" w:sz="0" w:space="0" w:color="auto"/>
                  </w:divBdr>
                  <w:divsChild>
                    <w:div w:id="310908762">
                      <w:marLeft w:val="0"/>
                      <w:marRight w:val="0"/>
                      <w:marTop w:val="0"/>
                      <w:marBottom w:val="0"/>
                      <w:divBdr>
                        <w:top w:val="none" w:sz="0" w:space="0" w:color="auto"/>
                        <w:left w:val="none" w:sz="0" w:space="0" w:color="auto"/>
                        <w:bottom w:val="none" w:sz="0" w:space="0" w:color="auto"/>
                        <w:right w:val="none" w:sz="0" w:space="0" w:color="auto"/>
                      </w:divBdr>
                      <w:divsChild>
                        <w:div w:id="1129470092">
                          <w:marLeft w:val="0"/>
                          <w:marRight w:val="0"/>
                          <w:marTop w:val="0"/>
                          <w:marBottom w:val="0"/>
                          <w:divBdr>
                            <w:top w:val="none" w:sz="0" w:space="0" w:color="auto"/>
                            <w:left w:val="none" w:sz="0" w:space="0" w:color="auto"/>
                            <w:bottom w:val="none" w:sz="0" w:space="0" w:color="auto"/>
                            <w:right w:val="none" w:sz="0" w:space="0" w:color="auto"/>
                          </w:divBdr>
                          <w:divsChild>
                            <w:div w:id="204047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4095631">
      <w:bodyDiv w:val="1"/>
      <w:marLeft w:val="0"/>
      <w:marRight w:val="0"/>
      <w:marTop w:val="0"/>
      <w:marBottom w:val="0"/>
      <w:divBdr>
        <w:top w:val="none" w:sz="0" w:space="0" w:color="auto"/>
        <w:left w:val="none" w:sz="0" w:space="0" w:color="auto"/>
        <w:bottom w:val="none" w:sz="0" w:space="0" w:color="auto"/>
        <w:right w:val="none" w:sz="0" w:space="0" w:color="auto"/>
      </w:divBdr>
      <w:divsChild>
        <w:div w:id="971130816">
          <w:marLeft w:val="0"/>
          <w:marRight w:val="0"/>
          <w:marTop w:val="0"/>
          <w:marBottom w:val="450"/>
          <w:divBdr>
            <w:top w:val="none" w:sz="0" w:space="0" w:color="auto"/>
            <w:left w:val="none" w:sz="0" w:space="0" w:color="auto"/>
            <w:bottom w:val="single" w:sz="6" w:space="19" w:color="EEEEEE"/>
            <w:right w:val="none" w:sz="0" w:space="0" w:color="auto"/>
          </w:divBdr>
          <w:divsChild>
            <w:div w:id="2013407136">
              <w:marLeft w:val="0"/>
              <w:marRight w:val="0"/>
              <w:marTop w:val="0"/>
              <w:marBottom w:val="150"/>
              <w:divBdr>
                <w:top w:val="none" w:sz="0" w:space="0" w:color="auto"/>
                <w:left w:val="none" w:sz="0" w:space="0" w:color="auto"/>
                <w:bottom w:val="none" w:sz="0" w:space="0" w:color="auto"/>
                <w:right w:val="none" w:sz="0" w:space="0" w:color="auto"/>
              </w:divBdr>
              <w:divsChild>
                <w:div w:id="50888532">
                  <w:marLeft w:val="0"/>
                  <w:marRight w:val="0"/>
                  <w:marTop w:val="0"/>
                  <w:marBottom w:val="0"/>
                  <w:divBdr>
                    <w:top w:val="none" w:sz="0" w:space="0" w:color="auto"/>
                    <w:left w:val="none" w:sz="0" w:space="0" w:color="auto"/>
                    <w:bottom w:val="none" w:sz="0" w:space="0" w:color="auto"/>
                    <w:right w:val="none" w:sz="0" w:space="0" w:color="auto"/>
                  </w:divBdr>
                </w:div>
              </w:divsChild>
            </w:div>
            <w:div w:id="793792826">
              <w:marLeft w:val="0"/>
              <w:marRight w:val="0"/>
              <w:marTop w:val="0"/>
              <w:marBottom w:val="0"/>
              <w:divBdr>
                <w:top w:val="none" w:sz="0" w:space="0" w:color="auto"/>
                <w:left w:val="none" w:sz="0" w:space="0" w:color="auto"/>
                <w:bottom w:val="none" w:sz="0" w:space="0" w:color="auto"/>
                <w:right w:val="none" w:sz="0" w:space="0" w:color="auto"/>
              </w:divBdr>
            </w:div>
          </w:divsChild>
        </w:div>
        <w:div w:id="807090238">
          <w:marLeft w:val="0"/>
          <w:marRight w:val="0"/>
          <w:marTop w:val="0"/>
          <w:marBottom w:val="0"/>
          <w:divBdr>
            <w:top w:val="none" w:sz="0" w:space="0" w:color="auto"/>
            <w:left w:val="none" w:sz="0" w:space="0" w:color="auto"/>
            <w:bottom w:val="none" w:sz="0" w:space="0" w:color="auto"/>
            <w:right w:val="none" w:sz="0" w:space="0" w:color="auto"/>
          </w:divBdr>
          <w:divsChild>
            <w:div w:id="1020011834">
              <w:marLeft w:val="0"/>
              <w:marRight w:val="0"/>
              <w:marTop w:val="0"/>
              <w:marBottom w:val="0"/>
              <w:divBdr>
                <w:top w:val="none" w:sz="0" w:space="0" w:color="auto"/>
                <w:left w:val="none" w:sz="0" w:space="0" w:color="auto"/>
                <w:bottom w:val="none" w:sz="0" w:space="0" w:color="auto"/>
                <w:right w:val="none" w:sz="0" w:space="0" w:color="auto"/>
              </w:divBdr>
              <w:divsChild>
                <w:div w:id="97950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90211">
      <w:bodyDiv w:val="1"/>
      <w:marLeft w:val="0"/>
      <w:marRight w:val="0"/>
      <w:marTop w:val="0"/>
      <w:marBottom w:val="0"/>
      <w:divBdr>
        <w:top w:val="none" w:sz="0" w:space="0" w:color="auto"/>
        <w:left w:val="none" w:sz="0" w:space="0" w:color="auto"/>
        <w:bottom w:val="none" w:sz="0" w:space="0" w:color="auto"/>
        <w:right w:val="none" w:sz="0" w:space="0" w:color="auto"/>
      </w:divBdr>
      <w:divsChild>
        <w:div w:id="253710500">
          <w:marLeft w:val="0"/>
          <w:marRight w:val="0"/>
          <w:marTop w:val="0"/>
          <w:marBottom w:val="0"/>
          <w:divBdr>
            <w:top w:val="none" w:sz="0" w:space="0" w:color="auto"/>
            <w:left w:val="none" w:sz="0" w:space="0" w:color="auto"/>
            <w:bottom w:val="none" w:sz="0" w:space="0" w:color="auto"/>
            <w:right w:val="none" w:sz="0" w:space="0" w:color="auto"/>
          </w:divBdr>
          <w:divsChild>
            <w:div w:id="664210869">
              <w:marLeft w:val="0"/>
              <w:marRight w:val="0"/>
              <w:marTop w:val="0"/>
              <w:marBottom w:val="0"/>
              <w:divBdr>
                <w:top w:val="none" w:sz="0" w:space="0" w:color="auto"/>
                <w:left w:val="none" w:sz="0" w:space="0" w:color="auto"/>
                <w:bottom w:val="none" w:sz="0" w:space="0" w:color="auto"/>
                <w:right w:val="none" w:sz="0" w:space="0" w:color="auto"/>
              </w:divBdr>
            </w:div>
          </w:divsChild>
        </w:div>
        <w:div w:id="1437289598">
          <w:marLeft w:val="0"/>
          <w:marRight w:val="0"/>
          <w:marTop w:val="150"/>
          <w:marBottom w:val="0"/>
          <w:divBdr>
            <w:top w:val="none" w:sz="0" w:space="0" w:color="auto"/>
            <w:left w:val="none" w:sz="0" w:space="0" w:color="auto"/>
            <w:bottom w:val="none" w:sz="0" w:space="0" w:color="auto"/>
            <w:right w:val="none" w:sz="0" w:space="0" w:color="auto"/>
          </w:divBdr>
          <w:divsChild>
            <w:div w:id="1924416562">
              <w:marLeft w:val="0"/>
              <w:marRight w:val="0"/>
              <w:marTop w:val="0"/>
              <w:marBottom w:val="0"/>
              <w:divBdr>
                <w:top w:val="none" w:sz="0" w:space="0" w:color="auto"/>
                <w:left w:val="none" w:sz="0" w:space="0" w:color="auto"/>
                <w:bottom w:val="none" w:sz="0" w:space="0" w:color="auto"/>
                <w:right w:val="none" w:sz="0" w:space="0" w:color="auto"/>
              </w:divBdr>
              <w:divsChild>
                <w:div w:id="39211147">
                  <w:marLeft w:val="0"/>
                  <w:marRight w:val="0"/>
                  <w:marTop w:val="0"/>
                  <w:marBottom w:val="0"/>
                  <w:divBdr>
                    <w:top w:val="none" w:sz="0" w:space="0" w:color="auto"/>
                    <w:left w:val="none" w:sz="0" w:space="0" w:color="auto"/>
                    <w:bottom w:val="none" w:sz="0" w:space="0" w:color="auto"/>
                    <w:right w:val="none" w:sz="0" w:space="0" w:color="auto"/>
                  </w:divBdr>
                </w:div>
                <w:div w:id="4222120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363213">
      <w:bodyDiv w:val="1"/>
      <w:marLeft w:val="0"/>
      <w:marRight w:val="0"/>
      <w:marTop w:val="0"/>
      <w:marBottom w:val="0"/>
      <w:divBdr>
        <w:top w:val="none" w:sz="0" w:space="0" w:color="auto"/>
        <w:left w:val="none" w:sz="0" w:space="0" w:color="auto"/>
        <w:bottom w:val="none" w:sz="0" w:space="0" w:color="auto"/>
        <w:right w:val="none" w:sz="0" w:space="0" w:color="auto"/>
      </w:divBdr>
      <w:divsChild>
        <w:div w:id="1904289242">
          <w:marLeft w:val="0"/>
          <w:marRight w:val="0"/>
          <w:marTop w:val="0"/>
          <w:marBottom w:val="0"/>
          <w:divBdr>
            <w:top w:val="none" w:sz="0" w:space="0" w:color="auto"/>
            <w:left w:val="none" w:sz="0" w:space="0" w:color="auto"/>
            <w:bottom w:val="none" w:sz="0" w:space="0" w:color="auto"/>
            <w:right w:val="none" w:sz="0" w:space="0" w:color="auto"/>
          </w:divBdr>
          <w:divsChild>
            <w:div w:id="1277054444">
              <w:marLeft w:val="0"/>
              <w:marRight w:val="0"/>
              <w:marTop w:val="0"/>
              <w:marBottom w:val="0"/>
              <w:divBdr>
                <w:top w:val="none" w:sz="0" w:space="0" w:color="auto"/>
                <w:left w:val="none" w:sz="0" w:space="0" w:color="auto"/>
                <w:bottom w:val="none" w:sz="0" w:space="0" w:color="auto"/>
                <w:right w:val="none" w:sz="0" w:space="0" w:color="auto"/>
              </w:divBdr>
              <w:divsChild>
                <w:div w:id="1173182632">
                  <w:marLeft w:val="0"/>
                  <w:marRight w:val="0"/>
                  <w:marTop w:val="0"/>
                  <w:marBottom w:val="0"/>
                  <w:divBdr>
                    <w:top w:val="none" w:sz="0" w:space="0" w:color="auto"/>
                    <w:left w:val="none" w:sz="0" w:space="0" w:color="auto"/>
                    <w:bottom w:val="none" w:sz="0" w:space="0" w:color="auto"/>
                    <w:right w:val="none" w:sz="0" w:space="0" w:color="auto"/>
                  </w:divBdr>
                  <w:divsChild>
                    <w:div w:id="1695616113">
                      <w:marLeft w:val="0"/>
                      <w:marRight w:val="0"/>
                      <w:marTop w:val="0"/>
                      <w:marBottom w:val="0"/>
                      <w:divBdr>
                        <w:top w:val="none" w:sz="0" w:space="0" w:color="auto"/>
                        <w:left w:val="none" w:sz="0" w:space="0" w:color="auto"/>
                        <w:bottom w:val="none" w:sz="0" w:space="0" w:color="auto"/>
                        <w:right w:val="none" w:sz="0" w:space="0" w:color="auto"/>
                      </w:divBdr>
                      <w:divsChild>
                        <w:div w:id="182667055">
                          <w:marLeft w:val="0"/>
                          <w:marRight w:val="0"/>
                          <w:marTop w:val="0"/>
                          <w:marBottom w:val="0"/>
                          <w:divBdr>
                            <w:top w:val="none" w:sz="0" w:space="0" w:color="auto"/>
                            <w:left w:val="none" w:sz="0" w:space="0" w:color="auto"/>
                            <w:bottom w:val="none" w:sz="0" w:space="0" w:color="auto"/>
                            <w:right w:val="none" w:sz="0" w:space="0" w:color="auto"/>
                          </w:divBdr>
                          <w:divsChild>
                            <w:div w:id="1930776418">
                              <w:marLeft w:val="0"/>
                              <w:marRight w:val="0"/>
                              <w:marTop w:val="0"/>
                              <w:marBottom w:val="0"/>
                              <w:divBdr>
                                <w:top w:val="none" w:sz="0" w:space="0" w:color="auto"/>
                                <w:left w:val="none" w:sz="0" w:space="0" w:color="auto"/>
                                <w:bottom w:val="none" w:sz="0" w:space="0" w:color="auto"/>
                                <w:right w:val="none" w:sz="0" w:space="0" w:color="auto"/>
                              </w:divBdr>
                              <w:divsChild>
                                <w:div w:id="1867215042">
                                  <w:marLeft w:val="0"/>
                                  <w:marRight w:val="0"/>
                                  <w:marTop w:val="0"/>
                                  <w:marBottom w:val="0"/>
                                  <w:divBdr>
                                    <w:top w:val="none" w:sz="0" w:space="0" w:color="auto"/>
                                    <w:left w:val="none" w:sz="0" w:space="0" w:color="auto"/>
                                    <w:bottom w:val="none" w:sz="0" w:space="0" w:color="auto"/>
                                    <w:right w:val="none" w:sz="0" w:space="0" w:color="auto"/>
                                  </w:divBdr>
                                  <w:divsChild>
                                    <w:div w:id="132928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754695">
      <w:bodyDiv w:val="1"/>
      <w:marLeft w:val="0"/>
      <w:marRight w:val="0"/>
      <w:marTop w:val="0"/>
      <w:marBottom w:val="0"/>
      <w:divBdr>
        <w:top w:val="none" w:sz="0" w:space="0" w:color="auto"/>
        <w:left w:val="none" w:sz="0" w:space="0" w:color="auto"/>
        <w:bottom w:val="none" w:sz="0" w:space="0" w:color="auto"/>
        <w:right w:val="none" w:sz="0" w:space="0" w:color="auto"/>
      </w:divBdr>
    </w:div>
    <w:div w:id="954871000">
      <w:bodyDiv w:val="1"/>
      <w:marLeft w:val="0"/>
      <w:marRight w:val="0"/>
      <w:marTop w:val="0"/>
      <w:marBottom w:val="0"/>
      <w:divBdr>
        <w:top w:val="none" w:sz="0" w:space="0" w:color="auto"/>
        <w:left w:val="none" w:sz="0" w:space="0" w:color="auto"/>
        <w:bottom w:val="none" w:sz="0" w:space="0" w:color="auto"/>
        <w:right w:val="none" w:sz="0" w:space="0" w:color="auto"/>
      </w:divBdr>
      <w:divsChild>
        <w:div w:id="145559467">
          <w:marLeft w:val="0"/>
          <w:marRight w:val="0"/>
          <w:marTop w:val="0"/>
          <w:marBottom w:val="150"/>
          <w:divBdr>
            <w:top w:val="none" w:sz="0" w:space="0" w:color="auto"/>
            <w:left w:val="none" w:sz="0" w:space="0" w:color="auto"/>
            <w:bottom w:val="none" w:sz="0" w:space="0" w:color="auto"/>
            <w:right w:val="none" w:sz="0" w:space="0" w:color="auto"/>
          </w:divBdr>
          <w:divsChild>
            <w:div w:id="425151523">
              <w:marLeft w:val="0"/>
              <w:marRight w:val="0"/>
              <w:marTop w:val="0"/>
              <w:marBottom w:val="0"/>
              <w:divBdr>
                <w:top w:val="none" w:sz="0" w:space="0" w:color="auto"/>
                <w:left w:val="none" w:sz="0" w:space="0" w:color="auto"/>
                <w:bottom w:val="none" w:sz="0" w:space="0" w:color="auto"/>
                <w:right w:val="none" w:sz="0" w:space="0" w:color="auto"/>
              </w:divBdr>
            </w:div>
          </w:divsChild>
        </w:div>
        <w:div w:id="721712324">
          <w:marLeft w:val="0"/>
          <w:marRight w:val="0"/>
          <w:marTop w:val="0"/>
          <w:marBottom w:val="0"/>
          <w:divBdr>
            <w:top w:val="none" w:sz="0" w:space="0" w:color="auto"/>
            <w:left w:val="none" w:sz="0" w:space="0" w:color="auto"/>
            <w:bottom w:val="none" w:sz="0" w:space="0" w:color="auto"/>
            <w:right w:val="none" w:sz="0" w:space="0" w:color="auto"/>
          </w:divBdr>
          <w:divsChild>
            <w:div w:id="1669552545">
              <w:marLeft w:val="0"/>
              <w:marRight w:val="0"/>
              <w:marTop w:val="0"/>
              <w:marBottom w:val="0"/>
              <w:divBdr>
                <w:top w:val="none" w:sz="0" w:space="0" w:color="auto"/>
                <w:left w:val="none" w:sz="0" w:space="0" w:color="auto"/>
                <w:bottom w:val="none" w:sz="0" w:space="0" w:color="auto"/>
                <w:right w:val="none" w:sz="0" w:space="0" w:color="auto"/>
              </w:divBdr>
            </w:div>
          </w:divsChild>
        </w:div>
        <w:div w:id="784421607">
          <w:marLeft w:val="0"/>
          <w:marRight w:val="0"/>
          <w:marTop w:val="0"/>
          <w:marBottom w:val="150"/>
          <w:divBdr>
            <w:top w:val="none" w:sz="0" w:space="0" w:color="auto"/>
            <w:left w:val="none" w:sz="0" w:space="0" w:color="auto"/>
            <w:bottom w:val="none" w:sz="0" w:space="0" w:color="auto"/>
            <w:right w:val="none" w:sz="0" w:space="0" w:color="auto"/>
          </w:divBdr>
        </w:div>
      </w:divsChild>
    </w:div>
    <w:div w:id="954872748">
      <w:bodyDiv w:val="1"/>
      <w:marLeft w:val="0"/>
      <w:marRight w:val="0"/>
      <w:marTop w:val="0"/>
      <w:marBottom w:val="0"/>
      <w:divBdr>
        <w:top w:val="none" w:sz="0" w:space="0" w:color="auto"/>
        <w:left w:val="none" w:sz="0" w:space="0" w:color="auto"/>
        <w:bottom w:val="none" w:sz="0" w:space="0" w:color="auto"/>
        <w:right w:val="none" w:sz="0" w:space="0" w:color="auto"/>
      </w:divBdr>
    </w:div>
    <w:div w:id="955015674">
      <w:bodyDiv w:val="1"/>
      <w:marLeft w:val="0"/>
      <w:marRight w:val="0"/>
      <w:marTop w:val="0"/>
      <w:marBottom w:val="0"/>
      <w:divBdr>
        <w:top w:val="none" w:sz="0" w:space="0" w:color="auto"/>
        <w:left w:val="none" w:sz="0" w:space="0" w:color="auto"/>
        <w:bottom w:val="none" w:sz="0" w:space="0" w:color="auto"/>
        <w:right w:val="none" w:sz="0" w:space="0" w:color="auto"/>
      </w:divBdr>
      <w:divsChild>
        <w:div w:id="1807770122">
          <w:marLeft w:val="0"/>
          <w:marRight w:val="0"/>
          <w:marTop w:val="0"/>
          <w:marBottom w:val="0"/>
          <w:divBdr>
            <w:top w:val="none" w:sz="0" w:space="0" w:color="auto"/>
            <w:left w:val="none" w:sz="0" w:space="0" w:color="auto"/>
            <w:bottom w:val="none" w:sz="0" w:space="0" w:color="auto"/>
            <w:right w:val="none" w:sz="0" w:space="0" w:color="auto"/>
          </w:divBdr>
          <w:divsChild>
            <w:div w:id="458374912">
              <w:marLeft w:val="0"/>
              <w:marRight w:val="0"/>
              <w:marTop w:val="0"/>
              <w:marBottom w:val="0"/>
              <w:divBdr>
                <w:top w:val="none" w:sz="0" w:space="0" w:color="auto"/>
                <w:left w:val="none" w:sz="0" w:space="0" w:color="auto"/>
                <w:bottom w:val="none" w:sz="0" w:space="0" w:color="auto"/>
                <w:right w:val="none" w:sz="0" w:space="0" w:color="auto"/>
              </w:divBdr>
              <w:divsChild>
                <w:div w:id="2011173570">
                  <w:marLeft w:val="0"/>
                  <w:marRight w:val="0"/>
                  <w:marTop w:val="0"/>
                  <w:marBottom w:val="0"/>
                  <w:divBdr>
                    <w:top w:val="none" w:sz="0" w:space="0" w:color="auto"/>
                    <w:left w:val="none" w:sz="0" w:space="0" w:color="auto"/>
                    <w:bottom w:val="none" w:sz="0" w:space="0" w:color="auto"/>
                    <w:right w:val="none" w:sz="0" w:space="0" w:color="auto"/>
                  </w:divBdr>
                  <w:divsChild>
                    <w:div w:id="1621303154">
                      <w:marLeft w:val="0"/>
                      <w:marRight w:val="0"/>
                      <w:marTop w:val="0"/>
                      <w:marBottom w:val="0"/>
                      <w:divBdr>
                        <w:top w:val="none" w:sz="0" w:space="0" w:color="auto"/>
                        <w:left w:val="none" w:sz="0" w:space="0" w:color="auto"/>
                        <w:bottom w:val="none" w:sz="0" w:space="0" w:color="auto"/>
                        <w:right w:val="none" w:sz="0" w:space="0" w:color="auto"/>
                      </w:divBdr>
                      <w:divsChild>
                        <w:div w:id="2135177826">
                          <w:marLeft w:val="0"/>
                          <w:marRight w:val="0"/>
                          <w:marTop w:val="0"/>
                          <w:marBottom w:val="0"/>
                          <w:divBdr>
                            <w:top w:val="none" w:sz="0" w:space="0" w:color="auto"/>
                            <w:left w:val="none" w:sz="0" w:space="0" w:color="auto"/>
                            <w:bottom w:val="none" w:sz="0" w:space="0" w:color="auto"/>
                            <w:right w:val="none" w:sz="0" w:space="0" w:color="auto"/>
                          </w:divBdr>
                          <w:divsChild>
                            <w:div w:id="1456172833">
                              <w:marLeft w:val="0"/>
                              <w:marRight w:val="0"/>
                              <w:marTop w:val="0"/>
                              <w:marBottom w:val="0"/>
                              <w:divBdr>
                                <w:top w:val="none" w:sz="0" w:space="0" w:color="auto"/>
                                <w:left w:val="none" w:sz="0" w:space="0" w:color="auto"/>
                                <w:bottom w:val="none" w:sz="0" w:space="0" w:color="auto"/>
                                <w:right w:val="none" w:sz="0" w:space="0" w:color="auto"/>
                              </w:divBdr>
                              <w:divsChild>
                                <w:div w:id="686371966">
                                  <w:marLeft w:val="0"/>
                                  <w:marRight w:val="0"/>
                                  <w:marTop w:val="0"/>
                                  <w:marBottom w:val="0"/>
                                  <w:divBdr>
                                    <w:top w:val="none" w:sz="0" w:space="0" w:color="auto"/>
                                    <w:left w:val="none" w:sz="0" w:space="0" w:color="auto"/>
                                    <w:bottom w:val="none" w:sz="0" w:space="0" w:color="auto"/>
                                    <w:right w:val="none" w:sz="0" w:space="0" w:color="auto"/>
                                  </w:divBdr>
                                  <w:divsChild>
                                    <w:div w:id="178592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5059030">
      <w:bodyDiv w:val="1"/>
      <w:marLeft w:val="0"/>
      <w:marRight w:val="0"/>
      <w:marTop w:val="0"/>
      <w:marBottom w:val="0"/>
      <w:divBdr>
        <w:top w:val="none" w:sz="0" w:space="0" w:color="auto"/>
        <w:left w:val="none" w:sz="0" w:space="0" w:color="auto"/>
        <w:bottom w:val="none" w:sz="0" w:space="0" w:color="auto"/>
        <w:right w:val="none" w:sz="0" w:space="0" w:color="auto"/>
      </w:divBdr>
      <w:divsChild>
        <w:div w:id="1673482297">
          <w:marLeft w:val="0"/>
          <w:marRight w:val="0"/>
          <w:marTop w:val="0"/>
          <w:marBottom w:val="0"/>
          <w:divBdr>
            <w:top w:val="none" w:sz="0" w:space="0" w:color="auto"/>
            <w:left w:val="none" w:sz="0" w:space="0" w:color="auto"/>
            <w:bottom w:val="none" w:sz="0" w:space="0" w:color="auto"/>
            <w:right w:val="none" w:sz="0" w:space="0" w:color="auto"/>
          </w:divBdr>
          <w:divsChild>
            <w:div w:id="2053378038">
              <w:marLeft w:val="0"/>
              <w:marRight w:val="0"/>
              <w:marTop w:val="0"/>
              <w:marBottom w:val="0"/>
              <w:divBdr>
                <w:top w:val="none" w:sz="0" w:space="0" w:color="auto"/>
                <w:left w:val="none" w:sz="0" w:space="0" w:color="auto"/>
                <w:bottom w:val="none" w:sz="0" w:space="0" w:color="auto"/>
                <w:right w:val="none" w:sz="0" w:space="0" w:color="auto"/>
              </w:divBdr>
              <w:divsChild>
                <w:div w:id="136845257">
                  <w:marLeft w:val="0"/>
                  <w:marRight w:val="0"/>
                  <w:marTop w:val="0"/>
                  <w:marBottom w:val="0"/>
                  <w:divBdr>
                    <w:top w:val="none" w:sz="0" w:space="0" w:color="auto"/>
                    <w:left w:val="none" w:sz="0" w:space="0" w:color="auto"/>
                    <w:bottom w:val="none" w:sz="0" w:space="0" w:color="auto"/>
                    <w:right w:val="none" w:sz="0" w:space="0" w:color="auto"/>
                  </w:divBdr>
                  <w:divsChild>
                    <w:div w:id="322972432">
                      <w:marLeft w:val="0"/>
                      <w:marRight w:val="0"/>
                      <w:marTop w:val="0"/>
                      <w:marBottom w:val="0"/>
                      <w:divBdr>
                        <w:top w:val="none" w:sz="0" w:space="0" w:color="auto"/>
                        <w:left w:val="none" w:sz="0" w:space="0" w:color="auto"/>
                        <w:bottom w:val="none" w:sz="0" w:space="0" w:color="auto"/>
                        <w:right w:val="none" w:sz="0" w:space="0" w:color="auto"/>
                      </w:divBdr>
                      <w:divsChild>
                        <w:div w:id="1657104902">
                          <w:marLeft w:val="0"/>
                          <w:marRight w:val="0"/>
                          <w:marTop w:val="0"/>
                          <w:marBottom w:val="0"/>
                          <w:divBdr>
                            <w:top w:val="none" w:sz="0" w:space="0" w:color="auto"/>
                            <w:left w:val="none" w:sz="0" w:space="0" w:color="auto"/>
                            <w:bottom w:val="none" w:sz="0" w:space="0" w:color="auto"/>
                            <w:right w:val="none" w:sz="0" w:space="0" w:color="auto"/>
                          </w:divBdr>
                          <w:divsChild>
                            <w:div w:id="1616012728">
                              <w:marLeft w:val="0"/>
                              <w:marRight w:val="0"/>
                              <w:marTop w:val="0"/>
                              <w:marBottom w:val="0"/>
                              <w:divBdr>
                                <w:top w:val="none" w:sz="0" w:space="0" w:color="auto"/>
                                <w:left w:val="none" w:sz="0" w:space="0" w:color="auto"/>
                                <w:bottom w:val="none" w:sz="0" w:space="0" w:color="auto"/>
                                <w:right w:val="none" w:sz="0" w:space="0" w:color="auto"/>
                              </w:divBdr>
                              <w:divsChild>
                                <w:div w:id="163321673">
                                  <w:marLeft w:val="0"/>
                                  <w:marRight w:val="0"/>
                                  <w:marTop w:val="0"/>
                                  <w:marBottom w:val="0"/>
                                  <w:divBdr>
                                    <w:top w:val="none" w:sz="0" w:space="0" w:color="auto"/>
                                    <w:left w:val="none" w:sz="0" w:space="0" w:color="auto"/>
                                    <w:bottom w:val="none" w:sz="0" w:space="0" w:color="auto"/>
                                    <w:right w:val="none" w:sz="0" w:space="0" w:color="auto"/>
                                  </w:divBdr>
                                  <w:divsChild>
                                    <w:div w:id="1016033301">
                                      <w:marLeft w:val="0"/>
                                      <w:marRight w:val="0"/>
                                      <w:marTop w:val="0"/>
                                      <w:marBottom w:val="0"/>
                                      <w:divBdr>
                                        <w:top w:val="none" w:sz="0" w:space="0" w:color="auto"/>
                                        <w:left w:val="none" w:sz="0" w:space="0" w:color="auto"/>
                                        <w:bottom w:val="none" w:sz="0" w:space="0" w:color="auto"/>
                                        <w:right w:val="none" w:sz="0" w:space="0" w:color="auto"/>
                                      </w:divBdr>
                                      <w:divsChild>
                                        <w:div w:id="183861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255129">
      <w:bodyDiv w:val="1"/>
      <w:marLeft w:val="0"/>
      <w:marRight w:val="0"/>
      <w:marTop w:val="0"/>
      <w:marBottom w:val="0"/>
      <w:divBdr>
        <w:top w:val="none" w:sz="0" w:space="0" w:color="auto"/>
        <w:left w:val="none" w:sz="0" w:space="0" w:color="auto"/>
        <w:bottom w:val="none" w:sz="0" w:space="0" w:color="auto"/>
        <w:right w:val="none" w:sz="0" w:space="0" w:color="auto"/>
      </w:divBdr>
      <w:divsChild>
        <w:div w:id="490872941">
          <w:marLeft w:val="0"/>
          <w:marRight w:val="0"/>
          <w:marTop w:val="0"/>
          <w:marBottom w:val="150"/>
          <w:divBdr>
            <w:top w:val="none" w:sz="0" w:space="0" w:color="auto"/>
            <w:left w:val="none" w:sz="0" w:space="0" w:color="auto"/>
            <w:bottom w:val="none" w:sz="0" w:space="0" w:color="auto"/>
            <w:right w:val="none" w:sz="0" w:space="0" w:color="auto"/>
          </w:divBdr>
          <w:divsChild>
            <w:div w:id="464592565">
              <w:marLeft w:val="0"/>
              <w:marRight w:val="0"/>
              <w:marTop w:val="0"/>
              <w:marBottom w:val="0"/>
              <w:divBdr>
                <w:top w:val="none" w:sz="0" w:space="0" w:color="auto"/>
                <w:left w:val="none" w:sz="0" w:space="0" w:color="auto"/>
                <w:bottom w:val="none" w:sz="0" w:space="0" w:color="auto"/>
                <w:right w:val="none" w:sz="0" w:space="0" w:color="auto"/>
              </w:divBdr>
            </w:div>
          </w:divsChild>
        </w:div>
        <w:div w:id="17975102">
          <w:marLeft w:val="0"/>
          <w:marRight w:val="0"/>
          <w:marTop w:val="0"/>
          <w:marBottom w:val="0"/>
          <w:divBdr>
            <w:top w:val="none" w:sz="0" w:space="0" w:color="auto"/>
            <w:left w:val="none" w:sz="0" w:space="0" w:color="auto"/>
            <w:bottom w:val="none" w:sz="0" w:space="0" w:color="auto"/>
            <w:right w:val="none" w:sz="0" w:space="0" w:color="auto"/>
          </w:divBdr>
        </w:div>
      </w:divsChild>
    </w:div>
    <w:div w:id="955259567">
      <w:bodyDiv w:val="1"/>
      <w:marLeft w:val="0"/>
      <w:marRight w:val="0"/>
      <w:marTop w:val="0"/>
      <w:marBottom w:val="0"/>
      <w:divBdr>
        <w:top w:val="none" w:sz="0" w:space="0" w:color="auto"/>
        <w:left w:val="none" w:sz="0" w:space="0" w:color="auto"/>
        <w:bottom w:val="none" w:sz="0" w:space="0" w:color="auto"/>
        <w:right w:val="none" w:sz="0" w:space="0" w:color="auto"/>
      </w:divBdr>
      <w:divsChild>
        <w:div w:id="405686322">
          <w:marLeft w:val="0"/>
          <w:marRight w:val="0"/>
          <w:marTop w:val="0"/>
          <w:marBottom w:val="450"/>
          <w:divBdr>
            <w:top w:val="none" w:sz="0" w:space="0" w:color="auto"/>
            <w:left w:val="none" w:sz="0" w:space="0" w:color="auto"/>
            <w:bottom w:val="none" w:sz="0" w:space="0" w:color="auto"/>
            <w:right w:val="none" w:sz="0" w:space="0" w:color="auto"/>
          </w:divBdr>
          <w:divsChild>
            <w:div w:id="612979222">
              <w:marLeft w:val="0"/>
              <w:marRight w:val="0"/>
              <w:marTop w:val="0"/>
              <w:marBottom w:val="150"/>
              <w:divBdr>
                <w:top w:val="none" w:sz="0" w:space="0" w:color="auto"/>
                <w:left w:val="none" w:sz="0" w:space="0" w:color="auto"/>
                <w:bottom w:val="none" w:sz="0" w:space="0" w:color="auto"/>
                <w:right w:val="none" w:sz="0" w:space="0" w:color="auto"/>
              </w:divBdr>
              <w:divsChild>
                <w:div w:id="1803691432">
                  <w:marLeft w:val="0"/>
                  <w:marRight w:val="0"/>
                  <w:marTop w:val="0"/>
                  <w:marBottom w:val="0"/>
                  <w:divBdr>
                    <w:top w:val="none" w:sz="0" w:space="0" w:color="auto"/>
                    <w:left w:val="none" w:sz="0" w:space="0" w:color="auto"/>
                    <w:bottom w:val="none" w:sz="0" w:space="0" w:color="auto"/>
                    <w:right w:val="none" w:sz="0" w:space="0" w:color="auto"/>
                  </w:divBdr>
                </w:div>
              </w:divsChild>
            </w:div>
            <w:div w:id="1813518215">
              <w:marLeft w:val="0"/>
              <w:marRight w:val="0"/>
              <w:marTop w:val="0"/>
              <w:marBottom w:val="0"/>
              <w:divBdr>
                <w:top w:val="none" w:sz="0" w:space="0" w:color="auto"/>
                <w:left w:val="none" w:sz="0" w:space="0" w:color="auto"/>
                <w:bottom w:val="none" w:sz="0" w:space="0" w:color="auto"/>
                <w:right w:val="none" w:sz="0" w:space="0" w:color="auto"/>
              </w:divBdr>
              <w:divsChild>
                <w:div w:id="1222715780">
                  <w:marLeft w:val="0"/>
                  <w:marRight w:val="0"/>
                  <w:marTop w:val="0"/>
                  <w:marBottom w:val="150"/>
                  <w:divBdr>
                    <w:top w:val="none" w:sz="0" w:space="0" w:color="auto"/>
                    <w:left w:val="none" w:sz="0" w:space="0" w:color="auto"/>
                    <w:bottom w:val="none" w:sz="0" w:space="0" w:color="auto"/>
                    <w:right w:val="none" w:sz="0" w:space="0" w:color="auto"/>
                  </w:divBdr>
                </w:div>
                <w:div w:id="1227300188">
                  <w:marLeft w:val="0"/>
                  <w:marRight w:val="0"/>
                  <w:marTop w:val="0"/>
                  <w:marBottom w:val="0"/>
                  <w:divBdr>
                    <w:top w:val="none" w:sz="0" w:space="0" w:color="auto"/>
                    <w:left w:val="none" w:sz="0" w:space="0" w:color="auto"/>
                    <w:bottom w:val="none" w:sz="0" w:space="0" w:color="auto"/>
                    <w:right w:val="none" w:sz="0" w:space="0" w:color="auto"/>
                  </w:divBdr>
                  <w:divsChild>
                    <w:div w:id="128812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855896">
          <w:marLeft w:val="0"/>
          <w:marRight w:val="0"/>
          <w:marTop w:val="0"/>
          <w:marBottom w:val="450"/>
          <w:divBdr>
            <w:top w:val="none" w:sz="0" w:space="0" w:color="auto"/>
            <w:left w:val="none" w:sz="0" w:space="0" w:color="auto"/>
            <w:bottom w:val="none" w:sz="0" w:space="0" w:color="auto"/>
            <w:right w:val="none" w:sz="0" w:space="0" w:color="auto"/>
          </w:divBdr>
        </w:div>
      </w:divsChild>
    </w:div>
    <w:div w:id="955332764">
      <w:bodyDiv w:val="1"/>
      <w:marLeft w:val="0"/>
      <w:marRight w:val="0"/>
      <w:marTop w:val="0"/>
      <w:marBottom w:val="0"/>
      <w:divBdr>
        <w:top w:val="none" w:sz="0" w:space="0" w:color="auto"/>
        <w:left w:val="none" w:sz="0" w:space="0" w:color="auto"/>
        <w:bottom w:val="none" w:sz="0" w:space="0" w:color="auto"/>
        <w:right w:val="none" w:sz="0" w:space="0" w:color="auto"/>
      </w:divBdr>
      <w:divsChild>
        <w:div w:id="1176455595">
          <w:marLeft w:val="0"/>
          <w:marRight w:val="0"/>
          <w:marTop w:val="0"/>
          <w:marBottom w:val="150"/>
          <w:divBdr>
            <w:top w:val="none" w:sz="0" w:space="0" w:color="auto"/>
            <w:left w:val="none" w:sz="0" w:space="0" w:color="auto"/>
            <w:bottom w:val="none" w:sz="0" w:space="0" w:color="auto"/>
            <w:right w:val="none" w:sz="0" w:space="0" w:color="auto"/>
          </w:divBdr>
        </w:div>
      </w:divsChild>
    </w:div>
    <w:div w:id="955677756">
      <w:bodyDiv w:val="1"/>
      <w:marLeft w:val="0"/>
      <w:marRight w:val="0"/>
      <w:marTop w:val="0"/>
      <w:marBottom w:val="0"/>
      <w:divBdr>
        <w:top w:val="none" w:sz="0" w:space="0" w:color="auto"/>
        <w:left w:val="none" w:sz="0" w:space="0" w:color="auto"/>
        <w:bottom w:val="none" w:sz="0" w:space="0" w:color="auto"/>
        <w:right w:val="none" w:sz="0" w:space="0" w:color="auto"/>
      </w:divBdr>
      <w:divsChild>
        <w:div w:id="1377969990">
          <w:marLeft w:val="0"/>
          <w:marRight w:val="0"/>
          <w:marTop w:val="0"/>
          <w:marBottom w:val="0"/>
          <w:divBdr>
            <w:top w:val="none" w:sz="0" w:space="0" w:color="auto"/>
            <w:left w:val="none" w:sz="0" w:space="0" w:color="auto"/>
            <w:bottom w:val="dotted" w:sz="6" w:space="4" w:color="DDDDDD"/>
            <w:right w:val="none" w:sz="0" w:space="0" w:color="auto"/>
          </w:divBdr>
        </w:div>
      </w:divsChild>
    </w:div>
    <w:div w:id="955797680">
      <w:bodyDiv w:val="1"/>
      <w:marLeft w:val="0"/>
      <w:marRight w:val="0"/>
      <w:marTop w:val="0"/>
      <w:marBottom w:val="0"/>
      <w:divBdr>
        <w:top w:val="none" w:sz="0" w:space="0" w:color="auto"/>
        <w:left w:val="none" w:sz="0" w:space="0" w:color="auto"/>
        <w:bottom w:val="none" w:sz="0" w:space="0" w:color="auto"/>
        <w:right w:val="none" w:sz="0" w:space="0" w:color="auto"/>
      </w:divBdr>
    </w:div>
    <w:div w:id="956066633">
      <w:bodyDiv w:val="1"/>
      <w:marLeft w:val="0"/>
      <w:marRight w:val="0"/>
      <w:marTop w:val="0"/>
      <w:marBottom w:val="0"/>
      <w:divBdr>
        <w:top w:val="none" w:sz="0" w:space="0" w:color="auto"/>
        <w:left w:val="none" w:sz="0" w:space="0" w:color="auto"/>
        <w:bottom w:val="none" w:sz="0" w:space="0" w:color="auto"/>
        <w:right w:val="none" w:sz="0" w:space="0" w:color="auto"/>
      </w:divBdr>
    </w:div>
    <w:div w:id="956523131">
      <w:bodyDiv w:val="1"/>
      <w:marLeft w:val="0"/>
      <w:marRight w:val="0"/>
      <w:marTop w:val="0"/>
      <w:marBottom w:val="0"/>
      <w:divBdr>
        <w:top w:val="none" w:sz="0" w:space="0" w:color="auto"/>
        <w:left w:val="none" w:sz="0" w:space="0" w:color="auto"/>
        <w:bottom w:val="none" w:sz="0" w:space="0" w:color="auto"/>
        <w:right w:val="none" w:sz="0" w:space="0" w:color="auto"/>
      </w:divBdr>
      <w:divsChild>
        <w:div w:id="1186603586">
          <w:marLeft w:val="0"/>
          <w:marRight w:val="0"/>
          <w:marTop w:val="0"/>
          <w:marBottom w:val="0"/>
          <w:divBdr>
            <w:top w:val="none" w:sz="0" w:space="0" w:color="auto"/>
            <w:left w:val="none" w:sz="0" w:space="0" w:color="auto"/>
            <w:bottom w:val="none" w:sz="0" w:space="0" w:color="auto"/>
            <w:right w:val="none" w:sz="0" w:space="0" w:color="auto"/>
          </w:divBdr>
          <w:divsChild>
            <w:div w:id="2128499846">
              <w:marLeft w:val="0"/>
              <w:marRight w:val="0"/>
              <w:marTop w:val="0"/>
              <w:marBottom w:val="0"/>
              <w:divBdr>
                <w:top w:val="none" w:sz="0" w:space="0" w:color="auto"/>
                <w:left w:val="none" w:sz="0" w:space="0" w:color="auto"/>
                <w:bottom w:val="none" w:sz="0" w:space="0" w:color="auto"/>
                <w:right w:val="none" w:sz="0" w:space="0" w:color="auto"/>
              </w:divBdr>
              <w:divsChild>
                <w:div w:id="20572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343269">
          <w:marLeft w:val="0"/>
          <w:marRight w:val="0"/>
          <w:marTop w:val="0"/>
          <w:marBottom w:val="75"/>
          <w:divBdr>
            <w:top w:val="none" w:sz="0" w:space="0" w:color="auto"/>
            <w:left w:val="none" w:sz="0" w:space="0" w:color="auto"/>
            <w:bottom w:val="none" w:sz="0" w:space="0" w:color="auto"/>
            <w:right w:val="none" w:sz="0" w:space="0" w:color="auto"/>
          </w:divBdr>
        </w:div>
        <w:div w:id="386608769">
          <w:marLeft w:val="0"/>
          <w:marRight w:val="0"/>
          <w:marTop w:val="0"/>
          <w:marBottom w:val="300"/>
          <w:divBdr>
            <w:top w:val="none" w:sz="0" w:space="0" w:color="auto"/>
            <w:left w:val="none" w:sz="0" w:space="0" w:color="auto"/>
            <w:bottom w:val="none" w:sz="0" w:space="0" w:color="auto"/>
            <w:right w:val="none" w:sz="0" w:space="0" w:color="auto"/>
          </w:divBdr>
          <w:divsChild>
            <w:div w:id="1607690992">
              <w:marLeft w:val="0"/>
              <w:marRight w:val="0"/>
              <w:marTop w:val="0"/>
              <w:marBottom w:val="0"/>
              <w:divBdr>
                <w:top w:val="none" w:sz="0" w:space="0" w:color="auto"/>
                <w:left w:val="none" w:sz="0" w:space="0" w:color="auto"/>
                <w:bottom w:val="none" w:sz="0" w:space="0" w:color="auto"/>
                <w:right w:val="none" w:sz="0" w:space="0" w:color="auto"/>
              </w:divBdr>
            </w:div>
          </w:divsChild>
        </w:div>
        <w:div w:id="325981610">
          <w:marLeft w:val="0"/>
          <w:marRight w:val="0"/>
          <w:marTop w:val="0"/>
          <w:marBottom w:val="0"/>
          <w:divBdr>
            <w:top w:val="none" w:sz="0" w:space="0" w:color="auto"/>
            <w:left w:val="none" w:sz="0" w:space="0" w:color="auto"/>
            <w:bottom w:val="none" w:sz="0" w:space="0" w:color="auto"/>
            <w:right w:val="none" w:sz="0" w:space="0" w:color="auto"/>
          </w:divBdr>
        </w:div>
      </w:divsChild>
    </w:div>
    <w:div w:id="956571085">
      <w:bodyDiv w:val="1"/>
      <w:marLeft w:val="0"/>
      <w:marRight w:val="0"/>
      <w:marTop w:val="0"/>
      <w:marBottom w:val="0"/>
      <w:divBdr>
        <w:top w:val="none" w:sz="0" w:space="0" w:color="auto"/>
        <w:left w:val="none" w:sz="0" w:space="0" w:color="auto"/>
        <w:bottom w:val="none" w:sz="0" w:space="0" w:color="auto"/>
        <w:right w:val="none" w:sz="0" w:space="0" w:color="auto"/>
      </w:divBdr>
    </w:div>
    <w:div w:id="956984107">
      <w:bodyDiv w:val="1"/>
      <w:marLeft w:val="0"/>
      <w:marRight w:val="0"/>
      <w:marTop w:val="0"/>
      <w:marBottom w:val="0"/>
      <w:divBdr>
        <w:top w:val="none" w:sz="0" w:space="0" w:color="auto"/>
        <w:left w:val="none" w:sz="0" w:space="0" w:color="auto"/>
        <w:bottom w:val="none" w:sz="0" w:space="0" w:color="auto"/>
        <w:right w:val="none" w:sz="0" w:space="0" w:color="auto"/>
      </w:divBdr>
    </w:div>
    <w:div w:id="957568414">
      <w:bodyDiv w:val="1"/>
      <w:marLeft w:val="0"/>
      <w:marRight w:val="0"/>
      <w:marTop w:val="0"/>
      <w:marBottom w:val="0"/>
      <w:divBdr>
        <w:top w:val="none" w:sz="0" w:space="0" w:color="auto"/>
        <w:left w:val="none" w:sz="0" w:space="0" w:color="auto"/>
        <w:bottom w:val="none" w:sz="0" w:space="0" w:color="auto"/>
        <w:right w:val="none" w:sz="0" w:space="0" w:color="auto"/>
      </w:divBdr>
      <w:divsChild>
        <w:div w:id="1342509579">
          <w:marLeft w:val="0"/>
          <w:marRight w:val="0"/>
          <w:marTop w:val="0"/>
          <w:marBottom w:val="0"/>
          <w:divBdr>
            <w:top w:val="none" w:sz="0" w:space="0" w:color="auto"/>
            <w:left w:val="none" w:sz="0" w:space="0" w:color="auto"/>
            <w:bottom w:val="none" w:sz="0" w:space="0" w:color="auto"/>
            <w:right w:val="none" w:sz="0" w:space="0" w:color="auto"/>
          </w:divBdr>
          <w:divsChild>
            <w:div w:id="1630435969">
              <w:marLeft w:val="0"/>
              <w:marRight w:val="0"/>
              <w:marTop w:val="0"/>
              <w:marBottom w:val="0"/>
              <w:divBdr>
                <w:top w:val="none" w:sz="0" w:space="0" w:color="auto"/>
                <w:left w:val="none" w:sz="0" w:space="0" w:color="auto"/>
                <w:bottom w:val="none" w:sz="0" w:space="0" w:color="auto"/>
                <w:right w:val="none" w:sz="0" w:space="0" w:color="auto"/>
              </w:divBdr>
              <w:divsChild>
                <w:div w:id="137500866">
                  <w:marLeft w:val="0"/>
                  <w:marRight w:val="0"/>
                  <w:marTop w:val="0"/>
                  <w:marBottom w:val="0"/>
                  <w:divBdr>
                    <w:top w:val="none" w:sz="0" w:space="0" w:color="auto"/>
                    <w:left w:val="none" w:sz="0" w:space="0" w:color="auto"/>
                    <w:bottom w:val="none" w:sz="0" w:space="0" w:color="auto"/>
                    <w:right w:val="none" w:sz="0" w:space="0" w:color="auto"/>
                  </w:divBdr>
                  <w:divsChild>
                    <w:div w:id="141125616">
                      <w:marLeft w:val="0"/>
                      <w:marRight w:val="0"/>
                      <w:marTop w:val="0"/>
                      <w:marBottom w:val="0"/>
                      <w:divBdr>
                        <w:top w:val="none" w:sz="0" w:space="0" w:color="auto"/>
                        <w:left w:val="none" w:sz="0" w:space="0" w:color="auto"/>
                        <w:bottom w:val="none" w:sz="0" w:space="0" w:color="auto"/>
                        <w:right w:val="none" w:sz="0" w:space="0" w:color="auto"/>
                      </w:divBdr>
                      <w:divsChild>
                        <w:div w:id="2085488234">
                          <w:marLeft w:val="0"/>
                          <w:marRight w:val="0"/>
                          <w:marTop w:val="0"/>
                          <w:marBottom w:val="0"/>
                          <w:divBdr>
                            <w:top w:val="none" w:sz="0" w:space="0" w:color="auto"/>
                            <w:left w:val="none" w:sz="0" w:space="0" w:color="auto"/>
                            <w:bottom w:val="none" w:sz="0" w:space="0" w:color="auto"/>
                            <w:right w:val="none" w:sz="0" w:space="0" w:color="auto"/>
                          </w:divBdr>
                          <w:divsChild>
                            <w:div w:id="208267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878407">
      <w:bodyDiv w:val="1"/>
      <w:marLeft w:val="0"/>
      <w:marRight w:val="0"/>
      <w:marTop w:val="0"/>
      <w:marBottom w:val="0"/>
      <w:divBdr>
        <w:top w:val="none" w:sz="0" w:space="0" w:color="auto"/>
        <w:left w:val="none" w:sz="0" w:space="0" w:color="auto"/>
        <w:bottom w:val="none" w:sz="0" w:space="0" w:color="auto"/>
        <w:right w:val="none" w:sz="0" w:space="0" w:color="auto"/>
      </w:divBdr>
      <w:divsChild>
        <w:div w:id="1097562025">
          <w:marLeft w:val="0"/>
          <w:marRight w:val="0"/>
          <w:marTop w:val="300"/>
          <w:marBottom w:val="0"/>
          <w:divBdr>
            <w:top w:val="none" w:sz="0" w:space="0" w:color="auto"/>
            <w:left w:val="none" w:sz="0" w:space="0" w:color="auto"/>
            <w:bottom w:val="none" w:sz="0" w:space="0" w:color="auto"/>
            <w:right w:val="none" w:sz="0" w:space="0" w:color="auto"/>
          </w:divBdr>
          <w:divsChild>
            <w:div w:id="101456115">
              <w:marLeft w:val="0"/>
              <w:marRight w:val="0"/>
              <w:marTop w:val="0"/>
              <w:marBottom w:val="0"/>
              <w:divBdr>
                <w:top w:val="none" w:sz="0" w:space="0" w:color="auto"/>
                <w:left w:val="none" w:sz="0" w:space="0" w:color="auto"/>
                <w:bottom w:val="none" w:sz="0" w:space="0" w:color="auto"/>
                <w:right w:val="none" w:sz="0" w:space="0" w:color="auto"/>
              </w:divBdr>
              <w:divsChild>
                <w:div w:id="550962885">
                  <w:marLeft w:val="0"/>
                  <w:marRight w:val="0"/>
                  <w:marTop w:val="150"/>
                  <w:marBottom w:val="0"/>
                  <w:divBdr>
                    <w:top w:val="none" w:sz="0" w:space="0" w:color="auto"/>
                    <w:left w:val="none" w:sz="0" w:space="0" w:color="auto"/>
                    <w:bottom w:val="none" w:sz="0" w:space="0" w:color="auto"/>
                    <w:right w:val="none" w:sz="0" w:space="0" w:color="auto"/>
                  </w:divBdr>
                  <w:divsChild>
                    <w:div w:id="1629313852">
                      <w:marLeft w:val="0"/>
                      <w:marRight w:val="0"/>
                      <w:marTop w:val="0"/>
                      <w:marBottom w:val="0"/>
                      <w:divBdr>
                        <w:top w:val="none" w:sz="0" w:space="0" w:color="auto"/>
                        <w:left w:val="none" w:sz="0" w:space="0" w:color="auto"/>
                        <w:bottom w:val="none" w:sz="0" w:space="0" w:color="auto"/>
                        <w:right w:val="none" w:sz="0" w:space="0" w:color="auto"/>
                      </w:divBdr>
                      <w:divsChild>
                        <w:div w:id="162734843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604844853">
                  <w:marLeft w:val="0"/>
                  <w:marRight w:val="0"/>
                  <w:marTop w:val="0"/>
                  <w:marBottom w:val="0"/>
                  <w:divBdr>
                    <w:top w:val="none" w:sz="0" w:space="0" w:color="auto"/>
                    <w:left w:val="none" w:sz="0" w:space="0" w:color="auto"/>
                    <w:bottom w:val="none" w:sz="0" w:space="0" w:color="auto"/>
                    <w:right w:val="none" w:sz="0" w:space="0" w:color="auto"/>
                  </w:divBdr>
                  <w:divsChild>
                    <w:div w:id="118444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977586">
              <w:marLeft w:val="-1350"/>
              <w:marRight w:val="0"/>
              <w:marTop w:val="0"/>
              <w:marBottom w:val="0"/>
              <w:divBdr>
                <w:top w:val="none" w:sz="0" w:space="0" w:color="auto"/>
                <w:left w:val="none" w:sz="0" w:space="0" w:color="auto"/>
                <w:bottom w:val="none" w:sz="0" w:space="0" w:color="auto"/>
                <w:right w:val="none" w:sz="0" w:space="0" w:color="auto"/>
              </w:divBdr>
              <w:divsChild>
                <w:div w:id="224727805">
                  <w:marLeft w:val="0"/>
                  <w:marRight w:val="0"/>
                  <w:marTop w:val="0"/>
                  <w:marBottom w:val="0"/>
                  <w:divBdr>
                    <w:top w:val="none" w:sz="0" w:space="0" w:color="auto"/>
                    <w:left w:val="none" w:sz="0" w:space="0" w:color="auto"/>
                    <w:bottom w:val="none" w:sz="0" w:space="0" w:color="auto"/>
                    <w:right w:val="none" w:sz="0" w:space="0" w:color="auto"/>
                  </w:divBdr>
                  <w:divsChild>
                    <w:div w:id="61173391">
                      <w:marLeft w:val="0"/>
                      <w:marRight w:val="0"/>
                      <w:marTop w:val="0"/>
                      <w:marBottom w:val="0"/>
                      <w:divBdr>
                        <w:top w:val="none" w:sz="0" w:space="0" w:color="auto"/>
                        <w:left w:val="none" w:sz="0" w:space="0" w:color="auto"/>
                        <w:bottom w:val="none" w:sz="0" w:space="0" w:color="auto"/>
                        <w:right w:val="none" w:sz="0" w:space="0" w:color="auto"/>
                      </w:divBdr>
                      <w:divsChild>
                        <w:div w:id="1664702480">
                          <w:marLeft w:val="0"/>
                          <w:marRight w:val="0"/>
                          <w:marTop w:val="0"/>
                          <w:marBottom w:val="0"/>
                          <w:divBdr>
                            <w:top w:val="single" w:sz="6" w:space="0" w:color="C7C7C7"/>
                            <w:left w:val="single" w:sz="6" w:space="0" w:color="C7C7C7"/>
                            <w:bottom w:val="single" w:sz="6" w:space="0" w:color="C7C7C7"/>
                            <w:right w:val="single" w:sz="6" w:space="0" w:color="C7C7C7"/>
                          </w:divBdr>
                          <w:divsChild>
                            <w:div w:id="970668646">
                              <w:marLeft w:val="0"/>
                              <w:marRight w:val="0"/>
                              <w:marTop w:val="100"/>
                              <w:marBottom w:val="100"/>
                              <w:divBdr>
                                <w:top w:val="none" w:sz="0" w:space="0" w:color="auto"/>
                                <w:left w:val="none" w:sz="0" w:space="0" w:color="auto"/>
                                <w:bottom w:val="none" w:sz="0" w:space="0" w:color="auto"/>
                                <w:right w:val="none" w:sz="0" w:space="0" w:color="auto"/>
                              </w:divBdr>
                            </w:div>
                            <w:div w:id="1231690343">
                              <w:marLeft w:val="0"/>
                              <w:marRight w:val="0"/>
                              <w:marTop w:val="100"/>
                              <w:marBottom w:val="100"/>
                              <w:divBdr>
                                <w:top w:val="none" w:sz="0" w:space="11" w:color="auto"/>
                                <w:left w:val="none" w:sz="0" w:space="0" w:color="auto"/>
                                <w:bottom w:val="single" w:sz="6" w:space="11" w:color="C7C7C7"/>
                                <w:right w:val="none" w:sz="0" w:space="0" w:color="auto"/>
                              </w:divBdr>
                            </w:div>
                            <w:div w:id="1233005315">
                              <w:marLeft w:val="0"/>
                              <w:marRight w:val="0"/>
                              <w:marTop w:val="100"/>
                              <w:marBottom w:val="100"/>
                              <w:divBdr>
                                <w:top w:val="none" w:sz="0" w:space="11" w:color="auto"/>
                                <w:left w:val="none" w:sz="0" w:space="0" w:color="auto"/>
                                <w:bottom w:val="single" w:sz="6" w:space="11" w:color="C7C7C7"/>
                                <w:right w:val="none" w:sz="0" w:space="0" w:color="auto"/>
                              </w:divBdr>
                            </w:div>
                            <w:div w:id="159725176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 w:id="1174760637">
          <w:marLeft w:val="0"/>
          <w:marRight w:val="0"/>
          <w:marTop w:val="150"/>
          <w:marBottom w:val="0"/>
          <w:divBdr>
            <w:top w:val="none" w:sz="0" w:space="0" w:color="auto"/>
            <w:left w:val="none" w:sz="0" w:space="0" w:color="auto"/>
            <w:bottom w:val="none" w:sz="0" w:space="0" w:color="auto"/>
            <w:right w:val="none" w:sz="0" w:space="0" w:color="auto"/>
          </w:divBdr>
          <w:divsChild>
            <w:div w:id="1542522752">
              <w:marLeft w:val="0"/>
              <w:marRight w:val="0"/>
              <w:marTop w:val="0"/>
              <w:marBottom w:val="0"/>
              <w:divBdr>
                <w:top w:val="none" w:sz="0" w:space="0" w:color="auto"/>
                <w:left w:val="none" w:sz="0" w:space="0" w:color="auto"/>
                <w:bottom w:val="single" w:sz="6" w:space="0" w:color="EFEFEF"/>
                <w:right w:val="none" w:sz="0" w:space="0" w:color="auto"/>
              </w:divBdr>
              <w:divsChild>
                <w:div w:id="4014177">
                  <w:marLeft w:val="0"/>
                  <w:marRight w:val="0"/>
                  <w:marTop w:val="0"/>
                  <w:marBottom w:val="0"/>
                  <w:divBdr>
                    <w:top w:val="none" w:sz="0" w:space="0" w:color="auto"/>
                    <w:left w:val="none" w:sz="0" w:space="0" w:color="auto"/>
                    <w:bottom w:val="none" w:sz="0" w:space="0" w:color="auto"/>
                    <w:right w:val="none" w:sz="0" w:space="0" w:color="auto"/>
                  </w:divBdr>
                </w:div>
                <w:div w:id="132640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268826">
      <w:bodyDiv w:val="1"/>
      <w:marLeft w:val="0"/>
      <w:marRight w:val="0"/>
      <w:marTop w:val="0"/>
      <w:marBottom w:val="0"/>
      <w:divBdr>
        <w:top w:val="none" w:sz="0" w:space="0" w:color="auto"/>
        <w:left w:val="none" w:sz="0" w:space="0" w:color="auto"/>
        <w:bottom w:val="none" w:sz="0" w:space="0" w:color="auto"/>
        <w:right w:val="none" w:sz="0" w:space="0" w:color="auto"/>
      </w:divBdr>
      <w:divsChild>
        <w:div w:id="1643074960">
          <w:marLeft w:val="0"/>
          <w:marRight w:val="0"/>
          <w:marTop w:val="0"/>
          <w:marBottom w:val="0"/>
          <w:divBdr>
            <w:top w:val="none" w:sz="0" w:space="0" w:color="auto"/>
            <w:left w:val="none" w:sz="0" w:space="0" w:color="auto"/>
            <w:bottom w:val="none" w:sz="0" w:space="0" w:color="auto"/>
            <w:right w:val="none" w:sz="0" w:space="0" w:color="auto"/>
          </w:divBdr>
        </w:div>
        <w:div w:id="1986351885">
          <w:marLeft w:val="0"/>
          <w:marRight w:val="0"/>
          <w:marTop w:val="0"/>
          <w:marBottom w:val="0"/>
          <w:divBdr>
            <w:top w:val="none" w:sz="0" w:space="0" w:color="auto"/>
            <w:left w:val="none" w:sz="0" w:space="0" w:color="auto"/>
            <w:bottom w:val="none" w:sz="0" w:space="0" w:color="auto"/>
            <w:right w:val="none" w:sz="0" w:space="0" w:color="auto"/>
          </w:divBdr>
          <w:divsChild>
            <w:div w:id="323818608">
              <w:marLeft w:val="0"/>
              <w:marRight w:val="0"/>
              <w:marTop w:val="0"/>
              <w:marBottom w:val="0"/>
              <w:divBdr>
                <w:top w:val="none" w:sz="0" w:space="0" w:color="auto"/>
                <w:left w:val="none" w:sz="0" w:space="0" w:color="auto"/>
                <w:bottom w:val="none" w:sz="0" w:space="0" w:color="auto"/>
                <w:right w:val="none" w:sz="0" w:space="0" w:color="auto"/>
              </w:divBdr>
            </w:div>
            <w:div w:id="36799279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958609420">
      <w:bodyDiv w:val="1"/>
      <w:marLeft w:val="0"/>
      <w:marRight w:val="0"/>
      <w:marTop w:val="0"/>
      <w:marBottom w:val="0"/>
      <w:divBdr>
        <w:top w:val="none" w:sz="0" w:space="0" w:color="auto"/>
        <w:left w:val="none" w:sz="0" w:space="0" w:color="auto"/>
        <w:bottom w:val="none" w:sz="0" w:space="0" w:color="auto"/>
        <w:right w:val="none" w:sz="0" w:space="0" w:color="auto"/>
      </w:divBdr>
      <w:divsChild>
        <w:div w:id="455638980">
          <w:marLeft w:val="0"/>
          <w:marRight w:val="0"/>
          <w:marTop w:val="0"/>
          <w:marBottom w:val="0"/>
          <w:divBdr>
            <w:top w:val="none" w:sz="0" w:space="0" w:color="auto"/>
            <w:left w:val="none" w:sz="0" w:space="0" w:color="auto"/>
            <w:bottom w:val="dotted" w:sz="6" w:space="4" w:color="DDDDDD"/>
            <w:right w:val="none" w:sz="0" w:space="0" w:color="auto"/>
          </w:divBdr>
          <w:divsChild>
            <w:div w:id="27066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874590">
      <w:bodyDiv w:val="1"/>
      <w:marLeft w:val="0"/>
      <w:marRight w:val="0"/>
      <w:marTop w:val="0"/>
      <w:marBottom w:val="0"/>
      <w:divBdr>
        <w:top w:val="none" w:sz="0" w:space="0" w:color="auto"/>
        <w:left w:val="none" w:sz="0" w:space="0" w:color="auto"/>
        <w:bottom w:val="none" w:sz="0" w:space="0" w:color="auto"/>
        <w:right w:val="none" w:sz="0" w:space="0" w:color="auto"/>
      </w:divBdr>
    </w:div>
    <w:div w:id="958991065">
      <w:bodyDiv w:val="1"/>
      <w:marLeft w:val="0"/>
      <w:marRight w:val="0"/>
      <w:marTop w:val="0"/>
      <w:marBottom w:val="0"/>
      <w:divBdr>
        <w:top w:val="none" w:sz="0" w:space="0" w:color="auto"/>
        <w:left w:val="none" w:sz="0" w:space="0" w:color="auto"/>
        <w:bottom w:val="none" w:sz="0" w:space="0" w:color="auto"/>
        <w:right w:val="none" w:sz="0" w:space="0" w:color="auto"/>
      </w:divBdr>
      <w:divsChild>
        <w:div w:id="1010136631">
          <w:marLeft w:val="0"/>
          <w:marRight w:val="0"/>
          <w:marTop w:val="0"/>
          <w:marBottom w:val="0"/>
          <w:divBdr>
            <w:top w:val="none" w:sz="0" w:space="0" w:color="auto"/>
            <w:left w:val="none" w:sz="0" w:space="0" w:color="auto"/>
            <w:bottom w:val="dotted" w:sz="6" w:space="4" w:color="DDDDDD"/>
            <w:right w:val="none" w:sz="0" w:space="0" w:color="auto"/>
          </w:divBdr>
        </w:div>
      </w:divsChild>
    </w:div>
    <w:div w:id="959602557">
      <w:bodyDiv w:val="1"/>
      <w:marLeft w:val="0"/>
      <w:marRight w:val="0"/>
      <w:marTop w:val="0"/>
      <w:marBottom w:val="0"/>
      <w:divBdr>
        <w:top w:val="none" w:sz="0" w:space="0" w:color="auto"/>
        <w:left w:val="none" w:sz="0" w:space="0" w:color="auto"/>
        <w:bottom w:val="none" w:sz="0" w:space="0" w:color="auto"/>
        <w:right w:val="none" w:sz="0" w:space="0" w:color="auto"/>
      </w:divBdr>
    </w:div>
    <w:div w:id="959610800">
      <w:bodyDiv w:val="1"/>
      <w:marLeft w:val="0"/>
      <w:marRight w:val="0"/>
      <w:marTop w:val="0"/>
      <w:marBottom w:val="0"/>
      <w:divBdr>
        <w:top w:val="none" w:sz="0" w:space="0" w:color="auto"/>
        <w:left w:val="none" w:sz="0" w:space="0" w:color="auto"/>
        <w:bottom w:val="none" w:sz="0" w:space="0" w:color="auto"/>
        <w:right w:val="none" w:sz="0" w:space="0" w:color="auto"/>
      </w:divBdr>
      <w:divsChild>
        <w:div w:id="2032338182">
          <w:marLeft w:val="0"/>
          <w:marRight w:val="0"/>
          <w:marTop w:val="0"/>
          <w:marBottom w:val="0"/>
          <w:divBdr>
            <w:top w:val="none" w:sz="0" w:space="0" w:color="auto"/>
            <w:left w:val="none" w:sz="0" w:space="0" w:color="auto"/>
            <w:bottom w:val="dotted" w:sz="6" w:space="4" w:color="DDDDDD"/>
            <w:right w:val="none" w:sz="0" w:space="0" w:color="auto"/>
          </w:divBdr>
        </w:div>
      </w:divsChild>
    </w:div>
    <w:div w:id="959799437">
      <w:bodyDiv w:val="1"/>
      <w:marLeft w:val="0"/>
      <w:marRight w:val="0"/>
      <w:marTop w:val="0"/>
      <w:marBottom w:val="0"/>
      <w:divBdr>
        <w:top w:val="none" w:sz="0" w:space="0" w:color="auto"/>
        <w:left w:val="none" w:sz="0" w:space="0" w:color="auto"/>
        <w:bottom w:val="none" w:sz="0" w:space="0" w:color="auto"/>
        <w:right w:val="none" w:sz="0" w:space="0" w:color="auto"/>
      </w:divBdr>
      <w:divsChild>
        <w:div w:id="532771282">
          <w:marLeft w:val="0"/>
          <w:marRight w:val="0"/>
          <w:marTop w:val="0"/>
          <w:marBottom w:val="0"/>
          <w:divBdr>
            <w:top w:val="none" w:sz="0" w:space="0" w:color="auto"/>
            <w:left w:val="none" w:sz="0" w:space="0" w:color="auto"/>
            <w:bottom w:val="none" w:sz="0" w:space="0" w:color="auto"/>
            <w:right w:val="none" w:sz="0" w:space="0" w:color="auto"/>
          </w:divBdr>
          <w:divsChild>
            <w:div w:id="2073044468">
              <w:marLeft w:val="0"/>
              <w:marRight w:val="0"/>
              <w:marTop w:val="0"/>
              <w:marBottom w:val="0"/>
              <w:divBdr>
                <w:top w:val="none" w:sz="0" w:space="0" w:color="auto"/>
                <w:left w:val="none" w:sz="0" w:space="0" w:color="auto"/>
                <w:bottom w:val="none" w:sz="0" w:space="0" w:color="auto"/>
                <w:right w:val="none" w:sz="0" w:space="0" w:color="auto"/>
              </w:divBdr>
              <w:divsChild>
                <w:div w:id="1126582914">
                  <w:marLeft w:val="0"/>
                  <w:marRight w:val="0"/>
                  <w:marTop w:val="0"/>
                  <w:marBottom w:val="0"/>
                  <w:divBdr>
                    <w:top w:val="none" w:sz="0" w:space="0" w:color="auto"/>
                    <w:left w:val="none" w:sz="0" w:space="0" w:color="auto"/>
                    <w:bottom w:val="none" w:sz="0" w:space="0" w:color="auto"/>
                    <w:right w:val="none" w:sz="0" w:space="0" w:color="auto"/>
                  </w:divBdr>
                  <w:divsChild>
                    <w:div w:id="1822502884">
                      <w:marLeft w:val="0"/>
                      <w:marRight w:val="0"/>
                      <w:marTop w:val="0"/>
                      <w:marBottom w:val="0"/>
                      <w:divBdr>
                        <w:top w:val="none" w:sz="0" w:space="0" w:color="auto"/>
                        <w:left w:val="none" w:sz="0" w:space="0" w:color="auto"/>
                        <w:bottom w:val="none" w:sz="0" w:space="0" w:color="auto"/>
                        <w:right w:val="none" w:sz="0" w:space="0" w:color="auto"/>
                      </w:divBdr>
                      <w:divsChild>
                        <w:div w:id="1920673334">
                          <w:marLeft w:val="0"/>
                          <w:marRight w:val="0"/>
                          <w:marTop w:val="0"/>
                          <w:marBottom w:val="0"/>
                          <w:divBdr>
                            <w:top w:val="none" w:sz="0" w:space="0" w:color="auto"/>
                            <w:left w:val="none" w:sz="0" w:space="0" w:color="auto"/>
                            <w:bottom w:val="none" w:sz="0" w:space="0" w:color="auto"/>
                            <w:right w:val="none" w:sz="0" w:space="0" w:color="auto"/>
                          </w:divBdr>
                          <w:divsChild>
                            <w:div w:id="50464378">
                              <w:marLeft w:val="0"/>
                              <w:marRight w:val="0"/>
                              <w:marTop w:val="0"/>
                              <w:marBottom w:val="0"/>
                              <w:divBdr>
                                <w:top w:val="none" w:sz="0" w:space="0" w:color="auto"/>
                                <w:left w:val="none" w:sz="0" w:space="0" w:color="auto"/>
                                <w:bottom w:val="none" w:sz="0" w:space="0" w:color="auto"/>
                                <w:right w:val="none" w:sz="0" w:space="0" w:color="auto"/>
                              </w:divBdr>
                              <w:divsChild>
                                <w:div w:id="949359757">
                                  <w:marLeft w:val="0"/>
                                  <w:marRight w:val="0"/>
                                  <w:marTop w:val="0"/>
                                  <w:marBottom w:val="0"/>
                                  <w:divBdr>
                                    <w:top w:val="none" w:sz="0" w:space="0" w:color="auto"/>
                                    <w:left w:val="none" w:sz="0" w:space="0" w:color="auto"/>
                                    <w:bottom w:val="none" w:sz="0" w:space="0" w:color="auto"/>
                                    <w:right w:val="none" w:sz="0" w:space="0" w:color="auto"/>
                                  </w:divBdr>
                                  <w:divsChild>
                                    <w:div w:id="945962046">
                                      <w:marLeft w:val="0"/>
                                      <w:marRight w:val="0"/>
                                      <w:marTop w:val="0"/>
                                      <w:marBottom w:val="0"/>
                                      <w:divBdr>
                                        <w:top w:val="none" w:sz="0" w:space="0" w:color="auto"/>
                                        <w:left w:val="none" w:sz="0" w:space="0" w:color="auto"/>
                                        <w:bottom w:val="none" w:sz="0" w:space="0" w:color="auto"/>
                                        <w:right w:val="none" w:sz="0" w:space="0" w:color="auto"/>
                                      </w:divBdr>
                                      <w:divsChild>
                                        <w:div w:id="199426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0301007">
      <w:bodyDiv w:val="1"/>
      <w:marLeft w:val="0"/>
      <w:marRight w:val="0"/>
      <w:marTop w:val="0"/>
      <w:marBottom w:val="0"/>
      <w:divBdr>
        <w:top w:val="none" w:sz="0" w:space="0" w:color="auto"/>
        <w:left w:val="none" w:sz="0" w:space="0" w:color="auto"/>
        <w:bottom w:val="none" w:sz="0" w:space="0" w:color="auto"/>
        <w:right w:val="none" w:sz="0" w:space="0" w:color="auto"/>
      </w:divBdr>
      <w:divsChild>
        <w:div w:id="40180673">
          <w:marLeft w:val="0"/>
          <w:marRight w:val="0"/>
          <w:marTop w:val="0"/>
          <w:marBottom w:val="150"/>
          <w:divBdr>
            <w:top w:val="none" w:sz="0" w:space="0" w:color="auto"/>
            <w:left w:val="none" w:sz="0" w:space="0" w:color="auto"/>
            <w:bottom w:val="none" w:sz="0" w:space="0" w:color="auto"/>
            <w:right w:val="none" w:sz="0" w:space="0" w:color="auto"/>
          </w:divBdr>
        </w:div>
        <w:div w:id="1229076605">
          <w:marLeft w:val="0"/>
          <w:marRight w:val="0"/>
          <w:marTop w:val="0"/>
          <w:marBottom w:val="0"/>
          <w:divBdr>
            <w:top w:val="none" w:sz="0" w:space="0" w:color="auto"/>
            <w:left w:val="none" w:sz="0" w:space="0" w:color="auto"/>
            <w:bottom w:val="none" w:sz="0" w:space="0" w:color="auto"/>
            <w:right w:val="none" w:sz="0" w:space="0" w:color="auto"/>
          </w:divBdr>
        </w:div>
      </w:divsChild>
    </w:div>
    <w:div w:id="960307946">
      <w:bodyDiv w:val="1"/>
      <w:marLeft w:val="0"/>
      <w:marRight w:val="0"/>
      <w:marTop w:val="0"/>
      <w:marBottom w:val="0"/>
      <w:divBdr>
        <w:top w:val="none" w:sz="0" w:space="0" w:color="auto"/>
        <w:left w:val="none" w:sz="0" w:space="0" w:color="auto"/>
        <w:bottom w:val="none" w:sz="0" w:space="0" w:color="auto"/>
        <w:right w:val="none" w:sz="0" w:space="0" w:color="auto"/>
      </w:divBdr>
      <w:divsChild>
        <w:div w:id="1574654967">
          <w:marLeft w:val="0"/>
          <w:marRight w:val="0"/>
          <w:marTop w:val="0"/>
          <w:marBottom w:val="0"/>
          <w:divBdr>
            <w:top w:val="none" w:sz="0" w:space="0" w:color="auto"/>
            <w:left w:val="none" w:sz="0" w:space="0" w:color="auto"/>
            <w:bottom w:val="none" w:sz="0" w:space="0" w:color="auto"/>
            <w:right w:val="none" w:sz="0" w:space="0" w:color="auto"/>
          </w:divBdr>
          <w:divsChild>
            <w:div w:id="11837409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60451306">
      <w:bodyDiv w:val="1"/>
      <w:marLeft w:val="0"/>
      <w:marRight w:val="0"/>
      <w:marTop w:val="0"/>
      <w:marBottom w:val="0"/>
      <w:divBdr>
        <w:top w:val="none" w:sz="0" w:space="0" w:color="auto"/>
        <w:left w:val="none" w:sz="0" w:space="0" w:color="auto"/>
        <w:bottom w:val="none" w:sz="0" w:space="0" w:color="auto"/>
        <w:right w:val="none" w:sz="0" w:space="0" w:color="auto"/>
      </w:divBdr>
    </w:div>
    <w:div w:id="960451890">
      <w:bodyDiv w:val="1"/>
      <w:marLeft w:val="0"/>
      <w:marRight w:val="0"/>
      <w:marTop w:val="0"/>
      <w:marBottom w:val="0"/>
      <w:divBdr>
        <w:top w:val="none" w:sz="0" w:space="0" w:color="auto"/>
        <w:left w:val="none" w:sz="0" w:space="0" w:color="auto"/>
        <w:bottom w:val="none" w:sz="0" w:space="0" w:color="auto"/>
        <w:right w:val="none" w:sz="0" w:space="0" w:color="auto"/>
      </w:divBdr>
      <w:divsChild>
        <w:div w:id="1113860984">
          <w:marLeft w:val="0"/>
          <w:marRight w:val="0"/>
          <w:marTop w:val="0"/>
          <w:marBottom w:val="0"/>
          <w:divBdr>
            <w:top w:val="none" w:sz="0" w:space="0" w:color="auto"/>
            <w:left w:val="none" w:sz="0" w:space="0" w:color="auto"/>
            <w:bottom w:val="dotted" w:sz="6" w:space="4" w:color="DDDDDD"/>
            <w:right w:val="none" w:sz="0" w:space="0" w:color="auto"/>
          </w:divBdr>
        </w:div>
      </w:divsChild>
    </w:div>
    <w:div w:id="960460645">
      <w:bodyDiv w:val="1"/>
      <w:marLeft w:val="0"/>
      <w:marRight w:val="0"/>
      <w:marTop w:val="0"/>
      <w:marBottom w:val="0"/>
      <w:divBdr>
        <w:top w:val="none" w:sz="0" w:space="0" w:color="auto"/>
        <w:left w:val="none" w:sz="0" w:space="0" w:color="auto"/>
        <w:bottom w:val="none" w:sz="0" w:space="0" w:color="auto"/>
        <w:right w:val="none" w:sz="0" w:space="0" w:color="auto"/>
      </w:divBdr>
      <w:divsChild>
        <w:div w:id="1690255656">
          <w:marLeft w:val="0"/>
          <w:marRight w:val="0"/>
          <w:marTop w:val="0"/>
          <w:marBottom w:val="0"/>
          <w:divBdr>
            <w:top w:val="none" w:sz="0" w:space="0" w:color="auto"/>
            <w:left w:val="none" w:sz="0" w:space="0" w:color="auto"/>
            <w:bottom w:val="dotted" w:sz="6" w:space="4" w:color="DDDDDD"/>
            <w:right w:val="none" w:sz="0" w:space="0" w:color="auto"/>
          </w:divBdr>
        </w:div>
      </w:divsChild>
    </w:div>
    <w:div w:id="960501410">
      <w:bodyDiv w:val="1"/>
      <w:marLeft w:val="0"/>
      <w:marRight w:val="0"/>
      <w:marTop w:val="0"/>
      <w:marBottom w:val="0"/>
      <w:divBdr>
        <w:top w:val="none" w:sz="0" w:space="0" w:color="auto"/>
        <w:left w:val="none" w:sz="0" w:space="0" w:color="auto"/>
        <w:bottom w:val="none" w:sz="0" w:space="0" w:color="auto"/>
        <w:right w:val="none" w:sz="0" w:space="0" w:color="auto"/>
      </w:divBdr>
      <w:divsChild>
        <w:div w:id="1104108672">
          <w:marLeft w:val="0"/>
          <w:marRight w:val="0"/>
          <w:marTop w:val="0"/>
          <w:marBottom w:val="0"/>
          <w:divBdr>
            <w:top w:val="none" w:sz="0" w:space="0" w:color="auto"/>
            <w:left w:val="none" w:sz="0" w:space="0" w:color="auto"/>
            <w:bottom w:val="none" w:sz="0" w:space="0" w:color="auto"/>
            <w:right w:val="none" w:sz="0" w:space="0" w:color="auto"/>
          </w:divBdr>
          <w:divsChild>
            <w:div w:id="1771117665">
              <w:marLeft w:val="0"/>
              <w:marRight w:val="0"/>
              <w:marTop w:val="0"/>
              <w:marBottom w:val="0"/>
              <w:divBdr>
                <w:top w:val="none" w:sz="0" w:space="0" w:color="auto"/>
                <w:left w:val="none" w:sz="0" w:space="0" w:color="auto"/>
                <w:bottom w:val="none" w:sz="0" w:space="0" w:color="auto"/>
                <w:right w:val="none" w:sz="0" w:space="0" w:color="auto"/>
              </w:divBdr>
              <w:divsChild>
                <w:div w:id="1723629356">
                  <w:marLeft w:val="0"/>
                  <w:marRight w:val="0"/>
                  <w:marTop w:val="0"/>
                  <w:marBottom w:val="0"/>
                  <w:divBdr>
                    <w:top w:val="none" w:sz="0" w:space="0" w:color="auto"/>
                    <w:left w:val="none" w:sz="0" w:space="0" w:color="auto"/>
                    <w:bottom w:val="none" w:sz="0" w:space="0" w:color="auto"/>
                    <w:right w:val="none" w:sz="0" w:space="0" w:color="auto"/>
                  </w:divBdr>
                  <w:divsChild>
                    <w:div w:id="363292892">
                      <w:marLeft w:val="0"/>
                      <w:marRight w:val="0"/>
                      <w:marTop w:val="0"/>
                      <w:marBottom w:val="0"/>
                      <w:divBdr>
                        <w:top w:val="none" w:sz="0" w:space="0" w:color="auto"/>
                        <w:left w:val="none" w:sz="0" w:space="0" w:color="auto"/>
                        <w:bottom w:val="none" w:sz="0" w:space="0" w:color="auto"/>
                        <w:right w:val="none" w:sz="0" w:space="0" w:color="auto"/>
                      </w:divBdr>
                      <w:divsChild>
                        <w:div w:id="2143838889">
                          <w:marLeft w:val="0"/>
                          <w:marRight w:val="0"/>
                          <w:marTop w:val="0"/>
                          <w:marBottom w:val="0"/>
                          <w:divBdr>
                            <w:top w:val="none" w:sz="0" w:space="0" w:color="auto"/>
                            <w:left w:val="none" w:sz="0" w:space="0" w:color="auto"/>
                            <w:bottom w:val="none" w:sz="0" w:space="0" w:color="auto"/>
                            <w:right w:val="none" w:sz="0" w:space="0" w:color="auto"/>
                          </w:divBdr>
                          <w:divsChild>
                            <w:div w:id="1294748957">
                              <w:marLeft w:val="0"/>
                              <w:marRight w:val="0"/>
                              <w:marTop w:val="0"/>
                              <w:marBottom w:val="0"/>
                              <w:divBdr>
                                <w:top w:val="none" w:sz="0" w:space="0" w:color="auto"/>
                                <w:left w:val="none" w:sz="0" w:space="0" w:color="auto"/>
                                <w:bottom w:val="none" w:sz="0" w:space="0" w:color="auto"/>
                                <w:right w:val="none" w:sz="0" w:space="0" w:color="auto"/>
                              </w:divBdr>
                              <w:divsChild>
                                <w:div w:id="107204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0646980">
      <w:bodyDiv w:val="1"/>
      <w:marLeft w:val="0"/>
      <w:marRight w:val="0"/>
      <w:marTop w:val="0"/>
      <w:marBottom w:val="0"/>
      <w:divBdr>
        <w:top w:val="none" w:sz="0" w:space="0" w:color="auto"/>
        <w:left w:val="none" w:sz="0" w:space="0" w:color="auto"/>
        <w:bottom w:val="none" w:sz="0" w:space="0" w:color="auto"/>
        <w:right w:val="none" w:sz="0" w:space="0" w:color="auto"/>
      </w:divBdr>
      <w:divsChild>
        <w:div w:id="1262029996">
          <w:marLeft w:val="0"/>
          <w:marRight w:val="0"/>
          <w:marTop w:val="0"/>
          <w:marBottom w:val="0"/>
          <w:divBdr>
            <w:top w:val="none" w:sz="0" w:space="0" w:color="auto"/>
            <w:left w:val="none" w:sz="0" w:space="0" w:color="auto"/>
            <w:bottom w:val="none" w:sz="0" w:space="0" w:color="auto"/>
            <w:right w:val="none" w:sz="0" w:space="0" w:color="auto"/>
          </w:divBdr>
          <w:divsChild>
            <w:div w:id="537401878">
              <w:marLeft w:val="0"/>
              <w:marRight w:val="0"/>
              <w:marTop w:val="0"/>
              <w:marBottom w:val="0"/>
              <w:divBdr>
                <w:top w:val="none" w:sz="0" w:space="0" w:color="auto"/>
                <w:left w:val="none" w:sz="0" w:space="0" w:color="auto"/>
                <w:bottom w:val="none" w:sz="0" w:space="0" w:color="auto"/>
                <w:right w:val="none" w:sz="0" w:space="0" w:color="auto"/>
              </w:divBdr>
              <w:divsChild>
                <w:div w:id="776288054">
                  <w:marLeft w:val="0"/>
                  <w:marRight w:val="0"/>
                  <w:marTop w:val="0"/>
                  <w:marBottom w:val="0"/>
                  <w:divBdr>
                    <w:top w:val="none" w:sz="0" w:space="0" w:color="auto"/>
                    <w:left w:val="none" w:sz="0" w:space="0" w:color="auto"/>
                    <w:bottom w:val="none" w:sz="0" w:space="0" w:color="auto"/>
                    <w:right w:val="none" w:sz="0" w:space="0" w:color="auto"/>
                  </w:divBdr>
                  <w:divsChild>
                    <w:div w:id="2125725994">
                      <w:marLeft w:val="0"/>
                      <w:marRight w:val="0"/>
                      <w:marTop w:val="0"/>
                      <w:marBottom w:val="0"/>
                      <w:divBdr>
                        <w:top w:val="none" w:sz="0" w:space="0" w:color="auto"/>
                        <w:left w:val="none" w:sz="0" w:space="0" w:color="auto"/>
                        <w:bottom w:val="none" w:sz="0" w:space="0" w:color="auto"/>
                        <w:right w:val="none" w:sz="0" w:space="0" w:color="auto"/>
                      </w:divBdr>
                      <w:divsChild>
                        <w:div w:id="2073889102">
                          <w:marLeft w:val="0"/>
                          <w:marRight w:val="0"/>
                          <w:marTop w:val="0"/>
                          <w:marBottom w:val="0"/>
                          <w:divBdr>
                            <w:top w:val="none" w:sz="0" w:space="0" w:color="auto"/>
                            <w:left w:val="none" w:sz="0" w:space="0" w:color="auto"/>
                            <w:bottom w:val="none" w:sz="0" w:space="0" w:color="auto"/>
                            <w:right w:val="none" w:sz="0" w:space="0" w:color="auto"/>
                          </w:divBdr>
                          <w:divsChild>
                            <w:div w:id="1731221737">
                              <w:marLeft w:val="0"/>
                              <w:marRight w:val="0"/>
                              <w:marTop w:val="0"/>
                              <w:marBottom w:val="0"/>
                              <w:divBdr>
                                <w:top w:val="none" w:sz="0" w:space="0" w:color="auto"/>
                                <w:left w:val="none" w:sz="0" w:space="0" w:color="auto"/>
                                <w:bottom w:val="none" w:sz="0" w:space="0" w:color="auto"/>
                                <w:right w:val="none" w:sz="0" w:space="0" w:color="auto"/>
                              </w:divBdr>
                              <w:divsChild>
                                <w:div w:id="1662656810">
                                  <w:marLeft w:val="0"/>
                                  <w:marRight w:val="0"/>
                                  <w:marTop w:val="0"/>
                                  <w:marBottom w:val="0"/>
                                  <w:divBdr>
                                    <w:top w:val="none" w:sz="0" w:space="0" w:color="auto"/>
                                    <w:left w:val="none" w:sz="0" w:space="0" w:color="auto"/>
                                    <w:bottom w:val="none" w:sz="0" w:space="0" w:color="auto"/>
                                    <w:right w:val="none" w:sz="0" w:space="0" w:color="auto"/>
                                  </w:divBdr>
                                  <w:divsChild>
                                    <w:div w:id="158479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7661">
      <w:bodyDiv w:val="1"/>
      <w:marLeft w:val="0"/>
      <w:marRight w:val="0"/>
      <w:marTop w:val="0"/>
      <w:marBottom w:val="0"/>
      <w:divBdr>
        <w:top w:val="none" w:sz="0" w:space="0" w:color="auto"/>
        <w:left w:val="none" w:sz="0" w:space="0" w:color="auto"/>
        <w:bottom w:val="none" w:sz="0" w:space="0" w:color="auto"/>
        <w:right w:val="none" w:sz="0" w:space="0" w:color="auto"/>
      </w:divBdr>
    </w:div>
    <w:div w:id="961158616">
      <w:bodyDiv w:val="1"/>
      <w:marLeft w:val="0"/>
      <w:marRight w:val="0"/>
      <w:marTop w:val="0"/>
      <w:marBottom w:val="0"/>
      <w:divBdr>
        <w:top w:val="none" w:sz="0" w:space="0" w:color="auto"/>
        <w:left w:val="none" w:sz="0" w:space="0" w:color="auto"/>
        <w:bottom w:val="none" w:sz="0" w:space="0" w:color="auto"/>
        <w:right w:val="none" w:sz="0" w:space="0" w:color="auto"/>
      </w:divBdr>
    </w:div>
    <w:div w:id="961225708">
      <w:bodyDiv w:val="1"/>
      <w:marLeft w:val="0"/>
      <w:marRight w:val="0"/>
      <w:marTop w:val="0"/>
      <w:marBottom w:val="0"/>
      <w:divBdr>
        <w:top w:val="none" w:sz="0" w:space="0" w:color="auto"/>
        <w:left w:val="none" w:sz="0" w:space="0" w:color="auto"/>
        <w:bottom w:val="none" w:sz="0" w:space="0" w:color="auto"/>
        <w:right w:val="none" w:sz="0" w:space="0" w:color="auto"/>
      </w:divBdr>
      <w:divsChild>
        <w:div w:id="109401288">
          <w:marLeft w:val="0"/>
          <w:marRight w:val="0"/>
          <w:marTop w:val="0"/>
          <w:marBottom w:val="0"/>
          <w:divBdr>
            <w:top w:val="none" w:sz="0" w:space="0" w:color="auto"/>
            <w:left w:val="none" w:sz="0" w:space="0" w:color="auto"/>
            <w:bottom w:val="none" w:sz="0" w:space="0" w:color="auto"/>
            <w:right w:val="none" w:sz="0" w:space="0" w:color="auto"/>
          </w:divBdr>
          <w:divsChild>
            <w:div w:id="1711030210">
              <w:marLeft w:val="0"/>
              <w:marRight w:val="0"/>
              <w:marTop w:val="0"/>
              <w:marBottom w:val="0"/>
              <w:divBdr>
                <w:top w:val="none" w:sz="0" w:space="0" w:color="auto"/>
                <w:left w:val="none" w:sz="0" w:space="0" w:color="auto"/>
                <w:bottom w:val="none" w:sz="0" w:space="0" w:color="auto"/>
                <w:right w:val="none" w:sz="0" w:space="0" w:color="auto"/>
              </w:divBdr>
            </w:div>
          </w:divsChild>
        </w:div>
        <w:div w:id="664473552">
          <w:marLeft w:val="0"/>
          <w:marRight w:val="0"/>
          <w:marTop w:val="240"/>
          <w:marBottom w:val="0"/>
          <w:divBdr>
            <w:top w:val="none" w:sz="0" w:space="0" w:color="auto"/>
            <w:left w:val="none" w:sz="0" w:space="0" w:color="auto"/>
            <w:bottom w:val="none" w:sz="0" w:space="0" w:color="auto"/>
            <w:right w:val="none" w:sz="0" w:space="0" w:color="auto"/>
          </w:divBdr>
        </w:div>
      </w:divsChild>
    </w:div>
    <w:div w:id="961570473">
      <w:bodyDiv w:val="1"/>
      <w:marLeft w:val="0"/>
      <w:marRight w:val="0"/>
      <w:marTop w:val="0"/>
      <w:marBottom w:val="0"/>
      <w:divBdr>
        <w:top w:val="none" w:sz="0" w:space="0" w:color="auto"/>
        <w:left w:val="none" w:sz="0" w:space="0" w:color="auto"/>
        <w:bottom w:val="none" w:sz="0" w:space="0" w:color="auto"/>
        <w:right w:val="none" w:sz="0" w:space="0" w:color="auto"/>
      </w:divBdr>
      <w:divsChild>
        <w:div w:id="1599866605">
          <w:marLeft w:val="0"/>
          <w:marRight w:val="0"/>
          <w:marTop w:val="0"/>
          <w:marBottom w:val="0"/>
          <w:divBdr>
            <w:top w:val="none" w:sz="0" w:space="0" w:color="auto"/>
            <w:left w:val="none" w:sz="0" w:space="0" w:color="auto"/>
            <w:bottom w:val="none" w:sz="0" w:space="0" w:color="auto"/>
            <w:right w:val="none" w:sz="0" w:space="0" w:color="auto"/>
          </w:divBdr>
          <w:divsChild>
            <w:div w:id="1273972203">
              <w:marLeft w:val="0"/>
              <w:marRight w:val="0"/>
              <w:marTop w:val="0"/>
              <w:marBottom w:val="0"/>
              <w:divBdr>
                <w:top w:val="none" w:sz="0" w:space="0" w:color="auto"/>
                <w:left w:val="none" w:sz="0" w:space="0" w:color="auto"/>
                <w:bottom w:val="none" w:sz="0" w:space="0" w:color="auto"/>
                <w:right w:val="none" w:sz="0" w:space="0" w:color="auto"/>
              </w:divBdr>
              <w:divsChild>
                <w:div w:id="1449394792">
                  <w:marLeft w:val="0"/>
                  <w:marRight w:val="0"/>
                  <w:marTop w:val="0"/>
                  <w:marBottom w:val="0"/>
                  <w:divBdr>
                    <w:top w:val="none" w:sz="0" w:space="0" w:color="auto"/>
                    <w:left w:val="none" w:sz="0" w:space="0" w:color="auto"/>
                    <w:bottom w:val="none" w:sz="0" w:space="0" w:color="auto"/>
                    <w:right w:val="none" w:sz="0" w:space="0" w:color="auto"/>
                  </w:divBdr>
                  <w:divsChild>
                    <w:div w:id="1289896770">
                      <w:marLeft w:val="0"/>
                      <w:marRight w:val="0"/>
                      <w:marTop w:val="0"/>
                      <w:marBottom w:val="0"/>
                      <w:divBdr>
                        <w:top w:val="none" w:sz="0" w:space="0" w:color="auto"/>
                        <w:left w:val="none" w:sz="0" w:space="0" w:color="auto"/>
                        <w:bottom w:val="none" w:sz="0" w:space="0" w:color="auto"/>
                        <w:right w:val="none" w:sz="0" w:space="0" w:color="auto"/>
                      </w:divBdr>
                      <w:divsChild>
                        <w:div w:id="828056871">
                          <w:marLeft w:val="0"/>
                          <w:marRight w:val="0"/>
                          <w:marTop w:val="0"/>
                          <w:marBottom w:val="0"/>
                          <w:divBdr>
                            <w:top w:val="none" w:sz="0" w:space="0" w:color="auto"/>
                            <w:left w:val="none" w:sz="0" w:space="0" w:color="auto"/>
                            <w:bottom w:val="none" w:sz="0" w:space="0" w:color="auto"/>
                            <w:right w:val="none" w:sz="0" w:space="0" w:color="auto"/>
                          </w:divBdr>
                          <w:divsChild>
                            <w:div w:id="120135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615300">
      <w:bodyDiv w:val="1"/>
      <w:marLeft w:val="0"/>
      <w:marRight w:val="0"/>
      <w:marTop w:val="0"/>
      <w:marBottom w:val="0"/>
      <w:divBdr>
        <w:top w:val="none" w:sz="0" w:space="0" w:color="auto"/>
        <w:left w:val="none" w:sz="0" w:space="0" w:color="auto"/>
        <w:bottom w:val="none" w:sz="0" w:space="0" w:color="auto"/>
        <w:right w:val="none" w:sz="0" w:space="0" w:color="auto"/>
      </w:divBdr>
      <w:divsChild>
        <w:div w:id="2020303754">
          <w:marLeft w:val="0"/>
          <w:marRight w:val="0"/>
          <w:marTop w:val="0"/>
          <w:marBottom w:val="450"/>
          <w:divBdr>
            <w:top w:val="none" w:sz="0" w:space="0" w:color="auto"/>
            <w:left w:val="none" w:sz="0" w:space="0" w:color="auto"/>
            <w:bottom w:val="single" w:sz="6" w:space="19" w:color="EEEEEE"/>
            <w:right w:val="none" w:sz="0" w:space="0" w:color="auto"/>
          </w:divBdr>
          <w:divsChild>
            <w:div w:id="1945729905">
              <w:marLeft w:val="0"/>
              <w:marRight w:val="0"/>
              <w:marTop w:val="0"/>
              <w:marBottom w:val="150"/>
              <w:divBdr>
                <w:top w:val="none" w:sz="0" w:space="0" w:color="auto"/>
                <w:left w:val="none" w:sz="0" w:space="0" w:color="auto"/>
                <w:bottom w:val="none" w:sz="0" w:space="0" w:color="auto"/>
                <w:right w:val="none" w:sz="0" w:space="0" w:color="auto"/>
              </w:divBdr>
              <w:divsChild>
                <w:div w:id="336811764">
                  <w:marLeft w:val="0"/>
                  <w:marRight w:val="0"/>
                  <w:marTop w:val="0"/>
                  <w:marBottom w:val="0"/>
                  <w:divBdr>
                    <w:top w:val="none" w:sz="0" w:space="0" w:color="auto"/>
                    <w:left w:val="none" w:sz="0" w:space="0" w:color="auto"/>
                    <w:bottom w:val="none" w:sz="0" w:space="0" w:color="auto"/>
                    <w:right w:val="none" w:sz="0" w:space="0" w:color="auto"/>
                  </w:divBdr>
                </w:div>
              </w:divsChild>
            </w:div>
            <w:div w:id="1206943556">
              <w:marLeft w:val="0"/>
              <w:marRight w:val="0"/>
              <w:marTop w:val="0"/>
              <w:marBottom w:val="0"/>
              <w:divBdr>
                <w:top w:val="none" w:sz="0" w:space="0" w:color="auto"/>
                <w:left w:val="none" w:sz="0" w:space="0" w:color="auto"/>
                <w:bottom w:val="none" w:sz="0" w:space="0" w:color="auto"/>
                <w:right w:val="none" w:sz="0" w:space="0" w:color="auto"/>
              </w:divBdr>
            </w:div>
          </w:divsChild>
        </w:div>
        <w:div w:id="304041948">
          <w:marLeft w:val="0"/>
          <w:marRight w:val="0"/>
          <w:marTop w:val="0"/>
          <w:marBottom w:val="0"/>
          <w:divBdr>
            <w:top w:val="none" w:sz="0" w:space="0" w:color="auto"/>
            <w:left w:val="none" w:sz="0" w:space="0" w:color="auto"/>
            <w:bottom w:val="none" w:sz="0" w:space="0" w:color="auto"/>
            <w:right w:val="none" w:sz="0" w:space="0" w:color="auto"/>
          </w:divBdr>
          <w:divsChild>
            <w:div w:id="1494181579">
              <w:marLeft w:val="0"/>
              <w:marRight w:val="0"/>
              <w:marTop w:val="0"/>
              <w:marBottom w:val="0"/>
              <w:divBdr>
                <w:top w:val="none" w:sz="0" w:space="0" w:color="auto"/>
                <w:left w:val="none" w:sz="0" w:space="0" w:color="auto"/>
                <w:bottom w:val="none" w:sz="0" w:space="0" w:color="auto"/>
                <w:right w:val="none" w:sz="0" w:space="0" w:color="auto"/>
              </w:divBdr>
              <w:divsChild>
                <w:div w:id="1234193486">
                  <w:marLeft w:val="0"/>
                  <w:marRight w:val="0"/>
                  <w:marTop w:val="0"/>
                  <w:marBottom w:val="0"/>
                  <w:divBdr>
                    <w:top w:val="none" w:sz="0" w:space="0" w:color="auto"/>
                    <w:left w:val="none" w:sz="0" w:space="0" w:color="auto"/>
                    <w:bottom w:val="none" w:sz="0" w:space="0" w:color="auto"/>
                    <w:right w:val="none" w:sz="0" w:space="0" w:color="auto"/>
                  </w:divBdr>
                </w:div>
                <w:div w:id="151749761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961955011">
      <w:bodyDiv w:val="1"/>
      <w:marLeft w:val="0"/>
      <w:marRight w:val="0"/>
      <w:marTop w:val="0"/>
      <w:marBottom w:val="0"/>
      <w:divBdr>
        <w:top w:val="none" w:sz="0" w:space="0" w:color="auto"/>
        <w:left w:val="none" w:sz="0" w:space="0" w:color="auto"/>
        <w:bottom w:val="none" w:sz="0" w:space="0" w:color="auto"/>
        <w:right w:val="none" w:sz="0" w:space="0" w:color="auto"/>
      </w:divBdr>
      <w:divsChild>
        <w:div w:id="1556768837">
          <w:marLeft w:val="0"/>
          <w:marRight w:val="0"/>
          <w:marTop w:val="0"/>
          <w:marBottom w:val="150"/>
          <w:divBdr>
            <w:top w:val="none" w:sz="0" w:space="0" w:color="auto"/>
            <w:left w:val="none" w:sz="0" w:space="0" w:color="auto"/>
            <w:bottom w:val="none" w:sz="0" w:space="0" w:color="auto"/>
            <w:right w:val="none" w:sz="0" w:space="0" w:color="auto"/>
          </w:divBdr>
        </w:div>
      </w:divsChild>
    </w:div>
    <w:div w:id="962425327">
      <w:bodyDiv w:val="1"/>
      <w:marLeft w:val="0"/>
      <w:marRight w:val="0"/>
      <w:marTop w:val="0"/>
      <w:marBottom w:val="0"/>
      <w:divBdr>
        <w:top w:val="none" w:sz="0" w:space="0" w:color="auto"/>
        <w:left w:val="none" w:sz="0" w:space="0" w:color="auto"/>
        <w:bottom w:val="none" w:sz="0" w:space="0" w:color="auto"/>
        <w:right w:val="none" w:sz="0" w:space="0" w:color="auto"/>
      </w:divBdr>
      <w:divsChild>
        <w:div w:id="1086223266">
          <w:marLeft w:val="0"/>
          <w:marRight w:val="0"/>
          <w:marTop w:val="0"/>
          <w:marBottom w:val="150"/>
          <w:divBdr>
            <w:top w:val="none" w:sz="0" w:space="0" w:color="auto"/>
            <w:left w:val="none" w:sz="0" w:space="0" w:color="auto"/>
            <w:bottom w:val="none" w:sz="0" w:space="0" w:color="auto"/>
            <w:right w:val="none" w:sz="0" w:space="0" w:color="auto"/>
          </w:divBdr>
        </w:div>
      </w:divsChild>
    </w:div>
    <w:div w:id="963075471">
      <w:bodyDiv w:val="1"/>
      <w:marLeft w:val="0"/>
      <w:marRight w:val="0"/>
      <w:marTop w:val="0"/>
      <w:marBottom w:val="0"/>
      <w:divBdr>
        <w:top w:val="none" w:sz="0" w:space="0" w:color="auto"/>
        <w:left w:val="none" w:sz="0" w:space="0" w:color="auto"/>
        <w:bottom w:val="none" w:sz="0" w:space="0" w:color="auto"/>
        <w:right w:val="none" w:sz="0" w:space="0" w:color="auto"/>
      </w:divBdr>
    </w:div>
    <w:div w:id="963464252">
      <w:bodyDiv w:val="1"/>
      <w:marLeft w:val="0"/>
      <w:marRight w:val="0"/>
      <w:marTop w:val="0"/>
      <w:marBottom w:val="0"/>
      <w:divBdr>
        <w:top w:val="none" w:sz="0" w:space="0" w:color="auto"/>
        <w:left w:val="none" w:sz="0" w:space="0" w:color="auto"/>
        <w:bottom w:val="none" w:sz="0" w:space="0" w:color="auto"/>
        <w:right w:val="none" w:sz="0" w:space="0" w:color="auto"/>
      </w:divBdr>
      <w:divsChild>
        <w:div w:id="19204802">
          <w:marLeft w:val="0"/>
          <w:marRight w:val="0"/>
          <w:marTop w:val="0"/>
          <w:marBottom w:val="0"/>
          <w:divBdr>
            <w:top w:val="none" w:sz="0" w:space="0" w:color="auto"/>
            <w:left w:val="none" w:sz="0" w:space="0" w:color="auto"/>
            <w:bottom w:val="none" w:sz="0" w:space="0" w:color="auto"/>
            <w:right w:val="none" w:sz="0" w:space="0" w:color="auto"/>
          </w:divBdr>
          <w:divsChild>
            <w:div w:id="19019493">
              <w:marLeft w:val="0"/>
              <w:marRight w:val="0"/>
              <w:marTop w:val="0"/>
              <w:marBottom w:val="0"/>
              <w:divBdr>
                <w:top w:val="none" w:sz="0" w:space="0" w:color="auto"/>
                <w:left w:val="none" w:sz="0" w:space="0" w:color="auto"/>
                <w:bottom w:val="none" w:sz="0" w:space="0" w:color="auto"/>
                <w:right w:val="none" w:sz="0" w:space="0" w:color="auto"/>
              </w:divBdr>
              <w:divsChild>
                <w:div w:id="1473328005">
                  <w:marLeft w:val="0"/>
                  <w:marRight w:val="0"/>
                  <w:marTop w:val="0"/>
                  <w:marBottom w:val="0"/>
                  <w:divBdr>
                    <w:top w:val="none" w:sz="0" w:space="0" w:color="auto"/>
                    <w:left w:val="none" w:sz="0" w:space="0" w:color="auto"/>
                    <w:bottom w:val="none" w:sz="0" w:space="0" w:color="auto"/>
                    <w:right w:val="none" w:sz="0" w:space="0" w:color="auto"/>
                  </w:divBdr>
                  <w:divsChild>
                    <w:div w:id="1231383025">
                      <w:marLeft w:val="0"/>
                      <w:marRight w:val="0"/>
                      <w:marTop w:val="0"/>
                      <w:marBottom w:val="0"/>
                      <w:divBdr>
                        <w:top w:val="none" w:sz="0" w:space="0" w:color="auto"/>
                        <w:left w:val="none" w:sz="0" w:space="0" w:color="auto"/>
                        <w:bottom w:val="none" w:sz="0" w:space="0" w:color="auto"/>
                        <w:right w:val="none" w:sz="0" w:space="0" w:color="auto"/>
                      </w:divBdr>
                      <w:divsChild>
                        <w:div w:id="970787295">
                          <w:marLeft w:val="0"/>
                          <w:marRight w:val="0"/>
                          <w:marTop w:val="0"/>
                          <w:marBottom w:val="0"/>
                          <w:divBdr>
                            <w:top w:val="none" w:sz="0" w:space="0" w:color="auto"/>
                            <w:left w:val="none" w:sz="0" w:space="0" w:color="auto"/>
                            <w:bottom w:val="none" w:sz="0" w:space="0" w:color="auto"/>
                            <w:right w:val="none" w:sz="0" w:space="0" w:color="auto"/>
                          </w:divBdr>
                          <w:divsChild>
                            <w:div w:id="1813791667">
                              <w:marLeft w:val="0"/>
                              <w:marRight w:val="0"/>
                              <w:marTop w:val="0"/>
                              <w:marBottom w:val="0"/>
                              <w:divBdr>
                                <w:top w:val="none" w:sz="0" w:space="0" w:color="auto"/>
                                <w:left w:val="none" w:sz="0" w:space="0" w:color="auto"/>
                                <w:bottom w:val="none" w:sz="0" w:space="0" w:color="auto"/>
                                <w:right w:val="none" w:sz="0" w:space="0" w:color="auto"/>
                              </w:divBdr>
                              <w:divsChild>
                                <w:div w:id="1612780705">
                                  <w:marLeft w:val="0"/>
                                  <w:marRight w:val="0"/>
                                  <w:marTop w:val="0"/>
                                  <w:marBottom w:val="0"/>
                                  <w:divBdr>
                                    <w:top w:val="none" w:sz="0" w:space="0" w:color="auto"/>
                                    <w:left w:val="none" w:sz="0" w:space="0" w:color="auto"/>
                                    <w:bottom w:val="none" w:sz="0" w:space="0" w:color="auto"/>
                                    <w:right w:val="none" w:sz="0" w:space="0" w:color="auto"/>
                                  </w:divBdr>
                                  <w:divsChild>
                                    <w:div w:id="67195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996120">
      <w:bodyDiv w:val="1"/>
      <w:marLeft w:val="0"/>
      <w:marRight w:val="0"/>
      <w:marTop w:val="0"/>
      <w:marBottom w:val="0"/>
      <w:divBdr>
        <w:top w:val="none" w:sz="0" w:space="0" w:color="auto"/>
        <w:left w:val="none" w:sz="0" w:space="0" w:color="auto"/>
        <w:bottom w:val="none" w:sz="0" w:space="0" w:color="auto"/>
        <w:right w:val="none" w:sz="0" w:space="0" w:color="auto"/>
      </w:divBdr>
      <w:divsChild>
        <w:div w:id="349991715">
          <w:marLeft w:val="0"/>
          <w:marRight w:val="0"/>
          <w:marTop w:val="0"/>
          <w:marBottom w:val="0"/>
          <w:divBdr>
            <w:top w:val="none" w:sz="0" w:space="0" w:color="auto"/>
            <w:left w:val="none" w:sz="0" w:space="0" w:color="auto"/>
            <w:bottom w:val="dotted" w:sz="6" w:space="4" w:color="DDDDDD"/>
            <w:right w:val="none" w:sz="0" w:space="0" w:color="auto"/>
          </w:divBdr>
        </w:div>
      </w:divsChild>
    </w:div>
    <w:div w:id="964387191">
      <w:bodyDiv w:val="1"/>
      <w:marLeft w:val="0"/>
      <w:marRight w:val="0"/>
      <w:marTop w:val="0"/>
      <w:marBottom w:val="0"/>
      <w:divBdr>
        <w:top w:val="none" w:sz="0" w:space="0" w:color="auto"/>
        <w:left w:val="none" w:sz="0" w:space="0" w:color="auto"/>
        <w:bottom w:val="none" w:sz="0" w:space="0" w:color="auto"/>
        <w:right w:val="none" w:sz="0" w:space="0" w:color="auto"/>
      </w:divBdr>
      <w:divsChild>
        <w:div w:id="1025639713">
          <w:marLeft w:val="0"/>
          <w:marRight w:val="0"/>
          <w:marTop w:val="300"/>
          <w:marBottom w:val="0"/>
          <w:divBdr>
            <w:top w:val="none" w:sz="0" w:space="0" w:color="auto"/>
            <w:left w:val="none" w:sz="0" w:space="0" w:color="auto"/>
            <w:bottom w:val="none" w:sz="0" w:space="0" w:color="auto"/>
            <w:right w:val="none" w:sz="0" w:space="0" w:color="auto"/>
          </w:divBdr>
          <w:divsChild>
            <w:div w:id="339892068">
              <w:marLeft w:val="0"/>
              <w:marRight w:val="0"/>
              <w:marTop w:val="135"/>
              <w:marBottom w:val="0"/>
              <w:divBdr>
                <w:top w:val="none" w:sz="0" w:space="0" w:color="auto"/>
                <w:left w:val="none" w:sz="0" w:space="0" w:color="auto"/>
                <w:bottom w:val="none" w:sz="0" w:space="0" w:color="auto"/>
                <w:right w:val="none" w:sz="0" w:space="0" w:color="auto"/>
              </w:divBdr>
              <w:divsChild>
                <w:div w:id="1491409025">
                  <w:marLeft w:val="0"/>
                  <w:marRight w:val="0"/>
                  <w:marTop w:val="45"/>
                  <w:marBottom w:val="0"/>
                  <w:divBdr>
                    <w:top w:val="none" w:sz="0" w:space="0" w:color="auto"/>
                    <w:left w:val="none" w:sz="0" w:space="0" w:color="auto"/>
                    <w:bottom w:val="none" w:sz="0" w:space="0" w:color="auto"/>
                    <w:right w:val="none" w:sz="0" w:space="0" w:color="auto"/>
                  </w:divBdr>
                </w:div>
              </w:divsChild>
            </w:div>
            <w:div w:id="435371567">
              <w:marLeft w:val="0"/>
              <w:marRight w:val="0"/>
              <w:marTop w:val="300"/>
              <w:marBottom w:val="0"/>
              <w:divBdr>
                <w:top w:val="none" w:sz="0" w:space="0" w:color="auto"/>
                <w:left w:val="none" w:sz="0" w:space="0" w:color="auto"/>
                <w:bottom w:val="none" w:sz="0" w:space="0" w:color="auto"/>
                <w:right w:val="none" w:sz="0" w:space="0" w:color="auto"/>
              </w:divBdr>
              <w:divsChild>
                <w:div w:id="1207983585">
                  <w:marLeft w:val="0"/>
                  <w:marRight w:val="0"/>
                  <w:marTop w:val="0"/>
                  <w:marBottom w:val="0"/>
                  <w:divBdr>
                    <w:top w:val="none" w:sz="0" w:space="0" w:color="auto"/>
                    <w:left w:val="none" w:sz="0" w:space="0" w:color="auto"/>
                    <w:bottom w:val="none" w:sz="0" w:space="0" w:color="auto"/>
                    <w:right w:val="none" w:sz="0" w:space="0" w:color="auto"/>
                  </w:divBdr>
                  <w:divsChild>
                    <w:div w:id="94503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359544">
          <w:marLeft w:val="0"/>
          <w:marRight w:val="0"/>
          <w:marTop w:val="0"/>
          <w:marBottom w:val="0"/>
          <w:divBdr>
            <w:top w:val="single" w:sz="6" w:space="7" w:color="CFE3EA"/>
            <w:left w:val="single" w:sz="6" w:space="11" w:color="CFE3EA"/>
            <w:bottom w:val="single" w:sz="6" w:space="7" w:color="CFE3EA"/>
            <w:right w:val="single" w:sz="6" w:space="11" w:color="CFE3EA"/>
          </w:divBdr>
        </w:div>
      </w:divsChild>
    </w:div>
    <w:div w:id="964703762">
      <w:bodyDiv w:val="1"/>
      <w:marLeft w:val="0"/>
      <w:marRight w:val="0"/>
      <w:marTop w:val="0"/>
      <w:marBottom w:val="0"/>
      <w:divBdr>
        <w:top w:val="none" w:sz="0" w:space="0" w:color="auto"/>
        <w:left w:val="none" w:sz="0" w:space="0" w:color="auto"/>
        <w:bottom w:val="none" w:sz="0" w:space="0" w:color="auto"/>
        <w:right w:val="none" w:sz="0" w:space="0" w:color="auto"/>
      </w:divBdr>
    </w:div>
    <w:div w:id="964972409">
      <w:bodyDiv w:val="1"/>
      <w:marLeft w:val="0"/>
      <w:marRight w:val="0"/>
      <w:marTop w:val="0"/>
      <w:marBottom w:val="0"/>
      <w:divBdr>
        <w:top w:val="none" w:sz="0" w:space="0" w:color="auto"/>
        <w:left w:val="none" w:sz="0" w:space="0" w:color="auto"/>
        <w:bottom w:val="none" w:sz="0" w:space="0" w:color="auto"/>
        <w:right w:val="none" w:sz="0" w:space="0" w:color="auto"/>
      </w:divBdr>
      <w:divsChild>
        <w:div w:id="1362632274">
          <w:marLeft w:val="0"/>
          <w:marRight w:val="0"/>
          <w:marTop w:val="0"/>
          <w:marBottom w:val="0"/>
          <w:divBdr>
            <w:top w:val="none" w:sz="0" w:space="0" w:color="auto"/>
            <w:left w:val="none" w:sz="0" w:space="0" w:color="auto"/>
            <w:bottom w:val="none" w:sz="0" w:space="0" w:color="auto"/>
            <w:right w:val="none" w:sz="0" w:space="0" w:color="auto"/>
          </w:divBdr>
          <w:divsChild>
            <w:div w:id="1125974840">
              <w:marLeft w:val="0"/>
              <w:marRight w:val="0"/>
              <w:marTop w:val="0"/>
              <w:marBottom w:val="0"/>
              <w:divBdr>
                <w:top w:val="none" w:sz="0" w:space="0" w:color="auto"/>
                <w:left w:val="none" w:sz="0" w:space="0" w:color="auto"/>
                <w:bottom w:val="none" w:sz="0" w:space="0" w:color="auto"/>
                <w:right w:val="none" w:sz="0" w:space="0" w:color="auto"/>
              </w:divBdr>
            </w:div>
          </w:divsChild>
        </w:div>
        <w:div w:id="1531986637">
          <w:marLeft w:val="0"/>
          <w:marRight w:val="0"/>
          <w:marTop w:val="150"/>
          <w:marBottom w:val="0"/>
          <w:divBdr>
            <w:top w:val="none" w:sz="0" w:space="0" w:color="auto"/>
            <w:left w:val="none" w:sz="0" w:space="0" w:color="auto"/>
            <w:bottom w:val="none" w:sz="0" w:space="0" w:color="auto"/>
            <w:right w:val="none" w:sz="0" w:space="0" w:color="auto"/>
          </w:divBdr>
          <w:divsChild>
            <w:div w:id="349262719">
              <w:marLeft w:val="0"/>
              <w:marRight w:val="0"/>
              <w:marTop w:val="0"/>
              <w:marBottom w:val="0"/>
              <w:divBdr>
                <w:top w:val="none" w:sz="0" w:space="0" w:color="auto"/>
                <w:left w:val="none" w:sz="0" w:space="0" w:color="auto"/>
                <w:bottom w:val="none" w:sz="0" w:space="0" w:color="auto"/>
                <w:right w:val="none" w:sz="0" w:space="0" w:color="auto"/>
              </w:divBdr>
              <w:divsChild>
                <w:div w:id="22051774">
                  <w:marLeft w:val="0"/>
                  <w:marRight w:val="0"/>
                  <w:marTop w:val="0"/>
                  <w:marBottom w:val="0"/>
                  <w:divBdr>
                    <w:top w:val="none" w:sz="0" w:space="0" w:color="auto"/>
                    <w:left w:val="none" w:sz="0" w:space="0" w:color="auto"/>
                    <w:bottom w:val="none" w:sz="0" w:space="0" w:color="auto"/>
                    <w:right w:val="none" w:sz="0" w:space="0" w:color="auto"/>
                  </w:divBdr>
                </w:div>
                <w:div w:id="115182600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045812">
      <w:bodyDiv w:val="1"/>
      <w:marLeft w:val="0"/>
      <w:marRight w:val="0"/>
      <w:marTop w:val="0"/>
      <w:marBottom w:val="0"/>
      <w:divBdr>
        <w:top w:val="none" w:sz="0" w:space="0" w:color="auto"/>
        <w:left w:val="none" w:sz="0" w:space="0" w:color="auto"/>
        <w:bottom w:val="none" w:sz="0" w:space="0" w:color="auto"/>
        <w:right w:val="none" w:sz="0" w:space="0" w:color="auto"/>
      </w:divBdr>
      <w:divsChild>
        <w:div w:id="1817331630">
          <w:marLeft w:val="0"/>
          <w:marRight w:val="0"/>
          <w:marTop w:val="0"/>
          <w:marBottom w:val="0"/>
          <w:divBdr>
            <w:top w:val="none" w:sz="0" w:space="0" w:color="auto"/>
            <w:left w:val="none" w:sz="0" w:space="0" w:color="auto"/>
            <w:bottom w:val="none" w:sz="0" w:space="0" w:color="auto"/>
            <w:right w:val="none" w:sz="0" w:space="0" w:color="auto"/>
          </w:divBdr>
          <w:divsChild>
            <w:div w:id="2112233924">
              <w:marLeft w:val="0"/>
              <w:marRight w:val="0"/>
              <w:marTop w:val="0"/>
              <w:marBottom w:val="240"/>
              <w:divBdr>
                <w:top w:val="none" w:sz="0" w:space="0" w:color="auto"/>
                <w:left w:val="none" w:sz="0" w:space="0" w:color="auto"/>
                <w:bottom w:val="none" w:sz="0" w:space="0" w:color="auto"/>
                <w:right w:val="none" w:sz="0" w:space="0" w:color="auto"/>
              </w:divBdr>
              <w:divsChild>
                <w:div w:id="282218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986935250">
          <w:marLeft w:val="0"/>
          <w:marRight w:val="0"/>
          <w:marTop w:val="315"/>
          <w:marBottom w:val="0"/>
          <w:divBdr>
            <w:top w:val="none" w:sz="0" w:space="0" w:color="auto"/>
            <w:left w:val="none" w:sz="0" w:space="0" w:color="auto"/>
            <w:bottom w:val="none" w:sz="0" w:space="0" w:color="auto"/>
            <w:right w:val="none" w:sz="0" w:space="0" w:color="auto"/>
          </w:divBdr>
        </w:div>
      </w:divsChild>
    </w:div>
    <w:div w:id="965502281">
      <w:bodyDiv w:val="1"/>
      <w:marLeft w:val="0"/>
      <w:marRight w:val="0"/>
      <w:marTop w:val="0"/>
      <w:marBottom w:val="0"/>
      <w:divBdr>
        <w:top w:val="none" w:sz="0" w:space="0" w:color="auto"/>
        <w:left w:val="none" w:sz="0" w:space="0" w:color="auto"/>
        <w:bottom w:val="none" w:sz="0" w:space="0" w:color="auto"/>
        <w:right w:val="none" w:sz="0" w:space="0" w:color="auto"/>
      </w:divBdr>
    </w:div>
    <w:div w:id="966469008">
      <w:bodyDiv w:val="1"/>
      <w:marLeft w:val="0"/>
      <w:marRight w:val="0"/>
      <w:marTop w:val="0"/>
      <w:marBottom w:val="0"/>
      <w:divBdr>
        <w:top w:val="none" w:sz="0" w:space="0" w:color="auto"/>
        <w:left w:val="none" w:sz="0" w:space="0" w:color="auto"/>
        <w:bottom w:val="none" w:sz="0" w:space="0" w:color="auto"/>
        <w:right w:val="none" w:sz="0" w:space="0" w:color="auto"/>
      </w:divBdr>
      <w:divsChild>
        <w:div w:id="505243730">
          <w:marLeft w:val="0"/>
          <w:marRight w:val="0"/>
          <w:marTop w:val="0"/>
          <w:marBottom w:val="0"/>
          <w:divBdr>
            <w:top w:val="none" w:sz="0" w:space="0" w:color="auto"/>
            <w:left w:val="none" w:sz="0" w:space="0" w:color="auto"/>
            <w:bottom w:val="none" w:sz="0" w:space="0" w:color="auto"/>
            <w:right w:val="none" w:sz="0" w:space="0" w:color="auto"/>
          </w:divBdr>
          <w:divsChild>
            <w:div w:id="1989436170">
              <w:marLeft w:val="0"/>
              <w:marRight w:val="0"/>
              <w:marTop w:val="0"/>
              <w:marBottom w:val="0"/>
              <w:divBdr>
                <w:top w:val="none" w:sz="0" w:space="0" w:color="auto"/>
                <w:left w:val="none" w:sz="0" w:space="0" w:color="auto"/>
                <w:bottom w:val="none" w:sz="0" w:space="0" w:color="auto"/>
                <w:right w:val="none" w:sz="0" w:space="0" w:color="auto"/>
              </w:divBdr>
              <w:divsChild>
                <w:div w:id="1660843246">
                  <w:marLeft w:val="0"/>
                  <w:marRight w:val="0"/>
                  <w:marTop w:val="0"/>
                  <w:marBottom w:val="0"/>
                  <w:divBdr>
                    <w:top w:val="none" w:sz="0" w:space="0" w:color="auto"/>
                    <w:left w:val="none" w:sz="0" w:space="0" w:color="auto"/>
                    <w:bottom w:val="none" w:sz="0" w:space="0" w:color="auto"/>
                    <w:right w:val="none" w:sz="0" w:space="0" w:color="auto"/>
                  </w:divBdr>
                  <w:divsChild>
                    <w:div w:id="1370491270">
                      <w:marLeft w:val="0"/>
                      <w:marRight w:val="0"/>
                      <w:marTop w:val="0"/>
                      <w:marBottom w:val="0"/>
                      <w:divBdr>
                        <w:top w:val="none" w:sz="0" w:space="0" w:color="auto"/>
                        <w:left w:val="none" w:sz="0" w:space="0" w:color="auto"/>
                        <w:bottom w:val="none" w:sz="0" w:space="0" w:color="auto"/>
                        <w:right w:val="none" w:sz="0" w:space="0" w:color="auto"/>
                      </w:divBdr>
                      <w:divsChild>
                        <w:div w:id="1171994363">
                          <w:marLeft w:val="0"/>
                          <w:marRight w:val="0"/>
                          <w:marTop w:val="0"/>
                          <w:marBottom w:val="0"/>
                          <w:divBdr>
                            <w:top w:val="none" w:sz="0" w:space="0" w:color="auto"/>
                            <w:left w:val="none" w:sz="0" w:space="0" w:color="auto"/>
                            <w:bottom w:val="none" w:sz="0" w:space="0" w:color="auto"/>
                            <w:right w:val="none" w:sz="0" w:space="0" w:color="auto"/>
                          </w:divBdr>
                          <w:divsChild>
                            <w:div w:id="1767338024">
                              <w:marLeft w:val="0"/>
                              <w:marRight w:val="0"/>
                              <w:marTop w:val="0"/>
                              <w:marBottom w:val="0"/>
                              <w:divBdr>
                                <w:top w:val="none" w:sz="0" w:space="0" w:color="auto"/>
                                <w:left w:val="none" w:sz="0" w:space="0" w:color="auto"/>
                                <w:bottom w:val="none" w:sz="0" w:space="0" w:color="auto"/>
                                <w:right w:val="none" w:sz="0" w:space="0" w:color="auto"/>
                              </w:divBdr>
                              <w:divsChild>
                                <w:div w:id="274140464">
                                  <w:marLeft w:val="0"/>
                                  <w:marRight w:val="0"/>
                                  <w:marTop w:val="0"/>
                                  <w:marBottom w:val="83"/>
                                  <w:divBdr>
                                    <w:top w:val="none" w:sz="0" w:space="0" w:color="auto"/>
                                    <w:left w:val="none" w:sz="0" w:space="0" w:color="auto"/>
                                    <w:bottom w:val="none" w:sz="0" w:space="0" w:color="auto"/>
                                    <w:right w:val="none" w:sz="0" w:space="0" w:color="auto"/>
                                  </w:divBdr>
                                  <w:divsChild>
                                    <w:div w:id="386028013">
                                      <w:marLeft w:val="0"/>
                                      <w:marRight w:val="0"/>
                                      <w:marTop w:val="0"/>
                                      <w:marBottom w:val="0"/>
                                      <w:divBdr>
                                        <w:top w:val="none" w:sz="0" w:space="0" w:color="auto"/>
                                        <w:left w:val="none" w:sz="0" w:space="0" w:color="auto"/>
                                        <w:bottom w:val="none" w:sz="0" w:space="0" w:color="auto"/>
                                        <w:right w:val="none" w:sz="0" w:space="0" w:color="auto"/>
                                      </w:divBdr>
                                      <w:divsChild>
                                        <w:div w:id="883829670">
                                          <w:marLeft w:val="0"/>
                                          <w:marRight w:val="0"/>
                                          <w:marTop w:val="0"/>
                                          <w:marBottom w:val="0"/>
                                          <w:divBdr>
                                            <w:top w:val="none" w:sz="0" w:space="0" w:color="auto"/>
                                            <w:left w:val="none" w:sz="0" w:space="0" w:color="auto"/>
                                            <w:bottom w:val="none" w:sz="0" w:space="0" w:color="auto"/>
                                            <w:right w:val="none" w:sz="0" w:space="0" w:color="auto"/>
                                          </w:divBdr>
                                          <w:divsChild>
                                            <w:div w:id="1805073250">
                                              <w:marLeft w:val="0"/>
                                              <w:marRight w:val="0"/>
                                              <w:marTop w:val="0"/>
                                              <w:marBottom w:val="0"/>
                                              <w:divBdr>
                                                <w:top w:val="none" w:sz="0" w:space="0" w:color="auto"/>
                                                <w:left w:val="none" w:sz="0" w:space="0" w:color="auto"/>
                                                <w:bottom w:val="none" w:sz="0" w:space="0" w:color="auto"/>
                                                <w:right w:val="none" w:sz="0" w:space="0" w:color="auto"/>
                                              </w:divBdr>
                                              <w:divsChild>
                                                <w:div w:id="115935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7248881">
      <w:bodyDiv w:val="1"/>
      <w:marLeft w:val="0"/>
      <w:marRight w:val="0"/>
      <w:marTop w:val="0"/>
      <w:marBottom w:val="0"/>
      <w:divBdr>
        <w:top w:val="none" w:sz="0" w:space="0" w:color="auto"/>
        <w:left w:val="none" w:sz="0" w:space="0" w:color="auto"/>
        <w:bottom w:val="none" w:sz="0" w:space="0" w:color="auto"/>
        <w:right w:val="none" w:sz="0" w:space="0" w:color="auto"/>
      </w:divBdr>
      <w:divsChild>
        <w:div w:id="1545825092">
          <w:marLeft w:val="0"/>
          <w:marRight w:val="0"/>
          <w:marTop w:val="0"/>
          <w:marBottom w:val="150"/>
          <w:divBdr>
            <w:top w:val="none" w:sz="0" w:space="0" w:color="auto"/>
            <w:left w:val="none" w:sz="0" w:space="0" w:color="auto"/>
            <w:bottom w:val="none" w:sz="0" w:space="0" w:color="auto"/>
            <w:right w:val="none" w:sz="0" w:space="0" w:color="auto"/>
          </w:divBdr>
        </w:div>
      </w:divsChild>
    </w:div>
    <w:div w:id="967777637">
      <w:bodyDiv w:val="1"/>
      <w:marLeft w:val="0"/>
      <w:marRight w:val="0"/>
      <w:marTop w:val="0"/>
      <w:marBottom w:val="0"/>
      <w:divBdr>
        <w:top w:val="none" w:sz="0" w:space="0" w:color="auto"/>
        <w:left w:val="none" w:sz="0" w:space="0" w:color="auto"/>
        <w:bottom w:val="none" w:sz="0" w:space="0" w:color="auto"/>
        <w:right w:val="none" w:sz="0" w:space="0" w:color="auto"/>
      </w:divBdr>
    </w:div>
    <w:div w:id="967978099">
      <w:bodyDiv w:val="1"/>
      <w:marLeft w:val="0"/>
      <w:marRight w:val="0"/>
      <w:marTop w:val="0"/>
      <w:marBottom w:val="0"/>
      <w:divBdr>
        <w:top w:val="none" w:sz="0" w:space="0" w:color="auto"/>
        <w:left w:val="none" w:sz="0" w:space="0" w:color="auto"/>
        <w:bottom w:val="none" w:sz="0" w:space="0" w:color="auto"/>
        <w:right w:val="none" w:sz="0" w:space="0" w:color="auto"/>
      </w:divBdr>
    </w:div>
    <w:div w:id="968510462">
      <w:bodyDiv w:val="1"/>
      <w:marLeft w:val="0"/>
      <w:marRight w:val="0"/>
      <w:marTop w:val="0"/>
      <w:marBottom w:val="0"/>
      <w:divBdr>
        <w:top w:val="none" w:sz="0" w:space="0" w:color="auto"/>
        <w:left w:val="none" w:sz="0" w:space="0" w:color="auto"/>
        <w:bottom w:val="none" w:sz="0" w:space="0" w:color="auto"/>
        <w:right w:val="none" w:sz="0" w:space="0" w:color="auto"/>
      </w:divBdr>
      <w:divsChild>
        <w:div w:id="1971550852">
          <w:marLeft w:val="0"/>
          <w:marRight w:val="0"/>
          <w:marTop w:val="0"/>
          <w:marBottom w:val="0"/>
          <w:divBdr>
            <w:top w:val="none" w:sz="0" w:space="0" w:color="auto"/>
            <w:left w:val="none" w:sz="0" w:space="0" w:color="auto"/>
            <w:bottom w:val="dotted" w:sz="6" w:space="4" w:color="DDDDDD"/>
            <w:right w:val="none" w:sz="0" w:space="0" w:color="auto"/>
          </w:divBdr>
        </w:div>
      </w:divsChild>
    </w:div>
    <w:div w:id="968588758">
      <w:bodyDiv w:val="1"/>
      <w:marLeft w:val="0"/>
      <w:marRight w:val="0"/>
      <w:marTop w:val="0"/>
      <w:marBottom w:val="0"/>
      <w:divBdr>
        <w:top w:val="none" w:sz="0" w:space="0" w:color="auto"/>
        <w:left w:val="none" w:sz="0" w:space="0" w:color="auto"/>
        <w:bottom w:val="none" w:sz="0" w:space="0" w:color="auto"/>
        <w:right w:val="none" w:sz="0" w:space="0" w:color="auto"/>
      </w:divBdr>
      <w:divsChild>
        <w:div w:id="1416516402">
          <w:marLeft w:val="0"/>
          <w:marRight w:val="0"/>
          <w:marTop w:val="0"/>
          <w:marBottom w:val="0"/>
          <w:divBdr>
            <w:top w:val="none" w:sz="0" w:space="0" w:color="auto"/>
            <w:left w:val="none" w:sz="0" w:space="0" w:color="auto"/>
            <w:bottom w:val="none" w:sz="0" w:space="0" w:color="auto"/>
            <w:right w:val="none" w:sz="0" w:space="0" w:color="auto"/>
          </w:divBdr>
        </w:div>
      </w:divsChild>
    </w:div>
    <w:div w:id="968634515">
      <w:bodyDiv w:val="1"/>
      <w:marLeft w:val="0"/>
      <w:marRight w:val="0"/>
      <w:marTop w:val="0"/>
      <w:marBottom w:val="0"/>
      <w:divBdr>
        <w:top w:val="none" w:sz="0" w:space="0" w:color="auto"/>
        <w:left w:val="none" w:sz="0" w:space="0" w:color="auto"/>
        <w:bottom w:val="none" w:sz="0" w:space="0" w:color="auto"/>
        <w:right w:val="none" w:sz="0" w:space="0" w:color="auto"/>
      </w:divBdr>
      <w:divsChild>
        <w:div w:id="256209839">
          <w:marLeft w:val="0"/>
          <w:marRight w:val="0"/>
          <w:marTop w:val="0"/>
          <w:marBottom w:val="0"/>
          <w:divBdr>
            <w:top w:val="none" w:sz="0" w:space="0" w:color="auto"/>
            <w:left w:val="none" w:sz="0" w:space="0" w:color="auto"/>
            <w:bottom w:val="none" w:sz="0" w:space="0" w:color="auto"/>
            <w:right w:val="none" w:sz="0" w:space="0" w:color="auto"/>
          </w:divBdr>
          <w:divsChild>
            <w:div w:id="1257440036">
              <w:marLeft w:val="0"/>
              <w:marRight w:val="0"/>
              <w:marTop w:val="0"/>
              <w:marBottom w:val="0"/>
              <w:divBdr>
                <w:top w:val="none" w:sz="0" w:space="0" w:color="auto"/>
                <w:left w:val="none" w:sz="0" w:space="0" w:color="auto"/>
                <w:bottom w:val="none" w:sz="0" w:space="0" w:color="auto"/>
                <w:right w:val="none" w:sz="0" w:space="0" w:color="auto"/>
              </w:divBdr>
              <w:divsChild>
                <w:div w:id="42743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707561">
      <w:bodyDiv w:val="1"/>
      <w:marLeft w:val="0"/>
      <w:marRight w:val="0"/>
      <w:marTop w:val="0"/>
      <w:marBottom w:val="0"/>
      <w:divBdr>
        <w:top w:val="none" w:sz="0" w:space="0" w:color="auto"/>
        <w:left w:val="none" w:sz="0" w:space="0" w:color="auto"/>
        <w:bottom w:val="none" w:sz="0" w:space="0" w:color="auto"/>
        <w:right w:val="none" w:sz="0" w:space="0" w:color="auto"/>
      </w:divBdr>
    </w:div>
    <w:div w:id="968900674">
      <w:bodyDiv w:val="1"/>
      <w:marLeft w:val="0"/>
      <w:marRight w:val="0"/>
      <w:marTop w:val="0"/>
      <w:marBottom w:val="0"/>
      <w:divBdr>
        <w:top w:val="none" w:sz="0" w:space="0" w:color="auto"/>
        <w:left w:val="none" w:sz="0" w:space="0" w:color="auto"/>
        <w:bottom w:val="none" w:sz="0" w:space="0" w:color="auto"/>
        <w:right w:val="none" w:sz="0" w:space="0" w:color="auto"/>
      </w:divBdr>
    </w:div>
    <w:div w:id="968972196">
      <w:bodyDiv w:val="1"/>
      <w:marLeft w:val="0"/>
      <w:marRight w:val="0"/>
      <w:marTop w:val="0"/>
      <w:marBottom w:val="0"/>
      <w:divBdr>
        <w:top w:val="none" w:sz="0" w:space="0" w:color="auto"/>
        <w:left w:val="none" w:sz="0" w:space="0" w:color="auto"/>
        <w:bottom w:val="none" w:sz="0" w:space="0" w:color="auto"/>
        <w:right w:val="none" w:sz="0" w:space="0" w:color="auto"/>
      </w:divBdr>
      <w:divsChild>
        <w:div w:id="1683433780">
          <w:marLeft w:val="0"/>
          <w:marRight w:val="0"/>
          <w:marTop w:val="0"/>
          <w:marBottom w:val="0"/>
          <w:divBdr>
            <w:top w:val="none" w:sz="0" w:space="0" w:color="auto"/>
            <w:left w:val="none" w:sz="0" w:space="0" w:color="auto"/>
            <w:bottom w:val="dotted" w:sz="6" w:space="4" w:color="DDDDDD"/>
            <w:right w:val="none" w:sz="0" w:space="0" w:color="auto"/>
          </w:divBdr>
          <w:divsChild>
            <w:div w:id="165552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45731">
      <w:bodyDiv w:val="1"/>
      <w:marLeft w:val="0"/>
      <w:marRight w:val="0"/>
      <w:marTop w:val="0"/>
      <w:marBottom w:val="0"/>
      <w:divBdr>
        <w:top w:val="none" w:sz="0" w:space="0" w:color="auto"/>
        <w:left w:val="none" w:sz="0" w:space="0" w:color="auto"/>
        <w:bottom w:val="none" w:sz="0" w:space="0" w:color="auto"/>
        <w:right w:val="none" w:sz="0" w:space="0" w:color="auto"/>
      </w:divBdr>
      <w:divsChild>
        <w:div w:id="9331987">
          <w:marLeft w:val="0"/>
          <w:marRight w:val="0"/>
          <w:marTop w:val="0"/>
          <w:marBottom w:val="0"/>
          <w:divBdr>
            <w:top w:val="none" w:sz="0" w:space="0" w:color="auto"/>
            <w:left w:val="none" w:sz="0" w:space="0" w:color="auto"/>
            <w:bottom w:val="none" w:sz="0" w:space="0" w:color="auto"/>
            <w:right w:val="none" w:sz="0" w:space="0" w:color="auto"/>
          </w:divBdr>
          <w:divsChild>
            <w:div w:id="977537742">
              <w:marLeft w:val="0"/>
              <w:marRight w:val="0"/>
              <w:marTop w:val="0"/>
              <w:marBottom w:val="0"/>
              <w:divBdr>
                <w:top w:val="none" w:sz="0" w:space="0" w:color="auto"/>
                <w:left w:val="none" w:sz="0" w:space="0" w:color="auto"/>
                <w:bottom w:val="none" w:sz="0" w:space="0" w:color="auto"/>
                <w:right w:val="none" w:sz="0" w:space="0" w:color="auto"/>
              </w:divBdr>
              <w:divsChild>
                <w:div w:id="1924144675">
                  <w:marLeft w:val="0"/>
                  <w:marRight w:val="0"/>
                  <w:marTop w:val="0"/>
                  <w:marBottom w:val="0"/>
                  <w:divBdr>
                    <w:top w:val="none" w:sz="0" w:space="0" w:color="auto"/>
                    <w:left w:val="none" w:sz="0" w:space="0" w:color="auto"/>
                    <w:bottom w:val="none" w:sz="0" w:space="0" w:color="auto"/>
                    <w:right w:val="none" w:sz="0" w:space="0" w:color="auto"/>
                  </w:divBdr>
                  <w:divsChild>
                    <w:div w:id="823009152">
                      <w:marLeft w:val="0"/>
                      <w:marRight w:val="0"/>
                      <w:marTop w:val="0"/>
                      <w:marBottom w:val="0"/>
                      <w:divBdr>
                        <w:top w:val="none" w:sz="0" w:space="0" w:color="auto"/>
                        <w:left w:val="none" w:sz="0" w:space="0" w:color="auto"/>
                        <w:bottom w:val="none" w:sz="0" w:space="0" w:color="auto"/>
                        <w:right w:val="none" w:sz="0" w:space="0" w:color="auto"/>
                      </w:divBdr>
                      <w:divsChild>
                        <w:div w:id="430392569">
                          <w:marLeft w:val="0"/>
                          <w:marRight w:val="0"/>
                          <w:marTop w:val="0"/>
                          <w:marBottom w:val="0"/>
                          <w:divBdr>
                            <w:top w:val="none" w:sz="0" w:space="0" w:color="auto"/>
                            <w:left w:val="none" w:sz="0" w:space="0" w:color="auto"/>
                            <w:bottom w:val="none" w:sz="0" w:space="0" w:color="auto"/>
                            <w:right w:val="none" w:sz="0" w:space="0" w:color="auto"/>
                          </w:divBdr>
                          <w:divsChild>
                            <w:div w:id="1992055952">
                              <w:marLeft w:val="0"/>
                              <w:marRight w:val="0"/>
                              <w:marTop w:val="0"/>
                              <w:marBottom w:val="0"/>
                              <w:divBdr>
                                <w:top w:val="none" w:sz="0" w:space="0" w:color="auto"/>
                                <w:left w:val="none" w:sz="0" w:space="0" w:color="auto"/>
                                <w:bottom w:val="none" w:sz="0" w:space="0" w:color="auto"/>
                                <w:right w:val="none" w:sz="0" w:space="0" w:color="auto"/>
                              </w:divBdr>
                              <w:divsChild>
                                <w:div w:id="568737206">
                                  <w:marLeft w:val="0"/>
                                  <w:marRight w:val="0"/>
                                  <w:marTop w:val="0"/>
                                  <w:marBottom w:val="0"/>
                                  <w:divBdr>
                                    <w:top w:val="none" w:sz="0" w:space="0" w:color="auto"/>
                                    <w:left w:val="none" w:sz="0" w:space="0" w:color="auto"/>
                                    <w:bottom w:val="none" w:sz="0" w:space="0" w:color="auto"/>
                                    <w:right w:val="none" w:sz="0" w:space="0" w:color="auto"/>
                                  </w:divBdr>
                                  <w:divsChild>
                                    <w:div w:id="44723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088754">
      <w:bodyDiv w:val="1"/>
      <w:marLeft w:val="0"/>
      <w:marRight w:val="0"/>
      <w:marTop w:val="0"/>
      <w:marBottom w:val="0"/>
      <w:divBdr>
        <w:top w:val="none" w:sz="0" w:space="0" w:color="auto"/>
        <w:left w:val="none" w:sz="0" w:space="0" w:color="auto"/>
        <w:bottom w:val="none" w:sz="0" w:space="0" w:color="auto"/>
        <w:right w:val="none" w:sz="0" w:space="0" w:color="auto"/>
      </w:divBdr>
      <w:divsChild>
        <w:div w:id="288708251">
          <w:marLeft w:val="0"/>
          <w:marRight w:val="0"/>
          <w:marTop w:val="0"/>
          <w:marBottom w:val="150"/>
          <w:divBdr>
            <w:top w:val="none" w:sz="0" w:space="0" w:color="auto"/>
            <w:left w:val="none" w:sz="0" w:space="0" w:color="auto"/>
            <w:bottom w:val="none" w:sz="0" w:space="0" w:color="auto"/>
            <w:right w:val="none" w:sz="0" w:space="0" w:color="auto"/>
          </w:divBdr>
        </w:div>
        <w:div w:id="1380546820">
          <w:marLeft w:val="0"/>
          <w:marRight w:val="0"/>
          <w:marTop w:val="0"/>
          <w:marBottom w:val="0"/>
          <w:divBdr>
            <w:top w:val="none" w:sz="0" w:space="0" w:color="auto"/>
            <w:left w:val="none" w:sz="0" w:space="0" w:color="auto"/>
            <w:bottom w:val="none" w:sz="0" w:space="0" w:color="auto"/>
            <w:right w:val="none" w:sz="0" w:space="0" w:color="auto"/>
          </w:divBdr>
          <w:divsChild>
            <w:div w:id="865556328">
              <w:marLeft w:val="0"/>
              <w:marRight w:val="0"/>
              <w:marTop w:val="225"/>
              <w:marBottom w:val="225"/>
              <w:divBdr>
                <w:top w:val="none" w:sz="0" w:space="0" w:color="auto"/>
                <w:left w:val="none" w:sz="0" w:space="0" w:color="auto"/>
                <w:bottom w:val="none" w:sz="0" w:space="0" w:color="auto"/>
                <w:right w:val="none" w:sz="0" w:space="0" w:color="auto"/>
              </w:divBdr>
            </w:div>
          </w:divsChild>
        </w:div>
        <w:div w:id="1844316838">
          <w:marLeft w:val="0"/>
          <w:marRight w:val="0"/>
          <w:marTop w:val="0"/>
          <w:marBottom w:val="150"/>
          <w:divBdr>
            <w:top w:val="none" w:sz="0" w:space="0" w:color="auto"/>
            <w:left w:val="none" w:sz="0" w:space="0" w:color="auto"/>
            <w:bottom w:val="none" w:sz="0" w:space="0" w:color="auto"/>
            <w:right w:val="none" w:sz="0" w:space="0" w:color="auto"/>
          </w:divBdr>
          <w:divsChild>
            <w:div w:id="24603064">
              <w:marLeft w:val="0"/>
              <w:marRight w:val="0"/>
              <w:marTop w:val="0"/>
              <w:marBottom w:val="0"/>
              <w:divBdr>
                <w:top w:val="none" w:sz="0" w:space="0" w:color="auto"/>
                <w:left w:val="none" w:sz="0" w:space="0" w:color="auto"/>
                <w:bottom w:val="none" w:sz="0" w:space="0" w:color="auto"/>
                <w:right w:val="none" w:sz="0" w:space="0" w:color="auto"/>
              </w:divBdr>
              <w:divsChild>
                <w:div w:id="194972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554731">
      <w:bodyDiv w:val="1"/>
      <w:marLeft w:val="0"/>
      <w:marRight w:val="0"/>
      <w:marTop w:val="0"/>
      <w:marBottom w:val="0"/>
      <w:divBdr>
        <w:top w:val="none" w:sz="0" w:space="0" w:color="auto"/>
        <w:left w:val="none" w:sz="0" w:space="0" w:color="auto"/>
        <w:bottom w:val="none" w:sz="0" w:space="0" w:color="auto"/>
        <w:right w:val="none" w:sz="0" w:space="0" w:color="auto"/>
      </w:divBdr>
    </w:div>
    <w:div w:id="969559061">
      <w:bodyDiv w:val="1"/>
      <w:marLeft w:val="0"/>
      <w:marRight w:val="0"/>
      <w:marTop w:val="0"/>
      <w:marBottom w:val="0"/>
      <w:divBdr>
        <w:top w:val="none" w:sz="0" w:space="0" w:color="auto"/>
        <w:left w:val="none" w:sz="0" w:space="0" w:color="auto"/>
        <w:bottom w:val="none" w:sz="0" w:space="0" w:color="auto"/>
        <w:right w:val="none" w:sz="0" w:space="0" w:color="auto"/>
      </w:divBdr>
    </w:div>
    <w:div w:id="969632900">
      <w:bodyDiv w:val="1"/>
      <w:marLeft w:val="0"/>
      <w:marRight w:val="0"/>
      <w:marTop w:val="0"/>
      <w:marBottom w:val="0"/>
      <w:divBdr>
        <w:top w:val="none" w:sz="0" w:space="0" w:color="auto"/>
        <w:left w:val="none" w:sz="0" w:space="0" w:color="auto"/>
        <w:bottom w:val="none" w:sz="0" w:space="0" w:color="auto"/>
        <w:right w:val="none" w:sz="0" w:space="0" w:color="auto"/>
      </w:divBdr>
      <w:divsChild>
        <w:div w:id="77678999">
          <w:marLeft w:val="0"/>
          <w:marRight w:val="0"/>
          <w:marTop w:val="0"/>
          <w:marBottom w:val="0"/>
          <w:divBdr>
            <w:top w:val="none" w:sz="0" w:space="0" w:color="auto"/>
            <w:left w:val="none" w:sz="0" w:space="0" w:color="auto"/>
            <w:bottom w:val="dotted" w:sz="6" w:space="4" w:color="DDDDDD"/>
            <w:right w:val="none" w:sz="0" w:space="0" w:color="auto"/>
          </w:divBdr>
          <w:divsChild>
            <w:div w:id="132235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826902">
      <w:bodyDiv w:val="1"/>
      <w:marLeft w:val="0"/>
      <w:marRight w:val="0"/>
      <w:marTop w:val="0"/>
      <w:marBottom w:val="0"/>
      <w:divBdr>
        <w:top w:val="none" w:sz="0" w:space="0" w:color="auto"/>
        <w:left w:val="none" w:sz="0" w:space="0" w:color="auto"/>
        <w:bottom w:val="none" w:sz="0" w:space="0" w:color="auto"/>
        <w:right w:val="none" w:sz="0" w:space="0" w:color="auto"/>
      </w:divBdr>
    </w:div>
    <w:div w:id="970089237">
      <w:bodyDiv w:val="1"/>
      <w:marLeft w:val="0"/>
      <w:marRight w:val="0"/>
      <w:marTop w:val="0"/>
      <w:marBottom w:val="0"/>
      <w:divBdr>
        <w:top w:val="none" w:sz="0" w:space="0" w:color="auto"/>
        <w:left w:val="none" w:sz="0" w:space="0" w:color="auto"/>
        <w:bottom w:val="none" w:sz="0" w:space="0" w:color="auto"/>
        <w:right w:val="none" w:sz="0" w:space="0" w:color="auto"/>
      </w:divBdr>
      <w:divsChild>
        <w:div w:id="1671181962">
          <w:marLeft w:val="0"/>
          <w:marRight w:val="0"/>
          <w:marTop w:val="0"/>
          <w:marBottom w:val="150"/>
          <w:divBdr>
            <w:top w:val="none" w:sz="0" w:space="0" w:color="auto"/>
            <w:left w:val="none" w:sz="0" w:space="0" w:color="auto"/>
            <w:bottom w:val="none" w:sz="0" w:space="0" w:color="auto"/>
            <w:right w:val="none" w:sz="0" w:space="0" w:color="auto"/>
          </w:divBdr>
          <w:divsChild>
            <w:div w:id="1342077900">
              <w:marLeft w:val="0"/>
              <w:marRight w:val="0"/>
              <w:marTop w:val="0"/>
              <w:marBottom w:val="0"/>
              <w:divBdr>
                <w:top w:val="none" w:sz="0" w:space="0" w:color="auto"/>
                <w:left w:val="none" w:sz="0" w:space="0" w:color="auto"/>
                <w:bottom w:val="none" w:sz="0" w:space="0" w:color="auto"/>
                <w:right w:val="none" w:sz="0" w:space="0" w:color="auto"/>
              </w:divBdr>
              <w:divsChild>
                <w:div w:id="203530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198281">
          <w:marLeft w:val="0"/>
          <w:marRight w:val="0"/>
          <w:marTop w:val="0"/>
          <w:marBottom w:val="150"/>
          <w:divBdr>
            <w:top w:val="none" w:sz="0" w:space="0" w:color="auto"/>
            <w:left w:val="none" w:sz="0" w:space="0" w:color="auto"/>
            <w:bottom w:val="none" w:sz="0" w:space="0" w:color="auto"/>
            <w:right w:val="none" w:sz="0" w:space="0" w:color="auto"/>
          </w:divBdr>
        </w:div>
      </w:divsChild>
    </w:div>
    <w:div w:id="970208569">
      <w:bodyDiv w:val="1"/>
      <w:marLeft w:val="0"/>
      <w:marRight w:val="0"/>
      <w:marTop w:val="0"/>
      <w:marBottom w:val="0"/>
      <w:divBdr>
        <w:top w:val="none" w:sz="0" w:space="0" w:color="auto"/>
        <w:left w:val="none" w:sz="0" w:space="0" w:color="auto"/>
        <w:bottom w:val="none" w:sz="0" w:space="0" w:color="auto"/>
        <w:right w:val="none" w:sz="0" w:space="0" w:color="auto"/>
      </w:divBdr>
      <w:divsChild>
        <w:div w:id="1559363703">
          <w:marLeft w:val="0"/>
          <w:marRight w:val="0"/>
          <w:marTop w:val="0"/>
          <w:marBottom w:val="150"/>
          <w:divBdr>
            <w:top w:val="none" w:sz="0" w:space="0" w:color="auto"/>
            <w:left w:val="none" w:sz="0" w:space="0" w:color="auto"/>
            <w:bottom w:val="none" w:sz="0" w:space="0" w:color="auto"/>
            <w:right w:val="none" w:sz="0" w:space="0" w:color="auto"/>
          </w:divBdr>
          <w:divsChild>
            <w:div w:id="551312046">
              <w:marLeft w:val="0"/>
              <w:marRight w:val="0"/>
              <w:marTop w:val="0"/>
              <w:marBottom w:val="0"/>
              <w:divBdr>
                <w:top w:val="none" w:sz="0" w:space="0" w:color="auto"/>
                <w:left w:val="none" w:sz="0" w:space="0" w:color="auto"/>
                <w:bottom w:val="none" w:sz="0" w:space="0" w:color="auto"/>
                <w:right w:val="none" w:sz="0" w:space="0" w:color="auto"/>
              </w:divBdr>
              <w:divsChild>
                <w:div w:id="2004429661">
                  <w:marLeft w:val="0"/>
                  <w:marRight w:val="0"/>
                  <w:marTop w:val="0"/>
                  <w:marBottom w:val="0"/>
                  <w:divBdr>
                    <w:top w:val="none" w:sz="0" w:space="0" w:color="auto"/>
                    <w:left w:val="none" w:sz="0" w:space="0" w:color="auto"/>
                    <w:bottom w:val="none" w:sz="0" w:space="0" w:color="auto"/>
                    <w:right w:val="none" w:sz="0" w:space="0" w:color="auto"/>
                  </w:divBdr>
                  <w:divsChild>
                    <w:div w:id="1158807575">
                      <w:marLeft w:val="0"/>
                      <w:marRight w:val="150"/>
                      <w:marTop w:val="0"/>
                      <w:marBottom w:val="0"/>
                      <w:divBdr>
                        <w:top w:val="none" w:sz="0" w:space="0" w:color="auto"/>
                        <w:left w:val="none" w:sz="0" w:space="0" w:color="auto"/>
                        <w:bottom w:val="none" w:sz="0" w:space="0" w:color="auto"/>
                        <w:right w:val="none" w:sz="0" w:space="0" w:color="auto"/>
                      </w:divBdr>
                      <w:divsChild>
                        <w:div w:id="196268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047208">
          <w:marLeft w:val="0"/>
          <w:marRight w:val="0"/>
          <w:marTop w:val="0"/>
          <w:marBottom w:val="150"/>
          <w:divBdr>
            <w:top w:val="none" w:sz="0" w:space="0" w:color="auto"/>
            <w:left w:val="none" w:sz="0" w:space="0" w:color="auto"/>
            <w:bottom w:val="none" w:sz="0" w:space="0" w:color="auto"/>
            <w:right w:val="none" w:sz="0" w:space="0" w:color="auto"/>
          </w:divBdr>
        </w:div>
        <w:div w:id="308749022">
          <w:marLeft w:val="0"/>
          <w:marRight w:val="0"/>
          <w:marTop w:val="0"/>
          <w:marBottom w:val="0"/>
          <w:divBdr>
            <w:top w:val="none" w:sz="0" w:space="0" w:color="auto"/>
            <w:left w:val="none" w:sz="0" w:space="0" w:color="auto"/>
            <w:bottom w:val="none" w:sz="0" w:space="0" w:color="auto"/>
            <w:right w:val="none" w:sz="0" w:space="0" w:color="auto"/>
          </w:divBdr>
          <w:divsChild>
            <w:div w:id="168107672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70598084">
      <w:bodyDiv w:val="1"/>
      <w:marLeft w:val="0"/>
      <w:marRight w:val="0"/>
      <w:marTop w:val="0"/>
      <w:marBottom w:val="0"/>
      <w:divBdr>
        <w:top w:val="none" w:sz="0" w:space="0" w:color="auto"/>
        <w:left w:val="none" w:sz="0" w:space="0" w:color="auto"/>
        <w:bottom w:val="none" w:sz="0" w:space="0" w:color="auto"/>
        <w:right w:val="none" w:sz="0" w:space="0" w:color="auto"/>
      </w:divBdr>
      <w:divsChild>
        <w:div w:id="416293885">
          <w:marLeft w:val="0"/>
          <w:marRight w:val="0"/>
          <w:marTop w:val="0"/>
          <w:marBottom w:val="0"/>
          <w:divBdr>
            <w:top w:val="none" w:sz="0" w:space="0" w:color="auto"/>
            <w:left w:val="none" w:sz="0" w:space="0" w:color="auto"/>
            <w:bottom w:val="none" w:sz="0" w:space="0" w:color="auto"/>
            <w:right w:val="none" w:sz="0" w:space="0" w:color="auto"/>
          </w:divBdr>
        </w:div>
        <w:div w:id="1420515688">
          <w:marLeft w:val="0"/>
          <w:marRight w:val="0"/>
          <w:marTop w:val="0"/>
          <w:marBottom w:val="150"/>
          <w:divBdr>
            <w:top w:val="none" w:sz="0" w:space="0" w:color="auto"/>
            <w:left w:val="none" w:sz="0" w:space="0" w:color="auto"/>
            <w:bottom w:val="none" w:sz="0" w:space="0" w:color="auto"/>
            <w:right w:val="none" w:sz="0" w:space="0" w:color="auto"/>
          </w:divBdr>
          <w:divsChild>
            <w:div w:id="288783921">
              <w:marLeft w:val="0"/>
              <w:marRight w:val="0"/>
              <w:marTop w:val="0"/>
              <w:marBottom w:val="0"/>
              <w:divBdr>
                <w:top w:val="none" w:sz="0" w:space="0" w:color="auto"/>
                <w:left w:val="none" w:sz="0" w:space="0" w:color="auto"/>
                <w:bottom w:val="none" w:sz="0" w:space="0" w:color="auto"/>
                <w:right w:val="none" w:sz="0" w:space="0" w:color="auto"/>
              </w:divBdr>
              <w:divsChild>
                <w:div w:id="834027318">
                  <w:marLeft w:val="0"/>
                  <w:marRight w:val="0"/>
                  <w:marTop w:val="0"/>
                  <w:marBottom w:val="0"/>
                  <w:divBdr>
                    <w:top w:val="none" w:sz="0" w:space="0" w:color="auto"/>
                    <w:left w:val="none" w:sz="0" w:space="0" w:color="auto"/>
                    <w:bottom w:val="none" w:sz="0" w:space="0" w:color="auto"/>
                    <w:right w:val="none" w:sz="0" w:space="0" w:color="auto"/>
                  </w:divBdr>
                  <w:divsChild>
                    <w:div w:id="169518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861752">
      <w:bodyDiv w:val="1"/>
      <w:marLeft w:val="0"/>
      <w:marRight w:val="0"/>
      <w:marTop w:val="0"/>
      <w:marBottom w:val="0"/>
      <w:divBdr>
        <w:top w:val="none" w:sz="0" w:space="0" w:color="auto"/>
        <w:left w:val="none" w:sz="0" w:space="0" w:color="auto"/>
        <w:bottom w:val="none" w:sz="0" w:space="0" w:color="auto"/>
        <w:right w:val="none" w:sz="0" w:space="0" w:color="auto"/>
      </w:divBdr>
      <w:divsChild>
        <w:div w:id="1234699593">
          <w:marLeft w:val="0"/>
          <w:marRight w:val="0"/>
          <w:marTop w:val="0"/>
          <w:marBottom w:val="0"/>
          <w:divBdr>
            <w:top w:val="none" w:sz="0" w:space="0" w:color="auto"/>
            <w:left w:val="none" w:sz="0" w:space="0" w:color="auto"/>
            <w:bottom w:val="none" w:sz="0" w:space="0" w:color="auto"/>
            <w:right w:val="none" w:sz="0" w:space="0" w:color="auto"/>
          </w:divBdr>
          <w:divsChild>
            <w:div w:id="936183096">
              <w:marLeft w:val="0"/>
              <w:marRight w:val="0"/>
              <w:marTop w:val="0"/>
              <w:marBottom w:val="0"/>
              <w:divBdr>
                <w:top w:val="none" w:sz="0" w:space="0" w:color="auto"/>
                <w:left w:val="none" w:sz="0" w:space="0" w:color="auto"/>
                <w:bottom w:val="none" w:sz="0" w:space="0" w:color="auto"/>
                <w:right w:val="none" w:sz="0" w:space="0" w:color="auto"/>
              </w:divBdr>
              <w:divsChild>
                <w:div w:id="1641156587">
                  <w:marLeft w:val="0"/>
                  <w:marRight w:val="0"/>
                  <w:marTop w:val="0"/>
                  <w:marBottom w:val="0"/>
                  <w:divBdr>
                    <w:top w:val="none" w:sz="0" w:space="0" w:color="auto"/>
                    <w:left w:val="none" w:sz="0" w:space="0" w:color="auto"/>
                    <w:bottom w:val="none" w:sz="0" w:space="0" w:color="auto"/>
                    <w:right w:val="none" w:sz="0" w:space="0" w:color="auto"/>
                  </w:divBdr>
                  <w:divsChild>
                    <w:div w:id="159321839">
                      <w:marLeft w:val="0"/>
                      <w:marRight w:val="0"/>
                      <w:marTop w:val="0"/>
                      <w:marBottom w:val="0"/>
                      <w:divBdr>
                        <w:top w:val="none" w:sz="0" w:space="0" w:color="auto"/>
                        <w:left w:val="none" w:sz="0" w:space="0" w:color="auto"/>
                        <w:bottom w:val="none" w:sz="0" w:space="0" w:color="auto"/>
                        <w:right w:val="none" w:sz="0" w:space="0" w:color="auto"/>
                      </w:divBdr>
                      <w:divsChild>
                        <w:div w:id="241448814">
                          <w:marLeft w:val="0"/>
                          <w:marRight w:val="0"/>
                          <w:marTop w:val="0"/>
                          <w:marBottom w:val="0"/>
                          <w:divBdr>
                            <w:top w:val="none" w:sz="0" w:space="0" w:color="auto"/>
                            <w:left w:val="none" w:sz="0" w:space="0" w:color="auto"/>
                            <w:bottom w:val="none" w:sz="0" w:space="0" w:color="auto"/>
                            <w:right w:val="none" w:sz="0" w:space="0" w:color="auto"/>
                          </w:divBdr>
                          <w:divsChild>
                            <w:div w:id="151407004">
                              <w:marLeft w:val="0"/>
                              <w:marRight w:val="0"/>
                              <w:marTop w:val="0"/>
                              <w:marBottom w:val="0"/>
                              <w:divBdr>
                                <w:top w:val="none" w:sz="0" w:space="0" w:color="auto"/>
                                <w:left w:val="none" w:sz="0" w:space="0" w:color="auto"/>
                                <w:bottom w:val="none" w:sz="0" w:space="0" w:color="auto"/>
                                <w:right w:val="none" w:sz="0" w:space="0" w:color="auto"/>
                              </w:divBdr>
                              <w:divsChild>
                                <w:div w:id="1704669281">
                                  <w:marLeft w:val="0"/>
                                  <w:marRight w:val="0"/>
                                  <w:marTop w:val="0"/>
                                  <w:marBottom w:val="0"/>
                                  <w:divBdr>
                                    <w:top w:val="none" w:sz="0" w:space="0" w:color="auto"/>
                                    <w:left w:val="none" w:sz="0" w:space="0" w:color="auto"/>
                                    <w:bottom w:val="none" w:sz="0" w:space="0" w:color="auto"/>
                                    <w:right w:val="none" w:sz="0" w:space="0" w:color="auto"/>
                                  </w:divBdr>
                                  <w:divsChild>
                                    <w:div w:id="50790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668492">
      <w:bodyDiv w:val="1"/>
      <w:marLeft w:val="0"/>
      <w:marRight w:val="0"/>
      <w:marTop w:val="0"/>
      <w:marBottom w:val="0"/>
      <w:divBdr>
        <w:top w:val="none" w:sz="0" w:space="0" w:color="auto"/>
        <w:left w:val="none" w:sz="0" w:space="0" w:color="auto"/>
        <w:bottom w:val="none" w:sz="0" w:space="0" w:color="auto"/>
        <w:right w:val="none" w:sz="0" w:space="0" w:color="auto"/>
      </w:divBdr>
      <w:divsChild>
        <w:div w:id="1008606738">
          <w:marLeft w:val="0"/>
          <w:marRight w:val="0"/>
          <w:marTop w:val="0"/>
          <w:marBottom w:val="0"/>
          <w:divBdr>
            <w:top w:val="none" w:sz="0" w:space="0" w:color="auto"/>
            <w:left w:val="none" w:sz="0" w:space="0" w:color="auto"/>
            <w:bottom w:val="dotted" w:sz="6" w:space="4" w:color="DDDDDD"/>
            <w:right w:val="none" w:sz="0" w:space="0" w:color="auto"/>
          </w:divBdr>
        </w:div>
      </w:divsChild>
    </w:div>
    <w:div w:id="971982117">
      <w:bodyDiv w:val="1"/>
      <w:marLeft w:val="0"/>
      <w:marRight w:val="0"/>
      <w:marTop w:val="0"/>
      <w:marBottom w:val="0"/>
      <w:divBdr>
        <w:top w:val="none" w:sz="0" w:space="0" w:color="auto"/>
        <w:left w:val="none" w:sz="0" w:space="0" w:color="auto"/>
        <w:bottom w:val="none" w:sz="0" w:space="0" w:color="auto"/>
        <w:right w:val="none" w:sz="0" w:space="0" w:color="auto"/>
      </w:divBdr>
      <w:divsChild>
        <w:div w:id="1762096186">
          <w:marLeft w:val="0"/>
          <w:marRight w:val="0"/>
          <w:marTop w:val="300"/>
          <w:marBottom w:val="0"/>
          <w:divBdr>
            <w:top w:val="none" w:sz="0" w:space="0" w:color="auto"/>
            <w:left w:val="none" w:sz="0" w:space="0" w:color="auto"/>
            <w:bottom w:val="none" w:sz="0" w:space="0" w:color="auto"/>
            <w:right w:val="none" w:sz="0" w:space="0" w:color="auto"/>
          </w:divBdr>
        </w:div>
      </w:divsChild>
    </w:div>
    <w:div w:id="972368990">
      <w:bodyDiv w:val="1"/>
      <w:marLeft w:val="0"/>
      <w:marRight w:val="0"/>
      <w:marTop w:val="0"/>
      <w:marBottom w:val="0"/>
      <w:divBdr>
        <w:top w:val="none" w:sz="0" w:space="0" w:color="auto"/>
        <w:left w:val="none" w:sz="0" w:space="0" w:color="auto"/>
        <w:bottom w:val="none" w:sz="0" w:space="0" w:color="auto"/>
        <w:right w:val="none" w:sz="0" w:space="0" w:color="auto"/>
      </w:divBdr>
      <w:divsChild>
        <w:div w:id="1609660743">
          <w:marLeft w:val="0"/>
          <w:marRight w:val="0"/>
          <w:marTop w:val="0"/>
          <w:marBottom w:val="150"/>
          <w:divBdr>
            <w:top w:val="none" w:sz="0" w:space="0" w:color="auto"/>
            <w:left w:val="none" w:sz="0" w:space="0" w:color="auto"/>
            <w:bottom w:val="none" w:sz="0" w:space="0" w:color="auto"/>
            <w:right w:val="none" w:sz="0" w:space="0" w:color="auto"/>
          </w:divBdr>
        </w:div>
      </w:divsChild>
    </w:div>
    <w:div w:id="972638791">
      <w:bodyDiv w:val="1"/>
      <w:marLeft w:val="0"/>
      <w:marRight w:val="0"/>
      <w:marTop w:val="0"/>
      <w:marBottom w:val="0"/>
      <w:divBdr>
        <w:top w:val="none" w:sz="0" w:space="0" w:color="auto"/>
        <w:left w:val="none" w:sz="0" w:space="0" w:color="auto"/>
        <w:bottom w:val="none" w:sz="0" w:space="0" w:color="auto"/>
        <w:right w:val="none" w:sz="0" w:space="0" w:color="auto"/>
      </w:divBdr>
    </w:div>
    <w:div w:id="973144848">
      <w:bodyDiv w:val="1"/>
      <w:marLeft w:val="0"/>
      <w:marRight w:val="0"/>
      <w:marTop w:val="0"/>
      <w:marBottom w:val="0"/>
      <w:divBdr>
        <w:top w:val="none" w:sz="0" w:space="0" w:color="auto"/>
        <w:left w:val="none" w:sz="0" w:space="0" w:color="auto"/>
        <w:bottom w:val="none" w:sz="0" w:space="0" w:color="auto"/>
        <w:right w:val="none" w:sz="0" w:space="0" w:color="auto"/>
      </w:divBdr>
      <w:divsChild>
        <w:div w:id="655957883">
          <w:marLeft w:val="0"/>
          <w:marRight w:val="0"/>
          <w:marTop w:val="0"/>
          <w:marBottom w:val="150"/>
          <w:divBdr>
            <w:top w:val="none" w:sz="0" w:space="0" w:color="auto"/>
            <w:left w:val="none" w:sz="0" w:space="0" w:color="auto"/>
            <w:bottom w:val="none" w:sz="0" w:space="0" w:color="auto"/>
            <w:right w:val="none" w:sz="0" w:space="0" w:color="auto"/>
          </w:divBdr>
        </w:div>
      </w:divsChild>
    </w:div>
    <w:div w:id="973214762">
      <w:bodyDiv w:val="1"/>
      <w:marLeft w:val="0"/>
      <w:marRight w:val="0"/>
      <w:marTop w:val="0"/>
      <w:marBottom w:val="0"/>
      <w:divBdr>
        <w:top w:val="none" w:sz="0" w:space="0" w:color="auto"/>
        <w:left w:val="none" w:sz="0" w:space="0" w:color="auto"/>
        <w:bottom w:val="none" w:sz="0" w:space="0" w:color="auto"/>
        <w:right w:val="none" w:sz="0" w:space="0" w:color="auto"/>
      </w:divBdr>
    </w:div>
    <w:div w:id="973217707">
      <w:bodyDiv w:val="1"/>
      <w:marLeft w:val="0"/>
      <w:marRight w:val="0"/>
      <w:marTop w:val="0"/>
      <w:marBottom w:val="0"/>
      <w:divBdr>
        <w:top w:val="none" w:sz="0" w:space="0" w:color="auto"/>
        <w:left w:val="none" w:sz="0" w:space="0" w:color="auto"/>
        <w:bottom w:val="none" w:sz="0" w:space="0" w:color="auto"/>
        <w:right w:val="none" w:sz="0" w:space="0" w:color="auto"/>
      </w:divBdr>
      <w:divsChild>
        <w:div w:id="263001625">
          <w:marLeft w:val="0"/>
          <w:marRight w:val="0"/>
          <w:marTop w:val="0"/>
          <w:marBottom w:val="0"/>
          <w:divBdr>
            <w:top w:val="none" w:sz="0" w:space="0" w:color="auto"/>
            <w:left w:val="none" w:sz="0" w:space="0" w:color="auto"/>
            <w:bottom w:val="dotted" w:sz="6" w:space="4" w:color="DDDDDD"/>
            <w:right w:val="none" w:sz="0" w:space="0" w:color="auto"/>
          </w:divBdr>
          <w:divsChild>
            <w:div w:id="104248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145584">
      <w:bodyDiv w:val="1"/>
      <w:marLeft w:val="0"/>
      <w:marRight w:val="0"/>
      <w:marTop w:val="0"/>
      <w:marBottom w:val="0"/>
      <w:divBdr>
        <w:top w:val="none" w:sz="0" w:space="0" w:color="auto"/>
        <w:left w:val="none" w:sz="0" w:space="0" w:color="auto"/>
        <w:bottom w:val="none" w:sz="0" w:space="0" w:color="auto"/>
        <w:right w:val="none" w:sz="0" w:space="0" w:color="auto"/>
      </w:divBdr>
      <w:divsChild>
        <w:div w:id="1607929151">
          <w:marLeft w:val="0"/>
          <w:marRight w:val="0"/>
          <w:marTop w:val="0"/>
          <w:marBottom w:val="0"/>
          <w:divBdr>
            <w:top w:val="none" w:sz="0" w:space="0" w:color="auto"/>
            <w:left w:val="none" w:sz="0" w:space="0" w:color="auto"/>
            <w:bottom w:val="none" w:sz="0" w:space="0" w:color="auto"/>
            <w:right w:val="none" w:sz="0" w:space="0" w:color="auto"/>
          </w:divBdr>
        </w:div>
      </w:divsChild>
    </w:div>
    <w:div w:id="974797466">
      <w:bodyDiv w:val="1"/>
      <w:marLeft w:val="0"/>
      <w:marRight w:val="0"/>
      <w:marTop w:val="0"/>
      <w:marBottom w:val="0"/>
      <w:divBdr>
        <w:top w:val="none" w:sz="0" w:space="0" w:color="auto"/>
        <w:left w:val="none" w:sz="0" w:space="0" w:color="auto"/>
        <w:bottom w:val="none" w:sz="0" w:space="0" w:color="auto"/>
        <w:right w:val="none" w:sz="0" w:space="0" w:color="auto"/>
      </w:divBdr>
      <w:divsChild>
        <w:div w:id="1418478605">
          <w:marLeft w:val="0"/>
          <w:marRight w:val="0"/>
          <w:marTop w:val="0"/>
          <w:marBottom w:val="0"/>
          <w:divBdr>
            <w:top w:val="none" w:sz="0" w:space="0" w:color="auto"/>
            <w:left w:val="none" w:sz="0" w:space="0" w:color="auto"/>
            <w:bottom w:val="dotted" w:sz="6" w:space="4" w:color="DDDDDD"/>
            <w:right w:val="none" w:sz="0" w:space="0" w:color="auto"/>
          </w:divBdr>
          <w:divsChild>
            <w:div w:id="213733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338425">
      <w:bodyDiv w:val="1"/>
      <w:marLeft w:val="0"/>
      <w:marRight w:val="0"/>
      <w:marTop w:val="0"/>
      <w:marBottom w:val="0"/>
      <w:divBdr>
        <w:top w:val="none" w:sz="0" w:space="0" w:color="auto"/>
        <w:left w:val="none" w:sz="0" w:space="0" w:color="auto"/>
        <w:bottom w:val="none" w:sz="0" w:space="0" w:color="auto"/>
        <w:right w:val="none" w:sz="0" w:space="0" w:color="auto"/>
      </w:divBdr>
      <w:divsChild>
        <w:div w:id="132069071">
          <w:marLeft w:val="0"/>
          <w:marRight w:val="0"/>
          <w:marTop w:val="0"/>
          <w:marBottom w:val="150"/>
          <w:divBdr>
            <w:top w:val="none" w:sz="0" w:space="0" w:color="auto"/>
            <w:left w:val="none" w:sz="0" w:space="0" w:color="auto"/>
            <w:bottom w:val="none" w:sz="0" w:space="0" w:color="auto"/>
            <w:right w:val="none" w:sz="0" w:space="0" w:color="auto"/>
          </w:divBdr>
          <w:divsChild>
            <w:div w:id="78412385">
              <w:marLeft w:val="0"/>
              <w:marRight w:val="0"/>
              <w:marTop w:val="0"/>
              <w:marBottom w:val="0"/>
              <w:divBdr>
                <w:top w:val="none" w:sz="0" w:space="0" w:color="auto"/>
                <w:left w:val="none" w:sz="0" w:space="0" w:color="auto"/>
                <w:bottom w:val="none" w:sz="0" w:space="0" w:color="auto"/>
                <w:right w:val="none" w:sz="0" w:space="0" w:color="auto"/>
              </w:divBdr>
            </w:div>
          </w:divsChild>
        </w:div>
        <w:div w:id="777138031">
          <w:marLeft w:val="0"/>
          <w:marRight w:val="0"/>
          <w:marTop w:val="0"/>
          <w:marBottom w:val="150"/>
          <w:divBdr>
            <w:top w:val="none" w:sz="0" w:space="0" w:color="auto"/>
            <w:left w:val="none" w:sz="0" w:space="0" w:color="auto"/>
            <w:bottom w:val="none" w:sz="0" w:space="0" w:color="auto"/>
            <w:right w:val="none" w:sz="0" w:space="0" w:color="auto"/>
          </w:divBdr>
        </w:div>
      </w:divsChild>
    </w:div>
    <w:div w:id="975404658">
      <w:bodyDiv w:val="1"/>
      <w:marLeft w:val="0"/>
      <w:marRight w:val="0"/>
      <w:marTop w:val="0"/>
      <w:marBottom w:val="0"/>
      <w:divBdr>
        <w:top w:val="none" w:sz="0" w:space="0" w:color="auto"/>
        <w:left w:val="none" w:sz="0" w:space="0" w:color="auto"/>
        <w:bottom w:val="none" w:sz="0" w:space="0" w:color="auto"/>
        <w:right w:val="none" w:sz="0" w:space="0" w:color="auto"/>
      </w:divBdr>
      <w:divsChild>
        <w:div w:id="899365303">
          <w:marLeft w:val="0"/>
          <w:marRight w:val="0"/>
          <w:marTop w:val="0"/>
          <w:marBottom w:val="0"/>
          <w:divBdr>
            <w:top w:val="none" w:sz="0" w:space="0" w:color="auto"/>
            <w:left w:val="none" w:sz="0" w:space="0" w:color="auto"/>
            <w:bottom w:val="none" w:sz="0" w:space="0" w:color="auto"/>
            <w:right w:val="none" w:sz="0" w:space="0" w:color="auto"/>
          </w:divBdr>
          <w:divsChild>
            <w:div w:id="279649143">
              <w:marLeft w:val="0"/>
              <w:marRight w:val="0"/>
              <w:marTop w:val="0"/>
              <w:marBottom w:val="0"/>
              <w:divBdr>
                <w:top w:val="none" w:sz="0" w:space="0" w:color="auto"/>
                <w:left w:val="none" w:sz="0" w:space="0" w:color="auto"/>
                <w:bottom w:val="none" w:sz="0" w:space="0" w:color="auto"/>
                <w:right w:val="none" w:sz="0" w:space="0" w:color="auto"/>
              </w:divBdr>
              <w:divsChild>
                <w:div w:id="1146698490">
                  <w:marLeft w:val="0"/>
                  <w:marRight w:val="0"/>
                  <w:marTop w:val="0"/>
                  <w:marBottom w:val="0"/>
                  <w:divBdr>
                    <w:top w:val="none" w:sz="0" w:space="0" w:color="auto"/>
                    <w:left w:val="none" w:sz="0" w:space="0" w:color="auto"/>
                    <w:bottom w:val="none" w:sz="0" w:space="0" w:color="auto"/>
                    <w:right w:val="none" w:sz="0" w:space="0" w:color="auto"/>
                  </w:divBdr>
                  <w:divsChild>
                    <w:div w:id="833764078">
                      <w:marLeft w:val="0"/>
                      <w:marRight w:val="0"/>
                      <w:marTop w:val="0"/>
                      <w:marBottom w:val="0"/>
                      <w:divBdr>
                        <w:top w:val="none" w:sz="0" w:space="0" w:color="auto"/>
                        <w:left w:val="none" w:sz="0" w:space="0" w:color="auto"/>
                        <w:bottom w:val="none" w:sz="0" w:space="0" w:color="auto"/>
                        <w:right w:val="none" w:sz="0" w:space="0" w:color="auto"/>
                      </w:divBdr>
                      <w:divsChild>
                        <w:div w:id="1778062128">
                          <w:marLeft w:val="0"/>
                          <w:marRight w:val="0"/>
                          <w:marTop w:val="0"/>
                          <w:marBottom w:val="0"/>
                          <w:divBdr>
                            <w:top w:val="none" w:sz="0" w:space="0" w:color="auto"/>
                            <w:left w:val="none" w:sz="0" w:space="0" w:color="auto"/>
                            <w:bottom w:val="none" w:sz="0" w:space="0" w:color="auto"/>
                            <w:right w:val="none" w:sz="0" w:space="0" w:color="auto"/>
                          </w:divBdr>
                          <w:divsChild>
                            <w:div w:id="2050258241">
                              <w:marLeft w:val="0"/>
                              <w:marRight w:val="0"/>
                              <w:marTop w:val="0"/>
                              <w:marBottom w:val="0"/>
                              <w:divBdr>
                                <w:top w:val="none" w:sz="0" w:space="0" w:color="auto"/>
                                <w:left w:val="none" w:sz="0" w:space="0" w:color="auto"/>
                                <w:bottom w:val="none" w:sz="0" w:space="0" w:color="auto"/>
                                <w:right w:val="none" w:sz="0" w:space="0" w:color="auto"/>
                              </w:divBdr>
                              <w:divsChild>
                                <w:div w:id="309481017">
                                  <w:marLeft w:val="0"/>
                                  <w:marRight w:val="0"/>
                                  <w:marTop w:val="0"/>
                                  <w:marBottom w:val="0"/>
                                  <w:divBdr>
                                    <w:top w:val="none" w:sz="0" w:space="0" w:color="auto"/>
                                    <w:left w:val="none" w:sz="0" w:space="0" w:color="auto"/>
                                    <w:bottom w:val="none" w:sz="0" w:space="0" w:color="auto"/>
                                    <w:right w:val="none" w:sz="0" w:space="0" w:color="auto"/>
                                  </w:divBdr>
                                  <w:divsChild>
                                    <w:div w:id="78689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724922">
      <w:bodyDiv w:val="1"/>
      <w:marLeft w:val="0"/>
      <w:marRight w:val="0"/>
      <w:marTop w:val="0"/>
      <w:marBottom w:val="0"/>
      <w:divBdr>
        <w:top w:val="none" w:sz="0" w:space="0" w:color="auto"/>
        <w:left w:val="none" w:sz="0" w:space="0" w:color="auto"/>
        <w:bottom w:val="none" w:sz="0" w:space="0" w:color="auto"/>
        <w:right w:val="none" w:sz="0" w:space="0" w:color="auto"/>
      </w:divBdr>
    </w:div>
    <w:div w:id="976373819">
      <w:bodyDiv w:val="1"/>
      <w:marLeft w:val="0"/>
      <w:marRight w:val="0"/>
      <w:marTop w:val="0"/>
      <w:marBottom w:val="0"/>
      <w:divBdr>
        <w:top w:val="none" w:sz="0" w:space="0" w:color="auto"/>
        <w:left w:val="none" w:sz="0" w:space="0" w:color="auto"/>
        <w:bottom w:val="none" w:sz="0" w:space="0" w:color="auto"/>
        <w:right w:val="none" w:sz="0" w:space="0" w:color="auto"/>
      </w:divBdr>
      <w:divsChild>
        <w:div w:id="1541286386">
          <w:marLeft w:val="0"/>
          <w:marRight w:val="0"/>
          <w:marTop w:val="0"/>
          <w:marBottom w:val="0"/>
          <w:divBdr>
            <w:top w:val="none" w:sz="0" w:space="0" w:color="auto"/>
            <w:left w:val="none" w:sz="0" w:space="0" w:color="auto"/>
            <w:bottom w:val="dotted" w:sz="6" w:space="4" w:color="DDDDDD"/>
            <w:right w:val="none" w:sz="0" w:space="0" w:color="auto"/>
          </w:divBdr>
        </w:div>
      </w:divsChild>
    </w:div>
    <w:div w:id="976453604">
      <w:bodyDiv w:val="1"/>
      <w:marLeft w:val="0"/>
      <w:marRight w:val="0"/>
      <w:marTop w:val="0"/>
      <w:marBottom w:val="0"/>
      <w:divBdr>
        <w:top w:val="none" w:sz="0" w:space="0" w:color="auto"/>
        <w:left w:val="none" w:sz="0" w:space="0" w:color="auto"/>
        <w:bottom w:val="none" w:sz="0" w:space="0" w:color="auto"/>
        <w:right w:val="none" w:sz="0" w:space="0" w:color="auto"/>
      </w:divBdr>
      <w:divsChild>
        <w:div w:id="868181908">
          <w:marLeft w:val="0"/>
          <w:marRight w:val="0"/>
          <w:marTop w:val="0"/>
          <w:marBottom w:val="0"/>
          <w:divBdr>
            <w:top w:val="none" w:sz="0" w:space="0" w:color="auto"/>
            <w:left w:val="none" w:sz="0" w:space="0" w:color="auto"/>
            <w:bottom w:val="none" w:sz="0" w:space="0" w:color="auto"/>
            <w:right w:val="none" w:sz="0" w:space="0" w:color="auto"/>
          </w:divBdr>
          <w:divsChild>
            <w:div w:id="223874896">
              <w:marLeft w:val="0"/>
              <w:marRight w:val="0"/>
              <w:marTop w:val="0"/>
              <w:marBottom w:val="0"/>
              <w:divBdr>
                <w:top w:val="none" w:sz="0" w:space="0" w:color="auto"/>
                <w:left w:val="none" w:sz="0" w:space="0" w:color="auto"/>
                <w:bottom w:val="none" w:sz="0" w:space="0" w:color="auto"/>
                <w:right w:val="none" w:sz="0" w:space="0" w:color="auto"/>
              </w:divBdr>
            </w:div>
            <w:div w:id="519659257">
              <w:marLeft w:val="0"/>
              <w:marRight w:val="0"/>
              <w:marTop w:val="0"/>
              <w:marBottom w:val="0"/>
              <w:divBdr>
                <w:top w:val="none" w:sz="0" w:space="0" w:color="auto"/>
                <w:left w:val="none" w:sz="0" w:space="0" w:color="auto"/>
                <w:bottom w:val="none" w:sz="0" w:space="0" w:color="auto"/>
                <w:right w:val="none" w:sz="0" w:space="0" w:color="auto"/>
              </w:divBdr>
            </w:div>
            <w:div w:id="1270161983">
              <w:marLeft w:val="0"/>
              <w:marRight w:val="0"/>
              <w:marTop w:val="0"/>
              <w:marBottom w:val="0"/>
              <w:divBdr>
                <w:top w:val="none" w:sz="0" w:space="0" w:color="auto"/>
                <w:left w:val="none" w:sz="0" w:space="0" w:color="auto"/>
                <w:bottom w:val="none" w:sz="0" w:space="0" w:color="auto"/>
                <w:right w:val="none" w:sz="0" w:space="0" w:color="auto"/>
              </w:divBdr>
            </w:div>
            <w:div w:id="1609043616">
              <w:marLeft w:val="0"/>
              <w:marRight w:val="0"/>
              <w:marTop w:val="0"/>
              <w:marBottom w:val="0"/>
              <w:divBdr>
                <w:top w:val="none" w:sz="0" w:space="0" w:color="auto"/>
                <w:left w:val="none" w:sz="0" w:space="0" w:color="auto"/>
                <w:bottom w:val="none" w:sz="0" w:space="0" w:color="auto"/>
                <w:right w:val="none" w:sz="0" w:space="0" w:color="auto"/>
              </w:divBdr>
            </w:div>
            <w:div w:id="2068674813">
              <w:marLeft w:val="0"/>
              <w:marRight w:val="0"/>
              <w:marTop w:val="0"/>
              <w:marBottom w:val="0"/>
              <w:divBdr>
                <w:top w:val="none" w:sz="0" w:space="0" w:color="auto"/>
                <w:left w:val="none" w:sz="0" w:space="0" w:color="auto"/>
                <w:bottom w:val="none" w:sz="0" w:space="0" w:color="auto"/>
                <w:right w:val="none" w:sz="0" w:space="0" w:color="auto"/>
              </w:divBdr>
              <w:divsChild>
                <w:div w:id="210275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688617">
      <w:bodyDiv w:val="1"/>
      <w:marLeft w:val="0"/>
      <w:marRight w:val="0"/>
      <w:marTop w:val="0"/>
      <w:marBottom w:val="0"/>
      <w:divBdr>
        <w:top w:val="none" w:sz="0" w:space="0" w:color="auto"/>
        <w:left w:val="none" w:sz="0" w:space="0" w:color="auto"/>
        <w:bottom w:val="none" w:sz="0" w:space="0" w:color="auto"/>
        <w:right w:val="none" w:sz="0" w:space="0" w:color="auto"/>
      </w:divBdr>
      <w:divsChild>
        <w:div w:id="1297419303">
          <w:marLeft w:val="0"/>
          <w:marRight w:val="0"/>
          <w:marTop w:val="0"/>
          <w:marBottom w:val="0"/>
          <w:divBdr>
            <w:top w:val="none" w:sz="0" w:space="0" w:color="auto"/>
            <w:left w:val="none" w:sz="0" w:space="0" w:color="auto"/>
            <w:bottom w:val="none" w:sz="0" w:space="0" w:color="auto"/>
            <w:right w:val="none" w:sz="0" w:space="0" w:color="auto"/>
          </w:divBdr>
        </w:div>
      </w:divsChild>
    </w:div>
    <w:div w:id="976952169">
      <w:bodyDiv w:val="1"/>
      <w:marLeft w:val="0"/>
      <w:marRight w:val="0"/>
      <w:marTop w:val="0"/>
      <w:marBottom w:val="0"/>
      <w:divBdr>
        <w:top w:val="none" w:sz="0" w:space="0" w:color="auto"/>
        <w:left w:val="none" w:sz="0" w:space="0" w:color="auto"/>
        <w:bottom w:val="none" w:sz="0" w:space="0" w:color="auto"/>
        <w:right w:val="none" w:sz="0" w:space="0" w:color="auto"/>
      </w:divBdr>
      <w:divsChild>
        <w:div w:id="1812551574">
          <w:marLeft w:val="0"/>
          <w:marRight w:val="0"/>
          <w:marTop w:val="0"/>
          <w:marBottom w:val="0"/>
          <w:divBdr>
            <w:top w:val="none" w:sz="0" w:space="0" w:color="auto"/>
            <w:left w:val="none" w:sz="0" w:space="0" w:color="auto"/>
            <w:bottom w:val="none" w:sz="0" w:space="0" w:color="auto"/>
            <w:right w:val="none" w:sz="0" w:space="0" w:color="auto"/>
          </w:divBdr>
          <w:divsChild>
            <w:div w:id="2080710224">
              <w:marLeft w:val="0"/>
              <w:marRight w:val="0"/>
              <w:marTop w:val="0"/>
              <w:marBottom w:val="0"/>
              <w:divBdr>
                <w:top w:val="none" w:sz="0" w:space="0" w:color="auto"/>
                <w:left w:val="none" w:sz="0" w:space="0" w:color="auto"/>
                <w:bottom w:val="none" w:sz="0" w:space="0" w:color="auto"/>
                <w:right w:val="none" w:sz="0" w:space="0" w:color="auto"/>
              </w:divBdr>
              <w:divsChild>
                <w:div w:id="1548571156">
                  <w:marLeft w:val="0"/>
                  <w:marRight w:val="0"/>
                  <w:marTop w:val="0"/>
                  <w:marBottom w:val="0"/>
                  <w:divBdr>
                    <w:top w:val="none" w:sz="0" w:space="0" w:color="auto"/>
                    <w:left w:val="none" w:sz="0" w:space="0" w:color="auto"/>
                    <w:bottom w:val="none" w:sz="0" w:space="0" w:color="auto"/>
                    <w:right w:val="none" w:sz="0" w:space="0" w:color="auto"/>
                  </w:divBdr>
                  <w:divsChild>
                    <w:div w:id="1952736495">
                      <w:marLeft w:val="0"/>
                      <w:marRight w:val="0"/>
                      <w:marTop w:val="0"/>
                      <w:marBottom w:val="0"/>
                      <w:divBdr>
                        <w:top w:val="none" w:sz="0" w:space="0" w:color="auto"/>
                        <w:left w:val="none" w:sz="0" w:space="0" w:color="auto"/>
                        <w:bottom w:val="none" w:sz="0" w:space="0" w:color="auto"/>
                        <w:right w:val="none" w:sz="0" w:space="0" w:color="auto"/>
                      </w:divBdr>
                      <w:divsChild>
                        <w:div w:id="707603118">
                          <w:marLeft w:val="0"/>
                          <w:marRight w:val="0"/>
                          <w:marTop w:val="0"/>
                          <w:marBottom w:val="0"/>
                          <w:divBdr>
                            <w:top w:val="none" w:sz="0" w:space="0" w:color="auto"/>
                            <w:left w:val="none" w:sz="0" w:space="0" w:color="auto"/>
                            <w:bottom w:val="none" w:sz="0" w:space="0" w:color="auto"/>
                            <w:right w:val="none" w:sz="0" w:space="0" w:color="auto"/>
                          </w:divBdr>
                          <w:divsChild>
                            <w:div w:id="724988740">
                              <w:marLeft w:val="0"/>
                              <w:marRight w:val="0"/>
                              <w:marTop w:val="0"/>
                              <w:marBottom w:val="0"/>
                              <w:divBdr>
                                <w:top w:val="none" w:sz="0" w:space="0" w:color="auto"/>
                                <w:left w:val="none" w:sz="0" w:space="0" w:color="auto"/>
                                <w:bottom w:val="none" w:sz="0" w:space="0" w:color="auto"/>
                                <w:right w:val="none" w:sz="0" w:space="0" w:color="auto"/>
                              </w:divBdr>
                              <w:divsChild>
                                <w:div w:id="207141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7951277">
      <w:bodyDiv w:val="1"/>
      <w:marLeft w:val="0"/>
      <w:marRight w:val="0"/>
      <w:marTop w:val="0"/>
      <w:marBottom w:val="0"/>
      <w:divBdr>
        <w:top w:val="none" w:sz="0" w:space="0" w:color="auto"/>
        <w:left w:val="none" w:sz="0" w:space="0" w:color="auto"/>
        <w:bottom w:val="none" w:sz="0" w:space="0" w:color="auto"/>
        <w:right w:val="none" w:sz="0" w:space="0" w:color="auto"/>
      </w:divBdr>
    </w:div>
    <w:div w:id="977955443">
      <w:bodyDiv w:val="1"/>
      <w:marLeft w:val="0"/>
      <w:marRight w:val="0"/>
      <w:marTop w:val="0"/>
      <w:marBottom w:val="0"/>
      <w:divBdr>
        <w:top w:val="none" w:sz="0" w:space="0" w:color="auto"/>
        <w:left w:val="none" w:sz="0" w:space="0" w:color="auto"/>
        <w:bottom w:val="none" w:sz="0" w:space="0" w:color="auto"/>
        <w:right w:val="none" w:sz="0" w:space="0" w:color="auto"/>
      </w:divBdr>
    </w:div>
    <w:div w:id="978144069">
      <w:bodyDiv w:val="1"/>
      <w:marLeft w:val="0"/>
      <w:marRight w:val="0"/>
      <w:marTop w:val="0"/>
      <w:marBottom w:val="0"/>
      <w:divBdr>
        <w:top w:val="none" w:sz="0" w:space="0" w:color="auto"/>
        <w:left w:val="none" w:sz="0" w:space="0" w:color="auto"/>
        <w:bottom w:val="none" w:sz="0" w:space="0" w:color="auto"/>
        <w:right w:val="none" w:sz="0" w:space="0" w:color="auto"/>
      </w:divBdr>
    </w:div>
    <w:div w:id="978191074">
      <w:bodyDiv w:val="1"/>
      <w:marLeft w:val="0"/>
      <w:marRight w:val="0"/>
      <w:marTop w:val="0"/>
      <w:marBottom w:val="0"/>
      <w:divBdr>
        <w:top w:val="none" w:sz="0" w:space="0" w:color="auto"/>
        <w:left w:val="none" w:sz="0" w:space="0" w:color="auto"/>
        <w:bottom w:val="none" w:sz="0" w:space="0" w:color="auto"/>
        <w:right w:val="none" w:sz="0" w:space="0" w:color="auto"/>
      </w:divBdr>
      <w:divsChild>
        <w:div w:id="235673703">
          <w:marLeft w:val="0"/>
          <w:marRight w:val="0"/>
          <w:marTop w:val="0"/>
          <w:marBottom w:val="0"/>
          <w:divBdr>
            <w:top w:val="none" w:sz="0" w:space="0" w:color="auto"/>
            <w:left w:val="none" w:sz="0" w:space="0" w:color="auto"/>
            <w:bottom w:val="dotted" w:sz="6" w:space="4" w:color="DDDDDD"/>
            <w:right w:val="none" w:sz="0" w:space="0" w:color="auto"/>
          </w:divBdr>
          <w:divsChild>
            <w:div w:id="188948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69167">
      <w:bodyDiv w:val="1"/>
      <w:marLeft w:val="0"/>
      <w:marRight w:val="0"/>
      <w:marTop w:val="0"/>
      <w:marBottom w:val="0"/>
      <w:divBdr>
        <w:top w:val="none" w:sz="0" w:space="0" w:color="auto"/>
        <w:left w:val="none" w:sz="0" w:space="0" w:color="auto"/>
        <w:bottom w:val="none" w:sz="0" w:space="0" w:color="auto"/>
        <w:right w:val="none" w:sz="0" w:space="0" w:color="auto"/>
      </w:divBdr>
      <w:divsChild>
        <w:div w:id="154683255">
          <w:marLeft w:val="0"/>
          <w:marRight w:val="0"/>
          <w:marTop w:val="0"/>
          <w:marBottom w:val="0"/>
          <w:divBdr>
            <w:top w:val="none" w:sz="0" w:space="0" w:color="auto"/>
            <w:left w:val="none" w:sz="0" w:space="0" w:color="auto"/>
            <w:bottom w:val="dotted" w:sz="6" w:space="4" w:color="DDDDDD"/>
            <w:right w:val="none" w:sz="0" w:space="0" w:color="auto"/>
          </w:divBdr>
          <w:divsChild>
            <w:div w:id="185016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843547">
      <w:bodyDiv w:val="1"/>
      <w:marLeft w:val="0"/>
      <w:marRight w:val="0"/>
      <w:marTop w:val="0"/>
      <w:marBottom w:val="0"/>
      <w:divBdr>
        <w:top w:val="none" w:sz="0" w:space="0" w:color="auto"/>
        <w:left w:val="none" w:sz="0" w:space="0" w:color="auto"/>
        <w:bottom w:val="none" w:sz="0" w:space="0" w:color="auto"/>
        <w:right w:val="none" w:sz="0" w:space="0" w:color="auto"/>
      </w:divBdr>
      <w:divsChild>
        <w:div w:id="16085016">
          <w:marLeft w:val="0"/>
          <w:marRight w:val="0"/>
          <w:marTop w:val="0"/>
          <w:marBottom w:val="75"/>
          <w:divBdr>
            <w:top w:val="none" w:sz="0" w:space="0" w:color="auto"/>
            <w:left w:val="none" w:sz="0" w:space="0" w:color="auto"/>
            <w:bottom w:val="none" w:sz="0" w:space="0" w:color="auto"/>
            <w:right w:val="none" w:sz="0" w:space="0" w:color="auto"/>
          </w:divBdr>
        </w:div>
        <w:div w:id="1261985797">
          <w:marLeft w:val="0"/>
          <w:marRight w:val="0"/>
          <w:marTop w:val="0"/>
          <w:marBottom w:val="0"/>
          <w:divBdr>
            <w:top w:val="none" w:sz="0" w:space="0" w:color="auto"/>
            <w:left w:val="none" w:sz="0" w:space="0" w:color="auto"/>
            <w:bottom w:val="none" w:sz="0" w:space="0" w:color="auto"/>
            <w:right w:val="none" w:sz="0" w:space="0" w:color="auto"/>
          </w:divBdr>
        </w:div>
        <w:div w:id="1535462278">
          <w:marLeft w:val="0"/>
          <w:marRight w:val="0"/>
          <w:marTop w:val="0"/>
          <w:marBottom w:val="0"/>
          <w:divBdr>
            <w:top w:val="none" w:sz="0" w:space="0" w:color="auto"/>
            <w:left w:val="none" w:sz="0" w:space="0" w:color="auto"/>
            <w:bottom w:val="none" w:sz="0" w:space="0" w:color="auto"/>
            <w:right w:val="none" w:sz="0" w:space="0" w:color="auto"/>
          </w:divBdr>
          <w:divsChild>
            <w:div w:id="1895699763">
              <w:marLeft w:val="0"/>
              <w:marRight w:val="0"/>
              <w:marTop w:val="0"/>
              <w:marBottom w:val="0"/>
              <w:divBdr>
                <w:top w:val="none" w:sz="0" w:space="0" w:color="auto"/>
                <w:left w:val="none" w:sz="0" w:space="0" w:color="auto"/>
                <w:bottom w:val="none" w:sz="0" w:space="0" w:color="auto"/>
                <w:right w:val="none" w:sz="0" w:space="0" w:color="auto"/>
              </w:divBdr>
              <w:divsChild>
                <w:div w:id="150890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437885">
          <w:marLeft w:val="0"/>
          <w:marRight w:val="0"/>
          <w:marTop w:val="0"/>
          <w:marBottom w:val="300"/>
          <w:divBdr>
            <w:top w:val="none" w:sz="0" w:space="0" w:color="auto"/>
            <w:left w:val="none" w:sz="0" w:space="0" w:color="auto"/>
            <w:bottom w:val="none" w:sz="0" w:space="0" w:color="auto"/>
            <w:right w:val="none" w:sz="0" w:space="0" w:color="auto"/>
          </w:divBdr>
          <w:divsChild>
            <w:div w:id="200666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847045">
      <w:bodyDiv w:val="1"/>
      <w:marLeft w:val="0"/>
      <w:marRight w:val="0"/>
      <w:marTop w:val="0"/>
      <w:marBottom w:val="0"/>
      <w:divBdr>
        <w:top w:val="none" w:sz="0" w:space="0" w:color="auto"/>
        <w:left w:val="none" w:sz="0" w:space="0" w:color="auto"/>
        <w:bottom w:val="none" w:sz="0" w:space="0" w:color="auto"/>
        <w:right w:val="none" w:sz="0" w:space="0" w:color="auto"/>
      </w:divBdr>
    </w:div>
    <w:div w:id="980035055">
      <w:bodyDiv w:val="1"/>
      <w:marLeft w:val="0"/>
      <w:marRight w:val="0"/>
      <w:marTop w:val="0"/>
      <w:marBottom w:val="0"/>
      <w:divBdr>
        <w:top w:val="none" w:sz="0" w:space="0" w:color="auto"/>
        <w:left w:val="none" w:sz="0" w:space="0" w:color="auto"/>
        <w:bottom w:val="none" w:sz="0" w:space="0" w:color="auto"/>
        <w:right w:val="none" w:sz="0" w:space="0" w:color="auto"/>
      </w:divBdr>
      <w:divsChild>
        <w:div w:id="102960965">
          <w:marLeft w:val="0"/>
          <w:marRight w:val="0"/>
          <w:marTop w:val="0"/>
          <w:marBottom w:val="225"/>
          <w:divBdr>
            <w:top w:val="none" w:sz="0" w:space="0" w:color="auto"/>
            <w:left w:val="none" w:sz="0" w:space="0" w:color="auto"/>
            <w:bottom w:val="none" w:sz="0" w:space="0" w:color="auto"/>
            <w:right w:val="none" w:sz="0" w:space="0" w:color="auto"/>
          </w:divBdr>
        </w:div>
        <w:div w:id="721052250">
          <w:marLeft w:val="0"/>
          <w:marRight w:val="0"/>
          <w:marTop w:val="0"/>
          <w:marBottom w:val="225"/>
          <w:divBdr>
            <w:top w:val="none" w:sz="0" w:space="0" w:color="auto"/>
            <w:left w:val="none" w:sz="0" w:space="0" w:color="auto"/>
            <w:bottom w:val="none" w:sz="0" w:space="0" w:color="auto"/>
            <w:right w:val="none" w:sz="0" w:space="0" w:color="auto"/>
          </w:divBdr>
          <w:divsChild>
            <w:div w:id="165729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28106">
      <w:bodyDiv w:val="1"/>
      <w:marLeft w:val="0"/>
      <w:marRight w:val="0"/>
      <w:marTop w:val="0"/>
      <w:marBottom w:val="0"/>
      <w:divBdr>
        <w:top w:val="none" w:sz="0" w:space="0" w:color="auto"/>
        <w:left w:val="none" w:sz="0" w:space="0" w:color="auto"/>
        <w:bottom w:val="none" w:sz="0" w:space="0" w:color="auto"/>
        <w:right w:val="none" w:sz="0" w:space="0" w:color="auto"/>
      </w:divBdr>
      <w:divsChild>
        <w:div w:id="342588253">
          <w:marLeft w:val="0"/>
          <w:marRight w:val="0"/>
          <w:marTop w:val="0"/>
          <w:marBottom w:val="0"/>
          <w:divBdr>
            <w:top w:val="none" w:sz="0" w:space="0" w:color="auto"/>
            <w:left w:val="none" w:sz="0" w:space="0" w:color="auto"/>
            <w:bottom w:val="dotted" w:sz="6" w:space="4" w:color="DDDDDD"/>
            <w:right w:val="none" w:sz="0" w:space="0" w:color="auto"/>
          </w:divBdr>
          <w:divsChild>
            <w:div w:id="53728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770433">
      <w:bodyDiv w:val="1"/>
      <w:marLeft w:val="0"/>
      <w:marRight w:val="0"/>
      <w:marTop w:val="0"/>
      <w:marBottom w:val="0"/>
      <w:divBdr>
        <w:top w:val="none" w:sz="0" w:space="0" w:color="auto"/>
        <w:left w:val="none" w:sz="0" w:space="0" w:color="auto"/>
        <w:bottom w:val="none" w:sz="0" w:space="0" w:color="auto"/>
        <w:right w:val="none" w:sz="0" w:space="0" w:color="auto"/>
      </w:divBdr>
    </w:div>
    <w:div w:id="981158950">
      <w:bodyDiv w:val="1"/>
      <w:marLeft w:val="0"/>
      <w:marRight w:val="0"/>
      <w:marTop w:val="0"/>
      <w:marBottom w:val="0"/>
      <w:divBdr>
        <w:top w:val="none" w:sz="0" w:space="0" w:color="auto"/>
        <w:left w:val="none" w:sz="0" w:space="0" w:color="auto"/>
        <w:bottom w:val="none" w:sz="0" w:space="0" w:color="auto"/>
        <w:right w:val="none" w:sz="0" w:space="0" w:color="auto"/>
      </w:divBdr>
      <w:divsChild>
        <w:div w:id="1685814826">
          <w:marLeft w:val="0"/>
          <w:marRight w:val="0"/>
          <w:marTop w:val="0"/>
          <w:marBottom w:val="0"/>
          <w:divBdr>
            <w:top w:val="none" w:sz="0" w:space="0" w:color="auto"/>
            <w:left w:val="none" w:sz="0" w:space="0" w:color="auto"/>
            <w:bottom w:val="dotted" w:sz="6" w:space="4" w:color="DDDDDD"/>
            <w:right w:val="none" w:sz="0" w:space="0" w:color="auto"/>
          </w:divBdr>
        </w:div>
      </w:divsChild>
    </w:div>
    <w:div w:id="981812625">
      <w:bodyDiv w:val="1"/>
      <w:marLeft w:val="0"/>
      <w:marRight w:val="0"/>
      <w:marTop w:val="0"/>
      <w:marBottom w:val="0"/>
      <w:divBdr>
        <w:top w:val="none" w:sz="0" w:space="0" w:color="auto"/>
        <w:left w:val="none" w:sz="0" w:space="0" w:color="auto"/>
        <w:bottom w:val="none" w:sz="0" w:space="0" w:color="auto"/>
        <w:right w:val="none" w:sz="0" w:space="0" w:color="auto"/>
      </w:divBdr>
      <w:divsChild>
        <w:div w:id="467935422">
          <w:marLeft w:val="0"/>
          <w:marRight w:val="0"/>
          <w:marTop w:val="0"/>
          <w:marBottom w:val="0"/>
          <w:divBdr>
            <w:top w:val="none" w:sz="0" w:space="0" w:color="auto"/>
            <w:left w:val="none" w:sz="0" w:space="0" w:color="auto"/>
            <w:bottom w:val="dotted" w:sz="6" w:space="4" w:color="DDDDDD"/>
            <w:right w:val="none" w:sz="0" w:space="0" w:color="auto"/>
          </w:divBdr>
          <w:divsChild>
            <w:div w:id="55091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932011">
      <w:bodyDiv w:val="1"/>
      <w:marLeft w:val="0"/>
      <w:marRight w:val="0"/>
      <w:marTop w:val="0"/>
      <w:marBottom w:val="0"/>
      <w:divBdr>
        <w:top w:val="none" w:sz="0" w:space="0" w:color="auto"/>
        <w:left w:val="none" w:sz="0" w:space="0" w:color="auto"/>
        <w:bottom w:val="none" w:sz="0" w:space="0" w:color="auto"/>
        <w:right w:val="none" w:sz="0" w:space="0" w:color="auto"/>
      </w:divBdr>
      <w:divsChild>
        <w:div w:id="816263214">
          <w:marLeft w:val="0"/>
          <w:marRight w:val="0"/>
          <w:marTop w:val="0"/>
          <w:marBottom w:val="150"/>
          <w:divBdr>
            <w:top w:val="none" w:sz="0" w:space="0" w:color="auto"/>
            <w:left w:val="none" w:sz="0" w:space="0" w:color="auto"/>
            <w:bottom w:val="none" w:sz="0" w:space="0" w:color="auto"/>
            <w:right w:val="none" w:sz="0" w:space="0" w:color="auto"/>
          </w:divBdr>
        </w:div>
        <w:div w:id="1161191706">
          <w:marLeft w:val="0"/>
          <w:marRight w:val="0"/>
          <w:marTop w:val="0"/>
          <w:marBottom w:val="0"/>
          <w:divBdr>
            <w:top w:val="none" w:sz="0" w:space="0" w:color="auto"/>
            <w:left w:val="none" w:sz="0" w:space="0" w:color="auto"/>
            <w:bottom w:val="none" w:sz="0" w:space="0" w:color="auto"/>
            <w:right w:val="none" w:sz="0" w:space="0" w:color="auto"/>
          </w:divBdr>
          <w:divsChild>
            <w:div w:id="562448554">
              <w:marLeft w:val="0"/>
              <w:marRight w:val="0"/>
              <w:marTop w:val="0"/>
              <w:marBottom w:val="0"/>
              <w:divBdr>
                <w:top w:val="none" w:sz="0" w:space="0" w:color="auto"/>
                <w:left w:val="none" w:sz="0" w:space="0" w:color="auto"/>
                <w:bottom w:val="none" w:sz="0" w:space="0" w:color="auto"/>
                <w:right w:val="none" w:sz="0" w:space="0" w:color="auto"/>
              </w:divBdr>
            </w:div>
          </w:divsChild>
        </w:div>
        <w:div w:id="1466318617">
          <w:marLeft w:val="0"/>
          <w:marRight w:val="0"/>
          <w:marTop w:val="0"/>
          <w:marBottom w:val="150"/>
          <w:divBdr>
            <w:top w:val="none" w:sz="0" w:space="0" w:color="auto"/>
            <w:left w:val="none" w:sz="0" w:space="0" w:color="auto"/>
            <w:bottom w:val="none" w:sz="0" w:space="0" w:color="auto"/>
            <w:right w:val="none" w:sz="0" w:space="0" w:color="auto"/>
          </w:divBdr>
          <w:divsChild>
            <w:div w:id="133418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933813">
      <w:bodyDiv w:val="1"/>
      <w:marLeft w:val="0"/>
      <w:marRight w:val="0"/>
      <w:marTop w:val="0"/>
      <w:marBottom w:val="0"/>
      <w:divBdr>
        <w:top w:val="none" w:sz="0" w:space="0" w:color="auto"/>
        <w:left w:val="none" w:sz="0" w:space="0" w:color="auto"/>
        <w:bottom w:val="none" w:sz="0" w:space="0" w:color="auto"/>
        <w:right w:val="none" w:sz="0" w:space="0" w:color="auto"/>
      </w:divBdr>
      <w:divsChild>
        <w:div w:id="1974096897">
          <w:marLeft w:val="0"/>
          <w:marRight w:val="0"/>
          <w:marTop w:val="0"/>
          <w:marBottom w:val="150"/>
          <w:divBdr>
            <w:top w:val="none" w:sz="0" w:space="0" w:color="auto"/>
            <w:left w:val="none" w:sz="0" w:space="0" w:color="auto"/>
            <w:bottom w:val="none" w:sz="0" w:space="0" w:color="auto"/>
            <w:right w:val="none" w:sz="0" w:space="0" w:color="auto"/>
          </w:divBdr>
        </w:div>
      </w:divsChild>
    </w:div>
    <w:div w:id="982084152">
      <w:bodyDiv w:val="1"/>
      <w:marLeft w:val="0"/>
      <w:marRight w:val="0"/>
      <w:marTop w:val="0"/>
      <w:marBottom w:val="0"/>
      <w:divBdr>
        <w:top w:val="none" w:sz="0" w:space="0" w:color="auto"/>
        <w:left w:val="none" w:sz="0" w:space="0" w:color="auto"/>
        <w:bottom w:val="none" w:sz="0" w:space="0" w:color="auto"/>
        <w:right w:val="none" w:sz="0" w:space="0" w:color="auto"/>
      </w:divBdr>
      <w:divsChild>
        <w:div w:id="241064481">
          <w:marLeft w:val="0"/>
          <w:marRight w:val="0"/>
          <w:marTop w:val="0"/>
          <w:marBottom w:val="0"/>
          <w:divBdr>
            <w:top w:val="none" w:sz="0" w:space="0" w:color="auto"/>
            <w:left w:val="none" w:sz="0" w:space="0" w:color="auto"/>
            <w:bottom w:val="dotted" w:sz="6" w:space="4" w:color="DDDDDD"/>
            <w:right w:val="none" w:sz="0" w:space="0" w:color="auto"/>
          </w:divBdr>
        </w:div>
      </w:divsChild>
    </w:div>
    <w:div w:id="982126200">
      <w:bodyDiv w:val="1"/>
      <w:marLeft w:val="0"/>
      <w:marRight w:val="0"/>
      <w:marTop w:val="0"/>
      <w:marBottom w:val="0"/>
      <w:divBdr>
        <w:top w:val="none" w:sz="0" w:space="0" w:color="auto"/>
        <w:left w:val="none" w:sz="0" w:space="0" w:color="auto"/>
        <w:bottom w:val="none" w:sz="0" w:space="0" w:color="auto"/>
        <w:right w:val="none" w:sz="0" w:space="0" w:color="auto"/>
      </w:divBdr>
    </w:div>
    <w:div w:id="983312442">
      <w:bodyDiv w:val="1"/>
      <w:marLeft w:val="0"/>
      <w:marRight w:val="0"/>
      <w:marTop w:val="0"/>
      <w:marBottom w:val="0"/>
      <w:divBdr>
        <w:top w:val="none" w:sz="0" w:space="0" w:color="auto"/>
        <w:left w:val="none" w:sz="0" w:space="0" w:color="auto"/>
        <w:bottom w:val="none" w:sz="0" w:space="0" w:color="auto"/>
        <w:right w:val="none" w:sz="0" w:space="0" w:color="auto"/>
      </w:divBdr>
      <w:divsChild>
        <w:div w:id="776171873">
          <w:marLeft w:val="0"/>
          <w:marRight w:val="0"/>
          <w:marTop w:val="0"/>
          <w:marBottom w:val="0"/>
          <w:divBdr>
            <w:top w:val="none" w:sz="0" w:space="0" w:color="auto"/>
            <w:left w:val="none" w:sz="0" w:space="0" w:color="auto"/>
            <w:bottom w:val="none" w:sz="0" w:space="0" w:color="auto"/>
            <w:right w:val="none" w:sz="0" w:space="0" w:color="auto"/>
          </w:divBdr>
          <w:divsChild>
            <w:div w:id="2055033823">
              <w:marLeft w:val="0"/>
              <w:marRight w:val="0"/>
              <w:marTop w:val="0"/>
              <w:marBottom w:val="0"/>
              <w:divBdr>
                <w:top w:val="none" w:sz="0" w:space="0" w:color="auto"/>
                <w:left w:val="none" w:sz="0" w:space="0" w:color="auto"/>
                <w:bottom w:val="none" w:sz="0" w:space="0" w:color="auto"/>
                <w:right w:val="none" w:sz="0" w:space="0" w:color="auto"/>
              </w:divBdr>
            </w:div>
          </w:divsChild>
        </w:div>
        <w:div w:id="1269579306">
          <w:marLeft w:val="0"/>
          <w:marRight w:val="0"/>
          <w:marTop w:val="0"/>
          <w:marBottom w:val="150"/>
          <w:divBdr>
            <w:top w:val="none" w:sz="0" w:space="0" w:color="auto"/>
            <w:left w:val="none" w:sz="0" w:space="0" w:color="auto"/>
            <w:bottom w:val="none" w:sz="0" w:space="0" w:color="auto"/>
            <w:right w:val="none" w:sz="0" w:space="0" w:color="auto"/>
          </w:divBdr>
          <w:divsChild>
            <w:div w:id="1737193889">
              <w:marLeft w:val="0"/>
              <w:marRight w:val="0"/>
              <w:marTop w:val="0"/>
              <w:marBottom w:val="0"/>
              <w:divBdr>
                <w:top w:val="none" w:sz="0" w:space="0" w:color="auto"/>
                <w:left w:val="none" w:sz="0" w:space="0" w:color="auto"/>
                <w:bottom w:val="none" w:sz="0" w:space="0" w:color="auto"/>
                <w:right w:val="none" w:sz="0" w:space="0" w:color="auto"/>
              </w:divBdr>
            </w:div>
          </w:divsChild>
        </w:div>
        <w:div w:id="1666932471">
          <w:marLeft w:val="0"/>
          <w:marRight w:val="0"/>
          <w:marTop w:val="0"/>
          <w:marBottom w:val="150"/>
          <w:divBdr>
            <w:top w:val="none" w:sz="0" w:space="0" w:color="auto"/>
            <w:left w:val="none" w:sz="0" w:space="0" w:color="auto"/>
            <w:bottom w:val="none" w:sz="0" w:space="0" w:color="auto"/>
            <w:right w:val="none" w:sz="0" w:space="0" w:color="auto"/>
          </w:divBdr>
        </w:div>
      </w:divsChild>
    </w:div>
    <w:div w:id="983849695">
      <w:bodyDiv w:val="1"/>
      <w:marLeft w:val="0"/>
      <w:marRight w:val="0"/>
      <w:marTop w:val="0"/>
      <w:marBottom w:val="0"/>
      <w:divBdr>
        <w:top w:val="none" w:sz="0" w:space="0" w:color="auto"/>
        <w:left w:val="none" w:sz="0" w:space="0" w:color="auto"/>
        <w:bottom w:val="none" w:sz="0" w:space="0" w:color="auto"/>
        <w:right w:val="none" w:sz="0" w:space="0" w:color="auto"/>
      </w:divBdr>
      <w:divsChild>
        <w:div w:id="174226285">
          <w:marLeft w:val="0"/>
          <w:marRight w:val="0"/>
          <w:marTop w:val="0"/>
          <w:marBottom w:val="0"/>
          <w:divBdr>
            <w:top w:val="none" w:sz="0" w:space="0" w:color="auto"/>
            <w:left w:val="none" w:sz="0" w:space="0" w:color="auto"/>
            <w:bottom w:val="dotted" w:sz="6" w:space="4" w:color="DDDDDD"/>
            <w:right w:val="none" w:sz="0" w:space="0" w:color="auto"/>
          </w:divBdr>
          <w:divsChild>
            <w:div w:id="22564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20545">
      <w:bodyDiv w:val="1"/>
      <w:marLeft w:val="0"/>
      <w:marRight w:val="0"/>
      <w:marTop w:val="0"/>
      <w:marBottom w:val="0"/>
      <w:divBdr>
        <w:top w:val="none" w:sz="0" w:space="0" w:color="auto"/>
        <w:left w:val="none" w:sz="0" w:space="0" w:color="auto"/>
        <w:bottom w:val="none" w:sz="0" w:space="0" w:color="auto"/>
        <w:right w:val="none" w:sz="0" w:space="0" w:color="auto"/>
      </w:divBdr>
    </w:div>
    <w:div w:id="984895896">
      <w:bodyDiv w:val="1"/>
      <w:marLeft w:val="0"/>
      <w:marRight w:val="0"/>
      <w:marTop w:val="0"/>
      <w:marBottom w:val="0"/>
      <w:divBdr>
        <w:top w:val="none" w:sz="0" w:space="0" w:color="auto"/>
        <w:left w:val="none" w:sz="0" w:space="0" w:color="auto"/>
        <w:bottom w:val="none" w:sz="0" w:space="0" w:color="auto"/>
        <w:right w:val="none" w:sz="0" w:space="0" w:color="auto"/>
      </w:divBdr>
    </w:div>
    <w:div w:id="985011083">
      <w:bodyDiv w:val="1"/>
      <w:marLeft w:val="0"/>
      <w:marRight w:val="0"/>
      <w:marTop w:val="0"/>
      <w:marBottom w:val="0"/>
      <w:divBdr>
        <w:top w:val="none" w:sz="0" w:space="0" w:color="auto"/>
        <w:left w:val="none" w:sz="0" w:space="0" w:color="auto"/>
        <w:bottom w:val="none" w:sz="0" w:space="0" w:color="auto"/>
        <w:right w:val="none" w:sz="0" w:space="0" w:color="auto"/>
      </w:divBdr>
      <w:divsChild>
        <w:div w:id="554586627">
          <w:marLeft w:val="0"/>
          <w:marRight w:val="0"/>
          <w:marTop w:val="0"/>
          <w:marBottom w:val="0"/>
          <w:divBdr>
            <w:top w:val="none" w:sz="0" w:space="0" w:color="auto"/>
            <w:left w:val="none" w:sz="0" w:space="0" w:color="auto"/>
            <w:bottom w:val="none" w:sz="0" w:space="0" w:color="auto"/>
            <w:right w:val="none" w:sz="0" w:space="0" w:color="auto"/>
          </w:divBdr>
          <w:divsChild>
            <w:div w:id="1033699859">
              <w:marLeft w:val="0"/>
              <w:marRight w:val="0"/>
              <w:marTop w:val="0"/>
              <w:marBottom w:val="0"/>
              <w:divBdr>
                <w:top w:val="none" w:sz="0" w:space="0" w:color="auto"/>
                <w:left w:val="none" w:sz="0" w:space="0" w:color="auto"/>
                <w:bottom w:val="none" w:sz="0" w:space="0" w:color="auto"/>
                <w:right w:val="none" w:sz="0" w:space="0" w:color="auto"/>
              </w:divBdr>
              <w:divsChild>
                <w:div w:id="15743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481416">
          <w:marLeft w:val="0"/>
          <w:marRight w:val="0"/>
          <w:marTop w:val="0"/>
          <w:marBottom w:val="75"/>
          <w:divBdr>
            <w:top w:val="none" w:sz="0" w:space="0" w:color="auto"/>
            <w:left w:val="none" w:sz="0" w:space="0" w:color="auto"/>
            <w:bottom w:val="none" w:sz="0" w:space="0" w:color="auto"/>
            <w:right w:val="none" w:sz="0" w:space="0" w:color="auto"/>
          </w:divBdr>
        </w:div>
        <w:div w:id="559633118">
          <w:marLeft w:val="0"/>
          <w:marRight w:val="0"/>
          <w:marTop w:val="0"/>
          <w:marBottom w:val="0"/>
          <w:divBdr>
            <w:top w:val="none" w:sz="0" w:space="0" w:color="auto"/>
            <w:left w:val="none" w:sz="0" w:space="0" w:color="auto"/>
            <w:bottom w:val="none" w:sz="0" w:space="0" w:color="auto"/>
            <w:right w:val="none" w:sz="0" w:space="0" w:color="auto"/>
          </w:divBdr>
          <w:divsChild>
            <w:div w:id="117727536">
              <w:marLeft w:val="0"/>
              <w:marRight w:val="0"/>
              <w:marTop w:val="0"/>
              <w:marBottom w:val="0"/>
              <w:divBdr>
                <w:top w:val="none" w:sz="0" w:space="0" w:color="auto"/>
                <w:left w:val="none" w:sz="0" w:space="0" w:color="auto"/>
                <w:bottom w:val="none" w:sz="0" w:space="0" w:color="auto"/>
                <w:right w:val="none" w:sz="0" w:space="0" w:color="auto"/>
              </w:divBdr>
              <w:divsChild>
                <w:div w:id="2131823270">
                  <w:marLeft w:val="0"/>
                  <w:marRight w:val="0"/>
                  <w:marTop w:val="0"/>
                  <w:marBottom w:val="450"/>
                  <w:divBdr>
                    <w:top w:val="none" w:sz="0" w:space="0" w:color="auto"/>
                    <w:left w:val="none" w:sz="0" w:space="0" w:color="auto"/>
                    <w:bottom w:val="none" w:sz="0" w:space="0" w:color="auto"/>
                    <w:right w:val="none" w:sz="0" w:space="0" w:color="auto"/>
                  </w:divBdr>
                  <w:divsChild>
                    <w:div w:id="6058160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985091693">
      <w:bodyDiv w:val="1"/>
      <w:marLeft w:val="0"/>
      <w:marRight w:val="0"/>
      <w:marTop w:val="0"/>
      <w:marBottom w:val="0"/>
      <w:divBdr>
        <w:top w:val="none" w:sz="0" w:space="0" w:color="auto"/>
        <w:left w:val="none" w:sz="0" w:space="0" w:color="auto"/>
        <w:bottom w:val="none" w:sz="0" w:space="0" w:color="auto"/>
        <w:right w:val="none" w:sz="0" w:space="0" w:color="auto"/>
      </w:divBdr>
      <w:divsChild>
        <w:div w:id="1571505108">
          <w:marLeft w:val="0"/>
          <w:marRight w:val="0"/>
          <w:marTop w:val="0"/>
          <w:marBottom w:val="0"/>
          <w:divBdr>
            <w:top w:val="none" w:sz="0" w:space="0" w:color="auto"/>
            <w:left w:val="none" w:sz="0" w:space="0" w:color="auto"/>
            <w:bottom w:val="none" w:sz="0" w:space="0" w:color="auto"/>
            <w:right w:val="none" w:sz="0" w:space="0" w:color="auto"/>
          </w:divBdr>
        </w:div>
      </w:divsChild>
    </w:div>
    <w:div w:id="985163791">
      <w:bodyDiv w:val="1"/>
      <w:marLeft w:val="0"/>
      <w:marRight w:val="0"/>
      <w:marTop w:val="0"/>
      <w:marBottom w:val="0"/>
      <w:divBdr>
        <w:top w:val="none" w:sz="0" w:space="0" w:color="auto"/>
        <w:left w:val="none" w:sz="0" w:space="0" w:color="auto"/>
        <w:bottom w:val="none" w:sz="0" w:space="0" w:color="auto"/>
        <w:right w:val="none" w:sz="0" w:space="0" w:color="auto"/>
      </w:divBdr>
      <w:divsChild>
        <w:div w:id="750391796">
          <w:marLeft w:val="0"/>
          <w:marRight w:val="0"/>
          <w:marTop w:val="0"/>
          <w:marBottom w:val="0"/>
          <w:divBdr>
            <w:top w:val="none" w:sz="0" w:space="0" w:color="auto"/>
            <w:left w:val="none" w:sz="0" w:space="0" w:color="auto"/>
            <w:bottom w:val="none" w:sz="0" w:space="0" w:color="auto"/>
            <w:right w:val="none" w:sz="0" w:space="0" w:color="auto"/>
          </w:divBdr>
          <w:divsChild>
            <w:div w:id="2098864688">
              <w:marLeft w:val="0"/>
              <w:marRight w:val="0"/>
              <w:marTop w:val="0"/>
              <w:marBottom w:val="0"/>
              <w:divBdr>
                <w:top w:val="none" w:sz="0" w:space="0" w:color="auto"/>
                <w:left w:val="none" w:sz="0" w:space="0" w:color="auto"/>
                <w:bottom w:val="none" w:sz="0" w:space="0" w:color="auto"/>
                <w:right w:val="none" w:sz="0" w:space="0" w:color="auto"/>
              </w:divBdr>
              <w:divsChild>
                <w:div w:id="1492260448">
                  <w:marLeft w:val="0"/>
                  <w:marRight w:val="0"/>
                  <w:marTop w:val="0"/>
                  <w:marBottom w:val="0"/>
                  <w:divBdr>
                    <w:top w:val="none" w:sz="0" w:space="0" w:color="auto"/>
                    <w:left w:val="none" w:sz="0" w:space="0" w:color="auto"/>
                    <w:bottom w:val="none" w:sz="0" w:space="0" w:color="auto"/>
                    <w:right w:val="none" w:sz="0" w:space="0" w:color="auto"/>
                  </w:divBdr>
                  <w:divsChild>
                    <w:div w:id="212160303">
                      <w:marLeft w:val="0"/>
                      <w:marRight w:val="0"/>
                      <w:marTop w:val="0"/>
                      <w:marBottom w:val="0"/>
                      <w:divBdr>
                        <w:top w:val="none" w:sz="0" w:space="0" w:color="auto"/>
                        <w:left w:val="none" w:sz="0" w:space="0" w:color="auto"/>
                        <w:bottom w:val="none" w:sz="0" w:space="0" w:color="auto"/>
                        <w:right w:val="none" w:sz="0" w:space="0" w:color="auto"/>
                      </w:divBdr>
                      <w:divsChild>
                        <w:div w:id="762726455">
                          <w:marLeft w:val="0"/>
                          <w:marRight w:val="0"/>
                          <w:marTop w:val="0"/>
                          <w:marBottom w:val="0"/>
                          <w:divBdr>
                            <w:top w:val="none" w:sz="0" w:space="0" w:color="auto"/>
                            <w:left w:val="none" w:sz="0" w:space="0" w:color="auto"/>
                            <w:bottom w:val="none" w:sz="0" w:space="0" w:color="auto"/>
                            <w:right w:val="none" w:sz="0" w:space="0" w:color="auto"/>
                          </w:divBdr>
                          <w:divsChild>
                            <w:div w:id="959268216">
                              <w:marLeft w:val="0"/>
                              <w:marRight w:val="0"/>
                              <w:marTop w:val="0"/>
                              <w:marBottom w:val="0"/>
                              <w:divBdr>
                                <w:top w:val="none" w:sz="0" w:space="0" w:color="auto"/>
                                <w:left w:val="none" w:sz="0" w:space="0" w:color="auto"/>
                                <w:bottom w:val="none" w:sz="0" w:space="0" w:color="auto"/>
                                <w:right w:val="none" w:sz="0" w:space="0" w:color="auto"/>
                              </w:divBdr>
                              <w:divsChild>
                                <w:div w:id="76678419">
                                  <w:marLeft w:val="0"/>
                                  <w:marRight w:val="0"/>
                                  <w:marTop w:val="0"/>
                                  <w:marBottom w:val="0"/>
                                  <w:divBdr>
                                    <w:top w:val="none" w:sz="0" w:space="0" w:color="auto"/>
                                    <w:left w:val="none" w:sz="0" w:space="0" w:color="auto"/>
                                    <w:bottom w:val="none" w:sz="0" w:space="0" w:color="auto"/>
                                    <w:right w:val="none" w:sz="0" w:space="0" w:color="auto"/>
                                  </w:divBdr>
                                  <w:divsChild>
                                    <w:div w:id="91213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276633">
      <w:bodyDiv w:val="1"/>
      <w:marLeft w:val="0"/>
      <w:marRight w:val="0"/>
      <w:marTop w:val="0"/>
      <w:marBottom w:val="0"/>
      <w:divBdr>
        <w:top w:val="none" w:sz="0" w:space="0" w:color="auto"/>
        <w:left w:val="none" w:sz="0" w:space="0" w:color="auto"/>
        <w:bottom w:val="none" w:sz="0" w:space="0" w:color="auto"/>
        <w:right w:val="none" w:sz="0" w:space="0" w:color="auto"/>
      </w:divBdr>
      <w:divsChild>
        <w:div w:id="282150321">
          <w:marLeft w:val="0"/>
          <w:marRight w:val="0"/>
          <w:marTop w:val="0"/>
          <w:marBottom w:val="150"/>
          <w:divBdr>
            <w:top w:val="none" w:sz="0" w:space="0" w:color="auto"/>
            <w:left w:val="none" w:sz="0" w:space="0" w:color="auto"/>
            <w:bottom w:val="none" w:sz="0" w:space="0" w:color="auto"/>
            <w:right w:val="none" w:sz="0" w:space="0" w:color="auto"/>
          </w:divBdr>
        </w:div>
        <w:div w:id="1321301481">
          <w:marLeft w:val="0"/>
          <w:marRight w:val="0"/>
          <w:marTop w:val="0"/>
          <w:marBottom w:val="150"/>
          <w:divBdr>
            <w:top w:val="none" w:sz="0" w:space="0" w:color="auto"/>
            <w:left w:val="none" w:sz="0" w:space="0" w:color="auto"/>
            <w:bottom w:val="none" w:sz="0" w:space="0" w:color="auto"/>
            <w:right w:val="none" w:sz="0" w:space="0" w:color="auto"/>
          </w:divBdr>
          <w:divsChild>
            <w:div w:id="1199581949">
              <w:marLeft w:val="0"/>
              <w:marRight w:val="0"/>
              <w:marTop w:val="0"/>
              <w:marBottom w:val="0"/>
              <w:divBdr>
                <w:top w:val="none" w:sz="0" w:space="0" w:color="auto"/>
                <w:left w:val="none" w:sz="0" w:space="0" w:color="auto"/>
                <w:bottom w:val="none" w:sz="0" w:space="0" w:color="auto"/>
                <w:right w:val="none" w:sz="0" w:space="0" w:color="auto"/>
              </w:divBdr>
            </w:div>
          </w:divsChild>
        </w:div>
        <w:div w:id="1717854950">
          <w:marLeft w:val="0"/>
          <w:marRight w:val="0"/>
          <w:marTop w:val="0"/>
          <w:marBottom w:val="0"/>
          <w:divBdr>
            <w:top w:val="none" w:sz="0" w:space="0" w:color="auto"/>
            <w:left w:val="none" w:sz="0" w:space="0" w:color="auto"/>
            <w:bottom w:val="none" w:sz="0" w:space="0" w:color="auto"/>
            <w:right w:val="none" w:sz="0" w:space="0" w:color="auto"/>
          </w:divBdr>
          <w:divsChild>
            <w:div w:id="44985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547413">
      <w:bodyDiv w:val="1"/>
      <w:marLeft w:val="0"/>
      <w:marRight w:val="0"/>
      <w:marTop w:val="0"/>
      <w:marBottom w:val="0"/>
      <w:divBdr>
        <w:top w:val="none" w:sz="0" w:space="0" w:color="auto"/>
        <w:left w:val="none" w:sz="0" w:space="0" w:color="auto"/>
        <w:bottom w:val="none" w:sz="0" w:space="0" w:color="auto"/>
        <w:right w:val="none" w:sz="0" w:space="0" w:color="auto"/>
      </w:divBdr>
      <w:divsChild>
        <w:div w:id="2077127169">
          <w:marLeft w:val="0"/>
          <w:marRight w:val="0"/>
          <w:marTop w:val="0"/>
          <w:marBottom w:val="0"/>
          <w:divBdr>
            <w:top w:val="none" w:sz="0" w:space="0" w:color="auto"/>
            <w:left w:val="none" w:sz="0" w:space="0" w:color="auto"/>
            <w:bottom w:val="dotted" w:sz="6" w:space="4" w:color="DDDDDD"/>
            <w:right w:val="none" w:sz="0" w:space="0" w:color="auto"/>
          </w:divBdr>
        </w:div>
      </w:divsChild>
    </w:div>
    <w:div w:id="985820646">
      <w:bodyDiv w:val="1"/>
      <w:marLeft w:val="0"/>
      <w:marRight w:val="0"/>
      <w:marTop w:val="0"/>
      <w:marBottom w:val="0"/>
      <w:divBdr>
        <w:top w:val="none" w:sz="0" w:space="0" w:color="auto"/>
        <w:left w:val="none" w:sz="0" w:space="0" w:color="auto"/>
        <w:bottom w:val="none" w:sz="0" w:space="0" w:color="auto"/>
        <w:right w:val="none" w:sz="0" w:space="0" w:color="auto"/>
      </w:divBdr>
    </w:div>
    <w:div w:id="986130166">
      <w:bodyDiv w:val="1"/>
      <w:marLeft w:val="0"/>
      <w:marRight w:val="0"/>
      <w:marTop w:val="0"/>
      <w:marBottom w:val="0"/>
      <w:divBdr>
        <w:top w:val="none" w:sz="0" w:space="0" w:color="auto"/>
        <w:left w:val="none" w:sz="0" w:space="0" w:color="auto"/>
        <w:bottom w:val="none" w:sz="0" w:space="0" w:color="auto"/>
        <w:right w:val="none" w:sz="0" w:space="0" w:color="auto"/>
      </w:divBdr>
      <w:divsChild>
        <w:div w:id="2109085068">
          <w:marLeft w:val="0"/>
          <w:marRight w:val="0"/>
          <w:marTop w:val="0"/>
          <w:marBottom w:val="0"/>
          <w:divBdr>
            <w:top w:val="none" w:sz="0" w:space="0" w:color="auto"/>
            <w:left w:val="none" w:sz="0" w:space="0" w:color="auto"/>
            <w:bottom w:val="none" w:sz="0" w:space="0" w:color="auto"/>
            <w:right w:val="none" w:sz="0" w:space="0" w:color="auto"/>
          </w:divBdr>
          <w:divsChild>
            <w:div w:id="102455969">
              <w:marLeft w:val="0"/>
              <w:marRight w:val="0"/>
              <w:marTop w:val="0"/>
              <w:marBottom w:val="0"/>
              <w:divBdr>
                <w:top w:val="none" w:sz="0" w:space="0" w:color="auto"/>
                <w:left w:val="none" w:sz="0" w:space="0" w:color="auto"/>
                <w:bottom w:val="none" w:sz="0" w:space="0" w:color="auto"/>
                <w:right w:val="none" w:sz="0" w:space="0" w:color="auto"/>
              </w:divBdr>
              <w:divsChild>
                <w:div w:id="1712996206">
                  <w:marLeft w:val="0"/>
                  <w:marRight w:val="0"/>
                  <w:marTop w:val="0"/>
                  <w:marBottom w:val="0"/>
                  <w:divBdr>
                    <w:top w:val="none" w:sz="0" w:space="0" w:color="auto"/>
                    <w:left w:val="none" w:sz="0" w:space="0" w:color="auto"/>
                    <w:bottom w:val="none" w:sz="0" w:space="0" w:color="auto"/>
                    <w:right w:val="none" w:sz="0" w:space="0" w:color="auto"/>
                  </w:divBdr>
                  <w:divsChild>
                    <w:div w:id="151989050">
                      <w:marLeft w:val="0"/>
                      <w:marRight w:val="0"/>
                      <w:marTop w:val="0"/>
                      <w:marBottom w:val="0"/>
                      <w:divBdr>
                        <w:top w:val="none" w:sz="0" w:space="0" w:color="auto"/>
                        <w:left w:val="none" w:sz="0" w:space="0" w:color="auto"/>
                        <w:bottom w:val="none" w:sz="0" w:space="0" w:color="auto"/>
                        <w:right w:val="none" w:sz="0" w:space="0" w:color="auto"/>
                      </w:divBdr>
                      <w:divsChild>
                        <w:div w:id="986200388">
                          <w:marLeft w:val="0"/>
                          <w:marRight w:val="0"/>
                          <w:marTop w:val="0"/>
                          <w:marBottom w:val="0"/>
                          <w:divBdr>
                            <w:top w:val="none" w:sz="0" w:space="0" w:color="auto"/>
                            <w:left w:val="none" w:sz="0" w:space="0" w:color="auto"/>
                            <w:bottom w:val="none" w:sz="0" w:space="0" w:color="auto"/>
                            <w:right w:val="none" w:sz="0" w:space="0" w:color="auto"/>
                          </w:divBdr>
                          <w:divsChild>
                            <w:div w:id="1414081661">
                              <w:marLeft w:val="0"/>
                              <w:marRight w:val="0"/>
                              <w:marTop w:val="0"/>
                              <w:marBottom w:val="0"/>
                              <w:divBdr>
                                <w:top w:val="none" w:sz="0" w:space="0" w:color="auto"/>
                                <w:left w:val="none" w:sz="0" w:space="0" w:color="auto"/>
                                <w:bottom w:val="none" w:sz="0" w:space="0" w:color="auto"/>
                                <w:right w:val="none" w:sz="0" w:space="0" w:color="auto"/>
                              </w:divBdr>
                              <w:divsChild>
                                <w:div w:id="64955276">
                                  <w:marLeft w:val="0"/>
                                  <w:marRight w:val="0"/>
                                  <w:marTop w:val="0"/>
                                  <w:marBottom w:val="0"/>
                                  <w:divBdr>
                                    <w:top w:val="none" w:sz="0" w:space="0" w:color="auto"/>
                                    <w:left w:val="none" w:sz="0" w:space="0" w:color="auto"/>
                                    <w:bottom w:val="none" w:sz="0" w:space="0" w:color="auto"/>
                                    <w:right w:val="none" w:sz="0" w:space="0" w:color="auto"/>
                                  </w:divBdr>
                                  <w:divsChild>
                                    <w:div w:id="733545455">
                                      <w:marLeft w:val="0"/>
                                      <w:marRight w:val="0"/>
                                      <w:marTop w:val="0"/>
                                      <w:marBottom w:val="0"/>
                                      <w:divBdr>
                                        <w:top w:val="none" w:sz="0" w:space="0" w:color="auto"/>
                                        <w:left w:val="none" w:sz="0" w:space="0" w:color="auto"/>
                                        <w:bottom w:val="none" w:sz="0" w:space="0" w:color="auto"/>
                                        <w:right w:val="none" w:sz="0" w:space="0" w:color="auto"/>
                                      </w:divBdr>
                                      <w:divsChild>
                                        <w:div w:id="50352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6395202">
      <w:bodyDiv w:val="1"/>
      <w:marLeft w:val="0"/>
      <w:marRight w:val="0"/>
      <w:marTop w:val="0"/>
      <w:marBottom w:val="0"/>
      <w:divBdr>
        <w:top w:val="none" w:sz="0" w:space="0" w:color="auto"/>
        <w:left w:val="none" w:sz="0" w:space="0" w:color="auto"/>
        <w:bottom w:val="none" w:sz="0" w:space="0" w:color="auto"/>
        <w:right w:val="none" w:sz="0" w:space="0" w:color="auto"/>
      </w:divBdr>
    </w:div>
    <w:div w:id="986474543">
      <w:bodyDiv w:val="1"/>
      <w:marLeft w:val="0"/>
      <w:marRight w:val="0"/>
      <w:marTop w:val="0"/>
      <w:marBottom w:val="0"/>
      <w:divBdr>
        <w:top w:val="none" w:sz="0" w:space="0" w:color="auto"/>
        <w:left w:val="none" w:sz="0" w:space="0" w:color="auto"/>
        <w:bottom w:val="none" w:sz="0" w:space="0" w:color="auto"/>
        <w:right w:val="none" w:sz="0" w:space="0" w:color="auto"/>
      </w:divBdr>
      <w:divsChild>
        <w:div w:id="456339090">
          <w:marLeft w:val="0"/>
          <w:marRight w:val="0"/>
          <w:marTop w:val="0"/>
          <w:marBottom w:val="0"/>
          <w:divBdr>
            <w:top w:val="none" w:sz="0" w:space="0" w:color="auto"/>
            <w:left w:val="none" w:sz="0" w:space="0" w:color="auto"/>
            <w:bottom w:val="dotted" w:sz="6" w:space="4" w:color="DDDDDD"/>
            <w:right w:val="none" w:sz="0" w:space="0" w:color="auto"/>
          </w:divBdr>
          <w:divsChild>
            <w:div w:id="54560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975666">
      <w:bodyDiv w:val="1"/>
      <w:marLeft w:val="0"/>
      <w:marRight w:val="0"/>
      <w:marTop w:val="0"/>
      <w:marBottom w:val="0"/>
      <w:divBdr>
        <w:top w:val="none" w:sz="0" w:space="0" w:color="auto"/>
        <w:left w:val="none" w:sz="0" w:space="0" w:color="auto"/>
        <w:bottom w:val="none" w:sz="0" w:space="0" w:color="auto"/>
        <w:right w:val="none" w:sz="0" w:space="0" w:color="auto"/>
      </w:divBdr>
      <w:divsChild>
        <w:div w:id="1349058568">
          <w:marLeft w:val="0"/>
          <w:marRight w:val="0"/>
          <w:marTop w:val="0"/>
          <w:marBottom w:val="0"/>
          <w:divBdr>
            <w:top w:val="none" w:sz="0" w:space="0" w:color="auto"/>
            <w:left w:val="none" w:sz="0" w:space="0" w:color="auto"/>
            <w:bottom w:val="none" w:sz="0" w:space="0" w:color="auto"/>
            <w:right w:val="none" w:sz="0" w:space="0" w:color="auto"/>
          </w:divBdr>
        </w:div>
      </w:divsChild>
    </w:div>
    <w:div w:id="987317618">
      <w:bodyDiv w:val="1"/>
      <w:marLeft w:val="0"/>
      <w:marRight w:val="0"/>
      <w:marTop w:val="0"/>
      <w:marBottom w:val="0"/>
      <w:divBdr>
        <w:top w:val="none" w:sz="0" w:space="0" w:color="auto"/>
        <w:left w:val="none" w:sz="0" w:space="0" w:color="auto"/>
        <w:bottom w:val="none" w:sz="0" w:space="0" w:color="auto"/>
        <w:right w:val="none" w:sz="0" w:space="0" w:color="auto"/>
      </w:divBdr>
    </w:div>
    <w:div w:id="987443411">
      <w:bodyDiv w:val="1"/>
      <w:marLeft w:val="0"/>
      <w:marRight w:val="0"/>
      <w:marTop w:val="0"/>
      <w:marBottom w:val="0"/>
      <w:divBdr>
        <w:top w:val="none" w:sz="0" w:space="0" w:color="auto"/>
        <w:left w:val="none" w:sz="0" w:space="0" w:color="auto"/>
        <w:bottom w:val="none" w:sz="0" w:space="0" w:color="auto"/>
        <w:right w:val="none" w:sz="0" w:space="0" w:color="auto"/>
      </w:divBdr>
    </w:div>
    <w:div w:id="987562063">
      <w:bodyDiv w:val="1"/>
      <w:marLeft w:val="0"/>
      <w:marRight w:val="0"/>
      <w:marTop w:val="0"/>
      <w:marBottom w:val="0"/>
      <w:divBdr>
        <w:top w:val="none" w:sz="0" w:space="0" w:color="auto"/>
        <w:left w:val="none" w:sz="0" w:space="0" w:color="auto"/>
        <w:bottom w:val="none" w:sz="0" w:space="0" w:color="auto"/>
        <w:right w:val="none" w:sz="0" w:space="0" w:color="auto"/>
      </w:divBdr>
      <w:divsChild>
        <w:div w:id="318189617">
          <w:marLeft w:val="0"/>
          <w:marRight w:val="0"/>
          <w:marTop w:val="0"/>
          <w:marBottom w:val="0"/>
          <w:divBdr>
            <w:top w:val="none" w:sz="0" w:space="0" w:color="auto"/>
            <w:left w:val="none" w:sz="0" w:space="0" w:color="auto"/>
            <w:bottom w:val="none" w:sz="0" w:space="0" w:color="auto"/>
            <w:right w:val="none" w:sz="0" w:space="0" w:color="auto"/>
          </w:divBdr>
        </w:div>
        <w:div w:id="534196989">
          <w:marLeft w:val="0"/>
          <w:marRight w:val="0"/>
          <w:marTop w:val="0"/>
          <w:marBottom w:val="0"/>
          <w:divBdr>
            <w:top w:val="none" w:sz="0" w:space="0" w:color="auto"/>
            <w:left w:val="none" w:sz="0" w:space="0" w:color="auto"/>
            <w:bottom w:val="none" w:sz="0" w:space="0" w:color="auto"/>
            <w:right w:val="none" w:sz="0" w:space="0" w:color="auto"/>
          </w:divBdr>
          <w:divsChild>
            <w:div w:id="610287911">
              <w:marLeft w:val="0"/>
              <w:marRight w:val="0"/>
              <w:marTop w:val="0"/>
              <w:marBottom w:val="0"/>
              <w:divBdr>
                <w:top w:val="none" w:sz="0" w:space="0" w:color="auto"/>
                <w:left w:val="none" w:sz="0" w:space="0" w:color="auto"/>
                <w:bottom w:val="none" w:sz="0" w:space="0" w:color="auto"/>
                <w:right w:val="none" w:sz="0" w:space="0" w:color="auto"/>
              </w:divBdr>
              <w:divsChild>
                <w:div w:id="188405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785070">
      <w:bodyDiv w:val="1"/>
      <w:marLeft w:val="0"/>
      <w:marRight w:val="0"/>
      <w:marTop w:val="0"/>
      <w:marBottom w:val="0"/>
      <w:divBdr>
        <w:top w:val="none" w:sz="0" w:space="0" w:color="auto"/>
        <w:left w:val="none" w:sz="0" w:space="0" w:color="auto"/>
        <w:bottom w:val="none" w:sz="0" w:space="0" w:color="auto"/>
        <w:right w:val="none" w:sz="0" w:space="0" w:color="auto"/>
      </w:divBdr>
      <w:divsChild>
        <w:div w:id="1437097051">
          <w:marLeft w:val="0"/>
          <w:marRight w:val="0"/>
          <w:marTop w:val="0"/>
          <w:marBottom w:val="0"/>
          <w:divBdr>
            <w:top w:val="none" w:sz="0" w:space="0" w:color="auto"/>
            <w:left w:val="none" w:sz="0" w:space="0" w:color="auto"/>
            <w:bottom w:val="none" w:sz="0" w:space="0" w:color="auto"/>
            <w:right w:val="none" w:sz="0" w:space="0" w:color="auto"/>
          </w:divBdr>
          <w:divsChild>
            <w:div w:id="2017612521">
              <w:marLeft w:val="0"/>
              <w:marRight w:val="0"/>
              <w:marTop w:val="0"/>
              <w:marBottom w:val="0"/>
              <w:divBdr>
                <w:top w:val="none" w:sz="0" w:space="0" w:color="auto"/>
                <w:left w:val="none" w:sz="0" w:space="0" w:color="auto"/>
                <w:bottom w:val="none" w:sz="0" w:space="0" w:color="auto"/>
                <w:right w:val="none" w:sz="0" w:space="0" w:color="auto"/>
              </w:divBdr>
              <w:divsChild>
                <w:div w:id="248388052">
                  <w:marLeft w:val="0"/>
                  <w:marRight w:val="0"/>
                  <w:marTop w:val="0"/>
                  <w:marBottom w:val="0"/>
                  <w:divBdr>
                    <w:top w:val="none" w:sz="0" w:space="0" w:color="auto"/>
                    <w:left w:val="none" w:sz="0" w:space="0" w:color="auto"/>
                    <w:bottom w:val="none" w:sz="0" w:space="0" w:color="auto"/>
                    <w:right w:val="none" w:sz="0" w:space="0" w:color="auto"/>
                  </w:divBdr>
                  <w:divsChild>
                    <w:div w:id="1724254436">
                      <w:marLeft w:val="0"/>
                      <w:marRight w:val="0"/>
                      <w:marTop w:val="0"/>
                      <w:marBottom w:val="0"/>
                      <w:divBdr>
                        <w:top w:val="none" w:sz="0" w:space="0" w:color="auto"/>
                        <w:left w:val="none" w:sz="0" w:space="0" w:color="auto"/>
                        <w:bottom w:val="none" w:sz="0" w:space="0" w:color="auto"/>
                        <w:right w:val="none" w:sz="0" w:space="0" w:color="auto"/>
                      </w:divBdr>
                      <w:divsChild>
                        <w:div w:id="1370568420">
                          <w:marLeft w:val="0"/>
                          <w:marRight w:val="0"/>
                          <w:marTop w:val="0"/>
                          <w:marBottom w:val="0"/>
                          <w:divBdr>
                            <w:top w:val="none" w:sz="0" w:space="0" w:color="auto"/>
                            <w:left w:val="none" w:sz="0" w:space="0" w:color="auto"/>
                            <w:bottom w:val="none" w:sz="0" w:space="0" w:color="auto"/>
                            <w:right w:val="none" w:sz="0" w:space="0" w:color="auto"/>
                          </w:divBdr>
                          <w:divsChild>
                            <w:div w:id="358162610">
                              <w:marLeft w:val="0"/>
                              <w:marRight w:val="0"/>
                              <w:marTop w:val="0"/>
                              <w:marBottom w:val="0"/>
                              <w:divBdr>
                                <w:top w:val="none" w:sz="0" w:space="0" w:color="auto"/>
                                <w:left w:val="none" w:sz="0" w:space="0" w:color="auto"/>
                                <w:bottom w:val="none" w:sz="0" w:space="0" w:color="auto"/>
                                <w:right w:val="none" w:sz="0" w:space="0" w:color="auto"/>
                              </w:divBdr>
                              <w:divsChild>
                                <w:div w:id="5651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826399">
      <w:bodyDiv w:val="1"/>
      <w:marLeft w:val="0"/>
      <w:marRight w:val="0"/>
      <w:marTop w:val="0"/>
      <w:marBottom w:val="0"/>
      <w:divBdr>
        <w:top w:val="none" w:sz="0" w:space="0" w:color="auto"/>
        <w:left w:val="none" w:sz="0" w:space="0" w:color="auto"/>
        <w:bottom w:val="none" w:sz="0" w:space="0" w:color="auto"/>
        <w:right w:val="none" w:sz="0" w:space="0" w:color="auto"/>
      </w:divBdr>
      <w:divsChild>
        <w:div w:id="1043217110">
          <w:marLeft w:val="0"/>
          <w:marRight w:val="0"/>
          <w:marTop w:val="0"/>
          <w:marBottom w:val="0"/>
          <w:divBdr>
            <w:top w:val="none" w:sz="0" w:space="0" w:color="auto"/>
            <w:left w:val="none" w:sz="0" w:space="0" w:color="auto"/>
            <w:bottom w:val="none" w:sz="0" w:space="0" w:color="auto"/>
            <w:right w:val="none" w:sz="0" w:space="0" w:color="auto"/>
          </w:divBdr>
          <w:divsChild>
            <w:div w:id="1556695400">
              <w:marLeft w:val="0"/>
              <w:marRight w:val="0"/>
              <w:marTop w:val="0"/>
              <w:marBottom w:val="0"/>
              <w:divBdr>
                <w:top w:val="none" w:sz="0" w:space="0" w:color="auto"/>
                <w:left w:val="none" w:sz="0" w:space="0" w:color="auto"/>
                <w:bottom w:val="none" w:sz="0" w:space="0" w:color="auto"/>
                <w:right w:val="none" w:sz="0" w:space="0" w:color="auto"/>
              </w:divBdr>
              <w:divsChild>
                <w:div w:id="778060934">
                  <w:marLeft w:val="0"/>
                  <w:marRight w:val="0"/>
                  <w:marTop w:val="0"/>
                  <w:marBottom w:val="0"/>
                  <w:divBdr>
                    <w:top w:val="none" w:sz="0" w:space="0" w:color="auto"/>
                    <w:left w:val="none" w:sz="0" w:space="0" w:color="auto"/>
                    <w:bottom w:val="none" w:sz="0" w:space="0" w:color="auto"/>
                    <w:right w:val="none" w:sz="0" w:space="0" w:color="auto"/>
                  </w:divBdr>
                  <w:divsChild>
                    <w:div w:id="188691604">
                      <w:marLeft w:val="0"/>
                      <w:marRight w:val="0"/>
                      <w:marTop w:val="0"/>
                      <w:marBottom w:val="0"/>
                      <w:divBdr>
                        <w:top w:val="none" w:sz="0" w:space="0" w:color="auto"/>
                        <w:left w:val="none" w:sz="0" w:space="0" w:color="auto"/>
                        <w:bottom w:val="none" w:sz="0" w:space="0" w:color="auto"/>
                        <w:right w:val="none" w:sz="0" w:space="0" w:color="auto"/>
                      </w:divBdr>
                      <w:divsChild>
                        <w:div w:id="1192261554">
                          <w:marLeft w:val="0"/>
                          <w:marRight w:val="0"/>
                          <w:marTop w:val="0"/>
                          <w:marBottom w:val="0"/>
                          <w:divBdr>
                            <w:top w:val="none" w:sz="0" w:space="0" w:color="auto"/>
                            <w:left w:val="none" w:sz="0" w:space="0" w:color="auto"/>
                            <w:bottom w:val="none" w:sz="0" w:space="0" w:color="auto"/>
                            <w:right w:val="none" w:sz="0" w:space="0" w:color="auto"/>
                          </w:divBdr>
                          <w:divsChild>
                            <w:div w:id="1350446986">
                              <w:marLeft w:val="0"/>
                              <w:marRight w:val="0"/>
                              <w:marTop w:val="0"/>
                              <w:marBottom w:val="0"/>
                              <w:divBdr>
                                <w:top w:val="none" w:sz="0" w:space="0" w:color="auto"/>
                                <w:left w:val="none" w:sz="0" w:space="0" w:color="auto"/>
                                <w:bottom w:val="none" w:sz="0" w:space="0" w:color="auto"/>
                                <w:right w:val="none" w:sz="0" w:space="0" w:color="auto"/>
                              </w:divBdr>
                              <w:divsChild>
                                <w:div w:id="1221596013">
                                  <w:marLeft w:val="0"/>
                                  <w:marRight w:val="0"/>
                                  <w:marTop w:val="0"/>
                                  <w:marBottom w:val="0"/>
                                  <w:divBdr>
                                    <w:top w:val="none" w:sz="0" w:space="0" w:color="auto"/>
                                    <w:left w:val="none" w:sz="0" w:space="0" w:color="auto"/>
                                    <w:bottom w:val="none" w:sz="0" w:space="0" w:color="auto"/>
                                    <w:right w:val="none" w:sz="0" w:space="0" w:color="auto"/>
                                  </w:divBdr>
                                  <w:divsChild>
                                    <w:div w:id="97205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8096642">
      <w:bodyDiv w:val="1"/>
      <w:marLeft w:val="0"/>
      <w:marRight w:val="0"/>
      <w:marTop w:val="0"/>
      <w:marBottom w:val="0"/>
      <w:divBdr>
        <w:top w:val="none" w:sz="0" w:space="0" w:color="auto"/>
        <w:left w:val="none" w:sz="0" w:space="0" w:color="auto"/>
        <w:bottom w:val="none" w:sz="0" w:space="0" w:color="auto"/>
        <w:right w:val="none" w:sz="0" w:space="0" w:color="auto"/>
      </w:divBdr>
      <w:divsChild>
        <w:div w:id="1295058275">
          <w:marLeft w:val="0"/>
          <w:marRight w:val="0"/>
          <w:marTop w:val="0"/>
          <w:marBottom w:val="0"/>
          <w:divBdr>
            <w:top w:val="none" w:sz="0" w:space="0" w:color="auto"/>
            <w:left w:val="none" w:sz="0" w:space="0" w:color="auto"/>
            <w:bottom w:val="none" w:sz="0" w:space="0" w:color="auto"/>
            <w:right w:val="none" w:sz="0" w:space="0" w:color="auto"/>
          </w:divBdr>
        </w:div>
      </w:divsChild>
    </w:div>
    <w:div w:id="988750774">
      <w:bodyDiv w:val="1"/>
      <w:marLeft w:val="0"/>
      <w:marRight w:val="0"/>
      <w:marTop w:val="0"/>
      <w:marBottom w:val="0"/>
      <w:divBdr>
        <w:top w:val="none" w:sz="0" w:space="0" w:color="auto"/>
        <w:left w:val="none" w:sz="0" w:space="0" w:color="auto"/>
        <w:bottom w:val="none" w:sz="0" w:space="0" w:color="auto"/>
        <w:right w:val="none" w:sz="0" w:space="0" w:color="auto"/>
      </w:divBdr>
      <w:divsChild>
        <w:div w:id="1260068360">
          <w:marLeft w:val="0"/>
          <w:marRight w:val="0"/>
          <w:marTop w:val="0"/>
          <w:marBottom w:val="150"/>
          <w:divBdr>
            <w:top w:val="none" w:sz="0" w:space="0" w:color="auto"/>
            <w:left w:val="none" w:sz="0" w:space="0" w:color="auto"/>
            <w:bottom w:val="none" w:sz="0" w:space="0" w:color="auto"/>
            <w:right w:val="none" w:sz="0" w:space="0" w:color="auto"/>
          </w:divBdr>
        </w:div>
      </w:divsChild>
    </w:div>
    <w:div w:id="989095233">
      <w:bodyDiv w:val="1"/>
      <w:marLeft w:val="0"/>
      <w:marRight w:val="0"/>
      <w:marTop w:val="0"/>
      <w:marBottom w:val="0"/>
      <w:divBdr>
        <w:top w:val="none" w:sz="0" w:space="0" w:color="auto"/>
        <w:left w:val="none" w:sz="0" w:space="0" w:color="auto"/>
        <w:bottom w:val="none" w:sz="0" w:space="0" w:color="auto"/>
        <w:right w:val="none" w:sz="0" w:space="0" w:color="auto"/>
      </w:divBdr>
      <w:divsChild>
        <w:div w:id="1120882091">
          <w:marLeft w:val="0"/>
          <w:marRight w:val="0"/>
          <w:marTop w:val="0"/>
          <w:marBottom w:val="0"/>
          <w:divBdr>
            <w:top w:val="none" w:sz="0" w:space="0" w:color="auto"/>
            <w:left w:val="none" w:sz="0" w:space="0" w:color="auto"/>
            <w:bottom w:val="none" w:sz="0" w:space="0" w:color="auto"/>
            <w:right w:val="none" w:sz="0" w:space="0" w:color="auto"/>
          </w:divBdr>
        </w:div>
        <w:div w:id="1191842165">
          <w:marLeft w:val="0"/>
          <w:marRight w:val="0"/>
          <w:marTop w:val="0"/>
          <w:marBottom w:val="150"/>
          <w:divBdr>
            <w:top w:val="none" w:sz="0" w:space="0" w:color="auto"/>
            <w:left w:val="none" w:sz="0" w:space="0" w:color="auto"/>
            <w:bottom w:val="none" w:sz="0" w:space="0" w:color="auto"/>
            <w:right w:val="none" w:sz="0" w:space="0" w:color="auto"/>
          </w:divBdr>
        </w:div>
      </w:divsChild>
    </w:div>
    <w:div w:id="989136000">
      <w:bodyDiv w:val="1"/>
      <w:marLeft w:val="0"/>
      <w:marRight w:val="0"/>
      <w:marTop w:val="0"/>
      <w:marBottom w:val="0"/>
      <w:divBdr>
        <w:top w:val="none" w:sz="0" w:space="0" w:color="auto"/>
        <w:left w:val="none" w:sz="0" w:space="0" w:color="auto"/>
        <w:bottom w:val="none" w:sz="0" w:space="0" w:color="auto"/>
        <w:right w:val="none" w:sz="0" w:space="0" w:color="auto"/>
      </w:divBdr>
      <w:divsChild>
        <w:div w:id="324819826">
          <w:marLeft w:val="0"/>
          <w:marRight w:val="0"/>
          <w:marTop w:val="0"/>
          <w:marBottom w:val="0"/>
          <w:divBdr>
            <w:top w:val="none" w:sz="0" w:space="0" w:color="auto"/>
            <w:left w:val="none" w:sz="0" w:space="0" w:color="auto"/>
            <w:bottom w:val="none" w:sz="0" w:space="0" w:color="auto"/>
            <w:right w:val="none" w:sz="0" w:space="0" w:color="auto"/>
          </w:divBdr>
          <w:divsChild>
            <w:div w:id="1554267194">
              <w:marLeft w:val="0"/>
              <w:marRight w:val="0"/>
              <w:marTop w:val="0"/>
              <w:marBottom w:val="0"/>
              <w:divBdr>
                <w:top w:val="none" w:sz="0" w:space="0" w:color="auto"/>
                <w:left w:val="none" w:sz="0" w:space="0" w:color="auto"/>
                <w:bottom w:val="none" w:sz="0" w:space="0" w:color="auto"/>
                <w:right w:val="none" w:sz="0" w:space="0" w:color="auto"/>
              </w:divBdr>
              <w:divsChild>
                <w:div w:id="1723094731">
                  <w:marLeft w:val="0"/>
                  <w:marRight w:val="0"/>
                  <w:marTop w:val="0"/>
                  <w:marBottom w:val="0"/>
                  <w:divBdr>
                    <w:top w:val="none" w:sz="0" w:space="0" w:color="auto"/>
                    <w:left w:val="none" w:sz="0" w:space="0" w:color="auto"/>
                    <w:bottom w:val="none" w:sz="0" w:space="0" w:color="auto"/>
                    <w:right w:val="none" w:sz="0" w:space="0" w:color="auto"/>
                  </w:divBdr>
                  <w:divsChild>
                    <w:div w:id="2030720462">
                      <w:marLeft w:val="0"/>
                      <w:marRight w:val="0"/>
                      <w:marTop w:val="0"/>
                      <w:marBottom w:val="0"/>
                      <w:divBdr>
                        <w:top w:val="none" w:sz="0" w:space="0" w:color="auto"/>
                        <w:left w:val="none" w:sz="0" w:space="0" w:color="auto"/>
                        <w:bottom w:val="none" w:sz="0" w:space="0" w:color="auto"/>
                        <w:right w:val="none" w:sz="0" w:space="0" w:color="auto"/>
                      </w:divBdr>
                      <w:divsChild>
                        <w:div w:id="957025744">
                          <w:marLeft w:val="0"/>
                          <w:marRight w:val="0"/>
                          <w:marTop w:val="0"/>
                          <w:marBottom w:val="0"/>
                          <w:divBdr>
                            <w:top w:val="none" w:sz="0" w:space="0" w:color="auto"/>
                            <w:left w:val="none" w:sz="0" w:space="0" w:color="auto"/>
                            <w:bottom w:val="none" w:sz="0" w:space="0" w:color="auto"/>
                            <w:right w:val="none" w:sz="0" w:space="0" w:color="auto"/>
                          </w:divBdr>
                          <w:divsChild>
                            <w:div w:id="306665963">
                              <w:marLeft w:val="0"/>
                              <w:marRight w:val="0"/>
                              <w:marTop w:val="0"/>
                              <w:marBottom w:val="0"/>
                              <w:divBdr>
                                <w:top w:val="none" w:sz="0" w:space="0" w:color="auto"/>
                                <w:left w:val="none" w:sz="0" w:space="0" w:color="auto"/>
                                <w:bottom w:val="none" w:sz="0" w:space="0" w:color="auto"/>
                                <w:right w:val="none" w:sz="0" w:space="0" w:color="auto"/>
                              </w:divBdr>
                              <w:divsChild>
                                <w:div w:id="80650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9216624">
      <w:bodyDiv w:val="1"/>
      <w:marLeft w:val="0"/>
      <w:marRight w:val="0"/>
      <w:marTop w:val="0"/>
      <w:marBottom w:val="0"/>
      <w:divBdr>
        <w:top w:val="none" w:sz="0" w:space="0" w:color="auto"/>
        <w:left w:val="none" w:sz="0" w:space="0" w:color="auto"/>
        <w:bottom w:val="none" w:sz="0" w:space="0" w:color="auto"/>
        <w:right w:val="none" w:sz="0" w:space="0" w:color="auto"/>
      </w:divBdr>
      <w:divsChild>
        <w:div w:id="1158502429">
          <w:marLeft w:val="0"/>
          <w:marRight w:val="0"/>
          <w:marTop w:val="0"/>
          <w:marBottom w:val="150"/>
          <w:divBdr>
            <w:top w:val="none" w:sz="0" w:space="0" w:color="auto"/>
            <w:left w:val="none" w:sz="0" w:space="0" w:color="auto"/>
            <w:bottom w:val="none" w:sz="0" w:space="0" w:color="auto"/>
            <w:right w:val="none" w:sz="0" w:space="0" w:color="auto"/>
          </w:divBdr>
          <w:divsChild>
            <w:div w:id="748427254">
              <w:marLeft w:val="0"/>
              <w:marRight w:val="0"/>
              <w:marTop w:val="0"/>
              <w:marBottom w:val="0"/>
              <w:divBdr>
                <w:top w:val="none" w:sz="0" w:space="0" w:color="auto"/>
                <w:left w:val="none" w:sz="0" w:space="0" w:color="auto"/>
                <w:bottom w:val="none" w:sz="0" w:space="0" w:color="auto"/>
                <w:right w:val="none" w:sz="0" w:space="0" w:color="auto"/>
              </w:divBdr>
              <w:divsChild>
                <w:div w:id="675883486">
                  <w:marLeft w:val="0"/>
                  <w:marRight w:val="0"/>
                  <w:marTop w:val="0"/>
                  <w:marBottom w:val="0"/>
                  <w:divBdr>
                    <w:top w:val="none" w:sz="0" w:space="0" w:color="auto"/>
                    <w:left w:val="none" w:sz="0" w:space="0" w:color="auto"/>
                    <w:bottom w:val="none" w:sz="0" w:space="0" w:color="auto"/>
                    <w:right w:val="none" w:sz="0" w:space="0" w:color="auto"/>
                  </w:divBdr>
                  <w:divsChild>
                    <w:div w:id="1823229551">
                      <w:marLeft w:val="0"/>
                      <w:marRight w:val="150"/>
                      <w:marTop w:val="0"/>
                      <w:marBottom w:val="0"/>
                      <w:divBdr>
                        <w:top w:val="none" w:sz="0" w:space="0" w:color="auto"/>
                        <w:left w:val="none" w:sz="0" w:space="0" w:color="auto"/>
                        <w:bottom w:val="none" w:sz="0" w:space="0" w:color="auto"/>
                        <w:right w:val="none" w:sz="0" w:space="0" w:color="auto"/>
                      </w:divBdr>
                      <w:divsChild>
                        <w:div w:id="35811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908732">
          <w:marLeft w:val="0"/>
          <w:marRight w:val="0"/>
          <w:marTop w:val="0"/>
          <w:marBottom w:val="150"/>
          <w:divBdr>
            <w:top w:val="none" w:sz="0" w:space="0" w:color="auto"/>
            <w:left w:val="none" w:sz="0" w:space="0" w:color="auto"/>
            <w:bottom w:val="none" w:sz="0" w:space="0" w:color="auto"/>
            <w:right w:val="none" w:sz="0" w:space="0" w:color="auto"/>
          </w:divBdr>
        </w:div>
        <w:div w:id="162745941">
          <w:marLeft w:val="0"/>
          <w:marRight w:val="0"/>
          <w:marTop w:val="0"/>
          <w:marBottom w:val="0"/>
          <w:divBdr>
            <w:top w:val="none" w:sz="0" w:space="0" w:color="auto"/>
            <w:left w:val="none" w:sz="0" w:space="0" w:color="auto"/>
            <w:bottom w:val="none" w:sz="0" w:space="0" w:color="auto"/>
            <w:right w:val="none" w:sz="0" w:space="0" w:color="auto"/>
          </w:divBdr>
          <w:divsChild>
            <w:div w:id="3120271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89871035">
      <w:bodyDiv w:val="1"/>
      <w:marLeft w:val="0"/>
      <w:marRight w:val="0"/>
      <w:marTop w:val="0"/>
      <w:marBottom w:val="0"/>
      <w:divBdr>
        <w:top w:val="none" w:sz="0" w:space="0" w:color="auto"/>
        <w:left w:val="none" w:sz="0" w:space="0" w:color="auto"/>
        <w:bottom w:val="none" w:sz="0" w:space="0" w:color="auto"/>
        <w:right w:val="none" w:sz="0" w:space="0" w:color="auto"/>
      </w:divBdr>
      <w:divsChild>
        <w:div w:id="466944592">
          <w:marLeft w:val="0"/>
          <w:marRight w:val="0"/>
          <w:marTop w:val="0"/>
          <w:marBottom w:val="150"/>
          <w:divBdr>
            <w:top w:val="none" w:sz="0" w:space="0" w:color="auto"/>
            <w:left w:val="none" w:sz="0" w:space="0" w:color="auto"/>
            <w:bottom w:val="none" w:sz="0" w:space="0" w:color="auto"/>
            <w:right w:val="none" w:sz="0" w:space="0" w:color="auto"/>
          </w:divBdr>
          <w:divsChild>
            <w:div w:id="28577760">
              <w:marLeft w:val="0"/>
              <w:marRight w:val="0"/>
              <w:marTop w:val="0"/>
              <w:marBottom w:val="0"/>
              <w:divBdr>
                <w:top w:val="none" w:sz="0" w:space="0" w:color="auto"/>
                <w:left w:val="none" w:sz="0" w:space="0" w:color="auto"/>
                <w:bottom w:val="none" w:sz="0" w:space="0" w:color="auto"/>
                <w:right w:val="none" w:sz="0" w:space="0" w:color="auto"/>
              </w:divBdr>
            </w:div>
          </w:divsChild>
        </w:div>
        <w:div w:id="651106384">
          <w:marLeft w:val="0"/>
          <w:marRight w:val="0"/>
          <w:marTop w:val="0"/>
          <w:marBottom w:val="0"/>
          <w:divBdr>
            <w:top w:val="none" w:sz="0" w:space="0" w:color="auto"/>
            <w:left w:val="none" w:sz="0" w:space="0" w:color="auto"/>
            <w:bottom w:val="none" w:sz="0" w:space="0" w:color="auto"/>
            <w:right w:val="none" w:sz="0" w:space="0" w:color="auto"/>
          </w:divBdr>
          <w:divsChild>
            <w:div w:id="1375354065">
              <w:marLeft w:val="0"/>
              <w:marRight w:val="0"/>
              <w:marTop w:val="0"/>
              <w:marBottom w:val="0"/>
              <w:divBdr>
                <w:top w:val="none" w:sz="0" w:space="0" w:color="auto"/>
                <w:left w:val="none" w:sz="0" w:space="0" w:color="auto"/>
                <w:bottom w:val="none" w:sz="0" w:space="0" w:color="auto"/>
                <w:right w:val="none" w:sz="0" w:space="0" w:color="auto"/>
              </w:divBdr>
            </w:div>
          </w:divsChild>
        </w:div>
        <w:div w:id="958727109">
          <w:marLeft w:val="0"/>
          <w:marRight w:val="0"/>
          <w:marTop w:val="0"/>
          <w:marBottom w:val="150"/>
          <w:divBdr>
            <w:top w:val="none" w:sz="0" w:space="0" w:color="auto"/>
            <w:left w:val="none" w:sz="0" w:space="0" w:color="auto"/>
            <w:bottom w:val="none" w:sz="0" w:space="0" w:color="auto"/>
            <w:right w:val="none" w:sz="0" w:space="0" w:color="auto"/>
          </w:divBdr>
        </w:div>
      </w:divsChild>
    </w:div>
    <w:div w:id="989938465">
      <w:bodyDiv w:val="1"/>
      <w:marLeft w:val="0"/>
      <w:marRight w:val="0"/>
      <w:marTop w:val="0"/>
      <w:marBottom w:val="0"/>
      <w:divBdr>
        <w:top w:val="none" w:sz="0" w:space="0" w:color="auto"/>
        <w:left w:val="none" w:sz="0" w:space="0" w:color="auto"/>
        <w:bottom w:val="none" w:sz="0" w:space="0" w:color="auto"/>
        <w:right w:val="none" w:sz="0" w:space="0" w:color="auto"/>
      </w:divBdr>
      <w:divsChild>
        <w:div w:id="470907540">
          <w:marLeft w:val="0"/>
          <w:marRight w:val="0"/>
          <w:marTop w:val="0"/>
          <w:marBottom w:val="0"/>
          <w:divBdr>
            <w:top w:val="none" w:sz="0" w:space="0" w:color="auto"/>
            <w:left w:val="none" w:sz="0" w:space="0" w:color="auto"/>
            <w:bottom w:val="dotted" w:sz="6" w:space="4" w:color="DDDDDD"/>
            <w:right w:val="none" w:sz="0" w:space="0" w:color="auto"/>
          </w:divBdr>
          <w:divsChild>
            <w:div w:id="162865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332575">
      <w:bodyDiv w:val="1"/>
      <w:marLeft w:val="0"/>
      <w:marRight w:val="0"/>
      <w:marTop w:val="0"/>
      <w:marBottom w:val="0"/>
      <w:divBdr>
        <w:top w:val="none" w:sz="0" w:space="0" w:color="auto"/>
        <w:left w:val="none" w:sz="0" w:space="0" w:color="auto"/>
        <w:bottom w:val="none" w:sz="0" w:space="0" w:color="auto"/>
        <w:right w:val="none" w:sz="0" w:space="0" w:color="auto"/>
      </w:divBdr>
    </w:div>
    <w:div w:id="990408534">
      <w:bodyDiv w:val="1"/>
      <w:marLeft w:val="0"/>
      <w:marRight w:val="0"/>
      <w:marTop w:val="0"/>
      <w:marBottom w:val="0"/>
      <w:divBdr>
        <w:top w:val="none" w:sz="0" w:space="0" w:color="auto"/>
        <w:left w:val="none" w:sz="0" w:space="0" w:color="auto"/>
        <w:bottom w:val="none" w:sz="0" w:space="0" w:color="auto"/>
        <w:right w:val="none" w:sz="0" w:space="0" w:color="auto"/>
      </w:divBdr>
      <w:divsChild>
        <w:div w:id="801383298">
          <w:marLeft w:val="0"/>
          <w:marRight w:val="0"/>
          <w:marTop w:val="0"/>
          <w:marBottom w:val="0"/>
          <w:divBdr>
            <w:top w:val="none" w:sz="0" w:space="0" w:color="auto"/>
            <w:left w:val="none" w:sz="0" w:space="0" w:color="auto"/>
            <w:bottom w:val="none" w:sz="0" w:space="0" w:color="auto"/>
            <w:right w:val="none" w:sz="0" w:space="0" w:color="auto"/>
          </w:divBdr>
        </w:div>
      </w:divsChild>
    </w:div>
    <w:div w:id="990907825">
      <w:bodyDiv w:val="1"/>
      <w:marLeft w:val="0"/>
      <w:marRight w:val="0"/>
      <w:marTop w:val="0"/>
      <w:marBottom w:val="0"/>
      <w:divBdr>
        <w:top w:val="none" w:sz="0" w:space="0" w:color="auto"/>
        <w:left w:val="none" w:sz="0" w:space="0" w:color="auto"/>
        <w:bottom w:val="none" w:sz="0" w:space="0" w:color="auto"/>
        <w:right w:val="none" w:sz="0" w:space="0" w:color="auto"/>
      </w:divBdr>
      <w:divsChild>
        <w:div w:id="1890535841">
          <w:marLeft w:val="0"/>
          <w:marRight w:val="0"/>
          <w:marTop w:val="0"/>
          <w:marBottom w:val="0"/>
          <w:divBdr>
            <w:top w:val="none" w:sz="0" w:space="0" w:color="auto"/>
            <w:left w:val="none" w:sz="0" w:space="0" w:color="auto"/>
            <w:bottom w:val="none" w:sz="0" w:space="0" w:color="auto"/>
            <w:right w:val="none" w:sz="0" w:space="0" w:color="auto"/>
          </w:divBdr>
          <w:divsChild>
            <w:div w:id="88074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103976">
      <w:bodyDiv w:val="1"/>
      <w:marLeft w:val="0"/>
      <w:marRight w:val="0"/>
      <w:marTop w:val="0"/>
      <w:marBottom w:val="0"/>
      <w:divBdr>
        <w:top w:val="none" w:sz="0" w:space="0" w:color="auto"/>
        <w:left w:val="none" w:sz="0" w:space="0" w:color="auto"/>
        <w:bottom w:val="none" w:sz="0" w:space="0" w:color="auto"/>
        <w:right w:val="none" w:sz="0" w:space="0" w:color="auto"/>
      </w:divBdr>
      <w:divsChild>
        <w:div w:id="33506364">
          <w:marLeft w:val="0"/>
          <w:marRight w:val="0"/>
          <w:marTop w:val="0"/>
          <w:marBottom w:val="150"/>
          <w:divBdr>
            <w:top w:val="none" w:sz="0" w:space="0" w:color="auto"/>
            <w:left w:val="none" w:sz="0" w:space="0" w:color="auto"/>
            <w:bottom w:val="none" w:sz="0" w:space="0" w:color="auto"/>
            <w:right w:val="none" w:sz="0" w:space="0" w:color="auto"/>
          </w:divBdr>
        </w:div>
        <w:div w:id="110899320">
          <w:marLeft w:val="0"/>
          <w:marRight w:val="0"/>
          <w:marTop w:val="0"/>
          <w:marBottom w:val="150"/>
          <w:divBdr>
            <w:top w:val="none" w:sz="0" w:space="0" w:color="auto"/>
            <w:left w:val="none" w:sz="0" w:space="0" w:color="auto"/>
            <w:bottom w:val="none" w:sz="0" w:space="0" w:color="auto"/>
            <w:right w:val="none" w:sz="0" w:space="0" w:color="auto"/>
          </w:divBdr>
        </w:div>
        <w:div w:id="262691156">
          <w:marLeft w:val="0"/>
          <w:marRight w:val="0"/>
          <w:marTop w:val="0"/>
          <w:marBottom w:val="150"/>
          <w:divBdr>
            <w:top w:val="none" w:sz="0" w:space="0" w:color="auto"/>
            <w:left w:val="none" w:sz="0" w:space="0" w:color="auto"/>
            <w:bottom w:val="none" w:sz="0" w:space="0" w:color="auto"/>
            <w:right w:val="none" w:sz="0" w:space="0" w:color="auto"/>
          </w:divBdr>
        </w:div>
        <w:div w:id="372845839">
          <w:marLeft w:val="0"/>
          <w:marRight w:val="0"/>
          <w:marTop w:val="0"/>
          <w:marBottom w:val="150"/>
          <w:divBdr>
            <w:top w:val="none" w:sz="0" w:space="0" w:color="auto"/>
            <w:left w:val="none" w:sz="0" w:space="0" w:color="auto"/>
            <w:bottom w:val="none" w:sz="0" w:space="0" w:color="auto"/>
            <w:right w:val="none" w:sz="0" w:space="0" w:color="auto"/>
          </w:divBdr>
        </w:div>
        <w:div w:id="377899640">
          <w:marLeft w:val="0"/>
          <w:marRight w:val="0"/>
          <w:marTop w:val="0"/>
          <w:marBottom w:val="150"/>
          <w:divBdr>
            <w:top w:val="none" w:sz="0" w:space="0" w:color="auto"/>
            <w:left w:val="none" w:sz="0" w:space="0" w:color="auto"/>
            <w:bottom w:val="none" w:sz="0" w:space="0" w:color="auto"/>
            <w:right w:val="none" w:sz="0" w:space="0" w:color="auto"/>
          </w:divBdr>
        </w:div>
        <w:div w:id="523831128">
          <w:marLeft w:val="0"/>
          <w:marRight w:val="0"/>
          <w:marTop w:val="0"/>
          <w:marBottom w:val="150"/>
          <w:divBdr>
            <w:top w:val="none" w:sz="0" w:space="0" w:color="auto"/>
            <w:left w:val="none" w:sz="0" w:space="0" w:color="auto"/>
            <w:bottom w:val="none" w:sz="0" w:space="0" w:color="auto"/>
            <w:right w:val="none" w:sz="0" w:space="0" w:color="auto"/>
          </w:divBdr>
        </w:div>
        <w:div w:id="601688087">
          <w:marLeft w:val="0"/>
          <w:marRight w:val="0"/>
          <w:marTop w:val="0"/>
          <w:marBottom w:val="150"/>
          <w:divBdr>
            <w:top w:val="none" w:sz="0" w:space="0" w:color="auto"/>
            <w:left w:val="none" w:sz="0" w:space="0" w:color="auto"/>
            <w:bottom w:val="none" w:sz="0" w:space="0" w:color="auto"/>
            <w:right w:val="none" w:sz="0" w:space="0" w:color="auto"/>
          </w:divBdr>
        </w:div>
        <w:div w:id="806361357">
          <w:marLeft w:val="0"/>
          <w:marRight w:val="0"/>
          <w:marTop w:val="0"/>
          <w:marBottom w:val="150"/>
          <w:divBdr>
            <w:top w:val="none" w:sz="0" w:space="0" w:color="auto"/>
            <w:left w:val="none" w:sz="0" w:space="0" w:color="auto"/>
            <w:bottom w:val="none" w:sz="0" w:space="0" w:color="auto"/>
            <w:right w:val="none" w:sz="0" w:space="0" w:color="auto"/>
          </w:divBdr>
        </w:div>
        <w:div w:id="975990029">
          <w:marLeft w:val="0"/>
          <w:marRight w:val="0"/>
          <w:marTop w:val="0"/>
          <w:marBottom w:val="150"/>
          <w:divBdr>
            <w:top w:val="none" w:sz="0" w:space="0" w:color="auto"/>
            <w:left w:val="none" w:sz="0" w:space="0" w:color="auto"/>
            <w:bottom w:val="none" w:sz="0" w:space="0" w:color="auto"/>
            <w:right w:val="none" w:sz="0" w:space="0" w:color="auto"/>
          </w:divBdr>
        </w:div>
        <w:div w:id="1013800217">
          <w:marLeft w:val="0"/>
          <w:marRight w:val="0"/>
          <w:marTop w:val="0"/>
          <w:marBottom w:val="150"/>
          <w:divBdr>
            <w:top w:val="none" w:sz="0" w:space="0" w:color="auto"/>
            <w:left w:val="none" w:sz="0" w:space="0" w:color="auto"/>
            <w:bottom w:val="none" w:sz="0" w:space="0" w:color="auto"/>
            <w:right w:val="none" w:sz="0" w:space="0" w:color="auto"/>
          </w:divBdr>
        </w:div>
        <w:div w:id="1093163896">
          <w:marLeft w:val="0"/>
          <w:marRight w:val="0"/>
          <w:marTop w:val="0"/>
          <w:marBottom w:val="150"/>
          <w:divBdr>
            <w:top w:val="none" w:sz="0" w:space="0" w:color="auto"/>
            <w:left w:val="none" w:sz="0" w:space="0" w:color="auto"/>
            <w:bottom w:val="none" w:sz="0" w:space="0" w:color="auto"/>
            <w:right w:val="none" w:sz="0" w:space="0" w:color="auto"/>
          </w:divBdr>
        </w:div>
        <w:div w:id="1103458193">
          <w:marLeft w:val="0"/>
          <w:marRight w:val="0"/>
          <w:marTop w:val="0"/>
          <w:marBottom w:val="150"/>
          <w:divBdr>
            <w:top w:val="none" w:sz="0" w:space="0" w:color="auto"/>
            <w:left w:val="none" w:sz="0" w:space="0" w:color="auto"/>
            <w:bottom w:val="none" w:sz="0" w:space="0" w:color="auto"/>
            <w:right w:val="none" w:sz="0" w:space="0" w:color="auto"/>
          </w:divBdr>
        </w:div>
        <w:div w:id="1487434878">
          <w:marLeft w:val="0"/>
          <w:marRight w:val="0"/>
          <w:marTop w:val="0"/>
          <w:marBottom w:val="150"/>
          <w:divBdr>
            <w:top w:val="none" w:sz="0" w:space="0" w:color="auto"/>
            <w:left w:val="none" w:sz="0" w:space="0" w:color="auto"/>
            <w:bottom w:val="none" w:sz="0" w:space="0" w:color="auto"/>
            <w:right w:val="none" w:sz="0" w:space="0" w:color="auto"/>
          </w:divBdr>
        </w:div>
        <w:div w:id="1570385614">
          <w:marLeft w:val="0"/>
          <w:marRight w:val="0"/>
          <w:marTop w:val="0"/>
          <w:marBottom w:val="150"/>
          <w:divBdr>
            <w:top w:val="none" w:sz="0" w:space="0" w:color="auto"/>
            <w:left w:val="none" w:sz="0" w:space="0" w:color="auto"/>
            <w:bottom w:val="none" w:sz="0" w:space="0" w:color="auto"/>
            <w:right w:val="none" w:sz="0" w:space="0" w:color="auto"/>
          </w:divBdr>
        </w:div>
        <w:div w:id="1711683188">
          <w:marLeft w:val="0"/>
          <w:marRight w:val="0"/>
          <w:marTop w:val="0"/>
          <w:marBottom w:val="150"/>
          <w:divBdr>
            <w:top w:val="none" w:sz="0" w:space="0" w:color="auto"/>
            <w:left w:val="none" w:sz="0" w:space="0" w:color="auto"/>
            <w:bottom w:val="none" w:sz="0" w:space="0" w:color="auto"/>
            <w:right w:val="none" w:sz="0" w:space="0" w:color="auto"/>
          </w:divBdr>
        </w:div>
        <w:div w:id="1791437649">
          <w:marLeft w:val="0"/>
          <w:marRight w:val="0"/>
          <w:marTop w:val="0"/>
          <w:marBottom w:val="150"/>
          <w:divBdr>
            <w:top w:val="none" w:sz="0" w:space="0" w:color="auto"/>
            <w:left w:val="none" w:sz="0" w:space="0" w:color="auto"/>
            <w:bottom w:val="none" w:sz="0" w:space="0" w:color="auto"/>
            <w:right w:val="none" w:sz="0" w:space="0" w:color="auto"/>
          </w:divBdr>
        </w:div>
        <w:div w:id="1889681398">
          <w:marLeft w:val="0"/>
          <w:marRight w:val="0"/>
          <w:marTop w:val="0"/>
          <w:marBottom w:val="150"/>
          <w:divBdr>
            <w:top w:val="none" w:sz="0" w:space="0" w:color="auto"/>
            <w:left w:val="none" w:sz="0" w:space="0" w:color="auto"/>
            <w:bottom w:val="none" w:sz="0" w:space="0" w:color="auto"/>
            <w:right w:val="none" w:sz="0" w:space="0" w:color="auto"/>
          </w:divBdr>
        </w:div>
      </w:divsChild>
    </w:div>
    <w:div w:id="991758588">
      <w:bodyDiv w:val="1"/>
      <w:marLeft w:val="0"/>
      <w:marRight w:val="0"/>
      <w:marTop w:val="0"/>
      <w:marBottom w:val="0"/>
      <w:divBdr>
        <w:top w:val="none" w:sz="0" w:space="0" w:color="auto"/>
        <w:left w:val="none" w:sz="0" w:space="0" w:color="auto"/>
        <w:bottom w:val="none" w:sz="0" w:space="0" w:color="auto"/>
        <w:right w:val="none" w:sz="0" w:space="0" w:color="auto"/>
      </w:divBdr>
      <w:divsChild>
        <w:div w:id="1300453974">
          <w:marLeft w:val="0"/>
          <w:marRight w:val="0"/>
          <w:marTop w:val="0"/>
          <w:marBottom w:val="0"/>
          <w:divBdr>
            <w:top w:val="none" w:sz="0" w:space="0" w:color="auto"/>
            <w:left w:val="none" w:sz="0" w:space="0" w:color="auto"/>
            <w:bottom w:val="none" w:sz="0" w:space="0" w:color="auto"/>
            <w:right w:val="none" w:sz="0" w:space="0" w:color="auto"/>
          </w:divBdr>
        </w:div>
        <w:div w:id="1311401070">
          <w:marLeft w:val="0"/>
          <w:marRight w:val="0"/>
          <w:marTop w:val="0"/>
          <w:marBottom w:val="150"/>
          <w:divBdr>
            <w:top w:val="none" w:sz="0" w:space="0" w:color="auto"/>
            <w:left w:val="none" w:sz="0" w:space="0" w:color="auto"/>
            <w:bottom w:val="none" w:sz="0" w:space="0" w:color="auto"/>
            <w:right w:val="none" w:sz="0" w:space="0" w:color="auto"/>
          </w:divBdr>
        </w:div>
      </w:divsChild>
    </w:div>
    <w:div w:id="992101629">
      <w:bodyDiv w:val="1"/>
      <w:marLeft w:val="0"/>
      <w:marRight w:val="0"/>
      <w:marTop w:val="0"/>
      <w:marBottom w:val="0"/>
      <w:divBdr>
        <w:top w:val="none" w:sz="0" w:space="0" w:color="auto"/>
        <w:left w:val="none" w:sz="0" w:space="0" w:color="auto"/>
        <w:bottom w:val="none" w:sz="0" w:space="0" w:color="auto"/>
        <w:right w:val="none" w:sz="0" w:space="0" w:color="auto"/>
      </w:divBdr>
      <w:divsChild>
        <w:div w:id="1417088770">
          <w:marLeft w:val="0"/>
          <w:marRight w:val="0"/>
          <w:marTop w:val="0"/>
          <w:marBottom w:val="0"/>
          <w:divBdr>
            <w:top w:val="none" w:sz="0" w:space="0" w:color="auto"/>
            <w:left w:val="none" w:sz="0" w:space="0" w:color="auto"/>
            <w:bottom w:val="dotted" w:sz="6" w:space="4" w:color="DDDDDD"/>
            <w:right w:val="none" w:sz="0" w:space="0" w:color="auto"/>
          </w:divBdr>
        </w:div>
      </w:divsChild>
    </w:div>
    <w:div w:id="992567506">
      <w:bodyDiv w:val="1"/>
      <w:marLeft w:val="0"/>
      <w:marRight w:val="0"/>
      <w:marTop w:val="0"/>
      <w:marBottom w:val="0"/>
      <w:divBdr>
        <w:top w:val="none" w:sz="0" w:space="0" w:color="auto"/>
        <w:left w:val="none" w:sz="0" w:space="0" w:color="auto"/>
        <w:bottom w:val="none" w:sz="0" w:space="0" w:color="auto"/>
        <w:right w:val="none" w:sz="0" w:space="0" w:color="auto"/>
      </w:divBdr>
      <w:divsChild>
        <w:div w:id="855534181">
          <w:marLeft w:val="0"/>
          <w:marRight w:val="0"/>
          <w:marTop w:val="0"/>
          <w:marBottom w:val="0"/>
          <w:divBdr>
            <w:top w:val="none" w:sz="0" w:space="0" w:color="auto"/>
            <w:left w:val="none" w:sz="0" w:space="0" w:color="auto"/>
            <w:bottom w:val="none" w:sz="0" w:space="0" w:color="auto"/>
            <w:right w:val="none" w:sz="0" w:space="0" w:color="auto"/>
          </w:divBdr>
          <w:divsChild>
            <w:div w:id="782649510">
              <w:marLeft w:val="0"/>
              <w:marRight w:val="0"/>
              <w:marTop w:val="0"/>
              <w:marBottom w:val="0"/>
              <w:divBdr>
                <w:top w:val="none" w:sz="0" w:space="0" w:color="auto"/>
                <w:left w:val="none" w:sz="0" w:space="0" w:color="auto"/>
                <w:bottom w:val="none" w:sz="0" w:space="0" w:color="auto"/>
                <w:right w:val="none" w:sz="0" w:space="0" w:color="auto"/>
              </w:divBdr>
              <w:divsChild>
                <w:div w:id="1341812808">
                  <w:marLeft w:val="0"/>
                  <w:marRight w:val="0"/>
                  <w:marTop w:val="0"/>
                  <w:marBottom w:val="0"/>
                  <w:divBdr>
                    <w:top w:val="none" w:sz="0" w:space="0" w:color="auto"/>
                    <w:left w:val="none" w:sz="0" w:space="0" w:color="auto"/>
                    <w:bottom w:val="none" w:sz="0" w:space="0" w:color="auto"/>
                    <w:right w:val="none" w:sz="0" w:space="0" w:color="auto"/>
                  </w:divBdr>
                  <w:divsChild>
                    <w:div w:id="2023042593">
                      <w:marLeft w:val="0"/>
                      <w:marRight w:val="0"/>
                      <w:marTop w:val="0"/>
                      <w:marBottom w:val="0"/>
                      <w:divBdr>
                        <w:top w:val="none" w:sz="0" w:space="0" w:color="auto"/>
                        <w:left w:val="none" w:sz="0" w:space="0" w:color="auto"/>
                        <w:bottom w:val="none" w:sz="0" w:space="0" w:color="auto"/>
                        <w:right w:val="none" w:sz="0" w:space="0" w:color="auto"/>
                      </w:divBdr>
                      <w:divsChild>
                        <w:div w:id="1595898611">
                          <w:marLeft w:val="0"/>
                          <w:marRight w:val="0"/>
                          <w:marTop w:val="0"/>
                          <w:marBottom w:val="0"/>
                          <w:divBdr>
                            <w:top w:val="none" w:sz="0" w:space="0" w:color="auto"/>
                            <w:left w:val="none" w:sz="0" w:space="0" w:color="auto"/>
                            <w:bottom w:val="none" w:sz="0" w:space="0" w:color="auto"/>
                            <w:right w:val="none" w:sz="0" w:space="0" w:color="auto"/>
                          </w:divBdr>
                          <w:divsChild>
                            <w:div w:id="78135223">
                              <w:marLeft w:val="0"/>
                              <w:marRight w:val="0"/>
                              <w:marTop w:val="0"/>
                              <w:marBottom w:val="0"/>
                              <w:divBdr>
                                <w:top w:val="none" w:sz="0" w:space="0" w:color="auto"/>
                                <w:left w:val="none" w:sz="0" w:space="0" w:color="auto"/>
                                <w:bottom w:val="none" w:sz="0" w:space="0" w:color="auto"/>
                                <w:right w:val="none" w:sz="0" w:space="0" w:color="auto"/>
                              </w:divBdr>
                              <w:divsChild>
                                <w:div w:id="843784284">
                                  <w:marLeft w:val="0"/>
                                  <w:marRight w:val="0"/>
                                  <w:marTop w:val="0"/>
                                  <w:marBottom w:val="0"/>
                                  <w:divBdr>
                                    <w:top w:val="none" w:sz="0" w:space="0" w:color="auto"/>
                                    <w:left w:val="none" w:sz="0" w:space="0" w:color="auto"/>
                                    <w:bottom w:val="none" w:sz="0" w:space="0" w:color="auto"/>
                                    <w:right w:val="none" w:sz="0" w:space="0" w:color="auto"/>
                                  </w:divBdr>
                                  <w:divsChild>
                                    <w:div w:id="1823306845">
                                      <w:marLeft w:val="0"/>
                                      <w:marRight w:val="0"/>
                                      <w:marTop w:val="0"/>
                                      <w:marBottom w:val="0"/>
                                      <w:divBdr>
                                        <w:top w:val="none" w:sz="0" w:space="0" w:color="auto"/>
                                        <w:left w:val="none" w:sz="0" w:space="0" w:color="auto"/>
                                        <w:bottom w:val="none" w:sz="0" w:space="0" w:color="auto"/>
                                        <w:right w:val="none" w:sz="0" w:space="0" w:color="auto"/>
                                      </w:divBdr>
                                      <w:divsChild>
                                        <w:div w:id="14917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2760845">
      <w:bodyDiv w:val="1"/>
      <w:marLeft w:val="0"/>
      <w:marRight w:val="0"/>
      <w:marTop w:val="0"/>
      <w:marBottom w:val="0"/>
      <w:divBdr>
        <w:top w:val="none" w:sz="0" w:space="0" w:color="auto"/>
        <w:left w:val="none" w:sz="0" w:space="0" w:color="auto"/>
        <w:bottom w:val="none" w:sz="0" w:space="0" w:color="auto"/>
        <w:right w:val="none" w:sz="0" w:space="0" w:color="auto"/>
      </w:divBdr>
      <w:divsChild>
        <w:div w:id="1560751752">
          <w:marLeft w:val="0"/>
          <w:marRight w:val="0"/>
          <w:marTop w:val="0"/>
          <w:marBottom w:val="0"/>
          <w:divBdr>
            <w:top w:val="none" w:sz="0" w:space="0" w:color="auto"/>
            <w:left w:val="none" w:sz="0" w:space="0" w:color="auto"/>
            <w:bottom w:val="dotted" w:sz="6" w:space="4" w:color="DDDDDD"/>
            <w:right w:val="none" w:sz="0" w:space="0" w:color="auto"/>
          </w:divBdr>
          <w:divsChild>
            <w:div w:id="85576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11501">
      <w:bodyDiv w:val="1"/>
      <w:marLeft w:val="0"/>
      <w:marRight w:val="0"/>
      <w:marTop w:val="0"/>
      <w:marBottom w:val="0"/>
      <w:divBdr>
        <w:top w:val="none" w:sz="0" w:space="0" w:color="auto"/>
        <w:left w:val="none" w:sz="0" w:space="0" w:color="auto"/>
        <w:bottom w:val="none" w:sz="0" w:space="0" w:color="auto"/>
        <w:right w:val="none" w:sz="0" w:space="0" w:color="auto"/>
      </w:divBdr>
    </w:div>
    <w:div w:id="994333444">
      <w:bodyDiv w:val="1"/>
      <w:marLeft w:val="0"/>
      <w:marRight w:val="0"/>
      <w:marTop w:val="0"/>
      <w:marBottom w:val="0"/>
      <w:divBdr>
        <w:top w:val="none" w:sz="0" w:space="0" w:color="auto"/>
        <w:left w:val="none" w:sz="0" w:space="0" w:color="auto"/>
        <w:bottom w:val="none" w:sz="0" w:space="0" w:color="auto"/>
        <w:right w:val="none" w:sz="0" w:space="0" w:color="auto"/>
      </w:divBdr>
    </w:div>
    <w:div w:id="994339619">
      <w:bodyDiv w:val="1"/>
      <w:marLeft w:val="0"/>
      <w:marRight w:val="0"/>
      <w:marTop w:val="0"/>
      <w:marBottom w:val="0"/>
      <w:divBdr>
        <w:top w:val="none" w:sz="0" w:space="0" w:color="auto"/>
        <w:left w:val="none" w:sz="0" w:space="0" w:color="auto"/>
        <w:bottom w:val="none" w:sz="0" w:space="0" w:color="auto"/>
        <w:right w:val="none" w:sz="0" w:space="0" w:color="auto"/>
      </w:divBdr>
      <w:divsChild>
        <w:div w:id="1235582870">
          <w:marLeft w:val="0"/>
          <w:marRight w:val="0"/>
          <w:marTop w:val="0"/>
          <w:marBottom w:val="0"/>
          <w:divBdr>
            <w:top w:val="none" w:sz="0" w:space="0" w:color="auto"/>
            <w:left w:val="none" w:sz="0" w:space="0" w:color="auto"/>
            <w:bottom w:val="none" w:sz="0" w:space="0" w:color="auto"/>
            <w:right w:val="none" w:sz="0" w:space="0" w:color="auto"/>
          </w:divBdr>
        </w:div>
      </w:divsChild>
    </w:div>
    <w:div w:id="994651120">
      <w:bodyDiv w:val="1"/>
      <w:marLeft w:val="0"/>
      <w:marRight w:val="0"/>
      <w:marTop w:val="0"/>
      <w:marBottom w:val="0"/>
      <w:divBdr>
        <w:top w:val="none" w:sz="0" w:space="0" w:color="auto"/>
        <w:left w:val="none" w:sz="0" w:space="0" w:color="auto"/>
        <w:bottom w:val="none" w:sz="0" w:space="0" w:color="auto"/>
        <w:right w:val="none" w:sz="0" w:space="0" w:color="auto"/>
      </w:divBdr>
      <w:divsChild>
        <w:div w:id="142240285">
          <w:marLeft w:val="0"/>
          <w:marRight w:val="0"/>
          <w:marTop w:val="0"/>
          <w:marBottom w:val="150"/>
          <w:divBdr>
            <w:top w:val="none" w:sz="0" w:space="0" w:color="auto"/>
            <w:left w:val="none" w:sz="0" w:space="0" w:color="auto"/>
            <w:bottom w:val="none" w:sz="0" w:space="0" w:color="auto"/>
            <w:right w:val="none" w:sz="0" w:space="0" w:color="auto"/>
          </w:divBdr>
          <w:divsChild>
            <w:div w:id="77144744">
              <w:marLeft w:val="0"/>
              <w:marRight w:val="0"/>
              <w:marTop w:val="0"/>
              <w:marBottom w:val="0"/>
              <w:divBdr>
                <w:top w:val="none" w:sz="0" w:space="0" w:color="auto"/>
                <w:left w:val="none" w:sz="0" w:space="0" w:color="auto"/>
                <w:bottom w:val="none" w:sz="0" w:space="0" w:color="auto"/>
                <w:right w:val="none" w:sz="0" w:space="0" w:color="auto"/>
              </w:divBdr>
            </w:div>
          </w:divsChild>
        </w:div>
        <w:div w:id="1651789851">
          <w:marLeft w:val="0"/>
          <w:marRight w:val="0"/>
          <w:marTop w:val="0"/>
          <w:marBottom w:val="0"/>
          <w:divBdr>
            <w:top w:val="none" w:sz="0" w:space="0" w:color="auto"/>
            <w:left w:val="none" w:sz="0" w:space="0" w:color="auto"/>
            <w:bottom w:val="none" w:sz="0" w:space="0" w:color="auto"/>
            <w:right w:val="none" w:sz="0" w:space="0" w:color="auto"/>
          </w:divBdr>
          <w:divsChild>
            <w:div w:id="640498144">
              <w:marLeft w:val="0"/>
              <w:marRight w:val="0"/>
              <w:marTop w:val="0"/>
              <w:marBottom w:val="0"/>
              <w:divBdr>
                <w:top w:val="none" w:sz="0" w:space="0" w:color="auto"/>
                <w:left w:val="none" w:sz="0" w:space="0" w:color="auto"/>
                <w:bottom w:val="none" w:sz="0" w:space="0" w:color="auto"/>
                <w:right w:val="none" w:sz="0" w:space="0" w:color="auto"/>
              </w:divBdr>
            </w:div>
            <w:div w:id="20557346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94843865">
      <w:bodyDiv w:val="1"/>
      <w:marLeft w:val="0"/>
      <w:marRight w:val="0"/>
      <w:marTop w:val="0"/>
      <w:marBottom w:val="0"/>
      <w:divBdr>
        <w:top w:val="none" w:sz="0" w:space="0" w:color="auto"/>
        <w:left w:val="none" w:sz="0" w:space="0" w:color="auto"/>
        <w:bottom w:val="none" w:sz="0" w:space="0" w:color="auto"/>
        <w:right w:val="none" w:sz="0" w:space="0" w:color="auto"/>
      </w:divBdr>
    </w:div>
    <w:div w:id="994993952">
      <w:bodyDiv w:val="1"/>
      <w:marLeft w:val="0"/>
      <w:marRight w:val="0"/>
      <w:marTop w:val="0"/>
      <w:marBottom w:val="0"/>
      <w:divBdr>
        <w:top w:val="none" w:sz="0" w:space="0" w:color="auto"/>
        <w:left w:val="none" w:sz="0" w:space="0" w:color="auto"/>
        <w:bottom w:val="none" w:sz="0" w:space="0" w:color="auto"/>
        <w:right w:val="none" w:sz="0" w:space="0" w:color="auto"/>
      </w:divBdr>
      <w:divsChild>
        <w:div w:id="364791157">
          <w:marLeft w:val="0"/>
          <w:marRight w:val="0"/>
          <w:marTop w:val="0"/>
          <w:marBottom w:val="150"/>
          <w:divBdr>
            <w:top w:val="none" w:sz="0" w:space="0" w:color="auto"/>
            <w:left w:val="none" w:sz="0" w:space="0" w:color="auto"/>
            <w:bottom w:val="none" w:sz="0" w:space="0" w:color="auto"/>
            <w:right w:val="none" w:sz="0" w:space="0" w:color="auto"/>
          </w:divBdr>
          <w:divsChild>
            <w:div w:id="2085569521">
              <w:marLeft w:val="0"/>
              <w:marRight w:val="0"/>
              <w:marTop w:val="0"/>
              <w:marBottom w:val="0"/>
              <w:divBdr>
                <w:top w:val="none" w:sz="0" w:space="0" w:color="auto"/>
                <w:left w:val="none" w:sz="0" w:space="0" w:color="auto"/>
                <w:bottom w:val="none" w:sz="0" w:space="0" w:color="auto"/>
                <w:right w:val="none" w:sz="0" w:space="0" w:color="auto"/>
              </w:divBdr>
            </w:div>
          </w:divsChild>
        </w:div>
        <w:div w:id="372579268">
          <w:marLeft w:val="0"/>
          <w:marRight w:val="0"/>
          <w:marTop w:val="0"/>
          <w:marBottom w:val="0"/>
          <w:divBdr>
            <w:top w:val="none" w:sz="0" w:space="0" w:color="auto"/>
            <w:left w:val="none" w:sz="0" w:space="0" w:color="auto"/>
            <w:bottom w:val="none" w:sz="0" w:space="0" w:color="auto"/>
            <w:right w:val="none" w:sz="0" w:space="0" w:color="auto"/>
          </w:divBdr>
          <w:divsChild>
            <w:div w:id="1030884894">
              <w:marLeft w:val="0"/>
              <w:marRight w:val="0"/>
              <w:marTop w:val="0"/>
              <w:marBottom w:val="0"/>
              <w:divBdr>
                <w:top w:val="none" w:sz="0" w:space="0" w:color="auto"/>
                <w:left w:val="none" w:sz="0" w:space="0" w:color="auto"/>
                <w:bottom w:val="none" w:sz="0" w:space="0" w:color="auto"/>
                <w:right w:val="none" w:sz="0" w:space="0" w:color="auto"/>
              </w:divBdr>
            </w:div>
          </w:divsChild>
        </w:div>
        <w:div w:id="631448287">
          <w:marLeft w:val="0"/>
          <w:marRight w:val="0"/>
          <w:marTop w:val="0"/>
          <w:marBottom w:val="150"/>
          <w:divBdr>
            <w:top w:val="none" w:sz="0" w:space="0" w:color="auto"/>
            <w:left w:val="none" w:sz="0" w:space="0" w:color="auto"/>
            <w:bottom w:val="none" w:sz="0" w:space="0" w:color="auto"/>
            <w:right w:val="none" w:sz="0" w:space="0" w:color="auto"/>
          </w:divBdr>
        </w:div>
      </w:divsChild>
    </w:div>
    <w:div w:id="994995845">
      <w:bodyDiv w:val="1"/>
      <w:marLeft w:val="0"/>
      <w:marRight w:val="0"/>
      <w:marTop w:val="0"/>
      <w:marBottom w:val="0"/>
      <w:divBdr>
        <w:top w:val="none" w:sz="0" w:space="0" w:color="auto"/>
        <w:left w:val="none" w:sz="0" w:space="0" w:color="auto"/>
        <w:bottom w:val="none" w:sz="0" w:space="0" w:color="auto"/>
        <w:right w:val="none" w:sz="0" w:space="0" w:color="auto"/>
      </w:divBdr>
      <w:divsChild>
        <w:div w:id="86078984">
          <w:marLeft w:val="0"/>
          <w:marRight w:val="0"/>
          <w:marTop w:val="0"/>
          <w:marBottom w:val="0"/>
          <w:divBdr>
            <w:top w:val="none" w:sz="0" w:space="0" w:color="auto"/>
            <w:left w:val="none" w:sz="0" w:space="0" w:color="auto"/>
            <w:bottom w:val="dotted" w:sz="6" w:space="4" w:color="DDDDDD"/>
            <w:right w:val="none" w:sz="0" w:space="0" w:color="auto"/>
          </w:divBdr>
          <w:divsChild>
            <w:div w:id="34984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456700">
      <w:bodyDiv w:val="1"/>
      <w:marLeft w:val="0"/>
      <w:marRight w:val="0"/>
      <w:marTop w:val="0"/>
      <w:marBottom w:val="0"/>
      <w:divBdr>
        <w:top w:val="none" w:sz="0" w:space="0" w:color="auto"/>
        <w:left w:val="none" w:sz="0" w:space="0" w:color="auto"/>
        <w:bottom w:val="none" w:sz="0" w:space="0" w:color="auto"/>
        <w:right w:val="none" w:sz="0" w:space="0" w:color="auto"/>
      </w:divBdr>
      <w:divsChild>
        <w:div w:id="938948326">
          <w:marLeft w:val="0"/>
          <w:marRight w:val="0"/>
          <w:marTop w:val="0"/>
          <w:marBottom w:val="150"/>
          <w:divBdr>
            <w:top w:val="none" w:sz="0" w:space="0" w:color="auto"/>
            <w:left w:val="none" w:sz="0" w:space="0" w:color="auto"/>
            <w:bottom w:val="none" w:sz="0" w:space="0" w:color="auto"/>
            <w:right w:val="none" w:sz="0" w:space="0" w:color="auto"/>
          </w:divBdr>
        </w:div>
        <w:div w:id="1169979398">
          <w:marLeft w:val="0"/>
          <w:marRight w:val="0"/>
          <w:marTop w:val="0"/>
          <w:marBottom w:val="150"/>
          <w:divBdr>
            <w:top w:val="none" w:sz="0" w:space="0" w:color="auto"/>
            <w:left w:val="none" w:sz="0" w:space="0" w:color="auto"/>
            <w:bottom w:val="none" w:sz="0" w:space="0" w:color="auto"/>
            <w:right w:val="none" w:sz="0" w:space="0" w:color="auto"/>
          </w:divBdr>
          <w:divsChild>
            <w:div w:id="1880316272">
              <w:marLeft w:val="0"/>
              <w:marRight w:val="0"/>
              <w:marTop w:val="0"/>
              <w:marBottom w:val="0"/>
              <w:divBdr>
                <w:top w:val="none" w:sz="0" w:space="0" w:color="auto"/>
                <w:left w:val="none" w:sz="0" w:space="0" w:color="auto"/>
                <w:bottom w:val="none" w:sz="0" w:space="0" w:color="auto"/>
                <w:right w:val="none" w:sz="0" w:space="0" w:color="auto"/>
              </w:divBdr>
              <w:divsChild>
                <w:div w:id="58176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136822">
          <w:marLeft w:val="0"/>
          <w:marRight w:val="0"/>
          <w:marTop w:val="0"/>
          <w:marBottom w:val="0"/>
          <w:divBdr>
            <w:top w:val="none" w:sz="0" w:space="0" w:color="auto"/>
            <w:left w:val="none" w:sz="0" w:space="0" w:color="auto"/>
            <w:bottom w:val="none" w:sz="0" w:space="0" w:color="auto"/>
            <w:right w:val="none" w:sz="0" w:space="0" w:color="auto"/>
          </w:divBdr>
          <w:divsChild>
            <w:div w:id="5088758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95570850">
      <w:bodyDiv w:val="1"/>
      <w:marLeft w:val="0"/>
      <w:marRight w:val="0"/>
      <w:marTop w:val="0"/>
      <w:marBottom w:val="0"/>
      <w:divBdr>
        <w:top w:val="none" w:sz="0" w:space="0" w:color="auto"/>
        <w:left w:val="none" w:sz="0" w:space="0" w:color="auto"/>
        <w:bottom w:val="none" w:sz="0" w:space="0" w:color="auto"/>
        <w:right w:val="none" w:sz="0" w:space="0" w:color="auto"/>
      </w:divBdr>
      <w:divsChild>
        <w:div w:id="323313752">
          <w:marLeft w:val="0"/>
          <w:marRight w:val="0"/>
          <w:marTop w:val="0"/>
          <w:marBottom w:val="300"/>
          <w:divBdr>
            <w:top w:val="none" w:sz="0" w:space="0" w:color="auto"/>
            <w:left w:val="none" w:sz="0" w:space="0" w:color="auto"/>
            <w:bottom w:val="none" w:sz="0" w:space="0" w:color="auto"/>
            <w:right w:val="none" w:sz="0" w:space="0" w:color="auto"/>
          </w:divBdr>
          <w:divsChild>
            <w:div w:id="196626437">
              <w:marLeft w:val="0"/>
              <w:marRight w:val="0"/>
              <w:marTop w:val="0"/>
              <w:marBottom w:val="0"/>
              <w:divBdr>
                <w:top w:val="none" w:sz="0" w:space="0" w:color="auto"/>
                <w:left w:val="none" w:sz="0" w:space="0" w:color="auto"/>
                <w:bottom w:val="none" w:sz="0" w:space="0" w:color="auto"/>
                <w:right w:val="none" w:sz="0" w:space="0" w:color="auto"/>
              </w:divBdr>
            </w:div>
          </w:divsChild>
        </w:div>
        <w:div w:id="577398059">
          <w:marLeft w:val="0"/>
          <w:marRight w:val="0"/>
          <w:marTop w:val="0"/>
          <w:marBottom w:val="0"/>
          <w:divBdr>
            <w:top w:val="none" w:sz="0" w:space="0" w:color="auto"/>
            <w:left w:val="none" w:sz="0" w:space="0" w:color="auto"/>
            <w:bottom w:val="none" w:sz="0" w:space="0" w:color="auto"/>
            <w:right w:val="none" w:sz="0" w:space="0" w:color="auto"/>
          </w:divBdr>
          <w:divsChild>
            <w:div w:id="2098861832">
              <w:marLeft w:val="0"/>
              <w:marRight w:val="0"/>
              <w:marTop w:val="0"/>
              <w:marBottom w:val="0"/>
              <w:divBdr>
                <w:top w:val="none" w:sz="0" w:space="0" w:color="auto"/>
                <w:left w:val="none" w:sz="0" w:space="0" w:color="auto"/>
                <w:bottom w:val="none" w:sz="0" w:space="0" w:color="auto"/>
                <w:right w:val="none" w:sz="0" w:space="0" w:color="auto"/>
              </w:divBdr>
              <w:divsChild>
                <w:div w:id="12316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170144">
          <w:marLeft w:val="0"/>
          <w:marRight w:val="0"/>
          <w:marTop w:val="0"/>
          <w:marBottom w:val="0"/>
          <w:divBdr>
            <w:top w:val="none" w:sz="0" w:space="0" w:color="auto"/>
            <w:left w:val="none" w:sz="0" w:space="0" w:color="auto"/>
            <w:bottom w:val="none" w:sz="0" w:space="0" w:color="auto"/>
            <w:right w:val="none" w:sz="0" w:space="0" w:color="auto"/>
          </w:divBdr>
        </w:div>
        <w:div w:id="1383870744">
          <w:marLeft w:val="0"/>
          <w:marRight w:val="0"/>
          <w:marTop w:val="0"/>
          <w:marBottom w:val="75"/>
          <w:divBdr>
            <w:top w:val="none" w:sz="0" w:space="0" w:color="auto"/>
            <w:left w:val="none" w:sz="0" w:space="0" w:color="auto"/>
            <w:bottom w:val="none" w:sz="0" w:space="0" w:color="auto"/>
            <w:right w:val="none" w:sz="0" w:space="0" w:color="auto"/>
          </w:divBdr>
        </w:div>
      </w:divsChild>
    </w:div>
    <w:div w:id="995914134">
      <w:bodyDiv w:val="1"/>
      <w:marLeft w:val="0"/>
      <w:marRight w:val="0"/>
      <w:marTop w:val="0"/>
      <w:marBottom w:val="0"/>
      <w:divBdr>
        <w:top w:val="none" w:sz="0" w:space="0" w:color="auto"/>
        <w:left w:val="none" w:sz="0" w:space="0" w:color="auto"/>
        <w:bottom w:val="none" w:sz="0" w:space="0" w:color="auto"/>
        <w:right w:val="none" w:sz="0" w:space="0" w:color="auto"/>
      </w:divBdr>
      <w:divsChild>
        <w:div w:id="102502032">
          <w:marLeft w:val="0"/>
          <w:marRight w:val="0"/>
          <w:marTop w:val="0"/>
          <w:marBottom w:val="0"/>
          <w:divBdr>
            <w:top w:val="none" w:sz="0" w:space="0" w:color="auto"/>
            <w:left w:val="none" w:sz="0" w:space="0" w:color="auto"/>
            <w:bottom w:val="none" w:sz="0" w:space="0" w:color="auto"/>
            <w:right w:val="none" w:sz="0" w:space="0" w:color="auto"/>
          </w:divBdr>
          <w:divsChild>
            <w:div w:id="30957425">
              <w:marLeft w:val="0"/>
              <w:marRight w:val="0"/>
              <w:marTop w:val="0"/>
              <w:marBottom w:val="0"/>
              <w:divBdr>
                <w:top w:val="none" w:sz="0" w:space="0" w:color="auto"/>
                <w:left w:val="none" w:sz="0" w:space="0" w:color="auto"/>
                <w:bottom w:val="none" w:sz="0" w:space="0" w:color="auto"/>
                <w:right w:val="none" w:sz="0" w:space="0" w:color="auto"/>
              </w:divBdr>
              <w:divsChild>
                <w:div w:id="118841324">
                  <w:marLeft w:val="0"/>
                  <w:marRight w:val="0"/>
                  <w:marTop w:val="0"/>
                  <w:marBottom w:val="0"/>
                  <w:divBdr>
                    <w:top w:val="none" w:sz="0" w:space="0" w:color="auto"/>
                    <w:left w:val="none" w:sz="0" w:space="0" w:color="auto"/>
                    <w:bottom w:val="none" w:sz="0" w:space="0" w:color="auto"/>
                    <w:right w:val="none" w:sz="0" w:space="0" w:color="auto"/>
                  </w:divBdr>
                  <w:divsChild>
                    <w:div w:id="714353087">
                      <w:marLeft w:val="0"/>
                      <w:marRight w:val="0"/>
                      <w:marTop w:val="0"/>
                      <w:marBottom w:val="0"/>
                      <w:divBdr>
                        <w:top w:val="none" w:sz="0" w:space="0" w:color="auto"/>
                        <w:left w:val="none" w:sz="0" w:space="0" w:color="auto"/>
                        <w:bottom w:val="none" w:sz="0" w:space="0" w:color="auto"/>
                        <w:right w:val="none" w:sz="0" w:space="0" w:color="auto"/>
                      </w:divBdr>
                      <w:divsChild>
                        <w:div w:id="842890707">
                          <w:marLeft w:val="0"/>
                          <w:marRight w:val="0"/>
                          <w:marTop w:val="0"/>
                          <w:marBottom w:val="0"/>
                          <w:divBdr>
                            <w:top w:val="none" w:sz="0" w:space="0" w:color="auto"/>
                            <w:left w:val="none" w:sz="0" w:space="0" w:color="auto"/>
                            <w:bottom w:val="none" w:sz="0" w:space="0" w:color="auto"/>
                            <w:right w:val="none" w:sz="0" w:space="0" w:color="auto"/>
                          </w:divBdr>
                          <w:divsChild>
                            <w:div w:id="68893404">
                              <w:marLeft w:val="0"/>
                              <w:marRight w:val="0"/>
                              <w:marTop w:val="0"/>
                              <w:marBottom w:val="0"/>
                              <w:divBdr>
                                <w:top w:val="none" w:sz="0" w:space="0" w:color="auto"/>
                                <w:left w:val="none" w:sz="0" w:space="0" w:color="auto"/>
                                <w:bottom w:val="none" w:sz="0" w:space="0" w:color="auto"/>
                                <w:right w:val="none" w:sz="0" w:space="0" w:color="auto"/>
                              </w:divBdr>
                              <w:divsChild>
                                <w:div w:id="1027750849">
                                  <w:marLeft w:val="0"/>
                                  <w:marRight w:val="0"/>
                                  <w:marTop w:val="0"/>
                                  <w:marBottom w:val="0"/>
                                  <w:divBdr>
                                    <w:top w:val="none" w:sz="0" w:space="0" w:color="auto"/>
                                    <w:left w:val="none" w:sz="0" w:space="0" w:color="auto"/>
                                    <w:bottom w:val="none" w:sz="0" w:space="0" w:color="auto"/>
                                    <w:right w:val="none" w:sz="0" w:space="0" w:color="auto"/>
                                  </w:divBdr>
                                  <w:divsChild>
                                    <w:div w:id="649018570">
                                      <w:marLeft w:val="0"/>
                                      <w:marRight w:val="0"/>
                                      <w:marTop w:val="0"/>
                                      <w:marBottom w:val="0"/>
                                      <w:divBdr>
                                        <w:top w:val="none" w:sz="0" w:space="0" w:color="auto"/>
                                        <w:left w:val="none" w:sz="0" w:space="0" w:color="auto"/>
                                        <w:bottom w:val="none" w:sz="0" w:space="0" w:color="auto"/>
                                        <w:right w:val="none" w:sz="0" w:space="0" w:color="auto"/>
                                      </w:divBdr>
                                      <w:divsChild>
                                        <w:div w:id="208837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5956804">
      <w:bodyDiv w:val="1"/>
      <w:marLeft w:val="0"/>
      <w:marRight w:val="0"/>
      <w:marTop w:val="0"/>
      <w:marBottom w:val="0"/>
      <w:divBdr>
        <w:top w:val="none" w:sz="0" w:space="0" w:color="auto"/>
        <w:left w:val="none" w:sz="0" w:space="0" w:color="auto"/>
        <w:bottom w:val="none" w:sz="0" w:space="0" w:color="auto"/>
        <w:right w:val="none" w:sz="0" w:space="0" w:color="auto"/>
      </w:divBdr>
      <w:divsChild>
        <w:div w:id="1455322051">
          <w:marLeft w:val="0"/>
          <w:marRight w:val="0"/>
          <w:marTop w:val="0"/>
          <w:marBottom w:val="150"/>
          <w:divBdr>
            <w:top w:val="none" w:sz="0" w:space="0" w:color="auto"/>
            <w:left w:val="none" w:sz="0" w:space="0" w:color="auto"/>
            <w:bottom w:val="none" w:sz="0" w:space="0" w:color="auto"/>
            <w:right w:val="none" w:sz="0" w:space="0" w:color="auto"/>
          </w:divBdr>
        </w:div>
      </w:divsChild>
    </w:div>
    <w:div w:id="996299827">
      <w:bodyDiv w:val="1"/>
      <w:marLeft w:val="0"/>
      <w:marRight w:val="0"/>
      <w:marTop w:val="0"/>
      <w:marBottom w:val="0"/>
      <w:divBdr>
        <w:top w:val="none" w:sz="0" w:space="0" w:color="auto"/>
        <w:left w:val="none" w:sz="0" w:space="0" w:color="auto"/>
        <w:bottom w:val="none" w:sz="0" w:space="0" w:color="auto"/>
        <w:right w:val="none" w:sz="0" w:space="0" w:color="auto"/>
      </w:divBdr>
      <w:divsChild>
        <w:div w:id="381292306">
          <w:marLeft w:val="0"/>
          <w:marRight w:val="0"/>
          <w:marTop w:val="0"/>
          <w:marBottom w:val="150"/>
          <w:divBdr>
            <w:top w:val="none" w:sz="0" w:space="0" w:color="auto"/>
            <w:left w:val="none" w:sz="0" w:space="0" w:color="auto"/>
            <w:bottom w:val="none" w:sz="0" w:space="0" w:color="auto"/>
            <w:right w:val="none" w:sz="0" w:space="0" w:color="auto"/>
          </w:divBdr>
        </w:div>
        <w:div w:id="1010331864">
          <w:marLeft w:val="0"/>
          <w:marRight w:val="0"/>
          <w:marTop w:val="0"/>
          <w:marBottom w:val="0"/>
          <w:divBdr>
            <w:top w:val="none" w:sz="0" w:space="0" w:color="auto"/>
            <w:left w:val="none" w:sz="0" w:space="0" w:color="auto"/>
            <w:bottom w:val="none" w:sz="0" w:space="0" w:color="auto"/>
            <w:right w:val="none" w:sz="0" w:space="0" w:color="auto"/>
          </w:divBdr>
          <w:divsChild>
            <w:div w:id="1352336536">
              <w:marLeft w:val="0"/>
              <w:marRight w:val="0"/>
              <w:marTop w:val="225"/>
              <w:marBottom w:val="225"/>
              <w:divBdr>
                <w:top w:val="none" w:sz="0" w:space="0" w:color="auto"/>
                <w:left w:val="none" w:sz="0" w:space="0" w:color="auto"/>
                <w:bottom w:val="none" w:sz="0" w:space="0" w:color="auto"/>
                <w:right w:val="none" w:sz="0" w:space="0" w:color="auto"/>
              </w:divBdr>
            </w:div>
          </w:divsChild>
        </w:div>
        <w:div w:id="2049839589">
          <w:marLeft w:val="0"/>
          <w:marRight w:val="0"/>
          <w:marTop w:val="0"/>
          <w:marBottom w:val="150"/>
          <w:divBdr>
            <w:top w:val="none" w:sz="0" w:space="0" w:color="auto"/>
            <w:left w:val="none" w:sz="0" w:space="0" w:color="auto"/>
            <w:bottom w:val="none" w:sz="0" w:space="0" w:color="auto"/>
            <w:right w:val="none" w:sz="0" w:space="0" w:color="auto"/>
          </w:divBdr>
          <w:divsChild>
            <w:div w:id="136261515">
              <w:marLeft w:val="0"/>
              <w:marRight w:val="0"/>
              <w:marTop w:val="0"/>
              <w:marBottom w:val="0"/>
              <w:divBdr>
                <w:top w:val="none" w:sz="0" w:space="0" w:color="auto"/>
                <w:left w:val="none" w:sz="0" w:space="0" w:color="auto"/>
                <w:bottom w:val="none" w:sz="0" w:space="0" w:color="auto"/>
                <w:right w:val="none" w:sz="0" w:space="0" w:color="auto"/>
              </w:divBdr>
              <w:divsChild>
                <w:div w:id="144981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496044">
      <w:bodyDiv w:val="1"/>
      <w:marLeft w:val="0"/>
      <w:marRight w:val="0"/>
      <w:marTop w:val="0"/>
      <w:marBottom w:val="0"/>
      <w:divBdr>
        <w:top w:val="none" w:sz="0" w:space="0" w:color="auto"/>
        <w:left w:val="none" w:sz="0" w:space="0" w:color="auto"/>
        <w:bottom w:val="none" w:sz="0" w:space="0" w:color="auto"/>
        <w:right w:val="none" w:sz="0" w:space="0" w:color="auto"/>
      </w:divBdr>
      <w:divsChild>
        <w:div w:id="645234381">
          <w:marLeft w:val="0"/>
          <w:marRight w:val="0"/>
          <w:marTop w:val="0"/>
          <w:marBottom w:val="0"/>
          <w:divBdr>
            <w:top w:val="none" w:sz="0" w:space="0" w:color="auto"/>
            <w:left w:val="none" w:sz="0" w:space="0" w:color="auto"/>
            <w:bottom w:val="dotted" w:sz="6" w:space="4" w:color="DDDDDD"/>
            <w:right w:val="none" w:sz="0" w:space="0" w:color="auto"/>
          </w:divBdr>
        </w:div>
      </w:divsChild>
    </w:div>
    <w:div w:id="996766857">
      <w:bodyDiv w:val="1"/>
      <w:marLeft w:val="0"/>
      <w:marRight w:val="0"/>
      <w:marTop w:val="0"/>
      <w:marBottom w:val="0"/>
      <w:divBdr>
        <w:top w:val="none" w:sz="0" w:space="0" w:color="auto"/>
        <w:left w:val="none" w:sz="0" w:space="0" w:color="auto"/>
        <w:bottom w:val="none" w:sz="0" w:space="0" w:color="auto"/>
        <w:right w:val="none" w:sz="0" w:space="0" w:color="auto"/>
      </w:divBdr>
      <w:divsChild>
        <w:div w:id="63142205">
          <w:marLeft w:val="0"/>
          <w:marRight w:val="0"/>
          <w:marTop w:val="0"/>
          <w:marBottom w:val="0"/>
          <w:divBdr>
            <w:top w:val="none" w:sz="0" w:space="0" w:color="auto"/>
            <w:left w:val="none" w:sz="0" w:space="0" w:color="auto"/>
            <w:bottom w:val="dotted" w:sz="6" w:space="4" w:color="DDDDDD"/>
            <w:right w:val="none" w:sz="0" w:space="0" w:color="auto"/>
          </w:divBdr>
          <w:divsChild>
            <w:div w:id="143112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884812">
      <w:bodyDiv w:val="1"/>
      <w:marLeft w:val="0"/>
      <w:marRight w:val="0"/>
      <w:marTop w:val="0"/>
      <w:marBottom w:val="0"/>
      <w:divBdr>
        <w:top w:val="none" w:sz="0" w:space="0" w:color="auto"/>
        <w:left w:val="none" w:sz="0" w:space="0" w:color="auto"/>
        <w:bottom w:val="none" w:sz="0" w:space="0" w:color="auto"/>
        <w:right w:val="none" w:sz="0" w:space="0" w:color="auto"/>
      </w:divBdr>
      <w:divsChild>
        <w:div w:id="563025336">
          <w:marLeft w:val="0"/>
          <w:marRight w:val="0"/>
          <w:marTop w:val="0"/>
          <w:marBottom w:val="0"/>
          <w:divBdr>
            <w:top w:val="none" w:sz="0" w:space="0" w:color="auto"/>
            <w:left w:val="none" w:sz="0" w:space="0" w:color="auto"/>
            <w:bottom w:val="none" w:sz="0" w:space="0" w:color="auto"/>
            <w:right w:val="none" w:sz="0" w:space="0" w:color="auto"/>
          </w:divBdr>
          <w:divsChild>
            <w:div w:id="1457800157">
              <w:marLeft w:val="0"/>
              <w:marRight w:val="0"/>
              <w:marTop w:val="0"/>
              <w:marBottom w:val="0"/>
              <w:divBdr>
                <w:top w:val="none" w:sz="0" w:space="0" w:color="auto"/>
                <w:left w:val="none" w:sz="0" w:space="0" w:color="auto"/>
                <w:bottom w:val="none" w:sz="0" w:space="0" w:color="auto"/>
                <w:right w:val="none" w:sz="0" w:space="0" w:color="auto"/>
              </w:divBdr>
              <w:divsChild>
                <w:div w:id="1031149105">
                  <w:marLeft w:val="0"/>
                  <w:marRight w:val="0"/>
                  <w:marTop w:val="0"/>
                  <w:marBottom w:val="0"/>
                  <w:divBdr>
                    <w:top w:val="none" w:sz="0" w:space="0" w:color="auto"/>
                    <w:left w:val="none" w:sz="0" w:space="0" w:color="auto"/>
                    <w:bottom w:val="none" w:sz="0" w:space="0" w:color="auto"/>
                    <w:right w:val="none" w:sz="0" w:space="0" w:color="auto"/>
                  </w:divBdr>
                  <w:divsChild>
                    <w:div w:id="1438721922">
                      <w:marLeft w:val="0"/>
                      <w:marRight w:val="0"/>
                      <w:marTop w:val="0"/>
                      <w:marBottom w:val="0"/>
                      <w:divBdr>
                        <w:top w:val="none" w:sz="0" w:space="0" w:color="auto"/>
                        <w:left w:val="none" w:sz="0" w:space="0" w:color="auto"/>
                        <w:bottom w:val="none" w:sz="0" w:space="0" w:color="auto"/>
                        <w:right w:val="none" w:sz="0" w:space="0" w:color="auto"/>
                      </w:divBdr>
                      <w:divsChild>
                        <w:div w:id="246039208">
                          <w:marLeft w:val="0"/>
                          <w:marRight w:val="0"/>
                          <w:marTop w:val="0"/>
                          <w:marBottom w:val="0"/>
                          <w:divBdr>
                            <w:top w:val="none" w:sz="0" w:space="0" w:color="auto"/>
                            <w:left w:val="none" w:sz="0" w:space="0" w:color="auto"/>
                            <w:bottom w:val="none" w:sz="0" w:space="0" w:color="auto"/>
                            <w:right w:val="none" w:sz="0" w:space="0" w:color="auto"/>
                          </w:divBdr>
                          <w:divsChild>
                            <w:div w:id="95278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267492">
      <w:bodyDiv w:val="1"/>
      <w:marLeft w:val="0"/>
      <w:marRight w:val="0"/>
      <w:marTop w:val="0"/>
      <w:marBottom w:val="0"/>
      <w:divBdr>
        <w:top w:val="none" w:sz="0" w:space="0" w:color="auto"/>
        <w:left w:val="none" w:sz="0" w:space="0" w:color="auto"/>
        <w:bottom w:val="none" w:sz="0" w:space="0" w:color="auto"/>
        <w:right w:val="none" w:sz="0" w:space="0" w:color="auto"/>
      </w:divBdr>
      <w:divsChild>
        <w:div w:id="80758230">
          <w:marLeft w:val="0"/>
          <w:marRight w:val="0"/>
          <w:marTop w:val="0"/>
          <w:marBottom w:val="0"/>
          <w:divBdr>
            <w:top w:val="none" w:sz="0" w:space="0" w:color="auto"/>
            <w:left w:val="none" w:sz="0" w:space="0" w:color="auto"/>
            <w:bottom w:val="none" w:sz="0" w:space="0" w:color="auto"/>
            <w:right w:val="none" w:sz="0" w:space="0" w:color="auto"/>
          </w:divBdr>
          <w:divsChild>
            <w:div w:id="1056978190">
              <w:marLeft w:val="0"/>
              <w:marRight w:val="0"/>
              <w:marTop w:val="0"/>
              <w:marBottom w:val="0"/>
              <w:divBdr>
                <w:top w:val="none" w:sz="0" w:space="0" w:color="auto"/>
                <w:left w:val="none" w:sz="0" w:space="0" w:color="auto"/>
                <w:bottom w:val="none" w:sz="0" w:space="0" w:color="auto"/>
                <w:right w:val="none" w:sz="0" w:space="0" w:color="auto"/>
              </w:divBdr>
            </w:div>
          </w:divsChild>
        </w:div>
        <w:div w:id="198981005">
          <w:marLeft w:val="0"/>
          <w:marRight w:val="0"/>
          <w:marTop w:val="0"/>
          <w:marBottom w:val="150"/>
          <w:divBdr>
            <w:top w:val="none" w:sz="0" w:space="0" w:color="auto"/>
            <w:left w:val="none" w:sz="0" w:space="0" w:color="auto"/>
            <w:bottom w:val="none" w:sz="0" w:space="0" w:color="auto"/>
            <w:right w:val="none" w:sz="0" w:space="0" w:color="auto"/>
          </w:divBdr>
        </w:div>
        <w:div w:id="627861885">
          <w:marLeft w:val="0"/>
          <w:marRight w:val="0"/>
          <w:marTop w:val="0"/>
          <w:marBottom w:val="150"/>
          <w:divBdr>
            <w:top w:val="none" w:sz="0" w:space="0" w:color="auto"/>
            <w:left w:val="none" w:sz="0" w:space="0" w:color="auto"/>
            <w:bottom w:val="none" w:sz="0" w:space="0" w:color="auto"/>
            <w:right w:val="none" w:sz="0" w:space="0" w:color="auto"/>
          </w:divBdr>
          <w:divsChild>
            <w:div w:id="90348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340582">
      <w:bodyDiv w:val="1"/>
      <w:marLeft w:val="0"/>
      <w:marRight w:val="0"/>
      <w:marTop w:val="0"/>
      <w:marBottom w:val="0"/>
      <w:divBdr>
        <w:top w:val="none" w:sz="0" w:space="0" w:color="auto"/>
        <w:left w:val="none" w:sz="0" w:space="0" w:color="auto"/>
        <w:bottom w:val="none" w:sz="0" w:space="0" w:color="auto"/>
        <w:right w:val="none" w:sz="0" w:space="0" w:color="auto"/>
      </w:divBdr>
    </w:div>
    <w:div w:id="997879233">
      <w:bodyDiv w:val="1"/>
      <w:marLeft w:val="0"/>
      <w:marRight w:val="0"/>
      <w:marTop w:val="0"/>
      <w:marBottom w:val="0"/>
      <w:divBdr>
        <w:top w:val="none" w:sz="0" w:space="0" w:color="auto"/>
        <w:left w:val="none" w:sz="0" w:space="0" w:color="auto"/>
        <w:bottom w:val="none" w:sz="0" w:space="0" w:color="auto"/>
        <w:right w:val="none" w:sz="0" w:space="0" w:color="auto"/>
      </w:divBdr>
    </w:div>
    <w:div w:id="998113788">
      <w:bodyDiv w:val="1"/>
      <w:marLeft w:val="0"/>
      <w:marRight w:val="0"/>
      <w:marTop w:val="0"/>
      <w:marBottom w:val="0"/>
      <w:divBdr>
        <w:top w:val="none" w:sz="0" w:space="0" w:color="auto"/>
        <w:left w:val="none" w:sz="0" w:space="0" w:color="auto"/>
        <w:bottom w:val="none" w:sz="0" w:space="0" w:color="auto"/>
        <w:right w:val="none" w:sz="0" w:space="0" w:color="auto"/>
      </w:divBdr>
      <w:divsChild>
        <w:div w:id="857162615">
          <w:marLeft w:val="0"/>
          <w:marRight w:val="0"/>
          <w:marTop w:val="0"/>
          <w:marBottom w:val="0"/>
          <w:divBdr>
            <w:top w:val="none" w:sz="0" w:space="0" w:color="auto"/>
            <w:left w:val="none" w:sz="0" w:space="0" w:color="auto"/>
            <w:bottom w:val="none" w:sz="0" w:space="0" w:color="auto"/>
            <w:right w:val="none" w:sz="0" w:space="0" w:color="auto"/>
          </w:divBdr>
          <w:divsChild>
            <w:div w:id="1395667112">
              <w:marLeft w:val="0"/>
              <w:marRight w:val="0"/>
              <w:marTop w:val="0"/>
              <w:marBottom w:val="0"/>
              <w:divBdr>
                <w:top w:val="none" w:sz="0" w:space="0" w:color="auto"/>
                <w:left w:val="none" w:sz="0" w:space="0" w:color="auto"/>
                <w:bottom w:val="none" w:sz="0" w:space="0" w:color="auto"/>
                <w:right w:val="none" w:sz="0" w:space="0" w:color="auto"/>
              </w:divBdr>
              <w:divsChild>
                <w:div w:id="1206795701">
                  <w:marLeft w:val="0"/>
                  <w:marRight w:val="0"/>
                  <w:marTop w:val="0"/>
                  <w:marBottom w:val="0"/>
                  <w:divBdr>
                    <w:top w:val="none" w:sz="0" w:space="0" w:color="auto"/>
                    <w:left w:val="none" w:sz="0" w:space="0" w:color="auto"/>
                    <w:bottom w:val="none" w:sz="0" w:space="0" w:color="auto"/>
                    <w:right w:val="none" w:sz="0" w:space="0" w:color="auto"/>
                  </w:divBdr>
                  <w:divsChild>
                    <w:div w:id="961032711">
                      <w:marLeft w:val="0"/>
                      <w:marRight w:val="0"/>
                      <w:marTop w:val="0"/>
                      <w:marBottom w:val="0"/>
                      <w:divBdr>
                        <w:top w:val="none" w:sz="0" w:space="0" w:color="auto"/>
                        <w:left w:val="none" w:sz="0" w:space="0" w:color="auto"/>
                        <w:bottom w:val="none" w:sz="0" w:space="0" w:color="auto"/>
                        <w:right w:val="none" w:sz="0" w:space="0" w:color="auto"/>
                      </w:divBdr>
                      <w:divsChild>
                        <w:div w:id="552737712">
                          <w:marLeft w:val="0"/>
                          <w:marRight w:val="0"/>
                          <w:marTop w:val="0"/>
                          <w:marBottom w:val="0"/>
                          <w:divBdr>
                            <w:top w:val="none" w:sz="0" w:space="0" w:color="auto"/>
                            <w:left w:val="none" w:sz="0" w:space="0" w:color="auto"/>
                            <w:bottom w:val="none" w:sz="0" w:space="0" w:color="auto"/>
                            <w:right w:val="none" w:sz="0" w:space="0" w:color="auto"/>
                          </w:divBdr>
                          <w:divsChild>
                            <w:div w:id="88174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263732">
      <w:bodyDiv w:val="1"/>
      <w:marLeft w:val="0"/>
      <w:marRight w:val="0"/>
      <w:marTop w:val="0"/>
      <w:marBottom w:val="0"/>
      <w:divBdr>
        <w:top w:val="none" w:sz="0" w:space="0" w:color="auto"/>
        <w:left w:val="none" w:sz="0" w:space="0" w:color="auto"/>
        <w:bottom w:val="none" w:sz="0" w:space="0" w:color="auto"/>
        <w:right w:val="none" w:sz="0" w:space="0" w:color="auto"/>
      </w:divBdr>
      <w:divsChild>
        <w:div w:id="463278322">
          <w:marLeft w:val="0"/>
          <w:marRight w:val="0"/>
          <w:marTop w:val="0"/>
          <w:marBottom w:val="0"/>
          <w:divBdr>
            <w:top w:val="single" w:sz="6" w:space="0" w:color="B3B3B3"/>
            <w:left w:val="none" w:sz="0" w:space="0" w:color="auto"/>
            <w:bottom w:val="single" w:sz="6" w:space="0" w:color="B3B3B3"/>
            <w:right w:val="none" w:sz="0" w:space="0" w:color="auto"/>
          </w:divBdr>
          <w:divsChild>
            <w:div w:id="380402342">
              <w:marLeft w:val="0"/>
              <w:marRight w:val="0"/>
              <w:marTop w:val="0"/>
              <w:marBottom w:val="0"/>
              <w:divBdr>
                <w:top w:val="none" w:sz="0" w:space="0" w:color="auto"/>
                <w:left w:val="none" w:sz="0" w:space="0" w:color="auto"/>
                <w:bottom w:val="none" w:sz="0" w:space="0" w:color="auto"/>
                <w:right w:val="none" w:sz="0" w:space="0" w:color="auto"/>
              </w:divBdr>
            </w:div>
            <w:div w:id="1869634310">
              <w:marLeft w:val="0"/>
              <w:marRight w:val="0"/>
              <w:marTop w:val="0"/>
              <w:marBottom w:val="0"/>
              <w:divBdr>
                <w:top w:val="none" w:sz="0" w:space="0" w:color="auto"/>
                <w:left w:val="none" w:sz="0" w:space="0" w:color="auto"/>
                <w:bottom w:val="none" w:sz="0" w:space="0" w:color="auto"/>
                <w:right w:val="none" w:sz="0" w:space="0" w:color="auto"/>
              </w:divBdr>
            </w:div>
          </w:divsChild>
        </w:div>
        <w:div w:id="871571780">
          <w:marLeft w:val="0"/>
          <w:marRight w:val="0"/>
          <w:marTop w:val="0"/>
          <w:marBottom w:val="0"/>
          <w:divBdr>
            <w:top w:val="none" w:sz="0" w:space="0" w:color="auto"/>
            <w:left w:val="none" w:sz="0" w:space="0" w:color="auto"/>
            <w:bottom w:val="none" w:sz="0" w:space="0" w:color="auto"/>
            <w:right w:val="none" w:sz="0" w:space="0" w:color="auto"/>
          </w:divBdr>
          <w:divsChild>
            <w:div w:id="72246023">
              <w:marLeft w:val="0"/>
              <w:marRight w:val="0"/>
              <w:marTop w:val="0"/>
              <w:marBottom w:val="0"/>
              <w:divBdr>
                <w:top w:val="single" w:sz="6" w:space="0" w:color="B3B3B3"/>
                <w:left w:val="none" w:sz="0" w:space="0" w:color="auto"/>
                <w:bottom w:val="single" w:sz="6" w:space="0" w:color="B3B3B3"/>
                <w:right w:val="none" w:sz="0" w:space="0" w:color="auto"/>
              </w:divBdr>
              <w:divsChild>
                <w:div w:id="74015000">
                  <w:marLeft w:val="0"/>
                  <w:marRight w:val="0"/>
                  <w:marTop w:val="0"/>
                  <w:marBottom w:val="0"/>
                  <w:divBdr>
                    <w:top w:val="none" w:sz="0" w:space="0" w:color="auto"/>
                    <w:left w:val="none" w:sz="0" w:space="0" w:color="auto"/>
                    <w:bottom w:val="none" w:sz="0" w:space="0" w:color="auto"/>
                    <w:right w:val="none" w:sz="0" w:space="0" w:color="auto"/>
                  </w:divBdr>
                </w:div>
                <w:div w:id="54926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269530">
      <w:bodyDiv w:val="1"/>
      <w:marLeft w:val="0"/>
      <w:marRight w:val="0"/>
      <w:marTop w:val="0"/>
      <w:marBottom w:val="0"/>
      <w:divBdr>
        <w:top w:val="none" w:sz="0" w:space="0" w:color="auto"/>
        <w:left w:val="none" w:sz="0" w:space="0" w:color="auto"/>
        <w:bottom w:val="none" w:sz="0" w:space="0" w:color="auto"/>
        <w:right w:val="none" w:sz="0" w:space="0" w:color="auto"/>
      </w:divBdr>
    </w:div>
    <w:div w:id="998538259">
      <w:bodyDiv w:val="1"/>
      <w:marLeft w:val="0"/>
      <w:marRight w:val="0"/>
      <w:marTop w:val="0"/>
      <w:marBottom w:val="0"/>
      <w:divBdr>
        <w:top w:val="none" w:sz="0" w:space="0" w:color="auto"/>
        <w:left w:val="none" w:sz="0" w:space="0" w:color="auto"/>
        <w:bottom w:val="none" w:sz="0" w:space="0" w:color="auto"/>
        <w:right w:val="none" w:sz="0" w:space="0" w:color="auto"/>
      </w:divBdr>
      <w:divsChild>
        <w:div w:id="799496006">
          <w:marLeft w:val="0"/>
          <w:marRight w:val="0"/>
          <w:marTop w:val="0"/>
          <w:marBottom w:val="0"/>
          <w:divBdr>
            <w:top w:val="none" w:sz="0" w:space="0" w:color="auto"/>
            <w:left w:val="none" w:sz="0" w:space="0" w:color="auto"/>
            <w:bottom w:val="none" w:sz="0" w:space="0" w:color="auto"/>
            <w:right w:val="none" w:sz="0" w:space="0" w:color="auto"/>
          </w:divBdr>
        </w:div>
      </w:divsChild>
    </w:div>
    <w:div w:id="998657866">
      <w:bodyDiv w:val="1"/>
      <w:marLeft w:val="0"/>
      <w:marRight w:val="0"/>
      <w:marTop w:val="0"/>
      <w:marBottom w:val="0"/>
      <w:divBdr>
        <w:top w:val="none" w:sz="0" w:space="0" w:color="auto"/>
        <w:left w:val="none" w:sz="0" w:space="0" w:color="auto"/>
        <w:bottom w:val="none" w:sz="0" w:space="0" w:color="auto"/>
        <w:right w:val="none" w:sz="0" w:space="0" w:color="auto"/>
      </w:divBdr>
      <w:divsChild>
        <w:div w:id="420761677">
          <w:marLeft w:val="0"/>
          <w:marRight w:val="0"/>
          <w:marTop w:val="0"/>
          <w:marBottom w:val="0"/>
          <w:divBdr>
            <w:top w:val="none" w:sz="0" w:space="0" w:color="auto"/>
            <w:left w:val="none" w:sz="0" w:space="0" w:color="auto"/>
            <w:bottom w:val="dotted" w:sz="6" w:space="4" w:color="DDDDDD"/>
            <w:right w:val="none" w:sz="0" w:space="0" w:color="auto"/>
          </w:divBdr>
          <w:divsChild>
            <w:div w:id="163703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844093">
      <w:bodyDiv w:val="1"/>
      <w:marLeft w:val="0"/>
      <w:marRight w:val="0"/>
      <w:marTop w:val="0"/>
      <w:marBottom w:val="0"/>
      <w:divBdr>
        <w:top w:val="none" w:sz="0" w:space="0" w:color="auto"/>
        <w:left w:val="none" w:sz="0" w:space="0" w:color="auto"/>
        <w:bottom w:val="none" w:sz="0" w:space="0" w:color="auto"/>
        <w:right w:val="none" w:sz="0" w:space="0" w:color="auto"/>
      </w:divBdr>
      <w:divsChild>
        <w:div w:id="935089016">
          <w:marLeft w:val="0"/>
          <w:marRight w:val="0"/>
          <w:marTop w:val="0"/>
          <w:marBottom w:val="150"/>
          <w:divBdr>
            <w:top w:val="none" w:sz="0" w:space="0" w:color="auto"/>
            <w:left w:val="none" w:sz="0" w:space="0" w:color="auto"/>
            <w:bottom w:val="none" w:sz="0" w:space="0" w:color="auto"/>
            <w:right w:val="none" w:sz="0" w:space="0" w:color="auto"/>
          </w:divBdr>
        </w:div>
        <w:div w:id="1286694844">
          <w:marLeft w:val="0"/>
          <w:marRight w:val="0"/>
          <w:marTop w:val="0"/>
          <w:marBottom w:val="150"/>
          <w:divBdr>
            <w:top w:val="none" w:sz="0" w:space="0" w:color="auto"/>
            <w:left w:val="none" w:sz="0" w:space="0" w:color="auto"/>
            <w:bottom w:val="none" w:sz="0" w:space="0" w:color="auto"/>
            <w:right w:val="none" w:sz="0" w:space="0" w:color="auto"/>
          </w:divBdr>
          <w:divsChild>
            <w:div w:id="33222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038260">
      <w:bodyDiv w:val="1"/>
      <w:marLeft w:val="0"/>
      <w:marRight w:val="0"/>
      <w:marTop w:val="0"/>
      <w:marBottom w:val="0"/>
      <w:divBdr>
        <w:top w:val="none" w:sz="0" w:space="0" w:color="auto"/>
        <w:left w:val="none" w:sz="0" w:space="0" w:color="auto"/>
        <w:bottom w:val="none" w:sz="0" w:space="0" w:color="auto"/>
        <w:right w:val="none" w:sz="0" w:space="0" w:color="auto"/>
      </w:divBdr>
      <w:divsChild>
        <w:div w:id="968391679">
          <w:marLeft w:val="0"/>
          <w:marRight w:val="0"/>
          <w:marTop w:val="0"/>
          <w:marBottom w:val="150"/>
          <w:divBdr>
            <w:top w:val="none" w:sz="0" w:space="0" w:color="auto"/>
            <w:left w:val="none" w:sz="0" w:space="0" w:color="auto"/>
            <w:bottom w:val="none" w:sz="0" w:space="0" w:color="auto"/>
            <w:right w:val="none" w:sz="0" w:space="0" w:color="auto"/>
          </w:divBdr>
        </w:div>
        <w:div w:id="1328753388">
          <w:marLeft w:val="0"/>
          <w:marRight w:val="0"/>
          <w:marTop w:val="0"/>
          <w:marBottom w:val="150"/>
          <w:divBdr>
            <w:top w:val="none" w:sz="0" w:space="0" w:color="auto"/>
            <w:left w:val="none" w:sz="0" w:space="0" w:color="auto"/>
            <w:bottom w:val="none" w:sz="0" w:space="0" w:color="auto"/>
            <w:right w:val="none" w:sz="0" w:space="0" w:color="auto"/>
          </w:divBdr>
          <w:divsChild>
            <w:div w:id="217592043">
              <w:marLeft w:val="0"/>
              <w:marRight w:val="0"/>
              <w:marTop w:val="0"/>
              <w:marBottom w:val="0"/>
              <w:divBdr>
                <w:top w:val="none" w:sz="0" w:space="0" w:color="auto"/>
                <w:left w:val="none" w:sz="0" w:space="0" w:color="auto"/>
                <w:bottom w:val="none" w:sz="0" w:space="0" w:color="auto"/>
                <w:right w:val="none" w:sz="0" w:space="0" w:color="auto"/>
              </w:divBdr>
            </w:div>
          </w:divsChild>
        </w:div>
        <w:div w:id="1372880429">
          <w:marLeft w:val="0"/>
          <w:marRight w:val="0"/>
          <w:marTop w:val="0"/>
          <w:marBottom w:val="0"/>
          <w:divBdr>
            <w:top w:val="none" w:sz="0" w:space="0" w:color="auto"/>
            <w:left w:val="none" w:sz="0" w:space="0" w:color="auto"/>
            <w:bottom w:val="none" w:sz="0" w:space="0" w:color="auto"/>
            <w:right w:val="none" w:sz="0" w:space="0" w:color="auto"/>
          </w:divBdr>
          <w:divsChild>
            <w:div w:id="136709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121387">
      <w:bodyDiv w:val="1"/>
      <w:marLeft w:val="0"/>
      <w:marRight w:val="0"/>
      <w:marTop w:val="0"/>
      <w:marBottom w:val="0"/>
      <w:divBdr>
        <w:top w:val="none" w:sz="0" w:space="0" w:color="auto"/>
        <w:left w:val="none" w:sz="0" w:space="0" w:color="auto"/>
        <w:bottom w:val="none" w:sz="0" w:space="0" w:color="auto"/>
        <w:right w:val="none" w:sz="0" w:space="0" w:color="auto"/>
      </w:divBdr>
      <w:divsChild>
        <w:div w:id="1656639839">
          <w:marLeft w:val="0"/>
          <w:marRight w:val="0"/>
          <w:marTop w:val="0"/>
          <w:marBottom w:val="0"/>
          <w:divBdr>
            <w:top w:val="none" w:sz="0" w:space="0" w:color="auto"/>
            <w:left w:val="none" w:sz="0" w:space="0" w:color="auto"/>
            <w:bottom w:val="none" w:sz="0" w:space="0" w:color="auto"/>
            <w:right w:val="none" w:sz="0" w:space="0" w:color="auto"/>
          </w:divBdr>
          <w:divsChild>
            <w:div w:id="1008868917">
              <w:marLeft w:val="0"/>
              <w:marRight w:val="0"/>
              <w:marTop w:val="0"/>
              <w:marBottom w:val="0"/>
              <w:divBdr>
                <w:top w:val="none" w:sz="0" w:space="0" w:color="auto"/>
                <w:left w:val="none" w:sz="0" w:space="0" w:color="auto"/>
                <w:bottom w:val="none" w:sz="0" w:space="0" w:color="auto"/>
                <w:right w:val="none" w:sz="0" w:space="0" w:color="auto"/>
              </w:divBdr>
              <w:divsChild>
                <w:div w:id="988020784">
                  <w:marLeft w:val="0"/>
                  <w:marRight w:val="0"/>
                  <w:marTop w:val="0"/>
                  <w:marBottom w:val="0"/>
                  <w:divBdr>
                    <w:top w:val="none" w:sz="0" w:space="0" w:color="auto"/>
                    <w:left w:val="none" w:sz="0" w:space="0" w:color="auto"/>
                    <w:bottom w:val="none" w:sz="0" w:space="0" w:color="auto"/>
                    <w:right w:val="none" w:sz="0" w:space="0" w:color="auto"/>
                  </w:divBdr>
                  <w:divsChild>
                    <w:div w:id="1987739175">
                      <w:marLeft w:val="0"/>
                      <w:marRight w:val="0"/>
                      <w:marTop w:val="0"/>
                      <w:marBottom w:val="0"/>
                      <w:divBdr>
                        <w:top w:val="none" w:sz="0" w:space="0" w:color="auto"/>
                        <w:left w:val="none" w:sz="0" w:space="0" w:color="auto"/>
                        <w:bottom w:val="none" w:sz="0" w:space="0" w:color="auto"/>
                        <w:right w:val="none" w:sz="0" w:space="0" w:color="auto"/>
                      </w:divBdr>
                      <w:divsChild>
                        <w:div w:id="360593778">
                          <w:marLeft w:val="0"/>
                          <w:marRight w:val="0"/>
                          <w:marTop w:val="0"/>
                          <w:marBottom w:val="0"/>
                          <w:divBdr>
                            <w:top w:val="none" w:sz="0" w:space="0" w:color="auto"/>
                            <w:left w:val="none" w:sz="0" w:space="0" w:color="auto"/>
                            <w:bottom w:val="none" w:sz="0" w:space="0" w:color="auto"/>
                            <w:right w:val="none" w:sz="0" w:space="0" w:color="auto"/>
                          </w:divBdr>
                          <w:divsChild>
                            <w:div w:id="929895392">
                              <w:marLeft w:val="0"/>
                              <w:marRight w:val="0"/>
                              <w:marTop w:val="0"/>
                              <w:marBottom w:val="0"/>
                              <w:divBdr>
                                <w:top w:val="none" w:sz="0" w:space="0" w:color="auto"/>
                                <w:left w:val="none" w:sz="0" w:space="0" w:color="auto"/>
                                <w:bottom w:val="none" w:sz="0" w:space="0" w:color="auto"/>
                                <w:right w:val="none" w:sz="0" w:space="0" w:color="auto"/>
                              </w:divBdr>
                              <w:divsChild>
                                <w:div w:id="996156276">
                                  <w:marLeft w:val="0"/>
                                  <w:marRight w:val="0"/>
                                  <w:marTop w:val="0"/>
                                  <w:marBottom w:val="0"/>
                                  <w:divBdr>
                                    <w:top w:val="none" w:sz="0" w:space="0" w:color="auto"/>
                                    <w:left w:val="none" w:sz="0" w:space="0" w:color="auto"/>
                                    <w:bottom w:val="none" w:sz="0" w:space="0" w:color="auto"/>
                                    <w:right w:val="none" w:sz="0" w:space="0" w:color="auto"/>
                                  </w:divBdr>
                                  <w:divsChild>
                                    <w:div w:id="171869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887675">
      <w:bodyDiv w:val="1"/>
      <w:marLeft w:val="0"/>
      <w:marRight w:val="0"/>
      <w:marTop w:val="0"/>
      <w:marBottom w:val="0"/>
      <w:divBdr>
        <w:top w:val="none" w:sz="0" w:space="0" w:color="auto"/>
        <w:left w:val="none" w:sz="0" w:space="0" w:color="auto"/>
        <w:bottom w:val="none" w:sz="0" w:space="0" w:color="auto"/>
        <w:right w:val="none" w:sz="0" w:space="0" w:color="auto"/>
      </w:divBdr>
      <w:divsChild>
        <w:div w:id="1914926537">
          <w:marLeft w:val="0"/>
          <w:marRight w:val="0"/>
          <w:marTop w:val="0"/>
          <w:marBottom w:val="0"/>
          <w:divBdr>
            <w:top w:val="none" w:sz="0" w:space="0" w:color="auto"/>
            <w:left w:val="none" w:sz="0" w:space="0" w:color="auto"/>
            <w:bottom w:val="none" w:sz="0" w:space="0" w:color="auto"/>
            <w:right w:val="none" w:sz="0" w:space="0" w:color="auto"/>
          </w:divBdr>
        </w:div>
      </w:divsChild>
    </w:div>
    <w:div w:id="999965507">
      <w:bodyDiv w:val="1"/>
      <w:marLeft w:val="0"/>
      <w:marRight w:val="0"/>
      <w:marTop w:val="0"/>
      <w:marBottom w:val="0"/>
      <w:divBdr>
        <w:top w:val="none" w:sz="0" w:space="0" w:color="auto"/>
        <w:left w:val="none" w:sz="0" w:space="0" w:color="auto"/>
        <w:bottom w:val="none" w:sz="0" w:space="0" w:color="auto"/>
        <w:right w:val="none" w:sz="0" w:space="0" w:color="auto"/>
      </w:divBdr>
      <w:divsChild>
        <w:div w:id="472063545">
          <w:marLeft w:val="0"/>
          <w:marRight w:val="0"/>
          <w:marTop w:val="0"/>
          <w:marBottom w:val="150"/>
          <w:divBdr>
            <w:top w:val="none" w:sz="0" w:space="0" w:color="auto"/>
            <w:left w:val="none" w:sz="0" w:space="0" w:color="auto"/>
            <w:bottom w:val="none" w:sz="0" w:space="0" w:color="auto"/>
            <w:right w:val="none" w:sz="0" w:space="0" w:color="auto"/>
          </w:divBdr>
        </w:div>
        <w:div w:id="1374042560">
          <w:marLeft w:val="0"/>
          <w:marRight w:val="0"/>
          <w:marTop w:val="0"/>
          <w:marBottom w:val="150"/>
          <w:divBdr>
            <w:top w:val="none" w:sz="0" w:space="0" w:color="auto"/>
            <w:left w:val="none" w:sz="0" w:space="0" w:color="auto"/>
            <w:bottom w:val="none" w:sz="0" w:space="0" w:color="auto"/>
            <w:right w:val="none" w:sz="0" w:space="0" w:color="auto"/>
          </w:divBdr>
          <w:divsChild>
            <w:div w:id="1439331088">
              <w:marLeft w:val="0"/>
              <w:marRight w:val="0"/>
              <w:marTop w:val="0"/>
              <w:marBottom w:val="0"/>
              <w:divBdr>
                <w:top w:val="none" w:sz="0" w:space="0" w:color="auto"/>
                <w:left w:val="none" w:sz="0" w:space="0" w:color="auto"/>
                <w:bottom w:val="none" w:sz="0" w:space="0" w:color="auto"/>
                <w:right w:val="none" w:sz="0" w:space="0" w:color="auto"/>
              </w:divBdr>
              <w:divsChild>
                <w:div w:id="210962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180272">
          <w:marLeft w:val="0"/>
          <w:marRight w:val="0"/>
          <w:marTop w:val="0"/>
          <w:marBottom w:val="0"/>
          <w:divBdr>
            <w:top w:val="none" w:sz="0" w:space="0" w:color="auto"/>
            <w:left w:val="none" w:sz="0" w:space="0" w:color="auto"/>
            <w:bottom w:val="none" w:sz="0" w:space="0" w:color="auto"/>
            <w:right w:val="none" w:sz="0" w:space="0" w:color="auto"/>
          </w:divBdr>
          <w:divsChild>
            <w:div w:id="72398989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00430746">
      <w:bodyDiv w:val="1"/>
      <w:marLeft w:val="0"/>
      <w:marRight w:val="0"/>
      <w:marTop w:val="0"/>
      <w:marBottom w:val="0"/>
      <w:divBdr>
        <w:top w:val="none" w:sz="0" w:space="0" w:color="auto"/>
        <w:left w:val="none" w:sz="0" w:space="0" w:color="auto"/>
        <w:bottom w:val="none" w:sz="0" w:space="0" w:color="auto"/>
        <w:right w:val="none" w:sz="0" w:space="0" w:color="auto"/>
      </w:divBdr>
    </w:div>
    <w:div w:id="1001930059">
      <w:bodyDiv w:val="1"/>
      <w:marLeft w:val="0"/>
      <w:marRight w:val="0"/>
      <w:marTop w:val="0"/>
      <w:marBottom w:val="0"/>
      <w:divBdr>
        <w:top w:val="none" w:sz="0" w:space="0" w:color="auto"/>
        <w:left w:val="none" w:sz="0" w:space="0" w:color="auto"/>
        <w:bottom w:val="none" w:sz="0" w:space="0" w:color="auto"/>
        <w:right w:val="none" w:sz="0" w:space="0" w:color="auto"/>
      </w:divBdr>
      <w:divsChild>
        <w:div w:id="88090694">
          <w:marLeft w:val="0"/>
          <w:marRight w:val="0"/>
          <w:marTop w:val="0"/>
          <w:marBottom w:val="0"/>
          <w:divBdr>
            <w:top w:val="none" w:sz="0" w:space="0" w:color="auto"/>
            <w:left w:val="none" w:sz="0" w:space="0" w:color="auto"/>
            <w:bottom w:val="none" w:sz="0" w:space="0" w:color="auto"/>
            <w:right w:val="none" w:sz="0" w:space="0" w:color="auto"/>
          </w:divBdr>
          <w:divsChild>
            <w:div w:id="732237999">
              <w:marLeft w:val="0"/>
              <w:marRight w:val="0"/>
              <w:marTop w:val="0"/>
              <w:marBottom w:val="0"/>
              <w:divBdr>
                <w:top w:val="none" w:sz="0" w:space="0" w:color="auto"/>
                <w:left w:val="none" w:sz="0" w:space="0" w:color="auto"/>
                <w:bottom w:val="none" w:sz="0" w:space="0" w:color="auto"/>
                <w:right w:val="none" w:sz="0" w:space="0" w:color="auto"/>
              </w:divBdr>
              <w:divsChild>
                <w:div w:id="18071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692526">
          <w:marLeft w:val="0"/>
          <w:marRight w:val="0"/>
          <w:marTop w:val="0"/>
          <w:marBottom w:val="75"/>
          <w:divBdr>
            <w:top w:val="none" w:sz="0" w:space="0" w:color="auto"/>
            <w:left w:val="none" w:sz="0" w:space="0" w:color="auto"/>
            <w:bottom w:val="none" w:sz="0" w:space="0" w:color="auto"/>
            <w:right w:val="none" w:sz="0" w:space="0" w:color="auto"/>
          </w:divBdr>
        </w:div>
        <w:div w:id="1191724110">
          <w:marLeft w:val="0"/>
          <w:marRight w:val="0"/>
          <w:marTop w:val="0"/>
          <w:marBottom w:val="300"/>
          <w:divBdr>
            <w:top w:val="none" w:sz="0" w:space="0" w:color="auto"/>
            <w:left w:val="none" w:sz="0" w:space="0" w:color="auto"/>
            <w:bottom w:val="none" w:sz="0" w:space="0" w:color="auto"/>
            <w:right w:val="none" w:sz="0" w:space="0" w:color="auto"/>
          </w:divBdr>
          <w:divsChild>
            <w:div w:id="1720981491">
              <w:marLeft w:val="0"/>
              <w:marRight w:val="0"/>
              <w:marTop w:val="0"/>
              <w:marBottom w:val="0"/>
              <w:divBdr>
                <w:top w:val="none" w:sz="0" w:space="0" w:color="auto"/>
                <w:left w:val="none" w:sz="0" w:space="0" w:color="auto"/>
                <w:bottom w:val="none" w:sz="0" w:space="0" w:color="auto"/>
                <w:right w:val="none" w:sz="0" w:space="0" w:color="auto"/>
              </w:divBdr>
            </w:div>
          </w:divsChild>
        </w:div>
        <w:div w:id="2110274953">
          <w:marLeft w:val="0"/>
          <w:marRight w:val="0"/>
          <w:marTop w:val="0"/>
          <w:marBottom w:val="0"/>
          <w:divBdr>
            <w:top w:val="none" w:sz="0" w:space="0" w:color="auto"/>
            <w:left w:val="none" w:sz="0" w:space="0" w:color="auto"/>
            <w:bottom w:val="none" w:sz="0" w:space="0" w:color="auto"/>
            <w:right w:val="none" w:sz="0" w:space="0" w:color="auto"/>
          </w:divBdr>
        </w:div>
      </w:divsChild>
    </w:div>
    <w:div w:id="1002122644">
      <w:bodyDiv w:val="1"/>
      <w:marLeft w:val="0"/>
      <w:marRight w:val="0"/>
      <w:marTop w:val="0"/>
      <w:marBottom w:val="0"/>
      <w:divBdr>
        <w:top w:val="none" w:sz="0" w:space="0" w:color="auto"/>
        <w:left w:val="none" w:sz="0" w:space="0" w:color="auto"/>
        <w:bottom w:val="none" w:sz="0" w:space="0" w:color="auto"/>
        <w:right w:val="none" w:sz="0" w:space="0" w:color="auto"/>
      </w:divBdr>
    </w:div>
    <w:div w:id="1002125719">
      <w:bodyDiv w:val="1"/>
      <w:marLeft w:val="0"/>
      <w:marRight w:val="0"/>
      <w:marTop w:val="0"/>
      <w:marBottom w:val="0"/>
      <w:divBdr>
        <w:top w:val="none" w:sz="0" w:space="0" w:color="auto"/>
        <w:left w:val="none" w:sz="0" w:space="0" w:color="auto"/>
        <w:bottom w:val="none" w:sz="0" w:space="0" w:color="auto"/>
        <w:right w:val="none" w:sz="0" w:space="0" w:color="auto"/>
      </w:divBdr>
      <w:divsChild>
        <w:div w:id="675304322">
          <w:marLeft w:val="0"/>
          <w:marRight w:val="0"/>
          <w:marTop w:val="0"/>
          <w:marBottom w:val="0"/>
          <w:divBdr>
            <w:top w:val="none" w:sz="0" w:space="0" w:color="auto"/>
            <w:left w:val="none" w:sz="0" w:space="0" w:color="auto"/>
            <w:bottom w:val="dotted" w:sz="6" w:space="4" w:color="DDDDDD"/>
            <w:right w:val="none" w:sz="0" w:space="0" w:color="auto"/>
          </w:divBdr>
          <w:divsChild>
            <w:div w:id="107139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197666">
      <w:bodyDiv w:val="1"/>
      <w:marLeft w:val="0"/>
      <w:marRight w:val="0"/>
      <w:marTop w:val="0"/>
      <w:marBottom w:val="0"/>
      <w:divBdr>
        <w:top w:val="none" w:sz="0" w:space="0" w:color="auto"/>
        <w:left w:val="none" w:sz="0" w:space="0" w:color="auto"/>
        <w:bottom w:val="none" w:sz="0" w:space="0" w:color="auto"/>
        <w:right w:val="none" w:sz="0" w:space="0" w:color="auto"/>
      </w:divBdr>
      <w:divsChild>
        <w:div w:id="54015952">
          <w:marLeft w:val="0"/>
          <w:marRight w:val="0"/>
          <w:marTop w:val="0"/>
          <w:marBottom w:val="0"/>
          <w:divBdr>
            <w:top w:val="none" w:sz="0" w:space="0" w:color="auto"/>
            <w:left w:val="none" w:sz="0" w:space="0" w:color="auto"/>
            <w:bottom w:val="none" w:sz="0" w:space="0" w:color="auto"/>
            <w:right w:val="none" w:sz="0" w:space="0" w:color="auto"/>
          </w:divBdr>
          <w:divsChild>
            <w:div w:id="1185289377">
              <w:marLeft w:val="0"/>
              <w:marRight w:val="0"/>
              <w:marTop w:val="0"/>
              <w:marBottom w:val="0"/>
              <w:divBdr>
                <w:top w:val="none" w:sz="0" w:space="0" w:color="auto"/>
                <w:left w:val="none" w:sz="0" w:space="0" w:color="auto"/>
                <w:bottom w:val="none" w:sz="0" w:space="0" w:color="auto"/>
                <w:right w:val="none" w:sz="0" w:space="0" w:color="auto"/>
              </w:divBdr>
              <w:divsChild>
                <w:div w:id="1125124856">
                  <w:marLeft w:val="0"/>
                  <w:marRight w:val="0"/>
                  <w:marTop w:val="0"/>
                  <w:marBottom w:val="0"/>
                  <w:divBdr>
                    <w:top w:val="none" w:sz="0" w:space="0" w:color="auto"/>
                    <w:left w:val="none" w:sz="0" w:space="0" w:color="auto"/>
                    <w:bottom w:val="none" w:sz="0" w:space="0" w:color="auto"/>
                    <w:right w:val="none" w:sz="0" w:space="0" w:color="auto"/>
                  </w:divBdr>
                  <w:divsChild>
                    <w:div w:id="1678658664">
                      <w:marLeft w:val="0"/>
                      <w:marRight w:val="0"/>
                      <w:marTop w:val="0"/>
                      <w:marBottom w:val="0"/>
                      <w:divBdr>
                        <w:top w:val="none" w:sz="0" w:space="0" w:color="auto"/>
                        <w:left w:val="none" w:sz="0" w:space="0" w:color="auto"/>
                        <w:bottom w:val="none" w:sz="0" w:space="0" w:color="auto"/>
                        <w:right w:val="none" w:sz="0" w:space="0" w:color="auto"/>
                      </w:divBdr>
                      <w:divsChild>
                        <w:div w:id="466434798">
                          <w:marLeft w:val="0"/>
                          <w:marRight w:val="0"/>
                          <w:marTop w:val="0"/>
                          <w:marBottom w:val="0"/>
                          <w:divBdr>
                            <w:top w:val="none" w:sz="0" w:space="0" w:color="auto"/>
                            <w:left w:val="none" w:sz="0" w:space="0" w:color="auto"/>
                            <w:bottom w:val="none" w:sz="0" w:space="0" w:color="auto"/>
                            <w:right w:val="none" w:sz="0" w:space="0" w:color="auto"/>
                          </w:divBdr>
                          <w:divsChild>
                            <w:div w:id="783966362">
                              <w:marLeft w:val="0"/>
                              <w:marRight w:val="0"/>
                              <w:marTop w:val="0"/>
                              <w:marBottom w:val="0"/>
                              <w:divBdr>
                                <w:top w:val="none" w:sz="0" w:space="0" w:color="auto"/>
                                <w:left w:val="none" w:sz="0" w:space="0" w:color="auto"/>
                                <w:bottom w:val="none" w:sz="0" w:space="0" w:color="auto"/>
                                <w:right w:val="none" w:sz="0" w:space="0" w:color="auto"/>
                              </w:divBdr>
                              <w:divsChild>
                                <w:div w:id="1369528991">
                                  <w:marLeft w:val="0"/>
                                  <w:marRight w:val="0"/>
                                  <w:marTop w:val="0"/>
                                  <w:marBottom w:val="0"/>
                                  <w:divBdr>
                                    <w:top w:val="none" w:sz="0" w:space="0" w:color="auto"/>
                                    <w:left w:val="none" w:sz="0" w:space="0" w:color="auto"/>
                                    <w:bottom w:val="none" w:sz="0" w:space="0" w:color="auto"/>
                                    <w:right w:val="none" w:sz="0" w:space="0" w:color="auto"/>
                                  </w:divBdr>
                                  <w:divsChild>
                                    <w:div w:id="199907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2200680">
      <w:bodyDiv w:val="1"/>
      <w:marLeft w:val="0"/>
      <w:marRight w:val="0"/>
      <w:marTop w:val="0"/>
      <w:marBottom w:val="0"/>
      <w:divBdr>
        <w:top w:val="none" w:sz="0" w:space="0" w:color="auto"/>
        <w:left w:val="none" w:sz="0" w:space="0" w:color="auto"/>
        <w:bottom w:val="none" w:sz="0" w:space="0" w:color="auto"/>
        <w:right w:val="none" w:sz="0" w:space="0" w:color="auto"/>
      </w:divBdr>
      <w:divsChild>
        <w:div w:id="97408154">
          <w:marLeft w:val="0"/>
          <w:marRight w:val="0"/>
          <w:marTop w:val="0"/>
          <w:marBottom w:val="0"/>
          <w:divBdr>
            <w:top w:val="none" w:sz="0" w:space="0" w:color="auto"/>
            <w:left w:val="none" w:sz="0" w:space="0" w:color="auto"/>
            <w:bottom w:val="none" w:sz="0" w:space="0" w:color="auto"/>
            <w:right w:val="none" w:sz="0" w:space="0" w:color="auto"/>
          </w:divBdr>
          <w:divsChild>
            <w:div w:id="1758092354">
              <w:marLeft w:val="0"/>
              <w:marRight w:val="0"/>
              <w:marTop w:val="225"/>
              <w:marBottom w:val="225"/>
              <w:divBdr>
                <w:top w:val="none" w:sz="0" w:space="0" w:color="auto"/>
                <w:left w:val="none" w:sz="0" w:space="0" w:color="auto"/>
                <w:bottom w:val="none" w:sz="0" w:space="0" w:color="auto"/>
                <w:right w:val="none" w:sz="0" w:space="0" w:color="auto"/>
              </w:divBdr>
            </w:div>
          </w:divsChild>
        </w:div>
        <w:div w:id="1192568540">
          <w:marLeft w:val="0"/>
          <w:marRight w:val="0"/>
          <w:marTop w:val="0"/>
          <w:marBottom w:val="150"/>
          <w:divBdr>
            <w:top w:val="none" w:sz="0" w:space="0" w:color="auto"/>
            <w:left w:val="none" w:sz="0" w:space="0" w:color="auto"/>
            <w:bottom w:val="none" w:sz="0" w:space="0" w:color="auto"/>
            <w:right w:val="none" w:sz="0" w:space="0" w:color="auto"/>
          </w:divBdr>
          <w:divsChild>
            <w:div w:id="172959735">
              <w:marLeft w:val="0"/>
              <w:marRight w:val="0"/>
              <w:marTop w:val="0"/>
              <w:marBottom w:val="0"/>
              <w:divBdr>
                <w:top w:val="none" w:sz="0" w:space="0" w:color="auto"/>
                <w:left w:val="none" w:sz="0" w:space="0" w:color="auto"/>
                <w:bottom w:val="none" w:sz="0" w:space="0" w:color="auto"/>
                <w:right w:val="none" w:sz="0" w:space="0" w:color="auto"/>
              </w:divBdr>
              <w:divsChild>
                <w:div w:id="16991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523865">
          <w:marLeft w:val="0"/>
          <w:marRight w:val="0"/>
          <w:marTop w:val="0"/>
          <w:marBottom w:val="150"/>
          <w:divBdr>
            <w:top w:val="none" w:sz="0" w:space="0" w:color="auto"/>
            <w:left w:val="none" w:sz="0" w:space="0" w:color="auto"/>
            <w:bottom w:val="none" w:sz="0" w:space="0" w:color="auto"/>
            <w:right w:val="none" w:sz="0" w:space="0" w:color="auto"/>
          </w:divBdr>
        </w:div>
      </w:divsChild>
    </w:div>
    <w:div w:id="1002510491">
      <w:bodyDiv w:val="1"/>
      <w:marLeft w:val="0"/>
      <w:marRight w:val="0"/>
      <w:marTop w:val="0"/>
      <w:marBottom w:val="0"/>
      <w:divBdr>
        <w:top w:val="none" w:sz="0" w:space="0" w:color="auto"/>
        <w:left w:val="none" w:sz="0" w:space="0" w:color="auto"/>
        <w:bottom w:val="none" w:sz="0" w:space="0" w:color="auto"/>
        <w:right w:val="none" w:sz="0" w:space="0" w:color="auto"/>
      </w:divBdr>
      <w:divsChild>
        <w:div w:id="1465002749">
          <w:marLeft w:val="0"/>
          <w:marRight w:val="0"/>
          <w:marTop w:val="0"/>
          <w:marBottom w:val="0"/>
          <w:divBdr>
            <w:top w:val="none" w:sz="0" w:space="0" w:color="auto"/>
            <w:left w:val="none" w:sz="0" w:space="0" w:color="auto"/>
            <w:bottom w:val="dotted" w:sz="6" w:space="4" w:color="DDDDDD"/>
            <w:right w:val="none" w:sz="0" w:space="0" w:color="auto"/>
          </w:divBdr>
          <w:divsChild>
            <w:div w:id="7328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662305">
      <w:bodyDiv w:val="1"/>
      <w:marLeft w:val="0"/>
      <w:marRight w:val="0"/>
      <w:marTop w:val="0"/>
      <w:marBottom w:val="0"/>
      <w:divBdr>
        <w:top w:val="none" w:sz="0" w:space="0" w:color="auto"/>
        <w:left w:val="none" w:sz="0" w:space="0" w:color="auto"/>
        <w:bottom w:val="none" w:sz="0" w:space="0" w:color="auto"/>
        <w:right w:val="none" w:sz="0" w:space="0" w:color="auto"/>
      </w:divBdr>
      <w:divsChild>
        <w:div w:id="22366013">
          <w:marLeft w:val="0"/>
          <w:marRight w:val="0"/>
          <w:marTop w:val="0"/>
          <w:marBottom w:val="150"/>
          <w:divBdr>
            <w:top w:val="none" w:sz="0" w:space="0" w:color="auto"/>
            <w:left w:val="none" w:sz="0" w:space="0" w:color="auto"/>
            <w:bottom w:val="none" w:sz="0" w:space="0" w:color="auto"/>
            <w:right w:val="none" w:sz="0" w:space="0" w:color="auto"/>
          </w:divBdr>
          <w:divsChild>
            <w:div w:id="341050538">
              <w:marLeft w:val="0"/>
              <w:marRight w:val="0"/>
              <w:marTop w:val="0"/>
              <w:marBottom w:val="0"/>
              <w:divBdr>
                <w:top w:val="none" w:sz="0" w:space="0" w:color="auto"/>
                <w:left w:val="none" w:sz="0" w:space="0" w:color="auto"/>
                <w:bottom w:val="none" w:sz="0" w:space="0" w:color="auto"/>
                <w:right w:val="none" w:sz="0" w:space="0" w:color="auto"/>
              </w:divBdr>
            </w:div>
          </w:divsChild>
        </w:div>
        <w:div w:id="473252945">
          <w:marLeft w:val="0"/>
          <w:marRight w:val="0"/>
          <w:marTop w:val="0"/>
          <w:marBottom w:val="150"/>
          <w:divBdr>
            <w:top w:val="none" w:sz="0" w:space="0" w:color="auto"/>
            <w:left w:val="none" w:sz="0" w:space="0" w:color="auto"/>
            <w:bottom w:val="none" w:sz="0" w:space="0" w:color="auto"/>
            <w:right w:val="none" w:sz="0" w:space="0" w:color="auto"/>
          </w:divBdr>
        </w:div>
        <w:div w:id="1037512942">
          <w:marLeft w:val="0"/>
          <w:marRight w:val="0"/>
          <w:marTop w:val="0"/>
          <w:marBottom w:val="0"/>
          <w:divBdr>
            <w:top w:val="none" w:sz="0" w:space="0" w:color="auto"/>
            <w:left w:val="none" w:sz="0" w:space="0" w:color="auto"/>
            <w:bottom w:val="none" w:sz="0" w:space="0" w:color="auto"/>
            <w:right w:val="none" w:sz="0" w:space="0" w:color="auto"/>
          </w:divBdr>
          <w:divsChild>
            <w:div w:id="10971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046208">
      <w:bodyDiv w:val="1"/>
      <w:marLeft w:val="0"/>
      <w:marRight w:val="0"/>
      <w:marTop w:val="0"/>
      <w:marBottom w:val="0"/>
      <w:divBdr>
        <w:top w:val="none" w:sz="0" w:space="0" w:color="auto"/>
        <w:left w:val="none" w:sz="0" w:space="0" w:color="auto"/>
        <w:bottom w:val="none" w:sz="0" w:space="0" w:color="auto"/>
        <w:right w:val="none" w:sz="0" w:space="0" w:color="auto"/>
      </w:divBdr>
    </w:div>
    <w:div w:id="1003121752">
      <w:bodyDiv w:val="1"/>
      <w:marLeft w:val="0"/>
      <w:marRight w:val="0"/>
      <w:marTop w:val="0"/>
      <w:marBottom w:val="0"/>
      <w:divBdr>
        <w:top w:val="none" w:sz="0" w:space="0" w:color="auto"/>
        <w:left w:val="none" w:sz="0" w:space="0" w:color="auto"/>
        <w:bottom w:val="none" w:sz="0" w:space="0" w:color="auto"/>
        <w:right w:val="none" w:sz="0" w:space="0" w:color="auto"/>
      </w:divBdr>
      <w:divsChild>
        <w:div w:id="223372703">
          <w:marLeft w:val="0"/>
          <w:marRight w:val="0"/>
          <w:marTop w:val="0"/>
          <w:marBottom w:val="0"/>
          <w:divBdr>
            <w:top w:val="none" w:sz="0" w:space="0" w:color="auto"/>
            <w:left w:val="none" w:sz="0" w:space="0" w:color="auto"/>
            <w:bottom w:val="none" w:sz="0" w:space="0" w:color="auto"/>
            <w:right w:val="none" w:sz="0" w:space="0" w:color="auto"/>
          </w:divBdr>
        </w:div>
      </w:divsChild>
    </w:div>
    <w:div w:id="1003243835">
      <w:bodyDiv w:val="1"/>
      <w:marLeft w:val="0"/>
      <w:marRight w:val="0"/>
      <w:marTop w:val="0"/>
      <w:marBottom w:val="0"/>
      <w:divBdr>
        <w:top w:val="none" w:sz="0" w:space="0" w:color="auto"/>
        <w:left w:val="none" w:sz="0" w:space="0" w:color="auto"/>
        <w:bottom w:val="none" w:sz="0" w:space="0" w:color="auto"/>
        <w:right w:val="none" w:sz="0" w:space="0" w:color="auto"/>
      </w:divBdr>
      <w:divsChild>
        <w:div w:id="871499112">
          <w:marLeft w:val="0"/>
          <w:marRight w:val="0"/>
          <w:marTop w:val="0"/>
          <w:marBottom w:val="150"/>
          <w:divBdr>
            <w:top w:val="none" w:sz="0" w:space="0" w:color="auto"/>
            <w:left w:val="none" w:sz="0" w:space="0" w:color="auto"/>
            <w:bottom w:val="none" w:sz="0" w:space="0" w:color="auto"/>
            <w:right w:val="none" w:sz="0" w:space="0" w:color="auto"/>
          </w:divBdr>
          <w:divsChild>
            <w:div w:id="599679384">
              <w:marLeft w:val="0"/>
              <w:marRight w:val="0"/>
              <w:marTop w:val="0"/>
              <w:marBottom w:val="0"/>
              <w:divBdr>
                <w:top w:val="none" w:sz="0" w:space="0" w:color="auto"/>
                <w:left w:val="none" w:sz="0" w:space="0" w:color="auto"/>
                <w:bottom w:val="none" w:sz="0" w:space="0" w:color="auto"/>
                <w:right w:val="none" w:sz="0" w:space="0" w:color="auto"/>
              </w:divBdr>
            </w:div>
          </w:divsChild>
        </w:div>
        <w:div w:id="1478760765">
          <w:marLeft w:val="0"/>
          <w:marRight w:val="0"/>
          <w:marTop w:val="0"/>
          <w:marBottom w:val="0"/>
          <w:divBdr>
            <w:top w:val="none" w:sz="0" w:space="0" w:color="auto"/>
            <w:left w:val="none" w:sz="0" w:space="0" w:color="auto"/>
            <w:bottom w:val="none" w:sz="0" w:space="0" w:color="auto"/>
            <w:right w:val="none" w:sz="0" w:space="0" w:color="auto"/>
          </w:divBdr>
          <w:divsChild>
            <w:div w:id="195852552">
              <w:marLeft w:val="0"/>
              <w:marRight w:val="0"/>
              <w:marTop w:val="0"/>
              <w:marBottom w:val="0"/>
              <w:divBdr>
                <w:top w:val="none" w:sz="0" w:space="0" w:color="auto"/>
                <w:left w:val="none" w:sz="0" w:space="0" w:color="auto"/>
                <w:bottom w:val="none" w:sz="0" w:space="0" w:color="auto"/>
                <w:right w:val="none" w:sz="0" w:space="0" w:color="auto"/>
              </w:divBdr>
            </w:div>
            <w:div w:id="19401345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03893189">
      <w:bodyDiv w:val="1"/>
      <w:marLeft w:val="0"/>
      <w:marRight w:val="0"/>
      <w:marTop w:val="0"/>
      <w:marBottom w:val="0"/>
      <w:divBdr>
        <w:top w:val="none" w:sz="0" w:space="0" w:color="auto"/>
        <w:left w:val="none" w:sz="0" w:space="0" w:color="auto"/>
        <w:bottom w:val="none" w:sz="0" w:space="0" w:color="auto"/>
        <w:right w:val="none" w:sz="0" w:space="0" w:color="auto"/>
      </w:divBdr>
      <w:divsChild>
        <w:div w:id="1573389120">
          <w:marLeft w:val="0"/>
          <w:marRight w:val="0"/>
          <w:marTop w:val="0"/>
          <w:marBottom w:val="150"/>
          <w:divBdr>
            <w:top w:val="none" w:sz="0" w:space="0" w:color="auto"/>
            <w:left w:val="none" w:sz="0" w:space="0" w:color="auto"/>
            <w:bottom w:val="none" w:sz="0" w:space="0" w:color="auto"/>
            <w:right w:val="none" w:sz="0" w:space="0" w:color="auto"/>
          </w:divBdr>
        </w:div>
      </w:divsChild>
    </w:div>
    <w:div w:id="1004472905">
      <w:bodyDiv w:val="1"/>
      <w:marLeft w:val="0"/>
      <w:marRight w:val="0"/>
      <w:marTop w:val="0"/>
      <w:marBottom w:val="0"/>
      <w:divBdr>
        <w:top w:val="none" w:sz="0" w:space="0" w:color="auto"/>
        <w:left w:val="none" w:sz="0" w:space="0" w:color="auto"/>
        <w:bottom w:val="none" w:sz="0" w:space="0" w:color="auto"/>
        <w:right w:val="none" w:sz="0" w:space="0" w:color="auto"/>
      </w:divBdr>
      <w:divsChild>
        <w:div w:id="1869829751">
          <w:marLeft w:val="0"/>
          <w:marRight w:val="0"/>
          <w:marTop w:val="0"/>
          <w:marBottom w:val="0"/>
          <w:divBdr>
            <w:top w:val="none" w:sz="0" w:space="0" w:color="auto"/>
            <w:left w:val="none" w:sz="0" w:space="0" w:color="auto"/>
            <w:bottom w:val="none" w:sz="0" w:space="0" w:color="auto"/>
            <w:right w:val="none" w:sz="0" w:space="0" w:color="auto"/>
          </w:divBdr>
          <w:divsChild>
            <w:div w:id="130681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476016">
      <w:bodyDiv w:val="1"/>
      <w:marLeft w:val="0"/>
      <w:marRight w:val="0"/>
      <w:marTop w:val="0"/>
      <w:marBottom w:val="0"/>
      <w:divBdr>
        <w:top w:val="none" w:sz="0" w:space="0" w:color="auto"/>
        <w:left w:val="none" w:sz="0" w:space="0" w:color="auto"/>
        <w:bottom w:val="none" w:sz="0" w:space="0" w:color="auto"/>
        <w:right w:val="none" w:sz="0" w:space="0" w:color="auto"/>
      </w:divBdr>
      <w:divsChild>
        <w:div w:id="296230448">
          <w:marLeft w:val="0"/>
          <w:marRight w:val="0"/>
          <w:marTop w:val="0"/>
          <w:marBottom w:val="0"/>
          <w:divBdr>
            <w:top w:val="none" w:sz="0" w:space="0" w:color="auto"/>
            <w:left w:val="none" w:sz="0" w:space="0" w:color="auto"/>
            <w:bottom w:val="none" w:sz="0" w:space="0" w:color="auto"/>
            <w:right w:val="none" w:sz="0" w:space="0" w:color="auto"/>
          </w:divBdr>
          <w:divsChild>
            <w:div w:id="2002855365">
              <w:marLeft w:val="0"/>
              <w:marRight w:val="0"/>
              <w:marTop w:val="0"/>
              <w:marBottom w:val="0"/>
              <w:divBdr>
                <w:top w:val="none" w:sz="0" w:space="0" w:color="auto"/>
                <w:left w:val="none" w:sz="0" w:space="0" w:color="auto"/>
                <w:bottom w:val="none" w:sz="0" w:space="0" w:color="auto"/>
                <w:right w:val="none" w:sz="0" w:space="0" w:color="auto"/>
              </w:divBdr>
            </w:div>
          </w:divsChild>
        </w:div>
        <w:div w:id="577404611">
          <w:marLeft w:val="0"/>
          <w:marRight w:val="0"/>
          <w:marTop w:val="0"/>
          <w:marBottom w:val="0"/>
          <w:divBdr>
            <w:top w:val="none" w:sz="0" w:space="0" w:color="auto"/>
            <w:left w:val="none" w:sz="0" w:space="0" w:color="auto"/>
            <w:bottom w:val="none" w:sz="0" w:space="0" w:color="auto"/>
            <w:right w:val="none" w:sz="0" w:space="0" w:color="auto"/>
          </w:divBdr>
          <w:divsChild>
            <w:div w:id="1258900122">
              <w:marLeft w:val="0"/>
              <w:marRight w:val="0"/>
              <w:marTop w:val="0"/>
              <w:marBottom w:val="0"/>
              <w:divBdr>
                <w:top w:val="none" w:sz="0" w:space="0" w:color="auto"/>
                <w:left w:val="none" w:sz="0" w:space="0" w:color="auto"/>
                <w:bottom w:val="none" w:sz="0" w:space="0" w:color="auto"/>
                <w:right w:val="none" w:sz="0" w:space="0" w:color="auto"/>
              </w:divBdr>
              <w:divsChild>
                <w:div w:id="368145596">
                  <w:marLeft w:val="0"/>
                  <w:marRight w:val="0"/>
                  <w:marTop w:val="0"/>
                  <w:marBottom w:val="0"/>
                  <w:divBdr>
                    <w:top w:val="none" w:sz="0" w:space="0" w:color="auto"/>
                    <w:left w:val="none" w:sz="0" w:space="0" w:color="auto"/>
                    <w:bottom w:val="none" w:sz="0" w:space="0" w:color="auto"/>
                    <w:right w:val="none" w:sz="0" w:space="0" w:color="auto"/>
                  </w:divBdr>
                  <w:divsChild>
                    <w:div w:id="1348797070">
                      <w:marLeft w:val="0"/>
                      <w:marRight w:val="0"/>
                      <w:marTop w:val="0"/>
                      <w:marBottom w:val="300"/>
                      <w:divBdr>
                        <w:top w:val="none" w:sz="0" w:space="0" w:color="auto"/>
                        <w:left w:val="none" w:sz="0" w:space="0" w:color="auto"/>
                        <w:bottom w:val="none" w:sz="0" w:space="0" w:color="auto"/>
                        <w:right w:val="none" w:sz="0" w:space="0" w:color="auto"/>
                      </w:divBdr>
                      <w:divsChild>
                        <w:div w:id="527565970">
                          <w:marLeft w:val="0"/>
                          <w:marRight w:val="0"/>
                          <w:marTop w:val="0"/>
                          <w:marBottom w:val="120"/>
                          <w:divBdr>
                            <w:top w:val="none" w:sz="0" w:space="0" w:color="auto"/>
                            <w:left w:val="none" w:sz="0" w:space="0" w:color="auto"/>
                            <w:bottom w:val="single" w:sz="12" w:space="6" w:color="BBDEFE"/>
                            <w:right w:val="none" w:sz="0" w:space="0" w:color="auto"/>
                          </w:divBdr>
                        </w:div>
                        <w:div w:id="1370034986">
                          <w:marLeft w:val="0"/>
                          <w:marRight w:val="0"/>
                          <w:marTop w:val="0"/>
                          <w:marBottom w:val="0"/>
                          <w:divBdr>
                            <w:top w:val="none" w:sz="0" w:space="0" w:color="auto"/>
                            <w:left w:val="none" w:sz="0" w:space="0" w:color="auto"/>
                            <w:bottom w:val="none" w:sz="0" w:space="0" w:color="auto"/>
                            <w:right w:val="none" w:sz="0" w:space="0" w:color="auto"/>
                          </w:divBdr>
                          <w:divsChild>
                            <w:div w:id="1485194340">
                              <w:marLeft w:val="0"/>
                              <w:marRight w:val="0"/>
                              <w:marTop w:val="0"/>
                              <w:marBottom w:val="0"/>
                              <w:divBdr>
                                <w:top w:val="none" w:sz="0" w:space="0" w:color="auto"/>
                                <w:left w:val="none" w:sz="0" w:space="0" w:color="auto"/>
                                <w:bottom w:val="none" w:sz="0" w:space="0" w:color="auto"/>
                                <w:right w:val="none" w:sz="0" w:space="0" w:color="auto"/>
                              </w:divBdr>
                              <w:divsChild>
                                <w:div w:id="1012342682">
                                  <w:marLeft w:val="0"/>
                                  <w:marRight w:val="600"/>
                                  <w:marTop w:val="0"/>
                                  <w:marBottom w:val="0"/>
                                  <w:divBdr>
                                    <w:top w:val="none" w:sz="0" w:space="0" w:color="auto"/>
                                    <w:left w:val="none" w:sz="0" w:space="0" w:color="auto"/>
                                    <w:bottom w:val="none" w:sz="0" w:space="0" w:color="auto"/>
                                    <w:right w:val="none" w:sz="0" w:space="0" w:color="auto"/>
                                  </w:divBdr>
                                  <w:divsChild>
                                    <w:div w:id="6828483">
                                      <w:marLeft w:val="0"/>
                                      <w:marRight w:val="0"/>
                                      <w:marTop w:val="0"/>
                                      <w:marBottom w:val="120"/>
                                      <w:divBdr>
                                        <w:top w:val="none" w:sz="0" w:space="0" w:color="auto"/>
                                        <w:left w:val="none" w:sz="0" w:space="0" w:color="auto"/>
                                        <w:bottom w:val="single" w:sz="6" w:space="6" w:color="EEEEEE"/>
                                        <w:right w:val="none" w:sz="0" w:space="0" w:color="auto"/>
                                      </w:divBdr>
                                      <w:divsChild>
                                        <w:div w:id="391544037">
                                          <w:marLeft w:val="0"/>
                                          <w:marRight w:val="0"/>
                                          <w:marTop w:val="0"/>
                                          <w:marBottom w:val="0"/>
                                          <w:divBdr>
                                            <w:top w:val="none" w:sz="0" w:space="0" w:color="auto"/>
                                            <w:left w:val="none" w:sz="0" w:space="0" w:color="auto"/>
                                            <w:bottom w:val="none" w:sz="0" w:space="0" w:color="auto"/>
                                            <w:right w:val="none" w:sz="0" w:space="0" w:color="auto"/>
                                          </w:divBdr>
                                        </w:div>
                                      </w:divsChild>
                                    </w:div>
                                    <w:div w:id="88502315">
                                      <w:marLeft w:val="0"/>
                                      <w:marRight w:val="0"/>
                                      <w:marTop w:val="0"/>
                                      <w:marBottom w:val="120"/>
                                      <w:divBdr>
                                        <w:top w:val="none" w:sz="0" w:space="0" w:color="auto"/>
                                        <w:left w:val="none" w:sz="0" w:space="0" w:color="auto"/>
                                        <w:bottom w:val="none" w:sz="0" w:space="0" w:color="auto"/>
                                        <w:right w:val="none" w:sz="0" w:space="0" w:color="auto"/>
                                      </w:divBdr>
                                      <w:divsChild>
                                        <w:div w:id="935140381">
                                          <w:marLeft w:val="0"/>
                                          <w:marRight w:val="0"/>
                                          <w:marTop w:val="0"/>
                                          <w:marBottom w:val="0"/>
                                          <w:divBdr>
                                            <w:top w:val="none" w:sz="0" w:space="0" w:color="auto"/>
                                            <w:left w:val="none" w:sz="0" w:space="0" w:color="auto"/>
                                            <w:bottom w:val="none" w:sz="0" w:space="0" w:color="auto"/>
                                            <w:right w:val="none" w:sz="0" w:space="0" w:color="auto"/>
                                          </w:divBdr>
                                        </w:div>
                                      </w:divsChild>
                                    </w:div>
                                    <w:div w:id="744305198">
                                      <w:marLeft w:val="0"/>
                                      <w:marRight w:val="0"/>
                                      <w:marTop w:val="0"/>
                                      <w:marBottom w:val="120"/>
                                      <w:divBdr>
                                        <w:top w:val="none" w:sz="0" w:space="0" w:color="auto"/>
                                        <w:left w:val="none" w:sz="0" w:space="0" w:color="auto"/>
                                        <w:bottom w:val="single" w:sz="6" w:space="6" w:color="EEEEEE"/>
                                        <w:right w:val="none" w:sz="0" w:space="0" w:color="auto"/>
                                      </w:divBdr>
                                      <w:divsChild>
                                        <w:div w:id="703822220">
                                          <w:marLeft w:val="0"/>
                                          <w:marRight w:val="0"/>
                                          <w:marTop w:val="0"/>
                                          <w:marBottom w:val="0"/>
                                          <w:divBdr>
                                            <w:top w:val="none" w:sz="0" w:space="0" w:color="auto"/>
                                            <w:left w:val="none" w:sz="0" w:space="0" w:color="auto"/>
                                            <w:bottom w:val="none" w:sz="0" w:space="0" w:color="auto"/>
                                            <w:right w:val="none" w:sz="0" w:space="0" w:color="auto"/>
                                          </w:divBdr>
                                        </w:div>
                                      </w:divsChild>
                                    </w:div>
                                    <w:div w:id="1556771956">
                                      <w:marLeft w:val="0"/>
                                      <w:marRight w:val="0"/>
                                      <w:marTop w:val="0"/>
                                      <w:marBottom w:val="120"/>
                                      <w:divBdr>
                                        <w:top w:val="none" w:sz="0" w:space="0" w:color="auto"/>
                                        <w:left w:val="none" w:sz="0" w:space="0" w:color="auto"/>
                                        <w:bottom w:val="single" w:sz="6" w:space="6" w:color="EEEEEE"/>
                                        <w:right w:val="none" w:sz="0" w:space="0" w:color="auto"/>
                                      </w:divBdr>
                                      <w:divsChild>
                                        <w:div w:id="372580683">
                                          <w:marLeft w:val="0"/>
                                          <w:marRight w:val="0"/>
                                          <w:marTop w:val="0"/>
                                          <w:marBottom w:val="0"/>
                                          <w:divBdr>
                                            <w:top w:val="none" w:sz="0" w:space="0" w:color="auto"/>
                                            <w:left w:val="none" w:sz="0" w:space="0" w:color="auto"/>
                                            <w:bottom w:val="none" w:sz="0" w:space="0" w:color="auto"/>
                                            <w:right w:val="none" w:sz="0" w:space="0" w:color="auto"/>
                                          </w:divBdr>
                                        </w:div>
                                      </w:divsChild>
                                    </w:div>
                                    <w:div w:id="1663771381">
                                      <w:marLeft w:val="0"/>
                                      <w:marRight w:val="0"/>
                                      <w:marTop w:val="0"/>
                                      <w:marBottom w:val="120"/>
                                      <w:divBdr>
                                        <w:top w:val="none" w:sz="0" w:space="0" w:color="auto"/>
                                        <w:left w:val="none" w:sz="0" w:space="0" w:color="auto"/>
                                        <w:bottom w:val="single" w:sz="6" w:space="6" w:color="EEEEEE"/>
                                        <w:right w:val="none" w:sz="0" w:space="0" w:color="auto"/>
                                      </w:divBdr>
                                      <w:divsChild>
                                        <w:div w:id="78755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166996">
                                  <w:marLeft w:val="0"/>
                                  <w:marRight w:val="600"/>
                                  <w:marTop w:val="0"/>
                                  <w:marBottom w:val="0"/>
                                  <w:divBdr>
                                    <w:top w:val="none" w:sz="0" w:space="0" w:color="auto"/>
                                    <w:left w:val="none" w:sz="0" w:space="0" w:color="auto"/>
                                    <w:bottom w:val="none" w:sz="0" w:space="0" w:color="auto"/>
                                    <w:right w:val="none" w:sz="0" w:space="0" w:color="auto"/>
                                  </w:divBdr>
                                  <w:divsChild>
                                    <w:div w:id="156649476">
                                      <w:marLeft w:val="0"/>
                                      <w:marRight w:val="0"/>
                                      <w:marTop w:val="0"/>
                                      <w:marBottom w:val="120"/>
                                      <w:divBdr>
                                        <w:top w:val="none" w:sz="0" w:space="0" w:color="auto"/>
                                        <w:left w:val="none" w:sz="0" w:space="0" w:color="auto"/>
                                        <w:bottom w:val="single" w:sz="6" w:space="6" w:color="EEEEEE"/>
                                        <w:right w:val="none" w:sz="0" w:space="0" w:color="auto"/>
                                      </w:divBdr>
                                      <w:divsChild>
                                        <w:div w:id="1764954430">
                                          <w:marLeft w:val="0"/>
                                          <w:marRight w:val="0"/>
                                          <w:marTop w:val="0"/>
                                          <w:marBottom w:val="0"/>
                                          <w:divBdr>
                                            <w:top w:val="none" w:sz="0" w:space="0" w:color="auto"/>
                                            <w:left w:val="none" w:sz="0" w:space="0" w:color="auto"/>
                                            <w:bottom w:val="none" w:sz="0" w:space="0" w:color="auto"/>
                                            <w:right w:val="none" w:sz="0" w:space="0" w:color="auto"/>
                                          </w:divBdr>
                                        </w:div>
                                      </w:divsChild>
                                    </w:div>
                                    <w:div w:id="492648462">
                                      <w:marLeft w:val="0"/>
                                      <w:marRight w:val="0"/>
                                      <w:marTop w:val="0"/>
                                      <w:marBottom w:val="120"/>
                                      <w:divBdr>
                                        <w:top w:val="none" w:sz="0" w:space="0" w:color="auto"/>
                                        <w:left w:val="none" w:sz="0" w:space="0" w:color="auto"/>
                                        <w:bottom w:val="single" w:sz="6" w:space="6" w:color="EEEEEE"/>
                                        <w:right w:val="none" w:sz="0" w:space="0" w:color="auto"/>
                                      </w:divBdr>
                                      <w:divsChild>
                                        <w:div w:id="289556389">
                                          <w:marLeft w:val="0"/>
                                          <w:marRight w:val="0"/>
                                          <w:marTop w:val="0"/>
                                          <w:marBottom w:val="0"/>
                                          <w:divBdr>
                                            <w:top w:val="none" w:sz="0" w:space="0" w:color="auto"/>
                                            <w:left w:val="none" w:sz="0" w:space="0" w:color="auto"/>
                                            <w:bottom w:val="none" w:sz="0" w:space="0" w:color="auto"/>
                                            <w:right w:val="none" w:sz="0" w:space="0" w:color="auto"/>
                                          </w:divBdr>
                                        </w:div>
                                      </w:divsChild>
                                    </w:div>
                                    <w:div w:id="610472697">
                                      <w:marLeft w:val="0"/>
                                      <w:marRight w:val="0"/>
                                      <w:marTop w:val="0"/>
                                      <w:marBottom w:val="120"/>
                                      <w:divBdr>
                                        <w:top w:val="none" w:sz="0" w:space="0" w:color="auto"/>
                                        <w:left w:val="none" w:sz="0" w:space="0" w:color="auto"/>
                                        <w:bottom w:val="single" w:sz="6" w:space="6" w:color="EEEEEE"/>
                                        <w:right w:val="none" w:sz="0" w:space="0" w:color="auto"/>
                                      </w:divBdr>
                                      <w:divsChild>
                                        <w:div w:id="334381799">
                                          <w:marLeft w:val="0"/>
                                          <w:marRight w:val="0"/>
                                          <w:marTop w:val="0"/>
                                          <w:marBottom w:val="0"/>
                                          <w:divBdr>
                                            <w:top w:val="none" w:sz="0" w:space="0" w:color="auto"/>
                                            <w:left w:val="none" w:sz="0" w:space="0" w:color="auto"/>
                                            <w:bottom w:val="none" w:sz="0" w:space="0" w:color="auto"/>
                                            <w:right w:val="none" w:sz="0" w:space="0" w:color="auto"/>
                                          </w:divBdr>
                                        </w:div>
                                      </w:divsChild>
                                    </w:div>
                                    <w:div w:id="1042293272">
                                      <w:marLeft w:val="0"/>
                                      <w:marRight w:val="0"/>
                                      <w:marTop w:val="0"/>
                                      <w:marBottom w:val="120"/>
                                      <w:divBdr>
                                        <w:top w:val="none" w:sz="0" w:space="0" w:color="auto"/>
                                        <w:left w:val="none" w:sz="0" w:space="0" w:color="auto"/>
                                        <w:bottom w:val="single" w:sz="6" w:space="6" w:color="EEEEEE"/>
                                        <w:right w:val="none" w:sz="0" w:space="0" w:color="auto"/>
                                      </w:divBdr>
                                      <w:divsChild>
                                        <w:div w:id="1313370338">
                                          <w:marLeft w:val="0"/>
                                          <w:marRight w:val="0"/>
                                          <w:marTop w:val="0"/>
                                          <w:marBottom w:val="0"/>
                                          <w:divBdr>
                                            <w:top w:val="none" w:sz="0" w:space="0" w:color="auto"/>
                                            <w:left w:val="none" w:sz="0" w:space="0" w:color="auto"/>
                                            <w:bottom w:val="none" w:sz="0" w:space="0" w:color="auto"/>
                                            <w:right w:val="none" w:sz="0" w:space="0" w:color="auto"/>
                                          </w:divBdr>
                                        </w:div>
                                      </w:divsChild>
                                    </w:div>
                                    <w:div w:id="1965966256">
                                      <w:marLeft w:val="0"/>
                                      <w:marRight w:val="0"/>
                                      <w:marTop w:val="0"/>
                                      <w:marBottom w:val="120"/>
                                      <w:divBdr>
                                        <w:top w:val="none" w:sz="0" w:space="0" w:color="auto"/>
                                        <w:left w:val="none" w:sz="0" w:space="0" w:color="auto"/>
                                        <w:bottom w:val="none" w:sz="0" w:space="0" w:color="auto"/>
                                        <w:right w:val="none" w:sz="0" w:space="0" w:color="auto"/>
                                      </w:divBdr>
                                      <w:divsChild>
                                        <w:div w:id="148905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371638">
                  <w:marLeft w:val="0"/>
                  <w:marRight w:val="0"/>
                  <w:marTop w:val="0"/>
                  <w:marBottom w:val="0"/>
                  <w:divBdr>
                    <w:top w:val="none" w:sz="0" w:space="0" w:color="auto"/>
                    <w:left w:val="none" w:sz="0" w:space="0" w:color="auto"/>
                    <w:bottom w:val="none" w:sz="0" w:space="0" w:color="auto"/>
                    <w:right w:val="none" w:sz="0" w:space="0" w:color="auto"/>
                  </w:divBdr>
                  <w:divsChild>
                    <w:div w:id="1625233669">
                      <w:marLeft w:val="0"/>
                      <w:marRight w:val="0"/>
                      <w:marTop w:val="0"/>
                      <w:marBottom w:val="0"/>
                      <w:divBdr>
                        <w:top w:val="none" w:sz="0" w:space="0" w:color="auto"/>
                        <w:left w:val="none" w:sz="0" w:space="0" w:color="auto"/>
                        <w:bottom w:val="none" w:sz="0" w:space="0" w:color="auto"/>
                        <w:right w:val="none" w:sz="0" w:space="0" w:color="auto"/>
                      </w:divBdr>
                      <w:divsChild>
                        <w:div w:id="1785424182">
                          <w:marLeft w:val="0"/>
                          <w:marRight w:val="0"/>
                          <w:marTop w:val="0"/>
                          <w:marBottom w:val="0"/>
                          <w:divBdr>
                            <w:top w:val="none" w:sz="0" w:space="0" w:color="auto"/>
                            <w:left w:val="none" w:sz="0" w:space="0" w:color="auto"/>
                            <w:bottom w:val="none" w:sz="0" w:space="0" w:color="auto"/>
                            <w:right w:val="none" w:sz="0" w:space="0" w:color="auto"/>
                          </w:divBdr>
                          <w:divsChild>
                            <w:div w:id="5447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557033">
      <w:bodyDiv w:val="1"/>
      <w:marLeft w:val="0"/>
      <w:marRight w:val="0"/>
      <w:marTop w:val="0"/>
      <w:marBottom w:val="0"/>
      <w:divBdr>
        <w:top w:val="none" w:sz="0" w:space="0" w:color="auto"/>
        <w:left w:val="none" w:sz="0" w:space="0" w:color="auto"/>
        <w:bottom w:val="none" w:sz="0" w:space="0" w:color="auto"/>
        <w:right w:val="none" w:sz="0" w:space="0" w:color="auto"/>
      </w:divBdr>
    </w:div>
    <w:div w:id="1005013461">
      <w:bodyDiv w:val="1"/>
      <w:marLeft w:val="0"/>
      <w:marRight w:val="0"/>
      <w:marTop w:val="0"/>
      <w:marBottom w:val="0"/>
      <w:divBdr>
        <w:top w:val="none" w:sz="0" w:space="0" w:color="auto"/>
        <w:left w:val="none" w:sz="0" w:space="0" w:color="auto"/>
        <w:bottom w:val="none" w:sz="0" w:space="0" w:color="auto"/>
        <w:right w:val="none" w:sz="0" w:space="0" w:color="auto"/>
      </w:divBdr>
      <w:divsChild>
        <w:div w:id="598367697">
          <w:marLeft w:val="0"/>
          <w:marRight w:val="0"/>
          <w:marTop w:val="0"/>
          <w:marBottom w:val="0"/>
          <w:divBdr>
            <w:top w:val="none" w:sz="0" w:space="0" w:color="auto"/>
            <w:left w:val="none" w:sz="0" w:space="0" w:color="auto"/>
            <w:bottom w:val="dotted" w:sz="6" w:space="4" w:color="DDDDDD"/>
            <w:right w:val="none" w:sz="0" w:space="0" w:color="auto"/>
          </w:divBdr>
          <w:divsChild>
            <w:div w:id="2584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91742">
      <w:bodyDiv w:val="1"/>
      <w:marLeft w:val="0"/>
      <w:marRight w:val="0"/>
      <w:marTop w:val="0"/>
      <w:marBottom w:val="0"/>
      <w:divBdr>
        <w:top w:val="none" w:sz="0" w:space="0" w:color="auto"/>
        <w:left w:val="none" w:sz="0" w:space="0" w:color="auto"/>
        <w:bottom w:val="none" w:sz="0" w:space="0" w:color="auto"/>
        <w:right w:val="none" w:sz="0" w:space="0" w:color="auto"/>
      </w:divBdr>
      <w:divsChild>
        <w:div w:id="1148014102">
          <w:marLeft w:val="0"/>
          <w:marRight w:val="0"/>
          <w:marTop w:val="0"/>
          <w:marBottom w:val="0"/>
          <w:divBdr>
            <w:top w:val="none" w:sz="0" w:space="0" w:color="auto"/>
            <w:left w:val="none" w:sz="0" w:space="0" w:color="auto"/>
            <w:bottom w:val="dotted" w:sz="6" w:space="4" w:color="DDDDDD"/>
            <w:right w:val="none" w:sz="0" w:space="0" w:color="auto"/>
          </w:divBdr>
          <w:divsChild>
            <w:div w:id="181537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91804">
      <w:bodyDiv w:val="1"/>
      <w:marLeft w:val="0"/>
      <w:marRight w:val="0"/>
      <w:marTop w:val="0"/>
      <w:marBottom w:val="0"/>
      <w:divBdr>
        <w:top w:val="none" w:sz="0" w:space="0" w:color="auto"/>
        <w:left w:val="none" w:sz="0" w:space="0" w:color="auto"/>
        <w:bottom w:val="none" w:sz="0" w:space="0" w:color="auto"/>
        <w:right w:val="none" w:sz="0" w:space="0" w:color="auto"/>
      </w:divBdr>
      <w:divsChild>
        <w:div w:id="384183642">
          <w:marLeft w:val="0"/>
          <w:marRight w:val="0"/>
          <w:marTop w:val="0"/>
          <w:marBottom w:val="300"/>
          <w:divBdr>
            <w:top w:val="none" w:sz="0" w:space="0" w:color="auto"/>
            <w:left w:val="none" w:sz="0" w:space="0" w:color="auto"/>
            <w:bottom w:val="none" w:sz="0" w:space="0" w:color="auto"/>
            <w:right w:val="none" w:sz="0" w:space="0" w:color="auto"/>
          </w:divBdr>
          <w:divsChild>
            <w:div w:id="564952453">
              <w:marLeft w:val="0"/>
              <w:marRight w:val="0"/>
              <w:marTop w:val="0"/>
              <w:marBottom w:val="0"/>
              <w:divBdr>
                <w:top w:val="none" w:sz="0" w:space="0" w:color="auto"/>
                <w:left w:val="none" w:sz="0" w:space="0" w:color="auto"/>
                <w:bottom w:val="none" w:sz="0" w:space="0" w:color="auto"/>
                <w:right w:val="none" w:sz="0" w:space="0" w:color="auto"/>
              </w:divBdr>
            </w:div>
          </w:divsChild>
        </w:div>
        <w:div w:id="1117871325">
          <w:marLeft w:val="0"/>
          <w:marRight w:val="0"/>
          <w:marTop w:val="0"/>
          <w:marBottom w:val="75"/>
          <w:divBdr>
            <w:top w:val="none" w:sz="0" w:space="0" w:color="auto"/>
            <w:left w:val="none" w:sz="0" w:space="0" w:color="auto"/>
            <w:bottom w:val="none" w:sz="0" w:space="0" w:color="auto"/>
            <w:right w:val="none" w:sz="0" w:space="0" w:color="auto"/>
          </w:divBdr>
        </w:div>
        <w:div w:id="1857839933">
          <w:marLeft w:val="0"/>
          <w:marRight w:val="0"/>
          <w:marTop w:val="0"/>
          <w:marBottom w:val="0"/>
          <w:divBdr>
            <w:top w:val="none" w:sz="0" w:space="0" w:color="auto"/>
            <w:left w:val="none" w:sz="0" w:space="0" w:color="auto"/>
            <w:bottom w:val="none" w:sz="0" w:space="0" w:color="auto"/>
            <w:right w:val="none" w:sz="0" w:space="0" w:color="auto"/>
          </w:divBdr>
          <w:divsChild>
            <w:div w:id="1150556748">
              <w:marLeft w:val="0"/>
              <w:marRight w:val="0"/>
              <w:marTop w:val="0"/>
              <w:marBottom w:val="0"/>
              <w:divBdr>
                <w:top w:val="none" w:sz="0" w:space="0" w:color="auto"/>
                <w:left w:val="none" w:sz="0" w:space="0" w:color="auto"/>
                <w:bottom w:val="none" w:sz="0" w:space="0" w:color="auto"/>
                <w:right w:val="none" w:sz="0" w:space="0" w:color="auto"/>
              </w:divBdr>
              <w:divsChild>
                <w:div w:id="121963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043346">
          <w:marLeft w:val="0"/>
          <w:marRight w:val="0"/>
          <w:marTop w:val="0"/>
          <w:marBottom w:val="0"/>
          <w:divBdr>
            <w:top w:val="none" w:sz="0" w:space="0" w:color="auto"/>
            <w:left w:val="none" w:sz="0" w:space="0" w:color="auto"/>
            <w:bottom w:val="none" w:sz="0" w:space="0" w:color="auto"/>
            <w:right w:val="none" w:sz="0" w:space="0" w:color="auto"/>
          </w:divBdr>
        </w:div>
      </w:divsChild>
    </w:div>
    <w:div w:id="1005715685">
      <w:bodyDiv w:val="1"/>
      <w:marLeft w:val="0"/>
      <w:marRight w:val="0"/>
      <w:marTop w:val="0"/>
      <w:marBottom w:val="0"/>
      <w:divBdr>
        <w:top w:val="none" w:sz="0" w:space="0" w:color="auto"/>
        <w:left w:val="none" w:sz="0" w:space="0" w:color="auto"/>
        <w:bottom w:val="none" w:sz="0" w:space="0" w:color="auto"/>
        <w:right w:val="none" w:sz="0" w:space="0" w:color="auto"/>
      </w:divBdr>
    </w:div>
    <w:div w:id="1005785628">
      <w:bodyDiv w:val="1"/>
      <w:marLeft w:val="0"/>
      <w:marRight w:val="0"/>
      <w:marTop w:val="0"/>
      <w:marBottom w:val="0"/>
      <w:divBdr>
        <w:top w:val="none" w:sz="0" w:space="0" w:color="auto"/>
        <w:left w:val="none" w:sz="0" w:space="0" w:color="auto"/>
        <w:bottom w:val="none" w:sz="0" w:space="0" w:color="auto"/>
        <w:right w:val="none" w:sz="0" w:space="0" w:color="auto"/>
      </w:divBdr>
      <w:divsChild>
        <w:div w:id="341901527">
          <w:marLeft w:val="0"/>
          <w:marRight w:val="0"/>
          <w:marTop w:val="0"/>
          <w:marBottom w:val="0"/>
          <w:divBdr>
            <w:top w:val="none" w:sz="0" w:space="0" w:color="auto"/>
            <w:left w:val="none" w:sz="0" w:space="0" w:color="auto"/>
            <w:bottom w:val="none" w:sz="0" w:space="0" w:color="auto"/>
            <w:right w:val="none" w:sz="0" w:space="0" w:color="auto"/>
          </w:divBdr>
          <w:divsChild>
            <w:div w:id="50385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713077">
      <w:bodyDiv w:val="1"/>
      <w:marLeft w:val="0"/>
      <w:marRight w:val="0"/>
      <w:marTop w:val="0"/>
      <w:marBottom w:val="0"/>
      <w:divBdr>
        <w:top w:val="none" w:sz="0" w:space="0" w:color="auto"/>
        <w:left w:val="none" w:sz="0" w:space="0" w:color="auto"/>
        <w:bottom w:val="none" w:sz="0" w:space="0" w:color="auto"/>
        <w:right w:val="none" w:sz="0" w:space="0" w:color="auto"/>
      </w:divBdr>
      <w:divsChild>
        <w:div w:id="58066315">
          <w:marLeft w:val="0"/>
          <w:marRight w:val="0"/>
          <w:marTop w:val="0"/>
          <w:marBottom w:val="0"/>
          <w:divBdr>
            <w:top w:val="none" w:sz="0" w:space="0" w:color="auto"/>
            <w:left w:val="none" w:sz="0" w:space="0" w:color="auto"/>
            <w:bottom w:val="dotted" w:sz="6" w:space="4" w:color="DDDDDD"/>
            <w:right w:val="none" w:sz="0" w:space="0" w:color="auto"/>
          </w:divBdr>
        </w:div>
      </w:divsChild>
    </w:div>
    <w:div w:id="1006979341">
      <w:bodyDiv w:val="1"/>
      <w:marLeft w:val="0"/>
      <w:marRight w:val="0"/>
      <w:marTop w:val="0"/>
      <w:marBottom w:val="0"/>
      <w:divBdr>
        <w:top w:val="none" w:sz="0" w:space="0" w:color="auto"/>
        <w:left w:val="none" w:sz="0" w:space="0" w:color="auto"/>
        <w:bottom w:val="none" w:sz="0" w:space="0" w:color="auto"/>
        <w:right w:val="none" w:sz="0" w:space="0" w:color="auto"/>
      </w:divBdr>
    </w:div>
    <w:div w:id="1007288806">
      <w:bodyDiv w:val="1"/>
      <w:marLeft w:val="0"/>
      <w:marRight w:val="0"/>
      <w:marTop w:val="0"/>
      <w:marBottom w:val="0"/>
      <w:divBdr>
        <w:top w:val="none" w:sz="0" w:space="0" w:color="auto"/>
        <w:left w:val="none" w:sz="0" w:space="0" w:color="auto"/>
        <w:bottom w:val="none" w:sz="0" w:space="0" w:color="auto"/>
        <w:right w:val="none" w:sz="0" w:space="0" w:color="auto"/>
      </w:divBdr>
    </w:div>
    <w:div w:id="1007290413">
      <w:bodyDiv w:val="1"/>
      <w:marLeft w:val="0"/>
      <w:marRight w:val="0"/>
      <w:marTop w:val="0"/>
      <w:marBottom w:val="0"/>
      <w:divBdr>
        <w:top w:val="none" w:sz="0" w:space="0" w:color="auto"/>
        <w:left w:val="none" w:sz="0" w:space="0" w:color="auto"/>
        <w:bottom w:val="none" w:sz="0" w:space="0" w:color="auto"/>
        <w:right w:val="none" w:sz="0" w:space="0" w:color="auto"/>
      </w:divBdr>
      <w:divsChild>
        <w:div w:id="695035012">
          <w:marLeft w:val="0"/>
          <w:marRight w:val="0"/>
          <w:marTop w:val="0"/>
          <w:marBottom w:val="0"/>
          <w:divBdr>
            <w:top w:val="none" w:sz="0" w:space="0" w:color="auto"/>
            <w:left w:val="none" w:sz="0" w:space="0" w:color="auto"/>
            <w:bottom w:val="none" w:sz="0" w:space="0" w:color="auto"/>
            <w:right w:val="none" w:sz="0" w:space="0" w:color="auto"/>
          </w:divBdr>
          <w:divsChild>
            <w:div w:id="2089576790">
              <w:marLeft w:val="0"/>
              <w:marRight w:val="0"/>
              <w:marTop w:val="0"/>
              <w:marBottom w:val="0"/>
              <w:divBdr>
                <w:top w:val="none" w:sz="0" w:space="0" w:color="auto"/>
                <w:left w:val="none" w:sz="0" w:space="0" w:color="auto"/>
                <w:bottom w:val="none" w:sz="0" w:space="0" w:color="auto"/>
                <w:right w:val="none" w:sz="0" w:space="0" w:color="auto"/>
              </w:divBdr>
              <w:divsChild>
                <w:div w:id="968046315">
                  <w:marLeft w:val="0"/>
                  <w:marRight w:val="0"/>
                  <w:marTop w:val="0"/>
                  <w:marBottom w:val="0"/>
                  <w:divBdr>
                    <w:top w:val="none" w:sz="0" w:space="0" w:color="auto"/>
                    <w:left w:val="none" w:sz="0" w:space="0" w:color="auto"/>
                    <w:bottom w:val="none" w:sz="0" w:space="0" w:color="auto"/>
                    <w:right w:val="none" w:sz="0" w:space="0" w:color="auto"/>
                  </w:divBdr>
                  <w:divsChild>
                    <w:div w:id="668362817">
                      <w:marLeft w:val="0"/>
                      <w:marRight w:val="0"/>
                      <w:marTop w:val="0"/>
                      <w:marBottom w:val="0"/>
                      <w:divBdr>
                        <w:top w:val="none" w:sz="0" w:space="0" w:color="auto"/>
                        <w:left w:val="none" w:sz="0" w:space="0" w:color="auto"/>
                        <w:bottom w:val="none" w:sz="0" w:space="0" w:color="auto"/>
                        <w:right w:val="none" w:sz="0" w:space="0" w:color="auto"/>
                      </w:divBdr>
                      <w:divsChild>
                        <w:div w:id="825558231">
                          <w:marLeft w:val="0"/>
                          <w:marRight w:val="0"/>
                          <w:marTop w:val="0"/>
                          <w:marBottom w:val="0"/>
                          <w:divBdr>
                            <w:top w:val="none" w:sz="0" w:space="0" w:color="auto"/>
                            <w:left w:val="none" w:sz="0" w:space="0" w:color="auto"/>
                            <w:bottom w:val="none" w:sz="0" w:space="0" w:color="auto"/>
                            <w:right w:val="none" w:sz="0" w:space="0" w:color="auto"/>
                          </w:divBdr>
                          <w:divsChild>
                            <w:div w:id="99322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632215">
      <w:bodyDiv w:val="1"/>
      <w:marLeft w:val="0"/>
      <w:marRight w:val="0"/>
      <w:marTop w:val="0"/>
      <w:marBottom w:val="0"/>
      <w:divBdr>
        <w:top w:val="none" w:sz="0" w:space="0" w:color="auto"/>
        <w:left w:val="none" w:sz="0" w:space="0" w:color="auto"/>
        <w:bottom w:val="none" w:sz="0" w:space="0" w:color="auto"/>
        <w:right w:val="none" w:sz="0" w:space="0" w:color="auto"/>
      </w:divBdr>
      <w:divsChild>
        <w:div w:id="2104447730">
          <w:marLeft w:val="0"/>
          <w:marRight w:val="0"/>
          <w:marTop w:val="0"/>
          <w:marBottom w:val="150"/>
          <w:divBdr>
            <w:top w:val="none" w:sz="0" w:space="0" w:color="auto"/>
            <w:left w:val="none" w:sz="0" w:space="0" w:color="auto"/>
            <w:bottom w:val="none" w:sz="0" w:space="0" w:color="auto"/>
            <w:right w:val="none" w:sz="0" w:space="0" w:color="auto"/>
          </w:divBdr>
        </w:div>
      </w:divsChild>
    </w:div>
    <w:div w:id="1007755660">
      <w:bodyDiv w:val="1"/>
      <w:marLeft w:val="0"/>
      <w:marRight w:val="0"/>
      <w:marTop w:val="0"/>
      <w:marBottom w:val="0"/>
      <w:divBdr>
        <w:top w:val="none" w:sz="0" w:space="0" w:color="auto"/>
        <w:left w:val="none" w:sz="0" w:space="0" w:color="auto"/>
        <w:bottom w:val="none" w:sz="0" w:space="0" w:color="auto"/>
        <w:right w:val="none" w:sz="0" w:space="0" w:color="auto"/>
      </w:divBdr>
      <w:divsChild>
        <w:div w:id="2033143078">
          <w:marLeft w:val="0"/>
          <w:marRight w:val="0"/>
          <w:marTop w:val="0"/>
          <w:marBottom w:val="180"/>
          <w:divBdr>
            <w:top w:val="none" w:sz="0" w:space="0" w:color="auto"/>
            <w:left w:val="none" w:sz="0" w:space="0" w:color="auto"/>
            <w:bottom w:val="none" w:sz="0" w:space="0" w:color="auto"/>
            <w:right w:val="none" w:sz="0" w:space="0" w:color="auto"/>
          </w:divBdr>
        </w:div>
      </w:divsChild>
    </w:div>
    <w:div w:id="1010065104">
      <w:bodyDiv w:val="1"/>
      <w:marLeft w:val="0"/>
      <w:marRight w:val="0"/>
      <w:marTop w:val="0"/>
      <w:marBottom w:val="0"/>
      <w:divBdr>
        <w:top w:val="none" w:sz="0" w:space="0" w:color="auto"/>
        <w:left w:val="none" w:sz="0" w:space="0" w:color="auto"/>
        <w:bottom w:val="none" w:sz="0" w:space="0" w:color="auto"/>
        <w:right w:val="none" w:sz="0" w:space="0" w:color="auto"/>
      </w:divBdr>
    </w:div>
    <w:div w:id="1010137841">
      <w:bodyDiv w:val="1"/>
      <w:marLeft w:val="0"/>
      <w:marRight w:val="0"/>
      <w:marTop w:val="0"/>
      <w:marBottom w:val="0"/>
      <w:divBdr>
        <w:top w:val="none" w:sz="0" w:space="0" w:color="auto"/>
        <w:left w:val="none" w:sz="0" w:space="0" w:color="auto"/>
        <w:bottom w:val="none" w:sz="0" w:space="0" w:color="auto"/>
        <w:right w:val="none" w:sz="0" w:space="0" w:color="auto"/>
      </w:divBdr>
      <w:divsChild>
        <w:div w:id="1300257556">
          <w:marLeft w:val="0"/>
          <w:marRight w:val="0"/>
          <w:marTop w:val="0"/>
          <w:marBottom w:val="150"/>
          <w:divBdr>
            <w:top w:val="none" w:sz="0" w:space="0" w:color="auto"/>
            <w:left w:val="none" w:sz="0" w:space="0" w:color="auto"/>
            <w:bottom w:val="none" w:sz="0" w:space="0" w:color="auto"/>
            <w:right w:val="none" w:sz="0" w:space="0" w:color="auto"/>
          </w:divBdr>
          <w:divsChild>
            <w:div w:id="219175637">
              <w:marLeft w:val="0"/>
              <w:marRight w:val="0"/>
              <w:marTop w:val="0"/>
              <w:marBottom w:val="0"/>
              <w:divBdr>
                <w:top w:val="none" w:sz="0" w:space="0" w:color="auto"/>
                <w:left w:val="none" w:sz="0" w:space="0" w:color="auto"/>
                <w:bottom w:val="none" w:sz="0" w:space="0" w:color="auto"/>
                <w:right w:val="none" w:sz="0" w:space="0" w:color="auto"/>
              </w:divBdr>
              <w:divsChild>
                <w:div w:id="56479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104731">
          <w:marLeft w:val="0"/>
          <w:marRight w:val="0"/>
          <w:marTop w:val="0"/>
          <w:marBottom w:val="150"/>
          <w:divBdr>
            <w:top w:val="none" w:sz="0" w:space="0" w:color="auto"/>
            <w:left w:val="none" w:sz="0" w:space="0" w:color="auto"/>
            <w:bottom w:val="none" w:sz="0" w:space="0" w:color="auto"/>
            <w:right w:val="none" w:sz="0" w:space="0" w:color="auto"/>
          </w:divBdr>
        </w:div>
        <w:div w:id="986545532">
          <w:marLeft w:val="0"/>
          <w:marRight w:val="0"/>
          <w:marTop w:val="0"/>
          <w:marBottom w:val="0"/>
          <w:divBdr>
            <w:top w:val="none" w:sz="0" w:space="0" w:color="auto"/>
            <w:left w:val="none" w:sz="0" w:space="0" w:color="auto"/>
            <w:bottom w:val="none" w:sz="0" w:space="0" w:color="auto"/>
            <w:right w:val="none" w:sz="0" w:space="0" w:color="auto"/>
          </w:divBdr>
          <w:divsChild>
            <w:div w:id="84543904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10260868">
      <w:bodyDiv w:val="1"/>
      <w:marLeft w:val="0"/>
      <w:marRight w:val="0"/>
      <w:marTop w:val="0"/>
      <w:marBottom w:val="0"/>
      <w:divBdr>
        <w:top w:val="none" w:sz="0" w:space="0" w:color="auto"/>
        <w:left w:val="none" w:sz="0" w:space="0" w:color="auto"/>
        <w:bottom w:val="none" w:sz="0" w:space="0" w:color="auto"/>
        <w:right w:val="none" w:sz="0" w:space="0" w:color="auto"/>
      </w:divBdr>
      <w:divsChild>
        <w:div w:id="13851105">
          <w:marLeft w:val="0"/>
          <w:marRight w:val="0"/>
          <w:marTop w:val="150"/>
          <w:marBottom w:val="0"/>
          <w:divBdr>
            <w:top w:val="none" w:sz="0" w:space="0" w:color="auto"/>
            <w:left w:val="none" w:sz="0" w:space="0" w:color="auto"/>
            <w:bottom w:val="none" w:sz="0" w:space="0" w:color="auto"/>
            <w:right w:val="none" w:sz="0" w:space="0" w:color="auto"/>
          </w:divBdr>
          <w:divsChild>
            <w:div w:id="1420324091">
              <w:marLeft w:val="0"/>
              <w:marRight w:val="150"/>
              <w:marTop w:val="0"/>
              <w:marBottom w:val="0"/>
              <w:divBdr>
                <w:top w:val="none" w:sz="0" w:space="0" w:color="auto"/>
                <w:left w:val="none" w:sz="0" w:space="0" w:color="auto"/>
                <w:bottom w:val="none" w:sz="0" w:space="0" w:color="auto"/>
                <w:right w:val="none" w:sz="0" w:space="0" w:color="auto"/>
              </w:divBdr>
            </w:div>
          </w:divsChild>
        </w:div>
        <w:div w:id="928465530">
          <w:marLeft w:val="0"/>
          <w:marRight w:val="0"/>
          <w:marTop w:val="0"/>
          <w:marBottom w:val="0"/>
          <w:divBdr>
            <w:top w:val="none" w:sz="0" w:space="8" w:color="auto"/>
            <w:left w:val="none" w:sz="0" w:space="2" w:color="auto"/>
            <w:bottom w:val="single" w:sz="6" w:space="8" w:color="DDDDDD"/>
            <w:right w:val="none" w:sz="0" w:space="0" w:color="auto"/>
          </w:divBdr>
        </w:div>
      </w:divsChild>
    </w:div>
    <w:div w:id="1010639224">
      <w:bodyDiv w:val="1"/>
      <w:marLeft w:val="0"/>
      <w:marRight w:val="0"/>
      <w:marTop w:val="0"/>
      <w:marBottom w:val="0"/>
      <w:divBdr>
        <w:top w:val="none" w:sz="0" w:space="0" w:color="auto"/>
        <w:left w:val="none" w:sz="0" w:space="0" w:color="auto"/>
        <w:bottom w:val="none" w:sz="0" w:space="0" w:color="auto"/>
        <w:right w:val="none" w:sz="0" w:space="0" w:color="auto"/>
      </w:divBdr>
    </w:div>
    <w:div w:id="1010840356">
      <w:bodyDiv w:val="1"/>
      <w:marLeft w:val="0"/>
      <w:marRight w:val="0"/>
      <w:marTop w:val="0"/>
      <w:marBottom w:val="0"/>
      <w:divBdr>
        <w:top w:val="none" w:sz="0" w:space="0" w:color="auto"/>
        <w:left w:val="none" w:sz="0" w:space="0" w:color="auto"/>
        <w:bottom w:val="none" w:sz="0" w:space="0" w:color="auto"/>
        <w:right w:val="none" w:sz="0" w:space="0" w:color="auto"/>
      </w:divBdr>
      <w:divsChild>
        <w:div w:id="1109004694">
          <w:marLeft w:val="0"/>
          <w:marRight w:val="0"/>
          <w:marTop w:val="0"/>
          <w:marBottom w:val="150"/>
          <w:divBdr>
            <w:top w:val="none" w:sz="0" w:space="0" w:color="auto"/>
            <w:left w:val="none" w:sz="0" w:space="0" w:color="auto"/>
            <w:bottom w:val="none" w:sz="0" w:space="0" w:color="auto"/>
            <w:right w:val="none" w:sz="0" w:space="0" w:color="auto"/>
          </w:divBdr>
        </w:div>
        <w:div w:id="1378353794">
          <w:marLeft w:val="0"/>
          <w:marRight w:val="0"/>
          <w:marTop w:val="0"/>
          <w:marBottom w:val="150"/>
          <w:divBdr>
            <w:top w:val="none" w:sz="0" w:space="0" w:color="auto"/>
            <w:left w:val="none" w:sz="0" w:space="0" w:color="auto"/>
            <w:bottom w:val="none" w:sz="0" w:space="0" w:color="auto"/>
            <w:right w:val="none" w:sz="0" w:space="0" w:color="auto"/>
          </w:divBdr>
          <w:divsChild>
            <w:div w:id="133372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252387">
      <w:bodyDiv w:val="1"/>
      <w:marLeft w:val="0"/>
      <w:marRight w:val="0"/>
      <w:marTop w:val="0"/>
      <w:marBottom w:val="0"/>
      <w:divBdr>
        <w:top w:val="none" w:sz="0" w:space="0" w:color="auto"/>
        <w:left w:val="none" w:sz="0" w:space="0" w:color="auto"/>
        <w:bottom w:val="none" w:sz="0" w:space="0" w:color="auto"/>
        <w:right w:val="none" w:sz="0" w:space="0" w:color="auto"/>
      </w:divBdr>
      <w:divsChild>
        <w:div w:id="798259961">
          <w:marLeft w:val="0"/>
          <w:marRight w:val="0"/>
          <w:marTop w:val="0"/>
          <w:marBottom w:val="0"/>
          <w:divBdr>
            <w:top w:val="none" w:sz="0" w:space="0" w:color="auto"/>
            <w:left w:val="none" w:sz="0" w:space="0" w:color="auto"/>
            <w:bottom w:val="none" w:sz="0" w:space="0" w:color="auto"/>
            <w:right w:val="none" w:sz="0" w:space="0" w:color="auto"/>
          </w:divBdr>
          <w:divsChild>
            <w:div w:id="49349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294696">
      <w:bodyDiv w:val="1"/>
      <w:marLeft w:val="0"/>
      <w:marRight w:val="0"/>
      <w:marTop w:val="0"/>
      <w:marBottom w:val="0"/>
      <w:divBdr>
        <w:top w:val="none" w:sz="0" w:space="0" w:color="auto"/>
        <w:left w:val="none" w:sz="0" w:space="0" w:color="auto"/>
        <w:bottom w:val="none" w:sz="0" w:space="0" w:color="auto"/>
        <w:right w:val="none" w:sz="0" w:space="0" w:color="auto"/>
      </w:divBdr>
      <w:divsChild>
        <w:div w:id="17197711">
          <w:marLeft w:val="0"/>
          <w:marRight w:val="0"/>
          <w:marTop w:val="0"/>
          <w:marBottom w:val="150"/>
          <w:divBdr>
            <w:top w:val="none" w:sz="0" w:space="0" w:color="auto"/>
            <w:left w:val="none" w:sz="0" w:space="0" w:color="auto"/>
            <w:bottom w:val="none" w:sz="0" w:space="0" w:color="auto"/>
            <w:right w:val="none" w:sz="0" w:space="0" w:color="auto"/>
          </w:divBdr>
          <w:divsChild>
            <w:div w:id="1358502150">
              <w:marLeft w:val="0"/>
              <w:marRight w:val="0"/>
              <w:marTop w:val="0"/>
              <w:marBottom w:val="0"/>
              <w:divBdr>
                <w:top w:val="none" w:sz="0" w:space="0" w:color="auto"/>
                <w:left w:val="none" w:sz="0" w:space="0" w:color="auto"/>
                <w:bottom w:val="none" w:sz="0" w:space="0" w:color="auto"/>
                <w:right w:val="none" w:sz="0" w:space="0" w:color="auto"/>
              </w:divBdr>
              <w:divsChild>
                <w:div w:id="4416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2688">
          <w:marLeft w:val="0"/>
          <w:marRight w:val="0"/>
          <w:marTop w:val="0"/>
          <w:marBottom w:val="150"/>
          <w:divBdr>
            <w:top w:val="none" w:sz="0" w:space="0" w:color="auto"/>
            <w:left w:val="none" w:sz="0" w:space="0" w:color="auto"/>
            <w:bottom w:val="none" w:sz="0" w:space="0" w:color="auto"/>
            <w:right w:val="none" w:sz="0" w:space="0" w:color="auto"/>
          </w:divBdr>
        </w:div>
        <w:div w:id="1453205525">
          <w:marLeft w:val="0"/>
          <w:marRight w:val="0"/>
          <w:marTop w:val="0"/>
          <w:marBottom w:val="0"/>
          <w:divBdr>
            <w:top w:val="none" w:sz="0" w:space="0" w:color="auto"/>
            <w:left w:val="none" w:sz="0" w:space="0" w:color="auto"/>
            <w:bottom w:val="none" w:sz="0" w:space="0" w:color="auto"/>
            <w:right w:val="none" w:sz="0" w:space="0" w:color="auto"/>
          </w:divBdr>
          <w:divsChild>
            <w:div w:id="18701023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11682678">
      <w:bodyDiv w:val="1"/>
      <w:marLeft w:val="0"/>
      <w:marRight w:val="0"/>
      <w:marTop w:val="0"/>
      <w:marBottom w:val="0"/>
      <w:divBdr>
        <w:top w:val="none" w:sz="0" w:space="0" w:color="auto"/>
        <w:left w:val="none" w:sz="0" w:space="0" w:color="auto"/>
        <w:bottom w:val="none" w:sz="0" w:space="0" w:color="auto"/>
        <w:right w:val="none" w:sz="0" w:space="0" w:color="auto"/>
      </w:divBdr>
      <w:divsChild>
        <w:div w:id="1062874537">
          <w:marLeft w:val="0"/>
          <w:marRight w:val="0"/>
          <w:marTop w:val="0"/>
          <w:marBottom w:val="0"/>
          <w:divBdr>
            <w:top w:val="none" w:sz="0" w:space="0" w:color="auto"/>
            <w:left w:val="none" w:sz="0" w:space="0" w:color="auto"/>
            <w:bottom w:val="dotted" w:sz="6" w:space="4" w:color="DDDDDD"/>
            <w:right w:val="none" w:sz="0" w:space="0" w:color="auto"/>
          </w:divBdr>
        </w:div>
      </w:divsChild>
    </w:div>
    <w:div w:id="1011838102">
      <w:bodyDiv w:val="1"/>
      <w:marLeft w:val="0"/>
      <w:marRight w:val="0"/>
      <w:marTop w:val="0"/>
      <w:marBottom w:val="0"/>
      <w:divBdr>
        <w:top w:val="none" w:sz="0" w:space="0" w:color="auto"/>
        <w:left w:val="none" w:sz="0" w:space="0" w:color="auto"/>
        <w:bottom w:val="none" w:sz="0" w:space="0" w:color="auto"/>
        <w:right w:val="none" w:sz="0" w:space="0" w:color="auto"/>
      </w:divBdr>
      <w:divsChild>
        <w:div w:id="164327635">
          <w:marLeft w:val="0"/>
          <w:marRight w:val="0"/>
          <w:marTop w:val="0"/>
          <w:marBottom w:val="150"/>
          <w:divBdr>
            <w:top w:val="none" w:sz="0" w:space="0" w:color="auto"/>
            <w:left w:val="none" w:sz="0" w:space="0" w:color="auto"/>
            <w:bottom w:val="none" w:sz="0" w:space="0" w:color="auto"/>
            <w:right w:val="none" w:sz="0" w:space="0" w:color="auto"/>
          </w:divBdr>
        </w:div>
      </w:divsChild>
    </w:div>
    <w:div w:id="1012414960">
      <w:bodyDiv w:val="1"/>
      <w:marLeft w:val="0"/>
      <w:marRight w:val="0"/>
      <w:marTop w:val="0"/>
      <w:marBottom w:val="0"/>
      <w:divBdr>
        <w:top w:val="none" w:sz="0" w:space="0" w:color="auto"/>
        <w:left w:val="none" w:sz="0" w:space="0" w:color="auto"/>
        <w:bottom w:val="none" w:sz="0" w:space="0" w:color="auto"/>
        <w:right w:val="none" w:sz="0" w:space="0" w:color="auto"/>
      </w:divBdr>
      <w:divsChild>
        <w:div w:id="960767761">
          <w:marLeft w:val="0"/>
          <w:marRight w:val="0"/>
          <w:marTop w:val="0"/>
          <w:marBottom w:val="150"/>
          <w:divBdr>
            <w:top w:val="none" w:sz="0" w:space="0" w:color="auto"/>
            <w:left w:val="none" w:sz="0" w:space="0" w:color="auto"/>
            <w:bottom w:val="none" w:sz="0" w:space="0" w:color="auto"/>
            <w:right w:val="none" w:sz="0" w:space="0" w:color="auto"/>
          </w:divBdr>
        </w:div>
      </w:divsChild>
    </w:div>
    <w:div w:id="1012729286">
      <w:bodyDiv w:val="1"/>
      <w:marLeft w:val="0"/>
      <w:marRight w:val="0"/>
      <w:marTop w:val="0"/>
      <w:marBottom w:val="0"/>
      <w:divBdr>
        <w:top w:val="none" w:sz="0" w:space="0" w:color="auto"/>
        <w:left w:val="none" w:sz="0" w:space="0" w:color="auto"/>
        <w:bottom w:val="none" w:sz="0" w:space="0" w:color="auto"/>
        <w:right w:val="none" w:sz="0" w:space="0" w:color="auto"/>
      </w:divBdr>
      <w:divsChild>
        <w:div w:id="685254457">
          <w:marLeft w:val="0"/>
          <w:marRight w:val="0"/>
          <w:marTop w:val="0"/>
          <w:marBottom w:val="0"/>
          <w:divBdr>
            <w:top w:val="none" w:sz="0" w:space="0" w:color="auto"/>
            <w:left w:val="none" w:sz="0" w:space="0" w:color="auto"/>
            <w:bottom w:val="none" w:sz="0" w:space="0" w:color="auto"/>
            <w:right w:val="none" w:sz="0" w:space="0" w:color="auto"/>
          </w:divBdr>
          <w:divsChild>
            <w:div w:id="1981184039">
              <w:marLeft w:val="0"/>
              <w:marRight w:val="0"/>
              <w:marTop w:val="0"/>
              <w:marBottom w:val="0"/>
              <w:divBdr>
                <w:top w:val="none" w:sz="0" w:space="0" w:color="auto"/>
                <w:left w:val="none" w:sz="0" w:space="0" w:color="auto"/>
                <w:bottom w:val="none" w:sz="0" w:space="0" w:color="auto"/>
                <w:right w:val="none" w:sz="0" w:space="0" w:color="auto"/>
              </w:divBdr>
              <w:divsChild>
                <w:div w:id="435488842">
                  <w:marLeft w:val="0"/>
                  <w:marRight w:val="0"/>
                  <w:marTop w:val="0"/>
                  <w:marBottom w:val="0"/>
                  <w:divBdr>
                    <w:top w:val="none" w:sz="0" w:space="0" w:color="auto"/>
                    <w:left w:val="none" w:sz="0" w:space="0" w:color="auto"/>
                    <w:bottom w:val="none" w:sz="0" w:space="0" w:color="auto"/>
                    <w:right w:val="none" w:sz="0" w:space="0" w:color="auto"/>
                  </w:divBdr>
                  <w:divsChild>
                    <w:div w:id="774329344">
                      <w:marLeft w:val="0"/>
                      <w:marRight w:val="0"/>
                      <w:marTop w:val="0"/>
                      <w:marBottom w:val="0"/>
                      <w:divBdr>
                        <w:top w:val="none" w:sz="0" w:space="0" w:color="auto"/>
                        <w:left w:val="none" w:sz="0" w:space="0" w:color="auto"/>
                        <w:bottom w:val="none" w:sz="0" w:space="0" w:color="auto"/>
                        <w:right w:val="none" w:sz="0" w:space="0" w:color="auto"/>
                      </w:divBdr>
                      <w:divsChild>
                        <w:div w:id="2140756696">
                          <w:marLeft w:val="0"/>
                          <w:marRight w:val="0"/>
                          <w:marTop w:val="0"/>
                          <w:marBottom w:val="0"/>
                          <w:divBdr>
                            <w:top w:val="none" w:sz="0" w:space="0" w:color="auto"/>
                            <w:left w:val="none" w:sz="0" w:space="0" w:color="auto"/>
                            <w:bottom w:val="none" w:sz="0" w:space="0" w:color="auto"/>
                            <w:right w:val="none" w:sz="0" w:space="0" w:color="auto"/>
                          </w:divBdr>
                          <w:divsChild>
                            <w:div w:id="286476236">
                              <w:marLeft w:val="0"/>
                              <w:marRight w:val="0"/>
                              <w:marTop w:val="0"/>
                              <w:marBottom w:val="0"/>
                              <w:divBdr>
                                <w:top w:val="none" w:sz="0" w:space="0" w:color="auto"/>
                                <w:left w:val="none" w:sz="0" w:space="0" w:color="auto"/>
                                <w:bottom w:val="none" w:sz="0" w:space="0" w:color="auto"/>
                                <w:right w:val="none" w:sz="0" w:space="0" w:color="auto"/>
                              </w:divBdr>
                              <w:divsChild>
                                <w:div w:id="184177160">
                                  <w:marLeft w:val="0"/>
                                  <w:marRight w:val="0"/>
                                  <w:marTop w:val="0"/>
                                  <w:marBottom w:val="0"/>
                                  <w:divBdr>
                                    <w:top w:val="none" w:sz="0" w:space="0" w:color="auto"/>
                                    <w:left w:val="none" w:sz="0" w:space="0" w:color="auto"/>
                                    <w:bottom w:val="none" w:sz="0" w:space="0" w:color="auto"/>
                                    <w:right w:val="none" w:sz="0" w:space="0" w:color="auto"/>
                                  </w:divBdr>
                                  <w:divsChild>
                                    <w:div w:id="123997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2948682">
      <w:bodyDiv w:val="1"/>
      <w:marLeft w:val="0"/>
      <w:marRight w:val="0"/>
      <w:marTop w:val="0"/>
      <w:marBottom w:val="0"/>
      <w:divBdr>
        <w:top w:val="none" w:sz="0" w:space="0" w:color="auto"/>
        <w:left w:val="none" w:sz="0" w:space="0" w:color="auto"/>
        <w:bottom w:val="none" w:sz="0" w:space="0" w:color="auto"/>
        <w:right w:val="none" w:sz="0" w:space="0" w:color="auto"/>
      </w:divBdr>
    </w:div>
    <w:div w:id="1013915205">
      <w:bodyDiv w:val="1"/>
      <w:marLeft w:val="0"/>
      <w:marRight w:val="0"/>
      <w:marTop w:val="0"/>
      <w:marBottom w:val="0"/>
      <w:divBdr>
        <w:top w:val="none" w:sz="0" w:space="0" w:color="auto"/>
        <w:left w:val="none" w:sz="0" w:space="0" w:color="auto"/>
        <w:bottom w:val="none" w:sz="0" w:space="0" w:color="auto"/>
        <w:right w:val="none" w:sz="0" w:space="0" w:color="auto"/>
      </w:divBdr>
      <w:divsChild>
        <w:div w:id="758714744">
          <w:marLeft w:val="0"/>
          <w:marRight w:val="0"/>
          <w:marTop w:val="0"/>
          <w:marBottom w:val="0"/>
          <w:divBdr>
            <w:top w:val="none" w:sz="0" w:space="0" w:color="auto"/>
            <w:left w:val="none" w:sz="0" w:space="0" w:color="auto"/>
            <w:bottom w:val="none" w:sz="0" w:space="0" w:color="auto"/>
            <w:right w:val="none" w:sz="0" w:space="0" w:color="auto"/>
          </w:divBdr>
          <w:divsChild>
            <w:div w:id="1138647909">
              <w:marLeft w:val="0"/>
              <w:marRight w:val="0"/>
              <w:marTop w:val="0"/>
              <w:marBottom w:val="0"/>
              <w:divBdr>
                <w:top w:val="none" w:sz="0" w:space="0" w:color="auto"/>
                <w:left w:val="none" w:sz="0" w:space="0" w:color="auto"/>
                <w:bottom w:val="none" w:sz="0" w:space="0" w:color="auto"/>
                <w:right w:val="none" w:sz="0" w:space="0" w:color="auto"/>
              </w:divBdr>
              <w:divsChild>
                <w:div w:id="2050185811">
                  <w:marLeft w:val="0"/>
                  <w:marRight w:val="0"/>
                  <w:marTop w:val="0"/>
                  <w:marBottom w:val="0"/>
                  <w:divBdr>
                    <w:top w:val="none" w:sz="0" w:space="0" w:color="auto"/>
                    <w:left w:val="none" w:sz="0" w:space="0" w:color="auto"/>
                    <w:bottom w:val="none" w:sz="0" w:space="0" w:color="auto"/>
                    <w:right w:val="none" w:sz="0" w:space="0" w:color="auto"/>
                  </w:divBdr>
                  <w:divsChild>
                    <w:div w:id="400491960">
                      <w:marLeft w:val="0"/>
                      <w:marRight w:val="0"/>
                      <w:marTop w:val="0"/>
                      <w:marBottom w:val="0"/>
                      <w:divBdr>
                        <w:top w:val="none" w:sz="0" w:space="0" w:color="auto"/>
                        <w:left w:val="none" w:sz="0" w:space="0" w:color="auto"/>
                        <w:bottom w:val="none" w:sz="0" w:space="0" w:color="auto"/>
                        <w:right w:val="none" w:sz="0" w:space="0" w:color="auto"/>
                      </w:divBdr>
                      <w:divsChild>
                        <w:div w:id="641081467">
                          <w:marLeft w:val="0"/>
                          <w:marRight w:val="0"/>
                          <w:marTop w:val="0"/>
                          <w:marBottom w:val="0"/>
                          <w:divBdr>
                            <w:top w:val="none" w:sz="0" w:space="0" w:color="auto"/>
                            <w:left w:val="none" w:sz="0" w:space="0" w:color="auto"/>
                            <w:bottom w:val="none" w:sz="0" w:space="0" w:color="auto"/>
                            <w:right w:val="none" w:sz="0" w:space="0" w:color="auto"/>
                          </w:divBdr>
                          <w:divsChild>
                            <w:div w:id="1398210918">
                              <w:marLeft w:val="0"/>
                              <w:marRight w:val="0"/>
                              <w:marTop w:val="0"/>
                              <w:marBottom w:val="0"/>
                              <w:divBdr>
                                <w:top w:val="none" w:sz="0" w:space="0" w:color="auto"/>
                                <w:left w:val="none" w:sz="0" w:space="0" w:color="auto"/>
                                <w:bottom w:val="none" w:sz="0" w:space="0" w:color="auto"/>
                                <w:right w:val="none" w:sz="0" w:space="0" w:color="auto"/>
                              </w:divBdr>
                              <w:divsChild>
                                <w:div w:id="174658734">
                                  <w:marLeft w:val="0"/>
                                  <w:marRight w:val="0"/>
                                  <w:marTop w:val="0"/>
                                  <w:marBottom w:val="0"/>
                                  <w:divBdr>
                                    <w:top w:val="none" w:sz="0" w:space="0" w:color="auto"/>
                                    <w:left w:val="none" w:sz="0" w:space="0" w:color="auto"/>
                                    <w:bottom w:val="none" w:sz="0" w:space="0" w:color="auto"/>
                                    <w:right w:val="none" w:sz="0" w:space="0" w:color="auto"/>
                                  </w:divBdr>
                                  <w:divsChild>
                                    <w:div w:id="202209052">
                                      <w:marLeft w:val="0"/>
                                      <w:marRight w:val="0"/>
                                      <w:marTop w:val="0"/>
                                      <w:marBottom w:val="0"/>
                                      <w:divBdr>
                                        <w:top w:val="none" w:sz="0" w:space="0" w:color="auto"/>
                                        <w:left w:val="none" w:sz="0" w:space="0" w:color="auto"/>
                                        <w:bottom w:val="none" w:sz="0" w:space="0" w:color="auto"/>
                                        <w:right w:val="none" w:sz="0" w:space="0" w:color="auto"/>
                                      </w:divBdr>
                                      <w:divsChild>
                                        <w:div w:id="170000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302906">
      <w:bodyDiv w:val="1"/>
      <w:marLeft w:val="0"/>
      <w:marRight w:val="0"/>
      <w:marTop w:val="0"/>
      <w:marBottom w:val="0"/>
      <w:divBdr>
        <w:top w:val="none" w:sz="0" w:space="0" w:color="auto"/>
        <w:left w:val="none" w:sz="0" w:space="0" w:color="auto"/>
        <w:bottom w:val="none" w:sz="0" w:space="0" w:color="auto"/>
        <w:right w:val="none" w:sz="0" w:space="0" w:color="auto"/>
      </w:divBdr>
      <w:divsChild>
        <w:div w:id="798114555">
          <w:marLeft w:val="0"/>
          <w:marRight w:val="0"/>
          <w:marTop w:val="0"/>
          <w:marBottom w:val="0"/>
          <w:divBdr>
            <w:top w:val="none" w:sz="0" w:space="0" w:color="auto"/>
            <w:left w:val="none" w:sz="0" w:space="0" w:color="auto"/>
            <w:bottom w:val="dotted" w:sz="6" w:space="4" w:color="DDDDDD"/>
            <w:right w:val="none" w:sz="0" w:space="0" w:color="auto"/>
          </w:divBdr>
          <w:divsChild>
            <w:div w:id="186031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378651">
      <w:bodyDiv w:val="1"/>
      <w:marLeft w:val="0"/>
      <w:marRight w:val="0"/>
      <w:marTop w:val="0"/>
      <w:marBottom w:val="0"/>
      <w:divBdr>
        <w:top w:val="none" w:sz="0" w:space="0" w:color="auto"/>
        <w:left w:val="none" w:sz="0" w:space="0" w:color="auto"/>
        <w:bottom w:val="none" w:sz="0" w:space="0" w:color="auto"/>
        <w:right w:val="none" w:sz="0" w:space="0" w:color="auto"/>
      </w:divBdr>
      <w:divsChild>
        <w:div w:id="370764072">
          <w:marLeft w:val="0"/>
          <w:marRight w:val="0"/>
          <w:marTop w:val="0"/>
          <w:marBottom w:val="150"/>
          <w:divBdr>
            <w:top w:val="none" w:sz="0" w:space="0" w:color="auto"/>
            <w:left w:val="none" w:sz="0" w:space="0" w:color="auto"/>
            <w:bottom w:val="none" w:sz="0" w:space="0" w:color="auto"/>
            <w:right w:val="none" w:sz="0" w:space="0" w:color="auto"/>
          </w:divBdr>
        </w:div>
        <w:div w:id="2133089744">
          <w:marLeft w:val="0"/>
          <w:marRight w:val="0"/>
          <w:marTop w:val="0"/>
          <w:marBottom w:val="150"/>
          <w:divBdr>
            <w:top w:val="none" w:sz="0" w:space="0" w:color="auto"/>
            <w:left w:val="none" w:sz="0" w:space="0" w:color="auto"/>
            <w:bottom w:val="none" w:sz="0" w:space="0" w:color="auto"/>
            <w:right w:val="none" w:sz="0" w:space="0" w:color="auto"/>
          </w:divBdr>
          <w:divsChild>
            <w:div w:id="90060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454798">
      <w:bodyDiv w:val="1"/>
      <w:marLeft w:val="0"/>
      <w:marRight w:val="0"/>
      <w:marTop w:val="0"/>
      <w:marBottom w:val="0"/>
      <w:divBdr>
        <w:top w:val="none" w:sz="0" w:space="0" w:color="auto"/>
        <w:left w:val="none" w:sz="0" w:space="0" w:color="auto"/>
        <w:bottom w:val="none" w:sz="0" w:space="0" w:color="auto"/>
        <w:right w:val="none" w:sz="0" w:space="0" w:color="auto"/>
      </w:divBdr>
      <w:divsChild>
        <w:div w:id="163984623">
          <w:marLeft w:val="0"/>
          <w:marRight w:val="0"/>
          <w:marTop w:val="0"/>
          <w:marBottom w:val="150"/>
          <w:divBdr>
            <w:top w:val="none" w:sz="0" w:space="0" w:color="auto"/>
            <w:left w:val="none" w:sz="0" w:space="0" w:color="auto"/>
            <w:bottom w:val="none" w:sz="0" w:space="0" w:color="auto"/>
            <w:right w:val="none" w:sz="0" w:space="0" w:color="auto"/>
          </w:divBdr>
        </w:div>
      </w:divsChild>
    </w:div>
    <w:div w:id="1015228167">
      <w:bodyDiv w:val="1"/>
      <w:marLeft w:val="0"/>
      <w:marRight w:val="0"/>
      <w:marTop w:val="0"/>
      <w:marBottom w:val="0"/>
      <w:divBdr>
        <w:top w:val="none" w:sz="0" w:space="0" w:color="auto"/>
        <w:left w:val="none" w:sz="0" w:space="0" w:color="auto"/>
        <w:bottom w:val="none" w:sz="0" w:space="0" w:color="auto"/>
        <w:right w:val="none" w:sz="0" w:space="0" w:color="auto"/>
      </w:divBdr>
      <w:divsChild>
        <w:div w:id="1667787178">
          <w:marLeft w:val="0"/>
          <w:marRight w:val="0"/>
          <w:marTop w:val="0"/>
          <w:marBottom w:val="0"/>
          <w:divBdr>
            <w:top w:val="none" w:sz="0" w:space="0" w:color="auto"/>
            <w:left w:val="none" w:sz="0" w:space="0" w:color="auto"/>
            <w:bottom w:val="none" w:sz="0" w:space="0" w:color="auto"/>
            <w:right w:val="none" w:sz="0" w:space="0" w:color="auto"/>
          </w:divBdr>
          <w:divsChild>
            <w:div w:id="90888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308949">
      <w:bodyDiv w:val="1"/>
      <w:marLeft w:val="0"/>
      <w:marRight w:val="0"/>
      <w:marTop w:val="0"/>
      <w:marBottom w:val="0"/>
      <w:divBdr>
        <w:top w:val="none" w:sz="0" w:space="0" w:color="auto"/>
        <w:left w:val="none" w:sz="0" w:space="0" w:color="auto"/>
        <w:bottom w:val="none" w:sz="0" w:space="0" w:color="auto"/>
        <w:right w:val="none" w:sz="0" w:space="0" w:color="auto"/>
      </w:divBdr>
      <w:divsChild>
        <w:div w:id="335815219">
          <w:marLeft w:val="0"/>
          <w:marRight w:val="0"/>
          <w:marTop w:val="0"/>
          <w:marBottom w:val="75"/>
          <w:divBdr>
            <w:top w:val="none" w:sz="0" w:space="0" w:color="auto"/>
            <w:left w:val="none" w:sz="0" w:space="0" w:color="auto"/>
            <w:bottom w:val="none" w:sz="0" w:space="0" w:color="auto"/>
            <w:right w:val="none" w:sz="0" w:space="0" w:color="auto"/>
          </w:divBdr>
        </w:div>
        <w:div w:id="1250693790">
          <w:marLeft w:val="0"/>
          <w:marRight w:val="0"/>
          <w:marTop w:val="0"/>
          <w:marBottom w:val="0"/>
          <w:divBdr>
            <w:top w:val="none" w:sz="0" w:space="0" w:color="auto"/>
            <w:left w:val="none" w:sz="0" w:space="0" w:color="auto"/>
            <w:bottom w:val="none" w:sz="0" w:space="0" w:color="auto"/>
            <w:right w:val="none" w:sz="0" w:space="0" w:color="auto"/>
          </w:divBdr>
        </w:div>
        <w:div w:id="1535535268">
          <w:marLeft w:val="0"/>
          <w:marRight w:val="0"/>
          <w:marTop w:val="0"/>
          <w:marBottom w:val="0"/>
          <w:divBdr>
            <w:top w:val="none" w:sz="0" w:space="0" w:color="auto"/>
            <w:left w:val="none" w:sz="0" w:space="0" w:color="auto"/>
            <w:bottom w:val="none" w:sz="0" w:space="0" w:color="auto"/>
            <w:right w:val="none" w:sz="0" w:space="0" w:color="auto"/>
          </w:divBdr>
          <w:divsChild>
            <w:div w:id="210189185">
              <w:marLeft w:val="0"/>
              <w:marRight w:val="0"/>
              <w:marTop w:val="0"/>
              <w:marBottom w:val="0"/>
              <w:divBdr>
                <w:top w:val="none" w:sz="0" w:space="0" w:color="auto"/>
                <w:left w:val="none" w:sz="0" w:space="0" w:color="auto"/>
                <w:bottom w:val="none" w:sz="0" w:space="0" w:color="auto"/>
                <w:right w:val="none" w:sz="0" w:space="0" w:color="auto"/>
              </w:divBdr>
              <w:divsChild>
                <w:div w:id="7374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39780">
          <w:marLeft w:val="0"/>
          <w:marRight w:val="0"/>
          <w:marTop w:val="0"/>
          <w:marBottom w:val="300"/>
          <w:divBdr>
            <w:top w:val="none" w:sz="0" w:space="0" w:color="auto"/>
            <w:left w:val="none" w:sz="0" w:space="0" w:color="auto"/>
            <w:bottom w:val="none" w:sz="0" w:space="0" w:color="auto"/>
            <w:right w:val="none" w:sz="0" w:space="0" w:color="auto"/>
          </w:divBdr>
          <w:divsChild>
            <w:div w:id="23555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616561">
      <w:bodyDiv w:val="1"/>
      <w:marLeft w:val="0"/>
      <w:marRight w:val="0"/>
      <w:marTop w:val="0"/>
      <w:marBottom w:val="0"/>
      <w:divBdr>
        <w:top w:val="none" w:sz="0" w:space="0" w:color="auto"/>
        <w:left w:val="none" w:sz="0" w:space="0" w:color="auto"/>
        <w:bottom w:val="none" w:sz="0" w:space="0" w:color="auto"/>
        <w:right w:val="none" w:sz="0" w:space="0" w:color="auto"/>
      </w:divBdr>
    </w:div>
    <w:div w:id="1015809905">
      <w:bodyDiv w:val="1"/>
      <w:marLeft w:val="0"/>
      <w:marRight w:val="0"/>
      <w:marTop w:val="0"/>
      <w:marBottom w:val="0"/>
      <w:divBdr>
        <w:top w:val="none" w:sz="0" w:space="0" w:color="auto"/>
        <w:left w:val="none" w:sz="0" w:space="0" w:color="auto"/>
        <w:bottom w:val="none" w:sz="0" w:space="0" w:color="auto"/>
        <w:right w:val="none" w:sz="0" w:space="0" w:color="auto"/>
      </w:divBdr>
      <w:divsChild>
        <w:div w:id="1299726326">
          <w:marLeft w:val="0"/>
          <w:marRight w:val="0"/>
          <w:marTop w:val="0"/>
          <w:marBottom w:val="0"/>
          <w:divBdr>
            <w:top w:val="none" w:sz="0" w:space="0" w:color="auto"/>
            <w:left w:val="none" w:sz="0" w:space="0" w:color="auto"/>
            <w:bottom w:val="none" w:sz="0" w:space="0" w:color="auto"/>
            <w:right w:val="none" w:sz="0" w:space="0" w:color="auto"/>
          </w:divBdr>
          <w:divsChild>
            <w:div w:id="897201955">
              <w:marLeft w:val="0"/>
              <w:marRight w:val="0"/>
              <w:marTop w:val="0"/>
              <w:marBottom w:val="0"/>
              <w:divBdr>
                <w:top w:val="none" w:sz="0" w:space="0" w:color="auto"/>
                <w:left w:val="none" w:sz="0" w:space="0" w:color="auto"/>
                <w:bottom w:val="none" w:sz="0" w:space="0" w:color="auto"/>
                <w:right w:val="none" w:sz="0" w:space="0" w:color="auto"/>
              </w:divBdr>
              <w:divsChild>
                <w:div w:id="142010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417221">
          <w:marLeft w:val="0"/>
          <w:marRight w:val="0"/>
          <w:marTop w:val="0"/>
          <w:marBottom w:val="75"/>
          <w:divBdr>
            <w:top w:val="none" w:sz="0" w:space="0" w:color="auto"/>
            <w:left w:val="none" w:sz="0" w:space="0" w:color="auto"/>
            <w:bottom w:val="none" w:sz="0" w:space="0" w:color="auto"/>
            <w:right w:val="none" w:sz="0" w:space="0" w:color="auto"/>
          </w:divBdr>
        </w:div>
        <w:div w:id="1487940286">
          <w:marLeft w:val="0"/>
          <w:marRight w:val="0"/>
          <w:marTop w:val="0"/>
          <w:marBottom w:val="300"/>
          <w:divBdr>
            <w:top w:val="none" w:sz="0" w:space="0" w:color="auto"/>
            <w:left w:val="none" w:sz="0" w:space="0" w:color="auto"/>
            <w:bottom w:val="none" w:sz="0" w:space="0" w:color="auto"/>
            <w:right w:val="none" w:sz="0" w:space="0" w:color="auto"/>
          </w:divBdr>
          <w:divsChild>
            <w:div w:id="38090985">
              <w:marLeft w:val="0"/>
              <w:marRight w:val="0"/>
              <w:marTop w:val="0"/>
              <w:marBottom w:val="0"/>
              <w:divBdr>
                <w:top w:val="none" w:sz="0" w:space="0" w:color="auto"/>
                <w:left w:val="none" w:sz="0" w:space="0" w:color="auto"/>
                <w:bottom w:val="none" w:sz="0" w:space="0" w:color="auto"/>
                <w:right w:val="none" w:sz="0" w:space="0" w:color="auto"/>
              </w:divBdr>
            </w:div>
          </w:divsChild>
        </w:div>
        <w:div w:id="1312296295">
          <w:marLeft w:val="0"/>
          <w:marRight w:val="0"/>
          <w:marTop w:val="0"/>
          <w:marBottom w:val="0"/>
          <w:divBdr>
            <w:top w:val="none" w:sz="0" w:space="0" w:color="auto"/>
            <w:left w:val="none" w:sz="0" w:space="0" w:color="auto"/>
            <w:bottom w:val="none" w:sz="0" w:space="0" w:color="auto"/>
            <w:right w:val="none" w:sz="0" w:space="0" w:color="auto"/>
          </w:divBdr>
        </w:div>
      </w:divsChild>
    </w:div>
    <w:div w:id="1015884508">
      <w:bodyDiv w:val="1"/>
      <w:marLeft w:val="0"/>
      <w:marRight w:val="0"/>
      <w:marTop w:val="0"/>
      <w:marBottom w:val="0"/>
      <w:divBdr>
        <w:top w:val="none" w:sz="0" w:space="0" w:color="auto"/>
        <w:left w:val="none" w:sz="0" w:space="0" w:color="auto"/>
        <w:bottom w:val="none" w:sz="0" w:space="0" w:color="auto"/>
        <w:right w:val="none" w:sz="0" w:space="0" w:color="auto"/>
      </w:divBdr>
      <w:divsChild>
        <w:div w:id="209457778">
          <w:marLeft w:val="0"/>
          <w:marRight w:val="0"/>
          <w:marTop w:val="0"/>
          <w:marBottom w:val="0"/>
          <w:divBdr>
            <w:top w:val="none" w:sz="0" w:space="0" w:color="auto"/>
            <w:left w:val="none" w:sz="0" w:space="0" w:color="auto"/>
            <w:bottom w:val="dotted" w:sz="6" w:space="4" w:color="DDDDDD"/>
            <w:right w:val="none" w:sz="0" w:space="0" w:color="auto"/>
          </w:divBdr>
          <w:divsChild>
            <w:div w:id="198142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36802">
      <w:bodyDiv w:val="1"/>
      <w:marLeft w:val="0"/>
      <w:marRight w:val="0"/>
      <w:marTop w:val="0"/>
      <w:marBottom w:val="0"/>
      <w:divBdr>
        <w:top w:val="none" w:sz="0" w:space="0" w:color="auto"/>
        <w:left w:val="none" w:sz="0" w:space="0" w:color="auto"/>
        <w:bottom w:val="none" w:sz="0" w:space="0" w:color="auto"/>
        <w:right w:val="none" w:sz="0" w:space="0" w:color="auto"/>
      </w:divBdr>
      <w:divsChild>
        <w:div w:id="408158787">
          <w:marLeft w:val="0"/>
          <w:marRight w:val="0"/>
          <w:marTop w:val="0"/>
          <w:marBottom w:val="0"/>
          <w:divBdr>
            <w:top w:val="none" w:sz="0" w:space="0" w:color="auto"/>
            <w:left w:val="none" w:sz="0" w:space="0" w:color="auto"/>
            <w:bottom w:val="none" w:sz="0" w:space="0" w:color="auto"/>
            <w:right w:val="none" w:sz="0" w:space="0" w:color="auto"/>
          </w:divBdr>
          <w:divsChild>
            <w:div w:id="1022244368">
              <w:marLeft w:val="0"/>
              <w:marRight w:val="0"/>
              <w:marTop w:val="0"/>
              <w:marBottom w:val="0"/>
              <w:divBdr>
                <w:top w:val="none" w:sz="0" w:space="0" w:color="auto"/>
                <w:left w:val="none" w:sz="0" w:space="0" w:color="auto"/>
                <w:bottom w:val="none" w:sz="0" w:space="0" w:color="auto"/>
                <w:right w:val="none" w:sz="0" w:space="0" w:color="auto"/>
              </w:divBdr>
              <w:divsChild>
                <w:div w:id="118825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786172">
          <w:marLeft w:val="0"/>
          <w:marRight w:val="0"/>
          <w:marTop w:val="0"/>
          <w:marBottom w:val="0"/>
          <w:divBdr>
            <w:top w:val="none" w:sz="0" w:space="0" w:color="auto"/>
            <w:left w:val="none" w:sz="0" w:space="0" w:color="auto"/>
            <w:bottom w:val="none" w:sz="0" w:space="0" w:color="auto"/>
            <w:right w:val="none" w:sz="0" w:space="0" w:color="auto"/>
          </w:divBdr>
          <w:divsChild>
            <w:div w:id="5543879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16469110">
      <w:bodyDiv w:val="1"/>
      <w:marLeft w:val="0"/>
      <w:marRight w:val="0"/>
      <w:marTop w:val="0"/>
      <w:marBottom w:val="0"/>
      <w:divBdr>
        <w:top w:val="none" w:sz="0" w:space="0" w:color="auto"/>
        <w:left w:val="none" w:sz="0" w:space="0" w:color="auto"/>
        <w:bottom w:val="none" w:sz="0" w:space="0" w:color="auto"/>
        <w:right w:val="none" w:sz="0" w:space="0" w:color="auto"/>
      </w:divBdr>
    </w:div>
    <w:div w:id="1016687807">
      <w:bodyDiv w:val="1"/>
      <w:marLeft w:val="0"/>
      <w:marRight w:val="0"/>
      <w:marTop w:val="0"/>
      <w:marBottom w:val="0"/>
      <w:divBdr>
        <w:top w:val="none" w:sz="0" w:space="0" w:color="auto"/>
        <w:left w:val="none" w:sz="0" w:space="0" w:color="auto"/>
        <w:bottom w:val="none" w:sz="0" w:space="0" w:color="auto"/>
        <w:right w:val="none" w:sz="0" w:space="0" w:color="auto"/>
      </w:divBdr>
      <w:divsChild>
        <w:div w:id="1206677585">
          <w:marLeft w:val="0"/>
          <w:marRight w:val="0"/>
          <w:marTop w:val="0"/>
          <w:marBottom w:val="150"/>
          <w:divBdr>
            <w:top w:val="none" w:sz="0" w:space="0" w:color="auto"/>
            <w:left w:val="none" w:sz="0" w:space="0" w:color="auto"/>
            <w:bottom w:val="none" w:sz="0" w:space="0" w:color="auto"/>
            <w:right w:val="none" w:sz="0" w:space="0" w:color="auto"/>
          </w:divBdr>
          <w:divsChild>
            <w:div w:id="1263798551">
              <w:marLeft w:val="0"/>
              <w:marRight w:val="0"/>
              <w:marTop w:val="0"/>
              <w:marBottom w:val="0"/>
              <w:divBdr>
                <w:top w:val="none" w:sz="0" w:space="0" w:color="auto"/>
                <w:left w:val="none" w:sz="0" w:space="0" w:color="auto"/>
                <w:bottom w:val="none" w:sz="0" w:space="0" w:color="auto"/>
                <w:right w:val="none" w:sz="0" w:space="0" w:color="auto"/>
              </w:divBdr>
              <w:divsChild>
                <w:div w:id="1944923468">
                  <w:marLeft w:val="0"/>
                  <w:marRight w:val="0"/>
                  <w:marTop w:val="0"/>
                  <w:marBottom w:val="0"/>
                  <w:divBdr>
                    <w:top w:val="none" w:sz="0" w:space="0" w:color="auto"/>
                    <w:left w:val="none" w:sz="0" w:space="0" w:color="auto"/>
                    <w:bottom w:val="none" w:sz="0" w:space="0" w:color="auto"/>
                    <w:right w:val="none" w:sz="0" w:space="0" w:color="auto"/>
                  </w:divBdr>
                  <w:divsChild>
                    <w:div w:id="767888144">
                      <w:marLeft w:val="0"/>
                      <w:marRight w:val="150"/>
                      <w:marTop w:val="0"/>
                      <w:marBottom w:val="0"/>
                      <w:divBdr>
                        <w:top w:val="none" w:sz="0" w:space="0" w:color="auto"/>
                        <w:left w:val="none" w:sz="0" w:space="0" w:color="auto"/>
                        <w:bottom w:val="none" w:sz="0" w:space="0" w:color="auto"/>
                        <w:right w:val="none" w:sz="0" w:space="0" w:color="auto"/>
                      </w:divBdr>
                      <w:divsChild>
                        <w:div w:id="100200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778282">
          <w:marLeft w:val="0"/>
          <w:marRight w:val="0"/>
          <w:marTop w:val="0"/>
          <w:marBottom w:val="150"/>
          <w:divBdr>
            <w:top w:val="none" w:sz="0" w:space="0" w:color="auto"/>
            <w:left w:val="none" w:sz="0" w:space="0" w:color="auto"/>
            <w:bottom w:val="none" w:sz="0" w:space="0" w:color="auto"/>
            <w:right w:val="none" w:sz="0" w:space="0" w:color="auto"/>
          </w:divBdr>
        </w:div>
        <w:div w:id="1464275227">
          <w:marLeft w:val="0"/>
          <w:marRight w:val="0"/>
          <w:marTop w:val="0"/>
          <w:marBottom w:val="0"/>
          <w:divBdr>
            <w:top w:val="none" w:sz="0" w:space="0" w:color="auto"/>
            <w:left w:val="none" w:sz="0" w:space="0" w:color="auto"/>
            <w:bottom w:val="none" w:sz="0" w:space="0" w:color="auto"/>
            <w:right w:val="none" w:sz="0" w:space="0" w:color="auto"/>
          </w:divBdr>
          <w:divsChild>
            <w:div w:id="826481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16689503">
      <w:bodyDiv w:val="1"/>
      <w:marLeft w:val="0"/>
      <w:marRight w:val="0"/>
      <w:marTop w:val="0"/>
      <w:marBottom w:val="0"/>
      <w:divBdr>
        <w:top w:val="none" w:sz="0" w:space="0" w:color="auto"/>
        <w:left w:val="none" w:sz="0" w:space="0" w:color="auto"/>
        <w:bottom w:val="none" w:sz="0" w:space="0" w:color="auto"/>
        <w:right w:val="none" w:sz="0" w:space="0" w:color="auto"/>
      </w:divBdr>
      <w:divsChild>
        <w:div w:id="1734692824">
          <w:marLeft w:val="0"/>
          <w:marRight w:val="0"/>
          <w:marTop w:val="0"/>
          <w:marBottom w:val="0"/>
          <w:divBdr>
            <w:top w:val="none" w:sz="0" w:space="0" w:color="auto"/>
            <w:left w:val="none" w:sz="0" w:space="0" w:color="auto"/>
            <w:bottom w:val="none" w:sz="0" w:space="0" w:color="auto"/>
            <w:right w:val="none" w:sz="0" w:space="0" w:color="auto"/>
          </w:divBdr>
        </w:div>
      </w:divsChild>
    </w:div>
    <w:div w:id="1017077454">
      <w:bodyDiv w:val="1"/>
      <w:marLeft w:val="0"/>
      <w:marRight w:val="0"/>
      <w:marTop w:val="0"/>
      <w:marBottom w:val="0"/>
      <w:divBdr>
        <w:top w:val="none" w:sz="0" w:space="0" w:color="auto"/>
        <w:left w:val="none" w:sz="0" w:space="0" w:color="auto"/>
        <w:bottom w:val="none" w:sz="0" w:space="0" w:color="auto"/>
        <w:right w:val="none" w:sz="0" w:space="0" w:color="auto"/>
      </w:divBdr>
      <w:divsChild>
        <w:div w:id="147597757">
          <w:marLeft w:val="0"/>
          <w:marRight w:val="0"/>
          <w:marTop w:val="0"/>
          <w:marBottom w:val="0"/>
          <w:divBdr>
            <w:top w:val="none" w:sz="0" w:space="0" w:color="auto"/>
            <w:left w:val="none" w:sz="0" w:space="0" w:color="auto"/>
            <w:bottom w:val="none" w:sz="0" w:space="0" w:color="auto"/>
            <w:right w:val="none" w:sz="0" w:space="0" w:color="auto"/>
          </w:divBdr>
        </w:div>
      </w:divsChild>
    </w:div>
    <w:div w:id="1017121834">
      <w:bodyDiv w:val="1"/>
      <w:marLeft w:val="0"/>
      <w:marRight w:val="0"/>
      <w:marTop w:val="0"/>
      <w:marBottom w:val="0"/>
      <w:divBdr>
        <w:top w:val="none" w:sz="0" w:space="0" w:color="auto"/>
        <w:left w:val="none" w:sz="0" w:space="0" w:color="auto"/>
        <w:bottom w:val="none" w:sz="0" w:space="0" w:color="auto"/>
        <w:right w:val="none" w:sz="0" w:space="0" w:color="auto"/>
      </w:divBdr>
      <w:divsChild>
        <w:div w:id="538393517">
          <w:marLeft w:val="0"/>
          <w:marRight w:val="0"/>
          <w:marTop w:val="0"/>
          <w:marBottom w:val="450"/>
          <w:divBdr>
            <w:top w:val="none" w:sz="0" w:space="0" w:color="auto"/>
            <w:left w:val="none" w:sz="0" w:space="0" w:color="auto"/>
            <w:bottom w:val="single" w:sz="6" w:space="19" w:color="EEEEEE"/>
            <w:right w:val="none" w:sz="0" w:space="0" w:color="auto"/>
          </w:divBdr>
          <w:divsChild>
            <w:div w:id="1662350021">
              <w:marLeft w:val="0"/>
              <w:marRight w:val="0"/>
              <w:marTop w:val="0"/>
              <w:marBottom w:val="150"/>
              <w:divBdr>
                <w:top w:val="none" w:sz="0" w:space="0" w:color="auto"/>
                <w:left w:val="none" w:sz="0" w:space="0" w:color="auto"/>
                <w:bottom w:val="none" w:sz="0" w:space="0" w:color="auto"/>
                <w:right w:val="none" w:sz="0" w:space="0" w:color="auto"/>
              </w:divBdr>
              <w:divsChild>
                <w:div w:id="1819760692">
                  <w:marLeft w:val="0"/>
                  <w:marRight w:val="0"/>
                  <w:marTop w:val="0"/>
                  <w:marBottom w:val="0"/>
                  <w:divBdr>
                    <w:top w:val="none" w:sz="0" w:space="0" w:color="auto"/>
                    <w:left w:val="none" w:sz="0" w:space="0" w:color="auto"/>
                    <w:bottom w:val="none" w:sz="0" w:space="0" w:color="auto"/>
                    <w:right w:val="none" w:sz="0" w:space="0" w:color="auto"/>
                  </w:divBdr>
                </w:div>
              </w:divsChild>
            </w:div>
            <w:div w:id="367680109">
              <w:marLeft w:val="0"/>
              <w:marRight w:val="0"/>
              <w:marTop w:val="0"/>
              <w:marBottom w:val="0"/>
              <w:divBdr>
                <w:top w:val="none" w:sz="0" w:space="0" w:color="auto"/>
                <w:left w:val="none" w:sz="0" w:space="0" w:color="auto"/>
                <w:bottom w:val="none" w:sz="0" w:space="0" w:color="auto"/>
                <w:right w:val="none" w:sz="0" w:space="0" w:color="auto"/>
              </w:divBdr>
            </w:div>
          </w:divsChild>
        </w:div>
        <w:div w:id="249697263">
          <w:marLeft w:val="0"/>
          <w:marRight w:val="0"/>
          <w:marTop w:val="0"/>
          <w:marBottom w:val="0"/>
          <w:divBdr>
            <w:top w:val="none" w:sz="0" w:space="0" w:color="auto"/>
            <w:left w:val="none" w:sz="0" w:space="0" w:color="auto"/>
            <w:bottom w:val="none" w:sz="0" w:space="0" w:color="auto"/>
            <w:right w:val="none" w:sz="0" w:space="0" w:color="auto"/>
          </w:divBdr>
          <w:divsChild>
            <w:div w:id="1810171224">
              <w:marLeft w:val="0"/>
              <w:marRight w:val="0"/>
              <w:marTop w:val="0"/>
              <w:marBottom w:val="0"/>
              <w:divBdr>
                <w:top w:val="none" w:sz="0" w:space="0" w:color="auto"/>
                <w:left w:val="none" w:sz="0" w:space="0" w:color="auto"/>
                <w:bottom w:val="none" w:sz="0" w:space="0" w:color="auto"/>
                <w:right w:val="none" w:sz="0" w:space="0" w:color="auto"/>
              </w:divBdr>
              <w:divsChild>
                <w:div w:id="43988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393837">
      <w:bodyDiv w:val="1"/>
      <w:marLeft w:val="0"/>
      <w:marRight w:val="0"/>
      <w:marTop w:val="0"/>
      <w:marBottom w:val="0"/>
      <w:divBdr>
        <w:top w:val="none" w:sz="0" w:space="0" w:color="auto"/>
        <w:left w:val="none" w:sz="0" w:space="0" w:color="auto"/>
        <w:bottom w:val="none" w:sz="0" w:space="0" w:color="auto"/>
        <w:right w:val="none" w:sz="0" w:space="0" w:color="auto"/>
      </w:divBdr>
      <w:divsChild>
        <w:div w:id="1464426447">
          <w:marLeft w:val="0"/>
          <w:marRight w:val="0"/>
          <w:marTop w:val="0"/>
          <w:marBottom w:val="0"/>
          <w:divBdr>
            <w:top w:val="none" w:sz="0" w:space="0" w:color="auto"/>
            <w:left w:val="none" w:sz="0" w:space="0" w:color="auto"/>
            <w:bottom w:val="dotted" w:sz="6" w:space="4" w:color="DDDDDD"/>
            <w:right w:val="none" w:sz="0" w:space="0" w:color="auto"/>
          </w:divBdr>
        </w:div>
      </w:divsChild>
    </w:div>
    <w:div w:id="1017469245">
      <w:bodyDiv w:val="1"/>
      <w:marLeft w:val="0"/>
      <w:marRight w:val="0"/>
      <w:marTop w:val="0"/>
      <w:marBottom w:val="0"/>
      <w:divBdr>
        <w:top w:val="none" w:sz="0" w:space="0" w:color="auto"/>
        <w:left w:val="none" w:sz="0" w:space="0" w:color="auto"/>
        <w:bottom w:val="none" w:sz="0" w:space="0" w:color="auto"/>
        <w:right w:val="none" w:sz="0" w:space="0" w:color="auto"/>
      </w:divBdr>
      <w:divsChild>
        <w:div w:id="566451628">
          <w:marLeft w:val="0"/>
          <w:marRight w:val="0"/>
          <w:marTop w:val="0"/>
          <w:marBottom w:val="0"/>
          <w:divBdr>
            <w:top w:val="none" w:sz="0" w:space="0" w:color="auto"/>
            <w:left w:val="none" w:sz="0" w:space="0" w:color="auto"/>
            <w:bottom w:val="dotted" w:sz="6" w:space="4" w:color="DDDDDD"/>
            <w:right w:val="none" w:sz="0" w:space="0" w:color="auto"/>
          </w:divBdr>
          <w:divsChild>
            <w:div w:id="35639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730089">
      <w:bodyDiv w:val="1"/>
      <w:marLeft w:val="0"/>
      <w:marRight w:val="0"/>
      <w:marTop w:val="0"/>
      <w:marBottom w:val="0"/>
      <w:divBdr>
        <w:top w:val="none" w:sz="0" w:space="0" w:color="auto"/>
        <w:left w:val="none" w:sz="0" w:space="0" w:color="auto"/>
        <w:bottom w:val="none" w:sz="0" w:space="0" w:color="auto"/>
        <w:right w:val="none" w:sz="0" w:space="0" w:color="auto"/>
      </w:divBdr>
      <w:divsChild>
        <w:div w:id="350497005">
          <w:marLeft w:val="0"/>
          <w:marRight w:val="0"/>
          <w:marTop w:val="0"/>
          <w:marBottom w:val="150"/>
          <w:divBdr>
            <w:top w:val="none" w:sz="0" w:space="0" w:color="auto"/>
            <w:left w:val="none" w:sz="0" w:space="0" w:color="auto"/>
            <w:bottom w:val="none" w:sz="0" w:space="0" w:color="auto"/>
            <w:right w:val="none" w:sz="0" w:space="0" w:color="auto"/>
          </w:divBdr>
          <w:divsChild>
            <w:div w:id="458884404">
              <w:marLeft w:val="0"/>
              <w:marRight w:val="0"/>
              <w:marTop w:val="0"/>
              <w:marBottom w:val="0"/>
              <w:divBdr>
                <w:top w:val="none" w:sz="0" w:space="0" w:color="auto"/>
                <w:left w:val="none" w:sz="0" w:space="0" w:color="auto"/>
                <w:bottom w:val="none" w:sz="0" w:space="0" w:color="auto"/>
                <w:right w:val="none" w:sz="0" w:space="0" w:color="auto"/>
              </w:divBdr>
            </w:div>
          </w:divsChild>
        </w:div>
        <w:div w:id="394360150">
          <w:marLeft w:val="0"/>
          <w:marRight w:val="0"/>
          <w:marTop w:val="0"/>
          <w:marBottom w:val="150"/>
          <w:divBdr>
            <w:top w:val="none" w:sz="0" w:space="0" w:color="auto"/>
            <w:left w:val="none" w:sz="0" w:space="0" w:color="auto"/>
            <w:bottom w:val="none" w:sz="0" w:space="0" w:color="auto"/>
            <w:right w:val="none" w:sz="0" w:space="0" w:color="auto"/>
          </w:divBdr>
        </w:div>
        <w:div w:id="1144545792">
          <w:marLeft w:val="0"/>
          <w:marRight w:val="0"/>
          <w:marTop w:val="0"/>
          <w:marBottom w:val="0"/>
          <w:divBdr>
            <w:top w:val="none" w:sz="0" w:space="0" w:color="auto"/>
            <w:left w:val="none" w:sz="0" w:space="0" w:color="auto"/>
            <w:bottom w:val="none" w:sz="0" w:space="0" w:color="auto"/>
            <w:right w:val="none" w:sz="0" w:space="0" w:color="auto"/>
          </w:divBdr>
          <w:divsChild>
            <w:div w:id="157011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576956">
      <w:bodyDiv w:val="1"/>
      <w:marLeft w:val="0"/>
      <w:marRight w:val="0"/>
      <w:marTop w:val="0"/>
      <w:marBottom w:val="0"/>
      <w:divBdr>
        <w:top w:val="none" w:sz="0" w:space="0" w:color="auto"/>
        <w:left w:val="none" w:sz="0" w:space="0" w:color="auto"/>
        <w:bottom w:val="none" w:sz="0" w:space="0" w:color="auto"/>
        <w:right w:val="none" w:sz="0" w:space="0" w:color="auto"/>
      </w:divBdr>
    </w:div>
    <w:div w:id="1018627330">
      <w:bodyDiv w:val="1"/>
      <w:marLeft w:val="0"/>
      <w:marRight w:val="0"/>
      <w:marTop w:val="0"/>
      <w:marBottom w:val="0"/>
      <w:divBdr>
        <w:top w:val="none" w:sz="0" w:space="0" w:color="auto"/>
        <w:left w:val="none" w:sz="0" w:space="0" w:color="auto"/>
        <w:bottom w:val="none" w:sz="0" w:space="0" w:color="auto"/>
        <w:right w:val="none" w:sz="0" w:space="0" w:color="auto"/>
      </w:divBdr>
      <w:divsChild>
        <w:div w:id="2086802001">
          <w:marLeft w:val="0"/>
          <w:marRight w:val="0"/>
          <w:marTop w:val="0"/>
          <w:marBottom w:val="0"/>
          <w:divBdr>
            <w:top w:val="none" w:sz="0" w:space="0" w:color="auto"/>
            <w:left w:val="none" w:sz="0" w:space="0" w:color="auto"/>
            <w:bottom w:val="none" w:sz="0" w:space="0" w:color="auto"/>
            <w:right w:val="none" w:sz="0" w:space="0" w:color="auto"/>
          </w:divBdr>
        </w:div>
      </w:divsChild>
    </w:div>
    <w:div w:id="1018845804">
      <w:bodyDiv w:val="1"/>
      <w:marLeft w:val="0"/>
      <w:marRight w:val="0"/>
      <w:marTop w:val="0"/>
      <w:marBottom w:val="0"/>
      <w:divBdr>
        <w:top w:val="none" w:sz="0" w:space="0" w:color="auto"/>
        <w:left w:val="none" w:sz="0" w:space="0" w:color="auto"/>
        <w:bottom w:val="none" w:sz="0" w:space="0" w:color="auto"/>
        <w:right w:val="none" w:sz="0" w:space="0" w:color="auto"/>
      </w:divBdr>
      <w:divsChild>
        <w:div w:id="1660621600">
          <w:marLeft w:val="0"/>
          <w:marRight w:val="0"/>
          <w:marTop w:val="0"/>
          <w:marBottom w:val="150"/>
          <w:divBdr>
            <w:top w:val="none" w:sz="0" w:space="0" w:color="auto"/>
            <w:left w:val="none" w:sz="0" w:space="0" w:color="auto"/>
            <w:bottom w:val="none" w:sz="0" w:space="0" w:color="auto"/>
            <w:right w:val="none" w:sz="0" w:space="0" w:color="auto"/>
          </w:divBdr>
        </w:div>
      </w:divsChild>
    </w:div>
    <w:div w:id="1018892061">
      <w:bodyDiv w:val="1"/>
      <w:marLeft w:val="0"/>
      <w:marRight w:val="0"/>
      <w:marTop w:val="0"/>
      <w:marBottom w:val="0"/>
      <w:divBdr>
        <w:top w:val="none" w:sz="0" w:space="0" w:color="auto"/>
        <w:left w:val="none" w:sz="0" w:space="0" w:color="auto"/>
        <w:bottom w:val="none" w:sz="0" w:space="0" w:color="auto"/>
        <w:right w:val="none" w:sz="0" w:space="0" w:color="auto"/>
      </w:divBdr>
      <w:divsChild>
        <w:div w:id="1627853290">
          <w:marLeft w:val="0"/>
          <w:marRight w:val="0"/>
          <w:marTop w:val="0"/>
          <w:marBottom w:val="0"/>
          <w:divBdr>
            <w:top w:val="none" w:sz="0" w:space="0" w:color="auto"/>
            <w:left w:val="none" w:sz="0" w:space="0" w:color="auto"/>
            <w:bottom w:val="dotted" w:sz="6" w:space="4" w:color="DDDDDD"/>
            <w:right w:val="none" w:sz="0" w:space="0" w:color="auto"/>
          </w:divBdr>
        </w:div>
      </w:divsChild>
    </w:div>
    <w:div w:id="1019240532">
      <w:bodyDiv w:val="1"/>
      <w:marLeft w:val="0"/>
      <w:marRight w:val="0"/>
      <w:marTop w:val="0"/>
      <w:marBottom w:val="0"/>
      <w:divBdr>
        <w:top w:val="none" w:sz="0" w:space="0" w:color="auto"/>
        <w:left w:val="none" w:sz="0" w:space="0" w:color="auto"/>
        <w:bottom w:val="none" w:sz="0" w:space="0" w:color="auto"/>
        <w:right w:val="none" w:sz="0" w:space="0" w:color="auto"/>
      </w:divBdr>
      <w:divsChild>
        <w:div w:id="1333293666">
          <w:marLeft w:val="0"/>
          <w:marRight w:val="0"/>
          <w:marTop w:val="0"/>
          <w:marBottom w:val="0"/>
          <w:divBdr>
            <w:top w:val="none" w:sz="0" w:space="0" w:color="auto"/>
            <w:left w:val="none" w:sz="0" w:space="0" w:color="auto"/>
            <w:bottom w:val="dotted" w:sz="6" w:space="4" w:color="DDDDDD"/>
            <w:right w:val="none" w:sz="0" w:space="0" w:color="auto"/>
          </w:divBdr>
        </w:div>
      </w:divsChild>
    </w:div>
    <w:div w:id="1019357192">
      <w:bodyDiv w:val="1"/>
      <w:marLeft w:val="0"/>
      <w:marRight w:val="0"/>
      <w:marTop w:val="0"/>
      <w:marBottom w:val="0"/>
      <w:divBdr>
        <w:top w:val="none" w:sz="0" w:space="0" w:color="auto"/>
        <w:left w:val="none" w:sz="0" w:space="0" w:color="auto"/>
        <w:bottom w:val="none" w:sz="0" w:space="0" w:color="auto"/>
        <w:right w:val="none" w:sz="0" w:space="0" w:color="auto"/>
      </w:divBdr>
    </w:div>
    <w:div w:id="1019426345">
      <w:bodyDiv w:val="1"/>
      <w:marLeft w:val="0"/>
      <w:marRight w:val="0"/>
      <w:marTop w:val="0"/>
      <w:marBottom w:val="0"/>
      <w:divBdr>
        <w:top w:val="none" w:sz="0" w:space="0" w:color="auto"/>
        <w:left w:val="none" w:sz="0" w:space="0" w:color="auto"/>
        <w:bottom w:val="none" w:sz="0" w:space="0" w:color="auto"/>
        <w:right w:val="none" w:sz="0" w:space="0" w:color="auto"/>
      </w:divBdr>
      <w:divsChild>
        <w:div w:id="1331443847">
          <w:marLeft w:val="0"/>
          <w:marRight w:val="0"/>
          <w:marTop w:val="0"/>
          <w:marBottom w:val="0"/>
          <w:divBdr>
            <w:top w:val="none" w:sz="0" w:space="0" w:color="auto"/>
            <w:left w:val="none" w:sz="0" w:space="0" w:color="auto"/>
            <w:bottom w:val="dotted" w:sz="6" w:space="4" w:color="DDDDDD"/>
            <w:right w:val="none" w:sz="0" w:space="0" w:color="auto"/>
          </w:divBdr>
        </w:div>
      </w:divsChild>
    </w:div>
    <w:div w:id="1019505661">
      <w:bodyDiv w:val="1"/>
      <w:marLeft w:val="0"/>
      <w:marRight w:val="0"/>
      <w:marTop w:val="0"/>
      <w:marBottom w:val="0"/>
      <w:divBdr>
        <w:top w:val="none" w:sz="0" w:space="0" w:color="auto"/>
        <w:left w:val="none" w:sz="0" w:space="0" w:color="auto"/>
        <w:bottom w:val="none" w:sz="0" w:space="0" w:color="auto"/>
        <w:right w:val="none" w:sz="0" w:space="0" w:color="auto"/>
      </w:divBdr>
      <w:divsChild>
        <w:div w:id="1210994491">
          <w:marLeft w:val="0"/>
          <w:marRight w:val="0"/>
          <w:marTop w:val="0"/>
          <w:marBottom w:val="150"/>
          <w:divBdr>
            <w:top w:val="none" w:sz="0" w:space="0" w:color="auto"/>
            <w:left w:val="none" w:sz="0" w:space="0" w:color="auto"/>
            <w:bottom w:val="none" w:sz="0" w:space="0" w:color="auto"/>
            <w:right w:val="none" w:sz="0" w:space="0" w:color="auto"/>
          </w:divBdr>
        </w:div>
      </w:divsChild>
    </w:div>
    <w:div w:id="1020014702">
      <w:bodyDiv w:val="1"/>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dotted" w:sz="6" w:space="4" w:color="DDDDDD"/>
            <w:right w:val="none" w:sz="0" w:space="0" w:color="auto"/>
          </w:divBdr>
          <w:divsChild>
            <w:div w:id="206028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087271">
      <w:bodyDiv w:val="1"/>
      <w:marLeft w:val="0"/>
      <w:marRight w:val="0"/>
      <w:marTop w:val="0"/>
      <w:marBottom w:val="0"/>
      <w:divBdr>
        <w:top w:val="none" w:sz="0" w:space="0" w:color="auto"/>
        <w:left w:val="none" w:sz="0" w:space="0" w:color="auto"/>
        <w:bottom w:val="none" w:sz="0" w:space="0" w:color="auto"/>
        <w:right w:val="none" w:sz="0" w:space="0" w:color="auto"/>
      </w:divBdr>
    </w:div>
    <w:div w:id="1020355566">
      <w:bodyDiv w:val="1"/>
      <w:marLeft w:val="0"/>
      <w:marRight w:val="0"/>
      <w:marTop w:val="0"/>
      <w:marBottom w:val="0"/>
      <w:divBdr>
        <w:top w:val="none" w:sz="0" w:space="0" w:color="auto"/>
        <w:left w:val="none" w:sz="0" w:space="0" w:color="auto"/>
        <w:bottom w:val="none" w:sz="0" w:space="0" w:color="auto"/>
        <w:right w:val="none" w:sz="0" w:space="0" w:color="auto"/>
      </w:divBdr>
      <w:divsChild>
        <w:div w:id="622273784">
          <w:marLeft w:val="0"/>
          <w:marRight w:val="0"/>
          <w:marTop w:val="0"/>
          <w:marBottom w:val="300"/>
          <w:divBdr>
            <w:top w:val="none" w:sz="0" w:space="0" w:color="auto"/>
            <w:left w:val="none" w:sz="0" w:space="0" w:color="auto"/>
            <w:bottom w:val="single" w:sz="6" w:space="0" w:color="E4E4E4"/>
            <w:right w:val="none" w:sz="0" w:space="0" w:color="auto"/>
          </w:divBdr>
        </w:div>
        <w:div w:id="1266229709">
          <w:marLeft w:val="0"/>
          <w:marRight w:val="0"/>
          <w:marTop w:val="0"/>
          <w:marBottom w:val="0"/>
          <w:divBdr>
            <w:top w:val="none" w:sz="0" w:space="0" w:color="auto"/>
            <w:left w:val="none" w:sz="0" w:space="0" w:color="auto"/>
            <w:bottom w:val="none" w:sz="0" w:space="0" w:color="auto"/>
            <w:right w:val="none" w:sz="0" w:space="0" w:color="auto"/>
          </w:divBdr>
          <w:divsChild>
            <w:div w:id="1566640561">
              <w:marLeft w:val="0"/>
              <w:marRight w:val="0"/>
              <w:marTop w:val="0"/>
              <w:marBottom w:val="0"/>
              <w:divBdr>
                <w:top w:val="none" w:sz="0" w:space="0" w:color="auto"/>
                <w:left w:val="none" w:sz="0" w:space="0" w:color="auto"/>
                <w:bottom w:val="none" w:sz="0" w:space="0" w:color="auto"/>
                <w:right w:val="none" w:sz="0" w:space="0" w:color="auto"/>
              </w:divBdr>
              <w:divsChild>
                <w:div w:id="1295670731">
                  <w:marLeft w:val="0"/>
                  <w:marRight w:val="0"/>
                  <w:marTop w:val="0"/>
                  <w:marBottom w:val="450"/>
                  <w:divBdr>
                    <w:top w:val="none" w:sz="0" w:space="0" w:color="auto"/>
                    <w:left w:val="none" w:sz="0" w:space="0" w:color="auto"/>
                    <w:bottom w:val="none" w:sz="0" w:space="0" w:color="auto"/>
                    <w:right w:val="none" w:sz="0" w:space="0" w:color="auto"/>
                  </w:divBdr>
                  <w:divsChild>
                    <w:div w:id="462891218">
                      <w:marLeft w:val="0"/>
                      <w:marRight w:val="0"/>
                      <w:marTop w:val="0"/>
                      <w:marBottom w:val="150"/>
                      <w:divBdr>
                        <w:top w:val="none" w:sz="0" w:space="0" w:color="auto"/>
                        <w:left w:val="none" w:sz="0" w:space="0" w:color="auto"/>
                        <w:bottom w:val="none" w:sz="0" w:space="0" w:color="auto"/>
                        <w:right w:val="none" w:sz="0" w:space="0" w:color="auto"/>
                      </w:divBdr>
                      <w:divsChild>
                        <w:div w:id="1235553091">
                          <w:marLeft w:val="0"/>
                          <w:marRight w:val="0"/>
                          <w:marTop w:val="0"/>
                          <w:marBottom w:val="0"/>
                          <w:divBdr>
                            <w:top w:val="none" w:sz="0" w:space="0" w:color="auto"/>
                            <w:left w:val="none" w:sz="0" w:space="0" w:color="auto"/>
                            <w:bottom w:val="none" w:sz="0" w:space="0" w:color="auto"/>
                            <w:right w:val="none" w:sz="0" w:space="0" w:color="auto"/>
                          </w:divBdr>
                        </w:div>
                      </w:divsChild>
                    </w:div>
                    <w:div w:id="1800688654">
                      <w:marLeft w:val="0"/>
                      <w:marRight w:val="0"/>
                      <w:marTop w:val="0"/>
                      <w:marBottom w:val="0"/>
                      <w:divBdr>
                        <w:top w:val="none" w:sz="0" w:space="0" w:color="auto"/>
                        <w:left w:val="none" w:sz="0" w:space="0" w:color="auto"/>
                        <w:bottom w:val="none" w:sz="0" w:space="0" w:color="auto"/>
                        <w:right w:val="none" w:sz="0" w:space="0" w:color="auto"/>
                      </w:divBdr>
                      <w:divsChild>
                        <w:div w:id="551886603">
                          <w:marLeft w:val="0"/>
                          <w:marRight w:val="0"/>
                          <w:marTop w:val="0"/>
                          <w:marBottom w:val="0"/>
                          <w:divBdr>
                            <w:top w:val="none" w:sz="0" w:space="0" w:color="auto"/>
                            <w:left w:val="none" w:sz="0" w:space="0" w:color="auto"/>
                            <w:bottom w:val="none" w:sz="0" w:space="0" w:color="auto"/>
                            <w:right w:val="none" w:sz="0" w:space="0" w:color="auto"/>
                          </w:divBdr>
                          <w:divsChild>
                            <w:div w:id="1755929314">
                              <w:marLeft w:val="0"/>
                              <w:marRight w:val="0"/>
                              <w:marTop w:val="0"/>
                              <w:marBottom w:val="0"/>
                              <w:divBdr>
                                <w:top w:val="none" w:sz="0" w:space="0" w:color="auto"/>
                                <w:left w:val="none" w:sz="0" w:space="0" w:color="auto"/>
                                <w:bottom w:val="none" w:sz="0" w:space="0" w:color="auto"/>
                                <w:right w:val="none" w:sz="0" w:space="0" w:color="auto"/>
                              </w:divBdr>
                            </w:div>
                          </w:divsChild>
                        </w:div>
                        <w:div w:id="6578078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85127462">
          <w:marLeft w:val="0"/>
          <w:marRight w:val="0"/>
          <w:marTop w:val="0"/>
          <w:marBottom w:val="375"/>
          <w:divBdr>
            <w:top w:val="none" w:sz="0" w:space="0" w:color="auto"/>
            <w:left w:val="none" w:sz="0" w:space="0" w:color="auto"/>
            <w:bottom w:val="single" w:sz="6" w:space="0" w:color="005494"/>
            <w:right w:val="none" w:sz="0" w:space="0" w:color="auto"/>
          </w:divBdr>
        </w:div>
      </w:divsChild>
    </w:div>
    <w:div w:id="1020356320">
      <w:bodyDiv w:val="1"/>
      <w:marLeft w:val="0"/>
      <w:marRight w:val="0"/>
      <w:marTop w:val="0"/>
      <w:marBottom w:val="0"/>
      <w:divBdr>
        <w:top w:val="none" w:sz="0" w:space="0" w:color="auto"/>
        <w:left w:val="none" w:sz="0" w:space="0" w:color="auto"/>
        <w:bottom w:val="none" w:sz="0" w:space="0" w:color="auto"/>
        <w:right w:val="none" w:sz="0" w:space="0" w:color="auto"/>
      </w:divBdr>
      <w:divsChild>
        <w:div w:id="73600037">
          <w:marLeft w:val="0"/>
          <w:marRight w:val="0"/>
          <w:marTop w:val="0"/>
          <w:marBottom w:val="150"/>
          <w:divBdr>
            <w:top w:val="none" w:sz="0" w:space="0" w:color="auto"/>
            <w:left w:val="none" w:sz="0" w:space="0" w:color="auto"/>
            <w:bottom w:val="none" w:sz="0" w:space="0" w:color="auto"/>
            <w:right w:val="none" w:sz="0" w:space="0" w:color="auto"/>
          </w:divBdr>
          <w:divsChild>
            <w:div w:id="1320157187">
              <w:marLeft w:val="0"/>
              <w:marRight w:val="0"/>
              <w:marTop w:val="0"/>
              <w:marBottom w:val="0"/>
              <w:divBdr>
                <w:top w:val="none" w:sz="0" w:space="0" w:color="auto"/>
                <w:left w:val="none" w:sz="0" w:space="0" w:color="auto"/>
                <w:bottom w:val="none" w:sz="0" w:space="0" w:color="auto"/>
                <w:right w:val="none" w:sz="0" w:space="0" w:color="auto"/>
              </w:divBdr>
              <w:divsChild>
                <w:div w:id="99499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680010">
          <w:marLeft w:val="0"/>
          <w:marRight w:val="0"/>
          <w:marTop w:val="0"/>
          <w:marBottom w:val="150"/>
          <w:divBdr>
            <w:top w:val="none" w:sz="0" w:space="0" w:color="auto"/>
            <w:left w:val="none" w:sz="0" w:space="0" w:color="auto"/>
            <w:bottom w:val="none" w:sz="0" w:space="0" w:color="auto"/>
            <w:right w:val="none" w:sz="0" w:space="0" w:color="auto"/>
          </w:divBdr>
        </w:div>
        <w:div w:id="1898202605">
          <w:marLeft w:val="0"/>
          <w:marRight w:val="0"/>
          <w:marTop w:val="0"/>
          <w:marBottom w:val="0"/>
          <w:divBdr>
            <w:top w:val="none" w:sz="0" w:space="0" w:color="auto"/>
            <w:left w:val="none" w:sz="0" w:space="0" w:color="auto"/>
            <w:bottom w:val="none" w:sz="0" w:space="0" w:color="auto"/>
            <w:right w:val="none" w:sz="0" w:space="0" w:color="auto"/>
          </w:divBdr>
          <w:divsChild>
            <w:div w:id="16383375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20737573">
      <w:bodyDiv w:val="1"/>
      <w:marLeft w:val="0"/>
      <w:marRight w:val="0"/>
      <w:marTop w:val="0"/>
      <w:marBottom w:val="0"/>
      <w:divBdr>
        <w:top w:val="none" w:sz="0" w:space="0" w:color="auto"/>
        <w:left w:val="none" w:sz="0" w:space="0" w:color="auto"/>
        <w:bottom w:val="none" w:sz="0" w:space="0" w:color="auto"/>
        <w:right w:val="none" w:sz="0" w:space="0" w:color="auto"/>
      </w:divBdr>
      <w:divsChild>
        <w:div w:id="1338727322">
          <w:marLeft w:val="0"/>
          <w:marRight w:val="0"/>
          <w:marTop w:val="0"/>
          <w:marBottom w:val="0"/>
          <w:divBdr>
            <w:top w:val="none" w:sz="0" w:space="0" w:color="auto"/>
            <w:left w:val="none" w:sz="0" w:space="0" w:color="auto"/>
            <w:bottom w:val="dotted" w:sz="6" w:space="4" w:color="DDDDDD"/>
            <w:right w:val="none" w:sz="0" w:space="0" w:color="auto"/>
          </w:divBdr>
        </w:div>
      </w:divsChild>
    </w:div>
    <w:div w:id="1020862988">
      <w:bodyDiv w:val="1"/>
      <w:marLeft w:val="0"/>
      <w:marRight w:val="0"/>
      <w:marTop w:val="0"/>
      <w:marBottom w:val="0"/>
      <w:divBdr>
        <w:top w:val="none" w:sz="0" w:space="0" w:color="auto"/>
        <w:left w:val="none" w:sz="0" w:space="0" w:color="auto"/>
        <w:bottom w:val="none" w:sz="0" w:space="0" w:color="auto"/>
        <w:right w:val="none" w:sz="0" w:space="0" w:color="auto"/>
      </w:divBdr>
    </w:div>
    <w:div w:id="1020937921">
      <w:bodyDiv w:val="1"/>
      <w:marLeft w:val="0"/>
      <w:marRight w:val="0"/>
      <w:marTop w:val="0"/>
      <w:marBottom w:val="0"/>
      <w:divBdr>
        <w:top w:val="none" w:sz="0" w:space="0" w:color="auto"/>
        <w:left w:val="none" w:sz="0" w:space="0" w:color="auto"/>
        <w:bottom w:val="none" w:sz="0" w:space="0" w:color="auto"/>
        <w:right w:val="none" w:sz="0" w:space="0" w:color="auto"/>
      </w:divBdr>
      <w:divsChild>
        <w:div w:id="1763599949">
          <w:marLeft w:val="0"/>
          <w:marRight w:val="0"/>
          <w:marTop w:val="0"/>
          <w:marBottom w:val="0"/>
          <w:divBdr>
            <w:top w:val="none" w:sz="0" w:space="0" w:color="auto"/>
            <w:left w:val="none" w:sz="0" w:space="0" w:color="auto"/>
            <w:bottom w:val="dotted" w:sz="6" w:space="4" w:color="DDDDDD"/>
            <w:right w:val="none" w:sz="0" w:space="0" w:color="auto"/>
          </w:divBdr>
          <w:divsChild>
            <w:div w:id="43563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126490">
      <w:bodyDiv w:val="1"/>
      <w:marLeft w:val="0"/>
      <w:marRight w:val="0"/>
      <w:marTop w:val="0"/>
      <w:marBottom w:val="0"/>
      <w:divBdr>
        <w:top w:val="none" w:sz="0" w:space="0" w:color="auto"/>
        <w:left w:val="none" w:sz="0" w:space="0" w:color="auto"/>
        <w:bottom w:val="none" w:sz="0" w:space="0" w:color="auto"/>
        <w:right w:val="none" w:sz="0" w:space="0" w:color="auto"/>
      </w:divBdr>
      <w:divsChild>
        <w:div w:id="611933379">
          <w:marLeft w:val="0"/>
          <w:marRight w:val="0"/>
          <w:marTop w:val="0"/>
          <w:marBottom w:val="0"/>
          <w:divBdr>
            <w:top w:val="none" w:sz="0" w:space="0" w:color="auto"/>
            <w:left w:val="none" w:sz="0" w:space="0" w:color="auto"/>
            <w:bottom w:val="none" w:sz="0" w:space="0" w:color="auto"/>
            <w:right w:val="none" w:sz="0" w:space="0" w:color="auto"/>
          </w:divBdr>
          <w:divsChild>
            <w:div w:id="902830826">
              <w:marLeft w:val="0"/>
              <w:marRight w:val="0"/>
              <w:marTop w:val="0"/>
              <w:marBottom w:val="300"/>
              <w:divBdr>
                <w:top w:val="none" w:sz="0" w:space="0" w:color="auto"/>
                <w:left w:val="none" w:sz="0" w:space="0" w:color="auto"/>
                <w:bottom w:val="single" w:sz="6" w:space="0" w:color="F1F1F1"/>
                <w:right w:val="none" w:sz="0" w:space="0" w:color="auto"/>
              </w:divBdr>
              <w:divsChild>
                <w:div w:id="18169466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34048368">
          <w:marLeft w:val="0"/>
          <w:marRight w:val="0"/>
          <w:marTop w:val="0"/>
          <w:marBottom w:val="0"/>
          <w:divBdr>
            <w:top w:val="none" w:sz="0" w:space="0" w:color="auto"/>
            <w:left w:val="none" w:sz="0" w:space="0" w:color="auto"/>
            <w:bottom w:val="none" w:sz="0" w:space="0" w:color="auto"/>
            <w:right w:val="none" w:sz="0" w:space="0" w:color="auto"/>
          </w:divBdr>
          <w:divsChild>
            <w:div w:id="2094351334">
              <w:marLeft w:val="0"/>
              <w:marRight w:val="0"/>
              <w:marTop w:val="0"/>
              <w:marBottom w:val="0"/>
              <w:divBdr>
                <w:top w:val="none" w:sz="0" w:space="0" w:color="auto"/>
                <w:left w:val="none" w:sz="0" w:space="0" w:color="auto"/>
                <w:bottom w:val="none" w:sz="0" w:space="0" w:color="auto"/>
                <w:right w:val="none" w:sz="0" w:space="0" w:color="auto"/>
              </w:divBdr>
              <w:divsChild>
                <w:div w:id="657415872">
                  <w:marLeft w:val="0"/>
                  <w:marRight w:val="0"/>
                  <w:marTop w:val="0"/>
                  <w:marBottom w:val="0"/>
                  <w:divBdr>
                    <w:top w:val="none" w:sz="0" w:space="0" w:color="auto"/>
                    <w:left w:val="none" w:sz="0" w:space="0" w:color="auto"/>
                    <w:bottom w:val="none" w:sz="0" w:space="0" w:color="auto"/>
                    <w:right w:val="none" w:sz="0" w:space="0" w:color="auto"/>
                  </w:divBdr>
                  <w:divsChild>
                    <w:div w:id="600770350">
                      <w:marLeft w:val="0"/>
                      <w:marRight w:val="0"/>
                      <w:marTop w:val="0"/>
                      <w:marBottom w:val="0"/>
                      <w:divBdr>
                        <w:top w:val="none" w:sz="0" w:space="0" w:color="auto"/>
                        <w:left w:val="none" w:sz="0" w:space="0" w:color="auto"/>
                        <w:bottom w:val="none" w:sz="0" w:space="0" w:color="auto"/>
                        <w:right w:val="none" w:sz="0" w:space="0" w:color="auto"/>
                      </w:divBdr>
                      <w:divsChild>
                        <w:div w:id="1786803873">
                          <w:marLeft w:val="0"/>
                          <w:marRight w:val="0"/>
                          <w:marTop w:val="0"/>
                          <w:marBottom w:val="0"/>
                          <w:divBdr>
                            <w:top w:val="none" w:sz="0" w:space="0" w:color="auto"/>
                            <w:left w:val="none" w:sz="0" w:space="0" w:color="auto"/>
                            <w:bottom w:val="none" w:sz="0" w:space="0" w:color="auto"/>
                            <w:right w:val="none" w:sz="0" w:space="0" w:color="auto"/>
                          </w:divBdr>
                          <w:divsChild>
                            <w:div w:id="123254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397936">
                      <w:marLeft w:val="0"/>
                      <w:marRight w:val="0"/>
                      <w:marTop w:val="0"/>
                      <w:marBottom w:val="0"/>
                      <w:divBdr>
                        <w:top w:val="none" w:sz="0" w:space="0" w:color="auto"/>
                        <w:left w:val="none" w:sz="0" w:space="0" w:color="auto"/>
                        <w:bottom w:val="none" w:sz="0" w:space="0" w:color="auto"/>
                        <w:right w:val="none" w:sz="0" w:space="0" w:color="auto"/>
                      </w:divBdr>
                    </w:div>
                    <w:div w:id="871264685">
                      <w:marLeft w:val="0"/>
                      <w:marRight w:val="0"/>
                      <w:marTop w:val="0"/>
                      <w:marBottom w:val="300"/>
                      <w:divBdr>
                        <w:top w:val="none" w:sz="0" w:space="0" w:color="auto"/>
                        <w:left w:val="none" w:sz="0" w:space="0" w:color="auto"/>
                        <w:bottom w:val="none" w:sz="0" w:space="0" w:color="auto"/>
                        <w:right w:val="none" w:sz="0" w:space="0" w:color="auto"/>
                      </w:divBdr>
                      <w:divsChild>
                        <w:div w:id="1601568886">
                          <w:marLeft w:val="0"/>
                          <w:marRight w:val="0"/>
                          <w:marTop w:val="0"/>
                          <w:marBottom w:val="0"/>
                          <w:divBdr>
                            <w:top w:val="none" w:sz="0" w:space="0" w:color="auto"/>
                            <w:left w:val="none" w:sz="0" w:space="0" w:color="auto"/>
                            <w:bottom w:val="none" w:sz="0" w:space="0" w:color="auto"/>
                            <w:right w:val="none" w:sz="0" w:space="0" w:color="auto"/>
                          </w:divBdr>
                        </w:div>
                      </w:divsChild>
                    </w:div>
                    <w:div w:id="18871844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21592109">
      <w:bodyDiv w:val="1"/>
      <w:marLeft w:val="0"/>
      <w:marRight w:val="0"/>
      <w:marTop w:val="0"/>
      <w:marBottom w:val="0"/>
      <w:divBdr>
        <w:top w:val="none" w:sz="0" w:space="0" w:color="auto"/>
        <w:left w:val="none" w:sz="0" w:space="0" w:color="auto"/>
        <w:bottom w:val="none" w:sz="0" w:space="0" w:color="auto"/>
        <w:right w:val="none" w:sz="0" w:space="0" w:color="auto"/>
      </w:divBdr>
      <w:divsChild>
        <w:div w:id="1334335664">
          <w:marLeft w:val="0"/>
          <w:marRight w:val="0"/>
          <w:marTop w:val="0"/>
          <w:marBottom w:val="450"/>
          <w:divBdr>
            <w:top w:val="none" w:sz="0" w:space="0" w:color="auto"/>
            <w:left w:val="none" w:sz="0" w:space="0" w:color="auto"/>
            <w:bottom w:val="single" w:sz="6" w:space="19" w:color="EEEEEE"/>
            <w:right w:val="none" w:sz="0" w:space="0" w:color="auto"/>
          </w:divBdr>
          <w:divsChild>
            <w:div w:id="1678577873">
              <w:marLeft w:val="0"/>
              <w:marRight w:val="0"/>
              <w:marTop w:val="0"/>
              <w:marBottom w:val="150"/>
              <w:divBdr>
                <w:top w:val="none" w:sz="0" w:space="0" w:color="auto"/>
                <w:left w:val="none" w:sz="0" w:space="0" w:color="auto"/>
                <w:bottom w:val="none" w:sz="0" w:space="0" w:color="auto"/>
                <w:right w:val="none" w:sz="0" w:space="0" w:color="auto"/>
              </w:divBdr>
              <w:divsChild>
                <w:div w:id="1083600412">
                  <w:marLeft w:val="0"/>
                  <w:marRight w:val="0"/>
                  <w:marTop w:val="0"/>
                  <w:marBottom w:val="0"/>
                  <w:divBdr>
                    <w:top w:val="none" w:sz="0" w:space="0" w:color="auto"/>
                    <w:left w:val="none" w:sz="0" w:space="0" w:color="auto"/>
                    <w:bottom w:val="none" w:sz="0" w:space="0" w:color="auto"/>
                    <w:right w:val="none" w:sz="0" w:space="0" w:color="auto"/>
                  </w:divBdr>
                </w:div>
              </w:divsChild>
            </w:div>
            <w:div w:id="528832250">
              <w:marLeft w:val="0"/>
              <w:marRight w:val="0"/>
              <w:marTop w:val="0"/>
              <w:marBottom w:val="0"/>
              <w:divBdr>
                <w:top w:val="none" w:sz="0" w:space="0" w:color="auto"/>
                <w:left w:val="none" w:sz="0" w:space="0" w:color="auto"/>
                <w:bottom w:val="none" w:sz="0" w:space="0" w:color="auto"/>
                <w:right w:val="none" w:sz="0" w:space="0" w:color="auto"/>
              </w:divBdr>
            </w:div>
          </w:divsChild>
        </w:div>
        <w:div w:id="1765689998">
          <w:marLeft w:val="0"/>
          <w:marRight w:val="0"/>
          <w:marTop w:val="0"/>
          <w:marBottom w:val="0"/>
          <w:divBdr>
            <w:top w:val="none" w:sz="0" w:space="0" w:color="auto"/>
            <w:left w:val="none" w:sz="0" w:space="0" w:color="auto"/>
            <w:bottom w:val="none" w:sz="0" w:space="0" w:color="auto"/>
            <w:right w:val="none" w:sz="0" w:space="0" w:color="auto"/>
          </w:divBdr>
          <w:divsChild>
            <w:div w:id="280765518">
              <w:marLeft w:val="0"/>
              <w:marRight w:val="0"/>
              <w:marTop w:val="0"/>
              <w:marBottom w:val="0"/>
              <w:divBdr>
                <w:top w:val="none" w:sz="0" w:space="0" w:color="auto"/>
                <w:left w:val="none" w:sz="0" w:space="0" w:color="auto"/>
                <w:bottom w:val="none" w:sz="0" w:space="0" w:color="auto"/>
                <w:right w:val="none" w:sz="0" w:space="0" w:color="auto"/>
              </w:divBdr>
              <w:divsChild>
                <w:div w:id="167479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738944">
      <w:bodyDiv w:val="1"/>
      <w:marLeft w:val="0"/>
      <w:marRight w:val="0"/>
      <w:marTop w:val="0"/>
      <w:marBottom w:val="0"/>
      <w:divBdr>
        <w:top w:val="none" w:sz="0" w:space="0" w:color="auto"/>
        <w:left w:val="none" w:sz="0" w:space="0" w:color="auto"/>
        <w:bottom w:val="none" w:sz="0" w:space="0" w:color="auto"/>
        <w:right w:val="none" w:sz="0" w:space="0" w:color="auto"/>
      </w:divBdr>
    </w:div>
    <w:div w:id="1022123956">
      <w:bodyDiv w:val="1"/>
      <w:marLeft w:val="0"/>
      <w:marRight w:val="0"/>
      <w:marTop w:val="0"/>
      <w:marBottom w:val="0"/>
      <w:divBdr>
        <w:top w:val="none" w:sz="0" w:space="0" w:color="auto"/>
        <w:left w:val="none" w:sz="0" w:space="0" w:color="auto"/>
        <w:bottom w:val="none" w:sz="0" w:space="0" w:color="auto"/>
        <w:right w:val="none" w:sz="0" w:space="0" w:color="auto"/>
      </w:divBdr>
    </w:div>
    <w:div w:id="1022317081">
      <w:bodyDiv w:val="1"/>
      <w:marLeft w:val="0"/>
      <w:marRight w:val="0"/>
      <w:marTop w:val="0"/>
      <w:marBottom w:val="0"/>
      <w:divBdr>
        <w:top w:val="none" w:sz="0" w:space="0" w:color="auto"/>
        <w:left w:val="none" w:sz="0" w:space="0" w:color="auto"/>
        <w:bottom w:val="none" w:sz="0" w:space="0" w:color="auto"/>
        <w:right w:val="none" w:sz="0" w:space="0" w:color="auto"/>
      </w:divBdr>
      <w:divsChild>
        <w:div w:id="457189297">
          <w:marLeft w:val="0"/>
          <w:marRight w:val="0"/>
          <w:marTop w:val="0"/>
          <w:marBottom w:val="150"/>
          <w:divBdr>
            <w:top w:val="none" w:sz="0" w:space="0" w:color="auto"/>
            <w:left w:val="none" w:sz="0" w:space="0" w:color="auto"/>
            <w:bottom w:val="none" w:sz="0" w:space="0" w:color="auto"/>
            <w:right w:val="none" w:sz="0" w:space="0" w:color="auto"/>
          </w:divBdr>
          <w:divsChild>
            <w:div w:id="895434640">
              <w:marLeft w:val="0"/>
              <w:marRight w:val="0"/>
              <w:marTop w:val="0"/>
              <w:marBottom w:val="0"/>
              <w:divBdr>
                <w:top w:val="none" w:sz="0" w:space="0" w:color="auto"/>
                <w:left w:val="none" w:sz="0" w:space="0" w:color="auto"/>
                <w:bottom w:val="none" w:sz="0" w:space="0" w:color="auto"/>
                <w:right w:val="none" w:sz="0" w:space="0" w:color="auto"/>
              </w:divBdr>
              <w:divsChild>
                <w:div w:id="172113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953592">
          <w:marLeft w:val="0"/>
          <w:marRight w:val="0"/>
          <w:marTop w:val="0"/>
          <w:marBottom w:val="0"/>
          <w:divBdr>
            <w:top w:val="none" w:sz="0" w:space="0" w:color="auto"/>
            <w:left w:val="none" w:sz="0" w:space="0" w:color="auto"/>
            <w:bottom w:val="none" w:sz="0" w:space="0" w:color="auto"/>
            <w:right w:val="none" w:sz="0" w:space="0" w:color="auto"/>
          </w:divBdr>
          <w:divsChild>
            <w:div w:id="1000430372">
              <w:marLeft w:val="0"/>
              <w:marRight w:val="0"/>
              <w:marTop w:val="225"/>
              <w:marBottom w:val="225"/>
              <w:divBdr>
                <w:top w:val="none" w:sz="0" w:space="0" w:color="auto"/>
                <w:left w:val="none" w:sz="0" w:space="0" w:color="auto"/>
                <w:bottom w:val="none" w:sz="0" w:space="0" w:color="auto"/>
                <w:right w:val="none" w:sz="0" w:space="0" w:color="auto"/>
              </w:divBdr>
            </w:div>
          </w:divsChild>
        </w:div>
        <w:div w:id="956763523">
          <w:marLeft w:val="0"/>
          <w:marRight w:val="0"/>
          <w:marTop w:val="0"/>
          <w:marBottom w:val="150"/>
          <w:divBdr>
            <w:top w:val="none" w:sz="0" w:space="0" w:color="auto"/>
            <w:left w:val="none" w:sz="0" w:space="0" w:color="auto"/>
            <w:bottom w:val="none" w:sz="0" w:space="0" w:color="auto"/>
            <w:right w:val="none" w:sz="0" w:space="0" w:color="auto"/>
          </w:divBdr>
        </w:div>
      </w:divsChild>
    </w:div>
    <w:div w:id="1022321428">
      <w:bodyDiv w:val="1"/>
      <w:marLeft w:val="0"/>
      <w:marRight w:val="0"/>
      <w:marTop w:val="0"/>
      <w:marBottom w:val="0"/>
      <w:divBdr>
        <w:top w:val="none" w:sz="0" w:space="0" w:color="auto"/>
        <w:left w:val="none" w:sz="0" w:space="0" w:color="auto"/>
        <w:bottom w:val="none" w:sz="0" w:space="0" w:color="auto"/>
        <w:right w:val="none" w:sz="0" w:space="0" w:color="auto"/>
      </w:divBdr>
    </w:div>
    <w:div w:id="1023286805">
      <w:bodyDiv w:val="1"/>
      <w:marLeft w:val="0"/>
      <w:marRight w:val="0"/>
      <w:marTop w:val="0"/>
      <w:marBottom w:val="0"/>
      <w:divBdr>
        <w:top w:val="none" w:sz="0" w:space="0" w:color="auto"/>
        <w:left w:val="none" w:sz="0" w:space="0" w:color="auto"/>
        <w:bottom w:val="none" w:sz="0" w:space="0" w:color="auto"/>
        <w:right w:val="none" w:sz="0" w:space="0" w:color="auto"/>
      </w:divBdr>
    </w:div>
    <w:div w:id="1024286034">
      <w:bodyDiv w:val="1"/>
      <w:marLeft w:val="0"/>
      <w:marRight w:val="0"/>
      <w:marTop w:val="0"/>
      <w:marBottom w:val="0"/>
      <w:divBdr>
        <w:top w:val="none" w:sz="0" w:space="0" w:color="auto"/>
        <w:left w:val="none" w:sz="0" w:space="0" w:color="auto"/>
        <w:bottom w:val="none" w:sz="0" w:space="0" w:color="auto"/>
        <w:right w:val="none" w:sz="0" w:space="0" w:color="auto"/>
      </w:divBdr>
      <w:divsChild>
        <w:div w:id="2073431166">
          <w:marLeft w:val="0"/>
          <w:marRight w:val="0"/>
          <w:marTop w:val="0"/>
          <w:marBottom w:val="0"/>
          <w:divBdr>
            <w:top w:val="none" w:sz="0" w:space="0" w:color="auto"/>
            <w:left w:val="none" w:sz="0" w:space="0" w:color="auto"/>
            <w:bottom w:val="dotted" w:sz="6" w:space="4" w:color="DDDDDD"/>
            <w:right w:val="none" w:sz="0" w:space="0" w:color="auto"/>
          </w:divBdr>
          <w:divsChild>
            <w:div w:id="142202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332010">
      <w:bodyDiv w:val="1"/>
      <w:marLeft w:val="0"/>
      <w:marRight w:val="0"/>
      <w:marTop w:val="0"/>
      <w:marBottom w:val="0"/>
      <w:divBdr>
        <w:top w:val="none" w:sz="0" w:space="0" w:color="auto"/>
        <w:left w:val="none" w:sz="0" w:space="0" w:color="auto"/>
        <w:bottom w:val="none" w:sz="0" w:space="0" w:color="auto"/>
        <w:right w:val="none" w:sz="0" w:space="0" w:color="auto"/>
      </w:divBdr>
      <w:divsChild>
        <w:div w:id="358626837">
          <w:marLeft w:val="0"/>
          <w:marRight w:val="0"/>
          <w:marTop w:val="0"/>
          <w:marBottom w:val="150"/>
          <w:divBdr>
            <w:top w:val="none" w:sz="0" w:space="0" w:color="auto"/>
            <w:left w:val="none" w:sz="0" w:space="0" w:color="auto"/>
            <w:bottom w:val="none" w:sz="0" w:space="0" w:color="auto"/>
            <w:right w:val="none" w:sz="0" w:space="0" w:color="auto"/>
          </w:divBdr>
        </w:div>
        <w:div w:id="632058702">
          <w:marLeft w:val="0"/>
          <w:marRight w:val="0"/>
          <w:marTop w:val="0"/>
          <w:marBottom w:val="150"/>
          <w:divBdr>
            <w:top w:val="none" w:sz="0" w:space="0" w:color="auto"/>
            <w:left w:val="none" w:sz="0" w:space="0" w:color="auto"/>
            <w:bottom w:val="none" w:sz="0" w:space="0" w:color="auto"/>
            <w:right w:val="none" w:sz="0" w:space="0" w:color="auto"/>
          </w:divBdr>
          <w:divsChild>
            <w:div w:id="1486512749">
              <w:marLeft w:val="0"/>
              <w:marRight w:val="0"/>
              <w:marTop w:val="0"/>
              <w:marBottom w:val="0"/>
              <w:divBdr>
                <w:top w:val="none" w:sz="0" w:space="0" w:color="auto"/>
                <w:left w:val="none" w:sz="0" w:space="0" w:color="auto"/>
                <w:bottom w:val="none" w:sz="0" w:space="0" w:color="auto"/>
                <w:right w:val="none" w:sz="0" w:space="0" w:color="auto"/>
              </w:divBdr>
              <w:divsChild>
                <w:div w:id="147220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54777">
          <w:marLeft w:val="0"/>
          <w:marRight w:val="0"/>
          <w:marTop w:val="0"/>
          <w:marBottom w:val="0"/>
          <w:divBdr>
            <w:top w:val="none" w:sz="0" w:space="0" w:color="auto"/>
            <w:left w:val="none" w:sz="0" w:space="0" w:color="auto"/>
            <w:bottom w:val="none" w:sz="0" w:space="0" w:color="auto"/>
            <w:right w:val="none" w:sz="0" w:space="0" w:color="auto"/>
          </w:divBdr>
          <w:divsChild>
            <w:div w:id="2482694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24863213">
      <w:bodyDiv w:val="1"/>
      <w:marLeft w:val="0"/>
      <w:marRight w:val="0"/>
      <w:marTop w:val="0"/>
      <w:marBottom w:val="0"/>
      <w:divBdr>
        <w:top w:val="none" w:sz="0" w:space="0" w:color="auto"/>
        <w:left w:val="none" w:sz="0" w:space="0" w:color="auto"/>
        <w:bottom w:val="none" w:sz="0" w:space="0" w:color="auto"/>
        <w:right w:val="none" w:sz="0" w:space="0" w:color="auto"/>
      </w:divBdr>
    </w:div>
    <w:div w:id="1025063611">
      <w:bodyDiv w:val="1"/>
      <w:marLeft w:val="0"/>
      <w:marRight w:val="0"/>
      <w:marTop w:val="0"/>
      <w:marBottom w:val="0"/>
      <w:divBdr>
        <w:top w:val="none" w:sz="0" w:space="0" w:color="auto"/>
        <w:left w:val="none" w:sz="0" w:space="0" w:color="auto"/>
        <w:bottom w:val="none" w:sz="0" w:space="0" w:color="auto"/>
        <w:right w:val="none" w:sz="0" w:space="0" w:color="auto"/>
      </w:divBdr>
      <w:divsChild>
        <w:div w:id="59834680">
          <w:marLeft w:val="0"/>
          <w:marRight w:val="0"/>
          <w:marTop w:val="0"/>
          <w:marBottom w:val="0"/>
          <w:divBdr>
            <w:top w:val="none" w:sz="0" w:space="0" w:color="auto"/>
            <w:left w:val="none" w:sz="0" w:space="0" w:color="auto"/>
            <w:bottom w:val="none" w:sz="0" w:space="0" w:color="auto"/>
            <w:right w:val="none" w:sz="0" w:space="0" w:color="auto"/>
          </w:divBdr>
        </w:div>
      </w:divsChild>
    </w:div>
    <w:div w:id="1025251712">
      <w:bodyDiv w:val="1"/>
      <w:marLeft w:val="0"/>
      <w:marRight w:val="0"/>
      <w:marTop w:val="0"/>
      <w:marBottom w:val="0"/>
      <w:divBdr>
        <w:top w:val="none" w:sz="0" w:space="0" w:color="auto"/>
        <w:left w:val="none" w:sz="0" w:space="0" w:color="auto"/>
        <w:bottom w:val="none" w:sz="0" w:space="0" w:color="auto"/>
        <w:right w:val="none" w:sz="0" w:space="0" w:color="auto"/>
      </w:divBdr>
    </w:div>
    <w:div w:id="1025593194">
      <w:bodyDiv w:val="1"/>
      <w:marLeft w:val="0"/>
      <w:marRight w:val="0"/>
      <w:marTop w:val="0"/>
      <w:marBottom w:val="0"/>
      <w:divBdr>
        <w:top w:val="none" w:sz="0" w:space="0" w:color="auto"/>
        <w:left w:val="none" w:sz="0" w:space="0" w:color="auto"/>
        <w:bottom w:val="none" w:sz="0" w:space="0" w:color="auto"/>
        <w:right w:val="none" w:sz="0" w:space="0" w:color="auto"/>
      </w:divBdr>
      <w:divsChild>
        <w:div w:id="298927104">
          <w:marLeft w:val="0"/>
          <w:marRight w:val="0"/>
          <w:marTop w:val="0"/>
          <w:marBottom w:val="0"/>
          <w:divBdr>
            <w:top w:val="none" w:sz="0" w:space="0" w:color="auto"/>
            <w:left w:val="none" w:sz="0" w:space="0" w:color="auto"/>
            <w:bottom w:val="none" w:sz="0" w:space="0" w:color="auto"/>
            <w:right w:val="none" w:sz="0" w:space="0" w:color="auto"/>
          </w:divBdr>
        </w:div>
      </w:divsChild>
    </w:div>
    <w:div w:id="1025785908">
      <w:bodyDiv w:val="1"/>
      <w:marLeft w:val="0"/>
      <w:marRight w:val="0"/>
      <w:marTop w:val="0"/>
      <w:marBottom w:val="0"/>
      <w:divBdr>
        <w:top w:val="none" w:sz="0" w:space="0" w:color="auto"/>
        <w:left w:val="none" w:sz="0" w:space="0" w:color="auto"/>
        <w:bottom w:val="none" w:sz="0" w:space="0" w:color="auto"/>
        <w:right w:val="none" w:sz="0" w:space="0" w:color="auto"/>
      </w:divBdr>
      <w:divsChild>
        <w:div w:id="367875149">
          <w:marLeft w:val="0"/>
          <w:marRight w:val="0"/>
          <w:marTop w:val="0"/>
          <w:marBottom w:val="150"/>
          <w:divBdr>
            <w:top w:val="none" w:sz="0" w:space="0" w:color="auto"/>
            <w:left w:val="none" w:sz="0" w:space="0" w:color="auto"/>
            <w:bottom w:val="none" w:sz="0" w:space="0" w:color="auto"/>
            <w:right w:val="none" w:sz="0" w:space="0" w:color="auto"/>
          </w:divBdr>
        </w:div>
      </w:divsChild>
    </w:div>
    <w:div w:id="1025862646">
      <w:bodyDiv w:val="1"/>
      <w:marLeft w:val="0"/>
      <w:marRight w:val="0"/>
      <w:marTop w:val="0"/>
      <w:marBottom w:val="0"/>
      <w:divBdr>
        <w:top w:val="none" w:sz="0" w:space="0" w:color="auto"/>
        <w:left w:val="none" w:sz="0" w:space="0" w:color="auto"/>
        <w:bottom w:val="none" w:sz="0" w:space="0" w:color="auto"/>
        <w:right w:val="none" w:sz="0" w:space="0" w:color="auto"/>
      </w:divBdr>
      <w:divsChild>
        <w:div w:id="674765424">
          <w:marLeft w:val="0"/>
          <w:marRight w:val="0"/>
          <w:marTop w:val="0"/>
          <w:marBottom w:val="0"/>
          <w:divBdr>
            <w:top w:val="none" w:sz="0" w:space="0" w:color="auto"/>
            <w:left w:val="none" w:sz="0" w:space="0" w:color="auto"/>
            <w:bottom w:val="none" w:sz="0" w:space="0" w:color="auto"/>
            <w:right w:val="none" w:sz="0" w:space="0" w:color="auto"/>
          </w:divBdr>
          <w:divsChild>
            <w:div w:id="782767774">
              <w:marLeft w:val="0"/>
              <w:marRight w:val="0"/>
              <w:marTop w:val="0"/>
              <w:marBottom w:val="0"/>
              <w:divBdr>
                <w:top w:val="none" w:sz="0" w:space="0" w:color="auto"/>
                <w:left w:val="none" w:sz="0" w:space="0" w:color="auto"/>
                <w:bottom w:val="none" w:sz="0" w:space="0" w:color="auto"/>
                <w:right w:val="none" w:sz="0" w:space="0" w:color="auto"/>
              </w:divBdr>
              <w:divsChild>
                <w:div w:id="1740640458">
                  <w:marLeft w:val="0"/>
                  <w:marRight w:val="0"/>
                  <w:marTop w:val="0"/>
                  <w:marBottom w:val="0"/>
                  <w:divBdr>
                    <w:top w:val="none" w:sz="0" w:space="0" w:color="auto"/>
                    <w:left w:val="none" w:sz="0" w:space="0" w:color="auto"/>
                    <w:bottom w:val="none" w:sz="0" w:space="0" w:color="auto"/>
                    <w:right w:val="none" w:sz="0" w:space="0" w:color="auto"/>
                  </w:divBdr>
                  <w:divsChild>
                    <w:div w:id="219371252">
                      <w:marLeft w:val="0"/>
                      <w:marRight w:val="0"/>
                      <w:marTop w:val="0"/>
                      <w:marBottom w:val="0"/>
                      <w:divBdr>
                        <w:top w:val="none" w:sz="0" w:space="0" w:color="auto"/>
                        <w:left w:val="none" w:sz="0" w:space="0" w:color="auto"/>
                        <w:bottom w:val="none" w:sz="0" w:space="0" w:color="auto"/>
                        <w:right w:val="none" w:sz="0" w:space="0" w:color="auto"/>
                      </w:divBdr>
                      <w:divsChild>
                        <w:div w:id="2106683003">
                          <w:marLeft w:val="0"/>
                          <w:marRight w:val="0"/>
                          <w:marTop w:val="0"/>
                          <w:marBottom w:val="0"/>
                          <w:divBdr>
                            <w:top w:val="none" w:sz="0" w:space="0" w:color="auto"/>
                            <w:left w:val="none" w:sz="0" w:space="0" w:color="auto"/>
                            <w:bottom w:val="none" w:sz="0" w:space="0" w:color="auto"/>
                            <w:right w:val="none" w:sz="0" w:space="0" w:color="auto"/>
                          </w:divBdr>
                          <w:divsChild>
                            <w:div w:id="248780464">
                              <w:marLeft w:val="0"/>
                              <w:marRight w:val="0"/>
                              <w:marTop w:val="0"/>
                              <w:marBottom w:val="0"/>
                              <w:divBdr>
                                <w:top w:val="none" w:sz="0" w:space="0" w:color="auto"/>
                                <w:left w:val="none" w:sz="0" w:space="0" w:color="auto"/>
                                <w:bottom w:val="none" w:sz="0" w:space="0" w:color="auto"/>
                                <w:right w:val="none" w:sz="0" w:space="0" w:color="auto"/>
                              </w:divBdr>
                              <w:divsChild>
                                <w:div w:id="32559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5912130">
      <w:bodyDiv w:val="1"/>
      <w:marLeft w:val="0"/>
      <w:marRight w:val="0"/>
      <w:marTop w:val="0"/>
      <w:marBottom w:val="0"/>
      <w:divBdr>
        <w:top w:val="none" w:sz="0" w:space="0" w:color="auto"/>
        <w:left w:val="none" w:sz="0" w:space="0" w:color="auto"/>
        <w:bottom w:val="none" w:sz="0" w:space="0" w:color="auto"/>
        <w:right w:val="none" w:sz="0" w:space="0" w:color="auto"/>
      </w:divBdr>
      <w:divsChild>
        <w:div w:id="2089839839">
          <w:marLeft w:val="0"/>
          <w:marRight w:val="0"/>
          <w:marTop w:val="0"/>
          <w:marBottom w:val="150"/>
          <w:divBdr>
            <w:top w:val="none" w:sz="0" w:space="0" w:color="auto"/>
            <w:left w:val="none" w:sz="0" w:space="0" w:color="auto"/>
            <w:bottom w:val="none" w:sz="0" w:space="0" w:color="auto"/>
            <w:right w:val="none" w:sz="0" w:space="0" w:color="auto"/>
          </w:divBdr>
        </w:div>
      </w:divsChild>
    </w:div>
    <w:div w:id="1026446363">
      <w:bodyDiv w:val="1"/>
      <w:marLeft w:val="0"/>
      <w:marRight w:val="0"/>
      <w:marTop w:val="0"/>
      <w:marBottom w:val="0"/>
      <w:divBdr>
        <w:top w:val="none" w:sz="0" w:space="0" w:color="auto"/>
        <w:left w:val="none" w:sz="0" w:space="0" w:color="auto"/>
        <w:bottom w:val="none" w:sz="0" w:space="0" w:color="auto"/>
        <w:right w:val="none" w:sz="0" w:space="0" w:color="auto"/>
      </w:divBdr>
    </w:div>
    <w:div w:id="1026447251">
      <w:bodyDiv w:val="1"/>
      <w:marLeft w:val="0"/>
      <w:marRight w:val="0"/>
      <w:marTop w:val="0"/>
      <w:marBottom w:val="0"/>
      <w:divBdr>
        <w:top w:val="none" w:sz="0" w:space="0" w:color="auto"/>
        <w:left w:val="none" w:sz="0" w:space="0" w:color="auto"/>
        <w:bottom w:val="none" w:sz="0" w:space="0" w:color="auto"/>
        <w:right w:val="none" w:sz="0" w:space="0" w:color="auto"/>
      </w:divBdr>
    </w:div>
    <w:div w:id="1026522083">
      <w:bodyDiv w:val="1"/>
      <w:marLeft w:val="0"/>
      <w:marRight w:val="0"/>
      <w:marTop w:val="0"/>
      <w:marBottom w:val="0"/>
      <w:divBdr>
        <w:top w:val="none" w:sz="0" w:space="0" w:color="auto"/>
        <w:left w:val="none" w:sz="0" w:space="0" w:color="auto"/>
        <w:bottom w:val="none" w:sz="0" w:space="0" w:color="auto"/>
        <w:right w:val="none" w:sz="0" w:space="0" w:color="auto"/>
      </w:divBdr>
      <w:divsChild>
        <w:div w:id="250159408">
          <w:marLeft w:val="0"/>
          <w:marRight w:val="0"/>
          <w:marTop w:val="0"/>
          <w:marBottom w:val="150"/>
          <w:divBdr>
            <w:top w:val="none" w:sz="0" w:space="0" w:color="auto"/>
            <w:left w:val="none" w:sz="0" w:space="0" w:color="auto"/>
            <w:bottom w:val="none" w:sz="0" w:space="0" w:color="auto"/>
            <w:right w:val="none" w:sz="0" w:space="0" w:color="auto"/>
          </w:divBdr>
        </w:div>
      </w:divsChild>
    </w:div>
    <w:div w:id="1027146216">
      <w:bodyDiv w:val="1"/>
      <w:marLeft w:val="0"/>
      <w:marRight w:val="0"/>
      <w:marTop w:val="0"/>
      <w:marBottom w:val="0"/>
      <w:divBdr>
        <w:top w:val="none" w:sz="0" w:space="0" w:color="auto"/>
        <w:left w:val="none" w:sz="0" w:space="0" w:color="auto"/>
        <w:bottom w:val="none" w:sz="0" w:space="0" w:color="auto"/>
        <w:right w:val="none" w:sz="0" w:space="0" w:color="auto"/>
      </w:divBdr>
      <w:divsChild>
        <w:div w:id="1017386064">
          <w:marLeft w:val="0"/>
          <w:marRight w:val="0"/>
          <w:marTop w:val="0"/>
          <w:marBottom w:val="150"/>
          <w:divBdr>
            <w:top w:val="none" w:sz="0" w:space="0" w:color="auto"/>
            <w:left w:val="none" w:sz="0" w:space="0" w:color="auto"/>
            <w:bottom w:val="none" w:sz="0" w:space="0" w:color="auto"/>
            <w:right w:val="none" w:sz="0" w:space="0" w:color="auto"/>
          </w:divBdr>
        </w:div>
      </w:divsChild>
    </w:div>
    <w:div w:id="1027220408">
      <w:bodyDiv w:val="1"/>
      <w:marLeft w:val="0"/>
      <w:marRight w:val="0"/>
      <w:marTop w:val="0"/>
      <w:marBottom w:val="0"/>
      <w:divBdr>
        <w:top w:val="none" w:sz="0" w:space="0" w:color="auto"/>
        <w:left w:val="none" w:sz="0" w:space="0" w:color="auto"/>
        <w:bottom w:val="none" w:sz="0" w:space="0" w:color="auto"/>
        <w:right w:val="none" w:sz="0" w:space="0" w:color="auto"/>
      </w:divBdr>
      <w:divsChild>
        <w:div w:id="1340349267">
          <w:marLeft w:val="0"/>
          <w:marRight w:val="0"/>
          <w:marTop w:val="0"/>
          <w:marBottom w:val="0"/>
          <w:divBdr>
            <w:top w:val="none" w:sz="0" w:space="0" w:color="auto"/>
            <w:left w:val="none" w:sz="0" w:space="0" w:color="auto"/>
            <w:bottom w:val="dotted" w:sz="6" w:space="4" w:color="DDDDDD"/>
            <w:right w:val="none" w:sz="0" w:space="0" w:color="auto"/>
          </w:divBdr>
          <w:divsChild>
            <w:div w:id="60288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296435">
      <w:bodyDiv w:val="1"/>
      <w:marLeft w:val="0"/>
      <w:marRight w:val="0"/>
      <w:marTop w:val="0"/>
      <w:marBottom w:val="0"/>
      <w:divBdr>
        <w:top w:val="none" w:sz="0" w:space="0" w:color="auto"/>
        <w:left w:val="none" w:sz="0" w:space="0" w:color="auto"/>
        <w:bottom w:val="none" w:sz="0" w:space="0" w:color="auto"/>
        <w:right w:val="none" w:sz="0" w:space="0" w:color="auto"/>
      </w:divBdr>
      <w:divsChild>
        <w:div w:id="1168136330">
          <w:marLeft w:val="0"/>
          <w:marRight w:val="0"/>
          <w:marTop w:val="0"/>
          <w:marBottom w:val="0"/>
          <w:divBdr>
            <w:top w:val="none" w:sz="0" w:space="0" w:color="auto"/>
            <w:left w:val="none" w:sz="0" w:space="0" w:color="auto"/>
            <w:bottom w:val="none" w:sz="0" w:space="0" w:color="auto"/>
            <w:right w:val="none" w:sz="0" w:space="0" w:color="auto"/>
          </w:divBdr>
        </w:div>
      </w:divsChild>
    </w:div>
    <w:div w:id="1027557651">
      <w:bodyDiv w:val="1"/>
      <w:marLeft w:val="0"/>
      <w:marRight w:val="0"/>
      <w:marTop w:val="0"/>
      <w:marBottom w:val="0"/>
      <w:divBdr>
        <w:top w:val="none" w:sz="0" w:space="0" w:color="auto"/>
        <w:left w:val="none" w:sz="0" w:space="0" w:color="auto"/>
        <w:bottom w:val="none" w:sz="0" w:space="0" w:color="auto"/>
        <w:right w:val="none" w:sz="0" w:space="0" w:color="auto"/>
      </w:divBdr>
      <w:divsChild>
        <w:div w:id="614942358">
          <w:marLeft w:val="0"/>
          <w:marRight w:val="0"/>
          <w:marTop w:val="0"/>
          <w:marBottom w:val="150"/>
          <w:divBdr>
            <w:top w:val="none" w:sz="0" w:space="0" w:color="auto"/>
            <w:left w:val="none" w:sz="0" w:space="0" w:color="auto"/>
            <w:bottom w:val="none" w:sz="0" w:space="0" w:color="auto"/>
            <w:right w:val="none" w:sz="0" w:space="0" w:color="auto"/>
          </w:divBdr>
        </w:div>
        <w:div w:id="2095475113">
          <w:marLeft w:val="0"/>
          <w:marRight w:val="0"/>
          <w:marTop w:val="0"/>
          <w:marBottom w:val="150"/>
          <w:divBdr>
            <w:top w:val="none" w:sz="0" w:space="0" w:color="auto"/>
            <w:left w:val="none" w:sz="0" w:space="0" w:color="auto"/>
            <w:bottom w:val="none" w:sz="0" w:space="0" w:color="auto"/>
            <w:right w:val="none" w:sz="0" w:space="0" w:color="auto"/>
          </w:divBdr>
          <w:divsChild>
            <w:div w:id="1555777761">
              <w:marLeft w:val="0"/>
              <w:marRight w:val="0"/>
              <w:marTop w:val="0"/>
              <w:marBottom w:val="0"/>
              <w:divBdr>
                <w:top w:val="none" w:sz="0" w:space="0" w:color="auto"/>
                <w:left w:val="none" w:sz="0" w:space="0" w:color="auto"/>
                <w:bottom w:val="none" w:sz="0" w:space="0" w:color="auto"/>
                <w:right w:val="none" w:sz="0" w:space="0" w:color="auto"/>
              </w:divBdr>
            </w:div>
          </w:divsChild>
        </w:div>
        <w:div w:id="2102141669">
          <w:marLeft w:val="0"/>
          <w:marRight w:val="0"/>
          <w:marTop w:val="0"/>
          <w:marBottom w:val="0"/>
          <w:divBdr>
            <w:top w:val="none" w:sz="0" w:space="0" w:color="auto"/>
            <w:left w:val="none" w:sz="0" w:space="0" w:color="auto"/>
            <w:bottom w:val="none" w:sz="0" w:space="0" w:color="auto"/>
            <w:right w:val="none" w:sz="0" w:space="0" w:color="auto"/>
          </w:divBdr>
          <w:divsChild>
            <w:div w:id="66574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633915">
      <w:bodyDiv w:val="1"/>
      <w:marLeft w:val="0"/>
      <w:marRight w:val="0"/>
      <w:marTop w:val="0"/>
      <w:marBottom w:val="0"/>
      <w:divBdr>
        <w:top w:val="none" w:sz="0" w:space="0" w:color="auto"/>
        <w:left w:val="none" w:sz="0" w:space="0" w:color="auto"/>
        <w:bottom w:val="none" w:sz="0" w:space="0" w:color="auto"/>
        <w:right w:val="none" w:sz="0" w:space="0" w:color="auto"/>
      </w:divBdr>
      <w:divsChild>
        <w:div w:id="2019917074">
          <w:marLeft w:val="0"/>
          <w:marRight w:val="0"/>
          <w:marTop w:val="0"/>
          <w:marBottom w:val="0"/>
          <w:divBdr>
            <w:top w:val="none" w:sz="0" w:space="0" w:color="auto"/>
            <w:left w:val="none" w:sz="0" w:space="0" w:color="auto"/>
            <w:bottom w:val="none" w:sz="0" w:space="0" w:color="auto"/>
            <w:right w:val="none" w:sz="0" w:space="0" w:color="auto"/>
          </w:divBdr>
        </w:div>
      </w:divsChild>
    </w:div>
    <w:div w:id="1028020026">
      <w:bodyDiv w:val="1"/>
      <w:marLeft w:val="0"/>
      <w:marRight w:val="0"/>
      <w:marTop w:val="0"/>
      <w:marBottom w:val="0"/>
      <w:divBdr>
        <w:top w:val="none" w:sz="0" w:space="0" w:color="auto"/>
        <w:left w:val="none" w:sz="0" w:space="0" w:color="auto"/>
        <w:bottom w:val="none" w:sz="0" w:space="0" w:color="auto"/>
        <w:right w:val="none" w:sz="0" w:space="0" w:color="auto"/>
      </w:divBdr>
      <w:divsChild>
        <w:div w:id="409473982">
          <w:marLeft w:val="0"/>
          <w:marRight w:val="0"/>
          <w:marTop w:val="0"/>
          <w:marBottom w:val="150"/>
          <w:divBdr>
            <w:top w:val="none" w:sz="0" w:space="0" w:color="auto"/>
            <w:left w:val="none" w:sz="0" w:space="0" w:color="auto"/>
            <w:bottom w:val="none" w:sz="0" w:space="0" w:color="auto"/>
            <w:right w:val="none" w:sz="0" w:space="0" w:color="auto"/>
          </w:divBdr>
        </w:div>
        <w:div w:id="846094761">
          <w:marLeft w:val="0"/>
          <w:marRight w:val="0"/>
          <w:marTop w:val="0"/>
          <w:marBottom w:val="0"/>
          <w:divBdr>
            <w:top w:val="none" w:sz="0" w:space="0" w:color="auto"/>
            <w:left w:val="none" w:sz="0" w:space="0" w:color="auto"/>
            <w:bottom w:val="none" w:sz="0" w:space="0" w:color="auto"/>
            <w:right w:val="none" w:sz="0" w:space="0" w:color="auto"/>
          </w:divBdr>
          <w:divsChild>
            <w:div w:id="1047875417">
              <w:marLeft w:val="0"/>
              <w:marRight w:val="0"/>
              <w:marTop w:val="0"/>
              <w:marBottom w:val="0"/>
              <w:divBdr>
                <w:top w:val="none" w:sz="0" w:space="0" w:color="auto"/>
                <w:left w:val="none" w:sz="0" w:space="0" w:color="auto"/>
                <w:bottom w:val="none" w:sz="0" w:space="0" w:color="auto"/>
                <w:right w:val="none" w:sz="0" w:space="0" w:color="auto"/>
              </w:divBdr>
            </w:div>
          </w:divsChild>
        </w:div>
        <w:div w:id="1701467609">
          <w:marLeft w:val="0"/>
          <w:marRight w:val="0"/>
          <w:marTop w:val="0"/>
          <w:marBottom w:val="150"/>
          <w:divBdr>
            <w:top w:val="none" w:sz="0" w:space="0" w:color="auto"/>
            <w:left w:val="none" w:sz="0" w:space="0" w:color="auto"/>
            <w:bottom w:val="none" w:sz="0" w:space="0" w:color="auto"/>
            <w:right w:val="none" w:sz="0" w:space="0" w:color="auto"/>
          </w:divBdr>
          <w:divsChild>
            <w:div w:id="70379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215326">
      <w:bodyDiv w:val="1"/>
      <w:marLeft w:val="0"/>
      <w:marRight w:val="0"/>
      <w:marTop w:val="0"/>
      <w:marBottom w:val="0"/>
      <w:divBdr>
        <w:top w:val="none" w:sz="0" w:space="0" w:color="auto"/>
        <w:left w:val="none" w:sz="0" w:space="0" w:color="auto"/>
        <w:bottom w:val="none" w:sz="0" w:space="0" w:color="auto"/>
        <w:right w:val="none" w:sz="0" w:space="0" w:color="auto"/>
      </w:divBdr>
      <w:divsChild>
        <w:div w:id="1711028019">
          <w:marLeft w:val="0"/>
          <w:marRight w:val="0"/>
          <w:marTop w:val="0"/>
          <w:marBottom w:val="0"/>
          <w:divBdr>
            <w:top w:val="none" w:sz="0" w:space="0" w:color="auto"/>
            <w:left w:val="none" w:sz="0" w:space="0" w:color="auto"/>
            <w:bottom w:val="dotted" w:sz="6" w:space="4" w:color="DDDDDD"/>
            <w:right w:val="none" w:sz="0" w:space="0" w:color="auto"/>
          </w:divBdr>
          <w:divsChild>
            <w:div w:id="19774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222131">
      <w:bodyDiv w:val="1"/>
      <w:marLeft w:val="0"/>
      <w:marRight w:val="0"/>
      <w:marTop w:val="0"/>
      <w:marBottom w:val="0"/>
      <w:divBdr>
        <w:top w:val="none" w:sz="0" w:space="0" w:color="auto"/>
        <w:left w:val="none" w:sz="0" w:space="0" w:color="auto"/>
        <w:bottom w:val="none" w:sz="0" w:space="0" w:color="auto"/>
        <w:right w:val="none" w:sz="0" w:space="0" w:color="auto"/>
      </w:divBdr>
      <w:divsChild>
        <w:div w:id="900596411">
          <w:marLeft w:val="0"/>
          <w:marRight w:val="0"/>
          <w:marTop w:val="0"/>
          <w:marBottom w:val="0"/>
          <w:divBdr>
            <w:top w:val="none" w:sz="0" w:space="0" w:color="auto"/>
            <w:left w:val="none" w:sz="0" w:space="0" w:color="auto"/>
            <w:bottom w:val="none" w:sz="0" w:space="0" w:color="auto"/>
            <w:right w:val="none" w:sz="0" w:space="0" w:color="auto"/>
          </w:divBdr>
          <w:divsChild>
            <w:div w:id="541596135">
              <w:marLeft w:val="0"/>
              <w:marRight w:val="0"/>
              <w:marTop w:val="0"/>
              <w:marBottom w:val="0"/>
              <w:divBdr>
                <w:top w:val="none" w:sz="0" w:space="0" w:color="auto"/>
                <w:left w:val="none" w:sz="0" w:space="0" w:color="auto"/>
                <w:bottom w:val="none" w:sz="0" w:space="0" w:color="auto"/>
                <w:right w:val="none" w:sz="0" w:space="0" w:color="auto"/>
              </w:divBdr>
              <w:divsChild>
                <w:div w:id="78396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261082">
          <w:marLeft w:val="0"/>
          <w:marRight w:val="0"/>
          <w:marTop w:val="0"/>
          <w:marBottom w:val="450"/>
          <w:divBdr>
            <w:top w:val="none" w:sz="0" w:space="0" w:color="auto"/>
            <w:left w:val="none" w:sz="0" w:space="0" w:color="auto"/>
            <w:bottom w:val="single" w:sz="6" w:space="19" w:color="EEEEEE"/>
            <w:right w:val="none" w:sz="0" w:space="0" w:color="auto"/>
          </w:divBdr>
          <w:divsChild>
            <w:div w:id="1012343957">
              <w:marLeft w:val="0"/>
              <w:marRight w:val="0"/>
              <w:marTop w:val="0"/>
              <w:marBottom w:val="150"/>
              <w:divBdr>
                <w:top w:val="none" w:sz="0" w:space="0" w:color="auto"/>
                <w:left w:val="none" w:sz="0" w:space="0" w:color="auto"/>
                <w:bottom w:val="none" w:sz="0" w:space="0" w:color="auto"/>
                <w:right w:val="none" w:sz="0" w:space="0" w:color="auto"/>
              </w:divBdr>
              <w:divsChild>
                <w:div w:id="859273786">
                  <w:marLeft w:val="0"/>
                  <w:marRight w:val="0"/>
                  <w:marTop w:val="0"/>
                  <w:marBottom w:val="0"/>
                  <w:divBdr>
                    <w:top w:val="none" w:sz="0" w:space="0" w:color="auto"/>
                    <w:left w:val="none" w:sz="0" w:space="0" w:color="auto"/>
                    <w:bottom w:val="none" w:sz="0" w:space="0" w:color="auto"/>
                    <w:right w:val="none" w:sz="0" w:space="0" w:color="auto"/>
                  </w:divBdr>
                </w:div>
              </w:divsChild>
            </w:div>
            <w:div w:id="202520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677398">
      <w:bodyDiv w:val="1"/>
      <w:marLeft w:val="0"/>
      <w:marRight w:val="0"/>
      <w:marTop w:val="0"/>
      <w:marBottom w:val="0"/>
      <w:divBdr>
        <w:top w:val="none" w:sz="0" w:space="0" w:color="auto"/>
        <w:left w:val="none" w:sz="0" w:space="0" w:color="auto"/>
        <w:bottom w:val="none" w:sz="0" w:space="0" w:color="auto"/>
        <w:right w:val="none" w:sz="0" w:space="0" w:color="auto"/>
      </w:divBdr>
    </w:div>
    <w:div w:id="1028944813">
      <w:bodyDiv w:val="1"/>
      <w:marLeft w:val="0"/>
      <w:marRight w:val="0"/>
      <w:marTop w:val="0"/>
      <w:marBottom w:val="0"/>
      <w:divBdr>
        <w:top w:val="none" w:sz="0" w:space="0" w:color="auto"/>
        <w:left w:val="none" w:sz="0" w:space="0" w:color="auto"/>
        <w:bottom w:val="none" w:sz="0" w:space="0" w:color="auto"/>
        <w:right w:val="none" w:sz="0" w:space="0" w:color="auto"/>
      </w:divBdr>
      <w:divsChild>
        <w:div w:id="425612208">
          <w:marLeft w:val="0"/>
          <w:marRight w:val="0"/>
          <w:marTop w:val="0"/>
          <w:marBottom w:val="0"/>
          <w:divBdr>
            <w:top w:val="none" w:sz="0" w:space="0" w:color="auto"/>
            <w:left w:val="none" w:sz="0" w:space="0" w:color="auto"/>
            <w:bottom w:val="none" w:sz="0" w:space="0" w:color="auto"/>
            <w:right w:val="none" w:sz="0" w:space="0" w:color="auto"/>
          </w:divBdr>
          <w:divsChild>
            <w:div w:id="1521122633">
              <w:marLeft w:val="0"/>
              <w:marRight w:val="0"/>
              <w:marTop w:val="0"/>
              <w:marBottom w:val="0"/>
              <w:divBdr>
                <w:top w:val="none" w:sz="0" w:space="0" w:color="auto"/>
                <w:left w:val="none" w:sz="0" w:space="0" w:color="auto"/>
                <w:bottom w:val="none" w:sz="0" w:space="0" w:color="auto"/>
                <w:right w:val="none" w:sz="0" w:space="0" w:color="auto"/>
              </w:divBdr>
              <w:divsChild>
                <w:div w:id="181313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028535">
          <w:marLeft w:val="0"/>
          <w:marRight w:val="0"/>
          <w:marTop w:val="0"/>
          <w:marBottom w:val="75"/>
          <w:divBdr>
            <w:top w:val="none" w:sz="0" w:space="0" w:color="auto"/>
            <w:left w:val="none" w:sz="0" w:space="0" w:color="auto"/>
            <w:bottom w:val="none" w:sz="0" w:space="0" w:color="auto"/>
            <w:right w:val="none" w:sz="0" w:space="0" w:color="auto"/>
          </w:divBdr>
        </w:div>
        <w:div w:id="1652559461">
          <w:marLeft w:val="0"/>
          <w:marRight w:val="0"/>
          <w:marTop w:val="0"/>
          <w:marBottom w:val="0"/>
          <w:divBdr>
            <w:top w:val="none" w:sz="0" w:space="0" w:color="auto"/>
            <w:left w:val="none" w:sz="0" w:space="0" w:color="auto"/>
            <w:bottom w:val="none" w:sz="0" w:space="0" w:color="auto"/>
            <w:right w:val="none" w:sz="0" w:space="0" w:color="auto"/>
          </w:divBdr>
        </w:div>
        <w:div w:id="1730687309">
          <w:marLeft w:val="0"/>
          <w:marRight w:val="0"/>
          <w:marTop w:val="0"/>
          <w:marBottom w:val="300"/>
          <w:divBdr>
            <w:top w:val="none" w:sz="0" w:space="0" w:color="auto"/>
            <w:left w:val="none" w:sz="0" w:space="0" w:color="auto"/>
            <w:bottom w:val="none" w:sz="0" w:space="0" w:color="auto"/>
            <w:right w:val="none" w:sz="0" w:space="0" w:color="auto"/>
          </w:divBdr>
          <w:divsChild>
            <w:div w:id="73219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139023">
      <w:bodyDiv w:val="1"/>
      <w:marLeft w:val="0"/>
      <w:marRight w:val="0"/>
      <w:marTop w:val="0"/>
      <w:marBottom w:val="0"/>
      <w:divBdr>
        <w:top w:val="none" w:sz="0" w:space="0" w:color="auto"/>
        <w:left w:val="none" w:sz="0" w:space="0" w:color="auto"/>
        <w:bottom w:val="none" w:sz="0" w:space="0" w:color="auto"/>
        <w:right w:val="none" w:sz="0" w:space="0" w:color="auto"/>
      </w:divBdr>
      <w:divsChild>
        <w:div w:id="1292782260">
          <w:marLeft w:val="0"/>
          <w:marRight w:val="0"/>
          <w:marTop w:val="0"/>
          <w:marBottom w:val="150"/>
          <w:divBdr>
            <w:top w:val="none" w:sz="0" w:space="0" w:color="auto"/>
            <w:left w:val="none" w:sz="0" w:space="0" w:color="auto"/>
            <w:bottom w:val="none" w:sz="0" w:space="0" w:color="auto"/>
            <w:right w:val="none" w:sz="0" w:space="0" w:color="auto"/>
          </w:divBdr>
          <w:divsChild>
            <w:div w:id="1445230659">
              <w:marLeft w:val="0"/>
              <w:marRight w:val="0"/>
              <w:marTop w:val="0"/>
              <w:marBottom w:val="0"/>
              <w:divBdr>
                <w:top w:val="none" w:sz="0" w:space="0" w:color="auto"/>
                <w:left w:val="none" w:sz="0" w:space="0" w:color="auto"/>
                <w:bottom w:val="none" w:sz="0" w:space="0" w:color="auto"/>
                <w:right w:val="none" w:sz="0" w:space="0" w:color="auto"/>
              </w:divBdr>
              <w:divsChild>
                <w:div w:id="1084646252">
                  <w:marLeft w:val="0"/>
                  <w:marRight w:val="0"/>
                  <w:marTop w:val="0"/>
                  <w:marBottom w:val="0"/>
                  <w:divBdr>
                    <w:top w:val="none" w:sz="0" w:space="0" w:color="auto"/>
                    <w:left w:val="none" w:sz="0" w:space="0" w:color="auto"/>
                    <w:bottom w:val="none" w:sz="0" w:space="0" w:color="auto"/>
                    <w:right w:val="none" w:sz="0" w:space="0" w:color="auto"/>
                  </w:divBdr>
                  <w:divsChild>
                    <w:div w:id="1006322541">
                      <w:marLeft w:val="0"/>
                      <w:marRight w:val="150"/>
                      <w:marTop w:val="0"/>
                      <w:marBottom w:val="0"/>
                      <w:divBdr>
                        <w:top w:val="none" w:sz="0" w:space="0" w:color="auto"/>
                        <w:left w:val="none" w:sz="0" w:space="0" w:color="auto"/>
                        <w:bottom w:val="none" w:sz="0" w:space="0" w:color="auto"/>
                        <w:right w:val="none" w:sz="0" w:space="0" w:color="auto"/>
                      </w:divBdr>
                      <w:divsChild>
                        <w:div w:id="151036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42659">
          <w:marLeft w:val="0"/>
          <w:marRight w:val="0"/>
          <w:marTop w:val="0"/>
          <w:marBottom w:val="150"/>
          <w:divBdr>
            <w:top w:val="none" w:sz="0" w:space="0" w:color="auto"/>
            <w:left w:val="none" w:sz="0" w:space="0" w:color="auto"/>
            <w:bottom w:val="none" w:sz="0" w:space="0" w:color="auto"/>
            <w:right w:val="none" w:sz="0" w:space="0" w:color="auto"/>
          </w:divBdr>
        </w:div>
        <w:div w:id="939987477">
          <w:marLeft w:val="0"/>
          <w:marRight w:val="0"/>
          <w:marTop w:val="0"/>
          <w:marBottom w:val="0"/>
          <w:divBdr>
            <w:top w:val="none" w:sz="0" w:space="0" w:color="auto"/>
            <w:left w:val="none" w:sz="0" w:space="0" w:color="auto"/>
            <w:bottom w:val="none" w:sz="0" w:space="0" w:color="auto"/>
            <w:right w:val="none" w:sz="0" w:space="0" w:color="auto"/>
          </w:divBdr>
          <w:divsChild>
            <w:div w:id="21241531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29258166">
      <w:bodyDiv w:val="1"/>
      <w:marLeft w:val="0"/>
      <w:marRight w:val="0"/>
      <w:marTop w:val="0"/>
      <w:marBottom w:val="0"/>
      <w:divBdr>
        <w:top w:val="none" w:sz="0" w:space="0" w:color="auto"/>
        <w:left w:val="none" w:sz="0" w:space="0" w:color="auto"/>
        <w:bottom w:val="none" w:sz="0" w:space="0" w:color="auto"/>
        <w:right w:val="none" w:sz="0" w:space="0" w:color="auto"/>
      </w:divBdr>
      <w:divsChild>
        <w:div w:id="1165704208">
          <w:marLeft w:val="0"/>
          <w:marRight w:val="0"/>
          <w:marTop w:val="0"/>
          <w:marBottom w:val="0"/>
          <w:divBdr>
            <w:top w:val="none" w:sz="0" w:space="0" w:color="auto"/>
            <w:left w:val="none" w:sz="0" w:space="0" w:color="auto"/>
            <w:bottom w:val="none" w:sz="0" w:space="0" w:color="auto"/>
            <w:right w:val="none" w:sz="0" w:space="0" w:color="auto"/>
          </w:divBdr>
          <w:divsChild>
            <w:div w:id="1952082873">
              <w:marLeft w:val="0"/>
              <w:marRight w:val="0"/>
              <w:marTop w:val="0"/>
              <w:marBottom w:val="0"/>
              <w:divBdr>
                <w:top w:val="none" w:sz="0" w:space="0" w:color="auto"/>
                <w:left w:val="none" w:sz="0" w:space="0" w:color="auto"/>
                <w:bottom w:val="none" w:sz="0" w:space="0" w:color="auto"/>
                <w:right w:val="none" w:sz="0" w:space="0" w:color="auto"/>
              </w:divBdr>
              <w:divsChild>
                <w:div w:id="484931302">
                  <w:marLeft w:val="0"/>
                  <w:marRight w:val="0"/>
                  <w:marTop w:val="0"/>
                  <w:marBottom w:val="0"/>
                  <w:divBdr>
                    <w:top w:val="none" w:sz="0" w:space="0" w:color="auto"/>
                    <w:left w:val="none" w:sz="0" w:space="0" w:color="auto"/>
                    <w:bottom w:val="none" w:sz="0" w:space="0" w:color="auto"/>
                    <w:right w:val="none" w:sz="0" w:space="0" w:color="auto"/>
                  </w:divBdr>
                  <w:divsChild>
                    <w:div w:id="822547641">
                      <w:marLeft w:val="0"/>
                      <w:marRight w:val="0"/>
                      <w:marTop w:val="0"/>
                      <w:marBottom w:val="0"/>
                      <w:divBdr>
                        <w:top w:val="none" w:sz="0" w:space="0" w:color="auto"/>
                        <w:left w:val="none" w:sz="0" w:space="0" w:color="auto"/>
                        <w:bottom w:val="none" w:sz="0" w:space="0" w:color="auto"/>
                        <w:right w:val="none" w:sz="0" w:space="0" w:color="auto"/>
                      </w:divBdr>
                      <w:divsChild>
                        <w:div w:id="1128817559">
                          <w:marLeft w:val="0"/>
                          <w:marRight w:val="0"/>
                          <w:marTop w:val="0"/>
                          <w:marBottom w:val="0"/>
                          <w:divBdr>
                            <w:top w:val="none" w:sz="0" w:space="0" w:color="auto"/>
                            <w:left w:val="none" w:sz="0" w:space="0" w:color="auto"/>
                            <w:bottom w:val="none" w:sz="0" w:space="0" w:color="auto"/>
                            <w:right w:val="none" w:sz="0" w:space="0" w:color="auto"/>
                          </w:divBdr>
                          <w:divsChild>
                            <w:div w:id="1815872607">
                              <w:marLeft w:val="0"/>
                              <w:marRight w:val="0"/>
                              <w:marTop w:val="0"/>
                              <w:marBottom w:val="0"/>
                              <w:divBdr>
                                <w:top w:val="none" w:sz="0" w:space="0" w:color="auto"/>
                                <w:left w:val="none" w:sz="0" w:space="0" w:color="auto"/>
                                <w:bottom w:val="none" w:sz="0" w:space="0" w:color="auto"/>
                                <w:right w:val="none" w:sz="0" w:space="0" w:color="auto"/>
                              </w:divBdr>
                              <w:divsChild>
                                <w:div w:id="11942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334444">
      <w:bodyDiv w:val="1"/>
      <w:marLeft w:val="0"/>
      <w:marRight w:val="0"/>
      <w:marTop w:val="0"/>
      <w:marBottom w:val="0"/>
      <w:divBdr>
        <w:top w:val="none" w:sz="0" w:space="0" w:color="auto"/>
        <w:left w:val="none" w:sz="0" w:space="0" w:color="auto"/>
        <w:bottom w:val="none" w:sz="0" w:space="0" w:color="auto"/>
        <w:right w:val="none" w:sz="0" w:space="0" w:color="auto"/>
      </w:divBdr>
      <w:divsChild>
        <w:div w:id="1114402648">
          <w:marLeft w:val="0"/>
          <w:marRight w:val="0"/>
          <w:marTop w:val="0"/>
          <w:marBottom w:val="0"/>
          <w:divBdr>
            <w:top w:val="none" w:sz="0" w:space="0" w:color="auto"/>
            <w:left w:val="none" w:sz="0" w:space="0" w:color="auto"/>
            <w:bottom w:val="none" w:sz="0" w:space="0" w:color="auto"/>
            <w:right w:val="none" w:sz="0" w:space="0" w:color="auto"/>
          </w:divBdr>
        </w:div>
        <w:div w:id="743992152">
          <w:marLeft w:val="0"/>
          <w:marRight w:val="0"/>
          <w:marTop w:val="0"/>
          <w:marBottom w:val="0"/>
          <w:divBdr>
            <w:top w:val="none" w:sz="0" w:space="0" w:color="auto"/>
            <w:left w:val="none" w:sz="0" w:space="0" w:color="auto"/>
            <w:bottom w:val="none" w:sz="0" w:space="0" w:color="auto"/>
            <w:right w:val="none" w:sz="0" w:space="0" w:color="auto"/>
          </w:divBdr>
        </w:div>
      </w:divsChild>
    </w:div>
    <w:div w:id="1029377087">
      <w:bodyDiv w:val="1"/>
      <w:marLeft w:val="0"/>
      <w:marRight w:val="0"/>
      <w:marTop w:val="0"/>
      <w:marBottom w:val="0"/>
      <w:divBdr>
        <w:top w:val="none" w:sz="0" w:space="0" w:color="auto"/>
        <w:left w:val="none" w:sz="0" w:space="0" w:color="auto"/>
        <w:bottom w:val="none" w:sz="0" w:space="0" w:color="auto"/>
        <w:right w:val="none" w:sz="0" w:space="0" w:color="auto"/>
      </w:divBdr>
      <w:divsChild>
        <w:div w:id="1351760304">
          <w:marLeft w:val="0"/>
          <w:marRight w:val="0"/>
          <w:marTop w:val="0"/>
          <w:marBottom w:val="0"/>
          <w:divBdr>
            <w:top w:val="none" w:sz="0" w:space="0" w:color="auto"/>
            <w:left w:val="none" w:sz="0" w:space="0" w:color="auto"/>
            <w:bottom w:val="none" w:sz="0" w:space="0" w:color="auto"/>
            <w:right w:val="none" w:sz="0" w:space="0" w:color="auto"/>
          </w:divBdr>
          <w:divsChild>
            <w:div w:id="1310747754">
              <w:marLeft w:val="0"/>
              <w:marRight w:val="0"/>
              <w:marTop w:val="0"/>
              <w:marBottom w:val="0"/>
              <w:divBdr>
                <w:top w:val="none" w:sz="0" w:space="0" w:color="auto"/>
                <w:left w:val="none" w:sz="0" w:space="0" w:color="auto"/>
                <w:bottom w:val="none" w:sz="0" w:space="0" w:color="auto"/>
                <w:right w:val="none" w:sz="0" w:space="0" w:color="auto"/>
              </w:divBdr>
              <w:divsChild>
                <w:div w:id="181944747">
                  <w:marLeft w:val="0"/>
                  <w:marRight w:val="0"/>
                  <w:marTop w:val="0"/>
                  <w:marBottom w:val="0"/>
                  <w:divBdr>
                    <w:top w:val="none" w:sz="0" w:space="0" w:color="auto"/>
                    <w:left w:val="none" w:sz="0" w:space="0" w:color="auto"/>
                    <w:bottom w:val="none" w:sz="0" w:space="0" w:color="auto"/>
                    <w:right w:val="none" w:sz="0" w:space="0" w:color="auto"/>
                  </w:divBdr>
                  <w:divsChild>
                    <w:div w:id="99690973">
                      <w:marLeft w:val="0"/>
                      <w:marRight w:val="0"/>
                      <w:marTop w:val="0"/>
                      <w:marBottom w:val="0"/>
                      <w:divBdr>
                        <w:top w:val="none" w:sz="0" w:space="0" w:color="auto"/>
                        <w:left w:val="none" w:sz="0" w:space="0" w:color="auto"/>
                        <w:bottom w:val="none" w:sz="0" w:space="0" w:color="auto"/>
                        <w:right w:val="none" w:sz="0" w:space="0" w:color="auto"/>
                      </w:divBdr>
                      <w:divsChild>
                        <w:div w:id="525826750">
                          <w:marLeft w:val="0"/>
                          <w:marRight w:val="0"/>
                          <w:marTop w:val="0"/>
                          <w:marBottom w:val="0"/>
                          <w:divBdr>
                            <w:top w:val="none" w:sz="0" w:space="0" w:color="auto"/>
                            <w:left w:val="none" w:sz="0" w:space="0" w:color="auto"/>
                            <w:bottom w:val="none" w:sz="0" w:space="0" w:color="auto"/>
                            <w:right w:val="none" w:sz="0" w:space="0" w:color="auto"/>
                          </w:divBdr>
                          <w:divsChild>
                            <w:div w:id="1872255066">
                              <w:marLeft w:val="0"/>
                              <w:marRight w:val="0"/>
                              <w:marTop w:val="0"/>
                              <w:marBottom w:val="0"/>
                              <w:divBdr>
                                <w:top w:val="none" w:sz="0" w:space="0" w:color="auto"/>
                                <w:left w:val="none" w:sz="0" w:space="0" w:color="auto"/>
                                <w:bottom w:val="none" w:sz="0" w:space="0" w:color="auto"/>
                                <w:right w:val="none" w:sz="0" w:space="0" w:color="auto"/>
                              </w:divBdr>
                              <w:divsChild>
                                <w:div w:id="395318149">
                                  <w:marLeft w:val="0"/>
                                  <w:marRight w:val="0"/>
                                  <w:marTop w:val="0"/>
                                  <w:marBottom w:val="0"/>
                                  <w:divBdr>
                                    <w:top w:val="none" w:sz="0" w:space="0" w:color="auto"/>
                                    <w:left w:val="none" w:sz="0" w:space="0" w:color="auto"/>
                                    <w:bottom w:val="none" w:sz="0" w:space="0" w:color="auto"/>
                                    <w:right w:val="none" w:sz="0" w:space="0" w:color="auto"/>
                                  </w:divBdr>
                                  <w:divsChild>
                                    <w:div w:id="16171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9447780">
      <w:bodyDiv w:val="1"/>
      <w:marLeft w:val="0"/>
      <w:marRight w:val="0"/>
      <w:marTop w:val="0"/>
      <w:marBottom w:val="0"/>
      <w:divBdr>
        <w:top w:val="none" w:sz="0" w:space="0" w:color="auto"/>
        <w:left w:val="none" w:sz="0" w:space="0" w:color="auto"/>
        <w:bottom w:val="none" w:sz="0" w:space="0" w:color="auto"/>
        <w:right w:val="none" w:sz="0" w:space="0" w:color="auto"/>
      </w:divBdr>
      <w:divsChild>
        <w:div w:id="294719371">
          <w:marLeft w:val="0"/>
          <w:marRight w:val="0"/>
          <w:marTop w:val="0"/>
          <w:marBottom w:val="0"/>
          <w:divBdr>
            <w:top w:val="none" w:sz="0" w:space="0" w:color="auto"/>
            <w:left w:val="none" w:sz="0" w:space="0" w:color="auto"/>
            <w:bottom w:val="none" w:sz="0" w:space="0" w:color="auto"/>
            <w:right w:val="none" w:sz="0" w:space="0" w:color="auto"/>
          </w:divBdr>
        </w:div>
      </w:divsChild>
    </w:div>
    <w:div w:id="1029450363">
      <w:bodyDiv w:val="1"/>
      <w:marLeft w:val="0"/>
      <w:marRight w:val="0"/>
      <w:marTop w:val="0"/>
      <w:marBottom w:val="0"/>
      <w:divBdr>
        <w:top w:val="none" w:sz="0" w:space="0" w:color="auto"/>
        <w:left w:val="none" w:sz="0" w:space="0" w:color="auto"/>
        <w:bottom w:val="none" w:sz="0" w:space="0" w:color="auto"/>
        <w:right w:val="none" w:sz="0" w:space="0" w:color="auto"/>
      </w:divBdr>
      <w:divsChild>
        <w:div w:id="277421283">
          <w:marLeft w:val="0"/>
          <w:marRight w:val="0"/>
          <w:marTop w:val="0"/>
          <w:marBottom w:val="0"/>
          <w:divBdr>
            <w:top w:val="none" w:sz="0" w:space="0" w:color="auto"/>
            <w:left w:val="none" w:sz="0" w:space="0" w:color="auto"/>
            <w:bottom w:val="none" w:sz="0" w:space="0" w:color="auto"/>
            <w:right w:val="none" w:sz="0" w:space="0" w:color="auto"/>
          </w:divBdr>
          <w:divsChild>
            <w:div w:id="1147625229">
              <w:marLeft w:val="0"/>
              <w:marRight w:val="0"/>
              <w:marTop w:val="0"/>
              <w:marBottom w:val="0"/>
              <w:divBdr>
                <w:top w:val="none" w:sz="0" w:space="0" w:color="auto"/>
                <w:left w:val="none" w:sz="0" w:space="0" w:color="auto"/>
                <w:bottom w:val="none" w:sz="0" w:space="0" w:color="auto"/>
                <w:right w:val="none" w:sz="0" w:space="0" w:color="auto"/>
              </w:divBdr>
              <w:divsChild>
                <w:div w:id="19816256">
                  <w:marLeft w:val="0"/>
                  <w:marRight w:val="0"/>
                  <w:marTop w:val="0"/>
                  <w:marBottom w:val="0"/>
                  <w:divBdr>
                    <w:top w:val="none" w:sz="0" w:space="0" w:color="auto"/>
                    <w:left w:val="none" w:sz="0" w:space="0" w:color="auto"/>
                    <w:bottom w:val="none" w:sz="0" w:space="0" w:color="auto"/>
                    <w:right w:val="none" w:sz="0" w:space="0" w:color="auto"/>
                  </w:divBdr>
                  <w:divsChild>
                    <w:div w:id="414673277">
                      <w:marLeft w:val="0"/>
                      <w:marRight w:val="0"/>
                      <w:marTop w:val="0"/>
                      <w:marBottom w:val="0"/>
                      <w:divBdr>
                        <w:top w:val="none" w:sz="0" w:space="0" w:color="auto"/>
                        <w:left w:val="none" w:sz="0" w:space="0" w:color="auto"/>
                        <w:bottom w:val="none" w:sz="0" w:space="0" w:color="auto"/>
                        <w:right w:val="none" w:sz="0" w:space="0" w:color="auto"/>
                      </w:divBdr>
                      <w:divsChild>
                        <w:div w:id="2049907971">
                          <w:marLeft w:val="0"/>
                          <w:marRight w:val="0"/>
                          <w:marTop w:val="0"/>
                          <w:marBottom w:val="0"/>
                          <w:divBdr>
                            <w:top w:val="none" w:sz="0" w:space="0" w:color="auto"/>
                            <w:left w:val="none" w:sz="0" w:space="0" w:color="auto"/>
                            <w:bottom w:val="none" w:sz="0" w:space="0" w:color="auto"/>
                            <w:right w:val="none" w:sz="0" w:space="0" w:color="auto"/>
                          </w:divBdr>
                          <w:divsChild>
                            <w:div w:id="643506241">
                              <w:marLeft w:val="0"/>
                              <w:marRight w:val="0"/>
                              <w:marTop w:val="0"/>
                              <w:marBottom w:val="0"/>
                              <w:divBdr>
                                <w:top w:val="none" w:sz="0" w:space="0" w:color="auto"/>
                                <w:left w:val="none" w:sz="0" w:space="0" w:color="auto"/>
                                <w:bottom w:val="none" w:sz="0" w:space="0" w:color="auto"/>
                                <w:right w:val="none" w:sz="0" w:space="0" w:color="auto"/>
                              </w:divBdr>
                              <w:divsChild>
                                <w:div w:id="362481866">
                                  <w:marLeft w:val="0"/>
                                  <w:marRight w:val="0"/>
                                  <w:marTop w:val="0"/>
                                  <w:marBottom w:val="0"/>
                                  <w:divBdr>
                                    <w:top w:val="none" w:sz="0" w:space="0" w:color="auto"/>
                                    <w:left w:val="none" w:sz="0" w:space="0" w:color="auto"/>
                                    <w:bottom w:val="none" w:sz="0" w:space="0" w:color="auto"/>
                                    <w:right w:val="none" w:sz="0" w:space="0" w:color="auto"/>
                                  </w:divBdr>
                                  <w:divsChild>
                                    <w:div w:id="207042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9453269">
      <w:bodyDiv w:val="1"/>
      <w:marLeft w:val="0"/>
      <w:marRight w:val="0"/>
      <w:marTop w:val="0"/>
      <w:marBottom w:val="0"/>
      <w:divBdr>
        <w:top w:val="none" w:sz="0" w:space="0" w:color="auto"/>
        <w:left w:val="none" w:sz="0" w:space="0" w:color="auto"/>
        <w:bottom w:val="none" w:sz="0" w:space="0" w:color="auto"/>
        <w:right w:val="none" w:sz="0" w:space="0" w:color="auto"/>
      </w:divBdr>
    </w:div>
    <w:div w:id="1029717116">
      <w:bodyDiv w:val="1"/>
      <w:marLeft w:val="0"/>
      <w:marRight w:val="0"/>
      <w:marTop w:val="0"/>
      <w:marBottom w:val="0"/>
      <w:divBdr>
        <w:top w:val="none" w:sz="0" w:space="0" w:color="auto"/>
        <w:left w:val="none" w:sz="0" w:space="0" w:color="auto"/>
        <w:bottom w:val="none" w:sz="0" w:space="0" w:color="auto"/>
        <w:right w:val="none" w:sz="0" w:space="0" w:color="auto"/>
      </w:divBdr>
      <w:divsChild>
        <w:div w:id="1523088346">
          <w:marLeft w:val="0"/>
          <w:marRight w:val="0"/>
          <w:marTop w:val="0"/>
          <w:marBottom w:val="450"/>
          <w:divBdr>
            <w:top w:val="none" w:sz="0" w:space="0" w:color="auto"/>
            <w:left w:val="none" w:sz="0" w:space="0" w:color="auto"/>
            <w:bottom w:val="single" w:sz="6" w:space="19" w:color="EEEEEE"/>
            <w:right w:val="none" w:sz="0" w:space="0" w:color="auto"/>
          </w:divBdr>
          <w:divsChild>
            <w:div w:id="1090658141">
              <w:marLeft w:val="0"/>
              <w:marRight w:val="0"/>
              <w:marTop w:val="0"/>
              <w:marBottom w:val="150"/>
              <w:divBdr>
                <w:top w:val="none" w:sz="0" w:space="0" w:color="auto"/>
                <w:left w:val="none" w:sz="0" w:space="0" w:color="auto"/>
                <w:bottom w:val="none" w:sz="0" w:space="0" w:color="auto"/>
                <w:right w:val="none" w:sz="0" w:space="0" w:color="auto"/>
              </w:divBdr>
              <w:divsChild>
                <w:div w:id="2095471747">
                  <w:marLeft w:val="0"/>
                  <w:marRight w:val="0"/>
                  <w:marTop w:val="0"/>
                  <w:marBottom w:val="0"/>
                  <w:divBdr>
                    <w:top w:val="none" w:sz="0" w:space="0" w:color="auto"/>
                    <w:left w:val="none" w:sz="0" w:space="0" w:color="auto"/>
                    <w:bottom w:val="none" w:sz="0" w:space="0" w:color="auto"/>
                    <w:right w:val="none" w:sz="0" w:space="0" w:color="auto"/>
                  </w:divBdr>
                </w:div>
              </w:divsChild>
            </w:div>
            <w:div w:id="1246577007">
              <w:marLeft w:val="0"/>
              <w:marRight w:val="0"/>
              <w:marTop w:val="0"/>
              <w:marBottom w:val="0"/>
              <w:divBdr>
                <w:top w:val="none" w:sz="0" w:space="0" w:color="auto"/>
                <w:left w:val="none" w:sz="0" w:space="0" w:color="auto"/>
                <w:bottom w:val="none" w:sz="0" w:space="0" w:color="auto"/>
                <w:right w:val="none" w:sz="0" w:space="0" w:color="auto"/>
              </w:divBdr>
            </w:div>
          </w:divsChild>
        </w:div>
        <w:div w:id="492641987">
          <w:marLeft w:val="0"/>
          <w:marRight w:val="0"/>
          <w:marTop w:val="0"/>
          <w:marBottom w:val="0"/>
          <w:divBdr>
            <w:top w:val="none" w:sz="0" w:space="0" w:color="auto"/>
            <w:left w:val="none" w:sz="0" w:space="0" w:color="auto"/>
            <w:bottom w:val="none" w:sz="0" w:space="0" w:color="auto"/>
            <w:right w:val="none" w:sz="0" w:space="0" w:color="auto"/>
          </w:divBdr>
          <w:divsChild>
            <w:div w:id="2081096471">
              <w:marLeft w:val="0"/>
              <w:marRight w:val="0"/>
              <w:marTop w:val="0"/>
              <w:marBottom w:val="0"/>
              <w:divBdr>
                <w:top w:val="none" w:sz="0" w:space="0" w:color="auto"/>
                <w:left w:val="none" w:sz="0" w:space="0" w:color="auto"/>
                <w:bottom w:val="none" w:sz="0" w:space="0" w:color="auto"/>
                <w:right w:val="none" w:sz="0" w:space="0" w:color="auto"/>
              </w:divBdr>
              <w:divsChild>
                <w:div w:id="14777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725626">
      <w:bodyDiv w:val="1"/>
      <w:marLeft w:val="0"/>
      <w:marRight w:val="0"/>
      <w:marTop w:val="0"/>
      <w:marBottom w:val="0"/>
      <w:divBdr>
        <w:top w:val="none" w:sz="0" w:space="0" w:color="auto"/>
        <w:left w:val="none" w:sz="0" w:space="0" w:color="auto"/>
        <w:bottom w:val="none" w:sz="0" w:space="0" w:color="auto"/>
        <w:right w:val="none" w:sz="0" w:space="0" w:color="auto"/>
      </w:divBdr>
    </w:div>
    <w:div w:id="1030029632">
      <w:bodyDiv w:val="1"/>
      <w:marLeft w:val="0"/>
      <w:marRight w:val="0"/>
      <w:marTop w:val="0"/>
      <w:marBottom w:val="0"/>
      <w:divBdr>
        <w:top w:val="none" w:sz="0" w:space="0" w:color="auto"/>
        <w:left w:val="none" w:sz="0" w:space="0" w:color="auto"/>
        <w:bottom w:val="none" w:sz="0" w:space="0" w:color="auto"/>
        <w:right w:val="none" w:sz="0" w:space="0" w:color="auto"/>
      </w:divBdr>
      <w:divsChild>
        <w:div w:id="743647890">
          <w:marLeft w:val="0"/>
          <w:marRight w:val="0"/>
          <w:marTop w:val="0"/>
          <w:marBottom w:val="150"/>
          <w:divBdr>
            <w:top w:val="none" w:sz="0" w:space="0" w:color="auto"/>
            <w:left w:val="none" w:sz="0" w:space="0" w:color="auto"/>
            <w:bottom w:val="none" w:sz="0" w:space="0" w:color="auto"/>
            <w:right w:val="none" w:sz="0" w:space="0" w:color="auto"/>
          </w:divBdr>
          <w:divsChild>
            <w:div w:id="580720723">
              <w:marLeft w:val="0"/>
              <w:marRight w:val="0"/>
              <w:marTop w:val="0"/>
              <w:marBottom w:val="0"/>
              <w:divBdr>
                <w:top w:val="none" w:sz="0" w:space="0" w:color="auto"/>
                <w:left w:val="none" w:sz="0" w:space="0" w:color="auto"/>
                <w:bottom w:val="none" w:sz="0" w:space="0" w:color="auto"/>
                <w:right w:val="none" w:sz="0" w:space="0" w:color="auto"/>
              </w:divBdr>
            </w:div>
          </w:divsChild>
        </w:div>
        <w:div w:id="1034581422">
          <w:marLeft w:val="0"/>
          <w:marRight w:val="0"/>
          <w:marTop w:val="0"/>
          <w:marBottom w:val="0"/>
          <w:divBdr>
            <w:top w:val="none" w:sz="0" w:space="0" w:color="auto"/>
            <w:left w:val="none" w:sz="0" w:space="0" w:color="auto"/>
            <w:bottom w:val="none" w:sz="0" w:space="0" w:color="auto"/>
            <w:right w:val="none" w:sz="0" w:space="0" w:color="auto"/>
          </w:divBdr>
          <w:divsChild>
            <w:div w:id="1617054403">
              <w:marLeft w:val="0"/>
              <w:marRight w:val="0"/>
              <w:marTop w:val="0"/>
              <w:marBottom w:val="0"/>
              <w:divBdr>
                <w:top w:val="none" w:sz="0" w:space="0" w:color="auto"/>
                <w:left w:val="none" w:sz="0" w:space="0" w:color="auto"/>
                <w:bottom w:val="none" w:sz="0" w:space="0" w:color="auto"/>
                <w:right w:val="none" w:sz="0" w:space="0" w:color="auto"/>
              </w:divBdr>
            </w:div>
          </w:divsChild>
        </w:div>
        <w:div w:id="1235509491">
          <w:marLeft w:val="0"/>
          <w:marRight w:val="0"/>
          <w:marTop w:val="0"/>
          <w:marBottom w:val="150"/>
          <w:divBdr>
            <w:top w:val="none" w:sz="0" w:space="0" w:color="auto"/>
            <w:left w:val="none" w:sz="0" w:space="0" w:color="auto"/>
            <w:bottom w:val="none" w:sz="0" w:space="0" w:color="auto"/>
            <w:right w:val="none" w:sz="0" w:space="0" w:color="auto"/>
          </w:divBdr>
        </w:div>
      </w:divsChild>
    </w:div>
    <w:div w:id="1030492606">
      <w:bodyDiv w:val="1"/>
      <w:marLeft w:val="0"/>
      <w:marRight w:val="0"/>
      <w:marTop w:val="0"/>
      <w:marBottom w:val="0"/>
      <w:divBdr>
        <w:top w:val="none" w:sz="0" w:space="0" w:color="auto"/>
        <w:left w:val="none" w:sz="0" w:space="0" w:color="auto"/>
        <w:bottom w:val="none" w:sz="0" w:space="0" w:color="auto"/>
        <w:right w:val="none" w:sz="0" w:space="0" w:color="auto"/>
      </w:divBdr>
    </w:div>
    <w:div w:id="1030641062">
      <w:bodyDiv w:val="1"/>
      <w:marLeft w:val="0"/>
      <w:marRight w:val="0"/>
      <w:marTop w:val="0"/>
      <w:marBottom w:val="0"/>
      <w:divBdr>
        <w:top w:val="none" w:sz="0" w:space="0" w:color="auto"/>
        <w:left w:val="none" w:sz="0" w:space="0" w:color="auto"/>
        <w:bottom w:val="none" w:sz="0" w:space="0" w:color="auto"/>
        <w:right w:val="none" w:sz="0" w:space="0" w:color="auto"/>
      </w:divBdr>
      <w:divsChild>
        <w:div w:id="1909730612">
          <w:marLeft w:val="0"/>
          <w:marRight w:val="0"/>
          <w:marTop w:val="0"/>
          <w:marBottom w:val="150"/>
          <w:divBdr>
            <w:top w:val="none" w:sz="0" w:space="0" w:color="auto"/>
            <w:left w:val="none" w:sz="0" w:space="0" w:color="auto"/>
            <w:bottom w:val="none" w:sz="0" w:space="0" w:color="auto"/>
            <w:right w:val="none" w:sz="0" w:space="0" w:color="auto"/>
          </w:divBdr>
        </w:div>
      </w:divsChild>
    </w:div>
    <w:div w:id="1031035851">
      <w:bodyDiv w:val="1"/>
      <w:marLeft w:val="0"/>
      <w:marRight w:val="0"/>
      <w:marTop w:val="0"/>
      <w:marBottom w:val="0"/>
      <w:divBdr>
        <w:top w:val="none" w:sz="0" w:space="0" w:color="auto"/>
        <w:left w:val="none" w:sz="0" w:space="0" w:color="auto"/>
        <w:bottom w:val="none" w:sz="0" w:space="0" w:color="auto"/>
        <w:right w:val="none" w:sz="0" w:space="0" w:color="auto"/>
      </w:divBdr>
      <w:divsChild>
        <w:div w:id="743063579">
          <w:marLeft w:val="0"/>
          <w:marRight w:val="0"/>
          <w:marTop w:val="0"/>
          <w:marBottom w:val="180"/>
          <w:divBdr>
            <w:top w:val="none" w:sz="0" w:space="0" w:color="auto"/>
            <w:left w:val="none" w:sz="0" w:space="0" w:color="auto"/>
            <w:bottom w:val="none" w:sz="0" w:space="0" w:color="auto"/>
            <w:right w:val="none" w:sz="0" w:space="0" w:color="auto"/>
          </w:divBdr>
        </w:div>
        <w:div w:id="1425880944">
          <w:marLeft w:val="0"/>
          <w:marRight w:val="0"/>
          <w:marTop w:val="0"/>
          <w:marBottom w:val="180"/>
          <w:divBdr>
            <w:top w:val="none" w:sz="0" w:space="0" w:color="auto"/>
            <w:left w:val="none" w:sz="0" w:space="0" w:color="auto"/>
            <w:bottom w:val="none" w:sz="0" w:space="0" w:color="auto"/>
            <w:right w:val="none" w:sz="0" w:space="0" w:color="auto"/>
          </w:divBdr>
        </w:div>
        <w:div w:id="1718356027">
          <w:marLeft w:val="0"/>
          <w:marRight w:val="0"/>
          <w:marTop w:val="0"/>
          <w:marBottom w:val="180"/>
          <w:divBdr>
            <w:top w:val="none" w:sz="0" w:space="0" w:color="auto"/>
            <w:left w:val="none" w:sz="0" w:space="0" w:color="auto"/>
            <w:bottom w:val="none" w:sz="0" w:space="0" w:color="auto"/>
            <w:right w:val="none" w:sz="0" w:space="0" w:color="auto"/>
          </w:divBdr>
        </w:div>
        <w:div w:id="1146706388">
          <w:marLeft w:val="0"/>
          <w:marRight w:val="0"/>
          <w:marTop w:val="0"/>
          <w:marBottom w:val="180"/>
          <w:divBdr>
            <w:top w:val="none" w:sz="0" w:space="0" w:color="auto"/>
            <w:left w:val="none" w:sz="0" w:space="0" w:color="auto"/>
            <w:bottom w:val="none" w:sz="0" w:space="0" w:color="auto"/>
            <w:right w:val="none" w:sz="0" w:space="0" w:color="auto"/>
          </w:divBdr>
        </w:div>
      </w:divsChild>
    </w:div>
    <w:div w:id="1031229531">
      <w:bodyDiv w:val="1"/>
      <w:marLeft w:val="0"/>
      <w:marRight w:val="0"/>
      <w:marTop w:val="0"/>
      <w:marBottom w:val="0"/>
      <w:divBdr>
        <w:top w:val="none" w:sz="0" w:space="0" w:color="auto"/>
        <w:left w:val="none" w:sz="0" w:space="0" w:color="auto"/>
        <w:bottom w:val="none" w:sz="0" w:space="0" w:color="auto"/>
        <w:right w:val="none" w:sz="0" w:space="0" w:color="auto"/>
      </w:divBdr>
      <w:divsChild>
        <w:div w:id="250431261">
          <w:marLeft w:val="0"/>
          <w:marRight w:val="0"/>
          <w:marTop w:val="0"/>
          <w:marBottom w:val="0"/>
          <w:divBdr>
            <w:top w:val="none" w:sz="0" w:space="0" w:color="auto"/>
            <w:left w:val="none" w:sz="0" w:space="0" w:color="auto"/>
            <w:bottom w:val="none" w:sz="0" w:space="0" w:color="auto"/>
            <w:right w:val="none" w:sz="0" w:space="0" w:color="auto"/>
          </w:divBdr>
          <w:divsChild>
            <w:div w:id="6761922">
              <w:marLeft w:val="0"/>
              <w:marRight w:val="0"/>
              <w:marTop w:val="0"/>
              <w:marBottom w:val="0"/>
              <w:divBdr>
                <w:top w:val="none" w:sz="0" w:space="0" w:color="auto"/>
                <w:left w:val="none" w:sz="0" w:space="0" w:color="auto"/>
                <w:bottom w:val="none" w:sz="0" w:space="0" w:color="auto"/>
                <w:right w:val="none" w:sz="0" w:space="0" w:color="auto"/>
              </w:divBdr>
              <w:divsChild>
                <w:div w:id="503790443">
                  <w:marLeft w:val="0"/>
                  <w:marRight w:val="0"/>
                  <w:marTop w:val="0"/>
                  <w:marBottom w:val="0"/>
                  <w:divBdr>
                    <w:top w:val="none" w:sz="0" w:space="0" w:color="auto"/>
                    <w:left w:val="none" w:sz="0" w:space="0" w:color="auto"/>
                    <w:bottom w:val="none" w:sz="0" w:space="0" w:color="auto"/>
                    <w:right w:val="none" w:sz="0" w:space="0" w:color="auto"/>
                  </w:divBdr>
                  <w:divsChild>
                    <w:div w:id="870458878">
                      <w:marLeft w:val="0"/>
                      <w:marRight w:val="0"/>
                      <w:marTop w:val="0"/>
                      <w:marBottom w:val="0"/>
                      <w:divBdr>
                        <w:top w:val="none" w:sz="0" w:space="0" w:color="auto"/>
                        <w:left w:val="none" w:sz="0" w:space="0" w:color="auto"/>
                        <w:bottom w:val="none" w:sz="0" w:space="0" w:color="auto"/>
                        <w:right w:val="none" w:sz="0" w:space="0" w:color="auto"/>
                      </w:divBdr>
                      <w:divsChild>
                        <w:div w:id="2097356436">
                          <w:marLeft w:val="0"/>
                          <w:marRight w:val="0"/>
                          <w:marTop w:val="0"/>
                          <w:marBottom w:val="0"/>
                          <w:divBdr>
                            <w:top w:val="none" w:sz="0" w:space="0" w:color="auto"/>
                            <w:left w:val="none" w:sz="0" w:space="0" w:color="auto"/>
                            <w:bottom w:val="none" w:sz="0" w:space="0" w:color="auto"/>
                            <w:right w:val="none" w:sz="0" w:space="0" w:color="auto"/>
                          </w:divBdr>
                          <w:divsChild>
                            <w:div w:id="508059184">
                              <w:marLeft w:val="0"/>
                              <w:marRight w:val="0"/>
                              <w:marTop w:val="0"/>
                              <w:marBottom w:val="0"/>
                              <w:divBdr>
                                <w:top w:val="none" w:sz="0" w:space="0" w:color="auto"/>
                                <w:left w:val="none" w:sz="0" w:space="0" w:color="auto"/>
                                <w:bottom w:val="none" w:sz="0" w:space="0" w:color="auto"/>
                                <w:right w:val="none" w:sz="0" w:space="0" w:color="auto"/>
                              </w:divBdr>
                              <w:divsChild>
                                <w:div w:id="1111634515">
                                  <w:marLeft w:val="0"/>
                                  <w:marRight w:val="0"/>
                                  <w:marTop w:val="0"/>
                                  <w:marBottom w:val="0"/>
                                  <w:divBdr>
                                    <w:top w:val="none" w:sz="0" w:space="0" w:color="auto"/>
                                    <w:left w:val="none" w:sz="0" w:space="0" w:color="auto"/>
                                    <w:bottom w:val="none" w:sz="0" w:space="0" w:color="auto"/>
                                    <w:right w:val="none" w:sz="0" w:space="0" w:color="auto"/>
                                  </w:divBdr>
                                  <w:divsChild>
                                    <w:div w:id="177589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1495979">
      <w:bodyDiv w:val="1"/>
      <w:marLeft w:val="0"/>
      <w:marRight w:val="0"/>
      <w:marTop w:val="0"/>
      <w:marBottom w:val="0"/>
      <w:divBdr>
        <w:top w:val="none" w:sz="0" w:space="0" w:color="auto"/>
        <w:left w:val="none" w:sz="0" w:space="0" w:color="auto"/>
        <w:bottom w:val="none" w:sz="0" w:space="0" w:color="auto"/>
        <w:right w:val="none" w:sz="0" w:space="0" w:color="auto"/>
      </w:divBdr>
      <w:divsChild>
        <w:div w:id="1340350067">
          <w:marLeft w:val="0"/>
          <w:marRight w:val="0"/>
          <w:marTop w:val="0"/>
          <w:marBottom w:val="0"/>
          <w:divBdr>
            <w:top w:val="none" w:sz="0" w:space="0" w:color="auto"/>
            <w:left w:val="none" w:sz="0" w:space="0" w:color="auto"/>
            <w:bottom w:val="none" w:sz="0" w:space="0" w:color="auto"/>
            <w:right w:val="none" w:sz="0" w:space="0" w:color="auto"/>
          </w:divBdr>
          <w:divsChild>
            <w:div w:id="212933472">
              <w:marLeft w:val="0"/>
              <w:marRight w:val="0"/>
              <w:marTop w:val="0"/>
              <w:marBottom w:val="0"/>
              <w:divBdr>
                <w:top w:val="none" w:sz="0" w:space="0" w:color="auto"/>
                <w:left w:val="none" w:sz="0" w:space="0" w:color="auto"/>
                <w:bottom w:val="none" w:sz="0" w:space="0" w:color="auto"/>
                <w:right w:val="none" w:sz="0" w:space="0" w:color="auto"/>
              </w:divBdr>
              <w:divsChild>
                <w:div w:id="344013381">
                  <w:marLeft w:val="0"/>
                  <w:marRight w:val="0"/>
                  <w:marTop w:val="0"/>
                  <w:marBottom w:val="0"/>
                  <w:divBdr>
                    <w:top w:val="none" w:sz="0" w:space="0" w:color="auto"/>
                    <w:left w:val="none" w:sz="0" w:space="0" w:color="auto"/>
                    <w:bottom w:val="none" w:sz="0" w:space="0" w:color="auto"/>
                    <w:right w:val="none" w:sz="0" w:space="0" w:color="auto"/>
                  </w:divBdr>
                  <w:divsChild>
                    <w:div w:id="751046581">
                      <w:marLeft w:val="0"/>
                      <w:marRight w:val="0"/>
                      <w:marTop w:val="0"/>
                      <w:marBottom w:val="0"/>
                      <w:divBdr>
                        <w:top w:val="none" w:sz="0" w:space="0" w:color="auto"/>
                        <w:left w:val="none" w:sz="0" w:space="0" w:color="auto"/>
                        <w:bottom w:val="none" w:sz="0" w:space="0" w:color="auto"/>
                        <w:right w:val="none" w:sz="0" w:space="0" w:color="auto"/>
                      </w:divBdr>
                      <w:divsChild>
                        <w:div w:id="1135292127">
                          <w:marLeft w:val="0"/>
                          <w:marRight w:val="0"/>
                          <w:marTop w:val="0"/>
                          <w:marBottom w:val="0"/>
                          <w:divBdr>
                            <w:top w:val="none" w:sz="0" w:space="0" w:color="auto"/>
                            <w:left w:val="none" w:sz="0" w:space="0" w:color="auto"/>
                            <w:bottom w:val="none" w:sz="0" w:space="0" w:color="auto"/>
                            <w:right w:val="none" w:sz="0" w:space="0" w:color="auto"/>
                          </w:divBdr>
                          <w:divsChild>
                            <w:div w:id="1472862625">
                              <w:marLeft w:val="0"/>
                              <w:marRight w:val="0"/>
                              <w:marTop w:val="0"/>
                              <w:marBottom w:val="0"/>
                              <w:divBdr>
                                <w:top w:val="none" w:sz="0" w:space="0" w:color="auto"/>
                                <w:left w:val="none" w:sz="0" w:space="0" w:color="auto"/>
                                <w:bottom w:val="none" w:sz="0" w:space="0" w:color="auto"/>
                                <w:right w:val="none" w:sz="0" w:space="0" w:color="auto"/>
                              </w:divBdr>
                              <w:divsChild>
                                <w:div w:id="384640038">
                                  <w:marLeft w:val="0"/>
                                  <w:marRight w:val="0"/>
                                  <w:marTop w:val="0"/>
                                  <w:marBottom w:val="75"/>
                                  <w:divBdr>
                                    <w:top w:val="none" w:sz="0" w:space="0" w:color="auto"/>
                                    <w:left w:val="none" w:sz="0" w:space="0" w:color="auto"/>
                                    <w:bottom w:val="none" w:sz="0" w:space="0" w:color="auto"/>
                                    <w:right w:val="none" w:sz="0" w:space="0" w:color="auto"/>
                                  </w:divBdr>
                                  <w:divsChild>
                                    <w:div w:id="405686915">
                                      <w:marLeft w:val="0"/>
                                      <w:marRight w:val="0"/>
                                      <w:marTop w:val="0"/>
                                      <w:marBottom w:val="0"/>
                                      <w:divBdr>
                                        <w:top w:val="none" w:sz="0" w:space="0" w:color="auto"/>
                                        <w:left w:val="none" w:sz="0" w:space="0" w:color="auto"/>
                                        <w:bottom w:val="none" w:sz="0" w:space="0" w:color="auto"/>
                                        <w:right w:val="none" w:sz="0" w:space="0" w:color="auto"/>
                                      </w:divBdr>
                                      <w:divsChild>
                                        <w:div w:id="1519194624">
                                          <w:marLeft w:val="0"/>
                                          <w:marRight w:val="0"/>
                                          <w:marTop w:val="0"/>
                                          <w:marBottom w:val="0"/>
                                          <w:divBdr>
                                            <w:top w:val="none" w:sz="0" w:space="0" w:color="auto"/>
                                            <w:left w:val="none" w:sz="0" w:space="0" w:color="auto"/>
                                            <w:bottom w:val="none" w:sz="0" w:space="0" w:color="auto"/>
                                            <w:right w:val="none" w:sz="0" w:space="0" w:color="auto"/>
                                          </w:divBdr>
                                          <w:divsChild>
                                            <w:div w:id="162484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1763484">
      <w:bodyDiv w:val="1"/>
      <w:marLeft w:val="0"/>
      <w:marRight w:val="0"/>
      <w:marTop w:val="0"/>
      <w:marBottom w:val="0"/>
      <w:divBdr>
        <w:top w:val="none" w:sz="0" w:space="0" w:color="auto"/>
        <w:left w:val="none" w:sz="0" w:space="0" w:color="auto"/>
        <w:bottom w:val="none" w:sz="0" w:space="0" w:color="auto"/>
        <w:right w:val="none" w:sz="0" w:space="0" w:color="auto"/>
      </w:divBdr>
      <w:divsChild>
        <w:div w:id="2109084621">
          <w:marLeft w:val="0"/>
          <w:marRight w:val="0"/>
          <w:marTop w:val="0"/>
          <w:marBottom w:val="0"/>
          <w:divBdr>
            <w:top w:val="none" w:sz="0" w:space="0" w:color="auto"/>
            <w:left w:val="none" w:sz="0" w:space="0" w:color="auto"/>
            <w:bottom w:val="none" w:sz="0" w:space="0" w:color="auto"/>
            <w:right w:val="none" w:sz="0" w:space="0" w:color="auto"/>
          </w:divBdr>
          <w:divsChild>
            <w:div w:id="433283352">
              <w:marLeft w:val="0"/>
              <w:marRight w:val="0"/>
              <w:marTop w:val="0"/>
              <w:marBottom w:val="0"/>
              <w:divBdr>
                <w:top w:val="none" w:sz="0" w:space="0" w:color="auto"/>
                <w:left w:val="none" w:sz="0" w:space="0" w:color="auto"/>
                <w:bottom w:val="none" w:sz="0" w:space="0" w:color="auto"/>
                <w:right w:val="none" w:sz="0" w:space="0" w:color="auto"/>
              </w:divBdr>
              <w:divsChild>
                <w:div w:id="1718699354">
                  <w:marLeft w:val="0"/>
                  <w:marRight w:val="0"/>
                  <w:marTop w:val="0"/>
                  <w:marBottom w:val="0"/>
                  <w:divBdr>
                    <w:top w:val="none" w:sz="0" w:space="0" w:color="auto"/>
                    <w:left w:val="none" w:sz="0" w:space="0" w:color="auto"/>
                    <w:bottom w:val="none" w:sz="0" w:space="0" w:color="auto"/>
                    <w:right w:val="none" w:sz="0" w:space="0" w:color="auto"/>
                  </w:divBdr>
                  <w:divsChild>
                    <w:div w:id="1851678356">
                      <w:marLeft w:val="0"/>
                      <w:marRight w:val="0"/>
                      <w:marTop w:val="0"/>
                      <w:marBottom w:val="0"/>
                      <w:divBdr>
                        <w:top w:val="none" w:sz="0" w:space="0" w:color="auto"/>
                        <w:left w:val="none" w:sz="0" w:space="0" w:color="auto"/>
                        <w:bottom w:val="none" w:sz="0" w:space="0" w:color="auto"/>
                        <w:right w:val="none" w:sz="0" w:space="0" w:color="auto"/>
                      </w:divBdr>
                      <w:divsChild>
                        <w:div w:id="1503080981">
                          <w:marLeft w:val="0"/>
                          <w:marRight w:val="0"/>
                          <w:marTop w:val="0"/>
                          <w:marBottom w:val="0"/>
                          <w:divBdr>
                            <w:top w:val="none" w:sz="0" w:space="0" w:color="auto"/>
                            <w:left w:val="none" w:sz="0" w:space="0" w:color="auto"/>
                            <w:bottom w:val="none" w:sz="0" w:space="0" w:color="auto"/>
                            <w:right w:val="none" w:sz="0" w:space="0" w:color="auto"/>
                          </w:divBdr>
                          <w:divsChild>
                            <w:div w:id="1983461539">
                              <w:marLeft w:val="0"/>
                              <w:marRight w:val="0"/>
                              <w:marTop w:val="0"/>
                              <w:marBottom w:val="0"/>
                              <w:divBdr>
                                <w:top w:val="none" w:sz="0" w:space="0" w:color="auto"/>
                                <w:left w:val="none" w:sz="0" w:space="0" w:color="auto"/>
                                <w:bottom w:val="none" w:sz="0" w:space="0" w:color="auto"/>
                                <w:right w:val="none" w:sz="0" w:space="0" w:color="auto"/>
                              </w:divBdr>
                              <w:divsChild>
                                <w:div w:id="1047143196">
                                  <w:marLeft w:val="0"/>
                                  <w:marRight w:val="0"/>
                                  <w:marTop w:val="0"/>
                                  <w:marBottom w:val="0"/>
                                  <w:divBdr>
                                    <w:top w:val="none" w:sz="0" w:space="0" w:color="auto"/>
                                    <w:left w:val="none" w:sz="0" w:space="0" w:color="auto"/>
                                    <w:bottom w:val="none" w:sz="0" w:space="0" w:color="auto"/>
                                    <w:right w:val="none" w:sz="0" w:space="0" w:color="auto"/>
                                  </w:divBdr>
                                  <w:divsChild>
                                    <w:div w:id="1057243205">
                                      <w:marLeft w:val="0"/>
                                      <w:marRight w:val="0"/>
                                      <w:marTop w:val="0"/>
                                      <w:marBottom w:val="0"/>
                                      <w:divBdr>
                                        <w:top w:val="none" w:sz="0" w:space="0" w:color="auto"/>
                                        <w:left w:val="none" w:sz="0" w:space="0" w:color="auto"/>
                                        <w:bottom w:val="none" w:sz="0" w:space="0" w:color="auto"/>
                                        <w:right w:val="none" w:sz="0" w:space="0" w:color="auto"/>
                                      </w:divBdr>
                                      <w:divsChild>
                                        <w:div w:id="134481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2195751">
      <w:bodyDiv w:val="1"/>
      <w:marLeft w:val="0"/>
      <w:marRight w:val="0"/>
      <w:marTop w:val="0"/>
      <w:marBottom w:val="0"/>
      <w:divBdr>
        <w:top w:val="none" w:sz="0" w:space="0" w:color="auto"/>
        <w:left w:val="none" w:sz="0" w:space="0" w:color="auto"/>
        <w:bottom w:val="none" w:sz="0" w:space="0" w:color="auto"/>
        <w:right w:val="none" w:sz="0" w:space="0" w:color="auto"/>
      </w:divBdr>
      <w:divsChild>
        <w:div w:id="278030962">
          <w:marLeft w:val="0"/>
          <w:marRight w:val="0"/>
          <w:marTop w:val="0"/>
          <w:marBottom w:val="0"/>
          <w:divBdr>
            <w:top w:val="none" w:sz="0" w:space="0" w:color="auto"/>
            <w:left w:val="none" w:sz="0" w:space="0" w:color="auto"/>
            <w:bottom w:val="dotted" w:sz="6" w:space="4" w:color="DDDDDD"/>
            <w:right w:val="none" w:sz="0" w:space="0" w:color="auto"/>
          </w:divBdr>
          <w:divsChild>
            <w:div w:id="88035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658349">
      <w:bodyDiv w:val="1"/>
      <w:marLeft w:val="0"/>
      <w:marRight w:val="0"/>
      <w:marTop w:val="0"/>
      <w:marBottom w:val="0"/>
      <w:divBdr>
        <w:top w:val="none" w:sz="0" w:space="0" w:color="auto"/>
        <w:left w:val="none" w:sz="0" w:space="0" w:color="auto"/>
        <w:bottom w:val="none" w:sz="0" w:space="0" w:color="auto"/>
        <w:right w:val="none" w:sz="0" w:space="0" w:color="auto"/>
      </w:divBdr>
      <w:divsChild>
        <w:div w:id="1264607040">
          <w:marLeft w:val="0"/>
          <w:marRight w:val="0"/>
          <w:marTop w:val="0"/>
          <w:marBottom w:val="150"/>
          <w:divBdr>
            <w:top w:val="none" w:sz="0" w:space="0" w:color="auto"/>
            <w:left w:val="none" w:sz="0" w:space="0" w:color="auto"/>
            <w:bottom w:val="none" w:sz="0" w:space="0" w:color="auto"/>
            <w:right w:val="none" w:sz="0" w:space="0" w:color="auto"/>
          </w:divBdr>
        </w:div>
        <w:div w:id="1410611373">
          <w:marLeft w:val="0"/>
          <w:marRight w:val="0"/>
          <w:marTop w:val="0"/>
          <w:marBottom w:val="150"/>
          <w:divBdr>
            <w:top w:val="none" w:sz="0" w:space="0" w:color="auto"/>
            <w:left w:val="none" w:sz="0" w:space="0" w:color="auto"/>
            <w:bottom w:val="none" w:sz="0" w:space="0" w:color="auto"/>
            <w:right w:val="none" w:sz="0" w:space="0" w:color="auto"/>
          </w:divBdr>
          <w:divsChild>
            <w:div w:id="1243375949">
              <w:marLeft w:val="0"/>
              <w:marRight w:val="0"/>
              <w:marTop w:val="0"/>
              <w:marBottom w:val="0"/>
              <w:divBdr>
                <w:top w:val="none" w:sz="0" w:space="0" w:color="auto"/>
                <w:left w:val="none" w:sz="0" w:space="0" w:color="auto"/>
                <w:bottom w:val="none" w:sz="0" w:space="0" w:color="auto"/>
                <w:right w:val="none" w:sz="0" w:space="0" w:color="auto"/>
              </w:divBdr>
              <w:divsChild>
                <w:div w:id="6317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000359">
          <w:marLeft w:val="0"/>
          <w:marRight w:val="0"/>
          <w:marTop w:val="0"/>
          <w:marBottom w:val="0"/>
          <w:divBdr>
            <w:top w:val="none" w:sz="0" w:space="0" w:color="auto"/>
            <w:left w:val="none" w:sz="0" w:space="0" w:color="auto"/>
            <w:bottom w:val="none" w:sz="0" w:space="0" w:color="auto"/>
            <w:right w:val="none" w:sz="0" w:space="0" w:color="auto"/>
          </w:divBdr>
          <w:divsChild>
            <w:div w:id="2681967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32849529">
      <w:bodyDiv w:val="1"/>
      <w:marLeft w:val="0"/>
      <w:marRight w:val="0"/>
      <w:marTop w:val="0"/>
      <w:marBottom w:val="0"/>
      <w:divBdr>
        <w:top w:val="none" w:sz="0" w:space="0" w:color="auto"/>
        <w:left w:val="none" w:sz="0" w:space="0" w:color="auto"/>
        <w:bottom w:val="none" w:sz="0" w:space="0" w:color="auto"/>
        <w:right w:val="none" w:sz="0" w:space="0" w:color="auto"/>
      </w:divBdr>
      <w:divsChild>
        <w:div w:id="469711187">
          <w:marLeft w:val="0"/>
          <w:marRight w:val="0"/>
          <w:marTop w:val="0"/>
          <w:marBottom w:val="0"/>
          <w:divBdr>
            <w:top w:val="single" w:sz="6" w:space="0" w:color="999999"/>
            <w:left w:val="single" w:sz="6" w:space="0" w:color="999999"/>
            <w:bottom w:val="single" w:sz="6" w:space="0" w:color="999999"/>
            <w:right w:val="single" w:sz="6" w:space="0" w:color="999999"/>
          </w:divBdr>
          <w:divsChild>
            <w:div w:id="1310205738">
              <w:marLeft w:val="0"/>
              <w:marRight w:val="0"/>
              <w:marTop w:val="225"/>
              <w:marBottom w:val="0"/>
              <w:divBdr>
                <w:top w:val="single" w:sz="6" w:space="0" w:color="FFFFFF"/>
                <w:left w:val="none" w:sz="0" w:space="0" w:color="auto"/>
                <w:bottom w:val="none" w:sz="0" w:space="0" w:color="auto"/>
                <w:right w:val="none" w:sz="0" w:space="0" w:color="auto"/>
              </w:divBdr>
              <w:divsChild>
                <w:div w:id="248933035">
                  <w:marLeft w:val="0"/>
                  <w:marRight w:val="0"/>
                  <w:marTop w:val="0"/>
                  <w:marBottom w:val="0"/>
                  <w:divBdr>
                    <w:top w:val="none" w:sz="0" w:space="0" w:color="auto"/>
                    <w:left w:val="none" w:sz="0" w:space="0" w:color="auto"/>
                    <w:bottom w:val="none" w:sz="0" w:space="0" w:color="auto"/>
                    <w:right w:val="none" w:sz="0" w:space="0" w:color="auto"/>
                  </w:divBdr>
                  <w:divsChild>
                    <w:div w:id="957296166">
                      <w:marLeft w:val="0"/>
                      <w:marRight w:val="15"/>
                      <w:marTop w:val="0"/>
                      <w:marBottom w:val="0"/>
                      <w:divBdr>
                        <w:top w:val="none" w:sz="0" w:space="0" w:color="auto"/>
                        <w:left w:val="none" w:sz="0" w:space="0" w:color="auto"/>
                        <w:bottom w:val="none" w:sz="0" w:space="0" w:color="auto"/>
                        <w:right w:val="none" w:sz="0" w:space="0" w:color="auto"/>
                      </w:divBdr>
                      <w:divsChild>
                        <w:div w:id="2015566558">
                          <w:marLeft w:val="0"/>
                          <w:marRight w:val="0"/>
                          <w:marTop w:val="0"/>
                          <w:marBottom w:val="0"/>
                          <w:divBdr>
                            <w:top w:val="none" w:sz="0" w:space="0" w:color="auto"/>
                            <w:left w:val="none" w:sz="0" w:space="0" w:color="auto"/>
                            <w:bottom w:val="none" w:sz="0" w:space="0" w:color="auto"/>
                            <w:right w:val="none" w:sz="0" w:space="0" w:color="auto"/>
                          </w:divBdr>
                          <w:divsChild>
                            <w:div w:id="728770069">
                              <w:marLeft w:val="150"/>
                              <w:marRight w:val="105"/>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2878673">
      <w:bodyDiv w:val="1"/>
      <w:marLeft w:val="0"/>
      <w:marRight w:val="0"/>
      <w:marTop w:val="0"/>
      <w:marBottom w:val="0"/>
      <w:divBdr>
        <w:top w:val="none" w:sz="0" w:space="0" w:color="auto"/>
        <w:left w:val="none" w:sz="0" w:space="0" w:color="auto"/>
        <w:bottom w:val="none" w:sz="0" w:space="0" w:color="auto"/>
        <w:right w:val="none" w:sz="0" w:space="0" w:color="auto"/>
      </w:divBdr>
    </w:div>
    <w:div w:id="1033458758">
      <w:bodyDiv w:val="1"/>
      <w:marLeft w:val="0"/>
      <w:marRight w:val="0"/>
      <w:marTop w:val="0"/>
      <w:marBottom w:val="0"/>
      <w:divBdr>
        <w:top w:val="none" w:sz="0" w:space="0" w:color="auto"/>
        <w:left w:val="none" w:sz="0" w:space="0" w:color="auto"/>
        <w:bottom w:val="none" w:sz="0" w:space="0" w:color="auto"/>
        <w:right w:val="none" w:sz="0" w:space="0" w:color="auto"/>
      </w:divBdr>
      <w:divsChild>
        <w:div w:id="839925003">
          <w:marLeft w:val="0"/>
          <w:marRight w:val="0"/>
          <w:marTop w:val="0"/>
          <w:marBottom w:val="150"/>
          <w:divBdr>
            <w:top w:val="none" w:sz="0" w:space="0" w:color="auto"/>
            <w:left w:val="none" w:sz="0" w:space="0" w:color="auto"/>
            <w:bottom w:val="none" w:sz="0" w:space="0" w:color="auto"/>
            <w:right w:val="none" w:sz="0" w:space="0" w:color="auto"/>
          </w:divBdr>
          <w:divsChild>
            <w:div w:id="88548302">
              <w:marLeft w:val="0"/>
              <w:marRight w:val="0"/>
              <w:marTop w:val="0"/>
              <w:marBottom w:val="0"/>
              <w:divBdr>
                <w:top w:val="none" w:sz="0" w:space="0" w:color="auto"/>
                <w:left w:val="none" w:sz="0" w:space="0" w:color="auto"/>
                <w:bottom w:val="none" w:sz="0" w:space="0" w:color="auto"/>
                <w:right w:val="none" w:sz="0" w:space="0" w:color="auto"/>
              </w:divBdr>
              <w:divsChild>
                <w:div w:id="30154504">
                  <w:marLeft w:val="0"/>
                  <w:marRight w:val="0"/>
                  <w:marTop w:val="0"/>
                  <w:marBottom w:val="0"/>
                  <w:divBdr>
                    <w:top w:val="none" w:sz="0" w:space="0" w:color="auto"/>
                    <w:left w:val="none" w:sz="0" w:space="0" w:color="auto"/>
                    <w:bottom w:val="none" w:sz="0" w:space="0" w:color="auto"/>
                    <w:right w:val="none" w:sz="0" w:space="0" w:color="auto"/>
                  </w:divBdr>
                  <w:divsChild>
                    <w:div w:id="1200316906">
                      <w:marLeft w:val="0"/>
                      <w:marRight w:val="150"/>
                      <w:marTop w:val="0"/>
                      <w:marBottom w:val="0"/>
                      <w:divBdr>
                        <w:top w:val="none" w:sz="0" w:space="0" w:color="auto"/>
                        <w:left w:val="none" w:sz="0" w:space="0" w:color="auto"/>
                        <w:bottom w:val="none" w:sz="0" w:space="0" w:color="auto"/>
                        <w:right w:val="none" w:sz="0" w:space="0" w:color="auto"/>
                      </w:divBdr>
                      <w:divsChild>
                        <w:div w:id="7769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916164">
          <w:marLeft w:val="0"/>
          <w:marRight w:val="0"/>
          <w:marTop w:val="0"/>
          <w:marBottom w:val="150"/>
          <w:divBdr>
            <w:top w:val="none" w:sz="0" w:space="0" w:color="auto"/>
            <w:left w:val="none" w:sz="0" w:space="0" w:color="auto"/>
            <w:bottom w:val="none" w:sz="0" w:space="0" w:color="auto"/>
            <w:right w:val="none" w:sz="0" w:space="0" w:color="auto"/>
          </w:divBdr>
        </w:div>
        <w:div w:id="1470443248">
          <w:marLeft w:val="0"/>
          <w:marRight w:val="0"/>
          <w:marTop w:val="0"/>
          <w:marBottom w:val="0"/>
          <w:divBdr>
            <w:top w:val="none" w:sz="0" w:space="0" w:color="auto"/>
            <w:left w:val="none" w:sz="0" w:space="0" w:color="auto"/>
            <w:bottom w:val="none" w:sz="0" w:space="0" w:color="auto"/>
            <w:right w:val="none" w:sz="0" w:space="0" w:color="auto"/>
          </w:divBdr>
          <w:divsChild>
            <w:div w:id="5030104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34231195">
      <w:bodyDiv w:val="1"/>
      <w:marLeft w:val="0"/>
      <w:marRight w:val="0"/>
      <w:marTop w:val="0"/>
      <w:marBottom w:val="0"/>
      <w:divBdr>
        <w:top w:val="none" w:sz="0" w:space="0" w:color="auto"/>
        <w:left w:val="none" w:sz="0" w:space="0" w:color="auto"/>
        <w:bottom w:val="none" w:sz="0" w:space="0" w:color="auto"/>
        <w:right w:val="none" w:sz="0" w:space="0" w:color="auto"/>
      </w:divBdr>
      <w:divsChild>
        <w:div w:id="906846109">
          <w:marLeft w:val="0"/>
          <w:marRight w:val="0"/>
          <w:marTop w:val="0"/>
          <w:marBottom w:val="0"/>
          <w:divBdr>
            <w:top w:val="none" w:sz="0" w:space="0" w:color="auto"/>
            <w:left w:val="none" w:sz="0" w:space="0" w:color="auto"/>
            <w:bottom w:val="dotted" w:sz="6" w:space="4" w:color="DDDDDD"/>
            <w:right w:val="none" w:sz="0" w:space="0" w:color="auto"/>
          </w:divBdr>
          <w:divsChild>
            <w:div w:id="150274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429688">
      <w:bodyDiv w:val="1"/>
      <w:marLeft w:val="0"/>
      <w:marRight w:val="0"/>
      <w:marTop w:val="0"/>
      <w:marBottom w:val="0"/>
      <w:divBdr>
        <w:top w:val="none" w:sz="0" w:space="0" w:color="auto"/>
        <w:left w:val="none" w:sz="0" w:space="0" w:color="auto"/>
        <w:bottom w:val="none" w:sz="0" w:space="0" w:color="auto"/>
        <w:right w:val="none" w:sz="0" w:space="0" w:color="auto"/>
      </w:divBdr>
      <w:divsChild>
        <w:div w:id="111367673">
          <w:marLeft w:val="0"/>
          <w:marRight w:val="0"/>
          <w:marTop w:val="0"/>
          <w:marBottom w:val="0"/>
          <w:divBdr>
            <w:top w:val="none" w:sz="0" w:space="8" w:color="auto"/>
            <w:left w:val="none" w:sz="0" w:space="2" w:color="auto"/>
            <w:bottom w:val="single" w:sz="6" w:space="8" w:color="DDDDDD"/>
            <w:right w:val="none" w:sz="0" w:space="0" w:color="auto"/>
          </w:divBdr>
        </w:div>
        <w:div w:id="942304892">
          <w:marLeft w:val="0"/>
          <w:marRight w:val="0"/>
          <w:marTop w:val="150"/>
          <w:marBottom w:val="0"/>
          <w:divBdr>
            <w:top w:val="none" w:sz="0" w:space="0" w:color="auto"/>
            <w:left w:val="none" w:sz="0" w:space="0" w:color="auto"/>
            <w:bottom w:val="none" w:sz="0" w:space="0" w:color="auto"/>
            <w:right w:val="none" w:sz="0" w:space="0" w:color="auto"/>
          </w:divBdr>
          <w:divsChild>
            <w:div w:id="470099785">
              <w:marLeft w:val="0"/>
              <w:marRight w:val="150"/>
              <w:marTop w:val="0"/>
              <w:marBottom w:val="0"/>
              <w:divBdr>
                <w:top w:val="none" w:sz="0" w:space="0" w:color="auto"/>
                <w:left w:val="none" w:sz="0" w:space="0" w:color="auto"/>
                <w:bottom w:val="none" w:sz="0" w:space="0" w:color="auto"/>
                <w:right w:val="none" w:sz="0" w:space="0" w:color="auto"/>
              </w:divBdr>
              <w:divsChild>
                <w:div w:id="506409109">
                  <w:marLeft w:val="0"/>
                  <w:marRight w:val="0"/>
                  <w:marTop w:val="0"/>
                  <w:marBottom w:val="0"/>
                  <w:divBdr>
                    <w:top w:val="none" w:sz="0" w:space="0" w:color="auto"/>
                    <w:left w:val="none" w:sz="0" w:space="0" w:color="auto"/>
                    <w:bottom w:val="none" w:sz="0" w:space="0" w:color="auto"/>
                    <w:right w:val="none" w:sz="0" w:space="0" w:color="auto"/>
                  </w:divBdr>
                </w:div>
                <w:div w:id="152701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304447">
      <w:bodyDiv w:val="1"/>
      <w:marLeft w:val="0"/>
      <w:marRight w:val="0"/>
      <w:marTop w:val="0"/>
      <w:marBottom w:val="0"/>
      <w:divBdr>
        <w:top w:val="none" w:sz="0" w:space="0" w:color="auto"/>
        <w:left w:val="none" w:sz="0" w:space="0" w:color="auto"/>
        <w:bottom w:val="none" w:sz="0" w:space="0" w:color="auto"/>
        <w:right w:val="none" w:sz="0" w:space="0" w:color="auto"/>
      </w:divBdr>
      <w:divsChild>
        <w:div w:id="1135366395">
          <w:marLeft w:val="0"/>
          <w:marRight w:val="0"/>
          <w:marTop w:val="0"/>
          <w:marBottom w:val="0"/>
          <w:divBdr>
            <w:top w:val="none" w:sz="0" w:space="0" w:color="auto"/>
            <w:left w:val="none" w:sz="0" w:space="0" w:color="auto"/>
            <w:bottom w:val="dotted" w:sz="6" w:space="4" w:color="DDDDDD"/>
            <w:right w:val="none" w:sz="0" w:space="0" w:color="auto"/>
          </w:divBdr>
          <w:divsChild>
            <w:div w:id="124769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545339">
      <w:bodyDiv w:val="1"/>
      <w:marLeft w:val="0"/>
      <w:marRight w:val="0"/>
      <w:marTop w:val="0"/>
      <w:marBottom w:val="0"/>
      <w:divBdr>
        <w:top w:val="none" w:sz="0" w:space="0" w:color="auto"/>
        <w:left w:val="none" w:sz="0" w:space="0" w:color="auto"/>
        <w:bottom w:val="none" w:sz="0" w:space="0" w:color="auto"/>
        <w:right w:val="none" w:sz="0" w:space="0" w:color="auto"/>
      </w:divBdr>
      <w:divsChild>
        <w:div w:id="325943043">
          <w:marLeft w:val="0"/>
          <w:marRight w:val="0"/>
          <w:marTop w:val="0"/>
          <w:marBottom w:val="0"/>
          <w:divBdr>
            <w:top w:val="none" w:sz="0" w:space="0" w:color="auto"/>
            <w:left w:val="none" w:sz="0" w:space="0" w:color="auto"/>
            <w:bottom w:val="none" w:sz="0" w:space="0" w:color="auto"/>
            <w:right w:val="none" w:sz="0" w:space="0" w:color="auto"/>
          </w:divBdr>
          <w:divsChild>
            <w:div w:id="1183978508">
              <w:marLeft w:val="0"/>
              <w:marRight w:val="0"/>
              <w:marTop w:val="0"/>
              <w:marBottom w:val="0"/>
              <w:divBdr>
                <w:top w:val="none" w:sz="0" w:space="0" w:color="auto"/>
                <w:left w:val="none" w:sz="0" w:space="0" w:color="auto"/>
                <w:bottom w:val="none" w:sz="0" w:space="0" w:color="auto"/>
                <w:right w:val="none" w:sz="0" w:space="0" w:color="auto"/>
              </w:divBdr>
            </w:div>
          </w:divsChild>
        </w:div>
        <w:div w:id="1513034038">
          <w:marLeft w:val="0"/>
          <w:marRight w:val="0"/>
          <w:marTop w:val="0"/>
          <w:marBottom w:val="150"/>
          <w:divBdr>
            <w:top w:val="none" w:sz="0" w:space="0" w:color="auto"/>
            <w:left w:val="none" w:sz="0" w:space="0" w:color="auto"/>
            <w:bottom w:val="none" w:sz="0" w:space="0" w:color="auto"/>
            <w:right w:val="none" w:sz="0" w:space="0" w:color="auto"/>
          </w:divBdr>
          <w:divsChild>
            <w:div w:id="401607523">
              <w:marLeft w:val="0"/>
              <w:marRight w:val="0"/>
              <w:marTop w:val="0"/>
              <w:marBottom w:val="0"/>
              <w:divBdr>
                <w:top w:val="none" w:sz="0" w:space="0" w:color="auto"/>
                <w:left w:val="none" w:sz="0" w:space="0" w:color="auto"/>
                <w:bottom w:val="none" w:sz="0" w:space="0" w:color="auto"/>
                <w:right w:val="none" w:sz="0" w:space="0" w:color="auto"/>
              </w:divBdr>
            </w:div>
          </w:divsChild>
        </w:div>
        <w:div w:id="1529292903">
          <w:marLeft w:val="0"/>
          <w:marRight w:val="0"/>
          <w:marTop w:val="0"/>
          <w:marBottom w:val="150"/>
          <w:divBdr>
            <w:top w:val="none" w:sz="0" w:space="0" w:color="auto"/>
            <w:left w:val="none" w:sz="0" w:space="0" w:color="auto"/>
            <w:bottom w:val="none" w:sz="0" w:space="0" w:color="auto"/>
            <w:right w:val="none" w:sz="0" w:space="0" w:color="auto"/>
          </w:divBdr>
        </w:div>
      </w:divsChild>
    </w:div>
    <w:div w:id="1035809063">
      <w:bodyDiv w:val="1"/>
      <w:marLeft w:val="0"/>
      <w:marRight w:val="0"/>
      <w:marTop w:val="0"/>
      <w:marBottom w:val="0"/>
      <w:divBdr>
        <w:top w:val="none" w:sz="0" w:space="0" w:color="auto"/>
        <w:left w:val="none" w:sz="0" w:space="0" w:color="auto"/>
        <w:bottom w:val="none" w:sz="0" w:space="0" w:color="auto"/>
        <w:right w:val="none" w:sz="0" w:space="0" w:color="auto"/>
      </w:divBdr>
      <w:divsChild>
        <w:div w:id="977607106">
          <w:marLeft w:val="0"/>
          <w:marRight w:val="0"/>
          <w:marTop w:val="0"/>
          <w:marBottom w:val="0"/>
          <w:divBdr>
            <w:top w:val="none" w:sz="0" w:space="0" w:color="auto"/>
            <w:left w:val="none" w:sz="0" w:space="0" w:color="auto"/>
            <w:bottom w:val="dotted" w:sz="6" w:space="4" w:color="DDDDDD"/>
            <w:right w:val="none" w:sz="0" w:space="0" w:color="auto"/>
          </w:divBdr>
          <w:divsChild>
            <w:div w:id="109289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394132">
      <w:bodyDiv w:val="1"/>
      <w:marLeft w:val="0"/>
      <w:marRight w:val="0"/>
      <w:marTop w:val="0"/>
      <w:marBottom w:val="0"/>
      <w:divBdr>
        <w:top w:val="none" w:sz="0" w:space="0" w:color="auto"/>
        <w:left w:val="none" w:sz="0" w:space="0" w:color="auto"/>
        <w:bottom w:val="none" w:sz="0" w:space="0" w:color="auto"/>
        <w:right w:val="none" w:sz="0" w:space="0" w:color="auto"/>
      </w:divBdr>
      <w:divsChild>
        <w:div w:id="117650200">
          <w:marLeft w:val="0"/>
          <w:marRight w:val="0"/>
          <w:marTop w:val="0"/>
          <w:marBottom w:val="0"/>
          <w:divBdr>
            <w:top w:val="none" w:sz="0" w:space="0" w:color="auto"/>
            <w:left w:val="none" w:sz="0" w:space="0" w:color="auto"/>
            <w:bottom w:val="none" w:sz="0" w:space="0" w:color="auto"/>
            <w:right w:val="none" w:sz="0" w:space="0" w:color="auto"/>
          </w:divBdr>
          <w:divsChild>
            <w:div w:id="489520157">
              <w:marLeft w:val="0"/>
              <w:marRight w:val="0"/>
              <w:marTop w:val="0"/>
              <w:marBottom w:val="0"/>
              <w:divBdr>
                <w:top w:val="none" w:sz="0" w:space="0" w:color="auto"/>
                <w:left w:val="none" w:sz="0" w:space="0" w:color="auto"/>
                <w:bottom w:val="none" w:sz="0" w:space="0" w:color="auto"/>
                <w:right w:val="none" w:sz="0" w:space="0" w:color="auto"/>
              </w:divBdr>
            </w:div>
          </w:divsChild>
        </w:div>
        <w:div w:id="353389865">
          <w:marLeft w:val="0"/>
          <w:marRight w:val="0"/>
          <w:marTop w:val="0"/>
          <w:marBottom w:val="150"/>
          <w:divBdr>
            <w:top w:val="none" w:sz="0" w:space="0" w:color="auto"/>
            <w:left w:val="none" w:sz="0" w:space="0" w:color="auto"/>
            <w:bottom w:val="none" w:sz="0" w:space="0" w:color="auto"/>
            <w:right w:val="none" w:sz="0" w:space="0" w:color="auto"/>
          </w:divBdr>
          <w:divsChild>
            <w:div w:id="2084138639">
              <w:marLeft w:val="0"/>
              <w:marRight w:val="0"/>
              <w:marTop w:val="0"/>
              <w:marBottom w:val="0"/>
              <w:divBdr>
                <w:top w:val="none" w:sz="0" w:space="0" w:color="auto"/>
                <w:left w:val="none" w:sz="0" w:space="0" w:color="auto"/>
                <w:bottom w:val="none" w:sz="0" w:space="0" w:color="auto"/>
                <w:right w:val="none" w:sz="0" w:space="0" w:color="auto"/>
              </w:divBdr>
            </w:div>
          </w:divsChild>
        </w:div>
        <w:div w:id="790367056">
          <w:marLeft w:val="0"/>
          <w:marRight w:val="0"/>
          <w:marTop w:val="0"/>
          <w:marBottom w:val="150"/>
          <w:divBdr>
            <w:top w:val="none" w:sz="0" w:space="0" w:color="auto"/>
            <w:left w:val="none" w:sz="0" w:space="0" w:color="auto"/>
            <w:bottom w:val="none" w:sz="0" w:space="0" w:color="auto"/>
            <w:right w:val="none" w:sz="0" w:space="0" w:color="auto"/>
          </w:divBdr>
        </w:div>
      </w:divsChild>
    </w:div>
    <w:div w:id="1036462695">
      <w:bodyDiv w:val="1"/>
      <w:marLeft w:val="0"/>
      <w:marRight w:val="0"/>
      <w:marTop w:val="0"/>
      <w:marBottom w:val="0"/>
      <w:divBdr>
        <w:top w:val="none" w:sz="0" w:space="0" w:color="auto"/>
        <w:left w:val="none" w:sz="0" w:space="0" w:color="auto"/>
        <w:bottom w:val="none" w:sz="0" w:space="0" w:color="auto"/>
        <w:right w:val="none" w:sz="0" w:space="0" w:color="auto"/>
      </w:divBdr>
      <w:divsChild>
        <w:div w:id="778179010">
          <w:marLeft w:val="0"/>
          <w:marRight w:val="0"/>
          <w:marTop w:val="0"/>
          <w:marBottom w:val="0"/>
          <w:divBdr>
            <w:top w:val="none" w:sz="0" w:space="0" w:color="auto"/>
            <w:left w:val="none" w:sz="0" w:space="0" w:color="auto"/>
            <w:bottom w:val="dotted" w:sz="6" w:space="4" w:color="DDDDDD"/>
            <w:right w:val="none" w:sz="0" w:space="0" w:color="auto"/>
          </w:divBdr>
          <w:divsChild>
            <w:div w:id="167688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732669">
      <w:bodyDiv w:val="1"/>
      <w:marLeft w:val="0"/>
      <w:marRight w:val="0"/>
      <w:marTop w:val="0"/>
      <w:marBottom w:val="0"/>
      <w:divBdr>
        <w:top w:val="none" w:sz="0" w:space="0" w:color="auto"/>
        <w:left w:val="none" w:sz="0" w:space="0" w:color="auto"/>
        <w:bottom w:val="none" w:sz="0" w:space="0" w:color="auto"/>
        <w:right w:val="none" w:sz="0" w:space="0" w:color="auto"/>
      </w:divBdr>
    </w:div>
    <w:div w:id="1036858581">
      <w:bodyDiv w:val="1"/>
      <w:marLeft w:val="0"/>
      <w:marRight w:val="0"/>
      <w:marTop w:val="0"/>
      <w:marBottom w:val="0"/>
      <w:divBdr>
        <w:top w:val="none" w:sz="0" w:space="0" w:color="auto"/>
        <w:left w:val="none" w:sz="0" w:space="0" w:color="auto"/>
        <w:bottom w:val="none" w:sz="0" w:space="0" w:color="auto"/>
        <w:right w:val="none" w:sz="0" w:space="0" w:color="auto"/>
      </w:divBdr>
      <w:divsChild>
        <w:div w:id="237906448">
          <w:marLeft w:val="0"/>
          <w:marRight w:val="0"/>
          <w:marTop w:val="0"/>
          <w:marBottom w:val="0"/>
          <w:divBdr>
            <w:top w:val="none" w:sz="0" w:space="0" w:color="auto"/>
            <w:left w:val="none" w:sz="0" w:space="0" w:color="auto"/>
            <w:bottom w:val="none" w:sz="0" w:space="0" w:color="auto"/>
            <w:right w:val="none" w:sz="0" w:space="0" w:color="auto"/>
          </w:divBdr>
          <w:divsChild>
            <w:div w:id="83847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004127">
      <w:bodyDiv w:val="1"/>
      <w:marLeft w:val="0"/>
      <w:marRight w:val="0"/>
      <w:marTop w:val="0"/>
      <w:marBottom w:val="0"/>
      <w:divBdr>
        <w:top w:val="none" w:sz="0" w:space="0" w:color="auto"/>
        <w:left w:val="none" w:sz="0" w:space="0" w:color="auto"/>
        <w:bottom w:val="none" w:sz="0" w:space="0" w:color="auto"/>
        <w:right w:val="none" w:sz="0" w:space="0" w:color="auto"/>
      </w:divBdr>
      <w:divsChild>
        <w:div w:id="1268808704">
          <w:marLeft w:val="0"/>
          <w:marRight w:val="0"/>
          <w:marTop w:val="0"/>
          <w:marBottom w:val="0"/>
          <w:divBdr>
            <w:top w:val="none" w:sz="0" w:space="0" w:color="auto"/>
            <w:left w:val="none" w:sz="0" w:space="0" w:color="auto"/>
            <w:bottom w:val="none" w:sz="0" w:space="0" w:color="auto"/>
            <w:right w:val="none" w:sz="0" w:space="0" w:color="auto"/>
          </w:divBdr>
          <w:divsChild>
            <w:div w:id="1046560224">
              <w:marLeft w:val="0"/>
              <w:marRight w:val="0"/>
              <w:marTop w:val="0"/>
              <w:marBottom w:val="0"/>
              <w:divBdr>
                <w:top w:val="none" w:sz="0" w:space="0" w:color="auto"/>
                <w:left w:val="none" w:sz="0" w:space="0" w:color="auto"/>
                <w:bottom w:val="none" w:sz="0" w:space="0" w:color="auto"/>
                <w:right w:val="none" w:sz="0" w:space="0" w:color="auto"/>
              </w:divBdr>
              <w:divsChild>
                <w:div w:id="1964923145">
                  <w:marLeft w:val="0"/>
                  <w:marRight w:val="0"/>
                  <w:marTop w:val="0"/>
                  <w:marBottom w:val="0"/>
                  <w:divBdr>
                    <w:top w:val="none" w:sz="0" w:space="0" w:color="auto"/>
                    <w:left w:val="none" w:sz="0" w:space="0" w:color="auto"/>
                    <w:bottom w:val="none" w:sz="0" w:space="0" w:color="auto"/>
                    <w:right w:val="none" w:sz="0" w:space="0" w:color="auto"/>
                  </w:divBdr>
                  <w:divsChild>
                    <w:div w:id="1497846786">
                      <w:marLeft w:val="0"/>
                      <w:marRight w:val="0"/>
                      <w:marTop w:val="0"/>
                      <w:marBottom w:val="0"/>
                      <w:divBdr>
                        <w:top w:val="none" w:sz="0" w:space="0" w:color="auto"/>
                        <w:left w:val="none" w:sz="0" w:space="0" w:color="auto"/>
                        <w:bottom w:val="none" w:sz="0" w:space="0" w:color="auto"/>
                        <w:right w:val="none" w:sz="0" w:space="0" w:color="auto"/>
                      </w:divBdr>
                      <w:divsChild>
                        <w:div w:id="2073772419">
                          <w:marLeft w:val="0"/>
                          <w:marRight w:val="0"/>
                          <w:marTop w:val="0"/>
                          <w:marBottom w:val="0"/>
                          <w:divBdr>
                            <w:top w:val="none" w:sz="0" w:space="0" w:color="auto"/>
                            <w:left w:val="none" w:sz="0" w:space="0" w:color="auto"/>
                            <w:bottom w:val="none" w:sz="0" w:space="0" w:color="auto"/>
                            <w:right w:val="none" w:sz="0" w:space="0" w:color="auto"/>
                          </w:divBdr>
                          <w:divsChild>
                            <w:div w:id="1414741420">
                              <w:marLeft w:val="0"/>
                              <w:marRight w:val="0"/>
                              <w:marTop w:val="0"/>
                              <w:marBottom w:val="0"/>
                              <w:divBdr>
                                <w:top w:val="none" w:sz="0" w:space="0" w:color="auto"/>
                                <w:left w:val="none" w:sz="0" w:space="0" w:color="auto"/>
                                <w:bottom w:val="none" w:sz="0" w:space="0" w:color="auto"/>
                                <w:right w:val="none" w:sz="0" w:space="0" w:color="auto"/>
                              </w:divBdr>
                              <w:divsChild>
                                <w:div w:id="1267344635">
                                  <w:marLeft w:val="0"/>
                                  <w:marRight w:val="0"/>
                                  <w:marTop w:val="0"/>
                                  <w:marBottom w:val="0"/>
                                  <w:divBdr>
                                    <w:top w:val="none" w:sz="0" w:space="0" w:color="auto"/>
                                    <w:left w:val="none" w:sz="0" w:space="0" w:color="auto"/>
                                    <w:bottom w:val="none" w:sz="0" w:space="0" w:color="auto"/>
                                    <w:right w:val="none" w:sz="0" w:space="0" w:color="auto"/>
                                  </w:divBdr>
                                  <w:divsChild>
                                    <w:div w:id="129856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008506">
      <w:bodyDiv w:val="1"/>
      <w:marLeft w:val="0"/>
      <w:marRight w:val="0"/>
      <w:marTop w:val="0"/>
      <w:marBottom w:val="0"/>
      <w:divBdr>
        <w:top w:val="none" w:sz="0" w:space="0" w:color="auto"/>
        <w:left w:val="none" w:sz="0" w:space="0" w:color="auto"/>
        <w:bottom w:val="none" w:sz="0" w:space="0" w:color="auto"/>
        <w:right w:val="none" w:sz="0" w:space="0" w:color="auto"/>
      </w:divBdr>
      <w:divsChild>
        <w:div w:id="91440616">
          <w:marLeft w:val="0"/>
          <w:marRight w:val="0"/>
          <w:marTop w:val="150"/>
          <w:marBottom w:val="0"/>
          <w:divBdr>
            <w:top w:val="none" w:sz="0" w:space="0" w:color="auto"/>
            <w:left w:val="none" w:sz="0" w:space="0" w:color="auto"/>
            <w:bottom w:val="none" w:sz="0" w:space="0" w:color="auto"/>
            <w:right w:val="none" w:sz="0" w:space="0" w:color="auto"/>
          </w:divBdr>
          <w:divsChild>
            <w:div w:id="745228433">
              <w:marLeft w:val="0"/>
              <w:marRight w:val="0"/>
              <w:marTop w:val="0"/>
              <w:marBottom w:val="0"/>
              <w:divBdr>
                <w:top w:val="none" w:sz="0" w:space="0" w:color="auto"/>
                <w:left w:val="none" w:sz="0" w:space="0" w:color="auto"/>
                <w:bottom w:val="none" w:sz="0" w:space="0" w:color="auto"/>
                <w:right w:val="none" w:sz="0" w:space="0" w:color="auto"/>
              </w:divBdr>
              <w:divsChild>
                <w:div w:id="1201743969">
                  <w:marLeft w:val="75"/>
                  <w:marRight w:val="0"/>
                  <w:marTop w:val="0"/>
                  <w:marBottom w:val="0"/>
                  <w:divBdr>
                    <w:top w:val="none" w:sz="0" w:space="0" w:color="auto"/>
                    <w:left w:val="none" w:sz="0" w:space="0" w:color="auto"/>
                    <w:bottom w:val="none" w:sz="0" w:space="0" w:color="auto"/>
                    <w:right w:val="none" w:sz="0" w:space="0" w:color="auto"/>
                  </w:divBdr>
                </w:div>
                <w:div w:id="169341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966999">
          <w:marLeft w:val="0"/>
          <w:marRight w:val="0"/>
          <w:marTop w:val="0"/>
          <w:marBottom w:val="0"/>
          <w:divBdr>
            <w:top w:val="none" w:sz="0" w:space="0" w:color="auto"/>
            <w:left w:val="none" w:sz="0" w:space="0" w:color="auto"/>
            <w:bottom w:val="none" w:sz="0" w:space="0" w:color="auto"/>
            <w:right w:val="none" w:sz="0" w:space="0" w:color="auto"/>
          </w:divBdr>
          <w:divsChild>
            <w:div w:id="194368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968846">
      <w:bodyDiv w:val="1"/>
      <w:marLeft w:val="0"/>
      <w:marRight w:val="0"/>
      <w:marTop w:val="0"/>
      <w:marBottom w:val="0"/>
      <w:divBdr>
        <w:top w:val="none" w:sz="0" w:space="0" w:color="auto"/>
        <w:left w:val="none" w:sz="0" w:space="0" w:color="auto"/>
        <w:bottom w:val="none" w:sz="0" w:space="0" w:color="auto"/>
        <w:right w:val="none" w:sz="0" w:space="0" w:color="auto"/>
      </w:divBdr>
      <w:divsChild>
        <w:div w:id="1801730567">
          <w:marLeft w:val="0"/>
          <w:marRight w:val="0"/>
          <w:marTop w:val="0"/>
          <w:marBottom w:val="0"/>
          <w:divBdr>
            <w:top w:val="none" w:sz="0" w:space="0" w:color="auto"/>
            <w:left w:val="none" w:sz="0" w:space="0" w:color="auto"/>
            <w:bottom w:val="none" w:sz="0" w:space="0" w:color="auto"/>
            <w:right w:val="none" w:sz="0" w:space="0" w:color="auto"/>
          </w:divBdr>
        </w:div>
      </w:divsChild>
    </w:div>
    <w:div w:id="1038093669">
      <w:bodyDiv w:val="1"/>
      <w:marLeft w:val="0"/>
      <w:marRight w:val="0"/>
      <w:marTop w:val="0"/>
      <w:marBottom w:val="0"/>
      <w:divBdr>
        <w:top w:val="none" w:sz="0" w:space="0" w:color="auto"/>
        <w:left w:val="none" w:sz="0" w:space="0" w:color="auto"/>
        <w:bottom w:val="none" w:sz="0" w:space="0" w:color="auto"/>
        <w:right w:val="none" w:sz="0" w:space="0" w:color="auto"/>
      </w:divBdr>
      <w:divsChild>
        <w:div w:id="1186333045">
          <w:marLeft w:val="0"/>
          <w:marRight w:val="0"/>
          <w:marTop w:val="0"/>
          <w:marBottom w:val="150"/>
          <w:divBdr>
            <w:top w:val="none" w:sz="0" w:space="0" w:color="auto"/>
            <w:left w:val="none" w:sz="0" w:space="0" w:color="auto"/>
            <w:bottom w:val="none" w:sz="0" w:space="0" w:color="auto"/>
            <w:right w:val="none" w:sz="0" w:space="0" w:color="auto"/>
          </w:divBdr>
        </w:div>
        <w:div w:id="1753769839">
          <w:marLeft w:val="0"/>
          <w:marRight w:val="0"/>
          <w:marTop w:val="0"/>
          <w:marBottom w:val="150"/>
          <w:divBdr>
            <w:top w:val="none" w:sz="0" w:space="0" w:color="auto"/>
            <w:left w:val="none" w:sz="0" w:space="0" w:color="auto"/>
            <w:bottom w:val="none" w:sz="0" w:space="0" w:color="auto"/>
            <w:right w:val="none" w:sz="0" w:space="0" w:color="auto"/>
          </w:divBdr>
          <w:divsChild>
            <w:div w:id="1880967703">
              <w:marLeft w:val="0"/>
              <w:marRight w:val="0"/>
              <w:marTop w:val="0"/>
              <w:marBottom w:val="0"/>
              <w:divBdr>
                <w:top w:val="none" w:sz="0" w:space="0" w:color="auto"/>
                <w:left w:val="none" w:sz="0" w:space="0" w:color="auto"/>
                <w:bottom w:val="none" w:sz="0" w:space="0" w:color="auto"/>
                <w:right w:val="none" w:sz="0" w:space="0" w:color="auto"/>
              </w:divBdr>
            </w:div>
          </w:divsChild>
        </w:div>
        <w:div w:id="1771704810">
          <w:marLeft w:val="0"/>
          <w:marRight w:val="0"/>
          <w:marTop w:val="0"/>
          <w:marBottom w:val="0"/>
          <w:divBdr>
            <w:top w:val="none" w:sz="0" w:space="0" w:color="auto"/>
            <w:left w:val="none" w:sz="0" w:space="0" w:color="auto"/>
            <w:bottom w:val="none" w:sz="0" w:space="0" w:color="auto"/>
            <w:right w:val="none" w:sz="0" w:space="0" w:color="auto"/>
          </w:divBdr>
          <w:divsChild>
            <w:div w:id="199467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895890">
      <w:bodyDiv w:val="1"/>
      <w:marLeft w:val="0"/>
      <w:marRight w:val="0"/>
      <w:marTop w:val="0"/>
      <w:marBottom w:val="0"/>
      <w:divBdr>
        <w:top w:val="none" w:sz="0" w:space="0" w:color="auto"/>
        <w:left w:val="none" w:sz="0" w:space="0" w:color="auto"/>
        <w:bottom w:val="none" w:sz="0" w:space="0" w:color="auto"/>
        <w:right w:val="none" w:sz="0" w:space="0" w:color="auto"/>
      </w:divBdr>
    </w:div>
    <w:div w:id="1039017454">
      <w:bodyDiv w:val="1"/>
      <w:marLeft w:val="0"/>
      <w:marRight w:val="0"/>
      <w:marTop w:val="0"/>
      <w:marBottom w:val="0"/>
      <w:divBdr>
        <w:top w:val="none" w:sz="0" w:space="0" w:color="auto"/>
        <w:left w:val="none" w:sz="0" w:space="0" w:color="auto"/>
        <w:bottom w:val="none" w:sz="0" w:space="0" w:color="auto"/>
        <w:right w:val="none" w:sz="0" w:space="0" w:color="auto"/>
      </w:divBdr>
      <w:divsChild>
        <w:div w:id="679045496">
          <w:marLeft w:val="0"/>
          <w:marRight w:val="0"/>
          <w:marTop w:val="0"/>
          <w:marBottom w:val="0"/>
          <w:divBdr>
            <w:top w:val="none" w:sz="0" w:space="0" w:color="auto"/>
            <w:left w:val="none" w:sz="0" w:space="0" w:color="auto"/>
            <w:bottom w:val="none" w:sz="0" w:space="0" w:color="auto"/>
            <w:right w:val="none" w:sz="0" w:space="0" w:color="auto"/>
          </w:divBdr>
        </w:div>
      </w:divsChild>
    </w:div>
    <w:div w:id="1039161200">
      <w:bodyDiv w:val="1"/>
      <w:marLeft w:val="0"/>
      <w:marRight w:val="0"/>
      <w:marTop w:val="0"/>
      <w:marBottom w:val="0"/>
      <w:divBdr>
        <w:top w:val="none" w:sz="0" w:space="0" w:color="auto"/>
        <w:left w:val="none" w:sz="0" w:space="0" w:color="auto"/>
        <w:bottom w:val="none" w:sz="0" w:space="0" w:color="auto"/>
        <w:right w:val="none" w:sz="0" w:space="0" w:color="auto"/>
      </w:divBdr>
      <w:divsChild>
        <w:div w:id="1600597891">
          <w:marLeft w:val="0"/>
          <w:marRight w:val="0"/>
          <w:marTop w:val="0"/>
          <w:marBottom w:val="150"/>
          <w:divBdr>
            <w:top w:val="none" w:sz="0" w:space="0" w:color="auto"/>
            <w:left w:val="none" w:sz="0" w:space="0" w:color="auto"/>
            <w:bottom w:val="none" w:sz="0" w:space="0" w:color="auto"/>
            <w:right w:val="none" w:sz="0" w:space="0" w:color="auto"/>
          </w:divBdr>
        </w:div>
      </w:divsChild>
    </w:div>
    <w:div w:id="1039163884">
      <w:bodyDiv w:val="1"/>
      <w:marLeft w:val="0"/>
      <w:marRight w:val="0"/>
      <w:marTop w:val="0"/>
      <w:marBottom w:val="0"/>
      <w:divBdr>
        <w:top w:val="none" w:sz="0" w:space="0" w:color="auto"/>
        <w:left w:val="none" w:sz="0" w:space="0" w:color="auto"/>
        <w:bottom w:val="none" w:sz="0" w:space="0" w:color="auto"/>
        <w:right w:val="none" w:sz="0" w:space="0" w:color="auto"/>
      </w:divBdr>
      <w:divsChild>
        <w:div w:id="757485281">
          <w:marLeft w:val="0"/>
          <w:marRight w:val="0"/>
          <w:marTop w:val="0"/>
          <w:marBottom w:val="0"/>
          <w:divBdr>
            <w:top w:val="none" w:sz="0" w:space="0" w:color="auto"/>
            <w:left w:val="none" w:sz="0" w:space="0" w:color="auto"/>
            <w:bottom w:val="none" w:sz="0" w:space="0" w:color="auto"/>
            <w:right w:val="none" w:sz="0" w:space="0" w:color="auto"/>
          </w:divBdr>
          <w:divsChild>
            <w:div w:id="317661197">
              <w:marLeft w:val="0"/>
              <w:marRight w:val="0"/>
              <w:marTop w:val="0"/>
              <w:marBottom w:val="0"/>
              <w:divBdr>
                <w:top w:val="none" w:sz="0" w:space="0" w:color="auto"/>
                <w:left w:val="none" w:sz="0" w:space="0" w:color="auto"/>
                <w:bottom w:val="none" w:sz="0" w:space="0" w:color="auto"/>
                <w:right w:val="none" w:sz="0" w:space="0" w:color="auto"/>
              </w:divBdr>
              <w:divsChild>
                <w:div w:id="623388962">
                  <w:marLeft w:val="0"/>
                  <w:marRight w:val="0"/>
                  <w:marTop w:val="0"/>
                  <w:marBottom w:val="150"/>
                  <w:divBdr>
                    <w:top w:val="none" w:sz="0" w:space="0" w:color="auto"/>
                    <w:left w:val="none" w:sz="0" w:space="0" w:color="auto"/>
                    <w:bottom w:val="none" w:sz="0" w:space="0" w:color="auto"/>
                    <w:right w:val="none" w:sz="0" w:space="0" w:color="auto"/>
                  </w:divBdr>
                  <w:divsChild>
                    <w:div w:id="1255747695">
                      <w:marLeft w:val="0"/>
                      <w:marRight w:val="0"/>
                      <w:marTop w:val="0"/>
                      <w:marBottom w:val="0"/>
                      <w:divBdr>
                        <w:top w:val="none" w:sz="0" w:space="0" w:color="auto"/>
                        <w:left w:val="none" w:sz="0" w:space="0" w:color="auto"/>
                        <w:bottom w:val="none" w:sz="0" w:space="0" w:color="auto"/>
                        <w:right w:val="none" w:sz="0" w:space="0" w:color="auto"/>
                      </w:divBdr>
                      <w:divsChild>
                        <w:div w:id="781655004">
                          <w:marLeft w:val="0"/>
                          <w:marRight w:val="0"/>
                          <w:marTop w:val="0"/>
                          <w:marBottom w:val="0"/>
                          <w:divBdr>
                            <w:top w:val="none" w:sz="0" w:space="0" w:color="auto"/>
                            <w:left w:val="none" w:sz="0" w:space="0" w:color="auto"/>
                            <w:bottom w:val="none" w:sz="0" w:space="0" w:color="auto"/>
                            <w:right w:val="none" w:sz="0" w:space="0" w:color="auto"/>
                          </w:divBdr>
                          <w:divsChild>
                            <w:div w:id="1744065753">
                              <w:marLeft w:val="0"/>
                              <w:marRight w:val="0"/>
                              <w:marTop w:val="0"/>
                              <w:marBottom w:val="0"/>
                              <w:divBdr>
                                <w:top w:val="none" w:sz="0" w:space="0" w:color="auto"/>
                                <w:left w:val="none" w:sz="0" w:space="0" w:color="auto"/>
                                <w:bottom w:val="none" w:sz="0" w:space="0" w:color="auto"/>
                                <w:right w:val="none" w:sz="0" w:space="0" w:color="auto"/>
                              </w:divBdr>
                              <w:divsChild>
                                <w:div w:id="766341861">
                                  <w:marLeft w:val="0"/>
                                  <w:marRight w:val="0"/>
                                  <w:marTop w:val="0"/>
                                  <w:marBottom w:val="0"/>
                                  <w:divBdr>
                                    <w:top w:val="none" w:sz="0" w:space="0" w:color="auto"/>
                                    <w:left w:val="none" w:sz="0" w:space="0" w:color="auto"/>
                                    <w:bottom w:val="none" w:sz="0" w:space="0" w:color="auto"/>
                                    <w:right w:val="none" w:sz="0" w:space="0" w:color="auto"/>
                                  </w:divBdr>
                                  <w:divsChild>
                                    <w:div w:id="354812352">
                                      <w:marLeft w:val="0"/>
                                      <w:marRight w:val="0"/>
                                      <w:marTop w:val="0"/>
                                      <w:marBottom w:val="0"/>
                                      <w:divBdr>
                                        <w:top w:val="none" w:sz="0" w:space="0" w:color="auto"/>
                                        <w:left w:val="none" w:sz="0" w:space="0" w:color="auto"/>
                                        <w:bottom w:val="none" w:sz="0" w:space="0" w:color="auto"/>
                                        <w:right w:val="none" w:sz="0" w:space="0" w:color="auto"/>
                                      </w:divBdr>
                                      <w:divsChild>
                                        <w:div w:id="2019770510">
                                          <w:marLeft w:val="0"/>
                                          <w:marRight w:val="0"/>
                                          <w:marTop w:val="0"/>
                                          <w:marBottom w:val="0"/>
                                          <w:divBdr>
                                            <w:top w:val="none" w:sz="0" w:space="0" w:color="auto"/>
                                            <w:left w:val="none" w:sz="0" w:space="0" w:color="auto"/>
                                            <w:bottom w:val="none" w:sz="0" w:space="0" w:color="auto"/>
                                            <w:right w:val="none" w:sz="0" w:space="0" w:color="auto"/>
                                          </w:divBdr>
                                          <w:divsChild>
                                            <w:div w:id="586305535">
                                              <w:marLeft w:val="0"/>
                                              <w:marRight w:val="0"/>
                                              <w:marTop w:val="0"/>
                                              <w:marBottom w:val="0"/>
                                              <w:divBdr>
                                                <w:top w:val="none" w:sz="0" w:space="0" w:color="auto"/>
                                                <w:left w:val="none" w:sz="0" w:space="0" w:color="auto"/>
                                                <w:bottom w:val="none" w:sz="0" w:space="0" w:color="auto"/>
                                                <w:right w:val="none" w:sz="0" w:space="0" w:color="auto"/>
                                              </w:divBdr>
                                              <w:divsChild>
                                                <w:div w:id="77320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9356556">
      <w:bodyDiv w:val="1"/>
      <w:marLeft w:val="0"/>
      <w:marRight w:val="0"/>
      <w:marTop w:val="0"/>
      <w:marBottom w:val="0"/>
      <w:divBdr>
        <w:top w:val="none" w:sz="0" w:space="0" w:color="auto"/>
        <w:left w:val="none" w:sz="0" w:space="0" w:color="auto"/>
        <w:bottom w:val="none" w:sz="0" w:space="0" w:color="auto"/>
        <w:right w:val="none" w:sz="0" w:space="0" w:color="auto"/>
      </w:divBdr>
      <w:divsChild>
        <w:div w:id="1157768079">
          <w:marLeft w:val="0"/>
          <w:marRight w:val="0"/>
          <w:marTop w:val="0"/>
          <w:marBottom w:val="0"/>
          <w:divBdr>
            <w:top w:val="none" w:sz="0" w:space="0" w:color="auto"/>
            <w:left w:val="none" w:sz="0" w:space="0" w:color="auto"/>
            <w:bottom w:val="none" w:sz="0" w:space="0" w:color="auto"/>
            <w:right w:val="none" w:sz="0" w:space="0" w:color="auto"/>
          </w:divBdr>
          <w:divsChild>
            <w:div w:id="631833302">
              <w:marLeft w:val="0"/>
              <w:marRight w:val="0"/>
              <w:marTop w:val="225"/>
              <w:marBottom w:val="225"/>
              <w:divBdr>
                <w:top w:val="none" w:sz="0" w:space="0" w:color="auto"/>
                <w:left w:val="none" w:sz="0" w:space="0" w:color="auto"/>
                <w:bottom w:val="none" w:sz="0" w:space="0" w:color="auto"/>
                <w:right w:val="none" w:sz="0" w:space="0" w:color="auto"/>
              </w:divBdr>
            </w:div>
          </w:divsChild>
        </w:div>
        <w:div w:id="1348173042">
          <w:marLeft w:val="0"/>
          <w:marRight w:val="0"/>
          <w:marTop w:val="0"/>
          <w:marBottom w:val="150"/>
          <w:divBdr>
            <w:top w:val="none" w:sz="0" w:space="0" w:color="auto"/>
            <w:left w:val="none" w:sz="0" w:space="0" w:color="auto"/>
            <w:bottom w:val="none" w:sz="0" w:space="0" w:color="auto"/>
            <w:right w:val="none" w:sz="0" w:space="0" w:color="auto"/>
          </w:divBdr>
          <w:divsChild>
            <w:div w:id="1597788047">
              <w:marLeft w:val="0"/>
              <w:marRight w:val="0"/>
              <w:marTop w:val="0"/>
              <w:marBottom w:val="0"/>
              <w:divBdr>
                <w:top w:val="none" w:sz="0" w:space="0" w:color="auto"/>
                <w:left w:val="none" w:sz="0" w:space="0" w:color="auto"/>
                <w:bottom w:val="none" w:sz="0" w:space="0" w:color="auto"/>
                <w:right w:val="none" w:sz="0" w:space="0" w:color="auto"/>
              </w:divBdr>
              <w:divsChild>
                <w:div w:id="50687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478102">
          <w:marLeft w:val="0"/>
          <w:marRight w:val="0"/>
          <w:marTop w:val="0"/>
          <w:marBottom w:val="150"/>
          <w:divBdr>
            <w:top w:val="none" w:sz="0" w:space="0" w:color="auto"/>
            <w:left w:val="none" w:sz="0" w:space="0" w:color="auto"/>
            <w:bottom w:val="none" w:sz="0" w:space="0" w:color="auto"/>
            <w:right w:val="none" w:sz="0" w:space="0" w:color="auto"/>
          </w:divBdr>
        </w:div>
      </w:divsChild>
    </w:div>
    <w:div w:id="1039552490">
      <w:bodyDiv w:val="1"/>
      <w:marLeft w:val="0"/>
      <w:marRight w:val="0"/>
      <w:marTop w:val="0"/>
      <w:marBottom w:val="0"/>
      <w:divBdr>
        <w:top w:val="none" w:sz="0" w:space="0" w:color="auto"/>
        <w:left w:val="none" w:sz="0" w:space="0" w:color="auto"/>
        <w:bottom w:val="none" w:sz="0" w:space="0" w:color="auto"/>
        <w:right w:val="none" w:sz="0" w:space="0" w:color="auto"/>
      </w:divBdr>
      <w:divsChild>
        <w:div w:id="1020086552">
          <w:marLeft w:val="0"/>
          <w:marRight w:val="0"/>
          <w:marTop w:val="0"/>
          <w:marBottom w:val="0"/>
          <w:divBdr>
            <w:top w:val="none" w:sz="0" w:space="0" w:color="auto"/>
            <w:left w:val="none" w:sz="0" w:space="0" w:color="auto"/>
            <w:bottom w:val="none" w:sz="0" w:space="0" w:color="auto"/>
            <w:right w:val="none" w:sz="0" w:space="0" w:color="auto"/>
          </w:divBdr>
        </w:div>
      </w:divsChild>
    </w:div>
    <w:div w:id="1039742958">
      <w:bodyDiv w:val="1"/>
      <w:marLeft w:val="0"/>
      <w:marRight w:val="0"/>
      <w:marTop w:val="0"/>
      <w:marBottom w:val="0"/>
      <w:divBdr>
        <w:top w:val="none" w:sz="0" w:space="0" w:color="auto"/>
        <w:left w:val="none" w:sz="0" w:space="0" w:color="auto"/>
        <w:bottom w:val="none" w:sz="0" w:space="0" w:color="auto"/>
        <w:right w:val="none" w:sz="0" w:space="0" w:color="auto"/>
      </w:divBdr>
    </w:div>
    <w:div w:id="1040014839">
      <w:bodyDiv w:val="1"/>
      <w:marLeft w:val="0"/>
      <w:marRight w:val="0"/>
      <w:marTop w:val="0"/>
      <w:marBottom w:val="0"/>
      <w:divBdr>
        <w:top w:val="none" w:sz="0" w:space="0" w:color="auto"/>
        <w:left w:val="none" w:sz="0" w:space="0" w:color="auto"/>
        <w:bottom w:val="none" w:sz="0" w:space="0" w:color="auto"/>
        <w:right w:val="none" w:sz="0" w:space="0" w:color="auto"/>
      </w:divBdr>
      <w:divsChild>
        <w:div w:id="479931587">
          <w:marLeft w:val="0"/>
          <w:marRight w:val="0"/>
          <w:marTop w:val="0"/>
          <w:marBottom w:val="150"/>
          <w:divBdr>
            <w:top w:val="none" w:sz="0" w:space="0" w:color="auto"/>
            <w:left w:val="none" w:sz="0" w:space="0" w:color="auto"/>
            <w:bottom w:val="none" w:sz="0" w:space="0" w:color="auto"/>
            <w:right w:val="none" w:sz="0" w:space="0" w:color="auto"/>
          </w:divBdr>
        </w:div>
        <w:div w:id="1244290767">
          <w:marLeft w:val="0"/>
          <w:marRight w:val="0"/>
          <w:marTop w:val="0"/>
          <w:marBottom w:val="0"/>
          <w:divBdr>
            <w:top w:val="none" w:sz="0" w:space="0" w:color="auto"/>
            <w:left w:val="none" w:sz="0" w:space="0" w:color="auto"/>
            <w:bottom w:val="none" w:sz="0" w:space="0" w:color="auto"/>
            <w:right w:val="none" w:sz="0" w:space="0" w:color="auto"/>
          </w:divBdr>
        </w:div>
      </w:divsChild>
    </w:div>
    <w:div w:id="1040015419">
      <w:bodyDiv w:val="1"/>
      <w:marLeft w:val="0"/>
      <w:marRight w:val="0"/>
      <w:marTop w:val="0"/>
      <w:marBottom w:val="0"/>
      <w:divBdr>
        <w:top w:val="none" w:sz="0" w:space="0" w:color="auto"/>
        <w:left w:val="none" w:sz="0" w:space="0" w:color="auto"/>
        <w:bottom w:val="none" w:sz="0" w:space="0" w:color="auto"/>
        <w:right w:val="none" w:sz="0" w:space="0" w:color="auto"/>
      </w:divBdr>
      <w:divsChild>
        <w:div w:id="464738772">
          <w:marLeft w:val="0"/>
          <w:marRight w:val="0"/>
          <w:marTop w:val="0"/>
          <w:marBottom w:val="150"/>
          <w:divBdr>
            <w:top w:val="none" w:sz="0" w:space="0" w:color="auto"/>
            <w:left w:val="none" w:sz="0" w:space="0" w:color="auto"/>
            <w:bottom w:val="none" w:sz="0" w:space="0" w:color="auto"/>
            <w:right w:val="none" w:sz="0" w:space="0" w:color="auto"/>
          </w:divBdr>
          <w:divsChild>
            <w:div w:id="1433627156">
              <w:marLeft w:val="0"/>
              <w:marRight w:val="0"/>
              <w:marTop w:val="0"/>
              <w:marBottom w:val="0"/>
              <w:divBdr>
                <w:top w:val="none" w:sz="0" w:space="0" w:color="auto"/>
                <w:left w:val="none" w:sz="0" w:space="0" w:color="auto"/>
                <w:bottom w:val="none" w:sz="0" w:space="0" w:color="auto"/>
                <w:right w:val="none" w:sz="0" w:space="0" w:color="auto"/>
              </w:divBdr>
              <w:divsChild>
                <w:div w:id="2333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829690">
          <w:marLeft w:val="0"/>
          <w:marRight w:val="0"/>
          <w:marTop w:val="0"/>
          <w:marBottom w:val="150"/>
          <w:divBdr>
            <w:top w:val="none" w:sz="0" w:space="0" w:color="auto"/>
            <w:left w:val="none" w:sz="0" w:space="0" w:color="auto"/>
            <w:bottom w:val="none" w:sz="0" w:space="0" w:color="auto"/>
            <w:right w:val="none" w:sz="0" w:space="0" w:color="auto"/>
          </w:divBdr>
        </w:div>
        <w:div w:id="1203518033">
          <w:marLeft w:val="0"/>
          <w:marRight w:val="0"/>
          <w:marTop w:val="0"/>
          <w:marBottom w:val="0"/>
          <w:divBdr>
            <w:top w:val="none" w:sz="0" w:space="0" w:color="auto"/>
            <w:left w:val="none" w:sz="0" w:space="0" w:color="auto"/>
            <w:bottom w:val="none" w:sz="0" w:space="0" w:color="auto"/>
            <w:right w:val="none" w:sz="0" w:space="0" w:color="auto"/>
          </w:divBdr>
          <w:divsChild>
            <w:div w:id="5838757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40087432">
      <w:bodyDiv w:val="1"/>
      <w:marLeft w:val="0"/>
      <w:marRight w:val="0"/>
      <w:marTop w:val="0"/>
      <w:marBottom w:val="0"/>
      <w:divBdr>
        <w:top w:val="none" w:sz="0" w:space="0" w:color="auto"/>
        <w:left w:val="none" w:sz="0" w:space="0" w:color="auto"/>
        <w:bottom w:val="none" w:sz="0" w:space="0" w:color="auto"/>
        <w:right w:val="none" w:sz="0" w:space="0" w:color="auto"/>
      </w:divBdr>
      <w:divsChild>
        <w:div w:id="317734377">
          <w:marLeft w:val="0"/>
          <w:marRight w:val="0"/>
          <w:marTop w:val="0"/>
          <w:marBottom w:val="0"/>
          <w:divBdr>
            <w:top w:val="none" w:sz="0" w:space="0" w:color="auto"/>
            <w:left w:val="none" w:sz="0" w:space="0" w:color="auto"/>
            <w:bottom w:val="none" w:sz="0" w:space="0" w:color="auto"/>
            <w:right w:val="none" w:sz="0" w:space="0" w:color="auto"/>
          </w:divBdr>
          <w:divsChild>
            <w:div w:id="2100364158">
              <w:marLeft w:val="0"/>
              <w:marRight w:val="0"/>
              <w:marTop w:val="0"/>
              <w:marBottom w:val="0"/>
              <w:divBdr>
                <w:top w:val="none" w:sz="0" w:space="0" w:color="auto"/>
                <w:left w:val="none" w:sz="0" w:space="0" w:color="auto"/>
                <w:bottom w:val="none" w:sz="0" w:space="0" w:color="auto"/>
                <w:right w:val="none" w:sz="0" w:space="0" w:color="auto"/>
              </w:divBdr>
              <w:divsChild>
                <w:div w:id="1728381792">
                  <w:marLeft w:val="0"/>
                  <w:marRight w:val="0"/>
                  <w:marTop w:val="0"/>
                  <w:marBottom w:val="0"/>
                  <w:divBdr>
                    <w:top w:val="none" w:sz="0" w:space="0" w:color="auto"/>
                    <w:left w:val="none" w:sz="0" w:space="0" w:color="auto"/>
                    <w:bottom w:val="none" w:sz="0" w:space="0" w:color="auto"/>
                    <w:right w:val="none" w:sz="0" w:space="0" w:color="auto"/>
                  </w:divBdr>
                  <w:divsChild>
                    <w:div w:id="704866144">
                      <w:marLeft w:val="0"/>
                      <w:marRight w:val="0"/>
                      <w:marTop w:val="0"/>
                      <w:marBottom w:val="0"/>
                      <w:divBdr>
                        <w:top w:val="none" w:sz="0" w:space="0" w:color="auto"/>
                        <w:left w:val="none" w:sz="0" w:space="0" w:color="auto"/>
                        <w:bottom w:val="none" w:sz="0" w:space="0" w:color="auto"/>
                        <w:right w:val="none" w:sz="0" w:space="0" w:color="auto"/>
                      </w:divBdr>
                      <w:divsChild>
                        <w:div w:id="844324681">
                          <w:marLeft w:val="0"/>
                          <w:marRight w:val="0"/>
                          <w:marTop w:val="0"/>
                          <w:marBottom w:val="0"/>
                          <w:divBdr>
                            <w:top w:val="none" w:sz="0" w:space="0" w:color="auto"/>
                            <w:left w:val="none" w:sz="0" w:space="0" w:color="auto"/>
                            <w:bottom w:val="none" w:sz="0" w:space="0" w:color="auto"/>
                            <w:right w:val="none" w:sz="0" w:space="0" w:color="auto"/>
                          </w:divBdr>
                          <w:divsChild>
                            <w:div w:id="1611736655">
                              <w:marLeft w:val="0"/>
                              <w:marRight w:val="0"/>
                              <w:marTop w:val="0"/>
                              <w:marBottom w:val="0"/>
                              <w:divBdr>
                                <w:top w:val="none" w:sz="0" w:space="0" w:color="auto"/>
                                <w:left w:val="none" w:sz="0" w:space="0" w:color="auto"/>
                                <w:bottom w:val="none" w:sz="0" w:space="0" w:color="auto"/>
                                <w:right w:val="none" w:sz="0" w:space="0" w:color="auto"/>
                              </w:divBdr>
                              <w:divsChild>
                                <w:div w:id="1781802853">
                                  <w:marLeft w:val="0"/>
                                  <w:marRight w:val="0"/>
                                  <w:marTop w:val="0"/>
                                  <w:marBottom w:val="0"/>
                                  <w:divBdr>
                                    <w:top w:val="none" w:sz="0" w:space="0" w:color="auto"/>
                                    <w:left w:val="none" w:sz="0" w:space="0" w:color="auto"/>
                                    <w:bottom w:val="none" w:sz="0" w:space="0" w:color="auto"/>
                                    <w:right w:val="none" w:sz="0" w:space="0" w:color="auto"/>
                                  </w:divBdr>
                                  <w:divsChild>
                                    <w:div w:id="1720978899">
                                      <w:marLeft w:val="0"/>
                                      <w:marRight w:val="0"/>
                                      <w:marTop w:val="0"/>
                                      <w:marBottom w:val="0"/>
                                      <w:divBdr>
                                        <w:top w:val="none" w:sz="0" w:space="0" w:color="auto"/>
                                        <w:left w:val="none" w:sz="0" w:space="0" w:color="auto"/>
                                        <w:bottom w:val="none" w:sz="0" w:space="0" w:color="auto"/>
                                        <w:right w:val="none" w:sz="0" w:space="0" w:color="auto"/>
                                      </w:divBdr>
                                      <w:divsChild>
                                        <w:div w:id="111085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0087933">
      <w:bodyDiv w:val="1"/>
      <w:marLeft w:val="0"/>
      <w:marRight w:val="0"/>
      <w:marTop w:val="0"/>
      <w:marBottom w:val="0"/>
      <w:divBdr>
        <w:top w:val="none" w:sz="0" w:space="0" w:color="auto"/>
        <w:left w:val="none" w:sz="0" w:space="0" w:color="auto"/>
        <w:bottom w:val="none" w:sz="0" w:space="0" w:color="auto"/>
        <w:right w:val="none" w:sz="0" w:space="0" w:color="auto"/>
      </w:divBdr>
      <w:divsChild>
        <w:div w:id="494224737">
          <w:marLeft w:val="0"/>
          <w:marRight w:val="0"/>
          <w:marTop w:val="0"/>
          <w:marBottom w:val="0"/>
          <w:divBdr>
            <w:top w:val="none" w:sz="0" w:space="0" w:color="auto"/>
            <w:left w:val="none" w:sz="0" w:space="0" w:color="auto"/>
            <w:bottom w:val="none" w:sz="0" w:space="0" w:color="auto"/>
            <w:right w:val="none" w:sz="0" w:space="0" w:color="auto"/>
          </w:divBdr>
          <w:divsChild>
            <w:div w:id="1448546719">
              <w:marLeft w:val="0"/>
              <w:marRight w:val="0"/>
              <w:marTop w:val="0"/>
              <w:marBottom w:val="0"/>
              <w:divBdr>
                <w:top w:val="none" w:sz="0" w:space="0" w:color="auto"/>
                <w:left w:val="none" w:sz="0" w:space="0" w:color="auto"/>
                <w:bottom w:val="none" w:sz="0" w:space="0" w:color="auto"/>
                <w:right w:val="none" w:sz="0" w:space="0" w:color="auto"/>
              </w:divBdr>
            </w:div>
          </w:divsChild>
        </w:div>
        <w:div w:id="997995696">
          <w:marLeft w:val="0"/>
          <w:marRight w:val="0"/>
          <w:marTop w:val="0"/>
          <w:marBottom w:val="150"/>
          <w:divBdr>
            <w:top w:val="none" w:sz="0" w:space="0" w:color="auto"/>
            <w:left w:val="none" w:sz="0" w:space="0" w:color="auto"/>
            <w:bottom w:val="none" w:sz="0" w:space="0" w:color="auto"/>
            <w:right w:val="none" w:sz="0" w:space="0" w:color="auto"/>
          </w:divBdr>
          <w:divsChild>
            <w:div w:id="830483541">
              <w:marLeft w:val="0"/>
              <w:marRight w:val="0"/>
              <w:marTop w:val="0"/>
              <w:marBottom w:val="0"/>
              <w:divBdr>
                <w:top w:val="none" w:sz="0" w:space="0" w:color="auto"/>
                <w:left w:val="none" w:sz="0" w:space="0" w:color="auto"/>
                <w:bottom w:val="none" w:sz="0" w:space="0" w:color="auto"/>
                <w:right w:val="none" w:sz="0" w:space="0" w:color="auto"/>
              </w:divBdr>
            </w:div>
          </w:divsChild>
        </w:div>
        <w:div w:id="1300921977">
          <w:marLeft w:val="0"/>
          <w:marRight w:val="0"/>
          <w:marTop w:val="0"/>
          <w:marBottom w:val="150"/>
          <w:divBdr>
            <w:top w:val="none" w:sz="0" w:space="0" w:color="auto"/>
            <w:left w:val="none" w:sz="0" w:space="0" w:color="auto"/>
            <w:bottom w:val="none" w:sz="0" w:space="0" w:color="auto"/>
            <w:right w:val="none" w:sz="0" w:space="0" w:color="auto"/>
          </w:divBdr>
        </w:div>
      </w:divsChild>
    </w:div>
    <w:div w:id="1040327259">
      <w:bodyDiv w:val="1"/>
      <w:marLeft w:val="0"/>
      <w:marRight w:val="0"/>
      <w:marTop w:val="0"/>
      <w:marBottom w:val="0"/>
      <w:divBdr>
        <w:top w:val="none" w:sz="0" w:space="0" w:color="auto"/>
        <w:left w:val="none" w:sz="0" w:space="0" w:color="auto"/>
        <w:bottom w:val="none" w:sz="0" w:space="0" w:color="auto"/>
        <w:right w:val="none" w:sz="0" w:space="0" w:color="auto"/>
      </w:divBdr>
      <w:divsChild>
        <w:div w:id="612134861">
          <w:marLeft w:val="0"/>
          <w:marRight w:val="0"/>
          <w:marTop w:val="0"/>
          <w:marBottom w:val="150"/>
          <w:divBdr>
            <w:top w:val="none" w:sz="0" w:space="0" w:color="auto"/>
            <w:left w:val="none" w:sz="0" w:space="0" w:color="auto"/>
            <w:bottom w:val="none" w:sz="0" w:space="0" w:color="auto"/>
            <w:right w:val="none" w:sz="0" w:space="0" w:color="auto"/>
          </w:divBdr>
        </w:div>
      </w:divsChild>
    </w:div>
    <w:div w:id="1040856715">
      <w:bodyDiv w:val="1"/>
      <w:marLeft w:val="0"/>
      <w:marRight w:val="0"/>
      <w:marTop w:val="0"/>
      <w:marBottom w:val="0"/>
      <w:divBdr>
        <w:top w:val="none" w:sz="0" w:space="0" w:color="auto"/>
        <w:left w:val="none" w:sz="0" w:space="0" w:color="auto"/>
        <w:bottom w:val="none" w:sz="0" w:space="0" w:color="auto"/>
        <w:right w:val="none" w:sz="0" w:space="0" w:color="auto"/>
      </w:divBdr>
    </w:div>
    <w:div w:id="1040864377">
      <w:bodyDiv w:val="1"/>
      <w:marLeft w:val="0"/>
      <w:marRight w:val="0"/>
      <w:marTop w:val="0"/>
      <w:marBottom w:val="0"/>
      <w:divBdr>
        <w:top w:val="none" w:sz="0" w:space="0" w:color="auto"/>
        <w:left w:val="none" w:sz="0" w:space="0" w:color="auto"/>
        <w:bottom w:val="none" w:sz="0" w:space="0" w:color="auto"/>
        <w:right w:val="none" w:sz="0" w:space="0" w:color="auto"/>
      </w:divBdr>
      <w:divsChild>
        <w:div w:id="1670718187">
          <w:marLeft w:val="0"/>
          <w:marRight w:val="0"/>
          <w:marTop w:val="0"/>
          <w:marBottom w:val="150"/>
          <w:divBdr>
            <w:top w:val="none" w:sz="0" w:space="0" w:color="auto"/>
            <w:left w:val="none" w:sz="0" w:space="0" w:color="auto"/>
            <w:bottom w:val="none" w:sz="0" w:space="0" w:color="auto"/>
            <w:right w:val="none" w:sz="0" w:space="0" w:color="auto"/>
          </w:divBdr>
          <w:divsChild>
            <w:div w:id="1627807216">
              <w:marLeft w:val="0"/>
              <w:marRight w:val="0"/>
              <w:marTop w:val="0"/>
              <w:marBottom w:val="0"/>
              <w:divBdr>
                <w:top w:val="none" w:sz="0" w:space="0" w:color="auto"/>
                <w:left w:val="none" w:sz="0" w:space="0" w:color="auto"/>
                <w:bottom w:val="none" w:sz="0" w:space="0" w:color="auto"/>
                <w:right w:val="none" w:sz="0" w:space="0" w:color="auto"/>
              </w:divBdr>
              <w:divsChild>
                <w:div w:id="1512333725">
                  <w:marLeft w:val="0"/>
                  <w:marRight w:val="0"/>
                  <w:marTop w:val="0"/>
                  <w:marBottom w:val="0"/>
                  <w:divBdr>
                    <w:top w:val="none" w:sz="0" w:space="0" w:color="auto"/>
                    <w:left w:val="none" w:sz="0" w:space="0" w:color="auto"/>
                    <w:bottom w:val="none" w:sz="0" w:space="0" w:color="auto"/>
                    <w:right w:val="none" w:sz="0" w:space="0" w:color="auto"/>
                  </w:divBdr>
                  <w:divsChild>
                    <w:div w:id="1431660083">
                      <w:marLeft w:val="0"/>
                      <w:marRight w:val="150"/>
                      <w:marTop w:val="0"/>
                      <w:marBottom w:val="0"/>
                      <w:divBdr>
                        <w:top w:val="none" w:sz="0" w:space="0" w:color="auto"/>
                        <w:left w:val="none" w:sz="0" w:space="0" w:color="auto"/>
                        <w:bottom w:val="none" w:sz="0" w:space="0" w:color="auto"/>
                        <w:right w:val="none" w:sz="0" w:space="0" w:color="auto"/>
                      </w:divBdr>
                      <w:divsChild>
                        <w:div w:id="17655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037862">
          <w:marLeft w:val="0"/>
          <w:marRight w:val="0"/>
          <w:marTop w:val="0"/>
          <w:marBottom w:val="150"/>
          <w:divBdr>
            <w:top w:val="none" w:sz="0" w:space="0" w:color="auto"/>
            <w:left w:val="none" w:sz="0" w:space="0" w:color="auto"/>
            <w:bottom w:val="none" w:sz="0" w:space="0" w:color="auto"/>
            <w:right w:val="none" w:sz="0" w:space="0" w:color="auto"/>
          </w:divBdr>
        </w:div>
        <w:div w:id="605045312">
          <w:marLeft w:val="0"/>
          <w:marRight w:val="0"/>
          <w:marTop w:val="0"/>
          <w:marBottom w:val="0"/>
          <w:divBdr>
            <w:top w:val="none" w:sz="0" w:space="0" w:color="auto"/>
            <w:left w:val="none" w:sz="0" w:space="0" w:color="auto"/>
            <w:bottom w:val="none" w:sz="0" w:space="0" w:color="auto"/>
            <w:right w:val="none" w:sz="0" w:space="0" w:color="auto"/>
          </w:divBdr>
          <w:divsChild>
            <w:div w:id="178553973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41126567">
      <w:bodyDiv w:val="1"/>
      <w:marLeft w:val="0"/>
      <w:marRight w:val="0"/>
      <w:marTop w:val="0"/>
      <w:marBottom w:val="0"/>
      <w:divBdr>
        <w:top w:val="none" w:sz="0" w:space="0" w:color="auto"/>
        <w:left w:val="none" w:sz="0" w:space="0" w:color="auto"/>
        <w:bottom w:val="none" w:sz="0" w:space="0" w:color="auto"/>
        <w:right w:val="none" w:sz="0" w:space="0" w:color="auto"/>
      </w:divBdr>
    </w:div>
    <w:div w:id="1041130737">
      <w:bodyDiv w:val="1"/>
      <w:marLeft w:val="0"/>
      <w:marRight w:val="0"/>
      <w:marTop w:val="0"/>
      <w:marBottom w:val="0"/>
      <w:divBdr>
        <w:top w:val="none" w:sz="0" w:space="0" w:color="auto"/>
        <w:left w:val="none" w:sz="0" w:space="0" w:color="auto"/>
        <w:bottom w:val="none" w:sz="0" w:space="0" w:color="auto"/>
        <w:right w:val="none" w:sz="0" w:space="0" w:color="auto"/>
      </w:divBdr>
    </w:div>
    <w:div w:id="1041515749">
      <w:bodyDiv w:val="1"/>
      <w:marLeft w:val="0"/>
      <w:marRight w:val="0"/>
      <w:marTop w:val="0"/>
      <w:marBottom w:val="0"/>
      <w:divBdr>
        <w:top w:val="none" w:sz="0" w:space="0" w:color="auto"/>
        <w:left w:val="none" w:sz="0" w:space="0" w:color="auto"/>
        <w:bottom w:val="none" w:sz="0" w:space="0" w:color="auto"/>
        <w:right w:val="none" w:sz="0" w:space="0" w:color="auto"/>
      </w:divBdr>
    </w:div>
    <w:div w:id="1041636072">
      <w:bodyDiv w:val="1"/>
      <w:marLeft w:val="0"/>
      <w:marRight w:val="0"/>
      <w:marTop w:val="0"/>
      <w:marBottom w:val="0"/>
      <w:divBdr>
        <w:top w:val="none" w:sz="0" w:space="0" w:color="auto"/>
        <w:left w:val="none" w:sz="0" w:space="0" w:color="auto"/>
        <w:bottom w:val="none" w:sz="0" w:space="0" w:color="auto"/>
        <w:right w:val="none" w:sz="0" w:space="0" w:color="auto"/>
      </w:divBdr>
    </w:div>
    <w:div w:id="1042746793">
      <w:bodyDiv w:val="1"/>
      <w:marLeft w:val="0"/>
      <w:marRight w:val="0"/>
      <w:marTop w:val="0"/>
      <w:marBottom w:val="0"/>
      <w:divBdr>
        <w:top w:val="none" w:sz="0" w:space="0" w:color="auto"/>
        <w:left w:val="none" w:sz="0" w:space="0" w:color="auto"/>
        <w:bottom w:val="none" w:sz="0" w:space="0" w:color="auto"/>
        <w:right w:val="none" w:sz="0" w:space="0" w:color="auto"/>
      </w:divBdr>
    </w:div>
    <w:div w:id="1043213709">
      <w:bodyDiv w:val="1"/>
      <w:marLeft w:val="0"/>
      <w:marRight w:val="0"/>
      <w:marTop w:val="0"/>
      <w:marBottom w:val="0"/>
      <w:divBdr>
        <w:top w:val="none" w:sz="0" w:space="0" w:color="auto"/>
        <w:left w:val="none" w:sz="0" w:space="0" w:color="auto"/>
        <w:bottom w:val="none" w:sz="0" w:space="0" w:color="auto"/>
        <w:right w:val="none" w:sz="0" w:space="0" w:color="auto"/>
      </w:divBdr>
      <w:divsChild>
        <w:div w:id="645013138">
          <w:marLeft w:val="0"/>
          <w:marRight w:val="0"/>
          <w:marTop w:val="0"/>
          <w:marBottom w:val="150"/>
          <w:divBdr>
            <w:top w:val="none" w:sz="0" w:space="0" w:color="auto"/>
            <w:left w:val="none" w:sz="0" w:space="0" w:color="auto"/>
            <w:bottom w:val="none" w:sz="0" w:space="0" w:color="auto"/>
            <w:right w:val="none" w:sz="0" w:space="0" w:color="auto"/>
          </w:divBdr>
          <w:divsChild>
            <w:div w:id="312950556">
              <w:marLeft w:val="0"/>
              <w:marRight w:val="0"/>
              <w:marTop w:val="0"/>
              <w:marBottom w:val="0"/>
              <w:divBdr>
                <w:top w:val="none" w:sz="0" w:space="0" w:color="auto"/>
                <w:left w:val="none" w:sz="0" w:space="0" w:color="auto"/>
                <w:bottom w:val="none" w:sz="0" w:space="0" w:color="auto"/>
                <w:right w:val="none" w:sz="0" w:space="0" w:color="auto"/>
              </w:divBdr>
            </w:div>
          </w:divsChild>
        </w:div>
        <w:div w:id="1295213750">
          <w:marLeft w:val="0"/>
          <w:marRight w:val="0"/>
          <w:marTop w:val="0"/>
          <w:marBottom w:val="0"/>
          <w:divBdr>
            <w:top w:val="none" w:sz="0" w:space="0" w:color="auto"/>
            <w:left w:val="none" w:sz="0" w:space="0" w:color="auto"/>
            <w:bottom w:val="none" w:sz="0" w:space="0" w:color="auto"/>
            <w:right w:val="none" w:sz="0" w:space="0" w:color="auto"/>
          </w:divBdr>
          <w:divsChild>
            <w:div w:id="2122071253">
              <w:marLeft w:val="0"/>
              <w:marRight w:val="0"/>
              <w:marTop w:val="0"/>
              <w:marBottom w:val="0"/>
              <w:divBdr>
                <w:top w:val="none" w:sz="0" w:space="0" w:color="auto"/>
                <w:left w:val="none" w:sz="0" w:space="0" w:color="auto"/>
                <w:bottom w:val="none" w:sz="0" w:space="0" w:color="auto"/>
                <w:right w:val="none" w:sz="0" w:space="0" w:color="auto"/>
              </w:divBdr>
            </w:div>
          </w:divsChild>
        </w:div>
        <w:div w:id="1700155722">
          <w:marLeft w:val="0"/>
          <w:marRight w:val="0"/>
          <w:marTop w:val="0"/>
          <w:marBottom w:val="150"/>
          <w:divBdr>
            <w:top w:val="none" w:sz="0" w:space="0" w:color="auto"/>
            <w:left w:val="none" w:sz="0" w:space="0" w:color="auto"/>
            <w:bottom w:val="none" w:sz="0" w:space="0" w:color="auto"/>
            <w:right w:val="none" w:sz="0" w:space="0" w:color="auto"/>
          </w:divBdr>
        </w:div>
      </w:divsChild>
    </w:div>
    <w:div w:id="1043288796">
      <w:bodyDiv w:val="1"/>
      <w:marLeft w:val="0"/>
      <w:marRight w:val="0"/>
      <w:marTop w:val="0"/>
      <w:marBottom w:val="0"/>
      <w:divBdr>
        <w:top w:val="none" w:sz="0" w:space="0" w:color="auto"/>
        <w:left w:val="none" w:sz="0" w:space="0" w:color="auto"/>
        <w:bottom w:val="none" w:sz="0" w:space="0" w:color="auto"/>
        <w:right w:val="none" w:sz="0" w:space="0" w:color="auto"/>
      </w:divBdr>
    </w:div>
    <w:div w:id="1043290178">
      <w:bodyDiv w:val="1"/>
      <w:marLeft w:val="0"/>
      <w:marRight w:val="0"/>
      <w:marTop w:val="0"/>
      <w:marBottom w:val="0"/>
      <w:divBdr>
        <w:top w:val="none" w:sz="0" w:space="0" w:color="auto"/>
        <w:left w:val="none" w:sz="0" w:space="0" w:color="auto"/>
        <w:bottom w:val="none" w:sz="0" w:space="0" w:color="auto"/>
        <w:right w:val="none" w:sz="0" w:space="0" w:color="auto"/>
      </w:divBdr>
      <w:divsChild>
        <w:div w:id="200939891">
          <w:marLeft w:val="0"/>
          <w:marRight w:val="0"/>
          <w:marTop w:val="0"/>
          <w:marBottom w:val="150"/>
          <w:divBdr>
            <w:top w:val="none" w:sz="0" w:space="0" w:color="auto"/>
            <w:left w:val="none" w:sz="0" w:space="0" w:color="auto"/>
            <w:bottom w:val="none" w:sz="0" w:space="0" w:color="auto"/>
            <w:right w:val="none" w:sz="0" w:space="0" w:color="auto"/>
          </w:divBdr>
          <w:divsChild>
            <w:div w:id="814026183">
              <w:marLeft w:val="0"/>
              <w:marRight w:val="0"/>
              <w:marTop w:val="0"/>
              <w:marBottom w:val="0"/>
              <w:divBdr>
                <w:top w:val="none" w:sz="0" w:space="0" w:color="auto"/>
                <w:left w:val="none" w:sz="0" w:space="0" w:color="auto"/>
                <w:bottom w:val="none" w:sz="0" w:space="0" w:color="auto"/>
                <w:right w:val="none" w:sz="0" w:space="0" w:color="auto"/>
              </w:divBdr>
            </w:div>
          </w:divsChild>
        </w:div>
        <w:div w:id="635069886">
          <w:marLeft w:val="0"/>
          <w:marRight w:val="0"/>
          <w:marTop w:val="0"/>
          <w:marBottom w:val="0"/>
          <w:divBdr>
            <w:top w:val="none" w:sz="0" w:space="0" w:color="auto"/>
            <w:left w:val="none" w:sz="0" w:space="0" w:color="auto"/>
            <w:bottom w:val="none" w:sz="0" w:space="0" w:color="auto"/>
            <w:right w:val="none" w:sz="0" w:space="0" w:color="auto"/>
          </w:divBdr>
          <w:divsChild>
            <w:div w:id="1523089034">
              <w:marLeft w:val="0"/>
              <w:marRight w:val="0"/>
              <w:marTop w:val="0"/>
              <w:marBottom w:val="0"/>
              <w:divBdr>
                <w:top w:val="none" w:sz="0" w:space="0" w:color="auto"/>
                <w:left w:val="none" w:sz="0" w:space="0" w:color="auto"/>
                <w:bottom w:val="none" w:sz="0" w:space="0" w:color="auto"/>
                <w:right w:val="none" w:sz="0" w:space="0" w:color="auto"/>
              </w:divBdr>
            </w:div>
          </w:divsChild>
        </w:div>
        <w:div w:id="1854226639">
          <w:marLeft w:val="0"/>
          <w:marRight w:val="0"/>
          <w:marTop w:val="0"/>
          <w:marBottom w:val="150"/>
          <w:divBdr>
            <w:top w:val="none" w:sz="0" w:space="0" w:color="auto"/>
            <w:left w:val="none" w:sz="0" w:space="0" w:color="auto"/>
            <w:bottom w:val="none" w:sz="0" w:space="0" w:color="auto"/>
            <w:right w:val="none" w:sz="0" w:space="0" w:color="auto"/>
          </w:divBdr>
        </w:div>
      </w:divsChild>
    </w:div>
    <w:div w:id="1043555032">
      <w:bodyDiv w:val="1"/>
      <w:marLeft w:val="0"/>
      <w:marRight w:val="0"/>
      <w:marTop w:val="0"/>
      <w:marBottom w:val="0"/>
      <w:divBdr>
        <w:top w:val="none" w:sz="0" w:space="0" w:color="auto"/>
        <w:left w:val="none" w:sz="0" w:space="0" w:color="auto"/>
        <w:bottom w:val="none" w:sz="0" w:space="0" w:color="auto"/>
        <w:right w:val="none" w:sz="0" w:space="0" w:color="auto"/>
      </w:divBdr>
      <w:divsChild>
        <w:div w:id="328485925">
          <w:marLeft w:val="0"/>
          <w:marRight w:val="0"/>
          <w:marTop w:val="0"/>
          <w:marBottom w:val="0"/>
          <w:divBdr>
            <w:top w:val="none" w:sz="0" w:space="0" w:color="auto"/>
            <w:left w:val="none" w:sz="0" w:space="0" w:color="auto"/>
            <w:bottom w:val="none" w:sz="0" w:space="0" w:color="auto"/>
            <w:right w:val="none" w:sz="0" w:space="0" w:color="auto"/>
          </w:divBdr>
          <w:divsChild>
            <w:div w:id="560290272">
              <w:marLeft w:val="0"/>
              <w:marRight w:val="0"/>
              <w:marTop w:val="225"/>
              <w:marBottom w:val="225"/>
              <w:divBdr>
                <w:top w:val="none" w:sz="0" w:space="0" w:color="auto"/>
                <w:left w:val="none" w:sz="0" w:space="0" w:color="auto"/>
                <w:bottom w:val="none" w:sz="0" w:space="0" w:color="auto"/>
                <w:right w:val="none" w:sz="0" w:space="0" w:color="auto"/>
              </w:divBdr>
            </w:div>
          </w:divsChild>
        </w:div>
        <w:div w:id="794564331">
          <w:marLeft w:val="0"/>
          <w:marRight w:val="0"/>
          <w:marTop w:val="0"/>
          <w:marBottom w:val="150"/>
          <w:divBdr>
            <w:top w:val="none" w:sz="0" w:space="0" w:color="auto"/>
            <w:left w:val="none" w:sz="0" w:space="0" w:color="auto"/>
            <w:bottom w:val="none" w:sz="0" w:space="0" w:color="auto"/>
            <w:right w:val="none" w:sz="0" w:space="0" w:color="auto"/>
          </w:divBdr>
          <w:divsChild>
            <w:div w:id="748119085">
              <w:marLeft w:val="0"/>
              <w:marRight w:val="0"/>
              <w:marTop w:val="0"/>
              <w:marBottom w:val="0"/>
              <w:divBdr>
                <w:top w:val="none" w:sz="0" w:space="0" w:color="auto"/>
                <w:left w:val="none" w:sz="0" w:space="0" w:color="auto"/>
                <w:bottom w:val="none" w:sz="0" w:space="0" w:color="auto"/>
                <w:right w:val="none" w:sz="0" w:space="0" w:color="auto"/>
              </w:divBdr>
              <w:divsChild>
                <w:div w:id="35573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42458">
          <w:marLeft w:val="0"/>
          <w:marRight w:val="0"/>
          <w:marTop w:val="0"/>
          <w:marBottom w:val="150"/>
          <w:divBdr>
            <w:top w:val="none" w:sz="0" w:space="0" w:color="auto"/>
            <w:left w:val="none" w:sz="0" w:space="0" w:color="auto"/>
            <w:bottom w:val="none" w:sz="0" w:space="0" w:color="auto"/>
            <w:right w:val="none" w:sz="0" w:space="0" w:color="auto"/>
          </w:divBdr>
        </w:div>
      </w:divsChild>
    </w:div>
    <w:div w:id="1043597614">
      <w:bodyDiv w:val="1"/>
      <w:marLeft w:val="0"/>
      <w:marRight w:val="0"/>
      <w:marTop w:val="0"/>
      <w:marBottom w:val="0"/>
      <w:divBdr>
        <w:top w:val="none" w:sz="0" w:space="0" w:color="auto"/>
        <w:left w:val="none" w:sz="0" w:space="0" w:color="auto"/>
        <w:bottom w:val="none" w:sz="0" w:space="0" w:color="auto"/>
        <w:right w:val="none" w:sz="0" w:space="0" w:color="auto"/>
      </w:divBdr>
      <w:divsChild>
        <w:div w:id="976452325">
          <w:marLeft w:val="0"/>
          <w:marRight w:val="0"/>
          <w:marTop w:val="0"/>
          <w:marBottom w:val="0"/>
          <w:divBdr>
            <w:top w:val="none" w:sz="0" w:space="0" w:color="auto"/>
            <w:left w:val="none" w:sz="0" w:space="0" w:color="auto"/>
            <w:bottom w:val="none" w:sz="0" w:space="0" w:color="auto"/>
            <w:right w:val="none" w:sz="0" w:space="0" w:color="auto"/>
          </w:divBdr>
        </w:div>
      </w:divsChild>
    </w:div>
    <w:div w:id="1043603847">
      <w:bodyDiv w:val="1"/>
      <w:marLeft w:val="0"/>
      <w:marRight w:val="0"/>
      <w:marTop w:val="0"/>
      <w:marBottom w:val="0"/>
      <w:divBdr>
        <w:top w:val="none" w:sz="0" w:space="0" w:color="auto"/>
        <w:left w:val="none" w:sz="0" w:space="0" w:color="auto"/>
        <w:bottom w:val="none" w:sz="0" w:space="0" w:color="auto"/>
        <w:right w:val="none" w:sz="0" w:space="0" w:color="auto"/>
      </w:divBdr>
      <w:divsChild>
        <w:div w:id="1241675119">
          <w:marLeft w:val="0"/>
          <w:marRight w:val="0"/>
          <w:marTop w:val="0"/>
          <w:marBottom w:val="0"/>
          <w:divBdr>
            <w:top w:val="none" w:sz="0" w:space="0" w:color="auto"/>
            <w:left w:val="none" w:sz="0" w:space="0" w:color="auto"/>
            <w:bottom w:val="none" w:sz="0" w:space="0" w:color="auto"/>
            <w:right w:val="none" w:sz="0" w:space="0" w:color="auto"/>
          </w:divBdr>
          <w:divsChild>
            <w:div w:id="583563621">
              <w:marLeft w:val="0"/>
              <w:marRight w:val="0"/>
              <w:marTop w:val="0"/>
              <w:marBottom w:val="0"/>
              <w:divBdr>
                <w:top w:val="none" w:sz="0" w:space="0" w:color="auto"/>
                <w:left w:val="none" w:sz="0" w:space="0" w:color="auto"/>
                <w:bottom w:val="none" w:sz="0" w:space="0" w:color="auto"/>
                <w:right w:val="none" w:sz="0" w:space="0" w:color="auto"/>
              </w:divBdr>
              <w:divsChild>
                <w:div w:id="1544055639">
                  <w:marLeft w:val="0"/>
                  <w:marRight w:val="0"/>
                  <w:marTop w:val="0"/>
                  <w:marBottom w:val="0"/>
                  <w:divBdr>
                    <w:top w:val="none" w:sz="0" w:space="0" w:color="auto"/>
                    <w:left w:val="none" w:sz="0" w:space="0" w:color="auto"/>
                    <w:bottom w:val="none" w:sz="0" w:space="0" w:color="auto"/>
                    <w:right w:val="none" w:sz="0" w:space="0" w:color="auto"/>
                  </w:divBdr>
                  <w:divsChild>
                    <w:div w:id="1958759168">
                      <w:marLeft w:val="0"/>
                      <w:marRight w:val="0"/>
                      <w:marTop w:val="0"/>
                      <w:marBottom w:val="0"/>
                      <w:divBdr>
                        <w:top w:val="none" w:sz="0" w:space="0" w:color="auto"/>
                        <w:left w:val="none" w:sz="0" w:space="0" w:color="auto"/>
                        <w:bottom w:val="none" w:sz="0" w:space="0" w:color="auto"/>
                        <w:right w:val="none" w:sz="0" w:space="0" w:color="auto"/>
                      </w:divBdr>
                      <w:divsChild>
                        <w:div w:id="1915436156">
                          <w:marLeft w:val="0"/>
                          <w:marRight w:val="0"/>
                          <w:marTop w:val="0"/>
                          <w:marBottom w:val="0"/>
                          <w:divBdr>
                            <w:top w:val="none" w:sz="0" w:space="0" w:color="auto"/>
                            <w:left w:val="none" w:sz="0" w:space="0" w:color="auto"/>
                            <w:bottom w:val="none" w:sz="0" w:space="0" w:color="auto"/>
                            <w:right w:val="none" w:sz="0" w:space="0" w:color="auto"/>
                          </w:divBdr>
                          <w:divsChild>
                            <w:div w:id="462577026">
                              <w:marLeft w:val="0"/>
                              <w:marRight w:val="0"/>
                              <w:marTop w:val="0"/>
                              <w:marBottom w:val="0"/>
                              <w:divBdr>
                                <w:top w:val="none" w:sz="0" w:space="0" w:color="auto"/>
                                <w:left w:val="none" w:sz="0" w:space="0" w:color="auto"/>
                                <w:bottom w:val="none" w:sz="0" w:space="0" w:color="auto"/>
                                <w:right w:val="none" w:sz="0" w:space="0" w:color="auto"/>
                              </w:divBdr>
                              <w:divsChild>
                                <w:div w:id="1077359410">
                                  <w:marLeft w:val="0"/>
                                  <w:marRight w:val="0"/>
                                  <w:marTop w:val="0"/>
                                  <w:marBottom w:val="0"/>
                                  <w:divBdr>
                                    <w:top w:val="none" w:sz="0" w:space="0" w:color="auto"/>
                                    <w:left w:val="none" w:sz="0" w:space="0" w:color="auto"/>
                                    <w:bottom w:val="none" w:sz="0" w:space="0" w:color="auto"/>
                                    <w:right w:val="none" w:sz="0" w:space="0" w:color="auto"/>
                                  </w:divBdr>
                                  <w:divsChild>
                                    <w:div w:id="278878703">
                                      <w:marLeft w:val="0"/>
                                      <w:marRight w:val="0"/>
                                      <w:marTop w:val="0"/>
                                      <w:marBottom w:val="0"/>
                                      <w:divBdr>
                                        <w:top w:val="none" w:sz="0" w:space="0" w:color="auto"/>
                                        <w:left w:val="none" w:sz="0" w:space="0" w:color="auto"/>
                                        <w:bottom w:val="none" w:sz="0" w:space="0" w:color="auto"/>
                                        <w:right w:val="none" w:sz="0" w:space="0" w:color="auto"/>
                                      </w:divBdr>
                                      <w:divsChild>
                                        <w:div w:id="1479298174">
                                          <w:marLeft w:val="0"/>
                                          <w:marRight w:val="0"/>
                                          <w:marTop w:val="0"/>
                                          <w:marBottom w:val="0"/>
                                          <w:divBdr>
                                            <w:top w:val="none" w:sz="0" w:space="0" w:color="auto"/>
                                            <w:left w:val="none" w:sz="0" w:space="0" w:color="auto"/>
                                            <w:bottom w:val="none" w:sz="0" w:space="0" w:color="auto"/>
                                            <w:right w:val="none" w:sz="0" w:space="0" w:color="auto"/>
                                          </w:divBdr>
                                          <w:divsChild>
                                            <w:div w:id="46747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3864645">
      <w:bodyDiv w:val="1"/>
      <w:marLeft w:val="0"/>
      <w:marRight w:val="0"/>
      <w:marTop w:val="0"/>
      <w:marBottom w:val="0"/>
      <w:divBdr>
        <w:top w:val="none" w:sz="0" w:space="0" w:color="auto"/>
        <w:left w:val="none" w:sz="0" w:space="0" w:color="auto"/>
        <w:bottom w:val="none" w:sz="0" w:space="0" w:color="auto"/>
        <w:right w:val="none" w:sz="0" w:space="0" w:color="auto"/>
      </w:divBdr>
    </w:div>
    <w:div w:id="1043989238">
      <w:bodyDiv w:val="1"/>
      <w:marLeft w:val="0"/>
      <w:marRight w:val="0"/>
      <w:marTop w:val="0"/>
      <w:marBottom w:val="0"/>
      <w:divBdr>
        <w:top w:val="none" w:sz="0" w:space="0" w:color="auto"/>
        <w:left w:val="none" w:sz="0" w:space="0" w:color="auto"/>
        <w:bottom w:val="none" w:sz="0" w:space="0" w:color="auto"/>
        <w:right w:val="none" w:sz="0" w:space="0" w:color="auto"/>
      </w:divBdr>
      <w:divsChild>
        <w:div w:id="95365485">
          <w:marLeft w:val="0"/>
          <w:marRight w:val="0"/>
          <w:marTop w:val="0"/>
          <w:marBottom w:val="0"/>
          <w:divBdr>
            <w:top w:val="none" w:sz="0" w:space="0" w:color="auto"/>
            <w:left w:val="none" w:sz="0" w:space="0" w:color="auto"/>
            <w:bottom w:val="dotted" w:sz="6" w:space="4" w:color="DDDDDD"/>
            <w:right w:val="none" w:sz="0" w:space="0" w:color="auto"/>
          </w:divBdr>
        </w:div>
      </w:divsChild>
    </w:div>
    <w:div w:id="1044863809">
      <w:bodyDiv w:val="1"/>
      <w:marLeft w:val="0"/>
      <w:marRight w:val="0"/>
      <w:marTop w:val="0"/>
      <w:marBottom w:val="0"/>
      <w:divBdr>
        <w:top w:val="none" w:sz="0" w:space="0" w:color="auto"/>
        <w:left w:val="none" w:sz="0" w:space="0" w:color="auto"/>
        <w:bottom w:val="none" w:sz="0" w:space="0" w:color="auto"/>
        <w:right w:val="none" w:sz="0" w:space="0" w:color="auto"/>
      </w:divBdr>
      <w:divsChild>
        <w:div w:id="1434059604">
          <w:marLeft w:val="0"/>
          <w:marRight w:val="0"/>
          <w:marTop w:val="0"/>
          <w:marBottom w:val="0"/>
          <w:divBdr>
            <w:top w:val="none" w:sz="0" w:space="0" w:color="auto"/>
            <w:left w:val="none" w:sz="0" w:space="0" w:color="auto"/>
            <w:bottom w:val="none" w:sz="0" w:space="0" w:color="auto"/>
            <w:right w:val="none" w:sz="0" w:space="0" w:color="auto"/>
          </w:divBdr>
          <w:divsChild>
            <w:div w:id="10470241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45059398">
      <w:bodyDiv w:val="1"/>
      <w:marLeft w:val="0"/>
      <w:marRight w:val="0"/>
      <w:marTop w:val="0"/>
      <w:marBottom w:val="0"/>
      <w:divBdr>
        <w:top w:val="none" w:sz="0" w:space="0" w:color="auto"/>
        <w:left w:val="none" w:sz="0" w:space="0" w:color="auto"/>
        <w:bottom w:val="none" w:sz="0" w:space="0" w:color="auto"/>
        <w:right w:val="none" w:sz="0" w:space="0" w:color="auto"/>
      </w:divBdr>
      <w:divsChild>
        <w:div w:id="1441754373">
          <w:marLeft w:val="0"/>
          <w:marRight w:val="0"/>
          <w:marTop w:val="0"/>
          <w:marBottom w:val="0"/>
          <w:divBdr>
            <w:top w:val="none" w:sz="0" w:space="8" w:color="auto"/>
            <w:left w:val="none" w:sz="0" w:space="2" w:color="auto"/>
            <w:bottom w:val="single" w:sz="6" w:space="8" w:color="DDDDDD"/>
            <w:right w:val="none" w:sz="0" w:space="0" w:color="auto"/>
          </w:divBdr>
        </w:div>
        <w:div w:id="1600332464">
          <w:marLeft w:val="0"/>
          <w:marRight w:val="0"/>
          <w:marTop w:val="150"/>
          <w:marBottom w:val="0"/>
          <w:divBdr>
            <w:top w:val="none" w:sz="0" w:space="0" w:color="auto"/>
            <w:left w:val="none" w:sz="0" w:space="0" w:color="auto"/>
            <w:bottom w:val="none" w:sz="0" w:space="0" w:color="auto"/>
            <w:right w:val="none" w:sz="0" w:space="0" w:color="auto"/>
          </w:divBdr>
          <w:divsChild>
            <w:div w:id="212966141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45106606">
      <w:bodyDiv w:val="1"/>
      <w:marLeft w:val="0"/>
      <w:marRight w:val="0"/>
      <w:marTop w:val="0"/>
      <w:marBottom w:val="0"/>
      <w:divBdr>
        <w:top w:val="none" w:sz="0" w:space="0" w:color="auto"/>
        <w:left w:val="none" w:sz="0" w:space="0" w:color="auto"/>
        <w:bottom w:val="none" w:sz="0" w:space="0" w:color="auto"/>
        <w:right w:val="none" w:sz="0" w:space="0" w:color="auto"/>
      </w:divBdr>
    </w:div>
    <w:div w:id="1045369109">
      <w:bodyDiv w:val="1"/>
      <w:marLeft w:val="0"/>
      <w:marRight w:val="0"/>
      <w:marTop w:val="0"/>
      <w:marBottom w:val="0"/>
      <w:divBdr>
        <w:top w:val="none" w:sz="0" w:space="0" w:color="auto"/>
        <w:left w:val="none" w:sz="0" w:space="0" w:color="auto"/>
        <w:bottom w:val="none" w:sz="0" w:space="0" w:color="auto"/>
        <w:right w:val="none" w:sz="0" w:space="0" w:color="auto"/>
      </w:divBdr>
      <w:divsChild>
        <w:div w:id="702898135">
          <w:marLeft w:val="0"/>
          <w:marRight w:val="0"/>
          <w:marTop w:val="0"/>
          <w:marBottom w:val="150"/>
          <w:divBdr>
            <w:top w:val="none" w:sz="0" w:space="0" w:color="auto"/>
            <w:left w:val="none" w:sz="0" w:space="0" w:color="auto"/>
            <w:bottom w:val="none" w:sz="0" w:space="0" w:color="auto"/>
            <w:right w:val="none" w:sz="0" w:space="0" w:color="auto"/>
          </w:divBdr>
          <w:divsChild>
            <w:div w:id="482086434">
              <w:marLeft w:val="0"/>
              <w:marRight w:val="0"/>
              <w:marTop w:val="0"/>
              <w:marBottom w:val="0"/>
              <w:divBdr>
                <w:top w:val="none" w:sz="0" w:space="0" w:color="auto"/>
                <w:left w:val="none" w:sz="0" w:space="0" w:color="auto"/>
                <w:bottom w:val="none" w:sz="0" w:space="0" w:color="auto"/>
                <w:right w:val="none" w:sz="0" w:space="0" w:color="auto"/>
              </w:divBdr>
            </w:div>
          </w:divsChild>
        </w:div>
        <w:div w:id="1265379272">
          <w:marLeft w:val="0"/>
          <w:marRight w:val="0"/>
          <w:marTop w:val="0"/>
          <w:marBottom w:val="0"/>
          <w:divBdr>
            <w:top w:val="none" w:sz="0" w:space="0" w:color="auto"/>
            <w:left w:val="none" w:sz="0" w:space="0" w:color="auto"/>
            <w:bottom w:val="none" w:sz="0" w:space="0" w:color="auto"/>
            <w:right w:val="none" w:sz="0" w:space="0" w:color="auto"/>
          </w:divBdr>
          <w:divsChild>
            <w:div w:id="530076149">
              <w:marLeft w:val="0"/>
              <w:marRight w:val="0"/>
              <w:marTop w:val="0"/>
              <w:marBottom w:val="0"/>
              <w:divBdr>
                <w:top w:val="none" w:sz="0" w:space="0" w:color="auto"/>
                <w:left w:val="none" w:sz="0" w:space="0" w:color="auto"/>
                <w:bottom w:val="none" w:sz="0" w:space="0" w:color="auto"/>
                <w:right w:val="none" w:sz="0" w:space="0" w:color="auto"/>
              </w:divBdr>
            </w:div>
          </w:divsChild>
        </w:div>
        <w:div w:id="1419249756">
          <w:marLeft w:val="0"/>
          <w:marRight w:val="0"/>
          <w:marTop w:val="0"/>
          <w:marBottom w:val="150"/>
          <w:divBdr>
            <w:top w:val="none" w:sz="0" w:space="0" w:color="auto"/>
            <w:left w:val="none" w:sz="0" w:space="0" w:color="auto"/>
            <w:bottom w:val="none" w:sz="0" w:space="0" w:color="auto"/>
            <w:right w:val="none" w:sz="0" w:space="0" w:color="auto"/>
          </w:divBdr>
        </w:div>
      </w:divsChild>
    </w:div>
    <w:div w:id="1045525116">
      <w:bodyDiv w:val="1"/>
      <w:marLeft w:val="0"/>
      <w:marRight w:val="0"/>
      <w:marTop w:val="0"/>
      <w:marBottom w:val="0"/>
      <w:divBdr>
        <w:top w:val="none" w:sz="0" w:space="0" w:color="auto"/>
        <w:left w:val="none" w:sz="0" w:space="0" w:color="auto"/>
        <w:bottom w:val="none" w:sz="0" w:space="0" w:color="auto"/>
        <w:right w:val="none" w:sz="0" w:space="0" w:color="auto"/>
      </w:divBdr>
      <w:divsChild>
        <w:div w:id="1502887459">
          <w:marLeft w:val="0"/>
          <w:marRight w:val="0"/>
          <w:marTop w:val="0"/>
          <w:marBottom w:val="450"/>
          <w:divBdr>
            <w:top w:val="none" w:sz="0" w:space="0" w:color="auto"/>
            <w:left w:val="none" w:sz="0" w:space="0" w:color="auto"/>
            <w:bottom w:val="single" w:sz="6" w:space="19" w:color="EEEEEE"/>
            <w:right w:val="none" w:sz="0" w:space="0" w:color="auto"/>
          </w:divBdr>
          <w:divsChild>
            <w:div w:id="176769917">
              <w:marLeft w:val="0"/>
              <w:marRight w:val="0"/>
              <w:marTop w:val="0"/>
              <w:marBottom w:val="150"/>
              <w:divBdr>
                <w:top w:val="none" w:sz="0" w:space="0" w:color="auto"/>
                <w:left w:val="none" w:sz="0" w:space="0" w:color="auto"/>
                <w:bottom w:val="none" w:sz="0" w:space="0" w:color="auto"/>
                <w:right w:val="none" w:sz="0" w:space="0" w:color="auto"/>
              </w:divBdr>
              <w:divsChild>
                <w:div w:id="1940748557">
                  <w:marLeft w:val="0"/>
                  <w:marRight w:val="0"/>
                  <w:marTop w:val="0"/>
                  <w:marBottom w:val="0"/>
                  <w:divBdr>
                    <w:top w:val="none" w:sz="0" w:space="0" w:color="auto"/>
                    <w:left w:val="none" w:sz="0" w:space="0" w:color="auto"/>
                    <w:bottom w:val="none" w:sz="0" w:space="0" w:color="auto"/>
                    <w:right w:val="none" w:sz="0" w:space="0" w:color="auto"/>
                  </w:divBdr>
                </w:div>
              </w:divsChild>
            </w:div>
            <w:div w:id="205946407">
              <w:marLeft w:val="0"/>
              <w:marRight w:val="0"/>
              <w:marTop w:val="0"/>
              <w:marBottom w:val="0"/>
              <w:divBdr>
                <w:top w:val="none" w:sz="0" w:space="0" w:color="auto"/>
                <w:left w:val="none" w:sz="0" w:space="0" w:color="auto"/>
                <w:bottom w:val="none" w:sz="0" w:space="0" w:color="auto"/>
                <w:right w:val="none" w:sz="0" w:space="0" w:color="auto"/>
              </w:divBdr>
            </w:div>
          </w:divsChild>
        </w:div>
        <w:div w:id="1206484812">
          <w:marLeft w:val="0"/>
          <w:marRight w:val="0"/>
          <w:marTop w:val="0"/>
          <w:marBottom w:val="0"/>
          <w:divBdr>
            <w:top w:val="none" w:sz="0" w:space="0" w:color="auto"/>
            <w:left w:val="none" w:sz="0" w:space="0" w:color="auto"/>
            <w:bottom w:val="none" w:sz="0" w:space="0" w:color="auto"/>
            <w:right w:val="none" w:sz="0" w:space="0" w:color="auto"/>
          </w:divBdr>
          <w:divsChild>
            <w:div w:id="1620647676">
              <w:marLeft w:val="0"/>
              <w:marRight w:val="0"/>
              <w:marTop w:val="0"/>
              <w:marBottom w:val="0"/>
              <w:divBdr>
                <w:top w:val="none" w:sz="0" w:space="0" w:color="auto"/>
                <w:left w:val="none" w:sz="0" w:space="0" w:color="auto"/>
                <w:bottom w:val="none" w:sz="0" w:space="0" w:color="auto"/>
                <w:right w:val="none" w:sz="0" w:space="0" w:color="auto"/>
              </w:divBdr>
              <w:divsChild>
                <w:div w:id="161710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719726">
      <w:bodyDiv w:val="1"/>
      <w:marLeft w:val="0"/>
      <w:marRight w:val="0"/>
      <w:marTop w:val="0"/>
      <w:marBottom w:val="0"/>
      <w:divBdr>
        <w:top w:val="none" w:sz="0" w:space="0" w:color="auto"/>
        <w:left w:val="none" w:sz="0" w:space="0" w:color="auto"/>
        <w:bottom w:val="none" w:sz="0" w:space="0" w:color="auto"/>
        <w:right w:val="none" w:sz="0" w:space="0" w:color="auto"/>
      </w:divBdr>
      <w:divsChild>
        <w:div w:id="323630275">
          <w:marLeft w:val="0"/>
          <w:marRight w:val="0"/>
          <w:marTop w:val="0"/>
          <w:marBottom w:val="0"/>
          <w:divBdr>
            <w:top w:val="none" w:sz="0" w:space="0" w:color="auto"/>
            <w:left w:val="none" w:sz="0" w:space="0" w:color="auto"/>
            <w:bottom w:val="dotted" w:sz="6" w:space="4" w:color="DDDDDD"/>
            <w:right w:val="none" w:sz="0" w:space="0" w:color="auto"/>
          </w:divBdr>
        </w:div>
      </w:divsChild>
    </w:div>
    <w:div w:id="1045830875">
      <w:bodyDiv w:val="1"/>
      <w:marLeft w:val="0"/>
      <w:marRight w:val="0"/>
      <w:marTop w:val="0"/>
      <w:marBottom w:val="0"/>
      <w:divBdr>
        <w:top w:val="none" w:sz="0" w:space="0" w:color="auto"/>
        <w:left w:val="none" w:sz="0" w:space="0" w:color="auto"/>
        <w:bottom w:val="none" w:sz="0" w:space="0" w:color="auto"/>
        <w:right w:val="none" w:sz="0" w:space="0" w:color="auto"/>
      </w:divBdr>
    </w:div>
    <w:div w:id="1046178824">
      <w:bodyDiv w:val="1"/>
      <w:marLeft w:val="0"/>
      <w:marRight w:val="0"/>
      <w:marTop w:val="0"/>
      <w:marBottom w:val="0"/>
      <w:divBdr>
        <w:top w:val="none" w:sz="0" w:space="0" w:color="auto"/>
        <w:left w:val="none" w:sz="0" w:space="0" w:color="auto"/>
        <w:bottom w:val="none" w:sz="0" w:space="0" w:color="auto"/>
        <w:right w:val="none" w:sz="0" w:space="0" w:color="auto"/>
      </w:divBdr>
      <w:divsChild>
        <w:div w:id="1358702928">
          <w:marLeft w:val="0"/>
          <w:marRight w:val="0"/>
          <w:marTop w:val="0"/>
          <w:marBottom w:val="150"/>
          <w:divBdr>
            <w:top w:val="none" w:sz="0" w:space="0" w:color="auto"/>
            <w:left w:val="none" w:sz="0" w:space="0" w:color="auto"/>
            <w:bottom w:val="none" w:sz="0" w:space="0" w:color="auto"/>
            <w:right w:val="none" w:sz="0" w:space="0" w:color="auto"/>
          </w:divBdr>
        </w:div>
        <w:div w:id="1666929898">
          <w:marLeft w:val="0"/>
          <w:marRight w:val="0"/>
          <w:marTop w:val="0"/>
          <w:marBottom w:val="0"/>
          <w:divBdr>
            <w:top w:val="none" w:sz="0" w:space="0" w:color="auto"/>
            <w:left w:val="none" w:sz="0" w:space="0" w:color="auto"/>
            <w:bottom w:val="none" w:sz="0" w:space="0" w:color="auto"/>
            <w:right w:val="none" w:sz="0" w:space="0" w:color="auto"/>
          </w:divBdr>
          <w:divsChild>
            <w:div w:id="1879853454">
              <w:marLeft w:val="0"/>
              <w:marRight w:val="0"/>
              <w:marTop w:val="225"/>
              <w:marBottom w:val="225"/>
              <w:divBdr>
                <w:top w:val="none" w:sz="0" w:space="0" w:color="auto"/>
                <w:left w:val="none" w:sz="0" w:space="0" w:color="auto"/>
                <w:bottom w:val="none" w:sz="0" w:space="0" w:color="auto"/>
                <w:right w:val="none" w:sz="0" w:space="0" w:color="auto"/>
              </w:divBdr>
            </w:div>
          </w:divsChild>
        </w:div>
        <w:div w:id="2022899727">
          <w:marLeft w:val="0"/>
          <w:marRight w:val="0"/>
          <w:marTop w:val="0"/>
          <w:marBottom w:val="150"/>
          <w:divBdr>
            <w:top w:val="none" w:sz="0" w:space="0" w:color="auto"/>
            <w:left w:val="none" w:sz="0" w:space="0" w:color="auto"/>
            <w:bottom w:val="none" w:sz="0" w:space="0" w:color="auto"/>
            <w:right w:val="none" w:sz="0" w:space="0" w:color="auto"/>
          </w:divBdr>
          <w:divsChild>
            <w:div w:id="1304844701">
              <w:marLeft w:val="0"/>
              <w:marRight w:val="0"/>
              <w:marTop w:val="0"/>
              <w:marBottom w:val="0"/>
              <w:divBdr>
                <w:top w:val="none" w:sz="0" w:space="0" w:color="auto"/>
                <w:left w:val="none" w:sz="0" w:space="0" w:color="auto"/>
                <w:bottom w:val="none" w:sz="0" w:space="0" w:color="auto"/>
                <w:right w:val="none" w:sz="0" w:space="0" w:color="auto"/>
              </w:divBdr>
              <w:divsChild>
                <w:div w:id="125150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181454">
      <w:bodyDiv w:val="1"/>
      <w:marLeft w:val="0"/>
      <w:marRight w:val="0"/>
      <w:marTop w:val="0"/>
      <w:marBottom w:val="0"/>
      <w:divBdr>
        <w:top w:val="none" w:sz="0" w:space="0" w:color="auto"/>
        <w:left w:val="none" w:sz="0" w:space="0" w:color="auto"/>
        <w:bottom w:val="none" w:sz="0" w:space="0" w:color="auto"/>
        <w:right w:val="none" w:sz="0" w:space="0" w:color="auto"/>
      </w:divBdr>
      <w:divsChild>
        <w:div w:id="2054233737">
          <w:marLeft w:val="0"/>
          <w:marRight w:val="0"/>
          <w:marTop w:val="0"/>
          <w:marBottom w:val="225"/>
          <w:divBdr>
            <w:top w:val="none" w:sz="0" w:space="0" w:color="auto"/>
            <w:left w:val="none" w:sz="0" w:space="0" w:color="auto"/>
            <w:bottom w:val="none" w:sz="0" w:space="0" w:color="auto"/>
            <w:right w:val="none" w:sz="0" w:space="0" w:color="auto"/>
          </w:divBdr>
        </w:div>
        <w:div w:id="539896216">
          <w:marLeft w:val="0"/>
          <w:marRight w:val="0"/>
          <w:marTop w:val="0"/>
          <w:marBottom w:val="225"/>
          <w:divBdr>
            <w:top w:val="none" w:sz="0" w:space="0" w:color="auto"/>
            <w:left w:val="none" w:sz="0" w:space="0" w:color="auto"/>
            <w:bottom w:val="none" w:sz="0" w:space="0" w:color="auto"/>
            <w:right w:val="none" w:sz="0" w:space="0" w:color="auto"/>
          </w:divBdr>
          <w:divsChild>
            <w:div w:id="214735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76281">
      <w:bodyDiv w:val="1"/>
      <w:marLeft w:val="0"/>
      <w:marRight w:val="0"/>
      <w:marTop w:val="0"/>
      <w:marBottom w:val="0"/>
      <w:divBdr>
        <w:top w:val="none" w:sz="0" w:space="0" w:color="auto"/>
        <w:left w:val="none" w:sz="0" w:space="0" w:color="auto"/>
        <w:bottom w:val="none" w:sz="0" w:space="0" w:color="auto"/>
        <w:right w:val="none" w:sz="0" w:space="0" w:color="auto"/>
      </w:divBdr>
    </w:div>
    <w:div w:id="1047141743">
      <w:bodyDiv w:val="1"/>
      <w:marLeft w:val="0"/>
      <w:marRight w:val="0"/>
      <w:marTop w:val="0"/>
      <w:marBottom w:val="0"/>
      <w:divBdr>
        <w:top w:val="none" w:sz="0" w:space="0" w:color="auto"/>
        <w:left w:val="none" w:sz="0" w:space="0" w:color="auto"/>
        <w:bottom w:val="none" w:sz="0" w:space="0" w:color="auto"/>
        <w:right w:val="none" w:sz="0" w:space="0" w:color="auto"/>
      </w:divBdr>
    </w:div>
    <w:div w:id="1047416415">
      <w:bodyDiv w:val="1"/>
      <w:marLeft w:val="0"/>
      <w:marRight w:val="0"/>
      <w:marTop w:val="0"/>
      <w:marBottom w:val="0"/>
      <w:divBdr>
        <w:top w:val="none" w:sz="0" w:space="0" w:color="auto"/>
        <w:left w:val="none" w:sz="0" w:space="0" w:color="auto"/>
        <w:bottom w:val="none" w:sz="0" w:space="0" w:color="auto"/>
        <w:right w:val="none" w:sz="0" w:space="0" w:color="auto"/>
      </w:divBdr>
      <w:divsChild>
        <w:div w:id="1582374849">
          <w:marLeft w:val="0"/>
          <w:marRight w:val="0"/>
          <w:marTop w:val="0"/>
          <w:marBottom w:val="0"/>
          <w:divBdr>
            <w:top w:val="none" w:sz="0" w:space="0" w:color="auto"/>
            <w:left w:val="none" w:sz="0" w:space="0" w:color="auto"/>
            <w:bottom w:val="dotted" w:sz="6" w:space="4" w:color="DDDDDD"/>
            <w:right w:val="none" w:sz="0" w:space="0" w:color="auto"/>
          </w:divBdr>
          <w:divsChild>
            <w:div w:id="182781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492505">
      <w:bodyDiv w:val="1"/>
      <w:marLeft w:val="0"/>
      <w:marRight w:val="0"/>
      <w:marTop w:val="0"/>
      <w:marBottom w:val="0"/>
      <w:divBdr>
        <w:top w:val="none" w:sz="0" w:space="0" w:color="auto"/>
        <w:left w:val="none" w:sz="0" w:space="0" w:color="auto"/>
        <w:bottom w:val="none" w:sz="0" w:space="0" w:color="auto"/>
        <w:right w:val="none" w:sz="0" w:space="0" w:color="auto"/>
      </w:divBdr>
    </w:div>
    <w:div w:id="1047874708">
      <w:bodyDiv w:val="1"/>
      <w:marLeft w:val="0"/>
      <w:marRight w:val="0"/>
      <w:marTop w:val="0"/>
      <w:marBottom w:val="0"/>
      <w:divBdr>
        <w:top w:val="none" w:sz="0" w:space="0" w:color="auto"/>
        <w:left w:val="none" w:sz="0" w:space="0" w:color="auto"/>
        <w:bottom w:val="none" w:sz="0" w:space="0" w:color="auto"/>
        <w:right w:val="none" w:sz="0" w:space="0" w:color="auto"/>
      </w:divBdr>
      <w:divsChild>
        <w:div w:id="24333986">
          <w:marLeft w:val="0"/>
          <w:marRight w:val="0"/>
          <w:marTop w:val="150"/>
          <w:marBottom w:val="0"/>
          <w:divBdr>
            <w:top w:val="none" w:sz="0" w:space="0" w:color="auto"/>
            <w:left w:val="none" w:sz="0" w:space="0" w:color="auto"/>
            <w:bottom w:val="none" w:sz="0" w:space="0" w:color="auto"/>
            <w:right w:val="none" w:sz="0" w:space="0" w:color="auto"/>
          </w:divBdr>
          <w:divsChild>
            <w:div w:id="580142815">
              <w:marLeft w:val="0"/>
              <w:marRight w:val="150"/>
              <w:marTop w:val="0"/>
              <w:marBottom w:val="0"/>
              <w:divBdr>
                <w:top w:val="none" w:sz="0" w:space="0" w:color="auto"/>
                <w:left w:val="none" w:sz="0" w:space="0" w:color="auto"/>
                <w:bottom w:val="none" w:sz="0" w:space="0" w:color="auto"/>
                <w:right w:val="none" w:sz="0" w:space="0" w:color="auto"/>
              </w:divBdr>
            </w:div>
          </w:divsChild>
        </w:div>
        <w:div w:id="1529878370">
          <w:marLeft w:val="0"/>
          <w:marRight w:val="0"/>
          <w:marTop w:val="0"/>
          <w:marBottom w:val="0"/>
          <w:divBdr>
            <w:top w:val="none" w:sz="0" w:space="8" w:color="auto"/>
            <w:left w:val="none" w:sz="0" w:space="2" w:color="auto"/>
            <w:bottom w:val="single" w:sz="6" w:space="8" w:color="DDDDDD"/>
            <w:right w:val="none" w:sz="0" w:space="0" w:color="auto"/>
          </w:divBdr>
        </w:div>
      </w:divsChild>
    </w:div>
    <w:div w:id="1047949357">
      <w:bodyDiv w:val="1"/>
      <w:marLeft w:val="0"/>
      <w:marRight w:val="0"/>
      <w:marTop w:val="0"/>
      <w:marBottom w:val="0"/>
      <w:divBdr>
        <w:top w:val="none" w:sz="0" w:space="0" w:color="auto"/>
        <w:left w:val="none" w:sz="0" w:space="0" w:color="auto"/>
        <w:bottom w:val="none" w:sz="0" w:space="0" w:color="auto"/>
        <w:right w:val="none" w:sz="0" w:space="0" w:color="auto"/>
      </w:divBdr>
      <w:divsChild>
        <w:div w:id="366951003">
          <w:marLeft w:val="0"/>
          <w:marRight w:val="0"/>
          <w:marTop w:val="0"/>
          <w:marBottom w:val="0"/>
          <w:divBdr>
            <w:top w:val="none" w:sz="0" w:space="0" w:color="auto"/>
            <w:left w:val="none" w:sz="0" w:space="0" w:color="auto"/>
            <w:bottom w:val="none" w:sz="0" w:space="0" w:color="auto"/>
            <w:right w:val="none" w:sz="0" w:space="0" w:color="auto"/>
          </w:divBdr>
        </w:div>
      </w:divsChild>
    </w:div>
    <w:div w:id="1048144441">
      <w:bodyDiv w:val="1"/>
      <w:marLeft w:val="0"/>
      <w:marRight w:val="0"/>
      <w:marTop w:val="0"/>
      <w:marBottom w:val="0"/>
      <w:divBdr>
        <w:top w:val="none" w:sz="0" w:space="0" w:color="auto"/>
        <w:left w:val="none" w:sz="0" w:space="0" w:color="auto"/>
        <w:bottom w:val="none" w:sz="0" w:space="0" w:color="auto"/>
        <w:right w:val="none" w:sz="0" w:space="0" w:color="auto"/>
      </w:divBdr>
      <w:divsChild>
        <w:div w:id="488255543">
          <w:marLeft w:val="0"/>
          <w:marRight w:val="0"/>
          <w:marTop w:val="0"/>
          <w:marBottom w:val="180"/>
          <w:divBdr>
            <w:top w:val="none" w:sz="0" w:space="0" w:color="auto"/>
            <w:left w:val="none" w:sz="0" w:space="0" w:color="auto"/>
            <w:bottom w:val="none" w:sz="0" w:space="0" w:color="auto"/>
            <w:right w:val="none" w:sz="0" w:space="0" w:color="auto"/>
          </w:divBdr>
        </w:div>
      </w:divsChild>
    </w:div>
    <w:div w:id="1048380005">
      <w:bodyDiv w:val="1"/>
      <w:marLeft w:val="0"/>
      <w:marRight w:val="0"/>
      <w:marTop w:val="0"/>
      <w:marBottom w:val="0"/>
      <w:divBdr>
        <w:top w:val="none" w:sz="0" w:space="0" w:color="auto"/>
        <w:left w:val="none" w:sz="0" w:space="0" w:color="auto"/>
        <w:bottom w:val="none" w:sz="0" w:space="0" w:color="auto"/>
        <w:right w:val="none" w:sz="0" w:space="0" w:color="auto"/>
      </w:divBdr>
      <w:divsChild>
        <w:div w:id="1652560685">
          <w:marLeft w:val="0"/>
          <w:marRight w:val="0"/>
          <w:marTop w:val="0"/>
          <w:marBottom w:val="0"/>
          <w:divBdr>
            <w:top w:val="none" w:sz="0" w:space="0" w:color="auto"/>
            <w:left w:val="none" w:sz="0" w:space="0" w:color="auto"/>
            <w:bottom w:val="none" w:sz="0" w:space="0" w:color="auto"/>
            <w:right w:val="none" w:sz="0" w:space="0" w:color="auto"/>
          </w:divBdr>
          <w:divsChild>
            <w:div w:id="1385106979">
              <w:marLeft w:val="0"/>
              <w:marRight w:val="0"/>
              <w:marTop w:val="0"/>
              <w:marBottom w:val="0"/>
              <w:divBdr>
                <w:top w:val="none" w:sz="0" w:space="0" w:color="auto"/>
                <w:left w:val="none" w:sz="0" w:space="0" w:color="auto"/>
                <w:bottom w:val="none" w:sz="0" w:space="0" w:color="auto"/>
                <w:right w:val="none" w:sz="0" w:space="0" w:color="auto"/>
              </w:divBdr>
            </w:div>
            <w:div w:id="1955483268">
              <w:marLeft w:val="0"/>
              <w:marRight w:val="0"/>
              <w:marTop w:val="0"/>
              <w:marBottom w:val="150"/>
              <w:divBdr>
                <w:top w:val="none" w:sz="0" w:space="0" w:color="auto"/>
                <w:left w:val="none" w:sz="0" w:space="0" w:color="auto"/>
                <w:bottom w:val="none" w:sz="0" w:space="0" w:color="auto"/>
                <w:right w:val="none" w:sz="0" w:space="0" w:color="auto"/>
              </w:divBdr>
            </w:div>
          </w:divsChild>
        </w:div>
        <w:div w:id="1655837190">
          <w:marLeft w:val="0"/>
          <w:marRight w:val="0"/>
          <w:marTop w:val="0"/>
          <w:marBottom w:val="150"/>
          <w:divBdr>
            <w:top w:val="none" w:sz="0" w:space="0" w:color="auto"/>
            <w:left w:val="none" w:sz="0" w:space="0" w:color="auto"/>
            <w:bottom w:val="none" w:sz="0" w:space="0" w:color="auto"/>
            <w:right w:val="none" w:sz="0" w:space="0" w:color="auto"/>
          </w:divBdr>
          <w:divsChild>
            <w:div w:id="182041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650145">
      <w:bodyDiv w:val="1"/>
      <w:marLeft w:val="0"/>
      <w:marRight w:val="0"/>
      <w:marTop w:val="0"/>
      <w:marBottom w:val="0"/>
      <w:divBdr>
        <w:top w:val="none" w:sz="0" w:space="0" w:color="auto"/>
        <w:left w:val="none" w:sz="0" w:space="0" w:color="auto"/>
        <w:bottom w:val="none" w:sz="0" w:space="0" w:color="auto"/>
        <w:right w:val="none" w:sz="0" w:space="0" w:color="auto"/>
      </w:divBdr>
      <w:divsChild>
        <w:div w:id="1237664412">
          <w:marLeft w:val="0"/>
          <w:marRight w:val="0"/>
          <w:marTop w:val="0"/>
          <w:marBottom w:val="150"/>
          <w:divBdr>
            <w:top w:val="none" w:sz="0" w:space="0" w:color="auto"/>
            <w:left w:val="none" w:sz="0" w:space="0" w:color="auto"/>
            <w:bottom w:val="none" w:sz="0" w:space="0" w:color="auto"/>
            <w:right w:val="none" w:sz="0" w:space="0" w:color="auto"/>
          </w:divBdr>
        </w:div>
        <w:div w:id="1573078556">
          <w:marLeft w:val="0"/>
          <w:marRight w:val="0"/>
          <w:marTop w:val="0"/>
          <w:marBottom w:val="150"/>
          <w:divBdr>
            <w:top w:val="none" w:sz="0" w:space="0" w:color="auto"/>
            <w:left w:val="none" w:sz="0" w:space="0" w:color="auto"/>
            <w:bottom w:val="none" w:sz="0" w:space="0" w:color="auto"/>
            <w:right w:val="none" w:sz="0" w:space="0" w:color="auto"/>
          </w:divBdr>
          <w:divsChild>
            <w:div w:id="342124670">
              <w:marLeft w:val="0"/>
              <w:marRight w:val="0"/>
              <w:marTop w:val="0"/>
              <w:marBottom w:val="0"/>
              <w:divBdr>
                <w:top w:val="none" w:sz="0" w:space="0" w:color="auto"/>
                <w:left w:val="none" w:sz="0" w:space="0" w:color="auto"/>
                <w:bottom w:val="none" w:sz="0" w:space="0" w:color="auto"/>
                <w:right w:val="none" w:sz="0" w:space="0" w:color="auto"/>
              </w:divBdr>
            </w:div>
          </w:divsChild>
        </w:div>
        <w:div w:id="2125802948">
          <w:marLeft w:val="0"/>
          <w:marRight w:val="0"/>
          <w:marTop w:val="0"/>
          <w:marBottom w:val="0"/>
          <w:divBdr>
            <w:top w:val="none" w:sz="0" w:space="0" w:color="auto"/>
            <w:left w:val="none" w:sz="0" w:space="0" w:color="auto"/>
            <w:bottom w:val="none" w:sz="0" w:space="0" w:color="auto"/>
            <w:right w:val="none" w:sz="0" w:space="0" w:color="auto"/>
          </w:divBdr>
          <w:divsChild>
            <w:div w:id="90407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495216">
      <w:bodyDiv w:val="1"/>
      <w:marLeft w:val="0"/>
      <w:marRight w:val="0"/>
      <w:marTop w:val="0"/>
      <w:marBottom w:val="0"/>
      <w:divBdr>
        <w:top w:val="none" w:sz="0" w:space="0" w:color="auto"/>
        <w:left w:val="none" w:sz="0" w:space="0" w:color="auto"/>
        <w:bottom w:val="none" w:sz="0" w:space="0" w:color="auto"/>
        <w:right w:val="none" w:sz="0" w:space="0" w:color="auto"/>
      </w:divBdr>
    </w:div>
    <w:div w:id="105088525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0">
          <w:marLeft w:val="0"/>
          <w:marRight w:val="0"/>
          <w:marTop w:val="0"/>
          <w:marBottom w:val="0"/>
          <w:divBdr>
            <w:top w:val="none" w:sz="0" w:space="0" w:color="auto"/>
            <w:left w:val="none" w:sz="0" w:space="0" w:color="auto"/>
            <w:bottom w:val="none" w:sz="0" w:space="0" w:color="auto"/>
            <w:right w:val="none" w:sz="0" w:space="0" w:color="auto"/>
          </w:divBdr>
          <w:divsChild>
            <w:div w:id="1762868372">
              <w:marLeft w:val="0"/>
              <w:marRight w:val="0"/>
              <w:marTop w:val="0"/>
              <w:marBottom w:val="0"/>
              <w:divBdr>
                <w:top w:val="none" w:sz="0" w:space="0" w:color="auto"/>
                <w:left w:val="none" w:sz="0" w:space="0" w:color="auto"/>
                <w:bottom w:val="none" w:sz="0" w:space="0" w:color="auto"/>
                <w:right w:val="none" w:sz="0" w:space="0" w:color="auto"/>
              </w:divBdr>
              <w:divsChild>
                <w:div w:id="1880697902">
                  <w:marLeft w:val="0"/>
                  <w:marRight w:val="0"/>
                  <w:marTop w:val="0"/>
                  <w:marBottom w:val="0"/>
                  <w:divBdr>
                    <w:top w:val="none" w:sz="0" w:space="0" w:color="auto"/>
                    <w:left w:val="none" w:sz="0" w:space="0" w:color="auto"/>
                    <w:bottom w:val="none" w:sz="0" w:space="0" w:color="auto"/>
                    <w:right w:val="none" w:sz="0" w:space="0" w:color="auto"/>
                  </w:divBdr>
                  <w:divsChild>
                    <w:div w:id="1271626433">
                      <w:marLeft w:val="0"/>
                      <w:marRight w:val="0"/>
                      <w:marTop w:val="0"/>
                      <w:marBottom w:val="0"/>
                      <w:divBdr>
                        <w:top w:val="none" w:sz="0" w:space="0" w:color="auto"/>
                        <w:left w:val="none" w:sz="0" w:space="0" w:color="auto"/>
                        <w:bottom w:val="none" w:sz="0" w:space="0" w:color="auto"/>
                        <w:right w:val="none" w:sz="0" w:space="0" w:color="auto"/>
                      </w:divBdr>
                      <w:divsChild>
                        <w:div w:id="1856456671">
                          <w:marLeft w:val="0"/>
                          <w:marRight w:val="0"/>
                          <w:marTop w:val="0"/>
                          <w:marBottom w:val="0"/>
                          <w:divBdr>
                            <w:top w:val="none" w:sz="0" w:space="0" w:color="auto"/>
                            <w:left w:val="none" w:sz="0" w:space="0" w:color="auto"/>
                            <w:bottom w:val="none" w:sz="0" w:space="0" w:color="auto"/>
                            <w:right w:val="none" w:sz="0" w:space="0" w:color="auto"/>
                          </w:divBdr>
                          <w:divsChild>
                            <w:div w:id="115294666">
                              <w:marLeft w:val="0"/>
                              <w:marRight w:val="0"/>
                              <w:marTop w:val="0"/>
                              <w:marBottom w:val="0"/>
                              <w:divBdr>
                                <w:top w:val="none" w:sz="0" w:space="0" w:color="auto"/>
                                <w:left w:val="none" w:sz="0" w:space="0" w:color="auto"/>
                                <w:bottom w:val="none" w:sz="0" w:space="0" w:color="auto"/>
                                <w:right w:val="none" w:sz="0" w:space="0" w:color="auto"/>
                              </w:divBdr>
                              <w:divsChild>
                                <w:div w:id="919489835">
                                  <w:marLeft w:val="0"/>
                                  <w:marRight w:val="0"/>
                                  <w:marTop w:val="0"/>
                                  <w:marBottom w:val="0"/>
                                  <w:divBdr>
                                    <w:top w:val="none" w:sz="0" w:space="0" w:color="auto"/>
                                    <w:left w:val="none" w:sz="0" w:space="0" w:color="auto"/>
                                    <w:bottom w:val="none" w:sz="0" w:space="0" w:color="auto"/>
                                    <w:right w:val="none" w:sz="0" w:space="0" w:color="auto"/>
                                  </w:divBdr>
                                  <w:divsChild>
                                    <w:div w:id="18876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150164">
      <w:bodyDiv w:val="1"/>
      <w:marLeft w:val="0"/>
      <w:marRight w:val="0"/>
      <w:marTop w:val="0"/>
      <w:marBottom w:val="0"/>
      <w:divBdr>
        <w:top w:val="none" w:sz="0" w:space="0" w:color="auto"/>
        <w:left w:val="none" w:sz="0" w:space="0" w:color="auto"/>
        <w:bottom w:val="none" w:sz="0" w:space="0" w:color="auto"/>
        <w:right w:val="none" w:sz="0" w:space="0" w:color="auto"/>
      </w:divBdr>
      <w:divsChild>
        <w:div w:id="1616643371">
          <w:marLeft w:val="0"/>
          <w:marRight w:val="0"/>
          <w:marTop w:val="0"/>
          <w:marBottom w:val="0"/>
          <w:divBdr>
            <w:top w:val="none" w:sz="0" w:space="0" w:color="auto"/>
            <w:left w:val="none" w:sz="0" w:space="0" w:color="auto"/>
            <w:bottom w:val="none" w:sz="0" w:space="0" w:color="auto"/>
            <w:right w:val="none" w:sz="0" w:space="0" w:color="auto"/>
          </w:divBdr>
          <w:divsChild>
            <w:div w:id="1554001859">
              <w:marLeft w:val="0"/>
              <w:marRight w:val="0"/>
              <w:marTop w:val="0"/>
              <w:marBottom w:val="0"/>
              <w:divBdr>
                <w:top w:val="none" w:sz="0" w:space="0" w:color="auto"/>
                <w:left w:val="none" w:sz="0" w:space="0" w:color="auto"/>
                <w:bottom w:val="none" w:sz="0" w:space="0" w:color="auto"/>
                <w:right w:val="none" w:sz="0" w:space="0" w:color="auto"/>
              </w:divBdr>
              <w:divsChild>
                <w:div w:id="1509248188">
                  <w:marLeft w:val="0"/>
                  <w:marRight w:val="0"/>
                  <w:marTop w:val="0"/>
                  <w:marBottom w:val="0"/>
                  <w:divBdr>
                    <w:top w:val="none" w:sz="0" w:space="0" w:color="auto"/>
                    <w:left w:val="none" w:sz="0" w:space="0" w:color="auto"/>
                    <w:bottom w:val="none" w:sz="0" w:space="0" w:color="auto"/>
                    <w:right w:val="none" w:sz="0" w:space="0" w:color="auto"/>
                  </w:divBdr>
                  <w:divsChild>
                    <w:div w:id="1294866446">
                      <w:marLeft w:val="0"/>
                      <w:marRight w:val="0"/>
                      <w:marTop w:val="0"/>
                      <w:marBottom w:val="0"/>
                      <w:divBdr>
                        <w:top w:val="none" w:sz="0" w:space="0" w:color="auto"/>
                        <w:left w:val="none" w:sz="0" w:space="0" w:color="auto"/>
                        <w:bottom w:val="none" w:sz="0" w:space="0" w:color="auto"/>
                        <w:right w:val="none" w:sz="0" w:space="0" w:color="auto"/>
                      </w:divBdr>
                      <w:divsChild>
                        <w:div w:id="880701583">
                          <w:marLeft w:val="0"/>
                          <w:marRight w:val="0"/>
                          <w:marTop w:val="0"/>
                          <w:marBottom w:val="0"/>
                          <w:divBdr>
                            <w:top w:val="none" w:sz="0" w:space="0" w:color="auto"/>
                            <w:left w:val="none" w:sz="0" w:space="0" w:color="auto"/>
                            <w:bottom w:val="none" w:sz="0" w:space="0" w:color="auto"/>
                            <w:right w:val="none" w:sz="0" w:space="0" w:color="auto"/>
                          </w:divBdr>
                          <w:divsChild>
                            <w:div w:id="231014705">
                              <w:marLeft w:val="0"/>
                              <w:marRight w:val="0"/>
                              <w:marTop w:val="0"/>
                              <w:marBottom w:val="0"/>
                              <w:divBdr>
                                <w:top w:val="none" w:sz="0" w:space="0" w:color="auto"/>
                                <w:left w:val="none" w:sz="0" w:space="0" w:color="auto"/>
                                <w:bottom w:val="none" w:sz="0" w:space="0" w:color="auto"/>
                                <w:right w:val="none" w:sz="0" w:space="0" w:color="auto"/>
                              </w:divBdr>
                              <w:divsChild>
                                <w:div w:id="2047946489">
                                  <w:marLeft w:val="0"/>
                                  <w:marRight w:val="0"/>
                                  <w:marTop w:val="0"/>
                                  <w:marBottom w:val="0"/>
                                  <w:divBdr>
                                    <w:top w:val="none" w:sz="0" w:space="0" w:color="auto"/>
                                    <w:left w:val="none" w:sz="0" w:space="0" w:color="auto"/>
                                    <w:bottom w:val="none" w:sz="0" w:space="0" w:color="auto"/>
                                    <w:right w:val="none" w:sz="0" w:space="0" w:color="auto"/>
                                  </w:divBdr>
                                  <w:divsChild>
                                    <w:div w:id="1886481842">
                                      <w:marLeft w:val="0"/>
                                      <w:marRight w:val="0"/>
                                      <w:marTop w:val="0"/>
                                      <w:marBottom w:val="0"/>
                                      <w:divBdr>
                                        <w:top w:val="none" w:sz="0" w:space="0" w:color="auto"/>
                                        <w:left w:val="none" w:sz="0" w:space="0" w:color="auto"/>
                                        <w:bottom w:val="none" w:sz="0" w:space="0" w:color="auto"/>
                                        <w:right w:val="none" w:sz="0" w:space="0" w:color="auto"/>
                                      </w:divBdr>
                                      <w:divsChild>
                                        <w:div w:id="2063670557">
                                          <w:marLeft w:val="0"/>
                                          <w:marRight w:val="0"/>
                                          <w:marTop w:val="0"/>
                                          <w:marBottom w:val="0"/>
                                          <w:divBdr>
                                            <w:top w:val="none" w:sz="0" w:space="0" w:color="auto"/>
                                            <w:left w:val="none" w:sz="0" w:space="0" w:color="auto"/>
                                            <w:bottom w:val="none" w:sz="0" w:space="0" w:color="auto"/>
                                            <w:right w:val="none" w:sz="0" w:space="0" w:color="auto"/>
                                          </w:divBdr>
                                          <w:divsChild>
                                            <w:div w:id="235363853">
                                              <w:marLeft w:val="0"/>
                                              <w:marRight w:val="0"/>
                                              <w:marTop w:val="0"/>
                                              <w:marBottom w:val="0"/>
                                              <w:divBdr>
                                                <w:top w:val="none" w:sz="0" w:space="0" w:color="auto"/>
                                                <w:left w:val="none" w:sz="0" w:space="0" w:color="auto"/>
                                                <w:bottom w:val="none" w:sz="0" w:space="0" w:color="auto"/>
                                                <w:right w:val="none" w:sz="0" w:space="0" w:color="auto"/>
                                              </w:divBdr>
                                            </w:div>
                                            <w:div w:id="623317272">
                                              <w:marLeft w:val="0"/>
                                              <w:marRight w:val="0"/>
                                              <w:marTop w:val="0"/>
                                              <w:marBottom w:val="0"/>
                                              <w:divBdr>
                                                <w:top w:val="none" w:sz="0" w:space="0" w:color="auto"/>
                                                <w:left w:val="none" w:sz="0" w:space="0" w:color="auto"/>
                                                <w:bottom w:val="none" w:sz="0" w:space="0" w:color="auto"/>
                                                <w:right w:val="none" w:sz="0" w:space="0" w:color="auto"/>
                                              </w:divBdr>
                                            </w:div>
                                            <w:div w:id="628784338">
                                              <w:marLeft w:val="0"/>
                                              <w:marRight w:val="0"/>
                                              <w:marTop w:val="0"/>
                                              <w:marBottom w:val="0"/>
                                              <w:divBdr>
                                                <w:top w:val="none" w:sz="0" w:space="0" w:color="auto"/>
                                                <w:left w:val="none" w:sz="0" w:space="0" w:color="auto"/>
                                                <w:bottom w:val="none" w:sz="0" w:space="0" w:color="auto"/>
                                                <w:right w:val="none" w:sz="0" w:space="0" w:color="auto"/>
                                              </w:divBdr>
                                            </w:div>
                                            <w:div w:id="924529691">
                                              <w:marLeft w:val="0"/>
                                              <w:marRight w:val="0"/>
                                              <w:marTop w:val="0"/>
                                              <w:marBottom w:val="0"/>
                                              <w:divBdr>
                                                <w:top w:val="none" w:sz="0" w:space="0" w:color="auto"/>
                                                <w:left w:val="none" w:sz="0" w:space="0" w:color="auto"/>
                                                <w:bottom w:val="none" w:sz="0" w:space="0" w:color="auto"/>
                                                <w:right w:val="none" w:sz="0" w:space="0" w:color="auto"/>
                                              </w:divBdr>
                                            </w:div>
                                            <w:div w:id="929391985">
                                              <w:marLeft w:val="0"/>
                                              <w:marRight w:val="0"/>
                                              <w:marTop w:val="0"/>
                                              <w:marBottom w:val="0"/>
                                              <w:divBdr>
                                                <w:top w:val="none" w:sz="0" w:space="0" w:color="auto"/>
                                                <w:left w:val="none" w:sz="0" w:space="0" w:color="auto"/>
                                                <w:bottom w:val="none" w:sz="0" w:space="0" w:color="auto"/>
                                                <w:right w:val="none" w:sz="0" w:space="0" w:color="auto"/>
                                              </w:divBdr>
                                            </w:div>
                                            <w:div w:id="1006862318">
                                              <w:marLeft w:val="0"/>
                                              <w:marRight w:val="0"/>
                                              <w:marTop w:val="0"/>
                                              <w:marBottom w:val="0"/>
                                              <w:divBdr>
                                                <w:top w:val="none" w:sz="0" w:space="0" w:color="auto"/>
                                                <w:left w:val="none" w:sz="0" w:space="0" w:color="auto"/>
                                                <w:bottom w:val="none" w:sz="0" w:space="0" w:color="auto"/>
                                                <w:right w:val="none" w:sz="0" w:space="0" w:color="auto"/>
                                              </w:divBdr>
                                            </w:div>
                                            <w:div w:id="1032220258">
                                              <w:marLeft w:val="0"/>
                                              <w:marRight w:val="0"/>
                                              <w:marTop w:val="0"/>
                                              <w:marBottom w:val="0"/>
                                              <w:divBdr>
                                                <w:top w:val="none" w:sz="0" w:space="0" w:color="auto"/>
                                                <w:left w:val="none" w:sz="0" w:space="0" w:color="auto"/>
                                                <w:bottom w:val="none" w:sz="0" w:space="0" w:color="auto"/>
                                                <w:right w:val="none" w:sz="0" w:space="0" w:color="auto"/>
                                              </w:divBdr>
                                            </w:div>
                                            <w:div w:id="1110468785">
                                              <w:marLeft w:val="0"/>
                                              <w:marRight w:val="0"/>
                                              <w:marTop w:val="0"/>
                                              <w:marBottom w:val="0"/>
                                              <w:divBdr>
                                                <w:top w:val="none" w:sz="0" w:space="0" w:color="auto"/>
                                                <w:left w:val="none" w:sz="0" w:space="0" w:color="auto"/>
                                                <w:bottom w:val="none" w:sz="0" w:space="0" w:color="auto"/>
                                                <w:right w:val="none" w:sz="0" w:space="0" w:color="auto"/>
                                              </w:divBdr>
                                            </w:div>
                                            <w:div w:id="1187401812">
                                              <w:marLeft w:val="0"/>
                                              <w:marRight w:val="0"/>
                                              <w:marTop w:val="0"/>
                                              <w:marBottom w:val="0"/>
                                              <w:divBdr>
                                                <w:top w:val="none" w:sz="0" w:space="0" w:color="auto"/>
                                                <w:left w:val="none" w:sz="0" w:space="0" w:color="auto"/>
                                                <w:bottom w:val="none" w:sz="0" w:space="0" w:color="auto"/>
                                                <w:right w:val="none" w:sz="0" w:space="0" w:color="auto"/>
                                              </w:divBdr>
                                            </w:div>
                                            <w:div w:id="1259411748">
                                              <w:marLeft w:val="0"/>
                                              <w:marRight w:val="0"/>
                                              <w:marTop w:val="0"/>
                                              <w:marBottom w:val="0"/>
                                              <w:divBdr>
                                                <w:top w:val="none" w:sz="0" w:space="0" w:color="auto"/>
                                                <w:left w:val="none" w:sz="0" w:space="0" w:color="auto"/>
                                                <w:bottom w:val="none" w:sz="0" w:space="0" w:color="auto"/>
                                                <w:right w:val="none" w:sz="0" w:space="0" w:color="auto"/>
                                              </w:divBdr>
                                            </w:div>
                                            <w:div w:id="1262108371">
                                              <w:marLeft w:val="0"/>
                                              <w:marRight w:val="0"/>
                                              <w:marTop w:val="0"/>
                                              <w:marBottom w:val="0"/>
                                              <w:divBdr>
                                                <w:top w:val="none" w:sz="0" w:space="0" w:color="auto"/>
                                                <w:left w:val="none" w:sz="0" w:space="0" w:color="auto"/>
                                                <w:bottom w:val="none" w:sz="0" w:space="0" w:color="auto"/>
                                                <w:right w:val="none" w:sz="0" w:space="0" w:color="auto"/>
                                              </w:divBdr>
                                            </w:div>
                                            <w:div w:id="1851483850">
                                              <w:marLeft w:val="0"/>
                                              <w:marRight w:val="0"/>
                                              <w:marTop w:val="0"/>
                                              <w:marBottom w:val="0"/>
                                              <w:divBdr>
                                                <w:top w:val="none" w:sz="0" w:space="0" w:color="auto"/>
                                                <w:left w:val="none" w:sz="0" w:space="0" w:color="auto"/>
                                                <w:bottom w:val="none" w:sz="0" w:space="0" w:color="auto"/>
                                                <w:right w:val="none" w:sz="0" w:space="0" w:color="auto"/>
                                              </w:divBdr>
                                            </w:div>
                                            <w:div w:id="1929149490">
                                              <w:marLeft w:val="0"/>
                                              <w:marRight w:val="0"/>
                                              <w:marTop w:val="0"/>
                                              <w:marBottom w:val="0"/>
                                              <w:divBdr>
                                                <w:top w:val="none" w:sz="0" w:space="0" w:color="auto"/>
                                                <w:left w:val="none" w:sz="0" w:space="0" w:color="auto"/>
                                                <w:bottom w:val="none" w:sz="0" w:space="0" w:color="auto"/>
                                                <w:right w:val="none" w:sz="0" w:space="0" w:color="auto"/>
                                              </w:divBdr>
                                            </w:div>
                                            <w:div w:id="193851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1346950">
      <w:bodyDiv w:val="1"/>
      <w:marLeft w:val="0"/>
      <w:marRight w:val="0"/>
      <w:marTop w:val="0"/>
      <w:marBottom w:val="0"/>
      <w:divBdr>
        <w:top w:val="none" w:sz="0" w:space="0" w:color="auto"/>
        <w:left w:val="none" w:sz="0" w:space="0" w:color="auto"/>
        <w:bottom w:val="none" w:sz="0" w:space="0" w:color="auto"/>
        <w:right w:val="none" w:sz="0" w:space="0" w:color="auto"/>
      </w:divBdr>
      <w:divsChild>
        <w:div w:id="1389380684">
          <w:marLeft w:val="0"/>
          <w:marRight w:val="0"/>
          <w:marTop w:val="0"/>
          <w:marBottom w:val="0"/>
          <w:divBdr>
            <w:top w:val="none" w:sz="0" w:space="0" w:color="auto"/>
            <w:left w:val="none" w:sz="0" w:space="0" w:color="auto"/>
            <w:bottom w:val="none" w:sz="0" w:space="0" w:color="auto"/>
            <w:right w:val="none" w:sz="0" w:space="0" w:color="auto"/>
          </w:divBdr>
        </w:div>
      </w:divsChild>
    </w:div>
    <w:div w:id="1051422205">
      <w:bodyDiv w:val="1"/>
      <w:marLeft w:val="0"/>
      <w:marRight w:val="0"/>
      <w:marTop w:val="0"/>
      <w:marBottom w:val="0"/>
      <w:divBdr>
        <w:top w:val="none" w:sz="0" w:space="0" w:color="auto"/>
        <w:left w:val="none" w:sz="0" w:space="0" w:color="auto"/>
        <w:bottom w:val="none" w:sz="0" w:space="0" w:color="auto"/>
        <w:right w:val="none" w:sz="0" w:space="0" w:color="auto"/>
      </w:divBdr>
      <w:divsChild>
        <w:div w:id="446125198">
          <w:marLeft w:val="0"/>
          <w:marRight w:val="0"/>
          <w:marTop w:val="0"/>
          <w:marBottom w:val="150"/>
          <w:divBdr>
            <w:top w:val="none" w:sz="0" w:space="0" w:color="auto"/>
            <w:left w:val="none" w:sz="0" w:space="0" w:color="auto"/>
            <w:bottom w:val="none" w:sz="0" w:space="0" w:color="auto"/>
            <w:right w:val="none" w:sz="0" w:space="0" w:color="auto"/>
          </w:divBdr>
        </w:div>
        <w:div w:id="757940209">
          <w:marLeft w:val="0"/>
          <w:marRight w:val="0"/>
          <w:marTop w:val="0"/>
          <w:marBottom w:val="150"/>
          <w:divBdr>
            <w:top w:val="none" w:sz="0" w:space="0" w:color="auto"/>
            <w:left w:val="none" w:sz="0" w:space="0" w:color="auto"/>
            <w:bottom w:val="none" w:sz="0" w:space="0" w:color="auto"/>
            <w:right w:val="none" w:sz="0" w:space="0" w:color="auto"/>
          </w:divBdr>
          <w:divsChild>
            <w:div w:id="948314736">
              <w:marLeft w:val="0"/>
              <w:marRight w:val="0"/>
              <w:marTop w:val="0"/>
              <w:marBottom w:val="0"/>
              <w:divBdr>
                <w:top w:val="none" w:sz="0" w:space="0" w:color="auto"/>
                <w:left w:val="none" w:sz="0" w:space="0" w:color="auto"/>
                <w:bottom w:val="none" w:sz="0" w:space="0" w:color="auto"/>
                <w:right w:val="none" w:sz="0" w:space="0" w:color="auto"/>
              </w:divBdr>
            </w:div>
          </w:divsChild>
        </w:div>
        <w:div w:id="1954512836">
          <w:marLeft w:val="0"/>
          <w:marRight w:val="0"/>
          <w:marTop w:val="0"/>
          <w:marBottom w:val="0"/>
          <w:divBdr>
            <w:top w:val="none" w:sz="0" w:space="0" w:color="auto"/>
            <w:left w:val="none" w:sz="0" w:space="0" w:color="auto"/>
            <w:bottom w:val="none" w:sz="0" w:space="0" w:color="auto"/>
            <w:right w:val="none" w:sz="0" w:space="0" w:color="auto"/>
          </w:divBdr>
          <w:divsChild>
            <w:div w:id="37619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117470">
      <w:bodyDiv w:val="1"/>
      <w:marLeft w:val="0"/>
      <w:marRight w:val="0"/>
      <w:marTop w:val="0"/>
      <w:marBottom w:val="0"/>
      <w:divBdr>
        <w:top w:val="none" w:sz="0" w:space="0" w:color="auto"/>
        <w:left w:val="none" w:sz="0" w:space="0" w:color="auto"/>
        <w:bottom w:val="none" w:sz="0" w:space="0" w:color="auto"/>
        <w:right w:val="none" w:sz="0" w:space="0" w:color="auto"/>
      </w:divBdr>
      <w:divsChild>
        <w:div w:id="1984849395">
          <w:marLeft w:val="0"/>
          <w:marRight w:val="0"/>
          <w:marTop w:val="0"/>
          <w:marBottom w:val="150"/>
          <w:divBdr>
            <w:top w:val="none" w:sz="0" w:space="0" w:color="auto"/>
            <w:left w:val="none" w:sz="0" w:space="0" w:color="auto"/>
            <w:bottom w:val="none" w:sz="0" w:space="0" w:color="auto"/>
            <w:right w:val="none" w:sz="0" w:space="0" w:color="auto"/>
          </w:divBdr>
        </w:div>
      </w:divsChild>
    </w:div>
    <w:div w:id="1052191300">
      <w:bodyDiv w:val="1"/>
      <w:marLeft w:val="0"/>
      <w:marRight w:val="0"/>
      <w:marTop w:val="0"/>
      <w:marBottom w:val="0"/>
      <w:divBdr>
        <w:top w:val="none" w:sz="0" w:space="0" w:color="auto"/>
        <w:left w:val="none" w:sz="0" w:space="0" w:color="auto"/>
        <w:bottom w:val="none" w:sz="0" w:space="0" w:color="auto"/>
        <w:right w:val="none" w:sz="0" w:space="0" w:color="auto"/>
      </w:divBdr>
      <w:divsChild>
        <w:div w:id="114836762">
          <w:marLeft w:val="0"/>
          <w:marRight w:val="0"/>
          <w:marTop w:val="0"/>
          <w:marBottom w:val="150"/>
          <w:divBdr>
            <w:top w:val="none" w:sz="0" w:space="0" w:color="auto"/>
            <w:left w:val="none" w:sz="0" w:space="0" w:color="auto"/>
            <w:bottom w:val="none" w:sz="0" w:space="0" w:color="auto"/>
            <w:right w:val="none" w:sz="0" w:space="0" w:color="auto"/>
          </w:divBdr>
          <w:divsChild>
            <w:div w:id="2092778064">
              <w:marLeft w:val="0"/>
              <w:marRight w:val="0"/>
              <w:marTop w:val="0"/>
              <w:marBottom w:val="0"/>
              <w:divBdr>
                <w:top w:val="none" w:sz="0" w:space="0" w:color="auto"/>
                <w:left w:val="none" w:sz="0" w:space="0" w:color="auto"/>
                <w:bottom w:val="none" w:sz="0" w:space="0" w:color="auto"/>
                <w:right w:val="none" w:sz="0" w:space="0" w:color="auto"/>
              </w:divBdr>
            </w:div>
          </w:divsChild>
        </w:div>
        <w:div w:id="174348269">
          <w:marLeft w:val="0"/>
          <w:marRight w:val="0"/>
          <w:marTop w:val="0"/>
          <w:marBottom w:val="0"/>
          <w:divBdr>
            <w:top w:val="none" w:sz="0" w:space="0" w:color="auto"/>
            <w:left w:val="none" w:sz="0" w:space="0" w:color="auto"/>
            <w:bottom w:val="none" w:sz="0" w:space="0" w:color="auto"/>
            <w:right w:val="none" w:sz="0" w:space="0" w:color="auto"/>
          </w:divBdr>
          <w:divsChild>
            <w:div w:id="1944604801">
              <w:marLeft w:val="0"/>
              <w:marRight w:val="0"/>
              <w:marTop w:val="0"/>
              <w:marBottom w:val="0"/>
              <w:divBdr>
                <w:top w:val="none" w:sz="0" w:space="0" w:color="auto"/>
                <w:left w:val="none" w:sz="0" w:space="0" w:color="auto"/>
                <w:bottom w:val="none" w:sz="0" w:space="0" w:color="auto"/>
                <w:right w:val="none" w:sz="0" w:space="0" w:color="auto"/>
              </w:divBdr>
            </w:div>
          </w:divsChild>
        </w:div>
        <w:div w:id="472715446">
          <w:marLeft w:val="0"/>
          <w:marRight w:val="0"/>
          <w:marTop w:val="0"/>
          <w:marBottom w:val="150"/>
          <w:divBdr>
            <w:top w:val="none" w:sz="0" w:space="0" w:color="auto"/>
            <w:left w:val="none" w:sz="0" w:space="0" w:color="auto"/>
            <w:bottom w:val="none" w:sz="0" w:space="0" w:color="auto"/>
            <w:right w:val="none" w:sz="0" w:space="0" w:color="auto"/>
          </w:divBdr>
        </w:div>
      </w:divsChild>
    </w:div>
    <w:div w:id="1052269424">
      <w:bodyDiv w:val="1"/>
      <w:marLeft w:val="0"/>
      <w:marRight w:val="0"/>
      <w:marTop w:val="0"/>
      <w:marBottom w:val="0"/>
      <w:divBdr>
        <w:top w:val="none" w:sz="0" w:space="0" w:color="auto"/>
        <w:left w:val="none" w:sz="0" w:space="0" w:color="auto"/>
        <w:bottom w:val="none" w:sz="0" w:space="0" w:color="auto"/>
        <w:right w:val="none" w:sz="0" w:space="0" w:color="auto"/>
      </w:divBdr>
      <w:divsChild>
        <w:div w:id="1372341174">
          <w:marLeft w:val="0"/>
          <w:marRight w:val="0"/>
          <w:marTop w:val="0"/>
          <w:marBottom w:val="0"/>
          <w:divBdr>
            <w:top w:val="none" w:sz="0" w:space="0" w:color="auto"/>
            <w:left w:val="none" w:sz="0" w:space="0" w:color="auto"/>
            <w:bottom w:val="none" w:sz="0" w:space="0" w:color="auto"/>
            <w:right w:val="none" w:sz="0" w:space="0" w:color="auto"/>
          </w:divBdr>
          <w:divsChild>
            <w:div w:id="9642707">
              <w:marLeft w:val="0"/>
              <w:marRight w:val="0"/>
              <w:marTop w:val="0"/>
              <w:marBottom w:val="0"/>
              <w:divBdr>
                <w:top w:val="none" w:sz="0" w:space="0" w:color="auto"/>
                <w:left w:val="none" w:sz="0" w:space="0" w:color="auto"/>
                <w:bottom w:val="none" w:sz="0" w:space="0" w:color="auto"/>
                <w:right w:val="none" w:sz="0" w:space="0" w:color="auto"/>
              </w:divBdr>
            </w:div>
            <w:div w:id="40567991">
              <w:marLeft w:val="0"/>
              <w:marRight w:val="0"/>
              <w:marTop w:val="0"/>
              <w:marBottom w:val="0"/>
              <w:divBdr>
                <w:top w:val="none" w:sz="0" w:space="0" w:color="auto"/>
                <w:left w:val="none" w:sz="0" w:space="0" w:color="auto"/>
                <w:bottom w:val="none" w:sz="0" w:space="0" w:color="auto"/>
                <w:right w:val="none" w:sz="0" w:space="0" w:color="auto"/>
              </w:divBdr>
            </w:div>
            <w:div w:id="79761814">
              <w:marLeft w:val="0"/>
              <w:marRight w:val="0"/>
              <w:marTop w:val="0"/>
              <w:marBottom w:val="0"/>
              <w:divBdr>
                <w:top w:val="none" w:sz="0" w:space="0" w:color="auto"/>
                <w:left w:val="none" w:sz="0" w:space="0" w:color="auto"/>
                <w:bottom w:val="none" w:sz="0" w:space="0" w:color="auto"/>
                <w:right w:val="none" w:sz="0" w:space="0" w:color="auto"/>
              </w:divBdr>
            </w:div>
            <w:div w:id="120928003">
              <w:marLeft w:val="0"/>
              <w:marRight w:val="0"/>
              <w:marTop w:val="0"/>
              <w:marBottom w:val="0"/>
              <w:divBdr>
                <w:top w:val="none" w:sz="0" w:space="0" w:color="auto"/>
                <w:left w:val="none" w:sz="0" w:space="0" w:color="auto"/>
                <w:bottom w:val="none" w:sz="0" w:space="0" w:color="auto"/>
                <w:right w:val="none" w:sz="0" w:space="0" w:color="auto"/>
              </w:divBdr>
            </w:div>
            <w:div w:id="166600265">
              <w:marLeft w:val="0"/>
              <w:marRight w:val="0"/>
              <w:marTop w:val="0"/>
              <w:marBottom w:val="0"/>
              <w:divBdr>
                <w:top w:val="none" w:sz="0" w:space="0" w:color="auto"/>
                <w:left w:val="none" w:sz="0" w:space="0" w:color="auto"/>
                <w:bottom w:val="none" w:sz="0" w:space="0" w:color="auto"/>
                <w:right w:val="none" w:sz="0" w:space="0" w:color="auto"/>
              </w:divBdr>
            </w:div>
            <w:div w:id="317618838">
              <w:marLeft w:val="0"/>
              <w:marRight w:val="0"/>
              <w:marTop w:val="0"/>
              <w:marBottom w:val="0"/>
              <w:divBdr>
                <w:top w:val="none" w:sz="0" w:space="0" w:color="auto"/>
                <w:left w:val="none" w:sz="0" w:space="0" w:color="auto"/>
                <w:bottom w:val="none" w:sz="0" w:space="0" w:color="auto"/>
                <w:right w:val="none" w:sz="0" w:space="0" w:color="auto"/>
              </w:divBdr>
            </w:div>
            <w:div w:id="340397136">
              <w:marLeft w:val="0"/>
              <w:marRight w:val="0"/>
              <w:marTop w:val="0"/>
              <w:marBottom w:val="0"/>
              <w:divBdr>
                <w:top w:val="none" w:sz="0" w:space="0" w:color="auto"/>
                <w:left w:val="none" w:sz="0" w:space="0" w:color="auto"/>
                <w:bottom w:val="none" w:sz="0" w:space="0" w:color="auto"/>
                <w:right w:val="none" w:sz="0" w:space="0" w:color="auto"/>
              </w:divBdr>
            </w:div>
            <w:div w:id="406847969">
              <w:marLeft w:val="0"/>
              <w:marRight w:val="0"/>
              <w:marTop w:val="0"/>
              <w:marBottom w:val="0"/>
              <w:divBdr>
                <w:top w:val="none" w:sz="0" w:space="0" w:color="auto"/>
                <w:left w:val="none" w:sz="0" w:space="0" w:color="auto"/>
                <w:bottom w:val="none" w:sz="0" w:space="0" w:color="auto"/>
                <w:right w:val="none" w:sz="0" w:space="0" w:color="auto"/>
              </w:divBdr>
            </w:div>
            <w:div w:id="425468301">
              <w:marLeft w:val="0"/>
              <w:marRight w:val="0"/>
              <w:marTop w:val="0"/>
              <w:marBottom w:val="0"/>
              <w:divBdr>
                <w:top w:val="none" w:sz="0" w:space="0" w:color="auto"/>
                <w:left w:val="none" w:sz="0" w:space="0" w:color="auto"/>
                <w:bottom w:val="none" w:sz="0" w:space="0" w:color="auto"/>
                <w:right w:val="none" w:sz="0" w:space="0" w:color="auto"/>
              </w:divBdr>
            </w:div>
            <w:div w:id="465900228">
              <w:marLeft w:val="0"/>
              <w:marRight w:val="0"/>
              <w:marTop w:val="0"/>
              <w:marBottom w:val="0"/>
              <w:divBdr>
                <w:top w:val="none" w:sz="0" w:space="0" w:color="auto"/>
                <w:left w:val="none" w:sz="0" w:space="0" w:color="auto"/>
                <w:bottom w:val="none" w:sz="0" w:space="0" w:color="auto"/>
                <w:right w:val="none" w:sz="0" w:space="0" w:color="auto"/>
              </w:divBdr>
            </w:div>
            <w:div w:id="466122504">
              <w:marLeft w:val="0"/>
              <w:marRight w:val="0"/>
              <w:marTop w:val="0"/>
              <w:marBottom w:val="0"/>
              <w:divBdr>
                <w:top w:val="none" w:sz="0" w:space="0" w:color="auto"/>
                <w:left w:val="none" w:sz="0" w:space="0" w:color="auto"/>
                <w:bottom w:val="none" w:sz="0" w:space="0" w:color="auto"/>
                <w:right w:val="none" w:sz="0" w:space="0" w:color="auto"/>
              </w:divBdr>
            </w:div>
            <w:div w:id="606546402">
              <w:marLeft w:val="0"/>
              <w:marRight w:val="0"/>
              <w:marTop w:val="0"/>
              <w:marBottom w:val="0"/>
              <w:divBdr>
                <w:top w:val="none" w:sz="0" w:space="0" w:color="auto"/>
                <w:left w:val="none" w:sz="0" w:space="0" w:color="auto"/>
                <w:bottom w:val="none" w:sz="0" w:space="0" w:color="auto"/>
                <w:right w:val="none" w:sz="0" w:space="0" w:color="auto"/>
              </w:divBdr>
            </w:div>
            <w:div w:id="766802955">
              <w:marLeft w:val="0"/>
              <w:marRight w:val="0"/>
              <w:marTop w:val="0"/>
              <w:marBottom w:val="0"/>
              <w:divBdr>
                <w:top w:val="none" w:sz="0" w:space="0" w:color="auto"/>
                <w:left w:val="none" w:sz="0" w:space="0" w:color="auto"/>
                <w:bottom w:val="none" w:sz="0" w:space="0" w:color="auto"/>
                <w:right w:val="none" w:sz="0" w:space="0" w:color="auto"/>
              </w:divBdr>
            </w:div>
            <w:div w:id="870872656">
              <w:marLeft w:val="0"/>
              <w:marRight w:val="0"/>
              <w:marTop w:val="0"/>
              <w:marBottom w:val="0"/>
              <w:divBdr>
                <w:top w:val="none" w:sz="0" w:space="0" w:color="auto"/>
                <w:left w:val="none" w:sz="0" w:space="0" w:color="auto"/>
                <w:bottom w:val="none" w:sz="0" w:space="0" w:color="auto"/>
                <w:right w:val="none" w:sz="0" w:space="0" w:color="auto"/>
              </w:divBdr>
            </w:div>
            <w:div w:id="876311598">
              <w:marLeft w:val="0"/>
              <w:marRight w:val="0"/>
              <w:marTop w:val="0"/>
              <w:marBottom w:val="0"/>
              <w:divBdr>
                <w:top w:val="none" w:sz="0" w:space="0" w:color="auto"/>
                <w:left w:val="none" w:sz="0" w:space="0" w:color="auto"/>
                <w:bottom w:val="none" w:sz="0" w:space="0" w:color="auto"/>
                <w:right w:val="none" w:sz="0" w:space="0" w:color="auto"/>
              </w:divBdr>
            </w:div>
            <w:div w:id="914895533">
              <w:marLeft w:val="0"/>
              <w:marRight w:val="0"/>
              <w:marTop w:val="0"/>
              <w:marBottom w:val="0"/>
              <w:divBdr>
                <w:top w:val="none" w:sz="0" w:space="0" w:color="auto"/>
                <w:left w:val="none" w:sz="0" w:space="0" w:color="auto"/>
                <w:bottom w:val="none" w:sz="0" w:space="0" w:color="auto"/>
                <w:right w:val="none" w:sz="0" w:space="0" w:color="auto"/>
              </w:divBdr>
            </w:div>
            <w:div w:id="967659398">
              <w:marLeft w:val="0"/>
              <w:marRight w:val="0"/>
              <w:marTop w:val="0"/>
              <w:marBottom w:val="0"/>
              <w:divBdr>
                <w:top w:val="none" w:sz="0" w:space="0" w:color="auto"/>
                <w:left w:val="none" w:sz="0" w:space="0" w:color="auto"/>
                <w:bottom w:val="none" w:sz="0" w:space="0" w:color="auto"/>
                <w:right w:val="none" w:sz="0" w:space="0" w:color="auto"/>
              </w:divBdr>
            </w:div>
            <w:div w:id="988750830">
              <w:marLeft w:val="0"/>
              <w:marRight w:val="0"/>
              <w:marTop w:val="0"/>
              <w:marBottom w:val="0"/>
              <w:divBdr>
                <w:top w:val="none" w:sz="0" w:space="0" w:color="auto"/>
                <w:left w:val="none" w:sz="0" w:space="0" w:color="auto"/>
                <w:bottom w:val="none" w:sz="0" w:space="0" w:color="auto"/>
                <w:right w:val="none" w:sz="0" w:space="0" w:color="auto"/>
              </w:divBdr>
            </w:div>
            <w:div w:id="1010058715">
              <w:marLeft w:val="0"/>
              <w:marRight w:val="0"/>
              <w:marTop w:val="0"/>
              <w:marBottom w:val="0"/>
              <w:divBdr>
                <w:top w:val="none" w:sz="0" w:space="0" w:color="auto"/>
                <w:left w:val="none" w:sz="0" w:space="0" w:color="auto"/>
                <w:bottom w:val="none" w:sz="0" w:space="0" w:color="auto"/>
                <w:right w:val="none" w:sz="0" w:space="0" w:color="auto"/>
              </w:divBdr>
            </w:div>
            <w:div w:id="1324701759">
              <w:marLeft w:val="0"/>
              <w:marRight w:val="0"/>
              <w:marTop w:val="0"/>
              <w:marBottom w:val="0"/>
              <w:divBdr>
                <w:top w:val="none" w:sz="0" w:space="0" w:color="auto"/>
                <w:left w:val="none" w:sz="0" w:space="0" w:color="auto"/>
                <w:bottom w:val="none" w:sz="0" w:space="0" w:color="auto"/>
                <w:right w:val="none" w:sz="0" w:space="0" w:color="auto"/>
              </w:divBdr>
            </w:div>
            <w:div w:id="1385638973">
              <w:marLeft w:val="0"/>
              <w:marRight w:val="0"/>
              <w:marTop w:val="0"/>
              <w:marBottom w:val="0"/>
              <w:divBdr>
                <w:top w:val="none" w:sz="0" w:space="0" w:color="auto"/>
                <w:left w:val="none" w:sz="0" w:space="0" w:color="auto"/>
                <w:bottom w:val="none" w:sz="0" w:space="0" w:color="auto"/>
                <w:right w:val="none" w:sz="0" w:space="0" w:color="auto"/>
              </w:divBdr>
            </w:div>
            <w:div w:id="1425221919">
              <w:marLeft w:val="0"/>
              <w:marRight w:val="0"/>
              <w:marTop w:val="0"/>
              <w:marBottom w:val="0"/>
              <w:divBdr>
                <w:top w:val="none" w:sz="0" w:space="0" w:color="auto"/>
                <w:left w:val="none" w:sz="0" w:space="0" w:color="auto"/>
                <w:bottom w:val="none" w:sz="0" w:space="0" w:color="auto"/>
                <w:right w:val="none" w:sz="0" w:space="0" w:color="auto"/>
              </w:divBdr>
            </w:div>
            <w:div w:id="1446580702">
              <w:marLeft w:val="0"/>
              <w:marRight w:val="0"/>
              <w:marTop w:val="0"/>
              <w:marBottom w:val="0"/>
              <w:divBdr>
                <w:top w:val="none" w:sz="0" w:space="0" w:color="auto"/>
                <w:left w:val="none" w:sz="0" w:space="0" w:color="auto"/>
                <w:bottom w:val="none" w:sz="0" w:space="0" w:color="auto"/>
                <w:right w:val="none" w:sz="0" w:space="0" w:color="auto"/>
              </w:divBdr>
            </w:div>
            <w:div w:id="1527017268">
              <w:marLeft w:val="0"/>
              <w:marRight w:val="0"/>
              <w:marTop w:val="0"/>
              <w:marBottom w:val="0"/>
              <w:divBdr>
                <w:top w:val="none" w:sz="0" w:space="0" w:color="auto"/>
                <w:left w:val="none" w:sz="0" w:space="0" w:color="auto"/>
                <w:bottom w:val="none" w:sz="0" w:space="0" w:color="auto"/>
                <w:right w:val="none" w:sz="0" w:space="0" w:color="auto"/>
              </w:divBdr>
            </w:div>
            <w:div w:id="1618684347">
              <w:marLeft w:val="0"/>
              <w:marRight w:val="0"/>
              <w:marTop w:val="0"/>
              <w:marBottom w:val="0"/>
              <w:divBdr>
                <w:top w:val="none" w:sz="0" w:space="0" w:color="auto"/>
                <w:left w:val="none" w:sz="0" w:space="0" w:color="auto"/>
                <w:bottom w:val="none" w:sz="0" w:space="0" w:color="auto"/>
                <w:right w:val="none" w:sz="0" w:space="0" w:color="auto"/>
              </w:divBdr>
            </w:div>
            <w:div w:id="1814449088">
              <w:marLeft w:val="0"/>
              <w:marRight w:val="0"/>
              <w:marTop w:val="0"/>
              <w:marBottom w:val="0"/>
              <w:divBdr>
                <w:top w:val="none" w:sz="0" w:space="0" w:color="auto"/>
                <w:left w:val="none" w:sz="0" w:space="0" w:color="auto"/>
                <w:bottom w:val="none" w:sz="0" w:space="0" w:color="auto"/>
                <w:right w:val="none" w:sz="0" w:space="0" w:color="auto"/>
              </w:divBdr>
            </w:div>
            <w:div w:id="1846943170">
              <w:marLeft w:val="0"/>
              <w:marRight w:val="0"/>
              <w:marTop w:val="0"/>
              <w:marBottom w:val="0"/>
              <w:divBdr>
                <w:top w:val="none" w:sz="0" w:space="0" w:color="auto"/>
                <w:left w:val="none" w:sz="0" w:space="0" w:color="auto"/>
                <w:bottom w:val="none" w:sz="0" w:space="0" w:color="auto"/>
                <w:right w:val="none" w:sz="0" w:space="0" w:color="auto"/>
              </w:divBdr>
            </w:div>
            <w:div w:id="2027710784">
              <w:marLeft w:val="0"/>
              <w:marRight w:val="0"/>
              <w:marTop w:val="0"/>
              <w:marBottom w:val="0"/>
              <w:divBdr>
                <w:top w:val="none" w:sz="0" w:space="0" w:color="auto"/>
                <w:left w:val="none" w:sz="0" w:space="0" w:color="auto"/>
                <w:bottom w:val="none" w:sz="0" w:space="0" w:color="auto"/>
                <w:right w:val="none" w:sz="0" w:space="0" w:color="auto"/>
              </w:divBdr>
            </w:div>
            <w:div w:id="209828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387356">
      <w:bodyDiv w:val="1"/>
      <w:marLeft w:val="0"/>
      <w:marRight w:val="0"/>
      <w:marTop w:val="0"/>
      <w:marBottom w:val="0"/>
      <w:divBdr>
        <w:top w:val="none" w:sz="0" w:space="0" w:color="auto"/>
        <w:left w:val="none" w:sz="0" w:space="0" w:color="auto"/>
        <w:bottom w:val="none" w:sz="0" w:space="0" w:color="auto"/>
        <w:right w:val="none" w:sz="0" w:space="0" w:color="auto"/>
      </w:divBdr>
      <w:divsChild>
        <w:div w:id="226307424">
          <w:marLeft w:val="0"/>
          <w:marRight w:val="0"/>
          <w:marTop w:val="0"/>
          <w:marBottom w:val="0"/>
          <w:divBdr>
            <w:top w:val="none" w:sz="0" w:space="0" w:color="auto"/>
            <w:left w:val="none" w:sz="0" w:space="0" w:color="auto"/>
            <w:bottom w:val="none" w:sz="0" w:space="0" w:color="auto"/>
            <w:right w:val="none" w:sz="0" w:space="0" w:color="auto"/>
          </w:divBdr>
          <w:divsChild>
            <w:div w:id="642344997">
              <w:marLeft w:val="0"/>
              <w:marRight w:val="0"/>
              <w:marTop w:val="0"/>
              <w:marBottom w:val="0"/>
              <w:divBdr>
                <w:top w:val="none" w:sz="0" w:space="0" w:color="auto"/>
                <w:left w:val="none" w:sz="0" w:space="0" w:color="auto"/>
                <w:bottom w:val="none" w:sz="0" w:space="0" w:color="auto"/>
                <w:right w:val="none" w:sz="0" w:space="0" w:color="auto"/>
              </w:divBdr>
              <w:divsChild>
                <w:div w:id="1539467873">
                  <w:marLeft w:val="0"/>
                  <w:marRight w:val="0"/>
                  <w:marTop w:val="0"/>
                  <w:marBottom w:val="0"/>
                  <w:divBdr>
                    <w:top w:val="none" w:sz="0" w:space="0" w:color="auto"/>
                    <w:left w:val="none" w:sz="0" w:space="0" w:color="auto"/>
                    <w:bottom w:val="none" w:sz="0" w:space="0" w:color="auto"/>
                    <w:right w:val="none" w:sz="0" w:space="0" w:color="auto"/>
                  </w:divBdr>
                  <w:divsChild>
                    <w:div w:id="572814850">
                      <w:marLeft w:val="0"/>
                      <w:marRight w:val="0"/>
                      <w:marTop w:val="0"/>
                      <w:marBottom w:val="0"/>
                      <w:divBdr>
                        <w:top w:val="none" w:sz="0" w:space="0" w:color="auto"/>
                        <w:left w:val="none" w:sz="0" w:space="0" w:color="auto"/>
                        <w:bottom w:val="none" w:sz="0" w:space="0" w:color="auto"/>
                        <w:right w:val="none" w:sz="0" w:space="0" w:color="auto"/>
                      </w:divBdr>
                      <w:divsChild>
                        <w:div w:id="537594561">
                          <w:marLeft w:val="0"/>
                          <w:marRight w:val="0"/>
                          <w:marTop w:val="0"/>
                          <w:marBottom w:val="0"/>
                          <w:divBdr>
                            <w:top w:val="none" w:sz="0" w:space="0" w:color="auto"/>
                            <w:left w:val="none" w:sz="0" w:space="0" w:color="auto"/>
                            <w:bottom w:val="none" w:sz="0" w:space="0" w:color="auto"/>
                            <w:right w:val="none" w:sz="0" w:space="0" w:color="auto"/>
                          </w:divBdr>
                          <w:divsChild>
                            <w:div w:id="1294408573">
                              <w:marLeft w:val="0"/>
                              <w:marRight w:val="0"/>
                              <w:marTop w:val="0"/>
                              <w:marBottom w:val="0"/>
                              <w:divBdr>
                                <w:top w:val="none" w:sz="0" w:space="0" w:color="auto"/>
                                <w:left w:val="none" w:sz="0" w:space="0" w:color="auto"/>
                                <w:bottom w:val="none" w:sz="0" w:space="0" w:color="auto"/>
                                <w:right w:val="none" w:sz="0" w:space="0" w:color="auto"/>
                              </w:divBdr>
                              <w:divsChild>
                                <w:div w:id="1071585661">
                                  <w:marLeft w:val="0"/>
                                  <w:marRight w:val="0"/>
                                  <w:marTop w:val="0"/>
                                  <w:marBottom w:val="0"/>
                                  <w:divBdr>
                                    <w:top w:val="none" w:sz="0" w:space="0" w:color="auto"/>
                                    <w:left w:val="none" w:sz="0" w:space="0" w:color="auto"/>
                                    <w:bottom w:val="none" w:sz="0" w:space="0" w:color="auto"/>
                                    <w:right w:val="none" w:sz="0" w:space="0" w:color="auto"/>
                                  </w:divBdr>
                                  <w:divsChild>
                                    <w:div w:id="140607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91864">
      <w:bodyDiv w:val="1"/>
      <w:marLeft w:val="0"/>
      <w:marRight w:val="0"/>
      <w:marTop w:val="0"/>
      <w:marBottom w:val="0"/>
      <w:divBdr>
        <w:top w:val="none" w:sz="0" w:space="0" w:color="auto"/>
        <w:left w:val="none" w:sz="0" w:space="0" w:color="auto"/>
        <w:bottom w:val="none" w:sz="0" w:space="0" w:color="auto"/>
        <w:right w:val="none" w:sz="0" w:space="0" w:color="auto"/>
      </w:divBdr>
      <w:divsChild>
        <w:div w:id="1357854324">
          <w:marLeft w:val="0"/>
          <w:marRight w:val="0"/>
          <w:marTop w:val="0"/>
          <w:marBottom w:val="0"/>
          <w:divBdr>
            <w:top w:val="none" w:sz="0" w:space="0" w:color="auto"/>
            <w:left w:val="none" w:sz="0" w:space="0" w:color="auto"/>
            <w:bottom w:val="none" w:sz="0" w:space="0" w:color="auto"/>
            <w:right w:val="none" w:sz="0" w:space="0" w:color="auto"/>
          </w:divBdr>
          <w:divsChild>
            <w:div w:id="237591610">
              <w:marLeft w:val="0"/>
              <w:marRight w:val="0"/>
              <w:marTop w:val="0"/>
              <w:marBottom w:val="150"/>
              <w:divBdr>
                <w:top w:val="none" w:sz="0" w:space="0" w:color="auto"/>
                <w:left w:val="none" w:sz="0" w:space="0" w:color="auto"/>
                <w:bottom w:val="none" w:sz="0" w:space="0" w:color="auto"/>
                <w:right w:val="none" w:sz="0" w:space="0" w:color="auto"/>
              </w:divBdr>
              <w:divsChild>
                <w:div w:id="180381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642439">
          <w:marLeft w:val="0"/>
          <w:marRight w:val="225"/>
          <w:marTop w:val="0"/>
          <w:marBottom w:val="0"/>
          <w:divBdr>
            <w:top w:val="none" w:sz="0" w:space="0" w:color="auto"/>
            <w:left w:val="none" w:sz="0" w:space="0" w:color="auto"/>
            <w:bottom w:val="none" w:sz="0" w:space="0" w:color="auto"/>
            <w:right w:val="none" w:sz="0" w:space="0" w:color="auto"/>
          </w:divBdr>
          <w:divsChild>
            <w:div w:id="1165392023">
              <w:marLeft w:val="0"/>
              <w:marRight w:val="0"/>
              <w:marTop w:val="225"/>
              <w:marBottom w:val="0"/>
              <w:divBdr>
                <w:top w:val="none" w:sz="0" w:space="0" w:color="auto"/>
                <w:left w:val="none" w:sz="0" w:space="0" w:color="auto"/>
                <w:bottom w:val="none" w:sz="0" w:space="0" w:color="auto"/>
                <w:right w:val="none" w:sz="0" w:space="0" w:color="auto"/>
              </w:divBdr>
              <w:divsChild>
                <w:div w:id="60832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844915">
      <w:bodyDiv w:val="1"/>
      <w:marLeft w:val="0"/>
      <w:marRight w:val="0"/>
      <w:marTop w:val="0"/>
      <w:marBottom w:val="0"/>
      <w:divBdr>
        <w:top w:val="none" w:sz="0" w:space="0" w:color="auto"/>
        <w:left w:val="none" w:sz="0" w:space="0" w:color="auto"/>
        <w:bottom w:val="none" w:sz="0" w:space="0" w:color="auto"/>
        <w:right w:val="none" w:sz="0" w:space="0" w:color="auto"/>
      </w:divBdr>
      <w:divsChild>
        <w:div w:id="1084109842">
          <w:marLeft w:val="0"/>
          <w:marRight w:val="0"/>
          <w:marTop w:val="0"/>
          <w:marBottom w:val="0"/>
          <w:divBdr>
            <w:top w:val="none" w:sz="0" w:space="0" w:color="auto"/>
            <w:left w:val="none" w:sz="0" w:space="0" w:color="auto"/>
            <w:bottom w:val="none" w:sz="0" w:space="0" w:color="auto"/>
            <w:right w:val="none" w:sz="0" w:space="0" w:color="auto"/>
          </w:divBdr>
          <w:divsChild>
            <w:div w:id="71342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969308">
      <w:bodyDiv w:val="1"/>
      <w:marLeft w:val="0"/>
      <w:marRight w:val="0"/>
      <w:marTop w:val="0"/>
      <w:marBottom w:val="0"/>
      <w:divBdr>
        <w:top w:val="none" w:sz="0" w:space="0" w:color="auto"/>
        <w:left w:val="none" w:sz="0" w:space="0" w:color="auto"/>
        <w:bottom w:val="none" w:sz="0" w:space="0" w:color="auto"/>
        <w:right w:val="none" w:sz="0" w:space="0" w:color="auto"/>
      </w:divBdr>
      <w:divsChild>
        <w:div w:id="1585264348">
          <w:marLeft w:val="0"/>
          <w:marRight w:val="0"/>
          <w:marTop w:val="0"/>
          <w:marBottom w:val="0"/>
          <w:divBdr>
            <w:top w:val="none" w:sz="0" w:space="0" w:color="auto"/>
            <w:left w:val="none" w:sz="0" w:space="0" w:color="auto"/>
            <w:bottom w:val="dotted" w:sz="6" w:space="4" w:color="DDDDDD"/>
            <w:right w:val="none" w:sz="0" w:space="0" w:color="auto"/>
          </w:divBdr>
          <w:divsChild>
            <w:div w:id="198103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433250">
      <w:bodyDiv w:val="1"/>
      <w:marLeft w:val="0"/>
      <w:marRight w:val="0"/>
      <w:marTop w:val="0"/>
      <w:marBottom w:val="0"/>
      <w:divBdr>
        <w:top w:val="none" w:sz="0" w:space="0" w:color="auto"/>
        <w:left w:val="none" w:sz="0" w:space="0" w:color="auto"/>
        <w:bottom w:val="none" w:sz="0" w:space="0" w:color="auto"/>
        <w:right w:val="none" w:sz="0" w:space="0" w:color="auto"/>
      </w:divBdr>
      <w:divsChild>
        <w:div w:id="85881829">
          <w:marLeft w:val="0"/>
          <w:marRight w:val="0"/>
          <w:marTop w:val="150"/>
          <w:marBottom w:val="0"/>
          <w:divBdr>
            <w:top w:val="none" w:sz="0" w:space="0" w:color="auto"/>
            <w:left w:val="none" w:sz="0" w:space="0" w:color="auto"/>
            <w:bottom w:val="none" w:sz="0" w:space="0" w:color="auto"/>
            <w:right w:val="none" w:sz="0" w:space="0" w:color="auto"/>
          </w:divBdr>
          <w:divsChild>
            <w:div w:id="1764758009">
              <w:marLeft w:val="0"/>
              <w:marRight w:val="150"/>
              <w:marTop w:val="0"/>
              <w:marBottom w:val="0"/>
              <w:divBdr>
                <w:top w:val="none" w:sz="0" w:space="0" w:color="auto"/>
                <w:left w:val="none" w:sz="0" w:space="0" w:color="auto"/>
                <w:bottom w:val="none" w:sz="0" w:space="0" w:color="auto"/>
                <w:right w:val="none" w:sz="0" w:space="0" w:color="auto"/>
              </w:divBdr>
              <w:divsChild>
                <w:div w:id="141435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493728">
          <w:marLeft w:val="0"/>
          <w:marRight w:val="0"/>
          <w:marTop w:val="0"/>
          <w:marBottom w:val="0"/>
          <w:divBdr>
            <w:top w:val="none" w:sz="0" w:space="8" w:color="auto"/>
            <w:left w:val="none" w:sz="0" w:space="2" w:color="auto"/>
            <w:bottom w:val="single" w:sz="6" w:space="8" w:color="DDDDDD"/>
            <w:right w:val="none" w:sz="0" w:space="0" w:color="auto"/>
          </w:divBdr>
        </w:div>
      </w:divsChild>
    </w:div>
    <w:div w:id="1053508151">
      <w:bodyDiv w:val="1"/>
      <w:marLeft w:val="0"/>
      <w:marRight w:val="0"/>
      <w:marTop w:val="0"/>
      <w:marBottom w:val="0"/>
      <w:divBdr>
        <w:top w:val="none" w:sz="0" w:space="0" w:color="auto"/>
        <w:left w:val="none" w:sz="0" w:space="0" w:color="auto"/>
        <w:bottom w:val="none" w:sz="0" w:space="0" w:color="auto"/>
        <w:right w:val="none" w:sz="0" w:space="0" w:color="auto"/>
      </w:divBdr>
      <w:divsChild>
        <w:div w:id="577254883">
          <w:marLeft w:val="0"/>
          <w:marRight w:val="0"/>
          <w:marTop w:val="150"/>
          <w:marBottom w:val="0"/>
          <w:divBdr>
            <w:top w:val="none" w:sz="0" w:space="0" w:color="auto"/>
            <w:left w:val="none" w:sz="0" w:space="0" w:color="auto"/>
            <w:bottom w:val="none" w:sz="0" w:space="0" w:color="auto"/>
            <w:right w:val="none" w:sz="0" w:space="0" w:color="auto"/>
          </w:divBdr>
          <w:divsChild>
            <w:div w:id="16778071">
              <w:marLeft w:val="0"/>
              <w:marRight w:val="0"/>
              <w:marTop w:val="0"/>
              <w:marBottom w:val="0"/>
              <w:divBdr>
                <w:top w:val="none" w:sz="0" w:space="0" w:color="auto"/>
                <w:left w:val="none" w:sz="0" w:space="0" w:color="auto"/>
                <w:bottom w:val="none" w:sz="0" w:space="0" w:color="auto"/>
                <w:right w:val="none" w:sz="0" w:space="0" w:color="auto"/>
              </w:divBdr>
              <w:divsChild>
                <w:div w:id="153580279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829516369">
          <w:marLeft w:val="0"/>
          <w:marRight w:val="0"/>
          <w:marTop w:val="0"/>
          <w:marBottom w:val="0"/>
          <w:divBdr>
            <w:top w:val="none" w:sz="0" w:space="0" w:color="auto"/>
            <w:left w:val="none" w:sz="0" w:space="0" w:color="auto"/>
            <w:bottom w:val="none" w:sz="0" w:space="0" w:color="auto"/>
            <w:right w:val="none" w:sz="0" w:space="0" w:color="auto"/>
          </w:divBdr>
          <w:divsChild>
            <w:div w:id="141289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50652">
      <w:bodyDiv w:val="1"/>
      <w:marLeft w:val="0"/>
      <w:marRight w:val="0"/>
      <w:marTop w:val="0"/>
      <w:marBottom w:val="0"/>
      <w:divBdr>
        <w:top w:val="none" w:sz="0" w:space="0" w:color="auto"/>
        <w:left w:val="none" w:sz="0" w:space="0" w:color="auto"/>
        <w:bottom w:val="none" w:sz="0" w:space="0" w:color="auto"/>
        <w:right w:val="none" w:sz="0" w:space="0" w:color="auto"/>
      </w:divBdr>
    </w:div>
    <w:div w:id="1054622753">
      <w:bodyDiv w:val="1"/>
      <w:marLeft w:val="0"/>
      <w:marRight w:val="0"/>
      <w:marTop w:val="0"/>
      <w:marBottom w:val="0"/>
      <w:divBdr>
        <w:top w:val="none" w:sz="0" w:space="0" w:color="auto"/>
        <w:left w:val="none" w:sz="0" w:space="0" w:color="auto"/>
        <w:bottom w:val="none" w:sz="0" w:space="0" w:color="auto"/>
        <w:right w:val="none" w:sz="0" w:space="0" w:color="auto"/>
      </w:divBdr>
      <w:divsChild>
        <w:div w:id="174268603">
          <w:marLeft w:val="0"/>
          <w:marRight w:val="0"/>
          <w:marTop w:val="0"/>
          <w:marBottom w:val="0"/>
          <w:divBdr>
            <w:top w:val="none" w:sz="0" w:space="0" w:color="auto"/>
            <w:left w:val="none" w:sz="0" w:space="0" w:color="auto"/>
            <w:bottom w:val="none" w:sz="0" w:space="0" w:color="auto"/>
            <w:right w:val="none" w:sz="0" w:space="0" w:color="auto"/>
          </w:divBdr>
          <w:divsChild>
            <w:div w:id="992485225">
              <w:marLeft w:val="0"/>
              <w:marRight w:val="0"/>
              <w:marTop w:val="0"/>
              <w:marBottom w:val="0"/>
              <w:divBdr>
                <w:top w:val="none" w:sz="0" w:space="0" w:color="auto"/>
                <w:left w:val="none" w:sz="0" w:space="0" w:color="auto"/>
                <w:bottom w:val="none" w:sz="0" w:space="0" w:color="auto"/>
                <w:right w:val="none" w:sz="0" w:space="0" w:color="auto"/>
              </w:divBdr>
              <w:divsChild>
                <w:div w:id="128820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266154">
          <w:marLeft w:val="0"/>
          <w:marRight w:val="0"/>
          <w:marTop w:val="0"/>
          <w:marBottom w:val="0"/>
          <w:divBdr>
            <w:top w:val="none" w:sz="0" w:space="0" w:color="auto"/>
            <w:left w:val="none" w:sz="0" w:space="0" w:color="auto"/>
            <w:bottom w:val="none" w:sz="0" w:space="0" w:color="auto"/>
            <w:right w:val="none" w:sz="0" w:space="0" w:color="auto"/>
          </w:divBdr>
        </w:div>
        <w:div w:id="751663066">
          <w:marLeft w:val="0"/>
          <w:marRight w:val="0"/>
          <w:marTop w:val="0"/>
          <w:marBottom w:val="75"/>
          <w:divBdr>
            <w:top w:val="none" w:sz="0" w:space="0" w:color="auto"/>
            <w:left w:val="none" w:sz="0" w:space="0" w:color="auto"/>
            <w:bottom w:val="none" w:sz="0" w:space="0" w:color="auto"/>
            <w:right w:val="none" w:sz="0" w:space="0" w:color="auto"/>
          </w:divBdr>
        </w:div>
        <w:div w:id="828793647">
          <w:marLeft w:val="0"/>
          <w:marRight w:val="0"/>
          <w:marTop w:val="0"/>
          <w:marBottom w:val="300"/>
          <w:divBdr>
            <w:top w:val="none" w:sz="0" w:space="0" w:color="auto"/>
            <w:left w:val="none" w:sz="0" w:space="0" w:color="auto"/>
            <w:bottom w:val="none" w:sz="0" w:space="0" w:color="auto"/>
            <w:right w:val="none" w:sz="0" w:space="0" w:color="auto"/>
          </w:divBdr>
          <w:divsChild>
            <w:div w:id="11182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739131">
      <w:bodyDiv w:val="1"/>
      <w:marLeft w:val="0"/>
      <w:marRight w:val="0"/>
      <w:marTop w:val="0"/>
      <w:marBottom w:val="0"/>
      <w:divBdr>
        <w:top w:val="none" w:sz="0" w:space="0" w:color="auto"/>
        <w:left w:val="none" w:sz="0" w:space="0" w:color="auto"/>
        <w:bottom w:val="none" w:sz="0" w:space="0" w:color="auto"/>
        <w:right w:val="none" w:sz="0" w:space="0" w:color="auto"/>
      </w:divBdr>
      <w:divsChild>
        <w:div w:id="1930430736">
          <w:marLeft w:val="0"/>
          <w:marRight w:val="0"/>
          <w:marTop w:val="0"/>
          <w:marBottom w:val="0"/>
          <w:divBdr>
            <w:top w:val="none" w:sz="0" w:space="0" w:color="auto"/>
            <w:left w:val="none" w:sz="0" w:space="0" w:color="auto"/>
            <w:bottom w:val="none" w:sz="0" w:space="0" w:color="auto"/>
            <w:right w:val="none" w:sz="0" w:space="0" w:color="auto"/>
          </w:divBdr>
          <w:divsChild>
            <w:div w:id="2114980704">
              <w:marLeft w:val="0"/>
              <w:marRight w:val="0"/>
              <w:marTop w:val="0"/>
              <w:marBottom w:val="0"/>
              <w:divBdr>
                <w:top w:val="none" w:sz="0" w:space="0" w:color="auto"/>
                <w:left w:val="none" w:sz="0" w:space="0" w:color="auto"/>
                <w:bottom w:val="none" w:sz="0" w:space="0" w:color="auto"/>
                <w:right w:val="none" w:sz="0" w:space="0" w:color="auto"/>
              </w:divBdr>
              <w:divsChild>
                <w:div w:id="991907592">
                  <w:marLeft w:val="0"/>
                  <w:marRight w:val="0"/>
                  <w:marTop w:val="0"/>
                  <w:marBottom w:val="0"/>
                  <w:divBdr>
                    <w:top w:val="none" w:sz="0" w:space="0" w:color="auto"/>
                    <w:left w:val="none" w:sz="0" w:space="0" w:color="auto"/>
                    <w:bottom w:val="none" w:sz="0" w:space="0" w:color="auto"/>
                    <w:right w:val="none" w:sz="0" w:space="0" w:color="auto"/>
                  </w:divBdr>
                  <w:divsChild>
                    <w:div w:id="2105876180">
                      <w:marLeft w:val="0"/>
                      <w:marRight w:val="0"/>
                      <w:marTop w:val="0"/>
                      <w:marBottom w:val="0"/>
                      <w:divBdr>
                        <w:top w:val="none" w:sz="0" w:space="0" w:color="auto"/>
                        <w:left w:val="none" w:sz="0" w:space="0" w:color="auto"/>
                        <w:bottom w:val="none" w:sz="0" w:space="0" w:color="auto"/>
                        <w:right w:val="none" w:sz="0" w:space="0" w:color="auto"/>
                      </w:divBdr>
                      <w:divsChild>
                        <w:div w:id="23470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010937">
      <w:bodyDiv w:val="1"/>
      <w:marLeft w:val="0"/>
      <w:marRight w:val="0"/>
      <w:marTop w:val="0"/>
      <w:marBottom w:val="0"/>
      <w:divBdr>
        <w:top w:val="none" w:sz="0" w:space="0" w:color="auto"/>
        <w:left w:val="none" w:sz="0" w:space="0" w:color="auto"/>
        <w:bottom w:val="none" w:sz="0" w:space="0" w:color="auto"/>
        <w:right w:val="none" w:sz="0" w:space="0" w:color="auto"/>
      </w:divBdr>
    </w:div>
    <w:div w:id="1055393115">
      <w:bodyDiv w:val="1"/>
      <w:marLeft w:val="0"/>
      <w:marRight w:val="0"/>
      <w:marTop w:val="0"/>
      <w:marBottom w:val="0"/>
      <w:divBdr>
        <w:top w:val="none" w:sz="0" w:space="0" w:color="auto"/>
        <w:left w:val="none" w:sz="0" w:space="0" w:color="auto"/>
        <w:bottom w:val="none" w:sz="0" w:space="0" w:color="auto"/>
        <w:right w:val="none" w:sz="0" w:space="0" w:color="auto"/>
      </w:divBdr>
      <w:divsChild>
        <w:div w:id="1398742279">
          <w:marLeft w:val="0"/>
          <w:marRight w:val="0"/>
          <w:marTop w:val="0"/>
          <w:marBottom w:val="150"/>
          <w:divBdr>
            <w:top w:val="none" w:sz="0" w:space="0" w:color="auto"/>
            <w:left w:val="none" w:sz="0" w:space="0" w:color="auto"/>
            <w:bottom w:val="none" w:sz="0" w:space="0" w:color="auto"/>
            <w:right w:val="none" w:sz="0" w:space="0" w:color="auto"/>
          </w:divBdr>
          <w:divsChild>
            <w:div w:id="1421562271">
              <w:marLeft w:val="0"/>
              <w:marRight w:val="0"/>
              <w:marTop w:val="0"/>
              <w:marBottom w:val="0"/>
              <w:divBdr>
                <w:top w:val="none" w:sz="0" w:space="0" w:color="auto"/>
                <w:left w:val="none" w:sz="0" w:space="0" w:color="auto"/>
                <w:bottom w:val="none" w:sz="0" w:space="0" w:color="auto"/>
                <w:right w:val="none" w:sz="0" w:space="0" w:color="auto"/>
              </w:divBdr>
              <w:divsChild>
                <w:div w:id="56950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060942">
          <w:marLeft w:val="0"/>
          <w:marRight w:val="0"/>
          <w:marTop w:val="0"/>
          <w:marBottom w:val="150"/>
          <w:divBdr>
            <w:top w:val="none" w:sz="0" w:space="0" w:color="auto"/>
            <w:left w:val="none" w:sz="0" w:space="0" w:color="auto"/>
            <w:bottom w:val="none" w:sz="0" w:space="0" w:color="auto"/>
            <w:right w:val="none" w:sz="0" w:space="0" w:color="auto"/>
          </w:divBdr>
        </w:div>
        <w:div w:id="1757290917">
          <w:marLeft w:val="0"/>
          <w:marRight w:val="0"/>
          <w:marTop w:val="0"/>
          <w:marBottom w:val="0"/>
          <w:divBdr>
            <w:top w:val="none" w:sz="0" w:space="0" w:color="auto"/>
            <w:left w:val="none" w:sz="0" w:space="0" w:color="auto"/>
            <w:bottom w:val="none" w:sz="0" w:space="0" w:color="auto"/>
            <w:right w:val="none" w:sz="0" w:space="0" w:color="auto"/>
          </w:divBdr>
          <w:divsChild>
            <w:div w:id="11542206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55396517">
      <w:bodyDiv w:val="1"/>
      <w:marLeft w:val="0"/>
      <w:marRight w:val="0"/>
      <w:marTop w:val="0"/>
      <w:marBottom w:val="0"/>
      <w:divBdr>
        <w:top w:val="none" w:sz="0" w:space="0" w:color="auto"/>
        <w:left w:val="none" w:sz="0" w:space="0" w:color="auto"/>
        <w:bottom w:val="none" w:sz="0" w:space="0" w:color="auto"/>
        <w:right w:val="none" w:sz="0" w:space="0" w:color="auto"/>
      </w:divBdr>
      <w:divsChild>
        <w:div w:id="103963292">
          <w:marLeft w:val="0"/>
          <w:marRight w:val="0"/>
          <w:marTop w:val="0"/>
          <w:marBottom w:val="150"/>
          <w:divBdr>
            <w:top w:val="none" w:sz="0" w:space="0" w:color="auto"/>
            <w:left w:val="none" w:sz="0" w:space="0" w:color="auto"/>
            <w:bottom w:val="none" w:sz="0" w:space="0" w:color="auto"/>
            <w:right w:val="none" w:sz="0" w:space="0" w:color="auto"/>
          </w:divBdr>
        </w:div>
        <w:div w:id="743141505">
          <w:marLeft w:val="0"/>
          <w:marRight w:val="0"/>
          <w:marTop w:val="225"/>
          <w:marBottom w:val="225"/>
          <w:divBdr>
            <w:top w:val="none" w:sz="0" w:space="0" w:color="auto"/>
            <w:left w:val="none" w:sz="0" w:space="0" w:color="auto"/>
            <w:bottom w:val="none" w:sz="0" w:space="0" w:color="auto"/>
            <w:right w:val="none" w:sz="0" w:space="0" w:color="auto"/>
          </w:divBdr>
        </w:div>
      </w:divsChild>
    </w:div>
    <w:div w:id="1055935673">
      <w:bodyDiv w:val="1"/>
      <w:marLeft w:val="0"/>
      <w:marRight w:val="0"/>
      <w:marTop w:val="0"/>
      <w:marBottom w:val="0"/>
      <w:divBdr>
        <w:top w:val="none" w:sz="0" w:space="0" w:color="auto"/>
        <w:left w:val="none" w:sz="0" w:space="0" w:color="auto"/>
        <w:bottom w:val="none" w:sz="0" w:space="0" w:color="auto"/>
        <w:right w:val="none" w:sz="0" w:space="0" w:color="auto"/>
      </w:divBdr>
    </w:div>
    <w:div w:id="1056122599">
      <w:bodyDiv w:val="1"/>
      <w:marLeft w:val="0"/>
      <w:marRight w:val="0"/>
      <w:marTop w:val="0"/>
      <w:marBottom w:val="0"/>
      <w:divBdr>
        <w:top w:val="none" w:sz="0" w:space="0" w:color="auto"/>
        <w:left w:val="none" w:sz="0" w:space="0" w:color="auto"/>
        <w:bottom w:val="none" w:sz="0" w:space="0" w:color="auto"/>
        <w:right w:val="none" w:sz="0" w:space="0" w:color="auto"/>
      </w:divBdr>
      <w:divsChild>
        <w:div w:id="666326397">
          <w:marLeft w:val="0"/>
          <w:marRight w:val="0"/>
          <w:marTop w:val="0"/>
          <w:marBottom w:val="0"/>
          <w:divBdr>
            <w:top w:val="none" w:sz="0" w:space="0" w:color="auto"/>
            <w:left w:val="none" w:sz="0" w:space="0" w:color="auto"/>
            <w:bottom w:val="dotted" w:sz="6" w:space="4" w:color="DDDDDD"/>
            <w:right w:val="none" w:sz="0" w:space="0" w:color="auto"/>
          </w:divBdr>
        </w:div>
      </w:divsChild>
    </w:div>
    <w:div w:id="1056123887">
      <w:bodyDiv w:val="1"/>
      <w:marLeft w:val="0"/>
      <w:marRight w:val="0"/>
      <w:marTop w:val="0"/>
      <w:marBottom w:val="0"/>
      <w:divBdr>
        <w:top w:val="none" w:sz="0" w:space="0" w:color="auto"/>
        <w:left w:val="none" w:sz="0" w:space="0" w:color="auto"/>
        <w:bottom w:val="none" w:sz="0" w:space="0" w:color="auto"/>
        <w:right w:val="none" w:sz="0" w:space="0" w:color="auto"/>
      </w:divBdr>
      <w:divsChild>
        <w:div w:id="515969808">
          <w:marLeft w:val="0"/>
          <w:marRight w:val="0"/>
          <w:marTop w:val="150"/>
          <w:marBottom w:val="0"/>
          <w:divBdr>
            <w:top w:val="none" w:sz="0" w:space="0" w:color="auto"/>
            <w:left w:val="none" w:sz="0" w:space="0" w:color="auto"/>
            <w:bottom w:val="none" w:sz="0" w:space="0" w:color="auto"/>
            <w:right w:val="none" w:sz="0" w:space="0" w:color="auto"/>
          </w:divBdr>
          <w:divsChild>
            <w:div w:id="125973695">
              <w:marLeft w:val="0"/>
              <w:marRight w:val="0"/>
              <w:marTop w:val="0"/>
              <w:marBottom w:val="0"/>
              <w:divBdr>
                <w:top w:val="none" w:sz="0" w:space="0" w:color="auto"/>
                <w:left w:val="none" w:sz="0" w:space="0" w:color="auto"/>
                <w:bottom w:val="single" w:sz="6" w:space="0" w:color="EFEFEF"/>
                <w:right w:val="none" w:sz="0" w:space="0" w:color="auto"/>
              </w:divBdr>
              <w:divsChild>
                <w:div w:id="1693652663">
                  <w:marLeft w:val="0"/>
                  <w:marRight w:val="0"/>
                  <w:marTop w:val="0"/>
                  <w:marBottom w:val="0"/>
                  <w:divBdr>
                    <w:top w:val="none" w:sz="0" w:space="0" w:color="auto"/>
                    <w:left w:val="none" w:sz="0" w:space="0" w:color="auto"/>
                    <w:bottom w:val="none" w:sz="0" w:space="0" w:color="auto"/>
                    <w:right w:val="none" w:sz="0" w:space="0" w:color="auto"/>
                  </w:divBdr>
                </w:div>
                <w:div w:id="200280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468927">
          <w:marLeft w:val="0"/>
          <w:marRight w:val="0"/>
          <w:marTop w:val="300"/>
          <w:marBottom w:val="0"/>
          <w:divBdr>
            <w:top w:val="none" w:sz="0" w:space="0" w:color="auto"/>
            <w:left w:val="none" w:sz="0" w:space="0" w:color="auto"/>
            <w:bottom w:val="none" w:sz="0" w:space="0" w:color="auto"/>
            <w:right w:val="none" w:sz="0" w:space="0" w:color="auto"/>
          </w:divBdr>
          <w:divsChild>
            <w:div w:id="358628488">
              <w:marLeft w:val="-1350"/>
              <w:marRight w:val="0"/>
              <w:marTop w:val="0"/>
              <w:marBottom w:val="0"/>
              <w:divBdr>
                <w:top w:val="none" w:sz="0" w:space="0" w:color="auto"/>
                <w:left w:val="none" w:sz="0" w:space="0" w:color="auto"/>
                <w:bottom w:val="none" w:sz="0" w:space="0" w:color="auto"/>
                <w:right w:val="none" w:sz="0" w:space="0" w:color="auto"/>
              </w:divBdr>
              <w:divsChild>
                <w:div w:id="1683780426">
                  <w:marLeft w:val="0"/>
                  <w:marRight w:val="0"/>
                  <w:marTop w:val="0"/>
                  <w:marBottom w:val="0"/>
                  <w:divBdr>
                    <w:top w:val="none" w:sz="0" w:space="0" w:color="auto"/>
                    <w:left w:val="none" w:sz="0" w:space="0" w:color="auto"/>
                    <w:bottom w:val="none" w:sz="0" w:space="0" w:color="auto"/>
                    <w:right w:val="none" w:sz="0" w:space="0" w:color="auto"/>
                  </w:divBdr>
                  <w:divsChild>
                    <w:div w:id="1123187616">
                      <w:marLeft w:val="0"/>
                      <w:marRight w:val="0"/>
                      <w:marTop w:val="0"/>
                      <w:marBottom w:val="0"/>
                      <w:divBdr>
                        <w:top w:val="none" w:sz="0" w:space="0" w:color="auto"/>
                        <w:left w:val="none" w:sz="0" w:space="0" w:color="auto"/>
                        <w:bottom w:val="none" w:sz="0" w:space="0" w:color="auto"/>
                        <w:right w:val="none" w:sz="0" w:space="0" w:color="auto"/>
                      </w:divBdr>
                      <w:divsChild>
                        <w:div w:id="2141267639">
                          <w:marLeft w:val="0"/>
                          <w:marRight w:val="0"/>
                          <w:marTop w:val="0"/>
                          <w:marBottom w:val="0"/>
                          <w:divBdr>
                            <w:top w:val="single" w:sz="6" w:space="0" w:color="C7C7C7"/>
                            <w:left w:val="single" w:sz="6" w:space="0" w:color="C7C7C7"/>
                            <w:bottom w:val="single" w:sz="6" w:space="0" w:color="C7C7C7"/>
                            <w:right w:val="single" w:sz="6" w:space="0" w:color="C7C7C7"/>
                          </w:divBdr>
                          <w:divsChild>
                            <w:div w:id="1107501474">
                              <w:marLeft w:val="0"/>
                              <w:marRight w:val="0"/>
                              <w:marTop w:val="100"/>
                              <w:marBottom w:val="100"/>
                              <w:divBdr>
                                <w:top w:val="none" w:sz="0" w:space="11" w:color="auto"/>
                                <w:left w:val="none" w:sz="0" w:space="0" w:color="auto"/>
                                <w:bottom w:val="single" w:sz="6" w:space="11" w:color="C7C7C7"/>
                                <w:right w:val="none" w:sz="0" w:space="0" w:color="auto"/>
                              </w:divBdr>
                            </w:div>
                            <w:div w:id="1406031596">
                              <w:marLeft w:val="0"/>
                              <w:marRight w:val="0"/>
                              <w:marTop w:val="100"/>
                              <w:marBottom w:val="100"/>
                              <w:divBdr>
                                <w:top w:val="none" w:sz="0" w:space="11" w:color="auto"/>
                                <w:left w:val="none" w:sz="0" w:space="0" w:color="auto"/>
                                <w:bottom w:val="single" w:sz="6" w:space="11" w:color="C7C7C7"/>
                                <w:right w:val="none" w:sz="0" w:space="0" w:color="auto"/>
                              </w:divBdr>
                            </w:div>
                            <w:div w:id="1483038313">
                              <w:marLeft w:val="0"/>
                              <w:marRight w:val="0"/>
                              <w:marTop w:val="100"/>
                              <w:marBottom w:val="100"/>
                              <w:divBdr>
                                <w:top w:val="none" w:sz="0" w:space="11" w:color="auto"/>
                                <w:left w:val="none" w:sz="0" w:space="0" w:color="auto"/>
                                <w:bottom w:val="single" w:sz="6" w:space="11" w:color="C7C7C7"/>
                                <w:right w:val="none" w:sz="0" w:space="0" w:color="auto"/>
                              </w:divBdr>
                            </w:div>
                            <w:div w:id="204655833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17072601">
              <w:marLeft w:val="0"/>
              <w:marRight w:val="0"/>
              <w:marTop w:val="0"/>
              <w:marBottom w:val="0"/>
              <w:divBdr>
                <w:top w:val="none" w:sz="0" w:space="0" w:color="auto"/>
                <w:left w:val="none" w:sz="0" w:space="0" w:color="auto"/>
                <w:bottom w:val="none" w:sz="0" w:space="0" w:color="auto"/>
                <w:right w:val="none" w:sz="0" w:space="0" w:color="auto"/>
              </w:divBdr>
              <w:divsChild>
                <w:div w:id="249971830">
                  <w:marLeft w:val="0"/>
                  <w:marRight w:val="0"/>
                  <w:marTop w:val="0"/>
                  <w:marBottom w:val="0"/>
                  <w:divBdr>
                    <w:top w:val="none" w:sz="0" w:space="0" w:color="auto"/>
                    <w:left w:val="none" w:sz="0" w:space="0" w:color="auto"/>
                    <w:bottom w:val="none" w:sz="0" w:space="0" w:color="auto"/>
                    <w:right w:val="none" w:sz="0" w:space="0" w:color="auto"/>
                  </w:divBdr>
                  <w:divsChild>
                    <w:div w:id="1978534108">
                      <w:marLeft w:val="0"/>
                      <w:marRight w:val="0"/>
                      <w:marTop w:val="0"/>
                      <w:marBottom w:val="0"/>
                      <w:divBdr>
                        <w:top w:val="none" w:sz="0" w:space="0" w:color="auto"/>
                        <w:left w:val="none" w:sz="0" w:space="0" w:color="auto"/>
                        <w:bottom w:val="none" w:sz="0" w:space="0" w:color="auto"/>
                        <w:right w:val="none" w:sz="0" w:space="0" w:color="auto"/>
                      </w:divBdr>
                    </w:div>
                  </w:divsChild>
                </w:div>
                <w:div w:id="260455708">
                  <w:marLeft w:val="0"/>
                  <w:marRight w:val="0"/>
                  <w:marTop w:val="150"/>
                  <w:marBottom w:val="0"/>
                  <w:divBdr>
                    <w:top w:val="none" w:sz="0" w:space="0" w:color="auto"/>
                    <w:left w:val="none" w:sz="0" w:space="0" w:color="auto"/>
                    <w:bottom w:val="none" w:sz="0" w:space="0" w:color="auto"/>
                    <w:right w:val="none" w:sz="0" w:space="0" w:color="auto"/>
                  </w:divBdr>
                  <w:divsChild>
                    <w:div w:id="586234978">
                      <w:marLeft w:val="0"/>
                      <w:marRight w:val="0"/>
                      <w:marTop w:val="0"/>
                      <w:marBottom w:val="0"/>
                      <w:divBdr>
                        <w:top w:val="none" w:sz="0" w:space="0" w:color="auto"/>
                        <w:left w:val="none" w:sz="0" w:space="0" w:color="auto"/>
                        <w:bottom w:val="none" w:sz="0" w:space="0" w:color="auto"/>
                        <w:right w:val="none" w:sz="0" w:space="0" w:color="auto"/>
                      </w:divBdr>
                      <w:divsChild>
                        <w:div w:id="101222587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198442">
      <w:bodyDiv w:val="1"/>
      <w:marLeft w:val="0"/>
      <w:marRight w:val="0"/>
      <w:marTop w:val="0"/>
      <w:marBottom w:val="0"/>
      <w:divBdr>
        <w:top w:val="none" w:sz="0" w:space="0" w:color="auto"/>
        <w:left w:val="none" w:sz="0" w:space="0" w:color="auto"/>
        <w:bottom w:val="none" w:sz="0" w:space="0" w:color="auto"/>
        <w:right w:val="none" w:sz="0" w:space="0" w:color="auto"/>
      </w:divBdr>
      <w:divsChild>
        <w:div w:id="3560445">
          <w:marLeft w:val="0"/>
          <w:marRight w:val="0"/>
          <w:marTop w:val="0"/>
          <w:marBottom w:val="0"/>
          <w:divBdr>
            <w:top w:val="none" w:sz="0" w:space="0" w:color="auto"/>
            <w:left w:val="none" w:sz="0" w:space="0" w:color="auto"/>
            <w:bottom w:val="none" w:sz="0" w:space="0" w:color="auto"/>
            <w:right w:val="none" w:sz="0" w:space="0" w:color="auto"/>
          </w:divBdr>
          <w:divsChild>
            <w:div w:id="5387865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56272584">
      <w:bodyDiv w:val="1"/>
      <w:marLeft w:val="0"/>
      <w:marRight w:val="0"/>
      <w:marTop w:val="0"/>
      <w:marBottom w:val="0"/>
      <w:divBdr>
        <w:top w:val="none" w:sz="0" w:space="0" w:color="auto"/>
        <w:left w:val="none" w:sz="0" w:space="0" w:color="auto"/>
        <w:bottom w:val="none" w:sz="0" w:space="0" w:color="auto"/>
        <w:right w:val="none" w:sz="0" w:space="0" w:color="auto"/>
      </w:divBdr>
    </w:div>
    <w:div w:id="1056397460">
      <w:bodyDiv w:val="1"/>
      <w:marLeft w:val="0"/>
      <w:marRight w:val="0"/>
      <w:marTop w:val="0"/>
      <w:marBottom w:val="0"/>
      <w:divBdr>
        <w:top w:val="none" w:sz="0" w:space="0" w:color="auto"/>
        <w:left w:val="none" w:sz="0" w:space="0" w:color="auto"/>
        <w:bottom w:val="none" w:sz="0" w:space="0" w:color="auto"/>
        <w:right w:val="none" w:sz="0" w:space="0" w:color="auto"/>
      </w:divBdr>
      <w:divsChild>
        <w:div w:id="413087639">
          <w:marLeft w:val="0"/>
          <w:marRight w:val="0"/>
          <w:marTop w:val="0"/>
          <w:marBottom w:val="0"/>
          <w:divBdr>
            <w:top w:val="none" w:sz="0" w:space="0" w:color="auto"/>
            <w:left w:val="none" w:sz="0" w:space="0" w:color="auto"/>
            <w:bottom w:val="none" w:sz="0" w:space="0" w:color="auto"/>
            <w:right w:val="none" w:sz="0" w:space="0" w:color="auto"/>
          </w:divBdr>
          <w:divsChild>
            <w:div w:id="1672445484">
              <w:marLeft w:val="0"/>
              <w:marRight w:val="0"/>
              <w:marTop w:val="0"/>
              <w:marBottom w:val="0"/>
              <w:divBdr>
                <w:top w:val="none" w:sz="0" w:space="0" w:color="auto"/>
                <w:left w:val="none" w:sz="0" w:space="0" w:color="auto"/>
                <w:bottom w:val="none" w:sz="0" w:space="0" w:color="auto"/>
                <w:right w:val="none" w:sz="0" w:space="0" w:color="auto"/>
              </w:divBdr>
            </w:div>
          </w:divsChild>
        </w:div>
        <w:div w:id="847864071">
          <w:marLeft w:val="0"/>
          <w:marRight w:val="0"/>
          <w:marTop w:val="0"/>
          <w:marBottom w:val="150"/>
          <w:divBdr>
            <w:top w:val="none" w:sz="0" w:space="0" w:color="auto"/>
            <w:left w:val="none" w:sz="0" w:space="0" w:color="auto"/>
            <w:bottom w:val="none" w:sz="0" w:space="0" w:color="auto"/>
            <w:right w:val="none" w:sz="0" w:space="0" w:color="auto"/>
          </w:divBdr>
        </w:div>
        <w:div w:id="1254586538">
          <w:marLeft w:val="0"/>
          <w:marRight w:val="0"/>
          <w:marTop w:val="0"/>
          <w:marBottom w:val="150"/>
          <w:divBdr>
            <w:top w:val="none" w:sz="0" w:space="0" w:color="auto"/>
            <w:left w:val="none" w:sz="0" w:space="0" w:color="auto"/>
            <w:bottom w:val="none" w:sz="0" w:space="0" w:color="auto"/>
            <w:right w:val="none" w:sz="0" w:space="0" w:color="auto"/>
          </w:divBdr>
          <w:divsChild>
            <w:div w:id="110699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663162">
      <w:bodyDiv w:val="1"/>
      <w:marLeft w:val="0"/>
      <w:marRight w:val="0"/>
      <w:marTop w:val="0"/>
      <w:marBottom w:val="0"/>
      <w:divBdr>
        <w:top w:val="none" w:sz="0" w:space="0" w:color="auto"/>
        <w:left w:val="none" w:sz="0" w:space="0" w:color="auto"/>
        <w:bottom w:val="none" w:sz="0" w:space="0" w:color="auto"/>
        <w:right w:val="none" w:sz="0" w:space="0" w:color="auto"/>
      </w:divBdr>
    </w:div>
    <w:div w:id="1056780005">
      <w:bodyDiv w:val="1"/>
      <w:marLeft w:val="0"/>
      <w:marRight w:val="0"/>
      <w:marTop w:val="0"/>
      <w:marBottom w:val="0"/>
      <w:divBdr>
        <w:top w:val="none" w:sz="0" w:space="0" w:color="auto"/>
        <w:left w:val="none" w:sz="0" w:space="0" w:color="auto"/>
        <w:bottom w:val="none" w:sz="0" w:space="0" w:color="auto"/>
        <w:right w:val="none" w:sz="0" w:space="0" w:color="auto"/>
      </w:divBdr>
    </w:div>
    <w:div w:id="1057243970">
      <w:bodyDiv w:val="1"/>
      <w:marLeft w:val="0"/>
      <w:marRight w:val="0"/>
      <w:marTop w:val="0"/>
      <w:marBottom w:val="0"/>
      <w:divBdr>
        <w:top w:val="none" w:sz="0" w:space="0" w:color="auto"/>
        <w:left w:val="none" w:sz="0" w:space="0" w:color="auto"/>
        <w:bottom w:val="none" w:sz="0" w:space="0" w:color="auto"/>
        <w:right w:val="none" w:sz="0" w:space="0" w:color="auto"/>
      </w:divBdr>
      <w:divsChild>
        <w:div w:id="61951253">
          <w:marLeft w:val="0"/>
          <w:marRight w:val="0"/>
          <w:marTop w:val="0"/>
          <w:marBottom w:val="0"/>
          <w:divBdr>
            <w:top w:val="none" w:sz="0" w:space="0" w:color="auto"/>
            <w:left w:val="none" w:sz="0" w:space="0" w:color="auto"/>
            <w:bottom w:val="dotted" w:sz="6" w:space="4" w:color="DDDDDD"/>
            <w:right w:val="none" w:sz="0" w:space="0" w:color="auto"/>
          </w:divBdr>
        </w:div>
      </w:divsChild>
    </w:div>
    <w:div w:id="1057316756">
      <w:bodyDiv w:val="1"/>
      <w:marLeft w:val="0"/>
      <w:marRight w:val="0"/>
      <w:marTop w:val="0"/>
      <w:marBottom w:val="0"/>
      <w:divBdr>
        <w:top w:val="none" w:sz="0" w:space="0" w:color="auto"/>
        <w:left w:val="none" w:sz="0" w:space="0" w:color="auto"/>
        <w:bottom w:val="none" w:sz="0" w:space="0" w:color="auto"/>
        <w:right w:val="none" w:sz="0" w:space="0" w:color="auto"/>
      </w:divBdr>
      <w:divsChild>
        <w:div w:id="61030314">
          <w:marLeft w:val="0"/>
          <w:marRight w:val="0"/>
          <w:marTop w:val="0"/>
          <w:marBottom w:val="150"/>
          <w:divBdr>
            <w:top w:val="none" w:sz="0" w:space="0" w:color="auto"/>
            <w:left w:val="none" w:sz="0" w:space="0" w:color="auto"/>
            <w:bottom w:val="none" w:sz="0" w:space="0" w:color="auto"/>
            <w:right w:val="none" w:sz="0" w:space="0" w:color="auto"/>
          </w:divBdr>
        </w:div>
        <w:div w:id="100876367">
          <w:marLeft w:val="0"/>
          <w:marRight w:val="0"/>
          <w:marTop w:val="0"/>
          <w:marBottom w:val="0"/>
          <w:divBdr>
            <w:top w:val="none" w:sz="0" w:space="0" w:color="auto"/>
            <w:left w:val="none" w:sz="0" w:space="0" w:color="auto"/>
            <w:bottom w:val="none" w:sz="0" w:space="0" w:color="auto"/>
            <w:right w:val="none" w:sz="0" w:space="0" w:color="auto"/>
          </w:divBdr>
          <w:divsChild>
            <w:div w:id="409497941">
              <w:marLeft w:val="0"/>
              <w:marRight w:val="0"/>
              <w:marTop w:val="225"/>
              <w:marBottom w:val="225"/>
              <w:divBdr>
                <w:top w:val="none" w:sz="0" w:space="0" w:color="auto"/>
                <w:left w:val="none" w:sz="0" w:space="0" w:color="auto"/>
                <w:bottom w:val="none" w:sz="0" w:space="0" w:color="auto"/>
                <w:right w:val="none" w:sz="0" w:space="0" w:color="auto"/>
              </w:divBdr>
            </w:div>
          </w:divsChild>
        </w:div>
        <w:div w:id="1340429485">
          <w:marLeft w:val="0"/>
          <w:marRight w:val="0"/>
          <w:marTop w:val="0"/>
          <w:marBottom w:val="150"/>
          <w:divBdr>
            <w:top w:val="none" w:sz="0" w:space="0" w:color="auto"/>
            <w:left w:val="none" w:sz="0" w:space="0" w:color="auto"/>
            <w:bottom w:val="none" w:sz="0" w:space="0" w:color="auto"/>
            <w:right w:val="none" w:sz="0" w:space="0" w:color="auto"/>
          </w:divBdr>
          <w:divsChild>
            <w:div w:id="470252284">
              <w:marLeft w:val="0"/>
              <w:marRight w:val="0"/>
              <w:marTop w:val="0"/>
              <w:marBottom w:val="0"/>
              <w:divBdr>
                <w:top w:val="none" w:sz="0" w:space="0" w:color="auto"/>
                <w:left w:val="none" w:sz="0" w:space="0" w:color="auto"/>
                <w:bottom w:val="none" w:sz="0" w:space="0" w:color="auto"/>
                <w:right w:val="none" w:sz="0" w:space="0" w:color="auto"/>
              </w:divBdr>
              <w:divsChild>
                <w:div w:id="1893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510136">
      <w:bodyDiv w:val="1"/>
      <w:marLeft w:val="0"/>
      <w:marRight w:val="0"/>
      <w:marTop w:val="0"/>
      <w:marBottom w:val="0"/>
      <w:divBdr>
        <w:top w:val="none" w:sz="0" w:space="0" w:color="auto"/>
        <w:left w:val="none" w:sz="0" w:space="0" w:color="auto"/>
        <w:bottom w:val="none" w:sz="0" w:space="0" w:color="auto"/>
        <w:right w:val="none" w:sz="0" w:space="0" w:color="auto"/>
      </w:divBdr>
      <w:divsChild>
        <w:div w:id="886794035">
          <w:marLeft w:val="0"/>
          <w:marRight w:val="0"/>
          <w:marTop w:val="0"/>
          <w:marBottom w:val="0"/>
          <w:divBdr>
            <w:top w:val="none" w:sz="0" w:space="0" w:color="auto"/>
            <w:left w:val="none" w:sz="0" w:space="0" w:color="auto"/>
            <w:bottom w:val="dotted" w:sz="6" w:space="4" w:color="DDDDDD"/>
            <w:right w:val="none" w:sz="0" w:space="0" w:color="auto"/>
          </w:divBdr>
        </w:div>
      </w:divsChild>
    </w:div>
    <w:div w:id="1057554702">
      <w:bodyDiv w:val="1"/>
      <w:marLeft w:val="0"/>
      <w:marRight w:val="0"/>
      <w:marTop w:val="0"/>
      <w:marBottom w:val="0"/>
      <w:divBdr>
        <w:top w:val="none" w:sz="0" w:space="0" w:color="auto"/>
        <w:left w:val="none" w:sz="0" w:space="0" w:color="auto"/>
        <w:bottom w:val="none" w:sz="0" w:space="0" w:color="auto"/>
        <w:right w:val="none" w:sz="0" w:space="0" w:color="auto"/>
      </w:divBdr>
      <w:divsChild>
        <w:div w:id="1013730013">
          <w:marLeft w:val="0"/>
          <w:marRight w:val="0"/>
          <w:marTop w:val="0"/>
          <w:marBottom w:val="150"/>
          <w:divBdr>
            <w:top w:val="none" w:sz="0" w:space="0" w:color="auto"/>
            <w:left w:val="none" w:sz="0" w:space="0" w:color="auto"/>
            <w:bottom w:val="none" w:sz="0" w:space="0" w:color="auto"/>
            <w:right w:val="none" w:sz="0" w:space="0" w:color="auto"/>
          </w:divBdr>
          <w:divsChild>
            <w:div w:id="386609063">
              <w:marLeft w:val="0"/>
              <w:marRight w:val="0"/>
              <w:marTop w:val="0"/>
              <w:marBottom w:val="0"/>
              <w:divBdr>
                <w:top w:val="none" w:sz="0" w:space="0" w:color="auto"/>
                <w:left w:val="none" w:sz="0" w:space="0" w:color="auto"/>
                <w:bottom w:val="none" w:sz="0" w:space="0" w:color="auto"/>
                <w:right w:val="none" w:sz="0" w:space="0" w:color="auto"/>
              </w:divBdr>
              <w:divsChild>
                <w:div w:id="384571878">
                  <w:marLeft w:val="0"/>
                  <w:marRight w:val="0"/>
                  <w:marTop w:val="0"/>
                  <w:marBottom w:val="0"/>
                  <w:divBdr>
                    <w:top w:val="none" w:sz="0" w:space="0" w:color="auto"/>
                    <w:left w:val="none" w:sz="0" w:space="0" w:color="auto"/>
                    <w:bottom w:val="none" w:sz="0" w:space="0" w:color="auto"/>
                    <w:right w:val="none" w:sz="0" w:space="0" w:color="auto"/>
                  </w:divBdr>
                  <w:divsChild>
                    <w:div w:id="1102267067">
                      <w:marLeft w:val="0"/>
                      <w:marRight w:val="150"/>
                      <w:marTop w:val="0"/>
                      <w:marBottom w:val="0"/>
                      <w:divBdr>
                        <w:top w:val="none" w:sz="0" w:space="0" w:color="auto"/>
                        <w:left w:val="none" w:sz="0" w:space="0" w:color="auto"/>
                        <w:bottom w:val="none" w:sz="0" w:space="0" w:color="auto"/>
                        <w:right w:val="none" w:sz="0" w:space="0" w:color="auto"/>
                      </w:divBdr>
                      <w:divsChild>
                        <w:div w:id="179116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733893">
          <w:marLeft w:val="0"/>
          <w:marRight w:val="0"/>
          <w:marTop w:val="0"/>
          <w:marBottom w:val="150"/>
          <w:divBdr>
            <w:top w:val="none" w:sz="0" w:space="0" w:color="auto"/>
            <w:left w:val="none" w:sz="0" w:space="0" w:color="auto"/>
            <w:bottom w:val="none" w:sz="0" w:space="0" w:color="auto"/>
            <w:right w:val="none" w:sz="0" w:space="0" w:color="auto"/>
          </w:divBdr>
        </w:div>
        <w:div w:id="617836950">
          <w:marLeft w:val="0"/>
          <w:marRight w:val="0"/>
          <w:marTop w:val="0"/>
          <w:marBottom w:val="0"/>
          <w:divBdr>
            <w:top w:val="none" w:sz="0" w:space="0" w:color="auto"/>
            <w:left w:val="none" w:sz="0" w:space="0" w:color="auto"/>
            <w:bottom w:val="none" w:sz="0" w:space="0" w:color="auto"/>
            <w:right w:val="none" w:sz="0" w:space="0" w:color="auto"/>
          </w:divBdr>
          <w:divsChild>
            <w:div w:id="14442324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57701883">
      <w:bodyDiv w:val="1"/>
      <w:marLeft w:val="0"/>
      <w:marRight w:val="0"/>
      <w:marTop w:val="0"/>
      <w:marBottom w:val="0"/>
      <w:divBdr>
        <w:top w:val="none" w:sz="0" w:space="0" w:color="auto"/>
        <w:left w:val="none" w:sz="0" w:space="0" w:color="auto"/>
        <w:bottom w:val="none" w:sz="0" w:space="0" w:color="auto"/>
        <w:right w:val="none" w:sz="0" w:space="0" w:color="auto"/>
      </w:divBdr>
      <w:divsChild>
        <w:div w:id="926768510">
          <w:marLeft w:val="0"/>
          <w:marRight w:val="0"/>
          <w:marTop w:val="0"/>
          <w:marBottom w:val="0"/>
          <w:divBdr>
            <w:top w:val="none" w:sz="0" w:space="0" w:color="auto"/>
            <w:left w:val="none" w:sz="0" w:space="0" w:color="auto"/>
            <w:bottom w:val="none" w:sz="0" w:space="0" w:color="auto"/>
            <w:right w:val="none" w:sz="0" w:space="0" w:color="auto"/>
          </w:divBdr>
          <w:divsChild>
            <w:div w:id="171453504">
              <w:marLeft w:val="0"/>
              <w:marRight w:val="0"/>
              <w:marTop w:val="0"/>
              <w:marBottom w:val="0"/>
              <w:divBdr>
                <w:top w:val="none" w:sz="0" w:space="0" w:color="auto"/>
                <w:left w:val="none" w:sz="0" w:space="0" w:color="auto"/>
                <w:bottom w:val="none" w:sz="0" w:space="0" w:color="auto"/>
                <w:right w:val="none" w:sz="0" w:space="0" w:color="auto"/>
              </w:divBdr>
              <w:divsChild>
                <w:div w:id="1344672963">
                  <w:marLeft w:val="0"/>
                  <w:marRight w:val="0"/>
                  <w:marTop w:val="0"/>
                  <w:marBottom w:val="0"/>
                  <w:divBdr>
                    <w:top w:val="none" w:sz="0" w:space="0" w:color="auto"/>
                    <w:left w:val="none" w:sz="0" w:space="0" w:color="auto"/>
                    <w:bottom w:val="none" w:sz="0" w:space="0" w:color="auto"/>
                    <w:right w:val="none" w:sz="0" w:space="0" w:color="auto"/>
                  </w:divBdr>
                  <w:divsChild>
                    <w:div w:id="1599369039">
                      <w:marLeft w:val="0"/>
                      <w:marRight w:val="0"/>
                      <w:marTop w:val="0"/>
                      <w:marBottom w:val="0"/>
                      <w:divBdr>
                        <w:top w:val="none" w:sz="0" w:space="0" w:color="auto"/>
                        <w:left w:val="none" w:sz="0" w:space="0" w:color="auto"/>
                        <w:bottom w:val="none" w:sz="0" w:space="0" w:color="auto"/>
                        <w:right w:val="none" w:sz="0" w:space="0" w:color="auto"/>
                      </w:divBdr>
                      <w:divsChild>
                        <w:div w:id="1964654399">
                          <w:marLeft w:val="0"/>
                          <w:marRight w:val="0"/>
                          <w:marTop w:val="0"/>
                          <w:marBottom w:val="0"/>
                          <w:divBdr>
                            <w:top w:val="none" w:sz="0" w:space="0" w:color="auto"/>
                            <w:left w:val="none" w:sz="0" w:space="0" w:color="auto"/>
                            <w:bottom w:val="none" w:sz="0" w:space="0" w:color="auto"/>
                            <w:right w:val="none" w:sz="0" w:space="0" w:color="auto"/>
                          </w:divBdr>
                          <w:divsChild>
                            <w:div w:id="17275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896505">
      <w:bodyDiv w:val="1"/>
      <w:marLeft w:val="0"/>
      <w:marRight w:val="0"/>
      <w:marTop w:val="0"/>
      <w:marBottom w:val="0"/>
      <w:divBdr>
        <w:top w:val="none" w:sz="0" w:space="0" w:color="auto"/>
        <w:left w:val="none" w:sz="0" w:space="0" w:color="auto"/>
        <w:bottom w:val="none" w:sz="0" w:space="0" w:color="auto"/>
        <w:right w:val="none" w:sz="0" w:space="0" w:color="auto"/>
      </w:divBdr>
      <w:divsChild>
        <w:div w:id="1349715790">
          <w:marLeft w:val="0"/>
          <w:marRight w:val="0"/>
          <w:marTop w:val="0"/>
          <w:marBottom w:val="0"/>
          <w:divBdr>
            <w:top w:val="none" w:sz="0" w:space="0" w:color="auto"/>
            <w:left w:val="none" w:sz="0" w:space="0" w:color="auto"/>
            <w:bottom w:val="none" w:sz="0" w:space="0" w:color="auto"/>
            <w:right w:val="none" w:sz="0" w:space="0" w:color="auto"/>
          </w:divBdr>
          <w:divsChild>
            <w:div w:id="1806772626">
              <w:marLeft w:val="0"/>
              <w:marRight w:val="0"/>
              <w:marTop w:val="0"/>
              <w:marBottom w:val="0"/>
              <w:divBdr>
                <w:top w:val="none" w:sz="0" w:space="0" w:color="auto"/>
                <w:left w:val="none" w:sz="0" w:space="0" w:color="auto"/>
                <w:bottom w:val="none" w:sz="0" w:space="0" w:color="auto"/>
                <w:right w:val="none" w:sz="0" w:space="0" w:color="auto"/>
              </w:divBdr>
              <w:divsChild>
                <w:div w:id="108012012">
                  <w:marLeft w:val="0"/>
                  <w:marRight w:val="0"/>
                  <w:marTop w:val="0"/>
                  <w:marBottom w:val="0"/>
                  <w:divBdr>
                    <w:top w:val="none" w:sz="0" w:space="0" w:color="auto"/>
                    <w:left w:val="none" w:sz="0" w:space="0" w:color="auto"/>
                    <w:bottom w:val="none" w:sz="0" w:space="0" w:color="auto"/>
                    <w:right w:val="none" w:sz="0" w:space="0" w:color="auto"/>
                  </w:divBdr>
                  <w:divsChild>
                    <w:div w:id="438304871">
                      <w:marLeft w:val="0"/>
                      <w:marRight w:val="0"/>
                      <w:marTop w:val="0"/>
                      <w:marBottom w:val="0"/>
                      <w:divBdr>
                        <w:top w:val="none" w:sz="0" w:space="0" w:color="auto"/>
                        <w:left w:val="none" w:sz="0" w:space="0" w:color="auto"/>
                        <w:bottom w:val="none" w:sz="0" w:space="0" w:color="auto"/>
                        <w:right w:val="none" w:sz="0" w:space="0" w:color="auto"/>
                      </w:divBdr>
                      <w:divsChild>
                        <w:div w:id="554705589">
                          <w:marLeft w:val="0"/>
                          <w:marRight w:val="0"/>
                          <w:marTop w:val="0"/>
                          <w:marBottom w:val="0"/>
                          <w:divBdr>
                            <w:top w:val="none" w:sz="0" w:space="0" w:color="auto"/>
                            <w:left w:val="none" w:sz="0" w:space="0" w:color="auto"/>
                            <w:bottom w:val="none" w:sz="0" w:space="0" w:color="auto"/>
                            <w:right w:val="none" w:sz="0" w:space="0" w:color="auto"/>
                          </w:divBdr>
                          <w:divsChild>
                            <w:div w:id="1164515581">
                              <w:marLeft w:val="0"/>
                              <w:marRight w:val="0"/>
                              <w:marTop w:val="0"/>
                              <w:marBottom w:val="0"/>
                              <w:divBdr>
                                <w:top w:val="none" w:sz="0" w:space="0" w:color="auto"/>
                                <w:left w:val="none" w:sz="0" w:space="0" w:color="auto"/>
                                <w:bottom w:val="none" w:sz="0" w:space="0" w:color="auto"/>
                                <w:right w:val="none" w:sz="0" w:space="0" w:color="auto"/>
                              </w:divBdr>
                              <w:divsChild>
                                <w:div w:id="1098520920">
                                  <w:marLeft w:val="0"/>
                                  <w:marRight w:val="0"/>
                                  <w:marTop w:val="0"/>
                                  <w:marBottom w:val="0"/>
                                  <w:divBdr>
                                    <w:top w:val="none" w:sz="0" w:space="0" w:color="auto"/>
                                    <w:left w:val="none" w:sz="0" w:space="0" w:color="auto"/>
                                    <w:bottom w:val="none" w:sz="0" w:space="0" w:color="auto"/>
                                    <w:right w:val="none" w:sz="0" w:space="0" w:color="auto"/>
                                  </w:divBdr>
                                  <w:divsChild>
                                    <w:div w:id="97329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8362905">
      <w:bodyDiv w:val="1"/>
      <w:marLeft w:val="0"/>
      <w:marRight w:val="0"/>
      <w:marTop w:val="0"/>
      <w:marBottom w:val="0"/>
      <w:divBdr>
        <w:top w:val="none" w:sz="0" w:space="0" w:color="auto"/>
        <w:left w:val="none" w:sz="0" w:space="0" w:color="auto"/>
        <w:bottom w:val="none" w:sz="0" w:space="0" w:color="auto"/>
        <w:right w:val="none" w:sz="0" w:space="0" w:color="auto"/>
      </w:divBdr>
      <w:divsChild>
        <w:div w:id="1192111774">
          <w:marLeft w:val="0"/>
          <w:marRight w:val="0"/>
          <w:marTop w:val="0"/>
          <w:marBottom w:val="150"/>
          <w:divBdr>
            <w:top w:val="none" w:sz="0" w:space="0" w:color="auto"/>
            <w:left w:val="none" w:sz="0" w:space="0" w:color="auto"/>
            <w:bottom w:val="none" w:sz="0" w:space="0" w:color="auto"/>
            <w:right w:val="none" w:sz="0" w:space="0" w:color="auto"/>
          </w:divBdr>
          <w:divsChild>
            <w:div w:id="252399623">
              <w:marLeft w:val="0"/>
              <w:marRight w:val="0"/>
              <w:marTop w:val="0"/>
              <w:marBottom w:val="0"/>
              <w:divBdr>
                <w:top w:val="none" w:sz="0" w:space="0" w:color="auto"/>
                <w:left w:val="none" w:sz="0" w:space="0" w:color="auto"/>
                <w:bottom w:val="none" w:sz="0" w:space="0" w:color="auto"/>
                <w:right w:val="none" w:sz="0" w:space="0" w:color="auto"/>
              </w:divBdr>
            </w:div>
          </w:divsChild>
        </w:div>
        <w:div w:id="1271814245">
          <w:marLeft w:val="0"/>
          <w:marRight w:val="0"/>
          <w:marTop w:val="0"/>
          <w:marBottom w:val="0"/>
          <w:divBdr>
            <w:top w:val="none" w:sz="0" w:space="0" w:color="auto"/>
            <w:left w:val="none" w:sz="0" w:space="0" w:color="auto"/>
            <w:bottom w:val="none" w:sz="0" w:space="0" w:color="auto"/>
            <w:right w:val="none" w:sz="0" w:space="0" w:color="auto"/>
          </w:divBdr>
          <w:divsChild>
            <w:div w:id="1419058243">
              <w:marLeft w:val="0"/>
              <w:marRight w:val="0"/>
              <w:marTop w:val="0"/>
              <w:marBottom w:val="0"/>
              <w:divBdr>
                <w:top w:val="none" w:sz="0" w:space="0" w:color="auto"/>
                <w:left w:val="none" w:sz="0" w:space="0" w:color="auto"/>
                <w:bottom w:val="none" w:sz="0" w:space="0" w:color="auto"/>
                <w:right w:val="none" w:sz="0" w:space="0" w:color="auto"/>
              </w:divBdr>
            </w:div>
          </w:divsChild>
        </w:div>
        <w:div w:id="1952348760">
          <w:marLeft w:val="0"/>
          <w:marRight w:val="0"/>
          <w:marTop w:val="0"/>
          <w:marBottom w:val="150"/>
          <w:divBdr>
            <w:top w:val="none" w:sz="0" w:space="0" w:color="auto"/>
            <w:left w:val="none" w:sz="0" w:space="0" w:color="auto"/>
            <w:bottom w:val="none" w:sz="0" w:space="0" w:color="auto"/>
            <w:right w:val="none" w:sz="0" w:space="0" w:color="auto"/>
          </w:divBdr>
        </w:div>
      </w:divsChild>
    </w:div>
    <w:div w:id="1058894198">
      <w:bodyDiv w:val="1"/>
      <w:marLeft w:val="0"/>
      <w:marRight w:val="0"/>
      <w:marTop w:val="0"/>
      <w:marBottom w:val="0"/>
      <w:divBdr>
        <w:top w:val="none" w:sz="0" w:space="0" w:color="auto"/>
        <w:left w:val="none" w:sz="0" w:space="0" w:color="auto"/>
        <w:bottom w:val="none" w:sz="0" w:space="0" w:color="auto"/>
        <w:right w:val="none" w:sz="0" w:space="0" w:color="auto"/>
      </w:divBdr>
    </w:div>
    <w:div w:id="1059675124">
      <w:bodyDiv w:val="1"/>
      <w:marLeft w:val="0"/>
      <w:marRight w:val="0"/>
      <w:marTop w:val="0"/>
      <w:marBottom w:val="0"/>
      <w:divBdr>
        <w:top w:val="none" w:sz="0" w:space="0" w:color="auto"/>
        <w:left w:val="none" w:sz="0" w:space="0" w:color="auto"/>
        <w:bottom w:val="none" w:sz="0" w:space="0" w:color="auto"/>
        <w:right w:val="none" w:sz="0" w:space="0" w:color="auto"/>
      </w:divBdr>
    </w:div>
    <w:div w:id="1060903117">
      <w:bodyDiv w:val="1"/>
      <w:marLeft w:val="0"/>
      <w:marRight w:val="0"/>
      <w:marTop w:val="0"/>
      <w:marBottom w:val="0"/>
      <w:divBdr>
        <w:top w:val="none" w:sz="0" w:space="0" w:color="auto"/>
        <w:left w:val="none" w:sz="0" w:space="0" w:color="auto"/>
        <w:bottom w:val="none" w:sz="0" w:space="0" w:color="auto"/>
        <w:right w:val="none" w:sz="0" w:space="0" w:color="auto"/>
      </w:divBdr>
      <w:divsChild>
        <w:div w:id="294602428">
          <w:marLeft w:val="0"/>
          <w:marRight w:val="0"/>
          <w:marTop w:val="0"/>
          <w:marBottom w:val="450"/>
          <w:divBdr>
            <w:top w:val="none" w:sz="0" w:space="0" w:color="auto"/>
            <w:left w:val="none" w:sz="0" w:space="0" w:color="auto"/>
            <w:bottom w:val="single" w:sz="6" w:space="19" w:color="EEEEEE"/>
            <w:right w:val="none" w:sz="0" w:space="0" w:color="auto"/>
          </w:divBdr>
          <w:divsChild>
            <w:div w:id="1646545015">
              <w:marLeft w:val="0"/>
              <w:marRight w:val="0"/>
              <w:marTop w:val="0"/>
              <w:marBottom w:val="150"/>
              <w:divBdr>
                <w:top w:val="none" w:sz="0" w:space="0" w:color="auto"/>
                <w:left w:val="none" w:sz="0" w:space="0" w:color="auto"/>
                <w:bottom w:val="none" w:sz="0" w:space="0" w:color="auto"/>
                <w:right w:val="none" w:sz="0" w:space="0" w:color="auto"/>
              </w:divBdr>
              <w:divsChild>
                <w:div w:id="1758793208">
                  <w:marLeft w:val="0"/>
                  <w:marRight w:val="0"/>
                  <w:marTop w:val="0"/>
                  <w:marBottom w:val="0"/>
                  <w:divBdr>
                    <w:top w:val="none" w:sz="0" w:space="0" w:color="auto"/>
                    <w:left w:val="none" w:sz="0" w:space="0" w:color="auto"/>
                    <w:bottom w:val="none" w:sz="0" w:space="0" w:color="auto"/>
                    <w:right w:val="none" w:sz="0" w:space="0" w:color="auto"/>
                  </w:divBdr>
                </w:div>
              </w:divsChild>
            </w:div>
            <w:div w:id="206990898">
              <w:marLeft w:val="0"/>
              <w:marRight w:val="0"/>
              <w:marTop w:val="0"/>
              <w:marBottom w:val="0"/>
              <w:divBdr>
                <w:top w:val="none" w:sz="0" w:space="0" w:color="auto"/>
                <w:left w:val="none" w:sz="0" w:space="0" w:color="auto"/>
                <w:bottom w:val="none" w:sz="0" w:space="0" w:color="auto"/>
                <w:right w:val="none" w:sz="0" w:space="0" w:color="auto"/>
              </w:divBdr>
            </w:div>
          </w:divsChild>
        </w:div>
        <w:div w:id="1096173998">
          <w:marLeft w:val="0"/>
          <w:marRight w:val="0"/>
          <w:marTop w:val="0"/>
          <w:marBottom w:val="0"/>
          <w:divBdr>
            <w:top w:val="none" w:sz="0" w:space="0" w:color="auto"/>
            <w:left w:val="none" w:sz="0" w:space="0" w:color="auto"/>
            <w:bottom w:val="none" w:sz="0" w:space="0" w:color="auto"/>
            <w:right w:val="none" w:sz="0" w:space="0" w:color="auto"/>
          </w:divBdr>
          <w:divsChild>
            <w:div w:id="1612010130">
              <w:marLeft w:val="0"/>
              <w:marRight w:val="0"/>
              <w:marTop w:val="0"/>
              <w:marBottom w:val="0"/>
              <w:divBdr>
                <w:top w:val="none" w:sz="0" w:space="0" w:color="auto"/>
                <w:left w:val="none" w:sz="0" w:space="0" w:color="auto"/>
                <w:bottom w:val="none" w:sz="0" w:space="0" w:color="auto"/>
                <w:right w:val="none" w:sz="0" w:space="0" w:color="auto"/>
              </w:divBdr>
              <w:divsChild>
                <w:div w:id="110257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441516">
      <w:bodyDiv w:val="1"/>
      <w:marLeft w:val="0"/>
      <w:marRight w:val="0"/>
      <w:marTop w:val="0"/>
      <w:marBottom w:val="0"/>
      <w:divBdr>
        <w:top w:val="none" w:sz="0" w:space="0" w:color="auto"/>
        <w:left w:val="none" w:sz="0" w:space="0" w:color="auto"/>
        <w:bottom w:val="none" w:sz="0" w:space="0" w:color="auto"/>
        <w:right w:val="none" w:sz="0" w:space="0" w:color="auto"/>
      </w:divBdr>
      <w:divsChild>
        <w:div w:id="583495583">
          <w:marLeft w:val="0"/>
          <w:marRight w:val="0"/>
          <w:marTop w:val="0"/>
          <w:marBottom w:val="0"/>
          <w:divBdr>
            <w:top w:val="none" w:sz="0" w:space="0" w:color="auto"/>
            <w:left w:val="none" w:sz="0" w:space="0" w:color="auto"/>
            <w:bottom w:val="none" w:sz="0" w:space="0" w:color="auto"/>
            <w:right w:val="none" w:sz="0" w:space="0" w:color="auto"/>
          </w:divBdr>
        </w:div>
      </w:divsChild>
    </w:div>
    <w:div w:id="1061715060">
      <w:bodyDiv w:val="1"/>
      <w:marLeft w:val="0"/>
      <w:marRight w:val="0"/>
      <w:marTop w:val="0"/>
      <w:marBottom w:val="0"/>
      <w:divBdr>
        <w:top w:val="none" w:sz="0" w:space="0" w:color="auto"/>
        <w:left w:val="none" w:sz="0" w:space="0" w:color="auto"/>
        <w:bottom w:val="none" w:sz="0" w:space="0" w:color="auto"/>
        <w:right w:val="none" w:sz="0" w:space="0" w:color="auto"/>
      </w:divBdr>
      <w:divsChild>
        <w:div w:id="481430337">
          <w:marLeft w:val="0"/>
          <w:marRight w:val="0"/>
          <w:marTop w:val="0"/>
          <w:marBottom w:val="225"/>
          <w:divBdr>
            <w:top w:val="none" w:sz="0" w:space="0" w:color="auto"/>
            <w:left w:val="none" w:sz="0" w:space="0" w:color="auto"/>
            <w:bottom w:val="none" w:sz="0" w:space="0" w:color="auto"/>
            <w:right w:val="none" w:sz="0" w:space="0" w:color="auto"/>
          </w:divBdr>
        </w:div>
      </w:divsChild>
    </w:div>
    <w:div w:id="1061903653">
      <w:bodyDiv w:val="1"/>
      <w:marLeft w:val="0"/>
      <w:marRight w:val="0"/>
      <w:marTop w:val="0"/>
      <w:marBottom w:val="0"/>
      <w:divBdr>
        <w:top w:val="none" w:sz="0" w:space="0" w:color="auto"/>
        <w:left w:val="none" w:sz="0" w:space="0" w:color="auto"/>
        <w:bottom w:val="none" w:sz="0" w:space="0" w:color="auto"/>
        <w:right w:val="none" w:sz="0" w:space="0" w:color="auto"/>
      </w:divBdr>
      <w:divsChild>
        <w:div w:id="489948575">
          <w:marLeft w:val="0"/>
          <w:marRight w:val="0"/>
          <w:marTop w:val="0"/>
          <w:marBottom w:val="0"/>
          <w:divBdr>
            <w:top w:val="none" w:sz="0" w:space="0" w:color="auto"/>
            <w:left w:val="none" w:sz="0" w:space="0" w:color="auto"/>
            <w:bottom w:val="dotted" w:sz="6" w:space="4" w:color="DDDDDD"/>
            <w:right w:val="none" w:sz="0" w:space="0" w:color="auto"/>
          </w:divBdr>
        </w:div>
      </w:divsChild>
    </w:div>
    <w:div w:id="1061977128">
      <w:bodyDiv w:val="1"/>
      <w:marLeft w:val="0"/>
      <w:marRight w:val="0"/>
      <w:marTop w:val="0"/>
      <w:marBottom w:val="0"/>
      <w:divBdr>
        <w:top w:val="none" w:sz="0" w:space="0" w:color="auto"/>
        <w:left w:val="none" w:sz="0" w:space="0" w:color="auto"/>
        <w:bottom w:val="none" w:sz="0" w:space="0" w:color="auto"/>
        <w:right w:val="none" w:sz="0" w:space="0" w:color="auto"/>
      </w:divBdr>
      <w:divsChild>
        <w:div w:id="1264922357">
          <w:marLeft w:val="0"/>
          <w:marRight w:val="0"/>
          <w:marTop w:val="0"/>
          <w:marBottom w:val="150"/>
          <w:divBdr>
            <w:top w:val="none" w:sz="0" w:space="0" w:color="auto"/>
            <w:left w:val="none" w:sz="0" w:space="0" w:color="auto"/>
            <w:bottom w:val="none" w:sz="0" w:space="0" w:color="auto"/>
            <w:right w:val="none" w:sz="0" w:space="0" w:color="auto"/>
          </w:divBdr>
          <w:divsChild>
            <w:div w:id="10839609">
              <w:marLeft w:val="0"/>
              <w:marRight w:val="0"/>
              <w:marTop w:val="0"/>
              <w:marBottom w:val="0"/>
              <w:divBdr>
                <w:top w:val="none" w:sz="0" w:space="0" w:color="auto"/>
                <w:left w:val="none" w:sz="0" w:space="0" w:color="auto"/>
                <w:bottom w:val="none" w:sz="0" w:space="0" w:color="auto"/>
                <w:right w:val="none" w:sz="0" w:space="0" w:color="auto"/>
              </w:divBdr>
              <w:divsChild>
                <w:div w:id="1819686512">
                  <w:marLeft w:val="0"/>
                  <w:marRight w:val="0"/>
                  <w:marTop w:val="0"/>
                  <w:marBottom w:val="0"/>
                  <w:divBdr>
                    <w:top w:val="none" w:sz="0" w:space="0" w:color="auto"/>
                    <w:left w:val="none" w:sz="0" w:space="0" w:color="auto"/>
                    <w:bottom w:val="none" w:sz="0" w:space="0" w:color="auto"/>
                    <w:right w:val="none" w:sz="0" w:space="0" w:color="auto"/>
                  </w:divBdr>
                  <w:divsChild>
                    <w:div w:id="1580406098">
                      <w:marLeft w:val="0"/>
                      <w:marRight w:val="150"/>
                      <w:marTop w:val="0"/>
                      <w:marBottom w:val="0"/>
                      <w:divBdr>
                        <w:top w:val="none" w:sz="0" w:space="0" w:color="auto"/>
                        <w:left w:val="none" w:sz="0" w:space="0" w:color="auto"/>
                        <w:bottom w:val="none" w:sz="0" w:space="0" w:color="auto"/>
                        <w:right w:val="none" w:sz="0" w:space="0" w:color="auto"/>
                      </w:divBdr>
                      <w:divsChild>
                        <w:div w:id="34494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849802">
          <w:marLeft w:val="0"/>
          <w:marRight w:val="0"/>
          <w:marTop w:val="0"/>
          <w:marBottom w:val="150"/>
          <w:divBdr>
            <w:top w:val="none" w:sz="0" w:space="0" w:color="auto"/>
            <w:left w:val="none" w:sz="0" w:space="0" w:color="auto"/>
            <w:bottom w:val="none" w:sz="0" w:space="0" w:color="auto"/>
            <w:right w:val="none" w:sz="0" w:space="0" w:color="auto"/>
          </w:divBdr>
        </w:div>
        <w:div w:id="2005818890">
          <w:marLeft w:val="0"/>
          <w:marRight w:val="0"/>
          <w:marTop w:val="0"/>
          <w:marBottom w:val="0"/>
          <w:divBdr>
            <w:top w:val="none" w:sz="0" w:space="0" w:color="auto"/>
            <w:left w:val="none" w:sz="0" w:space="0" w:color="auto"/>
            <w:bottom w:val="none" w:sz="0" w:space="0" w:color="auto"/>
            <w:right w:val="none" w:sz="0" w:space="0" w:color="auto"/>
          </w:divBdr>
          <w:divsChild>
            <w:div w:id="49742174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62094272">
      <w:bodyDiv w:val="1"/>
      <w:marLeft w:val="0"/>
      <w:marRight w:val="0"/>
      <w:marTop w:val="0"/>
      <w:marBottom w:val="0"/>
      <w:divBdr>
        <w:top w:val="none" w:sz="0" w:space="0" w:color="auto"/>
        <w:left w:val="none" w:sz="0" w:space="0" w:color="auto"/>
        <w:bottom w:val="none" w:sz="0" w:space="0" w:color="auto"/>
        <w:right w:val="none" w:sz="0" w:space="0" w:color="auto"/>
      </w:divBdr>
      <w:divsChild>
        <w:div w:id="2057390997">
          <w:marLeft w:val="0"/>
          <w:marRight w:val="0"/>
          <w:marTop w:val="0"/>
          <w:marBottom w:val="0"/>
          <w:divBdr>
            <w:top w:val="none" w:sz="0" w:space="0" w:color="auto"/>
            <w:left w:val="none" w:sz="0" w:space="0" w:color="auto"/>
            <w:bottom w:val="none" w:sz="0" w:space="0" w:color="auto"/>
            <w:right w:val="none" w:sz="0" w:space="0" w:color="auto"/>
          </w:divBdr>
          <w:divsChild>
            <w:div w:id="1698118820">
              <w:marLeft w:val="0"/>
              <w:marRight w:val="0"/>
              <w:marTop w:val="0"/>
              <w:marBottom w:val="0"/>
              <w:divBdr>
                <w:top w:val="none" w:sz="0" w:space="0" w:color="auto"/>
                <w:left w:val="none" w:sz="0" w:space="0" w:color="auto"/>
                <w:bottom w:val="none" w:sz="0" w:space="0" w:color="auto"/>
                <w:right w:val="none" w:sz="0" w:space="0" w:color="auto"/>
              </w:divBdr>
              <w:divsChild>
                <w:div w:id="821042838">
                  <w:marLeft w:val="0"/>
                  <w:marRight w:val="0"/>
                  <w:marTop w:val="0"/>
                  <w:marBottom w:val="0"/>
                  <w:divBdr>
                    <w:top w:val="none" w:sz="0" w:space="0" w:color="auto"/>
                    <w:left w:val="none" w:sz="0" w:space="0" w:color="auto"/>
                    <w:bottom w:val="none" w:sz="0" w:space="0" w:color="auto"/>
                    <w:right w:val="none" w:sz="0" w:space="0" w:color="auto"/>
                  </w:divBdr>
                  <w:divsChild>
                    <w:div w:id="1283999120">
                      <w:marLeft w:val="0"/>
                      <w:marRight w:val="0"/>
                      <w:marTop w:val="0"/>
                      <w:marBottom w:val="0"/>
                      <w:divBdr>
                        <w:top w:val="none" w:sz="0" w:space="0" w:color="auto"/>
                        <w:left w:val="none" w:sz="0" w:space="0" w:color="auto"/>
                        <w:bottom w:val="none" w:sz="0" w:space="0" w:color="auto"/>
                        <w:right w:val="none" w:sz="0" w:space="0" w:color="auto"/>
                      </w:divBdr>
                      <w:divsChild>
                        <w:div w:id="143208059">
                          <w:marLeft w:val="0"/>
                          <w:marRight w:val="0"/>
                          <w:marTop w:val="0"/>
                          <w:marBottom w:val="0"/>
                          <w:divBdr>
                            <w:top w:val="none" w:sz="0" w:space="0" w:color="auto"/>
                            <w:left w:val="none" w:sz="0" w:space="0" w:color="auto"/>
                            <w:bottom w:val="none" w:sz="0" w:space="0" w:color="auto"/>
                            <w:right w:val="none" w:sz="0" w:space="0" w:color="auto"/>
                          </w:divBdr>
                          <w:divsChild>
                            <w:div w:id="1260990841">
                              <w:marLeft w:val="0"/>
                              <w:marRight w:val="0"/>
                              <w:marTop w:val="0"/>
                              <w:marBottom w:val="0"/>
                              <w:divBdr>
                                <w:top w:val="none" w:sz="0" w:space="0" w:color="auto"/>
                                <w:left w:val="none" w:sz="0" w:space="0" w:color="auto"/>
                                <w:bottom w:val="none" w:sz="0" w:space="0" w:color="auto"/>
                                <w:right w:val="none" w:sz="0" w:space="0" w:color="auto"/>
                              </w:divBdr>
                              <w:divsChild>
                                <w:div w:id="131219686">
                                  <w:marLeft w:val="0"/>
                                  <w:marRight w:val="0"/>
                                  <w:marTop w:val="0"/>
                                  <w:marBottom w:val="0"/>
                                  <w:divBdr>
                                    <w:top w:val="none" w:sz="0" w:space="0" w:color="auto"/>
                                    <w:left w:val="none" w:sz="0" w:space="0" w:color="auto"/>
                                    <w:bottom w:val="none" w:sz="0" w:space="0" w:color="auto"/>
                                    <w:right w:val="none" w:sz="0" w:space="0" w:color="auto"/>
                                  </w:divBdr>
                                  <w:divsChild>
                                    <w:div w:id="26249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170768">
      <w:bodyDiv w:val="1"/>
      <w:marLeft w:val="0"/>
      <w:marRight w:val="0"/>
      <w:marTop w:val="0"/>
      <w:marBottom w:val="0"/>
      <w:divBdr>
        <w:top w:val="none" w:sz="0" w:space="0" w:color="auto"/>
        <w:left w:val="none" w:sz="0" w:space="0" w:color="auto"/>
        <w:bottom w:val="none" w:sz="0" w:space="0" w:color="auto"/>
        <w:right w:val="none" w:sz="0" w:space="0" w:color="auto"/>
      </w:divBdr>
      <w:divsChild>
        <w:div w:id="1076167081">
          <w:marLeft w:val="0"/>
          <w:marRight w:val="0"/>
          <w:marTop w:val="0"/>
          <w:marBottom w:val="450"/>
          <w:divBdr>
            <w:top w:val="none" w:sz="0" w:space="0" w:color="auto"/>
            <w:left w:val="none" w:sz="0" w:space="0" w:color="auto"/>
            <w:bottom w:val="single" w:sz="6" w:space="19" w:color="EEEEEE"/>
            <w:right w:val="none" w:sz="0" w:space="0" w:color="auto"/>
          </w:divBdr>
          <w:divsChild>
            <w:div w:id="1648238039">
              <w:marLeft w:val="0"/>
              <w:marRight w:val="0"/>
              <w:marTop w:val="0"/>
              <w:marBottom w:val="150"/>
              <w:divBdr>
                <w:top w:val="none" w:sz="0" w:space="0" w:color="auto"/>
                <w:left w:val="none" w:sz="0" w:space="0" w:color="auto"/>
                <w:bottom w:val="none" w:sz="0" w:space="0" w:color="auto"/>
                <w:right w:val="none" w:sz="0" w:space="0" w:color="auto"/>
              </w:divBdr>
              <w:divsChild>
                <w:div w:id="1020156216">
                  <w:marLeft w:val="0"/>
                  <w:marRight w:val="0"/>
                  <w:marTop w:val="0"/>
                  <w:marBottom w:val="0"/>
                  <w:divBdr>
                    <w:top w:val="none" w:sz="0" w:space="0" w:color="auto"/>
                    <w:left w:val="none" w:sz="0" w:space="0" w:color="auto"/>
                    <w:bottom w:val="none" w:sz="0" w:space="0" w:color="auto"/>
                    <w:right w:val="none" w:sz="0" w:space="0" w:color="auto"/>
                  </w:divBdr>
                </w:div>
              </w:divsChild>
            </w:div>
            <w:div w:id="1528563781">
              <w:marLeft w:val="0"/>
              <w:marRight w:val="0"/>
              <w:marTop w:val="0"/>
              <w:marBottom w:val="0"/>
              <w:divBdr>
                <w:top w:val="none" w:sz="0" w:space="0" w:color="auto"/>
                <w:left w:val="none" w:sz="0" w:space="0" w:color="auto"/>
                <w:bottom w:val="none" w:sz="0" w:space="0" w:color="auto"/>
                <w:right w:val="none" w:sz="0" w:space="0" w:color="auto"/>
              </w:divBdr>
            </w:div>
          </w:divsChild>
        </w:div>
        <w:div w:id="410127696">
          <w:marLeft w:val="0"/>
          <w:marRight w:val="0"/>
          <w:marTop w:val="0"/>
          <w:marBottom w:val="0"/>
          <w:divBdr>
            <w:top w:val="none" w:sz="0" w:space="0" w:color="auto"/>
            <w:left w:val="none" w:sz="0" w:space="0" w:color="auto"/>
            <w:bottom w:val="none" w:sz="0" w:space="0" w:color="auto"/>
            <w:right w:val="none" w:sz="0" w:space="0" w:color="auto"/>
          </w:divBdr>
          <w:divsChild>
            <w:div w:id="656693528">
              <w:marLeft w:val="0"/>
              <w:marRight w:val="0"/>
              <w:marTop w:val="0"/>
              <w:marBottom w:val="0"/>
              <w:divBdr>
                <w:top w:val="none" w:sz="0" w:space="0" w:color="auto"/>
                <w:left w:val="none" w:sz="0" w:space="0" w:color="auto"/>
                <w:bottom w:val="none" w:sz="0" w:space="0" w:color="auto"/>
                <w:right w:val="none" w:sz="0" w:space="0" w:color="auto"/>
              </w:divBdr>
              <w:divsChild>
                <w:div w:id="103769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872277">
      <w:bodyDiv w:val="1"/>
      <w:marLeft w:val="0"/>
      <w:marRight w:val="0"/>
      <w:marTop w:val="0"/>
      <w:marBottom w:val="0"/>
      <w:divBdr>
        <w:top w:val="none" w:sz="0" w:space="0" w:color="auto"/>
        <w:left w:val="none" w:sz="0" w:space="0" w:color="auto"/>
        <w:bottom w:val="none" w:sz="0" w:space="0" w:color="auto"/>
        <w:right w:val="none" w:sz="0" w:space="0" w:color="auto"/>
      </w:divBdr>
      <w:divsChild>
        <w:div w:id="975255928">
          <w:marLeft w:val="0"/>
          <w:marRight w:val="0"/>
          <w:marTop w:val="0"/>
          <w:marBottom w:val="0"/>
          <w:divBdr>
            <w:top w:val="none" w:sz="0" w:space="0" w:color="auto"/>
            <w:left w:val="none" w:sz="0" w:space="0" w:color="auto"/>
            <w:bottom w:val="dotted" w:sz="6" w:space="4" w:color="DDDDDD"/>
            <w:right w:val="none" w:sz="0" w:space="0" w:color="auto"/>
          </w:divBdr>
          <w:divsChild>
            <w:div w:id="341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023781">
      <w:bodyDiv w:val="1"/>
      <w:marLeft w:val="0"/>
      <w:marRight w:val="0"/>
      <w:marTop w:val="0"/>
      <w:marBottom w:val="0"/>
      <w:divBdr>
        <w:top w:val="none" w:sz="0" w:space="0" w:color="auto"/>
        <w:left w:val="none" w:sz="0" w:space="0" w:color="auto"/>
        <w:bottom w:val="none" w:sz="0" w:space="0" w:color="auto"/>
        <w:right w:val="none" w:sz="0" w:space="0" w:color="auto"/>
      </w:divBdr>
      <w:divsChild>
        <w:div w:id="1893540611">
          <w:marLeft w:val="0"/>
          <w:marRight w:val="0"/>
          <w:marTop w:val="0"/>
          <w:marBottom w:val="0"/>
          <w:divBdr>
            <w:top w:val="none" w:sz="0" w:space="0" w:color="auto"/>
            <w:left w:val="none" w:sz="0" w:space="0" w:color="auto"/>
            <w:bottom w:val="dotted" w:sz="6" w:space="4" w:color="DDDDDD"/>
            <w:right w:val="none" w:sz="0" w:space="0" w:color="auto"/>
          </w:divBdr>
        </w:div>
      </w:divsChild>
    </w:div>
    <w:div w:id="1063141619">
      <w:bodyDiv w:val="1"/>
      <w:marLeft w:val="0"/>
      <w:marRight w:val="0"/>
      <w:marTop w:val="0"/>
      <w:marBottom w:val="0"/>
      <w:divBdr>
        <w:top w:val="none" w:sz="0" w:space="0" w:color="auto"/>
        <w:left w:val="none" w:sz="0" w:space="0" w:color="auto"/>
        <w:bottom w:val="none" w:sz="0" w:space="0" w:color="auto"/>
        <w:right w:val="none" w:sz="0" w:space="0" w:color="auto"/>
      </w:divBdr>
      <w:divsChild>
        <w:div w:id="1704548566">
          <w:marLeft w:val="0"/>
          <w:marRight w:val="0"/>
          <w:marTop w:val="0"/>
          <w:marBottom w:val="150"/>
          <w:divBdr>
            <w:top w:val="none" w:sz="0" w:space="0" w:color="auto"/>
            <w:left w:val="none" w:sz="0" w:space="0" w:color="auto"/>
            <w:bottom w:val="none" w:sz="0" w:space="0" w:color="auto"/>
            <w:right w:val="none" w:sz="0" w:space="0" w:color="auto"/>
          </w:divBdr>
        </w:div>
      </w:divsChild>
    </w:div>
    <w:div w:id="1063214572">
      <w:bodyDiv w:val="1"/>
      <w:marLeft w:val="0"/>
      <w:marRight w:val="0"/>
      <w:marTop w:val="0"/>
      <w:marBottom w:val="0"/>
      <w:divBdr>
        <w:top w:val="none" w:sz="0" w:space="0" w:color="auto"/>
        <w:left w:val="none" w:sz="0" w:space="0" w:color="auto"/>
        <w:bottom w:val="none" w:sz="0" w:space="0" w:color="auto"/>
        <w:right w:val="none" w:sz="0" w:space="0" w:color="auto"/>
      </w:divBdr>
      <w:divsChild>
        <w:div w:id="1804734009">
          <w:marLeft w:val="0"/>
          <w:marRight w:val="0"/>
          <w:marTop w:val="0"/>
          <w:marBottom w:val="0"/>
          <w:divBdr>
            <w:top w:val="none" w:sz="0" w:space="0" w:color="auto"/>
            <w:left w:val="none" w:sz="0" w:space="0" w:color="auto"/>
            <w:bottom w:val="none" w:sz="0" w:space="0" w:color="auto"/>
            <w:right w:val="none" w:sz="0" w:space="0" w:color="auto"/>
          </w:divBdr>
          <w:divsChild>
            <w:div w:id="53913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55208">
      <w:bodyDiv w:val="1"/>
      <w:marLeft w:val="0"/>
      <w:marRight w:val="0"/>
      <w:marTop w:val="0"/>
      <w:marBottom w:val="0"/>
      <w:divBdr>
        <w:top w:val="none" w:sz="0" w:space="0" w:color="auto"/>
        <w:left w:val="none" w:sz="0" w:space="0" w:color="auto"/>
        <w:bottom w:val="none" w:sz="0" w:space="0" w:color="auto"/>
        <w:right w:val="none" w:sz="0" w:space="0" w:color="auto"/>
      </w:divBdr>
      <w:divsChild>
        <w:div w:id="717897404">
          <w:marLeft w:val="0"/>
          <w:marRight w:val="0"/>
          <w:marTop w:val="0"/>
          <w:marBottom w:val="0"/>
          <w:divBdr>
            <w:top w:val="none" w:sz="0" w:space="0" w:color="auto"/>
            <w:left w:val="none" w:sz="0" w:space="0" w:color="auto"/>
            <w:bottom w:val="none" w:sz="0" w:space="0" w:color="auto"/>
            <w:right w:val="none" w:sz="0" w:space="0" w:color="auto"/>
          </w:divBdr>
        </w:div>
      </w:divsChild>
    </w:div>
    <w:div w:id="1063482715">
      <w:bodyDiv w:val="1"/>
      <w:marLeft w:val="0"/>
      <w:marRight w:val="0"/>
      <w:marTop w:val="0"/>
      <w:marBottom w:val="0"/>
      <w:divBdr>
        <w:top w:val="none" w:sz="0" w:space="0" w:color="auto"/>
        <w:left w:val="none" w:sz="0" w:space="0" w:color="auto"/>
        <w:bottom w:val="none" w:sz="0" w:space="0" w:color="auto"/>
        <w:right w:val="none" w:sz="0" w:space="0" w:color="auto"/>
      </w:divBdr>
    </w:div>
    <w:div w:id="1063599172">
      <w:bodyDiv w:val="1"/>
      <w:marLeft w:val="0"/>
      <w:marRight w:val="0"/>
      <w:marTop w:val="0"/>
      <w:marBottom w:val="0"/>
      <w:divBdr>
        <w:top w:val="none" w:sz="0" w:space="0" w:color="auto"/>
        <w:left w:val="none" w:sz="0" w:space="0" w:color="auto"/>
        <w:bottom w:val="none" w:sz="0" w:space="0" w:color="auto"/>
        <w:right w:val="none" w:sz="0" w:space="0" w:color="auto"/>
      </w:divBdr>
      <w:divsChild>
        <w:div w:id="413357420">
          <w:marLeft w:val="0"/>
          <w:marRight w:val="0"/>
          <w:marTop w:val="0"/>
          <w:marBottom w:val="225"/>
          <w:divBdr>
            <w:top w:val="none" w:sz="0" w:space="0" w:color="auto"/>
            <w:left w:val="none" w:sz="0" w:space="0" w:color="auto"/>
            <w:bottom w:val="none" w:sz="0" w:space="0" w:color="auto"/>
            <w:right w:val="none" w:sz="0" w:space="0" w:color="auto"/>
          </w:divBdr>
        </w:div>
      </w:divsChild>
    </w:div>
    <w:div w:id="1063605566">
      <w:bodyDiv w:val="1"/>
      <w:marLeft w:val="0"/>
      <w:marRight w:val="0"/>
      <w:marTop w:val="0"/>
      <w:marBottom w:val="0"/>
      <w:divBdr>
        <w:top w:val="none" w:sz="0" w:space="0" w:color="auto"/>
        <w:left w:val="none" w:sz="0" w:space="0" w:color="auto"/>
        <w:bottom w:val="none" w:sz="0" w:space="0" w:color="auto"/>
        <w:right w:val="none" w:sz="0" w:space="0" w:color="auto"/>
      </w:divBdr>
      <w:divsChild>
        <w:div w:id="1331715133">
          <w:marLeft w:val="0"/>
          <w:marRight w:val="0"/>
          <w:marTop w:val="0"/>
          <w:marBottom w:val="0"/>
          <w:divBdr>
            <w:top w:val="none" w:sz="0" w:space="0" w:color="auto"/>
            <w:left w:val="none" w:sz="0" w:space="0" w:color="auto"/>
            <w:bottom w:val="dotted" w:sz="6" w:space="4" w:color="DDDDDD"/>
            <w:right w:val="none" w:sz="0" w:space="0" w:color="auto"/>
          </w:divBdr>
        </w:div>
      </w:divsChild>
    </w:div>
    <w:div w:id="1063724066">
      <w:bodyDiv w:val="1"/>
      <w:marLeft w:val="0"/>
      <w:marRight w:val="0"/>
      <w:marTop w:val="0"/>
      <w:marBottom w:val="0"/>
      <w:divBdr>
        <w:top w:val="none" w:sz="0" w:space="0" w:color="auto"/>
        <w:left w:val="none" w:sz="0" w:space="0" w:color="auto"/>
        <w:bottom w:val="none" w:sz="0" w:space="0" w:color="auto"/>
        <w:right w:val="none" w:sz="0" w:space="0" w:color="auto"/>
      </w:divBdr>
      <w:divsChild>
        <w:div w:id="1037898064">
          <w:marLeft w:val="0"/>
          <w:marRight w:val="0"/>
          <w:marTop w:val="0"/>
          <w:marBottom w:val="0"/>
          <w:divBdr>
            <w:top w:val="none" w:sz="0" w:space="0" w:color="auto"/>
            <w:left w:val="none" w:sz="0" w:space="0" w:color="auto"/>
            <w:bottom w:val="none" w:sz="0" w:space="0" w:color="auto"/>
            <w:right w:val="none" w:sz="0" w:space="0" w:color="auto"/>
          </w:divBdr>
          <w:divsChild>
            <w:div w:id="18867905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63944092">
      <w:bodyDiv w:val="1"/>
      <w:marLeft w:val="0"/>
      <w:marRight w:val="0"/>
      <w:marTop w:val="0"/>
      <w:marBottom w:val="0"/>
      <w:divBdr>
        <w:top w:val="none" w:sz="0" w:space="0" w:color="auto"/>
        <w:left w:val="none" w:sz="0" w:space="0" w:color="auto"/>
        <w:bottom w:val="none" w:sz="0" w:space="0" w:color="auto"/>
        <w:right w:val="none" w:sz="0" w:space="0" w:color="auto"/>
      </w:divBdr>
      <w:divsChild>
        <w:div w:id="840898586">
          <w:marLeft w:val="0"/>
          <w:marRight w:val="0"/>
          <w:marTop w:val="0"/>
          <w:marBottom w:val="0"/>
          <w:divBdr>
            <w:top w:val="none" w:sz="0" w:space="0" w:color="auto"/>
            <w:left w:val="none" w:sz="0" w:space="0" w:color="auto"/>
            <w:bottom w:val="none" w:sz="0" w:space="0" w:color="auto"/>
            <w:right w:val="none" w:sz="0" w:space="0" w:color="auto"/>
          </w:divBdr>
          <w:divsChild>
            <w:div w:id="779227739">
              <w:marLeft w:val="0"/>
              <w:marRight w:val="0"/>
              <w:marTop w:val="0"/>
              <w:marBottom w:val="0"/>
              <w:divBdr>
                <w:top w:val="none" w:sz="0" w:space="0" w:color="auto"/>
                <w:left w:val="none" w:sz="0" w:space="0" w:color="auto"/>
                <w:bottom w:val="none" w:sz="0" w:space="0" w:color="auto"/>
                <w:right w:val="none" w:sz="0" w:space="0" w:color="auto"/>
              </w:divBdr>
              <w:divsChild>
                <w:div w:id="10770080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064063089">
      <w:bodyDiv w:val="1"/>
      <w:marLeft w:val="0"/>
      <w:marRight w:val="0"/>
      <w:marTop w:val="0"/>
      <w:marBottom w:val="0"/>
      <w:divBdr>
        <w:top w:val="none" w:sz="0" w:space="0" w:color="auto"/>
        <w:left w:val="none" w:sz="0" w:space="0" w:color="auto"/>
        <w:bottom w:val="none" w:sz="0" w:space="0" w:color="auto"/>
        <w:right w:val="none" w:sz="0" w:space="0" w:color="auto"/>
      </w:divBdr>
      <w:divsChild>
        <w:div w:id="186990151">
          <w:marLeft w:val="0"/>
          <w:marRight w:val="0"/>
          <w:marTop w:val="0"/>
          <w:marBottom w:val="0"/>
          <w:divBdr>
            <w:top w:val="none" w:sz="0" w:space="0" w:color="auto"/>
            <w:left w:val="none" w:sz="0" w:space="0" w:color="auto"/>
            <w:bottom w:val="none" w:sz="0" w:space="0" w:color="auto"/>
            <w:right w:val="none" w:sz="0" w:space="0" w:color="auto"/>
          </w:divBdr>
          <w:divsChild>
            <w:div w:id="519122804">
              <w:marLeft w:val="0"/>
              <w:marRight w:val="0"/>
              <w:marTop w:val="225"/>
              <w:marBottom w:val="225"/>
              <w:divBdr>
                <w:top w:val="none" w:sz="0" w:space="0" w:color="auto"/>
                <w:left w:val="none" w:sz="0" w:space="0" w:color="auto"/>
                <w:bottom w:val="none" w:sz="0" w:space="0" w:color="auto"/>
                <w:right w:val="none" w:sz="0" w:space="0" w:color="auto"/>
              </w:divBdr>
            </w:div>
          </w:divsChild>
        </w:div>
        <w:div w:id="856895167">
          <w:marLeft w:val="0"/>
          <w:marRight w:val="0"/>
          <w:marTop w:val="0"/>
          <w:marBottom w:val="150"/>
          <w:divBdr>
            <w:top w:val="none" w:sz="0" w:space="0" w:color="auto"/>
            <w:left w:val="none" w:sz="0" w:space="0" w:color="auto"/>
            <w:bottom w:val="none" w:sz="0" w:space="0" w:color="auto"/>
            <w:right w:val="none" w:sz="0" w:space="0" w:color="auto"/>
          </w:divBdr>
          <w:divsChild>
            <w:div w:id="154226848">
              <w:marLeft w:val="0"/>
              <w:marRight w:val="0"/>
              <w:marTop w:val="0"/>
              <w:marBottom w:val="0"/>
              <w:divBdr>
                <w:top w:val="none" w:sz="0" w:space="0" w:color="auto"/>
                <w:left w:val="none" w:sz="0" w:space="0" w:color="auto"/>
                <w:bottom w:val="none" w:sz="0" w:space="0" w:color="auto"/>
                <w:right w:val="none" w:sz="0" w:space="0" w:color="auto"/>
              </w:divBdr>
              <w:divsChild>
                <w:div w:id="187145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592124">
          <w:marLeft w:val="0"/>
          <w:marRight w:val="0"/>
          <w:marTop w:val="0"/>
          <w:marBottom w:val="150"/>
          <w:divBdr>
            <w:top w:val="none" w:sz="0" w:space="0" w:color="auto"/>
            <w:left w:val="none" w:sz="0" w:space="0" w:color="auto"/>
            <w:bottom w:val="none" w:sz="0" w:space="0" w:color="auto"/>
            <w:right w:val="none" w:sz="0" w:space="0" w:color="auto"/>
          </w:divBdr>
        </w:div>
      </w:divsChild>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sChild>
        <w:div w:id="855769742">
          <w:marLeft w:val="0"/>
          <w:marRight w:val="0"/>
          <w:marTop w:val="0"/>
          <w:marBottom w:val="150"/>
          <w:divBdr>
            <w:top w:val="none" w:sz="0" w:space="0" w:color="auto"/>
            <w:left w:val="none" w:sz="0" w:space="0" w:color="auto"/>
            <w:bottom w:val="none" w:sz="0" w:space="0" w:color="auto"/>
            <w:right w:val="none" w:sz="0" w:space="0" w:color="auto"/>
          </w:divBdr>
        </w:div>
        <w:div w:id="1445687906">
          <w:marLeft w:val="0"/>
          <w:marRight w:val="0"/>
          <w:marTop w:val="0"/>
          <w:marBottom w:val="0"/>
          <w:divBdr>
            <w:top w:val="none" w:sz="0" w:space="0" w:color="auto"/>
            <w:left w:val="none" w:sz="0" w:space="0" w:color="auto"/>
            <w:bottom w:val="none" w:sz="0" w:space="0" w:color="auto"/>
            <w:right w:val="none" w:sz="0" w:space="0" w:color="auto"/>
          </w:divBdr>
          <w:divsChild>
            <w:div w:id="1147698490">
              <w:marLeft w:val="0"/>
              <w:marRight w:val="0"/>
              <w:marTop w:val="225"/>
              <w:marBottom w:val="225"/>
              <w:divBdr>
                <w:top w:val="none" w:sz="0" w:space="0" w:color="auto"/>
                <w:left w:val="none" w:sz="0" w:space="0" w:color="auto"/>
                <w:bottom w:val="none" w:sz="0" w:space="0" w:color="auto"/>
                <w:right w:val="none" w:sz="0" w:space="0" w:color="auto"/>
              </w:divBdr>
            </w:div>
          </w:divsChild>
        </w:div>
        <w:div w:id="1709648940">
          <w:marLeft w:val="0"/>
          <w:marRight w:val="0"/>
          <w:marTop w:val="0"/>
          <w:marBottom w:val="150"/>
          <w:divBdr>
            <w:top w:val="none" w:sz="0" w:space="0" w:color="auto"/>
            <w:left w:val="none" w:sz="0" w:space="0" w:color="auto"/>
            <w:bottom w:val="none" w:sz="0" w:space="0" w:color="auto"/>
            <w:right w:val="none" w:sz="0" w:space="0" w:color="auto"/>
          </w:divBdr>
          <w:divsChild>
            <w:div w:id="294340362">
              <w:marLeft w:val="0"/>
              <w:marRight w:val="0"/>
              <w:marTop w:val="0"/>
              <w:marBottom w:val="0"/>
              <w:divBdr>
                <w:top w:val="none" w:sz="0" w:space="0" w:color="auto"/>
                <w:left w:val="none" w:sz="0" w:space="0" w:color="auto"/>
                <w:bottom w:val="none" w:sz="0" w:space="0" w:color="auto"/>
                <w:right w:val="none" w:sz="0" w:space="0" w:color="auto"/>
              </w:divBdr>
              <w:divsChild>
                <w:div w:id="77012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328389">
      <w:bodyDiv w:val="1"/>
      <w:marLeft w:val="0"/>
      <w:marRight w:val="0"/>
      <w:marTop w:val="0"/>
      <w:marBottom w:val="0"/>
      <w:divBdr>
        <w:top w:val="none" w:sz="0" w:space="0" w:color="auto"/>
        <w:left w:val="none" w:sz="0" w:space="0" w:color="auto"/>
        <w:bottom w:val="none" w:sz="0" w:space="0" w:color="auto"/>
        <w:right w:val="none" w:sz="0" w:space="0" w:color="auto"/>
      </w:divBdr>
      <w:divsChild>
        <w:div w:id="1939407040">
          <w:marLeft w:val="0"/>
          <w:marRight w:val="0"/>
          <w:marTop w:val="0"/>
          <w:marBottom w:val="0"/>
          <w:divBdr>
            <w:top w:val="none" w:sz="0" w:space="0" w:color="auto"/>
            <w:left w:val="none" w:sz="0" w:space="0" w:color="auto"/>
            <w:bottom w:val="none" w:sz="0" w:space="0" w:color="auto"/>
            <w:right w:val="none" w:sz="0" w:space="0" w:color="auto"/>
          </w:divBdr>
          <w:divsChild>
            <w:div w:id="2123842000">
              <w:marLeft w:val="0"/>
              <w:marRight w:val="0"/>
              <w:marTop w:val="0"/>
              <w:marBottom w:val="0"/>
              <w:divBdr>
                <w:top w:val="none" w:sz="0" w:space="0" w:color="auto"/>
                <w:left w:val="none" w:sz="0" w:space="0" w:color="auto"/>
                <w:bottom w:val="none" w:sz="0" w:space="0" w:color="auto"/>
                <w:right w:val="none" w:sz="0" w:space="0" w:color="auto"/>
              </w:divBdr>
              <w:divsChild>
                <w:div w:id="2052849784">
                  <w:marLeft w:val="0"/>
                  <w:marRight w:val="0"/>
                  <w:marTop w:val="0"/>
                  <w:marBottom w:val="0"/>
                  <w:divBdr>
                    <w:top w:val="none" w:sz="0" w:space="0" w:color="auto"/>
                    <w:left w:val="none" w:sz="0" w:space="0" w:color="auto"/>
                    <w:bottom w:val="none" w:sz="0" w:space="0" w:color="auto"/>
                    <w:right w:val="none" w:sz="0" w:space="0" w:color="auto"/>
                  </w:divBdr>
                  <w:divsChild>
                    <w:div w:id="1739473778">
                      <w:marLeft w:val="0"/>
                      <w:marRight w:val="0"/>
                      <w:marTop w:val="0"/>
                      <w:marBottom w:val="0"/>
                      <w:divBdr>
                        <w:top w:val="none" w:sz="0" w:space="0" w:color="auto"/>
                        <w:left w:val="none" w:sz="0" w:space="0" w:color="auto"/>
                        <w:bottom w:val="none" w:sz="0" w:space="0" w:color="auto"/>
                        <w:right w:val="none" w:sz="0" w:space="0" w:color="auto"/>
                      </w:divBdr>
                      <w:divsChild>
                        <w:div w:id="1345551158">
                          <w:marLeft w:val="0"/>
                          <w:marRight w:val="0"/>
                          <w:marTop w:val="0"/>
                          <w:marBottom w:val="0"/>
                          <w:divBdr>
                            <w:top w:val="none" w:sz="0" w:space="0" w:color="auto"/>
                            <w:left w:val="none" w:sz="0" w:space="0" w:color="auto"/>
                            <w:bottom w:val="none" w:sz="0" w:space="0" w:color="auto"/>
                            <w:right w:val="none" w:sz="0" w:space="0" w:color="auto"/>
                          </w:divBdr>
                          <w:divsChild>
                            <w:div w:id="1877346303">
                              <w:marLeft w:val="0"/>
                              <w:marRight w:val="0"/>
                              <w:marTop w:val="0"/>
                              <w:marBottom w:val="0"/>
                              <w:divBdr>
                                <w:top w:val="none" w:sz="0" w:space="0" w:color="auto"/>
                                <w:left w:val="none" w:sz="0" w:space="0" w:color="auto"/>
                                <w:bottom w:val="none" w:sz="0" w:space="0" w:color="auto"/>
                                <w:right w:val="none" w:sz="0" w:space="0" w:color="auto"/>
                              </w:divBdr>
                              <w:divsChild>
                                <w:div w:id="1808736671">
                                  <w:marLeft w:val="0"/>
                                  <w:marRight w:val="0"/>
                                  <w:marTop w:val="0"/>
                                  <w:marBottom w:val="0"/>
                                  <w:divBdr>
                                    <w:top w:val="none" w:sz="0" w:space="0" w:color="auto"/>
                                    <w:left w:val="none" w:sz="0" w:space="0" w:color="auto"/>
                                    <w:bottom w:val="none" w:sz="0" w:space="0" w:color="auto"/>
                                    <w:right w:val="none" w:sz="0" w:space="0" w:color="auto"/>
                                  </w:divBdr>
                                  <w:divsChild>
                                    <w:div w:id="1988196226">
                                      <w:marLeft w:val="0"/>
                                      <w:marRight w:val="0"/>
                                      <w:marTop w:val="0"/>
                                      <w:marBottom w:val="0"/>
                                      <w:divBdr>
                                        <w:top w:val="none" w:sz="0" w:space="0" w:color="auto"/>
                                        <w:left w:val="none" w:sz="0" w:space="0" w:color="auto"/>
                                        <w:bottom w:val="none" w:sz="0" w:space="0" w:color="auto"/>
                                        <w:right w:val="none" w:sz="0" w:space="0" w:color="auto"/>
                                      </w:divBdr>
                                      <w:divsChild>
                                        <w:div w:id="5297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4640946">
      <w:bodyDiv w:val="1"/>
      <w:marLeft w:val="0"/>
      <w:marRight w:val="0"/>
      <w:marTop w:val="0"/>
      <w:marBottom w:val="0"/>
      <w:divBdr>
        <w:top w:val="none" w:sz="0" w:space="0" w:color="auto"/>
        <w:left w:val="none" w:sz="0" w:space="0" w:color="auto"/>
        <w:bottom w:val="none" w:sz="0" w:space="0" w:color="auto"/>
        <w:right w:val="none" w:sz="0" w:space="0" w:color="auto"/>
      </w:divBdr>
      <w:divsChild>
        <w:div w:id="87972832">
          <w:marLeft w:val="0"/>
          <w:marRight w:val="0"/>
          <w:marTop w:val="0"/>
          <w:marBottom w:val="150"/>
          <w:divBdr>
            <w:top w:val="none" w:sz="0" w:space="0" w:color="auto"/>
            <w:left w:val="none" w:sz="0" w:space="0" w:color="auto"/>
            <w:bottom w:val="none" w:sz="0" w:space="0" w:color="auto"/>
            <w:right w:val="none" w:sz="0" w:space="0" w:color="auto"/>
          </w:divBdr>
        </w:div>
        <w:div w:id="638343002">
          <w:marLeft w:val="0"/>
          <w:marRight w:val="0"/>
          <w:marTop w:val="0"/>
          <w:marBottom w:val="0"/>
          <w:divBdr>
            <w:top w:val="none" w:sz="0" w:space="0" w:color="auto"/>
            <w:left w:val="none" w:sz="0" w:space="0" w:color="auto"/>
            <w:bottom w:val="none" w:sz="0" w:space="0" w:color="auto"/>
            <w:right w:val="none" w:sz="0" w:space="0" w:color="auto"/>
          </w:divBdr>
          <w:divsChild>
            <w:div w:id="988021588">
              <w:marLeft w:val="0"/>
              <w:marRight w:val="0"/>
              <w:marTop w:val="225"/>
              <w:marBottom w:val="225"/>
              <w:divBdr>
                <w:top w:val="none" w:sz="0" w:space="0" w:color="auto"/>
                <w:left w:val="none" w:sz="0" w:space="0" w:color="auto"/>
                <w:bottom w:val="none" w:sz="0" w:space="0" w:color="auto"/>
                <w:right w:val="none" w:sz="0" w:space="0" w:color="auto"/>
              </w:divBdr>
            </w:div>
          </w:divsChild>
        </w:div>
        <w:div w:id="694574300">
          <w:marLeft w:val="0"/>
          <w:marRight w:val="0"/>
          <w:marTop w:val="0"/>
          <w:marBottom w:val="150"/>
          <w:divBdr>
            <w:top w:val="none" w:sz="0" w:space="0" w:color="auto"/>
            <w:left w:val="none" w:sz="0" w:space="0" w:color="auto"/>
            <w:bottom w:val="none" w:sz="0" w:space="0" w:color="auto"/>
            <w:right w:val="none" w:sz="0" w:space="0" w:color="auto"/>
          </w:divBdr>
          <w:divsChild>
            <w:div w:id="2009361767">
              <w:marLeft w:val="0"/>
              <w:marRight w:val="0"/>
              <w:marTop w:val="0"/>
              <w:marBottom w:val="0"/>
              <w:divBdr>
                <w:top w:val="none" w:sz="0" w:space="0" w:color="auto"/>
                <w:left w:val="none" w:sz="0" w:space="0" w:color="auto"/>
                <w:bottom w:val="none" w:sz="0" w:space="0" w:color="auto"/>
                <w:right w:val="none" w:sz="0" w:space="0" w:color="auto"/>
              </w:divBdr>
              <w:divsChild>
                <w:div w:id="187677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641306">
      <w:bodyDiv w:val="1"/>
      <w:marLeft w:val="0"/>
      <w:marRight w:val="0"/>
      <w:marTop w:val="0"/>
      <w:marBottom w:val="0"/>
      <w:divBdr>
        <w:top w:val="none" w:sz="0" w:space="0" w:color="auto"/>
        <w:left w:val="none" w:sz="0" w:space="0" w:color="auto"/>
        <w:bottom w:val="none" w:sz="0" w:space="0" w:color="auto"/>
        <w:right w:val="none" w:sz="0" w:space="0" w:color="auto"/>
      </w:divBdr>
      <w:divsChild>
        <w:div w:id="2081631934">
          <w:marLeft w:val="0"/>
          <w:marRight w:val="0"/>
          <w:marTop w:val="0"/>
          <w:marBottom w:val="150"/>
          <w:divBdr>
            <w:top w:val="none" w:sz="0" w:space="0" w:color="auto"/>
            <w:left w:val="none" w:sz="0" w:space="0" w:color="auto"/>
            <w:bottom w:val="none" w:sz="0" w:space="0" w:color="auto"/>
            <w:right w:val="none" w:sz="0" w:space="0" w:color="auto"/>
          </w:divBdr>
        </w:div>
      </w:divsChild>
    </w:div>
    <w:div w:id="1064982984">
      <w:bodyDiv w:val="1"/>
      <w:marLeft w:val="0"/>
      <w:marRight w:val="0"/>
      <w:marTop w:val="0"/>
      <w:marBottom w:val="0"/>
      <w:divBdr>
        <w:top w:val="none" w:sz="0" w:space="0" w:color="auto"/>
        <w:left w:val="none" w:sz="0" w:space="0" w:color="auto"/>
        <w:bottom w:val="none" w:sz="0" w:space="0" w:color="auto"/>
        <w:right w:val="none" w:sz="0" w:space="0" w:color="auto"/>
      </w:divBdr>
    </w:div>
    <w:div w:id="1065104783">
      <w:bodyDiv w:val="1"/>
      <w:marLeft w:val="0"/>
      <w:marRight w:val="0"/>
      <w:marTop w:val="0"/>
      <w:marBottom w:val="0"/>
      <w:divBdr>
        <w:top w:val="none" w:sz="0" w:space="0" w:color="auto"/>
        <w:left w:val="none" w:sz="0" w:space="0" w:color="auto"/>
        <w:bottom w:val="none" w:sz="0" w:space="0" w:color="auto"/>
        <w:right w:val="none" w:sz="0" w:space="0" w:color="auto"/>
      </w:divBdr>
      <w:divsChild>
        <w:div w:id="597835385">
          <w:marLeft w:val="0"/>
          <w:marRight w:val="0"/>
          <w:marTop w:val="0"/>
          <w:marBottom w:val="0"/>
          <w:divBdr>
            <w:top w:val="none" w:sz="0" w:space="0" w:color="auto"/>
            <w:left w:val="none" w:sz="0" w:space="0" w:color="auto"/>
            <w:bottom w:val="dotted" w:sz="6" w:space="4" w:color="DDDDDD"/>
            <w:right w:val="none" w:sz="0" w:space="0" w:color="auto"/>
          </w:divBdr>
          <w:divsChild>
            <w:div w:id="149036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26549">
      <w:bodyDiv w:val="1"/>
      <w:marLeft w:val="0"/>
      <w:marRight w:val="0"/>
      <w:marTop w:val="0"/>
      <w:marBottom w:val="0"/>
      <w:divBdr>
        <w:top w:val="none" w:sz="0" w:space="0" w:color="auto"/>
        <w:left w:val="none" w:sz="0" w:space="0" w:color="auto"/>
        <w:bottom w:val="none" w:sz="0" w:space="0" w:color="auto"/>
        <w:right w:val="none" w:sz="0" w:space="0" w:color="auto"/>
      </w:divBdr>
      <w:divsChild>
        <w:div w:id="1108429464">
          <w:marLeft w:val="0"/>
          <w:marRight w:val="0"/>
          <w:marTop w:val="0"/>
          <w:marBottom w:val="0"/>
          <w:divBdr>
            <w:top w:val="none" w:sz="0" w:space="0" w:color="auto"/>
            <w:left w:val="none" w:sz="0" w:space="0" w:color="auto"/>
            <w:bottom w:val="none" w:sz="0" w:space="0" w:color="auto"/>
            <w:right w:val="none" w:sz="0" w:space="0" w:color="auto"/>
          </w:divBdr>
          <w:divsChild>
            <w:div w:id="1347634109">
              <w:marLeft w:val="0"/>
              <w:marRight w:val="0"/>
              <w:marTop w:val="0"/>
              <w:marBottom w:val="0"/>
              <w:divBdr>
                <w:top w:val="none" w:sz="0" w:space="0" w:color="auto"/>
                <w:left w:val="none" w:sz="0" w:space="0" w:color="auto"/>
                <w:bottom w:val="none" w:sz="0" w:space="0" w:color="auto"/>
                <w:right w:val="none" w:sz="0" w:space="0" w:color="auto"/>
              </w:divBdr>
              <w:divsChild>
                <w:div w:id="1198004518">
                  <w:marLeft w:val="0"/>
                  <w:marRight w:val="0"/>
                  <w:marTop w:val="0"/>
                  <w:marBottom w:val="0"/>
                  <w:divBdr>
                    <w:top w:val="none" w:sz="0" w:space="0" w:color="auto"/>
                    <w:left w:val="none" w:sz="0" w:space="0" w:color="auto"/>
                    <w:bottom w:val="none" w:sz="0" w:space="0" w:color="auto"/>
                    <w:right w:val="none" w:sz="0" w:space="0" w:color="auto"/>
                  </w:divBdr>
                  <w:divsChild>
                    <w:div w:id="1336108675">
                      <w:marLeft w:val="0"/>
                      <w:marRight w:val="0"/>
                      <w:marTop w:val="0"/>
                      <w:marBottom w:val="0"/>
                      <w:divBdr>
                        <w:top w:val="none" w:sz="0" w:space="0" w:color="auto"/>
                        <w:left w:val="none" w:sz="0" w:space="0" w:color="auto"/>
                        <w:bottom w:val="none" w:sz="0" w:space="0" w:color="auto"/>
                        <w:right w:val="none" w:sz="0" w:space="0" w:color="auto"/>
                      </w:divBdr>
                      <w:divsChild>
                        <w:div w:id="448159476">
                          <w:marLeft w:val="0"/>
                          <w:marRight w:val="0"/>
                          <w:marTop w:val="0"/>
                          <w:marBottom w:val="0"/>
                          <w:divBdr>
                            <w:top w:val="none" w:sz="0" w:space="0" w:color="auto"/>
                            <w:left w:val="none" w:sz="0" w:space="0" w:color="auto"/>
                            <w:bottom w:val="none" w:sz="0" w:space="0" w:color="auto"/>
                            <w:right w:val="none" w:sz="0" w:space="0" w:color="auto"/>
                          </w:divBdr>
                          <w:divsChild>
                            <w:div w:id="519244698">
                              <w:marLeft w:val="0"/>
                              <w:marRight w:val="0"/>
                              <w:marTop w:val="0"/>
                              <w:marBottom w:val="0"/>
                              <w:divBdr>
                                <w:top w:val="none" w:sz="0" w:space="0" w:color="auto"/>
                                <w:left w:val="none" w:sz="0" w:space="0" w:color="auto"/>
                                <w:bottom w:val="none" w:sz="0" w:space="0" w:color="auto"/>
                                <w:right w:val="none" w:sz="0" w:space="0" w:color="auto"/>
                              </w:divBdr>
                              <w:divsChild>
                                <w:div w:id="447360271">
                                  <w:marLeft w:val="0"/>
                                  <w:marRight w:val="0"/>
                                  <w:marTop w:val="0"/>
                                  <w:marBottom w:val="0"/>
                                  <w:divBdr>
                                    <w:top w:val="none" w:sz="0" w:space="0" w:color="auto"/>
                                    <w:left w:val="none" w:sz="0" w:space="0" w:color="auto"/>
                                    <w:bottom w:val="none" w:sz="0" w:space="0" w:color="auto"/>
                                    <w:right w:val="none" w:sz="0" w:space="0" w:color="auto"/>
                                  </w:divBdr>
                                  <w:divsChild>
                                    <w:div w:id="155958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228106">
      <w:bodyDiv w:val="1"/>
      <w:marLeft w:val="0"/>
      <w:marRight w:val="0"/>
      <w:marTop w:val="0"/>
      <w:marBottom w:val="0"/>
      <w:divBdr>
        <w:top w:val="none" w:sz="0" w:space="0" w:color="auto"/>
        <w:left w:val="none" w:sz="0" w:space="0" w:color="auto"/>
        <w:bottom w:val="none" w:sz="0" w:space="0" w:color="auto"/>
        <w:right w:val="none" w:sz="0" w:space="0" w:color="auto"/>
      </w:divBdr>
      <w:divsChild>
        <w:div w:id="1800026274">
          <w:marLeft w:val="0"/>
          <w:marRight w:val="0"/>
          <w:marTop w:val="0"/>
          <w:marBottom w:val="0"/>
          <w:divBdr>
            <w:top w:val="none" w:sz="0" w:space="0" w:color="auto"/>
            <w:left w:val="none" w:sz="0" w:space="0" w:color="auto"/>
            <w:bottom w:val="none" w:sz="0" w:space="0" w:color="auto"/>
            <w:right w:val="none" w:sz="0" w:space="0" w:color="auto"/>
          </w:divBdr>
          <w:divsChild>
            <w:div w:id="1724593942">
              <w:marLeft w:val="0"/>
              <w:marRight w:val="0"/>
              <w:marTop w:val="0"/>
              <w:marBottom w:val="0"/>
              <w:divBdr>
                <w:top w:val="none" w:sz="0" w:space="0" w:color="auto"/>
                <w:left w:val="none" w:sz="0" w:space="0" w:color="auto"/>
                <w:bottom w:val="none" w:sz="0" w:space="0" w:color="auto"/>
                <w:right w:val="none" w:sz="0" w:space="0" w:color="auto"/>
              </w:divBdr>
              <w:divsChild>
                <w:div w:id="1565798242">
                  <w:marLeft w:val="0"/>
                  <w:marRight w:val="0"/>
                  <w:marTop w:val="0"/>
                  <w:marBottom w:val="0"/>
                  <w:divBdr>
                    <w:top w:val="none" w:sz="0" w:space="0" w:color="auto"/>
                    <w:left w:val="none" w:sz="0" w:space="0" w:color="auto"/>
                    <w:bottom w:val="none" w:sz="0" w:space="0" w:color="auto"/>
                    <w:right w:val="none" w:sz="0" w:space="0" w:color="auto"/>
                  </w:divBdr>
                  <w:divsChild>
                    <w:div w:id="532500151">
                      <w:marLeft w:val="0"/>
                      <w:marRight w:val="0"/>
                      <w:marTop w:val="0"/>
                      <w:marBottom w:val="0"/>
                      <w:divBdr>
                        <w:top w:val="none" w:sz="0" w:space="0" w:color="auto"/>
                        <w:left w:val="none" w:sz="0" w:space="0" w:color="auto"/>
                        <w:bottom w:val="none" w:sz="0" w:space="0" w:color="auto"/>
                        <w:right w:val="none" w:sz="0" w:space="0" w:color="auto"/>
                      </w:divBdr>
                      <w:divsChild>
                        <w:div w:id="1280382158">
                          <w:marLeft w:val="0"/>
                          <w:marRight w:val="0"/>
                          <w:marTop w:val="0"/>
                          <w:marBottom w:val="0"/>
                          <w:divBdr>
                            <w:top w:val="none" w:sz="0" w:space="0" w:color="auto"/>
                            <w:left w:val="none" w:sz="0" w:space="0" w:color="auto"/>
                            <w:bottom w:val="none" w:sz="0" w:space="0" w:color="auto"/>
                            <w:right w:val="none" w:sz="0" w:space="0" w:color="auto"/>
                          </w:divBdr>
                          <w:divsChild>
                            <w:div w:id="892692115">
                              <w:marLeft w:val="0"/>
                              <w:marRight w:val="0"/>
                              <w:marTop w:val="0"/>
                              <w:marBottom w:val="0"/>
                              <w:divBdr>
                                <w:top w:val="none" w:sz="0" w:space="0" w:color="auto"/>
                                <w:left w:val="none" w:sz="0" w:space="0" w:color="auto"/>
                                <w:bottom w:val="none" w:sz="0" w:space="0" w:color="auto"/>
                                <w:right w:val="none" w:sz="0" w:space="0" w:color="auto"/>
                              </w:divBdr>
                              <w:divsChild>
                                <w:div w:id="947856518">
                                  <w:marLeft w:val="0"/>
                                  <w:marRight w:val="0"/>
                                  <w:marTop w:val="0"/>
                                  <w:marBottom w:val="75"/>
                                  <w:divBdr>
                                    <w:top w:val="none" w:sz="0" w:space="0" w:color="auto"/>
                                    <w:left w:val="none" w:sz="0" w:space="0" w:color="auto"/>
                                    <w:bottom w:val="none" w:sz="0" w:space="0" w:color="auto"/>
                                    <w:right w:val="none" w:sz="0" w:space="0" w:color="auto"/>
                                  </w:divBdr>
                                  <w:divsChild>
                                    <w:div w:id="60254660">
                                      <w:marLeft w:val="0"/>
                                      <w:marRight w:val="0"/>
                                      <w:marTop w:val="0"/>
                                      <w:marBottom w:val="0"/>
                                      <w:divBdr>
                                        <w:top w:val="none" w:sz="0" w:space="0" w:color="auto"/>
                                        <w:left w:val="none" w:sz="0" w:space="0" w:color="auto"/>
                                        <w:bottom w:val="none" w:sz="0" w:space="0" w:color="auto"/>
                                        <w:right w:val="none" w:sz="0" w:space="0" w:color="auto"/>
                                      </w:divBdr>
                                      <w:divsChild>
                                        <w:div w:id="673917431">
                                          <w:marLeft w:val="0"/>
                                          <w:marRight w:val="0"/>
                                          <w:marTop w:val="0"/>
                                          <w:marBottom w:val="0"/>
                                          <w:divBdr>
                                            <w:top w:val="none" w:sz="0" w:space="0" w:color="auto"/>
                                            <w:left w:val="none" w:sz="0" w:space="0" w:color="auto"/>
                                            <w:bottom w:val="none" w:sz="0" w:space="0" w:color="auto"/>
                                            <w:right w:val="none" w:sz="0" w:space="0" w:color="auto"/>
                                          </w:divBdr>
                                          <w:divsChild>
                                            <w:div w:id="184713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5295641">
      <w:bodyDiv w:val="1"/>
      <w:marLeft w:val="0"/>
      <w:marRight w:val="0"/>
      <w:marTop w:val="0"/>
      <w:marBottom w:val="0"/>
      <w:divBdr>
        <w:top w:val="none" w:sz="0" w:space="0" w:color="auto"/>
        <w:left w:val="none" w:sz="0" w:space="0" w:color="auto"/>
        <w:bottom w:val="none" w:sz="0" w:space="0" w:color="auto"/>
        <w:right w:val="none" w:sz="0" w:space="0" w:color="auto"/>
      </w:divBdr>
      <w:divsChild>
        <w:div w:id="260915480">
          <w:marLeft w:val="0"/>
          <w:marRight w:val="0"/>
          <w:marTop w:val="0"/>
          <w:marBottom w:val="0"/>
          <w:divBdr>
            <w:top w:val="none" w:sz="0" w:space="0" w:color="auto"/>
            <w:left w:val="none" w:sz="0" w:space="0" w:color="auto"/>
            <w:bottom w:val="none" w:sz="0" w:space="0" w:color="auto"/>
            <w:right w:val="none" w:sz="0" w:space="0" w:color="auto"/>
          </w:divBdr>
          <w:divsChild>
            <w:div w:id="663817434">
              <w:marLeft w:val="0"/>
              <w:marRight w:val="0"/>
              <w:marTop w:val="0"/>
              <w:marBottom w:val="0"/>
              <w:divBdr>
                <w:top w:val="none" w:sz="0" w:space="0" w:color="auto"/>
                <w:left w:val="none" w:sz="0" w:space="0" w:color="auto"/>
                <w:bottom w:val="none" w:sz="0" w:space="0" w:color="auto"/>
                <w:right w:val="none" w:sz="0" w:space="0" w:color="auto"/>
              </w:divBdr>
              <w:divsChild>
                <w:div w:id="227960230">
                  <w:marLeft w:val="0"/>
                  <w:marRight w:val="0"/>
                  <w:marTop w:val="0"/>
                  <w:marBottom w:val="0"/>
                  <w:divBdr>
                    <w:top w:val="none" w:sz="0" w:space="0" w:color="auto"/>
                    <w:left w:val="none" w:sz="0" w:space="0" w:color="auto"/>
                    <w:bottom w:val="none" w:sz="0" w:space="0" w:color="auto"/>
                    <w:right w:val="none" w:sz="0" w:space="0" w:color="auto"/>
                  </w:divBdr>
                  <w:divsChild>
                    <w:div w:id="1706711313">
                      <w:marLeft w:val="0"/>
                      <w:marRight w:val="0"/>
                      <w:marTop w:val="0"/>
                      <w:marBottom w:val="0"/>
                      <w:divBdr>
                        <w:top w:val="none" w:sz="0" w:space="0" w:color="auto"/>
                        <w:left w:val="none" w:sz="0" w:space="0" w:color="auto"/>
                        <w:bottom w:val="none" w:sz="0" w:space="0" w:color="auto"/>
                        <w:right w:val="none" w:sz="0" w:space="0" w:color="auto"/>
                      </w:divBdr>
                      <w:divsChild>
                        <w:div w:id="2102949585">
                          <w:marLeft w:val="0"/>
                          <w:marRight w:val="0"/>
                          <w:marTop w:val="0"/>
                          <w:marBottom w:val="0"/>
                          <w:divBdr>
                            <w:top w:val="none" w:sz="0" w:space="0" w:color="auto"/>
                            <w:left w:val="none" w:sz="0" w:space="0" w:color="auto"/>
                            <w:bottom w:val="none" w:sz="0" w:space="0" w:color="auto"/>
                            <w:right w:val="none" w:sz="0" w:space="0" w:color="auto"/>
                          </w:divBdr>
                          <w:divsChild>
                            <w:div w:id="132645284">
                              <w:marLeft w:val="0"/>
                              <w:marRight w:val="0"/>
                              <w:marTop w:val="0"/>
                              <w:marBottom w:val="0"/>
                              <w:divBdr>
                                <w:top w:val="none" w:sz="0" w:space="0" w:color="auto"/>
                                <w:left w:val="none" w:sz="0" w:space="0" w:color="auto"/>
                                <w:bottom w:val="none" w:sz="0" w:space="0" w:color="auto"/>
                                <w:right w:val="none" w:sz="0" w:space="0" w:color="auto"/>
                              </w:divBdr>
                              <w:divsChild>
                                <w:div w:id="385757721">
                                  <w:marLeft w:val="0"/>
                                  <w:marRight w:val="0"/>
                                  <w:marTop w:val="0"/>
                                  <w:marBottom w:val="0"/>
                                  <w:divBdr>
                                    <w:top w:val="none" w:sz="0" w:space="0" w:color="auto"/>
                                    <w:left w:val="none" w:sz="0" w:space="0" w:color="auto"/>
                                    <w:bottom w:val="none" w:sz="0" w:space="0" w:color="auto"/>
                                    <w:right w:val="none" w:sz="0" w:space="0" w:color="auto"/>
                                  </w:divBdr>
                                  <w:divsChild>
                                    <w:div w:id="1786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301312">
      <w:bodyDiv w:val="1"/>
      <w:marLeft w:val="0"/>
      <w:marRight w:val="0"/>
      <w:marTop w:val="0"/>
      <w:marBottom w:val="0"/>
      <w:divBdr>
        <w:top w:val="none" w:sz="0" w:space="0" w:color="auto"/>
        <w:left w:val="none" w:sz="0" w:space="0" w:color="auto"/>
        <w:bottom w:val="none" w:sz="0" w:space="0" w:color="auto"/>
        <w:right w:val="none" w:sz="0" w:space="0" w:color="auto"/>
      </w:divBdr>
      <w:divsChild>
        <w:div w:id="678695815">
          <w:marLeft w:val="0"/>
          <w:marRight w:val="0"/>
          <w:marTop w:val="0"/>
          <w:marBottom w:val="150"/>
          <w:divBdr>
            <w:top w:val="none" w:sz="0" w:space="0" w:color="auto"/>
            <w:left w:val="none" w:sz="0" w:space="0" w:color="auto"/>
            <w:bottom w:val="none" w:sz="0" w:space="0" w:color="auto"/>
            <w:right w:val="none" w:sz="0" w:space="0" w:color="auto"/>
          </w:divBdr>
        </w:div>
      </w:divsChild>
    </w:div>
    <w:div w:id="1065953470">
      <w:bodyDiv w:val="1"/>
      <w:marLeft w:val="0"/>
      <w:marRight w:val="0"/>
      <w:marTop w:val="0"/>
      <w:marBottom w:val="0"/>
      <w:divBdr>
        <w:top w:val="none" w:sz="0" w:space="0" w:color="auto"/>
        <w:left w:val="none" w:sz="0" w:space="0" w:color="auto"/>
        <w:bottom w:val="none" w:sz="0" w:space="0" w:color="auto"/>
        <w:right w:val="none" w:sz="0" w:space="0" w:color="auto"/>
      </w:divBdr>
      <w:divsChild>
        <w:div w:id="2108770097">
          <w:marLeft w:val="0"/>
          <w:marRight w:val="0"/>
          <w:marTop w:val="0"/>
          <w:marBottom w:val="0"/>
          <w:divBdr>
            <w:top w:val="none" w:sz="0" w:space="0" w:color="auto"/>
            <w:left w:val="none" w:sz="0" w:space="0" w:color="auto"/>
            <w:bottom w:val="dotted" w:sz="6" w:space="4" w:color="DDDDDD"/>
            <w:right w:val="none" w:sz="0" w:space="0" w:color="auto"/>
          </w:divBdr>
        </w:div>
      </w:divsChild>
    </w:div>
    <w:div w:id="1066342517">
      <w:bodyDiv w:val="1"/>
      <w:marLeft w:val="0"/>
      <w:marRight w:val="0"/>
      <w:marTop w:val="0"/>
      <w:marBottom w:val="0"/>
      <w:divBdr>
        <w:top w:val="none" w:sz="0" w:space="0" w:color="auto"/>
        <w:left w:val="none" w:sz="0" w:space="0" w:color="auto"/>
        <w:bottom w:val="none" w:sz="0" w:space="0" w:color="auto"/>
        <w:right w:val="none" w:sz="0" w:space="0" w:color="auto"/>
      </w:divBdr>
      <w:divsChild>
        <w:div w:id="645814857">
          <w:marLeft w:val="0"/>
          <w:marRight w:val="0"/>
          <w:marTop w:val="0"/>
          <w:marBottom w:val="0"/>
          <w:divBdr>
            <w:top w:val="none" w:sz="0" w:space="0" w:color="auto"/>
            <w:left w:val="none" w:sz="0" w:space="0" w:color="auto"/>
            <w:bottom w:val="dotted" w:sz="6" w:space="4" w:color="DDDDDD"/>
            <w:right w:val="none" w:sz="0" w:space="0" w:color="auto"/>
          </w:divBdr>
        </w:div>
      </w:divsChild>
    </w:div>
    <w:div w:id="1066418684">
      <w:bodyDiv w:val="1"/>
      <w:marLeft w:val="0"/>
      <w:marRight w:val="0"/>
      <w:marTop w:val="0"/>
      <w:marBottom w:val="0"/>
      <w:divBdr>
        <w:top w:val="none" w:sz="0" w:space="0" w:color="auto"/>
        <w:left w:val="none" w:sz="0" w:space="0" w:color="auto"/>
        <w:bottom w:val="none" w:sz="0" w:space="0" w:color="auto"/>
        <w:right w:val="none" w:sz="0" w:space="0" w:color="auto"/>
      </w:divBdr>
      <w:divsChild>
        <w:div w:id="298851335">
          <w:marLeft w:val="0"/>
          <w:marRight w:val="0"/>
          <w:marTop w:val="0"/>
          <w:marBottom w:val="0"/>
          <w:divBdr>
            <w:top w:val="none" w:sz="0" w:space="0" w:color="auto"/>
            <w:left w:val="none" w:sz="0" w:space="0" w:color="auto"/>
            <w:bottom w:val="dotted" w:sz="6" w:space="4" w:color="DDDDDD"/>
            <w:right w:val="none" w:sz="0" w:space="0" w:color="auto"/>
          </w:divBdr>
          <w:divsChild>
            <w:div w:id="185225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606279">
      <w:bodyDiv w:val="1"/>
      <w:marLeft w:val="0"/>
      <w:marRight w:val="0"/>
      <w:marTop w:val="0"/>
      <w:marBottom w:val="0"/>
      <w:divBdr>
        <w:top w:val="none" w:sz="0" w:space="0" w:color="auto"/>
        <w:left w:val="none" w:sz="0" w:space="0" w:color="auto"/>
        <w:bottom w:val="none" w:sz="0" w:space="0" w:color="auto"/>
        <w:right w:val="none" w:sz="0" w:space="0" w:color="auto"/>
      </w:divBdr>
      <w:divsChild>
        <w:div w:id="911236988">
          <w:marLeft w:val="0"/>
          <w:marRight w:val="0"/>
          <w:marTop w:val="0"/>
          <w:marBottom w:val="0"/>
          <w:divBdr>
            <w:top w:val="none" w:sz="0" w:space="0" w:color="auto"/>
            <w:left w:val="none" w:sz="0" w:space="0" w:color="auto"/>
            <w:bottom w:val="dotted" w:sz="6" w:space="4" w:color="DDDDDD"/>
            <w:right w:val="none" w:sz="0" w:space="0" w:color="auto"/>
          </w:divBdr>
          <w:divsChild>
            <w:div w:id="184354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880074">
      <w:bodyDiv w:val="1"/>
      <w:marLeft w:val="0"/>
      <w:marRight w:val="0"/>
      <w:marTop w:val="0"/>
      <w:marBottom w:val="0"/>
      <w:divBdr>
        <w:top w:val="none" w:sz="0" w:space="0" w:color="auto"/>
        <w:left w:val="none" w:sz="0" w:space="0" w:color="auto"/>
        <w:bottom w:val="none" w:sz="0" w:space="0" w:color="auto"/>
        <w:right w:val="none" w:sz="0" w:space="0" w:color="auto"/>
      </w:divBdr>
      <w:divsChild>
        <w:div w:id="1717116518">
          <w:marLeft w:val="0"/>
          <w:marRight w:val="0"/>
          <w:marTop w:val="0"/>
          <w:marBottom w:val="0"/>
          <w:divBdr>
            <w:top w:val="none" w:sz="0" w:space="0" w:color="auto"/>
            <w:left w:val="none" w:sz="0" w:space="0" w:color="auto"/>
            <w:bottom w:val="none" w:sz="0" w:space="0" w:color="auto"/>
            <w:right w:val="none" w:sz="0" w:space="0" w:color="auto"/>
          </w:divBdr>
        </w:div>
      </w:divsChild>
    </w:div>
    <w:div w:id="1067189029">
      <w:bodyDiv w:val="1"/>
      <w:marLeft w:val="0"/>
      <w:marRight w:val="0"/>
      <w:marTop w:val="0"/>
      <w:marBottom w:val="0"/>
      <w:divBdr>
        <w:top w:val="none" w:sz="0" w:space="0" w:color="auto"/>
        <w:left w:val="none" w:sz="0" w:space="0" w:color="auto"/>
        <w:bottom w:val="none" w:sz="0" w:space="0" w:color="auto"/>
        <w:right w:val="none" w:sz="0" w:space="0" w:color="auto"/>
      </w:divBdr>
      <w:divsChild>
        <w:div w:id="1378555003">
          <w:marLeft w:val="0"/>
          <w:marRight w:val="0"/>
          <w:marTop w:val="300"/>
          <w:marBottom w:val="0"/>
          <w:divBdr>
            <w:top w:val="none" w:sz="0" w:space="0" w:color="auto"/>
            <w:left w:val="none" w:sz="0" w:space="0" w:color="auto"/>
            <w:bottom w:val="none" w:sz="0" w:space="0" w:color="auto"/>
            <w:right w:val="none" w:sz="0" w:space="0" w:color="auto"/>
          </w:divBdr>
          <w:divsChild>
            <w:div w:id="1908302780">
              <w:marLeft w:val="0"/>
              <w:marRight w:val="0"/>
              <w:marTop w:val="0"/>
              <w:marBottom w:val="0"/>
              <w:divBdr>
                <w:top w:val="none" w:sz="0" w:space="0" w:color="auto"/>
                <w:left w:val="none" w:sz="0" w:space="0" w:color="auto"/>
                <w:bottom w:val="none" w:sz="0" w:space="0" w:color="auto"/>
                <w:right w:val="none" w:sz="0" w:space="0" w:color="auto"/>
              </w:divBdr>
              <w:divsChild>
                <w:div w:id="1024553107">
                  <w:marLeft w:val="0"/>
                  <w:marRight w:val="0"/>
                  <w:marTop w:val="0"/>
                  <w:marBottom w:val="0"/>
                  <w:divBdr>
                    <w:top w:val="none" w:sz="0" w:space="0" w:color="auto"/>
                    <w:left w:val="none" w:sz="0" w:space="0" w:color="auto"/>
                    <w:bottom w:val="none" w:sz="0" w:space="0" w:color="auto"/>
                    <w:right w:val="none" w:sz="0" w:space="0" w:color="auto"/>
                  </w:divBdr>
                  <w:divsChild>
                    <w:div w:id="313874183">
                      <w:marLeft w:val="0"/>
                      <w:marRight w:val="0"/>
                      <w:marTop w:val="0"/>
                      <w:marBottom w:val="0"/>
                      <w:divBdr>
                        <w:top w:val="none" w:sz="0" w:space="0" w:color="auto"/>
                        <w:left w:val="none" w:sz="0" w:space="0" w:color="auto"/>
                        <w:bottom w:val="none" w:sz="0" w:space="0" w:color="auto"/>
                        <w:right w:val="none" w:sz="0" w:space="0" w:color="auto"/>
                      </w:divBdr>
                    </w:div>
                  </w:divsChild>
                </w:div>
                <w:div w:id="1604267989">
                  <w:marLeft w:val="0"/>
                  <w:marRight w:val="0"/>
                  <w:marTop w:val="150"/>
                  <w:marBottom w:val="0"/>
                  <w:divBdr>
                    <w:top w:val="none" w:sz="0" w:space="0" w:color="auto"/>
                    <w:left w:val="none" w:sz="0" w:space="0" w:color="auto"/>
                    <w:bottom w:val="none" w:sz="0" w:space="0" w:color="auto"/>
                    <w:right w:val="none" w:sz="0" w:space="0" w:color="auto"/>
                  </w:divBdr>
                  <w:divsChild>
                    <w:div w:id="568074435">
                      <w:marLeft w:val="0"/>
                      <w:marRight w:val="0"/>
                      <w:marTop w:val="0"/>
                      <w:marBottom w:val="0"/>
                      <w:divBdr>
                        <w:top w:val="none" w:sz="0" w:space="0" w:color="auto"/>
                        <w:left w:val="none" w:sz="0" w:space="0" w:color="auto"/>
                        <w:bottom w:val="none" w:sz="0" w:space="0" w:color="auto"/>
                        <w:right w:val="none" w:sz="0" w:space="0" w:color="auto"/>
                      </w:divBdr>
                      <w:divsChild>
                        <w:div w:id="338388881">
                          <w:marLeft w:val="0"/>
                          <w:marRight w:val="0"/>
                          <w:marTop w:val="0"/>
                          <w:marBottom w:val="0"/>
                          <w:divBdr>
                            <w:top w:val="none" w:sz="0" w:space="0" w:color="auto"/>
                            <w:left w:val="none" w:sz="0" w:space="0" w:color="auto"/>
                            <w:bottom w:val="none" w:sz="0" w:space="0" w:color="auto"/>
                            <w:right w:val="none" w:sz="0" w:space="0" w:color="auto"/>
                          </w:divBdr>
                        </w:div>
                        <w:div w:id="98585821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789889">
              <w:marLeft w:val="-1350"/>
              <w:marRight w:val="0"/>
              <w:marTop w:val="0"/>
              <w:marBottom w:val="0"/>
              <w:divBdr>
                <w:top w:val="none" w:sz="0" w:space="0" w:color="auto"/>
                <w:left w:val="none" w:sz="0" w:space="0" w:color="auto"/>
                <w:bottom w:val="none" w:sz="0" w:space="0" w:color="auto"/>
                <w:right w:val="none" w:sz="0" w:space="0" w:color="auto"/>
              </w:divBdr>
              <w:divsChild>
                <w:div w:id="1140876298">
                  <w:marLeft w:val="0"/>
                  <w:marRight w:val="0"/>
                  <w:marTop w:val="0"/>
                  <w:marBottom w:val="0"/>
                  <w:divBdr>
                    <w:top w:val="none" w:sz="0" w:space="0" w:color="auto"/>
                    <w:left w:val="none" w:sz="0" w:space="0" w:color="auto"/>
                    <w:bottom w:val="none" w:sz="0" w:space="0" w:color="auto"/>
                    <w:right w:val="none" w:sz="0" w:space="0" w:color="auto"/>
                  </w:divBdr>
                  <w:divsChild>
                    <w:div w:id="513961243">
                      <w:marLeft w:val="0"/>
                      <w:marRight w:val="0"/>
                      <w:marTop w:val="0"/>
                      <w:marBottom w:val="0"/>
                      <w:divBdr>
                        <w:top w:val="none" w:sz="0" w:space="0" w:color="auto"/>
                        <w:left w:val="none" w:sz="0" w:space="0" w:color="auto"/>
                        <w:bottom w:val="none" w:sz="0" w:space="0" w:color="auto"/>
                        <w:right w:val="none" w:sz="0" w:space="0" w:color="auto"/>
                      </w:divBdr>
                      <w:divsChild>
                        <w:div w:id="1496871301">
                          <w:marLeft w:val="0"/>
                          <w:marRight w:val="0"/>
                          <w:marTop w:val="0"/>
                          <w:marBottom w:val="0"/>
                          <w:divBdr>
                            <w:top w:val="single" w:sz="6" w:space="0" w:color="C7C7C7"/>
                            <w:left w:val="single" w:sz="6" w:space="0" w:color="C7C7C7"/>
                            <w:bottom w:val="single" w:sz="6" w:space="0" w:color="C7C7C7"/>
                            <w:right w:val="single" w:sz="6" w:space="0" w:color="C7C7C7"/>
                          </w:divBdr>
                          <w:divsChild>
                            <w:div w:id="152527664">
                              <w:marLeft w:val="0"/>
                              <w:marRight w:val="0"/>
                              <w:marTop w:val="100"/>
                              <w:marBottom w:val="100"/>
                              <w:divBdr>
                                <w:top w:val="none" w:sz="0" w:space="0" w:color="auto"/>
                                <w:left w:val="none" w:sz="0" w:space="0" w:color="auto"/>
                                <w:bottom w:val="none" w:sz="0" w:space="0" w:color="auto"/>
                                <w:right w:val="none" w:sz="0" w:space="0" w:color="auto"/>
                              </w:divBdr>
                            </w:div>
                            <w:div w:id="349650877">
                              <w:marLeft w:val="0"/>
                              <w:marRight w:val="0"/>
                              <w:marTop w:val="100"/>
                              <w:marBottom w:val="100"/>
                              <w:divBdr>
                                <w:top w:val="none" w:sz="0" w:space="11" w:color="auto"/>
                                <w:left w:val="none" w:sz="0" w:space="0" w:color="auto"/>
                                <w:bottom w:val="single" w:sz="6" w:space="11" w:color="C7C7C7"/>
                                <w:right w:val="none" w:sz="0" w:space="0" w:color="auto"/>
                              </w:divBdr>
                            </w:div>
                            <w:div w:id="1054499170">
                              <w:marLeft w:val="0"/>
                              <w:marRight w:val="0"/>
                              <w:marTop w:val="100"/>
                              <w:marBottom w:val="100"/>
                              <w:divBdr>
                                <w:top w:val="none" w:sz="0" w:space="11" w:color="auto"/>
                                <w:left w:val="none" w:sz="0" w:space="0" w:color="auto"/>
                                <w:bottom w:val="single" w:sz="6" w:space="11" w:color="C7C7C7"/>
                                <w:right w:val="none" w:sz="0" w:space="0" w:color="auto"/>
                              </w:divBdr>
                            </w:div>
                            <w:div w:id="1994747722">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 w:id="1390884434">
          <w:marLeft w:val="0"/>
          <w:marRight w:val="0"/>
          <w:marTop w:val="150"/>
          <w:marBottom w:val="0"/>
          <w:divBdr>
            <w:top w:val="none" w:sz="0" w:space="0" w:color="auto"/>
            <w:left w:val="none" w:sz="0" w:space="0" w:color="auto"/>
            <w:bottom w:val="none" w:sz="0" w:space="0" w:color="auto"/>
            <w:right w:val="none" w:sz="0" w:space="0" w:color="auto"/>
          </w:divBdr>
          <w:divsChild>
            <w:div w:id="882595915">
              <w:marLeft w:val="0"/>
              <w:marRight w:val="0"/>
              <w:marTop w:val="0"/>
              <w:marBottom w:val="0"/>
              <w:divBdr>
                <w:top w:val="none" w:sz="0" w:space="0" w:color="auto"/>
                <w:left w:val="none" w:sz="0" w:space="0" w:color="auto"/>
                <w:bottom w:val="single" w:sz="6" w:space="0" w:color="EFEFEF"/>
                <w:right w:val="none" w:sz="0" w:space="0" w:color="auto"/>
              </w:divBdr>
              <w:divsChild>
                <w:div w:id="1114401757">
                  <w:marLeft w:val="0"/>
                  <w:marRight w:val="0"/>
                  <w:marTop w:val="0"/>
                  <w:marBottom w:val="0"/>
                  <w:divBdr>
                    <w:top w:val="none" w:sz="0" w:space="0" w:color="auto"/>
                    <w:left w:val="none" w:sz="0" w:space="0" w:color="auto"/>
                    <w:bottom w:val="none" w:sz="0" w:space="0" w:color="auto"/>
                    <w:right w:val="none" w:sz="0" w:space="0" w:color="auto"/>
                  </w:divBdr>
                </w:div>
                <w:div w:id="164207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342790">
      <w:bodyDiv w:val="1"/>
      <w:marLeft w:val="0"/>
      <w:marRight w:val="0"/>
      <w:marTop w:val="0"/>
      <w:marBottom w:val="0"/>
      <w:divBdr>
        <w:top w:val="none" w:sz="0" w:space="0" w:color="auto"/>
        <w:left w:val="none" w:sz="0" w:space="0" w:color="auto"/>
        <w:bottom w:val="none" w:sz="0" w:space="0" w:color="auto"/>
        <w:right w:val="none" w:sz="0" w:space="0" w:color="auto"/>
      </w:divBdr>
    </w:div>
    <w:div w:id="1067727449">
      <w:bodyDiv w:val="1"/>
      <w:marLeft w:val="0"/>
      <w:marRight w:val="0"/>
      <w:marTop w:val="0"/>
      <w:marBottom w:val="0"/>
      <w:divBdr>
        <w:top w:val="none" w:sz="0" w:space="0" w:color="auto"/>
        <w:left w:val="none" w:sz="0" w:space="0" w:color="auto"/>
        <w:bottom w:val="none" w:sz="0" w:space="0" w:color="auto"/>
        <w:right w:val="none" w:sz="0" w:space="0" w:color="auto"/>
      </w:divBdr>
      <w:divsChild>
        <w:div w:id="198400425">
          <w:marLeft w:val="0"/>
          <w:marRight w:val="0"/>
          <w:marTop w:val="0"/>
          <w:marBottom w:val="0"/>
          <w:divBdr>
            <w:top w:val="none" w:sz="0" w:space="0" w:color="auto"/>
            <w:left w:val="none" w:sz="0" w:space="0" w:color="auto"/>
            <w:bottom w:val="none" w:sz="0" w:space="0" w:color="auto"/>
            <w:right w:val="none" w:sz="0" w:space="0" w:color="auto"/>
          </w:divBdr>
          <w:divsChild>
            <w:div w:id="1215963569">
              <w:marLeft w:val="0"/>
              <w:marRight w:val="0"/>
              <w:marTop w:val="225"/>
              <w:marBottom w:val="225"/>
              <w:divBdr>
                <w:top w:val="none" w:sz="0" w:space="0" w:color="auto"/>
                <w:left w:val="none" w:sz="0" w:space="0" w:color="auto"/>
                <w:bottom w:val="none" w:sz="0" w:space="0" w:color="auto"/>
                <w:right w:val="none" w:sz="0" w:space="0" w:color="auto"/>
              </w:divBdr>
            </w:div>
          </w:divsChild>
        </w:div>
        <w:div w:id="340621922">
          <w:marLeft w:val="0"/>
          <w:marRight w:val="0"/>
          <w:marTop w:val="0"/>
          <w:marBottom w:val="150"/>
          <w:divBdr>
            <w:top w:val="none" w:sz="0" w:space="0" w:color="auto"/>
            <w:left w:val="none" w:sz="0" w:space="0" w:color="auto"/>
            <w:bottom w:val="none" w:sz="0" w:space="0" w:color="auto"/>
            <w:right w:val="none" w:sz="0" w:space="0" w:color="auto"/>
          </w:divBdr>
        </w:div>
        <w:div w:id="1527140421">
          <w:marLeft w:val="0"/>
          <w:marRight w:val="0"/>
          <w:marTop w:val="0"/>
          <w:marBottom w:val="150"/>
          <w:divBdr>
            <w:top w:val="none" w:sz="0" w:space="0" w:color="auto"/>
            <w:left w:val="none" w:sz="0" w:space="0" w:color="auto"/>
            <w:bottom w:val="none" w:sz="0" w:space="0" w:color="auto"/>
            <w:right w:val="none" w:sz="0" w:space="0" w:color="auto"/>
          </w:divBdr>
          <w:divsChild>
            <w:div w:id="599873858">
              <w:marLeft w:val="0"/>
              <w:marRight w:val="0"/>
              <w:marTop w:val="0"/>
              <w:marBottom w:val="0"/>
              <w:divBdr>
                <w:top w:val="none" w:sz="0" w:space="0" w:color="auto"/>
                <w:left w:val="none" w:sz="0" w:space="0" w:color="auto"/>
                <w:bottom w:val="none" w:sz="0" w:space="0" w:color="auto"/>
                <w:right w:val="none" w:sz="0" w:space="0" w:color="auto"/>
              </w:divBdr>
              <w:divsChild>
                <w:div w:id="162084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728636">
      <w:bodyDiv w:val="1"/>
      <w:marLeft w:val="0"/>
      <w:marRight w:val="0"/>
      <w:marTop w:val="0"/>
      <w:marBottom w:val="0"/>
      <w:divBdr>
        <w:top w:val="none" w:sz="0" w:space="0" w:color="auto"/>
        <w:left w:val="none" w:sz="0" w:space="0" w:color="auto"/>
        <w:bottom w:val="none" w:sz="0" w:space="0" w:color="auto"/>
        <w:right w:val="none" w:sz="0" w:space="0" w:color="auto"/>
      </w:divBdr>
      <w:divsChild>
        <w:div w:id="145366183">
          <w:marLeft w:val="0"/>
          <w:marRight w:val="0"/>
          <w:marTop w:val="0"/>
          <w:marBottom w:val="0"/>
          <w:divBdr>
            <w:top w:val="none" w:sz="0" w:space="0" w:color="auto"/>
            <w:left w:val="none" w:sz="0" w:space="0" w:color="auto"/>
            <w:bottom w:val="none" w:sz="0" w:space="0" w:color="auto"/>
            <w:right w:val="none" w:sz="0" w:space="0" w:color="auto"/>
          </w:divBdr>
        </w:div>
        <w:div w:id="1684477353">
          <w:marLeft w:val="0"/>
          <w:marRight w:val="0"/>
          <w:marTop w:val="0"/>
          <w:marBottom w:val="150"/>
          <w:divBdr>
            <w:top w:val="none" w:sz="0" w:space="0" w:color="auto"/>
            <w:left w:val="none" w:sz="0" w:space="0" w:color="auto"/>
            <w:bottom w:val="none" w:sz="0" w:space="0" w:color="auto"/>
            <w:right w:val="none" w:sz="0" w:space="0" w:color="auto"/>
          </w:divBdr>
        </w:div>
      </w:divsChild>
    </w:div>
    <w:div w:id="1067730928">
      <w:bodyDiv w:val="1"/>
      <w:marLeft w:val="0"/>
      <w:marRight w:val="0"/>
      <w:marTop w:val="0"/>
      <w:marBottom w:val="0"/>
      <w:divBdr>
        <w:top w:val="none" w:sz="0" w:space="0" w:color="auto"/>
        <w:left w:val="none" w:sz="0" w:space="0" w:color="auto"/>
        <w:bottom w:val="none" w:sz="0" w:space="0" w:color="auto"/>
        <w:right w:val="none" w:sz="0" w:space="0" w:color="auto"/>
      </w:divBdr>
      <w:divsChild>
        <w:div w:id="2078741670">
          <w:marLeft w:val="0"/>
          <w:marRight w:val="0"/>
          <w:marTop w:val="0"/>
          <w:marBottom w:val="0"/>
          <w:divBdr>
            <w:top w:val="none" w:sz="0" w:space="0" w:color="auto"/>
            <w:left w:val="none" w:sz="0" w:space="0" w:color="auto"/>
            <w:bottom w:val="dotted" w:sz="6" w:space="4" w:color="DDDDDD"/>
            <w:right w:val="none" w:sz="0" w:space="0" w:color="auto"/>
          </w:divBdr>
          <w:divsChild>
            <w:div w:id="213945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919256">
      <w:bodyDiv w:val="1"/>
      <w:marLeft w:val="0"/>
      <w:marRight w:val="0"/>
      <w:marTop w:val="0"/>
      <w:marBottom w:val="0"/>
      <w:divBdr>
        <w:top w:val="none" w:sz="0" w:space="0" w:color="auto"/>
        <w:left w:val="none" w:sz="0" w:space="0" w:color="auto"/>
        <w:bottom w:val="none" w:sz="0" w:space="0" w:color="auto"/>
        <w:right w:val="none" w:sz="0" w:space="0" w:color="auto"/>
      </w:divBdr>
      <w:divsChild>
        <w:div w:id="1476223034">
          <w:marLeft w:val="0"/>
          <w:marRight w:val="0"/>
          <w:marTop w:val="0"/>
          <w:marBottom w:val="0"/>
          <w:divBdr>
            <w:top w:val="none" w:sz="0" w:space="0" w:color="auto"/>
            <w:left w:val="none" w:sz="0" w:space="0" w:color="auto"/>
            <w:bottom w:val="none" w:sz="0" w:space="0" w:color="auto"/>
            <w:right w:val="none" w:sz="0" w:space="0" w:color="auto"/>
          </w:divBdr>
          <w:divsChild>
            <w:div w:id="199126963">
              <w:marLeft w:val="0"/>
              <w:marRight w:val="0"/>
              <w:marTop w:val="0"/>
              <w:marBottom w:val="0"/>
              <w:divBdr>
                <w:top w:val="none" w:sz="0" w:space="0" w:color="auto"/>
                <w:left w:val="none" w:sz="0" w:space="0" w:color="auto"/>
                <w:bottom w:val="none" w:sz="0" w:space="0" w:color="auto"/>
                <w:right w:val="none" w:sz="0" w:space="0" w:color="auto"/>
              </w:divBdr>
              <w:divsChild>
                <w:div w:id="1470241057">
                  <w:marLeft w:val="0"/>
                  <w:marRight w:val="0"/>
                  <w:marTop w:val="0"/>
                  <w:marBottom w:val="0"/>
                  <w:divBdr>
                    <w:top w:val="none" w:sz="0" w:space="0" w:color="auto"/>
                    <w:left w:val="none" w:sz="0" w:space="0" w:color="auto"/>
                    <w:bottom w:val="none" w:sz="0" w:space="0" w:color="auto"/>
                    <w:right w:val="none" w:sz="0" w:space="0" w:color="auto"/>
                  </w:divBdr>
                  <w:divsChild>
                    <w:div w:id="1963002593">
                      <w:marLeft w:val="0"/>
                      <w:marRight w:val="0"/>
                      <w:marTop w:val="0"/>
                      <w:marBottom w:val="0"/>
                      <w:divBdr>
                        <w:top w:val="none" w:sz="0" w:space="0" w:color="auto"/>
                        <w:left w:val="none" w:sz="0" w:space="0" w:color="auto"/>
                        <w:bottom w:val="none" w:sz="0" w:space="0" w:color="auto"/>
                        <w:right w:val="none" w:sz="0" w:space="0" w:color="auto"/>
                      </w:divBdr>
                      <w:divsChild>
                        <w:div w:id="13876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7924758">
      <w:bodyDiv w:val="1"/>
      <w:marLeft w:val="0"/>
      <w:marRight w:val="0"/>
      <w:marTop w:val="0"/>
      <w:marBottom w:val="0"/>
      <w:divBdr>
        <w:top w:val="none" w:sz="0" w:space="0" w:color="auto"/>
        <w:left w:val="none" w:sz="0" w:space="0" w:color="auto"/>
        <w:bottom w:val="none" w:sz="0" w:space="0" w:color="auto"/>
        <w:right w:val="none" w:sz="0" w:space="0" w:color="auto"/>
      </w:divBdr>
      <w:divsChild>
        <w:div w:id="1049299727">
          <w:marLeft w:val="0"/>
          <w:marRight w:val="0"/>
          <w:marTop w:val="0"/>
          <w:marBottom w:val="0"/>
          <w:divBdr>
            <w:top w:val="none" w:sz="0" w:space="0" w:color="auto"/>
            <w:left w:val="none" w:sz="0" w:space="0" w:color="auto"/>
            <w:bottom w:val="none" w:sz="0" w:space="0" w:color="auto"/>
            <w:right w:val="none" w:sz="0" w:space="0" w:color="auto"/>
          </w:divBdr>
          <w:divsChild>
            <w:div w:id="1207062305">
              <w:marLeft w:val="0"/>
              <w:marRight w:val="0"/>
              <w:marTop w:val="0"/>
              <w:marBottom w:val="0"/>
              <w:divBdr>
                <w:top w:val="none" w:sz="0" w:space="0" w:color="auto"/>
                <w:left w:val="none" w:sz="0" w:space="0" w:color="auto"/>
                <w:bottom w:val="none" w:sz="0" w:space="0" w:color="auto"/>
                <w:right w:val="none" w:sz="0" w:space="0" w:color="auto"/>
              </w:divBdr>
              <w:divsChild>
                <w:div w:id="1040938027">
                  <w:marLeft w:val="0"/>
                  <w:marRight w:val="0"/>
                  <w:marTop w:val="0"/>
                  <w:marBottom w:val="0"/>
                  <w:divBdr>
                    <w:top w:val="none" w:sz="0" w:space="0" w:color="auto"/>
                    <w:left w:val="none" w:sz="0" w:space="0" w:color="auto"/>
                    <w:bottom w:val="none" w:sz="0" w:space="0" w:color="auto"/>
                    <w:right w:val="none" w:sz="0" w:space="0" w:color="auto"/>
                  </w:divBdr>
                  <w:divsChild>
                    <w:div w:id="1246692998">
                      <w:marLeft w:val="0"/>
                      <w:marRight w:val="0"/>
                      <w:marTop w:val="0"/>
                      <w:marBottom w:val="0"/>
                      <w:divBdr>
                        <w:top w:val="none" w:sz="0" w:space="0" w:color="auto"/>
                        <w:left w:val="none" w:sz="0" w:space="0" w:color="auto"/>
                        <w:bottom w:val="none" w:sz="0" w:space="0" w:color="auto"/>
                        <w:right w:val="none" w:sz="0" w:space="0" w:color="auto"/>
                      </w:divBdr>
                      <w:divsChild>
                        <w:div w:id="1869416117">
                          <w:marLeft w:val="0"/>
                          <w:marRight w:val="0"/>
                          <w:marTop w:val="0"/>
                          <w:marBottom w:val="0"/>
                          <w:divBdr>
                            <w:top w:val="none" w:sz="0" w:space="0" w:color="auto"/>
                            <w:left w:val="none" w:sz="0" w:space="0" w:color="auto"/>
                            <w:bottom w:val="none" w:sz="0" w:space="0" w:color="auto"/>
                            <w:right w:val="none" w:sz="0" w:space="0" w:color="auto"/>
                          </w:divBdr>
                          <w:divsChild>
                            <w:div w:id="210209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8187164">
      <w:bodyDiv w:val="1"/>
      <w:marLeft w:val="0"/>
      <w:marRight w:val="0"/>
      <w:marTop w:val="0"/>
      <w:marBottom w:val="0"/>
      <w:divBdr>
        <w:top w:val="none" w:sz="0" w:space="0" w:color="auto"/>
        <w:left w:val="none" w:sz="0" w:space="0" w:color="auto"/>
        <w:bottom w:val="none" w:sz="0" w:space="0" w:color="auto"/>
        <w:right w:val="none" w:sz="0" w:space="0" w:color="auto"/>
      </w:divBdr>
    </w:div>
    <w:div w:id="1068763881">
      <w:bodyDiv w:val="1"/>
      <w:marLeft w:val="0"/>
      <w:marRight w:val="0"/>
      <w:marTop w:val="0"/>
      <w:marBottom w:val="0"/>
      <w:divBdr>
        <w:top w:val="none" w:sz="0" w:space="0" w:color="auto"/>
        <w:left w:val="none" w:sz="0" w:space="0" w:color="auto"/>
        <w:bottom w:val="none" w:sz="0" w:space="0" w:color="auto"/>
        <w:right w:val="none" w:sz="0" w:space="0" w:color="auto"/>
      </w:divBdr>
      <w:divsChild>
        <w:div w:id="1232428022">
          <w:marLeft w:val="0"/>
          <w:marRight w:val="0"/>
          <w:marTop w:val="0"/>
          <w:marBottom w:val="150"/>
          <w:divBdr>
            <w:top w:val="none" w:sz="0" w:space="0" w:color="auto"/>
            <w:left w:val="none" w:sz="0" w:space="0" w:color="auto"/>
            <w:bottom w:val="none" w:sz="0" w:space="0" w:color="auto"/>
            <w:right w:val="none" w:sz="0" w:space="0" w:color="auto"/>
          </w:divBdr>
          <w:divsChild>
            <w:div w:id="2103380104">
              <w:marLeft w:val="0"/>
              <w:marRight w:val="0"/>
              <w:marTop w:val="0"/>
              <w:marBottom w:val="0"/>
              <w:divBdr>
                <w:top w:val="none" w:sz="0" w:space="0" w:color="auto"/>
                <w:left w:val="none" w:sz="0" w:space="0" w:color="auto"/>
                <w:bottom w:val="none" w:sz="0" w:space="0" w:color="auto"/>
                <w:right w:val="none" w:sz="0" w:space="0" w:color="auto"/>
              </w:divBdr>
              <w:divsChild>
                <w:div w:id="113905868">
                  <w:marLeft w:val="0"/>
                  <w:marRight w:val="0"/>
                  <w:marTop w:val="0"/>
                  <w:marBottom w:val="0"/>
                  <w:divBdr>
                    <w:top w:val="none" w:sz="0" w:space="0" w:color="auto"/>
                    <w:left w:val="none" w:sz="0" w:space="0" w:color="auto"/>
                    <w:bottom w:val="none" w:sz="0" w:space="0" w:color="auto"/>
                    <w:right w:val="none" w:sz="0" w:space="0" w:color="auto"/>
                  </w:divBdr>
                  <w:divsChild>
                    <w:div w:id="1601453968">
                      <w:marLeft w:val="0"/>
                      <w:marRight w:val="150"/>
                      <w:marTop w:val="0"/>
                      <w:marBottom w:val="0"/>
                      <w:divBdr>
                        <w:top w:val="none" w:sz="0" w:space="0" w:color="auto"/>
                        <w:left w:val="none" w:sz="0" w:space="0" w:color="auto"/>
                        <w:bottom w:val="none" w:sz="0" w:space="0" w:color="auto"/>
                        <w:right w:val="none" w:sz="0" w:space="0" w:color="auto"/>
                      </w:divBdr>
                      <w:divsChild>
                        <w:div w:id="120699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83499">
          <w:marLeft w:val="0"/>
          <w:marRight w:val="0"/>
          <w:marTop w:val="0"/>
          <w:marBottom w:val="150"/>
          <w:divBdr>
            <w:top w:val="none" w:sz="0" w:space="0" w:color="auto"/>
            <w:left w:val="none" w:sz="0" w:space="0" w:color="auto"/>
            <w:bottom w:val="none" w:sz="0" w:space="0" w:color="auto"/>
            <w:right w:val="none" w:sz="0" w:space="0" w:color="auto"/>
          </w:divBdr>
        </w:div>
        <w:div w:id="1941599388">
          <w:marLeft w:val="0"/>
          <w:marRight w:val="0"/>
          <w:marTop w:val="0"/>
          <w:marBottom w:val="0"/>
          <w:divBdr>
            <w:top w:val="none" w:sz="0" w:space="0" w:color="auto"/>
            <w:left w:val="none" w:sz="0" w:space="0" w:color="auto"/>
            <w:bottom w:val="none" w:sz="0" w:space="0" w:color="auto"/>
            <w:right w:val="none" w:sz="0" w:space="0" w:color="auto"/>
          </w:divBdr>
          <w:divsChild>
            <w:div w:id="111066145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69111868">
      <w:bodyDiv w:val="1"/>
      <w:marLeft w:val="0"/>
      <w:marRight w:val="0"/>
      <w:marTop w:val="0"/>
      <w:marBottom w:val="0"/>
      <w:divBdr>
        <w:top w:val="none" w:sz="0" w:space="0" w:color="auto"/>
        <w:left w:val="none" w:sz="0" w:space="0" w:color="auto"/>
        <w:bottom w:val="none" w:sz="0" w:space="0" w:color="auto"/>
        <w:right w:val="none" w:sz="0" w:space="0" w:color="auto"/>
      </w:divBdr>
      <w:divsChild>
        <w:div w:id="1846433096">
          <w:marLeft w:val="0"/>
          <w:marRight w:val="0"/>
          <w:marTop w:val="0"/>
          <w:marBottom w:val="0"/>
          <w:divBdr>
            <w:top w:val="none" w:sz="0" w:space="0" w:color="auto"/>
            <w:left w:val="none" w:sz="0" w:space="0" w:color="auto"/>
            <w:bottom w:val="none" w:sz="0" w:space="0" w:color="auto"/>
            <w:right w:val="none" w:sz="0" w:space="0" w:color="auto"/>
          </w:divBdr>
          <w:divsChild>
            <w:div w:id="640110190">
              <w:marLeft w:val="0"/>
              <w:marRight w:val="0"/>
              <w:marTop w:val="0"/>
              <w:marBottom w:val="0"/>
              <w:divBdr>
                <w:top w:val="none" w:sz="0" w:space="0" w:color="auto"/>
                <w:left w:val="none" w:sz="0" w:space="0" w:color="auto"/>
                <w:bottom w:val="none" w:sz="0" w:space="0" w:color="auto"/>
                <w:right w:val="none" w:sz="0" w:space="0" w:color="auto"/>
              </w:divBdr>
              <w:divsChild>
                <w:div w:id="2087871202">
                  <w:marLeft w:val="0"/>
                  <w:marRight w:val="0"/>
                  <w:marTop w:val="0"/>
                  <w:marBottom w:val="0"/>
                  <w:divBdr>
                    <w:top w:val="none" w:sz="0" w:space="0" w:color="auto"/>
                    <w:left w:val="none" w:sz="0" w:space="0" w:color="auto"/>
                    <w:bottom w:val="none" w:sz="0" w:space="0" w:color="auto"/>
                    <w:right w:val="none" w:sz="0" w:space="0" w:color="auto"/>
                  </w:divBdr>
                  <w:divsChild>
                    <w:div w:id="1503743692">
                      <w:marLeft w:val="0"/>
                      <w:marRight w:val="0"/>
                      <w:marTop w:val="0"/>
                      <w:marBottom w:val="0"/>
                      <w:divBdr>
                        <w:top w:val="none" w:sz="0" w:space="0" w:color="auto"/>
                        <w:left w:val="none" w:sz="0" w:space="0" w:color="auto"/>
                        <w:bottom w:val="none" w:sz="0" w:space="0" w:color="auto"/>
                        <w:right w:val="none" w:sz="0" w:space="0" w:color="auto"/>
                      </w:divBdr>
                      <w:divsChild>
                        <w:div w:id="1438255130">
                          <w:marLeft w:val="0"/>
                          <w:marRight w:val="0"/>
                          <w:marTop w:val="0"/>
                          <w:marBottom w:val="0"/>
                          <w:divBdr>
                            <w:top w:val="none" w:sz="0" w:space="0" w:color="auto"/>
                            <w:left w:val="none" w:sz="0" w:space="0" w:color="auto"/>
                            <w:bottom w:val="none" w:sz="0" w:space="0" w:color="auto"/>
                            <w:right w:val="none" w:sz="0" w:space="0" w:color="auto"/>
                          </w:divBdr>
                          <w:divsChild>
                            <w:div w:id="725027699">
                              <w:marLeft w:val="0"/>
                              <w:marRight w:val="0"/>
                              <w:marTop w:val="0"/>
                              <w:marBottom w:val="0"/>
                              <w:divBdr>
                                <w:top w:val="none" w:sz="0" w:space="0" w:color="auto"/>
                                <w:left w:val="none" w:sz="0" w:space="0" w:color="auto"/>
                                <w:bottom w:val="none" w:sz="0" w:space="0" w:color="auto"/>
                                <w:right w:val="none" w:sz="0" w:space="0" w:color="auto"/>
                              </w:divBdr>
                              <w:divsChild>
                                <w:div w:id="2140340759">
                                  <w:marLeft w:val="0"/>
                                  <w:marRight w:val="0"/>
                                  <w:marTop w:val="0"/>
                                  <w:marBottom w:val="0"/>
                                  <w:divBdr>
                                    <w:top w:val="none" w:sz="0" w:space="0" w:color="auto"/>
                                    <w:left w:val="none" w:sz="0" w:space="0" w:color="auto"/>
                                    <w:bottom w:val="none" w:sz="0" w:space="0" w:color="auto"/>
                                    <w:right w:val="none" w:sz="0" w:space="0" w:color="auto"/>
                                  </w:divBdr>
                                  <w:divsChild>
                                    <w:div w:id="170418646">
                                      <w:marLeft w:val="0"/>
                                      <w:marRight w:val="0"/>
                                      <w:marTop w:val="0"/>
                                      <w:marBottom w:val="0"/>
                                      <w:divBdr>
                                        <w:top w:val="none" w:sz="0" w:space="0" w:color="auto"/>
                                        <w:left w:val="none" w:sz="0" w:space="0" w:color="auto"/>
                                        <w:bottom w:val="none" w:sz="0" w:space="0" w:color="auto"/>
                                        <w:right w:val="none" w:sz="0" w:space="0" w:color="auto"/>
                                      </w:divBdr>
                                      <w:divsChild>
                                        <w:div w:id="366026175">
                                          <w:marLeft w:val="0"/>
                                          <w:marRight w:val="0"/>
                                          <w:marTop w:val="0"/>
                                          <w:marBottom w:val="0"/>
                                          <w:divBdr>
                                            <w:top w:val="none" w:sz="0" w:space="0" w:color="auto"/>
                                            <w:left w:val="none" w:sz="0" w:space="0" w:color="auto"/>
                                            <w:bottom w:val="none" w:sz="0" w:space="0" w:color="auto"/>
                                            <w:right w:val="none" w:sz="0" w:space="0" w:color="auto"/>
                                          </w:divBdr>
                                        </w:div>
                                        <w:div w:id="911543631">
                                          <w:marLeft w:val="0"/>
                                          <w:marRight w:val="0"/>
                                          <w:marTop w:val="0"/>
                                          <w:marBottom w:val="0"/>
                                          <w:divBdr>
                                            <w:top w:val="none" w:sz="0" w:space="0" w:color="auto"/>
                                            <w:left w:val="none" w:sz="0" w:space="0" w:color="auto"/>
                                            <w:bottom w:val="none" w:sz="0" w:space="0" w:color="auto"/>
                                            <w:right w:val="none" w:sz="0" w:space="0" w:color="auto"/>
                                          </w:divBdr>
                                        </w:div>
                                      </w:divsChild>
                                    </w:div>
                                    <w:div w:id="744231640">
                                      <w:marLeft w:val="0"/>
                                      <w:marRight w:val="0"/>
                                      <w:marTop w:val="0"/>
                                      <w:marBottom w:val="0"/>
                                      <w:divBdr>
                                        <w:top w:val="none" w:sz="0" w:space="0" w:color="auto"/>
                                        <w:left w:val="none" w:sz="0" w:space="0" w:color="auto"/>
                                        <w:bottom w:val="none" w:sz="0" w:space="0" w:color="auto"/>
                                        <w:right w:val="none" w:sz="0" w:space="0" w:color="auto"/>
                                      </w:divBdr>
                                      <w:divsChild>
                                        <w:div w:id="191754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9688930">
      <w:bodyDiv w:val="1"/>
      <w:marLeft w:val="0"/>
      <w:marRight w:val="0"/>
      <w:marTop w:val="0"/>
      <w:marBottom w:val="0"/>
      <w:divBdr>
        <w:top w:val="none" w:sz="0" w:space="0" w:color="auto"/>
        <w:left w:val="none" w:sz="0" w:space="0" w:color="auto"/>
        <w:bottom w:val="none" w:sz="0" w:space="0" w:color="auto"/>
        <w:right w:val="none" w:sz="0" w:space="0" w:color="auto"/>
      </w:divBdr>
    </w:div>
    <w:div w:id="1069964853">
      <w:bodyDiv w:val="1"/>
      <w:marLeft w:val="0"/>
      <w:marRight w:val="0"/>
      <w:marTop w:val="0"/>
      <w:marBottom w:val="0"/>
      <w:divBdr>
        <w:top w:val="none" w:sz="0" w:space="0" w:color="auto"/>
        <w:left w:val="none" w:sz="0" w:space="0" w:color="auto"/>
        <w:bottom w:val="none" w:sz="0" w:space="0" w:color="auto"/>
        <w:right w:val="none" w:sz="0" w:space="0" w:color="auto"/>
      </w:divBdr>
      <w:divsChild>
        <w:div w:id="757799034">
          <w:marLeft w:val="0"/>
          <w:marRight w:val="0"/>
          <w:marTop w:val="0"/>
          <w:marBottom w:val="150"/>
          <w:divBdr>
            <w:top w:val="none" w:sz="0" w:space="0" w:color="auto"/>
            <w:left w:val="none" w:sz="0" w:space="0" w:color="auto"/>
            <w:bottom w:val="none" w:sz="0" w:space="0" w:color="auto"/>
            <w:right w:val="none" w:sz="0" w:space="0" w:color="auto"/>
          </w:divBdr>
        </w:div>
        <w:div w:id="1029528393">
          <w:marLeft w:val="0"/>
          <w:marRight w:val="0"/>
          <w:marTop w:val="0"/>
          <w:marBottom w:val="150"/>
          <w:divBdr>
            <w:top w:val="none" w:sz="0" w:space="0" w:color="auto"/>
            <w:left w:val="none" w:sz="0" w:space="0" w:color="auto"/>
            <w:bottom w:val="none" w:sz="0" w:space="0" w:color="auto"/>
            <w:right w:val="none" w:sz="0" w:space="0" w:color="auto"/>
          </w:divBdr>
          <w:divsChild>
            <w:div w:id="1332221958">
              <w:marLeft w:val="0"/>
              <w:marRight w:val="0"/>
              <w:marTop w:val="0"/>
              <w:marBottom w:val="0"/>
              <w:divBdr>
                <w:top w:val="none" w:sz="0" w:space="0" w:color="auto"/>
                <w:left w:val="none" w:sz="0" w:space="0" w:color="auto"/>
                <w:bottom w:val="none" w:sz="0" w:space="0" w:color="auto"/>
                <w:right w:val="none" w:sz="0" w:space="0" w:color="auto"/>
              </w:divBdr>
              <w:divsChild>
                <w:div w:id="195428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761642">
          <w:marLeft w:val="0"/>
          <w:marRight w:val="0"/>
          <w:marTop w:val="0"/>
          <w:marBottom w:val="0"/>
          <w:divBdr>
            <w:top w:val="none" w:sz="0" w:space="0" w:color="auto"/>
            <w:left w:val="none" w:sz="0" w:space="0" w:color="auto"/>
            <w:bottom w:val="none" w:sz="0" w:space="0" w:color="auto"/>
            <w:right w:val="none" w:sz="0" w:space="0" w:color="auto"/>
          </w:divBdr>
          <w:divsChild>
            <w:div w:id="16238088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70158162">
      <w:bodyDiv w:val="1"/>
      <w:marLeft w:val="0"/>
      <w:marRight w:val="0"/>
      <w:marTop w:val="0"/>
      <w:marBottom w:val="0"/>
      <w:divBdr>
        <w:top w:val="none" w:sz="0" w:space="0" w:color="auto"/>
        <w:left w:val="none" w:sz="0" w:space="0" w:color="auto"/>
        <w:bottom w:val="none" w:sz="0" w:space="0" w:color="auto"/>
        <w:right w:val="none" w:sz="0" w:space="0" w:color="auto"/>
      </w:divBdr>
      <w:divsChild>
        <w:div w:id="1546798463">
          <w:marLeft w:val="0"/>
          <w:marRight w:val="0"/>
          <w:marTop w:val="0"/>
          <w:marBottom w:val="0"/>
          <w:divBdr>
            <w:top w:val="none" w:sz="0" w:space="0" w:color="auto"/>
            <w:left w:val="none" w:sz="0" w:space="0" w:color="auto"/>
            <w:bottom w:val="dotted" w:sz="6" w:space="4" w:color="DDDDDD"/>
            <w:right w:val="none" w:sz="0" w:space="0" w:color="auto"/>
          </w:divBdr>
        </w:div>
      </w:divsChild>
    </w:div>
    <w:div w:id="1070270440">
      <w:marLeft w:val="0"/>
      <w:marRight w:val="0"/>
      <w:marTop w:val="0"/>
      <w:marBottom w:val="0"/>
      <w:divBdr>
        <w:top w:val="none" w:sz="0" w:space="0" w:color="auto"/>
        <w:left w:val="none" w:sz="0" w:space="0" w:color="auto"/>
        <w:bottom w:val="none" w:sz="0" w:space="0" w:color="auto"/>
        <w:right w:val="none" w:sz="0" w:space="0" w:color="auto"/>
      </w:divBdr>
      <w:divsChild>
        <w:div w:id="178005900">
          <w:marLeft w:val="0"/>
          <w:marRight w:val="0"/>
          <w:marTop w:val="45"/>
          <w:marBottom w:val="300"/>
          <w:divBdr>
            <w:top w:val="none" w:sz="0" w:space="0" w:color="auto"/>
            <w:left w:val="none" w:sz="0" w:space="0" w:color="auto"/>
            <w:bottom w:val="none" w:sz="0" w:space="0" w:color="auto"/>
            <w:right w:val="none" w:sz="0" w:space="0" w:color="auto"/>
          </w:divBdr>
        </w:div>
        <w:div w:id="496264478">
          <w:marLeft w:val="0"/>
          <w:marRight w:val="75"/>
          <w:marTop w:val="0"/>
          <w:marBottom w:val="0"/>
          <w:divBdr>
            <w:top w:val="none" w:sz="0" w:space="0" w:color="auto"/>
            <w:left w:val="none" w:sz="0" w:space="0" w:color="auto"/>
            <w:bottom w:val="none" w:sz="0" w:space="0" w:color="auto"/>
            <w:right w:val="none" w:sz="0" w:space="0" w:color="auto"/>
          </w:divBdr>
        </w:div>
        <w:div w:id="1521163676">
          <w:marLeft w:val="0"/>
          <w:marRight w:val="0"/>
          <w:marTop w:val="45"/>
          <w:marBottom w:val="300"/>
          <w:divBdr>
            <w:top w:val="none" w:sz="0" w:space="0" w:color="auto"/>
            <w:left w:val="none" w:sz="0" w:space="0" w:color="auto"/>
            <w:bottom w:val="none" w:sz="0" w:space="0" w:color="auto"/>
            <w:right w:val="none" w:sz="0" w:space="0" w:color="auto"/>
          </w:divBdr>
        </w:div>
      </w:divsChild>
    </w:div>
    <w:div w:id="1070351899">
      <w:bodyDiv w:val="1"/>
      <w:marLeft w:val="0"/>
      <w:marRight w:val="0"/>
      <w:marTop w:val="0"/>
      <w:marBottom w:val="0"/>
      <w:divBdr>
        <w:top w:val="none" w:sz="0" w:space="0" w:color="auto"/>
        <w:left w:val="none" w:sz="0" w:space="0" w:color="auto"/>
        <w:bottom w:val="none" w:sz="0" w:space="0" w:color="auto"/>
        <w:right w:val="none" w:sz="0" w:space="0" w:color="auto"/>
      </w:divBdr>
      <w:divsChild>
        <w:div w:id="1229264856">
          <w:marLeft w:val="0"/>
          <w:marRight w:val="0"/>
          <w:marTop w:val="0"/>
          <w:marBottom w:val="0"/>
          <w:divBdr>
            <w:top w:val="none" w:sz="0" w:space="0" w:color="auto"/>
            <w:left w:val="none" w:sz="0" w:space="0" w:color="auto"/>
            <w:bottom w:val="none" w:sz="0" w:space="0" w:color="auto"/>
            <w:right w:val="none" w:sz="0" w:space="0" w:color="auto"/>
          </w:divBdr>
          <w:divsChild>
            <w:div w:id="466892719">
              <w:marLeft w:val="0"/>
              <w:marRight w:val="0"/>
              <w:marTop w:val="0"/>
              <w:marBottom w:val="0"/>
              <w:divBdr>
                <w:top w:val="none" w:sz="0" w:space="0" w:color="auto"/>
                <w:left w:val="none" w:sz="0" w:space="0" w:color="auto"/>
                <w:bottom w:val="none" w:sz="0" w:space="0" w:color="auto"/>
                <w:right w:val="none" w:sz="0" w:space="0" w:color="auto"/>
              </w:divBdr>
              <w:divsChild>
                <w:div w:id="1400976605">
                  <w:marLeft w:val="0"/>
                  <w:marRight w:val="0"/>
                  <w:marTop w:val="0"/>
                  <w:marBottom w:val="0"/>
                  <w:divBdr>
                    <w:top w:val="none" w:sz="0" w:space="0" w:color="auto"/>
                    <w:left w:val="none" w:sz="0" w:space="0" w:color="auto"/>
                    <w:bottom w:val="none" w:sz="0" w:space="0" w:color="auto"/>
                    <w:right w:val="none" w:sz="0" w:space="0" w:color="auto"/>
                  </w:divBdr>
                  <w:divsChild>
                    <w:div w:id="1705909445">
                      <w:marLeft w:val="0"/>
                      <w:marRight w:val="0"/>
                      <w:marTop w:val="0"/>
                      <w:marBottom w:val="0"/>
                      <w:divBdr>
                        <w:top w:val="none" w:sz="0" w:space="0" w:color="auto"/>
                        <w:left w:val="none" w:sz="0" w:space="0" w:color="auto"/>
                        <w:bottom w:val="none" w:sz="0" w:space="0" w:color="auto"/>
                        <w:right w:val="none" w:sz="0" w:space="0" w:color="auto"/>
                      </w:divBdr>
                      <w:divsChild>
                        <w:div w:id="542906339">
                          <w:marLeft w:val="0"/>
                          <w:marRight w:val="0"/>
                          <w:marTop w:val="0"/>
                          <w:marBottom w:val="0"/>
                          <w:divBdr>
                            <w:top w:val="none" w:sz="0" w:space="0" w:color="auto"/>
                            <w:left w:val="none" w:sz="0" w:space="0" w:color="auto"/>
                            <w:bottom w:val="none" w:sz="0" w:space="0" w:color="auto"/>
                            <w:right w:val="none" w:sz="0" w:space="0" w:color="auto"/>
                          </w:divBdr>
                          <w:divsChild>
                            <w:div w:id="915481663">
                              <w:marLeft w:val="0"/>
                              <w:marRight w:val="0"/>
                              <w:marTop w:val="0"/>
                              <w:marBottom w:val="0"/>
                              <w:divBdr>
                                <w:top w:val="none" w:sz="0" w:space="0" w:color="auto"/>
                                <w:left w:val="none" w:sz="0" w:space="0" w:color="auto"/>
                                <w:bottom w:val="none" w:sz="0" w:space="0" w:color="auto"/>
                                <w:right w:val="none" w:sz="0" w:space="0" w:color="auto"/>
                              </w:divBdr>
                              <w:divsChild>
                                <w:div w:id="62851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1198039">
      <w:bodyDiv w:val="1"/>
      <w:marLeft w:val="0"/>
      <w:marRight w:val="0"/>
      <w:marTop w:val="0"/>
      <w:marBottom w:val="0"/>
      <w:divBdr>
        <w:top w:val="none" w:sz="0" w:space="0" w:color="auto"/>
        <w:left w:val="none" w:sz="0" w:space="0" w:color="auto"/>
        <w:bottom w:val="none" w:sz="0" w:space="0" w:color="auto"/>
        <w:right w:val="none" w:sz="0" w:space="0" w:color="auto"/>
      </w:divBdr>
      <w:divsChild>
        <w:div w:id="48693440">
          <w:marLeft w:val="0"/>
          <w:marRight w:val="0"/>
          <w:marTop w:val="0"/>
          <w:marBottom w:val="150"/>
          <w:divBdr>
            <w:top w:val="none" w:sz="0" w:space="0" w:color="auto"/>
            <w:left w:val="none" w:sz="0" w:space="0" w:color="auto"/>
            <w:bottom w:val="none" w:sz="0" w:space="0" w:color="auto"/>
            <w:right w:val="none" w:sz="0" w:space="0" w:color="auto"/>
          </w:divBdr>
        </w:div>
        <w:div w:id="307519022">
          <w:marLeft w:val="0"/>
          <w:marRight w:val="0"/>
          <w:marTop w:val="0"/>
          <w:marBottom w:val="150"/>
          <w:divBdr>
            <w:top w:val="none" w:sz="0" w:space="0" w:color="auto"/>
            <w:left w:val="none" w:sz="0" w:space="0" w:color="auto"/>
            <w:bottom w:val="none" w:sz="0" w:space="0" w:color="auto"/>
            <w:right w:val="none" w:sz="0" w:space="0" w:color="auto"/>
          </w:divBdr>
        </w:div>
        <w:div w:id="342635387">
          <w:marLeft w:val="0"/>
          <w:marRight w:val="0"/>
          <w:marTop w:val="0"/>
          <w:marBottom w:val="150"/>
          <w:divBdr>
            <w:top w:val="none" w:sz="0" w:space="0" w:color="auto"/>
            <w:left w:val="none" w:sz="0" w:space="0" w:color="auto"/>
            <w:bottom w:val="none" w:sz="0" w:space="0" w:color="auto"/>
            <w:right w:val="none" w:sz="0" w:space="0" w:color="auto"/>
          </w:divBdr>
        </w:div>
        <w:div w:id="432017132">
          <w:marLeft w:val="0"/>
          <w:marRight w:val="0"/>
          <w:marTop w:val="0"/>
          <w:marBottom w:val="150"/>
          <w:divBdr>
            <w:top w:val="none" w:sz="0" w:space="0" w:color="auto"/>
            <w:left w:val="none" w:sz="0" w:space="0" w:color="auto"/>
            <w:bottom w:val="none" w:sz="0" w:space="0" w:color="auto"/>
            <w:right w:val="none" w:sz="0" w:space="0" w:color="auto"/>
          </w:divBdr>
        </w:div>
        <w:div w:id="491067514">
          <w:marLeft w:val="0"/>
          <w:marRight w:val="0"/>
          <w:marTop w:val="0"/>
          <w:marBottom w:val="150"/>
          <w:divBdr>
            <w:top w:val="none" w:sz="0" w:space="0" w:color="auto"/>
            <w:left w:val="none" w:sz="0" w:space="0" w:color="auto"/>
            <w:bottom w:val="none" w:sz="0" w:space="0" w:color="auto"/>
            <w:right w:val="none" w:sz="0" w:space="0" w:color="auto"/>
          </w:divBdr>
        </w:div>
        <w:div w:id="612711253">
          <w:marLeft w:val="0"/>
          <w:marRight w:val="0"/>
          <w:marTop w:val="0"/>
          <w:marBottom w:val="150"/>
          <w:divBdr>
            <w:top w:val="none" w:sz="0" w:space="0" w:color="auto"/>
            <w:left w:val="none" w:sz="0" w:space="0" w:color="auto"/>
            <w:bottom w:val="none" w:sz="0" w:space="0" w:color="auto"/>
            <w:right w:val="none" w:sz="0" w:space="0" w:color="auto"/>
          </w:divBdr>
        </w:div>
        <w:div w:id="868294907">
          <w:marLeft w:val="0"/>
          <w:marRight w:val="0"/>
          <w:marTop w:val="0"/>
          <w:marBottom w:val="150"/>
          <w:divBdr>
            <w:top w:val="none" w:sz="0" w:space="0" w:color="auto"/>
            <w:left w:val="none" w:sz="0" w:space="0" w:color="auto"/>
            <w:bottom w:val="none" w:sz="0" w:space="0" w:color="auto"/>
            <w:right w:val="none" w:sz="0" w:space="0" w:color="auto"/>
          </w:divBdr>
        </w:div>
        <w:div w:id="979187057">
          <w:marLeft w:val="0"/>
          <w:marRight w:val="0"/>
          <w:marTop w:val="0"/>
          <w:marBottom w:val="150"/>
          <w:divBdr>
            <w:top w:val="none" w:sz="0" w:space="0" w:color="auto"/>
            <w:left w:val="none" w:sz="0" w:space="0" w:color="auto"/>
            <w:bottom w:val="none" w:sz="0" w:space="0" w:color="auto"/>
            <w:right w:val="none" w:sz="0" w:space="0" w:color="auto"/>
          </w:divBdr>
        </w:div>
        <w:div w:id="1035622775">
          <w:marLeft w:val="0"/>
          <w:marRight w:val="0"/>
          <w:marTop w:val="0"/>
          <w:marBottom w:val="150"/>
          <w:divBdr>
            <w:top w:val="none" w:sz="0" w:space="0" w:color="auto"/>
            <w:left w:val="none" w:sz="0" w:space="0" w:color="auto"/>
            <w:bottom w:val="none" w:sz="0" w:space="0" w:color="auto"/>
            <w:right w:val="none" w:sz="0" w:space="0" w:color="auto"/>
          </w:divBdr>
        </w:div>
        <w:div w:id="1274555860">
          <w:marLeft w:val="0"/>
          <w:marRight w:val="0"/>
          <w:marTop w:val="0"/>
          <w:marBottom w:val="150"/>
          <w:divBdr>
            <w:top w:val="none" w:sz="0" w:space="0" w:color="auto"/>
            <w:left w:val="none" w:sz="0" w:space="0" w:color="auto"/>
            <w:bottom w:val="none" w:sz="0" w:space="0" w:color="auto"/>
            <w:right w:val="none" w:sz="0" w:space="0" w:color="auto"/>
          </w:divBdr>
        </w:div>
        <w:div w:id="1408959100">
          <w:marLeft w:val="0"/>
          <w:marRight w:val="0"/>
          <w:marTop w:val="0"/>
          <w:marBottom w:val="150"/>
          <w:divBdr>
            <w:top w:val="none" w:sz="0" w:space="0" w:color="auto"/>
            <w:left w:val="none" w:sz="0" w:space="0" w:color="auto"/>
            <w:bottom w:val="none" w:sz="0" w:space="0" w:color="auto"/>
            <w:right w:val="none" w:sz="0" w:space="0" w:color="auto"/>
          </w:divBdr>
        </w:div>
        <w:div w:id="1433478249">
          <w:marLeft w:val="0"/>
          <w:marRight w:val="0"/>
          <w:marTop w:val="0"/>
          <w:marBottom w:val="150"/>
          <w:divBdr>
            <w:top w:val="none" w:sz="0" w:space="0" w:color="auto"/>
            <w:left w:val="none" w:sz="0" w:space="0" w:color="auto"/>
            <w:bottom w:val="none" w:sz="0" w:space="0" w:color="auto"/>
            <w:right w:val="none" w:sz="0" w:space="0" w:color="auto"/>
          </w:divBdr>
        </w:div>
        <w:div w:id="1586961067">
          <w:marLeft w:val="0"/>
          <w:marRight w:val="0"/>
          <w:marTop w:val="0"/>
          <w:marBottom w:val="150"/>
          <w:divBdr>
            <w:top w:val="none" w:sz="0" w:space="0" w:color="auto"/>
            <w:left w:val="none" w:sz="0" w:space="0" w:color="auto"/>
            <w:bottom w:val="none" w:sz="0" w:space="0" w:color="auto"/>
            <w:right w:val="none" w:sz="0" w:space="0" w:color="auto"/>
          </w:divBdr>
        </w:div>
        <w:div w:id="1876380328">
          <w:marLeft w:val="0"/>
          <w:marRight w:val="0"/>
          <w:marTop w:val="0"/>
          <w:marBottom w:val="150"/>
          <w:divBdr>
            <w:top w:val="none" w:sz="0" w:space="0" w:color="auto"/>
            <w:left w:val="none" w:sz="0" w:space="0" w:color="auto"/>
            <w:bottom w:val="none" w:sz="0" w:space="0" w:color="auto"/>
            <w:right w:val="none" w:sz="0" w:space="0" w:color="auto"/>
          </w:divBdr>
        </w:div>
        <w:div w:id="1999966479">
          <w:marLeft w:val="0"/>
          <w:marRight w:val="0"/>
          <w:marTop w:val="0"/>
          <w:marBottom w:val="150"/>
          <w:divBdr>
            <w:top w:val="none" w:sz="0" w:space="0" w:color="auto"/>
            <w:left w:val="none" w:sz="0" w:space="0" w:color="auto"/>
            <w:bottom w:val="none" w:sz="0" w:space="0" w:color="auto"/>
            <w:right w:val="none" w:sz="0" w:space="0" w:color="auto"/>
          </w:divBdr>
        </w:div>
        <w:div w:id="2049527343">
          <w:marLeft w:val="0"/>
          <w:marRight w:val="0"/>
          <w:marTop w:val="0"/>
          <w:marBottom w:val="150"/>
          <w:divBdr>
            <w:top w:val="none" w:sz="0" w:space="0" w:color="auto"/>
            <w:left w:val="none" w:sz="0" w:space="0" w:color="auto"/>
            <w:bottom w:val="none" w:sz="0" w:space="0" w:color="auto"/>
            <w:right w:val="none" w:sz="0" w:space="0" w:color="auto"/>
          </w:divBdr>
        </w:div>
      </w:divsChild>
    </w:div>
    <w:div w:id="1071584896">
      <w:bodyDiv w:val="1"/>
      <w:marLeft w:val="0"/>
      <w:marRight w:val="0"/>
      <w:marTop w:val="0"/>
      <w:marBottom w:val="0"/>
      <w:divBdr>
        <w:top w:val="none" w:sz="0" w:space="0" w:color="auto"/>
        <w:left w:val="none" w:sz="0" w:space="0" w:color="auto"/>
        <w:bottom w:val="none" w:sz="0" w:space="0" w:color="auto"/>
        <w:right w:val="none" w:sz="0" w:space="0" w:color="auto"/>
      </w:divBdr>
    </w:div>
    <w:div w:id="1071657127">
      <w:bodyDiv w:val="1"/>
      <w:marLeft w:val="0"/>
      <w:marRight w:val="0"/>
      <w:marTop w:val="0"/>
      <w:marBottom w:val="0"/>
      <w:divBdr>
        <w:top w:val="none" w:sz="0" w:space="0" w:color="auto"/>
        <w:left w:val="none" w:sz="0" w:space="0" w:color="auto"/>
        <w:bottom w:val="none" w:sz="0" w:space="0" w:color="auto"/>
        <w:right w:val="none" w:sz="0" w:space="0" w:color="auto"/>
      </w:divBdr>
      <w:divsChild>
        <w:div w:id="468940012">
          <w:marLeft w:val="0"/>
          <w:marRight w:val="0"/>
          <w:marTop w:val="0"/>
          <w:marBottom w:val="180"/>
          <w:divBdr>
            <w:top w:val="none" w:sz="0" w:space="0" w:color="auto"/>
            <w:left w:val="none" w:sz="0" w:space="0" w:color="auto"/>
            <w:bottom w:val="none" w:sz="0" w:space="0" w:color="auto"/>
            <w:right w:val="none" w:sz="0" w:space="0" w:color="auto"/>
          </w:divBdr>
        </w:div>
        <w:div w:id="722758101">
          <w:marLeft w:val="0"/>
          <w:marRight w:val="0"/>
          <w:marTop w:val="0"/>
          <w:marBottom w:val="180"/>
          <w:divBdr>
            <w:top w:val="none" w:sz="0" w:space="0" w:color="auto"/>
            <w:left w:val="none" w:sz="0" w:space="0" w:color="auto"/>
            <w:bottom w:val="none" w:sz="0" w:space="0" w:color="auto"/>
            <w:right w:val="none" w:sz="0" w:space="0" w:color="auto"/>
          </w:divBdr>
        </w:div>
        <w:div w:id="1951618576">
          <w:marLeft w:val="0"/>
          <w:marRight w:val="0"/>
          <w:marTop w:val="300"/>
          <w:marBottom w:val="0"/>
          <w:divBdr>
            <w:top w:val="none" w:sz="0" w:space="0" w:color="auto"/>
            <w:left w:val="none" w:sz="0" w:space="0" w:color="auto"/>
            <w:bottom w:val="none" w:sz="0" w:space="0" w:color="auto"/>
            <w:right w:val="none" w:sz="0" w:space="0" w:color="auto"/>
          </w:divBdr>
          <w:divsChild>
            <w:div w:id="1747919233">
              <w:marLeft w:val="0"/>
              <w:marRight w:val="0"/>
              <w:marTop w:val="0"/>
              <w:marBottom w:val="0"/>
              <w:divBdr>
                <w:top w:val="none" w:sz="0" w:space="0" w:color="auto"/>
                <w:left w:val="none" w:sz="0" w:space="0" w:color="auto"/>
                <w:bottom w:val="none" w:sz="0" w:space="0" w:color="auto"/>
                <w:right w:val="none" w:sz="0" w:space="0" w:color="auto"/>
              </w:divBdr>
              <w:divsChild>
                <w:div w:id="1450393310">
                  <w:marLeft w:val="0"/>
                  <w:marRight w:val="0"/>
                  <w:marTop w:val="0"/>
                  <w:marBottom w:val="300"/>
                  <w:divBdr>
                    <w:top w:val="none" w:sz="0" w:space="0" w:color="auto"/>
                    <w:left w:val="none" w:sz="0" w:space="0" w:color="auto"/>
                    <w:bottom w:val="none" w:sz="0" w:space="0" w:color="auto"/>
                    <w:right w:val="none" w:sz="0" w:space="0" w:color="auto"/>
                  </w:divBdr>
                  <w:divsChild>
                    <w:div w:id="1139689619">
                      <w:marLeft w:val="-1800"/>
                      <w:marRight w:val="0"/>
                      <w:marTop w:val="75"/>
                      <w:marBottom w:val="240"/>
                      <w:divBdr>
                        <w:top w:val="none" w:sz="0" w:space="0" w:color="auto"/>
                        <w:left w:val="none" w:sz="0" w:space="0" w:color="auto"/>
                        <w:bottom w:val="none" w:sz="0" w:space="0" w:color="auto"/>
                        <w:right w:val="none" w:sz="0" w:space="0" w:color="auto"/>
                      </w:divBdr>
                    </w:div>
                  </w:divsChild>
                </w:div>
              </w:divsChild>
            </w:div>
          </w:divsChild>
        </w:div>
      </w:divsChild>
    </w:div>
    <w:div w:id="1072194752">
      <w:bodyDiv w:val="1"/>
      <w:marLeft w:val="0"/>
      <w:marRight w:val="0"/>
      <w:marTop w:val="0"/>
      <w:marBottom w:val="0"/>
      <w:divBdr>
        <w:top w:val="none" w:sz="0" w:space="0" w:color="auto"/>
        <w:left w:val="none" w:sz="0" w:space="0" w:color="auto"/>
        <w:bottom w:val="none" w:sz="0" w:space="0" w:color="auto"/>
        <w:right w:val="none" w:sz="0" w:space="0" w:color="auto"/>
      </w:divBdr>
      <w:divsChild>
        <w:div w:id="343820865">
          <w:marLeft w:val="0"/>
          <w:marRight w:val="0"/>
          <w:marTop w:val="0"/>
          <w:marBottom w:val="150"/>
          <w:divBdr>
            <w:top w:val="none" w:sz="0" w:space="0" w:color="auto"/>
            <w:left w:val="none" w:sz="0" w:space="0" w:color="auto"/>
            <w:bottom w:val="none" w:sz="0" w:space="0" w:color="auto"/>
            <w:right w:val="none" w:sz="0" w:space="0" w:color="auto"/>
          </w:divBdr>
          <w:divsChild>
            <w:div w:id="1920670372">
              <w:marLeft w:val="0"/>
              <w:marRight w:val="0"/>
              <w:marTop w:val="0"/>
              <w:marBottom w:val="0"/>
              <w:divBdr>
                <w:top w:val="none" w:sz="0" w:space="0" w:color="auto"/>
                <w:left w:val="none" w:sz="0" w:space="0" w:color="auto"/>
                <w:bottom w:val="none" w:sz="0" w:space="0" w:color="auto"/>
                <w:right w:val="none" w:sz="0" w:space="0" w:color="auto"/>
              </w:divBdr>
            </w:div>
          </w:divsChild>
        </w:div>
        <w:div w:id="1213342396">
          <w:marLeft w:val="0"/>
          <w:marRight w:val="0"/>
          <w:marTop w:val="0"/>
          <w:marBottom w:val="150"/>
          <w:divBdr>
            <w:top w:val="none" w:sz="0" w:space="0" w:color="auto"/>
            <w:left w:val="none" w:sz="0" w:space="0" w:color="auto"/>
            <w:bottom w:val="none" w:sz="0" w:space="0" w:color="auto"/>
            <w:right w:val="none" w:sz="0" w:space="0" w:color="auto"/>
          </w:divBdr>
        </w:div>
        <w:div w:id="1577327720">
          <w:marLeft w:val="0"/>
          <w:marRight w:val="0"/>
          <w:marTop w:val="0"/>
          <w:marBottom w:val="0"/>
          <w:divBdr>
            <w:top w:val="none" w:sz="0" w:space="0" w:color="auto"/>
            <w:left w:val="none" w:sz="0" w:space="0" w:color="auto"/>
            <w:bottom w:val="none" w:sz="0" w:space="0" w:color="auto"/>
            <w:right w:val="none" w:sz="0" w:space="0" w:color="auto"/>
          </w:divBdr>
          <w:divsChild>
            <w:div w:id="32690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431890">
      <w:bodyDiv w:val="1"/>
      <w:marLeft w:val="0"/>
      <w:marRight w:val="0"/>
      <w:marTop w:val="0"/>
      <w:marBottom w:val="0"/>
      <w:divBdr>
        <w:top w:val="none" w:sz="0" w:space="0" w:color="auto"/>
        <w:left w:val="none" w:sz="0" w:space="0" w:color="auto"/>
        <w:bottom w:val="none" w:sz="0" w:space="0" w:color="auto"/>
        <w:right w:val="none" w:sz="0" w:space="0" w:color="auto"/>
      </w:divBdr>
    </w:div>
    <w:div w:id="1072503923">
      <w:bodyDiv w:val="1"/>
      <w:marLeft w:val="0"/>
      <w:marRight w:val="0"/>
      <w:marTop w:val="0"/>
      <w:marBottom w:val="0"/>
      <w:divBdr>
        <w:top w:val="none" w:sz="0" w:space="0" w:color="auto"/>
        <w:left w:val="none" w:sz="0" w:space="0" w:color="auto"/>
        <w:bottom w:val="none" w:sz="0" w:space="0" w:color="auto"/>
        <w:right w:val="none" w:sz="0" w:space="0" w:color="auto"/>
      </w:divBdr>
      <w:divsChild>
        <w:div w:id="1541504427">
          <w:marLeft w:val="0"/>
          <w:marRight w:val="0"/>
          <w:marTop w:val="0"/>
          <w:marBottom w:val="0"/>
          <w:divBdr>
            <w:top w:val="none" w:sz="0" w:space="0" w:color="auto"/>
            <w:left w:val="none" w:sz="0" w:space="0" w:color="auto"/>
            <w:bottom w:val="none" w:sz="0" w:space="0" w:color="auto"/>
            <w:right w:val="none" w:sz="0" w:space="0" w:color="auto"/>
          </w:divBdr>
        </w:div>
      </w:divsChild>
    </w:div>
    <w:div w:id="1073503302">
      <w:bodyDiv w:val="1"/>
      <w:marLeft w:val="0"/>
      <w:marRight w:val="0"/>
      <w:marTop w:val="0"/>
      <w:marBottom w:val="0"/>
      <w:divBdr>
        <w:top w:val="none" w:sz="0" w:space="0" w:color="auto"/>
        <w:left w:val="none" w:sz="0" w:space="0" w:color="auto"/>
        <w:bottom w:val="none" w:sz="0" w:space="0" w:color="auto"/>
        <w:right w:val="none" w:sz="0" w:space="0" w:color="auto"/>
      </w:divBdr>
      <w:divsChild>
        <w:div w:id="827399792">
          <w:marLeft w:val="0"/>
          <w:marRight w:val="0"/>
          <w:marTop w:val="0"/>
          <w:marBottom w:val="0"/>
          <w:divBdr>
            <w:top w:val="none" w:sz="0" w:space="0" w:color="auto"/>
            <w:left w:val="none" w:sz="0" w:space="0" w:color="auto"/>
            <w:bottom w:val="none" w:sz="0" w:space="0" w:color="auto"/>
            <w:right w:val="none" w:sz="0" w:space="0" w:color="auto"/>
          </w:divBdr>
          <w:divsChild>
            <w:div w:id="67312973">
              <w:marLeft w:val="0"/>
              <w:marRight w:val="0"/>
              <w:marTop w:val="0"/>
              <w:marBottom w:val="0"/>
              <w:divBdr>
                <w:top w:val="none" w:sz="0" w:space="0" w:color="auto"/>
                <w:left w:val="none" w:sz="0" w:space="0" w:color="auto"/>
                <w:bottom w:val="none" w:sz="0" w:space="0" w:color="auto"/>
                <w:right w:val="none" w:sz="0" w:space="0" w:color="auto"/>
              </w:divBdr>
              <w:divsChild>
                <w:div w:id="1854564446">
                  <w:marLeft w:val="0"/>
                  <w:marRight w:val="0"/>
                  <w:marTop w:val="0"/>
                  <w:marBottom w:val="0"/>
                  <w:divBdr>
                    <w:top w:val="none" w:sz="0" w:space="0" w:color="auto"/>
                    <w:left w:val="none" w:sz="0" w:space="0" w:color="auto"/>
                    <w:bottom w:val="none" w:sz="0" w:space="0" w:color="auto"/>
                    <w:right w:val="none" w:sz="0" w:space="0" w:color="auto"/>
                  </w:divBdr>
                  <w:divsChild>
                    <w:div w:id="1331519411">
                      <w:marLeft w:val="0"/>
                      <w:marRight w:val="0"/>
                      <w:marTop w:val="0"/>
                      <w:marBottom w:val="0"/>
                      <w:divBdr>
                        <w:top w:val="none" w:sz="0" w:space="0" w:color="auto"/>
                        <w:left w:val="none" w:sz="0" w:space="0" w:color="auto"/>
                        <w:bottom w:val="none" w:sz="0" w:space="0" w:color="auto"/>
                        <w:right w:val="none" w:sz="0" w:space="0" w:color="auto"/>
                      </w:divBdr>
                      <w:divsChild>
                        <w:div w:id="990409561">
                          <w:marLeft w:val="0"/>
                          <w:marRight w:val="0"/>
                          <w:marTop w:val="0"/>
                          <w:marBottom w:val="0"/>
                          <w:divBdr>
                            <w:top w:val="none" w:sz="0" w:space="0" w:color="auto"/>
                            <w:left w:val="none" w:sz="0" w:space="0" w:color="auto"/>
                            <w:bottom w:val="none" w:sz="0" w:space="0" w:color="auto"/>
                            <w:right w:val="none" w:sz="0" w:space="0" w:color="auto"/>
                          </w:divBdr>
                          <w:divsChild>
                            <w:div w:id="106628321">
                              <w:marLeft w:val="0"/>
                              <w:marRight w:val="0"/>
                              <w:marTop w:val="0"/>
                              <w:marBottom w:val="0"/>
                              <w:divBdr>
                                <w:top w:val="none" w:sz="0" w:space="0" w:color="auto"/>
                                <w:left w:val="none" w:sz="0" w:space="0" w:color="auto"/>
                                <w:bottom w:val="none" w:sz="0" w:space="0" w:color="auto"/>
                                <w:right w:val="none" w:sz="0" w:space="0" w:color="auto"/>
                              </w:divBdr>
                              <w:divsChild>
                                <w:div w:id="333842743">
                                  <w:marLeft w:val="0"/>
                                  <w:marRight w:val="0"/>
                                  <w:marTop w:val="0"/>
                                  <w:marBottom w:val="0"/>
                                  <w:divBdr>
                                    <w:top w:val="none" w:sz="0" w:space="0" w:color="auto"/>
                                    <w:left w:val="none" w:sz="0" w:space="0" w:color="auto"/>
                                    <w:bottom w:val="none" w:sz="0" w:space="0" w:color="auto"/>
                                    <w:right w:val="none" w:sz="0" w:space="0" w:color="auto"/>
                                  </w:divBdr>
                                  <w:divsChild>
                                    <w:div w:id="17832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548022">
      <w:bodyDiv w:val="1"/>
      <w:marLeft w:val="0"/>
      <w:marRight w:val="0"/>
      <w:marTop w:val="0"/>
      <w:marBottom w:val="0"/>
      <w:divBdr>
        <w:top w:val="none" w:sz="0" w:space="0" w:color="auto"/>
        <w:left w:val="none" w:sz="0" w:space="0" w:color="auto"/>
        <w:bottom w:val="none" w:sz="0" w:space="0" w:color="auto"/>
        <w:right w:val="none" w:sz="0" w:space="0" w:color="auto"/>
      </w:divBdr>
      <w:divsChild>
        <w:div w:id="673722473">
          <w:marLeft w:val="0"/>
          <w:marRight w:val="0"/>
          <w:marTop w:val="0"/>
          <w:marBottom w:val="150"/>
          <w:divBdr>
            <w:top w:val="none" w:sz="0" w:space="0" w:color="auto"/>
            <w:left w:val="none" w:sz="0" w:space="0" w:color="auto"/>
            <w:bottom w:val="none" w:sz="0" w:space="0" w:color="auto"/>
            <w:right w:val="none" w:sz="0" w:space="0" w:color="auto"/>
          </w:divBdr>
          <w:divsChild>
            <w:div w:id="659238866">
              <w:marLeft w:val="0"/>
              <w:marRight w:val="0"/>
              <w:marTop w:val="0"/>
              <w:marBottom w:val="0"/>
              <w:divBdr>
                <w:top w:val="none" w:sz="0" w:space="0" w:color="auto"/>
                <w:left w:val="none" w:sz="0" w:space="0" w:color="auto"/>
                <w:bottom w:val="none" w:sz="0" w:space="0" w:color="auto"/>
                <w:right w:val="none" w:sz="0" w:space="0" w:color="auto"/>
              </w:divBdr>
            </w:div>
          </w:divsChild>
        </w:div>
        <w:div w:id="1022585858">
          <w:marLeft w:val="0"/>
          <w:marRight w:val="0"/>
          <w:marTop w:val="0"/>
          <w:marBottom w:val="150"/>
          <w:divBdr>
            <w:top w:val="none" w:sz="0" w:space="0" w:color="auto"/>
            <w:left w:val="none" w:sz="0" w:space="0" w:color="auto"/>
            <w:bottom w:val="none" w:sz="0" w:space="0" w:color="auto"/>
            <w:right w:val="none" w:sz="0" w:space="0" w:color="auto"/>
          </w:divBdr>
        </w:div>
        <w:div w:id="1980376585">
          <w:marLeft w:val="0"/>
          <w:marRight w:val="0"/>
          <w:marTop w:val="0"/>
          <w:marBottom w:val="0"/>
          <w:divBdr>
            <w:top w:val="none" w:sz="0" w:space="0" w:color="auto"/>
            <w:left w:val="none" w:sz="0" w:space="0" w:color="auto"/>
            <w:bottom w:val="none" w:sz="0" w:space="0" w:color="auto"/>
            <w:right w:val="none" w:sz="0" w:space="0" w:color="auto"/>
          </w:divBdr>
          <w:divsChild>
            <w:div w:id="73678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702992">
      <w:bodyDiv w:val="1"/>
      <w:marLeft w:val="0"/>
      <w:marRight w:val="0"/>
      <w:marTop w:val="0"/>
      <w:marBottom w:val="0"/>
      <w:divBdr>
        <w:top w:val="none" w:sz="0" w:space="0" w:color="auto"/>
        <w:left w:val="none" w:sz="0" w:space="0" w:color="auto"/>
        <w:bottom w:val="none" w:sz="0" w:space="0" w:color="auto"/>
        <w:right w:val="none" w:sz="0" w:space="0" w:color="auto"/>
      </w:divBdr>
      <w:divsChild>
        <w:div w:id="347952775">
          <w:marLeft w:val="0"/>
          <w:marRight w:val="0"/>
          <w:marTop w:val="0"/>
          <w:marBottom w:val="150"/>
          <w:divBdr>
            <w:top w:val="none" w:sz="0" w:space="0" w:color="auto"/>
            <w:left w:val="none" w:sz="0" w:space="0" w:color="auto"/>
            <w:bottom w:val="none" w:sz="0" w:space="0" w:color="auto"/>
            <w:right w:val="none" w:sz="0" w:space="0" w:color="auto"/>
          </w:divBdr>
        </w:div>
        <w:div w:id="951547450">
          <w:marLeft w:val="0"/>
          <w:marRight w:val="0"/>
          <w:marTop w:val="0"/>
          <w:marBottom w:val="0"/>
          <w:divBdr>
            <w:top w:val="none" w:sz="0" w:space="0" w:color="auto"/>
            <w:left w:val="none" w:sz="0" w:space="0" w:color="auto"/>
            <w:bottom w:val="none" w:sz="0" w:space="0" w:color="auto"/>
            <w:right w:val="none" w:sz="0" w:space="0" w:color="auto"/>
          </w:divBdr>
          <w:divsChild>
            <w:div w:id="1558666228">
              <w:marLeft w:val="0"/>
              <w:marRight w:val="0"/>
              <w:marTop w:val="225"/>
              <w:marBottom w:val="225"/>
              <w:divBdr>
                <w:top w:val="none" w:sz="0" w:space="0" w:color="auto"/>
                <w:left w:val="none" w:sz="0" w:space="0" w:color="auto"/>
                <w:bottom w:val="none" w:sz="0" w:space="0" w:color="auto"/>
                <w:right w:val="none" w:sz="0" w:space="0" w:color="auto"/>
              </w:divBdr>
            </w:div>
          </w:divsChild>
        </w:div>
        <w:div w:id="2019313329">
          <w:marLeft w:val="0"/>
          <w:marRight w:val="0"/>
          <w:marTop w:val="0"/>
          <w:marBottom w:val="150"/>
          <w:divBdr>
            <w:top w:val="none" w:sz="0" w:space="0" w:color="auto"/>
            <w:left w:val="none" w:sz="0" w:space="0" w:color="auto"/>
            <w:bottom w:val="none" w:sz="0" w:space="0" w:color="auto"/>
            <w:right w:val="none" w:sz="0" w:space="0" w:color="auto"/>
          </w:divBdr>
          <w:divsChild>
            <w:div w:id="94179522">
              <w:marLeft w:val="0"/>
              <w:marRight w:val="0"/>
              <w:marTop w:val="0"/>
              <w:marBottom w:val="0"/>
              <w:divBdr>
                <w:top w:val="none" w:sz="0" w:space="0" w:color="auto"/>
                <w:left w:val="none" w:sz="0" w:space="0" w:color="auto"/>
                <w:bottom w:val="none" w:sz="0" w:space="0" w:color="auto"/>
                <w:right w:val="none" w:sz="0" w:space="0" w:color="auto"/>
              </w:divBdr>
              <w:divsChild>
                <w:div w:id="68906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822391">
      <w:bodyDiv w:val="1"/>
      <w:marLeft w:val="0"/>
      <w:marRight w:val="0"/>
      <w:marTop w:val="0"/>
      <w:marBottom w:val="0"/>
      <w:divBdr>
        <w:top w:val="none" w:sz="0" w:space="0" w:color="auto"/>
        <w:left w:val="none" w:sz="0" w:space="0" w:color="auto"/>
        <w:bottom w:val="none" w:sz="0" w:space="0" w:color="auto"/>
        <w:right w:val="none" w:sz="0" w:space="0" w:color="auto"/>
      </w:divBdr>
      <w:divsChild>
        <w:div w:id="1232229814">
          <w:marLeft w:val="0"/>
          <w:marRight w:val="0"/>
          <w:marTop w:val="0"/>
          <w:marBottom w:val="0"/>
          <w:divBdr>
            <w:top w:val="none" w:sz="0" w:space="0" w:color="auto"/>
            <w:left w:val="none" w:sz="0" w:space="0" w:color="auto"/>
            <w:bottom w:val="none" w:sz="0" w:space="0" w:color="auto"/>
            <w:right w:val="none" w:sz="0" w:space="0" w:color="auto"/>
          </w:divBdr>
          <w:divsChild>
            <w:div w:id="425157177">
              <w:marLeft w:val="0"/>
              <w:marRight w:val="0"/>
              <w:marTop w:val="0"/>
              <w:marBottom w:val="0"/>
              <w:divBdr>
                <w:top w:val="none" w:sz="0" w:space="0" w:color="auto"/>
                <w:left w:val="none" w:sz="0" w:space="0" w:color="auto"/>
                <w:bottom w:val="none" w:sz="0" w:space="0" w:color="auto"/>
                <w:right w:val="none" w:sz="0" w:space="0" w:color="auto"/>
              </w:divBdr>
              <w:divsChild>
                <w:div w:id="1867328742">
                  <w:marLeft w:val="0"/>
                  <w:marRight w:val="0"/>
                  <w:marTop w:val="0"/>
                  <w:marBottom w:val="0"/>
                  <w:divBdr>
                    <w:top w:val="none" w:sz="0" w:space="0" w:color="auto"/>
                    <w:left w:val="none" w:sz="0" w:space="0" w:color="auto"/>
                    <w:bottom w:val="none" w:sz="0" w:space="0" w:color="auto"/>
                    <w:right w:val="none" w:sz="0" w:space="0" w:color="auto"/>
                  </w:divBdr>
                  <w:divsChild>
                    <w:div w:id="590968713">
                      <w:marLeft w:val="0"/>
                      <w:marRight w:val="0"/>
                      <w:marTop w:val="0"/>
                      <w:marBottom w:val="0"/>
                      <w:divBdr>
                        <w:top w:val="none" w:sz="0" w:space="0" w:color="auto"/>
                        <w:left w:val="none" w:sz="0" w:space="0" w:color="auto"/>
                        <w:bottom w:val="none" w:sz="0" w:space="0" w:color="auto"/>
                        <w:right w:val="none" w:sz="0" w:space="0" w:color="auto"/>
                      </w:divBdr>
                      <w:divsChild>
                        <w:div w:id="1596398478">
                          <w:marLeft w:val="0"/>
                          <w:marRight w:val="0"/>
                          <w:marTop w:val="0"/>
                          <w:marBottom w:val="0"/>
                          <w:divBdr>
                            <w:top w:val="none" w:sz="0" w:space="0" w:color="auto"/>
                            <w:left w:val="none" w:sz="0" w:space="0" w:color="auto"/>
                            <w:bottom w:val="none" w:sz="0" w:space="0" w:color="auto"/>
                            <w:right w:val="none" w:sz="0" w:space="0" w:color="auto"/>
                          </w:divBdr>
                          <w:divsChild>
                            <w:div w:id="913011782">
                              <w:marLeft w:val="0"/>
                              <w:marRight w:val="0"/>
                              <w:marTop w:val="0"/>
                              <w:marBottom w:val="0"/>
                              <w:divBdr>
                                <w:top w:val="none" w:sz="0" w:space="0" w:color="auto"/>
                                <w:left w:val="none" w:sz="0" w:space="0" w:color="auto"/>
                                <w:bottom w:val="none" w:sz="0" w:space="0" w:color="auto"/>
                                <w:right w:val="none" w:sz="0" w:space="0" w:color="auto"/>
                              </w:divBdr>
                              <w:divsChild>
                                <w:div w:id="1763183531">
                                  <w:marLeft w:val="0"/>
                                  <w:marRight w:val="0"/>
                                  <w:marTop w:val="0"/>
                                  <w:marBottom w:val="0"/>
                                  <w:divBdr>
                                    <w:top w:val="none" w:sz="0" w:space="0" w:color="auto"/>
                                    <w:left w:val="none" w:sz="0" w:space="0" w:color="auto"/>
                                    <w:bottom w:val="none" w:sz="0" w:space="0" w:color="auto"/>
                                    <w:right w:val="none" w:sz="0" w:space="0" w:color="auto"/>
                                  </w:divBdr>
                                  <w:divsChild>
                                    <w:div w:id="133322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965849">
      <w:bodyDiv w:val="1"/>
      <w:marLeft w:val="0"/>
      <w:marRight w:val="0"/>
      <w:marTop w:val="0"/>
      <w:marBottom w:val="0"/>
      <w:divBdr>
        <w:top w:val="none" w:sz="0" w:space="0" w:color="auto"/>
        <w:left w:val="none" w:sz="0" w:space="0" w:color="auto"/>
        <w:bottom w:val="none" w:sz="0" w:space="0" w:color="auto"/>
        <w:right w:val="none" w:sz="0" w:space="0" w:color="auto"/>
      </w:divBdr>
      <w:divsChild>
        <w:div w:id="706685254">
          <w:marLeft w:val="0"/>
          <w:marRight w:val="0"/>
          <w:marTop w:val="0"/>
          <w:marBottom w:val="225"/>
          <w:divBdr>
            <w:top w:val="none" w:sz="0" w:space="0" w:color="auto"/>
            <w:left w:val="none" w:sz="0" w:space="0" w:color="auto"/>
            <w:bottom w:val="none" w:sz="0" w:space="0" w:color="auto"/>
            <w:right w:val="none" w:sz="0" w:space="0" w:color="auto"/>
          </w:divBdr>
        </w:div>
        <w:div w:id="1031806099">
          <w:marLeft w:val="0"/>
          <w:marRight w:val="0"/>
          <w:marTop w:val="0"/>
          <w:marBottom w:val="225"/>
          <w:divBdr>
            <w:top w:val="none" w:sz="0" w:space="0" w:color="auto"/>
            <w:left w:val="none" w:sz="0" w:space="0" w:color="auto"/>
            <w:bottom w:val="none" w:sz="0" w:space="0" w:color="auto"/>
            <w:right w:val="none" w:sz="0" w:space="0" w:color="auto"/>
          </w:divBdr>
          <w:divsChild>
            <w:div w:id="1480612101">
              <w:marLeft w:val="0"/>
              <w:marRight w:val="0"/>
              <w:marTop w:val="0"/>
              <w:marBottom w:val="0"/>
              <w:divBdr>
                <w:top w:val="none" w:sz="0" w:space="0" w:color="auto"/>
                <w:left w:val="none" w:sz="0" w:space="0" w:color="auto"/>
                <w:bottom w:val="none" w:sz="0" w:space="0" w:color="auto"/>
                <w:right w:val="none" w:sz="0" w:space="0" w:color="auto"/>
              </w:divBdr>
              <w:divsChild>
                <w:div w:id="53958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086211">
      <w:bodyDiv w:val="1"/>
      <w:marLeft w:val="0"/>
      <w:marRight w:val="0"/>
      <w:marTop w:val="0"/>
      <w:marBottom w:val="0"/>
      <w:divBdr>
        <w:top w:val="none" w:sz="0" w:space="0" w:color="auto"/>
        <w:left w:val="none" w:sz="0" w:space="0" w:color="auto"/>
        <w:bottom w:val="none" w:sz="0" w:space="0" w:color="auto"/>
        <w:right w:val="none" w:sz="0" w:space="0" w:color="auto"/>
      </w:divBdr>
      <w:divsChild>
        <w:div w:id="813715220">
          <w:marLeft w:val="0"/>
          <w:marRight w:val="0"/>
          <w:marTop w:val="150"/>
          <w:marBottom w:val="0"/>
          <w:divBdr>
            <w:top w:val="none" w:sz="0" w:space="0" w:color="auto"/>
            <w:left w:val="none" w:sz="0" w:space="0" w:color="auto"/>
            <w:bottom w:val="none" w:sz="0" w:space="0" w:color="auto"/>
            <w:right w:val="none" w:sz="0" w:space="0" w:color="auto"/>
          </w:divBdr>
          <w:divsChild>
            <w:div w:id="1569026698">
              <w:marLeft w:val="0"/>
              <w:marRight w:val="150"/>
              <w:marTop w:val="0"/>
              <w:marBottom w:val="0"/>
              <w:divBdr>
                <w:top w:val="none" w:sz="0" w:space="0" w:color="auto"/>
                <w:left w:val="none" w:sz="0" w:space="0" w:color="auto"/>
                <w:bottom w:val="none" w:sz="0" w:space="0" w:color="auto"/>
                <w:right w:val="none" w:sz="0" w:space="0" w:color="auto"/>
              </w:divBdr>
              <w:divsChild>
                <w:div w:id="934827617">
                  <w:marLeft w:val="0"/>
                  <w:marRight w:val="0"/>
                  <w:marTop w:val="0"/>
                  <w:marBottom w:val="0"/>
                  <w:divBdr>
                    <w:top w:val="none" w:sz="0" w:space="0" w:color="auto"/>
                    <w:left w:val="none" w:sz="0" w:space="0" w:color="auto"/>
                    <w:bottom w:val="none" w:sz="0" w:space="0" w:color="auto"/>
                    <w:right w:val="none" w:sz="0" w:space="0" w:color="auto"/>
                  </w:divBdr>
                </w:div>
                <w:div w:id="197547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089944">
          <w:marLeft w:val="0"/>
          <w:marRight w:val="0"/>
          <w:marTop w:val="0"/>
          <w:marBottom w:val="0"/>
          <w:divBdr>
            <w:top w:val="none" w:sz="0" w:space="8" w:color="auto"/>
            <w:left w:val="none" w:sz="0" w:space="2" w:color="auto"/>
            <w:bottom w:val="single" w:sz="6" w:space="8" w:color="DDDDDD"/>
            <w:right w:val="none" w:sz="0" w:space="0" w:color="auto"/>
          </w:divBdr>
        </w:div>
      </w:divsChild>
    </w:div>
    <w:div w:id="1074549592">
      <w:bodyDiv w:val="1"/>
      <w:marLeft w:val="0"/>
      <w:marRight w:val="0"/>
      <w:marTop w:val="0"/>
      <w:marBottom w:val="0"/>
      <w:divBdr>
        <w:top w:val="none" w:sz="0" w:space="0" w:color="auto"/>
        <w:left w:val="none" w:sz="0" w:space="0" w:color="auto"/>
        <w:bottom w:val="none" w:sz="0" w:space="0" w:color="auto"/>
        <w:right w:val="none" w:sz="0" w:space="0" w:color="auto"/>
      </w:divBdr>
      <w:divsChild>
        <w:div w:id="1518420985">
          <w:marLeft w:val="0"/>
          <w:marRight w:val="0"/>
          <w:marTop w:val="0"/>
          <w:marBottom w:val="0"/>
          <w:divBdr>
            <w:top w:val="none" w:sz="0" w:space="0" w:color="auto"/>
            <w:left w:val="none" w:sz="0" w:space="0" w:color="auto"/>
            <w:bottom w:val="none" w:sz="0" w:space="0" w:color="auto"/>
            <w:right w:val="none" w:sz="0" w:space="0" w:color="auto"/>
          </w:divBdr>
          <w:divsChild>
            <w:div w:id="994190457">
              <w:marLeft w:val="0"/>
              <w:marRight w:val="0"/>
              <w:marTop w:val="0"/>
              <w:marBottom w:val="0"/>
              <w:divBdr>
                <w:top w:val="none" w:sz="0" w:space="0" w:color="auto"/>
                <w:left w:val="none" w:sz="0" w:space="0" w:color="auto"/>
                <w:bottom w:val="none" w:sz="0" w:space="0" w:color="auto"/>
                <w:right w:val="none" w:sz="0" w:space="0" w:color="auto"/>
              </w:divBdr>
              <w:divsChild>
                <w:div w:id="1672678566">
                  <w:marLeft w:val="0"/>
                  <w:marRight w:val="0"/>
                  <w:marTop w:val="0"/>
                  <w:marBottom w:val="0"/>
                  <w:divBdr>
                    <w:top w:val="none" w:sz="0" w:space="0" w:color="auto"/>
                    <w:left w:val="none" w:sz="0" w:space="0" w:color="auto"/>
                    <w:bottom w:val="none" w:sz="0" w:space="0" w:color="auto"/>
                    <w:right w:val="none" w:sz="0" w:space="0" w:color="auto"/>
                  </w:divBdr>
                  <w:divsChild>
                    <w:div w:id="1755781448">
                      <w:marLeft w:val="0"/>
                      <w:marRight w:val="0"/>
                      <w:marTop w:val="0"/>
                      <w:marBottom w:val="0"/>
                      <w:divBdr>
                        <w:top w:val="none" w:sz="0" w:space="0" w:color="auto"/>
                        <w:left w:val="none" w:sz="0" w:space="0" w:color="auto"/>
                        <w:bottom w:val="none" w:sz="0" w:space="0" w:color="auto"/>
                        <w:right w:val="none" w:sz="0" w:space="0" w:color="auto"/>
                      </w:divBdr>
                      <w:divsChild>
                        <w:div w:id="2070763499">
                          <w:marLeft w:val="0"/>
                          <w:marRight w:val="0"/>
                          <w:marTop w:val="0"/>
                          <w:marBottom w:val="0"/>
                          <w:divBdr>
                            <w:top w:val="none" w:sz="0" w:space="0" w:color="auto"/>
                            <w:left w:val="none" w:sz="0" w:space="0" w:color="auto"/>
                            <w:bottom w:val="none" w:sz="0" w:space="0" w:color="auto"/>
                            <w:right w:val="none" w:sz="0" w:space="0" w:color="auto"/>
                          </w:divBdr>
                          <w:divsChild>
                            <w:div w:id="1961565739">
                              <w:marLeft w:val="0"/>
                              <w:marRight w:val="0"/>
                              <w:marTop w:val="0"/>
                              <w:marBottom w:val="0"/>
                              <w:divBdr>
                                <w:top w:val="none" w:sz="0" w:space="0" w:color="auto"/>
                                <w:left w:val="none" w:sz="0" w:space="0" w:color="auto"/>
                                <w:bottom w:val="none" w:sz="0" w:space="0" w:color="auto"/>
                                <w:right w:val="none" w:sz="0" w:space="0" w:color="auto"/>
                              </w:divBdr>
                              <w:divsChild>
                                <w:div w:id="757217624">
                                  <w:marLeft w:val="0"/>
                                  <w:marRight w:val="0"/>
                                  <w:marTop w:val="0"/>
                                  <w:marBottom w:val="0"/>
                                  <w:divBdr>
                                    <w:top w:val="none" w:sz="0" w:space="0" w:color="auto"/>
                                    <w:left w:val="none" w:sz="0" w:space="0" w:color="auto"/>
                                    <w:bottom w:val="none" w:sz="0" w:space="0" w:color="auto"/>
                                    <w:right w:val="none" w:sz="0" w:space="0" w:color="auto"/>
                                  </w:divBdr>
                                  <w:divsChild>
                                    <w:div w:id="7250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394201">
      <w:bodyDiv w:val="1"/>
      <w:marLeft w:val="0"/>
      <w:marRight w:val="0"/>
      <w:marTop w:val="0"/>
      <w:marBottom w:val="0"/>
      <w:divBdr>
        <w:top w:val="none" w:sz="0" w:space="0" w:color="auto"/>
        <w:left w:val="none" w:sz="0" w:space="0" w:color="auto"/>
        <w:bottom w:val="none" w:sz="0" w:space="0" w:color="auto"/>
        <w:right w:val="none" w:sz="0" w:space="0" w:color="auto"/>
      </w:divBdr>
      <w:divsChild>
        <w:div w:id="497381999">
          <w:marLeft w:val="0"/>
          <w:marRight w:val="0"/>
          <w:marTop w:val="0"/>
          <w:marBottom w:val="0"/>
          <w:divBdr>
            <w:top w:val="none" w:sz="0" w:space="0" w:color="auto"/>
            <w:left w:val="none" w:sz="0" w:space="0" w:color="auto"/>
            <w:bottom w:val="dotted" w:sz="6" w:space="4" w:color="DDDDDD"/>
            <w:right w:val="none" w:sz="0" w:space="0" w:color="auto"/>
          </w:divBdr>
          <w:divsChild>
            <w:div w:id="113509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30125">
      <w:bodyDiv w:val="1"/>
      <w:marLeft w:val="0"/>
      <w:marRight w:val="0"/>
      <w:marTop w:val="0"/>
      <w:marBottom w:val="0"/>
      <w:divBdr>
        <w:top w:val="none" w:sz="0" w:space="0" w:color="auto"/>
        <w:left w:val="none" w:sz="0" w:space="0" w:color="auto"/>
        <w:bottom w:val="none" w:sz="0" w:space="0" w:color="auto"/>
        <w:right w:val="none" w:sz="0" w:space="0" w:color="auto"/>
      </w:divBdr>
      <w:divsChild>
        <w:div w:id="1379863157">
          <w:marLeft w:val="0"/>
          <w:marRight w:val="0"/>
          <w:marTop w:val="0"/>
          <w:marBottom w:val="0"/>
          <w:divBdr>
            <w:top w:val="none" w:sz="0" w:space="0" w:color="auto"/>
            <w:left w:val="none" w:sz="0" w:space="0" w:color="auto"/>
            <w:bottom w:val="none" w:sz="0" w:space="0" w:color="auto"/>
            <w:right w:val="none" w:sz="0" w:space="0" w:color="auto"/>
          </w:divBdr>
        </w:div>
      </w:divsChild>
    </w:div>
    <w:div w:id="1076124148">
      <w:bodyDiv w:val="1"/>
      <w:marLeft w:val="0"/>
      <w:marRight w:val="0"/>
      <w:marTop w:val="0"/>
      <w:marBottom w:val="0"/>
      <w:divBdr>
        <w:top w:val="none" w:sz="0" w:space="0" w:color="auto"/>
        <w:left w:val="none" w:sz="0" w:space="0" w:color="auto"/>
        <w:bottom w:val="none" w:sz="0" w:space="0" w:color="auto"/>
        <w:right w:val="none" w:sz="0" w:space="0" w:color="auto"/>
      </w:divBdr>
    </w:div>
    <w:div w:id="1076125371">
      <w:bodyDiv w:val="1"/>
      <w:marLeft w:val="0"/>
      <w:marRight w:val="0"/>
      <w:marTop w:val="0"/>
      <w:marBottom w:val="0"/>
      <w:divBdr>
        <w:top w:val="none" w:sz="0" w:space="0" w:color="auto"/>
        <w:left w:val="none" w:sz="0" w:space="0" w:color="auto"/>
        <w:bottom w:val="none" w:sz="0" w:space="0" w:color="auto"/>
        <w:right w:val="none" w:sz="0" w:space="0" w:color="auto"/>
      </w:divBdr>
      <w:divsChild>
        <w:div w:id="552468688">
          <w:marLeft w:val="0"/>
          <w:marRight w:val="0"/>
          <w:marTop w:val="0"/>
          <w:marBottom w:val="0"/>
          <w:divBdr>
            <w:top w:val="none" w:sz="0" w:space="0" w:color="auto"/>
            <w:left w:val="none" w:sz="0" w:space="0" w:color="auto"/>
            <w:bottom w:val="none" w:sz="0" w:space="0" w:color="auto"/>
            <w:right w:val="none" w:sz="0" w:space="0" w:color="auto"/>
          </w:divBdr>
          <w:divsChild>
            <w:div w:id="83514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439329">
      <w:bodyDiv w:val="1"/>
      <w:marLeft w:val="0"/>
      <w:marRight w:val="0"/>
      <w:marTop w:val="0"/>
      <w:marBottom w:val="0"/>
      <w:divBdr>
        <w:top w:val="none" w:sz="0" w:space="0" w:color="auto"/>
        <w:left w:val="none" w:sz="0" w:space="0" w:color="auto"/>
        <w:bottom w:val="none" w:sz="0" w:space="0" w:color="auto"/>
        <w:right w:val="none" w:sz="0" w:space="0" w:color="auto"/>
      </w:divBdr>
    </w:div>
    <w:div w:id="1076781936">
      <w:bodyDiv w:val="1"/>
      <w:marLeft w:val="0"/>
      <w:marRight w:val="0"/>
      <w:marTop w:val="0"/>
      <w:marBottom w:val="0"/>
      <w:divBdr>
        <w:top w:val="none" w:sz="0" w:space="0" w:color="auto"/>
        <w:left w:val="none" w:sz="0" w:space="0" w:color="auto"/>
        <w:bottom w:val="none" w:sz="0" w:space="0" w:color="auto"/>
        <w:right w:val="none" w:sz="0" w:space="0" w:color="auto"/>
      </w:divBdr>
      <w:divsChild>
        <w:div w:id="1020618511">
          <w:marLeft w:val="0"/>
          <w:marRight w:val="0"/>
          <w:marTop w:val="0"/>
          <w:marBottom w:val="150"/>
          <w:divBdr>
            <w:top w:val="none" w:sz="0" w:space="0" w:color="auto"/>
            <w:left w:val="none" w:sz="0" w:space="0" w:color="auto"/>
            <w:bottom w:val="none" w:sz="0" w:space="0" w:color="auto"/>
            <w:right w:val="none" w:sz="0" w:space="0" w:color="auto"/>
          </w:divBdr>
          <w:divsChild>
            <w:div w:id="1713074372">
              <w:marLeft w:val="0"/>
              <w:marRight w:val="0"/>
              <w:marTop w:val="0"/>
              <w:marBottom w:val="0"/>
              <w:divBdr>
                <w:top w:val="none" w:sz="0" w:space="0" w:color="auto"/>
                <w:left w:val="none" w:sz="0" w:space="0" w:color="auto"/>
                <w:bottom w:val="none" w:sz="0" w:space="0" w:color="auto"/>
                <w:right w:val="none" w:sz="0" w:space="0" w:color="auto"/>
              </w:divBdr>
            </w:div>
          </w:divsChild>
        </w:div>
        <w:div w:id="1297562680">
          <w:marLeft w:val="0"/>
          <w:marRight w:val="0"/>
          <w:marTop w:val="0"/>
          <w:marBottom w:val="0"/>
          <w:divBdr>
            <w:top w:val="none" w:sz="0" w:space="0" w:color="auto"/>
            <w:left w:val="none" w:sz="0" w:space="0" w:color="auto"/>
            <w:bottom w:val="none" w:sz="0" w:space="0" w:color="auto"/>
            <w:right w:val="none" w:sz="0" w:space="0" w:color="auto"/>
          </w:divBdr>
          <w:divsChild>
            <w:div w:id="1475563985">
              <w:marLeft w:val="0"/>
              <w:marRight w:val="0"/>
              <w:marTop w:val="0"/>
              <w:marBottom w:val="0"/>
              <w:divBdr>
                <w:top w:val="none" w:sz="0" w:space="0" w:color="auto"/>
                <w:left w:val="none" w:sz="0" w:space="0" w:color="auto"/>
                <w:bottom w:val="none" w:sz="0" w:space="0" w:color="auto"/>
                <w:right w:val="none" w:sz="0" w:space="0" w:color="auto"/>
              </w:divBdr>
            </w:div>
          </w:divsChild>
        </w:div>
        <w:div w:id="1552956349">
          <w:marLeft w:val="0"/>
          <w:marRight w:val="0"/>
          <w:marTop w:val="0"/>
          <w:marBottom w:val="150"/>
          <w:divBdr>
            <w:top w:val="none" w:sz="0" w:space="0" w:color="auto"/>
            <w:left w:val="none" w:sz="0" w:space="0" w:color="auto"/>
            <w:bottom w:val="none" w:sz="0" w:space="0" w:color="auto"/>
            <w:right w:val="none" w:sz="0" w:space="0" w:color="auto"/>
          </w:divBdr>
        </w:div>
      </w:divsChild>
    </w:div>
    <w:div w:id="1076825325">
      <w:bodyDiv w:val="1"/>
      <w:marLeft w:val="0"/>
      <w:marRight w:val="0"/>
      <w:marTop w:val="0"/>
      <w:marBottom w:val="0"/>
      <w:divBdr>
        <w:top w:val="none" w:sz="0" w:space="0" w:color="auto"/>
        <w:left w:val="none" w:sz="0" w:space="0" w:color="auto"/>
        <w:bottom w:val="none" w:sz="0" w:space="0" w:color="auto"/>
        <w:right w:val="none" w:sz="0" w:space="0" w:color="auto"/>
      </w:divBdr>
      <w:divsChild>
        <w:div w:id="1973098099">
          <w:marLeft w:val="0"/>
          <w:marRight w:val="0"/>
          <w:marTop w:val="0"/>
          <w:marBottom w:val="0"/>
          <w:divBdr>
            <w:top w:val="none" w:sz="0" w:space="0" w:color="auto"/>
            <w:left w:val="none" w:sz="0" w:space="0" w:color="auto"/>
            <w:bottom w:val="none" w:sz="0" w:space="0" w:color="auto"/>
            <w:right w:val="none" w:sz="0" w:space="0" w:color="auto"/>
          </w:divBdr>
        </w:div>
      </w:divsChild>
    </w:div>
    <w:div w:id="1076826018">
      <w:bodyDiv w:val="1"/>
      <w:marLeft w:val="0"/>
      <w:marRight w:val="0"/>
      <w:marTop w:val="0"/>
      <w:marBottom w:val="0"/>
      <w:divBdr>
        <w:top w:val="none" w:sz="0" w:space="0" w:color="auto"/>
        <w:left w:val="none" w:sz="0" w:space="0" w:color="auto"/>
        <w:bottom w:val="none" w:sz="0" w:space="0" w:color="auto"/>
        <w:right w:val="none" w:sz="0" w:space="0" w:color="auto"/>
      </w:divBdr>
      <w:divsChild>
        <w:div w:id="618806334">
          <w:marLeft w:val="0"/>
          <w:marRight w:val="0"/>
          <w:marTop w:val="0"/>
          <w:marBottom w:val="0"/>
          <w:divBdr>
            <w:top w:val="none" w:sz="0" w:space="0" w:color="auto"/>
            <w:left w:val="none" w:sz="0" w:space="0" w:color="auto"/>
            <w:bottom w:val="none" w:sz="0" w:space="0" w:color="auto"/>
            <w:right w:val="none" w:sz="0" w:space="0" w:color="auto"/>
          </w:divBdr>
          <w:divsChild>
            <w:div w:id="114060240">
              <w:marLeft w:val="0"/>
              <w:marRight w:val="0"/>
              <w:marTop w:val="0"/>
              <w:marBottom w:val="0"/>
              <w:divBdr>
                <w:top w:val="none" w:sz="0" w:space="0" w:color="auto"/>
                <w:left w:val="none" w:sz="0" w:space="0" w:color="auto"/>
                <w:bottom w:val="none" w:sz="0" w:space="0" w:color="auto"/>
                <w:right w:val="none" w:sz="0" w:space="0" w:color="auto"/>
              </w:divBdr>
              <w:divsChild>
                <w:div w:id="377703716">
                  <w:marLeft w:val="0"/>
                  <w:marRight w:val="0"/>
                  <w:marTop w:val="0"/>
                  <w:marBottom w:val="0"/>
                  <w:divBdr>
                    <w:top w:val="none" w:sz="0" w:space="0" w:color="auto"/>
                    <w:left w:val="none" w:sz="0" w:space="0" w:color="auto"/>
                    <w:bottom w:val="none" w:sz="0" w:space="0" w:color="auto"/>
                    <w:right w:val="none" w:sz="0" w:space="0" w:color="auto"/>
                  </w:divBdr>
                  <w:divsChild>
                    <w:div w:id="410468434">
                      <w:marLeft w:val="0"/>
                      <w:marRight w:val="0"/>
                      <w:marTop w:val="0"/>
                      <w:marBottom w:val="0"/>
                      <w:divBdr>
                        <w:top w:val="none" w:sz="0" w:space="0" w:color="auto"/>
                        <w:left w:val="none" w:sz="0" w:space="0" w:color="auto"/>
                        <w:bottom w:val="none" w:sz="0" w:space="0" w:color="auto"/>
                        <w:right w:val="none" w:sz="0" w:space="0" w:color="auto"/>
                      </w:divBdr>
                      <w:divsChild>
                        <w:div w:id="608664218">
                          <w:marLeft w:val="0"/>
                          <w:marRight w:val="0"/>
                          <w:marTop w:val="0"/>
                          <w:marBottom w:val="0"/>
                          <w:divBdr>
                            <w:top w:val="none" w:sz="0" w:space="0" w:color="auto"/>
                            <w:left w:val="none" w:sz="0" w:space="0" w:color="auto"/>
                            <w:bottom w:val="none" w:sz="0" w:space="0" w:color="auto"/>
                            <w:right w:val="none" w:sz="0" w:space="0" w:color="auto"/>
                          </w:divBdr>
                          <w:divsChild>
                            <w:div w:id="789206603">
                              <w:marLeft w:val="0"/>
                              <w:marRight w:val="0"/>
                              <w:marTop w:val="0"/>
                              <w:marBottom w:val="0"/>
                              <w:divBdr>
                                <w:top w:val="none" w:sz="0" w:space="0" w:color="auto"/>
                                <w:left w:val="none" w:sz="0" w:space="0" w:color="auto"/>
                                <w:bottom w:val="none" w:sz="0" w:space="0" w:color="auto"/>
                                <w:right w:val="none" w:sz="0" w:space="0" w:color="auto"/>
                              </w:divBdr>
                              <w:divsChild>
                                <w:div w:id="1003244317">
                                  <w:marLeft w:val="0"/>
                                  <w:marRight w:val="0"/>
                                  <w:marTop w:val="0"/>
                                  <w:marBottom w:val="0"/>
                                  <w:divBdr>
                                    <w:top w:val="none" w:sz="0" w:space="0" w:color="auto"/>
                                    <w:left w:val="none" w:sz="0" w:space="0" w:color="auto"/>
                                    <w:bottom w:val="none" w:sz="0" w:space="0" w:color="auto"/>
                                    <w:right w:val="none" w:sz="0" w:space="0" w:color="auto"/>
                                  </w:divBdr>
                                  <w:divsChild>
                                    <w:div w:id="1493567463">
                                      <w:marLeft w:val="0"/>
                                      <w:marRight w:val="0"/>
                                      <w:marTop w:val="0"/>
                                      <w:marBottom w:val="0"/>
                                      <w:divBdr>
                                        <w:top w:val="none" w:sz="0" w:space="0" w:color="auto"/>
                                        <w:left w:val="none" w:sz="0" w:space="0" w:color="auto"/>
                                        <w:bottom w:val="none" w:sz="0" w:space="0" w:color="auto"/>
                                        <w:right w:val="none" w:sz="0" w:space="0" w:color="auto"/>
                                      </w:divBdr>
                                      <w:divsChild>
                                        <w:div w:id="130057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6980838">
      <w:bodyDiv w:val="1"/>
      <w:marLeft w:val="0"/>
      <w:marRight w:val="0"/>
      <w:marTop w:val="0"/>
      <w:marBottom w:val="0"/>
      <w:divBdr>
        <w:top w:val="none" w:sz="0" w:space="0" w:color="auto"/>
        <w:left w:val="none" w:sz="0" w:space="0" w:color="auto"/>
        <w:bottom w:val="none" w:sz="0" w:space="0" w:color="auto"/>
        <w:right w:val="none" w:sz="0" w:space="0" w:color="auto"/>
      </w:divBdr>
      <w:divsChild>
        <w:div w:id="1603368469">
          <w:marLeft w:val="0"/>
          <w:marRight w:val="0"/>
          <w:marTop w:val="0"/>
          <w:marBottom w:val="0"/>
          <w:divBdr>
            <w:top w:val="none" w:sz="0" w:space="0" w:color="auto"/>
            <w:left w:val="none" w:sz="0" w:space="0" w:color="auto"/>
            <w:bottom w:val="none" w:sz="0" w:space="0" w:color="auto"/>
            <w:right w:val="none" w:sz="0" w:space="0" w:color="auto"/>
          </w:divBdr>
          <w:divsChild>
            <w:div w:id="356276489">
              <w:marLeft w:val="0"/>
              <w:marRight w:val="0"/>
              <w:marTop w:val="0"/>
              <w:marBottom w:val="0"/>
              <w:divBdr>
                <w:top w:val="none" w:sz="0" w:space="0" w:color="auto"/>
                <w:left w:val="none" w:sz="0" w:space="0" w:color="auto"/>
                <w:bottom w:val="none" w:sz="0" w:space="0" w:color="auto"/>
                <w:right w:val="none" w:sz="0" w:space="0" w:color="auto"/>
              </w:divBdr>
              <w:divsChild>
                <w:div w:id="1009065286">
                  <w:marLeft w:val="0"/>
                  <w:marRight w:val="0"/>
                  <w:marTop w:val="0"/>
                  <w:marBottom w:val="150"/>
                  <w:divBdr>
                    <w:top w:val="none" w:sz="0" w:space="0" w:color="auto"/>
                    <w:left w:val="none" w:sz="0" w:space="0" w:color="auto"/>
                    <w:bottom w:val="none" w:sz="0" w:space="0" w:color="auto"/>
                    <w:right w:val="none" w:sz="0" w:space="0" w:color="auto"/>
                  </w:divBdr>
                  <w:divsChild>
                    <w:div w:id="941229458">
                      <w:marLeft w:val="0"/>
                      <w:marRight w:val="0"/>
                      <w:marTop w:val="0"/>
                      <w:marBottom w:val="0"/>
                      <w:divBdr>
                        <w:top w:val="none" w:sz="0" w:space="0" w:color="auto"/>
                        <w:left w:val="none" w:sz="0" w:space="0" w:color="auto"/>
                        <w:bottom w:val="none" w:sz="0" w:space="0" w:color="auto"/>
                        <w:right w:val="none" w:sz="0" w:space="0" w:color="auto"/>
                      </w:divBdr>
                      <w:divsChild>
                        <w:div w:id="517813006">
                          <w:marLeft w:val="0"/>
                          <w:marRight w:val="0"/>
                          <w:marTop w:val="0"/>
                          <w:marBottom w:val="0"/>
                          <w:divBdr>
                            <w:top w:val="none" w:sz="0" w:space="0" w:color="auto"/>
                            <w:left w:val="none" w:sz="0" w:space="0" w:color="auto"/>
                            <w:bottom w:val="none" w:sz="0" w:space="0" w:color="auto"/>
                            <w:right w:val="none" w:sz="0" w:space="0" w:color="auto"/>
                          </w:divBdr>
                          <w:divsChild>
                            <w:div w:id="667169523">
                              <w:marLeft w:val="0"/>
                              <w:marRight w:val="0"/>
                              <w:marTop w:val="0"/>
                              <w:marBottom w:val="0"/>
                              <w:divBdr>
                                <w:top w:val="none" w:sz="0" w:space="0" w:color="auto"/>
                                <w:left w:val="none" w:sz="0" w:space="0" w:color="auto"/>
                                <w:bottom w:val="none" w:sz="0" w:space="0" w:color="auto"/>
                                <w:right w:val="none" w:sz="0" w:space="0" w:color="auto"/>
                              </w:divBdr>
                              <w:divsChild>
                                <w:div w:id="394817975">
                                  <w:marLeft w:val="0"/>
                                  <w:marRight w:val="0"/>
                                  <w:marTop w:val="0"/>
                                  <w:marBottom w:val="0"/>
                                  <w:divBdr>
                                    <w:top w:val="none" w:sz="0" w:space="0" w:color="auto"/>
                                    <w:left w:val="none" w:sz="0" w:space="0" w:color="auto"/>
                                    <w:bottom w:val="none" w:sz="0" w:space="0" w:color="auto"/>
                                    <w:right w:val="none" w:sz="0" w:space="0" w:color="auto"/>
                                  </w:divBdr>
                                  <w:divsChild>
                                    <w:div w:id="70591711">
                                      <w:marLeft w:val="0"/>
                                      <w:marRight w:val="0"/>
                                      <w:marTop w:val="0"/>
                                      <w:marBottom w:val="0"/>
                                      <w:divBdr>
                                        <w:top w:val="none" w:sz="0" w:space="0" w:color="auto"/>
                                        <w:left w:val="none" w:sz="0" w:space="0" w:color="auto"/>
                                        <w:bottom w:val="none" w:sz="0" w:space="0" w:color="auto"/>
                                        <w:right w:val="none" w:sz="0" w:space="0" w:color="auto"/>
                                      </w:divBdr>
                                      <w:divsChild>
                                        <w:div w:id="1211723357">
                                          <w:marLeft w:val="0"/>
                                          <w:marRight w:val="0"/>
                                          <w:marTop w:val="0"/>
                                          <w:marBottom w:val="0"/>
                                          <w:divBdr>
                                            <w:top w:val="none" w:sz="0" w:space="0" w:color="auto"/>
                                            <w:left w:val="none" w:sz="0" w:space="0" w:color="auto"/>
                                            <w:bottom w:val="none" w:sz="0" w:space="0" w:color="auto"/>
                                            <w:right w:val="none" w:sz="0" w:space="0" w:color="auto"/>
                                          </w:divBdr>
                                          <w:divsChild>
                                            <w:div w:id="1820608372">
                                              <w:marLeft w:val="0"/>
                                              <w:marRight w:val="0"/>
                                              <w:marTop w:val="0"/>
                                              <w:marBottom w:val="0"/>
                                              <w:divBdr>
                                                <w:top w:val="none" w:sz="0" w:space="0" w:color="auto"/>
                                                <w:left w:val="none" w:sz="0" w:space="0" w:color="auto"/>
                                                <w:bottom w:val="none" w:sz="0" w:space="0" w:color="auto"/>
                                                <w:right w:val="none" w:sz="0" w:space="0" w:color="auto"/>
                                              </w:divBdr>
                                              <w:divsChild>
                                                <w:div w:id="22079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7746105">
      <w:bodyDiv w:val="1"/>
      <w:marLeft w:val="0"/>
      <w:marRight w:val="0"/>
      <w:marTop w:val="0"/>
      <w:marBottom w:val="0"/>
      <w:divBdr>
        <w:top w:val="none" w:sz="0" w:space="0" w:color="auto"/>
        <w:left w:val="none" w:sz="0" w:space="0" w:color="auto"/>
        <w:bottom w:val="none" w:sz="0" w:space="0" w:color="auto"/>
        <w:right w:val="none" w:sz="0" w:space="0" w:color="auto"/>
      </w:divBdr>
      <w:divsChild>
        <w:div w:id="1550148383">
          <w:marLeft w:val="0"/>
          <w:marRight w:val="0"/>
          <w:marTop w:val="0"/>
          <w:marBottom w:val="0"/>
          <w:divBdr>
            <w:top w:val="none" w:sz="0" w:space="0" w:color="auto"/>
            <w:left w:val="none" w:sz="0" w:space="0" w:color="auto"/>
            <w:bottom w:val="dotted" w:sz="6" w:space="4" w:color="DDDDDD"/>
            <w:right w:val="none" w:sz="0" w:space="0" w:color="auto"/>
          </w:divBdr>
        </w:div>
      </w:divsChild>
    </w:div>
    <w:div w:id="1078164627">
      <w:bodyDiv w:val="1"/>
      <w:marLeft w:val="0"/>
      <w:marRight w:val="0"/>
      <w:marTop w:val="0"/>
      <w:marBottom w:val="0"/>
      <w:divBdr>
        <w:top w:val="none" w:sz="0" w:space="0" w:color="auto"/>
        <w:left w:val="none" w:sz="0" w:space="0" w:color="auto"/>
        <w:bottom w:val="none" w:sz="0" w:space="0" w:color="auto"/>
        <w:right w:val="none" w:sz="0" w:space="0" w:color="auto"/>
      </w:divBdr>
      <w:divsChild>
        <w:div w:id="117725728">
          <w:marLeft w:val="0"/>
          <w:marRight w:val="0"/>
          <w:marTop w:val="0"/>
          <w:marBottom w:val="150"/>
          <w:divBdr>
            <w:top w:val="none" w:sz="0" w:space="0" w:color="auto"/>
            <w:left w:val="none" w:sz="0" w:space="0" w:color="auto"/>
            <w:bottom w:val="none" w:sz="0" w:space="0" w:color="auto"/>
            <w:right w:val="none" w:sz="0" w:space="0" w:color="auto"/>
          </w:divBdr>
        </w:div>
        <w:div w:id="1496990062">
          <w:marLeft w:val="0"/>
          <w:marRight w:val="0"/>
          <w:marTop w:val="0"/>
          <w:marBottom w:val="0"/>
          <w:divBdr>
            <w:top w:val="none" w:sz="0" w:space="0" w:color="auto"/>
            <w:left w:val="none" w:sz="0" w:space="0" w:color="auto"/>
            <w:bottom w:val="none" w:sz="0" w:space="0" w:color="auto"/>
            <w:right w:val="none" w:sz="0" w:space="0" w:color="auto"/>
          </w:divBdr>
          <w:divsChild>
            <w:div w:id="606812647">
              <w:marLeft w:val="0"/>
              <w:marRight w:val="0"/>
              <w:marTop w:val="0"/>
              <w:marBottom w:val="0"/>
              <w:divBdr>
                <w:top w:val="none" w:sz="0" w:space="0" w:color="auto"/>
                <w:left w:val="none" w:sz="0" w:space="0" w:color="auto"/>
                <w:bottom w:val="none" w:sz="0" w:space="0" w:color="auto"/>
                <w:right w:val="none" w:sz="0" w:space="0" w:color="auto"/>
              </w:divBdr>
            </w:div>
          </w:divsChild>
        </w:div>
        <w:div w:id="1529371608">
          <w:marLeft w:val="0"/>
          <w:marRight w:val="0"/>
          <w:marTop w:val="0"/>
          <w:marBottom w:val="150"/>
          <w:divBdr>
            <w:top w:val="none" w:sz="0" w:space="0" w:color="auto"/>
            <w:left w:val="none" w:sz="0" w:space="0" w:color="auto"/>
            <w:bottom w:val="none" w:sz="0" w:space="0" w:color="auto"/>
            <w:right w:val="none" w:sz="0" w:space="0" w:color="auto"/>
          </w:divBdr>
          <w:divsChild>
            <w:div w:id="84273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867142">
      <w:bodyDiv w:val="1"/>
      <w:marLeft w:val="0"/>
      <w:marRight w:val="0"/>
      <w:marTop w:val="0"/>
      <w:marBottom w:val="0"/>
      <w:divBdr>
        <w:top w:val="none" w:sz="0" w:space="0" w:color="auto"/>
        <w:left w:val="none" w:sz="0" w:space="0" w:color="auto"/>
        <w:bottom w:val="none" w:sz="0" w:space="0" w:color="auto"/>
        <w:right w:val="none" w:sz="0" w:space="0" w:color="auto"/>
      </w:divBdr>
    </w:div>
    <w:div w:id="1079785435">
      <w:bodyDiv w:val="1"/>
      <w:marLeft w:val="0"/>
      <w:marRight w:val="0"/>
      <w:marTop w:val="0"/>
      <w:marBottom w:val="0"/>
      <w:divBdr>
        <w:top w:val="none" w:sz="0" w:space="0" w:color="auto"/>
        <w:left w:val="none" w:sz="0" w:space="0" w:color="auto"/>
        <w:bottom w:val="none" w:sz="0" w:space="0" w:color="auto"/>
        <w:right w:val="none" w:sz="0" w:space="0" w:color="auto"/>
      </w:divBdr>
      <w:divsChild>
        <w:div w:id="1943612224">
          <w:marLeft w:val="0"/>
          <w:marRight w:val="0"/>
          <w:marTop w:val="0"/>
          <w:marBottom w:val="0"/>
          <w:divBdr>
            <w:top w:val="none" w:sz="0" w:space="0" w:color="auto"/>
            <w:left w:val="none" w:sz="0" w:space="0" w:color="auto"/>
            <w:bottom w:val="none" w:sz="0" w:space="0" w:color="auto"/>
            <w:right w:val="none" w:sz="0" w:space="0" w:color="auto"/>
          </w:divBdr>
          <w:divsChild>
            <w:div w:id="1043746888">
              <w:marLeft w:val="0"/>
              <w:marRight w:val="0"/>
              <w:marTop w:val="0"/>
              <w:marBottom w:val="0"/>
              <w:divBdr>
                <w:top w:val="none" w:sz="0" w:space="0" w:color="auto"/>
                <w:left w:val="none" w:sz="0" w:space="0" w:color="auto"/>
                <w:bottom w:val="none" w:sz="0" w:space="0" w:color="auto"/>
                <w:right w:val="none" w:sz="0" w:space="0" w:color="auto"/>
              </w:divBdr>
              <w:divsChild>
                <w:div w:id="189727716">
                  <w:marLeft w:val="0"/>
                  <w:marRight w:val="0"/>
                  <w:marTop w:val="0"/>
                  <w:marBottom w:val="150"/>
                  <w:divBdr>
                    <w:top w:val="none" w:sz="0" w:space="0" w:color="auto"/>
                    <w:left w:val="none" w:sz="0" w:space="0" w:color="auto"/>
                    <w:bottom w:val="none" w:sz="0" w:space="0" w:color="auto"/>
                    <w:right w:val="none" w:sz="0" w:space="0" w:color="auto"/>
                  </w:divBdr>
                  <w:divsChild>
                    <w:div w:id="370767297">
                      <w:marLeft w:val="0"/>
                      <w:marRight w:val="0"/>
                      <w:marTop w:val="0"/>
                      <w:marBottom w:val="0"/>
                      <w:divBdr>
                        <w:top w:val="none" w:sz="0" w:space="0" w:color="auto"/>
                        <w:left w:val="none" w:sz="0" w:space="0" w:color="auto"/>
                        <w:bottom w:val="none" w:sz="0" w:space="0" w:color="auto"/>
                        <w:right w:val="none" w:sz="0" w:space="0" w:color="auto"/>
                      </w:divBdr>
                      <w:divsChild>
                        <w:div w:id="6909346">
                          <w:marLeft w:val="0"/>
                          <w:marRight w:val="0"/>
                          <w:marTop w:val="0"/>
                          <w:marBottom w:val="0"/>
                          <w:divBdr>
                            <w:top w:val="none" w:sz="0" w:space="0" w:color="auto"/>
                            <w:left w:val="none" w:sz="0" w:space="0" w:color="auto"/>
                            <w:bottom w:val="none" w:sz="0" w:space="0" w:color="auto"/>
                            <w:right w:val="none" w:sz="0" w:space="0" w:color="auto"/>
                          </w:divBdr>
                          <w:divsChild>
                            <w:div w:id="907568989">
                              <w:marLeft w:val="0"/>
                              <w:marRight w:val="0"/>
                              <w:marTop w:val="0"/>
                              <w:marBottom w:val="0"/>
                              <w:divBdr>
                                <w:top w:val="none" w:sz="0" w:space="0" w:color="auto"/>
                                <w:left w:val="none" w:sz="0" w:space="0" w:color="auto"/>
                                <w:bottom w:val="none" w:sz="0" w:space="0" w:color="auto"/>
                                <w:right w:val="none" w:sz="0" w:space="0" w:color="auto"/>
                              </w:divBdr>
                              <w:divsChild>
                                <w:div w:id="809975860">
                                  <w:marLeft w:val="0"/>
                                  <w:marRight w:val="0"/>
                                  <w:marTop w:val="0"/>
                                  <w:marBottom w:val="0"/>
                                  <w:divBdr>
                                    <w:top w:val="none" w:sz="0" w:space="0" w:color="auto"/>
                                    <w:left w:val="none" w:sz="0" w:space="0" w:color="auto"/>
                                    <w:bottom w:val="none" w:sz="0" w:space="0" w:color="auto"/>
                                    <w:right w:val="none" w:sz="0" w:space="0" w:color="auto"/>
                                  </w:divBdr>
                                  <w:divsChild>
                                    <w:div w:id="566916095">
                                      <w:marLeft w:val="0"/>
                                      <w:marRight w:val="0"/>
                                      <w:marTop w:val="0"/>
                                      <w:marBottom w:val="0"/>
                                      <w:divBdr>
                                        <w:top w:val="none" w:sz="0" w:space="0" w:color="auto"/>
                                        <w:left w:val="none" w:sz="0" w:space="0" w:color="auto"/>
                                        <w:bottom w:val="none" w:sz="0" w:space="0" w:color="auto"/>
                                        <w:right w:val="none" w:sz="0" w:space="0" w:color="auto"/>
                                      </w:divBdr>
                                      <w:divsChild>
                                        <w:div w:id="403795052">
                                          <w:marLeft w:val="0"/>
                                          <w:marRight w:val="0"/>
                                          <w:marTop w:val="0"/>
                                          <w:marBottom w:val="0"/>
                                          <w:divBdr>
                                            <w:top w:val="none" w:sz="0" w:space="0" w:color="auto"/>
                                            <w:left w:val="none" w:sz="0" w:space="0" w:color="auto"/>
                                            <w:bottom w:val="none" w:sz="0" w:space="0" w:color="auto"/>
                                            <w:right w:val="none" w:sz="0" w:space="0" w:color="auto"/>
                                          </w:divBdr>
                                          <w:divsChild>
                                            <w:div w:id="822239970">
                                              <w:marLeft w:val="0"/>
                                              <w:marRight w:val="0"/>
                                              <w:marTop w:val="0"/>
                                              <w:marBottom w:val="0"/>
                                              <w:divBdr>
                                                <w:top w:val="none" w:sz="0" w:space="0" w:color="auto"/>
                                                <w:left w:val="none" w:sz="0" w:space="0" w:color="auto"/>
                                                <w:bottom w:val="none" w:sz="0" w:space="0" w:color="auto"/>
                                                <w:right w:val="none" w:sz="0" w:space="0" w:color="auto"/>
                                              </w:divBdr>
                                              <w:divsChild>
                                                <w:div w:id="199329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0172917">
      <w:bodyDiv w:val="1"/>
      <w:marLeft w:val="0"/>
      <w:marRight w:val="0"/>
      <w:marTop w:val="0"/>
      <w:marBottom w:val="0"/>
      <w:divBdr>
        <w:top w:val="none" w:sz="0" w:space="0" w:color="auto"/>
        <w:left w:val="none" w:sz="0" w:space="0" w:color="auto"/>
        <w:bottom w:val="none" w:sz="0" w:space="0" w:color="auto"/>
        <w:right w:val="none" w:sz="0" w:space="0" w:color="auto"/>
      </w:divBdr>
      <w:divsChild>
        <w:div w:id="64500042">
          <w:marLeft w:val="0"/>
          <w:marRight w:val="0"/>
          <w:marTop w:val="0"/>
          <w:marBottom w:val="150"/>
          <w:divBdr>
            <w:top w:val="none" w:sz="0" w:space="0" w:color="auto"/>
            <w:left w:val="none" w:sz="0" w:space="0" w:color="auto"/>
            <w:bottom w:val="none" w:sz="0" w:space="0" w:color="auto"/>
            <w:right w:val="none" w:sz="0" w:space="0" w:color="auto"/>
          </w:divBdr>
        </w:div>
        <w:div w:id="1586840112">
          <w:marLeft w:val="0"/>
          <w:marRight w:val="0"/>
          <w:marTop w:val="0"/>
          <w:marBottom w:val="0"/>
          <w:divBdr>
            <w:top w:val="none" w:sz="0" w:space="0" w:color="auto"/>
            <w:left w:val="none" w:sz="0" w:space="0" w:color="auto"/>
            <w:bottom w:val="none" w:sz="0" w:space="0" w:color="auto"/>
            <w:right w:val="none" w:sz="0" w:space="0" w:color="auto"/>
          </w:divBdr>
          <w:divsChild>
            <w:div w:id="1898590501">
              <w:marLeft w:val="0"/>
              <w:marRight w:val="0"/>
              <w:marTop w:val="225"/>
              <w:marBottom w:val="225"/>
              <w:divBdr>
                <w:top w:val="none" w:sz="0" w:space="0" w:color="auto"/>
                <w:left w:val="none" w:sz="0" w:space="0" w:color="auto"/>
                <w:bottom w:val="none" w:sz="0" w:space="0" w:color="auto"/>
                <w:right w:val="none" w:sz="0" w:space="0" w:color="auto"/>
              </w:divBdr>
            </w:div>
          </w:divsChild>
        </w:div>
        <w:div w:id="1848788540">
          <w:marLeft w:val="0"/>
          <w:marRight w:val="0"/>
          <w:marTop w:val="0"/>
          <w:marBottom w:val="150"/>
          <w:divBdr>
            <w:top w:val="none" w:sz="0" w:space="0" w:color="auto"/>
            <w:left w:val="none" w:sz="0" w:space="0" w:color="auto"/>
            <w:bottom w:val="none" w:sz="0" w:space="0" w:color="auto"/>
            <w:right w:val="none" w:sz="0" w:space="0" w:color="auto"/>
          </w:divBdr>
          <w:divsChild>
            <w:div w:id="470558278">
              <w:marLeft w:val="0"/>
              <w:marRight w:val="0"/>
              <w:marTop w:val="0"/>
              <w:marBottom w:val="0"/>
              <w:divBdr>
                <w:top w:val="none" w:sz="0" w:space="0" w:color="auto"/>
                <w:left w:val="none" w:sz="0" w:space="0" w:color="auto"/>
                <w:bottom w:val="none" w:sz="0" w:space="0" w:color="auto"/>
                <w:right w:val="none" w:sz="0" w:space="0" w:color="auto"/>
              </w:divBdr>
              <w:divsChild>
                <w:div w:id="79760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519513">
      <w:bodyDiv w:val="1"/>
      <w:marLeft w:val="0"/>
      <w:marRight w:val="0"/>
      <w:marTop w:val="0"/>
      <w:marBottom w:val="0"/>
      <w:divBdr>
        <w:top w:val="none" w:sz="0" w:space="0" w:color="auto"/>
        <w:left w:val="none" w:sz="0" w:space="0" w:color="auto"/>
        <w:bottom w:val="none" w:sz="0" w:space="0" w:color="auto"/>
        <w:right w:val="none" w:sz="0" w:space="0" w:color="auto"/>
      </w:divBdr>
    </w:div>
    <w:div w:id="1080562706">
      <w:bodyDiv w:val="1"/>
      <w:marLeft w:val="0"/>
      <w:marRight w:val="0"/>
      <w:marTop w:val="0"/>
      <w:marBottom w:val="0"/>
      <w:divBdr>
        <w:top w:val="none" w:sz="0" w:space="0" w:color="auto"/>
        <w:left w:val="none" w:sz="0" w:space="0" w:color="auto"/>
        <w:bottom w:val="none" w:sz="0" w:space="0" w:color="auto"/>
        <w:right w:val="none" w:sz="0" w:space="0" w:color="auto"/>
      </w:divBdr>
      <w:divsChild>
        <w:div w:id="488054561">
          <w:marLeft w:val="0"/>
          <w:marRight w:val="0"/>
          <w:marTop w:val="0"/>
          <w:marBottom w:val="0"/>
          <w:divBdr>
            <w:top w:val="none" w:sz="0" w:space="0" w:color="auto"/>
            <w:left w:val="none" w:sz="0" w:space="0" w:color="auto"/>
            <w:bottom w:val="dotted" w:sz="6" w:space="4" w:color="DDDDDD"/>
            <w:right w:val="none" w:sz="0" w:space="0" w:color="auto"/>
          </w:divBdr>
          <w:divsChild>
            <w:div w:id="16124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713976">
      <w:bodyDiv w:val="1"/>
      <w:marLeft w:val="0"/>
      <w:marRight w:val="0"/>
      <w:marTop w:val="0"/>
      <w:marBottom w:val="0"/>
      <w:divBdr>
        <w:top w:val="none" w:sz="0" w:space="0" w:color="auto"/>
        <w:left w:val="none" w:sz="0" w:space="0" w:color="auto"/>
        <w:bottom w:val="none" w:sz="0" w:space="0" w:color="auto"/>
        <w:right w:val="none" w:sz="0" w:space="0" w:color="auto"/>
      </w:divBdr>
      <w:divsChild>
        <w:div w:id="636839077">
          <w:marLeft w:val="0"/>
          <w:marRight w:val="225"/>
          <w:marTop w:val="0"/>
          <w:marBottom w:val="75"/>
          <w:divBdr>
            <w:top w:val="none" w:sz="0" w:space="0" w:color="auto"/>
            <w:left w:val="none" w:sz="0" w:space="0" w:color="auto"/>
            <w:bottom w:val="none" w:sz="0" w:space="0" w:color="auto"/>
            <w:right w:val="none" w:sz="0" w:space="0" w:color="auto"/>
          </w:divBdr>
          <w:divsChild>
            <w:div w:id="1625235729">
              <w:marLeft w:val="0"/>
              <w:marRight w:val="0"/>
              <w:marTop w:val="0"/>
              <w:marBottom w:val="0"/>
              <w:divBdr>
                <w:top w:val="none" w:sz="0" w:space="0" w:color="auto"/>
                <w:left w:val="none" w:sz="0" w:space="0" w:color="auto"/>
                <w:bottom w:val="none" w:sz="0" w:space="0" w:color="auto"/>
                <w:right w:val="none" w:sz="0" w:space="0" w:color="auto"/>
              </w:divBdr>
            </w:div>
          </w:divsChild>
        </w:div>
        <w:div w:id="718406518">
          <w:marLeft w:val="0"/>
          <w:marRight w:val="0"/>
          <w:marTop w:val="0"/>
          <w:marBottom w:val="0"/>
          <w:divBdr>
            <w:top w:val="none" w:sz="0" w:space="0" w:color="auto"/>
            <w:left w:val="none" w:sz="0" w:space="0" w:color="auto"/>
            <w:bottom w:val="dotted" w:sz="6" w:space="4" w:color="DDDDDD"/>
            <w:right w:val="none" w:sz="0" w:space="0" w:color="auto"/>
          </w:divBdr>
        </w:div>
      </w:divsChild>
    </w:div>
    <w:div w:id="1080718266">
      <w:bodyDiv w:val="1"/>
      <w:marLeft w:val="0"/>
      <w:marRight w:val="0"/>
      <w:marTop w:val="0"/>
      <w:marBottom w:val="0"/>
      <w:divBdr>
        <w:top w:val="none" w:sz="0" w:space="0" w:color="auto"/>
        <w:left w:val="none" w:sz="0" w:space="0" w:color="auto"/>
        <w:bottom w:val="none" w:sz="0" w:space="0" w:color="auto"/>
        <w:right w:val="none" w:sz="0" w:space="0" w:color="auto"/>
      </w:divBdr>
    </w:div>
    <w:div w:id="1081223580">
      <w:bodyDiv w:val="1"/>
      <w:marLeft w:val="0"/>
      <w:marRight w:val="0"/>
      <w:marTop w:val="0"/>
      <w:marBottom w:val="0"/>
      <w:divBdr>
        <w:top w:val="none" w:sz="0" w:space="0" w:color="auto"/>
        <w:left w:val="none" w:sz="0" w:space="0" w:color="auto"/>
        <w:bottom w:val="none" w:sz="0" w:space="0" w:color="auto"/>
        <w:right w:val="none" w:sz="0" w:space="0" w:color="auto"/>
      </w:divBdr>
      <w:divsChild>
        <w:div w:id="591280150">
          <w:marLeft w:val="0"/>
          <w:marRight w:val="0"/>
          <w:marTop w:val="0"/>
          <w:marBottom w:val="0"/>
          <w:divBdr>
            <w:top w:val="none" w:sz="0" w:space="0" w:color="auto"/>
            <w:left w:val="none" w:sz="0" w:space="0" w:color="auto"/>
            <w:bottom w:val="none" w:sz="0" w:space="0" w:color="auto"/>
            <w:right w:val="none" w:sz="0" w:space="0" w:color="auto"/>
          </w:divBdr>
          <w:divsChild>
            <w:div w:id="1622221530">
              <w:marLeft w:val="0"/>
              <w:marRight w:val="0"/>
              <w:marTop w:val="0"/>
              <w:marBottom w:val="0"/>
              <w:divBdr>
                <w:top w:val="none" w:sz="0" w:space="0" w:color="auto"/>
                <w:left w:val="none" w:sz="0" w:space="0" w:color="auto"/>
                <w:bottom w:val="none" w:sz="0" w:space="0" w:color="auto"/>
                <w:right w:val="none" w:sz="0" w:space="0" w:color="auto"/>
              </w:divBdr>
              <w:divsChild>
                <w:div w:id="966548399">
                  <w:marLeft w:val="0"/>
                  <w:marRight w:val="0"/>
                  <w:marTop w:val="0"/>
                  <w:marBottom w:val="0"/>
                  <w:divBdr>
                    <w:top w:val="none" w:sz="0" w:space="0" w:color="auto"/>
                    <w:left w:val="none" w:sz="0" w:space="0" w:color="auto"/>
                    <w:bottom w:val="none" w:sz="0" w:space="0" w:color="auto"/>
                    <w:right w:val="none" w:sz="0" w:space="0" w:color="auto"/>
                  </w:divBdr>
                  <w:divsChild>
                    <w:div w:id="289213149">
                      <w:marLeft w:val="0"/>
                      <w:marRight w:val="0"/>
                      <w:marTop w:val="0"/>
                      <w:marBottom w:val="0"/>
                      <w:divBdr>
                        <w:top w:val="none" w:sz="0" w:space="0" w:color="auto"/>
                        <w:left w:val="none" w:sz="0" w:space="0" w:color="auto"/>
                        <w:bottom w:val="none" w:sz="0" w:space="0" w:color="auto"/>
                        <w:right w:val="none" w:sz="0" w:space="0" w:color="auto"/>
                      </w:divBdr>
                      <w:divsChild>
                        <w:div w:id="1656184766">
                          <w:marLeft w:val="0"/>
                          <w:marRight w:val="0"/>
                          <w:marTop w:val="0"/>
                          <w:marBottom w:val="0"/>
                          <w:divBdr>
                            <w:top w:val="none" w:sz="0" w:space="0" w:color="auto"/>
                            <w:left w:val="none" w:sz="0" w:space="0" w:color="auto"/>
                            <w:bottom w:val="none" w:sz="0" w:space="0" w:color="auto"/>
                            <w:right w:val="none" w:sz="0" w:space="0" w:color="auto"/>
                          </w:divBdr>
                          <w:divsChild>
                            <w:div w:id="1742822646">
                              <w:marLeft w:val="0"/>
                              <w:marRight w:val="0"/>
                              <w:marTop w:val="0"/>
                              <w:marBottom w:val="0"/>
                              <w:divBdr>
                                <w:top w:val="none" w:sz="0" w:space="0" w:color="auto"/>
                                <w:left w:val="none" w:sz="0" w:space="0" w:color="auto"/>
                                <w:bottom w:val="none" w:sz="0" w:space="0" w:color="auto"/>
                                <w:right w:val="none" w:sz="0" w:space="0" w:color="auto"/>
                              </w:divBdr>
                              <w:divsChild>
                                <w:div w:id="1078133963">
                                  <w:marLeft w:val="0"/>
                                  <w:marRight w:val="0"/>
                                  <w:marTop w:val="0"/>
                                  <w:marBottom w:val="0"/>
                                  <w:divBdr>
                                    <w:top w:val="none" w:sz="0" w:space="0" w:color="auto"/>
                                    <w:left w:val="none" w:sz="0" w:space="0" w:color="auto"/>
                                    <w:bottom w:val="none" w:sz="0" w:space="0" w:color="auto"/>
                                    <w:right w:val="none" w:sz="0" w:space="0" w:color="auto"/>
                                  </w:divBdr>
                                  <w:divsChild>
                                    <w:div w:id="18247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145449">
      <w:bodyDiv w:val="1"/>
      <w:marLeft w:val="0"/>
      <w:marRight w:val="0"/>
      <w:marTop w:val="0"/>
      <w:marBottom w:val="0"/>
      <w:divBdr>
        <w:top w:val="none" w:sz="0" w:space="0" w:color="auto"/>
        <w:left w:val="none" w:sz="0" w:space="0" w:color="auto"/>
        <w:bottom w:val="none" w:sz="0" w:space="0" w:color="auto"/>
        <w:right w:val="none" w:sz="0" w:space="0" w:color="auto"/>
      </w:divBdr>
    </w:div>
    <w:div w:id="1082528605">
      <w:bodyDiv w:val="1"/>
      <w:marLeft w:val="0"/>
      <w:marRight w:val="0"/>
      <w:marTop w:val="0"/>
      <w:marBottom w:val="0"/>
      <w:divBdr>
        <w:top w:val="none" w:sz="0" w:space="0" w:color="auto"/>
        <w:left w:val="none" w:sz="0" w:space="0" w:color="auto"/>
        <w:bottom w:val="none" w:sz="0" w:space="0" w:color="auto"/>
        <w:right w:val="none" w:sz="0" w:space="0" w:color="auto"/>
      </w:divBdr>
      <w:divsChild>
        <w:div w:id="1736512932">
          <w:marLeft w:val="0"/>
          <w:marRight w:val="0"/>
          <w:marTop w:val="0"/>
          <w:marBottom w:val="0"/>
          <w:divBdr>
            <w:top w:val="none" w:sz="0" w:space="0" w:color="auto"/>
            <w:left w:val="none" w:sz="0" w:space="0" w:color="auto"/>
            <w:bottom w:val="dotted" w:sz="6" w:space="4" w:color="DDDDDD"/>
            <w:right w:val="none" w:sz="0" w:space="0" w:color="auto"/>
          </w:divBdr>
          <w:divsChild>
            <w:div w:id="28530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606496">
      <w:bodyDiv w:val="1"/>
      <w:marLeft w:val="0"/>
      <w:marRight w:val="0"/>
      <w:marTop w:val="0"/>
      <w:marBottom w:val="0"/>
      <w:divBdr>
        <w:top w:val="none" w:sz="0" w:space="0" w:color="auto"/>
        <w:left w:val="none" w:sz="0" w:space="0" w:color="auto"/>
        <w:bottom w:val="none" w:sz="0" w:space="0" w:color="auto"/>
        <w:right w:val="none" w:sz="0" w:space="0" w:color="auto"/>
      </w:divBdr>
      <w:divsChild>
        <w:div w:id="690960653">
          <w:marLeft w:val="0"/>
          <w:marRight w:val="0"/>
          <w:marTop w:val="0"/>
          <w:marBottom w:val="0"/>
          <w:divBdr>
            <w:top w:val="none" w:sz="0" w:space="0" w:color="auto"/>
            <w:left w:val="none" w:sz="0" w:space="0" w:color="auto"/>
            <w:bottom w:val="none" w:sz="0" w:space="0" w:color="auto"/>
            <w:right w:val="none" w:sz="0" w:space="0" w:color="auto"/>
          </w:divBdr>
          <w:divsChild>
            <w:div w:id="1443183935">
              <w:marLeft w:val="0"/>
              <w:marRight w:val="0"/>
              <w:marTop w:val="0"/>
              <w:marBottom w:val="0"/>
              <w:divBdr>
                <w:top w:val="none" w:sz="0" w:space="0" w:color="auto"/>
                <w:left w:val="none" w:sz="0" w:space="0" w:color="auto"/>
                <w:bottom w:val="none" w:sz="0" w:space="0" w:color="auto"/>
                <w:right w:val="none" w:sz="0" w:space="0" w:color="auto"/>
              </w:divBdr>
            </w:div>
            <w:div w:id="19868866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83451720">
      <w:bodyDiv w:val="1"/>
      <w:marLeft w:val="0"/>
      <w:marRight w:val="0"/>
      <w:marTop w:val="0"/>
      <w:marBottom w:val="0"/>
      <w:divBdr>
        <w:top w:val="none" w:sz="0" w:space="0" w:color="auto"/>
        <w:left w:val="none" w:sz="0" w:space="0" w:color="auto"/>
        <w:bottom w:val="none" w:sz="0" w:space="0" w:color="auto"/>
        <w:right w:val="none" w:sz="0" w:space="0" w:color="auto"/>
      </w:divBdr>
      <w:divsChild>
        <w:div w:id="2129663783">
          <w:marLeft w:val="0"/>
          <w:marRight w:val="0"/>
          <w:marTop w:val="0"/>
          <w:marBottom w:val="150"/>
          <w:divBdr>
            <w:top w:val="none" w:sz="0" w:space="0" w:color="auto"/>
            <w:left w:val="none" w:sz="0" w:space="0" w:color="auto"/>
            <w:bottom w:val="none" w:sz="0" w:space="0" w:color="auto"/>
            <w:right w:val="none" w:sz="0" w:space="0" w:color="auto"/>
          </w:divBdr>
        </w:div>
      </w:divsChild>
    </w:div>
    <w:div w:id="1083457384">
      <w:bodyDiv w:val="1"/>
      <w:marLeft w:val="0"/>
      <w:marRight w:val="0"/>
      <w:marTop w:val="0"/>
      <w:marBottom w:val="0"/>
      <w:divBdr>
        <w:top w:val="none" w:sz="0" w:space="0" w:color="auto"/>
        <w:left w:val="none" w:sz="0" w:space="0" w:color="auto"/>
        <w:bottom w:val="none" w:sz="0" w:space="0" w:color="auto"/>
        <w:right w:val="none" w:sz="0" w:space="0" w:color="auto"/>
      </w:divBdr>
      <w:divsChild>
        <w:div w:id="709258092">
          <w:marLeft w:val="0"/>
          <w:marRight w:val="0"/>
          <w:marTop w:val="0"/>
          <w:marBottom w:val="0"/>
          <w:divBdr>
            <w:top w:val="none" w:sz="0" w:space="0" w:color="auto"/>
            <w:left w:val="none" w:sz="0" w:space="0" w:color="auto"/>
            <w:bottom w:val="none" w:sz="0" w:space="0" w:color="auto"/>
            <w:right w:val="none" w:sz="0" w:space="0" w:color="auto"/>
          </w:divBdr>
          <w:divsChild>
            <w:div w:id="1651517177">
              <w:marLeft w:val="0"/>
              <w:marRight w:val="0"/>
              <w:marTop w:val="0"/>
              <w:marBottom w:val="0"/>
              <w:divBdr>
                <w:top w:val="none" w:sz="0" w:space="0" w:color="auto"/>
                <w:left w:val="none" w:sz="0" w:space="0" w:color="auto"/>
                <w:bottom w:val="none" w:sz="0" w:space="0" w:color="auto"/>
                <w:right w:val="none" w:sz="0" w:space="0" w:color="auto"/>
              </w:divBdr>
              <w:divsChild>
                <w:div w:id="289479044">
                  <w:marLeft w:val="0"/>
                  <w:marRight w:val="0"/>
                  <w:marTop w:val="0"/>
                  <w:marBottom w:val="0"/>
                  <w:divBdr>
                    <w:top w:val="none" w:sz="0" w:space="0" w:color="auto"/>
                    <w:left w:val="none" w:sz="0" w:space="0" w:color="auto"/>
                    <w:bottom w:val="none" w:sz="0" w:space="0" w:color="auto"/>
                    <w:right w:val="none" w:sz="0" w:space="0" w:color="auto"/>
                  </w:divBdr>
                  <w:divsChild>
                    <w:div w:id="216891335">
                      <w:marLeft w:val="0"/>
                      <w:marRight w:val="0"/>
                      <w:marTop w:val="0"/>
                      <w:marBottom w:val="0"/>
                      <w:divBdr>
                        <w:top w:val="none" w:sz="0" w:space="0" w:color="auto"/>
                        <w:left w:val="none" w:sz="0" w:space="0" w:color="auto"/>
                        <w:bottom w:val="none" w:sz="0" w:space="0" w:color="auto"/>
                        <w:right w:val="none" w:sz="0" w:space="0" w:color="auto"/>
                      </w:divBdr>
                      <w:divsChild>
                        <w:div w:id="1144733053">
                          <w:marLeft w:val="0"/>
                          <w:marRight w:val="0"/>
                          <w:marTop w:val="0"/>
                          <w:marBottom w:val="0"/>
                          <w:divBdr>
                            <w:top w:val="none" w:sz="0" w:space="0" w:color="auto"/>
                            <w:left w:val="none" w:sz="0" w:space="0" w:color="auto"/>
                            <w:bottom w:val="none" w:sz="0" w:space="0" w:color="auto"/>
                            <w:right w:val="none" w:sz="0" w:space="0" w:color="auto"/>
                          </w:divBdr>
                          <w:divsChild>
                            <w:div w:id="1855025569">
                              <w:marLeft w:val="0"/>
                              <w:marRight w:val="0"/>
                              <w:marTop w:val="0"/>
                              <w:marBottom w:val="0"/>
                              <w:divBdr>
                                <w:top w:val="none" w:sz="0" w:space="0" w:color="auto"/>
                                <w:left w:val="none" w:sz="0" w:space="0" w:color="auto"/>
                                <w:bottom w:val="none" w:sz="0" w:space="0" w:color="auto"/>
                                <w:right w:val="none" w:sz="0" w:space="0" w:color="auto"/>
                              </w:divBdr>
                              <w:divsChild>
                                <w:div w:id="2007438674">
                                  <w:marLeft w:val="0"/>
                                  <w:marRight w:val="0"/>
                                  <w:marTop w:val="0"/>
                                  <w:marBottom w:val="0"/>
                                  <w:divBdr>
                                    <w:top w:val="none" w:sz="0" w:space="0" w:color="auto"/>
                                    <w:left w:val="none" w:sz="0" w:space="0" w:color="auto"/>
                                    <w:bottom w:val="none" w:sz="0" w:space="0" w:color="auto"/>
                                    <w:right w:val="none" w:sz="0" w:space="0" w:color="auto"/>
                                  </w:divBdr>
                                  <w:divsChild>
                                    <w:div w:id="114238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3837398">
      <w:bodyDiv w:val="1"/>
      <w:marLeft w:val="0"/>
      <w:marRight w:val="0"/>
      <w:marTop w:val="0"/>
      <w:marBottom w:val="0"/>
      <w:divBdr>
        <w:top w:val="none" w:sz="0" w:space="0" w:color="auto"/>
        <w:left w:val="none" w:sz="0" w:space="0" w:color="auto"/>
        <w:bottom w:val="none" w:sz="0" w:space="0" w:color="auto"/>
        <w:right w:val="none" w:sz="0" w:space="0" w:color="auto"/>
      </w:divBdr>
      <w:divsChild>
        <w:div w:id="992608428">
          <w:marLeft w:val="-9765"/>
          <w:marRight w:val="0"/>
          <w:marTop w:val="0"/>
          <w:marBottom w:val="0"/>
          <w:divBdr>
            <w:top w:val="none" w:sz="0" w:space="0" w:color="auto"/>
            <w:left w:val="none" w:sz="0" w:space="0" w:color="auto"/>
            <w:bottom w:val="none" w:sz="0" w:space="0" w:color="auto"/>
            <w:right w:val="none" w:sz="0" w:space="0" w:color="auto"/>
          </w:divBdr>
        </w:div>
      </w:divsChild>
    </w:div>
    <w:div w:id="1083837760">
      <w:bodyDiv w:val="1"/>
      <w:marLeft w:val="0"/>
      <w:marRight w:val="0"/>
      <w:marTop w:val="0"/>
      <w:marBottom w:val="0"/>
      <w:divBdr>
        <w:top w:val="none" w:sz="0" w:space="0" w:color="auto"/>
        <w:left w:val="none" w:sz="0" w:space="0" w:color="auto"/>
        <w:bottom w:val="none" w:sz="0" w:space="0" w:color="auto"/>
        <w:right w:val="none" w:sz="0" w:space="0" w:color="auto"/>
      </w:divBdr>
    </w:div>
    <w:div w:id="1084256771">
      <w:bodyDiv w:val="1"/>
      <w:marLeft w:val="0"/>
      <w:marRight w:val="0"/>
      <w:marTop w:val="0"/>
      <w:marBottom w:val="0"/>
      <w:divBdr>
        <w:top w:val="none" w:sz="0" w:space="0" w:color="auto"/>
        <w:left w:val="none" w:sz="0" w:space="0" w:color="auto"/>
        <w:bottom w:val="none" w:sz="0" w:space="0" w:color="auto"/>
        <w:right w:val="none" w:sz="0" w:space="0" w:color="auto"/>
      </w:divBdr>
    </w:div>
    <w:div w:id="1084451804">
      <w:bodyDiv w:val="1"/>
      <w:marLeft w:val="0"/>
      <w:marRight w:val="0"/>
      <w:marTop w:val="0"/>
      <w:marBottom w:val="0"/>
      <w:divBdr>
        <w:top w:val="none" w:sz="0" w:space="0" w:color="auto"/>
        <w:left w:val="none" w:sz="0" w:space="0" w:color="auto"/>
        <w:bottom w:val="none" w:sz="0" w:space="0" w:color="auto"/>
        <w:right w:val="none" w:sz="0" w:space="0" w:color="auto"/>
      </w:divBdr>
      <w:divsChild>
        <w:div w:id="1242373264">
          <w:marLeft w:val="0"/>
          <w:marRight w:val="0"/>
          <w:marTop w:val="0"/>
          <w:marBottom w:val="0"/>
          <w:divBdr>
            <w:top w:val="none" w:sz="0" w:space="0" w:color="auto"/>
            <w:left w:val="none" w:sz="0" w:space="0" w:color="auto"/>
            <w:bottom w:val="dotted" w:sz="6" w:space="4" w:color="DDDDDD"/>
            <w:right w:val="none" w:sz="0" w:space="0" w:color="auto"/>
          </w:divBdr>
          <w:divsChild>
            <w:div w:id="170020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957835">
      <w:bodyDiv w:val="1"/>
      <w:marLeft w:val="0"/>
      <w:marRight w:val="0"/>
      <w:marTop w:val="0"/>
      <w:marBottom w:val="0"/>
      <w:divBdr>
        <w:top w:val="none" w:sz="0" w:space="0" w:color="auto"/>
        <w:left w:val="none" w:sz="0" w:space="0" w:color="auto"/>
        <w:bottom w:val="none" w:sz="0" w:space="0" w:color="auto"/>
        <w:right w:val="none" w:sz="0" w:space="0" w:color="auto"/>
      </w:divBdr>
      <w:divsChild>
        <w:div w:id="1195967386">
          <w:marLeft w:val="0"/>
          <w:marRight w:val="0"/>
          <w:marTop w:val="0"/>
          <w:marBottom w:val="0"/>
          <w:divBdr>
            <w:top w:val="none" w:sz="0" w:space="0" w:color="auto"/>
            <w:left w:val="none" w:sz="0" w:space="0" w:color="auto"/>
            <w:bottom w:val="none" w:sz="0" w:space="0" w:color="auto"/>
            <w:right w:val="none" w:sz="0" w:space="0" w:color="auto"/>
          </w:divBdr>
          <w:divsChild>
            <w:div w:id="2144762653">
              <w:marLeft w:val="0"/>
              <w:marRight w:val="0"/>
              <w:marTop w:val="0"/>
              <w:marBottom w:val="0"/>
              <w:divBdr>
                <w:top w:val="none" w:sz="0" w:space="0" w:color="auto"/>
                <w:left w:val="none" w:sz="0" w:space="0" w:color="auto"/>
                <w:bottom w:val="none" w:sz="0" w:space="0" w:color="auto"/>
                <w:right w:val="none" w:sz="0" w:space="0" w:color="auto"/>
              </w:divBdr>
              <w:divsChild>
                <w:div w:id="704987317">
                  <w:marLeft w:val="0"/>
                  <w:marRight w:val="0"/>
                  <w:marTop w:val="0"/>
                  <w:marBottom w:val="0"/>
                  <w:divBdr>
                    <w:top w:val="none" w:sz="0" w:space="0" w:color="auto"/>
                    <w:left w:val="none" w:sz="0" w:space="0" w:color="auto"/>
                    <w:bottom w:val="none" w:sz="0" w:space="0" w:color="auto"/>
                    <w:right w:val="none" w:sz="0" w:space="0" w:color="auto"/>
                  </w:divBdr>
                  <w:divsChild>
                    <w:div w:id="1187672370">
                      <w:marLeft w:val="0"/>
                      <w:marRight w:val="0"/>
                      <w:marTop w:val="0"/>
                      <w:marBottom w:val="0"/>
                      <w:divBdr>
                        <w:top w:val="none" w:sz="0" w:space="0" w:color="auto"/>
                        <w:left w:val="none" w:sz="0" w:space="0" w:color="auto"/>
                        <w:bottom w:val="none" w:sz="0" w:space="0" w:color="auto"/>
                        <w:right w:val="none" w:sz="0" w:space="0" w:color="auto"/>
                      </w:divBdr>
                      <w:divsChild>
                        <w:div w:id="1800103895">
                          <w:marLeft w:val="0"/>
                          <w:marRight w:val="0"/>
                          <w:marTop w:val="0"/>
                          <w:marBottom w:val="0"/>
                          <w:divBdr>
                            <w:top w:val="none" w:sz="0" w:space="0" w:color="auto"/>
                            <w:left w:val="none" w:sz="0" w:space="0" w:color="auto"/>
                            <w:bottom w:val="none" w:sz="0" w:space="0" w:color="auto"/>
                            <w:right w:val="none" w:sz="0" w:space="0" w:color="auto"/>
                          </w:divBdr>
                          <w:divsChild>
                            <w:div w:id="1800218269">
                              <w:marLeft w:val="0"/>
                              <w:marRight w:val="0"/>
                              <w:marTop w:val="0"/>
                              <w:marBottom w:val="0"/>
                              <w:divBdr>
                                <w:top w:val="none" w:sz="0" w:space="0" w:color="auto"/>
                                <w:left w:val="none" w:sz="0" w:space="0" w:color="auto"/>
                                <w:bottom w:val="none" w:sz="0" w:space="0" w:color="auto"/>
                                <w:right w:val="none" w:sz="0" w:space="0" w:color="auto"/>
                              </w:divBdr>
                              <w:divsChild>
                                <w:div w:id="190815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5608321">
      <w:bodyDiv w:val="1"/>
      <w:marLeft w:val="0"/>
      <w:marRight w:val="0"/>
      <w:marTop w:val="0"/>
      <w:marBottom w:val="0"/>
      <w:divBdr>
        <w:top w:val="none" w:sz="0" w:space="0" w:color="auto"/>
        <w:left w:val="none" w:sz="0" w:space="0" w:color="auto"/>
        <w:bottom w:val="none" w:sz="0" w:space="0" w:color="auto"/>
        <w:right w:val="none" w:sz="0" w:space="0" w:color="auto"/>
      </w:divBdr>
      <w:divsChild>
        <w:div w:id="1154953444">
          <w:marLeft w:val="0"/>
          <w:marRight w:val="0"/>
          <w:marTop w:val="0"/>
          <w:marBottom w:val="0"/>
          <w:divBdr>
            <w:top w:val="none" w:sz="0" w:space="0" w:color="auto"/>
            <w:left w:val="none" w:sz="0" w:space="0" w:color="auto"/>
            <w:bottom w:val="dotted" w:sz="6" w:space="4" w:color="DDDDDD"/>
            <w:right w:val="none" w:sz="0" w:space="0" w:color="auto"/>
          </w:divBdr>
          <w:divsChild>
            <w:div w:id="81005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766666">
      <w:bodyDiv w:val="1"/>
      <w:marLeft w:val="0"/>
      <w:marRight w:val="0"/>
      <w:marTop w:val="0"/>
      <w:marBottom w:val="0"/>
      <w:divBdr>
        <w:top w:val="none" w:sz="0" w:space="0" w:color="auto"/>
        <w:left w:val="none" w:sz="0" w:space="0" w:color="auto"/>
        <w:bottom w:val="none" w:sz="0" w:space="0" w:color="auto"/>
        <w:right w:val="none" w:sz="0" w:space="0" w:color="auto"/>
      </w:divBdr>
      <w:divsChild>
        <w:div w:id="854687067">
          <w:marLeft w:val="0"/>
          <w:marRight w:val="0"/>
          <w:marTop w:val="0"/>
          <w:marBottom w:val="150"/>
          <w:divBdr>
            <w:top w:val="none" w:sz="0" w:space="0" w:color="auto"/>
            <w:left w:val="none" w:sz="0" w:space="0" w:color="auto"/>
            <w:bottom w:val="none" w:sz="0" w:space="0" w:color="auto"/>
            <w:right w:val="none" w:sz="0" w:space="0" w:color="auto"/>
          </w:divBdr>
        </w:div>
      </w:divsChild>
    </w:div>
    <w:div w:id="1085885379">
      <w:bodyDiv w:val="1"/>
      <w:marLeft w:val="0"/>
      <w:marRight w:val="0"/>
      <w:marTop w:val="0"/>
      <w:marBottom w:val="0"/>
      <w:divBdr>
        <w:top w:val="none" w:sz="0" w:space="0" w:color="auto"/>
        <w:left w:val="none" w:sz="0" w:space="0" w:color="auto"/>
        <w:bottom w:val="none" w:sz="0" w:space="0" w:color="auto"/>
        <w:right w:val="none" w:sz="0" w:space="0" w:color="auto"/>
      </w:divBdr>
      <w:divsChild>
        <w:div w:id="1599829209">
          <w:marLeft w:val="0"/>
          <w:marRight w:val="0"/>
          <w:marTop w:val="0"/>
          <w:marBottom w:val="0"/>
          <w:divBdr>
            <w:top w:val="none" w:sz="0" w:space="0" w:color="auto"/>
            <w:left w:val="none" w:sz="0" w:space="0" w:color="auto"/>
            <w:bottom w:val="dotted" w:sz="6" w:space="4" w:color="DDDDDD"/>
            <w:right w:val="none" w:sz="0" w:space="0" w:color="auto"/>
          </w:divBdr>
        </w:div>
      </w:divsChild>
    </w:div>
    <w:div w:id="1085958117">
      <w:bodyDiv w:val="1"/>
      <w:marLeft w:val="0"/>
      <w:marRight w:val="0"/>
      <w:marTop w:val="0"/>
      <w:marBottom w:val="0"/>
      <w:divBdr>
        <w:top w:val="none" w:sz="0" w:space="0" w:color="auto"/>
        <w:left w:val="none" w:sz="0" w:space="0" w:color="auto"/>
        <w:bottom w:val="none" w:sz="0" w:space="0" w:color="auto"/>
        <w:right w:val="none" w:sz="0" w:space="0" w:color="auto"/>
      </w:divBdr>
      <w:divsChild>
        <w:div w:id="2124224162">
          <w:marLeft w:val="0"/>
          <w:marRight w:val="0"/>
          <w:marTop w:val="0"/>
          <w:marBottom w:val="0"/>
          <w:divBdr>
            <w:top w:val="none" w:sz="0" w:space="0" w:color="auto"/>
            <w:left w:val="none" w:sz="0" w:space="0" w:color="auto"/>
            <w:bottom w:val="none" w:sz="0" w:space="0" w:color="auto"/>
            <w:right w:val="none" w:sz="0" w:space="0" w:color="auto"/>
          </w:divBdr>
        </w:div>
      </w:divsChild>
    </w:div>
    <w:div w:id="1086417765">
      <w:bodyDiv w:val="1"/>
      <w:marLeft w:val="0"/>
      <w:marRight w:val="0"/>
      <w:marTop w:val="0"/>
      <w:marBottom w:val="0"/>
      <w:divBdr>
        <w:top w:val="none" w:sz="0" w:space="0" w:color="auto"/>
        <w:left w:val="none" w:sz="0" w:space="0" w:color="auto"/>
        <w:bottom w:val="none" w:sz="0" w:space="0" w:color="auto"/>
        <w:right w:val="none" w:sz="0" w:space="0" w:color="auto"/>
      </w:divBdr>
      <w:divsChild>
        <w:div w:id="496968223">
          <w:marLeft w:val="0"/>
          <w:marRight w:val="0"/>
          <w:marTop w:val="0"/>
          <w:marBottom w:val="150"/>
          <w:divBdr>
            <w:top w:val="none" w:sz="0" w:space="0" w:color="auto"/>
            <w:left w:val="none" w:sz="0" w:space="0" w:color="auto"/>
            <w:bottom w:val="none" w:sz="0" w:space="0" w:color="auto"/>
            <w:right w:val="none" w:sz="0" w:space="0" w:color="auto"/>
          </w:divBdr>
        </w:div>
        <w:div w:id="1819493626">
          <w:marLeft w:val="0"/>
          <w:marRight w:val="0"/>
          <w:marTop w:val="0"/>
          <w:marBottom w:val="0"/>
          <w:divBdr>
            <w:top w:val="none" w:sz="0" w:space="0" w:color="auto"/>
            <w:left w:val="none" w:sz="0" w:space="0" w:color="auto"/>
            <w:bottom w:val="none" w:sz="0" w:space="0" w:color="auto"/>
            <w:right w:val="none" w:sz="0" w:space="0" w:color="auto"/>
          </w:divBdr>
          <w:divsChild>
            <w:div w:id="744960056">
              <w:marLeft w:val="0"/>
              <w:marRight w:val="0"/>
              <w:marTop w:val="150"/>
              <w:marBottom w:val="150"/>
              <w:divBdr>
                <w:top w:val="none" w:sz="0" w:space="0" w:color="auto"/>
                <w:left w:val="none" w:sz="0" w:space="0" w:color="auto"/>
                <w:bottom w:val="none" w:sz="0" w:space="0" w:color="auto"/>
                <w:right w:val="none" w:sz="0" w:space="0" w:color="auto"/>
              </w:divBdr>
              <w:divsChild>
                <w:div w:id="15060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094723">
          <w:marLeft w:val="0"/>
          <w:marRight w:val="0"/>
          <w:marTop w:val="0"/>
          <w:marBottom w:val="300"/>
          <w:divBdr>
            <w:top w:val="none" w:sz="0" w:space="0" w:color="auto"/>
            <w:left w:val="none" w:sz="0" w:space="0" w:color="auto"/>
            <w:bottom w:val="none" w:sz="0" w:space="0" w:color="auto"/>
            <w:right w:val="none" w:sz="0" w:space="0" w:color="auto"/>
          </w:divBdr>
        </w:div>
        <w:div w:id="82266966">
          <w:marLeft w:val="0"/>
          <w:marRight w:val="0"/>
          <w:marTop w:val="0"/>
          <w:marBottom w:val="150"/>
          <w:divBdr>
            <w:top w:val="none" w:sz="0" w:space="0" w:color="auto"/>
            <w:left w:val="none" w:sz="0" w:space="0" w:color="auto"/>
            <w:bottom w:val="none" w:sz="0" w:space="0" w:color="auto"/>
            <w:right w:val="none" w:sz="0" w:space="0" w:color="auto"/>
          </w:divBdr>
          <w:divsChild>
            <w:div w:id="25790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534356">
      <w:bodyDiv w:val="1"/>
      <w:marLeft w:val="0"/>
      <w:marRight w:val="0"/>
      <w:marTop w:val="0"/>
      <w:marBottom w:val="0"/>
      <w:divBdr>
        <w:top w:val="none" w:sz="0" w:space="0" w:color="auto"/>
        <w:left w:val="none" w:sz="0" w:space="0" w:color="auto"/>
        <w:bottom w:val="none" w:sz="0" w:space="0" w:color="auto"/>
        <w:right w:val="none" w:sz="0" w:space="0" w:color="auto"/>
      </w:divBdr>
      <w:divsChild>
        <w:div w:id="421298136">
          <w:marLeft w:val="0"/>
          <w:marRight w:val="0"/>
          <w:marTop w:val="0"/>
          <w:marBottom w:val="150"/>
          <w:divBdr>
            <w:top w:val="none" w:sz="0" w:space="0" w:color="auto"/>
            <w:left w:val="none" w:sz="0" w:space="0" w:color="auto"/>
            <w:bottom w:val="none" w:sz="0" w:space="0" w:color="auto"/>
            <w:right w:val="none" w:sz="0" w:space="0" w:color="auto"/>
          </w:divBdr>
          <w:divsChild>
            <w:div w:id="1438865672">
              <w:marLeft w:val="0"/>
              <w:marRight w:val="0"/>
              <w:marTop w:val="0"/>
              <w:marBottom w:val="0"/>
              <w:divBdr>
                <w:top w:val="none" w:sz="0" w:space="0" w:color="auto"/>
                <w:left w:val="none" w:sz="0" w:space="0" w:color="auto"/>
                <w:bottom w:val="none" w:sz="0" w:space="0" w:color="auto"/>
                <w:right w:val="none" w:sz="0" w:space="0" w:color="auto"/>
              </w:divBdr>
              <w:divsChild>
                <w:div w:id="700974559">
                  <w:marLeft w:val="0"/>
                  <w:marRight w:val="0"/>
                  <w:marTop w:val="0"/>
                  <w:marBottom w:val="0"/>
                  <w:divBdr>
                    <w:top w:val="none" w:sz="0" w:space="0" w:color="auto"/>
                    <w:left w:val="none" w:sz="0" w:space="0" w:color="auto"/>
                    <w:bottom w:val="none" w:sz="0" w:space="0" w:color="auto"/>
                    <w:right w:val="none" w:sz="0" w:space="0" w:color="auto"/>
                  </w:divBdr>
                  <w:divsChild>
                    <w:div w:id="1775899073">
                      <w:marLeft w:val="0"/>
                      <w:marRight w:val="150"/>
                      <w:marTop w:val="0"/>
                      <w:marBottom w:val="0"/>
                      <w:divBdr>
                        <w:top w:val="none" w:sz="0" w:space="0" w:color="auto"/>
                        <w:left w:val="none" w:sz="0" w:space="0" w:color="auto"/>
                        <w:bottom w:val="none" w:sz="0" w:space="0" w:color="auto"/>
                        <w:right w:val="none" w:sz="0" w:space="0" w:color="auto"/>
                      </w:divBdr>
                      <w:divsChild>
                        <w:div w:id="21562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628302">
          <w:marLeft w:val="0"/>
          <w:marRight w:val="0"/>
          <w:marTop w:val="0"/>
          <w:marBottom w:val="150"/>
          <w:divBdr>
            <w:top w:val="none" w:sz="0" w:space="0" w:color="auto"/>
            <w:left w:val="none" w:sz="0" w:space="0" w:color="auto"/>
            <w:bottom w:val="none" w:sz="0" w:space="0" w:color="auto"/>
            <w:right w:val="none" w:sz="0" w:space="0" w:color="auto"/>
          </w:divBdr>
        </w:div>
        <w:div w:id="1705053970">
          <w:marLeft w:val="0"/>
          <w:marRight w:val="0"/>
          <w:marTop w:val="0"/>
          <w:marBottom w:val="0"/>
          <w:divBdr>
            <w:top w:val="none" w:sz="0" w:space="0" w:color="auto"/>
            <w:left w:val="none" w:sz="0" w:space="0" w:color="auto"/>
            <w:bottom w:val="none" w:sz="0" w:space="0" w:color="auto"/>
            <w:right w:val="none" w:sz="0" w:space="0" w:color="auto"/>
          </w:divBdr>
          <w:divsChild>
            <w:div w:id="157288942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86653926">
      <w:bodyDiv w:val="1"/>
      <w:marLeft w:val="0"/>
      <w:marRight w:val="0"/>
      <w:marTop w:val="0"/>
      <w:marBottom w:val="0"/>
      <w:divBdr>
        <w:top w:val="none" w:sz="0" w:space="0" w:color="auto"/>
        <w:left w:val="none" w:sz="0" w:space="0" w:color="auto"/>
        <w:bottom w:val="none" w:sz="0" w:space="0" w:color="auto"/>
        <w:right w:val="none" w:sz="0" w:space="0" w:color="auto"/>
      </w:divBdr>
      <w:divsChild>
        <w:div w:id="1927111432">
          <w:marLeft w:val="0"/>
          <w:marRight w:val="0"/>
          <w:marTop w:val="0"/>
          <w:marBottom w:val="0"/>
          <w:divBdr>
            <w:top w:val="none" w:sz="0" w:space="0" w:color="auto"/>
            <w:left w:val="none" w:sz="0" w:space="0" w:color="auto"/>
            <w:bottom w:val="none" w:sz="0" w:space="0" w:color="auto"/>
            <w:right w:val="none" w:sz="0" w:space="0" w:color="auto"/>
          </w:divBdr>
          <w:divsChild>
            <w:div w:id="629095831">
              <w:marLeft w:val="0"/>
              <w:marRight w:val="0"/>
              <w:marTop w:val="0"/>
              <w:marBottom w:val="0"/>
              <w:divBdr>
                <w:top w:val="none" w:sz="0" w:space="0" w:color="auto"/>
                <w:left w:val="none" w:sz="0" w:space="0" w:color="auto"/>
                <w:bottom w:val="none" w:sz="0" w:space="0" w:color="auto"/>
                <w:right w:val="none" w:sz="0" w:space="0" w:color="auto"/>
              </w:divBdr>
              <w:divsChild>
                <w:div w:id="636569379">
                  <w:marLeft w:val="0"/>
                  <w:marRight w:val="0"/>
                  <w:marTop w:val="0"/>
                  <w:marBottom w:val="0"/>
                  <w:divBdr>
                    <w:top w:val="none" w:sz="0" w:space="0" w:color="auto"/>
                    <w:left w:val="none" w:sz="0" w:space="0" w:color="auto"/>
                    <w:bottom w:val="none" w:sz="0" w:space="0" w:color="auto"/>
                    <w:right w:val="none" w:sz="0" w:space="0" w:color="auto"/>
                  </w:divBdr>
                  <w:divsChild>
                    <w:div w:id="110712092">
                      <w:marLeft w:val="0"/>
                      <w:marRight w:val="0"/>
                      <w:marTop w:val="0"/>
                      <w:marBottom w:val="0"/>
                      <w:divBdr>
                        <w:top w:val="none" w:sz="0" w:space="0" w:color="auto"/>
                        <w:left w:val="none" w:sz="0" w:space="0" w:color="auto"/>
                        <w:bottom w:val="none" w:sz="0" w:space="0" w:color="auto"/>
                        <w:right w:val="none" w:sz="0" w:space="0" w:color="auto"/>
                      </w:divBdr>
                      <w:divsChild>
                        <w:div w:id="934174787">
                          <w:marLeft w:val="0"/>
                          <w:marRight w:val="0"/>
                          <w:marTop w:val="0"/>
                          <w:marBottom w:val="0"/>
                          <w:divBdr>
                            <w:top w:val="none" w:sz="0" w:space="0" w:color="auto"/>
                            <w:left w:val="none" w:sz="0" w:space="0" w:color="auto"/>
                            <w:bottom w:val="none" w:sz="0" w:space="0" w:color="auto"/>
                            <w:right w:val="none" w:sz="0" w:space="0" w:color="auto"/>
                          </w:divBdr>
                          <w:divsChild>
                            <w:div w:id="171619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384461">
      <w:bodyDiv w:val="1"/>
      <w:marLeft w:val="0"/>
      <w:marRight w:val="0"/>
      <w:marTop w:val="0"/>
      <w:marBottom w:val="0"/>
      <w:divBdr>
        <w:top w:val="none" w:sz="0" w:space="0" w:color="auto"/>
        <w:left w:val="none" w:sz="0" w:space="0" w:color="auto"/>
        <w:bottom w:val="none" w:sz="0" w:space="0" w:color="auto"/>
        <w:right w:val="none" w:sz="0" w:space="0" w:color="auto"/>
      </w:divBdr>
      <w:divsChild>
        <w:div w:id="1931312402">
          <w:marLeft w:val="0"/>
          <w:marRight w:val="0"/>
          <w:marTop w:val="0"/>
          <w:marBottom w:val="0"/>
          <w:divBdr>
            <w:top w:val="none" w:sz="0" w:space="0" w:color="auto"/>
            <w:left w:val="none" w:sz="0" w:space="0" w:color="auto"/>
            <w:bottom w:val="none" w:sz="0" w:space="0" w:color="auto"/>
            <w:right w:val="none" w:sz="0" w:space="0" w:color="auto"/>
          </w:divBdr>
          <w:divsChild>
            <w:div w:id="1176991695">
              <w:marLeft w:val="0"/>
              <w:marRight w:val="0"/>
              <w:marTop w:val="0"/>
              <w:marBottom w:val="0"/>
              <w:divBdr>
                <w:top w:val="none" w:sz="0" w:space="0" w:color="auto"/>
                <w:left w:val="none" w:sz="0" w:space="0" w:color="auto"/>
                <w:bottom w:val="none" w:sz="0" w:space="0" w:color="auto"/>
                <w:right w:val="none" w:sz="0" w:space="0" w:color="auto"/>
              </w:divBdr>
              <w:divsChild>
                <w:div w:id="1921328873">
                  <w:marLeft w:val="0"/>
                  <w:marRight w:val="0"/>
                  <w:marTop w:val="0"/>
                  <w:marBottom w:val="0"/>
                  <w:divBdr>
                    <w:top w:val="none" w:sz="0" w:space="0" w:color="auto"/>
                    <w:left w:val="none" w:sz="0" w:space="0" w:color="auto"/>
                    <w:bottom w:val="none" w:sz="0" w:space="0" w:color="auto"/>
                    <w:right w:val="none" w:sz="0" w:space="0" w:color="auto"/>
                  </w:divBdr>
                  <w:divsChild>
                    <w:div w:id="237904371">
                      <w:marLeft w:val="0"/>
                      <w:marRight w:val="0"/>
                      <w:marTop w:val="0"/>
                      <w:marBottom w:val="0"/>
                      <w:divBdr>
                        <w:top w:val="none" w:sz="0" w:space="0" w:color="auto"/>
                        <w:left w:val="none" w:sz="0" w:space="0" w:color="auto"/>
                        <w:bottom w:val="none" w:sz="0" w:space="0" w:color="auto"/>
                        <w:right w:val="none" w:sz="0" w:space="0" w:color="auto"/>
                      </w:divBdr>
                      <w:divsChild>
                        <w:div w:id="1075399188">
                          <w:marLeft w:val="0"/>
                          <w:marRight w:val="0"/>
                          <w:marTop w:val="0"/>
                          <w:marBottom w:val="0"/>
                          <w:divBdr>
                            <w:top w:val="none" w:sz="0" w:space="0" w:color="auto"/>
                            <w:left w:val="none" w:sz="0" w:space="0" w:color="auto"/>
                            <w:bottom w:val="none" w:sz="0" w:space="0" w:color="auto"/>
                            <w:right w:val="none" w:sz="0" w:space="0" w:color="auto"/>
                          </w:divBdr>
                          <w:divsChild>
                            <w:div w:id="217131156">
                              <w:marLeft w:val="0"/>
                              <w:marRight w:val="0"/>
                              <w:marTop w:val="0"/>
                              <w:marBottom w:val="0"/>
                              <w:divBdr>
                                <w:top w:val="none" w:sz="0" w:space="0" w:color="auto"/>
                                <w:left w:val="none" w:sz="0" w:space="0" w:color="auto"/>
                                <w:bottom w:val="none" w:sz="0" w:space="0" w:color="auto"/>
                                <w:right w:val="none" w:sz="0" w:space="0" w:color="auto"/>
                              </w:divBdr>
                              <w:divsChild>
                                <w:div w:id="529732811">
                                  <w:marLeft w:val="0"/>
                                  <w:marRight w:val="0"/>
                                  <w:marTop w:val="0"/>
                                  <w:marBottom w:val="0"/>
                                  <w:divBdr>
                                    <w:top w:val="none" w:sz="0" w:space="0" w:color="auto"/>
                                    <w:left w:val="none" w:sz="0" w:space="0" w:color="auto"/>
                                    <w:bottom w:val="none" w:sz="0" w:space="0" w:color="auto"/>
                                    <w:right w:val="none" w:sz="0" w:space="0" w:color="auto"/>
                                  </w:divBdr>
                                </w:div>
                                <w:div w:id="119866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044738">
      <w:bodyDiv w:val="1"/>
      <w:marLeft w:val="0"/>
      <w:marRight w:val="0"/>
      <w:marTop w:val="0"/>
      <w:marBottom w:val="0"/>
      <w:divBdr>
        <w:top w:val="none" w:sz="0" w:space="0" w:color="auto"/>
        <w:left w:val="none" w:sz="0" w:space="0" w:color="auto"/>
        <w:bottom w:val="none" w:sz="0" w:space="0" w:color="auto"/>
        <w:right w:val="none" w:sz="0" w:space="0" w:color="auto"/>
      </w:divBdr>
    </w:div>
    <w:div w:id="1088385080">
      <w:bodyDiv w:val="1"/>
      <w:marLeft w:val="0"/>
      <w:marRight w:val="0"/>
      <w:marTop w:val="0"/>
      <w:marBottom w:val="0"/>
      <w:divBdr>
        <w:top w:val="none" w:sz="0" w:space="0" w:color="auto"/>
        <w:left w:val="none" w:sz="0" w:space="0" w:color="auto"/>
        <w:bottom w:val="none" w:sz="0" w:space="0" w:color="auto"/>
        <w:right w:val="none" w:sz="0" w:space="0" w:color="auto"/>
      </w:divBdr>
    </w:div>
    <w:div w:id="1088423188">
      <w:bodyDiv w:val="1"/>
      <w:marLeft w:val="0"/>
      <w:marRight w:val="0"/>
      <w:marTop w:val="0"/>
      <w:marBottom w:val="0"/>
      <w:divBdr>
        <w:top w:val="none" w:sz="0" w:space="0" w:color="auto"/>
        <w:left w:val="none" w:sz="0" w:space="0" w:color="auto"/>
        <w:bottom w:val="none" w:sz="0" w:space="0" w:color="auto"/>
        <w:right w:val="none" w:sz="0" w:space="0" w:color="auto"/>
      </w:divBdr>
    </w:div>
    <w:div w:id="1088816012">
      <w:bodyDiv w:val="1"/>
      <w:marLeft w:val="0"/>
      <w:marRight w:val="0"/>
      <w:marTop w:val="0"/>
      <w:marBottom w:val="0"/>
      <w:divBdr>
        <w:top w:val="none" w:sz="0" w:space="0" w:color="auto"/>
        <w:left w:val="none" w:sz="0" w:space="0" w:color="auto"/>
        <w:bottom w:val="none" w:sz="0" w:space="0" w:color="auto"/>
        <w:right w:val="none" w:sz="0" w:space="0" w:color="auto"/>
      </w:divBdr>
    </w:div>
    <w:div w:id="1089235931">
      <w:bodyDiv w:val="1"/>
      <w:marLeft w:val="0"/>
      <w:marRight w:val="0"/>
      <w:marTop w:val="0"/>
      <w:marBottom w:val="0"/>
      <w:divBdr>
        <w:top w:val="none" w:sz="0" w:space="0" w:color="auto"/>
        <w:left w:val="none" w:sz="0" w:space="0" w:color="auto"/>
        <w:bottom w:val="none" w:sz="0" w:space="0" w:color="auto"/>
        <w:right w:val="none" w:sz="0" w:space="0" w:color="auto"/>
      </w:divBdr>
      <w:divsChild>
        <w:div w:id="774058910">
          <w:marLeft w:val="0"/>
          <w:marRight w:val="0"/>
          <w:marTop w:val="0"/>
          <w:marBottom w:val="150"/>
          <w:divBdr>
            <w:top w:val="none" w:sz="0" w:space="0" w:color="auto"/>
            <w:left w:val="none" w:sz="0" w:space="0" w:color="auto"/>
            <w:bottom w:val="none" w:sz="0" w:space="0" w:color="auto"/>
            <w:right w:val="none" w:sz="0" w:space="0" w:color="auto"/>
          </w:divBdr>
        </w:div>
      </w:divsChild>
    </w:div>
    <w:div w:id="1089237175">
      <w:bodyDiv w:val="1"/>
      <w:marLeft w:val="0"/>
      <w:marRight w:val="0"/>
      <w:marTop w:val="0"/>
      <w:marBottom w:val="0"/>
      <w:divBdr>
        <w:top w:val="none" w:sz="0" w:space="0" w:color="auto"/>
        <w:left w:val="none" w:sz="0" w:space="0" w:color="auto"/>
        <w:bottom w:val="none" w:sz="0" w:space="0" w:color="auto"/>
        <w:right w:val="none" w:sz="0" w:space="0" w:color="auto"/>
      </w:divBdr>
    </w:div>
    <w:div w:id="1089346098">
      <w:bodyDiv w:val="1"/>
      <w:marLeft w:val="0"/>
      <w:marRight w:val="0"/>
      <w:marTop w:val="0"/>
      <w:marBottom w:val="0"/>
      <w:divBdr>
        <w:top w:val="none" w:sz="0" w:space="0" w:color="auto"/>
        <w:left w:val="none" w:sz="0" w:space="0" w:color="auto"/>
        <w:bottom w:val="none" w:sz="0" w:space="0" w:color="auto"/>
        <w:right w:val="none" w:sz="0" w:space="0" w:color="auto"/>
      </w:divBdr>
    </w:div>
    <w:div w:id="1089355393">
      <w:bodyDiv w:val="1"/>
      <w:marLeft w:val="0"/>
      <w:marRight w:val="0"/>
      <w:marTop w:val="0"/>
      <w:marBottom w:val="0"/>
      <w:divBdr>
        <w:top w:val="none" w:sz="0" w:space="0" w:color="auto"/>
        <w:left w:val="none" w:sz="0" w:space="0" w:color="auto"/>
        <w:bottom w:val="none" w:sz="0" w:space="0" w:color="auto"/>
        <w:right w:val="none" w:sz="0" w:space="0" w:color="auto"/>
      </w:divBdr>
      <w:divsChild>
        <w:div w:id="1048263486">
          <w:marLeft w:val="0"/>
          <w:marRight w:val="0"/>
          <w:marTop w:val="0"/>
          <w:marBottom w:val="0"/>
          <w:divBdr>
            <w:top w:val="none" w:sz="0" w:space="0" w:color="auto"/>
            <w:left w:val="none" w:sz="0" w:space="0" w:color="auto"/>
            <w:bottom w:val="none" w:sz="0" w:space="0" w:color="auto"/>
            <w:right w:val="none" w:sz="0" w:space="0" w:color="auto"/>
          </w:divBdr>
          <w:divsChild>
            <w:div w:id="693456016">
              <w:marLeft w:val="0"/>
              <w:marRight w:val="0"/>
              <w:marTop w:val="0"/>
              <w:marBottom w:val="0"/>
              <w:divBdr>
                <w:top w:val="none" w:sz="0" w:space="0" w:color="auto"/>
                <w:left w:val="none" w:sz="0" w:space="0" w:color="auto"/>
                <w:bottom w:val="none" w:sz="0" w:space="0" w:color="auto"/>
                <w:right w:val="none" w:sz="0" w:space="0" w:color="auto"/>
              </w:divBdr>
              <w:divsChild>
                <w:div w:id="1855992333">
                  <w:marLeft w:val="0"/>
                  <w:marRight w:val="0"/>
                  <w:marTop w:val="0"/>
                  <w:marBottom w:val="0"/>
                  <w:divBdr>
                    <w:top w:val="none" w:sz="0" w:space="0" w:color="auto"/>
                    <w:left w:val="none" w:sz="0" w:space="0" w:color="auto"/>
                    <w:bottom w:val="none" w:sz="0" w:space="0" w:color="auto"/>
                    <w:right w:val="none" w:sz="0" w:space="0" w:color="auto"/>
                  </w:divBdr>
                  <w:divsChild>
                    <w:div w:id="232933811">
                      <w:marLeft w:val="0"/>
                      <w:marRight w:val="0"/>
                      <w:marTop w:val="0"/>
                      <w:marBottom w:val="0"/>
                      <w:divBdr>
                        <w:top w:val="none" w:sz="0" w:space="0" w:color="auto"/>
                        <w:left w:val="none" w:sz="0" w:space="0" w:color="auto"/>
                        <w:bottom w:val="none" w:sz="0" w:space="0" w:color="auto"/>
                        <w:right w:val="none" w:sz="0" w:space="0" w:color="auto"/>
                      </w:divBdr>
                      <w:divsChild>
                        <w:div w:id="226575502">
                          <w:marLeft w:val="0"/>
                          <w:marRight w:val="0"/>
                          <w:marTop w:val="0"/>
                          <w:marBottom w:val="0"/>
                          <w:divBdr>
                            <w:top w:val="none" w:sz="0" w:space="0" w:color="auto"/>
                            <w:left w:val="none" w:sz="0" w:space="0" w:color="auto"/>
                            <w:bottom w:val="none" w:sz="0" w:space="0" w:color="auto"/>
                            <w:right w:val="none" w:sz="0" w:space="0" w:color="auto"/>
                          </w:divBdr>
                          <w:divsChild>
                            <w:div w:id="19400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542183">
      <w:bodyDiv w:val="1"/>
      <w:marLeft w:val="0"/>
      <w:marRight w:val="0"/>
      <w:marTop w:val="0"/>
      <w:marBottom w:val="0"/>
      <w:divBdr>
        <w:top w:val="none" w:sz="0" w:space="0" w:color="auto"/>
        <w:left w:val="none" w:sz="0" w:space="0" w:color="auto"/>
        <w:bottom w:val="none" w:sz="0" w:space="0" w:color="auto"/>
        <w:right w:val="none" w:sz="0" w:space="0" w:color="auto"/>
      </w:divBdr>
      <w:divsChild>
        <w:div w:id="772284157">
          <w:marLeft w:val="0"/>
          <w:marRight w:val="0"/>
          <w:marTop w:val="0"/>
          <w:marBottom w:val="0"/>
          <w:divBdr>
            <w:top w:val="none" w:sz="0" w:space="0" w:color="auto"/>
            <w:left w:val="none" w:sz="0" w:space="0" w:color="auto"/>
            <w:bottom w:val="none" w:sz="0" w:space="0" w:color="auto"/>
            <w:right w:val="none" w:sz="0" w:space="0" w:color="auto"/>
          </w:divBdr>
        </w:div>
        <w:div w:id="1728917125">
          <w:marLeft w:val="0"/>
          <w:marRight w:val="0"/>
          <w:marTop w:val="0"/>
          <w:marBottom w:val="0"/>
          <w:divBdr>
            <w:top w:val="none" w:sz="0" w:space="0" w:color="auto"/>
            <w:left w:val="none" w:sz="0" w:space="0" w:color="auto"/>
            <w:bottom w:val="none" w:sz="0" w:space="0" w:color="auto"/>
            <w:right w:val="none" w:sz="0" w:space="0" w:color="auto"/>
          </w:divBdr>
        </w:div>
      </w:divsChild>
    </w:div>
    <w:div w:id="1090156367">
      <w:bodyDiv w:val="1"/>
      <w:marLeft w:val="0"/>
      <w:marRight w:val="0"/>
      <w:marTop w:val="0"/>
      <w:marBottom w:val="0"/>
      <w:divBdr>
        <w:top w:val="none" w:sz="0" w:space="0" w:color="auto"/>
        <w:left w:val="none" w:sz="0" w:space="0" w:color="auto"/>
        <w:bottom w:val="none" w:sz="0" w:space="0" w:color="auto"/>
        <w:right w:val="none" w:sz="0" w:space="0" w:color="auto"/>
      </w:divBdr>
      <w:divsChild>
        <w:div w:id="2041977069">
          <w:marLeft w:val="0"/>
          <w:marRight w:val="0"/>
          <w:marTop w:val="0"/>
          <w:marBottom w:val="0"/>
          <w:divBdr>
            <w:top w:val="none" w:sz="0" w:space="0" w:color="auto"/>
            <w:left w:val="none" w:sz="0" w:space="0" w:color="auto"/>
            <w:bottom w:val="none" w:sz="0" w:space="0" w:color="auto"/>
            <w:right w:val="none" w:sz="0" w:space="0" w:color="auto"/>
          </w:divBdr>
          <w:divsChild>
            <w:div w:id="1805464903">
              <w:marLeft w:val="0"/>
              <w:marRight w:val="0"/>
              <w:marTop w:val="0"/>
              <w:marBottom w:val="0"/>
              <w:divBdr>
                <w:top w:val="none" w:sz="0" w:space="0" w:color="auto"/>
                <w:left w:val="none" w:sz="0" w:space="0" w:color="auto"/>
                <w:bottom w:val="none" w:sz="0" w:space="0" w:color="auto"/>
                <w:right w:val="none" w:sz="0" w:space="0" w:color="auto"/>
              </w:divBdr>
              <w:divsChild>
                <w:div w:id="893663409">
                  <w:marLeft w:val="0"/>
                  <w:marRight w:val="0"/>
                  <w:marTop w:val="0"/>
                  <w:marBottom w:val="0"/>
                  <w:divBdr>
                    <w:top w:val="none" w:sz="0" w:space="0" w:color="auto"/>
                    <w:left w:val="none" w:sz="0" w:space="0" w:color="auto"/>
                    <w:bottom w:val="none" w:sz="0" w:space="0" w:color="auto"/>
                    <w:right w:val="none" w:sz="0" w:space="0" w:color="auto"/>
                  </w:divBdr>
                  <w:divsChild>
                    <w:div w:id="1293171367">
                      <w:marLeft w:val="0"/>
                      <w:marRight w:val="0"/>
                      <w:marTop w:val="0"/>
                      <w:marBottom w:val="0"/>
                      <w:divBdr>
                        <w:top w:val="none" w:sz="0" w:space="0" w:color="auto"/>
                        <w:left w:val="none" w:sz="0" w:space="0" w:color="auto"/>
                        <w:bottom w:val="none" w:sz="0" w:space="0" w:color="auto"/>
                        <w:right w:val="none" w:sz="0" w:space="0" w:color="auto"/>
                      </w:divBdr>
                      <w:divsChild>
                        <w:div w:id="1608078234">
                          <w:marLeft w:val="0"/>
                          <w:marRight w:val="0"/>
                          <w:marTop w:val="0"/>
                          <w:marBottom w:val="0"/>
                          <w:divBdr>
                            <w:top w:val="none" w:sz="0" w:space="0" w:color="auto"/>
                            <w:left w:val="none" w:sz="0" w:space="0" w:color="auto"/>
                            <w:bottom w:val="none" w:sz="0" w:space="0" w:color="auto"/>
                            <w:right w:val="none" w:sz="0" w:space="0" w:color="auto"/>
                          </w:divBdr>
                          <w:divsChild>
                            <w:div w:id="497423671">
                              <w:marLeft w:val="0"/>
                              <w:marRight w:val="0"/>
                              <w:marTop w:val="0"/>
                              <w:marBottom w:val="0"/>
                              <w:divBdr>
                                <w:top w:val="none" w:sz="0" w:space="0" w:color="auto"/>
                                <w:left w:val="none" w:sz="0" w:space="0" w:color="auto"/>
                                <w:bottom w:val="none" w:sz="0" w:space="0" w:color="auto"/>
                                <w:right w:val="none" w:sz="0" w:space="0" w:color="auto"/>
                              </w:divBdr>
                              <w:divsChild>
                                <w:div w:id="870147116">
                                  <w:marLeft w:val="0"/>
                                  <w:marRight w:val="0"/>
                                  <w:marTop w:val="0"/>
                                  <w:marBottom w:val="0"/>
                                  <w:divBdr>
                                    <w:top w:val="none" w:sz="0" w:space="0" w:color="auto"/>
                                    <w:left w:val="none" w:sz="0" w:space="0" w:color="auto"/>
                                    <w:bottom w:val="none" w:sz="0" w:space="0" w:color="auto"/>
                                    <w:right w:val="none" w:sz="0" w:space="0" w:color="auto"/>
                                  </w:divBdr>
                                  <w:divsChild>
                                    <w:div w:id="131637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0810101">
      <w:bodyDiv w:val="1"/>
      <w:marLeft w:val="0"/>
      <w:marRight w:val="0"/>
      <w:marTop w:val="0"/>
      <w:marBottom w:val="0"/>
      <w:divBdr>
        <w:top w:val="none" w:sz="0" w:space="0" w:color="auto"/>
        <w:left w:val="none" w:sz="0" w:space="0" w:color="auto"/>
        <w:bottom w:val="none" w:sz="0" w:space="0" w:color="auto"/>
        <w:right w:val="none" w:sz="0" w:space="0" w:color="auto"/>
      </w:divBdr>
      <w:divsChild>
        <w:div w:id="178201798">
          <w:marLeft w:val="0"/>
          <w:marRight w:val="0"/>
          <w:marTop w:val="0"/>
          <w:marBottom w:val="0"/>
          <w:divBdr>
            <w:top w:val="none" w:sz="0" w:space="0" w:color="auto"/>
            <w:left w:val="none" w:sz="0" w:space="0" w:color="auto"/>
            <w:bottom w:val="dotted" w:sz="6" w:space="4" w:color="DDDDDD"/>
            <w:right w:val="none" w:sz="0" w:space="0" w:color="auto"/>
          </w:divBdr>
        </w:div>
      </w:divsChild>
    </w:div>
    <w:div w:id="1091196267">
      <w:bodyDiv w:val="1"/>
      <w:marLeft w:val="0"/>
      <w:marRight w:val="0"/>
      <w:marTop w:val="0"/>
      <w:marBottom w:val="0"/>
      <w:divBdr>
        <w:top w:val="none" w:sz="0" w:space="0" w:color="auto"/>
        <w:left w:val="none" w:sz="0" w:space="0" w:color="auto"/>
        <w:bottom w:val="none" w:sz="0" w:space="0" w:color="auto"/>
        <w:right w:val="none" w:sz="0" w:space="0" w:color="auto"/>
      </w:divBdr>
      <w:divsChild>
        <w:div w:id="538934366">
          <w:marLeft w:val="0"/>
          <w:marRight w:val="0"/>
          <w:marTop w:val="0"/>
          <w:marBottom w:val="150"/>
          <w:divBdr>
            <w:top w:val="none" w:sz="0" w:space="0" w:color="auto"/>
            <w:left w:val="none" w:sz="0" w:space="0" w:color="auto"/>
            <w:bottom w:val="none" w:sz="0" w:space="0" w:color="auto"/>
            <w:right w:val="none" w:sz="0" w:space="0" w:color="auto"/>
          </w:divBdr>
        </w:div>
        <w:div w:id="785777272">
          <w:marLeft w:val="0"/>
          <w:marRight w:val="0"/>
          <w:marTop w:val="0"/>
          <w:marBottom w:val="0"/>
          <w:divBdr>
            <w:top w:val="none" w:sz="0" w:space="0" w:color="auto"/>
            <w:left w:val="none" w:sz="0" w:space="0" w:color="auto"/>
            <w:bottom w:val="none" w:sz="0" w:space="0" w:color="auto"/>
            <w:right w:val="none" w:sz="0" w:space="0" w:color="auto"/>
          </w:divBdr>
          <w:divsChild>
            <w:div w:id="785121328">
              <w:marLeft w:val="0"/>
              <w:marRight w:val="0"/>
              <w:marTop w:val="225"/>
              <w:marBottom w:val="225"/>
              <w:divBdr>
                <w:top w:val="none" w:sz="0" w:space="0" w:color="auto"/>
                <w:left w:val="none" w:sz="0" w:space="0" w:color="auto"/>
                <w:bottom w:val="none" w:sz="0" w:space="0" w:color="auto"/>
                <w:right w:val="none" w:sz="0" w:space="0" w:color="auto"/>
              </w:divBdr>
            </w:div>
          </w:divsChild>
        </w:div>
        <w:div w:id="869948717">
          <w:marLeft w:val="0"/>
          <w:marRight w:val="0"/>
          <w:marTop w:val="0"/>
          <w:marBottom w:val="150"/>
          <w:divBdr>
            <w:top w:val="none" w:sz="0" w:space="0" w:color="auto"/>
            <w:left w:val="none" w:sz="0" w:space="0" w:color="auto"/>
            <w:bottom w:val="none" w:sz="0" w:space="0" w:color="auto"/>
            <w:right w:val="none" w:sz="0" w:space="0" w:color="auto"/>
          </w:divBdr>
          <w:divsChild>
            <w:div w:id="1449661976">
              <w:marLeft w:val="0"/>
              <w:marRight w:val="0"/>
              <w:marTop w:val="0"/>
              <w:marBottom w:val="0"/>
              <w:divBdr>
                <w:top w:val="none" w:sz="0" w:space="0" w:color="auto"/>
                <w:left w:val="none" w:sz="0" w:space="0" w:color="auto"/>
                <w:bottom w:val="none" w:sz="0" w:space="0" w:color="auto"/>
                <w:right w:val="none" w:sz="0" w:space="0" w:color="auto"/>
              </w:divBdr>
              <w:divsChild>
                <w:div w:id="132304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317613">
      <w:bodyDiv w:val="1"/>
      <w:marLeft w:val="0"/>
      <w:marRight w:val="0"/>
      <w:marTop w:val="0"/>
      <w:marBottom w:val="0"/>
      <w:divBdr>
        <w:top w:val="none" w:sz="0" w:space="0" w:color="auto"/>
        <w:left w:val="none" w:sz="0" w:space="0" w:color="auto"/>
        <w:bottom w:val="none" w:sz="0" w:space="0" w:color="auto"/>
        <w:right w:val="none" w:sz="0" w:space="0" w:color="auto"/>
      </w:divBdr>
      <w:divsChild>
        <w:div w:id="121657248">
          <w:marLeft w:val="0"/>
          <w:marRight w:val="0"/>
          <w:marTop w:val="0"/>
          <w:marBottom w:val="0"/>
          <w:divBdr>
            <w:top w:val="none" w:sz="0" w:space="0" w:color="auto"/>
            <w:left w:val="none" w:sz="0" w:space="0" w:color="auto"/>
            <w:bottom w:val="none" w:sz="0" w:space="0" w:color="auto"/>
            <w:right w:val="none" w:sz="0" w:space="0" w:color="auto"/>
          </w:divBdr>
        </w:div>
        <w:div w:id="894664648">
          <w:marLeft w:val="0"/>
          <w:marRight w:val="0"/>
          <w:marTop w:val="0"/>
          <w:marBottom w:val="150"/>
          <w:divBdr>
            <w:top w:val="none" w:sz="0" w:space="0" w:color="auto"/>
            <w:left w:val="none" w:sz="0" w:space="0" w:color="auto"/>
            <w:bottom w:val="none" w:sz="0" w:space="0" w:color="auto"/>
            <w:right w:val="none" w:sz="0" w:space="0" w:color="auto"/>
          </w:divBdr>
        </w:div>
      </w:divsChild>
    </w:div>
    <w:div w:id="1091468232">
      <w:bodyDiv w:val="1"/>
      <w:marLeft w:val="0"/>
      <w:marRight w:val="0"/>
      <w:marTop w:val="0"/>
      <w:marBottom w:val="0"/>
      <w:divBdr>
        <w:top w:val="none" w:sz="0" w:space="0" w:color="auto"/>
        <w:left w:val="none" w:sz="0" w:space="0" w:color="auto"/>
        <w:bottom w:val="none" w:sz="0" w:space="0" w:color="auto"/>
        <w:right w:val="none" w:sz="0" w:space="0" w:color="auto"/>
      </w:divBdr>
    </w:div>
    <w:div w:id="1091664881">
      <w:bodyDiv w:val="1"/>
      <w:marLeft w:val="0"/>
      <w:marRight w:val="0"/>
      <w:marTop w:val="0"/>
      <w:marBottom w:val="0"/>
      <w:divBdr>
        <w:top w:val="none" w:sz="0" w:space="0" w:color="auto"/>
        <w:left w:val="none" w:sz="0" w:space="0" w:color="auto"/>
        <w:bottom w:val="none" w:sz="0" w:space="0" w:color="auto"/>
        <w:right w:val="none" w:sz="0" w:space="0" w:color="auto"/>
      </w:divBdr>
      <w:divsChild>
        <w:div w:id="365717454">
          <w:marLeft w:val="0"/>
          <w:marRight w:val="0"/>
          <w:marTop w:val="0"/>
          <w:marBottom w:val="150"/>
          <w:divBdr>
            <w:top w:val="none" w:sz="0" w:space="0" w:color="auto"/>
            <w:left w:val="none" w:sz="0" w:space="0" w:color="auto"/>
            <w:bottom w:val="none" w:sz="0" w:space="0" w:color="auto"/>
            <w:right w:val="none" w:sz="0" w:space="0" w:color="auto"/>
          </w:divBdr>
        </w:div>
        <w:div w:id="383525654">
          <w:marLeft w:val="0"/>
          <w:marRight w:val="0"/>
          <w:marTop w:val="0"/>
          <w:marBottom w:val="150"/>
          <w:divBdr>
            <w:top w:val="none" w:sz="0" w:space="0" w:color="auto"/>
            <w:left w:val="none" w:sz="0" w:space="0" w:color="auto"/>
            <w:bottom w:val="none" w:sz="0" w:space="0" w:color="auto"/>
            <w:right w:val="none" w:sz="0" w:space="0" w:color="auto"/>
          </w:divBdr>
          <w:divsChild>
            <w:div w:id="2048404086">
              <w:marLeft w:val="0"/>
              <w:marRight w:val="0"/>
              <w:marTop w:val="0"/>
              <w:marBottom w:val="0"/>
              <w:divBdr>
                <w:top w:val="none" w:sz="0" w:space="0" w:color="auto"/>
                <w:left w:val="none" w:sz="0" w:space="0" w:color="auto"/>
                <w:bottom w:val="none" w:sz="0" w:space="0" w:color="auto"/>
                <w:right w:val="none" w:sz="0" w:space="0" w:color="auto"/>
              </w:divBdr>
            </w:div>
          </w:divsChild>
        </w:div>
        <w:div w:id="2050256225">
          <w:marLeft w:val="0"/>
          <w:marRight w:val="0"/>
          <w:marTop w:val="0"/>
          <w:marBottom w:val="0"/>
          <w:divBdr>
            <w:top w:val="none" w:sz="0" w:space="0" w:color="auto"/>
            <w:left w:val="none" w:sz="0" w:space="0" w:color="auto"/>
            <w:bottom w:val="none" w:sz="0" w:space="0" w:color="auto"/>
            <w:right w:val="none" w:sz="0" w:space="0" w:color="auto"/>
          </w:divBdr>
          <w:divsChild>
            <w:div w:id="179682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703372">
      <w:bodyDiv w:val="1"/>
      <w:marLeft w:val="0"/>
      <w:marRight w:val="0"/>
      <w:marTop w:val="0"/>
      <w:marBottom w:val="0"/>
      <w:divBdr>
        <w:top w:val="none" w:sz="0" w:space="0" w:color="auto"/>
        <w:left w:val="none" w:sz="0" w:space="0" w:color="auto"/>
        <w:bottom w:val="none" w:sz="0" w:space="0" w:color="auto"/>
        <w:right w:val="none" w:sz="0" w:space="0" w:color="auto"/>
      </w:divBdr>
      <w:divsChild>
        <w:div w:id="203058399">
          <w:marLeft w:val="0"/>
          <w:marRight w:val="0"/>
          <w:marTop w:val="0"/>
          <w:marBottom w:val="0"/>
          <w:divBdr>
            <w:top w:val="none" w:sz="0" w:space="0" w:color="auto"/>
            <w:left w:val="none" w:sz="0" w:space="0" w:color="auto"/>
            <w:bottom w:val="none" w:sz="0" w:space="0" w:color="auto"/>
            <w:right w:val="none" w:sz="0" w:space="0" w:color="auto"/>
          </w:divBdr>
          <w:divsChild>
            <w:div w:id="167327404">
              <w:marLeft w:val="0"/>
              <w:marRight w:val="0"/>
              <w:marTop w:val="0"/>
              <w:marBottom w:val="0"/>
              <w:divBdr>
                <w:top w:val="none" w:sz="0" w:space="0" w:color="auto"/>
                <w:left w:val="none" w:sz="0" w:space="0" w:color="auto"/>
                <w:bottom w:val="none" w:sz="0" w:space="0" w:color="auto"/>
                <w:right w:val="none" w:sz="0" w:space="0" w:color="auto"/>
              </w:divBdr>
              <w:divsChild>
                <w:div w:id="1567372288">
                  <w:marLeft w:val="0"/>
                  <w:marRight w:val="0"/>
                  <w:marTop w:val="0"/>
                  <w:marBottom w:val="0"/>
                  <w:divBdr>
                    <w:top w:val="none" w:sz="0" w:space="0" w:color="auto"/>
                    <w:left w:val="none" w:sz="0" w:space="0" w:color="auto"/>
                    <w:bottom w:val="none" w:sz="0" w:space="0" w:color="auto"/>
                    <w:right w:val="none" w:sz="0" w:space="0" w:color="auto"/>
                  </w:divBdr>
                  <w:divsChild>
                    <w:div w:id="749425255">
                      <w:marLeft w:val="0"/>
                      <w:marRight w:val="0"/>
                      <w:marTop w:val="0"/>
                      <w:marBottom w:val="0"/>
                      <w:divBdr>
                        <w:top w:val="none" w:sz="0" w:space="0" w:color="auto"/>
                        <w:left w:val="none" w:sz="0" w:space="0" w:color="auto"/>
                        <w:bottom w:val="none" w:sz="0" w:space="0" w:color="auto"/>
                        <w:right w:val="none" w:sz="0" w:space="0" w:color="auto"/>
                      </w:divBdr>
                      <w:divsChild>
                        <w:div w:id="548077636">
                          <w:marLeft w:val="0"/>
                          <w:marRight w:val="0"/>
                          <w:marTop w:val="0"/>
                          <w:marBottom w:val="0"/>
                          <w:divBdr>
                            <w:top w:val="none" w:sz="0" w:space="0" w:color="auto"/>
                            <w:left w:val="none" w:sz="0" w:space="0" w:color="auto"/>
                            <w:bottom w:val="none" w:sz="0" w:space="0" w:color="auto"/>
                            <w:right w:val="none" w:sz="0" w:space="0" w:color="auto"/>
                          </w:divBdr>
                          <w:divsChild>
                            <w:div w:id="1436440613">
                              <w:marLeft w:val="0"/>
                              <w:marRight w:val="0"/>
                              <w:marTop w:val="0"/>
                              <w:marBottom w:val="0"/>
                              <w:divBdr>
                                <w:top w:val="none" w:sz="0" w:space="0" w:color="auto"/>
                                <w:left w:val="none" w:sz="0" w:space="0" w:color="auto"/>
                                <w:bottom w:val="none" w:sz="0" w:space="0" w:color="auto"/>
                                <w:right w:val="none" w:sz="0" w:space="0" w:color="auto"/>
                              </w:divBdr>
                              <w:divsChild>
                                <w:div w:id="108314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1856782">
      <w:bodyDiv w:val="1"/>
      <w:marLeft w:val="0"/>
      <w:marRight w:val="0"/>
      <w:marTop w:val="0"/>
      <w:marBottom w:val="0"/>
      <w:divBdr>
        <w:top w:val="none" w:sz="0" w:space="0" w:color="auto"/>
        <w:left w:val="none" w:sz="0" w:space="0" w:color="auto"/>
        <w:bottom w:val="none" w:sz="0" w:space="0" w:color="auto"/>
        <w:right w:val="none" w:sz="0" w:space="0" w:color="auto"/>
      </w:divBdr>
      <w:divsChild>
        <w:div w:id="162554848">
          <w:marLeft w:val="0"/>
          <w:marRight w:val="0"/>
          <w:marTop w:val="0"/>
          <w:marBottom w:val="0"/>
          <w:divBdr>
            <w:top w:val="none" w:sz="0" w:space="0" w:color="auto"/>
            <w:left w:val="none" w:sz="0" w:space="0" w:color="auto"/>
            <w:bottom w:val="none" w:sz="0" w:space="0" w:color="auto"/>
            <w:right w:val="none" w:sz="0" w:space="0" w:color="auto"/>
          </w:divBdr>
          <w:divsChild>
            <w:div w:id="39243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118729">
      <w:bodyDiv w:val="1"/>
      <w:marLeft w:val="0"/>
      <w:marRight w:val="0"/>
      <w:marTop w:val="0"/>
      <w:marBottom w:val="0"/>
      <w:divBdr>
        <w:top w:val="none" w:sz="0" w:space="0" w:color="auto"/>
        <w:left w:val="none" w:sz="0" w:space="0" w:color="auto"/>
        <w:bottom w:val="none" w:sz="0" w:space="0" w:color="auto"/>
        <w:right w:val="none" w:sz="0" w:space="0" w:color="auto"/>
      </w:divBdr>
      <w:divsChild>
        <w:div w:id="334115255">
          <w:marLeft w:val="0"/>
          <w:marRight w:val="0"/>
          <w:marTop w:val="0"/>
          <w:marBottom w:val="0"/>
          <w:divBdr>
            <w:top w:val="none" w:sz="0" w:space="0" w:color="auto"/>
            <w:left w:val="none" w:sz="0" w:space="0" w:color="auto"/>
            <w:bottom w:val="dotted" w:sz="6" w:space="4" w:color="DDDDDD"/>
            <w:right w:val="none" w:sz="0" w:space="0" w:color="auto"/>
          </w:divBdr>
          <w:divsChild>
            <w:div w:id="150879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161495">
      <w:bodyDiv w:val="1"/>
      <w:marLeft w:val="0"/>
      <w:marRight w:val="0"/>
      <w:marTop w:val="0"/>
      <w:marBottom w:val="0"/>
      <w:divBdr>
        <w:top w:val="none" w:sz="0" w:space="0" w:color="auto"/>
        <w:left w:val="none" w:sz="0" w:space="0" w:color="auto"/>
        <w:bottom w:val="none" w:sz="0" w:space="0" w:color="auto"/>
        <w:right w:val="none" w:sz="0" w:space="0" w:color="auto"/>
      </w:divBdr>
      <w:divsChild>
        <w:div w:id="20056149">
          <w:marLeft w:val="0"/>
          <w:marRight w:val="0"/>
          <w:marTop w:val="0"/>
          <w:marBottom w:val="150"/>
          <w:divBdr>
            <w:top w:val="none" w:sz="0" w:space="0" w:color="auto"/>
            <w:left w:val="none" w:sz="0" w:space="0" w:color="auto"/>
            <w:bottom w:val="none" w:sz="0" w:space="0" w:color="auto"/>
            <w:right w:val="none" w:sz="0" w:space="0" w:color="auto"/>
          </w:divBdr>
        </w:div>
      </w:divsChild>
    </w:div>
    <w:div w:id="1092513897">
      <w:bodyDiv w:val="1"/>
      <w:marLeft w:val="0"/>
      <w:marRight w:val="0"/>
      <w:marTop w:val="0"/>
      <w:marBottom w:val="0"/>
      <w:divBdr>
        <w:top w:val="none" w:sz="0" w:space="0" w:color="auto"/>
        <w:left w:val="none" w:sz="0" w:space="0" w:color="auto"/>
        <w:bottom w:val="none" w:sz="0" w:space="0" w:color="auto"/>
        <w:right w:val="none" w:sz="0" w:space="0" w:color="auto"/>
      </w:divBdr>
      <w:divsChild>
        <w:div w:id="1834296305">
          <w:marLeft w:val="0"/>
          <w:marRight w:val="0"/>
          <w:marTop w:val="0"/>
          <w:marBottom w:val="285"/>
          <w:divBdr>
            <w:top w:val="none" w:sz="0" w:space="0" w:color="auto"/>
            <w:left w:val="none" w:sz="0" w:space="0" w:color="auto"/>
            <w:bottom w:val="none" w:sz="0" w:space="0" w:color="auto"/>
            <w:right w:val="none" w:sz="0" w:space="0" w:color="auto"/>
          </w:divBdr>
          <w:divsChild>
            <w:div w:id="350107428">
              <w:marLeft w:val="0"/>
              <w:marRight w:val="0"/>
              <w:marTop w:val="0"/>
              <w:marBottom w:val="0"/>
              <w:divBdr>
                <w:top w:val="none" w:sz="0" w:space="0" w:color="auto"/>
                <w:left w:val="none" w:sz="0" w:space="0" w:color="auto"/>
                <w:bottom w:val="none" w:sz="0" w:space="0" w:color="auto"/>
                <w:right w:val="none" w:sz="0" w:space="0" w:color="auto"/>
              </w:divBdr>
            </w:div>
          </w:divsChild>
        </w:div>
        <w:div w:id="1306280649">
          <w:marLeft w:val="0"/>
          <w:marRight w:val="0"/>
          <w:marTop w:val="0"/>
          <w:marBottom w:val="0"/>
          <w:divBdr>
            <w:top w:val="none" w:sz="0" w:space="0" w:color="auto"/>
            <w:left w:val="none" w:sz="0" w:space="0" w:color="auto"/>
            <w:bottom w:val="none" w:sz="0" w:space="0" w:color="auto"/>
            <w:right w:val="none" w:sz="0" w:space="0" w:color="auto"/>
          </w:divBdr>
          <w:divsChild>
            <w:div w:id="1811315559">
              <w:marLeft w:val="0"/>
              <w:marRight w:val="0"/>
              <w:marTop w:val="0"/>
              <w:marBottom w:val="0"/>
              <w:divBdr>
                <w:top w:val="none" w:sz="0" w:space="0" w:color="auto"/>
                <w:left w:val="none" w:sz="0" w:space="0" w:color="auto"/>
                <w:bottom w:val="none" w:sz="0" w:space="0" w:color="auto"/>
                <w:right w:val="none" w:sz="0" w:space="0" w:color="auto"/>
              </w:divBdr>
              <w:divsChild>
                <w:div w:id="829753217">
                  <w:marLeft w:val="0"/>
                  <w:marRight w:val="0"/>
                  <w:marTop w:val="0"/>
                  <w:marBottom w:val="0"/>
                  <w:divBdr>
                    <w:top w:val="none" w:sz="0" w:space="0" w:color="auto"/>
                    <w:left w:val="none" w:sz="0" w:space="0" w:color="auto"/>
                    <w:bottom w:val="none" w:sz="0" w:space="0" w:color="auto"/>
                    <w:right w:val="none" w:sz="0" w:space="0" w:color="auto"/>
                  </w:divBdr>
                  <w:divsChild>
                    <w:div w:id="1554735923">
                      <w:marLeft w:val="0"/>
                      <w:marRight w:val="0"/>
                      <w:marTop w:val="0"/>
                      <w:marBottom w:val="0"/>
                      <w:divBdr>
                        <w:top w:val="none" w:sz="0" w:space="0" w:color="auto"/>
                        <w:left w:val="none" w:sz="0" w:space="0" w:color="auto"/>
                        <w:bottom w:val="none" w:sz="0" w:space="0" w:color="auto"/>
                        <w:right w:val="none" w:sz="0" w:space="0" w:color="auto"/>
                      </w:divBdr>
                      <w:divsChild>
                        <w:div w:id="2096780633">
                          <w:marLeft w:val="0"/>
                          <w:marRight w:val="0"/>
                          <w:marTop w:val="0"/>
                          <w:marBottom w:val="240"/>
                          <w:divBdr>
                            <w:top w:val="none" w:sz="0" w:space="0" w:color="auto"/>
                            <w:left w:val="none" w:sz="0" w:space="0" w:color="auto"/>
                            <w:bottom w:val="none" w:sz="0" w:space="0" w:color="auto"/>
                            <w:right w:val="none" w:sz="0" w:space="0" w:color="auto"/>
                          </w:divBdr>
                          <w:divsChild>
                            <w:div w:id="189376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966043">
              <w:marLeft w:val="0"/>
              <w:marRight w:val="0"/>
              <w:marTop w:val="0"/>
              <w:marBottom w:val="0"/>
              <w:divBdr>
                <w:top w:val="none" w:sz="0" w:space="0" w:color="auto"/>
                <w:left w:val="none" w:sz="0" w:space="0" w:color="auto"/>
                <w:bottom w:val="none" w:sz="0" w:space="0" w:color="auto"/>
                <w:right w:val="none" w:sz="0" w:space="0" w:color="auto"/>
              </w:divBdr>
              <w:divsChild>
                <w:div w:id="1155877049">
                  <w:marLeft w:val="0"/>
                  <w:marRight w:val="0"/>
                  <w:marTop w:val="0"/>
                  <w:marBottom w:val="0"/>
                  <w:divBdr>
                    <w:top w:val="none" w:sz="0" w:space="0" w:color="auto"/>
                    <w:left w:val="none" w:sz="0" w:space="0" w:color="auto"/>
                    <w:bottom w:val="none" w:sz="0" w:space="0" w:color="auto"/>
                    <w:right w:val="none" w:sz="0" w:space="0" w:color="auto"/>
                  </w:divBdr>
                  <w:divsChild>
                    <w:div w:id="2897595">
                      <w:marLeft w:val="0"/>
                      <w:marRight w:val="0"/>
                      <w:marTop w:val="0"/>
                      <w:marBottom w:val="0"/>
                      <w:divBdr>
                        <w:top w:val="none" w:sz="0" w:space="0" w:color="auto"/>
                        <w:left w:val="none" w:sz="0" w:space="0" w:color="auto"/>
                        <w:bottom w:val="none" w:sz="0" w:space="0" w:color="auto"/>
                        <w:right w:val="none" w:sz="0" w:space="0" w:color="auto"/>
                      </w:divBdr>
                      <w:divsChild>
                        <w:div w:id="632517220">
                          <w:marLeft w:val="0"/>
                          <w:marRight w:val="0"/>
                          <w:marTop w:val="0"/>
                          <w:marBottom w:val="345"/>
                          <w:divBdr>
                            <w:top w:val="none" w:sz="0" w:space="0" w:color="auto"/>
                            <w:left w:val="none" w:sz="0" w:space="0" w:color="auto"/>
                            <w:bottom w:val="none" w:sz="0" w:space="0" w:color="auto"/>
                            <w:right w:val="none" w:sz="0" w:space="0" w:color="auto"/>
                          </w:divBdr>
                          <w:divsChild>
                            <w:div w:id="129178703">
                              <w:marLeft w:val="-45"/>
                              <w:marRight w:val="-45"/>
                              <w:marTop w:val="0"/>
                              <w:marBottom w:val="0"/>
                              <w:divBdr>
                                <w:top w:val="none" w:sz="0" w:space="0" w:color="auto"/>
                                <w:left w:val="none" w:sz="0" w:space="0" w:color="auto"/>
                                <w:bottom w:val="none" w:sz="0" w:space="0" w:color="auto"/>
                                <w:right w:val="none" w:sz="0" w:space="0" w:color="auto"/>
                              </w:divBdr>
                              <w:divsChild>
                                <w:div w:id="1607619927">
                                  <w:marLeft w:val="0"/>
                                  <w:marRight w:val="0"/>
                                  <w:marTop w:val="0"/>
                                  <w:marBottom w:val="0"/>
                                  <w:divBdr>
                                    <w:top w:val="none" w:sz="0" w:space="0" w:color="auto"/>
                                    <w:left w:val="none" w:sz="0" w:space="0" w:color="auto"/>
                                    <w:bottom w:val="none" w:sz="0" w:space="0" w:color="auto"/>
                                    <w:right w:val="none" w:sz="0" w:space="0" w:color="auto"/>
                                  </w:divBdr>
                                  <w:divsChild>
                                    <w:div w:id="1539124307">
                                      <w:marLeft w:val="45"/>
                                      <w:marRight w:val="270"/>
                                      <w:marTop w:val="0"/>
                                      <w:marBottom w:val="105"/>
                                      <w:divBdr>
                                        <w:top w:val="single" w:sz="6" w:space="0" w:color="E9E9E9"/>
                                        <w:left w:val="single" w:sz="6" w:space="0" w:color="E9E9E9"/>
                                        <w:bottom w:val="single" w:sz="6" w:space="0" w:color="E9E9E9"/>
                                        <w:right w:val="single" w:sz="6" w:space="0" w:color="E9E9E9"/>
                                      </w:divBdr>
                                      <w:divsChild>
                                        <w:div w:id="1031033817">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087936">
          <w:marLeft w:val="0"/>
          <w:marRight w:val="0"/>
          <w:marTop w:val="0"/>
          <w:marBottom w:val="390"/>
          <w:divBdr>
            <w:top w:val="none" w:sz="0" w:space="0" w:color="auto"/>
            <w:left w:val="none" w:sz="0" w:space="0" w:color="auto"/>
            <w:bottom w:val="none" w:sz="0" w:space="0" w:color="auto"/>
            <w:right w:val="none" w:sz="0" w:space="0" w:color="auto"/>
          </w:divBdr>
          <w:divsChild>
            <w:div w:id="1021005250">
              <w:marLeft w:val="0"/>
              <w:marRight w:val="0"/>
              <w:marTop w:val="0"/>
              <w:marBottom w:val="0"/>
              <w:divBdr>
                <w:top w:val="none" w:sz="0" w:space="0" w:color="auto"/>
                <w:left w:val="none" w:sz="0" w:space="0" w:color="auto"/>
                <w:bottom w:val="none" w:sz="0" w:space="0" w:color="auto"/>
                <w:right w:val="none" w:sz="0" w:space="0" w:color="auto"/>
              </w:divBdr>
            </w:div>
          </w:divsChild>
        </w:div>
        <w:div w:id="1118181733">
          <w:marLeft w:val="-225"/>
          <w:marRight w:val="-225"/>
          <w:marTop w:val="0"/>
          <w:marBottom w:val="0"/>
          <w:divBdr>
            <w:top w:val="none" w:sz="0" w:space="0" w:color="auto"/>
            <w:left w:val="none" w:sz="0" w:space="0" w:color="auto"/>
            <w:bottom w:val="none" w:sz="0" w:space="0" w:color="auto"/>
            <w:right w:val="none" w:sz="0" w:space="0" w:color="auto"/>
          </w:divBdr>
          <w:divsChild>
            <w:div w:id="254167445">
              <w:marLeft w:val="0"/>
              <w:marRight w:val="0"/>
              <w:marTop w:val="0"/>
              <w:marBottom w:val="0"/>
              <w:divBdr>
                <w:top w:val="none" w:sz="0" w:space="0" w:color="auto"/>
                <w:left w:val="none" w:sz="0" w:space="0" w:color="auto"/>
                <w:bottom w:val="none" w:sz="0" w:space="0" w:color="auto"/>
                <w:right w:val="none" w:sz="0" w:space="0" w:color="auto"/>
              </w:divBdr>
              <w:divsChild>
                <w:div w:id="357050952">
                  <w:marLeft w:val="0"/>
                  <w:marRight w:val="0"/>
                  <w:marTop w:val="0"/>
                  <w:marBottom w:val="0"/>
                  <w:divBdr>
                    <w:top w:val="none" w:sz="0" w:space="0" w:color="auto"/>
                    <w:left w:val="none" w:sz="0" w:space="0" w:color="auto"/>
                    <w:bottom w:val="none" w:sz="0" w:space="0" w:color="auto"/>
                    <w:right w:val="none" w:sz="0" w:space="0" w:color="auto"/>
                  </w:divBdr>
                  <w:divsChild>
                    <w:div w:id="1150102021">
                      <w:marLeft w:val="0"/>
                      <w:marRight w:val="0"/>
                      <w:marTop w:val="0"/>
                      <w:marBottom w:val="0"/>
                      <w:divBdr>
                        <w:top w:val="none" w:sz="0" w:space="0" w:color="auto"/>
                        <w:left w:val="none" w:sz="0" w:space="0" w:color="auto"/>
                        <w:bottom w:val="none" w:sz="0" w:space="0" w:color="auto"/>
                        <w:right w:val="none" w:sz="0" w:space="0" w:color="auto"/>
                      </w:divBdr>
                      <w:divsChild>
                        <w:div w:id="128281847">
                          <w:marLeft w:val="0"/>
                          <w:marRight w:val="0"/>
                          <w:marTop w:val="0"/>
                          <w:marBottom w:val="0"/>
                          <w:divBdr>
                            <w:top w:val="none" w:sz="0" w:space="0" w:color="auto"/>
                            <w:left w:val="none" w:sz="0" w:space="0" w:color="auto"/>
                            <w:bottom w:val="none" w:sz="0" w:space="0" w:color="auto"/>
                            <w:right w:val="none" w:sz="0" w:space="0" w:color="auto"/>
                          </w:divBdr>
                        </w:div>
                        <w:div w:id="1474566754">
                          <w:marLeft w:val="-300"/>
                          <w:marRight w:val="-300"/>
                          <w:marTop w:val="0"/>
                          <w:marBottom w:val="0"/>
                          <w:divBdr>
                            <w:top w:val="none" w:sz="0" w:space="0" w:color="auto"/>
                            <w:left w:val="none" w:sz="0" w:space="0" w:color="auto"/>
                            <w:bottom w:val="none" w:sz="0" w:space="0" w:color="auto"/>
                            <w:right w:val="none" w:sz="0" w:space="0" w:color="auto"/>
                          </w:divBdr>
                          <w:divsChild>
                            <w:div w:id="1780023492">
                              <w:marLeft w:val="0"/>
                              <w:marRight w:val="0"/>
                              <w:marTop w:val="0"/>
                              <w:marBottom w:val="225"/>
                              <w:divBdr>
                                <w:top w:val="none" w:sz="0" w:space="0" w:color="auto"/>
                                <w:left w:val="none" w:sz="0" w:space="0" w:color="auto"/>
                                <w:bottom w:val="none" w:sz="0" w:space="0" w:color="auto"/>
                                <w:right w:val="none" w:sz="0" w:space="0" w:color="auto"/>
                              </w:divBdr>
                              <w:divsChild>
                                <w:div w:id="1457093243">
                                  <w:marLeft w:val="0"/>
                                  <w:marRight w:val="0"/>
                                  <w:marTop w:val="0"/>
                                  <w:marBottom w:val="0"/>
                                  <w:divBdr>
                                    <w:top w:val="none" w:sz="0" w:space="0" w:color="auto"/>
                                    <w:left w:val="none" w:sz="0" w:space="0" w:color="auto"/>
                                    <w:bottom w:val="none" w:sz="0" w:space="0" w:color="auto"/>
                                    <w:right w:val="none" w:sz="0" w:space="0" w:color="auto"/>
                                  </w:divBdr>
                                  <w:divsChild>
                                    <w:div w:id="322123755">
                                      <w:marLeft w:val="0"/>
                                      <w:marRight w:val="0"/>
                                      <w:marTop w:val="0"/>
                                      <w:marBottom w:val="0"/>
                                      <w:divBdr>
                                        <w:top w:val="single" w:sz="2" w:space="3" w:color="EAEAEA"/>
                                        <w:left w:val="single" w:sz="2" w:space="0" w:color="EAEAEA"/>
                                        <w:bottom w:val="single" w:sz="2" w:space="0" w:color="EAEAEA"/>
                                        <w:right w:val="single" w:sz="2" w:space="8" w:color="EAEAEA"/>
                                      </w:divBdr>
                                      <w:divsChild>
                                        <w:div w:id="173146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835313">
                              <w:marLeft w:val="0"/>
                              <w:marRight w:val="0"/>
                              <w:marTop w:val="0"/>
                              <w:marBottom w:val="225"/>
                              <w:divBdr>
                                <w:top w:val="none" w:sz="0" w:space="0" w:color="auto"/>
                                <w:left w:val="none" w:sz="0" w:space="0" w:color="auto"/>
                                <w:bottom w:val="none" w:sz="0" w:space="0" w:color="auto"/>
                                <w:right w:val="none" w:sz="0" w:space="0" w:color="auto"/>
                              </w:divBdr>
                              <w:divsChild>
                                <w:div w:id="286670318">
                                  <w:marLeft w:val="0"/>
                                  <w:marRight w:val="0"/>
                                  <w:marTop w:val="0"/>
                                  <w:marBottom w:val="0"/>
                                  <w:divBdr>
                                    <w:top w:val="none" w:sz="0" w:space="0" w:color="auto"/>
                                    <w:left w:val="none" w:sz="0" w:space="0" w:color="auto"/>
                                    <w:bottom w:val="none" w:sz="0" w:space="0" w:color="auto"/>
                                    <w:right w:val="none" w:sz="0" w:space="0" w:color="auto"/>
                                  </w:divBdr>
                                  <w:divsChild>
                                    <w:div w:id="1702169297">
                                      <w:marLeft w:val="0"/>
                                      <w:marRight w:val="0"/>
                                      <w:marTop w:val="0"/>
                                      <w:marBottom w:val="0"/>
                                      <w:divBdr>
                                        <w:top w:val="single" w:sz="2" w:space="3" w:color="EAEAEA"/>
                                        <w:left w:val="single" w:sz="2" w:space="0" w:color="EAEAEA"/>
                                        <w:bottom w:val="single" w:sz="2" w:space="0" w:color="EAEAEA"/>
                                        <w:right w:val="single" w:sz="2" w:space="8" w:color="EAEAEA"/>
                                      </w:divBdr>
                                      <w:divsChild>
                                        <w:div w:id="147541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024324">
                              <w:marLeft w:val="0"/>
                              <w:marRight w:val="0"/>
                              <w:marTop w:val="0"/>
                              <w:marBottom w:val="225"/>
                              <w:divBdr>
                                <w:top w:val="none" w:sz="0" w:space="0" w:color="auto"/>
                                <w:left w:val="none" w:sz="0" w:space="0" w:color="auto"/>
                                <w:bottom w:val="none" w:sz="0" w:space="0" w:color="auto"/>
                                <w:right w:val="none" w:sz="0" w:space="0" w:color="auto"/>
                              </w:divBdr>
                              <w:divsChild>
                                <w:div w:id="260651023">
                                  <w:marLeft w:val="0"/>
                                  <w:marRight w:val="0"/>
                                  <w:marTop w:val="0"/>
                                  <w:marBottom w:val="0"/>
                                  <w:divBdr>
                                    <w:top w:val="none" w:sz="0" w:space="0" w:color="auto"/>
                                    <w:left w:val="none" w:sz="0" w:space="0" w:color="auto"/>
                                    <w:bottom w:val="none" w:sz="0" w:space="0" w:color="auto"/>
                                    <w:right w:val="none" w:sz="0" w:space="0" w:color="auto"/>
                                  </w:divBdr>
                                  <w:divsChild>
                                    <w:div w:id="1659655234">
                                      <w:marLeft w:val="0"/>
                                      <w:marRight w:val="0"/>
                                      <w:marTop w:val="0"/>
                                      <w:marBottom w:val="0"/>
                                      <w:divBdr>
                                        <w:top w:val="single" w:sz="2" w:space="3" w:color="EAEAEA"/>
                                        <w:left w:val="single" w:sz="2" w:space="0" w:color="EAEAEA"/>
                                        <w:bottom w:val="single" w:sz="2" w:space="0" w:color="EAEAEA"/>
                                        <w:right w:val="single" w:sz="2" w:space="8" w:color="EAEAEA"/>
                                      </w:divBdr>
                                      <w:divsChild>
                                        <w:div w:id="128866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974252">
                              <w:marLeft w:val="0"/>
                              <w:marRight w:val="0"/>
                              <w:marTop w:val="0"/>
                              <w:marBottom w:val="225"/>
                              <w:divBdr>
                                <w:top w:val="none" w:sz="0" w:space="0" w:color="auto"/>
                                <w:left w:val="none" w:sz="0" w:space="0" w:color="auto"/>
                                <w:bottom w:val="none" w:sz="0" w:space="0" w:color="auto"/>
                                <w:right w:val="none" w:sz="0" w:space="0" w:color="auto"/>
                              </w:divBdr>
                              <w:divsChild>
                                <w:div w:id="933439362">
                                  <w:marLeft w:val="0"/>
                                  <w:marRight w:val="0"/>
                                  <w:marTop w:val="0"/>
                                  <w:marBottom w:val="0"/>
                                  <w:divBdr>
                                    <w:top w:val="none" w:sz="0" w:space="0" w:color="auto"/>
                                    <w:left w:val="none" w:sz="0" w:space="0" w:color="auto"/>
                                    <w:bottom w:val="none" w:sz="0" w:space="0" w:color="auto"/>
                                    <w:right w:val="none" w:sz="0" w:space="0" w:color="auto"/>
                                  </w:divBdr>
                                  <w:divsChild>
                                    <w:div w:id="352417078">
                                      <w:marLeft w:val="0"/>
                                      <w:marRight w:val="0"/>
                                      <w:marTop w:val="0"/>
                                      <w:marBottom w:val="0"/>
                                      <w:divBdr>
                                        <w:top w:val="single" w:sz="2" w:space="3" w:color="EAEAEA"/>
                                        <w:left w:val="single" w:sz="2" w:space="0" w:color="EAEAEA"/>
                                        <w:bottom w:val="single" w:sz="2" w:space="0" w:color="EAEAEA"/>
                                        <w:right w:val="single" w:sz="2" w:space="8" w:color="EAEAEA"/>
                                      </w:divBdr>
                                      <w:divsChild>
                                        <w:div w:id="123990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967528">
                              <w:marLeft w:val="0"/>
                              <w:marRight w:val="0"/>
                              <w:marTop w:val="0"/>
                              <w:marBottom w:val="225"/>
                              <w:divBdr>
                                <w:top w:val="none" w:sz="0" w:space="0" w:color="auto"/>
                                <w:left w:val="none" w:sz="0" w:space="0" w:color="auto"/>
                                <w:bottom w:val="none" w:sz="0" w:space="0" w:color="auto"/>
                                <w:right w:val="none" w:sz="0" w:space="0" w:color="auto"/>
                              </w:divBdr>
                              <w:divsChild>
                                <w:div w:id="1295869630">
                                  <w:marLeft w:val="0"/>
                                  <w:marRight w:val="0"/>
                                  <w:marTop w:val="0"/>
                                  <w:marBottom w:val="0"/>
                                  <w:divBdr>
                                    <w:top w:val="none" w:sz="0" w:space="0" w:color="auto"/>
                                    <w:left w:val="none" w:sz="0" w:space="0" w:color="auto"/>
                                    <w:bottom w:val="none" w:sz="0" w:space="0" w:color="auto"/>
                                    <w:right w:val="none" w:sz="0" w:space="0" w:color="auto"/>
                                  </w:divBdr>
                                  <w:divsChild>
                                    <w:div w:id="1014503534">
                                      <w:marLeft w:val="0"/>
                                      <w:marRight w:val="0"/>
                                      <w:marTop w:val="0"/>
                                      <w:marBottom w:val="0"/>
                                      <w:divBdr>
                                        <w:top w:val="single" w:sz="2" w:space="3" w:color="EAEAEA"/>
                                        <w:left w:val="single" w:sz="2" w:space="0" w:color="EAEAEA"/>
                                        <w:bottom w:val="single" w:sz="2" w:space="0" w:color="EAEAEA"/>
                                        <w:right w:val="single" w:sz="2" w:space="8" w:color="EAEAEA"/>
                                      </w:divBdr>
                                      <w:divsChild>
                                        <w:div w:id="114257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110392">
                              <w:marLeft w:val="0"/>
                              <w:marRight w:val="0"/>
                              <w:marTop w:val="0"/>
                              <w:marBottom w:val="225"/>
                              <w:divBdr>
                                <w:top w:val="none" w:sz="0" w:space="0" w:color="auto"/>
                                <w:left w:val="none" w:sz="0" w:space="0" w:color="auto"/>
                                <w:bottom w:val="none" w:sz="0" w:space="0" w:color="auto"/>
                                <w:right w:val="none" w:sz="0" w:space="0" w:color="auto"/>
                              </w:divBdr>
                              <w:divsChild>
                                <w:div w:id="1269705129">
                                  <w:marLeft w:val="0"/>
                                  <w:marRight w:val="0"/>
                                  <w:marTop w:val="0"/>
                                  <w:marBottom w:val="0"/>
                                  <w:divBdr>
                                    <w:top w:val="none" w:sz="0" w:space="0" w:color="auto"/>
                                    <w:left w:val="none" w:sz="0" w:space="0" w:color="auto"/>
                                    <w:bottom w:val="none" w:sz="0" w:space="0" w:color="auto"/>
                                    <w:right w:val="none" w:sz="0" w:space="0" w:color="auto"/>
                                  </w:divBdr>
                                  <w:divsChild>
                                    <w:div w:id="1249147167">
                                      <w:marLeft w:val="0"/>
                                      <w:marRight w:val="0"/>
                                      <w:marTop w:val="0"/>
                                      <w:marBottom w:val="0"/>
                                      <w:divBdr>
                                        <w:top w:val="single" w:sz="2" w:space="3" w:color="EAEAEA"/>
                                        <w:left w:val="single" w:sz="2" w:space="0" w:color="EAEAEA"/>
                                        <w:bottom w:val="single" w:sz="2" w:space="0" w:color="EAEAEA"/>
                                        <w:right w:val="single" w:sz="2" w:space="8" w:color="EAEAEA"/>
                                      </w:divBdr>
                                      <w:divsChild>
                                        <w:div w:id="190652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420435">
                              <w:marLeft w:val="0"/>
                              <w:marRight w:val="0"/>
                              <w:marTop w:val="0"/>
                              <w:marBottom w:val="0"/>
                              <w:divBdr>
                                <w:top w:val="none" w:sz="0" w:space="0" w:color="auto"/>
                                <w:left w:val="none" w:sz="0" w:space="0" w:color="auto"/>
                                <w:bottom w:val="none" w:sz="0" w:space="0" w:color="auto"/>
                                <w:right w:val="none" w:sz="0" w:space="0" w:color="auto"/>
                              </w:divBdr>
                              <w:divsChild>
                                <w:div w:id="1242837865">
                                  <w:marLeft w:val="0"/>
                                  <w:marRight w:val="0"/>
                                  <w:marTop w:val="0"/>
                                  <w:marBottom w:val="0"/>
                                  <w:divBdr>
                                    <w:top w:val="none" w:sz="0" w:space="0" w:color="auto"/>
                                    <w:left w:val="none" w:sz="0" w:space="0" w:color="auto"/>
                                    <w:bottom w:val="none" w:sz="0" w:space="0" w:color="auto"/>
                                    <w:right w:val="none" w:sz="0" w:space="0" w:color="auto"/>
                                  </w:divBdr>
                                  <w:divsChild>
                                    <w:div w:id="230433292">
                                      <w:marLeft w:val="0"/>
                                      <w:marRight w:val="0"/>
                                      <w:marTop w:val="0"/>
                                      <w:marBottom w:val="0"/>
                                      <w:divBdr>
                                        <w:top w:val="single" w:sz="2" w:space="3" w:color="EAEAEA"/>
                                        <w:left w:val="single" w:sz="2" w:space="0" w:color="EAEAEA"/>
                                        <w:bottom w:val="single" w:sz="2" w:space="0" w:color="EAEAEA"/>
                                        <w:right w:val="single" w:sz="2" w:space="8" w:color="EAEAEA"/>
                                      </w:divBdr>
                                      <w:divsChild>
                                        <w:div w:id="204224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195307">
              <w:marLeft w:val="0"/>
              <w:marRight w:val="0"/>
              <w:marTop w:val="0"/>
              <w:marBottom w:val="0"/>
              <w:divBdr>
                <w:top w:val="none" w:sz="0" w:space="0" w:color="auto"/>
                <w:left w:val="none" w:sz="0" w:space="0" w:color="auto"/>
                <w:bottom w:val="none" w:sz="0" w:space="0" w:color="auto"/>
                <w:right w:val="none" w:sz="0" w:space="0" w:color="auto"/>
              </w:divBdr>
              <w:divsChild>
                <w:div w:id="422535492">
                  <w:marLeft w:val="0"/>
                  <w:marRight w:val="0"/>
                  <w:marTop w:val="0"/>
                  <w:marBottom w:val="0"/>
                  <w:divBdr>
                    <w:top w:val="none" w:sz="0" w:space="0" w:color="auto"/>
                    <w:left w:val="none" w:sz="0" w:space="0" w:color="auto"/>
                    <w:bottom w:val="none" w:sz="0" w:space="0" w:color="auto"/>
                    <w:right w:val="none" w:sz="0" w:space="0" w:color="auto"/>
                  </w:divBdr>
                  <w:divsChild>
                    <w:div w:id="2018380247">
                      <w:marLeft w:val="0"/>
                      <w:marRight w:val="0"/>
                      <w:marTop w:val="0"/>
                      <w:marBottom w:val="0"/>
                      <w:divBdr>
                        <w:top w:val="none" w:sz="0" w:space="0" w:color="auto"/>
                        <w:left w:val="none" w:sz="0" w:space="0" w:color="auto"/>
                        <w:bottom w:val="none" w:sz="0" w:space="0" w:color="auto"/>
                        <w:right w:val="none" w:sz="0" w:space="0" w:color="auto"/>
                      </w:divBdr>
                      <w:divsChild>
                        <w:div w:id="183999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749584">
      <w:bodyDiv w:val="1"/>
      <w:marLeft w:val="0"/>
      <w:marRight w:val="0"/>
      <w:marTop w:val="0"/>
      <w:marBottom w:val="0"/>
      <w:divBdr>
        <w:top w:val="none" w:sz="0" w:space="0" w:color="auto"/>
        <w:left w:val="none" w:sz="0" w:space="0" w:color="auto"/>
        <w:bottom w:val="none" w:sz="0" w:space="0" w:color="auto"/>
        <w:right w:val="none" w:sz="0" w:space="0" w:color="auto"/>
      </w:divBdr>
      <w:divsChild>
        <w:div w:id="306907359">
          <w:marLeft w:val="0"/>
          <w:marRight w:val="0"/>
          <w:marTop w:val="0"/>
          <w:marBottom w:val="150"/>
          <w:divBdr>
            <w:top w:val="none" w:sz="0" w:space="0" w:color="auto"/>
            <w:left w:val="none" w:sz="0" w:space="0" w:color="auto"/>
            <w:bottom w:val="none" w:sz="0" w:space="0" w:color="auto"/>
            <w:right w:val="none" w:sz="0" w:space="0" w:color="auto"/>
          </w:divBdr>
          <w:divsChild>
            <w:div w:id="1793858736">
              <w:marLeft w:val="0"/>
              <w:marRight w:val="0"/>
              <w:marTop w:val="0"/>
              <w:marBottom w:val="0"/>
              <w:divBdr>
                <w:top w:val="none" w:sz="0" w:space="0" w:color="auto"/>
                <w:left w:val="none" w:sz="0" w:space="0" w:color="auto"/>
                <w:bottom w:val="none" w:sz="0" w:space="0" w:color="auto"/>
                <w:right w:val="none" w:sz="0" w:space="0" w:color="auto"/>
              </w:divBdr>
              <w:divsChild>
                <w:div w:id="183888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759116">
          <w:marLeft w:val="0"/>
          <w:marRight w:val="0"/>
          <w:marTop w:val="0"/>
          <w:marBottom w:val="0"/>
          <w:divBdr>
            <w:top w:val="none" w:sz="0" w:space="0" w:color="auto"/>
            <w:left w:val="none" w:sz="0" w:space="0" w:color="auto"/>
            <w:bottom w:val="none" w:sz="0" w:space="0" w:color="auto"/>
            <w:right w:val="none" w:sz="0" w:space="0" w:color="auto"/>
          </w:divBdr>
          <w:divsChild>
            <w:div w:id="1448545313">
              <w:marLeft w:val="0"/>
              <w:marRight w:val="0"/>
              <w:marTop w:val="225"/>
              <w:marBottom w:val="225"/>
              <w:divBdr>
                <w:top w:val="none" w:sz="0" w:space="0" w:color="auto"/>
                <w:left w:val="none" w:sz="0" w:space="0" w:color="auto"/>
                <w:bottom w:val="none" w:sz="0" w:space="0" w:color="auto"/>
                <w:right w:val="none" w:sz="0" w:space="0" w:color="auto"/>
              </w:divBdr>
            </w:div>
          </w:divsChild>
        </w:div>
        <w:div w:id="1653826756">
          <w:marLeft w:val="0"/>
          <w:marRight w:val="0"/>
          <w:marTop w:val="0"/>
          <w:marBottom w:val="150"/>
          <w:divBdr>
            <w:top w:val="none" w:sz="0" w:space="0" w:color="auto"/>
            <w:left w:val="none" w:sz="0" w:space="0" w:color="auto"/>
            <w:bottom w:val="none" w:sz="0" w:space="0" w:color="auto"/>
            <w:right w:val="none" w:sz="0" w:space="0" w:color="auto"/>
          </w:divBdr>
        </w:div>
      </w:divsChild>
    </w:div>
    <w:div w:id="1093207191">
      <w:bodyDiv w:val="1"/>
      <w:marLeft w:val="0"/>
      <w:marRight w:val="0"/>
      <w:marTop w:val="0"/>
      <w:marBottom w:val="0"/>
      <w:divBdr>
        <w:top w:val="none" w:sz="0" w:space="0" w:color="auto"/>
        <w:left w:val="none" w:sz="0" w:space="0" w:color="auto"/>
        <w:bottom w:val="none" w:sz="0" w:space="0" w:color="auto"/>
        <w:right w:val="none" w:sz="0" w:space="0" w:color="auto"/>
      </w:divBdr>
      <w:divsChild>
        <w:div w:id="182864678">
          <w:marLeft w:val="0"/>
          <w:marRight w:val="0"/>
          <w:marTop w:val="0"/>
          <w:marBottom w:val="150"/>
          <w:divBdr>
            <w:top w:val="none" w:sz="0" w:space="0" w:color="auto"/>
            <w:left w:val="none" w:sz="0" w:space="0" w:color="auto"/>
            <w:bottom w:val="none" w:sz="0" w:space="0" w:color="auto"/>
            <w:right w:val="none" w:sz="0" w:space="0" w:color="auto"/>
          </w:divBdr>
          <w:divsChild>
            <w:div w:id="1561139379">
              <w:marLeft w:val="0"/>
              <w:marRight w:val="0"/>
              <w:marTop w:val="0"/>
              <w:marBottom w:val="0"/>
              <w:divBdr>
                <w:top w:val="none" w:sz="0" w:space="0" w:color="auto"/>
                <w:left w:val="none" w:sz="0" w:space="0" w:color="auto"/>
                <w:bottom w:val="none" w:sz="0" w:space="0" w:color="auto"/>
                <w:right w:val="none" w:sz="0" w:space="0" w:color="auto"/>
              </w:divBdr>
            </w:div>
          </w:divsChild>
        </w:div>
        <w:div w:id="568273539">
          <w:marLeft w:val="0"/>
          <w:marRight w:val="0"/>
          <w:marTop w:val="0"/>
          <w:marBottom w:val="150"/>
          <w:divBdr>
            <w:top w:val="none" w:sz="0" w:space="0" w:color="auto"/>
            <w:left w:val="none" w:sz="0" w:space="0" w:color="auto"/>
            <w:bottom w:val="none" w:sz="0" w:space="0" w:color="auto"/>
            <w:right w:val="none" w:sz="0" w:space="0" w:color="auto"/>
          </w:divBdr>
        </w:div>
        <w:div w:id="1696224901">
          <w:marLeft w:val="0"/>
          <w:marRight w:val="0"/>
          <w:marTop w:val="0"/>
          <w:marBottom w:val="0"/>
          <w:divBdr>
            <w:top w:val="none" w:sz="0" w:space="0" w:color="auto"/>
            <w:left w:val="none" w:sz="0" w:space="0" w:color="auto"/>
            <w:bottom w:val="none" w:sz="0" w:space="0" w:color="auto"/>
            <w:right w:val="none" w:sz="0" w:space="0" w:color="auto"/>
          </w:divBdr>
          <w:divsChild>
            <w:div w:id="74272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09040">
      <w:bodyDiv w:val="1"/>
      <w:marLeft w:val="0"/>
      <w:marRight w:val="0"/>
      <w:marTop w:val="0"/>
      <w:marBottom w:val="0"/>
      <w:divBdr>
        <w:top w:val="none" w:sz="0" w:space="0" w:color="auto"/>
        <w:left w:val="none" w:sz="0" w:space="0" w:color="auto"/>
        <w:bottom w:val="none" w:sz="0" w:space="0" w:color="auto"/>
        <w:right w:val="none" w:sz="0" w:space="0" w:color="auto"/>
      </w:divBdr>
    </w:div>
    <w:div w:id="1093478029">
      <w:bodyDiv w:val="1"/>
      <w:marLeft w:val="0"/>
      <w:marRight w:val="0"/>
      <w:marTop w:val="0"/>
      <w:marBottom w:val="0"/>
      <w:divBdr>
        <w:top w:val="none" w:sz="0" w:space="0" w:color="auto"/>
        <w:left w:val="none" w:sz="0" w:space="0" w:color="auto"/>
        <w:bottom w:val="none" w:sz="0" w:space="0" w:color="auto"/>
        <w:right w:val="none" w:sz="0" w:space="0" w:color="auto"/>
      </w:divBdr>
      <w:divsChild>
        <w:div w:id="822818781">
          <w:marLeft w:val="0"/>
          <w:marRight w:val="0"/>
          <w:marTop w:val="0"/>
          <w:marBottom w:val="0"/>
          <w:divBdr>
            <w:top w:val="none" w:sz="0" w:space="0" w:color="auto"/>
            <w:left w:val="none" w:sz="0" w:space="0" w:color="auto"/>
            <w:bottom w:val="none" w:sz="0" w:space="0" w:color="auto"/>
            <w:right w:val="none" w:sz="0" w:space="0" w:color="auto"/>
          </w:divBdr>
          <w:divsChild>
            <w:div w:id="233973698">
              <w:marLeft w:val="0"/>
              <w:marRight w:val="0"/>
              <w:marTop w:val="0"/>
              <w:marBottom w:val="150"/>
              <w:divBdr>
                <w:top w:val="none" w:sz="0" w:space="0" w:color="auto"/>
                <w:left w:val="none" w:sz="0" w:space="0" w:color="auto"/>
                <w:bottom w:val="none" w:sz="0" w:space="0" w:color="auto"/>
                <w:right w:val="none" w:sz="0" w:space="0" w:color="auto"/>
              </w:divBdr>
            </w:div>
            <w:div w:id="120837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819586">
      <w:bodyDiv w:val="1"/>
      <w:marLeft w:val="0"/>
      <w:marRight w:val="0"/>
      <w:marTop w:val="0"/>
      <w:marBottom w:val="0"/>
      <w:divBdr>
        <w:top w:val="none" w:sz="0" w:space="0" w:color="auto"/>
        <w:left w:val="none" w:sz="0" w:space="0" w:color="auto"/>
        <w:bottom w:val="none" w:sz="0" w:space="0" w:color="auto"/>
        <w:right w:val="none" w:sz="0" w:space="0" w:color="auto"/>
      </w:divBdr>
      <w:divsChild>
        <w:div w:id="1634091024">
          <w:marLeft w:val="0"/>
          <w:marRight w:val="0"/>
          <w:marTop w:val="0"/>
          <w:marBottom w:val="0"/>
          <w:divBdr>
            <w:top w:val="none" w:sz="0" w:space="0" w:color="auto"/>
            <w:left w:val="none" w:sz="0" w:space="0" w:color="auto"/>
            <w:bottom w:val="none" w:sz="0" w:space="0" w:color="auto"/>
            <w:right w:val="none" w:sz="0" w:space="0" w:color="auto"/>
          </w:divBdr>
          <w:divsChild>
            <w:div w:id="337510773">
              <w:marLeft w:val="0"/>
              <w:marRight w:val="0"/>
              <w:marTop w:val="0"/>
              <w:marBottom w:val="0"/>
              <w:divBdr>
                <w:top w:val="none" w:sz="0" w:space="0" w:color="auto"/>
                <w:left w:val="none" w:sz="0" w:space="0" w:color="auto"/>
                <w:bottom w:val="none" w:sz="0" w:space="0" w:color="auto"/>
                <w:right w:val="none" w:sz="0" w:space="0" w:color="auto"/>
              </w:divBdr>
              <w:divsChild>
                <w:div w:id="1432748663">
                  <w:marLeft w:val="0"/>
                  <w:marRight w:val="0"/>
                  <w:marTop w:val="0"/>
                  <w:marBottom w:val="0"/>
                  <w:divBdr>
                    <w:top w:val="none" w:sz="0" w:space="0" w:color="auto"/>
                    <w:left w:val="none" w:sz="0" w:space="0" w:color="auto"/>
                    <w:bottom w:val="none" w:sz="0" w:space="0" w:color="auto"/>
                    <w:right w:val="none" w:sz="0" w:space="0" w:color="auto"/>
                  </w:divBdr>
                  <w:divsChild>
                    <w:div w:id="529953645">
                      <w:marLeft w:val="0"/>
                      <w:marRight w:val="0"/>
                      <w:marTop w:val="0"/>
                      <w:marBottom w:val="0"/>
                      <w:divBdr>
                        <w:top w:val="none" w:sz="0" w:space="0" w:color="auto"/>
                        <w:left w:val="none" w:sz="0" w:space="0" w:color="auto"/>
                        <w:bottom w:val="none" w:sz="0" w:space="0" w:color="auto"/>
                        <w:right w:val="none" w:sz="0" w:space="0" w:color="auto"/>
                      </w:divBdr>
                      <w:divsChild>
                        <w:div w:id="1699618011">
                          <w:marLeft w:val="0"/>
                          <w:marRight w:val="0"/>
                          <w:marTop w:val="150"/>
                          <w:marBottom w:val="150"/>
                          <w:divBdr>
                            <w:top w:val="none" w:sz="0" w:space="0" w:color="auto"/>
                            <w:left w:val="none" w:sz="0" w:space="0" w:color="auto"/>
                            <w:bottom w:val="none" w:sz="0" w:space="0" w:color="auto"/>
                            <w:right w:val="none" w:sz="0" w:space="0" w:color="auto"/>
                          </w:divBdr>
                          <w:divsChild>
                            <w:div w:id="1697273568">
                              <w:marLeft w:val="150"/>
                              <w:marRight w:val="0"/>
                              <w:marTop w:val="0"/>
                              <w:marBottom w:val="0"/>
                              <w:divBdr>
                                <w:top w:val="none" w:sz="0" w:space="0" w:color="auto"/>
                                <w:left w:val="none" w:sz="0" w:space="0" w:color="auto"/>
                                <w:bottom w:val="none" w:sz="0" w:space="0" w:color="auto"/>
                                <w:right w:val="none" w:sz="0" w:space="0" w:color="auto"/>
                              </w:divBdr>
                              <w:divsChild>
                                <w:div w:id="1517963235">
                                  <w:marLeft w:val="0"/>
                                  <w:marRight w:val="0"/>
                                  <w:marTop w:val="0"/>
                                  <w:marBottom w:val="0"/>
                                  <w:divBdr>
                                    <w:top w:val="none" w:sz="0" w:space="0" w:color="auto"/>
                                    <w:left w:val="none" w:sz="0" w:space="0" w:color="auto"/>
                                    <w:bottom w:val="none" w:sz="0" w:space="0" w:color="auto"/>
                                    <w:right w:val="none" w:sz="0" w:space="0" w:color="auto"/>
                                  </w:divBdr>
                                  <w:divsChild>
                                    <w:div w:id="1841890717">
                                      <w:marLeft w:val="0"/>
                                      <w:marRight w:val="0"/>
                                      <w:marTop w:val="0"/>
                                      <w:marBottom w:val="0"/>
                                      <w:divBdr>
                                        <w:top w:val="none" w:sz="0" w:space="0" w:color="auto"/>
                                        <w:left w:val="none" w:sz="0" w:space="0" w:color="auto"/>
                                        <w:bottom w:val="none" w:sz="0" w:space="0" w:color="auto"/>
                                        <w:right w:val="none" w:sz="0" w:space="0" w:color="auto"/>
                                      </w:divBdr>
                                      <w:divsChild>
                                        <w:div w:id="381825911">
                                          <w:marLeft w:val="0"/>
                                          <w:marRight w:val="0"/>
                                          <w:marTop w:val="0"/>
                                          <w:marBottom w:val="0"/>
                                          <w:divBdr>
                                            <w:top w:val="none" w:sz="0" w:space="0" w:color="auto"/>
                                            <w:left w:val="none" w:sz="0" w:space="0" w:color="auto"/>
                                            <w:bottom w:val="none" w:sz="0" w:space="0" w:color="auto"/>
                                            <w:right w:val="none" w:sz="0" w:space="0" w:color="auto"/>
                                          </w:divBdr>
                                          <w:divsChild>
                                            <w:div w:id="1513766463">
                                              <w:marLeft w:val="0"/>
                                              <w:marRight w:val="0"/>
                                              <w:marTop w:val="0"/>
                                              <w:marBottom w:val="150"/>
                                              <w:divBdr>
                                                <w:top w:val="none" w:sz="0" w:space="0" w:color="auto"/>
                                                <w:left w:val="none" w:sz="0" w:space="0" w:color="auto"/>
                                                <w:bottom w:val="none" w:sz="0" w:space="0" w:color="auto"/>
                                                <w:right w:val="none" w:sz="0" w:space="0" w:color="auto"/>
                                              </w:divBdr>
                                              <w:divsChild>
                                                <w:div w:id="572814176">
                                                  <w:marLeft w:val="0"/>
                                                  <w:marRight w:val="0"/>
                                                  <w:marTop w:val="0"/>
                                                  <w:marBottom w:val="0"/>
                                                  <w:divBdr>
                                                    <w:top w:val="none" w:sz="0" w:space="0" w:color="auto"/>
                                                    <w:left w:val="none" w:sz="0" w:space="0" w:color="auto"/>
                                                    <w:bottom w:val="none" w:sz="0" w:space="0" w:color="auto"/>
                                                    <w:right w:val="none" w:sz="0" w:space="0" w:color="auto"/>
                                                  </w:divBdr>
                                                  <w:divsChild>
                                                    <w:div w:id="1650402818">
                                                      <w:marLeft w:val="0"/>
                                                      <w:marRight w:val="0"/>
                                                      <w:marTop w:val="0"/>
                                                      <w:marBottom w:val="0"/>
                                                      <w:divBdr>
                                                        <w:top w:val="none" w:sz="0" w:space="0" w:color="auto"/>
                                                        <w:left w:val="none" w:sz="0" w:space="0" w:color="auto"/>
                                                        <w:bottom w:val="none" w:sz="0" w:space="0" w:color="auto"/>
                                                        <w:right w:val="none" w:sz="0" w:space="0" w:color="auto"/>
                                                      </w:divBdr>
                                                      <w:divsChild>
                                                        <w:div w:id="1419712780">
                                                          <w:marLeft w:val="0"/>
                                                          <w:marRight w:val="0"/>
                                                          <w:marTop w:val="0"/>
                                                          <w:marBottom w:val="0"/>
                                                          <w:divBdr>
                                                            <w:top w:val="none" w:sz="0" w:space="0" w:color="auto"/>
                                                            <w:left w:val="none" w:sz="0" w:space="0" w:color="auto"/>
                                                            <w:bottom w:val="none" w:sz="0" w:space="0" w:color="auto"/>
                                                            <w:right w:val="none" w:sz="0" w:space="0" w:color="auto"/>
                                                          </w:divBdr>
                                                          <w:divsChild>
                                                            <w:div w:id="355666046">
                                                              <w:marLeft w:val="0"/>
                                                              <w:marRight w:val="0"/>
                                                              <w:marTop w:val="0"/>
                                                              <w:marBottom w:val="0"/>
                                                              <w:divBdr>
                                                                <w:top w:val="none" w:sz="0" w:space="0" w:color="auto"/>
                                                                <w:left w:val="none" w:sz="0" w:space="0" w:color="auto"/>
                                                                <w:bottom w:val="none" w:sz="0" w:space="0" w:color="auto"/>
                                                                <w:right w:val="none" w:sz="0" w:space="0" w:color="auto"/>
                                                              </w:divBdr>
                                                              <w:divsChild>
                                                                <w:div w:id="1647663194">
                                                                  <w:marLeft w:val="0"/>
                                                                  <w:marRight w:val="0"/>
                                                                  <w:marTop w:val="0"/>
                                                                  <w:marBottom w:val="0"/>
                                                                  <w:divBdr>
                                                                    <w:top w:val="none" w:sz="0" w:space="0" w:color="auto"/>
                                                                    <w:left w:val="none" w:sz="0" w:space="0" w:color="auto"/>
                                                                    <w:bottom w:val="none" w:sz="0" w:space="0" w:color="auto"/>
                                                                    <w:right w:val="none" w:sz="0" w:space="0" w:color="auto"/>
                                                                  </w:divBdr>
                                                                  <w:divsChild>
                                                                    <w:div w:id="711003777">
                                                                      <w:marLeft w:val="0"/>
                                                                      <w:marRight w:val="0"/>
                                                                      <w:marTop w:val="0"/>
                                                                      <w:marBottom w:val="0"/>
                                                                      <w:divBdr>
                                                                        <w:top w:val="none" w:sz="0" w:space="0" w:color="auto"/>
                                                                        <w:left w:val="none" w:sz="0" w:space="0" w:color="auto"/>
                                                                        <w:bottom w:val="none" w:sz="0" w:space="0" w:color="auto"/>
                                                                        <w:right w:val="none" w:sz="0" w:space="0" w:color="auto"/>
                                                                      </w:divBdr>
                                                                    </w:div>
                                                                    <w:div w:id="187118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94979963">
      <w:bodyDiv w:val="1"/>
      <w:marLeft w:val="0"/>
      <w:marRight w:val="0"/>
      <w:marTop w:val="0"/>
      <w:marBottom w:val="0"/>
      <w:divBdr>
        <w:top w:val="none" w:sz="0" w:space="0" w:color="auto"/>
        <w:left w:val="none" w:sz="0" w:space="0" w:color="auto"/>
        <w:bottom w:val="none" w:sz="0" w:space="0" w:color="auto"/>
        <w:right w:val="none" w:sz="0" w:space="0" w:color="auto"/>
      </w:divBdr>
      <w:divsChild>
        <w:div w:id="214514200">
          <w:marLeft w:val="0"/>
          <w:marRight w:val="0"/>
          <w:marTop w:val="0"/>
          <w:marBottom w:val="0"/>
          <w:divBdr>
            <w:top w:val="none" w:sz="0" w:space="0" w:color="auto"/>
            <w:left w:val="none" w:sz="0" w:space="0" w:color="auto"/>
            <w:bottom w:val="none" w:sz="0" w:space="0" w:color="auto"/>
            <w:right w:val="none" w:sz="0" w:space="0" w:color="auto"/>
          </w:divBdr>
        </w:div>
      </w:divsChild>
    </w:div>
    <w:div w:id="1095631591">
      <w:bodyDiv w:val="1"/>
      <w:marLeft w:val="0"/>
      <w:marRight w:val="0"/>
      <w:marTop w:val="0"/>
      <w:marBottom w:val="0"/>
      <w:divBdr>
        <w:top w:val="none" w:sz="0" w:space="0" w:color="auto"/>
        <w:left w:val="none" w:sz="0" w:space="0" w:color="auto"/>
        <w:bottom w:val="none" w:sz="0" w:space="0" w:color="auto"/>
        <w:right w:val="none" w:sz="0" w:space="0" w:color="auto"/>
      </w:divBdr>
      <w:divsChild>
        <w:div w:id="288627465">
          <w:marLeft w:val="0"/>
          <w:marRight w:val="0"/>
          <w:marTop w:val="0"/>
          <w:marBottom w:val="0"/>
          <w:divBdr>
            <w:top w:val="none" w:sz="0" w:space="0" w:color="auto"/>
            <w:left w:val="none" w:sz="0" w:space="0" w:color="auto"/>
            <w:bottom w:val="none" w:sz="0" w:space="0" w:color="auto"/>
            <w:right w:val="none" w:sz="0" w:space="0" w:color="auto"/>
          </w:divBdr>
          <w:divsChild>
            <w:div w:id="5138883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95829959">
      <w:bodyDiv w:val="1"/>
      <w:marLeft w:val="0"/>
      <w:marRight w:val="0"/>
      <w:marTop w:val="0"/>
      <w:marBottom w:val="0"/>
      <w:divBdr>
        <w:top w:val="none" w:sz="0" w:space="0" w:color="auto"/>
        <w:left w:val="none" w:sz="0" w:space="0" w:color="auto"/>
        <w:bottom w:val="none" w:sz="0" w:space="0" w:color="auto"/>
        <w:right w:val="none" w:sz="0" w:space="0" w:color="auto"/>
      </w:divBdr>
      <w:divsChild>
        <w:div w:id="975796269">
          <w:marLeft w:val="0"/>
          <w:marRight w:val="0"/>
          <w:marTop w:val="0"/>
          <w:marBottom w:val="150"/>
          <w:divBdr>
            <w:top w:val="none" w:sz="0" w:space="0" w:color="auto"/>
            <w:left w:val="none" w:sz="0" w:space="0" w:color="auto"/>
            <w:bottom w:val="none" w:sz="0" w:space="0" w:color="auto"/>
            <w:right w:val="none" w:sz="0" w:space="0" w:color="auto"/>
          </w:divBdr>
          <w:divsChild>
            <w:div w:id="1187906822">
              <w:marLeft w:val="0"/>
              <w:marRight w:val="0"/>
              <w:marTop w:val="0"/>
              <w:marBottom w:val="0"/>
              <w:divBdr>
                <w:top w:val="none" w:sz="0" w:space="0" w:color="auto"/>
                <w:left w:val="none" w:sz="0" w:space="0" w:color="auto"/>
                <w:bottom w:val="none" w:sz="0" w:space="0" w:color="auto"/>
                <w:right w:val="none" w:sz="0" w:space="0" w:color="auto"/>
              </w:divBdr>
              <w:divsChild>
                <w:div w:id="1057167153">
                  <w:marLeft w:val="0"/>
                  <w:marRight w:val="0"/>
                  <w:marTop w:val="0"/>
                  <w:marBottom w:val="0"/>
                  <w:divBdr>
                    <w:top w:val="none" w:sz="0" w:space="0" w:color="auto"/>
                    <w:left w:val="none" w:sz="0" w:space="0" w:color="auto"/>
                    <w:bottom w:val="none" w:sz="0" w:space="0" w:color="auto"/>
                    <w:right w:val="none" w:sz="0" w:space="0" w:color="auto"/>
                  </w:divBdr>
                  <w:divsChild>
                    <w:div w:id="1512334334">
                      <w:marLeft w:val="0"/>
                      <w:marRight w:val="150"/>
                      <w:marTop w:val="0"/>
                      <w:marBottom w:val="0"/>
                      <w:divBdr>
                        <w:top w:val="none" w:sz="0" w:space="0" w:color="auto"/>
                        <w:left w:val="none" w:sz="0" w:space="0" w:color="auto"/>
                        <w:bottom w:val="none" w:sz="0" w:space="0" w:color="auto"/>
                        <w:right w:val="none" w:sz="0" w:space="0" w:color="auto"/>
                      </w:divBdr>
                      <w:divsChild>
                        <w:div w:id="14262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75456">
          <w:marLeft w:val="0"/>
          <w:marRight w:val="0"/>
          <w:marTop w:val="0"/>
          <w:marBottom w:val="150"/>
          <w:divBdr>
            <w:top w:val="none" w:sz="0" w:space="0" w:color="auto"/>
            <w:left w:val="none" w:sz="0" w:space="0" w:color="auto"/>
            <w:bottom w:val="none" w:sz="0" w:space="0" w:color="auto"/>
            <w:right w:val="none" w:sz="0" w:space="0" w:color="auto"/>
          </w:divBdr>
        </w:div>
        <w:div w:id="1711418403">
          <w:marLeft w:val="0"/>
          <w:marRight w:val="0"/>
          <w:marTop w:val="0"/>
          <w:marBottom w:val="0"/>
          <w:divBdr>
            <w:top w:val="none" w:sz="0" w:space="0" w:color="auto"/>
            <w:left w:val="none" w:sz="0" w:space="0" w:color="auto"/>
            <w:bottom w:val="none" w:sz="0" w:space="0" w:color="auto"/>
            <w:right w:val="none" w:sz="0" w:space="0" w:color="auto"/>
          </w:divBdr>
          <w:divsChild>
            <w:div w:id="20499862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96250907">
      <w:bodyDiv w:val="1"/>
      <w:marLeft w:val="0"/>
      <w:marRight w:val="0"/>
      <w:marTop w:val="0"/>
      <w:marBottom w:val="0"/>
      <w:divBdr>
        <w:top w:val="none" w:sz="0" w:space="0" w:color="auto"/>
        <w:left w:val="none" w:sz="0" w:space="0" w:color="auto"/>
        <w:bottom w:val="none" w:sz="0" w:space="0" w:color="auto"/>
        <w:right w:val="none" w:sz="0" w:space="0" w:color="auto"/>
      </w:divBdr>
      <w:divsChild>
        <w:div w:id="1453934602">
          <w:marLeft w:val="0"/>
          <w:marRight w:val="0"/>
          <w:marTop w:val="0"/>
          <w:marBottom w:val="0"/>
          <w:divBdr>
            <w:top w:val="none" w:sz="0" w:space="0" w:color="auto"/>
            <w:left w:val="none" w:sz="0" w:space="0" w:color="auto"/>
            <w:bottom w:val="none" w:sz="0" w:space="0" w:color="auto"/>
            <w:right w:val="none" w:sz="0" w:space="0" w:color="auto"/>
          </w:divBdr>
          <w:divsChild>
            <w:div w:id="1888250352">
              <w:marLeft w:val="0"/>
              <w:marRight w:val="0"/>
              <w:marTop w:val="0"/>
              <w:marBottom w:val="0"/>
              <w:divBdr>
                <w:top w:val="none" w:sz="0" w:space="0" w:color="auto"/>
                <w:left w:val="none" w:sz="0" w:space="0" w:color="auto"/>
                <w:bottom w:val="none" w:sz="0" w:space="0" w:color="auto"/>
                <w:right w:val="none" w:sz="0" w:space="0" w:color="auto"/>
              </w:divBdr>
              <w:divsChild>
                <w:div w:id="1636717727">
                  <w:marLeft w:val="0"/>
                  <w:marRight w:val="0"/>
                  <w:marTop w:val="0"/>
                  <w:marBottom w:val="0"/>
                  <w:divBdr>
                    <w:top w:val="none" w:sz="0" w:space="0" w:color="auto"/>
                    <w:left w:val="none" w:sz="0" w:space="0" w:color="auto"/>
                    <w:bottom w:val="none" w:sz="0" w:space="0" w:color="auto"/>
                    <w:right w:val="none" w:sz="0" w:space="0" w:color="auto"/>
                  </w:divBdr>
                  <w:divsChild>
                    <w:div w:id="2084915474">
                      <w:marLeft w:val="0"/>
                      <w:marRight w:val="0"/>
                      <w:marTop w:val="0"/>
                      <w:marBottom w:val="0"/>
                      <w:divBdr>
                        <w:top w:val="none" w:sz="0" w:space="0" w:color="auto"/>
                        <w:left w:val="none" w:sz="0" w:space="0" w:color="auto"/>
                        <w:bottom w:val="none" w:sz="0" w:space="0" w:color="auto"/>
                        <w:right w:val="none" w:sz="0" w:space="0" w:color="auto"/>
                      </w:divBdr>
                      <w:divsChild>
                        <w:div w:id="1048576670">
                          <w:marLeft w:val="0"/>
                          <w:marRight w:val="0"/>
                          <w:marTop w:val="0"/>
                          <w:marBottom w:val="0"/>
                          <w:divBdr>
                            <w:top w:val="none" w:sz="0" w:space="0" w:color="auto"/>
                            <w:left w:val="none" w:sz="0" w:space="0" w:color="auto"/>
                            <w:bottom w:val="none" w:sz="0" w:space="0" w:color="auto"/>
                            <w:right w:val="none" w:sz="0" w:space="0" w:color="auto"/>
                          </w:divBdr>
                          <w:divsChild>
                            <w:div w:id="1428428573">
                              <w:marLeft w:val="0"/>
                              <w:marRight w:val="0"/>
                              <w:marTop w:val="0"/>
                              <w:marBottom w:val="0"/>
                              <w:divBdr>
                                <w:top w:val="none" w:sz="0" w:space="0" w:color="auto"/>
                                <w:left w:val="none" w:sz="0" w:space="0" w:color="auto"/>
                                <w:bottom w:val="none" w:sz="0" w:space="0" w:color="auto"/>
                                <w:right w:val="none" w:sz="0" w:space="0" w:color="auto"/>
                              </w:divBdr>
                              <w:divsChild>
                                <w:div w:id="1172601336">
                                  <w:marLeft w:val="0"/>
                                  <w:marRight w:val="0"/>
                                  <w:marTop w:val="0"/>
                                  <w:marBottom w:val="0"/>
                                  <w:divBdr>
                                    <w:top w:val="none" w:sz="0" w:space="0" w:color="auto"/>
                                    <w:left w:val="none" w:sz="0" w:space="0" w:color="auto"/>
                                    <w:bottom w:val="none" w:sz="0" w:space="0" w:color="auto"/>
                                    <w:right w:val="none" w:sz="0" w:space="0" w:color="auto"/>
                                  </w:divBdr>
                                  <w:divsChild>
                                    <w:div w:id="1869834029">
                                      <w:marLeft w:val="0"/>
                                      <w:marRight w:val="0"/>
                                      <w:marTop w:val="0"/>
                                      <w:marBottom w:val="0"/>
                                      <w:divBdr>
                                        <w:top w:val="none" w:sz="0" w:space="0" w:color="auto"/>
                                        <w:left w:val="none" w:sz="0" w:space="0" w:color="auto"/>
                                        <w:bottom w:val="none" w:sz="0" w:space="0" w:color="auto"/>
                                        <w:right w:val="none" w:sz="0" w:space="0" w:color="auto"/>
                                      </w:divBdr>
                                      <w:divsChild>
                                        <w:div w:id="103168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6443666">
      <w:bodyDiv w:val="1"/>
      <w:marLeft w:val="0"/>
      <w:marRight w:val="0"/>
      <w:marTop w:val="0"/>
      <w:marBottom w:val="0"/>
      <w:divBdr>
        <w:top w:val="none" w:sz="0" w:space="0" w:color="auto"/>
        <w:left w:val="none" w:sz="0" w:space="0" w:color="auto"/>
        <w:bottom w:val="none" w:sz="0" w:space="0" w:color="auto"/>
        <w:right w:val="none" w:sz="0" w:space="0" w:color="auto"/>
      </w:divBdr>
      <w:divsChild>
        <w:div w:id="1273974194">
          <w:marLeft w:val="0"/>
          <w:marRight w:val="0"/>
          <w:marTop w:val="0"/>
          <w:marBottom w:val="0"/>
          <w:divBdr>
            <w:top w:val="none" w:sz="0" w:space="0" w:color="auto"/>
            <w:left w:val="none" w:sz="0" w:space="0" w:color="auto"/>
            <w:bottom w:val="none" w:sz="0" w:space="0" w:color="auto"/>
            <w:right w:val="none" w:sz="0" w:space="0" w:color="auto"/>
          </w:divBdr>
          <w:divsChild>
            <w:div w:id="1342507087">
              <w:marLeft w:val="0"/>
              <w:marRight w:val="0"/>
              <w:marTop w:val="0"/>
              <w:marBottom w:val="0"/>
              <w:divBdr>
                <w:top w:val="none" w:sz="0" w:space="0" w:color="auto"/>
                <w:left w:val="none" w:sz="0" w:space="0" w:color="auto"/>
                <w:bottom w:val="none" w:sz="0" w:space="0" w:color="auto"/>
                <w:right w:val="none" w:sz="0" w:space="0" w:color="auto"/>
              </w:divBdr>
              <w:divsChild>
                <w:div w:id="1377857446">
                  <w:marLeft w:val="0"/>
                  <w:marRight w:val="0"/>
                  <w:marTop w:val="0"/>
                  <w:marBottom w:val="0"/>
                  <w:divBdr>
                    <w:top w:val="none" w:sz="0" w:space="0" w:color="auto"/>
                    <w:left w:val="none" w:sz="0" w:space="0" w:color="auto"/>
                    <w:bottom w:val="none" w:sz="0" w:space="0" w:color="auto"/>
                    <w:right w:val="none" w:sz="0" w:space="0" w:color="auto"/>
                  </w:divBdr>
                  <w:divsChild>
                    <w:div w:id="1152866619">
                      <w:marLeft w:val="0"/>
                      <w:marRight w:val="0"/>
                      <w:marTop w:val="0"/>
                      <w:marBottom w:val="0"/>
                      <w:divBdr>
                        <w:top w:val="none" w:sz="0" w:space="0" w:color="auto"/>
                        <w:left w:val="none" w:sz="0" w:space="0" w:color="auto"/>
                        <w:bottom w:val="none" w:sz="0" w:space="0" w:color="auto"/>
                        <w:right w:val="none" w:sz="0" w:space="0" w:color="auto"/>
                      </w:divBdr>
                      <w:divsChild>
                        <w:div w:id="206115009">
                          <w:marLeft w:val="0"/>
                          <w:marRight w:val="0"/>
                          <w:marTop w:val="0"/>
                          <w:marBottom w:val="0"/>
                          <w:divBdr>
                            <w:top w:val="none" w:sz="0" w:space="0" w:color="auto"/>
                            <w:left w:val="none" w:sz="0" w:space="0" w:color="auto"/>
                            <w:bottom w:val="none" w:sz="0" w:space="0" w:color="auto"/>
                            <w:right w:val="none" w:sz="0" w:space="0" w:color="auto"/>
                          </w:divBdr>
                          <w:divsChild>
                            <w:div w:id="758793611">
                              <w:marLeft w:val="0"/>
                              <w:marRight w:val="0"/>
                              <w:marTop w:val="0"/>
                              <w:marBottom w:val="0"/>
                              <w:divBdr>
                                <w:top w:val="none" w:sz="0" w:space="0" w:color="auto"/>
                                <w:left w:val="none" w:sz="0" w:space="0" w:color="auto"/>
                                <w:bottom w:val="none" w:sz="0" w:space="0" w:color="auto"/>
                                <w:right w:val="none" w:sz="0" w:space="0" w:color="auto"/>
                              </w:divBdr>
                              <w:divsChild>
                                <w:div w:id="1761874746">
                                  <w:marLeft w:val="0"/>
                                  <w:marRight w:val="0"/>
                                  <w:marTop w:val="0"/>
                                  <w:marBottom w:val="0"/>
                                  <w:divBdr>
                                    <w:top w:val="none" w:sz="0" w:space="0" w:color="auto"/>
                                    <w:left w:val="none" w:sz="0" w:space="0" w:color="auto"/>
                                    <w:bottom w:val="none" w:sz="0" w:space="0" w:color="auto"/>
                                    <w:right w:val="none" w:sz="0" w:space="0" w:color="auto"/>
                                  </w:divBdr>
                                  <w:divsChild>
                                    <w:div w:id="65222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6487852">
      <w:bodyDiv w:val="1"/>
      <w:marLeft w:val="0"/>
      <w:marRight w:val="0"/>
      <w:marTop w:val="0"/>
      <w:marBottom w:val="0"/>
      <w:divBdr>
        <w:top w:val="none" w:sz="0" w:space="0" w:color="auto"/>
        <w:left w:val="none" w:sz="0" w:space="0" w:color="auto"/>
        <w:bottom w:val="none" w:sz="0" w:space="0" w:color="auto"/>
        <w:right w:val="none" w:sz="0" w:space="0" w:color="auto"/>
      </w:divBdr>
      <w:divsChild>
        <w:div w:id="1004087297">
          <w:marLeft w:val="0"/>
          <w:marRight w:val="0"/>
          <w:marTop w:val="0"/>
          <w:marBottom w:val="0"/>
          <w:divBdr>
            <w:top w:val="none" w:sz="0" w:space="0" w:color="auto"/>
            <w:left w:val="none" w:sz="0" w:space="0" w:color="auto"/>
            <w:bottom w:val="none" w:sz="0" w:space="0" w:color="auto"/>
            <w:right w:val="none" w:sz="0" w:space="0" w:color="auto"/>
          </w:divBdr>
          <w:divsChild>
            <w:div w:id="1739210451">
              <w:marLeft w:val="0"/>
              <w:marRight w:val="0"/>
              <w:marTop w:val="0"/>
              <w:marBottom w:val="0"/>
              <w:divBdr>
                <w:top w:val="none" w:sz="0" w:space="0" w:color="auto"/>
                <w:left w:val="none" w:sz="0" w:space="0" w:color="auto"/>
                <w:bottom w:val="none" w:sz="0" w:space="0" w:color="auto"/>
                <w:right w:val="none" w:sz="0" w:space="0" w:color="auto"/>
              </w:divBdr>
              <w:divsChild>
                <w:div w:id="1186553348">
                  <w:marLeft w:val="0"/>
                  <w:marRight w:val="0"/>
                  <w:marTop w:val="0"/>
                  <w:marBottom w:val="0"/>
                  <w:divBdr>
                    <w:top w:val="none" w:sz="0" w:space="0" w:color="auto"/>
                    <w:left w:val="none" w:sz="0" w:space="0" w:color="auto"/>
                    <w:bottom w:val="none" w:sz="0" w:space="0" w:color="auto"/>
                    <w:right w:val="none" w:sz="0" w:space="0" w:color="auto"/>
                  </w:divBdr>
                  <w:divsChild>
                    <w:div w:id="289669482">
                      <w:marLeft w:val="0"/>
                      <w:marRight w:val="0"/>
                      <w:marTop w:val="0"/>
                      <w:marBottom w:val="0"/>
                      <w:divBdr>
                        <w:top w:val="none" w:sz="0" w:space="0" w:color="auto"/>
                        <w:left w:val="none" w:sz="0" w:space="0" w:color="auto"/>
                        <w:bottom w:val="none" w:sz="0" w:space="0" w:color="auto"/>
                        <w:right w:val="none" w:sz="0" w:space="0" w:color="auto"/>
                      </w:divBdr>
                      <w:divsChild>
                        <w:div w:id="697510812">
                          <w:marLeft w:val="0"/>
                          <w:marRight w:val="0"/>
                          <w:marTop w:val="0"/>
                          <w:marBottom w:val="0"/>
                          <w:divBdr>
                            <w:top w:val="none" w:sz="0" w:space="0" w:color="auto"/>
                            <w:left w:val="none" w:sz="0" w:space="0" w:color="auto"/>
                            <w:bottom w:val="none" w:sz="0" w:space="0" w:color="auto"/>
                            <w:right w:val="none" w:sz="0" w:space="0" w:color="auto"/>
                          </w:divBdr>
                          <w:divsChild>
                            <w:div w:id="132705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560840">
      <w:bodyDiv w:val="1"/>
      <w:marLeft w:val="0"/>
      <w:marRight w:val="0"/>
      <w:marTop w:val="0"/>
      <w:marBottom w:val="0"/>
      <w:divBdr>
        <w:top w:val="none" w:sz="0" w:space="0" w:color="auto"/>
        <w:left w:val="none" w:sz="0" w:space="0" w:color="auto"/>
        <w:bottom w:val="none" w:sz="0" w:space="0" w:color="auto"/>
        <w:right w:val="none" w:sz="0" w:space="0" w:color="auto"/>
      </w:divBdr>
    </w:div>
    <w:div w:id="1096946714">
      <w:bodyDiv w:val="1"/>
      <w:marLeft w:val="0"/>
      <w:marRight w:val="0"/>
      <w:marTop w:val="0"/>
      <w:marBottom w:val="0"/>
      <w:divBdr>
        <w:top w:val="none" w:sz="0" w:space="0" w:color="auto"/>
        <w:left w:val="none" w:sz="0" w:space="0" w:color="auto"/>
        <w:bottom w:val="none" w:sz="0" w:space="0" w:color="auto"/>
        <w:right w:val="none" w:sz="0" w:space="0" w:color="auto"/>
      </w:divBdr>
      <w:divsChild>
        <w:div w:id="313487893">
          <w:marLeft w:val="0"/>
          <w:marRight w:val="0"/>
          <w:marTop w:val="0"/>
          <w:marBottom w:val="150"/>
          <w:divBdr>
            <w:top w:val="none" w:sz="0" w:space="0" w:color="auto"/>
            <w:left w:val="none" w:sz="0" w:space="0" w:color="auto"/>
            <w:bottom w:val="none" w:sz="0" w:space="0" w:color="auto"/>
            <w:right w:val="none" w:sz="0" w:space="0" w:color="auto"/>
          </w:divBdr>
        </w:div>
      </w:divsChild>
    </w:div>
    <w:div w:id="1097093537">
      <w:bodyDiv w:val="1"/>
      <w:marLeft w:val="0"/>
      <w:marRight w:val="0"/>
      <w:marTop w:val="0"/>
      <w:marBottom w:val="0"/>
      <w:divBdr>
        <w:top w:val="none" w:sz="0" w:space="0" w:color="auto"/>
        <w:left w:val="none" w:sz="0" w:space="0" w:color="auto"/>
        <w:bottom w:val="none" w:sz="0" w:space="0" w:color="auto"/>
        <w:right w:val="none" w:sz="0" w:space="0" w:color="auto"/>
      </w:divBdr>
      <w:divsChild>
        <w:div w:id="1473519249">
          <w:marLeft w:val="0"/>
          <w:marRight w:val="0"/>
          <w:marTop w:val="0"/>
          <w:marBottom w:val="0"/>
          <w:divBdr>
            <w:top w:val="none" w:sz="0" w:space="0" w:color="auto"/>
            <w:left w:val="none" w:sz="0" w:space="0" w:color="auto"/>
            <w:bottom w:val="dotted" w:sz="6" w:space="4" w:color="DDDDDD"/>
            <w:right w:val="none" w:sz="0" w:space="0" w:color="auto"/>
          </w:divBdr>
          <w:divsChild>
            <w:div w:id="14019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365886">
      <w:bodyDiv w:val="1"/>
      <w:marLeft w:val="0"/>
      <w:marRight w:val="0"/>
      <w:marTop w:val="0"/>
      <w:marBottom w:val="0"/>
      <w:divBdr>
        <w:top w:val="none" w:sz="0" w:space="0" w:color="auto"/>
        <w:left w:val="none" w:sz="0" w:space="0" w:color="auto"/>
        <w:bottom w:val="none" w:sz="0" w:space="0" w:color="auto"/>
        <w:right w:val="none" w:sz="0" w:space="0" w:color="auto"/>
      </w:divBdr>
      <w:divsChild>
        <w:div w:id="588084067">
          <w:marLeft w:val="0"/>
          <w:marRight w:val="0"/>
          <w:marTop w:val="0"/>
          <w:marBottom w:val="0"/>
          <w:divBdr>
            <w:top w:val="none" w:sz="0" w:space="0" w:color="auto"/>
            <w:left w:val="none" w:sz="0" w:space="0" w:color="auto"/>
            <w:bottom w:val="none" w:sz="0" w:space="0" w:color="auto"/>
            <w:right w:val="none" w:sz="0" w:space="0" w:color="auto"/>
          </w:divBdr>
          <w:divsChild>
            <w:div w:id="726344854">
              <w:marLeft w:val="0"/>
              <w:marRight w:val="0"/>
              <w:marTop w:val="0"/>
              <w:marBottom w:val="0"/>
              <w:divBdr>
                <w:top w:val="none" w:sz="0" w:space="0" w:color="auto"/>
                <w:left w:val="none" w:sz="0" w:space="0" w:color="auto"/>
                <w:bottom w:val="none" w:sz="0" w:space="0" w:color="auto"/>
                <w:right w:val="none" w:sz="0" w:space="0" w:color="auto"/>
              </w:divBdr>
              <w:divsChild>
                <w:div w:id="975838401">
                  <w:marLeft w:val="0"/>
                  <w:marRight w:val="0"/>
                  <w:marTop w:val="0"/>
                  <w:marBottom w:val="0"/>
                  <w:divBdr>
                    <w:top w:val="none" w:sz="0" w:space="0" w:color="auto"/>
                    <w:left w:val="none" w:sz="0" w:space="0" w:color="auto"/>
                    <w:bottom w:val="none" w:sz="0" w:space="0" w:color="auto"/>
                    <w:right w:val="none" w:sz="0" w:space="0" w:color="auto"/>
                  </w:divBdr>
                  <w:divsChild>
                    <w:div w:id="281157082">
                      <w:marLeft w:val="0"/>
                      <w:marRight w:val="0"/>
                      <w:marTop w:val="0"/>
                      <w:marBottom w:val="0"/>
                      <w:divBdr>
                        <w:top w:val="none" w:sz="0" w:space="0" w:color="auto"/>
                        <w:left w:val="none" w:sz="0" w:space="0" w:color="auto"/>
                        <w:bottom w:val="none" w:sz="0" w:space="0" w:color="auto"/>
                        <w:right w:val="none" w:sz="0" w:space="0" w:color="auto"/>
                      </w:divBdr>
                      <w:divsChild>
                        <w:div w:id="1122072425">
                          <w:marLeft w:val="0"/>
                          <w:marRight w:val="0"/>
                          <w:marTop w:val="0"/>
                          <w:marBottom w:val="0"/>
                          <w:divBdr>
                            <w:top w:val="none" w:sz="0" w:space="0" w:color="auto"/>
                            <w:left w:val="none" w:sz="0" w:space="0" w:color="auto"/>
                            <w:bottom w:val="none" w:sz="0" w:space="0" w:color="auto"/>
                            <w:right w:val="none" w:sz="0" w:space="0" w:color="auto"/>
                          </w:divBdr>
                          <w:divsChild>
                            <w:div w:id="321007981">
                              <w:marLeft w:val="0"/>
                              <w:marRight w:val="0"/>
                              <w:marTop w:val="0"/>
                              <w:marBottom w:val="0"/>
                              <w:divBdr>
                                <w:top w:val="none" w:sz="0" w:space="0" w:color="auto"/>
                                <w:left w:val="none" w:sz="0" w:space="0" w:color="auto"/>
                                <w:bottom w:val="none" w:sz="0" w:space="0" w:color="auto"/>
                                <w:right w:val="none" w:sz="0" w:space="0" w:color="auto"/>
                              </w:divBdr>
                              <w:divsChild>
                                <w:div w:id="849105799">
                                  <w:marLeft w:val="0"/>
                                  <w:marRight w:val="0"/>
                                  <w:marTop w:val="0"/>
                                  <w:marBottom w:val="0"/>
                                  <w:divBdr>
                                    <w:top w:val="none" w:sz="0" w:space="0" w:color="auto"/>
                                    <w:left w:val="none" w:sz="0" w:space="0" w:color="auto"/>
                                    <w:bottom w:val="none" w:sz="0" w:space="0" w:color="auto"/>
                                    <w:right w:val="none" w:sz="0" w:space="0" w:color="auto"/>
                                  </w:divBdr>
                                  <w:divsChild>
                                    <w:div w:id="139843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7674988">
      <w:bodyDiv w:val="1"/>
      <w:marLeft w:val="0"/>
      <w:marRight w:val="0"/>
      <w:marTop w:val="0"/>
      <w:marBottom w:val="0"/>
      <w:divBdr>
        <w:top w:val="none" w:sz="0" w:space="0" w:color="auto"/>
        <w:left w:val="none" w:sz="0" w:space="0" w:color="auto"/>
        <w:bottom w:val="none" w:sz="0" w:space="0" w:color="auto"/>
        <w:right w:val="none" w:sz="0" w:space="0" w:color="auto"/>
      </w:divBdr>
      <w:divsChild>
        <w:div w:id="571812578">
          <w:marLeft w:val="0"/>
          <w:marRight w:val="0"/>
          <w:marTop w:val="0"/>
          <w:marBottom w:val="150"/>
          <w:divBdr>
            <w:top w:val="none" w:sz="0" w:space="0" w:color="auto"/>
            <w:left w:val="none" w:sz="0" w:space="0" w:color="auto"/>
            <w:bottom w:val="none" w:sz="0" w:space="0" w:color="auto"/>
            <w:right w:val="none" w:sz="0" w:space="0" w:color="auto"/>
          </w:divBdr>
          <w:divsChild>
            <w:div w:id="1891838523">
              <w:marLeft w:val="0"/>
              <w:marRight w:val="0"/>
              <w:marTop w:val="0"/>
              <w:marBottom w:val="0"/>
              <w:divBdr>
                <w:top w:val="none" w:sz="0" w:space="0" w:color="auto"/>
                <w:left w:val="none" w:sz="0" w:space="0" w:color="auto"/>
                <w:bottom w:val="none" w:sz="0" w:space="0" w:color="auto"/>
                <w:right w:val="none" w:sz="0" w:space="0" w:color="auto"/>
              </w:divBdr>
            </w:div>
          </w:divsChild>
        </w:div>
        <w:div w:id="701368497">
          <w:marLeft w:val="0"/>
          <w:marRight w:val="0"/>
          <w:marTop w:val="0"/>
          <w:marBottom w:val="150"/>
          <w:divBdr>
            <w:top w:val="none" w:sz="0" w:space="0" w:color="auto"/>
            <w:left w:val="none" w:sz="0" w:space="0" w:color="auto"/>
            <w:bottom w:val="none" w:sz="0" w:space="0" w:color="auto"/>
            <w:right w:val="none" w:sz="0" w:space="0" w:color="auto"/>
          </w:divBdr>
        </w:div>
        <w:div w:id="2095780637">
          <w:marLeft w:val="0"/>
          <w:marRight w:val="0"/>
          <w:marTop w:val="0"/>
          <w:marBottom w:val="0"/>
          <w:divBdr>
            <w:top w:val="none" w:sz="0" w:space="0" w:color="auto"/>
            <w:left w:val="none" w:sz="0" w:space="0" w:color="auto"/>
            <w:bottom w:val="none" w:sz="0" w:space="0" w:color="auto"/>
            <w:right w:val="none" w:sz="0" w:space="0" w:color="auto"/>
          </w:divBdr>
          <w:divsChild>
            <w:div w:id="150570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5115">
      <w:bodyDiv w:val="1"/>
      <w:marLeft w:val="0"/>
      <w:marRight w:val="0"/>
      <w:marTop w:val="0"/>
      <w:marBottom w:val="0"/>
      <w:divBdr>
        <w:top w:val="none" w:sz="0" w:space="0" w:color="auto"/>
        <w:left w:val="none" w:sz="0" w:space="0" w:color="auto"/>
        <w:bottom w:val="none" w:sz="0" w:space="0" w:color="auto"/>
        <w:right w:val="none" w:sz="0" w:space="0" w:color="auto"/>
      </w:divBdr>
      <w:divsChild>
        <w:div w:id="1379621072">
          <w:marLeft w:val="0"/>
          <w:marRight w:val="0"/>
          <w:marTop w:val="0"/>
          <w:marBottom w:val="0"/>
          <w:divBdr>
            <w:top w:val="none" w:sz="0" w:space="0" w:color="auto"/>
            <w:left w:val="none" w:sz="0" w:space="0" w:color="auto"/>
            <w:bottom w:val="none" w:sz="0" w:space="0" w:color="auto"/>
            <w:right w:val="none" w:sz="0" w:space="0" w:color="auto"/>
          </w:divBdr>
        </w:div>
      </w:divsChild>
    </w:div>
    <w:div w:id="1098256712">
      <w:bodyDiv w:val="1"/>
      <w:marLeft w:val="0"/>
      <w:marRight w:val="0"/>
      <w:marTop w:val="0"/>
      <w:marBottom w:val="0"/>
      <w:divBdr>
        <w:top w:val="none" w:sz="0" w:space="0" w:color="auto"/>
        <w:left w:val="none" w:sz="0" w:space="0" w:color="auto"/>
        <w:bottom w:val="none" w:sz="0" w:space="0" w:color="auto"/>
        <w:right w:val="none" w:sz="0" w:space="0" w:color="auto"/>
      </w:divBdr>
      <w:divsChild>
        <w:div w:id="1673070017">
          <w:marLeft w:val="0"/>
          <w:marRight w:val="0"/>
          <w:marTop w:val="0"/>
          <w:marBottom w:val="0"/>
          <w:divBdr>
            <w:top w:val="none" w:sz="0" w:space="0" w:color="auto"/>
            <w:left w:val="none" w:sz="0" w:space="0" w:color="auto"/>
            <w:bottom w:val="none" w:sz="0" w:space="0" w:color="auto"/>
            <w:right w:val="none" w:sz="0" w:space="0" w:color="auto"/>
          </w:divBdr>
          <w:divsChild>
            <w:div w:id="307326686">
              <w:marLeft w:val="0"/>
              <w:marRight w:val="0"/>
              <w:marTop w:val="0"/>
              <w:marBottom w:val="0"/>
              <w:divBdr>
                <w:top w:val="none" w:sz="0" w:space="0" w:color="auto"/>
                <w:left w:val="none" w:sz="0" w:space="0" w:color="auto"/>
                <w:bottom w:val="none" w:sz="0" w:space="0" w:color="auto"/>
                <w:right w:val="none" w:sz="0" w:space="0" w:color="auto"/>
              </w:divBdr>
              <w:divsChild>
                <w:div w:id="459232362">
                  <w:marLeft w:val="0"/>
                  <w:marRight w:val="0"/>
                  <w:marTop w:val="0"/>
                  <w:marBottom w:val="0"/>
                  <w:divBdr>
                    <w:top w:val="none" w:sz="0" w:space="0" w:color="auto"/>
                    <w:left w:val="none" w:sz="0" w:space="0" w:color="auto"/>
                    <w:bottom w:val="none" w:sz="0" w:space="0" w:color="auto"/>
                    <w:right w:val="none" w:sz="0" w:space="0" w:color="auto"/>
                  </w:divBdr>
                  <w:divsChild>
                    <w:div w:id="686443462">
                      <w:marLeft w:val="0"/>
                      <w:marRight w:val="0"/>
                      <w:marTop w:val="0"/>
                      <w:marBottom w:val="0"/>
                      <w:divBdr>
                        <w:top w:val="none" w:sz="0" w:space="0" w:color="auto"/>
                        <w:left w:val="none" w:sz="0" w:space="0" w:color="auto"/>
                        <w:bottom w:val="none" w:sz="0" w:space="0" w:color="auto"/>
                        <w:right w:val="none" w:sz="0" w:space="0" w:color="auto"/>
                      </w:divBdr>
                      <w:divsChild>
                        <w:div w:id="315496467">
                          <w:marLeft w:val="0"/>
                          <w:marRight w:val="0"/>
                          <w:marTop w:val="0"/>
                          <w:marBottom w:val="0"/>
                          <w:divBdr>
                            <w:top w:val="none" w:sz="0" w:space="0" w:color="auto"/>
                            <w:left w:val="none" w:sz="0" w:space="0" w:color="auto"/>
                            <w:bottom w:val="none" w:sz="0" w:space="0" w:color="auto"/>
                            <w:right w:val="none" w:sz="0" w:space="0" w:color="auto"/>
                          </w:divBdr>
                          <w:divsChild>
                            <w:div w:id="22874220">
                              <w:marLeft w:val="0"/>
                              <w:marRight w:val="0"/>
                              <w:marTop w:val="0"/>
                              <w:marBottom w:val="0"/>
                              <w:divBdr>
                                <w:top w:val="none" w:sz="0" w:space="0" w:color="auto"/>
                                <w:left w:val="none" w:sz="0" w:space="0" w:color="auto"/>
                                <w:bottom w:val="none" w:sz="0" w:space="0" w:color="auto"/>
                                <w:right w:val="none" w:sz="0" w:space="0" w:color="auto"/>
                              </w:divBdr>
                              <w:divsChild>
                                <w:div w:id="327102110">
                                  <w:marLeft w:val="0"/>
                                  <w:marRight w:val="0"/>
                                  <w:marTop w:val="0"/>
                                  <w:marBottom w:val="0"/>
                                  <w:divBdr>
                                    <w:top w:val="none" w:sz="0" w:space="0" w:color="auto"/>
                                    <w:left w:val="none" w:sz="0" w:space="0" w:color="auto"/>
                                    <w:bottom w:val="none" w:sz="0" w:space="0" w:color="auto"/>
                                    <w:right w:val="none" w:sz="0" w:space="0" w:color="auto"/>
                                  </w:divBdr>
                                  <w:divsChild>
                                    <w:div w:id="68552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8331350">
      <w:bodyDiv w:val="1"/>
      <w:marLeft w:val="0"/>
      <w:marRight w:val="0"/>
      <w:marTop w:val="0"/>
      <w:marBottom w:val="0"/>
      <w:divBdr>
        <w:top w:val="none" w:sz="0" w:space="0" w:color="auto"/>
        <w:left w:val="none" w:sz="0" w:space="0" w:color="auto"/>
        <w:bottom w:val="none" w:sz="0" w:space="0" w:color="auto"/>
        <w:right w:val="none" w:sz="0" w:space="0" w:color="auto"/>
      </w:divBdr>
    </w:div>
    <w:div w:id="1098409888">
      <w:bodyDiv w:val="1"/>
      <w:marLeft w:val="0"/>
      <w:marRight w:val="0"/>
      <w:marTop w:val="0"/>
      <w:marBottom w:val="0"/>
      <w:divBdr>
        <w:top w:val="none" w:sz="0" w:space="0" w:color="auto"/>
        <w:left w:val="none" w:sz="0" w:space="0" w:color="auto"/>
        <w:bottom w:val="none" w:sz="0" w:space="0" w:color="auto"/>
        <w:right w:val="none" w:sz="0" w:space="0" w:color="auto"/>
      </w:divBdr>
      <w:divsChild>
        <w:div w:id="974873425">
          <w:marLeft w:val="0"/>
          <w:marRight w:val="0"/>
          <w:marTop w:val="0"/>
          <w:marBottom w:val="0"/>
          <w:divBdr>
            <w:top w:val="none" w:sz="0" w:space="0" w:color="auto"/>
            <w:left w:val="none" w:sz="0" w:space="0" w:color="auto"/>
            <w:bottom w:val="dotted" w:sz="6" w:space="4" w:color="DDDDDD"/>
            <w:right w:val="none" w:sz="0" w:space="0" w:color="auto"/>
          </w:divBdr>
          <w:divsChild>
            <w:div w:id="6580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528044">
      <w:bodyDiv w:val="1"/>
      <w:marLeft w:val="0"/>
      <w:marRight w:val="0"/>
      <w:marTop w:val="0"/>
      <w:marBottom w:val="0"/>
      <w:divBdr>
        <w:top w:val="none" w:sz="0" w:space="0" w:color="auto"/>
        <w:left w:val="none" w:sz="0" w:space="0" w:color="auto"/>
        <w:bottom w:val="none" w:sz="0" w:space="0" w:color="auto"/>
        <w:right w:val="none" w:sz="0" w:space="0" w:color="auto"/>
      </w:divBdr>
      <w:divsChild>
        <w:div w:id="1677658538">
          <w:marLeft w:val="0"/>
          <w:marRight w:val="0"/>
          <w:marTop w:val="0"/>
          <w:marBottom w:val="150"/>
          <w:divBdr>
            <w:top w:val="none" w:sz="0" w:space="0" w:color="auto"/>
            <w:left w:val="none" w:sz="0" w:space="0" w:color="auto"/>
            <w:bottom w:val="none" w:sz="0" w:space="0" w:color="auto"/>
            <w:right w:val="none" w:sz="0" w:space="0" w:color="auto"/>
          </w:divBdr>
        </w:div>
      </w:divsChild>
    </w:div>
    <w:div w:id="1098981918">
      <w:bodyDiv w:val="1"/>
      <w:marLeft w:val="0"/>
      <w:marRight w:val="0"/>
      <w:marTop w:val="0"/>
      <w:marBottom w:val="0"/>
      <w:divBdr>
        <w:top w:val="none" w:sz="0" w:space="0" w:color="auto"/>
        <w:left w:val="none" w:sz="0" w:space="0" w:color="auto"/>
        <w:bottom w:val="none" w:sz="0" w:space="0" w:color="auto"/>
        <w:right w:val="none" w:sz="0" w:space="0" w:color="auto"/>
      </w:divBdr>
      <w:divsChild>
        <w:div w:id="743064726">
          <w:marLeft w:val="0"/>
          <w:marRight w:val="0"/>
          <w:marTop w:val="0"/>
          <w:marBottom w:val="0"/>
          <w:divBdr>
            <w:top w:val="none" w:sz="0" w:space="0" w:color="auto"/>
            <w:left w:val="none" w:sz="0" w:space="0" w:color="auto"/>
            <w:bottom w:val="none" w:sz="0" w:space="0" w:color="auto"/>
            <w:right w:val="none" w:sz="0" w:space="0" w:color="auto"/>
          </w:divBdr>
          <w:divsChild>
            <w:div w:id="9100390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99136782">
      <w:bodyDiv w:val="1"/>
      <w:marLeft w:val="0"/>
      <w:marRight w:val="0"/>
      <w:marTop w:val="0"/>
      <w:marBottom w:val="0"/>
      <w:divBdr>
        <w:top w:val="none" w:sz="0" w:space="0" w:color="auto"/>
        <w:left w:val="none" w:sz="0" w:space="0" w:color="auto"/>
        <w:bottom w:val="none" w:sz="0" w:space="0" w:color="auto"/>
        <w:right w:val="none" w:sz="0" w:space="0" w:color="auto"/>
      </w:divBdr>
      <w:divsChild>
        <w:div w:id="872115936">
          <w:marLeft w:val="0"/>
          <w:marRight w:val="0"/>
          <w:marTop w:val="0"/>
          <w:marBottom w:val="0"/>
          <w:divBdr>
            <w:top w:val="none" w:sz="0" w:space="0" w:color="auto"/>
            <w:left w:val="none" w:sz="0" w:space="0" w:color="auto"/>
            <w:bottom w:val="none" w:sz="0" w:space="0" w:color="auto"/>
            <w:right w:val="none" w:sz="0" w:space="0" w:color="auto"/>
          </w:divBdr>
        </w:div>
      </w:divsChild>
    </w:div>
    <w:div w:id="1099255069">
      <w:bodyDiv w:val="1"/>
      <w:marLeft w:val="0"/>
      <w:marRight w:val="0"/>
      <w:marTop w:val="0"/>
      <w:marBottom w:val="0"/>
      <w:divBdr>
        <w:top w:val="none" w:sz="0" w:space="0" w:color="auto"/>
        <w:left w:val="none" w:sz="0" w:space="0" w:color="auto"/>
        <w:bottom w:val="none" w:sz="0" w:space="0" w:color="auto"/>
        <w:right w:val="none" w:sz="0" w:space="0" w:color="auto"/>
      </w:divBdr>
      <w:divsChild>
        <w:div w:id="1802964918">
          <w:marLeft w:val="0"/>
          <w:marRight w:val="0"/>
          <w:marTop w:val="0"/>
          <w:marBottom w:val="0"/>
          <w:divBdr>
            <w:top w:val="none" w:sz="0" w:space="0" w:color="auto"/>
            <w:left w:val="none" w:sz="0" w:space="0" w:color="auto"/>
            <w:bottom w:val="none" w:sz="0" w:space="0" w:color="auto"/>
            <w:right w:val="none" w:sz="0" w:space="0" w:color="auto"/>
          </w:divBdr>
        </w:div>
      </w:divsChild>
    </w:div>
    <w:div w:id="1099256740">
      <w:bodyDiv w:val="1"/>
      <w:marLeft w:val="0"/>
      <w:marRight w:val="0"/>
      <w:marTop w:val="0"/>
      <w:marBottom w:val="0"/>
      <w:divBdr>
        <w:top w:val="none" w:sz="0" w:space="0" w:color="auto"/>
        <w:left w:val="none" w:sz="0" w:space="0" w:color="auto"/>
        <w:bottom w:val="none" w:sz="0" w:space="0" w:color="auto"/>
        <w:right w:val="none" w:sz="0" w:space="0" w:color="auto"/>
      </w:divBdr>
      <w:divsChild>
        <w:div w:id="752508686">
          <w:marLeft w:val="0"/>
          <w:marRight w:val="0"/>
          <w:marTop w:val="0"/>
          <w:marBottom w:val="0"/>
          <w:divBdr>
            <w:top w:val="none" w:sz="0" w:space="0" w:color="auto"/>
            <w:left w:val="none" w:sz="0" w:space="0" w:color="auto"/>
            <w:bottom w:val="none" w:sz="0" w:space="0" w:color="auto"/>
            <w:right w:val="none" w:sz="0" w:space="0" w:color="auto"/>
          </w:divBdr>
          <w:divsChild>
            <w:div w:id="77702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257339">
      <w:bodyDiv w:val="1"/>
      <w:marLeft w:val="0"/>
      <w:marRight w:val="0"/>
      <w:marTop w:val="0"/>
      <w:marBottom w:val="0"/>
      <w:divBdr>
        <w:top w:val="none" w:sz="0" w:space="0" w:color="auto"/>
        <w:left w:val="none" w:sz="0" w:space="0" w:color="auto"/>
        <w:bottom w:val="none" w:sz="0" w:space="0" w:color="auto"/>
        <w:right w:val="none" w:sz="0" w:space="0" w:color="auto"/>
      </w:divBdr>
      <w:divsChild>
        <w:div w:id="656685893">
          <w:marLeft w:val="0"/>
          <w:marRight w:val="0"/>
          <w:marTop w:val="0"/>
          <w:marBottom w:val="150"/>
          <w:divBdr>
            <w:top w:val="none" w:sz="0" w:space="0" w:color="auto"/>
            <w:left w:val="none" w:sz="0" w:space="0" w:color="auto"/>
            <w:bottom w:val="none" w:sz="0" w:space="0" w:color="auto"/>
            <w:right w:val="none" w:sz="0" w:space="0" w:color="auto"/>
          </w:divBdr>
          <w:divsChild>
            <w:div w:id="1552376183">
              <w:marLeft w:val="0"/>
              <w:marRight w:val="0"/>
              <w:marTop w:val="0"/>
              <w:marBottom w:val="0"/>
              <w:divBdr>
                <w:top w:val="none" w:sz="0" w:space="0" w:color="auto"/>
                <w:left w:val="none" w:sz="0" w:space="0" w:color="auto"/>
                <w:bottom w:val="none" w:sz="0" w:space="0" w:color="auto"/>
                <w:right w:val="none" w:sz="0" w:space="0" w:color="auto"/>
              </w:divBdr>
              <w:divsChild>
                <w:div w:id="15823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421521">
          <w:marLeft w:val="0"/>
          <w:marRight w:val="0"/>
          <w:marTop w:val="0"/>
          <w:marBottom w:val="0"/>
          <w:divBdr>
            <w:top w:val="none" w:sz="0" w:space="0" w:color="auto"/>
            <w:left w:val="none" w:sz="0" w:space="0" w:color="auto"/>
            <w:bottom w:val="none" w:sz="0" w:space="0" w:color="auto"/>
            <w:right w:val="none" w:sz="0" w:space="0" w:color="auto"/>
          </w:divBdr>
          <w:divsChild>
            <w:div w:id="1264918325">
              <w:marLeft w:val="0"/>
              <w:marRight w:val="0"/>
              <w:marTop w:val="225"/>
              <w:marBottom w:val="225"/>
              <w:divBdr>
                <w:top w:val="none" w:sz="0" w:space="0" w:color="auto"/>
                <w:left w:val="none" w:sz="0" w:space="0" w:color="auto"/>
                <w:bottom w:val="none" w:sz="0" w:space="0" w:color="auto"/>
                <w:right w:val="none" w:sz="0" w:space="0" w:color="auto"/>
              </w:divBdr>
            </w:div>
          </w:divsChild>
        </w:div>
        <w:div w:id="1485389500">
          <w:marLeft w:val="0"/>
          <w:marRight w:val="0"/>
          <w:marTop w:val="0"/>
          <w:marBottom w:val="150"/>
          <w:divBdr>
            <w:top w:val="none" w:sz="0" w:space="0" w:color="auto"/>
            <w:left w:val="none" w:sz="0" w:space="0" w:color="auto"/>
            <w:bottom w:val="none" w:sz="0" w:space="0" w:color="auto"/>
            <w:right w:val="none" w:sz="0" w:space="0" w:color="auto"/>
          </w:divBdr>
        </w:div>
      </w:divsChild>
    </w:div>
    <w:div w:id="1099373969">
      <w:bodyDiv w:val="1"/>
      <w:marLeft w:val="0"/>
      <w:marRight w:val="0"/>
      <w:marTop w:val="0"/>
      <w:marBottom w:val="0"/>
      <w:divBdr>
        <w:top w:val="none" w:sz="0" w:space="0" w:color="auto"/>
        <w:left w:val="none" w:sz="0" w:space="0" w:color="auto"/>
        <w:bottom w:val="none" w:sz="0" w:space="0" w:color="auto"/>
        <w:right w:val="none" w:sz="0" w:space="0" w:color="auto"/>
      </w:divBdr>
      <w:divsChild>
        <w:div w:id="2037652830">
          <w:marLeft w:val="0"/>
          <w:marRight w:val="0"/>
          <w:marTop w:val="0"/>
          <w:marBottom w:val="0"/>
          <w:divBdr>
            <w:top w:val="none" w:sz="0" w:space="0" w:color="auto"/>
            <w:left w:val="none" w:sz="0" w:space="0" w:color="auto"/>
            <w:bottom w:val="none" w:sz="0" w:space="0" w:color="auto"/>
            <w:right w:val="none" w:sz="0" w:space="0" w:color="auto"/>
          </w:divBdr>
          <w:divsChild>
            <w:div w:id="102112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371023">
      <w:bodyDiv w:val="1"/>
      <w:marLeft w:val="0"/>
      <w:marRight w:val="0"/>
      <w:marTop w:val="0"/>
      <w:marBottom w:val="0"/>
      <w:divBdr>
        <w:top w:val="none" w:sz="0" w:space="0" w:color="auto"/>
        <w:left w:val="none" w:sz="0" w:space="0" w:color="auto"/>
        <w:bottom w:val="none" w:sz="0" w:space="0" w:color="auto"/>
        <w:right w:val="none" w:sz="0" w:space="0" w:color="auto"/>
      </w:divBdr>
      <w:divsChild>
        <w:div w:id="1448739208">
          <w:marLeft w:val="0"/>
          <w:marRight w:val="0"/>
          <w:marTop w:val="0"/>
          <w:marBottom w:val="150"/>
          <w:divBdr>
            <w:top w:val="none" w:sz="0" w:space="0" w:color="auto"/>
            <w:left w:val="none" w:sz="0" w:space="0" w:color="auto"/>
            <w:bottom w:val="none" w:sz="0" w:space="0" w:color="auto"/>
            <w:right w:val="none" w:sz="0" w:space="0" w:color="auto"/>
          </w:divBdr>
        </w:div>
      </w:divsChild>
    </w:div>
    <w:div w:id="1100562038">
      <w:bodyDiv w:val="1"/>
      <w:marLeft w:val="0"/>
      <w:marRight w:val="0"/>
      <w:marTop w:val="0"/>
      <w:marBottom w:val="0"/>
      <w:divBdr>
        <w:top w:val="none" w:sz="0" w:space="0" w:color="auto"/>
        <w:left w:val="none" w:sz="0" w:space="0" w:color="auto"/>
        <w:bottom w:val="none" w:sz="0" w:space="0" w:color="auto"/>
        <w:right w:val="none" w:sz="0" w:space="0" w:color="auto"/>
      </w:divBdr>
    </w:div>
    <w:div w:id="1100680770">
      <w:bodyDiv w:val="1"/>
      <w:marLeft w:val="0"/>
      <w:marRight w:val="0"/>
      <w:marTop w:val="0"/>
      <w:marBottom w:val="0"/>
      <w:divBdr>
        <w:top w:val="none" w:sz="0" w:space="0" w:color="auto"/>
        <w:left w:val="none" w:sz="0" w:space="0" w:color="auto"/>
        <w:bottom w:val="none" w:sz="0" w:space="0" w:color="auto"/>
        <w:right w:val="none" w:sz="0" w:space="0" w:color="auto"/>
      </w:divBdr>
      <w:divsChild>
        <w:div w:id="2003969959">
          <w:marLeft w:val="0"/>
          <w:marRight w:val="0"/>
          <w:marTop w:val="0"/>
          <w:marBottom w:val="0"/>
          <w:divBdr>
            <w:top w:val="none" w:sz="0" w:space="0" w:color="auto"/>
            <w:left w:val="none" w:sz="0" w:space="0" w:color="auto"/>
            <w:bottom w:val="none" w:sz="0" w:space="0" w:color="auto"/>
            <w:right w:val="none" w:sz="0" w:space="0" w:color="auto"/>
          </w:divBdr>
          <w:divsChild>
            <w:div w:id="1054621733">
              <w:marLeft w:val="0"/>
              <w:marRight w:val="0"/>
              <w:marTop w:val="0"/>
              <w:marBottom w:val="0"/>
              <w:divBdr>
                <w:top w:val="none" w:sz="0" w:space="0" w:color="auto"/>
                <w:left w:val="none" w:sz="0" w:space="0" w:color="auto"/>
                <w:bottom w:val="none" w:sz="0" w:space="0" w:color="auto"/>
                <w:right w:val="none" w:sz="0" w:space="0" w:color="auto"/>
              </w:divBdr>
              <w:divsChild>
                <w:div w:id="963345912">
                  <w:marLeft w:val="0"/>
                  <w:marRight w:val="0"/>
                  <w:marTop w:val="0"/>
                  <w:marBottom w:val="0"/>
                  <w:divBdr>
                    <w:top w:val="none" w:sz="0" w:space="0" w:color="auto"/>
                    <w:left w:val="none" w:sz="0" w:space="0" w:color="auto"/>
                    <w:bottom w:val="none" w:sz="0" w:space="0" w:color="auto"/>
                    <w:right w:val="none" w:sz="0" w:space="0" w:color="auto"/>
                  </w:divBdr>
                  <w:divsChild>
                    <w:div w:id="675115611">
                      <w:marLeft w:val="0"/>
                      <w:marRight w:val="0"/>
                      <w:marTop w:val="0"/>
                      <w:marBottom w:val="0"/>
                      <w:divBdr>
                        <w:top w:val="none" w:sz="0" w:space="0" w:color="auto"/>
                        <w:left w:val="none" w:sz="0" w:space="0" w:color="auto"/>
                        <w:bottom w:val="none" w:sz="0" w:space="0" w:color="auto"/>
                        <w:right w:val="none" w:sz="0" w:space="0" w:color="auto"/>
                      </w:divBdr>
                      <w:divsChild>
                        <w:div w:id="1107459432">
                          <w:marLeft w:val="0"/>
                          <w:marRight w:val="0"/>
                          <w:marTop w:val="0"/>
                          <w:marBottom w:val="0"/>
                          <w:divBdr>
                            <w:top w:val="none" w:sz="0" w:space="0" w:color="auto"/>
                            <w:left w:val="none" w:sz="0" w:space="0" w:color="auto"/>
                            <w:bottom w:val="none" w:sz="0" w:space="0" w:color="auto"/>
                            <w:right w:val="none" w:sz="0" w:space="0" w:color="auto"/>
                          </w:divBdr>
                          <w:divsChild>
                            <w:div w:id="135556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880052">
      <w:bodyDiv w:val="1"/>
      <w:marLeft w:val="0"/>
      <w:marRight w:val="0"/>
      <w:marTop w:val="0"/>
      <w:marBottom w:val="0"/>
      <w:divBdr>
        <w:top w:val="none" w:sz="0" w:space="0" w:color="auto"/>
        <w:left w:val="none" w:sz="0" w:space="0" w:color="auto"/>
        <w:bottom w:val="none" w:sz="0" w:space="0" w:color="auto"/>
        <w:right w:val="none" w:sz="0" w:space="0" w:color="auto"/>
      </w:divBdr>
      <w:divsChild>
        <w:div w:id="1717658596">
          <w:marLeft w:val="0"/>
          <w:marRight w:val="0"/>
          <w:marTop w:val="0"/>
          <w:marBottom w:val="0"/>
          <w:divBdr>
            <w:top w:val="none" w:sz="0" w:space="0" w:color="auto"/>
            <w:left w:val="none" w:sz="0" w:space="0" w:color="auto"/>
            <w:bottom w:val="none" w:sz="0" w:space="0" w:color="auto"/>
            <w:right w:val="none" w:sz="0" w:space="0" w:color="auto"/>
          </w:divBdr>
          <w:divsChild>
            <w:div w:id="489559107">
              <w:marLeft w:val="0"/>
              <w:marRight w:val="0"/>
              <w:marTop w:val="0"/>
              <w:marBottom w:val="0"/>
              <w:divBdr>
                <w:top w:val="none" w:sz="0" w:space="0" w:color="auto"/>
                <w:left w:val="none" w:sz="0" w:space="0" w:color="auto"/>
                <w:bottom w:val="none" w:sz="0" w:space="0" w:color="auto"/>
                <w:right w:val="none" w:sz="0" w:space="0" w:color="auto"/>
              </w:divBdr>
              <w:divsChild>
                <w:div w:id="1722247603">
                  <w:marLeft w:val="0"/>
                  <w:marRight w:val="0"/>
                  <w:marTop w:val="0"/>
                  <w:marBottom w:val="0"/>
                  <w:divBdr>
                    <w:top w:val="none" w:sz="0" w:space="0" w:color="auto"/>
                    <w:left w:val="none" w:sz="0" w:space="0" w:color="auto"/>
                    <w:bottom w:val="none" w:sz="0" w:space="0" w:color="auto"/>
                    <w:right w:val="none" w:sz="0" w:space="0" w:color="auto"/>
                  </w:divBdr>
                  <w:divsChild>
                    <w:div w:id="1089733461">
                      <w:marLeft w:val="0"/>
                      <w:marRight w:val="0"/>
                      <w:marTop w:val="0"/>
                      <w:marBottom w:val="0"/>
                      <w:divBdr>
                        <w:top w:val="none" w:sz="0" w:space="0" w:color="auto"/>
                        <w:left w:val="none" w:sz="0" w:space="0" w:color="auto"/>
                        <w:bottom w:val="none" w:sz="0" w:space="0" w:color="auto"/>
                        <w:right w:val="none" w:sz="0" w:space="0" w:color="auto"/>
                      </w:divBdr>
                      <w:divsChild>
                        <w:div w:id="1140072198">
                          <w:marLeft w:val="0"/>
                          <w:marRight w:val="0"/>
                          <w:marTop w:val="0"/>
                          <w:marBottom w:val="0"/>
                          <w:divBdr>
                            <w:top w:val="none" w:sz="0" w:space="0" w:color="auto"/>
                            <w:left w:val="none" w:sz="0" w:space="0" w:color="auto"/>
                            <w:bottom w:val="none" w:sz="0" w:space="0" w:color="auto"/>
                            <w:right w:val="none" w:sz="0" w:space="0" w:color="auto"/>
                          </w:divBdr>
                          <w:divsChild>
                            <w:div w:id="177474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1798863">
      <w:bodyDiv w:val="1"/>
      <w:marLeft w:val="0"/>
      <w:marRight w:val="0"/>
      <w:marTop w:val="0"/>
      <w:marBottom w:val="0"/>
      <w:divBdr>
        <w:top w:val="none" w:sz="0" w:space="0" w:color="auto"/>
        <w:left w:val="none" w:sz="0" w:space="0" w:color="auto"/>
        <w:bottom w:val="none" w:sz="0" w:space="0" w:color="auto"/>
        <w:right w:val="none" w:sz="0" w:space="0" w:color="auto"/>
      </w:divBdr>
      <w:divsChild>
        <w:div w:id="2009942513">
          <w:marLeft w:val="0"/>
          <w:marRight w:val="0"/>
          <w:marTop w:val="0"/>
          <w:marBottom w:val="0"/>
          <w:divBdr>
            <w:top w:val="none" w:sz="0" w:space="0" w:color="auto"/>
            <w:left w:val="none" w:sz="0" w:space="0" w:color="auto"/>
            <w:bottom w:val="none" w:sz="0" w:space="0" w:color="auto"/>
            <w:right w:val="none" w:sz="0" w:space="0" w:color="auto"/>
          </w:divBdr>
        </w:div>
      </w:divsChild>
    </w:div>
    <w:div w:id="1101872566">
      <w:bodyDiv w:val="1"/>
      <w:marLeft w:val="0"/>
      <w:marRight w:val="0"/>
      <w:marTop w:val="0"/>
      <w:marBottom w:val="0"/>
      <w:divBdr>
        <w:top w:val="none" w:sz="0" w:space="0" w:color="auto"/>
        <w:left w:val="none" w:sz="0" w:space="0" w:color="auto"/>
        <w:bottom w:val="none" w:sz="0" w:space="0" w:color="auto"/>
        <w:right w:val="none" w:sz="0" w:space="0" w:color="auto"/>
      </w:divBdr>
      <w:divsChild>
        <w:div w:id="2047900696">
          <w:marLeft w:val="0"/>
          <w:marRight w:val="0"/>
          <w:marTop w:val="0"/>
          <w:marBottom w:val="0"/>
          <w:divBdr>
            <w:top w:val="none" w:sz="0" w:space="0" w:color="auto"/>
            <w:left w:val="none" w:sz="0" w:space="0" w:color="auto"/>
            <w:bottom w:val="none" w:sz="0" w:space="0" w:color="auto"/>
            <w:right w:val="none" w:sz="0" w:space="0" w:color="auto"/>
          </w:divBdr>
          <w:divsChild>
            <w:div w:id="753285631">
              <w:marLeft w:val="0"/>
              <w:marRight w:val="0"/>
              <w:marTop w:val="0"/>
              <w:marBottom w:val="0"/>
              <w:divBdr>
                <w:top w:val="none" w:sz="0" w:space="0" w:color="auto"/>
                <w:left w:val="none" w:sz="0" w:space="0" w:color="auto"/>
                <w:bottom w:val="none" w:sz="0" w:space="0" w:color="auto"/>
                <w:right w:val="none" w:sz="0" w:space="0" w:color="auto"/>
              </w:divBdr>
              <w:divsChild>
                <w:div w:id="634335960">
                  <w:marLeft w:val="0"/>
                  <w:marRight w:val="0"/>
                  <w:marTop w:val="0"/>
                  <w:marBottom w:val="0"/>
                  <w:divBdr>
                    <w:top w:val="none" w:sz="0" w:space="0" w:color="auto"/>
                    <w:left w:val="none" w:sz="0" w:space="0" w:color="auto"/>
                    <w:bottom w:val="none" w:sz="0" w:space="0" w:color="auto"/>
                    <w:right w:val="none" w:sz="0" w:space="0" w:color="auto"/>
                  </w:divBdr>
                  <w:divsChild>
                    <w:div w:id="557396880">
                      <w:marLeft w:val="0"/>
                      <w:marRight w:val="0"/>
                      <w:marTop w:val="0"/>
                      <w:marBottom w:val="0"/>
                      <w:divBdr>
                        <w:top w:val="none" w:sz="0" w:space="0" w:color="auto"/>
                        <w:left w:val="none" w:sz="0" w:space="0" w:color="auto"/>
                        <w:bottom w:val="none" w:sz="0" w:space="0" w:color="auto"/>
                        <w:right w:val="none" w:sz="0" w:space="0" w:color="auto"/>
                      </w:divBdr>
                      <w:divsChild>
                        <w:div w:id="617957842">
                          <w:marLeft w:val="0"/>
                          <w:marRight w:val="0"/>
                          <w:marTop w:val="0"/>
                          <w:marBottom w:val="0"/>
                          <w:divBdr>
                            <w:top w:val="none" w:sz="0" w:space="0" w:color="auto"/>
                            <w:left w:val="none" w:sz="0" w:space="0" w:color="auto"/>
                            <w:bottom w:val="none" w:sz="0" w:space="0" w:color="auto"/>
                            <w:right w:val="none" w:sz="0" w:space="0" w:color="auto"/>
                          </w:divBdr>
                          <w:divsChild>
                            <w:div w:id="1344892389">
                              <w:marLeft w:val="0"/>
                              <w:marRight w:val="0"/>
                              <w:marTop w:val="0"/>
                              <w:marBottom w:val="0"/>
                              <w:divBdr>
                                <w:top w:val="none" w:sz="0" w:space="0" w:color="auto"/>
                                <w:left w:val="none" w:sz="0" w:space="0" w:color="auto"/>
                                <w:bottom w:val="none" w:sz="0" w:space="0" w:color="auto"/>
                                <w:right w:val="none" w:sz="0" w:space="0" w:color="auto"/>
                              </w:divBdr>
                              <w:divsChild>
                                <w:div w:id="192962695">
                                  <w:marLeft w:val="0"/>
                                  <w:marRight w:val="0"/>
                                  <w:marTop w:val="0"/>
                                  <w:marBottom w:val="0"/>
                                  <w:divBdr>
                                    <w:top w:val="none" w:sz="0" w:space="0" w:color="auto"/>
                                    <w:left w:val="none" w:sz="0" w:space="0" w:color="auto"/>
                                    <w:bottom w:val="none" w:sz="0" w:space="0" w:color="auto"/>
                                    <w:right w:val="none" w:sz="0" w:space="0" w:color="auto"/>
                                  </w:divBdr>
                                  <w:divsChild>
                                    <w:div w:id="47560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2260918">
      <w:bodyDiv w:val="1"/>
      <w:marLeft w:val="0"/>
      <w:marRight w:val="0"/>
      <w:marTop w:val="0"/>
      <w:marBottom w:val="0"/>
      <w:divBdr>
        <w:top w:val="none" w:sz="0" w:space="0" w:color="auto"/>
        <w:left w:val="none" w:sz="0" w:space="0" w:color="auto"/>
        <w:bottom w:val="none" w:sz="0" w:space="0" w:color="auto"/>
        <w:right w:val="none" w:sz="0" w:space="0" w:color="auto"/>
      </w:divBdr>
      <w:divsChild>
        <w:div w:id="140847732">
          <w:marLeft w:val="0"/>
          <w:marRight w:val="0"/>
          <w:marTop w:val="0"/>
          <w:marBottom w:val="150"/>
          <w:divBdr>
            <w:top w:val="none" w:sz="0" w:space="0" w:color="auto"/>
            <w:left w:val="none" w:sz="0" w:space="0" w:color="auto"/>
            <w:bottom w:val="none" w:sz="0" w:space="0" w:color="auto"/>
            <w:right w:val="none" w:sz="0" w:space="0" w:color="auto"/>
          </w:divBdr>
        </w:div>
      </w:divsChild>
    </w:div>
    <w:div w:id="1102797525">
      <w:bodyDiv w:val="1"/>
      <w:marLeft w:val="0"/>
      <w:marRight w:val="0"/>
      <w:marTop w:val="0"/>
      <w:marBottom w:val="0"/>
      <w:divBdr>
        <w:top w:val="none" w:sz="0" w:space="0" w:color="auto"/>
        <w:left w:val="none" w:sz="0" w:space="0" w:color="auto"/>
        <w:bottom w:val="none" w:sz="0" w:space="0" w:color="auto"/>
        <w:right w:val="none" w:sz="0" w:space="0" w:color="auto"/>
      </w:divBdr>
      <w:divsChild>
        <w:div w:id="18556049">
          <w:marLeft w:val="0"/>
          <w:marRight w:val="0"/>
          <w:marTop w:val="0"/>
          <w:marBottom w:val="0"/>
          <w:divBdr>
            <w:top w:val="none" w:sz="0" w:space="0" w:color="auto"/>
            <w:left w:val="none" w:sz="0" w:space="0" w:color="auto"/>
            <w:bottom w:val="none" w:sz="0" w:space="0" w:color="auto"/>
            <w:right w:val="none" w:sz="0" w:space="0" w:color="auto"/>
          </w:divBdr>
          <w:divsChild>
            <w:div w:id="1796950128">
              <w:marLeft w:val="0"/>
              <w:marRight w:val="0"/>
              <w:marTop w:val="0"/>
              <w:marBottom w:val="0"/>
              <w:divBdr>
                <w:top w:val="none" w:sz="0" w:space="0" w:color="auto"/>
                <w:left w:val="none" w:sz="0" w:space="0" w:color="auto"/>
                <w:bottom w:val="none" w:sz="0" w:space="0" w:color="auto"/>
                <w:right w:val="none" w:sz="0" w:space="0" w:color="auto"/>
              </w:divBdr>
              <w:divsChild>
                <w:div w:id="181667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428919">
          <w:marLeft w:val="0"/>
          <w:marRight w:val="0"/>
          <w:marTop w:val="0"/>
          <w:marBottom w:val="75"/>
          <w:divBdr>
            <w:top w:val="none" w:sz="0" w:space="0" w:color="auto"/>
            <w:left w:val="none" w:sz="0" w:space="0" w:color="auto"/>
            <w:bottom w:val="none" w:sz="0" w:space="0" w:color="auto"/>
            <w:right w:val="none" w:sz="0" w:space="0" w:color="auto"/>
          </w:divBdr>
        </w:div>
      </w:divsChild>
    </w:div>
    <w:div w:id="1103722462">
      <w:bodyDiv w:val="1"/>
      <w:marLeft w:val="0"/>
      <w:marRight w:val="0"/>
      <w:marTop w:val="0"/>
      <w:marBottom w:val="0"/>
      <w:divBdr>
        <w:top w:val="none" w:sz="0" w:space="0" w:color="auto"/>
        <w:left w:val="none" w:sz="0" w:space="0" w:color="auto"/>
        <w:bottom w:val="none" w:sz="0" w:space="0" w:color="auto"/>
        <w:right w:val="none" w:sz="0" w:space="0" w:color="auto"/>
      </w:divBdr>
      <w:divsChild>
        <w:div w:id="138304046">
          <w:marLeft w:val="0"/>
          <w:marRight w:val="0"/>
          <w:marTop w:val="0"/>
          <w:marBottom w:val="0"/>
          <w:divBdr>
            <w:top w:val="none" w:sz="0" w:space="0" w:color="auto"/>
            <w:left w:val="none" w:sz="0" w:space="0" w:color="auto"/>
            <w:bottom w:val="dotted" w:sz="6" w:space="4" w:color="DDDDDD"/>
            <w:right w:val="none" w:sz="0" w:space="0" w:color="auto"/>
          </w:divBdr>
          <w:divsChild>
            <w:div w:id="154909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888696">
      <w:bodyDiv w:val="1"/>
      <w:marLeft w:val="0"/>
      <w:marRight w:val="0"/>
      <w:marTop w:val="0"/>
      <w:marBottom w:val="0"/>
      <w:divBdr>
        <w:top w:val="none" w:sz="0" w:space="0" w:color="auto"/>
        <w:left w:val="none" w:sz="0" w:space="0" w:color="auto"/>
        <w:bottom w:val="none" w:sz="0" w:space="0" w:color="auto"/>
        <w:right w:val="none" w:sz="0" w:space="0" w:color="auto"/>
      </w:divBdr>
      <w:divsChild>
        <w:div w:id="1671369898">
          <w:marLeft w:val="0"/>
          <w:marRight w:val="0"/>
          <w:marTop w:val="0"/>
          <w:marBottom w:val="0"/>
          <w:divBdr>
            <w:top w:val="none" w:sz="0" w:space="0" w:color="auto"/>
            <w:left w:val="none" w:sz="0" w:space="0" w:color="auto"/>
            <w:bottom w:val="dotted" w:sz="6" w:space="4" w:color="DDDDDD"/>
            <w:right w:val="none" w:sz="0" w:space="0" w:color="auto"/>
          </w:divBdr>
          <w:divsChild>
            <w:div w:id="62222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917604">
      <w:bodyDiv w:val="1"/>
      <w:marLeft w:val="0"/>
      <w:marRight w:val="0"/>
      <w:marTop w:val="0"/>
      <w:marBottom w:val="0"/>
      <w:divBdr>
        <w:top w:val="none" w:sz="0" w:space="0" w:color="auto"/>
        <w:left w:val="none" w:sz="0" w:space="0" w:color="auto"/>
        <w:bottom w:val="none" w:sz="0" w:space="0" w:color="auto"/>
        <w:right w:val="none" w:sz="0" w:space="0" w:color="auto"/>
      </w:divBdr>
      <w:divsChild>
        <w:div w:id="647636022">
          <w:marLeft w:val="0"/>
          <w:marRight w:val="0"/>
          <w:marTop w:val="0"/>
          <w:marBottom w:val="225"/>
          <w:divBdr>
            <w:top w:val="none" w:sz="0" w:space="0" w:color="auto"/>
            <w:left w:val="none" w:sz="0" w:space="0" w:color="auto"/>
            <w:bottom w:val="none" w:sz="0" w:space="0" w:color="auto"/>
            <w:right w:val="none" w:sz="0" w:space="0" w:color="auto"/>
          </w:divBdr>
        </w:div>
        <w:div w:id="75438350">
          <w:marLeft w:val="0"/>
          <w:marRight w:val="0"/>
          <w:marTop w:val="0"/>
          <w:marBottom w:val="225"/>
          <w:divBdr>
            <w:top w:val="none" w:sz="0" w:space="0" w:color="auto"/>
            <w:left w:val="none" w:sz="0" w:space="0" w:color="auto"/>
            <w:bottom w:val="none" w:sz="0" w:space="0" w:color="auto"/>
            <w:right w:val="none" w:sz="0" w:space="0" w:color="auto"/>
          </w:divBdr>
          <w:divsChild>
            <w:div w:id="122966335">
              <w:marLeft w:val="0"/>
              <w:marRight w:val="0"/>
              <w:marTop w:val="0"/>
              <w:marBottom w:val="0"/>
              <w:divBdr>
                <w:top w:val="none" w:sz="0" w:space="0" w:color="auto"/>
                <w:left w:val="none" w:sz="0" w:space="0" w:color="auto"/>
                <w:bottom w:val="none" w:sz="0" w:space="0" w:color="auto"/>
                <w:right w:val="none" w:sz="0" w:space="0" w:color="auto"/>
              </w:divBdr>
              <w:divsChild>
                <w:div w:id="44126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962986">
      <w:bodyDiv w:val="1"/>
      <w:marLeft w:val="0"/>
      <w:marRight w:val="0"/>
      <w:marTop w:val="0"/>
      <w:marBottom w:val="0"/>
      <w:divBdr>
        <w:top w:val="none" w:sz="0" w:space="0" w:color="auto"/>
        <w:left w:val="none" w:sz="0" w:space="0" w:color="auto"/>
        <w:bottom w:val="none" w:sz="0" w:space="0" w:color="auto"/>
        <w:right w:val="none" w:sz="0" w:space="0" w:color="auto"/>
      </w:divBdr>
      <w:divsChild>
        <w:div w:id="1028916082">
          <w:marLeft w:val="0"/>
          <w:marRight w:val="0"/>
          <w:marTop w:val="0"/>
          <w:marBottom w:val="0"/>
          <w:divBdr>
            <w:top w:val="none" w:sz="0" w:space="0" w:color="auto"/>
            <w:left w:val="none" w:sz="0" w:space="0" w:color="auto"/>
            <w:bottom w:val="dotted" w:sz="6" w:space="4" w:color="DDDDDD"/>
            <w:right w:val="none" w:sz="0" w:space="0" w:color="auto"/>
          </w:divBdr>
          <w:divsChild>
            <w:div w:id="39809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225836">
      <w:bodyDiv w:val="1"/>
      <w:marLeft w:val="0"/>
      <w:marRight w:val="0"/>
      <w:marTop w:val="0"/>
      <w:marBottom w:val="0"/>
      <w:divBdr>
        <w:top w:val="none" w:sz="0" w:space="0" w:color="auto"/>
        <w:left w:val="none" w:sz="0" w:space="0" w:color="auto"/>
        <w:bottom w:val="none" w:sz="0" w:space="0" w:color="auto"/>
        <w:right w:val="none" w:sz="0" w:space="0" w:color="auto"/>
      </w:divBdr>
    </w:div>
    <w:div w:id="1105341348">
      <w:bodyDiv w:val="1"/>
      <w:marLeft w:val="0"/>
      <w:marRight w:val="0"/>
      <w:marTop w:val="0"/>
      <w:marBottom w:val="0"/>
      <w:divBdr>
        <w:top w:val="none" w:sz="0" w:space="0" w:color="auto"/>
        <w:left w:val="none" w:sz="0" w:space="0" w:color="auto"/>
        <w:bottom w:val="none" w:sz="0" w:space="0" w:color="auto"/>
        <w:right w:val="none" w:sz="0" w:space="0" w:color="auto"/>
      </w:divBdr>
    </w:div>
    <w:div w:id="1105344255">
      <w:bodyDiv w:val="1"/>
      <w:marLeft w:val="0"/>
      <w:marRight w:val="0"/>
      <w:marTop w:val="0"/>
      <w:marBottom w:val="0"/>
      <w:divBdr>
        <w:top w:val="none" w:sz="0" w:space="0" w:color="auto"/>
        <w:left w:val="none" w:sz="0" w:space="0" w:color="auto"/>
        <w:bottom w:val="none" w:sz="0" w:space="0" w:color="auto"/>
        <w:right w:val="none" w:sz="0" w:space="0" w:color="auto"/>
      </w:divBdr>
    </w:div>
    <w:div w:id="1105535266">
      <w:bodyDiv w:val="1"/>
      <w:marLeft w:val="0"/>
      <w:marRight w:val="0"/>
      <w:marTop w:val="0"/>
      <w:marBottom w:val="0"/>
      <w:divBdr>
        <w:top w:val="none" w:sz="0" w:space="0" w:color="auto"/>
        <w:left w:val="none" w:sz="0" w:space="0" w:color="auto"/>
        <w:bottom w:val="none" w:sz="0" w:space="0" w:color="auto"/>
        <w:right w:val="none" w:sz="0" w:space="0" w:color="auto"/>
      </w:divBdr>
      <w:divsChild>
        <w:div w:id="1622684210">
          <w:marLeft w:val="0"/>
          <w:marRight w:val="0"/>
          <w:marTop w:val="0"/>
          <w:marBottom w:val="0"/>
          <w:divBdr>
            <w:top w:val="none" w:sz="0" w:space="0" w:color="auto"/>
            <w:left w:val="none" w:sz="0" w:space="0" w:color="auto"/>
            <w:bottom w:val="none" w:sz="0" w:space="0" w:color="auto"/>
            <w:right w:val="none" w:sz="0" w:space="0" w:color="auto"/>
          </w:divBdr>
          <w:divsChild>
            <w:div w:id="1695423879">
              <w:marLeft w:val="0"/>
              <w:marRight w:val="0"/>
              <w:marTop w:val="0"/>
              <w:marBottom w:val="0"/>
              <w:divBdr>
                <w:top w:val="none" w:sz="0" w:space="0" w:color="auto"/>
                <w:left w:val="none" w:sz="0" w:space="0" w:color="auto"/>
                <w:bottom w:val="none" w:sz="0" w:space="0" w:color="auto"/>
                <w:right w:val="none" w:sz="0" w:space="0" w:color="auto"/>
              </w:divBdr>
              <w:divsChild>
                <w:div w:id="1866019789">
                  <w:marLeft w:val="0"/>
                  <w:marRight w:val="0"/>
                  <w:marTop w:val="0"/>
                  <w:marBottom w:val="0"/>
                  <w:divBdr>
                    <w:top w:val="none" w:sz="0" w:space="0" w:color="auto"/>
                    <w:left w:val="none" w:sz="0" w:space="0" w:color="auto"/>
                    <w:bottom w:val="none" w:sz="0" w:space="0" w:color="auto"/>
                    <w:right w:val="none" w:sz="0" w:space="0" w:color="auto"/>
                  </w:divBdr>
                  <w:divsChild>
                    <w:div w:id="312418699">
                      <w:marLeft w:val="0"/>
                      <w:marRight w:val="0"/>
                      <w:marTop w:val="0"/>
                      <w:marBottom w:val="0"/>
                      <w:divBdr>
                        <w:top w:val="none" w:sz="0" w:space="0" w:color="auto"/>
                        <w:left w:val="none" w:sz="0" w:space="0" w:color="auto"/>
                        <w:bottom w:val="none" w:sz="0" w:space="0" w:color="auto"/>
                        <w:right w:val="none" w:sz="0" w:space="0" w:color="auto"/>
                      </w:divBdr>
                      <w:divsChild>
                        <w:div w:id="630210832">
                          <w:marLeft w:val="0"/>
                          <w:marRight w:val="0"/>
                          <w:marTop w:val="0"/>
                          <w:marBottom w:val="0"/>
                          <w:divBdr>
                            <w:top w:val="none" w:sz="0" w:space="0" w:color="auto"/>
                            <w:left w:val="none" w:sz="0" w:space="0" w:color="auto"/>
                            <w:bottom w:val="none" w:sz="0" w:space="0" w:color="auto"/>
                            <w:right w:val="none" w:sz="0" w:space="0" w:color="auto"/>
                          </w:divBdr>
                          <w:divsChild>
                            <w:div w:id="1394157188">
                              <w:marLeft w:val="0"/>
                              <w:marRight w:val="0"/>
                              <w:marTop w:val="0"/>
                              <w:marBottom w:val="0"/>
                              <w:divBdr>
                                <w:top w:val="none" w:sz="0" w:space="0" w:color="auto"/>
                                <w:left w:val="none" w:sz="0" w:space="0" w:color="auto"/>
                                <w:bottom w:val="none" w:sz="0" w:space="0" w:color="auto"/>
                                <w:right w:val="none" w:sz="0" w:space="0" w:color="auto"/>
                              </w:divBdr>
                              <w:divsChild>
                                <w:div w:id="1657958510">
                                  <w:marLeft w:val="0"/>
                                  <w:marRight w:val="0"/>
                                  <w:marTop w:val="0"/>
                                  <w:marBottom w:val="0"/>
                                  <w:divBdr>
                                    <w:top w:val="none" w:sz="0" w:space="0" w:color="auto"/>
                                    <w:left w:val="none" w:sz="0" w:space="0" w:color="auto"/>
                                    <w:bottom w:val="none" w:sz="0" w:space="0" w:color="auto"/>
                                    <w:right w:val="none" w:sz="0" w:space="0" w:color="auto"/>
                                  </w:divBdr>
                                  <w:divsChild>
                                    <w:div w:id="53239403">
                                      <w:marLeft w:val="0"/>
                                      <w:marRight w:val="0"/>
                                      <w:marTop w:val="0"/>
                                      <w:marBottom w:val="0"/>
                                      <w:divBdr>
                                        <w:top w:val="none" w:sz="0" w:space="0" w:color="auto"/>
                                        <w:left w:val="none" w:sz="0" w:space="0" w:color="auto"/>
                                        <w:bottom w:val="none" w:sz="0" w:space="0" w:color="auto"/>
                                        <w:right w:val="none" w:sz="0" w:space="0" w:color="auto"/>
                                      </w:divBdr>
                                      <w:divsChild>
                                        <w:div w:id="81752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5660156">
      <w:bodyDiv w:val="1"/>
      <w:marLeft w:val="0"/>
      <w:marRight w:val="0"/>
      <w:marTop w:val="0"/>
      <w:marBottom w:val="0"/>
      <w:divBdr>
        <w:top w:val="none" w:sz="0" w:space="0" w:color="auto"/>
        <w:left w:val="none" w:sz="0" w:space="0" w:color="auto"/>
        <w:bottom w:val="none" w:sz="0" w:space="0" w:color="auto"/>
        <w:right w:val="none" w:sz="0" w:space="0" w:color="auto"/>
      </w:divBdr>
      <w:divsChild>
        <w:div w:id="1787700155">
          <w:marLeft w:val="0"/>
          <w:marRight w:val="0"/>
          <w:marTop w:val="0"/>
          <w:marBottom w:val="0"/>
          <w:divBdr>
            <w:top w:val="none" w:sz="0" w:space="0" w:color="auto"/>
            <w:left w:val="none" w:sz="0" w:space="0" w:color="auto"/>
            <w:bottom w:val="none" w:sz="0" w:space="0" w:color="auto"/>
            <w:right w:val="none" w:sz="0" w:space="0" w:color="auto"/>
          </w:divBdr>
          <w:divsChild>
            <w:div w:id="640353877">
              <w:marLeft w:val="0"/>
              <w:marRight w:val="0"/>
              <w:marTop w:val="0"/>
              <w:marBottom w:val="0"/>
              <w:divBdr>
                <w:top w:val="none" w:sz="0" w:space="0" w:color="auto"/>
                <w:left w:val="none" w:sz="0" w:space="0" w:color="auto"/>
                <w:bottom w:val="none" w:sz="0" w:space="0" w:color="auto"/>
                <w:right w:val="none" w:sz="0" w:space="0" w:color="auto"/>
              </w:divBdr>
              <w:divsChild>
                <w:div w:id="817109628">
                  <w:marLeft w:val="0"/>
                  <w:marRight w:val="0"/>
                  <w:marTop w:val="0"/>
                  <w:marBottom w:val="0"/>
                  <w:divBdr>
                    <w:top w:val="none" w:sz="0" w:space="0" w:color="auto"/>
                    <w:left w:val="none" w:sz="0" w:space="0" w:color="auto"/>
                    <w:bottom w:val="none" w:sz="0" w:space="0" w:color="auto"/>
                    <w:right w:val="none" w:sz="0" w:space="0" w:color="auto"/>
                  </w:divBdr>
                  <w:divsChild>
                    <w:div w:id="729116574">
                      <w:marLeft w:val="0"/>
                      <w:marRight w:val="0"/>
                      <w:marTop w:val="0"/>
                      <w:marBottom w:val="0"/>
                      <w:divBdr>
                        <w:top w:val="none" w:sz="0" w:space="0" w:color="auto"/>
                        <w:left w:val="none" w:sz="0" w:space="0" w:color="auto"/>
                        <w:bottom w:val="none" w:sz="0" w:space="0" w:color="auto"/>
                        <w:right w:val="none" w:sz="0" w:space="0" w:color="auto"/>
                      </w:divBdr>
                      <w:divsChild>
                        <w:div w:id="567805496">
                          <w:marLeft w:val="0"/>
                          <w:marRight w:val="0"/>
                          <w:marTop w:val="0"/>
                          <w:marBottom w:val="0"/>
                          <w:divBdr>
                            <w:top w:val="none" w:sz="0" w:space="0" w:color="auto"/>
                            <w:left w:val="none" w:sz="0" w:space="0" w:color="auto"/>
                            <w:bottom w:val="none" w:sz="0" w:space="0" w:color="auto"/>
                            <w:right w:val="none" w:sz="0" w:space="0" w:color="auto"/>
                          </w:divBdr>
                          <w:divsChild>
                            <w:div w:id="430054626">
                              <w:marLeft w:val="0"/>
                              <w:marRight w:val="0"/>
                              <w:marTop w:val="0"/>
                              <w:marBottom w:val="0"/>
                              <w:divBdr>
                                <w:top w:val="none" w:sz="0" w:space="0" w:color="auto"/>
                                <w:left w:val="none" w:sz="0" w:space="0" w:color="auto"/>
                                <w:bottom w:val="none" w:sz="0" w:space="0" w:color="auto"/>
                                <w:right w:val="none" w:sz="0" w:space="0" w:color="auto"/>
                              </w:divBdr>
                              <w:divsChild>
                                <w:div w:id="154808878">
                                  <w:marLeft w:val="0"/>
                                  <w:marRight w:val="0"/>
                                  <w:marTop w:val="0"/>
                                  <w:marBottom w:val="0"/>
                                  <w:divBdr>
                                    <w:top w:val="none" w:sz="0" w:space="0" w:color="auto"/>
                                    <w:left w:val="none" w:sz="0" w:space="0" w:color="auto"/>
                                    <w:bottom w:val="none" w:sz="0" w:space="0" w:color="auto"/>
                                    <w:right w:val="none" w:sz="0" w:space="0" w:color="auto"/>
                                  </w:divBdr>
                                  <w:divsChild>
                                    <w:div w:id="147502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5927777">
      <w:bodyDiv w:val="1"/>
      <w:marLeft w:val="0"/>
      <w:marRight w:val="0"/>
      <w:marTop w:val="0"/>
      <w:marBottom w:val="0"/>
      <w:divBdr>
        <w:top w:val="none" w:sz="0" w:space="0" w:color="auto"/>
        <w:left w:val="none" w:sz="0" w:space="0" w:color="auto"/>
        <w:bottom w:val="none" w:sz="0" w:space="0" w:color="auto"/>
        <w:right w:val="none" w:sz="0" w:space="0" w:color="auto"/>
      </w:divBdr>
      <w:divsChild>
        <w:div w:id="1908420952">
          <w:marLeft w:val="0"/>
          <w:marRight w:val="0"/>
          <w:marTop w:val="0"/>
          <w:marBottom w:val="150"/>
          <w:divBdr>
            <w:top w:val="none" w:sz="0" w:space="0" w:color="auto"/>
            <w:left w:val="none" w:sz="0" w:space="0" w:color="auto"/>
            <w:bottom w:val="none" w:sz="0" w:space="0" w:color="auto"/>
            <w:right w:val="none" w:sz="0" w:space="0" w:color="auto"/>
          </w:divBdr>
          <w:divsChild>
            <w:div w:id="356351785">
              <w:marLeft w:val="0"/>
              <w:marRight w:val="0"/>
              <w:marTop w:val="0"/>
              <w:marBottom w:val="0"/>
              <w:divBdr>
                <w:top w:val="none" w:sz="0" w:space="0" w:color="auto"/>
                <w:left w:val="none" w:sz="0" w:space="0" w:color="auto"/>
                <w:bottom w:val="none" w:sz="0" w:space="0" w:color="auto"/>
                <w:right w:val="none" w:sz="0" w:space="0" w:color="auto"/>
              </w:divBdr>
              <w:divsChild>
                <w:div w:id="12096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487849">
          <w:marLeft w:val="0"/>
          <w:marRight w:val="0"/>
          <w:marTop w:val="0"/>
          <w:marBottom w:val="150"/>
          <w:divBdr>
            <w:top w:val="none" w:sz="0" w:space="0" w:color="auto"/>
            <w:left w:val="none" w:sz="0" w:space="0" w:color="auto"/>
            <w:bottom w:val="none" w:sz="0" w:space="0" w:color="auto"/>
            <w:right w:val="none" w:sz="0" w:space="0" w:color="auto"/>
          </w:divBdr>
        </w:div>
        <w:div w:id="1796946476">
          <w:marLeft w:val="0"/>
          <w:marRight w:val="0"/>
          <w:marTop w:val="0"/>
          <w:marBottom w:val="0"/>
          <w:divBdr>
            <w:top w:val="none" w:sz="0" w:space="0" w:color="auto"/>
            <w:left w:val="none" w:sz="0" w:space="0" w:color="auto"/>
            <w:bottom w:val="none" w:sz="0" w:space="0" w:color="auto"/>
            <w:right w:val="none" w:sz="0" w:space="0" w:color="auto"/>
          </w:divBdr>
          <w:divsChild>
            <w:div w:id="33522778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06118534">
      <w:bodyDiv w:val="1"/>
      <w:marLeft w:val="0"/>
      <w:marRight w:val="0"/>
      <w:marTop w:val="0"/>
      <w:marBottom w:val="0"/>
      <w:divBdr>
        <w:top w:val="none" w:sz="0" w:space="0" w:color="auto"/>
        <w:left w:val="none" w:sz="0" w:space="0" w:color="auto"/>
        <w:bottom w:val="none" w:sz="0" w:space="0" w:color="auto"/>
        <w:right w:val="none" w:sz="0" w:space="0" w:color="auto"/>
      </w:divBdr>
      <w:divsChild>
        <w:div w:id="856388795">
          <w:marLeft w:val="0"/>
          <w:marRight w:val="0"/>
          <w:marTop w:val="0"/>
          <w:marBottom w:val="0"/>
          <w:divBdr>
            <w:top w:val="none" w:sz="0" w:space="0" w:color="auto"/>
            <w:left w:val="none" w:sz="0" w:space="0" w:color="auto"/>
            <w:bottom w:val="none" w:sz="0" w:space="0" w:color="auto"/>
            <w:right w:val="none" w:sz="0" w:space="0" w:color="auto"/>
          </w:divBdr>
          <w:divsChild>
            <w:div w:id="1534417181">
              <w:marLeft w:val="0"/>
              <w:marRight w:val="0"/>
              <w:marTop w:val="0"/>
              <w:marBottom w:val="150"/>
              <w:divBdr>
                <w:top w:val="none" w:sz="0" w:space="0" w:color="auto"/>
                <w:left w:val="none" w:sz="0" w:space="0" w:color="auto"/>
                <w:bottom w:val="none" w:sz="0" w:space="0" w:color="auto"/>
                <w:right w:val="none" w:sz="0" w:space="0" w:color="auto"/>
              </w:divBdr>
            </w:div>
            <w:div w:id="201136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122157">
      <w:bodyDiv w:val="1"/>
      <w:marLeft w:val="0"/>
      <w:marRight w:val="0"/>
      <w:marTop w:val="0"/>
      <w:marBottom w:val="0"/>
      <w:divBdr>
        <w:top w:val="none" w:sz="0" w:space="0" w:color="auto"/>
        <w:left w:val="none" w:sz="0" w:space="0" w:color="auto"/>
        <w:bottom w:val="none" w:sz="0" w:space="0" w:color="auto"/>
        <w:right w:val="none" w:sz="0" w:space="0" w:color="auto"/>
      </w:divBdr>
    </w:div>
    <w:div w:id="1106390414">
      <w:bodyDiv w:val="1"/>
      <w:marLeft w:val="0"/>
      <w:marRight w:val="0"/>
      <w:marTop w:val="0"/>
      <w:marBottom w:val="0"/>
      <w:divBdr>
        <w:top w:val="none" w:sz="0" w:space="0" w:color="auto"/>
        <w:left w:val="none" w:sz="0" w:space="0" w:color="auto"/>
        <w:bottom w:val="none" w:sz="0" w:space="0" w:color="auto"/>
        <w:right w:val="none" w:sz="0" w:space="0" w:color="auto"/>
      </w:divBdr>
      <w:divsChild>
        <w:div w:id="406611810">
          <w:marLeft w:val="0"/>
          <w:marRight w:val="0"/>
          <w:marTop w:val="0"/>
          <w:marBottom w:val="0"/>
          <w:divBdr>
            <w:top w:val="none" w:sz="0" w:space="0" w:color="auto"/>
            <w:left w:val="none" w:sz="0" w:space="0" w:color="auto"/>
            <w:bottom w:val="dotted" w:sz="6" w:space="4" w:color="DDDDDD"/>
            <w:right w:val="none" w:sz="0" w:space="0" w:color="auto"/>
          </w:divBdr>
          <w:divsChild>
            <w:div w:id="161647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576894">
      <w:bodyDiv w:val="1"/>
      <w:marLeft w:val="0"/>
      <w:marRight w:val="0"/>
      <w:marTop w:val="0"/>
      <w:marBottom w:val="0"/>
      <w:divBdr>
        <w:top w:val="none" w:sz="0" w:space="0" w:color="auto"/>
        <w:left w:val="none" w:sz="0" w:space="0" w:color="auto"/>
        <w:bottom w:val="none" w:sz="0" w:space="0" w:color="auto"/>
        <w:right w:val="none" w:sz="0" w:space="0" w:color="auto"/>
      </w:divBdr>
      <w:divsChild>
        <w:div w:id="14889942">
          <w:marLeft w:val="0"/>
          <w:marRight w:val="0"/>
          <w:marTop w:val="0"/>
          <w:marBottom w:val="0"/>
          <w:divBdr>
            <w:top w:val="none" w:sz="0" w:space="0" w:color="auto"/>
            <w:left w:val="none" w:sz="0" w:space="0" w:color="auto"/>
            <w:bottom w:val="none" w:sz="0" w:space="0" w:color="auto"/>
            <w:right w:val="none" w:sz="0" w:space="0" w:color="auto"/>
          </w:divBdr>
          <w:divsChild>
            <w:div w:id="1517960496">
              <w:marLeft w:val="0"/>
              <w:marRight w:val="0"/>
              <w:marTop w:val="0"/>
              <w:marBottom w:val="0"/>
              <w:divBdr>
                <w:top w:val="none" w:sz="0" w:space="0" w:color="auto"/>
                <w:left w:val="none" w:sz="0" w:space="0" w:color="auto"/>
                <w:bottom w:val="none" w:sz="0" w:space="0" w:color="auto"/>
                <w:right w:val="none" w:sz="0" w:space="0" w:color="auto"/>
              </w:divBdr>
              <w:divsChild>
                <w:div w:id="1487671870">
                  <w:marLeft w:val="0"/>
                  <w:marRight w:val="0"/>
                  <w:marTop w:val="0"/>
                  <w:marBottom w:val="0"/>
                  <w:divBdr>
                    <w:top w:val="none" w:sz="0" w:space="0" w:color="auto"/>
                    <w:left w:val="none" w:sz="0" w:space="0" w:color="auto"/>
                    <w:bottom w:val="none" w:sz="0" w:space="0" w:color="auto"/>
                    <w:right w:val="none" w:sz="0" w:space="0" w:color="auto"/>
                  </w:divBdr>
                  <w:divsChild>
                    <w:div w:id="1221792581">
                      <w:marLeft w:val="0"/>
                      <w:marRight w:val="0"/>
                      <w:marTop w:val="0"/>
                      <w:marBottom w:val="0"/>
                      <w:divBdr>
                        <w:top w:val="none" w:sz="0" w:space="0" w:color="auto"/>
                        <w:left w:val="none" w:sz="0" w:space="0" w:color="auto"/>
                        <w:bottom w:val="none" w:sz="0" w:space="0" w:color="auto"/>
                        <w:right w:val="none" w:sz="0" w:space="0" w:color="auto"/>
                      </w:divBdr>
                      <w:divsChild>
                        <w:div w:id="1830320081">
                          <w:marLeft w:val="0"/>
                          <w:marRight w:val="0"/>
                          <w:marTop w:val="0"/>
                          <w:marBottom w:val="0"/>
                          <w:divBdr>
                            <w:top w:val="none" w:sz="0" w:space="0" w:color="auto"/>
                            <w:left w:val="none" w:sz="0" w:space="0" w:color="auto"/>
                            <w:bottom w:val="none" w:sz="0" w:space="0" w:color="auto"/>
                            <w:right w:val="none" w:sz="0" w:space="0" w:color="auto"/>
                          </w:divBdr>
                          <w:divsChild>
                            <w:div w:id="1009332517">
                              <w:marLeft w:val="0"/>
                              <w:marRight w:val="0"/>
                              <w:marTop w:val="0"/>
                              <w:marBottom w:val="0"/>
                              <w:divBdr>
                                <w:top w:val="none" w:sz="0" w:space="0" w:color="auto"/>
                                <w:left w:val="none" w:sz="0" w:space="0" w:color="auto"/>
                                <w:bottom w:val="none" w:sz="0" w:space="0" w:color="auto"/>
                                <w:right w:val="none" w:sz="0" w:space="0" w:color="auto"/>
                              </w:divBdr>
                              <w:divsChild>
                                <w:div w:id="1551305787">
                                  <w:marLeft w:val="0"/>
                                  <w:marRight w:val="0"/>
                                  <w:marTop w:val="0"/>
                                  <w:marBottom w:val="0"/>
                                  <w:divBdr>
                                    <w:top w:val="none" w:sz="0" w:space="0" w:color="auto"/>
                                    <w:left w:val="none" w:sz="0" w:space="0" w:color="auto"/>
                                    <w:bottom w:val="none" w:sz="0" w:space="0" w:color="auto"/>
                                    <w:right w:val="none" w:sz="0" w:space="0" w:color="auto"/>
                                  </w:divBdr>
                                  <w:divsChild>
                                    <w:div w:id="41629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6582566">
      <w:bodyDiv w:val="1"/>
      <w:marLeft w:val="0"/>
      <w:marRight w:val="0"/>
      <w:marTop w:val="0"/>
      <w:marBottom w:val="0"/>
      <w:divBdr>
        <w:top w:val="none" w:sz="0" w:space="0" w:color="auto"/>
        <w:left w:val="none" w:sz="0" w:space="0" w:color="auto"/>
        <w:bottom w:val="none" w:sz="0" w:space="0" w:color="auto"/>
        <w:right w:val="none" w:sz="0" w:space="0" w:color="auto"/>
      </w:divBdr>
      <w:divsChild>
        <w:div w:id="669988279">
          <w:marLeft w:val="0"/>
          <w:marRight w:val="0"/>
          <w:marTop w:val="0"/>
          <w:marBottom w:val="0"/>
          <w:divBdr>
            <w:top w:val="none" w:sz="0" w:space="0" w:color="auto"/>
            <w:left w:val="none" w:sz="0" w:space="0" w:color="auto"/>
            <w:bottom w:val="none" w:sz="0" w:space="0" w:color="auto"/>
            <w:right w:val="none" w:sz="0" w:space="0" w:color="auto"/>
          </w:divBdr>
          <w:divsChild>
            <w:div w:id="17425570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06659317">
      <w:bodyDiv w:val="1"/>
      <w:marLeft w:val="0"/>
      <w:marRight w:val="0"/>
      <w:marTop w:val="0"/>
      <w:marBottom w:val="0"/>
      <w:divBdr>
        <w:top w:val="none" w:sz="0" w:space="0" w:color="auto"/>
        <w:left w:val="none" w:sz="0" w:space="0" w:color="auto"/>
        <w:bottom w:val="none" w:sz="0" w:space="0" w:color="auto"/>
        <w:right w:val="none" w:sz="0" w:space="0" w:color="auto"/>
      </w:divBdr>
      <w:divsChild>
        <w:div w:id="2136825337">
          <w:marLeft w:val="0"/>
          <w:marRight w:val="0"/>
          <w:marTop w:val="0"/>
          <w:marBottom w:val="0"/>
          <w:divBdr>
            <w:top w:val="none" w:sz="0" w:space="0" w:color="auto"/>
            <w:left w:val="none" w:sz="0" w:space="0" w:color="auto"/>
            <w:bottom w:val="none" w:sz="0" w:space="0" w:color="auto"/>
            <w:right w:val="none" w:sz="0" w:space="0" w:color="auto"/>
          </w:divBdr>
          <w:divsChild>
            <w:div w:id="31465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22967">
      <w:bodyDiv w:val="1"/>
      <w:marLeft w:val="0"/>
      <w:marRight w:val="0"/>
      <w:marTop w:val="0"/>
      <w:marBottom w:val="0"/>
      <w:divBdr>
        <w:top w:val="none" w:sz="0" w:space="0" w:color="auto"/>
        <w:left w:val="none" w:sz="0" w:space="0" w:color="auto"/>
        <w:bottom w:val="none" w:sz="0" w:space="0" w:color="auto"/>
        <w:right w:val="none" w:sz="0" w:space="0" w:color="auto"/>
      </w:divBdr>
      <w:divsChild>
        <w:div w:id="2084182676">
          <w:marLeft w:val="0"/>
          <w:marRight w:val="0"/>
          <w:marTop w:val="0"/>
          <w:marBottom w:val="0"/>
          <w:divBdr>
            <w:top w:val="none" w:sz="0" w:space="0" w:color="auto"/>
            <w:left w:val="none" w:sz="0" w:space="0" w:color="auto"/>
            <w:bottom w:val="dotted" w:sz="6" w:space="4" w:color="DDDDDD"/>
            <w:right w:val="none" w:sz="0" w:space="0" w:color="auto"/>
          </w:divBdr>
          <w:divsChild>
            <w:div w:id="192422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237930">
      <w:bodyDiv w:val="1"/>
      <w:marLeft w:val="0"/>
      <w:marRight w:val="0"/>
      <w:marTop w:val="0"/>
      <w:marBottom w:val="0"/>
      <w:divBdr>
        <w:top w:val="none" w:sz="0" w:space="0" w:color="auto"/>
        <w:left w:val="none" w:sz="0" w:space="0" w:color="auto"/>
        <w:bottom w:val="none" w:sz="0" w:space="0" w:color="auto"/>
        <w:right w:val="none" w:sz="0" w:space="0" w:color="auto"/>
      </w:divBdr>
      <w:divsChild>
        <w:div w:id="2017881374">
          <w:marLeft w:val="0"/>
          <w:marRight w:val="0"/>
          <w:marTop w:val="0"/>
          <w:marBottom w:val="0"/>
          <w:divBdr>
            <w:top w:val="none" w:sz="0" w:space="0" w:color="auto"/>
            <w:left w:val="none" w:sz="0" w:space="0" w:color="auto"/>
            <w:bottom w:val="none" w:sz="0" w:space="0" w:color="auto"/>
            <w:right w:val="none" w:sz="0" w:space="0" w:color="auto"/>
          </w:divBdr>
          <w:divsChild>
            <w:div w:id="2069763347">
              <w:marLeft w:val="0"/>
              <w:marRight w:val="0"/>
              <w:marTop w:val="0"/>
              <w:marBottom w:val="0"/>
              <w:divBdr>
                <w:top w:val="none" w:sz="0" w:space="0" w:color="auto"/>
                <w:left w:val="none" w:sz="0" w:space="0" w:color="auto"/>
                <w:bottom w:val="none" w:sz="0" w:space="0" w:color="auto"/>
                <w:right w:val="none" w:sz="0" w:space="0" w:color="auto"/>
              </w:divBdr>
              <w:divsChild>
                <w:div w:id="508301249">
                  <w:marLeft w:val="0"/>
                  <w:marRight w:val="0"/>
                  <w:marTop w:val="0"/>
                  <w:marBottom w:val="0"/>
                  <w:divBdr>
                    <w:top w:val="none" w:sz="0" w:space="0" w:color="auto"/>
                    <w:left w:val="none" w:sz="0" w:space="0" w:color="auto"/>
                    <w:bottom w:val="none" w:sz="0" w:space="0" w:color="auto"/>
                    <w:right w:val="none" w:sz="0" w:space="0" w:color="auto"/>
                  </w:divBdr>
                  <w:divsChild>
                    <w:div w:id="1702242868">
                      <w:marLeft w:val="0"/>
                      <w:marRight w:val="0"/>
                      <w:marTop w:val="0"/>
                      <w:marBottom w:val="0"/>
                      <w:divBdr>
                        <w:top w:val="none" w:sz="0" w:space="0" w:color="auto"/>
                        <w:left w:val="none" w:sz="0" w:space="0" w:color="auto"/>
                        <w:bottom w:val="none" w:sz="0" w:space="0" w:color="auto"/>
                        <w:right w:val="none" w:sz="0" w:space="0" w:color="auto"/>
                      </w:divBdr>
                      <w:divsChild>
                        <w:div w:id="896864109">
                          <w:marLeft w:val="0"/>
                          <w:marRight w:val="0"/>
                          <w:marTop w:val="0"/>
                          <w:marBottom w:val="0"/>
                          <w:divBdr>
                            <w:top w:val="none" w:sz="0" w:space="0" w:color="auto"/>
                            <w:left w:val="none" w:sz="0" w:space="0" w:color="auto"/>
                            <w:bottom w:val="none" w:sz="0" w:space="0" w:color="auto"/>
                            <w:right w:val="none" w:sz="0" w:space="0" w:color="auto"/>
                          </w:divBdr>
                          <w:divsChild>
                            <w:div w:id="76289163">
                              <w:marLeft w:val="0"/>
                              <w:marRight w:val="0"/>
                              <w:marTop w:val="0"/>
                              <w:marBottom w:val="0"/>
                              <w:divBdr>
                                <w:top w:val="none" w:sz="0" w:space="0" w:color="auto"/>
                                <w:left w:val="none" w:sz="0" w:space="0" w:color="auto"/>
                                <w:bottom w:val="none" w:sz="0" w:space="0" w:color="auto"/>
                                <w:right w:val="none" w:sz="0" w:space="0" w:color="auto"/>
                              </w:divBdr>
                              <w:divsChild>
                                <w:div w:id="706682585">
                                  <w:marLeft w:val="0"/>
                                  <w:marRight w:val="0"/>
                                  <w:marTop w:val="0"/>
                                  <w:marBottom w:val="0"/>
                                  <w:divBdr>
                                    <w:top w:val="none" w:sz="0" w:space="0" w:color="auto"/>
                                    <w:left w:val="none" w:sz="0" w:space="0" w:color="auto"/>
                                    <w:bottom w:val="none" w:sz="0" w:space="0" w:color="auto"/>
                                    <w:right w:val="none" w:sz="0" w:space="0" w:color="auto"/>
                                  </w:divBdr>
                                  <w:divsChild>
                                    <w:div w:id="129633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7962678">
      <w:bodyDiv w:val="1"/>
      <w:marLeft w:val="0"/>
      <w:marRight w:val="0"/>
      <w:marTop w:val="0"/>
      <w:marBottom w:val="0"/>
      <w:divBdr>
        <w:top w:val="none" w:sz="0" w:space="0" w:color="auto"/>
        <w:left w:val="none" w:sz="0" w:space="0" w:color="auto"/>
        <w:bottom w:val="none" w:sz="0" w:space="0" w:color="auto"/>
        <w:right w:val="none" w:sz="0" w:space="0" w:color="auto"/>
      </w:divBdr>
      <w:divsChild>
        <w:div w:id="4598989">
          <w:marLeft w:val="0"/>
          <w:marRight w:val="0"/>
          <w:marTop w:val="0"/>
          <w:marBottom w:val="150"/>
          <w:divBdr>
            <w:top w:val="none" w:sz="0" w:space="0" w:color="auto"/>
            <w:left w:val="none" w:sz="0" w:space="0" w:color="auto"/>
            <w:bottom w:val="none" w:sz="0" w:space="0" w:color="auto"/>
            <w:right w:val="none" w:sz="0" w:space="0" w:color="auto"/>
          </w:divBdr>
          <w:divsChild>
            <w:div w:id="809177072">
              <w:marLeft w:val="0"/>
              <w:marRight w:val="0"/>
              <w:marTop w:val="0"/>
              <w:marBottom w:val="0"/>
              <w:divBdr>
                <w:top w:val="none" w:sz="0" w:space="0" w:color="auto"/>
                <w:left w:val="none" w:sz="0" w:space="0" w:color="auto"/>
                <w:bottom w:val="none" w:sz="0" w:space="0" w:color="auto"/>
                <w:right w:val="none" w:sz="0" w:space="0" w:color="auto"/>
              </w:divBdr>
              <w:divsChild>
                <w:div w:id="38949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04140">
          <w:marLeft w:val="0"/>
          <w:marRight w:val="0"/>
          <w:marTop w:val="0"/>
          <w:marBottom w:val="0"/>
          <w:divBdr>
            <w:top w:val="none" w:sz="0" w:space="0" w:color="auto"/>
            <w:left w:val="none" w:sz="0" w:space="0" w:color="auto"/>
            <w:bottom w:val="none" w:sz="0" w:space="0" w:color="auto"/>
            <w:right w:val="none" w:sz="0" w:space="0" w:color="auto"/>
          </w:divBdr>
          <w:divsChild>
            <w:div w:id="59254497">
              <w:marLeft w:val="0"/>
              <w:marRight w:val="0"/>
              <w:marTop w:val="225"/>
              <w:marBottom w:val="225"/>
              <w:divBdr>
                <w:top w:val="none" w:sz="0" w:space="0" w:color="auto"/>
                <w:left w:val="none" w:sz="0" w:space="0" w:color="auto"/>
                <w:bottom w:val="none" w:sz="0" w:space="0" w:color="auto"/>
                <w:right w:val="none" w:sz="0" w:space="0" w:color="auto"/>
              </w:divBdr>
            </w:div>
          </w:divsChild>
        </w:div>
        <w:div w:id="1294677075">
          <w:marLeft w:val="0"/>
          <w:marRight w:val="0"/>
          <w:marTop w:val="0"/>
          <w:marBottom w:val="150"/>
          <w:divBdr>
            <w:top w:val="none" w:sz="0" w:space="0" w:color="auto"/>
            <w:left w:val="none" w:sz="0" w:space="0" w:color="auto"/>
            <w:bottom w:val="none" w:sz="0" w:space="0" w:color="auto"/>
            <w:right w:val="none" w:sz="0" w:space="0" w:color="auto"/>
          </w:divBdr>
        </w:div>
      </w:divsChild>
    </w:div>
    <w:div w:id="1107966156">
      <w:bodyDiv w:val="1"/>
      <w:marLeft w:val="0"/>
      <w:marRight w:val="0"/>
      <w:marTop w:val="0"/>
      <w:marBottom w:val="0"/>
      <w:divBdr>
        <w:top w:val="none" w:sz="0" w:space="0" w:color="auto"/>
        <w:left w:val="none" w:sz="0" w:space="0" w:color="auto"/>
        <w:bottom w:val="none" w:sz="0" w:space="0" w:color="auto"/>
        <w:right w:val="none" w:sz="0" w:space="0" w:color="auto"/>
      </w:divBdr>
      <w:divsChild>
        <w:div w:id="449016695">
          <w:marLeft w:val="0"/>
          <w:marRight w:val="0"/>
          <w:marTop w:val="0"/>
          <w:marBottom w:val="0"/>
          <w:divBdr>
            <w:top w:val="none" w:sz="0" w:space="0" w:color="auto"/>
            <w:left w:val="none" w:sz="0" w:space="0" w:color="auto"/>
            <w:bottom w:val="none" w:sz="0" w:space="0" w:color="auto"/>
            <w:right w:val="none" w:sz="0" w:space="0" w:color="auto"/>
          </w:divBdr>
          <w:divsChild>
            <w:div w:id="500975632">
              <w:marLeft w:val="0"/>
              <w:marRight w:val="0"/>
              <w:marTop w:val="0"/>
              <w:marBottom w:val="0"/>
              <w:divBdr>
                <w:top w:val="none" w:sz="0" w:space="0" w:color="auto"/>
                <w:left w:val="none" w:sz="0" w:space="0" w:color="auto"/>
                <w:bottom w:val="none" w:sz="0" w:space="0" w:color="auto"/>
                <w:right w:val="none" w:sz="0" w:space="0" w:color="auto"/>
              </w:divBdr>
              <w:divsChild>
                <w:div w:id="557206037">
                  <w:marLeft w:val="0"/>
                  <w:marRight w:val="0"/>
                  <w:marTop w:val="0"/>
                  <w:marBottom w:val="0"/>
                  <w:divBdr>
                    <w:top w:val="none" w:sz="0" w:space="0" w:color="auto"/>
                    <w:left w:val="none" w:sz="0" w:space="0" w:color="auto"/>
                    <w:bottom w:val="none" w:sz="0" w:space="0" w:color="auto"/>
                    <w:right w:val="none" w:sz="0" w:space="0" w:color="auto"/>
                  </w:divBdr>
                  <w:divsChild>
                    <w:div w:id="1207985020">
                      <w:marLeft w:val="0"/>
                      <w:marRight w:val="0"/>
                      <w:marTop w:val="0"/>
                      <w:marBottom w:val="0"/>
                      <w:divBdr>
                        <w:top w:val="none" w:sz="0" w:space="0" w:color="auto"/>
                        <w:left w:val="none" w:sz="0" w:space="0" w:color="auto"/>
                        <w:bottom w:val="none" w:sz="0" w:space="0" w:color="auto"/>
                        <w:right w:val="none" w:sz="0" w:space="0" w:color="auto"/>
                      </w:divBdr>
                      <w:divsChild>
                        <w:div w:id="135227081">
                          <w:marLeft w:val="0"/>
                          <w:marRight w:val="0"/>
                          <w:marTop w:val="0"/>
                          <w:marBottom w:val="0"/>
                          <w:divBdr>
                            <w:top w:val="none" w:sz="0" w:space="0" w:color="auto"/>
                            <w:left w:val="none" w:sz="0" w:space="0" w:color="auto"/>
                            <w:bottom w:val="none" w:sz="0" w:space="0" w:color="auto"/>
                            <w:right w:val="none" w:sz="0" w:space="0" w:color="auto"/>
                          </w:divBdr>
                          <w:divsChild>
                            <w:div w:id="1374845193">
                              <w:marLeft w:val="0"/>
                              <w:marRight w:val="0"/>
                              <w:marTop w:val="0"/>
                              <w:marBottom w:val="0"/>
                              <w:divBdr>
                                <w:top w:val="none" w:sz="0" w:space="0" w:color="auto"/>
                                <w:left w:val="none" w:sz="0" w:space="0" w:color="auto"/>
                                <w:bottom w:val="none" w:sz="0" w:space="0" w:color="auto"/>
                                <w:right w:val="none" w:sz="0" w:space="0" w:color="auto"/>
                              </w:divBdr>
                              <w:divsChild>
                                <w:div w:id="146434241">
                                  <w:marLeft w:val="0"/>
                                  <w:marRight w:val="0"/>
                                  <w:marTop w:val="0"/>
                                  <w:marBottom w:val="0"/>
                                  <w:divBdr>
                                    <w:top w:val="none" w:sz="0" w:space="0" w:color="auto"/>
                                    <w:left w:val="none" w:sz="0" w:space="0" w:color="auto"/>
                                    <w:bottom w:val="none" w:sz="0" w:space="0" w:color="auto"/>
                                    <w:right w:val="none" w:sz="0" w:space="0" w:color="auto"/>
                                  </w:divBdr>
                                  <w:divsChild>
                                    <w:div w:id="576482255">
                                      <w:marLeft w:val="0"/>
                                      <w:marRight w:val="0"/>
                                      <w:marTop w:val="0"/>
                                      <w:marBottom w:val="0"/>
                                      <w:divBdr>
                                        <w:top w:val="none" w:sz="0" w:space="0" w:color="auto"/>
                                        <w:left w:val="none" w:sz="0" w:space="0" w:color="auto"/>
                                        <w:bottom w:val="none" w:sz="0" w:space="0" w:color="auto"/>
                                        <w:right w:val="none" w:sz="0" w:space="0" w:color="auto"/>
                                      </w:divBdr>
                                      <w:divsChild>
                                        <w:div w:id="192263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8156768">
      <w:bodyDiv w:val="1"/>
      <w:marLeft w:val="0"/>
      <w:marRight w:val="0"/>
      <w:marTop w:val="0"/>
      <w:marBottom w:val="0"/>
      <w:divBdr>
        <w:top w:val="none" w:sz="0" w:space="0" w:color="auto"/>
        <w:left w:val="none" w:sz="0" w:space="0" w:color="auto"/>
        <w:bottom w:val="none" w:sz="0" w:space="0" w:color="auto"/>
        <w:right w:val="none" w:sz="0" w:space="0" w:color="auto"/>
      </w:divBdr>
      <w:divsChild>
        <w:div w:id="712391285">
          <w:marLeft w:val="0"/>
          <w:marRight w:val="0"/>
          <w:marTop w:val="0"/>
          <w:marBottom w:val="0"/>
          <w:divBdr>
            <w:top w:val="none" w:sz="0" w:space="0" w:color="auto"/>
            <w:left w:val="none" w:sz="0" w:space="0" w:color="auto"/>
            <w:bottom w:val="none" w:sz="0" w:space="0" w:color="auto"/>
            <w:right w:val="none" w:sz="0" w:space="0" w:color="auto"/>
          </w:divBdr>
        </w:div>
        <w:div w:id="1598563865">
          <w:marLeft w:val="0"/>
          <w:marRight w:val="0"/>
          <w:marTop w:val="0"/>
          <w:marBottom w:val="150"/>
          <w:divBdr>
            <w:top w:val="none" w:sz="0" w:space="0" w:color="auto"/>
            <w:left w:val="none" w:sz="0" w:space="0" w:color="auto"/>
            <w:bottom w:val="none" w:sz="0" w:space="0" w:color="auto"/>
            <w:right w:val="none" w:sz="0" w:space="0" w:color="auto"/>
          </w:divBdr>
        </w:div>
      </w:divsChild>
    </w:div>
    <w:div w:id="1108426058">
      <w:bodyDiv w:val="1"/>
      <w:marLeft w:val="0"/>
      <w:marRight w:val="0"/>
      <w:marTop w:val="0"/>
      <w:marBottom w:val="0"/>
      <w:divBdr>
        <w:top w:val="none" w:sz="0" w:space="0" w:color="auto"/>
        <w:left w:val="none" w:sz="0" w:space="0" w:color="auto"/>
        <w:bottom w:val="none" w:sz="0" w:space="0" w:color="auto"/>
        <w:right w:val="none" w:sz="0" w:space="0" w:color="auto"/>
      </w:divBdr>
      <w:divsChild>
        <w:div w:id="1369378268">
          <w:marLeft w:val="0"/>
          <w:marRight w:val="0"/>
          <w:marTop w:val="0"/>
          <w:marBottom w:val="0"/>
          <w:divBdr>
            <w:top w:val="none" w:sz="0" w:space="0" w:color="auto"/>
            <w:left w:val="none" w:sz="0" w:space="0" w:color="auto"/>
            <w:bottom w:val="none" w:sz="0" w:space="0" w:color="auto"/>
            <w:right w:val="none" w:sz="0" w:space="0" w:color="auto"/>
          </w:divBdr>
          <w:divsChild>
            <w:div w:id="1078867589">
              <w:marLeft w:val="0"/>
              <w:marRight w:val="0"/>
              <w:marTop w:val="0"/>
              <w:marBottom w:val="150"/>
              <w:divBdr>
                <w:top w:val="none" w:sz="0" w:space="0" w:color="auto"/>
                <w:left w:val="none" w:sz="0" w:space="0" w:color="auto"/>
                <w:bottom w:val="none" w:sz="0" w:space="0" w:color="auto"/>
                <w:right w:val="none" w:sz="0" w:space="0" w:color="auto"/>
              </w:divBdr>
            </w:div>
            <w:div w:id="112369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350872">
      <w:bodyDiv w:val="1"/>
      <w:marLeft w:val="0"/>
      <w:marRight w:val="0"/>
      <w:marTop w:val="0"/>
      <w:marBottom w:val="0"/>
      <w:divBdr>
        <w:top w:val="none" w:sz="0" w:space="0" w:color="auto"/>
        <w:left w:val="none" w:sz="0" w:space="0" w:color="auto"/>
        <w:bottom w:val="none" w:sz="0" w:space="0" w:color="auto"/>
        <w:right w:val="none" w:sz="0" w:space="0" w:color="auto"/>
      </w:divBdr>
      <w:divsChild>
        <w:div w:id="580407258">
          <w:marLeft w:val="0"/>
          <w:marRight w:val="0"/>
          <w:marTop w:val="0"/>
          <w:marBottom w:val="0"/>
          <w:divBdr>
            <w:top w:val="none" w:sz="0" w:space="0" w:color="auto"/>
            <w:left w:val="none" w:sz="0" w:space="0" w:color="auto"/>
            <w:bottom w:val="none" w:sz="0" w:space="0" w:color="auto"/>
            <w:right w:val="none" w:sz="0" w:space="0" w:color="auto"/>
          </w:divBdr>
          <w:divsChild>
            <w:div w:id="1373115508">
              <w:marLeft w:val="0"/>
              <w:marRight w:val="0"/>
              <w:marTop w:val="0"/>
              <w:marBottom w:val="0"/>
              <w:divBdr>
                <w:top w:val="none" w:sz="0" w:space="0" w:color="auto"/>
                <w:left w:val="none" w:sz="0" w:space="0" w:color="auto"/>
                <w:bottom w:val="none" w:sz="0" w:space="0" w:color="auto"/>
                <w:right w:val="none" w:sz="0" w:space="0" w:color="auto"/>
              </w:divBdr>
              <w:divsChild>
                <w:div w:id="1523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756242">
          <w:marLeft w:val="0"/>
          <w:marRight w:val="0"/>
          <w:marTop w:val="0"/>
          <w:marBottom w:val="75"/>
          <w:divBdr>
            <w:top w:val="none" w:sz="0" w:space="0" w:color="auto"/>
            <w:left w:val="none" w:sz="0" w:space="0" w:color="auto"/>
            <w:bottom w:val="none" w:sz="0" w:space="0" w:color="auto"/>
            <w:right w:val="none" w:sz="0" w:space="0" w:color="auto"/>
          </w:divBdr>
        </w:div>
        <w:div w:id="1720207370">
          <w:marLeft w:val="0"/>
          <w:marRight w:val="0"/>
          <w:marTop w:val="0"/>
          <w:marBottom w:val="0"/>
          <w:divBdr>
            <w:top w:val="none" w:sz="0" w:space="0" w:color="auto"/>
            <w:left w:val="none" w:sz="0" w:space="0" w:color="auto"/>
            <w:bottom w:val="none" w:sz="0" w:space="0" w:color="auto"/>
            <w:right w:val="none" w:sz="0" w:space="0" w:color="auto"/>
          </w:divBdr>
          <w:divsChild>
            <w:div w:id="661273942">
              <w:marLeft w:val="0"/>
              <w:marRight w:val="0"/>
              <w:marTop w:val="0"/>
              <w:marBottom w:val="0"/>
              <w:divBdr>
                <w:top w:val="none" w:sz="0" w:space="0" w:color="auto"/>
                <w:left w:val="none" w:sz="0" w:space="0" w:color="auto"/>
                <w:bottom w:val="none" w:sz="0" w:space="0" w:color="auto"/>
                <w:right w:val="none" w:sz="0" w:space="0" w:color="auto"/>
              </w:divBdr>
              <w:divsChild>
                <w:div w:id="195390839">
                  <w:marLeft w:val="0"/>
                  <w:marRight w:val="0"/>
                  <w:marTop w:val="0"/>
                  <w:marBottom w:val="300"/>
                  <w:divBdr>
                    <w:top w:val="none" w:sz="0" w:space="0" w:color="auto"/>
                    <w:left w:val="none" w:sz="0" w:space="0" w:color="auto"/>
                    <w:bottom w:val="none" w:sz="0" w:space="0" w:color="auto"/>
                    <w:right w:val="none" w:sz="0" w:space="0" w:color="auto"/>
                  </w:divBdr>
                  <w:divsChild>
                    <w:div w:id="15282577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09354921">
      <w:bodyDiv w:val="1"/>
      <w:marLeft w:val="0"/>
      <w:marRight w:val="0"/>
      <w:marTop w:val="0"/>
      <w:marBottom w:val="0"/>
      <w:divBdr>
        <w:top w:val="none" w:sz="0" w:space="0" w:color="auto"/>
        <w:left w:val="none" w:sz="0" w:space="0" w:color="auto"/>
        <w:bottom w:val="none" w:sz="0" w:space="0" w:color="auto"/>
        <w:right w:val="none" w:sz="0" w:space="0" w:color="auto"/>
      </w:divBdr>
      <w:divsChild>
        <w:div w:id="1237744924">
          <w:marLeft w:val="0"/>
          <w:marRight w:val="0"/>
          <w:marTop w:val="0"/>
          <w:marBottom w:val="0"/>
          <w:divBdr>
            <w:top w:val="none" w:sz="0" w:space="0" w:color="auto"/>
            <w:left w:val="none" w:sz="0" w:space="0" w:color="auto"/>
            <w:bottom w:val="none" w:sz="0" w:space="0" w:color="auto"/>
            <w:right w:val="none" w:sz="0" w:space="0" w:color="auto"/>
          </w:divBdr>
          <w:divsChild>
            <w:div w:id="172216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542966">
      <w:bodyDiv w:val="1"/>
      <w:marLeft w:val="0"/>
      <w:marRight w:val="0"/>
      <w:marTop w:val="0"/>
      <w:marBottom w:val="0"/>
      <w:divBdr>
        <w:top w:val="none" w:sz="0" w:space="0" w:color="auto"/>
        <w:left w:val="none" w:sz="0" w:space="0" w:color="auto"/>
        <w:bottom w:val="none" w:sz="0" w:space="0" w:color="auto"/>
        <w:right w:val="none" w:sz="0" w:space="0" w:color="auto"/>
      </w:divBdr>
    </w:div>
    <w:div w:id="1109547044">
      <w:bodyDiv w:val="1"/>
      <w:marLeft w:val="0"/>
      <w:marRight w:val="0"/>
      <w:marTop w:val="0"/>
      <w:marBottom w:val="0"/>
      <w:divBdr>
        <w:top w:val="none" w:sz="0" w:space="0" w:color="auto"/>
        <w:left w:val="none" w:sz="0" w:space="0" w:color="auto"/>
        <w:bottom w:val="none" w:sz="0" w:space="0" w:color="auto"/>
        <w:right w:val="none" w:sz="0" w:space="0" w:color="auto"/>
      </w:divBdr>
      <w:divsChild>
        <w:div w:id="302928548">
          <w:marLeft w:val="0"/>
          <w:marRight w:val="0"/>
          <w:marTop w:val="0"/>
          <w:marBottom w:val="150"/>
          <w:divBdr>
            <w:top w:val="none" w:sz="0" w:space="0" w:color="auto"/>
            <w:left w:val="none" w:sz="0" w:space="0" w:color="auto"/>
            <w:bottom w:val="none" w:sz="0" w:space="0" w:color="auto"/>
            <w:right w:val="none" w:sz="0" w:space="0" w:color="auto"/>
          </w:divBdr>
          <w:divsChild>
            <w:div w:id="401564666">
              <w:marLeft w:val="0"/>
              <w:marRight w:val="0"/>
              <w:marTop w:val="0"/>
              <w:marBottom w:val="0"/>
              <w:divBdr>
                <w:top w:val="none" w:sz="0" w:space="0" w:color="auto"/>
                <w:left w:val="none" w:sz="0" w:space="0" w:color="auto"/>
                <w:bottom w:val="none" w:sz="0" w:space="0" w:color="auto"/>
                <w:right w:val="none" w:sz="0" w:space="0" w:color="auto"/>
              </w:divBdr>
            </w:div>
          </w:divsChild>
        </w:div>
        <w:div w:id="689188675">
          <w:marLeft w:val="0"/>
          <w:marRight w:val="0"/>
          <w:marTop w:val="0"/>
          <w:marBottom w:val="0"/>
          <w:divBdr>
            <w:top w:val="none" w:sz="0" w:space="0" w:color="auto"/>
            <w:left w:val="none" w:sz="0" w:space="0" w:color="auto"/>
            <w:bottom w:val="none" w:sz="0" w:space="0" w:color="auto"/>
            <w:right w:val="none" w:sz="0" w:space="0" w:color="auto"/>
          </w:divBdr>
          <w:divsChild>
            <w:div w:id="198323996">
              <w:marLeft w:val="0"/>
              <w:marRight w:val="0"/>
              <w:marTop w:val="0"/>
              <w:marBottom w:val="150"/>
              <w:divBdr>
                <w:top w:val="none" w:sz="0" w:space="0" w:color="auto"/>
                <w:left w:val="none" w:sz="0" w:space="0" w:color="auto"/>
                <w:bottom w:val="none" w:sz="0" w:space="0" w:color="auto"/>
                <w:right w:val="none" w:sz="0" w:space="0" w:color="auto"/>
              </w:divBdr>
            </w:div>
            <w:div w:id="77876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931822">
      <w:bodyDiv w:val="1"/>
      <w:marLeft w:val="0"/>
      <w:marRight w:val="0"/>
      <w:marTop w:val="0"/>
      <w:marBottom w:val="0"/>
      <w:divBdr>
        <w:top w:val="none" w:sz="0" w:space="0" w:color="auto"/>
        <w:left w:val="none" w:sz="0" w:space="0" w:color="auto"/>
        <w:bottom w:val="none" w:sz="0" w:space="0" w:color="auto"/>
        <w:right w:val="none" w:sz="0" w:space="0" w:color="auto"/>
      </w:divBdr>
      <w:divsChild>
        <w:div w:id="2124881542">
          <w:marLeft w:val="0"/>
          <w:marRight w:val="0"/>
          <w:marTop w:val="0"/>
          <w:marBottom w:val="0"/>
          <w:divBdr>
            <w:top w:val="none" w:sz="0" w:space="0" w:color="auto"/>
            <w:left w:val="none" w:sz="0" w:space="0" w:color="auto"/>
            <w:bottom w:val="none" w:sz="0" w:space="0" w:color="auto"/>
            <w:right w:val="none" w:sz="0" w:space="0" w:color="auto"/>
          </w:divBdr>
        </w:div>
        <w:div w:id="357975687">
          <w:marLeft w:val="0"/>
          <w:marRight w:val="0"/>
          <w:marTop w:val="0"/>
          <w:marBottom w:val="0"/>
          <w:divBdr>
            <w:top w:val="none" w:sz="0" w:space="0" w:color="auto"/>
            <w:left w:val="none" w:sz="0" w:space="0" w:color="auto"/>
            <w:bottom w:val="none" w:sz="0" w:space="0" w:color="auto"/>
            <w:right w:val="none" w:sz="0" w:space="0" w:color="auto"/>
          </w:divBdr>
          <w:divsChild>
            <w:div w:id="1706952295">
              <w:marLeft w:val="0"/>
              <w:marRight w:val="0"/>
              <w:marTop w:val="0"/>
              <w:marBottom w:val="0"/>
              <w:divBdr>
                <w:top w:val="none" w:sz="0" w:space="0" w:color="auto"/>
                <w:left w:val="none" w:sz="0" w:space="0" w:color="auto"/>
                <w:bottom w:val="none" w:sz="0" w:space="0" w:color="auto"/>
                <w:right w:val="none" w:sz="0" w:space="0" w:color="auto"/>
              </w:divBdr>
              <w:divsChild>
                <w:div w:id="108915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204800">
      <w:bodyDiv w:val="1"/>
      <w:marLeft w:val="0"/>
      <w:marRight w:val="0"/>
      <w:marTop w:val="0"/>
      <w:marBottom w:val="0"/>
      <w:divBdr>
        <w:top w:val="none" w:sz="0" w:space="0" w:color="auto"/>
        <w:left w:val="none" w:sz="0" w:space="0" w:color="auto"/>
        <w:bottom w:val="none" w:sz="0" w:space="0" w:color="auto"/>
        <w:right w:val="none" w:sz="0" w:space="0" w:color="auto"/>
      </w:divBdr>
      <w:divsChild>
        <w:div w:id="584728338">
          <w:marLeft w:val="0"/>
          <w:marRight w:val="0"/>
          <w:marTop w:val="0"/>
          <w:marBottom w:val="0"/>
          <w:divBdr>
            <w:top w:val="none" w:sz="0" w:space="0" w:color="auto"/>
            <w:left w:val="none" w:sz="0" w:space="0" w:color="auto"/>
            <w:bottom w:val="none" w:sz="0" w:space="0" w:color="auto"/>
            <w:right w:val="none" w:sz="0" w:space="0" w:color="auto"/>
          </w:divBdr>
          <w:divsChild>
            <w:div w:id="207789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98527">
      <w:bodyDiv w:val="1"/>
      <w:marLeft w:val="0"/>
      <w:marRight w:val="0"/>
      <w:marTop w:val="0"/>
      <w:marBottom w:val="0"/>
      <w:divBdr>
        <w:top w:val="none" w:sz="0" w:space="0" w:color="auto"/>
        <w:left w:val="none" w:sz="0" w:space="0" w:color="auto"/>
        <w:bottom w:val="none" w:sz="0" w:space="0" w:color="auto"/>
        <w:right w:val="none" w:sz="0" w:space="0" w:color="auto"/>
      </w:divBdr>
      <w:divsChild>
        <w:div w:id="279602">
          <w:marLeft w:val="0"/>
          <w:marRight w:val="0"/>
          <w:marTop w:val="0"/>
          <w:marBottom w:val="0"/>
          <w:divBdr>
            <w:top w:val="none" w:sz="0" w:space="0" w:color="auto"/>
            <w:left w:val="none" w:sz="0" w:space="0" w:color="auto"/>
            <w:bottom w:val="dotted" w:sz="6" w:space="4" w:color="DDDDDD"/>
            <w:right w:val="none" w:sz="0" w:space="0" w:color="auto"/>
          </w:divBdr>
        </w:div>
      </w:divsChild>
    </w:div>
    <w:div w:id="1110735409">
      <w:bodyDiv w:val="1"/>
      <w:marLeft w:val="0"/>
      <w:marRight w:val="0"/>
      <w:marTop w:val="0"/>
      <w:marBottom w:val="0"/>
      <w:divBdr>
        <w:top w:val="none" w:sz="0" w:space="0" w:color="auto"/>
        <w:left w:val="none" w:sz="0" w:space="0" w:color="auto"/>
        <w:bottom w:val="none" w:sz="0" w:space="0" w:color="auto"/>
        <w:right w:val="none" w:sz="0" w:space="0" w:color="auto"/>
      </w:divBdr>
      <w:divsChild>
        <w:div w:id="1646668194">
          <w:marLeft w:val="0"/>
          <w:marRight w:val="0"/>
          <w:marTop w:val="0"/>
          <w:marBottom w:val="0"/>
          <w:divBdr>
            <w:top w:val="none" w:sz="0" w:space="0" w:color="auto"/>
            <w:left w:val="none" w:sz="0" w:space="0" w:color="auto"/>
            <w:bottom w:val="dotted" w:sz="6" w:space="4" w:color="DDDDDD"/>
            <w:right w:val="none" w:sz="0" w:space="0" w:color="auto"/>
          </w:divBdr>
        </w:div>
      </w:divsChild>
    </w:div>
    <w:div w:id="1110782444">
      <w:bodyDiv w:val="1"/>
      <w:marLeft w:val="0"/>
      <w:marRight w:val="0"/>
      <w:marTop w:val="0"/>
      <w:marBottom w:val="0"/>
      <w:divBdr>
        <w:top w:val="none" w:sz="0" w:space="0" w:color="auto"/>
        <w:left w:val="none" w:sz="0" w:space="0" w:color="auto"/>
        <w:bottom w:val="none" w:sz="0" w:space="0" w:color="auto"/>
        <w:right w:val="none" w:sz="0" w:space="0" w:color="auto"/>
      </w:divBdr>
      <w:divsChild>
        <w:div w:id="322705892">
          <w:marLeft w:val="0"/>
          <w:marRight w:val="0"/>
          <w:marTop w:val="0"/>
          <w:marBottom w:val="150"/>
          <w:divBdr>
            <w:top w:val="none" w:sz="0" w:space="0" w:color="auto"/>
            <w:left w:val="none" w:sz="0" w:space="0" w:color="auto"/>
            <w:bottom w:val="none" w:sz="0" w:space="0" w:color="auto"/>
            <w:right w:val="none" w:sz="0" w:space="0" w:color="auto"/>
          </w:divBdr>
        </w:div>
      </w:divsChild>
    </w:div>
    <w:div w:id="1110856645">
      <w:bodyDiv w:val="1"/>
      <w:marLeft w:val="0"/>
      <w:marRight w:val="0"/>
      <w:marTop w:val="0"/>
      <w:marBottom w:val="0"/>
      <w:divBdr>
        <w:top w:val="none" w:sz="0" w:space="0" w:color="auto"/>
        <w:left w:val="none" w:sz="0" w:space="0" w:color="auto"/>
        <w:bottom w:val="none" w:sz="0" w:space="0" w:color="auto"/>
        <w:right w:val="none" w:sz="0" w:space="0" w:color="auto"/>
      </w:divBdr>
      <w:divsChild>
        <w:div w:id="275333354">
          <w:marLeft w:val="0"/>
          <w:marRight w:val="0"/>
          <w:marTop w:val="0"/>
          <w:marBottom w:val="150"/>
          <w:divBdr>
            <w:top w:val="none" w:sz="0" w:space="0" w:color="auto"/>
            <w:left w:val="none" w:sz="0" w:space="0" w:color="auto"/>
            <w:bottom w:val="none" w:sz="0" w:space="0" w:color="auto"/>
            <w:right w:val="none" w:sz="0" w:space="0" w:color="auto"/>
          </w:divBdr>
          <w:divsChild>
            <w:div w:id="1078164819">
              <w:marLeft w:val="0"/>
              <w:marRight w:val="0"/>
              <w:marTop w:val="0"/>
              <w:marBottom w:val="0"/>
              <w:divBdr>
                <w:top w:val="none" w:sz="0" w:space="0" w:color="auto"/>
                <w:left w:val="none" w:sz="0" w:space="0" w:color="auto"/>
                <w:bottom w:val="none" w:sz="0" w:space="0" w:color="auto"/>
                <w:right w:val="none" w:sz="0" w:space="0" w:color="auto"/>
              </w:divBdr>
              <w:divsChild>
                <w:div w:id="6071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171477">
          <w:marLeft w:val="0"/>
          <w:marRight w:val="0"/>
          <w:marTop w:val="0"/>
          <w:marBottom w:val="0"/>
          <w:divBdr>
            <w:top w:val="none" w:sz="0" w:space="0" w:color="auto"/>
            <w:left w:val="none" w:sz="0" w:space="0" w:color="auto"/>
            <w:bottom w:val="none" w:sz="0" w:space="0" w:color="auto"/>
            <w:right w:val="none" w:sz="0" w:space="0" w:color="auto"/>
          </w:divBdr>
          <w:divsChild>
            <w:div w:id="971716264">
              <w:marLeft w:val="0"/>
              <w:marRight w:val="0"/>
              <w:marTop w:val="225"/>
              <w:marBottom w:val="225"/>
              <w:divBdr>
                <w:top w:val="none" w:sz="0" w:space="0" w:color="auto"/>
                <w:left w:val="none" w:sz="0" w:space="0" w:color="auto"/>
                <w:bottom w:val="none" w:sz="0" w:space="0" w:color="auto"/>
                <w:right w:val="none" w:sz="0" w:space="0" w:color="auto"/>
              </w:divBdr>
            </w:div>
          </w:divsChild>
        </w:div>
        <w:div w:id="1921715717">
          <w:marLeft w:val="0"/>
          <w:marRight w:val="0"/>
          <w:marTop w:val="0"/>
          <w:marBottom w:val="150"/>
          <w:divBdr>
            <w:top w:val="none" w:sz="0" w:space="0" w:color="auto"/>
            <w:left w:val="none" w:sz="0" w:space="0" w:color="auto"/>
            <w:bottom w:val="none" w:sz="0" w:space="0" w:color="auto"/>
            <w:right w:val="none" w:sz="0" w:space="0" w:color="auto"/>
          </w:divBdr>
        </w:div>
      </w:divsChild>
    </w:div>
    <w:div w:id="1110860562">
      <w:bodyDiv w:val="1"/>
      <w:marLeft w:val="0"/>
      <w:marRight w:val="0"/>
      <w:marTop w:val="0"/>
      <w:marBottom w:val="0"/>
      <w:divBdr>
        <w:top w:val="none" w:sz="0" w:space="0" w:color="auto"/>
        <w:left w:val="none" w:sz="0" w:space="0" w:color="auto"/>
        <w:bottom w:val="none" w:sz="0" w:space="0" w:color="auto"/>
        <w:right w:val="none" w:sz="0" w:space="0" w:color="auto"/>
      </w:divBdr>
      <w:divsChild>
        <w:div w:id="496382281">
          <w:marLeft w:val="0"/>
          <w:marRight w:val="0"/>
          <w:marTop w:val="0"/>
          <w:marBottom w:val="0"/>
          <w:divBdr>
            <w:top w:val="none" w:sz="0" w:space="0" w:color="auto"/>
            <w:left w:val="none" w:sz="0" w:space="0" w:color="auto"/>
            <w:bottom w:val="none" w:sz="0" w:space="0" w:color="auto"/>
            <w:right w:val="none" w:sz="0" w:space="0" w:color="auto"/>
          </w:divBdr>
          <w:divsChild>
            <w:div w:id="15356507">
              <w:marLeft w:val="0"/>
              <w:marRight w:val="0"/>
              <w:marTop w:val="0"/>
              <w:marBottom w:val="0"/>
              <w:divBdr>
                <w:top w:val="none" w:sz="0" w:space="0" w:color="auto"/>
                <w:left w:val="none" w:sz="0" w:space="0" w:color="auto"/>
                <w:bottom w:val="none" w:sz="0" w:space="0" w:color="auto"/>
                <w:right w:val="none" w:sz="0" w:space="0" w:color="auto"/>
              </w:divBdr>
              <w:divsChild>
                <w:div w:id="945500036">
                  <w:marLeft w:val="0"/>
                  <w:marRight w:val="0"/>
                  <w:marTop w:val="0"/>
                  <w:marBottom w:val="0"/>
                  <w:divBdr>
                    <w:top w:val="none" w:sz="0" w:space="0" w:color="auto"/>
                    <w:left w:val="none" w:sz="0" w:space="0" w:color="auto"/>
                    <w:bottom w:val="none" w:sz="0" w:space="0" w:color="auto"/>
                    <w:right w:val="none" w:sz="0" w:space="0" w:color="auto"/>
                  </w:divBdr>
                  <w:divsChild>
                    <w:div w:id="1083574981">
                      <w:marLeft w:val="0"/>
                      <w:marRight w:val="0"/>
                      <w:marTop w:val="0"/>
                      <w:marBottom w:val="0"/>
                      <w:divBdr>
                        <w:top w:val="none" w:sz="0" w:space="0" w:color="auto"/>
                        <w:left w:val="none" w:sz="0" w:space="0" w:color="auto"/>
                        <w:bottom w:val="none" w:sz="0" w:space="0" w:color="auto"/>
                        <w:right w:val="none" w:sz="0" w:space="0" w:color="auto"/>
                      </w:divBdr>
                      <w:divsChild>
                        <w:div w:id="1559586451">
                          <w:marLeft w:val="0"/>
                          <w:marRight w:val="0"/>
                          <w:marTop w:val="0"/>
                          <w:marBottom w:val="0"/>
                          <w:divBdr>
                            <w:top w:val="none" w:sz="0" w:space="0" w:color="auto"/>
                            <w:left w:val="none" w:sz="0" w:space="0" w:color="auto"/>
                            <w:bottom w:val="none" w:sz="0" w:space="0" w:color="auto"/>
                            <w:right w:val="none" w:sz="0" w:space="0" w:color="auto"/>
                          </w:divBdr>
                          <w:divsChild>
                            <w:div w:id="1466199043">
                              <w:marLeft w:val="0"/>
                              <w:marRight w:val="0"/>
                              <w:marTop w:val="0"/>
                              <w:marBottom w:val="0"/>
                              <w:divBdr>
                                <w:top w:val="none" w:sz="0" w:space="0" w:color="auto"/>
                                <w:left w:val="none" w:sz="0" w:space="0" w:color="auto"/>
                                <w:bottom w:val="none" w:sz="0" w:space="0" w:color="auto"/>
                                <w:right w:val="none" w:sz="0" w:space="0" w:color="auto"/>
                              </w:divBdr>
                              <w:divsChild>
                                <w:div w:id="1883244447">
                                  <w:marLeft w:val="0"/>
                                  <w:marRight w:val="0"/>
                                  <w:marTop w:val="0"/>
                                  <w:marBottom w:val="0"/>
                                  <w:divBdr>
                                    <w:top w:val="none" w:sz="0" w:space="0" w:color="auto"/>
                                    <w:left w:val="none" w:sz="0" w:space="0" w:color="auto"/>
                                    <w:bottom w:val="none" w:sz="0" w:space="0" w:color="auto"/>
                                    <w:right w:val="none" w:sz="0" w:space="0" w:color="auto"/>
                                  </w:divBdr>
                                  <w:divsChild>
                                    <w:div w:id="13528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1129055">
      <w:bodyDiv w:val="1"/>
      <w:marLeft w:val="0"/>
      <w:marRight w:val="0"/>
      <w:marTop w:val="0"/>
      <w:marBottom w:val="0"/>
      <w:divBdr>
        <w:top w:val="none" w:sz="0" w:space="0" w:color="auto"/>
        <w:left w:val="none" w:sz="0" w:space="0" w:color="auto"/>
        <w:bottom w:val="none" w:sz="0" w:space="0" w:color="auto"/>
        <w:right w:val="none" w:sz="0" w:space="0" w:color="auto"/>
      </w:divBdr>
      <w:divsChild>
        <w:div w:id="592905248">
          <w:marLeft w:val="0"/>
          <w:marRight w:val="0"/>
          <w:marTop w:val="0"/>
          <w:marBottom w:val="0"/>
          <w:divBdr>
            <w:top w:val="none" w:sz="0" w:space="0" w:color="auto"/>
            <w:left w:val="none" w:sz="0" w:space="0" w:color="auto"/>
            <w:bottom w:val="dotted" w:sz="6" w:space="4" w:color="DDDDDD"/>
            <w:right w:val="none" w:sz="0" w:space="0" w:color="auto"/>
          </w:divBdr>
          <w:divsChild>
            <w:div w:id="117985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22086">
      <w:bodyDiv w:val="1"/>
      <w:marLeft w:val="0"/>
      <w:marRight w:val="0"/>
      <w:marTop w:val="0"/>
      <w:marBottom w:val="0"/>
      <w:divBdr>
        <w:top w:val="none" w:sz="0" w:space="0" w:color="auto"/>
        <w:left w:val="none" w:sz="0" w:space="0" w:color="auto"/>
        <w:bottom w:val="none" w:sz="0" w:space="0" w:color="auto"/>
        <w:right w:val="none" w:sz="0" w:space="0" w:color="auto"/>
      </w:divBdr>
    </w:div>
    <w:div w:id="1111777472">
      <w:bodyDiv w:val="1"/>
      <w:marLeft w:val="0"/>
      <w:marRight w:val="0"/>
      <w:marTop w:val="0"/>
      <w:marBottom w:val="0"/>
      <w:divBdr>
        <w:top w:val="none" w:sz="0" w:space="0" w:color="auto"/>
        <w:left w:val="none" w:sz="0" w:space="0" w:color="auto"/>
        <w:bottom w:val="none" w:sz="0" w:space="0" w:color="auto"/>
        <w:right w:val="none" w:sz="0" w:space="0" w:color="auto"/>
      </w:divBdr>
      <w:divsChild>
        <w:div w:id="487672058">
          <w:marLeft w:val="0"/>
          <w:marRight w:val="0"/>
          <w:marTop w:val="0"/>
          <w:marBottom w:val="0"/>
          <w:divBdr>
            <w:top w:val="none" w:sz="0" w:space="0" w:color="auto"/>
            <w:left w:val="none" w:sz="0" w:space="0" w:color="auto"/>
            <w:bottom w:val="none" w:sz="0" w:space="0" w:color="auto"/>
            <w:right w:val="none" w:sz="0" w:space="0" w:color="auto"/>
          </w:divBdr>
          <w:divsChild>
            <w:div w:id="1748459811">
              <w:marLeft w:val="0"/>
              <w:marRight w:val="0"/>
              <w:marTop w:val="0"/>
              <w:marBottom w:val="0"/>
              <w:divBdr>
                <w:top w:val="none" w:sz="0" w:space="0" w:color="auto"/>
                <w:left w:val="none" w:sz="0" w:space="0" w:color="auto"/>
                <w:bottom w:val="none" w:sz="0" w:space="0" w:color="auto"/>
                <w:right w:val="none" w:sz="0" w:space="0" w:color="auto"/>
              </w:divBdr>
            </w:div>
          </w:divsChild>
        </w:div>
        <w:div w:id="1538275295">
          <w:marLeft w:val="0"/>
          <w:marRight w:val="0"/>
          <w:marTop w:val="0"/>
          <w:marBottom w:val="150"/>
          <w:divBdr>
            <w:top w:val="none" w:sz="0" w:space="0" w:color="auto"/>
            <w:left w:val="none" w:sz="0" w:space="0" w:color="auto"/>
            <w:bottom w:val="none" w:sz="0" w:space="0" w:color="auto"/>
            <w:right w:val="none" w:sz="0" w:space="0" w:color="auto"/>
          </w:divBdr>
          <w:divsChild>
            <w:div w:id="963658922">
              <w:marLeft w:val="0"/>
              <w:marRight w:val="0"/>
              <w:marTop w:val="0"/>
              <w:marBottom w:val="0"/>
              <w:divBdr>
                <w:top w:val="none" w:sz="0" w:space="0" w:color="auto"/>
                <w:left w:val="none" w:sz="0" w:space="0" w:color="auto"/>
                <w:bottom w:val="none" w:sz="0" w:space="0" w:color="auto"/>
                <w:right w:val="none" w:sz="0" w:space="0" w:color="auto"/>
              </w:divBdr>
            </w:div>
          </w:divsChild>
        </w:div>
        <w:div w:id="1964579045">
          <w:marLeft w:val="0"/>
          <w:marRight w:val="0"/>
          <w:marTop w:val="0"/>
          <w:marBottom w:val="150"/>
          <w:divBdr>
            <w:top w:val="none" w:sz="0" w:space="0" w:color="auto"/>
            <w:left w:val="none" w:sz="0" w:space="0" w:color="auto"/>
            <w:bottom w:val="none" w:sz="0" w:space="0" w:color="auto"/>
            <w:right w:val="none" w:sz="0" w:space="0" w:color="auto"/>
          </w:divBdr>
        </w:div>
      </w:divsChild>
    </w:div>
    <w:div w:id="1111782983">
      <w:bodyDiv w:val="1"/>
      <w:marLeft w:val="0"/>
      <w:marRight w:val="0"/>
      <w:marTop w:val="0"/>
      <w:marBottom w:val="0"/>
      <w:divBdr>
        <w:top w:val="none" w:sz="0" w:space="0" w:color="auto"/>
        <w:left w:val="none" w:sz="0" w:space="0" w:color="auto"/>
        <w:bottom w:val="none" w:sz="0" w:space="0" w:color="auto"/>
        <w:right w:val="none" w:sz="0" w:space="0" w:color="auto"/>
      </w:divBdr>
    </w:div>
    <w:div w:id="1112361066">
      <w:bodyDiv w:val="1"/>
      <w:marLeft w:val="0"/>
      <w:marRight w:val="0"/>
      <w:marTop w:val="0"/>
      <w:marBottom w:val="0"/>
      <w:divBdr>
        <w:top w:val="none" w:sz="0" w:space="0" w:color="auto"/>
        <w:left w:val="none" w:sz="0" w:space="0" w:color="auto"/>
        <w:bottom w:val="none" w:sz="0" w:space="0" w:color="auto"/>
        <w:right w:val="none" w:sz="0" w:space="0" w:color="auto"/>
      </w:divBdr>
      <w:divsChild>
        <w:div w:id="817112245">
          <w:marLeft w:val="0"/>
          <w:marRight w:val="0"/>
          <w:marTop w:val="0"/>
          <w:marBottom w:val="0"/>
          <w:divBdr>
            <w:top w:val="none" w:sz="0" w:space="0" w:color="auto"/>
            <w:left w:val="none" w:sz="0" w:space="0" w:color="auto"/>
            <w:bottom w:val="none" w:sz="0" w:space="0" w:color="auto"/>
            <w:right w:val="none" w:sz="0" w:space="0" w:color="auto"/>
          </w:divBdr>
          <w:divsChild>
            <w:div w:id="2089888832">
              <w:marLeft w:val="0"/>
              <w:marRight w:val="0"/>
              <w:marTop w:val="0"/>
              <w:marBottom w:val="0"/>
              <w:divBdr>
                <w:top w:val="none" w:sz="0" w:space="0" w:color="auto"/>
                <w:left w:val="none" w:sz="0" w:space="0" w:color="auto"/>
                <w:bottom w:val="none" w:sz="0" w:space="0" w:color="auto"/>
                <w:right w:val="none" w:sz="0" w:space="0" w:color="auto"/>
              </w:divBdr>
              <w:divsChild>
                <w:div w:id="1091778680">
                  <w:marLeft w:val="0"/>
                  <w:marRight w:val="0"/>
                  <w:marTop w:val="0"/>
                  <w:marBottom w:val="0"/>
                  <w:divBdr>
                    <w:top w:val="none" w:sz="0" w:space="0" w:color="auto"/>
                    <w:left w:val="none" w:sz="0" w:space="0" w:color="auto"/>
                    <w:bottom w:val="none" w:sz="0" w:space="0" w:color="auto"/>
                    <w:right w:val="none" w:sz="0" w:space="0" w:color="auto"/>
                  </w:divBdr>
                  <w:divsChild>
                    <w:div w:id="560869574">
                      <w:marLeft w:val="0"/>
                      <w:marRight w:val="0"/>
                      <w:marTop w:val="0"/>
                      <w:marBottom w:val="0"/>
                      <w:divBdr>
                        <w:top w:val="none" w:sz="0" w:space="0" w:color="auto"/>
                        <w:left w:val="none" w:sz="0" w:space="0" w:color="auto"/>
                        <w:bottom w:val="none" w:sz="0" w:space="0" w:color="auto"/>
                        <w:right w:val="none" w:sz="0" w:space="0" w:color="auto"/>
                      </w:divBdr>
                      <w:divsChild>
                        <w:div w:id="1318262720">
                          <w:marLeft w:val="0"/>
                          <w:marRight w:val="0"/>
                          <w:marTop w:val="0"/>
                          <w:marBottom w:val="0"/>
                          <w:divBdr>
                            <w:top w:val="none" w:sz="0" w:space="0" w:color="auto"/>
                            <w:left w:val="none" w:sz="0" w:space="0" w:color="auto"/>
                            <w:bottom w:val="none" w:sz="0" w:space="0" w:color="auto"/>
                            <w:right w:val="none" w:sz="0" w:space="0" w:color="auto"/>
                          </w:divBdr>
                          <w:divsChild>
                            <w:div w:id="1885290799">
                              <w:marLeft w:val="0"/>
                              <w:marRight w:val="0"/>
                              <w:marTop w:val="0"/>
                              <w:marBottom w:val="0"/>
                              <w:divBdr>
                                <w:top w:val="none" w:sz="0" w:space="0" w:color="auto"/>
                                <w:left w:val="none" w:sz="0" w:space="0" w:color="auto"/>
                                <w:bottom w:val="none" w:sz="0" w:space="0" w:color="auto"/>
                                <w:right w:val="none" w:sz="0" w:space="0" w:color="auto"/>
                              </w:divBdr>
                              <w:divsChild>
                                <w:div w:id="1156847123">
                                  <w:marLeft w:val="0"/>
                                  <w:marRight w:val="0"/>
                                  <w:marTop w:val="0"/>
                                  <w:marBottom w:val="0"/>
                                  <w:divBdr>
                                    <w:top w:val="none" w:sz="0" w:space="0" w:color="auto"/>
                                    <w:left w:val="none" w:sz="0" w:space="0" w:color="auto"/>
                                    <w:bottom w:val="none" w:sz="0" w:space="0" w:color="auto"/>
                                    <w:right w:val="none" w:sz="0" w:space="0" w:color="auto"/>
                                  </w:divBdr>
                                  <w:divsChild>
                                    <w:div w:id="65491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2556029">
      <w:bodyDiv w:val="1"/>
      <w:marLeft w:val="0"/>
      <w:marRight w:val="0"/>
      <w:marTop w:val="0"/>
      <w:marBottom w:val="0"/>
      <w:divBdr>
        <w:top w:val="none" w:sz="0" w:space="0" w:color="auto"/>
        <w:left w:val="none" w:sz="0" w:space="0" w:color="auto"/>
        <w:bottom w:val="none" w:sz="0" w:space="0" w:color="auto"/>
        <w:right w:val="none" w:sz="0" w:space="0" w:color="auto"/>
      </w:divBdr>
    </w:div>
    <w:div w:id="1112894328">
      <w:bodyDiv w:val="1"/>
      <w:marLeft w:val="0"/>
      <w:marRight w:val="0"/>
      <w:marTop w:val="0"/>
      <w:marBottom w:val="0"/>
      <w:divBdr>
        <w:top w:val="none" w:sz="0" w:space="0" w:color="auto"/>
        <w:left w:val="none" w:sz="0" w:space="0" w:color="auto"/>
        <w:bottom w:val="none" w:sz="0" w:space="0" w:color="auto"/>
        <w:right w:val="none" w:sz="0" w:space="0" w:color="auto"/>
      </w:divBdr>
      <w:divsChild>
        <w:div w:id="1289245343">
          <w:marLeft w:val="0"/>
          <w:marRight w:val="0"/>
          <w:marTop w:val="0"/>
          <w:marBottom w:val="150"/>
          <w:divBdr>
            <w:top w:val="none" w:sz="0" w:space="0" w:color="auto"/>
            <w:left w:val="none" w:sz="0" w:space="0" w:color="auto"/>
            <w:bottom w:val="none" w:sz="0" w:space="0" w:color="auto"/>
            <w:right w:val="none" w:sz="0" w:space="0" w:color="auto"/>
          </w:divBdr>
        </w:div>
      </w:divsChild>
    </w:div>
    <w:div w:id="1112938449">
      <w:bodyDiv w:val="1"/>
      <w:marLeft w:val="0"/>
      <w:marRight w:val="0"/>
      <w:marTop w:val="0"/>
      <w:marBottom w:val="0"/>
      <w:divBdr>
        <w:top w:val="none" w:sz="0" w:space="0" w:color="auto"/>
        <w:left w:val="none" w:sz="0" w:space="0" w:color="auto"/>
        <w:bottom w:val="none" w:sz="0" w:space="0" w:color="auto"/>
        <w:right w:val="none" w:sz="0" w:space="0" w:color="auto"/>
      </w:divBdr>
      <w:divsChild>
        <w:div w:id="190388554">
          <w:marLeft w:val="0"/>
          <w:marRight w:val="0"/>
          <w:marTop w:val="0"/>
          <w:marBottom w:val="0"/>
          <w:divBdr>
            <w:top w:val="none" w:sz="0" w:space="0" w:color="auto"/>
            <w:left w:val="none" w:sz="0" w:space="0" w:color="auto"/>
            <w:bottom w:val="dotted" w:sz="6" w:space="4" w:color="DDDDDD"/>
            <w:right w:val="none" w:sz="0" w:space="0" w:color="auto"/>
          </w:divBdr>
        </w:div>
      </w:divsChild>
    </w:div>
    <w:div w:id="1113014767">
      <w:bodyDiv w:val="1"/>
      <w:marLeft w:val="0"/>
      <w:marRight w:val="0"/>
      <w:marTop w:val="0"/>
      <w:marBottom w:val="0"/>
      <w:divBdr>
        <w:top w:val="none" w:sz="0" w:space="0" w:color="auto"/>
        <w:left w:val="none" w:sz="0" w:space="0" w:color="auto"/>
        <w:bottom w:val="none" w:sz="0" w:space="0" w:color="auto"/>
        <w:right w:val="none" w:sz="0" w:space="0" w:color="auto"/>
      </w:divBdr>
      <w:divsChild>
        <w:div w:id="1902130348">
          <w:marLeft w:val="0"/>
          <w:marRight w:val="0"/>
          <w:marTop w:val="0"/>
          <w:marBottom w:val="0"/>
          <w:divBdr>
            <w:top w:val="none" w:sz="0" w:space="0" w:color="auto"/>
            <w:left w:val="none" w:sz="0" w:space="0" w:color="auto"/>
            <w:bottom w:val="dotted" w:sz="6" w:space="4" w:color="DDDDDD"/>
            <w:right w:val="none" w:sz="0" w:space="0" w:color="auto"/>
          </w:divBdr>
          <w:divsChild>
            <w:div w:id="22348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091630">
      <w:bodyDiv w:val="1"/>
      <w:marLeft w:val="0"/>
      <w:marRight w:val="0"/>
      <w:marTop w:val="0"/>
      <w:marBottom w:val="0"/>
      <w:divBdr>
        <w:top w:val="none" w:sz="0" w:space="0" w:color="auto"/>
        <w:left w:val="none" w:sz="0" w:space="0" w:color="auto"/>
        <w:bottom w:val="none" w:sz="0" w:space="0" w:color="auto"/>
        <w:right w:val="none" w:sz="0" w:space="0" w:color="auto"/>
      </w:divBdr>
      <w:divsChild>
        <w:div w:id="968979094">
          <w:marLeft w:val="0"/>
          <w:marRight w:val="0"/>
          <w:marTop w:val="0"/>
          <w:marBottom w:val="450"/>
          <w:divBdr>
            <w:top w:val="none" w:sz="0" w:space="0" w:color="auto"/>
            <w:left w:val="none" w:sz="0" w:space="0" w:color="auto"/>
            <w:bottom w:val="single" w:sz="6" w:space="19" w:color="EEEEEE"/>
            <w:right w:val="none" w:sz="0" w:space="0" w:color="auto"/>
          </w:divBdr>
          <w:divsChild>
            <w:div w:id="418134601">
              <w:marLeft w:val="0"/>
              <w:marRight w:val="0"/>
              <w:marTop w:val="0"/>
              <w:marBottom w:val="150"/>
              <w:divBdr>
                <w:top w:val="none" w:sz="0" w:space="0" w:color="auto"/>
                <w:left w:val="none" w:sz="0" w:space="0" w:color="auto"/>
                <w:bottom w:val="none" w:sz="0" w:space="0" w:color="auto"/>
                <w:right w:val="none" w:sz="0" w:space="0" w:color="auto"/>
              </w:divBdr>
              <w:divsChild>
                <w:div w:id="1011183911">
                  <w:marLeft w:val="0"/>
                  <w:marRight w:val="0"/>
                  <w:marTop w:val="0"/>
                  <w:marBottom w:val="0"/>
                  <w:divBdr>
                    <w:top w:val="none" w:sz="0" w:space="0" w:color="auto"/>
                    <w:left w:val="none" w:sz="0" w:space="0" w:color="auto"/>
                    <w:bottom w:val="none" w:sz="0" w:space="0" w:color="auto"/>
                    <w:right w:val="none" w:sz="0" w:space="0" w:color="auto"/>
                  </w:divBdr>
                </w:div>
              </w:divsChild>
            </w:div>
            <w:div w:id="490560426">
              <w:marLeft w:val="0"/>
              <w:marRight w:val="0"/>
              <w:marTop w:val="0"/>
              <w:marBottom w:val="0"/>
              <w:divBdr>
                <w:top w:val="none" w:sz="0" w:space="0" w:color="auto"/>
                <w:left w:val="none" w:sz="0" w:space="0" w:color="auto"/>
                <w:bottom w:val="none" w:sz="0" w:space="0" w:color="auto"/>
                <w:right w:val="none" w:sz="0" w:space="0" w:color="auto"/>
              </w:divBdr>
            </w:div>
          </w:divsChild>
        </w:div>
        <w:div w:id="27727078">
          <w:marLeft w:val="0"/>
          <w:marRight w:val="0"/>
          <w:marTop w:val="0"/>
          <w:marBottom w:val="0"/>
          <w:divBdr>
            <w:top w:val="none" w:sz="0" w:space="0" w:color="auto"/>
            <w:left w:val="none" w:sz="0" w:space="0" w:color="auto"/>
            <w:bottom w:val="none" w:sz="0" w:space="0" w:color="auto"/>
            <w:right w:val="none" w:sz="0" w:space="0" w:color="auto"/>
          </w:divBdr>
          <w:divsChild>
            <w:div w:id="247155647">
              <w:marLeft w:val="0"/>
              <w:marRight w:val="0"/>
              <w:marTop w:val="0"/>
              <w:marBottom w:val="0"/>
              <w:divBdr>
                <w:top w:val="none" w:sz="0" w:space="0" w:color="auto"/>
                <w:left w:val="none" w:sz="0" w:space="0" w:color="auto"/>
                <w:bottom w:val="none" w:sz="0" w:space="0" w:color="auto"/>
                <w:right w:val="none" w:sz="0" w:space="0" w:color="auto"/>
              </w:divBdr>
              <w:divsChild>
                <w:div w:id="5310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327892">
      <w:bodyDiv w:val="1"/>
      <w:marLeft w:val="0"/>
      <w:marRight w:val="0"/>
      <w:marTop w:val="0"/>
      <w:marBottom w:val="0"/>
      <w:divBdr>
        <w:top w:val="none" w:sz="0" w:space="0" w:color="auto"/>
        <w:left w:val="none" w:sz="0" w:space="0" w:color="auto"/>
        <w:bottom w:val="none" w:sz="0" w:space="0" w:color="auto"/>
        <w:right w:val="none" w:sz="0" w:space="0" w:color="auto"/>
      </w:divBdr>
    </w:div>
    <w:div w:id="1113596250">
      <w:bodyDiv w:val="1"/>
      <w:marLeft w:val="0"/>
      <w:marRight w:val="0"/>
      <w:marTop w:val="0"/>
      <w:marBottom w:val="0"/>
      <w:divBdr>
        <w:top w:val="none" w:sz="0" w:space="0" w:color="auto"/>
        <w:left w:val="none" w:sz="0" w:space="0" w:color="auto"/>
        <w:bottom w:val="none" w:sz="0" w:space="0" w:color="auto"/>
        <w:right w:val="none" w:sz="0" w:space="0" w:color="auto"/>
      </w:divBdr>
      <w:divsChild>
        <w:div w:id="206190110">
          <w:marLeft w:val="0"/>
          <w:marRight w:val="0"/>
          <w:marTop w:val="0"/>
          <w:marBottom w:val="0"/>
          <w:divBdr>
            <w:top w:val="none" w:sz="0" w:space="0" w:color="auto"/>
            <w:left w:val="none" w:sz="0" w:space="0" w:color="auto"/>
            <w:bottom w:val="none" w:sz="0" w:space="0" w:color="auto"/>
            <w:right w:val="none" w:sz="0" w:space="0" w:color="auto"/>
          </w:divBdr>
          <w:divsChild>
            <w:div w:id="241180337">
              <w:marLeft w:val="0"/>
              <w:marRight w:val="0"/>
              <w:marTop w:val="0"/>
              <w:marBottom w:val="0"/>
              <w:divBdr>
                <w:top w:val="none" w:sz="0" w:space="0" w:color="auto"/>
                <w:left w:val="none" w:sz="0" w:space="0" w:color="auto"/>
                <w:bottom w:val="none" w:sz="0" w:space="0" w:color="auto"/>
                <w:right w:val="none" w:sz="0" w:space="0" w:color="auto"/>
              </w:divBdr>
              <w:divsChild>
                <w:div w:id="488013336">
                  <w:marLeft w:val="0"/>
                  <w:marRight w:val="0"/>
                  <w:marTop w:val="0"/>
                  <w:marBottom w:val="0"/>
                  <w:divBdr>
                    <w:top w:val="none" w:sz="0" w:space="0" w:color="auto"/>
                    <w:left w:val="none" w:sz="0" w:space="0" w:color="auto"/>
                    <w:bottom w:val="none" w:sz="0" w:space="0" w:color="auto"/>
                    <w:right w:val="none" w:sz="0" w:space="0" w:color="auto"/>
                  </w:divBdr>
                  <w:divsChild>
                    <w:div w:id="543981321">
                      <w:marLeft w:val="0"/>
                      <w:marRight w:val="0"/>
                      <w:marTop w:val="0"/>
                      <w:marBottom w:val="0"/>
                      <w:divBdr>
                        <w:top w:val="none" w:sz="0" w:space="0" w:color="auto"/>
                        <w:left w:val="none" w:sz="0" w:space="0" w:color="auto"/>
                        <w:bottom w:val="none" w:sz="0" w:space="0" w:color="auto"/>
                        <w:right w:val="none" w:sz="0" w:space="0" w:color="auto"/>
                      </w:divBdr>
                      <w:divsChild>
                        <w:div w:id="1636527182">
                          <w:marLeft w:val="0"/>
                          <w:marRight w:val="0"/>
                          <w:marTop w:val="0"/>
                          <w:marBottom w:val="0"/>
                          <w:divBdr>
                            <w:top w:val="none" w:sz="0" w:space="0" w:color="auto"/>
                            <w:left w:val="none" w:sz="0" w:space="0" w:color="auto"/>
                            <w:bottom w:val="none" w:sz="0" w:space="0" w:color="auto"/>
                            <w:right w:val="none" w:sz="0" w:space="0" w:color="auto"/>
                          </w:divBdr>
                          <w:divsChild>
                            <w:div w:id="596868945">
                              <w:marLeft w:val="0"/>
                              <w:marRight w:val="0"/>
                              <w:marTop w:val="0"/>
                              <w:marBottom w:val="0"/>
                              <w:divBdr>
                                <w:top w:val="none" w:sz="0" w:space="0" w:color="auto"/>
                                <w:left w:val="none" w:sz="0" w:space="0" w:color="auto"/>
                                <w:bottom w:val="none" w:sz="0" w:space="0" w:color="auto"/>
                                <w:right w:val="none" w:sz="0" w:space="0" w:color="auto"/>
                              </w:divBdr>
                              <w:divsChild>
                                <w:div w:id="839589024">
                                  <w:marLeft w:val="0"/>
                                  <w:marRight w:val="0"/>
                                  <w:marTop w:val="0"/>
                                  <w:marBottom w:val="0"/>
                                  <w:divBdr>
                                    <w:top w:val="none" w:sz="0" w:space="0" w:color="auto"/>
                                    <w:left w:val="none" w:sz="0" w:space="0" w:color="auto"/>
                                    <w:bottom w:val="none" w:sz="0" w:space="0" w:color="auto"/>
                                    <w:right w:val="none" w:sz="0" w:space="0" w:color="auto"/>
                                  </w:divBdr>
                                  <w:divsChild>
                                    <w:div w:id="106295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253467">
      <w:bodyDiv w:val="1"/>
      <w:marLeft w:val="0"/>
      <w:marRight w:val="0"/>
      <w:marTop w:val="0"/>
      <w:marBottom w:val="0"/>
      <w:divBdr>
        <w:top w:val="none" w:sz="0" w:space="0" w:color="auto"/>
        <w:left w:val="none" w:sz="0" w:space="0" w:color="auto"/>
        <w:bottom w:val="none" w:sz="0" w:space="0" w:color="auto"/>
        <w:right w:val="none" w:sz="0" w:space="0" w:color="auto"/>
      </w:divBdr>
      <w:divsChild>
        <w:div w:id="1099059622">
          <w:marLeft w:val="0"/>
          <w:marRight w:val="0"/>
          <w:marTop w:val="0"/>
          <w:marBottom w:val="150"/>
          <w:divBdr>
            <w:top w:val="none" w:sz="0" w:space="0" w:color="auto"/>
            <w:left w:val="none" w:sz="0" w:space="0" w:color="auto"/>
            <w:bottom w:val="none" w:sz="0" w:space="0" w:color="auto"/>
            <w:right w:val="none" w:sz="0" w:space="0" w:color="auto"/>
          </w:divBdr>
          <w:divsChild>
            <w:div w:id="2105030651">
              <w:marLeft w:val="0"/>
              <w:marRight w:val="0"/>
              <w:marTop w:val="0"/>
              <w:marBottom w:val="0"/>
              <w:divBdr>
                <w:top w:val="none" w:sz="0" w:space="0" w:color="auto"/>
                <w:left w:val="none" w:sz="0" w:space="0" w:color="auto"/>
                <w:bottom w:val="none" w:sz="0" w:space="0" w:color="auto"/>
                <w:right w:val="none" w:sz="0" w:space="0" w:color="auto"/>
              </w:divBdr>
              <w:divsChild>
                <w:div w:id="179949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446879">
          <w:marLeft w:val="0"/>
          <w:marRight w:val="0"/>
          <w:marTop w:val="0"/>
          <w:marBottom w:val="150"/>
          <w:divBdr>
            <w:top w:val="none" w:sz="0" w:space="0" w:color="auto"/>
            <w:left w:val="none" w:sz="0" w:space="0" w:color="auto"/>
            <w:bottom w:val="none" w:sz="0" w:space="0" w:color="auto"/>
            <w:right w:val="none" w:sz="0" w:space="0" w:color="auto"/>
          </w:divBdr>
        </w:div>
      </w:divsChild>
    </w:div>
    <w:div w:id="1114328589">
      <w:bodyDiv w:val="1"/>
      <w:marLeft w:val="0"/>
      <w:marRight w:val="0"/>
      <w:marTop w:val="0"/>
      <w:marBottom w:val="0"/>
      <w:divBdr>
        <w:top w:val="none" w:sz="0" w:space="0" w:color="auto"/>
        <w:left w:val="none" w:sz="0" w:space="0" w:color="auto"/>
        <w:bottom w:val="none" w:sz="0" w:space="0" w:color="auto"/>
        <w:right w:val="none" w:sz="0" w:space="0" w:color="auto"/>
      </w:divBdr>
      <w:divsChild>
        <w:div w:id="1512139916">
          <w:marLeft w:val="0"/>
          <w:marRight w:val="0"/>
          <w:marTop w:val="0"/>
          <w:marBottom w:val="450"/>
          <w:divBdr>
            <w:top w:val="none" w:sz="0" w:space="0" w:color="auto"/>
            <w:left w:val="none" w:sz="0" w:space="0" w:color="auto"/>
            <w:bottom w:val="single" w:sz="6" w:space="19" w:color="EEEEEE"/>
            <w:right w:val="none" w:sz="0" w:space="0" w:color="auto"/>
          </w:divBdr>
          <w:divsChild>
            <w:div w:id="1486513839">
              <w:marLeft w:val="0"/>
              <w:marRight w:val="0"/>
              <w:marTop w:val="0"/>
              <w:marBottom w:val="150"/>
              <w:divBdr>
                <w:top w:val="none" w:sz="0" w:space="0" w:color="auto"/>
                <w:left w:val="none" w:sz="0" w:space="0" w:color="auto"/>
                <w:bottom w:val="none" w:sz="0" w:space="0" w:color="auto"/>
                <w:right w:val="none" w:sz="0" w:space="0" w:color="auto"/>
              </w:divBdr>
              <w:divsChild>
                <w:div w:id="1337464913">
                  <w:marLeft w:val="0"/>
                  <w:marRight w:val="0"/>
                  <w:marTop w:val="0"/>
                  <w:marBottom w:val="0"/>
                  <w:divBdr>
                    <w:top w:val="none" w:sz="0" w:space="0" w:color="auto"/>
                    <w:left w:val="none" w:sz="0" w:space="0" w:color="auto"/>
                    <w:bottom w:val="none" w:sz="0" w:space="0" w:color="auto"/>
                    <w:right w:val="none" w:sz="0" w:space="0" w:color="auto"/>
                  </w:divBdr>
                </w:div>
              </w:divsChild>
            </w:div>
            <w:div w:id="1918243977">
              <w:marLeft w:val="0"/>
              <w:marRight w:val="0"/>
              <w:marTop w:val="0"/>
              <w:marBottom w:val="0"/>
              <w:divBdr>
                <w:top w:val="none" w:sz="0" w:space="0" w:color="auto"/>
                <w:left w:val="none" w:sz="0" w:space="0" w:color="auto"/>
                <w:bottom w:val="none" w:sz="0" w:space="0" w:color="auto"/>
                <w:right w:val="none" w:sz="0" w:space="0" w:color="auto"/>
              </w:divBdr>
            </w:div>
          </w:divsChild>
        </w:div>
        <w:div w:id="1868104171">
          <w:marLeft w:val="0"/>
          <w:marRight w:val="0"/>
          <w:marTop w:val="0"/>
          <w:marBottom w:val="0"/>
          <w:divBdr>
            <w:top w:val="none" w:sz="0" w:space="0" w:color="auto"/>
            <w:left w:val="none" w:sz="0" w:space="0" w:color="auto"/>
            <w:bottom w:val="none" w:sz="0" w:space="0" w:color="auto"/>
            <w:right w:val="none" w:sz="0" w:space="0" w:color="auto"/>
          </w:divBdr>
          <w:divsChild>
            <w:div w:id="1373768160">
              <w:marLeft w:val="0"/>
              <w:marRight w:val="0"/>
              <w:marTop w:val="0"/>
              <w:marBottom w:val="0"/>
              <w:divBdr>
                <w:top w:val="none" w:sz="0" w:space="0" w:color="auto"/>
                <w:left w:val="none" w:sz="0" w:space="0" w:color="auto"/>
                <w:bottom w:val="none" w:sz="0" w:space="0" w:color="auto"/>
                <w:right w:val="none" w:sz="0" w:space="0" w:color="auto"/>
              </w:divBdr>
              <w:divsChild>
                <w:div w:id="249781092">
                  <w:marLeft w:val="0"/>
                  <w:marRight w:val="0"/>
                  <w:marTop w:val="0"/>
                  <w:marBottom w:val="0"/>
                  <w:divBdr>
                    <w:top w:val="none" w:sz="0" w:space="0" w:color="auto"/>
                    <w:left w:val="none" w:sz="0" w:space="0" w:color="auto"/>
                    <w:bottom w:val="none" w:sz="0" w:space="0" w:color="auto"/>
                    <w:right w:val="none" w:sz="0" w:space="0" w:color="auto"/>
                  </w:divBdr>
                </w:div>
                <w:div w:id="109609437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114901920">
      <w:bodyDiv w:val="1"/>
      <w:marLeft w:val="0"/>
      <w:marRight w:val="0"/>
      <w:marTop w:val="0"/>
      <w:marBottom w:val="0"/>
      <w:divBdr>
        <w:top w:val="none" w:sz="0" w:space="0" w:color="auto"/>
        <w:left w:val="none" w:sz="0" w:space="0" w:color="auto"/>
        <w:bottom w:val="none" w:sz="0" w:space="0" w:color="auto"/>
        <w:right w:val="none" w:sz="0" w:space="0" w:color="auto"/>
      </w:divBdr>
    </w:div>
    <w:div w:id="1115176509">
      <w:bodyDiv w:val="1"/>
      <w:marLeft w:val="0"/>
      <w:marRight w:val="0"/>
      <w:marTop w:val="0"/>
      <w:marBottom w:val="0"/>
      <w:divBdr>
        <w:top w:val="none" w:sz="0" w:space="0" w:color="auto"/>
        <w:left w:val="none" w:sz="0" w:space="0" w:color="auto"/>
        <w:bottom w:val="none" w:sz="0" w:space="0" w:color="auto"/>
        <w:right w:val="none" w:sz="0" w:space="0" w:color="auto"/>
      </w:divBdr>
      <w:divsChild>
        <w:div w:id="217866168">
          <w:marLeft w:val="0"/>
          <w:marRight w:val="0"/>
          <w:marTop w:val="0"/>
          <w:marBottom w:val="0"/>
          <w:divBdr>
            <w:top w:val="none" w:sz="0" w:space="0" w:color="auto"/>
            <w:left w:val="none" w:sz="0" w:space="0" w:color="auto"/>
            <w:bottom w:val="dotted" w:sz="6" w:space="4" w:color="DDDDDD"/>
            <w:right w:val="none" w:sz="0" w:space="0" w:color="auto"/>
          </w:divBdr>
        </w:div>
      </w:divsChild>
    </w:div>
    <w:div w:id="1115364533">
      <w:bodyDiv w:val="1"/>
      <w:marLeft w:val="0"/>
      <w:marRight w:val="0"/>
      <w:marTop w:val="0"/>
      <w:marBottom w:val="0"/>
      <w:divBdr>
        <w:top w:val="none" w:sz="0" w:space="0" w:color="auto"/>
        <w:left w:val="none" w:sz="0" w:space="0" w:color="auto"/>
        <w:bottom w:val="none" w:sz="0" w:space="0" w:color="auto"/>
        <w:right w:val="none" w:sz="0" w:space="0" w:color="auto"/>
      </w:divBdr>
      <w:divsChild>
        <w:div w:id="51656549">
          <w:marLeft w:val="0"/>
          <w:marRight w:val="0"/>
          <w:marTop w:val="0"/>
          <w:marBottom w:val="0"/>
          <w:divBdr>
            <w:top w:val="none" w:sz="0" w:space="0" w:color="auto"/>
            <w:left w:val="none" w:sz="0" w:space="0" w:color="auto"/>
            <w:bottom w:val="none" w:sz="0" w:space="0" w:color="auto"/>
            <w:right w:val="none" w:sz="0" w:space="0" w:color="auto"/>
          </w:divBdr>
          <w:divsChild>
            <w:div w:id="1947155220">
              <w:marLeft w:val="0"/>
              <w:marRight w:val="0"/>
              <w:marTop w:val="225"/>
              <w:marBottom w:val="225"/>
              <w:divBdr>
                <w:top w:val="none" w:sz="0" w:space="0" w:color="auto"/>
                <w:left w:val="none" w:sz="0" w:space="0" w:color="auto"/>
                <w:bottom w:val="none" w:sz="0" w:space="0" w:color="auto"/>
                <w:right w:val="none" w:sz="0" w:space="0" w:color="auto"/>
              </w:divBdr>
            </w:div>
          </w:divsChild>
        </w:div>
        <w:div w:id="621763633">
          <w:marLeft w:val="0"/>
          <w:marRight w:val="0"/>
          <w:marTop w:val="0"/>
          <w:marBottom w:val="150"/>
          <w:divBdr>
            <w:top w:val="none" w:sz="0" w:space="0" w:color="auto"/>
            <w:left w:val="none" w:sz="0" w:space="0" w:color="auto"/>
            <w:bottom w:val="none" w:sz="0" w:space="0" w:color="auto"/>
            <w:right w:val="none" w:sz="0" w:space="0" w:color="auto"/>
          </w:divBdr>
        </w:div>
        <w:div w:id="868839056">
          <w:marLeft w:val="0"/>
          <w:marRight w:val="0"/>
          <w:marTop w:val="0"/>
          <w:marBottom w:val="150"/>
          <w:divBdr>
            <w:top w:val="none" w:sz="0" w:space="0" w:color="auto"/>
            <w:left w:val="none" w:sz="0" w:space="0" w:color="auto"/>
            <w:bottom w:val="none" w:sz="0" w:space="0" w:color="auto"/>
            <w:right w:val="none" w:sz="0" w:space="0" w:color="auto"/>
          </w:divBdr>
          <w:divsChild>
            <w:div w:id="756630170">
              <w:marLeft w:val="0"/>
              <w:marRight w:val="0"/>
              <w:marTop w:val="0"/>
              <w:marBottom w:val="0"/>
              <w:divBdr>
                <w:top w:val="none" w:sz="0" w:space="0" w:color="auto"/>
                <w:left w:val="none" w:sz="0" w:space="0" w:color="auto"/>
                <w:bottom w:val="none" w:sz="0" w:space="0" w:color="auto"/>
                <w:right w:val="none" w:sz="0" w:space="0" w:color="auto"/>
              </w:divBdr>
              <w:divsChild>
                <w:div w:id="17553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709833">
      <w:bodyDiv w:val="1"/>
      <w:marLeft w:val="0"/>
      <w:marRight w:val="0"/>
      <w:marTop w:val="0"/>
      <w:marBottom w:val="0"/>
      <w:divBdr>
        <w:top w:val="none" w:sz="0" w:space="0" w:color="auto"/>
        <w:left w:val="none" w:sz="0" w:space="0" w:color="auto"/>
        <w:bottom w:val="none" w:sz="0" w:space="0" w:color="auto"/>
        <w:right w:val="none" w:sz="0" w:space="0" w:color="auto"/>
      </w:divBdr>
      <w:divsChild>
        <w:div w:id="471142666">
          <w:marLeft w:val="0"/>
          <w:marRight w:val="0"/>
          <w:marTop w:val="0"/>
          <w:marBottom w:val="150"/>
          <w:divBdr>
            <w:top w:val="none" w:sz="0" w:space="0" w:color="auto"/>
            <w:left w:val="none" w:sz="0" w:space="0" w:color="auto"/>
            <w:bottom w:val="none" w:sz="0" w:space="0" w:color="auto"/>
            <w:right w:val="none" w:sz="0" w:space="0" w:color="auto"/>
          </w:divBdr>
        </w:div>
      </w:divsChild>
    </w:div>
    <w:div w:id="1115834347">
      <w:bodyDiv w:val="1"/>
      <w:marLeft w:val="0"/>
      <w:marRight w:val="0"/>
      <w:marTop w:val="0"/>
      <w:marBottom w:val="0"/>
      <w:divBdr>
        <w:top w:val="none" w:sz="0" w:space="0" w:color="auto"/>
        <w:left w:val="none" w:sz="0" w:space="0" w:color="auto"/>
        <w:bottom w:val="none" w:sz="0" w:space="0" w:color="auto"/>
        <w:right w:val="none" w:sz="0" w:space="0" w:color="auto"/>
      </w:divBdr>
    </w:div>
    <w:div w:id="1115978994">
      <w:bodyDiv w:val="1"/>
      <w:marLeft w:val="0"/>
      <w:marRight w:val="0"/>
      <w:marTop w:val="0"/>
      <w:marBottom w:val="0"/>
      <w:divBdr>
        <w:top w:val="none" w:sz="0" w:space="0" w:color="auto"/>
        <w:left w:val="none" w:sz="0" w:space="0" w:color="auto"/>
        <w:bottom w:val="none" w:sz="0" w:space="0" w:color="auto"/>
        <w:right w:val="none" w:sz="0" w:space="0" w:color="auto"/>
      </w:divBdr>
    </w:div>
    <w:div w:id="1116025072">
      <w:bodyDiv w:val="1"/>
      <w:marLeft w:val="0"/>
      <w:marRight w:val="0"/>
      <w:marTop w:val="0"/>
      <w:marBottom w:val="0"/>
      <w:divBdr>
        <w:top w:val="none" w:sz="0" w:space="0" w:color="auto"/>
        <w:left w:val="none" w:sz="0" w:space="0" w:color="auto"/>
        <w:bottom w:val="none" w:sz="0" w:space="0" w:color="auto"/>
        <w:right w:val="none" w:sz="0" w:space="0" w:color="auto"/>
      </w:divBdr>
      <w:divsChild>
        <w:div w:id="1240753348">
          <w:marLeft w:val="0"/>
          <w:marRight w:val="0"/>
          <w:marTop w:val="0"/>
          <w:marBottom w:val="0"/>
          <w:divBdr>
            <w:top w:val="none" w:sz="0" w:space="0" w:color="auto"/>
            <w:left w:val="none" w:sz="0" w:space="0" w:color="auto"/>
            <w:bottom w:val="none" w:sz="0" w:space="0" w:color="auto"/>
            <w:right w:val="none" w:sz="0" w:space="0" w:color="auto"/>
          </w:divBdr>
          <w:divsChild>
            <w:div w:id="1711031346">
              <w:marLeft w:val="0"/>
              <w:marRight w:val="0"/>
              <w:marTop w:val="0"/>
              <w:marBottom w:val="0"/>
              <w:divBdr>
                <w:top w:val="none" w:sz="0" w:space="0" w:color="auto"/>
                <w:left w:val="none" w:sz="0" w:space="0" w:color="auto"/>
                <w:bottom w:val="none" w:sz="0" w:space="0" w:color="auto"/>
                <w:right w:val="none" w:sz="0" w:space="0" w:color="auto"/>
              </w:divBdr>
            </w:div>
          </w:divsChild>
        </w:div>
        <w:div w:id="1780099206">
          <w:marLeft w:val="0"/>
          <w:marRight w:val="0"/>
          <w:marTop w:val="120"/>
          <w:marBottom w:val="0"/>
          <w:divBdr>
            <w:top w:val="none" w:sz="0" w:space="0" w:color="auto"/>
            <w:left w:val="none" w:sz="0" w:space="0" w:color="auto"/>
            <w:bottom w:val="none" w:sz="0" w:space="0" w:color="auto"/>
            <w:right w:val="none" w:sz="0" w:space="0" w:color="auto"/>
          </w:divBdr>
        </w:div>
      </w:divsChild>
    </w:div>
    <w:div w:id="1116094850">
      <w:bodyDiv w:val="1"/>
      <w:marLeft w:val="0"/>
      <w:marRight w:val="0"/>
      <w:marTop w:val="0"/>
      <w:marBottom w:val="0"/>
      <w:divBdr>
        <w:top w:val="none" w:sz="0" w:space="0" w:color="auto"/>
        <w:left w:val="none" w:sz="0" w:space="0" w:color="auto"/>
        <w:bottom w:val="none" w:sz="0" w:space="0" w:color="auto"/>
        <w:right w:val="none" w:sz="0" w:space="0" w:color="auto"/>
      </w:divBdr>
    </w:div>
    <w:div w:id="1116216812">
      <w:bodyDiv w:val="1"/>
      <w:marLeft w:val="0"/>
      <w:marRight w:val="0"/>
      <w:marTop w:val="0"/>
      <w:marBottom w:val="0"/>
      <w:divBdr>
        <w:top w:val="none" w:sz="0" w:space="0" w:color="auto"/>
        <w:left w:val="none" w:sz="0" w:space="0" w:color="auto"/>
        <w:bottom w:val="none" w:sz="0" w:space="0" w:color="auto"/>
        <w:right w:val="none" w:sz="0" w:space="0" w:color="auto"/>
      </w:divBdr>
      <w:divsChild>
        <w:div w:id="678503405">
          <w:marLeft w:val="0"/>
          <w:marRight w:val="0"/>
          <w:marTop w:val="0"/>
          <w:marBottom w:val="0"/>
          <w:divBdr>
            <w:top w:val="none" w:sz="0" w:space="0" w:color="auto"/>
            <w:left w:val="none" w:sz="0" w:space="0" w:color="auto"/>
            <w:bottom w:val="dotted" w:sz="6" w:space="4" w:color="DDDDDD"/>
            <w:right w:val="none" w:sz="0" w:space="0" w:color="auto"/>
          </w:divBdr>
        </w:div>
      </w:divsChild>
    </w:div>
    <w:div w:id="1116217543">
      <w:bodyDiv w:val="1"/>
      <w:marLeft w:val="0"/>
      <w:marRight w:val="0"/>
      <w:marTop w:val="0"/>
      <w:marBottom w:val="0"/>
      <w:divBdr>
        <w:top w:val="none" w:sz="0" w:space="0" w:color="auto"/>
        <w:left w:val="none" w:sz="0" w:space="0" w:color="auto"/>
        <w:bottom w:val="none" w:sz="0" w:space="0" w:color="auto"/>
        <w:right w:val="none" w:sz="0" w:space="0" w:color="auto"/>
      </w:divBdr>
    </w:div>
    <w:div w:id="1116217681">
      <w:bodyDiv w:val="1"/>
      <w:marLeft w:val="0"/>
      <w:marRight w:val="0"/>
      <w:marTop w:val="0"/>
      <w:marBottom w:val="0"/>
      <w:divBdr>
        <w:top w:val="none" w:sz="0" w:space="0" w:color="auto"/>
        <w:left w:val="none" w:sz="0" w:space="0" w:color="auto"/>
        <w:bottom w:val="none" w:sz="0" w:space="0" w:color="auto"/>
        <w:right w:val="none" w:sz="0" w:space="0" w:color="auto"/>
      </w:divBdr>
      <w:divsChild>
        <w:div w:id="1454903749">
          <w:marLeft w:val="0"/>
          <w:marRight w:val="0"/>
          <w:marTop w:val="0"/>
          <w:marBottom w:val="0"/>
          <w:divBdr>
            <w:top w:val="none" w:sz="0" w:space="0" w:color="auto"/>
            <w:left w:val="none" w:sz="0" w:space="0" w:color="auto"/>
            <w:bottom w:val="none" w:sz="0" w:space="0" w:color="auto"/>
            <w:right w:val="none" w:sz="0" w:space="0" w:color="auto"/>
          </w:divBdr>
        </w:div>
        <w:div w:id="1697463403">
          <w:marLeft w:val="0"/>
          <w:marRight w:val="0"/>
          <w:marTop w:val="0"/>
          <w:marBottom w:val="150"/>
          <w:divBdr>
            <w:top w:val="none" w:sz="0" w:space="0" w:color="auto"/>
            <w:left w:val="none" w:sz="0" w:space="0" w:color="auto"/>
            <w:bottom w:val="none" w:sz="0" w:space="0" w:color="auto"/>
            <w:right w:val="none" w:sz="0" w:space="0" w:color="auto"/>
          </w:divBdr>
        </w:div>
      </w:divsChild>
    </w:div>
    <w:div w:id="1116291408">
      <w:bodyDiv w:val="1"/>
      <w:marLeft w:val="0"/>
      <w:marRight w:val="0"/>
      <w:marTop w:val="0"/>
      <w:marBottom w:val="0"/>
      <w:divBdr>
        <w:top w:val="none" w:sz="0" w:space="0" w:color="auto"/>
        <w:left w:val="none" w:sz="0" w:space="0" w:color="auto"/>
        <w:bottom w:val="none" w:sz="0" w:space="0" w:color="auto"/>
        <w:right w:val="none" w:sz="0" w:space="0" w:color="auto"/>
      </w:divBdr>
      <w:divsChild>
        <w:div w:id="127163734">
          <w:marLeft w:val="0"/>
          <w:marRight w:val="0"/>
          <w:marTop w:val="0"/>
          <w:marBottom w:val="150"/>
          <w:divBdr>
            <w:top w:val="none" w:sz="0" w:space="0" w:color="auto"/>
            <w:left w:val="none" w:sz="0" w:space="0" w:color="auto"/>
            <w:bottom w:val="none" w:sz="0" w:space="0" w:color="auto"/>
            <w:right w:val="none" w:sz="0" w:space="0" w:color="auto"/>
          </w:divBdr>
        </w:div>
      </w:divsChild>
    </w:div>
    <w:div w:id="1116368055">
      <w:bodyDiv w:val="1"/>
      <w:marLeft w:val="0"/>
      <w:marRight w:val="0"/>
      <w:marTop w:val="0"/>
      <w:marBottom w:val="0"/>
      <w:divBdr>
        <w:top w:val="none" w:sz="0" w:space="0" w:color="auto"/>
        <w:left w:val="none" w:sz="0" w:space="0" w:color="auto"/>
        <w:bottom w:val="none" w:sz="0" w:space="0" w:color="auto"/>
        <w:right w:val="none" w:sz="0" w:space="0" w:color="auto"/>
      </w:divBdr>
      <w:divsChild>
        <w:div w:id="400367583">
          <w:marLeft w:val="0"/>
          <w:marRight w:val="0"/>
          <w:marTop w:val="0"/>
          <w:marBottom w:val="150"/>
          <w:divBdr>
            <w:top w:val="none" w:sz="0" w:space="0" w:color="auto"/>
            <w:left w:val="none" w:sz="0" w:space="0" w:color="auto"/>
            <w:bottom w:val="none" w:sz="0" w:space="0" w:color="auto"/>
            <w:right w:val="none" w:sz="0" w:space="0" w:color="auto"/>
          </w:divBdr>
          <w:divsChild>
            <w:div w:id="1461995329">
              <w:marLeft w:val="0"/>
              <w:marRight w:val="0"/>
              <w:marTop w:val="0"/>
              <w:marBottom w:val="0"/>
              <w:divBdr>
                <w:top w:val="none" w:sz="0" w:space="0" w:color="auto"/>
                <w:left w:val="none" w:sz="0" w:space="0" w:color="auto"/>
                <w:bottom w:val="none" w:sz="0" w:space="0" w:color="auto"/>
                <w:right w:val="none" w:sz="0" w:space="0" w:color="auto"/>
              </w:divBdr>
            </w:div>
          </w:divsChild>
        </w:div>
        <w:div w:id="1194071150">
          <w:marLeft w:val="0"/>
          <w:marRight w:val="0"/>
          <w:marTop w:val="0"/>
          <w:marBottom w:val="150"/>
          <w:divBdr>
            <w:top w:val="none" w:sz="0" w:space="0" w:color="auto"/>
            <w:left w:val="none" w:sz="0" w:space="0" w:color="auto"/>
            <w:bottom w:val="none" w:sz="0" w:space="0" w:color="auto"/>
            <w:right w:val="none" w:sz="0" w:space="0" w:color="auto"/>
          </w:divBdr>
        </w:div>
      </w:divsChild>
    </w:div>
    <w:div w:id="1116488518">
      <w:bodyDiv w:val="1"/>
      <w:marLeft w:val="0"/>
      <w:marRight w:val="0"/>
      <w:marTop w:val="0"/>
      <w:marBottom w:val="0"/>
      <w:divBdr>
        <w:top w:val="none" w:sz="0" w:space="0" w:color="auto"/>
        <w:left w:val="none" w:sz="0" w:space="0" w:color="auto"/>
        <w:bottom w:val="none" w:sz="0" w:space="0" w:color="auto"/>
        <w:right w:val="none" w:sz="0" w:space="0" w:color="auto"/>
      </w:divBdr>
      <w:divsChild>
        <w:div w:id="54204593">
          <w:marLeft w:val="0"/>
          <w:marRight w:val="0"/>
          <w:marTop w:val="0"/>
          <w:marBottom w:val="0"/>
          <w:divBdr>
            <w:top w:val="none" w:sz="0" w:space="0" w:color="auto"/>
            <w:left w:val="none" w:sz="0" w:space="0" w:color="auto"/>
            <w:bottom w:val="dotted" w:sz="6" w:space="4" w:color="DDDDDD"/>
            <w:right w:val="none" w:sz="0" w:space="0" w:color="auto"/>
          </w:divBdr>
          <w:divsChild>
            <w:div w:id="5629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52192">
      <w:bodyDiv w:val="1"/>
      <w:marLeft w:val="0"/>
      <w:marRight w:val="0"/>
      <w:marTop w:val="0"/>
      <w:marBottom w:val="0"/>
      <w:divBdr>
        <w:top w:val="none" w:sz="0" w:space="0" w:color="auto"/>
        <w:left w:val="none" w:sz="0" w:space="0" w:color="auto"/>
        <w:bottom w:val="none" w:sz="0" w:space="0" w:color="auto"/>
        <w:right w:val="none" w:sz="0" w:space="0" w:color="auto"/>
      </w:divBdr>
    </w:div>
    <w:div w:id="1116829642">
      <w:bodyDiv w:val="1"/>
      <w:marLeft w:val="0"/>
      <w:marRight w:val="0"/>
      <w:marTop w:val="0"/>
      <w:marBottom w:val="0"/>
      <w:divBdr>
        <w:top w:val="none" w:sz="0" w:space="0" w:color="auto"/>
        <w:left w:val="none" w:sz="0" w:space="0" w:color="auto"/>
        <w:bottom w:val="none" w:sz="0" w:space="0" w:color="auto"/>
        <w:right w:val="none" w:sz="0" w:space="0" w:color="auto"/>
      </w:divBdr>
      <w:divsChild>
        <w:div w:id="699011595">
          <w:marLeft w:val="0"/>
          <w:marRight w:val="0"/>
          <w:marTop w:val="0"/>
          <w:marBottom w:val="0"/>
          <w:divBdr>
            <w:top w:val="none" w:sz="0" w:space="0" w:color="auto"/>
            <w:left w:val="none" w:sz="0" w:space="0" w:color="auto"/>
            <w:bottom w:val="dotted" w:sz="6" w:space="4" w:color="DDDDDD"/>
            <w:right w:val="none" w:sz="0" w:space="0" w:color="auto"/>
          </w:divBdr>
        </w:div>
      </w:divsChild>
    </w:div>
    <w:div w:id="1117024697">
      <w:bodyDiv w:val="1"/>
      <w:marLeft w:val="0"/>
      <w:marRight w:val="0"/>
      <w:marTop w:val="0"/>
      <w:marBottom w:val="0"/>
      <w:divBdr>
        <w:top w:val="none" w:sz="0" w:space="0" w:color="auto"/>
        <w:left w:val="none" w:sz="0" w:space="0" w:color="auto"/>
        <w:bottom w:val="none" w:sz="0" w:space="0" w:color="auto"/>
        <w:right w:val="none" w:sz="0" w:space="0" w:color="auto"/>
      </w:divBdr>
      <w:divsChild>
        <w:div w:id="1281911837">
          <w:marLeft w:val="0"/>
          <w:marRight w:val="0"/>
          <w:marTop w:val="0"/>
          <w:marBottom w:val="150"/>
          <w:divBdr>
            <w:top w:val="none" w:sz="0" w:space="0" w:color="auto"/>
            <w:left w:val="none" w:sz="0" w:space="0" w:color="auto"/>
            <w:bottom w:val="none" w:sz="0" w:space="0" w:color="auto"/>
            <w:right w:val="none" w:sz="0" w:space="0" w:color="auto"/>
          </w:divBdr>
        </w:div>
      </w:divsChild>
    </w:div>
    <w:div w:id="1117025973">
      <w:bodyDiv w:val="1"/>
      <w:marLeft w:val="0"/>
      <w:marRight w:val="0"/>
      <w:marTop w:val="0"/>
      <w:marBottom w:val="0"/>
      <w:divBdr>
        <w:top w:val="none" w:sz="0" w:space="0" w:color="auto"/>
        <w:left w:val="none" w:sz="0" w:space="0" w:color="auto"/>
        <w:bottom w:val="none" w:sz="0" w:space="0" w:color="auto"/>
        <w:right w:val="none" w:sz="0" w:space="0" w:color="auto"/>
      </w:divBdr>
      <w:divsChild>
        <w:div w:id="1455978356">
          <w:marLeft w:val="0"/>
          <w:marRight w:val="0"/>
          <w:marTop w:val="0"/>
          <w:marBottom w:val="0"/>
          <w:divBdr>
            <w:top w:val="none" w:sz="0" w:space="0" w:color="auto"/>
            <w:left w:val="none" w:sz="0" w:space="0" w:color="auto"/>
            <w:bottom w:val="none" w:sz="0" w:space="0" w:color="auto"/>
            <w:right w:val="none" w:sz="0" w:space="0" w:color="auto"/>
          </w:divBdr>
          <w:divsChild>
            <w:div w:id="1408334138">
              <w:marLeft w:val="0"/>
              <w:marRight w:val="0"/>
              <w:marTop w:val="0"/>
              <w:marBottom w:val="0"/>
              <w:divBdr>
                <w:top w:val="none" w:sz="0" w:space="0" w:color="auto"/>
                <w:left w:val="none" w:sz="0" w:space="0" w:color="auto"/>
                <w:bottom w:val="none" w:sz="0" w:space="0" w:color="auto"/>
                <w:right w:val="none" w:sz="0" w:space="0" w:color="auto"/>
              </w:divBdr>
              <w:divsChild>
                <w:div w:id="1868446516">
                  <w:marLeft w:val="0"/>
                  <w:marRight w:val="0"/>
                  <w:marTop w:val="0"/>
                  <w:marBottom w:val="0"/>
                  <w:divBdr>
                    <w:top w:val="none" w:sz="0" w:space="0" w:color="auto"/>
                    <w:left w:val="none" w:sz="0" w:space="0" w:color="auto"/>
                    <w:bottom w:val="none" w:sz="0" w:space="0" w:color="auto"/>
                    <w:right w:val="none" w:sz="0" w:space="0" w:color="auto"/>
                  </w:divBdr>
                  <w:divsChild>
                    <w:div w:id="608660594">
                      <w:marLeft w:val="0"/>
                      <w:marRight w:val="0"/>
                      <w:marTop w:val="0"/>
                      <w:marBottom w:val="0"/>
                      <w:divBdr>
                        <w:top w:val="none" w:sz="0" w:space="0" w:color="auto"/>
                        <w:left w:val="none" w:sz="0" w:space="0" w:color="auto"/>
                        <w:bottom w:val="none" w:sz="0" w:space="0" w:color="auto"/>
                        <w:right w:val="none" w:sz="0" w:space="0" w:color="auto"/>
                      </w:divBdr>
                      <w:divsChild>
                        <w:div w:id="1869684055">
                          <w:marLeft w:val="0"/>
                          <w:marRight w:val="0"/>
                          <w:marTop w:val="0"/>
                          <w:marBottom w:val="0"/>
                          <w:divBdr>
                            <w:top w:val="none" w:sz="0" w:space="0" w:color="auto"/>
                            <w:left w:val="none" w:sz="0" w:space="0" w:color="auto"/>
                            <w:bottom w:val="none" w:sz="0" w:space="0" w:color="auto"/>
                            <w:right w:val="none" w:sz="0" w:space="0" w:color="auto"/>
                          </w:divBdr>
                          <w:divsChild>
                            <w:div w:id="1683317706">
                              <w:marLeft w:val="0"/>
                              <w:marRight w:val="0"/>
                              <w:marTop w:val="0"/>
                              <w:marBottom w:val="0"/>
                              <w:divBdr>
                                <w:top w:val="none" w:sz="0" w:space="0" w:color="auto"/>
                                <w:left w:val="none" w:sz="0" w:space="0" w:color="auto"/>
                                <w:bottom w:val="none" w:sz="0" w:space="0" w:color="auto"/>
                                <w:right w:val="none" w:sz="0" w:space="0" w:color="auto"/>
                              </w:divBdr>
                              <w:divsChild>
                                <w:div w:id="2084789837">
                                  <w:marLeft w:val="0"/>
                                  <w:marRight w:val="0"/>
                                  <w:marTop w:val="0"/>
                                  <w:marBottom w:val="0"/>
                                  <w:divBdr>
                                    <w:top w:val="none" w:sz="0" w:space="0" w:color="auto"/>
                                    <w:left w:val="none" w:sz="0" w:space="0" w:color="auto"/>
                                    <w:bottom w:val="none" w:sz="0" w:space="0" w:color="auto"/>
                                    <w:right w:val="none" w:sz="0" w:space="0" w:color="auto"/>
                                  </w:divBdr>
                                  <w:divsChild>
                                    <w:div w:id="132305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409323">
      <w:bodyDiv w:val="1"/>
      <w:marLeft w:val="0"/>
      <w:marRight w:val="0"/>
      <w:marTop w:val="0"/>
      <w:marBottom w:val="0"/>
      <w:divBdr>
        <w:top w:val="none" w:sz="0" w:space="0" w:color="auto"/>
        <w:left w:val="none" w:sz="0" w:space="0" w:color="auto"/>
        <w:bottom w:val="none" w:sz="0" w:space="0" w:color="auto"/>
        <w:right w:val="none" w:sz="0" w:space="0" w:color="auto"/>
      </w:divBdr>
      <w:divsChild>
        <w:div w:id="328599417">
          <w:marLeft w:val="0"/>
          <w:marRight w:val="0"/>
          <w:marTop w:val="0"/>
          <w:marBottom w:val="0"/>
          <w:divBdr>
            <w:top w:val="none" w:sz="0" w:space="0" w:color="auto"/>
            <w:left w:val="none" w:sz="0" w:space="0" w:color="auto"/>
            <w:bottom w:val="none" w:sz="0" w:space="0" w:color="auto"/>
            <w:right w:val="none" w:sz="0" w:space="0" w:color="auto"/>
          </w:divBdr>
        </w:div>
      </w:divsChild>
    </w:div>
    <w:div w:id="1117528562">
      <w:bodyDiv w:val="1"/>
      <w:marLeft w:val="0"/>
      <w:marRight w:val="0"/>
      <w:marTop w:val="0"/>
      <w:marBottom w:val="0"/>
      <w:divBdr>
        <w:top w:val="none" w:sz="0" w:space="0" w:color="auto"/>
        <w:left w:val="none" w:sz="0" w:space="0" w:color="auto"/>
        <w:bottom w:val="none" w:sz="0" w:space="0" w:color="auto"/>
        <w:right w:val="none" w:sz="0" w:space="0" w:color="auto"/>
      </w:divBdr>
      <w:divsChild>
        <w:div w:id="1689017829">
          <w:marLeft w:val="0"/>
          <w:marRight w:val="0"/>
          <w:marTop w:val="0"/>
          <w:marBottom w:val="0"/>
          <w:divBdr>
            <w:top w:val="none" w:sz="0" w:space="0" w:color="auto"/>
            <w:left w:val="none" w:sz="0" w:space="0" w:color="auto"/>
            <w:bottom w:val="none" w:sz="0" w:space="0" w:color="auto"/>
            <w:right w:val="none" w:sz="0" w:space="0" w:color="auto"/>
          </w:divBdr>
          <w:divsChild>
            <w:div w:id="2001422637">
              <w:marLeft w:val="0"/>
              <w:marRight w:val="0"/>
              <w:marTop w:val="0"/>
              <w:marBottom w:val="0"/>
              <w:divBdr>
                <w:top w:val="none" w:sz="0" w:space="0" w:color="auto"/>
                <w:left w:val="none" w:sz="0" w:space="0" w:color="auto"/>
                <w:bottom w:val="none" w:sz="0" w:space="0" w:color="auto"/>
                <w:right w:val="none" w:sz="0" w:space="0" w:color="auto"/>
              </w:divBdr>
              <w:divsChild>
                <w:div w:id="1137795435">
                  <w:marLeft w:val="0"/>
                  <w:marRight w:val="0"/>
                  <w:marTop w:val="0"/>
                  <w:marBottom w:val="0"/>
                  <w:divBdr>
                    <w:top w:val="none" w:sz="0" w:space="0" w:color="auto"/>
                    <w:left w:val="none" w:sz="0" w:space="0" w:color="auto"/>
                    <w:bottom w:val="none" w:sz="0" w:space="0" w:color="auto"/>
                    <w:right w:val="none" w:sz="0" w:space="0" w:color="auto"/>
                  </w:divBdr>
                  <w:divsChild>
                    <w:div w:id="1538152766">
                      <w:marLeft w:val="0"/>
                      <w:marRight w:val="0"/>
                      <w:marTop w:val="0"/>
                      <w:marBottom w:val="0"/>
                      <w:divBdr>
                        <w:top w:val="none" w:sz="0" w:space="0" w:color="auto"/>
                        <w:left w:val="none" w:sz="0" w:space="0" w:color="auto"/>
                        <w:bottom w:val="none" w:sz="0" w:space="0" w:color="auto"/>
                        <w:right w:val="none" w:sz="0" w:space="0" w:color="auto"/>
                      </w:divBdr>
                      <w:divsChild>
                        <w:div w:id="1503932532">
                          <w:marLeft w:val="0"/>
                          <w:marRight w:val="0"/>
                          <w:marTop w:val="0"/>
                          <w:marBottom w:val="0"/>
                          <w:divBdr>
                            <w:top w:val="none" w:sz="0" w:space="0" w:color="auto"/>
                            <w:left w:val="none" w:sz="0" w:space="0" w:color="auto"/>
                            <w:bottom w:val="none" w:sz="0" w:space="0" w:color="auto"/>
                            <w:right w:val="none" w:sz="0" w:space="0" w:color="auto"/>
                          </w:divBdr>
                          <w:divsChild>
                            <w:div w:id="2036878030">
                              <w:marLeft w:val="0"/>
                              <w:marRight w:val="0"/>
                              <w:marTop w:val="0"/>
                              <w:marBottom w:val="0"/>
                              <w:divBdr>
                                <w:top w:val="none" w:sz="0" w:space="0" w:color="auto"/>
                                <w:left w:val="none" w:sz="0" w:space="0" w:color="auto"/>
                                <w:bottom w:val="none" w:sz="0" w:space="0" w:color="auto"/>
                                <w:right w:val="none" w:sz="0" w:space="0" w:color="auto"/>
                              </w:divBdr>
                              <w:divsChild>
                                <w:div w:id="1443525780">
                                  <w:marLeft w:val="0"/>
                                  <w:marRight w:val="0"/>
                                  <w:marTop w:val="0"/>
                                  <w:marBottom w:val="0"/>
                                  <w:divBdr>
                                    <w:top w:val="none" w:sz="0" w:space="0" w:color="auto"/>
                                    <w:left w:val="none" w:sz="0" w:space="0" w:color="auto"/>
                                    <w:bottom w:val="none" w:sz="0" w:space="0" w:color="auto"/>
                                    <w:right w:val="none" w:sz="0" w:space="0" w:color="auto"/>
                                  </w:divBdr>
                                  <w:divsChild>
                                    <w:div w:id="168882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722409">
      <w:bodyDiv w:val="1"/>
      <w:marLeft w:val="0"/>
      <w:marRight w:val="0"/>
      <w:marTop w:val="0"/>
      <w:marBottom w:val="0"/>
      <w:divBdr>
        <w:top w:val="none" w:sz="0" w:space="0" w:color="auto"/>
        <w:left w:val="none" w:sz="0" w:space="0" w:color="auto"/>
        <w:bottom w:val="none" w:sz="0" w:space="0" w:color="auto"/>
        <w:right w:val="none" w:sz="0" w:space="0" w:color="auto"/>
      </w:divBdr>
      <w:divsChild>
        <w:div w:id="223761112">
          <w:marLeft w:val="0"/>
          <w:marRight w:val="0"/>
          <w:marTop w:val="0"/>
          <w:marBottom w:val="0"/>
          <w:divBdr>
            <w:top w:val="none" w:sz="0" w:space="0" w:color="auto"/>
            <w:left w:val="none" w:sz="0" w:space="0" w:color="auto"/>
            <w:bottom w:val="none" w:sz="0" w:space="0" w:color="auto"/>
            <w:right w:val="none" w:sz="0" w:space="0" w:color="auto"/>
          </w:divBdr>
        </w:div>
      </w:divsChild>
    </w:div>
    <w:div w:id="1118254924">
      <w:bodyDiv w:val="1"/>
      <w:marLeft w:val="0"/>
      <w:marRight w:val="0"/>
      <w:marTop w:val="0"/>
      <w:marBottom w:val="0"/>
      <w:divBdr>
        <w:top w:val="none" w:sz="0" w:space="0" w:color="auto"/>
        <w:left w:val="none" w:sz="0" w:space="0" w:color="auto"/>
        <w:bottom w:val="none" w:sz="0" w:space="0" w:color="auto"/>
        <w:right w:val="none" w:sz="0" w:space="0" w:color="auto"/>
      </w:divBdr>
      <w:divsChild>
        <w:div w:id="1490289969">
          <w:marLeft w:val="0"/>
          <w:marRight w:val="0"/>
          <w:marTop w:val="0"/>
          <w:marBottom w:val="0"/>
          <w:divBdr>
            <w:top w:val="none" w:sz="0" w:space="0" w:color="auto"/>
            <w:left w:val="none" w:sz="0" w:space="0" w:color="auto"/>
            <w:bottom w:val="none" w:sz="0" w:space="0" w:color="auto"/>
            <w:right w:val="none" w:sz="0" w:space="0" w:color="auto"/>
          </w:divBdr>
          <w:divsChild>
            <w:div w:id="408622988">
              <w:marLeft w:val="0"/>
              <w:marRight w:val="0"/>
              <w:marTop w:val="0"/>
              <w:marBottom w:val="0"/>
              <w:divBdr>
                <w:top w:val="none" w:sz="0" w:space="0" w:color="auto"/>
                <w:left w:val="none" w:sz="0" w:space="0" w:color="auto"/>
                <w:bottom w:val="none" w:sz="0" w:space="0" w:color="auto"/>
                <w:right w:val="none" w:sz="0" w:space="0" w:color="auto"/>
              </w:divBdr>
              <w:divsChild>
                <w:div w:id="352607566">
                  <w:marLeft w:val="0"/>
                  <w:marRight w:val="0"/>
                  <w:marTop w:val="0"/>
                  <w:marBottom w:val="0"/>
                  <w:divBdr>
                    <w:top w:val="none" w:sz="0" w:space="0" w:color="auto"/>
                    <w:left w:val="none" w:sz="0" w:space="0" w:color="auto"/>
                    <w:bottom w:val="none" w:sz="0" w:space="0" w:color="auto"/>
                    <w:right w:val="none" w:sz="0" w:space="0" w:color="auto"/>
                  </w:divBdr>
                  <w:divsChild>
                    <w:div w:id="995836052">
                      <w:marLeft w:val="0"/>
                      <w:marRight w:val="0"/>
                      <w:marTop w:val="0"/>
                      <w:marBottom w:val="0"/>
                      <w:divBdr>
                        <w:top w:val="none" w:sz="0" w:space="0" w:color="auto"/>
                        <w:left w:val="none" w:sz="0" w:space="0" w:color="auto"/>
                        <w:bottom w:val="none" w:sz="0" w:space="0" w:color="auto"/>
                        <w:right w:val="none" w:sz="0" w:space="0" w:color="auto"/>
                      </w:divBdr>
                      <w:divsChild>
                        <w:div w:id="1039359418">
                          <w:marLeft w:val="0"/>
                          <w:marRight w:val="0"/>
                          <w:marTop w:val="0"/>
                          <w:marBottom w:val="0"/>
                          <w:divBdr>
                            <w:top w:val="none" w:sz="0" w:space="0" w:color="auto"/>
                            <w:left w:val="none" w:sz="0" w:space="0" w:color="auto"/>
                            <w:bottom w:val="none" w:sz="0" w:space="0" w:color="auto"/>
                            <w:right w:val="none" w:sz="0" w:space="0" w:color="auto"/>
                          </w:divBdr>
                          <w:divsChild>
                            <w:div w:id="1454977256">
                              <w:marLeft w:val="0"/>
                              <w:marRight w:val="0"/>
                              <w:marTop w:val="0"/>
                              <w:marBottom w:val="0"/>
                              <w:divBdr>
                                <w:top w:val="none" w:sz="0" w:space="0" w:color="auto"/>
                                <w:left w:val="none" w:sz="0" w:space="0" w:color="auto"/>
                                <w:bottom w:val="none" w:sz="0" w:space="0" w:color="auto"/>
                                <w:right w:val="none" w:sz="0" w:space="0" w:color="auto"/>
                              </w:divBdr>
                              <w:divsChild>
                                <w:div w:id="2083482617">
                                  <w:marLeft w:val="0"/>
                                  <w:marRight w:val="0"/>
                                  <w:marTop w:val="0"/>
                                  <w:marBottom w:val="0"/>
                                  <w:divBdr>
                                    <w:top w:val="none" w:sz="0" w:space="0" w:color="auto"/>
                                    <w:left w:val="none" w:sz="0" w:space="0" w:color="auto"/>
                                    <w:bottom w:val="none" w:sz="0" w:space="0" w:color="auto"/>
                                    <w:right w:val="none" w:sz="0" w:space="0" w:color="auto"/>
                                  </w:divBdr>
                                  <w:divsChild>
                                    <w:div w:id="822505346">
                                      <w:marLeft w:val="0"/>
                                      <w:marRight w:val="0"/>
                                      <w:marTop w:val="0"/>
                                      <w:marBottom w:val="0"/>
                                      <w:divBdr>
                                        <w:top w:val="none" w:sz="0" w:space="0" w:color="auto"/>
                                        <w:left w:val="none" w:sz="0" w:space="0" w:color="auto"/>
                                        <w:bottom w:val="none" w:sz="0" w:space="0" w:color="auto"/>
                                        <w:right w:val="none" w:sz="0" w:space="0" w:color="auto"/>
                                      </w:divBdr>
                                      <w:divsChild>
                                        <w:div w:id="121681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527209">
      <w:bodyDiv w:val="1"/>
      <w:marLeft w:val="0"/>
      <w:marRight w:val="0"/>
      <w:marTop w:val="0"/>
      <w:marBottom w:val="0"/>
      <w:divBdr>
        <w:top w:val="none" w:sz="0" w:space="0" w:color="auto"/>
        <w:left w:val="none" w:sz="0" w:space="0" w:color="auto"/>
        <w:bottom w:val="none" w:sz="0" w:space="0" w:color="auto"/>
        <w:right w:val="none" w:sz="0" w:space="0" w:color="auto"/>
      </w:divBdr>
    </w:div>
    <w:div w:id="1118598296">
      <w:bodyDiv w:val="1"/>
      <w:marLeft w:val="0"/>
      <w:marRight w:val="0"/>
      <w:marTop w:val="0"/>
      <w:marBottom w:val="0"/>
      <w:divBdr>
        <w:top w:val="none" w:sz="0" w:space="0" w:color="auto"/>
        <w:left w:val="none" w:sz="0" w:space="0" w:color="auto"/>
        <w:bottom w:val="none" w:sz="0" w:space="0" w:color="auto"/>
        <w:right w:val="none" w:sz="0" w:space="0" w:color="auto"/>
      </w:divBdr>
      <w:divsChild>
        <w:div w:id="1352798201">
          <w:marLeft w:val="0"/>
          <w:marRight w:val="0"/>
          <w:marTop w:val="0"/>
          <w:marBottom w:val="0"/>
          <w:divBdr>
            <w:top w:val="none" w:sz="0" w:space="0" w:color="auto"/>
            <w:left w:val="none" w:sz="0" w:space="0" w:color="auto"/>
            <w:bottom w:val="none" w:sz="0" w:space="0" w:color="auto"/>
            <w:right w:val="none" w:sz="0" w:space="0" w:color="auto"/>
          </w:divBdr>
          <w:divsChild>
            <w:div w:id="1175727894">
              <w:marLeft w:val="0"/>
              <w:marRight w:val="0"/>
              <w:marTop w:val="0"/>
              <w:marBottom w:val="0"/>
              <w:divBdr>
                <w:top w:val="none" w:sz="0" w:space="0" w:color="auto"/>
                <w:left w:val="none" w:sz="0" w:space="0" w:color="auto"/>
                <w:bottom w:val="none" w:sz="0" w:space="0" w:color="auto"/>
                <w:right w:val="none" w:sz="0" w:space="0" w:color="auto"/>
              </w:divBdr>
            </w:div>
          </w:divsChild>
        </w:div>
        <w:div w:id="1956709401">
          <w:marLeft w:val="0"/>
          <w:marRight w:val="0"/>
          <w:marTop w:val="150"/>
          <w:marBottom w:val="0"/>
          <w:divBdr>
            <w:top w:val="none" w:sz="0" w:space="0" w:color="auto"/>
            <w:left w:val="none" w:sz="0" w:space="0" w:color="auto"/>
            <w:bottom w:val="none" w:sz="0" w:space="0" w:color="auto"/>
            <w:right w:val="none" w:sz="0" w:space="0" w:color="auto"/>
          </w:divBdr>
          <w:divsChild>
            <w:div w:id="992099792">
              <w:marLeft w:val="0"/>
              <w:marRight w:val="0"/>
              <w:marTop w:val="0"/>
              <w:marBottom w:val="0"/>
              <w:divBdr>
                <w:top w:val="none" w:sz="0" w:space="0" w:color="auto"/>
                <w:left w:val="none" w:sz="0" w:space="0" w:color="auto"/>
                <w:bottom w:val="none" w:sz="0" w:space="0" w:color="auto"/>
                <w:right w:val="none" w:sz="0" w:space="0" w:color="auto"/>
              </w:divBdr>
              <w:divsChild>
                <w:div w:id="40148716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911382">
      <w:bodyDiv w:val="1"/>
      <w:marLeft w:val="0"/>
      <w:marRight w:val="0"/>
      <w:marTop w:val="0"/>
      <w:marBottom w:val="0"/>
      <w:divBdr>
        <w:top w:val="none" w:sz="0" w:space="0" w:color="auto"/>
        <w:left w:val="none" w:sz="0" w:space="0" w:color="auto"/>
        <w:bottom w:val="none" w:sz="0" w:space="0" w:color="auto"/>
        <w:right w:val="none" w:sz="0" w:space="0" w:color="auto"/>
      </w:divBdr>
      <w:divsChild>
        <w:div w:id="240871266">
          <w:marLeft w:val="0"/>
          <w:marRight w:val="0"/>
          <w:marTop w:val="0"/>
          <w:marBottom w:val="0"/>
          <w:divBdr>
            <w:top w:val="none" w:sz="0" w:space="0" w:color="auto"/>
            <w:left w:val="none" w:sz="0" w:space="0" w:color="auto"/>
            <w:bottom w:val="none" w:sz="0" w:space="0" w:color="auto"/>
            <w:right w:val="none" w:sz="0" w:space="0" w:color="auto"/>
          </w:divBdr>
        </w:div>
        <w:div w:id="820854750">
          <w:marLeft w:val="0"/>
          <w:marRight w:val="0"/>
          <w:marTop w:val="0"/>
          <w:marBottom w:val="0"/>
          <w:divBdr>
            <w:top w:val="none" w:sz="0" w:space="0" w:color="auto"/>
            <w:left w:val="none" w:sz="0" w:space="0" w:color="auto"/>
            <w:bottom w:val="none" w:sz="0" w:space="0" w:color="auto"/>
            <w:right w:val="none" w:sz="0" w:space="0" w:color="auto"/>
          </w:divBdr>
          <w:divsChild>
            <w:div w:id="1491755490">
              <w:marLeft w:val="0"/>
              <w:marRight w:val="0"/>
              <w:marTop w:val="0"/>
              <w:marBottom w:val="0"/>
              <w:divBdr>
                <w:top w:val="none" w:sz="0" w:space="0" w:color="auto"/>
                <w:left w:val="none" w:sz="0" w:space="0" w:color="auto"/>
                <w:bottom w:val="none" w:sz="0" w:space="0" w:color="auto"/>
                <w:right w:val="none" w:sz="0" w:space="0" w:color="auto"/>
              </w:divBdr>
              <w:divsChild>
                <w:div w:id="147575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350500">
          <w:marLeft w:val="0"/>
          <w:marRight w:val="0"/>
          <w:marTop w:val="0"/>
          <w:marBottom w:val="75"/>
          <w:divBdr>
            <w:top w:val="none" w:sz="0" w:space="0" w:color="auto"/>
            <w:left w:val="none" w:sz="0" w:space="0" w:color="auto"/>
            <w:bottom w:val="none" w:sz="0" w:space="0" w:color="auto"/>
            <w:right w:val="none" w:sz="0" w:space="0" w:color="auto"/>
          </w:divBdr>
        </w:div>
        <w:div w:id="1312103550">
          <w:marLeft w:val="0"/>
          <w:marRight w:val="0"/>
          <w:marTop w:val="0"/>
          <w:marBottom w:val="300"/>
          <w:divBdr>
            <w:top w:val="none" w:sz="0" w:space="0" w:color="auto"/>
            <w:left w:val="none" w:sz="0" w:space="0" w:color="auto"/>
            <w:bottom w:val="none" w:sz="0" w:space="0" w:color="auto"/>
            <w:right w:val="none" w:sz="0" w:space="0" w:color="auto"/>
          </w:divBdr>
          <w:divsChild>
            <w:div w:id="213458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837674">
      <w:bodyDiv w:val="1"/>
      <w:marLeft w:val="0"/>
      <w:marRight w:val="0"/>
      <w:marTop w:val="0"/>
      <w:marBottom w:val="0"/>
      <w:divBdr>
        <w:top w:val="none" w:sz="0" w:space="0" w:color="auto"/>
        <w:left w:val="none" w:sz="0" w:space="0" w:color="auto"/>
        <w:bottom w:val="none" w:sz="0" w:space="0" w:color="auto"/>
        <w:right w:val="none" w:sz="0" w:space="0" w:color="auto"/>
      </w:divBdr>
      <w:divsChild>
        <w:div w:id="776410157">
          <w:marLeft w:val="0"/>
          <w:marRight w:val="0"/>
          <w:marTop w:val="0"/>
          <w:marBottom w:val="0"/>
          <w:divBdr>
            <w:top w:val="none" w:sz="0" w:space="0" w:color="auto"/>
            <w:left w:val="none" w:sz="0" w:space="0" w:color="auto"/>
            <w:bottom w:val="none" w:sz="0" w:space="0" w:color="auto"/>
            <w:right w:val="none" w:sz="0" w:space="0" w:color="auto"/>
          </w:divBdr>
          <w:divsChild>
            <w:div w:id="274562528">
              <w:marLeft w:val="0"/>
              <w:marRight w:val="0"/>
              <w:marTop w:val="0"/>
              <w:marBottom w:val="0"/>
              <w:divBdr>
                <w:top w:val="none" w:sz="0" w:space="0" w:color="auto"/>
                <w:left w:val="none" w:sz="0" w:space="0" w:color="auto"/>
                <w:bottom w:val="none" w:sz="0" w:space="0" w:color="auto"/>
                <w:right w:val="none" w:sz="0" w:space="0" w:color="auto"/>
              </w:divBdr>
            </w:div>
          </w:divsChild>
        </w:div>
        <w:div w:id="201476850">
          <w:marLeft w:val="0"/>
          <w:marRight w:val="0"/>
          <w:marTop w:val="240"/>
          <w:marBottom w:val="0"/>
          <w:divBdr>
            <w:top w:val="none" w:sz="0" w:space="0" w:color="auto"/>
            <w:left w:val="none" w:sz="0" w:space="0" w:color="auto"/>
            <w:bottom w:val="none" w:sz="0" w:space="0" w:color="auto"/>
            <w:right w:val="none" w:sz="0" w:space="0" w:color="auto"/>
          </w:divBdr>
        </w:div>
      </w:divsChild>
    </w:div>
    <w:div w:id="1119952350">
      <w:bodyDiv w:val="1"/>
      <w:marLeft w:val="0"/>
      <w:marRight w:val="0"/>
      <w:marTop w:val="0"/>
      <w:marBottom w:val="0"/>
      <w:divBdr>
        <w:top w:val="none" w:sz="0" w:space="0" w:color="auto"/>
        <w:left w:val="none" w:sz="0" w:space="0" w:color="auto"/>
        <w:bottom w:val="none" w:sz="0" w:space="0" w:color="auto"/>
        <w:right w:val="none" w:sz="0" w:space="0" w:color="auto"/>
      </w:divBdr>
    </w:div>
    <w:div w:id="1120994662">
      <w:bodyDiv w:val="1"/>
      <w:marLeft w:val="0"/>
      <w:marRight w:val="0"/>
      <w:marTop w:val="0"/>
      <w:marBottom w:val="0"/>
      <w:divBdr>
        <w:top w:val="none" w:sz="0" w:space="0" w:color="auto"/>
        <w:left w:val="none" w:sz="0" w:space="0" w:color="auto"/>
        <w:bottom w:val="none" w:sz="0" w:space="0" w:color="auto"/>
        <w:right w:val="none" w:sz="0" w:space="0" w:color="auto"/>
      </w:divBdr>
      <w:divsChild>
        <w:div w:id="1460149505">
          <w:marLeft w:val="0"/>
          <w:marRight w:val="0"/>
          <w:marTop w:val="0"/>
          <w:marBottom w:val="0"/>
          <w:divBdr>
            <w:top w:val="none" w:sz="0" w:space="0" w:color="auto"/>
            <w:left w:val="none" w:sz="0" w:space="0" w:color="auto"/>
            <w:bottom w:val="dotted" w:sz="6" w:space="4" w:color="DDDDDD"/>
            <w:right w:val="none" w:sz="0" w:space="0" w:color="auto"/>
          </w:divBdr>
          <w:divsChild>
            <w:div w:id="128118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000372">
      <w:bodyDiv w:val="1"/>
      <w:marLeft w:val="0"/>
      <w:marRight w:val="0"/>
      <w:marTop w:val="0"/>
      <w:marBottom w:val="0"/>
      <w:divBdr>
        <w:top w:val="none" w:sz="0" w:space="0" w:color="auto"/>
        <w:left w:val="none" w:sz="0" w:space="0" w:color="auto"/>
        <w:bottom w:val="none" w:sz="0" w:space="0" w:color="auto"/>
        <w:right w:val="none" w:sz="0" w:space="0" w:color="auto"/>
      </w:divBdr>
      <w:divsChild>
        <w:div w:id="1293487263">
          <w:marLeft w:val="0"/>
          <w:marRight w:val="0"/>
          <w:marTop w:val="0"/>
          <w:marBottom w:val="0"/>
          <w:divBdr>
            <w:top w:val="none" w:sz="0" w:space="0" w:color="auto"/>
            <w:left w:val="none" w:sz="0" w:space="0" w:color="auto"/>
            <w:bottom w:val="dotted" w:sz="6" w:space="4" w:color="DDDDDD"/>
            <w:right w:val="none" w:sz="0" w:space="0" w:color="auto"/>
          </w:divBdr>
        </w:div>
      </w:divsChild>
    </w:div>
    <w:div w:id="1121069857">
      <w:bodyDiv w:val="1"/>
      <w:marLeft w:val="0"/>
      <w:marRight w:val="0"/>
      <w:marTop w:val="0"/>
      <w:marBottom w:val="0"/>
      <w:divBdr>
        <w:top w:val="none" w:sz="0" w:space="0" w:color="auto"/>
        <w:left w:val="none" w:sz="0" w:space="0" w:color="auto"/>
        <w:bottom w:val="none" w:sz="0" w:space="0" w:color="auto"/>
        <w:right w:val="none" w:sz="0" w:space="0" w:color="auto"/>
      </w:divBdr>
    </w:div>
    <w:div w:id="1121460929">
      <w:bodyDiv w:val="1"/>
      <w:marLeft w:val="0"/>
      <w:marRight w:val="0"/>
      <w:marTop w:val="0"/>
      <w:marBottom w:val="0"/>
      <w:divBdr>
        <w:top w:val="none" w:sz="0" w:space="0" w:color="auto"/>
        <w:left w:val="none" w:sz="0" w:space="0" w:color="auto"/>
        <w:bottom w:val="none" w:sz="0" w:space="0" w:color="auto"/>
        <w:right w:val="none" w:sz="0" w:space="0" w:color="auto"/>
      </w:divBdr>
      <w:divsChild>
        <w:div w:id="570041281">
          <w:marLeft w:val="0"/>
          <w:marRight w:val="0"/>
          <w:marTop w:val="0"/>
          <w:marBottom w:val="0"/>
          <w:divBdr>
            <w:top w:val="none" w:sz="0" w:space="0" w:color="auto"/>
            <w:left w:val="none" w:sz="0" w:space="0" w:color="auto"/>
            <w:bottom w:val="dotted" w:sz="6" w:space="4" w:color="DDDDDD"/>
            <w:right w:val="none" w:sz="0" w:space="0" w:color="auto"/>
          </w:divBdr>
          <w:divsChild>
            <w:div w:id="90383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651203">
      <w:bodyDiv w:val="1"/>
      <w:marLeft w:val="0"/>
      <w:marRight w:val="0"/>
      <w:marTop w:val="0"/>
      <w:marBottom w:val="0"/>
      <w:divBdr>
        <w:top w:val="none" w:sz="0" w:space="0" w:color="auto"/>
        <w:left w:val="none" w:sz="0" w:space="0" w:color="auto"/>
        <w:bottom w:val="none" w:sz="0" w:space="0" w:color="auto"/>
        <w:right w:val="none" w:sz="0" w:space="0" w:color="auto"/>
      </w:divBdr>
      <w:divsChild>
        <w:div w:id="1724595286">
          <w:marLeft w:val="0"/>
          <w:marRight w:val="0"/>
          <w:marTop w:val="0"/>
          <w:marBottom w:val="0"/>
          <w:divBdr>
            <w:top w:val="none" w:sz="0" w:space="0" w:color="auto"/>
            <w:left w:val="none" w:sz="0" w:space="0" w:color="auto"/>
            <w:bottom w:val="none" w:sz="0" w:space="0" w:color="auto"/>
            <w:right w:val="none" w:sz="0" w:space="0" w:color="auto"/>
          </w:divBdr>
        </w:div>
      </w:divsChild>
    </w:div>
    <w:div w:id="1121723228">
      <w:bodyDiv w:val="1"/>
      <w:marLeft w:val="0"/>
      <w:marRight w:val="0"/>
      <w:marTop w:val="0"/>
      <w:marBottom w:val="0"/>
      <w:divBdr>
        <w:top w:val="none" w:sz="0" w:space="0" w:color="auto"/>
        <w:left w:val="none" w:sz="0" w:space="0" w:color="auto"/>
        <w:bottom w:val="none" w:sz="0" w:space="0" w:color="auto"/>
        <w:right w:val="none" w:sz="0" w:space="0" w:color="auto"/>
      </w:divBdr>
    </w:div>
    <w:div w:id="1121728042">
      <w:bodyDiv w:val="1"/>
      <w:marLeft w:val="0"/>
      <w:marRight w:val="0"/>
      <w:marTop w:val="0"/>
      <w:marBottom w:val="0"/>
      <w:divBdr>
        <w:top w:val="none" w:sz="0" w:space="0" w:color="auto"/>
        <w:left w:val="none" w:sz="0" w:space="0" w:color="auto"/>
        <w:bottom w:val="none" w:sz="0" w:space="0" w:color="auto"/>
        <w:right w:val="none" w:sz="0" w:space="0" w:color="auto"/>
      </w:divBdr>
      <w:divsChild>
        <w:div w:id="2123962982">
          <w:marLeft w:val="0"/>
          <w:marRight w:val="0"/>
          <w:marTop w:val="0"/>
          <w:marBottom w:val="0"/>
          <w:divBdr>
            <w:top w:val="none" w:sz="0" w:space="0" w:color="auto"/>
            <w:left w:val="none" w:sz="0" w:space="0" w:color="auto"/>
            <w:bottom w:val="dotted" w:sz="6" w:space="4" w:color="DDDDDD"/>
            <w:right w:val="none" w:sz="0" w:space="0" w:color="auto"/>
          </w:divBdr>
          <w:divsChild>
            <w:div w:id="100840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192393">
      <w:bodyDiv w:val="1"/>
      <w:marLeft w:val="0"/>
      <w:marRight w:val="0"/>
      <w:marTop w:val="0"/>
      <w:marBottom w:val="0"/>
      <w:divBdr>
        <w:top w:val="none" w:sz="0" w:space="0" w:color="auto"/>
        <w:left w:val="none" w:sz="0" w:space="0" w:color="auto"/>
        <w:bottom w:val="none" w:sz="0" w:space="0" w:color="auto"/>
        <w:right w:val="none" w:sz="0" w:space="0" w:color="auto"/>
      </w:divBdr>
      <w:divsChild>
        <w:div w:id="2024699520">
          <w:marLeft w:val="0"/>
          <w:marRight w:val="0"/>
          <w:marTop w:val="0"/>
          <w:marBottom w:val="0"/>
          <w:divBdr>
            <w:top w:val="none" w:sz="0" w:space="0" w:color="auto"/>
            <w:left w:val="none" w:sz="0" w:space="0" w:color="auto"/>
            <w:bottom w:val="dotted" w:sz="6" w:space="4" w:color="DDDDDD"/>
            <w:right w:val="none" w:sz="0" w:space="0" w:color="auto"/>
          </w:divBdr>
          <w:divsChild>
            <w:div w:id="119854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233825">
      <w:bodyDiv w:val="1"/>
      <w:marLeft w:val="0"/>
      <w:marRight w:val="0"/>
      <w:marTop w:val="0"/>
      <w:marBottom w:val="0"/>
      <w:divBdr>
        <w:top w:val="none" w:sz="0" w:space="0" w:color="auto"/>
        <w:left w:val="none" w:sz="0" w:space="0" w:color="auto"/>
        <w:bottom w:val="none" w:sz="0" w:space="0" w:color="auto"/>
        <w:right w:val="none" w:sz="0" w:space="0" w:color="auto"/>
      </w:divBdr>
      <w:divsChild>
        <w:div w:id="350643676">
          <w:marLeft w:val="0"/>
          <w:marRight w:val="0"/>
          <w:marTop w:val="0"/>
          <w:marBottom w:val="0"/>
          <w:divBdr>
            <w:top w:val="none" w:sz="0" w:space="0" w:color="auto"/>
            <w:left w:val="none" w:sz="0" w:space="0" w:color="auto"/>
            <w:bottom w:val="dotted" w:sz="6" w:space="4" w:color="DDDDDD"/>
            <w:right w:val="none" w:sz="0" w:space="0" w:color="auto"/>
          </w:divBdr>
          <w:divsChild>
            <w:div w:id="30469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844022">
      <w:bodyDiv w:val="1"/>
      <w:marLeft w:val="0"/>
      <w:marRight w:val="0"/>
      <w:marTop w:val="0"/>
      <w:marBottom w:val="0"/>
      <w:divBdr>
        <w:top w:val="none" w:sz="0" w:space="0" w:color="auto"/>
        <w:left w:val="none" w:sz="0" w:space="0" w:color="auto"/>
        <w:bottom w:val="none" w:sz="0" w:space="0" w:color="auto"/>
        <w:right w:val="none" w:sz="0" w:space="0" w:color="auto"/>
      </w:divBdr>
      <w:divsChild>
        <w:div w:id="1404139874">
          <w:marLeft w:val="0"/>
          <w:marRight w:val="0"/>
          <w:marTop w:val="0"/>
          <w:marBottom w:val="0"/>
          <w:divBdr>
            <w:top w:val="none" w:sz="0" w:space="0" w:color="auto"/>
            <w:left w:val="none" w:sz="0" w:space="0" w:color="auto"/>
            <w:bottom w:val="dotted" w:sz="6" w:space="4" w:color="DDDDDD"/>
            <w:right w:val="none" w:sz="0" w:space="0" w:color="auto"/>
          </w:divBdr>
        </w:div>
      </w:divsChild>
    </w:div>
    <w:div w:id="1123957780">
      <w:bodyDiv w:val="1"/>
      <w:marLeft w:val="0"/>
      <w:marRight w:val="0"/>
      <w:marTop w:val="0"/>
      <w:marBottom w:val="0"/>
      <w:divBdr>
        <w:top w:val="none" w:sz="0" w:space="0" w:color="auto"/>
        <w:left w:val="none" w:sz="0" w:space="0" w:color="auto"/>
        <w:bottom w:val="none" w:sz="0" w:space="0" w:color="auto"/>
        <w:right w:val="none" w:sz="0" w:space="0" w:color="auto"/>
      </w:divBdr>
      <w:divsChild>
        <w:div w:id="953252304">
          <w:marLeft w:val="0"/>
          <w:marRight w:val="0"/>
          <w:marTop w:val="0"/>
          <w:marBottom w:val="150"/>
          <w:divBdr>
            <w:top w:val="none" w:sz="0" w:space="0" w:color="auto"/>
            <w:left w:val="none" w:sz="0" w:space="0" w:color="auto"/>
            <w:bottom w:val="none" w:sz="0" w:space="0" w:color="auto"/>
            <w:right w:val="none" w:sz="0" w:space="0" w:color="auto"/>
          </w:divBdr>
        </w:div>
      </w:divsChild>
    </w:div>
    <w:div w:id="1124154028">
      <w:bodyDiv w:val="1"/>
      <w:marLeft w:val="0"/>
      <w:marRight w:val="0"/>
      <w:marTop w:val="0"/>
      <w:marBottom w:val="0"/>
      <w:divBdr>
        <w:top w:val="none" w:sz="0" w:space="0" w:color="auto"/>
        <w:left w:val="none" w:sz="0" w:space="0" w:color="auto"/>
        <w:bottom w:val="none" w:sz="0" w:space="0" w:color="auto"/>
        <w:right w:val="none" w:sz="0" w:space="0" w:color="auto"/>
      </w:divBdr>
      <w:divsChild>
        <w:div w:id="395476075">
          <w:marLeft w:val="0"/>
          <w:marRight w:val="0"/>
          <w:marTop w:val="0"/>
          <w:marBottom w:val="0"/>
          <w:divBdr>
            <w:top w:val="none" w:sz="0" w:space="0" w:color="auto"/>
            <w:left w:val="none" w:sz="0" w:space="0" w:color="auto"/>
            <w:bottom w:val="none" w:sz="0" w:space="0" w:color="auto"/>
            <w:right w:val="none" w:sz="0" w:space="0" w:color="auto"/>
          </w:divBdr>
          <w:divsChild>
            <w:div w:id="1095516992">
              <w:marLeft w:val="0"/>
              <w:marRight w:val="0"/>
              <w:marTop w:val="0"/>
              <w:marBottom w:val="0"/>
              <w:divBdr>
                <w:top w:val="none" w:sz="0" w:space="0" w:color="auto"/>
                <w:left w:val="none" w:sz="0" w:space="0" w:color="auto"/>
                <w:bottom w:val="none" w:sz="0" w:space="0" w:color="auto"/>
                <w:right w:val="none" w:sz="0" w:space="0" w:color="auto"/>
              </w:divBdr>
            </w:div>
          </w:divsChild>
        </w:div>
        <w:div w:id="1372219600">
          <w:marLeft w:val="0"/>
          <w:marRight w:val="0"/>
          <w:marTop w:val="0"/>
          <w:marBottom w:val="150"/>
          <w:divBdr>
            <w:top w:val="none" w:sz="0" w:space="0" w:color="auto"/>
            <w:left w:val="none" w:sz="0" w:space="0" w:color="auto"/>
            <w:bottom w:val="none" w:sz="0" w:space="0" w:color="auto"/>
            <w:right w:val="none" w:sz="0" w:space="0" w:color="auto"/>
          </w:divBdr>
        </w:div>
        <w:div w:id="1714428692">
          <w:marLeft w:val="0"/>
          <w:marRight w:val="0"/>
          <w:marTop w:val="0"/>
          <w:marBottom w:val="150"/>
          <w:divBdr>
            <w:top w:val="none" w:sz="0" w:space="0" w:color="auto"/>
            <w:left w:val="none" w:sz="0" w:space="0" w:color="auto"/>
            <w:bottom w:val="none" w:sz="0" w:space="0" w:color="auto"/>
            <w:right w:val="none" w:sz="0" w:space="0" w:color="auto"/>
          </w:divBdr>
          <w:divsChild>
            <w:div w:id="94052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154648">
      <w:bodyDiv w:val="1"/>
      <w:marLeft w:val="0"/>
      <w:marRight w:val="0"/>
      <w:marTop w:val="0"/>
      <w:marBottom w:val="0"/>
      <w:divBdr>
        <w:top w:val="none" w:sz="0" w:space="0" w:color="auto"/>
        <w:left w:val="none" w:sz="0" w:space="0" w:color="auto"/>
        <w:bottom w:val="none" w:sz="0" w:space="0" w:color="auto"/>
        <w:right w:val="none" w:sz="0" w:space="0" w:color="auto"/>
      </w:divBdr>
      <w:divsChild>
        <w:div w:id="1837114589">
          <w:marLeft w:val="0"/>
          <w:marRight w:val="0"/>
          <w:marTop w:val="0"/>
          <w:marBottom w:val="180"/>
          <w:divBdr>
            <w:top w:val="none" w:sz="0" w:space="0" w:color="auto"/>
            <w:left w:val="none" w:sz="0" w:space="0" w:color="auto"/>
            <w:bottom w:val="none" w:sz="0" w:space="0" w:color="auto"/>
            <w:right w:val="none" w:sz="0" w:space="0" w:color="auto"/>
          </w:divBdr>
        </w:div>
      </w:divsChild>
    </w:div>
    <w:div w:id="1124230626">
      <w:bodyDiv w:val="1"/>
      <w:marLeft w:val="0"/>
      <w:marRight w:val="0"/>
      <w:marTop w:val="0"/>
      <w:marBottom w:val="0"/>
      <w:divBdr>
        <w:top w:val="none" w:sz="0" w:space="0" w:color="auto"/>
        <w:left w:val="none" w:sz="0" w:space="0" w:color="auto"/>
        <w:bottom w:val="none" w:sz="0" w:space="0" w:color="auto"/>
        <w:right w:val="none" w:sz="0" w:space="0" w:color="auto"/>
      </w:divBdr>
    </w:div>
    <w:div w:id="1124276297">
      <w:bodyDiv w:val="1"/>
      <w:marLeft w:val="0"/>
      <w:marRight w:val="0"/>
      <w:marTop w:val="0"/>
      <w:marBottom w:val="0"/>
      <w:divBdr>
        <w:top w:val="none" w:sz="0" w:space="0" w:color="auto"/>
        <w:left w:val="none" w:sz="0" w:space="0" w:color="auto"/>
        <w:bottom w:val="none" w:sz="0" w:space="0" w:color="auto"/>
        <w:right w:val="none" w:sz="0" w:space="0" w:color="auto"/>
      </w:divBdr>
      <w:divsChild>
        <w:div w:id="397632181">
          <w:marLeft w:val="0"/>
          <w:marRight w:val="0"/>
          <w:marTop w:val="0"/>
          <w:marBottom w:val="150"/>
          <w:divBdr>
            <w:top w:val="none" w:sz="0" w:space="0" w:color="auto"/>
            <w:left w:val="none" w:sz="0" w:space="0" w:color="auto"/>
            <w:bottom w:val="none" w:sz="0" w:space="0" w:color="auto"/>
            <w:right w:val="none" w:sz="0" w:space="0" w:color="auto"/>
          </w:divBdr>
        </w:div>
        <w:div w:id="699627072">
          <w:marLeft w:val="0"/>
          <w:marRight w:val="0"/>
          <w:marTop w:val="0"/>
          <w:marBottom w:val="150"/>
          <w:divBdr>
            <w:top w:val="none" w:sz="0" w:space="0" w:color="auto"/>
            <w:left w:val="none" w:sz="0" w:space="0" w:color="auto"/>
            <w:bottom w:val="none" w:sz="0" w:space="0" w:color="auto"/>
            <w:right w:val="none" w:sz="0" w:space="0" w:color="auto"/>
          </w:divBdr>
          <w:divsChild>
            <w:div w:id="1429349646">
              <w:marLeft w:val="0"/>
              <w:marRight w:val="0"/>
              <w:marTop w:val="0"/>
              <w:marBottom w:val="0"/>
              <w:divBdr>
                <w:top w:val="none" w:sz="0" w:space="0" w:color="auto"/>
                <w:left w:val="none" w:sz="0" w:space="0" w:color="auto"/>
                <w:bottom w:val="none" w:sz="0" w:space="0" w:color="auto"/>
                <w:right w:val="none" w:sz="0" w:space="0" w:color="auto"/>
              </w:divBdr>
            </w:div>
          </w:divsChild>
        </w:div>
        <w:div w:id="1976138999">
          <w:marLeft w:val="0"/>
          <w:marRight w:val="0"/>
          <w:marTop w:val="0"/>
          <w:marBottom w:val="0"/>
          <w:divBdr>
            <w:top w:val="none" w:sz="0" w:space="0" w:color="auto"/>
            <w:left w:val="none" w:sz="0" w:space="0" w:color="auto"/>
            <w:bottom w:val="none" w:sz="0" w:space="0" w:color="auto"/>
            <w:right w:val="none" w:sz="0" w:space="0" w:color="auto"/>
          </w:divBdr>
          <w:divsChild>
            <w:div w:id="207160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97221">
      <w:bodyDiv w:val="1"/>
      <w:marLeft w:val="0"/>
      <w:marRight w:val="0"/>
      <w:marTop w:val="0"/>
      <w:marBottom w:val="0"/>
      <w:divBdr>
        <w:top w:val="none" w:sz="0" w:space="0" w:color="auto"/>
        <w:left w:val="none" w:sz="0" w:space="0" w:color="auto"/>
        <w:bottom w:val="none" w:sz="0" w:space="0" w:color="auto"/>
        <w:right w:val="none" w:sz="0" w:space="0" w:color="auto"/>
      </w:divBdr>
      <w:divsChild>
        <w:div w:id="1483157963">
          <w:marLeft w:val="0"/>
          <w:marRight w:val="0"/>
          <w:marTop w:val="0"/>
          <w:marBottom w:val="60"/>
          <w:divBdr>
            <w:top w:val="none" w:sz="0" w:space="0" w:color="auto"/>
            <w:left w:val="none" w:sz="0" w:space="0" w:color="auto"/>
            <w:bottom w:val="none" w:sz="0" w:space="0" w:color="auto"/>
            <w:right w:val="none" w:sz="0" w:space="0" w:color="auto"/>
          </w:divBdr>
          <w:divsChild>
            <w:div w:id="751854474">
              <w:marLeft w:val="0"/>
              <w:marRight w:val="0"/>
              <w:marTop w:val="0"/>
              <w:marBottom w:val="0"/>
              <w:divBdr>
                <w:top w:val="none" w:sz="0" w:space="0" w:color="auto"/>
                <w:left w:val="none" w:sz="0" w:space="0" w:color="auto"/>
                <w:bottom w:val="none" w:sz="0" w:space="0" w:color="auto"/>
                <w:right w:val="none" w:sz="0" w:space="0" w:color="auto"/>
              </w:divBdr>
            </w:div>
          </w:divsChild>
        </w:div>
        <w:div w:id="1770195126">
          <w:marLeft w:val="0"/>
          <w:marRight w:val="0"/>
          <w:marTop w:val="0"/>
          <w:marBottom w:val="0"/>
          <w:divBdr>
            <w:top w:val="none" w:sz="0" w:space="0" w:color="auto"/>
            <w:left w:val="none" w:sz="0" w:space="0" w:color="auto"/>
            <w:bottom w:val="single" w:sz="12" w:space="0" w:color="2B3A41"/>
            <w:right w:val="none" w:sz="0" w:space="0" w:color="auto"/>
          </w:divBdr>
          <w:divsChild>
            <w:div w:id="845217894">
              <w:marLeft w:val="0"/>
              <w:marRight w:val="0"/>
              <w:marTop w:val="0"/>
              <w:marBottom w:val="0"/>
              <w:divBdr>
                <w:top w:val="none" w:sz="0" w:space="0" w:color="auto"/>
                <w:left w:val="none" w:sz="0" w:space="0" w:color="auto"/>
                <w:bottom w:val="none" w:sz="0" w:space="0" w:color="auto"/>
                <w:right w:val="none" w:sz="0" w:space="0" w:color="auto"/>
              </w:divBdr>
            </w:div>
            <w:div w:id="130535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692673">
      <w:bodyDiv w:val="1"/>
      <w:marLeft w:val="0"/>
      <w:marRight w:val="0"/>
      <w:marTop w:val="0"/>
      <w:marBottom w:val="0"/>
      <w:divBdr>
        <w:top w:val="none" w:sz="0" w:space="0" w:color="auto"/>
        <w:left w:val="none" w:sz="0" w:space="0" w:color="auto"/>
        <w:bottom w:val="none" w:sz="0" w:space="0" w:color="auto"/>
        <w:right w:val="none" w:sz="0" w:space="0" w:color="auto"/>
      </w:divBdr>
      <w:divsChild>
        <w:div w:id="644772359">
          <w:marLeft w:val="0"/>
          <w:marRight w:val="0"/>
          <w:marTop w:val="0"/>
          <w:marBottom w:val="150"/>
          <w:divBdr>
            <w:top w:val="none" w:sz="0" w:space="0" w:color="auto"/>
            <w:left w:val="none" w:sz="0" w:space="0" w:color="auto"/>
            <w:bottom w:val="none" w:sz="0" w:space="0" w:color="auto"/>
            <w:right w:val="none" w:sz="0" w:space="0" w:color="auto"/>
          </w:divBdr>
          <w:divsChild>
            <w:div w:id="916399918">
              <w:marLeft w:val="0"/>
              <w:marRight w:val="0"/>
              <w:marTop w:val="0"/>
              <w:marBottom w:val="0"/>
              <w:divBdr>
                <w:top w:val="none" w:sz="0" w:space="0" w:color="auto"/>
                <w:left w:val="none" w:sz="0" w:space="0" w:color="auto"/>
                <w:bottom w:val="none" w:sz="0" w:space="0" w:color="auto"/>
                <w:right w:val="none" w:sz="0" w:space="0" w:color="auto"/>
              </w:divBdr>
              <w:divsChild>
                <w:div w:id="15396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799828">
          <w:marLeft w:val="0"/>
          <w:marRight w:val="0"/>
          <w:marTop w:val="0"/>
          <w:marBottom w:val="150"/>
          <w:divBdr>
            <w:top w:val="none" w:sz="0" w:space="0" w:color="auto"/>
            <w:left w:val="none" w:sz="0" w:space="0" w:color="auto"/>
            <w:bottom w:val="none" w:sz="0" w:space="0" w:color="auto"/>
            <w:right w:val="none" w:sz="0" w:space="0" w:color="auto"/>
          </w:divBdr>
        </w:div>
        <w:div w:id="972827342">
          <w:marLeft w:val="0"/>
          <w:marRight w:val="0"/>
          <w:marTop w:val="0"/>
          <w:marBottom w:val="0"/>
          <w:divBdr>
            <w:top w:val="none" w:sz="0" w:space="0" w:color="auto"/>
            <w:left w:val="none" w:sz="0" w:space="0" w:color="auto"/>
            <w:bottom w:val="none" w:sz="0" w:space="0" w:color="auto"/>
            <w:right w:val="none" w:sz="0" w:space="0" w:color="auto"/>
          </w:divBdr>
          <w:divsChild>
            <w:div w:id="209539927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24693412">
      <w:bodyDiv w:val="1"/>
      <w:marLeft w:val="0"/>
      <w:marRight w:val="0"/>
      <w:marTop w:val="0"/>
      <w:marBottom w:val="0"/>
      <w:divBdr>
        <w:top w:val="none" w:sz="0" w:space="0" w:color="auto"/>
        <w:left w:val="none" w:sz="0" w:space="0" w:color="auto"/>
        <w:bottom w:val="none" w:sz="0" w:space="0" w:color="auto"/>
        <w:right w:val="none" w:sz="0" w:space="0" w:color="auto"/>
      </w:divBdr>
      <w:divsChild>
        <w:div w:id="236212558">
          <w:marLeft w:val="0"/>
          <w:marRight w:val="0"/>
          <w:marTop w:val="0"/>
          <w:marBottom w:val="0"/>
          <w:divBdr>
            <w:top w:val="none" w:sz="0" w:space="0" w:color="auto"/>
            <w:left w:val="none" w:sz="0" w:space="0" w:color="auto"/>
            <w:bottom w:val="none" w:sz="0" w:space="0" w:color="auto"/>
            <w:right w:val="none" w:sz="0" w:space="0" w:color="auto"/>
          </w:divBdr>
        </w:div>
      </w:divsChild>
    </w:div>
    <w:div w:id="1125126242">
      <w:bodyDiv w:val="1"/>
      <w:marLeft w:val="0"/>
      <w:marRight w:val="0"/>
      <w:marTop w:val="0"/>
      <w:marBottom w:val="0"/>
      <w:divBdr>
        <w:top w:val="none" w:sz="0" w:space="0" w:color="auto"/>
        <w:left w:val="none" w:sz="0" w:space="0" w:color="auto"/>
        <w:bottom w:val="none" w:sz="0" w:space="0" w:color="auto"/>
        <w:right w:val="none" w:sz="0" w:space="0" w:color="auto"/>
      </w:divBdr>
    </w:div>
    <w:div w:id="1125268275">
      <w:bodyDiv w:val="1"/>
      <w:marLeft w:val="0"/>
      <w:marRight w:val="0"/>
      <w:marTop w:val="0"/>
      <w:marBottom w:val="0"/>
      <w:divBdr>
        <w:top w:val="none" w:sz="0" w:space="0" w:color="auto"/>
        <w:left w:val="none" w:sz="0" w:space="0" w:color="auto"/>
        <w:bottom w:val="none" w:sz="0" w:space="0" w:color="auto"/>
        <w:right w:val="none" w:sz="0" w:space="0" w:color="auto"/>
      </w:divBdr>
      <w:divsChild>
        <w:div w:id="845099717">
          <w:marLeft w:val="0"/>
          <w:marRight w:val="0"/>
          <w:marTop w:val="0"/>
          <w:marBottom w:val="0"/>
          <w:divBdr>
            <w:top w:val="none" w:sz="0" w:space="0" w:color="auto"/>
            <w:left w:val="none" w:sz="0" w:space="0" w:color="auto"/>
            <w:bottom w:val="dotted" w:sz="6" w:space="4" w:color="DDDDDD"/>
            <w:right w:val="none" w:sz="0" w:space="0" w:color="auto"/>
          </w:divBdr>
        </w:div>
      </w:divsChild>
    </w:div>
    <w:div w:id="1125656053">
      <w:bodyDiv w:val="1"/>
      <w:marLeft w:val="0"/>
      <w:marRight w:val="0"/>
      <w:marTop w:val="0"/>
      <w:marBottom w:val="0"/>
      <w:divBdr>
        <w:top w:val="none" w:sz="0" w:space="0" w:color="auto"/>
        <w:left w:val="none" w:sz="0" w:space="0" w:color="auto"/>
        <w:bottom w:val="none" w:sz="0" w:space="0" w:color="auto"/>
        <w:right w:val="none" w:sz="0" w:space="0" w:color="auto"/>
      </w:divBdr>
      <w:divsChild>
        <w:div w:id="515313907">
          <w:marLeft w:val="0"/>
          <w:marRight w:val="0"/>
          <w:marTop w:val="0"/>
          <w:marBottom w:val="0"/>
          <w:divBdr>
            <w:top w:val="none" w:sz="0" w:space="0" w:color="auto"/>
            <w:left w:val="none" w:sz="0" w:space="0" w:color="auto"/>
            <w:bottom w:val="none" w:sz="0" w:space="0" w:color="auto"/>
            <w:right w:val="none" w:sz="0" w:space="0" w:color="auto"/>
          </w:divBdr>
          <w:divsChild>
            <w:div w:id="479226154">
              <w:marLeft w:val="0"/>
              <w:marRight w:val="0"/>
              <w:marTop w:val="0"/>
              <w:marBottom w:val="0"/>
              <w:divBdr>
                <w:top w:val="none" w:sz="0" w:space="0" w:color="auto"/>
                <w:left w:val="none" w:sz="0" w:space="0" w:color="auto"/>
                <w:bottom w:val="none" w:sz="0" w:space="0" w:color="auto"/>
                <w:right w:val="none" w:sz="0" w:space="0" w:color="auto"/>
              </w:divBdr>
              <w:divsChild>
                <w:div w:id="2087142048">
                  <w:marLeft w:val="0"/>
                  <w:marRight w:val="0"/>
                  <w:marTop w:val="0"/>
                  <w:marBottom w:val="0"/>
                  <w:divBdr>
                    <w:top w:val="none" w:sz="0" w:space="0" w:color="auto"/>
                    <w:left w:val="none" w:sz="0" w:space="0" w:color="auto"/>
                    <w:bottom w:val="none" w:sz="0" w:space="0" w:color="auto"/>
                    <w:right w:val="none" w:sz="0" w:space="0" w:color="auto"/>
                  </w:divBdr>
                  <w:divsChild>
                    <w:div w:id="396826342">
                      <w:marLeft w:val="0"/>
                      <w:marRight w:val="0"/>
                      <w:marTop w:val="0"/>
                      <w:marBottom w:val="0"/>
                      <w:divBdr>
                        <w:top w:val="none" w:sz="0" w:space="0" w:color="auto"/>
                        <w:left w:val="none" w:sz="0" w:space="0" w:color="auto"/>
                        <w:bottom w:val="none" w:sz="0" w:space="0" w:color="auto"/>
                        <w:right w:val="none" w:sz="0" w:space="0" w:color="auto"/>
                      </w:divBdr>
                      <w:divsChild>
                        <w:div w:id="200899580">
                          <w:marLeft w:val="0"/>
                          <w:marRight w:val="0"/>
                          <w:marTop w:val="0"/>
                          <w:marBottom w:val="0"/>
                          <w:divBdr>
                            <w:top w:val="none" w:sz="0" w:space="0" w:color="auto"/>
                            <w:left w:val="none" w:sz="0" w:space="0" w:color="auto"/>
                            <w:bottom w:val="none" w:sz="0" w:space="0" w:color="auto"/>
                            <w:right w:val="none" w:sz="0" w:space="0" w:color="auto"/>
                          </w:divBdr>
                          <w:divsChild>
                            <w:div w:id="1922254823">
                              <w:marLeft w:val="0"/>
                              <w:marRight w:val="0"/>
                              <w:marTop w:val="0"/>
                              <w:marBottom w:val="0"/>
                              <w:divBdr>
                                <w:top w:val="none" w:sz="0" w:space="0" w:color="auto"/>
                                <w:left w:val="none" w:sz="0" w:space="0" w:color="auto"/>
                                <w:bottom w:val="none" w:sz="0" w:space="0" w:color="auto"/>
                                <w:right w:val="none" w:sz="0" w:space="0" w:color="auto"/>
                              </w:divBdr>
                              <w:divsChild>
                                <w:div w:id="2089500876">
                                  <w:marLeft w:val="0"/>
                                  <w:marRight w:val="0"/>
                                  <w:marTop w:val="0"/>
                                  <w:marBottom w:val="0"/>
                                  <w:divBdr>
                                    <w:top w:val="none" w:sz="0" w:space="0" w:color="auto"/>
                                    <w:left w:val="none" w:sz="0" w:space="0" w:color="auto"/>
                                    <w:bottom w:val="none" w:sz="0" w:space="0" w:color="auto"/>
                                    <w:right w:val="none" w:sz="0" w:space="0" w:color="auto"/>
                                  </w:divBdr>
                                  <w:divsChild>
                                    <w:div w:id="135850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5657219">
      <w:bodyDiv w:val="1"/>
      <w:marLeft w:val="0"/>
      <w:marRight w:val="0"/>
      <w:marTop w:val="0"/>
      <w:marBottom w:val="0"/>
      <w:divBdr>
        <w:top w:val="none" w:sz="0" w:space="0" w:color="auto"/>
        <w:left w:val="none" w:sz="0" w:space="0" w:color="auto"/>
        <w:bottom w:val="none" w:sz="0" w:space="0" w:color="auto"/>
        <w:right w:val="none" w:sz="0" w:space="0" w:color="auto"/>
      </w:divBdr>
      <w:divsChild>
        <w:div w:id="1075010900">
          <w:marLeft w:val="0"/>
          <w:marRight w:val="0"/>
          <w:marTop w:val="0"/>
          <w:marBottom w:val="0"/>
          <w:divBdr>
            <w:top w:val="none" w:sz="0" w:space="0" w:color="auto"/>
            <w:left w:val="none" w:sz="0" w:space="0" w:color="auto"/>
            <w:bottom w:val="none" w:sz="0" w:space="0" w:color="auto"/>
            <w:right w:val="none" w:sz="0" w:space="0" w:color="auto"/>
          </w:divBdr>
        </w:div>
        <w:div w:id="1809468943">
          <w:marLeft w:val="0"/>
          <w:marRight w:val="0"/>
          <w:marTop w:val="0"/>
          <w:marBottom w:val="0"/>
          <w:divBdr>
            <w:top w:val="none" w:sz="0" w:space="0" w:color="auto"/>
            <w:left w:val="none" w:sz="0" w:space="0" w:color="auto"/>
            <w:bottom w:val="none" w:sz="0" w:space="0" w:color="auto"/>
            <w:right w:val="none" w:sz="0" w:space="0" w:color="auto"/>
          </w:divBdr>
          <w:divsChild>
            <w:div w:id="94714127">
              <w:marLeft w:val="0"/>
              <w:marRight w:val="0"/>
              <w:marTop w:val="0"/>
              <w:marBottom w:val="0"/>
              <w:divBdr>
                <w:top w:val="none" w:sz="0" w:space="0" w:color="auto"/>
                <w:left w:val="none" w:sz="0" w:space="0" w:color="auto"/>
                <w:bottom w:val="none" w:sz="0" w:space="0" w:color="auto"/>
                <w:right w:val="none" w:sz="0" w:space="0" w:color="auto"/>
              </w:divBdr>
            </w:div>
            <w:div w:id="31302843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25850024">
      <w:bodyDiv w:val="1"/>
      <w:marLeft w:val="0"/>
      <w:marRight w:val="0"/>
      <w:marTop w:val="0"/>
      <w:marBottom w:val="0"/>
      <w:divBdr>
        <w:top w:val="none" w:sz="0" w:space="0" w:color="auto"/>
        <w:left w:val="none" w:sz="0" w:space="0" w:color="auto"/>
        <w:bottom w:val="none" w:sz="0" w:space="0" w:color="auto"/>
        <w:right w:val="none" w:sz="0" w:space="0" w:color="auto"/>
      </w:divBdr>
    </w:div>
    <w:div w:id="1125998343">
      <w:bodyDiv w:val="1"/>
      <w:marLeft w:val="0"/>
      <w:marRight w:val="0"/>
      <w:marTop w:val="0"/>
      <w:marBottom w:val="0"/>
      <w:divBdr>
        <w:top w:val="none" w:sz="0" w:space="0" w:color="auto"/>
        <w:left w:val="none" w:sz="0" w:space="0" w:color="auto"/>
        <w:bottom w:val="none" w:sz="0" w:space="0" w:color="auto"/>
        <w:right w:val="none" w:sz="0" w:space="0" w:color="auto"/>
      </w:divBdr>
      <w:divsChild>
        <w:div w:id="1670012970">
          <w:marLeft w:val="0"/>
          <w:marRight w:val="0"/>
          <w:marTop w:val="0"/>
          <w:marBottom w:val="0"/>
          <w:divBdr>
            <w:top w:val="none" w:sz="0" w:space="0" w:color="auto"/>
            <w:left w:val="none" w:sz="0" w:space="0" w:color="auto"/>
            <w:bottom w:val="none" w:sz="0" w:space="0" w:color="auto"/>
            <w:right w:val="none" w:sz="0" w:space="0" w:color="auto"/>
          </w:divBdr>
        </w:div>
      </w:divsChild>
    </w:div>
    <w:div w:id="1126508412">
      <w:bodyDiv w:val="1"/>
      <w:marLeft w:val="0"/>
      <w:marRight w:val="0"/>
      <w:marTop w:val="0"/>
      <w:marBottom w:val="0"/>
      <w:divBdr>
        <w:top w:val="none" w:sz="0" w:space="0" w:color="auto"/>
        <w:left w:val="none" w:sz="0" w:space="0" w:color="auto"/>
        <w:bottom w:val="none" w:sz="0" w:space="0" w:color="auto"/>
        <w:right w:val="none" w:sz="0" w:space="0" w:color="auto"/>
      </w:divBdr>
      <w:divsChild>
        <w:div w:id="1726295535">
          <w:marLeft w:val="0"/>
          <w:marRight w:val="0"/>
          <w:marTop w:val="0"/>
          <w:marBottom w:val="0"/>
          <w:divBdr>
            <w:top w:val="none" w:sz="0" w:space="0" w:color="auto"/>
            <w:left w:val="none" w:sz="0" w:space="0" w:color="auto"/>
            <w:bottom w:val="dotted" w:sz="6" w:space="4" w:color="DDDDDD"/>
            <w:right w:val="none" w:sz="0" w:space="0" w:color="auto"/>
          </w:divBdr>
          <w:divsChild>
            <w:div w:id="68755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049230">
      <w:bodyDiv w:val="1"/>
      <w:marLeft w:val="0"/>
      <w:marRight w:val="0"/>
      <w:marTop w:val="0"/>
      <w:marBottom w:val="0"/>
      <w:divBdr>
        <w:top w:val="none" w:sz="0" w:space="0" w:color="auto"/>
        <w:left w:val="none" w:sz="0" w:space="0" w:color="auto"/>
        <w:bottom w:val="none" w:sz="0" w:space="0" w:color="auto"/>
        <w:right w:val="none" w:sz="0" w:space="0" w:color="auto"/>
      </w:divBdr>
      <w:divsChild>
        <w:div w:id="478692996">
          <w:marLeft w:val="0"/>
          <w:marRight w:val="0"/>
          <w:marTop w:val="0"/>
          <w:marBottom w:val="0"/>
          <w:divBdr>
            <w:top w:val="none" w:sz="0" w:space="0" w:color="auto"/>
            <w:left w:val="none" w:sz="0" w:space="0" w:color="auto"/>
            <w:bottom w:val="none" w:sz="0" w:space="0" w:color="auto"/>
            <w:right w:val="none" w:sz="0" w:space="0" w:color="auto"/>
          </w:divBdr>
          <w:divsChild>
            <w:div w:id="101193447">
              <w:marLeft w:val="0"/>
              <w:marRight w:val="0"/>
              <w:marTop w:val="0"/>
              <w:marBottom w:val="0"/>
              <w:divBdr>
                <w:top w:val="none" w:sz="0" w:space="0" w:color="auto"/>
                <w:left w:val="none" w:sz="0" w:space="0" w:color="auto"/>
                <w:bottom w:val="none" w:sz="0" w:space="0" w:color="auto"/>
                <w:right w:val="none" w:sz="0" w:space="0" w:color="auto"/>
              </w:divBdr>
            </w:div>
            <w:div w:id="121047388">
              <w:marLeft w:val="0"/>
              <w:marRight w:val="0"/>
              <w:marTop w:val="0"/>
              <w:marBottom w:val="0"/>
              <w:divBdr>
                <w:top w:val="none" w:sz="0" w:space="0" w:color="auto"/>
                <w:left w:val="none" w:sz="0" w:space="0" w:color="auto"/>
                <w:bottom w:val="none" w:sz="0" w:space="0" w:color="auto"/>
                <w:right w:val="none" w:sz="0" w:space="0" w:color="auto"/>
              </w:divBdr>
            </w:div>
            <w:div w:id="121195444">
              <w:marLeft w:val="0"/>
              <w:marRight w:val="0"/>
              <w:marTop w:val="0"/>
              <w:marBottom w:val="0"/>
              <w:divBdr>
                <w:top w:val="none" w:sz="0" w:space="0" w:color="auto"/>
                <w:left w:val="none" w:sz="0" w:space="0" w:color="auto"/>
                <w:bottom w:val="none" w:sz="0" w:space="0" w:color="auto"/>
                <w:right w:val="none" w:sz="0" w:space="0" w:color="auto"/>
              </w:divBdr>
            </w:div>
            <w:div w:id="365452772">
              <w:marLeft w:val="0"/>
              <w:marRight w:val="0"/>
              <w:marTop w:val="0"/>
              <w:marBottom w:val="0"/>
              <w:divBdr>
                <w:top w:val="none" w:sz="0" w:space="0" w:color="auto"/>
                <w:left w:val="none" w:sz="0" w:space="0" w:color="auto"/>
                <w:bottom w:val="none" w:sz="0" w:space="0" w:color="auto"/>
                <w:right w:val="none" w:sz="0" w:space="0" w:color="auto"/>
              </w:divBdr>
            </w:div>
            <w:div w:id="406418827">
              <w:marLeft w:val="0"/>
              <w:marRight w:val="0"/>
              <w:marTop w:val="0"/>
              <w:marBottom w:val="0"/>
              <w:divBdr>
                <w:top w:val="none" w:sz="0" w:space="0" w:color="auto"/>
                <w:left w:val="none" w:sz="0" w:space="0" w:color="auto"/>
                <w:bottom w:val="none" w:sz="0" w:space="0" w:color="auto"/>
                <w:right w:val="none" w:sz="0" w:space="0" w:color="auto"/>
              </w:divBdr>
            </w:div>
            <w:div w:id="435178381">
              <w:marLeft w:val="0"/>
              <w:marRight w:val="0"/>
              <w:marTop w:val="0"/>
              <w:marBottom w:val="0"/>
              <w:divBdr>
                <w:top w:val="none" w:sz="0" w:space="0" w:color="auto"/>
                <w:left w:val="none" w:sz="0" w:space="0" w:color="auto"/>
                <w:bottom w:val="none" w:sz="0" w:space="0" w:color="auto"/>
                <w:right w:val="none" w:sz="0" w:space="0" w:color="auto"/>
              </w:divBdr>
            </w:div>
            <w:div w:id="462308581">
              <w:marLeft w:val="0"/>
              <w:marRight w:val="0"/>
              <w:marTop w:val="0"/>
              <w:marBottom w:val="0"/>
              <w:divBdr>
                <w:top w:val="none" w:sz="0" w:space="0" w:color="auto"/>
                <w:left w:val="none" w:sz="0" w:space="0" w:color="auto"/>
                <w:bottom w:val="none" w:sz="0" w:space="0" w:color="auto"/>
                <w:right w:val="none" w:sz="0" w:space="0" w:color="auto"/>
              </w:divBdr>
            </w:div>
            <w:div w:id="473528739">
              <w:marLeft w:val="0"/>
              <w:marRight w:val="0"/>
              <w:marTop w:val="0"/>
              <w:marBottom w:val="0"/>
              <w:divBdr>
                <w:top w:val="none" w:sz="0" w:space="0" w:color="auto"/>
                <w:left w:val="none" w:sz="0" w:space="0" w:color="auto"/>
                <w:bottom w:val="none" w:sz="0" w:space="0" w:color="auto"/>
                <w:right w:val="none" w:sz="0" w:space="0" w:color="auto"/>
              </w:divBdr>
            </w:div>
            <w:div w:id="496968820">
              <w:marLeft w:val="0"/>
              <w:marRight w:val="0"/>
              <w:marTop w:val="0"/>
              <w:marBottom w:val="0"/>
              <w:divBdr>
                <w:top w:val="none" w:sz="0" w:space="0" w:color="auto"/>
                <w:left w:val="none" w:sz="0" w:space="0" w:color="auto"/>
                <w:bottom w:val="none" w:sz="0" w:space="0" w:color="auto"/>
                <w:right w:val="none" w:sz="0" w:space="0" w:color="auto"/>
              </w:divBdr>
            </w:div>
            <w:div w:id="550196385">
              <w:marLeft w:val="0"/>
              <w:marRight w:val="0"/>
              <w:marTop w:val="0"/>
              <w:marBottom w:val="0"/>
              <w:divBdr>
                <w:top w:val="none" w:sz="0" w:space="0" w:color="auto"/>
                <w:left w:val="none" w:sz="0" w:space="0" w:color="auto"/>
                <w:bottom w:val="none" w:sz="0" w:space="0" w:color="auto"/>
                <w:right w:val="none" w:sz="0" w:space="0" w:color="auto"/>
              </w:divBdr>
            </w:div>
            <w:div w:id="639266202">
              <w:marLeft w:val="0"/>
              <w:marRight w:val="0"/>
              <w:marTop w:val="0"/>
              <w:marBottom w:val="0"/>
              <w:divBdr>
                <w:top w:val="none" w:sz="0" w:space="0" w:color="auto"/>
                <w:left w:val="none" w:sz="0" w:space="0" w:color="auto"/>
                <w:bottom w:val="none" w:sz="0" w:space="0" w:color="auto"/>
                <w:right w:val="none" w:sz="0" w:space="0" w:color="auto"/>
              </w:divBdr>
            </w:div>
            <w:div w:id="657654207">
              <w:marLeft w:val="0"/>
              <w:marRight w:val="0"/>
              <w:marTop w:val="0"/>
              <w:marBottom w:val="0"/>
              <w:divBdr>
                <w:top w:val="none" w:sz="0" w:space="0" w:color="auto"/>
                <w:left w:val="none" w:sz="0" w:space="0" w:color="auto"/>
                <w:bottom w:val="none" w:sz="0" w:space="0" w:color="auto"/>
                <w:right w:val="none" w:sz="0" w:space="0" w:color="auto"/>
              </w:divBdr>
            </w:div>
            <w:div w:id="753361279">
              <w:marLeft w:val="0"/>
              <w:marRight w:val="0"/>
              <w:marTop w:val="0"/>
              <w:marBottom w:val="0"/>
              <w:divBdr>
                <w:top w:val="none" w:sz="0" w:space="0" w:color="auto"/>
                <w:left w:val="none" w:sz="0" w:space="0" w:color="auto"/>
                <w:bottom w:val="none" w:sz="0" w:space="0" w:color="auto"/>
                <w:right w:val="none" w:sz="0" w:space="0" w:color="auto"/>
              </w:divBdr>
            </w:div>
            <w:div w:id="913244881">
              <w:marLeft w:val="0"/>
              <w:marRight w:val="0"/>
              <w:marTop w:val="0"/>
              <w:marBottom w:val="0"/>
              <w:divBdr>
                <w:top w:val="none" w:sz="0" w:space="0" w:color="auto"/>
                <w:left w:val="none" w:sz="0" w:space="0" w:color="auto"/>
                <w:bottom w:val="none" w:sz="0" w:space="0" w:color="auto"/>
                <w:right w:val="none" w:sz="0" w:space="0" w:color="auto"/>
              </w:divBdr>
            </w:div>
            <w:div w:id="1082600055">
              <w:marLeft w:val="0"/>
              <w:marRight w:val="0"/>
              <w:marTop w:val="0"/>
              <w:marBottom w:val="0"/>
              <w:divBdr>
                <w:top w:val="none" w:sz="0" w:space="0" w:color="auto"/>
                <w:left w:val="none" w:sz="0" w:space="0" w:color="auto"/>
                <w:bottom w:val="none" w:sz="0" w:space="0" w:color="auto"/>
                <w:right w:val="none" w:sz="0" w:space="0" w:color="auto"/>
              </w:divBdr>
            </w:div>
            <w:div w:id="1131900786">
              <w:marLeft w:val="0"/>
              <w:marRight w:val="0"/>
              <w:marTop w:val="0"/>
              <w:marBottom w:val="0"/>
              <w:divBdr>
                <w:top w:val="none" w:sz="0" w:space="0" w:color="auto"/>
                <w:left w:val="none" w:sz="0" w:space="0" w:color="auto"/>
                <w:bottom w:val="none" w:sz="0" w:space="0" w:color="auto"/>
                <w:right w:val="none" w:sz="0" w:space="0" w:color="auto"/>
              </w:divBdr>
            </w:div>
            <w:div w:id="1140730200">
              <w:marLeft w:val="0"/>
              <w:marRight w:val="0"/>
              <w:marTop w:val="0"/>
              <w:marBottom w:val="0"/>
              <w:divBdr>
                <w:top w:val="none" w:sz="0" w:space="0" w:color="auto"/>
                <w:left w:val="none" w:sz="0" w:space="0" w:color="auto"/>
                <w:bottom w:val="none" w:sz="0" w:space="0" w:color="auto"/>
                <w:right w:val="none" w:sz="0" w:space="0" w:color="auto"/>
              </w:divBdr>
            </w:div>
            <w:div w:id="1157571406">
              <w:marLeft w:val="0"/>
              <w:marRight w:val="0"/>
              <w:marTop w:val="0"/>
              <w:marBottom w:val="0"/>
              <w:divBdr>
                <w:top w:val="none" w:sz="0" w:space="0" w:color="auto"/>
                <w:left w:val="none" w:sz="0" w:space="0" w:color="auto"/>
                <w:bottom w:val="none" w:sz="0" w:space="0" w:color="auto"/>
                <w:right w:val="none" w:sz="0" w:space="0" w:color="auto"/>
              </w:divBdr>
            </w:div>
            <w:div w:id="1163282634">
              <w:marLeft w:val="0"/>
              <w:marRight w:val="0"/>
              <w:marTop w:val="0"/>
              <w:marBottom w:val="0"/>
              <w:divBdr>
                <w:top w:val="none" w:sz="0" w:space="0" w:color="auto"/>
                <w:left w:val="none" w:sz="0" w:space="0" w:color="auto"/>
                <w:bottom w:val="none" w:sz="0" w:space="0" w:color="auto"/>
                <w:right w:val="none" w:sz="0" w:space="0" w:color="auto"/>
              </w:divBdr>
            </w:div>
            <w:div w:id="1228416188">
              <w:marLeft w:val="0"/>
              <w:marRight w:val="0"/>
              <w:marTop w:val="0"/>
              <w:marBottom w:val="0"/>
              <w:divBdr>
                <w:top w:val="none" w:sz="0" w:space="0" w:color="auto"/>
                <w:left w:val="none" w:sz="0" w:space="0" w:color="auto"/>
                <w:bottom w:val="none" w:sz="0" w:space="0" w:color="auto"/>
                <w:right w:val="none" w:sz="0" w:space="0" w:color="auto"/>
              </w:divBdr>
            </w:div>
            <w:div w:id="1333296775">
              <w:marLeft w:val="0"/>
              <w:marRight w:val="0"/>
              <w:marTop w:val="0"/>
              <w:marBottom w:val="0"/>
              <w:divBdr>
                <w:top w:val="none" w:sz="0" w:space="0" w:color="auto"/>
                <w:left w:val="none" w:sz="0" w:space="0" w:color="auto"/>
                <w:bottom w:val="none" w:sz="0" w:space="0" w:color="auto"/>
                <w:right w:val="none" w:sz="0" w:space="0" w:color="auto"/>
              </w:divBdr>
            </w:div>
            <w:div w:id="1861049174">
              <w:marLeft w:val="0"/>
              <w:marRight w:val="0"/>
              <w:marTop w:val="0"/>
              <w:marBottom w:val="0"/>
              <w:divBdr>
                <w:top w:val="none" w:sz="0" w:space="0" w:color="auto"/>
                <w:left w:val="none" w:sz="0" w:space="0" w:color="auto"/>
                <w:bottom w:val="none" w:sz="0" w:space="0" w:color="auto"/>
                <w:right w:val="none" w:sz="0" w:space="0" w:color="auto"/>
              </w:divBdr>
            </w:div>
            <w:div w:id="1905753110">
              <w:marLeft w:val="0"/>
              <w:marRight w:val="0"/>
              <w:marTop w:val="0"/>
              <w:marBottom w:val="0"/>
              <w:divBdr>
                <w:top w:val="none" w:sz="0" w:space="0" w:color="auto"/>
                <w:left w:val="none" w:sz="0" w:space="0" w:color="auto"/>
                <w:bottom w:val="none" w:sz="0" w:space="0" w:color="auto"/>
                <w:right w:val="none" w:sz="0" w:space="0" w:color="auto"/>
              </w:divBdr>
            </w:div>
            <w:div w:id="1996375453">
              <w:marLeft w:val="0"/>
              <w:marRight w:val="0"/>
              <w:marTop w:val="0"/>
              <w:marBottom w:val="0"/>
              <w:divBdr>
                <w:top w:val="none" w:sz="0" w:space="0" w:color="auto"/>
                <w:left w:val="none" w:sz="0" w:space="0" w:color="auto"/>
                <w:bottom w:val="none" w:sz="0" w:space="0" w:color="auto"/>
                <w:right w:val="none" w:sz="0" w:space="0" w:color="auto"/>
              </w:divBdr>
            </w:div>
            <w:div w:id="2041779664">
              <w:marLeft w:val="0"/>
              <w:marRight w:val="0"/>
              <w:marTop w:val="0"/>
              <w:marBottom w:val="0"/>
              <w:divBdr>
                <w:top w:val="none" w:sz="0" w:space="0" w:color="auto"/>
                <w:left w:val="none" w:sz="0" w:space="0" w:color="auto"/>
                <w:bottom w:val="none" w:sz="0" w:space="0" w:color="auto"/>
                <w:right w:val="none" w:sz="0" w:space="0" w:color="auto"/>
              </w:divBdr>
            </w:div>
            <w:div w:id="2091652698">
              <w:marLeft w:val="0"/>
              <w:marRight w:val="0"/>
              <w:marTop w:val="0"/>
              <w:marBottom w:val="0"/>
              <w:divBdr>
                <w:top w:val="none" w:sz="0" w:space="0" w:color="auto"/>
                <w:left w:val="none" w:sz="0" w:space="0" w:color="auto"/>
                <w:bottom w:val="none" w:sz="0" w:space="0" w:color="auto"/>
                <w:right w:val="none" w:sz="0" w:space="0" w:color="auto"/>
              </w:divBdr>
            </w:div>
            <w:div w:id="2112386466">
              <w:marLeft w:val="0"/>
              <w:marRight w:val="0"/>
              <w:marTop w:val="0"/>
              <w:marBottom w:val="0"/>
              <w:divBdr>
                <w:top w:val="none" w:sz="0" w:space="0" w:color="auto"/>
                <w:left w:val="none" w:sz="0" w:space="0" w:color="auto"/>
                <w:bottom w:val="none" w:sz="0" w:space="0" w:color="auto"/>
                <w:right w:val="none" w:sz="0" w:space="0" w:color="auto"/>
              </w:divBdr>
            </w:div>
            <w:div w:id="211590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116063">
      <w:bodyDiv w:val="1"/>
      <w:marLeft w:val="0"/>
      <w:marRight w:val="0"/>
      <w:marTop w:val="0"/>
      <w:marBottom w:val="0"/>
      <w:divBdr>
        <w:top w:val="none" w:sz="0" w:space="0" w:color="auto"/>
        <w:left w:val="none" w:sz="0" w:space="0" w:color="auto"/>
        <w:bottom w:val="none" w:sz="0" w:space="0" w:color="auto"/>
        <w:right w:val="none" w:sz="0" w:space="0" w:color="auto"/>
      </w:divBdr>
      <w:divsChild>
        <w:div w:id="805779862">
          <w:marLeft w:val="0"/>
          <w:marRight w:val="0"/>
          <w:marTop w:val="0"/>
          <w:marBottom w:val="0"/>
          <w:divBdr>
            <w:top w:val="none" w:sz="0" w:space="0" w:color="auto"/>
            <w:left w:val="none" w:sz="0" w:space="0" w:color="auto"/>
            <w:bottom w:val="none" w:sz="0" w:space="0" w:color="auto"/>
            <w:right w:val="none" w:sz="0" w:space="0" w:color="auto"/>
          </w:divBdr>
          <w:divsChild>
            <w:div w:id="585306982">
              <w:marLeft w:val="0"/>
              <w:marRight w:val="0"/>
              <w:marTop w:val="0"/>
              <w:marBottom w:val="0"/>
              <w:divBdr>
                <w:top w:val="none" w:sz="0" w:space="0" w:color="auto"/>
                <w:left w:val="none" w:sz="0" w:space="0" w:color="auto"/>
                <w:bottom w:val="none" w:sz="0" w:space="0" w:color="auto"/>
                <w:right w:val="none" w:sz="0" w:space="0" w:color="auto"/>
              </w:divBdr>
              <w:divsChild>
                <w:div w:id="890389556">
                  <w:marLeft w:val="0"/>
                  <w:marRight w:val="0"/>
                  <w:marTop w:val="0"/>
                  <w:marBottom w:val="0"/>
                  <w:divBdr>
                    <w:top w:val="none" w:sz="0" w:space="0" w:color="auto"/>
                    <w:left w:val="none" w:sz="0" w:space="0" w:color="auto"/>
                    <w:bottom w:val="none" w:sz="0" w:space="0" w:color="auto"/>
                    <w:right w:val="none" w:sz="0" w:space="0" w:color="auto"/>
                  </w:divBdr>
                  <w:divsChild>
                    <w:div w:id="1408570060">
                      <w:marLeft w:val="0"/>
                      <w:marRight w:val="0"/>
                      <w:marTop w:val="0"/>
                      <w:marBottom w:val="0"/>
                      <w:divBdr>
                        <w:top w:val="none" w:sz="0" w:space="0" w:color="auto"/>
                        <w:left w:val="none" w:sz="0" w:space="0" w:color="auto"/>
                        <w:bottom w:val="none" w:sz="0" w:space="0" w:color="auto"/>
                        <w:right w:val="none" w:sz="0" w:space="0" w:color="auto"/>
                      </w:divBdr>
                      <w:divsChild>
                        <w:div w:id="689450506">
                          <w:marLeft w:val="0"/>
                          <w:marRight w:val="0"/>
                          <w:marTop w:val="0"/>
                          <w:marBottom w:val="0"/>
                          <w:divBdr>
                            <w:top w:val="none" w:sz="0" w:space="0" w:color="auto"/>
                            <w:left w:val="none" w:sz="0" w:space="0" w:color="auto"/>
                            <w:bottom w:val="none" w:sz="0" w:space="0" w:color="auto"/>
                            <w:right w:val="none" w:sz="0" w:space="0" w:color="auto"/>
                          </w:divBdr>
                          <w:divsChild>
                            <w:div w:id="1769348452">
                              <w:marLeft w:val="0"/>
                              <w:marRight w:val="0"/>
                              <w:marTop w:val="0"/>
                              <w:marBottom w:val="0"/>
                              <w:divBdr>
                                <w:top w:val="none" w:sz="0" w:space="0" w:color="auto"/>
                                <w:left w:val="none" w:sz="0" w:space="0" w:color="auto"/>
                                <w:bottom w:val="none" w:sz="0" w:space="0" w:color="auto"/>
                                <w:right w:val="none" w:sz="0" w:space="0" w:color="auto"/>
                              </w:divBdr>
                              <w:divsChild>
                                <w:div w:id="135492095">
                                  <w:marLeft w:val="0"/>
                                  <w:marRight w:val="0"/>
                                  <w:marTop w:val="0"/>
                                  <w:marBottom w:val="0"/>
                                  <w:divBdr>
                                    <w:top w:val="none" w:sz="0" w:space="0" w:color="auto"/>
                                    <w:left w:val="none" w:sz="0" w:space="0" w:color="auto"/>
                                    <w:bottom w:val="none" w:sz="0" w:space="0" w:color="auto"/>
                                    <w:right w:val="none" w:sz="0" w:space="0" w:color="auto"/>
                                  </w:divBdr>
                                  <w:divsChild>
                                    <w:div w:id="47476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7167488">
      <w:bodyDiv w:val="1"/>
      <w:marLeft w:val="0"/>
      <w:marRight w:val="0"/>
      <w:marTop w:val="0"/>
      <w:marBottom w:val="0"/>
      <w:divBdr>
        <w:top w:val="none" w:sz="0" w:space="0" w:color="auto"/>
        <w:left w:val="none" w:sz="0" w:space="0" w:color="auto"/>
        <w:bottom w:val="none" w:sz="0" w:space="0" w:color="auto"/>
        <w:right w:val="none" w:sz="0" w:space="0" w:color="auto"/>
      </w:divBdr>
      <w:divsChild>
        <w:div w:id="1111630395">
          <w:marLeft w:val="0"/>
          <w:marRight w:val="0"/>
          <w:marTop w:val="0"/>
          <w:marBottom w:val="0"/>
          <w:divBdr>
            <w:top w:val="none" w:sz="0" w:space="0" w:color="auto"/>
            <w:left w:val="none" w:sz="0" w:space="0" w:color="auto"/>
            <w:bottom w:val="dotted" w:sz="6" w:space="4" w:color="DDDDDD"/>
            <w:right w:val="none" w:sz="0" w:space="0" w:color="auto"/>
          </w:divBdr>
          <w:divsChild>
            <w:div w:id="15442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235115">
      <w:bodyDiv w:val="1"/>
      <w:marLeft w:val="0"/>
      <w:marRight w:val="0"/>
      <w:marTop w:val="0"/>
      <w:marBottom w:val="0"/>
      <w:divBdr>
        <w:top w:val="none" w:sz="0" w:space="0" w:color="auto"/>
        <w:left w:val="none" w:sz="0" w:space="0" w:color="auto"/>
        <w:bottom w:val="none" w:sz="0" w:space="0" w:color="auto"/>
        <w:right w:val="none" w:sz="0" w:space="0" w:color="auto"/>
      </w:divBdr>
      <w:divsChild>
        <w:div w:id="120609831">
          <w:marLeft w:val="0"/>
          <w:marRight w:val="0"/>
          <w:marTop w:val="0"/>
          <w:marBottom w:val="150"/>
          <w:divBdr>
            <w:top w:val="none" w:sz="0" w:space="0" w:color="auto"/>
            <w:left w:val="none" w:sz="0" w:space="0" w:color="auto"/>
            <w:bottom w:val="none" w:sz="0" w:space="0" w:color="auto"/>
            <w:right w:val="none" w:sz="0" w:space="0" w:color="auto"/>
          </w:divBdr>
        </w:div>
        <w:div w:id="521406733">
          <w:marLeft w:val="0"/>
          <w:marRight w:val="0"/>
          <w:marTop w:val="0"/>
          <w:marBottom w:val="0"/>
          <w:divBdr>
            <w:top w:val="none" w:sz="0" w:space="0" w:color="auto"/>
            <w:left w:val="none" w:sz="0" w:space="0" w:color="auto"/>
            <w:bottom w:val="none" w:sz="0" w:space="0" w:color="auto"/>
            <w:right w:val="none" w:sz="0" w:space="0" w:color="auto"/>
          </w:divBdr>
          <w:divsChild>
            <w:div w:id="253711537">
              <w:marLeft w:val="0"/>
              <w:marRight w:val="0"/>
              <w:marTop w:val="225"/>
              <w:marBottom w:val="225"/>
              <w:divBdr>
                <w:top w:val="none" w:sz="0" w:space="0" w:color="auto"/>
                <w:left w:val="none" w:sz="0" w:space="0" w:color="auto"/>
                <w:bottom w:val="none" w:sz="0" w:space="0" w:color="auto"/>
                <w:right w:val="none" w:sz="0" w:space="0" w:color="auto"/>
              </w:divBdr>
            </w:div>
          </w:divsChild>
        </w:div>
        <w:div w:id="792752056">
          <w:marLeft w:val="0"/>
          <w:marRight w:val="0"/>
          <w:marTop w:val="0"/>
          <w:marBottom w:val="150"/>
          <w:divBdr>
            <w:top w:val="none" w:sz="0" w:space="0" w:color="auto"/>
            <w:left w:val="none" w:sz="0" w:space="0" w:color="auto"/>
            <w:bottom w:val="none" w:sz="0" w:space="0" w:color="auto"/>
            <w:right w:val="none" w:sz="0" w:space="0" w:color="auto"/>
          </w:divBdr>
          <w:divsChild>
            <w:div w:id="2135907346">
              <w:marLeft w:val="0"/>
              <w:marRight w:val="0"/>
              <w:marTop w:val="0"/>
              <w:marBottom w:val="0"/>
              <w:divBdr>
                <w:top w:val="none" w:sz="0" w:space="0" w:color="auto"/>
                <w:left w:val="none" w:sz="0" w:space="0" w:color="auto"/>
                <w:bottom w:val="none" w:sz="0" w:space="0" w:color="auto"/>
                <w:right w:val="none" w:sz="0" w:space="0" w:color="auto"/>
              </w:divBdr>
              <w:divsChild>
                <w:div w:id="182330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313015">
      <w:bodyDiv w:val="1"/>
      <w:marLeft w:val="0"/>
      <w:marRight w:val="0"/>
      <w:marTop w:val="0"/>
      <w:marBottom w:val="0"/>
      <w:divBdr>
        <w:top w:val="none" w:sz="0" w:space="0" w:color="auto"/>
        <w:left w:val="none" w:sz="0" w:space="0" w:color="auto"/>
        <w:bottom w:val="none" w:sz="0" w:space="0" w:color="auto"/>
        <w:right w:val="none" w:sz="0" w:space="0" w:color="auto"/>
      </w:divBdr>
    </w:div>
    <w:div w:id="1127622177">
      <w:bodyDiv w:val="1"/>
      <w:marLeft w:val="0"/>
      <w:marRight w:val="0"/>
      <w:marTop w:val="0"/>
      <w:marBottom w:val="0"/>
      <w:divBdr>
        <w:top w:val="none" w:sz="0" w:space="0" w:color="auto"/>
        <w:left w:val="none" w:sz="0" w:space="0" w:color="auto"/>
        <w:bottom w:val="none" w:sz="0" w:space="0" w:color="auto"/>
        <w:right w:val="none" w:sz="0" w:space="0" w:color="auto"/>
      </w:divBdr>
      <w:divsChild>
        <w:div w:id="18237639">
          <w:marLeft w:val="0"/>
          <w:marRight w:val="0"/>
          <w:marTop w:val="0"/>
          <w:marBottom w:val="150"/>
          <w:divBdr>
            <w:top w:val="none" w:sz="0" w:space="0" w:color="auto"/>
            <w:left w:val="none" w:sz="0" w:space="0" w:color="auto"/>
            <w:bottom w:val="none" w:sz="0" w:space="0" w:color="auto"/>
            <w:right w:val="none" w:sz="0" w:space="0" w:color="auto"/>
          </w:divBdr>
          <w:divsChild>
            <w:div w:id="1506944493">
              <w:marLeft w:val="0"/>
              <w:marRight w:val="0"/>
              <w:marTop w:val="0"/>
              <w:marBottom w:val="0"/>
              <w:divBdr>
                <w:top w:val="none" w:sz="0" w:space="0" w:color="auto"/>
                <w:left w:val="none" w:sz="0" w:space="0" w:color="auto"/>
                <w:bottom w:val="none" w:sz="0" w:space="0" w:color="auto"/>
                <w:right w:val="none" w:sz="0" w:space="0" w:color="auto"/>
              </w:divBdr>
            </w:div>
          </w:divsChild>
        </w:div>
        <w:div w:id="253708997">
          <w:marLeft w:val="0"/>
          <w:marRight w:val="0"/>
          <w:marTop w:val="0"/>
          <w:marBottom w:val="150"/>
          <w:divBdr>
            <w:top w:val="none" w:sz="0" w:space="0" w:color="auto"/>
            <w:left w:val="none" w:sz="0" w:space="0" w:color="auto"/>
            <w:bottom w:val="none" w:sz="0" w:space="0" w:color="auto"/>
            <w:right w:val="none" w:sz="0" w:space="0" w:color="auto"/>
          </w:divBdr>
        </w:div>
        <w:div w:id="1992754722">
          <w:marLeft w:val="0"/>
          <w:marRight w:val="0"/>
          <w:marTop w:val="0"/>
          <w:marBottom w:val="0"/>
          <w:divBdr>
            <w:top w:val="none" w:sz="0" w:space="0" w:color="auto"/>
            <w:left w:val="none" w:sz="0" w:space="0" w:color="auto"/>
            <w:bottom w:val="none" w:sz="0" w:space="0" w:color="auto"/>
            <w:right w:val="none" w:sz="0" w:space="0" w:color="auto"/>
          </w:divBdr>
          <w:divsChild>
            <w:div w:id="108719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696463">
      <w:bodyDiv w:val="1"/>
      <w:marLeft w:val="0"/>
      <w:marRight w:val="0"/>
      <w:marTop w:val="0"/>
      <w:marBottom w:val="0"/>
      <w:divBdr>
        <w:top w:val="none" w:sz="0" w:space="0" w:color="auto"/>
        <w:left w:val="none" w:sz="0" w:space="0" w:color="auto"/>
        <w:bottom w:val="none" w:sz="0" w:space="0" w:color="auto"/>
        <w:right w:val="none" w:sz="0" w:space="0" w:color="auto"/>
      </w:divBdr>
    </w:div>
    <w:div w:id="1127774629">
      <w:bodyDiv w:val="1"/>
      <w:marLeft w:val="0"/>
      <w:marRight w:val="0"/>
      <w:marTop w:val="0"/>
      <w:marBottom w:val="0"/>
      <w:divBdr>
        <w:top w:val="none" w:sz="0" w:space="0" w:color="auto"/>
        <w:left w:val="none" w:sz="0" w:space="0" w:color="auto"/>
        <w:bottom w:val="none" w:sz="0" w:space="0" w:color="auto"/>
        <w:right w:val="none" w:sz="0" w:space="0" w:color="auto"/>
      </w:divBdr>
      <w:divsChild>
        <w:div w:id="207568592">
          <w:marLeft w:val="0"/>
          <w:marRight w:val="0"/>
          <w:marTop w:val="0"/>
          <w:marBottom w:val="0"/>
          <w:divBdr>
            <w:top w:val="none" w:sz="0" w:space="0" w:color="auto"/>
            <w:left w:val="none" w:sz="0" w:space="0" w:color="auto"/>
            <w:bottom w:val="dotted" w:sz="6" w:space="4" w:color="DDDDDD"/>
            <w:right w:val="none" w:sz="0" w:space="0" w:color="auto"/>
          </w:divBdr>
          <w:divsChild>
            <w:div w:id="157963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895945">
      <w:bodyDiv w:val="1"/>
      <w:marLeft w:val="0"/>
      <w:marRight w:val="0"/>
      <w:marTop w:val="0"/>
      <w:marBottom w:val="0"/>
      <w:divBdr>
        <w:top w:val="none" w:sz="0" w:space="0" w:color="auto"/>
        <w:left w:val="none" w:sz="0" w:space="0" w:color="auto"/>
        <w:bottom w:val="none" w:sz="0" w:space="0" w:color="auto"/>
        <w:right w:val="none" w:sz="0" w:space="0" w:color="auto"/>
      </w:divBdr>
      <w:divsChild>
        <w:div w:id="784888612">
          <w:marLeft w:val="0"/>
          <w:marRight w:val="0"/>
          <w:marTop w:val="0"/>
          <w:marBottom w:val="150"/>
          <w:divBdr>
            <w:top w:val="none" w:sz="0" w:space="0" w:color="auto"/>
            <w:left w:val="none" w:sz="0" w:space="0" w:color="auto"/>
            <w:bottom w:val="none" w:sz="0" w:space="0" w:color="auto"/>
            <w:right w:val="none" w:sz="0" w:space="0" w:color="auto"/>
          </w:divBdr>
          <w:divsChild>
            <w:div w:id="401028371">
              <w:marLeft w:val="0"/>
              <w:marRight w:val="0"/>
              <w:marTop w:val="0"/>
              <w:marBottom w:val="0"/>
              <w:divBdr>
                <w:top w:val="none" w:sz="0" w:space="0" w:color="auto"/>
                <w:left w:val="none" w:sz="0" w:space="0" w:color="auto"/>
                <w:bottom w:val="none" w:sz="0" w:space="0" w:color="auto"/>
                <w:right w:val="none" w:sz="0" w:space="0" w:color="auto"/>
              </w:divBdr>
              <w:divsChild>
                <w:div w:id="875848912">
                  <w:marLeft w:val="0"/>
                  <w:marRight w:val="0"/>
                  <w:marTop w:val="0"/>
                  <w:marBottom w:val="0"/>
                  <w:divBdr>
                    <w:top w:val="none" w:sz="0" w:space="0" w:color="auto"/>
                    <w:left w:val="none" w:sz="0" w:space="0" w:color="auto"/>
                    <w:bottom w:val="none" w:sz="0" w:space="0" w:color="auto"/>
                    <w:right w:val="none" w:sz="0" w:space="0" w:color="auto"/>
                  </w:divBdr>
                  <w:divsChild>
                    <w:div w:id="1572812325">
                      <w:marLeft w:val="0"/>
                      <w:marRight w:val="150"/>
                      <w:marTop w:val="0"/>
                      <w:marBottom w:val="0"/>
                      <w:divBdr>
                        <w:top w:val="none" w:sz="0" w:space="0" w:color="auto"/>
                        <w:left w:val="none" w:sz="0" w:space="0" w:color="auto"/>
                        <w:bottom w:val="none" w:sz="0" w:space="0" w:color="auto"/>
                        <w:right w:val="none" w:sz="0" w:space="0" w:color="auto"/>
                      </w:divBdr>
                      <w:divsChild>
                        <w:div w:id="88768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313842">
          <w:marLeft w:val="0"/>
          <w:marRight w:val="0"/>
          <w:marTop w:val="0"/>
          <w:marBottom w:val="0"/>
          <w:divBdr>
            <w:top w:val="none" w:sz="0" w:space="0" w:color="auto"/>
            <w:left w:val="none" w:sz="0" w:space="0" w:color="auto"/>
            <w:bottom w:val="none" w:sz="0" w:space="0" w:color="auto"/>
            <w:right w:val="none" w:sz="0" w:space="0" w:color="auto"/>
          </w:divBdr>
          <w:divsChild>
            <w:div w:id="1480534215">
              <w:marLeft w:val="0"/>
              <w:marRight w:val="0"/>
              <w:marTop w:val="0"/>
              <w:marBottom w:val="150"/>
              <w:divBdr>
                <w:top w:val="none" w:sz="0" w:space="0" w:color="auto"/>
                <w:left w:val="none" w:sz="0" w:space="0" w:color="auto"/>
                <w:bottom w:val="none" w:sz="0" w:space="0" w:color="auto"/>
                <w:right w:val="none" w:sz="0" w:space="0" w:color="auto"/>
              </w:divBdr>
            </w:div>
            <w:div w:id="843590815">
              <w:marLeft w:val="0"/>
              <w:marRight w:val="0"/>
              <w:marTop w:val="0"/>
              <w:marBottom w:val="0"/>
              <w:divBdr>
                <w:top w:val="none" w:sz="0" w:space="0" w:color="auto"/>
                <w:left w:val="none" w:sz="0" w:space="0" w:color="auto"/>
                <w:bottom w:val="none" w:sz="0" w:space="0" w:color="auto"/>
                <w:right w:val="none" w:sz="0" w:space="0" w:color="auto"/>
              </w:divBdr>
              <w:divsChild>
                <w:div w:id="198083890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127941086">
      <w:bodyDiv w:val="1"/>
      <w:marLeft w:val="0"/>
      <w:marRight w:val="0"/>
      <w:marTop w:val="0"/>
      <w:marBottom w:val="0"/>
      <w:divBdr>
        <w:top w:val="none" w:sz="0" w:space="0" w:color="auto"/>
        <w:left w:val="none" w:sz="0" w:space="0" w:color="auto"/>
        <w:bottom w:val="none" w:sz="0" w:space="0" w:color="auto"/>
        <w:right w:val="none" w:sz="0" w:space="0" w:color="auto"/>
      </w:divBdr>
      <w:divsChild>
        <w:div w:id="1064715771">
          <w:marLeft w:val="0"/>
          <w:marRight w:val="0"/>
          <w:marTop w:val="0"/>
          <w:marBottom w:val="0"/>
          <w:divBdr>
            <w:top w:val="none" w:sz="0" w:space="0" w:color="auto"/>
            <w:left w:val="none" w:sz="0" w:space="0" w:color="auto"/>
            <w:bottom w:val="dotted" w:sz="6" w:space="4" w:color="DDDDDD"/>
            <w:right w:val="none" w:sz="0" w:space="0" w:color="auto"/>
          </w:divBdr>
        </w:div>
      </w:divsChild>
    </w:div>
    <w:div w:id="1128013323">
      <w:bodyDiv w:val="1"/>
      <w:marLeft w:val="0"/>
      <w:marRight w:val="0"/>
      <w:marTop w:val="0"/>
      <w:marBottom w:val="0"/>
      <w:divBdr>
        <w:top w:val="none" w:sz="0" w:space="0" w:color="auto"/>
        <w:left w:val="none" w:sz="0" w:space="0" w:color="auto"/>
        <w:bottom w:val="none" w:sz="0" w:space="0" w:color="auto"/>
        <w:right w:val="none" w:sz="0" w:space="0" w:color="auto"/>
      </w:divBdr>
      <w:divsChild>
        <w:div w:id="1281716617">
          <w:marLeft w:val="0"/>
          <w:marRight w:val="0"/>
          <w:marTop w:val="0"/>
          <w:marBottom w:val="0"/>
          <w:divBdr>
            <w:top w:val="none" w:sz="0" w:space="0" w:color="auto"/>
            <w:left w:val="none" w:sz="0" w:space="0" w:color="auto"/>
            <w:bottom w:val="none" w:sz="0" w:space="0" w:color="auto"/>
            <w:right w:val="none" w:sz="0" w:space="0" w:color="auto"/>
          </w:divBdr>
          <w:divsChild>
            <w:div w:id="1869757860">
              <w:marLeft w:val="0"/>
              <w:marRight w:val="0"/>
              <w:marTop w:val="0"/>
              <w:marBottom w:val="0"/>
              <w:divBdr>
                <w:top w:val="none" w:sz="0" w:space="0" w:color="auto"/>
                <w:left w:val="none" w:sz="0" w:space="0" w:color="auto"/>
                <w:bottom w:val="none" w:sz="0" w:space="0" w:color="auto"/>
                <w:right w:val="none" w:sz="0" w:space="0" w:color="auto"/>
              </w:divBdr>
            </w:div>
          </w:divsChild>
        </w:div>
        <w:div w:id="1288048386">
          <w:marLeft w:val="0"/>
          <w:marRight w:val="0"/>
          <w:marTop w:val="240"/>
          <w:marBottom w:val="0"/>
          <w:divBdr>
            <w:top w:val="none" w:sz="0" w:space="0" w:color="auto"/>
            <w:left w:val="none" w:sz="0" w:space="0" w:color="auto"/>
            <w:bottom w:val="none" w:sz="0" w:space="0" w:color="auto"/>
            <w:right w:val="none" w:sz="0" w:space="0" w:color="auto"/>
          </w:divBdr>
        </w:div>
        <w:div w:id="1259869984">
          <w:marLeft w:val="0"/>
          <w:marRight w:val="0"/>
          <w:marTop w:val="0"/>
          <w:marBottom w:val="0"/>
          <w:divBdr>
            <w:top w:val="none" w:sz="0" w:space="0" w:color="auto"/>
            <w:left w:val="none" w:sz="0" w:space="0" w:color="auto"/>
            <w:bottom w:val="none" w:sz="0" w:space="0" w:color="auto"/>
            <w:right w:val="none" w:sz="0" w:space="0" w:color="auto"/>
          </w:divBdr>
          <w:divsChild>
            <w:div w:id="1616869023">
              <w:marLeft w:val="-225"/>
              <w:marRight w:val="-225"/>
              <w:marTop w:val="0"/>
              <w:marBottom w:val="0"/>
              <w:divBdr>
                <w:top w:val="none" w:sz="0" w:space="0" w:color="auto"/>
                <w:left w:val="none" w:sz="0" w:space="0" w:color="auto"/>
                <w:bottom w:val="none" w:sz="0" w:space="0" w:color="auto"/>
                <w:right w:val="none" w:sz="0" w:space="0" w:color="auto"/>
              </w:divBdr>
              <w:divsChild>
                <w:div w:id="34815896">
                  <w:marLeft w:val="0"/>
                  <w:marRight w:val="0"/>
                  <w:marTop w:val="0"/>
                  <w:marBottom w:val="0"/>
                  <w:divBdr>
                    <w:top w:val="none" w:sz="0" w:space="0" w:color="auto"/>
                    <w:left w:val="none" w:sz="0" w:space="0" w:color="auto"/>
                    <w:bottom w:val="none" w:sz="0" w:space="0" w:color="auto"/>
                    <w:right w:val="single" w:sz="6" w:space="0" w:color="000000"/>
                  </w:divBdr>
                  <w:divsChild>
                    <w:div w:id="191648834">
                      <w:marLeft w:val="0"/>
                      <w:marRight w:val="0"/>
                      <w:marTop w:val="0"/>
                      <w:marBottom w:val="0"/>
                      <w:divBdr>
                        <w:top w:val="none" w:sz="0" w:space="0" w:color="auto"/>
                        <w:left w:val="none" w:sz="0" w:space="0" w:color="auto"/>
                        <w:bottom w:val="none" w:sz="0" w:space="0" w:color="auto"/>
                        <w:right w:val="none" w:sz="0" w:space="0" w:color="auto"/>
                      </w:divBdr>
                      <w:divsChild>
                        <w:div w:id="1236626780">
                          <w:marLeft w:val="0"/>
                          <w:marRight w:val="0"/>
                          <w:marTop w:val="0"/>
                          <w:marBottom w:val="0"/>
                          <w:divBdr>
                            <w:top w:val="none" w:sz="0" w:space="0" w:color="auto"/>
                            <w:left w:val="none" w:sz="0" w:space="0" w:color="auto"/>
                            <w:bottom w:val="none" w:sz="0" w:space="0" w:color="auto"/>
                            <w:right w:val="none" w:sz="0" w:space="0" w:color="auto"/>
                          </w:divBdr>
                        </w:div>
                        <w:div w:id="142820266">
                          <w:marLeft w:val="0"/>
                          <w:marRight w:val="0"/>
                          <w:marTop w:val="0"/>
                          <w:marBottom w:val="0"/>
                          <w:divBdr>
                            <w:top w:val="none" w:sz="0" w:space="0" w:color="auto"/>
                            <w:left w:val="none" w:sz="0" w:space="0" w:color="auto"/>
                            <w:bottom w:val="none" w:sz="0" w:space="0" w:color="auto"/>
                            <w:right w:val="none" w:sz="0" w:space="0" w:color="auto"/>
                          </w:divBdr>
                        </w:div>
                        <w:div w:id="2084981632">
                          <w:marLeft w:val="0"/>
                          <w:marRight w:val="0"/>
                          <w:marTop w:val="0"/>
                          <w:marBottom w:val="0"/>
                          <w:divBdr>
                            <w:top w:val="none" w:sz="0" w:space="0" w:color="auto"/>
                            <w:left w:val="none" w:sz="0" w:space="0" w:color="auto"/>
                            <w:bottom w:val="none" w:sz="0" w:space="0" w:color="auto"/>
                            <w:right w:val="none" w:sz="0" w:space="0" w:color="auto"/>
                          </w:divBdr>
                        </w:div>
                        <w:div w:id="408621154">
                          <w:marLeft w:val="0"/>
                          <w:marRight w:val="0"/>
                          <w:marTop w:val="0"/>
                          <w:marBottom w:val="0"/>
                          <w:divBdr>
                            <w:top w:val="none" w:sz="0" w:space="0" w:color="auto"/>
                            <w:left w:val="none" w:sz="0" w:space="0" w:color="auto"/>
                            <w:bottom w:val="none" w:sz="0" w:space="0" w:color="auto"/>
                            <w:right w:val="none" w:sz="0" w:space="0" w:color="auto"/>
                          </w:divBdr>
                        </w:div>
                        <w:div w:id="214650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53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088318">
      <w:bodyDiv w:val="1"/>
      <w:marLeft w:val="0"/>
      <w:marRight w:val="0"/>
      <w:marTop w:val="0"/>
      <w:marBottom w:val="0"/>
      <w:divBdr>
        <w:top w:val="none" w:sz="0" w:space="0" w:color="auto"/>
        <w:left w:val="none" w:sz="0" w:space="0" w:color="auto"/>
        <w:bottom w:val="none" w:sz="0" w:space="0" w:color="auto"/>
        <w:right w:val="none" w:sz="0" w:space="0" w:color="auto"/>
      </w:divBdr>
      <w:divsChild>
        <w:div w:id="411699395">
          <w:marLeft w:val="0"/>
          <w:marRight w:val="0"/>
          <w:marTop w:val="0"/>
          <w:marBottom w:val="0"/>
          <w:divBdr>
            <w:top w:val="none" w:sz="0" w:space="0" w:color="auto"/>
            <w:left w:val="none" w:sz="0" w:space="0" w:color="auto"/>
            <w:bottom w:val="none" w:sz="0" w:space="0" w:color="auto"/>
            <w:right w:val="none" w:sz="0" w:space="0" w:color="auto"/>
          </w:divBdr>
          <w:divsChild>
            <w:div w:id="941691826">
              <w:marLeft w:val="0"/>
              <w:marRight w:val="0"/>
              <w:marTop w:val="0"/>
              <w:marBottom w:val="0"/>
              <w:divBdr>
                <w:top w:val="none" w:sz="0" w:space="0" w:color="auto"/>
                <w:left w:val="none" w:sz="0" w:space="0" w:color="auto"/>
                <w:bottom w:val="none" w:sz="0" w:space="0" w:color="auto"/>
                <w:right w:val="none" w:sz="0" w:space="0" w:color="auto"/>
              </w:divBdr>
              <w:divsChild>
                <w:div w:id="72811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167014">
          <w:marLeft w:val="0"/>
          <w:marRight w:val="0"/>
          <w:marTop w:val="0"/>
          <w:marBottom w:val="75"/>
          <w:divBdr>
            <w:top w:val="none" w:sz="0" w:space="0" w:color="auto"/>
            <w:left w:val="none" w:sz="0" w:space="0" w:color="auto"/>
            <w:bottom w:val="none" w:sz="0" w:space="0" w:color="auto"/>
            <w:right w:val="none" w:sz="0" w:space="0" w:color="auto"/>
          </w:divBdr>
        </w:div>
        <w:div w:id="920259847">
          <w:marLeft w:val="0"/>
          <w:marRight w:val="0"/>
          <w:marTop w:val="0"/>
          <w:marBottom w:val="0"/>
          <w:divBdr>
            <w:top w:val="none" w:sz="0" w:space="0" w:color="auto"/>
            <w:left w:val="none" w:sz="0" w:space="0" w:color="auto"/>
            <w:bottom w:val="none" w:sz="0" w:space="0" w:color="auto"/>
            <w:right w:val="none" w:sz="0" w:space="0" w:color="auto"/>
          </w:divBdr>
          <w:divsChild>
            <w:div w:id="1361005112">
              <w:marLeft w:val="0"/>
              <w:marRight w:val="0"/>
              <w:marTop w:val="0"/>
              <w:marBottom w:val="0"/>
              <w:divBdr>
                <w:top w:val="none" w:sz="0" w:space="0" w:color="auto"/>
                <w:left w:val="none" w:sz="0" w:space="0" w:color="auto"/>
                <w:bottom w:val="none" w:sz="0" w:space="0" w:color="auto"/>
                <w:right w:val="none" w:sz="0" w:space="0" w:color="auto"/>
              </w:divBdr>
              <w:divsChild>
                <w:div w:id="464397410">
                  <w:marLeft w:val="0"/>
                  <w:marRight w:val="0"/>
                  <w:marTop w:val="0"/>
                  <w:marBottom w:val="150"/>
                  <w:divBdr>
                    <w:top w:val="none" w:sz="0" w:space="0" w:color="auto"/>
                    <w:left w:val="none" w:sz="0" w:space="0" w:color="auto"/>
                    <w:bottom w:val="none" w:sz="0" w:space="0" w:color="auto"/>
                    <w:right w:val="none" w:sz="0" w:space="0" w:color="auto"/>
                  </w:divBdr>
                  <w:divsChild>
                    <w:div w:id="318088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28662551">
      <w:bodyDiv w:val="1"/>
      <w:marLeft w:val="0"/>
      <w:marRight w:val="0"/>
      <w:marTop w:val="0"/>
      <w:marBottom w:val="0"/>
      <w:divBdr>
        <w:top w:val="none" w:sz="0" w:space="0" w:color="auto"/>
        <w:left w:val="none" w:sz="0" w:space="0" w:color="auto"/>
        <w:bottom w:val="none" w:sz="0" w:space="0" w:color="auto"/>
        <w:right w:val="none" w:sz="0" w:space="0" w:color="auto"/>
      </w:divBdr>
      <w:divsChild>
        <w:div w:id="610623543">
          <w:marLeft w:val="0"/>
          <w:marRight w:val="0"/>
          <w:marTop w:val="0"/>
          <w:marBottom w:val="150"/>
          <w:divBdr>
            <w:top w:val="none" w:sz="0" w:space="0" w:color="auto"/>
            <w:left w:val="none" w:sz="0" w:space="0" w:color="auto"/>
            <w:bottom w:val="none" w:sz="0" w:space="0" w:color="auto"/>
            <w:right w:val="none" w:sz="0" w:space="0" w:color="auto"/>
          </w:divBdr>
        </w:div>
      </w:divsChild>
    </w:div>
    <w:div w:id="1128816547">
      <w:bodyDiv w:val="1"/>
      <w:marLeft w:val="0"/>
      <w:marRight w:val="0"/>
      <w:marTop w:val="0"/>
      <w:marBottom w:val="0"/>
      <w:divBdr>
        <w:top w:val="none" w:sz="0" w:space="0" w:color="auto"/>
        <w:left w:val="none" w:sz="0" w:space="0" w:color="auto"/>
        <w:bottom w:val="none" w:sz="0" w:space="0" w:color="auto"/>
        <w:right w:val="none" w:sz="0" w:space="0" w:color="auto"/>
      </w:divBdr>
      <w:divsChild>
        <w:div w:id="1291741246">
          <w:marLeft w:val="0"/>
          <w:marRight w:val="0"/>
          <w:marTop w:val="0"/>
          <w:marBottom w:val="0"/>
          <w:divBdr>
            <w:top w:val="none" w:sz="0" w:space="0" w:color="auto"/>
            <w:left w:val="none" w:sz="0" w:space="0" w:color="auto"/>
            <w:bottom w:val="none" w:sz="0" w:space="0" w:color="auto"/>
            <w:right w:val="none" w:sz="0" w:space="0" w:color="auto"/>
          </w:divBdr>
          <w:divsChild>
            <w:div w:id="921842577">
              <w:marLeft w:val="0"/>
              <w:marRight w:val="0"/>
              <w:marTop w:val="0"/>
              <w:marBottom w:val="0"/>
              <w:divBdr>
                <w:top w:val="none" w:sz="0" w:space="0" w:color="auto"/>
                <w:left w:val="none" w:sz="0" w:space="0" w:color="auto"/>
                <w:bottom w:val="none" w:sz="0" w:space="0" w:color="auto"/>
                <w:right w:val="none" w:sz="0" w:space="0" w:color="auto"/>
              </w:divBdr>
              <w:divsChild>
                <w:div w:id="819228324">
                  <w:marLeft w:val="0"/>
                  <w:marRight w:val="0"/>
                  <w:marTop w:val="0"/>
                  <w:marBottom w:val="0"/>
                  <w:divBdr>
                    <w:top w:val="none" w:sz="0" w:space="0" w:color="auto"/>
                    <w:left w:val="none" w:sz="0" w:space="0" w:color="auto"/>
                    <w:bottom w:val="none" w:sz="0" w:space="0" w:color="auto"/>
                    <w:right w:val="none" w:sz="0" w:space="0" w:color="auto"/>
                  </w:divBdr>
                  <w:divsChild>
                    <w:div w:id="1865972849">
                      <w:marLeft w:val="0"/>
                      <w:marRight w:val="0"/>
                      <w:marTop w:val="0"/>
                      <w:marBottom w:val="0"/>
                      <w:divBdr>
                        <w:top w:val="none" w:sz="0" w:space="0" w:color="auto"/>
                        <w:left w:val="none" w:sz="0" w:space="0" w:color="auto"/>
                        <w:bottom w:val="none" w:sz="0" w:space="0" w:color="auto"/>
                        <w:right w:val="none" w:sz="0" w:space="0" w:color="auto"/>
                      </w:divBdr>
                      <w:divsChild>
                        <w:div w:id="1037315915">
                          <w:marLeft w:val="0"/>
                          <w:marRight w:val="0"/>
                          <w:marTop w:val="0"/>
                          <w:marBottom w:val="0"/>
                          <w:divBdr>
                            <w:top w:val="none" w:sz="0" w:space="0" w:color="auto"/>
                            <w:left w:val="none" w:sz="0" w:space="0" w:color="auto"/>
                            <w:bottom w:val="none" w:sz="0" w:space="0" w:color="auto"/>
                            <w:right w:val="none" w:sz="0" w:space="0" w:color="auto"/>
                          </w:divBdr>
                          <w:divsChild>
                            <w:div w:id="1603493849">
                              <w:marLeft w:val="0"/>
                              <w:marRight w:val="0"/>
                              <w:marTop w:val="0"/>
                              <w:marBottom w:val="0"/>
                              <w:divBdr>
                                <w:top w:val="none" w:sz="0" w:space="0" w:color="auto"/>
                                <w:left w:val="none" w:sz="0" w:space="0" w:color="auto"/>
                                <w:bottom w:val="none" w:sz="0" w:space="0" w:color="auto"/>
                                <w:right w:val="none" w:sz="0" w:space="0" w:color="auto"/>
                              </w:divBdr>
                              <w:divsChild>
                                <w:div w:id="60643470">
                                  <w:marLeft w:val="0"/>
                                  <w:marRight w:val="0"/>
                                  <w:marTop w:val="0"/>
                                  <w:marBottom w:val="0"/>
                                  <w:divBdr>
                                    <w:top w:val="none" w:sz="0" w:space="0" w:color="auto"/>
                                    <w:left w:val="none" w:sz="0" w:space="0" w:color="auto"/>
                                    <w:bottom w:val="none" w:sz="0" w:space="0" w:color="auto"/>
                                    <w:right w:val="none" w:sz="0" w:space="0" w:color="auto"/>
                                  </w:divBdr>
                                  <w:divsChild>
                                    <w:div w:id="98319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818292">
      <w:bodyDiv w:val="1"/>
      <w:marLeft w:val="0"/>
      <w:marRight w:val="0"/>
      <w:marTop w:val="0"/>
      <w:marBottom w:val="0"/>
      <w:divBdr>
        <w:top w:val="none" w:sz="0" w:space="0" w:color="auto"/>
        <w:left w:val="none" w:sz="0" w:space="0" w:color="auto"/>
        <w:bottom w:val="none" w:sz="0" w:space="0" w:color="auto"/>
        <w:right w:val="none" w:sz="0" w:space="0" w:color="auto"/>
      </w:divBdr>
      <w:divsChild>
        <w:div w:id="991786724">
          <w:marLeft w:val="0"/>
          <w:marRight w:val="0"/>
          <w:marTop w:val="0"/>
          <w:marBottom w:val="0"/>
          <w:divBdr>
            <w:top w:val="none" w:sz="0" w:space="0" w:color="auto"/>
            <w:left w:val="none" w:sz="0" w:space="0" w:color="auto"/>
            <w:bottom w:val="none" w:sz="0" w:space="0" w:color="auto"/>
            <w:right w:val="none" w:sz="0" w:space="0" w:color="auto"/>
          </w:divBdr>
        </w:div>
      </w:divsChild>
    </w:div>
    <w:div w:id="1128858753">
      <w:bodyDiv w:val="1"/>
      <w:marLeft w:val="0"/>
      <w:marRight w:val="0"/>
      <w:marTop w:val="0"/>
      <w:marBottom w:val="0"/>
      <w:divBdr>
        <w:top w:val="none" w:sz="0" w:space="0" w:color="auto"/>
        <w:left w:val="none" w:sz="0" w:space="0" w:color="auto"/>
        <w:bottom w:val="none" w:sz="0" w:space="0" w:color="auto"/>
        <w:right w:val="none" w:sz="0" w:space="0" w:color="auto"/>
      </w:divBdr>
      <w:divsChild>
        <w:div w:id="2023121388">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34239009">
              <w:marLeft w:val="0"/>
              <w:marRight w:val="0"/>
              <w:marTop w:val="300"/>
              <w:marBottom w:val="300"/>
              <w:divBdr>
                <w:top w:val="none" w:sz="0" w:space="0" w:color="auto"/>
                <w:left w:val="none" w:sz="0" w:space="0" w:color="auto"/>
                <w:bottom w:val="none" w:sz="0" w:space="0" w:color="auto"/>
                <w:right w:val="none" w:sz="0" w:space="0" w:color="auto"/>
              </w:divBdr>
              <w:divsChild>
                <w:div w:id="537667763">
                  <w:marLeft w:val="0"/>
                  <w:marRight w:val="0"/>
                  <w:marTop w:val="0"/>
                  <w:marBottom w:val="0"/>
                  <w:divBdr>
                    <w:top w:val="none" w:sz="0" w:space="0" w:color="auto"/>
                    <w:left w:val="none" w:sz="0" w:space="0" w:color="auto"/>
                    <w:bottom w:val="none" w:sz="0" w:space="0" w:color="auto"/>
                    <w:right w:val="none" w:sz="0" w:space="0" w:color="auto"/>
                  </w:divBdr>
                  <w:divsChild>
                    <w:div w:id="1403258638">
                      <w:marLeft w:val="0"/>
                      <w:marRight w:val="0"/>
                      <w:marTop w:val="0"/>
                      <w:marBottom w:val="0"/>
                      <w:divBdr>
                        <w:top w:val="none" w:sz="0" w:space="0" w:color="auto"/>
                        <w:left w:val="none" w:sz="0" w:space="0" w:color="auto"/>
                        <w:bottom w:val="none" w:sz="0" w:space="0" w:color="auto"/>
                        <w:right w:val="none" w:sz="0" w:space="0" w:color="auto"/>
                      </w:divBdr>
                      <w:divsChild>
                        <w:div w:id="809053906">
                          <w:marLeft w:val="0"/>
                          <w:marRight w:val="0"/>
                          <w:marTop w:val="0"/>
                          <w:marBottom w:val="0"/>
                          <w:divBdr>
                            <w:top w:val="none" w:sz="0" w:space="0" w:color="auto"/>
                            <w:left w:val="none" w:sz="0" w:space="0" w:color="auto"/>
                            <w:bottom w:val="none" w:sz="0" w:space="0" w:color="auto"/>
                            <w:right w:val="none" w:sz="0" w:space="0" w:color="auto"/>
                          </w:divBdr>
                          <w:divsChild>
                            <w:div w:id="994645071">
                              <w:marLeft w:val="0"/>
                              <w:marRight w:val="0"/>
                              <w:marTop w:val="0"/>
                              <w:marBottom w:val="0"/>
                              <w:divBdr>
                                <w:top w:val="none" w:sz="0" w:space="0" w:color="auto"/>
                                <w:left w:val="none" w:sz="0" w:space="0" w:color="auto"/>
                                <w:bottom w:val="none" w:sz="0" w:space="0" w:color="auto"/>
                                <w:right w:val="none" w:sz="0" w:space="0" w:color="auto"/>
                              </w:divBdr>
                              <w:divsChild>
                                <w:div w:id="1073820283">
                                  <w:marLeft w:val="0"/>
                                  <w:marRight w:val="0"/>
                                  <w:marTop w:val="0"/>
                                  <w:marBottom w:val="0"/>
                                  <w:divBdr>
                                    <w:top w:val="none" w:sz="0" w:space="0" w:color="auto"/>
                                    <w:left w:val="none" w:sz="0" w:space="0" w:color="auto"/>
                                    <w:bottom w:val="none" w:sz="0" w:space="0" w:color="auto"/>
                                    <w:right w:val="none" w:sz="0" w:space="0" w:color="auto"/>
                                  </w:divBdr>
                                  <w:divsChild>
                                    <w:div w:id="140379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009869">
      <w:bodyDiv w:val="1"/>
      <w:marLeft w:val="0"/>
      <w:marRight w:val="0"/>
      <w:marTop w:val="0"/>
      <w:marBottom w:val="0"/>
      <w:divBdr>
        <w:top w:val="none" w:sz="0" w:space="0" w:color="auto"/>
        <w:left w:val="none" w:sz="0" w:space="0" w:color="auto"/>
        <w:bottom w:val="none" w:sz="0" w:space="0" w:color="auto"/>
        <w:right w:val="none" w:sz="0" w:space="0" w:color="auto"/>
      </w:divBdr>
      <w:divsChild>
        <w:div w:id="438990508">
          <w:marLeft w:val="0"/>
          <w:marRight w:val="0"/>
          <w:marTop w:val="0"/>
          <w:marBottom w:val="150"/>
          <w:divBdr>
            <w:top w:val="none" w:sz="0" w:space="0" w:color="auto"/>
            <w:left w:val="none" w:sz="0" w:space="0" w:color="auto"/>
            <w:bottom w:val="none" w:sz="0" w:space="0" w:color="auto"/>
            <w:right w:val="none" w:sz="0" w:space="0" w:color="auto"/>
          </w:divBdr>
          <w:divsChild>
            <w:div w:id="1469932598">
              <w:marLeft w:val="0"/>
              <w:marRight w:val="0"/>
              <w:marTop w:val="0"/>
              <w:marBottom w:val="0"/>
              <w:divBdr>
                <w:top w:val="none" w:sz="0" w:space="0" w:color="auto"/>
                <w:left w:val="none" w:sz="0" w:space="0" w:color="auto"/>
                <w:bottom w:val="none" w:sz="0" w:space="0" w:color="auto"/>
                <w:right w:val="none" w:sz="0" w:space="0" w:color="auto"/>
              </w:divBdr>
            </w:div>
          </w:divsChild>
        </w:div>
        <w:div w:id="1422525903">
          <w:marLeft w:val="0"/>
          <w:marRight w:val="0"/>
          <w:marTop w:val="0"/>
          <w:marBottom w:val="150"/>
          <w:divBdr>
            <w:top w:val="none" w:sz="0" w:space="0" w:color="auto"/>
            <w:left w:val="none" w:sz="0" w:space="0" w:color="auto"/>
            <w:bottom w:val="none" w:sz="0" w:space="0" w:color="auto"/>
            <w:right w:val="none" w:sz="0" w:space="0" w:color="auto"/>
          </w:divBdr>
        </w:div>
        <w:div w:id="2087724670">
          <w:marLeft w:val="0"/>
          <w:marRight w:val="0"/>
          <w:marTop w:val="0"/>
          <w:marBottom w:val="0"/>
          <w:divBdr>
            <w:top w:val="none" w:sz="0" w:space="0" w:color="auto"/>
            <w:left w:val="none" w:sz="0" w:space="0" w:color="auto"/>
            <w:bottom w:val="none" w:sz="0" w:space="0" w:color="auto"/>
            <w:right w:val="none" w:sz="0" w:space="0" w:color="auto"/>
          </w:divBdr>
          <w:divsChild>
            <w:div w:id="146230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275929">
      <w:bodyDiv w:val="1"/>
      <w:marLeft w:val="0"/>
      <w:marRight w:val="0"/>
      <w:marTop w:val="0"/>
      <w:marBottom w:val="0"/>
      <w:divBdr>
        <w:top w:val="none" w:sz="0" w:space="0" w:color="auto"/>
        <w:left w:val="none" w:sz="0" w:space="0" w:color="auto"/>
        <w:bottom w:val="none" w:sz="0" w:space="0" w:color="auto"/>
        <w:right w:val="none" w:sz="0" w:space="0" w:color="auto"/>
      </w:divBdr>
      <w:divsChild>
        <w:div w:id="1519153448">
          <w:marLeft w:val="0"/>
          <w:marRight w:val="0"/>
          <w:marTop w:val="0"/>
          <w:marBottom w:val="150"/>
          <w:divBdr>
            <w:top w:val="none" w:sz="0" w:space="0" w:color="auto"/>
            <w:left w:val="none" w:sz="0" w:space="0" w:color="auto"/>
            <w:bottom w:val="none" w:sz="0" w:space="0" w:color="auto"/>
            <w:right w:val="none" w:sz="0" w:space="0" w:color="auto"/>
          </w:divBdr>
        </w:div>
      </w:divsChild>
    </w:div>
    <w:div w:id="1129324791">
      <w:bodyDiv w:val="1"/>
      <w:marLeft w:val="0"/>
      <w:marRight w:val="0"/>
      <w:marTop w:val="0"/>
      <w:marBottom w:val="0"/>
      <w:divBdr>
        <w:top w:val="none" w:sz="0" w:space="0" w:color="auto"/>
        <w:left w:val="none" w:sz="0" w:space="0" w:color="auto"/>
        <w:bottom w:val="none" w:sz="0" w:space="0" w:color="auto"/>
        <w:right w:val="none" w:sz="0" w:space="0" w:color="auto"/>
      </w:divBdr>
      <w:divsChild>
        <w:div w:id="415249320">
          <w:marLeft w:val="0"/>
          <w:marRight w:val="0"/>
          <w:marTop w:val="0"/>
          <w:marBottom w:val="0"/>
          <w:divBdr>
            <w:top w:val="none" w:sz="0" w:space="0" w:color="auto"/>
            <w:left w:val="none" w:sz="0" w:space="0" w:color="auto"/>
            <w:bottom w:val="none" w:sz="0" w:space="0" w:color="auto"/>
            <w:right w:val="none" w:sz="0" w:space="0" w:color="auto"/>
          </w:divBdr>
          <w:divsChild>
            <w:div w:id="2089307642">
              <w:marLeft w:val="0"/>
              <w:marRight w:val="0"/>
              <w:marTop w:val="0"/>
              <w:marBottom w:val="0"/>
              <w:divBdr>
                <w:top w:val="none" w:sz="0" w:space="0" w:color="auto"/>
                <w:left w:val="none" w:sz="0" w:space="0" w:color="auto"/>
                <w:bottom w:val="none" w:sz="0" w:space="0" w:color="auto"/>
                <w:right w:val="none" w:sz="0" w:space="0" w:color="auto"/>
              </w:divBdr>
              <w:divsChild>
                <w:div w:id="346370271">
                  <w:marLeft w:val="0"/>
                  <w:marRight w:val="0"/>
                  <w:marTop w:val="0"/>
                  <w:marBottom w:val="450"/>
                  <w:divBdr>
                    <w:top w:val="none" w:sz="0" w:space="0" w:color="auto"/>
                    <w:left w:val="none" w:sz="0" w:space="0" w:color="auto"/>
                    <w:bottom w:val="none" w:sz="0" w:space="0" w:color="auto"/>
                    <w:right w:val="none" w:sz="0" w:space="0" w:color="auto"/>
                  </w:divBdr>
                  <w:divsChild>
                    <w:div w:id="864251916">
                      <w:marLeft w:val="0"/>
                      <w:marRight w:val="0"/>
                      <w:marTop w:val="0"/>
                      <w:marBottom w:val="0"/>
                      <w:divBdr>
                        <w:top w:val="none" w:sz="0" w:space="0" w:color="auto"/>
                        <w:left w:val="none" w:sz="0" w:space="0" w:color="auto"/>
                        <w:bottom w:val="none" w:sz="0" w:space="0" w:color="auto"/>
                        <w:right w:val="none" w:sz="0" w:space="0" w:color="auto"/>
                      </w:divBdr>
                      <w:divsChild>
                        <w:div w:id="24868310">
                          <w:marLeft w:val="0"/>
                          <w:marRight w:val="0"/>
                          <w:marTop w:val="0"/>
                          <w:marBottom w:val="0"/>
                          <w:divBdr>
                            <w:top w:val="none" w:sz="0" w:space="0" w:color="auto"/>
                            <w:left w:val="none" w:sz="0" w:space="0" w:color="auto"/>
                            <w:bottom w:val="none" w:sz="0" w:space="0" w:color="auto"/>
                            <w:right w:val="none" w:sz="0" w:space="0" w:color="auto"/>
                          </w:divBdr>
                          <w:divsChild>
                            <w:div w:id="422453954">
                              <w:marLeft w:val="0"/>
                              <w:marRight w:val="0"/>
                              <w:marTop w:val="0"/>
                              <w:marBottom w:val="0"/>
                              <w:divBdr>
                                <w:top w:val="none" w:sz="0" w:space="0" w:color="auto"/>
                                <w:left w:val="none" w:sz="0" w:space="0" w:color="auto"/>
                                <w:bottom w:val="none" w:sz="0" w:space="0" w:color="auto"/>
                                <w:right w:val="none" w:sz="0" w:space="0" w:color="auto"/>
                              </w:divBdr>
                            </w:div>
                          </w:divsChild>
                        </w:div>
                        <w:div w:id="1419325022">
                          <w:marLeft w:val="0"/>
                          <w:marRight w:val="0"/>
                          <w:marTop w:val="0"/>
                          <w:marBottom w:val="150"/>
                          <w:divBdr>
                            <w:top w:val="none" w:sz="0" w:space="0" w:color="auto"/>
                            <w:left w:val="none" w:sz="0" w:space="0" w:color="auto"/>
                            <w:bottom w:val="none" w:sz="0" w:space="0" w:color="auto"/>
                            <w:right w:val="none" w:sz="0" w:space="0" w:color="auto"/>
                          </w:divBdr>
                        </w:div>
                      </w:divsChild>
                    </w:div>
                    <w:div w:id="2145848630">
                      <w:marLeft w:val="0"/>
                      <w:marRight w:val="0"/>
                      <w:marTop w:val="0"/>
                      <w:marBottom w:val="150"/>
                      <w:divBdr>
                        <w:top w:val="none" w:sz="0" w:space="0" w:color="auto"/>
                        <w:left w:val="none" w:sz="0" w:space="0" w:color="auto"/>
                        <w:bottom w:val="none" w:sz="0" w:space="0" w:color="auto"/>
                        <w:right w:val="none" w:sz="0" w:space="0" w:color="auto"/>
                      </w:divBdr>
                      <w:divsChild>
                        <w:div w:id="195404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117660">
          <w:marLeft w:val="0"/>
          <w:marRight w:val="0"/>
          <w:marTop w:val="0"/>
          <w:marBottom w:val="375"/>
          <w:divBdr>
            <w:top w:val="none" w:sz="0" w:space="0" w:color="auto"/>
            <w:left w:val="none" w:sz="0" w:space="0" w:color="auto"/>
            <w:bottom w:val="single" w:sz="6" w:space="0" w:color="005494"/>
            <w:right w:val="none" w:sz="0" w:space="0" w:color="auto"/>
          </w:divBdr>
        </w:div>
        <w:div w:id="1193181082">
          <w:marLeft w:val="0"/>
          <w:marRight w:val="0"/>
          <w:marTop w:val="0"/>
          <w:marBottom w:val="300"/>
          <w:divBdr>
            <w:top w:val="none" w:sz="0" w:space="0" w:color="auto"/>
            <w:left w:val="none" w:sz="0" w:space="0" w:color="auto"/>
            <w:bottom w:val="single" w:sz="6" w:space="0" w:color="E4E4E4"/>
            <w:right w:val="none" w:sz="0" w:space="0" w:color="auto"/>
          </w:divBdr>
        </w:div>
      </w:divsChild>
    </w:div>
    <w:div w:id="1132360988">
      <w:bodyDiv w:val="1"/>
      <w:marLeft w:val="0"/>
      <w:marRight w:val="0"/>
      <w:marTop w:val="0"/>
      <w:marBottom w:val="0"/>
      <w:divBdr>
        <w:top w:val="none" w:sz="0" w:space="0" w:color="auto"/>
        <w:left w:val="none" w:sz="0" w:space="0" w:color="auto"/>
        <w:bottom w:val="none" w:sz="0" w:space="0" w:color="auto"/>
        <w:right w:val="none" w:sz="0" w:space="0" w:color="auto"/>
      </w:divBdr>
    </w:div>
    <w:div w:id="1132478295">
      <w:bodyDiv w:val="1"/>
      <w:marLeft w:val="0"/>
      <w:marRight w:val="0"/>
      <w:marTop w:val="0"/>
      <w:marBottom w:val="0"/>
      <w:divBdr>
        <w:top w:val="none" w:sz="0" w:space="0" w:color="auto"/>
        <w:left w:val="none" w:sz="0" w:space="0" w:color="auto"/>
        <w:bottom w:val="none" w:sz="0" w:space="0" w:color="auto"/>
        <w:right w:val="none" w:sz="0" w:space="0" w:color="auto"/>
      </w:divBdr>
      <w:divsChild>
        <w:div w:id="588276498">
          <w:marLeft w:val="0"/>
          <w:marRight w:val="0"/>
          <w:marTop w:val="0"/>
          <w:marBottom w:val="0"/>
          <w:divBdr>
            <w:top w:val="none" w:sz="0" w:space="0" w:color="auto"/>
            <w:left w:val="none" w:sz="0" w:space="0" w:color="auto"/>
            <w:bottom w:val="dotted" w:sz="6" w:space="4" w:color="DDDDDD"/>
            <w:right w:val="none" w:sz="0" w:space="0" w:color="auto"/>
          </w:divBdr>
          <w:divsChild>
            <w:div w:id="2918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748222">
      <w:bodyDiv w:val="1"/>
      <w:marLeft w:val="0"/>
      <w:marRight w:val="0"/>
      <w:marTop w:val="0"/>
      <w:marBottom w:val="0"/>
      <w:divBdr>
        <w:top w:val="none" w:sz="0" w:space="0" w:color="auto"/>
        <w:left w:val="none" w:sz="0" w:space="0" w:color="auto"/>
        <w:bottom w:val="none" w:sz="0" w:space="0" w:color="auto"/>
        <w:right w:val="none" w:sz="0" w:space="0" w:color="auto"/>
      </w:divBdr>
      <w:divsChild>
        <w:div w:id="1947302662">
          <w:marLeft w:val="0"/>
          <w:marRight w:val="0"/>
          <w:marTop w:val="0"/>
          <w:marBottom w:val="0"/>
          <w:divBdr>
            <w:top w:val="none" w:sz="0" w:space="0" w:color="auto"/>
            <w:left w:val="none" w:sz="0" w:space="0" w:color="auto"/>
            <w:bottom w:val="dotted" w:sz="6" w:space="4" w:color="DDDDDD"/>
            <w:right w:val="none" w:sz="0" w:space="0" w:color="auto"/>
          </w:divBdr>
        </w:div>
      </w:divsChild>
    </w:div>
    <w:div w:id="1132753058">
      <w:bodyDiv w:val="1"/>
      <w:marLeft w:val="0"/>
      <w:marRight w:val="0"/>
      <w:marTop w:val="0"/>
      <w:marBottom w:val="0"/>
      <w:divBdr>
        <w:top w:val="none" w:sz="0" w:space="0" w:color="auto"/>
        <w:left w:val="none" w:sz="0" w:space="0" w:color="auto"/>
        <w:bottom w:val="none" w:sz="0" w:space="0" w:color="auto"/>
        <w:right w:val="none" w:sz="0" w:space="0" w:color="auto"/>
      </w:divBdr>
      <w:divsChild>
        <w:div w:id="446242273">
          <w:marLeft w:val="0"/>
          <w:marRight w:val="0"/>
          <w:marTop w:val="0"/>
          <w:marBottom w:val="0"/>
          <w:divBdr>
            <w:top w:val="none" w:sz="0" w:space="0" w:color="auto"/>
            <w:left w:val="none" w:sz="0" w:space="0" w:color="auto"/>
            <w:bottom w:val="none" w:sz="0" w:space="0" w:color="auto"/>
            <w:right w:val="none" w:sz="0" w:space="0" w:color="auto"/>
          </w:divBdr>
          <w:divsChild>
            <w:div w:id="1882016463">
              <w:marLeft w:val="0"/>
              <w:marRight w:val="0"/>
              <w:marTop w:val="0"/>
              <w:marBottom w:val="0"/>
              <w:divBdr>
                <w:top w:val="none" w:sz="0" w:space="0" w:color="auto"/>
                <w:left w:val="none" w:sz="0" w:space="0" w:color="auto"/>
                <w:bottom w:val="none" w:sz="0" w:space="0" w:color="auto"/>
                <w:right w:val="none" w:sz="0" w:space="0" w:color="auto"/>
              </w:divBdr>
            </w:div>
            <w:div w:id="1966934364">
              <w:marLeft w:val="0"/>
              <w:marRight w:val="150"/>
              <w:marTop w:val="0"/>
              <w:marBottom w:val="0"/>
              <w:divBdr>
                <w:top w:val="none" w:sz="0" w:space="0" w:color="auto"/>
                <w:left w:val="none" w:sz="0" w:space="0" w:color="auto"/>
                <w:bottom w:val="none" w:sz="0" w:space="0" w:color="auto"/>
                <w:right w:val="none" w:sz="0" w:space="0" w:color="auto"/>
              </w:divBdr>
            </w:div>
          </w:divsChild>
        </w:div>
        <w:div w:id="657880816">
          <w:marLeft w:val="0"/>
          <w:marRight w:val="0"/>
          <w:marTop w:val="0"/>
          <w:marBottom w:val="0"/>
          <w:divBdr>
            <w:top w:val="none" w:sz="0" w:space="0" w:color="auto"/>
            <w:left w:val="none" w:sz="0" w:space="0" w:color="auto"/>
            <w:bottom w:val="none" w:sz="0" w:space="0" w:color="auto"/>
            <w:right w:val="none" w:sz="0" w:space="0" w:color="auto"/>
          </w:divBdr>
        </w:div>
      </w:divsChild>
    </w:div>
    <w:div w:id="1132792993">
      <w:bodyDiv w:val="1"/>
      <w:marLeft w:val="0"/>
      <w:marRight w:val="0"/>
      <w:marTop w:val="0"/>
      <w:marBottom w:val="0"/>
      <w:divBdr>
        <w:top w:val="none" w:sz="0" w:space="0" w:color="auto"/>
        <w:left w:val="none" w:sz="0" w:space="0" w:color="auto"/>
        <w:bottom w:val="none" w:sz="0" w:space="0" w:color="auto"/>
        <w:right w:val="none" w:sz="0" w:space="0" w:color="auto"/>
      </w:divBdr>
      <w:divsChild>
        <w:div w:id="1850631237">
          <w:marLeft w:val="0"/>
          <w:marRight w:val="0"/>
          <w:marTop w:val="0"/>
          <w:marBottom w:val="150"/>
          <w:divBdr>
            <w:top w:val="none" w:sz="0" w:space="0" w:color="auto"/>
            <w:left w:val="none" w:sz="0" w:space="0" w:color="auto"/>
            <w:bottom w:val="none" w:sz="0" w:space="0" w:color="auto"/>
            <w:right w:val="none" w:sz="0" w:space="0" w:color="auto"/>
          </w:divBdr>
        </w:div>
      </w:divsChild>
    </w:div>
    <w:div w:id="1132943143">
      <w:bodyDiv w:val="1"/>
      <w:marLeft w:val="0"/>
      <w:marRight w:val="0"/>
      <w:marTop w:val="0"/>
      <w:marBottom w:val="0"/>
      <w:divBdr>
        <w:top w:val="none" w:sz="0" w:space="0" w:color="auto"/>
        <w:left w:val="none" w:sz="0" w:space="0" w:color="auto"/>
        <w:bottom w:val="none" w:sz="0" w:space="0" w:color="auto"/>
        <w:right w:val="none" w:sz="0" w:space="0" w:color="auto"/>
      </w:divBdr>
    </w:div>
    <w:div w:id="1133136339">
      <w:bodyDiv w:val="1"/>
      <w:marLeft w:val="0"/>
      <w:marRight w:val="0"/>
      <w:marTop w:val="0"/>
      <w:marBottom w:val="0"/>
      <w:divBdr>
        <w:top w:val="none" w:sz="0" w:space="0" w:color="auto"/>
        <w:left w:val="none" w:sz="0" w:space="0" w:color="auto"/>
        <w:bottom w:val="none" w:sz="0" w:space="0" w:color="auto"/>
        <w:right w:val="none" w:sz="0" w:space="0" w:color="auto"/>
      </w:divBdr>
      <w:divsChild>
        <w:div w:id="84156547">
          <w:marLeft w:val="0"/>
          <w:marRight w:val="0"/>
          <w:marTop w:val="0"/>
          <w:marBottom w:val="0"/>
          <w:divBdr>
            <w:top w:val="none" w:sz="0" w:space="0" w:color="auto"/>
            <w:left w:val="none" w:sz="0" w:space="0" w:color="auto"/>
            <w:bottom w:val="dotted" w:sz="6" w:space="4" w:color="DDDDDD"/>
            <w:right w:val="none" w:sz="0" w:space="0" w:color="auto"/>
          </w:divBdr>
          <w:divsChild>
            <w:div w:id="92230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258185">
      <w:bodyDiv w:val="1"/>
      <w:marLeft w:val="0"/>
      <w:marRight w:val="0"/>
      <w:marTop w:val="0"/>
      <w:marBottom w:val="0"/>
      <w:divBdr>
        <w:top w:val="none" w:sz="0" w:space="0" w:color="auto"/>
        <w:left w:val="none" w:sz="0" w:space="0" w:color="auto"/>
        <w:bottom w:val="none" w:sz="0" w:space="0" w:color="auto"/>
        <w:right w:val="none" w:sz="0" w:space="0" w:color="auto"/>
      </w:divBdr>
      <w:divsChild>
        <w:div w:id="938296493">
          <w:marLeft w:val="0"/>
          <w:marRight w:val="0"/>
          <w:marTop w:val="0"/>
          <w:marBottom w:val="150"/>
          <w:divBdr>
            <w:top w:val="none" w:sz="0" w:space="0" w:color="auto"/>
            <w:left w:val="none" w:sz="0" w:space="0" w:color="auto"/>
            <w:bottom w:val="none" w:sz="0" w:space="0" w:color="auto"/>
            <w:right w:val="none" w:sz="0" w:space="0" w:color="auto"/>
          </w:divBdr>
        </w:div>
      </w:divsChild>
    </w:div>
    <w:div w:id="1134517327">
      <w:bodyDiv w:val="1"/>
      <w:marLeft w:val="0"/>
      <w:marRight w:val="0"/>
      <w:marTop w:val="0"/>
      <w:marBottom w:val="0"/>
      <w:divBdr>
        <w:top w:val="none" w:sz="0" w:space="0" w:color="auto"/>
        <w:left w:val="none" w:sz="0" w:space="0" w:color="auto"/>
        <w:bottom w:val="none" w:sz="0" w:space="0" w:color="auto"/>
        <w:right w:val="none" w:sz="0" w:space="0" w:color="auto"/>
      </w:divBdr>
      <w:divsChild>
        <w:div w:id="420494517">
          <w:marLeft w:val="0"/>
          <w:marRight w:val="0"/>
          <w:marTop w:val="0"/>
          <w:marBottom w:val="150"/>
          <w:divBdr>
            <w:top w:val="none" w:sz="0" w:space="0" w:color="auto"/>
            <w:left w:val="none" w:sz="0" w:space="0" w:color="auto"/>
            <w:bottom w:val="none" w:sz="0" w:space="0" w:color="auto"/>
            <w:right w:val="none" w:sz="0" w:space="0" w:color="auto"/>
          </w:divBdr>
          <w:divsChild>
            <w:div w:id="328482444">
              <w:marLeft w:val="0"/>
              <w:marRight w:val="0"/>
              <w:marTop w:val="0"/>
              <w:marBottom w:val="0"/>
              <w:divBdr>
                <w:top w:val="none" w:sz="0" w:space="0" w:color="auto"/>
                <w:left w:val="none" w:sz="0" w:space="0" w:color="auto"/>
                <w:bottom w:val="none" w:sz="0" w:space="0" w:color="auto"/>
                <w:right w:val="none" w:sz="0" w:space="0" w:color="auto"/>
              </w:divBdr>
              <w:divsChild>
                <w:div w:id="7529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91186">
          <w:marLeft w:val="0"/>
          <w:marRight w:val="0"/>
          <w:marTop w:val="0"/>
          <w:marBottom w:val="0"/>
          <w:divBdr>
            <w:top w:val="none" w:sz="0" w:space="0" w:color="auto"/>
            <w:left w:val="none" w:sz="0" w:space="0" w:color="auto"/>
            <w:bottom w:val="none" w:sz="0" w:space="0" w:color="auto"/>
            <w:right w:val="none" w:sz="0" w:space="0" w:color="auto"/>
          </w:divBdr>
          <w:divsChild>
            <w:div w:id="26218862">
              <w:marLeft w:val="0"/>
              <w:marRight w:val="0"/>
              <w:marTop w:val="0"/>
              <w:marBottom w:val="0"/>
              <w:divBdr>
                <w:top w:val="none" w:sz="0" w:space="0" w:color="auto"/>
                <w:left w:val="none" w:sz="0" w:space="0" w:color="auto"/>
                <w:bottom w:val="none" w:sz="0" w:space="0" w:color="auto"/>
                <w:right w:val="none" w:sz="0" w:space="0" w:color="auto"/>
              </w:divBdr>
              <w:divsChild>
                <w:div w:id="1889609550">
                  <w:marLeft w:val="0"/>
                  <w:marRight w:val="0"/>
                  <w:marTop w:val="225"/>
                  <w:marBottom w:val="225"/>
                  <w:divBdr>
                    <w:top w:val="none" w:sz="0" w:space="0" w:color="auto"/>
                    <w:left w:val="none" w:sz="0" w:space="0" w:color="auto"/>
                    <w:bottom w:val="none" w:sz="0" w:space="0" w:color="auto"/>
                    <w:right w:val="none" w:sz="0" w:space="0" w:color="auto"/>
                  </w:divBdr>
                </w:div>
              </w:divsChild>
            </w:div>
            <w:div w:id="20948154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4521685">
      <w:bodyDiv w:val="1"/>
      <w:marLeft w:val="0"/>
      <w:marRight w:val="0"/>
      <w:marTop w:val="0"/>
      <w:marBottom w:val="0"/>
      <w:divBdr>
        <w:top w:val="none" w:sz="0" w:space="0" w:color="auto"/>
        <w:left w:val="none" w:sz="0" w:space="0" w:color="auto"/>
        <w:bottom w:val="none" w:sz="0" w:space="0" w:color="auto"/>
        <w:right w:val="none" w:sz="0" w:space="0" w:color="auto"/>
      </w:divBdr>
      <w:divsChild>
        <w:div w:id="806321254">
          <w:marLeft w:val="0"/>
          <w:marRight w:val="0"/>
          <w:marTop w:val="0"/>
          <w:marBottom w:val="150"/>
          <w:divBdr>
            <w:top w:val="none" w:sz="0" w:space="0" w:color="auto"/>
            <w:left w:val="none" w:sz="0" w:space="0" w:color="auto"/>
            <w:bottom w:val="none" w:sz="0" w:space="0" w:color="auto"/>
            <w:right w:val="none" w:sz="0" w:space="0" w:color="auto"/>
          </w:divBdr>
          <w:divsChild>
            <w:div w:id="894702074">
              <w:marLeft w:val="0"/>
              <w:marRight w:val="0"/>
              <w:marTop w:val="0"/>
              <w:marBottom w:val="0"/>
              <w:divBdr>
                <w:top w:val="none" w:sz="0" w:space="0" w:color="auto"/>
                <w:left w:val="none" w:sz="0" w:space="0" w:color="auto"/>
                <w:bottom w:val="none" w:sz="0" w:space="0" w:color="auto"/>
                <w:right w:val="none" w:sz="0" w:space="0" w:color="auto"/>
              </w:divBdr>
              <w:divsChild>
                <w:div w:id="1753043798">
                  <w:marLeft w:val="0"/>
                  <w:marRight w:val="0"/>
                  <w:marTop w:val="0"/>
                  <w:marBottom w:val="0"/>
                  <w:divBdr>
                    <w:top w:val="none" w:sz="0" w:space="0" w:color="auto"/>
                    <w:left w:val="none" w:sz="0" w:space="0" w:color="auto"/>
                    <w:bottom w:val="none" w:sz="0" w:space="0" w:color="auto"/>
                    <w:right w:val="none" w:sz="0" w:space="0" w:color="auto"/>
                  </w:divBdr>
                  <w:divsChild>
                    <w:div w:id="57817287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94781571">
          <w:marLeft w:val="0"/>
          <w:marRight w:val="0"/>
          <w:marTop w:val="0"/>
          <w:marBottom w:val="150"/>
          <w:divBdr>
            <w:top w:val="none" w:sz="0" w:space="0" w:color="auto"/>
            <w:left w:val="none" w:sz="0" w:space="0" w:color="auto"/>
            <w:bottom w:val="none" w:sz="0" w:space="0" w:color="auto"/>
            <w:right w:val="none" w:sz="0" w:space="0" w:color="auto"/>
          </w:divBdr>
        </w:div>
      </w:divsChild>
    </w:div>
    <w:div w:id="1134568673">
      <w:bodyDiv w:val="1"/>
      <w:marLeft w:val="0"/>
      <w:marRight w:val="0"/>
      <w:marTop w:val="0"/>
      <w:marBottom w:val="0"/>
      <w:divBdr>
        <w:top w:val="none" w:sz="0" w:space="0" w:color="auto"/>
        <w:left w:val="none" w:sz="0" w:space="0" w:color="auto"/>
        <w:bottom w:val="none" w:sz="0" w:space="0" w:color="auto"/>
        <w:right w:val="none" w:sz="0" w:space="0" w:color="auto"/>
      </w:divBdr>
      <w:divsChild>
        <w:div w:id="1172917442">
          <w:marLeft w:val="0"/>
          <w:marRight w:val="0"/>
          <w:marTop w:val="0"/>
          <w:marBottom w:val="0"/>
          <w:divBdr>
            <w:top w:val="none" w:sz="0" w:space="0" w:color="auto"/>
            <w:left w:val="none" w:sz="0" w:space="0" w:color="auto"/>
            <w:bottom w:val="none" w:sz="0" w:space="0" w:color="auto"/>
            <w:right w:val="none" w:sz="0" w:space="0" w:color="auto"/>
          </w:divBdr>
          <w:divsChild>
            <w:div w:id="2041851719">
              <w:marLeft w:val="0"/>
              <w:marRight w:val="0"/>
              <w:marTop w:val="0"/>
              <w:marBottom w:val="0"/>
              <w:divBdr>
                <w:top w:val="none" w:sz="0" w:space="0" w:color="auto"/>
                <w:left w:val="none" w:sz="0" w:space="0" w:color="auto"/>
                <w:bottom w:val="none" w:sz="0" w:space="0" w:color="auto"/>
                <w:right w:val="none" w:sz="0" w:space="0" w:color="auto"/>
              </w:divBdr>
              <w:divsChild>
                <w:div w:id="126557913">
                  <w:marLeft w:val="0"/>
                  <w:marRight w:val="0"/>
                  <w:marTop w:val="0"/>
                  <w:marBottom w:val="0"/>
                  <w:divBdr>
                    <w:top w:val="none" w:sz="0" w:space="0" w:color="auto"/>
                    <w:left w:val="none" w:sz="0" w:space="0" w:color="auto"/>
                    <w:bottom w:val="none" w:sz="0" w:space="0" w:color="auto"/>
                    <w:right w:val="none" w:sz="0" w:space="0" w:color="auto"/>
                  </w:divBdr>
                  <w:divsChild>
                    <w:div w:id="582883593">
                      <w:marLeft w:val="0"/>
                      <w:marRight w:val="0"/>
                      <w:marTop w:val="0"/>
                      <w:marBottom w:val="0"/>
                      <w:divBdr>
                        <w:top w:val="none" w:sz="0" w:space="0" w:color="auto"/>
                        <w:left w:val="none" w:sz="0" w:space="0" w:color="auto"/>
                        <w:bottom w:val="none" w:sz="0" w:space="0" w:color="auto"/>
                        <w:right w:val="none" w:sz="0" w:space="0" w:color="auto"/>
                      </w:divBdr>
                      <w:divsChild>
                        <w:div w:id="1784424518">
                          <w:marLeft w:val="0"/>
                          <w:marRight w:val="0"/>
                          <w:marTop w:val="0"/>
                          <w:marBottom w:val="0"/>
                          <w:divBdr>
                            <w:top w:val="none" w:sz="0" w:space="0" w:color="auto"/>
                            <w:left w:val="none" w:sz="0" w:space="0" w:color="auto"/>
                            <w:bottom w:val="none" w:sz="0" w:space="0" w:color="auto"/>
                            <w:right w:val="none" w:sz="0" w:space="0" w:color="auto"/>
                          </w:divBdr>
                          <w:divsChild>
                            <w:div w:id="992443507">
                              <w:marLeft w:val="0"/>
                              <w:marRight w:val="0"/>
                              <w:marTop w:val="0"/>
                              <w:marBottom w:val="0"/>
                              <w:divBdr>
                                <w:top w:val="none" w:sz="0" w:space="0" w:color="auto"/>
                                <w:left w:val="none" w:sz="0" w:space="0" w:color="auto"/>
                                <w:bottom w:val="none" w:sz="0" w:space="0" w:color="auto"/>
                                <w:right w:val="none" w:sz="0" w:space="0" w:color="auto"/>
                              </w:divBdr>
                              <w:divsChild>
                                <w:div w:id="885214235">
                                  <w:marLeft w:val="0"/>
                                  <w:marRight w:val="0"/>
                                  <w:marTop w:val="0"/>
                                  <w:marBottom w:val="0"/>
                                  <w:divBdr>
                                    <w:top w:val="none" w:sz="0" w:space="0" w:color="auto"/>
                                    <w:left w:val="none" w:sz="0" w:space="0" w:color="auto"/>
                                    <w:bottom w:val="none" w:sz="0" w:space="0" w:color="auto"/>
                                    <w:right w:val="none" w:sz="0" w:space="0" w:color="auto"/>
                                  </w:divBdr>
                                  <w:divsChild>
                                    <w:div w:id="175597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836506">
      <w:bodyDiv w:val="1"/>
      <w:marLeft w:val="0"/>
      <w:marRight w:val="0"/>
      <w:marTop w:val="0"/>
      <w:marBottom w:val="0"/>
      <w:divBdr>
        <w:top w:val="none" w:sz="0" w:space="0" w:color="auto"/>
        <w:left w:val="none" w:sz="0" w:space="0" w:color="auto"/>
        <w:bottom w:val="none" w:sz="0" w:space="0" w:color="auto"/>
        <w:right w:val="none" w:sz="0" w:space="0" w:color="auto"/>
      </w:divBdr>
      <w:divsChild>
        <w:div w:id="930968931">
          <w:marLeft w:val="0"/>
          <w:marRight w:val="0"/>
          <w:marTop w:val="0"/>
          <w:marBottom w:val="150"/>
          <w:divBdr>
            <w:top w:val="none" w:sz="0" w:space="0" w:color="auto"/>
            <w:left w:val="none" w:sz="0" w:space="0" w:color="auto"/>
            <w:bottom w:val="none" w:sz="0" w:space="0" w:color="auto"/>
            <w:right w:val="none" w:sz="0" w:space="0" w:color="auto"/>
          </w:divBdr>
          <w:divsChild>
            <w:div w:id="913583676">
              <w:marLeft w:val="0"/>
              <w:marRight w:val="0"/>
              <w:marTop w:val="0"/>
              <w:marBottom w:val="0"/>
              <w:divBdr>
                <w:top w:val="none" w:sz="0" w:space="0" w:color="auto"/>
                <w:left w:val="none" w:sz="0" w:space="0" w:color="auto"/>
                <w:bottom w:val="none" w:sz="0" w:space="0" w:color="auto"/>
                <w:right w:val="none" w:sz="0" w:space="0" w:color="auto"/>
              </w:divBdr>
              <w:divsChild>
                <w:div w:id="2017229540">
                  <w:marLeft w:val="0"/>
                  <w:marRight w:val="0"/>
                  <w:marTop w:val="0"/>
                  <w:marBottom w:val="0"/>
                  <w:divBdr>
                    <w:top w:val="none" w:sz="0" w:space="0" w:color="auto"/>
                    <w:left w:val="none" w:sz="0" w:space="0" w:color="auto"/>
                    <w:bottom w:val="none" w:sz="0" w:space="0" w:color="auto"/>
                    <w:right w:val="none" w:sz="0" w:space="0" w:color="auto"/>
                  </w:divBdr>
                  <w:divsChild>
                    <w:div w:id="1376152790">
                      <w:marLeft w:val="0"/>
                      <w:marRight w:val="150"/>
                      <w:marTop w:val="0"/>
                      <w:marBottom w:val="0"/>
                      <w:divBdr>
                        <w:top w:val="none" w:sz="0" w:space="0" w:color="auto"/>
                        <w:left w:val="none" w:sz="0" w:space="0" w:color="auto"/>
                        <w:bottom w:val="none" w:sz="0" w:space="0" w:color="auto"/>
                        <w:right w:val="none" w:sz="0" w:space="0" w:color="auto"/>
                      </w:divBdr>
                      <w:divsChild>
                        <w:div w:id="79194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20594">
          <w:marLeft w:val="0"/>
          <w:marRight w:val="0"/>
          <w:marTop w:val="0"/>
          <w:marBottom w:val="150"/>
          <w:divBdr>
            <w:top w:val="none" w:sz="0" w:space="0" w:color="auto"/>
            <w:left w:val="none" w:sz="0" w:space="0" w:color="auto"/>
            <w:bottom w:val="none" w:sz="0" w:space="0" w:color="auto"/>
            <w:right w:val="none" w:sz="0" w:space="0" w:color="auto"/>
          </w:divBdr>
        </w:div>
        <w:div w:id="977876430">
          <w:marLeft w:val="0"/>
          <w:marRight w:val="0"/>
          <w:marTop w:val="0"/>
          <w:marBottom w:val="0"/>
          <w:divBdr>
            <w:top w:val="none" w:sz="0" w:space="0" w:color="auto"/>
            <w:left w:val="none" w:sz="0" w:space="0" w:color="auto"/>
            <w:bottom w:val="none" w:sz="0" w:space="0" w:color="auto"/>
            <w:right w:val="none" w:sz="0" w:space="0" w:color="auto"/>
          </w:divBdr>
          <w:divsChild>
            <w:div w:id="174437400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34910664">
      <w:bodyDiv w:val="1"/>
      <w:marLeft w:val="0"/>
      <w:marRight w:val="0"/>
      <w:marTop w:val="0"/>
      <w:marBottom w:val="0"/>
      <w:divBdr>
        <w:top w:val="none" w:sz="0" w:space="0" w:color="auto"/>
        <w:left w:val="none" w:sz="0" w:space="0" w:color="auto"/>
        <w:bottom w:val="none" w:sz="0" w:space="0" w:color="auto"/>
        <w:right w:val="none" w:sz="0" w:space="0" w:color="auto"/>
      </w:divBdr>
      <w:divsChild>
        <w:div w:id="992684800">
          <w:marLeft w:val="0"/>
          <w:marRight w:val="0"/>
          <w:marTop w:val="0"/>
          <w:marBottom w:val="150"/>
          <w:divBdr>
            <w:top w:val="none" w:sz="0" w:space="0" w:color="auto"/>
            <w:left w:val="none" w:sz="0" w:space="0" w:color="auto"/>
            <w:bottom w:val="none" w:sz="0" w:space="0" w:color="auto"/>
            <w:right w:val="none" w:sz="0" w:space="0" w:color="auto"/>
          </w:divBdr>
        </w:div>
      </w:divsChild>
    </w:div>
    <w:div w:id="1135222510">
      <w:bodyDiv w:val="1"/>
      <w:marLeft w:val="0"/>
      <w:marRight w:val="0"/>
      <w:marTop w:val="0"/>
      <w:marBottom w:val="0"/>
      <w:divBdr>
        <w:top w:val="none" w:sz="0" w:space="0" w:color="auto"/>
        <w:left w:val="none" w:sz="0" w:space="0" w:color="auto"/>
        <w:bottom w:val="none" w:sz="0" w:space="0" w:color="auto"/>
        <w:right w:val="none" w:sz="0" w:space="0" w:color="auto"/>
      </w:divBdr>
      <w:divsChild>
        <w:div w:id="196620927">
          <w:marLeft w:val="0"/>
          <w:marRight w:val="0"/>
          <w:marTop w:val="0"/>
          <w:marBottom w:val="150"/>
          <w:divBdr>
            <w:top w:val="none" w:sz="0" w:space="0" w:color="auto"/>
            <w:left w:val="none" w:sz="0" w:space="0" w:color="auto"/>
            <w:bottom w:val="none" w:sz="0" w:space="0" w:color="auto"/>
            <w:right w:val="none" w:sz="0" w:space="0" w:color="auto"/>
          </w:divBdr>
        </w:div>
      </w:divsChild>
    </w:div>
    <w:div w:id="1135222933">
      <w:bodyDiv w:val="1"/>
      <w:marLeft w:val="0"/>
      <w:marRight w:val="0"/>
      <w:marTop w:val="0"/>
      <w:marBottom w:val="0"/>
      <w:divBdr>
        <w:top w:val="none" w:sz="0" w:space="0" w:color="auto"/>
        <w:left w:val="none" w:sz="0" w:space="0" w:color="auto"/>
        <w:bottom w:val="none" w:sz="0" w:space="0" w:color="auto"/>
        <w:right w:val="none" w:sz="0" w:space="0" w:color="auto"/>
      </w:divBdr>
      <w:divsChild>
        <w:div w:id="526988517">
          <w:marLeft w:val="0"/>
          <w:marRight w:val="0"/>
          <w:marTop w:val="0"/>
          <w:marBottom w:val="0"/>
          <w:divBdr>
            <w:top w:val="none" w:sz="0" w:space="0" w:color="auto"/>
            <w:left w:val="none" w:sz="0" w:space="0" w:color="auto"/>
            <w:bottom w:val="none" w:sz="0" w:space="0" w:color="auto"/>
            <w:right w:val="none" w:sz="0" w:space="0" w:color="auto"/>
          </w:divBdr>
          <w:divsChild>
            <w:div w:id="372579522">
              <w:marLeft w:val="0"/>
              <w:marRight w:val="0"/>
              <w:marTop w:val="0"/>
              <w:marBottom w:val="150"/>
              <w:divBdr>
                <w:top w:val="none" w:sz="0" w:space="0" w:color="auto"/>
                <w:left w:val="none" w:sz="0" w:space="0" w:color="auto"/>
                <w:bottom w:val="none" w:sz="0" w:space="0" w:color="auto"/>
                <w:right w:val="none" w:sz="0" w:space="0" w:color="auto"/>
              </w:divBdr>
            </w:div>
            <w:div w:id="1544368359">
              <w:marLeft w:val="0"/>
              <w:marRight w:val="0"/>
              <w:marTop w:val="0"/>
              <w:marBottom w:val="0"/>
              <w:divBdr>
                <w:top w:val="none" w:sz="0" w:space="0" w:color="auto"/>
                <w:left w:val="none" w:sz="0" w:space="0" w:color="auto"/>
                <w:bottom w:val="none" w:sz="0" w:space="0" w:color="auto"/>
                <w:right w:val="none" w:sz="0" w:space="0" w:color="auto"/>
              </w:divBdr>
            </w:div>
          </w:divsChild>
        </w:div>
        <w:div w:id="1777167685">
          <w:marLeft w:val="0"/>
          <w:marRight w:val="0"/>
          <w:marTop w:val="0"/>
          <w:marBottom w:val="150"/>
          <w:divBdr>
            <w:top w:val="none" w:sz="0" w:space="0" w:color="auto"/>
            <w:left w:val="none" w:sz="0" w:space="0" w:color="auto"/>
            <w:bottom w:val="none" w:sz="0" w:space="0" w:color="auto"/>
            <w:right w:val="none" w:sz="0" w:space="0" w:color="auto"/>
          </w:divBdr>
          <w:divsChild>
            <w:div w:id="128365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222998">
      <w:bodyDiv w:val="1"/>
      <w:marLeft w:val="0"/>
      <w:marRight w:val="0"/>
      <w:marTop w:val="0"/>
      <w:marBottom w:val="0"/>
      <w:divBdr>
        <w:top w:val="none" w:sz="0" w:space="0" w:color="auto"/>
        <w:left w:val="none" w:sz="0" w:space="0" w:color="auto"/>
        <w:bottom w:val="none" w:sz="0" w:space="0" w:color="auto"/>
        <w:right w:val="none" w:sz="0" w:space="0" w:color="auto"/>
      </w:divBdr>
      <w:divsChild>
        <w:div w:id="1845053990">
          <w:marLeft w:val="0"/>
          <w:marRight w:val="0"/>
          <w:marTop w:val="0"/>
          <w:marBottom w:val="0"/>
          <w:divBdr>
            <w:top w:val="none" w:sz="0" w:space="0" w:color="auto"/>
            <w:left w:val="none" w:sz="0" w:space="0" w:color="auto"/>
            <w:bottom w:val="none" w:sz="0" w:space="0" w:color="auto"/>
            <w:right w:val="none" w:sz="0" w:space="0" w:color="auto"/>
          </w:divBdr>
          <w:divsChild>
            <w:div w:id="317614190">
              <w:marLeft w:val="0"/>
              <w:marRight w:val="0"/>
              <w:marTop w:val="0"/>
              <w:marBottom w:val="0"/>
              <w:divBdr>
                <w:top w:val="none" w:sz="0" w:space="0" w:color="auto"/>
                <w:left w:val="none" w:sz="0" w:space="0" w:color="auto"/>
                <w:bottom w:val="none" w:sz="0" w:space="0" w:color="auto"/>
                <w:right w:val="none" w:sz="0" w:space="0" w:color="auto"/>
              </w:divBdr>
              <w:divsChild>
                <w:div w:id="1072199285">
                  <w:marLeft w:val="0"/>
                  <w:marRight w:val="0"/>
                  <w:marTop w:val="0"/>
                  <w:marBottom w:val="0"/>
                  <w:divBdr>
                    <w:top w:val="none" w:sz="0" w:space="0" w:color="auto"/>
                    <w:left w:val="none" w:sz="0" w:space="0" w:color="auto"/>
                    <w:bottom w:val="none" w:sz="0" w:space="0" w:color="auto"/>
                    <w:right w:val="none" w:sz="0" w:space="0" w:color="auto"/>
                  </w:divBdr>
                  <w:divsChild>
                    <w:div w:id="1884318843">
                      <w:marLeft w:val="0"/>
                      <w:marRight w:val="0"/>
                      <w:marTop w:val="0"/>
                      <w:marBottom w:val="0"/>
                      <w:divBdr>
                        <w:top w:val="none" w:sz="0" w:space="0" w:color="auto"/>
                        <w:left w:val="none" w:sz="0" w:space="0" w:color="auto"/>
                        <w:bottom w:val="none" w:sz="0" w:space="0" w:color="auto"/>
                        <w:right w:val="none" w:sz="0" w:space="0" w:color="auto"/>
                      </w:divBdr>
                      <w:divsChild>
                        <w:div w:id="1777629362">
                          <w:marLeft w:val="0"/>
                          <w:marRight w:val="0"/>
                          <w:marTop w:val="0"/>
                          <w:marBottom w:val="0"/>
                          <w:divBdr>
                            <w:top w:val="none" w:sz="0" w:space="0" w:color="auto"/>
                            <w:left w:val="none" w:sz="0" w:space="0" w:color="auto"/>
                            <w:bottom w:val="none" w:sz="0" w:space="0" w:color="auto"/>
                            <w:right w:val="none" w:sz="0" w:space="0" w:color="auto"/>
                          </w:divBdr>
                          <w:divsChild>
                            <w:div w:id="1666281876">
                              <w:marLeft w:val="0"/>
                              <w:marRight w:val="0"/>
                              <w:marTop w:val="0"/>
                              <w:marBottom w:val="0"/>
                              <w:divBdr>
                                <w:top w:val="none" w:sz="0" w:space="0" w:color="auto"/>
                                <w:left w:val="none" w:sz="0" w:space="0" w:color="auto"/>
                                <w:bottom w:val="none" w:sz="0" w:space="0" w:color="auto"/>
                                <w:right w:val="none" w:sz="0" w:space="0" w:color="auto"/>
                              </w:divBdr>
                              <w:divsChild>
                                <w:div w:id="390691811">
                                  <w:marLeft w:val="0"/>
                                  <w:marRight w:val="0"/>
                                  <w:marTop w:val="0"/>
                                  <w:marBottom w:val="0"/>
                                  <w:divBdr>
                                    <w:top w:val="none" w:sz="0" w:space="0" w:color="auto"/>
                                    <w:left w:val="none" w:sz="0" w:space="0" w:color="auto"/>
                                    <w:bottom w:val="none" w:sz="0" w:space="0" w:color="auto"/>
                                    <w:right w:val="none" w:sz="0" w:space="0" w:color="auto"/>
                                  </w:divBdr>
                                </w:div>
                                <w:div w:id="152282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5683727">
      <w:bodyDiv w:val="1"/>
      <w:marLeft w:val="0"/>
      <w:marRight w:val="0"/>
      <w:marTop w:val="0"/>
      <w:marBottom w:val="0"/>
      <w:divBdr>
        <w:top w:val="none" w:sz="0" w:space="0" w:color="auto"/>
        <w:left w:val="none" w:sz="0" w:space="0" w:color="auto"/>
        <w:bottom w:val="none" w:sz="0" w:space="0" w:color="auto"/>
        <w:right w:val="none" w:sz="0" w:space="0" w:color="auto"/>
      </w:divBdr>
      <w:divsChild>
        <w:div w:id="63183889">
          <w:marLeft w:val="0"/>
          <w:marRight w:val="0"/>
          <w:marTop w:val="0"/>
          <w:marBottom w:val="0"/>
          <w:divBdr>
            <w:top w:val="none" w:sz="0" w:space="0" w:color="auto"/>
            <w:left w:val="none" w:sz="0" w:space="0" w:color="auto"/>
            <w:bottom w:val="none" w:sz="0" w:space="0" w:color="auto"/>
            <w:right w:val="none" w:sz="0" w:space="0" w:color="auto"/>
          </w:divBdr>
          <w:divsChild>
            <w:div w:id="610629700">
              <w:marLeft w:val="0"/>
              <w:marRight w:val="0"/>
              <w:marTop w:val="0"/>
              <w:marBottom w:val="0"/>
              <w:divBdr>
                <w:top w:val="none" w:sz="0" w:space="0" w:color="auto"/>
                <w:left w:val="none" w:sz="0" w:space="0" w:color="auto"/>
                <w:bottom w:val="none" w:sz="0" w:space="0" w:color="auto"/>
                <w:right w:val="none" w:sz="0" w:space="0" w:color="auto"/>
              </w:divBdr>
              <w:divsChild>
                <w:div w:id="190387576">
                  <w:marLeft w:val="0"/>
                  <w:marRight w:val="0"/>
                  <w:marTop w:val="0"/>
                  <w:marBottom w:val="0"/>
                  <w:divBdr>
                    <w:top w:val="none" w:sz="0" w:space="0" w:color="auto"/>
                    <w:left w:val="none" w:sz="0" w:space="0" w:color="auto"/>
                    <w:bottom w:val="none" w:sz="0" w:space="0" w:color="auto"/>
                    <w:right w:val="none" w:sz="0" w:space="0" w:color="auto"/>
                  </w:divBdr>
                  <w:divsChild>
                    <w:div w:id="2002737889">
                      <w:marLeft w:val="0"/>
                      <w:marRight w:val="0"/>
                      <w:marTop w:val="0"/>
                      <w:marBottom w:val="0"/>
                      <w:divBdr>
                        <w:top w:val="none" w:sz="0" w:space="0" w:color="auto"/>
                        <w:left w:val="none" w:sz="0" w:space="0" w:color="auto"/>
                        <w:bottom w:val="none" w:sz="0" w:space="0" w:color="auto"/>
                        <w:right w:val="none" w:sz="0" w:space="0" w:color="auto"/>
                      </w:divBdr>
                      <w:divsChild>
                        <w:div w:id="1752892473">
                          <w:marLeft w:val="0"/>
                          <w:marRight w:val="0"/>
                          <w:marTop w:val="0"/>
                          <w:marBottom w:val="0"/>
                          <w:divBdr>
                            <w:top w:val="none" w:sz="0" w:space="0" w:color="auto"/>
                            <w:left w:val="none" w:sz="0" w:space="0" w:color="auto"/>
                            <w:bottom w:val="none" w:sz="0" w:space="0" w:color="auto"/>
                            <w:right w:val="none" w:sz="0" w:space="0" w:color="auto"/>
                          </w:divBdr>
                          <w:divsChild>
                            <w:div w:id="1231421870">
                              <w:marLeft w:val="0"/>
                              <w:marRight w:val="0"/>
                              <w:marTop w:val="0"/>
                              <w:marBottom w:val="0"/>
                              <w:divBdr>
                                <w:top w:val="none" w:sz="0" w:space="0" w:color="auto"/>
                                <w:left w:val="none" w:sz="0" w:space="0" w:color="auto"/>
                                <w:bottom w:val="none" w:sz="0" w:space="0" w:color="auto"/>
                                <w:right w:val="none" w:sz="0" w:space="0" w:color="auto"/>
                              </w:divBdr>
                              <w:divsChild>
                                <w:div w:id="1764035783">
                                  <w:marLeft w:val="0"/>
                                  <w:marRight w:val="0"/>
                                  <w:marTop w:val="0"/>
                                  <w:marBottom w:val="0"/>
                                  <w:divBdr>
                                    <w:top w:val="none" w:sz="0" w:space="0" w:color="auto"/>
                                    <w:left w:val="none" w:sz="0" w:space="0" w:color="auto"/>
                                    <w:bottom w:val="none" w:sz="0" w:space="0" w:color="auto"/>
                                    <w:right w:val="none" w:sz="0" w:space="0" w:color="auto"/>
                                  </w:divBdr>
                                  <w:divsChild>
                                    <w:div w:id="1680540375">
                                      <w:marLeft w:val="0"/>
                                      <w:marRight w:val="0"/>
                                      <w:marTop w:val="0"/>
                                      <w:marBottom w:val="0"/>
                                      <w:divBdr>
                                        <w:top w:val="none" w:sz="0" w:space="0" w:color="auto"/>
                                        <w:left w:val="none" w:sz="0" w:space="0" w:color="auto"/>
                                        <w:bottom w:val="none" w:sz="0" w:space="0" w:color="auto"/>
                                        <w:right w:val="none" w:sz="0" w:space="0" w:color="auto"/>
                                      </w:divBdr>
                                      <w:divsChild>
                                        <w:div w:id="115075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6069084">
      <w:bodyDiv w:val="1"/>
      <w:marLeft w:val="0"/>
      <w:marRight w:val="0"/>
      <w:marTop w:val="0"/>
      <w:marBottom w:val="0"/>
      <w:divBdr>
        <w:top w:val="none" w:sz="0" w:space="0" w:color="auto"/>
        <w:left w:val="none" w:sz="0" w:space="0" w:color="auto"/>
        <w:bottom w:val="none" w:sz="0" w:space="0" w:color="auto"/>
        <w:right w:val="none" w:sz="0" w:space="0" w:color="auto"/>
      </w:divBdr>
    </w:div>
    <w:div w:id="1136336109">
      <w:bodyDiv w:val="1"/>
      <w:marLeft w:val="0"/>
      <w:marRight w:val="0"/>
      <w:marTop w:val="0"/>
      <w:marBottom w:val="0"/>
      <w:divBdr>
        <w:top w:val="none" w:sz="0" w:space="0" w:color="auto"/>
        <w:left w:val="none" w:sz="0" w:space="0" w:color="auto"/>
        <w:bottom w:val="none" w:sz="0" w:space="0" w:color="auto"/>
        <w:right w:val="none" w:sz="0" w:space="0" w:color="auto"/>
      </w:divBdr>
    </w:div>
    <w:div w:id="1136945718">
      <w:bodyDiv w:val="1"/>
      <w:marLeft w:val="0"/>
      <w:marRight w:val="0"/>
      <w:marTop w:val="0"/>
      <w:marBottom w:val="0"/>
      <w:divBdr>
        <w:top w:val="none" w:sz="0" w:space="0" w:color="auto"/>
        <w:left w:val="none" w:sz="0" w:space="0" w:color="auto"/>
        <w:bottom w:val="none" w:sz="0" w:space="0" w:color="auto"/>
        <w:right w:val="none" w:sz="0" w:space="0" w:color="auto"/>
      </w:divBdr>
      <w:divsChild>
        <w:div w:id="510221416">
          <w:marLeft w:val="0"/>
          <w:marRight w:val="0"/>
          <w:marTop w:val="0"/>
          <w:marBottom w:val="0"/>
          <w:divBdr>
            <w:top w:val="none" w:sz="0" w:space="0" w:color="auto"/>
            <w:left w:val="none" w:sz="0" w:space="0" w:color="auto"/>
            <w:bottom w:val="none" w:sz="0" w:space="0" w:color="auto"/>
            <w:right w:val="none" w:sz="0" w:space="0" w:color="auto"/>
          </w:divBdr>
        </w:div>
        <w:div w:id="2043241064">
          <w:marLeft w:val="0"/>
          <w:marRight w:val="0"/>
          <w:marTop w:val="0"/>
          <w:marBottom w:val="0"/>
          <w:divBdr>
            <w:top w:val="none" w:sz="0" w:space="0" w:color="auto"/>
            <w:left w:val="none" w:sz="0" w:space="0" w:color="auto"/>
            <w:bottom w:val="none" w:sz="0" w:space="0" w:color="auto"/>
            <w:right w:val="none" w:sz="0" w:space="0" w:color="auto"/>
          </w:divBdr>
          <w:divsChild>
            <w:div w:id="385881254">
              <w:marLeft w:val="0"/>
              <w:marRight w:val="0"/>
              <w:marTop w:val="0"/>
              <w:marBottom w:val="0"/>
              <w:divBdr>
                <w:top w:val="none" w:sz="0" w:space="0" w:color="auto"/>
                <w:left w:val="none" w:sz="0" w:space="0" w:color="auto"/>
                <w:bottom w:val="none" w:sz="0" w:space="0" w:color="auto"/>
                <w:right w:val="none" w:sz="0" w:space="0" w:color="auto"/>
              </w:divBdr>
            </w:div>
            <w:div w:id="99676917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37064784">
      <w:bodyDiv w:val="1"/>
      <w:marLeft w:val="0"/>
      <w:marRight w:val="0"/>
      <w:marTop w:val="0"/>
      <w:marBottom w:val="0"/>
      <w:divBdr>
        <w:top w:val="none" w:sz="0" w:space="0" w:color="auto"/>
        <w:left w:val="none" w:sz="0" w:space="0" w:color="auto"/>
        <w:bottom w:val="none" w:sz="0" w:space="0" w:color="auto"/>
        <w:right w:val="none" w:sz="0" w:space="0" w:color="auto"/>
      </w:divBdr>
      <w:divsChild>
        <w:div w:id="176964664">
          <w:marLeft w:val="0"/>
          <w:marRight w:val="0"/>
          <w:marTop w:val="0"/>
          <w:marBottom w:val="150"/>
          <w:divBdr>
            <w:top w:val="none" w:sz="0" w:space="0" w:color="auto"/>
            <w:left w:val="none" w:sz="0" w:space="0" w:color="auto"/>
            <w:bottom w:val="none" w:sz="0" w:space="0" w:color="auto"/>
            <w:right w:val="none" w:sz="0" w:space="0" w:color="auto"/>
          </w:divBdr>
        </w:div>
      </w:divsChild>
    </w:div>
    <w:div w:id="1137458808">
      <w:bodyDiv w:val="1"/>
      <w:marLeft w:val="0"/>
      <w:marRight w:val="0"/>
      <w:marTop w:val="0"/>
      <w:marBottom w:val="0"/>
      <w:divBdr>
        <w:top w:val="none" w:sz="0" w:space="0" w:color="auto"/>
        <w:left w:val="none" w:sz="0" w:space="0" w:color="auto"/>
        <w:bottom w:val="none" w:sz="0" w:space="0" w:color="auto"/>
        <w:right w:val="none" w:sz="0" w:space="0" w:color="auto"/>
      </w:divBdr>
    </w:div>
    <w:div w:id="1137528858">
      <w:bodyDiv w:val="1"/>
      <w:marLeft w:val="0"/>
      <w:marRight w:val="0"/>
      <w:marTop w:val="0"/>
      <w:marBottom w:val="0"/>
      <w:divBdr>
        <w:top w:val="none" w:sz="0" w:space="0" w:color="auto"/>
        <w:left w:val="none" w:sz="0" w:space="0" w:color="auto"/>
        <w:bottom w:val="none" w:sz="0" w:space="0" w:color="auto"/>
        <w:right w:val="none" w:sz="0" w:space="0" w:color="auto"/>
      </w:divBdr>
      <w:divsChild>
        <w:div w:id="1054739802">
          <w:marLeft w:val="0"/>
          <w:marRight w:val="0"/>
          <w:marTop w:val="0"/>
          <w:marBottom w:val="450"/>
          <w:divBdr>
            <w:top w:val="none" w:sz="0" w:space="0" w:color="auto"/>
            <w:left w:val="none" w:sz="0" w:space="0" w:color="auto"/>
            <w:bottom w:val="single" w:sz="6" w:space="19" w:color="EEEEEE"/>
            <w:right w:val="none" w:sz="0" w:space="0" w:color="auto"/>
          </w:divBdr>
          <w:divsChild>
            <w:div w:id="478544769">
              <w:marLeft w:val="0"/>
              <w:marRight w:val="0"/>
              <w:marTop w:val="0"/>
              <w:marBottom w:val="150"/>
              <w:divBdr>
                <w:top w:val="none" w:sz="0" w:space="0" w:color="auto"/>
                <w:left w:val="none" w:sz="0" w:space="0" w:color="auto"/>
                <w:bottom w:val="none" w:sz="0" w:space="0" w:color="auto"/>
                <w:right w:val="none" w:sz="0" w:space="0" w:color="auto"/>
              </w:divBdr>
              <w:divsChild>
                <w:div w:id="2123188263">
                  <w:marLeft w:val="0"/>
                  <w:marRight w:val="0"/>
                  <w:marTop w:val="0"/>
                  <w:marBottom w:val="0"/>
                  <w:divBdr>
                    <w:top w:val="none" w:sz="0" w:space="0" w:color="auto"/>
                    <w:left w:val="none" w:sz="0" w:space="0" w:color="auto"/>
                    <w:bottom w:val="none" w:sz="0" w:space="0" w:color="auto"/>
                    <w:right w:val="none" w:sz="0" w:space="0" w:color="auto"/>
                  </w:divBdr>
                </w:div>
              </w:divsChild>
            </w:div>
            <w:div w:id="13658678">
              <w:marLeft w:val="0"/>
              <w:marRight w:val="0"/>
              <w:marTop w:val="0"/>
              <w:marBottom w:val="0"/>
              <w:divBdr>
                <w:top w:val="none" w:sz="0" w:space="0" w:color="auto"/>
                <w:left w:val="none" w:sz="0" w:space="0" w:color="auto"/>
                <w:bottom w:val="none" w:sz="0" w:space="0" w:color="auto"/>
                <w:right w:val="none" w:sz="0" w:space="0" w:color="auto"/>
              </w:divBdr>
            </w:div>
          </w:divsChild>
        </w:div>
        <w:div w:id="1155027572">
          <w:marLeft w:val="0"/>
          <w:marRight w:val="0"/>
          <w:marTop w:val="0"/>
          <w:marBottom w:val="0"/>
          <w:divBdr>
            <w:top w:val="none" w:sz="0" w:space="0" w:color="auto"/>
            <w:left w:val="none" w:sz="0" w:space="0" w:color="auto"/>
            <w:bottom w:val="none" w:sz="0" w:space="0" w:color="auto"/>
            <w:right w:val="none" w:sz="0" w:space="0" w:color="auto"/>
          </w:divBdr>
          <w:divsChild>
            <w:div w:id="267277453">
              <w:marLeft w:val="0"/>
              <w:marRight w:val="0"/>
              <w:marTop w:val="0"/>
              <w:marBottom w:val="0"/>
              <w:divBdr>
                <w:top w:val="none" w:sz="0" w:space="0" w:color="auto"/>
                <w:left w:val="none" w:sz="0" w:space="0" w:color="auto"/>
                <w:bottom w:val="none" w:sz="0" w:space="0" w:color="auto"/>
                <w:right w:val="none" w:sz="0" w:space="0" w:color="auto"/>
              </w:divBdr>
              <w:divsChild>
                <w:div w:id="153834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601266">
      <w:bodyDiv w:val="1"/>
      <w:marLeft w:val="0"/>
      <w:marRight w:val="0"/>
      <w:marTop w:val="0"/>
      <w:marBottom w:val="0"/>
      <w:divBdr>
        <w:top w:val="none" w:sz="0" w:space="0" w:color="auto"/>
        <w:left w:val="none" w:sz="0" w:space="0" w:color="auto"/>
        <w:bottom w:val="none" w:sz="0" w:space="0" w:color="auto"/>
        <w:right w:val="none" w:sz="0" w:space="0" w:color="auto"/>
      </w:divBdr>
      <w:divsChild>
        <w:div w:id="1294290095">
          <w:marLeft w:val="0"/>
          <w:marRight w:val="0"/>
          <w:marTop w:val="300"/>
          <w:marBottom w:val="0"/>
          <w:divBdr>
            <w:top w:val="none" w:sz="0" w:space="0" w:color="auto"/>
            <w:left w:val="none" w:sz="0" w:space="0" w:color="auto"/>
            <w:bottom w:val="none" w:sz="0" w:space="0" w:color="auto"/>
            <w:right w:val="none" w:sz="0" w:space="0" w:color="auto"/>
          </w:divBdr>
        </w:div>
      </w:divsChild>
    </w:div>
    <w:div w:id="1137650510">
      <w:bodyDiv w:val="1"/>
      <w:marLeft w:val="0"/>
      <w:marRight w:val="0"/>
      <w:marTop w:val="0"/>
      <w:marBottom w:val="0"/>
      <w:divBdr>
        <w:top w:val="none" w:sz="0" w:space="0" w:color="auto"/>
        <w:left w:val="none" w:sz="0" w:space="0" w:color="auto"/>
        <w:bottom w:val="none" w:sz="0" w:space="0" w:color="auto"/>
        <w:right w:val="none" w:sz="0" w:space="0" w:color="auto"/>
      </w:divBdr>
    </w:div>
    <w:div w:id="1137911970">
      <w:bodyDiv w:val="1"/>
      <w:marLeft w:val="0"/>
      <w:marRight w:val="0"/>
      <w:marTop w:val="0"/>
      <w:marBottom w:val="0"/>
      <w:divBdr>
        <w:top w:val="none" w:sz="0" w:space="0" w:color="auto"/>
        <w:left w:val="none" w:sz="0" w:space="0" w:color="auto"/>
        <w:bottom w:val="none" w:sz="0" w:space="0" w:color="auto"/>
        <w:right w:val="none" w:sz="0" w:space="0" w:color="auto"/>
      </w:divBdr>
    </w:div>
    <w:div w:id="1138034818">
      <w:bodyDiv w:val="1"/>
      <w:marLeft w:val="0"/>
      <w:marRight w:val="0"/>
      <w:marTop w:val="0"/>
      <w:marBottom w:val="0"/>
      <w:divBdr>
        <w:top w:val="none" w:sz="0" w:space="0" w:color="auto"/>
        <w:left w:val="none" w:sz="0" w:space="0" w:color="auto"/>
        <w:bottom w:val="none" w:sz="0" w:space="0" w:color="auto"/>
        <w:right w:val="none" w:sz="0" w:space="0" w:color="auto"/>
      </w:divBdr>
    </w:div>
    <w:div w:id="1138643776">
      <w:bodyDiv w:val="1"/>
      <w:marLeft w:val="0"/>
      <w:marRight w:val="0"/>
      <w:marTop w:val="0"/>
      <w:marBottom w:val="0"/>
      <w:divBdr>
        <w:top w:val="none" w:sz="0" w:space="0" w:color="auto"/>
        <w:left w:val="none" w:sz="0" w:space="0" w:color="auto"/>
        <w:bottom w:val="none" w:sz="0" w:space="0" w:color="auto"/>
        <w:right w:val="none" w:sz="0" w:space="0" w:color="auto"/>
      </w:divBdr>
    </w:div>
    <w:div w:id="1138651296">
      <w:bodyDiv w:val="1"/>
      <w:marLeft w:val="0"/>
      <w:marRight w:val="0"/>
      <w:marTop w:val="0"/>
      <w:marBottom w:val="0"/>
      <w:divBdr>
        <w:top w:val="none" w:sz="0" w:space="0" w:color="auto"/>
        <w:left w:val="none" w:sz="0" w:space="0" w:color="auto"/>
        <w:bottom w:val="none" w:sz="0" w:space="0" w:color="auto"/>
        <w:right w:val="none" w:sz="0" w:space="0" w:color="auto"/>
      </w:divBdr>
      <w:divsChild>
        <w:div w:id="523131092">
          <w:marLeft w:val="0"/>
          <w:marRight w:val="0"/>
          <w:marTop w:val="0"/>
          <w:marBottom w:val="150"/>
          <w:divBdr>
            <w:top w:val="none" w:sz="0" w:space="0" w:color="auto"/>
            <w:left w:val="none" w:sz="0" w:space="0" w:color="auto"/>
            <w:bottom w:val="none" w:sz="0" w:space="0" w:color="auto"/>
            <w:right w:val="none" w:sz="0" w:space="0" w:color="auto"/>
          </w:divBdr>
        </w:div>
        <w:div w:id="628975318">
          <w:marLeft w:val="0"/>
          <w:marRight w:val="0"/>
          <w:marTop w:val="0"/>
          <w:marBottom w:val="0"/>
          <w:divBdr>
            <w:top w:val="none" w:sz="0" w:space="0" w:color="auto"/>
            <w:left w:val="none" w:sz="0" w:space="0" w:color="auto"/>
            <w:bottom w:val="none" w:sz="0" w:space="0" w:color="auto"/>
            <w:right w:val="none" w:sz="0" w:space="0" w:color="auto"/>
          </w:divBdr>
        </w:div>
      </w:divsChild>
    </w:div>
    <w:div w:id="1138955896">
      <w:bodyDiv w:val="1"/>
      <w:marLeft w:val="0"/>
      <w:marRight w:val="0"/>
      <w:marTop w:val="0"/>
      <w:marBottom w:val="0"/>
      <w:divBdr>
        <w:top w:val="none" w:sz="0" w:space="0" w:color="auto"/>
        <w:left w:val="none" w:sz="0" w:space="0" w:color="auto"/>
        <w:bottom w:val="none" w:sz="0" w:space="0" w:color="auto"/>
        <w:right w:val="none" w:sz="0" w:space="0" w:color="auto"/>
      </w:divBdr>
    </w:div>
    <w:div w:id="1139113419">
      <w:bodyDiv w:val="1"/>
      <w:marLeft w:val="0"/>
      <w:marRight w:val="0"/>
      <w:marTop w:val="0"/>
      <w:marBottom w:val="0"/>
      <w:divBdr>
        <w:top w:val="none" w:sz="0" w:space="0" w:color="auto"/>
        <w:left w:val="none" w:sz="0" w:space="0" w:color="auto"/>
        <w:bottom w:val="none" w:sz="0" w:space="0" w:color="auto"/>
        <w:right w:val="none" w:sz="0" w:space="0" w:color="auto"/>
      </w:divBdr>
      <w:divsChild>
        <w:div w:id="19866884">
          <w:marLeft w:val="0"/>
          <w:marRight w:val="0"/>
          <w:marTop w:val="150"/>
          <w:marBottom w:val="0"/>
          <w:divBdr>
            <w:top w:val="none" w:sz="0" w:space="0" w:color="auto"/>
            <w:left w:val="none" w:sz="0" w:space="0" w:color="auto"/>
            <w:bottom w:val="none" w:sz="0" w:space="0" w:color="auto"/>
            <w:right w:val="none" w:sz="0" w:space="0" w:color="auto"/>
          </w:divBdr>
          <w:divsChild>
            <w:div w:id="767778119">
              <w:marLeft w:val="0"/>
              <w:marRight w:val="0"/>
              <w:marTop w:val="0"/>
              <w:marBottom w:val="0"/>
              <w:divBdr>
                <w:top w:val="none" w:sz="0" w:space="0" w:color="auto"/>
                <w:left w:val="none" w:sz="0" w:space="0" w:color="auto"/>
                <w:bottom w:val="none" w:sz="0" w:space="0" w:color="auto"/>
                <w:right w:val="none" w:sz="0" w:space="0" w:color="auto"/>
              </w:divBdr>
              <w:divsChild>
                <w:div w:id="55655022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113404705">
          <w:marLeft w:val="0"/>
          <w:marRight w:val="0"/>
          <w:marTop w:val="0"/>
          <w:marBottom w:val="0"/>
          <w:divBdr>
            <w:top w:val="none" w:sz="0" w:space="0" w:color="auto"/>
            <w:left w:val="none" w:sz="0" w:space="0" w:color="auto"/>
            <w:bottom w:val="none" w:sz="0" w:space="0" w:color="auto"/>
            <w:right w:val="none" w:sz="0" w:space="0" w:color="auto"/>
          </w:divBdr>
          <w:divsChild>
            <w:div w:id="5713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156046">
      <w:bodyDiv w:val="1"/>
      <w:marLeft w:val="0"/>
      <w:marRight w:val="0"/>
      <w:marTop w:val="0"/>
      <w:marBottom w:val="0"/>
      <w:divBdr>
        <w:top w:val="none" w:sz="0" w:space="0" w:color="auto"/>
        <w:left w:val="none" w:sz="0" w:space="0" w:color="auto"/>
        <w:bottom w:val="none" w:sz="0" w:space="0" w:color="auto"/>
        <w:right w:val="none" w:sz="0" w:space="0" w:color="auto"/>
      </w:divBdr>
    </w:div>
    <w:div w:id="1139374399">
      <w:bodyDiv w:val="1"/>
      <w:marLeft w:val="0"/>
      <w:marRight w:val="0"/>
      <w:marTop w:val="0"/>
      <w:marBottom w:val="0"/>
      <w:divBdr>
        <w:top w:val="none" w:sz="0" w:space="0" w:color="auto"/>
        <w:left w:val="none" w:sz="0" w:space="0" w:color="auto"/>
        <w:bottom w:val="none" w:sz="0" w:space="0" w:color="auto"/>
        <w:right w:val="none" w:sz="0" w:space="0" w:color="auto"/>
      </w:divBdr>
      <w:divsChild>
        <w:div w:id="794175179">
          <w:marLeft w:val="0"/>
          <w:marRight w:val="0"/>
          <w:marTop w:val="0"/>
          <w:marBottom w:val="0"/>
          <w:divBdr>
            <w:top w:val="none" w:sz="0" w:space="0" w:color="auto"/>
            <w:left w:val="none" w:sz="0" w:space="0" w:color="auto"/>
            <w:bottom w:val="none" w:sz="0" w:space="0" w:color="auto"/>
            <w:right w:val="none" w:sz="0" w:space="0" w:color="auto"/>
          </w:divBdr>
          <w:divsChild>
            <w:div w:id="1077555164">
              <w:marLeft w:val="0"/>
              <w:marRight w:val="0"/>
              <w:marTop w:val="0"/>
              <w:marBottom w:val="0"/>
              <w:divBdr>
                <w:top w:val="none" w:sz="0" w:space="0" w:color="auto"/>
                <w:left w:val="none" w:sz="0" w:space="0" w:color="auto"/>
                <w:bottom w:val="none" w:sz="0" w:space="0" w:color="auto"/>
                <w:right w:val="none" w:sz="0" w:space="0" w:color="auto"/>
              </w:divBdr>
              <w:divsChild>
                <w:div w:id="1590655850">
                  <w:marLeft w:val="0"/>
                  <w:marRight w:val="0"/>
                  <w:marTop w:val="0"/>
                  <w:marBottom w:val="0"/>
                  <w:divBdr>
                    <w:top w:val="none" w:sz="0" w:space="0" w:color="auto"/>
                    <w:left w:val="none" w:sz="0" w:space="0" w:color="auto"/>
                    <w:bottom w:val="none" w:sz="0" w:space="0" w:color="auto"/>
                    <w:right w:val="none" w:sz="0" w:space="0" w:color="auto"/>
                  </w:divBdr>
                  <w:divsChild>
                    <w:div w:id="877158613">
                      <w:marLeft w:val="0"/>
                      <w:marRight w:val="0"/>
                      <w:marTop w:val="0"/>
                      <w:marBottom w:val="0"/>
                      <w:divBdr>
                        <w:top w:val="none" w:sz="0" w:space="0" w:color="auto"/>
                        <w:left w:val="none" w:sz="0" w:space="0" w:color="auto"/>
                        <w:bottom w:val="none" w:sz="0" w:space="0" w:color="auto"/>
                        <w:right w:val="none" w:sz="0" w:space="0" w:color="auto"/>
                      </w:divBdr>
                      <w:divsChild>
                        <w:div w:id="2585990">
                          <w:marLeft w:val="0"/>
                          <w:marRight w:val="0"/>
                          <w:marTop w:val="0"/>
                          <w:marBottom w:val="0"/>
                          <w:divBdr>
                            <w:top w:val="none" w:sz="0" w:space="0" w:color="auto"/>
                            <w:left w:val="none" w:sz="0" w:space="0" w:color="auto"/>
                            <w:bottom w:val="none" w:sz="0" w:space="0" w:color="auto"/>
                            <w:right w:val="none" w:sz="0" w:space="0" w:color="auto"/>
                          </w:divBdr>
                          <w:divsChild>
                            <w:div w:id="1381399287">
                              <w:marLeft w:val="0"/>
                              <w:marRight w:val="0"/>
                              <w:marTop w:val="0"/>
                              <w:marBottom w:val="0"/>
                              <w:divBdr>
                                <w:top w:val="none" w:sz="0" w:space="0" w:color="auto"/>
                                <w:left w:val="none" w:sz="0" w:space="0" w:color="auto"/>
                                <w:bottom w:val="none" w:sz="0" w:space="0" w:color="auto"/>
                                <w:right w:val="none" w:sz="0" w:space="0" w:color="auto"/>
                              </w:divBdr>
                              <w:divsChild>
                                <w:div w:id="653333107">
                                  <w:marLeft w:val="0"/>
                                  <w:marRight w:val="0"/>
                                  <w:marTop w:val="0"/>
                                  <w:marBottom w:val="0"/>
                                  <w:divBdr>
                                    <w:top w:val="none" w:sz="0" w:space="0" w:color="auto"/>
                                    <w:left w:val="none" w:sz="0" w:space="0" w:color="auto"/>
                                    <w:bottom w:val="none" w:sz="0" w:space="0" w:color="auto"/>
                                    <w:right w:val="none" w:sz="0" w:space="0" w:color="auto"/>
                                  </w:divBdr>
                                  <w:divsChild>
                                    <w:div w:id="911431580">
                                      <w:marLeft w:val="0"/>
                                      <w:marRight w:val="0"/>
                                      <w:marTop w:val="0"/>
                                      <w:marBottom w:val="0"/>
                                      <w:divBdr>
                                        <w:top w:val="none" w:sz="0" w:space="0" w:color="auto"/>
                                        <w:left w:val="none" w:sz="0" w:space="0" w:color="auto"/>
                                        <w:bottom w:val="none" w:sz="0" w:space="0" w:color="auto"/>
                                        <w:right w:val="none" w:sz="0" w:space="0" w:color="auto"/>
                                      </w:divBdr>
                                      <w:divsChild>
                                        <w:div w:id="136783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9691274">
      <w:bodyDiv w:val="1"/>
      <w:marLeft w:val="0"/>
      <w:marRight w:val="0"/>
      <w:marTop w:val="0"/>
      <w:marBottom w:val="0"/>
      <w:divBdr>
        <w:top w:val="none" w:sz="0" w:space="0" w:color="auto"/>
        <w:left w:val="none" w:sz="0" w:space="0" w:color="auto"/>
        <w:bottom w:val="none" w:sz="0" w:space="0" w:color="auto"/>
        <w:right w:val="none" w:sz="0" w:space="0" w:color="auto"/>
      </w:divBdr>
      <w:divsChild>
        <w:div w:id="1481650201">
          <w:marLeft w:val="0"/>
          <w:marRight w:val="0"/>
          <w:marTop w:val="0"/>
          <w:marBottom w:val="0"/>
          <w:divBdr>
            <w:top w:val="none" w:sz="0" w:space="0" w:color="auto"/>
            <w:left w:val="none" w:sz="0" w:space="0" w:color="auto"/>
            <w:bottom w:val="dotted" w:sz="6" w:space="4" w:color="DDDDDD"/>
            <w:right w:val="none" w:sz="0" w:space="0" w:color="auto"/>
          </w:divBdr>
        </w:div>
      </w:divsChild>
    </w:div>
    <w:div w:id="1140272066">
      <w:bodyDiv w:val="1"/>
      <w:marLeft w:val="0"/>
      <w:marRight w:val="0"/>
      <w:marTop w:val="0"/>
      <w:marBottom w:val="0"/>
      <w:divBdr>
        <w:top w:val="none" w:sz="0" w:space="0" w:color="auto"/>
        <w:left w:val="none" w:sz="0" w:space="0" w:color="auto"/>
        <w:bottom w:val="none" w:sz="0" w:space="0" w:color="auto"/>
        <w:right w:val="none" w:sz="0" w:space="0" w:color="auto"/>
      </w:divBdr>
      <w:divsChild>
        <w:div w:id="1281306596">
          <w:marLeft w:val="0"/>
          <w:marRight w:val="0"/>
          <w:marTop w:val="0"/>
          <w:marBottom w:val="0"/>
          <w:divBdr>
            <w:top w:val="none" w:sz="0" w:space="0" w:color="auto"/>
            <w:left w:val="none" w:sz="0" w:space="0" w:color="auto"/>
            <w:bottom w:val="none" w:sz="0" w:space="0" w:color="auto"/>
            <w:right w:val="none" w:sz="0" w:space="0" w:color="auto"/>
          </w:divBdr>
          <w:divsChild>
            <w:div w:id="444927749">
              <w:marLeft w:val="0"/>
              <w:marRight w:val="0"/>
              <w:marTop w:val="0"/>
              <w:marBottom w:val="0"/>
              <w:divBdr>
                <w:top w:val="none" w:sz="0" w:space="0" w:color="auto"/>
                <w:left w:val="none" w:sz="0" w:space="0" w:color="auto"/>
                <w:bottom w:val="none" w:sz="0" w:space="0" w:color="auto"/>
                <w:right w:val="none" w:sz="0" w:space="0" w:color="auto"/>
              </w:divBdr>
              <w:divsChild>
                <w:div w:id="2038583923">
                  <w:marLeft w:val="0"/>
                  <w:marRight w:val="0"/>
                  <w:marTop w:val="0"/>
                  <w:marBottom w:val="0"/>
                  <w:divBdr>
                    <w:top w:val="none" w:sz="0" w:space="0" w:color="auto"/>
                    <w:left w:val="none" w:sz="0" w:space="0" w:color="auto"/>
                    <w:bottom w:val="none" w:sz="0" w:space="0" w:color="auto"/>
                    <w:right w:val="none" w:sz="0" w:space="0" w:color="auto"/>
                  </w:divBdr>
                  <w:divsChild>
                    <w:div w:id="37442239">
                      <w:marLeft w:val="0"/>
                      <w:marRight w:val="0"/>
                      <w:marTop w:val="0"/>
                      <w:marBottom w:val="0"/>
                      <w:divBdr>
                        <w:top w:val="none" w:sz="0" w:space="0" w:color="auto"/>
                        <w:left w:val="none" w:sz="0" w:space="0" w:color="auto"/>
                        <w:bottom w:val="none" w:sz="0" w:space="0" w:color="auto"/>
                        <w:right w:val="none" w:sz="0" w:space="0" w:color="auto"/>
                      </w:divBdr>
                      <w:divsChild>
                        <w:div w:id="599871367">
                          <w:marLeft w:val="0"/>
                          <w:marRight w:val="0"/>
                          <w:marTop w:val="0"/>
                          <w:marBottom w:val="0"/>
                          <w:divBdr>
                            <w:top w:val="none" w:sz="0" w:space="0" w:color="auto"/>
                            <w:left w:val="none" w:sz="0" w:space="0" w:color="auto"/>
                            <w:bottom w:val="none" w:sz="0" w:space="0" w:color="auto"/>
                            <w:right w:val="none" w:sz="0" w:space="0" w:color="auto"/>
                          </w:divBdr>
                          <w:divsChild>
                            <w:div w:id="1779175096">
                              <w:marLeft w:val="0"/>
                              <w:marRight w:val="0"/>
                              <w:marTop w:val="0"/>
                              <w:marBottom w:val="0"/>
                              <w:divBdr>
                                <w:top w:val="none" w:sz="0" w:space="0" w:color="auto"/>
                                <w:left w:val="none" w:sz="0" w:space="0" w:color="auto"/>
                                <w:bottom w:val="none" w:sz="0" w:space="0" w:color="auto"/>
                                <w:right w:val="none" w:sz="0" w:space="0" w:color="auto"/>
                              </w:divBdr>
                              <w:divsChild>
                                <w:div w:id="1191338714">
                                  <w:marLeft w:val="0"/>
                                  <w:marRight w:val="0"/>
                                  <w:marTop w:val="0"/>
                                  <w:marBottom w:val="0"/>
                                  <w:divBdr>
                                    <w:top w:val="none" w:sz="0" w:space="0" w:color="auto"/>
                                    <w:left w:val="none" w:sz="0" w:space="0" w:color="auto"/>
                                    <w:bottom w:val="none" w:sz="0" w:space="0" w:color="auto"/>
                                    <w:right w:val="none" w:sz="0" w:space="0" w:color="auto"/>
                                  </w:divBdr>
                                  <w:divsChild>
                                    <w:div w:id="2010330811">
                                      <w:marLeft w:val="0"/>
                                      <w:marRight w:val="0"/>
                                      <w:marTop w:val="0"/>
                                      <w:marBottom w:val="0"/>
                                      <w:divBdr>
                                        <w:top w:val="none" w:sz="0" w:space="0" w:color="auto"/>
                                        <w:left w:val="none" w:sz="0" w:space="0" w:color="auto"/>
                                        <w:bottom w:val="none" w:sz="0" w:space="0" w:color="auto"/>
                                        <w:right w:val="none" w:sz="0" w:space="0" w:color="auto"/>
                                      </w:divBdr>
                                      <w:divsChild>
                                        <w:div w:id="70059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0417820">
      <w:bodyDiv w:val="1"/>
      <w:marLeft w:val="0"/>
      <w:marRight w:val="0"/>
      <w:marTop w:val="0"/>
      <w:marBottom w:val="0"/>
      <w:divBdr>
        <w:top w:val="none" w:sz="0" w:space="0" w:color="auto"/>
        <w:left w:val="none" w:sz="0" w:space="0" w:color="auto"/>
        <w:bottom w:val="none" w:sz="0" w:space="0" w:color="auto"/>
        <w:right w:val="none" w:sz="0" w:space="0" w:color="auto"/>
      </w:divBdr>
      <w:divsChild>
        <w:div w:id="240649530">
          <w:marLeft w:val="0"/>
          <w:marRight w:val="0"/>
          <w:marTop w:val="0"/>
          <w:marBottom w:val="150"/>
          <w:divBdr>
            <w:top w:val="none" w:sz="0" w:space="0" w:color="auto"/>
            <w:left w:val="none" w:sz="0" w:space="0" w:color="auto"/>
            <w:bottom w:val="none" w:sz="0" w:space="0" w:color="auto"/>
            <w:right w:val="none" w:sz="0" w:space="0" w:color="auto"/>
          </w:divBdr>
        </w:div>
        <w:div w:id="649139959">
          <w:marLeft w:val="0"/>
          <w:marRight w:val="0"/>
          <w:marTop w:val="0"/>
          <w:marBottom w:val="150"/>
          <w:divBdr>
            <w:top w:val="none" w:sz="0" w:space="0" w:color="auto"/>
            <w:left w:val="none" w:sz="0" w:space="0" w:color="auto"/>
            <w:bottom w:val="none" w:sz="0" w:space="0" w:color="auto"/>
            <w:right w:val="none" w:sz="0" w:space="0" w:color="auto"/>
          </w:divBdr>
          <w:divsChild>
            <w:div w:id="314727912">
              <w:marLeft w:val="0"/>
              <w:marRight w:val="0"/>
              <w:marTop w:val="0"/>
              <w:marBottom w:val="0"/>
              <w:divBdr>
                <w:top w:val="none" w:sz="0" w:space="0" w:color="auto"/>
                <w:left w:val="none" w:sz="0" w:space="0" w:color="auto"/>
                <w:bottom w:val="none" w:sz="0" w:space="0" w:color="auto"/>
                <w:right w:val="none" w:sz="0" w:space="0" w:color="auto"/>
              </w:divBdr>
              <w:divsChild>
                <w:div w:id="34073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373011">
          <w:marLeft w:val="0"/>
          <w:marRight w:val="0"/>
          <w:marTop w:val="0"/>
          <w:marBottom w:val="0"/>
          <w:divBdr>
            <w:top w:val="none" w:sz="0" w:space="0" w:color="auto"/>
            <w:left w:val="none" w:sz="0" w:space="0" w:color="auto"/>
            <w:bottom w:val="none" w:sz="0" w:space="0" w:color="auto"/>
            <w:right w:val="none" w:sz="0" w:space="0" w:color="auto"/>
          </w:divBdr>
          <w:divsChild>
            <w:div w:id="6073916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40465196">
      <w:bodyDiv w:val="1"/>
      <w:marLeft w:val="0"/>
      <w:marRight w:val="0"/>
      <w:marTop w:val="0"/>
      <w:marBottom w:val="0"/>
      <w:divBdr>
        <w:top w:val="none" w:sz="0" w:space="0" w:color="auto"/>
        <w:left w:val="none" w:sz="0" w:space="0" w:color="auto"/>
        <w:bottom w:val="none" w:sz="0" w:space="0" w:color="auto"/>
        <w:right w:val="none" w:sz="0" w:space="0" w:color="auto"/>
      </w:divBdr>
      <w:divsChild>
        <w:div w:id="108552401">
          <w:marLeft w:val="0"/>
          <w:marRight w:val="0"/>
          <w:marTop w:val="0"/>
          <w:marBottom w:val="0"/>
          <w:divBdr>
            <w:top w:val="none" w:sz="0" w:space="0" w:color="auto"/>
            <w:left w:val="none" w:sz="0" w:space="0" w:color="auto"/>
            <w:bottom w:val="none" w:sz="0" w:space="0" w:color="auto"/>
            <w:right w:val="none" w:sz="0" w:space="0" w:color="auto"/>
          </w:divBdr>
          <w:divsChild>
            <w:div w:id="1112437568">
              <w:marLeft w:val="0"/>
              <w:marRight w:val="0"/>
              <w:marTop w:val="0"/>
              <w:marBottom w:val="0"/>
              <w:divBdr>
                <w:top w:val="none" w:sz="0" w:space="0" w:color="auto"/>
                <w:left w:val="none" w:sz="0" w:space="0" w:color="auto"/>
                <w:bottom w:val="none" w:sz="0" w:space="0" w:color="auto"/>
                <w:right w:val="none" w:sz="0" w:space="0" w:color="auto"/>
              </w:divBdr>
              <w:divsChild>
                <w:div w:id="2048018632">
                  <w:marLeft w:val="0"/>
                  <w:marRight w:val="0"/>
                  <w:marTop w:val="0"/>
                  <w:marBottom w:val="0"/>
                  <w:divBdr>
                    <w:top w:val="none" w:sz="0" w:space="0" w:color="auto"/>
                    <w:left w:val="none" w:sz="0" w:space="0" w:color="auto"/>
                    <w:bottom w:val="none" w:sz="0" w:space="0" w:color="auto"/>
                    <w:right w:val="none" w:sz="0" w:space="0" w:color="auto"/>
                  </w:divBdr>
                  <w:divsChild>
                    <w:div w:id="1644388579">
                      <w:marLeft w:val="0"/>
                      <w:marRight w:val="0"/>
                      <w:marTop w:val="0"/>
                      <w:marBottom w:val="0"/>
                      <w:divBdr>
                        <w:top w:val="none" w:sz="0" w:space="0" w:color="auto"/>
                        <w:left w:val="none" w:sz="0" w:space="0" w:color="auto"/>
                        <w:bottom w:val="none" w:sz="0" w:space="0" w:color="auto"/>
                        <w:right w:val="none" w:sz="0" w:space="0" w:color="auto"/>
                      </w:divBdr>
                      <w:divsChild>
                        <w:div w:id="319386945">
                          <w:marLeft w:val="0"/>
                          <w:marRight w:val="0"/>
                          <w:marTop w:val="0"/>
                          <w:marBottom w:val="0"/>
                          <w:divBdr>
                            <w:top w:val="none" w:sz="0" w:space="0" w:color="auto"/>
                            <w:left w:val="none" w:sz="0" w:space="0" w:color="auto"/>
                            <w:bottom w:val="none" w:sz="0" w:space="0" w:color="auto"/>
                            <w:right w:val="none" w:sz="0" w:space="0" w:color="auto"/>
                          </w:divBdr>
                          <w:divsChild>
                            <w:div w:id="1246769473">
                              <w:marLeft w:val="0"/>
                              <w:marRight w:val="0"/>
                              <w:marTop w:val="0"/>
                              <w:marBottom w:val="0"/>
                              <w:divBdr>
                                <w:top w:val="none" w:sz="0" w:space="0" w:color="auto"/>
                                <w:left w:val="none" w:sz="0" w:space="0" w:color="auto"/>
                                <w:bottom w:val="none" w:sz="0" w:space="0" w:color="auto"/>
                                <w:right w:val="none" w:sz="0" w:space="0" w:color="auto"/>
                              </w:divBdr>
                              <w:divsChild>
                                <w:div w:id="484006466">
                                  <w:marLeft w:val="0"/>
                                  <w:marRight w:val="0"/>
                                  <w:marTop w:val="0"/>
                                  <w:marBottom w:val="0"/>
                                  <w:divBdr>
                                    <w:top w:val="none" w:sz="0" w:space="0" w:color="auto"/>
                                    <w:left w:val="none" w:sz="0" w:space="0" w:color="auto"/>
                                    <w:bottom w:val="none" w:sz="0" w:space="0" w:color="auto"/>
                                    <w:right w:val="none" w:sz="0" w:space="0" w:color="auto"/>
                                  </w:divBdr>
                                  <w:divsChild>
                                    <w:div w:id="173762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1462340">
      <w:bodyDiv w:val="1"/>
      <w:marLeft w:val="0"/>
      <w:marRight w:val="0"/>
      <w:marTop w:val="0"/>
      <w:marBottom w:val="0"/>
      <w:divBdr>
        <w:top w:val="none" w:sz="0" w:space="0" w:color="auto"/>
        <w:left w:val="none" w:sz="0" w:space="0" w:color="auto"/>
        <w:bottom w:val="none" w:sz="0" w:space="0" w:color="auto"/>
        <w:right w:val="none" w:sz="0" w:space="0" w:color="auto"/>
      </w:divBdr>
      <w:divsChild>
        <w:div w:id="183518178">
          <w:marLeft w:val="0"/>
          <w:marRight w:val="0"/>
          <w:marTop w:val="0"/>
          <w:marBottom w:val="0"/>
          <w:divBdr>
            <w:top w:val="none" w:sz="0" w:space="0" w:color="auto"/>
            <w:left w:val="none" w:sz="0" w:space="0" w:color="auto"/>
            <w:bottom w:val="dotted" w:sz="6" w:space="4" w:color="DDDDDD"/>
            <w:right w:val="none" w:sz="0" w:space="0" w:color="auto"/>
          </w:divBdr>
          <w:divsChild>
            <w:div w:id="88972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538381">
      <w:bodyDiv w:val="1"/>
      <w:marLeft w:val="0"/>
      <w:marRight w:val="0"/>
      <w:marTop w:val="0"/>
      <w:marBottom w:val="0"/>
      <w:divBdr>
        <w:top w:val="none" w:sz="0" w:space="0" w:color="auto"/>
        <w:left w:val="none" w:sz="0" w:space="0" w:color="auto"/>
        <w:bottom w:val="none" w:sz="0" w:space="0" w:color="auto"/>
        <w:right w:val="none" w:sz="0" w:space="0" w:color="auto"/>
      </w:divBdr>
      <w:divsChild>
        <w:div w:id="392585825">
          <w:marLeft w:val="0"/>
          <w:marRight w:val="0"/>
          <w:marTop w:val="0"/>
          <w:marBottom w:val="0"/>
          <w:divBdr>
            <w:top w:val="none" w:sz="0" w:space="0" w:color="auto"/>
            <w:left w:val="none" w:sz="0" w:space="0" w:color="auto"/>
            <w:bottom w:val="none" w:sz="0" w:space="0" w:color="auto"/>
            <w:right w:val="none" w:sz="0" w:space="0" w:color="auto"/>
          </w:divBdr>
        </w:div>
        <w:div w:id="2134397148">
          <w:marLeft w:val="0"/>
          <w:marRight w:val="0"/>
          <w:marTop w:val="0"/>
          <w:marBottom w:val="0"/>
          <w:divBdr>
            <w:top w:val="none" w:sz="0" w:space="0" w:color="auto"/>
            <w:left w:val="none" w:sz="0" w:space="0" w:color="auto"/>
            <w:bottom w:val="none" w:sz="0" w:space="0" w:color="auto"/>
            <w:right w:val="none" w:sz="0" w:space="0" w:color="auto"/>
          </w:divBdr>
          <w:divsChild>
            <w:div w:id="557980240">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141918136">
      <w:bodyDiv w:val="1"/>
      <w:marLeft w:val="0"/>
      <w:marRight w:val="0"/>
      <w:marTop w:val="0"/>
      <w:marBottom w:val="0"/>
      <w:divBdr>
        <w:top w:val="none" w:sz="0" w:space="0" w:color="auto"/>
        <w:left w:val="none" w:sz="0" w:space="0" w:color="auto"/>
        <w:bottom w:val="none" w:sz="0" w:space="0" w:color="auto"/>
        <w:right w:val="none" w:sz="0" w:space="0" w:color="auto"/>
      </w:divBdr>
    </w:div>
    <w:div w:id="1142766898">
      <w:bodyDiv w:val="1"/>
      <w:marLeft w:val="0"/>
      <w:marRight w:val="0"/>
      <w:marTop w:val="0"/>
      <w:marBottom w:val="0"/>
      <w:divBdr>
        <w:top w:val="none" w:sz="0" w:space="0" w:color="auto"/>
        <w:left w:val="none" w:sz="0" w:space="0" w:color="auto"/>
        <w:bottom w:val="none" w:sz="0" w:space="0" w:color="auto"/>
        <w:right w:val="none" w:sz="0" w:space="0" w:color="auto"/>
      </w:divBdr>
      <w:divsChild>
        <w:div w:id="1799445352">
          <w:marLeft w:val="0"/>
          <w:marRight w:val="0"/>
          <w:marTop w:val="0"/>
          <w:marBottom w:val="0"/>
          <w:divBdr>
            <w:top w:val="none" w:sz="0" w:space="0" w:color="auto"/>
            <w:left w:val="none" w:sz="0" w:space="0" w:color="auto"/>
            <w:bottom w:val="dotted" w:sz="6" w:space="4" w:color="DDDDDD"/>
            <w:right w:val="none" w:sz="0" w:space="0" w:color="auto"/>
          </w:divBdr>
          <w:divsChild>
            <w:div w:id="98193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769805">
      <w:bodyDiv w:val="1"/>
      <w:marLeft w:val="0"/>
      <w:marRight w:val="0"/>
      <w:marTop w:val="0"/>
      <w:marBottom w:val="0"/>
      <w:divBdr>
        <w:top w:val="none" w:sz="0" w:space="0" w:color="auto"/>
        <w:left w:val="none" w:sz="0" w:space="0" w:color="auto"/>
        <w:bottom w:val="none" w:sz="0" w:space="0" w:color="auto"/>
        <w:right w:val="none" w:sz="0" w:space="0" w:color="auto"/>
      </w:divBdr>
    </w:div>
    <w:div w:id="1143430645">
      <w:bodyDiv w:val="1"/>
      <w:marLeft w:val="0"/>
      <w:marRight w:val="0"/>
      <w:marTop w:val="0"/>
      <w:marBottom w:val="0"/>
      <w:divBdr>
        <w:top w:val="none" w:sz="0" w:space="0" w:color="auto"/>
        <w:left w:val="none" w:sz="0" w:space="0" w:color="auto"/>
        <w:bottom w:val="none" w:sz="0" w:space="0" w:color="auto"/>
        <w:right w:val="none" w:sz="0" w:space="0" w:color="auto"/>
      </w:divBdr>
      <w:divsChild>
        <w:div w:id="162866534">
          <w:marLeft w:val="0"/>
          <w:marRight w:val="0"/>
          <w:marTop w:val="0"/>
          <w:marBottom w:val="150"/>
          <w:divBdr>
            <w:top w:val="none" w:sz="0" w:space="0" w:color="auto"/>
            <w:left w:val="none" w:sz="0" w:space="0" w:color="auto"/>
            <w:bottom w:val="none" w:sz="0" w:space="0" w:color="auto"/>
            <w:right w:val="none" w:sz="0" w:space="0" w:color="auto"/>
          </w:divBdr>
          <w:divsChild>
            <w:div w:id="1611935447">
              <w:marLeft w:val="0"/>
              <w:marRight w:val="0"/>
              <w:marTop w:val="0"/>
              <w:marBottom w:val="0"/>
              <w:divBdr>
                <w:top w:val="none" w:sz="0" w:space="0" w:color="auto"/>
                <w:left w:val="none" w:sz="0" w:space="0" w:color="auto"/>
                <w:bottom w:val="none" w:sz="0" w:space="0" w:color="auto"/>
                <w:right w:val="none" w:sz="0" w:space="0" w:color="auto"/>
              </w:divBdr>
            </w:div>
          </w:divsChild>
        </w:div>
        <w:div w:id="992372585">
          <w:marLeft w:val="0"/>
          <w:marRight w:val="0"/>
          <w:marTop w:val="0"/>
          <w:marBottom w:val="0"/>
          <w:divBdr>
            <w:top w:val="none" w:sz="0" w:space="0" w:color="auto"/>
            <w:left w:val="none" w:sz="0" w:space="0" w:color="auto"/>
            <w:bottom w:val="none" w:sz="0" w:space="0" w:color="auto"/>
            <w:right w:val="none" w:sz="0" w:space="0" w:color="auto"/>
          </w:divBdr>
          <w:divsChild>
            <w:div w:id="1569419580">
              <w:marLeft w:val="0"/>
              <w:marRight w:val="0"/>
              <w:marTop w:val="0"/>
              <w:marBottom w:val="0"/>
              <w:divBdr>
                <w:top w:val="none" w:sz="0" w:space="0" w:color="auto"/>
                <w:left w:val="none" w:sz="0" w:space="0" w:color="auto"/>
                <w:bottom w:val="none" w:sz="0" w:space="0" w:color="auto"/>
                <w:right w:val="none" w:sz="0" w:space="0" w:color="auto"/>
              </w:divBdr>
            </w:div>
          </w:divsChild>
        </w:div>
        <w:div w:id="1303073927">
          <w:marLeft w:val="0"/>
          <w:marRight w:val="0"/>
          <w:marTop w:val="0"/>
          <w:marBottom w:val="150"/>
          <w:divBdr>
            <w:top w:val="none" w:sz="0" w:space="0" w:color="auto"/>
            <w:left w:val="none" w:sz="0" w:space="0" w:color="auto"/>
            <w:bottom w:val="none" w:sz="0" w:space="0" w:color="auto"/>
            <w:right w:val="none" w:sz="0" w:space="0" w:color="auto"/>
          </w:divBdr>
        </w:div>
      </w:divsChild>
    </w:div>
    <w:div w:id="1143814455">
      <w:bodyDiv w:val="1"/>
      <w:marLeft w:val="0"/>
      <w:marRight w:val="0"/>
      <w:marTop w:val="0"/>
      <w:marBottom w:val="0"/>
      <w:divBdr>
        <w:top w:val="none" w:sz="0" w:space="0" w:color="auto"/>
        <w:left w:val="none" w:sz="0" w:space="0" w:color="auto"/>
        <w:bottom w:val="none" w:sz="0" w:space="0" w:color="auto"/>
        <w:right w:val="none" w:sz="0" w:space="0" w:color="auto"/>
      </w:divBdr>
      <w:divsChild>
        <w:div w:id="880481877">
          <w:marLeft w:val="0"/>
          <w:marRight w:val="0"/>
          <w:marTop w:val="0"/>
          <w:marBottom w:val="0"/>
          <w:divBdr>
            <w:top w:val="none" w:sz="0" w:space="0" w:color="auto"/>
            <w:left w:val="none" w:sz="0" w:space="0" w:color="auto"/>
            <w:bottom w:val="none" w:sz="0" w:space="0" w:color="auto"/>
            <w:right w:val="none" w:sz="0" w:space="0" w:color="auto"/>
          </w:divBdr>
        </w:div>
      </w:divsChild>
    </w:div>
    <w:div w:id="1143931240">
      <w:bodyDiv w:val="1"/>
      <w:marLeft w:val="0"/>
      <w:marRight w:val="0"/>
      <w:marTop w:val="0"/>
      <w:marBottom w:val="0"/>
      <w:divBdr>
        <w:top w:val="none" w:sz="0" w:space="0" w:color="auto"/>
        <w:left w:val="none" w:sz="0" w:space="0" w:color="auto"/>
        <w:bottom w:val="none" w:sz="0" w:space="0" w:color="auto"/>
        <w:right w:val="none" w:sz="0" w:space="0" w:color="auto"/>
      </w:divBdr>
      <w:divsChild>
        <w:div w:id="2127381844">
          <w:marLeft w:val="0"/>
          <w:marRight w:val="0"/>
          <w:marTop w:val="0"/>
          <w:marBottom w:val="0"/>
          <w:divBdr>
            <w:top w:val="none" w:sz="0" w:space="0" w:color="auto"/>
            <w:left w:val="none" w:sz="0" w:space="0" w:color="auto"/>
            <w:bottom w:val="none" w:sz="0" w:space="0" w:color="auto"/>
            <w:right w:val="none" w:sz="0" w:space="0" w:color="auto"/>
          </w:divBdr>
        </w:div>
      </w:divsChild>
    </w:div>
    <w:div w:id="1144271328">
      <w:bodyDiv w:val="1"/>
      <w:marLeft w:val="0"/>
      <w:marRight w:val="0"/>
      <w:marTop w:val="0"/>
      <w:marBottom w:val="0"/>
      <w:divBdr>
        <w:top w:val="none" w:sz="0" w:space="0" w:color="auto"/>
        <w:left w:val="none" w:sz="0" w:space="0" w:color="auto"/>
        <w:bottom w:val="none" w:sz="0" w:space="0" w:color="auto"/>
        <w:right w:val="none" w:sz="0" w:space="0" w:color="auto"/>
      </w:divBdr>
      <w:divsChild>
        <w:div w:id="325279218">
          <w:marLeft w:val="0"/>
          <w:marRight w:val="0"/>
          <w:marTop w:val="0"/>
          <w:marBottom w:val="450"/>
          <w:divBdr>
            <w:top w:val="none" w:sz="0" w:space="0" w:color="auto"/>
            <w:left w:val="none" w:sz="0" w:space="0" w:color="auto"/>
            <w:bottom w:val="single" w:sz="6" w:space="19" w:color="EEEEEE"/>
            <w:right w:val="none" w:sz="0" w:space="0" w:color="auto"/>
          </w:divBdr>
          <w:divsChild>
            <w:div w:id="647900329">
              <w:marLeft w:val="0"/>
              <w:marRight w:val="0"/>
              <w:marTop w:val="0"/>
              <w:marBottom w:val="150"/>
              <w:divBdr>
                <w:top w:val="none" w:sz="0" w:space="0" w:color="auto"/>
                <w:left w:val="none" w:sz="0" w:space="0" w:color="auto"/>
                <w:bottom w:val="none" w:sz="0" w:space="0" w:color="auto"/>
                <w:right w:val="none" w:sz="0" w:space="0" w:color="auto"/>
              </w:divBdr>
              <w:divsChild>
                <w:div w:id="1451894751">
                  <w:marLeft w:val="0"/>
                  <w:marRight w:val="0"/>
                  <w:marTop w:val="0"/>
                  <w:marBottom w:val="0"/>
                  <w:divBdr>
                    <w:top w:val="none" w:sz="0" w:space="0" w:color="auto"/>
                    <w:left w:val="none" w:sz="0" w:space="0" w:color="auto"/>
                    <w:bottom w:val="none" w:sz="0" w:space="0" w:color="auto"/>
                    <w:right w:val="none" w:sz="0" w:space="0" w:color="auto"/>
                  </w:divBdr>
                </w:div>
              </w:divsChild>
            </w:div>
            <w:div w:id="1576670700">
              <w:marLeft w:val="0"/>
              <w:marRight w:val="0"/>
              <w:marTop w:val="0"/>
              <w:marBottom w:val="0"/>
              <w:divBdr>
                <w:top w:val="none" w:sz="0" w:space="0" w:color="auto"/>
                <w:left w:val="none" w:sz="0" w:space="0" w:color="auto"/>
                <w:bottom w:val="none" w:sz="0" w:space="0" w:color="auto"/>
                <w:right w:val="none" w:sz="0" w:space="0" w:color="auto"/>
              </w:divBdr>
            </w:div>
          </w:divsChild>
        </w:div>
        <w:div w:id="1264537864">
          <w:marLeft w:val="0"/>
          <w:marRight w:val="0"/>
          <w:marTop w:val="0"/>
          <w:marBottom w:val="0"/>
          <w:divBdr>
            <w:top w:val="none" w:sz="0" w:space="0" w:color="auto"/>
            <w:left w:val="none" w:sz="0" w:space="0" w:color="auto"/>
            <w:bottom w:val="none" w:sz="0" w:space="0" w:color="auto"/>
            <w:right w:val="none" w:sz="0" w:space="0" w:color="auto"/>
          </w:divBdr>
          <w:divsChild>
            <w:div w:id="2144225480">
              <w:marLeft w:val="0"/>
              <w:marRight w:val="0"/>
              <w:marTop w:val="0"/>
              <w:marBottom w:val="0"/>
              <w:divBdr>
                <w:top w:val="none" w:sz="0" w:space="0" w:color="auto"/>
                <w:left w:val="none" w:sz="0" w:space="0" w:color="auto"/>
                <w:bottom w:val="none" w:sz="0" w:space="0" w:color="auto"/>
                <w:right w:val="none" w:sz="0" w:space="0" w:color="auto"/>
              </w:divBdr>
              <w:divsChild>
                <w:div w:id="210167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277496">
      <w:bodyDiv w:val="1"/>
      <w:marLeft w:val="0"/>
      <w:marRight w:val="0"/>
      <w:marTop w:val="0"/>
      <w:marBottom w:val="0"/>
      <w:divBdr>
        <w:top w:val="none" w:sz="0" w:space="0" w:color="auto"/>
        <w:left w:val="none" w:sz="0" w:space="0" w:color="auto"/>
        <w:bottom w:val="none" w:sz="0" w:space="0" w:color="auto"/>
        <w:right w:val="none" w:sz="0" w:space="0" w:color="auto"/>
      </w:divBdr>
      <w:divsChild>
        <w:div w:id="95369745">
          <w:marLeft w:val="0"/>
          <w:marRight w:val="0"/>
          <w:marTop w:val="0"/>
          <w:marBottom w:val="150"/>
          <w:divBdr>
            <w:top w:val="none" w:sz="0" w:space="0" w:color="auto"/>
            <w:left w:val="none" w:sz="0" w:space="0" w:color="auto"/>
            <w:bottom w:val="none" w:sz="0" w:space="0" w:color="auto"/>
            <w:right w:val="none" w:sz="0" w:space="0" w:color="auto"/>
          </w:divBdr>
        </w:div>
        <w:div w:id="416754808">
          <w:marLeft w:val="0"/>
          <w:marRight w:val="0"/>
          <w:marTop w:val="0"/>
          <w:marBottom w:val="150"/>
          <w:divBdr>
            <w:top w:val="none" w:sz="0" w:space="0" w:color="auto"/>
            <w:left w:val="none" w:sz="0" w:space="0" w:color="auto"/>
            <w:bottom w:val="none" w:sz="0" w:space="0" w:color="auto"/>
            <w:right w:val="none" w:sz="0" w:space="0" w:color="auto"/>
          </w:divBdr>
          <w:divsChild>
            <w:div w:id="12928799">
              <w:marLeft w:val="0"/>
              <w:marRight w:val="0"/>
              <w:marTop w:val="0"/>
              <w:marBottom w:val="0"/>
              <w:divBdr>
                <w:top w:val="none" w:sz="0" w:space="0" w:color="auto"/>
                <w:left w:val="none" w:sz="0" w:space="0" w:color="auto"/>
                <w:bottom w:val="none" w:sz="0" w:space="0" w:color="auto"/>
                <w:right w:val="none" w:sz="0" w:space="0" w:color="auto"/>
              </w:divBdr>
              <w:divsChild>
                <w:div w:id="176896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281106">
          <w:marLeft w:val="0"/>
          <w:marRight w:val="0"/>
          <w:marTop w:val="0"/>
          <w:marBottom w:val="0"/>
          <w:divBdr>
            <w:top w:val="none" w:sz="0" w:space="0" w:color="auto"/>
            <w:left w:val="none" w:sz="0" w:space="0" w:color="auto"/>
            <w:bottom w:val="none" w:sz="0" w:space="0" w:color="auto"/>
            <w:right w:val="none" w:sz="0" w:space="0" w:color="auto"/>
          </w:divBdr>
          <w:divsChild>
            <w:div w:id="11033040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44851217">
      <w:bodyDiv w:val="1"/>
      <w:marLeft w:val="0"/>
      <w:marRight w:val="0"/>
      <w:marTop w:val="0"/>
      <w:marBottom w:val="0"/>
      <w:divBdr>
        <w:top w:val="none" w:sz="0" w:space="0" w:color="auto"/>
        <w:left w:val="none" w:sz="0" w:space="0" w:color="auto"/>
        <w:bottom w:val="none" w:sz="0" w:space="0" w:color="auto"/>
        <w:right w:val="none" w:sz="0" w:space="0" w:color="auto"/>
      </w:divBdr>
      <w:divsChild>
        <w:div w:id="1733850242">
          <w:marLeft w:val="0"/>
          <w:marRight w:val="0"/>
          <w:marTop w:val="0"/>
          <w:marBottom w:val="150"/>
          <w:divBdr>
            <w:top w:val="none" w:sz="0" w:space="0" w:color="auto"/>
            <w:left w:val="none" w:sz="0" w:space="0" w:color="auto"/>
            <w:bottom w:val="none" w:sz="0" w:space="0" w:color="auto"/>
            <w:right w:val="none" w:sz="0" w:space="0" w:color="auto"/>
          </w:divBdr>
          <w:divsChild>
            <w:div w:id="241333132">
              <w:marLeft w:val="0"/>
              <w:marRight w:val="0"/>
              <w:marTop w:val="0"/>
              <w:marBottom w:val="0"/>
              <w:divBdr>
                <w:top w:val="none" w:sz="0" w:space="0" w:color="auto"/>
                <w:left w:val="none" w:sz="0" w:space="0" w:color="auto"/>
                <w:bottom w:val="none" w:sz="0" w:space="0" w:color="auto"/>
                <w:right w:val="none" w:sz="0" w:space="0" w:color="auto"/>
              </w:divBdr>
              <w:divsChild>
                <w:div w:id="226116203">
                  <w:marLeft w:val="0"/>
                  <w:marRight w:val="0"/>
                  <w:marTop w:val="0"/>
                  <w:marBottom w:val="0"/>
                  <w:divBdr>
                    <w:top w:val="none" w:sz="0" w:space="0" w:color="auto"/>
                    <w:left w:val="none" w:sz="0" w:space="0" w:color="auto"/>
                    <w:bottom w:val="none" w:sz="0" w:space="0" w:color="auto"/>
                    <w:right w:val="none" w:sz="0" w:space="0" w:color="auto"/>
                  </w:divBdr>
                  <w:divsChild>
                    <w:div w:id="1919943734">
                      <w:marLeft w:val="0"/>
                      <w:marRight w:val="150"/>
                      <w:marTop w:val="0"/>
                      <w:marBottom w:val="0"/>
                      <w:divBdr>
                        <w:top w:val="none" w:sz="0" w:space="0" w:color="auto"/>
                        <w:left w:val="none" w:sz="0" w:space="0" w:color="auto"/>
                        <w:bottom w:val="none" w:sz="0" w:space="0" w:color="auto"/>
                        <w:right w:val="none" w:sz="0" w:space="0" w:color="auto"/>
                      </w:divBdr>
                      <w:divsChild>
                        <w:div w:id="19446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112362">
          <w:marLeft w:val="0"/>
          <w:marRight w:val="0"/>
          <w:marTop w:val="0"/>
          <w:marBottom w:val="150"/>
          <w:divBdr>
            <w:top w:val="none" w:sz="0" w:space="0" w:color="auto"/>
            <w:left w:val="none" w:sz="0" w:space="0" w:color="auto"/>
            <w:bottom w:val="none" w:sz="0" w:space="0" w:color="auto"/>
            <w:right w:val="none" w:sz="0" w:space="0" w:color="auto"/>
          </w:divBdr>
        </w:div>
        <w:div w:id="1143499969">
          <w:marLeft w:val="0"/>
          <w:marRight w:val="0"/>
          <w:marTop w:val="0"/>
          <w:marBottom w:val="0"/>
          <w:divBdr>
            <w:top w:val="none" w:sz="0" w:space="0" w:color="auto"/>
            <w:left w:val="none" w:sz="0" w:space="0" w:color="auto"/>
            <w:bottom w:val="none" w:sz="0" w:space="0" w:color="auto"/>
            <w:right w:val="none" w:sz="0" w:space="0" w:color="auto"/>
          </w:divBdr>
          <w:divsChild>
            <w:div w:id="15077901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45121472">
      <w:bodyDiv w:val="1"/>
      <w:marLeft w:val="0"/>
      <w:marRight w:val="0"/>
      <w:marTop w:val="0"/>
      <w:marBottom w:val="0"/>
      <w:divBdr>
        <w:top w:val="none" w:sz="0" w:space="0" w:color="auto"/>
        <w:left w:val="none" w:sz="0" w:space="0" w:color="auto"/>
        <w:bottom w:val="none" w:sz="0" w:space="0" w:color="auto"/>
        <w:right w:val="none" w:sz="0" w:space="0" w:color="auto"/>
      </w:divBdr>
    </w:div>
    <w:div w:id="1146387491">
      <w:bodyDiv w:val="1"/>
      <w:marLeft w:val="0"/>
      <w:marRight w:val="0"/>
      <w:marTop w:val="0"/>
      <w:marBottom w:val="0"/>
      <w:divBdr>
        <w:top w:val="none" w:sz="0" w:space="0" w:color="auto"/>
        <w:left w:val="none" w:sz="0" w:space="0" w:color="auto"/>
        <w:bottom w:val="none" w:sz="0" w:space="0" w:color="auto"/>
        <w:right w:val="none" w:sz="0" w:space="0" w:color="auto"/>
      </w:divBdr>
      <w:divsChild>
        <w:div w:id="411203737">
          <w:marLeft w:val="0"/>
          <w:marRight w:val="0"/>
          <w:marTop w:val="0"/>
          <w:marBottom w:val="0"/>
          <w:divBdr>
            <w:top w:val="none" w:sz="0" w:space="0" w:color="auto"/>
            <w:left w:val="none" w:sz="0" w:space="0" w:color="auto"/>
            <w:bottom w:val="none" w:sz="0" w:space="0" w:color="auto"/>
            <w:right w:val="none" w:sz="0" w:space="0" w:color="auto"/>
          </w:divBdr>
          <w:divsChild>
            <w:div w:id="5867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623809">
      <w:bodyDiv w:val="1"/>
      <w:marLeft w:val="0"/>
      <w:marRight w:val="0"/>
      <w:marTop w:val="0"/>
      <w:marBottom w:val="0"/>
      <w:divBdr>
        <w:top w:val="none" w:sz="0" w:space="0" w:color="auto"/>
        <w:left w:val="none" w:sz="0" w:space="0" w:color="auto"/>
        <w:bottom w:val="none" w:sz="0" w:space="0" w:color="auto"/>
        <w:right w:val="none" w:sz="0" w:space="0" w:color="auto"/>
      </w:divBdr>
      <w:divsChild>
        <w:div w:id="1863745356">
          <w:marLeft w:val="0"/>
          <w:marRight w:val="0"/>
          <w:marTop w:val="0"/>
          <w:marBottom w:val="0"/>
          <w:divBdr>
            <w:top w:val="none" w:sz="0" w:space="0" w:color="auto"/>
            <w:left w:val="none" w:sz="0" w:space="0" w:color="auto"/>
            <w:bottom w:val="none" w:sz="0" w:space="0" w:color="auto"/>
            <w:right w:val="none" w:sz="0" w:space="0" w:color="auto"/>
          </w:divBdr>
        </w:div>
      </w:divsChild>
    </w:div>
    <w:div w:id="1147088483">
      <w:bodyDiv w:val="1"/>
      <w:marLeft w:val="0"/>
      <w:marRight w:val="0"/>
      <w:marTop w:val="0"/>
      <w:marBottom w:val="0"/>
      <w:divBdr>
        <w:top w:val="none" w:sz="0" w:space="0" w:color="auto"/>
        <w:left w:val="none" w:sz="0" w:space="0" w:color="auto"/>
        <w:bottom w:val="none" w:sz="0" w:space="0" w:color="auto"/>
        <w:right w:val="none" w:sz="0" w:space="0" w:color="auto"/>
      </w:divBdr>
    </w:div>
    <w:div w:id="1148135169">
      <w:bodyDiv w:val="1"/>
      <w:marLeft w:val="0"/>
      <w:marRight w:val="0"/>
      <w:marTop w:val="0"/>
      <w:marBottom w:val="0"/>
      <w:divBdr>
        <w:top w:val="none" w:sz="0" w:space="0" w:color="auto"/>
        <w:left w:val="none" w:sz="0" w:space="0" w:color="auto"/>
        <w:bottom w:val="none" w:sz="0" w:space="0" w:color="auto"/>
        <w:right w:val="none" w:sz="0" w:space="0" w:color="auto"/>
      </w:divBdr>
      <w:divsChild>
        <w:div w:id="1303384161">
          <w:marLeft w:val="0"/>
          <w:marRight w:val="0"/>
          <w:marTop w:val="150"/>
          <w:marBottom w:val="0"/>
          <w:divBdr>
            <w:top w:val="none" w:sz="0" w:space="0" w:color="auto"/>
            <w:left w:val="none" w:sz="0" w:space="0" w:color="auto"/>
            <w:bottom w:val="none" w:sz="0" w:space="0" w:color="auto"/>
            <w:right w:val="none" w:sz="0" w:space="0" w:color="auto"/>
          </w:divBdr>
          <w:divsChild>
            <w:div w:id="1179081249">
              <w:marLeft w:val="0"/>
              <w:marRight w:val="0"/>
              <w:marTop w:val="0"/>
              <w:marBottom w:val="0"/>
              <w:divBdr>
                <w:top w:val="none" w:sz="0" w:space="0" w:color="auto"/>
                <w:left w:val="none" w:sz="0" w:space="0" w:color="auto"/>
                <w:bottom w:val="single" w:sz="6" w:space="0" w:color="EFEFEF"/>
                <w:right w:val="none" w:sz="0" w:space="0" w:color="auto"/>
              </w:divBdr>
              <w:divsChild>
                <w:div w:id="649873051">
                  <w:marLeft w:val="0"/>
                  <w:marRight w:val="0"/>
                  <w:marTop w:val="0"/>
                  <w:marBottom w:val="0"/>
                  <w:divBdr>
                    <w:top w:val="none" w:sz="0" w:space="0" w:color="auto"/>
                    <w:left w:val="none" w:sz="0" w:space="0" w:color="auto"/>
                    <w:bottom w:val="none" w:sz="0" w:space="0" w:color="auto"/>
                    <w:right w:val="none" w:sz="0" w:space="0" w:color="auto"/>
                  </w:divBdr>
                </w:div>
                <w:div w:id="184951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617648">
          <w:marLeft w:val="0"/>
          <w:marRight w:val="0"/>
          <w:marTop w:val="300"/>
          <w:marBottom w:val="0"/>
          <w:divBdr>
            <w:top w:val="none" w:sz="0" w:space="0" w:color="auto"/>
            <w:left w:val="none" w:sz="0" w:space="0" w:color="auto"/>
            <w:bottom w:val="none" w:sz="0" w:space="0" w:color="auto"/>
            <w:right w:val="none" w:sz="0" w:space="0" w:color="auto"/>
          </w:divBdr>
          <w:divsChild>
            <w:div w:id="974409340">
              <w:marLeft w:val="0"/>
              <w:marRight w:val="0"/>
              <w:marTop w:val="0"/>
              <w:marBottom w:val="0"/>
              <w:divBdr>
                <w:top w:val="none" w:sz="0" w:space="0" w:color="auto"/>
                <w:left w:val="none" w:sz="0" w:space="0" w:color="auto"/>
                <w:bottom w:val="none" w:sz="0" w:space="0" w:color="auto"/>
                <w:right w:val="none" w:sz="0" w:space="0" w:color="auto"/>
              </w:divBdr>
              <w:divsChild>
                <w:div w:id="435759056">
                  <w:marLeft w:val="0"/>
                  <w:marRight w:val="0"/>
                  <w:marTop w:val="150"/>
                  <w:marBottom w:val="0"/>
                  <w:divBdr>
                    <w:top w:val="none" w:sz="0" w:space="0" w:color="auto"/>
                    <w:left w:val="none" w:sz="0" w:space="0" w:color="auto"/>
                    <w:bottom w:val="none" w:sz="0" w:space="0" w:color="auto"/>
                    <w:right w:val="none" w:sz="0" w:space="0" w:color="auto"/>
                  </w:divBdr>
                  <w:divsChild>
                    <w:div w:id="2057657952">
                      <w:marLeft w:val="0"/>
                      <w:marRight w:val="0"/>
                      <w:marTop w:val="0"/>
                      <w:marBottom w:val="0"/>
                      <w:divBdr>
                        <w:top w:val="none" w:sz="0" w:space="0" w:color="auto"/>
                        <w:left w:val="none" w:sz="0" w:space="0" w:color="auto"/>
                        <w:bottom w:val="none" w:sz="0" w:space="0" w:color="auto"/>
                        <w:right w:val="none" w:sz="0" w:space="0" w:color="auto"/>
                      </w:divBdr>
                      <w:divsChild>
                        <w:div w:id="185861574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90927246">
                  <w:marLeft w:val="0"/>
                  <w:marRight w:val="0"/>
                  <w:marTop w:val="0"/>
                  <w:marBottom w:val="0"/>
                  <w:divBdr>
                    <w:top w:val="none" w:sz="0" w:space="0" w:color="auto"/>
                    <w:left w:val="none" w:sz="0" w:space="0" w:color="auto"/>
                    <w:bottom w:val="none" w:sz="0" w:space="0" w:color="auto"/>
                    <w:right w:val="none" w:sz="0" w:space="0" w:color="auto"/>
                  </w:divBdr>
                  <w:divsChild>
                    <w:div w:id="170054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427268">
              <w:marLeft w:val="-1350"/>
              <w:marRight w:val="0"/>
              <w:marTop w:val="0"/>
              <w:marBottom w:val="0"/>
              <w:divBdr>
                <w:top w:val="none" w:sz="0" w:space="0" w:color="auto"/>
                <w:left w:val="none" w:sz="0" w:space="0" w:color="auto"/>
                <w:bottom w:val="none" w:sz="0" w:space="0" w:color="auto"/>
                <w:right w:val="none" w:sz="0" w:space="0" w:color="auto"/>
              </w:divBdr>
              <w:divsChild>
                <w:div w:id="1577084441">
                  <w:marLeft w:val="0"/>
                  <w:marRight w:val="0"/>
                  <w:marTop w:val="0"/>
                  <w:marBottom w:val="0"/>
                  <w:divBdr>
                    <w:top w:val="none" w:sz="0" w:space="0" w:color="auto"/>
                    <w:left w:val="none" w:sz="0" w:space="0" w:color="auto"/>
                    <w:bottom w:val="none" w:sz="0" w:space="0" w:color="auto"/>
                    <w:right w:val="none" w:sz="0" w:space="0" w:color="auto"/>
                  </w:divBdr>
                  <w:divsChild>
                    <w:div w:id="1038239501">
                      <w:marLeft w:val="0"/>
                      <w:marRight w:val="0"/>
                      <w:marTop w:val="0"/>
                      <w:marBottom w:val="0"/>
                      <w:divBdr>
                        <w:top w:val="none" w:sz="0" w:space="0" w:color="auto"/>
                        <w:left w:val="none" w:sz="0" w:space="0" w:color="auto"/>
                        <w:bottom w:val="none" w:sz="0" w:space="0" w:color="auto"/>
                        <w:right w:val="none" w:sz="0" w:space="0" w:color="auto"/>
                      </w:divBdr>
                      <w:divsChild>
                        <w:div w:id="576062232">
                          <w:marLeft w:val="0"/>
                          <w:marRight w:val="0"/>
                          <w:marTop w:val="0"/>
                          <w:marBottom w:val="0"/>
                          <w:divBdr>
                            <w:top w:val="single" w:sz="6" w:space="0" w:color="C7C7C7"/>
                            <w:left w:val="single" w:sz="6" w:space="0" w:color="C7C7C7"/>
                            <w:bottom w:val="single" w:sz="6" w:space="0" w:color="C7C7C7"/>
                            <w:right w:val="single" w:sz="6" w:space="0" w:color="C7C7C7"/>
                          </w:divBdr>
                          <w:divsChild>
                            <w:div w:id="142896018">
                              <w:marLeft w:val="0"/>
                              <w:marRight w:val="0"/>
                              <w:marTop w:val="100"/>
                              <w:marBottom w:val="100"/>
                              <w:divBdr>
                                <w:top w:val="none" w:sz="0" w:space="11" w:color="auto"/>
                                <w:left w:val="none" w:sz="0" w:space="0" w:color="auto"/>
                                <w:bottom w:val="single" w:sz="6" w:space="11" w:color="C7C7C7"/>
                                <w:right w:val="none" w:sz="0" w:space="0" w:color="auto"/>
                              </w:divBdr>
                            </w:div>
                            <w:div w:id="1045056224">
                              <w:marLeft w:val="0"/>
                              <w:marRight w:val="0"/>
                              <w:marTop w:val="100"/>
                              <w:marBottom w:val="100"/>
                              <w:divBdr>
                                <w:top w:val="none" w:sz="0" w:space="0" w:color="auto"/>
                                <w:left w:val="none" w:sz="0" w:space="0" w:color="auto"/>
                                <w:bottom w:val="none" w:sz="0" w:space="0" w:color="auto"/>
                                <w:right w:val="none" w:sz="0" w:space="0" w:color="auto"/>
                              </w:divBdr>
                            </w:div>
                            <w:div w:id="1775979776">
                              <w:marLeft w:val="0"/>
                              <w:marRight w:val="0"/>
                              <w:marTop w:val="100"/>
                              <w:marBottom w:val="100"/>
                              <w:divBdr>
                                <w:top w:val="none" w:sz="0" w:space="11" w:color="auto"/>
                                <w:left w:val="none" w:sz="0" w:space="0" w:color="auto"/>
                                <w:bottom w:val="single" w:sz="6" w:space="11" w:color="C7C7C7"/>
                                <w:right w:val="none" w:sz="0" w:space="0" w:color="auto"/>
                              </w:divBdr>
                            </w:div>
                            <w:div w:id="177709969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148787407">
      <w:bodyDiv w:val="1"/>
      <w:marLeft w:val="0"/>
      <w:marRight w:val="0"/>
      <w:marTop w:val="0"/>
      <w:marBottom w:val="0"/>
      <w:divBdr>
        <w:top w:val="none" w:sz="0" w:space="0" w:color="auto"/>
        <w:left w:val="none" w:sz="0" w:space="0" w:color="auto"/>
        <w:bottom w:val="none" w:sz="0" w:space="0" w:color="auto"/>
        <w:right w:val="none" w:sz="0" w:space="0" w:color="auto"/>
      </w:divBdr>
      <w:divsChild>
        <w:div w:id="2093967851">
          <w:marLeft w:val="0"/>
          <w:marRight w:val="0"/>
          <w:marTop w:val="0"/>
          <w:marBottom w:val="0"/>
          <w:divBdr>
            <w:top w:val="none" w:sz="0" w:space="0" w:color="auto"/>
            <w:left w:val="none" w:sz="0" w:space="0" w:color="auto"/>
            <w:bottom w:val="none" w:sz="0" w:space="0" w:color="auto"/>
            <w:right w:val="none" w:sz="0" w:space="0" w:color="auto"/>
          </w:divBdr>
          <w:divsChild>
            <w:div w:id="2033412226">
              <w:marLeft w:val="0"/>
              <w:marRight w:val="0"/>
              <w:marTop w:val="0"/>
              <w:marBottom w:val="0"/>
              <w:divBdr>
                <w:top w:val="none" w:sz="0" w:space="0" w:color="auto"/>
                <w:left w:val="none" w:sz="0" w:space="0" w:color="auto"/>
                <w:bottom w:val="none" w:sz="0" w:space="0" w:color="auto"/>
                <w:right w:val="none" w:sz="0" w:space="0" w:color="auto"/>
              </w:divBdr>
            </w:div>
          </w:divsChild>
        </w:div>
        <w:div w:id="312299914">
          <w:marLeft w:val="0"/>
          <w:marRight w:val="0"/>
          <w:marTop w:val="0"/>
          <w:marBottom w:val="0"/>
          <w:divBdr>
            <w:top w:val="none" w:sz="0" w:space="0" w:color="auto"/>
            <w:left w:val="none" w:sz="0" w:space="0" w:color="auto"/>
            <w:bottom w:val="none" w:sz="0" w:space="0" w:color="auto"/>
            <w:right w:val="none" w:sz="0" w:space="0" w:color="auto"/>
          </w:divBdr>
        </w:div>
        <w:div w:id="247538242">
          <w:marLeft w:val="0"/>
          <w:marRight w:val="0"/>
          <w:marTop w:val="0"/>
          <w:marBottom w:val="0"/>
          <w:divBdr>
            <w:top w:val="none" w:sz="0" w:space="0" w:color="auto"/>
            <w:left w:val="none" w:sz="0" w:space="0" w:color="auto"/>
            <w:bottom w:val="none" w:sz="0" w:space="0" w:color="auto"/>
            <w:right w:val="none" w:sz="0" w:space="0" w:color="auto"/>
          </w:divBdr>
          <w:divsChild>
            <w:div w:id="101851786">
              <w:marLeft w:val="-225"/>
              <w:marRight w:val="-225"/>
              <w:marTop w:val="0"/>
              <w:marBottom w:val="0"/>
              <w:divBdr>
                <w:top w:val="none" w:sz="0" w:space="0" w:color="auto"/>
                <w:left w:val="none" w:sz="0" w:space="0" w:color="auto"/>
                <w:bottom w:val="none" w:sz="0" w:space="0" w:color="auto"/>
                <w:right w:val="none" w:sz="0" w:space="0" w:color="auto"/>
              </w:divBdr>
              <w:divsChild>
                <w:div w:id="441850261">
                  <w:marLeft w:val="0"/>
                  <w:marRight w:val="0"/>
                  <w:marTop w:val="0"/>
                  <w:marBottom w:val="0"/>
                  <w:divBdr>
                    <w:top w:val="none" w:sz="0" w:space="0" w:color="auto"/>
                    <w:left w:val="none" w:sz="0" w:space="0" w:color="auto"/>
                    <w:bottom w:val="none" w:sz="0" w:space="0" w:color="auto"/>
                    <w:right w:val="single" w:sz="6" w:space="0" w:color="000000"/>
                  </w:divBdr>
                  <w:divsChild>
                    <w:div w:id="965893020">
                      <w:marLeft w:val="0"/>
                      <w:marRight w:val="0"/>
                      <w:marTop w:val="0"/>
                      <w:marBottom w:val="0"/>
                      <w:divBdr>
                        <w:top w:val="none" w:sz="0" w:space="0" w:color="auto"/>
                        <w:left w:val="none" w:sz="0" w:space="0" w:color="auto"/>
                        <w:bottom w:val="none" w:sz="0" w:space="0" w:color="auto"/>
                        <w:right w:val="none" w:sz="0" w:space="0" w:color="auto"/>
                      </w:divBdr>
                      <w:divsChild>
                        <w:div w:id="1085611557">
                          <w:marLeft w:val="0"/>
                          <w:marRight w:val="0"/>
                          <w:marTop w:val="0"/>
                          <w:marBottom w:val="0"/>
                          <w:divBdr>
                            <w:top w:val="none" w:sz="0" w:space="0" w:color="auto"/>
                            <w:left w:val="none" w:sz="0" w:space="0" w:color="auto"/>
                            <w:bottom w:val="none" w:sz="0" w:space="0" w:color="auto"/>
                            <w:right w:val="none" w:sz="0" w:space="0" w:color="auto"/>
                          </w:divBdr>
                        </w:div>
                        <w:div w:id="171922599">
                          <w:marLeft w:val="0"/>
                          <w:marRight w:val="0"/>
                          <w:marTop w:val="0"/>
                          <w:marBottom w:val="0"/>
                          <w:divBdr>
                            <w:top w:val="none" w:sz="0" w:space="0" w:color="auto"/>
                            <w:left w:val="none" w:sz="0" w:space="0" w:color="auto"/>
                            <w:bottom w:val="none" w:sz="0" w:space="0" w:color="auto"/>
                            <w:right w:val="none" w:sz="0" w:space="0" w:color="auto"/>
                          </w:divBdr>
                        </w:div>
                        <w:div w:id="51592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74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789583">
      <w:bodyDiv w:val="1"/>
      <w:marLeft w:val="0"/>
      <w:marRight w:val="0"/>
      <w:marTop w:val="0"/>
      <w:marBottom w:val="0"/>
      <w:divBdr>
        <w:top w:val="none" w:sz="0" w:space="0" w:color="auto"/>
        <w:left w:val="none" w:sz="0" w:space="0" w:color="auto"/>
        <w:bottom w:val="none" w:sz="0" w:space="0" w:color="auto"/>
        <w:right w:val="none" w:sz="0" w:space="0" w:color="auto"/>
      </w:divBdr>
      <w:divsChild>
        <w:div w:id="15546977">
          <w:marLeft w:val="0"/>
          <w:marRight w:val="0"/>
          <w:marTop w:val="0"/>
          <w:marBottom w:val="0"/>
          <w:divBdr>
            <w:top w:val="none" w:sz="0" w:space="0" w:color="auto"/>
            <w:left w:val="none" w:sz="0" w:space="0" w:color="auto"/>
            <w:bottom w:val="dotted" w:sz="6" w:space="4" w:color="DDDDDD"/>
            <w:right w:val="none" w:sz="0" w:space="0" w:color="auto"/>
          </w:divBdr>
        </w:div>
      </w:divsChild>
    </w:div>
    <w:div w:id="1148865624">
      <w:bodyDiv w:val="1"/>
      <w:marLeft w:val="0"/>
      <w:marRight w:val="0"/>
      <w:marTop w:val="0"/>
      <w:marBottom w:val="0"/>
      <w:divBdr>
        <w:top w:val="none" w:sz="0" w:space="0" w:color="auto"/>
        <w:left w:val="none" w:sz="0" w:space="0" w:color="auto"/>
        <w:bottom w:val="none" w:sz="0" w:space="0" w:color="auto"/>
        <w:right w:val="none" w:sz="0" w:space="0" w:color="auto"/>
      </w:divBdr>
      <w:divsChild>
        <w:div w:id="739407141">
          <w:marLeft w:val="0"/>
          <w:marRight w:val="0"/>
          <w:marTop w:val="0"/>
          <w:marBottom w:val="420"/>
          <w:divBdr>
            <w:top w:val="none" w:sz="0" w:space="0" w:color="auto"/>
            <w:left w:val="none" w:sz="0" w:space="0" w:color="auto"/>
            <w:bottom w:val="none" w:sz="0" w:space="0" w:color="auto"/>
            <w:right w:val="none" w:sz="0" w:space="0" w:color="auto"/>
          </w:divBdr>
        </w:div>
      </w:divsChild>
    </w:div>
    <w:div w:id="1148979040">
      <w:bodyDiv w:val="1"/>
      <w:marLeft w:val="0"/>
      <w:marRight w:val="0"/>
      <w:marTop w:val="0"/>
      <w:marBottom w:val="0"/>
      <w:divBdr>
        <w:top w:val="none" w:sz="0" w:space="0" w:color="auto"/>
        <w:left w:val="none" w:sz="0" w:space="0" w:color="auto"/>
        <w:bottom w:val="none" w:sz="0" w:space="0" w:color="auto"/>
        <w:right w:val="none" w:sz="0" w:space="0" w:color="auto"/>
      </w:divBdr>
      <w:divsChild>
        <w:div w:id="1474174169">
          <w:marLeft w:val="0"/>
          <w:marRight w:val="0"/>
          <w:marTop w:val="0"/>
          <w:marBottom w:val="0"/>
          <w:divBdr>
            <w:top w:val="none" w:sz="0" w:space="0" w:color="auto"/>
            <w:left w:val="none" w:sz="0" w:space="0" w:color="auto"/>
            <w:bottom w:val="none" w:sz="0" w:space="0" w:color="auto"/>
            <w:right w:val="none" w:sz="0" w:space="0" w:color="auto"/>
          </w:divBdr>
          <w:divsChild>
            <w:div w:id="1004430255">
              <w:marLeft w:val="0"/>
              <w:marRight w:val="0"/>
              <w:marTop w:val="0"/>
              <w:marBottom w:val="0"/>
              <w:divBdr>
                <w:top w:val="none" w:sz="0" w:space="0" w:color="auto"/>
                <w:left w:val="none" w:sz="0" w:space="0" w:color="auto"/>
                <w:bottom w:val="none" w:sz="0" w:space="0" w:color="auto"/>
                <w:right w:val="none" w:sz="0" w:space="0" w:color="auto"/>
              </w:divBdr>
              <w:divsChild>
                <w:div w:id="823744760">
                  <w:marLeft w:val="0"/>
                  <w:marRight w:val="0"/>
                  <w:marTop w:val="0"/>
                  <w:marBottom w:val="0"/>
                  <w:divBdr>
                    <w:top w:val="none" w:sz="0" w:space="0" w:color="auto"/>
                    <w:left w:val="none" w:sz="0" w:space="0" w:color="auto"/>
                    <w:bottom w:val="none" w:sz="0" w:space="0" w:color="auto"/>
                    <w:right w:val="none" w:sz="0" w:space="0" w:color="auto"/>
                  </w:divBdr>
                  <w:divsChild>
                    <w:div w:id="1140804498">
                      <w:marLeft w:val="0"/>
                      <w:marRight w:val="0"/>
                      <w:marTop w:val="0"/>
                      <w:marBottom w:val="0"/>
                      <w:divBdr>
                        <w:top w:val="none" w:sz="0" w:space="0" w:color="auto"/>
                        <w:left w:val="none" w:sz="0" w:space="0" w:color="auto"/>
                        <w:bottom w:val="none" w:sz="0" w:space="0" w:color="auto"/>
                        <w:right w:val="none" w:sz="0" w:space="0" w:color="auto"/>
                      </w:divBdr>
                      <w:divsChild>
                        <w:div w:id="296617356">
                          <w:marLeft w:val="0"/>
                          <w:marRight w:val="0"/>
                          <w:marTop w:val="0"/>
                          <w:marBottom w:val="0"/>
                          <w:divBdr>
                            <w:top w:val="none" w:sz="0" w:space="0" w:color="auto"/>
                            <w:left w:val="none" w:sz="0" w:space="0" w:color="auto"/>
                            <w:bottom w:val="none" w:sz="0" w:space="0" w:color="auto"/>
                            <w:right w:val="none" w:sz="0" w:space="0" w:color="auto"/>
                          </w:divBdr>
                          <w:divsChild>
                            <w:div w:id="1955940000">
                              <w:marLeft w:val="0"/>
                              <w:marRight w:val="0"/>
                              <w:marTop w:val="0"/>
                              <w:marBottom w:val="0"/>
                              <w:divBdr>
                                <w:top w:val="none" w:sz="0" w:space="0" w:color="auto"/>
                                <w:left w:val="none" w:sz="0" w:space="0" w:color="auto"/>
                                <w:bottom w:val="none" w:sz="0" w:space="0" w:color="auto"/>
                                <w:right w:val="none" w:sz="0" w:space="0" w:color="auto"/>
                              </w:divBdr>
                              <w:divsChild>
                                <w:div w:id="1530072001">
                                  <w:marLeft w:val="0"/>
                                  <w:marRight w:val="0"/>
                                  <w:marTop w:val="0"/>
                                  <w:marBottom w:val="0"/>
                                  <w:divBdr>
                                    <w:top w:val="none" w:sz="0" w:space="0" w:color="auto"/>
                                    <w:left w:val="none" w:sz="0" w:space="0" w:color="auto"/>
                                    <w:bottom w:val="none" w:sz="0" w:space="0" w:color="auto"/>
                                    <w:right w:val="none" w:sz="0" w:space="0" w:color="auto"/>
                                  </w:divBdr>
                                  <w:divsChild>
                                    <w:div w:id="178221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059712">
      <w:bodyDiv w:val="1"/>
      <w:marLeft w:val="0"/>
      <w:marRight w:val="0"/>
      <w:marTop w:val="0"/>
      <w:marBottom w:val="0"/>
      <w:divBdr>
        <w:top w:val="none" w:sz="0" w:space="0" w:color="auto"/>
        <w:left w:val="none" w:sz="0" w:space="0" w:color="auto"/>
        <w:bottom w:val="none" w:sz="0" w:space="0" w:color="auto"/>
        <w:right w:val="none" w:sz="0" w:space="0" w:color="auto"/>
      </w:divBdr>
      <w:divsChild>
        <w:div w:id="1039087084">
          <w:marLeft w:val="0"/>
          <w:marRight w:val="0"/>
          <w:marTop w:val="0"/>
          <w:marBottom w:val="0"/>
          <w:divBdr>
            <w:top w:val="none" w:sz="0" w:space="0" w:color="auto"/>
            <w:left w:val="none" w:sz="0" w:space="0" w:color="auto"/>
            <w:bottom w:val="dotted" w:sz="6" w:space="4" w:color="DDDDDD"/>
            <w:right w:val="none" w:sz="0" w:space="0" w:color="auto"/>
          </w:divBdr>
          <w:divsChild>
            <w:div w:id="129008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02586">
      <w:bodyDiv w:val="1"/>
      <w:marLeft w:val="0"/>
      <w:marRight w:val="0"/>
      <w:marTop w:val="0"/>
      <w:marBottom w:val="0"/>
      <w:divBdr>
        <w:top w:val="none" w:sz="0" w:space="0" w:color="auto"/>
        <w:left w:val="none" w:sz="0" w:space="0" w:color="auto"/>
        <w:bottom w:val="none" w:sz="0" w:space="0" w:color="auto"/>
        <w:right w:val="none" w:sz="0" w:space="0" w:color="auto"/>
      </w:divBdr>
      <w:divsChild>
        <w:div w:id="1712806174">
          <w:marLeft w:val="0"/>
          <w:marRight w:val="0"/>
          <w:marTop w:val="0"/>
          <w:marBottom w:val="450"/>
          <w:divBdr>
            <w:top w:val="none" w:sz="0" w:space="0" w:color="auto"/>
            <w:left w:val="none" w:sz="0" w:space="0" w:color="auto"/>
            <w:bottom w:val="single" w:sz="6" w:space="19" w:color="EEEEEE"/>
            <w:right w:val="none" w:sz="0" w:space="0" w:color="auto"/>
          </w:divBdr>
          <w:divsChild>
            <w:div w:id="1975524515">
              <w:marLeft w:val="0"/>
              <w:marRight w:val="0"/>
              <w:marTop w:val="0"/>
              <w:marBottom w:val="150"/>
              <w:divBdr>
                <w:top w:val="none" w:sz="0" w:space="0" w:color="auto"/>
                <w:left w:val="none" w:sz="0" w:space="0" w:color="auto"/>
                <w:bottom w:val="none" w:sz="0" w:space="0" w:color="auto"/>
                <w:right w:val="none" w:sz="0" w:space="0" w:color="auto"/>
              </w:divBdr>
              <w:divsChild>
                <w:div w:id="853499867">
                  <w:marLeft w:val="0"/>
                  <w:marRight w:val="0"/>
                  <w:marTop w:val="0"/>
                  <w:marBottom w:val="0"/>
                  <w:divBdr>
                    <w:top w:val="none" w:sz="0" w:space="0" w:color="auto"/>
                    <w:left w:val="none" w:sz="0" w:space="0" w:color="auto"/>
                    <w:bottom w:val="none" w:sz="0" w:space="0" w:color="auto"/>
                    <w:right w:val="none" w:sz="0" w:space="0" w:color="auto"/>
                  </w:divBdr>
                </w:div>
              </w:divsChild>
            </w:div>
            <w:div w:id="925845768">
              <w:marLeft w:val="0"/>
              <w:marRight w:val="0"/>
              <w:marTop w:val="0"/>
              <w:marBottom w:val="0"/>
              <w:divBdr>
                <w:top w:val="none" w:sz="0" w:space="0" w:color="auto"/>
                <w:left w:val="none" w:sz="0" w:space="0" w:color="auto"/>
                <w:bottom w:val="none" w:sz="0" w:space="0" w:color="auto"/>
                <w:right w:val="none" w:sz="0" w:space="0" w:color="auto"/>
              </w:divBdr>
            </w:div>
          </w:divsChild>
        </w:div>
        <w:div w:id="1817720137">
          <w:marLeft w:val="0"/>
          <w:marRight w:val="0"/>
          <w:marTop w:val="0"/>
          <w:marBottom w:val="0"/>
          <w:divBdr>
            <w:top w:val="none" w:sz="0" w:space="0" w:color="auto"/>
            <w:left w:val="none" w:sz="0" w:space="0" w:color="auto"/>
            <w:bottom w:val="none" w:sz="0" w:space="0" w:color="auto"/>
            <w:right w:val="none" w:sz="0" w:space="0" w:color="auto"/>
          </w:divBdr>
          <w:divsChild>
            <w:div w:id="369306807">
              <w:marLeft w:val="0"/>
              <w:marRight w:val="0"/>
              <w:marTop w:val="0"/>
              <w:marBottom w:val="0"/>
              <w:divBdr>
                <w:top w:val="none" w:sz="0" w:space="0" w:color="auto"/>
                <w:left w:val="none" w:sz="0" w:space="0" w:color="auto"/>
                <w:bottom w:val="none" w:sz="0" w:space="0" w:color="auto"/>
                <w:right w:val="none" w:sz="0" w:space="0" w:color="auto"/>
              </w:divBdr>
              <w:divsChild>
                <w:div w:id="112986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7298">
      <w:bodyDiv w:val="1"/>
      <w:marLeft w:val="0"/>
      <w:marRight w:val="0"/>
      <w:marTop w:val="0"/>
      <w:marBottom w:val="0"/>
      <w:divBdr>
        <w:top w:val="none" w:sz="0" w:space="0" w:color="auto"/>
        <w:left w:val="none" w:sz="0" w:space="0" w:color="auto"/>
        <w:bottom w:val="none" w:sz="0" w:space="0" w:color="auto"/>
        <w:right w:val="none" w:sz="0" w:space="0" w:color="auto"/>
      </w:divBdr>
      <w:divsChild>
        <w:div w:id="1049649831">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2103138071">
              <w:marLeft w:val="0"/>
              <w:marRight w:val="0"/>
              <w:marTop w:val="300"/>
              <w:marBottom w:val="300"/>
              <w:divBdr>
                <w:top w:val="none" w:sz="0" w:space="0" w:color="auto"/>
                <w:left w:val="none" w:sz="0" w:space="0" w:color="auto"/>
                <w:bottom w:val="none" w:sz="0" w:space="0" w:color="auto"/>
                <w:right w:val="none" w:sz="0" w:space="0" w:color="auto"/>
              </w:divBdr>
              <w:divsChild>
                <w:div w:id="1135215406">
                  <w:marLeft w:val="0"/>
                  <w:marRight w:val="0"/>
                  <w:marTop w:val="0"/>
                  <w:marBottom w:val="0"/>
                  <w:divBdr>
                    <w:top w:val="none" w:sz="0" w:space="0" w:color="auto"/>
                    <w:left w:val="none" w:sz="0" w:space="0" w:color="auto"/>
                    <w:bottom w:val="none" w:sz="0" w:space="0" w:color="auto"/>
                    <w:right w:val="none" w:sz="0" w:space="0" w:color="auto"/>
                  </w:divBdr>
                  <w:divsChild>
                    <w:div w:id="1051465594">
                      <w:marLeft w:val="0"/>
                      <w:marRight w:val="0"/>
                      <w:marTop w:val="0"/>
                      <w:marBottom w:val="0"/>
                      <w:divBdr>
                        <w:top w:val="none" w:sz="0" w:space="0" w:color="auto"/>
                        <w:left w:val="none" w:sz="0" w:space="0" w:color="auto"/>
                        <w:bottom w:val="none" w:sz="0" w:space="0" w:color="auto"/>
                        <w:right w:val="none" w:sz="0" w:space="0" w:color="auto"/>
                      </w:divBdr>
                      <w:divsChild>
                        <w:div w:id="1081680670">
                          <w:marLeft w:val="0"/>
                          <w:marRight w:val="0"/>
                          <w:marTop w:val="0"/>
                          <w:marBottom w:val="0"/>
                          <w:divBdr>
                            <w:top w:val="none" w:sz="0" w:space="0" w:color="auto"/>
                            <w:left w:val="none" w:sz="0" w:space="0" w:color="auto"/>
                            <w:bottom w:val="none" w:sz="0" w:space="0" w:color="auto"/>
                            <w:right w:val="none" w:sz="0" w:space="0" w:color="auto"/>
                          </w:divBdr>
                          <w:divsChild>
                            <w:div w:id="1845971801">
                              <w:marLeft w:val="0"/>
                              <w:marRight w:val="0"/>
                              <w:marTop w:val="0"/>
                              <w:marBottom w:val="0"/>
                              <w:divBdr>
                                <w:top w:val="none" w:sz="0" w:space="0" w:color="auto"/>
                                <w:left w:val="none" w:sz="0" w:space="0" w:color="auto"/>
                                <w:bottom w:val="none" w:sz="0" w:space="0" w:color="auto"/>
                                <w:right w:val="none" w:sz="0" w:space="0" w:color="auto"/>
                              </w:divBdr>
                              <w:divsChild>
                                <w:div w:id="379793911">
                                  <w:marLeft w:val="0"/>
                                  <w:marRight w:val="0"/>
                                  <w:marTop w:val="0"/>
                                  <w:marBottom w:val="0"/>
                                  <w:divBdr>
                                    <w:top w:val="none" w:sz="0" w:space="0" w:color="auto"/>
                                    <w:left w:val="none" w:sz="0" w:space="0" w:color="auto"/>
                                    <w:bottom w:val="none" w:sz="0" w:space="0" w:color="auto"/>
                                    <w:right w:val="none" w:sz="0" w:space="0" w:color="auto"/>
                                  </w:divBdr>
                                  <w:divsChild>
                                    <w:div w:id="3820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0484960">
      <w:bodyDiv w:val="1"/>
      <w:marLeft w:val="0"/>
      <w:marRight w:val="0"/>
      <w:marTop w:val="0"/>
      <w:marBottom w:val="0"/>
      <w:divBdr>
        <w:top w:val="none" w:sz="0" w:space="0" w:color="auto"/>
        <w:left w:val="none" w:sz="0" w:space="0" w:color="auto"/>
        <w:bottom w:val="none" w:sz="0" w:space="0" w:color="auto"/>
        <w:right w:val="none" w:sz="0" w:space="0" w:color="auto"/>
      </w:divBdr>
    </w:div>
    <w:div w:id="1150559796">
      <w:bodyDiv w:val="1"/>
      <w:marLeft w:val="0"/>
      <w:marRight w:val="0"/>
      <w:marTop w:val="0"/>
      <w:marBottom w:val="0"/>
      <w:divBdr>
        <w:top w:val="none" w:sz="0" w:space="0" w:color="auto"/>
        <w:left w:val="none" w:sz="0" w:space="0" w:color="auto"/>
        <w:bottom w:val="none" w:sz="0" w:space="0" w:color="auto"/>
        <w:right w:val="none" w:sz="0" w:space="0" w:color="auto"/>
      </w:divBdr>
      <w:divsChild>
        <w:div w:id="684093293">
          <w:marLeft w:val="0"/>
          <w:marRight w:val="0"/>
          <w:marTop w:val="0"/>
          <w:marBottom w:val="0"/>
          <w:divBdr>
            <w:top w:val="none" w:sz="0" w:space="0" w:color="auto"/>
            <w:left w:val="none" w:sz="0" w:space="0" w:color="auto"/>
            <w:bottom w:val="none" w:sz="0" w:space="0" w:color="auto"/>
            <w:right w:val="none" w:sz="0" w:space="0" w:color="auto"/>
          </w:divBdr>
          <w:divsChild>
            <w:div w:id="598753282">
              <w:marLeft w:val="0"/>
              <w:marRight w:val="0"/>
              <w:marTop w:val="225"/>
              <w:marBottom w:val="225"/>
              <w:divBdr>
                <w:top w:val="none" w:sz="0" w:space="0" w:color="auto"/>
                <w:left w:val="none" w:sz="0" w:space="0" w:color="auto"/>
                <w:bottom w:val="none" w:sz="0" w:space="0" w:color="auto"/>
                <w:right w:val="none" w:sz="0" w:space="0" w:color="auto"/>
              </w:divBdr>
            </w:div>
          </w:divsChild>
        </w:div>
        <w:div w:id="1148011791">
          <w:marLeft w:val="0"/>
          <w:marRight w:val="0"/>
          <w:marTop w:val="0"/>
          <w:marBottom w:val="150"/>
          <w:divBdr>
            <w:top w:val="none" w:sz="0" w:space="0" w:color="auto"/>
            <w:left w:val="none" w:sz="0" w:space="0" w:color="auto"/>
            <w:bottom w:val="none" w:sz="0" w:space="0" w:color="auto"/>
            <w:right w:val="none" w:sz="0" w:space="0" w:color="auto"/>
          </w:divBdr>
          <w:divsChild>
            <w:div w:id="1890798325">
              <w:marLeft w:val="0"/>
              <w:marRight w:val="0"/>
              <w:marTop w:val="0"/>
              <w:marBottom w:val="0"/>
              <w:divBdr>
                <w:top w:val="none" w:sz="0" w:space="0" w:color="auto"/>
                <w:left w:val="none" w:sz="0" w:space="0" w:color="auto"/>
                <w:bottom w:val="none" w:sz="0" w:space="0" w:color="auto"/>
                <w:right w:val="none" w:sz="0" w:space="0" w:color="auto"/>
              </w:divBdr>
              <w:divsChild>
                <w:div w:id="115880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589060">
          <w:marLeft w:val="0"/>
          <w:marRight w:val="0"/>
          <w:marTop w:val="0"/>
          <w:marBottom w:val="150"/>
          <w:divBdr>
            <w:top w:val="none" w:sz="0" w:space="0" w:color="auto"/>
            <w:left w:val="none" w:sz="0" w:space="0" w:color="auto"/>
            <w:bottom w:val="none" w:sz="0" w:space="0" w:color="auto"/>
            <w:right w:val="none" w:sz="0" w:space="0" w:color="auto"/>
          </w:divBdr>
        </w:div>
      </w:divsChild>
    </w:div>
    <w:div w:id="1151017803">
      <w:bodyDiv w:val="1"/>
      <w:marLeft w:val="0"/>
      <w:marRight w:val="0"/>
      <w:marTop w:val="0"/>
      <w:marBottom w:val="0"/>
      <w:divBdr>
        <w:top w:val="none" w:sz="0" w:space="0" w:color="auto"/>
        <w:left w:val="none" w:sz="0" w:space="0" w:color="auto"/>
        <w:bottom w:val="none" w:sz="0" w:space="0" w:color="auto"/>
        <w:right w:val="none" w:sz="0" w:space="0" w:color="auto"/>
      </w:divBdr>
      <w:divsChild>
        <w:div w:id="286355796">
          <w:marLeft w:val="0"/>
          <w:marRight w:val="0"/>
          <w:marTop w:val="0"/>
          <w:marBottom w:val="0"/>
          <w:divBdr>
            <w:top w:val="none" w:sz="0" w:space="0" w:color="auto"/>
            <w:left w:val="none" w:sz="0" w:space="0" w:color="auto"/>
            <w:bottom w:val="none" w:sz="0" w:space="0" w:color="auto"/>
            <w:right w:val="none" w:sz="0" w:space="0" w:color="auto"/>
          </w:divBdr>
          <w:divsChild>
            <w:div w:id="430710236">
              <w:marLeft w:val="0"/>
              <w:marRight w:val="0"/>
              <w:marTop w:val="0"/>
              <w:marBottom w:val="0"/>
              <w:divBdr>
                <w:top w:val="none" w:sz="0" w:space="0" w:color="auto"/>
                <w:left w:val="none" w:sz="0" w:space="0" w:color="auto"/>
                <w:bottom w:val="none" w:sz="0" w:space="0" w:color="auto"/>
                <w:right w:val="none" w:sz="0" w:space="0" w:color="auto"/>
              </w:divBdr>
              <w:divsChild>
                <w:div w:id="175118105">
                  <w:marLeft w:val="0"/>
                  <w:marRight w:val="0"/>
                  <w:marTop w:val="0"/>
                  <w:marBottom w:val="0"/>
                  <w:divBdr>
                    <w:top w:val="none" w:sz="0" w:space="0" w:color="auto"/>
                    <w:left w:val="none" w:sz="0" w:space="0" w:color="auto"/>
                    <w:bottom w:val="none" w:sz="0" w:space="0" w:color="auto"/>
                    <w:right w:val="none" w:sz="0" w:space="0" w:color="auto"/>
                  </w:divBdr>
                  <w:divsChild>
                    <w:div w:id="1818263231">
                      <w:marLeft w:val="0"/>
                      <w:marRight w:val="0"/>
                      <w:marTop w:val="0"/>
                      <w:marBottom w:val="0"/>
                      <w:divBdr>
                        <w:top w:val="none" w:sz="0" w:space="0" w:color="auto"/>
                        <w:left w:val="none" w:sz="0" w:space="0" w:color="auto"/>
                        <w:bottom w:val="none" w:sz="0" w:space="0" w:color="auto"/>
                        <w:right w:val="none" w:sz="0" w:space="0" w:color="auto"/>
                      </w:divBdr>
                      <w:divsChild>
                        <w:div w:id="1360859043">
                          <w:marLeft w:val="0"/>
                          <w:marRight w:val="0"/>
                          <w:marTop w:val="0"/>
                          <w:marBottom w:val="0"/>
                          <w:divBdr>
                            <w:top w:val="none" w:sz="0" w:space="0" w:color="auto"/>
                            <w:left w:val="none" w:sz="0" w:space="0" w:color="auto"/>
                            <w:bottom w:val="none" w:sz="0" w:space="0" w:color="auto"/>
                            <w:right w:val="none" w:sz="0" w:space="0" w:color="auto"/>
                          </w:divBdr>
                          <w:divsChild>
                            <w:div w:id="1199513271">
                              <w:marLeft w:val="0"/>
                              <w:marRight w:val="0"/>
                              <w:marTop w:val="0"/>
                              <w:marBottom w:val="0"/>
                              <w:divBdr>
                                <w:top w:val="none" w:sz="0" w:space="0" w:color="auto"/>
                                <w:left w:val="none" w:sz="0" w:space="0" w:color="auto"/>
                                <w:bottom w:val="none" w:sz="0" w:space="0" w:color="auto"/>
                                <w:right w:val="none" w:sz="0" w:space="0" w:color="auto"/>
                              </w:divBdr>
                              <w:divsChild>
                                <w:div w:id="1619221195">
                                  <w:marLeft w:val="0"/>
                                  <w:marRight w:val="0"/>
                                  <w:marTop w:val="0"/>
                                  <w:marBottom w:val="0"/>
                                  <w:divBdr>
                                    <w:top w:val="none" w:sz="0" w:space="0" w:color="auto"/>
                                    <w:left w:val="none" w:sz="0" w:space="0" w:color="auto"/>
                                    <w:bottom w:val="none" w:sz="0" w:space="0" w:color="auto"/>
                                    <w:right w:val="none" w:sz="0" w:space="0" w:color="auto"/>
                                  </w:divBdr>
                                  <w:divsChild>
                                    <w:div w:id="195717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1291957">
      <w:bodyDiv w:val="1"/>
      <w:marLeft w:val="0"/>
      <w:marRight w:val="0"/>
      <w:marTop w:val="0"/>
      <w:marBottom w:val="0"/>
      <w:divBdr>
        <w:top w:val="none" w:sz="0" w:space="0" w:color="auto"/>
        <w:left w:val="none" w:sz="0" w:space="0" w:color="auto"/>
        <w:bottom w:val="none" w:sz="0" w:space="0" w:color="auto"/>
        <w:right w:val="none" w:sz="0" w:space="0" w:color="auto"/>
      </w:divBdr>
      <w:divsChild>
        <w:div w:id="297077692">
          <w:marLeft w:val="0"/>
          <w:marRight w:val="0"/>
          <w:marTop w:val="0"/>
          <w:marBottom w:val="150"/>
          <w:divBdr>
            <w:top w:val="none" w:sz="0" w:space="0" w:color="auto"/>
            <w:left w:val="none" w:sz="0" w:space="0" w:color="auto"/>
            <w:bottom w:val="none" w:sz="0" w:space="0" w:color="auto"/>
            <w:right w:val="none" w:sz="0" w:space="0" w:color="auto"/>
          </w:divBdr>
        </w:div>
      </w:divsChild>
    </w:div>
    <w:div w:id="1151364981">
      <w:bodyDiv w:val="1"/>
      <w:marLeft w:val="0"/>
      <w:marRight w:val="0"/>
      <w:marTop w:val="0"/>
      <w:marBottom w:val="0"/>
      <w:divBdr>
        <w:top w:val="none" w:sz="0" w:space="0" w:color="auto"/>
        <w:left w:val="none" w:sz="0" w:space="0" w:color="auto"/>
        <w:bottom w:val="none" w:sz="0" w:space="0" w:color="auto"/>
        <w:right w:val="none" w:sz="0" w:space="0" w:color="auto"/>
      </w:divBdr>
      <w:divsChild>
        <w:div w:id="470708984">
          <w:marLeft w:val="0"/>
          <w:marRight w:val="0"/>
          <w:marTop w:val="0"/>
          <w:marBottom w:val="0"/>
          <w:divBdr>
            <w:top w:val="none" w:sz="0" w:space="0" w:color="auto"/>
            <w:left w:val="none" w:sz="0" w:space="0" w:color="auto"/>
            <w:bottom w:val="none" w:sz="0" w:space="0" w:color="auto"/>
            <w:right w:val="none" w:sz="0" w:space="0" w:color="auto"/>
          </w:divBdr>
          <w:divsChild>
            <w:div w:id="14774525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51407479">
      <w:bodyDiv w:val="1"/>
      <w:marLeft w:val="0"/>
      <w:marRight w:val="0"/>
      <w:marTop w:val="0"/>
      <w:marBottom w:val="0"/>
      <w:divBdr>
        <w:top w:val="none" w:sz="0" w:space="0" w:color="auto"/>
        <w:left w:val="none" w:sz="0" w:space="0" w:color="auto"/>
        <w:bottom w:val="none" w:sz="0" w:space="0" w:color="auto"/>
        <w:right w:val="none" w:sz="0" w:space="0" w:color="auto"/>
      </w:divBdr>
    </w:div>
    <w:div w:id="1151410955">
      <w:bodyDiv w:val="1"/>
      <w:marLeft w:val="0"/>
      <w:marRight w:val="0"/>
      <w:marTop w:val="0"/>
      <w:marBottom w:val="0"/>
      <w:divBdr>
        <w:top w:val="none" w:sz="0" w:space="0" w:color="auto"/>
        <w:left w:val="none" w:sz="0" w:space="0" w:color="auto"/>
        <w:bottom w:val="none" w:sz="0" w:space="0" w:color="auto"/>
        <w:right w:val="none" w:sz="0" w:space="0" w:color="auto"/>
      </w:divBdr>
      <w:divsChild>
        <w:div w:id="753623082">
          <w:marLeft w:val="0"/>
          <w:marRight w:val="0"/>
          <w:marTop w:val="0"/>
          <w:marBottom w:val="150"/>
          <w:divBdr>
            <w:top w:val="none" w:sz="0" w:space="0" w:color="auto"/>
            <w:left w:val="none" w:sz="0" w:space="0" w:color="auto"/>
            <w:bottom w:val="none" w:sz="0" w:space="0" w:color="auto"/>
            <w:right w:val="none" w:sz="0" w:space="0" w:color="auto"/>
          </w:divBdr>
        </w:div>
      </w:divsChild>
    </w:div>
    <w:div w:id="1151673181">
      <w:bodyDiv w:val="1"/>
      <w:marLeft w:val="0"/>
      <w:marRight w:val="0"/>
      <w:marTop w:val="0"/>
      <w:marBottom w:val="0"/>
      <w:divBdr>
        <w:top w:val="none" w:sz="0" w:space="0" w:color="auto"/>
        <w:left w:val="none" w:sz="0" w:space="0" w:color="auto"/>
        <w:bottom w:val="none" w:sz="0" w:space="0" w:color="auto"/>
        <w:right w:val="none" w:sz="0" w:space="0" w:color="auto"/>
      </w:divBdr>
      <w:divsChild>
        <w:div w:id="2145194651">
          <w:marLeft w:val="0"/>
          <w:marRight w:val="0"/>
          <w:marTop w:val="0"/>
          <w:marBottom w:val="0"/>
          <w:divBdr>
            <w:top w:val="none" w:sz="0" w:space="0" w:color="auto"/>
            <w:left w:val="none" w:sz="0" w:space="0" w:color="auto"/>
            <w:bottom w:val="dotted" w:sz="6" w:space="4" w:color="DDDDDD"/>
            <w:right w:val="none" w:sz="0" w:space="0" w:color="auto"/>
          </w:divBdr>
        </w:div>
      </w:divsChild>
    </w:div>
    <w:div w:id="1151752376">
      <w:bodyDiv w:val="1"/>
      <w:marLeft w:val="0"/>
      <w:marRight w:val="0"/>
      <w:marTop w:val="0"/>
      <w:marBottom w:val="0"/>
      <w:divBdr>
        <w:top w:val="none" w:sz="0" w:space="0" w:color="auto"/>
        <w:left w:val="none" w:sz="0" w:space="0" w:color="auto"/>
        <w:bottom w:val="none" w:sz="0" w:space="0" w:color="auto"/>
        <w:right w:val="none" w:sz="0" w:space="0" w:color="auto"/>
      </w:divBdr>
      <w:divsChild>
        <w:div w:id="675159502">
          <w:marLeft w:val="0"/>
          <w:marRight w:val="0"/>
          <w:marTop w:val="0"/>
          <w:marBottom w:val="150"/>
          <w:divBdr>
            <w:top w:val="none" w:sz="0" w:space="0" w:color="auto"/>
            <w:left w:val="none" w:sz="0" w:space="0" w:color="auto"/>
            <w:bottom w:val="none" w:sz="0" w:space="0" w:color="auto"/>
            <w:right w:val="none" w:sz="0" w:space="0" w:color="auto"/>
          </w:divBdr>
        </w:div>
        <w:div w:id="1781799956">
          <w:marLeft w:val="0"/>
          <w:marRight w:val="0"/>
          <w:marTop w:val="0"/>
          <w:marBottom w:val="0"/>
          <w:divBdr>
            <w:top w:val="none" w:sz="0" w:space="0" w:color="auto"/>
            <w:left w:val="none" w:sz="0" w:space="0" w:color="auto"/>
            <w:bottom w:val="none" w:sz="0" w:space="0" w:color="auto"/>
            <w:right w:val="none" w:sz="0" w:space="0" w:color="auto"/>
          </w:divBdr>
        </w:div>
      </w:divsChild>
    </w:div>
    <w:div w:id="1151946689">
      <w:bodyDiv w:val="1"/>
      <w:marLeft w:val="0"/>
      <w:marRight w:val="0"/>
      <w:marTop w:val="0"/>
      <w:marBottom w:val="0"/>
      <w:divBdr>
        <w:top w:val="none" w:sz="0" w:space="0" w:color="auto"/>
        <w:left w:val="none" w:sz="0" w:space="0" w:color="auto"/>
        <w:bottom w:val="none" w:sz="0" w:space="0" w:color="auto"/>
        <w:right w:val="none" w:sz="0" w:space="0" w:color="auto"/>
      </w:divBdr>
      <w:divsChild>
        <w:div w:id="397242407">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688412699">
              <w:marLeft w:val="0"/>
              <w:marRight w:val="0"/>
              <w:marTop w:val="300"/>
              <w:marBottom w:val="300"/>
              <w:divBdr>
                <w:top w:val="none" w:sz="0" w:space="0" w:color="auto"/>
                <w:left w:val="none" w:sz="0" w:space="0" w:color="auto"/>
                <w:bottom w:val="none" w:sz="0" w:space="0" w:color="auto"/>
                <w:right w:val="none" w:sz="0" w:space="0" w:color="auto"/>
              </w:divBdr>
              <w:divsChild>
                <w:div w:id="1111897700">
                  <w:marLeft w:val="0"/>
                  <w:marRight w:val="0"/>
                  <w:marTop w:val="0"/>
                  <w:marBottom w:val="0"/>
                  <w:divBdr>
                    <w:top w:val="none" w:sz="0" w:space="0" w:color="auto"/>
                    <w:left w:val="none" w:sz="0" w:space="0" w:color="auto"/>
                    <w:bottom w:val="none" w:sz="0" w:space="0" w:color="auto"/>
                    <w:right w:val="none" w:sz="0" w:space="0" w:color="auto"/>
                  </w:divBdr>
                  <w:divsChild>
                    <w:div w:id="997995135">
                      <w:marLeft w:val="0"/>
                      <w:marRight w:val="0"/>
                      <w:marTop w:val="0"/>
                      <w:marBottom w:val="0"/>
                      <w:divBdr>
                        <w:top w:val="none" w:sz="0" w:space="0" w:color="auto"/>
                        <w:left w:val="none" w:sz="0" w:space="0" w:color="auto"/>
                        <w:bottom w:val="none" w:sz="0" w:space="0" w:color="auto"/>
                        <w:right w:val="none" w:sz="0" w:space="0" w:color="auto"/>
                      </w:divBdr>
                      <w:divsChild>
                        <w:div w:id="18680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2020369">
      <w:bodyDiv w:val="1"/>
      <w:marLeft w:val="0"/>
      <w:marRight w:val="0"/>
      <w:marTop w:val="0"/>
      <w:marBottom w:val="0"/>
      <w:divBdr>
        <w:top w:val="none" w:sz="0" w:space="0" w:color="auto"/>
        <w:left w:val="none" w:sz="0" w:space="0" w:color="auto"/>
        <w:bottom w:val="none" w:sz="0" w:space="0" w:color="auto"/>
        <w:right w:val="none" w:sz="0" w:space="0" w:color="auto"/>
      </w:divBdr>
    </w:div>
    <w:div w:id="1152213797">
      <w:bodyDiv w:val="1"/>
      <w:marLeft w:val="0"/>
      <w:marRight w:val="0"/>
      <w:marTop w:val="0"/>
      <w:marBottom w:val="0"/>
      <w:divBdr>
        <w:top w:val="none" w:sz="0" w:space="0" w:color="auto"/>
        <w:left w:val="none" w:sz="0" w:space="0" w:color="auto"/>
        <w:bottom w:val="none" w:sz="0" w:space="0" w:color="auto"/>
        <w:right w:val="none" w:sz="0" w:space="0" w:color="auto"/>
      </w:divBdr>
      <w:divsChild>
        <w:div w:id="785195776">
          <w:marLeft w:val="0"/>
          <w:marRight w:val="0"/>
          <w:marTop w:val="0"/>
          <w:marBottom w:val="0"/>
          <w:divBdr>
            <w:top w:val="none" w:sz="0" w:space="0" w:color="auto"/>
            <w:left w:val="none" w:sz="0" w:space="0" w:color="auto"/>
            <w:bottom w:val="none" w:sz="0" w:space="0" w:color="auto"/>
            <w:right w:val="none" w:sz="0" w:space="0" w:color="auto"/>
          </w:divBdr>
          <w:divsChild>
            <w:div w:id="367684381">
              <w:marLeft w:val="0"/>
              <w:marRight w:val="0"/>
              <w:marTop w:val="0"/>
              <w:marBottom w:val="150"/>
              <w:divBdr>
                <w:top w:val="none" w:sz="0" w:space="0" w:color="auto"/>
                <w:left w:val="none" w:sz="0" w:space="0" w:color="auto"/>
                <w:bottom w:val="none" w:sz="0" w:space="0" w:color="auto"/>
                <w:right w:val="none" w:sz="0" w:space="0" w:color="auto"/>
              </w:divBdr>
            </w:div>
            <w:div w:id="2069331424">
              <w:marLeft w:val="0"/>
              <w:marRight w:val="0"/>
              <w:marTop w:val="0"/>
              <w:marBottom w:val="0"/>
              <w:divBdr>
                <w:top w:val="none" w:sz="0" w:space="0" w:color="auto"/>
                <w:left w:val="none" w:sz="0" w:space="0" w:color="auto"/>
                <w:bottom w:val="none" w:sz="0" w:space="0" w:color="auto"/>
                <w:right w:val="none" w:sz="0" w:space="0" w:color="auto"/>
              </w:divBdr>
              <w:divsChild>
                <w:div w:id="17740071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89297802">
          <w:marLeft w:val="0"/>
          <w:marRight w:val="0"/>
          <w:marTop w:val="0"/>
          <w:marBottom w:val="150"/>
          <w:divBdr>
            <w:top w:val="none" w:sz="0" w:space="0" w:color="auto"/>
            <w:left w:val="none" w:sz="0" w:space="0" w:color="auto"/>
            <w:bottom w:val="none" w:sz="0" w:space="0" w:color="auto"/>
            <w:right w:val="none" w:sz="0" w:space="0" w:color="auto"/>
          </w:divBdr>
          <w:divsChild>
            <w:div w:id="1852252809">
              <w:marLeft w:val="0"/>
              <w:marRight w:val="0"/>
              <w:marTop w:val="0"/>
              <w:marBottom w:val="0"/>
              <w:divBdr>
                <w:top w:val="none" w:sz="0" w:space="0" w:color="auto"/>
                <w:left w:val="none" w:sz="0" w:space="0" w:color="auto"/>
                <w:bottom w:val="none" w:sz="0" w:space="0" w:color="auto"/>
                <w:right w:val="none" w:sz="0" w:space="0" w:color="auto"/>
              </w:divBdr>
              <w:divsChild>
                <w:div w:id="151391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215056">
      <w:bodyDiv w:val="1"/>
      <w:marLeft w:val="0"/>
      <w:marRight w:val="0"/>
      <w:marTop w:val="0"/>
      <w:marBottom w:val="0"/>
      <w:divBdr>
        <w:top w:val="none" w:sz="0" w:space="0" w:color="auto"/>
        <w:left w:val="none" w:sz="0" w:space="0" w:color="auto"/>
        <w:bottom w:val="none" w:sz="0" w:space="0" w:color="auto"/>
        <w:right w:val="none" w:sz="0" w:space="0" w:color="auto"/>
      </w:divBdr>
      <w:divsChild>
        <w:div w:id="2090884852">
          <w:marLeft w:val="0"/>
          <w:marRight w:val="0"/>
          <w:marTop w:val="0"/>
          <w:marBottom w:val="0"/>
          <w:divBdr>
            <w:top w:val="none" w:sz="0" w:space="0" w:color="auto"/>
            <w:left w:val="none" w:sz="0" w:space="0" w:color="auto"/>
            <w:bottom w:val="none" w:sz="0" w:space="0" w:color="auto"/>
            <w:right w:val="none" w:sz="0" w:space="0" w:color="auto"/>
          </w:divBdr>
          <w:divsChild>
            <w:div w:id="1564219170">
              <w:marLeft w:val="0"/>
              <w:marRight w:val="0"/>
              <w:marTop w:val="0"/>
              <w:marBottom w:val="0"/>
              <w:divBdr>
                <w:top w:val="none" w:sz="0" w:space="0" w:color="auto"/>
                <w:left w:val="none" w:sz="0" w:space="0" w:color="auto"/>
                <w:bottom w:val="none" w:sz="0" w:space="0" w:color="auto"/>
                <w:right w:val="none" w:sz="0" w:space="0" w:color="auto"/>
              </w:divBdr>
            </w:div>
          </w:divsChild>
        </w:div>
        <w:div w:id="1346788036">
          <w:marLeft w:val="0"/>
          <w:marRight w:val="0"/>
          <w:marTop w:val="240"/>
          <w:marBottom w:val="0"/>
          <w:divBdr>
            <w:top w:val="none" w:sz="0" w:space="0" w:color="auto"/>
            <w:left w:val="none" w:sz="0" w:space="0" w:color="auto"/>
            <w:bottom w:val="none" w:sz="0" w:space="0" w:color="auto"/>
            <w:right w:val="none" w:sz="0" w:space="0" w:color="auto"/>
          </w:divBdr>
        </w:div>
      </w:divsChild>
    </w:div>
    <w:div w:id="1152452156">
      <w:bodyDiv w:val="1"/>
      <w:marLeft w:val="0"/>
      <w:marRight w:val="0"/>
      <w:marTop w:val="0"/>
      <w:marBottom w:val="0"/>
      <w:divBdr>
        <w:top w:val="none" w:sz="0" w:space="0" w:color="auto"/>
        <w:left w:val="none" w:sz="0" w:space="0" w:color="auto"/>
        <w:bottom w:val="none" w:sz="0" w:space="0" w:color="auto"/>
        <w:right w:val="none" w:sz="0" w:space="0" w:color="auto"/>
      </w:divBdr>
    </w:div>
    <w:div w:id="1152529307">
      <w:bodyDiv w:val="1"/>
      <w:marLeft w:val="0"/>
      <w:marRight w:val="0"/>
      <w:marTop w:val="0"/>
      <w:marBottom w:val="0"/>
      <w:divBdr>
        <w:top w:val="none" w:sz="0" w:space="0" w:color="auto"/>
        <w:left w:val="none" w:sz="0" w:space="0" w:color="auto"/>
        <w:bottom w:val="none" w:sz="0" w:space="0" w:color="auto"/>
        <w:right w:val="none" w:sz="0" w:space="0" w:color="auto"/>
      </w:divBdr>
    </w:div>
    <w:div w:id="1153524535">
      <w:bodyDiv w:val="1"/>
      <w:marLeft w:val="0"/>
      <w:marRight w:val="0"/>
      <w:marTop w:val="0"/>
      <w:marBottom w:val="0"/>
      <w:divBdr>
        <w:top w:val="none" w:sz="0" w:space="0" w:color="auto"/>
        <w:left w:val="none" w:sz="0" w:space="0" w:color="auto"/>
        <w:bottom w:val="none" w:sz="0" w:space="0" w:color="auto"/>
        <w:right w:val="none" w:sz="0" w:space="0" w:color="auto"/>
      </w:divBdr>
      <w:divsChild>
        <w:div w:id="1405642237">
          <w:marLeft w:val="0"/>
          <w:marRight w:val="0"/>
          <w:marTop w:val="0"/>
          <w:marBottom w:val="150"/>
          <w:divBdr>
            <w:top w:val="none" w:sz="0" w:space="0" w:color="auto"/>
            <w:left w:val="none" w:sz="0" w:space="0" w:color="auto"/>
            <w:bottom w:val="none" w:sz="0" w:space="0" w:color="auto"/>
            <w:right w:val="none" w:sz="0" w:space="0" w:color="auto"/>
          </w:divBdr>
        </w:div>
      </w:divsChild>
    </w:div>
    <w:div w:id="1153831306">
      <w:bodyDiv w:val="1"/>
      <w:marLeft w:val="0"/>
      <w:marRight w:val="0"/>
      <w:marTop w:val="0"/>
      <w:marBottom w:val="0"/>
      <w:divBdr>
        <w:top w:val="none" w:sz="0" w:space="0" w:color="auto"/>
        <w:left w:val="none" w:sz="0" w:space="0" w:color="auto"/>
        <w:bottom w:val="none" w:sz="0" w:space="0" w:color="auto"/>
        <w:right w:val="none" w:sz="0" w:space="0" w:color="auto"/>
      </w:divBdr>
    </w:div>
    <w:div w:id="1156796261">
      <w:bodyDiv w:val="1"/>
      <w:marLeft w:val="0"/>
      <w:marRight w:val="0"/>
      <w:marTop w:val="0"/>
      <w:marBottom w:val="0"/>
      <w:divBdr>
        <w:top w:val="none" w:sz="0" w:space="0" w:color="auto"/>
        <w:left w:val="none" w:sz="0" w:space="0" w:color="auto"/>
        <w:bottom w:val="none" w:sz="0" w:space="0" w:color="auto"/>
        <w:right w:val="none" w:sz="0" w:space="0" w:color="auto"/>
      </w:divBdr>
    </w:div>
    <w:div w:id="1157376194">
      <w:bodyDiv w:val="1"/>
      <w:marLeft w:val="0"/>
      <w:marRight w:val="0"/>
      <w:marTop w:val="0"/>
      <w:marBottom w:val="0"/>
      <w:divBdr>
        <w:top w:val="none" w:sz="0" w:space="0" w:color="auto"/>
        <w:left w:val="none" w:sz="0" w:space="0" w:color="auto"/>
        <w:bottom w:val="none" w:sz="0" w:space="0" w:color="auto"/>
        <w:right w:val="none" w:sz="0" w:space="0" w:color="auto"/>
      </w:divBdr>
      <w:divsChild>
        <w:div w:id="52627732">
          <w:marLeft w:val="0"/>
          <w:marRight w:val="0"/>
          <w:marTop w:val="0"/>
          <w:marBottom w:val="0"/>
          <w:divBdr>
            <w:top w:val="none" w:sz="0" w:space="0" w:color="auto"/>
            <w:left w:val="none" w:sz="0" w:space="0" w:color="auto"/>
            <w:bottom w:val="none" w:sz="0" w:space="0" w:color="auto"/>
            <w:right w:val="none" w:sz="0" w:space="0" w:color="auto"/>
          </w:divBdr>
          <w:divsChild>
            <w:div w:id="76100508">
              <w:marLeft w:val="0"/>
              <w:marRight w:val="0"/>
              <w:marTop w:val="0"/>
              <w:marBottom w:val="0"/>
              <w:divBdr>
                <w:top w:val="none" w:sz="0" w:space="0" w:color="auto"/>
                <w:left w:val="none" w:sz="0" w:space="0" w:color="auto"/>
                <w:bottom w:val="none" w:sz="0" w:space="0" w:color="auto"/>
                <w:right w:val="none" w:sz="0" w:space="0" w:color="auto"/>
              </w:divBdr>
              <w:divsChild>
                <w:div w:id="1602448021">
                  <w:marLeft w:val="0"/>
                  <w:marRight w:val="0"/>
                  <w:marTop w:val="0"/>
                  <w:marBottom w:val="0"/>
                  <w:divBdr>
                    <w:top w:val="none" w:sz="0" w:space="0" w:color="auto"/>
                    <w:left w:val="none" w:sz="0" w:space="0" w:color="auto"/>
                    <w:bottom w:val="none" w:sz="0" w:space="0" w:color="auto"/>
                    <w:right w:val="none" w:sz="0" w:space="0" w:color="auto"/>
                  </w:divBdr>
                  <w:divsChild>
                    <w:div w:id="1828545635">
                      <w:marLeft w:val="0"/>
                      <w:marRight w:val="0"/>
                      <w:marTop w:val="0"/>
                      <w:marBottom w:val="0"/>
                      <w:divBdr>
                        <w:top w:val="none" w:sz="0" w:space="0" w:color="auto"/>
                        <w:left w:val="none" w:sz="0" w:space="0" w:color="auto"/>
                        <w:bottom w:val="none" w:sz="0" w:space="0" w:color="auto"/>
                        <w:right w:val="none" w:sz="0" w:space="0" w:color="auto"/>
                      </w:divBdr>
                      <w:divsChild>
                        <w:div w:id="706875222">
                          <w:marLeft w:val="0"/>
                          <w:marRight w:val="0"/>
                          <w:marTop w:val="0"/>
                          <w:marBottom w:val="0"/>
                          <w:divBdr>
                            <w:top w:val="none" w:sz="0" w:space="0" w:color="auto"/>
                            <w:left w:val="none" w:sz="0" w:space="0" w:color="auto"/>
                            <w:bottom w:val="none" w:sz="0" w:space="0" w:color="auto"/>
                            <w:right w:val="none" w:sz="0" w:space="0" w:color="auto"/>
                          </w:divBdr>
                          <w:divsChild>
                            <w:div w:id="1658655626">
                              <w:marLeft w:val="0"/>
                              <w:marRight w:val="0"/>
                              <w:marTop w:val="0"/>
                              <w:marBottom w:val="0"/>
                              <w:divBdr>
                                <w:top w:val="none" w:sz="0" w:space="0" w:color="auto"/>
                                <w:left w:val="none" w:sz="0" w:space="0" w:color="auto"/>
                                <w:bottom w:val="none" w:sz="0" w:space="0" w:color="auto"/>
                                <w:right w:val="none" w:sz="0" w:space="0" w:color="auto"/>
                              </w:divBdr>
                              <w:divsChild>
                                <w:div w:id="797144779">
                                  <w:marLeft w:val="0"/>
                                  <w:marRight w:val="0"/>
                                  <w:marTop w:val="0"/>
                                  <w:marBottom w:val="0"/>
                                  <w:divBdr>
                                    <w:top w:val="none" w:sz="0" w:space="0" w:color="auto"/>
                                    <w:left w:val="none" w:sz="0" w:space="0" w:color="auto"/>
                                    <w:bottom w:val="none" w:sz="0" w:space="0" w:color="auto"/>
                                    <w:right w:val="none" w:sz="0" w:space="0" w:color="auto"/>
                                  </w:divBdr>
                                  <w:divsChild>
                                    <w:div w:id="167517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158051">
      <w:bodyDiv w:val="1"/>
      <w:marLeft w:val="0"/>
      <w:marRight w:val="0"/>
      <w:marTop w:val="0"/>
      <w:marBottom w:val="0"/>
      <w:divBdr>
        <w:top w:val="none" w:sz="0" w:space="0" w:color="auto"/>
        <w:left w:val="none" w:sz="0" w:space="0" w:color="auto"/>
        <w:bottom w:val="none" w:sz="0" w:space="0" w:color="auto"/>
        <w:right w:val="none" w:sz="0" w:space="0" w:color="auto"/>
      </w:divBdr>
      <w:divsChild>
        <w:div w:id="3867173">
          <w:marLeft w:val="0"/>
          <w:marRight w:val="0"/>
          <w:marTop w:val="0"/>
          <w:marBottom w:val="0"/>
          <w:divBdr>
            <w:top w:val="none" w:sz="0" w:space="0" w:color="auto"/>
            <w:left w:val="none" w:sz="0" w:space="0" w:color="auto"/>
            <w:bottom w:val="none" w:sz="0" w:space="0" w:color="auto"/>
            <w:right w:val="none" w:sz="0" w:space="0" w:color="auto"/>
          </w:divBdr>
        </w:div>
      </w:divsChild>
    </w:div>
    <w:div w:id="1158615426">
      <w:bodyDiv w:val="1"/>
      <w:marLeft w:val="0"/>
      <w:marRight w:val="0"/>
      <w:marTop w:val="0"/>
      <w:marBottom w:val="0"/>
      <w:divBdr>
        <w:top w:val="none" w:sz="0" w:space="0" w:color="auto"/>
        <w:left w:val="none" w:sz="0" w:space="0" w:color="auto"/>
        <w:bottom w:val="none" w:sz="0" w:space="0" w:color="auto"/>
        <w:right w:val="none" w:sz="0" w:space="0" w:color="auto"/>
      </w:divBdr>
      <w:divsChild>
        <w:div w:id="604269841">
          <w:marLeft w:val="0"/>
          <w:marRight w:val="0"/>
          <w:marTop w:val="0"/>
          <w:marBottom w:val="300"/>
          <w:divBdr>
            <w:top w:val="none" w:sz="0" w:space="0" w:color="auto"/>
            <w:left w:val="none" w:sz="0" w:space="0" w:color="auto"/>
            <w:bottom w:val="none" w:sz="0" w:space="0" w:color="auto"/>
            <w:right w:val="none" w:sz="0" w:space="0" w:color="auto"/>
          </w:divBdr>
          <w:divsChild>
            <w:div w:id="434786037">
              <w:marLeft w:val="0"/>
              <w:marRight w:val="0"/>
              <w:marTop w:val="0"/>
              <w:marBottom w:val="0"/>
              <w:divBdr>
                <w:top w:val="none" w:sz="0" w:space="0" w:color="auto"/>
                <w:left w:val="none" w:sz="0" w:space="0" w:color="auto"/>
                <w:bottom w:val="none" w:sz="0" w:space="0" w:color="auto"/>
                <w:right w:val="none" w:sz="0" w:space="0" w:color="auto"/>
              </w:divBdr>
            </w:div>
          </w:divsChild>
        </w:div>
        <w:div w:id="1393892465">
          <w:marLeft w:val="0"/>
          <w:marRight w:val="0"/>
          <w:marTop w:val="0"/>
          <w:marBottom w:val="75"/>
          <w:divBdr>
            <w:top w:val="none" w:sz="0" w:space="0" w:color="auto"/>
            <w:left w:val="none" w:sz="0" w:space="0" w:color="auto"/>
            <w:bottom w:val="none" w:sz="0" w:space="0" w:color="auto"/>
            <w:right w:val="none" w:sz="0" w:space="0" w:color="auto"/>
          </w:divBdr>
        </w:div>
        <w:div w:id="1413432700">
          <w:marLeft w:val="0"/>
          <w:marRight w:val="0"/>
          <w:marTop w:val="0"/>
          <w:marBottom w:val="0"/>
          <w:divBdr>
            <w:top w:val="none" w:sz="0" w:space="0" w:color="auto"/>
            <w:left w:val="none" w:sz="0" w:space="0" w:color="auto"/>
            <w:bottom w:val="none" w:sz="0" w:space="0" w:color="auto"/>
            <w:right w:val="none" w:sz="0" w:space="0" w:color="auto"/>
          </w:divBdr>
        </w:div>
        <w:div w:id="1432582888">
          <w:marLeft w:val="0"/>
          <w:marRight w:val="0"/>
          <w:marTop w:val="0"/>
          <w:marBottom w:val="0"/>
          <w:divBdr>
            <w:top w:val="none" w:sz="0" w:space="0" w:color="auto"/>
            <w:left w:val="none" w:sz="0" w:space="0" w:color="auto"/>
            <w:bottom w:val="none" w:sz="0" w:space="0" w:color="auto"/>
            <w:right w:val="none" w:sz="0" w:space="0" w:color="auto"/>
          </w:divBdr>
          <w:divsChild>
            <w:div w:id="835026808">
              <w:marLeft w:val="0"/>
              <w:marRight w:val="0"/>
              <w:marTop w:val="0"/>
              <w:marBottom w:val="0"/>
              <w:divBdr>
                <w:top w:val="none" w:sz="0" w:space="0" w:color="auto"/>
                <w:left w:val="none" w:sz="0" w:space="0" w:color="auto"/>
                <w:bottom w:val="none" w:sz="0" w:space="0" w:color="auto"/>
                <w:right w:val="none" w:sz="0" w:space="0" w:color="auto"/>
              </w:divBdr>
              <w:divsChild>
                <w:div w:id="79603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342975">
      <w:bodyDiv w:val="1"/>
      <w:marLeft w:val="0"/>
      <w:marRight w:val="0"/>
      <w:marTop w:val="0"/>
      <w:marBottom w:val="0"/>
      <w:divBdr>
        <w:top w:val="none" w:sz="0" w:space="0" w:color="auto"/>
        <w:left w:val="none" w:sz="0" w:space="0" w:color="auto"/>
        <w:bottom w:val="none" w:sz="0" w:space="0" w:color="auto"/>
        <w:right w:val="none" w:sz="0" w:space="0" w:color="auto"/>
      </w:divBdr>
    </w:div>
    <w:div w:id="1159883569">
      <w:bodyDiv w:val="1"/>
      <w:marLeft w:val="0"/>
      <w:marRight w:val="0"/>
      <w:marTop w:val="0"/>
      <w:marBottom w:val="0"/>
      <w:divBdr>
        <w:top w:val="none" w:sz="0" w:space="0" w:color="auto"/>
        <w:left w:val="none" w:sz="0" w:space="0" w:color="auto"/>
        <w:bottom w:val="none" w:sz="0" w:space="0" w:color="auto"/>
        <w:right w:val="none" w:sz="0" w:space="0" w:color="auto"/>
      </w:divBdr>
      <w:divsChild>
        <w:div w:id="1164274197">
          <w:marLeft w:val="0"/>
          <w:marRight w:val="0"/>
          <w:marTop w:val="0"/>
          <w:marBottom w:val="0"/>
          <w:divBdr>
            <w:top w:val="none" w:sz="0" w:space="0" w:color="auto"/>
            <w:left w:val="none" w:sz="0" w:space="0" w:color="auto"/>
            <w:bottom w:val="dotted" w:sz="6" w:space="4" w:color="DDDDDD"/>
            <w:right w:val="none" w:sz="0" w:space="0" w:color="auto"/>
          </w:divBdr>
          <w:divsChild>
            <w:div w:id="15722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926113">
      <w:bodyDiv w:val="1"/>
      <w:marLeft w:val="0"/>
      <w:marRight w:val="0"/>
      <w:marTop w:val="0"/>
      <w:marBottom w:val="0"/>
      <w:divBdr>
        <w:top w:val="none" w:sz="0" w:space="0" w:color="auto"/>
        <w:left w:val="none" w:sz="0" w:space="0" w:color="auto"/>
        <w:bottom w:val="none" w:sz="0" w:space="0" w:color="auto"/>
        <w:right w:val="none" w:sz="0" w:space="0" w:color="auto"/>
      </w:divBdr>
    </w:div>
    <w:div w:id="1160148314">
      <w:bodyDiv w:val="1"/>
      <w:marLeft w:val="0"/>
      <w:marRight w:val="0"/>
      <w:marTop w:val="0"/>
      <w:marBottom w:val="0"/>
      <w:divBdr>
        <w:top w:val="none" w:sz="0" w:space="0" w:color="auto"/>
        <w:left w:val="none" w:sz="0" w:space="0" w:color="auto"/>
        <w:bottom w:val="none" w:sz="0" w:space="0" w:color="auto"/>
        <w:right w:val="none" w:sz="0" w:space="0" w:color="auto"/>
      </w:divBdr>
      <w:divsChild>
        <w:div w:id="1896235888">
          <w:marLeft w:val="0"/>
          <w:marRight w:val="0"/>
          <w:marTop w:val="0"/>
          <w:marBottom w:val="0"/>
          <w:divBdr>
            <w:top w:val="none" w:sz="0" w:space="0" w:color="auto"/>
            <w:left w:val="none" w:sz="0" w:space="0" w:color="auto"/>
            <w:bottom w:val="none" w:sz="0" w:space="0" w:color="auto"/>
            <w:right w:val="none" w:sz="0" w:space="0" w:color="auto"/>
          </w:divBdr>
          <w:divsChild>
            <w:div w:id="178889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266360">
      <w:bodyDiv w:val="1"/>
      <w:marLeft w:val="0"/>
      <w:marRight w:val="0"/>
      <w:marTop w:val="0"/>
      <w:marBottom w:val="0"/>
      <w:divBdr>
        <w:top w:val="none" w:sz="0" w:space="0" w:color="auto"/>
        <w:left w:val="none" w:sz="0" w:space="0" w:color="auto"/>
        <w:bottom w:val="none" w:sz="0" w:space="0" w:color="auto"/>
        <w:right w:val="none" w:sz="0" w:space="0" w:color="auto"/>
      </w:divBdr>
      <w:divsChild>
        <w:div w:id="104472693">
          <w:marLeft w:val="0"/>
          <w:marRight w:val="0"/>
          <w:marTop w:val="0"/>
          <w:marBottom w:val="0"/>
          <w:divBdr>
            <w:top w:val="none" w:sz="0" w:space="0" w:color="auto"/>
            <w:left w:val="none" w:sz="0" w:space="0" w:color="auto"/>
            <w:bottom w:val="dotted" w:sz="6" w:space="4" w:color="DDDDDD"/>
            <w:right w:val="none" w:sz="0" w:space="0" w:color="auto"/>
          </w:divBdr>
        </w:div>
      </w:divsChild>
    </w:div>
    <w:div w:id="1160538692">
      <w:bodyDiv w:val="1"/>
      <w:marLeft w:val="0"/>
      <w:marRight w:val="0"/>
      <w:marTop w:val="0"/>
      <w:marBottom w:val="0"/>
      <w:divBdr>
        <w:top w:val="none" w:sz="0" w:space="0" w:color="auto"/>
        <w:left w:val="none" w:sz="0" w:space="0" w:color="auto"/>
        <w:bottom w:val="none" w:sz="0" w:space="0" w:color="auto"/>
        <w:right w:val="none" w:sz="0" w:space="0" w:color="auto"/>
      </w:divBdr>
    </w:div>
    <w:div w:id="1160998956">
      <w:bodyDiv w:val="1"/>
      <w:marLeft w:val="0"/>
      <w:marRight w:val="0"/>
      <w:marTop w:val="0"/>
      <w:marBottom w:val="0"/>
      <w:divBdr>
        <w:top w:val="none" w:sz="0" w:space="0" w:color="auto"/>
        <w:left w:val="none" w:sz="0" w:space="0" w:color="auto"/>
        <w:bottom w:val="none" w:sz="0" w:space="0" w:color="auto"/>
        <w:right w:val="none" w:sz="0" w:space="0" w:color="auto"/>
      </w:divBdr>
      <w:divsChild>
        <w:div w:id="724331529">
          <w:marLeft w:val="0"/>
          <w:marRight w:val="0"/>
          <w:marTop w:val="0"/>
          <w:marBottom w:val="0"/>
          <w:divBdr>
            <w:top w:val="none" w:sz="0" w:space="0" w:color="auto"/>
            <w:left w:val="none" w:sz="0" w:space="0" w:color="auto"/>
            <w:bottom w:val="dotted" w:sz="6" w:space="4" w:color="DDDDDD"/>
            <w:right w:val="none" w:sz="0" w:space="0" w:color="auto"/>
          </w:divBdr>
          <w:divsChild>
            <w:div w:id="86595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309706">
      <w:bodyDiv w:val="1"/>
      <w:marLeft w:val="0"/>
      <w:marRight w:val="0"/>
      <w:marTop w:val="0"/>
      <w:marBottom w:val="0"/>
      <w:divBdr>
        <w:top w:val="none" w:sz="0" w:space="0" w:color="auto"/>
        <w:left w:val="none" w:sz="0" w:space="0" w:color="auto"/>
        <w:bottom w:val="none" w:sz="0" w:space="0" w:color="auto"/>
        <w:right w:val="none" w:sz="0" w:space="0" w:color="auto"/>
      </w:divBdr>
      <w:divsChild>
        <w:div w:id="1193768620">
          <w:marLeft w:val="0"/>
          <w:marRight w:val="0"/>
          <w:marTop w:val="0"/>
          <w:marBottom w:val="0"/>
          <w:divBdr>
            <w:top w:val="none" w:sz="0" w:space="0" w:color="auto"/>
            <w:left w:val="none" w:sz="0" w:space="0" w:color="auto"/>
            <w:bottom w:val="none" w:sz="0" w:space="0" w:color="auto"/>
            <w:right w:val="none" w:sz="0" w:space="0" w:color="auto"/>
          </w:divBdr>
          <w:divsChild>
            <w:div w:id="94910619">
              <w:marLeft w:val="0"/>
              <w:marRight w:val="0"/>
              <w:marTop w:val="0"/>
              <w:marBottom w:val="150"/>
              <w:divBdr>
                <w:top w:val="none" w:sz="0" w:space="0" w:color="auto"/>
                <w:left w:val="none" w:sz="0" w:space="0" w:color="auto"/>
                <w:bottom w:val="none" w:sz="0" w:space="0" w:color="auto"/>
                <w:right w:val="none" w:sz="0" w:space="0" w:color="auto"/>
              </w:divBdr>
            </w:div>
            <w:div w:id="152594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47847">
      <w:bodyDiv w:val="1"/>
      <w:marLeft w:val="0"/>
      <w:marRight w:val="0"/>
      <w:marTop w:val="0"/>
      <w:marBottom w:val="0"/>
      <w:divBdr>
        <w:top w:val="none" w:sz="0" w:space="0" w:color="auto"/>
        <w:left w:val="none" w:sz="0" w:space="0" w:color="auto"/>
        <w:bottom w:val="none" w:sz="0" w:space="0" w:color="auto"/>
        <w:right w:val="none" w:sz="0" w:space="0" w:color="auto"/>
      </w:divBdr>
    </w:div>
    <w:div w:id="1162044872">
      <w:bodyDiv w:val="1"/>
      <w:marLeft w:val="0"/>
      <w:marRight w:val="0"/>
      <w:marTop w:val="0"/>
      <w:marBottom w:val="0"/>
      <w:divBdr>
        <w:top w:val="none" w:sz="0" w:space="0" w:color="auto"/>
        <w:left w:val="none" w:sz="0" w:space="0" w:color="auto"/>
        <w:bottom w:val="none" w:sz="0" w:space="0" w:color="auto"/>
        <w:right w:val="none" w:sz="0" w:space="0" w:color="auto"/>
      </w:divBdr>
      <w:divsChild>
        <w:div w:id="1522931048">
          <w:marLeft w:val="0"/>
          <w:marRight w:val="0"/>
          <w:marTop w:val="0"/>
          <w:marBottom w:val="0"/>
          <w:divBdr>
            <w:top w:val="none" w:sz="0" w:space="0" w:color="auto"/>
            <w:left w:val="none" w:sz="0" w:space="0" w:color="auto"/>
            <w:bottom w:val="dotted" w:sz="6" w:space="4" w:color="DDDDDD"/>
            <w:right w:val="none" w:sz="0" w:space="0" w:color="auto"/>
          </w:divBdr>
        </w:div>
      </w:divsChild>
    </w:div>
    <w:div w:id="1162239219">
      <w:bodyDiv w:val="1"/>
      <w:marLeft w:val="0"/>
      <w:marRight w:val="0"/>
      <w:marTop w:val="0"/>
      <w:marBottom w:val="0"/>
      <w:divBdr>
        <w:top w:val="none" w:sz="0" w:space="0" w:color="auto"/>
        <w:left w:val="none" w:sz="0" w:space="0" w:color="auto"/>
        <w:bottom w:val="none" w:sz="0" w:space="0" w:color="auto"/>
        <w:right w:val="none" w:sz="0" w:space="0" w:color="auto"/>
      </w:divBdr>
    </w:div>
    <w:div w:id="1162626382">
      <w:bodyDiv w:val="1"/>
      <w:marLeft w:val="0"/>
      <w:marRight w:val="0"/>
      <w:marTop w:val="0"/>
      <w:marBottom w:val="0"/>
      <w:divBdr>
        <w:top w:val="none" w:sz="0" w:space="0" w:color="auto"/>
        <w:left w:val="none" w:sz="0" w:space="0" w:color="auto"/>
        <w:bottom w:val="none" w:sz="0" w:space="0" w:color="auto"/>
        <w:right w:val="none" w:sz="0" w:space="0" w:color="auto"/>
      </w:divBdr>
      <w:divsChild>
        <w:div w:id="1407266290">
          <w:marLeft w:val="0"/>
          <w:marRight w:val="0"/>
          <w:marTop w:val="0"/>
          <w:marBottom w:val="0"/>
          <w:divBdr>
            <w:top w:val="none" w:sz="0" w:space="0" w:color="auto"/>
            <w:left w:val="none" w:sz="0" w:space="0" w:color="auto"/>
            <w:bottom w:val="none" w:sz="0" w:space="0" w:color="auto"/>
            <w:right w:val="none" w:sz="0" w:space="0" w:color="auto"/>
          </w:divBdr>
          <w:divsChild>
            <w:div w:id="150563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700139">
      <w:bodyDiv w:val="1"/>
      <w:marLeft w:val="0"/>
      <w:marRight w:val="0"/>
      <w:marTop w:val="0"/>
      <w:marBottom w:val="0"/>
      <w:divBdr>
        <w:top w:val="none" w:sz="0" w:space="0" w:color="auto"/>
        <w:left w:val="none" w:sz="0" w:space="0" w:color="auto"/>
        <w:bottom w:val="none" w:sz="0" w:space="0" w:color="auto"/>
        <w:right w:val="none" w:sz="0" w:space="0" w:color="auto"/>
      </w:divBdr>
      <w:divsChild>
        <w:div w:id="1228490979">
          <w:marLeft w:val="0"/>
          <w:marRight w:val="0"/>
          <w:marTop w:val="0"/>
          <w:marBottom w:val="0"/>
          <w:divBdr>
            <w:top w:val="none" w:sz="0" w:space="0" w:color="auto"/>
            <w:left w:val="none" w:sz="0" w:space="0" w:color="auto"/>
            <w:bottom w:val="none" w:sz="0" w:space="0" w:color="auto"/>
            <w:right w:val="none" w:sz="0" w:space="0" w:color="auto"/>
          </w:divBdr>
        </w:div>
      </w:divsChild>
    </w:div>
    <w:div w:id="1162700805">
      <w:bodyDiv w:val="1"/>
      <w:marLeft w:val="0"/>
      <w:marRight w:val="0"/>
      <w:marTop w:val="0"/>
      <w:marBottom w:val="0"/>
      <w:divBdr>
        <w:top w:val="none" w:sz="0" w:space="0" w:color="auto"/>
        <w:left w:val="none" w:sz="0" w:space="0" w:color="auto"/>
        <w:bottom w:val="none" w:sz="0" w:space="0" w:color="auto"/>
        <w:right w:val="none" w:sz="0" w:space="0" w:color="auto"/>
      </w:divBdr>
      <w:divsChild>
        <w:div w:id="1808082068">
          <w:marLeft w:val="0"/>
          <w:marRight w:val="0"/>
          <w:marTop w:val="0"/>
          <w:marBottom w:val="0"/>
          <w:divBdr>
            <w:top w:val="none" w:sz="0" w:space="0" w:color="auto"/>
            <w:left w:val="none" w:sz="0" w:space="0" w:color="auto"/>
            <w:bottom w:val="dotted" w:sz="6" w:space="4" w:color="DDDDDD"/>
            <w:right w:val="none" w:sz="0" w:space="0" w:color="auto"/>
          </w:divBdr>
          <w:divsChild>
            <w:div w:id="35372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891082">
      <w:bodyDiv w:val="1"/>
      <w:marLeft w:val="0"/>
      <w:marRight w:val="0"/>
      <w:marTop w:val="0"/>
      <w:marBottom w:val="0"/>
      <w:divBdr>
        <w:top w:val="none" w:sz="0" w:space="0" w:color="auto"/>
        <w:left w:val="none" w:sz="0" w:space="0" w:color="auto"/>
        <w:bottom w:val="none" w:sz="0" w:space="0" w:color="auto"/>
        <w:right w:val="none" w:sz="0" w:space="0" w:color="auto"/>
      </w:divBdr>
      <w:divsChild>
        <w:div w:id="1290548336">
          <w:marLeft w:val="0"/>
          <w:marRight w:val="0"/>
          <w:marTop w:val="0"/>
          <w:marBottom w:val="150"/>
          <w:divBdr>
            <w:top w:val="none" w:sz="0" w:space="0" w:color="auto"/>
            <w:left w:val="none" w:sz="0" w:space="0" w:color="auto"/>
            <w:bottom w:val="none" w:sz="0" w:space="0" w:color="auto"/>
            <w:right w:val="none" w:sz="0" w:space="0" w:color="auto"/>
          </w:divBdr>
        </w:div>
      </w:divsChild>
    </w:div>
    <w:div w:id="1163012063">
      <w:bodyDiv w:val="1"/>
      <w:marLeft w:val="0"/>
      <w:marRight w:val="0"/>
      <w:marTop w:val="0"/>
      <w:marBottom w:val="0"/>
      <w:divBdr>
        <w:top w:val="none" w:sz="0" w:space="0" w:color="auto"/>
        <w:left w:val="none" w:sz="0" w:space="0" w:color="auto"/>
        <w:bottom w:val="none" w:sz="0" w:space="0" w:color="auto"/>
        <w:right w:val="none" w:sz="0" w:space="0" w:color="auto"/>
      </w:divBdr>
      <w:divsChild>
        <w:div w:id="297682684">
          <w:marLeft w:val="0"/>
          <w:marRight w:val="0"/>
          <w:marTop w:val="0"/>
          <w:marBottom w:val="0"/>
          <w:divBdr>
            <w:top w:val="none" w:sz="0" w:space="0" w:color="auto"/>
            <w:left w:val="none" w:sz="0" w:space="0" w:color="auto"/>
            <w:bottom w:val="none" w:sz="0" w:space="0" w:color="auto"/>
            <w:right w:val="none" w:sz="0" w:space="0" w:color="auto"/>
          </w:divBdr>
          <w:divsChild>
            <w:div w:id="132480974">
              <w:marLeft w:val="0"/>
              <w:marRight w:val="0"/>
              <w:marTop w:val="0"/>
              <w:marBottom w:val="150"/>
              <w:divBdr>
                <w:top w:val="none" w:sz="0" w:space="0" w:color="auto"/>
                <w:left w:val="none" w:sz="0" w:space="0" w:color="auto"/>
                <w:bottom w:val="none" w:sz="0" w:space="0" w:color="auto"/>
                <w:right w:val="none" w:sz="0" w:space="0" w:color="auto"/>
              </w:divBdr>
            </w:div>
            <w:div w:id="216596804">
              <w:marLeft w:val="0"/>
              <w:marRight w:val="0"/>
              <w:marTop w:val="0"/>
              <w:marBottom w:val="0"/>
              <w:divBdr>
                <w:top w:val="none" w:sz="0" w:space="0" w:color="auto"/>
                <w:left w:val="none" w:sz="0" w:space="0" w:color="auto"/>
                <w:bottom w:val="none" w:sz="0" w:space="0" w:color="auto"/>
                <w:right w:val="none" w:sz="0" w:space="0" w:color="auto"/>
              </w:divBdr>
            </w:div>
          </w:divsChild>
        </w:div>
        <w:div w:id="490370804">
          <w:marLeft w:val="0"/>
          <w:marRight w:val="0"/>
          <w:marTop w:val="0"/>
          <w:marBottom w:val="150"/>
          <w:divBdr>
            <w:top w:val="none" w:sz="0" w:space="0" w:color="auto"/>
            <w:left w:val="none" w:sz="0" w:space="0" w:color="auto"/>
            <w:bottom w:val="none" w:sz="0" w:space="0" w:color="auto"/>
            <w:right w:val="none" w:sz="0" w:space="0" w:color="auto"/>
          </w:divBdr>
          <w:divsChild>
            <w:div w:id="57975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164829">
      <w:bodyDiv w:val="1"/>
      <w:marLeft w:val="0"/>
      <w:marRight w:val="0"/>
      <w:marTop w:val="0"/>
      <w:marBottom w:val="0"/>
      <w:divBdr>
        <w:top w:val="none" w:sz="0" w:space="0" w:color="auto"/>
        <w:left w:val="none" w:sz="0" w:space="0" w:color="auto"/>
        <w:bottom w:val="none" w:sz="0" w:space="0" w:color="auto"/>
        <w:right w:val="none" w:sz="0" w:space="0" w:color="auto"/>
      </w:divBdr>
      <w:divsChild>
        <w:div w:id="1055855412">
          <w:marLeft w:val="0"/>
          <w:marRight w:val="0"/>
          <w:marTop w:val="0"/>
          <w:marBottom w:val="150"/>
          <w:divBdr>
            <w:top w:val="none" w:sz="0" w:space="0" w:color="auto"/>
            <w:left w:val="none" w:sz="0" w:space="0" w:color="auto"/>
            <w:bottom w:val="none" w:sz="0" w:space="0" w:color="auto"/>
            <w:right w:val="none" w:sz="0" w:space="0" w:color="auto"/>
          </w:divBdr>
        </w:div>
      </w:divsChild>
    </w:div>
    <w:div w:id="1163817930">
      <w:bodyDiv w:val="1"/>
      <w:marLeft w:val="0"/>
      <w:marRight w:val="0"/>
      <w:marTop w:val="0"/>
      <w:marBottom w:val="0"/>
      <w:divBdr>
        <w:top w:val="none" w:sz="0" w:space="0" w:color="auto"/>
        <w:left w:val="none" w:sz="0" w:space="0" w:color="auto"/>
        <w:bottom w:val="none" w:sz="0" w:space="0" w:color="auto"/>
        <w:right w:val="none" w:sz="0" w:space="0" w:color="auto"/>
      </w:divBdr>
      <w:divsChild>
        <w:div w:id="451368217">
          <w:marLeft w:val="0"/>
          <w:marRight w:val="0"/>
          <w:marTop w:val="0"/>
          <w:marBottom w:val="0"/>
          <w:divBdr>
            <w:top w:val="none" w:sz="0" w:space="0" w:color="auto"/>
            <w:left w:val="none" w:sz="0" w:space="0" w:color="auto"/>
            <w:bottom w:val="none" w:sz="0" w:space="0" w:color="auto"/>
            <w:right w:val="none" w:sz="0" w:space="0" w:color="auto"/>
          </w:divBdr>
          <w:divsChild>
            <w:div w:id="561217475">
              <w:marLeft w:val="0"/>
              <w:marRight w:val="0"/>
              <w:marTop w:val="0"/>
              <w:marBottom w:val="0"/>
              <w:divBdr>
                <w:top w:val="none" w:sz="0" w:space="0" w:color="auto"/>
                <w:left w:val="none" w:sz="0" w:space="0" w:color="auto"/>
                <w:bottom w:val="none" w:sz="0" w:space="0" w:color="auto"/>
                <w:right w:val="none" w:sz="0" w:space="0" w:color="auto"/>
              </w:divBdr>
            </w:div>
            <w:div w:id="1570578115">
              <w:marLeft w:val="0"/>
              <w:marRight w:val="0"/>
              <w:marTop w:val="0"/>
              <w:marBottom w:val="0"/>
              <w:divBdr>
                <w:top w:val="none" w:sz="0" w:space="0" w:color="auto"/>
                <w:left w:val="none" w:sz="0" w:space="0" w:color="auto"/>
                <w:bottom w:val="none" w:sz="0" w:space="0" w:color="auto"/>
                <w:right w:val="none" w:sz="0" w:space="0" w:color="auto"/>
              </w:divBdr>
              <w:divsChild>
                <w:div w:id="1921400435">
                  <w:marLeft w:val="0"/>
                  <w:marRight w:val="0"/>
                  <w:marTop w:val="0"/>
                  <w:marBottom w:val="0"/>
                  <w:divBdr>
                    <w:top w:val="none" w:sz="0" w:space="0" w:color="auto"/>
                    <w:left w:val="none" w:sz="0" w:space="0" w:color="auto"/>
                    <w:bottom w:val="none" w:sz="0" w:space="0" w:color="auto"/>
                    <w:right w:val="none" w:sz="0" w:space="0" w:color="auto"/>
                  </w:divBdr>
                  <w:divsChild>
                    <w:div w:id="88475999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80010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249567">
      <w:bodyDiv w:val="1"/>
      <w:marLeft w:val="0"/>
      <w:marRight w:val="0"/>
      <w:marTop w:val="0"/>
      <w:marBottom w:val="0"/>
      <w:divBdr>
        <w:top w:val="none" w:sz="0" w:space="0" w:color="auto"/>
        <w:left w:val="none" w:sz="0" w:space="0" w:color="auto"/>
        <w:bottom w:val="none" w:sz="0" w:space="0" w:color="auto"/>
        <w:right w:val="none" w:sz="0" w:space="0" w:color="auto"/>
      </w:divBdr>
      <w:divsChild>
        <w:div w:id="1311131828">
          <w:marLeft w:val="0"/>
          <w:marRight w:val="0"/>
          <w:marTop w:val="0"/>
          <w:marBottom w:val="0"/>
          <w:divBdr>
            <w:top w:val="none" w:sz="0" w:space="0" w:color="auto"/>
            <w:left w:val="none" w:sz="0" w:space="0" w:color="auto"/>
            <w:bottom w:val="dotted" w:sz="6" w:space="4" w:color="DDDDDD"/>
            <w:right w:val="none" w:sz="0" w:space="0" w:color="auto"/>
          </w:divBdr>
          <w:divsChild>
            <w:div w:id="23412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854223">
      <w:bodyDiv w:val="1"/>
      <w:marLeft w:val="0"/>
      <w:marRight w:val="0"/>
      <w:marTop w:val="0"/>
      <w:marBottom w:val="0"/>
      <w:divBdr>
        <w:top w:val="none" w:sz="0" w:space="0" w:color="auto"/>
        <w:left w:val="none" w:sz="0" w:space="0" w:color="auto"/>
        <w:bottom w:val="none" w:sz="0" w:space="0" w:color="auto"/>
        <w:right w:val="none" w:sz="0" w:space="0" w:color="auto"/>
      </w:divBdr>
      <w:divsChild>
        <w:div w:id="2085452523">
          <w:marLeft w:val="0"/>
          <w:marRight w:val="0"/>
          <w:marTop w:val="0"/>
          <w:marBottom w:val="0"/>
          <w:divBdr>
            <w:top w:val="none" w:sz="0" w:space="0" w:color="auto"/>
            <w:left w:val="none" w:sz="0" w:space="0" w:color="auto"/>
            <w:bottom w:val="dotted" w:sz="6" w:space="4" w:color="DDDDDD"/>
            <w:right w:val="none" w:sz="0" w:space="0" w:color="auto"/>
          </w:divBdr>
          <w:divsChild>
            <w:div w:id="90796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974833">
      <w:bodyDiv w:val="1"/>
      <w:marLeft w:val="0"/>
      <w:marRight w:val="0"/>
      <w:marTop w:val="0"/>
      <w:marBottom w:val="0"/>
      <w:divBdr>
        <w:top w:val="none" w:sz="0" w:space="0" w:color="auto"/>
        <w:left w:val="none" w:sz="0" w:space="0" w:color="auto"/>
        <w:bottom w:val="none" w:sz="0" w:space="0" w:color="auto"/>
        <w:right w:val="none" w:sz="0" w:space="0" w:color="auto"/>
      </w:divBdr>
      <w:divsChild>
        <w:div w:id="1295405887">
          <w:marLeft w:val="0"/>
          <w:marRight w:val="0"/>
          <w:marTop w:val="0"/>
          <w:marBottom w:val="0"/>
          <w:divBdr>
            <w:top w:val="none" w:sz="0" w:space="0" w:color="auto"/>
            <w:left w:val="none" w:sz="0" w:space="0" w:color="auto"/>
            <w:bottom w:val="none" w:sz="0" w:space="0" w:color="auto"/>
            <w:right w:val="none" w:sz="0" w:space="0" w:color="auto"/>
          </w:divBdr>
          <w:divsChild>
            <w:div w:id="1654408966">
              <w:marLeft w:val="0"/>
              <w:marRight w:val="0"/>
              <w:marTop w:val="0"/>
              <w:marBottom w:val="0"/>
              <w:divBdr>
                <w:top w:val="none" w:sz="0" w:space="0" w:color="auto"/>
                <w:left w:val="none" w:sz="0" w:space="0" w:color="auto"/>
                <w:bottom w:val="none" w:sz="0" w:space="0" w:color="auto"/>
                <w:right w:val="none" w:sz="0" w:space="0" w:color="auto"/>
              </w:divBdr>
              <w:divsChild>
                <w:div w:id="498816279">
                  <w:marLeft w:val="0"/>
                  <w:marRight w:val="0"/>
                  <w:marTop w:val="0"/>
                  <w:marBottom w:val="0"/>
                  <w:divBdr>
                    <w:top w:val="none" w:sz="0" w:space="0" w:color="auto"/>
                    <w:left w:val="none" w:sz="0" w:space="0" w:color="auto"/>
                    <w:bottom w:val="none" w:sz="0" w:space="0" w:color="auto"/>
                    <w:right w:val="none" w:sz="0" w:space="0" w:color="auto"/>
                  </w:divBdr>
                  <w:divsChild>
                    <w:div w:id="614092800">
                      <w:marLeft w:val="0"/>
                      <w:marRight w:val="0"/>
                      <w:marTop w:val="0"/>
                      <w:marBottom w:val="0"/>
                      <w:divBdr>
                        <w:top w:val="none" w:sz="0" w:space="0" w:color="auto"/>
                        <w:left w:val="none" w:sz="0" w:space="0" w:color="auto"/>
                        <w:bottom w:val="none" w:sz="0" w:space="0" w:color="auto"/>
                        <w:right w:val="none" w:sz="0" w:space="0" w:color="auto"/>
                      </w:divBdr>
                      <w:divsChild>
                        <w:div w:id="609120622">
                          <w:marLeft w:val="0"/>
                          <w:marRight w:val="0"/>
                          <w:marTop w:val="0"/>
                          <w:marBottom w:val="0"/>
                          <w:divBdr>
                            <w:top w:val="none" w:sz="0" w:space="0" w:color="auto"/>
                            <w:left w:val="none" w:sz="0" w:space="0" w:color="auto"/>
                            <w:bottom w:val="none" w:sz="0" w:space="0" w:color="auto"/>
                            <w:right w:val="none" w:sz="0" w:space="0" w:color="auto"/>
                          </w:divBdr>
                          <w:divsChild>
                            <w:div w:id="1937055734">
                              <w:marLeft w:val="0"/>
                              <w:marRight w:val="0"/>
                              <w:marTop w:val="0"/>
                              <w:marBottom w:val="0"/>
                              <w:divBdr>
                                <w:top w:val="none" w:sz="0" w:space="0" w:color="auto"/>
                                <w:left w:val="none" w:sz="0" w:space="0" w:color="auto"/>
                                <w:bottom w:val="none" w:sz="0" w:space="0" w:color="auto"/>
                                <w:right w:val="none" w:sz="0" w:space="0" w:color="auto"/>
                              </w:divBdr>
                              <w:divsChild>
                                <w:div w:id="2118593278">
                                  <w:marLeft w:val="0"/>
                                  <w:marRight w:val="0"/>
                                  <w:marTop w:val="0"/>
                                  <w:marBottom w:val="0"/>
                                  <w:divBdr>
                                    <w:top w:val="none" w:sz="0" w:space="0" w:color="auto"/>
                                    <w:left w:val="none" w:sz="0" w:space="0" w:color="auto"/>
                                    <w:bottom w:val="none" w:sz="0" w:space="0" w:color="auto"/>
                                    <w:right w:val="none" w:sz="0" w:space="0" w:color="auto"/>
                                  </w:divBdr>
                                  <w:divsChild>
                                    <w:div w:id="18027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5515607">
      <w:bodyDiv w:val="1"/>
      <w:marLeft w:val="0"/>
      <w:marRight w:val="0"/>
      <w:marTop w:val="0"/>
      <w:marBottom w:val="0"/>
      <w:divBdr>
        <w:top w:val="none" w:sz="0" w:space="0" w:color="auto"/>
        <w:left w:val="none" w:sz="0" w:space="0" w:color="auto"/>
        <w:bottom w:val="none" w:sz="0" w:space="0" w:color="auto"/>
        <w:right w:val="none" w:sz="0" w:space="0" w:color="auto"/>
      </w:divBdr>
    </w:div>
    <w:div w:id="1165784818">
      <w:bodyDiv w:val="1"/>
      <w:marLeft w:val="0"/>
      <w:marRight w:val="0"/>
      <w:marTop w:val="0"/>
      <w:marBottom w:val="0"/>
      <w:divBdr>
        <w:top w:val="none" w:sz="0" w:space="0" w:color="auto"/>
        <w:left w:val="none" w:sz="0" w:space="0" w:color="auto"/>
        <w:bottom w:val="none" w:sz="0" w:space="0" w:color="auto"/>
        <w:right w:val="none" w:sz="0" w:space="0" w:color="auto"/>
      </w:divBdr>
    </w:div>
    <w:div w:id="1165828573">
      <w:bodyDiv w:val="1"/>
      <w:marLeft w:val="0"/>
      <w:marRight w:val="0"/>
      <w:marTop w:val="0"/>
      <w:marBottom w:val="0"/>
      <w:divBdr>
        <w:top w:val="none" w:sz="0" w:space="0" w:color="auto"/>
        <w:left w:val="none" w:sz="0" w:space="0" w:color="auto"/>
        <w:bottom w:val="none" w:sz="0" w:space="0" w:color="auto"/>
        <w:right w:val="none" w:sz="0" w:space="0" w:color="auto"/>
      </w:divBdr>
      <w:divsChild>
        <w:div w:id="817921217">
          <w:marLeft w:val="0"/>
          <w:marRight w:val="0"/>
          <w:marTop w:val="150"/>
          <w:marBottom w:val="0"/>
          <w:divBdr>
            <w:top w:val="none" w:sz="0" w:space="0" w:color="auto"/>
            <w:left w:val="none" w:sz="0" w:space="0" w:color="auto"/>
            <w:bottom w:val="none" w:sz="0" w:space="0" w:color="auto"/>
            <w:right w:val="none" w:sz="0" w:space="0" w:color="auto"/>
          </w:divBdr>
          <w:divsChild>
            <w:div w:id="1232352187">
              <w:marLeft w:val="0"/>
              <w:marRight w:val="0"/>
              <w:marTop w:val="0"/>
              <w:marBottom w:val="0"/>
              <w:divBdr>
                <w:top w:val="none" w:sz="0" w:space="0" w:color="auto"/>
                <w:left w:val="none" w:sz="0" w:space="0" w:color="auto"/>
                <w:bottom w:val="none" w:sz="0" w:space="0" w:color="auto"/>
                <w:right w:val="none" w:sz="0" w:space="0" w:color="auto"/>
              </w:divBdr>
              <w:divsChild>
                <w:div w:id="778453552">
                  <w:marLeft w:val="75"/>
                  <w:marRight w:val="0"/>
                  <w:marTop w:val="0"/>
                  <w:marBottom w:val="0"/>
                  <w:divBdr>
                    <w:top w:val="none" w:sz="0" w:space="0" w:color="auto"/>
                    <w:left w:val="none" w:sz="0" w:space="0" w:color="auto"/>
                    <w:bottom w:val="none" w:sz="0" w:space="0" w:color="auto"/>
                    <w:right w:val="none" w:sz="0" w:space="0" w:color="auto"/>
                  </w:divBdr>
                </w:div>
                <w:div w:id="125235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743906">
          <w:marLeft w:val="0"/>
          <w:marRight w:val="0"/>
          <w:marTop w:val="0"/>
          <w:marBottom w:val="0"/>
          <w:divBdr>
            <w:top w:val="none" w:sz="0" w:space="0" w:color="auto"/>
            <w:left w:val="none" w:sz="0" w:space="0" w:color="auto"/>
            <w:bottom w:val="none" w:sz="0" w:space="0" w:color="auto"/>
            <w:right w:val="none" w:sz="0" w:space="0" w:color="auto"/>
          </w:divBdr>
          <w:divsChild>
            <w:div w:id="403181399">
              <w:marLeft w:val="0"/>
              <w:marRight w:val="0"/>
              <w:marTop w:val="0"/>
              <w:marBottom w:val="0"/>
              <w:divBdr>
                <w:top w:val="none" w:sz="0" w:space="0" w:color="auto"/>
                <w:left w:val="none" w:sz="0" w:space="0" w:color="auto"/>
                <w:bottom w:val="none" w:sz="0" w:space="0" w:color="auto"/>
                <w:right w:val="none" w:sz="0" w:space="0" w:color="auto"/>
              </w:divBdr>
            </w:div>
            <w:div w:id="1731461405">
              <w:marLeft w:val="0"/>
              <w:marRight w:val="0"/>
              <w:marTop w:val="0"/>
              <w:marBottom w:val="0"/>
              <w:divBdr>
                <w:top w:val="none" w:sz="0" w:space="0" w:color="auto"/>
                <w:left w:val="none" w:sz="0" w:space="0" w:color="auto"/>
                <w:bottom w:val="none" w:sz="0" w:space="0" w:color="auto"/>
                <w:right w:val="none" w:sz="0" w:space="0" w:color="auto"/>
              </w:divBdr>
              <w:divsChild>
                <w:div w:id="986133083">
                  <w:marLeft w:val="0"/>
                  <w:marRight w:val="0"/>
                  <w:marTop w:val="0"/>
                  <w:marBottom w:val="0"/>
                  <w:divBdr>
                    <w:top w:val="none" w:sz="0" w:space="0" w:color="auto"/>
                    <w:left w:val="none" w:sz="0" w:space="0" w:color="auto"/>
                    <w:bottom w:val="none" w:sz="0" w:space="0" w:color="auto"/>
                    <w:right w:val="none" w:sz="0" w:space="0" w:color="auto"/>
                  </w:divBdr>
                  <w:divsChild>
                    <w:div w:id="1443567989">
                      <w:marLeft w:val="0"/>
                      <w:marRight w:val="0"/>
                      <w:marTop w:val="0"/>
                      <w:marBottom w:val="0"/>
                      <w:divBdr>
                        <w:top w:val="none" w:sz="0" w:space="0" w:color="auto"/>
                        <w:left w:val="none" w:sz="0" w:space="0" w:color="auto"/>
                        <w:bottom w:val="none" w:sz="0" w:space="0" w:color="auto"/>
                        <w:right w:val="none" w:sz="0" w:space="0" w:color="auto"/>
                      </w:divBdr>
                      <w:divsChild>
                        <w:div w:id="84345194">
                          <w:marLeft w:val="0"/>
                          <w:marRight w:val="0"/>
                          <w:marTop w:val="225"/>
                          <w:marBottom w:val="150"/>
                          <w:divBdr>
                            <w:top w:val="none" w:sz="0" w:space="4" w:color="auto"/>
                            <w:left w:val="none" w:sz="0" w:space="0" w:color="auto"/>
                            <w:bottom w:val="single" w:sz="6" w:space="4" w:color="CECECE"/>
                            <w:right w:val="none" w:sz="0" w:space="0" w:color="auto"/>
                          </w:divBdr>
                          <w:divsChild>
                            <w:div w:id="285044607">
                              <w:marLeft w:val="0"/>
                              <w:marRight w:val="0"/>
                              <w:marTop w:val="0"/>
                              <w:marBottom w:val="0"/>
                              <w:divBdr>
                                <w:top w:val="none" w:sz="0" w:space="0" w:color="auto"/>
                                <w:left w:val="none" w:sz="0" w:space="0" w:color="auto"/>
                                <w:bottom w:val="none" w:sz="0" w:space="0" w:color="auto"/>
                                <w:right w:val="none" w:sz="0" w:space="0" w:color="auto"/>
                              </w:divBdr>
                            </w:div>
                            <w:div w:id="2038235273">
                              <w:marLeft w:val="0"/>
                              <w:marRight w:val="0"/>
                              <w:marTop w:val="75"/>
                              <w:marBottom w:val="75"/>
                              <w:divBdr>
                                <w:top w:val="none" w:sz="0" w:space="0" w:color="auto"/>
                                <w:left w:val="none" w:sz="0" w:space="0" w:color="auto"/>
                                <w:bottom w:val="none" w:sz="0" w:space="0" w:color="auto"/>
                                <w:right w:val="none" w:sz="0" w:space="0" w:color="auto"/>
                              </w:divBdr>
                              <w:divsChild>
                                <w:div w:id="549659233">
                                  <w:marLeft w:val="0"/>
                                  <w:marRight w:val="0"/>
                                  <w:marTop w:val="45"/>
                                  <w:marBottom w:val="0"/>
                                  <w:divBdr>
                                    <w:top w:val="none" w:sz="0" w:space="0" w:color="auto"/>
                                    <w:left w:val="none" w:sz="0" w:space="0" w:color="auto"/>
                                    <w:bottom w:val="none" w:sz="0" w:space="0" w:color="auto"/>
                                    <w:right w:val="none" w:sz="0" w:space="0" w:color="auto"/>
                                  </w:divBdr>
                                </w:div>
                                <w:div w:id="1933926834">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6164641">
      <w:bodyDiv w:val="1"/>
      <w:marLeft w:val="0"/>
      <w:marRight w:val="0"/>
      <w:marTop w:val="0"/>
      <w:marBottom w:val="0"/>
      <w:divBdr>
        <w:top w:val="none" w:sz="0" w:space="0" w:color="auto"/>
        <w:left w:val="none" w:sz="0" w:space="0" w:color="auto"/>
        <w:bottom w:val="none" w:sz="0" w:space="0" w:color="auto"/>
        <w:right w:val="none" w:sz="0" w:space="0" w:color="auto"/>
      </w:divBdr>
      <w:divsChild>
        <w:div w:id="966667028">
          <w:marLeft w:val="0"/>
          <w:marRight w:val="0"/>
          <w:marTop w:val="0"/>
          <w:marBottom w:val="0"/>
          <w:divBdr>
            <w:top w:val="none" w:sz="0" w:space="0" w:color="auto"/>
            <w:left w:val="none" w:sz="0" w:space="0" w:color="auto"/>
            <w:bottom w:val="none" w:sz="0" w:space="0" w:color="auto"/>
            <w:right w:val="none" w:sz="0" w:space="0" w:color="auto"/>
          </w:divBdr>
          <w:divsChild>
            <w:div w:id="42850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88694">
      <w:bodyDiv w:val="1"/>
      <w:marLeft w:val="0"/>
      <w:marRight w:val="0"/>
      <w:marTop w:val="0"/>
      <w:marBottom w:val="0"/>
      <w:divBdr>
        <w:top w:val="none" w:sz="0" w:space="0" w:color="auto"/>
        <w:left w:val="none" w:sz="0" w:space="0" w:color="auto"/>
        <w:bottom w:val="none" w:sz="0" w:space="0" w:color="auto"/>
        <w:right w:val="none" w:sz="0" w:space="0" w:color="auto"/>
      </w:divBdr>
      <w:divsChild>
        <w:div w:id="54210168">
          <w:marLeft w:val="0"/>
          <w:marRight w:val="0"/>
          <w:marTop w:val="0"/>
          <w:marBottom w:val="0"/>
          <w:divBdr>
            <w:top w:val="none" w:sz="0" w:space="0" w:color="auto"/>
            <w:left w:val="none" w:sz="0" w:space="0" w:color="auto"/>
            <w:bottom w:val="none" w:sz="0" w:space="0" w:color="auto"/>
            <w:right w:val="none" w:sz="0" w:space="0" w:color="auto"/>
          </w:divBdr>
          <w:divsChild>
            <w:div w:id="261762952">
              <w:marLeft w:val="0"/>
              <w:marRight w:val="0"/>
              <w:marTop w:val="0"/>
              <w:marBottom w:val="0"/>
              <w:divBdr>
                <w:top w:val="none" w:sz="0" w:space="0" w:color="auto"/>
                <w:left w:val="none" w:sz="0" w:space="0" w:color="auto"/>
                <w:bottom w:val="none" w:sz="0" w:space="0" w:color="auto"/>
                <w:right w:val="none" w:sz="0" w:space="0" w:color="auto"/>
              </w:divBdr>
              <w:divsChild>
                <w:div w:id="1899045534">
                  <w:marLeft w:val="0"/>
                  <w:marRight w:val="0"/>
                  <w:marTop w:val="0"/>
                  <w:marBottom w:val="0"/>
                  <w:divBdr>
                    <w:top w:val="none" w:sz="0" w:space="0" w:color="auto"/>
                    <w:left w:val="none" w:sz="0" w:space="0" w:color="auto"/>
                    <w:bottom w:val="none" w:sz="0" w:space="0" w:color="auto"/>
                    <w:right w:val="none" w:sz="0" w:space="0" w:color="auto"/>
                  </w:divBdr>
                  <w:divsChild>
                    <w:div w:id="1609854580">
                      <w:marLeft w:val="0"/>
                      <w:marRight w:val="0"/>
                      <w:marTop w:val="0"/>
                      <w:marBottom w:val="0"/>
                      <w:divBdr>
                        <w:top w:val="none" w:sz="0" w:space="0" w:color="auto"/>
                        <w:left w:val="none" w:sz="0" w:space="0" w:color="auto"/>
                        <w:bottom w:val="none" w:sz="0" w:space="0" w:color="auto"/>
                        <w:right w:val="none" w:sz="0" w:space="0" w:color="auto"/>
                      </w:divBdr>
                      <w:divsChild>
                        <w:div w:id="1744329286">
                          <w:marLeft w:val="0"/>
                          <w:marRight w:val="0"/>
                          <w:marTop w:val="0"/>
                          <w:marBottom w:val="0"/>
                          <w:divBdr>
                            <w:top w:val="none" w:sz="0" w:space="0" w:color="auto"/>
                            <w:left w:val="none" w:sz="0" w:space="0" w:color="auto"/>
                            <w:bottom w:val="none" w:sz="0" w:space="0" w:color="auto"/>
                            <w:right w:val="none" w:sz="0" w:space="0" w:color="auto"/>
                          </w:divBdr>
                          <w:divsChild>
                            <w:div w:id="80766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356298">
      <w:bodyDiv w:val="1"/>
      <w:marLeft w:val="0"/>
      <w:marRight w:val="0"/>
      <w:marTop w:val="0"/>
      <w:marBottom w:val="0"/>
      <w:divBdr>
        <w:top w:val="none" w:sz="0" w:space="0" w:color="auto"/>
        <w:left w:val="none" w:sz="0" w:space="0" w:color="auto"/>
        <w:bottom w:val="none" w:sz="0" w:space="0" w:color="auto"/>
        <w:right w:val="none" w:sz="0" w:space="0" w:color="auto"/>
      </w:divBdr>
    </w:div>
    <w:div w:id="1166627795">
      <w:bodyDiv w:val="1"/>
      <w:marLeft w:val="0"/>
      <w:marRight w:val="0"/>
      <w:marTop w:val="0"/>
      <w:marBottom w:val="0"/>
      <w:divBdr>
        <w:top w:val="none" w:sz="0" w:space="0" w:color="auto"/>
        <w:left w:val="none" w:sz="0" w:space="0" w:color="auto"/>
        <w:bottom w:val="none" w:sz="0" w:space="0" w:color="auto"/>
        <w:right w:val="none" w:sz="0" w:space="0" w:color="auto"/>
      </w:divBdr>
      <w:divsChild>
        <w:div w:id="1707410080">
          <w:marLeft w:val="0"/>
          <w:marRight w:val="0"/>
          <w:marTop w:val="0"/>
          <w:marBottom w:val="0"/>
          <w:divBdr>
            <w:top w:val="none" w:sz="0" w:space="0" w:color="auto"/>
            <w:left w:val="none" w:sz="0" w:space="0" w:color="auto"/>
            <w:bottom w:val="none" w:sz="0" w:space="0" w:color="auto"/>
            <w:right w:val="none" w:sz="0" w:space="0" w:color="auto"/>
          </w:divBdr>
          <w:divsChild>
            <w:div w:id="1832211214">
              <w:marLeft w:val="0"/>
              <w:marRight w:val="0"/>
              <w:marTop w:val="0"/>
              <w:marBottom w:val="0"/>
              <w:divBdr>
                <w:top w:val="none" w:sz="0" w:space="0" w:color="auto"/>
                <w:left w:val="none" w:sz="0" w:space="0" w:color="auto"/>
                <w:bottom w:val="none" w:sz="0" w:space="0" w:color="auto"/>
                <w:right w:val="none" w:sz="0" w:space="0" w:color="auto"/>
              </w:divBdr>
              <w:divsChild>
                <w:div w:id="1573613815">
                  <w:marLeft w:val="0"/>
                  <w:marRight w:val="0"/>
                  <w:marTop w:val="0"/>
                  <w:marBottom w:val="0"/>
                  <w:divBdr>
                    <w:top w:val="none" w:sz="0" w:space="0" w:color="auto"/>
                    <w:left w:val="none" w:sz="0" w:space="0" w:color="auto"/>
                    <w:bottom w:val="none" w:sz="0" w:space="0" w:color="auto"/>
                    <w:right w:val="none" w:sz="0" w:space="0" w:color="auto"/>
                  </w:divBdr>
                  <w:divsChild>
                    <w:div w:id="1655643397">
                      <w:marLeft w:val="0"/>
                      <w:marRight w:val="0"/>
                      <w:marTop w:val="0"/>
                      <w:marBottom w:val="0"/>
                      <w:divBdr>
                        <w:top w:val="none" w:sz="0" w:space="0" w:color="auto"/>
                        <w:left w:val="none" w:sz="0" w:space="0" w:color="auto"/>
                        <w:bottom w:val="none" w:sz="0" w:space="0" w:color="auto"/>
                        <w:right w:val="none" w:sz="0" w:space="0" w:color="auto"/>
                      </w:divBdr>
                      <w:divsChild>
                        <w:div w:id="1884514287">
                          <w:marLeft w:val="0"/>
                          <w:marRight w:val="0"/>
                          <w:marTop w:val="0"/>
                          <w:marBottom w:val="0"/>
                          <w:divBdr>
                            <w:top w:val="none" w:sz="0" w:space="0" w:color="auto"/>
                            <w:left w:val="none" w:sz="0" w:space="0" w:color="auto"/>
                            <w:bottom w:val="none" w:sz="0" w:space="0" w:color="auto"/>
                            <w:right w:val="none" w:sz="0" w:space="0" w:color="auto"/>
                          </w:divBdr>
                          <w:divsChild>
                            <w:div w:id="1897427185">
                              <w:marLeft w:val="0"/>
                              <w:marRight w:val="0"/>
                              <w:marTop w:val="0"/>
                              <w:marBottom w:val="0"/>
                              <w:divBdr>
                                <w:top w:val="none" w:sz="0" w:space="0" w:color="auto"/>
                                <w:left w:val="none" w:sz="0" w:space="0" w:color="auto"/>
                                <w:bottom w:val="none" w:sz="0" w:space="0" w:color="auto"/>
                                <w:right w:val="none" w:sz="0" w:space="0" w:color="auto"/>
                              </w:divBdr>
                              <w:divsChild>
                                <w:div w:id="258412861">
                                  <w:marLeft w:val="0"/>
                                  <w:marRight w:val="0"/>
                                  <w:marTop w:val="0"/>
                                  <w:marBottom w:val="0"/>
                                  <w:divBdr>
                                    <w:top w:val="none" w:sz="0" w:space="0" w:color="auto"/>
                                    <w:left w:val="none" w:sz="0" w:space="0" w:color="auto"/>
                                    <w:bottom w:val="none" w:sz="0" w:space="0" w:color="auto"/>
                                    <w:right w:val="none" w:sz="0" w:space="0" w:color="auto"/>
                                  </w:divBdr>
                                  <w:divsChild>
                                    <w:div w:id="1831947343">
                                      <w:marLeft w:val="0"/>
                                      <w:marRight w:val="0"/>
                                      <w:marTop w:val="0"/>
                                      <w:marBottom w:val="0"/>
                                      <w:divBdr>
                                        <w:top w:val="none" w:sz="0" w:space="0" w:color="auto"/>
                                        <w:left w:val="none" w:sz="0" w:space="0" w:color="auto"/>
                                        <w:bottom w:val="none" w:sz="0" w:space="0" w:color="auto"/>
                                        <w:right w:val="none" w:sz="0" w:space="0" w:color="auto"/>
                                      </w:divBdr>
                                      <w:divsChild>
                                        <w:div w:id="90349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6676151">
      <w:bodyDiv w:val="1"/>
      <w:marLeft w:val="0"/>
      <w:marRight w:val="0"/>
      <w:marTop w:val="0"/>
      <w:marBottom w:val="0"/>
      <w:divBdr>
        <w:top w:val="none" w:sz="0" w:space="0" w:color="auto"/>
        <w:left w:val="none" w:sz="0" w:space="0" w:color="auto"/>
        <w:bottom w:val="none" w:sz="0" w:space="0" w:color="auto"/>
        <w:right w:val="none" w:sz="0" w:space="0" w:color="auto"/>
      </w:divBdr>
      <w:divsChild>
        <w:div w:id="1727097685">
          <w:marLeft w:val="0"/>
          <w:marRight w:val="0"/>
          <w:marTop w:val="0"/>
          <w:marBottom w:val="0"/>
          <w:divBdr>
            <w:top w:val="none" w:sz="0" w:space="0" w:color="auto"/>
            <w:left w:val="none" w:sz="0" w:space="0" w:color="auto"/>
            <w:bottom w:val="none" w:sz="0" w:space="0" w:color="auto"/>
            <w:right w:val="none" w:sz="0" w:space="0" w:color="auto"/>
          </w:divBdr>
          <w:divsChild>
            <w:div w:id="671296284">
              <w:marLeft w:val="0"/>
              <w:marRight w:val="0"/>
              <w:marTop w:val="0"/>
              <w:marBottom w:val="0"/>
              <w:divBdr>
                <w:top w:val="none" w:sz="0" w:space="0" w:color="auto"/>
                <w:left w:val="none" w:sz="0" w:space="0" w:color="auto"/>
                <w:bottom w:val="none" w:sz="0" w:space="0" w:color="auto"/>
                <w:right w:val="none" w:sz="0" w:space="0" w:color="auto"/>
              </w:divBdr>
              <w:divsChild>
                <w:div w:id="29691496">
                  <w:marLeft w:val="0"/>
                  <w:marRight w:val="0"/>
                  <w:marTop w:val="0"/>
                  <w:marBottom w:val="0"/>
                  <w:divBdr>
                    <w:top w:val="none" w:sz="0" w:space="0" w:color="auto"/>
                    <w:left w:val="none" w:sz="0" w:space="0" w:color="auto"/>
                    <w:bottom w:val="none" w:sz="0" w:space="0" w:color="auto"/>
                    <w:right w:val="none" w:sz="0" w:space="0" w:color="auto"/>
                  </w:divBdr>
                  <w:divsChild>
                    <w:div w:id="1314410915">
                      <w:marLeft w:val="0"/>
                      <w:marRight w:val="0"/>
                      <w:marTop w:val="0"/>
                      <w:marBottom w:val="0"/>
                      <w:divBdr>
                        <w:top w:val="none" w:sz="0" w:space="0" w:color="auto"/>
                        <w:left w:val="none" w:sz="0" w:space="0" w:color="auto"/>
                        <w:bottom w:val="none" w:sz="0" w:space="0" w:color="auto"/>
                        <w:right w:val="none" w:sz="0" w:space="0" w:color="auto"/>
                      </w:divBdr>
                      <w:divsChild>
                        <w:div w:id="2056467141">
                          <w:marLeft w:val="0"/>
                          <w:marRight w:val="0"/>
                          <w:marTop w:val="0"/>
                          <w:marBottom w:val="0"/>
                          <w:divBdr>
                            <w:top w:val="none" w:sz="0" w:space="0" w:color="auto"/>
                            <w:left w:val="none" w:sz="0" w:space="0" w:color="auto"/>
                            <w:bottom w:val="none" w:sz="0" w:space="0" w:color="auto"/>
                            <w:right w:val="none" w:sz="0" w:space="0" w:color="auto"/>
                          </w:divBdr>
                          <w:divsChild>
                            <w:div w:id="190265171">
                              <w:marLeft w:val="0"/>
                              <w:marRight w:val="0"/>
                              <w:marTop w:val="0"/>
                              <w:marBottom w:val="0"/>
                              <w:divBdr>
                                <w:top w:val="none" w:sz="0" w:space="0" w:color="auto"/>
                                <w:left w:val="none" w:sz="0" w:space="0" w:color="auto"/>
                                <w:bottom w:val="none" w:sz="0" w:space="0" w:color="auto"/>
                                <w:right w:val="none" w:sz="0" w:space="0" w:color="auto"/>
                              </w:divBdr>
                              <w:divsChild>
                                <w:div w:id="19400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7671666">
      <w:bodyDiv w:val="1"/>
      <w:marLeft w:val="0"/>
      <w:marRight w:val="0"/>
      <w:marTop w:val="0"/>
      <w:marBottom w:val="0"/>
      <w:divBdr>
        <w:top w:val="none" w:sz="0" w:space="0" w:color="auto"/>
        <w:left w:val="none" w:sz="0" w:space="0" w:color="auto"/>
        <w:bottom w:val="none" w:sz="0" w:space="0" w:color="auto"/>
        <w:right w:val="none" w:sz="0" w:space="0" w:color="auto"/>
      </w:divBdr>
      <w:divsChild>
        <w:div w:id="1011100540">
          <w:marLeft w:val="0"/>
          <w:marRight w:val="0"/>
          <w:marTop w:val="0"/>
          <w:marBottom w:val="0"/>
          <w:divBdr>
            <w:top w:val="none" w:sz="0" w:space="0" w:color="auto"/>
            <w:left w:val="none" w:sz="0" w:space="0" w:color="auto"/>
            <w:bottom w:val="none" w:sz="0" w:space="0" w:color="auto"/>
            <w:right w:val="none" w:sz="0" w:space="0" w:color="auto"/>
          </w:divBdr>
          <w:divsChild>
            <w:div w:id="185560390">
              <w:marLeft w:val="0"/>
              <w:marRight w:val="0"/>
              <w:marTop w:val="0"/>
              <w:marBottom w:val="0"/>
              <w:divBdr>
                <w:top w:val="none" w:sz="0" w:space="0" w:color="auto"/>
                <w:left w:val="none" w:sz="0" w:space="0" w:color="auto"/>
                <w:bottom w:val="none" w:sz="0" w:space="0" w:color="auto"/>
                <w:right w:val="none" w:sz="0" w:space="0" w:color="auto"/>
              </w:divBdr>
              <w:divsChild>
                <w:div w:id="1874338795">
                  <w:marLeft w:val="0"/>
                  <w:marRight w:val="0"/>
                  <w:marTop w:val="0"/>
                  <w:marBottom w:val="0"/>
                  <w:divBdr>
                    <w:top w:val="none" w:sz="0" w:space="0" w:color="auto"/>
                    <w:left w:val="none" w:sz="0" w:space="0" w:color="auto"/>
                    <w:bottom w:val="none" w:sz="0" w:space="0" w:color="auto"/>
                    <w:right w:val="none" w:sz="0" w:space="0" w:color="auto"/>
                  </w:divBdr>
                  <w:divsChild>
                    <w:div w:id="827945748">
                      <w:marLeft w:val="0"/>
                      <w:marRight w:val="0"/>
                      <w:marTop w:val="0"/>
                      <w:marBottom w:val="0"/>
                      <w:divBdr>
                        <w:top w:val="none" w:sz="0" w:space="0" w:color="auto"/>
                        <w:left w:val="none" w:sz="0" w:space="0" w:color="auto"/>
                        <w:bottom w:val="none" w:sz="0" w:space="0" w:color="auto"/>
                        <w:right w:val="none" w:sz="0" w:space="0" w:color="auto"/>
                      </w:divBdr>
                      <w:divsChild>
                        <w:div w:id="1849170690">
                          <w:marLeft w:val="0"/>
                          <w:marRight w:val="0"/>
                          <w:marTop w:val="0"/>
                          <w:marBottom w:val="0"/>
                          <w:divBdr>
                            <w:top w:val="none" w:sz="0" w:space="0" w:color="auto"/>
                            <w:left w:val="none" w:sz="0" w:space="0" w:color="auto"/>
                            <w:bottom w:val="none" w:sz="0" w:space="0" w:color="auto"/>
                            <w:right w:val="none" w:sz="0" w:space="0" w:color="auto"/>
                          </w:divBdr>
                          <w:divsChild>
                            <w:div w:id="785124682">
                              <w:marLeft w:val="0"/>
                              <w:marRight w:val="0"/>
                              <w:marTop w:val="0"/>
                              <w:marBottom w:val="0"/>
                              <w:divBdr>
                                <w:top w:val="none" w:sz="0" w:space="0" w:color="auto"/>
                                <w:left w:val="none" w:sz="0" w:space="0" w:color="auto"/>
                                <w:bottom w:val="none" w:sz="0" w:space="0" w:color="auto"/>
                                <w:right w:val="none" w:sz="0" w:space="0" w:color="auto"/>
                              </w:divBdr>
                              <w:divsChild>
                                <w:div w:id="1146967981">
                                  <w:marLeft w:val="0"/>
                                  <w:marRight w:val="0"/>
                                  <w:marTop w:val="0"/>
                                  <w:marBottom w:val="0"/>
                                  <w:divBdr>
                                    <w:top w:val="none" w:sz="0" w:space="0" w:color="auto"/>
                                    <w:left w:val="none" w:sz="0" w:space="0" w:color="auto"/>
                                    <w:bottom w:val="none" w:sz="0" w:space="0" w:color="auto"/>
                                    <w:right w:val="none" w:sz="0" w:space="0" w:color="auto"/>
                                  </w:divBdr>
                                  <w:divsChild>
                                    <w:div w:id="85939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791385">
      <w:bodyDiv w:val="1"/>
      <w:marLeft w:val="0"/>
      <w:marRight w:val="0"/>
      <w:marTop w:val="0"/>
      <w:marBottom w:val="0"/>
      <w:divBdr>
        <w:top w:val="none" w:sz="0" w:space="0" w:color="auto"/>
        <w:left w:val="none" w:sz="0" w:space="0" w:color="auto"/>
        <w:bottom w:val="none" w:sz="0" w:space="0" w:color="auto"/>
        <w:right w:val="none" w:sz="0" w:space="0" w:color="auto"/>
      </w:divBdr>
      <w:divsChild>
        <w:div w:id="26956380">
          <w:marLeft w:val="0"/>
          <w:marRight w:val="0"/>
          <w:marTop w:val="0"/>
          <w:marBottom w:val="0"/>
          <w:divBdr>
            <w:top w:val="none" w:sz="0" w:space="0" w:color="auto"/>
            <w:left w:val="none" w:sz="0" w:space="0" w:color="auto"/>
            <w:bottom w:val="dotted" w:sz="6" w:space="4" w:color="DDDDDD"/>
            <w:right w:val="none" w:sz="0" w:space="0" w:color="auto"/>
          </w:divBdr>
        </w:div>
      </w:divsChild>
    </w:div>
    <w:div w:id="1167791974">
      <w:bodyDiv w:val="1"/>
      <w:marLeft w:val="0"/>
      <w:marRight w:val="0"/>
      <w:marTop w:val="0"/>
      <w:marBottom w:val="0"/>
      <w:divBdr>
        <w:top w:val="none" w:sz="0" w:space="0" w:color="auto"/>
        <w:left w:val="none" w:sz="0" w:space="0" w:color="auto"/>
        <w:bottom w:val="none" w:sz="0" w:space="0" w:color="auto"/>
        <w:right w:val="none" w:sz="0" w:space="0" w:color="auto"/>
      </w:divBdr>
      <w:divsChild>
        <w:div w:id="973562045">
          <w:marLeft w:val="0"/>
          <w:marRight w:val="0"/>
          <w:marTop w:val="0"/>
          <w:marBottom w:val="0"/>
          <w:divBdr>
            <w:top w:val="none" w:sz="0" w:space="0" w:color="auto"/>
            <w:left w:val="none" w:sz="0" w:space="0" w:color="auto"/>
            <w:bottom w:val="none" w:sz="0" w:space="0" w:color="auto"/>
            <w:right w:val="none" w:sz="0" w:space="0" w:color="auto"/>
          </w:divBdr>
          <w:divsChild>
            <w:div w:id="757603215">
              <w:marLeft w:val="0"/>
              <w:marRight w:val="0"/>
              <w:marTop w:val="0"/>
              <w:marBottom w:val="0"/>
              <w:divBdr>
                <w:top w:val="none" w:sz="0" w:space="0" w:color="auto"/>
                <w:left w:val="none" w:sz="0" w:space="0" w:color="auto"/>
                <w:bottom w:val="none" w:sz="0" w:space="0" w:color="auto"/>
                <w:right w:val="none" w:sz="0" w:space="0" w:color="auto"/>
              </w:divBdr>
              <w:divsChild>
                <w:div w:id="968779024">
                  <w:marLeft w:val="0"/>
                  <w:marRight w:val="0"/>
                  <w:marTop w:val="0"/>
                  <w:marBottom w:val="150"/>
                  <w:divBdr>
                    <w:top w:val="none" w:sz="0" w:space="0" w:color="auto"/>
                    <w:left w:val="none" w:sz="0" w:space="0" w:color="auto"/>
                    <w:bottom w:val="none" w:sz="0" w:space="0" w:color="auto"/>
                    <w:right w:val="none" w:sz="0" w:space="0" w:color="auto"/>
                  </w:divBdr>
                  <w:divsChild>
                    <w:div w:id="896237248">
                      <w:marLeft w:val="0"/>
                      <w:marRight w:val="0"/>
                      <w:marTop w:val="0"/>
                      <w:marBottom w:val="0"/>
                      <w:divBdr>
                        <w:top w:val="none" w:sz="0" w:space="0" w:color="auto"/>
                        <w:left w:val="none" w:sz="0" w:space="0" w:color="auto"/>
                        <w:bottom w:val="none" w:sz="0" w:space="0" w:color="auto"/>
                        <w:right w:val="none" w:sz="0" w:space="0" w:color="auto"/>
                      </w:divBdr>
                      <w:divsChild>
                        <w:div w:id="1479616846">
                          <w:marLeft w:val="0"/>
                          <w:marRight w:val="0"/>
                          <w:marTop w:val="0"/>
                          <w:marBottom w:val="0"/>
                          <w:divBdr>
                            <w:top w:val="none" w:sz="0" w:space="0" w:color="auto"/>
                            <w:left w:val="none" w:sz="0" w:space="0" w:color="auto"/>
                            <w:bottom w:val="none" w:sz="0" w:space="0" w:color="auto"/>
                            <w:right w:val="none" w:sz="0" w:space="0" w:color="auto"/>
                          </w:divBdr>
                          <w:divsChild>
                            <w:div w:id="2143190948">
                              <w:marLeft w:val="0"/>
                              <w:marRight w:val="0"/>
                              <w:marTop w:val="0"/>
                              <w:marBottom w:val="0"/>
                              <w:divBdr>
                                <w:top w:val="none" w:sz="0" w:space="0" w:color="auto"/>
                                <w:left w:val="none" w:sz="0" w:space="0" w:color="auto"/>
                                <w:bottom w:val="none" w:sz="0" w:space="0" w:color="auto"/>
                                <w:right w:val="none" w:sz="0" w:space="0" w:color="auto"/>
                              </w:divBdr>
                              <w:divsChild>
                                <w:div w:id="1114984260">
                                  <w:marLeft w:val="0"/>
                                  <w:marRight w:val="0"/>
                                  <w:marTop w:val="0"/>
                                  <w:marBottom w:val="0"/>
                                  <w:divBdr>
                                    <w:top w:val="none" w:sz="0" w:space="0" w:color="auto"/>
                                    <w:left w:val="none" w:sz="0" w:space="0" w:color="auto"/>
                                    <w:bottom w:val="none" w:sz="0" w:space="0" w:color="auto"/>
                                    <w:right w:val="none" w:sz="0" w:space="0" w:color="auto"/>
                                  </w:divBdr>
                                  <w:divsChild>
                                    <w:div w:id="716243643">
                                      <w:marLeft w:val="0"/>
                                      <w:marRight w:val="0"/>
                                      <w:marTop w:val="0"/>
                                      <w:marBottom w:val="0"/>
                                      <w:divBdr>
                                        <w:top w:val="none" w:sz="0" w:space="0" w:color="auto"/>
                                        <w:left w:val="none" w:sz="0" w:space="0" w:color="auto"/>
                                        <w:bottom w:val="none" w:sz="0" w:space="0" w:color="auto"/>
                                        <w:right w:val="none" w:sz="0" w:space="0" w:color="auto"/>
                                      </w:divBdr>
                                      <w:divsChild>
                                        <w:div w:id="937635991">
                                          <w:marLeft w:val="0"/>
                                          <w:marRight w:val="0"/>
                                          <w:marTop w:val="0"/>
                                          <w:marBottom w:val="0"/>
                                          <w:divBdr>
                                            <w:top w:val="none" w:sz="0" w:space="0" w:color="auto"/>
                                            <w:left w:val="none" w:sz="0" w:space="0" w:color="auto"/>
                                            <w:bottom w:val="none" w:sz="0" w:space="0" w:color="auto"/>
                                            <w:right w:val="none" w:sz="0" w:space="0" w:color="auto"/>
                                          </w:divBdr>
                                          <w:divsChild>
                                            <w:div w:id="863593420">
                                              <w:marLeft w:val="0"/>
                                              <w:marRight w:val="0"/>
                                              <w:marTop w:val="0"/>
                                              <w:marBottom w:val="0"/>
                                              <w:divBdr>
                                                <w:top w:val="none" w:sz="0" w:space="0" w:color="auto"/>
                                                <w:left w:val="none" w:sz="0" w:space="0" w:color="auto"/>
                                                <w:bottom w:val="none" w:sz="0" w:space="0" w:color="auto"/>
                                                <w:right w:val="none" w:sz="0" w:space="0" w:color="auto"/>
                                              </w:divBdr>
                                              <w:divsChild>
                                                <w:div w:id="13083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8058830">
      <w:bodyDiv w:val="1"/>
      <w:marLeft w:val="0"/>
      <w:marRight w:val="0"/>
      <w:marTop w:val="0"/>
      <w:marBottom w:val="0"/>
      <w:divBdr>
        <w:top w:val="none" w:sz="0" w:space="0" w:color="auto"/>
        <w:left w:val="none" w:sz="0" w:space="0" w:color="auto"/>
        <w:bottom w:val="none" w:sz="0" w:space="0" w:color="auto"/>
        <w:right w:val="none" w:sz="0" w:space="0" w:color="auto"/>
      </w:divBdr>
      <w:divsChild>
        <w:div w:id="1371806897">
          <w:marLeft w:val="0"/>
          <w:marRight w:val="0"/>
          <w:marTop w:val="0"/>
          <w:marBottom w:val="150"/>
          <w:divBdr>
            <w:top w:val="none" w:sz="0" w:space="0" w:color="auto"/>
            <w:left w:val="none" w:sz="0" w:space="0" w:color="auto"/>
            <w:bottom w:val="none" w:sz="0" w:space="0" w:color="auto"/>
            <w:right w:val="none" w:sz="0" w:space="0" w:color="auto"/>
          </w:divBdr>
        </w:div>
      </w:divsChild>
    </w:div>
    <w:div w:id="1168515967">
      <w:bodyDiv w:val="1"/>
      <w:marLeft w:val="0"/>
      <w:marRight w:val="0"/>
      <w:marTop w:val="0"/>
      <w:marBottom w:val="0"/>
      <w:divBdr>
        <w:top w:val="none" w:sz="0" w:space="0" w:color="auto"/>
        <w:left w:val="none" w:sz="0" w:space="0" w:color="auto"/>
        <w:bottom w:val="none" w:sz="0" w:space="0" w:color="auto"/>
        <w:right w:val="none" w:sz="0" w:space="0" w:color="auto"/>
      </w:divBdr>
    </w:div>
    <w:div w:id="1168517037">
      <w:bodyDiv w:val="1"/>
      <w:marLeft w:val="0"/>
      <w:marRight w:val="0"/>
      <w:marTop w:val="0"/>
      <w:marBottom w:val="0"/>
      <w:divBdr>
        <w:top w:val="none" w:sz="0" w:space="0" w:color="auto"/>
        <w:left w:val="none" w:sz="0" w:space="0" w:color="auto"/>
        <w:bottom w:val="none" w:sz="0" w:space="0" w:color="auto"/>
        <w:right w:val="none" w:sz="0" w:space="0" w:color="auto"/>
      </w:divBdr>
      <w:divsChild>
        <w:div w:id="2065568341">
          <w:marLeft w:val="0"/>
          <w:marRight w:val="0"/>
          <w:marTop w:val="0"/>
          <w:marBottom w:val="150"/>
          <w:divBdr>
            <w:top w:val="none" w:sz="0" w:space="0" w:color="auto"/>
            <w:left w:val="none" w:sz="0" w:space="0" w:color="auto"/>
            <w:bottom w:val="none" w:sz="0" w:space="0" w:color="auto"/>
            <w:right w:val="none" w:sz="0" w:space="0" w:color="auto"/>
          </w:divBdr>
        </w:div>
      </w:divsChild>
    </w:div>
    <w:div w:id="1168714437">
      <w:bodyDiv w:val="1"/>
      <w:marLeft w:val="0"/>
      <w:marRight w:val="0"/>
      <w:marTop w:val="0"/>
      <w:marBottom w:val="0"/>
      <w:divBdr>
        <w:top w:val="none" w:sz="0" w:space="0" w:color="auto"/>
        <w:left w:val="none" w:sz="0" w:space="0" w:color="auto"/>
        <w:bottom w:val="none" w:sz="0" w:space="0" w:color="auto"/>
        <w:right w:val="none" w:sz="0" w:space="0" w:color="auto"/>
      </w:divBdr>
    </w:div>
    <w:div w:id="1168979142">
      <w:bodyDiv w:val="1"/>
      <w:marLeft w:val="0"/>
      <w:marRight w:val="0"/>
      <w:marTop w:val="0"/>
      <w:marBottom w:val="0"/>
      <w:divBdr>
        <w:top w:val="none" w:sz="0" w:space="0" w:color="auto"/>
        <w:left w:val="none" w:sz="0" w:space="0" w:color="auto"/>
        <w:bottom w:val="none" w:sz="0" w:space="0" w:color="auto"/>
        <w:right w:val="none" w:sz="0" w:space="0" w:color="auto"/>
      </w:divBdr>
      <w:divsChild>
        <w:div w:id="1817842501">
          <w:marLeft w:val="0"/>
          <w:marRight w:val="0"/>
          <w:marTop w:val="0"/>
          <w:marBottom w:val="150"/>
          <w:divBdr>
            <w:top w:val="none" w:sz="0" w:space="0" w:color="auto"/>
            <w:left w:val="none" w:sz="0" w:space="0" w:color="auto"/>
            <w:bottom w:val="none" w:sz="0" w:space="0" w:color="auto"/>
            <w:right w:val="none" w:sz="0" w:space="0" w:color="auto"/>
          </w:divBdr>
        </w:div>
      </w:divsChild>
    </w:div>
    <w:div w:id="1168980463">
      <w:bodyDiv w:val="1"/>
      <w:marLeft w:val="0"/>
      <w:marRight w:val="0"/>
      <w:marTop w:val="0"/>
      <w:marBottom w:val="0"/>
      <w:divBdr>
        <w:top w:val="none" w:sz="0" w:space="0" w:color="auto"/>
        <w:left w:val="none" w:sz="0" w:space="0" w:color="auto"/>
        <w:bottom w:val="none" w:sz="0" w:space="0" w:color="auto"/>
        <w:right w:val="none" w:sz="0" w:space="0" w:color="auto"/>
      </w:divBdr>
      <w:divsChild>
        <w:div w:id="1610314341">
          <w:marLeft w:val="0"/>
          <w:marRight w:val="0"/>
          <w:marTop w:val="0"/>
          <w:marBottom w:val="0"/>
          <w:divBdr>
            <w:top w:val="none" w:sz="0" w:space="0" w:color="auto"/>
            <w:left w:val="none" w:sz="0" w:space="0" w:color="auto"/>
            <w:bottom w:val="none" w:sz="0" w:space="0" w:color="auto"/>
            <w:right w:val="none" w:sz="0" w:space="0" w:color="auto"/>
          </w:divBdr>
          <w:divsChild>
            <w:div w:id="148408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057993">
      <w:bodyDiv w:val="1"/>
      <w:marLeft w:val="0"/>
      <w:marRight w:val="0"/>
      <w:marTop w:val="0"/>
      <w:marBottom w:val="0"/>
      <w:divBdr>
        <w:top w:val="none" w:sz="0" w:space="0" w:color="auto"/>
        <w:left w:val="none" w:sz="0" w:space="0" w:color="auto"/>
        <w:bottom w:val="none" w:sz="0" w:space="0" w:color="auto"/>
        <w:right w:val="none" w:sz="0" w:space="0" w:color="auto"/>
      </w:divBdr>
      <w:divsChild>
        <w:div w:id="58016599">
          <w:marLeft w:val="0"/>
          <w:marRight w:val="0"/>
          <w:marTop w:val="150"/>
          <w:marBottom w:val="0"/>
          <w:divBdr>
            <w:top w:val="none" w:sz="0" w:space="0" w:color="auto"/>
            <w:left w:val="none" w:sz="0" w:space="0" w:color="auto"/>
            <w:bottom w:val="none" w:sz="0" w:space="0" w:color="auto"/>
            <w:right w:val="none" w:sz="0" w:space="0" w:color="auto"/>
          </w:divBdr>
          <w:divsChild>
            <w:div w:id="2135782752">
              <w:marLeft w:val="0"/>
              <w:marRight w:val="0"/>
              <w:marTop w:val="0"/>
              <w:marBottom w:val="0"/>
              <w:divBdr>
                <w:top w:val="none" w:sz="0" w:space="0" w:color="auto"/>
                <w:left w:val="none" w:sz="0" w:space="0" w:color="auto"/>
                <w:bottom w:val="none" w:sz="0" w:space="0" w:color="auto"/>
                <w:right w:val="none" w:sz="0" w:space="0" w:color="auto"/>
              </w:divBdr>
              <w:divsChild>
                <w:div w:id="188968715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76890710">
          <w:marLeft w:val="0"/>
          <w:marRight w:val="0"/>
          <w:marTop w:val="0"/>
          <w:marBottom w:val="0"/>
          <w:divBdr>
            <w:top w:val="none" w:sz="0" w:space="0" w:color="auto"/>
            <w:left w:val="none" w:sz="0" w:space="0" w:color="auto"/>
            <w:bottom w:val="none" w:sz="0" w:space="0" w:color="auto"/>
            <w:right w:val="none" w:sz="0" w:space="0" w:color="auto"/>
          </w:divBdr>
          <w:divsChild>
            <w:div w:id="179355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711338">
      <w:bodyDiv w:val="1"/>
      <w:marLeft w:val="0"/>
      <w:marRight w:val="0"/>
      <w:marTop w:val="0"/>
      <w:marBottom w:val="0"/>
      <w:divBdr>
        <w:top w:val="none" w:sz="0" w:space="0" w:color="auto"/>
        <w:left w:val="none" w:sz="0" w:space="0" w:color="auto"/>
        <w:bottom w:val="none" w:sz="0" w:space="0" w:color="auto"/>
        <w:right w:val="none" w:sz="0" w:space="0" w:color="auto"/>
      </w:divBdr>
      <w:divsChild>
        <w:div w:id="274293733">
          <w:marLeft w:val="0"/>
          <w:marRight w:val="0"/>
          <w:marTop w:val="0"/>
          <w:marBottom w:val="150"/>
          <w:divBdr>
            <w:top w:val="none" w:sz="0" w:space="0" w:color="auto"/>
            <w:left w:val="none" w:sz="0" w:space="0" w:color="auto"/>
            <w:bottom w:val="none" w:sz="0" w:space="0" w:color="auto"/>
            <w:right w:val="none" w:sz="0" w:space="0" w:color="auto"/>
          </w:divBdr>
          <w:divsChild>
            <w:div w:id="1797412874">
              <w:marLeft w:val="0"/>
              <w:marRight w:val="0"/>
              <w:marTop w:val="0"/>
              <w:marBottom w:val="0"/>
              <w:divBdr>
                <w:top w:val="none" w:sz="0" w:space="0" w:color="auto"/>
                <w:left w:val="none" w:sz="0" w:space="0" w:color="auto"/>
                <w:bottom w:val="none" w:sz="0" w:space="0" w:color="auto"/>
                <w:right w:val="none" w:sz="0" w:space="0" w:color="auto"/>
              </w:divBdr>
              <w:divsChild>
                <w:div w:id="21223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096824">
          <w:marLeft w:val="0"/>
          <w:marRight w:val="0"/>
          <w:marTop w:val="0"/>
          <w:marBottom w:val="0"/>
          <w:divBdr>
            <w:top w:val="none" w:sz="0" w:space="0" w:color="auto"/>
            <w:left w:val="none" w:sz="0" w:space="0" w:color="auto"/>
            <w:bottom w:val="none" w:sz="0" w:space="0" w:color="auto"/>
            <w:right w:val="none" w:sz="0" w:space="0" w:color="auto"/>
          </w:divBdr>
          <w:divsChild>
            <w:div w:id="556741617">
              <w:marLeft w:val="0"/>
              <w:marRight w:val="0"/>
              <w:marTop w:val="225"/>
              <w:marBottom w:val="225"/>
              <w:divBdr>
                <w:top w:val="none" w:sz="0" w:space="0" w:color="auto"/>
                <w:left w:val="none" w:sz="0" w:space="0" w:color="auto"/>
                <w:bottom w:val="none" w:sz="0" w:space="0" w:color="auto"/>
                <w:right w:val="none" w:sz="0" w:space="0" w:color="auto"/>
              </w:divBdr>
            </w:div>
          </w:divsChild>
        </w:div>
        <w:div w:id="1797067872">
          <w:marLeft w:val="0"/>
          <w:marRight w:val="0"/>
          <w:marTop w:val="0"/>
          <w:marBottom w:val="150"/>
          <w:divBdr>
            <w:top w:val="none" w:sz="0" w:space="0" w:color="auto"/>
            <w:left w:val="none" w:sz="0" w:space="0" w:color="auto"/>
            <w:bottom w:val="none" w:sz="0" w:space="0" w:color="auto"/>
            <w:right w:val="none" w:sz="0" w:space="0" w:color="auto"/>
          </w:divBdr>
        </w:div>
      </w:divsChild>
    </w:div>
    <w:div w:id="1170292043">
      <w:bodyDiv w:val="1"/>
      <w:marLeft w:val="0"/>
      <w:marRight w:val="0"/>
      <w:marTop w:val="0"/>
      <w:marBottom w:val="0"/>
      <w:divBdr>
        <w:top w:val="none" w:sz="0" w:space="0" w:color="auto"/>
        <w:left w:val="none" w:sz="0" w:space="0" w:color="auto"/>
        <w:bottom w:val="none" w:sz="0" w:space="0" w:color="auto"/>
        <w:right w:val="none" w:sz="0" w:space="0" w:color="auto"/>
      </w:divBdr>
      <w:divsChild>
        <w:div w:id="2129347512">
          <w:marLeft w:val="0"/>
          <w:marRight w:val="0"/>
          <w:marTop w:val="0"/>
          <w:marBottom w:val="180"/>
          <w:divBdr>
            <w:top w:val="none" w:sz="0" w:space="0" w:color="auto"/>
            <w:left w:val="none" w:sz="0" w:space="0" w:color="auto"/>
            <w:bottom w:val="none" w:sz="0" w:space="0" w:color="auto"/>
            <w:right w:val="none" w:sz="0" w:space="0" w:color="auto"/>
          </w:divBdr>
        </w:div>
        <w:div w:id="361713081">
          <w:marLeft w:val="0"/>
          <w:marRight w:val="0"/>
          <w:marTop w:val="0"/>
          <w:marBottom w:val="180"/>
          <w:divBdr>
            <w:top w:val="none" w:sz="0" w:space="0" w:color="auto"/>
            <w:left w:val="none" w:sz="0" w:space="0" w:color="auto"/>
            <w:bottom w:val="none" w:sz="0" w:space="0" w:color="auto"/>
            <w:right w:val="none" w:sz="0" w:space="0" w:color="auto"/>
          </w:divBdr>
        </w:div>
        <w:div w:id="764955335">
          <w:marLeft w:val="0"/>
          <w:marRight w:val="0"/>
          <w:marTop w:val="300"/>
          <w:marBottom w:val="0"/>
          <w:divBdr>
            <w:top w:val="none" w:sz="0" w:space="0" w:color="auto"/>
            <w:left w:val="none" w:sz="0" w:space="0" w:color="auto"/>
            <w:bottom w:val="none" w:sz="0" w:space="0" w:color="auto"/>
            <w:right w:val="none" w:sz="0" w:space="0" w:color="auto"/>
          </w:divBdr>
          <w:divsChild>
            <w:div w:id="1728990001">
              <w:marLeft w:val="0"/>
              <w:marRight w:val="0"/>
              <w:marTop w:val="0"/>
              <w:marBottom w:val="0"/>
              <w:divBdr>
                <w:top w:val="none" w:sz="0" w:space="0" w:color="auto"/>
                <w:left w:val="none" w:sz="0" w:space="0" w:color="auto"/>
                <w:bottom w:val="none" w:sz="0" w:space="0" w:color="auto"/>
                <w:right w:val="none" w:sz="0" w:space="0" w:color="auto"/>
              </w:divBdr>
              <w:divsChild>
                <w:div w:id="1491677123">
                  <w:marLeft w:val="0"/>
                  <w:marRight w:val="0"/>
                  <w:marTop w:val="0"/>
                  <w:marBottom w:val="300"/>
                  <w:divBdr>
                    <w:top w:val="none" w:sz="0" w:space="0" w:color="auto"/>
                    <w:left w:val="none" w:sz="0" w:space="0" w:color="auto"/>
                    <w:bottom w:val="none" w:sz="0" w:space="0" w:color="auto"/>
                    <w:right w:val="none" w:sz="0" w:space="0" w:color="auto"/>
                  </w:divBdr>
                  <w:divsChild>
                    <w:div w:id="1559777274">
                      <w:marLeft w:val="-1800"/>
                      <w:marRight w:val="0"/>
                      <w:marTop w:val="75"/>
                      <w:marBottom w:val="240"/>
                      <w:divBdr>
                        <w:top w:val="none" w:sz="0" w:space="0" w:color="auto"/>
                        <w:left w:val="none" w:sz="0" w:space="0" w:color="auto"/>
                        <w:bottom w:val="none" w:sz="0" w:space="0" w:color="auto"/>
                        <w:right w:val="none" w:sz="0" w:space="0" w:color="auto"/>
                      </w:divBdr>
                    </w:div>
                  </w:divsChild>
                </w:div>
              </w:divsChild>
            </w:div>
          </w:divsChild>
        </w:div>
      </w:divsChild>
    </w:div>
    <w:div w:id="1170481277">
      <w:bodyDiv w:val="1"/>
      <w:marLeft w:val="0"/>
      <w:marRight w:val="0"/>
      <w:marTop w:val="0"/>
      <w:marBottom w:val="0"/>
      <w:divBdr>
        <w:top w:val="none" w:sz="0" w:space="0" w:color="auto"/>
        <w:left w:val="none" w:sz="0" w:space="0" w:color="auto"/>
        <w:bottom w:val="none" w:sz="0" w:space="0" w:color="auto"/>
        <w:right w:val="none" w:sz="0" w:space="0" w:color="auto"/>
      </w:divBdr>
      <w:divsChild>
        <w:div w:id="766195718">
          <w:marLeft w:val="0"/>
          <w:marRight w:val="0"/>
          <w:marTop w:val="0"/>
          <w:marBottom w:val="0"/>
          <w:divBdr>
            <w:top w:val="none" w:sz="0" w:space="0" w:color="auto"/>
            <w:left w:val="none" w:sz="0" w:space="0" w:color="auto"/>
            <w:bottom w:val="none" w:sz="0" w:space="0" w:color="auto"/>
            <w:right w:val="none" w:sz="0" w:space="0" w:color="auto"/>
          </w:divBdr>
          <w:divsChild>
            <w:div w:id="1109005832">
              <w:marLeft w:val="0"/>
              <w:marRight w:val="0"/>
              <w:marTop w:val="0"/>
              <w:marBottom w:val="0"/>
              <w:divBdr>
                <w:top w:val="none" w:sz="0" w:space="0" w:color="auto"/>
                <w:left w:val="none" w:sz="0" w:space="0" w:color="auto"/>
                <w:bottom w:val="none" w:sz="0" w:space="0" w:color="auto"/>
                <w:right w:val="none" w:sz="0" w:space="0" w:color="auto"/>
              </w:divBdr>
              <w:divsChild>
                <w:div w:id="1490824824">
                  <w:marLeft w:val="0"/>
                  <w:marRight w:val="0"/>
                  <w:marTop w:val="0"/>
                  <w:marBottom w:val="0"/>
                  <w:divBdr>
                    <w:top w:val="none" w:sz="0" w:space="0" w:color="auto"/>
                    <w:left w:val="none" w:sz="0" w:space="0" w:color="auto"/>
                    <w:bottom w:val="none" w:sz="0" w:space="0" w:color="auto"/>
                    <w:right w:val="none" w:sz="0" w:space="0" w:color="auto"/>
                  </w:divBdr>
                  <w:divsChild>
                    <w:div w:id="1664161232">
                      <w:marLeft w:val="0"/>
                      <w:marRight w:val="0"/>
                      <w:marTop w:val="0"/>
                      <w:marBottom w:val="0"/>
                      <w:divBdr>
                        <w:top w:val="none" w:sz="0" w:space="0" w:color="auto"/>
                        <w:left w:val="none" w:sz="0" w:space="0" w:color="auto"/>
                        <w:bottom w:val="none" w:sz="0" w:space="0" w:color="auto"/>
                        <w:right w:val="none" w:sz="0" w:space="0" w:color="auto"/>
                      </w:divBdr>
                      <w:divsChild>
                        <w:div w:id="2012905206">
                          <w:marLeft w:val="0"/>
                          <w:marRight w:val="0"/>
                          <w:marTop w:val="0"/>
                          <w:marBottom w:val="0"/>
                          <w:divBdr>
                            <w:top w:val="none" w:sz="0" w:space="0" w:color="auto"/>
                            <w:left w:val="none" w:sz="0" w:space="0" w:color="auto"/>
                            <w:bottom w:val="none" w:sz="0" w:space="0" w:color="auto"/>
                            <w:right w:val="none" w:sz="0" w:space="0" w:color="auto"/>
                          </w:divBdr>
                          <w:divsChild>
                            <w:div w:id="1337613545">
                              <w:marLeft w:val="0"/>
                              <w:marRight w:val="0"/>
                              <w:marTop w:val="0"/>
                              <w:marBottom w:val="0"/>
                              <w:divBdr>
                                <w:top w:val="none" w:sz="0" w:space="0" w:color="auto"/>
                                <w:left w:val="none" w:sz="0" w:space="0" w:color="auto"/>
                                <w:bottom w:val="none" w:sz="0" w:space="0" w:color="auto"/>
                                <w:right w:val="none" w:sz="0" w:space="0" w:color="auto"/>
                              </w:divBdr>
                              <w:divsChild>
                                <w:div w:id="1070733219">
                                  <w:marLeft w:val="0"/>
                                  <w:marRight w:val="0"/>
                                  <w:marTop w:val="0"/>
                                  <w:marBottom w:val="0"/>
                                  <w:divBdr>
                                    <w:top w:val="none" w:sz="0" w:space="0" w:color="auto"/>
                                    <w:left w:val="none" w:sz="0" w:space="0" w:color="auto"/>
                                    <w:bottom w:val="none" w:sz="0" w:space="0" w:color="auto"/>
                                    <w:right w:val="none" w:sz="0" w:space="0" w:color="auto"/>
                                  </w:divBdr>
                                  <w:divsChild>
                                    <w:div w:id="51381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0487314">
      <w:bodyDiv w:val="1"/>
      <w:marLeft w:val="0"/>
      <w:marRight w:val="0"/>
      <w:marTop w:val="0"/>
      <w:marBottom w:val="0"/>
      <w:divBdr>
        <w:top w:val="none" w:sz="0" w:space="0" w:color="auto"/>
        <w:left w:val="none" w:sz="0" w:space="0" w:color="auto"/>
        <w:bottom w:val="none" w:sz="0" w:space="0" w:color="auto"/>
        <w:right w:val="none" w:sz="0" w:space="0" w:color="auto"/>
      </w:divBdr>
      <w:divsChild>
        <w:div w:id="1648168416">
          <w:marLeft w:val="0"/>
          <w:marRight w:val="0"/>
          <w:marTop w:val="0"/>
          <w:marBottom w:val="0"/>
          <w:divBdr>
            <w:top w:val="none" w:sz="0" w:space="0" w:color="auto"/>
            <w:left w:val="none" w:sz="0" w:space="0" w:color="auto"/>
            <w:bottom w:val="none" w:sz="0" w:space="0" w:color="auto"/>
            <w:right w:val="none" w:sz="0" w:space="0" w:color="auto"/>
          </w:divBdr>
          <w:divsChild>
            <w:div w:id="938760738">
              <w:marLeft w:val="0"/>
              <w:marRight w:val="0"/>
              <w:marTop w:val="0"/>
              <w:marBottom w:val="0"/>
              <w:divBdr>
                <w:top w:val="none" w:sz="0" w:space="0" w:color="auto"/>
                <w:left w:val="none" w:sz="0" w:space="0" w:color="auto"/>
                <w:bottom w:val="none" w:sz="0" w:space="0" w:color="auto"/>
                <w:right w:val="none" w:sz="0" w:space="0" w:color="auto"/>
              </w:divBdr>
            </w:div>
            <w:div w:id="19840452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70558829">
      <w:bodyDiv w:val="1"/>
      <w:marLeft w:val="0"/>
      <w:marRight w:val="0"/>
      <w:marTop w:val="0"/>
      <w:marBottom w:val="0"/>
      <w:divBdr>
        <w:top w:val="none" w:sz="0" w:space="0" w:color="auto"/>
        <w:left w:val="none" w:sz="0" w:space="0" w:color="auto"/>
        <w:bottom w:val="none" w:sz="0" w:space="0" w:color="auto"/>
        <w:right w:val="none" w:sz="0" w:space="0" w:color="auto"/>
      </w:divBdr>
    </w:div>
    <w:div w:id="1170561322">
      <w:bodyDiv w:val="1"/>
      <w:marLeft w:val="0"/>
      <w:marRight w:val="0"/>
      <w:marTop w:val="0"/>
      <w:marBottom w:val="0"/>
      <w:divBdr>
        <w:top w:val="none" w:sz="0" w:space="0" w:color="auto"/>
        <w:left w:val="none" w:sz="0" w:space="0" w:color="auto"/>
        <w:bottom w:val="none" w:sz="0" w:space="0" w:color="auto"/>
        <w:right w:val="none" w:sz="0" w:space="0" w:color="auto"/>
      </w:divBdr>
      <w:divsChild>
        <w:div w:id="609239416">
          <w:marLeft w:val="0"/>
          <w:marRight w:val="0"/>
          <w:marTop w:val="0"/>
          <w:marBottom w:val="150"/>
          <w:divBdr>
            <w:top w:val="none" w:sz="0" w:space="0" w:color="auto"/>
            <w:left w:val="none" w:sz="0" w:space="0" w:color="auto"/>
            <w:bottom w:val="none" w:sz="0" w:space="0" w:color="auto"/>
            <w:right w:val="none" w:sz="0" w:space="0" w:color="auto"/>
          </w:divBdr>
        </w:div>
      </w:divsChild>
    </w:div>
    <w:div w:id="1170605165">
      <w:bodyDiv w:val="1"/>
      <w:marLeft w:val="0"/>
      <w:marRight w:val="0"/>
      <w:marTop w:val="0"/>
      <w:marBottom w:val="0"/>
      <w:divBdr>
        <w:top w:val="none" w:sz="0" w:space="0" w:color="auto"/>
        <w:left w:val="none" w:sz="0" w:space="0" w:color="auto"/>
        <w:bottom w:val="none" w:sz="0" w:space="0" w:color="auto"/>
        <w:right w:val="none" w:sz="0" w:space="0" w:color="auto"/>
      </w:divBdr>
      <w:divsChild>
        <w:div w:id="1297219946">
          <w:marLeft w:val="0"/>
          <w:marRight w:val="0"/>
          <w:marTop w:val="0"/>
          <w:marBottom w:val="0"/>
          <w:divBdr>
            <w:top w:val="none" w:sz="0" w:space="0" w:color="auto"/>
            <w:left w:val="none" w:sz="0" w:space="0" w:color="auto"/>
            <w:bottom w:val="none" w:sz="0" w:space="0" w:color="auto"/>
            <w:right w:val="none" w:sz="0" w:space="0" w:color="auto"/>
          </w:divBdr>
          <w:divsChild>
            <w:div w:id="283420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70675937">
      <w:bodyDiv w:val="1"/>
      <w:marLeft w:val="0"/>
      <w:marRight w:val="0"/>
      <w:marTop w:val="0"/>
      <w:marBottom w:val="0"/>
      <w:divBdr>
        <w:top w:val="none" w:sz="0" w:space="0" w:color="auto"/>
        <w:left w:val="none" w:sz="0" w:space="0" w:color="auto"/>
        <w:bottom w:val="none" w:sz="0" w:space="0" w:color="auto"/>
        <w:right w:val="none" w:sz="0" w:space="0" w:color="auto"/>
      </w:divBdr>
    </w:div>
    <w:div w:id="1170751058">
      <w:bodyDiv w:val="1"/>
      <w:marLeft w:val="0"/>
      <w:marRight w:val="0"/>
      <w:marTop w:val="0"/>
      <w:marBottom w:val="0"/>
      <w:divBdr>
        <w:top w:val="none" w:sz="0" w:space="0" w:color="auto"/>
        <w:left w:val="none" w:sz="0" w:space="0" w:color="auto"/>
        <w:bottom w:val="none" w:sz="0" w:space="0" w:color="auto"/>
        <w:right w:val="none" w:sz="0" w:space="0" w:color="auto"/>
      </w:divBdr>
    </w:div>
    <w:div w:id="1171027580">
      <w:bodyDiv w:val="1"/>
      <w:marLeft w:val="0"/>
      <w:marRight w:val="0"/>
      <w:marTop w:val="0"/>
      <w:marBottom w:val="0"/>
      <w:divBdr>
        <w:top w:val="none" w:sz="0" w:space="0" w:color="auto"/>
        <w:left w:val="none" w:sz="0" w:space="0" w:color="auto"/>
        <w:bottom w:val="none" w:sz="0" w:space="0" w:color="auto"/>
        <w:right w:val="none" w:sz="0" w:space="0" w:color="auto"/>
      </w:divBdr>
      <w:divsChild>
        <w:div w:id="1284069177">
          <w:marLeft w:val="0"/>
          <w:marRight w:val="0"/>
          <w:marTop w:val="0"/>
          <w:marBottom w:val="0"/>
          <w:divBdr>
            <w:top w:val="none" w:sz="0" w:space="0" w:color="auto"/>
            <w:left w:val="none" w:sz="0" w:space="0" w:color="auto"/>
            <w:bottom w:val="none" w:sz="0" w:space="0" w:color="auto"/>
            <w:right w:val="none" w:sz="0" w:space="0" w:color="auto"/>
          </w:divBdr>
          <w:divsChild>
            <w:div w:id="1527133253">
              <w:marLeft w:val="0"/>
              <w:marRight w:val="0"/>
              <w:marTop w:val="0"/>
              <w:marBottom w:val="0"/>
              <w:divBdr>
                <w:top w:val="none" w:sz="0" w:space="0" w:color="auto"/>
                <w:left w:val="none" w:sz="0" w:space="0" w:color="auto"/>
                <w:bottom w:val="none" w:sz="0" w:space="0" w:color="auto"/>
                <w:right w:val="none" w:sz="0" w:space="0" w:color="auto"/>
              </w:divBdr>
              <w:divsChild>
                <w:div w:id="1124620376">
                  <w:marLeft w:val="0"/>
                  <w:marRight w:val="0"/>
                  <w:marTop w:val="0"/>
                  <w:marBottom w:val="0"/>
                  <w:divBdr>
                    <w:top w:val="none" w:sz="0" w:space="0" w:color="auto"/>
                    <w:left w:val="none" w:sz="0" w:space="0" w:color="auto"/>
                    <w:bottom w:val="none" w:sz="0" w:space="0" w:color="auto"/>
                    <w:right w:val="none" w:sz="0" w:space="0" w:color="auto"/>
                  </w:divBdr>
                  <w:divsChild>
                    <w:div w:id="2010061864">
                      <w:marLeft w:val="0"/>
                      <w:marRight w:val="0"/>
                      <w:marTop w:val="0"/>
                      <w:marBottom w:val="0"/>
                      <w:divBdr>
                        <w:top w:val="none" w:sz="0" w:space="0" w:color="auto"/>
                        <w:left w:val="none" w:sz="0" w:space="0" w:color="auto"/>
                        <w:bottom w:val="none" w:sz="0" w:space="0" w:color="auto"/>
                        <w:right w:val="none" w:sz="0" w:space="0" w:color="auto"/>
                      </w:divBdr>
                      <w:divsChild>
                        <w:div w:id="1383752130">
                          <w:marLeft w:val="0"/>
                          <w:marRight w:val="0"/>
                          <w:marTop w:val="0"/>
                          <w:marBottom w:val="0"/>
                          <w:divBdr>
                            <w:top w:val="none" w:sz="0" w:space="0" w:color="auto"/>
                            <w:left w:val="none" w:sz="0" w:space="0" w:color="auto"/>
                            <w:bottom w:val="none" w:sz="0" w:space="0" w:color="auto"/>
                            <w:right w:val="none" w:sz="0" w:space="0" w:color="auto"/>
                          </w:divBdr>
                          <w:divsChild>
                            <w:div w:id="40268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1069128">
      <w:bodyDiv w:val="1"/>
      <w:marLeft w:val="0"/>
      <w:marRight w:val="0"/>
      <w:marTop w:val="0"/>
      <w:marBottom w:val="0"/>
      <w:divBdr>
        <w:top w:val="none" w:sz="0" w:space="0" w:color="auto"/>
        <w:left w:val="none" w:sz="0" w:space="0" w:color="auto"/>
        <w:bottom w:val="none" w:sz="0" w:space="0" w:color="auto"/>
        <w:right w:val="none" w:sz="0" w:space="0" w:color="auto"/>
      </w:divBdr>
      <w:divsChild>
        <w:div w:id="1788498184">
          <w:marLeft w:val="0"/>
          <w:marRight w:val="0"/>
          <w:marTop w:val="0"/>
          <w:marBottom w:val="0"/>
          <w:divBdr>
            <w:top w:val="none" w:sz="0" w:space="0" w:color="auto"/>
            <w:left w:val="none" w:sz="0" w:space="0" w:color="auto"/>
            <w:bottom w:val="none" w:sz="0" w:space="0" w:color="auto"/>
            <w:right w:val="none" w:sz="0" w:space="0" w:color="auto"/>
          </w:divBdr>
          <w:divsChild>
            <w:div w:id="893588164">
              <w:marLeft w:val="0"/>
              <w:marRight w:val="0"/>
              <w:marTop w:val="0"/>
              <w:marBottom w:val="0"/>
              <w:divBdr>
                <w:top w:val="none" w:sz="0" w:space="0" w:color="auto"/>
                <w:left w:val="none" w:sz="0" w:space="0" w:color="auto"/>
                <w:bottom w:val="none" w:sz="0" w:space="0" w:color="auto"/>
                <w:right w:val="none" w:sz="0" w:space="0" w:color="auto"/>
              </w:divBdr>
            </w:div>
            <w:div w:id="20237033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71262986">
      <w:bodyDiv w:val="1"/>
      <w:marLeft w:val="0"/>
      <w:marRight w:val="0"/>
      <w:marTop w:val="0"/>
      <w:marBottom w:val="0"/>
      <w:divBdr>
        <w:top w:val="none" w:sz="0" w:space="0" w:color="auto"/>
        <w:left w:val="none" w:sz="0" w:space="0" w:color="auto"/>
        <w:bottom w:val="none" w:sz="0" w:space="0" w:color="auto"/>
        <w:right w:val="none" w:sz="0" w:space="0" w:color="auto"/>
      </w:divBdr>
    </w:div>
    <w:div w:id="1171338202">
      <w:bodyDiv w:val="1"/>
      <w:marLeft w:val="0"/>
      <w:marRight w:val="0"/>
      <w:marTop w:val="0"/>
      <w:marBottom w:val="0"/>
      <w:divBdr>
        <w:top w:val="none" w:sz="0" w:space="0" w:color="auto"/>
        <w:left w:val="none" w:sz="0" w:space="0" w:color="auto"/>
        <w:bottom w:val="none" w:sz="0" w:space="0" w:color="auto"/>
        <w:right w:val="none" w:sz="0" w:space="0" w:color="auto"/>
      </w:divBdr>
      <w:divsChild>
        <w:div w:id="1693070608">
          <w:marLeft w:val="0"/>
          <w:marRight w:val="0"/>
          <w:marTop w:val="0"/>
          <w:marBottom w:val="0"/>
          <w:divBdr>
            <w:top w:val="none" w:sz="0" w:space="0" w:color="auto"/>
            <w:left w:val="none" w:sz="0" w:space="0" w:color="auto"/>
            <w:bottom w:val="dotted" w:sz="6" w:space="4" w:color="DDDDDD"/>
            <w:right w:val="none" w:sz="0" w:space="0" w:color="auto"/>
          </w:divBdr>
        </w:div>
      </w:divsChild>
    </w:div>
    <w:div w:id="1172332455">
      <w:bodyDiv w:val="1"/>
      <w:marLeft w:val="0"/>
      <w:marRight w:val="0"/>
      <w:marTop w:val="0"/>
      <w:marBottom w:val="0"/>
      <w:divBdr>
        <w:top w:val="none" w:sz="0" w:space="0" w:color="auto"/>
        <w:left w:val="none" w:sz="0" w:space="0" w:color="auto"/>
        <w:bottom w:val="none" w:sz="0" w:space="0" w:color="auto"/>
        <w:right w:val="none" w:sz="0" w:space="0" w:color="auto"/>
      </w:divBdr>
    </w:div>
    <w:div w:id="1172448278">
      <w:bodyDiv w:val="1"/>
      <w:marLeft w:val="0"/>
      <w:marRight w:val="0"/>
      <w:marTop w:val="0"/>
      <w:marBottom w:val="0"/>
      <w:divBdr>
        <w:top w:val="none" w:sz="0" w:space="0" w:color="auto"/>
        <w:left w:val="none" w:sz="0" w:space="0" w:color="auto"/>
        <w:bottom w:val="none" w:sz="0" w:space="0" w:color="auto"/>
        <w:right w:val="none" w:sz="0" w:space="0" w:color="auto"/>
      </w:divBdr>
      <w:divsChild>
        <w:div w:id="1783256252">
          <w:marLeft w:val="0"/>
          <w:marRight w:val="0"/>
          <w:marTop w:val="0"/>
          <w:marBottom w:val="0"/>
          <w:divBdr>
            <w:top w:val="none" w:sz="0" w:space="0" w:color="auto"/>
            <w:left w:val="none" w:sz="0" w:space="0" w:color="auto"/>
            <w:bottom w:val="dotted" w:sz="6" w:space="4" w:color="DDDDDD"/>
            <w:right w:val="none" w:sz="0" w:space="0" w:color="auto"/>
          </w:divBdr>
          <w:divsChild>
            <w:div w:id="79930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3329">
      <w:bodyDiv w:val="1"/>
      <w:marLeft w:val="0"/>
      <w:marRight w:val="0"/>
      <w:marTop w:val="0"/>
      <w:marBottom w:val="0"/>
      <w:divBdr>
        <w:top w:val="none" w:sz="0" w:space="0" w:color="auto"/>
        <w:left w:val="none" w:sz="0" w:space="0" w:color="auto"/>
        <w:bottom w:val="none" w:sz="0" w:space="0" w:color="auto"/>
        <w:right w:val="none" w:sz="0" w:space="0" w:color="auto"/>
      </w:divBdr>
      <w:divsChild>
        <w:div w:id="312032412">
          <w:marLeft w:val="0"/>
          <w:marRight w:val="0"/>
          <w:marTop w:val="0"/>
          <w:marBottom w:val="150"/>
          <w:divBdr>
            <w:top w:val="none" w:sz="0" w:space="0" w:color="auto"/>
            <w:left w:val="none" w:sz="0" w:space="0" w:color="auto"/>
            <w:bottom w:val="none" w:sz="0" w:space="0" w:color="auto"/>
            <w:right w:val="none" w:sz="0" w:space="0" w:color="auto"/>
          </w:divBdr>
        </w:div>
      </w:divsChild>
    </w:div>
    <w:div w:id="1172986117">
      <w:bodyDiv w:val="1"/>
      <w:marLeft w:val="0"/>
      <w:marRight w:val="0"/>
      <w:marTop w:val="0"/>
      <w:marBottom w:val="0"/>
      <w:divBdr>
        <w:top w:val="none" w:sz="0" w:space="0" w:color="auto"/>
        <w:left w:val="none" w:sz="0" w:space="0" w:color="auto"/>
        <w:bottom w:val="none" w:sz="0" w:space="0" w:color="auto"/>
        <w:right w:val="none" w:sz="0" w:space="0" w:color="auto"/>
      </w:divBdr>
      <w:divsChild>
        <w:div w:id="1769542665">
          <w:marLeft w:val="0"/>
          <w:marRight w:val="0"/>
          <w:marTop w:val="0"/>
          <w:marBottom w:val="450"/>
          <w:divBdr>
            <w:top w:val="none" w:sz="0" w:space="0" w:color="auto"/>
            <w:left w:val="none" w:sz="0" w:space="0" w:color="auto"/>
            <w:bottom w:val="single" w:sz="6" w:space="19" w:color="EEEEEE"/>
            <w:right w:val="none" w:sz="0" w:space="0" w:color="auto"/>
          </w:divBdr>
          <w:divsChild>
            <w:div w:id="611713768">
              <w:marLeft w:val="0"/>
              <w:marRight w:val="0"/>
              <w:marTop w:val="0"/>
              <w:marBottom w:val="150"/>
              <w:divBdr>
                <w:top w:val="none" w:sz="0" w:space="0" w:color="auto"/>
                <w:left w:val="none" w:sz="0" w:space="0" w:color="auto"/>
                <w:bottom w:val="none" w:sz="0" w:space="0" w:color="auto"/>
                <w:right w:val="none" w:sz="0" w:space="0" w:color="auto"/>
              </w:divBdr>
              <w:divsChild>
                <w:div w:id="1673029003">
                  <w:marLeft w:val="0"/>
                  <w:marRight w:val="0"/>
                  <w:marTop w:val="0"/>
                  <w:marBottom w:val="0"/>
                  <w:divBdr>
                    <w:top w:val="none" w:sz="0" w:space="0" w:color="auto"/>
                    <w:left w:val="none" w:sz="0" w:space="0" w:color="auto"/>
                    <w:bottom w:val="none" w:sz="0" w:space="0" w:color="auto"/>
                    <w:right w:val="none" w:sz="0" w:space="0" w:color="auto"/>
                  </w:divBdr>
                </w:div>
              </w:divsChild>
            </w:div>
            <w:div w:id="345448840">
              <w:marLeft w:val="0"/>
              <w:marRight w:val="0"/>
              <w:marTop w:val="0"/>
              <w:marBottom w:val="0"/>
              <w:divBdr>
                <w:top w:val="none" w:sz="0" w:space="0" w:color="auto"/>
                <w:left w:val="none" w:sz="0" w:space="0" w:color="auto"/>
                <w:bottom w:val="none" w:sz="0" w:space="0" w:color="auto"/>
                <w:right w:val="none" w:sz="0" w:space="0" w:color="auto"/>
              </w:divBdr>
            </w:div>
          </w:divsChild>
        </w:div>
        <w:div w:id="331494299">
          <w:marLeft w:val="0"/>
          <w:marRight w:val="0"/>
          <w:marTop w:val="0"/>
          <w:marBottom w:val="0"/>
          <w:divBdr>
            <w:top w:val="none" w:sz="0" w:space="0" w:color="auto"/>
            <w:left w:val="none" w:sz="0" w:space="0" w:color="auto"/>
            <w:bottom w:val="none" w:sz="0" w:space="0" w:color="auto"/>
            <w:right w:val="none" w:sz="0" w:space="0" w:color="auto"/>
          </w:divBdr>
          <w:divsChild>
            <w:div w:id="2077050218">
              <w:marLeft w:val="0"/>
              <w:marRight w:val="0"/>
              <w:marTop w:val="0"/>
              <w:marBottom w:val="0"/>
              <w:divBdr>
                <w:top w:val="none" w:sz="0" w:space="0" w:color="auto"/>
                <w:left w:val="none" w:sz="0" w:space="0" w:color="auto"/>
                <w:bottom w:val="none" w:sz="0" w:space="0" w:color="auto"/>
                <w:right w:val="none" w:sz="0" w:space="0" w:color="auto"/>
              </w:divBdr>
              <w:divsChild>
                <w:div w:id="90781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74036">
      <w:bodyDiv w:val="1"/>
      <w:marLeft w:val="0"/>
      <w:marRight w:val="0"/>
      <w:marTop w:val="0"/>
      <w:marBottom w:val="0"/>
      <w:divBdr>
        <w:top w:val="none" w:sz="0" w:space="0" w:color="auto"/>
        <w:left w:val="none" w:sz="0" w:space="0" w:color="auto"/>
        <w:bottom w:val="none" w:sz="0" w:space="0" w:color="auto"/>
        <w:right w:val="none" w:sz="0" w:space="0" w:color="auto"/>
      </w:divBdr>
    </w:div>
    <w:div w:id="1173377462">
      <w:bodyDiv w:val="1"/>
      <w:marLeft w:val="0"/>
      <w:marRight w:val="0"/>
      <w:marTop w:val="0"/>
      <w:marBottom w:val="0"/>
      <w:divBdr>
        <w:top w:val="none" w:sz="0" w:space="0" w:color="auto"/>
        <w:left w:val="none" w:sz="0" w:space="0" w:color="auto"/>
        <w:bottom w:val="none" w:sz="0" w:space="0" w:color="auto"/>
        <w:right w:val="none" w:sz="0" w:space="0" w:color="auto"/>
      </w:divBdr>
      <w:divsChild>
        <w:div w:id="1874997290">
          <w:marLeft w:val="0"/>
          <w:marRight w:val="0"/>
          <w:marTop w:val="0"/>
          <w:marBottom w:val="0"/>
          <w:divBdr>
            <w:top w:val="none" w:sz="0" w:space="0" w:color="auto"/>
            <w:left w:val="none" w:sz="0" w:space="0" w:color="auto"/>
            <w:bottom w:val="dotted" w:sz="6" w:space="4" w:color="DDDDDD"/>
            <w:right w:val="none" w:sz="0" w:space="0" w:color="auto"/>
          </w:divBdr>
        </w:div>
      </w:divsChild>
    </w:div>
    <w:div w:id="1173758098">
      <w:bodyDiv w:val="1"/>
      <w:marLeft w:val="0"/>
      <w:marRight w:val="0"/>
      <w:marTop w:val="0"/>
      <w:marBottom w:val="0"/>
      <w:divBdr>
        <w:top w:val="none" w:sz="0" w:space="0" w:color="auto"/>
        <w:left w:val="none" w:sz="0" w:space="0" w:color="auto"/>
        <w:bottom w:val="none" w:sz="0" w:space="0" w:color="auto"/>
        <w:right w:val="none" w:sz="0" w:space="0" w:color="auto"/>
      </w:divBdr>
      <w:divsChild>
        <w:div w:id="1379940644">
          <w:marLeft w:val="0"/>
          <w:marRight w:val="0"/>
          <w:marTop w:val="0"/>
          <w:marBottom w:val="0"/>
          <w:divBdr>
            <w:top w:val="none" w:sz="0" w:space="0" w:color="auto"/>
            <w:left w:val="none" w:sz="0" w:space="0" w:color="auto"/>
            <w:bottom w:val="none" w:sz="0" w:space="0" w:color="auto"/>
            <w:right w:val="none" w:sz="0" w:space="0" w:color="auto"/>
          </w:divBdr>
        </w:div>
      </w:divsChild>
    </w:div>
    <w:div w:id="1174416738">
      <w:bodyDiv w:val="1"/>
      <w:marLeft w:val="0"/>
      <w:marRight w:val="0"/>
      <w:marTop w:val="0"/>
      <w:marBottom w:val="0"/>
      <w:divBdr>
        <w:top w:val="none" w:sz="0" w:space="0" w:color="auto"/>
        <w:left w:val="none" w:sz="0" w:space="0" w:color="auto"/>
        <w:bottom w:val="none" w:sz="0" w:space="0" w:color="auto"/>
        <w:right w:val="none" w:sz="0" w:space="0" w:color="auto"/>
      </w:divBdr>
      <w:divsChild>
        <w:div w:id="395856996">
          <w:marLeft w:val="0"/>
          <w:marRight w:val="0"/>
          <w:marTop w:val="0"/>
          <w:marBottom w:val="0"/>
          <w:divBdr>
            <w:top w:val="none" w:sz="0" w:space="0" w:color="auto"/>
            <w:left w:val="none" w:sz="0" w:space="0" w:color="auto"/>
            <w:bottom w:val="none" w:sz="0" w:space="0" w:color="auto"/>
            <w:right w:val="none" w:sz="0" w:space="0" w:color="auto"/>
          </w:divBdr>
        </w:div>
      </w:divsChild>
    </w:div>
    <w:div w:id="1175194037">
      <w:bodyDiv w:val="1"/>
      <w:marLeft w:val="0"/>
      <w:marRight w:val="0"/>
      <w:marTop w:val="0"/>
      <w:marBottom w:val="0"/>
      <w:divBdr>
        <w:top w:val="none" w:sz="0" w:space="0" w:color="auto"/>
        <w:left w:val="none" w:sz="0" w:space="0" w:color="auto"/>
        <w:bottom w:val="none" w:sz="0" w:space="0" w:color="auto"/>
        <w:right w:val="none" w:sz="0" w:space="0" w:color="auto"/>
      </w:divBdr>
      <w:divsChild>
        <w:div w:id="1757707204">
          <w:marLeft w:val="0"/>
          <w:marRight w:val="0"/>
          <w:marTop w:val="0"/>
          <w:marBottom w:val="0"/>
          <w:divBdr>
            <w:top w:val="none" w:sz="0" w:space="0" w:color="auto"/>
            <w:left w:val="none" w:sz="0" w:space="0" w:color="auto"/>
            <w:bottom w:val="none" w:sz="0" w:space="0" w:color="auto"/>
            <w:right w:val="none" w:sz="0" w:space="0" w:color="auto"/>
          </w:divBdr>
          <w:divsChild>
            <w:div w:id="1818643407">
              <w:marLeft w:val="0"/>
              <w:marRight w:val="0"/>
              <w:marTop w:val="0"/>
              <w:marBottom w:val="0"/>
              <w:divBdr>
                <w:top w:val="none" w:sz="0" w:space="0" w:color="auto"/>
                <w:left w:val="none" w:sz="0" w:space="0" w:color="auto"/>
                <w:bottom w:val="none" w:sz="0" w:space="0" w:color="auto"/>
                <w:right w:val="none" w:sz="0" w:space="0" w:color="auto"/>
              </w:divBdr>
              <w:divsChild>
                <w:div w:id="993678198">
                  <w:marLeft w:val="0"/>
                  <w:marRight w:val="0"/>
                  <w:marTop w:val="0"/>
                  <w:marBottom w:val="0"/>
                  <w:divBdr>
                    <w:top w:val="none" w:sz="0" w:space="0" w:color="auto"/>
                    <w:left w:val="none" w:sz="0" w:space="0" w:color="auto"/>
                    <w:bottom w:val="none" w:sz="0" w:space="0" w:color="auto"/>
                    <w:right w:val="none" w:sz="0" w:space="0" w:color="auto"/>
                  </w:divBdr>
                  <w:divsChild>
                    <w:div w:id="1264726571">
                      <w:marLeft w:val="0"/>
                      <w:marRight w:val="0"/>
                      <w:marTop w:val="0"/>
                      <w:marBottom w:val="0"/>
                      <w:divBdr>
                        <w:top w:val="none" w:sz="0" w:space="0" w:color="auto"/>
                        <w:left w:val="none" w:sz="0" w:space="0" w:color="auto"/>
                        <w:bottom w:val="none" w:sz="0" w:space="0" w:color="auto"/>
                        <w:right w:val="none" w:sz="0" w:space="0" w:color="auto"/>
                      </w:divBdr>
                      <w:divsChild>
                        <w:div w:id="1536384452">
                          <w:marLeft w:val="0"/>
                          <w:marRight w:val="0"/>
                          <w:marTop w:val="0"/>
                          <w:marBottom w:val="0"/>
                          <w:divBdr>
                            <w:top w:val="none" w:sz="0" w:space="0" w:color="auto"/>
                            <w:left w:val="none" w:sz="0" w:space="0" w:color="auto"/>
                            <w:bottom w:val="none" w:sz="0" w:space="0" w:color="auto"/>
                            <w:right w:val="none" w:sz="0" w:space="0" w:color="auto"/>
                          </w:divBdr>
                          <w:divsChild>
                            <w:div w:id="1727683930">
                              <w:marLeft w:val="0"/>
                              <w:marRight w:val="0"/>
                              <w:marTop w:val="0"/>
                              <w:marBottom w:val="0"/>
                              <w:divBdr>
                                <w:top w:val="none" w:sz="0" w:space="0" w:color="auto"/>
                                <w:left w:val="none" w:sz="0" w:space="0" w:color="auto"/>
                                <w:bottom w:val="none" w:sz="0" w:space="0" w:color="auto"/>
                                <w:right w:val="none" w:sz="0" w:space="0" w:color="auto"/>
                              </w:divBdr>
                              <w:divsChild>
                                <w:div w:id="121461105">
                                  <w:marLeft w:val="0"/>
                                  <w:marRight w:val="0"/>
                                  <w:marTop w:val="0"/>
                                  <w:marBottom w:val="0"/>
                                  <w:divBdr>
                                    <w:top w:val="none" w:sz="0" w:space="0" w:color="auto"/>
                                    <w:left w:val="none" w:sz="0" w:space="0" w:color="auto"/>
                                    <w:bottom w:val="none" w:sz="0" w:space="0" w:color="auto"/>
                                    <w:right w:val="none" w:sz="0" w:space="0" w:color="auto"/>
                                  </w:divBdr>
                                  <w:divsChild>
                                    <w:div w:id="150447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195346">
      <w:bodyDiv w:val="1"/>
      <w:marLeft w:val="0"/>
      <w:marRight w:val="0"/>
      <w:marTop w:val="0"/>
      <w:marBottom w:val="0"/>
      <w:divBdr>
        <w:top w:val="none" w:sz="0" w:space="0" w:color="auto"/>
        <w:left w:val="none" w:sz="0" w:space="0" w:color="auto"/>
        <w:bottom w:val="none" w:sz="0" w:space="0" w:color="auto"/>
        <w:right w:val="none" w:sz="0" w:space="0" w:color="auto"/>
      </w:divBdr>
      <w:divsChild>
        <w:div w:id="617029306">
          <w:marLeft w:val="0"/>
          <w:marRight w:val="0"/>
          <w:marTop w:val="0"/>
          <w:marBottom w:val="0"/>
          <w:divBdr>
            <w:top w:val="none" w:sz="0" w:space="0" w:color="auto"/>
            <w:left w:val="none" w:sz="0" w:space="0" w:color="auto"/>
            <w:bottom w:val="dotted" w:sz="6" w:space="4" w:color="DDDDDD"/>
            <w:right w:val="none" w:sz="0" w:space="0" w:color="auto"/>
          </w:divBdr>
        </w:div>
      </w:divsChild>
    </w:div>
    <w:div w:id="1175918076">
      <w:bodyDiv w:val="1"/>
      <w:marLeft w:val="0"/>
      <w:marRight w:val="0"/>
      <w:marTop w:val="0"/>
      <w:marBottom w:val="0"/>
      <w:divBdr>
        <w:top w:val="none" w:sz="0" w:space="0" w:color="auto"/>
        <w:left w:val="none" w:sz="0" w:space="0" w:color="auto"/>
        <w:bottom w:val="none" w:sz="0" w:space="0" w:color="auto"/>
        <w:right w:val="none" w:sz="0" w:space="0" w:color="auto"/>
      </w:divBdr>
      <w:divsChild>
        <w:div w:id="2031101321">
          <w:marLeft w:val="0"/>
          <w:marRight w:val="0"/>
          <w:marTop w:val="0"/>
          <w:marBottom w:val="225"/>
          <w:divBdr>
            <w:top w:val="none" w:sz="0" w:space="0" w:color="auto"/>
            <w:left w:val="none" w:sz="0" w:space="0" w:color="auto"/>
            <w:bottom w:val="none" w:sz="0" w:space="0" w:color="auto"/>
            <w:right w:val="none" w:sz="0" w:space="0" w:color="auto"/>
          </w:divBdr>
        </w:div>
        <w:div w:id="1347902979">
          <w:marLeft w:val="0"/>
          <w:marRight w:val="0"/>
          <w:marTop w:val="0"/>
          <w:marBottom w:val="225"/>
          <w:divBdr>
            <w:top w:val="none" w:sz="0" w:space="0" w:color="auto"/>
            <w:left w:val="none" w:sz="0" w:space="0" w:color="auto"/>
            <w:bottom w:val="none" w:sz="0" w:space="0" w:color="auto"/>
            <w:right w:val="none" w:sz="0" w:space="0" w:color="auto"/>
          </w:divBdr>
          <w:divsChild>
            <w:div w:id="1753313547">
              <w:marLeft w:val="0"/>
              <w:marRight w:val="0"/>
              <w:marTop w:val="0"/>
              <w:marBottom w:val="0"/>
              <w:divBdr>
                <w:top w:val="none" w:sz="0" w:space="0" w:color="auto"/>
                <w:left w:val="none" w:sz="0" w:space="0" w:color="auto"/>
                <w:bottom w:val="none" w:sz="0" w:space="0" w:color="auto"/>
                <w:right w:val="none" w:sz="0" w:space="0" w:color="auto"/>
              </w:divBdr>
              <w:divsChild>
                <w:div w:id="3882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923162">
      <w:bodyDiv w:val="1"/>
      <w:marLeft w:val="0"/>
      <w:marRight w:val="0"/>
      <w:marTop w:val="0"/>
      <w:marBottom w:val="0"/>
      <w:divBdr>
        <w:top w:val="none" w:sz="0" w:space="0" w:color="auto"/>
        <w:left w:val="none" w:sz="0" w:space="0" w:color="auto"/>
        <w:bottom w:val="none" w:sz="0" w:space="0" w:color="auto"/>
        <w:right w:val="none" w:sz="0" w:space="0" w:color="auto"/>
      </w:divBdr>
      <w:divsChild>
        <w:div w:id="1905337008">
          <w:marLeft w:val="0"/>
          <w:marRight w:val="0"/>
          <w:marTop w:val="0"/>
          <w:marBottom w:val="300"/>
          <w:divBdr>
            <w:top w:val="none" w:sz="0" w:space="0" w:color="auto"/>
            <w:left w:val="none" w:sz="0" w:space="0" w:color="auto"/>
            <w:bottom w:val="none" w:sz="0" w:space="0" w:color="auto"/>
            <w:right w:val="none" w:sz="0" w:space="0" w:color="auto"/>
          </w:divBdr>
          <w:divsChild>
            <w:div w:id="1497187232">
              <w:marLeft w:val="0"/>
              <w:marRight w:val="0"/>
              <w:marTop w:val="0"/>
              <w:marBottom w:val="0"/>
              <w:divBdr>
                <w:top w:val="none" w:sz="0" w:space="0" w:color="auto"/>
                <w:left w:val="none" w:sz="0" w:space="0" w:color="auto"/>
                <w:bottom w:val="none" w:sz="0" w:space="0" w:color="auto"/>
                <w:right w:val="none" w:sz="0" w:space="0" w:color="auto"/>
              </w:divBdr>
              <w:divsChild>
                <w:div w:id="1482424332">
                  <w:marLeft w:val="0"/>
                  <w:marRight w:val="0"/>
                  <w:marTop w:val="0"/>
                  <w:marBottom w:val="0"/>
                  <w:divBdr>
                    <w:top w:val="none" w:sz="0" w:space="0" w:color="auto"/>
                    <w:left w:val="none" w:sz="0" w:space="0" w:color="auto"/>
                    <w:bottom w:val="none" w:sz="0" w:space="0" w:color="auto"/>
                    <w:right w:val="none" w:sz="0" w:space="0" w:color="auto"/>
                  </w:divBdr>
                  <w:divsChild>
                    <w:div w:id="1306082407">
                      <w:marLeft w:val="0"/>
                      <w:marRight w:val="0"/>
                      <w:marTop w:val="0"/>
                      <w:marBottom w:val="225"/>
                      <w:divBdr>
                        <w:top w:val="none" w:sz="0" w:space="0" w:color="2D2D2D"/>
                        <w:left w:val="none" w:sz="0" w:space="0" w:color="2D2D2D"/>
                        <w:bottom w:val="none" w:sz="0" w:space="0" w:color="2D2D2D"/>
                        <w:right w:val="none" w:sz="0" w:space="0" w:color="2D2D2D"/>
                      </w:divBdr>
                      <w:divsChild>
                        <w:div w:id="1698651615">
                          <w:marLeft w:val="0"/>
                          <w:marRight w:val="0"/>
                          <w:marTop w:val="120"/>
                          <w:marBottom w:val="150"/>
                          <w:divBdr>
                            <w:top w:val="none" w:sz="0" w:space="0" w:color="auto"/>
                            <w:left w:val="none" w:sz="0" w:space="0" w:color="auto"/>
                            <w:bottom w:val="none" w:sz="0" w:space="0" w:color="auto"/>
                            <w:right w:val="none" w:sz="0" w:space="0" w:color="auto"/>
                          </w:divBdr>
                          <w:divsChild>
                            <w:div w:id="44245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996431">
      <w:bodyDiv w:val="1"/>
      <w:marLeft w:val="0"/>
      <w:marRight w:val="0"/>
      <w:marTop w:val="0"/>
      <w:marBottom w:val="0"/>
      <w:divBdr>
        <w:top w:val="none" w:sz="0" w:space="0" w:color="auto"/>
        <w:left w:val="none" w:sz="0" w:space="0" w:color="auto"/>
        <w:bottom w:val="none" w:sz="0" w:space="0" w:color="auto"/>
        <w:right w:val="none" w:sz="0" w:space="0" w:color="auto"/>
      </w:divBdr>
    </w:div>
    <w:div w:id="1176115722">
      <w:bodyDiv w:val="1"/>
      <w:marLeft w:val="0"/>
      <w:marRight w:val="0"/>
      <w:marTop w:val="0"/>
      <w:marBottom w:val="0"/>
      <w:divBdr>
        <w:top w:val="none" w:sz="0" w:space="0" w:color="auto"/>
        <w:left w:val="none" w:sz="0" w:space="0" w:color="auto"/>
        <w:bottom w:val="none" w:sz="0" w:space="0" w:color="auto"/>
        <w:right w:val="none" w:sz="0" w:space="0" w:color="auto"/>
      </w:divBdr>
      <w:divsChild>
        <w:div w:id="323314667">
          <w:marLeft w:val="0"/>
          <w:marRight w:val="0"/>
          <w:marTop w:val="0"/>
          <w:marBottom w:val="0"/>
          <w:divBdr>
            <w:top w:val="none" w:sz="0" w:space="0" w:color="auto"/>
            <w:left w:val="none" w:sz="0" w:space="0" w:color="auto"/>
            <w:bottom w:val="none" w:sz="0" w:space="0" w:color="auto"/>
            <w:right w:val="none" w:sz="0" w:space="0" w:color="auto"/>
          </w:divBdr>
        </w:div>
        <w:div w:id="394932029">
          <w:marLeft w:val="0"/>
          <w:marRight w:val="0"/>
          <w:marTop w:val="0"/>
          <w:marBottom w:val="0"/>
          <w:divBdr>
            <w:top w:val="none" w:sz="0" w:space="0" w:color="auto"/>
            <w:left w:val="none" w:sz="0" w:space="0" w:color="auto"/>
            <w:bottom w:val="none" w:sz="0" w:space="0" w:color="auto"/>
            <w:right w:val="none" w:sz="0" w:space="0" w:color="auto"/>
          </w:divBdr>
          <w:divsChild>
            <w:div w:id="1616517292">
              <w:marLeft w:val="0"/>
              <w:marRight w:val="0"/>
              <w:marTop w:val="0"/>
              <w:marBottom w:val="0"/>
              <w:divBdr>
                <w:top w:val="none" w:sz="0" w:space="0" w:color="auto"/>
                <w:left w:val="none" w:sz="0" w:space="0" w:color="auto"/>
                <w:bottom w:val="none" w:sz="0" w:space="0" w:color="auto"/>
                <w:right w:val="none" w:sz="0" w:space="0" w:color="auto"/>
              </w:divBdr>
              <w:divsChild>
                <w:div w:id="149202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153051">
          <w:marLeft w:val="0"/>
          <w:marRight w:val="0"/>
          <w:marTop w:val="0"/>
          <w:marBottom w:val="300"/>
          <w:divBdr>
            <w:top w:val="none" w:sz="0" w:space="0" w:color="auto"/>
            <w:left w:val="none" w:sz="0" w:space="0" w:color="auto"/>
            <w:bottom w:val="none" w:sz="0" w:space="0" w:color="auto"/>
            <w:right w:val="none" w:sz="0" w:space="0" w:color="auto"/>
          </w:divBdr>
          <w:divsChild>
            <w:div w:id="292181326">
              <w:marLeft w:val="0"/>
              <w:marRight w:val="0"/>
              <w:marTop w:val="0"/>
              <w:marBottom w:val="0"/>
              <w:divBdr>
                <w:top w:val="none" w:sz="0" w:space="0" w:color="auto"/>
                <w:left w:val="none" w:sz="0" w:space="0" w:color="auto"/>
                <w:bottom w:val="none" w:sz="0" w:space="0" w:color="auto"/>
                <w:right w:val="none" w:sz="0" w:space="0" w:color="auto"/>
              </w:divBdr>
            </w:div>
          </w:divsChild>
        </w:div>
        <w:div w:id="1201672444">
          <w:marLeft w:val="0"/>
          <w:marRight w:val="0"/>
          <w:marTop w:val="0"/>
          <w:marBottom w:val="75"/>
          <w:divBdr>
            <w:top w:val="none" w:sz="0" w:space="0" w:color="auto"/>
            <w:left w:val="none" w:sz="0" w:space="0" w:color="auto"/>
            <w:bottom w:val="none" w:sz="0" w:space="0" w:color="auto"/>
            <w:right w:val="none" w:sz="0" w:space="0" w:color="auto"/>
          </w:divBdr>
        </w:div>
      </w:divsChild>
    </w:div>
    <w:div w:id="1176187270">
      <w:bodyDiv w:val="1"/>
      <w:marLeft w:val="0"/>
      <w:marRight w:val="0"/>
      <w:marTop w:val="0"/>
      <w:marBottom w:val="0"/>
      <w:divBdr>
        <w:top w:val="none" w:sz="0" w:space="0" w:color="auto"/>
        <w:left w:val="none" w:sz="0" w:space="0" w:color="auto"/>
        <w:bottom w:val="none" w:sz="0" w:space="0" w:color="auto"/>
        <w:right w:val="none" w:sz="0" w:space="0" w:color="auto"/>
      </w:divBdr>
    </w:div>
    <w:div w:id="1176191950">
      <w:bodyDiv w:val="1"/>
      <w:marLeft w:val="0"/>
      <w:marRight w:val="0"/>
      <w:marTop w:val="0"/>
      <w:marBottom w:val="0"/>
      <w:divBdr>
        <w:top w:val="none" w:sz="0" w:space="0" w:color="auto"/>
        <w:left w:val="none" w:sz="0" w:space="0" w:color="auto"/>
        <w:bottom w:val="none" w:sz="0" w:space="0" w:color="auto"/>
        <w:right w:val="none" w:sz="0" w:space="0" w:color="auto"/>
      </w:divBdr>
      <w:divsChild>
        <w:div w:id="1848253233">
          <w:marLeft w:val="0"/>
          <w:marRight w:val="0"/>
          <w:marTop w:val="0"/>
          <w:marBottom w:val="0"/>
          <w:divBdr>
            <w:top w:val="none" w:sz="0" w:space="0" w:color="auto"/>
            <w:left w:val="none" w:sz="0" w:space="0" w:color="auto"/>
            <w:bottom w:val="dotted" w:sz="6" w:space="4" w:color="DDDDDD"/>
            <w:right w:val="none" w:sz="0" w:space="0" w:color="auto"/>
          </w:divBdr>
          <w:divsChild>
            <w:div w:id="135083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387770">
      <w:bodyDiv w:val="1"/>
      <w:marLeft w:val="0"/>
      <w:marRight w:val="0"/>
      <w:marTop w:val="0"/>
      <w:marBottom w:val="0"/>
      <w:divBdr>
        <w:top w:val="none" w:sz="0" w:space="0" w:color="auto"/>
        <w:left w:val="none" w:sz="0" w:space="0" w:color="auto"/>
        <w:bottom w:val="none" w:sz="0" w:space="0" w:color="auto"/>
        <w:right w:val="none" w:sz="0" w:space="0" w:color="auto"/>
      </w:divBdr>
    </w:div>
    <w:div w:id="1176725367">
      <w:bodyDiv w:val="1"/>
      <w:marLeft w:val="0"/>
      <w:marRight w:val="0"/>
      <w:marTop w:val="0"/>
      <w:marBottom w:val="0"/>
      <w:divBdr>
        <w:top w:val="none" w:sz="0" w:space="0" w:color="auto"/>
        <w:left w:val="none" w:sz="0" w:space="0" w:color="auto"/>
        <w:bottom w:val="none" w:sz="0" w:space="0" w:color="auto"/>
        <w:right w:val="none" w:sz="0" w:space="0" w:color="auto"/>
      </w:divBdr>
      <w:divsChild>
        <w:div w:id="1934822980">
          <w:marLeft w:val="0"/>
          <w:marRight w:val="0"/>
          <w:marTop w:val="0"/>
          <w:marBottom w:val="0"/>
          <w:divBdr>
            <w:top w:val="none" w:sz="0" w:space="0" w:color="auto"/>
            <w:left w:val="none" w:sz="0" w:space="0" w:color="auto"/>
            <w:bottom w:val="none" w:sz="0" w:space="0" w:color="auto"/>
            <w:right w:val="none" w:sz="0" w:space="0" w:color="auto"/>
          </w:divBdr>
          <w:divsChild>
            <w:div w:id="127756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378278">
      <w:bodyDiv w:val="1"/>
      <w:marLeft w:val="0"/>
      <w:marRight w:val="0"/>
      <w:marTop w:val="0"/>
      <w:marBottom w:val="0"/>
      <w:divBdr>
        <w:top w:val="none" w:sz="0" w:space="0" w:color="auto"/>
        <w:left w:val="none" w:sz="0" w:space="0" w:color="auto"/>
        <w:bottom w:val="none" w:sz="0" w:space="0" w:color="auto"/>
        <w:right w:val="none" w:sz="0" w:space="0" w:color="auto"/>
      </w:divBdr>
      <w:divsChild>
        <w:div w:id="1796368303">
          <w:marLeft w:val="0"/>
          <w:marRight w:val="0"/>
          <w:marTop w:val="0"/>
          <w:marBottom w:val="0"/>
          <w:divBdr>
            <w:top w:val="none" w:sz="0" w:space="0" w:color="auto"/>
            <w:left w:val="none" w:sz="0" w:space="0" w:color="auto"/>
            <w:bottom w:val="none" w:sz="0" w:space="0" w:color="auto"/>
            <w:right w:val="none" w:sz="0" w:space="0" w:color="auto"/>
          </w:divBdr>
          <w:divsChild>
            <w:div w:id="448084078">
              <w:marLeft w:val="0"/>
              <w:marRight w:val="0"/>
              <w:marTop w:val="0"/>
              <w:marBottom w:val="0"/>
              <w:divBdr>
                <w:top w:val="none" w:sz="0" w:space="0" w:color="auto"/>
                <w:left w:val="none" w:sz="0" w:space="0" w:color="auto"/>
                <w:bottom w:val="none" w:sz="0" w:space="0" w:color="auto"/>
                <w:right w:val="none" w:sz="0" w:space="0" w:color="auto"/>
              </w:divBdr>
              <w:divsChild>
                <w:div w:id="69544310">
                  <w:marLeft w:val="0"/>
                  <w:marRight w:val="0"/>
                  <w:marTop w:val="0"/>
                  <w:marBottom w:val="0"/>
                  <w:divBdr>
                    <w:top w:val="none" w:sz="0" w:space="0" w:color="auto"/>
                    <w:left w:val="none" w:sz="0" w:space="0" w:color="auto"/>
                    <w:bottom w:val="none" w:sz="0" w:space="0" w:color="auto"/>
                    <w:right w:val="none" w:sz="0" w:space="0" w:color="auto"/>
                  </w:divBdr>
                  <w:divsChild>
                    <w:div w:id="732889485">
                      <w:marLeft w:val="0"/>
                      <w:marRight w:val="0"/>
                      <w:marTop w:val="0"/>
                      <w:marBottom w:val="0"/>
                      <w:divBdr>
                        <w:top w:val="none" w:sz="0" w:space="0" w:color="auto"/>
                        <w:left w:val="none" w:sz="0" w:space="0" w:color="auto"/>
                        <w:bottom w:val="none" w:sz="0" w:space="0" w:color="auto"/>
                        <w:right w:val="none" w:sz="0" w:space="0" w:color="auto"/>
                      </w:divBdr>
                      <w:divsChild>
                        <w:div w:id="418409347">
                          <w:marLeft w:val="0"/>
                          <w:marRight w:val="0"/>
                          <w:marTop w:val="0"/>
                          <w:marBottom w:val="0"/>
                          <w:divBdr>
                            <w:top w:val="none" w:sz="0" w:space="0" w:color="auto"/>
                            <w:left w:val="none" w:sz="0" w:space="0" w:color="auto"/>
                            <w:bottom w:val="none" w:sz="0" w:space="0" w:color="auto"/>
                            <w:right w:val="none" w:sz="0" w:space="0" w:color="auto"/>
                          </w:divBdr>
                          <w:divsChild>
                            <w:div w:id="1244415178">
                              <w:marLeft w:val="0"/>
                              <w:marRight w:val="0"/>
                              <w:marTop w:val="0"/>
                              <w:marBottom w:val="0"/>
                              <w:divBdr>
                                <w:top w:val="none" w:sz="0" w:space="0" w:color="auto"/>
                                <w:left w:val="none" w:sz="0" w:space="0" w:color="auto"/>
                                <w:bottom w:val="none" w:sz="0" w:space="0" w:color="auto"/>
                                <w:right w:val="none" w:sz="0" w:space="0" w:color="auto"/>
                              </w:divBdr>
                              <w:divsChild>
                                <w:div w:id="772480024">
                                  <w:marLeft w:val="0"/>
                                  <w:marRight w:val="0"/>
                                  <w:marTop w:val="0"/>
                                  <w:marBottom w:val="0"/>
                                  <w:divBdr>
                                    <w:top w:val="none" w:sz="0" w:space="0" w:color="auto"/>
                                    <w:left w:val="none" w:sz="0" w:space="0" w:color="auto"/>
                                    <w:bottom w:val="none" w:sz="0" w:space="0" w:color="auto"/>
                                    <w:right w:val="none" w:sz="0" w:space="0" w:color="auto"/>
                                  </w:divBdr>
                                  <w:divsChild>
                                    <w:div w:id="95656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378858">
      <w:bodyDiv w:val="1"/>
      <w:marLeft w:val="0"/>
      <w:marRight w:val="0"/>
      <w:marTop w:val="0"/>
      <w:marBottom w:val="0"/>
      <w:divBdr>
        <w:top w:val="none" w:sz="0" w:space="0" w:color="auto"/>
        <w:left w:val="none" w:sz="0" w:space="0" w:color="auto"/>
        <w:bottom w:val="none" w:sz="0" w:space="0" w:color="auto"/>
        <w:right w:val="none" w:sz="0" w:space="0" w:color="auto"/>
      </w:divBdr>
    </w:div>
    <w:div w:id="1177428151">
      <w:bodyDiv w:val="1"/>
      <w:marLeft w:val="0"/>
      <w:marRight w:val="0"/>
      <w:marTop w:val="0"/>
      <w:marBottom w:val="0"/>
      <w:divBdr>
        <w:top w:val="none" w:sz="0" w:space="0" w:color="auto"/>
        <w:left w:val="none" w:sz="0" w:space="0" w:color="auto"/>
        <w:bottom w:val="none" w:sz="0" w:space="0" w:color="auto"/>
        <w:right w:val="none" w:sz="0" w:space="0" w:color="auto"/>
      </w:divBdr>
      <w:divsChild>
        <w:div w:id="1768581049">
          <w:marLeft w:val="0"/>
          <w:marRight w:val="0"/>
          <w:marTop w:val="0"/>
          <w:marBottom w:val="225"/>
          <w:divBdr>
            <w:top w:val="none" w:sz="0" w:space="0" w:color="auto"/>
            <w:left w:val="none" w:sz="0" w:space="0" w:color="auto"/>
            <w:bottom w:val="none" w:sz="0" w:space="0" w:color="auto"/>
            <w:right w:val="none" w:sz="0" w:space="0" w:color="auto"/>
          </w:divBdr>
        </w:div>
      </w:divsChild>
    </w:div>
    <w:div w:id="1177693701">
      <w:bodyDiv w:val="1"/>
      <w:marLeft w:val="0"/>
      <w:marRight w:val="0"/>
      <w:marTop w:val="0"/>
      <w:marBottom w:val="0"/>
      <w:divBdr>
        <w:top w:val="none" w:sz="0" w:space="0" w:color="auto"/>
        <w:left w:val="none" w:sz="0" w:space="0" w:color="auto"/>
        <w:bottom w:val="none" w:sz="0" w:space="0" w:color="auto"/>
        <w:right w:val="none" w:sz="0" w:space="0" w:color="auto"/>
      </w:divBdr>
      <w:divsChild>
        <w:div w:id="2133552161">
          <w:marLeft w:val="0"/>
          <w:marRight w:val="0"/>
          <w:marTop w:val="0"/>
          <w:marBottom w:val="0"/>
          <w:divBdr>
            <w:top w:val="none" w:sz="0" w:space="0" w:color="auto"/>
            <w:left w:val="none" w:sz="0" w:space="0" w:color="auto"/>
            <w:bottom w:val="none" w:sz="0" w:space="0" w:color="auto"/>
            <w:right w:val="none" w:sz="0" w:space="0" w:color="auto"/>
          </w:divBdr>
          <w:divsChild>
            <w:div w:id="1539782313">
              <w:marLeft w:val="0"/>
              <w:marRight w:val="0"/>
              <w:marTop w:val="0"/>
              <w:marBottom w:val="0"/>
              <w:divBdr>
                <w:top w:val="none" w:sz="0" w:space="0" w:color="auto"/>
                <w:left w:val="none" w:sz="0" w:space="0" w:color="auto"/>
                <w:bottom w:val="none" w:sz="0" w:space="0" w:color="auto"/>
                <w:right w:val="none" w:sz="0" w:space="0" w:color="auto"/>
              </w:divBdr>
              <w:divsChild>
                <w:div w:id="1645507404">
                  <w:marLeft w:val="0"/>
                  <w:marRight w:val="0"/>
                  <w:marTop w:val="0"/>
                  <w:marBottom w:val="0"/>
                  <w:divBdr>
                    <w:top w:val="none" w:sz="0" w:space="0" w:color="auto"/>
                    <w:left w:val="none" w:sz="0" w:space="0" w:color="auto"/>
                    <w:bottom w:val="none" w:sz="0" w:space="0" w:color="auto"/>
                    <w:right w:val="none" w:sz="0" w:space="0" w:color="auto"/>
                  </w:divBdr>
                  <w:divsChild>
                    <w:div w:id="1288050872">
                      <w:marLeft w:val="0"/>
                      <w:marRight w:val="0"/>
                      <w:marTop w:val="0"/>
                      <w:marBottom w:val="0"/>
                      <w:divBdr>
                        <w:top w:val="none" w:sz="0" w:space="0" w:color="auto"/>
                        <w:left w:val="none" w:sz="0" w:space="0" w:color="auto"/>
                        <w:bottom w:val="none" w:sz="0" w:space="0" w:color="auto"/>
                        <w:right w:val="none" w:sz="0" w:space="0" w:color="auto"/>
                      </w:divBdr>
                      <w:divsChild>
                        <w:div w:id="2003971310">
                          <w:marLeft w:val="0"/>
                          <w:marRight w:val="0"/>
                          <w:marTop w:val="0"/>
                          <w:marBottom w:val="0"/>
                          <w:divBdr>
                            <w:top w:val="none" w:sz="0" w:space="0" w:color="auto"/>
                            <w:left w:val="none" w:sz="0" w:space="0" w:color="auto"/>
                            <w:bottom w:val="none" w:sz="0" w:space="0" w:color="auto"/>
                            <w:right w:val="none" w:sz="0" w:space="0" w:color="auto"/>
                          </w:divBdr>
                          <w:divsChild>
                            <w:div w:id="338434463">
                              <w:marLeft w:val="0"/>
                              <w:marRight w:val="0"/>
                              <w:marTop w:val="0"/>
                              <w:marBottom w:val="0"/>
                              <w:divBdr>
                                <w:top w:val="none" w:sz="0" w:space="0" w:color="auto"/>
                                <w:left w:val="none" w:sz="0" w:space="0" w:color="auto"/>
                                <w:bottom w:val="none" w:sz="0" w:space="0" w:color="auto"/>
                                <w:right w:val="none" w:sz="0" w:space="0" w:color="auto"/>
                              </w:divBdr>
                              <w:divsChild>
                                <w:div w:id="406734576">
                                  <w:marLeft w:val="0"/>
                                  <w:marRight w:val="0"/>
                                  <w:marTop w:val="0"/>
                                  <w:marBottom w:val="0"/>
                                  <w:divBdr>
                                    <w:top w:val="none" w:sz="0" w:space="0" w:color="auto"/>
                                    <w:left w:val="none" w:sz="0" w:space="0" w:color="auto"/>
                                    <w:bottom w:val="none" w:sz="0" w:space="0" w:color="auto"/>
                                    <w:right w:val="none" w:sz="0" w:space="0" w:color="auto"/>
                                  </w:divBdr>
                                  <w:divsChild>
                                    <w:div w:id="37469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8737707">
      <w:bodyDiv w:val="1"/>
      <w:marLeft w:val="0"/>
      <w:marRight w:val="0"/>
      <w:marTop w:val="0"/>
      <w:marBottom w:val="0"/>
      <w:divBdr>
        <w:top w:val="none" w:sz="0" w:space="0" w:color="auto"/>
        <w:left w:val="none" w:sz="0" w:space="0" w:color="auto"/>
        <w:bottom w:val="none" w:sz="0" w:space="0" w:color="auto"/>
        <w:right w:val="none" w:sz="0" w:space="0" w:color="auto"/>
      </w:divBdr>
    </w:div>
    <w:div w:id="1178739016">
      <w:bodyDiv w:val="1"/>
      <w:marLeft w:val="0"/>
      <w:marRight w:val="0"/>
      <w:marTop w:val="0"/>
      <w:marBottom w:val="0"/>
      <w:divBdr>
        <w:top w:val="none" w:sz="0" w:space="0" w:color="auto"/>
        <w:left w:val="none" w:sz="0" w:space="0" w:color="auto"/>
        <w:bottom w:val="none" w:sz="0" w:space="0" w:color="auto"/>
        <w:right w:val="none" w:sz="0" w:space="0" w:color="auto"/>
      </w:divBdr>
      <w:divsChild>
        <w:div w:id="1027291054">
          <w:marLeft w:val="0"/>
          <w:marRight w:val="0"/>
          <w:marTop w:val="0"/>
          <w:marBottom w:val="150"/>
          <w:divBdr>
            <w:top w:val="none" w:sz="0" w:space="0" w:color="auto"/>
            <w:left w:val="none" w:sz="0" w:space="0" w:color="auto"/>
            <w:bottom w:val="none" w:sz="0" w:space="0" w:color="auto"/>
            <w:right w:val="none" w:sz="0" w:space="0" w:color="auto"/>
          </w:divBdr>
        </w:div>
      </w:divsChild>
    </w:div>
    <w:div w:id="1178815969">
      <w:bodyDiv w:val="1"/>
      <w:marLeft w:val="0"/>
      <w:marRight w:val="0"/>
      <w:marTop w:val="0"/>
      <w:marBottom w:val="0"/>
      <w:divBdr>
        <w:top w:val="none" w:sz="0" w:space="0" w:color="auto"/>
        <w:left w:val="none" w:sz="0" w:space="0" w:color="auto"/>
        <w:bottom w:val="none" w:sz="0" w:space="0" w:color="auto"/>
        <w:right w:val="none" w:sz="0" w:space="0" w:color="auto"/>
      </w:divBdr>
      <w:divsChild>
        <w:div w:id="693310060">
          <w:marLeft w:val="0"/>
          <w:marRight w:val="0"/>
          <w:marTop w:val="0"/>
          <w:marBottom w:val="0"/>
          <w:divBdr>
            <w:top w:val="none" w:sz="0" w:space="0" w:color="auto"/>
            <w:left w:val="none" w:sz="0" w:space="0" w:color="auto"/>
            <w:bottom w:val="none" w:sz="0" w:space="0" w:color="auto"/>
            <w:right w:val="none" w:sz="0" w:space="0" w:color="auto"/>
          </w:divBdr>
          <w:divsChild>
            <w:div w:id="629437749">
              <w:marLeft w:val="0"/>
              <w:marRight w:val="0"/>
              <w:marTop w:val="0"/>
              <w:marBottom w:val="0"/>
              <w:divBdr>
                <w:top w:val="none" w:sz="0" w:space="0" w:color="auto"/>
                <w:left w:val="none" w:sz="0" w:space="0" w:color="auto"/>
                <w:bottom w:val="none" w:sz="0" w:space="0" w:color="auto"/>
                <w:right w:val="none" w:sz="0" w:space="0" w:color="auto"/>
              </w:divBdr>
              <w:divsChild>
                <w:div w:id="1602106803">
                  <w:marLeft w:val="0"/>
                  <w:marRight w:val="0"/>
                  <w:marTop w:val="0"/>
                  <w:marBottom w:val="0"/>
                  <w:divBdr>
                    <w:top w:val="none" w:sz="0" w:space="0" w:color="auto"/>
                    <w:left w:val="none" w:sz="0" w:space="0" w:color="auto"/>
                    <w:bottom w:val="none" w:sz="0" w:space="0" w:color="auto"/>
                    <w:right w:val="none" w:sz="0" w:space="0" w:color="auto"/>
                  </w:divBdr>
                  <w:divsChild>
                    <w:div w:id="309098046">
                      <w:marLeft w:val="0"/>
                      <w:marRight w:val="0"/>
                      <w:marTop w:val="0"/>
                      <w:marBottom w:val="0"/>
                      <w:divBdr>
                        <w:top w:val="none" w:sz="0" w:space="0" w:color="auto"/>
                        <w:left w:val="none" w:sz="0" w:space="0" w:color="auto"/>
                        <w:bottom w:val="none" w:sz="0" w:space="0" w:color="auto"/>
                        <w:right w:val="none" w:sz="0" w:space="0" w:color="auto"/>
                      </w:divBdr>
                      <w:divsChild>
                        <w:div w:id="686055201">
                          <w:marLeft w:val="0"/>
                          <w:marRight w:val="0"/>
                          <w:marTop w:val="0"/>
                          <w:marBottom w:val="0"/>
                          <w:divBdr>
                            <w:top w:val="none" w:sz="0" w:space="0" w:color="auto"/>
                            <w:left w:val="none" w:sz="0" w:space="0" w:color="auto"/>
                            <w:bottom w:val="none" w:sz="0" w:space="0" w:color="auto"/>
                            <w:right w:val="none" w:sz="0" w:space="0" w:color="auto"/>
                          </w:divBdr>
                          <w:divsChild>
                            <w:div w:id="69265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084827">
      <w:bodyDiv w:val="1"/>
      <w:marLeft w:val="0"/>
      <w:marRight w:val="0"/>
      <w:marTop w:val="0"/>
      <w:marBottom w:val="0"/>
      <w:divBdr>
        <w:top w:val="none" w:sz="0" w:space="0" w:color="auto"/>
        <w:left w:val="none" w:sz="0" w:space="0" w:color="auto"/>
        <w:bottom w:val="none" w:sz="0" w:space="0" w:color="auto"/>
        <w:right w:val="none" w:sz="0" w:space="0" w:color="auto"/>
      </w:divBdr>
      <w:divsChild>
        <w:div w:id="1275600676">
          <w:marLeft w:val="0"/>
          <w:marRight w:val="0"/>
          <w:marTop w:val="0"/>
          <w:marBottom w:val="0"/>
          <w:divBdr>
            <w:top w:val="none" w:sz="0" w:space="0" w:color="auto"/>
            <w:left w:val="none" w:sz="0" w:space="0" w:color="auto"/>
            <w:bottom w:val="none" w:sz="0" w:space="0" w:color="auto"/>
            <w:right w:val="none" w:sz="0" w:space="0" w:color="auto"/>
          </w:divBdr>
        </w:div>
        <w:div w:id="2077387769">
          <w:marLeft w:val="0"/>
          <w:marRight w:val="0"/>
          <w:marTop w:val="0"/>
          <w:marBottom w:val="150"/>
          <w:divBdr>
            <w:top w:val="none" w:sz="0" w:space="0" w:color="auto"/>
            <w:left w:val="none" w:sz="0" w:space="0" w:color="auto"/>
            <w:bottom w:val="none" w:sz="0" w:space="0" w:color="auto"/>
            <w:right w:val="none" w:sz="0" w:space="0" w:color="auto"/>
          </w:divBdr>
        </w:div>
      </w:divsChild>
    </w:div>
    <w:div w:id="1179200679">
      <w:bodyDiv w:val="1"/>
      <w:marLeft w:val="0"/>
      <w:marRight w:val="0"/>
      <w:marTop w:val="0"/>
      <w:marBottom w:val="0"/>
      <w:divBdr>
        <w:top w:val="none" w:sz="0" w:space="0" w:color="auto"/>
        <w:left w:val="none" w:sz="0" w:space="0" w:color="auto"/>
        <w:bottom w:val="none" w:sz="0" w:space="0" w:color="auto"/>
        <w:right w:val="none" w:sz="0" w:space="0" w:color="auto"/>
      </w:divBdr>
      <w:divsChild>
        <w:div w:id="1160119430">
          <w:marLeft w:val="0"/>
          <w:marRight w:val="0"/>
          <w:marTop w:val="0"/>
          <w:marBottom w:val="150"/>
          <w:divBdr>
            <w:top w:val="none" w:sz="0" w:space="0" w:color="auto"/>
            <w:left w:val="none" w:sz="0" w:space="0" w:color="auto"/>
            <w:bottom w:val="none" w:sz="0" w:space="0" w:color="auto"/>
            <w:right w:val="none" w:sz="0" w:space="0" w:color="auto"/>
          </w:divBdr>
        </w:div>
      </w:divsChild>
    </w:div>
    <w:div w:id="1179389334">
      <w:bodyDiv w:val="1"/>
      <w:marLeft w:val="0"/>
      <w:marRight w:val="0"/>
      <w:marTop w:val="0"/>
      <w:marBottom w:val="0"/>
      <w:divBdr>
        <w:top w:val="none" w:sz="0" w:space="0" w:color="auto"/>
        <w:left w:val="none" w:sz="0" w:space="0" w:color="auto"/>
        <w:bottom w:val="none" w:sz="0" w:space="0" w:color="auto"/>
        <w:right w:val="none" w:sz="0" w:space="0" w:color="auto"/>
      </w:divBdr>
      <w:divsChild>
        <w:div w:id="41949985">
          <w:marLeft w:val="0"/>
          <w:marRight w:val="0"/>
          <w:marTop w:val="0"/>
          <w:marBottom w:val="0"/>
          <w:divBdr>
            <w:top w:val="none" w:sz="0" w:space="0" w:color="auto"/>
            <w:left w:val="none" w:sz="0" w:space="0" w:color="auto"/>
            <w:bottom w:val="none" w:sz="0" w:space="0" w:color="auto"/>
            <w:right w:val="none" w:sz="0" w:space="0" w:color="auto"/>
          </w:divBdr>
        </w:div>
        <w:div w:id="1532303462">
          <w:marLeft w:val="0"/>
          <w:marRight w:val="0"/>
          <w:marTop w:val="0"/>
          <w:marBottom w:val="150"/>
          <w:divBdr>
            <w:top w:val="none" w:sz="0" w:space="0" w:color="auto"/>
            <w:left w:val="none" w:sz="0" w:space="0" w:color="auto"/>
            <w:bottom w:val="none" w:sz="0" w:space="0" w:color="auto"/>
            <w:right w:val="none" w:sz="0" w:space="0" w:color="auto"/>
          </w:divBdr>
        </w:div>
      </w:divsChild>
    </w:div>
    <w:div w:id="1179468352">
      <w:bodyDiv w:val="1"/>
      <w:marLeft w:val="0"/>
      <w:marRight w:val="0"/>
      <w:marTop w:val="0"/>
      <w:marBottom w:val="0"/>
      <w:divBdr>
        <w:top w:val="none" w:sz="0" w:space="0" w:color="auto"/>
        <w:left w:val="none" w:sz="0" w:space="0" w:color="auto"/>
        <w:bottom w:val="none" w:sz="0" w:space="0" w:color="auto"/>
        <w:right w:val="none" w:sz="0" w:space="0" w:color="auto"/>
      </w:divBdr>
      <w:divsChild>
        <w:div w:id="484861404">
          <w:marLeft w:val="0"/>
          <w:marRight w:val="0"/>
          <w:marTop w:val="0"/>
          <w:marBottom w:val="0"/>
          <w:divBdr>
            <w:top w:val="none" w:sz="0" w:space="0" w:color="auto"/>
            <w:left w:val="none" w:sz="0" w:space="0" w:color="auto"/>
            <w:bottom w:val="dotted" w:sz="6" w:space="4" w:color="DDDDDD"/>
            <w:right w:val="none" w:sz="0" w:space="0" w:color="auto"/>
          </w:divBdr>
          <w:divsChild>
            <w:div w:id="174098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589420">
      <w:bodyDiv w:val="1"/>
      <w:marLeft w:val="0"/>
      <w:marRight w:val="0"/>
      <w:marTop w:val="0"/>
      <w:marBottom w:val="0"/>
      <w:divBdr>
        <w:top w:val="none" w:sz="0" w:space="0" w:color="auto"/>
        <w:left w:val="none" w:sz="0" w:space="0" w:color="auto"/>
        <w:bottom w:val="none" w:sz="0" w:space="0" w:color="auto"/>
        <w:right w:val="none" w:sz="0" w:space="0" w:color="auto"/>
      </w:divBdr>
      <w:divsChild>
        <w:div w:id="677120786">
          <w:marLeft w:val="0"/>
          <w:marRight w:val="0"/>
          <w:marTop w:val="0"/>
          <w:marBottom w:val="0"/>
          <w:divBdr>
            <w:top w:val="none" w:sz="0" w:space="0" w:color="auto"/>
            <w:left w:val="none" w:sz="0" w:space="0" w:color="auto"/>
            <w:bottom w:val="none" w:sz="0" w:space="0" w:color="auto"/>
            <w:right w:val="none" w:sz="0" w:space="0" w:color="auto"/>
          </w:divBdr>
          <w:divsChild>
            <w:div w:id="1375884128">
              <w:marLeft w:val="0"/>
              <w:marRight w:val="0"/>
              <w:marTop w:val="0"/>
              <w:marBottom w:val="0"/>
              <w:divBdr>
                <w:top w:val="none" w:sz="0" w:space="0" w:color="auto"/>
                <w:left w:val="none" w:sz="0" w:space="0" w:color="auto"/>
                <w:bottom w:val="none" w:sz="0" w:space="0" w:color="auto"/>
                <w:right w:val="none" w:sz="0" w:space="0" w:color="auto"/>
              </w:divBdr>
              <w:divsChild>
                <w:div w:id="335811931">
                  <w:marLeft w:val="0"/>
                  <w:marRight w:val="0"/>
                  <w:marTop w:val="0"/>
                  <w:marBottom w:val="0"/>
                  <w:divBdr>
                    <w:top w:val="none" w:sz="0" w:space="0" w:color="auto"/>
                    <w:left w:val="none" w:sz="0" w:space="0" w:color="auto"/>
                    <w:bottom w:val="none" w:sz="0" w:space="0" w:color="auto"/>
                    <w:right w:val="none" w:sz="0" w:space="0" w:color="auto"/>
                  </w:divBdr>
                  <w:divsChild>
                    <w:div w:id="1523475230">
                      <w:marLeft w:val="0"/>
                      <w:marRight w:val="0"/>
                      <w:marTop w:val="0"/>
                      <w:marBottom w:val="0"/>
                      <w:divBdr>
                        <w:top w:val="none" w:sz="0" w:space="0" w:color="auto"/>
                        <w:left w:val="none" w:sz="0" w:space="0" w:color="auto"/>
                        <w:bottom w:val="none" w:sz="0" w:space="0" w:color="auto"/>
                        <w:right w:val="none" w:sz="0" w:space="0" w:color="auto"/>
                      </w:divBdr>
                      <w:divsChild>
                        <w:div w:id="242759082">
                          <w:marLeft w:val="0"/>
                          <w:marRight w:val="0"/>
                          <w:marTop w:val="0"/>
                          <w:marBottom w:val="0"/>
                          <w:divBdr>
                            <w:top w:val="none" w:sz="0" w:space="0" w:color="auto"/>
                            <w:left w:val="none" w:sz="0" w:space="0" w:color="auto"/>
                            <w:bottom w:val="none" w:sz="0" w:space="0" w:color="auto"/>
                            <w:right w:val="none" w:sz="0" w:space="0" w:color="auto"/>
                          </w:divBdr>
                          <w:divsChild>
                            <w:div w:id="637224648">
                              <w:marLeft w:val="0"/>
                              <w:marRight w:val="0"/>
                              <w:marTop w:val="0"/>
                              <w:marBottom w:val="0"/>
                              <w:divBdr>
                                <w:top w:val="none" w:sz="0" w:space="0" w:color="auto"/>
                                <w:left w:val="none" w:sz="0" w:space="0" w:color="auto"/>
                                <w:bottom w:val="none" w:sz="0" w:space="0" w:color="auto"/>
                                <w:right w:val="none" w:sz="0" w:space="0" w:color="auto"/>
                              </w:divBdr>
                              <w:divsChild>
                                <w:div w:id="1305348718">
                                  <w:marLeft w:val="0"/>
                                  <w:marRight w:val="0"/>
                                  <w:marTop w:val="0"/>
                                  <w:marBottom w:val="0"/>
                                  <w:divBdr>
                                    <w:top w:val="none" w:sz="0" w:space="0" w:color="auto"/>
                                    <w:left w:val="none" w:sz="0" w:space="0" w:color="auto"/>
                                    <w:bottom w:val="none" w:sz="0" w:space="0" w:color="auto"/>
                                    <w:right w:val="none" w:sz="0" w:space="0" w:color="auto"/>
                                  </w:divBdr>
                                  <w:divsChild>
                                    <w:div w:id="578750450">
                                      <w:marLeft w:val="0"/>
                                      <w:marRight w:val="0"/>
                                      <w:marTop w:val="0"/>
                                      <w:marBottom w:val="0"/>
                                      <w:divBdr>
                                        <w:top w:val="none" w:sz="0" w:space="0" w:color="auto"/>
                                        <w:left w:val="none" w:sz="0" w:space="0" w:color="auto"/>
                                        <w:bottom w:val="none" w:sz="0" w:space="0" w:color="auto"/>
                                        <w:right w:val="none" w:sz="0" w:space="0" w:color="auto"/>
                                      </w:divBdr>
                                      <w:divsChild>
                                        <w:div w:id="184112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9927555">
      <w:bodyDiv w:val="1"/>
      <w:marLeft w:val="0"/>
      <w:marRight w:val="0"/>
      <w:marTop w:val="0"/>
      <w:marBottom w:val="0"/>
      <w:divBdr>
        <w:top w:val="none" w:sz="0" w:space="0" w:color="auto"/>
        <w:left w:val="none" w:sz="0" w:space="0" w:color="auto"/>
        <w:bottom w:val="none" w:sz="0" w:space="0" w:color="auto"/>
        <w:right w:val="none" w:sz="0" w:space="0" w:color="auto"/>
      </w:divBdr>
    </w:div>
    <w:div w:id="1180044354">
      <w:bodyDiv w:val="1"/>
      <w:marLeft w:val="0"/>
      <w:marRight w:val="0"/>
      <w:marTop w:val="0"/>
      <w:marBottom w:val="0"/>
      <w:divBdr>
        <w:top w:val="none" w:sz="0" w:space="0" w:color="auto"/>
        <w:left w:val="none" w:sz="0" w:space="0" w:color="auto"/>
        <w:bottom w:val="none" w:sz="0" w:space="0" w:color="auto"/>
        <w:right w:val="none" w:sz="0" w:space="0" w:color="auto"/>
      </w:divBdr>
      <w:divsChild>
        <w:div w:id="114250506">
          <w:marLeft w:val="0"/>
          <w:marRight w:val="0"/>
          <w:marTop w:val="0"/>
          <w:marBottom w:val="0"/>
          <w:divBdr>
            <w:top w:val="none" w:sz="0" w:space="0" w:color="auto"/>
            <w:left w:val="none" w:sz="0" w:space="0" w:color="auto"/>
            <w:bottom w:val="none" w:sz="0" w:space="0" w:color="auto"/>
            <w:right w:val="none" w:sz="0" w:space="0" w:color="auto"/>
          </w:divBdr>
        </w:div>
      </w:divsChild>
    </w:div>
    <w:div w:id="1180123921">
      <w:bodyDiv w:val="1"/>
      <w:marLeft w:val="0"/>
      <w:marRight w:val="0"/>
      <w:marTop w:val="0"/>
      <w:marBottom w:val="0"/>
      <w:divBdr>
        <w:top w:val="none" w:sz="0" w:space="0" w:color="auto"/>
        <w:left w:val="none" w:sz="0" w:space="0" w:color="auto"/>
        <w:bottom w:val="none" w:sz="0" w:space="0" w:color="auto"/>
        <w:right w:val="none" w:sz="0" w:space="0" w:color="auto"/>
      </w:divBdr>
      <w:divsChild>
        <w:div w:id="863707951">
          <w:marLeft w:val="0"/>
          <w:marRight w:val="0"/>
          <w:marTop w:val="0"/>
          <w:marBottom w:val="0"/>
          <w:divBdr>
            <w:top w:val="none" w:sz="0" w:space="0" w:color="auto"/>
            <w:left w:val="none" w:sz="0" w:space="0" w:color="auto"/>
            <w:bottom w:val="dotted" w:sz="6" w:space="4" w:color="DDDDDD"/>
            <w:right w:val="none" w:sz="0" w:space="0" w:color="auto"/>
          </w:divBdr>
          <w:divsChild>
            <w:div w:id="85585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89671">
      <w:bodyDiv w:val="1"/>
      <w:marLeft w:val="0"/>
      <w:marRight w:val="0"/>
      <w:marTop w:val="0"/>
      <w:marBottom w:val="0"/>
      <w:divBdr>
        <w:top w:val="none" w:sz="0" w:space="0" w:color="auto"/>
        <w:left w:val="none" w:sz="0" w:space="0" w:color="auto"/>
        <w:bottom w:val="none" w:sz="0" w:space="0" w:color="auto"/>
        <w:right w:val="none" w:sz="0" w:space="0" w:color="auto"/>
      </w:divBdr>
      <w:divsChild>
        <w:div w:id="963074366">
          <w:marLeft w:val="0"/>
          <w:marRight w:val="0"/>
          <w:marTop w:val="0"/>
          <w:marBottom w:val="0"/>
          <w:divBdr>
            <w:top w:val="none" w:sz="0" w:space="0" w:color="auto"/>
            <w:left w:val="none" w:sz="0" w:space="0" w:color="auto"/>
            <w:bottom w:val="none" w:sz="0" w:space="0" w:color="auto"/>
            <w:right w:val="none" w:sz="0" w:space="0" w:color="auto"/>
          </w:divBdr>
          <w:divsChild>
            <w:div w:id="681932846">
              <w:marLeft w:val="0"/>
              <w:marRight w:val="0"/>
              <w:marTop w:val="0"/>
              <w:marBottom w:val="0"/>
              <w:divBdr>
                <w:top w:val="none" w:sz="0" w:space="0" w:color="auto"/>
                <w:left w:val="none" w:sz="0" w:space="0" w:color="auto"/>
                <w:bottom w:val="none" w:sz="0" w:space="0" w:color="auto"/>
                <w:right w:val="none" w:sz="0" w:space="0" w:color="auto"/>
              </w:divBdr>
              <w:divsChild>
                <w:div w:id="835464056">
                  <w:marLeft w:val="0"/>
                  <w:marRight w:val="0"/>
                  <w:marTop w:val="0"/>
                  <w:marBottom w:val="0"/>
                  <w:divBdr>
                    <w:top w:val="none" w:sz="0" w:space="0" w:color="auto"/>
                    <w:left w:val="none" w:sz="0" w:space="0" w:color="auto"/>
                    <w:bottom w:val="none" w:sz="0" w:space="0" w:color="auto"/>
                    <w:right w:val="none" w:sz="0" w:space="0" w:color="auto"/>
                  </w:divBdr>
                  <w:divsChild>
                    <w:div w:id="678894982">
                      <w:marLeft w:val="0"/>
                      <w:marRight w:val="0"/>
                      <w:marTop w:val="0"/>
                      <w:marBottom w:val="0"/>
                      <w:divBdr>
                        <w:top w:val="none" w:sz="0" w:space="0" w:color="auto"/>
                        <w:left w:val="none" w:sz="0" w:space="0" w:color="auto"/>
                        <w:bottom w:val="none" w:sz="0" w:space="0" w:color="auto"/>
                        <w:right w:val="none" w:sz="0" w:space="0" w:color="auto"/>
                      </w:divBdr>
                      <w:divsChild>
                        <w:div w:id="1641499477">
                          <w:marLeft w:val="0"/>
                          <w:marRight w:val="0"/>
                          <w:marTop w:val="0"/>
                          <w:marBottom w:val="0"/>
                          <w:divBdr>
                            <w:top w:val="none" w:sz="0" w:space="0" w:color="auto"/>
                            <w:left w:val="none" w:sz="0" w:space="0" w:color="auto"/>
                            <w:bottom w:val="none" w:sz="0" w:space="0" w:color="auto"/>
                            <w:right w:val="none" w:sz="0" w:space="0" w:color="auto"/>
                          </w:divBdr>
                          <w:divsChild>
                            <w:div w:id="1808887621">
                              <w:marLeft w:val="0"/>
                              <w:marRight w:val="0"/>
                              <w:marTop w:val="0"/>
                              <w:marBottom w:val="0"/>
                              <w:divBdr>
                                <w:top w:val="none" w:sz="0" w:space="0" w:color="auto"/>
                                <w:left w:val="none" w:sz="0" w:space="0" w:color="auto"/>
                                <w:bottom w:val="none" w:sz="0" w:space="0" w:color="auto"/>
                                <w:right w:val="none" w:sz="0" w:space="0" w:color="auto"/>
                              </w:divBdr>
                              <w:divsChild>
                                <w:div w:id="332071735">
                                  <w:marLeft w:val="0"/>
                                  <w:marRight w:val="0"/>
                                  <w:marTop w:val="0"/>
                                  <w:marBottom w:val="0"/>
                                  <w:divBdr>
                                    <w:top w:val="none" w:sz="0" w:space="0" w:color="auto"/>
                                    <w:left w:val="none" w:sz="0" w:space="0" w:color="auto"/>
                                    <w:bottom w:val="none" w:sz="0" w:space="0" w:color="auto"/>
                                    <w:right w:val="none" w:sz="0" w:space="0" w:color="auto"/>
                                  </w:divBdr>
                                  <w:divsChild>
                                    <w:div w:id="82228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391485">
      <w:bodyDiv w:val="1"/>
      <w:marLeft w:val="0"/>
      <w:marRight w:val="0"/>
      <w:marTop w:val="0"/>
      <w:marBottom w:val="0"/>
      <w:divBdr>
        <w:top w:val="none" w:sz="0" w:space="0" w:color="auto"/>
        <w:left w:val="none" w:sz="0" w:space="0" w:color="auto"/>
        <w:bottom w:val="none" w:sz="0" w:space="0" w:color="auto"/>
        <w:right w:val="none" w:sz="0" w:space="0" w:color="auto"/>
      </w:divBdr>
      <w:divsChild>
        <w:div w:id="1451047319">
          <w:marLeft w:val="0"/>
          <w:marRight w:val="0"/>
          <w:marTop w:val="0"/>
          <w:marBottom w:val="150"/>
          <w:divBdr>
            <w:top w:val="none" w:sz="0" w:space="0" w:color="auto"/>
            <w:left w:val="none" w:sz="0" w:space="0" w:color="auto"/>
            <w:bottom w:val="none" w:sz="0" w:space="0" w:color="auto"/>
            <w:right w:val="none" w:sz="0" w:space="0" w:color="auto"/>
          </w:divBdr>
          <w:divsChild>
            <w:div w:id="1888032575">
              <w:marLeft w:val="0"/>
              <w:marRight w:val="0"/>
              <w:marTop w:val="0"/>
              <w:marBottom w:val="0"/>
              <w:divBdr>
                <w:top w:val="none" w:sz="0" w:space="0" w:color="auto"/>
                <w:left w:val="none" w:sz="0" w:space="0" w:color="auto"/>
                <w:bottom w:val="none" w:sz="0" w:space="0" w:color="auto"/>
                <w:right w:val="none" w:sz="0" w:space="0" w:color="auto"/>
              </w:divBdr>
              <w:divsChild>
                <w:div w:id="26981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115657">
          <w:marLeft w:val="0"/>
          <w:marRight w:val="0"/>
          <w:marTop w:val="0"/>
          <w:marBottom w:val="150"/>
          <w:divBdr>
            <w:top w:val="none" w:sz="0" w:space="0" w:color="auto"/>
            <w:left w:val="none" w:sz="0" w:space="0" w:color="auto"/>
            <w:bottom w:val="none" w:sz="0" w:space="0" w:color="auto"/>
            <w:right w:val="none" w:sz="0" w:space="0" w:color="auto"/>
          </w:divBdr>
        </w:div>
        <w:div w:id="581253479">
          <w:marLeft w:val="0"/>
          <w:marRight w:val="0"/>
          <w:marTop w:val="0"/>
          <w:marBottom w:val="0"/>
          <w:divBdr>
            <w:top w:val="none" w:sz="0" w:space="0" w:color="auto"/>
            <w:left w:val="none" w:sz="0" w:space="0" w:color="auto"/>
            <w:bottom w:val="none" w:sz="0" w:space="0" w:color="auto"/>
            <w:right w:val="none" w:sz="0" w:space="0" w:color="auto"/>
          </w:divBdr>
          <w:divsChild>
            <w:div w:id="160912476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80505467">
      <w:bodyDiv w:val="1"/>
      <w:marLeft w:val="0"/>
      <w:marRight w:val="0"/>
      <w:marTop w:val="0"/>
      <w:marBottom w:val="0"/>
      <w:divBdr>
        <w:top w:val="none" w:sz="0" w:space="0" w:color="auto"/>
        <w:left w:val="none" w:sz="0" w:space="0" w:color="auto"/>
        <w:bottom w:val="none" w:sz="0" w:space="0" w:color="auto"/>
        <w:right w:val="none" w:sz="0" w:space="0" w:color="auto"/>
      </w:divBdr>
      <w:divsChild>
        <w:div w:id="1036201288">
          <w:marLeft w:val="0"/>
          <w:marRight w:val="0"/>
          <w:marTop w:val="0"/>
          <w:marBottom w:val="150"/>
          <w:divBdr>
            <w:top w:val="none" w:sz="0" w:space="0" w:color="auto"/>
            <w:left w:val="none" w:sz="0" w:space="0" w:color="auto"/>
            <w:bottom w:val="none" w:sz="0" w:space="0" w:color="auto"/>
            <w:right w:val="none" w:sz="0" w:space="0" w:color="auto"/>
          </w:divBdr>
        </w:div>
        <w:div w:id="1298140750">
          <w:marLeft w:val="0"/>
          <w:marRight w:val="0"/>
          <w:marTop w:val="0"/>
          <w:marBottom w:val="0"/>
          <w:divBdr>
            <w:top w:val="none" w:sz="0" w:space="0" w:color="auto"/>
            <w:left w:val="none" w:sz="0" w:space="0" w:color="auto"/>
            <w:bottom w:val="none" w:sz="0" w:space="0" w:color="auto"/>
            <w:right w:val="none" w:sz="0" w:space="0" w:color="auto"/>
          </w:divBdr>
          <w:divsChild>
            <w:div w:id="1592085384">
              <w:marLeft w:val="0"/>
              <w:marRight w:val="0"/>
              <w:marTop w:val="0"/>
              <w:marBottom w:val="0"/>
              <w:divBdr>
                <w:top w:val="none" w:sz="0" w:space="0" w:color="auto"/>
                <w:left w:val="none" w:sz="0" w:space="0" w:color="auto"/>
                <w:bottom w:val="none" w:sz="0" w:space="0" w:color="auto"/>
                <w:right w:val="none" w:sz="0" w:space="0" w:color="auto"/>
              </w:divBdr>
            </w:div>
          </w:divsChild>
        </w:div>
        <w:div w:id="1434739877">
          <w:marLeft w:val="0"/>
          <w:marRight w:val="0"/>
          <w:marTop w:val="0"/>
          <w:marBottom w:val="150"/>
          <w:divBdr>
            <w:top w:val="none" w:sz="0" w:space="0" w:color="auto"/>
            <w:left w:val="none" w:sz="0" w:space="0" w:color="auto"/>
            <w:bottom w:val="none" w:sz="0" w:space="0" w:color="auto"/>
            <w:right w:val="none" w:sz="0" w:space="0" w:color="auto"/>
          </w:divBdr>
          <w:divsChild>
            <w:div w:id="41178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117692">
      <w:bodyDiv w:val="1"/>
      <w:marLeft w:val="0"/>
      <w:marRight w:val="0"/>
      <w:marTop w:val="0"/>
      <w:marBottom w:val="0"/>
      <w:divBdr>
        <w:top w:val="none" w:sz="0" w:space="0" w:color="auto"/>
        <w:left w:val="none" w:sz="0" w:space="0" w:color="auto"/>
        <w:bottom w:val="none" w:sz="0" w:space="0" w:color="auto"/>
        <w:right w:val="none" w:sz="0" w:space="0" w:color="auto"/>
      </w:divBdr>
    </w:div>
    <w:div w:id="1181704334">
      <w:bodyDiv w:val="1"/>
      <w:marLeft w:val="0"/>
      <w:marRight w:val="0"/>
      <w:marTop w:val="0"/>
      <w:marBottom w:val="0"/>
      <w:divBdr>
        <w:top w:val="none" w:sz="0" w:space="0" w:color="auto"/>
        <w:left w:val="none" w:sz="0" w:space="0" w:color="auto"/>
        <w:bottom w:val="none" w:sz="0" w:space="0" w:color="auto"/>
        <w:right w:val="none" w:sz="0" w:space="0" w:color="auto"/>
      </w:divBdr>
      <w:divsChild>
        <w:div w:id="1460219812">
          <w:marLeft w:val="0"/>
          <w:marRight w:val="0"/>
          <w:marTop w:val="0"/>
          <w:marBottom w:val="0"/>
          <w:divBdr>
            <w:top w:val="none" w:sz="0" w:space="0" w:color="auto"/>
            <w:left w:val="none" w:sz="0" w:space="0" w:color="auto"/>
            <w:bottom w:val="dotted" w:sz="6" w:space="4" w:color="DDDDDD"/>
            <w:right w:val="none" w:sz="0" w:space="0" w:color="auto"/>
          </w:divBdr>
          <w:divsChild>
            <w:div w:id="11940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33230">
      <w:bodyDiv w:val="1"/>
      <w:marLeft w:val="0"/>
      <w:marRight w:val="0"/>
      <w:marTop w:val="0"/>
      <w:marBottom w:val="0"/>
      <w:divBdr>
        <w:top w:val="none" w:sz="0" w:space="0" w:color="auto"/>
        <w:left w:val="none" w:sz="0" w:space="0" w:color="auto"/>
        <w:bottom w:val="none" w:sz="0" w:space="0" w:color="auto"/>
        <w:right w:val="none" w:sz="0" w:space="0" w:color="auto"/>
      </w:divBdr>
      <w:divsChild>
        <w:div w:id="1605914461">
          <w:marLeft w:val="0"/>
          <w:marRight w:val="0"/>
          <w:marTop w:val="0"/>
          <w:marBottom w:val="0"/>
          <w:divBdr>
            <w:top w:val="none" w:sz="0" w:space="0" w:color="auto"/>
            <w:left w:val="none" w:sz="0" w:space="0" w:color="auto"/>
            <w:bottom w:val="dotted" w:sz="6" w:space="4" w:color="DDDDDD"/>
            <w:right w:val="none" w:sz="0" w:space="0" w:color="auto"/>
          </w:divBdr>
        </w:div>
      </w:divsChild>
    </w:div>
    <w:div w:id="1182747100">
      <w:bodyDiv w:val="1"/>
      <w:marLeft w:val="0"/>
      <w:marRight w:val="0"/>
      <w:marTop w:val="0"/>
      <w:marBottom w:val="0"/>
      <w:divBdr>
        <w:top w:val="none" w:sz="0" w:space="0" w:color="auto"/>
        <w:left w:val="none" w:sz="0" w:space="0" w:color="auto"/>
        <w:bottom w:val="none" w:sz="0" w:space="0" w:color="auto"/>
        <w:right w:val="none" w:sz="0" w:space="0" w:color="auto"/>
      </w:divBdr>
      <w:divsChild>
        <w:div w:id="1628393276">
          <w:marLeft w:val="0"/>
          <w:marRight w:val="0"/>
          <w:marTop w:val="0"/>
          <w:marBottom w:val="0"/>
          <w:divBdr>
            <w:top w:val="none" w:sz="0" w:space="0" w:color="auto"/>
            <w:left w:val="none" w:sz="0" w:space="0" w:color="auto"/>
            <w:bottom w:val="none" w:sz="0" w:space="0" w:color="auto"/>
            <w:right w:val="none" w:sz="0" w:space="0" w:color="auto"/>
          </w:divBdr>
        </w:div>
      </w:divsChild>
    </w:div>
    <w:div w:id="1183015931">
      <w:bodyDiv w:val="1"/>
      <w:marLeft w:val="0"/>
      <w:marRight w:val="0"/>
      <w:marTop w:val="0"/>
      <w:marBottom w:val="0"/>
      <w:divBdr>
        <w:top w:val="none" w:sz="0" w:space="0" w:color="auto"/>
        <w:left w:val="none" w:sz="0" w:space="0" w:color="auto"/>
        <w:bottom w:val="none" w:sz="0" w:space="0" w:color="auto"/>
        <w:right w:val="none" w:sz="0" w:space="0" w:color="auto"/>
      </w:divBdr>
    </w:div>
    <w:div w:id="1183083889">
      <w:bodyDiv w:val="1"/>
      <w:marLeft w:val="0"/>
      <w:marRight w:val="0"/>
      <w:marTop w:val="0"/>
      <w:marBottom w:val="0"/>
      <w:divBdr>
        <w:top w:val="none" w:sz="0" w:space="0" w:color="auto"/>
        <w:left w:val="none" w:sz="0" w:space="0" w:color="auto"/>
        <w:bottom w:val="none" w:sz="0" w:space="0" w:color="auto"/>
        <w:right w:val="none" w:sz="0" w:space="0" w:color="auto"/>
      </w:divBdr>
    </w:div>
    <w:div w:id="1183206787">
      <w:bodyDiv w:val="1"/>
      <w:marLeft w:val="0"/>
      <w:marRight w:val="0"/>
      <w:marTop w:val="0"/>
      <w:marBottom w:val="0"/>
      <w:divBdr>
        <w:top w:val="none" w:sz="0" w:space="0" w:color="auto"/>
        <w:left w:val="none" w:sz="0" w:space="0" w:color="auto"/>
        <w:bottom w:val="none" w:sz="0" w:space="0" w:color="auto"/>
        <w:right w:val="none" w:sz="0" w:space="0" w:color="auto"/>
      </w:divBdr>
      <w:divsChild>
        <w:div w:id="612055286">
          <w:marLeft w:val="0"/>
          <w:marRight w:val="0"/>
          <w:marTop w:val="0"/>
          <w:marBottom w:val="0"/>
          <w:divBdr>
            <w:top w:val="none" w:sz="0" w:space="0" w:color="auto"/>
            <w:left w:val="none" w:sz="0" w:space="0" w:color="auto"/>
            <w:bottom w:val="dotted" w:sz="6" w:space="4" w:color="DDDDDD"/>
            <w:right w:val="none" w:sz="0" w:space="0" w:color="auto"/>
          </w:divBdr>
        </w:div>
      </w:divsChild>
    </w:div>
    <w:div w:id="1183400074">
      <w:bodyDiv w:val="1"/>
      <w:marLeft w:val="0"/>
      <w:marRight w:val="0"/>
      <w:marTop w:val="0"/>
      <w:marBottom w:val="0"/>
      <w:divBdr>
        <w:top w:val="none" w:sz="0" w:space="0" w:color="auto"/>
        <w:left w:val="none" w:sz="0" w:space="0" w:color="auto"/>
        <w:bottom w:val="none" w:sz="0" w:space="0" w:color="auto"/>
        <w:right w:val="none" w:sz="0" w:space="0" w:color="auto"/>
      </w:divBdr>
      <w:divsChild>
        <w:div w:id="2082828401">
          <w:marLeft w:val="0"/>
          <w:marRight w:val="0"/>
          <w:marTop w:val="0"/>
          <w:marBottom w:val="150"/>
          <w:divBdr>
            <w:top w:val="none" w:sz="0" w:space="0" w:color="auto"/>
            <w:left w:val="none" w:sz="0" w:space="0" w:color="auto"/>
            <w:bottom w:val="none" w:sz="0" w:space="0" w:color="auto"/>
            <w:right w:val="none" w:sz="0" w:space="0" w:color="auto"/>
          </w:divBdr>
        </w:div>
      </w:divsChild>
    </w:div>
    <w:div w:id="1183740869">
      <w:bodyDiv w:val="1"/>
      <w:marLeft w:val="0"/>
      <w:marRight w:val="0"/>
      <w:marTop w:val="0"/>
      <w:marBottom w:val="0"/>
      <w:divBdr>
        <w:top w:val="none" w:sz="0" w:space="0" w:color="auto"/>
        <w:left w:val="none" w:sz="0" w:space="0" w:color="auto"/>
        <w:bottom w:val="none" w:sz="0" w:space="0" w:color="auto"/>
        <w:right w:val="none" w:sz="0" w:space="0" w:color="auto"/>
      </w:divBdr>
      <w:divsChild>
        <w:div w:id="246426795">
          <w:marLeft w:val="0"/>
          <w:marRight w:val="0"/>
          <w:marTop w:val="150"/>
          <w:marBottom w:val="0"/>
          <w:divBdr>
            <w:top w:val="none" w:sz="0" w:space="0" w:color="auto"/>
            <w:left w:val="none" w:sz="0" w:space="0" w:color="auto"/>
            <w:bottom w:val="none" w:sz="0" w:space="0" w:color="auto"/>
            <w:right w:val="none" w:sz="0" w:space="0" w:color="auto"/>
          </w:divBdr>
          <w:divsChild>
            <w:div w:id="939144199">
              <w:marLeft w:val="0"/>
              <w:marRight w:val="0"/>
              <w:marTop w:val="0"/>
              <w:marBottom w:val="0"/>
              <w:divBdr>
                <w:top w:val="none" w:sz="0" w:space="0" w:color="auto"/>
                <w:left w:val="none" w:sz="0" w:space="0" w:color="auto"/>
                <w:bottom w:val="none" w:sz="0" w:space="0" w:color="auto"/>
                <w:right w:val="none" w:sz="0" w:space="0" w:color="auto"/>
              </w:divBdr>
              <w:divsChild>
                <w:div w:id="1885555645">
                  <w:marLeft w:val="75"/>
                  <w:marRight w:val="0"/>
                  <w:marTop w:val="0"/>
                  <w:marBottom w:val="0"/>
                  <w:divBdr>
                    <w:top w:val="none" w:sz="0" w:space="0" w:color="auto"/>
                    <w:left w:val="none" w:sz="0" w:space="0" w:color="auto"/>
                    <w:bottom w:val="none" w:sz="0" w:space="0" w:color="auto"/>
                    <w:right w:val="none" w:sz="0" w:space="0" w:color="auto"/>
                  </w:divBdr>
                </w:div>
                <w:div w:id="206321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180283">
          <w:marLeft w:val="0"/>
          <w:marRight w:val="0"/>
          <w:marTop w:val="0"/>
          <w:marBottom w:val="0"/>
          <w:divBdr>
            <w:top w:val="none" w:sz="0" w:space="0" w:color="auto"/>
            <w:left w:val="none" w:sz="0" w:space="0" w:color="auto"/>
            <w:bottom w:val="none" w:sz="0" w:space="0" w:color="auto"/>
            <w:right w:val="none" w:sz="0" w:space="0" w:color="auto"/>
          </w:divBdr>
          <w:divsChild>
            <w:div w:id="100875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83560">
      <w:bodyDiv w:val="1"/>
      <w:marLeft w:val="0"/>
      <w:marRight w:val="0"/>
      <w:marTop w:val="0"/>
      <w:marBottom w:val="0"/>
      <w:divBdr>
        <w:top w:val="none" w:sz="0" w:space="0" w:color="auto"/>
        <w:left w:val="none" w:sz="0" w:space="0" w:color="auto"/>
        <w:bottom w:val="none" w:sz="0" w:space="0" w:color="auto"/>
        <w:right w:val="none" w:sz="0" w:space="0" w:color="auto"/>
      </w:divBdr>
    </w:div>
    <w:div w:id="1184979185">
      <w:bodyDiv w:val="1"/>
      <w:marLeft w:val="0"/>
      <w:marRight w:val="0"/>
      <w:marTop w:val="0"/>
      <w:marBottom w:val="0"/>
      <w:divBdr>
        <w:top w:val="none" w:sz="0" w:space="0" w:color="auto"/>
        <w:left w:val="none" w:sz="0" w:space="0" w:color="auto"/>
        <w:bottom w:val="none" w:sz="0" w:space="0" w:color="auto"/>
        <w:right w:val="none" w:sz="0" w:space="0" w:color="auto"/>
      </w:divBdr>
      <w:divsChild>
        <w:div w:id="1077555742">
          <w:marLeft w:val="0"/>
          <w:marRight w:val="0"/>
          <w:marTop w:val="0"/>
          <w:marBottom w:val="0"/>
          <w:divBdr>
            <w:top w:val="none" w:sz="0" w:space="0" w:color="auto"/>
            <w:left w:val="none" w:sz="0" w:space="0" w:color="auto"/>
            <w:bottom w:val="dotted" w:sz="6" w:space="4" w:color="DDDDDD"/>
            <w:right w:val="none" w:sz="0" w:space="0" w:color="auto"/>
          </w:divBdr>
          <w:divsChild>
            <w:div w:id="95848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022362">
      <w:bodyDiv w:val="1"/>
      <w:marLeft w:val="0"/>
      <w:marRight w:val="0"/>
      <w:marTop w:val="0"/>
      <w:marBottom w:val="0"/>
      <w:divBdr>
        <w:top w:val="none" w:sz="0" w:space="0" w:color="auto"/>
        <w:left w:val="none" w:sz="0" w:space="0" w:color="auto"/>
        <w:bottom w:val="none" w:sz="0" w:space="0" w:color="auto"/>
        <w:right w:val="none" w:sz="0" w:space="0" w:color="auto"/>
      </w:divBdr>
    </w:div>
    <w:div w:id="1185166095">
      <w:bodyDiv w:val="1"/>
      <w:marLeft w:val="0"/>
      <w:marRight w:val="0"/>
      <w:marTop w:val="0"/>
      <w:marBottom w:val="0"/>
      <w:divBdr>
        <w:top w:val="none" w:sz="0" w:space="0" w:color="auto"/>
        <w:left w:val="none" w:sz="0" w:space="0" w:color="auto"/>
        <w:bottom w:val="none" w:sz="0" w:space="0" w:color="auto"/>
        <w:right w:val="none" w:sz="0" w:space="0" w:color="auto"/>
      </w:divBdr>
      <w:divsChild>
        <w:div w:id="275605930">
          <w:marLeft w:val="0"/>
          <w:marRight w:val="0"/>
          <w:marTop w:val="0"/>
          <w:marBottom w:val="0"/>
          <w:divBdr>
            <w:top w:val="none" w:sz="0" w:space="0" w:color="auto"/>
            <w:left w:val="none" w:sz="0" w:space="0" w:color="auto"/>
            <w:bottom w:val="none" w:sz="0" w:space="0" w:color="auto"/>
            <w:right w:val="none" w:sz="0" w:space="0" w:color="auto"/>
          </w:divBdr>
          <w:divsChild>
            <w:div w:id="1237282807">
              <w:marLeft w:val="0"/>
              <w:marRight w:val="0"/>
              <w:marTop w:val="0"/>
              <w:marBottom w:val="0"/>
              <w:divBdr>
                <w:top w:val="none" w:sz="0" w:space="0" w:color="auto"/>
                <w:left w:val="none" w:sz="0" w:space="0" w:color="auto"/>
                <w:bottom w:val="none" w:sz="0" w:space="0" w:color="auto"/>
                <w:right w:val="none" w:sz="0" w:space="0" w:color="auto"/>
              </w:divBdr>
              <w:divsChild>
                <w:div w:id="1796752334">
                  <w:marLeft w:val="0"/>
                  <w:marRight w:val="0"/>
                  <w:marTop w:val="0"/>
                  <w:marBottom w:val="0"/>
                  <w:divBdr>
                    <w:top w:val="none" w:sz="0" w:space="0" w:color="auto"/>
                    <w:left w:val="none" w:sz="0" w:space="0" w:color="auto"/>
                    <w:bottom w:val="none" w:sz="0" w:space="0" w:color="auto"/>
                    <w:right w:val="none" w:sz="0" w:space="0" w:color="auto"/>
                  </w:divBdr>
                  <w:divsChild>
                    <w:div w:id="1270236735">
                      <w:marLeft w:val="0"/>
                      <w:marRight w:val="0"/>
                      <w:marTop w:val="0"/>
                      <w:marBottom w:val="0"/>
                      <w:divBdr>
                        <w:top w:val="none" w:sz="0" w:space="0" w:color="auto"/>
                        <w:left w:val="none" w:sz="0" w:space="0" w:color="auto"/>
                        <w:bottom w:val="none" w:sz="0" w:space="0" w:color="auto"/>
                        <w:right w:val="none" w:sz="0" w:space="0" w:color="auto"/>
                      </w:divBdr>
                      <w:divsChild>
                        <w:div w:id="893538515">
                          <w:marLeft w:val="0"/>
                          <w:marRight w:val="0"/>
                          <w:marTop w:val="0"/>
                          <w:marBottom w:val="0"/>
                          <w:divBdr>
                            <w:top w:val="none" w:sz="0" w:space="0" w:color="auto"/>
                            <w:left w:val="none" w:sz="0" w:space="0" w:color="auto"/>
                            <w:bottom w:val="none" w:sz="0" w:space="0" w:color="auto"/>
                            <w:right w:val="none" w:sz="0" w:space="0" w:color="auto"/>
                          </w:divBdr>
                          <w:divsChild>
                            <w:div w:id="1790195400">
                              <w:marLeft w:val="0"/>
                              <w:marRight w:val="0"/>
                              <w:marTop w:val="0"/>
                              <w:marBottom w:val="0"/>
                              <w:divBdr>
                                <w:top w:val="none" w:sz="0" w:space="0" w:color="auto"/>
                                <w:left w:val="none" w:sz="0" w:space="0" w:color="auto"/>
                                <w:bottom w:val="none" w:sz="0" w:space="0" w:color="auto"/>
                                <w:right w:val="none" w:sz="0" w:space="0" w:color="auto"/>
                              </w:divBdr>
                              <w:divsChild>
                                <w:div w:id="1440446565">
                                  <w:marLeft w:val="0"/>
                                  <w:marRight w:val="0"/>
                                  <w:marTop w:val="0"/>
                                  <w:marBottom w:val="0"/>
                                  <w:divBdr>
                                    <w:top w:val="none" w:sz="0" w:space="0" w:color="auto"/>
                                    <w:left w:val="none" w:sz="0" w:space="0" w:color="auto"/>
                                    <w:bottom w:val="none" w:sz="0" w:space="0" w:color="auto"/>
                                    <w:right w:val="none" w:sz="0" w:space="0" w:color="auto"/>
                                  </w:divBdr>
                                  <w:divsChild>
                                    <w:div w:id="1708410116">
                                      <w:marLeft w:val="0"/>
                                      <w:marRight w:val="0"/>
                                      <w:marTop w:val="0"/>
                                      <w:marBottom w:val="0"/>
                                      <w:divBdr>
                                        <w:top w:val="none" w:sz="0" w:space="0" w:color="auto"/>
                                        <w:left w:val="none" w:sz="0" w:space="0" w:color="auto"/>
                                        <w:bottom w:val="none" w:sz="0" w:space="0" w:color="auto"/>
                                        <w:right w:val="none" w:sz="0" w:space="0" w:color="auto"/>
                                      </w:divBdr>
                                      <w:divsChild>
                                        <w:div w:id="67627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5174147">
      <w:bodyDiv w:val="1"/>
      <w:marLeft w:val="0"/>
      <w:marRight w:val="0"/>
      <w:marTop w:val="0"/>
      <w:marBottom w:val="0"/>
      <w:divBdr>
        <w:top w:val="none" w:sz="0" w:space="0" w:color="auto"/>
        <w:left w:val="none" w:sz="0" w:space="0" w:color="auto"/>
        <w:bottom w:val="none" w:sz="0" w:space="0" w:color="auto"/>
        <w:right w:val="none" w:sz="0" w:space="0" w:color="auto"/>
      </w:divBdr>
      <w:divsChild>
        <w:div w:id="1001078033">
          <w:marLeft w:val="0"/>
          <w:marRight w:val="0"/>
          <w:marTop w:val="0"/>
          <w:marBottom w:val="0"/>
          <w:divBdr>
            <w:top w:val="none" w:sz="0" w:space="0" w:color="auto"/>
            <w:left w:val="none" w:sz="0" w:space="0" w:color="auto"/>
            <w:bottom w:val="none" w:sz="0" w:space="0" w:color="auto"/>
            <w:right w:val="none" w:sz="0" w:space="0" w:color="auto"/>
          </w:divBdr>
        </w:div>
      </w:divsChild>
    </w:div>
    <w:div w:id="1185284504">
      <w:bodyDiv w:val="1"/>
      <w:marLeft w:val="0"/>
      <w:marRight w:val="0"/>
      <w:marTop w:val="0"/>
      <w:marBottom w:val="0"/>
      <w:divBdr>
        <w:top w:val="none" w:sz="0" w:space="0" w:color="auto"/>
        <w:left w:val="none" w:sz="0" w:space="0" w:color="auto"/>
        <w:bottom w:val="none" w:sz="0" w:space="0" w:color="auto"/>
        <w:right w:val="none" w:sz="0" w:space="0" w:color="auto"/>
      </w:divBdr>
      <w:divsChild>
        <w:div w:id="257831601">
          <w:marLeft w:val="0"/>
          <w:marRight w:val="0"/>
          <w:marTop w:val="0"/>
          <w:marBottom w:val="0"/>
          <w:divBdr>
            <w:top w:val="none" w:sz="0" w:space="0" w:color="auto"/>
            <w:left w:val="none" w:sz="0" w:space="0" w:color="auto"/>
            <w:bottom w:val="dotted" w:sz="6" w:space="4" w:color="DDDDDD"/>
            <w:right w:val="none" w:sz="0" w:space="0" w:color="auto"/>
          </w:divBdr>
        </w:div>
      </w:divsChild>
    </w:div>
    <w:div w:id="1185290947">
      <w:bodyDiv w:val="1"/>
      <w:marLeft w:val="0"/>
      <w:marRight w:val="0"/>
      <w:marTop w:val="0"/>
      <w:marBottom w:val="0"/>
      <w:divBdr>
        <w:top w:val="none" w:sz="0" w:space="0" w:color="auto"/>
        <w:left w:val="none" w:sz="0" w:space="0" w:color="auto"/>
        <w:bottom w:val="none" w:sz="0" w:space="0" w:color="auto"/>
        <w:right w:val="none" w:sz="0" w:space="0" w:color="auto"/>
      </w:divBdr>
    </w:div>
    <w:div w:id="1185292838">
      <w:bodyDiv w:val="1"/>
      <w:marLeft w:val="0"/>
      <w:marRight w:val="0"/>
      <w:marTop w:val="0"/>
      <w:marBottom w:val="0"/>
      <w:divBdr>
        <w:top w:val="none" w:sz="0" w:space="0" w:color="auto"/>
        <w:left w:val="none" w:sz="0" w:space="0" w:color="auto"/>
        <w:bottom w:val="none" w:sz="0" w:space="0" w:color="auto"/>
        <w:right w:val="none" w:sz="0" w:space="0" w:color="auto"/>
      </w:divBdr>
      <w:divsChild>
        <w:div w:id="1487428830">
          <w:marLeft w:val="0"/>
          <w:marRight w:val="0"/>
          <w:marTop w:val="0"/>
          <w:marBottom w:val="0"/>
          <w:divBdr>
            <w:top w:val="none" w:sz="0" w:space="0" w:color="auto"/>
            <w:left w:val="none" w:sz="0" w:space="0" w:color="auto"/>
            <w:bottom w:val="none" w:sz="0" w:space="0" w:color="auto"/>
            <w:right w:val="none" w:sz="0" w:space="0" w:color="auto"/>
          </w:divBdr>
          <w:divsChild>
            <w:div w:id="229190764">
              <w:marLeft w:val="0"/>
              <w:marRight w:val="0"/>
              <w:marTop w:val="0"/>
              <w:marBottom w:val="150"/>
              <w:divBdr>
                <w:top w:val="none" w:sz="0" w:space="0" w:color="auto"/>
                <w:left w:val="none" w:sz="0" w:space="0" w:color="auto"/>
                <w:bottom w:val="none" w:sz="0" w:space="0" w:color="auto"/>
                <w:right w:val="none" w:sz="0" w:space="0" w:color="auto"/>
              </w:divBdr>
            </w:div>
            <w:div w:id="1207791526">
              <w:marLeft w:val="0"/>
              <w:marRight w:val="0"/>
              <w:marTop w:val="0"/>
              <w:marBottom w:val="0"/>
              <w:divBdr>
                <w:top w:val="none" w:sz="0" w:space="0" w:color="auto"/>
                <w:left w:val="none" w:sz="0" w:space="0" w:color="auto"/>
                <w:bottom w:val="none" w:sz="0" w:space="0" w:color="auto"/>
                <w:right w:val="none" w:sz="0" w:space="0" w:color="auto"/>
              </w:divBdr>
            </w:div>
          </w:divsChild>
        </w:div>
        <w:div w:id="1577930898">
          <w:marLeft w:val="0"/>
          <w:marRight w:val="0"/>
          <w:marTop w:val="0"/>
          <w:marBottom w:val="150"/>
          <w:divBdr>
            <w:top w:val="none" w:sz="0" w:space="0" w:color="auto"/>
            <w:left w:val="none" w:sz="0" w:space="0" w:color="auto"/>
            <w:bottom w:val="none" w:sz="0" w:space="0" w:color="auto"/>
            <w:right w:val="none" w:sz="0" w:space="0" w:color="auto"/>
          </w:divBdr>
          <w:divsChild>
            <w:div w:id="67372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292934">
      <w:bodyDiv w:val="1"/>
      <w:marLeft w:val="0"/>
      <w:marRight w:val="0"/>
      <w:marTop w:val="0"/>
      <w:marBottom w:val="0"/>
      <w:divBdr>
        <w:top w:val="none" w:sz="0" w:space="0" w:color="auto"/>
        <w:left w:val="none" w:sz="0" w:space="0" w:color="auto"/>
        <w:bottom w:val="none" w:sz="0" w:space="0" w:color="auto"/>
        <w:right w:val="none" w:sz="0" w:space="0" w:color="auto"/>
      </w:divBdr>
      <w:divsChild>
        <w:div w:id="2086997735">
          <w:marLeft w:val="0"/>
          <w:marRight w:val="0"/>
          <w:marTop w:val="0"/>
          <w:marBottom w:val="0"/>
          <w:divBdr>
            <w:top w:val="none" w:sz="0" w:space="0" w:color="auto"/>
            <w:left w:val="none" w:sz="0" w:space="0" w:color="auto"/>
            <w:bottom w:val="dotted" w:sz="6" w:space="4" w:color="DDDDDD"/>
            <w:right w:val="none" w:sz="0" w:space="0" w:color="auto"/>
          </w:divBdr>
        </w:div>
      </w:divsChild>
    </w:div>
    <w:div w:id="1185706656">
      <w:bodyDiv w:val="1"/>
      <w:marLeft w:val="0"/>
      <w:marRight w:val="0"/>
      <w:marTop w:val="0"/>
      <w:marBottom w:val="0"/>
      <w:divBdr>
        <w:top w:val="none" w:sz="0" w:space="0" w:color="auto"/>
        <w:left w:val="none" w:sz="0" w:space="0" w:color="auto"/>
        <w:bottom w:val="none" w:sz="0" w:space="0" w:color="auto"/>
        <w:right w:val="none" w:sz="0" w:space="0" w:color="auto"/>
      </w:divBdr>
    </w:div>
    <w:div w:id="1186401117">
      <w:bodyDiv w:val="1"/>
      <w:marLeft w:val="0"/>
      <w:marRight w:val="0"/>
      <w:marTop w:val="0"/>
      <w:marBottom w:val="0"/>
      <w:divBdr>
        <w:top w:val="none" w:sz="0" w:space="0" w:color="auto"/>
        <w:left w:val="none" w:sz="0" w:space="0" w:color="auto"/>
        <w:bottom w:val="none" w:sz="0" w:space="0" w:color="auto"/>
        <w:right w:val="none" w:sz="0" w:space="0" w:color="auto"/>
      </w:divBdr>
      <w:divsChild>
        <w:div w:id="1657495567">
          <w:marLeft w:val="0"/>
          <w:marRight w:val="0"/>
          <w:marTop w:val="0"/>
          <w:marBottom w:val="0"/>
          <w:divBdr>
            <w:top w:val="none" w:sz="0" w:space="0" w:color="auto"/>
            <w:left w:val="none" w:sz="0" w:space="0" w:color="auto"/>
            <w:bottom w:val="none" w:sz="0" w:space="0" w:color="auto"/>
            <w:right w:val="none" w:sz="0" w:space="0" w:color="auto"/>
          </w:divBdr>
          <w:divsChild>
            <w:div w:id="103230299">
              <w:marLeft w:val="0"/>
              <w:marRight w:val="0"/>
              <w:marTop w:val="0"/>
              <w:marBottom w:val="0"/>
              <w:divBdr>
                <w:top w:val="none" w:sz="0" w:space="0" w:color="auto"/>
                <w:left w:val="none" w:sz="0" w:space="0" w:color="auto"/>
                <w:bottom w:val="none" w:sz="0" w:space="0" w:color="auto"/>
                <w:right w:val="none" w:sz="0" w:space="0" w:color="auto"/>
              </w:divBdr>
              <w:divsChild>
                <w:div w:id="1377047030">
                  <w:marLeft w:val="0"/>
                  <w:marRight w:val="0"/>
                  <w:marTop w:val="0"/>
                  <w:marBottom w:val="0"/>
                  <w:divBdr>
                    <w:top w:val="none" w:sz="0" w:space="0" w:color="auto"/>
                    <w:left w:val="none" w:sz="0" w:space="0" w:color="auto"/>
                    <w:bottom w:val="none" w:sz="0" w:space="0" w:color="auto"/>
                    <w:right w:val="none" w:sz="0" w:space="0" w:color="auto"/>
                  </w:divBdr>
                  <w:divsChild>
                    <w:div w:id="1260679141">
                      <w:marLeft w:val="0"/>
                      <w:marRight w:val="0"/>
                      <w:marTop w:val="0"/>
                      <w:marBottom w:val="0"/>
                      <w:divBdr>
                        <w:top w:val="none" w:sz="0" w:space="0" w:color="auto"/>
                        <w:left w:val="none" w:sz="0" w:space="0" w:color="auto"/>
                        <w:bottom w:val="none" w:sz="0" w:space="0" w:color="auto"/>
                        <w:right w:val="none" w:sz="0" w:space="0" w:color="auto"/>
                      </w:divBdr>
                      <w:divsChild>
                        <w:div w:id="1352105674">
                          <w:marLeft w:val="0"/>
                          <w:marRight w:val="0"/>
                          <w:marTop w:val="0"/>
                          <w:marBottom w:val="0"/>
                          <w:divBdr>
                            <w:top w:val="none" w:sz="0" w:space="0" w:color="auto"/>
                            <w:left w:val="none" w:sz="0" w:space="0" w:color="auto"/>
                            <w:bottom w:val="none" w:sz="0" w:space="0" w:color="auto"/>
                            <w:right w:val="none" w:sz="0" w:space="0" w:color="auto"/>
                          </w:divBdr>
                          <w:divsChild>
                            <w:div w:id="204775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133493">
      <w:bodyDiv w:val="1"/>
      <w:marLeft w:val="0"/>
      <w:marRight w:val="0"/>
      <w:marTop w:val="0"/>
      <w:marBottom w:val="0"/>
      <w:divBdr>
        <w:top w:val="none" w:sz="0" w:space="0" w:color="auto"/>
        <w:left w:val="none" w:sz="0" w:space="0" w:color="auto"/>
        <w:bottom w:val="none" w:sz="0" w:space="0" w:color="auto"/>
        <w:right w:val="none" w:sz="0" w:space="0" w:color="auto"/>
      </w:divBdr>
    </w:div>
    <w:div w:id="1187251921">
      <w:bodyDiv w:val="1"/>
      <w:marLeft w:val="0"/>
      <w:marRight w:val="0"/>
      <w:marTop w:val="0"/>
      <w:marBottom w:val="0"/>
      <w:divBdr>
        <w:top w:val="none" w:sz="0" w:space="0" w:color="auto"/>
        <w:left w:val="none" w:sz="0" w:space="0" w:color="auto"/>
        <w:bottom w:val="none" w:sz="0" w:space="0" w:color="auto"/>
        <w:right w:val="none" w:sz="0" w:space="0" w:color="auto"/>
      </w:divBdr>
      <w:divsChild>
        <w:div w:id="2097900957">
          <w:marLeft w:val="0"/>
          <w:marRight w:val="0"/>
          <w:marTop w:val="0"/>
          <w:marBottom w:val="0"/>
          <w:divBdr>
            <w:top w:val="none" w:sz="0" w:space="0" w:color="auto"/>
            <w:left w:val="none" w:sz="0" w:space="0" w:color="auto"/>
            <w:bottom w:val="none" w:sz="0" w:space="0" w:color="auto"/>
            <w:right w:val="none" w:sz="0" w:space="0" w:color="auto"/>
          </w:divBdr>
        </w:div>
      </w:divsChild>
    </w:div>
    <w:div w:id="1187400265">
      <w:bodyDiv w:val="1"/>
      <w:marLeft w:val="0"/>
      <w:marRight w:val="0"/>
      <w:marTop w:val="0"/>
      <w:marBottom w:val="0"/>
      <w:divBdr>
        <w:top w:val="none" w:sz="0" w:space="0" w:color="auto"/>
        <w:left w:val="none" w:sz="0" w:space="0" w:color="auto"/>
        <w:bottom w:val="none" w:sz="0" w:space="0" w:color="auto"/>
        <w:right w:val="none" w:sz="0" w:space="0" w:color="auto"/>
      </w:divBdr>
      <w:divsChild>
        <w:div w:id="455879745">
          <w:marLeft w:val="0"/>
          <w:marRight w:val="0"/>
          <w:marTop w:val="0"/>
          <w:marBottom w:val="0"/>
          <w:divBdr>
            <w:top w:val="none" w:sz="0" w:space="0" w:color="auto"/>
            <w:left w:val="none" w:sz="0" w:space="0" w:color="auto"/>
            <w:bottom w:val="none" w:sz="0" w:space="0" w:color="auto"/>
            <w:right w:val="none" w:sz="0" w:space="0" w:color="auto"/>
          </w:divBdr>
          <w:divsChild>
            <w:div w:id="696464175">
              <w:marLeft w:val="0"/>
              <w:marRight w:val="0"/>
              <w:marTop w:val="0"/>
              <w:marBottom w:val="0"/>
              <w:divBdr>
                <w:top w:val="none" w:sz="0" w:space="0" w:color="auto"/>
                <w:left w:val="none" w:sz="0" w:space="0" w:color="auto"/>
                <w:bottom w:val="none" w:sz="0" w:space="0" w:color="auto"/>
                <w:right w:val="none" w:sz="0" w:space="0" w:color="auto"/>
              </w:divBdr>
              <w:divsChild>
                <w:div w:id="1907764762">
                  <w:marLeft w:val="0"/>
                  <w:marRight w:val="0"/>
                  <w:marTop w:val="0"/>
                  <w:marBottom w:val="0"/>
                  <w:divBdr>
                    <w:top w:val="none" w:sz="0" w:space="0" w:color="auto"/>
                    <w:left w:val="none" w:sz="0" w:space="0" w:color="auto"/>
                    <w:bottom w:val="none" w:sz="0" w:space="0" w:color="auto"/>
                    <w:right w:val="none" w:sz="0" w:space="0" w:color="auto"/>
                  </w:divBdr>
                  <w:divsChild>
                    <w:div w:id="1145315243">
                      <w:marLeft w:val="0"/>
                      <w:marRight w:val="0"/>
                      <w:marTop w:val="225"/>
                      <w:marBottom w:val="150"/>
                      <w:divBdr>
                        <w:top w:val="none" w:sz="0" w:space="4" w:color="auto"/>
                        <w:left w:val="none" w:sz="0" w:space="0" w:color="auto"/>
                        <w:bottom w:val="single" w:sz="6" w:space="4" w:color="CECECE"/>
                        <w:right w:val="none" w:sz="0" w:space="0" w:color="auto"/>
                      </w:divBdr>
                      <w:divsChild>
                        <w:div w:id="116530131">
                          <w:marLeft w:val="0"/>
                          <w:marRight w:val="0"/>
                          <w:marTop w:val="0"/>
                          <w:marBottom w:val="0"/>
                          <w:divBdr>
                            <w:top w:val="none" w:sz="0" w:space="0" w:color="auto"/>
                            <w:left w:val="none" w:sz="0" w:space="0" w:color="auto"/>
                            <w:bottom w:val="none" w:sz="0" w:space="0" w:color="auto"/>
                            <w:right w:val="none" w:sz="0" w:space="0" w:color="auto"/>
                          </w:divBdr>
                        </w:div>
                        <w:div w:id="868369965">
                          <w:marLeft w:val="0"/>
                          <w:marRight w:val="0"/>
                          <w:marTop w:val="75"/>
                          <w:marBottom w:val="75"/>
                          <w:divBdr>
                            <w:top w:val="none" w:sz="0" w:space="0" w:color="auto"/>
                            <w:left w:val="none" w:sz="0" w:space="0" w:color="auto"/>
                            <w:bottom w:val="none" w:sz="0" w:space="0" w:color="auto"/>
                            <w:right w:val="none" w:sz="0" w:space="0" w:color="auto"/>
                          </w:divBdr>
                          <w:divsChild>
                            <w:div w:id="2135362577">
                              <w:marLeft w:val="0"/>
                              <w:marRight w:val="135"/>
                              <w:marTop w:val="0"/>
                              <w:marBottom w:val="0"/>
                              <w:divBdr>
                                <w:top w:val="none" w:sz="0" w:space="0" w:color="auto"/>
                                <w:left w:val="none" w:sz="0" w:space="0" w:color="auto"/>
                                <w:bottom w:val="none" w:sz="0" w:space="0" w:color="auto"/>
                                <w:right w:val="none" w:sz="0" w:space="0" w:color="auto"/>
                              </w:divBdr>
                            </w:div>
                            <w:div w:id="214677936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401765">
      <w:bodyDiv w:val="1"/>
      <w:marLeft w:val="0"/>
      <w:marRight w:val="0"/>
      <w:marTop w:val="0"/>
      <w:marBottom w:val="0"/>
      <w:divBdr>
        <w:top w:val="none" w:sz="0" w:space="0" w:color="auto"/>
        <w:left w:val="none" w:sz="0" w:space="0" w:color="auto"/>
        <w:bottom w:val="none" w:sz="0" w:space="0" w:color="auto"/>
        <w:right w:val="none" w:sz="0" w:space="0" w:color="auto"/>
      </w:divBdr>
      <w:divsChild>
        <w:div w:id="1535725235">
          <w:marLeft w:val="0"/>
          <w:marRight w:val="0"/>
          <w:marTop w:val="0"/>
          <w:marBottom w:val="0"/>
          <w:divBdr>
            <w:top w:val="none" w:sz="0" w:space="0" w:color="auto"/>
            <w:left w:val="none" w:sz="0" w:space="0" w:color="auto"/>
            <w:bottom w:val="none" w:sz="0" w:space="0" w:color="auto"/>
            <w:right w:val="none" w:sz="0" w:space="0" w:color="auto"/>
          </w:divBdr>
          <w:divsChild>
            <w:div w:id="1144421410">
              <w:marLeft w:val="0"/>
              <w:marRight w:val="0"/>
              <w:marTop w:val="0"/>
              <w:marBottom w:val="0"/>
              <w:divBdr>
                <w:top w:val="none" w:sz="0" w:space="0" w:color="auto"/>
                <w:left w:val="none" w:sz="0" w:space="0" w:color="auto"/>
                <w:bottom w:val="none" w:sz="0" w:space="0" w:color="auto"/>
                <w:right w:val="none" w:sz="0" w:space="0" w:color="auto"/>
              </w:divBdr>
              <w:divsChild>
                <w:div w:id="119762480">
                  <w:marLeft w:val="0"/>
                  <w:marRight w:val="0"/>
                  <w:marTop w:val="0"/>
                  <w:marBottom w:val="197"/>
                  <w:divBdr>
                    <w:top w:val="none" w:sz="0" w:space="0" w:color="auto"/>
                    <w:left w:val="none" w:sz="0" w:space="0" w:color="auto"/>
                    <w:bottom w:val="none" w:sz="0" w:space="0" w:color="auto"/>
                    <w:right w:val="none" w:sz="0" w:space="0" w:color="auto"/>
                  </w:divBdr>
                  <w:divsChild>
                    <w:div w:id="2145660398">
                      <w:marLeft w:val="0"/>
                      <w:marRight w:val="0"/>
                      <w:marTop w:val="0"/>
                      <w:marBottom w:val="0"/>
                      <w:divBdr>
                        <w:top w:val="none" w:sz="0" w:space="0" w:color="auto"/>
                        <w:left w:val="none" w:sz="0" w:space="0" w:color="auto"/>
                        <w:bottom w:val="none" w:sz="0" w:space="0" w:color="auto"/>
                        <w:right w:val="none" w:sz="0" w:space="0" w:color="auto"/>
                      </w:divBdr>
                      <w:divsChild>
                        <w:div w:id="1004434714">
                          <w:marLeft w:val="0"/>
                          <w:marRight w:val="0"/>
                          <w:marTop w:val="0"/>
                          <w:marBottom w:val="0"/>
                          <w:divBdr>
                            <w:top w:val="none" w:sz="0" w:space="0" w:color="auto"/>
                            <w:left w:val="none" w:sz="0" w:space="0" w:color="auto"/>
                            <w:bottom w:val="none" w:sz="0" w:space="0" w:color="auto"/>
                            <w:right w:val="none" w:sz="0" w:space="0" w:color="auto"/>
                          </w:divBdr>
                          <w:divsChild>
                            <w:div w:id="531696279">
                              <w:marLeft w:val="0"/>
                              <w:marRight w:val="0"/>
                              <w:marTop w:val="0"/>
                              <w:marBottom w:val="0"/>
                              <w:divBdr>
                                <w:top w:val="none" w:sz="0" w:space="0" w:color="auto"/>
                                <w:left w:val="none" w:sz="0" w:space="0" w:color="auto"/>
                                <w:bottom w:val="none" w:sz="0" w:space="0" w:color="auto"/>
                                <w:right w:val="none" w:sz="0" w:space="0" w:color="auto"/>
                              </w:divBdr>
                              <w:divsChild>
                                <w:div w:id="2112312760">
                                  <w:marLeft w:val="0"/>
                                  <w:marRight w:val="0"/>
                                  <w:marTop w:val="0"/>
                                  <w:marBottom w:val="0"/>
                                  <w:divBdr>
                                    <w:top w:val="none" w:sz="0" w:space="0" w:color="auto"/>
                                    <w:left w:val="none" w:sz="0" w:space="0" w:color="auto"/>
                                    <w:bottom w:val="none" w:sz="0" w:space="0" w:color="auto"/>
                                    <w:right w:val="none" w:sz="0" w:space="0" w:color="auto"/>
                                  </w:divBdr>
                                  <w:divsChild>
                                    <w:div w:id="69546041">
                                      <w:marLeft w:val="0"/>
                                      <w:marRight w:val="0"/>
                                      <w:marTop w:val="0"/>
                                      <w:marBottom w:val="0"/>
                                      <w:divBdr>
                                        <w:top w:val="none" w:sz="0" w:space="0" w:color="auto"/>
                                        <w:left w:val="none" w:sz="0" w:space="0" w:color="auto"/>
                                        <w:bottom w:val="none" w:sz="0" w:space="0" w:color="auto"/>
                                        <w:right w:val="none" w:sz="0" w:space="0" w:color="auto"/>
                                      </w:divBdr>
                                      <w:divsChild>
                                        <w:div w:id="1450509723">
                                          <w:marLeft w:val="0"/>
                                          <w:marRight w:val="0"/>
                                          <w:marTop w:val="0"/>
                                          <w:marBottom w:val="0"/>
                                          <w:divBdr>
                                            <w:top w:val="none" w:sz="0" w:space="0" w:color="auto"/>
                                            <w:left w:val="none" w:sz="0" w:space="0" w:color="auto"/>
                                            <w:bottom w:val="none" w:sz="0" w:space="0" w:color="auto"/>
                                            <w:right w:val="none" w:sz="0" w:space="0" w:color="auto"/>
                                          </w:divBdr>
                                          <w:divsChild>
                                            <w:div w:id="1800100969">
                                              <w:marLeft w:val="0"/>
                                              <w:marRight w:val="0"/>
                                              <w:marTop w:val="0"/>
                                              <w:marBottom w:val="0"/>
                                              <w:divBdr>
                                                <w:top w:val="none" w:sz="0" w:space="0" w:color="auto"/>
                                                <w:left w:val="none" w:sz="0" w:space="0" w:color="auto"/>
                                                <w:bottom w:val="none" w:sz="0" w:space="0" w:color="auto"/>
                                                <w:right w:val="none" w:sz="0" w:space="0" w:color="auto"/>
                                              </w:divBdr>
                                              <w:divsChild>
                                                <w:div w:id="117711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7717420">
      <w:bodyDiv w:val="1"/>
      <w:marLeft w:val="0"/>
      <w:marRight w:val="0"/>
      <w:marTop w:val="0"/>
      <w:marBottom w:val="0"/>
      <w:divBdr>
        <w:top w:val="none" w:sz="0" w:space="0" w:color="auto"/>
        <w:left w:val="none" w:sz="0" w:space="0" w:color="auto"/>
        <w:bottom w:val="none" w:sz="0" w:space="0" w:color="auto"/>
        <w:right w:val="none" w:sz="0" w:space="0" w:color="auto"/>
      </w:divBdr>
      <w:divsChild>
        <w:div w:id="1599679569">
          <w:marLeft w:val="0"/>
          <w:marRight w:val="0"/>
          <w:marTop w:val="0"/>
          <w:marBottom w:val="150"/>
          <w:divBdr>
            <w:top w:val="none" w:sz="0" w:space="0" w:color="auto"/>
            <w:left w:val="none" w:sz="0" w:space="0" w:color="auto"/>
            <w:bottom w:val="none" w:sz="0" w:space="0" w:color="auto"/>
            <w:right w:val="none" w:sz="0" w:space="0" w:color="auto"/>
          </w:divBdr>
        </w:div>
      </w:divsChild>
    </w:div>
    <w:div w:id="1187870279">
      <w:bodyDiv w:val="1"/>
      <w:marLeft w:val="0"/>
      <w:marRight w:val="0"/>
      <w:marTop w:val="0"/>
      <w:marBottom w:val="0"/>
      <w:divBdr>
        <w:top w:val="none" w:sz="0" w:space="0" w:color="auto"/>
        <w:left w:val="none" w:sz="0" w:space="0" w:color="auto"/>
        <w:bottom w:val="none" w:sz="0" w:space="0" w:color="auto"/>
        <w:right w:val="none" w:sz="0" w:space="0" w:color="auto"/>
      </w:divBdr>
    </w:div>
    <w:div w:id="1187907409">
      <w:bodyDiv w:val="1"/>
      <w:marLeft w:val="0"/>
      <w:marRight w:val="0"/>
      <w:marTop w:val="0"/>
      <w:marBottom w:val="0"/>
      <w:divBdr>
        <w:top w:val="none" w:sz="0" w:space="0" w:color="auto"/>
        <w:left w:val="none" w:sz="0" w:space="0" w:color="auto"/>
        <w:bottom w:val="none" w:sz="0" w:space="0" w:color="auto"/>
        <w:right w:val="none" w:sz="0" w:space="0" w:color="auto"/>
      </w:divBdr>
      <w:divsChild>
        <w:div w:id="1349793971">
          <w:marLeft w:val="0"/>
          <w:marRight w:val="0"/>
          <w:marTop w:val="0"/>
          <w:marBottom w:val="150"/>
          <w:divBdr>
            <w:top w:val="none" w:sz="0" w:space="0" w:color="auto"/>
            <w:left w:val="none" w:sz="0" w:space="0" w:color="auto"/>
            <w:bottom w:val="none" w:sz="0" w:space="0" w:color="auto"/>
            <w:right w:val="none" w:sz="0" w:space="0" w:color="auto"/>
          </w:divBdr>
        </w:div>
      </w:divsChild>
    </w:div>
    <w:div w:id="1188326074">
      <w:bodyDiv w:val="1"/>
      <w:marLeft w:val="0"/>
      <w:marRight w:val="0"/>
      <w:marTop w:val="0"/>
      <w:marBottom w:val="0"/>
      <w:divBdr>
        <w:top w:val="none" w:sz="0" w:space="0" w:color="auto"/>
        <w:left w:val="none" w:sz="0" w:space="0" w:color="auto"/>
        <w:bottom w:val="none" w:sz="0" w:space="0" w:color="auto"/>
        <w:right w:val="none" w:sz="0" w:space="0" w:color="auto"/>
      </w:divBdr>
      <w:divsChild>
        <w:div w:id="302931333">
          <w:marLeft w:val="0"/>
          <w:marRight w:val="0"/>
          <w:marTop w:val="0"/>
          <w:marBottom w:val="0"/>
          <w:divBdr>
            <w:top w:val="none" w:sz="0" w:space="0" w:color="auto"/>
            <w:left w:val="none" w:sz="0" w:space="0" w:color="auto"/>
            <w:bottom w:val="none" w:sz="0" w:space="0" w:color="auto"/>
            <w:right w:val="none" w:sz="0" w:space="0" w:color="auto"/>
          </w:divBdr>
          <w:divsChild>
            <w:div w:id="1401751293">
              <w:marLeft w:val="0"/>
              <w:marRight w:val="0"/>
              <w:marTop w:val="0"/>
              <w:marBottom w:val="300"/>
              <w:divBdr>
                <w:top w:val="none" w:sz="0" w:space="0" w:color="auto"/>
                <w:left w:val="none" w:sz="0" w:space="0" w:color="auto"/>
                <w:bottom w:val="single" w:sz="6" w:space="0" w:color="F1F1F1"/>
                <w:right w:val="none" w:sz="0" w:space="0" w:color="auto"/>
              </w:divBdr>
              <w:divsChild>
                <w:div w:id="4379135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08232985">
          <w:marLeft w:val="0"/>
          <w:marRight w:val="0"/>
          <w:marTop w:val="0"/>
          <w:marBottom w:val="0"/>
          <w:divBdr>
            <w:top w:val="none" w:sz="0" w:space="0" w:color="auto"/>
            <w:left w:val="none" w:sz="0" w:space="0" w:color="auto"/>
            <w:bottom w:val="none" w:sz="0" w:space="0" w:color="auto"/>
            <w:right w:val="none" w:sz="0" w:space="0" w:color="auto"/>
          </w:divBdr>
          <w:divsChild>
            <w:div w:id="598561454">
              <w:marLeft w:val="0"/>
              <w:marRight w:val="0"/>
              <w:marTop w:val="0"/>
              <w:marBottom w:val="0"/>
              <w:divBdr>
                <w:top w:val="none" w:sz="0" w:space="0" w:color="auto"/>
                <w:left w:val="none" w:sz="0" w:space="0" w:color="auto"/>
                <w:bottom w:val="none" w:sz="0" w:space="0" w:color="auto"/>
                <w:right w:val="none" w:sz="0" w:space="0" w:color="auto"/>
              </w:divBdr>
              <w:divsChild>
                <w:div w:id="602736285">
                  <w:marLeft w:val="300"/>
                  <w:marRight w:val="0"/>
                  <w:marTop w:val="0"/>
                  <w:marBottom w:val="0"/>
                  <w:divBdr>
                    <w:top w:val="none" w:sz="0" w:space="0" w:color="auto"/>
                    <w:left w:val="none" w:sz="0" w:space="0" w:color="auto"/>
                    <w:bottom w:val="none" w:sz="0" w:space="0" w:color="auto"/>
                    <w:right w:val="none" w:sz="0" w:space="0" w:color="auto"/>
                  </w:divBdr>
                  <w:divsChild>
                    <w:div w:id="1897012937">
                      <w:marLeft w:val="0"/>
                      <w:marRight w:val="0"/>
                      <w:marTop w:val="0"/>
                      <w:marBottom w:val="300"/>
                      <w:divBdr>
                        <w:top w:val="none" w:sz="0" w:space="0" w:color="auto"/>
                        <w:left w:val="none" w:sz="0" w:space="0" w:color="auto"/>
                        <w:bottom w:val="none" w:sz="0" w:space="0" w:color="auto"/>
                        <w:right w:val="none" w:sz="0" w:space="0" w:color="auto"/>
                      </w:divBdr>
                      <w:divsChild>
                        <w:div w:id="510532940">
                          <w:marLeft w:val="0"/>
                          <w:marRight w:val="0"/>
                          <w:marTop w:val="0"/>
                          <w:marBottom w:val="0"/>
                          <w:divBdr>
                            <w:top w:val="none" w:sz="0" w:space="0" w:color="auto"/>
                            <w:left w:val="none" w:sz="0" w:space="0" w:color="auto"/>
                            <w:bottom w:val="none" w:sz="0" w:space="0" w:color="auto"/>
                            <w:right w:val="none" w:sz="0" w:space="0" w:color="auto"/>
                          </w:divBdr>
                          <w:divsChild>
                            <w:div w:id="1064789987">
                              <w:marLeft w:val="0"/>
                              <w:marRight w:val="0"/>
                              <w:marTop w:val="0"/>
                              <w:marBottom w:val="0"/>
                              <w:divBdr>
                                <w:top w:val="none" w:sz="0" w:space="0" w:color="auto"/>
                                <w:left w:val="none" w:sz="0" w:space="0" w:color="auto"/>
                                <w:bottom w:val="none" w:sz="0" w:space="0" w:color="auto"/>
                                <w:right w:val="none" w:sz="0" w:space="0" w:color="auto"/>
                              </w:divBdr>
                              <w:divsChild>
                                <w:div w:id="1681007240">
                                  <w:marLeft w:val="0"/>
                                  <w:marRight w:val="0"/>
                                  <w:marTop w:val="0"/>
                                  <w:marBottom w:val="0"/>
                                  <w:divBdr>
                                    <w:top w:val="single" w:sz="2" w:space="0" w:color="DFDFDF"/>
                                    <w:left w:val="single" w:sz="2" w:space="0" w:color="DFDFDF"/>
                                    <w:bottom w:val="single" w:sz="2" w:space="0" w:color="DFDFDF"/>
                                    <w:right w:val="single" w:sz="2" w:space="0" w:color="DFDFDF"/>
                                  </w:divBdr>
                                  <w:divsChild>
                                    <w:div w:id="1735741281">
                                      <w:marLeft w:val="-90"/>
                                      <w:marRight w:val="0"/>
                                      <w:marTop w:val="0"/>
                                      <w:marBottom w:val="0"/>
                                      <w:divBdr>
                                        <w:top w:val="none" w:sz="0" w:space="0" w:color="auto"/>
                                        <w:left w:val="none" w:sz="0" w:space="0" w:color="auto"/>
                                        <w:bottom w:val="none" w:sz="0" w:space="0" w:color="auto"/>
                                        <w:right w:val="none" w:sz="0" w:space="0" w:color="auto"/>
                                      </w:divBdr>
                                      <w:divsChild>
                                        <w:div w:id="1507742822">
                                          <w:marLeft w:val="0"/>
                                          <w:marRight w:val="0"/>
                                          <w:marTop w:val="0"/>
                                          <w:marBottom w:val="45"/>
                                          <w:divBdr>
                                            <w:top w:val="single" w:sz="2" w:space="0" w:color="A9A9A9"/>
                                            <w:left w:val="single" w:sz="2" w:space="0" w:color="A9A9A9"/>
                                            <w:bottom w:val="single" w:sz="2" w:space="0" w:color="A9A9A9"/>
                                            <w:right w:val="single" w:sz="2" w:space="0" w:color="A9A9A9"/>
                                          </w:divBdr>
                                          <w:divsChild>
                                            <w:div w:id="1334601634">
                                              <w:marLeft w:val="0"/>
                                              <w:marRight w:val="0"/>
                                              <w:marTop w:val="0"/>
                                              <w:marBottom w:val="0"/>
                                              <w:divBdr>
                                                <w:top w:val="none" w:sz="0" w:space="0" w:color="auto"/>
                                                <w:left w:val="none" w:sz="0" w:space="0" w:color="auto"/>
                                                <w:bottom w:val="none" w:sz="0" w:space="0" w:color="auto"/>
                                                <w:right w:val="none" w:sz="0" w:space="0" w:color="auto"/>
                                              </w:divBdr>
                                              <w:divsChild>
                                                <w:div w:id="88350311">
                                                  <w:marLeft w:val="92"/>
                                                  <w:marRight w:val="0"/>
                                                  <w:marTop w:val="0"/>
                                                  <w:marBottom w:val="150"/>
                                                  <w:divBdr>
                                                    <w:top w:val="single" w:sz="2" w:space="0" w:color="E4E4E4"/>
                                                    <w:left w:val="single" w:sz="2" w:space="0" w:color="E4E4E4"/>
                                                    <w:bottom w:val="single" w:sz="2" w:space="0" w:color="E4E4E4"/>
                                                    <w:right w:val="single" w:sz="2" w:space="0" w:color="E4E4E4"/>
                                                  </w:divBdr>
                                                </w:div>
                                                <w:div w:id="1049838619">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347830215">
                          <w:marLeft w:val="0"/>
                          <w:marRight w:val="0"/>
                          <w:marTop w:val="0"/>
                          <w:marBottom w:val="0"/>
                          <w:divBdr>
                            <w:top w:val="none" w:sz="0" w:space="0" w:color="auto"/>
                            <w:left w:val="none" w:sz="0" w:space="0" w:color="auto"/>
                            <w:bottom w:val="none" w:sz="0" w:space="0" w:color="auto"/>
                            <w:right w:val="none" w:sz="0" w:space="0" w:color="auto"/>
                          </w:divBdr>
                          <w:divsChild>
                            <w:div w:id="855584226">
                              <w:marLeft w:val="0"/>
                              <w:marRight w:val="0"/>
                              <w:marTop w:val="0"/>
                              <w:marBottom w:val="0"/>
                              <w:divBdr>
                                <w:top w:val="none" w:sz="0" w:space="0" w:color="auto"/>
                                <w:left w:val="none" w:sz="0" w:space="0" w:color="auto"/>
                                <w:bottom w:val="none" w:sz="0" w:space="0" w:color="auto"/>
                                <w:right w:val="none" w:sz="0" w:space="0" w:color="auto"/>
                              </w:divBdr>
                              <w:divsChild>
                                <w:div w:id="232665706">
                                  <w:marLeft w:val="0"/>
                                  <w:marRight w:val="0"/>
                                  <w:marTop w:val="0"/>
                                  <w:marBottom w:val="0"/>
                                  <w:divBdr>
                                    <w:top w:val="single" w:sz="2" w:space="0" w:color="DFDFDF"/>
                                    <w:left w:val="single" w:sz="2" w:space="0" w:color="DFDFDF"/>
                                    <w:bottom w:val="single" w:sz="2" w:space="0" w:color="DFDFDF"/>
                                    <w:right w:val="single" w:sz="2" w:space="0" w:color="DFDFDF"/>
                                  </w:divBdr>
                                  <w:divsChild>
                                    <w:div w:id="9112063">
                                      <w:marLeft w:val="-90"/>
                                      <w:marRight w:val="0"/>
                                      <w:marTop w:val="0"/>
                                      <w:marBottom w:val="0"/>
                                      <w:divBdr>
                                        <w:top w:val="none" w:sz="0" w:space="0" w:color="auto"/>
                                        <w:left w:val="none" w:sz="0" w:space="0" w:color="auto"/>
                                        <w:bottom w:val="none" w:sz="0" w:space="0" w:color="auto"/>
                                        <w:right w:val="none" w:sz="0" w:space="0" w:color="auto"/>
                                      </w:divBdr>
                                      <w:divsChild>
                                        <w:div w:id="911425330">
                                          <w:marLeft w:val="0"/>
                                          <w:marRight w:val="0"/>
                                          <w:marTop w:val="0"/>
                                          <w:marBottom w:val="45"/>
                                          <w:divBdr>
                                            <w:top w:val="single" w:sz="2" w:space="0" w:color="A9A9A9"/>
                                            <w:left w:val="single" w:sz="2" w:space="0" w:color="A9A9A9"/>
                                            <w:bottom w:val="single" w:sz="2" w:space="0" w:color="A9A9A9"/>
                                            <w:right w:val="single" w:sz="2" w:space="0" w:color="A9A9A9"/>
                                          </w:divBdr>
                                          <w:divsChild>
                                            <w:div w:id="1358239256">
                                              <w:marLeft w:val="0"/>
                                              <w:marRight w:val="0"/>
                                              <w:marTop w:val="0"/>
                                              <w:marBottom w:val="0"/>
                                              <w:divBdr>
                                                <w:top w:val="none" w:sz="0" w:space="0" w:color="auto"/>
                                                <w:left w:val="none" w:sz="0" w:space="0" w:color="auto"/>
                                                <w:bottom w:val="none" w:sz="0" w:space="0" w:color="auto"/>
                                                <w:right w:val="none" w:sz="0" w:space="0" w:color="auto"/>
                                              </w:divBdr>
                                              <w:divsChild>
                                                <w:div w:id="8311078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370833200">
                                      <w:marLeft w:val="0"/>
                                      <w:marRight w:val="0"/>
                                      <w:marTop w:val="0"/>
                                      <w:marBottom w:val="270"/>
                                      <w:divBdr>
                                        <w:top w:val="none" w:sz="0" w:space="0" w:color="auto"/>
                                        <w:left w:val="none" w:sz="0" w:space="0" w:color="auto"/>
                                        <w:bottom w:val="single" w:sz="12" w:space="5" w:color="DADADA"/>
                                        <w:right w:val="none" w:sz="0" w:space="0" w:color="auto"/>
                                      </w:divBdr>
                                      <w:divsChild>
                                        <w:div w:id="145293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777593">
                  <w:marLeft w:val="0"/>
                  <w:marRight w:val="0"/>
                  <w:marTop w:val="0"/>
                  <w:marBottom w:val="0"/>
                  <w:divBdr>
                    <w:top w:val="none" w:sz="0" w:space="0" w:color="auto"/>
                    <w:left w:val="none" w:sz="0" w:space="0" w:color="auto"/>
                    <w:bottom w:val="none" w:sz="0" w:space="0" w:color="auto"/>
                    <w:right w:val="none" w:sz="0" w:space="0" w:color="auto"/>
                  </w:divBdr>
                  <w:divsChild>
                    <w:div w:id="202254751">
                      <w:marLeft w:val="0"/>
                      <w:marRight w:val="0"/>
                      <w:marTop w:val="0"/>
                      <w:marBottom w:val="75"/>
                      <w:divBdr>
                        <w:top w:val="none" w:sz="0" w:space="0" w:color="auto"/>
                        <w:left w:val="none" w:sz="0" w:space="0" w:color="auto"/>
                        <w:bottom w:val="none" w:sz="0" w:space="0" w:color="auto"/>
                        <w:right w:val="none" w:sz="0" w:space="0" w:color="auto"/>
                      </w:divBdr>
                    </w:div>
                    <w:div w:id="1471511648">
                      <w:marLeft w:val="0"/>
                      <w:marRight w:val="0"/>
                      <w:marTop w:val="0"/>
                      <w:marBottom w:val="0"/>
                      <w:divBdr>
                        <w:top w:val="none" w:sz="0" w:space="0" w:color="auto"/>
                        <w:left w:val="none" w:sz="0" w:space="0" w:color="auto"/>
                        <w:bottom w:val="none" w:sz="0" w:space="0" w:color="auto"/>
                        <w:right w:val="none" w:sz="0" w:space="0" w:color="auto"/>
                      </w:divBdr>
                      <w:divsChild>
                        <w:div w:id="2029015051">
                          <w:marLeft w:val="0"/>
                          <w:marRight w:val="0"/>
                          <w:marTop w:val="0"/>
                          <w:marBottom w:val="0"/>
                          <w:divBdr>
                            <w:top w:val="none" w:sz="0" w:space="0" w:color="auto"/>
                            <w:left w:val="none" w:sz="0" w:space="0" w:color="auto"/>
                            <w:bottom w:val="none" w:sz="0" w:space="0" w:color="auto"/>
                            <w:right w:val="none" w:sz="0" w:space="0" w:color="auto"/>
                          </w:divBdr>
                          <w:divsChild>
                            <w:div w:id="110226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834509">
                      <w:marLeft w:val="0"/>
                      <w:marRight w:val="0"/>
                      <w:marTop w:val="0"/>
                      <w:marBottom w:val="300"/>
                      <w:divBdr>
                        <w:top w:val="none" w:sz="0" w:space="0" w:color="auto"/>
                        <w:left w:val="none" w:sz="0" w:space="0" w:color="auto"/>
                        <w:bottom w:val="none" w:sz="0" w:space="0" w:color="auto"/>
                        <w:right w:val="none" w:sz="0" w:space="0" w:color="auto"/>
                      </w:divBdr>
                      <w:divsChild>
                        <w:div w:id="1115950300">
                          <w:marLeft w:val="0"/>
                          <w:marRight w:val="0"/>
                          <w:marTop w:val="0"/>
                          <w:marBottom w:val="0"/>
                          <w:divBdr>
                            <w:top w:val="none" w:sz="0" w:space="0" w:color="auto"/>
                            <w:left w:val="none" w:sz="0" w:space="0" w:color="auto"/>
                            <w:bottom w:val="none" w:sz="0" w:space="0" w:color="auto"/>
                            <w:right w:val="none" w:sz="0" w:space="0" w:color="auto"/>
                          </w:divBdr>
                        </w:div>
                      </w:divsChild>
                    </w:div>
                    <w:div w:id="190135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374592">
      <w:bodyDiv w:val="1"/>
      <w:marLeft w:val="0"/>
      <w:marRight w:val="0"/>
      <w:marTop w:val="0"/>
      <w:marBottom w:val="0"/>
      <w:divBdr>
        <w:top w:val="none" w:sz="0" w:space="0" w:color="auto"/>
        <w:left w:val="none" w:sz="0" w:space="0" w:color="auto"/>
        <w:bottom w:val="none" w:sz="0" w:space="0" w:color="auto"/>
        <w:right w:val="none" w:sz="0" w:space="0" w:color="auto"/>
      </w:divBdr>
      <w:divsChild>
        <w:div w:id="850878215">
          <w:marLeft w:val="0"/>
          <w:marRight w:val="0"/>
          <w:marTop w:val="0"/>
          <w:marBottom w:val="450"/>
          <w:divBdr>
            <w:top w:val="none" w:sz="0" w:space="0" w:color="auto"/>
            <w:left w:val="none" w:sz="0" w:space="0" w:color="auto"/>
            <w:bottom w:val="single" w:sz="6" w:space="19" w:color="EEEEEE"/>
            <w:right w:val="none" w:sz="0" w:space="0" w:color="auto"/>
          </w:divBdr>
          <w:divsChild>
            <w:div w:id="43910408">
              <w:marLeft w:val="0"/>
              <w:marRight w:val="0"/>
              <w:marTop w:val="0"/>
              <w:marBottom w:val="150"/>
              <w:divBdr>
                <w:top w:val="none" w:sz="0" w:space="0" w:color="auto"/>
                <w:left w:val="none" w:sz="0" w:space="0" w:color="auto"/>
                <w:bottom w:val="none" w:sz="0" w:space="0" w:color="auto"/>
                <w:right w:val="none" w:sz="0" w:space="0" w:color="auto"/>
              </w:divBdr>
              <w:divsChild>
                <w:div w:id="612322653">
                  <w:marLeft w:val="0"/>
                  <w:marRight w:val="0"/>
                  <w:marTop w:val="0"/>
                  <w:marBottom w:val="0"/>
                  <w:divBdr>
                    <w:top w:val="none" w:sz="0" w:space="0" w:color="auto"/>
                    <w:left w:val="none" w:sz="0" w:space="0" w:color="auto"/>
                    <w:bottom w:val="none" w:sz="0" w:space="0" w:color="auto"/>
                    <w:right w:val="none" w:sz="0" w:space="0" w:color="auto"/>
                  </w:divBdr>
                </w:div>
              </w:divsChild>
            </w:div>
            <w:div w:id="524052732">
              <w:marLeft w:val="0"/>
              <w:marRight w:val="0"/>
              <w:marTop w:val="0"/>
              <w:marBottom w:val="0"/>
              <w:divBdr>
                <w:top w:val="none" w:sz="0" w:space="0" w:color="auto"/>
                <w:left w:val="none" w:sz="0" w:space="0" w:color="auto"/>
                <w:bottom w:val="none" w:sz="0" w:space="0" w:color="auto"/>
                <w:right w:val="none" w:sz="0" w:space="0" w:color="auto"/>
              </w:divBdr>
            </w:div>
          </w:divsChild>
        </w:div>
        <w:div w:id="632249399">
          <w:marLeft w:val="0"/>
          <w:marRight w:val="0"/>
          <w:marTop w:val="0"/>
          <w:marBottom w:val="0"/>
          <w:divBdr>
            <w:top w:val="none" w:sz="0" w:space="0" w:color="auto"/>
            <w:left w:val="none" w:sz="0" w:space="0" w:color="auto"/>
            <w:bottom w:val="none" w:sz="0" w:space="0" w:color="auto"/>
            <w:right w:val="none" w:sz="0" w:space="0" w:color="auto"/>
          </w:divBdr>
          <w:divsChild>
            <w:div w:id="759525368">
              <w:marLeft w:val="0"/>
              <w:marRight w:val="0"/>
              <w:marTop w:val="0"/>
              <w:marBottom w:val="0"/>
              <w:divBdr>
                <w:top w:val="none" w:sz="0" w:space="0" w:color="auto"/>
                <w:left w:val="none" w:sz="0" w:space="0" w:color="auto"/>
                <w:bottom w:val="none" w:sz="0" w:space="0" w:color="auto"/>
                <w:right w:val="none" w:sz="0" w:space="0" w:color="auto"/>
              </w:divBdr>
              <w:divsChild>
                <w:div w:id="47514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366707">
      <w:bodyDiv w:val="1"/>
      <w:marLeft w:val="0"/>
      <w:marRight w:val="0"/>
      <w:marTop w:val="0"/>
      <w:marBottom w:val="0"/>
      <w:divBdr>
        <w:top w:val="none" w:sz="0" w:space="0" w:color="auto"/>
        <w:left w:val="none" w:sz="0" w:space="0" w:color="auto"/>
        <w:bottom w:val="none" w:sz="0" w:space="0" w:color="auto"/>
        <w:right w:val="none" w:sz="0" w:space="0" w:color="auto"/>
      </w:divBdr>
      <w:divsChild>
        <w:div w:id="1190100256">
          <w:marLeft w:val="0"/>
          <w:marRight w:val="0"/>
          <w:marTop w:val="0"/>
          <w:marBottom w:val="150"/>
          <w:divBdr>
            <w:top w:val="none" w:sz="0" w:space="0" w:color="auto"/>
            <w:left w:val="none" w:sz="0" w:space="0" w:color="auto"/>
            <w:bottom w:val="none" w:sz="0" w:space="0" w:color="auto"/>
            <w:right w:val="none" w:sz="0" w:space="0" w:color="auto"/>
          </w:divBdr>
        </w:div>
        <w:div w:id="1944223131">
          <w:marLeft w:val="0"/>
          <w:marRight w:val="0"/>
          <w:marTop w:val="0"/>
          <w:marBottom w:val="0"/>
          <w:divBdr>
            <w:top w:val="none" w:sz="0" w:space="0" w:color="auto"/>
            <w:left w:val="none" w:sz="0" w:space="0" w:color="auto"/>
            <w:bottom w:val="none" w:sz="0" w:space="0" w:color="auto"/>
            <w:right w:val="none" w:sz="0" w:space="0" w:color="auto"/>
          </w:divBdr>
        </w:div>
      </w:divsChild>
    </w:div>
    <w:div w:id="1189369026">
      <w:bodyDiv w:val="1"/>
      <w:marLeft w:val="0"/>
      <w:marRight w:val="0"/>
      <w:marTop w:val="0"/>
      <w:marBottom w:val="0"/>
      <w:divBdr>
        <w:top w:val="none" w:sz="0" w:space="0" w:color="auto"/>
        <w:left w:val="none" w:sz="0" w:space="0" w:color="auto"/>
        <w:bottom w:val="none" w:sz="0" w:space="0" w:color="auto"/>
        <w:right w:val="none" w:sz="0" w:space="0" w:color="auto"/>
      </w:divBdr>
      <w:divsChild>
        <w:div w:id="1625959242">
          <w:marLeft w:val="0"/>
          <w:marRight w:val="0"/>
          <w:marTop w:val="0"/>
          <w:marBottom w:val="0"/>
          <w:divBdr>
            <w:top w:val="none" w:sz="0" w:space="0" w:color="auto"/>
            <w:left w:val="none" w:sz="0" w:space="0" w:color="auto"/>
            <w:bottom w:val="dotted" w:sz="6" w:space="4" w:color="DDDDDD"/>
            <w:right w:val="none" w:sz="0" w:space="0" w:color="auto"/>
          </w:divBdr>
          <w:divsChild>
            <w:div w:id="178087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373818">
      <w:bodyDiv w:val="1"/>
      <w:marLeft w:val="0"/>
      <w:marRight w:val="0"/>
      <w:marTop w:val="0"/>
      <w:marBottom w:val="0"/>
      <w:divBdr>
        <w:top w:val="none" w:sz="0" w:space="0" w:color="auto"/>
        <w:left w:val="none" w:sz="0" w:space="0" w:color="auto"/>
        <w:bottom w:val="none" w:sz="0" w:space="0" w:color="auto"/>
        <w:right w:val="none" w:sz="0" w:space="0" w:color="auto"/>
      </w:divBdr>
    </w:div>
    <w:div w:id="1189682000">
      <w:bodyDiv w:val="1"/>
      <w:marLeft w:val="0"/>
      <w:marRight w:val="0"/>
      <w:marTop w:val="0"/>
      <w:marBottom w:val="0"/>
      <w:divBdr>
        <w:top w:val="none" w:sz="0" w:space="0" w:color="auto"/>
        <w:left w:val="none" w:sz="0" w:space="0" w:color="auto"/>
        <w:bottom w:val="none" w:sz="0" w:space="0" w:color="auto"/>
        <w:right w:val="none" w:sz="0" w:space="0" w:color="auto"/>
      </w:divBdr>
    </w:div>
    <w:div w:id="1189948440">
      <w:bodyDiv w:val="1"/>
      <w:marLeft w:val="0"/>
      <w:marRight w:val="0"/>
      <w:marTop w:val="0"/>
      <w:marBottom w:val="0"/>
      <w:divBdr>
        <w:top w:val="none" w:sz="0" w:space="0" w:color="auto"/>
        <w:left w:val="none" w:sz="0" w:space="0" w:color="auto"/>
        <w:bottom w:val="none" w:sz="0" w:space="0" w:color="auto"/>
        <w:right w:val="none" w:sz="0" w:space="0" w:color="auto"/>
      </w:divBdr>
    </w:div>
    <w:div w:id="1189948978">
      <w:bodyDiv w:val="1"/>
      <w:marLeft w:val="0"/>
      <w:marRight w:val="0"/>
      <w:marTop w:val="0"/>
      <w:marBottom w:val="0"/>
      <w:divBdr>
        <w:top w:val="none" w:sz="0" w:space="0" w:color="auto"/>
        <w:left w:val="none" w:sz="0" w:space="0" w:color="auto"/>
        <w:bottom w:val="none" w:sz="0" w:space="0" w:color="auto"/>
        <w:right w:val="none" w:sz="0" w:space="0" w:color="auto"/>
      </w:divBdr>
      <w:divsChild>
        <w:div w:id="1689259374">
          <w:marLeft w:val="0"/>
          <w:marRight w:val="0"/>
          <w:marTop w:val="0"/>
          <w:marBottom w:val="150"/>
          <w:divBdr>
            <w:top w:val="none" w:sz="0" w:space="0" w:color="auto"/>
            <w:left w:val="none" w:sz="0" w:space="0" w:color="auto"/>
            <w:bottom w:val="none" w:sz="0" w:space="0" w:color="auto"/>
            <w:right w:val="none" w:sz="0" w:space="0" w:color="auto"/>
          </w:divBdr>
        </w:div>
      </w:divsChild>
    </w:div>
    <w:div w:id="1190294997">
      <w:bodyDiv w:val="1"/>
      <w:marLeft w:val="0"/>
      <w:marRight w:val="0"/>
      <w:marTop w:val="0"/>
      <w:marBottom w:val="0"/>
      <w:divBdr>
        <w:top w:val="none" w:sz="0" w:space="0" w:color="auto"/>
        <w:left w:val="none" w:sz="0" w:space="0" w:color="auto"/>
        <w:bottom w:val="none" w:sz="0" w:space="0" w:color="auto"/>
        <w:right w:val="none" w:sz="0" w:space="0" w:color="auto"/>
      </w:divBdr>
      <w:divsChild>
        <w:div w:id="900679136">
          <w:marLeft w:val="0"/>
          <w:marRight w:val="0"/>
          <w:marTop w:val="0"/>
          <w:marBottom w:val="150"/>
          <w:divBdr>
            <w:top w:val="none" w:sz="0" w:space="0" w:color="auto"/>
            <w:left w:val="none" w:sz="0" w:space="0" w:color="auto"/>
            <w:bottom w:val="none" w:sz="0" w:space="0" w:color="auto"/>
            <w:right w:val="none" w:sz="0" w:space="0" w:color="auto"/>
          </w:divBdr>
        </w:div>
      </w:divsChild>
    </w:div>
    <w:div w:id="1190489887">
      <w:bodyDiv w:val="1"/>
      <w:marLeft w:val="0"/>
      <w:marRight w:val="0"/>
      <w:marTop w:val="0"/>
      <w:marBottom w:val="0"/>
      <w:divBdr>
        <w:top w:val="none" w:sz="0" w:space="0" w:color="auto"/>
        <w:left w:val="none" w:sz="0" w:space="0" w:color="auto"/>
        <w:bottom w:val="none" w:sz="0" w:space="0" w:color="auto"/>
        <w:right w:val="none" w:sz="0" w:space="0" w:color="auto"/>
      </w:divBdr>
    </w:div>
    <w:div w:id="1190796585">
      <w:bodyDiv w:val="1"/>
      <w:marLeft w:val="0"/>
      <w:marRight w:val="0"/>
      <w:marTop w:val="0"/>
      <w:marBottom w:val="0"/>
      <w:divBdr>
        <w:top w:val="none" w:sz="0" w:space="0" w:color="auto"/>
        <w:left w:val="none" w:sz="0" w:space="0" w:color="auto"/>
        <w:bottom w:val="none" w:sz="0" w:space="0" w:color="auto"/>
        <w:right w:val="none" w:sz="0" w:space="0" w:color="auto"/>
      </w:divBdr>
      <w:divsChild>
        <w:div w:id="1799178246">
          <w:marLeft w:val="0"/>
          <w:marRight w:val="0"/>
          <w:marTop w:val="0"/>
          <w:marBottom w:val="0"/>
          <w:divBdr>
            <w:top w:val="none" w:sz="0" w:space="0" w:color="auto"/>
            <w:left w:val="none" w:sz="0" w:space="0" w:color="auto"/>
            <w:bottom w:val="none" w:sz="0" w:space="0" w:color="auto"/>
            <w:right w:val="none" w:sz="0" w:space="0" w:color="auto"/>
          </w:divBdr>
          <w:divsChild>
            <w:div w:id="726682305">
              <w:marLeft w:val="0"/>
              <w:marRight w:val="0"/>
              <w:marTop w:val="0"/>
              <w:marBottom w:val="0"/>
              <w:divBdr>
                <w:top w:val="none" w:sz="0" w:space="0" w:color="auto"/>
                <w:left w:val="none" w:sz="0" w:space="0" w:color="auto"/>
                <w:bottom w:val="none" w:sz="0" w:space="0" w:color="auto"/>
                <w:right w:val="none" w:sz="0" w:space="0" w:color="auto"/>
              </w:divBdr>
            </w:div>
          </w:divsChild>
        </w:div>
        <w:div w:id="838542227">
          <w:marLeft w:val="0"/>
          <w:marRight w:val="0"/>
          <w:marTop w:val="120"/>
          <w:marBottom w:val="0"/>
          <w:divBdr>
            <w:top w:val="none" w:sz="0" w:space="0" w:color="auto"/>
            <w:left w:val="none" w:sz="0" w:space="0" w:color="auto"/>
            <w:bottom w:val="none" w:sz="0" w:space="0" w:color="auto"/>
            <w:right w:val="none" w:sz="0" w:space="0" w:color="auto"/>
          </w:divBdr>
        </w:div>
      </w:divsChild>
    </w:div>
    <w:div w:id="1190800308">
      <w:bodyDiv w:val="1"/>
      <w:marLeft w:val="0"/>
      <w:marRight w:val="0"/>
      <w:marTop w:val="0"/>
      <w:marBottom w:val="0"/>
      <w:divBdr>
        <w:top w:val="none" w:sz="0" w:space="0" w:color="auto"/>
        <w:left w:val="none" w:sz="0" w:space="0" w:color="auto"/>
        <w:bottom w:val="none" w:sz="0" w:space="0" w:color="auto"/>
        <w:right w:val="none" w:sz="0" w:space="0" w:color="auto"/>
      </w:divBdr>
    </w:div>
    <w:div w:id="1190989573">
      <w:bodyDiv w:val="1"/>
      <w:marLeft w:val="0"/>
      <w:marRight w:val="0"/>
      <w:marTop w:val="0"/>
      <w:marBottom w:val="0"/>
      <w:divBdr>
        <w:top w:val="none" w:sz="0" w:space="0" w:color="auto"/>
        <w:left w:val="none" w:sz="0" w:space="0" w:color="auto"/>
        <w:bottom w:val="none" w:sz="0" w:space="0" w:color="auto"/>
        <w:right w:val="none" w:sz="0" w:space="0" w:color="auto"/>
      </w:divBdr>
      <w:divsChild>
        <w:div w:id="1672831675">
          <w:marLeft w:val="0"/>
          <w:marRight w:val="0"/>
          <w:marTop w:val="0"/>
          <w:marBottom w:val="0"/>
          <w:divBdr>
            <w:top w:val="none" w:sz="0" w:space="0" w:color="auto"/>
            <w:left w:val="none" w:sz="0" w:space="0" w:color="auto"/>
            <w:bottom w:val="dotted" w:sz="6" w:space="4" w:color="DDDDDD"/>
            <w:right w:val="none" w:sz="0" w:space="0" w:color="auto"/>
          </w:divBdr>
        </w:div>
      </w:divsChild>
    </w:div>
    <w:div w:id="1191333644">
      <w:bodyDiv w:val="1"/>
      <w:marLeft w:val="0"/>
      <w:marRight w:val="0"/>
      <w:marTop w:val="0"/>
      <w:marBottom w:val="0"/>
      <w:divBdr>
        <w:top w:val="none" w:sz="0" w:space="0" w:color="auto"/>
        <w:left w:val="none" w:sz="0" w:space="0" w:color="auto"/>
        <w:bottom w:val="none" w:sz="0" w:space="0" w:color="auto"/>
        <w:right w:val="none" w:sz="0" w:space="0" w:color="auto"/>
      </w:divBdr>
      <w:divsChild>
        <w:div w:id="235629514">
          <w:marLeft w:val="0"/>
          <w:marRight w:val="0"/>
          <w:marTop w:val="0"/>
          <w:marBottom w:val="150"/>
          <w:divBdr>
            <w:top w:val="none" w:sz="0" w:space="0" w:color="auto"/>
            <w:left w:val="none" w:sz="0" w:space="0" w:color="auto"/>
            <w:bottom w:val="none" w:sz="0" w:space="0" w:color="auto"/>
            <w:right w:val="none" w:sz="0" w:space="0" w:color="auto"/>
          </w:divBdr>
        </w:div>
      </w:divsChild>
    </w:div>
    <w:div w:id="1192647834">
      <w:bodyDiv w:val="1"/>
      <w:marLeft w:val="0"/>
      <w:marRight w:val="0"/>
      <w:marTop w:val="0"/>
      <w:marBottom w:val="0"/>
      <w:divBdr>
        <w:top w:val="none" w:sz="0" w:space="0" w:color="auto"/>
        <w:left w:val="none" w:sz="0" w:space="0" w:color="auto"/>
        <w:bottom w:val="none" w:sz="0" w:space="0" w:color="auto"/>
        <w:right w:val="none" w:sz="0" w:space="0" w:color="auto"/>
      </w:divBdr>
    </w:div>
    <w:div w:id="1192917337">
      <w:bodyDiv w:val="1"/>
      <w:marLeft w:val="0"/>
      <w:marRight w:val="0"/>
      <w:marTop w:val="0"/>
      <w:marBottom w:val="0"/>
      <w:divBdr>
        <w:top w:val="none" w:sz="0" w:space="0" w:color="auto"/>
        <w:left w:val="none" w:sz="0" w:space="0" w:color="auto"/>
        <w:bottom w:val="none" w:sz="0" w:space="0" w:color="auto"/>
        <w:right w:val="none" w:sz="0" w:space="0" w:color="auto"/>
      </w:divBdr>
    </w:div>
    <w:div w:id="1192917877">
      <w:bodyDiv w:val="1"/>
      <w:marLeft w:val="0"/>
      <w:marRight w:val="0"/>
      <w:marTop w:val="0"/>
      <w:marBottom w:val="0"/>
      <w:divBdr>
        <w:top w:val="none" w:sz="0" w:space="0" w:color="auto"/>
        <w:left w:val="none" w:sz="0" w:space="0" w:color="auto"/>
        <w:bottom w:val="none" w:sz="0" w:space="0" w:color="auto"/>
        <w:right w:val="none" w:sz="0" w:space="0" w:color="auto"/>
      </w:divBdr>
    </w:div>
    <w:div w:id="1192958774">
      <w:bodyDiv w:val="1"/>
      <w:marLeft w:val="0"/>
      <w:marRight w:val="0"/>
      <w:marTop w:val="0"/>
      <w:marBottom w:val="0"/>
      <w:divBdr>
        <w:top w:val="none" w:sz="0" w:space="0" w:color="auto"/>
        <w:left w:val="none" w:sz="0" w:space="0" w:color="auto"/>
        <w:bottom w:val="none" w:sz="0" w:space="0" w:color="auto"/>
        <w:right w:val="none" w:sz="0" w:space="0" w:color="auto"/>
      </w:divBdr>
      <w:divsChild>
        <w:div w:id="1074670486">
          <w:marLeft w:val="0"/>
          <w:marRight w:val="0"/>
          <w:marTop w:val="0"/>
          <w:marBottom w:val="150"/>
          <w:divBdr>
            <w:top w:val="none" w:sz="0" w:space="0" w:color="auto"/>
            <w:left w:val="none" w:sz="0" w:space="0" w:color="auto"/>
            <w:bottom w:val="none" w:sz="0" w:space="0" w:color="auto"/>
            <w:right w:val="none" w:sz="0" w:space="0" w:color="auto"/>
          </w:divBdr>
          <w:divsChild>
            <w:div w:id="1689988297">
              <w:marLeft w:val="0"/>
              <w:marRight w:val="0"/>
              <w:marTop w:val="0"/>
              <w:marBottom w:val="0"/>
              <w:divBdr>
                <w:top w:val="none" w:sz="0" w:space="0" w:color="auto"/>
                <w:left w:val="none" w:sz="0" w:space="0" w:color="auto"/>
                <w:bottom w:val="none" w:sz="0" w:space="0" w:color="auto"/>
                <w:right w:val="none" w:sz="0" w:space="0" w:color="auto"/>
              </w:divBdr>
            </w:div>
          </w:divsChild>
        </w:div>
        <w:div w:id="1769040795">
          <w:marLeft w:val="0"/>
          <w:marRight w:val="0"/>
          <w:marTop w:val="0"/>
          <w:marBottom w:val="0"/>
          <w:divBdr>
            <w:top w:val="none" w:sz="0" w:space="0" w:color="auto"/>
            <w:left w:val="none" w:sz="0" w:space="0" w:color="auto"/>
            <w:bottom w:val="none" w:sz="0" w:space="0" w:color="auto"/>
            <w:right w:val="none" w:sz="0" w:space="0" w:color="auto"/>
          </w:divBdr>
          <w:divsChild>
            <w:div w:id="704016148">
              <w:marLeft w:val="0"/>
              <w:marRight w:val="0"/>
              <w:marTop w:val="0"/>
              <w:marBottom w:val="150"/>
              <w:divBdr>
                <w:top w:val="none" w:sz="0" w:space="0" w:color="auto"/>
                <w:left w:val="none" w:sz="0" w:space="0" w:color="auto"/>
                <w:bottom w:val="none" w:sz="0" w:space="0" w:color="auto"/>
                <w:right w:val="none" w:sz="0" w:space="0" w:color="auto"/>
              </w:divBdr>
            </w:div>
            <w:div w:id="111162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879354">
      <w:bodyDiv w:val="1"/>
      <w:marLeft w:val="0"/>
      <w:marRight w:val="0"/>
      <w:marTop w:val="0"/>
      <w:marBottom w:val="0"/>
      <w:divBdr>
        <w:top w:val="none" w:sz="0" w:space="0" w:color="auto"/>
        <w:left w:val="none" w:sz="0" w:space="0" w:color="auto"/>
        <w:bottom w:val="none" w:sz="0" w:space="0" w:color="auto"/>
        <w:right w:val="none" w:sz="0" w:space="0" w:color="auto"/>
      </w:divBdr>
    </w:div>
    <w:div w:id="1193886874">
      <w:bodyDiv w:val="1"/>
      <w:marLeft w:val="0"/>
      <w:marRight w:val="0"/>
      <w:marTop w:val="0"/>
      <w:marBottom w:val="0"/>
      <w:divBdr>
        <w:top w:val="none" w:sz="0" w:space="0" w:color="auto"/>
        <w:left w:val="none" w:sz="0" w:space="0" w:color="auto"/>
        <w:bottom w:val="none" w:sz="0" w:space="0" w:color="auto"/>
        <w:right w:val="none" w:sz="0" w:space="0" w:color="auto"/>
      </w:divBdr>
    </w:div>
    <w:div w:id="1194147835">
      <w:bodyDiv w:val="1"/>
      <w:marLeft w:val="0"/>
      <w:marRight w:val="0"/>
      <w:marTop w:val="0"/>
      <w:marBottom w:val="0"/>
      <w:divBdr>
        <w:top w:val="none" w:sz="0" w:space="0" w:color="auto"/>
        <w:left w:val="none" w:sz="0" w:space="0" w:color="auto"/>
        <w:bottom w:val="none" w:sz="0" w:space="0" w:color="auto"/>
        <w:right w:val="none" w:sz="0" w:space="0" w:color="auto"/>
      </w:divBdr>
      <w:divsChild>
        <w:div w:id="1828085919">
          <w:marLeft w:val="0"/>
          <w:marRight w:val="0"/>
          <w:marTop w:val="0"/>
          <w:marBottom w:val="0"/>
          <w:divBdr>
            <w:top w:val="none" w:sz="0" w:space="0" w:color="auto"/>
            <w:left w:val="none" w:sz="0" w:space="0" w:color="auto"/>
            <w:bottom w:val="none" w:sz="0" w:space="0" w:color="auto"/>
            <w:right w:val="none" w:sz="0" w:space="0" w:color="auto"/>
          </w:divBdr>
          <w:divsChild>
            <w:div w:id="1887646216">
              <w:marLeft w:val="0"/>
              <w:marRight w:val="0"/>
              <w:marTop w:val="0"/>
              <w:marBottom w:val="0"/>
              <w:divBdr>
                <w:top w:val="none" w:sz="0" w:space="0" w:color="auto"/>
                <w:left w:val="none" w:sz="0" w:space="0" w:color="auto"/>
                <w:bottom w:val="none" w:sz="0" w:space="0" w:color="auto"/>
                <w:right w:val="none" w:sz="0" w:space="0" w:color="auto"/>
              </w:divBdr>
              <w:divsChild>
                <w:div w:id="880554854">
                  <w:marLeft w:val="0"/>
                  <w:marRight w:val="0"/>
                  <w:marTop w:val="0"/>
                  <w:marBottom w:val="0"/>
                  <w:divBdr>
                    <w:top w:val="none" w:sz="0" w:space="0" w:color="auto"/>
                    <w:left w:val="none" w:sz="0" w:space="0" w:color="auto"/>
                    <w:bottom w:val="none" w:sz="0" w:space="0" w:color="auto"/>
                    <w:right w:val="none" w:sz="0" w:space="0" w:color="auto"/>
                  </w:divBdr>
                  <w:divsChild>
                    <w:div w:id="215089827">
                      <w:marLeft w:val="0"/>
                      <w:marRight w:val="0"/>
                      <w:marTop w:val="0"/>
                      <w:marBottom w:val="0"/>
                      <w:divBdr>
                        <w:top w:val="none" w:sz="0" w:space="0" w:color="auto"/>
                        <w:left w:val="none" w:sz="0" w:space="0" w:color="auto"/>
                        <w:bottom w:val="none" w:sz="0" w:space="0" w:color="auto"/>
                        <w:right w:val="none" w:sz="0" w:space="0" w:color="auto"/>
                      </w:divBdr>
                      <w:divsChild>
                        <w:div w:id="862524301">
                          <w:marLeft w:val="0"/>
                          <w:marRight w:val="0"/>
                          <w:marTop w:val="0"/>
                          <w:marBottom w:val="0"/>
                          <w:divBdr>
                            <w:top w:val="none" w:sz="0" w:space="0" w:color="auto"/>
                            <w:left w:val="none" w:sz="0" w:space="0" w:color="auto"/>
                            <w:bottom w:val="none" w:sz="0" w:space="0" w:color="auto"/>
                            <w:right w:val="none" w:sz="0" w:space="0" w:color="auto"/>
                          </w:divBdr>
                          <w:divsChild>
                            <w:div w:id="360788323">
                              <w:marLeft w:val="0"/>
                              <w:marRight w:val="0"/>
                              <w:marTop w:val="0"/>
                              <w:marBottom w:val="0"/>
                              <w:divBdr>
                                <w:top w:val="none" w:sz="0" w:space="0" w:color="auto"/>
                                <w:left w:val="none" w:sz="0" w:space="0" w:color="auto"/>
                                <w:bottom w:val="none" w:sz="0" w:space="0" w:color="auto"/>
                                <w:right w:val="none" w:sz="0" w:space="0" w:color="auto"/>
                              </w:divBdr>
                              <w:divsChild>
                                <w:div w:id="148153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4265773">
      <w:bodyDiv w:val="1"/>
      <w:marLeft w:val="0"/>
      <w:marRight w:val="0"/>
      <w:marTop w:val="0"/>
      <w:marBottom w:val="0"/>
      <w:divBdr>
        <w:top w:val="none" w:sz="0" w:space="0" w:color="auto"/>
        <w:left w:val="none" w:sz="0" w:space="0" w:color="auto"/>
        <w:bottom w:val="none" w:sz="0" w:space="0" w:color="auto"/>
        <w:right w:val="none" w:sz="0" w:space="0" w:color="auto"/>
      </w:divBdr>
    </w:div>
    <w:div w:id="1194422507">
      <w:bodyDiv w:val="1"/>
      <w:marLeft w:val="0"/>
      <w:marRight w:val="0"/>
      <w:marTop w:val="0"/>
      <w:marBottom w:val="0"/>
      <w:divBdr>
        <w:top w:val="none" w:sz="0" w:space="0" w:color="auto"/>
        <w:left w:val="none" w:sz="0" w:space="0" w:color="auto"/>
        <w:bottom w:val="none" w:sz="0" w:space="0" w:color="auto"/>
        <w:right w:val="none" w:sz="0" w:space="0" w:color="auto"/>
      </w:divBdr>
    </w:div>
    <w:div w:id="1195576600">
      <w:bodyDiv w:val="1"/>
      <w:marLeft w:val="0"/>
      <w:marRight w:val="0"/>
      <w:marTop w:val="0"/>
      <w:marBottom w:val="0"/>
      <w:divBdr>
        <w:top w:val="none" w:sz="0" w:space="0" w:color="auto"/>
        <w:left w:val="none" w:sz="0" w:space="0" w:color="auto"/>
        <w:bottom w:val="none" w:sz="0" w:space="0" w:color="auto"/>
        <w:right w:val="none" w:sz="0" w:space="0" w:color="auto"/>
      </w:divBdr>
      <w:divsChild>
        <w:div w:id="882982858">
          <w:marLeft w:val="0"/>
          <w:marRight w:val="0"/>
          <w:marTop w:val="0"/>
          <w:marBottom w:val="0"/>
          <w:divBdr>
            <w:top w:val="none" w:sz="0" w:space="0" w:color="auto"/>
            <w:left w:val="none" w:sz="0" w:space="0" w:color="auto"/>
            <w:bottom w:val="dotted" w:sz="6" w:space="4" w:color="DDDDDD"/>
            <w:right w:val="none" w:sz="0" w:space="0" w:color="auto"/>
          </w:divBdr>
          <w:divsChild>
            <w:div w:id="172163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042251">
      <w:bodyDiv w:val="1"/>
      <w:marLeft w:val="0"/>
      <w:marRight w:val="0"/>
      <w:marTop w:val="0"/>
      <w:marBottom w:val="0"/>
      <w:divBdr>
        <w:top w:val="none" w:sz="0" w:space="0" w:color="auto"/>
        <w:left w:val="none" w:sz="0" w:space="0" w:color="auto"/>
        <w:bottom w:val="none" w:sz="0" w:space="0" w:color="auto"/>
        <w:right w:val="none" w:sz="0" w:space="0" w:color="auto"/>
      </w:divBdr>
    </w:div>
    <w:div w:id="1196113823">
      <w:bodyDiv w:val="1"/>
      <w:marLeft w:val="0"/>
      <w:marRight w:val="0"/>
      <w:marTop w:val="0"/>
      <w:marBottom w:val="0"/>
      <w:divBdr>
        <w:top w:val="none" w:sz="0" w:space="0" w:color="auto"/>
        <w:left w:val="none" w:sz="0" w:space="0" w:color="auto"/>
        <w:bottom w:val="none" w:sz="0" w:space="0" w:color="auto"/>
        <w:right w:val="none" w:sz="0" w:space="0" w:color="auto"/>
      </w:divBdr>
      <w:divsChild>
        <w:div w:id="1755931128">
          <w:marLeft w:val="0"/>
          <w:marRight w:val="0"/>
          <w:marTop w:val="0"/>
          <w:marBottom w:val="150"/>
          <w:divBdr>
            <w:top w:val="none" w:sz="0" w:space="0" w:color="auto"/>
            <w:left w:val="none" w:sz="0" w:space="0" w:color="auto"/>
            <w:bottom w:val="none" w:sz="0" w:space="0" w:color="auto"/>
            <w:right w:val="none" w:sz="0" w:space="0" w:color="auto"/>
          </w:divBdr>
          <w:divsChild>
            <w:div w:id="637800031">
              <w:marLeft w:val="0"/>
              <w:marRight w:val="0"/>
              <w:marTop w:val="0"/>
              <w:marBottom w:val="0"/>
              <w:divBdr>
                <w:top w:val="none" w:sz="0" w:space="0" w:color="auto"/>
                <w:left w:val="none" w:sz="0" w:space="0" w:color="auto"/>
                <w:bottom w:val="none" w:sz="0" w:space="0" w:color="auto"/>
                <w:right w:val="none" w:sz="0" w:space="0" w:color="auto"/>
              </w:divBdr>
              <w:divsChild>
                <w:div w:id="563685750">
                  <w:marLeft w:val="0"/>
                  <w:marRight w:val="0"/>
                  <w:marTop w:val="0"/>
                  <w:marBottom w:val="0"/>
                  <w:divBdr>
                    <w:top w:val="none" w:sz="0" w:space="0" w:color="auto"/>
                    <w:left w:val="none" w:sz="0" w:space="0" w:color="auto"/>
                    <w:bottom w:val="none" w:sz="0" w:space="0" w:color="auto"/>
                    <w:right w:val="none" w:sz="0" w:space="0" w:color="auto"/>
                  </w:divBdr>
                  <w:divsChild>
                    <w:div w:id="395011430">
                      <w:marLeft w:val="0"/>
                      <w:marRight w:val="150"/>
                      <w:marTop w:val="0"/>
                      <w:marBottom w:val="0"/>
                      <w:divBdr>
                        <w:top w:val="none" w:sz="0" w:space="0" w:color="auto"/>
                        <w:left w:val="none" w:sz="0" w:space="0" w:color="auto"/>
                        <w:bottom w:val="none" w:sz="0" w:space="0" w:color="auto"/>
                        <w:right w:val="none" w:sz="0" w:space="0" w:color="auto"/>
                      </w:divBdr>
                      <w:divsChild>
                        <w:div w:id="15468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084335">
          <w:marLeft w:val="0"/>
          <w:marRight w:val="0"/>
          <w:marTop w:val="0"/>
          <w:marBottom w:val="150"/>
          <w:divBdr>
            <w:top w:val="none" w:sz="0" w:space="0" w:color="auto"/>
            <w:left w:val="none" w:sz="0" w:space="0" w:color="auto"/>
            <w:bottom w:val="none" w:sz="0" w:space="0" w:color="auto"/>
            <w:right w:val="none" w:sz="0" w:space="0" w:color="auto"/>
          </w:divBdr>
        </w:div>
        <w:div w:id="1838644428">
          <w:marLeft w:val="0"/>
          <w:marRight w:val="0"/>
          <w:marTop w:val="0"/>
          <w:marBottom w:val="0"/>
          <w:divBdr>
            <w:top w:val="none" w:sz="0" w:space="0" w:color="auto"/>
            <w:left w:val="none" w:sz="0" w:space="0" w:color="auto"/>
            <w:bottom w:val="none" w:sz="0" w:space="0" w:color="auto"/>
            <w:right w:val="none" w:sz="0" w:space="0" w:color="auto"/>
          </w:divBdr>
          <w:divsChild>
            <w:div w:id="35134212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96844059">
      <w:bodyDiv w:val="1"/>
      <w:marLeft w:val="0"/>
      <w:marRight w:val="0"/>
      <w:marTop w:val="0"/>
      <w:marBottom w:val="0"/>
      <w:divBdr>
        <w:top w:val="none" w:sz="0" w:space="0" w:color="auto"/>
        <w:left w:val="none" w:sz="0" w:space="0" w:color="auto"/>
        <w:bottom w:val="none" w:sz="0" w:space="0" w:color="auto"/>
        <w:right w:val="none" w:sz="0" w:space="0" w:color="auto"/>
      </w:divBdr>
      <w:divsChild>
        <w:div w:id="701825026">
          <w:marLeft w:val="0"/>
          <w:marRight w:val="0"/>
          <w:marTop w:val="0"/>
          <w:marBottom w:val="0"/>
          <w:divBdr>
            <w:top w:val="none" w:sz="0" w:space="0" w:color="auto"/>
            <w:left w:val="none" w:sz="0" w:space="0" w:color="auto"/>
            <w:bottom w:val="none" w:sz="0" w:space="0" w:color="auto"/>
            <w:right w:val="none" w:sz="0" w:space="0" w:color="auto"/>
          </w:divBdr>
        </w:div>
        <w:div w:id="897281378">
          <w:marLeft w:val="0"/>
          <w:marRight w:val="0"/>
          <w:marTop w:val="0"/>
          <w:marBottom w:val="150"/>
          <w:divBdr>
            <w:top w:val="none" w:sz="0" w:space="0" w:color="auto"/>
            <w:left w:val="none" w:sz="0" w:space="0" w:color="auto"/>
            <w:bottom w:val="none" w:sz="0" w:space="0" w:color="auto"/>
            <w:right w:val="none" w:sz="0" w:space="0" w:color="auto"/>
          </w:divBdr>
        </w:div>
      </w:divsChild>
    </w:div>
    <w:div w:id="1198473342">
      <w:bodyDiv w:val="1"/>
      <w:marLeft w:val="0"/>
      <w:marRight w:val="0"/>
      <w:marTop w:val="0"/>
      <w:marBottom w:val="0"/>
      <w:divBdr>
        <w:top w:val="none" w:sz="0" w:space="0" w:color="auto"/>
        <w:left w:val="none" w:sz="0" w:space="0" w:color="auto"/>
        <w:bottom w:val="none" w:sz="0" w:space="0" w:color="auto"/>
        <w:right w:val="none" w:sz="0" w:space="0" w:color="auto"/>
      </w:divBdr>
      <w:divsChild>
        <w:div w:id="618297468">
          <w:marLeft w:val="0"/>
          <w:marRight w:val="0"/>
          <w:marTop w:val="0"/>
          <w:marBottom w:val="0"/>
          <w:divBdr>
            <w:top w:val="none" w:sz="0" w:space="0" w:color="auto"/>
            <w:left w:val="none" w:sz="0" w:space="0" w:color="auto"/>
            <w:bottom w:val="dotted" w:sz="6" w:space="4" w:color="DDDDDD"/>
            <w:right w:val="none" w:sz="0" w:space="0" w:color="auto"/>
          </w:divBdr>
          <w:divsChild>
            <w:div w:id="136520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853013">
      <w:bodyDiv w:val="1"/>
      <w:marLeft w:val="0"/>
      <w:marRight w:val="0"/>
      <w:marTop w:val="0"/>
      <w:marBottom w:val="0"/>
      <w:divBdr>
        <w:top w:val="none" w:sz="0" w:space="0" w:color="auto"/>
        <w:left w:val="none" w:sz="0" w:space="0" w:color="auto"/>
        <w:bottom w:val="none" w:sz="0" w:space="0" w:color="auto"/>
        <w:right w:val="none" w:sz="0" w:space="0" w:color="auto"/>
      </w:divBdr>
      <w:divsChild>
        <w:div w:id="495918804">
          <w:marLeft w:val="0"/>
          <w:marRight w:val="0"/>
          <w:marTop w:val="0"/>
          <w:marBottom w:val="0"/>
          <w:divBdr>
            <w:top w:val="none" w:sz="0" w:space="0" w:color="auto"/>
            <w:left w:val="none" w:sz="0" w:space="0" w:color="auto"/>
            <w:bottom w:val="none" w:sz="0" w:space="0" w:color="auto"/>
            <w:right w:val="none" w:sz="0" w:space="0" w:color="auto"/>
          </w:divBdr>
          <w:divsChild>
            <w:div w:id="1026902762">
              <w:marLeft w:val="0"/>
              <w:marRight w:val="0"/>
              <w:marTop w:val="0"/>
              <w:marBottom w:val="0"/>
              <w:divBdr>
                <w:top w:val="none" w:sz="0" w:space="0" w:color="auto"/>
                <w:left w:val="none" w:sz="0" w:space="0" w:color="auto"/>
                <w:bottom w:val="none" w:sz="0" w:space="0" w:color="auto"/>
                <w:right w:val="none" w:sz="0" w:space="0" w:color="auto"/>
              </w:divBdr>
              <w:divsChild>
                <w:div w:id="1793984978">
                  <w:marLeft w:val="0"/>
                  <w:marRight w:val="0"/>
                  <w:marTop w:val="0"/>
                  <w:marBottom w:val="0"/>
                  <w:divBdr>
                    <w:top w:val="none" w:sz="0" w:space="0" w:color="auto"/>
                    <w:left w:val="none" w:sz="0" w:space="0" w:color="auto"/>
                    <w:bottom w:val="none" w:sz="0" w:space="0" w:color="auto"/>
                    <w:right w:val="none" w:sz="0" w:space="0" w:color="auto"/>
                  </w:divBdr>
                  <w:divsChild>
                    <w:div w:id="1572812583">
                      <w:marLeft w:val="0"/>
                      <w:marRight w:val="0"/>
                      <w:marTop w:val="0"/>
                      <w:marBottom w:val="0"/>
                      <w:divBdr>
                        <w:top w:val="none" w:sz="0" w:space="0" w:color="auto"/>
                        <w:left w:val="none" w:sz="0" w:space="0" w:color="auto"/>
                        <w:bottom w:val="none" w:sz="0" w:space="0" w:color="auto"/>
                        <w:right w:val="none" w:sz="0" w:space="0" w:color="auto"/>
                      </w:divBdr>
                      <w:divsChild>
                        <w:div w:id="334692648">
                          <w:marLeft w:val="0"/>
                          <w:marRight w:val="0"/>
                          <w:marTop w:val="0"/>
                          <w:marBottom w:val="0"/>
                          <w:divBdr>
                            <w:top w:val="none" w:sz="0" w:space="0" w:color="auto"/>
                            <w:left w:val="none" w:sz="0" w:space="0" w:color="auto"/>
                            <w:bottom w:val="none" w:sz="0" w:space="0" w:color="auto"/>
                            <w:right w:val="none" w:sz="0" w:space="0" w:color="auto"/>
                          </w:divBdr>
                          <w:divsChild>
                            <w:div w:id="34278855">
                              <w:marLeft w:val="0"/>
                              <w:marRight w:val="0"/>
                              <w:marTop w:val="0"/>
                              <w:marBottom w:val="0"/>
                              <w:divBdr>
                                <w:top w:val="none" w:sz="0" w:space="0" w:color="auto"/>
                                <w:left w:val="none" w:sz="0" w:space="0" w:color="auto"/>
                                <w:bottom w:val="none" w:sz="0" w:space="0" w:color="auto"/>
                                <w:right w:val="none" w:sz="0" w:space="0" w:color="auto"/>
                              </w:divBdr>
                              <w:divsChild>
                                <w:div w:id="184486642">
                                  <w:marLeft w:val="0"/>
                                  <w:marRight w:val="0"/>
                                  <w:marTop w:val="0"/>
                                  <w:marBottom w:val="0"/>
                                  <w:divBdr>
                                    <w:top w:val="none" w:sz="0" w:space="0" w:color="auto"/>
                                    <w:left w:val="none" w:sz="0" w:space="0" w:color="auto"/>
                                    <w:bottom w:val="none" w:sz="0" w:space="0" w:color="auto"/>
                                    <w:right w:val="none" w:sz="0" w:space="0" w:color="auto"/>
                                  </w:divBdr>
                                  <w:divsChild>
                                    <w:div w:id="47772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9471535">
      <w:bodyDiv w:val="1"/>
      <w:marLeft w:val="0"/>
      <w:marRight w:val="0"/>
      <w:marTop w:val="0"/>
      <w:marBottom w:val="0"/>
      <w:divBdr>
        <w:top w:val="none" w:sz="0" w:space="0" w:color="auto"/>
        <w:left w:val="none" w:sz="0" w:space="0" w:color="auto"/>
        <w:bottom w:val="none" w:sz="0" w:space="0" w:color="auto"/>
        <w:right w:val="none" w:sz="0" w:space="0" w:color="auto"/>
      </w:divBdr>
      <w:divsChild>
        <w:div w:id="681469611">
          <w:marLeft w:val="0"/>
          <w:marRight w:val="0"/>
          <w:marTop w:val="0"/>
          <w:marBottom w:val="0"/>
          <w:divBdr>
            <w:top w:val="none" w:sz="0" w:space="0" w:color="auto"/>
            <w:left w:val="none" w:sz="0" w:space="0" w:color="auto"/>
            <w:bottom w:val="none" w:sz="0" w:space="0" w:color="auto"/>
            <w:right w:val="none" w:sz="0" w:space="0" w:color="auto"/>
          </w:divBdr>
          <w:divsChild>
            <w:div w:id="1332946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00514521">
      <w:bodyDiv w:val="1"/>
      <w:marLeft w:val="0"/>
      <w:marRight w:val="0"/>
      <w:marTop w:val="0"/>
      <w:marBottom w:val="0"/>
      <w:divBdr>
        <w:top w:val="none" w:sz="0" w:space="0" w:color="auto"/>
        <w:left w:val="none" w:sz="0" w:space="0" w:color="auto"/>
        <w:bottom w:val="none" w:sz="0" w:space="0" w:color="auto"/>
        <w:right w:val="none" w:sz="0" w:space="0" w:color="auto"/>
      </w:divBdr>
    </w:div>
    <w:div w:id="1200894619">
      <w:bodyDiv w:val="1"/>
      <w:marLeft w:val="0"/>
      <w:marRight w:val="0"/>
      <w:marTop w:val="0"/>
      <w:marBottom w:val="0"/>
      <w:divBdr>
        <w:top w:val="none" w:sz="0" w:space="0" w:color="auto"/>
        <w:left w:val="none" w:sz="0" w:space="0" w:color="auto"/>
        <w:bottom w:val="none" w:sz="0" w:space="0" w:color="auto"/>
        <w:right w:val="none" w:sz="0" w:space="0" w:color="auto"/>
      </w:divBdr>
      <w:divsChild>
        <w:div w:id="6635860">
          <w:marLeft w:val="0"/>
          <w:marRight w:val="0"/>
          <w:marTop w:val="0"/>
          <w:marBottom w:val="300"/>
          <w:divBdr>
            <w:top w:val="none" w:sz="0" w:space="0" w:color="auto"/>
            <w:left w:val="none" w:sz="0" w:space="0" w:color="auto"/>
            <w:bottom w:val="none" w:sz="0" w:space="0" w:color="auto"/>
            <w:right w:val="none" w:sz="0" w:space="0" w:color="auto"/>
          </w:divBdr>
          <w:divsChild>
            <w:div w:id="561646529">
              <w:marLeft w:val="0"/>
              <w:marRight w:val="0"/>
              <w:marTop w:val="0"/>
              <w:marBottom w:val="0"/>
              <w:divBdr>
                <w:top w:val="none" w:sz="0" w:space="0" w:color="auto"/>
                <w:left w:val="none" w:sz="0" w:space="0" w:color="auto"/>
                <w:bottom w:val="none" w:sz="0" w:space="0" w:color="auto"/>
                <w:right w:val="none" w:sz="0" w:space="0" w:color="auto"/>
              </w:divBdr>
            </w:div>
          </w:divsChild>
        </w:div>
        <w:div w:id="1035808386">
          <w:marLeft w:val="0"/>
          <w:marRight w:val="0"/>
          <w:marTop w:val="0"/>
          <w:marBottom w:val="0"/>
          <w:divBdr>
            <w:top w:val="none" w:sz="0" w:space="0" w:color="auto"/>
            <w:left w:val="none" w:sz="0" w:space="0" w:color="auto"/>
            <w:bottom w:val="none" w:sz="0" w:space="0" w:color="auto"/>
            <w:right w:val="none" w:sz="0" w:space="0" w:color="auto"/>
          </w:divBdr>
          <w:divsChild>
            <w:div w:id="2022050711">
              <w:marLeft w:val="0"/>
              <w:marRight w:val="0"/>
              <w:marTop w:val="0"/>
              <w:marBottom w:val="0"/>
              <w:divBdr>
                <w:top w:val="none" w:sz="0" w:space="0" w:color="auto"/>
                <w:left w:val="none" w:sz="0" w:space="0" w:color="auto"/>
                <w:bottom w:val="none" w:sz="0" w:space="0" w:color="auto"/>
                <w:right w:val="none" w:sz="0" w:space="0" w:color="auto"/>
              </w:divBdr>
              <w:divsChild>
                <w:div w:id="180361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2420">
          <w:marLeft w:val="0"/>
          <w:marRight w:val="0"/>
          <w:marTop w:val="0"/>
          <w:marBottom w:val="0"/>
          <w:divBdr>
            <w:top w:val="none" w:sz="0" w:space="0" w:color="auto"/>
            <w:left w:val="none" w:sz="0" w:space="0" w:color="auto"/>
            <w:bottom w:val="none" w:sz="0" w:space="0" w:color="auto"/>
            <w:right w:val="none" w:sz="0" w:space="0" w:color="auto"/>
          </w:divBdr>
        </w:div>
        <w:div w:id="1405566964">
          <w:marLeft w:val="0"/>
          <w:marRight w:val="0"/>
          <w:marTop w:val="0"/>
          <w:marBottom w:val="75"/>
          <w:divBdr>
            <w:top w:val="none" w:sz="0" w:space="0" w:color="auto"/>
            <w:left w:val="none" w:sz="0" w:space="0" w:color="auto"/>
            <w:bottom w:val="none" w:sz="0" w:space="0" w:color="auto"/>
            <w:right w:val="none" w:sz="0" w:space="0" w:color="auto"/>
          </w:divBdr>
        </w:div>
      </w:divsChild>
    </w:div>
    <w:div w:id="1200971294">
      <w:bodyDiv w:val="1"/>
      <w:marLeft w:val="0"/>
      <w:marRight w:val="0"/>
      <w:marTop w:val="0"/>
      <w:marBottom w:val="0"/>
      <w:divBdr>
        <w:top w:val="none" w:sz="0" w:space="0" w:color="auto"/>
        <w:left w:val="none" w:sz="0" w:space="0" w:color="auto"/>
        <w:bottom w:val="none" w:sz="0" w:space="0" w:color="auto"/>
        <w:right w:val="none" w:sz="0" w:space="0" w:color="auto"/>
      </w:divBdr>
      <w:divsChild>
        <w:div w:id="312568584">
          <w:marLeft w:val="0"/>
          <w:marRight w:val="0"/>
          <w:marTop w:val="0"/>
          <w:marBottom w:val="0"/>
          <w:divBdr>
            <w:top w:val="none" w:sz="0" w:space="0" w:color="auto"/>
            <w:left w:val="none" w:sz="0" w:space="0" w:color="auto"/>
            <w:bottom w:val="dotted" w:sz="6" w:space="4" w:color="DDDDDD"/>
            <w:right w:val="none" w:sz="0" w:space="0" w:color="auto"/>
          </w:divBdr>
          <w:divsChild>
            <w:div w:id="111964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045331">
      <w:bodyDiv w:val="1"/>
      <w:marLeft w:val="0"/>
      <w:marRight w:val="0"/>
      <w:marTop w:val="0"/>
      <w:marBottom w:val="0"/>
      <w:divBdr>
        <w:top w:val="none" w:sz="0" w:space="0" w:color="auto"/>
        <w:left w:val="none" w:sz="0" w:space="0" w:color="auto"/>
        <w:bottom w:val="none" w:sz="0" w:space="0" w:color="auto"/>
        <w:right w:val="none" w:sz="0" w:space="0" w:color="auto"/>
      </w:divBdr>
      <w:divsChild>
        <w:div w:id="1027828248">
          <w:marLeft w:val="0"/>
          <w:marRight w:val="0"/>
          <w:marTop w:val="0"/>
          <w:marBottom w:val="0"/>
          <w:divBdr>
            <w:top w:val="none" w:sz="0" w:space="0" w:color="auto"/>
            <w:left w:val="none" w:sz="0" w:space="0" w:color="auto"/>
            <w:bottom w:val="none" w:sz="0" w:space="0" w:color="auto"/>
            <w:right w:val="none" w:sz="0" w:space="0" w:color="auto"/>
          </w:divBdr>
          <w:divsChild>
            <w:div w:id="148827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31007">
      <w:bodyDiv w:val="1"/>
      <w:marLeft w:val="0"/>
      <w:marRight w:val="0"/>
      <w:marTop w:val="0"/>
      <w:marBottom w:val="0"/>
      <w:divBdr>
        <w:top w:val="none" w:sz="0" w:space="0" w:color="auto"/>
        <w:left w:val="none" w:sz="0" w:space="0" w:color="auto"/>
        <w:bottom w:val="none" w:sz="0" w:space="0" w:color="auto"/>
        <w:right w:val="none" w:sz="0" w:space="0" w:color="auto"/>
      </w:divBdr>
    </w:div>
    <w:div w:id="1201480015">
      <w:bodyDiv w:val="1"/>
      <w:marLeft w:val="0"/>
      <w:marRight w:val="0"/>
      <w:marTop w:val="0"/>
      <w:marBottom w:val="0"/>
      <w:divBdr>
        <w:top w:val="none" w:sz="0" w:space="0" w:color="auto"/>
        <w:left w:val="none" w:sz="0" w:space="0" w:color="auto"/>
        <w:bottom w:val="none" w:sz="0" w:space="0" w:color="auto"/>
        <w:right w:val="none" w:sz="0" w:space="0" w:color="auto"/>
      </w:divBdr>
      <w:divsChild>
        <w:div w:id="763888715">
          <w:marLeft w:val="0"/>
          <w:marRight w:val="0"/>
          <w:marTop w:val="0"/>
          <w:marBottom w:val="150"/>
          <w:divBdr>
            <w:top w:val="none" w:sz="0" w:space="0" w:color="auto"/>
            <w:left w:val="none" w:sz="0" w:space="0" w:color="auto"/>
            <w:bottom w:val="none" w:sz="0" w:space="0" w:color="auto"/>
            <w:right w:val="none" w:sz="0" w:space="0" w:color="auto"/>
          </w:divBdr>
          <w:divsChild>
            <w:div w:id="841508379">
              <w:marLeft w:val="0"/>
              <w:marRight w:val="0"/>
              <w:marTop w:val="0"/>
              <w:marBottom w:val="0"/>
              <w:divBdr>
                <w:top w:val="none" w:sz="0" w:space="0" w:color="auto"/>
                <w:left w:val="none" w:sz="0" w:space="0" w:color="auto"/>
                <w:bottom w:val="none" w:sz="0" w:space="0" w:color="auto"/>
                <w:right w:val="none" w:sz="0" w:space="0" w:color="auto"/>
              </w:divBdr>
              <w:divsChild>
                <w:div w:id="162053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953461">
          <w:marLeft w:val="0"/>
          <w:marRight w:val="0"/>
          <w:marTop w:val="0"/>
          <w:marBottom w:val="150"/>
          <w:divBdr>
            <w:top w:val="none" w:sz="0" w:space="0" w:color="auto"/>
            <w:left w:val="none" w:sz="0" w:space="0" w:color="auto"/>
            <w:bottom w:val="none" w:sz="0" w:space="0" w:color="auto"/>
            <w:right w:val="none" w:sz="0" w:space="0" w:color="auto"/>
          </w:divBdr>
        </w:div>
        <w:div w:id="861360339">
          <w:marLeft w:val="0"/>
          <w:marRight w:val="0"/>
          <w:marTop w:val="0"/>
          <w:marBottom w:val="0"/>
          <w:divBdr>
            <w:top w:val="none" w:sz="0" w:space="0" w:color="auto"/>
            <w:left w:val="none" w:sz="0" w:space="0" w:color="auto"/>
            <w:bottom w:val="none" w:sz="0" w:space="0" w:color="auto"/>
            <w:right w:val="none" w:sz="0" w:space="0" w:color="auto"/>
          </w:divBdr>
          <w:divsChild>
            <w:div w:id="197640191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01630754">
      <w:bodyDiv w:val="1"/>
      <w:marLeft w:val="0"/>
      <w:marRight w:val="0"/>
      <w:marTop w:val="0"/>
      <w:marBottom w:val="0"/>
      <w:divBdr>
        <w:top w:val="none" w:sz="0" w:space="0" w:color="auto"/>
        <w:left w:val="none" w:sz="0" w:space="0" w:color="auto"/>
        <w:bottom w:val="none" w:sz="0" w:space="0" w:color="auto"/>
        <w:right w:val="none" w:sz="0" w:space="0" w:color="auto"/>
      </w:divBdr>
      <w:divsChild>
        <w:div w:id="2022007687">
          <w:marLeft w:val="0"/>
          <w:marRight w:val="0"/>
          <w:marTop w:val="0"/>
          <w:marBottom w:val="150"/>
          <w:divBdr>
            <w:top w:val="none" w:sz="0" w:space="0" w:color="auto"/>
            <w:left w:val="none" w:sz="0" w:space="0" w:color="auto"/>
            <w:bottom w:val="none" w:sz="0" w:space="0" w:color="auto"/>
            <w:right w:val="none" w:sz="0" w:space="0" w:color="auto"/>
          </w:divBdr>
        </w:div>
      </w:divsChild>
    </w:div>
    <w:div w:id="1201896520">
      <w:bodyDiv w:val="1"/>
      <w:marLeft w:val="0"/>
      <w:marRight w:val="0"/>
      <w:marTop w:val="0"/>
      <w:marBottom w:val="0"/>
      <w:divBdr>
        <w:top w:val="none" w:sz="0" w:space="0" w:color="auto"/>
        <w:left w:val="none" w:sz="0" w:space="0" w:color="auto"/>
        <w:bottom w:val="none" w:sz="0" w:space="0" w:color="auto"/>
        <w:right w:val="none" w:sz="0" w:space="0" w:color="auto"/>
      </w:divBdr>
      <w:divsChild>
        <w:div w:id="176119239">
          <w:marLeft w:val="0"/>
          <w:marRight w:val="0"/>
          <w:marTop w:val="0"/>
          <w:marBottom w:val="0"/>
          <w:divBdr>
            <w:top w:val="none" w:sz="0" w:space="0" w:color="auto"/>
            <w:left w:val="none" w:sz="0" w:space="0" w:color="auto"/>
            <w:bottom w:val="dotted" w:sz="6" w:space="4" w:color="DDDDDD"/>
            <w:right w:val="none" w:sz="0" w:space="0" w:color="auto"/>
          </w:divBdr>
        </w:div>
      </w:divsChild>
    </w:div>
    <w:div w:id="1202132954">
      <w:bodyDiv w:val="1"/>
      <w:marLeft w:val="0"/>
      <w:marRight w:val="0"/>
      <w:marTop w:val="0"/>
      <w:marBottom w:val="0"/>
      <w:divBdr>
        <w:top w:val="none" w:sz="0" w:space="0" w:color="auto"/>
        <w:left w:val="none" w:sz="0" w:space="0" w:color="auto"/>
        <w:bottom w:val="none" w:sz="0" w:space="0" w:color="auto"/>
        <w:right w:val="none" w:sz="0" w:space="0" w:color="auto"/>
      </w:divBdr>
      <w:divsChild>
        <w:div w:id="2033526835">
          <w:marLeft w:val="0"/>
          <w:marRight w:val="0"/>
          <w:marTop w:val="150"/>
          <w:marBottom w:val="0"/>
          <w:divBdr>
            <w:top w:val="none" w:sz="0" w:space="0" w:color="auto"/>
            <w:left w:val="none" w:sz="0" w:space="0" w:color="auto"/>
            <w:bottom w:val="none" w:sz="0" w:space="0" w:color="auto"/>
            <w:right w:val="none" w:sz="0" w:space="0" w:color="auto"/>
          </w:divBdr>
          <w:divsChild>
            <w:div w:id="340862435">
              <w:marLeft w:val="0"/>
              <w:marRight w:val="150"/>
              <w:marTop w:val="0"/>
              <w:marBottom w:val="0"/>
              <w:divBdr>
                <w:top w:val="none" w:sz="0" w:space="0" w:color="auto"/>
                <w:left w:val="none" w:sz="0" w:space="0" w:color="auto"/>
                <w:bottom w:val="none" w:sz="0" w:space="0" w:color="auto"/>
                <w:right w:val="none" w:sz="0" w:space="0" w:color="auto"/>
              </w:divBdr>
              <w:divsChild>
                <w:div w:id="560021255">
                  <w:marLeft w:val="0"/>
                  <w:marRight w:val="0"/>
                  <w:marTop w:val="0"/>
                  <w:marBottom w:val="0"/>
                  <w:divBdr>
                    <w:top w:val="none" w:sz="0" w:space="0" w:color="auto"/>
                    <w:left w:val="none" w:sz="0" w:space="0" w:color="auto"/>
                    <w:bottom w:val="none" w:sz="0" w:space="0" w:color="auto"/>
                    <w:right w:val="none" w:sz="0" w:space="0" w:color="auto"/>
                  </w:divBdr>
                </w:div>
                <w:div w:id="92492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742557">
          <w:marLeft w:val="0"/>
          <w:marRight w:val="0"/>
          <w:marTop w:val="0"/>
          <w:marBottom w:val="0"/>
          <w:divBdr>
            <w:top w:val="none" w:sz="0" w:space="8" w:color="auto"/>
            <w:left w:val="none" w:sz="0" w:space="2" w:color="auto"/>
            <w:bottom w:val="single" w:sz="6" w:space="8" w:color="DDDDDD"/>
            <w:right w:val="none" w:sz="0" w:space="0" w:color="auto"/>
          </w:divBdr>
        </w:div>
      </w:divsChild>
    </w:div>
    <w:div w:id="1202208189">
      <w:bodyDiv w:val="1"/>
      <w:marLeft w:val="0"/>
      <w:marRight w:val="0"/>
      <w:marTop w:val="0"/>
      <w:marBottom w:val="0"/>
      <w:divBdr>
        <w:top w:val="none" w:sz="0" w:space="0" w:color="auto"/>
        <w:left w:val="none" w:sz="0" w:space="0" w:color="auto"/>
        <w:bottom w:val="none" w:sz="0" w:space="0" w:color="auto"/>
        <w:right w:val="none" w:sz="0" w:space="0" w:color="auto"/>
      </w:divBdr>
      <w:divsChild>
        <w:div w:id="1465003600">
          <w:marLeft w:val="0"/>
          <w:marRight w:val="0"/>
          <w:marTop w:val="0"/>
          <w:marBottom w:val="0"/>
          <w:divBdr>
            <w:top w:val="none" w:sz="0" w:space="0" w:color="auto"/>
            <w:left w:val="none" w:sz="0" w:space="0" w:color="auto"/>
            <w:bottom w:val="dotted" w:sz="6" w:space="4" w:color="DDDDDD"/>
            <w:right w:val="none" w:sz="0" w:space="0" w:color="auto"/>
          </w:divBdr>
          <w:divsChild>
            <w:div w:id="67233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326440">
      <w:bodyDiv w:val="1"/>
      <w:marLeft w:val="0"/>
      <w:marRight w:val="0"/>
      <w:marTop w:val="0"/>
      <w:marBottom w:val="0"/>
      <w:divBdr>
        <w:top w:val="none" w:sz="0" w:space="0" w:color="auto"/>
        <w:left w:val="none" w:sz="0" w:space="0" w:color="auto"/>
        <w:bottom w:val="none" w:sz="0" w:space="0" w:color="auto"/>
        <w:right w:val="none" w:sz="0" w:space="0" w:color="auto"/>
      </w:divBdr>
      <w:divsChild>
        <w:div w:id="353002682">
          <w:marLeft w:val="0"/>
          <w:marRight w:val="0"/>
          <w:marTop w:val="0"/>
          <w:marBottom w:val="0"/>
          <w:divBdr>
            <w:top w:val="none" w:sz="0" w:space="0" w:color="auto"/>
            <w:left w:val="none" w:sz="0" w:space="0" w:color="auto"/>
            <w:bottom w:val="none" w:sz="0" w:space="0" w:color="auto"/>
            <w:right w:val="none" w:sz="0" w:space="0" w:color="auto"/>
          </w:divBdr>
          <w:divsChild>
            <w:div w:id="1669861871">
              <w:marLeft w:val="0"/>
              <w:marRight w:val="0"/>
              <w:marTop w:val="0"/>
              <w:marBottom w:val="0"/>
              <w:divBdr>
                <w:top w:val="none" w:sz="0" w:space="0" w:color="auto"/>
                <w:left w:val="none" w:sz="0" w:space="0" w:color="auto"/>
                <w:bottom w:val="none" w:sz="0" w:space="0" w:color="auto"/>
                <w:right w:val="none" w:sz="0" w:space="0" w:color="auto"/>
              </w:divBdr>
            </w:div>
          </w:divsChild>
        </w:div>
        <w:div w:id="772824230">
          <w:marLeft w:val="0"/>
          <w:marRight w:val="0"/>
          <w:marTop w:val="0"/>
          <w:marBottom w:val="150"/>
          <w:divBdr>
            <w:top w:val="none" w:sz="0" w:space="0" w:color="auto"/>
            <w:left w:val="none" w:sz="0" w:space="0" w:color="auto"/>
            <w:bottom w:val="none" w:sz="0" w:space="0" w:color="auto"/>
            <w:right w:val="none" w:sz="0" w:space="0" w:color="auto"/>
          </w:divBdr>
          <w:divsChild>
            <w:div w:id="956988045">
              <w:marLeft w:val="0"/>
              <w:marRight w:val="0"/>
              <w:marTop w:val="0"/>
              <w:marBottom w:val="0"/>
              <w:divBdr>
                <w:top w:val="none" w:sz="0" w:space="0" w:color="auto"/>
                <w:left w:val="none" w:sz="0" w:space="0" w:color="auto"/>
                <w:bottom w:val="none" w:sz="0" w:space="0" w:color="auto"/>
                <w:right w:val="none" w:sz="0" w:space="0" w:color="auto"/>
              </w:divBdr>
            </w:div>
          </w:divsChild>
        </w:div>
        <w:div w:id="1581671332">
          <w:marLeft w:val="0"/>
          <w:marRight w:val="0"/>
          <w:marTop w:val="0"/>
          <w:marBottom w:val="150"/>
          <w:divBdr>
            <w:top w:val="none" w:sz="0" w:space="0" w:color="auto"/>
            <w:left w:val="none" w:sz="0" w:space="0" w:color="auto"/>
            <w:bottom w:val="none" w:sz="0" w:space="0" w:color="auto"/>
            <w:right w:val="none" w:sz="0" w:space="0" w:color="auto"/>
          </w:divBdr>
        </w:div>
      </w:divsChild>
    </w:div>
    <w:div w:id="1202330311">
      <w:bodyDiv w:val="1"/>
      <w:marLeft w:val="0"/>
      <w:marRight w:val="0"/>
      <w:marTop w:val="0"/>
      <w:marBottom w:val="0"/>
      <w:divBdr>
        <w:top w:val="none" w:sz="0" w:space="0" w:color="auto"/>
        <w:left w:val="none" w:sz="0" w:space="0" w:color="auto"/>
        <w:bottom w:val="none" w:sz="0" w:space="0" w:color="auto"/>
        <w:right w:val="none" w:sz="0" w:space="0" w:color="auto"/>
      </w:divBdr>
      <w:divsChild>
        <w:div w:id="1613198576">
          <w:marLeft w:val="0"/>
          <w:marRight w:val="0"/>
          <w:marTop w:val="0"/>
          <w:marBottom w:val="150"/>
          <w:divBdr>
            <w:top w:val="none" w:sz="0" w:space="0" w:color="auto"/>
            <w:left w:val="none" w:sz="0" w:space="0" w:color="auto"/>
            <w:bottom w:val="none" w:sz="0" w:space="0" w:color="auto"/>
            <w:right w:val="none" w:sz="0" w:space="0" w:color="auto"/>
          </w:divBdr>
        </w:div>
      </w:divsChild>
    </w:div>
    <w:div w:id="1202355152">
      <w:bodyDiv w:val="1"/>
      <w:marLeft w:val="0"/>
      <w:marRight w:val="0"/>
      <w:marTop w:val="0"/>
      <w:marBottom w:val="0"/>
      <w:divBdr>
        <w:top w:val="none" w:sz="0" w:space="0" w:color="auto"/>
        <w:left w:val="none" w:sz="0" w:space="0" w:color="auto"/>
        <w:bottom w:val="none" w:sz="0" w:space="0" w:color="auto"/>
        <w:right w:val="none" w:sz="0" w:space="0" w:color="auto"/>
      </w:divBdr>
      <w:divsChild>
        <w:div w:id="1492981997">
          <w:marLeft w:val="0"/>
          <w:marRight w:val="0"/>
          <w:marTop w:val="0"/>
          <w:marBottom w:val="150"/>
          <w:divBdr>
            <w:top w:val="none" w:sz="0" w:space="0" w:color="auto"/>
            <w:left w:val="none" w:sz="0" w:space="0" w:color="auto"/>
            <w:bottom w:val="none" w:sz="0" w:space="0" w:color="auto"/>
            <w:right w:val="none" w:sz="0" w:space="0" w:color="auto"/>
          </w:divBdr>
          <w:divsChild>
            <w:div w:id="983005081">
              <w:marLeft w:val="0"/>
              <w:marRight w:val="0"/>
              <w:marTop w:val="0"/>
              <w:marBottom w:val="0"/>
              <w:divBdr>
                <w:top w:val="none" w:sz="0" w:space="0" w:color="auto"/>
                <w:left w:val="none" w:sz="0" w:space="0" w:color="auto"/>
                <w:bottom w:val="none" w:sz="0" w:space="0" w:color="auto"/>
                <w:right w:val="none" w:sz="0" w:space="0" w:color="auto"/>
              </w:divBdr>
              <w:divsChild>
                <w:div w:id="186720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80392">
          <w:marLeft w:val="0"/>
          <w:marRight w:val="0"/>
          <w:marTop w:val="0"/>
          <w:marBottom w:val="150"/>
          <w:divBdr>
            <w:top w:val="none" w:sz="0" w:space="0" w:color="auto"/>
            <w:left w:val="none" w:sz="0" w:space="0" w:color="auto"/>
            <w:bottom w:val="none" w:sz="0" w:space="0" w:color="auto"/>
            <w:right w:val="none" w:sz="0" w:space="0" w:color="auto"/>
          </w:divBdr>
        </w:div>
      </w:divsChild>
    </w:div>
    <w:div w:id="1202672250">
      <w:bodyDiv w:val="1"/>
      <w:marLeft w:val="0"/>
      <w:marRight w:val="0"/>
      <w:marTop w:val="0"/>
      <w:marBottom w:val="0"/>
      <w:divBdr>
        <w:top w:val="none" w:sz="0" w:space="0" w:color="auto"/>
        <w:left w:val="none" w:sz="0" w:space="0" w:color="auto"/>
        <w:bottom w:val="none" w:sz="0" w:space="0" w:color="auto"/>
        <w:right w:val="none" w:sz="0" w:space="0" w:color="auto"/>
      </w:divBdr>
    </w:div>
    <w:div w:id="1202740903">
      <w:bodyDiv w:val="1"/>
      <w:marLeft w:val="0"/>
      <w:marRight w:val="0"/>
      <w:marTop w:val="0"/>
      <w:marBottom w:val="0"/>
      <w:divBdr>
        <w:top w:val="none" w:sz="0" w:space="0" w:color="auto"/>
        <w:left w:val="none" w:sz="0" w:space="0" w:color="auto"/>
        <w:bottom w:val="none" w:sz="0" w:space="0" w:color="auto"/>
        <w:right w:val="none" w:sz="0" w:space="0" w:color="auto"/>
      </w:divBdr>
      <w:divsChild>
        <w:div w:id="1253201500">
          <w:marLeft w:val="0"/>
          <w:marRight w:val="0"/>
          <w:marTop w:val="0"/>
          <w:marBottom w:val="0"/>
          <w:divBdr>
            <w:top w:val="none" w:sz="0" w:space="0" w:color="auto"/>
            <w:left w:val="none" w:sz="0" w:space="0" w:color="auto"/>
            <w:bottom w:val="none" w:sz="0" w:space="0" w:color="auto"/>
            <w:right w:val="none" w:sz="0" w:space="0" w:color="auto"/>
          </w:divBdr>
        </w:div>
        <w:div w:id="399408595">
          <w:marLeft w:val="0"/>
          <w:marRight w:val="0"/>
          <w:marTop w:val="0"/>
          <w:marBottom w:val="0"/>
          <w:divBdr>
            <w:top w:val="none" w:sz="0" w:space="0" w:color="auto"/>
            <w:left w:val="none" w:sz="0" w:space="0" w:color="auto"/>
            <w:bottom w:val="none" w:sz="0" w:space="0" w:color="auto"/>
            <w:right w:val="none" w:sz="0" w:space="0" w:color="auto"/>
          </w:divBdr>
        </w:div>
      </w:divsChild>
    </w:div>
    <w:div w:id="1203786238">
      <w:bodyDiv w:val="1"/>
      <w:marLeft w:val="0"/>
      <w:marRight w:val="0"/>
      <w:marTop w:val="0"/>
      <w:marBottom w:val="0"/>
      <w:divBdr>
        <w:top w:val="none" w:sz="0" w:space="0" w:color="auto"/>
        <w:left w:val="none" w:sz="0" w:space="0" w:color="auto"/>
        <w:bottom w:val="none" w:sz="0" w:space="0" w:color="auto"/>
        <w:right w:val="none" w:sz="0" w:space="0" w:color="auto"/>
      </w:divBdr>
    </w:div>
    <w:div w:id="1204512719">
      <w:bodyDiv w:val="1"/>
      <w:marLeft w:val="0"/>
      <w:marRight w:val="0"/>
      <w:marTop w:val="0"/>
      <w:marBottom w:val="0"/>
      <w:divBdr>
        <w:top w:val="none" w:sz="0" w:space="0" w:color="auto"/>
        <w:left w:val="none" w:sz="0" w:space="0" w:color="auto"/>
        <w:bottom w:val="none" w:sz="0" w:space="0" w:color="auto"/>
        <w:right w:val="none" w:sz="0" w:space="0" w:color="auto"/>
      </w:divBdr>
      <w:divsChild>
        <w:div w:id="1329671539">
          <w:marLeft w:val="0"/>
          <w:marRight w:val="0"/>
          <w:marTop w:val="0"/>
          <w:marBottom w:val="150"/>
          <w:divBdr>
            <w:top w:val="none" w:sz="0" w:space="0" w:color="auto"/>
            <w:left w:val="none" w:sz="0" w:space="0" w:color="auto"/>
            <w:bottom w:val="none" w:sz="0" w:space="0" w:color="auto"/>
            <w:right w:val="none" w:sz="0" w:space="0" w:color="auto"/>
          </w:divBdr>
        </w:div>
      </w:divsChild>
    </w:div>
    <w:div w:id="1204749030">
      <w:bodyDiv w:val="1"/>
      <w:marLeft w:val="0"/>
      <w:marRight w:val="0"/>
      <w:marTop w:val="0"/>
      <w:marBottom w:val="0"/>
      <w:divBdr>
        <w:top w:val="none" w:sz="0" w:space="0" w:color="auto"/>
        <w:left w:val="none" w:sz="0" w:space="0" w:color="auto"/>
        <w:bottom w:val="none" w:sz="0" w:space="0" w:color="auto"/>
        <w:right w:val="none" w:sz="0" w:space="0" w:color="auto"/>
      </w:divBdr>
    </w:div>
    <w:div w:id="1205018812">
      <w:bodyDiv w:val="1"/>
      <w:marLeft w:val="0"/>
      <w:marRight w:val="0"/>
      <w:marTop w:val="0"/>
      <w:marBottom w:val="0"/>
      <w:divBdr>
        <w:top w:val="none" w:sz="0" w:space="0" w:color="auto"/>
        <w:left w:val="none" w:sz="0" w:space="0" w:color="auto"/>
        <w:bottom w:val="none" w:sz="0" w:space="0" w:color="auto"/>
        <w:right w:val="none" w:sz="0" w:space="0" w:color="auto"/>
      </w:divBdr>
      <w:divsChild>
        <w:div w:id="407846719">
          <w:marLeft w:val="0"/>
          <w:marRight w:val="0"/>
          <w:marTop w:val="0"/>
          <w:marBottom w:val="0"/>
          <w:divBdr>
            <w:top w:val="none" w:sz="0" w:space="0" w:color="auto"/>
            <w:left w:val="none" w:sz="0" w:space="0" w:color="auto"/>
            <w:bottom w:val="none" w:sz="0" w:space="0" w:color="auto"/>
            <w:right w:val="none" w:sz="0" w:space="0" w:color="auto"/>
          </w:divBdr>
          <w:divsChild>
            <w:div w:id="945774836">
              <w:marLeft w:val="0"/>
              <w:marRight w:val="0"/>
              <w:marTop w:val="0"/>
              <w:marBottom w:val="0"/>
              <w:divBdr>
                <w:top w:val="none" w:sz="0" w:space="0" w:color="auto"/>
                <w:left w:val="none" w:sz="0" w:space="0" w:color="auto"/>
                <w:bottom w:val="none" w:sz="0" w:space="0" w:color="auto"/>
                <w:right w:val="none" w:sz="0" w:space="0" w:color="auto"/>
              </w:divBdr>
              <w:divsChild>
                <w:div w:id="21027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4608">
          <w:marLeft w:val="0"/>
          <w:marRight w:val="0"/>
          <w:marTop w:val="0"/>
          <w:marBottom w:val="300"/>
          <w:divBdr>
            <w:top w:val="none" w:sz="0" w:space="0" w:color="auto"/>
            <w:left w:val="none" w:sz="0" w:space="0" w:color="auto"/>
            <w:bottom w:val="none" w:sz="0" w:space="0" w:color="auto"/>
            <w:right w:val="none" w:sz="0" w:space="0" w:color="auto"/>
          </w:divBdr>
          <w:divsChild>
            <w:div w:id="1318610515">
              <w:marLeft w:val="0"/>
              <w:marRight w:val="0"/>
              <w:marTop w:val="0"/>
              <w:marBottom w:val="0"/>
              <w:divBdr>
                <w:top w:val="none" w:sz="0" w:space="0" w:color="auto"/>
                <w:left w:val="none" w:sz="0" w:space="0" w:color="auto"/>
                <w:bottom w:val="none" w:sz="0" w:space="0" w:color="auto"/>
                <w:right w:val="none" w:sz="0" w:space="0" w:color="auto"/>
              </w:divBdr>
            </w:div>
          </w:divsChild>
        </w:div>
        <w:div w:id="1071539733">
          <w:marLeft w:val="0"/>
          <w:marRight w:val="0"/>
          <w:marTop w:val="0"/>
          <w:marBottom w:val="0"/>
          <w:divBdr>
            <w:top w:val="none" w:sz="0" w:space="0" w:color="auto"/>
            <w:left w:val="none" w:sz="0" w:space="0" w:color="auto"/>
            <w:bottom w:val="none" w:sz="0" w:space="0" w:color="auto"/>
            <w:right w:val="none" w:sz="0" w:space="0" w:color="auto"/>
          </w:divBdr>
        </w:div>
        <w:div w:id="2057971550">
          <w:marLeft w:val="0"/>
          <w:marRight w:val="0"/>
          <w:marTop w:val="0"/>
          <w:marBottom w:val="75"/>
          <w:divBdr>
            <w:top w:val="none" w:sz="0" w:space="0" w:color="auto"/>
            <w:left w:val="none" w:sz="0" w:space="0" w:color="auto"/>
            <w:bottom w:val="none" w:sz="0" w:space="0" w:color="auto"/>
            <w:right w:val="none" w:sz="0" w:space="0" w:color="auto"/>
          </w:divBdr>
        </w:div>
      </w:divsChild>
    </w:div>
    <w:div w:id="1205946331">
      <w:bodyDiv w:val="1"/>
      <w:marLeft w:val="0"/>
      <w:marRight w:val="0"/>
      <w:marTop w:val="0"/>
      <w:marBottom w:val="0"/>
      <w:divBdr>
        <w:top w:val="none" w:sz="0" w:space="0" w:color="auto"/>
        <w:left w:val="none" w:sz="0" w:space="0" w:color="auto"/>
        <w:bottom w:val="none" w:sz="0" w:space="0" w:color="auto"/>
        <w:right w:val="none" w:sz="0" w:space="0" w:color="auto"/>
      </w:divBdr>
      <w:divsChild>
        <w:div w:id="29494248">
          <w:marLeft w:val="0"/>
          <w:marRight w:val="0"/>
          <w:marTop w:val="0"/>
          <w:marBottom w:val="0"/>
          <w:divBdr>
            <w:top w:val="none" w:sz="0" w:space="0" w:color="auto"/>
            <w:left w:val="none" w:sz="0" w:space="0" w:color="auto"/>
            <w:bottom w:val="none" w:sz="0" w:space="0" w:color="auto"/>
            <w:right w:val="none" w:sz="0" w:space="0" w:color="auto"/>
          </w:divBdr>
          <w:divsChild>
            <w:div w:id="1020013835">
              <w:marLeft w:val="0"/>
              <w:marRight w:val="0"/>
              <w:marTop w:val="0"/>
              <w:marBottom w:val="0"/>
              <w:divBdr>
                <w:top w:val="none" w:sz="0" w:space="0" w:color="auto"/>
                <w:left w:val="none" w:sz="0" w:space="0" w:color="auto"/>
                <w:bottom w:val="none" w:sz="0" w:space="0" w:color="auto"/>
                <w:right w:val="none" w:sz="0" w:space="0" w:color="auto"/>
              </w:divBdr>
            </w:div>
            <w:div w:id="1677489091">
              <w:marLeft w:val="0"/>
              <w:marRight w:val="0"/>
              <w:marTop w:val="0"/>
              <w:marBottom w:val="150"/>
              <w:divBdr>
                <w:top w:val="none" w:sz="0" w:space="0" w:color="auto"/>
                <w:left w:val="none" w:sz="0" w:space="0" w:color="auto"/>
                <w:bottom w:val="none" w:sz="0" w:space="0" w:color="auto"/>
                <w:right w:val="none" w:sz="0" w:space="0" w:color="auto"/>
              </w:divBdr>
            </w:div>
          </w:divsChild>
        </w:div>
        <w:div w:id="1383672197">
          <w:marLeft w:val="0"/>
          <w:marRight w:val="0"/>
          <w:marTop w:val="0"/>
          <w:marBottom w:val="150"/>
          <w:divBdr>
            <w:top w:val="none" w:sz="0" w:space="0" w:color="auto"/>
            <w:left w:val="none" w:sz="0" w:space="0" w:color="auto"/>
            <w:bottom w:val="none" w:sz="0" w:space="0" w:color="auto"/>
            <w:right w:val="none" w:sz="0" w:space="0" w:color="auto"/>
          </w:divBdr>
          <w:divsChild>
            <w:div w:id="172991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599938">
      <w:bodyDiv w:val="1"/>
      <w:marLeft w:val="0"/>
      <w:marRight w:val="0"/>
      <w:marTop w:val="0"/>
      <w:marBottom w:val="0"/>
      <w:divBdr>
        <w:top w:val="none" w:sz="0" w:space="0" w:color="auto"/>
        <w:left w:val="none" w:sz="0" w:space="0" w:color="auto"/>
        <w:bottom w:val="none" w:sz="0" w:space="0" w:color="auto"/>
        <w:right w:val="none" w:sz="0" w:space="0" w:color="auto"/>
      </w:divBdr>
      <w:divsChild>
        <w:div w:id="1418015155">
          <w:marLeft w:val="0"/>
          <w:marRight w:val="0"/>
          <w:marTop w:val="0"/>
          <w:marBottom w:val="0"/>
          <w:divBdr>
            <w:top w:val="none" w:sz="0" w:space="0" w:color="auto"/>
            <w:left w:val="none" w:sz="0" w:space="0" w:color="auto"/>
            <w:bottom w:val="none" w:sz="0" w:space="0" w:color="auto"/>
            <w:right w:val="none" w:sz="0" w:space="0" w:color="auto"/>
          </w:divBdr>
          <w:divsChild>
            <w:div w:id="1015155802">
              <w:marLeft w:val="0"/>
              <w:marRight w:val="0"/>
              <w:marTop w:val="0"/>
              <w:marBottom w:val="0"/>
              <w:divBdr>
                <w:top w:val="none" w:sz="0" w:space="0" w:color="auto"/>
                <w:left w:val="none" w:sz="0" w:space="0" w:color="auto"/>
                <w:bottom w:val="none" w:sz="0" w:space="0" w:color="auto"/>
                <w:right w:val="none" w:sz="0" w:space="0" w:color="auto"/>
              </w:divBdr>
              <w:divsChild>
                <w:div w:id="1127428811">
                  <w:marLeft w:val="0"/>
                  <w:marRight w:val="0"/>
                  <w:marTop w:val="0"/>
                  <w:marBottom w:val="0"/>
                  <w:divBdr>
                    <w:top w:val="none" w:sz="0" w:space="0" w:color="auto"/>
                    <w:left w:val="none" w:sz="0" w:space="0" w:color="auto"/>
                    <w:bottom w:val="none" w:sz="0" w:space="0" w:color="auto"/>
                    <w:right w:val="none" w:sz="0" w:space="0" w:color="auto"/>
                  </w:divBdr>
                  <w:divsChild>
                    <w:div w:id="525945039">
                      <w:marLeft w:val="0"/>
                      <w:marRight w:val="0"/>
                      <w:marTop w:val="0"/>
                      <w:marBottom w:val="0"/>
                      <w:divBdr>
                        <w:top w:val="none" w:sz="0" w:space="0" w:color="auto"/>
                        <w:left w:val="none" w:sz="0" w:space="0" w:color="auto"/>
                        <w:bottom w:val="none" w:sz="0" w:space="0" w:color="auto"/>
                        <w:right w:val="none" w:sz="0" w:space="0" w:color="auto"/>
                      </w:divBdr>
                      <w:divsChild>
                        <w:div w:id="1745374728">
                          <w:marLeft w:val="0"/>
                          <w:marRight w:val="0"/>
                          <w:marTop w:val="0"/>
                          <w:marBottom w:val="0"/>
                          <w:divBdr>
                            <w:top w:val="none" w:sz="0" w:space="0" w:color="auto"/>
                            <w:left w:val="none" w:sz="0" w:space="0" w:color="auto"/>
                            <w:bottom w:val="none" w:sz="0" w:space="0" w:color="auto"/>
                            <w:right w:val="none" w:sz="0" w:space="0" w:color="auto"/>
                          </w:divBdr>
                          <w:divsChild>
                            <w:div w:id="1457605703">
                              <w:marLeft w:val="0"/>
                              <w:marRight w:val="0"/>
                              <w:marTop w:val="0"/>
                              <w:marBottom w:val="0"/>
                              <w:divBdr>
                                <w:top w:val="none" w:sz="0" w:space="0" w:color="auto"/>
                                <w:left w:val="none" w:sz="0" w:space="0" w:color="auto"/>
                                <w:bottom w:val="none" w:sz="0" w:space="0" w:color="auto"/>
                                <w:right w:val="none" w:sz="0" w:space="0" w:color="auto"/>
                              </w:divBdr>
                              <w:divsChild>
                                <w:div w:id="231279269">
                                  <w:marLeft w:val="0"/>
                                  <w:marRight w:val="0"/>
                                  <w:marTop w:val="0"/>
                                  <w:marBottom w:val="0"/>
                                  <w:divBdr>
                                    <w:top w:val="none" w:sz="0" w:space="0" w:color="auto"/>
                                    <w:left w:val="none" w:sz="0" w:space="0" w:color="auto"/>
                                    <w:bottom w:val="none" w:sz="0" w:space="0" w:color="auto"/>
                                    <w:right w:val="none" w:sz="0" w:space="0" w:color="auto"/>
                                  </w:divBdr>
                                  <w:divsChild>
                                    <w:div w:id="1145395540">
                                      <w:marLeft w:val="0"/>
                                      <w:marRight w:val="0"/>
                                      <w:marTop w:val="0"/>
                                      <w:marBottom w:val="0"/>
                                      <w:divBdr>
                                        <w:top w:val="none" w:sz="0" w:space="0" w:color="auto"/>
                                        <w:left w:val="none" w:sz="0" w:space="0" w:color="auto"/>
                                        <w:bottom w:val="none" w:sz="0" w:space="0" w:color="auto"/>
                                        <w:right w:val="none" w:sz="0" w:space="0" w:color="auto"/>
                                      </w:divBdr>
                                      <w:divsChild>
                                        <w:div w:id="71670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6601161">
      <w:bodyDiv w:val="1"/>
      <w:marLeft w:val="0"/>
      <w:marRight w:val="0"/>
      <w:marTop w:val="0"/>
      <w:marBottom w:val="0"/>
      <w:divBdr>
        <w:top w:val="none" w:sz="0" w:space="0" w:color="auto"/>
        <w:left w:val="none" w:sz="0" w:space="0" w:color="auto"/>
        <w:bottom w:val="none" w:sz="0" w:space="0" w:color="auto"/>
        <w:right w:val="none" w:sz="0" w:space="0" w:color="auto"/>
      </w:divBdr>
    </w:div>
    <w:div w:id="1206719955">
      <w:bodyDiv w:val="1"/>
      <w:marLeft w:val="0"/>
      <w:marRight w:val="0"/>
      <w:marTop w:val="0"/>
      <w:marBottom w:val="0"/>
      <w:divBdr>
        <w:top w:val="none" w:sz="0" w:space="0" w:color="auto"/>
        <w:left w:val="none" w:sz="0" w:space="0" w:color="auto"/>
        <w:bottom w:val="none" w:sz="0" w:space="0" w:color="auto"/>
        <w:right w:val="none" w:sz="0" w:space="0" w:color="auto"/>
      </w:divBdr>
      <w:divsChild>
        <w:div w:id="224879081">
          <w:marLeft w:val="0"/>
          <w:marRight w:val="0"/>
          <w:marTop w:val="0"/>
          <w:marBottom w:val="150"/>
          <w:divBdr>
            <w:top w:val="none" w:sz="0" w:space="0" w:color="auto"/>
            <w:left w:val="none" w:sz="0" w:space="0" w:color="auto"/>
            <w:bottom w:val="none" w:sz="0" w:space="0" w:color="auto"/>
            <w:right w:val="none" w:sz="0" w:space="0" w:color="auto"/>
          </w:divBdr>
          <w:divsChild>
            <w:div w:id="326371529">
              <w:marLeft w:val="0"/>
              <w:marRight w:val="0"/>
              <w:marTop w:val="0"/>
              <w:marBottom w:val="0"/>
              <w:divBdr>
                <w:top w:val="none" w:sz="0" w:space="0" w:color="auto"/>
                <w:left w:val="none" w:sz="0" w:space="0" w:color="auto"/>
                <w:bottom w:val="none" w:sz="0" w:space="0" w:color="auto"/>
                <w:right w:val="none" w:sz="0" w:space="0" w:color="auto"/>
              </w:divBdr>
            </w:div>
          </w:divsChild>
        </w:div>
        <w:div w:id="262961426">
          <w:marLeft w:val="0"/>
          <w:marRight w:val="0"/>
          <w:marTop w:val="0"/>
          <w:marBottom w:val="0"/>
          <w:divBdr>
            <w:top w:val="none" w:sz="0" w:space="0" w:color="auto"/>
            <w:left w:val="none" w:sz="0" w:space="0" w:color="auto"/>
            <w:bottom w:val="none" w:sz="0" w:space="0" w:color="auto"/>
            <w:right w:val="none" w:sz="0" w:space="0" w:color="auto"/>
          </w:divBdr>
          <w:divsChild>
            <w:div w:id="1262953018">
              <w:marLeft w:val="0"/>
              <w:marRight w:val="0"/>
              <w:marTop w:val="0"/>
              <w:marBottom w:val="0"/>
              <w:divBdr>
                <w:top w:val="none" w:sz="0" w:space="0" w:color="auto"/>
                <w:left w:val="none" w:sz="0" w:space="0" w:color="auto"/>
                <w:bottom w:val="none" w:sz="0" w:space="0" w:color="auto"/>
                <w:right w:val="none" w:sz="0" w:space="0" w:color="auto"/>
              </w:divBdr>
            </w:div>
          </w:divsChild>
        </w:div>
        <w:div w:id="1108966831">
          <w:marLeft w:val="0"/>
          <w:marRight w:val="0"/>
          <w:marTop w:val="0"/>
          <w:marBottom w:val="150"/>
          <w:divBdr>
            <w:top w:val="none" w:sz="0" w:space="0" w:color="auto"/>
            <w:left w:val="none" w:sz="0" w:space="0" w:color="auto"/>
            <w:bottom w:val="none" w:sz="0" w:space="0" w:color="auto"/>
            <w:right w:val="none" w:sz="0" w:space="0" w:color="auto"/>
          </w:divBdr>
        </w:div>
      </w:divsChild>
    </w:div>
    <w:div w:id="1206874785">
      <w:bodyDiv w:val="1"/>
      <w:marLeft w:val="0"/>
      <w:marRight w:val="0"/>
      <w:marTop w:val="0"/>
      <w:marBottom w:val="0"/>
      <w:divBdr>
        <w:top w:val="none" w:sz="0" w:space="0" w:color="auto"/>
        <w:left w:val="none" w:sz="0" w:space="0" w:color="auto"/>
        <w:bottom w:val="none" w:sz="0" w:space="0" w:color="auto"/>
        <w:right w:val="none" w:sz="0" w:space="0" w:color="auto"/>
      </w:divBdr>
      <w:divsChild>
        <w:div w:id="1423137960">
          <w:marLeft w:val="0"/>
          <w:marRight w:val="0"/>
          <w:marTop w:val="0"/>
          <w:marBottom w:val="0"/>
          <w:divBdr>
            <w:top w:val="none" w:sz="0" w:space="0" w:color="auto"/>
            <w:left w:val="none" w:sz="0" w:space="0" w:color="auto"/>
            <w:bottom w:val="none" w:sz="0" w:space="0" w:color="auto"/>
            <w:right w:val="none" w:sz="0" w:space="0" w:color="auto"/>
          </w:divBdr>
          <w:divsChild>
            <w:div w:id="1835341020">
              <w:marLeft w:val="0"/>
              <w:marRight w:val="0"/>
              <w:marTop w:val="0"/>
              <w:marBottom w:val="0"/>
              <w:divBdr>
                <w:top w:val="none" w:sz="0" w:space="0" w:color="auto"/>
                <w:left w:val="none" w:sz="0" w:space="0" w:color="auto"/>
                <w:bottom w:val="none" w:sz="0" w:space="0" w:color="auto"/>
                <w:right w:val="none" w:sz="0" w:space="0" w:color="auto"/>
              </w:divBdr>
              <w:divsChild>
                <w:div w:id="1015231815">
                  <w:marLeft w:val="0"/>
                  <w:marRight w:val="0"/>
                  <w:marTop w:val="0"/>
                  <w:marBottom w:val="0"/>
                  <w:divBdr>
                    <w:top w:val="none" w:sz="0" w:space="0" w:color="auto"/>
                    <w:left w:val="none" w:sz="0" w:space="0" w:color="auto"/>
                    <w:bottom w:val="none" w:sz="0" w:space="0" w:color="auto"/>
                    <w:right w:val="none" w:sz="0" w:space="0" w:color="auto"/>
                  </w:divBdr>
                  <w:divsChild>
                    <w:div w:id="754785170">
                      <w:marLeft w:val="0"/>
                      <w:marRight w:val="0"/>
                      <w:marTop w:val="0"/>
                      <w:marBottom w:val="0"/>
                      <w:divBdr>
                        <w:top w:val="none" w:sz="0" w:space="0" w:color="auto"/>
                        <w:left w:val="none" w:sz="0" w:space="0" w:color="auto"/>
                        <w:bottom w:val="none" w:sz="0" w:space="0" w:color="auto"/>
                        <w:right w:val="none" w:sz="0" w:space="0" w:color="auto"/>
                      </w:divBdr>
                      <w:divsChild>
                        <w:div w:id="1393038358">
                          <w:marLeft w:val="0"/>
                          <w:marRight w:val="0"/>
                          <w:marTop w:val="0"/>
                          <w:marBottom w:val="0"/>
                          <w:divBdr>
                            <w:top w:val="none" w:sz="0" w:space="0" w:color="auto"/>
                            <w:left w:val="none" w:sz="0" w:space="0" w:color="auto"/>
                            <w:bottom w:val="none" w:sz="0" w:space="0" w:color="auto"/>
                            <w:right w:val="none" w:sz="0" w:space="0" w:color="auto"/>
                          </w:divBdr>
                          <w:divsChild>
                            <w:div w:id="1357317643">
                              <w:marLeft w:val="0"/>
                              <w:marRight w:val="0"/>
                              <w:marTop w:val="0"/>
                              <w:marBottom w:val="0"/>
                              <w:divBdr>
                                <w:top w:val="none" w:sz="0" w:space="0" w:color="auto"/>
                                <w:left w:val="none" w:sz="0" w:space="0" w:color="auto"/>
                                <w:bottom w:val="none" w:sz="0" w:space="0" w:color="auto"/>
                                <w:right w:val="none" w:sz="0" w:space="0" w:color="auto"/>
                              </w:divBdr>
                              <w:divsChild>
                                <w:div w:id="581839840">
                                  <w:marLeft w:val="0"/>
                                  <w:marRight w:val="0"/>
                                  <w:marTop w:val="0"/>
                                  <w:marBottom w:val="0"/>
                                  <w:divBdr>
                                    <w:top w:val="none" w:sz="0" w:space="0" w:color="auto"/>
                                    <w:left w:val="none" w:sz="0" w:space="0" w:color="auto"/>
                                    <w:bottom w:val="none" w:sz="0" w:space="0" w:color="auto"/>
                                    <w:right w:val="none" w:sz="0" w:space="0" w:color="auto"/>
                                  </w:divBdr>
                                  <w:divsChild>
                                    <w:div w:id="89797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327563">
      <w:bodyDiv w:val="1"/>
      <w:marLeft w:val="0"/>
      <w:marRight w:val="0"/>
      <w:marTop w:val="0"/>
      <w:marBottom w:val="0"/>
      <w:divBdr>
        <w:top w:val="none" w:sz="0" w:space="0" w:color="auto"/>
        <w:left w:val="none" w:sz="0" w:space="0" w:color="auto"/>
        <w:bottom w:val="none" w:sz="0" w:space="0" w:color="auto"/>
        <w:right w:val="none" w:sz="0" w:space="0" w:color="auto"/>
      </w:divBdr>
      <w:divsChild>
        <w:div w:id="360522182">
          <w:marLeft w:val="0"/>
          <w:marRight w:val="0"/>
          <w:marTop w:val="0"/>
          <w:marBottom w:val="0"/>
          <w:divBdr>
            <w:top w:val="none" w:sz="0" w:space="0" w:color="auto"/>
            <w:left w:val="none" w:sz="0" w:space="0" w:color="auto"/>
            <w:bottom w:val="dotted" w:sz="6" w:space="4" w:color="DDDDDD"/>
            <w:right w:val="none" w:sz="0" w:space="0" w:color="auto"/>
          </w:divBdr>
        </w:div>
      </w:divsChild>
    </w:div>
    <w:div w:id="1207445079">
      <w:bodyDiv w:val="1"/>
      <w:marLeft w:val="0"/>
      <w:marRight w:val="0"/>
      <w:marTop w:val="0"/>
      <w:marBottom w:val="0"/>
      <w:divBdr>
        <w:top w:val="none" w:sz="0" w:space="0" w:color="auto"/>
        <w:left w:val="none" w:sz="0" w:space="0" w:color="auto"/>
        <w:bottom w:val="none" w:sz="0" w:space="0" w:color="auto"/>
        <w:right w:val="none" w:sz="0" w:space="0" w:color="auto"/>
      </w:divBdr>
    </w:div>
    <w:div w:id="1207985105">
      <w:bodyDiv w:val="1"/>
      <w:marLeft w:val="0"/>
      <w:marRight w:val="0"/>
      <w:marTop w:val="0"/>
      <w:marBottom w:val="0"/>
      <w:divBdr>
        <w:top w:val="none" w:sz="0" w:space="0" w:color="auto"/>
        <w:left w:val="none" w:sz="0" w:space="0" w:color="auto"/>
        <w:bottom w:val="none" w:sz="0" w:space="0" w:color="auto"/>
        <w:right w:val="none" w:sz="0" w:space="0" w:color="auto"/>
      </w:divBdr>
      <w:divsChild>
        <w:div w:id="607935526">
          <w:marLeft w:val="0"/>
          <w:marRight w:val="0"/>
          <w:marTop w:val="0"/>
          <w:marBottom w:val="0"/>
          <w:divBdr>
            <w:top w:val="none" w:sz="0" w:space="0" w:color="auto"/>
            <w:left w:val="none" w:sz="0" w:space="0" w:color="auto"/>
            <w:bottom w:val="dotted" w:sz="6" w:space="4" w:color="DDDDDD"/>
            <w:right w:val="none" w:sz="0" w:space="0" w:color="auto"/>
          </w:divBdr>
        </w:div>
      </w:divsChild>
    </w:div>
    <w:div w:id="1208025998">
      <w:bodyDiv w:val="1"/>
      <w:marLeft w:val="0"/>
      <w:marRight w:val="0"/>
      <w:marTop w:val="0"/>
      <w:marBottom w:val="0"/>
      <w:divBdr>
        <w:top w:val="none" w:sz="0" w:space="0" w:color="auto"/>
        <w:left w:val="none" w:sz="0" w:space="0" w:color="auto"/>
        <w:bottom w:val="none" w:sz="0" w:space="0" w:color="auto"/>
        <w:right w:val="none" w:sz="0" w:space="0" w:color="auto"/>
      </w:divBdr>
      <w:divsChild>
        <w:div w:id="463160339">
          <w:marLeft w:val="0"/>
          <w:marRight w:val="0"/>
          <w:marTop w:val="0"/>
          <w:marBottom w:val="225"/>
          <w:divBdr>
            <w:top w:val="none" w:sz="0" w:space="0" w:color="auto"/>
            <w:left w:val="none" w:sz="0" w:space="0" w:color="auto"/>
            <w:bottom w:val="none" w:sz="0" w:space="0" w:color="auto"/>
            <w:right w:val="none" w:sz="0" w:space="0" w:color="auto"/>
          </w:divBdr>
        </w:div>
        <w:div w:id="630212177">
          <w:marLeft w:val="0"/>
          <w:marRight w:val="0"/>
          <w:marTop w:val="0"/>
          <w:marBottom w:val="0"/>
          <w:divBdr>
            <w:top w:val="none" w:sz="0" w:space="0" w:color="auto"/>
            <w:left w:val="none" w:sz="0" w:space="0" w:color="auto"/>
            <w:bottom w:val="none" w:sz="0" w:space="0" w:color="auto"/>
            <w:right w:val="none" w:sz="0" w:space="0" w:color="auto"/>
          </w:divBdr>
        </w:div>
        <w:div w:id="723262791">
          <w:marLeft w:val="0"/>
          <w:marRight w:val="0"/>
          <w:marTop w:val="0"/>
          <w:marBottom w:val="0"/>
          <w:divBdr>
            <w:top w:val="none" w:sz="0" w:space="0" w:color="auto"/>
            <w:left w:val="none" w:sz="0" w:space="0" w:color="auto"/>
            <w:bottom w:val="none" w:sz="0" w:space="0" w:color="auto"/>
            <w:right w:val="none" w:sz="0" w:space="0" w:color="auto"/>
          </w:divBdr>
        </w:div>
      </w:divsChild>
    </w:div>
    <w:div w:id="1208108496">
      <w:bodyDiv w:val="1"/>
      <w:marLeft w:val="0"/>
      <w:marRight w:val="0"/>
      <w:marTop w:val="0"/>
      <w:marBottom w:val="0"/>
      <w:divBdr>
        <w:top w:val="none" w:sz="0" w:space="0" w:color="auto"/>
        <w:left w:val="none" w:sz="0" w:space="0" w:color="auto"/>
        <w:bottom w:val="none" w:sz="0" w:space="0" w:color="auto"/>
        <w:right w:val="none" w:sz="0" w:space="0" w:color="auto"/>
      </w:divBdr>
    </w:div>
    <w:div w:id="1208183052">
      <w:bodyDiv w:val="1"/>
      <w:marLeft w:val="0"/>
      <w:marRight w:val="0"/>
      <w:marTop w:val="0"/>
      <w:marBottom w:val="0"/>
      <w:divBdr>
        <w:top w:val="none" w:sz="0" w:space="0" w:color="auto"/>
        <w:left w:val="none" w:sz="0" w:space="0" w:color="auto"/>
        <w:bottom w:val="none" w:sz="0" w:space="0" w:color="auto"/>
        <w:right w:val="none" w:sz="0" w:space="0" w:color="auto"/>
      </w:divBdr>
      <w:divsChild>
        <w:div w:id="573009082">
          <w:marLeft w:val="0"/>
          <w:marRight w:val="0"/>
          <w:marTop w:val="0"/>
          <w:marBottom w:val="0"/>
          <w:divBdr>
            <w:top w:val="none" w:sz="0" w:space="0" w:color="auto"/>
            <w:left w:val="none" w:sz="0" w:space="0" w:color="auto"/>
            <w:bottom w:val="dotted" w:sz="6" w:space="4" w:color="DDDDDD"/>
            <w:right w:val="none" w:sz="0" w:space="0" w:color="auto"/>
          </w:divBdr>
          <w:divsChild>
            <w:div w:id="213864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222948">
      <w:bodyDiv w:val="1"/>
      <w:marLeft w:val="0"/>
      <w:marRight w:val="0"/>
      <w:marTop w:val="0"/>
      <w:marBottom w:val="0"/>
      <w:divBdr>
        <w:top w:val="none" w:sz="0" w:space="0" w:color="auto"/>
        <w:left w:val="none" w:sz="0" w:space="0" w:color="auto"/>
        <w:bottom w:val="none" w:sz="0" w:space="0" w:color="auto"/>
        <w:right w:val="none" w:sz="0" w:space="0" w:color="auto"/>
      </w:divBdr>
      <w:divsChild>
        <w:div w:id="720712158">
          <w:marLeft w:val="0"/>
          <w:marRight w:val="0"/>
          <w:marTop w:val="0"/>
          <w:marBottom w:val="150"/>
          <w:divBdr>
            <w:top w:val="none" w:sz="0" w:space="0" w:color="auto"/>
            <w:left w:val="none" w:sz="0" w:space="0" w:color="auto"/>
            <w:bottom w:val="none" w:sz="0" w:space="0" w:color="auto"/>
            <w:right w:val="none" w:sz="0" w:space="0" w:color="auto"/>
          </w:divBdr>
        </w:div>
        <w:div w:id="1304237098">
          <w:marLeft w:val="0"/>
          <w:marRight w:val="0"/>
          <w:marTop w:val="0"/>
          <w:marBottom w:val="150"/>
          <w:divBdr>
            <w:top w:val="none" w:sz="0" w:space="0" w:color="auto"/>
            <w:left w:val="none" w:sz="0" w:space="0" w:color="auto"/>
            <w:bottom w:val="none" w:sz="0" w:space="0" w:color="auto"/>
            <w:right w:val="none" w:sz="0" w:space="0" w:color="auto"/>
          </w:divBdr>
          <w:divsChild>
            <w:div w:id="68774538">
              <w:marLeft w:val="0"/>
              <w:marRight w:val="0"/>
              <w:marTop w:val="0"/>
              <w:marBottom w:val="0"/>
              <w:divBdr>
                <w:top w:val="none" w:sz="0" w:space="0" w:color="auto"/>
                <w:left w:val="none" w:sz="0" w:space="0" w:color="auto"/>
                <w:bottom w:val="none" w:sz="0" w:space="0" w:color="auto"/>
                <w:right w:val="none" w:sz="0" w:space="0" w:color="auto"/>
              </w:divBdr>
              <w:divsChild>
                <w:div w:id="198365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366704">
          <w:marLeft w:val="0"/>
          <w:marRight w:val="0"/>
          <w:marTop w:val="0"/>
          <w:marBottom w:val="0"/>
          <w:divBdr>
            <w:top w:val="none" w:sz="0" w:space="0" w:color="auto"/>
            <w:left w:val="none" w:sz="0" w:space="0" w:color="auto"/>
            <w:bottom w:val="none" w:sz="0" w:space="0" w:color="auto"/>
            <w:right w:val="none" w:sz="0" w:space="0" w:color="auto"/>
          </w:divBdr>
          <w:divsChild>
            <w:div w:id="11902654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08377349">
      <w:bodyDiv w:val="1"/>
      <w:marLeft w:val="0"/>
      <w:marRight w:val="0"/>
      <w:marTop w:val="0"/>
      <w:marBottom w:val="0"/>
      <w:divBdr>
        <w:top w:val="none" w:sz="0" w:space="0" w:color="auto"/>
        <w:left w:val="none" w:sz="0" w:space="0" w:color="auto"/>
        <w:bottom w:val="none" w:sz="0" w:space="0" w:color="auto"/>
        <w:right w:val="none" w:sz="0" w:space="0" w:color="auto"/>
      </w:divBdr>
    </w:div>
    <w:div w:id="1208831770">
      <w:bodyDiv w:val="1"/>
      <w:marLeft w:val="0"/>
      <w:marRight w:val="0"/>
      <w:marTop w:val="0"/>
      <w:marBottom w:val="0"/>
      <w:divBdr>
        <w:top w:val="none" w:sz="0" w:space="0" w:color="auto"/>
        <w:left w:val="none" w:sz="0" w:space="0" w:color="auto"/>
        <w:bottom w:val="none" w:sz="0" w:space="0" w:color="auto"/>
        <w:right w:val="none" w:sz="0" w:space="0" w:color="auto"/>
      </w:divBdr>
      <w:divsChild>
        <w:div w:id="276259431">
          <w:marLeft w:val="0"/>
          <w:marRight w:val="0"/>
          <w:marTop w:val="0"/>
          <w:marBottom w:val="150"/>
          <w:divBdr>
            <w:top w:val="none" w:sz="0" w:space="0" w:color="auto"/>
            <w:left w:val="none" w:sz="0" w:space="0" w:color="auto"/>
            <w:bottom w:val="none" w:sz="0" w:space="0" w:color="auto"/>
            <w:right w:val="none" w:sz="0" w:space="0" w:color="auto"/>
          </w:divBdr>
          <w:divsChild>
            <w:div w:id="1290666762">
              <w:marLeft w:val="0"/>
              <w:marRight w:val="0"/>
              <w:marTop w:val="0"/>
              <w:marBottom w:val="0"/>
              <w:divBdr>
                <w:top w:val="none" w:sz="0" w:space="0" w:color="auto"/>
                <w:left w:val="none" w:sz="0" w:space="0" w:color="auto"/>
                <w:bottom w:val="none" w:sz="0" w:space="0" w:color="auto"/>
                <w:right w:val="none" w:sz="0" w:space="0" w:color="auto"/>
              </w:divBdr>
            </w:div>
          </w:divsChild>
        </w:div>
        <w:div w:id="976643942">
          <w:marLeft w:val="0"/>
          <w:marRight w:val="0"/>
          <w:marTop w:val="0"/>
          <w:marBottom w:val="150"/>
          <w:divBdr>
            <w:top w:val="none" w:sz="0" w:space="0" w:color="auto"/>
            <w:left w:val="none" w:sz="0" w:space="0" w:color="auto"/>
            <w:bottom w:val="none" w:sz="0" w:space="0" w:color="auto"/>
            <w:right w:val="none" w:sz="0" w:space="0" w:color="auto"/>
          </w:divBdr>
        </w:div>
        <w:div w:id="1453356602">
          <w:marLeft w:val="0"/>
          <w:marRight w:val="0"/>
          <w:marTop w:val="0"/>
          <w:marBottom w:val="0"/>
          <w:divBdr>
            <w:top w:val="none" w:sz="0" w:space="0" w:color="auto"/>
            <w:left w:val="none" w:sz="0" w:space="0" w:color="auto"/>
            <w:bottom w:val="none" w:sz="0" w:space="0" w:color="auto"/>
            <w:right w:val="none" w:sz="0" w:space="0" w:color="auto"/>
          </w:divBdr>
          <w:divsChild>
            <w:div w:id="102959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58515">
      <w:bodyDiv w:val="1"/>
      <w:marLeft w:val="0"/>
      <w:marRight w:val="0"/>
      <w:marTop w:val="0"/>
      <w:marBottom w:val="0"/>
      <w:divBdr>
        <w:top w:val="none" w:sz="0" w:space="0" w:color="auto"/>
        <w:left w:val="none" w:sz="0" w:space="0" w:color="auto"/>
        <w:bottom w:val="none" w:sz="0" w:space="0" w:color="auto"/>
        <w:right w:val="none" w:sz="0" w:space="0" w:color="auto"/>
      </w:divBdr>
      <w:divsChild>
        <w:div w:id="1409420357">
          <w:marLeft w:val="0"/>
          <w:marRight w:val="0"/>
          <w:marTop w:val="0"/>
          <w:marBottom w:val="0"/>
          <w:divBdr>
            <w:top w:val="none" w:sz="0" w:space="0" w:color="auto"/>
            <w:left w:val="none" w:sz="0" w:space="0" w:color="auto"/>
            <w:bottom w:val="none" w:sz="0" w:space="0" w:color="auto"/>
            <w:right w:val="none" w:sz="0" w:space="0" w:color="auto"/>
          </w:divBdr>
        </w:div>
      </w:divsChild>
    </w:div>
    <w:div w:id="1209335893">
      <w:bodyDiv w:val="1"/>
      <w:marLeft w:val="0"/>
      <w:marRight w:val="0"/>
      <w:marTop w:val="0"/>
      <w:marBottom w:val="0"/>
      <w:divBdr>
        <w:top w:val="none" w:sz="0" w:space="0" w:color="auto"/>
        <w:left w:val="none" w:sz="0" w:space="0" w:color="auto"/>
        <w:bottom w:val="none" w:sz="0" w:space="0" w:color="auto"/>
        <w:right w:val="none" w:sz="0" w:space="0" w:color="auto"/>
      </w:divBdr>
      <w:divsChild>
        <w:div w:id="52507315">
          <w:marLeft w:val="0"/>
          <w:marRight w:val="0"/>
          <w:marTop w:val="0"/>
          <w:marBottom w:val="150"/>
          <w:divBdr>
            <w:top w:val="none" w:sz="0" w:space="0" w:color="auto"/>
            <w:left w:val="none" w:sz="0" w:space="0" w:color="auto"/>
            <w:bottom w:val="none" w:sz="0" w:space="0" w:color="auto"/>
            <w:right w:val="none" w:sz="0" w:space="0" w:color="auto"/>
          </w:divBdr>
        </w:div>
        <w:div w:id="142890804">
          <w:marLeft w:val="0"/>
          <w:marRight w:val="0"/>
          <w:marTop w:val="0"/>
          <w:marBottom w:val="150"/>
          <w:divBdr>
            <w:top w:val="none" w:sz="0" w:space="0" w:color="auto"/>
            <w:left w:val="none" w:sz="0" w:space="0" w:color="auto"/>
            <w:bottom w:val="none" w:sz="0" w:space="0" w:color="auto"/>
            <w:right w:val="none" w:sz="0" w:space="0" w:color="auto"/>
          </w:divBdr>
        </w:div>
        <w:div w:id="376780777">
          <w:marLeft w:val="0"/>
          <w:marRight w:val="0"/>
          <w:marTop w:val="0"/>
          <w:marBottom w:val="150"/>
          <w:divBdr>
            <w:top w:val="none" w:sz="0" w:space="0" w:color="auto"/>
            <w:left w:val="none" w:sz="0" w:space="0" w:color="auto"/>
            <w:bottom w:val="none" w:sz="0" w:space="0" w:color="auto"/>
            <w:right w:val="none" w:sz="0" w:space="0" w:color="auto"/>
          </w:divBdr>
        </w:div>
        <w:div w:id="425343976">
          <w:marLeft w:val="0"/>
          <w:marRight w:val="0"/>
          <w:marTop w:val="0"/>
          <w:marBottom w:val="150"/>
          <w:divBdr>
            <w:top w:val="none" w:sz="0" w:space="0" w:color="auto"/>
            <w:left w:val="none" w:sz="0" w:space="0" w:color="auto"/>
            <w:bottom w:val="none" w:sz="0" w:space="0" w:color="auto"/>
            <w:right w:val="none" w:sz="0" w:space="0" w:color="auto"/>
          </w:divBdr>
        </w:div>
        <w:div w:id="716972742">
          <w:marLeft w:val="0"/>
          <w:marRight w:val="0"/>
          <w:marTop w:val="0"/>
          <w:marBottom w:val="150"/>
          <w:divBdr>
            <w:top w:val="none" w:sz="0" w:space="0" w:color="auto"/>
            <w:left w:val="none" w:sz="0" w:space="0" w:color="auto"/>
            <w:bottom w:val="none" w:sz="0" w:space="0" w:color="auto"/>
            <w:right w:val="none" w:sz="0" w:space="0" w:color="auto"/>
          </w:divBdr>
        </w:div>
        <w:div w:id="852962789">
          <w:marLeft w:val="0"/>
          <w:marRight w:val="0"/>
          <w:marTop w:val="0"/>
          <w:marBottom w:val="150"/>
          <w:divBdr>
            <w:top w:val="none" w:sz="0" w:space="0" w:color="auto"/>
            <w:left w:val="none" w:sz="0" w:space="0" w:color="auto"/>
            <w:bottom w:val="none" w:sz="0" w:space="0" w:color="auto"/>
            <w:right w:val="none" w:sz="0" w:space="0" w:color="auto"/>
          </w:divBdr>
        </w:div>
        <w:div w:id="973871254">
          <w:marLeft w:val="0"/>
          <w:marRight w:val="0"/>
          <w:marTop w:val="0"/>
          <w:marBottom w:val="150"/>
          <w:divBdr>
            <w:top w:val="none" w:sz="0" w:space="0" w:color="auto"/>
            <w:left w:val="none" w:sz="0" w:space="0" w:color="auto"/>
            <w:bottom w:val="none" w:sz="0" w:space="0" w:color="auto"/>
            <w:right w:val="none" w:sz="0" w:space="0" w:color="auto"/>
          </w:divBdr>
        </w:div>
        <w:div w:id="986473862">
          <w:marLeft w:val="0"/>
          <w:marRight w:val="0"/>
          <w:marTop w:val="0"/>
          <w:marBottom w:val="150"/>
          <w:divBdr>
            <w:top w:val="none" w:sz="0" w:space="0" w:color="auto"/>
            <w:left w:val="none" w:sz="0" w:space="0" w:color="auto"/>
            <w:bottom w:val="none" w:sz="0" w:space="0" w:color="auto"/>
            <w:right w:val="none" w:sz="0" w:space="0" w:color="auto"/>
          </w:divBdr>
        </w:div>
        <w:div w:id="1497499289">
          <w:marLeft w:val="0"/>
          <w:marRight w:val="0"/>
          <w:marTop w:val="0"/>
          <w:marBottom w:val="150"/>
          <w:divBdr>
            <w:top w:val="none" w:sz="0" w:space="0" w:color="auto"/>
            <w:left w:val="none" w:sz="0" w:space="0" w:color="auto"/>
            <w:bottom w:val="none" w:sz="0" w:space="0" w:color="auto"/>
            <w:right w:val="none" w:sz="0" w:space="0" w:color="auto"/>
          </w:divBdr>
        </w:div>
        <w:div w:id="1731806059">
          <w:marLeft w:val="0"/>
          <w:marRight w:val="0"/>
          <w:marTop w:val="0"/>
          <w:marBottom w:val="150"/>
          <w:divBdr>
            <w:top w:val="none" w:sz="0" w:space="0" w:color="auto"/>
            <w:left w:val="none" w:sz="0" w:space="0" w:color="auto"/>
            <w:bottom w:val="none" w:sz="0" w:space="0" w:color="auto"/>
            <w:right w:val="none" w:sz="0" w:space="0" w:color="auto"/>
          </w:divBdr>
        </w:div>
        <w:div w:id="2147315655">
          <w:marLeft w:val="0"/>
          <w:marRight w:val="0"/>
          <w:marTop w:val="0"/>
          <w:marBottom w:val="150"/>
          <w:divBdr>
            <w:top w:val="none" w:sz="0" w:space="0" w:color="auto"/>
            <w:left w:val="none" w:sz="0" w:space="0" w:color="auto"/>
            <w:bottom w:val="none" w:sz="0" w:space="0" w:color="auto"/>
            <w:right w:val="none" w:sz="0" w:space="0" w:color="auto"/>
          </w:divBdr>
        </w:div>
      </w:divsChild>
    </w:div>
    <w:div w:id="1209411270">
      <w:bodyDiv w:val="1"/>
      <w:marLeft w:val="0"/>
      <w:marRight w:val="0"/>
      <w:marTop w:val="0"/>
      <w:marBottom w:val="0"/>
      <w:divBdr>
        <w:top w:val="none" w:sz="0" w:space="0" w:color="auto"/>
        <w:left w:val="none" w:sz="0" w:space="0" w:color="auto"/>
        <w:bottom w:val="none" w:sz="0" w:space="0" w:color="auto"/>
        <w:right w:val="none" w:sz="0" w:space="0" w:color="auto"/>
      </w:divBdr>
    </w:div>
    <w:div w:id="1209534026">
      <w:bodyDiv w:val="1"/>
      <w:marLeft w:val="0"/>
      <w:marRight w:val="0"/>
      <w:marTop w:val="0"/>
      <w:marBottom w:val="0"/>
      <w:divBdr>
        <w:top w:val="none" w:sz="0" w:space="0" w:color="auto"/>
        <w:left w:val="none" w:sz="0" w:space="0" w:color="auto"/>
        <w:bottom w:val="none" w:sz="0" w:space="0" w:color="auto"/>
        <w:right w:val="none" w:sz="0" w:space="0" w:color="auto"/>
      </w:divBdr>
      <w:divsChild>
        <w:div w:id="67075935">
          <w:marLeft w:val="0"/>
          <w:marRight w:val="0"/>
          <w:marTop w:val="0"/>
          <w:marBottom w:val="450"/>
          <w:divBdr>
            <w:top w:val="none" w:sz="0" w:space="0" w:color="auto"/>
            <w:left w:val="none" w:sz="0" w:space="0" w:color="auto"/>
            <w:bottom w:val="single" w:sz="6" w:space="19" w:color="EEEEEE"/>
            <w:right w:val="none" w:sz="0" w:space="0" w:color="auto"/>
          </w:divBdr>
          <w:divsChild>
            <w:div w:id="784276188">
              <w:marLeft w:val="0"/>
              <w:marRight w:val="0"/>
              <w:marTop w:val="0"/>
              <w:marBottom w:val="150"/>
              <w:divBdr>
                <w:top w:val="none" w:sz="0" w:space="0" w:color="auto"/>
                <w:left w:val="none" w:sz="0" w:space="0" w:color="auto"/>
                <w:bottom w:val="none" w:sz="0" w:space="0" w:color="auto"/>
                <w:right w:val="none" w:sz="0" w:space="0" w:color="auto"/>
              </w:divBdr>
              <w:divsChild>
                <w:div w:id="337123404">
                  <w:marLeft w:val="0"/>
                  <w:marRight w:val="0"/>
                  <w:marTop w:val="0"/>
                  <w:marBottom w:val="0"/>
                  <w:divBdr>
                    <w:top w:val="none" w:sz="0" w:space="0" w:color="auto"/>
                    <w:left w:val="none" w:sz="0" w:space="0" w:color="auto"/>
                    <w:bottom w:val="none" w:sz="0" w:space="0" w:color="auto"/>
                    <w:right w:val="none" w:sz="0" w:space="0" w:color="auto"/>
                  </w:divBdr>
                </w:div>
              </w:divsChild>
            </w:div>
            <w:div w:id="2035106664">
              <w:marLeft w:val="0"/>
              <w:marRight w:val="0"/>
              <w:marTop w:val="0"/>
              <w:marBottom w:val="0"/>
              <w:divBdr>
                <w:top w:val="none" w:sz="0" w:space="0" w:color="auto"/>
                <w:left w:val="none" w:sz="0" w:space="0" w:color="auto"/>
                <w:bottom w:val="none" w:sz="0" w:space="0" w:color="auto"/>
                <w:right w:val="none" w:sz="0" w:space="0" w:color="auto"/>
              </w:divBdr>
            </w:div>
          </w:divsChild>
        </w:div>
        <w:div w:id="475413914">
          <w:marLeft w:val="0"/>
          <w:marRight w:val="0"/>
          <w:marTop w:val="0"/>
          <w:marBottom w:val="0"/>
          <w:divBdr>
            <w:top w:val="none" w:sz="0" w:space="0" w:color="auto"/>
            <w:left w:val="none" w:sz="0" w:space="0" w:color="auto"/>
            <w:bottom w:val="none" w:sz="0" w:space="0" w:color="auto"/>
            <w:right w:val="none" w:sz="0" w:space="0" w:color="auto"/>
          </w:divBdr>
          <w:divsChild>
            <w:div w:id="961304626">
              <w:marLeft w:val="0"/>
              <w:marRight w:val="0"/>
              <w:marTop w:val="0"/>
              <w:marBottom w:val="0"/>
              <w:divBdr>
                <w:top w:val="none" w:sz="0" w:space="0" w:color="auto"/>
                <w:left w:val="none" w:sz="0" w:space="0" w:color="auto"/>
                <w:bottom w:val="none" w:sz="0" w:space="0" w:color="auto"/>
                <w:right w:val="none" w:sz="0" w:space="0" w:color="auto"/>
              </w:divBdr>
              <w:divsChild>
                <w:div w:id="13718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679958">
      <w:bodyDiv w:val="1"/>
      <w:marLeft w:val="0"/>
      <w:marRight w:val="0"/>
      <w:marTop w:val="0"/>
      <w:marBottom w:val="0"/>
      <w:divBdr>
        <w:top w:val="none" w:sz="0" w:space="0" w:color="auto"/>
        <w:left w:val="none" w:sz="0" w:space="0" w:color="auto"/>
        <w:bottom w:val="none" w:sz="0" w:space="0" w:color="auto"/>
        <w:right w:val="none" w:sz="0" w:space="0" w:color="auto"/>
      </w:divBdr>
      <w:divsChild>
        <w:div w:id="724376871">
          <w:marLeft w:val="0"/>
          <w:marRight w:val="0"/>
          <w:marTop w:val="0"/>
          <w:marBottom w:val="0"/>
          <w:divBdr>
            <w:top w:val="none" w:sz="0" w:space="0" w:color="auto"/>
            <w:left w:val="none" w:sz="0" w:space="0" w:color="auto"/>
            <w:bottom w:val="none" w:sz="0" w:space="0" w:color="auto"/>
            <w:right w:val="none" w:sz="0" w:space="0" w:color="auto"/>
          </w:divBdr>
          <w:divsChild>
            <w:div w:id="164632128">
              <w:marLeft w:val="0"/>
              <w:marRight w:val="0"/>
              <w:marTop w:val="0"/>
              <w:marBottom w:val="300"/>
              <w:divBdr>
                <w:top w:val="none" w:sz="0" w:space="0" w:color="auto"/>
                <w:left w:val="none" w:sz="0" w:space="0" w:color="auto"/>
                <w:bottom w:val="single" w:sz="6" w:space="0" w:color="F1F1F1"/>
                <w:right w:val="none" w:sz="0" w:space="0" w:color="auto"/>
              </w:divBdr>
              <w:divsChild>
                <w:div w:id="1986695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39637124">
          <w:marLeft w:val="0"/>
          <w:marRight w:val="0"/>
          <w:marTop w:val="0"/>
          <w:marBottom w:val="0"/>
          <w:divBdr>
            <w:top w:val="none" w:sz="0" w:space="0" w:color="auto"/>
            <w:left w:val="none" w:sz="0" w:space="0" w:color="auto"/>
            <w:bottom w:val="none" w:sz="0" w:space="0" w:color="auto"/>
            <w:right w:val="none" w:sz="0" w:space="0" w:color="auto"/>
          </w:divBdr>
          <w:divsChild>
            <w:div w:id="836770543">
              <w:marLeft w:val="0"/>
              <w:marRight w:val="0"/>
              <w:marTop w:val="0"/>
              <w:marBottom w:val="0"/>
              <w:divBdr>
                <w:top w:val="none" w:sz="0" w:space="0" w:color="auto"/>
                <w:left w:val="none" w:sz="0" w:space="0" w:color="auto"/>
                <w:bottom w:val="none" w:sz="0" w:space="0" w:color="auto"/>
                <w:right w:val="none" w:sz="0" w:space="0" w:color="auto"/>
              </w:divBdr>
              <w:divsChild>
                <w:div w:id="1808819905">
                  <w:marLeft w:val="0"/>
                  <w:marRight w:val="0"/>
                  <w:marTop w:val="0"/>
                  <w:marBottom w:val="0"/>
                  <w:divBdr>
                    <w:top w:val="none" w:sz="0" w:space="0" w:color="auto"/>
                    <w:left w:val="none" w:sz="0" w:space="0" w:color="auto"/>
                    <w:bottom w:val="none" w:sz="0" w:space="0" w:color="auto"/>
                    <w:right w:val="none" w:sz="0" w:space="0" w:color="auto"/>
                  </w:divBdr>
                  <w:divsChild>
                    <w:div w:id="333457627">
                      <w:marLeft w:val="0"/>
                      <w:marRight w:val="0"/>
                      <w:marTop w:val="0"/>
                      <w:marBottom w:val="0"/>
                      <w:divBdr>
                        <w:top w:val="none" w:sz="0" w:space="0" w:color="auto"/>
                        <w:left w:val="none" w:sz="0" w:space="0" w:color="auto"/>
                        <w:bottom w:val="none" w:sz="0" w:space="0" w:color="auto"/>
                        <w:right w:val="none" w:sz="0" w:space="0" w:color="auto"/>
                      </w:divBdr>
                      <w:divsChild>
                        <w:div w:id="314725173">
                          <w:marLeft w:val="0"/>
                          <w:marRight w:val="0"/>
                          <w:marTop w:val="0"/>
                          <w:marBottom w:val="0"/>
                          <w:divBdr>
                            <w:top w:val="none" w:sz="0" w:space="0" w:color="auto"/>
                            <w:left w:val="none" w:sz="0" w:space="0" w:color="auto"/>
                            <w:bottom w:val="none" w:sz="0" w:space="0" w:color="auto"/>
                            <w:right w:val="none" w:sz="0" w:space="0" w:color="auto"/>
                          </w:divBdr>
                          <w:divsChild>
                            <w:div w:id="1243101589">
                              <w:marLeft w:val="0"/>
                              <w:marRight w:val="0"/>
                              <w:marTop w:val="0"/>
                              <w:marBottom w:val="0"/>
                              <w:divBdr>
                                <w:top w:val="none" w:sz="0" w:space="0" w:color="auto"/>
                                <w:left w:val="none" w:sz="0" w:space="0" w:color="auto"/>
                                <w:bottom w:val="none" w:sz="0" w:space="0" w:color="auto"/>
                                <w:right w:val="none" w:sz="0" w:space="0" w:color="auto"/>
                              </w:divBdr>
                              <w:divsChild>
                                <w:div w:id="23516868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692221300">
                          <w:marLeft w:val="0"/>
                          <w:marRight w:val="0"/>
                          <w:marTop w:val="0"/>
                          <w:marBottom w:val="0"/>
                          <w:divBdr>
                            <w:top w:val="none" w:sz="0" w:space="0" w:color="auto"/>
                            <w:left w:val="none" w:sz="0" w:space="0" w:color="auto"/>
                            <w:bottom w:val="none" w:sz="0" w:space="0" w:color="auto"/>
                            <w:right w:val="none" w:sz="0" w:space="0" w:color="auto"/>
                          </w:divBdr>
                        </w:div>
                        <w:div w:id="977610371">
                          <w:marLeft w:val="0"/>
                          <w:marRight w:val="0"/>
                          <w:marTop w:val="0"/>
                          <w:marBottom w:val="0"/>
                          <w:divBdr>
                            <w:top w:val="none" w:sz="0" w:space="0" w:color="auto"/>
                            <w:left w:val="none" w:sz="0" w:space="0" w:color="auto"/>
                            <w:bottom w:val="none" w:sz="0" w:space="0" w:color="auto"/>
                            <w:right w:val="none" w:sz="0" w:space="0" w:color="auto"/>
                          </w:divBdr>
                        </w:div>
                      </w:divsChild>
                    </w:div>
                    <w:div w:id="783303784">
                      <w:marLeft w:val="0"/>
                      <w:marRight w:val="0"/>
                      <w:marTop w:val="0"/>
                      <w:marBottom w:val="75"/>
                      <w:divBdr>
                        <w:top w:val="none" w:sz="0" w:space="0" w:color="auto"/>
                        <w:left w:val="none" w:sz="0" w:space="0" w:color="auto"/>
                        <w:bottom w:val="none" w:sz="0" w:space="0" w:color="auto"/>
                        <w:right w:val="none" w:sz="0" w:space="0" w:color="auto"/>
                      </w:divBdr>
                    </w:div>
                    <w:div w:id="1542127920">
                      <w:marLeft w:val="0"/>
                      <w:marRight w:val="0"/>
                      <w:marTop w:val="0"/>
                      <w:marBottom w:val="300"/>
                      <w:divBdr>
                        <w:top w:val="none" w:sz="0" w:space="0" w:color="auto"/>
                        <w:left w:val="none" w:sz="0" w:space="0" w:color="auto"/>
                        <w:bottom w:val="none" w:sz="0" w:space="0" w:color="auto"/>
                        <w:right w:val="none" w:sz="0" w:space="0" w:color="auto"/>
                      </w:divBdr>
                      <w:divsChild>
                        <w:div w:id="1854225885">
                          <w:marLeft w:val="0"/>
                          <w:marRight w:val="0"/>
                          <w:marTop w:val="0"/>
                          <w:marBottom w:val="0"/>
                          <w:divBdr>
                            <w:top w:val="none" w:sz="0" w:space="0" w:color="auto"/>
                            <w:left w:val="none" w:sz="0" w:space="0" w:color="auto"/>
                            <w:bottom w:val="none" w:sz="0" w:space="0" w:color="auto"/>
                            <w:right w:val="none" w:sz="0" w:space="0" w:color="auto"/>
                          </w:divBdr>
                        </w:div>
                      </w:divsChild>
                    </w:div>
                    <w:div w:id="1711804608">
                      <w:marLeft w:val="0"/>
                      <w:marRight w:val="0"/>
                      <w:marTop w:val="0"/>
                      <w:marBottom w:val="0"/>
                      <w:divBdr>
                        <w:top w:val="none" w:sz="0" w:space="0" w:color="auto"/>
                        <w:left w:val="none" w:sz="0" w:space="0" w:color="auto"/>
                        <w:bottom w:val="none" w:sz="0" w:space="0" w:color="auto"/>
                        <w:right w:val="none" w:sz="0" w:space="0" w:color="auto"/>
                      </w:divBdr>
                      <w:divsChild>
                        <w:div w:id="1826163265">
                          <w:marLeft w:val="0"/>
                          <w:marRight w:val="0"/>
                          <w:marTop w:val="0"/>
                          <w:marBottom w:val="0"/>
                          <w:divBdr>
                            <w:top w:val="none" w:sz="0" w:space="0" w:color="auto"/>
                            <w:left w:val="none" w:sz="0" w:space="0" w:color="auto"/>
                            <w:bottom w:val="none" w:sz="0" w:space="0" w:color="auto"/>
                            <w:right w:val="none" w:sz="0" w:space="0" w:color="auto"/>
                          </w:divBdr>
                          <w:divsChild>
                            <w:div w:id="205029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542187">
                  <w:marLeft w:val="0"/>
                  <w:marRight w:val="0"/>
                  <w:marTop w:val="0"/>
                  <w:marBottom w:val="0"/>
                  <w:divBdr>
                    <w:top w:val="none" w:sz="0" w:space="0" w:color="auto"/>
                    <w:left w:val="none" w:sz="0" w:space="0" w:color="auto"/>
                    <w:bottom w:val="none" w:sz="0" w:space="0" w:color="auto"/>
                    <w:right w:val="none" w:sz="0" w:space="0" w:color="auto"/>
                  </w:divBdr>
                  <w:divsChild>
                    <w:div w:id="274605182">
                      <w:marLeft w:val="0"/>
                      <w:marRight w:val="0"/>
                      <w:marTop w:val="0"/>
                      <w:marBottom w:val="300"/>
                      <w:divBdr>
                        <w:top w:val="none" w:sz="0" w:space="0" w:color="auto"/>
                        <w:left w:val="none" w:sz="0" w:space="0" w:color="auto"/>
                        <w:bottom w:val="none" w:sz="0" w:space="0" w:color="auto"/>
                        <w:right w:val="none" w:sz="0" w:space="0" w:color="auto"/>
                      </w:divBdr>
                      <w:divsChild>
                        <w:div w:id="1245069674">
                          <w:marLeft w:val="0"/>
                          <w:marRight w:val="0"/>
                          <w:marTop w:val="0"/>
                          <w:marBottom w:val="0"/>
                          <w:divBdr>
                            <w:top w:val="none" w:sz="0" w:space="0" w:color="auto"/>
                            <w:left w:val="none" w:sz="0" w:space="0" w:color="auto"/>
                            <w:bottom w:val="none" w:sz="0" w:space="0" w:color="auto"/>
                            <w:right w:val="none" w:sz="0" w:space="0" w:color="auto"/>
                          </w:divBdr>
                          <w:divsChild>
                            <w:div w:id="1999839319">
                              <w:marLeft w:val="0"/>
                              <w:marRight w:val="0"/>
                              <w:marTop w:val="0"/>
                              <w:marBottom w:val="0"/>
                              <w:divBdr>
                                <w:top w:val="none" w:sz="0" w:space="0" w:color="auto"/>
                                <w:left w:val="none" w:sz="0" w:space="0" w:color="auto"/>
                                <w:bottom w:val="none" w:sz="0" w:space="0" w:color="auto"/>
                                <w:right w:val="none" w:sz="0" w:space="0" w:color="auto"/>
                              </w:divBdr>
                              <w:divsChild>
                                <w:div w:id="2136830750">
                                  <w:marLeft w:val="0"/>
                                  <w:marRight w:val="0"/>
                                  <w:marTop w:val="0"/>
                                  <w:marBottom w:val="0"/>
                                  <w:divBdr>
                                    <w:top w:val="single" w:sz="2" w:space="0" w:color="DFDFDF"/>
                                    <w:left w:val="single" w:sz="2" w:space="0" w:color="DFDFDF"/>
                                    <w:bottom w:val="single" w:sz="2" w:space="0" w:color="DFDFDF"/>
                                    <w:right w:val="single" w:sz="2" w:space="0" w:color="DFDFDF"/>
                                  </w:divBdr>
                                  <w:divsChild>
                                    <w:div w:id="173500440">
                                      <w:marLeft w:val="-90"/>
                                      <w:marRight w:val="0"/>
                                      <w:marTop w:val="0"/>
                                      <w:marBottom w:val="0"/>
                                      <w:divBdr>
                                        <w:top w:val="none" w:sz="0" w:space="0" w:color="auto"/>
                                        <w:left w:val="none" w:sz="0" w:space="0" w:color="auto"/>
                                        <w:bottom w:val="none" w:sz="0" w:space="0" w:color="auto"/>
                                        <w:right w:val="none" w:sz="0" w:space="0" w:color="auto"/>
                                      </w:divBdr>
                                      <w:divsChild>
                                        <w:div w:id="464852563">
                                          <w:marLeft w:val="0"/>
                                          <w:marRight w:val="0"/>
                                          <w:marTop w:val="0"/>
                                          <w:marBottom w:val="45"/>
                                          <w:divBdr>
                                            <w:top w:val="single" w:sz="2" w:space="0" w:color="A9A9A9"/>
                                            <w:left w:val="single" w:sz="2" w:space="0" w:color="A9A9A9"/>
                                            <w:bottom w:val="single" w:sz="2" w:space="0" w:color="A9A9A9"/>
                                            <w:right w:val="single" w:sz="2" w:space="0" w:color="A9A9A9"/>
                                          </w:divBdr>
                                          <w:divsChild>
                                            <w:div w:id="167184715">
                                              <w:marLeft w:val="0"/>
                                              <w:marRight w:val="0"/>
                                              <w:marTop w:val="0"/>
                                              <w:marBottom w:val="0"/>
                                              <w:divBdr>
                                                <w:top w:val="none" w:sz="0" w:space="0" w:color="auto"/>
                                                <w:left w:val="none" w:sz="0" w:space="0" w:color="auto"/>
                                                <w:bottom w:val="none" w:sz="0" w:space="0" w:color="auto"/>
                                                <w:right w:val="none" w:sz="0" w:space="0" w:color="auto"/>
                                              </w:divBdr>
                                              <w:divsChild>
                                                <w:div w:id="1493638793">
                                                  <w:marLeft w:val="92"/>
                                                  <w:marRight w:val="0"/>
                                                  <w:marTop w:val="0"/>
                                                  <w:marBottom w:val="150"/>
                                                  <w:divBdr>
                                                    <w:top w:val="single" w:sz="2" w:space="0" w:color="E4E4E4"/>
                                                    <w:left w:val="single" w:sz="2" w:space="0" w:color="E4E4E4"/>
                                                    <w:bottom w:val="single" w:sz="2" w:space="0" w:color="E4E4E4"/>
                                                    <w:right w:val="single" w:sz="2" w:space="0" w:color="E4E4E4"/>
                                                  </w:divBdr>
                                                </w:div>
                                                <w:div w:id="190980154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2108770090">
                          <w:marLeft w:val="0"/>
                          <w:marRight w:val="0"/>
                          <w:marTop w:val="0"/>
                          <w:marBottom w:val="0"/>
                          <w:divBdr>
                            <w:top w:val="none" w:sz="0" w:space="0" w:color="auto"/>
                            <w:left w:val="none" w:sz="0" w:space="0" w:color="auto"/>
                            <w:bottom w:val="none" w:sz="0" w:space="0" w:color="auto"/>
                            <w:right w:val="none" w:sz="0" w:space="0" w:color="auto"/>
                          </w:divBdr>
                          <w:divsChild>
                            <w:div w:id="2057464746">
                              <w:marLeft w:val="0"/>
                              <w:marRight w:val="0"/>
                              <w:marTop w:val="0"/>
                              <w:marBottom w:val="0"/>
                              <w:divBdr>
                                <w:top w:val="none" w:sz="0" w:space="0" w:color="auto"/>
                                <w:left w:val="none" w:sz="0" w:space="0" w:color="auto"/>
                                <w:bottom w:val="none" w:sz="0" w:space="0" w:color="auto"/>
                                <w:right w:val="none" w:sz="0" w:space="0" w:color="auto"/>
                              </w:divBdr>
                              <w:divsChild>
                                <w:div w:id="1688822817">
                                  <w:marLeft w:val="0"/>
                                  <w:marRight w:val="0"/>
                                  <w:marTop w:val="0"/>
                                  <w:marBottom w:val="0"/>
                                  <w:divBdr>
                                    <w:top w:val="single" w:sz="2" w:space="0" w:color="DFDFDF"/>
                                    <w:left w:val="single" w:sz="2" w:space="0" w:color="DFDFDF"/>
                                    <w:bottom w:val="single" w:sz="2" w:space="0" w:color="DFDFDF"/>
                                    <w:right w:val="single" w:sz="2" w:space="0" w:color="DFDFDF"/>
                                  </w:divBdr>
                                  <w:divsChild>
                                    <w:div w:id="1317949712">
                                      <w:marLeft w:val="-90"/>
                                      <w:marRight w:val="0"/>
                                      <w:marTop w:val="0"/>
                                      <w:marBottom w:val="0"/>
                                      <w:divBdr>
                                        <w:top w:val="none" w:sz="0" w:space="0" w:color="auto"/>
                                        <w:left w:val="none" w:sz="0" w:space="0" w:color="auto"/>
                                        <w:bottom w:val="none" w:sz="0" w:space="0" w:color="auto"/>
                                        <w:right w:val="none" w:sz="0" w:space="0" w:color="auto"/>
                                      </w:divBdr>
                                      <w:divsChild>
                                        <w:div w:id="165904311">
                                          <w:marLeft w:val="0"/>
                                          <w:marRight w:val="0"/>
                                          <w:marTop w:val="0"/>
                                          <w:marBottom w:val="45"/>
                                          <w:divBdr>
                                            <w:top w:val="single" w:sz="2" w:space="0" w:color="A9A9A9"/>
                                            <w:left w:val="single" w:sz="2" w:space="0" w:color="A9A9A9"/>
                                            <w:bottom w:val="single" w:sz="2" w:space="0" w:color="A9A9A9"/>
                                            <w:right w:val="single" w:sz="2" w:space="0" w:color="A9A9A9"/>
                                          </w:divBdr>
                                          <w:divsChild>
                                            <w:div w:id="76172754">
                                              <w:marLeft w:val="0"/>
                                              <w:marRight w:val="0"/>
                                              <w:marTop w:val="0"/>
                                              <w:marBottom w:val="0"/>
                                              <w:divBdr>
                                                <w:top w:val="none" w:sz="0" w:space="0" w:color="auto"/>
                                                <w:left w:val="none" w:sz="0" w:space="0" w:color="auto"/>
                                                <w:bottom w:val="none" w:sz="0" w:space="0" w:color="auto"/>
                                                <w:right w:val="none" w:sz="0" w:space="0" w:color="auto"/>
                                              </w:divBdr>
                                              <w:divsChild>
                                                <w:div w:id="25220654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819106942">
                                      <w:marLeft w:val="0"/>
                                      <w:marRight w:val="0"/>
                                      <w:marTop w:val="0"/>
                                      <w:marBottom w:val="270"/>
                                      <w:divBdr>
                                        <w:top w:val="none" w:sz="0" w:space="0" w:color="auto"/>
                                        <w:left w:val="none" w:sz="0" w:space="0" w:color="auto"/>
                                        <w:bottom w:val="single" w:sz="12" w:space="5" w:color="DADADA"/>
                                        <w:right w:val="none" w:sz="0" w:space="0" w:color="auto"/>
                                      </w:divBdr>
                                      <w:divsChild>
                                        <w:div w:id="214199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9760773">
      <w:bodyDiv w:val="1"/>
      <w:marLeft w:val="0"/>
      <w:marRight w:val="0"/>
      <w:marTop w:val="0"/>
      <w:marBottom w:val="0"/>
      <w:divBdr>
        <w:top w:val="none" w:sz="0" w:space="0" w:color="auto"/>
        <w:left w:val="none" w:sz="0" w:space="0" w:color="auto"/>
        <w:bottom w:val="none" w:sz="0" w:space="0" w:color="auto"/>
        <w:right w:val="none" w:sz="0" w:space="0" w:color="auto"/>
      </w:divBdr>
      <w:divsChild>
        <w:div w:id="1822622337">
          <w:marLeft w:val="0"/>
          <w:marRight w:val="0"/>
          <w:marTop w:val="0"/>
          <w:marBottom w:val="150"/>
          <w:divBdr>
            <w:top w:val="none" w:sz="0" w:space="0" w:color="auto"/>
            <w:left w:val="none" w:sz="0" w:space="0" w:color="auto"/>
            <w:bottom w:val="none" w:sz="0" w:space="0" w:color="auto"/>
            <w:right w:val="none" w:sz="0" w:space="0" w:color="auto"/>
          </w:divBdr>
          <w:divsChild>
            <w:div w:id="556018046">
              <w:marLeft w:val="0"/>
              <w:marRight w:val="0"/>
              <w:marTop w:val="0"/>
              <w:marBottom w:val="0"/>
              <w:divBdr>
                <w:top w:val="none" w:sz="0" w:space="0" w:color="auto"/>
                <w:left w:val="none" w:sz="0" w:space="0" w:color="auto"/>
                <w:bottom w:val="none" w:sz="0" w:space="0" w:color="auto"/>
                <w:right w:val="none" w:sz="0" w:space="0" w:color="auto"/>
              </w:divBdr>
              <w:divsChild>
                <w:div w:id="1803575057">
                  <w:marLeft w:val="0"/>
                  <w:marRight w:val="0"/>
                  <w:marTop w:val="0"/>
                  <w:marBottom w:val="0"/>
                  <w:divBdr>
                    <w:top w:val="none" w:sz="0" w:space="0" w:color="auto"/>
                    <w:left w:val="none" w:sz="0" w:space="0" w:color="auto"/>
                    <w:bottom w:val="none" w:sz="0" w:space="0" w:color="auto"/>
                    <w:right w:val="none" w:sz="0" w:space="0" w:color="auto"/>
                  </w:divBdr>
                  <w:divsChild>
                    <w:div w:id="2110805601">
                      <w:marLeft w:val="0"/>
                      <w:marRight w:val="150"/>
                      <w:marTop w:val="0"/>
                      <w:marBottom w:val="0"/>
                      <w:divBdr>
                        <w:top w:val="none" w:sz="0" w:space="0" w:color="auto"/>
                        <w:left w:val="none" w:sz="0" w:space="0" w:color="auto"/>
                        <w:bottom w:val="none" w:sz="0" w:space="0" w:color="auto"/>
                        <w:right w:val="none" w:sz="0" w:space="0" w:color="auto"/>
                      </w:divBdr>
                      <w:divsChild>
                        <w:div w:id="129166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143314">
          <w:marLeft w:val="0"/>
          <w:marRight w:val="0"/>
          <w:marTop w:val="0"/>
          <w:marBottom w:val="150"/>
          <w:divBdr>
            <w:top w:val="none" w:sz="0" w:space="0" w:color="auto"/>
            <w:left w:val="none" w:sz="0" w:space="0" w:color="auto"/>
            <w:bottom w:val="none" w:sz="0" w:space="0" w:color="auto"/>
            <w:right w:val="none" w:sz="0" w:space="0" w:color="auto"/>
          </w:divBdr>
        </w:div>
        <w:div w:id="1437598485">
          <w:marLeft w:val="0"/>
          <w:marRight w:val="0"/>
          <w:marTop w:val="0"/>
          <w:marBottom w:val="0"/>
          <w:divBdr>
            <w:top w:val="none" w:sz="0" w:space="0" w:color="auto"/>
            <w:left w:val="none" w:sz="0" w:space="0" w:color="auto"/>
            <w:bottom w:val="none" w:sz="0" w:space="0" w:color="auto"/>
            <w:right w:val="none" w:sz="0" w:space="0" w:color="auto"/>
          </w:divBdr>
          <w:divsChild>
            <w:div w:id="192487131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09797444">
      <w:bodyDiv w:val="1"/>
      <w:marLeft w:val="0"/>
      <w:marRight w:val="0"/>
      <w:marTop w:val="0"/>
      <w:marBottom w:val="0"/>
      <w:divBdr>
        <w:top w:val="none" w:sz="0" w:space="0" w:color="auto"/>
        <w:left w:val="none" w:sz="0" w:space="0" w:color="auto"/>
        <w:bottom w:val="none" w:sz="0" w:space="0" w:color="auto"/>
        <w:right w:val="none" w:sz="0" w:space="0" w:color="auto"/>
      </w:divBdr>
      <w:divsChild>
        <w:div w:id="1289361922">
          <w:marLeft w:val="0"/>
          <w:marRight w:val="0"/>
          <w:marTop w:val="0"/>
          <w:marBottom w:val="225"/>
          <w:divBdr>
            <w:top w:val="none" w:sz="0" w:space="0" w:color="auto"/>
            <w:left w:val="none" w:sz="0" w:space="0" w:color="auto"/>
            <w:bottom w:val="none" w:sz="0" w:space="0" w:color="auto"/>
            <w:right w:val="none" w:sz="0" w:space="0" w:color="auto"/>
          </w:divBdr>
          <w:divsChild>
            <w:div w:id="38294929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209802318">
      <w:bodyDiv w:val="1"/>
      <w:marLeft w:val="0"/>
      <w:marRight w:val="0"/>
      <w:marTop w:val="0"/>
      <w:marBottom w:val="0"/>
      <w:divBdr>
        <w:top w:val="none" w:sz="0" w:space="0" w:color="auto"/>
        <w:left w:val="none" w:sz="0" w:space="0" w:color="auto"/>
        <w:bottom w:val="none" w:sz="0" w:space="0" w:color="auto"/>
        <w:right w:val="none" w:sz="0" w:space="0" w:color="auto"/>
      </w:divBdr>
      <w:divsChild>
        <w:div w:id="1710184209">
          <w:marLeft w:val="0"/>
          <w:marRight w:val="0"/>
          <w:marTop w:val="0"/>
          <w:marBottom w:val="0"/>
          <w:divBdr>
            <w:top w:val="none" w:sz="0" w:space="0" w:color="auto"/>
            <w:left w:val="none" w:sz="0" w:space="0" w:color="auto"/>
            <w:bottom w:val="dotted" w:sz="6" w:space="4" w:color="DDDDDD"/>
            <w:right w:val="none" w:sz="0" w:space="0" w:color="auto"/>
          </w:divBdr>
        </w:div>
      </w:divsChild>
    </w:div>
    <w:div w:id="1209994542">
      <w:bodyDiv w:val="1"/>
      <w:marLeft w:val="0"/>
      <w:marRight w:val="0"/>
      <w:marTop w:val="0"/>
      <w:marBottom w:val="0"/>
      <w:divBdr>
        <w:top w:val="none" w:sz="0" w:space="0" w:color="auto"/>
        <w:left w:val="none" w:sz="0" w:space="0" w:color="auto"/>
        <w:bottom w:val="none" w:sz="0" w:space="0" w:color="auto"/>
        <w:right w:val="none" w:sz="0" w:space="0" w:color="auto"/>
      </w:divBdr>
      <w:divsChild>
        <w:div w:id="672992068">
          <w:marLeft w:val="0"/>
          <w:marRight w:val="0"/>
          <w:marTop w:val="0"/>
          <w:marBottom w:val="0"/>
          <w:divBdr>
            <w:top w:val="none" w:sz="0" w:space="0" w:color="auto"/>
            <w:left w:val="none" w:sz="0" w:space="0" w:color="auto"/>
            <w:bottom w:val="none" w:sz="0" w:space="0" w:color="auto"/>
            <w:right w:val="none" w:sz="0" w:space="0" w:color="auto"/>
          </w:divBdr>
          <w:divsChild>
            <w:div w:id="1223830018">
              <w:marLeft w:val="0"/>
              <w:marRight w:val="0"/>
              <w:marTop w:val="225"/>
              <w:marBottom w:val="225"/>
              <w:divBdr>
                <w:top w:val="none" w:sz="0" w:space="0" w:color="auto"/>
                <w:left w:val="none" w:sz="0" w:space="0" w:color="auto"/>
                <w:bottom w:val="none" w:sz="0" w:space="0" w:color="auto"/>
                <w:right w:val="none" w:sz="0" w:space="0" w:color="auto"/>
              </w:divBdr>
            </w:div>
          </w:divsChild>
        </w:div>
        <w:div w:id="1457337941">
          <w:marLeft w:val="0"/>
          <w:marRight w:val="0"/>
          <w:marTop w:val="0"/>
          <w:marBottom w:val="150"/>
          <w:divBdr>
            <w:top w:val="none" w:sz="0" w:space="0" w:color="auto"/>
            <w:left w:val="none" w:sz="0" w:space="0" w:color="auto"/>
            <w:bottom w:val="none" w:sz="0" w:space="0" w:color="auto"/>
            <w:right w:val="none" w:sz="0" w:space="0" w:color="auto"/>
          </w:divBdr>
        </w:div>
        <w:div w:id="1616643251">
          <w:marLeft w:val="0"/>
          <w:marRight w:val="0"/>
          <w:marTop w:val="0"/>
          <w:marBottom w:val="150"/>
          <w:divBdr>
            <w:top w:val="none" w:sz="0" w:space="0" w:color="auto"/>
            <w:left w:val="none" w:sz="0" w:space="0" w:color="auto"/>
            <w:bottom w:val="none" w:sz="0" w:space="0" w:color="auto"/>
            <w:right w:val="none" w:sz="0" w:space="0" w:color="auto"/>
          </w:divBdr>
          <w:divsChild>
            <w:div w:id="1577517749">
              <w:marLeft w:val="0"/>
              <w:marRight w:val="0"/>
              <w:marTop w:val="0"/>
              <w:marBottom w:val="0"/>
              <w:divBdr>
                <w:top w:val="none" w:sz="0" w:space="0" w:color="auto"/>
                <w:left w:val="none" w:sz="0" w:space="0" w:color="auto"/>
                <w:bottom w:val="none" w:sz="0" w:space="0" w:color="auto"/>
                <w:right w:val="none" w:sz="0" w:space="0" w:color="auto"/>
              </w:divBdr>
              <w:divsChild>
                <w:div w:id="81044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191665">
      <w:bodyDiv w:val="1"/>
      <w:marLeft w:val="0"/>
      <w:marRight w:val="0"/>
      <w:marTop w:val="0"/>
      <w:marBottom w:val="0"/>
      <w:divBdr>
        <w:top w:val="none" w:sz="0" w:space="0" w:color="auto"/>
        <w:left w:val="none" w:sz="0" w:space="0" w:color="auto"/>
        <w:bottom w:val="none" w:sz="0" w:space="0" w:color="auto"/>
        <w:right w:val="none" w:sz="0" w:space="0" w:color="auto"/>
      </w:divBdr>
    </w:div>
    <w:div w:id="1210727700">
      <w:bodyDiv w:val="1"/>
      <w:marLeft w:val="0"/>
      <w:marRight w:val="0"/>
      <w:marTop w:val="0"/>
      <w:marBottom w:val="0"/>
      <w:divBdr>
        <w:top w:val="none" w:sz="0" w:space="0" w:color="auto"/>
        <w:left w:val="none" w:sz="0" w:space="0" w:color="auto"/>
        <w:bottom w:val="none" w:sz="0" w:space="0" w:color="auto"/>
        <w:right w:val="none" w:sz="0" w:space="0" w:color="auto"/>
      </w:divBdr>
    </w:div>
    <w:div w:id="1211068298">
      <w:bodyDiv w:val="1"/>
      <w:marLeft w:val="0"/>
      <w:marRight w:val="0"/>
      <w:marTop w:val="0"/>
      <w:marBottom w:val="0"/>
      <w:divBdr>
        <w:top w:val="none" w:sz="0" w:space="0" w:color="auto"/>
        <w:left w:val="none" w:sz="0" w:space="0" w:color="auto"/>
        <w:bottom w:val="none" w:sz="0" w:space="0" w:color="auto"/>
        <w:right w:val="none" w:sz="0" w:space="0" w:color="auto"/>
      </w:divBdr>
      <w:divsChild>
        <w:div w:id="347756649">
          <w:marLeft w:val="0"/>
          <w:marRight w:val="0"/>
          <w:marTop w:val="0"/>
          <w:marBottom w:val="150"/>
          <w:divBdr>
            <w:top w:val="none" w:sz="0" w:space="0" w:color="auto"/>
            <w:left w:val="none" w:sz="0" w:space="0" w:color="auto"/>
            <w:bottom w:val="none" w:sz="0" w:space="0" w:color="auto"/>
            <w:right w:val="none" w:sz="0" w:space="0" w:color="auto"/>
          </w:divBdr>
          <w:divsChild>
            <w:div w:id="1724987743">
              <w:marLeft w:val="0"/>
              <w:marRight w:val="0"/>
              <w:marTop w:val="0"/>
              <w:marBottom w:val="0"/>
              <w:divBdr>
                <w:top w:val="none" w:sz="0" w:space="0" w:color="auto"/>
                <w:left w:val="none" w:sz="0" w:space="0" w:color="auto"/>
                <w:bottom w:val="none" w:sz="0" w:space="0" w:color="auto"/>
                <w:right w:val="none" w:sz="0" w:space="0" w:color="auto"/>
              </w:divBdr>
              <w:divsChild>
                <w:div w:id="138618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704368">
          <w:marLeft w:val="0"/>
          <w:marRight w:val="0"/>
          <w:marTop w:val="0"/>
          <w:marBottom w:val="150"/>
          <w:divBdr>
            <w:top w:val="none" w:sz="0" w:space="0" w:color="auto"/>
            <w:left w:val="none" w:sz="0" w:space="0" w:color="auto"/>
            <w:bottom w:val="none" w:sz="0" w:space="0" w:color="auto"/>
            <w:right w:val="none" w:sz="0" w:space="0" w:color="auto"/>
          </w:divBdr>
        </w:div>
        <w:div w:id="620113695">
          <w:marLeft w:val="0"/>
          <w:marRight w:val="0"/>
          <w:marTop w:val="0"/>
          <w:marBottom w:val="0"/>
          <w:divBdr>
            <w:top w:val="none" w:sz="0" w:space="0" w:color="auto"/>
            <w:left w:val="none" w:sz="0" w:space="0" w:color="auto"/>
            <w:bottom w:val="none" w:sz="0" w:space="0" w:color="auto"/>
            <w:right w:val="none" w:sz="0" w:space="0" w:color="auto"/>
          </w:divBdr>
          <w:divsChild>
            <w:div w:id="49730887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11069463">
      <w:bodyDiv w:val="1"/>
      <w:marLeft w:val="0"/>
      <w:marRight w:val="0"/>
      <w:marTop w:val="0"/>
      <w:marBottom w:val="0"/>
      <w:divBdr>
        <w:top w:val="none" w:sz="0" w:space="0" w:color="auto"/>
        <w:left w:val="none" w:sz="0" w:space="0" w:color="auto"/>
        <w:bottom w:val="none" w:sz="0" w:space="0" w:color="auto"/>
        <w:right w:val="none" w:sz="0" w:space="0" w:color="auto"/>
      </w:divBdr>
      <w:divsChild>
        <w:div w:id="1044134688">
          <w:marLeft w:val="0"/>
          <w:marRight w:val="0"/>
          <w:marTop w:val="0"/>
          <w:marBottom w:val="0"/>
          <w:divBdr>
            <w:top w:val="none" w:sz="0" w:space="0" w:color="auto"/>
            <w:left w:val="none" w:sz="0" w:space="0" w:color="auto"/>
            <w:bottom w:val="none" w:sz="0" w:space="0" w:color="auto"/>
            <w:right w:val="none" w:sz="0" w:space="0" w:color="auto"/>
          </w:divBdr>
        </w:div>
      </w:divsChild>
    </w:div>
    <w:div w:id="1211504056">
      <w:bodyDiv w:val="1"/>
      <w:marLeft w:val="0"/>
      <w:marRight w:val="0"/>
      <w:marTop w:val="0"/>
      <w:marBottom w:val="0"/>
      <w:divBdr>
        <w:top w:val="none" w:sz="0" w:space="0" w:color="auto"/>
        <w:left w:val="none" w:sz="0" w:space="0" w:color="auto"/>
        <w:bottom w:val="none" w:sz="0" w:space="0" w:color="auto"/>
        <w:right w:val="none" w:sz="0" w:space="0" w:color="auto"/>
      </w:divBdr>
      <w:divsChild>
        <w:div w:id="1011184922">
          <w:marLeft w:val="0"/>
          <w:marRight w:val="0"/>
          <w:marTop w:val="0"/>
          <w:marBottom w:val="225"/>
          <w:divBdr>
            <w:top w:val="none" w:sz="0" w:space="0" w:color="auto"/>
            <w:left w:val="none" w:sz="0" w:space="0" w:color="auto"/>
            <w:bottom w:val="none" w:sz="0" w:space="0" w:color="auto"/>
            <w:right w:val="none" w:sz="0" w:space="0" w:color="auto"/>
          </w:divBdr>
          <w:divsChild>
            <w:div w:id="170606591">
              <w:marLeft w:val="0"/>
              <w:marRight w:val="0"/>
              <w:marTop w:val="0"/>
              <w:marBottom w:val="150"/>
              <w:divBdr>
                <w:top w:val="none" w:sz="0" w:space="0" w:color="auto"/>
                <w:left w:val="none" w:sz="0" w:space="0" w:color="auto"/>
                <w:bottom w:val="none" w:sz="0" w:space="0" w:color="auto"/>
                <w:right w:val="none" w:sz="0" w:space="0" w:color="auto"/>
              </w:divBdr>
            </w:div>
            <w:div w:id="363793489">
              <w:marLeft w:val="0"/>
              <w:marRight w:val="0"/>
              <w:marTop w:val="0"/>
              <w:marBottom w:val="150"/>
              <w:divBdr>
                <w:top w:val="none" w:sz="0" w:space="0" w:color="auto"/>
                <w:left w:val="none" w:sz="0" w:space="0" w:color="auto"/>
                <w:bottom w:val="none" w:sz="0" w:space="0" w:color="auto"/>
                <w:right w:val="none" w:sz="0" w:space="0" w:color="auto"/>
              </w:divBdr>
            </w:div>
            <w:div w:id="443814642">
              <w:marLeft w:val="0"/>
              <w:marRight w:val="0"/>
              <w:marTop w:val="0"/>
              <w:marBottom w:val="150"/>
              <w:divBdr>
                <w:top w:val="none" w:sz="0" w:space="0" w:color="auto"/>
                <w:left w:val="none" w:sz="0" w:space="0" w:color="auto"/>
                <w:bottom w:val="none" w:sz="0" w:space="0" w:color="auto"/>
                <w:right w:val="none" w:sz="0" w:space="0" w:color="auto"/>
              </w:divBdr>
            </w:div>
            <w:div w:id="484663857">
              <w:marLeft w:val="0"/>
              <w:marRight w:val="0"/>
              <w:marTop w:val="0"/>
              <w:marBottom w:val="150"/>
              <w:divBdr>
                <w:top w:val="none" w:sz="0" w:space="0" w:color="auto"/>
                <w:left w:val="none" w:sz="0" w:space="0" w:color="auto"/>
                <w:bottom w:val="none" w:sz="0" w:space="0" w:color="auto"/>
                <w:right w:val="none" w:sz="0" w:space="0" w:color="auto"/>
              </w:divBdr>
            </w:div>
            <w:div w:id="654260469">
              <w:marLeft w:val="0"/>
              <w:marRight w:val="0"/>
              <w:marTop w:val="0"/>
              <w:marBottom w:val="150"/>
              <w:divBdr>
                <w:top w:val="none" w:sz="0" w:space="0" w:color="auto"/>
                <w:left w:val="none" w:sz="0" w:space="0" w:color="auto"/>
                <w:bottom w:val="none" w:sz="0" w:space="0" w:color="auto"/>
                <w:right w:val="none" w:sz="0" w:space="0" w:color="auto"/>
              </w:divBdr>
            </w:div>
            <w:div w:id="791368598">
              <w:marLeft w:val="0"/>
              <w:marRight w:val="0"/>
              <w:marTop w:val="0"/>
              <w:marBottom w:val="150"/>
              <w:divBdr>
                <w:top w:val="none" w:sz="0" w:space="0" w:color="auto"/>
                <w:left w:val="none" w:sz="0" w:space="0" w:color="auto"/>
                <w:bottom w:val="none" w:sz="0" w:space="0" w:color="auto"/>
                <w:right w:val="none" w:sz="0" w:space="0" w:color="auto"/>
              </w:divBdr>
            </w:div>
            <w:div w:id="795148798">
              <w:marLeft w:val="0"/>
              <w:marRight w:val="0"/>
              <w:marTop w:val="0"/>
              <w:marBottom w:val="150"/>
              <w:divBdr>
                <w:top w:val="none" w:sz="0" w:space="0" w:color="auto"/>
                <w:left w:val="none" w:sz="0" w:space="0" w:color="auto"/>
                <w:bottom w:val="none" w:sz="0" w:space="0" w:color="auto"/>
                <w:right w:val="none" w:sz="0" w:space="0" w:color="auto"/>
              </w:divBdr>
            </w:div>
            <w:div w:id="1158768308">
              <w:marLeft w:val="0"/>
              <w:marRight w:val="0"/>
              <w:marTop w:val="0"/>
              <w:marBottom w:val="150"/>
              <w:divBdr>
                <w:top w:val="none" w:sz="0" w:space="0" w:color="auto"/>
                <w:left w:val="none" w:sz="0" w:space="0" w:color="auto"/>
                <w:bottom w:val="none" w:sz="0" w:space="0" w:color="auto"/>
                <w:right w:val="none" w:sz="0" w:space="0" w:color="auto"/>
              </w:divBdr>
            </w:div>
            <w:div w:id="1185022465">
              <w:marLeft w:val="0"/>
              <w:marRight w:val="0"/>
              <w:marTop w:val="0"/>
              <w:marBottom w:val="150"/>
              <w:divBdr>
                <w:top w:val="none" w:sz="0" w:space="0" w:color="auto"/>
                <w:left w:val="none" w:sz="0" w:space="0" w:color="auto"/>
                <w:bottom w:val="none" w:sz="0" w:space="0" w:color="auto"/>
                <w:right w:val="none" w:sz="0" w:space="0" w:color="auto"/>
              </w:divBdr>
            </w:div>
            <w:div w:id="1220438474">
              <w:marLeft w:val="0"/>
              <w:marRight w:val="0"/>
              <w:marTop w:val="0"/>
              <w:marBottom w:val="150"/>
              <w:divBdr>
                <w:top w:val="none" w:sz="0" w:space="0" w:color="auto"/>
                <w:left w:val="none" w:sz="0" w:space="0" w:color="auto"/>
                <w:bottom w:val="none" w:sz="0" w:space="0" w:color="auto"/>
                <w:right w:val="none" w:sz="0" w:space="0" w:color="auto"/>
              </w:divBdr>
            </w:div>
            <w:div w:id="1831872794">
              <w:marLeft w:val="0"/>
              <w:marRight w:val="0"/>
              <w:marTop w:val="0"/>
              <w:marBottom w:val="150"/>
              <w:divBdr>
                <w:top w:val="none" w:sz="0" w:space="0" w:color="auto"/>
                <w:left w:val="none" w:sz="0" w:space="0" w:color="auto"/>
                <w:bottom w:val="none" w:sz="0" w:space="0" w:color="auto"/>
                <w:right w:val="none" w:sz="0" w:space="0" w:color="auto"/>
              </w:divBdr>
            </w:div>
            <w:div w:id="1876498939">
              <w:marLeft w:val="0"/>
              <w:marRight w:val="0"/>
              <w:marTop w:val="0"/>
              <w:marBottom w:val="150"/>
              <w:divBdr>
                <w:top w:val="none" w:sz="0" w:space="0" w:color="auto"/>
                <w:left w:val="none" w:sz="0" w:space="0" w:color="auto"/>
                <w:bottom w:val="none" w:sz="0" w:space="0" w:color="auto"/>
                <w:right w:val="none" w:sz="0" w:space="0" w:color="auto"/>
              </w:divBdr>
            </w:div>
            <w:div w:id="1940524642">
              <w:marLeft w:val="0"/>
              <w:marRight w:val="0"/>
              <w:marTop w:val="0"/>
              <w:marBottom w:val="150"/>
              <w:divBdr>
                <w:top w:val="none" w:sz="0" w:space="0" w:color="auto"/>
                <w:left w:val="none" w:sz="0" w:space="0" w:color="auto"/>
                <w:bottom w:val="none" w:sz="0" w:space="0" w:color="auto"/>
                <w:right w:val="none" w:sz="0" w:space="0" w:color="auto"/>
              </w:divBdr>
            </w:div>
            <w:div w:id="1982228625">
              <w:marLeft w:val="0"/>
              <w:marRight w:val="0"/>
              <w:marTop w:val="0"/>
              <w:marBottom w:val="150"/>
              <w:divBdr>
                <w:top w:val="none" w:sz="0" w:space="0" w:color="auto"/>
                <w:left w:val="none" w:sz="0" w:space="0" w:color="auto"/>
                <w:bottom w:val="none" w:sz="0" w:space="0" w:color="auto"/>
                <w:right w:val="none" w:sz="0" w:space="0" w:color="auto"/>
              </w:divBdr>
            </w:div>
          </w:divsChild>
        </w:div>
        <w:div w:id="1961958067">
          <w:marLeft w:val="0"/>
          <w:marRight w:val="0"/>
          <w:marTop w:val="0"/>
          <w:marBottom w:val="225"/>
          <w:divBdr>
            <w:top w:val="none" w:sz="0" w:space="0" w:color="auto"/>
            <w:left w:val="none" w:sz="0" w:space="0" w:color="auto"/>
            <w:bottom w:val="none" w:sz="0" w:space="0" w:color="auto"/>
            <w:right w:val="none" w:sz="0" w:space="0" w:color="auto"/>
          </w:divBdr>
          <w:divsChild>
            <w:div w:id="577250216">
              <w:marLeft w:val="750"/>
              <w:marRight w:val="0"/>
              <w:marTop w:val="0"/>
              <w:marBottom w:val="225"/>
              <w:divBdr>
                <w:top w:val="none" w:sz="0" w:space="0" w:color="auto"/>
                <w:left w:val="none" w:sz="0" w:space="0" w:color="auto"/>
                <w:bottom w:val="none" w:sz="0" w:space="0" w:color="auto"/>
                <w:right w:val="none" w:sz="0" w:space="0" w:color="auto"/>
              </w:divBdr>
            </w:div>
          </w:divsChild>
        </w:div>
      </w:divsChild>
    </w:div>
    <w:div w:id="1213612983">
      <w:bodyDiv w:val="1"/>
      <w:marLeft w:val="0"/>
      <w:marRight w:val="0"/>
      <w:marTop w:val="0"/>
      <w:marBottom w:val="0"/>
      <w:divBdr>
        <w:top w:val="none" w:sz="0" w:space="0" w:color="auto"/>
        <w:left w:val="none" w:sz="0" w:space="0" w:color="auto"/>
        <w:bottom w:val="none" w:sz="0" w:space="0" w:color="auto"/>
        <w:right w:val="none" w:sz="0" w:space="0" w:color="auto"/>
      </w:divBdr>
      <w:divsChild>
        <w:div w:id="1693149670">
          <w:marLeft w:val="0"/>
          <w:marRight w:val="0"/>
          <w:marTop w:val="0"/>
          <w:marBottom w:val="0"/>
          <w:divBdr>
            <w:top w:val="none" w:sz="0" w:space="0" w:color="auto"/>
            <w:left w:val="none" w:sz="0" w:space="0" w:color="auto"/>
            <w:bottom w:val="none" w:sz="0" w:space="0" w:color="auto"/>
            <w:right w:val="none" w:sz="0" w:space="0" w:color="auto"/>
          </w:divBdr>
          <w:divsChild>
            <w:div w:id="1837726601">
              <w:marLeft w:val="0"/>
              <w:marRight w:val="0"/>
              <w:marTop w:val="0"/>
              <w:marBottom w:val="0"/>
              <w:divBdr>
                <w:top w:val="none" w:sz="0" w:space="0" w:color="auto"/>
                <w:left w:val="none" w:sz="0" w:space="0" w:color="auto"/>
                <w:bottom w:val="none" w:sz="0" w:space="0" w:color="auto"/>
                <w:right w:val="none" w:sz="0" w:space="0" w:color="auto"/>
              </w:divBdr>
              <w:divsChild>
                <w:div w:id="2083520958">
                  <w:marLeft w:val="0"/>
                  <w:marRight w:val="0"/>
                  <w:marTop w:val="0"/>
                  <w:marBottom w:val="0"/>
                  <w:divBdr>
                    <w:top w:val="none" w:sz="0" w:space="0" w:color="auto"/>
                    <w:left w:val="none" w:sz="0" w:space="0" w:color="auto"/>
                    <w:bottom w:val="none" w:sz="0" w:space="0" w:color="auto"/>
                    <w:right w:val="none" w:sz="0" w:space="0" w:color="auto"/>
                  </w:divBdr>
                  <w:divsChild>
                    <w:div w:id="1808932539">
                      <w:marLeft w:val="0"/>
                      <w:marRight w:val="0"/>
                      <w:marTop w:val="0"/>
                      <w:marBottom w:val="0"/>
                      <w:divBdr>
                        <w:top w:val="none" w:sz="0" w:space="0" w:color="auto"/>
                        <w:left w:val="none" w:sz="0" w:space="0" w:color="auto"/>
                        <w:bottom w:val="none" w:sz="0" w:space="0" w:color="auto"/>
                        <w:right w:val="none" w:sz="0" w:space="0" w:color="auto"/>
                      </w:divBdr>
                      <w:divsChild>
                        <w:div w:id="45030328">
                          <w:marLeft w:val="0"/>
                          <w:marRight w:val="0"/>
                          <w:marTop w:val="0"/>
                          <w:marBottom w:val="0"/>
                          <w:divBdr>
                            <w:top w:val="none" w:sz="0" w:space="0" w:color="auto"/>
                            <w:left w:val="none" w:sz="0" w:space="0" w:color="auto"/>
                            <w:bottom w:val="none" w:sz="0" w:space="0" w:color="auto"/>
                            <w:right w:val="none" w:sz="0" w:space="0" w:color="auto"/>
                          </w:divBdr>
                          <w:divsChild>
                            <w:div w:id="26878985">
                              <w:marLeft w:val="0"/>
                              <w:marRight w:val="0"/>
                              <w:marTop w:val="0"/>
                              <w:marBottom w:val="0"/>
                              <w:divBdr>
                                <w:top w:val="none" w:sz="0" w:space="0" w:color="auto"/>
                                <w:left w:val="none" w:sz="0" w:space="0" w:color="auto"/>
                                <w:bottom w:val="none" w:sz="0" w:space="0" w:color="auto"/>
                                <w:right w:val="none" w:sz="0" w:space="0" w:color="auto"/>
                              </w:divBdr>
                              <w:divsChild>
                                <w:div w:id="663831">
                                  <w:marLeft w:val="0"/>
                                  <w:marRight w:val="0"/>
                                  <w:marTop w:val="0"/>
                                  <w:marBottom w:val="0"/>
                                  <w:divBdr>
                                    <w:top w:val="none" w:sz="0" w:space="0" w:color="auto"/>
                                    <w:left w:val="none" w:sz="0" w:space="0" w:color="auto"/>
                                    <w:bottom w:val="none" w:sz="0" w:space="0" w:color="auto"/>
                                    <w:right w:val="none" w:sz="0" w:space="0" w:color="auto"/>
                                  </w:divBdr>
                                  <w:divsChild>
                                    <w:div w:id="1256786431">
                                      <w:marLeft w:val="0"/>
                                      <w:marRight w:val="0"/>
                                      <w:marTop w:val="0"/>
                                      <w:marBottom w:val="0"/>
                                      <w:divBdr>
                                        <w:top w:val="none" w:sz="0" w:space="0" w:color="auto"/>
                                        <w:left w:val="none" w:sz="0" w:space="0" w:color="auto"/>
                                        <w:bottom w:val="none" w:sz="0" w:space="0" w:color="auto"/>
                                        <w:right w:val="none" w:sz="0" w:space="0" w:color="auto"/>
                                      </w:divBdr>
                                      <w:divsChild>
                                        <w:div w:id="196545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3813212">
      <w:bodyDiv w:val="1"/>
      <w:marLeft w:val="0"/>
      <w:marRight w:val="0"/>
      <w:marTop w:val="0"/>
      <w:marBottom w:val="0"/>
      <w:divBdr>
        <w:top w:val="none" w:sz="0" w:space="0" w:color="auto"/>
        <w:left w:val="none" w:sz="0" w:space="0" w:color="auto"/>
        <w:bottom w:val="none" w:sz="0" w:space="0" w:color="auto"/>
        <w:right w:val="none" w:sz="0" w:space="0" w:color="auto"/>
      </w:divBdr>
      <w:divsChild>
        <w:div w:id="1074282876">
          <w:marLeft w:val="0"/>
          <w:marRight w:val="0"/>
          <w:marTop w:val="0"/>
          <w:marBottom w:val="0"/>
          <w:divBdr>
            <w:top w:val="none" w:sz="0" w:space="0" w:color="auto"/>
            <w:left w:val="none" w:sz="0" w:space="0" w:color="auto"/>
            <w:bottom w:val="none" w:sz="0" w:space="0" w:color="auto"/>
            <w:right w:val="none" w:sz="0" w:space="0" w:color="auto"/>
          </w:divBdr>
          <w:divsChild>
            <w:div w:id="456216490">
              <w:marLeft w:val="0"/>
              <w:marRight w:val="0"/>
              <w:marTop w:val="0"/>
              <w:marBottom w:val="0"/>
              <w:divBdr>
                <w:top w:val="none" w:sz="0" w:space="0" w:color="auto"/>
                <w:left w:val="none" w:sz="0" w:space="0" w:color="auto"/>
                <w:bottom w:val="none" w:sz="0" w:space="0" w:color="auto"/>
                <w:right w:val="none" w:sz="0" w:space="0" w:color="auto"/>
              </w:divBdr>
            </w:div>
          </w:divsChild>
        </w:div>
        <w:div w:id="1531382041">
          <w:marLeft w:val="0"/>
          <w:marRight w:val="0"/>
          <w:marTop w:val="0"/>
          <w:marBottom w:val="150"/>
          <w:divBdr>
            <w:top w:val="none" w:sz="0" w:space="0" w:color="auto"/>
            <w:left w:val="none" w:sz="0" w:space="0" w:color="auto"/>
            <w:bottom w:val="none" w:sz="0" w:space="0" w:color="auto"/>
            <w:right w:val="none" w:sz="0" w:space="0" w:color="auto"/>
          </w:divBdr>
        </w:div>
        <w:div w:id="1920556384">
          <w:marLeft w:val="0"/>
          <w:marRight w:val="0"/>
          <w:marTop w:val="0"/>
          <w:marBottom w:val="150"/>
          <w:divBdr>
            <w:top w:val="none" w:sz="0" w:space="0" w:color="auto"/>
            <w:left w:val="none" w:sz="0" w:space="0" w:color="auto"/>
            <w:bottom w:val="none" w:sz="0" w:space="0" w:color="auto"/>
            <w:right w:val="none" w:sz="0" w:space="0" w:color="auto"/>
          </w:divBdr>
          <w:divsChild>
            <w:div w:id="167734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80410">
      <w:bodyDiv w:val="1"/>
      <w:marLeft w:val="0"/>
      <w:marRight w:val="0"/>
      <w:marTop w:val="0"/>
      <w:marBottom w:val="0"/>
      <w:divBdr>
        <w:top w:val="none" w:sz="0" w:space="0" w:color="auto"/>
        <w:left w:val="none" w:sz="0" w:space="0" w:color="auto"/>
        <w:bottom w:val="none" w:sz="0" w:space="0" w:color="auto"/>
        <w:right w:val="none" w:sz="0" w:space="0" w:color="auto"/>
      </w:divBdr>
      <w:divsChild>
        <w:div w:id="533226475">
          <w:marLeft w:val="0"/>
          <w:marRight w:val="0"/>
          <w:marTop w:val="0"/>
          <w:marBottom w:val="0"/>
          <w:divBdr>
            <w:top w:val="none" w:sz="0" w:space="0" w:color="auto"/>
            <w:left w:val="none" w:sz="0" w:space="0" w:color="auto"/>
            <w:bottom w:val="none" w:sz="0" w:space="0" w:color="auto"/>
            <w:right w:val="none" w:sz="0" w:space="0" w:color="auto"/>
          </w:divBdr>
          <w:divsChild>
            <w:div w:id="1322925568">
              <w:marLeft w:val="0"/>
              <w:marRight w:val="0"/>
              <w:marTop w:val="0"/>
              <w:marBottom w:val="0"/>
              <w:divBdr>
                <w:top w:val="none" w:sz="0" w:space="0" w:color="auto"/>
                <w:left w:val="none" w:sz="0" w:space="0" w:color="auto"/>
                <w:bottom w:val="none" w:sz="0" w:space="0" w:color="auto"/>
                <w:right w:val="none" w:sz="0" w:space="0" w:color="auto"/>
              </w:divBdr>
              <w:divsChild>
                <w:div w:id="61567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847081">
          <w:marLeft w:val="0"/>
          <w:marRight w:val="0"/>
          <w:marTop w:val="0"/>
          <w:marBottom w:val="0"/>
          <w:divBdr>
            <w:top w:val="none" w:sz="0" w:space="0" w:color="auto"/>
            <w:left w:val="none" w:sz="0" w:space="0" w:color="auto"/>
            <w:bottom w:val="none" w:sz="0" w:space="0" w:color="auto"/>
            <w:right w:val="none" w:sz="0" w:space="0" w:color="auto"/>
          </w:divBdr>
        </w:div>
        <w:div w:id="1612738048">
          <w:marLeft w:val="0"/>
          <w:marRight w:val="0"/>
          <w:marTop w:val="0"/>
          <w:marBottom w:val="75"/>
          <w:divBdr>
            <w:top w:val="none" w:sz="0" w:space="0" w:color="auto"/>
            <w:left w:val="none" w:sz="0" w:space="0" w:color="auto"/>
            <w:bottom w:val="none" w:sz="0" w:space="0" w:color="auto"/>
            <w:right w:val="none" w:sz="0" w:space="0" w:color="auto"/>
          </w:divBdr>
        </w:div>
      </w:divsChild>
    </w:div>
    <w:div w:id="1213880972">
      <w:bodyDiv w:val="1"/>
      <w:marLeft w:val="0"/>
      <w:marRight w:val="0"/>
      <w:marTop w:val="0"/>
      <w:marBottom w:val="0"/>
      <w:divBdr>
        <w:top w:val="none" w:sz="0" w:space="0" w:color="auto"/>
        <w:left w:val="none" w:sz="0" w:space="0" w:color="auto"/>
        <w:bottom w:val="none" w:sz="0" w:space="0" w:color="auto"/>
        <w:right w:val="none" w:sz="0" w:space="0" w:color="auto"/>
      </w:divBdr>
      <w:divsChild>
        <w:div w:id="1080714479">
          <w:marLeft w:val="0"/>
          <w:marRight w:val="0"/>
          <w:marTop w:val="0"/>
          <w:marBottom w:val="0"/>
          <w:divBdr>
            <w:top w:val="none" w:sz="0" w:space="0" w:color="auto"/>
            <w:left w:val="none" w:sz="0" w:space="0" w:color="auto"/>
            <w:bottom w:val="none" w:sz="0" w:space="0" w:color="auto"/>
            <w:right w:val="none" w:sz="0" w:space="0" w:color="auto"/>
          </w:divBdr>
          <w:divsChild>
            <w:div w:id="1775317631">
              <w:marLeft w:val="0"/>
              <w:marRight w:val="0"/>
              <w:marTop w:val="0"/>
              <w:marBottom w:val="0"/>
              <w:divBdr>
                <w:top w:val="none" w:sz="0" w:space="0" w:color="auto"/>
                <w:left w:val="none" w:sz="0" w:space="0" w:color="auto"/>
                <w:bottom w:val="none" w:sz="0" w:space="0" w:color="auto"/>
                <w:right w:val="none" w:sz="0" w:space="0" w:color="auto"/>
              </w:divBdr>
              <w:divsChild>
                <w:div w:id="795610843">
                  <w:marLeft w:val="0"/>
                  <w:marRight w:val="0"/>
                  <w:marTop w:val="0"/>
                  <w:marBottom w:val="0"/>
                  <w:divBdr>
                    <w:top w:val="none" w:sz="0" w:space="0" w:color="auto"/>
                    <w:left w:val="none" w:sz="0" w:space="0" w:color="auto"/>
                    <w:bottom w:val="none" w:sz="0" w:space="0" w:color="auto"/>
                    <w:right w:val="none" w:sz="0" w:space="0" w:color="auto"/>
                  </w:divBdr>
                  <w:divsChild>
                    <w:div w:id="997346527">
                      <w:marLeft w:val="0"/>
                      <w:marRight w:val="0"/>
                      <w:marTop w:val="0"/>
                      <w:marBottom w:val="0"/>
                      <w:divBdr>
                        <w:top w:val="none" w:sz="0" w:space="0" w:color="auto"/>
                        <w:left w:val="none" w:sz="0" w:space="0" w:color="auto"/>
                        <w:bottom w:val="none" w:sz="0" w:space="0" w:color="auto"/>
                        <w:right w:val="none" w:sz="0" w:space="0" w:color="auto"/>
                      </w:divBdr>
                      <w:divsChild>
                        <w:div w:id="182743573">
                          <w:marLeft w:val="0"/>
                          <w:marRight w:val="0"/>
                          <w:marTop w:val="0"/>
                          <w:marBottom w:val="0"/>
                          <w:divBdr>
                            <w:top w:val="none" w:sz="0" w:space="0" w:color="auto"/>
                            <w:left w:val="none" w:sz="0" w:space="0" w:color="auto"/>
                            <w:bottom w:val="none" w:sz="0" w:space="0" w:color="auto"/>
                            <w:right w:val="none" w:sz="0" w:space="0" w:color="auto"/>
                          </w:divBdr>
                          <w:divsChild>
                            <w:div w:id="1040279619">
                              <w:marLeft w:val="0"/>
                              <w:marRight w:val="0"/>
                              <w:marTop w:val="0"/>
                              <w:marBottom w:val="0"/>
                              <w:divBdr>
                                <w:top w:val="none" w:sz="0" w:space="0" w:color="auto"/>
                                <w:left w:val="none" w:sz="0" w:space="0" w:color="auto"/>
                                <w:bottom w:val="none" w:sz="0" w:space="0" w:color="auto"/>
                                <w:right w:val="none" w:sz="0" w:space="0" w:color="auto"/>
                              </w:divBdr>
                              <w:divsChild>
                                <w:div w:id="263149976">
                                  <w:marLeft w:val="0"/>
                                  <w:marRight w:val="0"/>
                                  <w:marTop w:val="0"/>
                                  <w:marBottom w:val="0"/>
                                  <w:divBdr>
                                    <w:top w:val="none" w:sz="0" w:space="0" w:color="auto"/>
                                    <w:left w:val="none" w:sz="0" w:space="0" w:color="auto"/>
                                    <w:bottom w:val="none" w:sz="0" w:space="0" w:color="auto"/>
                                    <w:right w:val="none" w:sz="0" w:space="0" w:color="auto"/>
                                  </w:divBdr>
                                  <w:divsChild>
                                    <w:div w:id="526524215">
                                      <w:marLeft w:val="0"/>
                                      <w:marRight w:val="0"/>
                                      <w:marTop w:val="0"/>
                                      <w:marBottom w:val="0"/>
                                      <w:divBdr>
                                        <w:top w:val="none" w:sz="0" w:space="0" w:color="auto"/>
                                        <w:left w:val="none" w:sz="0" w:space="0" w:color="auto"/>
                                        <w:bottom w:val="none" w:sz="0" w:space="0" w:color="auto"/>
                                        <w:right w:val="none" w:sz="0" w:space="0" w:color="auto"/>
                                      </w:divBdr>
                                      <w:divsChild>
                                        <w:div w:id="12897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3999656">
      <w:bodyDiv w:val="1"/>
      <w:marLeft w:val="0"/>
      <w:marRight w:val="0"/>
      <w:marTop w:val="0"/>
      <w:marBottom w:val="0"/>
      <w:divBdr>
        <w:top w:val="none" w:sz="0" w:space="0" w:color="auto"/>
        <w:left w:val="none" w:sz="0" w:space="0" w:color="auto"/>
        <w:bottom w:val="none" w:sz="0" w:space="0" w:color="auto"/>
        <w:right w:val="none" w:sz="0" w:space="0" w:color="auto"/>
      </w:divBdr>
    </w:div>
    <w:div w:id="1214730668">
      <w:bodyDiv w:val="1"/>
      <w:marLeft w:val="0"/>
      <w:marRight w:val="0"/>
      <w:marTop w:val="0"/>
      <w:marBottom w:val="0"/>
      <w:divBdr>
        <w:top w:val="none" w:sz="0" w:space="0" w:color="auto"/>
        <w:left w:val="none" w:sz="0" w:space="0" w:color="auto"/>
        <w:bottom w:val="none" w:sz="0" w:space="0" w:color="auto"/>
        <w:right w:val="none" w:sz="0" w:space="0" w:color="auto"/>
      </w:divBdr>
      <w:divsChild>
        <w:div w:id="597298105">
          <w:marLeft w:val="0"/>
          <w:marRight w:val="0"/>
          <w:marTop w:val="0"/>
          <w:marBottom w:val="0"/>
          <w:divBdr>
            <w:top w:val="none" w:sz="0" w:space="0" w:color="auto"/>
            <w:left w:val="none" w:sz="0" w:space="0" w:color="auto"/>
            <w:bottom w:val="none" w:sz="0" w:space="0" w:color="auto"/>
            <w:right w:val="none" w:sz="0" w:space="0" w:color="auto"/>
          </w:divBdr>
          <w:divsChild>
            <w:div w:id="1970932134">
              <w:marLeft w:val="0"/>
              <w:marRight w:val="0"/>
              <w:marTop w:val="0"/>
              <w:marBottom w:val="0"/>
              <w:divBdr>
                <w:top w:val="none" w:sz="0" w:space="0" w:color="auto"/>
                <w:left w:val="none" w:sz="0" w:space="0" w:color="auto"/>
                <w:bottom w:val="none" w:sz="0" w:space="0" w:color="auto"/>
                <w:right w:val="none" w:sz="0" w:space="0" w:color="auto"/>
              </w:divBdr>
              <w:divsChild>
                <w:div w:id="1581406097">
                  <w:marLeft w:val="0"/>
                  <w:marRight w:val="0"/>
                  <w:marTop w:val="0"/>
                  <w:marBottom w:val="0"/>
                  <w:divBdr>
                    <w:top w:val="none" w:sz="0" w:space="0" w:color="auto"/>
                    <w:left w:val="none" w:sz="0" w:space="0" w:color="auto"/>
                    <w:bottom w:val="none" w:sz="0" w:space="0" w:color="auto"/>
                    <w:right w:val="none" w:sz="0" w:space="0" w:color="auto"/>
                  </w:divBdr>
                  <w:divsChild>
                    <w:div w:id="457646815">
                      <w:marLeft w:val="0"/>
                      <w:marRight w:val="0"/>
                      <w:marTop w:val="0"/>
                      <w:marBottom w:val="0"/>
                      <w:divBdr>
                        <w:top w:val="none" w:sz="0" w:space="0" w:color="auto"/>
                        <w:left w:val="none" w:sz="0" w:space="0" w:color="auto"/>
                        <w:bottom w:val="none" w:sz="0" w:space="0" w:color="auto"/>
                        <w:right w:val="none" w:sz="0" w:space="0" w:color="auto"/>
                      </w:divBdr>
                      <w:divsChild>
                        <w:div w:id="56170198">
                          <w:marLeft w:val="0"/>
                          <w:marRight w:val="0"/>
                          <w:marTop w:val="0"/>
                          <w:marBottom w:val="0"/>
                          <w:divBdr>
                            <w:top w:val="none" w:sz="0" w:space="0" w:color="auto"/>
                            <w:left w:val="none" w:sz="0" w:space="0" w:color="auto"/>
                            <w:bottom w:val="none" w:sz="0" w:space="0" w:color="auto"/>
                            <w:right w:val="none" w:sz="0" w:space="0" w:color="auto"/>
                          </w:divBdr>
                          <w:divsChild>
                            <w:div w:id="296222917">
                              <w:marLeft w:val="0"/>
                              <w:marRight w:val="0"/>
                              <w:marTop w:val="0"/>
                              <w:marBottom w:val="0"/>
                              <w:divBdr>
                                <w:top w:val="none" w:sz="0" w:space="0" w:color="auto"/>
                                <w:left w:val="none" w:sz="0" w:space="0" w:color="auto"/>
                                <w:bottom w:val="none" w:sz="0" w:space="0" w:color="auto"/>
                                <w:right w:val="none" w:sz="0" w:space="0" w:color="auto"/>
                              </w:divBdr>
                              <w:divsChild>
                                <w:div w:id="415127375">
                                  <w:marLeft w:val="0"/>
                                  <w:marRight w:val="0"/>
                                  <w:marTop w:val="0"/>
                                  <w:marBottom w:val="0"/>
                                  <w:divBdr>
                                    <w:top w:val="none" w:sz="0" w:space="0" w:color="auto"/>
                                    <w:left w:val="none" w:sz="0" w:space="0" w:color="auto"/>
                                    <w:bottom w:val="none" w:sz="0" w:space="0" w:color="auto"/>
                                    <w:right w:val="none" w:sz="0" w:space="0" w:color="auto"/>
                                  </w:divBdr>
                                  <w:divsChild>
                                    <w:div w:id="2089379571">
                                      <w:marLeft w:val="0"/>
                                      <w:marRight w:val="0"/>
                                      <w:marTop w:val="0"/>
                                      <w:marBottom w:val="0"/>
                                      <w:divBdr>
                                        <w:top w:val="none" w:sz="0" w:space="0" w:color="auto"/>
                                        <w:left w:val="none" w:sz="0" w:space="0" w:color="auto"/>
                                        <w:bottom w:val="none" w:sz="0" w:space="0" w:color="auto"/>
                                        <w:right w:val="none" w:sz="0" w:space="0" w:color="auto"/>
                                      </w:divBdr>
                                      <w:divsChild>
                                        <w:div w:id="146823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4732257">
      <w:bodyDiv w:val="1"/>
      <w:marLeft w:val="0"/>
      <w:marRight w:val="0"/>
      <w:marTop w:val="0"/>
      <w:marBottom w:val="0"/>
      <w:divBdr>
        <w:top w:val="none" w:sz="0" w:space="0" w:color="auto"/>
        <w:left w:val="none" w:sz="0" w:space="0" w:color="auto"/>
        <w:bottom w:val="none" w:sz="0" w:space="0" w:color="auto"/>
        <w:right w:val="none" w:sz="0" w:space="0" w:color="auto"/>
      </w:divBdr>
      <w:divsChild>
        <w:div w:id="2009357427">
          <w:marLeft w:val="0"/>
          <w:marRight w:val="0"/>
          <w:marTop w:val="0"/>
          <w:marBottom w:val="0"/>
          <w:divBdr>
            <w:top w:val="none" w:sz="0" w:space="0" w:color="auto"/>
            <w:left w:val="none" w:sz="0" w:space="0" w:color="auto"/>
            <w:bottom w:val="none" w:sz="0" w:space="0" w:color="auto"/>
            <w:right w:val="none" w:sz="0" w:space="0" w:color="auto"/>
          </w:divBdr>
        </w:div>
      </w:divsChild>
    </w:div>
    <w:div w:id="1214733009">
      <w:bodyDiv w:val="1"/>
      <w:marLeft w:val="0"/>
      <w:marRight w:val="0"/>
      <w:marTop w:val="0"/>
      <w:marBottom w:val="0"/>
      <w:divBdr>
        <w:top w:val="none" w:sz="0" w:space="0" w:color="auto"/>
        <w:left w:val="none" w:sz="0" w:space="0" w:color="auto"/>
        <w:bottom w:val="none" w:sz="0" w:space="0" w:color="auto"/>
        <w:right w:val="none" w:sz="0" w:space="0" w:color="auto"/>
      </w:divBdr>
      <w:divsChild>
        <w:div w:id="2110543263">
          <w:marLeft w:val="0"/>
          <w:marRight w:val="0"/>
          <w:marTop w:val="0"/>
          <w:marBottom w:val="0"/>
          <w:divBdr>
            <w:top w:val="none" w:sz="0" w:space="0" w:color="auto"/>
            <w:left w:val="none" w:sz="0" w:space="0" w:color="auto"/>
            <w:bottom w:val="dotted" w:sz="6" w:space="4" w:color="DDDDDD"/>
            <w:right w:val="none" w:sz="0" w:space="0" w:color="auto"/>
          </w:divBdr>
          <w:divsChild>
            <w:div w:id="11017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30700">
      <w:bodyDiv w:val="1"/>
      <w:marLeft w:val="0"/>
      <w:marRight w:val="0"/>
      <w:marTop w:val="0"/>
      <w:marBottom w:val="0"/>
      <w:divBdr>
        <w:top w:val="none" w:sz="0" w:space="0" w:color="auto"/>
        <w:left w:val="none" w:sz="0" w:space="0" w:color="auto"/>
        <w:bottom w:val="none" w:sz="0" w:space="0" w:color="auto"/>
        <w:right w:val="none" w:sz="0" w:space="0" w:color="auto"/>
      </w:divBdr>
    </w:div>
    <w:div w:id="1215192955">
      <w:bodyDiv w:val="1"/>
      <w:marLeft w:val="0"/>
      <w:marRight w:val="0"/>
      <w:marTop w:val="0"/>
      <w:marBottom w:val="0"/>
      <w:divBdr>
        <w:top w:val="none" w:sz="0" w:space="0" w:color="auto"/>
        <w:left w:val="none" w:sz="0" w:space="0" w:color="auto"/>
        <w:bottom w:val="none" w:sz="0" w:space="0" w:color="auto"/>
        <w:right w:val="none" w:sz="0" w:space="0" w:color="auto"/>
      </w:divBdr>
    </w:div>
    <w:div w:id="1215652329">
      <w:bodyDiv w:val="1"/>
      <w:marLeft w:val="0"/>
      <w:marRight w:val="0"/>
      <w:marTop w:val="0"/>
      <w:marBottom w:val="0"/>
      <w:divBdr>
        <w:top w:val="none" w:sz="0" w:space="0" w:color="auto"/>
        <w:left w:val="none" w:sz="0" w:space="0" w:color="auto"/>
        <w:bottom w:val="none" w:sz="0" w:space="0" w:color="auto"/>
        <w:right w:val="none" w:sz="0" w:space="0" w:color="auto"/>
      </w:divBdr>
      <w:divsChild>
        <w:div w:id="1857453164">
          <w:marLeft w:val="0"/>
          <w:marRight w:val="0"/>
          <w:marTop w:val="0"/>
          <w:marBottom w:val="0"/>
          <w:divBdr>
            <w:top w:val="none" w:sz="0" w:space="0" w:color="auto"/>
            <w:left w:val="none" w:sz="0" w:space="0" w:color="auto"/>
            <w:bottom w:val="none" w:sz="0" w:space="0" w:color="auto"/>
            <w:right w:val="none" w:sz="0" w:space="0" w:color="auto"/>
          </w:divBdr>
          <w:divsChild>
            <w:div w:id="1243753688">
              <w:marLeft w:val="0"/>
              <w:marRight w:val="0"/>
              <w:marTop w:val="0"/>
              <w:marBottom w:val="0"/>
              <w:divBdr>
                <w:top w:val="none" w:sz="0" w:space="0" w:color="auto"/>
                <w:left w:val="none" w:sz="0" w:space="0" w:color="auto"/>
                <w:bottom w:val="none" w:sz="0" w:space="0" w:color="auto"/>
                <w:right w:val="none" w:sz="0" w:space="0" w:color="auto"/>
              </w:divBdr>
              <w:divsChild>
                <w:div w:id="61972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958968">
          <w:marLeft w:val="0"/>
          <w:marRight w:val="0"/>
          <w:marTop w:val="0"/>
          <w:marBottom w:val="75"/>
          <w:divBdr>
            <w:top w:val="none" w:sz="0" w:space="0" w:color="auto"/>
            <w:left w:val="none" w:sz="0" w:space="0" w:color="auto"/>
            <w:bottom w:val="none" w:sz="0" w:space="0" w:color="auto"/>
            <w:right w:val="none" w:sz="0" w:space="0" w:color="auto"/>
          </w:divBdr>
        </w:div>
        <w:div w:id="1572156852">
          <w:marLeft w:val="0"/>
          <w:marRight w:val="0"/>
          <w:marTop w:val="0"/>
          <w:marBottom w:val="0"/>
          <w:divBdr>
            <w:top w:val="none" w:sz="0" w:space="0" w:color="auto"/>
            <w:left w:val="none" w:sz="0" w:space="0" w:color="auto"/>
            <w:bottom w:val="none" w:sz="0" w:space="0" w:color="auto"/>
            <w:right w:val="none" w:sz="0" w:space="0" w:color="auto"/>
          </w:divBdr>
          <w:divsChild>
            <w:div w:id="1919516119">
              <w:marLeft w:val="0"/>
              <w:marRight w:val="0"/>
              <w:marTop w:val="0"/>
              <w:marBottom w:val="0"/>
              <w:divBdr>
                <w:top w:val="none" w:sz="0" w:space="0" w:color="auto"/>
                <w:left w:val="none" w:sz="0" w:space="0" w:color="auto"/>
                <w:bottom w:val="none" w:sz="0" w:space="0" w:color="auto"/>
                <w:right w:val="none" w:sz="0" w:space="0" w:color="auto"/>
              </w:divBdr>
              <w:divsChild>
                <w:div w:id="727069796">
                  <w:marLeft w:val="0"/>
                  <w:marRight w:val="0"/>
                  <w:marTop w:val="0"/>
                  <w:marBottom w:val="300"/>
                  <w:divBdr>
                    <w:top w:val="none" w:sz="0" w:space="0" w:color="auto"/>
                    <w:left w:val="none" w:sz="0" w:space="0" w:color="auto"/>
                    <w:bottom w:val="none" w:sz="0" w:space="0" w:color="auto"/>
                    <w:right w:val="none" w:sz="0" w:space="0" w:color="auto"/>
                  </w:divBdr>
                  <w:divsChild>
                    <w:div w:id="1949302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15774827">
      <w:bodyDiv w:val="1"/>
      <w:marLeft w:val="0"/>
      <w:marRight w:val="0"/>
      <w:marTop w:val="0"/>
      <w:marBottom w:val="0"/>
      <w:divBdr>
        <w:top w:val="none" w:sz="0" w:space="0" w:color="auto"/>
        <w:left w:val="none" w:sz="0" w:space="0" w:color="auto"/>
        <w:bottom w:val="none" w:sz="0" w:space="0" w:color="auto"/>
        <w:right w:val="none" w:sz="0" w:space="0" w:color="auto"/>
      </w:divBdr>
    </w:div>
    <w:div w:id="1216118002">
      <w:bodyDiv w:val="1"/>
      <w:marLeft w:val="0"/>
      <w:marRight w:val="0"/>
      <w:marTop w:val="0"/>
      <w:marBottom w:val="0"/>
      <w:divBdr>
        <w:top w:val="none" w:sz="0" w:space="0" w:color="auto"/>
        <w:left w:val="none" w:sz="0" w:space="0" w:color="auto"/>
        <w:bottom w:val="none" w:sz="0" w:space="0" w:color="auto"/>
        <w:right w:val="none" w:sz="0" w:space="0" w:color="auto"/>
      </w:divBdr>
      <w:divsChild>
        <w:div w:id="615988467">
          <w:marLeft w:val="0"/>
          <w:marRight w:val="0"/>
          <w:marTop w:val="0"/>
          <w:marBottom w:val="0"/>
          <w:divBdr>
            <w:top w:val="none" w:sz="0" w:space="0" w:color="auto"/>
            <w:left w:val="none" w:sz="0" w:space="0" w:color="auto"/>
            <w:bottom w:val="none" w:sz="0" w:space="0" w:color="auto"/>
            <w:right w:val="none" w:sz="0" w:space="0" w:color="auto"/>
          </w:divBdr>
          <w:divsChild>
            <w:div w:id="151257836">
              <w:marLeft w:val="0"/>
              <w:marRight w:val="0"/>
              <w:marTop w:val="0"/>
              <w:marBottom w:val="0"/>
              <w:divBdr>
                <w:top w:val="none" w:sz="0" w:space="0" w:color="auto"/>
                <w:left w:val="none" w:sz="0" w:space="0" w:color="auto"/>
                <w:bottom w:val="none" w:sz="0" w:space="0" w:color="auto"/>
                <w:right w:val="none" w:sz="0" w:space="0" w:color="auto"/>
              </w:divBdr>
              <w:divsChild>
                <w:div w:id="1175614916">
                  <w:marLeft w:val="0"/>
                  <w:marRight w:val="0"/>
                  <w:marTop w:val="0"/>
                  <w:marBottom w:val="0"/>
                  <w:divBdr>
                    <w:top w:val="none" w:sz="0" w:space="0" w:color="auto"/>
                    <w:left w:val="none" w:sz="0" w:space="0" w:color="auto"/>
                    <w:bottom w:val="none" w:sz="0" w:space="0" w:color="auto"/>
                    <w:right w:val="none" w:sz="0" w:space="0" w:color="auto"/>
                  </w:divBdr>
                  <w:divsChild>
                    <w:div w:id="1563785386">
                      <w:marLeft w:val="0"/>
                      <w:marRight w:val="0"/>
                      <w:marTop w:val="0"/>
                      <w:marBottom w:val="0"/>
                      <w:divBdr>
                        <w:top w:val="none" w:sz="0" w:space="0" w:color="auto"/>
                        <w:left w:val="none" w:sz="0" w:space="0" w:color="auto"/>
                        <w:bottom w:val="none" w:sz="0" w:space="0" w:color="auto"/>
                        <w:right w:val="none" w:sz="0" w:space="0" w:color="auto"/>
                      </w:divBdr>
                      <w:divsChild>
                        <w:div w:id="1454013444">
                          <w:marLeft w:val="0"/>
                          <w:marRight w:val="0"/>
                          <w:marTop w:val="0"/>
                          <w:marBottom w:val="0"/>
                          <w:divBdr>
                            <w:top w:val="none" w:sz="0" w:space="0" w:color="auto"/>
                            <w:left w:val="none" w:sz="0" w:space="0" w:color="auto"/>
                            <w:bottom w:val="none" w:sz="0" w:space="0" w:color="auto"/>
                            <w:right w:val="none" w:sz="0" w:space="0" w:color="auto"/>
                          </w:divBdr>
                          <w:divsChild>
                            <w:div w:id="1307857121">
                              <w:marLeft w:val="0"/>
                              <w:marRight w:val="0"/>
                              <w:marTop w:val="0"/>
                              <w:marBottom w:val="0"/>
                              <w:divBdr>
                                <w:top w:val="none" w:sz="0" w:space="0" w:color="auto"/>
                                <w:left w:val="none" w:sz="0" w:space="0" w:color="auto"/>
                                <w:bottom w:val="none" w:sz="0" w:space="0" w:color="auto"/>
                                <w:right w:val="none" w:sz="0" w:space="0" w:color="auto"/>
                              </w:divBdr>
                              <w:divsChild>
                                <w:div w:id="2108109990">
                                  <w:marLeft w:val="0"/>
                                  <w:marRight w:val="0"/>
                                  <w:marTop w:val="0"/>
                                  <w:marBottom w:val="0"/>
                                  <w:divBdr>
                                    <w:top w:val="none" w:sz="0" w:space="0" w:color="auto"/>
                                    <w:left w:val="none" w:sz="0" w:space="0" w:color="auto"/>
                                    <w:bottom w:val="none" w:sz="0" w:space="0" w:color="auto"/>
                                    <w:right w:val="none" w:sz="0" w:space="0" w:color="auto"/>
                                  </w:divBdr>
                                  <w:divsChild>
                                    <w:div w:id="41713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503212">
      <w:bodyDiv w:val="1"/>
      <w:marLeft w:val="0"/>
      <w:marRight w:val="0"/>
      <w:marTop w:val="0"/>
      <w:marBottom w:val="0"/>
      <w:divBdr>
        <w:top w:val="none" w:sz="0" w:space="0" w:color="auto"/>
        <w:left w:val="none" w:sz="0" w:space="0" w:color="auto"/>
        <w:bottom w:val="none" w:sz="0" w:space="0" w:color="auto"/>
        <w:right w:val="none" w:sz="0" w:space="0" w:color="auto"/>
      </w:divBdr>
      <w:divsChild>
        <w:div w:id="1266230900">
          <w:marLeft w:val="0"/>
          <w:marRight w:val="0"/>
          <w:marTop w:val="0"/>
          <w:marBottom w:val="0"/>
          <w:divBdr>
            <w:top w:val="none" w:sz="0" w:space="0" w:color="auto"/>
            <w:left w:val="none" w:sz="0" w:space="0" w:color="auto"/>
            <w:bottom w:val="dotted" w:sz="6" w:space="4" w:color="DDDDDD"/>
            <w:right w:val="none" w:sz="0" w:space="0" w:color="auto"/>
          </w:divBdr>
        </w:div>
      </w:divsChild>
    </w:div>
    <w:div w:id="1217084986">
      <w:bodyDiv w:val="1"/>
      <w:marLeft w:val="0"/>
      <w:marRight w:val="0"/>
      <w:marTop w:val="0"/>
      <w:marBottom w:val="0"/>
      <w:divBdr>
        <w:top w:val="none" w:sz="0" w:space="0" w:color="auto"/>
        <w:left w:val="none" w:sz="0" w:space="0" w:color="auto"/>
        <w:bottom w:val="none" w:sz="0" w:space="0" w:color="auto"/>
        <w:right w:val="none" w:sz="0" w:space="0" w:color="auto"/>
      </w:divBdr>
      <w:divsChild>
        <w:div w:id="1858235104">
          <w:marLeft w:val="0"/>
          <w:marRight w:val="0"/>
          <w:marTop w:val="0"/>
          <w:marBottom w:val="0"/>
          <w:divBdr>
            <w:top w:val="none" w:sz="0" w:space="0" w:color="auto"/>
            <w:left w:val="none" w:sz="0" w:space="0" w:color="auto"/>
            <w:bottom w:val="none" w:sz="0" w:space="0" w:color="auto"/>
            <w:right w:val="none" w:sz="0" w:space="0" w:color="auto"/>
          </w:divBdr>
          <w:divsChild>
            <w:div w:id="615064374">
              <w:marLeft w:val="0"/>
              <w:marRight w:val="0"/>
              <w:marTop w:val="0"/>
              <w:marBottom w:val="0"/>
              <w:divBdr>
                <w:top w:val="none" w:sz="0" w:space="0" w:color="auto"/>
                <w:left w:val="none" w:sz="0" w:space="0" w:color="auto"/>
                <w:bottom w:val="none" w:sz="0" w:space="0" w:color="auto"/>
                <w:right w:val="none" w:sz="0" w:space="0" w:color="auto"/>
              </w:divBdr>
              <w:divsChild>
                <w:div w:id="2055228299">
                  <w:marLeft w:val="0"/>
                  <w:marRight w:val="0"/>
                  <w:marTop w:val="0"/>
                  <w:marBottom w:val="150"/>
                  <w:divBdr>
                    <w:top w:val="none" w:sz="0" w:space="0" w:color="auto"/>
                    <w:left w:val="none" w:sz="0" w:space="0" w:color="auto"/>
                    <w:bottom w:val="none" w:sz="0" w:space="0" w:color="auto"/>
                    <w:right w:val="none" w:sz="0" w:space="0" w:color="auto"/>
                  </w:divBdr>
                  <w:divsChild>
                    <w:div w:id="2132746315">
                      <w:marLeft w:val="0"/>
                      <w:marRight w:val="0"/>
                      <w:marTop w:val="0"/>
                      <w:marBottom w:val="0"/>
                      <w:divBdr>
                        <w:top w:val="none" w:sz="0" w:space="0" w:color="auto"/>
                        <w:left w:val="none" w:sz="0" w:space="0" w:color="auto"/>
                        <w:bottom w:val="none" w:sz="0" w:space="0" w:color="auto"/>
                        <w:right w:val="none" w:sz="0" w:space="0" w:color="auto"/>
                      </w:divBdr>
                      <w:divsChild>
                        <w:div w:id="443891046">
                          <w:marLeft w:val="0"/>
                          <w:marRight w:val="0"/>
                          <w:marTop w:val="0"/>
                          <w:marBottom w:val="0"/>
                          <w:divBdr>
                            <w:top w:val="none" w:sz="0" w:space="0" w:color="auto"/>
                            <w:left w:val="none" w:sz="0" w:space="0" w:color="auto"/>
                            <w:bottom w:val="none" w:sz="0" w:space="0" w:color="auto"/>
                            <w:right w:val="none" w:sz="0" w:space="0" w:color="auto"/>
                          </w:divBdr>
                          <w:divsChild>
                            <w:div w:id="534192234">
                              <w:marLeft w:val="0"/>
                              <w:marRight w:val="0"/>
                              <w:marTop w:val="0"/>
                              <w:marBottom w:val="0"/>
                              <w:divBdr>
                                <w:top w:val="none" w:sz="0" w:space="0" w:color="auto"/>
                                <w:left w:val="none" w:sz="0" w:space="0" w:color="auto"/>
                                <w:bottom w:val="none" w:sz="0" w:space="0" w:color="auto"/>
                                <w:right w:val="none" w:sz="0" w:space="0" w:color="auto"/>
                              </w:divBdr>
                              <w:divsChild>
                                <w:div w:id="163013490">
                                  <w:marLeft w:val="0"/>
                                  <w:marRight w:val="0"/>
                                  <w:marTop w:val="0"/>
                                  <w:marBottom w:val="0"/>
                                  <w:divBdr>
                                    <w:top w:val="none" w:sz="0" w:space="0" w:color="auto"/>
                                    <w:left w:val="none" w:sz="0" w:space="0" w:color="auto"/>
                                    <w:bottom w:val="none" w:sz="0" w:space="0" w:color="auto"/>
                                    <w:right w:val="none" w:sz="0" w:space="0" w:color="auto"/>
                                  </w:divBdr>
                                  <w:divsChild>
                                    <w:div w:id="466894462">
                                      <w:marLeft w:val="0"/>
                                      <w:marRight w:val="0"/>
                                      <w:marTop w:val="0"/>
                                      <w:marBottom w:val="0"/>
                                      <w:divBdr>
                                        <w:top w:val="none" w:sz="0" w:space="0" w:color="auto"/>
                                        <w:left w:val="none" w:sz="0" w:space="0" w:color="auto"/>
                                        <w:bottom w:val="none" w:sz="0" w:space="0" w:color="auto"/>
                                        <w:right w:val="none" w:sz="0" w:space="0" w:color="auto"/>
                                      </w:divBdr>
                                      <w:divsChild>
                                        <w:div w:id="918249803">
                                          <w:marLeft w:val="0"/>
                                          <w:marRight w:val="0"/>
                                          <w:marTop w:val="0"/>
                                          <w:marBottom w:val="0"/>
                                          <w:divBdr>
                                            <w:top w:val="none" w:sz="0" w:space="0" w:color="auto"/>
                                            <w:left w:val="none" w:sz="0" w:space="0" w:color="auto"/>
                                            <w:bottom w:val="none" w:sz="0" w:space="0" w:color="auto"/>
                                            <w:right w:val="none" w:sz="0" w:space="0" w:color="auto"/>
                                          </w:divBdr>
                                          <w:divsChild>
                                            <w:div w:id="980844291">
                                              <w:marLeft w:val="0"/>
                                              <w:marRight w:val="0"/>
                                              <w:marTop w:val="0"/>
                                              <w:marBottom w:val="0"/>
                                              <w:divBdr>
                                                <w:top w:val="none" w:sz="0" w:space="0" w:color="auto"/>
                                                <w:left w:val="none" w:sz="0" w:space="0" w:color="auto"/>
                                                <w:bottom w:val="none" w:sz="0" w:space="0" w:color="auto"/>
                                                <w:right w:val="none" w:sz="0" w:space="0" w:color="auto"/>
                                              </w:divBdr>
                                              <w:divsChild>
                                                <w:div w:id="4379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7275859">
      <w:bodyDiv w:val="1"/>
      <w:marLeft w:val="0"/>
      <w:marRight w:val="0"/>
      <w:marTop w:val="0"/>
      <w:marBottom w:val="0"/>
      <w:divBdr>
        <w:top w:val="none" w:sz="0" w:space="0" w:color="auto"/>
        <w:left w:val="none" w:sz="0" w:space="0" w:color="auto"/>
        <w:bottom w:val="none" w:sz="0" w:space="0" w:color="auto"/>
        <w:right w:val="none" w:sz="0" w:space="0" w:color="auto"/>
      </w:divBdr>
      <w:divsChild>
        <w:div w:id="1333796022">
          <w:marLeft w:val="0"/>
          <w:marRight w:val="0"/>
          <w:marTop w:val="150"/>
          <w:marBottom w:val="0"/>
          <w:divBdr>
            <w:top w:val="none" w:sz="0" w:space="0" w:color="auto"/>
            <w:left w:val="none" w:sz="0" w:space="0" w:color="auto"/>
            <w:bottom w:val="none" w:sz="0" w:space="0" w:color="auto"/>
            <w:right w:val="none" w:sz="0" w:space="0" w:color="auto"/>
          </w:divBdr>
          <w:divsChild>
            <w:div w:id="1697660511">
              <w:marLeft w:val="0"/>
              <w:marRight w:val="0"/>
              <w:marTop w:val="0"/>
              <w:marBottom w:val="0"/>
              <w:divBdr>
                <w:top w:val="none" w:sz="0" w:space="0" w:color="auto"/>
                <w:left w:val="none" w:sz="0" w:space="0" w:color="auto"/>
                <w:bottom w:val="none" w:sz="0" w:space="0" w:color="auto"/>
                <w:right w:val="none" w:sz="0" w:space="0" w:color="auto"/>
              </w:divBdr>
              <w:divsChild>
                <w:div w:id="118686696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23182113">
          <w:marLeft w:val="0"/>
          <w:marRight w:val="0"/>
          <w:marTop w:val="0"/>
          <w:marBottom w:val="0"/>
          <w:divBdr>
            <w:top w:val="none" w:sz="0" w:space="0" w:color="auto"/>
            <w:left w:val="none" w:sz="0" w:space="0" w:color="auto"/>
            <w:bottom w:val="none" w:sz="0" w:space="0" w:color="auto"/>
            <w:right w:val="none" w:sz="0" w:space="0" w:color="auto"/>
          </w:divBdr>
          <w:divsChild>
            <w:div w:id="402915984">
              <w:marLeft w:val="0"/>
              <w:marRight w:val="0"/>
              <w:marTop w:val="0"/>
              <w:marBottom w:val="0"/>
              <w:divBdr>
                <w:top w:val="none" w:sz="0" w:space="0" w:color="auto"/>
                <w:left w:val="none" w:sz="0" w:space="0" w:color="auto"/>
                <w:bottom w:val="none" w:sz="0" w:space="0" w:color="auto"/>
                <w:right w:val="none" w:sz="0" w:space="0" w:color="auto"/>
              </w:divBdr>
              <w:divsChild>
                <w:div w:id="661280381">
                  <w:marLeft w:val="0"/>
                  <w:marRight w:val="0"/>
                  <w:marTop w:val="0"/>
                  <w:marBottom w:val="0"/>
                  <w:divBdr>
                    <w:top w:val="none" w:sz="0" w:space="0" w:color="auto"/>
                    <w:left w:val="none" w:sz="0" w:space="0" w:color="auto"/>
                    <w:bottom w:val="none" w:sz="0" w:space="0" w:color="auto"/>
                    <w:right w:val="none" w:sz="0" w:space="0" w:color="auto"/>
                  </w:divBdr>
                  <w:divsChild>
                    <w:div w:id="1915893264">
                      <w:marLeft w:val="0"/>
                      <w:marRight w:val="0"/>
                      <w:marTop w:val="0"/>
                      <w:marBottom w:val="0"/>
                      <w:divBdr>
                        <w:top w:val="none" w:sz="0" w:space="0" w:color="auto"/>
                        <w:left w:val="none" w:sz="0" w:space="0" w:color="auto"/>
                        <w:bottom w:val="none" w:sz="0" w:space="0" w:color="auto"/>
                        <w:right w:val="none" w:sz="0" w:space="0" w:color="auto"/>
                      </w:divBdr>
                      <w:divsChild>
                        <w:div w:id="110631250">
                          <w:marLeft w:val="0"/>
                          <w:marRight w:val="0"/>
                          <w:marTop w:val="225"/>
                          <w:marBottom w:val="150"/>
                          <w:divBdr>
                            <w:top w:val="none" w:sz="0" w:space="4" w:color="auto"/>
                            <w:left w:val="none" w:sz="0" w:space="0" w:color="auto"/>
                            <w:bottom w:val="single" w:sz="6" w:space="4" w:color="CECECE"/>
                            <w:right w:val="none" w:sz="0" w:space="0" w:color="auto"/>
                          </w:divBdr>
                          <w:divsChild>
                            <w:div w:id="324170607">
                              <w:marLeft w:val="0"/>
                              <w:marRight w:val="0"/>
                              <w:marTop w:val="75"/>
                              <w:marBottom w:val="75"/>
                              <w:divBdr>
                                <w:top w:val="none" w:sz="0" w:space="0" w:color="auto"/>
                                <w:left w:val="none" w:sz="0" w:space="0" w:color="auto"/>
                                <w:bottom w:val="none" w:sz="0" w:space="0" w:color="auto"/>
                                <w:right w:val="none" w:sz="0" w:space="0" w:color="auto"/>
                              </w:divBdr>
                              <w:divsChild>
                                <w:div w:id="838540167">
                                  <w:marLeft w:val="0"/>
                                  <w:marRight w:val="0"/>
                                  <w:marTop w:val="45"/>
                                  <w:marBottom w:val="0"/>
                                  <w:divBdr>
                                    <w:top w:val="none" w:sz="0" w:space="0" w:color="auto"/>
                                    <w:left w:val="none" w:sz="0" w:space="0" w:color="auto"/>
                                    <w:bottom w:val="none" w:sz="0" w:space="0" w:color="auto"/>
                                    <w:right w:val="none" w:sz="0" w:space="0" w:color="auto"/>
                                  </w:divBdr>
                                </w:div>
                                <w:div w:id="1461531189">
                                  <w:marLeft w:val="0"/>
                                  <w:marRight w:val="135"/>
                                  <w:marTop w:val="0"/>
                                  <w:marBottom w:val="0"/>
                                  <w:divBdr>
                                    <w:top w:val="none" w:sz="0" w:space="0" w:color="auto"/>
                                    <w:left w:val="none" w:sz="0" w:space="0" w:color="auto"/>
                                    <w:bottom w:val="none" w:sz="0" w:space="0" w:color="auto"/>
                                    <w:right w:val="none" w:sz="0" w:space="0" w:color="auto"/>
                                  </w:divBdr>
                                </w:div>
                              </w:divsChild>
                            </w:div>
                            <w:div w:id="531771588">
                              <w:marLeft w:val="0"/>
                              <w:marRight w:val="0"/>
                              <w:marTop w:val="0"/>
                              <w:marBottom w:val="0"/>
                              <w:divBdr>
                                <w:top w:val="none" w:sz="0" w:space="0" w:color="auto"/>
                                <w:left w:val="none" w:sz="0" w:space="0" w:color="auto"/>
                                <w:bottom w:val="none" w:sz="0" w:space="0" w:color="auto"/>
                                <w:right w:val="none" w:sz="0" w:space="0" w:color="auto"/>
                              </w:divBdr>
                            </w:div>
                            <w:div w:id="610934776">
                              <w:marLeft w:val="0"/>
                              <w:marRight w:val="0"/>
                              <w:marTop w:val="75"/>
                              <w:marBottom w:val="75"/>
                              <w:divBdr>
                                <w:top w:val="none" w:sz="0" w:space="0" w:color="auto"/>
                                <w:left w:val="none" w:sz="0" w:space="0" w:color="auto"/>
                                <w:bottom w:val="none" w:sz="0" w:space="0" w:color="auto"/>
                                <w:right w:val="none" w:sz="0" w:space="0" w:color="auto"/>
                              </w:divBdr>
                              <w:divsChild>
                                <w:div w:id="144319686">
                                  <w:marLeft w:val="0"/>
                                  <w:marRight w:val="135"/>
                                  <w:marTop w:val="0"/>
                                  <w:marBottom w:val="0"/>
                                  <w:divBdr>
                                    <w:top w:val="none" w:sz="0" w:space="0" w:color="auto"/>
                                    <w:left w:val="none" w:sz="0" w:space="0" w:color="auto"/>
                                    <w:bottom w:val="none" w:sz="0" w:space="0" w:color="auto"/>
                                    <w:right w:val="none" w:sz="0" w:space="0" w:color="auto"/>
                                  </w:divBdr>
                                </w:div>
                                <w:div w:id="166562010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516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817983">
      <w:bodyDiv w:val="1"/>
      <w:marLeft w:val="0"/>
      <w:marRight w:val="0"/>
      <w:marTop w:val="0"/>
      <w:marBottom w:val="0"/>
      <w:divBdr>
        <w:top w:val="none" w:sz="0" w:space="0" w:color="auto"/>
        <w:left w:val="none" w:sz="0" w:space="0" w:color="auto"/>
        <w:bottom w:val="none" w:sz="0" w:space="0" w:color="auto"/>
        <w:right w:val="none" w:sz="0" w:space="0" w:color="auto"/>
      </w:divBdr>
      <w:divsChild>
        <w:div w:id="214045321">
          <w:marLeft w:val="0"/>
          <w:marRight w:val="0"/>
          <w:marTop w:val="0"/>
          <w:marBottom w:val="0"/>
          <w:divBdr>
            <w:top w:val="none" w:sz="0" w:space="0" w:color="auto"/>
            <w:left w:val="none" w:sz="0" w:space="0" w:color="auto"/>
            <w:bottom w:val="none" w:sz="0" w:space="0" w:color="auto"/>
            <w:right w:val="none" w:sz="0" w:space="0" w:color="auto"/>
          </w:divBdr>
        </w:div>
        <w:div w:id="402721004">
          <w:marLeft w:val="0"/>
          <w:marRight w:val="0"/>
          <w:marTop w:val="0"/>
          <w:marBottom w:val="225"/>
          <w:divBdr>
            <w:top w:val="single" w:sz="6" w:space="11" w:color="E2E2E3"/>
            <w:left w:val="none" w:sz="0" w:space="0" w:color="auto"/>
            <w:bottom w:val="none" w:sz="0" w:space="0" w:color="auto"/>
            <w:right w:val="none" w:sz="0" w:space="0" w:color="auto"/>
          </w:divBdr>
        </w:div>
      </w:divsChild>
    </w:div>
    <w:div w:id="1217820739">
      <w:bodyDiv w:val="1"/>
      <w:marLeft w:val="0"/>
      <w:marRight w:val="0"/>
      <w:marTop w:val="0"/>
      <w:marBottom w:val="0"/>
      <w:divBdr>
        <w:top w:val="none" w:sz="0" w:space="0" w:color="auto"/>
        <w:left w:val="none" w:sz="0" w:space="0" w:color="auto"/>
        <w:bottom w:val="none" w:sz="0" w:space="0" w:color="auto"/>
        <w:right w:val="none" w:sz="0" w:space="0" w:color="auto"/>
      </w:divBdr>
      <w:divsChild>
        <w:div w:id="508519646">
          <w:marLeft w:val="0"/>
          <w:marRight w:val="0"/>
          <w:marTop w:val="0"/>
          <w:marBottom w:val="0"/>
          <w:divBdr>
            <w:top w:val="none" w:sz="0" w:space="0" w:color="auto"/>
            <w:left w:val="none" w:sz="0" w:space="0" w:color="auto"/>
            <w:bottom w:val="none" w:sz="0" w:space="0" w:color="auto"/>
            <w:right w:val="none" w:sz="0" w:space="0" w:color="auto"/>
          </w:divBdr>
          <w:divsChild>
            <w:div w:id="52318314">
              <w:marLeft w:val="0"/>
              <w:marRight w:val="0"/>
              <w:marTop w:val="0"/>
              <w:marBottom w:val="0"/>
              <w:divBdr>
                <w:top w:val="none" w:sz="0" w:space="0" w:color="auto"/>
                <w:left w:val="none" w:sz="0" w:space="0" w:color="auto"/>
                <w:bottom w:val="none" w:sz="0" w:space="0" w:color="auto"/>
                <w:right w:val="none" w:sz="0" w:space="0" w:color="auto"/>
              </w:divBdr>
              <w:divsChild>
                <w:div w:id="2008508834">
                  <w:marLeft w:val="0"/>
                  <w:marRight w:val="0"/>
                  <w:marTop w:val="0"/>
                  <w:marBottom w:val="0"/>
                  <w:divBdr>
                    <w:top w:val="none" w:sz="0" w:space="0" w:color="auto"/>
                    <w:left w:val="none" w:sz="0" w:space="0" w:color="auto"/>
                    <w:bottom w:val="none" w:sz="0" w:space="0" w:color="auto"/>
                    <w:right w:val="none" w:sz="0" w:space="0" w:color="auto"/>
                  </w:divBdr>
                  <w:divsChild>
                    <w:div w:id="729840021">
                      <w:marLeft w:val="0"/>
                      <w:marRight w:val="0"/>
                      <w:marTop w:val="0"/>
                      <w:marBottom w:val="0"/>
                      <w:divBdr>
                        <w:top w:val="none" w:sz="0" w:space="0" w:color="auto"/>
                        <w:left w:val="none" w:sz="0" w:space="0" w:color="auto"/>
                        <w:bottom w:val="none" w:sz="0" w:space="0" w:color="auto"/>
                        <w:right w:val="none" w:sz="0" w:space="0" w:color="auto"/>
                      </w:divBdr>
                      <w:divsChild>
                        <w:div w:id="1934970339">
                          <w:marLeft w:val="0"/>
                          <w:marRight w:val="0"/>
                          <w:marTop w:val="0"/>
                          <w:marBottom w:val="0"/>
                          <w:divBdr>
                            <w:top w:val="none" w:sz="0" w:space="0" w:color="auto"/>
                            <w:left w:val="none" w:sz="0" w:space="0" w:color="auto"/>
                            <w:bottom w:val="none" w:sz="0" w:space="0" w:color="auto"/>
                            <w:right w:val="none" w:sz="0" w:space="0" w:color="auto"/>
                          </w:divBdr>
                          <w:divsChild>
                            <w:div w:id="162093178">
                              <w:marLeft w:val="0"/>
                              <w:marRight w:val="0"/>
                              <w:marTop w:val="0"/>
                              <w:marBottom w:val="0"/>
                              <w:divBdr>
                                <w:top w:val="none" w:sz="0" w:space="0" w:color="auto"/>
                                <w:left w:val="none" w:sz="0" w:space="0" w:color="auto"/>
                                <w:bottom w:val="none" w:sz="0" w:space="0" w:color="auto"/>
                                <w:right w:val="none" w:sz="0" w:space="0" w:color="auto"/>
                              </w:divBdr>
                              <w:divsChild>
                                <w:div w:id="1039742830">
                                  <w:marLeft w:val="0"/>
                                  <w:marRight w:val="0"/>
                                  <w:marTop w:val="0"/>
                                  <w:marBottom w:val="0"/>
                                  <w:divBdr>
                                    <w:top w:val="none" w:sz="0" w:space="0" w:color="auto"/>
                                    <w:left w:val="none" w:sz="0" w:space="0" w:color="auto"/>
                                    <w:bottom w:val="none" w:sz="0" w:space="0" w:color="auto"/>
                                    <w:right w:val="none" w:sz="0" w:space="0" w:color="auto"/>
                                  </w:divBdr>
                                  <w:divsChild>
                                    <w:div w:id="212095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8280408">
      <w:bodyDiv w:val="1"/>
      <w:marLeft w:val="0"/>
      <w:marRight w:val="0"/>
      <w:marTop w:val="0"/>
      <w:marBottom w:val="0"/>
      <w:divBdr>
        <w:top w:val="none" w:sz="0" w:space="0" w:color="auto"/>
        <w:left w:val="none" w:sz="0" w:space="0" w:color="auto"/>
        <w:bottom w:val="none" w:sz="0" w:space="0" w:color="auto"/>
        <w:right w:val="none" w:sz="0" w:space="0" w:color="auto"/>
      </w:divBdr>
      <w:divsChild>
        <w:div w:id="1953659225">
          <w:marLeft w:val="0"/>
          <w:marRight w:val="0"/>
          <w:marTop w:val="0"/>
          <w:marBottom w:val="180"/>
          <w:divBdr>
            <w:top w:val="none" w:sz="0" w:space="0" w:color="auto"/>
            <w:left w:val="none" w:sz="0" w:space="0" w:color="auto"/>
            <w:bottom w:val="none" w:sz="0" w:space="0" w:color="auto"/>
            <w:right w:val="none" w:sz="0" w:space="0" w:color="auto"/>
          </w:divBdr>
        </w:div>
        <w:div w:id="1693023846">
          <w:marLeft w:val="0"/>
          <w:marRight w:val="0"/>
          <w:marTop w:val="0"/>
          <w:marBottom w:val="180"/>
          <w:divBdr>
            <w:top w:val="none" w:sz="0" w:space="0" w:color="auto"/>
            <w:left w:val="none" w:sz="0" w:space="0" w:color="auto"/>
            <w:bottom w:val="none" w:sz="0" w:space="0" w:color="auto"/>
            <w:right w:val="none" w:sz="0" w:space="0" w:color="auto"/>
          </w:divBdr>
        </w:div>
        <w:div w:id="1132409967">
          <w:marLeft w:val="0"/>
          <w:marRight w:val="0"/>
          <w:marTop w:val="0"/>
          <w:marBottom w:val="180"/>
          <w:divBdr>
            <w:top w:val="none" w:sz="0" w:space="0" w:color="auto"/>
            <w:left w:val="none" w:sz="0" w:space="0" w:color="auto"/>
            <w:bottom w:val="none" w:sz="0" w:space="0" w:color="auto"/>
            <w:right w:val="none" w:sz="0" w:space="0" w:color="auto"/>
          </w:divBdr>
        </w:div>
        <w:div w:id="655381449">
          <w:marLeft w:val="0"/>
          <w:marRight w:val="0"/>
          <w:marTop w:val="0"/>
          <w:marBottom w:val="180"/>
          <w:divBdr>
            <w:top w:val="none" w:sz="0" w:space="0" w:color="auto"/>
            <w:left w:val="none" w:sz="0" w:space="0" w:color="auto"/>
            <w:bottom w:val="none" w:sz="0" w:space="0" w:color="auto"/>
            <w:right w:val="none" w:sz="0" w:space="0" w:color="auto"/>
          </w:divBdr>
        </w:div>
        <w:div w:id="1881161100">
          <w:marLeft w:val="0"/>
          <w:marRight w:val="0"/>
          <w:marTop w:val="0"/>
          <w:marBottom w:val="180"/>
          <w:divBdr>
            <w:top w:val="none" w:sz="0" w:space="0" w:color="auto"/>
            <w:left w:val="none" w:sz="0" w:space="0" w:color="auto"/>
            <w:bottom w:val="none" w:sz="0" w:space="0" w:color="auto"/>
            <w:right w:val="none" w:sz="0" w:space="0" w:color="auto"/>
          </w:divBdr>
        </w:div>
      </w:divsChild>
    </w:div>
    <w:div w:id="1218930494">
      <w:bodyDiv w:val="1"/>
      <w:marLeft w:val="0"/>
      <w:marRight w:val="0"/>
      <w:marTop w:val="0"/>
      <w:marBottom w:val="0"/>
      <w:divBdr>
        <w:top w:val="none" w:sz="0" w:space="0" w:color="auto"/>
        <w:left w:val="none" w:sz="0" w:space="0" w:color="auto"/>
        <w:bottom w:val="none" w:sz="0" w:space="0" w:color="auto"/>
        <w:right w:val="none" w:sz="0" w:space="0" w:color="auto"/>
      </w:divBdr>
      <w:divsChild>
        <w:div w:id="1442915572">
          <w:marLeft w:val="0"/>
          <w:marRight w:val="0"/>
          <w:marTop w:val="0"/>
          <w:marBottom w:val="0"/>
          <w:divBdr>
            <w:top w:val="none" w:sz="0" w:space="0" w:color="auto"/>
            <w:left w:val="none" w:sz="0" w:space="0" w:color="auto"/>
            <w:bottom w:val="none" w:sz="0" w:space="0" w:color="auto"/>
            <w:right w:val="none" w:sz="0" w:space="0" w:color="auto"/>
          </w:divBdr>
          <w:divsChild>
            <w:div w:id="788280916">
              <w:marLeft w:val="0"/>
              <w:marRight w:val="0"/>
              <w:marTop w:val="0"/>
              <w:marBottom w:val="0"/>
              <w:divBdr>
                <w:top w:val="none" w:sz="0" w:space="0" w:color="auto"/>
                <w:left w:val="none" w:sz="0" w:space="0" w:color="auto"/>
                <w:bottom w:val="none" w:sz="0" w:space="0" w:color="auto"/>
                <w:right w:val="none" w:sz="0" w:space="0" w:color="auto"/>
              </w:divBdr>
              <w:divsChild>
                <w:div w:id="1542477304">
                  <w:marLeft w:val="0"/>
                  <w:marRight w:val="0"/>
                  <w:marTop w:val="0"/>
                  <w:marBottom w:val="0"/>
                  <w:divBdr>
                    <w:top w:val="none" w:sz="0" w:space="0" w:color="auto"/>
                    <w:left w:val="none" w:sz="0" w:space="0" w:color="auto"/>
                    <w:bottom w:val="none" w:sz="0" w:space="0" w:color="auto"/>
                    <w:right w:val="none" w:sz="0" w:space="0" w:color="auto"/>
                  </w:divBdr>
                  <w:divsChild>
                    <w:div w:id="1325621020">
                      <w:marLeft w:val="0"/>
                      <w:marRight w:val="0"/>
                      <w:marTop w:val="0"/>
                      <w:marBottom w:val="0"/>
                      <w:divBdr>
                        <w:top w:val="none" w:sz="0" w:space="0" w:color="auto"/>
                        <w:left w:val="none" w:sz="0" w:space="0" w:color="auto"/>
                        <w:bottom w:val="none" w:sz="0" w:space="0" w:color="auto"/>
                        <w:right w:val="none" w:sz="0" w:space="0" w:color="auto"/>
                      </w:divBdr>
                      <w:divsChild>
                        <w:div w:id="167209603">
                          <w:marLeft w:val="0"/>
                          <w:marRight w:val="0"/>
                          <w:marTop w:val="0"/>
                          <w:marBottom w:val="0"/>
                          <w:divBdr>
                            <w:top w:val="none" w:sz="0" w:space="0" w:color="auto"/>
                            <w:left w:val="none" w:sz="0" w:space="0" w:color="auto"/>
                            <w:bottom w:val="none" w:sz="0" w:space="0" w:color="auto"/>
                            <w:right w:val="none" w:sz="0" w:space="0" w:color="auto"/>
                          </w:divBdr>
                          <w:divsChild>
                            <w:div w:id="1154875762">
                              <w:marLeft w:val="0"/>
                              <w:marRight w:val="0"/>
                              <w:marTop w:val="0"/>
                              <w:marBottom w:val="0"/>
                              <w:divBdr>
                                <w:top w:val="none" w:sz="0" w:space="0" w:color="auto"/>
                                <w:left w:val="none" w:sz="0" w:space="0" w:color="auto"/>
                                <w:bottom w:val="none" w:sz="0" w:space="0" w:color="auto"/>
                                <w:right w:val="none" w:sz="0" w:space="0" w:color="auto"/>
                              </w:divBdr>
                              <w:divsChild>
                                <w:div w:id="1468666986">
                                  <w:marLeft w:val="0"/>
                                  <w:marRight w:val="0"/>
                                  <w:marTop w:val="0"/>
                                  <w:marBottom w:val="0"/>
                                  <w:divBdr>
                                    <w:top w:val="none" w:sz="0" w:space="0" w:color="auto"/>
                                    <w:left w:val="none" w:sz="0" w:space="0" w:color="auto"/>
                                    <w:bottom w:val="none" w:sz="0" w:space="0" w:color="auto"/>
                                    <w:right w:val="none" w:sz="0" w:space="0" w:color="auto"/>
                                  </w:divBdr>
                                  <w:divsChild>
                                    <w:div w:id="125594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049192">
      <w:bodyDiv w:val="1"/>
      <w:marLeft w:val="0"/>
      <w:marRight w:val="0"/>
      <w:marTop w:val="0"/>
      <w:marBottom w:val="0"/>
      <w:divBdr>
        <w:top w:val="none" w:sz="0" w:space="0" w:color="auto"/>
        <w:left w:val="none" w:sz="0" w:space="0" w:color="auto"/>
        <w:bottom w:val="none" w:sz="0" w:space="0" w:color="auto"/>
        <w:right w:val="none" w:sz="0" w:space="0" w:color="auto"/>
      </w:divBdr>
      <w:divsChild>
        <w:div w:id="1381783146">
          <w:marLeft w:val="0"/>
          <w:marRight w:val="0"/>
          <w:marTop w:val="0"/>
          <w:marBottom w:val="0"/>
          <w:divBdr>
            <w:top w:val="none" w:sz="0" w:space="0" w:color="auto"/>
            <w:left w:val="none" w:sz="0" w:space="0" w:color="auto"/>
            <w:bottom w:val="dotted" w:sz="6" w:space="4" w:color="DDDDDD"/>
            <w:right w:val="none" w:sz="0" w:space="0" w:color="auto"/>
          </w:divBdr>
          <w:divsChild>
            <w:div w:id="83796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22111">
      <w:bodyDiv w:val="1"/>
      <w:marLeft w:val="0"/>
      <w:marRight w:val="0"/>
      <w:marTop w:val="0"/>
      <w:marBottom w:val="0"/>
      <w:divBdr>
        <w:top w:val="none" w:sz="0" w:space="0" w:color="auto"/>
        <w:left w:val="none" w:sz="0" w:space="0" w:color="auto"/>
        <w:bottom w:val="none" w:sz="0" w:space="0" w:color="auto"/>
        <w:right w:val="none" w:sz="0" w:space="0" w:color="auto"/>
      </w:divBdr>
      <w:divsChild>
        <w:div w:id="1823962963">
          <w:marLeft w:val="0"/>
          <w:marRight w:val="0"/>
          <w:marTop w:val="0"/>
          <w:marBottom w:val="150"/>
          <w:divBdr>
            <w:top w:val="none" w:sz="0" w:space="0" w:color="auto"/>
            <w:left w:val="none" w:sz="0" w:space="0" w:color="auto"/>
            <w:bottom w:val="none" w:sz="0" w:space="0" w:color="auto"/>
            <w:right w:val="none" w:sz="0" w:space="0" w:color="auto"/>
          </w:divBdr>
        </w:div>
      </w:divsChild>
    </w:div>
    <w:div w:id="1219515674">
      <w:bodyDiv w:val="1"/>
      <w:marLeft w:val="0"/>
      <w:marRight w:val="0"/>
      <w:marTop w:val="0"/>
      <w:marBottom w:val="0"/>
      <w:divBdr>
        <w:top w:val="none" w:sz="0" w:space="0" w:color="auto"/>
        <w:left w:val="none" w:sz="0" w:space="0" w:color="auto"/>
        <w:bottom w:val="none" w:sz="0" w:space="0" w:color="auto"/>
        <w:right w:val="none" w:sz="0" w:space="0" w:color="auto"/>
      </w:divBdr>
      <w:divsChild>
        <w:div w:id="1938370345">
          <w:marLeft w:val="0"/>
          <w:marRight w:val="0"/>
          <w:marTop w:val="0"/>
          <w:marBottom w:val="0"/>
          <w:divBdr>
            <w:top w:val="none" w:sz="0" w:space="0" w:color="auto"/>
            <w:left w:val="none" w:sz="0" w:space="0" w:color="auto"/>
            <w:bottom w:val="none" w:sz="0" w:space="0" w:color="auto"/>
            <w:right w:val="none" w:sz="0" w:space="0" w:color="auto"/>
          </w:divBdr>
          <w:divsChild>
            <w:div w:id="652831274">
              <w:marLeft w:val="0"/>
              <w:marRight w:val="0"/>
              <w:marTop w:val="0"/>
              <w:marBottom w:val="0"/>
              <w:divBdr>
                <w:top w:val="none" w:sz="0" w:space="0" w:color="auto"/>
                <w:left w:val="none" w:sz="0" w:space="0" w:color="auto"/>
                <w:bottom w:val="none" w:sz="0" w:space="0" w:color="auto"/>
                <w:right w:val="none" w:sz="0" w:space="0" w:color="auto"/>
              </w:divBdr>
              <w:divsChild>
                <w:div w:id="1825200622">
                  <w:marLeft w:val="0"/>
                  <w:marRight w:val="0"/>
                  <w:marTop w:val="0"/>
                  <w:marBottom w:val="0"/>
                  <w:divBdr>
                    <w:top w:val="none" w:sz="0" w:space="0" w:color="auto"/>
                    <w:left w:val="none" w:sz="0" w:space="0" w:color="auto"/>
                    <w:bottom w:val="none" w:sz="0" w:space="0" w:color="auto"/>
                    <w:right w:val="none" w:sz="0" w:space="0" w:color="auto"/>
                  </w:divBdr>
                  <w:divsChild>
                    <w:div w:id="294262231">
                      <w:marLeft w:val="0"/>
                      <w:marRight w:val="0"/>
                      <w:marTop w:val="0"/>
                      <w:marBottom w:val="0"/>
                      <w:divBdr>
                        <w:top w:val="none" w:sz="0" w:space="0" w:color="auto"/>
                        <w:left w:val="none" w:sz="0" w:space="0" w:color="auto"/>
                        <w:bottom w:val="none" w:sz="0" w:space="0" w:color="auto"/>
                        <w:right w:val="none" w:sz="0" w:space="0" w:color="auto"/>
                      </w:divBdr>
                      <w:divsChild>
                        <w:div w:id="1909075188">
                          <w:marLeft w:val="0"/>
                          <w:marRight w:val="0"/>
                          <w:marTop w:val="0"/>
                          <w:marBottom w:val="0"/>
                          <w:divBdr>
                            <w:top w:val="none" w:sz="0" w:space="0" w:color="auto"/>
                            <w:left w:val="none" w:sz="0" w:space="0" w:color="auto"/>
                            <w:bottom w:val="none" w:sz="0" w:space="0" w:color="auto"/>
                            <w:right w:val="none" w:sz="0" w:space="0" w:color="auto"/>
                          </w:divBdr>
                          <w:divsChild>
                            <w:div w:id="1553468289">
                              <w:marLeft w:val="0"/>
                              <w:marRight w:val="0"/>
                              <w:marTop w:val="0"/>
                              <w:marBottom w:val="0"/>
                              <w:divBdr>
                                <w:top w:val="none" w:sz="0" w:space="0" w:color="auto"/>
                                <w:left w:val="none" w:sz="0" w:space="0" w:color="auto"/>
                                <w:bottom w:val="none" w:sz="0" w:space="0" w:color="auto"/>
                                <w:right w:val="none" w:sz="0" w:space="0" w:color="auto"/>
                              </w:divBdr>
                              <w:divsChild>
                                <w:div w:id="1299603919">
                                  <w:marLeft w:val="0"/>
                                  <w:marRight w:val="0"/>
                                  <w:marTop w:val="0"/>
                                  <w:marBottom w:val="0"/>
                                  <w:divBdr>
                                    <w:top w:val="none" w:sz="0" w:space="0" w:color="auto"/>
                                    <w:left w:val="none" w:sz="0" w:space="0" w:color="auto"/>
                                    <w:bottom w:val="none" w:sz="0" w:space="0" w:color="auto"/>
                                    <w:right w:val="none" w:sz="0" w:space="0" w:color="auto"/>
                                  </w:divBdr>
                                  <w:divsChild>
                                    <w:div w:id="1174148256">
                                      <w:marLeft w:val="0"/>
                                      <w:marRight w:val="0"/>
                                      <w:marTop w:val="0"/>
                                      <w:marBottom w:val="0"/>
                                      <w:divBdr>
                                        <w:top w:val="none" w:sz="0" w:space="0" w:color="auto"/>
                                        <w:left w:val="none" w:sz="0" w:space="0" w:color="auto"/>
                                        <w:bottom w:val="none" w:sz="0" w:space="0" w:color="auto"/>
                                        <w:right w:val="none" w:sz="0" w:space="0" w:color="auto"/>
                                      </w:divBdr>
                                      <w:divsChild>
                                        <w:div w:id="284384141">
                                          <w:marLeft w:val="0"/>
                                          <w:marRight w:val="0"/>
                                          <w:marTop w:val="0"/>
                                          <w:marBottom w:val="0"/>
                                          <w:divBdr>
                                            <w:top w:val="none" w:sz="0" w:space="0" w:color="auto"/>
                                            <w:left w:val="none" w:sz="0" w:space="0" w:color="auto"/>
                                            <w:bottom w:val="none" w:sz="0" w:space="0" w:color="auto"/>
                                            <w:right w:val="none" w:sz="0" w:space="0" w:color="auto"/>
                                          </w:divBdr>
                                          <w:divsChild>
                                            <w:div w:id="41682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9979295">
      <w:bodyDiv w:val="1"/>
      <w:marLeft w:val="0"/>
      <w:marRight w:val="0"/>
      <w:marTop w:val="0"/>
      <w:marBottom w:val="0"/>
      <w:divBdr>
        <w:top w:val="none" w:sz="0" w:space="0" w:color="auto"/>
        <w:left w:val="none" w:sz="0" w:space="0" w:color="auto"/>
        <w:bottom w:val="none" w:sz="0" w:space="0" w:color="auto"/>
        <w:right w:val="none" w:sz="0" w:space="0" w:color="auto"/>
      </w:divBdr>
    </w:div>
    <w:div w:id="1220434011">
      <w:bodyDiv w:val="1"/>
      <w:marLeft w:val="0"/>
      <w:marRight w:val="0"/>
      <w:marTop w:val="0"/>
      <w:marBottom w:val="0"/>
      <w:divBdr>
        <w:top w:val="none" w:sz="0" w:space="0" w:color="auto"/>
        <w:left w:val="none" w:sz="0" w:space="0" w:color="auto"/>
        <w:bottom w:val="none" w:sz="0" w:space="0" w:color="auto"/>
        <w:right w:val="none" w:sz="0" w:space="0" w:color="auto"/>
      </w:divBdr>
      <w:divsChild>
        <w:div w:id="772822115">
          <w:marLeft w:val="0"/>
          <w:marRight w:val="0"/>
          <w:marTop w:val="0"/>
          <w:marBottom w:val="150"/>
          <w:divBdr>
            <w:top w:val="none" w:sz="0" w:space="0" w:color="auto"/>
            <w:left w:val="none" w:sz="0" w:space="0" w:color="auto"/>
            <w:bottom w:val="none" w:sz="0" w:space="0" w:color="auto"/>
            <w:right w:val="none" w:sz="0" w:space="0" w:color="auto"/>
          </w:divBdr>
          <w:divsChild>
            <w:div w:id="1373651997">
              <w:marLeft w:val="0"/>
              <w:marRight w:val="0"/>
              <w:marTop w:val="0"/>
              <w:marBottom w:val="0"/>
              <w:divBdr>
                <w:top w:val="none" w:sz="0" w:space="0" w:color="auto"/>
                <w:left w:val="none" w:sz="0" w:space="0" w:color="auto"/>
                <w:bottom w:val="none" w:sz="0" w:space="0" w:color="auto"/>
                <w:right w:val="none" w:sz="0" w:space="0" w:color="auto"/>
              </w:divBdr>
            </w:div>
          </w:divsChild>
        </w:div>
        <w:div w:id="1649363178">
          <w:marLeft w:val="0"/>
          <w:marRight w:val="0"/>
          <w:marTop w:val="0"/>
          <w:marBottom w:val="0"/>
          <w:divBdr>
            <w:top w:val="none" w:sz="0" w:space="0" w:color="auto"/>
            <w:left w:val="none" w:sz="0" w:space="0" w:color="auto"/>
            <w:bottom w:val="none" w:sz="0" w:space="0" w:color="auto"/>
            <w:right w:val="none" w:sz="0" w:space="0" w:color="auto"/>
          </w:divBdr>
          <w:divsChild>
            <w:div w:id="1440368978">
              <w:marLeft w:val="0"/>
              <w:marRight w:val="0"/>
              <w:marTop w:val="0"/>
              <w:marBottom w:val="0"/>
              <w:divBdr>
                <w:top w:val="none" w:sz="0" w:space="0" w:color="auto"/>
                <w:left w:val="none" w:sz="0" w:space="0" w:color="auto"/>
                <w:bottom w:val="none" w:sz="0" w:space="0" w:color="auto"/>
                <w:right w:val="none" w:sz="0" w:space="0" w:color="auto"/>
              </w:divBdr>
            </w:div>
          </w:divsChild>
        </w:div>
        <w:div w:id="1856536407">
          <w:marLeft w:val="0"/>
          <w:marRight w:val="0"/>
          <w:marTop w:val="0"/>
          <w:marBottom w:val="150"/>
          <w:divBdr>
            <w:top w:val="none" w:sz="0" w:space="0" w:color="auto"/>
            <w:left w:val="none" w:sz="0" w:space="0" w:color="auto"/>
            <w:bottom w:val="none" w:sz="0" w:space="0" w:color="auto"/>
            <w:right w:val="none" w:sz="0" w:space="0" w:color="auto"/>
          </w:divBdr>
        </w:div>
      </w:divsChild>
    </w:div>
    <w:div w:id="1220438760">
      <w:bodyDiv w:val="1"/>
      <w:marLeft w:val="0"/>
      <w:marRight w:val="0"/>
      <w:marTop w:val="0"/>
      <w:marBottom w:val="0"/>
      <w:divBdr>
        <w:top w:val="none" w:sz="0" w:space="0" w:color="auto"/>
        <w:left w:val="none" w:sz="0" w:space="0" w:color="auto"/>
        <w:bottom w:val="none" w:sz="0" w:space="0" w:color="auto"/>
        <w:right w:val="none" w:sz="0" w:space="0" w:color="auto"/>
      </w:divBdr>
      <w:divsChild>
        <w:div w:id="676078323">
          <w:marLeft w:val="0"/>
          <w:marRight w:val="0"/>
          <w:marTop w:val="0"/>
          <w:marBottom w:val="150"/>
          <w:divBdr>
            <w:top w:val="none" w:sz="0" w:space="0" w:color="auto"/>
            <w:left w:val="none" w:sz="0" w:space="0" w:color="auto"/>
            <w:bottom w:val="none" w:sz="0" w:space="0" w:color="auto"/>
            <w:right w:val="none" w:sz="0" w:space="0" w:color="auto"/>
          </w:divBdr>
        </w:div>
      </w:divsChild>
    </w:div>
    <w:div w:id="1220508706">
      <w:bodyDiv w:val="1"/>
      <w:marLeft w:val="0"/>
      <w:marRight w:val="0"/>
      <w:marTop w:val="0"/>
      <w:marBottom w:val="0"/>
      <w:divBdr>
        <w:top w:val="none" w:sz="0" w:space="0" w:color="auto"/>
        <w:left w:val="none" w:sz="0" w:space="0" w:color="auto"/>
        <w:bottom w:val="none" w:sz="0" w:space="0" w:color="auto"/>
        <w:right w:val="none" w:sz="0" w:space="0" w:color="auto"/>
      </w:divBdr>
      <w:divsChild>
        <w:div w:id="442505470">
          <w:marLeft w:val="0"/>
          <w:marRight w:val="0"/>
          <w:marTop w:val="0"/>
          <w:marBottom w:val="0"/>
          <w:divBdr>
            <w:top w:val="none" w:sz="0" w:space="0" w:color="auto"/>
            <w:left w:val="none" w:sz="0" w:space="0" w:color="auto"/>
            <w:bottom w:val="dotted" w:sz="6" w:space="4" w:color="DDDDDD"/>
            <w:right w:val="none" w:sz="0" w:space="0" w:color="auto"/>
          </w:divBdr>
          <w:divsChild>
            <w:div w:id="76180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014518">
      <w:bodyDiv w:val="1"/>
      <w:marLeft w:val="0"/>
      <w:marRight w:val="0"/>
      <w:marTop w:val="0"/>
      <w:marBottom w:val="0"/>
      <w:divBdr>
        <w:top w:val="none" w:sz="0" w:space="0" w:color="auto"/>
        <w:left w:val="none" w:sz="0" w:space="0" w:color="auto"/>
        <w:bottom w:val="none" w:sz="0" w:space="0" w:color="auto"/>
        <w:right w:val="none" w:sz="0" w:space="0" w:color="auto"/>
      </w:divBdr>
      <w:divsChild>
        <w:div w:id="1512717928">
          <w:marLeft w:val="0"/>
          <w:marRight w:val="0"/>
          <w:marTop w:val="0"/>
          <w:marBottom w:val="0"/>
          <w:divBdr>
            <w:top w:val="none" w:sz="0" w:space="0" w:color="auto"/>
            <w:left w:val="none" w:sz="0" w:space="0" w:color="auto"/>
            <w:bottom w:val="none" w:sz="0" w:space="0" w:color="auto"/>
            <w:right w:val="none" w:sz="0" w:space="0" w:color="auto"/>
          </w:divBdr>
          <w:divsChild>
            <w:div w:id="617373692">
              <w:marLeft w:val="0"/>
              <w:marRight w:val="0"/>
              <w:marTop w:val="0"/>
              <w:marBottom w:val="0"/>
              <w:divBdr>
                <w:top w:val="none" w:sz="0" w:space="0" w:color="auto"/>
                <w:left w:val="none" w:sz="0" w:space="0" w:color="auto"/>
                <w:bottom w:val="none" w:sz="0" w:space="0" w:color="auto"/>
                <w:right w:val="none" w:sz="0" w:space="0" w:color="auto"/>
              </w:divBdr>
              <w:divsChild>
                <w:div w:id="1610309439">
                  <w:marLeft w:val="0"/>
                  <w:marRight w:val="0"/>
                  <w:marTop w:val="0"/>
                  <w:marBottom w:val="0"/>
                  <w:divBdr>
                    <w:top w:val="none" w:sz="0" w:space="0" w:color="auto"/>
                    <w:left w:val="none" w:sz="0" w:space="0" w:color="auto"/>
                    <w:bottom w:val="none" w:sz="0" w:space="0" w:color="auto"/>
                    <w:right w:val="none" w:sz="0" w:space="0" w:color="auto"/>
                  </w:divBdr>
                  <w:divsChild>
                    <w:div w:id="1129128021">
                      <w:marLeft w:val="0"/>
                      <w:marRight w:val="0"/>
                      <w:marTop w:val="0"/>
                      <w:marBottom w:val="0"/>
                      <w:divBdr>
                        <w:top w:val="none" w:sz="0" w:space="0" w:color="auto"/>
                        <w:left w:val="none" w:sz="0" w:space="0" w:color="auto"/>
                        <w:bottom w:val="none" w:sz="0" w:space="0" w:color="auto"/>
                        <w:right w:val="none" w:sz="0" w:space="0" w:color="auto"/>
                      </w:divBdr>
                      <w:divsChild>
                        <w:div w:id="1528324728">
                          <w:marLeft w:val="0"/>
                          <w:marRight w:val="0"/>
                          <w:marTop w:val="0"/>
                          <w:marBottom w:val="0"/>
                          <w:divBdr>
                            <w:top w:val="none" w:sz="0" w:space="0" w:color="auto"/>
                            <w:left w:val="none" w:sz="0" w:space="0" w:color="auto"/>
                            <w:bottom w:val="none" w:sz="0" w:space="0" w:color="auto"/>
                            <w:right w:val="none" w:sz="0" w:space="0" w:color="auto"/>
                          </w:divBdr>
                          <w:divsChild>
                            <w:div w:id="544294085">
                              <w:marLeft w:val="0"/>
                              <w:marRight w:val="0"/>
                              <w:marTop w:val="0"/>
                              <w:marBottom w:val="0"/>
                              <w:divBdr>
                                <w:top w:val="none" w:sz="0" w:space="0" w:color="auto"/>
                                <w:left w:val="none" w:sz="0" w:space="0" w:color="auto"/>
                                <w:bottom w:val="none" w:sz="0" w:space="0" w:color="auto"/>
                                <w:right w:val="none" w:sz="0" w:space="0" w:color="auto"/>
                              </w:divBdr>
                              <w:divsChild>
                                <w:div w:id="1737703820">
                                  <w:marLeft w:val="0"/>
                                  <w:marRight w:val="0"/>
                                  <w:marTop w:val="0"/>
                                  <w:marBottom w:val="0"/>
                                  <w:divBdr>
                                    <w:top w:val="none" w:sz="0" w:space="0" w:color="auto"/>
                                    <w:left w:val="none" w:sz="0" w:space="0" w:color="auto"/>
                                    <w:bottom w:val="none" w:sz="0" w:space="0" w:color="auto"/>
                                    <w:right w:val="none" w:sz="0" w:space="0" w:color="auto"/>
                                  </w:divBdr>
                                  <w:divsChild>
                                    <w:div w:id="20335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1214812">
      <w:bodyDiv w:val="1"/>
      <w:marLeft w:val="0"/>
      <w:marRight w:val="0"/>
      <w:marTop w:val="0"/>
      <w:marBottom w:val="0"/>
      <w:divBdr>
        <w:top w:val="none" w:sz="0" w:space="0" w:color="auto"/>
        <w:left w:val="none" w:sz="0" w:space="0" w:color="auto"/>
        <w:bottom w:val="none" w:sz="0" w:space="0" w:color="auto"/>
        <w:right w:val="none" w:sz="0" w:space="0" w:color="auto"/>
      </w:divBdr>
    </w:div>
    <w:div w:id="1221401161">
      <w:bodyDiv w:val="1"/>
      <w:marLeft w:val="0"/>
      <w:marRight w:val="0"/>
      <w:marTop w:val="0"/>
      <w:marBottom w:val="0"/>
      <w:divBdr>
        <w:top w:val="none" w:sz="0" w:space="0" w:color="auto"/>
        <w:left w:val="none" w:sz="0" w:space="0" w:color="auto"/>
        <w:bottom w:val="none" w:sz="0" w:space="0" w:color="auto"/>
        <w:right w:val="none" w:sz="0" w:space="0" w:color="auto"/>
      </w:divBdr>
      <w:divsChild>
        <w:div w:id="2030985958">
          <w:marLeft w:val="0"/>
          <w:marRight w:val="0"/>
          <w:marTop w:val="0"/>
          <w:marBottom w:val="150"/>
          <w:divBdr>
            <w:top w:val="none" w:sz="0" w:space="0" w:color="auto"/>
            <w:left w:val="none" w:sz="0" w:space="0" w:color="auto"/>
            <w:bottom w:val="none" w:sz="0" w:space="0" w:color="auto"/>
            <w:right w:val="none" w:sz="0" w:space="0" w:color="auto"/>
          </w:divBdr>
        </w:div>
      </w:divsChild>
    </w:div>
    <w:div w:id="1221555587">
      <w:bodyDiv w:val="1"/>
      <w:marLeft w:val="0"/>
      <w:marRight w:val="0"/>
      <w:marTop w:val="0"/>
      <w:marBottom w:val="0"/>
      <w:divBdr>
        <w:top w:val="none" w:sz="0" w:space="0" w:color="auto"/>
        <w:left w:val="none" w:sz="0" w:space="0" w:color="auto"/>
        <w:bottom w:val="none" w:sz="0" w:space="0" w:color="auto"/>
        <w:right w:val="none" w:sz="0" w:space="0" w:color="auto"/>
      </w:divBdr>
      <w:divsChild>
        <w:div w:id="1233588968">
          <w:marLeft w:val="0"/>
          <w:marRight w:val="0"/>
          <w:marTop w:val="0"/>
          <w:marBottom w:val="150"/>
          <w:divBdr>
            <w:top w:val="none" w:sz="0" w:space="0" w:color="auto"/>
            <w:left w:val="none" w:sz="0" w:space="0" w:color="auto"/>
            <w:bottom w:val="none" w:sz="0" w:space="0" w:color="auto"/>
            <w:right w:val="none" w:sz="0" w:space="0" w:color="auto"/>
          </w:divBdr>
        </w:div>
      </w:divsChild>
    </w:div>
    <w:div w:id="1221937377">
      <w:bodyDiv w:val="1"/>
      <w:marLeft w:val="0"/>
      <w:marRight w:val="0"/>
      <w:marTop w:val="0"/>
      <w:marBottom w:val="0"/>
      <w:divBdr>
        <w:top w:val="none" w:sz="0" w:space="0" w:color="auto"/>
        <w:left w:val="none" w:sz="0" w:space="0" w:color="auto"/>
        <w:bottom w:val="none" w:sz="0" w:space="0" w:color="auto"/>
        <w:right w:val="none" w:sz="0" w:space="0" w:color="auto"/>
      </w:divBdr>
      <w:divsChild>
        <w:div w:id="1696225798">
          <w:marLeft w:val="0"/>
          <w:marRight w:val="0"/>
          <w:marTop w:val="0"/>
          <w:marBottom w:val="0"/>
          <w:divBdr>
            <w:top w:val="none" w:sz="0" w:space="0" w:color="auto"/>
            <w:left w:val="none" w:sz="0" w:space="0" w:color="auto"/>
            <w:bottom w:val="dotted" w:sz="6" w:space="4" w:color="DDDDDD"/>
            <w:right w:val="none" w:sz="0" w:space="0" w:color="auto"/>
          </w:divBdr>
        </w:div>
      </w:divsChild>
    </w:div>
    <w:div w:id="1222055256">
      <w:bodyDiv w:val="1"/>
      <w:marLeft w:val="0"/>
      <w:marRight w:val="0"/>
      <w:marTop w:val="0"/>
      <w:marBottom w:val="0"/>
      <w:divBdr>
        <w:top w:val="none" w:sz="0" w:space="0" w:color="auto"/>
        <w:left w:val="none" w:sz="0" w:space="0" w:color="auto"/>
        <w:bottom w:val="none" w:sz="0" w:space="0" w:color="auto"/>
        <w:right w:val="none" w:sz="0" w:space="0" w:color="auto"/>
      </w:divBdr>
    </w:div>
    <w:div w:id="1222518476">
      <w:bodyDiv w:val="1"/>
      <w:marLeft w:val="0"/>
      <w:marRight w:val="0"/>
      <w:marTop w:val="0"/>
      <w:marBottom w:val="0"/>
      <w:divBdr>
        <w:top w:val="none" w:sz="0" w:space="0" w:color="auto"/>
        <w:left w:val="none" w:sz="0" w:space="0" w:color="auto"/>
        <w:bottom w:val="none" w:sz="0" w:space="0" w:color="auto"/>
        <w:right w:val="none" w:sz="0" w:space="0" w:color="auto"/>
      </w:divBdr>
      <w:divsChild>
        <w:div w:id="908460905">
          <w:marLeft w:val="0"/>
          <w:marRight w:val="0"/>
          <w:marTop w:val="0"/>
          <w:marBottom w:val="0"/>
          <w:divBdr>
            <w:top w:val="none" w:sz="0" w:space="0" w:color="auto"/>
            <w:left w:val="none" w:sz="0" w:space="0" w:color="auto"/>
            <w:bottom w:val="none" w:sz="0" w:space="0" w:color="auto"/>
            <w:right w:val="none" w:sz="0" w:space="0" w:color="auto"/>
          </w:divBdr>
          <w:divsChild>
            <w:div w:id="1606038166">
              <w:marLeft w:val="0"/>
              <w:marRight w:val="0"/>
              <w:marTop w:val="0"/>
              <w:marBottom w:val="0"/>
              <w:divBdr>
                <w:top w:val="none" w:sz="0" w:space="0" w:color="auto"/>
                <w:left w:val="none" w:sz="0" w:space="0" w:color="auto"/>
                <w:bottom w:val="none" w:sz="0" w:space="0" w:color="auto"/>
                <w:right w:val="none" w:sz="0" w:space="0" w:color="auto"/>
              </w:divBdr>
              <w:divsChild>
                <w:div w:id="1614629989">
                  <w:marLeft w:val="0"/>
                  <w:marRight w:val="0"/>
                  <w:marTop w:val="0"/>
                  <w:marBottom w:val="0"/>
                  <w:divBdr>
                    <w:top w:val="none" w:sz="0" w:space="0" w:color="auto"/>
                    <w:left w:val="none" w:sz="0" w:space="0" w:color="auto"/>
                    <w:bottom w:val="none" w:sz="0" w:space="0" w:color="auto"/>
                    <w:right w:val="none" w:sz="0" w:space="0" w:color="auto"/>
                  </w:divBdr>
                  <w:divsChild>
                    <w:div w:id="1332755493">
                      <w:marLeft w:val="0"/>
                      <w:marRight w:val="0"/>
                      <w:marTop w:val="0"/>
                      <w:marBottom w:val="0"/>
                      <w:divBdr>
                        <w:top w:val="none" w:sz="0" w:space="0" w:color="auto"/>
                        <w:left w:val="none" w:sz="0" w:space="0" w:color="auto"/>
                        <w:bottom w:val="none" w:sz="0" w:space="0" w:color="auto"/>
                        <w:right w:val="none" w:sz="0" w:space="0" w:color="auto"/>
                      </w:divBdr>
                      <w:divsChild>
                        <w:div w:id="608511995">
                          <w:marLeft w:val="0"/>
                          <w:marRight w:val="0"/>
                          <w:marTop w:val="0"/>
                          <w:marBottom w:val="0"/>
                          <w:divBdr>
                            <w:top w:val="none" w:sz="0" w:space="0" w:color="auto"/>
                            <w:left w:val="none" w:sz="0" w:space="0" w:color="auto"/>
                            <w:bottom w:val="none" w:sz="0" w:space="0" w:color="auto"/>
                            <w:right w:val="none" w:sz="0" w:space="0" w:color="auto"/>
                          </w:divBdr>
                          <w:divsChild>
                            <w:div w:id="1620139666">
                              <w:marLeft w:val="0"/>
                              <w:marRight w:val="0"/>
                              <w:marTop w:val="0"/>
                              <w:marBottom w:val="0"/>
                              <w:divBdr>
                                <w:top w:val="none" w:sz="0" w:space="0" w:color="auto"/>
                                <w:left w:val="none" w:sz="0" w:space="0" w:color="auto"/>
                                <w:bottom w:val="none" w:sz="0" w:space="0" w:color="auto"/>
                                <w:right w:val="none" w:sz="0" w:space="0" w:color="auto"/>
                              </w:divBdr>
                              <w:divsChild>
                                <w:div w:id="1043291175">
                                  <w:marLeft w:val="0"/>
                                  <w:marRight w:val="0"/>
                                  <w:marTop w:val="0"/>
                                  <w:marBottom w:val="0"/>
                                  <w:divBdr>
                                    <w:top w:val="none" w:sz="0" w:space="0" w:color="auto"/>
                                    <w:left w:val="none" w:sz="0" w:space="0" w:color="auto"/>
                                    <w:bottom w:val="none" w:sz="0" w:space="0" w:color="auto"/>
                                    <w:right w:val="none" w:sz="0" w:space="0" w:color="auto"/>
                                  </w:divBdr>
                                  <w:divsChild>
                                    <w:div w:id="2022120822">
                                      <w:marLeft w:val="0"/>
                                      <w:marRight w:val="0"/>
                                      <w:marTop w:val="0"/>
                                      <w:marBottom w:val="0"/>
                                      <w:divBdr>
                                        <w:top w:val="none" w:sz="0" w:space="0" w:color="auto"/>
                                        <w:left w:val="none" w:sz="0" w:space="0" w:color="auto"/>
                                        <w:bottom w:val="none" w:sz="0" w:space="0" w:color="auto"/>
                                        <w:right w:val="none" w:sz="0" w:space="0" w:color="auto"/>
                                      </w:divBdr>
                                      <w:divsChild>
                                        <w:div w:id="193790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2907492">
      <w:bodyDiv w:val="1"/>
      <w:marLeft w:val="0"/>
      <w:marRight w:val="0"/>
      <w:marTop w:val="0"/>
      <w:marBottom w:val="0"/>
      <w:divBdr>
        <w:top w:val="none" w:sz="0" w:space="0" w:color="auto"/>
        <w:left w:val="none" w:sz="0" w:space="0" w:color="auto"/>
        <w:bottom w:val="none" w:sz="0" w:space="0" w:color="auto"/>
        <w:right w:val="none" w:sz="0" w:space="0" w:color="auto"/>
      </w:divBdr>
    </w:div>
    <w:div w:id="1222979254">
      <w:bodyDiv w:val="1"/>
      <w:marLeft w:val="0"/>
      <w:marRight w:val="0"/>
      <w:marTop w:val="0"/>
      <w:marBottom w:val="0"/>
      <w:divBdr>
        <w:top w:val="none" w:sz="0" w:space="0" w:color="auto"/>
        <w:left w:val="none" w:sz="0" w:space="0" w:color="auto"/>
        <w:bottom w:val="none" w:sz="0" w:space="0" w:color="auto"/>
        <w:right w:val="none" w:sz="0" w:space="0" w:color="auto"/>
      </w:divBdr>
      <w:divsChild>
        <w:div w:id="1384139686">
          <w:marLeft w:val="0"/>
          <w:marRight w:val="0"/>
          <w:marTop w:val="0"/>
          <w:marBottom w:val="0"/>
          <w:divBdr>
            <w:top w:val="none" w:sz="0" w:space="0" w:color="auto"/>
            <w:left w:val="none" w:sz="0" w:space="0" w:color="auto"/>
            <w:bottom w:val="none" w:sz="0" w:space="0" w:color="auto"/>
            <w:right w:val="none" w:sz="0" w:space="0" w:color="auto"/>
          </w:divBdr>
          <w:divsChild>
            <w:div w:id="1017075206">
              <w:marLeft w:val="0"/>
              <w:marRight w:val="0"/>
              <w:marTop w:val="0"/>
              <w:marBottom w:val="0"/>
              <w:divBdr>
                <w:top w:val="none" w:sz="0" w:space="0" w:color="auto"/>
                <w:left w:val="none" w:sz="0" w:space="0" w:color="auto"/>
                <w:bottom w:val="none" w:sz="0" w:space="0" w:color="auto"/>
                <w:right w:val="none" w:sz="0" w:space="0" w:color="auto"/>
              </w:divBdr>
              <w:divsChild>
                <w:div w:id="758064279">
                  <w:marLeft w:val="0"/>
                  <w:marRight w:val="0"/>
                  <w:marTop w:val="0"/>
                  <w:marBottom w:val="0"/>
                  <w:divBdr>
                    <w:top w:val="none" w:sz="0" w:space="0" w:color="auto"/>
                    <w:left w:val="none" w:sz="0" w:space="0" w:color="auto"/>
                    <w:bottom w:val="none" w:sz="0" w:space="0" w:color="auto"/>
                    <w:right w:val="none" w:sz="0" w:space="0" w:color="auto"/>
                  </w:divBdr>
                  <w:divsChild>
                    <w:div w:id="894967541">
                      <w:marLeft w:val="0"/>
                      <w:marRight w:val="0"/>
                      <w:marTop w:val="0"/>
                      <w:marBottom w:val="0"/>
                      <w:divBdr>
                        <w:top w:val="none" w:sz="0" w:space="0" w:color="auto"/>
                        <w:left w:val="none" w:sz="0" w:space="0" w:color="auto"/>
                        <w:bottom w:val="none" w:sz="0" w:space="0" w:color="auto"/>
                        <w:right w:val="none" w:sz="0" w:space="0" w:color="auto"/>
                      </w:divBdr>
                      <w:divsChild>
                        <w:div w:id="1416784908">
                          <w:marLeft w:val="0"/>
                          <w:marRight w:val="0"/>
                          <w:marTop w:val="0"/>
                          <w:marBottom w:val="0"/>
                          <w:divBdr>
                            <w:top w:val="none" w:sz="0" w:space="0" w:color="auto"/>
                            <w:left w:val="none" w:sz="0" w:space="0" w:color="auto"/>
                            <w:bottom w:val="none" w:sz="0" w:space="0" w:color="auto"/>
                            <w:right w:val="none" w:sz="0" w:space="0" w:color="auto"/>
                          </w:divBdr>
                          <w:divsChild>
                            <w:div w:id="15584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3059134">
      <w:bodyDiv w:val="1"/>
      <w:marLeft w:val="0"/>
      <w:marRight w:val="0"/>
      <w:marTop w:val="0"/>
      <w:marBottom w:val="0"/>
      <w:divBdr>
        <w:top w:val="none" w:sz="0" w:space="0" w:color="auto"/>
        <w:left w:val="none" w:sz="0" w:space="0" w:color="auto"/>
        <w:bottom w:val="none" w:sz="0" w:space="0" w:color="auto"/>
        <w:right w:val="none" w:sz="0" w:space="0" w:color="auto"/>
      </w:divBdr>
      <w:divsChild>
        <w:div w:id="409280570">
          <w:marLeft w:val="0"/>
          <w:marRight w:val="0"/>
          <w:marTop w:val="0"/>
          <w:marBottom w:val="0"/>
          <w:divBdr>
            <w:top w:val="none" w:sz="0" w:space="0" w:color="auto"/>
            <w:left w:val="none" w:sz="0" w:space="0" w:color="auto"/>
            <w:bottom w:val="none" w:sz="0" w:space="0" w:color="auto"/>
            <w:right w:val="none" w:sz="0" w:space="0" w:color="auto"/>
          </w:divBdr>
          <w:divsChild>
            <w:div w:id="645355260">
              <w:marLeft w:val="0"/>
              <w:marRight w:val="0"/>
              <w:marTop w:val="0"/>
              <w:marBottom w:val="0"/>
              <w:divBdr>
                <w:top w:val="none" w:sz="0" w:space="0" w:color="auto"/>
                <w:left w:val="none" w:sz="0" w:space="0" w:color="auto"/>
                <w:bottom w:val="none" w:sz="0" w:space="0" w:color="auto"/>
                <w:right w:val="none" w:sz="0" w:space="0" w:color="auto"/>
              </w:divBdr>
            </w:div>
          </w:divsChild>
        </w:div>
        <w:div w:id="1812282116">
          <w:marLeft w:val="0"/>
          <w:marRight w:val="0"/>
          <w:marTop w:val="240"/>
          <w:marBottom w:val="0"/>
          <w:divBdr>
            <w:top w:val="none" w:sz="0" w:space="0" w:color="auto"/>
            <w:left w:val="none" w:sz="0" w:space="0" w:color="auto"/>
            <w:bottom w:val="none" w:sz="0" w:space="0" w:color="auto"/>
            <w:right w:val="none" w:sz="0" w:space="0" w:color="auto"/>
          </w:divBdr>
        </w:div>
        <w:div w:id="50006802">
          <w:marLeft w:val="0"/>
          <w:marRight w:val="0"/>
          <w:marTop w:val="0"/>
          <w:marBottom w:val="0"/>
          <w:divBdr>
            <w:top w:val="none" w:sz="0" w:space="0" w:color="auto"/>
            <w:left w:val="none" w:sz="0" w:space="0" w:color="auto"/>
            <w:bottom w:val="none" w:sz="0" w:space="0" w:color="auto"/>
            <w:right w:val="none" w:sz="0" w:space="0" w:color="auto"/>
          </w:divBdr>
          <w:divsChild>
            <w:div w:id="794374471">
              <w:marLeft w:val="-225"/>
              <w:marRight w:val="-225"/>
              <w:marTop w:val="0"/>
              <w:marBottom w:val="0"/>
              <w:divBdr>
                <w:top w:val="none" w:sz="0" w:space="0" w:color="auto"/>
                <w:left w:val="none" w:sz="0" w:space="0" w:color="auto"/>
                <w:bottom w:val="none" w:sz="0" w:space="0" w:color="auto"/>
                <w:right w:val="none" w:sz="0" w:space="0" w:color="auto"/>
              </w:divBdr>
              <w:divsChild>
                <w:div w:id="1448037854">
                  <w:marLeft w:val="0"/>
                  <w:marRight w:val="0"/>
                  <w:marTop w:val="0"/>
                  <w:marBottom w:val="0"/>
                  <w:divBdr>
                    <w:top w:val="none" w:sz="0" w:space="0" w:color="auto"/>
                    <w:left w:val="none" w:sz="0" w:space="0" w:color="auto"/>
                    <w:bottom w:val="none" w:sz="0" w:space="0" w:color="auto"/>
                    <w:right w:val="single" w:sz="6" w:space="0" w:color="000000"/>
                  </w:divBdr>
                  <w:divsChild>
                    <w:div w:id="861238726">
                      <w:marLeft w:val="0"/>
                      <w:marRight w:val="0"/>
                      <w:marTop w:val="0"/>
                      <w:marBottom w:val="0"/>
                      <w:divBdr>
                        <w:top w:val="none" w:sz="0" w:space="0" w:color="auto"/>
                        <w:left w:val="none" w:sz="0" w:space="0" w:color="auto"/>
                        <w:bottom w:val="none" w:sz="0" w:space="0" w:color="auto"/>
                        <w:right w:val="none" w:sz="0" w:space="0" w:color="auto"/>
                      </w:divBdr>
                      <w:divsChild>
                        <w:div w:id="426657557">
                          <w:marLeft w:val="0"/>
                          <w:marRight w:val="0"/>
                          <w:marTop w:val="0"/>
                          <w:marBottom w:val="0"/>
                          <w:divBdr>
                            <w:top w:val="none" w:sz="0" w:space="0" w:color="auto"/>
                            <w:left w:val="none" w:sz="0" w:space="0" w:color="auto"/>
                            <w:bottom w:val="none" w:sz="0" w:space="0" w:color="auto"/>
                            <w:right w:val="none" w:sz="0" w:space="0" w:color="auto"/>
                          </w:divBdr>
                        </w:div>
                        <w:div w:id="348407096">
                          <w:marLeft w:val="0"/>
                          <w:marRight w:val="0"/>
                          <w:marTop w:val="0"/>
                          <w:marBottom w:val="0"/>
                          <w:divBdr>
                            <w:top w:val="none" w:sz="0" w:space="0" w:color="auto"/>
                            <w:left w:val="none" w:sz="0" w:space="0" w:color="auto"/>
                            <w:bottom w:val="none" w:sz="0" w:space="0" w:color="auto"/>
                            <w:right w:val="none" w:sz="0" w:space="0" w:color="auto"/>
                          </w:divBdr>
                        </w:div>
                        <w:div w:id="200671370">
                          <w:marLeft w:val="0"/>
                          <w:marRight w:val="0"/>
                          <w:marTop w:val="0"/>
                          <w:marBottom w:val="0"/>
                          <w:divBdr>
                            <w:top w:val="none" w:sz="0" w:space="0" w:color="auto"/>
                            <w:left w:val="none" w:sz="0" w:space="0" w:color="auto"/>
                            <w:bottom w:val="none" w:sz="0" w:space="0" w:color="auto"/>
                            <w:right w:val="none" w:sz="0" w:space="0" w:color="auto"/>
                          </w:divBdr>
                        </w:div>
                        <w:div w:id="717625496">
                          <w:marLeft w:val="0"/>
                          <w:marRight w:val="0"/>
                          <w:marTop w:val="0"/>
                          <w:marBottom w:val="0"/>
                          <w:divBdr>
                            <w:top w:val="none" w:sz="0" w:space="0" w:color="auto"/>
                            <w:left w:val="none" w:sz="0" w:space="0" w:color="auto"/>
                            <w:bottom w:val="none" w:sz="0" w:space="0" w:color="auto"/>
                            <w:right w:val="none" w:sz="0" w:space="0" w:color="auto"/>
                          </w:divBdr>
                        </w:div>
                        <w:div w:id="14078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5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100180">
      <w:bodyDiv w:val="1"/>
      <w:marLeft w:val="0"/>
      <w:marRight w:val="0"/>
      <w:marTop w:val="0"/>
      <w:marBottom w:val="0"/>
      <w:divBdr>
        <w:top w:val="none" w:sz="0" w:space="0" w:color="auto"/>
        <w:left w:val="none" w:sz="0" w:space="0" w:color="auto"/>
        <w:bottom w:val="none" w:sz="0" w:space="0" w:color="auto"/>
        <w:right w:val="none" w:sz="0" w:space="0" w:color="auto"/>
      </w:divBdr>
      <w:divsChild>
        <w:div w:id="141511282">
          <w:marLeft w:val="0"/>
          <w:marRight w:val="0"/>
          <w:marTop w:val="0"/>
          <w:marBottom w:val="150"/>
          <w:divBdr>
            <w:top w:val="none" w:sz="0" w:space="0" w:color="auto"/>
            <w:left w:val="none" w:sz="0" w:space="0" w:color="auto"/>
            <w:bottom w:val="none" w:sz="0" w:space="0" w:color="auto"/>
            <w:right w:val="none" w:sz="0" w:space="0" w:color="auto"/>
          </w:divBdr>
          <w:divsChild>
            <w:div w:id="815758812">
              <w:marLeft w:val="0"/>
              <w:marRight w:val="0"/>
              <w:marTop w:val="0"/>
              <w:marBottom w:val="0"/>
              <w:divBdr>
                <w:top w:val="none" w:sz="0" w:space="0" w:color="auto"/>
                <w:left w:val="none" w:sz="0" w:space="0" w:color="auto"/>
                <w:bottom w:val="none" w:sz="0" w:space="0" w:color="auto"/>
                <w:right w:val="none" w:sz="0" w:space="0" w:color="auto"/>
              </w:divBdr>
              <w:divsChild>
                <w:div w:id="1827622205">
                  <w:marLeft w:val="0"/>
                  <w:marRight w:val="0"/>
                  <w:marTop w:val="0"/>
                  <w:marBottom w:val="0"/>
                  <w:divBdr>
                    <w:top w:val="none" w:sz="0" w:space="0" w:color="auto"/>
                    <w:left w:val="none" w:sz="0" w:space="0" w:color="auto"/>
                    <w:bottom w:val="none" w:sz="0" w:space="0" w:color="auto"/>
                    <w:right w:val="none" w:sz="0" w:space="0" w:color="auto"/>
                  </w:divBdr>
                  <w:divsChild>
                    <w:div w:id="730736856">
                      <w:marLeft w:val="0"/>
                      <w:marRight w:val="150"/>
                      <w:marTop w:val="0"/>
                      <w:marBottom w:val="0"/>
                      <w:divBdr>
                        <w:top w:val="none" w:sz="0" w:space="0" w:color="auto"/>
                        <w:left w:val="none" w:sz="0" w:space="0" w:color="auto"/>
                        <w:bottom w:val="none" w:sz="0" w:space="0" w:color="auto"/>
                        <w:right w:val="none" w:sz="0" w:space="0" w:color="auto"/>
                      </w:divBdr>
                      <w:divsChild>
                        <w:div w:id="140760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670563">
          <w:marLeft w:val="0"/>
          <w:marRight w:val="0"/>
          <w:marTop w:val="0"/>
          <w:marBottom w:val="150"/>
          <w:divBdr>
            <w:top w:val="none" w:sz="0" w:space="0" w:color="auto"/>
            <w:left w:val="none" w:sz="0" w:space="0" w:color="auto"/>
            <w:bottom w:val="none" w:sz="0" w:space="0" w:color="auto"/>
            <w:right w:val="none" w:sz="0" w:space="0" w:color="auto"/>
          </w:divBdr>
        </w:div>
        <w:div w:id="1949123350">
          <w:marLeft w:val="0"/>
          <w:marRight w:val="0"/>
          <w:marTop w:val="0"/>
          <w:marBottom w:val="0"/>
          <w:divBdr>
            <w:top w:val="none" w:sz="0" w:space="0" w:color="auto"/>
            <w:left w:val="none" w:sz="0" w:space="0" w:color="auto"/>
            <w:bottom w:val="none" w:sz="0" w:space="0" w:color="auto"/>
            <w:right w:val="none" w:sz="0" w:space="0" w:color="auto"/>
          </w:divBdr>
          <w:divsChild>
            <w:div w:id="202231680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23641995">
      <w:bodyDiv w:val="1"/>
      <w:marLeft w:val="0"/>
      <w:marRight w:val="0"/>
      <w:marTop w:val="0"/>
      <w:marBottom w:val="0"/>
      <w:divBdr>
        <w:top w:val="none" w:sz="0" w:space="0" w:color="auto"/>
        <w:left w:val="none" w:sz="0" w:space="0" w:color="auto"/>
        <w:bottom w:val="none" w:sz="0" w:space="0" w:color="auto"/>
        <w:right w:val="none" w:sz="0" w:space="0" w:color="auto"/>
      </w:divBdr>
      <w:divsChild>
        <w:div w:id="243802452">
          <w:marLeft w:val="0"/>
          <w:marRight w:val="0"/>
          <w:marTop w:val="0"/>
          <w:marBottom w:val="150"/>
          <w:divBdr>
            <w:top w:val="none" w:sz="0" w:space="0" w:color="auto"/>
            <w:left w:val="none" w:sz="0" w:space="0" w:color="auto"/>
            <w:bottom w:val="none" w:sz="0" w:space="0" w:color="auto"/>
            <w:right w:val="none" w:sz="0" w:space="0" w:color="auto"/>
          </w:divBdr>
        </w:div>
        <w:div w:id="415788149">
          <w:marLeft w:val="0"/>
          <w:marRight w:val="0"/>
          <w:marTop w:val="0"/>
          <w:marBottom w:val="150"/>
          <w:divBdr>
            <w:top w:val="none" w:sz="0" w:space="0" w:color="auto"/>
            <w:left w:val="none" w:sz="0" w:space="0" w:color="auto"/>
            <w:bottom w:val="none" w:sz="0" w:space="0" w:color="auto"/>
            <w:right w:val="none" w:sz="0" w:space="0" w:color="auto"/>
          </w:divBdr>
        </w:div>
        <w:div w:id="437530521">
          <w:marLeft w:val="0"/>
          <w:marRight w:val="0"/>
          <w:marTop w:val="0"/>
          <w:marBottom w:val="150"/>
          <w:divBdr>
            <w:top w:val="none" w:sz="0" w:space="0" w:color="auto"/>
            <w:left w:val="none" w:sz="0" w:space="0" w:color="auto"/>
            <w:bottom w:val="none" w:sz="0" w:space="0" w:color="auto"/>
            <w:right w:val="none" w:sz="0" w:space="0" w:color="auto"/>
          </w:divBdr>
        </w:div>
        <w:div w:id="598828091">
          <w:marLeft w:val="0"/>
          <w:marRight w:val="0"/>
          <w:marTop w:val="0"/>
          <w:marBottom w:val="150"/>
          <w:divBdr>
            <w:top w:val="none" w:sz="0" w:space="0" w:color="auto"/>
            <w:left w:val="none" w:sz="0" w:space="0" w:color="auto"/>
            <w:bottom w:val="none" w:sz="0" w:space="0" w:color="auto"/>
            <w:right w:val="none" w:sz="0" w:space="0" w:color="auto"/>
          </w:divBdr>
        </w:div>
        <w:div w:id="658580302">
          <w:marLeft w:val="0"/>
          <w:marRight w:val="0"/>
          <w:marTop w:val="0"/>
          <w:marBottom w:val="150"/>
          <w:divBdr>
            <w:top w:val="none" w:sz="0" w:space="0" w:color="auto"/>
            <w:left w:val="none" w:sz="0" w:space="0" w:color="auto"/>
            <w:bottom w:val="none" w:sz="0" w:space="0" w:color="auto"/>
            <w:right w:val="none" w:sz="0" w:space="0" w:color="auto"/>
          </w:divBdr>
        </w:div>
        <w:div w:id="1107043770">
          <w:marLeft w:val="0"/>
          <w:marRight w:val="0"/>
          <w:marTop w:val="0"/>
          <w:marBottom w:val="150"/>
          <w:divBdr>
            <w:top w:val="none" w:sz="0" w:space="0" w:color="auto"/>
            <w:left w:val="none" w:sz="0" w:space="0" w:color="auto"/>
            <w:bottom w:val="none" w:sz="0" w:space="0" w:color="auto"/>
            <w:right w:val="none" w:sz="0" w:space="0" w:color="auto"/>
          </w:divBdr>
        </w:div>
        <w:div w:id="1372147462">
          <w:marLeft w:val="0"/>
          <w:marRight w:val="0"/>
          <w:marTop w:val="0"/>
          <w:marBottom w:val="150"/>
          <w:divBdr>
            <w:top w:val="none" w:sz="0" w:space="0" w:color="auto"/>
            <w:left w:val="none" w:sz="0" w:space="0" w:color="auto"/>
            <w:bottom w:val="none" w:sz="0" w:space="0" w:color="auto"/>
            <w:right w:val="none" w:sz="0" w:space="0" w:color="auto"/>
          </w:divBdr>
        </w:div>
        <w:div w:id="1390807495">
          <w:marLeft w:val="0"/>
          <w:marRight w:val="0"/>
          <w:marTop w:val="0"/>
          <w:marBottom w:val="150"/>
          <w:divBdr>
            <w:top w:val="none" w:sz="0" w:space="0" w:color="auto"/>
            <w:left w:val="none" w:sz="0" w:space="0" w:color="auto"/>
            <w:bottom w:val="none" w:sz="0" w:space="0" w:color="auto"/>
            <w:right w:val="none" w:sz="0" w:space="0" w:color="auto"/>
          </w:divBdr>
        </w:div>
        <w:div w:id="1773818094">
          <w:marLeft w:val="0"/>
          <w:marRight w:val="0"/>
          <w:marTop w:val="0"/>
          <w:marBottom w:val="150"/>
          <w:divBdr>
            <w:top w:val="none" w:sz="0" w:space="0" w:color="auto"/>
            <w:left w:val="none" w:sz="0" w:space="0" w:color="auto"/>
            <w:bottom w:val="none" w:sz="0" w:space="0" w:color="auto"/>
            <w:right w:val="none" w:sz="0" w:space="0" w:color="auto"/>
          </w:divBdr>
        </w:div>
        <w:div w:id="1845626097">
          <w:marLeft w:val="0"/>
          <w:marRight w:val="0"/>
          <w:marTop w:val="0"/>
          <w:marBottom w:val="150"/>
          <w:divBdr>
            <w:top w:val="none" w:sz="0" w:space="0" w:color="auto"/>
            <w:left w:val="none" w:sz="0" w:space="0" w:color="auto"/>
            <w:bottom w:val="none" w:sz="0" w:space="0" w:color="auto"/>
            <w:right w:val="none" w:sz="0" w:space="0" w:color="auto"/>
          </w:divBdr>
        </w:div>
        <w:div w:id="1995450242">
          <w:marLeft w:val="0"/>
          <w:marRight w:val="0"/>
          <w:marTop w:val="0"/>
          <w:marBottom w:val="150"/>
          <w:divBdr>
            <w:top w:val="none" w:sz="0" w:space="0" w:color="auto"/>
            <w:left w:val="none" w:sz="0" w:space="0" w:color="auto"/>
            <w:bottom w:val="none" w:sz="0" w:space="0" w:color="auto"/>
            <w:right w:val="none" w:sz="0" w:space="0" w:color="auto"/>
          </w:divBdr>
        </w:div>
      </w:divsChild>
    </w:div>
    <w:div w:id="1224024326">
      <w:bodyDiv w:val="1"/>
      <w:marLeft w:val="0"/>
      <w:marRight w:val="0"/>
      <w:marTop w:val="0"/>
      <w:marBottom w:val="0"/>
      <w:divBdr>
        <w:top w:val="none" w:sz="0" w:space="0" w:color="auto"/>
        <w:left w:val="none" w:sz="0" w:space="0" w:color="auto"/>
        <w:bottom w:val="none" w:sz="0" w:space="0" w:color="auto"/>
        <w:right w:val="none" w:sz="0" w:space="0" w:color="auto"/>
      </w:divBdr>
    </w:div>
    <w:div w:id="1224563161">
      <w:bodyDiv w:val="1"/>
      <w:marLeft w:val="0"/>
      <w:marRight w:val="0"/>
      <w:marTop w:val="0"/>
      <w:marBottom w:val="0"/>
      <w:divBdr>
        <w:top w:val="none" w:sz="0" w:space="0" w:color="auto"/>
        <w:left w:val="none" w:sz="0" w:space="0" w:color="auto"/>
        <w:bottom w:val="none" w:sz="0" w:space="0" w:color="auto"/>
        <w:right w:val="none" w:sz="0" w:space="0" w:color="auto"/>
      </w:divBdr>
      <w:divsChild>
        <w:div w:id="1002898815">
          <w:marLeft w:val="0"/>
          <w:marRight w:val="0"/>
          <w:marTop w:val="0"/>
          <w:marBottom w:val="150"/>
          <w:divBdr>
            <w:top w:val="none" w:sz="0" w:space="0" w:color="auto"/>
            <w:left w:val="none" w:sz="0" w:space="0" w:color="auto"/>
            <w:bottom w:val="none" w:sz="0" w:space="0" w:color="auto"/>
            <w:right w:val="none" w:sz="0" w:space="0" w:color="auto"/>
          </w:divBdr>
          <w:divsChild>
            <w:div w:id="1088506937">
              <w:marLeft w:val="0"/>
              <w:marRight w:val="0"/>
              <w:marTop w:val="0"/>
              <w:marBottom w:val="0"/>
              <w:divBdr>
                <w:top w:val="none" w:sz="0" w:space="0" w:color="auto"/>
                <w:left w:val="none" w:sz="0" w:space="0" w:color="auto"/>
                <w:bottom w:val="none" w:sz="0" w:space="0" w:color="auto"/>
                <w:right w:val="none" w:sz="0" w:space="0" w:color="auto"/>
              </w:divBdr>
            </w:div>
          </w:divsChild>
        </w:div>
        <w:div w:id="1026634050">
          <w:marLeft w:val="0"/>
          <w:marRight w:val="0"/>
          <w:marTop w:val="0"/>
          <w:marBottom w:val="0"/>
          <w:divBdr>
            <w:top w:val="none" w:sz="0" w:space="0" w:color="auto"/>
            <w:left w:val="none" w:sz="0" w:space="0" w:color="auto"/>
            <w:bottom w:val="none" w:sz="0" w:space="0" w:color="auto"/>
            <w:right w:val="none" w:sz="0" w:space="0" w:color="auto"/>
          </w:divBdr>
          <w:divsChild>
            <w:div w:id="1225800323">
              <w:marLeft w:val="0"/>
              <w:marRight w:val="0"/>
              <w:marTop w:val="0"/>
              <w:marBottom w:val="0"/>
              <w:divBdr>
                <w:top w:val="none" w:sz="0" w:space="0" w:color="auto"/>
                <w:left w:val="none" w:sz="0" w:space="0" w:color="auto"/>
                <w:bottom w:val="none" w:sz="0" w:space="0" w:color="auto"/>
                <w:right w:val="none" w:sz="0" w:space="0" w:color="auto"/>
              </w:divBdr>
            </w:div>
          </w:divsChild>
        </w:div>
        <w:div w:id="1553618678">
          <w:marLeft w:val="0"/>
          <w:marRight w:val="0"/>
          <w:marTop w:val="0"/>
          <w:marBottom w:val="150"/>
          <w:divBdr>
            <w:top w:val="none" w:sz="0" w:space="0" w:color="auto"/>
            <w:left w:val="none" w:sz="0" w:space="0" w:color="auto"/>
            <w:bottom w:val="none" w:sz="0" w:space="0" w:color="auto"/>
            <w:right w:val="none" w:sz="0" w:space="0" w:color="auto"/>
          </w:divBdr>
        </w:div>
      </w:divsChild>
    </w:div>
    <w:div w:id="1224678998">
      <w:bodyDiv w:val="1"/>
      <w:marLeft w:val="0"/>
      <w:marRight w:val="0"/>
      <w:marTop w:val="0"/>
      <w:marBottom w:val="0"/>
      <w:divBdr>
        <w:top w:val="none" w:sz="0" w:space="0" w:color="auto"/>
        <w:left w:val="none" w:sz="0" w:space="0" w:color="auto"/>
        <w:bottom w:val="none" w:sz="0" w:space="0" w:color="auto"/>
        <w:right w:val="none" w:sz="0" w:space="0" w:color="auto"/>
      </w:divBdr>
      <w:divsChild>
        <w:div w:id="1339890915">
          <w:marLeft w:val="0"/>
          <w:marRight w:val="0"/>
          <w:marTop w:val="0"/>
          <w:marBottom w:val="0"/>
          <w:divBdr>
            <w:top w:val="none" w:sz="0" w:space="0" w:color="auto"/>
            <w:left w:val="none" w:sz="0" w:space="0" w:color="auto"/>
            <w:bottom w:val="dotted" w:sz="6" w:space="4" w:color="DDDDDD"/>
            <w:right w:val="none" w:sz="0" w:space="0" w:color="auto"/>
          </w:divBdr>
        </w:div>
      </w:divsChild>
    </w:div>
    <w:div w:id="1225067651">
      <w:bodyDiv w:val="1"/>
      <w:marLeft w:val="0"/>
      <w:marRight w:val="0"/>
      <w:marTop w:val="0"/>
      <w:marBottom w:val="0"/>
      <w:divBdr>
        <w:top w:val="none" w:sz="0" w:space="0" w:color="auto"/>
        <w:left w:val="none" w:sz="0" w:space="0" w:color="auto"/>
        <w:bottom w:val="none" w:sz="0" w:space="0" w:color="auto"/>
        <w:right w:val="none" w:sz="0" w:space="0" w:color="auto"/>
      </w:divBdr>
      <w:divsChild>
        <w:div w:id="1734499573">
          <w:marLeft w:val="0"/>
          <w:marRight w:val="0"/>
          <w:marTop w:val="0"/>
          <w:marBottom w:val="150"/>
          <w:divBdr>
            <w:top w:val="none" w:sz="0" w:space="0" w:color="auto"/>
            <w:left w:val="none" w:sz="0" w:space="0" w:color="auto"/>
            <w:bottom w:val="none" w:sz="0" w:space="0" w:color="auto"/>
            <w:right w:val="none" w:sz="0" w:space="0" w:color="auto"/>
          </w:divBdr>
          <w:divsChild>
            <w:div w:id="967005012">
              <w:marLeft w:val="0"/>
              <w:marRight w:val="0"/>
              <w:marTop w:val="0"/>
              <w:marBottom w:val="0"/>
              <w:divBdr>
                <w:top w:val="none" w:sz="0" w:space="0" w:color="auto"/>
                <w:left w:val="none" w:sz="0" w:space="0" w:color="auto"/>
                <w:bottom w:val="none" w:sz="0" w:space="0" w:color="auto"/>
                <w:right w:val="none" w:sz="0" w:space="0" w:color="auto"/>
              </w:divBdr>
              <w:divsChild>
                <w:div w:id="277612856">
                  <w:marLeft w:val="0"/>
                  <w:marRight w:val="0"/>
                  <w:marTop w:val="0"/>
                  <w:marBottom w:val="0"/>
                  <w:divBdr>
                    <w:top w:val="none" w:sz="0" w:space="0" w:color="auto"/>
                    <w:left w:val="none" w:sz="0" w:space="0" w:color="auto"/>
                    <w:bottom w:val="none" w:sz="0" w:space="0" w:color="auto"/>
                    <w:right w:val="none" w:sz="0" w:space="0" w:color="auto"/>
                  </w:divBdr>
                  <w:divsChild>
                    <w:div w:id="1261914644">
                      <w:marLeft w:val="0"/>
                      <w:marRight w:val="150"/>
                      <w:marTop w:val="0"/>
                      <w:marBottom w:val="0"/>
                      <w:divBdr>
                        <w:top w:val="none" w:sz="0" w:space="0" w:color="auto"/>
                        <w:left w:val="none" w:sz="0" w:space="0" w:color="auto"/>
                        <w:bottom w:val="none" w:sz="0" w:space="0" w:color="auto"/>
                        <w:right w:val="none" w:sz="0" w:space="0" w:color="auto"/>
                      </w:divBdr>
                      <w:divsChild>
                        <w:div w:id="26122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317383">
          <w:marLeft w:val="0"/>
          <w:marRight w:val="0"/>
          <w:marTop w:val="0"/>
          <w:marBottom w:val="150"/>
          <w:divBdr>
            <w:top w:val="none" w:sz="0" w:space="0" w:color="auto"/>
            <w:left w:val="none" w:sz="0" w:space="0" w:color="auto"/>
            <w:bottom w:val="none" w:sz="0" w:space="0" w:color="auto"/>
            <w:right w:val="none" w:sz="0" w:space="0" w:color="auto"/>
          </w:divBdr>
        </w:div>
        <w:div w:id="27222962">
          <w:marLeft w:val="0"/>
          <w:marRight w:val="0"/>
          <w:marTop w:val="0"/>
          <w:marBottom w:val="0"/>
          <w:divBdr>
            <w:top w:val="none" w:sz="0" w:space="0" w:color="auto"/>
            <w:left w:val="none" w:sz="0" w:space="0" w:color="auto"/>
            <w:bottom w:val="none" w:sz="0" w:space="0" w:color="auto"/>
            <w:right w:val="none" w:sz="0" w:space="0" w:color="auto"/>
          </w:divBdr>
          <w:divsChild>
            <w:div w:id="167529812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25524714">
      <w:bodyDiv w:val="1"/>
      <w:marLeft w:val="0"/>
      <w:marRight w:val="0"/>
      <w:marTop w:val="0"/>
      <w:marBottom w:val="0"/>
      <w:divBdr>
        <w:top w:val="none" w:sz="0" w:space="0" w:color="auto"/>
        <w:left w:val="none" w:sz="0" w:space="0" w:color="auto"/>
        <w:bottom w:val="none" w:sz="0" w:space="0" w:color="auto"/>
        <w:right w:val="none" w:sz="0" w:space="0" w:color="auto"/>
      </w:divBdr>
      <w:divsChild>
        <w:div w:id="152987784">
          <w:marLeft w:val="0"/>
          <w:marRight w:val="0"/>
          <w:marTop w:val="0"/>
          <w:marBottom w:val="150"/>
          <w:divBdr>
            <w:top w:val="none" w:sz="0" w:space="0" w:color="auto"/>
            <w:left w:val="none" w:sz="0" w:space="0" w:color="auto"/>
            <w:bottom w:val="none" w:sz="0" w:space="0" w:color="auto"/>
            <w:right w:val="none" w:sz="0" w:space="0" w:color="auto"/>
          </w:divBdr>
        </w:div>
      </w:divsChild>
    </w:div>
    <w:div w:id="1225681604">
      <w:bodyDiv w:val="1"/>
      <w:marLeft w:val="0"/>
      <w:marRight w:val="0"/>
      <w:marTop w:val="0"/>
      <w:marBottom w:val="0"/>
      <w:divBdr>
        <w:top w:val="none" w:sz="0" w:space="0" w:color="auto"/>
        <w:left w:val="none" w:sz="0" w:space="0" w:color="auto"/>
        <w:bottom w:val="none" w:sz="0" w:space="0" w:color="auto"/>
        <w:right w:val="none" w:sz="0" w:space="0" w:color="auto"/>
      </w:divBdr>
      <w:divsChild>
        <w:div w:id="74712825">
          <w:marLeft w:val="0"/>
          <w:marRight w:val="0"/>
          <w:marTop w:val="0"/>
          <w:marBottom w:val="150"/>
          <w:divBdr>
            <w:top w:val="none" w:sz="0" w:space="0" w:color="auto"/>
            <w:left w:val="none" w:sz="0" w:space="0" w:color="auto"/>
            <w:bottom w:val="none" w:sz="0" w:space="0" w:color="auto"/>
            <w:right w:val="none" w:sz="0" w:space="0" w:color="auto"/>
          </w:divBdr>
        </w:div>
        <w:div w:id="1058826192">
          <w:marLeft w:val="0"/>
          <w:marRight w:val="0"/>
          <w:marTop w:val="0"/>
          <w:marBottom w:val="0"/>
          <w:divBdr>
            <w:top w:val="none" w:sz="0" w:space="0" w:color="auto"/>
            <w:left w:val="none" w:sz="0" w:space="0" w:color="auto"/>
            <w:bottom w:val="none" w:sz="0" w:space="0" w:color="auto"/>
            <w:right w:val="none" w:sz="0" w:space="0" w:color="auto"/>
          </w:divBdr>
          <w:divsChild>
            <w:div w:id="529880345">
              <w:marLeft w:val="0"/>
              <w:marRight w:val="0"/>
              <w:marTop w:val="0"/>
              <w:marBottom w:val="0"/>
              <w:divBdr>
                <w:top w:val="none" w:sz="0" w:space="0" w:color="auto"/>
                <w:left w:val="none" w:sz="0" w:space="0" w:color="auto"/>
                <w:bottom w:val="none" w:sz="0" w:space="0" w:color="auto"/>
                <w:right w:val="none" w:sz="0" w:space="0" w:color="auto"/>
              </w:divBdr>
            </w:div>
          </w:divsChild>
        </w:div>
        <w:div w:id="1617179064">
          <w:marLeft w:val="0"/>
          <w:marRight w:val="0"/>
          <w:marTop w:val="0"/>
          <w:marBottom w:val="150"/>
          <w:divBdr>
            <w:top w:val="none" w:sz="0" w:space="0" w:color="auto"/>
            <w:left w:val="none" w:sz="0" w:space="0" w:color="auto"/>
            <w:bottom w:val="none" w:sz="0" w:space="0" w:color="auto"/>
            <w:right w:val="none" w:sz="0" w:space="0" w:color="auto"/>
          </w:divBdr>
          <w:divsChild>
            <w:div w:id="39007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82237">
      <w:bodyDiv w:val="1"/>
      <w:marLeft w:val="0"/>
      <w:marRight w:val="0"/>
      <w:marTop w:val="0"/>
      <w:marBottom w:val="0"/>
      <w:divBdr>
        <w:top w:val="none" w:sz="0" w:space="0" w:color="auto"/>
        <w:left w:val="none" w:sz="0" w:space="0" w:color="auto"/>
        <w:bottom w:val="none" w:sz="0" w:space="0" w:color="auto"/>
        <w:right w:val="none" w:sz="0" w:space="0" w:color="auto"/>
      </w:divBdr>
      <w:divsChild>
        <w:div w:id="380179785">
          <w:marLeft w:val="0"/>
          <w:marRight w:val="0"/>
          <w:marTop w:val="0"/>
          <w:marBottom w:val="150"/>
          <w:divBdr>
            <w:top w:val="none" w:sz="0" w:space="0" w:color="auto"/>
            <w:left w:val="none" w:sz="0" w:space="0" w:color="auto"/>
            <w:bottom w:val="none" w:sz="0" w:space="0" w:color="auto"/>
            <w:right w:val="none" w:sz="0" w:space="0" w:color="auto"/>
          </w:divBdr>
        </w:div>
        <w:div w:id="421222828">
          <w:marLeft w:val="0"/>
          <w:marRight w:val="0"/>
          <w:marTop w:val="0"/>
          <w:marBottom w:val="0"/>
          <w:divBdr>
            <w:top w:val="none" w:sz="0" w:space="0" w:color="auto"/>
            <w:left w:val="none" w:sz="0" w:space="0" w:color="auto"/>
            <w:bottom w:val="none" w:sz="0" w:space="0" w:color="auto"/>
            <w:right w:val="none" w:sz="0" w:space="0" w:color="auto"/>
          </w:divBdr>
          <w:divsChild>
            <w:div w:id="1524906282">
              <w:marLeft w:val="0"/>
              <w:marRight w:val="0"/>
              <w:marTop w:val="0"/>
              <w:marBottom w:val="0"/>
              <w:divBdr>
                <w:top w:val="none" w:sz="0" w:space="0" w:color="auto"/>
                <w:left w:val="none" w:sz="0" w:space="0" w:color="auto"/>
                <w:bottom w:val="none" w:sz="0" w:space="0" w:color="auto"/>
                <w:right w:val="none" w:sz="0" w:space="0" w:color="auto"/>
              </w:divBdr>
            </w:div>
          </w:divsChild>
        </w:div>
        <w:div w:id="491604034">
          <w:marLeft w:val="0"/>
          <w:marRight w:val="0"/>
          <w:marTop w:val="0"/>
          <w:marBottom w:val="150"/>
          <w:divBdr>
            <w:top w:val="none" w:sz="0" w:space="0" w:color="auto"/>
            <w:left w:val="none" w:sz="0" w:space="0" w:color="auto"/>
            <w:bottom w:val="none" w:sz="0" w:space="0" w:color="auto"/>
            <w:right w:val="none" w:sz="0" w:space="0" w:color="auto"/>
          </w:divBdr>
          <w:divsChild>
            <w:div w:id="143605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26083">
      <w:bodyDiv w:val="1"/>
      <w:marLeft w:val="0"/>
      <w:marRight w:val="0"/>
      <w:marTop w:val="0"/>
      <w:marBottom w:val="0"/>
      <w:divBdr>
        <w:top w:val="none" w:sz="0" w:space="0" w:color="auto"/>
        <w:left w:val="none" w:sz="0" w:space="0" w:color="auto"/>
        <w:bottom w:val="none" w:sz="0" w:space="0" w:color="auto"/>
        <w:right w:val="none" w:sz="0" w:space="0" w:color="auto"/>
      </w:divBdr>
      <w:divsChild>
        <w:div w:id="243341772">
          <w:marLeft w:val="0"/>
          <w:marRight w:val="0"/>
          <w:marTop w:val="0"/>
          <w:marBottom w:val="0"/>
          <w:divBdr>
            <w:top w:val="none" w:sz="0" w:space="0" w:color="auto"/>
            <w:left w:val="none" w:sz="0" w:space="0" w:color="auto"/>
            <w:bottom w:val="dotted" w:sz="6" w:space="4" w:color="DDDDDD"/>
            <w:right w:val="none" w:sz="0" w:space="0" w:color="auto"/>
          </w:divBdr>
        </w:div>
      </w:divsChild>
    </w:div>
    <w:div w:id="1225875409">
      <w:bodyDiv w:val="1"/>
      <w:marLeft w:val="0"/>
      <w:marRight w:val="0"/>
      <w:marTop w:val="0"/>
      <w:marBottom w:val="0"/>
      <w:divBdr>
        <w:top w:val="none" w:sz="0" w:space="0" w:color="auto"/>
        <w:left w:val="none" w:sz="0" w:space="0" w:color="auto"/>
        <w:bottom w:val="none" w:sz="0" w:space="0" w:color="auto"/>
        <w:right w:val="none" w:sz="0" w:space="0" w:color="auto"/>
      </w:divBdr>
    </w:div>
    <w:div w:id="1226138724">
      <w:bodyDiv w:val="1"/>
      <w:marLeft w:val="0"/>
      <w:marRight w:val="0"/>
      <w:marTop w:val="0"/>
      <w:marBottom w:val="0"/>
      <w:divBdr>
        <w:top w:val="none" w:sz="0" w:space="0" w:color="auto"/>
        <w:left w:val="none" w:sz="0" w:space="0" w:color="auto"/>
        <w:bottom w:val="none" w:sz="0" w:space="0" w:color="auto"/>
        <w:right w:val="none" w:sz="0" w:space="0" w:color="auto"/>
      </w:divBdr>
      <w:divsChild>
        <w:div w:id="438645135">
          <w:marLeft w:val="0"/>
          <w:marRight w:val="0"/>
          <w:marTop w:val="0"/>
          <w:marBottom w:val="150"/>
          <w:divBdr>
            <w:top w:val="none" w:sz="0" w:space="0" w:color="auto"/>
            <w:left w:val="none" w:sz="0" w:space="0" w:color="auto"/>
            <w:bottom w:val="none" w:sz="0" w:space="0" w:color="auto"/>
            <w:right w:val="none" w:sz="0" w:space="0" w:color="auto"/>
          </w:divBdr>
        </w:div>
        <w:div w:id="700663580">
          <w:marLeft w:val="0"/>
          <w:marRight w:val="0"/>
          <w:marTop w:val="0"/>
          <w:marBottom w:val="150"/>
          <w:divBdr>
            <w:top w:val="none" w:sz="0" w:space="0" w:color="auto"/>
            <w:left w:val="none" w:sz="0" w:space="0" w:color="auto"/>
            <w:bottom w:val="none" w:sz="0" w:space="0" w:color="auto"/>
            <w:right w:val="none" w:sz="0" w:space="0" w:color="auto"/>
          </w:divBdr>
          <w:divsChild>
            <w:div w:id="526719646">
              <w:marLeft w:val="0"/>
              <w:marRight w:val="0"/>
              <w:marTop w:val="0"/>
              <w:marBottom w:val="0"/>
              <w:divBdr>
                <w:top w:val="none" w:sz="0" w:space="0" w:color="auto"/>
                <w:left w:val="none" w:sz="0" w:space="0" w:color="auto"/>
                <w:bottom w:val="none" w:sz="0" w:space="0" w:color="auto"/>
                <w:right w:val="none" w:sz="0" w:space="0" w:color="auto"/>
              </w:divBdr>
            </w:div>
          </w:divsChild>
        </w:div>
        <w:div w:id="1720325320">
          <w:marLeft w:val="0"/>
          <w:marRight w:val="0"/>
          <w:marTop w:val="0"/>
          <w:marBottom w:val="0"/>
          <w:divBdr>
            <w:top w:val="none" w:sz="0" w:space="0" w:color="auto"/>
            <w:left w:val="none" w:sz="0" w:space="0" w:color="auto"/>
            <w:bottom w:val="none" w:sz="0" w:space="0" w:color="auto"/>
            <w:right w:val="none" w:sz="0" w:space="0" w:color="auto"/>
          </w:divBdr>
          <w:divsChild>
            <w:div w:id="104032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3029">
      <w:bodyDiv w:val="1"/>
      <w:marLeft w:val="0"/>
      <w:marRight w:val="0"/>
      <w:marTop w:val="0"/>
      <w:marBottom w:val="0"/>
      <w:divBdr>
        <w:top w:val="none" w:sz="0" w:space="0" w:color="auto"/>
        <w:left w:val="none" w:sz="0" w:space="0" w:color="auto"/>
        <w:bottom w:val="none" w:sz="0" w:space="0" w:color="auto"/>
        <w:right w:val="none" w:sz="0" w:space="0" w:color="auto"/>
      </w:divBdr>
    </w:div>
    <w:div w:id="1226180167">
      <w:bodyDiv w:val="1"/>
      <w:marLeft w:val="0"/>
      <w:marRight w:val="0"/>
      <w:marTop w:val="0"/>
      <w:marBottom w:val="0"/>
      <w:divBdr>
        <w:top w:val="none" w:sz="0" w:space="0" w:color="auto"/>
        <w:left w:val="none" w:sz="0" w:space="0" w:color="auto"/>
        <w:bottom w:val="none" w:sz="0" w:space="0" w:color="auto"/>
        <w:right w:val="none" w:sz="0" w:space="0" w:color="auto"/>
      </w:divBdr>
    </w:div>
    <w:div w:id="1227767572">
      <w:bodyDiv w:val="1"/>
      <w:marLeft w:val="0"/>
      <w:marRight w:val="0"/>
      <w:marTop w:val="0"/>
      <w:marBottom w:val="0"/>
      <w:divBdr>
        <w:top w:val="none" w:sz="0" w:space="0" w:color="auto"/>
        <w:left w:val="none" w:sz="0" w:space="0" w:color="auto"/>
        <w:bottom w:val="none" w:sz="0" w:space="0" w:color="auto"/>
        <w:right w:val="none" w:sz="0" w:space="0" w:color="auto"/>
      </w:divBdr>
      <w:divsChild>
        <w:div w:id="1043212820">
          <w:marLeft w:val="0"/>
          <w:marRight w:val="0"/>
          <w:marTop w:val="0"/>
          <w:marBottom w:val="0"/>
          <w:divBdr>
            <w:top w:val="none" w:sz="0" w:space="0" w:color="auto"/>
            <w:left w:val="none" w:sz="0" w:space="0" w:color="auto"/>
            <w:bottom w:val="dotted" w:sz="6" w:space="4" w:color="DDDDDD"/>
            <w:right w:val="none" w:sz="0" w:space="0" w:color="auto"/>
          </w:divBdr>
        </w:div>
      </w:divsChild>
    </w:div>
    <w:div w:id="1227838470">
      <w:bodyDiv w:val="1"/>
      <w:marLeft w:val="0"/>
      <w:marRight w:val="0"/>
      <w:marTop w:val="0"/>
      <w:marBottom w:val="0"/>
      <w:divBdr>
        <w:top w:val="none" w:sz="0" w:space="0" w:color="auto"/>
        <w:left w:val="none" w:sz="0" w:space="0" w:color="auto"/>
        <w:bottom w:val="none" w:sz="0" w:space="0" w:color="auto"/>
        <w:right w:val="none" w:sz="0" w:space="0" w:color="auto"/>
      </w:divBdr>
      <w:divsChild>
        <w:div w:id="1099175209">
          <w:marLeft w:val="0"/>
          <w:marRight w:val="0"/>
          <w:marTop w:val="0"/>
          <w:marBottom w:val="0"/>
          <w:divBdr>
            <w:top w:val="none" w:sz="0" w:space="0" w:color="auto"/>
            <w:left w:val="none" w:sz="0" w:space="0" w:color="auto"/>
            <w:bottom w:val="dotted" w:sz="6" w:space="4" w:color="DDDDDD"/>
            <w:right w:val="none" w:sz="0" w:space="0" w:color="auto"/>
          </w:divBdr>
        </w:div>
      </w:divsChild>
    </w:div>
    <w:div w:id="1228299196">
      <w:bodyDiv w:val="1"/>
      <w:marLeft w:val="0"/>
      <w:marRight w:val="0"/>
      <w:marTop w:val="0"/>
      <w:marBottom w:val="0"/>
      <w:divBdr>
        <w:top w:val="none" w:sz="0" w:space="0" w:color="auto"/>
        <w:left w:val="none" w:sz="0" w:space="0" w:color="auto"/>
        <w:bottom w:val="none" w:sz="0" w:space="0" w:color="auto"/>
        <w:right w:val="none" w:sz="0" w:space="0" w:color="auto"/>
      </w:divBdr>
      <w:divsChild>
        <w:div w:id="1283344498">
          <w:marLeft w:val="0"/>
          <w:marRight w:val="0"/>
          <w:marTop w:val="0"/>
          <w:marBottom w:val="150"/>
          <w:divBdr>
            <w:top w:val="none" w:sz="0" w:space="0" w:color="auto"/>
            <w:left w:val="none" w:sz="0" w:space="0" w:color="auto"/>
            <w:bottom w:val="none" w:sz="0" w:space="0" w:color="auto"/>
            <w:right w:val="none" w:sz="0" w:space="0" w:color="auto"/>
          </w:divBdr>
        </w:div>
      </w:divsChild>
    </w:div>
    <w:div w:id="1228372153">
      <w:bodyDiv w:val="1"/>
      <w:marLeft w:val="0"/>
      <w:marRight w:val="0"/>
      <w:marTop w:val="0"/>
      <w:marBottom w:val="0"/>
      <w:divBdr>
        <w:top w:val="none" w:sz="0" w:space="0" w:color="auto"/>
        <w:left w:val="none" w:sz="0" w:space="0" w:color="auto"/>
        <w:bottom w:val="none" w:sz="0" w:space="0" w:color="auto"/>
        <w:right w:val="none" w:sz="0" w:space="0" w:color="auto"/>
      </w:divBdr>
    </w:div>
    <w:div w:id="1229345282">
      <w:bodyDiv w:val="1"/>
      <w:marLeft w:val="0"/>
      <w:marRight w:val="0"/>
      <w:marTop w:val="0"/>
      <w:marBottom w:val="0"/>
      <w:divBdr>
        <w:top w:val="none" w:sz="0" w:space="0" w:color="auto"/>
        <w:left w:val="none" w:sz="0" w:space="0" w:color="auto"/>
        <w:bottom w:val="none" w:sz="0" w:space="0" w:color="auto"/>
        <w:right w:val="none" w:sz="0" w:space="0" w:color="auto"/>
      </w:divBdr>
      <w:divsChild>
        <w:div w:id="870530277">
          <w:marLeft w:val="0"/>
          <w:marRight w:val="0"/>
          <w:marTop w:val="0"/>
          <w:marBottom w:val="150"/>
          <w:divBdr>
            <w:top w:val="none" w:sz="0" w:space="0" w:color="auto"/>
            <w:left w:val="none" w:sz="0" w:space="0" w:color="auto"/>
            <w:bottom w:val="none" w:sz="0" w:space="0" w:color="auto"/>
            <w:right w:val="none" w:sz="0" w:space="0" w:color="auto"/>
          </w:divBdr>
        </w:div>
      </w:divsChild>
    </w:div>
    <w:div w:id="1230143478">
      <w:bodyDiv w:val="1"/>
      <w:marLeft w:val="0"/>
      <w:marRight w:val="0"/>
      <w:marTop w:val="0"/>
      <w:marBottom w:val="0"/>
      <w:divBdr>
        <w:top w:val="none" w:sz="0" w:space="0" w:color="auto"/>
        <w:left w:val="none" w:sz="0" w:space="0" w:color="auto"/>
        <w:bottom w:val="none" w:sz="0" w:space="0" w:color="auto"/>
        <w:right w:val="none" w:sz="0" w:space="0" w:color="auto"/>
      </w:divBdr>
      <w:divsChild>
        <w:div w:id="1148086775">
          <w:marLeft w:val="0"/>
          <w:marRight w:val="0"/>
          <w:marTop w:val="0"/>
          <w:marBottom w:val="0"/>
          <w:divBdr>
            <w:top w:val="none" w:sz="0" w:space="0" w:color="auto"/>
            <w:left w:val="none" w:sz="0" w:space="0" w:color="auto"/>
            <w:bottom w:val="dotted" w:sz="6" w:space="4" w:color="DDDDDD"/>
            <w:right w:val="none" w:sz="0" w:space="0" w:color="auto"/>
          </w:divBdr>
        </w:div>
      </w:divsChild>
    </w:div>
    <w:div w:id="1230265900">
      <w:bodyDiv w:val="1"/>
      <w:marLeft w:val="0"/>
      <w:marRight w:val="0"/>
      <w:marTop w:val="0"/>
      <w:marBottom w:val="0"/>
      <w:divBdr>
        <w:top w:val="none" w:sz="0" w:space="0" w:color="auto"/>
        <w:left w:val="none" w:sz="0" w:space="0" w:color="auto"/>
        <w:bottom w:val="none" w:sz="0" w:space="0" w:color="auto"/>
        <w:right w:val="none" w:sz="0" w:space="0" w:color="auto"/>
      </w:divBdr>
      <w:divsChild>
        <w:div w:id="1819607989">
          <w:marLeft w:val="0"/>
          <w:marRight w:val="0"/>
          <w:marTop w:val="0"/>
          <w:marBottom w:val="0"/>
          <w:divBdr>
            <w:top w:val="none" w:sz="0" w:space="0" w:color="auto"/>
            <w:left w:val="none" w:sz="0" w:space="0" w:color="auto"/>
            <w:bottom w:val="dotted" w:sz="6" w:space="4" w:color="DDDDDD"/>
            <w:right w:val="none" w:sz="0" w:space="0" w:color="auto"/>
          </w:divBdr>
          <w:divsChild>
            <w:div w:id="49237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268216">
      <w:bodyDiv w:val="1"/>
      <w:marLeft w:val="0"/>
      <w:marRight w:val="0"/>
      <w:marTop w:val="0"/>
      <w:marBottom w:val="0"/>
      <w:divBdr>
        <w:top w:val="none" w:sz="0" w:space="0" w:color="auto"/>
        <w:left w:val="none" w:sz="0" w:space="0" w:color="auto"/>
        <w:bottom w:val="none" w:sz="0" w:space="0" w:color="auto"/>
        <w:right w:val="none" w:sz="0" w:space="0" w:color="auto"/>
      </w:divBdr>
      <w:divsChild>
        <w:div w:id="396825416">
          <w:marLeft w:val="0"/>
          <w:marRight w:val="0"/>
          <w:marTop w:val="0"/>
          <w:marBottom w:val="0"/>
          <w:divBdr>
            <w:top w:val="none" w:sz="0" w:space="0" w:color="auto"/>
            <w:left w:val="none" w:sz="0" w:space="0" w:color="auto"/>
            <w:bottom w:val="none" w:sz="0" w:space="0" w:color="auto"/>
            <w:right w:val="none" w:sz="0" w:space="0" w:color="auto"/>
          </w:divBdr>
          <w:divsChild>
            <w:div w:id="357852144">
              <w:marLeft w:val="0"/>
              <w:marRight w:val="0"/>
              <w:marTop w:val="0"/>
              <w:marBottom w:val="0"/>
              <w:divBdr>
                <w:top w:val="none" w:sz="0" w:space="0" w:color="auto"/>
                <w:left w:val="none" w:sz="0" w:space="0" w:color="auto"/>
                <w:bottom w:val="none" w:sz="0" w:space="0" w:color="auto"/>
                <w:right w:val="none" w:sz="0" w:space="0" w:color="auto"/>
              </w:divBdr>
              <w:divsChild>
                <w:div w:id="2071725397">
                  <w:marLeft w:val="0"/>
                  <w:marRight w:val="0"/>
                  <w:marTop w:val="0"/>
                  <w:marBottom w:val="0"/>
                  <w:divBdr>
                    <w:top w:val="none" w:sz="0" w:space="0" w:color="auto"/>
                    <w:left w:val="none" w:sz="0" w:space="0" w:color="auto"/>
                    <w:bottom w:val="none" w:sz="0" w:space="0" w:color="auto"/>
                    <w:right w:val="none" w:sz="0" w:space="0" w:color="auto"/>
                  </w:divBdr>
                  <w:divsChild>
                    <w:div w:id="364212619">
                      <w:marLeft w:val="0"/>
                      <w:marRight w:val="0"/>
                      <w:marTop w:val="0"/>
                      <w:marBottom w:val="300"/>
                      <w:divBdr>
                        <w:top w:val="none" w:sz="0" w:space="0" w:color="auto"/>
                        <w:left w:val="none" w:sz="0" w:space="0" w:color="auto"/>
                        <w:bottom w:val="none" w:sz="0" w:space="0" w:color="auto"/>
                        <w:right w:val="none" w:sz="0" w:space="0" w:color="auto"/>
                      </w:divBdr>
                      <w:divsChild>
                        <w:div w:id="1109593463">
                          <w:marLeft w:val="0"/>
                          <w:marRight w:val="0"/>
                          <w:marTop w:val="0"/>
                          <w:marBottom w:val="225"/>
                          <w:divBdr>
                            <w:top w:val="single" w:sz="6" w:space="11" w:color="E5E5E5"/>
                            <w:left w:val="single" w:sz="6" w:space="11" w:color="E5E5E5"/>
                            <w:bottom w:val="single" w:sz="6" w:space="1" w:color="E5E5E5"/>
                            <w:right w:val="single" w:sz="6" w:space="11" w:color="E5E5E5"/>
                          </w:divBdr>
                          <w:divsChild>
                            <w:div w:id="1290011646">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929200065">
          <w:marLeft w:val="0"/>
          <w:marRight w:val="0"/>
          <w:marTop w:val="0"/>
          <w:marBottom w:val="0"/>
          <w:divBdr>
            <w:top w:val="single" w:sz="6" w:space="0" w:color="E5E5E5"/>
            <w:left w:val="none" w:sz="0" w:space="0" w:color="auto"/>
            <w:bottom w:val="single" w:sz="18" w:space="0" w:color="000000"/>
            <w:right w:val="none" w:sz="0" w:space="0" w:color="auto"/>
          </w:divBdr>
          <w:divsChild>
            <w:div w:id="598611107">
              <w:marLeft w:val="0"/>
              <w:marRight w:val="0"/>
              <w:marTop w:val="0"/>
              <w:marBottom w:val="0"/>
              <w:divBdr>
                <w:top w:val="none" w:sz="0" w:space="0" w:color="auto"/>
                <w:left w:val="none" w:sz="0" w:space="0" w:color="auto"/>
                <w:bottom w:val="none" w:sz="0" w:space="0" w:color="auto"/>
                <w:right w:val="none" w:sz="0" w:space="0" w:color="auto"/>
              </w:divBdr>
              <w:divsChild>
                <w:div w:id="133237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577558">
      <w:bodyDiv w:val="1"/>
      <w:marLeft w:val="0"/>
      <w:marRight w:val="0"/>
      <w:marTop w:val="0"/>
      <w:marBottom w:val="0"/>
      <w:divBdr>
        <w:top w:val="none" w:sz="0" w:space="0" w:color="auto"/>
        <w:left w:val="none" w:sz="0" w:space="0" w:color="auto"/>
        <w:bottom w:val="none" w:sz="0" w:space="0" w:color="auto"/>
        <w:right w:val="none" w:sz="0" w:space="0" w:color="auto"/>
      </w:divBdr>
      <w:divsChild>
        <w:div w:id="305011576">
          <w:marLeft w:val="0"/>
          <w:marRight w:val="0"/>
          <w:marTop w:val="0"/>
          <w:marBottom w:val="0"/>
          <w:divBdr>
            <w:top w:val="none" w:sz="0" w:space="0" w:color="auto"/>
            <w:left w:val="none" w:sz="0" w:space="0" w:color="auto"/>
            <w:bottom w:val="none" w:sz="0" w:space="0" w:color="auto"/>
            <w:right w:val="none" w:sz="0" w:space="0" w:color="auto"/>
          </w:divBdr>
        </w:div>
      </w:divsChild>
    </w:div>
    <w:div w:id="1231429010">
      <w:bodyDiv w:val="1"/>
      <w:marLeft w:val="0"/>
      <w:marRight w:val="0"/>
      <w:marTop w:val="0"/>
      <w:marBottom w:val="0"/>
      <w:divBdr>
        <w:top w:val="none" w:sz="0" w:space="0" w:color="auto"/>
        <w:left w:val="none" w:sz="0" w:space="0" w:color="auto"/>
        <w:bottom w:val="none" w:sz="0" w:space="0" w:color="auto"/>
        <w:right w:val="none" w:sz="0" w:space="0" w:color="auto"/>
      </w:divBdr>
      <w:divsChild>
        <w:div w:id="553850390">
          <w:marLeft w:val="0"/>
          <w:marRight w:val="0"/>
          <w:marTop w:val="0"/>
          <w:marBottom w:val="150"/>
          <w:divBdr>
            <w:top w:val="none" w:sz="0" w:space="0" w:color="auto"/>
            <w:left w:val="none" w:sz="0" w:space="0" w:color="auto"/>
            <w:bottom w:val="none" w:sz="0" w:space="0" w:color="auto"/>
            <w:right w:val="none" w:sz="0" w:space="0" w:color="auto"/>
          </w:divBdr>
        </w:div>
      </w:divsChild>
    </w:div>
    <w:div w:id="1231649083">
      <w:bodyDiv w:val="1"/>
      <w:marLeft w:val="0"/>
      <w:marRight w:val="0"/>
      <w:marTop w:val="0"/>
      <w:marBottom w:val="0"/>
      <w:divBdr>
        <w:top w:val="none" w:sz="0" w:space="0" w:color="auto"/>
        <w:left w:val="none" w:sz="0" w:space="0" w:color="auto"/>
        <w:bottom w:val="none" w:sz="0" w:space="0" w:color="auto"/>
        <w:right w:val="none" w:sz="0" w:space="0" w:color="auto"/>
      </w:divBdr>
    </w:div>
    <w:div w:id="1231768164">
      <w:bodyDiv w:val="1"/>
      <w:marLeft w:val="0"/>
      <w:marRight w:val="0"/>
      <w:marTop w:val="0"/>
      <w:marBottom w:val="0"/>
      <w:divBdr>
        <w:top w:val="none" w:sz="0" w:space="0" w:color="auto"/>
        <w:left w:val="none" w:sz="0" w:space="0" w:color="auto"/>
        <w:bottom w:val="none" w:sz="0" w:space="0" w:color="auto"/>
        <w:right w:val="none" w:sz="0" w:space="0" w:color="auto"/>
      </w:divBdr>
      <w:divsChild>
        <w:div w:id="2140998542">
          <w:marLeft w:val="0"/>
          <w:marRight w:val="0"/>
          <w:marTop w:val="0"/>
          <w:marBottom w:val="0"/>
          <w:divBdr>
            <w:top w:val="none" w:sz="0" w:space="0" w:color="auto"/>
            <w:left w:val="none" w:sz="0" w:space="0" w:color="auto"/>
            <w:bottom w:val="none" w:sz="0" w:space="0" w:color="auto"/>
            <w:right w:val="none" w:sz="0" w:space="0" w:color="auto"/>
          </w:divBdr>
          <w:divsChild>
            <w:div w:id="206235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963996">
      <w:bodyDiv w:val="1"/>
      <w:marLeft w:val="0"/>
      <w:marRight w:val="0"/>
      <w:marTop w:val="0"/>
      <w:marBottom w:val="0"/>
      <w:divBdr>
        <w:top w:val="none" w:sz="0" w:space="0" w:color="auto"/>
        <w:left w:val="none" w:sz="0" w:space="0" w:color="auto"/>
        <w:bottom w:val="none" w:sz="0" w:space="0" w:color="auto"/>
        <w:right w:val="none" w:sz="0" w:space="0" w:color="auto"/>
      </w:divBdr>
    </w:div>
    <w:div w:id="1233466269">
      <w:bodyDiv w:val="1"/>
      <w:marLeft w:val="0"/>
      <w:marRight w:val="0"/>
      <w:marTop w:val="0"/>
      <w:marBottom w:val="0"/>
      <w:divBdr>
        <w:top w:val="none" w:sz="0" w:space="0" w:color="auto"/>
        <w:left w:val="none" w:sz="0" w:space="0" w:color="auto"/>
        <w:bottom w:val="none" w:sz="0" w:space="0" w:color="auto"/>
        <w:right w:val="none" w:sz="0" w:space="0" w:color="auto"/>
      </w:divBdr>
      <w:divsChild>
        <w:div w:id="1835491647">
          <w:marLeft w:val="0"/>
          <w:marRight w:val="0"/>
          <w:marTop w:val="0"/>
          <w:marBottom w:val="0"/>
          <w:divBdr>
            <w:top w:val="none" w:sz="0" w:space="0" w:color="auto"/>
            <w:left w:val="none" w:sz="0" w:space="0" w:color="auto"/>
            <w:bottom w:val="dotted" w:sz="6" w:space="4" w:color="DDDDDD"/>
            <w:right w:val="none" w:sz="0" w:space="0" w:color="auto"/>
          </w:divBdr>
          <w:divsChild>
            <w:div w:id="1712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86999">
      <w:bodyDiv w:val="1"/>
      <w:marLeft w:val="0"/>
      <w:marRight w:val="0"/>
      <w:marTop w:val="0"/>
      <w:marBottom w:val="0"/>
      <w:divBdr>
        <w:top w:val="none" w:sz="0" w:space="0" w:color="auto"/>
        <w:left w:val="none" w:sz="0" w:space="0" w:color="auto"/>
        <w:bottom w:val="none" w:sz="0" w:space="0" w:color="auto"/>
        <w:right w:val="none" w:sz="0" w:space="0" w:color="auto"/>
      </w:divBdr>
      <w:divsChild>
        <w:div w:id="464280471">
          <w:marLeft w:val="0"/>
          <w:marRight w:val="0"/>
          <w:marTop w:val="0"/>
          <w:marBottom w:val="0"/>
          <w:divBdr>
            <w:top w:val="none" w:sz="0" w:space="0" w:color="auto"/>
            <w:left w:val="none" w:sz="0" w:space="0" w:color="auto"/>
            <w:bottom w:val="dotted" w:sz="6" w:space="4" w:color="DDDDDD"/>
            <w:right w:val="none" w:sz="0" w:space="0" w:color="auto"/>
          </w:divBdr>
          <w:divsChild>
            <w:div w:id="120818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659676">
      <w:bodyDiv w:val="1"/>
      <w:marLeft w:val="0"/>
      <w:marRight w:val="0"/>
      <w:marTop w:val="0"/>
      <w:marBottom w:val="0"/>
      <w:divBdr>
        <w:top w:val="none" w:sz="0" w:space="0" w:color="auto"/>
        <w:left w:val="none" w:sz="0" w:space="0" w:color="auto"/>
        <w:bottom w:val="none" w:sz="0" w:space="0" w:color="auto"/>
        <w:right w:val="none" w:sz="0" w:space="0" w:color="auto"/>
      </w:divBdr>
    </w:div>
    <w:div w:id="1234075080">
      <w:bodyDiv w:val="1"/>
      <w:marLeft w:val="0"/>
      <w:marRight w:val="0"/>
      <w:marTop w:val="0"/>
      <w:marBottom w:val="0"/>
      <w:divBdr>
        <w:top w:val="none" w:sz="0" w:space="0" w:color="auto"/>
        <w:left w:val="none" w:sz="0" w:space="0" w:color="auto"/>
        <w:bottom w:val="none" w:sz="0" w:space="0" w:color="auto"/>
        <w:right w:val="none" w:sz="0" w:space="0" w:color="auto"/>
      </w:divBdr>
      <w:divsChild>
        <w:div w:id="1860776719">
          <w:marLeft w:val="0"/>
          <w:marRight w:val="0"/>
          <w:marTop w:val="0"/>
          <w:marBottom w:val="0"/>
          <w:divBdr>
            <w:top w:val="none" w:sz="0" w:space="0" w:color="auto"/>
            <w:left w:val="none" w:sz="0" w:space="0" w:color="auto"/>
            <w:bottom w:val="none" w:sz="0" w:space="0" w:color="auto"/>
            <w:right w:val="none" w:sz="0" w:space="0" w:color="auto"/>
          </w:divBdr>
        </w:div>
        <w:div w:id="1887403919">
          <w:marLeft w:val="0"/>
          <w:marRight w:val="0"/>
          <w:marTop w:val="0"/>
          <w:marBottom w:val="0"/>
          <w:divBdr>
            <w:top w:val="none" w:sz="0" w:space="0" w:color="auto"/>
            <w:left w:val="none" w:sz="0" w:space="0" w:color="auto"/>
            <w:bottom w:val="none" w:sz="0" w:space="0" w:color="auto"/>
            <w:right w:val="none" w:sz="0" w:space="0" w:color="auto"/>
          </w:divBdr>
        </w:div>
      </w:divsChild>
    </w:div>
    <w:div w:id="1234124060">
      <w:bodyDiv w:val="1"/>
      <w:marLeft w:val="0"/>
      <w:marRight w:val="0"/>
      <w:marTop w:val="0"/>
      <w:marBottom w:val="0"/>
      <w:divBdr>
        <w:top w:val="none" w:sz="0" w:space="0" w:color="auto"/>
        <w:left w:val="none" w:sz="0" w:space="0" w:color="auto"/>
        <w:bottom w:val="none" w:sz="0" w:space="0" w:color="auto"/>
        <w:right w:val="none" w:sz="0" w:space="0" w:color="auto"/>
      </w:divBdr>
    </w:div>
    <w:div w:id="1234437417">
      <w:bodyDiv w:val="1"/>
      <w:marLeft w:val="0"/>
      <w:marRight w:val="0"/>
      <w:marTop w:val="0"/>
      <w:marBottom w:val="0"/>
      <w:divBdr>
        <w:top w:val="none" w:sz="0" w:space="0" w:color="auto"/>
        <w:left w:val="none" w:sz="0" w:space="0" w:color="auto"/>
        <w:bottom w:val="none" w:sz="0" w:space="0" w:color="auto"/>
        <w:right w:val="none" w:sz="0" w:space="0" w:color="auto"/>
      </w:divBdr>
      <w:divsChild>
        <w:div w:id="156969438">
          <w:marLeft w:val="0"/>
          <w:marRight w:val="0"/>
          <w:marTop w:val="0"/>
          <w:marBottom w:val="0"/>
          <w:divBdr>
            <w:top w:val="none" w:sz="0" w:space="0" w:color="auto"/>
            <w:left w:val="none" w:sz="0" w:space="0" w:color="auto"/>
            <w:bottom w:val="dotted" w:sz="6" w:space="4" w:color="DDDDDD"/>
            <w:right w:val="none" w:sz="0" w:space="0" w:color="auto"/>
          </w:divBdr>
          <w:divsChild>
            <w:div w:id="64397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514071">
      <w:bodyDiv w:val="1"/>
      <w:marLeft w:val="0"/>
      <w:marRight w:val="0"/>
      <w:marTop w:val="0"/>
      <w:marBottom w:val="0"/>
      <w:divBdr>
        <w:top w:val="none" w:sz="0" w:space="0" w:color="auto"/>
        <w:left w:val="none" w:sz="0" w:space="0" w:color="auto"/>
        <w:bottom w:val="none" w:sz="0" w:space="0" w:color="auto"/>
        <w:right w:val="none" w:sz="0" w:space="0" w:color="auto"/>
      </w:divBdr>
      <w:divsChild>
        <w:div w:id="1799450170">
          <w:marLeft w:val="0"/>
          <w:marRight w:val="0"/>
          <w:marTop w:val="0"/>
          <w:marBottom w:val="0"/>
          <w:divBdr>
            <w:top w:val="none" w:sz="0" w:space="0" w:color="auto"/>
            <w:left w:val="none" w:sz="0" w:space="0" w:color="auto"/>
            <w:bottom w:val="none" w:sz="0" w:space="0" w:color="auto"/>
            <w:right w:val="none" w:sz="0" w:space="0" w:color="auto"/>
          </w:divBdr>
          <w:divsChild>
            <w:div w:id="1274822797">
              <w:marLeft w:val="0"/>
              <w:marRight w:val="0"/>
              <w:marTop w:val="0"/>
              <w:marBottom w:val="0"/>
              <w:divBdr>
                <w:top w:val="none" w:sz="0" w:space="0" w:color="auto"/>
                <w:left w:val="none" w:sz="0" w:space="0" w:color="auto"/>
                <w:bottom w:val="none" w:sz="0" w:space="0" w:color="auto"/>
                <w:right w:val="none" w:sz="0" w:space="0" w:color="auto"/>
              </w:divBdr>
              <w:divsChild>
                <w:div w:id="1684210600">
                  <w:marLeft w:val="0"/>
                  <w:marRight w:val="0"/>
                  <w:marTop w:val="0"/>
                  <w:marBottom w:val="0"/>
                  <w:divBdr>
                    <w:top w:val="none" w:sz="0" w:space="0" w:color="auto"/>
                    <w:left w:val="none" w:sz="0" w:space="0" w:color="auto"/>
                    <w:bottom w:val="none" w:sz="0" w:space="0" w:color="auto"/>
                    <w:right w:val="none" w:sz="0" w:space="0" w:color="auto"/>
                  </w:divBdr>
                  <w:divsChild>
                    <w:div w:id="609513039">
                      <w:marLeft w:val="0"/>
                      <w:marRight w:val="0"/>
                      <w:marTop w:val="0"/>
                      <w:marBottom w:val="0"/>
                      <w:divBdr>
                        <w:top w:val="none" w:sz="0" w:space="0" w:color="auto"/>
                        <w:left w:val="none" w:sz="0" w:space="0" w:color="auto"/>
                        <w:bottom w:val="none" w:sz="0" w:space="0" w:color="auto"/>
                        <w:right w:val="none" w:sz="0" w:space="0" w:color="auto"/>
                      </w:divBdr>
                      <w:divsChild>
                        <w:div w:id="551844717">
                          <w:marLeft w:val="0"/>
                          <w:marRight w:val="0"/>
                          <w:marTop w:val="0"/>
                          <w:marBottom w:val="0"/>
                          <w:divBdr>
                            <w:top w:val="none" w:sz="0" w:space="0" w:color="auto"/>
                            <w:left w:val="none" w:sz="0" w:space="0" w:color="auto"/>
                            <w:bottom w:val="none" w:sz="0" w:space="0" w:color="auto"/>
                            <w:right w:val="none" w:sz="0" w:space="0" w:color="auto"/>
                          </w:divBdr>
                          <w:divsChild>
                            <w:div w:id="1190486644">
                              <w:marLeft w:val="0"/>
                              <w:marRight w:val="0"/>
                              <w:marTop w:val="0"/>
                              <w:marBottom w:val="0"/>
                              <w:divBdr>
                                <w:top w:val="none" w:sz="0" w:space="0" w:color="auto"/>
                                <w:left w:val="none" w:sz="0" w:space="0" w:color="auto"/>
                                <w:bottom w:val="none" w:sz="0" w:space="0" w:color="auto"/>
                                <w:right w:val="none" w:sz="0" w:space="0" w:color="auto"/>
                              </w:divBdr>
                              <w:divsChild>
                                <w:div w:id="5532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5124157">
      <w:bodyDiv w:val="1"/>
      <w:marLeft w:val="0"/>
      <w:marRight w:val="0"/>
      <w:marTop w:val="0"/>
      <w:marBottom w:val="0"/>
      <w:divBdr>
        <w:top w:val="none" w:sz="0" w:space="0" w:color="auto"/>
        <w:left w:val="none" w:sz="0" w:space="0" w:color="auto"/>
        <w:bottom w:val="none" w:sz="0" w:space="0" w:color="auto"/>
        <w:right w:val="none" w:sz="0" w:space="0" w:color="auto"/>
      </w:divBdr>
    </w:div>
    <w:div w:id="1235236636">
      <w:bodyDiv w:val="1"/>
      <w:marLeft w:val="0"/>
      <w:marRight w:val="0"/>
      <w:marTop w:val="0"/>
      <w:marBottom w:val="0"/>
      <w:divBdr>
        <w:top w:val="none" w:sz="0" w:space="0" w:color="auto"/>
        <w:left w:val="none" w:sz="0" w:space="0" w:color="auto"/>
        <w:bottom w:val="none" w:sz="0" w:space="0" w:color="auto"/>
        <w:right w:val="none" w:sz="0" w:space="0" w:color="auto"/>
      </w:divBdr>
      <w:divsChild>
        <w:div w:id="405687066">
          <w:marLeft w:val="0"/>
          <w:marRight w:val="0"/>
          <w:marTop w:val="0"/>
          <w:marBottom w:val="0"/>
          <w:divBdr>
            <w:top w:val="none" w:sz="0" w:space="0" w:color="auto"/>
            <w:left w:val="none" w:sz="0" w:space="0" w:color="auto"/>
            <w:bottom w:val="none" w:sz="0" w:space="0" w:color="auto"/>
            <w:right w:val="none" w:sz="0" w:space="0" w:color="auto"/>
          </w:divBdr>
          <w:divsChild>
            <w:div w:id="889071799">
              <w:marLeft w:val="0"/>
              <w:marRight w:val="0"/>
              <w:marTop w:val="0"/>
              <w:marBottom w:val="0"/>
              <w:divBdr>
                <w:top w:val="none" w:sz="0" w:space="0" w:color="auto"/>
                <w:left w:val="none" w:sz="0" w:space="0" w:color="auto"/>
                <w:bottom w:val="none" w:sz="0" w:space="0" w:color="auto"/>
                <w:right w:val="none" w:sz="0" w:space="0" w:color="auto"/>
              </w:divBdr>
              <w:divsChild>
                <w:div w:id="1018045884">
                  <w:marLeft w:val="0"/>
                  <w:marRight w:val="0"/>
                  <w:marTop w:val="0"/>
                  <w:marBottom w:val="0"/>
                  <w:divBdr>
                    <w:top w:val="none" w:sz="0" w:space="0" w:color="auto"/>
                    <w:left w:val="none" w:sz="0" w:space="0" w:color="auto"/>
                    <w:bottom w:val="none" w:sz="0" w:space="0" w:color="auto"/>
                    <w:right w:val="none" w:sz="0" w:space="0" w:color="auto"/>
                  </w:divBdr>
                  <w:divsChild>
                    <w:div w:id="163127613">
                      <w:marLeft w:val="0"/>
                      <w:marRight w:val="0"/>
                      <w:marTop w:val="0"/>
                      <w:marBottom w:val="0"/>
                      <w:divBdr>
                        <w:top w:val="none" w:sz="0" w:space="0" w:color="auto"/>
                        <w:left w:val="none" w:sz="0" w:space="0" w:color="auto"/>
                        <w:bottom w:val="none" w:sz="0" w:space="0" w:color="auto"/>
                        <w:right w:val="none" w:sz="0" w:space="0" w:color="auto"/>
                      </w:divBdr>
                      <w:divsChild>
                        <w:div w:id="1695887430">
                          <w:marLeft w:val="0"/>
                          <w:marRight w:val="0"/>
                          <w:marTop w:val="0"/>
                          <w:marBottom w:val="0"/>
                          <w:divBdr>
                            <w:top w:val="none" w:sz="0" w:space="0" w:color="auto"/>
                            <w:left w:val="none" w:sz="0" w:space="0" w:color="auto"/>
                            <w:bottom w:val="none" w:sz="0" w:space="0" w:color="auto"/>
                            <w:right w:val="none" w:sz="0" w:space="0" w:color="auto"/>
                          </w:divBdr>
                          <w:divsChild>
                            <w:div w:id="1508522167">
                              <w:marLeft w:val="0"/>
                              <w:marRight w:val="0"/>
                              <w:marTop w:val="0"/>
                              <w:marBottom w:val="0"/>
                              <w:divBdr>
                                <w:top w:val="none" w:sz="0" w:space="0" w:color="auto"/>
                                <w:left w:val="none" w:sz="0" w:space="0" w:color="auto"/>
                                <w:bottom w:val="none" w:sz="0" w:space="0" w:color="auto"/>
                                <w:right w:val="none" w:sz="0" w:space="0" w:color="auto"/>
                              </w:divBdr>
                              <w:divsChild>
                                <w:div w:id="644818322">
                                  <w:marLeft w:val="0"/>
                                  <w:marRight w:val="0"/>
                                  <w:marTop w:val="0"/>
                                  <w:marBottom w:val="75"/>
                                  <w:divBdr>
                                    <w:top w:val="none" w:sz="0" w:space="0" w:color="auto"/>
                                    <w:left w:val="none" w:sz="0" w:space="0" w:color="auto"/>
                                    <w:bottom w:val="none" w:sz="0" w:space="0" w:color="auto"/>
                                    <w:right w:val="none" w:sz="0" w:space="0" w:color="auto"/>
                                  </w:divBdr>
                                  <w:divsChild>
                                    <w:div w:id="105541180">
                                      <w:marLeft w:val="0"/>
                                      <w:marRight w:val="0"/>
                                      <w:marTop w:val="0"/>
                                      <w:marBottom w:val="0"/>
                                      <w:divBdr>
                                        <w:top w:val="none" w:sz="0" w:space="0" w:color="auto"/>
                                        <w:left w:val="none" w:sz="0" w:space="0" w:color="auto"/>
                                        <w:bottom w:val="none" w:sz="0" w:space="0" w:color="auto"/>
                                        <w:right w:val="none" w:sz="0" w:space="0" w:color="auto"/>
                                      </w:divBdr>
                                      <w:divsChild>
                                        <w:div w:id="182911917">
                                          <w:marLeft w:val="0"/>
                                          <w:marRight w:val="0"/>
                                          <w:marTop w:val="0"/>
                                          <w:marBottom w:val="0"/>
                                          <w:divBdr>
                                            <w:top w:val="none" w:sz="0" w:space="0" w:color="auto"/>
                                            <w:left w:val="none" w:sz="0" w:space="0" w:color="auto"/>
                                            <w:bottom w:val="none" w:sz="0" w:space="0" w:color="auto"/>
                                            <w:right w:val="none" w:sz="0" w:space="0" w:color="auto"/>
                                          </w:divBdr>
                                          <w:divsChild>
                                            <w:div w:id="1520657225">
                                              <w:marLeft w:val="0"/>
                                              <w:marRight w:val="0"/>
                                              <w:marTop w:val="0"/>
                                              <w:marBottom w:val="0"/>
                                              <w:divBdr>
                                                <w:top w:val="none" w:sz="0" w:space="0" w:color="auto"/>
                                                <w:left w:val="none" w:sz="0" w:space="0" w:color="auto"/>
                                                <w:bottom w:val="none" w:sz="0" w:space="0" w:color="auto"/>
                                                <w:right w:val="none" w:sz="0" w:space="0" w:color="auto"/>
                                              </w:divBdr>
                                              <w:divsChild>
                                                <w:div w:id="3649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5356754">
      <w:bodyDiv w:val="1"/>
      <w:marLeft w:val="0"/>
      <w:marRight w:val="0"/>
      <w:marTop w:val="0"/>
      <w:marBottom w:val="0"/>
      <w:divBdr>
        <w:top w:val="none" w:sz="0" w:space="0" w:color="auto"/>
        <w:left w:val="none" w:sz="0" w:space="0" w:color="auto"/>
        <w:bottom w:val="none" w:sz="0" w:space="0" w:color="auto"/>
        <w:right w:val="none" w:sz="0" w:space="0" w:color="auto"/>
      </w:divBdr>
      <w:divsChild>
        <w:div w:id="1052077993">
          <w:marLeft w:val="0"/>
          <w:marRight w:val="0"/>
          <w:marTop w:val="0"/>
          <w:marBottom w:val="0"/>
          <w:divBdr>
            <w:top w:val="none" w:sz="0" w:space="0" w:color="auto"/>
            <w:left w:val="none" w:sz="0" w:space="0" w:color="auto"/>
            <w:bottom w:val="none" w:sz="0" w:space="0" w:color="auto"/>
            <w:right w:val="none" w:sz="0" w:space="0" w:color="auto"/>
          </w:divBdr>
          <w:divsChild>
            <w:div w:id="731119958">
              <w:marLeft w:val="0"/>
              <w:marRight w:val="210"/>
              <w:marTop w:val="0"/>
              <w:marBottom w:val="210"/>
              <w:divBdr>
                <w:top w:val="none" w:sz="0" w:space="0" w:color="auto"/>
                <w:left w:val="none" w:sz="0" w:space="0" w:color="auto"/>
                <w:bottom w:val="none" w:sz="0" w:space="0" w:color="auto"/>
                <w:right w:val="none" w:sz="0" w:space="0" w:color="auto"/>
              </w:divBdr>
            </w:div>
          </w:divsChild>
        </w:div>
      </w:divsChild>
    </w:div>
    <w:div w:id="1235433694">
      <w:bodyDiv w:val="1"/>
      <w:marLeft w:val="0"/>
      <w:marRight w:val="0"/>
      <w:marTop w:val="0"/>
      <w:marBottom w:val="0"/>
      <w:divBdr>
        <w:top w:val="none" w:sz="0" w:space="0" w:color="auto"/>
        <w:left w:val="none" w:sz="0" w:space="0" w:color="auto"/>
        <w:bottom w:val="none" w:sz="0" w:space="0" w:color="auto"/>
        <w:right w:val="none" w:sz="0" w:space="0" w:color="auto"/>
      </w:divBdr>
      <w:divsChild>
        <w:div w:id="1418674616">
          <w:marLeft w:val="0"/>
          <w:marRight w:val="0"/>
          <w:marTop w:val="0"/>
          <w:marBottom w:val="0"/>
          <w:divBdr>
            <w:top w:val="none" w:sz="0" w:space="0" w:color="auto"/>
            <w:left w:val="none" w:sz="0" w:space="0" w:color="auto"/>
            <w:bottom w:val="dotted" w:sz="6" w:space="4" w:color="DDDDDD"/>
            <w:right w:val="none" w:sz="0" w:space="0" w:color="auto"/>
          </w:divBdr>
          <w:divsChild>
            <w:div w:id="104976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437718">
      <w:bodyDiv w:val="1"/>
      <w:marLeft w:val="0"/>
      <w:marRight w:val="0"/>
      <w:marTop w:val="0"/>
      <w:marBottom w:val="0"/>
      <w:divBdr>
        <w:top w:val="none" w:sz="0" w:space="0" w:color="auto"/>
        <w:left w:val="none" w:sz="0" w:space="0" w:color="auto"/>
        <w:bottom w:val="none" w:sz="0" w:space="0" w:color="auto"/>
        <w:right w:val="none" w:sz="0" w:space="0" w:color="auto"/>
      </w:divBdr>
      <w:divsChild>
        <w:div w:id="276253883">
          <w:marLeft w:val="0"/>
          <w:marRight w:val="0"/>
          <w:marTop w:val="0"/>
          <w:marBottom w:val="0"/>
          <w:divBdr>
            <w:top w:val="none" w:sz="0" w:space="0" w:color="auto"/>
            <w:left w:val="none" w:sz="0" w:space="0" w:color="auto"/>
            <w:bottom w:val="none" w:sz="0" w:space="0" w:color="auto"/>
            <w:right w:val="none" w:sz="0" w:space="0" w:color="auto"/>
          </w:divBdr>
          <w:divsChild>
            <w:div w:id="1561674370">
              <w:marLeft w:val="0"/>
              <w:marRight w:val="0"/>
              <w:marTop w:val="225"/>
              <w:marBottom w:val="225"/>
              <w:divBdr>
                <w:top w:val="none" w:sz="0" w:space="0" w:color="auto"/>
                <w:left w:val="none" w:sz="0" w:space="0" w:color="auto"/>
                <w:bottom w:val="none" w:sz="0" w:space="0" w:color="auto"/>
                <w:right w:val="none" w:sz="0" w:space="0" w:color="auto"/>
              </w:divBdr>
            </w:div>
          </w:divsChild>
        </w:div>
        <w:div w:id="456416453">
          <w:marLeft w:val="0"/>
          <w:marRight w:val="0"/>
          <w:marTop w:val="0"/>
          <w:marBottom w:val="150"/>
          <w:divBdr>
            <w:top w:val="none" w:sz="0" w:space="0" w:color="auto"/>
            <w:left w:val="none" w:sz="0" w:space="0" w:color="auto"/>
            <w:bottom w:val="none" w:sz="0" w:space="0" w:color="auto"/>
            <w:right w:val="none" w:sz="0" w:space="0" w:color="auto"/>
          </w:divBdr>
        </w:div>
        <w:div w:id="1465469958">
          <w:marLeft w:val="0"/>
          <w:marRight w:val="0"/>
          <w:marTop w:val="0"/>
          <w:marBottom w:val="150"/>
          <w:divBdr>
            <w:top w:val="none" w:sz="0" w:space="0" w:color="auto"/>
            <w:left w:val="none" w:sz="0" w:space="0" w:color="auto"/>
            <w:bottom w:val="none" w:sz="0" w:space="0" w:color="auto"/>
            <w:right w:val="none" w:sz="0" w:space="0" w:color="auto"/>
          </w:divBdr>
          <w:divsChild>
            <w:div w:id="1442721607">
              <w:marLeft w:val="0"/>
              <w:marRight w:val="0"/>
              <w:marTop w:val="0"/>
              <w:marBottom w:val="0"/>
              <w:divBdr>
                <w:top w:val="none" w:sz="0" w:space="0" w:color="auto"/>
                <w:left w:val="none" w:sz="0" w:space="0" w:color="auto"/>
                <w:bottom w:val="none" w:sz="0" w:space="0" w:color="auto"/>
                <w:right w:val="none" w:sz="0" w:space="0" w:color="auto"/>
              </w:divBdr>
              <w:divsChild>
                <w:div w:id="3258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895806">
      <w:bodyDiv w:val="1"/>
      <w:marLeft w:val="0"/>
      <w:marRight w:val="0"/>
      <w:marTop w:val="0"/>
      <w:marBottom w:val="0"/>
      <w:divBdr>
        <w:top w:val="none" w:sz="0" w:space="0" w:color="auto"/>
        <w:left w:val="none" w:sz="0" w:space="0" w:color="auto"/>
        <w:bottom w:val="none" w:sz="0" w:space="0" w:color="auto"/>
        <w:right w:val="none" w:sz="0" w:space="0" w:color="auto"/>
      </w:divBdr>
    </w:div>
    <w:div w:id="1236547891">
      <w:bodyDiv w:val="1"/>
      <w:marLeft w:val="0"/>
      <w:marRight w:val="0"/>
      <w:marTop w:val="0"/>
      <w:marBottom w:val="0"/>
      <w:divBdr>
        <w:top w:val="none" w:sz="0" w:space="0" w:color="auto"/>
        <w:left w:val="none" w:sz="0" w:space="0" w:color="auto"/>
        <w:bottom w:val="none" w:sz="0" w:space="0" w:color="auto"/>
        <w:right w:val="none" w:sz="0" w:space="0" w:color="auto"/>
      </w:divBdr>
    </w:div>
    <w:div w:id="1236549088">
      <w:bodyDiv w:val="1"/>
      <w:marLeft w:val="0"/>
      <w:marRight w:val="0"/>
      <w:marTop w:val="0"/>
      <w:marBottom w:val="0"/>
      <w:divBdr>
        <w:top w:val="none" w:sz="0" w:space="0" w:color="auto"/>
        <w:left w:val="none" w:sz="0" w:space="0" w:color="auto"/>
        <w:bottom w:val="none" w:sz="0" w:space="0" w:color="auto"/>
        <w:right w:val="none" w:sz="0" w:space="0" w:color="auto"/>
      </w:divBdr>
      <w:divsChild>
        <w:div w:id="56707015">
          <w:marLeft w:val="0"/>
          <w:marRight w:val="0"/>
          <w:marTop w:val="0"/>
          <w:marBottom w:val="0"/>
          <w:divBdr>
            <w:top w:val="none" w:sz="0" w:space="0" w:color="auto"/>
            <w:left w:val="none" w:sz="0" w:space="0" w:color="auto"/>
            <w:bottom w:val="none" w:sz="0" w:space="0" w:color="auto"/>
            <w:right w:val="none" w:sz="0" w:space="0" w:color="auto"/>
          </w:divBdr>
          <w:divsChild>
            <w:div w:id="1191332762">
              <w:marLeft w:val="0"/>
              <w:marRight w:val="0"/>
              <w:marTop w:val="225"/>
              <w:marBottom w:val="225"/>
              <w:divBdr>
                <w:top w:val="none" w:sz="0" w:space="0" w:color="auto"/>
                <w:left w:val="none" w:sz="0" w:space="0" w:color="auto"/>
                <w:bottom w:val="none" w:sz="0" w:space="0" w:color="auto"/>
                <w:right w:val="none" w:sz="0" w:space="0" w:color="auto"/>
              </w:divBdr>
            </w:div>
          </w:divsChild>
        </w:div>
        <w:div w:id="572156415">
          <w:marLeft w:val="0"/>
          <w:marRight w:val="0"/>
          <w:marTop w:val="0"/>
          <w:marBottom w:val="150"/>
          <w:divBdr>
            <w:top w:val="none" w:sz="0" w:space="0" w:color="auto"/>
            <w:left w:val="none" w:sz="0" w:space="0" w:color="auto"/>
            <w:bottom w:val="none" w:sz="0" w:space="0" w:color="auto"/>
            <w:right w:val="none" w:sz="0" w:space="0" w:color="auto"/>
          </w:divBdr>
        </w:div>
        <w:div w:id="1543514436">
          <w:marLeft w:val="0"/>
          <w:marRight w:val="0"/>
          <w:marTop w:val="0"/>
          <w:marBottom w:val="150"/>
          <w:divBdr>
            <w:top w:val="none" w:sz="0" w:space="0" w:color="auto"/>
            <w:left w:val="none" w:sz="0" w:space="0" w:color="auto"/>
            <w:bottom w:val="none" w:sz="0" w:space="0" w:color="auto"/>
            <w:right w:val="none" w:sz="0" w:space="0" w:color="auto"/>
          </w:divBdr>
          <w:divsChild>
            <w:div w:id="1736312861">
              <w:marLeft w:val="0"/>
              <w:marRight w:val="0"/>
              <w:marTop w:val="0"/>
              <w:marBottom w:val="0"/>
              <w:divBdr>
                <w:top w:val="none" w:sz="0" w:space="0" w:color="auto"/>
                <w:left w:val="none" w:sz="0" w:space="0" w:color="auto"/>
                <w:bottom w:val="none" w:sz="0" w:space="0" w:color="auto"/>
                <w:right w:val="none" w:sz="0" w:space="0" w:color="auto"/>
              </w:divBdr>
              <w:divsChild>
                <w:div w:id="75905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282366">
      <w:bodyDiv w:val="1"/>
      <w:marLeft w:val="0"/>
      <w:marRight w:val="0"/>
      <w:marTop w:val="0"/>
      <w:marBottom w:val="0"/>
      <w:divBdr>
        <w:top w:val="none" w:sz="0" w:space="0" w:color="auto"/>
        <w:left w:val="none" w:sz="0" w:space="0" w:color="auto"/>
        <w:bottom w:val="none" w:sz="0" w:space="0" w:color="auto"/>
        <w:right w:val="none" w:sz="0" w:space="0" w:color="auto"/>
      </w:divBdr>
      <w:divsChild>
        <w:div w:id="1918633222">
          <w:marLeft w:val="0"/>
          <w:marRight w:val="0"/>
          <w:marTop w:val="0"/>
          <w:marBottom w:val="0"/>
          <w:divBdr>
            <w:top w:val="none" w:sz="0" w:space="0" w:color="auto"/>
            <w:left w:val="none" w:sz="0" w:space="0" w:color="auto"/>
            <w:bottom w:val="dotted" w:sz="6" w:space="4" w:color="DDDDDD"/>
            <w:right w:val="none" w:sz="0" w:space="0" w:color="auto"/>
          </w:divBdr>
          <w:divsChild>
            <w:div w:id="109971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521393">
      <w:bodyDiv w:val="1"/>
      <w:marLeft w:val="0"/>
      <w:marRight w:val="0"/>
      <w:marTop w:val="0"/>
      <w:marBottom w:val="0"/>
      <w:divBdr>
        <w:top w:val="none" w:sz="0" w:space="0" w:color="auto"/>
        <w:left w:val="none" w:sz="0" w:space="0" w:color="auto"/>
        <w:bottom w:val="none" w:sz="0" w:space="0" w:color="auto"/>
        <w:right w:val="none" w:sz="0" w:space="0" w:color="auto"/>
      </w:divBdr>
      <w:divsChild>
        <w:div w:id="2071150054">
          <w:marLeft w:val="0"/>
          <w:marRight w:val="0"/>
          <w:marTop w:val="0"/>
          <w:marBottom w:val="0"/>
          <w:divBdr>
            <w:top w:val="none" w:sz="0" w:space="0" w:color="auto"/>
            <w:left w:val="none" w:sz="0" w:space="0" w:color="auto"/>
            <w:bottom w:val="none" w:sz="0" w:space="0" w:color="auto"/>
            <w:right w:val="none" w:sz="0" w:space="0" w:color="auto"/>
          </w:divBdr>
          <w:divsChild>
            <w:div w:id="1776095179">
              <w:marLeft w:val="0"/>
              <w:marRight w:val="0"/>
              <w:marTop w:val="0"/>
              <w:marBottom w:val="0"/>
              <w:divBdr>
                <w:top w:val="none" w:sz="0" w:space="0" w:color="auto"/>
                <w:left w:val="none" w:sz="0" w:space="0" w:color="auto"/>
                <w:bottom w:val="none" w:sz="0" w:space="0" w:color="auto"/>
                <w:right w:val="none" w:sz="0" w:space="0" w:color="auto"/>
              </w:divBdr>
              <w:divsChild>
                <w:div w:id="139468581">
                  <w:marLeft w:val="0"/>
                  <w:marRight w:val="0"/>
                  <w:marTop w:val="0"/>
                  <w:marBottom w:val="0"/>
                  <w:divBdr>
                    <w:top w:val="none" w:sz="0" w:space="0" w:color="auto"/>
                    <w:left w:val="none" w:sz="0" w:space="0" w:color="auto"/>
                    <w:bottom w:val="none" w:sz="0" w:space="0" w:color="auto"/>
                    <w:right w:val="none" w:sz="0" w:space="0" w:color="auto"/>
                  </w:divBdr>
                  <w:divsChild>
                    <w:div w:id="562721343">
                      <w:marLeft w:val="0"/>
                      <w:marRight w:val="0"/>
                      <w:marTop w:val="0"/>
                      <w:marBottom w:val="0"/>
                      <w:divBdr>
                        <w:top w:val="none" w:sz="0" w:space="0" w:color="auto"/>
                        <w:left w:val="none" w:sz="0" w:space="0" w:color="auto"/>
                        <w:bottom w:val="none" w:sz="0" w:space="0" w:color="auto"/>
                        <w:right w:val="none" w:sz="0" w:space="0" w:color="auto"/>
                      </w:divBdr>
                      <w:divsChild>
                        <w:div w:id="1454518576">
                          <w:marLeft w:val="0"/>
                          <w:marRight w:val="0"/>
                          <w:marTop w:val="0"/>
                          <w:marBottom w:val="0"/>
                          <w:divBdr>
                            <w:top w:val="none" w:sz="0" w:space="0" w:color="auto"/>
                            <w:left w:val="none" w:sz="0" w:space="0" w:color="auto"/>
                            <w:bottom w:val="none" w:sz="0" w:space="0" w:color="auto"/>
                            <w:right w:val="none" w:sz="0" w:space="0" w:color="auto"/>
                          </w:divBdr>
                          <w:divsChild>
                            <w:div w:id="1354107270">
                              <w:marLeft w:val="0"/>
                              <w:marRight w:val="0"/>
                              <w:marTop w:val="0"/>
                              <w:marBottom w:val="0"/>
                              <w:divBdr>
                                <w:top w:val="none" w:sz="0" w:space="0" w:color="auto"/>
                                <w:left w:val="none" w:sz="0" w:space="0" w:color="auto"/>
                                <w:bottom w:val="none" w:sz="0" w:space="0" w:color="auto"/>
                                <w:right w:val="none" w:sz="0" w:space="0" w:color="auto"/>
                              </w:divBdr>
                              <w:divsChild>
                                <w:div w:id="41562945">
                                  <w:marLeft w:val="0"/>
                                  <w:marRight w:val="0"/>
                                  <w:marTop w:val="0"/>
                                  <w:marBottom w:val="0"/>
                                  <w:divBdr>
                                    <w:top w:val="none" w:sz="0" w:space="0" w:color="auto"/>
                                    <w:left w:val="none" w:sz="0" w:space="0" w:color="auto"/>
                                    <w:bottom w:val="none" w:sz="0" w:space="0" w:color="auto"/>
                                    <w:right w:val="none" w:sz="0" w:space="0" w:color="auto"/>
                                  </w:divBdr>
                                  <w:divsChild>
                                    <w:div w:id="11701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7594451">
      <w:bodyDiv w:val="1"/>
      <w:marLeft w:val="0"/>
      <w:marRight w:val="0"/>
      <w:marTop w:val="0"/>
      <w:marBottom w:val="0"/>
      <w:divBdr>
        <w:top w:val="none" w:sz="0" w:space="0" w:color="auto"/>
        <w:left w:val="none" w:sz="0" w:space="0" w:color="auto"/>
        <w:bottom w:val="none" w:sz="0" w:space="0" w:color="auto"/>
        <w:right w:val="none" w:sz="0" w:space="0" w:color="auto"/>
      </w:divBdr>
      <w:divsChild>
        <w:div w:id="1132598545">
          <w:marLeft w:val="0"/>
          <w:marRight w:val="0"/>
          <w:marTop w:val="0"/>
          <w:marBottom w:val="0"/>
          <w:divBdr>
            <w:top w:val="none" w:sz="0" w:space="0" w:color="auto"/>
            <w:left w:val="none" w:sz="0" w:space="0" w:color="auto"/>
            <w:bottom w:val="none" w:sz="0" w:space="0" w:color="auto"/>
            <w:right w:val="none" w:sz="0" w:space="0" w:color="auto"/>
          </w:divBdr>
          <w:divsChild>
            <w:div w:id="1134711509">
              <w:marLeft w:val="0"/>
              <w:marRight w:val="0"/>
              <w:marTop w:val="0"/>
              <w:marBottom w:val="0"/>
              <w:divBdr>
                <w:top w:val="none" w:sz="0" w:space="0" w:color="auto"/>
                <w:left w:val="none" w:sz="0" w:space="0" w:color="auto"/>
                <w:bottom w:val="none" w:sz="0" w:space="0" w:color="auto"/>
                <w:right w:val="none" w:sz="0" w:space="0" w:color="auto"/>
              </w:divBdr>
              <w:divsChild>
                <w:div w:id="1431127440">
                  <w:marLeft w:val="0"/>
                  <w:marRight w:val="0"/>
                  <w:marTop w:val="0"/>
                  <w:marBottom w:val="0"/>
                  <w:divBdr>
                    <w:top w:val="none" w:sz="0" w:space="0" w:color="auto"/>
                    <w:left w:val="none" w:sz="0" w:space="0" w:color="auto"/>
                    <w:bottom w:val="none" w:sz="0" w:space="0" w:color="auto"/>
                    <w:right w:val="none" w:sz="0" w:space="0" w:color="auto"/>
                  </w:divBdr>
                  <w:divsChild>
                    <w:div w:id="1428117899">
                      <w:marLeft w:val="0"/>
                      <w:marRight w:val="0"/>
                      <w:marTop w:val="0"/>
                      <w:marBottom w:val="0"/>
                      <w:divBdr>
                        <w:top w:val="none" w:sz="0" w:space="0" w:color="auto"/>
                        <w:left w:val="none" w:sz="0" w:space="0" w:color="auto"/>
                        <w:bottom w:val="none" w:sz="0" w:space="0" w:color="auto"/>
                        <w:right w:val="none" w:sz="0" w:space="0" w:color="auto"/>
                      </w:divBdr>
                      <w:divsChild>
                        <w:div w:id="1079013653">
                          <w:marLeft w:val="0"/>
                          <w:marRight w:val="0"/>
                          <w:marTop w:val="0"/>
                          <w:marBottom w:val="0"/>
                          <w:divBdr>
                            <w:top w:val="none" w:sz="0" w:space="0" w:color="auto"/>
                            <w:left w:val="none" w:sz="0" w:space="0" w:color="auto"/>
                            <w:bottom w:val="none" w:sz="0" w:space="0" w:color="auto"/>
                            <w:right w:val="none" w:sz="0" w:space="0" w:color="auto"/>
                          </w:divBdr>
                          <w:divsChild>
                            <w:div w:id="1607805593">
                              <w:marLeft w:val="0"/>
                              <w:marRight w:val="0"/>
                              <w:marTop w:val="0"/>
                              <w:marBottom w:val="0"/>
                              <w:divBdr>
                                <w:top w:val="none" w:sz="0" w:space="0" w:color="auto"/>
                                <w:left w:val="none" w:sz="0" w:space="0" w:color="auto"/>
                                <w:bottom w:val="none" w:sz="0" w:space="0" w:color="auto"/>
                                <w:right w:val="none" w:sz="0" w:space="0" w:color="auto"/>
                              </w:divBdr>
                              <w:divsChild>
                                <w:div w:id="144580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7738681">
      <w:bodyDiv w:val="1"/>
      <w:marLeft w:val="0"/>
      <w:marRight w:val="0"/>
      <w:marTop w:val="0"/>
      <w:marBottom w:val="0"/>
      <w:divBdr>
        <w:top w:val="none" w:sz="0" w:space="0" w:color="auto"/>
        <w:left w:val="none" w:sz="0" w:space="0" w:color="auto"/>
        <w:bottom w:val="none" w:sz="0" w:space="0" w:color="auto"/>
        <w:right w:val="none" w:sz="0" w:space="0" w:color="auto"/>
      </w:divBdr>
      <w:divsChild>
        <w:div w:id="1013261313">
          <w:marLeft w:val="0"/>
          <w:marRight w:val="0"/>
          <w:marTop w:val="0"/>
          <w:marBottom w:val="0"/>
          <w:divBdr>
            <w:top w:val="none" w:sz="0" w:space="0" w:color="auto"/>
            <w:left w:val="none" w:sz="0" w:space="0" w:color="auto"/>
            <w:bottom w:val="none" w:sz="0" w:space="0" w:color="auto"/>
            <w:right w:val="none" w:sz="0" w:space="0" w:color="auto"/>
          </w:divBdr>
          <w:divsChild>
            <w:div w:id="940331943">
              <w:marLeft w:val="0"/>
              <w:marRight w:val="0"/>
              <w:marTop w:val="0"/>
              <w:marBottom w:val="0"/>
              <w:divBdr>
                <w:top w:val="none" w:sz="0" w:space="0" w:color="auto"/>
                <w:left w:val="none" w:sz="0" w:space="0" w:color="auto"/>
                <w:bottom w:val="none" w:sz="0" w:space="0" w:color="auto"/>
                <w:right w:val="none" w:sz="0" w:space="0" w:color="auto"/>
              </w:divBdr>
              <w:divsChild>
                <w:div w:id="1804690927">
                  <w:marLeft w:val="0"/>
                  <w:marRight w:val="0"/>
                  <w:marTop w:val="0"/>
                  <w:marBottom w:val="0"/>
                  <w:divBdr>
                    <w:top w:val="none" w:sz="0" w:space="0" w:color="auto"/>
                    <w:left w:val="none" w:sz="0" w:space="0" w:color="auto"/>
                    <w:bottom w:val="none" w:sz="0" w:space="0" w:color="auto"/>
                    <w:right w:val="none" w:sz="0" w:space="0" w:color="auto"/>
                  </w:divBdr>
                  <w:divsChild>
                    <w:div w:id="1759015810">
                      <w:marLeft w:val="0"/>
                      <w:marRight w:val="0"/>
                      <w:marTop w:val="0"/>
                      <w:marBottom w:val="0"/>
                      <w:divBdr>
                        <w:top w:val="none" w:sz="0" w:space="0" w:color="auto"/>
                        <w:left w:val="none" w:sz="0" w:space="0" w:color="auto"/>
                        <w:bottom w:val="none" w:sz="0" w:space="0" w:color="auto"/>
                        <w:right w:val="none" w:sz="0" w:space="0" w:color="auto"/>
                      </w:divBdr>
                      <w:divsChild>
                        <w:div w:id="49039748">
                          <w:marLeft w:val="0"/>
                          <w:marRight w:val="0"/>
                          <w:marTop w:val="0"/>
                          <w:marBottom w:val="0"/>
                          <w:divBdr>
                            <w:top w:val="none" w:sz="0" w:space="0" w:color="auto"/>
                            <w:left w:val="none" w:sz="0" w:space="0" w:color="auto"/>
                            <w:bottom w:val="none" w:sz="0" w:space="0" w:color="auto"/>
                            <w:right w:val="none" w:sz="0" w:space="0" w:color="auto"/>
                          </w:divBdr>
                          <w:divsChild>
                            <w:div w:id="1227686018">
                              <w:marLeft w:val="0"/>
                              <w:marRight w:val="0"/>
                              <w:marTop w:val="0"/>
                              <w:marBottom w:val="0"/>
                              <w:divBdr>
                                <w:top w:val="none" w:sz="0" w:space="0" w:color="auto"/>
                                <w:left w:val="none" w:sz="0" w:space="0" w:color="auto"/>
                                <w:bottom w:val="none" w:sz="0" w:space="0" w:color="auto"/>
                                <w:right w:val="none" w:sz="0" w:space="0" w:color="auto"/>
                              </w:divBdr>
                              <w:divsChild>
                                <w:div w:id="833371726">
                                  <w:marLeft w:val="0"/>
                                  <w:marRight w:val="0"/>
                                  <w:marTop w:val="0"/>
                                  <w:marBottom w:val="0"/>
                                  <w:divBdr>
                                    <w:top w:val="none" w:sz="0" w:space="0" w:color="auto"/>
                                    <w:left w:val="none" w:sz="0" w:space="0" w:color="auto"/>
                                    <w:bottom w:val="none" w:sz="0" w:space="0" w:color="auto"/>
                                    <w:right w:val="none" w:sz="0" w:space="0" w:color="auto"/>
                                  </w:divBdr>
                                  <w:divsChild>
                                    <w:div w:id="92310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7785702">
      <w:bodyDiv w:val="1"/>
      <w:marLeft w:val="0"/>
      <w:marRight w:val="0"/>
      <w:marTop w:val="0"/>
      <w:marBottom w:val="0"/>
      <w:divBdr>
        <w:top w:val="none" w:sz="0" w:space="0" w:color="auto"/>
        <w:left w:val="none" w:sz="0" w:space="0" w:color="auto"/>
        <w:bottom w:val="none" w:sz="0" w:space="0" w:color="auto"/>
        <w:right w:val="none" w:sz="0" w:space="0" w:color="auto"/>
      </w:divBdr>
    </w:div>
    <w:div w:id="1237786766">
      <w:bodyDiv w:val="1"/>
      <w:marLeft w:val="0"/>
      <w:marRight w:val="0"/>
      <w:marTop w:val="0"/>
      <w:marBottom w:val="0"/>
      <w:divBdr>
        <w:top w:val="none" w:sz="0" w:space="0" w:color="auto"/>
        <w:left w:val="none" w:sz="0" w:space="0" w:color="auto"/>
        <w:bottom w:val="none" w:sz="0" w:space="0" w:color="auto"/>
        <w:right w:val="none" w:sz="0" w:space="0" w:color="auto"/>
      </w:divBdr>
    </w:div>
    <w:div w:id="1237857574">
      <w:bodyDiv w:val="1"/>
      <w:marLeft w:val="0"/>
      <w:marRight w:val="0"/>
      <w:marTop w:val="0"/>
      <w:marBottom w:val="0"/>
      <w:divBdr>
        <w:top w:val="none" w:sz="0" w:space="0" w:color="auto"/>
        <w:left w:val="none" w:sz="0" w:space="0" w:color="auto"/>
        <w:bottom w:val="none" w:sz="0" w:space="0" w:color="auto"/>
        <w:right w:val="none" w:sz="0" w:space="0" w:color="auto"/>
      </w:divBdr>
      <w:divsChild>
        <w:div w:id="510877024">
          <w:marLeft w:val="0"/>
          <w:marRight w:val="0"/>
          <w:marTop w:val="0"/>
          <w:marBottom w:val="0"/>
          <w:divBdr>
            <w:top w:val="none" w:sz="0" w:space="0" w:color="auto"/>
            <w:left w:val="none" w:sz="0" w:space="0" w:color="auto"/>
            <w:bottom w:val="none" w:sz="0" w:space="0" w:color="auto"/>
            <w:right w:val="none" w:sz="0" w:space="0" w:color="auto"/>
          </w:divBdr>
          <w:divsChild>
            <w:div w:id="16325946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37939388">
      <w:bodyDiv w:val="1"/>
      <w:marLeft w:val="0"/>
      <w:marRight w:val="0"/>
      <w:marTop w:val="0"/>
      <w:marBottom w:val="0"/>
      <w:divBdr>
        <w:top w:val="none" w:sz="0" w:space="0" w:color="auto"/>
        <w:left w:val="none" w:sz="0" w:space="0" w:color="auto"/>
        <w:bottom w:val="none" w:sz="0" w:space="0" w:color="auto"/>
        <w:right w:val="none" w:sz="0" w:space="0" w:color="auto"/>
      </w:divBdr>
      <w:divsChild>
        <w:div w:id="1976139426">
          <w:marLeft w:val="0"/>
          <w:marRight w:val="0"/>
          <w:marTop w:val="0"/>
          <w:marBottom w:val="0"/>
          <w:divBdr>
            <w:top w:val="none" w:sz="0" w:space="0" w:color="auto"/>
            <w:left w:val="none" w:sz="0" w:space="0" w:color="auto"/>
            <w:bottom w:val="none" w:sz="0" w:space="0" w:color="auto"/>
            <w:right w:val="none" w:sz="0" w:space="0" w:color="auto"/>
          </w:divBdr>
          <w:divsChild>
            <w:div w:id="1836801274">
              <w:marLeft w:val="0"/>
              <w:marRight w:val="0"/>
              <w:marTop w:val="0"/>
              <w:marBottom w:val="0"/>
              <w:divBdr>
                <w:top w:val="none" w:sz="0" w:space="0" w:color="auto"/>
                <w:left w:val="none" w:sz="0" w:space="0" w:color="auto"/>
                <w:bottom w:val="none" w:sz="0" w:space="0" w:color="auto"/>
                <w:right w:val="none" w:sz="0" w:space="0" w:color="auto"/>
              </w:divBdr>
              <w:divsChild>
                <w:div w:id="1748843834">
                  <w:marLeft w:val="0"/>
                  <w:marRight w:val="0"/>
                  <w:marTop w:val="0"/>
                  <w:marBottom w:val="0"/>
                  <w:divBdr>
                    <w:top w:val="none" w:sz="0" w:space="0" w:color="auto"/>
                    <w:left w:val="none" w:sz="0" w:space="0" w:color="auto"/>
                    <w:bottom w:val="none" w:sz="0" w:space="0" w:color="auto"/>
                    <w:right w:val="none" w:sz="0" w:space="0" w:color="auto"/>
                  </w:divBdr>
                  <w:divsChild>
                    <w:div w:id="313995597">
                      <w:marLeft w:val="0"/>
                      <w:marRight w:val="0"/>
                      <w:marTop w:val="0"/>
                      <w:marBottom w:val="0"/>
                      <w:divBdr>
                        <w:top w:val="none" w:sz="0" w:space="0" w:color="auto"/>
                        <w:left w:val="none" w:sz="0" w:space="0" w:color="auto"/>
                        <w:bottom w:val="none" w:sz="0" w:space="0" w:color="auto"/>
                        <w:right w:val="none" w:sz="0" w:space="0" w:color="auto"/>
                      </w:divBdr>
                      <w:divsChild>
                        <w:div w:id="555893118">
                          <w:marLeft w:val="0"/>
                          <w:marRight w:val="0"/>
                          <w:marTop w:val="0"/>
                          <w:marBottom w:val="0"/>
                          <w:divBdr>
                            <w:top w:val="none" w:sz="0" w:space="0" w:color="auto"/>
                            <w:left w:val="none" w:sz="0" w:space="0" w:color="auto"/>
                            <w:bottom w:val="none" w:sz="0" w:space="0" w:color="auto"/>
                            <w:right w:val="none" w:sz="0" w:space="0" w:color="auto"/>
                          </w:divBdr>
                          <w:divsChild>
                            <w:div w:id="1135298409">
                              <w:marLeft w:val="0"/>
                              <w:marRight w:val="0"/>
                              <w:marTop w:val="0"/>
                              <w:marBottom w:val="0"/>
                              <w:divBdr>
                                <w:top w:val="none" w:sz="0" w:space="0" w:color="auto"/>
                                <w:left w:val="none" w:sz="0" w:space="0" w:color="auto"/>
                                <w:bottom w:val="none" w:sz="0" w:space="0" w:color="auto"/>
                                <w:right w:val="none" w:sz="0" w:space="0" w:color="auto"/>
                              </w:divBdr>
                              <w:divsChild>
                                <w:div w:id="912156451">
                                  <w:marLeft w:val="0"/>
                                  <w:marRight w:val="0"/>
                                  <w:marTop w:val="0"/>
                                  <w:marBottom w:val="85"/>
                                  <w:divBdr>
                                    <w:top w:val="none" w:sz="0" w:space="0" w:color="auto"/>
                                    <w:left w:val="none" w:sz="0" w:space="0" w:color="auto"/>
                                    <w:bottom w:val="none" w:sz="0" w:space="0" w:color="auto"/>
                                    <w:right w:val="none" w:sz="0" w:space="0" w:color="auto"/>
                                  </w:divBdr>
                                  <w:divsChild>
                                    <w:div w:id="473177155">
                                      <w:marLeft w:val="0"/>
                                      <w:marRight w:val="0"/>
                                      <w:marTop w:val="0"/>
                                      <w:marBottom w:val="0"/>
                                      <w:divBdr>
                                        <w:top w:val="none" w:sz="0" w:space="0" w:color="auto"/>
                                        <w:left w:val="none" w:sz="0" w:space="0" w:color="auto"/>
                                        <w:bottom w:val="none" w:sz="0" w:space="0" w:color="auto"/>
                                        <w:right w:val="none" w:sz="0" w:space="0" w:color="auto"/>
                                      </w:divBdr>
                                      <w:divsChild>
                                        <w:div w:id="56055141">
                                          <w:marLeft w:val="0"/>
                                          <w:marRight w:val="0"/>
                                          <w:marTop w:val="0"/>
                                          <w:marBottom w:val="0"/>
                                          <w:divBdr>
                                            <w:top w:val="none" w:sz="0" w:space="0" w:color="auto"/>
                                            <w:left w:val="none" w:sz="0" w:space="0" w:color="auto"/>
                                            <w:bottom w:val="none" w:sz="0" w:space="0" w:color="auto"/>
                                            <w:right w:val="none" w:sz="0" w:space="0" w:color="auto"/>
                                          </w:divBdr>
                                          <w:divsChild>
                                            <w:div w:id="23601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8175789">
      <w:bodyDiv w:val="1"/>
      <w:marLeft w:val="0"/>
      <w:marRight w:val="0"/>
      <w:marTop w:val="0"/>
      <w:marBottom w:val="0"/>
      <w:divBdr>
        <w:top w:val="none" w:sz="0" w:space="0" w:color="auto"/>
        <w:left w:val="none" w:sz="0" w:space="0" w:color="auto"/>
        <w:bottom w:val="none" w:sz="0" w:space="0" w:color="auto"/>
        <w:right w:val="none" w:sz="0" w:space="0" w:color="auto"/>
      </w:divBdr>
      <w:divsChild>
        <w:div w:id="265576156">
          <w:marLeft w:val="0"/>
          <w:marRight w:val="0"/>
          <w:marTop w:val="0"/>
          <w:marBottom w:val="0"/>
          <w:divBdr>
            <w:top w:val="none" w:sz="0" w:space="0" w:color="auto"/>
            <w:left w:val="none" w:sz="0" w:space="0" w:color="auto"/>
            <w:bottom w:val="none" w:sz="0" w:space="0" w:color="auto"/>
            <w:right w:val="none" w:sz="0" w:space="0" w:color="auto"/>
          </w:divBdr>
        </w:div>
      </w:divsChild>
    </w:div>
    <w:div w:id="1239245269">
      <w:bodyDiv w:val="1"/>
      <w:marLeft w:val="0"/>
      <w:marRight w:val="0"/>
      <w:marTop w:val="0"/>
      <w:marBottom w:val="0"/>
      <w:divBdr>
        <w:top w:val="none" w:sz="0" w:space="0" w:color="auto"/>
        <w:left w:val="none" w:sz="0" w:space="0" w:color="auto"/>
        <w:bottom w:val="none" w:sz="0" w:space="0" w:color="auto"/>
        <w:right w:val="none" w:sz="0" w:space="0" w:color="auto"/>
      </w:divBdr>
      <w:divsChild>
        <w:div w:id="518154689">
          <w:marLeft w:val="0"/>
          <w:marRight w:val="0"/>
          <w:marTop w:val="0"/>
          <w:marBottom w:val="0"/>
          <w:divBdr>
            <w:top w:val="none" w:sz="0" w:space="0" w:color="auto"/>
            <w:left w:val="none" w:sz="0" w:space="0" w:color="auto"/>
            <w:bottom w:val="dotted" w:sz="6" w:space="4" w:color="DDDDDD"/>
            <w:right w:val="none" w:sz="0" w:space="0" w:color="auto"/>
          </w:divBdr>
          <w:divsChild>
            <w:div w:id="83985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440557">
      <w:bodyDiv w:val="1"/>
      <w:marLeft w:val="0"/>
      <w:marRight w:val="0"/>
      <w:marTop w:val="0"/>
      <w:marBottom w:val="0"/>
      <w:divBdr>
        <w:top w:val="none" w:sz="0" w:space="0" w:color="auto"/>
        <w:left w:val="none" w:sz="0" w:space="0" w:color="auto"/>
        <w:bottom w:val="none" w:sz="0" w:space="0" w:color="auto"/>
        <w:right w:val="none" w:sz="0" w:space="0" w:color="auto"/>
      </w:divBdr>
      <w:divsChild>
        <w:div w:id="209532880">
          <w:marLeft w:val="0"/>
          <w:marRight w:val="0"/>
          <w:marTop w:val="0"/>
          <w:marBottom w:val="0"/>
          <w:divBdr>
            <w:top w:val="none" w:sz="0" w:space="0" w:color="auto"/>
            <w:left w:val="none" w:sz="0" w:space="0" w:color="auto"/>
            <w:bottom w:val="none" w:sz="0" w:space="0" w:color="auto"/>
            <w:right w:val="none" w:sz="0" w:space="0" w:color="auto"/>
          </w:divBdr>
          <w:divsChild>
            <w:div w:id="23335235">
              <w:marLeft w:val="0"/>
              <w:marRight w:val="0"/>
              <w:marTop w:val="0"/>
              <w:marBottom w:val="0"/>
              <w:divBdr>
                <w:top w:val="none" w:sz="0" w:space="0" w:color="auto"/>
                <w:left w:val="none" w:sz="0" w:space="0" w:color="auto"/>
                <w:bottom w:val="none" w:sz="0" w:space="0" w:color="auto"/>
                <w:right w:val="none" w:sz="0" w:space="0" w:color="auto"/>
              </w:divBdr>
            </w:div>
            <w:div w:id="217590432">
              <w:marLeft w:val="0"/>
              <w:marRight w:val="0"/>
              <w:marTop w:val="0"/>
              <w:marBottom w:val="0"/>
              <w:divBdr>
                <w:top w:val="none" w:sz="0" w:space="0" w:color="auto"/>
                <w:left w:val="none" w:sz="0" w:space="0" w:color="auto"/>
                <w:bottom w:val="none" w:sz="0" w:space="0" w:color="auto"/>
                <w:right w:val="none" w:sz="0" w:space="0" w:color="auto"/>
              </w:divBdr>
            </w:div>
            <w:div w:id="430971392">
              <w:marLeft w:val="0"/>
              <w:marRight w:val="0"/>
              <w:marTop w:val="0"/>
              <w:marBottom w:val="0"/>
              <w:divBdr>
                <w:top w:val="none" w:sz="0" w:space="0" w:color="auto"/>
                <w:left w:val="none" w:sz="0" w:space="0" w:color="auto"/>
                <w:bottom w:val="none" w:sz="0" w:space="0" w:color="auto"/>
                <w:right w:val="none" w:sz="0" w:space="0" w:color="auto"/>
              </w:divBdr>
            </w:div>
            <w:div w:id="446050060">
              <w:marLeft w:val="0"/>
              <w:marRight w:val="0"/>
              <w:marTop w:val="0"/>
              <w:marBottom w:val="0"/>
              <w:divBdr>
                <w:top w:val="none" w:sz="0" w:space="0" w:color="auto"/>
                <w:left w:val="none" w:sz="0" w:space="0" w:color="auto"/>
                <w:bottom w:val="none" w:sz="0" w:space="0" w:color="auto"/>
                <w:right w:val="none" w:sz="0" w:space="0" w:color="auto"/>
              </w:divBdr>
            </w:div>
            <w:div w:id="591358861">
              <w:marLeft w:val="0"/>
              <w:marRight w:val="0"/>
              <w:marTop w:val="0"/>
              <w:marBottom w:val="0"/>
              <w:divBdr>
                <w:top w:val="none" w:sz="0" w:space="0" w:color="auto"/>
                <w:left w:val="none" w:sz="0" w:space="0" w:color="auto"/>
                <w:bottom w:val="none" w:sz="0" w:space="0" w:color="auto"/>
                <w:right w:val="none" w:sz="0" w:space="0" w:color="auto"/>
              </w:divBdr>
            </w:div>
            <w:div w:id="599871190">
              <w:marLeft w:val="0"/>
              <w:marRight w:val="0"/>
              <w:marTop w:val="0"/>
              <w:marBottom w:val="0"/>
              <w:divBdr>
                <w:top w:val="none" w:sz="0" w:space="0" w:color="auto"/>
                <w:left w:val="none" w:sz="0" w:space="0" w:color="auto"/>
                <w:bottom w:val="none" w:sz="0" w:space="0" w:color="auto"/>
                <w:right w:val="none" w:sz="0" w:space="0" w:color="auto"/>
              </w:divBdr>
            </w:div>
            <w:div w:id="683048767">
              <w:marLeft w:val="0"/>
              <w:marRight w:val="0"/>
              <w:marTop w:val="0"/>
              <w:marBottom w:val="0"/>
              <w:divBdr>
                <w:top w:val="none" w:sz="0" w:space="0" w:color="auto"/>
                <w:left w:val="none" w:sz="0" w:space="0" w:color="auto"/>
                <w:bottom w:val="none" w:sz="0" w:space="0" w:color="auto"/>
                <w:right w:val="none" w:sz="0" w:space="0" w:color="auto"/>
              </w:divBdr>
            </w:div>
            <w:div w:id="914510796">
              <w:marLeft w:val="0"/>
              <w:marRight w:val="0"/>
              <w:marTop w:val="0"/>
              <w:marBottom w:val="0"/>
              <w:divBdr>
                <w:top w:val="none" w:sz="0" w:space="0" w:color="auto"/>
                <w:left w:val="none" w:sz="0" w:space="0" w:color="auto"/>
                <w:bottom w:val="none" w:sz="0" w:space="0" w:color="auto"/>
                <w:right w:val="none" w:sz="0" w:space="0" w:color="auto"/>
              </w:divBdr>
            </w:div>
            <w:div w:id="1126630166">
              <w:marLeft w:val="0"/>
              <w:marRight w:val="0"/>
              <w:marTop w:val="0"/>
              <w:marBottom w:val="0"/>
              <w:divBdr>
                <w:top w:val="none" w:sz="0" w:space="0" w:color="auto"/>
                <w:left w:val="none" w:sz="0" w:space="0" w:color="auto"/>
                <w:bottom w:val="none" w:sz="0" w:space="0" w:color="auto"/>
                <w:right w:val="none" w:sz="0" w:space="0" w:color="auto"/>
              </w:divBdr>
            </w:div>
            <w:div w:id="1186410295">
              <w:marLeft w:val="0"/>
              <w:marRight w:val="0"/>
              <w:marTop w:val="0"/>
              <w:marBottom w:val="0"/>
              <w:divBdr>
                <w:top w:val="none" w:sz="0" w:space="0" w:color="auto"/>
                <w:left w:val="none" w:sz="0" w:space="0" w:color="auto"/>
                <w:bottom w:val="none" w:sz="0" w:space="0" w:color="auto"/>
                <w:right w:val="none" w:sz="0" w:space="0" w:color="auto"/>
              </w:divBdr>
            </w:div>
            <w:div w:id="1378240029">
              <w:marLeft w:val="0"/>
              <w:marRight w:val="0"/>
              <w:marTop w:val="0"/>
              <w:marBottom w:val="0"/>
              <w:divBdr>
                <w:top w:val="none" w:sz="0" w:space="0" w:color="auto"/>
                <w:left w:val="none" w:sz="0" w:space="0" w:color="auto"/>
                <w:bottom w:val="none" w:sz="0" w:space="0" w:color="auto"/>
                <w:right w:val="none" w:sz="0" w:space="0" w:color="auto"/>
              </w:divBdr>
            </w:div>
            <w:div w:id="1494226337">
              <w:marLeft w:val="0"/>
              <w:marRight w:val="0"/>
              <w:marTop w:val="0"/>
              <w:marBottom w:val="0"/>
              <w:divBdr>
                <w:top w:val="none" w:sz="0" w:space="0" w:color="auto"/>
                <w:left w:val="none" w:sz="0" w:space="0" w:color="auto"/>
                <w:bottom w:val="none" w:sz="0" w:space="0" w:color="auto"/>
                <w:right w:val="none" w:sz="0" w:space="0" w:color="auto"/>
              </w:divBdr>
            </w:div>
            <w:div w:id="1530947814">
              <w:marLeft w:val="0"/>
              <w:marRight w:val="0"/>
              <w:marTop w:val="0"/>
              <w:marBottom w:val="0"/>
              <w:divBdr>
                <w:top w:val="none" w:sz="0" w:space="0" w:color="auto"/>
                <w:left w:val="none" w:sz="0" w:space="0" w:color="auto"/>
                <w:bottom w:val="none" w:sz="0" w:space="0" w:color="auto"/>
                <w:right w:val="none" w:sz="0" w:space="0" w:color="auto"/>
              </w:divBdr>
            </w:div>
            <w:div w:id="1550998798">
              <w:marLeft w:val="0"/>
              <w:marRight w:val="0"/>
              <w:marTop w:val="0"/>
              <w:marBottom w:val="0"/>
              <w:divBdr>
                <w:top w:val="none" w:sz="0" w:space="0" w:color="auto"/>
                <w:left w:val="none" w:sz="0" w:space="0" w:color="auto"/>
                <w:bottom w:val="none" w:sz="0" w:space="0" w:color="auto"/>
                <w:right w:val="none" w:sz="0" w:space="0" w:color="auto"/>
              </w:divBdr>
            </w:div>
            <w:div w:id="1662810700">
              <w:marLeft w:val="0"/>
              <w:marRight w:val="0"/>
              <w:marTop w:val="0"/>
              <w:marBottom w:val="0"/>
              <w:divBdr>
                <w:top w:val="none" w:sz="0" w:space="0" w:color="auto"/>
                <w:left w:val="none" w:sz="0" w:space="0" w:color="auto"/>
                <w:bottom w:val="none" w:sz="0" w:space="0" w:color="auto"/>
                <w:right w:val="none" w:sz="0" w:space="0" w:color="auto"/>
              </w:divBdr>
            </w:div>
            <w:div w:id="1782913387">
              <w:marLeft w:val="0"/>
              <w:marRight w:val="0"/>
              <w:marTop w:val="0"/>
              <w:marBottom w:val="0"/>
              <w:divBdr>
                <w:top w:val="none" w:sz="0" w:space="0" w:color="auto"/>
                <w:left w:val="none" w:sz="0" w:space="0" w:color="auto"/>
                <w:bottom w:val="none" w:sz="0" w:space="0" w:color="auto"/>
                <w:right w:val="none" w:sz="0" w:space="0" w:color="auto"/>
              </w:divBdr>
            </w:div>
            <w:div w:id="1806462537">
              <w:marLeft w:val="0"/>
              <w:marRight w:val="0"/>
              <w:marTop w:val="0"/>
              <w:marBottom w:val="0"/>
              <w:divBdr>
                <w:top w:val="none" w:sz="0" w:space="0" w:color="auto"/>
                <w:left w:val="none" w:sz="0" w:space="0" w:color="auto"/>
                <w:bottom w:val="none" w:sz="0" w:space="0" w:color="auto"/>
                <w:right w:val="none" w:sz="0" w:space="0" w:color="auto"/>
              </w:divBdr>
            </w:div>
            <w:div w:id="1894730154">
              <w:marLeft w:val="0"/>
              <w:marRight w:val="0"/>
              <w:marTop w:val="0"/>
              <w:marBottom w:val="0"/>
              <w:divBdr>
                <w:top w:val="none" w:sz="0" w:space="0" w:color="auto"/>
                <w:left w:val="none" w:sz="0" w:space="0" w:color="auto"/>
                <w:bottom w:val="none" w:sz="0" w:space="0" w:color="auto"/>
                <w:right w:val="none" w:sz="0" w:space="0" w:color="auto"/>
              </w:divBdr>
            </w:div>
            <w:div w:id="1910460622">
              <w:marLeft w:val="0"/>
              <w:marRight w:val="0"/>
              <w:marTop w:val="0"/>
              <w:marBottom w:val="0"/>
              <w:divBdr>
                <w:top w:val="none" w:sz="0" w:space="0" w:color="auto"/>
                <w:left w:val="none" w:sz="0" w:space="0" w:color="auto"/>
                <w:bottom w:val="none" w:sz="0" w:space="0" w:color="auto"/>
                <w:right w:val="none" w:sz="0" w:space="0" w:color="auto"/>
              </w:divBdr>
            </w:div>
            <w:div w:id="2025084323">
              <w:marLeft w:val="0"/>
              <w:marRight w:val="0"/>
              <w:marTop w:val="0"/>
              <w:marBottom w:val="0"/>
              <w:divBdr>
                <w:top w:val="none" w:sz="0" w:space="0" w:color="auto"/>
                <w:left w:val="none" w:sz="0" w:space="0" w:color="auto"/>
                <w:bottom w:val="none" w:sz="0" w:space="0" w:color="auto"/>
                <w:right w:val="none" w:sz="0" w:space="0" w:color="auto"/>
              </w:divBdr>
            </w:div>
            <w:div w:id="2096706173">
              <w:marLeft w:val="0"/>
              <w:marRight w:val="0"/>
              <w:marTop w:val="0"/>
              <w:marBottom w:val="0"/>
              <w:divBdr>
                <w:top w:val="none" w:sz="0" w:space="0" w:color="auto"/>
                <w:left w:val="none" w:sz="0" w:space="0" w:color="auto"/>
                <w:bottom w:val="none" w:sz="0" w:space="0" w:color="auto"/>
                <w:right w:val="none" w:sz="0" w:space="0" w:color="auto"/>
              </w:divBdr>
            </w:div>
            <w:div w:id="210025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13197">
      <w:bodyDiv w:val="1"/>
      <w:marLeft w:val="0"/>
      <w:marRight w:val="0"/>
      <w:marTop w:val="0"/>
      <w:marBottom w:val="0"/>
      <w:divBdr>
        <w:top w:val="none" w:sz="0" w:space="0" w:color="auto"/>
        <w:left w:val="none" w:sz="0" w:space="0" w:color="auto"/>
        <w:bottom w:val="none" w:sz="0" w:space="0" w:color="auto"/>
        <w:right w:val="none" w:sz="0" w:space="0" w:color="auto"/>
      </w:divBdr>
      <w:divsChild>
        <w:div w:id="758723049">
          <w:marLeft w:val="0"/>
          <w:marRight w:val="0"/>
          <w:marTop w:val="0"/>
          <w:marBottom w:val="0"/>
          <w:divBdr>
            <w:top w:val="none" w:sz="0" w:space="0" w:color="auto"/>
            <w:left w:val="none" w:sz="0" w:space="0" w:color="auto"/>
            <w:bottom w:val="none" w:sz="0" w:space="0" w:color="auto"/>
            <w:right w:val="none" w:sz="0" w:space="0" w:color="auto"/>
          </w:divBdr>
          <w:divsChild>
            <w:div w:id="958991652">
              <w:marLeft w:val="0"/>
              <w:marRight w:val="0"/>
              <w:marTop w:val="0"/>
              <w:marBottom w:val="0"/>
              <w:divBdr>
                <w:top w:val="none" w:sz="0" w:space="0" w:color="auto"/>
                <w:left w:val="none" w:sz="0" w:space="0" w:color="auto"/>
                <w:bottom w:val="none" w:sz="0" w:space="0" w:color="auto"/>
                <w:right w:val="none" w:sz="0" w:space="0" w:color="auto"/>
              </w:divBdr>
            </w:div>
          </w:divsChild>
        </w:div>
        <w:div w:id="913776654">
          <w:marLeft w:val="0"/>
          <w:marRight w:val="0"/>
          <w:marTop w:val="0"/>
          <w:marBottom w:val="150"/>
          <w:divBdr>
            <w:top w:val="none" w:sz="0" w:space="0" w:color="auto"/>
            <w:left w:val="none" w:sz="0" w:space="0" w:color="auto"/>
            <w:bottom w:val="none" w:sz="0" w:space="0" w:color="auto"/>
            <w:right w:val="none" w:sz="0" w:space="0" w:color="auto"/>
          </w:divBdr>
          <w:divsChild>
            <w:div w:id="1081482954">
              <w:marLeft w:val="0"/>
              <w:marRight w:val="0"/>
              <w:marTop w:val="0"/>
              <w:marBottom w:val="0"/>
              <w:divBdr>
                <w:top w:val="none" w:sz="0" w:space="0" w:color="auto"/>
                <w:left w:val="none" w:sz="0" w:space="0" w:color="auto"/>
                <w:bottom w:val="none" w:sz="0" w:space="0" w:color="auto"/>
                <w:right w:val="none" w:sz="0" w:space="0" w:color="auto"/>
              </w:divBdr>
            </w:div>
          </w:divsChild>
        </w:div>
        <w:div w:id="1367832058">
          <w:marLeft w:val="0"/>
          <w:marRight w:val="0"/>
          <w:marTop w:val="0"/>
          <w:marBottom w:val="150"/>
          <w:divBdr>
            <w:top w:val="none" w:sz="0" w:space="0" w:color="auto"/>
            <w:left w:val="none" w:sz="0" w:space="0" w:color="auto"/>
            <w:bottom w:val="none" w:sz="0" w:space="0" w:color="auto"/>
            <w:right w:val="none" w:sz="0" w:space="0" w:color="auto"/>
          </w:divBdr>
        </w:div>
      </w:divsChild>
    </w:div>
    <w:div w:id="1239633854">
      <w:bodyDiv w:val="1"/>
      <w:marLeft w:val="0"/>
      <w:marRight w:val="0"/>
      <w:marTop w:val="0"/>
      <w:marBottom w:val="0"/>
      <w:divBdr>
        <w:top w:val="none" w:sz="0" w:space="0" w:color="auto"/>
        <w:left w:val="none" w:sz="0" w:space="0" w:color="auto"/>
        <w:bottom w:val="none" w:sz="0" w:space="0" w:color="auto"/>
        <w:right w:val="none" w:sz="0" w:space="0" w:color="auto"/>
      </w:divBdr>
      <w:divsChild>
        <w:div w:id="599338706">
          <w:marLeft w:val="0"/>
          <w:marRight w:val="0"/>
          <w:marTop w:val="0"/>
          <w:marBottom w:val="0"/>
          <w:divBdr>
            <w:top w:val="none" w:sz="0" w:space="0" w:color="auto"/>
            <w:left w:val="none" w:sz="0" w:space="0" w:color="auto"/>
            <w:bottom w:val="none" w:sz="0" w:space="0" w:color="auto"/>
            <w:right w:val="none" w:sz="0" w:space="0" w:color="auto"/>
          </w:divBdr>
        </w:div>
      </w:divsChild>
    </w:div>
    <w:div w:id="1239636931">
      <w:bodyDiv w:val="1"/>
      <w:marLeft w:val="0"/>
      <w:marRight w:val="0"/>
      <w:marTop w:val="0"/>
      <w:marBottom w:val="0"/>
      <w:divBdr>
        <w:top w:val="none" w:sz="0" w:space="0" w:color="auto"/>
        <w:left w:val="none" w:sz="0" w:space="0" w:color="auto"/>
        <w:bottom w:val="none" w:sz="0" w:space="0" w:color="auto"/>
        <w:right w:val="none" w:sz="0" w:space="0" w:color="auto"/>
      </w:divBdr>
      <w:divsChild>
        <w:div w:id="26151972">
          <w:marLeft w:val="0"/>
          <w:marRight w:val="0"/>
          <w:marTop w:val="0"/>
          <w:marBottom w:val="0"/>
          <w:divBdr>
            <w:top w:val="none" w:sz="0" w:space="0" w:color="auto"/>
            <w:left w:val="none" w:sz="0" w:space="0" w:color="auto"/>
            <w:bottom w:val="none" w:sz="0" w:space="0" w:color="auto"/>
            <w:right w:val="none" w:sz="0" w:space="0" w:color="auto"/>
          </w:divBdr>
        </w:div>
      </w:divsChild>
    </w:div>
    <w:div w:id="1240291909">
      <w:bodyDiv w:val="1"/>
      <w:marLeft w:val="0"/>
      <w:marRight w:val="0"/>
      <w:marTop w:val="0"/>
      <w:marBottom w:val="0"/>
      <w:divBdr>
        <w:top w:val="none" w:sz="0" w:space="0" w:color="auto"/>
        <w:left w:val="none" w:sz="0" w:space="0" w:color="auto"/>
        <w:bottom w:val="none" w:sz="0" w:space="0" w:color="auto"/>
        <w:right w:val="none" w:sz="0" w:space="0" w:color="auto"/>
      </w:divBdr>
    </w:div>
    <w:div w:id="1240363381">
      <w:bodyDiv w:val="1"/>
      <w:marLeft w:val="0"/>
      <w:marRight w:val="0"/>
      <w:marTop w:val="0"/>
      <w:marBottom w:val="0"/>
      <w:divBdr>
        <w:top w:val="none" w:sz="0" w:space="0" w:color="auto"/>
        <w:left w:val="none" w:sz="0" w:space="0" w:color="auto"/>
        <w:bottom w:val="none" w:sz="0" w:space="0" w:color="auto"/>
        <w:right w:val="none" w:sz="0" w:space="0" w:color="auto"/>
      </w:divBdr>
    </w:div>
    <w:div w:id="1240822596">
      <w:bodyDiv w:val="1"/>
      <w:marLeft w:val="0"/>
      <w:marRight w:val="0"/>
      <w:marTop w:val="0"/>
      <w:marBottom w:val="0"/>
      <w:divBdr>
        <w:top w:val="none" w:sz="0" w:space="0" w:color="auto"/>
        <w:left w:val="none" w:sz="0" w:space="0" w:color="auto"/>
        <w:bottom w:val="none" w:sz="0" w:space="0" w:color="auto"/>
        <w:right w:val="none" w:sz="0" w:space="0" w:color="auto"/>
      </w:divBdr>
      <w:divsChild>
        <w:div w:id="2081169479">
          <w:marLeft w:val="0"/>
          <w:marRight w:val="0"/>
          <w:marTop w:val="0"/>
          <w:marBottom w:val="150"/>
          <w:divBdr>
            <w:top w:val="none" w:sz="0" w:space="0" w:color="auto"/>
            <w:left w:val="none" w:sz="0" w:space="0" w:color="auto"/>
            <w:bottom w:val="none" w:sz="0" w:space="0" w:color="auto"/>
            <w:right w:val="none" w:sz="0" w:space="0" w:color="auto"/>
          </w:divBdr>
        </w:div>
      </w:divsChild>
    </w:div>
    <w:div w:id="1241018330">
      <w:bodyDiv w:val="1"/>
      <w:marLeft w:val="0"/>
      <w:marRight w:val="0"/>
      <w:marTop w:val="0"/>
      <w:marBottom w:val="0"/>
      <w:divBdr>
        <w:top w:val="none" w:sz="0" w:space="0" w:color="auto"/>
        <w:left w:val="none" w:sz="0" w:space="0" w:color="auto"/>
        <w:bottom w:val="none" w:sz="0" w:space="0" w:color="auto"/>
        <w:right w:val="none" w:sz="0" w:space="0" w:color="auto"/>
      </w:divBdr>
      <w:divsChild>
        <w:div w:id="1731807579">
          <w:marLeft w:val="0"/>
          <w:marRight w:val="0"/>
          <w:marTop w:val="0"/>
          <w:marBottom w:val="0"/>
          <w:divBdr>
            <w:top w:val="none" w:sz="0" w:space="0" w:color="auto"/>
            <w:left w:val="none" w:sz="0" w:space="0" w:color="auto"/>
            <w:bottom w:val="none" w:sz="0" w:space="0" w:color="auto"/>
            <w:right w:val="none" w:sz="0" w:space="0" w:color="auto"/>
          </w:divBdr>
          <w:divsChild>
            <w:div w:id="1943294748">
              <w:marLeft w:val="0"/>
              <w:marRight w:val="0"/>
              <w:marTop w:val="0"/>
              <w:marBottom w:val="0"/>
              <w:divBdr>
                <w:top w:val="none" w:sz="0" w:space="0" w:color="auto"/>
                <w:left w:val="none" w:sz="0" w:space="0" w:color="auto"/>
                <w:bottom w:val="none" w:sz="0" w:space="0" w:color="auto"/>
                <w:right w:val="none" w:sz="0" w:space="0" w:color="auto"/>
              </w:divBdr>
              <w:divsChild>
                <w:div w:id="1240796290">
                  <w:marLeft w:val="0"/>
                  <w:marRight w:val="0"/>
                  <w:marTop w:val="0"/>
                  <w:marBottom w:val="0"/>
                  <w:divBdr>
                    <w:top w:val="none" w:sz="0" w:space="0" w:color="auto"/>
                    <w:left w:val="none" w:sz="0" w:space="0" w:color="auto"/>
                    <w:bottom w:val="none" w:sz="0" w:space="0" w:color="auto"/>
                    <w:right w:val="none" w:sz="0" w:space="0" w:color="auto"/>
                  </w:divBdr>
                  <w:divsChild>
                    <w:div w:id="1695304808">
                      <w:marLeft w:val="0"/>
                      <w:marRight w:val="0"/>
                      <w:marTop w:val="0"/>
                      <w:marBottom w:val="0"/>
                      <w:divBdr>
                        <w:top w:val="none" w:sz="0" w:space="0" w:color="auto"/>
                        <w:left w:val="none" w:sz="0" w:space="0" w:color="auto"/>
                        <w:bottom w:val="none" w:sz="0" w:space="0" w:color="auto"/>
                        <w:right w:val="none" w:sz="0" w:space="0" w:color="auto"/>
                      </w:divBdr>
                      <w:divsChild>
                        <w:div w:id="1066998505">
                          <w:marLeft w:val="0"/>
                          <w:marRight w:val="0"/>
                          <w:marTop w:val="0"/>
                          <w:marBottom w:val="0"/>
                          <w:divBdr>
                            <w:top w:val="none" w:sz="0" w:space="0" w:color="auto"/>
                            <w:left w:val="none" w:sz="0" w:space="0" w:color="auto"/>
                            <w:bottom w:val="none" w:sz="0" w:space="0" w:color="auto"/>
                            <w:right w:val="none" w:sz="0" w:space="0" w:color="auto"/>
                          </w:divBdr>
                          <w:divsChild>
                            <w:div w:id="1821920783">
                              <w:marLeft w:val="0"/>
                              <w:marRight w:val="0"/>
                              <w:marTop w:val="0"/>
                              <w:marBottom w:val="0"/>
                              <w:divBdr>
                                <w:top w:val="none" w:sz="0" w:space="0" w:color="auto"/>
                                <w:left w:val="none" w:sz="0" w:space="0" w:color="auto"/>
                                <w:bottom w:val="none" w:sz="0" w:space="0" w:color="auto"/>
                                <w:right w:val="none" w:sz="0" w:space="0" w:color="auto"/>
                              </w:divBdr>
                              <w:divsChild>
                                <w:div w:id="1606883533">
                                  <w:marLeft w:val="0"/>
                                  <w:marRight w:val="0"/>
                                  <w:marTop w:val="0"/>
                                  <w:marBottom w:val="0"/>
                                  <w:divBdr>
                                    <w:top w:val="none" w:sz="0" w:space="0" w:color="auto"/>
                                    <w:left w:val="none" w:sz="0" w:space="0" w:color="auto"/>
                                    <w:bottom w:val="none" w:sz="0" w:space="0" w:color="auto"/>
                                    <w:right w:val="none" w:sz="0" w:space="0" w:color="auto"/>
                                  </w:divBdr>
                                  <w:divsChild>
                                    <w:div w:id="2042168950">
                                      <w:marLeft w:val="0"/>
                                      <w:marRight w:val="0"/>
                                      <w:marTop w:val="0"/>
                                      <w:marBottom w:val="0"/>
                                      <w:divBdr>
                                        <w:top w:val="none" w:sz="0" w:space="0" w:color="auto"/>
                                        <w:left w:val="none" w:sz="0" w:space="0" w:color="auto"/>
                                        <w:bottom w:val="none" w:sz="0" w:space="0" w:color="auto"/>
                                        <w:right w:val="none" w:sz="0" w:space="0" w:color="auto"/>
                                      </w:divBdr>
                                      <w:divsChild>
                                        <w:div w:id="122869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1670834">
      <w:bodyDiv w:val="1"/>
      <w:marLeft w:val="0"/>
      <w:marRight w:val="0"/>
      <w:marTop w:val="0"/>
      <w:marBottom w:val="0"/>
      <w:divBdr>
        <w:top w:val="none" w:sz="0" w:space="0" w:color="auto"/>
        <w:left w:val="none" w:sz="0" w:space="0" w:color="auto"/>
        <w:bottom w:val="none" w:sz="0" w:space="0" w:color="auto"/>
        <w:right w:val="none" w:sz="0" w:space="0" w:color="auto"/>
      </w:divBdr>
      <w:divsChild>
        <w:div w:id="1574313648">
          <w:marLeft w:val="0"/>
          <w:marRight w:val="0"/>
          <w:marTop w:val="0"/>
          <w:marBottom w:val="0"/>
          <w:divBdr>
            <w:top w:val="none" w:sz="0" w:space="0" w:color="auto"/>
            <w:left w:val="none" w:sz="0" w:space="0" w:color="auto"/>
            <w:bottom w:val="dotted" w:sz="6" w:space="4" w:color="DDDDDD"/>
            <w:right w:val="none" w:sz="0" w:space="0" w:color="auto"/>
          </w:divBdr>
        </w:div>
      </w:divsChild>
    </w:div>
    <w:div w:id="1242301867">
      <w:bodyDiv w:val="1"/>
      <w:marLeft w:val="0"/>
      <w:marRight w:val="0"/>
      <w:marTop w:val="0"/>
      <w:marBottom w:val="0"/>
      <w:divBdr>
        <w:top w:val="none" w:sz="0" w:space="0" w:color="auto"/>
        <w:left w:val="none" w:sz="0" w:space="0" w:color="auto"/>
        <w:bottom w:val="none" w:sz="0" w:space="0" w:color="auto"/>
        <w:right w:val="none" w:sz="0" w:space="0" w:color="auto"/>
      </w:divBdr>
    </w:div>
    <w:div w:id="1242443336">
      <w:bodyDiv w:val="1"/>
      <w:marLeft w:val="0"/>
      <w:marRight w:val="0"/>
      <w:marTop w:val="0"/>
      <w:marBottom w:val="0"/>
      <w:divBdr>
        <w:top w:val="none" w:sz="0" w:space="0" w:color="auto"/>
        <w:left w:val="none" w:sz="0" w:space="0" w:color="auto"/>
        <w:bottom w:val="none" w:sz="0" w:space="0" w:color="auto"/>
        <w:right w:val="none" w:sz="0" w:space="0" w:color="auto"/>
      </w:divBdr>
      <w:divsChild>
        <w:div w:id="1384132269">
          <w:marLeft w:val="0"/>
          <w:marRight w:val="0"/>
          <w:marTop w:val="0"/>
          <w:marBottom w:val="0"/>
          <w:divBdr>
            <w:top w:val="none" w:sz="0" w:space="0" w:color="auto"/>
            <w:left w:val="none" w:sz="0" w:space="0" w:color="auto"/>
            <w:bottom w:val="dotted" w:sz="6" w:space="4" w:color="DDDDDD"/>
            <w:right w:val="none" w:sz="0" w:space="0" w:color="auto"/>
          </w:divBdr>
        </w:div>
      </w:divsChild>
    </w:div>
    <w:div w:id="1242444488">
      <w:bodyDiv w:val="1"/>
      <w:marLeft w:val="0"/>
      <w:marRight w:val="0"/>
      <w:marTop w:val="0"/>
      <w:marBottom w:val="0"/>
      <w:divBdr>
        <w:top w:val="none" w:sz="0" w:space="0" w:color="auto"/>
        <w:left w:val="none" w:sz="0" w:space="0" w:color="auto"/>
        <w:bottom w:val="none" w:sz="0" w:space="0" w:color="auto"/>
        <w:right w:val="none" w:sz="0" w:space="0" w:color="auto"/>
      </w:divBdr>
      <w:divsChild>
        <w:div w:id="1263151437">
          <w:marLeft w:val="0"/>
          <w:marRight w:val="0"/>
          <w:marTop w:val="0"/>
          <w:marBottom w:val="375"/>
          <w:divBdr>
            <w:top w:val="none" w:sz="0" w:space="0" w:color="auto"/>
            <w:left w:val="none" w:sz="0" w:space="0" w:color="auto"/>
            <w:bottom w:val="dotted" w:sz="6" w:space="14" w:color="C2C2C2"/>
            <w:right w:val="none" w:sz="0" w:space="0" w:color="auto"/>
          </w:divBdr>
          <w:divsChild>
            <w:div w:id="1051927993">
              <w:marLeft w:val="0"/>
              <w:marRight w:val="0"/>
              <w:marTop w:val="0"/>
              <w:marBottom w:val="180"/>
              <w:divBdr>
                <w:top w:val="none" w:sz="0" w:space="0" w:color="auto"/>
                <w:left w:val="none" w:sz="0" w:space="0" w:color="auto"/>
                <w:bottom w:val="none" w:sz="0" w:space="0" w:color="auto"/>
                <w:right w:val="none" w:sz="0" w:space="0" w:color="auto"/>
              </w:divBdr>
            </w:div>
            <w:div w:id="1192106091">
              <w:marLeft w:val="0"/>
              <w:marRight w:val="0"/>
              <w:marTop w:val="0"/>
              <w:marBottom w:val="0"/>
              <w:divBdr>
                <w:top w:val="none" w:sz="0" w:space="0" w:color="auto"/>
                <w:left w:val="none" w:sz="0" w:space="0" w:color="auto"/>
                <w:bottom w:val="none" w:sz="0" w:space="0" w:color="auto"/>
                <w:right w:val="none" w:sz="0" w:space="0" w:color="auto"/>
              </w:divBdr>
              <w:divsChild>
                <w:div w:id="686760247">
                  <w:marLeft w:val="0"/>
                  <w:marRight w:val="0"/>
                  <w:marTop w:val="0"/>
                  <w:marBottom w:val="0"/>
                  <w:divBdr>
                    <w:top w:val="none" w:sz="0" w:space="0" w:color="auto"/>
                    <w:left w:val="none" w:sz="0" w:space="0" w:color="auto"/>
                    <w:bottom w:val="none" w:sz="0" w:space="0" w:color="auto"/>
                    <w:right w:val="none" w:sz="0" w:space="0" w:color="auto"/>
                  </w:divBdr>
                  <w:divsChild>
                    <w:div w:id="1058014116">
                      <w:marLeft w:val="0"/>
                      <w:marRight w:val="0"/>
                      <w:marTop w:val="0"/>
                      <w:marBottom w:val="0"/>
                      <w:divBdr>
                        <w:top w:val="none" w:sz="0" w:space="0" w:color="auto"/>
                        <w:left w:val="none" w:sz="0" w:space="0" w:color="auto"/>
                        <w:bottom w:val="none" w:sz="0" w:space="0" w:color="auto"/>
                        <w:right w:val="none" w:sz="0" w:space="0" w:color="auto"/>
                      </w:divBdr>
                      <w:divsChild>
                        <w:div w:id="763841086">
                          <w:marLeft w:val="0"/>
                          <w:marRight w:val="0"/>
                          <w:marTop w:val="0"/>
                          <w:marBottom w:val="0"/>
                          <w:divBdr>
                            <w:top w:val="none" w:sz="0" w:space="0" w:color="auto"/>
                            <w:left w:val="none" w:sz="0" w:space="0" w:color="auto"/>
                            <w:bottom w:val="none" w:sz="0" w:space="0" w:color="auto"/>
                            <w:right w:val="none" w:sz="0" w:space="0" w:color="auto"/>
                          </w:divBdr>
                          <w:divsChild>
                            <w:div w:id="10467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1313241">
          <w:marLeft w:val="0"/>
          <w:marRight w:val="0"/>
          <w:marTop w:val="0"/>
          <w:marBottom w:val="450"/>
          <w:divBdr>
            <w:top w:val="none" w:sz="0" w:space="0" w:color="auto"/>
            <w:left w:val="none" w:sz="0" w:space="0" w:color="auto"/>
            <w:bottom w:val="none" w:sz="0" w:space="0" w:color="auto"/>
            <w:right w:val="none" w:sz="0" w:space="0" w:color="auto"/>
          </w:divBdr>
          <w:divsChild>
            <w:div w:id="1625035823">
              <w:marLeft w:val="0"/>
              <w:marRight w:val="0"/>
              <w:marTop w:val="0"/>
              <w:marBottom w:val="0"/>
              <w:divBdr>
                <w:top w:val="none" w:sz="0" w:space="0" w:color="auto"/>
                <w:left w:val="none" w:sz="0" w:space="0" w:color="auto"/>
                <w:bottom w:val="none" w:sz="0" w:space="0" w:color="auto"/>
                <w:right w:val="none" w:sz="0" w:space="0" w:color="auto"/>
              </w:divBdr>
              <w:divsChild>
                <w:div w:id="1005671472">
                  <w:marLeft w:val="0"/>
                  <w:marRight w:val="0"/>
                  <w:marTop w:val="0"/>
                  <w:marBottom w:val="0"/>
                  <w:divBdr>
                    <w:top w:val="none" w:sz="0" w:space="0" w:color="auto"/>
                    <w:left w:val="none" w:sz="0" w:space="0" w:color="auto"/>
                    <w:bottom w:val="none" w:sz="0" w:space="0" w:color="auto"/>
                    <w:right w:val="none" w:sz="0" w:space="0" w:color="auto"/>
                  </w:divBdr>
                  <w:divsChild>
                    <w:div w:id="127167989">
                      <w:marLeft w:val="0"/>
                      <w:marRight w:val="0"/>
                      <w:marTop w:val="0"/>
                      <w:marBottom w:val="0"/>
                      <w:divBdr>
                        <w:top w:val="none" w:sz="0" w:space="0" w:color="auto"/>
                        <w:left w:val="none" w:sz="0" w:space="0" w:color="auto"/>
                        <w:bottom w:val="none" w:sz="0" w:space="0" w:color="auto"/>
                        <w:right w:val="none" w:sz="0" w:space="0" w:color="auto"/>
                      </w:divBdr>
                      <w:divsChild>
                        <w:div w:id="667681999">
                          <w:marLeft w:val="0"/>
                          <w:marRight w:val="0"/>
                          <w:marTop w:val="0"/>
                          <w:marBottom w:val="0"/>
                          <w:divBdr>
                            <w:top w:val="none" w:sz="0" w:space="0" w:color="auto"/>
                            <w:left w:val="none" w:sz="0" w:space="0" w:color="auto"/>
                            <w:bottom w:val="none" w:sz="0" w:space="0" w:color="auto"/>
                            <w:right w:val="none" w:sz="0" w:space="0" w:color="auto"/>
                          </w:divBdr>
                          <w:divsChild>
                            <w:div w:id="817317">
                              <w:marLeft w:val="0"/>
                              <w:marRight w:val="0"/>
                              <w:marTop w:val="0"/>
                              <w:marBottom w:val="0"/>
                              <w:divBdr>
                                <w:top w:val="none" w:sz="0" w:space="0" w:color="auto"/>
                                <w:left w:val="none" w:sz="0" w:space="0" w:color="auto"/>
                                <w:bottom w:val="none" w:sz="0" w:space="0" w:color="auto"/>
                                <w:right w:val="none" w:sz="0" w:space="0" w:color="auto"/>
                              </w:divBdr>
                            </w:div>
                            <w:div w:id="541940250">
                              <w:marLeft w:val="0"/>
                              <w:marRight w:val="0"/>
                              <w:marTop w:val="0"/>
                              <w:marBottom w:val="0"/>
                              <w:divBdr>
                                <w:top w:val="none" w:sz="0" w:space="0" w:color="auto"/>
                                <w:left w:val="none" w:sz="0" w:space="0" w:color="auto"/>
                                <w:bottom w:val="none" w:sz="0" w:space="0" w:color="auto"/>
                                <w:right w:val="none" w:sz="0" w:space="0" w:color="auto"/>
                              </w:divBdr>
                            </w:div>
                            <w:div w:id="677270765">
                              <w:marLeft w:val="0"/>
                              <w:marRight w:val="0"/>
                              <w:marTop w:val="0"/>
                              <w:marBottom w:val="0"/>
                              <w:divBdr>
                                <w:top w:val="none" w:sz="0" w:space="0" w:color="auto"/>
                                <w:left w:val="none" w:sz="0" w:space="0" w:color="auto"/>
                                <w:bottom w:val="none" w:sz="0" w:space="0" w:color="auto"/>
                                <w:right w:val="none" w:sz="0" w:space="0" w:color="auto"/>
                              </w:divBdr>
                            </w:div>
                            <w:div w:id="192795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81754">
                      <w:marLeft w:val="0"/>
                      <w:marRight w:val="0"/>
                      <w:marTop w:val="0"/>
                      <w:marBottom w:val="0"/>
                      <w:divBdr>
                        <w:top w:val="none" w:sz="0" w:space="0" w:color="auto"/>
                        <w:left w:val="none" w:sz="0" w:space="0" w:color="auto"/>
                        <w:bottom w:val="none" w:sz="0" w:space="0" w:color="auto"/>
                        <w:right w:val="none" w:sz="0" w:space="0" w:color="auto"/>
                      </w:divBdr>
                      <w:divsChild>
                        <w:div w:id="1037656423">
                          <w:marLeft w:val="0"/>
                          <w:marRight w:val="0"/>
                          <w:marTop w:val="0"/>
                          <w:marBottom w:val="225"/>
                          <w:divBdr>
                            <w:top w:val="none" w:sz="0" w:space="0" w:color="auto"/>
                            <w:left w:val="none" w:sz="0" w:space="0" w:color="auto"/>
                            <w:bottom w:val="none" w:sz="0" w:space="0" w:color="auto"/>
                            <w:right w:val="none" w:sz="0" w:space="0" w:color="auto"/>
                          </w:divBdr>
                          <w:divsChild>
                            <w:div w:id="199914242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791592">
      <w:bodyDiv w:val="1"/>
      <w:marLeft w:val="0"/>
      <w:marRight w:val="0"/>
      <w:marTop w:val="0"/>
      <w:marBottom w:val="0"/>
      <w:divBdr>
        <w:top w:val="none" w:sz="0" w:space="0" w:color="auto"/>
        <w:left w:val="none" w:sz="0" w:space="0" w:color="auto"/>
        <w:bottom w:val="none" w:sz="0" w:space="0" w:color="auto"/>
        <w:right w:val="none" w:sz="0" w:space="0" w:color="auto"/>
      </w:divBdr>
      <w:divsChild>
        <w:div w:id="395784968">
          <w:marLeft w:val="0"/>
          <w:marRight w:val="0"/>
          <w:marTop w:val="0"/>
          <w:marBottom w:val="0"/>
          <w:divBdr>
            <w:top w:val="none" w:sz="0" w:space="0" w:color="auto"/>
            <w:left w:val="none" w:sz="0" w:space="0" w:color="auto"/>
            <w:bottom w:val="none" w:sz="0" w:space="0" w:color="auto"/>
            <w:right w:val="none" w:sz="0" w:space="0" w:color="auto"/>
          </w:divBdr>
          <w:divsChild>
            <w:div w:id="1917130390">
              <w:marLeft w:val="0"/>
              <w:marRight w:val="0"/>
              <w:marTop w:val="225"/>
              <w:marBottom w:val="225"/>
              <w:divBdr>
                <w:top w:val="none" w:sz="0" w:space="0" w:color="auto"/>
                <w:left w:val="none" w:sz="0" w:space="0" w:color="auto"/>
                <w:bottom w:val="none" w:sz="0" w:space="0" w:color="auto"/>
                <w:right w:val="none" w:sz="0" w:space="0" w:color="auto"/>
              </w:divBdr>
            </w:div>
          </w:divsChild>
        </w:div>
        <w:div w:id="1208449563">
          <w:marLeft w:val="0"/>
          <w:marRight w:val="0"/>
          <w:marTop w:val="0"/>
          <w:marBottom w:val="150"/>
          <w:divBdr>
            <w:top w:val="none" w:sz="0" w:space="0" w:color="auto"/>
            <w:left w:val="none" w:sz="0" w:space="0" w:color="auto"/>
            <w:bottom w:val="none" w:sz="0" w:space="0" w:color="auto"/>
            <w:right w:val="none" w:sz="0" w:space="0" w:color="auto"/>
          </w:divBdr>
          <w:divsChild>
            <w:div w:id="499197506">
              <w:marLeft w:val="0"/>
              <w:marRight w:val="0"/>
              <w:marTop w:val="0"/>
              <w:marBottom w:val="0"/>
              <w:divBdr>
                <w:top w:val="none" w:sz="0" w:space="0" w:color="auto"/>
                <w:left w:val="none" w:sz="0" w:space="0" w:color="auto"/>
                <w:bottom w:val="none" w:sz="0" w:space="0" w:color="auto"/>
                <w:right w:val="none" w:sz="0" w:space="0" w:color="auto"/>
              </w:divBdr>
              <w:divsChild>
                <w:div w:id="81811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465490">
          <w:marLeft w:val="0"/>
          <w:marRight w:val="0"/>
          <w:marTop w:val="0"/>
          <w:marBottom w:val="150"/>
          <w:divBdr>
            <w:top w:val="none" w:sz="0" w:space="0" w:color="auto"/>
            <w:left w:val="none" w:sz="0" w:space="0" w:color="auto"/>
            <w:bottom w:val="none" w:sz="0" w:space="0" w:color="auto"/>
            <w:right w:val="none" w:sz="0" w:space="0" w:color="auto"/>
          </w:divBdr>
        </w:div>
      </w:divsChild>
    </w:div>
    <w:div w:id="1242982339">
      <w:bodyDiv w:val="1"/>
      <w:marLeft w:val="0"/>
      <w:marRight w:val="0"/>
      <w:marTop w:val="0"/>
      <w:marBottom w:val="0"/>
      <w:divBdr>
        <w:top w:val="none" w:sz="0" w:space="0" w:color="auto"/>
        <w:left w:val="none" w:sz="0" w:space="0" w:color="auto"/>
        <w:bottom w:val="none" w:sz="0" w:space="0" w:color="auto"/>
        <w:right w:val="none" w:sz="0" w:space="0" w:color="auto"/>
      </w:divBdr>
    </w:div>
    <w:div w:id="1243028864">
      <w:bodyDiv w:val="1"/>
      <w:marLeft w:val="0"/>
      <w:marRight w:val="0"/>
      <w:marTop w:val="0"/>
      <w:marBottom w:val="0"/>
      <w:divBdr>
        <w:top w:val="none" w:sz="0" w:space="0" w:color="auto"/>
        <w:left w:val="none" w:sz="0" w:space="0" w:color="auto"/>
        <w:bottom w:val="none" w:sz="0" w:space="0" w:color="auto"/>
        <w:right w:val="none" w:sz="0" w:space="0" w:color="auto"/>
      </w:divBdr>
      <w:divsChild>
        <w:div w:id="124740450">
          <w:marLeft w:val="0"/>
          <w:marRight w:val="0"/>
          <w:marTop w:val="0"/>
          <w:marBottom w:val="0"/>
          <w:divBdr>
            <w:top w:val="none" w:sz="0" w:space="0" w:color="auto"/>
            <w:left w:val="none" w:sz="0" w:space="0" w:color="auto"/>
            <w:bottom w:val="none" w:sz="0" w:space="0" w:color="auto"/>
            <w:right w:val="none" w:sz="0" w:space="0" w:color="auto"/>
          </w:divBdr>
          <w:divsChild>
            <w:div w:id="287322255">
              <w:marLeft w:val="0"/>
              <w:marRight w:val="0"/>
              <w:marTop w:val="0"/>
              <w:marBottom w:val="0"/>
              <w:divBdr>
                <w:top w:val="none" w:sz="0" w:space="0" w:color="auto"/>
                <w:left w:val="none" w:sz="0" w:space="0" w:color="auto"/>
                <w:bottom w:val="none" w:sz="0" w:space="0" w:color="auto"/>
                <w:right w:val="none" w:sz="0" w:space="0" w:color="auto"/>
              </w:divBdr>
              <w:divsChild>
                <w:div w:id="1673528748">
                  <w:marLeft w:val="0"/>
                  <w:marRight w:val="0"/>
                  <w:marTop w:val="0"/>
                  <w:marBottom w:val="0"/>
                  <w:divBdr>
                    <w:top w:val="none" w:sz="0" w:space="0" w:color="auto"/>
                    <w:left w:val="none" w:sz="0" w:space="0" w:color="auto"/>
                    <w:bottom w:val="none" w:sz="0" w:space="0" w:color="auto"/>
                    <w:right w:val="none" w:sz="0" w:space="0" w:color="auto"/>
                  </w:divBdr>
                </w:div>
              </w:divsChild>
            </w:div>
            <w:div w:id="372920581">
              <w:marLeft w:val="0"/>
              <w:marRight w:val="0"/>
              <w:marTop w:val="0"/>
              <w:marBottom w:val="0"/>
              <w:divBdr>
                <w:top w:val="none" w:sz="0" w:space="0" w:color="auto"/>
                <w:left w:val="none" w:sz="0" w:space="0" w:color="auto"/>
                <w:bottom w:val="none" w:sz="0" w:space="0" w:color="auto"/>
                <w:right w:val="none" w:sz="0" w:space="0" w:color="auto"/>
              </w:divBdr>
            </w:div>
          </w:divsChild>
        </w:div>
        <w:div w:id="196091593">
          <w:marLeft w:val="0"/>
          <w:marRight w:val="0"/>
          <w:marTop w:val="150"/>
          <w:marBottom w:val="0"/>
          <w:divBdr>
            <w:top w:val="none" w:sz="0" w:space="0" w:color="auto"/>
            <w:left w:val="none" w:sz="0" w:space="0" w:color="auto"/>
            <w:bottom w:val="none" w:sz="0" w:space="0" w:color="auto"/>
            <w:right w:val="none" w:sz="0" w:space="0" w:color="auto"/>
          </w:divBdr>
          <w:divsChild>
            <w:div w:id="102113229">
              <w:marLeft w:val="0"/>
              <w:marRight w:val="0"/>
              <w:marTop w:val="0"/>
              <w:marBottom w:val="0"/>
              <w:divBdr>
                <w:top w:val="none" w:sz="0" w:space="0" w:color="auto"/>
                <w:left w:val="none" w:sz="0" w:space="0" w:color="auto"/>
                <w:bottom w:val="none" w:sz="0" w:space="0" w:color="auto"/>
                <w:right w:val="none" w:sz="0" w:space="0" w:color="auto"/>
              </w:divBdr>
              <w:divsChild>
                <w:div w:id="146488625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296418">
      <w:bodyDiv w:val="1"/>
      <w:marLeft w:val="0"/>
      <w:marRight w:val="0"/>
      <w:marTop w:val="0"/>
      <w:marBottom w:val="0"/>
      <w:divBdr>
        <w:top w:val="none" w:sz="0" w:space="0" w:color="auto"/>
        <w:left w:val="none" w:sz="0" w:space="0" w:color="auto"/>
        <w:bottom w:val="none" w:sz="0" w:space="0" w:color="auto"/>
        <w:right w:val="none" w:sz="0" w:space="0" w:color="auto"/>
      </w:divBdr>
      <w:divsChild>
        <w:div w:id="188375476">
          <w:marLeft w:val="0"/>
          <w:marRight w:val="0"/>
          <w:marTop w:val="0"/>
          <w:marBottom w:val="150"/>
          <w:divBdr>
            <w:top w:val="none" w:sz="0" w:space="0" w:color="auto"/>
            <w:left w:val="none" w:sz="0" w:space="0" w:color="auto"/>
            <w:bottom w:val="none" w:sz="0" w:space="0" w:color="auto"/>
            <w:right w:val="none" w:sz="0" w:space="0" w:color="auto"/>
          </w:divBdr>
        </w:div>
        <w:div w:id="1654480469">
          <w:marLeft w:val="0"/>
          <w:marRight w:val="0"/>
          <w:marTop w:val="0"/>
          <w:marBottom w:val="150"/>
          <w:divBdr>
            <w:top w:val="none" w:sz="0" w:space="0" w:color="auto"/>
            <w:left w:val="none" w:sz="0" w:space="0" w:color="auto"/>
            <w:bottom w:val="none" w:sz="0" w:space="0" w:color="auto"/>
            <w:right w:val="none" w:sz="0" w:space="0" w:color="auto"/>
          </w:divBdr>
          <w:divsChild>
            <w:div w:id="162399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366981">
      <w:bodyDiv w:val="1"/>
      <w:marLeft w:val="0"/>
      <w:marRight w:val="0"/>
      <w:marTop w:val="0"/>
      <w:marBottom w:val="0"/>
      <w:divBdr>
        <w:top w:val="none" w:sz="0" w:space="0" w:color="auto"/>
        <w:left w:val="none" w:sz="0" w:space="0" w:color="auto"/>
        <w:bottom w:val="none" w:sz="0" w:space="0" w:color="auto"/>
        <w:right w:val="none" w:sz="0" w:space="0" w:color="auto"/>
      </w:divBdr>
      <w:divsChild>
        <w:div w:id="53085129">
          <w:marLeft w:val="0"/>
          <w:marRight w:val="0"/>
          <w:marTop w:val="0"/>
          <w:marBottom w:val="0"/>
          <w:divBdr>
            <w:top w:val="none" w:sz="0" w:space="0" w:color="auto"/>
            <w:left w:val="none" w:sz="0" w:space="0" w:color="auto"/>
            <w:bottom w:val="dotted" w:sz="6" w:space="4" w:color="DDDDDD"/>
            <w:right w:val="none" w:sz="0" w:space="0" w:color="auto"/>
          </w:divBdr>
        </w:div>
      </w:divsChild>
    </w:div>
    <w:div w:id="1243415416">
      <w:bodyDiv w:val="1"/>
      <w:marLeft w:val="0"/>
      <w:marRight w:val="0"/>
      <w:marTop w:val="0"/>
      <w:marBottom w:val="0"/>
      <w:divBdr>
        <w:top w:val="none" w:sz="0" w:space="0" w:color="auto"/>
        <w:left w:val="none" w:sz="0" w:space="0" w:color="auto"/>
        <w:bottom w:val="none" w:sz="0" w:space="0" w:color="auto"/>
        <w:right w:val="none" w:sz="0" w:space="0" w:color="auto"/>
      </w:divBdr>
    </w:div>
    <w:div w:id="1244336290">
      <w:bodyDiv w:val="1"/>
      <w:marLeft w:val="0"/>
      <w:marRight w:val="0"/>
      <w:marTop w:val="0"/>
      <w:marBottom w:val="0"/>
      <w:divBdr>
        <w:top w:val="none" w:sz="0" w:space="0" w:color="auto"/>
        <w:left w:val="none" w:sz="0" w:space="0" w:color="auto"/>
        <w:bottom w:val="none" w:sz="0" w:space="0" w:color="auto"/>
        <w:right w:val="none" w:sz="0" w:space="0" w:color="auto"/>
      </w:divBdr>
      <w:divsChild>
        <w:div w:id="2080663101">
          <w:marLeft w:val="0"/>
          <w:marRight w:val="0"/>
          <w:marTop w:val="0"/>
          <w:marBottom w:val="0"/>
          <w:divBdr>
            <w:top w:val="none" w:sz="0" w:space="0" w:color="auto"/>
            <w:left w:val="none" w:sz="0" w:space="0" w:color="auto"/>
            <w:bottom w:val="dotted" w:sz="6" w:space="4" w:color="DDDDDD"/>
            <w:right w:val="none" w:sz="0" w:space="0" w:color="auto"/>
          </w:divBdr>
        </w:div>
      </w:divsChild>
    </w:div>
    <w:div w:id="1244491096">
      <w:bodyDiv w:val="1"/>
      <w:marLeft w:val="0"/>
      <w:marRight w:val="0"/>
      <w:marTop w:val="0"/>
      <w:marBottom w:val="0"/>
      <w:divBdr>
        <w:top w:val="none" w:sz="0" w:space="0" w:color="auto"/>
        <w:left w:val="none" w:sz="0" w:space="0" w:color="auto"/>
        <w:bottom w:val="none" w:sz="0" w:space="0" w:color="auto"/>
        <w:right w:val="none" w:sz="0" w:space="0" w:color="auto"/>
      </w:divBdr>
    </w:div>
    <w:div w:id="1245067629">
      <w:bodyDiv w:val="1"/>
      <w:marLeft w:val="0"/>
      <w:marRight w:val="0"/>
      <w:marTop w:val="0"/>
      <w:marBottom w:val="0"/>
      <w:divBdr>
        <w:top w:val="none" w:sz="0" w:space="0" w:color="auto"/>
        <w:left w:val="none" w:sz="0" w:space="0" w:color="auto"/>
        <w:bottom w:val="none" w:sz="0" w:space="0" w:color="auto"/>
        <w:right w:val="none" w:sz="0" w:space="0" w:color="auto"/>
      </w:divBdr>
    </w:div>
    <w:div w:id="1245188059">
      <w:bodyDiv w:val="1"/>
      <w:marLeft w:val="0"/>
      <w:marRight w:val="0"/>
      <w:marTop w:val="0"/>
      <w:marBottom w:val="0"/>
      <w:divBdr>
        <w:top w:val="none" w:sz="0" w:space="0" w:color="auto"/>
        <w:left w:val="none" w:sz="0" w:space="0" w:color="auto"/>
        <w:bottom w:val="none" w:sz="0" w:space="0" w:color="auto"/>
        <w:right w:val="none" w:sz="0" w:space="0" w:color="auto"/>
      </w:divBdr>
      <w:divsChild>
        <w:div w:id="510488946">
          <w:marLeft w:val="0"/>
          <w:marRight w:val="0"/>
          <w:marTop w:val="0"/>
          <w:marBottom w:val="0"/>
          <w:divBdr>
            <w:top w:val="none" w:sz="0" w:space="0" w:color="auto"/>
            <w:left w:val="none" w:sz="0" w:space="0" w:color="auto"/>
            <w:bottom w:val="none" w:sz="0" w:space="0" w:color="auto"/>
            <w:right w:val="none" w:sz="0" w:space="0" w:color="auto"/>
          </w:divBdr>
          <w:divsChild>
            <w:div w:id="17817979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5337514">
      <w:bodyDiv w:val="1"/>
      <w:marLeft w:val="0"/>
      <w:marRight w:val="0"/>
      <w:marTop w:val="0"/>
      <w:marBottom w:val="0"/>
      <w:divBdr>
        <w:top w:val="none" w:sz="0" w:space="0" w:color="auto"/>
        <w:left w:val="none" w:sz="0" w:space="0" w:color="auto"/>
        <w:bottom w:val="none" w:sz="0" w:space="0" w:color="auto"/>
        <w:right w:val="none" w:sz="0" w:space="0" w:color="auto"/>
      </w:divBdr>
      <w:divsChild>
        <w:div w:id="908465362">
          <w:marLeft w:val="0"/>
          <w:marRight w:val="0"/>
          <w:marTop w:val="0"/>
          <w:marBottom w:val="0"/>
          <w:divBdr>
            <w:top w:val="none" w:sz="0" w:space="0" w:color="auto"/>
            <w:left w:val="none" w:sz="0" w:space="0" w:color="auto"/>
            <w:bottom w:val="dotted" w:sz="6" w:space="4" w:color="DDDDDD"/>
            <w:right w:val="none" w:sz="0" w:space="0" w:color="auto"/>
          </w:divBdr>
        </w:div>
      </w:divsChild>
    </w:div>
    <w:div w:id="1245338162">
      <w:bodyDiv w:val="1"/>
      <w:marLeft w:val="0"/>
      <w:marRight w:val="0"/>
      <w:marTop w:val="0"/>
      <w:marBottom w:val="0"/>
      <w:divBdr>
        <w:top w:val="none" w:sz="0" w:space="0" w:color="auto"/>
        <w:left w:val="none" w:sz="0" w:space="0" w:color="auto"/>
        <w:bottom w:val="none" w:sz="0" w:space="0" w:color="auto"/>
        <w:right w:val="none" w:sz="0" w:space="0" w:color="auto"/>
      </w:divBdr>
      <w:divsChild>
        <w:div w:id="1904018958">
          <w:marLeft w:val="0"/>
          <w:marRight w:val="0"/>
          <w:marTop w:val="0"/>
          <w:marBottom w:val="0"/>
          <w:divBdr>
            <w:top w:val="none" w:sz="0" w:space="0" w:color="auto"/>
            <w:left w:val="none" w:sz="0" w:space="0" w:color="auto"/>
            <w:bottom w:val="dotted" w:sz="6" w:space="4" w:color="DDDDDD"/>
            <w:right w:val="none" w:sz="0" w:space="0" w:color="auto"/>
          </w:divBdr>
          <w:divsChild>
            <w:div w:id="176097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39649">
      <w:bodyDiv w:val="1"/>
      <w:marLeft w:val="0"/>
      <w:marRight w:val="0"/>
      <w:marTop w:val="0"/>
      <w:marBottom w:val="0"/>
      <w:divBdr>
        <w:top w:val="none" w:sz="0" w:space="0" w:color="auto"/>
        <w:left w:val="none" w:sz="0" w:space="0" w:color="auto"/>
        <w:bottom w:val="none" w:sz="0" w:space="0" w:color="auto"/>
        <w:right w:val="none" w:sz="0" w:space="0" w:color="auto"/>
      </w:divBdr>
      <w:divsChild>
        <w:div w:id="1175918996">
          <w:marLeft w:val="0"/>
          <w:marRight w:val="0"/>
          <w:marTop w:val="0"/>
          <w:marBottom w:val="150"/>
          <w:divBdr>
            <w:top w:val="none" w:sz="0" w:space="0" w:color="auto"/>
            <w:left w:val="none" w:sz="0" w:space="0" w:color="auto"/>
            <w:bottom w:val="none" w:sz="0" w:space="0" w:color="auto"/>
            <w:right w:val="none" w:sz="0" w:space="0" w:color="auto"/>
          </w:divBdr>
        </w:div>
        <w:div w:id="1611668320">
          <w:marLeft w:val="0"/>
          <w:marRight w:val="0"/>
          <w:marTop w:val="0"/>
          <w:marBottom w:val="0"/>
          <w:divBdr>
            <w:top w:val="none" w:sz="0" w:space="0" w:color="auto"/>
            <w:left w:val="none" w:sz="0" w:space="0" w:color="auto"/>
            <w:bottom w:val="none" w:sz="0" w:space="0" w:color="auto"/>
            <w:right w:val="none" w:sz="0" w:space="0" w:color="auto"/>
          </w:divBdr>
        </w:div>
      </w:divsChild>
    </w:div>
    <w:div w:id="1245458295">
      <w:bodyDiv w:val="1"/>
      <w:marLeft w:val="0"/>
      <w:marRight w:val="0"/>
      <w:marTop w:val="0"/>
      <w:marBottom w:val="0"/>
      <w:divBdr>
        <w:top w:val="none" w:sz="0" w:space="0" w:color="auto"/>
        <w:left w:val="none" w:sz="0" w:space="0" w:color="auto"/>
        <w:bottom w:val="none" w:sz="0" w:space="0" w:color="auto"/>
        <w:right w:val="none" w:sz="0" w:space="0" w:color="auto"/>
      </w:divBdr>
    </w:div>
    <w:div w:id="1246456885">
      <w:bodyDiv w:val="1"/>
      <w:marLeft w:val="0"/>
      <w:marRight w:val="0"/>
      <w:marTop w:val="0"/>
      <w:marBottom w:val="0"/>
      <w:divBdr>
        <w:top w:val="none" w:sz="0" w:space="0" w:color="auto"/>
        <w:left w:val="none" w:sz="0" w:space="0" w:color="auto"/>
        <w:bottom w:val="none" w:sz="0" w:space="0" w:color="auto"/>
        <w:right w:val="none" w:sz="0" w:space="0" w:color="auto"/>
      </w:divBdr>
      <w:divsChild>
        <w:div w:id="358550406">
          <w:marLeft w:val="0"/>
          <w:marRight w:val="0"/>
          <w:marTop w:val="0"/>
          <w:marBottom w:val="0"/>
          <w:divBdr>
            <w:top w:val="none" w:sz="0" w:space="0" w:color="auto"/>
            <w:left w:val="none" w:sz="0" w:space="0" w:color="auto"/>
            <w:bottom w:val="none" w:sz="0" w:space="0" w:color="auto"/>
            <w:right w:val="none" w:sz="0" w:space="0" w:color="auto"/>
          </w:divBdr>
          <w:divsChild>
            <w:div w:id="1550144365">
              <w:marLeft w:val="0"/>
              <w:marRight w:val="0"/>
              <w:marTop w:val="0"/>
              <w:marBottom w:val="0"/>
              <w:divBdr>
                <w:top w:val="none" w:sz="0" w:space="0" w:color="auto"/>
                <w:left w:val="none" w:sz="0" w:space="0" w:color="auto"/>
                <w:bottom w:val="none" w:sz="0" w:space="0" w:color="auto"/>
                <w:right w:val="none" w:sz="0" w:space="0" w:color="auto"/>
              </w:divBdr>
              <w:divsChild>
                <w:div w:id="189650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158969">
          <w:marLeft w:val="0"/>
          <w:marRight w:val="0"/>
          <w:marTop w:val="0"/>
          <w:marBottom w:val="0"/>
          <w:divBdr>
            <w:top w:val="none" w:sz="0" w:space="0" w:color="auto"/>
            <w:left w:val="none" w:sz="0" w:space="0" w:color="auto"/>
            <w:bottom w:val="none" w:sz="0" w:space="0" w:color="auto"/>
            <w:right w:val="none" w:sz="0" w:space="0" w:color="auto"/>
          </w:divBdr>
        </w:div>
        <w:div w:id="790780541">
          <w:marLeft w:val="0"/>
          <w:marRight w:val="0"/>
          <w:marTop w:val="0"/>
          <w:marBottom w:val="300"/>
          <w:divBdr>
            <w:top w:val="none" w:sz="0" w:space="0" w:color="auto"/>
            <w:left w:val="none" w:sz="0" w:space="0" w:color="auto"/>
            <w:bottom w:val="none" w:sz="0" w:space="0" w:color="auto"/>
            <w:right w:val="none" w:sz="0" w:space="0" w:color="auto"/>
          </w:divBdr>
          <w:divsChild>
            <w:div w:id="790629018">
              <w:marLeft w:val="0"/>
              <w:marRight w:val="0"/>
              <w:marTop w:val="0"/>
              <w:marBottom w:val="0"/>
              <w:divBdr>
                <w:top w:val="none" w:sz="0" w:space="0" w:color="auto"/>
                <w:left w:val="none" w:sz="0" w:space="0" w:color="auto"/>
                <w:bottom w:val="none" w:sz="0" w:space="0" w:color="auto"/>
                <w:right w:val="none" w:sz="0" w:space="0" w:color="auto"/>
              </w:divBdr>
            </w:div>
          </w:divsChild>
        </w:div>
        <w:div w:id="793644441">
          <w:marLeft w:val="0"/>
          <w:marRight w:val="0"/>
          <w:marTop w:val="0"/>
          <w:marBottom w:val="75"/>
          <w:divBdr>
            <w:top w:val="none" w:sz="0" w:space="0" w:color="auto"/>
            <w:left w:val="none" w:sz="0" w:space="0" w:color="auto"/>
            <w:bottom w:val="none" w:sz="0" w:space="0" w:color="auto"/>
            <w:right w:val="none" w:sz="0" w:space="0" w:color="auto"/>
          </w:divBdr>
        </w:div>
      </w:divsChild>
    </w:div>
    <w:div w:id="1246499915">
      <w:bodyDiv w:val="1"/>
      <w:marLeft w:val="0"/>
      <w:marRight w:val="0"/>
      <w:marTop w:val="0"/>
      <w:marBottom w:val="0"/>
      <w:divBdr>
        <w:top w:val="none" w:sz="0" w:space="0" w:color="auto"/>
        <w:left w:val="none" w:sz="0" w:space="0" w:color="auto"/>
        <w:bottom w:val="none" w:sz="0" w:space="0" w:color="auto"/>
        <w:right w:val="none" w:sz="0" w:space="0" w:color="auto"/>
      </w:divBdr>
      <w:divsChild>
        <w:div w:id="268392860">
          <w:marLeft w:val="0"/>
          <w:marRight w:val="0"/>
          <w:marTop w:val="300"/>
          <w:marBottom w:val="0"/>
          <w:divBdr>
            <w:top w:val="none" w:sz="0" w:space="0" w:color="auto"/>
            <w:left w:val="none" w:sz="0" w:space="0" w:color="auto"/>
            <w:bottom w:val="none" w:sz="0" w:space="0" w:color="auto"/>
            <w:right w:val="none" w:sz="0" w:space="0" w:color="auto"/>
          </w:divBdr>
          <w:divsChild>
            <w:div w:id="120656272">
              <w:marLeft w:val="-1350"/>
              <w:marRight w:val="0"/>
              <w:marTop w:val="0"/>
              <w:marBottom w:val="0"/>
              <w:divBdr>
                <w:top w:val="none" w:sz="0" w:space="0" w:color="auto"/>
                <w:left w:val="none" w:sz="0" w:space="0" w:color="auto"/>
                <w:bottom w:val="none" w:sz="0" w:space="0" w:color="auto"/>
                <w:right w:val="none" w:sz="0" w:space="0" w:color="auto"/>
              </w:divBdr>
              <w:divsChild>
                <w:div w:id="113905839">
                  <w:marLeft w:val="0"/>
                  <w:marRight w:val="0"/>
                  <w:marTop w:val="0"/>
                  <w:marBottom w:val="0"/>
                  <w:divBdr>
                    <w:top w:val="none" w:sz="0" w:space="0" w:color="auto"/>
                    <w:left w:val="none" w:sz="0" w:space="0" w:color="auto"/>
                    <w:bottom w:val="none" w:sz="0" w:space="0" w:color="auto"/>
                    <w:right w:val="none" w:sz="0" w:space="0" w:color="auto"/>
                  </w:divBdr>
                  <w:divsChild>
                    <w:div w:id="1779718190">
                      <w:marLeft w:val="0"/>
                      <w:marRight w:val="0"/>
                      <w:marTop w:val="0"/>
                      <w:marBottom w:val="0"/>
                      <w:divBdr>
                        <w:top w:val="none" w:sz="0" w:space="0" w:color="auto"/>
                        <w:left w:val="none" w:sz="0" w:space="0" w:color="auto"/>
                        <w:bottom w:val="none" w:sz="0" w:space="0" w:color="auto"/>
                        <w:right w:val="none" w:sz="0" w:space="0" w:color="auto"/>
                      </w:divBdr>
                      <w:divsChild>
                        <w:div w:id="1504783172">
                          <w:marLeft w:val="0"/>
                          <w:marRight w:val="0"/>
                          <w:marTop w:val="0"/>
                          <w:marBottom w:val="0"/>
                          <w:divBdr>
                            <w:top w:val="single" w:sz="6" w:space="0" w:color="C7C7C7"/>
                            <w:left w:val="single" w:sz="6" w:space="0" w:color="C7C7C7"/>
                            <w:bottom w:val="single" w:sz="6" w:space="0" w:color="C7C7C7"/>
                            <w:right w:val="single" w:sz="6" w:space="0" w:color="C7C7C7"/>
                          </w:divBdr>
                          <w:divsChild>
                            <w:div w:id="774400140">
                              <w:marLeft w:val="0"/>
                              <w:marRight w:val="0"/>
                              <w:marTop w:val="100"/>
                              <w:marBottom w:val="100"/>
                              <w:divBdr>
                                <w:top w:val="none" w:sz="0" w:space="11" w:color="auto"/>
                                <w:left w:val="none" w:sz="0" w:space="0" w:color="auto"/>
                                <w:bottom w:val="single" w:sz="6" w:space="11" w:color="C7C7C7"/>
                                <w:right w:val="none" w:sz="0" w:space="0" w:color="auto"/>
                              </w:divBdr>
                              <w:divsChild>
                                <w:div w:id="1779328081">
                                  <w:marLeft w:val="0"/>
                                  <w:marRight w:val="0"/>
                                  <w:marTop w:val="0"/>
                                  <w:marBottom w:val="0"/>
                                  <w:divBdr>
                                    <w:top w:val="none" w:sz="0" w:space="0" w:color="auto"/>
                                    <w:left w:val="none" w:sz="0" w:space="0" w:color="auto"/>
                                    <w:bottom w:val="none" w:sz="0" w:space="0" w:color="auto"/>
                                    <w:right w:val="none" w:sz="0" w:space="0" w:color="auto"/>
                                  </w:divBdr>
                                </w:div>
                              </w:divsChild>
                            </w:div>
                            <w:div w:id="794913568">
                              <w:marLeft w:val="0"/>
                              <w:marRight w:val="0"/>
                              <w:marTop w:val="100"/>
                              <w:marBottom w:val="100"/>
                              <w:divBdr>
                                <w:top w:val="none" w:sz="0" w:space="0" w:color="auto"/>
                                <w:left w:val="none" w:sz="0" w:space="0" w:color="auto"/>
                                <w:bottom w:val="none" w:sz="0" w:space="0" w:color="auto"/>
                                <w:right w:val="none" w:sz="0" w:space="0" w:color="auto"/>
                              </w:divBdr>
                            </w:div>
                            <w:div w:id="960651790">
                              <w:marLeft w:val="0"/>
                              <w:marRight w:val="0"/>
                              <w:marTop w:val="100"/>
                              <w:marBottom w:val="100"/>
                              <w:divBdr>
                                <w:top w:val="none" w:sz="0" w:space="11" w:color="auto"/>
                                <w:left w:val="none" w:sz="0" w:space="0" w:color="auto"/>
                                <w:bottom w:val="single" w:sz="6" w:space="11" w:color="C7C7C7"/>
                                <w:right w:val="none" w:sz="0" w:space="0" w:color="auto"/>
                              </w:divBdr>
                            </w:div>
                            <w:div w:id="1212502543">
                              <w:marLeft w:val="0"/>
                              <w:marRight w:val="0"/>
                              <w:marTop w:val="100"/>
                              <w:marBottom w:val="100"/>
                              <w:divBdr>
                                <w:top w:val="none" w:sz="0" w:space="11" w:color="auto"/>
                                <w:left w:val="none" w:sz="0" w:space="0" w:color="auto"/>
                                <w:bottom w:val="single" w:sz="6" w:space="11" w:color="C7C7C7"/>
                                <w:right w:val="none" w:sz="0" w:space="0" w:color="auto"/>
                              </w:divBdr>
                            </w:div>
                            <w:div w:id="2033604986">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268776752">
              <w:marLeft w:val="0"/>
              <w:marRight w:val="0"/>
              <w:marTop w:val="0"/>
              <w:marBottom w:val="0"/>
              <w:divBdr>
                <w:top w:val="none" w:sz="0" w:space="0" w:color="auto"/>
                <w:left w:val="none" w:sz="0" w:space="0" w:color="auto"/>
                <w:bottom w:val="none" w:sz="0" w:space="0" w:color="auto"/>
                <w:right w:val="none" w:sz="0" w:space="0" w:color="auto"/>
              </w:divBdr>
              <w:divsChild>
                <w:div w:id="1725644698">
                  <w:marLeft w:val="0"/>
                  <w:marRight w:val="0"/>
                  <w:marTop w:val="150"/>
                  <w:marBottom w:val="0"/>
                  <w:divBdr>
                    <w:top w:val="none" w:sz="0" w:space="0" w:color="auto"/>
                    <w:left w:val="none" w:sz="0" w:space="0" w:color="auto"/>
                    <w:bottom w:val="none" w:sz="0" w:space="0" w:color="auto"/>
                    <w:right w:val="none" w:sz="0" w:space="0" w:color="auto"/>
                  </w:divBdr>
                  <w:divsChild>
                    <w:div w:id="1817991367">
                      <w:marLeft w:val="0"/>
                      <w:marRight w:val="0"/>
                      <w:marTop w:val="0"/>
                      <w:marBottom w:val="0"/>
                      <w:divBdr>
                        <w:top w:val="none" w:sz="0" w:space="0" w:color="auto"/>
                        <w:left w:val="none" w:sz="0" w:space="0" w:color="auto"/>
                        <w:bottom w:val="none" w:sz="0" w:space="0" w:color="auto"/>
                        <w:right w:val="none" w:sz="0" w:space="0" w:color="auto"/>
                      </w:divBdr>
                      <w:divsChild>
                        <w:div w:id="342365782">
                          <w:marLeft w:val="75"/>
                          <w:marRight w:val="0"/>
                          <w:marTop w:val="0"/>
                          <w:marBottom w:val="0"/>
                          <w:divBdr>
                            <w:top w:val="none" w:sz="0" w:space="0" w:color="auto"/>
                            <w:left w:val="none" w:sz="0" w:space="0" w:color="auto"/>
                            <w:bottom w:val="none" w:sz="0" w:space="0" w:color="auto"/>
                            <w:right w:val="none" w:sz="0" w:space="0" w:color="auto"/>
                          </w:divBdr>
                        </w:div>
                        <w:div w:id="121222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235211">
                  <w:marLeft w:val="0"/>
                  <w:marRight w:val="0"/>
                  <w:marTop w:val="0"/>
                  <w:marBottom w:val="0"/>
                  <w:divBdr>
                    <w:top w:val="none" w:sz="0" w:space="0" w:color="auto"/>
                    <w:left w:val="none" w:sz="0" w:space="0" w:color="auto"/>
                    <w:bottom w:val="none" w:sz="0" w:space="0" w:color="auto"/>
                    <w:right w:val="none" w:sz="0" w:space="0" w:color="auto"/>
                  </w:divBdr>
                  <w:divsChild>
                    <w:div w:id="17237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474766">
          <w:marLeft w:val="0"/>
          <w:marRight w:val="0"/>
          <w:marTop w:val="150"/>
          <w:marBottom w:val="0"/>
          <w:divBdr>
            <w:top w:val="none" w:sz="0" w:space="0" w:color="auto"/>
            <w:left w:val="none" w:sz="0" w:space="0" w:color="auto"/>
            <w:bottom w:val="none" w:sz="0" w:space="0" w:color="auto"/>
            <w:right w:val="none" w:sz="0" w:space="0" w:color="auto"/>
          </w:divBdr>
          <w:divsChild>
            <w:div w:id="1974796773">
              <w:marLeft w:val="0"/>
              <w:marRight w:val="0"/>
              <w:marTop w:val="0"/>
              <w:marBottom w:val="0"/>
              <w:divBdr>
                <w:top w:val="none" w:sz="0" w:space="0" w:color="auto"/>
                <w:left w:val="none" w:sz="0" w:space="0" w:color="auto"/>
                <w:bottom w:val="single" w:sz="6" w:space="0" w:color="EFEFEF"/>
                <w:right w:val="none" w:sz="0" w:space="0" w:color="auto"/>
              </w:divBdr>
              <w:divsChild>
                <w:div w:id="77948218">
                  <w:marLeft w:val="0"/>
                  <w:marRight w:val="0"/>
                  <w:marTop w:val="0"/>
                  <w:marBottom w:val="0"/>
                  <w:divBdr>
                    <w:top w:val="none" w:sz="0" w:space="0" w:color="auto"/>
                    <w:left w:val="none" w:sz="0" w:space="0" w:color="auto"/>
                    <w:bottom w:val="none" w:sz="0" w:space="0" w:color="auto"/>
                    <w:right w:val="none" w:sz="0" w:space="0" w:color="auto"/>
                  </w:divBdr>
                </w:div>
                <w:div w:id="166365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836757">
      <w:bodyDiv w:val="1"/>
      <w:marLeft w:val="0"/>
      <w:marRight w:val="0"/>
      <w:marTop w:val="0"/>
      <w:marBottom w:val="0"/>
      <w:divBdr>
        <w:top w:val="none" w:sz="0" w:space="0" w:color="auto"/>
        <w:left w:val="none" w:sz="0" w:space="0" w:color="auto"/>
        <w:bottom w:val="none" w:sz="0" w:space="0" w:color="auto"/>
        <w:right w:val="none" w:sz="0" w:space="0" w:color="auto"/>
      </w:divBdr>
      <w:divsChild>
        <w:div w:id="244918290">
          <w:marLeft w:val="0"/>
          <w:marRight w:val="0"/>
          <w:marTop w:val="0"/>
          <w:marBottom w:val="0"/>
          <w:divBdr>
            <w:top w:val="none" w:sz="0" w:space="0" w:color="auto"/>
            <w:left w:val="none" w:sz="0" w:space="0" w:color="auto"/>
            <w:bottom w:val="none" w:sz="0" w:space="0" w:color="auto"/>
            <w:right w:val="none" w:sz="0" w:space="0" w:color="auto"/>
          </w:divBdr>
          <w:divsChild>
            <w:div w:id="709650493">
              <w:marLeft w:val="0"/>
              <w:marRight w:val="0"/>
              <w:marTop w:val="0"/>
              <w:marBottom w:val="0"/>
              <w:divBdr>
                <w:top w:val="none" w:sz="0" w:space="0" w:color="auto"/>
                <w:left w:val="none" w:sz="0" w:space="0" w:color="auto"/>
                <w:bottom w:val="none" w:sz="0" w:space="0" w:color="auto"/>
                <w:right w:val="none" w:sz="0" w:space="0" w:color="auto"/>
              </w:divBdr>
              <w:divsChild>
                <w:div w:id="888611958">
                  <w:marLeft w:val="0"/>
                  <w:marRight w:val="0"/>
                  <w:marTop w:val="0"/>
                  <w:marBottom w:val="0"/>
                  <w:divBdr>
                    <w:top w:val="none" w:sz="0" w:space="0" w:color="auto"/>
                    <w:left w:val="none" w:sz="0" w:space="0" w:color="auto"/>
                    <w:bottom w:val="none" w:sz="0" w:space="0" w:color="auto"/>
                    <w:right w:val="none" w:sz="0" w:space="0" w:color="auto"/>
                  </w:divBdr>
                  <w:divsChild>
                    <w:div w:id="1999336294">
                      <w:marLeft w:val="0"/>
                      <w:marRight w:val="0"/>
                      <w:marTop w:val="0"/>
                      <w:marBottom w:val="0"/>
                      <w:divBdr>
                        <w:top w:val="none" w:sz="0" w:space="0" w:color="auto"/>
                        <w:left w:val="none" w:sz="0" w:space="0" w:color="auto"/>
                        <w:bottom w:val="none" w:sz="0" w:space="0" w:color="auto"/>
                        <w:right w:val="none" w:sz="0" w:space="0" w:color="auto"/>
                      </w:divBdr>
                      <w:divsChild>
                        <w:div w:id="1308437627">
                          <w:marLeft w:val="0"/>
                          <w:marRight w:val="0"/>
                          <w:marTop w:val="0"/>
                          <w:marBottom w:val="0"/>
                          <w:divBdr>
                            <w:top w:val="none" w:sz="0" w:space="0" w:color="auto"/>
                            <w:left w:val="none" w:sz="0" w:space="0" w:color="auto"/>
                            <w:bottom w:val="none" w:sz="0" w:space="0" w:color="auto"/>
                            <w:right w:val="none" w:sz="0" w:space="0" w:color="auto"/>
                          </w:divBdr>
                          <w:divsChild>
                            <w:div w:id="162867381">
                              <w:marLeft w:val="0"/>
                              <w:marRight w:val="0"/>
                              <w:marTop w:val="0"/>
                              <w:marBottom w:val="0"/>
                              <w:divBdr>
                                <w:top w:val="none" w:sz="0" w:space="0" w:color="auto"/>
                                <w:left w:val="none" w:sz="0" w:space="0" w:color="auto"/>
                                <w:bottom w:val="none" w:sz="0" w:space="0" w:color="auto"/>
                                <w:right w:val="none" w:sz="0" w:space="0" w:color="auto"/>
                              </w:divBdr>
                            </w:div>
                            <w:div w:id="96727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478742">
                  <w:marLeft w:val="0"/>
                  <w:marRight w:val="0"/>
                  <w:marTop w:val="0"/>
                  <w:marBottom w:val="0"/>
                  <w:divBdr>
                    <w:top w:val="none" w:sz="0" w:space="0" w:color="auto"/>
                    <w:left w:val="none" w:sz="0" w:space="0" w:color="auto"/>
                    <w:bottom w:val="none" w:sz="0" w:space="0" w:color="auto"/>
                    <w:right w:val="none" w:sz="0" w:space="0" w:color="auto"/>
                  </w:divBdr>
                  <w:divsChild>
                    <w:div w:id="379088088">
                      <w:marLeft w:val="0"/>
                      <w:marRight w:val="0"/>
                      <w:marTop w:val="0"/>
                      <w:marBottom w:val="0"/>
                      <w:divBdr>
                        <w:top w:val="none" w:sz="0" w:space="0" w:color="auto"/>
                        <w:left w:val="none" w:sz="0" w:space="0" w:color="auto"/>
                        <w:bottom w:val="none" w:sz="0" w:space="0" w:color="auto"/>
                        <w:right w:val="none" w:sz="0" w:space="0" w:color="auto"/>
                      </w:divBdr>
                      <w:divsChild>
                        <w:div w:id="126341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524194">
                  <w:marLeft w:val="0"/>
                  <w:marRight w:val="0"/>
                  <w:marTop w:val="0"/>
                  <w:marBottom w:val="0"/>
                  <w:divBdr>
                    <w:top w:val="none" w:sz="0" w:space="0" w:color="auto"/>
                    <w:left w:val="none" w:sz="0" w:space="0" w:color="auto"/>
                    <w:bottom w:val="none" w:sz="0" w:space="0" w:color="auto"/>
                    <w:right w:val="none" w:sz="0" w:space="0" w:color="auto"/>
                  </w:divBdr>
                  <w:divsChild>
                    <w:div w:id="456487549">
                      <w:marLeft w:val="0"/>
                      <w:marRight w:val="0"/>
                      <w:marTop w:val="0"/>
                      <w:marBottom w:val="0"/>
                      <w:divBdr>
                        <w:top w:val="none" w:sz="0" w:space="0" w:color="auto"/>
                        <w:left w:val="none" w:sz="0" w:space="0" w:color="auto"/>
                        <w:bottom w:val="none" w:sz="0" w:space="0" w:color="auto"/>
                        <w:right w:val="none" w:sz="0" w:space="0" w:color="auto"/>
                      </w:divBdr>
                      <w:divsChild>
                        <w:div w:id="1596666497">
                          <w:marLeft w:val="0"/>
                          <w:marRight w:val="0"/>
                          <w:marTop w:val="0"/>
                          <w:marBottom w:val="0"/>
                          <w:divBdr>
                            <w:top w:val="none" w:sz="0" w:space="0" w:color="auto"/>
                            <w:left w:val="none" w:sz="0" w:space="0" w:color="auto"/>
                            <w:bottom w:val="none" w:sz="0" w:space="0" w:color="auto"/>
                            <w:right w:val="none" w:sz="0" w:space="0" w:color="auto"/>
                          </w:divBdr>
                          <w:divsChild>
                            <w:div w:id="1072505220">
                              <w:marLeft w:val="0"/>
                              <w:marRight w:val="0"/>
                              <w:marTop w:val="0"/>
                              <w:marBottom w:val="0"/>
                              <w:divBdr>
                                <w:top w:val="none" w:sz="0" w:space="0" w:color="auto"/>
                                <w:left w:val="none" w:sz="0" w:space="0" w:color="auto"/>
                                <w:bottom w:val="none" w:sz="0" w:space="0" w:color="auto"/>
                                <w:right w:val="none" w:sz="0" w:space="0" w:color="auto"/>
                              </w:divBdr>
                              <w:divsChild>
                                <w:div w:id="1661038358">
                                  <w:marLeft w:val="0"/>
                                  <w:marRight w:val="0"/>
                                  <w:marTop w:val="0"/>
                                  <w:marBottom w:val="0"/>
                                  <w:divBdr>
                                    <w:top w:val="none" w:sz="0" w:space="0" w:color="auto"/>
                                    <w:left w:val="none" w:sz="0" w:space="0" w:color="auto"/>
                                    <w:bottom w:val="none" w:sz="0" w:space="0" w:color="auto"/>
                                    <w:right w:val="none" w:sz="0" w:space="0" w:color="auto"/>
                                  </w:divBdr>
                                  <w:divsChild>
                                    <w:div w:id="162484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7226722">
      <w:bodyDiv w:val="1"/>
      <w:marLeft w:val="0"/>
      <w:marRight w:val="0"/>
      <w:marTop w:val="0"/>
      <w:marBottom w:val="0"/>
      <w:divBdr>
        <w:top w:val="none" w:sz="0" w:space="0" w:color="auto"/>
        <w:left w:val="none" w:sz="0" w:space="0" w:color="auto"/>
        <w:bottom w:val="none" w:sz="0" w:space="0" w:color="auto"/>
        <w:right w:val="none" w:sz="0" w:space="0" w:color="auto"/>
      </w:divBdr>
      <w:divsChild>
        <w:div w:id="66001576">
          <w:marLeft w:val="0"/>
          <w:marRight w:val="0"/>
          <w:marTop w:val="0"/>
          <w:marBottom w:val="150"/>
          <w:divBdr>
            <w:top w:val="none" w:sz="0" w:space="0" w:color="auto"/>
            <w:left w:val="none" w:sz="0" w:space="0" w:color="auto"/>
            <w:bottom w:val="none" w:sz="0" w:space="0" w:color="auto"/>
            <w:right w:val="none" w:sz="0" w:space="0" w:color="auto"/>
          </w:divBdr>
          <w:divsChild>
            <w:div w:id="1810780819">
              <w:marLeft w:val="0"/>
              <w:marRight w:val="0"/>
              <w:marTop w:val="0"/>
              <w:marBottom w:val="0"/>
              <w:divBdr>
                <w:top w:val="none" w:sz="0" w:space="0" w:color="auto"/>
                <w:left w:val="none" w:sz="0" w:space="0" w:color="auto"/>
                <w:bottom w:val="none" w:sz="0" w:space="0" w:color="auto"/>
                <w:right w:val="none" w:sz="0" w:space="0" w:color="auto"/>
              </w:divBdr>
              <w:divsChild>
                <w:div w:id="3951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3154">
          <w:marLeft w:val="0"/>
          <w:marRight w:val="0"/>
          <w:marTop w:val="0"/>
          <w:marBottom w:val="0"/>
          <w:divBdr>
            <w:top w:val="none" w:sz="0" w:space="0" w:color="auto"/>
            <w:left w:val="none" w:sz="0" w:space="0" w:color="auto"/>
            <w:bottom w:val="none" w:sz="0" w:space="0" w:color="auto"/>
            <w:right w:val="none" w:sz="0" w:space="0" w:color="auto"/>
          </w:divBdr>
          <w:divsChild>
            <w:div w:id="1029181462">
              <w:marLeft w:val="0"/>
              <w:marRight w:val="0"/>
              <w:marTop w:val="0"/>
              <w:marBottom w:val="150"/>
              <w:divBdr>
                <w:top w:val="none" w:sz="0" w:space="0" w:color="auto"/>
                <w:left w:val="none" w:sz="0" w:space="0" w:color="auto"/>
                <w:bottom w:val="none" w:sz="0" w:space="0" w:color="auto"/>
                <w:right w:val="none" w:sz="0" w:space="0" w:color="auto"/>
              </w:divBdr>
            </w:div>
            <w:div w:id="1474835486">
              <w:marLeft w:val="0"/>
              <w:marRight w:val="0"/>
              <w:marTop w:val="0"/>
              <w:marBottom w:val="0"/>
              <w:divBdr>
                <w:top w:val="none" w:sz="0" w:space="0" w:color="auto"/>
                <w:left w:val="none" w:sz="0" w:space="0" w:color="auto"/>
                <w:bottom w:val="none" w:sz="0" w:space="0" w:color="auto"/>
                <w:right w:val="none" w:sz="0" w:space="0" w:color="auto"/>
              </w:divBdr>
              <w:divsChild>
                <w:div w:id="14081169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247499825">
      <w:bodyDiv w:val="1"/>
      <w:marLeft w:val="0"/>
      <w:marRight w:val="0"/>
      <w:marTop w:val="0"/>
      <w:marBottom w:val="0"/>
      <w:divBdr>
        <w:top w:val="none" w:sz="0" w:space="0" w:color="auto"/>
        <w:left w:val="none" w:sz="0" w:space="0" w:color="auto"/>
        <w:bottom w:val="none" w:sz="0" w:space="0" w:color="auto"/>
        <w:right w:val="none" w:sz="0" w:space="0" w:color="auto"/>
      </w:divBdr>
      <w:divsChild>
        <w:div w:id="111368153">
          <w:marLeft w:val="0"/>
          <w:marRight w:val="0"/>
          <w:marTop w:val="0"/>
          <w:marBottom w:val="0"/>
          <w:divBdr>
            <w:top w:val="none" w:sz="0" w:space="0" w:color="auto"/>
            <w:left w:val="none" w:sz="0" w:space="0" w:color="auto"/>
            <w:bottom w:val="none" w:sz="0" w:space="0" w:color="auto"/>
            <w:right w:val="none" w:sz="0" w:space="0" w:color="auto"/>
          </w:divBdr>
          <w:divsChild>
            <w:div w:id="244845345">
              <w:marLeft w:val="0"/>
              <w:marRight w:val="0"/>
              <w:marTop w:val="0"/>
              <w:marBottom w:val="0"/>
              <w:divBdr>
                <w:top w:val="none" w:sz="0" w:space="0" w:color="auto"/>
                <w:left w:val="none" w:sz="0" w:space="0" w:color="auto"/>
                <w:bottom w:val="none" w:sz="0" w:space="0" w:color="auto"/>
                <w:right w:val="none" w:sz="0" w:space="0" w:color="auto"/>
              </w:divBdr>
              <w:divsChild>
                <w:div w:id="1904942910">
                  <w:marLeft w:val="0"/>
                  <w:marRight w:val="0"/>
                  <w:marTop w:val="0"/>
                  <w:marBottom w:val="0"/>
                  <w:divBdr>
                    <w:top w:val="none" w:sz="0" w:space="0" w:color="auto"/>
                    <w:left w:val="none" w:sz="0" w:space="0" w:color="auto"/>
                    <w:bottom w:val="none" w:sz="0" w:space="0" w:color="auto"/>
                    <w:right w:val="none" w:sz="0" w:space="0" w:color="auto"/>
                  </w:divBdr>
                  <w:divsChild>
                    <w:div w:id="972518444">
                      <w:marLeft w:val="0"/>
                      <w:marRight w:val="0"/>
                      <w:marTop w:val="0"/>
                      <w:marBottom w:val="0"/>
                      <w:divBdr>
                        <w:top w:val="none" w:sz="0" w:space="0" w:color="auto"/>
                        <w:left w:val="none" w:sz="0" w:space="0" w:color="auto"/>
                        <w:bottom w:val="none" w:sz="0" w:space="0" w:color="auto"/>
                        <w:right w:val="none" w:sz="0" w:space="0" w:color="auto"/>
                      </w:divBdr>
                      <w:divsChild>
                        <w:div w:id="722874903">
                          <w:marLeft w:val="0"/>
                          <w:marRight w:val="0"/>
                          <w:marTop w:val="0"/>
                          <w:marBottom w:val="0"/>
                          <w:divBdr>
                            <w:top w:val="none" w:sz="0" w:space="0" w:color="auto"/>
                            <w:left w:val="none" w:sz="0" w:space="0" w:color="auto"/>
                            <w:bottom w:val="none" w:sz="0" w:space="0" w:color="auto"/>
                            <w:right w:val="none" w:sz="0" w:space="0" w:color="auto"/>
                          </w:divBdr>
                          <w:divsChild>
                            <w:div w:id="998965606">
                              <w:marLeft w:val="0"/>
                              <w:marRight w:val="0"/>
                              <w:marTop w:val="0"/>
                              <w:marBottom w:val="0"/>
                              <w:divBdr>
                                <w:top w:val="none" w:sz="0" w:space="0" w:color="auto"/>
                                <w:left w:val="none" w:sz="0" w:space="0" w:color="auto"/>
                                <w:bottom w:val="none" w:sz="0" w:space="0" w:color="auto"/>
                                <w:right w:val="none" w:sz="0" w:space="0" w:color="auto"/>
                              </w:divBdr>
                              <w:divsChild>
                                <w:div w:id="2047099143">
                                  <w:marLeft w:val="0"/>
                                  <w:marRight w:val="0"/>
                                  <w:marTop w:val="0"/>
                                  <w:marBottom w:val="0"/>
                                  <w:divBdr>
                                    <w:top w:val="none" w:sz="0" w:space="0" w:color="auto"/>
                                    <w:left w:val="none" w:sz="0" w:space="0" w:color="auto"/>
                                    <w:bottom w:val="none" w:sz="0" w:space="0" w:color="auto"/>
                                    <w:right w:val="none" w:sz="0" w:space="0" w:color="auto"/>
                                  </w:divBdr>
                                  <w:divsChild>
                                    <w:div w:id="6277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7762474">
      <w:bodyDiv w:val="1"/>
      <w:marLeft w:val="0"/>
      <w:marRight w:val="0"/>
      <w:marTop w:val="0"/>
      <w:marBottom w:val="0"/>
      <w:divBdr>
        <w:top w:val="none" w:sz="0" w:space="0" w:color="auto"/>
        <w:left w:val="none" w:sz="0" w:space="0" w:color="auto"/>
        <w:bottom w:val="none" w:sz="0" w:space="0" w:color="auto"/>
        <w:right w:val="none" w:sz="0" w:space="0" w:color="auto"/>
      </w:divBdr>
      <w:divsChild>
        <w:div w:id="337388442">
          <w:marLeft w:val="0"/>
          <w:marRight w:val="0"/>
          <w:marTop w:val="0"/>
          <w:marBottom w:val="0"/>
          <w:divBdr>
            <w:top w:val="none" w:sz="0" w:space="0" w:color="auto"/>
            <w:left w:val="none" w:sz="0" w:space="0" w:color="auto"/>
            <w:bottom w:val="none" w:sz="0" w:space="0" w:color="auto"/>
            <w:right w:val="none" w:sz="0" w:space="0" w:color="auto"/>
          </w:divBdr>
          <w:divsChild>
            <w:div w:id="7978011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8149159">
      <w:bodyDiv w:val="1"/>
      <w:marLeft w:val="0"/>
      <w:marRight w:val="0"/>
      <w:marTop w:val="0"/>
      <w:marBottom w:val="0"/>
      <w:divBdr>
        <w:top w:val="none" w:sz="0" w:space="0" w:color="auto"/>
        <w:left w:val="none" w:sz="0" w:space="0" w:color="auto"/>
        <w:bottom w:val="none" w:sz="0" w:space="0" w:color="auto"/>
        <w:right w:val="none" w:sz="0" w:space="0" w:color="auto"/>
      </w:divBdr>
      <w:divsChild>
        <w:div w:id="594483671">
          <w:marLeft w:val="0"/>
          <w:marRight w:val="0"/>
          <w:marTop w:val="0"/>
          <w:marBottom w:val="0"/>
          <w:divBdr>
            <w:top w:val="none" w:sz="0" w:space="0" w:color="auto"/>
            <w:left w:val="none" w:sz="0" w:space="0" w:color="auto"/>
            <w:bottom w:val="dotted" w:sz="6" w:space="4" w:color="DDDDDD"/>
            <w:right w:val="none" w:sz="0" w:space="0" w:color="auto"/>
          </w:divBdr>
        </w:div>
      </w:divsChild>
    </w:div>
    <w:div w:id="1248688547">
      <w:bodyDiv w:val="1"/>
      <w:marLeft w:val="0"/>
      <w:marRight w:val="0"/>
      <w:marTop w:val="0"/>
      <w:marBottom w:val="0"/>
      <w:divBdr>
        <w:top w:val="none" w:sz="0" w:space="0" w:color="auto"/>
        <w:left w:val="none" w:sz="0" w:space="0" w:color="auto"/>
        <w:bottom w:val="none" w:sz="0" w:space="0" w:color="auto"/>
        <w:right w:val="none" w:sz="0" w:space="0" w:color="auto"/>
      </w:divBdr>
      <w:divsChild>
        <w:div w:id="1688362784">
          <w:marLeft w:val="0"/>
          <w:marRight w:val="0"/>
          <w:marTop w:val="0"/>
          <w:marBottom w:val="150"/>
          <w:divBdr>
            <w:top w:val="none" w:sz="0" w:space="0" w:color="auto"/>
            <w:left w:val="none" w:sz="0" w:space="0" w:color="auto"/>
            <w:bottom w:val="none" w:sz="0" w:space="0" w:color="auto"/>
            <w:right w:val="none" w:sz="0" w:space="0" w:color="auto"/>
          </w:divBdr>
          <w:divsChild>
            <w:div w:id="832724334">
              <w:marLeft w:val="0"/>
              <w:marRight w:val="0"/>
              <w:marTop w:val="0"/>
              <w:marBottom w:val="0"/>
              <w:divBdr>
                <w:top w:val="none" w:sz="0" w:space="0" w:color="auto"/>
                <w:left w:val="none" w:sz="0" w:space="0" w:color="auto"/>
                <w:bottom w:val="none" w:sz="0" w:space="0" w:color="auto"/>
                <w:right w:val="none" w:sz="0" w:space="0" w:color="auto"/>
              </w:divBdr>
              <w:divsChild>
                <w:div w:id="14242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90477">
          <w:marLeft w:val="0"/>
          <w:marRight w:val="0"/>
          <w:marTop w:val="0"/>
          <w:marBottom w:val="0"/>
          <w:divBdr>
            <w:top w:val="none" w:sz="0" w:space="0" w:color="auto"/>
            <w:left w:val="none" w:sz="0" w:space="0" w:color="auto"/>
            <w:bottom w:val="none" w:sz="0" w:space="0" w:color="auto"/>
            <w:right w:val="none" w:sz="0" w:space="0" w:color="auto"/>
          </w:divBdr>
          <w:divsChild>
            <w:div w:id="325672309">
              <w:marLeft w:val="0"/>
              <w:marRight w:val="0"/>
              <w:marTop w:val="225"/>
              <w:marBottom w:val="225"/>
              <w:divBdr>
                <w:top w:val="none" w:sz="0" w:space="0" w:color="auto"/>
                <w:left w:val="none" w:sz="0" w:space="0" w:color="auto"/>
                <w:bottom w:val="none" w:sz="0" w:space="0" w:color="auto"/>
                <w:right w:val="none" w:sz="0" w:space="0" w:color="auto"/>
              </w:divBdr>
            </w:div>
          </w:divsChild>
        </w:div>
        <w:div w:id="2114468614">
          <w:marLeft w:val="0"/>
          <w:marRight w:val="0"/>
          <w:marTop w:val="0"/>
          <w:marBottom w:val="150"/>
          <w:divBdr>
            <w:top w:val="none" w:sz="0" w:space="0" w:color="auto"/>
            <w:left w:val="none" w:sz="0" w:space="0" w:color="auto"/>
            <w:bottom w:val="none" w:sz="0" w:space="0" w:color="auto"/>
            <w:right w:val="none" w:sz="0" w:space="0" w:color="auto"/>
          </w:divBdr>
        </w:div>
      </w:divsChild>
    </w:div>
    <w:div w:id="1248806056">
      <w:bodyDiv w:val="1"/>
      <w:marLeft w:val="0"/>
      <w:marRight w:val="0"/>
      <w:marTop w:val="0"/>
      <w:marBottom w:val="0"/>
      <w:divBdr>
        <w:top w:val="none" w:sz="0" w:space="0" w:color="auto"/>
        <w:left w:val="none" w:sz="0" w:space="0" w:color="auto"/>
        <w:bottom w:val="none" w:sz="0" w:space="0" w:color="auto"/>
        <w:right w:val="none" w:sz="0" w:space="0" w:color="auto"/>
      </w:divBdr>
      <w:divsChild>
        <w:div w:id="554631270">
          <w:marLeft w:val="0"/>
          <w:marRight w:val="0"/>
          <w:marTop w:val="0"/>
          <w:marBottom w:val="0"/>
          <w:divBdr>
            <w:top w:val="none" w:sz="0" w:space="0" w:color="auto"/>
            <w:left w:val="none" w:sz="0" w:space="0" w:color="auto"/>
            <w:bottom w:val="none" w:sz="0" w:space="0" w:color="auto"/>
            <w:right w:val="none" w:sz="0" w:space="0" w:color="auto"/>
          </w:divBdr>
          <w:divsChild>
            <w:div w:id="102455520">
              <w:marLeft w:val="0"/>
              <w:marRight w:val="0"/>
              <w:marTop w:val="0"/>
              <w:marBottom w:val="0"/>
              <w:divBdr>
                <w:top w:val="none" w:sz="0" w:space="0" w:color="auto"/>
                <w:left w:val="none" w:sz="0" w:space="0" w:color="auto"/>
                <w:bottom w:val="none" w:sz="0" w:space="0" w:color="auto"/>
                <w:right w:val="none" w:sz="0" w:space="0" w:color="auto"/>
              </w:divBdr>
              <w:divsChild>
                <w:div w:id="55664897">
                  <w:marLeft w:val="0"/>
                  <w:marRight w:val="0"/>
                  <w:marTop w:val="0"/>
                  <w:marBottom w:val="0"/>
                  <w:divBdr>
                    <w:top w:val="none" w:sz="0" w:space="0" w:color="auto"/>
                    <w:left w:val="none" w:sz="0" w:space="0" w:color="auto"/>
                    <w:bottom w:val="none" w:sz="0" w:space="0" w:color="auto"/>
                    <w:right w:val="none" w:sz="0" w:space="0" w:color="auto"/>
                  </w:divBdr>
                  <w:divsChild>
                    <w:div w:id="1534810508">
                      <w:marLeft w:val="0"/>
                      <w:marRight w:val="0"/>
                      <w:marTop w:val="0"/>
                      <w:marBottom w:val="0"/>
                      <w:divBdr>
                        <w:top w:val="none" w:sz="0" w:space="0" w:color="auto"/>
                        <w:left w:val="none" w:sz="0" w:space="0" w:color="auto"/>
                        <w:bottom w:val="none" w:sz="0" w:space="0" w:color="auto"/>
                        <w:right w:val="none" w:sz="0" w:space="0" w:color="auto"/>
                      </w:divBdr>
                      <w:divsChild>
                        <w:div w:id="10910778">
                          <w:marLeft w:val="0"/>
                          <w:marRight w:val="0"/>
                          <w:marTop w:val="0"/>
                          <w:marBottom w:val="0"/>
                          <w:divBdr>
                            <w:top w:val="none" w:sz="0" w:space="0" w:color="auto"/>
                            <w:left w:val="none" w:sz="0" w:space="0" w:color="auto"/>
                            <w:bottom w:val="none" w:sz="0" w:space="0" w:color="auto"/>
                            <w:right w:val="none" w:sz="0" w:space="0" w:color="auto"/>
                          </w:divBdr>
                          <w:divsChild>
                            <w:div w:id="1772241237">
                              <w:marLeft w:val="0"/>
                              <w:marRight w:val="0"/>
                              <w:marTop w:val="0"/>
                              <w:marBottom w:val="0"/>
                              <w:divBdr>
                                <w:top w:val="none" w:sz="0" w:space="0" w:color="auto"/>
                                <w:left w:val="none" w:sz="0" w:space="0" w:color="auto"/>
                                <w:bottom w:val="none" w:sz="0" w:space="0" w:color="auto"/>
                                <w:right w:val="none" w:sz="0" w:space="0" w:color="auto"/>
                              </w:divBdr>
                              <w:divsChild>
                                <w:div w:id="145917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883158">
      <w:bodyDiv w:val="1"/>
      <w:marLeft w:val="0"/>
      <w:marRight w:val="0"/>
      <w:marTop w:val="0"/>
      <w:marBottom w:val="0"/>
      <w:divBdr>
        <w:top w:val="none" w:sz="0" w:space="0" w:color="auto"/>
        <w:left w:val="none" w:sz="0" w:space="0" w:color="auto"/>
        <w:bottom w:val="none" w:sz="0" w:space="0" w:color="auto"/>
        <w:right w:val="none" w:sz="0" w:space="0" w:color="auto"/>
      </w:divBdr>
      <w:divsChild>
        <w:div w:id="1946962381">
          <w:marLeft w:val="0"/>
          <w:marRight w:val="0"/>
          <w:marTop w:val="0"/>
          <w:marBottom w:val="0"/>
          <w:divBdr>
            <w:top w:val="none" w:sz="0" w:space="0" w:color="auto"/>
            <w:left w:val="none" w:sz="0" w:space="0" w:color="auto"/>
            <w:bottom w:val="none" w:sz="0" w:space="0" w:color="auto"/>
            <w:right w:val="none" w:sz="0" w:space="0" w:color="auto"/>
          </w:divBdr>
          <w:divsChild>
            <w:div w:id="469135654">
              <w:marLeft w:val="0"/>
              <w:marRight w:val="0"/>
              <w:marTop w:val="0"/>
              <w:marBottom w:val="0"/>
              <w:divBdr>
                <w:top w:val="none" w:sz="0" w:space="0" w:color="auto"/>
                <w:left w:val="none" w:sz="0" w:space="0" w:color="auto"/>
                <w:bottom w:val="none" w:sz="0" w:space="0" w:color="auto"/>
                <w:right w:val="none" w:sz="0" w:space="0" w:color="auto"/>
              </w:divBdr>
              <w:divsChild>
                <w:div w:id="1434663827">
                  <w:marLeft w:val="0"/>
                  <w:marRight w:val="0"/>
                  <w:marTop w:val="0"/>
                  <w:marBottom w:val="0"/>
                  <w:divBdr>
                    <w:top w:val="none" w:sz="0" w:space="0" w:color="auto"/>
                    <w:left w:val="none" w:sz="0" w:space="0" w:color="auto"/>
                    <w:bottom w:val="none" w:sz="0" w:space="0" w:color="auto"/>
                    <w:right w:val="none" w:sz="0" w:space="0" w:color="auto"/>
                  </w:divBdr>
                  <w:divsChild>
                    <w:div w:id="342712279">
                      <w:marLeft w:val="0"/>
                      <w:marRight w:val="0"/>
                      <w:marTop w:val="0"/>
                      <w:marBottom w:val="0"/>
                      <w:divBdr>
                        <w:top w:val="none" w:sz="0" w:space="0" w:color="auto"/>
                        <w:left w:val="none" w:sz="0" w:space="0" w:color="auto"/>
                        <w:bottom w:val="none" w:sz="0" w:space="0" w:color="auto"/>
                        <w:right w:val="none" w:sz="0" w:space="0" w:color="auto"/>
                      </w:divBdr>
                      <w:divsChild>
                        <w:div w:id="1247667">
                          <w:marLeft w:val="0"/>
                          <w:marRight w:val="0"/>
                          <w:marTop w:val="0"/>
                          <w:marBottom w:val="0"/>
                          <w:divBdr>
                            <w:top w:val="none" w:sz="0" w:space="0" w:color="auto"/>
                            <w:left w:val="none" w:sz="0" w:space="0" w:color="auto"/>
                            <w:bottom w:val="none" w:sz="0" w:space="0" w:color="auto"/>
                            <w:right w:val="none" w:sz="0" w:space="0" w:color="auto"/>
                          </w:divBdr>
                          <w:divsChild>
                            <w:div w:id="145784327">
                              <w:marLeft w:val="0"/>
                              <w:marRight w:val="0"/>
                              <w:marTop w:val="0"/>
                              <w:marBottom w:val="0"/>
                              <w:divBdr>
                                <w:top w:val="none" w:sz="0" w:space="0" w:color="auto"/>
                                <w:left w:val="none" w:sz="0" w:space="0" w:color="auto"/>
                                <w:bottom w:val="none" w:sz="0" w:space="0" w:color="auto"/>
                                <w:right w:val="none" w:sz="0" w:space="0" w:color="auto"/>
                              </w:divBdr>
                              <w:divsChild>
                                <w:div w:id="2002467397">
                                  <w:marLeft w:val="0"/>
                                  <w:marRight w:val="0"/>
                                  <w:marTop w:val="0"/>
                                  <w:marBottom w:val="0"/>
                                  <w:divBdr>
                                    <w:top w:val="none" w:sz="0" w:space="0" w:color="auto"/>
                                    <w:left w:val="none" w:sz="0" w:space="0" w:color="auto"/>
                                    <w:bottom w:val="none" w:sz="0" w:space="0" w:color="auto"/>
                                    <w:right w:val="none" w:sz="0" w:space="0" w:color="auto"/>
                                  </w:divBdr>
                                  <w:divsChild>
                                    <w:div w:id="140387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8995944">
      <w:bodyDiv w:val="1"/>
      <w:marLeft w:val="0"/>
      <w:marRight w:val="0"/>
      <w:marTop w:val="0"/>
      <w:marBottom w:val="0"/>
      <w:divBdr>
        <w:top w:val="none" w:sz="0" w:space="0" w:color="auto"/>
        <w:left w:val="none" w:sz="0" w:space="0" w:color="auto"/>
        <w:bottom w:val="none" w:sz="0" w:space="0" w:color="auto"/>
        <w:right w:val="none" w:sz="0" w:space="0" w:color="auto"/>
      </w:divBdr>
      <w:divsChild>
        <w:div w:id="437794201">
          <w:marLeft w:val="0"/>
          <w:marRight w:val="0"/>
          <w:marTop w:val="0"/>
          <w:marBottom w:val="150"/>
          <w:divBdr>
            <w:top w:val="none" w:sz="0" w:space="0" w:color="auto"/>
            <w:left w:val="none" w:sz="0" w:space="0" w:color="auto"/>
            <w:bottom w:val="none" w:sz="0" w:space="0" w:color="auto"/>
            <w:right w:val="none" w:sz="0" w:space="0" w:color="auto"/>
          </w:divBdr>
          <w:divsChild>
            <w:div w:id="801121927">
              <w:marLeft w:val="0"/>
              <w:marRight w:val="0"/>
              <w:marTop w:val="0"/>
              <w:marBottom w:val="0"/>
              <w:divBdr>
                <w:top w:val="none" w:sz="0" w:space="0" w:color="auto"/>
                <w:left w:val="none" w:sz="0" w:space="0" w:color="auto"/>
                <w:bottom w:val="none" w:sz="0" w:space="0" w:color="auto"/>
                <w:right w:val="none" w:sz="0" w:space="0" w:color="auto"/>
              </w:divBdr>
              <w:divsChild>
                <w:div w:id="94531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789892">
          <w:marLeft w:val="0"/>
          <w:marRight w:val="0"/>
          <w:marTop w:val="0"/>
          <w:marBottom w:val="0"/>
          <w:divBdr>
            <w:top w:val="none" w:sz="0" w:space="0" w:color="auto"/>
            <w:left w:val="none" w:sz="0" w:space="0" w:color="auto"/>
            <w:bottom w:val="none" w:sz="0" w:space="0" w:color="auto"/>
            <w:right w:val="none" w:sz="0" w:space="0" w:color="auto"/>
          </w:divBdr>
          <w:divsChild>
            <w:div w:id="1435785363">
              <w:marLeft w:val="0"/>
              <w:marRight w:val="0"/>
              <w:marTop w:val="225"/>
              <w:marBottom w:val="225"/>
              <w:divBdr>
                <w:top w:val="none" w:sz="0" w:space="0" w:color="auto"/>
                <w:left w:val="none" w:sz="0" w:space="0" w:color="auto"/>
                <w:bottom w:val="none" w:sz="0" w:space="0" w:color="auto"/>
                <w:right w:val="none" w:sz="0" w:space="0" w:color="auto"/>
              </w:divBdr>
            </w:div>
          </w:divsChild>
        </w:div>
        <w:div w:id="1041443547">
          <w:marLeft w:val="0"/>
          <w:marRight w:val="0"/>
          <w:marTop w:val="0"/>
          <w:marBottom w:val="150"/>
          <w:divBdr>
            <w:top w:val="none" w:sz="0" w:space="0" w:color="auto"/>
            <w:left w:val="none" w:sz="0" w:space="0" w:color="auto"/>
            <w:bottom w:val="none" w:sz="0" w:space="0" w:color="auto"/>
            <w:right w:val="none" w:sz="0" w:space="0" w:color="auto"/>
          </w:divBdr>
        </w:div>
      </w:divsChild>
    </w:div>
    <w:div w:id="1249071373">
      <w:bodyDiv w:val="1"/>
      <w:marLeft w:val="0"/>
      <w:marRight w:val="0"/>
      <w:marTop w:val="0"/>
      <w:marBottom w:val="0"/>
      <w:divBdr>
        <w:top w:val="none" w:sz="0" w:space="0" w:color="auto"/>
        <w:left w:val="none" w:sz="0" w:space="0" w:color="auto"/>
        <w:bottom w:val="none" w:sz="0" w:space="0" w:color="auto"/>
        <w:right w:val="none" w:sz="0" w:space="0" w:color="auto"/>
      </w:divBdr>
      <w:divsChild>
        <w:div w:id="453062698">
          <w:marLeft w:val="0"/>
          <w:marRight w:val="0"/>
          <w:marTop w:val="0"/>
          <w:marBottom w:val="0"/>
          <w:divBdr>
            <w:top w:val="none" w:sz="0" w:space="0" w:color="auto"/>
            <w:left w:val="none" w:sz="0" w:space="0" w:color="auto"/>
            <w:bottom w:val="dotted" w:sz="6" w:space="4" w:color="DDDDDD"/>
            <w:right w:val="none" w:sz="0" w:space="0" w:color="auto"/>
          </w:divBdr>
          <w:divsChild>
            <w:div w:id="68748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075901">
      <w:bodyDiv w:val="1"/>
      <w:marLeft w:val="0"/>
      <w:marRight w:val="0"/>
      <w:marTop w:val="0"/>
      <w:marBottom w:val="0"/>
      <w:divBdr>
        <w:top w:val="none" w:sz="0" w:space="0" w:color="auto"/>
        <w:left w:val="none" w:sz="0" w:space="0" w:color="auto"/>
        <w:bottom w:val="none" w:sz="0" w:space="0" w:color="auto"/>
        <w:right w:val="none" w:sz="0" w:space="0" w:color="auto"/>
      </w:divBdr>
      <w:divsChild>
        <w:div w:id="194736044">
          <w:marLeft w:val="0"/>
          <w:marRight w:val="225"/>
          <w:marTop w:val="0"/>
          <w:marBottom w:val="75"/>
          <w:divBdr>
            <w:top w:val="none" w:sz="0" w:space="0" w:color="auto"/>
            <w:left w:val="none" w:sz="0" w:space="0" w:color="auto"/>
            <w:bottom w:val="none" w:sz="0" w:space="0" w:color="auto"/>
            <w:right w:val="none" w:sz="0" w:space="0" w:color="auto"/>
          </w:divBdr>
          <w:divsChild>
            <w:div w:id="644704470">
              <w:marLeft w:val="0"/>
              <w:marRight w:val="0"/>
              <w:marTop w:val="0"/>
              <w:marBottom w:val="0"/>
              <w:divBdr>
                <w:top w:val="none" w:sz="0" w:space="0" w:color="auto"/>
                <w:left w:val="none" w:sz="0" w:space="0" w:color="auto"/>
                <w:bottom w:val="none" w:sz="0" w:space="0" w:color="auto"/>
                <w:right w:val="none" w:sz="0" w:space="0" w:color="auto"/>
              </w:divBdr>
            </w:div>
          </w:divsChild>
        </w:div>
        <w:div w:id="1498033900">
          <w:marLeft w:val="0"/>
          <w:marRight w:val="0"/>
          <w:marTop w:val="0"/>
          <w:marBottom w:val="0"/>
          <w:divBdr>
            <w:top w:val="none" w:sz="0" w:space="0" w:color="auto"/>
            <w:left w:val="none" w:sz="0" w:space="0" w:color="auto"/>
            <w:bottom w:val="dotted" w:sz="6" w:space="4" w:color="DDDDDD"/>
            <w:right w:val="none" w:sz="0" w:space="0" w:color="auto"/>
          </w:divBdr>
        </w:div>
      </w:divsChild>
    </w:div>
    <w:div w:id="1249077380">
      <w:bodyDiv w:val="1"/>
      <w:marLeft w:val="0"/>
      <w:marRight w:val="0"/>
      <w:marTop w:val="0"/>
      <w:marBottom w:val="0"/>
      <w:divBdr>
        <w:top w:val="none" w:sz="0" w:space="0" w:color="auto"/>
        <w:left w:val="none" w:sz="0" w:space="0" w:color="auto"/>
        <w:bottom w:val="none" w:sz="0" w:space="0" w:color="auto"/>
        <w:right w:val="none" w:sz="0" w:space="0" w:color="auto"/>
      </w:divBdr>
      <w:divsChild>
        <w:div w:id="304706670">
          <w:marLeft w:val="0"/>
          <w:marRight w:val="0"/>
          <w:marTop w:val="0"/>
          <w:marBottom w:val="0"/>
          <w:divBdr>
            <w:top w:val="none" w:sz="0" w:space="0" w:color="auto"/>
            <w:left w:val="none" w:sz="0" w:space="0" w:color="auto"/>
            <w:bottom w:val="dotted" w:sz="6" w:space="4" w:color="DDDDDD"/>
            <w:right w:val="none" w:sz="0" w:space="0" w:color="auto"/>
          </w:divBdr>
          <w:divsChild>
            <w:div w:id="104537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273362">
      <w:bodyDiv w:val="1"/>
      <w:marLeft w:val="0"/>
      <w:marRight w:val="0"/>
      <w:marTop w:val="0"/>
      <w:marBottom w:val="0"/>
      <w:divBdr>
        <w:top w:val="none" w:sz="0" w:space="0" w:color="auto"/>
        <w:left w:val="none" w:sz="0" w:space="0" w:color="auto"/>
        <w:bottom w:val="none" w:sz="0" w:space="0" w:color="auto"/>
        <w:right w:val="none" w:sz="0" w:space="0" w:color="auto"/>
      </w:divBdr>
    </w:div>
    <w:div w:id="1249388234">
      <w:bodyDiv w:val="1"/>
      <w:marLeft w:val="0"/>
      <w:marRight w:val="0"/>
      <w:marTop w:val="0"/>
      <w:marBottom w:val="0"/>
      <w:divBdr>
        <w:top w:val="none" w:sz="0" w:space="0" w:color="auto"/>
        <w:left w:val="none" w:sz="0" w:space="0" w:color="auto"/>
        <w:bottom w:val="none" w:sz="0" w:space="0" w:color="auto"/>
        <w:right w:val="none" w:sz="0" w:space="0" w:color="auto"/>
      </w:divBdr>
      <w:divsChild>
        <w:div w:id="1726642223">
          <w:marLeft w:val="0"/>
          <w:marRight w:val="0"/>
          <w:marTop w:val="0"/>
          <w:marBottom w:val="0"/>
          <w:divBdr>
            <w:top w:val="none" w:sz="0" w:space="0" w:color="auto"/>
            <w:left w:val="none" w:sz="0" w:space="0" w:color="auto"/>
            <w:bottom w:val="none" w:sz="0" w:space="0" w:color="auto"/>
            <w:right w:val="none" w:sz="0" w:space="0" w:color="auto"/>
          </w:divBdr>
        </w:div>
      </w:divsChild>
    </w:div>
    <w:div w:id="1249851398">
      <w:bodyDiv w:val="1"/>
      <w:marLeft w:val="0"/>
      <w:marRight w:val="0"/>
      <w:marTop w:val="0"/>
      <w:marBottom w:val="0"/>
      <w:divBdr>
        <w:top w:val="none" w:sz="0" w:space="0" w:color="auto"/>
        <w:left w:val="none" w:sz="0" w:space="0" w:color="auto"/>
        <w:bottom w:val="none" w:sz="0" w:space="0" w:color="auto"/>
        <w:right w:val="none" w:sz="0" w:space="0" w:color="auto"/>
      </w:divBdr>
      <w:divsChild>
        <w:div w:id="865099883">
          <w:marLeft w:val="0"/>
          <w:marRight w:val="0"/>
          <w:marTop w:val="0"/>
          <w:marBottom w:val="0"/>
          <w:divBdr>
            <w:top w:val="none" w:sz="0" w:space="0" w:color="auto"/>
            <w:left w:val="none" w:sz="0" w:space="0" w:color="auto"/>
            <w:bottom w:val="none" w:sz="0" w:space="0" w:color="auto"/>
            <w:right w:val="none" w:sz="0" w:space="0" w:color="auto"/>
          </w:divBdr>
        </w:div>
        <w:div w:id="2058779038">
          <w:marLeft w:val="0"/>
          <w:marRight w:val="0"/>
          <w:marTop w:val="0"/>
          <w:marBottom w:val="150"/>
          <w:divBdr>
            <w:top w:val="none" w:sz="0" w:space="0" w:color="auto"/>
            <w:left w:val="none" w:sz="0" w:space="0" w:color="auto"/>
            <w:bottom w:val="none" w:sz="0" w:space="0" w:color="auto"/>
            <w:right w:val="none" w:sz="0" w:space="0" w:color="auto"/>
          </w:divBdr>
        </w:div>
      </w:divsChild>
    </w:div>
    <w:div w:id="1250886497">
      <w:bodyDiv w:val="1"/>
      <w:marLeft w:val="0"/>
      <w:marRight w:val="0"/>
      <w:marTop w:val="0"/>
      <w:marBottom w:val="0"/>
      <w:divBdr>
        <w:top w:val="none" w:sz="0" w:space="0" w:color="auto"/>
        <w:left w:val="none" w:sz="0" w:space="0" w:color="auto"/>
        <w:bottom w:val="none" w:sz="0" w:space="0" w:color="auto"/>
        <w:right w:val="none" w:sz="0" w:space="0" w:color="auto"/>
      </w:divBdr>
    </w:div>
    <w:div w:id="1250968908">
      <w:bodyDiv w:val="1"/>
      <w:marLeft w:val="0"/>
      <w:marRight w:val="0"/>
      <w:marTop w:val="0"/>
      <w:marBottom w:val="0"/>
      <w:divBdr>
        <w:top w:val="none" w:sz="0" w:space="0" w:color="auto"/>
        <w:left w:val="none" w:sz="0" w:space="0" w:color="auto"/>
        <w:bottom w:val="none" w:sz="0" w:space="0" w:color="auto"/>
        <w:right w:val="none" w:sz="0" w:space="0" w:color="auto"/>
      </w:divBdr>
      <w:divsChild>
        <w:div w:id="1645046013">
          <w:marLeft w:val="0"/>
          <w:marRight w:val="0"/>
          <w:marTop w:val="0"/>
          <w:marBottom w:val="0"/>
          <w:divBdr>
            <w:top w:val="none" w:sz="0" w:space="0" w:color="auto"/>
            <w:left w:val="none" w:sz="0" w:space="0" w:color="auto"/>
            <w:bottom w:val="dotted" w:sz="6" w:space="4" w:color="DDDDDD"/>
            <w:right w:val="none" w:sz="0" w:space="0" w:color="auto"/>
          </w:divBdr>
          <w:divsChild>
            <w:div w:id="83021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969447">
      <w:bodyDiv w:val="1"/>
      <w:marLeft w:val="0"/>
      <w:marRight w:val="0"/>
      <w:marTop w:val="0"/>
      <w:marBottom w:val="0"/>
      <w:divBdr>
        <w:top w:val="none" w:sz="0" w:space="0" w:color="auto"/>
        <w:left w:val="none" w:sz="0" w:space="0" w:color="auto"/>
        <w:bottom w:val="none" w:sz="0" w:space="0" w:color="auto"/>
        <w:right w:val="none" w:sz="0" w:space="0" w:color="auto"/>
      </w:divBdr>
      <w:divsChild>
        <w:div w:id="212812930">
          <w:marLeft w:val="0"/>
          <w:marRight w:val="0"/>
          <w:marTop w:val="0"/>
          <w:marBottom w:val="0"/>
          <w:divBdr>
            <w:top w:val="none" w:sz="0" w:space="0" w:color="auto"/>
            <w:left w:val="none" w:sz="0" w:space="0" w:color="auto"/>
            <w:bottom w:val="none" w:sz="0" w:space="0" w:color="auto"/>
            <w:right w:val="none" w:sz="0" w:space="0" w:color="auto"/>
          </w:divBdr>
        </w:div>
      </w:divsChild>
    </w:div>
    <w:div w:id="1251546308">
      <w:bodyDiv w:val="1"/>
      <w:marLeft w:val="0"/>
      <w:marRight w:val="0"/>
      <w:marTop w:val="0"/>
      <w:marBottom w:val="0"/>
      <w:divBdr>
        <w:top w:val="none" w:sz="0" w:space="0" w:color="auto"/>
        <w:left w:val="none" w:sz="0" w:space="0" w:color="auto"/>
        <w:bottom w:val="none" w:sz="0" w:space="0" w:color="auto"/>
        <w:right w:val="none" w:sz="0" w:space="0" w:color="auto"/>
      </w:divBdr>
      <w:divsChild>
        <w:div w:id="132720427">
          <w:marLeft w:val="0"/>
          <w:marRight w:val="0"/>
          <w:marTop w:val="0"/>
          <w:marBottom w:val="150"/>
          <w:divBdr>
            <w:top w:val="none" w:sz="0" w:space="0" w:color="auto"/>
            <w:left w:val="none" w:sz="0" w:space="0" w:color="auto"/>
            <w:bottom w:val="none" w:sz="0" w:space="0" w:color="auto"/>
            <w:right w:val="none" w:sz="0" w:space="0" w:color="auto"/>
          </w:divBdr>
          <w:divsChild>
            <w:div w:id="896430772">
              <w:marLeft w:val="0"/>
              <w:marRight w:val="0"/>
              <w:marTop w:val="0"/>
              <w:marBottom w:val="0"/>
              <w:divBdr>
                <w:top w:val="none" w:sz="0" w:space="0" w:color="auto"/>
                <w:left w:val="none" w:sz="0" w:space="0" w:color="auto"/>
                <w:bottom w:val="none" w:sz="0" w:space="0" w:color="auto"/>
                <w:right w:val="none" w:sz="0" w:space="0" w:color="auto"/>
              </w:divBdr>
              <w:divsChild>
                <w:div w:id="178815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332135">
          <w:marLeft w:val="0"/>
          <w:marRight w:val="0"/>
          <w:marTop w:val="0"/>
          <w:marBottom w:val="0"/>
          <w:divBdr>
            <w:top w:val="none" w:sz="0" w:space="0" w:color="auto"/>
            <w:left w:val="none" w:sz="0" w:space="0" w:color="auto"/>
            <w:bottom w:val="none" w:sz="0" w:space="0" w:color="auto"/>
            <w:right w:val="none" w:sz="0" w:space="0" w:color="auto"/>
          </w:divBdr>
          <w:divsChild>
            <w:div w:id="772553414">
              <w:marLeft w:val="0"/>
              <w:marRight w:val="0"/>
              <w:marTop w:val="0"/>
              <w:marBottom w:val="0"/>
              <w:divBdr>
                <w:top w:val="none" w:sz="0" w:space="0" w:color="auto"/>
                <w:left w:val="none" w:sz="0" w:space="0" w:color="auto"/>
                <w:bottom w:val="none" w:sz="0" w:space="0" w:color="auto"/>
                <w:right w:val="none" w:sz="0" w:space="0" w:color="auto"/>
              </w:divBdr>
              <w:divsChild>
                <w:div w:id="1508011711">
                  <w:marLeft w:val="0"/>
                  <w:marRight w:val="0"/>
                  <w:marTop w:val="225"/>
                  <w:marBottom w:val="225"/>
                  <w:divBdr>
                    <w:top w:val="none" w:sz="0" w:space="0" w:color="auto"/>
                    <w:left w:val="none" w:sz="0" w:space="0" w:color="auto"/>
                    <w:bottom w:val="none" w:sz="0" w:space="0" w:color="auto"/>
                    <w:right w:val="none" w:sz="0" w:space="0" w:color="auto"/>
                  </w:divBdr>
                </w:div>
              </w:divsChild>
            </w:div>
            <w:div w:id="9594111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51737889">
      <w:bodyDiv w:val="1"/>
      <w:marLeft w:val="0"/>
      <w:marRight w:val="0"/>
      <w:marTop w:val="0"/>
      <w:marBottom w:val="0"/>
      <w:divBdr>
        <w:top w:val="none" w:sz="0" w:space="0" w:color="auto"/>
        <w:left w:val="none" w:sz="0" w:space="0" w:color="auto"/>
        <w:bottom w:val="none" w:sz="0" w:space="0" w:color="auto"/>
        <w:right w:val="none" w:sz="0" w:space="0" w:color="auto"/>
      </w:divBdr>
      <w:divsChild>
        <w:div w:id="2097049490">
          <w:marLeft w:val="0"/>
          <w:marRight w:val="0"/>
          <w:marTop w:val="0"/>
          <w:marBottom w:val="0"/>
          <w:divBdr>
            <w:top w:val="none" w:sz="0" w:space="0" w:color="auto"/>
            <w:left w:val="none" w:sz="0" w:space="0" w:color="auto"/>
            <w:bottom w:val="dotted" w:sz="6" w:space="4" w:color="DDDDDD"/>
            <w:right w:val="none" w:sz="0" w:space="0" w:color="auto"/>
          </w:divBdr>
        </w:div>
      </w:divsChild>
    </w:div>
    <w:div w:id="1251742513">
      <w:bodyDiv w:val="1"/>
      <w:marLeft w:val="0"/>
      <w:marRight w:val="0"/>
      <w:marTop w:val="0"/>
      <w:marBottom w:val="0"/>
      <w:divBdr>
        <w:top w:val="none" w:sz="0" w:space="0" w:color="auto"/>
        <w:left w:val="none" w:sz="0" w:space="0" w:color="auto"/>
        <w:bottom w:val="none" w:sz="0" w:space="0" w:color="auto"/>
        <w:right w:val="none" w:sz="0" w:space="0" w:color="auto"/>
      </w:divBdr>
      <w:divsChild>
        <w:div w:id="169639626">
          <w:marLeft w:val="0"/>
          <w:marRight w:val="0"/>
          <w:marTop w:val="0"/>
          <w:marBottom w:val="0"/>
          <w:divBdr>
            <w:top w:val="none" w:sz="0" w:space="0" w:color="auto"/>
            <w:left w:val="none" w:sz="0" w:space="0" w:color="auto"/>
            <w:bottom w:val="none" w:sz="0" w:space="0" w:color="auto"/>
            <w:right w:val="none" w:sz="0" w:space="0" w:color="auto"/>
          </w:divBdr>
          <w:divsChild>
            <w:div w:id="336930959">
              <w:marLeft w:val="0"/>
              <w:marRight w:val="0"/>
              <w:marTop w:val="0"/>
              <w:marBottom w:val="0"/>
              <w:divBdr>
                <w:top w:val="none" w:sz="0" w:space="0" w:color="auto"/>
                <w:left w:val="none" w:sz="0" w:space="0" w:color="auto"/>
                <w:bottom w:val="none" w:sz="0" w:space="0" w:color="auto"/>
                <w:right w:val="none" w:sz="0" w:space="0" w:color="auto"/>
              </w:divBdr>
            </w:div>
          </w:divsChild>
        </w:div>
        <w:div w:id="658196311">
          <w:marLeft w:val="0"/>
          <w:marRight w:val="0"/>
          <w:marTop w:val="0"/>
          <w:marBottom w:val="150"/>
          <w:divBdr>
            <w:top w:val="none" w:sz="0" w:space="0" w:color="auto"/>
            <w:left w:val="none" w:sz="0" w:space="0" w:color="auto"/>
            <w:bottom w:val="none" w:sz="0" w:space="0" w:color="auto"/>
            <w:right w:val="none" w:sz="0" w:space="0" w:color="auto"/>
          </w:divBdr>
        </w:div>
        <w:div w:id="1675641945">
          <w:marLeft w:val="0"/>
          <w:marRight w:val="0"/>
          <w:marTop w:val="0"/>
          <w:marBottom w:val="150"/>
          <w:divBdr>
            <w:top w:val="none" w:sz="0" w:space="0" w:color="auto"/>
            <w:left w:val="none" w:sz="0" w:space="0" w:color="auto"/>
            <w:bottom w:val="none" w:sz="0" w:space="0" w:color="auto"/>
            <w:right w:val="none" w:sz="0" w:space="0" w:color="auto"/>
          </w:divBdr>
          <w:divsChild>
            <w:div w:id="162129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770116">
      <w:bodyDiv w:val="1"/>
      <w:marLeft w:val="0"/>
      <w:marRight w:val="0"/>
      <w:marTop w:val="0"/>
      <w:marBottom w:val="0"/>
      <w:divBdr>
        <w:top w:val="none" w:sz="0" w:space="0" w:color="auto"/>
        <w:left w:val="none" w:sz="0" w:space="0" w:color="auto"/>
        <w:bottom w:val="none" w:sz="0" w:space="0" w:color="auto"/>
        <w:right w:val="none" w:sz="0" w:space="0" w:color="auto"/>
      </w:divBdr>
    </w:div>
    <w:div w:id="1253124199">
      <w:bodyDiv w:val="1"/>
      <w:marLeft w:val="0"/>
      <w:marRight w:val="0"/>
      <w:marTop w:val="0"/>
      <w:marBottom w:val="0"/>
      <w:divBdr>
        <w:top w:val="none" w:sz="0" w:space="0" w:color="auto"/>
        <w:left w:val="none" w:sz="0" w:space="0" w:color="auto"/>
        <w:bottom w:val="none" w:sz="0" w:space="0" w:color="auto"/>
        <w:right w:val="none" w:sz="0" w:space="0" w:color="auto"/>
      </w:divBdr>
    </w:div>
    <w:div w:id="1253197712">
      <w:bodyDiv w:val="1"/>
      <w:marLeft w:val="0"/>
      <w:marRight w:val="0"/>
      <w:marTop w:val="0"/>
      <w:marBottom w:val="0"/>
      <w:divBdr>
        <w:top w:val="none" w:sz="0" w:space="0" w:color="auto"/>
        <w:left w:val="none" w:sz="0" w:space="0" w:color="auto"/>
        <w:bottom w:val="none" w:sz="0" w:space="0" w:color="auto"/>
        <w:right w:val="none" w:sz="0" w:space="0" w:color="auto"/>
      </w:divBdr>
      <w:divsChild>
        <w:div w:id="51077122">
          <w:marLeft w:val="0"/>
          <w:marRight w:val="0"/>
          <w:marTop w:val="0"/>
          <w:marBottom w:val="0"/>
          <w:divBdr>
            <w:top w:val="none" w:sz="0" w:space="0" w:color="auto"/>
            <w:left w:val="none" w:sz="0" w:space="0" w:color="auto"/>
            <w:bottom w:val="none" w:sz="0" w:space="0" w:color="auto"/>
            <w:right w:val="none" w:sz="0" w:space="0" w:color="auto"/>
          </w:divBdr>
        </w:div>
        <w:div w:id="147941977">
          <w:marLeft w:val="0"/>
          <w:marRight w:val="0"/>
          <w:marTop w:val="0"/>
          <w:marBottom w:val="150"/>
          <w:divBdr>
            <w:top w:val="none" w:sz="0" w:space="0" w:color="auto"/>
            <w:left w:val="none" w:sz="0" w:space="0" w:color="auto"/>
            <w:bottom w:val="none" w:sz="0" w:space="0" w:color="auto"/>
            <w:right w:val="none" w:sz="0" w:space="0" w:color="auto"/>
          </w:divBdr>
        </w:div>
      </w:divsChild>
    </w:div>
    <w:div w:id="1253733928">
      <w:bodyDiv w:val="1"/>
      <w:marLeft w:val="0"/>
      <w:marRight w:val="0"/>
      <w:marTop w:val="0"/>
      <w:marBottom w:val="0"/>
      <w:divBdr>
        <w:top w:val="none" w:sz="0" w:space="0" w:color="auto"/>
        <w:left w:val="none" w:sz="0" w:space="0" w:color="auto"/>
        <w:bottom w:val="none" w:sz="0" w:space="0" w:color="auto"/>
        <w:right w:val="none" w:sz="0" w:space="0" w:color="auto"/>
      </w:divBdr>
      <w:divsChild>
        <w:div w:id="758914499">
          <w:marLeft w:val="0"/>
          <w:marRight w:val="0"/>
          <w:marTop w:val="0"/>
          <w:marBottom w:val="0"/>
          <w:divBdr>
            <w:top w:val="none" w:sz="0" w:space="0" w:color="auto"/>
            <w:left w:val="none" w:sz="0" w:space="0" w:color="auto"/>
            <w:bottom w:val="none" w:sz="0" w:space="0" w:color="auto"/>
            <w:right w:val="none" w:sz="0" w:space="0" w:color="auto"/>
          </w:divBdr>
        </w:div>
      </w:divsChild>
    </w:div>
    <w:div w:id="1253782570">
      <w:bodyDiv w:val="1"/>
      <w:marLeft w:val="0"/>
      <w:marRight w:val="0"/>
      <w:marTop w:val="0"/>
      <w:marBottom w:val="0"/>
      <w:divBdr>
        <w:top w:val="none" w:sz="0" w:space="0" w:color="auto"/>
        <w:left w:val="none" w:sz="0" w:space="0" w:color="auto"/>
        <w:bottom w:val="none" w:sz="0" w:space="0" w:color="auto"/>
        <w:right w:val="none" w:sz="0" w:space="0" w:color="auto"/>
      </w:divBdr>
      <w:divsChild>
        <w:div w:id="1088622915">
          <w:marLeft w:val="0"/>
          <w:marRight w:val="0"/>
          <w:marTop w:val="0"/>
          <w:marBottom w:val="0"/>
          <w:divBdr>
            <w:top w:val="none" w:sz="0" w:space="0" w:color="auto"/>
            <w:left w:val="none" w:sz="0" w:space="0" w:color="auto"/>
            <w:bottom w:val="none" w:sz="0" w:space="0" w:color="auto"/>
            <w:right w:val="none" w:sz="0" w:space="0" w:color="auto"/>
          </w:divBdr>
          <w:divsChild>
            <w:div w:id="1725257866">
              <w:marLeft w:val="0"/>
              <w:marRight w:val="0"/>
              <w:marTop w:val="0"/>
              <w:marBottom w:val="0"/>
              <w:divBdr>
                <w:top w:val="none" w:sz="0" w:space="0" w:color="auto"/>
                <w:left w:val="none" w:sz="0" w:space="0" w:color="auto"/>
                <w:bottom w:val="none" w:sz="0" w:space="0" w:color="auto"/>
                <w:right w:val="none" w:sz="0" w:space="0" w:color="auto"/>
              </w:divBdr>
              <w:divsChild>
                <w:div w:id="170709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855553">
      <w:bodyDiv w:val="1"/>
      <w:marLeft w:val="0"/>
      <w:marRight w:val="0"/>
      <w:marTop w:val="0"/>
      <w:marBottom w:val="0"/>
      <w:divBdr>
        <w:top w:val="none" w:sz="0" w:space="0" w:color="auto"/>
        <w:left w:val="none" w:sz="0" w:space="0" w:color="auto"/>
        <w:bottom w:val="none" w:sz="0" w:space="0" w:color="auto"/>
        <w:right w:val="none" w:sz="0" w:space="0" w:color="auto"/>
      </w:divBdr>
    </w:div>
    <w:div w:id="1253970301">
      <w:bodyDiv w:val="1"/>
      <w:marLeft w:val="0"/>
      <w:marRight w:val="0"/>
      <w:marTop w:val="0"/>
      <w:marBottom w:val="0"/>
      <w:divBdr>
        <w:top w:val="none" w:sz="0" w:space="0" w:color="auto"/>
        <w:left w:val="none" w:sz="0" w:space="0" w:color="auto"/>
        <w:bottom w:val="none" w:sz="0" w:space="0" w:color="auto"/>
        <w:right w:val="none" w:sz="0" w:space="0" w:color="auto"/>
      </w:divBdr>
    </w:div>
    <w:div w:id="1254120139">
      <w:bodyDiv w:val="1"/>
      <w:marLeft w:val="0"/>
      <w:marRight w:val="0"/>
      <w:marTop w:val="0"/>
      <w:marBottom w:val="0"/>
      <w:divBdr>
        <w:top w:val="none" w:sz="0" w:space="0" w:color="auto"/>
        <w:left w:val="none" w:sz="0" w:space="0" w:color="auto"/>
        <w:bottom w:val="none" w:sz="0" w:space="0" w:color="auto"/>
        <w:right w:val="none" w:sz="0" w:space="0" w:color="auto"/>
      </w:divBdr>
    </w:div>
    <w:div w:id="1254244000">
      <w:bodyDiv w:val="1"/>
      <w:marLeft w:val="0"/>
      <w:marRight w:val="0"/>
      <w:marTop w:val="0"/>
      <w:marBottom w:val="0"/>
      <w:divBdr>
        <w:top w:val="none" w:sz="0" w:space="0" w:color="auto"/>
        <w:left w:val="none" w:sz="0" w:space="0" w:color="auto"/>
        <w:bottom w:val="none" w:sz="0" w:space="0" w:color="auto"/>
        <w:right w:val="none" w:sz="0" w:space="0" w:color="auto"/>
      </w:divBdr>
      <w:divsChild>
        <w:div w:id="466976102">
          <w:marLeft w:val="0"/>
          <w:marRight w:val="0"/>
          <w:marTop w:val="0"/>
          <w:marBottom w:val="0"/>
          <w:divBdr>
            <w:top w:val="none" w:sz="0" w:space="0" w:color="auto"/>
            <w:left w:val="none" w:sz="0" w:space="0" w:color="auto"/>
            <w:bottom w:val="none" w:sz="0" w:space="0" w:color="auto"/>
            <w:right w:val="none" w:sz="0" w:space="0" w:color="auto"/>
          </w:divBdr>
          <w:divsChild>
            <w:div w:id="1234656306">
              <w:marLeft w:val="0"/>
              <w:marRight w:val="0"/>
              <w:marTop w:val="0"/>
              <w:marBottom w:val="0"/>
              <w:divBdr>
                <w:top w:val="none" w:sz="0" w:space="0" w:color="auto"/>
                <w:left w:val="none" w:sz="0" w:space="0" w:color="auto"/>
                <w:bottom w:val="none" w:sz="0" w:space="0" w:color="auto"/>
                <w:right w:val="none" w:sz="0" w:space="0" w:color="auto"/>
              </w:divBdr>
            </w:div>
          </w:divsChild>
        </w:div>
        <w:div w:id="1407337367">
          <w:marLeft w:val="0"/>
          <w:marRight w:val="0"/>
          <w:marTop w:val="0"/>
          <w:marBottom w:val="0"/>
          <w:divBdr>
            <w:top w:val="none" w:sz="0" w:space="0" w:color="auto"/>
            <w:left w:val="none" w:sz="0" w:space="0" w:color="auto"/>
            <w:bottom w:val="none" w:sz="0" w:space="0" w:color="auto"/>
            <w:right w:val="none" w:sz="0" w:space="0" w:color="auto"/>
          </w:divBdr>
        </w:div>
        <w:div w:id="1238973616">
          <w:marLeft w:val="0"/>
          <w:marRight w:val="0"/>
          <w:marTop w:val="0"/>
          <w:marBottom w:val="0"/>
          <w:divBdr>
            <w:top w:val="none" w:sz="0" w:space="0" w:color="auto"/>
            <w:left w:val="none" w:sz="0" w:space="0" w:color="auto"/>
            <w:bottom w:val="none" w:sz="0" w:space="0" w:color="auto"/>
            <w:right w:val="none" w:sz="0" w:space="0" w:color="auto"/>
          </w:divBdr>
          <w:divsChild>
            <w:div w:id="539903606">
              <w:marLeft w:val="-225"/>
              <w:marRight w:val="-225"/>
              <w:marTop w:val="0"/>
              <w:marBottom w:val="0"/>
              <w:divBdr>
                <w:top w:val="none" w:sz="0" w:space="0" w:color="auto"/>
                <w:left w:val="none" w:sz="0" w:space="0" w:color="auto"/>
                <w:bottom w:val="none" w:sz="0" w:space="0" w:color="auto"/>
                <w:right w:val="none" w:sz="0" w:space="0" w:color="auto"/>
              </w:divBdr>
              <w:divsChild>
                <w:div w:id="1698000688">
                  <w:marLeft w:val="0"/>
                  <w:marRight w:val="0"/>
                  <w:marTop w:val="0"/>
                  <w:marBottom w:val="0"/>
                  <w:divBdr>
                    <w:top w:val="none" w:sz="0" w:space="0" w:color="auto"/>
                    <w:left w:val="none" w:sz="0" w:space="0" w:color="auto"/>
                    <w:bottom w:val="none" w:sz="0" w:space="0" w:color="auto"/>
                    <w:right w:val="single" w:sz="6" w:space="0" w:color="000000"/>
                  </w:divBdr>
                  <w:divsChild>
                    <w:div w:id="188419472">
                      <w:marLeft w:val="0"/>
                      <w:marRight w:val="0"/>
                      <w:marTop w:val="0"/>
                      <w:marBottom w:val="0"/>
                      <w:divBdr>
                        <w:top w:val="none" w:sz="0" w:space="0" w:color="auto"/>
                        <w:left w:val="none" w:sz="0" w:space="0" w:color="auto"/>
                        <w:bottom w:val="none" w:sz="0" w:space="0" w:color="auto"/>
                        <w:right w:val="none" w:sz="0" w:space="0" w:color="auto"/>
                      </w:divBdr>
                      <w:divsChild>
                        <w:div w:id="344330963">
                          <w:marLeft w:val="0"/>
                          <w:marRight w:val="0"/>
                          <w:marTop w:val="0"/>
                          <w:marBottom w:val="0"/>
                          <w:divBdr>
                            <w:top w:val="none" w:sz="0" w:space="0" w:color="auto"/>
                            <w:left w:val="none" w:sz="0" w:space="0" w:color="auto"/>
                            <w:bottom w:val="none" w:sz="0" w:space="0" w:color="auto"/>
                            <w:right w:val="none" w:sz="0" w:space="0" w:color="auto"/>
                          </w:divBdr>
                        </w:div>
                        <w:div w:id="992223736">
                          <w:marLeft w:val="0"/>
                          <w:marRight w:val="0"/>
                          <w:marTop w:val="0"/>
                          <w:marBottom w:val="0"/>
                          <w:divBdr>
                            <w:top w:val="none" w:sz="0" w:space="0" w:color="auto"/>
                            <w:left w:val="none" w:sz="0" w:space="0" w:color="auto"/>
                            <w:bottom w:val="none" w:sz="0" w:space="0" w:color="auto"/>
                            <w:right w:val="none" w:sz="0" w:space="0" w:color="auto"/>
                          </w:divBdr>
                        </w:div>
                        <w:div w:id="840924588">
                          <w:marLeft w:val="0"/>
                          <w:marRight w:val="0"/>
                          <w:marTop w:val="0"/>
                          <w:marBottom w:val="0"/>
                          <w:divBdr>
                            <w:top w:val="none" w:sz="0" w:space="0" w:color="auto"/>
                            <w:left w:val="none" w:sz="0" w:space="0" w:color="auto"/>
                            <w:bottom w:val="none" w:sz="0" w:space="0" w:color="auto"/>
                            <w:right w:val="none" w:sz="0" w:space="0" w:color="auto"/>
                          </w:divBdr>
                        </w:div>
                        <w:div w:id="1507600103">
                          <w:marLeft w:val="0"/>
                          <w:marRight w:val="0"/>
                          <w:marTop w:val="0"/>
                          <w:marBottom w:val="0"/>
                          <w:divBdr>
                            <w:top w:val="none" w:sz="0" w:space="0" w:color="auto"/>
                            <w:left w:val="none" w:sz="0" w:space="0" w:color="auto"/>
                            <w:bottom w:val="none" w:sz="0" w:space="0" w:color="auto"/>
                            <w:right w:val="none" w:sz="0" w:space="0" w:color="auto"/>
                          </w:divBdr>
                        </w:div>
                        <w:div w:id="16647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93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359859">
      <w:bodyDiv w:val="1"/>
      <w:marLeft w:val="0"/>
      <w:marRight w:val="0"/>
      <w:marTop w:val="0"/>
      <w:marBottom w:val="0"/>
      <w:divBdr>
        <w:top w:val="none" w:sz="0" w:space="0" w:color="auto"/>
        <w:left w:val="none" w:sz="0" w:space="0" w:color="auto"/>
        <w:bottom w:val="none" w:sz="0" w:space="0" w:color="auto"/>
        <w:right w:val="none" w:sz="0" w:space="0" w:color="auto"/>
      </w:divBdr>
      <w:divsChild>
        <w:div w:id="863639455">
          <w:marLeft w:val="0"/>
          <w:marRight w:val="0"/>
          <w:marTop w:val="0"/>
          <w:marBottom w:val="0"/>
          <w:divBdr>
            <w:top w:val="none" w:sz="0" w:space="0" w:color="auto"/>
            <w:left w:val="none" w:sz="0" w:space="0" w:color="auto"/>
            <w:bottom w:val="none" w:sz="0" w:space="0" w:color="auto"/>
            <w:right w:val="none" w:sz="0" w:space="0" w:color="auto"/>
          </w:divBdr>
          <w:divsChild>
            <w:div w:id="533927642">
              <w:marLeft w:val="0"/>
              <w:marRight w:val="0"/>
              <w:marTop w:val="225"/>
              <w:marBottom w:val="225"/>
              <w:divBdr>
                <w:top w:val="none" w:sz="0" w:space="0" w:color="auto"/>
                <w:left w:val="none" w:sz="0" w:space="0" w:color="auto"/>
                <w:bottom w:val="none" w:sz="0" w:space="0" w:color="auto"/>
                <w:right w:val="none" w:sz="0" w:space="0" w:color="auto"/>
              </w:divBdr>
            </w:div>
          </w:divsChild>
        </w:div>
        <w:div w:id="1330062080">
          <w:marLeft w:val="0"/>
          <w:marRight w:val="0"/>
          <w:marTop w:val="0"/>
          <w:marBottom w:val="150"/>
          <w:divBdr>
            <w:top w:val="none" w:sz="0" w:space="0" w:color="auto"/>
            <w:left w:val="none" w:sz="0" w:space="0" w:color="auto"/>
            <w:bottom w:val="none" w:sz="0" w:space="0" w:color="auto"/>
            <w:right w:val="none" w:sz="0" w:space="0" w:color="auto"/>
          </w:divBdr>
          <w:divsChild>
            <w:div w:id="596717076">
              <w:marLeft w:val="0"/>
              <w:marRight w:val="0"/>
              <w:marTop w:val="0"/>
              <w:marBottom w:val="0"/>
              <w:divBdr>
                <w:top w:val="none" w:sz="0" w:space="0" w:color="auto"/>
                <w:left w:val="none" w:sz="0" w:space="0" w:color="auto"/>
                <w:bottom w:val="none" w:sz="0" w:space="0" w:color="auto"/>
                <w:right w:val="none" w:sz="0" w:space="0" w:color="auto"/>
              </w:divBdr>
              <w:divsChild>
                <w:div w:id="206733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6261">
          <w:marLeft w:val="0"/>
          <w:marRight w:val="0"/>
          <w:marTop w:val="0"/>
          <w:marBottom w:val="150"/>
          <w:divBdr>
            <w:top w:val="none" w:sz="0" w:space="0" w:color="auto"/>
            <w:left w:val="none" w:sz="0" w:space="0" w:color="auto"/>
            <w:bottom w:val="none" w:sz="0" w:space="0" w:color="auto"/>
            <w:right w:val="none" w:sz="0" w:space="0" w:color="auto"/>
          </w:divBdr>
        </w:div>
      </w:divsChild>
    </w:div>
    <w:div w:id="1254706197">
      <w:bodyDiv w:val="1"/>
      <w:marLeft w:val="0"/>
      <w:marRight w:val="0"/>
      <w:marTop w:val="0"/>
      <w:marBottom w:val="0"/>
      <w:divBdr>
        <w:top w:val="none" w:sz="0" w:space="0" w:color="auto"/>
        <w:left w:val="none" w:sz="0" w:space="0" w:color="auto"/>
        <w:bottom w:val="none" w:sz="0" w:space="0" w:color="auto"/>
        <w:right w:val="none" w:sz="0" w:space="0" w:color="auto"/>
      </w:divBdr>
      <w:divsChild>
        <w:div w:id="1834643723">
          <w:marLeft w:val="0"/>
          <w:marRight w:val="0"/>
          <w:marTop w:val="0"/>
          <w:marBottom w:val="0"/>
          <w:divBdr>
            <w:top w:val="none" w:sz="0" w:space="0" w:color="auto"/>
            <w:left w:val="none" w:sz="0" w:space="0" w:color="auto"/>
            <w:bottom w:val="none" w:sz="0" w:space="0" w:color="auto"/>
            <w:right w:val="none" w:sz="0" w:space="0" w:color="auto"/>
          </w:divBdr>
          <w:divsChild>
            <w:div w:id="738481002">
              <w:marLeft w:val="0"/>
              <w:marRight w:val="0"/>
              <w:marTop w:val="0"/>
              <w:marBottom w:val="150"/>
              <w:divBdr>
                <w:top w:val="none" w:sz="0" w:space="0" w:color="auto"/>
                <w:left w:val="none" w:sz="0" w:space="0" w:color="auto"/>
                <w:bottom w:val="none" w:sz="0" w:space="0" w:color="auto"/>
                <w:right w:val="none" w:sz="0" w:space="0" w:color="auto"/>
              </w:divBdr>
            </w:div>
            <w:div w:id="184230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783509">
      <w:bodyDiv w:val="1"/>
      <w:marLeft w:val="0"/>
      <w:marRight w:val="0"/>
      <w:marTop w:val="0"/>
      <w:marBottom w:val="0"/>
      <w:divBdr>
        <w:top w:val="none" w:sz="0" w:space="0" w:color="auto"/>
        <w:left w:val="none" w:sz="0" w:space="0" w:color="auto"/>
        <w:bottom w:val="none" w:sz="0" w:space="0" w:color="auto"/>
        <w:right w:val="none" w:sz="0" w:space="0" w:color="auto"/>
      </w:divBdr>
      <w:divsChild>
        <w:div w:id="847214946">
          <w:marLeft w:val="0"/>
          <w:marRight w:val="0"/>
          <w:marTop w:val="0"/>
          <w:marBottom w:val="0"/>
          <w:divBdr>
            <w:top w:val="none" w:sz="0" w:space="0" w:color="auto"/>
            <w:left w:val="none" w:sz="0" w:space="0" w:color="auto"/>
            <w:bottom w:val="dotted" w:sz="6" w:space="4" w:color="DDDDDD"/>
            <w:right w:val="none" w:sz="0" w:space="0" w:color="auto"/>
          </w:divBdr>
          <w:divsChild>
            <w:div w:id="198052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901885">
      <w:bodyDiv w:val="1"/>
      <w:marLeft w:val="0"/>
      <w:marRight w:val="0"/>
      <w:marTop w:val="0"/>
      <w:marBottom w:val="0"/>
      <w:divBdr>
        <w:top w:val="none" w:sz="0" w:space="0" w:color="auto"/>
        <w:left w:val="none" w:sz="0" w:space="0" w:color="auto"/>
        <w:bottom w:val="none" w:sz="0" w:space="0" w:color="auto"/>
        <w:right w:val="none" w:sz="0" w:space="0" w:color="auto"/>
      </w:divBdr>
      <w:divsChild>
        <w:div w:id="1079251497">
          <w:marLeft w:val="0"/>
          <w:marRight w:val="0"/>
          <w:marTop w:val="0"/>
          <w:marBottom w:val="0"/>
          <w:divBdr>
            <w:top w:val="none" w:sz="0" w:space="0" w:color="auto"/>
            <w:left w:val="none" w:sz="0" w:space="0" w:color="auto"/>
            <w:bottom w:val="dotted" w:sz="6" w:space="4" w:color="DDDDDD"/>
            <w:right w:val="none" w:sz="0" w:space="0" w:color="auto"/>
          </w:divBdr>
          <w:divsChild>
            <w:div w:id="166778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87305">
      <w:bodyDiv w:val="1"/>
      <w:marLeft w:val="0"/>
      <w:marRight w:val="0"/>
      <w:marTop w:val="0"/>
      <w:marBottom w:val="0"/>
      <w:divBdr>
        <w:top w:val="none" w:sz="0" w:space="0" w:color="auto"/>
        <w:left w:val="none" w:sz="0" w:space="0" w:color="auto"/>
        <w:bottom w:val="none" w:sz="0" w:space="0" w:color="auto"/>
        <w:right w:val="none" w:sz="0" w:space="0" w:color="auto"/>
      </w:divBdr>
      <w:divsChild>
        <w:div w:id="314995842">
          <w:marLeft w:val="0"/>
          <w:marRight w:val="0"/>
          <w:marTop w:val="0"/>
          <w:marBottom w:val="0"/>
          <w:divBdr>
            <w:top w:val="none" w:sz="0" w:space="0" w:color="auto"/>
            <w:left w:val="none" w:sz="0" w:space="0" w:color="auto"/>
            <w:bottom w:val="none" w:sz="0" w:space="0" w:color="auto"/>
            <w:right w:val="none" w:sz="0" w:space="0" w:color="auto"/>
          </w:divBdr>
          <w:divsChild>
            <w:div w:id="518395838">
              <w:marLeft w:val="0"/>
              <w:marRight w:val="0"/>
              <w:marTop w:val="0"/>
              <w:marBottom w:val="150"/>
              <w:divBdr>
                <w:top w:val="none" w:sz="0" w:space="0" w:color="auto"/>
                <w:left w:val="none" w:sz="0" w:space="0" w:color="auto"/>
                <w:bottom w:val="none" w:sz="0" w:space="0" w:color="auto"/>
                <w:right w:val="none" w:sz="0" w:space="0" w:color="auto"/>
              </w:divBdr>
            </w:div>
            <w:div w:id="184559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71989">
      <w:bodyDiv w:val="1"/>
      <w:marLeft w:val="0"/>
      <w:marRight w:val="0"/>
      <w:marTop w:val="0"/>
      <w:marBottom w:val="0"/>
      <w:divBdr>
        <w:top w:val="none" w:sz="0" w:space="0" w:color="auto"/>
        <w:left w:val="none" w:sz="0" w:space="0" w:color="auto"/>
        <w:bottom w:val="none" w:sz="0" w:space="0" w:color="auto"/>
        <w:right w:val="none" w:sz="0" w:space="0" w:color="auto"/>
      </w:divBdr>
      <w:divsChild>
        <w:div w:id="619457686">
          <w:marLeft w:val="0"/>
          <w:marRight w:val="0"/>
          <w:marTop w:val="0"/>
          <w:marBottom w:val="0"/>
          <w:divBdr>
            <w:top w:val="none" w:sz="0" w:space="0" w:color="auto"/>
            <w:left w:val="none" w:sz="0" w:space="0" w:color="auto"/>
            <w:bottom w:val="none" w:sz="0" w:space="0" w:color="auto"/>
            <w:right w:val="none" w:sz="0" w:space="0" w:color="auto"/>
          </w:divBdr>
        </w:div>
        <w:div w:id="1855146511">
          <w:marLeft w:val="0"/>
          <w:marRight w:val="0"/>
          <w:marTop w:val="0"/>
          <w:marBottom w:val="0"/>
          <w:divBdr>
            <w:top w:val="none" w:sz="0" w:space="0" w:color="auto"/>
            <w:left w:val="none" w:sz="0" w:space="0" w:color="auto"/>
            <w:bottom w:val="none" w:sz="0" w:space="0" w:color="auto"/>
            <w:right w:val="none" w:sz="0" w:space="0" w:color="auto"/>
          </w:divBdr>
          <w:divsChild>
            <w:div w:id="403382047">
              <w:marLeft w:val="0"/>
              <w:marRight w:val="0"/>
              <w:marTop w:val="0"/>
              <w:marBottom w:val="0"/>
              <w:divBdr>
                <w:top w:val="none" w:sz="0" w:space="0" w:color="auto"/>
                <w:left w:val="none" w:sz="0" w:space="0" w:color="auto"/>
                <w:bottom w:val="none" w:sz="0" w:space="0" w:color="auto"/>
                <w:right w:val="none" w:sz="0" w:space="0" w:color="auto"/>
              </w:divBdr>
            </w:div>
            <w:div w:id="186111641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255821537">
      <w:bodyDiv w:val="1"/>
      <w:marLeft w:val="0"/>
      <w:marRight w:val="0"/>
      <w:marTop w:val="0"/>
      <w:marBottom w:val="0"/>
      <w:divBdr>
        <w:top w:val="none" w:sz="0" w:space="0" w:color="auto"/>
        <w:left w:val="none" w:sz="0" w:space="0" w:color="auto"/>
        <w:bottom w:val="none" w:sz="0" w:space="0" w:color="auto"/>
        <w:right w:val="none" w:sz="0" w:space="0" w:color="auto"/>
      </w:divBdr>
    </w:div>
    <w:div w:id="1255897682">
      <w:bodyDiv w:val="1"/>
      <w:marLeft w:val="0"/>
      <w:marRight w:val="0"/>
      <w:marTop w:val="0"/>
      <w:marBottom w:val="0"/>
      <w:divBdr>
        <w:top w:val="none" w:sz="0" w:space="0" w:color="auto"/>
        <w:left w:val="none" w:sz="0" w:space="0" w:color="auto"/>
        <w:bottom w:val="none" w:sz="0" w:space="0" w:color="auto"/>
        <w:right w:val="none" w:sz="0" w:space="0" w:color="auto"/>
      </w:divBdr>
      <w:divsChild>
        <w:div w:id="81923648">
          <w:marLeft w:val="0"/>
          <w:marRight w:val="0"/>
          <w:marTop w:val="0"/>
          <w:marBottom w:val="0"/>
          <w:divBdr>
            <w:top w:val="none" w:sz="0" w:space="0" w:color="auto"/>
            <w:left w:val="none" w:sz="0" w:space="0" w:color="auto"/>
            <w:bottom w:val="none" w:sz="0" w:space="0" w:color="auto"/>
            <w:right w:val="none" w:sz="0" w:space="0" w:color="auto"/>
          </w:divBdr>
          <w:divsChild>
            <w:div w:id="667682780">
              <w:marLeft w:val="0"/>
              <w:marRight w:val="0"/>
              <w:marTop w:val="0"/>
              <w:marBottom w:val="0"/>
              <w:divBdr>
                <w:top w:val="none" w:sz="0" w:space="0" w:color="auto"/>
                <w:left w:val="none" w:sz="0" w:space="0" w:color="auto"/>
                <w:bottom w:val="none" w:sz="0" w:space="0" w:color="auto"/>
                <w:right w:val="none" w:sz="0" w:space="0" w:color="auto"/>
              </w:divBdr>
            </w:div>
          </w:divsChild>
        </w:div>
        <w:div w:id="412971447">
          <w:marLeft w:val="0"/>
          <w:marRight w:val="0"/>
          <w:marTop w:val="0"/>
          <w:marBottom w:val="150"/>
          <w:divBdr>
            <w:top w:val="none" w:sz="0" w:space="0" w:color="auto"/>
            <w:left w:val="none" w:sz="0" w:space="0" w:color="auto"/>
            <w:bottom w:val="none" w:sz="0" w:space="0" w:color="auto"/>
            <w:right w:val="none" w:sz="0" w:space="0" w:color="auto"/>
          </w:divBdr>
          <w:divsChild>
            <w:div w:id="1189102327">
              <w:marLeft w:val="0"/>
              <w:marRight w:val="0"/>
              <w:marTop w:val="0"/>
              <w:marBottom w:val="0"/>
              <w:divBdr>
                <w:top w:val="none" w:sz="0" w:space="0" w:color="auto"/>
                <w:left w:val="none" w:sz="0" w:space="0" w:color="auto"/>
                <w:bottom w:val="none" w:sz="0" w:space="0" w:color="auto"/>
                <w:right w:val="none" w:sz="0" w:space="0" w:color="auto"/>
              </w:divBdr>
            </w:div>
          </w:divsChild>
        </w:div>
        <w:div w:id="516622546">
          <w:marLeft w:val="0"/>
          <w:marRight w:val="0"/>
          <w:marTop w:val="0"/>
          <w:marBottom w:val="150"/>
          <w:divBdr>
            <w:top w:val="none" w:sz="0" w:space="0" w:color="auto"/>
            <w:left w:val="none" w:sz="0" w:space="0" w:color="auto"/>
            <w:bottom w:val="none" w:sz="0" w:space="0" w:color="auto"/>
            <w:right w:val="none" w:sz="0" w:space="0" w:color="auto"/>
          </w:divBdr>
        </w:div>
      </w:divsChild>
    </w:div>
    <w:div w:id="1256399911">
      <w:bodyDiv w:val="1"/>
      <w:marLeft w:val="0"/>
      <w:marRight w:val="0"/>
      <w:marTop w:val="0"/>
      <w:marBottom w:val="0"/>
      <w:divBdr>
        <w:top w:val="none" w:sz="0" w:space="0" w:color="auto"/>
        <w:left w:val="none" w:sz="0" w:space="0" w:color="auto"/>
        <w:bottom w:val="none" w:sz="0" w:space="0" w:color="auto"/>
        <w:right w:val="none" w:sz="0" w:space="0" w:color="auto"/>
      </w:divBdr>
      <w:divsChild>
        <w:div w:id="342633023">
          <w:marLeft w:val="0"/>
          <w:marRight w:val="0"/>
          <w:marTop w:val="0"/>
          <w:marBottom w:val="150"/>
          <w:divBdr>
            <w:top w:val="none" w:sz="0" w:space="0" w:color="auto"/>
            <w:left w:val="none" w:sz="0" w:space="0" w:color="auto"/>
            <w:bottom w:val="none" w:sz="0" w:space="0" w:color="auto"/>
            <w:right w:val="none" w:sz="0" w:space="0" w:color="auto"/>
          </w:divBdr>
        </w:div>
        <w:div w:id="398750693">
          <w:marLeft w:val="0"/>
          <w:marRight w:val="0"/>
          <w:marTop w:val="0"/>
          <w:marBottom w:val="150"/>
          <w:divBdr>
            <w:top w:val="none" w:sz="0" w:space="0" w:color="auto"/>
            <w:left w:val="none" w:sz="0" w:space="0" w:color="auto"/>
            <w:bottom w:val="none" w:sz="0" w:space="0" w:color="auto"/>
            <w:right w:val="none" w:sz="0" w:space="0" w:color="auto"/>
          </w:divBdr>
        </w:div>
        <w:div w:id="446196777">
          <w:marLeft w:val="0"/>
          <w:marRight w:val="0"/>
          <w:marTop w:val="0"/>
          <w:marBottom w:val="150"/>
          <w:divBdr>
            <w:top w:val="none" w:sz="0" w:space="0" w:color="auto"/>
            <w:left w:val="none" w:sz="0" w:space="0" w:color="auto"/>
            <w:bottom w:val="none" w:sz="0" w:space="0" w:color="auto"/>
            <w:right w:val="none" w:sz="0" w:space="0" w:color="auto"/>
          </w:divBdr>
        </w:div>
        <w:div w:id="706223111">
          <w:marLeft w:val="0"/>
          <w:marRight w:val="0"/>
          <w:marTop w:val="0"/>
          <w:marBottom w:val="150"/>
          <w:divBdr>
            <w:top w:val="none" w:sz="0" w:space="0" w:color="auto"/>
            <w:left w:val="none" w:sz="0" w:space="0" w:color="auto"/>
            <w:bottom w:val="none" w:sz="0" w:space="0" w:color="auto"/>
            <w:right w:val="none" w:sz="0" w:space="0" w:color="auto"/>
          </w:divBdr>
        </w:div>
        <w:div w:id="846015868">
          <w:marLeft w:val="0"/>
          <w:marRight w:val="0"/>
          <w:marTop w:val="0"/>
          <w:marBottom w:val="150"/>
          <w:divBdr>
            <w:top w:val="none" w:sz="0" w:space="0" w:color="auto"/>
            <w:left w:val="none" w:sz="0" w:space="0" w:color="auto"/>
            <w:bottom w:val="none" w:sz="0" w:space="0" w:color="auto"/>
            <w:right w:val="none" w:sz="0" w:space="0" w:color="auto"/>
          </w:divBdr>
        </w:div>
        <w:div w:id="1146631217">
          <w:marLeft w:val="0"/>
          <w:marRight w:val="0"/>
          <w:marTop w:val="0"/>
          <w:marBottom w:val="150"/>
          <w:divBdr>
            <w:top w:val="none" w:sz="0" w:space="0" w:color="auto"/>
            <w:left w:val="none" w:sz="0" w:space="0" w:color="auto"/>
            <w:bottom w:val="none" w:sz="0" w:space="0" w:color="auto"/>
            <w:right w:val="none" w:sz="0" w:space="0" w:color="auto"/>
          </w:divBdr>
        </w:div>
        <w:div w:id="1215890748">
          <w:marLeft w:val="0"/>
          <w:marRight w:val="0"/>
          <w:marTop w:val="0"/>
          <w:marBottom w:val="150"/>
          <w:divBdr>
            <w:top w:val="none" w:sz="0" w:space="0" w:color="auto"/>
            <w:left w:val="none" w:sz="0" w:space="0" w:color="auto"/>
            <w:bottom w:val="none" w:sz="0" w:space="0" w:color="auto"/>
            <w:right w:val="none" w:sz="0" w:space="0" w:color="auto"/>
          </w:divBdr>
        </w:div>
        <w:div w:id="1339234977">
          <w:marLeft w:val="0"/>
          <w:marRight w:val="0"/>
          <w:marTop w:val="0"/>
          <w:marBottom w:val="150"/>
          <w:divBdr>
            <w:top w:val="none" w:sz="0" w:space="0" w:color="auto"/>
            <w:left w:val="none" w:sz="0" w:space="0" w:color="auto"/>
            <w:bottom w:val="none" w:sz="0" w:space="0" w:color="auto"/>
            <w:right w:val="none" w:sz="0" w:space="0" w:color="auto"/>
          </w:divBdr>
        </w:div>
        <w:div w:id="1432697514">
          <w:marLeft w:val="0"/>
          <w:marRight w:val="0"/>
          <w:marTop w:val="0"/>
          <w:marBottom w:val="150"/>
          <w:divBdr>
            <w:top w:val="none" w:sz="0" w:space="0" w:color="auto"/>
            <w:left w:val="none" w:sz="0" w:space="0" w:color="auto"/>
            <w:bottom w:val="none" w:sz="0" w:space="0" w:color="auto"/>
            <w:right w:val="none" w:sz="0" w:space="0" w:color="auto"/>
          </w:divBdr>
        </w:div>
        <w:div w:id="1822690926">
          <w:marLeft w:val="0"/>
          <w:marRight w:val="0"/>
          <w:marTop w:val="0"/>
          <w:marBottom w:val="150"/>
          <w:divBdr>
            <w:top w:val="none" w:sz="0" w:space="0" w:color="auto"/>
            <w:left w:val="none" w:sz="0" w:space="0" w:color="auto"/>
            <w:bottom w:val="none" w:sz="0" w:space="0" w:color="auto"/>
            <w:right w:val="none" w:sz="0" w:space="0" w:color="auto"/>
          </w:divBdr>
        </w:div>
      </w:divsChild>
    </w:div>
    <w:div w:id="1256943184">
      <w:bodyDiv w:val="1"/>
      <w:marLeft w:val="0"/>
      <w:marRight w:val="0"/>
      <w:marTop w:val="0"/>
      <w:marBottom w:val="0"/>
      <w:divBdr>
        <w:top w:val="none" w:sz="0" w:space="0" w:color="auto"/>
        <w:left w:val="none" w:sz="0" w:space="0" w:color="auto"/>
        <w:bottom w:val="none" w:sz="0" w:space="0" w:color="auto"/>
        <w:right w:val="none" w:sz="0" w:space="0" w:color="auto"/>
      </w:divBdr>
      <w:divsChild>
        <w:div w:id="1934052526">
          <w:marLeft w:val="0"/>
          <w:marRight w:val="0"/>
          <w:marTop w:val="0"/>
          <w:marBottom w:val="0"/>
          <w:divBdr>
            <w:top w:val="none" w:sz="0" w:space="0" w:color="auto"/>
            <w:left w:val="none" w:sz="0" w:space="0" w:color="auto"/>
            <w:bottom w:val="dotted" w:sz="6" w:space="4" w:color="DDDDDD"/>
            <w:right w:val="none" w:sz="0" w:space="0" w:color="auto"/>
          </w:divBdr>
          <w:divsChild>
            <w:div w:id="158014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061220">
      <w:bodyDiv w:val="1"/>
      <w:marLeft w:val="0"/>
      <w:marRight w:val="0"/>
      <w:marTop w:val="0"/>
      <w:marBottom w:val="0"/>
      <w:divBdr>
        <w:top w:val="none" w:sz="0" w:space="0" w:color="auto"/>
        <w:left w:val="none" w:sz="0" w:space="0" w:color="auto"/>
        <w:bottom w:val="none" w:sz="0" w:space="0" w:color="auto"/>
        <w:right w:val="none" w:sz="0" w:space="0" w:color="auto"/>
      </w:divBdr>
      <w:divsChild>
        <w:div w:id="763259209">
          <w:marLeft w:val="0"/>
          <w:marRight w:val="0"/>
          <w:marTop w:val="0"/>
          <w:marBottom w:val="0"/>
          <w:divBdr>
            <w:top w:val="none" w:sz="0" w:space="0" w:color="auto"/>
            <w:left w:val="none" w:sz="0" w:space="0" w:color="auto"/>
            <w:bottom w:val="none" w:sz="0" w:space="0" w:color="auto"/>
            <w:right w:val="none" w:sz="0" w:space="0" w:color="auto"/>
          </w:divBdr>
        </w:div>
      </w:divsChild>
    </w:div>
    <w:div w:id="1257709608">
      <w:bodyDiv w:val="1"/>
      <w:marLeft w:val="0"/>
      <w:marRight w:val="0"/>
      <w:marTop w:val="0"/>
      <w:marBottom w:val="0"/>
      <w:divBdr>
        <w:top w:val="none" w:sz="0" w:space="0" w:color="auto"/>
        <w:left w:val="none" w:sz="0" w:space="0" w:color="auto"/>
        <w:bottom w:val="none" w:sz="0" w:space="0" w:color="auto"/>
        <w:right w:val="none" w:sz="0" w:space="0" w:color="auto"/>
      </w:divBdr>
      <w:divsChild>
        <w:div w:id="644165674">
          <w:marLeft w:val="0"/>
          <w:marRight w:val="0"/>
          <w:marTop w:val="0"/>
          <w:marBottom w:val="0"/>
          <w:divBdr>
            <w:top w:val="none" w:sz="0" w:space="0" w:color="auto"/>
            <w:left w:val="none" w:sz="0" w:space="0" w:color="auto"/>
            <w:bottom w:val="none" w:sz="0" w:space="0" w:color="auto"/>
            <w:right w:val="none" w:sz="0" w:space="0" w:color="auto"/>
          </w:divBdr>
          <w:divsChild>
            <w:div w:id="679433503">
              <w:marLeft w:val="0"/>
              <w:marRight w:val="0"/>
              <w:marTop w:val="0"/>
              <w:marBottom w:val="0"/>
              <w:divBdr>
                <w:top w:val="none" w:sz="0" w:space="0" w:color="auto"/>
                <w:left w:val="none" w:sz="0" w:space="0" w:color="auto"/>
                <w:bottom w:val="none" w:sz="0" w:space="0" w:color="auto"/>
                <w:right w:val="none" w:sz="0" w:space="0" w:color="auto"/>
              </w:divBdr>
              <w:divsChild>
                <w:div w:id="1011372973">
                  <w:marLeft w:val="0"/>
                  <w:marRight w:val="0"/>
                  <w:marTop w:val="0"/>
                  <w:marBottom w:val="0"/>
                  <w:divBdr>
                    <w:top w:val="none" w:sz="0" w:space="0" w:color="auto"/>
                    <w:left w:val="none" w:sz="0" w:space="0" w:color="auto"/>
                    <w:bottom w:val="none" w:sz="0" w:space="0" w:color="auto"/>
                    <w:right w:val="none" w:sz="0" w:space="0" w:color="auto"/>
                  </w:divBdr>
                  <w:divsChild>
                    <w:div w:id="282347320">
                      <w:marLeft w:val="0"/>
                      <w:marRight w:val="0"/>
                      <w:marTop w:val="0"/>
                      <w:marBottom w:val="0"/>
                      <w:divBdr>
                        <w:top w:val="none" w:sz="0" w:space="0" w:color="auto"/>
                        <w:left w:val="none" w:sz="0" w:space="0" w:color="auto"/>
                        <w:bottom w:val="none" w:sz="0" w:space="0" w:color="auto"/>
                        <w:right w:val="none" w:sz="0" w:space="0" w:color="auto"/>
                      </w:divBdr>
                      <w:divsChild>
                        <w:div w:id="1926760806">
                          <w:marLeft w:val="0"/>
                          <w:marRight w:val="0"/>
                          <w:marTop w:val="0"/>
                          <w:marBottom w:val="0"/>
                          <w:divBdr>
                            <w:top w:val="none" w:sz="0" w:space="0" w:color="auto"/>
                            <w:left w:val="none" w:sz="0" w:space="0" w:color="auto"/>
                            <w:bottom w:val="none" w:sz="0" w:space="0" w:color="auto"/>
                            <w:right w:val="none" w:sz="0" w:space="0" w:color="auto"/>
                          </w:divBdr>
                          <w:divsChild>
                            <w:div w:id="754476135">
                              <w:marLeft w:val="0"/>
                              <w:marRight w:val="0"/>
                              <w:marTop w:val="0"/>
                              <w:marBottom w:val="0"/>
                              <w:divBdr>
                                <w:top w:val="none" w:sz="0" w:space="0" w:color="auto"/>
                                <w:left w:val="none" w:sz="0" w:space="0" w:color="auto"/>
                                <w:bottom w:val="none" w:sz="0" w:space="0" w:color="auto"/>
                                <w:right w:val="none" w:sz="0" w:space="0" w:color="auto"/>
                              </w:divBdr>
                              <w:divsChild>
                                <w:div w:id="72364533">
                                  <w:marLeft w:val="0"/>
                                  <w:marRight w:val="0"/>
                                  <w:marTop w:val="0"/>
                                  <w:marBottom w:val="0"/>
                                  <w:divBdr>
                                    <w:top w:val="none" w:sz="0" w:space="0" w:color="auto"/>
                                    <w:left w:val="none" w:sz="0" w:space="0" w:color="auto"/>
                                    <w:bottom w:val="none" w:sz="0" w:space="0" w:color="auto"/>
                                    <w:right w:val="none" w:sz="0" w:space="0" w:color="auto"/>
                                  </w:divBdr>
                                  <w:divsChild>
                                    <w:div w:id="59848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364953">
      <w:bodyDiv w:val="1"/>
      <w:marLeft w:val="0"/>
      <w:marRight w:val="0"/>
      <w:marTop w:val="0"/>
      <w:marBottom w:val="0"/>
      <w:divBdr>
        <w:top w:val="none" w:sz="0" w:space="0" w:color="auto"/>
        <w:left w:val="none" w:sz="0" w:space="0" w:color="auto"/>
        <w:bottom w:val="none" w:sz="0" w:space="0" w:color="auto"/>
        <w:right w:val="none" w:sz="0" w:space="0" w:color="auto"/>
      </w:divBdr>
      <w:divsChild>
        <w:div w:id="43675678">
          <w:marLeft w:val="0"/>
          <w:marRight w:val="0"/>
          <w:marTop w:val="0"/>
          <w:marBottom w:val="0"/>
          <w:divBdr>
            <w:top w:val="none" w:sz="0" w:space="0" w:color="auto"/>
            <w:left w:val="none" w:sz="0" w:space="0" w:color="auto"/>
            <w:bottom w:val="none" w:sz="0" w:space="0" w:color="auto"/>
            <w:right w:val="none" w:sz="0" w:space="0" w:color="auto"/>
          </w:divBdr>
          <w:divsChild>
            <w:div w:id="994266117">
              <w:marLeft w:val="0"/>
              <w:marRight w:val="0"/>
              <w:marTop w:val="0"/>
              <w:marBottom w:val="0"/>
              <w:divBdr>
                <w:top w:val="none" w:sz="0" w:space="0" w:color="auto"/>
                <w:left w:val="none" w:sz="0" w:space="0" w:color="auto"/>
                <w:bottom w:val="none" w:sz="0" w:space="0" w:color="auto"/>
                <w:right w:val="none" w:sz="0" w:space="0" w:color="auto"/>
              </w:divBdr>
              <w:divsChild>
                <w:div w:id="1802533751">
                  <w:marLeft w:val="0"/>
                  <w:marRight w:val="0"/>
                  <w:marTop w:val="0"/>
                  <w:marBottom w:val="0"/>
                  <w:divBdr>
                    <w:top w:val="none" w:sz="0" w:space="0" w:color="auto"/>
                    <w:left w:val="none" w:sz="0" w:space="0" w:color="auto"/>
                    <w:bottom w:val="none" w:sz="0" w:space="0" w:color="auto"/>
                    <w:right w:val="none" w:sz="0" w:space="0" w:color="auto"/>
                  </w:divBdr>
                  <w:divsChild>
                    <w:div w:id="1047536055">
                      <w:marLeft w:val="0"/>
                      <w:marRight w:val="0"/>
                      <w:marTop w:val="0"/>
                      <w:marBottom w:val="0"/>
                      <w:divBdr>
                        <w:top w:val="none" w:sz="0" w:space="0" w:color="auto"/>
                        <w:left w:val="none" w:sz="0" w:space="0" w:color="auto"/>
                        <w:bottom w:val="none" w:sz="0" w:space="0" w:color="auto"/>
                        <w:right w:val="none" w:sz="0" w:space="0" w:color="auto"/>
                      </w:divBdr>
                      <w:divsChild>
                        <w:div w:id="1623538744">
                          <w:marLeft w:val="0"/>
                          <w:marRight w:val="0"/>
                          <w:marTop w:val="0"/>
                          <w:marBottom w:val="0"/>
                          <w:divBdr>
                            <w:top w:val="none" w:sz="0" w:space="0" w:color="auto"/>
                            <w:left w:val="none" w:sz="0" w:space="0" w:color="auto"/>
                            <w:bottom w:val="none" w:sz="0" w:space="0" w:color="auto"/>
                            <w:right w:val="none" w:sz="0" w:space="0" w:color="auto"/>
                          </w:divBdr>
                          <w:divsChild>
                            <w:div w:id="1255239120">
                              <w:marLeft w:val="0"/>
                              <w:marRight w:val="0"/>
                              <w:marTop w:val="0"/>
                              <w:marBottom w:val="0"/>
                              <w:divBdr>
                                <w:top w:val="none" w:sz="0" w:space="0" w:color="auto"/>
                                <w:left w:val="none" w:sz="0" w:space="0" w:color="auto"/>
                                <w:bottom w:val="none" w:sz="0" w:space="0" w:color="auto"/>
                                <w:right w:val="none" w:sz="0" w:space="0" w:color="auto"/>
                              </w:divBdr>
                              <w:divsChild>
                                <w:div w:id="2031907196">
                                  <w:marLeft w:val="0"/>
                                  <w:marRight w:val="0"/>
                                  <w:marTop w:val="0"/>
                                  <w:marBottom w:val="0"/>
                                  <w:divBdr>
                                    <w:top w:val="none" w:sz="0" w:space="0" w:color="auto"/>
                                    <w:left w:val="none" w:sz="0" w:space="0" w:color="auto"/>
                                    <w:bottom w:val="none" w:sz="0" w:space="0" w:color="auto"/>
                                    <w:right w:val="none" w:sz="0" w:space="0" w:color="auto"/>
                                  </w:divBdr>
                                  <w:divsChild>
                                    <w:div w:id="211158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639827">
      <w:bodyDiv w:val="1"/>
      <w:marLeft w:val="0"/>
      <w:marRight w:val="0"/>
      <w:marTop w:val="0"/>
      <w:marBottom w:val="0"/>
      <w:divBdr>
        <w:top w:val="none" w:sz="0" w:space="0" w:color="auto"/>
        <w:left w:val="none" w:sz="0" w:space="0" w:color="auto"/>
        <w:bottom w:val="none" w:sz="0" w:space="0" w:color="auto"/>
        <w:right w:val="none" w:sz="0" w:space="0" w:color="auto"/>
      </w:divBdr>
    </w:div>
    <w:div w:id="1258951909">
      <w:bodyDiv w:val="1"/>
      <w:marLeft w:val="0"/>
      <w:marRight w:val="0"/>
      <w:marTop w:val="0"/>
      <w:marBottom w:val="0"/>
      <w:divBdr>
        <w:top w:val="none" w:sz="0" w:space="0" w:color="auto"/>
        <w:left w:val="none" w:sz="0" w:space="0" w:color="auto"/>
        <w:bottom w:val="none" w:sz="0" w:space="0" w:color="auto"/>
        <w:right w:val="none" w:sz="0" w:space="0" w:color="auto"/>
      </w:divBdr>
      <w:divsChild>
        <w:div w:id="67310155">
          <w:marLeft w:val="0"/>
          <w:marRight w:val="0"/>
          <w:marTop w:val="0"/>
          <w:marBottom w:val="0"/>
          <w:divBdr>
            <w:top w:val="none" w:sz="0" w:space="0" w:color="auto"/>
            <w:left w:val="none" w:sz="0" w:space="0" w:color="auto"/>
            <w:bottom w:val="none" w:sz="0" w:space="0" w:color="auto"/>
            <w:right w:val="none" w:sz="0" w:space="0" w:color="auto"/>
          </w:divBdr>
        </w:div>
        <w:div w:id="1979266401">
          <w:marLeft w:val="0"/>
          <w:marRight w:val="0"/>
          <w:marTop w:val="0"/>
          <w:marBottom w:val="150"/>
          <w:divBdr>
            <w:top w:val="none" w:sz="0" w:space="0" w:color="auto"/>
            <w:left w:val="none" w:sz="0" w:space="0" w:color="auto"/>
            <w:bottom w:val="none" w:sz="0" w:space="0" w:color="auto"/>
            <w:right w:val="none" w:sz="0" w:space="0" w:color="auto"/>
          </w:divBdr>
        </w:div>
      </w:divsChild>
    </w:div>
    <w:div w:id="1258978653">
      <w:bodyDiv w:val="1"/>
      <w:marLeft w:val="0"/>
      <w:marRight w:val="0"/>
      <w:marTop w:val="0"/>
      <w:marBottom w:val="0"/>
      <w:divBdr>
        <w:top w:val="none" w:sz="0" w:space="0" w:color="auto"/>
        <w:left w:val="none" w:sz="0" w:space="0" w:color="auto"/>
        <w:bottom w:val="none" w:sz="0" w:space="0" w:color="auto"/>
        <w:right w:val="none" w:sz="0" w:space="0" w:color="auto"/>
      </w:divBdr>
      <w:divsChild>
        <w:div w:id="805896901">
          <w:marLeft w:val="0"/>
          <w:marRight w:val="0"/>
          <w:marTop w:val="0"/>
          <w:marBottom w:val="0"/>
          <w:divBdr>
            <w:top w:val="none" w:sz="0" w:space="0" w:color="auto"/>
            <w:left w:val="none" w:sz="0" w:space="0" w:color="auto"/>
            <w:bottom w:val="none" w:sz="0" w:space="0" w:color="auto"/>
            <w:right w:val="none" w:sz="0" w:space="0" w:color="auto"/>
          </w:divBdr>
        </w:div>
      </w:divsChild>
    </w:div>
    <w:div w:id="1259211722">
      <w:bodyDiv w:val="1"/>
      <w:marLeft w:val="0"/>
      <w:marRight w:val="0"/>
      <w:marTop w:val="0"/>
      <w:marBottom w:val="0"/>
      <w:divBdr>
        <w:top w:val="none" w:sz="0" w:space="0" w:color="auto"/>
        <w:left w:val="none" w:sz="0" w:space="0" w:color="auto"/>
        <w:bottom w:val="none" w:sz="0" w:space="0" w:color="auto"/>
        <w:right w:val="none" w:sz="0" w:space="0" w:color="auto"/>
      </w:divBdr>
      <w:divsChild>
        <w:div w:id="1982879605">
          <w:marLeft w:val="0"/>
          <w:marRight w:val="0"/>
          <w:marTop w:val="0"/>
          <w:marBottom w:val="0"/>
          <w:divBdr>
            <w:top w:val="none" w:sz="0" w:space="0" w:color="auto"/>
            <w:left w:val="none" w:sz="0" w:space="0" w:color="auto"/>
            <w:bottom w:val="dotted" w:sz="6" w:space="4" w:color="DDDDDD"/>
            <w:right w:val="none" w:sz="0" w:space="0" w:color="auto"/>
          </w:divBdr>
          <w:divsChild>
            <w:div w:id="70039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25704">
      <w:bodyDiv w:val="1"/>
      <w:marLeft w:val="0"/>
      <w:marRight w:val="0"/>
      <w:marTop w:val="0"/>
      <w:marBottom w:val="0"/>
      <w:divBdr>
        <w:top w:val="none" w:sz="0" w:space="0" w:color="auto"/>
        <w:left w:val="none" w:sz="0" w:space="0" w:color="auto"/>
        <w:bottom w:val="none" w:sz="0" w:space="0" w:color="auto"/>
        <w:right w:val="none" w:sz="0" w:space="0" w:color="auto"/>
      </w:divBdr>
      <w:divsChild>
        <w:div w:id="515997033">
          <w:marLeft w:val="0"/>
          <w:marRight w:val="0"/>
          <w:marTop w:val="0"/>
          <w:marBottom w:val="0"/>
          <w:divBdr>
            <w:top w:val="none" w:sz="0" w:space="0" w:color="auto"/>
            <w:left w:val="none" w:sz="0" w:space="0" w:color="auto"/>
            <w:bottom w:val="none" w:sz="0" w:space="0" w:color="auto"/>
            <w:right w:val="none" w:sz="0" w:space="0" w:color="auto"/>
          </w:divBdr>
        </w:div>
      </w:divsChild>
    </w:div>
    <w:div w:id="1260144835">
      <w:bodyDiv w:val="1"/>
      <w:marLeft w:val="0"/>
      <w:marRight w:val="0"/>
      <w:marTop w:val="0"/>
      <w:marBottom w:val="0"/>
      <w:divBdr>
        <w:top w:val="none" w:sz="0" w:space="0" w:color="auto"/>
        <w:left w:val="none" w:sz="0" w:space="0" w:color="auto"/>
        <w:bottom w:val="none" w:sz="0" w:space="0" w:color="auto"/>
        <w:right w:val="none" w:sz="0" w:space="0" w:color="auto"/>
      </w:divBdr>
      <w:divsChild>
        <w:div w:id="1954288640">
          <w:marLeft w:val="0"/>
          <w:marRight w:val="0"/>
          <w:marTop w:val="0"/>
          <w:marBottom w:val="0"/>
          <w:divBdr>
            <w:top w:val="none" w:sz="0" w:space="0" w:color="auto"/>
            <w:left w:val="none" w:sz="0" w:space="0" w:color="auto"/>
            <w:bottom w:val="none" w:sz="0" w:space="0" w:color="auto"/>
            <w:right w:val="none" w:sz="0" w:space="0" w:color="auto"/>
          </w:divBdr>
          <w:divsChild>
            <w:div w:id="636764598">
              <w:marLeft w:val="0"/>
              <w:marRight w:val="0"/>
              <w:marTop w:val="0"/>
              <w:marBottom w:val="0"/>
              <w:divBdr>
                <w:top w:val="none" w:sz="0" w:space="0" w:color="auto"/>
                <w:left w:val="none" w:sz="0" w:space="0" w:color="auto"/>
                <w:bottom w:val="none" w:sz="0" w:space="0" w:color="auto"/>
                <w:right w:val="none" w:sz="0" w:space="0" w:color="auto"/>
              </w:divBdr>
              <w:divsChild>
                <w:div w:id="1381635605">
                  <w:marLeft w:val="0"/>
                  <w:marRight w:val="0"/>
                  <w:marTop w:val="0"/>
                  <w:marBottom w:val="0"/>
                  <w:divBdr>
                    <w:top w:val="none" w:sz="0" w:space="0" w:color="auto"/>
                    <w:left w:val="none" w:sz="0" w:space="0" w:color="auto"/>
                    <w:bottom w:val="none" w:sz="0" w:space="0" w:color="auto"/>
                    <w:right w:val="none" w:sz="0" w:space="0" w:color="auto"/>
                  </w:divBdr>
                  <w:divsChild>
                    <w:div w:id="1895583231">
                      <w:marLeft w:val="0"/>
                      <w:marRight w:val="0"/>
                      <w:marTop w:val="0"/>
                      <w:marBottom w:val="0"/>
                      <w:divBdr>
                        <w:top w:val="none" w:sz="0" w:space="0" w:color="auto"/>
                        <w:left w:val="none" w:sz="0" w:space="0" w:color="auto"/>
                        <w:bottom w:val="none" w:sz="0" w:space="0" w:color="auto"/>
                        <w:right w:val="none" w:sz="0" w:space="0" w:color="auto"/>
                      </w:divBdr>
                      <w:divsChild>
                        <w:div w:id="807823914">
                          <w:marLeft w:val="0"/>
                          <w:marRight w:val="0"/>
                          <w:marTop w:val="0"/>
                          <w:marBottom w:val="0"/>
                          <w:divBdr>
                            <w:top w:val="none" w:sz="0" w:space="0" w:color="auto"/>
                            <w:left w:val="none" w:sz="0" w:space="0" w:color="auto"/>
                            <w:bottom w:val="none" w:sz="0" w:space="0" w:color="auto"/>
                            <w:right w:val="none" w:sz="0" w:space="0" w:color="auto"/>
                          </w:divBdr>
                          <w:divsChild>
                            <w:div w:id="440296303">
                              <w:marLeft w:val="0"/>
                              <w:marRight w:val="0"/>
                              <w:marTop w:val="0"/>
                              <w:marBottom w:val="0"/>
                              <w:divBdr>
                                <w:top w:val="none" w:sz="0" w:space="0" w:color="auto"/>
                                <w:left w:val="none" w:sz="0" w:space="0" w:color="auto"/>
                                <w:bottom w:val="none" w:sz="0" w:space="0" w:color="auto"/>
                                <w:right w:val="none" w:sz="0" w:space="0" w:color="auto"/>
                              </w:divBdr>
                              <w:divsChild>
                                <w:div w:id="78449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0678050">
      <w:bodyDiv w:val="1"/>
      <w:marLeft w:val="0"/>
      <w:marRight w:val="0"/>
      <w:marTop w:val="0"/>
      <w:marBottom w:val="0"/>
      <w:divBdr>
        <w:top w:val="none" w:sz="0" w:space="0" w:color="auto"/>
        <w:left w:val="none" w:sz="0" w:space="0" w:color="auto"/>
        <w:bottom w:val="none" w:sz="0" w:space="0" w:color="auto"/>
        <w:right w:val="none" w:sz="0" w:space="0" w:color="auto"/>
      </w:divBdr>
      <w:divsChild>
        <w:div w:id="473914568">
          <w:marLeft w:val="0"/>
          <w:marRight w:val="0"/>
          <w:marTop w:val="0"/>
          <w:marBottom w:val="150"/>
          <w:divBdr>
            <w:top w:val="none" w:sz="0" w:space="0" w:color="auto"/>
            <w:left w:val="none" w:sz="0" w:space="0" w:color="auto"/>
            <w:bottom w:val="none" w:sz="0" w:space="0" w:color="auto"/>
            <w:right w:val="none" w:sz="0" w:space="0" w:color="auto"/>
          </w:divBdr>
        </w:div>
        <w:div w:id="961301031">
          <w:marLeft w:val="0"/>
          <w:marRight w:val="0"/>
          <w:marTop w:val="0"/>
          <w:marBottom w:val="0"/>
          <w:divBdr>
            <w:top w:val="none" w:sz="0" w:space="0" w:color="auto"/>
            <w:left w:val="none" w:sz="0" w:space="0" w:color="auto"/>
            <w:bottom w:val="none" w:sz="0" w:space="0" w:color="auto"/>
            <w:right w:val="none" w:sz="0" w:space="0" w:color="auto"/>
          </w:divBdr>
          <w:divsChild>
            <w:div w:id="1884294987">
              <w:marLeft w:val="0"/>
              <w:marRight w:val="0"/>
              <w:marTop w:val="225"/>
              <w:marBottom w:val="225"/>
              <w:divBdr>
                <w:top w:val="none" w:sz="0" w:space="0" w:color="auto"/>
                <w:left w:val="none" w:sz="0" w:space="0" w:color="auto"/>
                <w:bottom w:val="none" w:sz="0" w:space="0" w:color="auto"/>
                <w:right w:val="none" w:sz="0" w:space="0" w:color="auto"/>
              </w:divBdr>
            </w:div>
          </w:divsChild>
        </w:div>
        <w:div w:id="1487822885">
          <w:marLeft w:val="0"/>
          <w:marRight w:val="0"/>
          <w:marTop w:val="0"/>
          <w:marBottom w:val="150"/>
          <w:divBdr>
            <w:top w:val="none" w:sz="0" w:space="0" w:color="auto"/>
            <w:left w:val="none" w:sz="0" w:space="0" w:color="auto"/>
            <w:bottom w:val="none" w:sz="0" w:space="0" w:color="auto"/>
            <w:right w:val="none" w:sz="0" w:space="0" w:color="auto"/>
          </w:divBdr>
          <w:divsChild>
            <w:div w:id="1925989460">
              <w:marLeft w:val="0"/>
              <w:marRight w:val="0"/>
              <w:marTop w:val="0"/>
              <w:marBottom w:val="0"/>
              <w:divBdr>
                <w:top w:val="none" w:sz="0" w:space="0" w:color="auto"/>
                <w:left w:val="none" w:sz="0" w:space="0" w:color="auto"/>
                <w:bottom w:val="none" w:sz="0" w:space="0" w:color="auto"/>
                <w:right w:val="none" w:sz="0" w:space="0" w:color="auto"/>
              </w:divBdr>
              <w:divsChild>
                <w:div w:id="135773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723360">
      <w:bodyDiv w:val="1"/>
      <w:marLeft w:val="0"/>
      <w:marRight w:val="0"/>
      <w:marTop w:val="0"/>
      <w:marBottom w:val="0"/>
      <w:divBdr>
        <w:top w:val="none" w:sz="0" w:space="0" w:color="auto"/>
        <w:left w:val="none" w:sz="0" w:space="0" w:color="auto"/>
        <w:bottom w:val="none" w:sz="0" w:space="0" w:color="auto"/>
        <w:right w:val="none" w:sz="0" w:space="0" w:color="auto"/>
      </w:divBdr>
      <w:divsChild>
        <w:div w:id="323436547">
          <w:marLeft w:val="0"/>
          <w:marRight w:val="0"/>
          <w:marTop w:val="0"/>
          <w:marBottom w:val="150"/>
          <w:divBdr>
            <w:top w:val="none" w:sz="0" w:space="0" w:color="auto"/>
            <w:left w:val="none" w:sz="0" w:space="0" w:color="auto"/>
            <w:bottom w:val="none" w:sz="0" w:space="0" w:color="auto"/>
            <w:right w:val="none" w:sz="0" w:space="0" w:color="auto"/>
          </w:divBdr>
          <w:divsChild>
            <w:div w:id="712341346">
              <w:marLeft w:val="0"/>
              <w:marRight w:val="0"/>
              <w:marTop w:val="0"/>
              <w:marBottom w:val="0"/>
              <w:divBdr>
                <w:top w:val="none" w:sz="0" w:space="0" w:color="auto"/>
                <w:left w:val="none" w:sz="0" w:space="0" w:color="auto"/>
                <w:bottom w:val="none" w:sz="0" w:space="0" w:color="auto"/>
                <w:right w:val="none" w:sz="0" w:space="0" w:color="auto"/>
              </w:divBdr>
              <w:divsChild>
                <w:div w:id="1721510456">
                  <w:marLeft w:val="0"/>
                  <w:marRight w:val="0"/>
                  <w:marTop w:val="0"/>
                  <w:marBottom w:val="0"/>
                  <w:divBdr>
                    <w:top w:val="none" w:sz="0" w:space="0" w:color="auto"/>
                    <w:left w:val="none" w:sz="0" w:space="0" w:color="auto"/>
                    <w:bottom w:val="none" w:sz="0" w:space="0" w:color="auto"/>
                    <w:right w:val="none" w:sz="0" w:space="0" w:color="auto"/>
                  </w:divBdr>
                  <w:divsChild>
                    <w:div w:id="1883902539">
                      <w:marLeft w:val="0"/>
                      <w:marRight w:val="150"/>
                      <w:marTop w:val="0"/>
                      <w:marBottom w:val="0"/>
                      <w:divBdr>
                        <w:top w:val="none" w:sz="0" w:space="0" w:color="auto"/>
                        <w:left w:val="none" w:sz="0" w:space="0" w:color="auto"/>
                        <w:bottom w:val="none" w:sz="0" w:space="0" w:color="auto"/>
                        <w:right w:val="none" w:sz="0" w:space="0" w:color="auto"/>
                      </w:divBdr>
                      <w:divsChild>
                        <w:div w:id="179466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473402">
          <w:marLeft w:val="0"/>
          <w:marRight w:val="0"/>
          <w:marTop w:val="0"/>
          <w:marBottom w:val="150"/>
          <w:divBdr>
            <w:top w:val="none" w:sz="0" w:space="0" w:color="auto"/>
            <w:left w:val="none" w:sz="0" w:space="0" w:color="auto"/>
            <w:bottom w:val="none" w:sz="0" w:space="0" w:color="auto"/>
            <w:right w:val="none" w:sz="0" w:space="0" w:color="auto"/>
          </w:divBdr>
        </w:div>
        <w:div w:id="561067544">
          <w:marLeft w:val="0"/>
          <w:marRight w:val="0"/>
          <w:marTop w:val="0"/>
          <w:marBottom w:val="0"/>
          <w:divBdr>
            <w:top w:val="none" w:sz="0" w:space="0" w:color="auto"/>
            <w:left w:val="none" w:sz="0" w:space="0" w:color="auto"/>
            <w:bottom w:val="none" w:sz="0" w:space="0" w:color="auto"/>
            <w:right w:val="none" w:sz="0" w:space="0" w:color="auto"/>
          </w:divBdr>
          <w:divsChild>
            <w:div w:id="11317066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60791175">
      <w:bodyDiv w:val="1"/>
      <w:marLeft w:val="0"/>
      <w:marRight w:val="0"/>
      <w:marTop w:val="0"/>
      <w:marBottom w:val="0"/>
      <w:divBdr>
        <w:top w:val="none" w:sz="0" w:space="0" w:color="auto"/>
        <w:left w:val="none" w:sz="0" w:space="0" w:color="auto"/>
        <w:bottom w:val="none" w:sz="0" w:space="0" w:color="auto"/>
        <w:right w:val="none" w:sz="0" w:space="0" w:color="auto"/>
      </w:divBdr>
    </w:div>
    <w:div w:id="1261060834">
      <w:bodyDiv w:val="1"/>
      <w:marLeft w:val="0"/>
      <w:marRight w:val="0"/>
      <w:marTop w:val="0"/>
      <w:marBottom w:val="0"/>
      <w:divBdr>
        <w:top w:val="none" w:sz="0" w:space="0" w:color="auto"/>
        <w:left w:val="none" w:sz="0" w:space="0" w:color="auto"/>
        <w:bottom w:val="none" w:sz="0" w:space="0" w:color="auto"/>
        <w:right w:val="none" w:sz="0" w:space="0" w:color="auto"/>
      </w:divBdr>
      <w:divsChild>
        <w:div w:id="296692794">
          <w:marLeft w:val="0"/>
          <w:marRight w:val="0"/>
          <w:marTop w:val="0"/>
          <w:marBottom w:val="0"/>
          <w:divBdr>
            <w:top w:val="none" w:sz="0" w:space="0" w:color="auto"/>
            <w:left w:val="none" w:sz="0" w:space="0" w:color="auto"/>
            <w:bottom w:val="dotted" w:sz="6" w:space="4" w:color="DDDDDD"/>
            <w:right w:val="none" w:sz="0" w:space="0" w:color="auto"/>
          </w:divBdr>
          <w:divsChild>
            <w:div w:id="111517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183532">
      <w:bodyDiv w:val="1"/>
      <w:marLeft w:val="0"/>
      <w:marRight w:val="0"/>
      <w:marTop w:val="0"/>
      <w:marBottom w:val="0"/>
      <w:divBdr>
        <w:top w:val="none" w:sz="0" w:space="0" w:color="auto"/>
        <w:left w:val="none" w:sz="0" w:space="0" w:color="auto"/>
        <w:bottom w:val="none" w:sz="0" w:space="0" w:color="auto"/>
        <w:right w:val="none" w:sz="0" w:space="0" w:color="auto"/>
      </w:divBdr>
      <w:divsChild>
        <w:div w:id="415177949">
          <w:marLeft w:val="0"/>
          <w:marRight w:val="0"/>
          <w:marTop w:val="0"/>
          <w:marBottom w:val="0"/>
          <w:divBdr>
            <w:top w:val="none" w:sz="0" w:space="0" w:color="auto"/>
            <w:left w:val="none" w:sz="0" w:space="0" w:color="auto"/>
            <w:bottom w:val="none" w:sz="0" w:space="0" w:color="auto"/>
            <w:right w:val="none" w:sz="0" w:space="0" w:color="auto"/>
          </w:divBdr>
          <w:divsChild>
            <w:div w:id="953749659">
              <w:marLeft w:val="0"/>
              <w:marRight w:val="0"/>
              <w:marTop w:val="0"/>
              <w:marBottom w:val="0"/>
              <w:divBdr>
                <w:top w:val="none" w:sz="0" w:space="0" w:color="auto"/>
                <w:left w:val="none" w:sz="0" w:space="0" w:color="auto"/>
                <w:bottom w:val="none" w:sz="0" w:space="0" w:color="auto"/>
                <w:right w:val="none" w:sz="0" w:space="0" w:color="auto"/>
              </w:divBdr>
              <w:divsChild>
                <w:div w:id="902106571">
                  <w:marLeft w:val="0"/>
                  <w:marRight w:val="0"/>
                  <w:marTop w:val="0"/>
                  <w:marBottom w:val="0"/>
                  <w:divBdr>
                    <w:top w:val="none" w:sz="0" w:space="0" w:color="auto"/>
                    <w:left w:val="none" w:sz="0" w:space="0" w:color="auto"/>
                    <w:bottom w:val="none" w:sz="0" w:space="0" w:color="auto"/>
                    <w:right w:val="none" w:sz="0" w:space="0" w:color="auto"/>
                  </w:divBdr>
                  <w:divsChild>
                    <w:div w:id="1342464488">
                      <w:marLeft w:val="0"/>
                      <w:marRight w:val="0"/>
                      <w:marTop w:val="0"/>
                      <w:marBottom w:val="0"/>
                      <w:divBdr>
                        <w:top w:val="none" w:sz="0" w:space="0" w:color="auto"/>
                        <w:left w:val="none" w:sz="0" w:space="0" w:color="auto"/>
                        <w:bottom w:val="none" w:sz="0" w:space="0" w:color="auto"/>
                        <w:right w:val="none" w:sz="0" w:space="0" w:color="auto"/>
                      </w:divBdr>
                      <w:divsChild>
                        <w:div w:id="798035270">
                          <w:marLeft w:val="0"/>
                          <w:marRight w:val="0"/>
                          <w:marTop w:val="0"/>
                          <w:marBottom w:val="0"/>
                          <w:divBdr>
                            <w:top w:val="none" w:sz="0" w:space="0" w:color="auto"/>
                            <w:left w:val="none" w:sz="0" w:space="0" w:color="auto"/>
                            <w:bottom w:val="none" w:sz="0" w:space="0" w:color="auto"/>
                            <w:right w:val="none" w:sz="0" w:space="0" w:color="auto"/>
                          </w:divBdr>
                          <w:divsChild>
                            <w:div w:id="108796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1258264">
      <w:bodyDiv w:val="1"/>
      <w:marLeft w:val="0"/>
      <w:marRight w:val="0"/>
      <w:marTop w:val="0"/>
      <w:marBottom w:val="0"/>
      <w:divBdr>
        <w:top w:val="none" w:sz="0" w:space="0" w:color="auto"/>
        <w:left w:val="none" w:sz="0" w:space="0" w:color="auto"/>
        <w:bottom w:val="none" w:sz="0" w:space="0" w:color="auto"/>
        <w:right w:val="none" w:sz="0" w:space="0" w:color="auto"/>
      </w:divBdr>
    </w:div>
    <w:div w:id="1262032878">
      <w:bodyDiv w:val="1"/>
      <w:marLeft w:val="0"/>
      <w:marRight w:val="0"/>
      <w:marTop w:val="0"/>
      <w:marBottom w:val="0"/>
      <w:divBdr>
        <w:top w:val="none" w:sz="0" w:space="0" w:color="auto"/>
        <w:left w:val="none" w:sz="0" w:space="0" w:color="auto"/>
        <w:bottom w:val="none" w:sz="0" w:space="0" w:color="auto"/>
        <w:right w:val="none" w:sz="0" w:space="0" w:color="auto"/>
      </w:divBdr>
      <w:divsChild>
        <w:div w:id="292372229">
          <w:marLeft w:val="0"/>
          <w:marRight w:val="0"/>
          <w:marTop w:val="0"/>
          <w:marBottom w:val="0"/>
          <w:divBdr>
            <w:top w:val="none" w:sz="0" w:space="0" w:color="auto"/>
            <w:left w:val="none" w:sz="0" w:space="0" w:color="auto"/>
            <w:bottom w:val="dotted" w:sz="6" w:space="4" w:color="DDDDDD"/>
            <w:right w:val="none" w:sz="0" w:space="0" w:color="auto"/>
          </w:divBdr>
          <w:divsChild>
            <w:div w:id="47429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298327">
      <w:bodyDiv w:val="1"/>
      <w:marLeft w:val="0"/>
      <w:marRight w:val="0"/>
      <w:marTop w:val="0"/>
      <w:marBottom w:val="0"/>
      <w:divBdr>
        <w:top w:val="none" w:sz="0" w:space="0" w:color="auto"/>
        <w:left w:val="none" w:sz="0" w:space="0" w:color="auto"/>
        <w:bottom w:val="none" w:sz="0" w:space="0" w:color="auto"/>
        <w:right w:val="none" w:sz="0" w:space="0" w:color="auto"/>
      </w:divBdr>
      <w:divsChild>
        <w:div w:id="1805467104">
          <w:marLeft w:val="0"/>
          <w:marRight w:val="0"/>
          <w:marTop w:val="0"/>
          <w:marBottom w:val="0"/>
          <w:divBdr>
            <w:top w:val="none" w:sz="0" w:space="0" w:color="auto"/>
            <w:left w:val="none" w:sz="0" w:space="0" w:color="auto"/>
            <w:bottom w:val="none" w:sz="0" w:space="0" w:color="auto"/>
            <w:right w:val="none" w:sz="0" w:space="0" w:color="auto"/>
          </w:divBdr>
        </w:div>
      </w:divsChild>
    </w:div>
    <w:div w:id="1262488522">
      <w:bodyDiv w:val="1"/>
      <w:marLeft w:val="0"/>
      <w:marRight w:val="0"/>
      <w:marTop w:val="0"/>
      <w:marBottom w:val="0"/>
      <w:divBdr>
        <w:top w:val="none" w:sz="0" w:space="0" w:color="auto"/>
        <w:left w:val="none" w:sz="0" w:space="0" w:color="auto"/>
        <w:bottom w:val="none" w:sz="0" w:space="0" w:color="auto"/>
        <w:right w:val="none" w:sz="0" w:space="0" w:color="auto"/>
      </w:divBdr>
      <w:divsChild>
        <w:div w:id="1459446713">
          <w:marLeft w:val="0"/>
          <w:marRight w:val="0"/>
          <w:marTop w:val="0"/>
          <w:marBottom w:val="0"/>
          <w:divBdr>
            <w:top w:val="none" w:sz="0" w:space="0" w:color="auto"/>
            <w:left w:val="none" w:sz="0" w:space="0" w:color="auto"/>
            <w:bottom w:val="none" w:sz="0" w:space="0" w:color="auto"/>
            <w:right w:val="none" w:sz="0" w:space="0" w:color="auto"/>
          </w:divBdr>
          <w:divsChild>
            <w:div w:id="974486632">
              <w:marLeft w:val="0"/>
              <w:marRight w:val="0"/>
              <w:marTop w:val="0"/>
              <w:marBottom w:val="0"/>
              <w:divBdr>
                <w:top w:val="none" w:sz="0" w:space="0" w:color="auto"/>
                <w:left w:val="none" w:sz="0" w:space="0" w:color="auto"/>
                <w:bottom w:val="none" w:sz="0" w:space="0" w:color="auto"/>
                <w:right w:val="none" w:sz="0" w:space="0" w:color="auto"/>
              </w:divBdr>
            </w:div>
            <w:div w:id="1411541483">
              <w:marLeft w:val="0"/>
              <w:marRight w:val="0"/>
              <w:marTop w:val="0"/>
              <w:marBottom w:val="150"/>
              <w:divBdr>
                <w:top w:val="none" w:sz="0" w:space="0" w:color="auto"/>
                <w:left w:val="none" w:sz="0" w:space="0" w:color="auto"/>
                <w:bottom w:val="none" w:sz="0" w:space="0" w:color="auto"/>
                <w:right w:val="none" w:sz="0" w:space="0" w:color="auto"/>
              </w:divBdr>
            </w:div>
          </w:divsChild>
        </w:div>
        <w:div w:id="1737702706">
          <w:marLeft w:val="0"/>
          <w:marRight w:val="0"/>
          <w:marTop w:val="0"/>
          <w:marBottom w:val="150"/>
          <w:divBdr>
            <w:top w:val="none" w:sz="0" w:space="0" w:color="auto"/>
            <w:left w:val="none" w:sz="0" w:space="0" w:color="auto"/>
            <w:bottom w:val="none" w:sz="0" w:space="0" w:color="auto"/>
            <w:right w:val="none" w:sz="0" w:space="0" w:color="auto"/>
          </w:divBdr>
          <w:divsChild>
            <w:div w:id="158448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07877">
      <w:bodyDiv w:val="1"/>
      <w:marLeft w:val="0"/>
      <w:marRight w:val="0"/>
      <w:marTop w:val="0"/>
      <w:marBottom w:val="0"/>
      <w:divBdr>
        <w:top w:val="none" w:sz="0" w:space="0" w:color="auto"/>
        <w:left w:val="none" w:sz="0" w:space="0" w:color="auto"/>
        <w:bottom w:val="none" w:sz="0" w:space="0" w:color="auto"/>
        <w:right w:val="none" w:sz="0" w:space="0" w:color="auto"/>
      </w:divBdr>
    </w:div>
    <w:div w:id="1263144982">
      <w:bodyDiv w:val="1"/>
      <w:marLeft w:val="0"/>
      <w:marRight w:val="0"/>
      <w:marTop w:val="0"/>
      <w:marBottom w:val="0"/>
      <w:divBdr>
        <w:top w:val="none" w:sz="0" w:space="0" w:color="auto"/>
        <w:left w:val="none" w:sz="0" w:space="0" w:color="auto"/>
        <w:bottom w:val="none" w:sz="0" w:space="0" w:color="auto"/>
        <w:right w:val="none" w:sz="0" w:space="0" w:color="auto"/>
      </w:divBdr>
      <w:divsChild>
        <w:div w:id="1403680475">
          <w:marLeft w:val="0"/>
          <w:marRight w:val="0"/>
          <w:marTop w:val="0"/>
          <w:marBottom w:val="0"/>
          <w:divBdr>
            <w:top w:val="none" w:sz="0" w:space="0" w:color="auto"/>
            <w:left w:val="none" w:sz="0" w:space="0" w:color="auto"/>
            <w:bottom w:val="dotted" w:sz="6" w:space="4" w:color="DDDDDD"/>
            <w:right w:val="none" w:sz="0" w:space="0" w:color="auto"/>
          </w:divBdr>
        </w:div>
      </w:divsChild>
    </w:div>
    <w:div w:id="1263950086">
      <w:bodyDiv w:val="1"/>
      <w:marLeft w:val="0"/>
      <w:marRight w:val="0"/>
      <w:marTop w:val="0"/>
      <w:marBottom w:val="0"/>
      <w:divBdr>
        <w:top w:val="none" w:sz="0" w:space="0" w:color="auto"/>
        <w:left w:val="none" w:sz="0" w:space="0" w:color="auto"/>
        <w:bottom w:val="none" w:sz="0" w:space="0" w:color="auto"/>
        <w:right w:val="none" w:sz="0" w:space="0" w:color="auto"/>
      </w:divBdr>
      <w:divsChild>
        <w:div w:id="618877853">
          <w:marLeft w:val="0"/>
          <w:marRight w:val="0"/>
          <w:marTop w:val="0"/>
          <w:marBottom w:val="0"/>
          <w:divBdr>
            <w:top w:val="none" w:sz="0" w:space="0" w:color="auto"/>
            <w:left w:val="none" w:sz="0" w:space="0" w:color="auto"/>
            <w:bottom w:val="none" w:sz="0" w:space="0" w:color="auto"/>
            <w:right w:val="none" w:sz="0" w:space="0" w:color="auto"/>
          </w:divBdr>
        </w:div>
        <w:div w:id="1595169321">
          <w:marLeft w:val="0"/>
          <w:marRight w:val="0"/>
          <w:marTop w:val="0"/>
          <w:marBottom w:val="0"/>
          <w:divBdr>
            <w:top w:val="none" w:sz="0" w:space="0" w:color="auto"/>
            <w:left w:val="none" w:sz="0" w:space="0" w:color="auto"/>
            <w:bottom w:val="none" w:sz="0" w:space="0" w:color="auto"/>
            <w:right w:val="none" w:sz="0" w:space="0" w:color="auto"/>
          </w:divBdr>
        </w:div>
        <w:div w:id="1796604469">
          <w:marLeft w:val="0"/>
          <w:marRight w:val="0"/>
          <w:marTop w:val="0"/>
          <w:marBottom w:val="0"/>
          <w:divBdr>
            <w:top w:val="none" w:sz="0" w:space="0" w:color="auto"/>
            <w:left w:val="none" w:sz="0" w:space="0" w:color="auto"/>
            <w:bottom w:val="none" w:sz="0" w:space="0" w:color="auto"/>
            <w:right w:val="none" w:sz="0" w:space="0" w:color="auto"/>
          </w:divBdr>
        </w:div>
      </w:divsChild>
    </w:div>
    <w:div w:id="1264024274">
      <w:bodyDiv w:val="1"/>
      <w:marLeft w:val="0"/>
      <w:marRight w:val="0"/>
      <w:marTop w:val="0"/>
      <w:marBottom w:val="0"/>
      <w:divBdr>
        <w:top w:val="none" w:sz="0" w:space="0" w:color="auto"/>
        <w:left w:val="none" w:sz="0" w:space="0" w:color="auto"/>
        <w:bottom w:val="none" w:sz="0" w:space="0" w:color="auto"/>
        <w:right w:val="none" w:sz="0" w:space="0" w:color="auto"/>
      </w:divBdr>
      <w:divsChild>
        <w:div w:id="839731097">
          <w:marLeft w:val="0"/>
          <w:marRight w:val="0"/>
          <w:marTop w:val="0"/>
          <w:marBottom w:val="0"/>
          <w:divBdr>
            <w:top w:val="none" w:sz="0" w:space="0" w:color="auto"/>
            <w:left w:val="none" w:sz="0" w:space="0" w:color="auto"/>
            <w:bottom w:val="none" w:sz="0" w:space="0" w:color="auto"/>
            <w:right w:val="none" w:sz="0" w:space="0" w:color="auto"/>
          </w:divBdr>
          <w:divsChild>
            <w:div w:id="1162309207">
              <w:marLeft w:val="0"/>
              <w:marRight w:val="0"/>
              <w:marTop w:val="0"/>
              <w:marBottom w:val="150"/>
              <w:divBdr>
                <w:top w:val="none" w:sz="0" w:space="0" w:color="auto"/>
                <w:left w:val="none" w:sz="0" w:space="0" w:color="auto"/>
                <w:bottom w:val="none" w:sz="0" w:space="0" w:color="auto"/>
                <w:right w:val="none" w:sz="0" w:space="0" w:color="auto"/>
              </w:divBdr>
            </w:div>
            <w:div w:id="1807889116">
              <w:marLeft w:val="0"/>
              <w:marRight w:val="0"/>
              <w:marTop w:val="0"/>
              <w:marBottom w:val="0"/>
              <w:divBdr>
                <w:top w:val="none" w:sz="0" w:space="0" w:color="auto"/>
                <w:left w:val="none" w:sz="0" w:space="0" w:color="auto"/>
                <w:bottom w:val="none" w:sz="0" w:space="0" w:color="auto"/>
                <w:right w:val="none" w:sz="0" w:space="0" w:color="auto"/>
              </w:divBdr>
            </w:div>
          </w:divsChild>
        </w:div>
        <w:div w:id="1579174749">
          <w:marLeft w:val="0"/>
          <w:marRight w:val="0"/>
          <w:marTop w:val="0"/>
          <w:marBottom w:val="150"/>
          <w:divBdr>
            <w:top w:val="none" w:sz="0" w:space="0" w:color="auto"/>
            <w:left w:val="none" w:sz="0" w:space="0" w:color="auto"/>
            <w:bottom w:val="none" w:sz="0" w:space="0" w:color="auto"/>
            <w:right w:val="none" w:sz="0" w:space="0" w:color="auto"/>
          </w:divBdr>
          <w:divsChild>
            <w:div w:id="178869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28674">
      <w:bodyDiv w:val="1"/>
      <w:marLeft w:val="0"/>
      <w:marRight w:val="0"/>
      <w:marTop w:val="0"/>
      <w:marBottom w:val="0"/>
      <w:divBdr>
        <w:top w:val="none" w:sz="0" w:space="0" w:color="auto"/>
        <w:left w:val="none" w:sz="0" w:space="0" w:color="auto"/>
        <w:bottom w:val="none" w:sz="0" w:space="0" w:color="auto"/>
        <w:right w:val="none" w:sz="0" w:space="0" w:color="auto"/>
      </w:divBdr>
      <w:divsChild>
        <w:div w:id="186063839">
          <w:marLeft w:val="0"/>
          <w:marRight w:val="0"/>
          <w:marTop w:val="0"/>
          <w:marBottom w:val="0"/>
          <w:divBdr>
            <w:top w:val="none" w:sz="0" w:space="0" w:color="auto"/>
            <w:left w:val="none" w:sz="0" w:space="0" w:color="auto"/>
            <w:bottom w:val="dotted" w:sz="6" w:space="4" w:color="DDDDDD"/>
            <w:right w:val="none" w:sz="0" w:space="0" w:color="auto"/>
          </w:divBdr>
          <w:divsChild>
            <w:div w:id="13226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75034">
      <w:bodyDiv w:val="1"/>
      <w:marLeft w:val="0"/>
      <w:marRight w:val="0"/>
      <w:marTop w:val="0"/>
      <w:marBottom w:val="0"/>
      <w:divBdr>
        <w:top w:val="none" w:sz="0" w:space="0" w:color="auto"/>
        <w:left w:val="none" w:sz="0" w:space="0" w:color="auto"/>
        <w:bottom w:val="none" w:sz="0" w:space="0" w:color="auto"/>
        <w:right w:val="none" w:sz="0" w:space="0" w:color="auto"/>
      </w:divBdr>
      <w:divsChild>
        <w:div w:id="505024385">
          <w:marLeft w:val="0"/>
          <w:marRight w:val="0"/>
          <w:marTop w:val="0"/>
          <w:marBottom w:val="0"/>
          <w:divBdr>
            <w:top w:val="none" w:sz="0" w:space="0" w:color="auto"/>
            <w:left w:val="none" w:sz="0" w:space="0" w:color="auto"/>
            <w:bottom w:val="none" w:sz="0" w:space="0" w:color="auto"/>
            <w:right w:val="none" w:sz="0" w:space="0" w:color="auto"/>
          </w:divBdr>
          <w:divsChild>
            <w:div w:id="1108621413">
              <w:marLeft w:val="0"/>
              <w:marRight w:val="0"/>
              <w:marTop w:val="0"/>
              <w:marBottom w:val="225"/>
              <w:divBdr>
                <w:top w:val="none" w:sz="0" w:space="0" w:color="auto"/>
                <w:left w:val="none" w:sz="0" w:space="0" w:color="auto"/>
                <w:bottom w:val="none" w:sz="0" w:space="0" w:color="auto"/>
                <w:right w:val="none" w:sz="0" w:space="0" w:color="auto"/>
              </w:divBdr>
              <w:divsChild>
                <w:div w:id="190074420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991253680">
          <w:marLeft w:val="0"/>
          <w:marRight w:val="0"/>
          <w:marTop w:val="0"/>
          <w:marBottom w:val="150"/>
          <w:divBdr>
            <w:top w:val="none" w:sz="0" w:space="0" w:color="auto"/>
            <w:left w:val="none" w:sz="0" w:space="0" w:color="auto"/>
            <w:bottom w:val="none" w:sz="0" w:space="0" w:color="auto"/>
            <w:right w:val="none" w:sz="0" w:space="0" w:color="auto"/>
          </w:divBdr>
        </w:div>
      </w:divsChild>
    </w:div>
    <w:div w:id="1265727080">
      <w:bodyDiv w:val="1"/>
      <w:marLeft w:val="0"/>
      <w:marRight w:val="0"/>
      <w:marTop w:val="0"/>
      <w:marBottom w:val="0"/>
      <w:divBdr>
        <w:top w:val="none" w:sz="0" w:space="0" w:color="auto"/>
        <w:left w:val="none" w:sz="0" w:space="0" w:color="auto"/>
        <w:bottom w:val="none" w:sz="0" w:space="0" w:color="auto"/>
        <w:right w:val="none" w:sz="0" w:space="0" w:color="auto"/>
      </w:divBdr>
    </w:div>
    <w:div w:id="1265773044">
      <w:bodyDiv w:val="1"/>
      <w:marLeft w:val="0"/>
      <w:marRight w:val="0"/>
      <w:marTop w:val="0"/>
      <w:marBottom w:val="0"/>
      <w:divBdr>
        <w:top w:val="none" w:sz="0" w:space="0" w:color="auto"/>
        <w:left w:val="none" w:sz="0" w:space="0" w:color="auto"/>
        <w:bottom w:val="none" w:sz="0" w:space="0" w:color="auto"/>
        <w:right w:val="none" w:sz="0" w:space="0" w:color="auto"/>
      </w:divBdr>
      <w:divsChild>
        <w:div w:id="1477869545">
          <w:marLeft w:val="0"/>
          <w:marRight w:val="0"/>
          <w:marTop w:val="0"/>
          <w:marBottom w:val="0"/>
          <w:divBdr>
            <w:top w:val="none" w:sz="0" w:space="0" w:color="auto"/>
            <w:left w:val="none" w:sz="0" w:space="0" w:color="auto"/>
            <w:bottom w:val="none" w:sz="0" w:space="0" w:color="auto"/>
            <w:right w:val="none" w:sz="0" w:space="0" w:color="auto"/>
          </w:divBdr>
        </w:div>
      </w:divsChild>
    </w:div>
    <w:div w:id="1266032755">
      <w:bodyDiv w:val="1"/>
      <w:marLeft w:val="0"/>
      <w:marRight w:val="0"/>
      <w:marTop w:val="0"/>
      <w:marBottom w:val="0"/>
      <w:divBdr>
        <w:top w:val="none" w:sz="0" w:space="0" w:color="auto"/>
        <w:left w:val="none" w:sz="0" w:space="0" w:color="auto"/>
        <w:bottom w:val="none" w:sz="0" w:space="0" w:color="auto"/>
        <w:right w:val="none" w:sz="0" w:space="0" w:color="auto"/>
      </w:divBdr>
      <w:divsChild>
        <w:div w:id="428817247">
          <w:marLeft w:val="0"/>
          <w:marRight w:val="0"/>
          <w:marTop w:val="0"/>
          <w:marBottom w:val="0"/>
          <w:divBdr>
            <w:top w:val="none" w:sz="0" w:space="0" w:color="auto"/>
            <w:left w:val="none" w:sz="0" w:space="0" w:color="auto"/>
            <w:bottom w:val="none" w:sz="0" w:space="0" w:color="auto"/>
            <w:right w:val="none" w:sz="0" w:space="0" w:color="auto"/>
          </w:divBdr>
        </w:div>
        <w:div w:id="1029258409">
          <w:marLeft w:val="0"/>
          <w:marRight w:val="0"/>
          <w:marTop w:val="0"/>
          <w:marBottom w:val="0"/>
          <w:divBdr>
            <w:top w:val="none" w:sz="0" w:space="0" w:color="auto"/>
            <w:left w:val="none" w:sz="0" w:space="0" w:color="auto"/>
            <w:bottom w:val="none" w:sz="0" w:space="0" w:color="auto"/>
            <w:right w:val="none" w:sz="0" w:space="0" w:color="auto"/>
          </w:divBdr>
        </w:div>
      </w:divsChild>
    </w:div>
    <w:div w:id="1266229120">
      <w:bodyDiv w:val="1"/>
      <w:marLeft w:val="0"/>
      <w:marRight w:val="0"/>
      <w:marTop w:val="0"/>
      <w:marBottom w:val="0"/>
      <w:divBdr>
        <w:top w:val="none" w:sz="0" w:space="0" w:color="auto"/>
        <w:left w:val="none" w:sz="0" w:space="0" w:color="auto"/>
        <w:bottom w:val="none" w:sz="0" w:space="0" w:color="auto"/>
        <w:right w:val="none" w:sz="0" w:space="0" w:color="auto"/>
      </w:divBdr>
      <w:divsChild>
        <w:div w:id="1276013968">
          <w:marLeft w:val="0"/>
          <w:marRight w:val="0"/>
          <w:marTop w:val="0"/>
          <w:marBottom w:val="0"/>
          <w:divBdr>
            <w:top w:val="none" w:sz="0" w:space="0" w:color="auto"/>
            <w:left w:val="none" w:sz="0" w:space="0" w:color="auto"/>
            <w:bottom w:val="none" w:sz="0" w:space="0" w:color="auto"/>
            <w:right w:val="none" w:sz="0" w:space="0" w:color="auto"/>
          </w:divBdr>
          <w:divsChild>
            <w:div w:id="248318605">
              <w:marLeft w:val="0"/>
              <w:marRight w:val="0"/>
              <w:marTop w:val="0"/>
              <w:marBottom w:val="0"/>
              <w:divBdr>
                <w:top w:val="none" w:sz="0" w:space="0" w:color="auto"/>
                <w:left w:val="none" w:sz="0" w:space="0" w:color="auto"/>
                <w:bottom w:val="none" w:sz="0" w:space="0" w:color="auto"/>
                <w:right w:val="none" w:sz="0" w:space="0" w:color="auto"/>
              </w:divBdr>
              <w:divsChild>
                <w:div w:id="1222794016">
                  <w:marLeft w:val="0"/>
                  <w:marRight w:val="0"/>
                  <w:marTop w:val="0"/>
                  <w:marBottom w:val="0"/>
                  <w:divBdr>
                    <w:top w:val="none" w:sz="0" w:space="0" w:color="auto"/>
                    <w:left w:val="none" w:sz="0" w:space="0" w:color="auto"/>
                    <w:bottom w:val="none" w:sz="0" w:space="0" w:color="auto"/>
                    <w:right w:val="none" w:sz="0" w:space="0" w:color="auto"/>
                  </w:divBdr>
                  <w:divsChild>
                    <w:div w:id="301345673">
                      <w:marLeft w:val="0"/>
                      <w:marRight w:val="0"/>
                      <w:marTop w:val="0"/>
                      <w:marBottom w:val="0"/>
                      <w:divBdr>
                        <w:top w:val="none" w:sz="0" w:space="0" w:color="auto"/>
                        <w:left w:val="none" w:sz="0" w:space="0" w:color="auto"/>
                        <w:bottom w:val="none" w:sz="0" w:space="0" w:color="auto"/>
                        <w:right w:val="none" w:sz="0" w:space="0" w:color="auto"/>
                      </w:divBdr>
                      <w:divsChild>
                        <w:div w:id="2072732129">
                          <w:marLeft w:val="0"/>
                          <w:marRight w:val="0"/>
                          <w:marTop w:val="0"/>
                          <w:marBottom w:val="0"/>
                          <w:divBdr>
                            <w:top w:val="none" w:sz="0" w:space="0" w:color="auto"/>
                            <w:left w:val="none" w:sz="0" w:space="0" w:color="auto"/>
                            <w:bottom w:val="none" w:sz="0" w:space="0" w:color="auto"/>
                            <w:right w:val="none" w:sz="0" w:space="0" w:color="auto"/>
                          </w:divBdr>
                          <w:divsChild>
                            <w:div w:id="2062560666">
                              <w:marLeft w:val="0"/>
                              <w:marRight w:val="0"/>
                              <w:marTop w:val="0"/>
                              <w:marBottom w:val="0"/>
                              <w:divBdr>
                                <w:top w:val="none" w:sz="0" w:space="0" w:color="auto"/>
                                <w:left w:val="none" w:sz="0" w:space="0" w:color="auto"/>
                                <w:bottom w:val="none" w:sz="0" w:space="0" w:color="auto"/>
                                <w:right w:val="none" w:sz="0" w:space="0" w:color="auto"/>
                              </w:divBdr>
                              <w:divsChild>
                                <w:div w:id="671837895">
                                  <w:marLeft w:val="0"/>
                                  <w:marRight w:val="0"/>
                                  <w:marTop w:val="0"/>
                                  <w:marBottom w:val="0"/>
                                  <w:divBdr>
                                    <w:top w:val="none" w:sz="0" w:space="0" w:color="auto"/>
                                    <w:left w:val="none" w:sz="0" w:space="0" w:color="auto"/>
                                    <w:bottom w:val="none" w:sz="0" w:space="0" w:color="auto"/>
                                    <w:right w:val="none" w:sz="0" w:space="0" w:color="auto"/>
                                  </w:divBdr>
                                  <w:divsChild>
                                    <w:div w:id="39481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6353170">
      <w:bodyDiv w:val="1"/>
      <w:marLeft w:val="0"/>
      <w:marRight w:val="0"/>
      <w:marTop w:val="0"/>
      <w:marBottom w:val="0"/>
      <w:divBdr>
        <w:top w:val="none" w:sz="0" w:space="0" w:color="auto"/>
        <w:left w:val="none" w:sz="0" w:space="0" w:color="auto"/>
        <w:bottom w:val="none" w:sz="0" w:space="0" w:color="auto"/>
        <w:right w:val="none" w:sz="0" w:space="0" w:color="auto"/>
      </w:divBdr>
      <w:divsChild>
        <w:div w:id="996149084">
          <w:marLeft w:val="0"/>
          <w:marRight w:val="0"/>
          <w:marTop w:val="0"/>
          <w:marBottom w:val="0"/>
          <w:divBdr>
            <w:top w:val="none" w:sz="0" w:space="0" w:color="auto"/>
            <w:left w:val="none" w:sz="0" w:space="0" w:color="auto"/>
            <w:bottom w:val="dotted" w:sz="6" w:space="4" w:color="DDDDDD"/>
            <w:right w:val="none" w:sz="0" w:space="0" w:color="auto"/>
          </w:divBdr>
          <w:divsChild>
            <w:div w:id="163606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958082">
      <w:bodyDiv w:val="1"/>
      <w:marLeft w:val="0"/>
      <w:marRight w:val="0"/>
      <w:marTop w:val="0"/>
      <w:marBottom w:val="0"/>
      <w:divBdr>
        <w:top w:val="none" w:sz="0" w:space="0" w:color="auto"/>
        <w:left w:val="none" w:sz="0" w:space="0" w:color="auto"/>
        <w:bottom w:val="none" w:sz="0" w:space="0" w:color="auto"/>
        <w:right w:val="none" w:sz="0" w:space="0" w:color="auto"/>
      </w:divBdr>
      <w:divsChild>
        <w:div w:id="780414561">
          <w:marLeft w:val="0"/>
          <w:marRight w:val="0"/>
          <w:marTop w:val="0"/>
          <w:marBottom w:val="0"/>
          <w:divBdr>
            <w:top w:val="none" w:sz="0" w:space="0" w:color="auto"/>
            <w:left w:val="none" w:sz="0" w:space="0" w:color="auto"/>
            <w:bottom w:val="dotted" w:sz="6" w:space="4" w:color="DDDDDD"/>
            <w:right w:val="none" w:sz="0" w:space="0" w:color="auto"/>
          </w:divBdr>
        </w:div>
      </w:divsChild>
    </w:div>
    <w:div w:id="1267037115">
      <w:bodyDiv w:val="1"/>
      <w:marLeft w:val="0"/>
      <w:marRight w:val="0"/>
      <w:marTop w:val="0"/>
      <w:marBottom w:val="0"/>
      <w:divBdr>
        <w:top w:val="none" w:sz="0" w:space="0" w:color="auto"/>
        <w:left w:val="none" w:sz="0" w:space="0" w:color="auto"/>
        <w:bottom w:val="none" w:sz="0" w:space="0" w:color="auto"/>
        <w:right w:val="none" w:sz="0" w:space="0" w:color="auto"/>
      </w:divBdr>
      <w:divsChild>
        <w:div w:id="951788726">
          <w:marLeft w:val="0"/>
          <w:marRight w:val="0"/>
          <w:marTop w:val="0"/>
          <w:marBottom w:val="75"/>
          <w:divBdr>
            <w:top w:val="none" w:sz="0" w:space="0" w:color="auto"/>
            <w:left w:val="none" w:sz="0" w:space="0" w:color="auto"/>
            <w:bottom w:val="none" w:sz="0" w:space="0" w:color="auto"/>
            <w:right w:val="none" w:sz="0" w:space="0" w:color="auto"/>
          </w:divBdr>
        </w:div>
        <w:div w:id="986205044">
          <w:marLeft w:val="0"/>
          <w:marRight w:val="0"/>
          <w:marTop w:val="0"/>
          <w:marBottom w:val="0"/>
          <w:divBdr>
            <w:top w:val="none" w:sz="0" w:space="0" w:color="auto"/>
            <w:left w:val="none" w:sz="0" w:space="0" w:color="auto"/>
            <w:bottom w:val="none" w:sz="0" w:space="0" w:color="auto"/>
            <w:right w:val="none" w:sz="0" w:space="0" w:color="auto"/>
          </w:divBdr>
          <w:divsChild>
            <w:div w:id="1063025190">
              <w:marLeft w:val="0"/>
              <w:marRight w:val="0"/>
              <w:marTop w:val="0"/>
              <w:marBottom w:val="0"/>
              <w:divBdr>
                <w:top w:val="none" w:sz="0" w:space="0" w:color="auto"/>
                <w:left w:val="none" w:sz="0" w:space="0" w:color="auto"/>
                <w:bottom w:val="none" w:sz="0" w:space="0" w:color="auto"/>
                <w:right w:val="none" w:sz="0" w:space="0" w:color="auto"/>
              </w:divBdr>
              <w:divsChild>
                <w:div w:id="1112867628">
                  <w:marLeft w:val="0"/>
                  <w:marRight w:val="0"/>
                  <w:marTop w:val="0"/>
                  <w:marBottom w:val="150"/>
                  <w:divBdr>
                    <w:top w:val="none" w:sz="0" w:space="0" w:color="auto"/>
                    <w:left w:val="none" w:sz="0" w:space="0" w:color="auto"/>
                    <w:bottom w:val="none" w:sz="0" w:space="0" w:color="auto"/>
                    <w:right w:val="none" w:sz="0" w:space="0" w:color="auto"/>
                  </w:divBdr>
                  <w:divsChild>
                    <w:div w:id="18753829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34144679">
          <w:marLeft w:val="0"/>
          <w:marRight w:val="0"/>
          <w:marTop w:val="0"/>
          <w:marBottom w:val="0"/>
          <w:divBdr>
            <w:top w:val="none" w:sz="0" w:space="0" w:color="auto"/>
            <w:left w:val="none" w:sz="0" w:space="0" w:color="auto"/>
            <w:bottom w:val="none" w:sz="0" w:space="0" w:color="auto"/>
            <w:right w:val="none" w:sz="0" w:space="0" w:color="auto"/>
          </w:divBdr>
          <w:divsChild>
            <w:div w:id="974069140">
              <w:marLeft w:val="0"/>
              <w:marRight w:val="0"/>
              <w:marTop w:val="0"/>
              <w:marBottom w:val="0"/>
              <w:divBdr>
                <w:top w:val="none" w:sz="0" w:space="0" w:color="auto"/>
                <w:left w:val="none" w:sz="0" w:space="0" w:color="auto"/>
                <w:bottom w:val="none" w:sz="0" w:space="0" w:color="auto"/>
                <w:right w:val="none" w:sz="0" w:space="0" w:color="auto"/>
              </w:divBdr>
              <w:divsChild>
                <w:div w:id="163139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158811">
      <w:bodyDiv w:val="1"/>
      <w:marLeft w:val="0"/>
      <w:marRight w:val="0"/>
      <w:marTop w:val="0"/>
      <w:marBottom w:val="0"/>
      <w:divBdr>
        <w:top w:val="none" w:sz="0" w:space="0" w:color="auto"/>
        <w:left w:val="none" w:sz="0" w:space="0" w:color="auto"/>
        <w:bottom w:val="none" w:sz="0" w:space="0" w:color="auto"/>
        <w:right w:val="none" w:sz="0" w:space="0" w:color="auto"/>
      </w:divBdr>
      <w:divsChild>
        <w:div w:id="1840462253">
          <w:marLeft w:val="0"/>
          <w:marRight w:val="0"/>
          <w:marTop w:val="0"/>
          <w:marBottom w:val="0"/>
          <w:divBdr>
            <w:top w:val="none" w:sz="0" w:space="0" w:color="auto"/>
            <w:left w:val="none" w:sz="0" w:space="0" w:color="auto"/>
            <w:bottom w:val="none" w:sz="0" w:space="0" w:color="auto"/>
            <w:right w:val="none" w:sz="0" w:space="0" w:color="auto"/>
          </w:divBdr>
        </w:div>
      </w:divsChild>
    </w:div>
    <w:div w:id="1267271935">
      <w:bodyDiv w:val="1"/>
      <w:marLeft w:val="0"/>
      <w:marRight w:val="0"/>
      <w:marTop w:val="0"/>
      <w:marBottom w:val="0"/>
      <w:divBdr>
        <w:top w:val="none" w:sz="0" w:space="0" w:color="auto"/>
        <w:left w:val="none" w:sz="0" w:space="0" w:color="auto"/>
        <w:bottom w:val="none" w:sz="0" w:space="0" w:color="auto"/>
        <w:right w:val="none" w:sz="0" w:space="0" w:color="auto"/>
      </w:divBdr>
    </w:div>
    <w:div w:id="1267418883">
      <w:bodyDiv w:val="1"/>
      <w:marLeft w:val="0"/>
      <w:marRight w:val="0"/>
      <w:marTop w:val="0"/>
      <w:marBottom w:val="0"/>
      <w:divBdr>
        <w:top w:val="none" w:sz="0" w:space="0" w:color="auto"/>
        <w:left w:val="none" w:sz="0" w:space="0" w:color="auto"/>
        <w:bottom w:val="none" w:sz="0" w:space="0" w:color="auto"/>
        <w:right w:val="none" w:sz="0" w:space="0" w:color="auto"/>
      </w:divBdr>
      <w:divsChild>
        <w:div w:id="708379530">
          <w:marLeft w:val="0"/>
          <w:marRight w:val="0"/>
          <w:marTop w:val="0"/>
          <w:marBottom w:val="0"/>
          <w:divBdr>
            <w:top w:val="none" w:sz="0" w:space="0" w:color="auto"/>
            <w:left w:val="none" w:sz="0" w:space="0" w:color="auto"/>
            <w:bottom w:val="none" w:sz="0" w:space="0" w:color="auto"/>
            <w:right w:val="none" w:sz="0" w:space="0" w:color="auto"/>
          </w:divBdr>
          <w:divsChild>
            <w:div w:id="14239322">
              <w:marLeft w:val="0"/>
              <w:marRight w:val="0"/>
              <w:marTop w:val="0"/>
              <w:marBottom w:val="150"/>
              <w:divBdr>
                <w:top w:val="none" w:sz="0" w:space="0" w:color="auto"/>
                <w:left w:val="none" w:sz="0" w:space="0" w:color="auto"/>
                <w:bottom w:val="none" w:sz="0" w:space="0" w:color="auto"/>
                <w:right w:val="none" w:sz="0" w:space="0" w:color="auto"/>
              </w:divBdr>
            </w:div>
            <w:div w:id="4117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420334">
      <w:bodyDiv w:val="1"/>
      <w:marLeft w:val="0"/>
      <w:marRight w:val="0"/>
      <w:marTop w:val="0"/>
      <w:marBottom w:val="0"/>
      <w:divBdr>
        <w:top w:val="none" w:sz="0" w:space="0" w:color="auto"/>
        <w:left w:val="none" w:sz="0" w:space="0" w:color="auto"/>
        <w:bottom w:val="none" w:sz="0" w:space="0" w:color="auto"/>
        <w:right w:val="none" w:sz="0" w:space="0" w:color="auto"/>
      </w:divBdr>
      <w:divsChild>
        <w:div w:id="655886125">
          <w:marLeft w:val="0"/>
          <w:marRight w:val="0"/>
          <w:marTop w:val="0"/>
          <w:marBottom w:val="0"/>
          <w:divBdr>
            <w:top w:val="none" w:sz="0" w:space="0" w:color="auto"/>
            <w:left w:val="none" w:sz="0" w:space="0" w:color="auto"/>
            <w:bottom w:val="dotted" w:sz="6" w:space="4" w:color="DDDDDD"/>
            <w:right w:val="none" w:sz="0" w:space="0" w:color="auto"/>
          </w:divBdr>
        </w:div>
      </w:divsChild>
    </w:div>
    <w:div w:id="1268582693">
      <w:bodyDiv w:val="1"/>
      <w:marLeft w:val="0"/>
      <w:marRight w:val="0"/>
      <w:marTop w:val="0"/>
      <w:marBottom w:val="0"/>
      <w:divBdr>
        <w:top w:val="none" w:sz="0" w:space="0" w:color="auto"/>
        <w:left w:val="none" w:sz="0" w:space="0" w:color="auto"/>
        <w:bottom w:val="none" w:sz="0" w:space="0" w:color="auto"/>
        <w:right w:val="none" w:sz="0" w:space="0" w:color="auto"/>
      </w:divBdr>
      <w:divsChild>
        <w:div w:id="1112869841">
          <w:marLeft w:val="0"/>
          <w:marRight w:val="0"/>
          <w:marTop w:val="0"/>
          <w:marBottom w:val="0"/>
          <w:divBdr>
            <w:top w:val="none" w:sz="0" w:space="0" w:color="auto"/>
            <w:left w:val="none" w:sz="0" w:space="0" w:color="auto"/>
            <w:bottom w:val="none" w:sz="0" w:space="0" w:color="auto"/>
            <w:right w:val="none" w:sz="0" w:space="0" w:color="auto"/>
          </w:divBdr>
        </w:div>
      </w:divsChild>
    </w:div>
    <w:div w:id="1268654582">
      <w:bodyDiv w:val="1"/>
      <w:marLeft w:val="0"/>
      <w:marRight w:val="0"/>
      <w:marTop w:val="0"/>
      <w:marBottom w:val="0"/>
      <w:divBdr>
        <w:top w:val="none" w:sz="0" w:space="0" w:color="auto"/>
        <w:left w:val="none" w:sz="0" w:space="0" w:color="auto"/>
        <w:bottom w:val="none" w:sz="0" w:space="0" w:color="auto"/>
        <w:right w:val="none" w:sz="0" w:space="0" w:color="auto"/>
      </w:divBdr>
      <w:divsChild>
        <w:div w:id="713887987">
          <w:marLeft w:val="0"/>
          <w:marRight w:val="0"/>
          <w:marTop w:val="0"/>
          <w:marBottom w:val="0"/>
          <w:divBdr>
            <w:top w:val="none" w:sz="0" w:space="0" w:color="auto"/>
            <w:left w:val="none" w:sz="0" w:space="0" w:color="auto"/>
            <w:bottom w:val="dotted" w:sz="6" w:space="4" w:color="DDDDDD"/>
            <w:right w:val="none" w:sz="0" w:space="0" w:color="auto"/>
          </w:divBdr>
        </w:div>
      </w:divsChild>
    </w:div>
    <w:div w:id="1269312186">
      <w:bodyDiv w:val="1"/>
      <w:marLeft w:val="0"/>
      <w:marRight w:val="0"/>
      <w:marTop w:val="0"/>
      <w:marBottom w:val="0"/>
      <w:divBdr>
        <w:top w:val="none" w:sz="0" w:space="0" w:color="auto"/>
        <w:left w:val="none" w:sz="0" w:space="0" w:color="auto"/>
        <w:bottom w:val="none" w:sz="0" w:space="0" w:color="auto"/>
        <w:right w:val="none" w:sz="0" w:space="0" w:color="auto"/>
      </w:divBdr>
      <w:divsChild>
        <w:div w:id="972753048">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518544179">
              <w:marLeft w:val="0"/>
              <w:marRight w:val="0"/>
              <w:marTop w:val="300"/>
              <w:marBottom w:val="300"/>
              <w:divBdr>
                <w:top w:val="none" w:sz="0" w:space="0" w:color="auto"/>
                <w:left w:val="none" w:sz="0" w:space="0" w:color="auto"/>
                <w:bottom w:val="none" w:sz="0" w:space="0" w:color="auto"/>
                <w:right w:val="none" w:sz="0" w:space="0" w:color="auto"/>
              </w:divBdr>
              <w:divsChild>
                <w:div w:id="749280574">
                  <w:marLeft w:val="0"/>
                  <w:marRight w:val="0"/>
                  <w:marTop w:val="0"/>
                  <w:marBottom w:val="0"/>
                  <w:divBdr>
                    <w:top w:val="none" w:sz="0" w:space="0" w:color="auto"/>
                    <w:left w:val="none" w:sz="0" w:space="0" w:color="auto"/>
                    <w:bottom w:val="none" w:sz="0" w:space="0" w:color="auto"/>
                    <w:right w:val="none" w:sz="0" w:space="0" w:color="auto"/>
                  </w:divBdr>
                  <w:divsChild>
                    <w:div w:id="630939129">
                      <w:marLeft w:val="0"/>
                      <w:marRight w:val="0"/>
                      <w:marTop w:val="0"/>
                      <w:marBottom w:val="0"/>
                      <w:divBdr>
                        <w:top w:val="none" w:sz="0" w:space="0" w:color="auto"/>
                        <w:left w:val="none" w:sz="0" w:space="0" w:color="auto"/>
                        <w:bottom w:val="none" w:sz="0" w:space="0" w:color="auto"/>
                        <w:right w:val="none" w:sz="0" w:space="0" w:color="auto"/>
                      </w:divBdr>
                      <w:divsChild>
                        <w:div w:id="1149205894">
                          <w:marLeft w:val="0"/>
                          <w:marRight w:val="0"/>
                          <w:marTop w:val="0"/>
                          <w:marBottom w:val="0"/>
                          <w:divBdr>
                            <w:top w:val="none" w:sz="0" w:space="0" w:color="auto"/>
                            <w:left w:val="none" w:sz="0" w:space="0" w:color="auto"/>
                            <w:bottom w:val="none" w:sz="0" w:space="0" w:color="auto"/>
                            <w:right w:val="none" w:sz="0" w:space="0" w:color="auto"/>
                          </w:divBdr>
                          <w:divsChild>
                            <w:div w:id="1367441355">
                              <w:marLeft w:val="0"/>
                              <w:marRight w:val="0"/>
                              <w:marTop w:val="0"/>
                              <w:marBottom w:val="0"/>
                              <w:divBdr>
                                <w:top w:val="none" w:sz="0" w:space="0" w:color="auto"/>
                                <w:left w:val="none" w:sz="0" w:space="0" w:color="auto"/>
                                <w:bottom w:val="none" w:sz="0" w:space="0" w:color="auto"/>
                                <w:right w:val="none" w:sz="0" w:space="0" w:color="auto"/>
                              </w:divBdr>
                              <w:divsChild>
                                <w:div w:id="1768386360">
                                  <w:marLeft w:val="0"/>
                                  <w:marRight w:val="0"/>
                                  <w:marTop w:val="0"/>
                                  <w:marBottom w:val="0"/>
                                  <w:divBdr>
                                    <w:top w:val="none" w:sz="0" w:space="0" w:color="auto"/>
                                    <w:left w:val="none" w:sz="0" w:space="0" w:color="auto"/>
                                    <w:bottom w:val="none" w:sz="0" w:space="0" w:color="auto"/>
                                    <w:right w:val="none" w:sz="0" w:space="0" w:color="auto"/>
                                  </w:divBdr>
                                  <w:divsChild>
                                    <w:div w:id="133938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9697539">
      <w:bodyDiv w:val="1"/>
      <w:marLeft w:val="0"/>
      <w:marRight w:val="0"/>
      <w:marTop w:val="0"/>
      <w:marBottom w:val="0"/>
      <w:divBdr>
        <w:top w:val="none" w:sz="0" w:space="0" w:color="auto"/>
        <w:left w:val="none" w:sz="0" w:space="0" w:color="auto"/>
        <w:bottom w:val="none" w:sz="0" w:space="0" w:color="auto"/>
        <w:right w:val="none" w:sz="0" w:space="0" w:color="auto"/>
      </w:divBdr>
      <w:divsChild>
        <w:div w:id="1933010943">
          <w:marLeft w:val="0"/>
          <w:marRight w:val="0"/>
          <w:marTop w:val="0"/>
          <w:marBottom w:val="0"/>
          <w:divBdr>
            <w:top w:val="none" w:sz="0" w:space="0" w:color="auto"/>
            <w:left w:val="none" w:sz="0" w:space="0" w:color="auto"/>
            <w:bottom w:val="none" w:sz="0" w:space="0" w:color="auto"/>
            <w:right w:val="none" w:sz="0" w:space="0" w:color="auto"/>
          </w:divBdr>
          <w:divsChild>
            <w:div w:id="2085760623">
              <w:marLeft w:val="0"/>
              <w:marRight w:val="0"/>
              <w:marTop w:val="0"/>
              <w:marBottom w:val="0"/>
              <w:divBdr>
                <w:top w:val="none" w:sz="0" w:space="0" w:color="auto"/>
                <w:left w:val="none" w:sz="0" w:space="0" w:color="auto"/>
                <w:bottom w:val="none" w:sz="0" w:space="0" w:color="auto"/>
                <w:right w:val="none" w:sz="0" w:space="0" w:color="auto"/>
              </w:divBdr>
              <w:divsChild>
                <w:div w:id="771901592">
                  <w:marLeft w:val="0"/>
                  <w:marRight w:val="0"/>
                  <w:marTop w:val="0"/>
                  <w:marBottom w:val="0"/>
                  <w:divBdr>
                    <w:top w:val="none" w:sz="0" w:space="0" w:color="auto"/>
                    <w:left w:val="none" w:sz="0" w:space="0" w:color="auto"/>
                    <w:bottom w:val="none" w:sz="0" w:space="0" w:color="auto"/>
                    <w:right w:val="none" w:sz="0" w:space="0" w:color="auto"/>
                  </w:divBdr>
                  <w:divsChild>
                    <w:div w:id="1349332486">
                      <w:marLeft w:val="0"/>
                      <w:marRight w:val="0"/>
                      <w:marTop w:val="0"/>
                      <w:marBottom w:val="0"/>
                      <w:divBdr>
                        <w:top w:val="none" w:sz="0" w:space="0" w:color="auto"/>
                        <w:left w:val="none" w:sz="0" w:space="0" w:color="auto"/>
                        <w:bottom w:val="none" w:sz="0" w:space="0" w:color="auto"/>
                        <w:right w:val="none" w:sz="0" w:space="0" w:color="auto"/>
                      </w:divBdr>
                      <w:divsChild>
                        <w:div w:id="1588801781">
                          <w:marLeft w:val="0"/>
                          <w:marRight w:val="0"/>
                          <w:marTop w:val="0"/>
                          <w:marBottom w:val="0"/>
                          <w:divBdr>
                            <w:top w:val="none" w:sz="0" w:space="0" w:color="auto"/>
                            <w:left w:val="none" w:sz="0" w:space="0" w:color="auto"/>
                            <w:bottom w:val="none" w:sz="0" w:space="0" w:color="auto"/>
                            <w:right w:val="none" w:sz="0" w:space="0" w:color="auto"/>
                          </w:divBdr>
                          <w:divsChild>
                            <w:div w:id="259989432">
                              <w:marLeft w:val="0"/>
                              <w:marRight w:val="0"/>
                              <w:marTop w:val="0"/>
                              <w:marBottom w:val="0"/>
                              <w:divBdr>
                                <w:top w:val="none" w:sz="0" w:space="0" w:color="auto"/>
                                <w:left w:val="none" w:sz="0" w:space="0" w:color="auto"/>
                                <w:bottom w:val="none" w:sz="0" w:space="0" w:color="auto"/>
                                <w:right w:val="none" w:sz="0" w:space="0" w:color="auto"/>
                              </w:divBdr>
                              <w:divsChild>
                                <w:div w:id="1319000417">
                                  <w:marLeft w:val="0"/>
                                  <w:marRight w:val="0"/>
                                  <w:marTop w:val="0"/>
                                  <w:marBottom w:val="0"/>
                                  <w:divBdr>
                                    <w:top w:val="none" w:sz="0" w:space="0" w:color="auto"/>
                                    <w:left w:val="none" w:sz="0" w:space="0" w:color="auto"/>
                                    <w:bottom w:val="none" w:sz="0" w:space="0" w:color="auto"/>
                                    <w:right w:val="none" w:sz="0" w:space="0" w:color="auto"/>
                                  </w:divBdr>
                                  <w:divsChild>
                                    <w:div w:id="172891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9704864">
      <w:bodyDiv w:val="1"/>
      <w:marLeft w:val="0"/>
      <w:marRight w:val="0"/>
      <w:marTop w:val="0"/>
      <w:marBottom w:val="0"/>
      <w:divBdr>
        <w:top w:val="none" w:sz="0" w:space="0" w:color="auto"/>
        <w:left w:val="none" w:sz="0" w:space="0" w:color="auto"/>
        <w:bottom w:val="none" w:sz="0" w:space="0" w:color="auto"/>
        <w:right w:val="none" w:sz="0" w:space="0" w:color="auto"/>
      </w:divBdr>
    </w:div>
    <w:div w:id="1269846637">
      <w:bodyDiv w:val="1"/>
      <w:marLeft w:val="0"/>
      <w:marRight w:val="0"/>
      <w:marTop w:val="0"/>
      <w:marBottom w:val="0"/>
      <w:divBdr>
        <w:top w:val="none" w:sz="0" w:space="0" w:color="auto"/>
        <w:left w:val="none" w:sz="0" w:space="0" w:color="auto"/>
        <w:bottom w:val="none" w:sz="0" w:space="0" w:color="auto"/>
        <w:right w:val="none" w:sz="0" w:space="0" w:color="auto"/>
      </w:divBdr>
      <w:divsChild>
        <w:div w:id="955873563">
          <w:marLeft w:val="0"/>
          <w:marRight w:val="0"/>
          <w:marTop w:val="0"/>
          <w:marBottom w:val="150"/>
          <w:divBdr>
            <w:top w:val="none" w:sz="0" w:space="0" w:color="auto"/>
            <w:left w:val="none" w:sz="0" w:space="0" w:color="auto"/>
            <w:bottom w:val="none" w:sz="0" w:space="0" w:color="auto"/>
            <w:right w:val="none" w:sz="0" w:space="0" w:color="auto"/>
          </w:divBdr>
        </w:div>
        <w:div w:id="1382170263">
          <w:marLeft w:val="0"/>
          <w:marRight w:val="0"/>
          <w:marTop w:val="0"/>
          <w:marBottom w:val="0"/>
          <w:divBdr>
            <w:top w:val="none" w:sz="0" w:space="0" w:color="auto"/>
            <w:left w:val="none" w:sz="0" w:space="0" w:color="auto"/>
            <w:bottom w:val="none" w:sz="0" w:space="0" w:color="auto"/>
            <w:right w:val="none" w:sz="0" w:space="0" w:color="auto"/>
          </w:divBdr>
        </w:div>
      </w:divsChild>
    </w:div>
    <w:div w:id="1270503213">
      <w:bodyDiv w:val="1"/>
      <w:marLeft w:val="0"/>
      <w:marRight w:val="0"/>
      <w:marTop w:val="0"/>
      <w:marBottom w:val="0"/>
      <w:divBdr>
        <w:top w:val="none" w:sz="0" w:space="0" w:color="auto"/>
        <w:left w:val="none" w:sz="0" w:space="0" w:color="auto"/>
        <w:bottom w:val="none" w:sz="0" w:space="0" w:color="auto"/>
        <w:right w:val="none" w:sz="0" w:space="0" w:color="auto"/>
      </w:divBdr>
      <w:divsChild>
        <w:div w:id="1568685352">
          <w:marLeft w:val="0"/>
          <w:marRight w:val="0"/>
          <w:marTop w:val="0"/>
          <w:marBottom w:val="300"/>
          <w:divBdr>
            <w:top w:val="none" w:sz="0" w:space="0" w:color="auto"/>
            <w:left w:val="none" w:sz="0" w:space="0" w:color="auto"/>
            <w:bottom w:val="none" w:sz="0" w:space="0" w:color="auto"/>
            <w:right w:val="none" w:sz="0" w:space="0" w:color="auto"/>
          </w:divBdr>
          <w:divsChild>
            <w:div w:id="1558785533">
              <w:marLeft w:val="0"/>
              <w:marRight w:val="0"/>
              <w:marTop w:val="0"/>
              <w:marBottom w:val="0"/>
              <w:divBdr>
                <w:top w:val="none" w:sz="0" w:space="0" w:color="auto"/>
                <w:left w:val="none" w:sz="0" w:space="0" w:color="auto"/>
                <w:bottom w:val="none" w:sz="0" w:space="0" w:color="auto"/>
                <w:right w:val="none" w:sz="0" w:space="0" w:color="auto"/>
              </w:divBdr>
              <w:divsChild>
                <w:div w:id="843907518">
                  <w:marLeft w:val="0"/>
                  <w:marRight w:val="0"/>
                  <w:marTop w:val="0"/>
                  <w:marBottom w:val="0"/>
                  <w:divBdr>
                    <w:top w:val="none" w:sz="0" w:space="0" w:color="auto"/>
                    <w:left w:val="none" w:sz="0" w:space="0" w:color="auto"/>
                    <w:bottom w:val="none" w:sz="0" w:space="0" w:color="auto"/>
                    <w:right w:val="none" w:sz="0" w:space="0" w:color="auto"/>
                  </w:divBdr>
                  <w:divsChild>
                    <w:div w:id="937106545">
                      <w:marLeft w:val="0"/>
                      <w:marRight w:val="0"/>
                      <w:marTop w:val="0"/>
                      <w:marBottom w:val="225"/>
                      <w:divBdr>
                        <w:top w:val="none" w:sz="0" w:space="0" w:color="2D2D2D"/>
                        <w:left w:val="none" w:sz="0" w:space="0" w:color="2D2D2D"/>
                        <w:bottom w:val="none" w:sz="0" w:space="0" w:color="2D2D2D"/>
                        <w:right w:val="none" w:sz="0" w:space="0" w:color="2D2D2D"/>
                      </w:divBdr>
                      <w:divsChild>
                        <w:div w:id="1688823069">
                          <w:marLeft w:val="0"/>
                          <w:marRight w:val="0"/>
                          <w:marTop w:val="0"/>
                          <w:marBottom w:val="0"/>
                          <w:divBdr>
                            <w:top w:val="none" w:sz="0" w:space="0" w:color="auto"/>
                            <w:left w:val="none" w:sz="0" w:space="0" w:color="auto"/>
                            <w:bottom w:val="none" w:sz="0" w:space="0" w:color="auto"/>
                            <w:right w:val="none" w:sz="0" w:space="0" w:color="auto"/>
                          </w:divBdr>
                          <w:divsChild>
                            <w:div w:id="117322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0505211">
      <w:bodyDiv w:val="1"/>
      <w:marLeft w:val="0"/>
      <w:marRight w:val="0"/>
      <w:marTop w:val="0"/>
      <w:marBottom w:val="0"/>
      <w:divBdr>
        <w:top w:val="none" w:sz="0" w:space="0" w:color="auto"/>
        <w:left w:val="none" w:sz="0" w:space="0" w:color="auto"/>
        <w:bottom w:val="none" w:sz="0" w:space="0" w:color="auto"/>
        <w:right w:val="none" w:sz="0" w:space="0" w:color="auto"/>
      </w:divBdr>
      <w:divsChild>
        <w:div w:id="327947321">
          <w:marLeft w:val="0"/>
          <w:marRight w:val="0"/>
          <w:marTop w:val="0"/>
          <w:marBottom w:val="0"/>
          <w:divBdr>
            <w:top w:val="none" w:sz="0" w:space="0" w:color="auto"/>
            <w:left w:val="none" w:sz="0" w:space="0" w:color="auto"/>
            <w:bottom w:val="dotted" w:sz="6" w:space="4" w:color="DDDDDD"/>
            <w:right w:val="none" w:sz="0" w:space="0" w:color="auto"/>
          </w:divBdr>
        </w:div>
      </w:divsChild>
    </w:div>
    <w:div w:id="1270970682">
      <w:bodyDiv w:val="1"/>
      <w:marLeft w:val="0"/>
      <w:marRight w:val="0"/>
      <w:marTop w:val="0"/>
      <w:marBottom w:val="0"/>
      <w:divBdr>
        <w:top w:val="none" w:sz="0" w:space="0" w:color="auto"/>
        <w:left w:val="none" w:sz="0" w:space="0" w:color="auto"/>
        <w:bottom w:val="none" w:sz="0" w:space="0" w:color="auto"/>
        <w:right w:val="none" w:sz="0" w:space="0" w:color="auto"/>
      </w:divBdr>
    </w:div>
    <w:div w:id="1271162928">
      <w:bodyDiv w:val="1"/>
      <w:marLeft w:val="0"/>
      <w:marRight w:val="0"/>
      <w:marTop w:val="0"/>
      <w:marBottom w:val="0"/>
      <w:divBdr>
        <w:top w:val="none" w:sz="0" w:space="0" w:color="auto"/>
        <w:left w:val="none" w:sz="0" w:space="0" w:color="auto"/>
        <w:bottom w:val="none" w:sz="0" w:space="0" w:color="auto"/>
        <w:right w:val="none" w:sz="0" w:space="0" w:color="auto"/>
      </w:divBdr>
      <w:divsChild>
        <w:div w:id="685642371">
          <w:marLeft w:val="0"/>
          <w:marRight w:val="0"/>
          <w:marTop w:val="0"/>
          <w:marBottom w:val="0"/>
          <w:divBdr>
            <w:top w:val="none" w:sz="0" w:space="0" w:color="auto"/>
            <w:left w:val="none" w:sz="0" w:space="0" w:color="auto"/>
            <w:bottom w:val="none" w:sz="0" w:space="0" w:color="auto"/>
            <w:right w:val="none" w:sz="0" w:space="0" w:color="auto"/>
          </w:divBdr>
          <w:divsChild>
            <w:div w:id="106050331">
              <w:marLeft w:val="0"/>
              <w:marRight w:val="0"/>
              <w:marTop w:val="0"/>
              <w:marBottom w:val="0"/>
              <w:divBdr>
                <w:top w:val="none" w:sz="0" w:space="0" w:color="auto"/>
                <w:left w:val="none" w:sz="0" w:space="0" w:color="auto"/>
                <w:bottom w:val="none" w:sz="0" w:space="0" w:color="auto"/>
                <w:right w:val="none" w:sz="0" w:space="0" w:color="auto"/>
              </w:divBdr>
              <w:divsChild>
                <w:div w:id="1483237136">
                  <w:marLeft w:val="0"/>
                  <w:marRight w:val="0"/>
                  <w:marTop w:val="0"/>
                  <w:marBottom w:val="0"/>
                  <w:divBdr>
                    <w:top w:val="none" w:sz="0" w:space="0" w:color="auto"/>
                    <w:left w:val="none" w:sz="0" w:space="0" w:color="auto"/>
                    <w:bottom w:val="none" w:sz="0" w:space="0" w:color="auto"/>
                    <w:right w:val="none" w:sz="0" w:space="0" w:color="auto"/>
                  </w:divBdr>
                  <w:divsChild>
                    <w:div w:id="774133578">
                      <w:marLeft w:val="0"/>
                      <w:marRight w:val="0"/>
                      <w:marTop w:val="0"/>
                      <w:marBottom w:val="0"/>
                      <w:divBdr>
                        <w:top w:val="none" w:sz="0" w:space="0" w:color="auto"/>
                        <w:left w:val="none" w:sz="0" w:space="0" w:color="auto"/>
                        <w:bottom w:val="none" w:sz="0" w:space="0" w:color="auto"/>
                        <w:right w:val="none" w:sz="0" w:space="0" w:color="auto"/>
                      </w:divBdr>
                      <w:divsChild>
                        <w:div w:id="522283053">
                          <w:marLeft w:val="0"/>
                          <w:marRight w:val="0"/>
                          <w:marTop w:val="0"/>
                          <w:marBottom w:val="0"/>
                          <w:divBdr>
                            <w:top w:val="none" w:sz="0" w:space="0" w:color="auto"/>
                            <w:left w:val="none" w:sz="0" w:space="0" w:color="auto"/>
                            <w:bottom w:val="none" w:sz="0" w:space="0" w:color="auto"/>
                            <w:right w:val="none" w:sz="0" w:space="0" w:color="auto"/>
                          </w:divBdr>
                          <w:divsChild>
                            <w:div w:id="472598544">
                              <w:marLeft w:val="0"/>
                              <w:marRight w:val="0"/>
                              <w:marTop w:val="0"/>
                              <w:marBottom w:val="0"/>
                              <w:divBdr>
                                <w:top w:val="none" w:sz="0" w:space="0" w:color="auto"/>
                                <w:left w:val="none" w:sz="0" w:space="0" w:color="auto"/>
                                <w:bottom w:val="none" w:sz="0" w:space="0" w:color="auto"/>
                                <w:right w:val="none" w:sz="0" w:space="0" w:color="auto"/>
                              </w:divBdr>
                              <w:divsChild>
                                <w:div w:id="24053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2080723">
      <w:bodyDiv w:val="1"/>
      <w:marLeft w:val="0"/>
      <w:marRight w:val="0"/>
      <w:marTop w:val="0"/>
      <w:marBottom w:val="0"/>
      <w:divBdr>
        <w:top w:val="none" w:sz="0" w:space="0" w:color="auto"/>
        <w:left w:val="none" w:sz="0" w:space="0" w:color="auto"/>
        <w:bottom w:val="none" w:sz="0" w:space="0" w:color="auto"/>
        <w:right w:val="none" w:sz="0" w:space="0" w:color="auto"/>
      </w:divBdr>
      <w:divsChild>
        <w:div w:id="1981377043">
          <w:marLeft w:val="0"/>
          <w:marRight w:val="0"/>
          <w:marTop w:val="0"/>
          <w:marBottom w:val="150"/>
          <w:divBdr>
            <w:top w:val="none" w:sz="0" w:space="0" w:color="auto"/>
            <w:left w:val="none" w:sz="0" w:space="0" w:color="auto"/>
            <w:bottom w:val="none" w:sz="0" w:space="0" w:color="auto"/>
            <w:right w:val="none" w:sz="0" w:space="0" w:color="auto"/>
          </w:divBdr>
          <w:divsChild>
            <w:div w:id="1872960797">
              <w:marLeft w:val="0"/>
              <w:marRight w:val="0"/>
              <w:marTop w:val="0"/>
              <w:marBottom w:val="0"/>
              <w:divBdr>
                <w:top w:val="none" w:sz="0" w:space="0" w:color="auto"/>
                <w:left w:val="none" w:sz="0" w:space="0" w:color="auto"/>
                <w:bottom w:val="none" w:sz="0" w:space="0" w:color="auto"/>
                <w:right w:val="none" w:sz="0" w:space="0" w:color="auto"/>
              </w:divBdr>
              <w:divsChild>
                <w:div w:id="388115475">
                  <w:marLeft w:val="0"/>
                  <w:marRight w:val="0"/>
                  <w:marTop w:val="0"/>
                  <w:marBottom w:val="0"/>
                  <w:divBdr>
                    <w:top w:val="none" w:sz="0" w:space="0" w:color="auto"/>
                    <w:left w:val="none" w:sz="0" w:space="0" w:color="auto"/>
                    <w:bottom w:val="none" w:sz="0" w:space="0" w:color="auto"/>
                    <w:right w:val="none" w:sz="0" w:space="0" w:color="auto"/>
                  </w:divBdr>
                  <w:divsChild>
                    <w:div w:id="887959049">
                      <w:marLeft w:val="0"/>
                      <w:marRight w:val="150"/>
                      <w:marTop w:val="0"/>
                      <w:marBottom w:val="0"/>
                      <w:divBdr>
                        <w:top w:val="none" w:sz="0" w:space="0" w:color="auto"/>
                        <w:left w:val="none" w:sz="0" w:space="0" w:color="auto"/>
                        <w:bottom w:val="none" w:sz="0" w:space="0" w:color="auto"/>
                        <w:right w:val="none" w:sz="0" w:space="0" w:color="auto"/>
                      </w:divBdr>
                      <w:divsChild>
                        <w:div w:id="79629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950995">
          <w:marLeft w:val="0"/>
          <w:marRight w:val="0"/>
          <w:marTop w:val="0"/>
          <w:marBottom w:val="150"/>
          <w:divBdr>
            <w:top w:val="none" w:sz="0" w:space="0" w:color="auto"/>
            <w:left w:val="none" w:sz="0" w:space="0" w:color="auto"/>
            <w:bottom w:val="none" w:sz="0" w:space="0" w:color="auto"/>
            <w:right w:val="none" w:sz="0" w:space="0" w:color="auto"/>
          </w:divBdr>
        </w:div>
        <w:div w:id="234240179">
          <w:marLeft w:val="0"/>
          <w:marRight w:val="0"/>
          <w:marTop w:val="0"/>
          <w:marBottom w:val="0"/>
          <w:divBdr>
            <w:top w:val="none" w:sz="0" w:space="0" w:color="auto"/>
            <w:left w:val="none" w:sz="0" w:space="0" w:color="auto"/>
            <w:bottom w:val="none" w:sz="0" w:space="0" w:color="auto"/>
            <w:right w:val="none" w:sz="0" w:space="0" w:color="auto"/>
          </w:divBdr>
          <w:divsChild>
            <w:div w:id="10454405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72126731">
      <w:bodyDiv w:val="1"/>
      <w:marLeft w:val="0"/>
      <w:marRight w:val="0"/>
      <w:marTop w:val="0"/>
      <w:marBottom w:val="0"/>
      <w:divBdr>
        <w:top w:val="none" w:sz="0" w:space="0" w:color="auto"/>
        <w:left w:val="none" w:sz="0" w:space="0" w:color="auto"/>
        <w:bottom w:val="none" w:sz="0" w:space="0" w:color="auto"/>
        <w:right w:val="none" w:sz="0" w:space="0" w:color="auto"/>
      </w:divBdr>
      <w:divsChild>
        <w:div w:id="1448088372">
          <w:marLeft w:val="0"/>
          <w:marRight w:val="0"/>
          <w:marTop w:val="0"/>
          <w:marBottom w:val="0"/>
          <w:divBdr>
            <w:top w:val="none" w:sz="0" w:space="0" w:color="auto"/>
            <w:left w:val="none" w:sz="0" w:space="0" w:color="auto"/>
            <w:bottom w:val="dotted" w:sz="6" w:space="4" w:color="DDDDDD"/>
            <w:right w:val="none" w:sz="0" w:space="0" w:color="auto"/>
          </w:divBdr>
          <w:divsChild>
            <w:div w:id="86332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279689">
      <w:bodyDiv w:val="1"/>
      <w:marLeft w:val="0"/>
      <w:marRight w:val="0"/>
      <w:marTop w:val="0"/>
      <w:marBottom w:val="0"/>
      <w:divBdr>
        <w:top w:val="none" w:sz="0" w:space="0" w:color="auto"/>
        <w:left w:val="none" w:sz="0" w:space="0" w:color="auto"/>
        <w:bottom w:val="none" w:sz="0" w:space="0" w:color="auto"/>
        <w:right w:val="none" w:sz="0" w:space="0" w:color="auto"/>
      </w:divBdr>
      <w:divsChild>
        <w:div w:id="1196768245">
          <w:marLeft w:val="0"/>
          <w:marRight w:val="0"/>
          <w:marTop w:val="150"/>
          <w:marBottom w:val="0"/>
          <w:divBdr>
            <w:top w:val="none" w:sz="0" w:space="0" w:color="auto"/>
            <w:left w:val="none" w:sz="0" w:space="0" w:color="auto"/>
            <w:bottom w:val="none" w:sz="0" w:space="0" w:color="auto"/>
            <w:right w:val="none" w:sz="0" w:space="0" w:color="auto"/>
          </w:divBdr>
          <w:divsChild>
            <w:div w:id="172260940">
              <w:marLeft w:val="0"/>
              <w:marRight w:val="150"/>
              <w:marTop w:val="0"/>
              <w:marBottom w:val="0"/>
              <w:divBdr>
                <w:top w:val="none" w:sz="0" w:space="0" w:color="auto"/>
                <w:left w:val="none" w:sz="0" w:space="0" w:color="auto"/>
                <w:bottom w:val="none" w:sz="0" w:space="0" w:color="auto"/>
                <w:right w:val="none" w:sz="0" w:space="0" w:color="auto"/>
              </w:divBdr>
            </w:div>
          </w:divsChild>
        </w:div>
        <w:div w:id="1310550420">
          <w:marLeft w:val="0"/>
          <w:marRight w:val="0"/>
          <w:marTop w:val="0"/>
          <w:marBottom w:val="0"/>
          <w:divBdr>
            <w:top w:val="none" w:sz="0" w:space="8" w:color="auto"/>
            <w:left w:val="none" w:sz="0" w:space="2" w:color="auto"/>
            <w:bottom w:val="single" w:sz="6" w:space="8" w:color="DDDDDD"/>
            <w:right w:val="none" w:sz="0" w:space="0" w:color="auto"/>
          </w:divBdr>
        </w:div>
      </w:divsChild>
    </w:div>
    <w:div w:id="1272543786">
      <w:bodyDiv w:val="1"/>
      <w:marLeft w:val="0"/>
      <w:marRight w:val="0"/>
      <w:marTop w:val="0"/>
      <w:marBottom w:val="0"/>
      <w:divBdr>
        <w:top w:val="none" w:sz="0" w:space="0" w:color="auto"/>
        <w:left w:val="none" w:sz="0" w:space="0" w:color="auto"/>
        <w:bottom w:val="none" w:sz="0" w:space="0" w:color="auto"/>
        <w:right w:val="none" w:sz="0" w:space="0" w:color="auto"/>
      </w:divBdr>
      <w:divsChild>
        <w:div w:id="830173374">
          <w:marLeft w:val="0"/>
          <w:marRight w:val="0"/>
          <w:marTop w:val="0"/>
          <w:marBottom w:val="0"/>
          <w:divBdr>
            <w:top w:val="none" w:sz="0" w:space="0" w:color="auto"/>
            <w:left w:val="none" w:sz="0" w:space="0" w:color="auto"/>
            <w:bottom w:val="dotted" w:sz="6" w:space="4" w:color="DDDDDD"/>
            <w:right w:val="none" w:sz="0" w:space="0" w:color="auto"/>
          </w:divBdr>
          <w:divsChild>
            <w:div w:id="13142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510772">
      <w:bodyDiv w:val="1"/>
      <w:marLeft w:val="0"/>
      <w:marRight w:val="0"/>
      <w:marTop w:val="0"/>
      <w:marBottom w:val="0"/>
      <w:divBdr>
        <w:top w:val="none" w:sz="0" w:space="0" w:color="auto"/>
        <w:left w:val="none" w:sz="0" w:space="0" w:color="auto"/>
        <w:bottom w:val="none" w:sz="0" w:space="0" w:color="auto"/>
        <w:right w:val="none" w:sz="0" w:space="0" w:color="auto"/>
      </w:divBdr>
      <w:divsChild>
        <w:div w:id="856699339">
          <w:marLeft w:val="0"/>
          <w:marRight w:val="0"/>
          <w:marTop w:val="0"/>
          <w:marBottom w:val="0"/>
          <w:divBdr>
            <w:top w:val="none" w:sz="0" w:space="0" w:color="auto"/>
            <w:left w:val="none" w:sz="0" w:space="0" w:color="auto"/>
            <w:bottom w:val="none" w:sz="0" w:space="0" w:color="auto"/>
            <w:right w:val="none" w:sz="0" w:space="0" w:color="auto"/>
          </w:divBdr>
          <w:divsChild>
            <w:div w:id="1423842407">
              <w:marLeft w:val="0"/>
              <w:marRight w:val="0"/>
              <w:marTop w:val="0"/>
              <w:marBottom w:val="0"/>
              <w:divBdr>
                <w:top w:val="none" w:sz="0" w:space="0" w:color="auto"/>
                <w:left w:val="none" w:sz="0" w:space="0" w:color="auto"/>
                <w:bottom w:val="none" w:sz="0" w:space="0" w:color="auto"/>
                <w:right w:val="none" w:sz="0" w:space="0" w:color="auto"/>
              </w:divBdr>
            </w:div>
          </w:divsChild>
        </w:div>
        <w:div w:id="1708680853">
          <w:marLeft w:val="0"/>
          <w:marRight w:val="0"/>
          <w:marTop w:val="0"/>
          <w:marBottom w:val="150"/>
          <w:divBdr>
            <w:top w:val="none" w:sz="0" w:space="0" w:color="auto"/>
            <w:left w:val="none" w:sz="0" w:space="0" w:color="auto"/>
            <w:bottom w:val="none" w:sz="0" w:space="0" w:color="auto"/>
            <w:right w:val="none" w:sz="0" w:space="0" w:color="auto"/>
          </w:divBdr>
          <w:divsChild>
            <w:div w:id="281502062">
              <w:marLeft w:val="0"/>
              <w:marRight w:val="0"/>
              <w:marTop w:val="0"/>
              <w:marBottom w:val="0"/>
              <w:divBdr>
                <w:top w:val="none" w:sz="0" w:space="0" w:color="auto"/>
                <w:left w:val="none" w:sz="0" w:space="0" w:color="auto"/>
                <w:bottom w:val="none" w:sz="0" w:space="0" w:color="auto"/>
                <w:right w:val="none" w:sz="0" w:space="0" w:color="auto"/>
              </w:divBdr>
            </w:div>
          </w:divsChild>
        </w:div>
        <w:div w:id="2014525835">
          <w:marLeft w:val="0"/>
          <w:marRight w:val="0"/>
          <w:marTop w:val="0"/>
          <w:marBottom w:val="150"/>
          <w:divBdr>
            <w:top w:val="none" w:sz="0" w:space="0" w:color="auto"/>
            <w:left w:val="none" w:sz="0" w:space="0" w:color="auto"/>
            <w:bottom w:val="none" w:sz="0" w:space="0" w:color="auto"/>
            <w:right w:val="none" w:sz="0" w:space="0" w:color="auto"/>
          </w:divBdr>
        </w:div>
      </w:divsChild>
    </w:div>
    <w:div w:id="1273896450">
      <w:bodyDiv w:val="1"/>
      <w:marLeft w:val="0"/>
      <w:marRight w:val="0"/>
      <w:marTop w:val="0"/>
      <w:marBottom w:val="0"/>
      <w:divBdr>
        <w:top w:val="none" w:sz="0" w:space="0" w:color="auto"/>
        <w:left w:val="none" w:sz="0" w:space="0" w:color="auto"/>
        <w:bottom w:val="none" w:sz="0" w:space="0" w:color="auto"/>
        <w:right w:val="none" w:sz="0" w:space="0" w:color="auto"/>
      </w:divBdr>
      <w:divsChild>
        <w:div w:id="616255672">
          <w:marLeft w:val="0"/>
          <w:marRight w:val="0"/>
          <w:marTop w:val="0"/>
          <w:marBottom w:val="0"/>
          <w:divBdr>
            <w:top w:val="none" w:sz="0" w:space="0" w:color="auto"/>
            <w:left w:val="none" w:sz="0" w:space="0" w:color="auto"/>
            <w:bottom w:val="dotted" w:sz="6" w:space="4" w:color="DDDDDD"/>
            <w:right w:val="none" w:sz="0" w:space="0" w:color="auto"/>
          </w:divBdr>
        </w:div>
      </w:divsChild>
    </w:div>
    <w:div w:id="1274022326">
      <w:bodyDiv w:val="1"/>
      <w:marLeft w:val="0"/>
      <w:marRight w:val="0"/>
      <w:marTop w:val="0"/>
      <w:marBottom w:val="0"/>
      <w:divBdr>
        <w:top w:val="none" w:sz="0" w:space="0" w:color="auto"/>
        <w:left w:val="none" w:sz="0" w:space="0" w:color="auto"/>
        <w:bottom w:val="none" w:sz="0" w:space="0" w:color="auto"/>
        <w:right w:val="none" w:sz="0" w:space="0" w:color="auto"/>
      </w:divBdr>
      <w:divsChild>
        <w:div w:id="1410075260">
          <w:marLeft w:val="0"/>
          <w:marRight w:val="0"/>
          <w:marTop w:val="0"/>
          <w:marBottom w:val="0"/>
          <w:divBdr>
            <w:top w:val="none" w:sz="0" w:space="0" w:color="auto"/>
            <w:left w:val="none" w:sz="0" w:space="0" w:color="auto"/>
            <w:bottom w:val="none" w:sz="0" w:space="0" w:color="auto"/>
            <w:right w:val="none" w:sz="0" w:space="0" w:color="auto"/>
          </w:divBdr>
          <w:divsChild>
            <w:div w:id="1245651492">
              <w:marLeft w:val="0"/>
              <w:marRight w:val="0"/>
              <w:marTop w:val="0"/>
              <w:marBottom w:val="0"/>
              <w:divBdr>
                <w:top w:val="none" w:sz="0" w:space="0" w:color="auto"/>
                <w:left w:val="none" w:sz="0" w:space="0" w:color="auto"/>
                <w:bottom w:val="none" w:sz="0" w:space="0" w:color="auto"/>
                <w:right w:val="none" w:sz="0" w:space="0" w:color="auto"/>
              </w:divBdr>
              <w:divsChild>
                <w:div w:id="727915947">
                  <w:marLeft w:val="0"/>
                  <w:marRight w:val="0"/>
                  <w:marTop w:val="0"/>
                  <w:marBottom w:val="0"/>
                  <w:divBdr>
                    <w:top w:val="none" w:sz="0" w:space="0" w:color="auto"/>
                    <w:left w:val="none" w:sz="0" w:space="0" w:color="auto"/>
                    <w:bottom w:val="none" w:sz="0" w:space="0" w:color="auto"/>
                    <w:right w:val="none" w:sz="0" w:space="0" w:color="auto"/>
                  </w:divBdr>
                  <w:divsChild>
                    <w:div w:id="794829450">
                      <w:marLeft w:val="0"/>
                      <w:marRight w:val="0"/>
                      <w:marTop w:val="0"/>
                      <w:marBottom w:val="0"/>
                      <w:divBdr>
                        <w:top w:val="none" w:sz="0" w:space="0" w:color="auto"/>
                        <w:left w:val="none" w:sz="0" w:space="0" w:color="auto"/>
                        <w:bottom w:val="none" w:sz="0" w:space="0" w:color="auto"/>
                        <w:right w:val="none" w:sz="0" w:space="0" w:color="auto"/>
                      </w:divBdr>
                      <w:divsChild>
                        <w:div w:id="1805150390">
                          <w:marLeft w:val="0"/>
                          <w:marRight w:val="0"/>
                          <w:marTop w:val="0"/>
                          <w:marBottom w:val="0"/>
                          <w:divBdr>
                            <w:top w:val="none" w:sz="0" w:space="0" w:color="auto"/>
                            <w:left w:val="none" w:sz="0" w:space="0" w:color="auto"/>
                            <w:bottom w:val="none" w:sz="0" w:space="0" w:color="auto"/>
                            <w:right w:val="none" w:sz="0" w:space="0" w:color="auto"/>
                          </w:divBdr>
                          <w:divsChild>
                            <w:div w:id="1315138300">
                              <w:marLeft w:val="0"/>
                              <w:marRight w:val="0"/>
                              <w:marTop w:val="0"/>
                              <w:marBottom w:val="0"/>
                              <w:divBdr>
                                <w:top w:val="none" w:sz="0" w:space="0" w:color="auto"/>
                                <w:left w:val="none" w:sz="0" w:space="0" w:color="auto"/>
                                <w:bottom w:val="none" w:sz="0" w:space="0" w:color="auto"/>
                                <w:right w:val="none" w:sz="0" w:space="0" w:color="auto"/>
                              </w:divBdr>
                              <w:divsChild>
                                <w:div w:id="85966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4046623">
      <w:bodyDiv w:val="1"/>
      <w:marLeft w:val="0"/>
      <w:marRight w:val="0"/>
      <w:marTop w:val="0"/>
      <w:marBottom w:val="0"/>
      <w:divBdr>
        <w:top w:val="none" w:sz="0" w:space="0" w:color="auto"/>
        <w:left w:val="none" w:sz="0" w:space="0" w:color="auto"/>
        <w:bottom w:val="none" w:sz="0" w:space="0" w:color="auto"/>
        <w:right w:val="none" w:sz="0" w:space="0" w:color="auto"/>
      </w:divBdr>
      <w:divsChild>
        <w:div w:id="1232042481">
          <w:marLeft w:val="0"/>
          <w:marRight w:val="0"/>
          <w:marTop w:val="0"/>
          <w:marBottom w:val="150"/>
          <w:divBdr>
            <w:top w:val="none" w:sz="0" w:space="0" w:color="auto"/>
            <w:left w:val="none" w:sz="0" w:space="0" w:color="auto"/>
            <w:bottom w:val="none" w:sz="0" w:space="0" w:color="auto"/>
            <w:right w:val="none" w:sz="0" w:space="0" w:color="auto"/>
          </w:divBdr>
          <w:divsChild>
            <w:div w:id="1172798821">
              <w:marLeft w:val="0"/>
              <w:marRight w:val="0"/>
              <w:marTop w:val="0"/>
              <w:marBottom w:val="0"/>
              <w:divBdr>
                <w:top w:val="none" w:sz="0" w:space="0" w:color="auto"/>
                <w:left w:val="none" w:sz="0" w:space="0" w:color="auto"/>
                <w:bottom w:val="none" w:sz="0" w:space="0" w:color="auto"/>
                <w:right w:val="none" w:sz="0" w:space="0" w:color="auto"/>
              </w:divBdr>
              <w:divsChild>
                <w:div w:id="855122444">
                  <w:marLeft w:val="0"/>
                  <w:marRight w:val="0"/>
                  <w:marTop w:val="0"/>
                  <w:marBottom w:val="0"/>
                  <w:divBdr>
                    <w:top w:val="none" w:sz="0" w:space="0" w:color="auto"/>
                    <w:left w:val="none" w:sz="0" w:space="0" w:color="auto"/>
                    <w:bottom w:val="none" w:sz="0" w:space="0" w:color="auto"/>
                    <w:right w:val="none" w:sz="0" w:space="0" w:color="auto"/>
                  </w:divBdr>
                  <w:divsChild>
                    <w:div w:id="814879516">
                      <w:marLeft w:val="0"/>
                      <w:marRight w:val="150"/>
                      <w:marTop w:val="0"/>
                      <w:marBottom w:val="0"/>
                      <w:divBdr>
                        <w:top w:val="none" w:sz="0" w:space="0" w:color="auto"/>
                        <w:left w:val="none" w:sz="0" w:space="0" w:color="auto"/>
                        <w:bottom w:val="none" w:sz="0" w:space="0" w:color="auto"/>
                        <w:right w:val="none" w:sz="0" w:space="0" w:color="auto"/>
                      </w:divBdr>
                      <w:divsChild>
                        <w:div w:id="19891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096346">
          <w:marLeft w:val="0"/>
          <w:marRight w:val="0"/>
          <w:marTop w:val="0"/>
          <w:marBottom w:val="150"/>
          <w:divBdr>
            <w:top w:val="none" w:sz="0" w:space="0" w:color="auto"/>
            <w:left w:val="none" w:sz="0" w:space="0" w:color="auto"/>
            <w:bottom w:val="none" w:sz="0" w:space="0" w:color="auto"/>
            <w:right w:val="none" w:sz="0" w:space="0" w:color="auto"/>
          </w:divBdr>
        </w:div>
        <w:div w:id="849948043">
          <w:marLeft w:val="0"/>
          <w:marRight w:val="0"/>
          <w:marTop w:val="0"/>
          <w:marBottom w:val="0"/>
          <w:divBdr>
            <w:top w:val="none" w:sz="0" w:space="0" w:color="auto"/>
            <w:left w:val="none" w:sz="0" w:space="0" w:color="auto"/>
            <w:bottom w:val="none" w:sz="0" w:space="0" w:color="auto"/>
            <w:right w:val="none" w:sz="0" w:space="0" w:color="auto"/>
          </w:divBdr>
          <w:divsChild>
            <w:div w:id="11234956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74095676">
      <w:bodyDiv w:val="1"/>
      <w:marLeft w:val="0"/>
      <w:marRight w:val="0"/>
      <w:marTop w:val="0"/>
      <w:marBottom w:val="0"/>
      <w:divBdr>
        <w:top w:val="none" w:sz="0" w:space="0" w:color="auto"/>
        <w:left w:val="none" w:sz="0" w:space="0" w:color="auto"/>
        <w:bottom w:val="none" w:sz="0" w:space="0" w:color="auto"/>
        <w:right w:val="none" w:sz="0" w:space="0" w:color="auto"/>
      </w:divBdr>
      <w:divsChild>
        <w:div w:id="250093489">
          <w:marLeft w:val="0"/>
          <w:marRight w:val="0"/>
          <w:marTop w:val="0"/>
          <w:marBottom w:val="0"/>
          <w:divBdr>
            <w:top w:val="none" w:sz="0" w:space="0" w:color="auto"/>
            <w:left w:val="none" w:sz="0" w:space="0" w:color="auto"/>
            <w:bottom w:val="none" w:sz="0" w:space="0" w:color="auto"/>
            <w:right w:val="none" w:sz="0" w:space="0" w:color="auto"/>
          </w:divBdr>
          <w:divsChild>
            <w:div w:id="1344169645">
              <w:marLeft w:val="0"/>
              <w:marRight w:val="0"/>
              <w:marTop w:val="0"/>
              <w:marBottom w:val="0"/>
              <w:divBdr>
                <w:top w:val="none" w:sz="0" w:space="0" w:color="auto"/>
                <w:left w:val="none" w:sz="0" w:space="0" w:color="auto"/>
                <w:bottom w:val="none" w:sz="0" w:space="0" w:color="auto"/>
                <w:right w:val="none" w:sz="0" w:space="0" w:color="auto"/>
              </w:divBdr>
              <w:divsChild>
                <w:div w:id="788818043">
                  <w:marLeft w:val="0"/>
                  <w:marRight w:val="0"/>
                  <w:marTop w:val="0"/>
                  <w:marBottom w:val="0"/>
                  <w:divBdr>
                    <w:top w:val="none" w:sz="0" w:space="0" w:color="auto"/>
                    <w:left w:val="none" w:sz="0" w:space="0" w:color="auto"/>
                    <w:bottom w:val="none" w:sz="0" w:space="0" w:color="auto"/>
                    <w:right w:val="none" w:sz="0" w:space="0" w:color="auto"/>
                  </w:divBdr>
                  <w:divsChild>
                    <w:div w:id="631792968">
                      <w:marLeft w:val="0"/>
                      <w:marRight w:val="0"/>
                      <w:marTop w:val="0"/>
                      <w:marBottom w:val="0"/>
                      <w:divBdr>
                        <w:top w:val="none" w:sz="0" w:space="0" w:color="auto"/>
                        <w:left w:val="none" w:sz="0" w:space="0" w:color="auto"/>
                        <w:bottom w:val="none" w:sz="0" w:space="0" w:color="auto"/>
                        <w:right w:val="none" w:sz="0" w:space="0" w:color="auto"/>
                      </w:divBdr>
                      <w:divsChild>
                        <w:div w:id="893547702">
                          <w:marLeft w:val="0"/>
                          <w:marRight w:val="0"/>
                          <w:marTop w:val="0"/>
                          <w:marBottom w:val="0"/>
                          <w:divBdr>
                            <w:top w:val="none" w:sz="0" w:space="0" w:color="auto"/>
                            <w:left w:val="none" w:sz="0" w:space="0" w:color="auto"/>
                            <w:bottom w:val="none" w:sz="0" w:space="0" w:color="auto"/>
                            <w:right w:val="none" w:sz="0" w:space="0" w:color="auto"/>
                          </w:divBdr>
                          <w:divsChild>
                            <w:div w:id="1378507173">
                              <w:marLeft w:val="0"/>
                              <w:marRight w:val="0"/>
                              <w:marTop w:val="0"/>
                              <w:marBottom w:val="0"/>
                              <w:divBdr>
                                <w:top w:val="none" w:sz="0" w:space="0" w:color="auto"/>
                                <w:left w:val="none" w:sz="0" w:space="0" w:color="auto"/>
                                <w:bottom w:val="none" w:sz="0" w:space="0" w:color="auto"/>
                                <w:right w:val="none" w:sz="0" w:space="0" w:color="auto"/>
                              </w:divBdr>
                              <w:divsChild>
                                <w:div w:id="514464959">
                                  <w:marLeft w:val="0"/>
                                  <w:marRight w:val="0"/>
                                  <w:marTop w:val="0"/>
                                  <w:marBottom w:val="0"/>
                                  <w:divBdr>
                                    <w:top w:val="none" w:sz="0" w:space="0" w:color="auto"/>
                                    <w:left w:val="none" w:sz="0" w:space="0" w:color="auto"/>
                                    <w:bottom w:val="none" w:sz="0" w:space="0" w:color="auto"/>
                                    <w:right w:val="none" w:sz="0" w:space="0" w:color="auto"/>
                                  </w:divBdr>
                                  <w:divsChild>
                                    <w:div w:id="2120445537">
                                      <w:marLeft w:val="0"/>
                                      <w:marRight w:val="0"/>
                                      <w:marTop w:val="0"/>
                                      <w:marBottom w:val="0"/>
                                      <w:divBdr>
                                        <w:top w:val="none" w:sz="0" w:space="0" w:color="auto"/>
                                        <w:left w:val="none" w:sz="0" w:space="0" w:color="auto"/>
                                        <w:bottom w:val="none" w:sz="0" w:space="0" w:color="auto"/>
                                        <w:right w:val="none" w:sz="0" w:space="0" w:color="auto"/>
                                      </w:divBdr>
                                      <w:divsChild>
                                        <w:div w:id="20699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4171267">
      <w:bodyDiv w:val="1"/>
      <w:marLeft w:val="0"/>
      <w:marRight w:val="0"/>
      <w:marTop w:val="0"/>
      <w:marBottom w:val="0"/>
      <w:divBdr>
        <w:top w:val="none" w:sz="0" w:space="0" w:color="auto"/>
        <w:left w:val="none" w:sz="0" w:space="0" w:color="auto"/>
        <w:bottom w:val="none" w:sz="0" w:space="0" w:color="auto"/>
        <w:right w:val="none" w:sz="0" w:space="0" w:color="auto"/>
      </w:divBdr>
      <w:divsChild>
        <w:div w:id="259527337">
          <w:marLeft w:val="0"/>
          <w:marRight w:val="0"/>
          <w:marTop w:val="0"/>
          <w:marBottom w:val="150"/>
          <w:divBdr>
            <w:top w:val="none" w:sz="0" w:space="0" w:color="auto"/>
            <w:left w:val="none" w:sz="0" w:space="0" w:color="auto"/>
            <w:bottom w:val="none" w:sz="0" w:space="0" w:color="auto"/>
            <w:right w:val="none" w:sz="0" w:space="0" w:color="auto"/>
          </w:divBdr>
        </w:div>
        <w:div w:id="915213827">
          <w:marLeft w:val="0"/>
          <w:marRight w:val="0"/>
          <w:marTop w:val="0"/>
          <w:marBottom w:val="150"/>
          <w:divBdr>
            <w:top w:val="none" w:sz="0" w:space="0" w:color="auto"/>
            <w:left w:val="none" w:sz="0" w:space="0" w:color="auto"/>
            <w:bottom w:val="none" w:sz="0" w:space="0" w:color="auto"/>
            <w:right w:val="none" w:sz="0" w:space="0" w:color="auto"/>
          </w:divBdr>
          <w:divsChild>
            <w:div w:id="1726835224">
              <w:marLeft w:val="0"/>
              <w:marRight w:val="0"/>
              <w:marTop w:val="0"/>
              <w:marBottom w:val="0"/>
              <w:divBdr>
                <w:top w:val="none" w:sz="0" w:space="0" w:color="auto"/>
                <w:left w:val="none" w:sz="0" w:space="0" w:color="auto"/>
                <w:bottom w:val="none" w:sz="0" w:space="0" w:color="auto"/>
                <w:right w:val="none" w:sz="0" w:space="0" w:color="auto"/>
              </w:divBdr>
              <w:divsChild>
                <w:div w:id="19885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024937">
          <w:marLeft w:val="0"/>
          <w:marRight w:val="0"/>
          <w:marTop w:val="0"/>
          <w:marBottom w:val="0"/>
          <w:divBdr>
            <w:top w:val="none" w:sz="0" w:space="0" w:color="auto"/>
            <w:left w:val="none" w:sz="0" w:space="0" w:color="auto"/>
            <w:bottom w:val="none" w:sz="0" w:space="0" w:color="auto"/>
            <w:right w:val="none" w:sz="0" w:space="0" w:color="auto"/>
          </w:divBdr>
          <w:divsChild>
            <w:div w:id="133221950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75015631">
      <w:bodyDiv w:val="1"/>
      <w:marLeft w:val="0"/>
      <w:marRight w:val="0"/>
      <w:marTop w:val="0"/>
      <w:marBottom w:val="0"/>
      <w:divBdr>
        <w:top w:val="none" w:sz="0" w:space="0" w:color="auto"/>
        <w:left w:val="none" w:sz="0" w:space="0" w:color="auto"/>
        <w:bottom w:val="none" w:sz="0" w:space="0" w:color="auto"/>
        <w:right w:val="none" w:sz="0" w:space="0" w:color="auto"/>
      </w:divBdr>
      <w:divsChild>
        <w:div w:id="2103448329">
          <w:marLeft w:val="0"/>
          <w:marRight w:val="0"/>
          <w:marTop w:val="0"/>
          <w:marBottom w:val="150"/>
          <w:divBdr>
            <w:top w:val="none" w:sz="0" w:space="0" w:color="auto"/>
            <w:left w:val="none" w:sz="0" w:space="0" w:color="auto"/>
            <w:bottom w:val="none" w:sz="0" w:space="0" w:color="auto"/>
            <w:right w:val="none" w:sz="0" w:space="0" w:color="auto"/>
          </w:divBdr>
        </w:div>
      </w:divsChild>
    </w:div>
    <w:div w:id="1275400182">
      <w:bodyDiv w:val="1"/>
      <w:marLeft w:val="0"/>
      <w:marRight w:val="0"/>
      <w:marTop w:val="0"/>
      <w:marBottom w:val="0"/>
      <w:divBdr>
        <w:top w:val="none" w:sz="0" w:space="0" w:color="auto"/>
        <w:left w:val="none" w:sz="0" w:space="0" w:color="auto"/>
        <w:bottom w:val="none" w:sz="0" w:space="0" w:color="auto"/>
        <w:right w:val="none" w:sz="0" w:space="0" w:color="auto"/>
      </w:divBdr>
      <w:divsChild>
        <w:div w:id="1056316474">
          <w:marLeft w:val="0"/>
          <w:marRight w:val="0"/>
          <w:marTop w:val="0"/>
          <w:marBottom w:val="0"/>
          <w:divBdr>
            <w:top w:val="none" w:sz="0" w:space="0" w:color="auto"/>
            <w:left w:val="none" w:sz="0" w:space="0" w:color="auto"/>
            <w:bottom w:val="none" w:sz="0" w:space="0" w:color="auto"/>
            <w:right w:val="none" w:sz="0" w:space="0" w:color="auto"/>
          </w:divBdr>
          <w:divsChild>
            <w:div w:id="2063090104">
              <w:marLeft w:val="0"/>
              <w:marRight w:val="0"/>
              <w:marTop w:val="0"/>
              <w:marBottom w:val="150"/>
              <w:divBdr>
                <w:top w:val="none" w:sz="0" w:space="0" w:color="auto"/>
                <w:left w:val="none" w:sz="0" w:space="0" w:color="auto"/>
                <w:bottom w:val="none" w:sz="0" w:space="0" w:color="auto"/>
                <w:right w:val="none" w:sz="0" w:space="0" w:color="auto"/>
              </w:divBdr>
              <w:divsChild>
                <w:div w:id="118818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330419">
          <w:marLeft w:val="0"/>
          <w:marRight w:val="225"/>
          <w:marTop w:val="0"/>
          <w:marBottom w:val="0"/>
          <w:divBdr>
            <w:top w:val="none" w:sz="0" w:space="0" w:color="auto"/>
            <w:left w:val="none" w:sz="0" w:space="0" w:color="auto"/>
            <w:bottom w:val="none" w:sz="0" w:space="0" w:color="auto"/>
            <w:right w:val="none" w:sz="0" w:space="0" w:color="auto"/>
          </w:divBdr>
          <w:divsChild>
            <w:div w:id="1991135633">
              <w:marLeft w:val="0"/>
              <w:marRight w:val="0"/>
              <w:marTop w:val="225"/>
              <w:marBottom w:val="0"/>
              <w:divBdr>
                <w:top w:val="none" w:sz="0" w:space="0" w:color="auto"/>
                <w:left w:val="none" w:sz="0" w:space="0" w:color="auto"/>
                <w:bottom w:val="none" w:sz="0" w:space="0" w:color="auto"/>
                <w:right w:val="none" w:sz="0" w:space="0" w:color="auto"/>
              </w:divBdr>
              <w:divsChild>
                <w:div w:id="197501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598154">
      <w:bodyDiv w:val="1"/>
      <w:marLeft w:val="0"/>
      <w:marRight w:val="0"/>
      <w:marTop w:val="0"/>
      <w:marBottom w:val="0"/>
      <w:divBdr>
        <w:top w:val="none" w:sz="0" w:space="0" w:color="auto"/>
        <w:left w:val="none" w:sz="0" w:space="0" w:color="auto"/>
        <w:bottom w:val="none" w:sz="0" w:space="0" w:color="auto"/>
        <w:right w:val="none" w:sz="0" w:space="0" w:color="auto"/>
      </w:divBdr>
    </w:div>
    <w:div w:id="1275944418">
      <w:bodyDiv w:val="1"/>
      <w:marLeft w:val="0"/>
      <w:marRight w:val="0"/>
      <w:marTop w:val="0"/>
      <w:marBottom w:val="0"/>
      <w:divBdr>
        <w:top w:val="none" w:sz="0" w:space="0" w:color="auto"/>
        <w:left w:val="none" w:sz="0" w:space="0" w:color="auto"/>
        <w:bottom w:val="none" w:sz="0" w:space="0" w:color="auto"/>
        <w:right w:val="none" w:sz="0" w:space="0" w:color="auto"/>
      </w:divBdr>
      <w:divsChild>
        <w:div w:id="1975984889">
          <w:marLeft w:val="0"/>
          <w:marRight w:val="0"/>
          <w:marTop w:val="0"/>
          <w:marBottom w:val="0"/>
          <w:divBdr>
            <w:top w:val="none" w:sz="0" w:space="0" w:color="auto"/>
            <w:left w:val="none" w:sz="0" w:space="0" w:color="auto"/>
            <w:bottom w:val="none" w:sz="0" w:space="0" w:color="auto"/>
            <w:right w:val="none" w:sz="0" w:space="0" w:color="auto"/>
          </w:divBdr>
          <w:divsChild>
            <w:div w:id="1502500319">
              <w:marLeft w:val="0"/>
              <w:marRight w:val="0"/>
              <w:marTop w:val="0"/>
              <w:marBottom w:val="0"/>
              <w:divBdr>
                <w:top w:val="none" w:sz="0" w:space="0" w:color="auto"/>
                <w:left w:val="none" w:sz="0" w:space="0" w:color="auto"/>
                <w:bottom w:val="none" w:sz="0" w:space="0" w:color="auto"/>
                <w:right w:val="none" w:sz="0" w:space="0" w:color="auto"/>
              </w:divBdr>
              <w:divsChild>
                <w:div w:id="644548037">
                  <w:marLeft w:val="0"/>
                  <w:marRight w:val="0"/>
                  <w:marTop w:val="0"/>
                  <w:marBottom w:val="0"/>
                  <w:divBdr>
                    <w:top w:val="none" w:sz="0" w:space="0" w:color="auto"/>
                    <w:left w:val="none" w:sz="0" w:space="0" w:color="auto"/>
                    <w:bottom w:val="none" w:sz="0" w:space="0" w:color="auto"/>
                    <w:right w:val="none" w:sz="0" w:space="0" w:color="auto"/>
                  </w:divBdr>
                  <w:divsChild>
                    <w:div w:id="380053961">
                      <w:marLeft w:val="0"/>
                      <w:marRight w:val="0"/>
                      <w:marTop w:val="0"/>
                      <w:marBottom w:val="0"/>
                      <w:divBdr>
                        <w:top w:val="none" w:sz="0" w:space="0" w:color="auto"/>
                        <w:left w:val="none" w:sz="0" w:space="0" w:color="auto"/>
                        <w:bottom w:val="none" w:sz="0" w:space="0" w:color="auto"/>
                        <w:right w:val="none" w:sz="0" w:space="0" w:color="auto"/>
                      </w:divBdr>
                      <w:divsChild>
                        <w:div w:id="1150370858">
                          <w:marLeft w:val="0"/>
                          <w:marRight w:val="0"/>
                          <w:marTop w:val="0"/>
                          <w:marBottom w:val="0"/>
                          <w:divBdr>
                            <w:top w:val="none" w:sz="0" w:space="0" w:color="auto"/>
                            <w:left w:val="none" w:sz="0" w:space="0" w:color="auto"/>
                            <w:bottom w:val="none" w:sz="0" w:space="0" w:color="auto"/>
                            <w:right w:val="none" w:sz="0" w:space="0" w:color="auto"/>
                          </w:divBdr>
                          <w:divsChild>
                            <w:div w:id="851652443">
                              <w:marLeft w:val="0"/>
                              <w:marRight w:val="0"/>
                              <w:marTop w:val="0"/>
                              <w:marBottom w:val="0"/>
                              <w:divBdr>
                                <w:top w:val="none" w:sz="0" w:space="0" w:color="auto"/>
                                <w:left w:val="none" w:sz="0" w:space="0" w:color="auto"/>
                                <w:bottom w:val="none" w:sz="0" w:space="0" w:color="auto"/>
                                <w:right w:val="none" w:sz="0" w:space="0" w:color="auto"/>
                              </w:divBdr>
                              <w:divsChild>
                                <w:div w:id="187094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446254">
      <w:bodyDiv w:val="1"/>
      <w:marLeft w:val="0"/>
      <w:marRight w:val="0"/>
      <w:marTop w:val="0"/>
      <w:marBottom w:val="0"/>
      <w:divBdr>
        <w:top w:val="none" w:sz="0" w:space="0" w:color="auto"/>
        <w:left w:val="none" w:sz="0" w:space="0" w:color="auto"/>
        <w:bottom w:val="none" w:sz="0" w:space="0" w:color="auto"/>
        <w:right w:val="none" w:sz="0" w:space="0" w:color="auto"/>
      </w:divBdr>
      <w:divsChild>
        <w:div w:id="2033918450">
          <w:marLeft w:val="0"/>
          <w:marRight w:val="0"/>
          <w:marTop w:val="0"/>
          <w:marBottom w:val="0"/>
          <w:divBdr>
            <w:top w:val="none" w:sz="0" w:space="0" w:color="auto"/>
            <w:left w:val="none" w:sz="0" w:space="0" w:color="auto"/>
            <w:bottom w:val="none" w:sz="0" w:space="0" w:color="auto"/>
            <w:right w:val="none" w:sz="0" w:space="0" w:color="auto"/>
          </w:divBdr>
          <w:divsChild>
            <w:div w:id="32906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792518">
      <w:bodyDiv w:val="1"/>
      <w:marLeft w:val="0"/>
      <w:marRight w:val="0"/>
      <w:marTop w:val="0"/>
      <w:marBottom w:val="0"/>
      <w:divBdr>
        <w:top w:val="none" w:sz="0" w:space="0" w:color="auto"/>
        <w:left w:val="none" w:sz="0" w:space="0" w:color="auto"/>
        <w:bottom w:val="none" w:sz="0" w:space="0" w:color="auto"/>
        <w:right w:val="none" w:sz="0" w:space="0" w:color="auto"/>
      </w:divBdr>
      <w:divsChild>
        <w:div w:id="581988729">
          <w:marLeft w:val="0"/>
          <w:marRight w:val="0"/>
          <w:marTop w:val="0"/>
          <w:marBottom w:val="0"/>
          <w:divBdr>
            <w:top w:val="none" w:sz="0" w:space="0" w:color="auto"/>
            <w:left w:val="none" w:sz="0" w:space="0" w:color="auto"/>
            <w:bottom w:val="none" w:sz="0" w:space="0" w:color="auto"/>
            <w:right w:val="none" w:sz="0" w:space="0" w:color="auto"/>
          </w:divBdr>
        </w:div>
      </w:divsChild>
    </w:div>
    <w:div w:id="1276870393">
      <w:bodyDiv w:val="1"/>
      <w:marLeft w:val="0"/>
      <w:marRight w:val="0"/>
      <w:marTop w:val="0"/>
      <w:marBottom w:val="0"/>
      <w:divBdr>
        <w:top w:val="none" w:sz="0" w:space="0" w:color="auto"/>
        <w:left w:val="none" w:sz="0" w:space="0" w:color="auto"/>
        <w:bottom w:val="none" w:sz="0" w:space="0" w:color="auto"/>
        <w:right w:val="none" w:sz="0" w:space="0" w:color="auto"/>
      </w:divBdr>
      <w:divsChild>
        <w:div w:id="1070494340">
          <w:marLeft w:val="0"/>
          <w:marRight w:val="0"/>
          <w:marTop w:val="0"/>
          <w:marBottom w:val="150"/>
          <w:divBdr>
            <w:top w:val="none" w:sz="0" w:space="0" w:color="auto"/>
            <w:left w:val="none" w:sz="0" w:space="0" w:color="auto"/>
            <w:bottom w:val="none" w:sz="0" w:space="0" w:color="auto"/>
            <w:right w:val="none" w:sz="0" w:space="0" w:color="auto"/>
          </w:divBdr>
        </w:div>
      </w:divsChild>
    </w:div>
    <w:div w:id="1277060425">
      <w:bodyDiv w:val="1"/>
      <w:marLeft w:val="0"/>
      <w:marRight w:val="0"/>
      <w:marTop w:val="0"/>
      <w:marBottom w:val="0"/>
      <w:divBdr>
        <w:top w:val="none" w:sz="0" w:space="0" w:color="auto"/>
        <w:left w:val="none" w:sz="0" w:space="0" w:color="auto"/>
        <w:bottom w:val="none" w:sz="0" w:space="0" w:color="auto"/>
        <w:right w:val="none" w:sz="0" w:space="0" w:color="auto"/>
      </w:divBdr>
      <w:divsChild>
        <w:div w:id="1378433220">
          <w:marLeft w:val="0"/>
          <w:marRight w:val="0"/>
          <w:marTop w:val="0"/>
          <w:marBottom w:val="0"/>
          <w:divBdr>
            <w:top w:val="none" w:sz="0" w:space="0" w:color="auto"/>
            <w:left w:val="none" w:sz="0" w:space="0" w:color="auto"/>
            <w:bottom w:val="none" w:sz="0" w:space="0" w:color="auto"/>
            <w:right w:val="none" w:sz="0" w:space="0" w:color="auto"/>
          </w:divBdr>
        </w:div>
      </w:divsChild>
    </w:div>
    <w:div w:id="1277559794">
      <w:bodyDiv w:val="1"/>
      <w:marLeft w:val="0"/>
      <w:marRight w:val="0"/>
      <w:marTop w:val="0"/>
      <w:marBottom w:val="0"/>
      <w:divBdr>
        <w:top w:val="none" w:sz="0" w:space="0" w:color="auto"/>
        <w:left w:val="none" w:sz="0" w:space="0" w:color="auto"/>
        <w:bottom w:val="none" w:sz="0" w:space="0" w:color="auto"/>
        <w:right w:val="none" w:sz="0" w:space="0" w:color="auto"/>
      </w:divBdr>
      <w:divsChild>
        <w:div w:id="1359811500">
          <w:marLeft w:val="0"/>
          <w:marRight w:val="0"/>
          <w:marTop w:val="0"/>
          <w:marBottom w:val="0"/>
          <w:divBdr>
            <w:top w:val="none" w:sz="0" w:space="0" w:color="auto"/>
            <w:left w:val="none" w:sz="0" w:space="0" w:color="auto"/>
            <w:bottom w:val="none" w:sz="0" w:space="0" w:color="auto"/>
            <w:right w:val="none" w:sz="0" w:space="0" w:color="auto"/>
          </w:divBdr>
          <w:divsChild>
            <w:div w:id="352195858">
              <w:marLeft w:val="0"/>
              <w:marRight w:val="0"/>
              <w:marTop w:val="0"/>
              <w:marBottom w:val="0"/>
              <w:divBdr>
                <w:top w:val="none" w:sz="0" w:space="0" w:color="auto"/>
                <w:left w:val="none" w:sz="0" w:space="0" w:color="auto"/>
                <w:bottom w:val="none" w:sz="0" w:space="0" w:color="auto"/>
                <w:right w:val="none" w:sz="0" w:space="0" w:color="auto"/>
              </w:divBdr>
              <w:divsChild>
                <w:div w:id="1426149756">
                  <w:marLeft w:val="0"/>
                  <w:marRight w:val="0"/>
                  <w:marTop w:val="0"/>
                  <w:marBottom w:val="0"/>
                  <w:divBdr>
                    <w:top w:val="none" w:sz="0" w:space="0" w:color="auto"/>
                    <w:left w:val="none" w:sz="0" w:space="0" w:color="auto"/>
                    <w:bottom w:val="none" w:sz="0" w:space="0" w:color="auto"/>
                    <w:right w:val="none" w:sz="0" w:space="0" w:color="auto"/>
                  </w:divBdr>
                  <w:divsChild>
                    <w:div w:id="1005748085">
                      <w:marLeft w:val="0"/>
                      <w:marRight w:val="0"/>
                      <w:marTop w:val="0"/>
                      <w:marBottom w:val="0"/>
                      <w:divBdr>
                        <w:top w:val="none" w:sz="0" w:space="0" w:color="auto"/>
                        <w:left w:val="none" w:sz="0" w:space="0" w:color="auto"/>
                        <w:bottom w:val="none" w:sz="0" w:space="0" w:color="auto"/>
                        <w:right w:val="none" w:sz="0" w:space="0" w:color="auto"/>
                      </w:divBdr>
                      <w:divsChild>
                        <w:div w:id="1926302132">
                          <w:marLeft w:val="0"/>
                          <w:marRight w:val="0"/>
                          <w:marTop w:val="0"/>
                          <w:marBottom w:val="0"/>
                          <w:divBdr>
                            <w:top w:val="none" w:sz="0" w:space="0" w:color="auto"/>
                            <w:left w:val="none" w:sz="0" w:space="0" w:color="auto"/>
                            <w:bottom w:val="none" w:sz="0" w:space="0" w:color="auto"/>
                            <w:right w:val="none" w:sz="0" w:space="0" w:color="auto"/>
                          </w:divBdr>
                          <w:divsChild>
                            <w:div w:id="1844853784">
                              <w:marLeft w:val="0"/>
                              <w:marRight w:val="0"/>
                              <w:marTop w:val="0"/>
                              <w:marBottom w:val="0"/>
                              <w:divBdr>
                                <w:top w:val="none" w:sz="0" w:space="0" w:color="auto"/>
                                <w:left w:val="none" w:sz="0" w:space="0" w:color="auto"/>
                                <w:bottom w:val="none" w:sz="0" w:space="0" w:color="auto"/>
                                <w:right w:val="none" w:sz="0" w:space="0" w:color="auto"/>
                              </w:divBdr>
                              <w:divsChild>
                                <w:div w:id="1796368137">
                                  <w:marLeft w:val="0"/>
                                  <w:marRight w:val="0"/>
                                  <w:marTop w:val="0"/>
                                  <w:marBottom w:val="0"/>
                                  <w:divBdr>
                                    <w:top w:val="none" w:sz="0" w:space="0" w:color="auto"/>
                                    <w:left w:val="none" w:sz="0" w:space="0" w:color="auto"/>
                                    <w:bottom w:val="none" w:sz="0" w:space="0" w:color="auto"/>
                                    <w:right w:val="none" w:sz="0" w:space="0" w:color="auto"/>
                                  </w:divBdr>
                                  <w:divsChild>
                                    <w:div w:id="34906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8373509">
      <w:bodyDiv w:val="1"/>
      <w:marLeft w:val="0"/>
      <w:marRight w:val="0"/>
      <w:marTop w:val="0"/>
      <w:marBottom w:val="0"/>
      <w:divBdr>
        <w:top w:val="none" w:sz="0" w:space="0" w:color="auto"/>
        <w:left w:val="none" w:sz="0" w:space="0" w:color="auto"/>
        <w:bottom w:val="none" w:sz="0" w:space="0" w:color="auto"/>
        <w:right w:val="none" w:sz="0" w:space="0" w:color="auto"/>
      </w:divBdr>
    </w:div>
    <w:div w:id="1278374094">
      <w:bodyDiv w:val="1"/>
      <w:marLeft w:val="0"/>
      <w:marRight w:val="0"/>
      <w:marTop w:val="0"/>
      <w:marBottom w:val="0"/>
      <w:divBdr>
        <w:top w:val="none" w:sz="0" w:space="0" w:color="auto"/>
        <w:left w:val="none" w:sz="0" w:space="0" w:color="auto"/>
        <w:bottom w:val="none" w:sz="0" w:space="0" w:color="auto"/>
        <w:right w:val="none" w:sz="0" w:space="0" w:color="auto"/>
      </w:divBdr>
    </w:div>
    <w:div w:id="1279754229">
      <w:bodyDiv w:val="1"/>
      <w:marLeft w:val="0"/>
      <w:marRight w:val="0"/>
      <w:marTop w:val="0"/>
      <w:marBottom w:val="0"/>
      <w:divBdr>
        <w:top w:val="none" w:sz="0" w:space="0" w:color="auto"/>
        <w:left w:val="none" w:sz="0" w:space="0" w:color="auto"/>
        <w:bottom w:val="none" w:sz="0" w:space="0" w:color="auto"/>
        <w:right w:val="none" w:sz="0" w:space="0" w:color="auto"/>
      </w:divBdr>
      <w:divsChild>
        <w:div w:id="1095515710">
          <w:marLeft w:val="0"/>
          <w:marRight w:val="0"/>
          <w:marTop w:val="0"/>
          <w:marBottom w:val="450"/>
          <w:divBdr>
            <w:top w:val="none" w:sz="0" w:space="0" w:color="auto"/>
            <w:left w:val="none" w:sz="0" w:space="0" w:color="auto"/>
            <w:bottom w:val="single" w:sz="6" w:space="19" w:color="EEEEEE"/>
            <w:right w:val="none" w:sz="0" w:space="0" w:color="auto"/>
          </w:divBdr>
          <w:divsChild>
            <w:div w:id="452208194">
              <w:marLeft w:val="0"/>
              <w:marRight w:val="0"/>
              <w:marTop w:val="0"/>
              <w:marBottom w:val="150"/>
              <w:divBdr>
                <w:top w:val="none" w:sz="0" w:space="0" w:color="auto"/>
                <w:left w:val="none" w:sz="0" w:space="0" w:color="auto"/>
                <w:bottom w:val="none" w:sz="0" w:space="0" w:color="auto"/>
                <w:right w:val="none" w:sz="0" w:space="0" w:color="auto"/>
              </w:divBdr>
              <w:divsChild>
                <w:div w:id="2010864383">
                  <w:marLeft w:val="0"/>
                  <w:marRight w:val="0"/>
                  <w:marTop w:val="0"/>
                  <w:marBottom w:val="0"/>
                  <w:divBdr>
                    <w:top w:val="none" w:sz="0" w:space="0" w:color="auto"/>
                    <w:left w:val="none" w:sz="0" w:space="0" w:color="auto"/>
                    <w:bottom w:val="none" w:sz="0" w:space="0" w:color="auto"/>
                    <w:right w:val="none" w:sz="0" w:space="0" w:color="auto"/>
                  </w:divBdr>
                </w:div>
              </w:divsChild>
            </w:div>
            <w:div w:id="1420559282">
              <w:marLeft w:val="0"/>
              <w:marRight w:val="0"/>
              <w:marTop w:val="0"/>
              <w:marBottom w:val="0"/>
              <w:divBdr>
                <w:top w:val="none" w:sz="0" w:space="0" w:color="auto"/>
                <w:left w:val="none" w:sz="0" w:space="0" w:color="auto"/>
                <w:bottom w:val="none" w:sz="0" w:space="0" w:color="auto"/>
                <w:right w:val="none" w:sz="0" w:space="0" w:color="auto"/>
              </w:divBdr>
            </w:div>
          </w:divsChild>
        </w:div>
        <w:div w:id="2135365869">
          <w:marLeft w:val="0"/>
          <w:marRight w:val="0"/>
          <w:marTop w:val="0"/>
          <w:marBottom w:val="0"/>
          <w:divBdr>
            <w:top w:val="none" w:sz="0" w:space="0" w:color="auto"/>
            <w:left w:val="none" w:sz="0" w:space="0" w:color="auto"/>
            <w:bottom w:val="none" w:sz="0" w:space="0" w:color="auto"/>
            <w:right w:val="none" w:sz="0" w:space="0" w:color="auto"/>
          </w:divBdr>
          <w:divsChild>
            <w:div w:id="1018966169">
              <w:marLeft w:val="0"/>
              <w:marRight w:val="0"/>
              <w:marTop w:val="0"/>
              <w:marBottom w:val="0"/>
              <w:divBdr>
                <w:top w:val="none" w:sz="0" w:space="0" w:color="auto"/>
                <w:left w:val="none" w:sz="0" w:space="0" w:color="auto"/>
                <w:bottom w:val="none" w:sz="0" w:space="0" w:color="auto"/>
                <w:right w:val="none" w:sz="0" w:space="0" w:color="auto"/>
              </w:divBdr>
              <w:divsChild>
                <w:div w:id="172506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920438">
      <w:bodyDiv w:val="1"/>
      <w:marLeft w:val="0"/>
      <w:marRight w:val="0"/>
      <w:marTop w:val="0"/>
      <w:marBottom w:val="0"/>
      <w:divBdr>
        <w:top w:val="none" w:sz="0" w:space="0" w:color="auto"/>
        <w:left w:val="none" w:sz="0" w:space="0" w:color="auto"/>
        <w:bottom w:val="none" w:sz="0" w:space="0" w:color="auto"/>
        <w:right w:val="none" w:sz="0" w:space="0" w:color="auto"/>
      </w:divBdr>
      <w:divsChild>
        <w:div w:id="2010402433">
          <w:marLeft w:val="0"/>
          <w:marRight w:val="0"/>
          <w:marTop w:val="0"/>
          <w:marBottom w:val="0"/>
          <w:divBdr>
            <w:top w:val="none" w:sz="0" w:space="0" w:color="auto"/>
            <w:left w:val="none" w:sz="0" w:space="0" w:color="auto"/>
            <w:bottom w:val="none" w:sz="0" w:space="0" w:color="auto"/>
            <w:right w:val="none" w:sz="0" w:space="0" w:color="auto"/>
          </w:divBdr>
          <w:divsChild>
            <w:div w:id="87819511">
              <w:marLeft w:val="0"/>
              <w:marRight w:val="0"/>
              <w:marTop w:val="0"/>
              <w:marBottom w:val="0"/>
              <w:divBdr>
                <w:top w:val="none" w:sz="0" w:space="0" w:color="auto"/>
                <w:left w:val="none" w:sz="0" w:space="0" w:color="auto"/>
                <w:bottom w:val="none" w:sz="0" w:space="0" w:color="auto"/>
                <w:right w:val="none" w:sz="0" w:space="0" w:color="auto"/>
              </w:divBdr>
              <w:divsChild>
                <w:div w:id="590939750">
                  <w:marLeft w:val="0"/>
                  <w:marRight w:val="0"/>
                  <w:marTop w:val="0"/>
                  <w:marBottom w:val="176"/>
                  <w:divBdr>
                    <w:top w:val="none" w:sz="0" w:space="0" w:color="auto"/>
                    <w:left w:val="none" w:sz="0" w:space="0" w:color="auto"/>
                    <w:bottom w:val="none" w:sz="0" w:space="0" w:color="auto"/>
                    <w:right w:val="none" w:sz="0" w:space="0" w:color="auto"/>
                  </w:divBdr>
                  <w:divsChild>
                    <w:div w:id="679819886">
                      <w:marLeft w:val="0"/>
                      <w:marRight w:val="0"/>
                      <w:marTop w:val="0"/>
                      <w:marBottom w:val="0"/>
                      <w:divBdr>
                        <w:top w:val="none" w:sz="0" w:space="0" w:color="auto"/>
                        <w:left w:val="none" w:sz="0" w:space="0" w:color="auto"/>
                        <w:bottom w:val="none" w:sz="0" w:space="0" w:color="auto"/>
                        <w:right w:val="none" w:sz="0" w:space="0" w:color="auto"/>
                      </w:divBdr>
                      <w:divsChild>
                        <w:div w:id="1615670897">
                          <w:marLeft w:val="0"/>
                          <w:marRight w:val="0"/>
                          <w:marTop w:val="0"/>
                          <w:marBottom w:val="0"/>
                          <w:divBdr>
                            <w:top w:val="none" w:sz="0" w:space="0" w:color="auto"/>
                            <w:left w:val="none" w:sz="0" w:space="0" w:color="auto"/>
                            <w:bottom w:val="none" w:sz="0" w:space="0" w:color="auto"/>
                            <w:right w:val="none" w:sz="0" w:space="0" w:color="auto"/>
                          </w:divBdr>
                          <w:divsChild>
                            <w:div w:id="1336957063">
                              <w:marLeft w:val="0"/>
                              <w:marRight w:val="0"/>
                              <w:marTop w:val="0"/>
                              <w:marBottom w:val="0"/>
                              <w:divBdr>
                                <w:top w:val="none" w:sz="0" w:space="0" w:color="auto"/>
                                <w:left w:val="none" w:sz="0" w:space="0" w:color="auto"/>
                                <w:bottom w:val="none" w:sz="0" w:space="0" w:color="auto"/>
                                <w:right w:val="none" w:sz="0" w:space="0" w:color="auto"/>
                              </w:divBdr>
                              <w:divsChild>
                                <w:div w:id="938683754">
                                  <w:marLeft w:val="0"/>
                                  <w:marRight w:val="0"/>
                                  <w:marTop w:val="0"/>
                                  <w:marBottom w:val="0"/>
                                  <w:divBdr>
                                    <w:top w:val="none" w:sz="0" w:space="0" w:color="auto"/>
                                    <w:left w:val="none" w:sz="0" w:space="0" w:color="auto"/>
                                    <w:bottom w:val="none" w:sz="0" w:space="0" w:color="auto"/>
                                    <w:right w:val="none" w:sz="0" w:space="0" w:color="auto"/>
                                  </w:divBdr>
                                  <w:divsChild>
                                    <w:div w:id="255788537">
                                      <w:marLeft w:val="0"/>
                                      <w:marRight w:val="0"/>
                                      <w:marTop w:val="0"/>
                                      <w:marBottom w:val="0"/>
                                      <w:divBdr>
                                        <w:top w:val="none" w:sz="0" w:space="0" w:color="auto"/>
                                        <w:left w:val="none" w:sz="0" w:space="0" w:color="auto"/>
                                        <w:bottom w:val="none" w:sz="0" w:space="0" w:color="auto"/>
                                        <w:right w:val="none" w:sz="0" w:space="0" w:color="auto"/>
                                      </w:divBdr>
                                      <w:divsChild>
                                        <w:div w:id="1222252426">
                                          <w:marLeft w:val="0"/>
                                          <w:marRight w:val="0"/>
                                          <w:marTop w:val="0"/>
                                          <w:marBottom w:val="0"/>
                                          <w:divBdr>
                                            <w:top w:val="none" w:sz="0" w:space="0" w:color="auto"/>
                                            <w:left w:val="none" w:sz="0" w:space="0" w:color="auto"/>
                                            <w:bottom w:val="none" w:sz="0" w:space="0" w:color="auto"/>
                                            <w:right w:val="none" w:sz="0" w:space="0" w:color="auto"/>
                                          </w:divBdr>
                                          <w:divsChild>
                                            <w:div w:id="1029723901">
                                              <w:marLeft w:val="0"/>
                                              <w:marRight w:val="0"/>
                                              <w:marTop w:val="0"/>
                                              <w:marBottom w:val="0"/>
                                              <w:divBdr>
                                                <w:top w:val="none" w:sz="0" w:space="0" w:color="auto"/>
                                                <w:left w:val="none" w:sz="0" w:space="0" w:color="auto"/>
                                                <w:bottom w:val="none" w:sz="0" w:space="0" w:color="auto"/>
                                                <w:right w:val="none" w:sz="0" w:space="0" w:color="auto"/>
                                              </w:divBdr>
                                              <w:divsChild>
                                                <w:div w:id="20305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9989245">
      <w:bodyDiv w:val="1"/>
      <w:marLeft w:val="0"/>
      <w:marRight w:val="0"/>
      <w:marTop w:val="0"/>
      <w:marBottom w:val="0"/>
      <w:divBdr>
        <w:top w:val="none" w:sz="0" w:space="0" w:color="auto"/>
        <w:left w:val="none" w:sz="0" w:space="0" w:color="auto"/>
        <w:bottom w:val="none" w:sz="0" w:space="0" w:color="auto"/>
        <w:right w:val="none" w:sz="0" w:space="0" w:color="auto"/>
      </w:divBdr>
      <w:divsChild>
        <w:div w:id="600644805">
          <w:marLeft w:val="0"/>
          <w:marRight w:val="0"/>
          <w:marTop w:val="0"/>
          <w:marBottom w:val="0"/>
          <w:divBdr>
            <w:top w:val="none" w:sz="0" w:space="0" w:color="auto"/>
            <w:left w:val="none" w:sz="0" w:space="0" w:color="auto"/>
            <w:bottom w:val="none" w:sz="0" w:space="0" w:color="auto"/>
            <w:right w:val="none" w:sz="0" w:space="0" w:color="auto"/>
          </w:divBdr>
          <w:divsChild>
            <w:div w:id="577517369">
              <w:marLeft w:val="0"/>
              <w:marRight w:val="0"/>
              <w:marTop w:val="0"/>
              <w:marBottom w:val="0"/>
              <w:divBdr>
                <w:top w:val="none" w:sz="0" w:space="0" w:color="auto"/>
                <w:left w:val="none" w:sz="0" w:space="0" w:color="auto"/>
                <w:bottom w:val="none" w:sz="0" w:space="0" w:color="auto"/>
                <w:right w:val="none" w:sz="0" w:space="0" w:color="auto"/>
              </w:divBdr>
              <w:divsChild>
                <w:div w:id="1964730199">
                  <w:marLeft w:val="0"/>
                  <w:marRight w:val="0"/>
                  <w:marTop w:val="0"/>
                  <w:marBottom w:val="0"/>
                  <w:divBdr>
                    <w:top w:val="none" w:sz="0" w:space="0" w:color="auto"/>
                    <w:left w:val="none" w:sz="0" w:space="0" w:color="auto"/>
                    <w:bottom w:val="none" w:sz="0" w:space="0" w:color="auto"/>
                    <w:right w:val="none" w:sz="0" w:space="0" w:color="auto"/>
                  </w:divBdr>
                  <w:divsChild>
                    <w:div w:id="1284583047">
                      <w:marLeft w:val="0"/>
                      <w:marRight w:val="0"/>
                      <w:marTop w:val="0"/>
                      <w:marBottom w:val="0"/>
                      <w:divBdr>
                        <w:top w:val="none" w:sz="0" w:space="0" w:color="auto"/>
                        <w:left w:val="none" w:sz="0" w:space="0" w:color="auto"/>
                        <w:bottom w:val="none" w:sz="0" w:space="0" w:color="auto"/>
                        <w:right w:val="none" w:sz="0" w:space="0" w:color="auto"/>
                      </w:divBdr>
                      <w:divsChild>
                        <w:div w:id="1066685551">
                          <w:marLeft w:val="0"/>
                          <w:marRight w:val="0"/>
                          <w:marTop w:val="0"/>
                          <w:marBottom w:val="0"/>
                          <w:divBdr>
                            <w:top w:val="none" w:sz="0" w:space="0" w:color="auto"/>
                            <w:left w:val="none" w:sz="0" w:space="0" w:color="auto"/>
                            <w:bottom w:val="none" w:sz="0" w:space="0" w:color="auto"/>
                            <w:right w:val="none" w:sz="0" w:space="0" w:color="auto"/>
                          </w:divBdr>
                          <w:divsChild>
                            <w:div w:id="499663621">
                              <w:marLeft w:val="0"/>
                              <w:marRight w:val="0"/>
                              <w:marTop w:val="0"/>
                              <w:marBottom w:val="0"/>
                              <w:divBdr>
                                <w:top w:val="none" w:sz="0" w:space="0" w:color="auto"/>
                                <w:left w:val="none" w:sz="0" w:space="0" w:color="auto"/>
                                <w:bottom w:val="none" w:sz="0" w:space="0" w:color="auto"/>
                                <w:right w:val="none" w:sz="0" w:space="0" w:color="auto"/>
                              </w:divBdr>
                              <w:divsChild>
                                <w:div w:id="2144153781">
                                  <w:marLeft w:val="0"/>
                                  <w:marRight w:val="0"/>
                                  <w:marTop w:val="0"/>
                                  <w:marBottom w:val="0"/>
                                  <w:divBdr>
                                    <w:top w:val="none" w:sz="0" w:space="0" w:color="auto"/>
                                    <w:left w:val="none" w:sz="0" w:space="0" w:color="auto"/>
                                    <w:bottom w:val="none" w:sz="0" w:space="0" w:color="auto"/>
                                    <w:right w:val="none" w:sz="0" w:space="0" w:color="auto"/>
                                  </w:divBdr>
                                  <w:divsChild>
                                    <w:div w:id="1280450652">
                                      <w:marLeft w:val="0"/>
                                      <w:marRight w:val="0"/>
                                      <w:marTop w:val="0"/>
                                      <w:marBottom w:val="0"/>
                                      <w:divBdr>
                                        <w:top w:val="none" w:sz="0" w:space="0" w:color="auto"/>
                                        <w:left w:val="none" w:sz="0" w:space="0" w:color="auto"/>
                                        <w:bottom w:val="none" w:sz="0" w:space="0" w:color="auto"/>
                                        <w:right w:val="none" w:sz="0" w:space="0" w:color="auto"/>
                                      </w:divBdr>
                                      <w:divsChild>
                                        <w:div w:id="119553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0184016">
      <w:bodyDiv w:val="1"/>
      <w:marLeft w:val="0"/>
      <w:marRight w:val="0"/>
      <w:marTop w:val="0"/>
      <w:marBottom w:val="0"/>
      <w:divBdr>
        <w:top w:val="none" w:sz="0" w:space="0" w:color="auto"/>
        <w:left w:val="none" w:sz="0" w:space="0" w:color="auto"/>
        <w:bottom w:val="none" w:sz="0" w:space="0" w:color="auto"/>
        <w:right w:val="none" w:sz="0" w:space="0" w:color="auto"/>
      </w:divBdr>
      <w:divsChild>
        <w:div w:id="712924118">
          <w:marLeft w:val="0"/>
          <w:marRight w:val="0"/>
          <w:marTop w:val="0"/>
          <w:marBottom w:val="0"/>
          <w:divBdr>
            <w:top w:val="none" w:sz="0" w:space="0" w:color="auto"/>
            <w:left w:val="none" w:sz="0" w:space="0" w:color="auto"/>
            <w:bottom w:val="dotted" w:sz="6" w:space="4" w:color="DDDDDD"/>
            <w:right w:val="none" w:sz="0" w:space="0" w:color="auto"/>
          </w:divBdr>
          <w:divsChild>
            <w:div w:id="179675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454885">
      <w:bodyDiv w:val="1"/>
      <w:marLeft w:val="0"/>
      <w:marRight w:val="0"/>
      <w:marTop w:val="0"/>
      <w:marBottom w:val="0"/>
      <w:divBdr>
        <w:top w:val="none" w:sz="0" w:space="0" w:color="auto"/>
        <w:left w:val="none" w:sz="0" w:space="0" w:color="auto"/>
        <w:bottom w:val="none" w:sz="0" w:space="0" w:color="auto"/>
        <w:right w:val="none" w:sz="0" w:space="0" w:color="auto"/>
      </w:divBdr>
      <w:divsChild>
        <w:div w:id="1288731862">
          <w:marLeft w:val="0"/>
          <w:marRight w:val="0"/>
          <w:marTop w:val="0"/>
          <w:marBottom w:val="0"/>
          <w:divBdr>
            <w:top w:val="none" w:sz="0" w:space="0" w:color="auto"/>
            <w:left w:val="none" w:sz="0" w:space="0" w:color="auto"/>
            <w:bottom w:val="none" w:sz="0" w:space="0" w:color="auto"/>
            <w:right w:val="none" w:sz="0" w:space="0" w:color="auto"/>
          </w:divBdr>
        </w:div>
      </w:divsChild>
    </w:div>
    <w:div w:id="1280603561">
      <w:bodyDiv w:val="1"/>
      <w:marLeft w:val="0"/>
      <w:marRight w:val="0"/>
      <w:marTop w:val="0"/>
      <w:marBottom w:val="0"/>
      <w:divBdr>
        <w:top w:val="none" w:sz="0" w:space="0" w:color="auto"/>
        <w:left w:val="none" w:sz="0" w:space="0" w:color="auto"/>
        <w:bottom w:val="none" w:sz="0" w:space="0" w:color="auto"/>
        <w:right w:val="none" w:sz="0" w:space="0" w:color="auto"/>
      </w:divBdr>
      <w:divsChild>
        <w:div w:id="75831923">
          <w:marLeft w:val="0"/>
          <w:marRight w:val="0"/>
          <w:marTop w:val="0"/>
          <w:marBottom w:val="150"/>
          <w:divBdr>
            <w:top w:val="none" w:sz="0" w:space="0" w:color="auto"/>
            <w:left w:val="none" w:sz="0" w:space="0" w:color="auto"/>
            <w:bottom w:val="none" w:sz="0" w:space="0" w:color="auto"/>
            <w:right w:val="none" w:sz="0" w:space="0" w:color="auto"/>
          </w:divBdr>
        </w:div>
      </w:divsChild>
    </w:div>
    <w:div w:id="1280645634">
      <w:bodyDiv w:val="1"/>
      <w:marLeft w:val="0"/>
      <w:marRight w:val="0"/>
      <w:marTop w:val="0"/>
      <w:marBottom w:val="0"/>
      <w:divBdr>
        <w:top w:val="none" w:sz="0" w:space="0" w:color="auto"/>
        <w:left w:val="none" w:sz="0" w:space="0" w:color="auto"/>
        <w:bottom w:val="none" w:sz="0" w:space="0" w:color="auto"/>
        <w:right w:val="none" w:sz="0" w:space="0" w:color="auto"/>
      </w:divBdr>
      <w:divsChild>
        <w:div w:id="820343768">
          <w:marLeft w:val="0"/>
          <w:marRight w:val="0"/>
          <w:marTop w:val="0"/>
          <w:marBottom w:val="0"/>
          <w:divBdr>
            <w:top w:val="none" w:sz="0" w:space="0" w:color="auto"/>
            <w:left w:val="none" w:sz="0" w:space="0" w:color="auto"/>
            <w:bottom w:val="dotted" w:sz="6" w:space="4" w:color="DDDDDD"/>
            <w:right w:val="none" w:sz="0" w:space="0" w:color="auto"/>
          </w:divBdr>
        </w:div>
      </w:divsChild>
    </w:div>
    <w:div w:id="1281257097">
      <w:bodyDiv w:val="1"/>
      <w:marLeft w:val="0"/>
      <w:marRight w:val="0"/>
      <w:marTop w:val="0"/>
      <w:marBottom w:val="0"/>
      <w:divBdr>
        <w:top w:val="none" w:sz="0" w:space="0" w:color="auto"/>
        <w:left w:val="none" w:sz="0" w:space="0" w:color="auto"/>
        <w:bottom w:val="none" w:sz="0" w:space="0" w:color="auto"/>
        <w:right w:val="none" w:sz="0" w:space="0" w:color="auto"/>
      </w:divBdr>
      <w:divsChild>
        <w:div w:id="1575048243">
          <w:marLeft w:val="0"/>
          <w:marRight w:val="0"/>
          <w:marTop w:val="0"/>
          <w:marBottom w:val="0"/>
          <w:divBdr>
            <w:top w:val="none" w:sz="0" w:space="0" w:color="auto"/>
            <w:left w:val="none" w:sz="0" w:space="0" w:color="auto"/>
            <w:bottom w:val="dotted" w:sz="6" w:space="4" w:color="DDDDDD"/>
            <w:right w:val="none" w:sz="0" w:space="0" w:color="auto"/>
          </w:divBdr>
          <w:divsChild>
            <w:div w:id="83430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5525">
      <w:bodyDiv w:val="1"/>
      <w:marLeft w:val="0"/>
      <w:marRight w:val="0"/>
      <w:marTop w:val="0"/>
      <w:marBottom w:val="0"/>
      <w:divBdr>
        <w:top w:val="none" w:sz="0" w:space="0" w:color="auto"/>
        <w:left w:val="none" w:sz="0" w:space="0" w:color="auto"/>
        <w:bottom w:val="none" w:sz="0" w:space="0" w:color="auto"/>
        <w:right w:val="none" w:sz="0" w:space="0" w:color="auto"/>
      </w:divBdr>
      <w:divsChild>
        <w:div w:id="245920021">
          <w:marLeft w:val="0"/>
          <w:marRight w:val="0"/>
          <w:marTop w:val="0"/>
          <w:marBottom w:val="150"/>
          <w:divBdr>
            <w:top w:val="none" w:sz="0" w:space="0" w:color="auto"/>
            <w:left w:val="none" w:sz="0" w:space="0" w:color="auto"/>
            <w:bottom w:val="none" w:sz="0" w:space="0" w:color="auto"/>
            <w:right w:val="none" w:sz="0" w:space="0" w:color="auto"/>
          </w:divBdr>
        </w:div>
      </w:divsChild>
    </w:div>
    <w:div w:id="1281834836">
      <w:bodyDiv w:val="1"/>
      <w:marLeft w:val="0"/>
      <w:marRight w:val="0"/>
      <w:marTop w:val="0"/>
      <w:marBottom w:val="0"/>
      <w:divBdr>
        <w:top w:val="none" w:sz="0" w:space="0" w:color="auto"/>
        <w:left w:val="none" w:sz="0" w:space="0" w:color="auto"/>
        <w:bottom w:val="none" w:sz="0" w:space="0" w:color="auto"/>
        <w:right w:val="none" w:sz="0" w:space="0" w:color="auto"/>
      </w:divBdr>
      <w:divsChild>
        <w:div w:id="78674803">
          <w:marLeft w:val="0"/>
          <w:marRight w:val="0"/>
          <w:marTop w:val="0"/>
          <w:marBottom w:val="0"/>
          <w:divBdr>
            <w:top w:val="none" w:sz="0" w:space="0" w:color="auto"/>
            <w:left w:val="none" w:sz="0" w:space="0" w:color="auto"/>
            <w:bottom w:val="none" w:sz="0" w:space="0" w:color="auto"/>
            <w:right w:val="none" w:sz="0" w:space="0" w:color="auto"/>
          </w:divBdr>
          <w:divsChild>
            <w:div w:id="191264539">
              <w:marLeft w:val="0"/>
              <w:marRight w:val="0"/>
              <w:marTop w:val="0"/>
              <w:marBottom w:val="0"/>
              <w:divBdr>
                <w:top w:val="none" w:sz="0" w:space="0" w:color="auto"/>
                <w:left w:val="none" w:sz="0" w:space="0" w:color="auto"/>
                <w:bottom w:val="none" w:sz="0" w:space="0" w:color="auto"/>
                <w:right w:val="none" w:sz="0" w:space="0" w:color="auto"/>
              </w:divBdr>
              <w:divsChild>
                <w:div w:id="90060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904958">
          <w:marLeft w:val="0"/>
          <w:marRight w:val="0"/>
          <w:marTop w:val="0"/>
          <w:marBottom w:val="75"/>
          <w:divBdr>
            <w:top w:val="none" w:sz="0" w:space="0" w:color="auto"/>
            <w:left w:val="none" w:sz="0" w:space="0" w:color="auto"/>
            <w:bottom w:val="none" w:sz="0" w:space="0" w:color="auto"/>
            <w:right w:val="none" w:sz="0" w:space="0" w:color="auto"/>
          </w:divBdr>
        </w:div>
        <w:div w:id="552620356">
          <w:marLeft w:val="0"/>
          <w:marRight w:val="0"/>
          <w:marTop w:val="0"/>
          <w:marBottom w:val="0"/>
          <w:divBdr>
            <w:top w:val="none" w:sz="0" w:space="0" w:color="auto"/>
            <w:left w:val="none" w:sz="0" w:space="0" w:color="auto"/>
            <w:bottom w:val="none" w:sz="0" w:space="0" w:color="auto"/>
            <w:right w:val="none" w:sz="0" w:space="0" w:color="auto"/>
          </w:divBdr>
          <w:divsChild>
            <w:div w:id="670377982">
              <w:marLeft w:val="0"/>
              <w:marRight w:val="0"/>
              <w:marTop w:val="0"/>
              <w:marBottom w:val="0"/>
              <w:divBdr>
                <w:top w:val="none" w:sz="0" w:space="0" w:color="auto"/>
                <w:left w:val="none" w:sz="0" w:space="0" w:color="auto"/>
                <w:bottom w:val="none" w:sz="0" w:space="0" w:color="auto"/>
                <w:right w:val="none" w:sz="0" w:space="0" w:color="auto"/>
              </w:divBdr>
              <w:divsChild>
                <w:div w:id="1795979257">
                  <w:marLeft w:val="0"/>
                  <w:marRight w:val="0"/>
                  <w:marTop w:val="0"/>
                  <w:marBottom w:val="450"/>
                  <w:divBdr>
                    <w:top w:val="none" w:sz="0" w:space="0" w:color="auto"/>
                    <w:left w:val="none" w:sz="0" w:space="0" w:color="auto"/>
                    <w:bottom w:val="none" w:sz="0" w:space="0" w:color="auto"/>
                    <w:right w:val="none" w:sz="0" w:space="0" w:color="auto"/>
                  </w:divBdr>
                  <w:divsChild>
                    <w:div w:id="3637525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81885057">
      <w:bodyDiv w:val="1"/>
      <w:marLeft w:val="0"/>
      <w:marRight w:val="0"/>
      <w:marTop w:val="0"/>
      <w:marBottom w:val="0"/>
      <w:divBdr>
        <w:top w:val="none" w:sz="0" w:space="0" w:color="auto"/>
        <w:left w:val="none" w:sz="0" w:space="0" w:color="auto"/>
        <w:bottom w:val="none" w:sz="0" w:space="0" w:color="auto"/>
        <w:right w:val="none" w:sz="0" w:space="0" w:color="auto"/>
      </w:divBdr>
      <w:divsChild>
        <w:div w:id="860171302">
          <w:marLeft w:val="0"/>
          <w:marRight w:val="0"/>
          <w:marTop w:val="0"/>
          <w:marBottom w:val="225"/>
          <w:divBdr>
            <w:top w:val="none" w:sz="0" w:space="0" w:color="auto"/>
            <w:left w:val="none" w:sz="0" w:space="0" w:color="auto"/>
            <w:bottom w:val="none" w:sz="0" w:space="0" w:color="auto"/>
            <w:right w:val="none" w:sz="0" w:space="0" w:color="auto"/>
          </w:divBdr>
          <w:divsChild>
            <w:div w:id="896546774">
              <w:marLeft w:val="0"/>
              <w:marRight w:val="0"/>
              <w:marTop w:val="0"/>
              <w:marBottom w:val="0"/>
              <w:divBdr>
                <w:top w:val="none" w:sz="0" w:space="0" w:color="auto"/>
                <w:left w:val="none" w:sz="0" w:space="0" w:color="auto"/>
                <w:bottom w:val="none" w:sz="0" w:space="0" w:color="auto"/>
                <w:right w:val="none" w:sz="0" w:space="0" w:color="auto"/>
              </w:divBdr>
              <w:divsChild>
                <w:div w:id="27459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092069">
          <w:marLeft w:val="0"/>
          <w:marRight w:val="0"/>
          <w:marTop w:val="0"/>
          <w:marBottom w:val="225"/>
          <w:divBdr>
            <w:top w:val="none" w:sz="0" w:space="0" w:color="auto"/>
            <w:left w:val="none" w:sz="0" w:space="0" w:color="auto"/>
            <w:bottom w:val="none" w:sz="0" w:space="0" w:color="auto"/>
            <w:right w:val="none" w:sz="0" w:space="0" w:color="auto"/>
          </w:divBdr>
        </w:div>
      </w:divsChild>
    </w:div>
    <w:div w:id="1282305279">
      <w:bodyDiv w:val="1"/>
      <w:marLeft w:val="0"/>
      <w:marRight w:val="0"/>
      <w:marTop w:val="0"/>
      <w:marBottom w:val="0"/>
      <w:divBdr>
        <w:top w:val="none" w:sz="0" w:space="0" w:color="auto"/>
        <w:left w:val="none" w:sz="0" w:space="0" w:color="auto"/>
        <w:bottom w:val="none" w:sz="0" w:space="0" w:color="auto"/>
        <w:right w:val="none" w:sz="0" w:space="0" w:color="auto"/>
      </w:divBdr>
      <w:divsChild>
        <w:div w:id="2128112609">
          <w:marLeft w:val="0"/>
          <w:marRight w:val="0"/>
          <w:marTop w:val="0"/>
          <w:marBottom w:val="0"/>
          <w:divBdr>
            <w:top w:val="none" w:sz="0" w:space="0" w:color="auto"/>
            <w:left w:val="none" w:sz="0" w:space="0" w:color="auto"/>
            <w:bottom w:val="none" w:sz="0" w:space="0" w:color="auto"/>
            <w:right w:val="none" w:sz="0" w:space="0" w:color="auto"/>
          </w:divBdr>
          <w:divsChild>
            <w:div w:id="929972869">
              <w:marLeft w:val="0"/>
              <w:marRight w:val="0"/>
              <w:marTop w:val="0"/>
              <w:marBottom w:val="0"/>
              <w:divBdr>
                <w:top w:val="none" w:sz="0" w:space="0" w:color="auto"/>
                <w:left w:val="none" w:sz="0" w:space="0" w:color="auto"/>
                <w:bottom w:val="none" w:sz="0" w:space="0" w:color="auto"/>
                <w:right w:val="none" w:sz="0" w:space="0" w:color="auto"/>
              </w:divBdr>
              <w:divsChild>
                <w:div w:id="1557207657">
                  <w:marLeft w:val="0"/>
                  <w:marRight w:val="0"/>
                  <w:marTop w:val="0"/>
                  <w:marBottom w:val="0"/>
                  <w:divBdr>
                    <w:top w:val="none" w:sz="0" w:space="0" w:color="auto"/>
                    <w:left w:val="none" w:sz="0" w:space="0" w:color="auto"/>
                    <w:bottom w:val="none" w:sz="0" w:space="0" w:color="auto"/>
                    <w:right w:val="none" w:sz="0" w:space="0" w:color="auto"/>
                  </w:divBdr>
                  <w:divsChild>
                    <w:div w:id="1336221951">
                      <w:marLeft w:val="0"/>
                      <w:marRight w:val="0"/>
                      <w:marTop w:val="0"/>
                      <w:marBottom w:val="0"/>
                      <w:divBdr>
                        <w:top w:val="none" w:sz="0" w:space="0" w:color="auto"/>
                        <w:left w:val="none" w:sz="0" w:space="0" w:color="auto"/>
                        <w:bottom w:val="none" w:sz="0" w:space="0" w:color="auto"/>
                        <w:right w:val="none" w:sz="0" w:space="0" w:color="auto"/>
                      </w:divBdr>
                      <w:divsChild>
                        <w:div w:id="1010570397">
                          <w:marLeft w:val="0"/>
                          <w:marRight w:val="0"/>
                          <w:marTop w:val="0"/>
                          <w:marBottom w:val="0"/>
                          <w:divBdr>
                            <w:top w:val="none" w:sz="0" w:space="0" w:color="auto"/>
                            <w:left w:val="none" w:sz="0" w:space="0" w:color="auto"/>
                            <w:bottom w:val="none" w:sz="0" w:space="0" w:color="auto"/>
                            <w:right w:val="none" w:sz="0" w:space="0" w:color="auto"/>
                          </w:divBdr>
                          <w:divsChild>
                            <w:div w:id="877353341">
                              <w:marLeft w:val="0"/>
                              <w:marRight w:val="0"/>
                              <w:marTop w:val="0"/>
                              <w:marBottom w:val="0"/>
                              <w:divBdr>
                                <w:top w:val="none" w:sz="0" w:space="0" w:color="auto"/>
                                <w:left w:val="none" w:sz="0" w:space="0" w:color="auto"/>
                                <w:bottom w:val="none" w:sz="0" w:space="0" w:color="auto"/>
                                <w:right w:val="none" w:sz="0" w:space="0" w:color="auto"/>
                              </w:divBdr>
                              <w:divsChild>
                                <w:div w:id="983311177">
                                  <w:marLeft w:val="0"/>
                                  <w:marRight w:val="0"/>
                                  <w:marTop w:val="0"/>
                                  <w:marBottom w:val="0"/>
                                  <w:divBdr>
                                    <w:top w:val="none" w:sz="0" w:space="0" w:color="auto"/>
                                    <w:left w:val="none" w:sz="0" w:space="0" w:color="auto"/>
                                    <w:bottom w:val="none" w:sz="0" w:space="0" w:color="auto"/>
                                    <w:right w:val="none" w:sz="0" w:space="0" w:color="auto"/>
                                  </w:divBdr>
                                  <w:divsChild>
                                    <w:div w:id="196873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3076178">
      <w:bodyDiv w:val="1"/>
      <w:marLeft w:val="0"/>
      <w:marRight w:val="0"/>
      <w:marTop w:val="0"/>
      <w:marBottom w:val="0"/>
      <w:divBdr>
        <w:top w:val="none" w:sz="0" w:space="0" w:color="auto"/>
        <w:left w:val="none" w:sz="0" w:space="0" w:color="auto"/>
        <w:bottom w:val="none" w:sz="0" w:space="0" w:color="auto"/>
        <w:right w:val="none" w:sz="0" w:space="0" w:color="auto"/>
      </w:divBdr>
      <w:divsChild>
        <w:div w:id="877468893">
          <w:marLeft w:val="0"/>
          <w:marRight w:val="0"/>
          <w:marTop w:val="0"/>
          <w:marBottom w:val="0"/>
          <w:divBdr>
            <w:top w:val="none" w:sz="0" w:space="0" w:color="auto"/>
            <w:left w:val="none" w:sz="0" w:space="0" w:color="auto"/>
            <w:bottom w:val="dotted" w:sz="6" w:space="4" w:color="DDDDDD"/>
            <w:right w:val="none" w:sz="0" w:space="0" w:color="auto"/>
          </w:divBdr>
        </w:div>
      </w:divsChild>
    </w:div>
    <w:div w:id="1283154119">
      <w:bodyDiv w:val="1"/>
      <w:marLeft w:val="0"/>
      <w:marRight w:val="0"/>
      <w:marTop w:val="0"/>
      <w:marBottom w:val="0"/>
      <w:divBdr>
        <w:top w:val="none" w:sz="0" w:space="0" w:color="auto"/>
        <w:left w:val="none" w:sz="0" w:space="0" w:color="auto"/>
        <w:bottom w:val="none" w:sz="0" w:space="0" w:color="auto"/>
        <w:right w:val="none" w:sz="0" w:space="0" w:color="auto"/>
      </w:divBdr>
    </w:div>
    <w:div w:id="1283658852">
      <w:bodyDiv w:val="1"/>
      <w:marLeft w:val="0"/>
      <w:marRight w:val="0"/>
      <w:marTop w:val="0"/>
      <w:marBottom w:val="0"/>
      <w:divBdr>
        <w:top w:val="none" w:sz="0" w:space="0" w:color="auto"/>
        <w:left w:val="none" w:sz="0" w:space="0" w:color="auto"/>
        <w:bottom w:val="none" w:sz="0" w:space="0" w:color="auto"/>
        <w:right w:val="none" w:sz="0" w:space="0" w:color="auto"/>
      </w:divBdr>
      <w:divsChild>
        <w:div w:id="370762764">
          <w:marLeft w:val="0"/>
          <w:marRight w:val="0"/>
          <w:marTop w:val="0"/>
          <w:marBottom w:val="150"/>
          <w:divBdr>
            <w:top w:val="none" w:sz="0" w:space="0" w:color="auto"/>
            <w:left w:val="none" w:sz="0" w:space="0" w:color="auto"/>
            <w:bottom w:val="none" w:sz="0" w:space="0" w:color="auto"/>
            <w:right w:val="none" w:sz="0" w:space="0" w:color="auto"/>
          </w:divBdr>
        </w:div>
      </w:divsChild>
    </w:div>
    <w:div w:id="1283684611">
      <w:bodyDiv w:val="1"/>
      <w:marLeft w:val="0"/>
      <w:marRight w:val="0"/>
      <w:marTop w:val="0"/>
      <w:marBottom w:val="0"/>
      <w:divBdr>
        <w:top w:val="none" w:sz="0" w:space="0" w:color="auto"/>
        <w:left w:val="none" w:sz="0" w:space="0" w:color="auto"/>
        <w:bottom w:val="none" w:sz="0" w:space="0" w:color="auto"/>
        <w:right w:val="none" w:sz="0" w:space="0" w:color="auto"/>
      </w:divBdr>
      <w:divsChild>
        <w:div w:id="890380609">
          <w:marLeft w:val="0"/>
          <w:marRight w:val="0"/>
          <w:marTop w:val="0"/>
          <w:marBottom w:val="0"/>
          <w:divBdr>
            <w:top w:val="none" w:sz="0" w:space="0" w:color="auto"/>
            <w:left w:val="none" w:sz="0" w:space="0" w:color="auto"/>
            <w:bottom w:val="none" w:sz="0" w:space="0" w:color="auto"/>
            <w:right w:val="none" w:sz="0" w:space="0" w:color="auto"/>
          </w:divBdr>
          <w:divsChild>
            <w:div w:id="2003461569">
              <w:marLeft w:val="0"/>
              <w:marRight w:val="0"/>
              <w:marTop w:val="0"/>
              <w:marBottom w:val="0"/>
              <w:divBdr>
                <w:top w:val="none" w:sz="0" w:space="0" w:color="auto"/>
                <w:left w:val="none" w:sz="0" w:space="0" w:color="auto"/>
                <w:bottom w:val="none" w:sz="0" w:space="0" w:color="auto"/>
                <w:right w:val="none" w:sz="0" w:space="0" w:color="auto"/>
              </w:divBdr>
              <w:divsChild>
                <w:div w:id="1938517450">
                  <w:marLeft w:val="0"/>
                  <w:marRight w:val="0"/>
                  <w:marTop w:val="0"/>
                  <w:marBottom w:val="0"/>
                  <w:divBdr>
                    <w:top w:val="none" w:sz="0" w:space="0" w:color="auto"/>
                    <w:left w:val="none" w:sz="0" w:space="0" w:color="auto"/>
                    <w:bottom w:val="none" w:sz="0" w:space="0" w:color="auto"/>
                    <w:right w:val="none" w:sz="0" w:space="0" w:color="auto"/>
                  </w:divBdr>
                  <w:divsChild>
                    <w:div w:id="618297672">
                      <w:marLeft w:val="0"/>
                      <w:marRight w:val="0"/>
                      <w:marTop w:val="0"/>
                      <w:marBottom w:val="0"/>
                      <w:divBdr>
                        <w:top w:val="none" w:sz="0" w:space="0" w:color="auto"/>
                        <w:left w:val="none" w:sz="0" w:space="0" w:color="auto"/>
                        <w:bottom w:val="none" w:sz="0" w:space="0" w:color="auto"/>
                        <w:right w:val="none" w:sz="0" w:space="0" w:color="auto"/>
                      </w:divBdr>
                      <w:divsChild>
                        <w:div w:id="671684694">
                          <w:marLeft w:val="0"/>
                          <w:marRight w:val="0"/>
                          <w:marTop w:val="0"/>
                          <w:marBottom w:val="0"/>
                          <w:divBdr>
                            <w:top w:val="none" w:sz="0" w:space="0" w:color="auto"/>
                            <w:left w:val="none" w:sz="0" w:space="0" w:color="auto"/>
                            <w:bottom w:val="none" w:sz="0" w:space="0" w:color="auto"/>
                            <w:right w:val="none" w:sz="0" w:space="0" w:color="auto"/>
                          </w:divBdr>
                          <w:divsChild>
                            <w:div w:id="1715739127">
                              <w:marLeft w:val="0"/>
                              <w:marRight w:val="0"/>
                              <w:marTop w:val="0"/>
                              <w:marBottom w:val="0"/>
                              <w:divBdr>
                                <w:top w:val="none" w:sz="0" w:space="0" w:color="auto"/>
                                <w:left w:val="none" w:sz="0" w:space="0" w:color="auto"/>
                                <w:bottom w:val="none" w:sz="0" w:space="0" w:color="auto"/>
                                <w:right w:val="none" w:sz="0" w:space="0" w:color="auto"/>
                              </w:divBdr>
                              <w:divsChild>
                                <w:div w:id="60830960">
                                  <w:marLeft w:val="0"/>
                                  <w:marRight w:val="0"/>
                                  <w:marTop w:val="0"/>
                                  <w:marBottom w:val="0"/>
                                  <w:divBdr>
                                    <w:top w:val="none" w:sz="0" w:space="0" w:color="auto"/>
                                    <w:left w:val="none" w:sz="0" w:space="0" w:color="auto"/>
                                    <w:bottom w:val="none" w:sz="0" w:space="0" w:color="auto"/>
                                    <w:right w:val="none" w:sz="0" w:space="0" w:color="auto"/>
                                  </w:divBdr>
                                  <w:divsChild>
                                    <w:div w:id="306783128">
                                      <w:marLeft w:val="0"/>
                                      <w:marRight w:val="0"/>
                                      <w:marTop w:val="0"/>
                                      <w:marBottom w:val="0"/>
                                      <w:divBdr>
                                        <w:top w:val="none" w:sz="0" w:space="0" w:color="auto"/>
                                        <w:left w:val="none" w:sz="0" w:space="0" w:color="auto"/>
                                        <w:bottom w:val="none" w:sz="0" w:space="0" w:color="auto"/>
                                        <w:right w:val="none" w:sz="0" w:space="0" w:color="auto"/>
                                      </w:divBdr>
                                      <w:divsChild>
                                        <w:div w:id="118397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4069252">
      <w:bodyDiv w:val="1"/>
      <w:marLeft w:val="0"/>
      <w:marRight w:val="0"/>
      <w:marTop w:val="0"/>
      <w:marBottom w:val="0"/>
      <w:divBdr>
        <w:top w:val="none" w:sz="0" w:space="0" w:color="auto"/>
        <w:left w:val="none" w:sz="0" w:space="0" w:color="auto"/>
        <w:bottom w:val="none" w:sz="0" w:space="0" w:color="auto"/>
        <w:right w:val="none" w:sz="0" w:space="0" w:color="auto"/>
      </w:divBdr>
      <w:divsChild>
        <w:div w:id="1065376222">
          <w:marLeft w:val="0"/>
          <w:marRight w:val="0"/>
          <w:marTop w:val="0"/>
          <w:marBottom w:val="0"/>
          <w:divBdr>
            <w:top w:val="none" w:sz="0" w:space="0" w:color="auto"/>
            <w:left w:val="none" w:sz="0" w:space="0" w:color="auto"/>
            <w:bottom w:val="none" w:sz="0" w:space="0" w:color="auto"/>
            <w:right w:val="none" w:sz="0" w:space="0" w:color="auto"/>
          </w:divBdr>
        </w:div>
      </w:divsChild>
    </w:div>
    <w:div w:id="1284072285">
      <w:bodyDiv w:val="1"/>
      <w:marLeft w:val="0"/>
      <w:marRight w:val="0"/>
      <w:marTop w:val="0"/>
      <w:marBottom w:val="0"/>
      <w:divBdr>
        <w:top w:val="none" w:sz="0" w:space="0" w:color="auto"/>
        <w:left w:val="none" w:sz="0" w:space="0" w:color="auto"/>
        <w:bottom w:val="none" w:sz="0" w:space="0" w:color="auto"/>
        <w:right w:val="none" w:sz="0" w:space="0" w:color="auto"/>
      </w:divBdr>
      <w:divsChild>
        <w:div w:id="94177850">
          <w:marLeft w:val="0"/>
          <w:marRight w:val="0"/>
          <w:marTop w:val="0"/>
          <w:marBottom w:val="0"/>
          <w:divBdr>
            <w:top w:val="none" w:sz="0" w:space="0" w:color="auto"/>
            <w:left w:val="none" w:sz="0" w:space="0" w:color="auto"/>
            <w:bottom w:val="none" w:sz="0" w:space="0" w:color="auto"/>
            <w:right w:val="none" w:sz="0" w:space="0" w:color="auto"/>
          </w:divBdr>
          <w:divsChild>
            <w:div w:id="1622880761">
              <w:marLeft w:val="0"/>
              <w:marRight w:val="0"/>
              <w:marTop w:val="0"/>
              <w:marBottom w:val="0"/>
              <w:divBdr>
                <w:top w:val="none" w:sz="0" w:space="0" w:color="auto"/>
                <w:left w:val="none" w:sz="0" w:space="0" w:color="auto"/>
                <w:bottom w:val="none" w:sz="0" w:space="0" w:color="auto"/>
                <w:right w:val="none" w:sz="0" w:space="0" w:color="auto"/>
              </w:divBdr>
            </w:div>
          </w:divsChild>
        </w:div>
        <w:div w:id="2142725596">
          <w:marLeft w:val="0"/>
          <w:marRight w:val="0"/>
          <w:marTop w:val="150"/>
          <w:marBottom w:val="0"/>
          <w:divBdr>
            <w:top w:val="none" w:sz="0" w:space="0" w:color="auto"/>
            <w:left w:val="none" w:sz="0" w:space="0" w:color="auto"/>
            <w:bottom w:val="none" w:sz="0" w:space="0" w:color="auto"/>
            <w:right w:val="none" w:sz="0" w:space="0" w:color="auto"/>
          </w:divBdr>
          <w:divsChild>
            <w:div w:id="1677461721">
              <w:marLeft w:val="0"/>
              <w:marRight w:val="0"/>
              <w:marTop w:val="0"/>
              <w:marBottom w:val="0"/>
              <w:divBdr>
                <w:top w:val="none" w:sz="0" w:space="0" w:color="auto"/>
                <w:left w:val="none" w:sz="0" w:space="0" w:color="auto"/>
                <w:bottom w:val="none" w:sz="0" w:space="0" w:color="auto"/>
                <w:right w:val="none" w:sz="0" w:space="0" w:color="auto"/>
              </w:divBdr>
              <w:divsChild>
                <w:div w:id="1305887494">
                  <w:marLeft w:val="75"/>
                  <w:marRight w:val="0"/>
                  <w:marTop w:val="0"/>
                  <w:marBottom w:val="0"/>
                  <w:divBdr>
                    <w:top w:val="none" w:sz="0" w:space="0" w:color="auto"/>
                    <w:left w:val="none" w:sz="0" w:space="0" w:color="auto"/>
                    <w:bottom w:val="none" w:sz="0" w:space="0" w:color="auto"/>
                    <w:right w:val="none" w:sz="0" w:space="0" w:color="auto"/>
                  </w:divBdr>
                </w:div>
                <w:div w:id="137338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078469">
      <w:bodyDiv w:val="1"/>
      <w:marLeft w:val="0"/>
      <w:marRight w:val="0"/>
      <w:marTop w:val="0"/>
      <w:marBottom w:val="0"/>
      <w:divBdr>
        <w:top w:val="none" w:sz="0" w:space="0" w:color="auto"/>
        <w:left w:val="none" w:sz="0" w:space="0" w:color="auto"/>
        <w:bottom w:val="none" w:sz="0" w:space="0" w:color="auto"/>
        <w:right w:val="none" w:sz="0" w:space="0" w:color="auto"/>
      </w:divBdr>
      <w:divsChild>
        <w:div w:id="737286074">
          <w:marLeft w:val="0"/>
          <w:marRight w:val="0"/>
          <w:marTop w:val="0"/>
          <w:marBottom w:val="0"/>
          <w:divBdr>
            <w:top w:val="none" w:sz="0" w:space="0" w:color="auto"/>
            <w:left w:val="none" w:sz="0" w:space="0" w:color="auto"/>
            <w:bottom w:val="none" w:sz="0" w:space="0" w:color="auto"/>
            <w:right w:val="none" w:sz="0" w:space="0" w:color="auto"/>
          </w:divBdr>
          <w:divsChild>
            <w:div w:id="479738074">
              <w:marLeft w:val="0"/>
              <w:marRight w:val="0"/>
              <w:marTop w:val="0"/>
              <w:marBottom w:val="0"/>
              <w:divBdr>
                <w:top w:val="none" w:sz="0" w:space="0" w:color="auto"/>
                <w:left w:val="none" w:sz="0" w:space="0" w:color="auto"/>
                <w:bottom w:val="none" w:sz="0" w:space="0" w:color="auto"/>
                <w:right w:val="none" w:sz="0" w:space="0" w:color="auto"/>
              </w:divBdr>
              <w:divsChild>
                <w:div w:id="611594728">
                  <w:marLeft w:val="0"/>
                  <w:marRight w:val="0"/>
                  <w:marTop w:val="0"/>
                  <w:marBottom w:val="0"/>
                  <w:divBdr>
                    <w:top w:val="none" w:sz="0" w:space="0" w:color="auto"/>
                    <w:left w:val="none" w:sz="0" w:space="0" w:color="auto"/>
                    <w:bottom w:val="none" w:sz="0" w:space="0" w:color="auto"/>
                    <w:right w:val="none" w:sz="0" w:space="0" w:color="auto"/>
                  </w:divBdr>
                  <w:divsChild>
                    <w:div w:id="1962834677">
                      <w:marLeft w:val="0"/>
                      <w:marRight w:val="0"/>
                      <w:marTop w:val="0"/>
                      <w:marBottom w:val="0"/>
                      <w:divBdr>
                        <w:top w:val="none" w:sz="0" w:space="0" w:color="auto"/>
                        <w:left w:val="none" w:sz="0" w:space="0" w:color="auto"/>
                        <w:bottom w:val="none" w:sz="0" w:space="0" w:color="auto"/>
                        <w:right w:val="none" w:sz="0" w:space="0" w:color="auto"/>
                      </w:divBdr>
                      <w:divsChild>
                        <w:div w:id="465391451">
                          <w:marLeft w:val="0"/>
                          <w:marRight w:val="0"/>
                          <w:marTop w:val="0"/>
                          <w:marBottom w:val="0"/>
                          <w:divBdr>
                            <w:top w:val="none" w:sz="0" w:space="0" w:color="auto"/>
                            <w:left w:val="none" w:sz="0" w:space="0" w:color="auto"/>
                            <w:bottom w:val="none" w:sz="0" w:space="0" w:color="auto"/>
                            <w:right w:val="none" w:sz="0" w:space="0" w:color="auto"/>
                          </w:divBdr>
                          <w:divsChild>
                            <w:div w:id="1706246109">
                              <w:marLeft w:val="0"/>
                              <w:marRight w:val="0"/>
                              <w:marTop w:val="0"/>
                              <w:marBottom w:val="0"/>
                              <w:divBdr>
                                <w:top w:val="none" w:sz="0" w:space="0" w:color="auto"/>
                                <w:left w:val="none" w:sz="0" w:space="0" w:color="auto"/>
                                <w:bottom w:val="none" w:sz="0" w:space="0" w:color="auto"/>
                                <w:right w:val="none" w:sz="0" w:space="0" w:color="auto"/>
                              </w:divBdr>
                              <w:divsChild>
                                <w:div w:id="2065172430">
                                  <w:marLeft w:val="0"/>
                                  <w:marRight w:val="0"/>
                                  <w:marTop w:val="0"/>
                                  <w:marBottom w:val="0"/>
                                  <w:divBdr>
                                    <w:top w:val="none" w:sz="0" w:space="0" w:color="auto"/>
                                    <w:left w:val="none" w:sz="0" w:space="0" w:color="auto"/>
                                    <w:bottom w:val="none" w:sz="0" w:space="0" w:color="auto"/>
                                    <w:right w:val="none" w:sz="0" w:space="0" w:color="auto"/>
                                  </w:divBdr>
                                  <w:divsChild>
                                    <w:div w:id="4502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464914">
      <w:bodyDiv w:val="1"/>
      <w:marLeft w:val="0"/>
      <w:marRight w:val="0"/>
      <w:marTop w:val="0"/>
      <w:marBottom w:val="0"/>
      <w:divBdr>
        <w:top w:val="none" w:sz="0" w:space="0" w:color="auto"/>
        <w:left w:val="none" w:sz="0" w:space="0" w:color="auto"/>
        <w:bottom w:val="none" w:sz="0" w:space="0" w:color="auto"/>
        <w:right w:val="none" w:sz="0" w:space="0" w:color="auto"/>
      </w:divBdr>
      <w:divsChild>
        <w:div w:id="758134234">
          <w:marLeft w:val="0"/>
          <w:marRight w:val="0"/>
          <w:marTop w:val="0"/>
          <w:marBottom w:val="0"/>
          <w:divBdr>
            <w:top w:val="none" w:sz="0" w:space="0" w:color="auto"/>
            <w:left w:val="none" w:sz="0" w:space="0" w:color="auto"/>
            <w:bottom w:val="none" w:sz="0" w:space="0" w:color="auto"/>
            <w:right w:val="none" w:sz="0" w:space="0" w:color="auto"/>
          </w:divBdr>
          <w:divsChild>
            <w:div w:id="350374154">
              <w:marLeft w:val="0"/>
              <w:marRight w:val="0"/>
              <w:marTop w:val="0"/>
              <w:marBottom w:val="0"/>
              <w:divBdr>
                <w:top w:val="none" w:sz="0" w:space="0" w:color="auto"/>
                <w:left w:val="none" w:sz="0" w:space="0" w:color="auto"/>
                <w:bottom w:val="none" w:sz="0" w:space="0" w:color="auto"/>
                <w:right w:val="none" w:sz="0" w:space="0" w:color="auto"/>
              </w:divBdr>
            </w:div>
          </w:divsChild>
        </w:div>
        <w:div w:id="32072699">
          <w:marLeft w:val="0"/>
          <w:marRight w:val="0"/>
          <w:marTop w:val="240"/>
          <w:marBottom w:val="0"/>
          <w:divBdr>
            <w:top w:val="none" w:sz="0" w:space="0" w:color="auto"/>
            <w:left w:val="none" w:sz="0" w:space="0" w:color="auto"/>
            <w:bottom w:val="none" w:sz="0" w:space="0" w:color="auto"/>
            <w:right w:val="none" w:sz="0" w:space="0" w:color="auto"/>
          </w:divBdr>
        </w:div>
      </w:divsChild>
    </w:div>
    <w:div w:id="1284966110">
      <w:bodyDiv w:val="1"/>
      <w:marLeft w:val="0"/>
      <w:marRight w:val="0"/>
      <w:marTop w:val="0"/>
      <w:marBottom w:val="0"/>
      <w:divBdr>
        <w:top w:val="none" w:sz="0" w:space="0" w:color="auto"/>
        <w:left w:val="none" w:sz="0" w:space="0" w:color="auto"/>
        <w:bottom w:val="none" w:sz="0" w:space="0" w:color="auto"/>
        <w:right w:val="none" w:sz="0" w:space="0" w:color="auto"/>
      </w:divBdr>
      <w:divsChild>
        <w:div w:id="2115859982">
          <w:marLeft w:val="0"/>
          <w:marRight w:val="0"/>
          <w:marTop w:val="0"/>
          <w:marBottom w:val="0"/>
          <w:divBdr>
            <w:top w:val="none" w:sz="0" w:space="0" w:color="auto"/>
            <w:left w:val="none" w:sz="0" w:space="0" w:color="auto"/>
            <w:bottom w:val="none" w:sz="0" w:space="0" w:color="auto"/>
            <w:right w:val="none" w:sz="0" w:space="0" w:color="auto"/>
          </w:divBdr>
          <w:divsChild>
            <w:div w:id="566308313">
              <w:marLeft w:val="0"/>
              <w:marRight w:val="0"/>
              <w:marTop w:val="0"/>
              <w:marBottom w:val="0"/>
              <w:divBdr>
                <w:top w:val="none" w:sz="0" w:space="0" w:color="auto"/>
                <w:left w:val="none" w:sz="0" w:space="0" w:color="auto"/>
                <w:bottom w:val="none" w:sz="0" w:space="0" w:color="auto"/>
                <w:right w:val="none" w:sz="0" w:space="0" w:color="auto"/>
              </w:divBdr>
              <w:divsChild>
                <w:div w:id="175898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351453">
          <w:marLeft w:val="0"/>
          <w:marRight w:val="0"/>
          <w:marTop w:val="0"/>
          <w:marBottom w:val="75"/>
          <w:divBdr>
            <w:top w:val="none" w:sz="0" w:space="0" w:color="auto"/>
            <w:left w:val="none" w:sz="0" w:space="0" w:color="auto"/>
            <w:bottom w:val="none" w:sz="0" w:space="0" w:color="auto"/>
            <w:right w:val="none" w:sz="0" w:space="0" w:color="auto"/>
          </w:divBdr>
        </w:div>
        <w:div w:id="1210070402">
          <w:marLeft w:val="0"/>
          <w:marRight w:val="0"/>
          <w:marTop w:val="0"/>
          <w:marBottom w:val="0"/>
          <w:divBdr>
            <w:top w:val="none" w:sz="0" w:space="0" w:color="auto"/>
            <w:left w:val="none" w:sz="0" w:space="0" w:color="auto"/>
            <w:bottom w:val="none" w:sz="0" w:space="0" w:color="auto"/>
            <w:right w:val="none" w:sz="0" w:space="0" w:color="auto"/>
          </w:divBdr>
          <w:divsChild>
            <w:div w:id="773355417">
              <w:marLeft w:val="0"/>
              <w:marRight w:val="0"/>
              <w:marTop w:val="0"/>
              <w:marBottom w:val="0"/>
              <w:divBdr>
                <w:top w:val="none" w:sz="0" w:space="0" w:color="auto"/>
                <w:left w:val="none" w:sz="0" w:space="0" w:color="auto"/>
                <w:bottom w:val="none" w:sz="0" w:space="0" w:color="auto"/>
                <w:right w:val="none" w:sz="0" w:space="0" w:color="auto"/>
              </w:divBdr>
              <w:divsChild>
                <w:div w:id="953096815">
                  <w:marLeft w:val="0"/>
                  <w:marRight w:val="0"/>
                  <w:marTop w:val="0"/>
                  <w:marBottom w:val="300"/>
                  <w:divBdr>
                    <w:top w:val="none" w:sz="0" w:space="0" w:color="auto"/>
                    <w:left w:val="none" w:sz="0" w:space="0" w:color="auto"/>
                    <w:bottom w:val="none" w:sz="0" w:space="0" w:color="auto"/>
                    <w:right w:val="none" w:sz="0" w:space="0" w:color="auto"/>
                  </w:divBdr>
                  <w:divsChild>
                    <w:div w:id="18813563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85423228">
      <w:bodyDiv w:val="1"/>
      <w:marLeft w:val="0"/>
      <w:marRight w:val="0"/>
      <w:marTop w:val="0"/>
      <w:marBottom w:val="0"/>
      <w:divBdr>
        <w:top w:val="none" w:sz="0" w:space="0" w:color="auto"/>
        <w:left w:val="none" w:sz="0" w:space="0" w:color="auto"/>
        <w:bottom w:val="none" w:sz="0" w:space="0" w:color="auto"/>
        <w:right w:val="none" w:sz="0" w:space="0" w:color="auto"/>
      </w:divBdr>
      <w:divsChild>
        <w:div w:id="1661158173">
          <w:marLeft w:val="0"/>
          <w:marRight w:val="0"/>
          <w:marTop w:val="0"/>
          <w:marBottom w:val="0"/>
          <w:divBdr>
            <w:top w:val="none" w:sz="0" w:space="0" w:color="auto"/>
            <w:left w:val="none" w:sz="0" w:space="0" w:color="auto"/>
            <w:bottom w:val="none" w:sz="0" w:space="0" w:color="auto"/>
            <w:right w:val="none" w:sz="0" w:space="0" w:color="auto"/>
          </w:divBdr>
        </w:div>
      </w:divsChild>
    </w:div>
    <w:div w:id="1285576004">
      <w:bodyDiv w:val="1"/>
      <w:marLeft w:val="0"/>
      <w:marRight w:val="0"/>
      <w:marTop w:val="0"/>
      <w:marBottom w:val="0"/>
      <w:divBdr>
        <w:top w:val="none" w:sz="0" w:space="0" w:color="auto"/>
        <w:left w:val="none" w:sz="0" w:space="0" w:color="auto"/>
        <w:bottom w:val="none" w:sz="0" w:space="0" w:color="auto"/>
        <w:right w:val="none" w:sz="0" w:space="0" w:color="auto"/>
      </w:divBdr>
      <w:divsChild>
        <w:div w:id="885026322">
          <w:marLeft w:val="0"/>
          <w:marRight w:val="0"/>
          <w:marTop w:val="0"/>
          <w:marBottom w:val="0"/>
          <w:divBdr>
            <w:top w:val="none" w:sz="0" w:space="0" w:color="auto"/>
            <w:left w:val="none" w:sz="0" w:space="0" w:color="auto"/>
            <w:bottom w:val="dotted" w:sz="6" w:space="4" w:color="DDDDDD"/>
            <w:right w:val="none" w:sz="0" w:space="0" w:color="auto"/>
          </w:divBdr>
          <w:divsChild>
            <w:div w:id="52691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769350">
      <w:bodyDiv w:val="1"/>
      <w:marLeft w:val="0"/>
      <w:marRight w:val="0"/>
      <w:marTop w:val="0"/>
      <w:marBottom w:val="0"/>
      <w:divBdr>
        <w:top w:val="none" w:sz="0" w:space="0" w:color="auto"/>
        <w:left w:val="none" w:sz="0" w:space="0" w:color="auto"/>
        <w:bottom w:val="none" w:sz="0" w:space="0" w:color="auto"/>
        <w:right w:val="none" w:sz="0" w:space="0" w:color="auto"/>
      </w:divBdr>
    </w:div>
    <w:div w:id="1286153101">
      <w:bodyDiv w:val="1"/>
      <w:marLeft w:val="0"/>
      <w:marRight w:val="0"/>
      <w:marTop w:val="0"/>
      <w:marBottom w:val="0"/>
      <w:divBdr>
        <w:top w:val="none" w:sz="0" w:space="0" w:color="auto"/>
        <w:left w:val="none" w:sz="0" w:space="0" w:color="auto"/>
        <w:bottom w:val="none" w:sz="0" w:space="0" w:color="auto"/>
        <w:right w:val="none" w:sz="0" w:space="0" w:color="auto"/>
      </w:divBdr>
    </w:div>
    <w:div w:id="1286350186">
      <w:bodyDiv w:val="1"/>
      <w:marLeft w:val="0"/>
      <w:marRight w:val="0"/>
      <w:marTop w:val="0"/>
      <w:marBottom w:val="0"/>
      <w:divBdr>
        <w:top w:val="none" w:sz="0" w:space="0" w:color="auto"/>
        <w:left w:val="none" w:sz="0" w:space="0" w:color="auto"/>
        <w:bottom w:val="none" w:sz="0" w:space="0" w:color="auto"/>
        <w:right w:val="none" w:sz="0" w:space="0" w:color="auto"/>
      </w:divBdr>
      <w:divsChild>
        <w:div w:id="1163661011">
          <w:marLeft w:val="0"/>
          <w:marRight w:val="0"/>
          <w:marTop w:val="0"/>
          <w:marBottom w:val="0"/>
          <w:divBdr>
            <w:top w:val="none" w:sz="0" w:space="0" w:color="auto"/>
            <w:left w:val="none" w:sz="0" w:space="0" w:color="auto"/>
            <w:bottom w:val="none" w:sz="0" w:space="0" w:color="auto"/>
            <w:right w:val="none" w:sz="0" w:space="0" w:color="auto"/>
          </w:divBdr>
          <w:divsChild>
            <w:div w:id="374086606">
              <w:marLeft w:val="0"/>
              <w:marRight w:val="0"/>
              <w:marTop w:val="0"/>
              <w:marBottom w:val="0"/>
              <w:divBdr>
                <w:top w:val="none" w:sz="0" w:space="0" w:color="auto"/>
                <w:left w:val="none" w:sz="0" w:space="0" w:color="auto"/>
                <w:bottom w:val="none" w:sz="0" w:space="0" w:color="auto"/>
                <w:right w:val="none" w:sz="0" w:space="0" w:color="auto"/>
              </w:divBdr>
              <w:divsChild>
                <w:div w:id="1494178372">
                  <w:marLeft w:val="0"/>
                  <w:marRight w:val="0"/>
                  <w:marTop w:val="0"/>
                  <w:marBottom w:val="0"/>
                  <w:divBdr>
                    <w:top w:val="none" w:sz="0" w:space="0" w:color="auto"/>
                    <w:left w:val="none" w:sz="0" w:space="0" w:color="auto"/>
                    <w:bottom w:val="none" w:sz="0" w:space="0" w:color="auto"/>
                    <w:right w:val="none" w:sz="0" w:space="0" w:color="auto"/>
                  </w:divBdr>
                  <w:divsChild>
                    <w:div w:id="1111821131">
                      <w:marLeft w:val="0"/>
                      <w:marRight w:val="0"/>
                      <w:marTop w:val="0"/>
                      <w:marBottom w:val="0"/>
                      <w:divBdr>
                        <w:top w:val="none" w:sz="0" w:space="0" w:color="auto"/>
                        <w:left w:val="none" w:sz="0" w:space="0" w:color="auto"/>
                        <w:bottom w:val="none" w:sz="0" w:space="0" w:color="auto"/>
                        <w:right w:val="none" w:sz="0" w:space="0" w:color="auto"/>
                      </w:divBdr>
                      <w:divsChild>
                        <w:div w:id="169411526">
                          <w:marLeft w:val="0"/>
                          <w:marRight w:val="0"/>
                          <w:marTop w:val="0"/>
                          <w:marBottom w:val="0"/>
                          <w:divBdr>
                            <w:top w:val="none" w:sz="0" w:space="0" w:color="auto"/>
                            <w:left w:val="none" w:sz="0" w:space="0" w:color="auto"/>
                            <w:bottom w:val="none" w:sz="0" w:space="0" w:color="auto"/>
                            <w:right w:val="none" w:sz="0" w:space="0" w:color="auto"/>
                          </w:divBdr>
                          <w:divsChild>
                            <w:div w:id="1257248940">
                              <w:marLeft w:val="0"/>
                              <w:marRight w:val="254"/>
                              <w:marTop w:val="0"/>
                              <w:marBottom w:val="0"/>
                              <w:divBdr>
                                <w:top w:val="none" w:sz="0" w:space="0" w:color="auto"/>
                                <w:left w:val="none" w:sz="0" w:space="0" w:color="auto"/>
                                <w:bottom w:val="none" w:sz="0" w:space="0" w:color="auto"/>
                                <w:right w:val="none" w:sz="0" w:space="0" w:color="auto"/>
                              </w:divBdr>
                              <w:divsChild>
                                <w:div w:id="1312757667">
                                  <w:marLeft w:val="0"/>
                                  <w:marRight w:val="0"/>
                                  <w:marTop w:val="0"/>
                                  <w:marBottom w:val="0"/>
                                  <w:divBdr>
                                    <w:top w:val="none" w:sz="0" w:space="0" w:color="auto"/>
                                    <w:left w:val="none" w:sz="0" w:space="0" w:color="auto"/>
                                    <w:bottom w:val="none" w:sz="0" w:space="0" w:color="auto"/>
                                    <w:right w:val="none" w:sz="0" w:space="0" w:color="auto"/>
                                  </w:divBdr>
                                  <w:divsChild>
                                    <w:div w:id="140830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7928131">
      <w:bodyDiv w:val="1"/>
      <w:marLeft w:val="0"/>
      <w:marRight w:val="0"/>
      <w:marTop w:val="0"/>
      <w:marBottom w:val="0"/>
      <w:divBdr>
        <w:top w:val="none" w:sz="0" w:space="0" w:color="auto"/>
        <w:left w:val="none" w:sz="0" w:space="0" w:color="auto"/>
        <w:bottom w:val="none" w:sz="0" w:space="0" w:color="auto"/>
        <w:right w:val="none" w:sz="0" w:space="0" w:color="auto"/>
      </w:divBdr>
      <w:divsChild>
        <w:div w:id="815923719">
          <w:marLeft w:val="0"/>
          <w:marRight w:val="0"/>
          <w:marTop w:val="0"/>
          <w:marBottom w:val="0"/>
          <w:divBdr>
            <w:top w:val="none" w:sz="0" w:space="0" w:color="auto"/>
            <w:left w:val="none" w:sz="0" w:space="0" w:color="auto"/>
            <w:bottom w:val="dotted" w:sz="6" w:space="4" w:color="DDDDDD"/>
            <w:right w:val="none" w:sz="0" w:space="0" w:color="auto"/>
          </w:divBdr>
          <w:divsChild>
            <w:div w:id="45522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584872">
      <w:bodyDiv w:val="1"/>
      <w:marLeft w:val="0"/>
      <w:marRight w:val="0"/>
      <w:marTop w:val="0"/>
      <w:marBottom w:val="0"/>
      <w:divBdr>
        <w:top w:val="none" w:sz="0" w:space="0" w:color="auto"/>
        <w:left w:val="none" w:sz="0" w:space="0" w:color="auto"/>
        <w:bottom w:val="none" w:sz="0" w:space="0" w:color="auto"/>
        <w:right w:val="none" w:sz="0" w:space="0" w:color="auto"/>
      </w:divBdr>
      <w:divsChild>
        <w:div w:id="2046562954">
          <w:marLeft w:val="0"/>
          <w:marRight w:val="0"/>
          <w:marTop w:val="0"/>
          <w:marBottom w:val="0"/>
          <w:divBdr>
            <w:top w:val="none" w:sz="0" w:space="0" w:color="auto"/>
            <w:left w:val="none" w:sz="0" w:space="0" w:color="auto"/>
            <w:bottom w:val="none" w:sz="0" w:space="0" w:color="auto"/>
            <w:right w:val="none" w:sz="0" w:space="0" w:color="auto"/>
          </w:divBdr>
          <w:divsChild>
            <w:div w:id="940844144">
              <w:marLeft w:val="0"/>
              <w:marRight w:val="0"/>
              <w:marTop w:val="0"/>
              <w:marBottom w:val="0"/>
              <w:divBdr>
                <w:top w:val="none" w:sz="0" w:space="0" w:color="auto"/>
                <w:left w:val="none" w:sz="0" w:space="0" w:color="auto"/>
                <w:bottom w:val="none" w:sz="0" w:space="0" w:color="auto"/>
                <w:right w:val="none" w:sz="0" w:space="0" w:color="auto"/>
              </w:divBdr>
              <w:divsChild>
                <w:div w:id="205076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707544">
      <w:bodyDiv w:val="1"/>
      <w:marLeft w:val="0"/>
      <w:marRight w:val="0"/>
      <w:marTop w:val="0"/>
      <w:marBottom w:val="0"/>
      <w:divBdr>
        <w:top w:val="none" w:sz="0" w:space="0" w:color="auto"/>
        <w:left w:val="none" w:sz="0" w:space="0" w:color="auto"/>
        <w:bottom w:val="none" w:sz="0" w:space="0" w:color="auto"/>
        <w:right w:val="none" w:sz="0" w:space="0" w:color="auto"/>
      </w:divBdr>
    </w:div>
    <w:div w:id="1289896801">
      <w:bodyDiv w:val="1"/>
      <w:marLeft w:val="0"/>
      <w:marRight w:val="0"/>
      <w:marTop w:val="0"/>
      <w:marBottom w:val="0"/>
      <w:divBdr>
        <w:top w:val="none" w:sz="0" w:space="0" w:color="auto"/>
        <w:left w:val="none" w:sz="0" w:space="0" w:color="auto"/>
        <w:bottom w:val="none" w:sz="0" w:space="0" w:color="auto"/>
        <w:right w:val="none" w:sz="0" w:space="0" w:color="auto"/>
      </w:divBdr>
    </w:div>
    <w:div w:id="1290042892">
      <w:bodyDiv w:val="1"/>
      <w:marLeft w:val="0"/>
      <w:marRight w:val="0"/>
      <w:marTop w:val="0"/>
      <w:marBottom w:val="0"/>
      <w:divBdr>
        <w:top w:val="none" w:sz="0" w:space="0" w:color="auto"/>
        <w:left w:val="none" w:sz="0" w:space="0" w:color="auto"/>
        <w:bottom w:val="none" w:sz="0" w:space="0" w:color="auto"/>
        <w:right w:val="none" w:sz="0" w:space="0" w:color="auto"/>
      </w:divBdr>
      <w:divsChild>
        <w:div w:id="582223494">
          <w:marLeft w:val="0"/>
          <w:marRight w:val="0"/>
          <w:marTop w:val="0"/>
          <w:marBottom w:val="0"/>
          <w:divBdr>
            <w:top w:val="none" w:sz="0" w:space="0" w:color="auto"/>
            <w:left w:val="none" w:sz="0" w:space="0" w:color="auto"/>
            <w:bottom w:val="dotted" w:sz="6" w:space="4" w:color="DDDDDD"/>
            <w:right w:val="none" w:sz="0" w:space="0" w:color="auto"/>
          </w:divBdr>
        </w:div>
      </w:divsChild>
    </w:div>
    <w:div w:id="1290281647">
      <w:bodyDiv w:val="1"/>
      <w:marLeft w:val="0"/>
      <w:marRight w:val="0"/>
      <w:marTop w:val="0"/>
      <w:marBottom w:val="0"/>
      <w:divBdr>
        <w:top w:val="none" w:sz="0" w:space="0" w:color="auto"/>
        <w:left w:val="none" w:sz="0" w:space="0" w:color="auto"/>
        <w:bottom w:val="none" w:sz="0" w:space="0" w:color="auto"/>
        <w:right w:val="none" w:sz="0" w:space="0" w:color="auto"/>
      </w:divBdr>
      <w:divsChild>
        <w:div w:id="1701976581">
          <w:marLeft w:val="0"/>
          <w:marRight w:val="0"/>
          <w:marTop w:val="0"/>
          <w:marBottom w:val="0"/>
          <w:divBdr>
            <w:top w:val="none" w:sz="0" w:space="0" w:color="auto"/>
            <w:left w:val="none" w:sz="0" w:space="0" w:color="auto"/>
            <w:bottom w:val="none" w:sz="0" w:space="0" w:color="auto"/>
            <w:right w:val="none" w:sz="0" w:space="0" w:color="auto"/>
          </w:divBdr>
          <w:divsChild>
            <w:div w:id="1435245029">
              <w:marLeft w:val="0"/>
              <w:marRight w:val="0"/>
              <w:marTop w:val="0"/>
              <w:marBottom w:val="0"/>
              <w:divBdr>
                <w:top w:val="none" w:sz="0" w:space="0" w:color="auto"/>
                <w:left w:val="none" w:sz="0" w:space="0" w:color="auto"/>
                <w:bottom w:val="none" w:sz="0" w:space="0" w:color="auto"/>
                <w:right w:val="none" w:sz="0" w:space="0" w:color="auto"/>
              </w:divBdr>
              <w:divsChild>
                <w:div w:id="1794902586">
                  <w:marLeft w:val="0"/>
                  <w:marRight w:val="0"/>
                  <w:marTop w:val="0"/>
                  <w:marBottom w:val="0"/>
                  <w:divBdr>
                    <w:top w:val="none" w:sz="0" w:space="0" w:color="auto"/>
                    <w:left w:val="none" w:sz="0" w:space="0" w:color="auto"/>
                    <w:bottom w:val="none" w:sz="0" w:space="0" w:color="auto"/>
                    <w:right w:val="none" w:sz="0" w:space="0" w:color="auto"/>
                  </w:divBdr>
                  <w:divsChild>
                    <w:div w:id="276640014">
                      <w:marLeft w:val="0"/>
                      <w:marRight w:val="0"/>
                      <w:marTop w:val="0"/>
                      <w:marBottom w:val="0"/>
                      <w:divBdr>
                        <w:top w:val="none" w:sz="0" w:space="0" w:color="auto"/>
                        <w:left w:val="none" w:sz="0" w:space="0" w:color="auto"/>
                        <w:bottom w:val="none" w:sz="0" w:space="0" w:color="auto"/>
                        <w:right w:val="none" w:sz="0" w:space="0" w:color="auto"/>
                      </w:divBdr>
                      <w:divsChild>
                        <w:div w:id="1531526629">
                          <w:marLeft w:val="0"/>
                          <w:marRight w:val="0"/>
                          <w:marTop w:val="0"/>
                          <w:marBottom w:val="0"/>
                          <w:divBdr>
                            <w:top w:val="none" w:sz="0" w:space="0" w:color="auto"/>
                            <w:left w:val="none" w:sz="0" w:space="0" w:color="auto"/>
                            <w:bottom w:val="none" w:sz="0" w:space="0" w:color="auto"/>
                            <w:right w:val="none" w:sz="0" w:space="0" w:color="auto"/>
                          </w:divBdr>
                          <w:divsChild>
                            <w:div w:id="1225726860">
                              <w:marLeft w:val="0"/>
                              <w:marRight w:val="0"/>
                              <w:marTop w:val="0"/>
                              <w:marBottom w:val="0"/>
                              <w:divBdr>
                                <w:top w:val="none" w:sz="0" w:space="0" w:color="auto"/>
                                <w:left w:val="none" w:sz="0" w:space="0" w:color="auto"/>
                                <w:bottom w:val="none" w:sz="0" w:space="0" w:color="auto"/>
                                <w:right w:val="none" w:sz="0" w:space="0" w:color="auto"/>
                              </w:divBdr>
                              <w:divsChild>
                                <w:div w:id="1386762267">
                                  <w:marLeft w:val="0"/>
                                  <w:marRight w:val="0"/>
                                  <w:marTop w:val="0"/>
                                  <w:marBottom w:val="0"/>
                                  <w:divBdr>
                                    <w:top w:val="none" w:sz="0" w:space="0" w:color="auto"/>
                                    <w:left w:val="none" w:sz="0" w:space="0" w:color="auto"/>
                                    <w:bottom w:val="none" w:sz="0" w:space="0" w:color="auto"/>
                                    <w:right w:val="none" w:sz="0" w:space="0" w:color="auto"/>
                                  </w:divBdr>
                                  <w:divsChild>
                                    <w:div w:id="51453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81663">
      <w:bodyDiv w:val="1"/>
      <w:marLeft w:val="0"/>
      <w:marRight w:val="0"/>
      <w:marTop w:val="0"/>
      <w:marBottom w:val="0"/>
      <w:divBdr>
        <w:top w:val="none" w:sz="0" w:space="0" w:color="auto"/>
        <w:left w:val="none" w:sz="0" w:space="0" w:color="auto"/>
        <w:bottom w:val="none" w:sz="0" w:space="0" w:color="auto"/>
        <w:right w:val="none" w:sz="0" w:space="0" w:color="auto"/>
      </w:divBdr>
      <w:divsChild>
        <w:div w:id="540241416">
          <w:marLeft w:val="0"/>
          <w:marRight w:val="0"/>
          <w:marTop w:val="0"/>
          <w:marBottom w:val="0"/>
          <w:divBdr>
            <w:top w:val="none" w:sz="0" w:space="0" w:color="auto"/>
            <w:left w:val="none" w:sz="0" w:space="0" w:color="auto"/>
            <w:bottom w:val="none" w:sz="0" w:space="0" w:color="auto"/>
            <w:right w:val="none" w:sz="0" w:space="0" w:color="auto"/>
          </w:divBdr>
          <w:divsChild>
            <w:div w:id="158692051">
              <w:marLeft w:val="0"/>
              <w:marRight w:val="0"/>
              <w:marTop w:val="0"/>
              <w:marBottom w:val="150"/>
              <w:divBdr>
                <w:top w:val="none" w:sz="0" w:space="0" w:color="auto"/>
                <w:left w:val="none" w:sz="0" w:space="0" w:color="auto"/>
                <w:bottom w:val="none" w:sz="0" w:space="0" w:color="auto"/>
                <w:right w:val="none" w:sz="0" w:space="0" w:color="auto"/>
              </w:divBdr>
            </w:div>
            <w:div w:id="114177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353303">
      <w:bodyDiv w:val="1"/>
      <w:marLeft w:val="0"/>
      <w:marRight w:val="0"/>
      <w:marTop w:val="0"/>
      <w:marBottom w:val="0"/>
      <w:divBdr>
        <w:top w:val="none" w:sz="0" w:space="0" w:color="auto"/>
        <w:left w:val="none" w:sz="0" w:space="0" w:color="auto"/>
        <w:bottom w:val="none" w:sz="0" w:space="0" w:color="auto"/>
        <w:right w:val="none" w:sz="0" w:space="0" w:color="auto"/>
      </w:divBdr>
      <w:divsChild>
        <w:div w:id="304283830">
          <w:marLeft w:val="0"/>
          <w:marRight w:val="0"/>
          <w:marTop w:val="0"/>
          <w:marBottom w:val="150"/>
          <w:divBdr>
            <w:top w:val="none" w:sz="0" w:space="0" w:color="auto"/>
            <w:left w:val="none" w:sz="0" w:space="0" w:color="auto"/>
            <w:bottom w:val="none" w:sz="0" w:space="0" w:color="auto"/>
            <w:right w:val="none" w:sz="0" w:space="0" w:color="auto"/>
          </w:divBdr>
        </w:div>
      </w:divsChild>
    </w:div>
    <w:div w:id="1290631108">
      <w:bodyDiv w:val="1"/>
      <w:marLeft w:val="0"/>
      <w:marRight w:val="0"/>
      <w:marTop w:val="0"/>
      <w:marBottom w:val="0"/>
      <w:divBdr>
        <w:top w:val="none" w:sz="0" w:space="0" w:color="auto"/>
        <w:left w:val="none" w:sz="0" w:space="0" w:color="auto"/>
        <w:bottom w:val="none" w:sz="0" w:space="0" w:color="auto"/>
        <w:right w:val="none" w:sz="0" w:space="0" w:color="auto"/>
      </w:divBdr>
      <w:divsChild>
        <w:div w:id="1709144555">
          <w:marLeft w:val="0"/>
          <w:marRight w:val="0"/>
          <w:marTop w:val="0"/>
          <w:marBottom w:val="0"/>
          <w:divBdr>
            <w:top w:val="none" w:sz="0" w:space="0" w:color="auto"/>
            <w:left w:val="none" w:sz="0" w:space="0" w:color="auto"/>
            <w:bottom w:val="dotted" w:sz="6" w:space="4" w:color="DDDDDD"/>
            <w:right w:val="none" w:sz="0" w:space="0" w:color="auto"/>
          </w:divBdr>
          <w:divsChild>
            <w:div w:id="191871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672044">
      <w:bodyDiv w:val="1"/>
      <w:marLeft w:val="0"/>
      <w:marRight w:val="0"/>
      <w:marTop w:val="0"/>
      <w:marBottom w:val="0"/>
      <w:divBdr>
        <w:top w:val="none" w:sz="0" w:space="0" w:color="auto"/>
        <w:left w:val="none" w:sz="0" w:space="0" w:color="auto"/>
        <w:bottom w:val="none" w:sz="0" w:space="0" w:color="auto"/>
        <w:right w:val="none" w:sz="0" w:space="0" w:color="auto"/>
      </w:divBdr>
      <w:divsChild>
        <w:div w:id="1613633661">
          <w:marLeft w:val="0"/>
          <w:marRight w:val="0"/>
          <w:marTop w:val="150"/>
          <w:marBottom w:val="0"/>
          <w:divBdr>
            <w:top w:val="none" w:sz="0" w:space="0" w:color="auto"/>
            <w:left w:val="none" w:sz="0" w:space="0" w:color="auto"/>
            <w:bottom w:val="none" w:sz="0" w:space="0" w:color="auto"/>
            <w:right w:val="none" w:sz="0" w:space="0" w:color="auto"/>
          </w:divBdr>
          <w:divsChild>
            <w:div w:id="362873378">
              <w:marLeft w:val="0"/>
              <w:marRight w:val="0"/>
              <w:marTop w:val="0"/>
              <w:marBottom w:val="0"/>
              <w:divBdr>
                <w:top w:val="none" w:sz="0" w:space="0" w:color="auto"/>
                <w:left w:val="none" w:sz="0" w:space="0" w:color="auto"/>
                <w:bottom w:val="none" w:sz="0" w:space="0" w:color="auto"/>
                <w:right w:val="none" w:sz="0" w:space="0" w:color="auto"/>
              </w:divBdr>
              <w:divsChild>
                <w:div w:id="177782455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15862110">
          <w:marLeft w:val="0"/>
          <w:marRight w:val="0"/>
          <w:marTop w:val="0"/>
          <w:marBottom w:val="0"/>
          <w:divBdr>
            <w:top w:val="none" w:sz="0" w:space="0" w:color="auto"/>
            <w:left w:val="none" w:sz="0" w:space="0" w:color="auto"/>
            <w:bottom w:val="none" w:sz="0" w:space="0" w:color="auto"/>
            <w:right w:val="none" w:sz="0" w:space="0" w:color="auto"/>
          </w:divBdr>
          <w:divsChild>
            <w:div w:id="202312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9134">
      <w:bodyDiv w:val="1"/>
      <w:marLeft w:val="0"/>
      <w:marRight w:val="0"/>
      <w:marTop w:val="0"/>
      <w:marBottom w:val="0"/>
      <w:divBdr>
        <w:top w:val="none" w:sz="0" w:space="0" w:color="auto"/>
        <w:left w:val="none" w:sz="0" w:space="0" w:color="auto"/>
        <w:bottom w:val="none" w:sz="0" w:space="0" w:color="auto"/>
        <w:right w:val="none" w:sz="0" w:space="0" w:color="auto"/>
      </w:divBdr>
    </w:div>
    <w:div w:id="1291396327">
      <w:bodyDiv w:val="1"/>
      <w:marLeft w:val="0"/>
      <w:marRight w:val="0"/>
      <w:marTop w:val="0"/>
      <w:marBottom w:val="0"/>
      <w:divBdr>
        <w:top w:val="none" w:sz="0" w:space="0" w:color="auto"/>
        <w:left w:val="none" w:sz="0" w:space="0" w:color="auto"/>
        <w:bottom w:val="none" w:sz="0" w:space="0" w:color="auto"/>
        <w:right w:val="none" w:sz="0" w:space="0" w:color="auto"/>
      </w:divBdr>
    </w:div>
    <w:div w:id="1291397357">
      <w:bodyDiv w:val="1"/>
      <w:marLeft w:val="0"/>
      <w:marRight w:val="0"/>
      <w:marTop w:val="0"/>
      <w:marBottom w:val="0"/>
      <w:divBdr>
        <w:top w:val="none" w:sz="0" w:space="0" w:color="auto"/>
        <w:left w:val="none" w:sz="0" w:space="0" w:color="auto"/>
        <w:bottom w:val="none" w:sz="0" w:space="0" w:color="auto"/>
        <w:right w:val="none" w:sz="0" w:space="0" w:color="auto"/>
      </w:divBdr>
      <w:divsChild>
        <w:div w:id="828057282">
          <w:marLeft w:val="0"/>
          <w:marRight w:val="0"/>
          <w:marTop w:val="0"/>
          <w:marBottom w:val="0"/>
          <w:divBdr>
            <w:top w:val="dotted" w:sz="6" w:space="8" w:color="CCCCCC"/>
            <w:left w:val="none" w:sz="0" w:space="0" w:color="auto"/>
            <w:bottom w:val="dotted" w:sz="6" w:space="0" w:color="CCCCCC"/>
            <w:right w:val="none" w:sz="0" w:space="0" w:color="auto"/>
          </w:divBdr>
        </w:div>
        <w:div w:id="1745368944">
          <w:marLeft w:val="0"/>
          <w:marRight w:val="0"/>
          <w:marTop w:val="0"/>
          <w:marBottom w:val="0"/>
          <w:divBdr>
            <w:top w:val="none" w:sz="0" w:space="0" w:color="auto"/>
            <w:left w:val="none" w:sz="0" w:space="0" w:color="auto"/>
            <w:bottom w:val="none" w:sz="0" w:space="0" w:color="auto"/>
            <w:right w:val="none" w:sz="0" w:space="0" w:color="auto"/>
          </w:divBdr>
          <w:divsChild>
            <w:div w:id="1132593989">
              <w:marLeft w:val="0"/>
              <w:marRight w:val="0"/>
              <w:marTop w:val="0"/>
              <w:marBottom w:val="0"/>
              <w:divBdr>
                <w:top w:val="none" w:sz="0" w:space="0" w:color="auto"/>
                <w:left w:val="none" w:sz="0" w:space="0" w:color="auto"/>
                <w:bottom w:val="none" w:sz="0" w:space="0" w:color="auto"/>
                <w:right w:val="none" w:sz="0" w:space="0" w:color="auto"/>
              </w:divBdr>
              <w:divsChild>
                <w:div w:id="188632913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03121">
      <w:bodyDiv w:val="1"/>
      <w:marLeft w:val="0"/>
      <w:marRight w:val="0"/>
      <w:marTop w:val="0"/>
      <w:marBottom w:val="0"/>
      <w:divBdr>
        <w:top w:val="none" w:sz="0" w:space="0" w:color="auto"/>
        <w:left w:val="none" w:sz="0" w:space="0" w:color="auto"/>
        <w:bottom w:val="none" w:sz="0" w:space="0" w:color="auto"/>
        <w:right w:val="none" w:sz="0" w:space="0" w:color="auto"/>
      </w:divBdr>
      <w:divsChild>
        <w:div w:id="1393041449">
          <w:marLeft w:val="0"/>
          <w:marRight w:val="0"/>
          <w:marTop w:val="0"/>
          <w:marBottom w:val="0"/>
          <w:divBdr>
            <w:top w:val="none" w:sz="0" w:space="0" w:color="auto"/>
            <w:left w:val="none" w:sz="0" w:space="0" w:color="auto"/>
            <w:bottom w:val="none" w:sz="0" w:space="0" w:color="auto"/>
            <w:right w:val="none" w:sz="0" w:space="0" w:color="auto"/>
          </w:divBdr>
          <w:divsChild>
            <w:div w:id="1500775620">
              <w:marLeft w:val="0"/>
              <w:marRight w:val="0"/>
              <w:marTop w:val="0"/>
              <w:marBottom w:val="0"/>
              <w:divBdr>
                <w:top w:val="none" w:sz="0" w:space="0" w:color="auto"/>
                <w:left w:val="none" w:sz="0" w:space="0" w:color="auto"/>
                <w:bottom w:val="none" w:sz="0" w:space="0" w:color="auto"/>
                <w:right w:val="none" w:sz="0" w:space="0" w:color="auto"/>
              </w:divBdr>
              <w:divsChild>
                <w:div w:id="1764182267">
                  <w:marLeft w:val="0"/>
                  <w:marRight w:val="0"/>
                  <w:marTop w:val="0"/>
                  <w:marBottom w:val="0"/>
                  <w:divBdr>
                    <w:top w:val="none" w:sz="0" w:space="0" w:color="auto"/>
                    <w:left w:val="none" w:sz="0" w:space="0" w:color="auto"/>
                    <w:bottom w:val="none" w:sz="0" w:space="0" w:color="auto"/>
                    <w:right w:val="none" w:sz="0" w:space="0" w:color="auto"/>
                  </w:divBdr>
                  <w:divsChild>
                    <w:div w:id="1405911035">
                      <w:marLeft w:val="0"/>
                      <w:marRight w:val="0"/>
                      <w:marTop w:val="0"/>
                      <w:marBottom w:val="0"/>
                      <w:divBdr>
                        <w:top w:val="none" w:sz="0" w:space="0" w:color="auto"/>
                        <w:left w:val="none" w:sz="0" w:space="0" w:color="auto"/>
                        <w:bottom w:val="none" w:sz="0" w:space="0" w:color="auto"/>
                        <w:right w:val="none" w:sz="0" w:space="0" w:color="auto"/>
                      </w:divBdr>
                      <w:divsChild>
                        <w:div w:id="1577397457">
                          <w:marLeft w:val="0"/>
                          <w:marRight w:val="0"/>
                          <w:marTop w:val="0"/>
                          <w:marBottom w:val="0"/>
                          <w:divBdr>
                            <w:top w:val="none" w:sz="0" w:space="0" w:color="auto"/>
                            <w:left w:val="none" w:sz="0" w:space="0" w:color="auto"/>
                            <w:bottom w:val="none" w:sz="0" w:space="0" w:color="auto"/>
                            <w:right w:val="none" w:sz="0" w:space="0" w:color="auto"/>
                          </w:divBdr>
                          <w:divsChild>
                            <w:div w:id="1417163782">
                              <w:marLeft w:val="0"/>
                              <w:marRight w:val="0"/>
                              <w:marTop w:val="0"/>
                              <w:marBottom w:val="0"/>
                              <w:divBdr>
                                <w:top w:val="none" w:sz="0" w:space="0" w:color="auto"/>
                                <w:left w:val="none" w:sz="0" w:space="0" w:color="auto"/>
                                <w:bottom w:val="none" w:sz="0" w:space="0" w:color="auto"/>
                                <w:right w:val="none" w:sz="0" w:space="0" w:color="auto"/>
                              </w:divBdr>
                              <w:divsChild>
                                <w:div w:id="239220448">
                                  <w:marLeft w:val="0"/>
                                  <w:marRight w:val="0"/>
                                  <w:marTop w:val="0"/>
                                  <w:marBottom w:val="0"/>
                                  <w:divBdr>
                                    <w:top w:val="none" w:sz="0" w:space="0" w:color="auto"/>
                                    <w:left w:val="none" w:sz="0" w:space="0" w:color="auto"/>
                                    <w:bottom w:val="none" w:sz="0" w:space="0" w:color="auto"/>
                                    <w:right w:val="none" w:sz="0" w:space="0" w:color="auto"/>
                                  </w:divBdr>
                                  <w:divsChild>
                                    <w:div w:id="167765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595887">
      <w:bodyDiv w:val="1"/>
      <w:marLeft w:val="0"/>
      <w:marRight w:val="0"/>
      <w:marTop w:val="0"/>
      <w:marBottom w:val="0"/>
      <w:divBdr>
        <w:top w:val="none" w:sz="0" w:space="0" w:color="auto"/>
        <w:left w:val="none" w:sz="0" w:space="0" w:color="auto"/>
        <w:bottom w:val="none" w:sz="0" w:space="0" w:color="auto"/>
        <w:right w:val="none" w:sz="0" w:space="0" w:color="auto"/>
      </w:divBdr>
    </w:div>
    <w:div w:id="1291597391">
      <w:bodyDiv w:val="1"/>
      <w:marLeft w:val="0"/>
      <w:marRight w:val="0"/>
      <w:marTop w:val="0"/>
      <w:marBottom w:val="0"/>
      <w:divBdr>
        <w:top w:val="none" w:sz="0" w:space="0" w:color="auto"/>
        <w:left w:val="none" w:sz="0" w:space="0" w:color="auto"/>
        <w:bottom w:val="none" w:sz="0" w:space="0" w:color="auto"/>
        <w:right w:val="none" w:sz="0" w:space="0" w:color="auto"/>
      </w:divBdr>
      <w:divsChild>
        <w:div w:id="1064255925">
          <w:marLeft w:val="0"/>
          <w:marRight w:val="0"/>
          <w:marTop w:val="0"/>
          <w:marBottom w:val="0"/>
          <w:divBdr>
            <w:top w:val="none" w:sz="0" w:space="0" w:color="auto"/>
            <w:left w:val="none" w:sz="0" w:space="0" w:color="auto"/>
            <w:bottom w:val="none" w:sz="0" w:space="0" w:color="auto"/>
            <w:right w:val="none" w:sz="0" w:space="0" w:color="auto"/>
          </w:divBdr>
          <w:divsChild>
            <w:div w:id="2087268020">
              <w:marLeft w:val="0"/>
              <w:marRight w:val="0"/>
              <w:marTop w:val="0"/>
              <w:marBottom w:val="0"/>
              <w:divBdr>
                <w:top w:val="none" w:sz="0" w:space="0" w:color="auto"/>
                <w:left w:val="none" w:sz="0" w:space="0" w:color="auto"/>
                <w:bottom w:val="none" w:sz="0" w:space="0" w:color="auto"/>
                <w:right w:val="none" w:sz="0" w:space="0" w:color="auto"/>
              </w:divBdr>
              <w:divsChild>
                <w:div w:id="884833555">
                  <w:marLeft w:val="0"/>
                  <w:marRight w:val="0"/>
                  <w:marTop w:val="0"/>
                  <w:marBottom w:val="0"/>
                  <w:divBdr>
                    <w:top w:val="none" w:sz="0" w:space="0" w:color="auto"/>
                    <w:left w:val="none" w:sz="0" w:space="0" w:color="auto"/>
                    <w:bottom w:val="none" w:sz="0" w:space="0" w:color="auto"/>
                    <w:right w:val="none" w:sz="0" w:space="0" w:color="auto"/>
                  </w:divBdr>
                  <w:divsChild>
                    <w:div w:id="549847448">
                      <w:marLeft w:val="0"/>
                      <w:marRight w:val="0"/>
                      <w:marTop w:val="0"/>
                      <w:marBottom w:val="0"/>
                      <w:divBdr>
                        <w:top w:val="none" w:sz="0" w:space="0" w:color="auto"/>
                        <w:left w:val="none" w:sz="0" w:space="0" w:color="auto"/>
                        <w:bottom w:val="none" w:sz="0" w:space="0" w:color="auto"/>
                        <w:right w:val="none" w:sz="0" w:space="0" w:color="auto"/>
                      </w:divBdr>
                      <w:divsChild>
                        <w:div w:id="768816703">
                          <w:marLeft w:val="0"/>
                          <w:marRight w:val="0"/>
                          <w:marTop w:val="0"/>
                          <w:marBottom w:val="0"/>
                          <w:divBdr>
                            <w:top w:val="none" w:sz="0" w:space="0" w:color="auto"/>
                            <w:left w:val="none" w:sz="0" w:space="0" w:color="auto"/>
                            <w:bottom w:val="none" w:sz="0" w:space="0" w:color="auto"/>
                            <w:right w:val="none" w:sz="0" w:space="0" w:color="auto"/>
                          </w:divBdr>
                          <w:divsChild>
                            <w:div w:id="1324774696">
                              <w:marLeft w:val="0"/>
                              <w:marRight w:val="0"/>
                              <w:marTop w:val="0"/>
                              <w:marBottom w:val="0"/>
                              <w:divBdr>
                                <w:top w:val="none" w:sz="0" w:space="0" w:color="auto"/>
                                <w:left w:val="none" w:sz="0" w:space="0" w:color="auto"/>
                                <w:bottom w:val="none" w:sz="0" w:space="0" w:color="auto"/>
                                <w:right w:val="none" w:sz="0" w:space="0" w:color="auto"/>
                              </w:divBdr>
                              <w:divsChild>
                                <w:div w:id="1322536764">
                                  <w:marLeft w:val="0"/>
                                  <w:marRight w:val="0"/>
                                  <w:marTop w:val="0"/>
                                  <w:marBottom w:val="0"/>
                                  <w:divBdr>
                                    <w:top w:val="none" w:sz="0" w:space="0" w:color="auto"/>
                                    <w:left w:val="none" w:sz="0" w:space="0" w:color="auto"/>
                                    <w:bottom w:val="none" w:sz="0" w:space="0" w:color="auto"/>
                                    <w:right w:val="none" w:sz="0" w:space="0" w:color="auto"/>
                                  </w:divBdr>
                                  <w:divsChild>
                                    <w:div w:id="2127582726">
                                      <w:marLeft w:val="0"/>
                                      <w:marRight w:val="0"/>
                                      <w:marTop w:val="0"/>
                                      <w:marBottom w:val="0"/>
                                      <w:divBdr>
                                        <w:top w:val="none" w:sz="0" w:space="0" w:color="auto"/>
                                        <w:left w:val="none" w:sz="0" w:space="0" w:color="auto"/>
                                        <w:bottom w:val="none" w:sz="0" w:space="0" w:color="auto"/>
                                        <w:right w:val="none" w:sz="0" w:space="0" w:color="auto"/>
                                      </w:divBdr>
                                      <w:divsChild>
                                        <w:div w:id="17433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2638970">
      <w:bodyDiv w:val="1"/>
      <w:marLeft w:val="0"/>
      <w:marRight w:val="0"/>
      <w:marTop w:val="0"/>
      <w:marBottom w:val="0"/>
      <w:divBdr>
        <w:top w:val="none" w:sz="0" w:space="0" w:color="auto"/>
        <w:left w:val="none" w:sz="0" w:space="0" w:color="auto"/>
        <w:bottom w:val="none" w:sz="0" w:space="0" w:color="auto"/>
        <w:right w:val="none" w:sz="0" w:space="0" w:color="auto"/>
      </w:divBdr>
      <w:divsChild>
        <w:div w:id="754742105">
          <w:marLeft w:val="0"/>
          <w:marRight w:val="0"/>
          <w:marTop w:val="0"/>
          <w:marBottom w:val="0"/>
          <w:divBdr>
            <w:top w:val="none" w:sz="0" w:space="0" w:color="auto"/>
            <w:left w:val="none" w:sz="0" w:space="0" w:color="auto"/>
            <w:bottom w:val="none" w:sz="0" w:space="0" w:color="auto"/>
            <w:right w:val="none" w:sz="0" w:space="0" w:color="auto"/>
          </w:divBdr>
          <w:divsChild>
            <w:div w:id="861281820">
              <w:marLeft w:val="0"/>
              <w:marRight w:val="0"/>
              <w:marTop w:val="0"/>
              <w:marBottom w:val="0"/>
              <w:divBdr>
                <w:top w:val="none" w:sz="0" w:space="0" w:color="auto"/>
                <w:left w:val="none" w:sz="0" w:space="0" w:color="auto"/>
                <w:bottom w:val="none" w:sz="0" w:space="0" w:color="auto"/>
                <w:right w:val="none" w:sz="0" w:space="0" w:color="auto"/>
              </w:divBdr>
              <w:divsChild>
                <w:div w:id="1390762348">
                  <w:marLeft w:val="0"/>
                  <w:marRight w:val="0"/>
                  <w:marTop w:val="0"/>
                  <w:marBottom w:val="0"/>
                  <w:divBdr>
                    <w:top w:val="none" w:sz="0" w:space="0" w:color="auto"/>
                    <w:left w:val="none" w:sz="0" w:space="0" w:color="auto"/>
                    <w:bottom w:val="none" w:sz="0" w:space="0" w:color="auto"/>
                    <w:right w:val="none" w:sz="0" w:space="0" w:color="auto"/>
                  </w:divBdr>
                  <w:divsChild>
                    <w:div w:id="619149529">
                      <w:marLeft w:val="0"/>
                      <w:marRight w:val="0"/>
                      <w:marTop w:val="0"/>
                      <w:marBottom w:val="0"/>
                      <w:divBdr>
                        <w:top w:val="none" w:sz="0" w:space="0" w:color="auto"/>
                        <w:left w:val="none" w:sz="0" w:space="0" w:color="auto"/>
                        <w:bottom w:val="none" w:sz="0" w:space="0" w:color="auto"/>
                        <w:right w:val="none" w:sz="0" w:space="0" w:color="auto"/>
                      </w:divBdr>
                      <w:divsChild>
                        <w:div w:id="516506353">
                          <w:marLeft w:val="0"/>
                          <w:marRight w:val="0"/>
                          <w:marTop w:val="0"/>
                          <w:marBottom w:val="0"/>
                          <w:divBdr>
                            <w:top w:val="none" w:sz="0" w:space="0" w:color="auto"/>
                            <w:left w:val="none" w:sz="0" w:space="0" w:color="auto"/>
                            <w:bottom w:val="none" w:sz="0" w:space="0" w:color="auto"/>
                            <w:right w:val="none" w:sz="0" w:space="0" w:color="auto"/>
                          </w:divBdr>
                          <w:divsChild>
                            <w:div w:id="1087768964">
                              <w:marLeft w:val="0"/>
                              <w:marRight w:val="0"/>
                              <w:marTop w:val="0"/>
                              <w:marBottom w:val="0"/>
                              <w:divBdr>
                                <w:top w:val="none" w:sz="0" w:space="0" w:color="auto"/>
                                <w:left w:val="none" w:sz="0" w:space="0" w:color="auto"/>
                                <w:bottom w:val="none" w:sz="0" w:space="0" w:color="auto"/>
                                <w:right w:val="none" w:sz="0" w:space="0" w:color="auto"/>
                              </w:divBdr>
                              <w:divsChild>
                                <w:div w:id="863710459">
                                  <w:marLeft w:val="0"/>
                                  <w:marRight w:val="0"/>
                                  <w:marTop w:val="0"/>
                                  <w:marBottom w:val="0"/>
                                  <w:divBdr>
                                    <w:top w:val="none" w:sz="0" w:space="0" w:color="auto"/>
                                    <w:left w:val="none" w:sz="0" w:space="0" w:color="auto"/>
                                    <w:bottom w:val="none" w:sz="0" w:space="0" w:color="auto"/>
                                    <w:right w:val="none" w:sz="0" w:space="0" w:color="auto"/>
                                  </w:divBdr>
                                  <w:divsChild>
                                    <w:div w:id="35705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3053036">
      <w:bodyDiv w:val="1"/>
      <w:marLeft w:val="0"/>
      <w:marRight w:val="0"/>
      <w:marTop w:val="0"/>
      <w:marBottom w:val="0"/>
      <w:divBdr>
        <w:top w:val="none" w:sz="0" w:space="0" w:color="auto"/>
        <w:left w:val="none" w:sz="0" w:space="0" w:color="auto"/>
        <w:bottom w:val="none" w:sz="0" w:space="0" w:color="auto"/>
        <w:right w:val="none" w:sz="0" w:space="0" w:color="auto"/>
      </w:divBdr>
      <w:divsChild>
        <w:div w:id="1514606615">
          <w:marLeft w:val="0"/>
          <w:marRight w:val="0"/>
          <w:marTop w:val="0"/>
          <w:marBottom w:val="0"/>
          <w:divBdr>
            <w:top w:val="none" w:sz="0" w:space="0" w:color="auto"/>
            <w:left w:val="none" w:sz="0" w:space="0" w:color="auto"/>
            <w:bottom w:val="none" w:sz="0" w:space="0" w:color="auto"/>
            <w:right w:val="none" w:sz="0" w:space="0" w:color="auto"/>
          </w:divBdr>
        </w:div>
      </w:divsChild>
    </w:div>
    <w:div w:id="1293053301">
      <w:bodyDiv w:val="1"/>
      <w:marLeft w:val="0"/>
      <w:marRight w:val="0"/>
      <w:marTop w:val="0"/>
      <w:marBottom w:val="0"/>
      <w:divBdr>
        <w:top w:val="none" w:sz="0" w:space="0" w:color="auto"/>
        <w:left w:val="none" w:sz="0" w:space="0" w:color="auto"/>
        <w:bottom w:val="none" w:sz="0" w:space="0" w:color="auto"/>
        <w:right w:val="none" w:sz="0" w:space="0" w:color="auto"/>
      </w:divBdr>
      <w:divsChild>
        <w:div w:id="598833593">
          <w:marLeft w:val="0"/>
          <w:marRight w:val="0"/>
          <w:marTop w:val="0"/>
          <w:marBottom w:val="0"/>
          <w:divBdr>
            <w:top w:val="none" w:sz="0" w:space="0" w:color="auto"/>
            <w:left w:val="none" w:sz="0" w:space="0" w:color="auto"/>
            <w:bottom w:val="none" w:sz="0" w:space="0" w:color="auto"/>
            <w:right w:val="none" w:sz="0" w:space="0" w:color="auto"/>
          </w:divBdr>
        </w:div>
      </w:divsChild>
    </w:div>
    <w:div w:id="1293630532">
      <w:bodyDiv w:val="1"/>
      <w:marLeft w:val="0"/>
      <w:marRight w:val="0"/>
      <w:marTop w:val="0"/>
      <w:marBottom w:val="0"/>
      <w:divBdr>
        <w:top w:val="none" w:sz="0" w:space="0" w:color="auto"/>
        <w:left w:val="none" w:sz="0" w:space="0" w:color="auto"/>
        <w:bottom w:val="none" w:sz="0" w:space="0" w:color="auto"/>
        <w:right w:val="none" w:sz="0" w:space="0" w:color="auto"/>
      </w:divBdr>
      <w:divsChild>
        <w:div w:id="1589653299">
          <w:marLeft w:val="0"/>
          <w:marRight w:val="0"/>
          <w:marTop w:val="0"/>
          <w:marBottom w:val="0"/>
          <w:divBdr>
            <w:top w:val="none" w:sz="0" w:space="0" w:color="auto"/>
            <w:left w:val="none" w:sz="0" w:space="0" w:color="auto"/>
            <w:bottom w:val="dotted" w:sz="6" w:space="4" w:color="DDDDDD"/>
            <w:right w:val="none" w:sz="0" w:space="0" w:color="auto"/>
          </w:divBdr>
        </w:div>
      </w:divsChild>
    </w:div>
    <w:div w:id="1294096608">
      <w:bodyDiv w:val="1"/>
      <w:marLeft w:val="0"/>
      <w:marRight w:val="0"/>
      <w:marTop w:val="0"/>
      <w:marBottom w:val="0"/>
      <w:divBdr>
        <w:top w:val="none" w:sz="0" w:space="0" w:color="auto"/>
        <w:left w:val="none" w:sz="0" w:space="0" w:color="auto"/>
        <w:bottom w:val="none" w:sz="0" w:space="0" w:color="auto"/>
        <w:right w:val="none" w:sz="0" w:space="0" w:color="auto"/>
      </w:divBdr>
      <w:divsChild>
        <w:div w:id="436829425">
          <w:marLeft w:val="0"/>
          <w:marRight w:val="0"/>
          <w:marTop w:val="0"/>
          <w:marBottom w:val="150"/>
          <w:divBdr>
            <w:top w:val="none" w:sz="0" w:space="0" w:color="auto"/>
            <w:left w:val="none" w:sz="0" w:space="0" w:color="auto"/>
            <w:bottom w:val="none" w:sz="0" w:space="0" w:color="auto"/>
            <w:right w:val="none" w:sz="0" w:space="0" w:color="auto"/>
          </w:divBdr>
        </w:div>
        <w:div w:id="651761584">
          <w:marLeft w:val="0"/>
          <w:marRight w:val="0"/>
          <w:marTop w:val="0"/>
          <w:marBottom w:val="0"/>
          <w:divBdr>
            <w:top w:val="none" w:sz="0" w:space="0" w:color="auto"/>
            <w:left w:val="none" w:sz="0" w:space="0" w:color="auto"/>
            <w:bottom w:val="none" w:sz="0" w:space="0" w:color="auto"/>
            <w:right w:val="none" w:sz="0" w:space="0" w:color="auto"/>
          </w:divBdr>
        </w:div>
      </w:divsChild>
    </w:div>
    <w:div w:id="1294485729">
      <w:bodyDiv w:val="1"/>
      <w:marLeft w:val="0"/>
      <w:marRight w:val="0"/>
      <w:marTop w:val="0"/>
      <w:marBottom w:val="0"/>
      <w:divBdr>
        <w:top w:val="none" w:sz="0" w:space="0" w:color="auto"/>
        <w:left w:val="none" w:sz="0" w:space="0" w:color="auto"/>
        <w:bottom w:val="none" w:sz="0" w:space="0" w:color="auto"/>
        <w:right w:val="none" w:sz="0" w:space="0" w:color="auto"/>
      </w:divBdr>
      <w:divsChild>
        <w:div w:id="254749209">
          <w:marLeft w:val="0"/>
          <w:marRight w:val="0"/>
          <w:marTop w:val="0"/>
          <w:marBottom w:val="150"/>
          <w:divBdr>
            <w:top w:val="none" w:sz="0" w:space="0" w:color="auto"/>
            <w:left w:val="none" w:sz="0" w:space="0" w:color="auto"/>
            <w:bottom w:val="none" w:sz="0" w:space="0" w:color="auto"/>
            <w:right w:val="none" w:sz="0" w:space="0" w:color="auto"/>
          </w:divBdr>
        </w:div>
        <w:div w:id="1167555231">
          <w:marLeft w:val="0"/>
          <w:marRight w:val="0"/>
          <w:marTop w:val="0"/>
          <w:marBottom w:val="0"/>
          <w:divBdr>
            <w:top w:val="none" w:sz="0" w:space="0" w:color="auto"/>
            <w:left w:val="none" w:sz="0" w:space="0" w:color="auto"/>
            <w:bottom w:val="none" w:sz="0" w:space="0" w:color="auto"/>
            <w:right w:val="none" w:sz="0" w:space="0" w:color="auto"/>
          </w:divBdr>
          <w:divsChild>
            <w:div w:id="2128347171">
              <w:marLeft w:val="0"/>
              <w:marRight w:val="0"/>
              <w:marTop w:val="0"/>
              <w:marBottom w:val="0"/>
              <w:divBdr>
                <w:top w:val="none" w:sz="0" w:space="0" w:color="auto"/>
                <w:left w:val="none" w:sz="0" w:space="0" w:color="auto"/>
                <w:bottom w:val="none" w:sz="0" w:space="0" w:color="auto"/>
                <w:right w:val="none" w:sz="0" w:space="0" w:color="auto"/>
              </w:divBdr>
            </w:div>
          </w:divsChild>
        </w:div>
        <w:div w:id="1275793660">
          <w:marLeft w:val="0"/>
          <w:marRight w:val="0"/>
          <w:marTop w:val="0"/>
          <w:marBottom w:val="150"/>
          <w:divBdr>
            <w:top w:val="none" w:sz="0" w:space="0" w:color="auto"/>
            <w:left w:val="none" w:sz="0" w:space="0" w:color="auto"/>
            <w:bottom w:val="none" w:sz="0" w:space="0" w:color="auto"/>
            <w:right w:val="none" w:sz="0" w:space="0" w:color="auto"/>
          </w:divBdr>
          <w:divsChild>
            <w:div w:id="16781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04806">
      <w:bodyDiv w:val="1"/>
      <w:marLeft w:val="0"/>
      <w:marRight w:val="0"/>
      <w:marTop w:val="0"/>
      <w:marBottom w:val="0"/>
      <w:divBdr>
        <w:top w:val="none" w:sz="0" w:space="0" w:color="auto"/>
        <w:left w:val="none" w:sz="0" w:space="0" w:color="auto"/>
        <w:bottom w:val="none" w:sz="0" w:space="0" w:color="auto"/>
        <w:right w:val="none" w:sz="0" w:space="0" w:color="auto"/>
      </w:divBdr>
      <w:divsChild>
        <w:div w:id="1625230846">
          <w:marLeft w:val="0"/>
          <w:marRight w:val="0"/>
          <w:marTop w:val="0"/>
          <w:marBottom w:val="0"/>
          <w:divBdr>
            <w:top w:val="none" w:sz="0" w:space="0" w:color="auto"/>
            <w:left w:val="none" w:sz="0" w:space="0" w:color="auto"/>
            <w:bottom w:val="none" w:sz="0" w:space="0" w:color="auto"/>
            <w:right w:val="none" w:sz="0" w:space="0" w:color="auto"/>
          </w:divBdr>
          <w:divsChild>
            <w:div w:id="808476284">
              <w:marLeft w:val="0"/>
              <w:marRight w:val="0"/>
              <w:marTop w:val="0"/>
              <w:marBottom w:val="0"/>
              <w:divBdr>
                <w:top w:val="none" w:sz="0" w:space="0" w:color="auto"/>
                <w:left w:val="none" w:sz="0" w:space="0" w:color="auto"/>
                <w:bottom w:val="none" w:sz="0" w:space="0" w:color="auto"/>
                <w:right w:val="none" w:sz="0" w:space="0" w:color="auto"/>
              </w:divBdr>
              <w:divsChild>
                <w:div w:id="1729646602">
                  <w:marLeft w:val="0"/>
                  <w:marRight w:val="0"/>
                  <w:marTop w:val="0"/>
                  <w:marBottom w:val="0"/>
                  <w:divBdr>
                    <w:top w:val="none" w:sz="0" w:space="0" w:color="auto"/>
                    <w:left w:val="none" w:sz="0" w:space="0" w:color="auto"/>
                    <w:bottom w:val="none" w:sz="0" w:space="0" w:color="auto"/>
                    <w:right w:val="none" w:sz="0" w:space="0" w:color="auto"/>
                  </w:divBdr>
                  <w:divsChild>
                    <w:div w:id="1534883477">
                      <w:marLeft w:val="0"/>
                      <w:marRight w:val="0"/>
                      <w:marTop w:val="0"/>
                      <w:marBottom w:val="0"/>
                      <w:divBdr>
                        <w:top w:val="none" w:sz="0" w:space="0" w:color="auto"/>
                        <w:left w:val="none" w:sz="0" w:space="0" w:color="auto"/>
                        <w:bottom w:val="none" w:sz="0" w:space="0" w:color="auto"/>
                        <w:right w:val="none" w:sz="0" w:space="0" w:color="auto"/>
                      </w:divBdr>
                      <w:divsChild>
                        <w:div w:id="1770853727">
                          <w:marLeft w:val="0"/>
                          <w:marRight w:val="0"/>
                          <w:marTop w:val="0"/>
                          <w:marBottom w:val="0"/>
                          <w:divBdr>
                            <w:top w:val="none" w:sz="0" w:space="0" w:color="auto"/>
                            <w:left w:val="none" w:sz="0" w:space="0" w:color="auto"/>
                            <w:bottom w:val="none" w:sz="0" w:space="0" w:color="auto"/>
                            <w:right w:val="none" w:sz="0" w:space="0" w:color="auto"/>
                          </w:divBdr>
                          <w:divsChild>
                            <w:div w:id="1638795407">
                              <w:marLeft w:val="0"/>
                              <w:marRight w:val="0"/>
                              <w:marTop w:val="0"/>
                              <w:marBottom w:val="0"/>
                              <w:divBdr>
                                <w:top w:val="none" w:sz="0" w:space="0" w:color="auto"/>
                                <w:left w:val="none" w:sz="0" w:space="0" w:color="auto"/>
                                <w:bottom w:val="none" w:sz="0" w:space="0" w:color="auto"/>
                                <w:right w:val="none" w:sz="0" w:space="0" w:color="auto"/>
                              </w:divBdr>
                              <w:divsChild>
                                <w:div w:id="1421759199">
                                  <w:marLeft w:val="0"/>
                                  <w:marRight w:val="0"/>
                                  <w:marTop w:val="0"/>
                                  <w:marBottom w:val="0"/>
                                  <w:divBdr>
                                    <w:top w:val="none" w:sz="0" w:space="0" w:color="auto"/>
                                    <w:left w:val="none" w:sz="0" w:space="0" w:color="auto"/>
                                    <w:bottom w:val="none" w:sz="0" w:space="0" w:color="auto"/>
                                    <w:right w:val="none" w:sz="0" w:space="0" w:color="auto"/>
                                  </w:divBdr>
                                  <w:divsChild>
                                    <w:div w:id="214049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752081">
      <w:bodyDiv w:val="1"/>
      <w:marLeft w:val="0"/>
      <w:marRight w:val="0"/>
      <w:marTop w:val="0"/>
      <w:marBottom w:val="0"/>
      <w:divBdr>
        <w:top w:val="none" w:sz="0" w:space="0" w:color="auto"/>
        <w:left w:val="none" w:sz="0" w:space="0" w:color="auto"/>
        <w:bottom w:val="none" w:sz="0" w:space="0" w:color="auto"/>
        <w:right w:val="none" w:sz="0" w:space="0" w:color="auto"/>
      </w:divBdr>
    </w:div>
    <w:div w:id="1294753390">
      <w:bodyDiv w:val="1"/>
      <w:marLeft w:val="0"/>
      <w:marRight w:val="0"/>
      <w:marTop w:val="0"/>
      <w:marBottom w:val="0"/>
      <w:divBdr>
        <w:top w:val="none" w:sz="0" w:space="0" w:color="auto"/>
        <w:left w:val="none" w:sz="0" w:space="0" w:color="auto"/>
        <w:bottom w:val="none" w:sz="0" w:space="0" w:color="auto"/>
        <w:right w:val="none" w:sz="0" w:space="0" w:color="auto"/>
      </w:divBdr>
    </w:div>
    <w:div w:id="1295020663">
      <w:bodyDiv w:val="1"/>
      <w:marLeft w:val="0"/>
      <w:marRight w:val="0"/>
      <w:marTop w:val="0"/>
      <w:marBottom w:val="0"/>
      <w:divBdr>
        <w:top w:val="none" w:sz="0" w:space="0" w:color="auto"/>
        <w:left w:val="none" w:sz="0" w:space="0" w:color="auto"/>
        <w:bottom w:val="none" w:sz="0" w:space="0" w:color="auto"/>
        <w:right w:val="none" w:sz="0" w:space="0" w:color="auto"/>
      </w:divBdr>
      <w:divsChild>
        <w:div w:id="1461999150">
          <w:marLeft w:val="0"/>
          <w:marRight w:val="0"/>
          <w:marTop w:val="0"/>
          <w:marBottom w:val="0"/>
          <w:divBdr>
            <w:top w:val="none" w:sz="0" w:space="0" w:color="auto"/>
            <w:left w:val="none" w:sz="0" w:space="0" w:color="auto"/>
            <w:bottom w:val="dotted" w:sz="6" w:space="4" w:color="DDDDDD"/>
            <w:right w:val="none" w:sz="0" w:space="0" w:color="auto"/>
          </w:divBdr>
          <w:divsChild>
            <w:div w:id="14671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141391">
      <w:bodyDiv w:val="1"/>
      <w:marLeft w:val="0"/>
      <w:marRight w:val="0"/>
      <w:marTop w:val="0"/>
      <w:marBottom w:val="0"/>
      <w:divBdr>
        <w:top w:val="none" w:sz="0" w:space="0" w:color="auto"/>
        <w:left w:val="none" w:sz="0" w:space="0" w:color="auto"/>
        <w:bottom w:val="none" w:sz="0" w:space="0" w:color="auto"/>
        <w:right w:val="none" w:sz="0" w:space="0" w:color="auto"/>
      </w:divBdr>
      <w:divsChild>
        <w:div w:id="1317221976">
          <w:marLeft w:val="0"/>
          <w:marRight w:val="0"/>
          <w:marTop w:val="0"/>
          <w:marBottom w:val="0"/>
          <w:divBdr>
            <w:top w:val="none" w:sz="0" w:space="0" w:color="auto"/>
            <w:left w:val="none" w:sz="0" w:space="0" w:color="auto"/>
            <w:bottom w:val="none" w:sz="0" w:space="0" w:color="auto"/>
            <w:right w:val="none" w:sz="0" w:space="0" w:color="auto"/>
          </w:divBdr>
        </w:div>
        <w:div w:id="282880196">
          <w:marLeft w:val="0"/>
          <w:marRight w:val="0"/>
          <w:marTop w:val="0"/>
          <w:marBottom w:val="0"/>
          <w:divBdr>
            <w:top w:val="none" w:sz="0" w:space="0" w:color="auto"/>
            <w:left w:val="none" w:sz="0" w:space="0" w:color="auto"/>
            <w:bottom w:val="none" w:sz="0" w:space="0" w:color="auto"/>
            <w:right w:val="none" w:sz="0" w:space="0" w:color="auto"/>
          </w:divBdr>
          <w:divsChild>
            <w:div w:id="1779585">
              <w:marLeft w:val="0"/>
              <w:marRight w:val="0"/>
              <w:marTop w:val="0"/>
              <w:marBottom w:val="0"/>
              <w:divBdr>
                <w:top w:val="none" w:sz="0" w:space="0" w:color="auto"/>
                <w:left w:val="none" w:sz="0" w:space="0" w:color="auto"/>
                <w:bottom w:val="single" w:sz="6" w:space="11" w:color="EBEBEB"/>
                <w:right w:val="none" w:sz="0" w:space="0" w:color="auto"/>
              </w:divBdr>
              <w:divsChild>
                <w:div w:id="1523857803">
                  <w:marLeft w:val="0"/>
                  <w:marRight w:val="225"/>
                  <w:marTop w:val="0"/>
                  <w:marBottom w:val="0"/>
                  <w:divBdr>
                    <w:top w:val="none" w:sz="0" w:space="0" w:color="auto"/>
                    <w:left w:val="none" w:sz="0" w:space="0" w:color="auto"/>
                    <w:bottom w:val="none" w:sz="0" w:space="0" w:color="auto"/>
                    <w:right w:val="none" w:sz="0" w:space="0" w:color="auto"/>
                  </w:divBdr>
                </w:div>
                <w:div w:id="1579363831">
                  <w:marLeft w:val="0"/>
                  <w:marRight w:val="0"/>
                  <w:marTop w:val="0"/>
                  <w:marBottom w:val="0"/>
                  <w:divBdr>
                    <w:top w:val="none" w:sz="0" w:space="0" w:color="auto"/>
                    <w:left w:val="none" w:sz="0" w:space="0" w:color="auto"/>
                    <w:bottom w:val="none" w:sz="0" w:space="0" w:color="auto"/>
                    <w:right w:val="none" w:sz="0" w:space="0" w:color="auto"/>
                  </w:divBdr>
                  <w:divsChild>
                    <w:div w:id="80447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419671">
          <w:marLeft w:val="0"/>
          <w:marRight w:val="0"/>
          <w:marTop w:val="450"/>
          <w:marBottom w:val="600"/>
          <w:divBdr>
            <w:top w:val="none" w:sz="0" w:space="0" w:color="auto"/>
            <w:left w:val="none" w:sz="0" w:space="0" w:color="auto"/>
            <w:bottom w:val="none" w:sz="0" w:space="0" w:color="auto"/>
            <w:right w:val="none" w:sz="0" w:space="0" w:color="auto"/>
          </w:divBdr>
        </w:div>
      </w:divsChild>
    </w:div>
    <w:div w:id="1295670743">
      <w:bodyDiv w:val="1"/>
      <w:marLeft w:val="0"/>
      <w:marRight w:val="0"/>
      <w:marTop w:val="0"/>
      <w:marBottom w:val="0"/>
      <w:divBdr>
        <w:top w:val="none" w:sz="0" w:space="0" w:color="auto"/>
        <w:left w:val="none" w:sz="0" w:space="0" w:color="auto"/>
        <w:bottom w:val="none" w:sz="0" w:space="0" w:color="auto"/>
        <w:right w:val="none" w:sz="0" w:space="0" w:color="auto"/>
      </w:divBdr>
      <w:divsChild>
        <w:div w:id="1310788584">
          <w:marLeft w:val="0"/>
          <w:marRight w:val="0"/>
          <w:marTop w:val="0"/>
          <w:marBottom w:val="150"/>
          <w:divBdr>
            <w:top w:val="none" w:sz="0" w:space="0" w:color="auto"/>
            <w:left w:val="none" w:sz="0" w:space="0" w:color="auto"/>
            <w:bottom w:val="none" w:sz="0" w:space="0" w:color="auto"/>
            <w:right w:val="none" w:sz="0" w:space="0" w:color="auto"/>
          </w:divBdr>
        </w:div>
      </w:divsChild>
    </w:div>
    <w:div w:id="1295864751">
      <w:bodyDiv w:val="1"/>
      <w:marLeft w:val="0"/>
      <w:marRight w:val="0"/>
      <w:marTop w:val="0"/>
      <w:marBottom w:val="0"/>
      <w:divBdr>
        <w:top w:val="none" w:sz="0" w:space="0" w:color="auto"/>
        <w:left w:val="none" w:sz="0" w:space="0" w:color="auto"/>
        <w:bottom w:val="none" w:sz="0" w:space="0" w:color="auto"/>
        <w:right w:val="none" w:sz="0" w:space="0" w:color="auto"/>
      </w:divBdr>
      <w:divsChild>
        <w:div w:id="573247991">
          <w:marLeft w:val="0"/>
          <w:marRight w:val="0"/>
          <w:marTop w:val="300"/>
          <w:marBottom w:val="0"/>
          <w:divBdr>
            <w:top w:val="none" w:sz="0" w:space="0" w:color="auto"/>
            <w:left w:val="none" w:sz="0" w:space="0" w:color="auto"/>
            <w:bottom w:val="none" w:sz="0" w:space="0" w:color="auto"/>
            <w:right w:val="none" w:sz="0" w:space="0" w:color="auto"/>
          </w:divBdr>
          <w:divsChild>
            <w:div w:id="1059012496">
              <w:marLeft w:val="0"/>
              <w:marRight w:val="0"/>
              <w:marTop w:val="0"/>
              <w:marBottom w:val="0"/>
              <w:divBdr>
                <w:top w:val="none" w:sz="0" w:space="0" w:color="auto"/>
                <w:left w:val="none" w:sz="0" w:space="0" w:color="auto"/>
                <w:bottom w:val="none" w:sz="0" w:space="0" w:color="auto"/>
                <w:right w:val="none" w:sz="0" w:space="0" w:color="auto"/>
              </w:divBdr>
              <w:divsChild>
                <w:div w:id="456871242">
                  <w:marLeft w:val="0"/>
                  <w:marRight w:val="0"/>
                  <w:marTop w:val="150"/>
                  <w:marBottom w:val="0"/>
                  <w:divBdr>
                    <w:top w:val="none" w:sz="0" w:space="0" w:color="auto"/>
                    <w:left w:val="none" w:sz="0" w:space="0" w:color="auto"/>
                    <w:bottom w:val="none" w:sz="0" w:space="0" w:color="auto"/>
                    <w:right w:val="none" w:sz="0" w:space="0" w:color="auto"/>
                  </w:divBdr>
                  <w:divsChild>
                    <w:div w:id="279459658">
                      <w:marLeft w:val="0"/>
                      <w:marRight w:val="0"/>
                      <w:marTop w:val="0"/>
                      <w:marBottom w:val="0"/>
                      <w:divBdr>
                        <w:top w:val="none" w:sz="0" w:space="0" w:color="auto"/>
                        <w:left w:val="none" w:sz="0" w:space="0" w:color="auto"/>
                        <w:bottom w:val="none" w:sz="0" w:space="0" w:color="auto"/>
                        <w:right w:val="none" w:sz="0" w:space="0" w:color="auto"/>
                      </w:divBdr>
                      <w:divsChild>
                        <w:div w:id="63348696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69972519">
                  <w:marLeft w:val="0"/>
                  <w:marRight w:val="0"/>
                  <w:marTop w:val="0"/>
                  <w:marBottom w:val="0"/>
                  <w:divBdr>
                    <w:top w:val="none" w:sz="0" w:space="0" w:color="auto"/>
                    <w:left w:val="none" w:sz="0" w:space="0" w:color="auto"/>
                    <w:bottom w:val="none" w:sz="0" w:space="0" w:color="auto"/>
                    <w:right w:val="none" w:sz="0" w:space="0" w:color="auto"/>
                  </w:divBdr>
                  <w:divsChild>
                    <w:div w:id="90853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035613">
              <w:marLeft w:val="-1350"/>
              <w:marRight w:val="0"/>
              <w:marTop w:val="0"/>
              <w:marBottom w:val="0"/>
              <w:divBdr>
                <w:top w:val="none" w:sz="0" w:space="0" w:color="auto"/>
                <w:left w:val="none" w:sz="0" w:space="0" w:color="auto"/>
                <w:bottom w:val="none" w:sz="0" w:space="0" w:color="auto"/>
                <w:right w:val="none" w:sz="0" w:space="0" w:color="auto"/>
              </w:divBdr>
              <w:divsChild>
                <w:div w:id="265164354">
                  <w:marLeft w:val="0"/>
                  <w:marRight w:val="0"/>
                  <w:marTop w:val="0"/>
                  <w:marBottom w:val="0"/>
                  <w:divBdr>
                    <w:top w:val="none" w:sz="0" w:space="0" w:color="auto"/>
                    <w:left w:val="none" w:sz="0" w:space="0" w:color="auto"/>
                    <w:bottom w:val="none" w:sz="0" w:space="0" w:color="auto"/>
                    <w:right w:val="none" w:sz="0" w:space="0" w:color="auto"/>
                  </w:divBdr>
                  <w:divsChild>
                    <w:div w:id="967902452">
                      <w:marLeft w:val="0"/>
                      <w:marRight w:val="0"/>
                      <w:marTop w:val="0"/>
                      <w:marBottom w:val="0"/>
                      <w:divBdr>
                        <w:top w:val="none" w:sz="0" w:space="0" w:color="auto"/>
                        <w:left w:val="none" w:sz="0" w:space="0" w:color="auto"/>
                        <w:bottom w:val="none" w:sz="0" w:space="0" w:color="auto"/>
                        <w:right w:val="none" w:sz="0" w:space="0" w:color="auto"/>
                      </w:divBdr>
                      <w:divsChild>
                        <w:div w:id="1984578680">
                          <w:marLeft w:val="0"/>
                          <w:marRight w:val="0"/>
                          <w:marTop w:val="0"/>
                          <w:marBottom w:val="0"/>
                          <w:divBdr>
                            <w:top w:val="single" w:sz="6" w:space="0" w:color="C7C7C7"/>
                            <w:left w:val="single" w:sz="6" w:space="0" w:color="C7C7C7"/>
                            <w:bottom w:val="single" w:sz="6" w:space="0" w:color="C7C7C7"/>
                            <w:right w:val="single" w:sz="6" w:space="0" w:color="C7C7C7"/>
                          </w:divBdr>
                          <w:divsChild>
                            <w:div w:id="353193505">
                              <w:marLeft w:val="0"/>
                              <w:marRight w:val="0"/>
                              <w:marTop w:val="100"/>
                              <w:marBottom w:val="100"/>
                              <w:divBdr>
                                <w:top w:val="none" w:sz="0" w:space="11" w:color="auto"/>
                                <w:left w:val="none" w:sz="0" w:space="0" w:color="auto"/>
                                <w:bottom w:val="single" w:sz="6" w:space="11" w:color="C7C7C7"/>
                                <w:right w:val="none" w:sz="0" w:space="0" w:color="auto"/>
                              </w:divBdr>
                            </w:div>
                            <w:div w:id="375736421">
                              <w:marLeft w:val="0"/>
                              <w:marRight w:val="0"/>
                              <w:marTop w:val="100"/>
                              <w:marBottom w:val="100"/>
                              <w:divBdr>
                                <w:top w:val="none" w:sz="0" w:space="0" w:color="auto"/>
                                <w:left w:val="none" w:sz="0" w:space="0" w:color="auto"/>
                                <w:bottom w:val="none" w:sz="0" w:space="0" w:color="auto"/>
                                <w:right w:val="none" w:sz="0" w:space="0" w:color="auto"/>
                              </w:divBdr>
                            </w:div>
                            <w:div w:id="1100178593">
                              <w:marLeft w:val="0"/>
                              <w:marRight w:val="0"/>
                              <w:marTop w:val="100"/>
                              <w:marBottom w:val="100"/>
                              <w:divBdr>
                                <w:top w:val="none" w:sz="0" w:space="11" w:color="auto"/>
                                <w:left w:val="none" w:sz="0" w:space="0" w:color="auto"/>
                                <w:bottom w:val="single" w:sz="6" w:space="11" w:color="C7C7C7"/>
                                <w:right w:val="none" w:sz="0" w:space="0" w:color="auto"/>
                              </w:divBdr>
                            </w:div>
                            <w:div w:id="178881308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 w:id="875503343">
          <w:marLeft w:val="0"/>
          <w:marRight w:val="0"/>
          <w:marTop w:val="150"/>
          <w:marBottom w:val="0"/>
          <w:divBdr>
            <w:top w:val="none" w:sz="0" w:space="0" w:color="auto"/>
            <w:left w:val="none" w:sz="0" w:space="0" w:color="auto"/>
            <w:bottom w:val="none" w:sz="0" w:space="0" w:color="auto"/>
            <w:right w:val="none" w:sz="0" w:space="0" w:color="auto"/>
          </w:divBdr>
          <w:divsChild>
            <w:div w:id="157187309">
              <w:marLeft w:val="0"/>
              <w:marRight w:val="0"/>
              <w:marTop w:val="0"/>
              <w:marBottom w:val="0"/>
              <w:divBdr>
                <w:top w:val="none" w:sz="0" w:space="0" w:color="auto"/>
                <w:left w:val="none" w:sz="0" w:space="0" w:color="auto"/>
                <w:bottom w:val="single" w:sz="6" w:space="0" w:color="EFEFEF"/>
                <w:right w:val="none" w:sz="0" w:space="0" w:color="auto"/>
              </w:divBdr>
              <w:divsChild>
                <w:div w:id="835341624">
                  <w:marLeft w:val="0"/>
                  <w:marRight w:val="0"/>
                  <w:marTop w:val="0"/>
                  <w:marBottom w:val="0"/>
                  <w:divBdr>
                    <w:top w:val="none" w:sz="0" w:space="0" w:color="auto"/>
                    <w:left w:val="none" w:sz="0" w:space="0" w:color="auto"/>
                    <w:bottom w:val="none" w:sz="0" w:space="0" w:color="auto"/>
                    <w:right w:val="none" w:sz="0" w:space="0" w:color="auto"/>
                  </w:divBdr>
                </w:div>
                <w:div w:id="131205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79643">
      <w:bodyDiv w:val="1"/>
      <w:marLeft w:val="0"/>
      <w:marRight w:val="0"/>
      <w:marTop w:val="0"/>
      <w:marBottom w:val="0"/>
      <w:divBdr>
        <w:top w:val="none" w:sz="0" w:space="0" w:color="auto"/>
        <w:left w:val="none" w:sz="0" w:space="0" w:color="auto"/>
        <w:bottom w:val="none" w:sz="0" w:space="0" w:color="auto"/>
        <w:right w:val="none" w:sz="0" w:space="0" w:color="auto"/>
      </w:divBdr>
    </w:div>
    <w:div w:id="1296326217">
      <w:bodyDiv w:val="1"/>
      <w:marLeft w:val="0"/>
      <w:marRight w:val="0"/>
      <w:marTop w:val="0"/>
      <w:marBottom w:val="0"/>
      <w:divBdr>
        <w:top w:val="none" w:sz="0" w:space="0" w:color="auto"/>
        <w:left w:val="none" w:sz="0" w:space="0" w:color="auto"/>
        <w:bottom w:val="none" w:sz="0" w:space="0" w:color="auto"/>
        <w:right w:val="none" w:sz="0" w:space="0" w:color="auto"/>
      </w:divBdr>
      <w:divsChild>
        <w:div w:id="202059542">
          <w:marLeft w:val="0"/>
          <w:marRight w:val="0"/>
          <w:marTop w:val="300"/>
          <w:marBottom w:val="0"/>
          <w:divBdr>
            <w:top w:val="none" w:sz="0" w:space="0" w:color="auto"/>
            <w:left w:val="none" w:sz="0" w:space="0" w:color="auto"/>
            <w:bottom w:val="none" w:sz="0" w:space="0" w:color="auto"/>
            <w:right w:val="none" w:sz="0" w:space="0" w:color="auto"/>
          </w:divBdr>
        </w:div>
      </w:divsChild>
    </w:div>
    <w:div w:id="1296570011">
      <w:bodyDiv w:val="1"/>
      <w:marLeft w:val="0"/>
      <w:marRight w:val="0"/>
      <w:marTop w:val="0"/>
      <w:marBottom w:val="0"/>
      <w:divBdr>
        <w:top w:val="none" w:sz="0" w:space="0" w:color="auto"/>
        <w:left w:val="none" w:sz="0" w:space="0" w:color="auto"/>
        <w:bottom w:val="none" w:sz="0" w:space="0" w:color="auto"/>
        <w:right w:val="none" w:sz="0" w:space="0" w:color="auto"/>
      </w:divBdr>
      <w:divsChild>
        <w:div w:id="463740518">
          <w:marLeft w:val="0"/>
          <w:marRight w:val="0"/>
          <w:marTop w:val="0"/>
          <w:marBottom w:val="0"/>
          <w:divBdr>
            <w:top w:val="none" w:sz="0" w:space="0" w:color="auto"/>
            <w:left w:val="none" w:sz="0" w:space="0" w:color="auto"/>
            <w:bottom w:val="none" w:sz="0" w:space="0" w:color="auto"/>
            <w:right w:val="none" w:sz="0" w:space="0" w:color="auto"/>
          </w:divBdr>
          <w:divsChild>
            <w:div w:id="1500460687">
              <w:marLeft w:val="0"/>
              <w:marRight w:val="0"/>
              <w:marTop w:val="0"/>
              <w:marBottom w:val="0"/>
              <w:divBdr>
                <w:top w:val="none" w:sz="0" w:space="0" w:color="auto"/>
                <w:left w:val="none" w:sz="0" w:space="0" w:color="auto"/>
                <w:bottom w:val="none" w:sz="0" w:space="0" w:color="auto"/>
                <w:right w:val="none" w:sz="0" w:space="0" w:color="auto"/>
              </w:divBdr>
              <w:divsChild>
                <w:div w:id="1972786351">
                  <w:marLeft w:val="0"/>
                  <w:marRight w:val="0"/>
                  <w:marTop w:val="0"/>
                  <w:marBottom w:val="0"/>
                  <w:divBdr>
                    <w:top w:val="none" w:sz="0" w:space="0" w:color="auto"/>
                    <w:left w:val="none" w:sz="0" w:space="0" w:color="auto"/>
                    <w:bottom w:val="none" w:sz="0" w:space="0" w:color="auto"/>
                    <w:right w:val="none" w:sz="0" w:space="0" w:color="auto"/>
                  </w:divBdr>
                  <w:divsChild>
                    <w:div w:id="1508791251">
                      <w:marLeft w:val="0"/>
                      <w:marRight w:val="0"/>
                      <w:marTop w:val="0"/>
                      <w:marBottom w:val="0"/>
                      <w:divBdr>
                        <w:top w:val="none" w:sz="0" w:space="0" w:color="auto"/>
                        <w:left w:val="none" w:sz="0" w:space="0" w:color="auto"/>
                        <w:bottom w:val="none" w:sz="0" w:space="0" w:color="auto"/>
                        <w:right w:val="none" w:sz="0" w:space="0" w:color="auto"/>
                      </w:divBdr>
                      <w:divsChild>
                        <w:div w:id="1509052244">
                          <w:marLeft w:val="0"/>
                          <w:marRight w:val="0"/>
                          <w:marTop w:val="0"/>
                          <w:marBottom w:val="0"/>
                          <w:divBdr>
                            <w:top w:val="none" w:sz="0" w:space="0" w:color="auto"/>
                            <w:left w:val="none" w:sz="0" w:space="0" w:color="auto"/>
                            <w:bottom w:val="none" w:sz="0" w:space="0" w:color="auto"/>
                            <w:right w:val="none" w:sz="0" w:space="0" w:color="auto"/>
                          </w:divBdr>
                          <w:divsChild>
                            <w:div w:id="714159600">
                              <w:marLeft w:val="0"/>
                              <w:marRight w:val="0"/>
                              <w:marTop w:val="0"/>
                              <w:marBottom w:val="0"/>
                              <w:divBdr>
                                <w:top w:val="none" w:sz="0" w:space="0" w:color="auto"/>
                                <w:left w:val="none" w:sz="0" w:space="0" w:color="auto"/>
                                <w:bottom w:val="none" w:sz="0" w:space="0" w:color="auto"/>
                                <w:right w:val="none" w:sz="0" w:space="0" w:color="auto"/>
                              </w:divBdr>
                              <w:divsChild>
                                <w:div w:id="1133795906">
                                  <w:marLeft w:val="0"/>
                                  <w:marRight w:val="0"/>
                                  <w:marTop w:val="0"/>
                                  <w:marBottom w:val="0"/>
                                  <w:divBdr>
                                    <w:top w:val="none" w:sz="0" w:space="0" w:color="auto"/>
                                    <w:left w:val="none" w:sz="0" w:space="0" w:color="auto"/>
                                    <w:bottom w:val="none" w:sz="0" w:space="0" w:color="auto"/>
                                    <w:right w:val="none" w:sz="0" w:space="0" w:color="auto"/>
                                  </w:divBdr>
                                  <w:divsChild>
                                    <w:div w:id="918640661">
                                      <w:marLeft w:val="0"/>
                                      <w:marRight w:val="0"/>
                                      <w:marTop w:val="0"/>
                                      <w:marBottom w:val="0"/>
                                      <w:divBdr>
                                        <w:top w:val="none" w:sz="0" w:space="0" w:color="auto"/>
                                        <w:left w:val="none" w:sz="0" w:space="0" w:color="auto"/>
                                        <w:bottom w:val="none" w:sz="0" w:space="0" w:color="auto"/>
                                        <w:right w:val="none" w:sz="0" w:space="0" w:color="auto"/>
                                      </w:divBdr>
                                      <w:divsChild>
                                        <w:div w:id="52044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6643647">
      <w:bodyDiv w:val="1"/>
      <w:marLeft w:val="0"/>
      <w:marRight w:val="0"/>
      <w:marTop w:val="0"/>
      <w:marBottom w:val="0"/>
      <w:divBdr>
        <w:top w:val="none" w:sz="0" w:space="0" w:color="auto"/>
        <w:left w:val="none" w:sz="0" w:space="0" w:color="auto"/>
        <w:bottom w:val="none" w:sz="0" w:space="0" w:color="auto"/>
        <w:right w:val="none" w:sz="0" w:space="0" w:color="auto"/>
      </w:divBdr>
      <w:divsChild>
        <w:div w:id="104007766">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614294301">
              <w:marLeft w:val="0"/>
              <w:marRight w:val="0"/>
              <w:marTop w:val="300"/>
              <w:marBottom w:val="300"/>
              <w:divBdr>
                <w:top w:val="none" w:sz="0" w:space="0" w:color="auto"/>
                <w:left w:val="none" w:sz="0" w:space="0" w:color="auto"/>
                <w:bottom w:val="none" w:sz="0" w:space="0" w:color="auto"/>
                <w:right w:val="none" w:sz="0" w:space="0" w:color="auto"/>
              </w:divBdr>
              <w:divsChild>
                <w:div w:id="1145314187">
                  <w:marLeft w:val="0"/>
                  <w:marRight w:val="0"/>
                  <w:marTop w:val="0"/>
                  <w:marBottom w:val="0"/>
                  <w:divBdr>
                    <w:top w:val="none" w:sz="0" w:space="0" w:color="auto"/>
                    <w:left w:val="none" w:sz="0" w:space="0" w:color="auto"/>
                    <w:bottom w:val="none" w:sz="0" w:space="0" w:color="auto"/>
                    <w:right w:val="none" w:sz="0" w:space="0" w:color="auto"/>
                  </w:divBdr>
                  <w:divsChild>
                    <w:div w:id="1326664451">
                      <w:marLeft w:val="0"/>
                      <w:marRight w:val="0"/>
                      <w:marTop w:val="0"/>
                      <w:marBottom w:val="0"/>
                      <w:divBdr>
                        <w:top w:val="none" w:sz="0" w:space="0" w:color="auto"/>
                        <w:left w:val="none" w:sz="0" w:space="0" w:color="auto"/>
                        <w:bottom w:val="none" w:sz="0" w:space="0" w:color="auto"/>
                        <w:right w:val="none" w:sz="0" w:space="0" w:color="auto"/>
                      </w:divBdr>
                      <w:divsChild>
                        <w:div w:id="23020747">
                          <w:marLeft w:val="0"/>
                          <w:marRight w:val="0"/>
                          <w:marTop w:val="0"/>
                          <w:marBottom w:val="0"/>
                          <w:divBdr>
                            <w:top w:val="none" w:sz="0" w:space="0" w:color="auto"/>
                            <w:left w:val="none" w:sz="0" w:space="0" w:color="auto"/>
                            <w:bottom w:val="none" w:sz="0" w:space="0" w:color="auto"/>
                            <w:right w:val="none" w:sz="0" w:space="0" w:color="auto"/>
                          </w:divBdr>
                        </w:div>
                        <w:div w:id="747969094">
                          <w:marLeft w:val="0"/>
                          <w:marRight w:val="0"/>
                          <w:marTop w:val="0"/>
                          <w:marBottom w:val="300"/>
                          <w:divBdr>
                            <w:top w:val="none" w:sz="0" w:space="0" w:color="auto"/>
                            <w:left w:val="none" w:sz="0" w:space="0" w:color="auto"/>
                            <w:bottom w:val="dotted" w:sz="6" w:space="2" w:color="AAAAAA"/>
                            <w:right w:val="none" w:sz="0" w:space="0" w:color="auto"/>
                          </w:divBdr>
                        </w:div>
                      </w:divsChild>
                    </w:div>
                  </w:divsChild>
                </w:div>
              </w:divsChild>
            </w:div>
          </w:divsChild>
        </w:div>
      </w:divsChild>
    </w:div>
    <w:div w:id="1296720963">
      <w:bodyDiv w:val="1"/>
      <w:marLeft w:val="0"/>
      <w:marRight w:val="0"/>
      <w:marTop w:val="0"/>
      <w:marBottom w:val="0"/>
      <w:divBdr>
        <w:top w:val="none" w:sz="0" w:space="0" w:color="auto"/>
        <w:left w:val="none" w:sz="0" w:space="0" w:color="auto"/>
        <w:bottom w:val="none" w:sz="0" w:space="0" w:color="auto"/>
        <w:right w:val="none" w:sz="0" w:space="0" w:color="auto"/>
      </w:divBdr>
    </w:div>
    <w:div w:id="1296839696">
      <w:bodyDiv w:val="1"/>
      <w:marLeft w:val="0"/>
      <w:marRight w:val="0"/>
      <w:marTop w:val="0"/>
      <w:marBottom w:val="0"/>
      <w:divBdr>
        <w:top w:val="none" w:sz="0" w:space="0" w:color="auto"/>
        <w:left w:val="none" w:sz="0" w:space="0" w:color="auto"/>
        <w:bottom w:val="none" w:sz="0" w:space="0" w:color="auto"/>
        <w:right w:val="none" w:sz="0" w:space="0" w:color="auto"/>
      </w:divBdr>
      <w:divsChild>
        <w:div w:id="360278836">
          <w:marLeft w:val="0"/>
          <w:marRight w:val="225"/>
          <w:marTop w:val="0"/>
          <w:marBottom w:val="75"/>
          <w:divBdr>
            <w:top w:val="none" w:sz="0" w:space="0" w:color="auto"/>
            <w:left w:val="none" w:sz="0" w:space="0" w:color="auto"/>
            <w:bottom w:val="none" w:sz="0" w:space="0" w:color="auto"/>
            <w:right w:val="none" w:sz="0" w:space="0" w:color="auto"/>
          </w:divBdr>
          <w:divsChild>
            <w:div w:id="1747025172">
              <w:marLeft w:val="0"/>
              <w:marRight w:val="0"/>
              <w:marTop w:val="0"/>
              <w:marBottom w:val="0"/>
              <w:divBdr>
                <w:top w:val="none" w:sz="0" w:space="0" w:color="auto"/>
                <w:left w:val="none" w:sz="0" w:space="0" w:color="auto"/>
                <w:bottom w:val="none" w:sz="0" w:space="0" w:color="auto"/>
                <w:right w:val="none" w:sz="0" w:space="0" w:color="auto"/>
              </w:divBdr>
            </w:div>
          </w:divsChild>
        </w:div>
        <w:div w:id="1593970288">
          <w:marLeft w:val="0"/>
          <w:marRight w:val="0"/>
          <w:marTop w:val="0"/>
          <w:marBottom w:val="0"/>
          <w:divBdr>
            <w:top w:val="none" w:sz="0" w:space="0" w:color="auto"/>
            <w:left w:val="none" w:sz="0" w:space="0" w:color="auto"/>
            <w:bottom w:val="dotted" w:sz="6" w:space="4" w:color="DDDDDD"/>
            <w:right w:val="none" w:sz="0" w:space="0" w:color="auto"/>
          </w:divBdr>
        </w:div>
      </w:divsChild>
    </w:div>
    <w:div w:id="1297033234">
      <w:bodyDiv w:val="1"/>
      <w:marLeft w:val="0"/>
      <w:marRight w:val="0"/>
      <w:marTop w:val="0"/>
      <w:marBottom w:val="0"/>
      <w:divBdr>
        <w:top w:val="none" w:sz="0" w:space="0" w:color="auto"/>
        <w:left w:val="none" w:sz="0" w:space="0" w:color="auto"/>
        <w:bottom w:val="none" w:sz="0" w:space="0" w:color="auto"/>
        <w:right w:val="none" w:sz="0" w:space="0" w:color="auto"/>
      </w:divBdr>
    </w:div>
    <w:div w:id="1297107278">
      <w:bodyDiv w:val="1"/>
      <w:marLeft w:val="0"/>
      <w:marRight w:val="0"/>
      <w:marTop w:val="0"/>
      <w:marBottom w:val="0"/>
      <w:divBdr>
        <w:top w:val="none" w:sz="0" w:space="0" w:color="auto"/>
        <w:left w:val="none" w:sz="0" w:space="0" w:color="auto"/>
        <w:bottom w:val="none" w:sz="0" w:space="0" w:color="auto"/>
        <w:right w:val="none" w:sz="0" w:space="0" w:color="auto"/>
      </w:divBdr>
      <w:divsChild>
        <w:div w:id="1001422149">
          <w:marLeft w:val="0"/>
          <w:marRight w:val="0"/>
          <w:marTop w:val="0"/>
          <w:marBottom w:val="150"/>
          <w:divBdr>
            <w:top w:val="none" w:sz="0" w:space="0" w:color="auto"/>
            <w:left w:val="none" w:sz="0" w:space="0" w:color="auto"/>
            <w:bottom w:val="none" w:sz="0" w:space="0" w:color="auto"/>
            <w:right w:val="none" w:sz="0" w:space="0" w:color="auto"/>
          </w:divBdr>
          <w:divsChild>
            <w:div w:id="1757511160">
              <w:marLeft w:val="0"/>
              <w:marRight w:val="0"/>
              <w:marTop w:val="0"/>
              <w:marBottom w:val="0"/>
              <w:divBdr>
                <w:top w:val="none" w:sz="0" w:space="0" w:color="auto"/>
                <w:left w:val="none" w:sz="0" w:space="0" w:color="auto"/>
                <w:bottom w:val="none" w:sz="0" w:space="0" w:color="auto"/>
                <w:right w:val="none" w:sz="0" w:space="0" w:color="auto"/>
              </w:divBdr>
            </w:div>
          </w:divsChild>
        </w:div>
        <w:div w:id="1670139625">
          <w:marLeft w:val="0"/>
          <w:marRight w:val="0"/>
          <w:marTop w:val="0"/>
          <w:marBottom w:val="150"/>
          <w:divBdr>
            <w:top w:val="none" w:sz="0" w:space="0" w:color="auto"/>
            <w:left w:val="none" w:sz="0" w:space="0" w:color="auto"/>
            <w:bottom w:val="none" w:sz="0" w:space="0" w:color="auto"/>
            <w:right w:val="none" w:sz="0" w:space="0" w:color="auto"/>
          </w:divBdr>
        </w:div>
        <w:div w:id="1885363011">
          <w:marLeft w:val="0"/>
          <w:marRight w:val="0"/>
          <w:marTop w:val="0"/>
          <w:marBottom w:val="0"/>
          <w:divBdr>
            <w:top w:val="none" w:sz="0" w:space="0" w:color="auto"/>
            <w:left w:val="none" w:sz="0" w:space="0" w:color="auto"/>
            <w:bottom w:val="none" w:sz="0" w:space="0" w:color="auto"/>
            <w:right w:val="none" w:sz="0" w:space="0" w:color="auto"/>
          </w:divBdr>
          <w:divsChild>
            <w:div w:id="101923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107520">
      <w:bodyDiv w:val="1"/>
      <w:marLeft w:val="0"/>
      <w:marRight w:val="0"/>
      <w:marTop w:val="0"/>
      <w:marBottom w:val="0"/>
      <w:divBdr>
        <w:top w:val="none" w:sz="0" w:space="0" w:color="auto"/>
        <w:left w:val="none" w:sz="0" w:space="0" w:color="auto"/>
        <w:bottom w:val="none" w:sz="0" w:space="0" w:color="auto"/>
        <w:right w:val="none" w:sz="0" w:space="0" w:color="auto"/>
      </w:divBdr>
      <w:divsChild>
        <w:div w:id="975110779">
          <w:marLeft w:val="0"/>
          <w:marRight w:val="0"/>
          <w:marTop w:val="150"/>
          <w:marBottom w:val="0"/>
          <w:divBdr>
            <w:top w:val="none" w:sz="0" w:space="0" w:color="auto"/>
            <w:left w:val="none" w:sz="0" w:space="0" w:color="auto"/>
            <w:bottom w:val="none" w:sz="0" w:space="0" w:color="auto"/>
            <w:right w:val="none" w:sz="0" w:space="0" w:color="auto"/>
          </w:divBdr>
          <w:divsChild>
            <w:div w:id="556236493">
              <w:marLeft w:val="0"/>
              <w:marRight w:val="0"/>
              <w:marTop w:val="0"/>
              <w:marBottom w:val="0"/>
              <w:divBdr>
                <w:top w:val="none" w:sz="0" w:space="0" w:color="auto"/>
                <w:left w:val="none" w:sz="0" w:space="0" w:color="auto"/>
                <w:bottom w:val="single" w:sz="6" w:space="0" w:color="EFEFEF"/>
                <w:right w:val="none" w:sz="0" w:space="0" w:color="auto"/>
              </w:divBdr>
              <w:divsChild>
                <w:div w:id="796876220">
                  <w:marLeft w:val="0"/>
                  <w:marRight w:val="0"/>
                  <w:marTop w:val="0"/>
                  <w:marBottom w:val="0"/>
                  <w:divBdr>
                    <w:top w:val="none" w:sz="0" w:space="0" w:color="auto"/>
                    <w:left w:val="none" w:sz="0" w:space="0" w:color="auto"/>
                    <w:bottom w:val="none" w:sz="0" w:space="0" w:color="auto"/>
                    <w:right w:val="none" w:sz="0" w:space="0" w:color="auto"/>
                  </w:divBdr>
                </w:div>
                <w:div w:id="112762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716321">
          <w:marLeft w:val="0"/>
          <w:marRight w:val="0"/>
          <w:marTop w:val="300"/>
          <w:marBottom w:val="0"/>
          <w:divBdr>
            <w:top w:val="none" w:sz="0" w:space="0" w:color="auto"/>
            <w:left w:val="none" w:sz="0" w:space="0" w:color="auto"/>
            <w:bottom w:val="none" w:sz="0" w:space="0" w:color="auto"/>
            <w:right w:val="none" w:sz="0" w:space="0" w:color="auto"/>
          </w:divBdr>
          <w:divsChild>
            <w:div w:id="1080446614">
              <w:marLeft w:val="0"/>
              <w:marRight w:val="0"/>
              <w:marTop w:val="0"/>
              <w:marBottom w:val="0"/>
              <w:divBdr>
                <w:top w:val="none" w:sz="0" w:space="0" w:color="auto"/>
                <w:left w:val="none" w:sz="0" w:space="0" w:color="auto"/>
                <w:bottom w:val="none" w:sz="0" w:space="0" w:color="auto"/>
                <w:right w:val="none" w:sz="0" w:space="0" w:color="auto"/>
              </w:divBdr>
              <w:divsChild>
                <w:div w:id="426928673">
                  <w:marLeft w:val="0"/>
                  <w:marRight w:val="0"/>
                  <w:marTop w:val="150"/>
                  <w:marBottom w:val="0"/>
                  <w:divBdr>
                    <w:top w:val="none" w:sz="0" w:space="0" w:color="auto"/>
                    <w:left w:val="none" w:sz="0" w:space="0" w:color="auto"/>
                    <w:bottom w:val="none" w:sz="0" w:space="0" w:color="auto"/>
                    <w:right w:val="none" w:sz="0" w:space="0" w:color="auto"/>
                  </w:divBdr>
                  <w:divsChild>
                    <w:div w:id="1045520451">
                      <w:marLeft w:val="0"/>
                      <w:marRight w:val="0"/>
                      <w:marTop w:val="0"/>
                      <w:marBottom w:val="0"/>
                      <w:divBdr>
                        <w:top w:val="none" w:sz="0" w:space="0" w:color="auto"/>
                        <w:left w:val="none" w:sz="0" w:space="0" w:color="auto"/>
                        <w:bottom w:val="none" w:sz="0" w:space="0" w:color="auto"/>
                        <w:right w:val="none" w:sz="0" w:space="0" w:color="auto"/>
                      </w:divBdr>
                      <w:divsChild>
                        <w:div w:id="72588254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26127860">
                  <w:marLeft w:val="0"/>
                  <w:marRight w:val="0"/>
                  <w:marTop w:val="0"/>
                  <w:marBottom w:val="0"/>
                  <w:divBdr>
                    <w:top w:val="none" w:sz="0" w:space="0" w:color="auto"/>
                    <w:left w:val="none" w:sz="0" w:space="0" w:color="auto"/>
                    <w:bottom w:val="none" w:sz="0" w:space="0" w:color="auto"/>
                    <w:right w:val="none" w:sz="0" w:space="0" w:color="auto"/>
                  </w:divBdr>
                  <w:divsChild>
                    <w:div w:id="62450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991838">
              <w:marLeft w:val="-1350"/>
              <w:marRight w:val="0"/>
              <w:marTop w:val="0"/>
              <w:marBottom w:val="0"/>
              <w:divBdr>
                <w:top w:val="none" w:sz="0" w:space="0" w:color="auto"/>
                <w:left w:val="none" w:sz="0" w:space="0" w:color="auto"/>
                <w:bottom w:val="none" w:sz="0" w:space="0" w:color="auto"/>
                <w:right w:val="none" w:sz="0" w:space="0" w:color="auto"/>
              </w:divBdr>
              <w:divsChild>
                <w:div w:id="1077551535">
                  <w:marLeft w:val="0"/>
                  <w:marRight w:val="0"/>
                  <w:marTop w:val="0"/>
                  <w:marBottom w:val="0"/>
                  <w:divBdr>
                    <w:top w:val="none" w:sz="0" w:space="0" w:color="auto"/>
                    <w:left w:val="none" w:sz="0" w:space="0" w:color="auto"/>
                    <w:bottom w:val="none" w:sz="0" w:space="0" w:color="auto"/>
                    <w:right w:val="none" w:sz="0" w:space="0" w:color="auto"/>
                  </w:divBdr>
                  <w:divsChild>
                    <w:div w:id="1062631801">
                      <w:marLeft w:val="0"/>
                      <w:marRight w:val="0"/>
                      <w:marTop w:val="0"/>
                      <w:marBottom w:val="0"/>
                      <w:divBdr>
                        <w:top w:val="none" w:sz="0" w:space="0" w:color="auto"/>
                        <w:left w:val="none" w:sz="0" w:space="0" w:color="auto"/>
                        <w:bottom w:val="none" w:sz="0" w:space="0" w:color="auto"/>
                        <w:right w:val="none" w:sz="0" w:space="0" w:color="auto"/>
                      </w:divBdr>
                      <w:divsChild>
                        <w:div w:id="727069841">
                          <w:marLeft w:val="0"/>
                          <w:marRight w:val="0"/>
                          <w:marTop w:val="0"/>
                          <w:marBottom w:val="0"/>
                          <w:divBdr>
                            <w:top w:val="single" w:sz="6" w:space="0" w:color="C7C7C7"/>
                            <w:left w:val="single" w:sz="6" w:space="0" w:color="C7C7C7"/>
                            <w:bottom w:val="single" w:sz="6" w:space="0" w:color="C7C7C7"/>
                            <w:right w:val="single" w:sz="6" w:space="0" w:color="C7C7C7"/>
                          </w:divBdr>
                          <w:divsChild>
                            <w:div w:id="152645333">
                              <w:marLeft w:val="0"/>
                              <w:marRight w:val="0"/>
                              <w:marTop w:val="100"/>
                              <w:marBottom w:val="100"/>
                              <w:divBdr>
                                <w:top w:val="none" w:sz="0" w:space="0" w:color="auto"/>
                                <w:left w:val="none" w:sz="0" w:space="0" w:color="auto"/>
                                <w:bottom w:val="none" w:sz="0" w:space="0" w:color="auto"/>
                                <w:right w:val="none" w:sz="0" w:space="0" w:color="auto"/>
                              </w:divBdr>
                            </w:div>
                            <w:div w:id="396127311">
                              <w:marLeft w:val="0"/>
                              <w:marRight w:val="0"/>
                              <w:marTop w:val="100"/>
                              <w:marBottom w:val="100"/>
                              <w:divBdr>
                                <w:top w:val="none" w:sz="0" w:space="11" w:color="auto"/>
                                <w:left w:val="none" w:sz="0" w:space="0" w:color="auto"/>
                                <w:bottom w:val="single" w:sz="6" w:space="11" w:color="C7C7C7"/>
                                <w:right w:val="none" w:sz="0" w:space="0" w:color="auto"/>
                              </w:divBdr>
                            </w:div>
                            <w:div w:id="912202731">
                              <w:marLeft w:val="0"/>
                              <w:marRight w:val="0"/>
                              <w:marTop w:val="100"/>
                              <w:marBottom w:val="100"/>
                              <w:divBdr>
                                <w:top w:val="none" w:sz="0" w:space="11" w:color="auto"/>
                                <w:left w:val="none" w:sz="0" w:space="0" w:color="auto"/>
                                <w:bottom w:val="single" w:sz="6" w:space="11" w:color="C7C7C7"/>
                                <w:right w:val="none" w:sz="0" w:space="0" w:color="auto"/>
                              </w:divBdr>
                            </w:div>
                            <w:div w:id="1065488015">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297368037">
      <w:bodyDiv w:val="1"/>
      <w:marLeft w:val="0"/>
      <w:marRight w:val="0"/>
      <w:marTop w:val="0"/>
      <w:marBottom w:val="0"/>
      <w:divBdr>
        <w:top w:val="none" w:sz="0" w:space="0" w:color="auto"/>
        <w:left w:val="none" w:sz="0" w:space="0" w:color="auto"/>
        <w:bottom w:val="none" w:sz="0" w:space="0" w:color="auto"/>
        <w:right w:val="none" w:sz="0" w:space="0" w:color="auto"/>
      </w:divBdr>
      <w:divsChild>
        <w:div w:id="1277299747">
          <w:marLeft w:val="0"/>
          <w:marRight w:val="0"/>
          <w:marTop w:val="0"/>
          <w:marBottom w:val="0"/>
          <w:divBdr>
            <w:top w:val="single" w:sz="6" w:space="0" w:color="E5E5E5"/>
            <w:left w:val="none" w:sz="0" w:space="0" w:color="auto"/>
            <w:bottom w:val="single" w:sz="18" w:space="0" w:color="000000"/>
            <w:right w:val="none" w:sz="0" w:space="0" w:color="auto"/>
          </w:divBdr>
          <w:divsChild>
            <w:div w:id="1168059273">
              <w:marLeft w:val="0"/>
              <w:marRight w:val="0"/>
              <w:marTop w:val="0"/>
              <w:marBottom w:val="0"/>
              <w:divBdr>
                <w:top w:val="none" w:sz="0" w:space="0" w:color="auto"/>
                <w:left w:val="none" w:sz="0" w:space="0" w:color="auto"/>
                <w:bottom w:val="none" w:sz="0" w:space="0" w:color="auto"/>
                <w:right w:val="none" w:sz="0" w:space="0" w:color="auto"/>
              </w:divBdr>
              <w:divsChild>
                <w:div w:id="83834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3111">
          <w:marLeft w:val="0"/>
          <w:marRight w:val="0"/>
          <w:marTop w:val="0"/>
          <w:marBottom w:val="0"/>
          <w:divBdr>
            <w:top w:val="none" w:sz="0" w:space="0" w:color="auto"/>
            <w:left w:val="none" w:sz="0" w:space="0" w:color="auto"/>
            <w:bottom w:val="none" w:sz="0" w:space="0" w:color="auto"/>
            <w:right w:val="none" w:sz="0" w:space="0" w:color="auto"/>
          </w:divBdr>
          <w:divsChild>
            <w:div w:id="1383675373">
              <w:marLeft w:val="0"/>
              <w:marRight w:val="0"/>
              <w:marTop w:val="0"/>
              <w:marBottom w:val="0"/>
              <w:divBdr>
                <w:top w:val="none" w:sz="0" w:space="0" w:color="auto"/>
                <w:left w:val="none" w:sz="0" w:space="0" w:color="auto"/>
                <w:bottom w:val="none" w:sz="0" w:space="0" w:color="auto"/>
                <w:right w:val="none" w:sz="0" w:space="0" w:color="auto"/>
              </w:divBdr>
              <w:divsChild>
                <w:div w:id="438791741">
                  <w:marLeft w:val="0"/>
                  <w:marRight w:val="0"/>
                  <w:marTop w:val="0"/>
                  <w:marBottom w:val="0"/>
                  <w:divBdr>
                    <w:top w:val="none" w:sz="0" w:space="0" w:color="auto"/>
                    <w:left w:val="none" w:sz="0" w:space="0" w:color="auto"/>
                    <w:bottom w:val="none" w:sz="0" w:space="0" w:color="auto"/>
                    <w:right w:val="none" w:sz="0" w:space="0" w:color="auto"/>
                  </w:divBdr>
                  <w:divsChild>
                    <w:div w:id="1611619662">
                      <w:marLeft w:val="0"/>
                      <w:marRight w:val="0"/>
                      <w:marTop w:val="0"/>
                      <w:marBottom w:val="300"/>
                      <w:divBdr>
                        <w:top w:val="none" w:sz="0" w:space="0" w:color="auto"/>
                        <w:left w:val="none" w:sz="0" w:space="0" w:color="auto"/>
                        <w:bottom w:val="none" w:sz="0" w:space="0" w:color="auto"/>
                        <w:right w:val="none" w:sz="0" w:space="0" w:color="auto"/>
                      </w:divBdr>
                      <w:divsChild>
                        <w:div w:id="1377003700">
                          <w:marLeft w:val="0"/>
                          <w:marRight w:val="0"/>
                          <w:marTop w:val="0"/>
                          <w:marBottom w:val="225"/>
                          <w:divBdr>
                            <w:top w:val="single" w:sz="6" w:space="11" w:color="E5E5E5"/>
                            <w:left w:val="single" w:sz="6" w:space="11" w:color="E5E5E5"/>
                            <w:bottom w:val="single" w:sz="6" w:space="1" w:color="E5E5E5"/>
                            <w:right w:val="single" w:sz="6" w:space="11" w:color="E5E5E5"/>
                          </w:divBdr>
                          <w:divsChild>
                            <w:div w:id="501555661">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297684394">
      <w:bodyDiv w:val="1"/>
      <w:marLeft w:val="0"/>
      <w:marRight w:val="0"/>
      <w:marTop w:val="0"/>
      <w:marBottom w:val="0"/>
      <w:divBdr>
        <w:top w:val="none" w:sz="0" w:space="0" w:color="auto"/>
        <w:left w:val="none" w:sz="0" w:space="0" w:color="auto"/>
        <w:bottom w:val="none" w:sz="0" w:space="0" w:color="auto"/>
        <w:right w:val="none" w:sz="0" w:space="0" w:color="auto"/>
      </w:divBdr>
    </w:div>
    <w:div w:id="1298074545">
      <w:bodyDiv w:val="1"/>
      <w:marLeft w:val="0"/>
      <w:marRight w:val="0"/>
      <w:marTop w:val="0"/>
      <w:marBottom w:val="0"/>
      <w:divBdr>
        <w:top w:val="none" w:sz="0" w:space="0" w:color="auto"/>
        <w:left w:val="none" w:sz="0" w:space="0" w:color="auto"/>
        <w:bottom w:val="none" w:sz="0" w:space="0" w:color="auto"/>
        <w:right w:val="none" w:sz="0" w:space="0" w:color="auto"/>
      </w:divBdr>
      <w:divsChild>
        <w:div w:id="1524981112">
          <w:marLeft w:val="0"/>
          <w:marRight w:val="0"/>
          <w:marTop w:val="0"/>
          <w:marBottom w:val="150"/>
          <w:divBdr>
            <w:top w:val="none" w:sz="0" w:space="0" w:color="auto"/>
            <w:left w:val="none" w:sz="0" w:space="0" w:color="auto"/>
            <w:bottom w:val="none" w:sz="0" w:space="0" w:color="auto"/>
            <w:right w:val="none" w:sz="0" w:space="0" w:color="auto"/>
          </w:divBdr>
        </w:div>
        <w:div w:id="1741177229">
          <w:marLeft w:val="0"/>
          <w:marRight w:val="0"/>
          <w:marTop w:val="0"/>
          <w:marBottom w:val="0"/>
          <w:divBdr>
            <w:top w:val="none" w:sz="0" w:space="0" w:color="auto"/>
            <w:left w:val="none" w:sz="0" w:space="0" w:color="auto"/>
            <w:bottom w:val="none" w:sz="0" w:space="0" w:color="auto"/>
            <w:right w:val="none" w:sz="0" w:space="0" w:color="auto"/>
          </w:divBdr>
          <w:divsChild>
            <w:div w:id="2025740003">
              <w:marLeft w:val="0"/>
              <w:marRight w:val="0"/>
              <w:marTop w:val="0"/>
              <w:marBottom w:val="0"/>
              <w:divBdr>
                <w:top w:val="none" w:sz="0" w:space="0" w:color="auto"/>
                <w:left w:val="none" w:sz="0" w:space="0" w:color="auto"/>
                <w:bottom w:val="none" w:sz="0" w:space="0" w:color="auto"/>
                <w:right w:val="none" w:sz="0" w:space="0" w:color="auto"/>
              </w:divBdr>
            </w:div>
          </w:divsChild>
        </w:div>
        <w:div w:id="2018264605">
          <w:marLeft w:val="0"/>
          <w:marRight w:val="0"/>
          <w:marTop w:val="0"/>
          <w:marBottom w:val="150"/>
          <w:divBdr>
            <w:top w:val="none" w:sz="0" w:space="0" w:color="auto"/>
            <w:left w:val="none" w:sz="0" w:space="0" w:color="auto"/>
            <w:bottom w:val="none" w:sz="0" w:space="0" w:color="auto"/>
            <w:right w:val="none" w:sz="0" w:space="0" w:color="auto"/>
          </w:divBdr>
          <w:divsChild>
            <w:div w:id="131533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099697">
      <w:bodyDiv w:val="1"/>
      <w:marLeft w:val="0"/>
      <w:marRight w:val="0"/>
      <w:marTop w:val="0"/>
      <w:marBottom w:val="0"/>
      <w:divBdr>
        <w:top w:val="none" w:sz="0" w:space="0" w:color="auto"/>
        <w:left w:val="none" w:sz="0" w:space="0" w:color="auto"/>
        <w:bottom w:val="none" w:sz="0" w:space="0" w:color="auto"/>
        <w:right w:val="none" w:sz="0" w:space="0" w:color="auto"/>
      </w:divBdr>
    </w:div>
    <w:div w:id="1298141043">
      <w:bodyDiv w:val="1"/>
      <w:marLeft w:val="0"/>
      <w:marRight w:val="0"/>
      <w:marTop w:val="0"/>
      <w:marBottom w:val="0"/>
      <w:divBdr>
        <w:top w:val="none" w:sz="0" w:space="0" w:color="auto"/>
        <w:left w:val="none" w:sz="0" w:space="0" w:color="auto"/>
        <w:bottom w:val="none" w:sz="0" w:space="0" w:color="auto"/>
        <w:right w:val="none" w:sz="0" w:space="0" w:color="auto"/>
      </w:divBdr>
      <w:divsChild>
        <w:div w:id="706489155">
          <w:marLeft w:val="0"/>
          <w:marRight w:val="0"/>
          <w:marTop w:val="0"/>
          <w:marBottom w:val="0"/>
          <w:divBdr>
            <w:top w:val="none" w:sz="0" w:space="0" w:color="auto"/>
            <w:left w:val="none" w:sz="0" w:space="0" w:color="auto"/>
            <w:bottom w:val="none" w:sz="0" w:space="0" w:color="auto"/>
            <w:right w:val="none" w:sz="0" w:space="0" w:color="auto"/>
          </w:divBdr>
        </w:div>
      </w:divsChild>
    </w:div>
    <w:div w:id="1298223017">
      <w:bodyDiv w:val="1"/>
      <w:marLeft w:val="0"/>
      <w:marRight w:val="0"/>
      <w:marTop w:val="0"/>
      <w:marBottom w:val="0"/>
      <w:divBdr>
        <w:top w:val="none" w:sz="0" w:space="0" w:color="auto"/>
        <w:left w:val="none" w:sz="0" w:space="0" w:color="auto"/>
        <w:bottom w:val="none" w:sz="0" w:space="0" w:color="auto"/>
        <w:right w:val="none" w:sz="0" w:space="0" w:color="auto"/>
      </w:divBdr>
    </w:div>
    <w:div w:id="1298489621">
      <w:bodyDiv w:val="1"/>
      <w:marLeft w:val="0"/>
      <w:marRight w:val="0"/>
      <w:marTop w:val="0"/>
      <w:marBottom w:val="0"/>
      <w:divBdr>
        <w:top w:val="none" w:sz="0" w:space="0" w:color="auto"/>
        <w:left w:val="none" w:sz="0" w:space="0" w:color="auto"/>
        <w:bottom w:val="none" w:sz="0" w:space="0" w:color="auto"/>
        <w:right w:val="none" w:sz="0" w:space="0" w:color="auto"/>
      </w:divBdr>
      <w:divsChild>
        <w:div w:id="759251027">
          <w:marLeft w:val="0"/>
          <w:marRight w:val="0"/>
          <w:marTop w:val="0"/>
          <w:marBottom w:val="0"/>
          <w:divBdr>
            <w:top w:val="none" w:sz="0" w:space="0" w:color="auto"/>
            <w:left w:val="none" w:sz="0" w:space="0" w:color="auto"/>
            <w:bottom w:val="none" w:sz="0" w:space="0" w:color="auto"/>
            <w:right w:val="none" w:sz="0" w:space="0" w:color="auto"/>
          </w:divBdr>
          <w:divsChild>
            <w:div w:id="13332920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98728533">
      <w:bodyDiv w:val="1"/>
      <w:marLeft w:val="0"/>
      <w:marRight w:val="0"/>
      <w:marTop w:val="0"/>
      <w:marBottom w:val="0"/>
      <w:divBdr>
        <w:top w:val="none" w:sz="0" w:space="0" w:color="auto"/>
        <w:left w:val="none" w:sz="0" w:space="0" w:color="auto"/>
        <w:bottom w:val="none" w:sz="0" w:space="0" w:color="auto"/>
        <w:right w:val="none" w:sz="0" w:space="0" w:color="auto"/>
      </w:divBdr>
    </w:div>
    <w:div w:id="1298876119">
      <w:bodyDiv w:val="1"/>
      <w:marLeft w:val="0"/>
      <w:marRight w:val="0"/>
      <w:marTop w:val="0"/>
      <w:marBottom w:val="0"/>
      <w:divBdr>
        <w:top w:val="none" w:sz="0" w:space="0" w:color="auto"/>
        <w:left w:val="none" w:sz="0" w:space="0" w:color="auto"/>
        <w:bottom w:val="none" w:sz="0" w:space="0" w:color="auto"/>
        <w:right w:val="none" w:sz="0" w:space="0" w:color="auto"/>
      </w:divBdr>
      <w:divsChild>
        <w:div w:id="2125029">
          <w:marLeft w:val="0"/>
          <w:marRight w:val="0"/>
          <w:marTop w:val="0"/>
          <w:marBottom w:val="150"/>
          <w:divBdr>
            <w:top w:val="none" w:sz="0" w:space="0" w:color="auto"/>
            <w:left w:val="none" w:sz="0" w:space="0" w:color="auto"/>
            <w:bottom w:val="none" w:sz="0" w:space="0" w:color="auto"/>
            <w:right w:val="none" w:sz="0" w:space="0" w:color="auto"/>
          </w:divBdr>
        </w:div>
        <w:div w:id="231815818">
          <w:marLeft w:val="0"/>
          <w:marRight w:val="0"/>
          <w:marTop w:val="0"/>
          <w:marBottom w:val="0"/>
          <w:divBdr>
            <w:top w:val="none" w:sz="0" w:space="0" w:color="auto"/>
            <w:left w:val="none" w:sz="0" w:space="0" w:color="auto"/>
            <w:bottom w:val="none" w:sz="0" w:space="0" w:color="auto"/>
            <w:right w:val="none" w:sz="0" w:space="0" w:color="auto"/>
          </w:divBdr>
          <w:divsChild>
            <w:div w:id="793839106">
              <w:marLeft w:val="0"/>
              <w:marRight w:val="0"/>
              <w:marTop w:val="0"/>
              <w:marBottom w:val="0"/>
              <w:divBdr>
                <w:top w:val="none" w:sz="0" w:space="0" w:color="auto"/>
                <w:left w:val="none" w:sz="0" w:space="0" w:color="auto"/>
                <w:bottom w:val="none" w:sz="0" w:space="0" w:color="auto"/>
                <w:right w:val="none" w:sz="0" w:space="0" w:color="auto"/>
              </w:divBdr>
            </w:div>
          </w:divsChild>
        </w:div>
        <w:div w:id="1634015978">
          <w:marLeft w:val="0"/>
          <w:marRight w:val="0"/>
          <w:marTop w:val="0"/>
          <w:marBottom w:val="150"/>
          <w:divBdr>
            <w:top w:val="none" w:sz="0" w:space="0" w:color="auto"/>
            <w:left w:val="none" w:sz="0" w:space="0" w:color="auto"/>
            <w:bottom w:val="none" w:sz="0" w:space="0" w:color="auto"/>
            <w:right w:val="none" w:sz="0" w:space="0" w:color="auto"/>
          </w:divBdr>
          <w:divsChild>
            <w:div w:id="205399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51760">
      <w:bodyDiv w:val="1"/>
      <w:marLeft w:val="0"/>
      <w:marRight w:val="0"/>
      <w:marTop w:val="0"/>
      <w:marBottom w:val="0"/>
      <w:divBdr>
        <w:top w:val="none" w:sz="0" w:space="0" w:color="auto"/>
        <w:left w:val="none" w:sz="0" w:space="0" w:color="auto"/>
        <w:bottom w:val="none" w:sz="0" w:space="0" w:color="auto"/>
        <w:right w:val="none" w:sz="0" w:space="0" w:color="auto"/>
      </w:divBdr>
      <w:divsChild>
        <w:div w:id="2040430429">
          <w:marLeft w:val="0"/>
          <w:marRight w:val="0"/>
          <w:marTop w:val="0"/>
          <w:marBottom w:val="0"/>
          <w:divBdr>
            <w:top w:val="none" w:sz="0" w:space="0" w:color="auto"/>
            <w:left w:val="none" w:sz="0" w:space="0" w:color="auto"/>
            <w:bottom w:val="dotted" w:sz="6" w:space="4" w:color="DDDDDD"/>
            <w:right w:val="none" w:sz="0" w:space="0" w:color="auto"/>
          </w:divBdr>
        </w:div>
      </w:divsChild>
    </w:div>
    <w:div w:id="1299531348">
      <w:bodyDiv w:val="1"/>
      <w:marLeft w:val="0"/>
      <w:marRight w:val="0"/>
      <w:marTop w:val="0"/>
      <w:marBottom w:val="0"/>
      <w:divBdr>
        <w:top w:val="none" w:sz="0" w:space="0" w:color="auto"/>
        <w:left w:val="none" w:sz="0" w:space="0" w:color="auto"/>
        <w:bottom w:val="none" w:sz="0" w:space="0" w:color="auto"/>
        <w:right w:val="none" w:sz="0" w:space="0" w:color="auto"/>
      </w:divBdr>
    </w:div>
    <w:div w:id="1299872175">
      <w:bodyDiv w:val="1"/>
      <w:marLeft w:val="0"/>
      <w:marRight w:val="0"/>
      <w:marTop w:val="0"/>
      <w:marBottom w:val="0"/>
      <w:divBdr>
        <w:top w:val="none" w:sz="0" w:space="0" w:color="auto"/>
        <w:left w:val="none" w:sz="0" w:space="0" w:color="auto"/>
        <w:bottom w:val="none" w:sz="0" w:space="0" w:color="auto"/>
        <w:right w:val="none" w:sz="0" w:space="0" w:color="auto"/>
      </w:divBdr>
    </w:div>
    <w:div w:id="1300568687">
      <w:bodyDiv w:val="1"/>
      <w:marLeft w:val="0"/>
      <w:marRight w:val="0"/>
      <w:marTop w:val="0"/>
      <w:marBottom w:val="0"/>
      <w:divBdr>
        <w:top w:val="none" w:sz="0" w:space="0" w:color="auto"/>
        <w:left w:val="none" w:sz="0" w:space="0" w:color="auto"/>
        <w:bottom w:val="none" w:sz="0" w:space="0" w:color="auto"/>
        <w:right w:val="none" w:sz="0" w:space="0" w:color="auto"/>
      </w:divBdr>
      <w:divsChild>
        <w:div w:id="1675647378">
          <w:marLeft w:val="0"/>
          <w:marRight w:val="0"/>
          <w:marTop w:val="0"/>
          <w:marBottom w:val="0"/>
          <w:divBdr>
            <w:top w:val="none" w:sz="0" w:space="0" w:color="auto"/>
            <w:left w:val="none" w:sz="0" w:space="0" w:color="auto"/>
            <w:bottom w:val="none" w:sz="0" w:space="0" w:color="auto"/>
            <w:right w:val="none" w:sz="0" w:space="0" w:color="auto"/>
          </w:divBdr>
          <w:divsChild>
            <w:div w:id="682319975">
              <w:marLeft w:val="0"/>
              <w:marRight w:val="0"/>
              <w:marTop w:val="0"/>
              <w:marBottom w:val="0"/>
              <w:divBdr>
                <w:top w:val="none" w:sz="0" w:space="0" w:color="auto"/>
                <w:left w:val="none" w:sz="0" w:space="0" w:color="auto"/>
                <w:bottom w:val="none" w:sz="0" w:space="0" w:color="auto"/>
                <w:right w:val="none" w:sz="0" w:space="0" w:color="auto"/>
              </w:divBdr>
              <w:divsChild>
                <w:div w:id="1897663163">
                  <w:marLeft w:val="0"/>
                  <w:marRight w:val="0"/>
                  <w:marTop w:val="0"/>
                  <w:marBottom w:val="0"/>
                  <w:divBdr>
                    <w:top w:val="none" w:sz="0" w:space="0" w:color="auto"/>
                    <w:left w:val="none" w:sz="0" w:space="0" w:color="auto"/>
                    <w:bottom w:val="none" w:sz="0" w:space="0" w:color="auto"/>
                    <w:right w:val="none" w:sz="0" w:space="0" w:color="auto"/>
                  </w:divBdr>
                  <w:divsChild>
                    <w:div w:id="490759918">
                      <w:marLeft w:val="0"/>
                      <w:marRight w:val="0"/>
                      <w:marTop w:val="0"/>
                      <w:marBottom w:val="0"/>
                      <w:divBdr>
                        <w:top w:val="none" w:sz="0" w:space="0" w:color="auto"/>
                        <w:left w:val="none" w:sz="0" w:space="0" w:color="auto"/>
                        <w:bottom w:val="none" w:sz="0" w:space="0" w:color="auto"/>
                        <w:right w:val="none" w:sz="0" w:space="0" w:color="auto"/>
                      </w:divBdr>
                      <w:divsChild>
                        <w:div w:id="1033648853">
                          <w:marLeft w:val="0"/>
                          <w:marRight w:val="0"/>
                          <w:marTop w:val="0"/>
                          <w:marBottom w:val="0"/>
                          <w:divBdr>
                            <w:top w:val="none" w:sz="0" w:space="0" w:color="auto"/>
                            <w:left w:val="none" w:sz="0" w:space="0" w:color="auto"/>
                            <w:bottom w:val="none" w:sz="0" w:space="0" w:color="auto"/>
                            <w:right w:val="none" w:sz="0" w:space="0" w:color="auto"/>
                          </w:divBdr>
                          <w:divsChild>
                            <w:div w:id="582491566">
                              <w:marLeft w:val="0"/>
                              <w:marRight w:val="0"/>
                              <w:marTop w:val="0"/>
                              <w:marBottom w:val="0"/>
                              <w:divBdr>
                                <w:top w:val="none" w:sz="0" w:space="0" w:color="auto"/>
                                <w:left w:val="none" w:sz="0" w:space="0" w:color="auto"/>
                                <w:bottom w:val="none" w:sz="0" w:space="0" w:color="auto"/>
                                <w:right w:val="none" w:sz="0" w:space="0" w:color="auto"/>
                              </w:divBdr>
                              <w:divsChild>
                                <w:div w:id="2093699696">
                                  <w:marLeft w:val="0"/>
                                  <w:marRight w:val="0"/>
                                  <w:marTop w:val="0"/>
                                  <w:marBottom w:val="0"/>
                                  <w:divBdr>
                                    <w:top w:val="none" w:sz="0" w:space="0" w:color="auto"/>
                                    <w:left w:val="none" w:sz="0" w:space="0" w:color="auto"/>
                                    <w:bottom w:val="none" w:sz="0" w:space="0" w:color="auto"/>
                                    <w:right w:val="none" w:sz="0" w:space="0" w:color="auto"/>
                                  </w:divBdr>
                                  <w:divsChild>
                                    <w:div w:id="136540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0957415">
      <w:bodyDiv w:val="1"/>
      <w:marLeft w:val="0"/>
      <w:marRight w:val="0"/>
      <w:marTop w:val="0"/>
      <w:marBottom w:val="0"/>
      <w:divBdr>
        <w:top w:val="none" w:sz="0" w:space="0" w:color="auto"/>
        <w:left w:val="none" w:sz="0" w:space="0" w:color="auto"/>
        <w:bottom w:val="none" w:sz="0" w:space="0" w:color="auto"/>
        <w:right w:val="none" w:sz="0" w:space="0" w:color="auto"/>
      </w:divBdr>
    </w:div>
    <w:div w:id="1300964893">
      <w:bodyDiv w:val="1"/>
      <w:marLeft w:val="0"/>
      <w:marRight w:val="0"/>
      <w:marTop w:val="0"/>
      <w:marBottom w:val="0"/>
      <w:divBdr>
        <w:top w:val="none" w:sz="0" w:space="0" w:color="auto"/>
        <w:left w:val="none" w:sz="0" w:space="0" w:color="auto"/>
        <w:bottom w:val="none" w:sz="0" w:space="0" w:color="auto"/>
        <w:right w:val="none" w:sz="0" w:space="0" w:color="auto"/>
      </w:divBdr>
    </w:div>
    <w:div w:id="1301305652">
      <w:bodyDiv w:val="1"/>
      <w:marLeft w:val="0"/>
      <w:marRight w:val="0"/>
      <w:marTop w:val="0"/>
      <w:marBottom w:val="0"/>
      <w:divBdr>
        <w:top w:val="none" w:sz="0" w:space="0" w:color="auto"/>
        <w:left w:val="none" w:sz="0" w:space="0" w:color="auto"/>
        <w:bottom w:val="none" w:sz="0" w:space="0" w:color="auto"/>
        <w:right w:val="none" w:sz="0" w:space="0" w:color="auto"/>
      </w:divBdr>
      <w:divsChild>
        <w:div w:id="1300111147">
          <w:marLeft w:val="0"/>
          <w:marRight w:val="0"/>
          <w:marTop w:val="0"/>
          <w:marBottom w:val="0"/>
          <w:divBdr>
            <w:top w:val="none" w:sz="0" w:space="0" w:color="auto"/>
            <w:left w:val="none" w:sz="0" w:space="0" w:color="auto"/>
            <w:bottom w:val="dotted" w:sz="6" w:space="4" w:color="DDDDDD"/>
            <w:right w:val="none" w:sz="0" w:space="0" w:color="auto"/>
          </w:divBdr>
          <w:divsChild>
            <w:div w:id="153361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421011">
      <w:bodyDiv w:val="1"/>
      <w:marLeft w:val="0"/>
      <w:marRight w:val="0"/>
      <w:marTop w:val="0"/>
      <w:marBottom w:val="0"/>
      <w:divBdr>
        <w:top w:val="none" w:sz="0" w:space="0" w:color="auto"/>
        <w:left w:val="none" w:sz="0" w:space="0" w:color="auto"/>
        <w:bottom w:val="none" w:sz="0" w:space="0" w:color="auto"/>
        <w:right w:val="none" w:sz="0" w:space="0" w:color="auto"/>
      </w:divBdr>
      <w:divsChild>
        <w:div w:id="308707299">
          <w:marLeft w:val="0"/>
          <w:marRight w:val="0"/>
          <w:marTop w:val="0"/>
          <w:marBottom w:val="0"/>
          <w:divBdr>
            <w:top w:val="none" w:sz="0" w:space="0" w:color="auto"/>
            <w:left w:val="none" w:sz="0" w:space="0" w:color="auto"/>
            <w:bottom w:val="none" w:sz="0" w:space="0" w:color="auto"/>
            <w:right w:val="none" w:sz="0" w:space="0" w:color="auto"/>
          </w:divBdr>
          <w:divsChild>
            <w:div w:id="1927424607">
              <w:marLeft w:val="0"/>
              <w:marRight w:val="0"/>
              <w:marTop w:val="0"/>
              <w:marBottom w:val="0"/>
              <w:divBdr>
                <w:top w:val="none" w:sz="0" w:space="0" w:color="auto"/>
                <w:left w:val="none" w:sz="0" w:space="0" w:color="auto"/>
                <w:bottom w:val="none" w:sz="0" w:space="0" w:color="auto"/>
                <w:right w:val="none" w:sz="0" w:space="0" w:color="auto"/>
              </w:divBdr>
            </w:div>
          </w:divsChild>
        </w:div>
        <w:div w:id="1903910368">
          <w:marLeft w:val="0"/>
          <w:marRight w:val="0"/>
          <w:marTop w:val="0"/>
          <w:marBottom w:val="150"/>
          <w:divBdr>
            <w:top w:val="none" w:sz="0" w:space="0" w:color="auto"/>
            <w:left w:val="none" w:sz="0" w:space="0" w:color="auto"/>
            <w:bottom w:val="none" w:sz="0" w:space="0" w:color="auto"/>
            <w:right w:val="none" w:sz="0" w:space="0" w:color="auto"/>
          </w:divBdr>
          <w:divsChild>
            <w:div w:id="998193225">
              <w:marLeft w:val="0"/>
              <w:marRight w:val="0"/>
              <w:marTop w:val="0"/>
              <w:marBottom w:val="0"/>
              <w:divBdr>
                <w:top w:val="none" w:sz="0" w:space="0" w:color="auto"/>
                <w:left w:val="none" w:sz="0" w:space="0" w:color="auto"/>
                <w:bottom w:val="none" w:sz="0" w:space="0" w:color="auto"/>
                <w:right w:val="none" w:sz="0" w:space="0" w:color="auto"/>
              </w:divBdr>
            </w:div>
          </w:divsChild>
        </w:div>
        <w:div w:id="2142381851">
          <w:marLeft w:val="0"/>
          <w:marRight w:val="0"/>
          <w:marTop w:val="0"/>
          <w:marBottom w:val="150"/>
          <w:divBdr>
            <w:top w:val="none" w:sz="0" w:space="0" w:color="auto"/>
            <w:left w:val="none" w:sz="0" w:space="0" w:color="auto"/>
            <w:bottom w:val="none" w:sz="0" w:space="0" w:color="auto"/>
            <w:right w:val="none" w:sz="0" w:space="0" w:color="auto"/>
          </w:divBdr>
        </w:div>
      </w:divsChild>
    </w:div>
    <w:div w:id="1301424156">
      <w:bodyDiv w:val="1"/>
      <w:marLeft w:val="0"/>
      <w:marRight w:val="0"/>
      <w:marTop w:val="0"/>
      <w:marBottom w:val="0"/>
      <w:divBdr>
        <w:top w:val="none" w:sz="0" w:space="0" w:color="auto"/>
        <w:left w:val="none" w:sz="0" w:space="0" w:color="auto"/>
        <w:bottom w:val="none" w:sz="0" w:space="0" w:color="auto"/>
        <w:right w:val="none" w:sz="0" w:space="0" w:color="auto"/>
      </w:divBdr>
    </w:div>
    <w:div w:id="1301494421">
      <w:bodyDiv w:val="1"/>
      <w:marLeft w:val="0"/>
      <w:marRight w:val="0"/>
      <w:marTop w:val="0"/>
      <w:marBottom w:val="0"/>
      <w:divBdr>
        <w:top w:val="none" w:sz="0" w:space="0" w:color="auto"/>
        <w:left w:val="none" w:sz="0" w:space="0" w:color="auto"/>
        <w:bottom w:val="none" w:sz="0" w:space="0" w:color="auto"/>
        <w:right w:val="none" w:sz="0" w:space="0" w:color="auto"/>
      </w:divBdr>
      <w:divsChild>
        <w:div w:id="594745554">
          <w:marLeft w:val="0"/>
          <w:marRight w:val="0"/>
          <w:marTop w:val="0"/>
          <w:marBottom w:val="0"/>
          <w:divBdr>
            <w:top w:val="none" w:sz="0" w:space="0" w:color="auto"/>
            <w:left w:val="none" w:sz="0" w:space="0" w:color="auto"/>
            <w:bottom w:val="none" w:sz="0" w:space="0" w:color="auto"/>
            <w:right w:val="none" w:sz="0" w:space="0" w:color="auto"/>
          </w:divBdr>
          <w:divsChild>
            <w:div w:id="523708079">
              <w:marLeft w:val="0"/>
              <w:marRight w:val="0"/>
              <w:marTop w:val="225"/>
              <w:marBottom w:val="225"/>
              <w:divBdr>
                <w:top w:val="none" w:sz="0" w:space="0" w:color="auto"/>
                <w:left w:val="none" w:sz="0" w:space="0" w:color="auto"/>
                <w:bottom w:val="none" w:sz="0" w:space="0" w:color="auto"/>
                <w:right w:val="none" w:sz="0" w:space="0" w:color="auto"/>
              </w:divBdr>
            </w:div>
          </w:divsChild>
        </w:div>
        <w:div w:id="2025668999">
          <w:marLeft w:val="0"/>
          <w:marRight w:val="0"/>
          <w:marTop w:val="0"/>
          <w:marBottom w:val="150"/>
          <w:divBdr>
            <w:top w:val="none" w:sz="0" w:space="0" w:color="auto"/>
            <w:left w:val="none" w:sz="0" w:space="0" w:color="auto"/>
            <w:bottom w:val="none" w:sz="0" w:space="0" w:color="auto"/>
            <w:right w:val="none" w:sz="0" w:space="0" w:color="auto"/>
          </w:divBdr>
          <w:divsChild>
            <w:div w:id="1987274342">
              <w:marLeft w:val="0"/>
              <w:marRight w:val="0"/>
              <w:marTop w:val="0"/>
              <w:marBottom w:val="0"/>
              <w:divBdr>
                <w:top w:val="none" w:sz="0" w:space="0" w:color="auto"/>
                <w:left w:val="none" w:sz="0" w:space="0" w:color="auto"/>
                <w:bottom w:val="none" w:sz="0" w:space="0" w:color="auto"/>
                <w:right w:val="none" w:sz="0" w:space="0" w:color="auto"/>
              </w:divBdr>
              <w:divsChild>
                <w:div w:id="178213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756699">
          <w:marLeft w:val="0"/>
          <w:marRight w:val="0"/>
          <w:marTop w:val="0"/>
          <w:marBottom w:val="150"/>
          <w:divBdr>
            <w:top w:val="none" w:sz="0" w:space="0" w:color="auto"/>
            <w:left w:val="none" w:sz="0" w:space="0" w:color="auto"/>
            <w:bottom w:val="none" w:sz="0" w:space="0" w:color="auto"/>
            <w:right w:val="none" w:sz="0" w:space="0" w:color="auto"/>
          </w:divBdr>
        </w:div>
      </w:divsChild>
    </w:div>
    <w:div w:id="1301577274">
      <w:bodyDiv w:val="1"/>
      <w:marLeft w:val="0"/>
      <w:marRight w:val="0"/>
      <w:marTop w:val="0"/>
      <w:marBottom w:val="0"/>
      <w:divBdr>
        <w:top w:val="none" w:sz="0" w:space="0" w:color="auto"/>
        <w:left w:val="none" w:sz="0" w:space="0" w:color="auto"/>
        <w:bottom w:val="none" w:sz="0" w:space="0" w:color="auto"/>
        <w:right w:val="none" w:sz="0" w:space="0" w:color="auto"/>
      </w:divBdr>
    </w:div>
    <w:div w:id="1302080328">
      <w:bodyDiv w:val="1"/>
      <w:marLeft w:val="0"/>
      <w:marRight w:val="0"/>
      <w:marTop w:val="0"/>
      <w:marBottom w:val="0"/>
      <w:divBdr>
        <w:top w:val="none" w:sz="0" w:space="0" w:color="auto"/>
        <w:left w:val="none" w:sz="0" w:space="0" w:color="auto"/>
        <w:bottom w:val="none" w:sz="0" w:space="0" w:color="auto"/>
        <w:right w:val="none" w:sz="0" w:space="0" w:color="auto"/>
      </w:divBdr>
      <w:divsChild>
        <w:div w:id="627395952">
          <w:marLeft w:val="0"/>
          <w:marRight w:val="0"/>
          <w:marTop w:val="0"/>
          <w:marBottom w:val="0"/>
          <w:divBdr>
            <w:top w:val="none" w:sz="0" w:space="0" w:color="auto"/>
            <w:left w:val="none" w:sz="0" w:space="0" w:color="auto"/>
            <w:bottom w:val="dotted" w:sz="6" w:space="4" w:color="DDDDDD"/>
            <w:right w:val="none" w:sz="0" w:space="0" w:color="auto"/>
          </w:divBdr>
          <w:divsChild>
            <w:div w:id="72040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4411">
      <w:bodyDiv w:val="1"/>
      <w:marLeft w:val="0"/>
      <w:marRight w:val="0"/>
      <w:marTop w:val="0"/>
      <w:marBottom w:val="0"/>
      <w:divBdr>
        <w:top w:val="none" w:sz="0" w:space="0" w:color="auto"/>
        <w:left w:val="none" w:sz="0" w:space="0" w:color="auto"/>
        <w:bottom w:val="none" w:sz="0" w:space="0" w:color="auto"/>
        <w:right w:val="none" w:sz="0" w:space="0" w:color="auto"/>
      </w:divBdr>
      <w:divsChild>
        <w:div w:id="416751422">
          <w:marLeft w:val="0"/>
          <w:marRight w:val="0"/>
          <w:marTop w:val="0"/>
          <w:marBottom w:val="150"/>
          <w:divBdr>
            <w:top w:val="none" w:sz="0" w:space="0" w:color="auto"/>
            <w:left w:val="none" w:sz="0" w:space="0" w:color="auto"/>
            <w:bottom w:val="none" w:sz="0" w:space="0" w:color="auto"/>
            <w:right w:val="none" w:sz="0" w:space="0" w:color="auto"/>
          </w:divBdr>
          <w:divsChild>
            <w:div w:id="1642886523">
              <w:marLeft w:val="0"/>
              <w:marRight w:val="0"/>
              <w:marTop w:val="0"/>
              <w:marBottom w:val="0"/>
              <w:divBdr>
                <w:top w:val="none" w:sz="0" w:space="0" w:color="auto"/>
                <w:left w:val="none" w:sz="0" w:space="0" w:color="auto"/>
                <w:bottom w:val="none" w:sz="0" w:space="0" w:color="auto"/>
                <w:right w:val="none" w:sz="0" w:space="0" w:color="auto"/>
              </w:divBdr>
            </w:div>
          </w:divsChild>
        </w:div>
        <w:div w:id="610167539">
          <w:marLeft w:val="0"/>
          <w:marRight w:val="0"/>
          <w:marTop w:val="0"/>
          <w:marBottom w:val="150"/>
          <w:divBdr>
            <w:top w:val="none" w:sz="0" w:space="0" w:color="auto"/>
            <w:left w:val="none" w:sz="0" w:space="0" w:color="auto"/>
            <w:bottom w:val="none" w:sz="0" w:space="0" w:color="auto"/>
            <w:right w:val="none" w:sz="0" w:space="0" w:color="auto"/>
          </w:divBdr>
        </w:div>
        <w:div w:id="929504173">
          <w:marLeft w:val="0"/>
          <w:marRight w:val="0"/>
          <w:marTop w:val="0"/>
          <w:marBottom w:val="0"/>
          <w:divBdr>
            <w:top w:val="none" w:sz="0" w:space="0" w:color="auto"/>
            <w:left w:val="none" w:sz="0" w:space="0" w:color="auto"/>
            <w:bottom w:val="none" w:sz="0" w:space="0" w:color="auto"/>
            <w:right w:val="none" w:sz="0" w:space="0" w:color="auto"/>
          </w:divBdr>
          <w:divsChild>
            <w:div w:id="38911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005222">
      <w:bodyDiv w:val="1"/>
      <w:marLeft w:val="0"/>
      <w:marRight w:val="0"/>
      <w:marTop w:val="0"/>
      <w:marBottom w:val="0"/>
      <w:divBdr>
        <w:top w:val="none" w:sz="0" w:space="0" w:color="auto"/>
        <w:left w:val="none" w:sz="0" w:space="0" w:color="auto"/>
        <w:bottom w:val="none" w:sz="0" w:space="0" w:color="auto"/>
        <w:right w:val="none" w:sz="0" w:space="0" w:color="auto"/>
      </w:divBdr>
      <w:divsChild>
        <w:div w:id="1556771633">
          <w:marLeft w:val="0"/>
          <w:marRight w:val="0"/>
          <w:marTop w:val="0"/>
          <w:marBottom w:val="150"/>
          <w:divBdr>
            <w:top w:val="none" w:sz="0" w:space="0" w:color="auto"/>
            <w:left w:val="none" w:sz="0" w:space="0" w:color="auto"/>
            <w:bottom w:val="none" w:sz="0" w:space="0" w:color="auto"/>
            <w:right w:val="none" w:sz="0" w:space="0" w:color="auto"/>
          </w:divBdr>
        </w:div>
      </w:divsChild>
    </w:div>
    <w:div w:id="1303656172">
      <w:bodyDiv w:val="1"/>
      <w:marLeft w:val="0"/>
      <w:marRight w:val="0"/>
      <w:marTop w:val="0"/>
      <w:marBottom w:val="0"/>
      <w:divBdr>
        <w:top w:val="none" w:sz="0" w:space="0" w:color="auto"/>
        <w:left w:val="none" w:sz="0" w:space="0" w:color="auto"/>
        <w:bottom w:val="none" w:sz="0" w:space="0" w:color="auto"/>
        <w:right w:val="none" w:sz="0" w:space="0" w:color="auto"/>
      </w:divBdr>
      <w:divsChild>
        <w:div w:id="2045861189">
          <w:marLeft w:val="0"/>
          <w:marRight w:val="0"/>
          <w:marTop w:val="0"/>
          <w:marBottom w:val="0"/>
          <w:divBdr>
            <w:top w:val="none" w:sz="0" w:space="0" w:color="auto"/>
            <w:left w:val="none" w:sz="0" w:space="0" w:color="auto"/>
            <w:bottom w:val="dotted" w:sz="6" w:space="4" w:color="DDDDDD"/>
            <w:right w:val="none" w:sz="0" w:space="0" w:color="auto"/>
          </w:divBdr>
        </w:div>
      </w:divsChild>
    </w:div>
    <w:div w:id="1303846410">
      <w:bodyDiv w:val="1"/>
      <w:marLeft w:val="0"/>
      <w:marRight w:val="0"/>
      <w:marTop w:val="0"/>
      <w:marBottom w:val="0"/>
      <w:divBdr>
        <w:top w:val="none" w:sz="0" w:space="0" w:color="auto"/>
        <w:left w:val="none" w:sz="0" w:space="0" w:color="auto"/>
        <w:bottom w:val="none" w:sz="0" w:space="0" w:color="auto"/>
        <w:right w:val="none" w:sz="0" w:space="0" w:color="auto"/>
      </w:divBdr>
      <w:divsChild>
        <w:div w:id="1278487730">
          <w:marLeft w:val="0"/>
          <w:marRight w:val="0"/>
          <w:marTop w:val="0"/>
          <w:marBottom w:val="0"/>
          <w:divBdr>
            <w:top w:val="none" w:sz="0" w:space="0" w:color="auto"/>
            <w:left w:val="none" w:sz="0" w:space="0" w:color="auto"/>
            <w:bottom w:val="none" w:sz="0" w:space="0" w:color="auto"/>
            <w:right w:val="none" w:sz="0" w:space="0" w:color="auto"/>
          </w:divBdr>
          <w:divsChild>
            <w:div w:id="27223485">
              <w:marLeft w:val="0"/>
              <w:marRight w:val="0"/>
              <w:marTop w:val="0"/>
              <w:marBottom w:val="150"/>
              <w:divBdr>
                <w:top w:val="none" w:sz="0" w:space="0" w:color="auto"/>
                <w:left w:val="none" w:sz="0" w:space="0" w:color="auto"/>
                <w:bottom w:val="none" w:sz="0" w:space="0" w:color="auto"/>
                <w:right w:val="none" w:sz="0" w:space="0" w:color="auto"/>
              </w:divBdr>
            </w:div>
            <w:div w:id="176445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32550">
      <w:bodyDiv w:val="1"/>
      <w:marLeft w:val="0"/>
      <w:marRight w:val="0"/>
      <w:marTop w:val="0"/>
      <w:marBottom w:val="0"/>
      <w:divBdr>
        <w:top w:val="none" w:sz="0" w:space="0" w:color="auto"/>
        <w:left w:val="none" w:sz="0" w:space="0" w:color="auto"/>
        <w:bottom w:val="none" w:sz="0" w:space="0" w:color="auto"/>
        <w:right w:val="none" w:sz="0" w:space="0" w:color="auto"/>
      </w:divBdr>
    </w:div>
    <w:div w:id="1304697809">
      <w:bodyDiv w:val="1"/>
      <w:marLeft w:val="0"/>
      <w:marRight w:val="0"/>
      <w:marTop w:val="0"/>
      <w:marBottom w:val="0"/>
      <w:divBdr>
        <w:top w:val="none" w:sz="0" w:space="0" w:color="auto"/>
        <w:left w:val="none" w:sz="0" w:space="0" w:color="auto"/>
        <w:bottom w:val="none" w:sz="0" w:space="0" w:color="auto"/>
        <w:right w:val="none" w:sz="0" w:space="0" w:color="auto"/>
      </w:divBdr>
      <w:divsChild>
        <w:div w:id="1101798711">
          <w:marLeft w:val="0"/>
          <w:marRight w:val="0"/>
          <w:marTop w:val="0"/>
          <w:marBottom w:val="0"/>
          <w:divBdr>
            <w:top w:val="none" w:sz="0" w:space="0" w:color="auto"/>
            <w:left w:val="none" w:sz="0" w:space="0" w:color="auto"/>
            <w:bottom w:val="none" w:sz="0" w:space="0" w:color="auto"/>
            <w:right w:val="none" w:sz="0" w:space="0" w:color="auto"/>
          </w:divBdr>
          <w:divsChild>
            <w:div w:id="1238782113">
              <w:marLeft w:val="0"/>
              <w:marRight w:val="0"/>
              <w:marTop w:val="0"/>
              <w:marBottom w:val="0"/>
              <w:divBdr>
                <w:top w:val="none" w:sz="0" w:space="0" w:color="auto"/>
                <w:left w:val="none" w:sz="0" w:space="0" w:color="auto"/>
                <w:bottom w:val="none" w:sz="0" w:space="0" w:color="auto"/>
                <w:right w:val="none" w:sz="0" w:space="0" w:color="auto"/>
              </w:divBdr>
              <w:divsChild>
                <w:div w:id="1458335587">
                  <w:marLeft w:val="0"/>
                  <w:marRight w:val="0"/>
                  <w:marTop w:val="0"/>
                  <w:marBottom w:val="0"/>
                  <w:divBdr>
                    <w:top w:val="none" w:sz="0" w:space="0" w:color="auto"/>
                    <w:left w:val="none" w:sz="0" w:space="0" w:color="auto"/>
                    <w:bottom w:val="none" w:sz="0" w:space="0" w:color="auto"/>
                    <w:right w:val="none" w:sz="0" w:space="0" w:color="auto"/>
                  </w:divBdr>
                  <w:divsChild>
                    <w:div w:id="1880118527">
                      <w:marLeft w:val="0"/>
                      <w:marRight w:val="0"/>
                      <w:marTop w:val="0"/>
                      <w:marBottom w:val="0"/>
                      <w:divBdr>
                        <w:top w:val="none" w:sz="0" w:space="0" w:color="auto"/>
                        <w:left w:val="none" w:sz="0" w:space="0" w:color="auto"/>
                        <w:bottom w:val="none" w:sz="0" w:space="0" w:color="auto"/>
                        <w:right w:val="none" w:sz="0" w:space="0" w:color="auto"/>
                      </w:divBdr>
                      <w:divsChild>
                        <w:div w:id="583805644">
                          <w:marLeft w:val="0"/>
                          <w:marRight w:val="0"/>
                          <w:marTop w:val="0"/>
                          <w:marBottom w:val="0"/>
                          <w:divBdr>
                            <w:top w:val="none" w:sz="0" w:space="0" w:color="auto"/>
                            <w:left w:val="none" w:sz="0" w:space="0" w:color="auto"/>
                            <w:bottom w:val="none" w:sz="0" w:space="0" w:color="auto"/>
                            <w:right w:val="none" w:sz="0" w:space="0" w:color="auto"/>
                          </w:divBdr>
                          <w:divsChild>
                            <w:div w:id="285628807">
                              <w:marLeft w:val="0"/>
                              <w:marRight w:val="0"/>
                              <w:marTop w:val="0"/>
                              <w:marBottom w:val="0"/>
                              <w:divBdr>
                                <w:top w:val="none" w:sz="0" w:space="0" w:color="auto"/>
                                <w:left w:val="none" w:sz="0" w:space="0" w:color="auto"/>
                                <w:bottom w:val="none" w:sz="0" w:space="0" w:color="auto"/>
                                <w:right w:val="none" w:sz="0" w:space="0" w:color="auto"/>
                              </w:divBdr>
                              <w:divsChild>
                                <w:div w:id="1199465369">
                                  <w:marLeft w:val="0"/>
                                  <w:marRight w:val="0"/>
                                  <w:marTop w:val="0"/>
                                  <w:marBottom w:val="0"/>
                                  <w:divBdr>
                                    <w:top w:val="none" w:sz="0" w:space="0" w:color="auto"/>
                                    <w:left w:val="none" w:sz="0" w:space="0" w:color="auto"/>
                                    <w:bottom w:val="none" w:sz="0" w:space="0" w:color="auto"/>
                                    <w:right w:val="none" w:sz="0" w:space="0" w:color="auto"/>
                                  </w:divBdr>
                                  <w:divsChild>
                                    <w:div w:id="173442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4702330">
      <w:bodyDiv w:val="1"/>
      <w:marLeft w:val="0"/>
      <w:marRight w:val="0"/>
      <w:marTop w:val="0"/>
      <w:marBottom w:val="0"/>
      <w:divBdr>
        <w:top w:val="none" w:sz="0" w:space="0" w:color="auto"/>
        <w:left w:val="none" w:sz="0" w:space="0" w:color="auto"/>
        <w:bottom w:val="none" w:sz="0" w:space="0" w:color="auto"/>
        <w:right w:val="none" w:sz="0" w:space="0" w:color="auto"/>
      </w:divBdr>
      <w:divsChild>
        <w:div w:id="423300887">
          <w:marLeft w:val="0"/>
          <w:marRight w:val="0"/>
          <w:marTop w:val="150"/>
          <w:marBottom w:val="0"/>
          <w:divBdr>
            <w:top w:val="none" w:sz="0" w:space="0" w:color="auto"/>
            <w:left w:val="none" w:sz="0" w:space="0" w:color="auto"/>
            <w:bottom w:val="none" w:sz="0" w:space="0" w:color="auto"/>
            <w:right w:val="none" w:sz="0" w:space="0" w:color="auto"/>
          </w:divBdr>
          <w:divsChild>
            <w:div w:id="506679119">
              <w:marLeft w:val="0"/>
              <w:marRight w:val="0"/>
              <w:marTop w:val="0"/>
              <w:marBottom w:val="0"/>
              <w:divBdr>
                <w:top w:val="none" w:sz="0" w:space="0" w:color="auto"/>
                <w:left w:val="none" w:sz="0" w:space="0" w:color="auto"/>
                <w:bottom w:val="none" w:sz="0" w:space="0" w:color="auto"/>
                <w:right w:val="none" w:sz="0" w:space="0" w:color="auto"/>
              </w:divBdr>
              <w:divsChild>
                <w:div w:id="50509558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53011468">
          <w:marLeft w:val="0"/>
          <w:marRight w:val="0"/>
          <w:marTop w:val="0"/>
          <w:marBottom w:val="0"/>
          <w:divBdr>
            <w:top w:val="none" w:sz="0" w:space="0" w:color="auto"/>
            <w:left w:val="none" w:sz="0" w:space="0" w:color="auto"/>
            <w:bottom w:val="none" w:sz="0" w:space="0" w:color="auto"/>
            <w:right w:val="none" w:sz="0" w:space="0" w:color="auto"/>
          </w:divBdr>
          <w:divsChild>
            <w:div w:id="165933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87397">
      <w:bodyDiv w:val="1"/>
      <w:marLeft w:val="0"/>
      <w:marRight w:val="0"/>
      <w:marTop w:val="0"/>
      <w:marBottom w:val="0"/>
      <w:divBdr>
        <w:top w:val="none" w:sz="0" w:space="0" w:color="auto"/>
        <w:left w:val="none" w:sz="0" w:space="0" w:color="auto"/>
        <w:bottom w:val="none" w:sz="0" w:space="0" w:color="auto"/>
        <w:right w:val="none" w:sz="0" w:space="0" w:color="auto"/>
      </w:divBdr>
      <w:divsChild>
        <w:div w:id="80682707">
          <w:marLeft w:val="0"/>
          <w:marRight w:val="0"/>
          <w:marTop w:val="0"/>
          <w:marBottom w:val="150"/>
          <w:divBdr>
            <w:top w:val="none" w:sz="0" w:space="0" w:color="auto"/>
            <w:left w:val="none" w:sz="0" w:space="0" w:color="auto"/>
            <w:bottom w:val="none" w:sz="0" w:space="0" w:color="auto"/>
            <w:right w:val="none" w:sz="0" w:space="0" w:color="auto"/>
          </w:divBdr>
          <w:divsChild>
            <w:div w:id="623511733">
              <w:marLeft w:val="0"/>
              <w:marRight w:val="0"/>
              <w:marTop w:val="0"/>
              <w:marBottom w:val="0"/>
              <w:divBdr>
                <w:top w:val="none" w:sz="0" w:space="0" w:color="auto"/>
                <w:left w:val="none" w:sz="0" w:space="0" w:color="auto"/>
                <w:bottom w:val="none" w:sz="0" w:space="0" w:color="auto"/>
                <w:right w:val="none" w:sz="0" w:space="0" w:color="auto"/>
              </w:divBdr>
              <w:divsChild>
                <w:div w:id="16594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39657">
          <w:marLeft w:val="0"/>
          <w:marRight w:val="0"/>
          <w:marTop w:val="0"/>
          <w:marBottom w:val="150"/>
          <w:divBdr>
            <w:top w:val="none" w:sz="0" w:space="0" w:color="auto"/>
            <w:left w:val="none" w:sz="0" w:space="0" w:color="auto"/>
            <w:bottom w:val="none" w:sz="0" w:space="0" w:color="auto"/>
            <w:right w:val="none" w:sz="0" w:space="0" w:color="auto"/>
          </w:divBdr>
        </w:div>
        <w:div w:id="610161678">
          <w:marLeft w:val="0"/>
          <w:marRight w:val="0"/>
          <w:marTop w:val="0"/>
          <w:marBottom w:val="0"/>
          <w:divBdr>
            <w:top w:val="none" w:sz="0" w:space="0" w:color="auto"/>
            <w:left w:val="none" w:sz="0" w:space="0" w:color="auto"/>
            <w:bottom w:val="none" w:sz="0" w:space="0" w:color="auto"/>
            <w:right w:val="none" w:sz="0" w:space="0" w:color="auto"/>
          </w:divBdr>
          <w:divsChild>
            <w:div w:id="69824332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05155427">
      <w:bodyDiv w:val="1"/>
      <w:marLeft w:val="0"/>
      <w:marRight w:val="0"/>
      <w:marTop w:val="0"/>
      <w:marBottom w:val="0"/>
      <w:divBdr>
        <w:top w:val="none" w:sz="0" w:space="0" w:color="auto"/>
        <w:left w:val="none" w:sz="0" w:space="0" w:color="auto"/>
        <w:bottom w:val="none" w:sz="0" w:space="0" w:color="auto"/>
        <w:right w:val="none" w:sz="0" w:space="0" w:color="auto"/>
      </w:divBdr>
      <w:divsChild>
        <w:div w:id="30886943">
          <w:marLeft w:val="0"/>
          <w:marRight w:val="0"/>
          <w:marTop w:val="0"/>
          <w:marBottom w:val="150"/>
          <w:divBdr>
            <w:top w:val="none" w:sz="0" w:space="0" w:color="auto"/>
            <w:left w:val="none" w:sz="0" w:space="0" w:color="auto"/>
            <w:bottom w:val="none" w:sz="0" w:space="0" w:color="auto"/>
            <w:right w:val="none" w:sz="0" w:space="0" w:color="auto"/>
          </w:divBdr>
        </w:div>
        <w:div w:id="175926607">
          <w:marLeft w:val="0"/>
          <w:marRight w:val="0"/>
          <w:marTop w:val="0"/>
          <w:marBottom w:val="150"/>
          <w:divBdr>
            <w:top w:val="none" w:sz="0" w:space="0" w:color="auto"/>
            <w:left w:val="none" w:sz="0" w:space="0" w:color="auto"/>
            <w:bottom w:val="none" w:sz="0" w:space="0" w:color="auto"/>
            <w:right w:val="none" w:sz="0" w:space="0" w:color="auto"/>
          </w:divBdr>
        </w:div>
        <w:div w:id="276527424">
          <w:marLeft w:val="0"/>
          <w:marRight w:val="0"/>
          <w:marTop w:val="0"/>
          <w:marBottom w:val="150"/>
          <w:divBdr>
            <w:top w:val="none" w:sz="0" w:space="0" w:color="auto"/>
            <w:left w:val="none" w:sz="0" w:space="0" w:color="auto"/>
            <w:bottom w:val="none" w:sz="0" w:space="0" w:color="auto"/>
            <w:right w:val="none" w:sz="0" w:space="0" w:color="auto"/>
          </w:divBdr>
        </w:div>
        <w:div w:id="575214428">
          <w:marLeft w:val="0"/>
          <w:marRight w:val="0"/>
          <w:marTop w:val="0"/>
          <w:marBottom w:val="150"/>
          <w:divBdr>
            <w:top w:val="none" w:sz="0" w:space="0" w:color="auto"/>
            <w:left w:val="none" w:sz="0" w:space="0" w:color="auto"/>
            <w:bottom w:val="none" w:sz="0" w:space="0" w:color="auto"/>
            <w:right w:val="none" w:sz="0" w:space="0" w:color="auto"/>
          </w:divBdr>
        </w:div>
        <w:div w:id="897740854">
          <w:marLeft w:val="0"/>
          <w:marRight w:val="0"/>
          <w:marTop w:val="0"/>
          <w:marBottom w:val="150"/>
          <w:divBdr>
            <w:top w:val="none" w:sz="0" w:space="0" w:color="auto"/>
            <w:left w:val="none" w:sz="0" w:space="0" w:color="auto"/>
            <w:bottom w:val="none" w:sz="0" w:space="0" w:color="auto"/>
            <w:right w:val="none" w:sz="0" w:space="0" w:color="auto"/>
          </w:divBdr>
        </w:div>
        <w:div w:id="1003509400">
          <w:marLeft w:val="0"/>
          <w:marRight w:val="0"/>
          <w:marTop w:val="0"/>
          <w:marBottom w:val="150"/>
          <w:divBdr>
            <w:top w:val="none" w:sz="0" w:space="0" w:color="auto"/>
            <w:left w:val="none" w:sz="0" w:space="0" w:color="auto"/>
            <w:bottom w:val="none" w:sz="0" w:space="0" w:color="auto"/>
            <w:right w:val="none" w:sz="0" w:space="0" w:color="auto"/>
          </w:divBdr>
        </w:div>
        <w:div w:id="1146625623">
          <w:marLeft w:val="0"/>
          <w:marRight w:val="0"/>
          <w:marTop w:val="0"/>
          <w:marBottom w:val="150"/>
          <w:divBdr>
            <w:top w:val="none" w:sz="0" w:space="0" w:color="auto"/>
            <w:left w:val="none" w:sz="0" w:space="0" w:color="auto"/>
            <w:bottom w:val="none" w:sz="0" w:space="0" w:color="auto"/>
            <w:right w:val="none" w:sz="0" w:space="0" w:color="auto"/>
          </w:divBdr>
        </w:div>
        <w:div w:id="1742482363">
          <w:marLeft w:val="0"/>
          <w:marRight w:val="0"/>
          <w:marTop w:val="0"/>
          <w:marBottom w:val="150"/>
          <w:divBdr>
            <w:top w:val="none" w:sz="0" w:space="0" w:color="auto"/>
            <w:left w:val="none" w:sz="0" w:space="0" w:color="auto"/>
            <w:bottom w:val="none" w:sz="0" w:space="0" w:color="auto"/>
            <w:right w:val="none" w:sz="0" w:space="0" w:color="auto"/>
          </w:divBdr>
        </w:div>
        <w:div w:id="2048212745">
          <w:marLeft w:val="0"/>
          <w:marRight w:val="0"/>
          <w:marTop w:val="0"/>
          <w:marBottom w:val="150"/>
          <w:divBdr>
            <w:top w:val="none" w:sz="0" w:space="0" w:color="auto"/>
            <w:left w:val="none" w:sz="0" w:space="0" w:color="auto"/>
            <w:bottom w:val="none" w:sz="0" w:space="0" w:color="auto"/>
            <w:right w:val="none" w:sz="0" w:space="0" w:color="auto"/>
          </w:divBdr>
        </w:div>
      </w:divsChild>
    </w:div>
    <w:div w:id="1305158827">
      <w:bodyDiv w:val="1"/>
      <w:marLeft w:val="0"/>
      <w:marRight w:val="0"/>
      <w:marTop w:val="0"/>
      <w:marBottom w:val="0"/>
      <w:divBdr>
        <w:top w:val="none" w:sz="0" w:space="0" w:color="auto"/>
        <w:left w:val="none" w:sz="0" w:space="0" w:color="auto"/>
        <w:bottom w:val="none" w:sz="0" w:space="0" w:color="auto"/>
        <w:right w:val="none" w:sz="0" w:space="0" w:color="auto"/>
      </w:divBdr>
      <w:divsChild>
        <w:div w:id="1174032258">
          <w:marLeft w:val="0"/>
          <w:marRight w:val="0"/>
          <w:marTop w:val="0"/>
          <w:marBottom w:val="0"/>
          <w:divBdr>
            <w:top w:val="none" w:sz="0" w:space="0" w:color="auto"/>
            <w:left w:val="none" w:sz="0" w:space="0" w:color="auto"/>
            <w:bottom w:val="none" w:sz="0" w:space="0" w:color="auto"/>
            <w:right w:val="none" w:sz="0" w:space="0" w:color="auto"/>
          </w:divBdr>
        </w:div>
      </w:divsChild>
    </w:div>
    <w:div w:id="1305543269">
      <w:bodyDiv w:val="1"/>
      <w:marLeft w:val="0"/>
      <w:marRight w:val="0"/>
      <w:marTop w:val="0"/>
      <w:marBottom w:val="0"/>
      <w:divBdr>
        <w:top w:val="none" w:sz="0" w:space="0" w:color="auto"/>
        <w:left w:val="none" w:sz="0" w:space="0" w:color="auto"/>
        <w:bottom w:val="none" w:sz="0" w:space="0" w:color="auto"/>
        <w:right w:val="none" w:sz="0" w:space="0" w:color="auto"/>
      </w:divBdr>
      <w:divsChild>
        <w:div w:id="408311562">
          <w:marLeft w:val="0"/>
          <w:marRight w:val="0"/>
          <w:marTop w:val="0"/>
          <w:marBottom w:val="150"/>
          <w:divBdr>
            <w:top w:val="none" w:sz="0" w:space="0" w:color="auto"/>
            <w:left w:val="none" w:sz="0" w:space="0" w:color="auto"/>
            <w:bottom w:val="none" w:sz="0" w:space="0" w:color="auto"/>
            <w:right w:val="none" w:sz="0" w:space="0" w:color="auto"/>
          </w:divBdr>
          <w:divsChild>
            <w:div w:id="1004087803">
              <w:marLeft w:val="0"/>
              <w:marRight w:val="0"/>
              <w:marTop w:val="0"/>
              <w:marBottom w:val="0"/>
              <w:divBdr>
                <w:top w:val="none" w:sz="0" w:space="0" w:color="auto"/>
                <w:left w:val="none" w:sz="0" w:space="0" w:color="auto"/>
                <w:bottom w:val="none" w:sz="0" w:space="0" w:color="auto"/>
                <w:right w:val="none" w:sz="0" w:space="0" w:color="auto"/>
              </w:divBdr>
              <w:divsChild>
                <w:div w:id="93293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41657">
          <w:marLeft w:val="0"/>
          <w:marRight w:val="0"/>
          <w:marTop w:val="0"/>
          <w:marBottom w:val="150"/>
          <w:divBdr>
            <w:top w:val="none" w:sz="0" w:space="0" w:color="auto"/>
            <w:left w:val="none" w:sz="0" w:space="0" w:color="auto"/>
            <w:bottom w:val="none" w:sz="0" w:space="0" w:color="auto"/>
            <w:right w:val="none" w:sz="0" w:space="0" w:color="auto"/>
          </w:divBdr>
        </w:div>
        <w:div w:id="1494221379">
          <w:marLeft w:val="0"/>
          <w:marRight w:val="0"/>
          <w:marTop w:val="0"/>
          <w:marBottom w:val="0"/>
          <w:divBdr>
            <w:top w:val="none" w:sz="0" w:space="0" w:color="auto"/>
            <w:left w:val="none" w:sz="0" w:space="0" w:color="auto"/>
            <w:bottom w:val="none" w:sz="0" w:space="0" w:color="auto"/>
            <w:right w:val="none" w:sz="0" w:space="0" w:color="auto"/>
          </w:divBdr>
          <w:divsChild>
            <w:div w:id="11892179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05546794">
      <w:bodyDiv w:val="1"/>
      <w:marLeft w:val="0"/>
      <w:marRight w:val="0"/>
      <w:marTop w:val="0"/>
      <w:marBottom w:val="0"/>
      <w:divBdr>
        <w:top w:val="none" w:sz="0" w:space="0" w:color="auto"/>
        <w:left w:val="none" w:sz="0" w:space="0" w:color="auto"/>
        <w:bottom w:val="none" w:sz="0" w:space="0" w:color="auto"/>
        <w:right w:val="none" w:sz="0" w:space="0" w:color="auto"/>
      </w:divBdr>
      <w:divsChild>
        <w:div w:id="713575445">
          <w:marLeft w:val="0"/>
          <w:marRight w:val="0"/>
          <w:marTop w:val="0"/>
          <w:marBottom w:val="0"/>
          <w:divBdr>
            <w:top w:val="none" w:sz="0" w:space="0" w:color="auto"/>
            <w:left w:val="none" w:sz="0" w:space="0" w:color="auto"/>
            <w:bottom w:val="none" w:sz="0" w:space="0" w:color="auto"/>
            <w:right w:val="none" w:sz="0" w:space="0" w:color="auto"/>
          </w:divBdr>
          <w:divsChild>
            <w:div w:id="111090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05619318">
      <w:bodyDiv w:val="1"/>
      <w:marLeft w:val="0"/>
      <w:marRight w:val="0"/>
      <w:marTop w:val="0"/>
      <w:marBottom w:val="0"/>
      <w:divBdr>
        <w:top w:val="none" w:sz="0" w:space="0" w:color="auto"/>
        <w:left w:val="none" w:sz="0" w:space="0" w:color="auto"/>
        <w:bottom w:val="none" w:sz="0" w:space="0" w:color="auto"/>
        <w:right w:val="none" w:sz="0" w:space="0" w:color="auto"/>
      </w:divBdr>
      <w:divsChild>
        <w:div w:id="1341421331">
          <w:marLeft w:val="0"/>
          <w:marRight w:val="0"/>
          <w:marTop w:val="0"/>
          <w:marBottom w:val="0"/>
          <w:divBdr>
            <w:top w:val="none" w:sz="0" w:space="0" w:color="auto"/>
            <w:left w:val="none" w:sz="0" w:space="0" w:color="auto"/>
            <w:bottom w:val="none" w:sz="0" w:space="0" w:color="auto"/>
            <w:right w:val="none" w:sz="0" w:space="0" w:color="auto"/>
          </w:divBdr>
          <w:divsChild>
            <w:div w:id="1070810556">
              <w:marLeft w:val="0"/>
              <w:marRight w:val="0"/>
              <w:marTop w:val="0"/>
              <w:marBottom w:val="0"/>
              <w:divBdr>
                <w:top w:val="none" w:sz="0" w:space="0" w:color="auto"/>
                <w:left w:val="none" w:sz="0" w:space="0" w:color="auto"/>
                <w:bottom w:val="none" w:sz="0" w:space="0" w:color="auto"/>
                <w:right w:val="none" w:sz="0" w:space="0" w:color="auto"/>
              </w:divBdr>
              <w:divsChild>
                <w:div w:id="885262091">
                  <w:marLeft w:val="0"/>
                  <w:marRight w:val="0"/>
                  <w:marTop w:val="0"/>
                  <w:marBottom w:val="0"/>
                  <w:divBdr>
                    <w:top w:val="none" w:sz="0" w:space="0" w:color="auto"/>
                    <w:left w:val="none" w:sz="0" w:space="0" w:color="auto"/>
                    <w:bottom w:val="none" w:sz="0" w:space="0" w:color="auto"/>
                    <w:right w:val="none" w:sz="0" w:space="0" w:color="auto"/>
                  </w:divBdr>
                  <w:divsChild>
                    <w:div w:id="1788155987">
                      <w:marLeft w:val="0"/>
                      <w:marRight w:val="0"/>
                      <w:marTop w:val="0"/>
                      <w:marBottom w:val="0"/>
                      <w:divBdr>
                        <w:top w:val="none" w:sz="0" w:space="0" w:color="auto"/>
                        <w:left w:val="none" w:sz="0" w:space="0" w:color="auto"/>
                        <w:bottom w:val="none" w:sz="0" w:space="0" w:color="auto"/>
                        <w:right w:val="none" w:sz="0" w:space="0" w:color="auto"/>
                      </w:divBdr>
                      <w:divsChild>
                        <w:div w:id="1290940686">
                          <w:marLeft w:val="0"/>
                          <w:marRight w:val="0"/>
                          <w:marTop w:val="0"/>
                          <w:marBottom w:val="0"/>
                          <w:divBdr>
                            <w:top w:val="none" w:sz="0" w:space="0" w:color="auto"/>
                            <w:left w:val="none" w:sz="0" w:space="0" w:color="auto"/>
                            <w:bottom w:val="none" w:sz="0" w:space="0" w:color="auto"/>
                            <w:right w:val="none" w:sz="0" w:space="0" w:color="auto"/>
                          </w:divBdr>
                          <w:divsChild>
                            <w:div w:id="1741557286">
                              <w:marLeft w:val="0"/>
                              <w:marRight w:val="0"/>
                              <w:marTop w:val="0"/>
                              <w:marBottom w:val="0"/>
                              <w:divBdr>
                                <w:top w:val="none" w:sz="0" w:space="0" w:color="auto"/>
                                <w:left w:val="none" w:sz="0" w:space="0" w:color="auto"/>
                                <w:bottom w:val="none" w:sz="0" w:space="0" w:color="auto"/>
                                <w:right w:val="none" w:sz="0" w:space="0" w:color="auto"/>
                              </w:divBdr>
                              <w:divsChild>
                                <w:div w:id="538205537">
                                  <w:marLeft w:val="0"/>
                                  <w:marRight w:val="0"/>
                                  <w:marTop w:val="0"/>
                                  <w:marBottom w:val="0"/>
                                  <w:divBdr>
                                    <w:top w:val="none" w:sz="0" w:space="0" w:color="auto"/>
                                    <w:left w:val="none" w:sz="0" w:space="0" w:color="auto"/>
                                    <w:bottom w:val="none" w:sz="0" w:space="0" w:color="auto"/>
                                    <w:right w:val="none" w:sz="0" w:space="0" w:color="auto"/>
                                  </w:divBdr>
                                  <w:divsChild>
                                    <w:div w:id="8488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626402">
      <w:bodyDiv w:val="1"/>
      <w:marLeft w:val="0"/>
      <w:marRight w:val="0"/>
      <w:marTop w:val="0"/>
      <w:marBottom w:val="0"/>
      <w:divBdr>
        <w:top w:val="none" w:sz="0" w:space="0" w:color="auto"/>
        <w:left w:val="none" w:sz="0" w:space="0" w:color="auto"/>
        <w:bottom w:val="none" w:sz="0" w:space="0" w:color="auto"/>
        <w:right w:val="none" w:sz="0" w:space="0" w:color="auto"/>
      </w:divBdr>
      <w:divsChild>
        <w:div w:id="1781531887">
          <w:marLeft w:val="0"/>
          <w:marRight w:val="0"/>
          <w:marTop w:val="0"/>
          <w:marBottom w:val="150"/>
          <w:divBdr>
            <w:top w:val="none" w:sz="0" w:space="0" w:color="auto"/>
            <w:left w:val="none" w:sz="0" w:space="0" w:color="auto"/>
            <w:bottom w:val="none" w:sz="0" w:space="0" w:color="auto"/>
            <w:right w:val="none" w:sz="0" w:space="0" w:color="auto"/>
          </w:divBdr>
          <w:divsChild>
            <w:div w:id="813149">
              <w:marLeft w:val="0"/>
              <w:marRight w:val="0"/>
              <w:marTop w:val="0"/>
              <w:marBottom w:val="0"/>
              <w:divBdr>
                <w:top w:val="none" w:sz="0" w:space="0" w:color="auto"/>
                <w:left w:val="none" w:sz="0" w:space="0" w:color="auto"/>
                <w:bottom w:val="none" w:sz="0" w:space="0" w:color="auto"/>
                <w:right w:val="none" w:sz="0" w:space="0" w:color="auto"/>
              </w:divBdr>
              <w:divsChild>
                <w:div w:id="199736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551583">
          <w:marLeft w:val="0"/>
          <w:marRight w:val="0"/>
          <w:marTop w:val="0"/>
          <w:marBottom w:val="150"/>
          <w:divBdr>
            <w:top w:val="none" w:sz="0" w:space="0" w:color="auto"/>
            <w:left w:val="none" w:sz="0" w:space="0" w:color="auto"/>
            <w:bottom w:val="none" w:sz="0" w:space="0" w:color="auto"/>
            <w:right w:val="none" w:sz="0" w:space="0" w:color="auto"/>
          </w:divBdr>
        </w:div>
        <w:div w:id="340010973">
          <w:marLeft w:val="0"/>
          <w:marRight w:val="0"/>
          <w:marTop w:val="0"/>
          <w:marBottom w:val="0"/>
          <w:divBdr>
            <w:top w:val="none" w:sz="0" w:space="0" w:color="auto"/>
            <w:left w:val="none" w:sz="0" w:space="0" w:color="auto"/>
            <w:bottom w:val="none" w:sz="0" w:space="0" w:color="auto"/>
            <w:right w:val="none" w:sz="0" w:space="0" w:color="auto"/>
          </w:divBdr>
          <w:divsChild>
            <w:div w:id="60812311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05739463">
      <w:bodyDiv w:val="1"/>
      <w:marLeft w:val="0"/>
      <w:marRight w:val="0"/>
      <w:marTop w:val="0"/>
      <w:marBottom w:val="0"/>
      <w:divBdr>
        <w:top w:val="none" w:sz="0" w:space="0" w:color="auto"/>
        <w:left w:val="none" w:sz="0" w:space="0" w:color="auto"/>
        <w:bottom w:val="none" w:sz="0" w:space="0" w:color="auto"/>
        <w:right w:val="none" w:sz="0" w:space="0" w:color="auto"/>
      </w:divBdr>
    </w:div>
    <w:div w:id="1305887732">
      <w:bodyDiv w:val="1"/>
      <w:marLeft w:val="0"/>
      <w:marRight w:val="0"/>
      <w:marTop w:val="0"/>
      <w:marBottom w:val="0"/>
      <w:divBdr>
        <w:top w:val="none" w:sz="0" w:space="0" w:color="auto"/>
        <w:left w:val="none" w:sz="0" w:space="0" w:color="auto"/>
        <w:bottom w:val="none" w:sz="0" w:space="0" w:color="auto"/>
        <w:right w:val="none" w:sz="0" w:space="0" w:color="auto"/>
      </w:divBdr>
      <w:divsChild>
        <w:div w:id="947077714">
          <w:marLeft w:val="0"/>
          <w:marRight w:val="0"/>
          <w:marTop w:val="0"/>
          <w:marBottom w:val="0"/>
          <w:divBdr>
            <w:top w:val="none" w:sz="0" w:space="0" w:color="auto"/>
            <w:left w:val="none" w:sz="0" w:space="0" w:color="auto"/>
            <w:bottom w:val="none" w:sz="0" w:space="0" w:color="auto"/>
            <w:right w:val="none" w:sz="0" w:space="0" w:color="auto"/>
          </w:divBdr>
        </w:div>
        <w:div w:id="1887134498">
          <w:marLeft w:val="0"/>
          <w:marRight w:val="0"/>
          <w:marTop w:val="0"/>
          <w:marBottom w:val="150"/>
          <w:divBdr>
            <w:top w:val="none" w:sz="0" w:space="0" w:color="auto"/>
            <w:left w:val="none" w:sz="0" w:space="0" w:color="auto"/>
            <w:bottom w:val="none" w:sz="0" w:space="0" w:color="auto"/>
            <w:right w:val="none" w:sz="0" w:space="0" w:color="auto"/>
          </w:divBdr>
        </w:div>
      </w:divsChild>
    </w:div>
    <w:div w:id="1305891941">
      <w:bodyDiv w:val="1"/>
      <w:marLeft w:val="0"/>
      <w:marRight w:val="0"/>
      <w:marTop w:val="0"/>
      <w:marBottom w:val="0"/>
      <w:divBdr>
        <w:top w:val="none" w:sz="0" w:space="0" w:color="auto"/>
        <w:left w:val="none" w:sz="0" w:space="0" w:color="auto"/>
        <w:bottom w:val="none" w:sz="0" w:space="0" w:color="auto"/>
        <w:right w:val="none" w:sz="0" w:space="0" w:color="auto"/>
      </w:divBdr>
      <w:divsChild>
        <w:div w:id="1317883145">
          <w:marLeft w:val="0"/>
          <w:marRight w:val="0"/>
          <w:marTop w:val="0"/>
          <w:marBottom w:val="0"/>
          <w:divBdr>
            <w:top w:val="none" w:sz="0" w:space="0" w:color="auto"/>
            <w:left w:val="none" w:sz="0" w:space="0" w:color="auto"/>
            <w:bottom w:val="none" w:sz="0" w:space="0" w:color="auto"/>
            <w:right w:val="none" w:sz="0" w:space="0" w:color="auto"/>
          </w:divBdr>
          <w:divsChild>
            <w:div w:id="1059667307">
              <w:marLeft w:val="0"/>
              <w:marRight w:val="0"/>
              <w:marTop w:val="0"/>
              <w:marBottom w:val="0"/>
              <w:divBdr>
                <w:top w:val="none" w:sz="0" w:space="0" w:color="auto"/>
                <w:left w:val="none" w:sz="0" w:space="0" w:color="auto"/>
                <w:bottom w:val="none" w:sz="0" w:space="0" w:color="auto"/>
                <w:right w:val="none" w:sz="0" w:space="0" w:color="auto"/>
              </w:divBdr>
              <w:divsChild>
                <w:div w:id="1921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015059">
          <w:marLeft w:val="0"/>
          <w:marRight w:val="0"/>
          <w:marTop w:val="0"/>
          <w:marBottom w:val="75"/>
          <w:divBdr>
            <w:top w:val="none" w:sz="0" w:space="0" w:color="auto"/>
            <w:left w:val="none" w:sz="0" w:space="0" w:color="auto"/>
            <w:bottom w:val="none" w:sz="0" w:space="0" w:color="auto"/>
            <w:right w:val="none" w:sz="0" w:space="0" w:color="auto"/>
          </w:divBdr>
        </w:div>
        <w:div w:id="1551187901">
          <w:marLeft w:val="0"/>
          <w:marRight w:val="0"/>
          <w:marTop w:val="0"/>
          <w:marBottom w:val="0"/>
          <w:divBdr>
            <w:top w:val="none" w:sz="0" w:space="0" w:color="auto"/>
            <w:left w:val="none" w:sz="0" w:space="0" w:color="auto"/>
            <w:bottom w:val="none" w:sz="0" w:space="0" w:color="auto"/>
            <w:right w:val="none" w:sz="0" w:space="0" w:color="auto"/>
          </w:divBdr>
          <w:divsChild>
            <w:div w:id="1656497084">
              <w:marLeft w:val="0"/>
              <w:marRight w:val="0"/>
              <w:marTop w:val="0"/>
              <w:marBottom w:val="0"/>
              <w:divBdr>
                <w:top w:val="none" w:sz="0" w:space="0" w:color="auto"/>
                <w:left w:val="none" w:sz="0" w:space="0" w:color="auto"/>
                <w:bottom w:val="none" w:sz="0" w:space="0" w:color="auto"/>
                <w:right w:val="none" w:sz="0" w:space="0" w:color="auto"/>
              </w:divBdr>
              <w:divsChild>
                <w:div w:id="1729495306">
                  <w:marLeft w:val="0"/>
                  <w:marRight w:val="0"/>
                  <w:marTop w:val="0"/>
                  <w:marBottom w:val="300"/>
                  <w:divBdr>
                    <w:top w:val="none" w:sz="0" w:space="0" w:color="auto"/>
                    <w:left w:val="none" w:sz="0" w:space="0" w:color="auto"/>
                    <w:bottom w:val="none" w:sz="0" w:space="0" w:color="auto"/>
                    <w:right w:val="none" w:sz="0" w:space="0" w:color="auto"/>
                  </w:divBdr>
                  <w:divsChild>
                    <w:div w:id="15336924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5967033">
      <w:bodyDiv w:val="1"/>
      <w:marLeft w:val="0"/>
      <w:marRight w:val="0"/>
      <w:marTop w:val="0"/>
      <w:marBottom w:val="0"/>
      <w:divBdr>
        <w:top w:val="none" w:sz="0" w:space="0" w:color="auto"/>
        <w:left w:val="none" w:sz="0" w:space="0" w:color="auto"/>
        <w:bottom w:val="none" w:sz="0" w:space="0" w:color="auto"/>
        <w:right w:val="none" w:sz="0" w:space="0" w:color="auto"/>
      </w:divBdr>
      <w:divsChild>
        <w:div w:id="266623885">
          <w:marLeft w:val="0"/>
          <w:marRight w:val="0"/>
          <w:marTop w:val="0"/>
          <w:marBottom w:val="0"/>
          <w:divBdr>
            <w:top w:val="none" w:sz="0" w:space="0" w:color="auto"/>
            <w:left w:val="none" w:sz="0" w:space="0" w:color="auto"/>
            <w:bottom w:val="dotted" w:sz="6" w:space="4" w:color="DDDDDD"/>
            <w:right w:val="none" w:sz="0" w:space="0" w:color="auto"/>
          </w:divBdr>
        </w:div>
      </w:divsChild>
    </w:div>
    <w:div w:id="1306085512">
      <w:bodyDiv w:val="1"/>
      <w:marLeft w:val="0"/>
      <w:marRight w:val="0"/>
      <w:marTop w:val="0"/>
      <w:marBottom w:val="0"/>
      <w:divBdr>
        <w:top w:val="none" w:sz="0" w:space="0" w:color="auto"/>
        <w:left w:val="none" w:sz="0" w:space="0" w:color="auto"/>
        <w:bottom w:val="none" w:sz="0" w:space="0" w:color="auto"/>
        <w:right w:val="none" w:sz="0" w:space="0" w:color="auto"/>
      </w:divBdr>
      <w:divsChild>
        <w:div w:id="1458714550">
          <w:marLeft w:val="0"/>
          <w:marRight w:val="0"/>
          <w:marTop w:val="0"/>
          <w:marBottom w:val="0"/>
          <w:divBdr>
            <w:top w:val="none" w:sz="0" w:space="0" w:color="auto"/>
            <w:left w:val="none" w:sz="0" w:space="0" w:color="auto"/>
            <w:bottom w:val="none" w:sz="0" w:space="0" w:color="auto"/>
            <w:right w:val="none" w:sz="0" w:space="0" w:color="auto"/>
          </w:divBdr>
        </w:div>
      </w:divsChild>
    </w:div>
    <w:div w:id="1306550295">
      <w:bodyDiv w:val="1"/>
      <w:marLeft w:val="0"/>
      <w:marRight w:val="0"/>
      <w:marTop w:val="0"/>
      <w:marBottom w:val="0"/>
      <w:divBdr>
        <w:top w:val="none" w:sz="0" w:space="0" w:color="auto"/>
        <w:left w:val="none" w:sz="0" w:space="0" w:color="auto"/>
        <w:bottom w:val="none" w:sz="0" w:space="0" w:color="auto"/>
        <w:right w:val="none" w:sz="0" w:space="0" w:color="auto"/>
      </w:divBdr>
      <w:divsChild>
        <w:div w:id="515845659">
          <w:marLeft w:val="0"/>
          <w:marRight w:val="0"/>
          <w:marTop w:val="0"/>
          <w:marBottom w:val="450"/>
          <w:divBdr>
            <w:top w:val="none" w:sz="0" w:space="0" w:color="auto"/>
            <w:left w:val="none" w:sz="0" w:space="0" w:color="auto"/>
            <w:bottom w:val="none" w:sz="0" w:space="0" w:color="auto"/>
            <w:right w:val="none" w:sz="0" w:space="0" w:color="auto"/>
          </w:divBdr>
          <w:divsChild>
            <w:div w:id="1461456471">
              <w:marLeft w:val="0"/>
              <w:marRight w:val="0"/>
              <w:marTop w:val="0"/>
              <w:marBottom w:val="0"/>
              <w:divBdr>
                <w:top w:val="none" w:sz="0" w:space="0" w:color="auto"/>
                <w:left w:val="none" w:sz="0" w:space="0" w:color="auto"/>
                <w:bottom w:val="none" w:sz="0" w:space="0" w:color="auto"/>
                <w:right w:val="none" w:sz="0" w:space="0" w:color="auto"/>
              </w:divBdr>
              <w:divsChild>
                <w:div w:id="842163262">
                  <w:marLeft w:val="0"/>
                  <w:marRight w:val="0"/>
                  <w:marTop w:val="0"/>
                  <w:marBottom w:val="0"/>
                  <w:divBdr>
                    <w:top w:val="none" w:sz="0" w:space="0" w:color="auto"/>
                    <w:left w:val="none" w:sz="0" w:space="0" w:color="auto"/>
                    <w:bottom w:val="none" w:sz="0" w:space="0" w:color="auto"/>
                    <w:right w:val="none" w:sz="0" w:space="0" w:color="auto"/>
                  </w:divBdr>
                  <w:divsChild>
                    <w:div w:id="209459077">
                      <w:marLeft w:val="0"/>
                      <w:marRight w:val="0"/>
                      <w:marTop w:val="0"/>
                      <w:marBottom w:val="0"/>
                      <w:divBdr>
                        <w:top w:val="none" w:sz="0" w:space="0" w:color="auto"/>
                        <w:left w:val="none" w:sz="0" w:space="0" w:color="auto"/>
                        <w:bottom w:val="none" w:sz="0" w:space="0" w:color="auto"/>
                        <w:right w:val="none" w:sz="0" w:space="0" w:color="auto"/>
                      </w:divBdr>
                      <w:divsChild>
                        <w:div w:id="2141918136">
                          <w:marLeft w:val="0"/>
                          <w:marRight w:val="0"/>
                          <w:marTop w:val="0"/>
                          <w:marBottom w:val="0"/>
                          <w:divBdr>
                            <w:top w:val="none" w:sz="0" w:space="0" w:color="auto"/>
                            <w:left w:val="none" w:sz="0" w:space="0" w:color="auto"/>
                            <w:bottom w:val="none" w:sz="0" w:space="0" w:color="auto"/>
                            <w:right w:val="none" w:sz="0" w:space="0" w:color="auto"/>
                          </w:divBdr>
                          <w:divsChild>
                            <w:div w:id="864053715">
                              <w:marLeft w:val="0"/>
                              <w:marRight w:val="0"/>
                              <w:marTop w:val="0"/>
                              <w:marBottom w:val="0"/>
                              <w:divBdr>
                                <w:top w:val="none" w:sz="0" w:space="0" w:color="auto"/>
                                <w:left w:val="none" w:sz="0" w:space="0" w:color="auto"/>
                                <w:bottom w:val="none" w:sz="0" w:space="0" w:color="auto"/>
                                <w:right w:val="none" w:sz="0" w:space="0" w:color="auto"/>
                              </w:divBdr>
                            </w:div>
                            <w:div w:id="1441299468">
                              <w:marLeft w:val="0"/>
                              <w:marRight w:val="0"/>
                              <w:marTop w:val="0"/>
                              <w:marBottom w:val="0"/>
                              <w:divBdr>
                                <w:top w:val="none" w:sz="0" w:space="0" w:color="auto"/>
                                <w:left w:val="none" w:sz="0" w:space="0" w:color="auto"/>
                                <w:bottom w:val="none" w:sz="0" w:space="0" w:color="auto"/>
                                <w:right w:val="none" w:sz="0" w:space="0" w:color="auto"/>
                              </w:divBdr>
                            </w:div>
                            <w:div w:id="18941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959463">
                      <w:marLeft w:val="0"/>
                      <w:marRight w:val="0"/>
                      <w:marTop w:val="0"/>
                      <w:marBottom w:val="0"/>
                      <w:divBdr>
                        <w:top w:val="none" w:sz="0" w:space="0" w:color="auto"/>
                        <w:left w:val="none" w:sz="0" w:space="0" w:color="auto"/>
                        <w:bottom w:val="none" w:sz="0" w:space="0" w:color="auto"/>
                        <w:right w:val="none" w:sz="0" w:space="0" w:color="auto"/>
                      </w:divBdr>
                      <w:divsChild>
                        <w:div w:id="2010596813">
                          <w:marLeft w:val="0"/>
                          <w:marRight w:val="0"/>
                          <w:marTop w:val="0"/>
                          <w:marBottom w:val="225"/>
                          <w:divBdr>
                            <w:top w:val="none" w:sz="0" w:space="0" w:color="auto"/>
                            <w:left w:val="none" w:sz="0" w:space="0" w:color="auto"/>
                            <w:bottom w:val="none" w:sz="0" w:space="0" w:color="auto"/>
                            <w:right w:val="none" w:sz="0" w:space="0" w:color="auto"/>
                          </w:divBdr>
                          <w:divsChild>
                            <w:div w:id="163035777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824544782">
          <w:marLeft w:val="0"/>
          <w:marRight w:val="0"/>
          <w:marTop w:val="0"/>
          <w:marBottom w:val="375"/>
          <w:divBdr>
            <w:top w:val="none" w:sz="0" w:space="0" w:color="auto"/>
            <w:left w:val="none" w:sz="0" w:space="0" w:color="auto"/>
            <w:bottom w:val="dotted" w:sz="6" w:space="14" w:color="C2C2C2"/>
            <w:right w:val="none" w:sz="0" w:space="0" w:color="auto"/>
          </w:divBdr>
          <w:divsChild>
            <w:div w:id="256601772">
              <w:marLeft w:val="0"/>
              <w:marRight w:val="0"/>
              <w:marTop w:val="0"/>
              <w:marBottom w:val="0"/>
              <w:divBdr>
                <w:top w:val="none" w:sz="0" w:space="0" w:color="auto"/>
                <w:left w:val="none" w:sz="0" w:space="0" w:color="auto"/>
                <w:bottom w:val="none" w:sz="0" w:space="0" w:color="auto"/>
                <w:right w:val="none" w:sz="0" w:space="0" w:color="auto"/>
              </w:divBdr>
              <w:divsChild>
                <w:div w:id="165363250">
                  <w:marLeft w:val="0"/>
                  <w:marRight w:val="0"/>
                  <w:marTop w:val="0"/>
                  <w:marBottom w:val="0"/>
                  <w:divBdr>
                    <w:top w:val="none" w:sz="0" w:space="0" w:color="auto"/>
                    <w:left w:val="none" w:sz="0" w:space="0" w:color="auto"/>
                    <w:bottom w:val="none" w:sz="0" w:space="0" w:color="auto"/>
                    <w:right w:val="none" w:sz="0" w:space="0" w:color="auto"/>
                  </w:divBdr>
                  <w:divsChild>
                    <w:div w:id="1442721158">
                      <w:marLeft w:val="0"/>
                      <w:marRight w:val="0"/>
                      <w:marTop w:val="0"/>
                      <w:marBottom w:val="0"/>
                      <w:divBdr>
                        <w:top w:val="none" w:sz="0" w:space="0" w:color="auto"/>
                        <w:left w:val="none" w:sz="0" w:space="0" w:color="auto"/>
                        <w:bottom w:val="none" w:sz="0" w:space="0" w:color="auto"/>
                        <w:right w:val="none" w:sz="0" w:space="0" w:color="auto"/>
                      </w:divBdr>
                      <w:divsChild>
                        <w:div w:id="218175555">
                          <w:marLeft w:val="0"/>
                          <w:marRight w:val="0"/>
                          <w:marTop w:val="0"/>
                          <w:marBottom w:val="0"/>
                          <w:divBdr>
                            <w:top w:val="none" w:sz="0" w:space="0" w:color="auto"/>
                            <w:left w:val="none" w:sz="0" w:space="0" w:color="auto"/>
                            <w:bottom w:val="none" w:sz="0" w:space="0" w:color="auto"/>
                            <w:right w:val="none" w:sz="0" w:space="0" w:color="auto"/>
                          </w:divBdr>
                          <w:divsChild>
                            <w:div w:id="91713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91280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306621032">
      <w:bodyDiv w:val="1"/>
      <w:marLeft w:val="0"/>
      <w:marRight w:val="0"/>
      <w:marTop w:val="0"/>
      <w:marBottom w:val="0"/>
      <w:divBdr>
        <w:top w:val="none" w:sz="0" w:space="0" w:color="auto"/>
        <w:left w:val="none" w:sz="0" w:space="0" w:color="auto"/>
        <w:bottom w:val="none" w:sz="0" w:space="0" w:color="auto"/>
        <w:right w:val="none" w:sz="0" w:space="0" w:color="auto"/>
      </w:divBdr>
      <w:divsChild>
        <w:div w:id="1210072724">
          <w:marLeft w:val="0"/>
          <w:marRight w:val="0"/>
          <w:marTop w:val="0"/>
          <w:marBottom w:val="150"/>
          <w:divBdr>
            <w:top w:val="none" w:sz="0" w:space="0" w:color="auto"/>
            <w:left w:val="none" w:sz="0" w:space="0" w:color="auto"/>
            <w:bottom w:val="none" w:sz="0" w:space="0" w:color="auto"/>
            <w:right w:val="none" w:sz="0" w:space="0" w:color="auto"/>
          </w:divBdr>
        </w:div>
        <w:div w:id="1573276619">
          <w:marLeft w:val="0"/>
          <w:marRight w:val="0"/>
          <w:marTop w:val="0"/>
          <w:marBottom w:val="0"/>
          <w:divBdr>
            <w:top w:val="none" w:sz="0" w:space="0" w:color="auto"/>
            <w:left w:val="none" w:sz="0" w:space="0" w:color="auto"/>
            <w:bottom w:val="none" w:sz="0" w:space="0" w:color="auto"/>
            <w:right w:val="none" w:sz="0" w:space="0" w:color="auto"/>
          </w:divBdr>
        </w:div>
      </w:divsChild>
    </w:div>
    <w:div w:id="1306623002">
      <w:bodyDiv w:val="1"/>
      <w:marLeft w:val="0"/>
      <w:marRight w:val="0"/>
      <w:marTop w:val="0"/>
      <w:marBottom w:val="0"/>
      <w:divBdr>
        <w:top w:val="none" w:sz="0" w:space="0" w:color="auto"/>
        <w:left w:val="none" w:sz="0" w:space="0" w:color="auto"/>
        <w:bottom w:val="none" w:sz="0" w:space="0" w:color="auto"/>
        <w:right w:val="none" w:sz="0" w:space="0" w:color="auto"/>
      </w:divBdr>
      <w:divsChild>
        <w:div w:id="449780817">
          <w:marLeft w:val="0"/>
          <w:marRight w:val="0"/>
          <w:marTop w:val="0"/>
          <w:marBottom w:val="150"/>
          <w:divBdr>
            <w:top w:val="none" w:sz="0" w:space="0" w:color="auto"/>
            <w:left w:val="none" w:sz="0" w:space="0" w:color="auto"/>
            <w:bottom w:val="none" w:sz="0" w:space="0" w:color="auto"/>
            <w:right w:val="none" w:sz="0" w:space="0" w:color="auto"/>
          </w:divBdr>
        </w:div>
      </w:divsChild>
    </w:div>
    <w:div w:id="1306623707">
      <w:bodyDiv w:val="1"/>
      <w:marLeft w:val="0"/>
      <w:marRight w:val="0"/>
      <w:marTop w:val="0"/>
      <w:marBottom w:val="0"/>
      <w:divBdr>
        <w:top w:val="none" w:sz="0" w:space="0" w:color="auto"/>
        <w:left w:val="none" w:sz="0" w:space="0" w:color="auto"/>
        <w:bottom w:val="none" w:sz="0" w:space="0" w:color="auto"/>
        <w:right w:val="none" w:sz="0" w:space="0" w:color="auto"/>
      </w:divBdr>
      <w:divsChild>
        <w:div w:id="764419837">
          <w:marLeft w:val="0"/>
          <w:marRight w:val="0"/>
          <w:marTop w:val="0"/>
          <w:marBottom w:val="0"/>
          <w:divBdr>
            <w:top w:val="none" w:sz="0" w:space="0" w:color="auto"/>
            <w:left w:val="none" w:sz="0" w:space="0" w:color="auto"/>
            <w:bottom w:val="none" w:sz="0" w:space="0" w:color="auto"/>
            <w:right w:val="none" w:sz="0" w:space="0" w:color="auto"/>
          </w:divBdr>
          <w:divsChild>
            <w:div w:id="1529758365">
              <w:marLeft w:val="0"/>
              <w:marRight w:val="0"/>
              <w:marTop w:val="0"/>
              <w:marBottom w:val="0"/>
              <w:divBdr>
                <w:top w:val="none" w:sz="0" w:space="0" w:color="auto"/>
                <w:left w:val="none" w:sz="0" w:space="0" w:color="auto"/>
                <w:bottom w:val="none" w:sz="0" w:space="0" w:color="auto"/>
                <w:right w:val="none" w:sz="0" w:space="0" w:color="auto"/>
              </w:divBdr>
            </w:div>
          </w:divsChild>
        </w:div>
        <w:div w:id="1172987351">
          <w:marLeft w:val="0"/>
          <w:marRight w:val="0"/>
          <w:marTop w:val="0"/>
          <w:marBottom w:val="150"/>
          <w:divBdr>
            <w:top w:val="none" w:sz="0" w:space="0" w:color="auto"/>
            <w:left w:val="none" w:sz="0" w:space="0" w:color="auto"/>
            <w:bottom w:val="none" w:sz="0" w:space="0" w:color="auto"/>
            <w:right w:val="none" w:sz="0" w:space="0" w:color="auto"/>
          </w:divBdr>
        </w:div>
        <w:div w:id="1249727722">
          <w:marLeft w:val="0"/>
          <w:marRight w:val="0"/>
          <w:marTop w:val="0"/>
          <w:marBottom w:val="150"/>
          <w:divBdr>
            <w:top w:val="none" w:sz="0" w:space="0" w:color="auto"/>
            <w:left w:val="none" w:sz="0" w:space="0" w:color="auto"/>
            <w:bottom w:val="none" w:sz="0" w:space="0" w:color="auto"/>
            <w:right w:val="none" w:sz="0" w:space="0" w:color="auto"/>
          </w:divBdr>
          <w:divsChild>
            <w:div w:id="208699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664817">
      <w:bodyDiv w:val="1"/>
      <w:marLeft w:val="0"/>
      <w:marRight w:val="0"/>
      <w:marTop w:val="0"/>
      <w:marBottom w:val="0"/>
      <w:divBdr>
        <w:top w:val="none" w:sz="0" w:space="0" w:color="auto"/>
        <w:left w:val="none" w:sz="0" w:space="0" w:color="auto"/>
        <w:bottom w:val="none" w:sz="0" w:space="0" w:color="auto"/>
        <w:right w:val="none" w:sz="0" w:space="0" w:color="auto"/>
      </w:divBdr>
      <w:divsChild>
        <w:div w:id="566571914">
          <w:marLeft w:val="0"/>
          <w:marRight w:val="0"/>
          <w:marTop w:val="0"/>
          <w:marBottom w:val="0"/>
          <w:divBdr>
            <w:top w:val="none" w:sz="0" w:space="0" w:color="auto"/>
            <w:left w:val="none" w:sz="0" w:space="0" w:color="auto"/>
            <w:bottom w:val="dotted" w:sz="6" w:space="4" w:color="DDDDDD"/>
            <w:right w:val="none" w:sz="0" w:space="0" w:color="auto"/>
          </w:divBdr>
        </w:div>
      </w:divsChild>
    </w:div>
    <w:div w:id="1306930325">
      <w:bodyDiv w:val="1"/>
      <w:marLeft w:val="0"/>
      <w:marRight w:val="0"/>
      <w:marTop w:val="0"/>
      <w:marBottom w:val="0"/>
      <w:divBdr>
        <w:top w:val="none" w:sz="0" w:space="0" w:color="auto"/>
        <w:left w:val="none" w:sz="0" w:space="0" w:color="auto"/>
        <w:bottom w:val="none" w:sz="0" w:space="0" w:color="auto"/>
        <w:right w:val="none" w:sz="0" w:space="0" w:color="auto"/>
      </w:divBdr>
    </w:div>
    <w:div w:id="1306936300">
      <w:bodyDiv w:val="1"/>
      <w:marLeft w:val="0"/>
      <w:marRight w:val="0"/>
      <w:marTop w:val="0"/>
      <w:marBottom w:val="0"/>
      <w:divBdr>
        <w:top w:val="none" w:sz="0" w:space="0" w:color="auto"/>
        <w:left w:val="none" w:sz="0" w:space="0" w:color="auto"/>
        <w:bottom w:val="none" w:sz="0" w:space="0" w:color="auto"/>
        <w:right w:val="none" w:sz="0" w:space="0" w:color="auto"/>
      </w:divBdr>
      <w:divsChild>
        <w:div w:id="1311524330">
          <w:marLeft w:val="0"/>
          <w:marRight w:val="0"/>
          <w:marTop w:val="0"/>
          <w:marBottom w:val="0"/>
          <w:divBdr>
            <w:top w:val="none" w:sz="0" w:space="0" w:color="auto"/>
            <w:left w:val="none" w:sz="0" w:space="0" w:color="auto"/>
            <w:bottom w:val="none" w:sz="0" w:space="0" w:color="auto"/>
            <w:right w:val="none" w:sz="0" w:space="0" w:color="auto"/>
          </w:divBdr>
          <w:divsChild>
            <w:div w:id="1039360486">
              <w:marLeft w:val="0"/>
              <w:marRight w:val="0"/>
              <w:marTop w:val="0"/>
              <w:marBottom w:val="0"/>
              <w:divBdr>
                <w:top w:val="none" w:sz="0" w:space="0" w:color="auto"/>
                <w:left w:val="none" w:sz="0" w:space="0" w:color="auto"/>
                <w:bottom w:val="none" w:sz="0" w:space="0" w:color="auto"/>
                <w:right w:val="none" w:sz="0" w:space="0" w:color="auto"/>
              </w:divBdr>
              <w:divsChild>
                <w:div w:id="1562906680">
                  <w:marLeft w:val="0"/>
                  <w:marRight w:val="0"/>
                  <w:marTop w:val="0"/>
                  <w:marBottom w:val="0"/>
                  <w:divBdr>
                    <w:top w:val="none" w:sz="0" w:space="0" w:color="auto"/>
                    <w:left w:val="none" w:sz="0" w:space="0" w:color="auto"/>
                    <w:bottom w:val="none" w:sz="0" w:space="0" w:color="auto"/>
                    <w:right w:val="none" w:sz="0" w:space="0" w:color="auto"/>
                  </w:divBdr>
                  <w:divsChild>
                    <w:div w:id="1159418431">
                      <w:marLeft w:val="0"/>
                      <w:marRight w:val="0"/>
                      <w:marTop w:val="0"/>
                      <w:marBottom w:val="0"/>
                      <w:divBdr>
                        <w:top w:val="none" w:sz="0" w:space="0" w:color="auto"/>
                        <w:left w:val="none" w:sz="0" w:space="0" w:color="auto"/>
                        <w:bottom w:val="none" w:sz="0" w:space="0" w:color="auto"/>
                        <w:right w:val="none" w:sz="0" w:space="0" w:color="auto"/>
                      </w:divBdr>
                      <w:divsChild>
                        <w:div w:id="1867938019">
                          <w:marLeft w:val="0"/>
                          <w:marRight w:val="0"/>
                          <w:marTop w:val="0"/>
                          <w:marBottom w:val="0"/>
                          <w:divBdr>
                            <w:top w:val="none" w:sz="0" w:space="0" w:color="auto"/>
                            <w:left w:val="none" w:sz="0" w:space="0" w:color="auto"/>
                            <w:bottom w:val="none" w:sz="0" w:space="0" w:color="auto"/>
                            <w:right w:val="none" w:sz="0" w:space="0" w:color="auto"/>
                          </w:divBdr>
                          <w:divsChild>
                            <w:div w:id="1412509182">
                              <w:marLeft w:val="0"/>
                              <w:marRight w:val="0"/>
                              <w:marTop w:val="0"/>
                              <w:marBottom w:val="0"/>
                              <w:divBdr>
                                <w:top w:val="none" w:sz="0" w:space="0" w:color="auto"/>
                                <w:left w:val="none" w:sz="0" w:space="0" w:color="auto"/>
                                <w:bottom w:val="none" w:sz="0" w:space="0" w:color="auto"/>
                                <w:right w:val="none" w:sz="0" w:space="0" w:color="auto"/>
                              </w:divBdr>
                              <w:divsChild>
                                <w:div w:id="1815294768">
                                  <w:marLeft w:val="0"/>
                                  <w:marRight w:val="0"/>
                                  <w:marTop w:val="0"/>
                                  <w:marBottom w:val="0"/>
                                  <w:divBdr>
                                    <w:top w:val="none" w:sz="0" w:space="0" w:color="auto"/>
                                    <w:left w:val="none" w:sz="0" w:space="0" w:color="auto"/>
                                    <w:bottom w:val="none" w:sz="0" w:space="0" w:color="auto"/>
                                    <w:right w:val="none" w:sz="0" w:space="0" w:color="auto"/>
                                  </w:divBdr>
                                  <w:divsChild>
                                    <w:div w:id="213675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7204721">
      <w:bodyDiv w:val="1"/>
      <w:marLeft w:val="0"/>
      <w:marRight w:val="0"/>
      <w:marTop w:val="0"/>
      <w:marBottom w:val="0"/>
      <w:divBdr>
        <w:top w:val="none" w:sz="0" w:space="0" w:color="auto"/>
        <w:left w:val="none" w:sz="0" w:space="0" w:color="auto"/>
        <w:bottom w:val="none" w:sz="0" w:space="0" w:color="auto"/>
        <w:right w:val="none" w:sz="0" w:space="0" w:color="auto"/>
      </w:divBdr>
    </w:div>
    <w:div w:id="1307391073">
      <w:bodyDiv w:val="1"/>
      <w:marLeft w:val="0"/>
      <w:marRight w:val="0"/>
      <w:marTop w:val="0"/>
      <w:marBottom w:val="0"/>
      <w:divBdr>
        <w:top w:val="none" w:sz="0" w:space="0" w:color="auto"/>
        <w:left w:val="none" w:sz="0" w:space="0" w:color="auto"/>
        <w:bottom w:val="none" w:sz="0" w:space="0" w:color="auto"/>
        <w:right w:val="none" w:sz="0" w:space="0" w:color="auto"/>
      </w:divBdr>
      <w:divsChild>
        <w:div w:id="300699583">
          <w:marLeft w:val="0"/>
          <w:marRight w:val="0"/>
          <w:marTop w:val="0"/>
          <w:marBottom w:val="0"/>
          <w:divBdr>
            <w:top w:val="none" w:sz="0" w:space="0" w:color="auto"/>
            <w:left w:val="none" w:sz="0" w:space="0" w:color="auto"/>
            <w:bottom w:val="none" w:sz="0" w:space="0" w:color="auto"/>
            <w:right w:val="none" w:sz="0" w:space="0" w:color="auto"/>
          </w:divBdr>
          <w:divsChild>
            <w:div w:id="145047613">
              <w:marLeft w:val="0"/>
              <w:marRight w:val="0"/>
              <w:marTop w:val="0"/>
              <w:marBottom w:val="0"/>
              <w:divBdr>
                <w:top w:val="none" w:sz="0" w:space="0" w:color="auto"/>
                <w:left w:val="none" w:sz="0" w:space="0" w:color="auto"/>
                <w:bottom w:val="none" w:sz="0" w:space="0" w:color="auto"/>
                <w:right w:val="none" w:sz="0" w:space="0" w:color="auto"/>
              </w:divBdr>
            </w:div>
          </w:divsChild>
        </w:div>
        <w:div w:id="889927055">
          <w:marLeft w:val="0"/>
          <w:marRight w:val="0"/>
          <w:marTop w:val="0"/>
          <w:marBottom w:val="0"/>
          <w:divBdr>
            <w:top w:val="none" w:sz="0" w:space="0" w:color="auto"/>
            <w:left w:val="none" w:sz="0" w:space="0" w:color="auto"/>
            <w:bottom w:val="none" w:sz="0" w:space="0" w:color="auto"/>
            <w:right w:val="none" w:sz="0" w:space="0" w:color="auto"/>
          </w:divBdr>
          <w:divsChild>
            <w:div w:id="1198278676">
              <w:marLeft w:val="0"/>
              <w:marRight w:val="0"/>
              <w:marTop w:val="0"/>
              <w:marBottom w:val="0"/>
              <w:divBdr>
                <w:top w:val="none" w:sz="0" w:space="0" w:color="auto"/>
                <w:left w:val="none" w:sz="0" w:space="0" w:color="auto"/>
                <w:bottom w:val="none" w:sz="0" w:space="0" w:color="auto"/>
                <w:right w:val="none" w:sz="0" w:space="0" w:color="auto"/>
              </w:divBdr>
              <w:divsChild>
                <w:div w:id="708841702">
                  <w:marLeft w:val="0"/>
                  <w:marRight w:val="0"/>
                  <w:marTop w:val="0"/>
                  <w:marBottom w:val="0"/>
                  <w:divBdr>
                    <w:top w:val="none" w:sz="0" w:space="0" w:color="auto"/>
                    <w:left w:val="none" w:sz="0" w:space="0" w:color="auto"/>
                    <w:bottom w:val="none" w:sz="0" w:space="0" w:color="auto"/>
                    <w:right w:val="none" w:sz="0" w:space="0" w:color="auto"/>
                  </w:divBdr>
                  <w:divsChild>
                    <w:div w:id="386497684">
                      <w:marLeft w:val="0"/>
                      <w:marRight w:val="0"/>
                      <w:marTop w:val="0"/>
                      <w:marBottom w:val="0"/>
                      <w:divBdr>
                        <w:top w:val="none" w:sz="0" w:space="0" w:color="auto"/>
                        <w:left w:val="none" w:sz="0" w:space="0" w:color="auto"/>
                        <w:bottom w:val="none" w:sz="0" w:space="0" w:color="auto"/>
                        <w:right w:val="none" w:sz="0" w:space="0" w:color="auto"/>
                      </w:divBdr>
                      <w:divsChild>
                        <w:div w:id="1885360591">
                          <w:marLeft w:val="0"/>
                          <w:marRight w:val="0"/>
                          <w:marTop w:val="0"/>
                          <w:marBottom w:val="0"/>
                          <w:divBdr>
                            <w:top w:val="none" w:sz="0" w:space="0" w:color="auto"/>
                            <w:left w:val="none" w:sz="0" w:space="0" w:color="auto"/>
                            <w:bottom w:val="none" w:sz="0" w:space="0" w:color="auto"/>
                            <w:right w:val="none" w:sz="0" w:space="0" w:color="auto"/>
                          </w:divBdr>
                          <w:divsChild>
                            <w:div w:id="133984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573109">
                      <w:marLeft w:val="0"/>
                      <w:marRight w:val="0"/>
                      <w:marTop w:val="0"/>
                      <w:marBottom w:val="300"/>
                      <w:divBdr>
                        <w:top w:val="none" w:sz="0" w:space="0" w:color="auto"/>
                        <w:left w:val="none" w:sz="0" w:space="0" w:color="auto"/>
                        <w:bottom w:val="none" w:sz="0" w:space="0" w:color="auto"/>
                        <w:right w:val="none" w:sz="0" w:space="0" w:color="auto"/>
                      </w:divBdr>
                      <w:divsChild>
                        <w:div w:id="632979139">
                          <w:marLeft w:val="0"/>
                          <w:marRight w:val="0"/>
                          <w:marTop w:val="0"/>
                          <w:marBottom w:val="0"/>
                          <w:divBdr>
                            <w:top w:val="none" w:sz="0" w:space="0" w:color="auto"/>
                            <w:left w:val="none" w:sz="0" w:space="0" w:color="auto"/>
                            <w:bottom w:val="none" w:sz="0" w:space="0" w:color="auto"/>
                            <w:right w:val="none" w:sz="0" w:space="0" w:color="auto"/>
                          </w:divBdr>
                        </w:div>
                      </w:divsChild>
                    </w:div>
                    <w:div w:id="1128428540">
                      <w:marLeft w:val="0"/>
                      <w:marRight w:val="0"/>
                      <w:marTop w:val="0"/>
                      <w:marBottom w:val="0"/>
                      <w:divBdr>
                        <w:top w:val="none" w:sz="0" w:space="0" w:color="auto"/>
                        <w:left w:val="none" w:sz="0" w:space="0" w:color="auto"/>
                        <w:bottom w:val="none" w:sz="0" w:space="0" w:color="auto"/>
                        <w:right w:val="none" w:sz="0" w:space="0" w:color="auto"/>
                      </w:divBdr>
                      <w:divsChild>
                        <w:div w:id="1788356836">
                          <w:marLeft w:val="0"/>
                          <w:marRight w:val="0"/>
                          <w:marTop w:val="0"/>
                          <w:marBottom w:val="0"/>
                          <w:divBdr>
                            <w:top w:val="none" w:sz="0" w:space="0" w:color="auto"/>
                            <w:left w:val="none" w:sz="0" w:space="0" w:color="auto"/>
                            <w:bottom w:val="none" w:sz="0" w:space="0" w:color="auto"/>
                            <w:right w:val="none" w:sz="0" w:space="0" w:color="auto"/>
                          </w:divBdr>
                          <w:divsChild>
                            <w:div w:id="145799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897161">
                      <w:marLeft w:val="0"/>
                      <w:marRight w:val="0"/>
                      <w:marTop w:val="0"/>
                      <w:marBottom w:val="75"/>
                      <w:divBdr>
                        <w:top w:val="none" w:sz="0" w:space="0" w:color="auto"/>
                        <w:left w:val="none" w:sz="0" w:space="0" w:color="auto"/>
                        <w:bottom w:val="none" w:sz="0" w:space="0" w:color="auto"/>
                        <w:right w:val="none" w:sz="0" w:space="0" w:color="auto"/>
                      </w:divBdr>
                    </w:div>
                  </w:divsChild>
                </w:div>
                <w:div w:id="784080747">
                  <w:marLeft w:val="0"/>
                  <w:marRight w:val="0"/>
                  <w:marTop w:val="0"/>
                  <w:marBottom w:val="0"/>
                  <w:divBdr>
                    <w:top w:val="none" w:sz="0" w:space="0" w:color="auto"/>
                    <w:left w:val="none" w:sz="0" w:space="0" w:color="auto"/>
                    <w:bottom w:val="none" w:sz="0" w:space="0" w:color="auto"/>
                    <w:right w:val="none" w:sz="0" w:space="0" w:color="auto"/>
                  </w:divBdr>
                  <w:divsChild>
                    <w:div w:id="529338263">
                      <w:marLeft w:val="0"/>
                      <w:marRight w:val="0"/>
                      <w:marTop w:val="0"/>
                      <w:marBottom w:val="300"/>
                      <w:divBdr>
                        <w:top w:val="none" w:sz="0" w:space="0" w:color="auto"/>
                        <w:left w:val="none" w:sz="0" w:space="0" w:color="auto"/>
                        <w:bottom w:val="none" w:sz="0" w:space="0" w:color="auto"/>
                        <w:right w:val="none" w:sz="0" w:space="0" w:color="auto"/>
                      </w:divBdr>
                      <w:divsChild>
                        <w:div w:id="46298915">
                          <w:marLeft w:val="0"/>
                          <w:marRight w:val="0"/>
                          <w:marTop w:val="0"/>
                          <w:marBottom w:val="0"/>
                          <w:divBdr>
                            <w:top w:val="none" w:sz="0" w:space="0" w:color="auto"/>
                            <w:left w:val="none" w:sz="0" w:space="0" w:color="auto"/>
                            <w:bottom w:val="none" w:sz="0" w:space="0" w:color="auto"/>
                            <w:right w:val="none" w:sz="0" w:space="0" w:color="auto"/>
                          </w:divBdr>
                          <w:divsChild>
                            <w:div w:id="2129204008">
                              <w:marLeft w:val="0"/>
                              <w:marRight w:val="0"/>
                              <w:marTop w:val="0"/>
                              <w:marBottom w:val="0"/>
                              <w:divBdr>
                                <w:top w:val="none" w:sz="0" w:space="0" w:color="auto"/>
                                <w:left w:val="none" w:sz="0" w:space="0" w:color="auto"/>
                                <w:bottom w:val="none" w:sz="0" w:space="0" w:color="auto"/>
                                <w:right w:val="none" w:sz="0" w:space="0" w:color="auto"/>
                              </w:divBdr>
                              <w:divsChild>
                                <w:div w:id="1610115783">
                                  <w:marLeft w:val="0"/>
                                  <w:marRight w:val="0"/>
                                  <w:marTop w:val="0"/>
                                  <w:marBottom w:val="0"/>
                                  <w:divBdr>
                                    <w:top w:val="single" w:sz="2" w:space="0" w:color="DFDFDF"/>
                                    <w:left w:val="single" w:sz="2" w:space="0" w:color="DFDFDF"/>
                                    <w:bottom w:val="single" w:sz="2" w:space="0" w:color="DFDFDF"/>
                                    <w:right w:val="single" w:sz="2" w:space="0" w:color="DFDFDF"/>
                                  </w:divBdr>
                                  <w:divsChild>
                                    <w:div w:id="1925529283">
                                      <w:marLeft w:val="-90"/>
                                      <w:marRight w:val="0"/>
                                      <w:marTop w:val="0"/>
                                      <w:marBottom w:val="0"/>
                                      <w:divBdr>
                                        <w:top w:val="none" w:sz="0" w:space="0" w:color="auto"/>
                                        <w:left w:val="none" w:sz="0" w:space="0" w:color="auto"/>
                                        <w:bottom w:val="none" w:sz="0" w:space="0" w:color="auto"/>
                                        <w:right w:val="none" w:sz="0" w:space="0" w:color="auto"/>
                                      </w:divBdr>
                                      <w:divsChild>
                                        <w:div w:id="1931695893">
                                          <w:marLeft w:val="0"/>
                                          <w:marRight w:val="0"/>
                                          <w:marTop w:val="0"/>
                                          <w:marBottom w:val="45"/>
                                          <w:divBdr>
                                            <w:top w:val="single" w:sz="2" w:space="0" w:color="A9A9A9"/>
                                            <w:left w:val="single" w:sz="2" w:space="0" w:color="A9A9A9"/>
                                            <w:bottom w:val="single" w:sz="2" w:space="0" w:color="A9A9A9"/>
                                            <w:right w:val="single" w:sz="2" w:space="0" w:color="A9A9A9"/>
                                          </w:divBdr>
                                          <w:divsChild>
                                            <w:div w:id="852963221">
                                              <w:marLeft w:val="0"/>
                                              <w:marRight w:val="0"/>
                                              <w:marTop w:val="0"/>
                                              <w:marBottom w:val="0"/>
                                              <w:divBdr>
                                                <w:top w:val="none" w:sz="0" w:space="0" w:color="auto"/>
                                                <w:left w:val="none" w:sz="0" w:space="0" w:color="auto"/>
                                                <w:bottom w:val="none" w:sz="0" w:space="0" w:color="auto"/>
                                                <w:right w:val="none" w:sz="0" w:space="0" w:color="auto"/>
                                              </w:divBdr>
                                              <w:divsChild>
                                                <w:div w:id="1387414187">
                                                  <w:marLeft w:val="92"/>
                                                  <w:marRight w:val="0"/>
                                                  <w:marTop w:val="0"/>
                                                  <w:marBottom w:val="150"/>
                                                  <w:divBdr>
                                                    <w:top w:val="single" w:sz="2" w:space="0" w:color="E4E4E4"/>
                                                    <w:left w:val="single" w:sz="2" w:space="0" w:color="E4E4E4"/>
                                                    <w:bottom w:val="single" w:sz="2" w:space="0" w:color="E4E4E4"/>
                                                    <w:right w:val="single" w:sz="2" w:space="0" w:color="E4E4E4"/>
                                                  </w:divBdr>
                                                </w:div>
                                                <w:div w:id="178765233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27480051">
                          <w:marLeft w:val="0"/>
                          <w:marRight w:val="0"/>
                          <w:marTop w:val="0"/>
                          <w:marBottom w:val="0"/>
                          <w:divBdr>
                            <w:top w:val="none" w:sz="0" w:space="0" w:color="auto"/>
                            <w:left w:val="none" w:sz="0" w:space="0" w:color="auto"/>
                            <w:bottom w:val="none" w:sz="0" w:space="0" w:color="auto"/>
                            <w:right w:val="none" w:sz="0" w:space="0" w:color="auto"/>
                          </w:divBdr>
                          <w:divsChild>
                            <w:div w:id="1922988818">
                              <w:marLeft w:val="0"/>
                              <w:marRight w:val="0"/>
                              <w:marTop w:val="0"/>
                              <w:marBottom w:val="0"/>
                              <w:divBdr>
                                <w:top w:val="none" w:sz="0" w:space="0" w:color="auto"/>
                                <w:left w:val="none" w:sz="0" w:space="0" w:color="auto"/>
                                <w:bottom w:val="none" w:sz="0" w:space="0" w:color="auto"/>
                                <w:right w:val="none" w:sz="0" w:space="0" w:color="auto"/>
                              </w:divBdr>
                              <w:divsChild>
                                <w:div w:id="1550264566">
                                  <w:marLeft w:val="0"/>
                                  <w:marRight w:val="0"/>
                                  <w:marTop w:val="0"/>
                                  <w:marBottom w:val="0"/>
                                  <w:divBdr>
                                    <w:top w:val="single" w:sz="2" w:space="0" w:color="DFDFDF"/>
                                    <w:left w:val="single" w:sz="2" w:space="0" w:color="DFDFDF"/>
                                    <w:bottom w:val="single" w:sz="2" w:space="0" w:color="DFDFDF"/>
                                    <w:right w:val="single" w:sz="2" w:space="0" w:color="DFDFDF"/>
                                  </w:divBdr>
                                  <w:divsChild>
                                    <w:div w:id="76904734">
                                      <w:marLeft w:val="0"/>
                                      <w:marRight w:val="0"/>
                                      <w:marTop w:val="0"/>
                                      <w:marBottom w:val="270"/>
                                      <w:divBdr>
                                        <w:top w:val="none" w:sz="0" w:space="0" w:color="auto"/>
                                        <w:left w:val="none" w:sz="0" w:space="0" w:color="auto"/>
                                        <w:bottom w:val="single" w:sz="12" w:space="5" w:color="DADADA"/>
                                        <w:right w:val="none" w:sz="0" w:space="0" w:color="auto"/>
                                      </w:divBdr>
                                      <w:divsChild>
                                        <w:div w:id="1721323776">
                                          <w:marLeft w:val="0"/>
                                          <w:marRight w:val="0"/>
                                          <w:marTop w:val="0"/>
                                          <w:marBottom w:val="0"/>
                                          <w:divBdr>
                                            <w:top w:val="none" w:sz="0" w:space="0" w:color="auto"/>
                                            <w:left w:val="none" w:sz="0" w:space="0" w:color="auto"/>
                                            <w:bottom w:val="none" w:sz="0" w:space="0" w:color="auto"/>
                                            <w:right w:val="none" w:sz="0" w:space="0" w:color="auto"/>
                                          </w:divBdr>
                                        </w:div>
                                      </w:divsChild>
                                    </w:div>
                                    <w:div w:id="1301106856">
                                      <w:marLeft w:val="-90"/>
                                      <w:marRight w:val="0"/>
                                      <w:marTop w:val="0"/>
                                      <w:marBottom w:val="0"/>
                                      <w:divBdr>
                                        <w:top w:val="none" w:sz="0" w:space="0" w:color="auto"/>
                                        <w:left w:val="none" w:sz="0" w:space="0" w:color="auto"/>
                                        <w:bottom w:val="none" w:sz="0" w:space="0" w:color="auto"/>
                                        <w:right w:val="none" w:sz="0" w:space="0" w:color="auto"/>
                                      </w:divBdr>
                                      <w:divsChild>
                                        <w:div w:id="1893080642">
                                          <w:marLeft w:val="0"/>
                                          <w:marRight w:val="0"/>
                                          <w:marTop w:val="0"/>
                                          <w:marBottom w:val="45"/>
                                          <w:divBdr>
                                            <w:top w:val="single" w:sz="2" w:space="0" w:color="A9A9A9"/>
                                            <w:left w:val="single" w:sz="2" w:space="0" w:color="A9A9A9"/>
                                            <w:bottom w:val="single" w:sz="2" w:space="0" w:color="A9A9A9"/>
                                            <w:right w:val="single" w:sz="2" w:space="0" w:color="A9A9A9"/>
                                          </w:divBdr>
                                          <w:divsChild>
                                            <w:div w:id="1631591789">
                                              <w:marLeft w:val="0"/>
                                              <w:marRight w:val="0"/>
                                              <w:marTop w:val="0"/>
                                              <w:marBottom w:val="0"/>
                                              <w:divBdr>
                                                <w:top w:val="none" w:sz="0" w:space="0" w:color="auto"/>
                                                <w:left w:val="none" w:sz="0" w:space="0" w:color="auto"/>
                                                <w:bottom w:val="none" w:sz="0" w:space="0" w:color="auto"/>
                                                <w:right w:val="none" w:sz="0" w:space="0" w:color="auto"/>
                                              </w:divBdr>
                                              <w:divsChild>
                                                <w:div w:id="11537122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402409537">
                      <w:marLeft w:val="0"/>
                      <w:marRight w:val="0"/>
                      <w:marTop w:val="0"/>
                      <w:marBottom w:val="300"/>
                      <w:divBdr>
                        <w:top w:val="none" w:sz="0" w:space="0" w:color="auto"/>
                        <w:left w:val="none" w:sz="0" w:space="0" w:color="auto"/>
                        <w:bottom w:val="none" w:sz="0" w:space="0" w:color="auto"/>
                        <w:right w:val="none" w:sz="0" w:space="0" w:color="auto"/>
                      </w:divBdr>
                      <w:divsChild>
                        <w:div w:id="1469275431">
                          <w:marLeft w:val="0"/>
                          <w:marRight w:val="0"/>
                          <w:marTop w:val="0"/>
                          <w:marBottom w:val="0"/>
                          <w:divBdr>
                            <w:top w:val="none" w:sz="0" w:space="0" w:color="auto"/>
                            <w:left w:val="none" w:sz="0" w:space="0" w:color="auto"/>
                            <w:bottom w:val="none" w:sz="0" w:space="0" w:color="auto"/>
                            <w:right w:val="none" w:sz="0" w:space="0" w:color="auto"/>
                          </w:divBdr>
                          <w:divsChild>
                            <w:div w:id="1575503435">
                              <w:marLeft w:val="0"/>
                              <w:marRight w:val="0"/>
                              <w:marTop w:val="0"/>
                              <w:marBottom w:val="0"/>
                              <w:divBdr>
                                <w:top w:val="none" w:sz="0" w:space="0" w:color="auto"/>
                                <w:left w:val="none" w:sz="0" w:space="0" w:color="auto"/>
                                <w:bottom w:val="none" w:sz="0" w:space="0" w:color="auto"/>
                                <w:right w:val="none" w:sz="0" w:space="0" w:color="auto"/>
                              </w:divBdr>
                              <w:divsChild>
                                <w:div w:id="687027897">
                                  <w:marLeft w:val="0"/>
                                  <w:marRight w:val="600"/>
                                  <w:marTop w:val="0"/>
                                  <w:marBottom w:val="0"/>
                                  <w:divBdr>
                                    <w:top w:val="none" w:sz="0" w:space="0" w:color="auto"/>
                                    <w:left w:val="none" w:sz="0" w:space="0" w:color="auto"/>
                                    <w:bottom w:val="none" w:sz="0" w:space="0" w:color="auto"/>
                                    <w:right w:val="none" w:sz="0" w:space="0" w:color="auto"/>
                                  </w:divBdr>
                                  <w:divsChild>
                                    <w:div w:id="326636629">
                                      <w:marLeft w:val="0"/>
                                      <w:marRight w:val="0"/>
                                      <w:marTop w:val="0"/>
                                      <w:marBottom w:val="120"/>
                                      <w:divBdr>
                                        <w:top w:val="none" w:sz="0" w:space="0" w:color="auto"/>
                                        <w:left w:val="none" w:sz="0" w:space="0" w:color="auto"/>
                                        <w:bottom w:val="single" w:sz="6" w:space="6" w:color="EEEEEE"/>
                                        <w:right w:val="none" w:sz="0" w:space="0" w:color="auto"/>
                                      </w:divBdr>
                                      <w:divsChild>
                                        <w:div w:id="1578979220">
                                          <w:marLeft w:val="0"/>
                                          <w:marRight w:val="0"/>
                                          <w:marTop w:val="0"/>
                                          <w:marBottom w:val="0"/>
                                          <w:divBdr>
                                            <w:top w:val="none" w:sz="0" w:space="0" w:color="auto"/>
                                            <w:left w:val="none" w:sz="0" w:space="0" w:color="auto"/>
                                            <w:bottom w:val="none" w:sz="0" w:space="0" w:color="auto"/>
                                            <w:right w:val="none" w:sz="0" w:space="0" w:color="auto"/>
                                          </w:divBdr>
                                        </w:div>
                                      </w:divsChild>
                                    </w:div>
                                    <w:div w:id="446580962">
                                      <w:marLeft w:val="0"/>
                                      <w:marRight w:val="0"/>
                                      <w:marTop w:val="0"/>
                                      <w:marBottom w:val="120"/>
                                      <w:divBdr>
                                        <w:top w:val="none" w:sz="0" w:space="0" w:color="auto"/>
                                        <w:left w:val="none" w:sz="0" w:space="0" w:color="auto"/>
                                        <w:bottom w:val="single" w:sz="6" w:space="6" w:color="EEEEEE"/>
                                        <w:right w:val="none" w:sz="0" w:space="0" w:color="auto"/>
                                      </w:divBdr>
                                      <w:divsChild>
                                        <w:div w:id="1531334836">
                                          <w:marLeft w:val="0"/>
                                          <w:marRight w:val="0"/>
                                          <w:marTop w:val="0"/>
                                          <w:marBottom w:val="0"/>
                                          <w:divBdr>
                                            <w:top w:val="none" w:sz="0" w:space="0" w:color="auto"/>
                                            <w:left w:val="none" w:sz="0" w:space="0" w:color="auto"/>
                                            <w:bottom w:val="none" w:sz="0" w:space="0" w:color="auto"/>
                                            <w:right w:val="none" w:sz="0" w:space="0" w:color="auto"/>
                                          </w:divBdr>
                                        </w:div>
                                      </w:divsChild>
                                    </w:div>
                                    <w:div w:id="1231574965">
                                      <w:marLeft w:val="0"/>
                                      <w:marRight w:val="0"/>
                                      <w:marTop w:val="0"/>
                                      <w:marBottom w:val="120"/>
                                      <w:divBdr>
                                        <w:top w:val="none" w:sz="0" w:space="0" w:color="auto"/>
                                        <w:left w:val="none" w:sz="0" w:space="0" w:color="auto"/>
                                        <w:bottom w:val="single" w:sz="6" w:space="6" w:color="EEEEEE"/>
                                        <w:right w:val="none" w:sz="0" w:space="0" w:color="auto"/>
                                      </w:divBdr>
                                      <w:divsChild>
                                        <w:div w:id="695622764">
                                          <w:marLeft w:val="0"/>
                                          <w:marRight w:val="0"/>
                                          <w:marTop w:val="0"/>
                                          <w:marBottom w:val="0"/>
                                          <w:divBdr>
                                            <w:top w:val="none" w:sz="0" w:space="0" w:color="auto"/>
                                            <w:left w:val="none" w:sz="0" w:space="0" w:color="auto"/>
                                            <w:bottom w:val="none" w:sz="0" w:space="0" w:color="auto"/>
                                            <w:right w:val="none" w:sz="0" w:space="0" w:color="auto"/>
                                          </w:divBdr>
                                        </w:div>
                                      </w:divsChild>
                                    </w:div>
                                    <w:div w:id="1628313939">
                                      <w:marLeft w:val="0"/>
                                      <w:marRight w:val="0"/>
                                      <w:marTop w:val="0"/>
                                      <w:marBottom w:val="120"/>
                                      <w:divBdr>
                                        <w:top w:val="none" w:sz="0" w:space="0" w:color="auto"/>
                                        <w:left w:val="none" w:sz="0" w:space="0" w:color="auto"/>
                                        <w:bottom w:val="single" w:sz="6" w:space="6" w:color="EEEEEE"/>
                                        <w:right w:val="none" w:sz="0" w:space="0" w:color="auto"/>
                                      </w:divBdr>
                                      <w:divsChild>
                                        <w:div w:id="510722094">
                                          <w:marLeft w:val="0"/>
                                          <w:marRight w:val="0"/>
                                          <w:marTop w:val="0"/>
                                          <w:marBottom w:val="0"/>
                                          <w:divBdr>
                                            <w:top w:val="none" w:sz="0" w:space="0" w:color="auto"/>
                                            <w:left w:val="none" w:sz="0" w:space="0" w:color="auto"/>
                                            <w:bottom w:val="none" w:sz="0" w:space="0" w:color="auto"/>
                                            <w:right w:val="none" w:sz="0" w:space="0" w:color="auto"/>
                                          </w:divBdr>
                                        </w:div>
                                      </w:divsChild>
                                    </w:div>
                                    <w:div w:id="1996448259">
                                      <w:marLeft w:val="0"/>
                                      <w:marRight w:val="0"/>
                                      <w:marTop w:val="0"/>
                                      <w:marBottom w:val="120"/>
                                      <w:divBdr>
                                        <w:top w:val="none" w:sz="0" w:space="0" w:color="auto"/>
                                        <w:left w:val="none" w:sz="0" w:space="0" w:color="auto"/>
                                        <w:bottom w:val="none" w:sz="0" w:space="0" w:color="auto"/>
                                        <w:right w:val="none" w:sz="0" w:space="0" w:color="auto"/>
                                      </w:divBdr>
                                      <w:divsChild>
                                        <w:div w:id="36583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851264">
                                  <w:marLeft w:val="0"/>
                                  <w:marRight w:val="600"/>
                                  <w:marTop w:val="0"/>
                                  <w:marBottom w:val="0"/>
                                  <w:divBdr>
                                    <w:top w:val="none" w:sz="0" w:space="0" w:color="auto"/>
                                    <w:left w:val="none" w:sz="0" w:space="0" w:color="auto"/>
                                    <w:bottom w:val="none" w:sz="0" w:space="0" w:color="auto"/>
                                    <w:right w:val="none" w:sz="0" w:space="0" w:color="auto"/>
                                  </w:divBdr>
                                  <w:divsChild>
                                    <w:div w:id="423428495">
                                      <w:marLeft w:val="0"/>
                                      <w:marRight w:val="0"/>
                                      <w:marTop w:val="0"/>
                                      <w:marBottom w:val="120"/>
                                      <w:divBdr>
                                        <w:top w:val="none" w:sz="0" w:space="0" w:color="auto"/>
                                        <w:left w:val="none" w:sz="0" w:space="0" w:color="auto"/>
                                        <w:bottom w:val="none" w:sz="0" w:space="0" w:color="auto"/>
                                        <w:right w:val="none" w:sz="0" w:space="0" w:color="auto"/>
                                      </w:divBdr>
                                      <w:divsChild>
                                        <w:div w:id="436413496">
                                          <w:marLeft w:val="0"/>
                                          <w:marRight w:val="0"/>
                                          <w:marTop w:val="0"/>
                                          <w:marBottom w:val="0"/>
                                          <w:divBdr>
                                            <w:top w:val="none" w:sz="0" w:space="0" w:color="auto"/>
                                            <w:left w:val="none" w:sz="0" w:space="0" w:color="auto"/>
                                            <w:bottom w:val="none" w:sz="0" w:space="0" w:color="auto"/>
                                            <w:right w:val="none" w:sz="0" w:space="0" w:color="auto"/>
                                          </w:divBdr>
                                        </w:div>
                                      </w:divsChild>
                                    </w:div>
                                    <w:div w:id="1477257230">
                                      <w:marLeft w:val="0"/>
                                      <w:marRight w:val="0"/>
                                      <w:marTop w:val="0"/>
                                      <w:marBottom w:val="120"/>
                                      <w:divBdr>
                                        <w:top w:val="none" w:sz="0" w:space="0" w:color="auto"/>
                                        <w:left w:val="none" w:sz="0" w:space="0" w:color="auto"/>
                                        <w:bottom w:val="single" w:sz="6" w:space="6" w:color="EEEEEE"/>
                                        <w:right w:val="none" w:sz="0" w:space="0" w:color="auto"/>
                                      </w:divBdr>
                                      <w:divsChild>
                                        <w:div w:id="460736079">
                                          <w:marLeft w:val="0"/>
                                          <w:marRight w:val="0"/>
                                          <w:marTop w:val="0"/>
                                          <w:marBottom w:val="0"/>
                                          <w:divBdr>
                                            <w:top w:val="none" w:sz="0" w:space="0" w:color="auto"/>
                                            <w:left w:val="none" w:sz="0" w:space="0" w:color="auto"/>
                                            <w:bottom w:val="none" w:sz="0" w:space="0" w:color="auto"/>
                                            <w:right w:val="none" w:sz="0" w:space="0" w:color="auto"/>
                                          </w:divBdr>
                                        </w:div>
                                      </w:divsChild>
                                    </w:div>
                                    <w:div w:id="1716732950">
                                      <w:marLeft w:val="0"/>
                                      <w:marRight w:val="0"/>
                                      <w:marTop w:val="0"/>
                                      <w:marBottom w:val="120"/>
                                      <w:divBdr>
                                        <w:top w:val="none" w:sz="0" w:space="0" w:color="auto"/>
                                        <w:left w:val="none" w:sz="0" w:space="0" w:color="auto"/>
                                        <w:bottom w:val="single" w:sz="6" w:space="6" w:color="EEEEEE"/>
                                        <w:right w:val="none" w:sz="0" w:space="0" w:color="auto"/>
                                      </w:divBdr>
                                      <w:divsChild>
                                        <w:div w:id="20055196">
                                          <w:marLeft w:val="0"/>
                                          <w:marRight w:val="0"/>
                                          <w:marTop w:val="0"/>
                                          <w:marBottom w:val="0"/>
                                          <w:divBdr>
                                            <w:top w:val="none" w:sz="0" w:space="0" w:color="auto"/>
                                            <w:left w:val="none" w:sz="0" w:space="0" w:color="auto"/>
                                            <w:bottom w:val="none" w:sz="0" w:space="0" w:color="auto"/>
                                            <w:right w:val="none" w:sz="0" w:space="0" w:color="auto"/>
                                          </w:divBdr>
                                        </w:div>
                                      </w:divsChild>
                                    </w:div>
                                    <w:div w:id="1886135162">
                                      <w:marLeft w:val="0"/>
                                      <w:marRight w:val="0"/>
                                      <w:marTop w:val="0"/>
                                      <w:marBottom w:val="120"/>
                                      <w:divBdr>
                                        <w:top w:val="none" w:sz="0" w:space="0" w:color="auto"/>
                                        <w:left w:val="none" w:sz="0" w:space="0" w:color="auto"/>
                                        <w:bottom w:val="single" w:sz="6" w:space="6" w:color="EEEEEE"/>
                                        <w:right w:val="none" w:sz="0" w:space="0" w:color="auto"/>
                                      </w:divBdr>
                                      <w:divsChild>
                                        <w:div w:id="772283744">
                                          <w:marLeft w:val="0"/>
                                          <w:marRight w:val="0"/>
                                          <w:marTop w:val="0"/>
                                          <w:marBottom w:val="0"/>
                                          <w:divBdr>
                                            <w:top w:val="none" w:sz="0" w:space="0" w:color="auto"/>
                                            <w:left w:val="none" w:sz="0" w:space="0" w:color="auto"/>
                                            <w:bottom w:val="none" w:sz="0" w:space="0" w:color="auto"/>
                                            <w:right w:val="none" w:sz="0" w:space="0" w:color="auto"/>
                                          </w:divBdr>
                                        </w:div>
                                      </w:divsChild>
                                    </w:div>
                                    <w:div w:id="1893299616">
                                      <w:marLeft w:val="0"/>
                                      <w:marRight w:val="0"/>
                                      <w:marTop w:val="0"/>
                                      <w:marBottom w:val="120"/>
                                      <w:divBdr>
                                        <w:top w:val="none" w:sz="0" w:space="0" w:color="auto"/>
                                        <w:left w:val="none" w:sz="0" w:space="0" w:color="auto"/>
                                        <w:bottom w:val="single" w:sz="6" w:space="6" w:color="EEEEEE"/>
                                        <w:right w:val="none" w:sz="0" w:space="0" w:color="auto"/>
                                      </w:divBdr>
                                      <w:divsChild>
                                        <w:div w:id="55397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623868">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sChild>
            </w:div>
          </w:divsChild>
        </w:div>
      </w:divsChild>
    </w:div>
    <w:div w:id="1307465719">
      <w:bodyDiv w:val="1"/>
      <w:marLeft w:val="0"/>
      <w:marRight w:val="0"/>
      <w:marTop w:val="0"/>
      <w:marBottom w:val="0"/>
      <w:divBdr>
        <w:top w:val="none" w:sz="0" w:space="0" w:color="auto"/>
        <w:left w:val="none" w:sz="0" w:space="0" w:color="auto"/>
        <w:bottom w:val="none" w:sz="0" w:space="0" w:color="auto"/>
        <w:right w:val="none" w:sz="0" w:space="0" w:color="auto"/>
      </w:divBdr>
      <w:divsChild>
        <w:div w:id="498349279">
          <w:marLeft w:val="0"/>
          <w:marRight w:val="0"/>
          <w:marTop w:val="150"/>
          <w:marBottom w:val="0"/>
          <w:divBdr>
            <w:top w:val="none" w:sz="0" w:space="0" w:color="auto"/>
            <w:left w:val="none" w:sz="0" w:space="0" w:color="auto"/>
            <w:bottom w:val="none" w:sz="0" w:space="0" w:color="auto"/>
            <w:right w:val="none" w:sz="0" w:space="0" w:color="auto"/>
          </w:divBdr>
          <w:divsChild>
            <w:div w:id="1055466596">
              <w:marLeft w:val="0"/>
              <w:marRight w:val="0"/>
              <w:marTop w:val="0"/>
              <w:marBottom w:val="0"/>
              <w:divBdr>
                <w:top w:val="none" w:sz="0" w:space="0" w:color="auto"/>
                <w:left w:val="none" w:sz="0" w:space="0" w:color="auto"/>
                <w:bottom w:val="single" w:sz="6" w:space="0" w:color="EFEFEF"/>
                <w:right w:val="none" w:sz="0" w:space="0" w:color="auto"/>
              </w:divBdr>
              <w:divsChild>
                <w:div w:id="1343430387">
                  <w:marLeft w:val="0"/>
                  <w:marRight w:val="0"/>
                  <w:marTop w:val="0"/>
                  <w:marBottom w:val="0"/>
                  <w:divBdr>
                    <w:top w:val="none" w:sz="0" w:space="0" w:color="auto"/>
                    <w:left w:val="none" w:sz="0" w:space="0" w:color="auto"/>
                    <w:bottom w:val="none" w:sz="0" w:space="0" w:color="auto"/>
                    <w:right w:val="none" w:sz="0" w:space="0" w:color="auto"/>
                  </w:divBdr>
                </w:div>
                <w:div w:id="137573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461359">
          <w:marLeft w:val="0"/>
          <w:marRight w:val="0"/>
          <w:marTop w:val="300"/>
          <w:marBottom w:val="0"/>
          <w:divBdr>
            <w:top w:val="none" w:sz="0" w:space="0" w:color="auto"/>
            <w:left w:val="none" w:sz="0" w:space="0" w:color="auto"/>
            <w:bottom w:val="none" w:sz="0" w:space="0" w:color="auto"/>
            <w:right w:val="none" w:sz="0" w:space="0" w:color="auto"/>
          </w:divBdr>
          <w:divsChild>
            <w:div w:id="226963895">
              <w:marLeft w:val="0"/>
              <w:marRight w:val="0"/>
              <w:marTop w:val="0"/>
              <w:marBottom w:val="0"/>
              <w:divBdr>
                <w:top w:val="none" w:sz="0" w:space="0" w:color="auto"/>
                <w:left w:val="none" w:sz="0" w:space="0" w:color="auto"/>
                <w:bottom w:val="none" w:sz="0" w:space="0" w:color="auto"/>
                <w:right w:val="none" w:sz="0" w:space="0" w:color="auto"/>
              </w:divBdr>
              <w:divsChild>
                <w:div w:id="1261137104">
                  <w:marLeft w:val="0"/>
                  <w:marRight w:val="0"/>
                  <w:marTop w:val="0"/>
                  <w:marBottom w:val="0"/>
                  <w:divBdr>
                    <w:top w:val="none" w:sz="0" w:space="0" w:color="auto"/>
                    <w:left w:val="none" w:sz="0" w:space="0" w:color="auto"/>
                    <w:bottom w:val="none" w:sz="0" w:space="0" w:color="auto"/>
                    <w:right w:val="none" w:sz="0" w:space="0" w:color="auto"/>
                  </w:divBdr>
                  <w:divsChild>
                    <w:div w:id="1293707452">
                      <w:marLeft w:val="0"/>
                      <w:marRight w:val="0"/>
                      <w:marTop w:val="0"/>
                      <w:marBottom w:val="0"/>
                      <w:divBdr>
                        <w:top w:val="none" w:sz="0" w:space="0" w:color="auto"/>
                        <w:left w:val="none" w:sz="0" w:space="0" w:color="auto"/>
                        <w:bottom w:val="none" w:sz="0" w:space="0" w:color="auto"/>
                        <w:right w:val="none" w:sz="0" w:space="0" w:color="auto"/>
                      </w:divBdr>
                    </w:div>
                  </w:divsChild>
                </w:div>
                <w:div w:id="2121096607">
                  <w:marLeft w:val="0"/>
                  <w:marRight w:val="0"/>
                  <w:marTop w:val="150"/>
                  <w:marBottom w:val="0"/>
                  <w:divBdr>
                    <w:top w:val="none" w:sz="0" w:space="0" w:color="auto"/>
                    <w:left w:val="none" w:sz="0" w:space="0" w:color="auto"/>
                    <w:bottom w:val="none" w:sz="0" w:space="0" w:color="auto"/>
                    <w:right w:val="none" w:sz="0" w:space="0" w:color="auto"/>
                  </w:divBdr>
                  <w:divsChild>
                    <w:div w:id="253981687">
                      <w:marLeft w:val="0"/>
                      <w:marRight w:val="0"/>
                      <w:marTop w:val="0"/>
                      <w:marBottom w:val="0"/>
                      <w:divBdr>
                        <w:top w:val="none" w:sz="0" w:space="0" w:color="auto"/>
                        <w:left w:val="none" w:sz="0" w:space="0" w:color="auto"/>
                        <w:bottom w:val="none" w:sz="0" w:space="0" w:color="auto"/>
                        <w:right w:val="none" w:sz="0" w:space="0" w:color="auto"/>
                      </w:divBdr>
                      <w:divsChild>
                        <w:div w:id="10951390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698985">
              <w:marLeft w:val="-1350"/>
              <w:marRight w:val="0"/>
              <w:marTop w:val="0"/>
              <w:marBottom w:val="0"/>
              <w:divBdr>
                <w:top w:val="none" w:sz="0" w:space="0" w:color="auto"/>
                <w:left w:val="none" w:sz="0" w:space="0" w:color="auto"/>
                <w:bottom w:val="none" w:sz="0" w:space="0" w:color="auto"/>
                <w:right w:val="none" w:sz="0" w:space="0" w:color="auto"/>
              </w:divBdr>
              <w:divsChild>
                <w:div w:id="1392000564">
                  <w:marLeft w:val="0"/>
                  <w:marRight w:val="0"/>
                  <w:marTop w:val="0"/>
                  <w:marBottom w:val="0"/>
                  <w:divBdr>
                    <w:top w:val="none" w:sz="0" w:space="0" w:color="auto"/>
                    <w:left w:val="none" w:sz="0" w:space="0" w:color="auto"/>
                    <w:bottom w:val="none" w:sz="0" w:space="0" w:color="auto"/>
                    <w:right w:val="none" w:sz="0" w:space="0" w:color="auto"/>
                  </w:divBdr>
                  <w:divsChild>
                    <w:div w:id="1065495040">
                      <w:marLeft w:val="0"/>
                      <w:marRight w:val="0"/>
                      <w:marTop w:val="0"/>
                      <w:marBottom w:val="0"/>
                      <w:divBdr>
                        <w:top w:val="none" w:sz="0" w:space="0" w:color="auto"/>
                        <w:left w:val="none" w:sz="0" w:space="0" w:color="auto"/>
                        <w:bottom w:val="none" w:sz="0" w:space="0" w:color="auto"/>
                        <w:right w:val="none" w:sz="0" w:space="0" w:color="auto"/>
                      </w:divBdr>
                      <w:divsChild>
                        <w:div w:id="1088428219">
                          <w:marLeft w:val="0"/>
                          <w:marRight w:val="0"/>
                          <w:marTop w:val="0"/>
                          <w:marBottom w:val="0"/>
                          <w:divBdr>
                            <w:top w:val="single" w:sz="6" w:space="0" w:color="C7C7C7"/>
                            <w:left w:val="single" w:sz="6" w:space="0" w:color="C7C7C7"/>
                            <w:bottom w:val="single" w:sz="6" w:space="0" w:color="C7C7C7"/>
                            <w:right w:val="single" w:sz="6" w:space="0" w:color="C7C7C7"/>
                          </w:divBdr>
                          <w:divsChild>
                            <w:div w:id="1092241342">
                              <w:marLeft w:val="0"/>
                              <w:marRight w:val="0"/>
                              <w:marTop w:val="100"/>
                              <w:marBottom w:val="100"/>
                              <w:divBdr>
                                <w:top w:val="none" w:sz="0" w:space="11" w:color="auto"/>
                                <w:left w:val="none" w:sz="0" w:space="0" w:color="auto"/>
                                <w:bottom w:val="single" w:sz="6" w:space="11" w:color="C7C7C7"/>
                                <w:right w:val="none" w:sz="0" w:space="0" w:color="auto"/>
                              </w:divBdr>
                            </w:div>
                            <w:div w:id="1469468467">
                              <w:marLeft w:val="0"/>
                              <w:marRight w:val="0"/>
                              <w:marTop w:val="100"/>
                              <w:marBottom w:val="100"/>
                              <w:divBdr>
                                <w:top w:val="none" w:sz="0" w:space="11" w:color="auto"/>
                                <w:left w:val="none" w:sz="0" w:space="0" w:color="auto"/>
                                <w:bottom w:val="single" w:sz="6" w:space="11" w:color="C7C7C7"/>
                                <w:right w:val="none" w:sz="0" w:space="0" w:color="auto"/>
                              </w:divBdr>
                            </w:div>
                            <w:div w:id="1807119887">
                              <w:marLeft w:val="0"/>
                              <w:marRight w:val="0"/>
                              <w:marTop w:val="100"/>
                              <w:marBottom w:val="100"/>
                              <w:divBdr>
                                <w:top w:val="none" w:sz="0" w:space="0" w:color="auto"/>
                                <w:left w:val="none" w:sz="0" w:space="0" w:color="auto"/>
                                <w:bottom w:val="none" w:sz="0" w:space="0" w:color="auto"/>
                                <w:right w:val="none" w:sz="0" w:space="0" w:color="auto"/>
                              </w:divBdr>
                            </w:div>
                            <w:div w:id="2045475110">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307903944">
      <w:bodyDiv w:val="1"/>
      <w:marLeft w:val="0"/>
      <w:marRight w:val="0"/>
      <w:marTop w:val="0"/>
      <w:marBottom w:val="0"/>
      <w:divBdr>
        <w:top w:val="none" w:sz="0" w:space="0" w:color="auto"/>
        <w:left w:val="none" w:sz="0" w:space="0" w:color="auto"/>
        <w:bottom w:val="none" w:sz="0" w:space="0" w:color="auto"/>
        <w:right w:val="none" w:sz="0" w:space="0" w:color="auto"/>
      </w:divBdr>
      <w:divsChild>
        <w:div w:id="59985943">
          <w:marLeft w:val="0"/>
          <w:marRight w:val="0"/>
          <w:marTop w:val="0"/>
          <w:marBottom w:val="150"/>
          <w:divBdr>
            <w:top w:val="none" w:sz="0" w:space="0" w:color="auto"/>
            <w:left w:val="none" w:sz="0" w:space="0" w:color="auto"/>
            <w:bottom w:val="none" w:sz="0" w:space="0" w:color="auto"/>
            <w:right w:val="none" w:sz="0" w:space="0" w:color="auto"/>
          </w:divBdr>
          <w:divsChild>
            <w:div w:id="1169950657">
              <w:marLeft w:val="0"/>
              <w:marRight w:val="0"/>
              <w:marTop w:val="0"/>
              <w:marBottom w:val="0"/>
              <w:divBdr>
                <w:top w:val="none" w:sz="0" w:space="0" w:color="auto"/>
                <w:left w:val="none" w:sz="0" w:space="0" w:color="auto"/>
                <w:bottom w:val="none" w:sz="0" w:space="0" w:color="auto"/>
                <w:right w:val="none" w:sz="0" w:space="0" w:color="auto"/>
              </w:divBdr>
              <w:divsChild>
                <w:div w:id="654141055">
                  <w:marLeft w:val="0"/>
                  <w:marRight w:val="0"/>
                  <w:marTop w:val="0"/>
                  <w:marBottom w:val="0"/>
                  <w:divBdr>
                    <w:top w:val="none" w:sz="0" w:space="0" w:color="auto"/>
                    <w:left w:val="none" w:sz="0" w:space="0" w:color="auto"/>
                    <w:bottom w:val="none" w:sz="0" w:space="0" w:color="auto"/>
                    <w:right w:val="none" w:sz="0" w:space="0" w:color="auto"/>
                  </w:divBdr>
                  <w:divsChild>
                    <w:div w:id="37442070">
                      <w:marLeft w:val="0"/>
                      <w:marRight w:val="150"/>
                      <w:marTop w:val="0"/>
                      <w:marBottom w:val="0"/>
                      <w:divBdr>
                        <w:top w:val="none" w:sz="0" w:space="0" w:color="auto"/>
                        <w:left w:val="none" w:sz="0" w:space="0" w:color="auto"/>
                        <w:bottom w:val="none" w:sz="0" w:space="0" w:color="auto"/>
                        <w:right w:val="none" w:sz="0" w:space="0" w:color="auto"/>
                      </w:divBdr>
                      <w:divsChild>
                        <w:div w:id="63768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311486">
          <w:marLeft w:val="0"/>
          <w:marRight w:val="0"/>
          <w:marTop w:val="0"/>
          <w:marBottom w:val="150"/>
          <w:divBdr>
            <w:top w:val="none" w:sz="0" w:space="0" w:color="auto"/>
            <w:left w:val="none" w:sz="0" w:space="0" w:color="auto"/>
            <w:bottom w:val="none" w:sz="0" w:space="0" w:color="auto"/>
            <w:right w:val="none" w:sz="0" w:space="0" w:color="auto"/>
          </w:divBdr>
        </w:div>
        <w:div w:id="1570308211">
          <w:marLeft w:val="0"/>
          <w:marRight w:val="0"/>
          <w:marTop w:val="0"/>
          <w:marBottom w:val="0"/>
          <w:divBdr>
            <w:top w:val="none" w:sz="0" w:space="0" w:color="auto"/>
            <w:left w:val="none" w:sz="0" w:space="0" w:color="auto"/>
            <w:bottom w:val="none" w:sz="0" w:space="0" w:color="auto"/>
            <w:right w:val="none" w:sz="0" w:space="0" w:color="auto"/>
          </w:divBdr>
          <w:divsChild>
            <w:div w:id="121230135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07971311">
      <w:bodyDiv w:val="1"/>
      <w:marLeft w:val="0"/>
      <w:marRight w:val="0"/>
      <w:marTop w:val="0"/>
      <w:marBottom w:val="0"/>
      <w:divBdr>
        <w:top w:val="none" w:sz="0" w:space="0" w:color="auto"/>
        <w:left w:val="none" w:sz="0" w:space="0" w:color="auto"/>
        <w:bottom w:val="none" w:sz="0" w:space="0" w:color="auto"/>
        <w:right w:val="none" w:sz="0" w:space="0" w:color="auto"/>
      </w:divBdr>
      <w:divsChild>
        <w:div w:id="111747436">
          <w:marLeft w:val="0"/>
          <w:marRight w:val="0"/>
          <w:marTop w:val="0"/>
          <w:marBottom w:val="0"/>
          <w:divBdr>
            <w:top w:val="none" w:sz="0" w:space="0" w:color="auto"/>
            <w:left w:val="none" w:sz="0" w:space="0" w:color="auto"/>
            <w:bottom w:val="none" w:sz="0" w:space="0" w:color="auto"/>
            <w:right w:val="none" w:sz="0" w:space="0" w:color="auto"/>
          </w:divBdr>
          <w:divsChild>
            <w:div w:id="916211033">
              <w:marLeft w:val="0"/>
              <w:marRight w:val="0"/>
              <w:marTop w:val="0"/>
              <w:marBottom w:val="0"/>
              <w:divBdr>
                <w:top w:val="none" w:sz="0" w:space="0" w:color="auto"/>
                <w:left w:val="none" w:sz="0" w:space="0" w:color="auto"/>
                <w:bottom w:val="none" w:sz="0" w:space="0" w:color="auto"/>
                <w:right w:val="none" w:sz="0" w:space="0" w:color="auto"/>
              </w:divBdr>
            </w:div>
          </w:divsChild>
        </w:div>
        <w:div w:id="437991506">
          <w:marLeft w:val="0"/>
          <w:marRight w:val="0"/>
          <w:marTop w:val="0"/>
          <w:marBottom w:val="150"/>
          <w:divBdr>
            <w:top w:val="none" w:sz="0" w:space="0" w:color="auto"/>
            <w:left w:val="none" w:sz="0" w:space="0" w:color="auto"/>
            <w:bottom w:val="none" w:sz="0" w:space="0" w:color="auto"/>
            <w:right w:val="none" w:sz="0" w:space="0" w:color="auto"/>
          </w:divBdr>
        </w:div>
        <w:div w:id="1975602302">
          <w:marLeft w:val="0"/>
          <w:marRight w:val="0"/>
          <w:marTop w:val="0"/>
          <w:marBottom w:val="150"/>
          <w:divBdr>
            <w:top w:val="none" w:sz="0" w:space="0" w:color="auto"/>
            <w:left w:val="none" w:sz="0" w:space="0" w:color="auto"/>
            <w:bottom w:val="none" w:sz="0" w:space="0" w:color="auto"/>
            <w:right w:val="none" w:sz="0" w:space="0" w:color="auto"/>
          </w:divBdr>
          <w:divsChild>
            <w:div w:id="76561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77270">
      <w:bodyDiv w:val="1"/>
      <w:marLeft w:val="0"/>
      <w:marRight w:val="0"/>
      <w:marTop w:val="0"/>
      <w:marBottom w:val="0"/>
      <w:divBdr>
        <w:top w:val="none" w:sz="0" w:space="0" w:color="auto"/>
        <w:left w:val="none" w:sz="0" w:space="0" w:color="auto"/>
        <w:bottom w:val="none" w:sz="0" w:space="0" w:color="auto"/>
        <w:right w:val="none" w:sz="0" w:space="0" w:color="auto"/>
      </w:divBdr>
      <w:divsChild>
        <w:div w:id="714739171">
          <w:marLeft w:val="0"/>
          <w:marRight w:val="0"/>
          <w:marTop w:val="0"/>
          <w:marBottom w:val="0"/>
          <w:divBdr>
            <w:top w:val="none" w:sz="0" w:space="0" w:color="auto"/>
            <w:left w:val="none" w:sz="0" w:space="0" w:color="auto"/>
            <w:bottom w:val="none" w:sz="0" w:space="0" w:color="auto"/>
            <w:right w:val="none" w:sz="0" w:space="0" w:color="auto"/>
          </w:divBdr>
        </w:div>
      </w:divsChild>
    </w:div>
    <w:div w:id="1308361460">
      <w:bodyDiv w:val="1"/>
      <w:marLeft w:val="0"/>
      <w:marRight w:val="0"/>
      <w:marTop w:val="0"/>
      <w:marBottom w:val="0"/>
      <w:divBdr>
        <w:top w:val="none" w:sz="0" w:space="0" w:color="auto"/>
        <w:left w:val="none" w:sz="0" w:space="0" w:color="auto"/>
        <w:bottom w:val="none" w:sz="0" w:space="0" w:color="auto"/>
        <w:right w:val="none" w:sz="0" w:space="0" w:color="auto"/>
      </w:divBdr>
    </w:div>
    <w:div w:id="1308558657">
      <w:bodyDiv w:val="1"/>
      <w:marLeft w:val="0"/>
      <w:marRight w:val="0"/>
      <w:marTop w:val="0"/>
      <w:marBottom w:val="0"/>
      <w:divBdr>
        <w:top w:val="none" w:sz="0" w:space="0" w:color="auto"/>
        <w:left w:val="none" w:sz="0" w:space="0" w:color="auto"/>
        <w:bottom w:val="none" w:sz="0" w:space="0" w:color="auto"/>
        <w:right w:val="none" w:sz="0" w:space="0" w:color="auto"/>
      </w:divBdr>
      <w:divsChild>
        <w:div w:id="815029053">
          <w:marLeft w:val="0"/>
          <w:marRight w:val="0"/>
          <w:marTop w:val="0"/>
          <w:marBottom w:val="150"/>
          <w:divBdr>
            <w:top w:val="none" w:sz="0" w:space="0" w:color="auto"/>
            <w:left w:val="none" w:sz="0" w:space="0" w:color="auto"/>
            <w:bottom w:val="none" w:sz="0" w:space="0" w:color="auto"/>
            <w:right w:val="none" w:sz="0" w:space="0" w:color="auto"/>
          </w:divBdr>
        </w:div>
      </w:divsChild>
    </w:div>
    <w:div w:id="1309093803">
      <w:bodyDiv w:val="1"/>
      <w:marLeft w:val="0"/>
      <w:marRight w:val="0"/>
      <w:marTop w:val="0"/>
      <w:marBottom w:val="0"/>
      <w:divBdr>
        <w:top w:val="none" w:sz="0" w:space="0" w:color="auto"/>
        <w:left w:val="none" w:sz="0" w:space="0" w:color="auto"/>
        <w:bottom w:val="none" w:sz="0" w:space="0" w:color="auto"/>
        <w:right w:val="none" w:sz="0" w:space="0" w:color="auto"/>
      </w:divBdr>
      <w:divsChild>
        <w:div w:id="1159616513">
          <w:marLeft w:val="0"/>
          <w:marRight w:val="0"/>
          <w:marTop w:val="0"/>
          <w:marBottom w:val="0"/>
          <w:divBdr>
            <w:top w:val="none" w:sz="0" w:space="0" w:color="auto"/>
            <w:left w:val="none" w:sz="0" w:space="0" w:color="auto"/>
            <w:bottom w:val="none" w:sz="0" w:space="0" w:color="auto"/>
            <w:right w:val="none" w:sz="0" w:space="0" w:color="auto"/>
          </w:divBdr>
          <w:divsChild>
            <w:div w:id="251162620">
              <w:marLeft w:val="0"/>
              <w:marRight w:val="0"/>
              <w:marTop w:val="0"/>
              <w:marBottom w:val="0"/>
              <w:divBdr>
                <w:top w:val="none" w:sz="0" w:space="0" w:color="auto"/>
                <w:left w:val="none" w:sz="0" w:space="0" w:color="auto"/>
                <w:bottom w:val="none" w:sz="0" w:space="0" w:color="auto"/>
                <w:right w:val="none" w:sz="0" w:space="0" w:color="auto"/>
              </w:divBdr>
              <w:divsChild>
                <w:div w:id="1423524936">
                  <w:marLeft w:val="0"/>
                  <w:marRight w:val="0"/>
                  <w:marTop w:val="0"/>
                  <w:marBottom w:val="0"/>
                  <w:divBdr>
                    <w:top w:val="none" w:sz="0" w:space="0" w:color="auto"/>
                    <w:left w:val="none" w:sz="0" w:space="0" w:color="auto"/>
                    <w:bottom w:val="none" w:sz="0" w:space="0" w:color="auto"/>
                    <w:right w:val="none" w:sz="0" w:space="0" w:color="auto"/>
                  </w:divBdr>
                  <w:divsChild>
                    <w:div w:id="1109858101">
                      <w:marLeft w:val="0"/>
                      <w:marRight w:val="0"/>
                      <w:marTop w:val="0"/>
                      <w:marBottom w:val="0"/>
                      <w:divBdr>
                        <w:top w:val="none" w:sz="0" w:space="0" w:color="auto"/>
                        <w:left w:val="none" w:sz="0" w:space="0" w:color="auto"/>
                        <w:bottom w:val="none" w:sz="0" w:space="0" w:color="auto"/>
                        <w:right w:val="none" w:sz="0" w:space="0" w:color="auto"/>
                      </w:divBdr>
                      <w:divsChild>
                        <w:div w:id="1986078337">
                          <w:marLeft w:val="0"/>
                          <w:marRight w:val="0"/>
                          <w:marTop w:val="0"/>
                          <w:marBottom w:val="0"/>
                          <w:divBdr>
                            <w:top w:val="none" w:sz="0" w:space="0" w:color="auto"/>
                            <w:left w:val="none" w:sz="0" w:space="0" w:color="auto"/>
                            <w:bottom w:val="none" w:sz="0" w:space="0" w:color="auto"/>
                            <w:right w:val="none" w:sz="0" w:space="0" w:color="auto"/>
                          </w:divBdr>
                          <w:divsChild>
                            <w:div w:id="81318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169341">
      <w:bodyDiv w:val="1"/>
      <w:marLeft w:val="0"/>
      <w:marRight w:val="0"/>
      <w:marTop w:val="0"/>
      <w:marBottom w:val="0"/>
      <w:divBdr>
        <w:top w:val="none" w:sz="0" w:space="0" w:color="auto"/>
        <w:left w:val="none" w:sz="0" w:space="0" w:color="auto"/>
        <w:bottom w:val="none" w:sz="0" w:space="0" w:color="auto"/>
        <w:right w:val="none" w:sz="0" w:space="0" w:color="auto"/>
      </w:divBdr>
      <w:divsChild>
        <w:div w:id="363018806">
          <w:marLeft w:val="0"/>
          <w:marRight w:val="0"/>
          <w:marTop w:val="0"/>
          <w:marBottom w:val="0"/>
          <w:divBdr>
            <w:top w:val="none" w:sz="0" w:space="0" w:color="auto"/>
            <w:left w:val="none" w:sz="0" w:space="0" w:color="auto"/>
            <w:bottom w:val="none" w:sz="0" w:space="0" w:color="auto"/>
            <w:right w:val="none" w:sz="0" w:space="0" w:color="auto"/>
          </w:divBdr>
          <w:divsChild>
            <w:div w:id="1879732559">
              <w:marLeft w:val="0"/>
              <w:marRight w:val="0"/>
              <w:marTop w:val="0"/>
              <w:marBottom w:val="0"/>
              <w:divBdr>
                <w:top w:val="none" w:sz="0" w:space="0" w:color="auto"/>
                <w:left w:val="none" w:sz="0" w:space="0" w:color="auto"/>
                <w:bottom w:val="none" w:sz="0" w:space="0" w:color="auto"/>
                <w:right w:val="none" w:sz="0" w:space="0" w:color="auto"/>
              </w:divBdr>
              <w:divsChild>
                <w:div w:id="1693259971">
                  <w:marLeft w:val="0"/>
                  <w:marRight w:val="0"/>
                  <w:marTop w:val="0"/>
                  <w:marBottom w:val="0"/>
                  <w:divBdr>
                    <w:top w:val="none" w:sz="0" w:space="0" w:color="auto"/>
                    <w:left w:val="none" w:sz="0" w:space="0" w:color="auto"/>
                    <w:bottom w:val="none" w:sz="0" w:space="0" w:color="auto"/>
                    <w:right w:val="none" w:sz="0" w:space="0" w:color="auto"/>
                  </w:divBdr>
                  <w:divsChild>
                    <w:div w:id="1707219799">
                      <w:marLeft w:val="0"/>
                      <w:marRight w:val="0"/>
                      <w:marTop w:val="0"/>
                      <w:marBottom w:val="0"/>
                      <w:divBdr>
                        <w:top w:val="none" w:sz="0" w:space="0" w:color="auto"/>
                        <w:left w:val="none" w:sz="0" w:space="0" w:color="auto"/>
                        <w:bottom w:val="none" w:sz="0" w:space="0" w:color="auto"/>
                        <w:right w:val="none" w:sz="0" w:space="0" w:color="auto"/>
                      </w:divBdr>
                      <w:divsChild>
                        <w:div w:id="1558281437">
                          <w:marLeft w:val="0"/>
                          <w:marRight w:val="0"/>
                          <w:marTop w:val="0"/>
                          <w:marBottom w:val="0"/>
                          <w:divBdr>
                            <w:top w:val="none" w:sz="0" w:space="0" w:color="auto"/>
                            <w:left w:val="none" w:sz="0" w:space="0" w:color="auto"/>
                            <w:bottom w:val="none" w:sz="0" w:space="0" w:color="auto"/>
                            <w:right w:val="none" w:sz="0" w:space="0" w:color="auto"/>
                          </w:divBdr>
                          <w:divsChild>
                            <w:div w:id="13500929">
                              <w:marLeft w:val="0"/>
                              <w:marRight w:val="0"/>
                              <w:marTop w:val="0"/>
                              <w:marBottom w:val="0"/>
                              <w:divBdr>
                                <w:top w:val="none" w:sz="0" w:space="0" w:color="auto"/>
                                <w:left w:val="none" w:sz="0" w:space="0" w:color="auto"/>
                                <w:bottom w:val="none" w:sz="0" w:space="0" w:color="auto"/>
                                <w:right w:val="none" w:sz="0" w:space="0" w:color="auto"/>
                              </w:divBdr>
                              <w:divsChild>
                                <w:div w:id="1588004684">
                                  <w:marLeft w:val="0"/>
                                  <w:marRight w:val="0"/>
                                  <w:marTop w:val="0"/>
                                  <w:marBottom w:val="0"/>
                                  <w:divBdr>
                                    <w:top w:val="none" w:sz="0" w:space="0" w:color="auto"/>
                                    <w:left w:val="none" w:sz="0" w:space="0" w:color="auto"/>
                                    <w:bottom w:val="none" w:sz="0" w:space="0" w:color="auto"/>
                                    <w:right w:val="none" w:sz="0" w:space="0" w:color="auto"/>
                                  </w:divBdr>
                                  <w:divsChild>
                                    <w:div w:id="1259218238">
                                      <w:marLeft w:val="0"/>
                                      <w:marRight w:val="0"/>
                                      <w:marTop w:val="0"/>
                                      <w:marBottom w:val="0"/>
                                      <w:divBdr>
                                        <w:top w:val="none" w:sz="0" w:space="0" w:color="auto"/>
                                        <w:left w:val="none" w:sz="0" w:space="0" w:color="auto"/>
                                        <w:bottom w:val="none" w:sz="0" w:space="0" w:color="auto"/>
                                        <w:right w:val="none" w:sz="0" w:space="0" w:color="auto"/>
                                      </w:divBdr>
                                      <w:divsChild>
                                        <w:div w:id="218059877">
                                          <w:marLeft w:val="0"/>
                                          <w:marRight w:val="0"/>
                                          <w:marTop w:val="0"/>
                                          <w:marBottom w:val="0"/>
                                          <w:divBdr>
                                            <w:top w:val="none" w:sz="0" w:space="0" w:color="auto"/>
                                            <w:left w:val="none" w:sz="0" w:space="0" w:color="auto"/>
                                            <w:bottom w:val="none" w:sz="0" w:space="0" w:color="auto"/>
                                            <w:right w:val="none" w:sz="0" w:space="0" w:color="auto"/>
                                          </w:divBdr>
                                          <w:divsChild>
                                            <w:div w:id="53257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9627482">
      <w:bodyDiv w:val="1"/>
      <w:marLeft w:val="0"/>
      <w:marRight w:val="0"/>
      <w:marTop w:val="0"/>
      <w:marBottom w:val="0"/>
      <w:divBdr>
        <w:top w:val="none" w:sz="0" w:space="0" w:color="auto"/>
        <w:left w:val="none" w:sz="0" w:space="0" w:color="auto"/>
        <w:bottom w:val="none" w:sz="0" w:space="0" w:color="auto"/>
        <w:right w:val="none" w:sz="0" w:space="0" w:color="auto"/>
      </w:divBdr>
      <w:divsChild>
        <w:div w:id="1834296461">
          <w:marLeft w:val="0"/>
          <w:marRight w:val="0"/>
          <w:marTop w:val="0"/>
          <w:marBottom w:val="0"/>
          <w:divBdr>
            <w:top w:val="none" w:sz="0" w:space="0" w:color="auto"/>
            <w:left w:val="none" w:sz="0" w:space="0" w:color="auto"/>
            <w:bottom w:val="dotted" w:sz="6" w:space="4" w:color="DDDDDD"/>
            <w:right w:val="none" w:sz="0" w:space="0" w:color="auto"/>
          </w:divBdr>
          <w:divsChild>
            <w:div w:id="173862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74596">
      <w:bodyDiv w:val="1"/>
      <w:marLeft w:val="0"/>
      <w:marRight w:val="0"/>
      <w:marTop w:val="0"/>
      <w:marBottom w:val="0"/>
      <w:divBdr>
        <w:top w:val="none" w:sz="0" w:space="0" w:color="auto"/>
        <w:left w:val="none" w:sz="0" w:space="0" w:color="auto"/>
        <w:bottom w:val="none" w:sz="0" w:space="0" w:color="auto"/>
        <w:right w:val="none" w:sz="0" w:space="0" w:color="auto"/>
      </w:divBdr>
      <w:divsChild>
        <w:div w:id="1056589487">
          <w:marLeft w:val="0"/>
          <w:marRight w:val="0"/>
          <w:marTop w:val="0"/>
          <w:marBottom w:val="0"/>
          <w:divBdr>
            <w:top w:val="none" w:sz="0" w:space="0" w:color="auto"/>
            <w:left w:val="none" w:sz="0" w:space="0" w:color="auto"/>
            <w:bottom w:val="dotted" w:sz="6" w:space="4" w:color="DDDDDD"/>
            <w:right w:val="none" w:sz="0" w:space="0" w:color="auto"/>
          </w:divBdr>
          <w:divsChild>
            <w:div w:id="16431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75521">
      <w:bodyDiv w:val="1"/>
      <w:marLeft w:val="0"/>
      <w:marRight w:val="0"/>
      <w:marTop w:val="0"/>
      <w:marBottom w:val="0"/>
      <w:divBdr>
        <w:top w:val="none" w:sz="0" w:space="0" w:color="auto"/>
        <w:left w:val="none" w:sz="0" w:space="0" w:color="auto"/>
        <w:bottom w:val="none" w:sz="0" w:space="0" w:color="auto"/>
        <w:right w:val="none" w:sz="0" w:space="0" w:color="auto"/>
      </w:divBdr>
      <w:divsChild>
        <w:div w:id="97021625">
          <w:marLeft w:val="0"/>
          <w:marRight w:val="0"/>
          <w:marTop w:val="0"/>
          <w:marBottom w:val="0"/>
          <w:divBdr>
            <w:top w:val="none" w:sz="0" w:space="0" w:color="auto"/>
            <w:left w:val="none" w:sz="0" w:space="0" w:color="auto"/>
            <w:bottom w:val="dotted" w:sz="6" w:space="4" w:color="DDDDDD"/>
            <w:right w:val="none" w:sz="0" w:space="0" w:color="auto"/>
          </w:divBdr>
          <w:divsChild>
            <w:div w:id="101164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51911">
      <w:bodyDiv w:val="1"/>
      <w:marLeft w:val="0"/>
      <w:marRight w:val="0"/>
      <w:marTop w:val="0"/>
      <w:marBottom w:val="0"/>
      <w:divBdr>
        <w:top w:val="none" w:sz="0" w:space="0" w:color="auto"/>
        <w:left w:val="none" w:sz="0" w:space="0" w:color="auto"/>
        <w:bottom w:val="none" w:sz="0" w:space="0" w:color="auto"/>
        <w:right w:val="none" w:sz="0" w:space="0" w:color="auto"/>
      </w:divBdr>
      <w:divsChild>
        <w:div w:id="2136947671">
          <w:marLeft w:val="0"/>
          <w:marRight w:val="0"/>
          <w:marTop w:val="0"/>
          <w:marBottom w:val="0"/>
          <w:divBdr>
            <w:top w:val="none" w:sz="0" w:space="0" w:color="auto"/>
            <w:left w:val="none" w:sz="0" w:space="0" w:color="auto"/>
            <w:bottom w:val="dotted" w:sz="6" w:space="4" w:color="DDDDDD"/>
            <w:right w:val="none" w:sz="0" w:space="0" w:color="auto"/>
          </w:divBdr>
          <w:divsChild>
            <w:div w:id="213131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08460">
      <w:bodyDiv w:val="1"/>
      <w:marLeft w:val="0"/>
      <w:marRight w:val="0"/>
      <w:marTop w:val="0"/>
      <w:marBottom w:val="0"/>
      <w:divBdr>
        <w:top w:val="none" w:sz="0" w:space="0" w:color="auto"/>
        <w:left w:val="none" w:sz="0" w:space="0" w:color="auto"/>
        <w:bottom w:val="none" w:sz="0" w:space="0" w:color="auto"/>
        <w:right w:val="none" w:sz="0" w:space="0" w:color="auto"/>
      </w:divBdr>
      <w:divsChild>
        <w:div w:id="711806152">
          <w:marLeft w:val="0"/>
          <w:marRight w:val="0"/>
          <w:marTop w:val="0"/>
          <w:marBottom w:val="0"/>
          <w:divBdr>
            <w:top w:val="none" w:sz="0" w:space="0" w:color="auto"/>
            <w:left w:val="none" w:sz="0" w:space="0" w:color="auto"/>
            <w:bottom w:val="none" w:sz="0" w:space="0" w:color="auto"/>
            <w:right w:val="none" w:sz="0" w:space="0" w:color="auto"/>
          </w:divBdr>
          <w:divsChild>
            <w:div w:id="1454052838">
              <w:marLeft w:val="0"/>
              <w:marRight w:val="0"/>
              <w:marTop w:val="0"/>
              <w:marBottom w:val="300"/>
              <w:divBdr>
                <w:top w:val="none" w:sz="0" w:space="0" w:color="auto"/>
                <w:left w:val="none" w:sz="0" w:space="0" w:color="auto"/>
                <w:bottom w:val="single" w:sz="6" w:space="0" w:color="F1F1F1"/>
                <w:right w:val="none" w:sz="0" w:space="0" w:color="auto"/>
              </w:divBdr>
              <w:divsChild>
                <w:div w:id="8576182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0629506">
          <w:marLeft w:val="0"/>
          <w:marRight w:val="0"/>
          <w:marTop w:val="0"/>
          <w:marBottom w:val="0"/>
          <w:divBdr>
            <w:top w:val="none" w:sz="0" w:space="0" w:color="auto"/>
            <w:left w:val="none" w:sz="0" w:space="0" w:color="auto"/>
            <w:bottom w:val="none" w:sz="0" w:space="0" w:color="auto"/>
            <w:right w:val="none" w:sz="0" w:space="0" w:color="auto"/>
          </w:divBdr>
          <w:divsChild>
            <w:div w:id="853761746">
              <w:marLeft w:val="0"/>
              <w:marRight w:val="0"/>
              <w:marTop w:val="0"/>
              <w:marBottom w:val="0"/>
              <w:divBdr>
                <w:top w:val="none" w:sz="0" w:space="0" w:color="auto"/>
                <w:left w:val="none" w:sz="0" w:space="0" w:color="auto"/>
                <w:bottom w:val="none" w:sz="0" w:space="0" w:color="auto"/>
                <w:right w:val="none" w:sz="0" w:space="0" w:color="auto"/>
              </w:divBdr>
              <w:divsChild>
                <w:div w:id="652367696">
                  <w:marLeft w:val="0"/>
                  <w:marRight w:val="0"/>
                  <w:marTop w:val="0"/>
                  <w:marBottom w:val="0"/>
                  <w:divBdr>
                    <w:top w:val="none" w:sz="0" w:space="0" w:color="auto"/>
                    <w:left w:val="none" w:sz="0" w:space="0" w:color="auto"/>
                    <w:bottom w:val="none" w:sz="0" w:space="0" w:color="auto"/>
                    <w:right w:val="none" w:sz="0" w:space="0" w:color="auto"/>
                  </w:divBdr>
                  <w:divsChild>
                    <w:div w:id="41365158">
                      <w:marLeft w:val="0"/>
                      <w:marRight w:val="0"/>
                      <w:marTop w:val="0"/>
                      <w:marBottom w:val="0"/>
                      <w:divBdr>
                        <w:top w:val="none" w:sz="0" w:space="0" w:color="auto"/>
                        <w:left w:val="none" w:sz="0" w:space="0" w:color="auto"/>
                        <w:bottom w:val="none" w:sz="0" w:space="0" w:color="auto"/>
                        <w:right w:val="none" w:sz="0" w:space="0" w:color="auto"/>
                      </w:divBdr>
                    </w:div>
                    <w:div w:id="896861488">
                      <w:marLeft w:val="0"/>
                      <w:marRight w:val="0"/>
                      <w:marTop w:val="0"/>
                      <w:marBottom w:val="300"/>
                      <w:divBdr>
                        <w:top w:val="none" w:sz="0" w:space="0" w:color="auto"/>
                        <w:left w:val="none" w:sz="0" w:space="0" w:color="auto"/>
                        <w:bottom w:val="none" w:sz="0" w:space="0" w:color="auto"/>
                        <w:right w:val="none" w:sz="0" w:space="0" w:color="auto"/>
                      </w:divBdr>
                      <w:divsChild>
                        <w:div w:id="21976969">
                          <w:marLeft w:val="0"/>
                          <w:marRight w:val="0"/>
                          <w:marTop w:val="0"/>
                          <w:marBottom w:val="0"/>
                          <w:divBdr>
                            <w:top w:val="none" w:sz="0" w:space="0" w:color="auto"/>
                            <w:left w:val="none" w:sz="0" w:space="0" w:color="auto"/>
                            <w:bottom w:val="none" w:sz="0" w:space="0" w:color="auto"/>
                            <w:right w:val="none" w:sz="0" w:space="0" w:color="auto"/>
                          </w:divBdr>
                        </w:div>
                      </w:divsChild>
                    </w:div>
                    <w:div w:id="1258826391">
                      <w:marLeft w:val="0"/>
                      <w:marRight w:val="0"/>
                      <w:marTop w:val="0"/>
                      <w:marBottom w:val="0"/>
                      <w:divBdr>
                        <w:top w:val="none" w:sz="0" w:space="0" w:color="auto"/>
                        <w:left w:val="none" w:sz="0" w:space="0" w:color="auto"/>
                        <w:bottom w:val="none" w:sz="0" w:space="0" w:color="auto"/>
                        <w:right w:val="none" w:sz="0" w:space="0" w:color="auto"/>
                      </w:divBdr>
                      <w:divsChild>
                        <w:div w:id="1914118505">
                          <w:marLeft w:val="0"/>
                          <w:marRight w:val="0"/>
                          <w:marTop w:val="0"/>
                          <w:marBottom w:val="0"/>
                          <w:divBdr>
                            <w:top w:val="none" w:sz="0" w:space="0" w:color="auto"/>
                            <w:left w:val="none" w:sz="0" w:space="0" w:color="auto"/>
                            <w:bottom w:val="none" w:sz="0" w:space="0" w:color="auto"/>
                            <w:right w:val="none" w:sz="0" w:space="0" w:color="auto"/>
                          </w:divBdr>
                          <w:divsChild>
                            <w:div w:id="85905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72238">
                      <w:marLeft w:val="0"/>
                      <w:marRight w:val="0"/>
                      <w:marTop w:val="0"/>
                      <w:marBottom w:val="75"/>
                      <w:divBdr>
                        <w:top w:val="none" w:sz="0" w:space="0" w:color="auto"/>
                        <w:left w:val="none" w:sz="0" w:space="0" w:color="auto"/>
                        <w:bottom w:val="none" w:sz="0" w:space="0" w:color="auto"/>
                        <w:right w:val="none" w:sz="0" w:space="0" w:color="auto"/>
                      </w:divBdr>
                    </w:div>
                  </w:divsChild>
                </w:div>
                <w:div w:id="1628773693">
                  <w:marLeft w:val="300"/>
                  <w:marRight w:val="0"/>
                  <w:marTop w:val="0"/>
                  <w:marBottom w:val="0"/>
                  <w:divBdr>
                    <w:top w:val="none" w:sz="0" w:space="0" w:color="auto"/>
                    <w:left w:val="none" w:sz="0" w:space="0" w:color="auto"/>
                    <w:bottom w:val="none" w:sz="0" w:space="0" w:color="auto"/>
                    <w:right w:val="none" w:sz="0" w:space="0" w:color="auto"/>
                  </w:divBdr>
                  <w:divsChild>
                    <w:div w:id="1281452329">
                      <w:marLeft w:val="0"/>
                      <w:marRight w:val="0"/>
                      <w:marTop w:val="0"/>
                      <w:marBottom w:val="300"/>
                      <w:divBdr>
                        <w:top w:val="none" w:sz="0" w:space="0" w:color="auto"/>
                        <w:left w:val="none" w:sz="0" w:space="0" w:color="auto"/>
                        <w:bottom w:val="none" w:sz="0" w:space="0" w:color="auto"/>
                        <w:right w:val="none" w:sz="0" w:space="0" w:color="auto"/>
                      </w:divBdr>
                      <w:divsChild>
                        <w:div w:id="133840896">
                          <w:marLeft w:val="0"/>
                          <w:marRight w:val="0"/>
                          <w:marTop w:val="0"/>
                          <w:marBottom w:val="0"/>
                          <w:divBdr>
                            <w:top w:val="none" w:sz="0" w:space="0" w:color="auto"/>
                            <w:left w:val="none" w:sz="0" w:space="0" w:color="auto"/>
                            <w:bottom w:val="none" w:sz="0" w:space="0" w:color="auto"/>
                            <w:right w:val="none" w:sz="0" w:space="0" w:color="auto"/>
                          </w:divBdr>
                          <w:divsChild>
                            <w:div w:id="58284449">
                              <w:marLeft w:val="0"/>
                              <w:marRight w:val="0"/>
                              <w:marTop w:val="0"/>
                              <w:marBottom w:val="0"/>
                              <w:divBdr>
                                <w:top w:val="none" w:sz="0" w:space="0" w:color="auto"/>
                                <w:left w:val="none" w:sz="0" w:space="0" w:color="auto"/>
                                <w:bottom w:val="none" w:sz="0" w:space="0" w:color="auto"/>
                                <w:right w:val="none" w:sz="0" w:space="0" w:color="auto"/>
                              </w:divBdr>
                              <w:divsChild>
                                <w:div w:id="1800952555">
                                  <w:marLeft w:val="0"/>
                                  <w:marRight w:val="0"/>
                                  <w:marTop w:val="0"/>
                                  <w:marBottom w:val="0"/>
                                  <w:divBdr>
                                    <w:top w:val="single" w:sz="2" w:space="0" w:color="DFDFDF"/>
                                    <w:left w:val="single" w:sz="2" w:space="0" w:color="DFDFDF"/>
                                    <w:bottom w:val="single" w:sz="2" w:space="0" w:color="DFDFDF"/>
                                    <w:right w:val="single" w:sz="2" w:space="0" w:color="DFDFDF"/>
                                  </w:divBdr>
                                  <w:divsChild>
                                    <w:div w:id="166098048">
                                      <w:marLeft w:val="-90"/>
                                      <w:marRight w:val="0"/>
                                      <w:marTop w:val="0"/>
                                      <w:marBottom w:val="0"/>
                                      <w:divBdr>
                                        <w:top w:val="none" w:sz="0" w:space="0" w:color="auto"/>
                                        <w:left w:val="none" w:sz="0" w:space="0" w:color="auto"/>
                                        <w:bottom w:val="none" w:sz="0" w:space="0" w:color="auto"/>
                                        <w:right w:val="none" w:sz="0" w:space="0" w:color="auto"/>
                                      </w:divBdr>
                                      <w:divsChild>
                                        <w:div w:id="1392731557">
                                          <w:marLeft w:val="0"/>
                                          <w:marRight w:val="0"/>
                                          <w:marTop w:val="0"/>
                                          <w:marBottom w:val="45"/>
                                          <w:divBdr>
                                            <w:top w:val="single" w:sz="2" w:space="0" w:color="A9A9A9"/>
                                            <w:left w:val="single" w:sz="2" w:space="0" w:color="A9A9A9"/>
                                            <w:bottom w:val="single" w:sz="2" w:space="0" w:color="A9A9A9"/>
                                            <w:right w:val="single" w:sz="2" w:space="0" w:color="A9A9A9"/>
                                          </w:divBdr>
                                          <w:divsChild>
                                            <w:div w:id="1165979194">
                                              <w:marLeft w:val="0"/>
                                              <w:marRight w:val="0"/>
                                              <w:marTop w:val="0"/>
                                              <w:marBottom w:val="0"/>
                                              <w:divBdr>
                                                <w:top w:val="none" w:sz="0" w:space="0" w:color="auto"/>
                                                <w:left w:val="none" w:sz="0" w:space="0" w:color="auto"/>
                                                <w:bottom w:val="none" w:sz="0" w:space="0" w:color="auto"/>
                                                <w:right w:val="none" w:sz="0" w:space="0" w:color="auto"/>
                                              </w:divBdr>
                                              <w:divsChild>
                                                <w:div w:id="123963633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987244573">
                                      <w:marLeft w:val="0"/>
                                      <w:marRight w:val="0"/>
                                      <w:marTop w:val="0"/>
                                      <w:marBottom w:val="270"/>
                                      <w:divBdr>
                                        <w:top w:val="none" w:sz="0" w:space="0" w:color="auto"/>
                                        <w:left w:val="none" w:sz="0" w:space="0" w:color="auto"/>
                                        <w:bottom w:val="single" w:sz="12" w:space="5" w:color="DADADA"/>
                                        <w:right w:val="none" w:sz="0" w:space="0" w:color="auto"/>
                                      </w:divBdr>
                                      <w:divsChild>
                                        <w:div w:id="97806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824395">
                          <w:marLeft w:val="0"/>
                          <w:marRight w:val="0"/>
                          <w:marTop w:val="0"/>
                          <w:marBottom w:val="0"/>
                          <w:divBdr>
                            <w:top w:val="none" w:sz="0" w:space="0" w:color="auto"/>
                            <w:left w:val="none" w:sz="0" w:space="0" w:color="auto"/>
                            <w:bottom w:val="none" w:sz="0" w:space="0" w:color="auto"/>
                            <w:right w:val="none" w:sz="0" w:space="0" w:color="auto"/>
                          </w:divBdr>
                          <w:divsChild>
                            <w:div w:id="2109812477">
                              <w:marLeft w:val="0"/>
                              <w:marRight w:val="0"/>
                              <w:marTop w:val="0"/>
                              <w:marBottom w:val="0"/>
                              <w:divBdr>
                                <w:top w:val="none" w:sz="0" w:space="0" w:color="auto"/>
                                <w:left w:val="none" w:sz="0" w:space="0" w:color="auto"/>
                                <w:bottom w:val="none" w:sz="0" w:space="0" w:color="auto"/>
                                <w:right w:val="none" w:sz="0" w:space="0" w:color="auto"/>
                              </w:divBdr>
                              <w:divsChild>
                                <w:div w:id="929267534">
                                  <w:marLeft w:val="0"/>
                                  <w:marRight w:val="0"/>
                                  <w:marTop w:val="0"/>
                                  <w:marBottom w:val="0"/>
                                  <w:divBdr>
                                    <w:top w:val="single" w:sz="2" w:space="0" w:color="DFDFDF"/>
                                    <w:left w:val="single" w:sz="2" w:space="0" w:color="DFDFDF"/>
                                    <w:bottom w:val="single" w:sz="2" w:space="0" w:color="DFDFDF"/>
                                    <w:right w:val="single" w:sz="2" w:space="0" w:color="DFDFDF"/>
                                  </w:divBdr>
                                  <w:divsChild>
                                    <w:div w:id="1447428137">
                                      <w:marLeft w:val="-90"/>
                                      <w:marRight w:val="0"/>
                                      <w:marTop w:val="0"/>
                                      <w:marBottom w:val="0"/>
                                      <w:divBdr>
                                        <w:top w:val="none" w:sz="0" w:space="0" w:color="auto"/>
                                        <w:left w:val="none" w:sz="0" w:space="0" w:color="auto"/>
                                        <w:bottom w:val="none" w:sz="0" w:space="0" w:color="auto"/>
                                        <w:right w:val="none" w:sz="0" w:space="0" w:color="auto"/>
                                      </w:divBdr>
                                      <w:divsChild>
                                        <w:div w:id="1365249354">
                                          <w:marLeft w:val="0"/>
                                          <w:marRight w:val="0"/>
                                          <w:marTop w:val="0"/>
                                          <w:marBottom w:val="45"/>
                                          <w:divBdr>
                                            <w:top w:val="single" w:sz="2" w:space="0" w:color="A9A9A9"/>
                                            <w:left w:val="single" w:sz="2" w:space="0" w:color="A9A9A9"/>
                                            <w:bottom w:val="single" w:sz="2" w:space="0" w:color="A9A9A9"/>
                                            <w:right w:val="single" w:sz="2" w:space="0" w:color="A9A9A9"/>
                                          </w:divBdr>
                                          <w:divsChild>
                                            <w:div w:id="1243950052">
                                              <w:marLeft w:val="0"/>
                                              <w:marRight w:val="0"/>
                                              <w:marTop w:val="0"/>
                                              <w:marBottom w:val="0"/>
                                              <w:divBdr>
                                                <w:top w:val="none" w:sz="0" w:space="0" w:color="auto"/>
                                                <w:left w:val="none" w:sz="0" w:space="0" w:color="auto"/>
                                                <w:bottom w:val="none" w:sz="0" w:space="0" w:color="auto"/>
                                                <w:right w:val="none" w:sz="0" w:space="0" w:color="auto"/>
                                              </w:divBdr>
                                              <w:divsChild>
                                                <w:div w:id="667907482">
                                                  <w:marLeft w:val="92"/>
                                                  <w:marRight w:val="0"/>
                                                  <w:marTop w:val="0"/>
                                                  <w:marBottom w:val="150"/>
                                                  <w:divBdr>
                                                    <w:top w:val="single" w:sz="2" w:space="0" w:color="E4E4E4"/>
                                                    <w:left w:val="single" w:sz="2" w:space="0" w:color="E4E4E4"/>
                                                    <w:bottom w:val="single" w:sz="2" w:space="0" w:color="E4E4E4"/>
                                                    <w:right w:val="single" w:sz="2" w:space="0" w:color="E4E4E4"/>
                                                  </w:divBdr>
                                                </w:div>
                                                <w:div w:id="1282107948">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sChild>
    </w:div>
    <w:div w:id="1310474810">
      <w:bodyDiv w:val="1"/>
      <w:marLeft w:val="0"/>
      <w:marRight w:val="0"/>
      <w:marTop w:val="0"/>
      <w:marBottom w:val="0"/>
      <w:divBdr>
        <w:top w:val="none" w:sz="0" w:space="0" w:color="auto"/>
        <w:left w:val="none" w:sz="0" w:space="0" w:color="auto"/>
        <w:bottom w:val="none" w:sz="0" w:space="0" w:color="auto"/>
        <w:right w:val="none" w:sz="0" w:space="0" w:color="auto"/>
      </w:divBdr>
    </w:div>
    <w:div w:id="1310864314">
      <w:bodyDiv w:val="1"/>
      <w:marLeft w:val="0"/>
      <w:marRight w:val="0"/>
      <w:marTop w:val="0"/>
      <w:marBottom w:val="0"/>
      <w:divBdr>
        <w:top w:val="none" w:sz="0" w:space="0" w:color="auto"/>
        <w:left w:val="none" w:sz="0" w:space="0" w:color="auto"/>
        <w:bottom w:val="none" w:sz="0" w:space="0" w:color="auto"/>
        <w:right w:val="none" w:sz="0" w:space="0" w:color="auto"/>
      </w:divBdr>
    </w:div>
    <w:div w:id="1310935771">
      <w:bodyDiv w:val="1"/>
      <w:marLeft w:val="0"/>
      <w:marRight w:val="0"/>
      <w:marTop w:val="0"/>
      <w:marBottom w:val="0"/>
      <w:divBdr>
        <w:top w:val="none" w:sz="0" w:space="0" w:color="auto"/>
        <w:left w:val="none" w:sz="0" w:space="0" w:color="auto"/>
        <w:bottom w:val="none" w:sz="0" w:space="0" w:color="auto"/>
        <w:right w:val="none" w:sz="0" w:space="0" w:color="auto"/>
      </w:divBdr>
    </w:div>
    <w:div w:id="1311135764">
      <w:bodyDiv w:val="1"/>
      <w:marLeft w:val="0"/>
      <w:marRight w:val="0"/>
      <w:marTop w:val="0"/>
      <w:marBottom w:val="0"/>
      <w:divBdr>
        <w:top w:val="none" w:sz="0" w:space="0" w:color="auto"/>
        <w:left w:val="none" w:sz="0" w:space="0" w:color="auto"/>
        <w:bottom w:val="none" w:sz="0" w:space="0" w:color="auto"/>
        <w:right w:val="none" w:sz="0" w:space="0" w:color="auto"/>
      </w:divBdr>
      <w:divsChild>
        <w:div w:id="185758817">
          <w:marLeft w:val="0"/>
          <w:marRight w:val="0"/>
          <w:marTop w:val="0"/>
          <w:marBottom w:val="225"/>
          <w:divBdr>
            <w:top w:val="none" w:sz="0" w:space="0" w:color="auto"/>
            <w:left w:val="none" w:sz="0" w:space="0" w:color="auto"/>
            <w:bottom w:val="single" w:sz="6" w:space="0" w:color="CCCCCC"/>
            <w:right w:val="none" w:sz="0" w:space="0" w:color="auto"/>
          </w:divBdr>
        </w:div>
        <w:div w:id="1429502276">
          <w:marLeft w:val="0"/>
          <w:marRight w:val="0"/>
          <w:marTop w:val="0"/>
          <w:marBottom w:val="0"/>
          <w:divBdr>
            <w:top w:val="none" w:sz="0" w:space="0" w:color="auto"/>
            <w:left w:val="none" w:sz="0" w:space="0" w:color="auto"/>
            <w:bottom w:val="none" w:sz="0" w:space="0" w:color="auto"/>
            <w:right w:val="none" w:sz="0" w:space="0" w:color="auto"/>
          </w:divBdr>
          <w:divsChild>
            <w:div w:id="1154099545">
              <w:marLeft w:val="0"/>
              <w:marRight w:val="0"/>
              <w:marTop w:val="0"/>
              <w:marBottom w:val="225"/>
              <w:divBdr>
                <w:top w:val="none" w:sz="0" w:space="0" w:color="auto"/>
                <w:left w:val="none" w:sz="0" w:space="0" w:color="auto"/>
                <w:bottom w:val="none" w:sz="0" w:space="0" w:color="auto"/>
                <w:right w:val="none" w:sz="0" w:space="0" w:color="auto"/>
              </w:divBdr>
              <w:divsChild>
                <w:div w:id="2006977922">
                  <w:marLeft w:val="0"/>
                  <w:marRight w:val="0"/>
                  <w:marTop w:val="0"/>
                  <w:marBottom w:val="0"/>
                  <w:divBdr>
                    <w:top w:val="none" w:sz="0" w:space="0" w:color="auto"/>
                    <w:left w:val="none" w:sz="0" w:space="0" w:color="auto"/>
                    <w:bottom w:val="none" w:sz="0" w:space="0" w:color="auto"/>
                    <w:right w:val="none" w:sz="0" w:space="0" w:color="auto"/>
                  </w:divBdr>
                  <w:divsChild>
                    <w:div w:id="46288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96430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11592497">
      <w:bodyDiv w:val="1"/>
      <w:marLeft w:val="0"/>
      <w:marRight w:val="0"/>
      <w:marTop w:val="0"/>
      <w:marBottom w:val="0"/>
      <w:divBdr>
        <w:top w:val="none" w:sz="0" w:space="0" w:color="auto"/>
        <w:left w:val="none" w:sz="0" w:space="0" w:color="auto"/>
        <w:bottom w:val="none" w:sz="0" w:space="0" w:color="auto"/>
        <w:right w:val="none" w:sz="0" w:space="0" w:color="auto"/>
      </w:divBdr>
      <w:divsChild>
        <w:div w:id="797182322">
          <w:marLeft w:val="0"/>
          <w:marRight w:val="0"/>
          <w:marTop w:val="0"/>
          <w:marBottom w:val="180"/>
          <w:divBdr>
            <w:top w:val="none" w:sz="0" w:space="0" w:color="auto"/>
            <w:left w:val="none" w:sz="0" w:space="0" w:color="auto"/>
            <w:bottom w:val="none" w:sz="0" w:space="0" w:color="auto"/>
            <w:right w:val="none" w:sz="0" w:space="0" w:color="auto"/>
          </w:divBdr>
        </w:div>
        <w:div w:id="1890149248">
          <w:marLeft w:val="0"/>
          <w:marRight w:val="0"/>
          <w:marTop w:val="0"/>
          <w:marBottom w:val="180"/>
          <w:divBdr>
            <w:top w:val="none" w:sz="0" w:space="0" w:color="auto"/>
            <w:left w:val="none" w:sz="0" w:space="0" w:color="auto"/>
            <w:bottom w:val="none" w:sz="0" w:space="0" w:color="auto"/>
            <w:right w:val="none" w:sz="0" w:space="0" w:color="auto"/>
          </w:divBdr>
        </w:div>
      </w:divsChild>
    </w:div>
    <w:div w:id="1312098806">
      <w:bodyDiv w:val="1"/>
      <w:marLeft w:val="0"/>
      <w:marRight w:val="0"/>
      <w:marTop w:val="0"/>
      <w:marBottom w:val="0"/>
      <w:divBdr>
        <w:top w:val="none" w:sz="0" w:space="0" w:color="auto"/>
        <w:left w:val="none" w:sz="0" w:space="0" w:color="auto"/>
        <w:bottom w:val="none" w:sz="0" w:space="0" w:color="auto"/>
        <w:right w:val="none" w:sz="0" w:space="0" w:color="auto"/>
      </w:divBdr>
      <w:divsChild>
        <w:div w:id="1801874255">
          <w:marLeft w:val="0"/>
          <w:marRight w:val="0"/>
          <w:marTop w:val="0"/>
          <w:marBottom w:val="0"/>
          <w:divBdr>
            <w:top w:val="none" w:sz="0" w:space="0" w:color="auto"/>
            <w:left w:val="none" w:sz="0" w:space="0" w:color="auto"/>
            <w:bottom w:val="dotted" w:sz="6" w:space="4" w:color="DDDDDD"/>
            <w:right w:val="none" w:sz="0" w:space="0" w:color="auto"/>
          </w:divBdr>
        </w:div>
      </w:divsChild>
    </w:div>
    <w:div w:id="1312368153">
      <w:bodyDiv w:val="1"/>
      <w:marLeft w:val="0"/>
      <w:marRight w:val="0"/>
      <w:marTop w:val="0"/>
      <w:marBottom w:val="0"/>
      <w:divBdr>
        <w:top w:val="none" w:sz="0" w:space="0" w:color="auto"/>
        <w:left w:val="none" w:sz="0" w:space="0" w:color="auto"/>
        <w:bottom w:val="none" w:sz="0" w:space="0" w:color="auto"/>
        <w:right w:val="none" w:sz="0" w:space="0" w:color="auto"/>
      </w:divBdr>
      <w:divsChild>
        <w:div w:id="1705136416">
          <w:marLeft w:val="0"/>
          <w:marRight w:val="0"/>
          <w:marTop w:val="0"/>
          <w:marBottom w:val="0"/>
          <w:divBdr>
            <w:top w:val="none" w:sz="0" w:space="0" w:color="auto"/>
            <w:left w:val="none" w:sz="0" w:space="0" w:color="auto"/>
            <w:bottom w:val="none" w:sz="0" w:space="0" w:color="auto"/>
            <w:right w:val="none" w:sz="0" w:space="0" w:color="auto"/>
          </w:divBdr>
        </w:div>
      </w:divsChild>
    </w:div>
    <w:div w:id="1312828170">
      <w:bodyDiv w:val="1"/>
      <w:marLeft w:val="0"/>
      <w:marRight w:val="0"/>
      <w:marTop w:val="0"/>
      <w:marBottom w:val="0"/>
      <w:divBdr>
        <w:top w:val="none" w:sz="0" w:space="0" w:color="auto"/>
        <w:left w:val="none" w:sz="0" w:space="0" w:color="auto"/>
        <w:bottom w:val="none" w:sz="0" w:space="0" w:color="auto"/>
        <w:right w:val="none" w:sz="0" w:space="0" w:color="auto"/>
      </w:divBdr>
      <w:divsChild>
        <w:div w:id="549877457">
          <w:marLeft w:val="0"/>
          <w:marRight w:val="0"/>
          <w:marTop w:val="0"/>
          <w:marBottom w:val="0"/>
          <w:divBdr>
            <w:top w:val="none" w:sz="0" w:space="0" w:color="auto"/>
            <w:left w:val="none" w:sz="0" w:space="0" w:color="auto"/>
            <w:bottom w:val="dotted" w:sz="6" w:space="4" w:color="DDDDDD"/>
            <w:right w:val="none" w:sz="0" w:space="0" w:color="auto"/>
          </w:divBdr>
          <w:divsChild>
            <w:div w:id="187460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019575">
      <w:bodyDiv w:val="1"/>
      <w:marLeft w:val="0"/>
      <w:marRight w:val="0"/>
      <w:marTop w:val="0"/>
      <w:marBottom w:val="0"/>
      <w:divBdr>
        <w:top w:val="none" w:sz="0" w:space="0" w:color="auto"/>
        <w:left w:val="none" w:sz="0" w:space="0" w:color="auto"/>
        <w:bottom w:val="none" w:sz="0" w:space="0" w:color="auto"/>
        <w:right w:val="none" w:sz="0" w:space="0" w:color="auto"/>
      </w:divBdr>
      <w:divsChild>
        <w:div w:id="1438595148">
          <w:marLeft w:val="0"/>
          <w:marRight w:val="0"/>
          <w:marTop w:val="0"/>
          <w:marBottom w:val="0"/>
          <w:divBdr>
            <w:top w:val="none" w:sz="0" w:space="0" w:color="auto"/>
            <w:left w:val="none" w:sz="0" w:space="0" w:color="auto"/>
            <w:bottom w:val="dotted" w:sz="6" w:space="4" w:color="DDDDDD"/>
            <w:right w:val="none" w:sz="0" w:space="0" w:color="auto"/>
          </w:divBdr>
          <w:divsChild>
            <w:div w:id="87800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45872">
      <w:bodyDiv w:val="1"/>
      <w:marLeft w:val="0"/>
      <w:marRight w:val="0"/>
      <w:marTop w:val="0"/>
      <w:marBottom w:val="0"/>
      <w:divBdr>
        <w:top w:val="none" w:sz="0" w:space="0" w:color="auto"/>
        <w:left w:val="none" w:sz="0" w:space="0" w:color="auto"/>
        <w:bottom w:val="none" w:sz="0" w:space="0" w:color="auto"/>
        <w:right w:val="none" w:sz="0" w:space="0" w:color="auto"/>
      </w:divBdr>
      <w:divsChild>
        <w:div w:id="1552811013">
          <w:marLeft w:val="0"/>
          <w:marRight w:val="0"/>
          <w:marTop w:val="0"/>
          <w:marBottom w:val="0"/>
          <w:divBdr>
            <w:top w:val="none" w:sz="0" w:space="0" w:color="auto"/>
            <w:left w:val="none" w:sz="0" w:space="0" w:color="auto"/>
            <w:bottom w:val="none" w:sz="0" w:space="0" w:color="auto"/>
            <w:right w:val="none" w:sz="0" w:space="0" w:color="auto"/>
          </w:divBdr>
          <w:divsChild>
            <w:div w:id="19186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26709">
      <w:bodyDiv w:val="1"/>
      <w:marLeft w:val="0"/>
      <w:marRight w:val="0"/>
      <w:marTop w:val="0"/>
      <w:marBottom w:val="0"/>
      <w:divBdr>
        <w:top w:val="none" w:sz="0" w:space="0" w:color="auto"/>
        <w:left w:val="none" w:sz="0" w:space="0" w:color="auto"/>
        <w:bottom w:val="none" w:sz="0" w:space="0" w:color="auto"/>
        <w:right w:val="none" w:sz="0" w:space="0" w:color="auto"/>
      </w:divBdr>
      <w:divsChild>
        <w:div w:id="1520005720">
          <w:marLeft w:val="0"/>
          <w:marRight w:val="0"/>
          <w:marTop w:val="0"/>
          <w:marBottom w:val="0"/>
          <w:divBdr>
            <w:top w:val="none" w:sz="0" w:space="0" w:color="auto"/>
            <w:left w:val="none" w:sz="0" w:space="0" w:color="auto"/>
            <w:bottom w:val="none" w:sz="0" w:space="0" w:color="auto"/>
            <w:right w:val="none" w:sz="0" w:space="0" w:color="auto"/>
          </w:divBdr>
          <w:divsChild>
            <w:div w:id="1377730177">
              <w:marLeft w:val="0"/>
              <w:marRight w:val="0"/>
              <w:marTop w:val="0"/>
              <w:marBottom w:val="0"/>
              <w:divBdr>
                <w:top w:val="none" w:sz="0" w:space="0" w:color="auto"/>
                <w:left w:val="none" w:sz="0" w:space="0" w:color="auto"/>
                <w:bottom w:val="none" w:sz="0" w:space="0" w:color="auto"/>
                <w:right w:val="none" w:sz="0" w:space="0" w:color="auto"/>
              </w:divBdr>
              <w:divsChild>
                <w:div w:id="1242759200">
                  <w:marLeft w:val="0"/>
                  <w:marRight w:val="0"/>
                  <w:marTop w:val="0"/>
                  <w:marBottom w:val="0"/>
                  <w:divBdr>
                    <w:top w:val="none" w:sz="0" w:space="0" w:color="auto"/>
                    <w:left w:val="none" w:sz="0" w:space="0" w:color="auto"/>
                    <w:bottom w:val="none" w:sz="0" w:space="0" w:color="auto"/>
                    <w:right w:val="none" w:sz="0" w:space="0" w:color="auto"/>
                  </w:divBdr>
                  <w:divsChild>
                    <w:div w:id="1109350391">
                      <w:marLeft w:val="0"/>
                      <w:marRight w:val="0"/>
                      <w:marTop w:val="0"/>
                      <w:marBottom w:val="0"/>
                      <w:divBdr>
                        <w:top w:val="none" w:sz="0" w:space="0" w:color="auto"/>
                        <w:left w:val="none" w:sz="0" w:space="0" w:color="auto"/>
                        <w:bottom w:val="none" w:sz="0" w:space="0" w:color="auto"/>
                        <w:right w:val="none" w:sz="0" w:space="0" w:color="auto"/>
                      </w:divBdr>
                      <w:divsChild>
                        <w:div w:id="779641528">
                          <w:marLeft w:val="0"/>
                          <w:marRight w:val="0"/>
                          <w:marTop w:val="0"/>
                          <w:marBottom w:val="0"/>
                          <w:divBdr>
                            <w:top w:val="none" w:sz="0" w:space="0" w:color="auto"/>
                            <w:left w:val="none" w:sz="0" w:space="0" w:color="auto"/>
                            <w:bottom w:val="none" w:sz="0" w:space="0" w:color="auto"/>
                            <w:right w:val="none" w:sz="0" w:space="0" w:color="auto"/>
                          </w:divBdr>
                          <w:divsChild>
                            <w:div w:id="1027372685">
                              <w:marLeft w:val="0"/>
                              <w:marRight w:val="0"/>
                              <w:marTop w:val="0"/>
                              <w:marBottom w:val="0"/>
                              <w:divBdr>
                                <w:top w:val="none" w:sz="0" w:space="0" w:color="auto"/>
                                <w:left w:val="none" w:sz="0" w:space="0" w:color="auto"/>
                                <w:bottom w:val="none" w:sz="0" w:space="0" w:color="auto"/>
                                <w:right w:val="none" w:sz="0" w:space="0" w:color="auto"/>
                              </w:divBdr>
                              <w:divsChild>
                                <w:div w:id="951280962">
                                  <w:marLeft w:val="0"/>
                                  <w:marRight w:val="0"/>
                                  <w:marTop w:val="0"/>
                                  <w:marBottom w:val="0"/>
                                  <w:divBdr>
                                    <w:top w:val="none" w:sz="0" w:space="0" w:color="auto"/>
                                    <w:left w:val="none" w:sz="0" w:space="0" w:color="auto"/>
                                    <w:bottom w:val="none" w:sz="0" w:space="0" w:color="auto"/>
                                    <w:right w:val="none" w:sz="0" w:space="0" w:color="auto"/>
                                  </w:divBdr>
                                  <w:divsChild>
                                    <w:div w:id="153494478">
                                      <w:marLeft w:val="0"/>
                                      <w:marRight w:val="0"/>
                                      <w:marTop w:val="0"/>
                                      <w:marBottom w:val="0"/>
                                      <w:divBdr>
                                        <w:top w:val="none" w:sz="0" w:space="0" w:color="auto"/>
                                        <w:left w:val="none" w:sz="0" w:space="0" w:color="auto"/>
                                        <w:bottom w:val="none" w:sz="0" w:space="0" w:color="auto"/>
                                        <w:right w:val="none" w:sz="0" w:space="0" w:color="auto"/>
                                      </w:divBdr>
                                      <w:divsChild>
                                        <w:div w:id="172413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4287720">
      <w:bodyDiv w:val="1"/>
      <w:marLeft w:val="0"/>
      <w:marRight w:val="0"/>
      <w:marTop w:val="0"/>
      <w:marBottom w:val="0"/>
      <w:divBdr>
        <w:top w:val="none" w:sz="0" w:space="0" w:color="auto"/>
        <w:left w:val="none" w:sz="0" w:space="0" w:color="auto"/>
        <w:bottom w:val="none" w:sz="0" w:space="0" w:color="auto"/>
        <w:right w:val="none" w:sz="0" w:space="0" w:color="auto"/>
      </w:divBdr>
      <w:divsChild>
        <w:div w:id="756026391">
          <w:marLeft w:val="0"/>
          <w:marRight w:val="0"/>
          <w:marTop w:val="0"/>
          <w:marBottom w:val="0"/>
          <w:divBdr>
            <w:top w:val="none" w:sz="0" w:space="0" w:color="auto"/>
            <w:left w:val="none" w:sz="0" w:space="0" w:color="auto"/>
            <w:bottom w:val="none" w:sz="0" w:space="0" w:color="auto"/>
            <w:right w:val="none" w:sz="0" w:space="0" w:color="auto"/>
          </w:divBdr>
          <w:divsChild>
            <w:div w:id="1515069870">
              <w:marLeft w:val="0"/>
              <w:marRight w:val="0"/>
              <w:marTop w:val="0"/>
              <w:marBottom w:val="0"/>
              <w:divBdr>
                <w:top w:val="none" w:sz="0" w:space="0" w:color="auto"/>
                <w:left w:val="none" w:sz="0" w:space="0" w:color="auto"/>
                <w:bottom w:val="none" w:sz="0" w:space="0" w:color="auto"/>
                <w:right w:val="none" w:sz="0" w:space="0" w:color="auto"/>
              </w:divBdr>
              <w:divsChild>
                <w:div w:id="1817145854">
                  <w:marLeft w:val="0"/>
                  <w:marRight w:val="0"/>
                  <w:marTop w:val="0"/>
                  <w:marBottom w:val="150"/>
                  <w:divBdr>
                    <w:top w:val="none" w:sz="0" w:space="0" w:color="auto"/>
                    <w:left w:val="none" w:sz="0" w:space="0" w:color="auto"/>
                    <w:bottom w:val="none" w:sz="0" w:space="0" w:color="auto"/>
                    <w:right w:val="none" w:sz="0" w:space="0" w:color="auto"/>
                  </w:divBdr>
                  <w:divsChild>
                    <w:div w:id="624120373">
                      <w:marLeft w:val="0"/>
                      <w:marRight w:val="0"/>
                      <w:marTop w:val="0"/>
                      <w:marBottom w:val="0"/>
                      <w:divBdr>
                        <w:top w:val="none" w:sz="0" w:space="0" w:color="auto"/>
                        <w:left w:val="none" w:sz="0" w:space="0" w:color="auto"/>
                        <w:bottom w:val="none" w:sz="0" w:space="0" w:color="auto"/>
                        <w:right w:val="none" w:sz="0" w:space="0" w:color="auto"/>
                      </w:divBdr>
                      <w:divsChild>
                        <w:div w:id="170687257">
                          <w:marLeft w:val="0"/>
                          <w:marRight w:val="0"/>
                          <w:marTop w:val="0"/>
                          <w:marBottom w:val="0"/>
                          <w:divBdr>
                            <w:top w:val="none" w:sz="0" w:space="0" w:color="auto"/>
                            <w:left w:val="none" w:sz="0" w:space="0" w:color="auto"/>
                            <w:bottom w:val="none" w:sz="0" w:space="0" w:color="auto"/>
                            <w:right w:val="none" w:sz="0" w:space="0" w:color="auto"/>
                          </w:divBdr>
                          <w:divsChild>
                            <w:div w:id="378087891">
                              <w:marLeft w:val="0"/>
                              <w:marRight w:val="0"/>
                              <w:marTop w:val="0"/>
                              <w:marBottom w:val="0"/>
                              <w:divBdr>
                                <w:top w:val="none" w:sz="0" w:space="0" w:color="auto"/>
                                <w:left w:val="none" w:sz="0" w:space="0" w:color="auto"/>
                                <w:bottom w:val="none" w:sz="0" w:space="0" w:color="auto"/>
                                <w:right w:val="none" w:sz="0" w:space="0" w:color="auto"/>
                              </w:divBdr>
                              <w:divsChild>
                                <w:div w:id="189803664">
                                  <w:marLeft w:val="0"/>
                                  <w:marRight w:val="0"/>
                                  <w:marTop w:val="0"/>
                                  <w:marBottom w:val="0"/>
                                  <w:divBdr>
                                    <w:top w:val="none" w:sz="0" w:space="0" w:color="auto"/>
                                    <w:left w:val="none" w:sz="0" w:space="0" w:color="auto"/>
                                    <w:bottom w:val="none" w:sz="0" w:space="0" w:color="auto"/>
                                    <w:right w:val="none" w:sz="0" w:space="0" w:color="auto"/>
                                  </w:divBdr>
                                  <w:divsChild>
                                    <w:div w:id="1216701651">
                                      <w:marLeft w:val="0"/>
                                      <w:marRight w:val="0"/>
                                      <w:marTop w:val="0"/>
                                      <w:marBottom w:val="0"/>
                                      <w:divBdr>
                                        <w:top w:val="none" w:sz="0" w:space="0" w:color="auto"/>
                                        <w:left w:val="none" w:sz="0" w:space="0" w:color="auto"/>
                                        <w:bottom w:val="none" w:sz="0" w:space="0" w:color="auto"/>
                                        <w:right w:val="none" w:sz="0" w:space="0" w:color="auto"/>
                                      </w:divBdr>
                                      <w:divsChild>
                                        <w:div w:id="1751073832">
                                          <w:marLeft w:val="0"/>
                                          <w:marRight w:val="0"/>
                                          <w:marTop w:val="0"/>
                                          <w:marBottom w:val="0"/>
                                          <w:divBdr>
                                            <w:top w:val="none" w:sz="0" w:space="0" w:color="auto"/>
                                            <w:left w:val="none" w:sz="0" w:space="0" w:color="auto"/>
                                            <w:bottom w:val="none" w:sz="0" w:space="0" w:color="auto"/>
                                            <w:right w:val="none" w:sz="0" w:space="0" w:color="auto"/>
                                          </w:divBdr>
                                          <w:divsChild>
                                            <w:div w:id="1968855573">
                                              <w:marLeft w:val="0"/>
                                              <w:marRight w:val="0"/>
                                              <w:marTop w:val="0"/>
                                              <w:marBottom w:val="0"/>
                                              <w:divBdr>
                                                <w:top w:val="none" w:sz="0" w:space="0" w:color="auto"/>
                                                <w:left w:val="none" w:sz="0" w:space="0" w:color="auto"/>
                                                <w:bottom w:val="none" w:sz="0" w:space="0" w:color="auto"/>
                                                <w:right w:val="none" w:sz="0" w:space="0" w:color="auto"/>
                                              </w:divBdr>
                                              <w:divsChild>
                                                <w:div w:id="24596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4291589">
      <w:bodyDiv w:val="1"/>
      <w:marLeft w:val="0"/>
      <w:marRight w:val="0"/>
      <w:marTop w:val="0"/>
      <w:marBottom w:val="0"/>
      <w:divBdr>
        <w:top w:val="none" w:sz="0" w:space="0" w:color="auto"/>
        <w:left w:val="none" w:sz="0" w:space="0" w:color="auto"/>
        <w:bottom w:val="none" w:sz="0" w:space="0" w:color="auto"/>
        <w:right w:val="none" w:sz="0" w:space="0" w:color="auto"/>
      </w:divBdr>
    </w:div>
    <w:div w:id="1314334642">
      <w:bodyDiv w:val="1"/>
      <w:marLeft w:val="0"/>
      <w:marRight w:val="0"/>
      <w:marTop w:val="0"/>
      <w:marBottom w:val="0"/>
      <w:divBdr>
        <w:top w:val="none" w:sz="0" w:space="0" w:color="auto"/>
        <w:left w:val="none" w:sz="0" w:space="0" w:color="auto"/>
        <w:bottom w:val="none" w:sz="0" w:space="0" w:color="auto"/>
        <w:right w:val="none" w:sz="0" w:space="0" w:color="auto"/>
      </w:divBdr>
      <w:divsChild>
        <w:div w:id="1790392659">
          <w:marLeft w:val="0"/>
          <w:marRight w:val="0"/>
          <w:marTop w:val="0"/>
          <w:marBottom w:val="150"/>
          <w:divBdr>
            <w:top w:val="none" w:sz="0" w:space="0" w:color="auto"/>
            <w:left w:val="none" w:sz="0" w:space="0" w:color="auto"/>
            <w:bottom w:val="none" w:sz="0" w:space="0" w:color="auto"/>
            <w:right w:val="none" w:sz="0" w:space="0" w:color="auto"/>
          </w:divBdr>
        </w:div>
      </w:divsChild>
    </w:div>
    <w:div w:id="1314336198">
      <w:bodyDiv w:val="1"/>
      <w:marLeft w:val="0"/>
      <w:marRight w:val="0"/>
      <w:marTop w:val="0"/>
      <w:marBottom w:val="0"/>
      <w:divBdr>
        <w:top w:val="none" w:sz="0" w:space="0" w:color="auto"/>
        <w:left w:val="none" w:sz="0" w:space="0" w:color="auto"/>
        <w:bottom w:val="none" w:sz="0" w:space="0" w:color="auto"/>
        <w:right w:val="none" w:sz="0" w:space="0" w:color="auto"/>
      </w:divBdr>
      <w:divsChild>
        <w:div w:id="1364281885">
          <w:marLeft w:val="0"/>
          <w:marRight w:val="0"/>
          <w:marTop w:val="0"/>
          <w:marBottom w:val="0"/>
          <w:divBdr>
            <w:top w:val="none" w:sz="0" w:space="0" w:color="auto"/>
            <w:left w:val="none" w:sz="0" w:space="0" w:color="auto"/>
            <w:bottom w:val="dotted" w:sz="6" w:space="4" w:color="DDDDDD"/>
            <w:right w:val="none" w:sz="0" w:space="0" w:color="auto"/>
          </w:divBdr>
        </w:div>
      </w:divsChild>
    </w:div>
    <w:div w:id="1314529466">
      <w:bodyDiv w:val="1"/>
      <w:marLeft w:val="0"/>
      <w:marRight w:val="0"/>
      <w:marTop w:val="0"/>
      <w:marBottom w:val="0"/>
      <w:divBdr>
        <w:top w:val="none" w:sz="0" w:space="0" w:color="auto"/>
        <w:left w:val="none" w:sz="0" w:space="0" w:color="auto"/>
        <w:bottom w:val="none" w:sz="0" w:space="0" w:color="auto"/>
        <w:right w:val="none" w:sz="0" w:space="0" w:color="auto"/>
      </w:divBdr>
    </w:div>
    <w:div w:id="1314719496">
      <w:bodyDiv w:val="1"/>
      <w:marLeft w:val="0"/>
      <w:marRight w:val="0"/>
      <w:marTop w:val="0"/>
      <w:marBottom w:val="0"/>
      <w:divBdr>
        <w:top w:val="none" w:sz="0" w:space="0" w:color="auto"/>
        <w:left w:val="none" w:sz="0" w:space="0" w:color="auto"/>
        <w:bottom w:val="none" w:sz="0" w:space="0" w:color="auto"/>
        <w:right w:val="none" w:sz="0" w:space="0" w:color="auto"/>
      </w:divBdr>
      <w:divsChild>
        <w:div w:id="1080912228">
          <w:marLeft w:val="0"/>
          <w:marRight w:val="0"/>
          <w:marTop w:val="0"/>
          <w:marBottom w:val="0"/>
          <w:divBdr>
            <w:top w:val="none" w:sz="0" w:space="0" w:color="auto"/>
            <w:left w:val="none" w:sz="0" w:space="0" w:color="auto"/>
            <w:bottom w:val="none" w:sz="0" w:space="0" w:color="auto"/>
            <w:right w:val="none" w:sz="0" w:space="0" w:color="auto"/>
          </w:divBdr>
          <w:divsChild>
            <w:div w:id="1313949175">
              <w:marLeft w:val="0"/>
              <w:marRight w:val="0"/>
              <w:marTop w:val="0"/>
              <w:marBottom w:val="0"/>
              <w:divBdr>
                <w:top w:val="none" w:sz="0" w:space="0" w:color="auto"/>
                <w:left w:val="none" w:sz="0" w:space="0" w:color="auto"/>
                <w:bottom w:val="none" w:sz="0" w:space="0" w:color="auto"/>
                <w:right w:val="none" w:sz="0" w:space="0" w:color="auto"/>
              </w:divBdr>
              <w:divsChild>
                <w:div w:id="528102122">
                  <w:marLeft w:val="0"/>
                  <w:marRight w:val="0"/>
                  <w:marTop w:val="0"/>
                  <w:marBottom w:val="0"/>
                  <w:divBdr>
                    <w:top w:val="none" w:sz="0" w:space="0" w:color="auto"/>
                    <w:left w:val="none" w:sz="0" w:space="0" w:color="auto"/>
                    <w:bottom w:val="none" w:sz="0" w:space="0" w:color="auto"/>
                    <w:right w:val="none" w:sz="0" w:space="0" w:color="auto"/>
                  </w:divBdr>
                  <w:divsChild>
                    <w:div w:id="376859086">
                      <w:marLeft w:val="0"/>
                      <w:marRight w:val="0"/>
                      <w:marTop w:val="0"/>
                      <w:marBottom w:val="0"/>
                      <w:divBdr>
                        <w:top w:val="none" w:sz="0" w:space="0" w:color="auto"/>
                        <w:left w:val="none" w:sz="0" w:space="0" w:color="auto"/>
                        <w:bottom w:val="none" w:sz="0" w:space="0" w:color="auto"/>
                        <w:right w:val="none" w:sz="0" w:space="0" w:color="auto"/>
                      </w:divBdr>
                      <w:divsChild>
                        <w:div w:id="1528986169">
                          <w:marLeft w:val="0"/>
                          <w:marRight w:val="0"/>
                          <w:marTop w:val="0"/>
                          <w:marBottom w:val="0"/>
                          <w:divBdr>
                            <w:top w:val="none" w:sz="0" w:space="0" w:color="auto"/>
                            <w:left w:val="none" w:sz="0" w:space="0" w:color="auto"/>
                            <w:bottom w:val="none" w:sz="0" w:space="0" w:color="auto"/>
                            <w:right w:val="none" w:sz="0" w:space="0" w:color="auto"/>
                          </w:divBdr>
                          <w:divsChild>
                            <w:div w:id="330721186">
                              <w:marLeft w:val="0"/>
                              <w:marRight w:val="0"/>
                              <w:marTop w:val="0"/>
                              <w:marBottom w:val="0"/>
                              <w:divBdr>
                                <w:top w:val="none" w:sz="0" w:space="0" w:color="auto"/>
                                <w:left w:val="none" w:sz="0" w:space="0" w:color="auto"/>
                                <w:bottom w:val="none" w:sz="0" w:space="0" w:color="auto"/>
                                <w:right w:val="none" w:sz="0" w:space="0" w:color="auto"/>
                              </w:divBdr>
                              <w:divsChild>
                                <w:div w:id="1000160871">
                                  <w:marLeft w:val="0"/>
                                  <w:marRight w:val="0"/>
                                  <w:marTop w:val="0"/>
                                  <w:marBottom w:val="0"/>
                                  <w:divBdr>
                                    <w:top w:val="none" w:sz="0" w:space="0" w:color="auto"/>
                                    <w:left w:val="none" w:sz="0" w:space="0" w:color="auto"/>
                                    <w:bottom w:val="none" w:sz="0" w:space="0" w:color="auto"/>
                                    <w:right w:val="none" w:sz="0" w:space="0" w:color="auto"/>
                                  </w:divBdr>
                                  <w:divsChild>
                                    <w:div w:id="1934438014">
                                      <w:marLeft w:val="0"/>
                                      <w:marRight w:val="0"/>
                                      <w:marTop w:val="0"/>
                                      <w:marBottom w:val="0"/>
                                      <w:divBdr>
                                        <w:top w:val="none" w:sz="0" w:space="0" w:color="auto"/>
                                        <w:left w:val="none" w:sz="0" w:space="0" w:color="auto"/>
                                        <w:bottom w:val="none" w:sz="0" w:space="0" w:color="auto"/>
                                        <w:right w:val="none" w:sz="0" w:space="0" w:color="auto"/>
                                      </w:divBdr>
                                      <w:divsChild>
                                        <w:div w:id="28616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4869142">
      <w:bodyDiv w:val="1"/>
      <w:marLeft w:val="0"/>
      <w:marRight w:val="0"/>
      <w:marTop w:val="0"/>
      <w:marBottom w:val="0"/>
      <w:divBdr>
        <w:top w:val="none" w:sz="0" w:space="0" w:color="auto"/>
        <w:left w:val="none" w:sz="0" w:space="0" w:color="auto"/>
        <w:bottom w:val="none" w:sz="0" w:space="0" w:color="auto"/>
        <w:right w:val="none" w:sz="0" w:space="0" w:color="auto"/>
      </w:divBdr>
      <w:divsChild>
        <w:div w:id="256983577">
          <w:marLeft w:val="0"/>
          <w:marRight w:val="0"/>
          <w:marTop w:val="0"/>
          <w:marBottom w:val="0"/>
          <w:divBdr>
            <w:top w:val="none" w:sz="0" w:space="0" w:color="auto"/>
            <w:left w:val="none" w:sz="0" w:space="0" w:color="auto"/>
            <w:bottom w:val="none" w:sz="0" w:space="0" w:color="auto"/>
            <w:right w:val="none" w:sz="0" w:space="0" w:color="auto"/>
          </w:divBdr>
          <w:divsChild>
            <w:div w:id="179197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254505">
      <w:bodyDiv w:val="1"/>
      <w:marLeft w:val="0"/>
      <w:marRight w:val="0"/>
      <w:marTop w:val="0"/>
      <w:marBottom w:val="0"/>
      <w:divBdr>
        <w:top w:val="none" w:sz="0" w:space="0" w:color="auto"/>
        <w:left w:val="none" w:sz="0" w:space="0" w:color="auto"/>
        <w:bottom w:val="none" w:sz="0" w:space="0" w:color="auto"/>
        <w:right w:val="none" w:sz="0" w:space="0" w:color="auto"/>
      </w:divBdr>
      <w:divsChild>
        <w:div w:id="869343076">
          <w:marLeft w:val="0"/>
          <w:marRight w:val="0"/>
          <w:marTop w:val="0"/>
          <w:marBottom w:val="150"/>
          <w:divBdr>
            <w:top w:val="none" w:sz="0" w:space="0" w:color="auto"/>
            <w:left w:val="none" w:sz="0" w:space="0" w:color="auto"/>
            <w:bottom w:val="none" w:sz="0" w:space="0" w:color="auto"/>
            <w:right w:val="none" w:sz="0" w:space="0" w:color="auto"/>
          </w:divBdr>
          <w:divsChild>
            <w:div w:id="2067143229">
              <w:marLeft w:val="0"/>
              <w:marRight w:val="0"/>
              <w:marTop w:val="0"/>
              <w:marBottom w:val="0"/>
              <w:divBdr>
                <w:top w:val="none" w:sz="0" w:space="0" w:color="auto"/>
                <w:left w:val="none" w:sz="0" w:space="0" w:color="auto"/>
                <w:bottom w:val="none" w:sz="0" w:space="0" w:color="auto"/>
                <w:right w:val="none" w:sz="0" w:space="0" w:color="auto"/>
              </w:divBdr>
            </w:div>
          </w:divsChild>
        </w:div>
        <w:div w:id="1143474203">
          <w:marLeft w:val="0"/>
          <w:marRight w:val="0"/>
          <w:marTop w:val="0"/>
          <w:marBottom w:val="150"/>
          <w:divBdr>
            <w:top w:val="none" w:sz="0" w:space="0" w:color="auto"/>
            <w:left w:val="none" w:sz="0" w:space="0" w:color="auto"/>
            <w:bottom w:val="none" w:sz="0" w:space="0" w:color="auto"/>
            <w:right w:val="none" w:sz="0" w:space="0" w:color="auto"/>
          </w:divBdr>
        </w:div>
        <w:div w:id="1287002566">
          <w:marLeft w:val="0"/>
          <w:marRight w:val="0"/>
          <w:marTop w:val="0"/>
          <w:marBottom w:val="0"/>
          <w:divBdr>
            <w:top w:val="none" w:sz="0" w:space="0" w:color="auto"/>
            <w:left w:val="none" w:sz="0" w:space="0" w:color="auto"/>
            <w:bottom w:val="none" w:sz="0" w:space="0" w:color="auto"/>
            <w:right w:val="none" w:sz="0" w:space="0" w:color="auto"/>
          </w:divBdr>
          <w:divsChild>
            <w:div w:id="157604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3917">
      <w:bodyDiv w:val="1"/>
      <w:marLeft w:val="0"/>
      <w:marRight w:val="0"/>
      <w:marTop w:val="0"/>
      <w:marBottom w:val="0"/>
      <w:divBdr>
        <w:top w:val="none" w:sz="0" w:space="0" w:color="auto"/>
        <w:left w:val="none" w:sz="0" w:space="0" w:color="auto"/>
        <w:bottom w:val="none" w:sz="0" w:space="0" w:color="auto"/>
        <w:right w:val="none" w:sz="0" w:space="0" w:color="auto"/>
      </w:divBdr>
    </w:div>
    <w:div w:id="1316180295">
      <w:bodyDiv w:val="1"/>
      <w:marLeft w:val="0"/>
      <w:marRight w:val="0"/>
      <w:marTop w:val="0"/>
      <w:marBottom w:val="0"/>
      <w:divBdr>
        <w:top w:val="none" w:sz="0" w:space="0" w:color="auto"/>
        <w:left w:val="none" w:sz="0" w:space="0" w:color="auto"/>
        <w:bottom w:val="none" w:sz="0" w:space="0" w:color="auto"/>
        <w:right w:val="none" w:sz="0" w:space="0" w:color="auto"/>
      </w:divBdr>
      <w:divsChild>
        <w:div w:id="36467657">
          <w:marLeft w:val="0"/>
          <w:marRight w:val="0"/>
          <w:marTop w:val="0"/>
          <w:marBottom w:val="150"/>
          <w:divBdr>
            <w:top w:val="none" w:sz="0" w:space="0" w:color="auto"/>
            <w:left w:val="none" w:sz="0" w:space="0" w:color="auto"/>
            <w:bottom w:val="none" w:sz="0" w:space="0" w:color="auto"/>
            <w:right w:val="none" w:sz="0" w:space="0" w:color="auto"/>
          </w:divBdr>
        </w:div>
        <w:div w:id="1099519181">
          <w:marLeft w:val="0"/>
          <w:marRight w:val="0"/>
          <w:marTop w:val="0"/>
          <w:marBottom w:val="0"/>
          <w:divBdr>
            <w:top w:val="none" w:sz="0" w:space="0" w:color="auto"/>
            <w:left w:val="none" w:sz="0" w:space="0" w:color="auto"/>
            <w:bottom w:val="none" w:sz="0" w:space="0" w:color="auto"/>
            <w:right w:val="none" w:sz="0" w:space="0" w:color="auto"/>
          </w:divBdr>
          <w:divsChild>
            <w:div w:id="67176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93075">
      <w:bodyDiv w:val="1"/>
      <w:marLeft w:val="0"/>
      <w:marRight w:val="0"/>
      <w:marTop w:val="0"/>
      <w:marBottom w:val="0"/>
      <w:divBdr>
        <w:top w:val="none" w:sz="0" w:space="0" w:color="auto"/>
        <w:left w:val="none" w:sz="0" w:space="0" w:color="auto"/>
        <w:bottom w:val="none" w:sz="0" w:space="0" w:color="auto"/>
        <w:right w:val="none" w:sz="0" w:space="0" w:color="auto"/>
      </w:divBdr>
    </w:div>
    <w:div w:id="1316565716">
      <w:bodyDiv w:val="1"/>
      <w:marLeft w:val="0"/>
      <w:marRight w:val="0"/>
      <w:marTop w:val="0"/>
      <w:marBottom w:val="0"/>
      <w:divBdr>
        <w:top w:val="none" w:sz="0" w:space="0" w:color="auto"/>
        <w:left w:val="none" w:sz="0" w:space="0" w:color="auto"/>
        <w:bottom w:val="none" w:sz="0" w:space="0" w:color="auto"/>
        <w:right w:val="none" w:sz="0" w:space="0" w:color="auto"/>
      </w:divBdr>
    </w:div>
    <w:div w:id="1316760395">
      <w:bodyDiv w:val="1"/>
      <w:marLeft w:val="0"/>
      <w:marRight w:val="0"/>
      <w:marTop w:val="0"/>
      <w:marBottom w:val="0"/>
      <w:divBdr>
        <w:top w:val="none" w:sz="0" w:space="0" w:color="auto"/>
        <w:left w:val="none" w:sz="0" w:space="0" w:color="auto"/>
        <w:bottom w:val="none" w:sz="0" w:space="0" w:color="auto"/>
        <w:right w:val="none" w:sz="0" w:space="0" w:color="auto"/>
      </w:divBdr>
      <w:divsChild>
        <w:div w:id="203300271">
          <w:marLeft w:val="0"/>
          <w:marRight w:val="0"/>
          <w:marTop w:val="0"/>
          <w:marBottom w:val="0"/>
          <w:divBdr>
            <w:top w:val="none" w:sz="0" w:space="0" w:color="auto"/>
            <w:left w:val="none" w:sz="0" w:space="0" w:color="auto"/>
            <w:bottom w:val="none" w:sz="0" w:space="0" w:color="auto"/>
            <w:right w:val="none" w:sz="0" w:space="0" w:color="auto"/>
          </w:divBdr>
          <w:divsChild>
            <w:div w:id="1790392891">
              <w:marLeft w:val="0"/>
              <w:marRight w:val="0"/>
              <w:marTop w:val="0"/>
              <w:marBottom w:val="0"/>
              <w:divBdr>
                <w:top w:val="none" w:sz="0" w:space="0" w:color="auto"/>
                <w:left w:val="none" w:sz="0" w:space="0" w:color="auto"/>
                <w:bottom w:val="none" w:sz="0" w:space="0" w:color="auto"/>
                <w:right w:val="none" w:sz="0" w:space="0" w:color="auto"/>
              </w:divBdr>
              <w:divsChild>
                <w:div w:id="1519851881">
                  <w:marLeft w:val="0"/>
                  <w:marRight w:val="0"/>
                  <w:marTop w:val="0"/>
                  <w:marBottom w:val="0"/>
                  <w:divBdr>
                    <w:top w:val="none" w:sz="0" w:space="0" w:color="auto"/>
                    <w:left w:val="none" w:sz="0" w:space="0" w:color="auto"/>
                    <w:bottom w:val="none" w:sz="0" w:space="0" w:color="auto"/>
                    <w:right w:val="none" w:sz="0" w:space="0" w:color="auto"/>
                  </w:divBdr>
                  <w:divsChild>
                    <w:div w:id="1593394080">
                      <w:marLeft w:val="0"/>
                      <w:marRight w:val="0"/>
                      <w:marTop w:val="0"/>
                      <w:marBottom w:val="0"/>
                      <w:divBdr>
                        <w:top w:val="none" w:sz="0" w:space="0" w:color="auto"/>
                        <w:left w:val="none" w:sz="0" w:space="0" w:color="auto"/>
                        <w:bottom w:val="none" w:sz="0" w:space="0" w:color="auto"/>
                        <w:right w:val="none" w:sz="0" w:space="0" w:color="auto"/>
                      </w:divBdr>
                      <w:divsChild>
                        <w:div w:id="1410805776">
                          <w:marLeft w:val="0"/>
                          <w:marRight w:val="0"/>
                          <w:marTop w:val="0"/>
                          <w:marBottom w:val="0"/>
                          <w:divBdr>
                            <w:top w:val="none" w:sz="0" w:space="0" w:color="auto"/>
                            <w:left w:val="none" w:sz="0" w:space="0" w:color="auto"/>
                            <w:bottom w:val="none" w:sz="0" w:space="0" w:color="auto"/>
                            <w:right w:val="none" w:sz="0" w:space="0" w:color="auto"/>
                          </w:divBdr>
                          <w:divsChild>
                            <w:div w:id="1915121927">
                              <w:marLeft w:val="0"/>
                              <w:marRight w:val="0"/>
                              <w:marTop w:val="0"/>
                              <w:marBottom w:val="0"/>
                              <w:divBdr>
                                <w:top w:val="none" w:sz="0" w:space="0" w:color="auto"/>
                                <w:left w:val="none" w:sz="0" w:space="0" w:color="auto"/>
                                <w:bottom w:val="none" w:sz="0" w:space="0" w:color="auto"/>
                                <w:right w:val="none" w:sz="0" w:space="0" w:color="auto"/>
                              </w:divBdr>
                              <w:divsChild>
                                <w:div w:id="54179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6958065">
      <w:bodyDiv w:val="1"/>
      <w:marLeft w:val="0"/>
      <w:marRight w:val="0"/>
      <w:marTop w:val="0"/>
      <w:marBottom w:val="0"/>
      <w:divBdr>
        <w:top w:val="none" w:sz="0" w:space="0" w:color="auto"/>
        <w:left w:val="none" w:sz="0" w:space="0" w:color="auto"/>
        <w:bottom w:val="none" w:sz="0" w:space="0" w:color="auto"/>
        <w:right w:val="none" w:sz="0" w:space="0" w:color="auto"/>
      </w:divBdr>
    </w:div>
    <w:div w:id="1317152206">
      <w:bodyDiv w:val="1"/>
      <w:marLeft w:val="0"/>
      <w:marRight w:val="0"/>
      <w:marTop w:val="0"/>
      <w:marBottom w:val="0"/>
      <w:divBdr>
        <w:top w:val="none" w:sz="0" w:space="0" w:color="auto"/>
        <w:left w:val="none" w:sz="0" w:space="0" w:color="auto"/>
        <w:bottom w:val="none" w:sz="0" w:space="0" w:color="auto"/>
        <w:right w:val="none" w:sz="0" w:space="0" w:color="auto"/>
      </w:divBdr>
      <w:divsChild>
        <w:div w:id="263147751">
          <w:marLeft w:val="0"/>
          <w:marRight w:val="0"/>
          <w:marTop w:val="0"/>
          <w:marBottom w:val="0"/>
          <w:divBdr>
            <w:top w:val="none" w:sz="0" w:space="0" w:color="auto"/>
            <w:left w:val="none" w:sz="0" w:space="0" w:color="auto"/>
            <w:bottom w:val="none" w:sz="0" w:space="0" w:color="auto"/>
            <w:right w:val="none" w:sz="0" w:space="0" w:color="auto"/>
          </w:divBdr>
        </w:div>
      </w:divsChild>
    </w:div>
    <w:div w:id="1317539683">
      <w:bodyDiv w:val="1"/>
      <w:marLeft w:val="0"/>
      <w:marRight w:val="0"/>
      <w:marTop w:val="0"/>
      <w:marBottom w:val="0"/>
      <w:divBdr>
        <w:top w:val="none" w:sz="0" w:space="0" w:color="auto"/>
        <w:left w:val="none" w:sz="0" w:space="0" w:color="auto"/>
        <w:bottom w:val="none" w:sz="0" w:space="0" w:color="auto"/>
        <w:right w:val="none" w:sz="0" w:space="0" w:color="auto"/>
      </w:divBdr>
      <w:divsChild>
        <w:div w:id="792748541">
          <w:marLeft w:val="0"/>
          <w:marRight w:val="0"/>
          <w:marTop w:val="0"/>
          <w:marBottom w:val="150"/>
          <w:divBdr>
            <w:top w:val="none" w:sz="0" w:space="0" w:color="auto"/>
            <w:left w:val="none" w:sz="0" w:space="0" w:color="auto"/>
            <w:bottom w:val="none" w:sz="0" w:space="0" w:color="auto"/>
            <w:right w:val="none" w:sz="0" w:space="0" w:color="auto"/>
          </w:divBdr>
        </w:div>
        <w:div w:id="1156998824">
          <w:marLeft w:val="0"/>
          <w:marRight w:val="0"/>
          <w:marTop w:val="0"/>
          <w:marBottom w:val="0"/>
          <w:divBdr>
            <w:top w:val="none" w:sz="0" w:space="0" w:color="auto"/>
            <w:left w:val="none" w:sz="0" w:space="0" w:color="auto"/>
            <w:bottom w:val="none" w:sz="0" w:space="0" w:color="auto"/>
            <w:right w:val="none" w:sz="0" w:space="0" w:color="auto"/>
          </w:divBdr>
        </w:div>
      </w:divsChild>
    </w:div>
    <w:div w:id="1317564469">
      <w:bodyDiv w:val="1"/>
      <w:marLeft w:val="0"/>
      <w:marRight w:val="0"/>
      <w:marTop w:val="0"/>
      <w:marBottom w:val="0"/>
      <w:divBdr>
        <w:top w:val="none" w:sz="0" w:space="0" w:color="auto"/>
        <w:left w:val="none" w:sz="0" w:space="0" w:color="auto"/>
        <w:bottom w:val="none" w:sz="0" w:space="0" w:color="auto"/>
        <w:right w:val="none" w:sz="0" w:space="0" w:color="auto"/>
      </w:divBdr>
      <w:divsChild>
        <w:div w:id="559900307">
          <w:marLeft w:val="0"/>
          <w:marRight w:val="0"/>
          <w:marTop w:val="0"/>
          <w:marBottom w:val="0"/>
          <w:divBdr>
            <w:top w:val="none" w:sz="0" w:space="0" w:color="auto"/>
            <w:left w:val="none" w:sz="0" w:space="0" w:color="auto"/>
            <w:bottom w:val="single" w:sz="12" w:space="0" w:color="C4C4C4"/>
            <w:right w:val="none" w:sz="0" w:space="0" w:color="auto"/>
          </w:divBdr>
          <w:divsChild>
            <w:div w:id="227544579">
              <w:marLeft w:val="0"/>
              <w:marRight w:val="0"/>
              <w:marTop w:val="0"/>
              <w:marBottom w:val="0"/>
              <w:divBdr>
                <w:top w:val="none" w:sz="0" w:space="0" w:color="auto"/>
                <w:left w:val="none" w:sz="0" w:space="0" w:color="auto"/>
                <w:bottom w:val="none" w:sz="0" w:space="0" w:color="auto"/>
                <w:right w:val="none" w:sz="0" w:space="0" w:color="auto"/>
              </w:divBdr>
              <w:divsChild>
                <w:div w:id="55608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221475">
          <w:marLeft w:val="0"/>
          <w:marRight w:val="150"/>
          <w:marTop w:val="0"/>
          <w:marBottom w:val="0"/>
          <w:divBdr>
            <w:top w:val="none" w:sz="0" w:space="0" w:color="auto"/>
            <w:left w:val="none" w:sz="0" w:space="0" w:color="auto"/>
            <w:bottom w:val="none" w:sz="0" w:space="0" w:color="auto"/>
            <w:right w:val="none" w:sz="0" w:space="0" w:color="auto"/>
          </w:divBdr>
          <w:divsChild>
            <w:div w:id="137843474">
              <w:marLeft w:val="0"/>
              <w:marRight w:val="0"/>
              <w:marTop w:val="0"/>
              <w:marBottom w:val="0"/>
              <w:divBdr>
                <w:top w:val="none" w:sz="0" w:space="0" w:color="auto"/>
                <w:left w:val="none" w:sz="0" w:space="0" w:color="auto"/>
                <w:bottom w:val="none" w:sz="0" w:space="0" w:color="auto"/>
                <w:right w:val="none" w:sz="0" w:space="0" w:color="auto"/>
              </w:divBdr>
              <w:divsChild>
                <w:div w:id="508982887">
                  <w:marLeft w:val="0"/>
                  <w:marRight w:val="0"/>
                  <w:marTop w:val="150"/>
                  <w:marBottom w:val="0"/>
                  <w:divBdr>
                    <w:top w:val="none" w:sz="0" w:space="0" w:color="auto"/>
                    <w:left w:val="none" w:sz="0" w:space="0" w:color="auto"/>
                    <w:bottom w:val="none" w:sz="0" w:space="0" w:color="auto"/>
                    <w:right w:val="none" w:sz="0" w:space="0" w:color="auto"/>
                  </w:divBdr>
                  <w:divsChild>
                    <w:div w:id="2031446991">
                      <w:marLeft w:val="0"/>
                      <w:marRight w:val="150"/>
                      <w:marTop w:val="0"/>
                      <w:marBottom w:val="0"/>
                      <w:divBdr>
                        <w:top w:val="none" w:sz="0" w:space="0" w:color="auto"/>
                        <w:left w:val="none" w:sz="0" w:space="0" w:color="auto"/>
                        <w:bottom w:val="none" w:sz="0" w:space="0" w:color="auto"/>
                        <w:right w:val="none" w:sz="0" w:space="0" w:color="auto"/>
                      </w:divBdr>
                      <w:divsChild>
                        <w:div w:id="409349063">
                          <w:marLeft w:val="0"/>
                          <w:marRight w:val="0"/>
                          <w:marTop w:val="0"/>
                          <w:marBottom w:val="0"/>
                          <w:divBdr>
                            <w:top w:val="none" w:sz="0" w:space="0" w:color="auto"/>
                            <w:left w:val="none" w:sz="0" w:space="0" w:color="auto"/>
                            <w:bottom w:val="none" w:sz="0" w:space="0" w:color="auto"/>
                            <w:right w:val="none" w:sz="0" w:space="0" w:color="auto"/>
                          </w:divBdr>
                        </w:div>
                        <w:div w:id="193201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992031">
                  <w:marLeft w:val="0"/>
                  <w:marRight w:val="0"/>
                  <w:marTop w:val="0"/>
                  <w:marBottom w:val="0"/>
                  <w:divBdr>
                    <w:top w:val="none" w:sz="0" w:space="8" w:color="auto"/>
                    <w:left w:val="none" w:sz="0" w:space="2" w:color="auto"/>
                    <w:bottom w:val="single" w:sz="6" w:space="8" w:color="DDDDDD"/>
                    <w:right w:val="none" w:sz="0" w:space="0" w:color="auto"/>
                  </w:divBdr>
                </w:div>
              </w:divsChild>
            </w:div>
          </w:divsChild>
        </w:div>
      </w:divsChild>
    </w:div>
    <w:div w:id="1317688559">
      <w:bodyDiv w:val="1"/>
      <w:marLeft w:val="0"/>
      <w:marRight w:val="0"/>
      <w:marTop w:val="0"/>
      <w:marBottom w:val="0"/>
      <w:divBdr>
        <w:top w:val="none" w:sz="0" w:space="0" w:color="auto"/>
        <w:left w:val="none" w:sz="0" w:space="0" w:color="auto"/>
        <w:bottom w:val="none" w:sz="0" w:space="0" w:color="auto"/>
        <w:right w:val="none" w:sz="0" w:space="0" w:color="auto"/>
      </w:divBdr>
    </w:div>
    <w:div w:id="1318025539">
      <w:bodyDiv w:val="1"/>
      <w:marLeft w:val="0"/>
      <w:marRight w:val="0"/>
      <w:marTop w:val="0"/>
      <w:marBottom w:val="0"/>
      <w:divBdr>
        <w:top w:val="none" w:sz="0" w:space="0" w:color="auto"/>
        <w:left w:val="none" w:sz="0" w:space="0" w:color="auto"/>
        <w:bottom w:val="none" w:sz="0" w:space="0" w:color="auto"/>
        <w:right w:val="none" w:sz="0" w:space="0" w:color="auto"/>
      </w:divBdr>
    </w:div>
    <w:div w:id="1318267857">
      <w:bodyDiv w:val="1"/>
      <w:marLeft w:val="0"/>
      <w:marRight w:val="0"/>
      <w:marTop w:val="0"/>
      <w:marBottom w:val="0"/>
      <w:divBdr>
        <w:top w:val="none" w:sz="0" w:space="0" w:color="auto"/>
        <w:left w:val="none" w:sz="0" w:space="0" w:color="auto"/>
        <w:bottom w:val="none" w:sz="0" w:space="0" w:color="auto"/>
        <w:right w:val="none" w:sz="0" w:space="0" w:color="auto"/>
      </w:divBdr>
      <w:divsChild>
        <w:div w:id="1997562315">
          <w:marLeft w:val="0"/>
          <w:marRight w:val="0"/>
          <w:marTop w:val="0"/>
          <w:marBottom w:val="0"/>
          <w:divBdr>
            <w:top w:val="none" w:sz="0" w:space="0" w:color="auto"/>
            <w:left w:val="none" w:sz="0" w:space="0" w:color="auto"/>
            <w:bottom w:val="none" w:sz="0" w:space="0" w:color="auto"/>
            <w:right w:val="none" w:sz="0" w:space="0" w:color="auto"/>
          </w:divBdr>
          <w:divsChild>
            <w:div w:id="836962374">
              <w:marLeft w:val="0"/>
              <w:marRight w:val="0"/>
              <w:marTop w:val="0"/>
              <w:marBottom w:val="0"/>
              <w:divBdr>
                <w:top w:val="none" w:sz="0" w:space="0" w:color="auto"/>
                <w:left w:val="none" w:sz="0" w:space="0" w:color="auto"/>
                <w:bottom w:val="none" w:sz="0" w:space="0" w:color="auto"/>
                <w:right w:val="none" w:sz="0" w:space="0" w:color="auto"/>
              </w:divBdr>
              <w:divsChild>
                <w:div w:id="1511331876">
                  <w:marLeft w:val="0"/>
                  <w:marRight w:val="0"/>
                  <w:marTop w:val="0"/>
                  <w:marBottom w:val="0"/>
                  <w:divBdr>
                    <w:top w:val="none" w:sz="0" w:space="0" w:color="auto"/>
                    <w:left w:val="none" w:sz="0" w:space="0" w:color="auto"/>
                    <w:bottom w:val="none" w:sz="0" w:space="0" w:color="auto"/>
                    <w:right w:val="none" w:sz="0" w:space="0" w:color="auto"/>
                  </w:divBdr>
                  <w:divsChild>
                    <w:div w:id="2113431201">
                      <w:marLeft w:val="0"/>
                      <w:marRight w:val="0"/>
                      <w:marTop w:val="0"/>
                      <w:marBottom w:val="0"/>
                      <w:divBdr>
                        <w:top w:val="none" w:sz="0" w:space="0" w:color="auto"/>
                        <w:left w:val="none" w:sz="0" w:space="0" w:color="auto"/>
                        <w:bottom w:val="none" w:sz="0" w:space="0" w:color="auto"/>
                        <w:right w:val="none" w:sz="0" w:space="0" w:color="auto"/>
                      </w:divBdr>
                      <w:divsChild>
                        <w:div w:id="217595501">
                          <w:marLeft w:val="0"/>
                          <w:marRight w:val="0"/>
                          <w:marTop w:val="0"/>
                          <w:marBottom w:val="0"/>
                          <w:divBdr>
                            <w:top w:val="none" w:sz="0" w:space="0" w:color="auto"/>
                            <w:left w:val="none" w:sz="0" w:space="0" w:color="auto"/>
                            <w:bottom w:val="none" w:sz="0" w:space="0" w:color="auto"/>
                            <w:right w:val="none" w:sz="0" w:space="0" w:color="auto"/>
                          </w:divBdr>
                          <w:divsChild>
                            <w:div w:id="1471290931">
                              <w:marLeft w:val="0"/>
                              <w:marRight w:val="0"/>
                              <w:marTop w:val="0"/>
                              <w:marBottom w:val="0"/>
                              <w:divBdr>
                                <w:top w:val="none" w:sz="0" w:space="0" w:color="auto"/>
                                <w:left w:val="none" w:sz="0" w:space="0" w:color="auto"/>
                                <w:bottom w:val="none" w:sz="0" w:space="0" w:color="auto"/>
                                <w:right w:val="none" w:sz="0" w:space="0" w:color="auto"/>
                              </w:divBdr>
                              <w:divsChild>
                                <w:div w:id="1724910435">
                                  <w:marLeft w:val="0"/>
                                  <w:marRight w:val="0"/>
                                  <w:marTop w:val="0"/>
                                  <w:marBottom w:val="0"/>
                                  <w:divBdr>
                                    <w:top w:val="none" w:sz="0" w:space="0" w:color="auto"/>
                                    <w:left w:val="none" w:sz="0" w:space="0" w:color="auto"/>
                                    <w:bottom w:val="none" w:sz="0" w:space="0" w:color="auto"/>
                                    <w:right w:val="none" w:sz="0" w:space="0" w:color="auto"/>
                                  </w:divBdr>
                                  <w:divsChild>
                                    <w:div w:id="74418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8530151">
      <w:bodyDiv w:val="1"/>
      <w:marLeft w:val="0"/>
      <w:marRight w:val="0"/>
      <w:marTop w:val="0"/>
      <w:marBottom w:val="0"/>
      <w:divBdr>
        <w:top w:val="none" w:sz="0" w:space="0" w:color="auto"/>
        <w:left w:val="none" w:sz="0" w:space="0" w:color="auto"/>
        <w:bottom w:val="none" w:sz="0" w:space="0" w:color="auto"/>
        <w:right w:val="none" w:sz="0" w:space="0" w:color="auto"/>
      </w:divBdr>
      <w:divsChild>
        <w:div w:id="1149249801">
          <w:marLeft w:val="0"/>
          <w:marRight w:val="0"/>
          <w:marTop w:val="0"/>
          <w:marBottom w:val="0"/>
          <w:divBdr>
            <w:top w:val="none" w:sz="0" w:space="0" w:color="auto"/>
            <w:left w:val="none" w:sz="0" w:space="0" w:color="auto"/>
            <w:bottom w:val="none" w:sz="0" w:space="0" w:color="auto"/>
            <w:right w:val="none" w:sz="0" w:space="0" w:color="auto"/>
          </w:divBdr>
        </w:div>
      </w:divsChild>
    </w:div>
    <w:div w:id="1319337483">
      <w:bodyDiv w:val="1"/>
      <w:marLeft w:val="0"/>
      <w:marRight w:val="0"/>
      <w:marTop w:val="0"/>
      <w:marBottom w:val="0"/>
      <w:divBdr>
        <w:top w:val="none" w:sz="0" w:space="0" w:color="auto"/>
        <w:left w:val="none" w:sz="0" w:space="0" w:color="auto"/>
        <w:bottom w:val="none" w:sz="0" w:space="0" w:color="auto"/>
        <w:right w:val="none" w:sz="0" w:space="0" w:color="auto"/>
      </w:divBdr>
      <w:divsChild>
        <w:div w:id="136993604">
          <w:marLeft w:val="0"/>
          <w:marRight w:val="0"/>
          <w:marTop w:val="0"/>
          <w:marBottom w:val="150"/>
          <w:divBdr>
            <w:top w:val="none" w:sz="0" w:space="0" w:color="auto"/>
            <w:left w:val="none" w:sz="0" w:space="0" w:color="auto"/>
            <w:bottom w:val="none" w:sz="0" w:space="0" w:color="auto"/>
            <w:right w:val="none" w:sz="0" w:space="0" w:color="auto"/>
          </w:divBdr>
          <w:divsChild>
            <w:div w:id="773139119">
              <w:marLeft w:val="0"/>
              <w:marRight w:val="0"/>
              <w:marTop w:val="0"/>
              <w:marBottom w:val="0"/>
              <w:divBdr>
                <w:top w:val="none" w:sz="0" w:space="0" w:color="auto"/>
                <w:left w:val="none" w:sz="0" w:space="0" w:color="auto"/>
                <w:bottom w:val="none" w:sz="0" w:space="0" w:color="auto"/>
                <w:right w:val="none" w:sz="0" w:space="0" w:color="auto"/>
              </w:divBdr>
              <w:divsChild>
                <w:div w:id="54260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758241">
          <w:marLeft w:val="0"/>
          <w:marRight w:val="0"/>
          <w:marTop w:val="0"/>
          <w:marBottom w:val="150"/>
          <w:divBdr>
            <w:top w:val="none" w:sz="0" w:space="0" w:color="auto"/>
            <w:left w:val="none" w:sz="0" w:space="0" w:color="auto"/>
            <w:bottom w:val="none" w:sz="0" w:space="0" w:color="auto"/>
            <w:right w:val="none" w:sz="0" w:space="0" w:color="auto"/>
          </w:divBdr>
        </w:div>
        <w:div w:id="622658976">
          <w:marLeft w:val="0"/>
          <w:marRight w:val="0"/>
          <w:marTop w:val="0"/>
          <w:marBottom w:val="0"/>
          <w:divBdr>
            <w:top w:val="none" w:sz="0" w:space="0" w:color="auto"/>
            <w:left w:val="none" w:sz="0" w:space="0" w:color="auto"/>
            <w:bottom w:val="none" w:sz="0" w:space="0" w:color="auto"/>
            <w:right w:val="none" w:sz="0" w:space="0" w:color="auto"/>
          </w:divBdr>
          <w:divsChild>
            <w:div w:id="185152904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19650367">
      <w:bodyDiv w:val="1"/>
      <w:marLeft w:val="0"/>
      <w:marRight w:val="0"/>
      <w:marTop w:val="0"/>
      <w:marBottom w:val="0"/>
      <w:divBdr>
        <w:top w:val="none" w:sz="0" w:space="0" w:color="auto"/>
        <w:left w:val="none" w:sz="0" w:space="0" w:color="auto"/>
        <w:bottom w:val="none" w:sz="0" w:space="0" w:color="auto"/>
        <w:right w:val="none" w:sz="0" w:space="0" w:color="auto"/>
      </w:divBdr>
      <w:divsChild>
        <w:div w:id="680744661">
          <w:marLeft w:val="0"/>
          <w:marRight w:val="0"/>
          <w:marTop w:val="0"/>
          <w:marBottom w:val="0"/>
          <w:divBdr>
            <w:top w:val="none" w:sz="0" w:space="0" w:color="auto"/>
            <w:left w:val="none" w:sz="0" w:space="0" w:color="auto"/>
            <w:bottom w:val="dotted" w:sz="6" w:space="4" w:color="DDDDDD"/>
            <w:right w:val="none" w:sz="0" w:space="0" w:color="auto"/>
          </w:divBdr>
        </w:div>
      </w:divsChild>
    </w:div>
    <w:div w:id="1319765979">
      <w:bodyDiv w:val="1"/>
      <w:marLeft w:val="0"/>
      <w:marRight w:val="0"/>
      <w:marTop w:val="0"/>
      <w:marBottom w:val="0"/>
      <w:divBdr>
        <w:top w:val="none" w:sz="0" w:space="0" w:color="auto"/>
        <w:left w:val="none" w:sz="0" w:space="0" w:color="auto"/>
        <w:bottom w:val="none" w:sz="0" w:space="0" w:color="auto"/>
        <w:right w:val="none" w:sz="0" w:space="0" w:color="auto"/>
      </w:divBdr>
      <w:divsChild>
        <w:div w:id="374308298">
          <w:marLeft w:val="0"/>
          <w:marRight w:val="0"/>
          <w:marTop w:val="0"/>
          <w:marBottom w:val="150"/>
          <w:divBdr>
            <w:top w:val="none" w:sz="0" w:space="0" w:color="auto"/>
            <w:left w:val="none" w:sz="0" w:space="0" w:color="auto"/>
            <w:bottom w:val="none" w:sz="0" w:space="0" w:color="auto"/>
            <w:right w:val="none" w:sz="0" w:space="0" w:color="auto"/>
          </w:divBdr>
        </w:div>
      </w:divsChild>
    </w:div>
    <w:div w:id="1319771092">
      <w:bodyDiv w:val="1"/>
      <w:marLeft w:val="0"/>
      <w:marRight w:val="0"/>
      <w:marTop w:val="0"/>
      <w:marBottom w:val="0"/>
      <w:divBdr>
        <w:top w:val="none" w:sz="0" w:space="0" w:color="auto"/>
        <w:left w:val="none" w:sz="0" w:space="0" w:color="auto"/>
        <w:bottom w:val="none" w:sz="0" w:space="0" w:color="auto"/>
        <w:right w:val="none" w:sz="0" w:space="0" w:color="auto"/>
      </w:divBdr>
    </w:div>
    <w:div w:id="1320114737">
      <w:bodyDiv w:val="1"/>
      <w:marLeft w:val="0"/>
      <w:marRight w:val="0"/>
      <w:marTop w:val="0"/>
      <w:marBottom w:val="0"/>
      <w:divBdr>
        <w:top w:val="none" w:sz="0" w:space="0" w:color="auto"/>
        <w:left w:val="none" w:sz="0" w:space="0" w:color="auto"/>
        <w:bottom w:val="none" w:sz="0" w:space="0" w:color="auto"/>
        <w:right w:val="none" w:sz="0" w:space="0" w:color="auto"/>
      </w:divBdr>
      <w:divsChild>
        <w:div w:id="1653950755">
          <w:marLeft w:val="0"/>
          <w:marRight w:val="0"/>
          <w:marTop w:val="0"/>
          <w:marBottom w:val="0"/>
          <w:divBdr>
            <w:top w:val="none" w:sz="0" w:space="0" w:color="auto"/>
            <w:left w:val="none" w:sz="0" w:space="0" w:color="auto"/>
            <w:bottom w:val="dotted" w:sz="6" w:space="4" w:color="DDDDDD"/>
            <w:right w:val="none" w:sz="0" w:space="0" w:color="auto"/>
          </w:divBdr>
        </w:div>
      </w:divsChild>
    </w:div>
    <w:div w:id="1320816206">
      <w:bodyDiv w:val="1"/>
      <w:marLeft w:val="0"/>
      <w:marRight w:val="0"/>
      <w:marTop w:val="0"/>
      <w:marBottom w:val="0"/>
      <w:divBdr>
        <w:top w:val="none" w:sz="0" w:space="0" w:color="auto"/>
        <w:left w:val="none" w:sz="0" w:space="0" w:color="auto"/>
        <w:bottom w:val="none" w:sz="0" w:space="0" w:color="auto"/>
        <w:right w:val="none" w:sz="0" w:space="0" w:color="auto"/>
      </w:divBdr>
    </w:div>
    <w:div w:id="1321157222">
      <w:bodyDiv w:val="1"/>
      <w:marLeft w:val="0"/>
      <w:marRight w:val="0"/>
      <w:marTop w:val="0"/>
      <w:marBottom w:val="0"/>
      <w:divBdr>
        <w:top w:val="none" w:sz="0" w:space="0" w:color="auto"/>
        <w:left w:val="none" w:sz="0" w:space="0" w:color="auto"/>
        <w:bottom w:val="none" w:sz="0" w:space="0" w:color="auto"/>
        <w:right w:val="none" w:sz="0" w:space="0" w:color="auto"/>
      </w:divBdr>
      <w:divsChild>
        <w:div w:id="1581718258">
          <w:marLeft w:val="0"/>
          <w:marRight w:val="0"/>
          <w:marTop w:val="0"/>
          <w:marBottom w:val="0"/>
          <w:divBdr>
            <w:top w:val="none" w:sz="0" w:space="0" w:color="auto"/>
            <w:left w:val="none" w:sz="0" w:space="0" w:color="auto"/>
            <w:bottom w:val="dotted" w:sz="6" w:space="4" w:color="DDDDDD"/>
            <w:right w:val="none" w:sz="0" w:space="0" w:color="auto"/>
          </w:divBdr>
          <w:divsChild>
            <w:div w:id="213452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03221">
      <w:bodyDiv w:val="1"/>
      <w:marLeft w:val="0"/>
      <w:marRight w:val="0"/>
      <w:marTop w:val="0"/>
      <w:marBottom w:val="0"/>
      <w:divBdr>
        <w:top w:val="none" w:sz="0" w:space="0" w:color="auto"/>
        <w:left w:val="none" w:sz="0" w:space="0" w:color="auto"/>
        <w:bottom w:val="none" w:sz="0" w:space="0" w:color="auto"/>
        <w:right w:val="none" w:sz="0" w:space="0" w:color="auto"/>
      </w:divBdr>
      <w:divsChild>
        <w:div w:id="577977280">
          <w:marLeft w:val="0"/>
          <w:marRight w:val="0"/>
          <w:marTop w:val="0"/>
          <w:marBottom w:val="0"/>
          <w:divBdr>
            <w:top w:val="none" w:sz="0" w:space="0" w:color="auto"/>
            <w:left w:val="none" w:sz="0" w:space="0" w:color="auto"/>
            <w:bottom w:val="none" w:sz="0" w:space="0" w:color="auto"/>
            <w:right w:val="none" w:sz="0" w:space="0" w:color="auto"/>
          </w:divBdr>
          <w:divsChild>
            <w:div w:id="54856362">
              <w:marLeft w:val="0"/>
              <w:marRight w:val="0"/>
              <w:marTop w:val="0"/>
              <w:marBottom w:val="0"/>
              <w:divBdr>
                <w:top w:val="none" w:sz="0" w:space="0" w:color="auto"/>
                <w:left w:val="none" w:sz="0" w:space="0" w:color="auto"/>
                <w:bottom w:val="none" w:sz="0" w:space="0" w:color="auto"/>
                <w:right w:val="none" w:sz="0" w:space="0" w:color="auto"/>
              </w:divBdr>
            </w:div>
            <w:div w:id="3879920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22612788">
      <w:bodyDiv w:val="1"/>
      <w:marLeft w:val="0"/>
      <w:marRight w:val="0"/>
      <w:marTop w:val="0"/>
      <w:marBottom w:val="0"/>
      <w:divBdr>
        <w:top w:val="none" w:sz="0" w:space="0" w:color="auto"/>
        <w:left w:val="none" w:sz="0" w:space="0" w:color="auto"/>
        <w:bottom w:val="none" w:sz="0" w:space="0" w:color="auto"/>
        <w:right w:val="none" w:sz="0" w:space="0" w:color="auto"/>
      </w:divBdr>
      <w:divsChild>
        <w:div w:id="642659483">
          <w:marLeft w:val="0"/>
          <w:marRight w:val="0"/>
          <w:marTop w:val="0"/>
          <w:marBottom w:val="150"/>
          <w:divBdr>
            <w:top w:val="none" w:sz="0" w:space="0" w:color="auto"/>
            <w:left w:val="none" w:sz="0" w:space="0" w:color="auto"/>
            <w:bottom w:val="none" w:sz="0" w:space="0" w:color="auto"/>
            <w:right w:val="none" w:sz="0" w:space="0" w:color="auto"/>
          </w:divBdr>
        </w:div>
        <w:div w:id="1151101214">
          <w:marLeft w:val="0"/>
          <w:marRight w:val="0"/>
          <w:marTop w:val="0"/>
          <w:marBottom w:val="0"/>
          <w:divBdr>
            <w:top w:val="none" w:sz="0" w:space="0" w:color="auto"/>
            <w:left w:val="none" w:sz="0" w:space="0" w:color="auto"/>
            <w:bottom w:val="none" w:sz="0" w:space="0" w:color="auto"/>
            <w:right w:val="none" w:sz="0" w:space="0" w:color="auto"/>
          </w:divBdr>
        </w:div>
      </w:divsChild>
    </w:div>
    <w:div w:id="1322779695">
      <w:bodyDiv w:val="1"/>
      <w:marLeft w:val="0"/>
      <w:marRight w:val="0"/>
      <w:marTop w:val="0"/>
      <w:marBottom w:val="0"/>
      <w:divBdr>
        <w:top w:val="none" w:sz="0" w:space="0" w:color="auto"/>
        <w:left w:val="none" w:sz="0" w:space="0" w:color="auto"/>
        <w:bottom w:val="none" w:sz="0" w:space="0" w:color="auto"/>
        <w:right w:val="none" w:sz="0" w:space="0" w:color="auto"/>
      </w:divBdr>
      <w:divsChild>
        <w:div w:id="1024793550">
          <w:marLeft w:val="0"/>
          <w:marRight w:val="0"/>
          <w:marTop w:val="0"/>
          <w:marBottom w:val="0"/>
          <w:divBdr>
            <w:top w:val="none" w:sz="0" w:space="0" w:color="auto"/>
            <w:left w:val="none" w:sz="0" w:space="0" w:color="auto"/>
            <w:bottom w:val="none" w:sz="0" w:space="0" w:color="auto"/>
            <w:right w:val="none" w:sz="0" w:space="0" w:color="auto"/>
          </w:divBdr>
          <w:divsChild>
            <w:div w:id="1610549730">
              <w:marLeft w:val="0"/>
              <w:marRight w:val="0"/>
              <w:marTop w:val="0"/>
              <w:marBottom w:val="0"/>
              <w:divBdr>
                <w:top w:val="none" w:sz="0" w:space="0" w:color="auto"/>
                <w:left w:val="none" w:sz="0" w:space="0" w:color="auto"/>
                <w:bottom w:val="none" w:sz="0" w:space="0" w:color="auto"/>
                <w:right w:val="none" w:sz="0" w:space="0" w:color="auto"/>
              </w:divBdr>
              <w:divsChild>
                <w:div w:id="182791477">
                  <w:marLeft w:val="0"/>
                  <w:marRight w:val="0"/>
                  <w:marTop w:val="0"/>
                  <w:marBottom w:val="0"/>
                  <w:divBdr>
                    <w:top w:val="none" w:sz="0" w:space="0" w:color="auto"/>
                    <w:left w:val="none" w:sz="0" w:space="0" w:color="auto"/>
                    <w:bottom w:val="none" w:sz="0" w:space="0" w:color="auto"/>
                    <w:right w:val="none" w:sz="0" w:space="0" w:color="auto"/>
                  </w:divBdr>
                  <w:divsChild>
                    <w:div w:id="376273208">
                      <w:marLeft w:val="0"/>
                      <w:marRight w:val="0"/>
                      <w:marTop w:val="0"/>
                      <w:marBottom w:val="0"/>
                      <w:divBdr>
                        <w:top w:val="none" w:sz="0" w:space="0" w:color="auto"/>
                        <w:left w:val="none" w:sz="0" w:space="0" w:color="auto"/>
                        <w:bottom w:val="none" w:sz="0" w:space="0" w:color="auto"/>
                        <w:right w:val="none" w:sz="0" w:space="0" w:color="auto"/>
                      </w:divBdr>
                      <w:divsChild>
                        <w:div w:id="1213008020">
                          <w:marLeft w:val="0"/>
                          <w:marRight w:val="0"/>
                          <w:marTop w:val="0"/>
                          <w:marBottom w:val="0"/>
                          <w:divBdr>
                            <w:top w:val="none" w:sz="0" w:space="0" w:color="auto"/>
                            <w:left w:val="none" w:sz="0" w:space="0" w:color="auto"/>
                            <w:bottom w:val="none" w:sz="0" w:space="0" w:color="auto"/>
                            <w:right w:val="none" w:sz="0" w:space="0" w:color="auto"/>
                          </w:divBdr>
                          <w:divsChild>
                            <w:div w:id="55420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856083">
      <w:bodyDiv w:val="1"/>
      <w:marLeft w:val="0"/>
      <w:marRight w:val="0"/>
      <w:marTop w:val="0"/>
      <w:marBottom w:val="0"/>
      <w:divBdr>
        <w:top w:val="none" w:sz="0" w:space="0" w:color="auto"/>
        <w:left w:val="none" w:sz="0" w:space="0" w:color="auto"/>
        <w:bottom w:val="none" w:sz="0" w:space="0" w:color="auto"/>
        <w:right w:val="none" w:sz="0" w:space="0" w:color="auto"/>
      </w:divBdr>
    </w:div>
    <w:div w:id="1322999643">
      <w:bodyDiv w:val="1"/>
      <w:marLeft w:val="0"/>
      <w:marRight w:val="0"/>
      <w:marTop w:val="0"/>
      <w:marBottom w:val="0"/>
      <w:divBdr>
        <w:top w:val="none" w:sz="0" w:space="0" w:color="auto"/>
        <w:left w:val="none" w:sz="0" w:space="0" w:color="auto"/>
        <w:bottom w:val="none" w:sz="0" w:space="0" w:color="auto"/>
        <w:right w:val="none" w:sz="0" w:space="0" w:color="auto"/>
      </w:divBdr>
    </w:div>
    <w:div w:id="1323007249">
      <w:bodyDiv w:val="1"/>
      <w:marLeft w:val="0"/>
      <w:marRight w:val="0"/>
      <w:marTop w:val="0"/>
      <w:marBottom w:val="0"/>
      <w:divBdr>
        <w:top w:val="none" w:sz="0" w:space="0" w:color="auto"/>
        <w:left w:val="none" w:sz="0" w:space="0" w:color="auto"/>
        <w:bottom w:val="none" w:sz="0" w:space="0" w:color="auto"/>
        <w:right w:val="none" w:sz="0" w:space="0" w:color="auto"/>
      </w:divBdr>
      <w:divsChild>
        <w:div w:id="265042663">
          <w:marLeft w:val="0"/>
          <w:marRight w:val="0"/>
          <w:marTop w:val="0"/>
          <w:marBottom w:val="150"/>
          <w:divBdr>
            <w:top w:val="none" w:sz="0" w:space="0" w:color="auto"/>
            <w:left w:val="none" w:sz="0" w:space="0" w:color="auto"/>
            <w:bottom w:val="none" w:sz="0" w:space="0" w:color="auto"/>
            <w:right w:val="none" w:sz="0" w:space="0" w:color="auto"/>
          </w:divBdr>
        </w:div>
      </w:divsChild>
    </w:div>
    <w:div w:id="1323584346">
      <w:bodyDiv w:val="1"/>
      <w:marLeft w:val="0"/>
      <w:marRight w:val="0"/>
      <w:marTop w:val="0"/>
      <w:marBottom w:val="0"/>
      <w:divBdr>
        <w:top w:val="none" w:sz="0" w:space="0" w:color="auto"/>
        <w:left w:val="none" w:sz="0" w:space="0" w:color="auto"/>
        <w:bottom w:val="none" w:sz="0" w:space="0" w:color="auto"/>
        <w:right w:val="none" w:sz="0" w:space="0" w:color="auto"/>
      </w:divBdr>
      <w:divsChild>
        <w:div w:id="618806628">
          <w:marLeft w:val="0"/>
          <w:marRight w:val="0"/>
          <w:marTop w:val="0"/>
          <w:marBottom w:val="300"/>
          <w:divBdr>
            <w:top w:val="none" w:sz="0" w:space="0" w:color="auto"/>
            <w:left w:val="none" w:sz="0" w:space="0" w:color="auto"/>
            <w:bottom w:val="none" w:sz="0" w:space="0" w:color="auto"/>
            <w:right w:val="none" w:sz="0" w:space="0" w:color="auto"/>
          </w:divBdr>
          <w:divsChild>
            <w:div w:id="920453755">
              <w:marLeft w:val="0"/>
              <w:marRight w:val="0"/>
              <w:marTop w:val="0"/>
              <w:marBottom w:val="0"/>
              <w:divBdr>
                <w:top w:val="none" w:sz="0" w:space="0" w:color="auto"/>
                <w:left w:val="none" w:sz="0" w:space="0" w:color="auto"/>
                <w:bottom w:val="none" w:sz="0" w:space="0" w:color="auto"/>
                <w:right w:val="none" w:sz="0" w:space="0" w:color="auto"/>
              </w:divBdr>
            </w:div>
          </w:divsChild>
        </w:div>
        <w:div w:id="673193477">
          <w:marLeft w:val="0"/>
          <w:marRight w:val="0"/>
          <w:marTop w:val="0"/>
          <w:marBottom w:val="75"/>
          <w:divBdr>
            <w:top w:val="none" w:sz="0" w:space="0" w:color="auto"/>
            <w:left w:val="none" w:sz="0" w:space="0" w:color="auto"/>
            <w:bottom w:val="none" w:sz="0" w:space="0" w:color="auto"/>
            <w:right w:val="none" w:sz="0" w:space="0" w:color="auto"/>
          </w:divBdr>
        </w:div>
        <w:div w:id="708262935">
          <w:marLeft w:val="0"/>
          <w:marRight w:val="0"/>
          <w:marTop w:val="0"/>
          <w:marBottom w:val="0"/>
          <w:divBdr>
            <w:top w:val="none" w:sz="0" w:space="0" w:color="auto"/>
            <w:left w:val="none" w:sz="0" w:space="0" w:color="auto"/>
            <w:bottom w:val="none" w:sz="0" w:space="0" w:color="auto"/>
            <w:right w:val="none" w:sz="0" w:space="0" w:color="auto"/>
          </w:divBdr>
          <w:divsChild>
            <w:div w:id="1307590912">
              <w:marLeft w:val="0"/>
              <w:marRight w:val="0"/>
              <w:marTop w:val="0"/>
              <w:marBottom w:val="0"/>
              <w:divBdr>
                <w:top w:val="none" w:sz="0" w:space="0" w:color="auto"/>
                <w:left w:val="none" w:sz="0" w:space="0" w:color="auto"/>
                <w:bottom w:val="none" w:sz="0" w:space="0" w:color="auto"/>
                <w:right w:val="none" w:sz="0" w:space="0" w:color="auto"/>
              </w:divBdr>
            </w:div>
          </w:divsChild>
        </w:div>
        <w:div w:id="1425029155">
          <w:marLeft w:val="0"/>
          <w:marRight w:val="0"/>
          <w:marTop w:val="0"/>
          <w:marBottom w:val="0"/>
          <w:divBdr>
            <w:top w:val="none" w:sz="0" w:space="0" w:color="auto"/>
            <w:left w:val="none" w:sz="0" w:space="0" w:color="auto"/>
            <w:bottom w:val="none" w:sz="0" w:space="0" w:color="auto"/>
            <w:right w:val="none" w:sz="0" w:space="0" w:color="auto"/>
          </w:divBdr>
          <w:divsChild>
            <w:div w:id="719979823">
              <w:marLeft w:val="0"/>
              <w:marRight w:val="0"/>
              <w:marTop w:val="0"/>
              <w:marBottom w:val="0"/>
              <w:divBdr>
                <w:top w:val="none" w:sz="0" w:space="0" w:color="auto"/>
                <w:left w:val="none" w:sz="0" w:space="0" w:color="auto"/>
                <w:bottom w:val="none" w:sz="0" w:space="0" w:color="auto"/>
                <w:right w:val="none" w:sz="0" w:space="0" w:color="auto"/>
              </w:divBdr>
              <w:divsChild>
                <w:div w:id="210071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968933">
      <w:bodyDiv w:val="1"/>
      <w:marLeft w:val="0"/>
      <w:marRight w:val="0"/>
      <w:marTop w:val="0"/>
      <w:marBottom w:val="0"/>
      <w:divBdr>
        <w:top w:val="none" w:sz="0" w:space="0" w:color="auto"/>
        <w:left w:val="none" w:sz="0" w:space="0" w:color="auto"/>
        <w:bottom w:val="none" w:sz="0" w:space="0" w:color="auto"/>
        <w:right w:val="none" w:sz="0" w:space="0" w:color="auto"/>
      </w:divBdr>
    </w:div>
    <w:div w:id="1324160125">
      <w:bodyDiv w:val="1"/>
      <w:marLeft w:val="0"/>
      <w:marRight w:val="0"/>
      <w:marTop w:val="0"/>
      <w:marBottom w:val="0"/>
      <w:divBdr>
        <w:top w:val="none" w:sz="0" w:space="0" w:color="auto"/>
        <w:left w:val="none" w:sz="0" w:space="0" w:color="auto"/>
        <w:bottom w:val="none" w:sz="0" w:space="0" w:color="auto"/>
        <w:right w:val="none" w:sz="0" w:space="0" w:color="auto"/>
      </w:divBdr>
      <w:divsChild>
        <w:div w:id="154687895">
          <w:marLeft w:val="0"/>
          <w:marRight w:val="0"/>
          <w:marTop w:val="0"/>
          <w:marBottom w:val="150"/>
          <w:divBdr>
            <w:top w:val="none" w:sz="0" w:space="0" w:color="auto"/>
            <w:left w:val="none" w:sz="0" w:space="0" w:color="auto"/>
            <w:bottom w:val="none" w:sz="0" w:space="0" w:color="auto"/>
            <w:right w:val="none" w:sz="0" w:space="0" w:color="auto"/>
          </w:divBdr>
        </w:div>
        <w:div w:id="335888972">
          <w:marLeft w:val="0"/>
          <w:marRight w:val="0"/>
          <w:marTop w:val="0"/>
          <w:marBottom w:val="150"/>
          <w:divBdr>
            <w:top w:val="none" w:sz="0" w:space="0" w:color="auto"/>
            <w:left w:val="none" w:sz="0" w:space="0" w:color="auto"/>
            <w:bottom w:val="none" w:sz="0" w:space="0" w:color="auto"/>
            <w:right w:val="none" w:sz="0" w:space="0" w:color="auto"/>
          </w:divBdr>
        </w:div>
        <w:div w:id="368801369">
          <w:marLeft w:val="0"/>
          <w:marRight w:val="0"/>
          <w:marTop w:val="0"/>
          <w:marBottom w:val="150"/>
          <w:divBdr>
            <w:top w:val="none" w:sz="0" w:space="0" w:color="auto"/>
            <w:left w:val="none" w:sz="0" w:space="0" w:color="auto"/>
            <w:bottom w:val="none" w:sz="0" w:space="0" w:color="auto"/>
            <w:right w:val="none" w:sz="0" w:space="0" w:color="auto"/>
          </w:divBdr>
        </w:div>
        <w:div w:id="568467004">
          <w:marLeft w:val="0"/>
          <w:marRight w:val="0"/>
          <w:marTop w:val="0"/>
          <w:marBottom w:val="150"/>
          <w:divBdr>
            <w:top w:val="none" w:sz="0" w:space="0" w:color="auto"/>
            <w:left w:val="none" w:sz="0" w:space="0" w:color="auto"/>
            <w:bottom w:val="none" w:sz="0" w:space="0" w:color="auto"/>
            <w:right w:val="none" w:sz="0" w:space="0" w:color="auto"/>
          </w:divBdr>
        </w:div>
        <w:div w:id="588776051">
          <w:marLeft w:val="0"/>
          <w:marRight w:val="0"/>
          <w:marTop w:val="0"/>
          <w:marBottom w:val="150"/>
          <w:divBdr>
            <w:top w:val="none" w:sz="0" w:space="0" w:color="auto"/>
            <w:left w:val="none" w:sz="0" w:space="0" w:color="auto"/>
            <w:bottom w:val="none" w:sz="0" w:space="0" w:color="auto"/>
            <w:right w:val="none" w:sz="0" w:space="0" w:color="auto"/>
          </w:divBdr>
        </w:div>
        <w:div w:id="639383105">
          <w:marLeft w:val="0"/>
          <w:marRight w:val="0"/>
          <w:marTop w:val="0"/>
          <w:marBottom w:val="150"/>
          <w:divBdr>
            <w:top w:val="none" w:sz="0" w:space="0" w:color="auto"/>
            <w:left w:val="none" w:sz="0" w:space="0" w:color="auto"/>
            <w:bottom w:val="none" w:sz="0" w:space="0" w:color="auto"/>
            <w:right w:val="none" w:sz="0" w:space="0" w:color="auto"/>
          </w:divBdr>
        </w:div>
        <w:div w:id="687414625">
          <w:marLeft w:val="0"/>
          <w:marRight w:val="0"/>
          <w:marTop w:val="0"/>
          <w:marBottom w:val="150"/>
          <w:divBdr>
            <w:top w:val="none" w:sz="0" w:space="0" w:color="auto"/>
            <w:left w:val="none" w:sz="0" w:space="0" w:color="auto"/>
            <w:bottom w:val="none" w:sz="0" w:space="0" w:color="auto"/>
            <w:right w:val="none" w:sz="0" w:space="0" w:color="auto"/>
          </w:divBdr>
        </w:div>
        <w:div w:id="742410921">
          <w:marLeft w:val="0"/>
          <w:marRight w:val="0"/>
          <w:marTop w:val="0"/>
          <w:marBottom w:val="150"/>
          <w:divBdr>
            <w:top w:val="none" w:sz="0" w:space="0" w:color="auto"/>
            <w:left w:val="none" w:sz="0" w:space="0" w:color="auto"/>
            <w:bottom w:val="none" w:sz="0" w:space="0" w:color="auto"/>
            <w:right w:val="none" w:sz="0" w:space="0" w:color="auto"/>
          </w:divBdr>
        </w:div>
        <w:div w:id="852955658">
          <w:marLeft w:val="0"/>
          <w:marRight w:val="0"/>
          <w:marTop w:val="0"/>
          <w:marBottom w:val="150"/>
          <w:divBdr>
            <w:top w:val="none" w:sz="0" w:space="0" w:color="auto"/>
            <w:left w:val="none" w:sz="0" w:space="0" w:color="auto"/>
            <w:bottom w:val="none" w:sz="0" w:space="0" w:color="auto"/>
            <w:right w:val="none" w:sz="0" w:space="0" w:color="auto"/>
          </w:divBdr>
        </w:div>
        <w:div w:id="1076394367">
          <w:marLeft w:val="0"/>
          <w:marRight w:val="0"/>
          <w:marTop w:val="0"/>
          <w:marBottom w:val="150"/>
          <w:divBdr>
            <w:top w:val="none" w:sz="0" w:space="0" w:color="auto"/>
            <w:left w:val="none" w:sz="0" w:space="0" w:color="auto"/>
            <w:bottom w:val="none" w:sz="0" w:space="0" w:color="auto"/>
            <w:right w:val="none" w:sz="0" w:space="0" w:color="auto"/>
          </w:divBdr>
        </w:div>
        <w:div w:id="1123184527">
          <w:marLeft w:val="0"/>
          <w:marRight w:val="0"/>
          <w:marTop w:val="0"/>
          <w:marBottom w:val="150"/>
          <w:divBdr>
            <w:top w:val="none" w:sz="0" w:space="0" w:color="auto"/>
            <w:left w:val="none" w:sz="0" w:space="0" w:color="auto"/>
            <w:bottom w:val="none" w:sz="0" w:space="0" w:color="auto"/>
            <w:right w:val="none" w:sz="0" w:space="0" w:color="auto"/>
          </w:divBdr>
        </w:div>
        <w:div w:id="1245528747">
          <w:marLeft w:val="0"/>
          <w:marRight w:val="0"/>
          <w:marTop w:val="0"/>
          <w:marBottom w:val="150"/>
          <w:divBdr>
            <w:top w:val="none" w:sz="0" w:space="0" w:color="auto"/>
            <w:left w:val="none" w:sz="0" w:space="0" w:color="auto"/>
            <w:bottom w:val="none" w:sz="0" w:space="0" w:color="auto"/>
            <w:right w:val="none" w:sz="0" w:space="0" w:color="auto"/>
          </w:divBdr>
        </w:div>
        <w:div w:id="1322197799">
          <w:marLeft w:val="0"/>
          <w:marRight w:val="0"/>
          <w:marTop w:val="0"/>
          <w:marBottom w:val="150"/>
          <w:divBdr>
            <w:top w:val="none" w:sz="0" w:space="0" w:color="auto"/>
            <w:left w:val="none" w:sz="0" w:space="0" w:color="auto"/>
            <w:bottom w:val="none" w:sz="0" w:space="0" w:color="auto"/>
            <w:right w:val="none" w:sz="0" w:space="0" w:color="auto"/>
          </w:divBdr>
        </w:div>
        <w:div w:id="1677926585">
          <w:marLeft w:val="0"/>
          <w:marRight w:val="0"/>
          <w:marTop w:val="0"/>
          <w:marBottom w:val="150"/>
          <w:divBdr>
            <w:top w:val="none" w:sz="0" w:space="0" w:color="auto"/>
            <w:left w:val="none" w:sz="0" w:space="0" w:color="auto"/>
            <w:bottom w:val="none" w:sz="0" w:space="0" w:color="auto"/>
            <w:right w:val="none" w:sz="0" w:space="0" w:color="auto"/>
          </w:divBdr>
        </w:div>
        <w:div w:id="1774595487">
          <w:marLeft w:val="0"/>
          <w:marRight w:val="0"/>
          <w:marTop w:val="0"/>
          <w:marBottom w:val="150"/>
          <w:divBdr>
            <w:top w:val="none" w:sz="0" w:space="0" w:color="auto"/>
            <w:left w:val="none" w:sz="0" w:space="0" w:color="auto"/>
            <w:bottom w:val="none" w:sz="0" w:space="0" w:color="auto"/>
            <w:right w:val="none" w:sz="0" w:space="0" w:color="auto"/>
          </w:divBdr>
        </w:div>
        <w:div w:id="1909026539">
          <w:marLeft w:val="0"/>
          <w:marRight w:val="0"/>
          <w:marTop w:val="0"/>
          <w:marBottom w:val="150"/>
          <w:divBdr>
            <w:top w:val="none" w:sz="0" w:space="0" w:color="auto"/>
            <w:left w:val="none" w:sz="0" w:space="0" w:color="auto"/>
            <w:bottom w:val="none" w:sz="0" w:space="0" w:color="auto"/>
            <w:right w:val="none" w:sz="0" w:space="0" w:color="auto"/>
          </w:divBdr>
        </w:div>
        <w:div w:id="1912622426">
          <w:marLeft w:val="0"/>
          <w:marRight w:val="0"/>
          <w:marTop w:val="0"/>
          <w:marBottom w:val="150"/>
          <w:divBdr>
            <w:top w:val="none" w:sz="0" w:space="0" w:color="auto"/>
            <w:left w:val="none" w:sz="0" w:space="0" w:color="auto"/>
            <w:bottom w:val="none" w:sz="0" w:space="0" w:color="auto"/>
            <w:right w:val="none" w:sz="0" w:space="0" w:color="auto"/>
          </w:divBdr>
        </w:div>
        <w:div w:id="1944651070">
          <w:marLeft w:val="0"/>
          <w:marRight w:val="0"/>
          <w:marTop w:val="0"/>
          <w:marBottom w:val="150"/>
          <w:divBdr>
            <w:top w:val="none" w:sz="0" w:space="0" w:color="auto"/>
            <w:left w:val="none" w:sz="0" w:space="0" w:color="auto"/>
            <w:bottom w:val="none" w:sz="0" w:space="0" w:color="auto"/>
            <w:right w:val="none" w:sz="0" w:space="0" w:color="auto"/>
          </w:divBdr>
        </w:div>
        <w:div w:id="1974022840">
          <w:marLeft w:val="0"/>
          <w:marRight w:val="0"/>
          <w:marTop w:val="0"/>
          <w:marBottom w:val="150"/>
          <w:divBdr>
            <w:top w:val="none" w:sz="0" w:space="0" w:color="auto"/>
            <w:left w:val="none" w:sz="0" w:space="0" w:color="auto"/>
            <w:bottom w:val="none" w:sz="0" w:space="0" w:color="auto"/>
            <w:right w:val="none" w:sz="0" w:space="0" w:color="auto"/>
          </w:divBdr>
        </w:div>
        <w:div w:id="1976330968">
          <w:marLeft w:val="0"/>
          <w:marRight w:val="0"/>
          <w:marTop w:val="0"/>
          <w:marBottom w:val="150"/>
          <w:divBdr>
            <w:top w:val="none" w:sz="0" w:space="0" w:color="auto"/>
            <w:left w:val="none" w:sz="0" w:space="0" w:color="auto"/>
            <w:bottom w:val="none" w:sz="0" w:space="0" w:color="auto"/>
            <w:right w:val="none" w:sz="0" w:space="0" w:color="auto"/>
          </w:divBdr>
        </w:div>
        <w:div w:id="2035883380">
          <w:marLeft w:val="0"/>
          <w:marRight w:val="0"/>
          <w:marTop w:val="0"/>
          <w:marBottom w:val="150"/>
          <w:divBdr>
            <w:top w:val="none" w:sz="0" w:space="0" w:color="auto"/>
            <w:left w:val="none" w:sz="0" w:space="0" w:color="auto"/>
            <w:bottom w:val="none" w:sz="0" w:space="0" w:color="auto"/>
            <w:right w:val="none" w:sz="0" w:space="0" w:color="auto"/>
          </w:divBdr>
        </w:div>
      </w:divsChild>
    </w:div>
    <w:div w:id="1324311683">
      <w:bodyDiv w:val="1"/>
      <w:marLeft w:val="0"/>
      <w:marRight w:val="0"/>
      <w:marTop w:val="0"/>
      <w:marBottom w:val="0"/>
      <w:divBdr>
        <w:top w:val="none" w:sz="0" w:space="0" w:color="auto"/>
        <w:left w:val="none" w:sz="0" w:space="0" w:color="auto"/>
        <w:bottom w:val="none" w:sz="0" w:space="0" w:color="auto"/>
        <w:right w:val="none" w:sz="0" w:space="0" w:color="auto"/>
      </w:divBdr>
      <w:divsChild>
        <w:div w:id="1124426791">
          <w:marLeft w:val="0"/>
          <w:marRight w:val="0"/>
          <w:marTop w:val="0"/>
          <w:marBottom w:val="0"/>
          <w:divBdr>
            <w:top w:val="none" w:sz="0" w:space="0" w:color="auto"/>
            <w:left w:val="none" w:sz="0" w:space="0" w:color="auto"/>
            <w:bottom w:val="none" w:sz="0" w:space="0" w:color="auto"/>
            <w:right w:val="none" w:sz="0" w:space="0" w:color="auto"/>
          </w:divBdr>
          <w:divsChild>
            <w:div w:id="761999095">
              <w:marLeft w:val="0"/>
              <w:marRight w:val="0"/>
              <w:marTop w:val="0"/>
              <w:marBottom w:val="0"/>
              <w:divBdr>
                <w:top w:val="none" w:sz="0" w:space="0" w:color="auto"/>
                <w:left w:val="none" w:sz="0" w:space="0" w:color="auto"/>
                <w:bottom w:val="none" w:sz="0" w:space="0" w:color="auto"/>
                <w:right w:val="none" w:sz="0" w:space="0" w:color="auto"/>
              </w:divBdr>
            </w:div>
          </w:divsChild>
        </w:div>
        <w:div w:id="1947495631">
          <w:marLeft w:val="0"/>
          <w:marRight w:val="0"/>
          <w:marTop w:val="0"/>
          <w:marBottom w:val="150"/>
          <w:divBdr>
            <w:top w:val="none" w:sz="0" w:space="0" w:color="auto"/>
            <w:left w:val="none" w:sz="0" w:space="0" w:color="auto"/>
            <w:bottom w:val="none" w:sz="0" w:space="0" w:color="auto"/>
            <w:right w:val="none" w:sz="0" w:space="0" w:color="auto"/>
          </w:divBdr>
        </w:div>
        <w:div w:id="2114595672">
          <w:marLeft w:val="0"/>
          <w:marRight w:val="0"/>
          <w:marTop w:val="0"/>
          <w:marBottom w:val="150"/>
          <w:divBdr>
            <w:top w:val="none" w:sz="0" w:space="0" w:color="auto"/>
            <w:left w:val="none" w:sz="0" w:space="0" w:color="auto"/>
            <w:bottom w:val="none" w:sz="0" w:space="0" w:color="auto"/>
            <w:right w:val="none" w:sz="0" w:space="0" w:color="auto"/>
          </w:divBdr>
          <w:divsChild>
            <w:div w:id="7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511428">
      <w:bodyDiv w:val="1"/>
      <w:marLeft w:val="0"/>
      <w:marRight w:val="0"/>
      <w:marTop w:val="0"/>
      <w:marBottom w:val="0"/>
      <w:divBdr>
        <w:top w:val="none" w:sz="0" w:space="0" w:color="auto"/>
        <w:left w:val="none" w:sz="0" w:space="0" w:color="auto"/>
        <w:bottom w:val="none" w:sz="0" w:space="0" w:color="auto"/>
        <w:right w:val="none" w:sz="0" w:space="0" w:color="auto"/>
      </w:divBdr>
    </w:div>
    <w:div w:id="1324973233">
      <w:bodyDiv w:val="1"/>
      <w:marLeft w:val="0"/>
      <w:marRight w:val="0"/>
      <w:marTop w:val="0"/>
      <w:marBottom w:val="0"/>
      <w:divBdr>
        <w:top w:val="none" w:sz="0" w:space="0" w:color="auto"/>
        <w:left w:val="none" w:sz="0" w:space="0" w:color="auto"/>
        <w:bottom w:val="none" w:sz="0" w:space="0" w:color="auto"/>
        <w:right w:val="none" w:sz="0" w:space="0" w:color="auto"/>
      </w:divBdr>
      <w:divsChild>
        <w:div w:id="217403415">
          <w:marLeft w:val="0"/>
          <w:marRight w:val="0"/>
          <w:marTop w:val="0"/>
          <w:marBottom w:val="150"/>
          <w:divBdr>
            <w:top w:val="none" w:sz="0" w:space="0" w:color="auto"/>
            <w:left w:val="none" w:sz="0" w:space="0" w:color="auto"/>
            <w:bottom w:val="none" w:sz="0" w:space="0" w:color="auto"/>
            <w:right w:val="none" w:sz="0" w:space="0" w:color="auto"/>
          </w:divBdr>
          <w:divsChild>
            <w:div w:id="1961762018">
              <w:marLeft w:val="0"/>
              <w:marRight w:val="0"/>
              <w:marTop w:val="0"/>
              <w:marBottom w:val="0"/>
              <w:divBdr>
                <w:top w:val="none" w:sz="0" w:space="0" w:color="auto"/>
                <w:left w:val="none" w:sz="0" w:space="0" w:color="auto"/>
                <w:bottom w:val="none" w:sz="0" w:space="0" w:color="auto"/>
                <w:right w:val="none" w:sz="0" w:space="0" w:color="auto"/>
              </w:divBdr>
              <w:divsChild>
                <w:div w:id="81287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691790">
          <w:marLeft w:val="0"/>
          <w:marRight w:val="0"/>
          <w:marTop w:val="0"/>
          <w:marBottom w:val="150"/>
          <w:divBdr>
            <w:top w:val="none" w:sz="0" w:space="0" w:color="auto"/>
            <w:left w:val="none" w:sz="0" w:space="0" w:color="auto"/>
            <w:bottom w:val="none" w:sz="0" w:space="0" w:color="auto"/>
            <w:right w:val="none" w:sz="0" w:space="0" w:color="auto"/>
          </w:divBdr>
        </w:div>
        <w:div w:id="1439835521">
          <w:marLeft w:val="0"/>
          <w:marRight w:val="0"/>
          <w:marTop w:val="0"/>
          <w:marBottom w:val="0"/>
          <w:divBdr>
            <w:top w:val="none" w:sz="0" w:space="0" w:color="auto"/>
            <w:left w:val="none" w:sz="0" w:space="0" w:color="auto"/>
            <w:bottom w:val="none" w:sz="0" w:space="0" w:color="auto"/>
            <w:right w:val="none" w:sz="0" w:space="0" w:color="auto"/>
          </w:divBdr>
          <w:divsChild>
            <w:div w:id="113891689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25086755">
      <w:bodyDiv w:val="1"/>
      <w:marLeft w:val="0"/>
      <w:marRight w:val="0"/>
      <w:marTop w:val="0"/>
      <w:marBottom w:val="0"/>
      <w:divBdr>
        <w:top w:val="none" w:sz="0" w:space="0" w:color="auto"/>
        <w:left w:val="none" w:sz="0" w:space="0" w:color="auto"/>
        <w:bottom w:val="none" w:sz="0" w:space="0" w:color="auto"/>
        <w:right w:val="none" w:sz="0" w:space="0" w:color="auto"/>
      </w:divBdr>
      <w:divsChild>
        <w:div w:id="152181190">
          <w:marLeft w:val="0"/>
          <w:marRight w:val="0"/>
          <w:marTop w:val="0"/>
          <w:marBottom w:val="0"/>
          <w:divBdr>
            <w:top w:val="none" w:sz="0" w:space="0" w:color="auto"/>
            <w:left w:val="none" w:sz="0" w:space="0" w:color="auto"/>
            <w:bottom w:val="none" w:sz="0" w:space="0" w:color="auto"/>
            <w:right w:val="none" w:sz="0" w:space="0" w:color="auto"/>
          </w:divBdr>
          <w:divsChild>
            <w:div w:id="494564817">
              <w:marLeft w:val="0"/>
              <w:marRight w:val="0"/>
              <w:marTop w:val="0"/>
              <w:marBottom w:val="0"/>
              <w:divBdr>
                <w:top w:val="none" w:sz="0" w:space="0" w:color="auto"/>
                <w:left w:val="none" w:sz="0" w:space="0" w:color="auto"/>
                <w:bottom w:val="none" w:sz="0" w:space="0" w:color="auto"/>
                <w:right w:val="none" w:sz="0" w:space="0" w:color="auto"/>
              </w:divBdr>
              <w:divsChild>
                <w:div w:id="547573723">
                  <w:marLeft w:val="0"/>
                  <w:marRight w:val="0"/>
                  <w:marTop w:val="0"/>
                  <w:marBottom w:val="0"/>
                  <w:divBdr>
                    <w:top w:val="none" w:sz="0" w:space="0" w:color="auto"/>
                    <w:left w:val="none" w:sz="0" w:space="0" w:color="auto"/>
                    <w:bottom w:val="none" w:sz="0" w:space="0" w:color="auto"/>
                    <w:right w:val="none" w:sz="0" w:space="0" w:color="auto"/>
                  </w:divBdr>
                  <w:divsChild>
                    <w:div w:id="878587264">
                      <w:marLeft w:val="0"/>
                      <w:marRight w:val="0"/>
                      <w:marTop w:val="0"/>
                      <w:marBottom w:val="0"/>
                      <w:divBdr>
                        <w:top w:val="none" w:sz="0" w:space="0" w:color="auto"/>
                        <w:left w:val="none" w:sz="0" w:space="0" w:color="auto"/>
                        <w:bottom w:val="none" w:sz="0" w:space="0" w:color="auto"/>
                        <w:right w:val="none" w:sz="0" w:space="0" w:color="auto"/>
                      </w:divBdr>
                      <w:divsChild>
                        <w:div w:id="1222209782">
                          <w:marLeft w:val="0"/>
                          <w:marRight w:val="0"/>
                          <w:marTop w:val="0"/>
                          <w:marBottom w:val="0"/>
                          <w:divBdr>
                            <w:top w:val="none" w:sz="0" w:space="0" w:color="auto"/>
                            <w:left w:val="none" w:sz="0" w:space="0" w:color="auto"/>
                            <w:bottom w:val="none" w:sz="0" w:space="0" w:color="auto"/>
                            <w:right w:val="none" w:sz="0" w:space="0" w:color="auto"/>
                          </w:divBdr>
                          <w:divsChild>
                            <w:div w:id="282349215">
                              <w:marLeft w:val="0"/>
                              <w:marRight w:val="0"/>
                              <w:marTop w:val="0"/>
                              <w:marBottom w:val="0"/>
                              <w:divBdr>
                                <w:top w:val="none" w:sz="0" w:space="0" w:color="auto"/>
                                <w:left w:val="none" w:sz="0" w:space="0" w:color="auto"/>
                                <w:bottom w:val="none" w:sz="0" w:space="0" w:color="auto"/>
                                <w:right w:val="none" w:sz="0" w:space="0" w:color="auto"/>
                              </w:divBdr>
                              <w:divsChild>
                                <w:div w:id="162622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5939802">
      <w:bodyDiv w:val="1"/>
      <w:marLeft w:val="0"/>
      <w:marRight w:val="0"/>
      <w:marTop w:val="0"/>
      <w:marBottom w:val="0"/>
      <w:divBdr>
        <w:top w:val="none" w:sz="0" w:space="0" w:color="auto"/>
        <w:left w:val="none" w:sz="0" w:space="0" w:color="auto"/>
        <w:bottom w:val="none" w:sz="0" w:space="0" w:color="auto"/>
        <w:right w:val="none" w:sz="0" w:space="0" w:color="auto"/>
      </w:divBdr>
      <w:divsChild>
        <w:div w:id="235945804">
          <w:marLeft w:val="0"/>
          <w:marRight w:val="0"/>
          <w:marTop w:val="0"/>
          <w:marBottom w:val="0"/>
          <w:divBdr>
            <w:top w:val="none" w:sz="0" w:space="0" w:color="auto"/>
            <w:left w:val="none" w:sz="0" w:space="0" w:color="auto"/>
            <w:bottom w:val="none" w:sz="0" w:space="0" w:color="auto"/>
            <w:right w:val="none" w:sz="0" w:space="0" w:color="auto"/>
          </w:divBdr>
        </w:div>
        <w:div w:id="798885969">
          <w:marLeft w:val="0"/>
          <w:marRight w:val="0"/>
          <w:marTop w:val="0"/>
          <w:marBottom w:val="0"/>
          <w:divBdr>
            <w:top w:val="none" w:sz="0" w:space="0" w:color="auto"/>
            <w:left w:val="none" w:sz="0" w:space="0" w:color="auto"/>
            <w:bottom w:val="none" w:sz="0" w:space="0" w:color="auto"/>
            <w:right w:val="none" w:sz="0" w:space="0" w:color="auto"/>
          </w:divBdr>
          <w:divsChild>
            <w:div w:id="2090157472">
              <w:marLeft w:val="0"/>
              <w:marRight w:val="0"/>
              <w:marTop w:val="0"/>
              <w:marBottom w:val="0"/>
              <w:divBdr>
                <w:top w:val="none" w:sz="0" w:space="0" w:color="auto"/>
                <w:left w:val="none" w:sz="0" w:space="0" w:color="auto"/>
                <w:bottom w:val="none" w:sz="0" w:space="0" w:color="auto"/>
                <w:right w:val="none" w:sz="0" w:space="0" w:color="auto"/>
              </w:divBdr>
            </w:div>
          </w:divsChild>
        </w:div>
        <w:div w:id="1107775747">
          <w:marLeft w:val="0"/>
          <w:marRight w:val="0"/>
          <w:marTop w:val="0"/>
          <w:marBottom w:val="0"/>
          <w:divBdr>
            <w:top w:val="none" w:sz="0" w:space="0" w:color="auto"/>
            <w:left w:val="none" w:sz="0" w:space="0" w:color="auto"/>
            <w:bottom w:val="none" w:sz="0" w:space="0" w:color="auto"/>
            <w:right w:val="none" w:sz="0" w:space="0" w:color="auto"/>
          </w:divBdr>
        </w:div>
      </w:divsChild>
    </w:div>
    <w:div w:id="1326393775">
      <w:bodyDiv w:val="1"/>
      <w:marLeft w:val="0"/>
      <w:marRight w:val="0"/>
      <w:marTop w:val="0"/>
      <w:marBottom w:val="0"/>
      <w:divBdr>
        <w:top w:val="none" w:sz="0" w:space="0" w:color="auto"/>
        <w:left w:val="none" w:sz="0" w:space="0" w:color="auto"/>
        <w:bottom w:val="none" w:sz="0" w:space="0" w:color="auto"/>
        <w:right w:val="none" w:sz="0" w:space="0" w:color="auto"/>
      </w:divBdr>
      <w:divsChild>
        <w:div w:id="201091260">
          <w:marLeft w:val="0"/>
          <w:marRight w:val="0"/>
          <w:marTop w:val="0"/>
          <w:marBottom w:val="150"/>
          <w:divBdr>
            <w:top w:val="none" w:sz="0" w:space="0" w:color="auto"/>
            <w:left w:val="none" w:sz="0" w:space="0" w:color="auto"/>
            <w:bottom w:val="none" w:sz="0" w:space="0" w:color="auto"/>
            <w:right w:val="none" w:sz="0" w:space="0" w:color="auto"/>
          </w:divBdr>
          <w:divsChild>
            <w:div w:id="378945344">
              <w:marLeft w:val="0"/>
              <w:marRight w:val="0"/>
              <w:marTop w:val="0"/>
              <w:marBottom w:val="0"/>
              <w:divBdr>
                <w:top w:val="none" w:sz="0" w:space="0" w:color="auto"/>
                <w:left w:val="none" w:sz="0" w:space="0" w:color="auto"/>
                <w:bottom w:val="none" w:sz="0" w:space="0" w:color="auto"/>
                <w:right w:val="none" w:sz="0" w:space="0" w:color="auto"/>
              </w:divBdr>
            </w:div>
          </w:divsChild>
        </w:div>
        <w:div w:id="227303046">
          <w:marLeft w:val="0"/>
          <w:marRight w:val="0"/>
          <w:marTop w:val="0"/>
          <w:marBottom w:val="0"/>
          <w:divBdr>
            <w:top w:val="none" w:sz="0" w:space="0" w:color="auto"/>
            <w:left w:val="none" w:sz="0" w:space="0" w:color="auto"/>
            <w:bottom w:val="none" w:sz="0" w:space="0" w:color="auto"/>
            <w:right w:val="none" w:sz="0" w:space="0" w:color="auto"/>
          </w:divBdr>
          <w:divsChild>
            <w:div w:id="1470434185">
              <w:marLeft w:val="0"/>
              <w:marRight w:val="0"/>
              <w:marTop w:val="0"/>
              <w:marBottom w:val="0"/>
              <w:divBdr>
                <w:top w:val="none" w:sz="0" w:space="0" w:color="auto"/>
                <w:left w:val="none" w:sz="0" w:space="0" w:color="auto"/>
                <w:bottom w:val="none" w:sz="0" w:space="0" w:color="auto"/>
                <w:right w:val="none" w:sz="0" w:space="0" w:color="auto"/>
              </w:divBdr>
            </w:div>
          </w:divsChild>
        </w:div>
        <w:div w:id="529878229">
          <w:marLeft w:val="0"/>
          <w:marRight w:val="0"/>
          <w:marTop w:val="0"/>
          <w:marBottom w:val="150"/>
          <w:divBdr>
            <w:top w:val="none" w:sz="0" w:space="0" w:color="auto"/>
            <w:left w:val="none" w:sz="0" w:space="0" w:color="auto"/>
            <w:bottom w:val="none" w:sz="0" w:space="0" w:color="auto"/>
            <w:right w:val="none" w:sz="0" w:space="0" w:color="auto"/>
          </w:divBdr>
        </w:div>
      </w:divsChild>
    </w:div>
    <w:div w:id="1326782844">
      <w:bodyDiv w:val="1"/>
      <w:marLeft w:val="0"/>
      <w:marRight w:val="0"/>
      <w:marTop w:val="0"/>
      <w:marBottom w:val="0"/>
      <w:divBdr>
        <w:top w:val="none" w:sz="0" w:space="0" w:color="auto"/>
        <w:left w:val="none" w:sz="0" w:space="0" w:color="auto"/>
        <w:bottom w:val="none" w:sz="0" w:space="0" w:color="auto"/>
        <w:right w:val="none" w:sz="0" w:space="0" w:color="auto"/>
      </w:divBdr>
      <w:divsChild>
        <w:div w:id="1706325849">
          <w:marLeft w:val="0"/>
          <w:marRight w:val="0"/>
          <w:marTop w:val="0"/>
          <w:marBottom w:val="0"/>
          <w:divBdr>
            <w:top w:val="none" w:sz="0" w:space="0" w:color="auto"/>
            <w:left w:val="none" w:sz="0" w:space="0" w:color="auto"/>
            <w:bottom w:val="dotted" w:sz="6" w:space="4" w:color="DDDDDD"/>
            <w:right w:val="none" w:sz="0" w:space="0" w:color="auto"/>
          </w:divBdr>
          <w:divsChild>
            <w:div w:id="91917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83723">
      <w:bodyDiv w:val="1"/>
      <w:marLeft w:val="0"/>
      <w:marRight w:val="0"/>
      <w:marTop w:val="0"/>
      <w:marBottom w:val="0"/>
      <w:divBdr>
        <w:top w:val="none" w:sz="0" w:space="0" w:color="auto"/>
        <w:left w:val="none" w:sz="0" w:space="0" w:color="auto"/>
        <w:bottom w:val="none" w:sz="0" w:space="0" w:color="auto"/>
        <w:right w:val="none" w:sz="0" w:space="0" w:color="auto"/>
      </w:divBdr>
      <w:divsChild>
        <w:div w:id="429277868">
          <w:marLeft w:val="0"/>
          <w:marRight w:val="0"/>
          <w:marTop w:val="0"/>
          <w:marBottom w:val="150"/>
          <w:divBdr>
            <w:top w:val="none" w:sz="0" w:space="0" w:color="auto"/>
            <w:left w:val="none" w:sz="0" w:space="0" w:color="auto"/>
            <w:bottom w:val="none" w:sz="0" w:space="0" w:color="auto"/>
            <w:right w:val="none" w:sz="0" w:space="0" w:color="auto"/>
          </w:divBdr>
        </w:div>
      </w:divsChild>
    </w:div>
    <w:div w:id="1326938579">
      <w:bodyDiv w:val="1"/>
      <w:marLeft w:val="0"/>
      <w:marRight w:val="0"/>
      <w:marTop w:val="0"/>
      <w:marBottom w:val="0"/>
      <w:divBdr>
        <w:top w:val="none" w:sz="0" w:space="0" w:color="auto"/>
        <w:left w:val="none" w:sz="0" w:space="0" w:color="auto"/>
        <w:bottom w:val="none" w:sz="0" w:space="0" w:color="auto"/>
        <w:right w:val="none" w:sz="0" w:space="0" w:color="auto"/>
      </w:divBdr>
    </w:div>
    <w:div w:id="1327439858">
      <w:bodyDiv w:val="1"/>
      <w:marLeft w:val="0"/>
      <w:marRight w:val="0"/>
      <w:marTop w:val="0"/>
      <w:marBottom w:val="0"/>
      <w:divBdr>
        <w:top w:val="none" w:sz="0" w:space="0" w:color="auto"/>
        <w:left w:val="none" w:sz="0" w:space="0" w:color="auto"/>
        <w:bottom w:val="none" w:sz="0" w:space="0" w:color="auto"/>
        <w:right w:val="none" w:sz="0" w:space="0" w:color="auto"/>
      </w:divBdr>
      <w:divsChild>
        <w:div w:id="190194880">
          <w:marLeft w:val="0"/>
          <w:marRight w:val="0"/>
          <w:marTop w:val="0"/>
          <w:marBottom w:val="150"/>
          <w:divBdr>
            <w:top w:val="none" w:sz="0" w:space="0" w:color="auto"/>
            <w:left w:val="none" w:sz="0" w:space="0" w:color="auto"/>
            <w:bottom w:val="none" w:sz="0" w:space="0" w:color="auto"/>
            <w:right w:val="none" w:sz="0" w:space="0" w:color="auto"/>
          </w:divBdr>
        </w:div>
        <w:div w:id="1432118548">
          <w:marLeft w:val="0"/>
          <w:marRight w:val="0"/>
          <w:marTop w:val="0"/>
          <w:marBottom w:val="0"/>
          <w:divBdr>
            <w:top w:val="none" w:sz="0" w:space="0" w:color="auto"/>
            <w:left w:val="none" w:sz="0" w:space="0" w:color="auto"/>
            <w:bottom w:val="none" w:sz="0" w:space="0" w:color="auto"/>
            <w:right w:val="none" w:sz="0" w:space="0" w:color="auto"/>
          </w:divBdr>
          <w:divsChild>
            <w:div w:id="821042727">
              <w:marLeft w:val="0"/>
              <w:marRight w:val="0"/>
              <w:marTop w:val="0"/>
              <w:marBottom w:val="225"/>
              <w:divBdr>
                <w:top w:val="none" w:sz="0" w:space="0" w:color="auto"/>
                <w:left w:val="none" w:sz="0" w:space="0" w:color="auto"/>
                <w:bottom w:val="none" w:sz="0" w:space="0" w:color="auto"/>
                <w:right w:val="none" w:sz="0" w:space="0" w:color="auto"/>
              </w:divBdr>
              <w:divsChild>
                <w:div w:id="119300251">
                  <w:marLeft w:val="0"/>
                  <w:marRight w:val="0"/>
                  <w:marTop w:val="0"/>
                  <w:marBottom w:val="150"/>
                  <w:divBdr>
                    <w:top w:val="none" w:sz="0" w:space="0" w:color="auto"/>
                    <w:left w:val="none" w:sz="0" w:space="0" w:color="auto"/>
                    <w:bottom w:val="none" w:sz="0" w:space="0" w:color="auto"/>
                    <w:right w:val="none" w:sz="0" w:space="0" w:color="auto"/>
                  </w:divBdr>
                </w:div>
                <w:div w:id="393162134">
                  <w:marLeft w:val="0"/>
                  <w:marRight w:val="0"/>
                  <w:marTop w:val="0"/>
                  <w:marBottom w:val="150"/>
                  <w:divBdr>
                    <w:top w:val="none" w:sz="0" w:space="0" w:color="auto"/>
                    <w:left w:val="none" w:sz="0" w:space="0" w:color="auto"/>
                    <w:bottom w:val="none" w:sz="0" w:space="0" w:color="auto"/>
                    <w:right w:val="none" w:sz="0" w:space="0" w:color="auto"/>
                  </w:divBdr>
                </w:div>
                <w:div w:id="611206372">
                  <w:marLeft w:val="0"/>
                  <w:marRight w:val="0"/>
                  <w:marTop w:val="0"/>
                  <w:marBottom w:val="150"/>
                  <w:divBdr>
                    <w:top w:val="none" w:sz="0" w:space="0" w:color="auto"/>
                    <w:left w:val="none" w:sz="0" w:space="0" w:color="auto"/>
                    <w:bottom w:val="none" w:sz="0" w:space="0" w:color="auto"/>
                    <w:right w:val="none" w:sz="0" w:space="0" w:color="auto"/>
                  </w:divBdr>
                </w:div>
                <w:div w:id="1267425603">
                  <w:marLeft w:val="0"/>
                  <w:marRight w:val="0"/>
                  <w:marTop w:val="0"/>
                  <w:marBottom w:val="150"/>
                  <w:divBdr>
                    <w:top w:val="none" w:sz="0" w:space="0" w:color="auto"/>
                    <w:left w:val="none" w:sz="0" w:space="0" w:color="auto"/>
                    <w:bottom w:val="none" w:sz="0" w:space="0" w:color="auto"/>
                    <w:right w:val="none" w:sz="0" w:space="0" w:color="auto"/>
                  </w:divBdr>
                </w:div>
                <w:div w:id="1282759397">
                  <w:marLeft w:val="0"/>
                  <w:marRight w:val="0"/>
                  <w:marTop w:val="0"/>
                  <w:marBottom w:val="150"/>
                  <w:divBdr>
                    <w:top w:val="none" w:sz="0" w:space="0" w:color="auto"/>
                    <w:left w:val="none" w:sz="0" w:space="0" w:color="auto"/>
                    <w:bottom w:val="none" w:sz="0" w:space="0" w:color="auto"/>
                    <w:right w:val="none" w:sz="0" w:space="0" w:color="auto"/>
                  </w:divBdr>
                </w:div>
                <w:div w:id="1578663861">
                  <w:marLeft w:val="0"/>
                  <w:marRight w:val="0"/>
                  <w:marTop w:val="0"/>
                  <w:marBottom w:val="150"/>
                  <w:divBdr>
                    <w:top w:val="none" w:sz="0" w:space="0" w:color="auto"/>
                    <w:left w:val="none" w:sz="0" w:space="0" w:color="auto"/>
                    <w:bottom w:val="none" w:sz="0" w:space="0" w:color="auto"/>
                    <w:right w:val="none" w:sz="0" w:space="0" w:color="auto"/>
                  </w:divBdr>
                </w:div>
                <w:div w:id="1698653362">
                  <w:marLeft w:val="0"/>
                  <w:marRight w:val="0"/>
                  <w:marTop w:val="0"/>
                  <w:marBottom w:val="150"/>
                  <w:divBdr>
                    <w:top w:val="none" w:sz="0" w:space="0" w:color="auto"/>
                    <w:left w:val="none" w:sz="0" w:space="0" w:color="auto"/>
                    <w:bottom w:val="none" w:sz="0" w:space="0" w:color="auto"/>
                    <w:right w:val="none" w:sz="0" w:space="0" w:color="auto"/>
                  </w:divBdr>
                </w:div>
                <w:div w:id="1898584151">
                  <w:marLeft w:val="0"/>
                  <w:marRight w:val="0"/>
                  <w:marTop w:val="0"/>
                  <w:marBottom w:val="150"/>
                  <w:divBdr>
                    <w:top w:val="none" w:sz="0" w:space="0" w:color="auto"/>
                    <w:left w:val="none" w:sz="0" w:space="0" w:color="auto"/>
                    <w:bottom w:val="none" w:sz="0" w:space="0" w:color="auto"/>
                    <w:right w:val="none" w:sz="0" w:space="0" w:color="auto"/>
                  </w:divBdr>
                </w:div>
                <w:div w:id="19187839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45534597">
          <w:marLeft w:val="-9765"/>
          <w:marRight w:val="0"/>
          <w:marTop w:val="0"/>
          <w:marBottom w:val="0"/>
          <w:divBdr>
            <w:top w:val="none" w:sz="0" w:space="0" w:color="auto"/>
            <w:left w:val="none" w:sz="0" w:space="0" w:color="auto"/>
            <w:bottom w:val="none" w:sz="0" w:space="0" w:color="auto"/>
            <w:right w:val="none" w:sz="0" w:space="0" w:color="auto"/>
          </w:divBdr>
        </w:div>
      </w:divsChild>
    </w:div>
    <w:div w:id="1327634629">
      <w:bodyDiv w:val="1"/>
      <w:marLeft w:val="0"/>
      <w:marRight w:val="0"/>
      <w:marTop w:val="0"/>
      <w:marBottom w:val="0"/>
      <w:divBdr>
        <w:top w:val="none" w:sz="0" w:space="0" w:color="auto"/>
        <w:left w:val="none" w:sz="0" w:space="0" w:color="auto"/>
        <w:bottom w:val="none" w:sz="0" w:space="0" w:color="auto"/>
        <w:right w:val="none" w:sz="0" w:space="0" w:color="auto"/>
      </w:divBdr>
      <w:divsChild>
        <w:div w:id="838230589">
          <w:marLeft w:val="0"/>
          <w:marRight w:val="0"/>
          <w:marTop w:val="0"/>
          <w:marBottom w:val="150"/>
          <w:divBdr>
            <w:top w:val="none" w:sz="0" w:space="0" w:color="auto"/>
            <w:left w:val="none" w:sz="0" w:space="0" w:color="auto"/>
            <w:bottom w:val="none" w:sz="0" w:space="0" w:color="auto"/>
            <w:right w:val="none" w:sz="0" w:space="0" w:color="auto"/>
          </w:divBdr>
          <w:divsChild>
            <w:div w:id="881408285">
              <w:marLeft w:val="0"/>
              <w:marRight w:val="0"/>
              <w:marTop w:val="0"/>
              <w:marBottom w:val="0"/>
              <w:divBdr>
                <w:top w:val="none" w:sz="0" w:space="0" w:color="auto"/>
                <w:left w:val="none" w:sz="0" w:space="0" w:color="auto"/>
                <w:bottom w:val="none" w:sz="0" w:space="0" w:color="auto"/>
                <w:right w:val="none" w:sz="0" w:space="0" w:color="auto"/>
              </w:divBdr>
              <w:divsChild>
                <w:div w:id="39532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296304">
          <w:marLeft w:val="0"/>
          <w:marRight w:val="0"/>
          <w:marTop w:val="0"/>
          <w:marBottom w:val="150"/>
          <w:divBdr>
            <w:top w:val="none" w:sz="0" w:space="0" w:color="auto"/>
            <w:left w:val="none" w:sz="0" w:space="0" w:color="auto"/>
            <w:bottom w:val="none" w:sz="0" w:space="0" w:color="auto"/>
            <w:right w:val="none" w:sz="0" w:space="0" w:color="auto"/>
          </w:divBdr>
        </w:div>
        <w:div w:id="1935354321">
          <w:marLeft w:val="0"/>
          <w:marRight w:val="0"/>
          <w:marTop w:val="0"/>
          <w:marBottom w:val="0"/>
          <w:divBdr>
            <w:top w:val="none" w:sz="0" w:space="0" w:color="auto"/>
            <w:left w:val="none" w:sz="0" w:space="0" w:color="auto"/>
            <w:bottom w:val="none" w:sz="0" w:space="0" w:color="auto"/>
            <w:right w:val="none" w:sz="0" w:space="0" w:color="auto"/>
          </w:divBdr>
          <w:divsChild>
            <w:div w:id="76862243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27635353">
      <w:bodyDiv w:val="1"/>
      <w:marLeft w:val="0"/>
      <w:marRight w:val="0"/>
      <w:marTop w:val="0"/>
      <w:marBottom w:val="0"/>
      <w:divBdr>
        <w:top w:val="none" w:sz="0" w:space="0" w:color="auto"/>
        <w:left w:val="none" w:sz="0" w:space="0" w:color="auto"/>
        <w:bottom w:val="none" w:sz="0" w:space="0" w:color="auto"/>
        <w:right w:val="none" w:sz="0" w:space="0" w:color="auto"/>
      </w:divBdr>
      <w:divsChild>
        <w:div w:id="703141438">
          <w:marLeft w:val="0"/>
          <w:marRight w:val="0"/>
          <w:marTop w:val="0"/>
          <w:marBottom w:val="0"/>
          <w:divBdr>
            <w:top w:val="none" w:sz="0" w:space="0" w:color="auto"/>
            <w:left w:val="none" w:sz="0" w:space="0" w:color="auto"/>
            <w:bottom w:val="dotted" w:sz="6" w:space="4" w:color="DDDDDD"/>
            <w:right w:val="none" w:sz="0" w:space="0" w:color="auto"/>
          </w:divBdr>
          <w:divsChild>
            <w:div w:id="18614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635538">
      <w:bodyDiv w:val="1"/>
      <w:marLeft w:val="0"/>
      <w:marRight w:val="0"/>
      <w:marTop w:val="0"/>
      <w:marBottom w:val="0"/>
      <w:divBdr>
        <w:top w:val="none" w:sz="0" w:space="0" w:color="auto"/>
        <w:left w:val="none" w:sz="0" w:space="0" w:color="auto"/>
        <w:bottom w:val="none" w:sz="0" w:space="0" w:color="auto"/>
        <w:right w:val="none" w:sz="0" w:space="0" w:color="auto"/>
      </w:divBdr>
      <w:divsChild>
        <w:div w:id="624041140">
          <w:marLeft w:val="0"/>
          <w:marRight w:val="0"/>
          <w:marTop w:val="0"/>
          <w:marBottom w:val="150"/>
          <w:divBdr>
            <w:top w:val="none" w:sz="0" w:space="0" w:color="auto"/>
            <w:left w:val="none" w:sz="0" w:space="0" w:color="auto"/>
            <w:bottom w:val="none" w:sz="0" w:space="0" w:color="auto"/>
            <w:right w:val="none" w:sz="0" w:space="0" w:color="auto"/>
          </w:divBdr>
          <w:divsChild>
            <w:div w:id="242422576">
              <w:marLeft w:val="0"/>
              <w:marRight w:val="0"/>
              <w:marTop w:val="0"/>
              <w:marBottom w:val="0"/>
              <w:divBdr>
                <w:top w:val="none" w:sz="0" w:space="0" w:color="auto"/>
                <w:left w:val="none" w:sz="0" w:space="0" w:color="auto"/>
                <w:bottom w:val="none" w:sz="0" w:space="0" w:color="auto"/>
                <w:right w:val="none" w:sz="0" w:space="0" w:color="auto"/>
              </w:divBdr>
            </w:div>
          </w:divsChild>
        </w:div>
        <w:div w:id="796339545">
          <w:marLeft w:val="0"/>
          <w:marRight w:val="0"/>
          <w:marTop w:val="0"/>
          <w:marBottom w:val="0"/>
          <w:divBdr>
            <w:top w:val="none" w:sz="0" w:space="0" w:color="auto"/>
            <w:left w:val="none" w:sz="0" w:space="0" w:color="auto"/>
            <w:bottom w:val="none" w:sz="0" w:space="0" w:color="auto"/>
            <w:right w:val="none" w:sz="0" w:space="0" w:color="auto"/>
          </w:divBdr>
          <w:divsChild>
            <w:div w:id="242761400">
              <w:marLeft w:val="0"/>
              <w:marRight w:val="0"/>
              <w:marTop w:val="0"/>
              <w:marBottom w:val="0"/>
              <w:divBdr>
                <w:top w:val="none" w:sz="0" w:space="0" w:color="auto"/>
                <w:left w:val="none" w:sz="0" w:space="0" w:color="auto"/>
                <w:bottom w:val="none" w:sz="0" w:space="0" w:color="auto"/>
                <w:right w:val="none" w:sz="0" w:space="0" w:color="auto"/>
              </w:divBdr>
            </w:div>
            <w:div w:id="6454003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27709823">
      <w:bodyDiv w:val="1"/>
      <w:marLeft w:val="0"/>
      <w:marRight w:val="0"/>
      <w:marTop w:val="0"/>
      <w:marBottom w:val="0"/>
      <w:divBdr>
        <w:top w:val="none" w:sz="0" w:space="0" w:color="auto"/>
        <w:left w:val="none" w:sz="0" w:space="0" w:color="auto"/>
        <w:bottom w:val="none" w:sz="0" w:space="0" w:color="auto"/>
        <w:right w:val="none" w:sz="0" w:space="0" w:color="auto"/>
      </w:divBdr>
    </w:div>
    <w:div w:id="1328436851">
      <w:bodyDiv w:val="1"/>
      <w:marLeft w:val="0"/>
      <w:marRight w:val="0"/>
      <w:marTop w:val="0"/>
      <w:marBottom w:val="0"/>
      <w:divBdr>
        <w:top w:val="none" w:sz="0" w:space="0" w:color="auto"/>
        <w:left w:val="none" w:sz="0" w:space="0" w:color="auto"/>
        <w:bottom w:val="none" w:sz="0" w:space="0" w:color="auto"/>
        <w:right w:val="none" w:sz="0" w:space="0" w:color="auto"/>
      </w:divBdr>
      <w:divsChild>
        <w:div w:id="144207439">
          <w:marLeft w:val="0"/>
          <w:marRight w:val="0"/>
          <w:marTop w:val="0"/>
          <w:marBottom w:val="150"/>
          <w:divBdr>
            <w:top w:val="none" w:sz="0" w:space="0" w:color="auto"/>
            <w:left w:val="none" w:sz="0" w:space="0" w:color="auto"/>
            <w:bottom w:val="none" w:sz="0" w:space="0" w:color="auto"/>
            <w:right w:val="none" w:sz="0" w:space="0" w:color="auto"/>
          </w:divBdr>
        </w:div>
        <w:div w:id="621882778">
          <w:marLeft w:val="0"/>
          <w:marRight w:val="0"/>
          <w:marTop w:val="0"/>
          <w:marBottom w:val="150"/>
          <w:divBdr>
            <w:top w:val="none" w:sz="0" w:space="0" w:color="auto"/>
            <w:left w:val="none" w:sz="0" w:space="0" w:color="auto"/>
            <w:bottom w:val="none" w:sz="0" w:space="0" w:color="auto"/>
            <w:right w:val="none" w:sz="0" w:space="0" w:color="auto"/>
          </w:divBdr>
          <w:divsChild>
            <w:div w:id="710767812">
              <w:marLeft w:val="0"/>
              <w:marRight w:val="0"/>
              <w:marTop w:val="0"/>
              <w:marBottom w:val="0"/>
              <w:divBdr>
                <w:top w:val="none" w:sz="0" w:space="0" w:color="auto"/>
                <w:left w:val="none" w:sz="0" w:space="0" w:color="auto"/>
                <w:bottom w:val="none" w:sz="0" w:space="0" w:color="auto"/>
                <w:right w:val="none" w:sz="0" w:space="0" w:color="auto"/>
              </w:divBdr>
              <w:divsChild>
                <w:div w:id="152096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256702">
          <w:marLeft w:val="0"/>
          <w:marRight w:val="0"/>
          <w:marTop w:val="0"/>
          <w:marBottom w:val="0"/>
          <w:divBdr>
            <w:top w:val="none" w:sz="0" w:space="0" w:color="auto"/>
            <w:left w:val="none" w:sz="0" w:space="0" w:color="auto"/>
            <w:bottom w:val="none" w:sz="0" w:space="0" w:color="auto"/>
            <w:right w:val="none" w:sz="0" w:space="0" w:color="auto"/>
          </w:divBdr>
          <w:divsChild>
            <w:div w:id="63564950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28440192">
      <w:bodyDiv w:val="1"/>
      <w:marLeft w:val="0"/>
      <w:marRight w:val="0"/>
      <w:marTop w:val="0"/>
      <w:marBottom w:val="0"/>
      <w:divBdr>
        <w:top w:val="none" w:sz="0" w:space="0" w:color="auto"/>
        <w:left w:val="none" w:sz="0" w:space="0" w:color="auto"/>
        <w:bottom w:val="none" w:sz="0" w:space="0" w:color="auto"/>
        <w:right w:val="none" w:sz="0" w:space="0" w:color="auto"/>
      </w:divBdr>
      <w:divsChild>
        <w:div w:id="114063300">
          <w:marLeft w:val="0"/>
          <w:marRight w:val="0"/>
          <w:marTop w:val="0"/>
          <w:marBottom w:val="450"/>
          <w:divBdr>
            <w:top w:val="none" w:sz="0" w:space="0" w:color="auto"/>
            <w:left w:val="none" w:sz="0" w:space="0" w:color="auto"/>
            <w:bottom w:val="single" w:sz="6" w:space="19" w:color="EEEEEE"/>
            <w:right w:val="none" w:sz="0" w:space="0" w:color="auto"/>
          </w:divBdr>
          <w:divsChild>
            <w:div w:id="1704206242">
              <w:marLeft w:val="0"/>
              <w:marRight w:val="0"/>
              <w:marTop w:val="0"/>
              <w:marBottom w:val="150"/>
              <w:divBdr>
                <w:top w:val="none" w:sz="0" w:space="0" w:color="auto"/>
                <w:left w:val="none" w:sz="0" w:space="0" w:color="auto"/>
                <w:bottom w:val="none" w:sz="0" w:space="0" w:color="auto"/>
                <w:right w:val="none" w:sz="0" w:space="0" w:color="auto"/>
              </w:divBdr>
              <w:divsChild>
                <w:div w:id="785660097">
                  <w:marLeft w:val="0"/>
                  <w:marRight w:val="0"/>
                  <w:marTop w:val="0"/>
                  <w:marBottom w:val="0"/>
                  <w:divBdr>
                    <w:top w:val="none" w:sz="0" w:space="0" w:color="auto"/>
                    <w:left w:val="none" w:sz="0" w:space="0" w:color="auto"/>
                    <w:bottom w:val="none" w:sz="0" w:space="0" w:color="auto"/>
                    <w:right w:val="none" w:sz="0" w:space="0" w:color="auto"/>
                  </w:divBdr>
                </w:div>
              </w:divsChild>
            </w:div>
            <w:div w:id="588346536">
              <w:marLeft w:val="0"/>
              <w:marRight w:val="0"/>
              <w:marTop w:val="0"/>
              <w:marBottom w:val="0"/>
              <w:divBdr>
                <w:top w:val="none" w:sz="0" w:space="0" w:color="auto"/>
                <w:left w:val="none" w:sz="0" w:space="0" w:color="auto"/>
                <w:bottom w:val="none" w:sz="0" w:space="0" w:color="auto"/>
                <w:right w:val="none" w:sz="0" w:space="0" w:color="auto"/>
              </w:divBdr>
            </w:div>
          </w:divsChild>
        </w:div>
        <w:div w:id="1308319913">
          <w:marLeft w:val="0"/>
          <w:marRight w:val="0"/>
          <w:marTop w:val="0"/>
          <w:marBottom w:val="0"/>
          <w:divBdr>
            <w:top w:val="none" w:sz="0" w:space="0" w:color="auto"/>
            <w:left w:val="none" w:sz="0" w:space="0" w:color="auto"/>
            <w:bottom w:val="none" w:sz="0" w:space="0" w:color="auto"/>
            <w:right w:val="none" w:sz="0" w:space="0" w:color="auto"/>
          </w:divBdr>
          <w:divsChild>
            <w:div w:id="650521645">
              <w:marLeft w:val="0"/>
              <w:marRight w:val="0"/>
              <w:marTop w:val="0"/>
              <w:marBottom w:val="0"/>
              <w:divBdr>
                <w:top w:val="none" w:sz="0" w:space="0" w:color="auto"/>
                <w:left w:val="none" w:sz="0" w:space="0" w:color="auto"/>
                <w:bottom w:val="none" w:sz="0" w:space="0" w:color="auto"/>
                <w:right w:val="none" w:sz="0" w:space="0" w:color="auto"/>
              </w:divBdr>
              <w:divsChild>
                <w:div w:id="82497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509879">
      <w:bodyDiv w:val="1"/>
      <w:marLeft w:val="0"/>
      <w:marRight w:val="0"/>
      <w:marTop w:val="0"/>
      <w:marBottom w:val="0"/>
      <w:divBdr>
        <w:top w:val="none" w:sz="0" w:space="0" w:color="auto"/>
        <w:left w:val="none" w:sz="0" w:space="0" w:color="auto"/>
        <w:bottom w:val="none" w:sz="0" w:space="0" w:color="auto"/>
        <w:right w:val="none" w:sz="0" w:space="0" w:color="auto"/>
      </w:divBdr>
      <w:divsChild>
        <w:div w:id="1034379800">
          <w:marLeft w:val="0"/>
          <w:marRight w:val="0"/>
          <w:marTop w:val="0"/>
          <w:marBottom w:val="0"/>
          <w:divBdr>
            <w:top w:val="none" w:sz="0" w:space="0" w:color="auto"/>
            <w:left w:val="none" w:sz="0" w:space="0" w:color="auto"/>
            <w:bottom w:val="none" w:sz="0" w:space="0" w:color="auto"/>
            <w:right w:val="none" w:sz="0" w:space="0" w:color="auto"/>
          </w:divBdr>
          <w:divsChild>
            <w:div w:id="340621949">
              <w:marLeft w:val="0"/>
              <w:marRight w:val="0"/>
              <w:marTop w:val="0"/>
              <w:marBottom w:val="0"/>
              <w:divBdr>
                <w:top w:val="none" w:sz="0" w:space="0" w:color="auto"/>
                <w:left w:val="none" w:sz="0" w:space="0" w:color="auto"/>
                <w:bottom w:val="none" w:sz="0" w:space="0" w:color="auto"/>
                <w:right w:val="none" w:sz="0" w:space="0" w:color="auto"/>
              </w:divBdr>
              <w:divsChild>
                <w:div w:id="1966545288">
                  <w:marLeft w:val="0"/>
                  <w:marRight w:val="0"/>
                  <w:marTop w:val="0"/>
                  <w:marBottom w:val="0"/>
                  <w:divBdr>
                    <w:top w:val="none" w:sz="0" w:space="0" w:color="auto"/>
                    <w:left w:val="none" w:sz="0" w:space="0" w:color="auto"/>
                    <w:bottom w:val="none" w:sz="0" w:space="0" w:color="auto"/>
                    <w:right w:val="none" w:sz="0" w:space="0" w:color="auto"/>
                  </w:divBdr>
                  <w:divsChild>
                    <w:div w:id="227618499">
                      <w:marLeft w:val="0"/>
                      <w:marRight w:val="0"/>
                      <w:marTop w:val="0"/>
                      <w:marBottom w:val="0"/>
                      <w:divBdr>
                        <w:top w:val="none" w:sz="0" w:space="0" w:color="auto"/>
                        <w:left w:val="none" w:sz="0" w:space="0" w:color="auto"/>
                        <w:bottom w:val="none" w:sz="0" w:space="0" w:color="auto"/>
                        <w:right w:val="none" w:sz="0" w:space="0" w:color="auto"/>
                      </w:divBdr>
                      <w:divsChild>
                        <w:div w:id="1403481329">
                          <w:marLeft w:val="0"/>
                          <w:marRight w:val="0"/>
                          <w:marTop w:val="0"/>
                          <w:marBottom w:val="0"/>
                          <w:divBdr>
                            <w:top w:val="none" w:sz="0" w:space="0" w:color="auto"/>
                            <w:left w:val="none" w:sz="0" w:space="0" w:color="auto"/>
                            <w:bottom w:val="none" w:sz="0" w:space="0" w:color="auto"/>
                            <w:right w:val="none" w:sz="0" w:space="0" w:color="auto"/>
                          </w:divBdr>
                          <w:divsChild>
                            <w:div w:id="631209671">
                              <w:marLeft w:val="0"/>
                              <w:marRight w:val="0"/>
                              <w:marTop w:val="0"/>
                              <w:marBottom w:val="0"/>
                              <w:divBdr>
                                <w:top w:val="none" w:sz="0" w:space="0" w:color="auto"/>
                                <w:left w:val="none" w:sz="0" w:space="0" w:color="auto"/>
                                <w:bottom w:val="none" w:sz="0" w:space="0" w:color="auto"/>
                                <w:right w:val="none" w:sz="0" w:space="0" w:color="auto"/>
                              </w:divBdr>
                              <w:divsChild>
                                <w:div w:id="1460880913">
                                  <w:marLeft w:val="0"/>
                                  <w:marRight w:val="0"/>
                                  <w:marTop w:val="0"/>
                                  <w:marBottom w:val="0"/>
                                  <w:divBdr>
                                    <w:top w:val="none" w:sz="0" w:space="0" w:color="auto"/>
                                    <w:left w:val="none" w:sz="0" w:space="0" w:color="auto"/>
                                    <w:bottom w:val="none" w:sz="0" w:space="0" w:color="auto"/>
                                    <w:right w:val="none" w:sz="0" w:space="0" w:color="auto"/>
                                  </w:divBdr>
                                  <w:divsChild>
                                    <w:div w:id="42842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8940559">
      <w:bodyDiv w:val="1"/>
      <w:marLeft w:val="0"/>
      <w:marRight w:val="0"/>
      <w:marTop w:val="0"/>
      <w:marBottom w:val="0"/>
      <w:divBdr>
        <w:top w:val="none" w:sz="0" w:space="0" w:color="auto"/>
        <w:left w:val="none" w:sz="0" w:space="0" w:color="auto"/>
        <w:bottom w:val="none" w:sz="0" w:space="0" w:color="auto"/>
        <w:right w:val="none" w:sz="0" w:space="0" w:color="auto"/>
      </w:divBdr>
      <w:divsChild>
        <w:div w:id="408190280">
          <w:marLeft w:val="0"/>
          <w:marRight w:val="0"/>
          <w:marTop w:val="0"/>
          <w:marBottom w:val="0"/>
          <w:divBdr>
            <w:top w:val="none" w:sz="0" w:space="0" w:color="auto"/>
            <w:left w:val="none" w:sz="0" w:space="0" w:color="auto"/>
            <w:bottom w:val="none" w:sz="0" w:space="0" w:color="auto"/>
            <w:right w:val="none" w:sz="0" w:space="0" w:color="auto"/>
          </w:divBdr>
          <w:divsChild>
            <w:div w:id="137839871">
              <w:marLeft w:val="0"/>
              <w:marRight w:val="0"/>
              <w:marTop w:val="0"/>
              <w:marBottom w:val="0"/>
              <w:divBdr>
                <w:top w:val="none" w:sz="0" w:space="0" w:color="auto"/>
                <w:left w:val="none" w:sz="0" w:space="0" w:color="auto"/>
                <w:bottom w:val="none" w:sz="0" w:space="0" w:color="auto"/>
                <w:right w:val="none" w:sz="0" w:space="0" w:color="auto"/>
              </w:divBdr>
              <w:divsChild>
                <w:div w:id="140522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729507">
          <w:marLeft w:val="0"/>
          <w:marRight w:val="0"/>
          <w:marTop w:val="0"/>
          <w:marBottom w:val="450"/>
          <w:divBdr>
            <w:top w:val="none" w:sz="0" w:space="0" w:color="auto"/>
            <w:left w:val="none" w:sz="0" w:space="0" w:color="auto"/>
            <w:bottom w:val="single" w:sz="6" w:space="19" w:color="EEEEEE"/>
            <w:right w:val="none" w:sz="0" w:space="0" w:color="auto"/>
          </w:divBdr>
          <w:divsChild>
            <w:div w:id="1022171947">
              <w:marLeft w:val="0"/>
              <w:marRight w:val="0"/>
              <w:marTop w:val="0"/>
              <w:marBottom w:val="0"/>
              <w:divBdr>
                <w:top w:val="none" w:sz="0" w:space="0" w:color="auto"/>
                <w:left w:val="none" w:sz="0" w:space="0" w:color="auto"/>
                <w:bottom w:val="none" w:sz="0" w:space="0" w:color="auto"/>
                <w:right w:val="none" w:sz="0" w:space="0" w:color="auto"/>
              </w:divBdr>
            </w:div>
            <w:div w:id="1661469020">
              <w:marLeft w:val="0"/>
              <w:marRight w:val="0"/>
              <w:marTop w:val="0"/>
              <w:marBottom w:val="150"/>
              <w:divBdr>
                <w:top w:val="none" w:sz="0" w:space="0" w:color="auto"/>
                <w:left w:val="none" w:sz="0" w:space="0" w:color="auto"/>
                <w:bottom w:val="none" w:sz="0" w:space="0" w:color="auto"/>
                <w:right w:val="none" w:sz="0" w:space="0" w:color="auto"/>
              </w:divBdr>
              <w:divsChild>
                <w:div w:id="173388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599829">
      <w:bodyDiv w:val="1"/>
      <w:marLeft w:val="0"/>
      <w:marRight w:val="0"/>
      <w:marTop w:val="0"/>
      <w:marBottom w:val="0"/>
      <w:divBdr>
        <w:top w:val="none" w:sz="0" w:space="0" w:color="auto"/>
        <w:left w:val="none" w:sz="0" w:space="0" w:color="auto"/>
        <w:bottom w:val="none" w:sz="0" w:space="0" w:color="auto"/>
        <w:right w:val="none" w:sz="0" w:space="0" w:color="auto"/>
      </w:divBdr>
      <w:divsChild>
        <w:div w:id="697316365">
          <w:marLeft w:val="0"/>
          <w:marRight w:val="0"/>
          <w:marTop w:val="0"/>
          <w:marBottom w:val="150"/>
          <w:divBdr>
            <w:top w:val="none" w:sz="0" w:space="0" w:color="auto"/>
            <w:left w:val="none" w:sz="0" w:space="0" w:color="auto"/>
            <w:bottom w:val="none" w:sz="0" w:space="0" w:color="auto"/>
            <w:right w:val="none" w:sz="0" w:space="0" w:color="auto"/>
          </w:divBdr>
        </w:div>
        <w:div w:id="1536649986">
          <w:marLeft w:val="0"/>
          <w:marRight w:val="0"/>
          <w:marTop w:val="0"/>
          <w:marBottom w:val="0"/>
          <w:divBdr>
            <w:top w:val="none" w:sz="0" w:space="0" w:color="auto"/>
            <w:left w:val="none" w:sz="0" w:space="0" w:color="auto"/>
            <w:bottom w:val="none" w:sz="0" w:space="0" w:color="auto"/>
            <w:right w:val="none" w:sz="0" w:space="0" w:color="auto"/>
          </w:divBdr>
        </w:div>
      </w:divsChild>
    </w:div>
    <w:div w:id="1330594462">
      <w:bodyDiv w:val="1"/>
      <w:marLeft w:val="0"/>
      <w:marRight w:val="0"/>
      <w:marTop w:val="0"/>
      <w:marBottom w:val="0"/>
      <w:divBdr>
        <w:top w:val="none" w:sz="0" w:space="0" w:color="auto"/>
        <w:left w:val="none" w:sz="0" w:space="0" w:color="auto"/>
        <w:bottom w:val="none" w:sz="0" w:space="0" w:color="auto"/>
        <w:right w:val="none" w:sz="0" w:space="0" w:color="auto"/>
      </w:divBdr>
    </w:div>
    <w:div w:id="1330670150">
      <w:bodyDiv w:val="1"/>
      <w:marLeft w:val="0"/>
      <w:marRight w:val="0"/>
      <w:marTop w:val="0"/>
      <w:marBottom w:val="0"/>
      <w:divBdr>
        <w:top w:val="none" w:sz="0" w:space="0" w:color="auto"/>
        <w:left w:val="none" w:sz="0" w:space="0" w:color="auto"/>
        <w:bottom w:val="none" w:sz="0" w:space="0" w:color="auto"/>
        <w:right w:val="none" w:sz="0" w:space="0" w:color="auto"/>
      </w:divBdr>
      <w:divsChild>
        <w:div w:id="818378913">
          <w:marLeft w:val="0"/>
          <w:marRight w:val="0"/>
          <w:marTop w:val="150"/>
          <w:marBottom w:val="0"/>
          <w:divBdr>
            <w:top w:val="none" w:sz="0" w:space="0" w:color="auto"/>
            <w:left w:val="none" w:sz="0" w:space="0" w:color="auto"/>
            <w:bottom w:val="none" w:sz="0" w:space="0" w:color="auto"/>
            <w:right w:val="none" w:sz="0" w:space="0" w:color="auto"/>
          </w:divBdr>
          <w:divsChild>
            <w:div w:id="229732017">
              <w:marLeft w:val="0"/>
              <w:marRight w:val="0"/>
              <w:marTop w:val="0"/>
              <w:marBottom w:val="0"/>
              <w:divBdr>
                <w:top w:val="none" w:sz="0" w:space="0" w:color="auto"/>
                <w:left w:val="none" w:sz="0" w:space="0" w:color="auto"/>
                <w:bottom w:val="none" w:sz="0" w:space="0" w:color="auto"/>
                <w:right w:val="none" w:sz="0" w:space="0" w:color="auto"/>
              </w:divBdr>
              <w:divsChild>
                <w:div w:id="205287993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16229648">
          <w:marLeft w:val="0"/>
          <w:marRight w:val="0"/>
          <w:marTop w:val="0"/>
          <w:marBottom w:val="0"/>
          <w:divBdr>
            <w:top w:val="none" w:sz="0" w:space="0" w:color="auto"/>
            <w:left w:val="none" w:sz="0" w:space="0" w:color="auto"/>
            <w:bottom w:val="none" w:sz="0" w:space="0" w:color="auto"/>
            <w:right w:val="none" w:sz="0" w:space="0" w:color="auto"/>
          </w:divBdr>
          <w:divsChild>
            <w:div w:id="140622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72526">
      <w:bodyDiv w:val="1"/>
      <w:marLeft w:val="0"/>
      <w:marRight w:val="0"/>
      <w:marTop w:val="0"/>
      <w:marBottom w:val="0"/>
      <w:divBdr>
        <w:top w:val="none" w:sz="0" w:space="0" w:color="auto"/>
        <w:left w:val="none" w:sz="0" w:space="0" w:color="auto"/>
        <w:bottom w:val="none" w:sz="0" w:space="0" w:color="auto"/>
        <w:right w:val="none" w:sz="0" w:space="0" w:color="auto"/>
      </w:divBdr>
      <w:divsChild>
        <w:div w:id="1164855671">
          <w:marLeft w:val="0"/>
          <w:marRight w:val="0"/>
          <w:marTop w:val="0"/>
          <w:marBottom w:val="150"/>
          <w:divBdr>
            <w:top w:val="none" w:sz="0" w:space="0" w:color="auto"/>
            <w:left w:val="none" w:sz="0" w:space="0" w:color="auto"/>
            <w:bottom w:val="none" w:sz="0" w:space="0" w:color="auto"/>
            <w:right w:val="none" w:sz="0" w:space="0" w:color="auto"/>
          </w:divBdr>
          <w:divsChild>
            <w:div w:id="639073013">
              <w:marLeft w:val="0"/>
              <w:marRight w:val="0"/>
              <w:marTop w:val="0"/>
              <w:marBottom w:val="0"/>
              <w:divBdr>
                <w:top w:val="none" w:sz="0" w:space="0" w:color="auto"/>
                <w:left w:val="none" w:sz="0" w:space="0" w:color="auto"/>
                <w:bottom w:val="none" w:sz="0" w:space="0" w:color="auto"/>
                <w:right w:val="none" w:sz="0" w:space="0" w:color="auto"/>
              </w:divBdr>
            </w:div>
          </w:divsChild>
        </w:div>
        <w:div w:id="1938056255">
          <w:marLeft w:val="0"/>
          <w:marRight w:val="0"/>
          <w:marTop w:val="0"/>
          <w:marBottom w:val="150"/>
          <w:divBdr>
            <w:top w:val="none" w:sz="0" w:space="0" w:color="auto"/>
            <w:left w:val="none" w:sz="0" w:space="0" w:color="auto"/>
            <w:bottom w:val="none" w:sz="0" w:space="0" w:color="auto"/>
            <w:right w:val="none" w:sz="0" w:space="0" w:color="auto"/>
          </w:divBdr>
        </w:div>
        <w:div w:id="2121214961">
          <w:marLeft w:val="0"/>
          <w:marRight w:val="0"/>
          <w:marTop w:val="0"/>
          <w:marBottom w:val="0"/>
          <w:divBdr>
            <w:top w:val="none" w:sz="0" w:space="0" w:color="auto"/>
            <w:left w:val="none" w:sz="0" w:space="0" w:color="auto"/>
            <w:bottom w:val="none" w:sz="0" w:space="0" w:color="auto"/>
            <w:right w:val="none" w:sz="0" w:space="0" w:color="auto"/>
          </w:divBdr>
          <w:divsChild>
            <w:div w:id="143905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12997">
      <w:bodyDiv w:val="1"/>
      <w:marLeft w:val="0"/>
      <w:marRight w:val="0"/>
      <w:marTop w:val="0"/>
      <w:marBottom w:val="0"/>
      <w:divBdr>
        <w:top w:val="none" w:sz="0" w:space="0" w:color="auto"/>
        <w:left w:val="none" w:sz="0" w:space="0" w:color="auto"/>
        <w:bottom w:val="none" w:sz="0" w:space="0" w:color="auto"/>
        <w:right w:val="none" w:sz="0" w:space="0" w:color="auto"/>
      </w:divBdr>
      <w:divsChild>
        <w:div w:id="1001203059">
          <w:marLeft w:val="0"/>
          <w:marRight w:val="0"/>
          <w:marTop w:val="0"/>
          <w:marBottom w:val="0"/>
          <w:divBdr>
            <w:top w:val="none" w:sz="0" w:space="0" w:color="auto"/>
            <w:left w:val="none" w:sz="0" w:space="0" w:color="auto"/>
            <w:bottom w:val="none" w:sz="0" w:space="0" w:color="auto"/>
            <w:right w:val="none" w:sz="0" w:space="0" w:color="auto"/>
          </w:divBdr>
          <w:divsChild>
            <w:div w:id="374669677">
              <w:marLeft w:val="0"/>
              <w:marRight w:val="0"/>
              <w:marTop w:val="0"/>
              <w:marBottom w:val="0"/>
              <w:divBdr>
                <w:top w:val="none" w:sz="0" w:space="0" w:color="auto"/>
                <w:left w:val="none" w:sz="0" w:space="0" w:color="auto"/>
                <w:bottom w:val="none" w:sz="0" w:space="0" w:color="auto"/>
                <w:right w:val="none" w:sz="0" w:space="0" w:color="auto"/>
              </w:divBdr>
              <w:divsChild>
                <w:div w:id="1464998994">
                  <w:marLeft w:val="0"/>
                  <w:marRight w:val="0"/>
                  <w:marTop w:val="0"/>
                  <w:marBottom w:val="0"/>
                  <w:divBdr>
                    <w:top w:val="none" w:sz="0" w:space="0" w:color="auto"/>
                    <w:left w:val="none" w:sz="0" w:space="0" w:color="auto"/>
                    <w:bottom w:val="none" w:sz="0" w:space="0" w:color="auto"/>
                    <w:right w:val="none" w:sz="0" w:space="0" w:color="auto"/>
                  </w:divBdr>
                  <w:divsChild>
                    <w:div w:id="1987738525">
                      <w:marLeft w:val="0"/>
                      <w:marRight w:val="0"/>
                      <w:marTop w:val="0"/>
                      <w:marBottom w:val="0"/>
                      <w:divBdr>
                        <w:top w:val="none" w:sz="0" w:space="0" w:color="auto"/>
                        <w:left w:val="none" w:sz="0" w:space="0" w:color="auto"/>
                        <w:bottom w:val="none" w:sz="0" w:space="0" w:color="auto"/>
                        <w:right w:val="none" w:sz="0" w:space="0" w:color="auto"/>
                      </w:divBdr>
                      <w:divsChild>
                        <w:div w:id="2030598909">
                          <w:marLeft w:val="0"/>
                          <w:marRight w:val="0"/>
                          <w:marTop w:val="0"/>
                          <w:marBottom w:val="0"/>
                          <w:divBdr>
                            <w:top w:val="none" w:sz="0" w:space="0" w:color="auto"/>
                            <w:left w:val="none" w:sz="0" w:space="0" w:color="auto"/>
                            <w:bottom w:val="none" w:sz="0" w:space="0" w:color="auto"/>
                            <w:right w:val="none" w:sz="0" w:space="0" w:color="auto"/>
                          </w:divBdr>
                          <w:divsChild>
                            <w:div w:id="1129739736">
                              <w:marLeft w:val="0"/>
                              <w:marRight w:val="0"/>
                              <w:marTop w:val="0"/>
                              <w:marBottom w:val="0"/>
                              <w:divBdr>
                                <w:top w:val="none" w:sz="0" w:space="0" w:color="auto"/>
                                <w:left w:val="none" w:sz="0" w:space="0" w:color="auto"/>
                                <w:bottom w:val="none" w:sz="0" w:space="0" w:color="auto"/>
                                <w:right w:val="none" w:sz="0" w:space="0" w:color="auto"/>
                              </w:divBdr>
                              <w:divsChild>
                                <w:div w:id="1464468692">
                                  <w:marLeft w:val="0"/>
                                  <w:marRight w:val="0"/>
                                  <w:marTop w:val="0"/>
                                  <w:marBottom w:val="0"/>
                                  <w:divBdr>
                                    <w:top w:val="none" w:sz="0" w:space="0" w:color="auto"/>
                                    <w:left w:val="none" w:sz="0" w:space="0" w:color="auto"/>
                                    <w:bottom w:val="none" w:sz="0" w:space="0" w:color="auto"/>
                                    <w:right w:val="none" w:sz="0" w:space="0" w:color="auto"/>
                                  </w:divBdr>
                                  <w:divsChild>
                                    <w:div w:id="46925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2486498">
      <w:bodyDiv w:val="1"/>
      <w:marLeft w:val="0"/>
      <w:marRight w:val="0"/>
      <w:marTop w:val="0"/>
      <w:marBottom w:val="0"/>
      <w:divBdr>
        <w:top w:val="none" w:sz="0" w:space="0" w:color="auto"/>
        <w:left w:val="none" w:sz="0" w:space="0" w:color="auto"/>
        <w:bottom w:val="none" w:sz="0" w:space="0" w:color="auto"/>
        <w:right w:val="none" w:sz="0" w:space="0" w:color="auto"/>
      </w:divBdr>
      <w:divsChild>
        <w:div w:id="518079648">
          <w:marLeft w:val="0"/>
          <w:marRight w:val="0"/>
          <w:marTop w:val="0"/>
          <w:marBottom w:val="0"/>
          <w:divBdr>
            <w:top w:val="none" w:sz="0" w:space="0" w:color="auto"/>
            <w:left w:val="none" w:sz="0" w:space="0" w:color="auto"/>
            <w:bottom w:val="none" w:sz="0" w:space="0" w:color="auto"/>
            <w:right w:val="none" w:sz="0" w:space="0" w:color="auto"/>
          </w:divBdr>
          <w:divsChild>
            <w:div w:id="453449373">
              <w:marLeft w:val="0"/>
              <w:marRight w:val="0"/>
              <w:marTop w:val="0"/>
              <w:marBottom w:val="0"/>
              <w:divBdr>
                <w:top w:val="none" w:sz="0" w:space="0" w:color="auto"/>
                <w:left w:val="none" w:sz="0" w:space="0" w:color="auto"/>
                <w:bottom w:val="none" w:sz="0" w:space="0" w:color="auto"/>
                <w:right w:val="none" w:sz="0" w:space="0" w:color="auto"/>
              </w:divBdr>
              <w:divsChild>
                <w:div w:id="1354455344">
                  <w:marLeft w:val="0"/>
                  <w:marRight w:val="0"/>
                  <w:marTop w:val="0"/>
                  <w:marBottom w:val="0"/>
                  <w:divBdr>
                    <w:top w:val="none" w:sz="0" w:space="0" w:color="auto"/>
                    <w:left w:val="none" w:sz="0" w:space="0" w:color="auto"/>
                    <w:bottom w:val="none" w:sz="0" w:space="0" w:color="auto"/>
                    <w:right w:val="none" w:sz="0" w:space="0" w:color="auto"/>
                  </w:divBdr>
                  <w:divsChild>
                    <w:div w:id="1176114480">
                      <w:marLeft w:val="0"/>
                      <w:marRight w:val="0"/>
                      <w:marTop w:val="0"/>
                      <w:marBottom w:val="0"/>
                      <w:divBdr>
                        <w:top w:val="none" w:sz="0" w:space="0" w:color="auto"/>
                        <w:left w:val="none" w:sz="0" w:space="0" w:color="auto"/>
                        <w:bottom w:val="none" w:sz="0" w:space="0" w:color="auto"/>
                        <w:right w:val="none" w:sz="0" w:space="0" w:color="auto"/>
                      </w:divBdr>
                      <w:divsChild>
                        <w:div w:id="1973821781">
                          <w:marLeft w:val="0"/>
                          <w:marRight w:val="0"/>
                          <w:marTop w:val="0"/>
                          <w:marBottom w:val="0"/>
                          <w:divBdr>
                            <w:top w:val="none" w:sz="0" w:space="0" w:color="auto"/>
                            <w:left w:val="none" w:sz="0" w:space="0" w:color="auto"/>
                            <w:bottom w:val="none" w:sz="0" w:space="0" w:color="auto"/>
                            <w:right w:val="none" w:sz="0" w:space="0" w:color="auto"/>
                          </w:divBdr>
                          <w:divsChild>
                            <w:div w:id="1131248575">
                              <w:marLeft w:val="0"/>
                              <w:marRight w:val="0"/>
                              <w:marTop w:val="0"/>
                              <w:marBottom w:val="0"/>
                              <w:divBdr>
                                <w:top w:val="none" w:sz="0" w:space="0" w:color="auto"/>
                                <w:left w:val="none" w:sz="0" w:space="0" w:color="auto"/>
                                <w:bottom w:val="none" w:sz="0" w:space="0" w:color="auto"/>
                                <w:right w:val="none" w:sz="0" w:space="0" w:color="auto"/>
                              </w:divBdr>
                              <w:divsChild>
                                <w:div w:id="712342872">
                                  <w:marLeft w:val="0"/>
                                  <w:marRight w:val="0"/>
                                  <w:marTop w:val="0"/>
                                  <w:marBottom w:val="0"/>
                                  <w:divBdr>
                                    <w:top w:val="none" w:sz="0" w:space="0" w:color="auto"/>
                                    <w:left w:val="none" w:sz="0" w:space="0" w:color="auto"/>
                                    <w:bottom w:val="none" w:sz="0" w:space="0" w:color="auto"/>
                                    <w:right w:val="none" w:sz="0" w:space="0" w:color="auto"/>
                                  </w:divBdr>
                                  <w:divsChild>
                                    <w:div w:id="1107389795">
                                      <w:marLeft w:val="0"/>
                                      <w:marRight w:val="0"/>
                                      <w:marTop w:val="0"/>
                                      <w:marBottom w:val="0"/>
                                      <w:divBdr>
                                        <w:top w:val="none" w:sz="0" w:space="0" w:color="auto"/>
                                        <w:left w:val="none" w:sz="0" w:space="0" w:color="auto"/>
                                        <w:bottom w:val="none" w:sz="0" w:space="0" w:color="auto"/>
                                        <w:right w:val="none" w:sz="0" w:space="0" w:color="auto"/>
                                      </w:divBdr>
                                      <w:divsChild>
                                        <w:div w:id="39906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3070518">
      <w:bodyDiv w:val="1"/>
      <w:marLeft w:val="0"/>
      <w:marRight w:val="0"/>
      <w:marTop w:val="0"/>
      <w:marBottom w:val="0"/>
      <w:divBdr>
        <w:top w:val="none" w:sz="0" w:space="0" w:color="auto"/>
        <w:left w:val="none" w:sz="0" w:space="0" w:color="auto"/>
        <w:bottom w:val="none" w:sz="0" w:space="0" w:color="auto"/>
        <w:right w:val="none" w:sz="0" w:space="0" w:color="auto"/>
      </w:divBdr>
      <w:divsChild>
        <w:div w:id="1426028197">
          <w:marLeft w:val="0"/>
          <w:marRight w:val="0"/>
          <w:marTop w:val="0"/>
          <w:marBottom w:val="150"/>
          <w:divBdr>
            <w:top w:val="none" w:sz="0" w:space="0" w:color="auto"/>
            <w:left w:val="none" w:sz="0" w:space="0" w:color="auto"/>
            <w:bottom w:val="none" w:sz="0" w:space="0" w:color="auto"/>
            <w:right w:val="none" w:sz="0" w:space="0" w:color="auto"/>
          </w:divBdr>
        </w:div>
      </w:divsChild>
    </w:div>
    <w:div w:id="1333408710">
      <w:bodyDiv w:val="1"/>
      <w:marLeft w:val="0"/>
      <w:marRight w:val="0"/>
      <w:marTop w:val="0"/>
      <w:marBottom w:val="0"/>
      <w:divBdr>
        <w:top w:val="none" w:sz="0" w:space="0" w:color="auto"/>
        <w:left w:val="none" w:sz="0" w:space="0" w:color="auto"/>
        <w:bottom w:val="none" w:sz="0" w:space="0" w:color="auto"/>
        <w:right w:val="none" w:sz="0" w:space="0" w:color="auto"/>
      </w:divBdr>
    </w:div>
    <w:div w:id="1333604778">
      <w:bodyDiv w:val="1"/>
      <w:marLeft w:val="0"/>
      <w:marRight w:val="0"/>
      <w:marTop w:val="0"/>
      <w:marBottom w:val="0"/>
      <w:divBdr>
        <w:top w:val="none" w:sz="0" w:space="0" w:color="auto"/>
        <w:left w:val="none" w:sz="0" w:space="0" w:color="auto"/>
        <w:bottom w:val="none" w:sz="0" w:space="0" w:color="auto"/>
        <w:right w:val="none" w:sz="0" w:space="0" w:color="auto"/>
      </w:divBdr>
    </w:div>
    <w:div w:id="1333682675">
      <w:bodyDiv w:val="1"/>
      <w:marLeft w:val="0"/>
      <w:marRight w:val="0"/>
      <w:marTop w:val="0"/>
      <w:marBottom w:val="0"/>
      <w:divBdr>
        <w:top w:val="none" w:sz="0" w:space="0" w:color="auto"/>
        <w:left w:val="none" w:sz="0" w:space="0" w:color="auto"/>
        <w:bottom w:val="none" w:sz="0" w:space="0" w:color="auto"/>
        <w:right w:val="none" w:sz="0" w:space="0" w:color="auto"/>
      </w:divBdr>
      <w:divsChild>
        <w:div w:id="1154375148">
          <w:marLeft w:val="0"/>
          <w:marRight w:val="0"/>
          <w:marTop w:val="0"/>
          <w:marBottom w:val="0"/>
          <w:divBdr>
            <w:top w:val="none" w:sz="0" w:space="0" w:color="auto"/>
            <w:left w:val="none" w:sz="0" w:space="0" w:color="auto"/>
            <w:bottom w:val="dotted" w:sz="6" w:space="4" w:color="DDDDDD"/>
            <w:right w:val="none" w:sz="0" w:space="0" w:color="auto"/>
          </w:divBdr>
          <w:divsChild>
            <w:div w:id="136498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27457">
      <w:bodyDiv w:val="1"/>
      <w:marLeft w:val="0"/>
      <w:marRight w:val="0"/>
      <w:marTop w:val="0"/>
      <w:marBottom w:val="0"/>
      <w:divBdr>
        <w:top w:val="none" w:sz="0" w:space="0" w:color="auto"/>
        <w:left w:val="none" w:sz="0" w:space="0" w:color="auto"/>
        <w:bottom w:val="none" w:sz="0" w:space="0" w:color="auto"/>
        <w:right w:val="none" w:sz="0" w:space="0" w:color="auto"/>
      </w:divBdr>
      <w:divsChild>
        <w:div w:id="624770039">
          <w:marLeft w:val="0"/>
          <w:marRight w:val="0"/>
          <w:marTop w:val="0"/>
          <w:marBottom w:val="150"/>
          <w:divBdr>
            <w:top w:val="none" w:sz="0" w:space="0" w:color="auto"/>
            <w:left w:val="none" w:sz="0" w:space="0" w:color="auto"/>
            <w:bottom w:val="none" w:sz="0" w:space="0" w:color="auto"/>
            <w:right w:val="none" w:sz="0" w:space="0" w:color="auto"/>
          </w:divBdr>
          <w:divsChild>
            <w:div w:id="338890574">
              <w:marLeft w:val="0"/>
              <w:marRight w:val="0"/>
              <w:marTop w:val="0"/>
              <w:marBottom w:val="0"/>
              <w:divBdr>
                <w:top w:val="none" w:sz="0" w:space="0" w:color="auto"/>
                <w:left w:val="none" w:sz="0" w:space="0" w:color="auto"/>
                <w:bottom w:val="none" w:sz="0" w:space="0" w:color="auto"/>
                <w:right w:val="none" w:sz="0" w:space="0" w:color="auto"/>
              </w:divBdr>
              <w:divsChild>
                <w:div w:id="1569271288">
                  <w:marLeft w:val="0"/>
                  <w:marRight w:val="0"/>
                  <w:marTop w:val="0"/>
                  <w:marBottom w:val="0"/>
                  <w:divBdr>
                    <w:top w:val="none" w:sz="0" w:space="0" w:color="auto"/>
                    <w:left w:val="none" w:sz="0" w:space="0" w:color="auto"/>
                    <w:bottom w:val="none" w:sz="0" w:space="0" w:color="auto"/>
                    <w:right w:val="none" w:sz="0" w:space="0" w:color="auto"/>
                  </w:divBdr>
                  <w:divsChild>
                    <w:div w:id="1780492156">
                      <w:marLeft w:val="0"/>
                      <w:marRight w:val="150"/>
                      <w:marTop w:val="0"/>
                      <w:marBottom w:val="0"/>
                      <w:divBdr>
                        <w:top w:val="none" w:sz="0" w:space="0" w:color="auto"/>
                        <w:left w:val="none" w:sz="0" w:space="0" w:color="auto"/>
                        <w:bottom w:val="none" w:sz="0" w:space="0" w:color="auto"/>
                        <w:right w:val="none" w:sz="0" w:space="0" w:color="auto"/>
                      </w:divBdr>
                      <w:divsChild>
                        <w:div w:id="73901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4641">
          <w:marLeft w:val="0"/>
          <w:marRight w:val="0"/>
          <w:marTop w:val="0"/>
          <w:marBottom w:val="150"/>
          <w:divBdr>
            <w:top w:val="none" w:sz="0" w:space="0" w:color="auto"/>
            <w:left w:val="none" w:sz="0" w:space="0" w:color="auto"/>
            <w:bottom w:val="none" w:sz="0" w:space="0" w:color="auto"/>
            <w:right w:val="none" w:sz="0" w:space="0" w:color="auto"/>
          </w:divBdr>
        </w:div>
        <w:div w:id="946422467">
          <w:marLeft w:val="0"/>
          <w:marRight w:val="0"/>
          <w:marTop w:val="0"/>
          <w:marBottom w:val="0"/>
          <w:divBdr>
            <w:top w:val="none" w:sz="0" w:space="0" w:color="auto"/>
            <w:left w:val="none" w:sz="0" w:space="0" w:color="auto"/>
            <w:bottom w:val="none" w:sz="0" w:space="0" w:color="auto"/>
            <w:right w:val="none" w:sz="0" w:space="0" w:color="auto"/>
          </w:divBdr>
          <w:divsChild>
            <w:div w:id="19476946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33993755">
      <w:bodyDiv w:val="1"/>
      <w:marLeft w:val="0"/>
      <w:marRight w:val="0"/>
      <w:marTop w:val="0"/>
      <w:marBottom w:val="0"/>
      <w:divBdr>
        <w:top w:val="none" w:sz="0" w:space="0" w:color="auto"/>
        <w:left w:val="none" w:sz="0" w:space="0" w:color="auto"/>
        <w:bottom w:val="none" w:sz="0" w:space="0" w:color="auto"/>
        <w:right w:val="none" w:sz="0" w:space="0" w:color="auto"/>
      </w:divBdr>
    </w:div>
    <w:div w:id="1334187817">
      <w:bodyDiv w:val="1"/>
      <w:marLeft w:val="0"/>
      <w:marRight w:val="0"/>
      <w:marTop w:val="0"/>
      <w:marBottom w:val="0"/>
      <w:divBdr>
        <w:top w:val="none" w:sz="0" w:space="0" w:color="auto"/>
        <w:left w:val="none" w:sz="0" w:space="0" w:color="auto"/>
        <w:bottom w:val="none" w:sz="0" w:space="0" w:color="auto"/>
        <w:right w:val="none" w:sz="0" w:space="0" w:color="auto"/>
      </w:divBdr>
      <w:divsChild>
        <w:div w:id="467481759">
          <w:marLeft w:val="0"/>
          <w:marRight w:val="0"/>
          <w:marTop w:val="0"/>
          <w:marBottom w:val="0"/>
          <w:divBdr>
            <w:top w:val="none" w:sz="0" w:space="0" w:color="auto"/>
            <w:left w:val="none" w:sz="0" w:space="0" w:color="auto"/>
            <w:bottom w:val="none" w:sz="0" w:space="0" w:color="auto"/>
            <w:right w:val="none" w:sz="0" w:space="0" w:color="auto"/>
          </w:divBdr>
          <w:divsChild>
            <w:div w:id="705954390">
              <w:marLeft w:val="0"/>
              <w:marRight w:val="0"/>
              <w:marTop w:val="225"/>
              <w:marBottom w:val="225"/>
              <w:divBdr>
                <w:top w:val="none" w:sz="0" w:space="0" w:color="auto"/>
                <w:left w:val="none" w:sz="0" w:space="0" w:color="auto"/>
                <w:bottom w:val="none" w:sz="0" w:space="0" w:color="auto"/>
                <w:right w:val="none" w:sz="0" w:space="0" w:color="auto"/>
              </w:divBdr>
            </w:div>
          </w:divsChild>
        </w:div>
        <w:div w:id="1897161793">
          <w:marLeft w:val="0"/>
          <w:marRight w:val="0"/>
          <w:marTop w:val="0"/>
          <w:marBottom w:val="150"/>
          <w:divBdr>
            <w:top w:val="none" w:sz="0" w:space="0" w:color="auto"/>
            <w:left w:val="none" w:sz="0" w:space="0" w:color="auto"/>
            <w:bottom w:val="none" w:sz="0" w:space="0" w:color="auto"/>
            <w:right w:val="none" w:sz="0" w:space="0" w:color="auto"/>
          </w:divBdr>
        </w:div>
        <w:div w:id="1938904917">
          <w:marLeft w:val="0"/>
          <w:marRight w:val="0"/>
          <w:marTop w:val="0"/>
          <w:marBottom w:val="150"/>
          <w:divBdr>
            <w:top w:val="none" w:sz="0" w:space="0" w:color="auto"/>
            <w:left w:val="none" w:sz="0" w:space="0" w:color="auto"/>
            <w:bottom w:val="none" w:sz="0" w:space="0" w:color="auto"/>
            <w:right w:val="none" w:sz="0" w:space="0" w:color="auto"/>
          </w:divBdr>
          <w:divsChild>
            <w:div w:id="467940105">
              <w:marLeft w:val="0"/>
              <w:marRight w:val="0"/>
              <w:marTop w:val="0"/>
              <w:marBottom w:val="0"/>
              <w:divBdr>
                <w:top w:val="none" w:sz="0" w:space="0" w:color="auto"/>
                <w:left w:val="none" w:sz="0" w:space="0" w:color="auto"/>
                <w:bottom w:val="none" w:sz="0" w:space="0" w:color="auto"/>
                <w:right w:val="none" w:sz="0" w:space="0" w:color="auto"/>
              </w:divBdr>
              <w:divsChild>
                <w:div w:id="9757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379953">
      <w:bodyDiv w:val="1"/>
      <w:marLeft w:val="0"/>
      <w:marRight w:val="0"/>
      <w:marTop w:val="0"/>
      <w:marBottom w:val="0"/>
      <w:divBdr>
        <w:top w:val="none" w:sz="0" w:space="0" w:color="auto"/>
        <w:left w:val="none" w:sz="0" w:space="0" w:color="auto"/>
        <w:bottom w:val="none" w:sz="0" w:space="0" w:color="auto"/>
        <w:right w:val="none" w:sz="0" w:space="0" w:color="auto"/>
      </w:divBdr>
    </w:div>
    <w:div w:id="1334723289">
      <w:bodyDiv w:val="1"/>
      <w:marLeft w:val="0"/>
      <w:marRight w:val="0"/>
      <w:marTop w:val="0"/>
      <w:marBottom w:val="0"/>
      <w:divBdr>
        <w:top w:val="none" w:sz="0" w:space="0" w:color="auto"/>
        <w:left w:val="none" w:sz="0" w:space="0" w:color="auto"/>
        <w:bottom w:val="none" w:sz="0" w:space="0" w:color="auto"/>
        <w:right w:val="none" w:sz="0" w:space="0" w:color="auto"/>
      </w:divBdr>
      <w:divsChild>
        <w:div w:id="1472864563">
          <w:marLeft w:val="0"/>
          <w:marRight w:val="0"/>
          <w:marTop w:val="0"/>
          <w:marBottom w:val="0"/>
          <w:divBdr>
            <w:top w:val="none" w:sz="0" w:space="0" w:color="auto"/>
            <w:left w:val="none" w:sz="0" w:space="0" w:color="auto"/>
            <w:bottom w:val="none" w:sz="0" w:space="0" w:color="auto"/>
            <w:right w:val="none" w:sz="0" w:space="0" w:color="auto"/>
          </w:divBdr>
        </w:div>
        <w:div w:id="744760174">
          <w:marLeft w:val="0"/>
          <w:marRight w:val="0"/>
          <w:marTop w:val="0"/>
          <w:marBottom w:val="0"/>
          <w:divBdr>
            <w:top w:val="none" w:sz="0" w:space="0" w:color="auto"/>
            <w:left w:val="none" w:sz="0" w:space="0" w:color="auto"/>
            <w:bottom w:val="none" w:sz="0" w:space="0" w:color="auto"/>
            <w:right w:val="none" w:sz="0" w:space="0" w:color="auto"/>
          </w:divBdr>
        </w:div>
      </w:divsChild>
    </w:div>
    <w:div w:id="1336767513">
      <w:bodyDiv w:val="1"/>
      <w:marLeft w:val="0"/>
      <w:marRight w:val="0"/>
      <w:marTop w:val="0"/>
      <w:marBottom w:val="0"/>
      <w:divBdr>
        <w:top w:val="none" w:sz="0" w:space="0" w:color="auto"/>
        <w:left w:val="none" w:sz="0" w:space="0" w:color="auto"/>
        <w:bottom w:val="none" w:sz="0" w:space="0" w:color="auto"/>
        <w:right w:val="none" w:sz="0" w:space="0" w:color="auto"/>
      </w:divBdr>
      <w:divsChild>
        <w:div w:id="2104573598">
          <w:marLeft w:val="0"/>
          <w:marRight w:val="0"/>
          <w:marTop w:val="0"/>
          <w:marBottom w:val="0"/>
          <w:divBdr>
            <w:top w:val="none" w:sz="0" w:space="0" w:color="auto"/>
            <w:left w:val="none" w:sz="0" w:space="0" w:color="auto"/>
            <w:bottom w:val="none" w:sz="0" w:space="0" w:color="auto"/>
            <w:right w:val="none" w:sz="0" w:space="0" w:color="auto"/>
          </w:divBdr>
          <w:divsChild>
            <w:div w:id="1148206685">
              <w:marLeft w:val="0"/>
              <w:marRight w:val="0"/>
              <w:marTop w:val="0"/>
              <w:marBottom w:val="0"/>
              <w:divBdr>
                <w:top w:val="none" w:sz="0" w:space="0" w:color="auto"/>
                <w:left w:val="none" w:sz="0" w:space="0" w:color="auto"/>
                <w:bottom w:val="none" w:sz="0" w:space="0" w:color="auto"/>
                <w:right w:val="none" w:sz="0" w:space="0" w:color="auto"/>
              </w:divBdr>
              <w:divsChild>
                <w:div w:id="2111390860">
                  <w:marLeft w:val="0"/>
                  <w:marRight w:val="0"/>
                  <w:marTop w:val="0"/>
                  <w:marBottom w:val="0"/>
                  <w:divBdr>
                    <w:top w:val="none" w:sz="0" w:space="0" w:color="auto"/>
                    <w:left w:val="none" w:sz="0" w:space="0" w:color="auto"/>
                    <w:bottom w:val="none" w:sz="0" w:space="0" w:color="auto"/>
                    <w:right w:val="none" w:sz="0" w:space="0" w:color="auto"/>
                  </w:divBdr>
                  <w:divsChild>
                    <w:div w:id="392700280">
                      <w:marLeft w:val="0"/>
                      <w:marRight w:val="0"/>
                      <w:marTop w:val="0"/>
                      <w:marBottom w:val="0"/>
                      <w:divBdr>
                        <w:top w:val="none" w:sz="0" w:space="0" w:color="auto"/>
                        <w:left w:val="none" w:sz="0" w:space="0" w:color="auto"/>
                        <w:bottom w:val="none" w:sz="0" w:space="0" w:color="auto"/>
                        <w:right w:val="none" w:sz="0" w:space="0" w:color="auto"/>
                      </w:divBdr>
                      <w:divsChild>
                        <w:div w:id="1159809730">
                          <w:marLeft w:val="0"/>
                          <w:marRight w:val="0"/>
                          <w:marTop w:val="0"/>
                          <w:marBottom w:val="0"/>
                          <w:divBdr>
                            <w:top w:val="none" w:sz="0" w:space="0" w:color="auto"/>
                            <w:left w:val="none" w:sz="0" w:space="0" w:color="auto"/>
                            <w:bottom w:val="none" w:sz="0" w:space="0" w:color="auto"/>
                            <w:right w:val="none" w:sz="0" w:space="0" w:color="auto"/>
                          </w:divBdr>
                          <w:divsChild>
                            <w:div w:id="341667703">
                              <w:marLeft w:val="0"/>
                              <w:marRight w:val="0"/>
                              <w:marTop w:val="0"/>
                              <w:marBottom w:val="0"/>
                              <w:divBdr>
                                <w:top w:val="none" w:sz="0" w:space="0" w:color="auto"/>
                                <w:left w:val="none" w:sz="0" w:space="0" w:color="auto"/>
                                <w:bottom w:val="none" w:sz="0" w:space="0" w:color="auto"/>
                                <w:right w:val="none" w:sz="0" w:space="0" w:color="auto"/>
                              </w:divBdr>
                              <w:divsChild>
                                <w:div w:id="1339844145">
                                  <w:marLeft w:val="0"/>
                                  <w:marRight w:val="0"/>
                                  <w:marTop w:val="0"/>
                                  <w:marBottom w:val="0"/>
                                  <w:divBdr>
                                    <w:top w:val="none" w:sz="0" w:space="0" w:color="auto"/>
                                    <w:left w:val="none" w:sz="0" w:space="0" w:color="auto"/>
                                    <w:bottom w:val="none" w:sz="0" w:space="0" w:color="auto"/>
                                    <w:right w:val="none" w:sz="0" w:space="0" w:color="auto"/>
                                  </w:divBdr>
                                  <w:divsChild>
                                    <w:div w:id="113390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7151566">
      <w:bodyDiv w:val="1"/>
      <w:marLeft w:val="0"/>
      <w:marRight w:val="0"/>
      <w:marTop w:val="0"/>
      <w:marBottom w:val="0"/>
      <w:divBdr>
        <w:top w:val="none" w:sz="0" w:space="0" w:color="auto"/>
        <w:left w:val="none" w:sz="0" w:space="0" w:color="auto"/>
        <w:bottom w:val="none" w:sz="0" w:space="0" w:color="auto"/>
        <w:right w:val="none" w:sz="0" w:space="0" w:color="auto"/>
      </w:divBdr>
      <w:divsChild>
        <w:div w:id="333806536">
          <w:marLeft w:val="0"/>
          <w:marRight w:val="0"/>
          <w:marTop w:val="0"/>
          <w:marBottom w:val="150"/>
          <w:divBdr>
            <w:top w:val="none" w:sz="0" w:space="0" w:color="auto"/>
            <w:left w:val="none" w:sz="0" w:space="0" w:color="auto"/>
            <w:bottom w:val="none" w:sz="0" w:space="0" w:color="auto"/>
            <w:right w:val="none" w:sz="0" w:space="0" w:color="auto"/>
          </w:divBdr>
          <w:divsChild>
            <w:div w:id="66608966">
              <w:marLeft w:val="0"/>
              <w:marRight w:val="0"/>
              <w:marTop w:val="0"/>
              <w:marBottom w:val="0"/>
              <w:divBdr>
                <w:top w:val="none" w:sz="0" w:space="0" w:color="auto"/>
                <w:left w:val="none" w:sz="0" w:space="0" w:color="auto"/>
                <w:bottom w:val="none" w:sz="0" w:space="0" w:color="auto"/>
                <w:right w:val="none" w:sz="0" w:space="0" w:color="auto"/>
              </w:divBdr>
              <w:divsChild>
                <w:div w:id="15368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611275">
          <w:marLeft w:val="0"/>
          <w:marRight w:val="0"/>
          <w:marTop w:val="0"/>
          <w:marBottom w:val="150"/>
          <w:divBdr>
            <w:top w:val="none" w:sz="0" w:space="0" w:color="auto"/>
            <w:left w:val="none" w:sz="0" w:space="0" w:color="auto"/>
            <w:bottom w:val="none" w:sz="0" w:space="0" w:color="auto"/>
            <w:right w:val="none" w:sz="0" w:space="0" w:color="auto"/>
          </w:divBdr>
        </w:div>
        <w:div w:id="2117214235">
          <w:marLeft w:val="0"/>
          <w:marRight w:val="0"/>
          <w:marTop w:val="0"/>
          <w:marBottom w:val="0"/>
          <w:divBdr>
            <w:top w:val="none" w:sz="0" w:space="0" w:color="auto"/>
            <w:left w:val="none" w:sz="0" w:space="0" w:color="auto"/>
            <w:bottom w:val="none" w:sz="0" w:space="0" w:color="auto"/>
            <w:right w:val="none" w:sz="0" w:space="0" w:color="auto"/>
          </w:divBdr>
          <w:divsChild>
            <w:div w:id="112735659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37225013">
      <w:bodyDiv w:val="1"/>
      <w:marLeft w:val="0"/>
      <w:marRight w:val="0"/>
      <w:marTop w:val="0"/>
      <w:marBottom w:val="0"/>
      <w:divBdr>
        <w:top w:val="none" w:sz="0" w:space="0" w:color="auto"/>
        <w:left w:val="none" w:sz="0" w:space="0" w:color="auto"/>
        <w:bottom w:val="none" w:sz="0" w:space="0" w:color="auto"/>
        <w:right w:val="none" w:sz="0" w:space="0" w:color="auto"/>
      </w:divBdr>
      <w:divsChild>
        <w:div w:id="1291596324">
          <w:marLeft w:val="0"/>
          <w:marRight w:val="0"/>
          <w:marTop w:val="0"/>
          <w:marBottom w:val="0"/>
          <w:divBdr>
            <w:top w:val="none" w:sz="0" w:space="0" w:color="auto"/>
            <w:left w:val="none" w:sz="0" w:space="0" w:color="auto"/>
            <w:bottom w:val="none" w:sz="0" w:space="0" w:color="auto"/>
            <w:right w:val="none" w:sz="0" w:space="0" w:color="auto"/>
          </w:divBdr>
        </w:div>
        <w:div w:id="501316822">
          <w:marLeft w:val="0"/>
          <w:marRight w:val="0"/>
          <w:marTop w:val="0"/>
          <w:marBottom w:val="0"/>
          <w:divBdr>
            <w:top w:val="none" w:sz="0" w:space="0" w:color="auto"/>
            <w:left w:val="none" w:sz="0" w:space="0" w:color="auto"/>
            <w:bottom w:val="none" w:sz="0" w:space="0" w:color="auto"/>
            <w:right w:val="none" w:sz="0" w:space="0" w:color="auto"/>
          </w:divBdr>
        </w:div>
      </w:divsChild>
    </w:div>
    <w:div w:id="1338574381">
      <w:bodyDiv w:val="1"/>
      <w:marLeft w:val="0"/>
      <w:marRight w:val="0"/>
      <w:marTop w:val="0"/>
      <w:marBottom w:val="0"/>
      <w:divBdr>
        <w:top w:val="none" w:sz="0" w:space="0" w:color="auto"/>
        <w:left w:val="none" w:sz="0" w:space="0" w:color="auto"/>
        <w:bottom w:val="none" w:sz="0" w:space="0" w:color="auto"/>
        <w:right w:val="none" w:sz="0" w:space="0" w:color="auto"/>
      </w:divBdr>
      <w:divsChild>
        <w:div w:id="651450479">
          <w:marLeft w:val="0"/>
          <w:marRight w:val="0"/>
          <w:marTop w:val="0"/>
          <w:marBottom w:val="0"/>
          <w:divBdr>
            <w:top w:val="none" w:sz="0" w:space="0" w:color="auto"/>
            <w:left w:val="none" w:sz="0" w:space="0" w:color="auto"/>
            <w:bottom w:val="none" w:sz="0" w:space="0" w:color="auto"/>
            <w:right w:val="none" w:sz="0" w:space="0" w:color="auto"/>
          </w:divBdr>
          <w:divsChild>
            <w:div w:id="1475103106">
              <w:marLeft w:val="0"/>
              <w:marRight w:val="0"/>
              <w:marTop w:val="0"/>
              <w:marBottom w:val="0"/>
              <w:divBdr>
                <w:top w:val="none" w:sz="0" w:space="0" w:color="auto"/>
                <w:left w:val="none" w:sz="0" w:space="0" w:color="auto"/>
                <w:bottom w:val="none" w:sz="0" w:space="0" w:color="auto"/>
                <w:right w:val="none" w:sz="0" w:space="0" w:color="auto"/>
              </w:divBdr>
              <w:divsChild>
                <w:div w:id="1227450748">
                  <w:marLeft w:val="0"/>
                  <w:marRight w:val="0"/>
                  <w:marTop w:val="0"/>
                  <w:marBottom w:val="0"/>
                  <w:divBdr>
                    <w:top w:val="none" w:sz="0" w:space="0" w:color="auto"/>
                    <w:left w:val="none" w:sz="0" w:space="0" w:color="auto"/>
                    <w:bottom w:val="none" w:sz="0" w:space="0" w:color="auto"/>
                    <w:right w:val="none" w:sz="0" w:space="0" w:color="auto"/>
                  </w:divBdr>
                  <w:divsChild>
                    <w:div w:id="1695229433">
                      <w:marLeft w:val="0"/>
                      <w:marRight w:val="0"/>
                      <w:marTop w:val="0"/>
                      <w:marBottom w:val="0"/>
                      <w:divBdr>
                        <w:top w:val="none" w:sz="0" w:space="0" w:color="auto"/>
                        <w:left w:val="none" w:sz="0" w:space="0" w:color="auto"/>
                        <w:bottom w:val="none" w:sz="0" w:space="0" w:color="auto"/>
                        <w:right w:val="none" w:sz="0" w:space="0" w:color="auto"/>
                      </w:divBdr>
                      <w:divsChild>
                        <w:div w:id="487870225">
                          <w:marLeft w:val="0"/>
                          <w:marRight w:val="0"/>
                          <w:marTop w:val="0"/>
                          <w:marBottom w:val="0"/>
                          <w:divBdr>
                            <w:top w:val="none" w:sz="0" w:space="0" w:color="auto"/>
                            <w:left w:val="none" w:sz="0" w:space="0" w:color="auto"/>
                            <w:bottom w:val="none" w:sz="0" w:space="0" w:color="auto"/>
                            <w:right w:val="none" w:sz="0" w:space="0" w:color="auto"/>
                          </w:divBdr>
                          <w:divsChild>
                            <w:div w:id="2130583798">
                              <w:marLeft w:val="0"/>
                              <w:marRight w:val="0"/>
                              <w:marTop w:val="0"/>
                              <w:marBottom w:val="0"/>
                              <w:divBdr>
                                <w:top w:val="none" w:sz="0" w:space="0" w:color="auto"/>
                                <w:left w:val="none" w:sz="0" w:space="0" w:color="auto"/>
                                <w:bottom w:val="none" w:sz="0" w:space="0" w:color="auto"/>
                                <w:right w:val="none" w:sz="0" w:space="0" w:color="auto"/>
                              </w:divBdr>
                              <w:divsChild>
                                <w:div w:id="798646489">
                                  <w:marLeft w:val="0"/>
                                  <w:marRight w:val="0"/>
                                  <w:marTop w:val="0"/>
                                  <w:marBottom w:val="0"/>
                                  <w:divBdr>
                                    <w:top w:val="none" w:sz="0" w:space="0" w:color="auto"/>
                                    <w:left w:val="none" w:sz="0" w:space="0" w:color="auto"/>
                                    <w:bottom w:val="none" w:sz="0" w:space="0" w:color="auto"/>
                                    <w:right w:val="none" w:sz="0" w:space="0" w:color="auto"/>
                                  </w:divBdr>
                                  <w:divsChild>
                                    <w:div w:id="83344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8576526">
      <w:bodyDiv w:val="1"/>
      <w:marLeft w:val="0"/>
      <w:marRight w:val="0"/>
      <w:marTop w:val="0"/>
      <w:marBottom w:val="0"/>
      <w:divBdr>
        <w:top w:val="none" w:sz="0" w:space="0" w:color="auto"/>
        <w:left w:val="none" w:sz="0" w:space="0" w:color="auto"/>
        <w:bottom w:val="none" w:sz="0" w:space="0" w:color="auto"/>
        <w:right w:val="none" w:sz="0" w:space="0" w:color="auto"/>
      </w:divBdr>
      <w:divsChild>
        <w:div w:id="1275794950">
          <w:marLeft w:val="0"/>
          <w:marRight w:val="0"/>
          <w:marTop w:val="0"/>
          <w:marBottom w:val="150"/>
          <w:divBdr>
            <w:top w:val="none" w:sz="0" w:space="0" w:color="auto"/>
            <w:left w:val="none" w:sz="0" w:space="0" w:color="auto"/>
            <w:bottom w:val="none" w:sz="0" w:space="0" w:color="auto"/>
            <w:right w:val="none" w:sz="0" w:space="0" w:color="auto"/>
          </w:divBdr>
          <w:divsChild>
            <w:div w:id="1635334223">
              <w:marLeft w:val="0"/>
              <w:marRight w:val="0"/>
              <w:marTop w:val="0"/>
              <w:marBottom w:val="0"/>
              <w:divBdr>
                <w:top w:val="none" w:sz="0" w:space="0" w:color="auto"/>
                <w:left w:val="none" w:sz="0" w:space="0" w:color="auto"/>
                <w:bottom w:val="none" w:sz="0" w:space="0" w:color="auto"/>
                <w:right w:val="none" w:sz="0" w:space="0" w:color="auto"/>
              </w:divBdr>
            </w:div>
          </w:divsChild>
        </w:div>
        <w:div w:id="1506750770">
          <w:marLeft w:val="0"/>
          <w:marRight w:val="0"/>
          <w:marTop w:val="0"/>
          <w:marBottom w:val="0"/>
          <w:divBdr>
            <w:top w:val="none" w:sz="0" w:space="0" w:color="auto"/>
            <w:left w:val="none" w:sz="0" w:space="0" w:color="auto"/>
            <w:bottom w:val="none" w:sz="0" w:space="0" w:color="auto"/>
            <w:right w:val="none" w:sz="0" w:space="0" w:color="auto"/>
          </w:divBdr>
          <w:divsChild>
            <w:div w:id="827860867">
              <w:marLeft w:val="0"/>
              <w:marRight w:val="0"/>
              <w:marTop w:val="0"/>
              <w:marBottom w:val="0"/>
              <w:divBdr>
                <w:top w:val="none" w:sz="0" w:space="0" w:color="auto"/>
                <w:left w:val="none" w:sz="0" w:space="0" w:color="auto"/>
                <w:bottom w:val="none" w:sz="0" w:space="0" w:color="auto"/>
                <w:right w:val="none" w:sz="0" w:space="0" w:color="auto"/>
              </w:divBdr>
            </w:div>
          </w:divsChild>
        </w:div>
        <w:div w:id="2063862824">
          <w:marLeft w:val="0"/>
          <w:marRight w:val="0"/>
          <w:marTop w:val="0"/>
          <w:marBottom w:val="150"/>
          <w:divBdr>
            <w:top w:val="none" w:sz="0" w:space="0" w:color="auto"/>
            <w:left w:val="none" w:sz="0" w:space="0" w:color="auto"/>
            <w:bottom w:val="none" w:sz="0" w:space="0" w:color="auto"/>
            <w:right w:val="none" w:sz="0" w:space="0" w:color="auto"/>
          </w:divBdr>
        </w:div>
      </w:divsChild>
    </w:div>
    <w:div w:id="1338844110">
      <w:bodyDiv w:val="1"/>
      <w:marLeft w:val="0"/>
      <w:marRight w:val="0"/>
      <w:marTop w:val="0"/>
      <w:marBottom w:val="0"/>
      <w:divBdr>
        <w:top w:val="none" w:sz="0" w:space="0" w:color="auto"/>
        <w:left w:val="none" w:sz="0" w:space="0" w:color="auto"/>
        <w:bottom w:val="none" w:sz="0" w:space="0" w:color="auto"/>
        <w:right w:val="none" w:sz="0" w:space="0" w:color="auto"/>
      </w:divBdr>
      <w:divsChild>
        <w:div w:id="49306696">
          <w:marLeft w:val="0"/>
          <w:marRight w:val="0"/>
          <w:marTop w:val="0"/>
          <w:marBottom w:val="0"/>
          <w:divBdr>
            <w:top w:val="none" w:sz="0" w:space="0" w:color="auto"/>
            <w:left w:val="none" w:sz="0" w:space="0" w:color="auto"/>
            <w:bottom w:val="none" w:sz="0" w:space="0" w:color="auto"/>
            <w:right w:val="none" w:sz="0" w:space="0" w:color="auto"/>
          </w:divBdr>
          <w:divsChild>
            <w:div w:id="806976374">
              <w:marLeft w:val="0"/>
              <w:marRight w:val="0"/>
              <w:marTop w:val="0"/>
              <w:marBottom w:val="0"/>
              <w:divBdr>
                <w:top w:val="none" w:sz="0" w:space="0" w:color="auto"/>
                <w:left w:val="none" w:sz="0" w:space="0" w:color="auto"/>
                <w:bottom w:val="none" w:sz="0" w:space="0" w:color="auto"/>
                <w:right w:val="none" w:sz="0" w:space="0" w:color="auto"/>
              </w:divBdr>
              <w:divsChild>
                <w:div w:id="2081754067">
                  <w:marLeft w:val="0"/>
                  <w:marRight w:val="0"/>
                  <w:marTop w:val="0"/>
                  <w:marBottom w:val="450"/>
                  <w:divBdr>
                    <w:top w:val="none" w:sz="0" w:space="0" w:color="auto"/>
                    <w:left w:val="none" w:sz="0" w:space="0" w:color="auto"/>
                    <w:bottom w:val="none" w:sz="0" w:space="0" w:color="auto"/>
                    <w:right w:val="none" w:sz="0" w:space="0" w:color="auto"/>
                  </w:divBdr>
                  <w:divsChild>
                    <w:div w:id="19201694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39038513">
      <w:bodyDiv w:val="1"/>
      <w:marLeft w:val="0"/>
      <w:marRight w:val="0"/>
      <w:marTop w:val="0"/>
      <w:marBottom w:val="0"/>
      <w:divBdr>
        <w:top w:val="none" w:sz="0" w:space="0" w:color="auto"/>
        <w:left w:val="none" w:sz="0" w:space="0" w:color="auto"/>
        <w:bottom w:val="none" w:sz="0" w:space="0" w:color="auto"/>
        <w:right w:val="none" w:sz="0" w:space="0" w:color="auto"/>
      </w:divBdr>
    </w:div>
    <w:div w:id="1339624211">
      <w:bodyDiv w:val="1"/>
      <w:marLeft w:val="0"/>
      <w:marRight w:val="0"/>
      <w:marTop w:val="0"/>
      <w:marBottom w:val="0"/>
      <w:divBdr>
        <w:top w:val="none" w:sz="0" w:space="0" w:color="auto"/>
        <w:left w:val="none" w:sz="0" w:space="0" w:color="auto"/>
        <w:bottom w:val="none" w:sz="0" w:space="0" w:color="auto"/>
        <w:right w:val="none" w:sz="0" w:space="0" w:color="auto"/>
      </w:divBdr>
    </w:div>
    <w:div w:id="1340431244">
      <w:bodyDiv w:val="1"/>
      <w:marLeft w:val="0"/>
      <w:marRight w:val="0"/>
      <w:marTop w:val="0"/>
      <w:marBottom w:val="0"/>
      <w:divBdr>
        <w:top w:val="none" w:sz="0" w:space="0" w:color="auto"/>
        <w:left w:val="none" w:sz="0" w:space="0" w:color="auto"/>
        <w:bottom w:val="none" w:sz="0" w:space="0" w:color="auto"/>
        <w:right w:val="none" w:sz="0" w:space="0" w:color="auto"/>
      </w:divBdr>
      <w:divsChild>
        <w:div w:id="127013045">
          <w:marLeft w:val="0"/>
          <w:marRight w:val="0"/>
          <w:marTop w:val="0"/>
          <w:marBottom w:val="150"/>
          <w:divBdr>
            <w:top w:val="none" w:sz="0" w:space="0" w:color="auto"/>
            <w:left w:val="none" w:sz="0" w:space="0" w:color="auto"/>
            <w:bottom w:val="none" w:sz="0" w:space="0" w:color="auto"/>
            <w:right w:val="none" w:sz="0" w:space="0" w:color="auto"/>
          </w:divBdr>
        </w:div>
        <w:div w:id="143159086">
          <w:marLeft w:val="0"/>
          <w:marRight w:val="0"/>
          <w:marTop w:val="0"/>
          <w:marBottom w:val="0"/>
          <w:divBdr>
            <w:top w:val="none" w:sz="0" w:space="0" w:color="auto"/>
            <w:left w:val="none" w:sz="0" w:space="0" w:color="auto"/>
            <w:bottom w:val="none" w:sz="0" w:space="0" w:color="auto"/>
            <w:right w:val="none" w:sz="0" w:space="0" w:color="auto"/>
          </w:divBdr>
        </w:div>
      </w:divsChild>
    </w:div>
    <w:div w:id="1340890864">
      <w:bodyDiv w:val="1"/>
      <w:marLeft w:val="0"/>
      <w:marRight w:val="0"/>
      <w:marTop w:val="0"/>
      <w:marBottom w:val="0"/>
      <w:divBdr>
        <w:top w:val="none" w:sz="0" w:space="0" w:color="auto"/>
        <w:left w:val="none" w:sz="0" w:space="0" w:color="auto"/>
        <w:bottom w:val="none" w:sz="0" w:space="0" w:color="auto"/>
        <w:right w:val="none" w:sz="0" w:space="0" w:color="auto"/>
      </w:divBdr>
      <w:divsChild>
        <w:div w:id="1492679000">
          <w:marLeft w:val="0"/>
          <w:marRight w:val="0"/>
          <w:marTop w:val="0"/>
          <w:marBottom w:val="0"/>
          <w:divBdr>
            <w:top w:val="none" w:sz="0" w:space="0" w:color="auto"/>
            <w:left w:val="none" w:sz="0" w:space="0" w:color="auto"/>
            <w:bottom w:val="none" w:sz="0" w:space="0" w:color="auto"/>
            <w:right w:val="none" w:sz="0" w:space="0" w:color="auto"/>
          </w:divBdr>
          <w:divsChild>
            <w:div w:id="416558299">
              <w:marLeft w:val="0"/>
              <w:marRight w:val="0"/>
              <w:marTop w:val="0"/>
              <w:marBottom w:val="0"/>
              <w:divBdr>
                <w:top w:val="none" w:sz="0" w:space="0" w:color="auto"/>
                <w:left w:val="none" w:sz="0" w:space="0" w:color="auto"/>
                <w:bottom w:val="none" w:sz="0" w:space="0" w:color="auto"/>
                <w:right w:val="none" w:sz="0" w:space="0" w:color="auto"/>
              </w:divBdr>
              <w:divsChild>
                <w:div w:id="199368980">
                  <w:marLeft w:val="0"/>
                  <w:marRight w:val="0"/>
                  <w:marTop w:val="0"/>
                  <w:marBottom w:val="0"/>
                  <w:divBdr>
                    <w:top w:val="none" w:sz="0" w:space="0" w:color="auto"/>
                    <w:left w:val="none" w:sz="0" w:space="0" w:color="auto"/>
                    <w:bottom w:val="none" w:sz="0" w:space="0" w:color="auto"/>
                    <w:right w:val="none" w:sz="0" w:space="0" w:color="auto"/>
                  </w:divBdr>
                  <w:divsChild>
                    <w:div w:id="565336491">
                      <w:marLeft w:val="0"/>
                      <w:marRight w:val="0"/>
                      <w:marTop w:val="225"/>
                      <w:marBottom w:val="150"/>
                      <w:divBdr>
                        <w:top w:val="none" w:sz="0" w:space="4" w:color="auto"/>
                        <w:left w:val="none" w:sz="0" w:space="0" w:color="auto"/>
                        <w:bottom w:val="single" w:sz="6" w:space="4" w:color="CECECE"/>
                        <w:right w:val="none" w:sz="0" w:space="0" w:color="auto"/>
                      </w:divBdr>
                      <w:divsChild>
                        <w:div w:id="542131221">
                          <w:marLeft w:val="0"/>
                          <w:marRight w:val="0"/>
                          <w:marTop w:val="0"/>
                          <w:marBottom w:val="0"/>
                          <w:divBdr>
                            <w:top w:val="none" w:sz="0" w:space="0" w:color="auto"/>
                            <w:left w:val="none" w:sz="0" w:space="0" w:color="auto"/>
                            <w:bottom w:val="none" w:sz="0" w:space="0" w:color="auto"/>
                            <w:right w:val="none" w:sz="0" w:space="0" w:color="auto"/>
                          </w:divBdr>
                        </w:div>
                        <w:div w:id="1474980949">
                          <w:marLeft w:val="0"/>
                          <w:marRight w:val="0"/>
                          <w:marTop w:val="75"/>
                          <w:marBottom w:val="75"/>
                          <w:divBdr>
                            <w:top w:val="none" w:sz="0" w:space="0" w:color="auto"/>
                            <w:left w:val="none" w:sz="0" w:space="0" w:color="auto"/>
                            <w:bottom w:val="none" w:sz="0" w:space="0" w:color="auto"/>
                            <w:right w:val="none" w:sz="0" w:space="0" w:color="auto"/>
                          </w:divBdr>
                          <w:divsChild>
                            <w:div w:id="1286695989">
                              <w:marLeft w:val="0"/>
                              <w:marRight w:val="0"/>
                              <w:marTop w:val="45"/>
                              <w:marBottom w:val="0"/>
                              <w:divBdr>
                                <w:top w:val="none" w:sz="0" w:space="0" w:color="auto"/>
                                <w:left w:val="none" w:sz="0" w:space="0" w:color="auto"/>
                                <w:bottom w:val="none" w:sz="0" w:space="0" w:color="auto"/>
                                <w:right w:val="none" w:sz="0" w:space="0" w:color="auto"/>
                              </w:divBdr>
                            </w:div>
                            <w:div w:id="1838299852">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1086145">
      <w:bodyDiv w:val="1"/>
      <w:marLeft w:val="0"/>
      <w:marRight w:val="0"/>
      <w:marTop w:val="0"/>
      <w:marBottom w:val="0"/>
      <w:divBdr>
        <w:top w:val="none" w:sz="0" w:space="0" w:color="auto"/>
        <w:left w:val="none" w:sz="0" w:space="0" w:color="auto"/>
        <w:bottom w:val="none" w:sz="0" w:space="0" w:color="auto"/>
        <w:right w:val="none" w:sz="0" w:space="0" w:color="auto"/>
      </w:divBdr>
      <w:divsChild>
        <w:div w:id="105589842">
          <w:marLeft w:val="0"/>
          <w:marRight w:val="0"/>
          <w:marTop w:val="0"/>
          <w:marBottom w:val="150"/>
          <w:divBdr>
            <w:top w:val="none" w:sz="0" w:space="0" w:color="auto"/>
            <w:left w:val="none" w:sz="0" w:space="0" w:color="auto"/>
            <w:bottom w:val="none" w:sz="0" w:space="0" w:color="auto"/>
            <w:right w:val="none" w:sz="0" w:space="0" w:color="auto"/>
          </w:divBdr>
        </w:div>
      </w:divsChild>
    </w:div>
    <w:div w:id="1341277036">
      <w:bodyDiv w:val="1"/>
      <w:marLeft w:val="0"/>
      <w:marRight w:val="0"/>
      <w:marTop w:val="0"/>
      <w:marBottom w:val="0"/>
      <w:divBdr>
        <w:top w:val="none" w:sz="0" w:space="0" w:color="auto"/>
        <w:left w:val="none" w:sz="0" w:space="0" w:color="auto"/>
        <w:bottom w:val="none" w:sz="0" w:space="0" w:color="auto"/>
        <w:right w:val="none" w:sz="0" w:space="0" w:color="auto"/>
      </w:divBdr>
      <w:divsChild>
        <w:div w:id="690684707">
          <w:marLeft w:val="0"/>
          <w:marRight w:val="0"/>
          <w:marTop w:val="0"/>
          <w:marBottom w:val="0"/>
          <w:divBdr>
            <w:top w:val="none" w:sz="0" w:space="0" w:color="auto"/>
            <w:left w:val="none" w:sz="0" w:space="0" w:color="auto"/>
            <w:bottom w:val="none" w:sz="0" w:space="0" w:color="auto"/>
            <w:right w:val="none" w:sz="0" w:space="0" w:color="auto"/>
          </w:divBdr>
          <w:divsChild>
            <w:div w:id="1524250202">
              <w:marLeft w:val="0"/>
              <w:marRight w:val="0"/>
              <w:marTop w:val="0"/>
              <w:marBottom w:val="150"/>
              <w:divBdr>
                <w:top w:val="none" w:sz="0" w:space="0" w:color="auto"/>
                <w:left w:val="none" w:sz="0" w:space="0" w:color="auto"/>
                <w:bottom w:val="none" w:sz="0" w:space="0" w:color="auto"/>
                <w:right w:val="none" w:sz="0" w:space="0" w:color="auto"/>
              </w:divBdr>
            </w:div>
            <w:div w:id="1590625782">
              <w:marLeft w:val="0"/>
              <w:marRight w:val="0"/>
              <w:marTop w:val="0"/>
              <w:marBottom w:val="0"/>
              <w:divBdr>
                <w:top w:val="none" w:sz="0" w:space="0" w:color="auto"/>
                <w:left w:val="none" w:sz="0" w:space="0" w:color="auto"/>
                <w:bottom w:val="none" w:sz="0" w:space="0" w:color="auto"/>
                <w:right w:val="none" w:sz="0" w:space="0" w:color="auto"/>
              </w:divBdr>
            </w:div>
          </w:divsChild>
        </w:div>
        <w:div w:id="1675646858">
          <w:marLeft w:val="0"/>
          <w:marRight w:val="0"/>
          <w:marTop w:val="0"/>
          <w:marBottom w:val="150"/>
          <w:divBdr>
            <w:top w:val="none" w:sz="0" w:space="0" w:color="auto"/>
            <w:left w:val="none" w:sz="0" w:space="0" w:color="auto"/>
            <w:bottom w:val="none" w:sz="0" w:space="0" w:color="auto"/>
            <w:right w:val="none" w:sz="0" w:space="0" w:color="auto"/>
          </w:divBdr>
          <w:divsChild>
            <w:div w:id="102911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346433">
      <w:bodyDiv w:val="1"/>
      <w:marLeft w:val="0"/>
      <w:marRight w:val="0"/>
      <w:marTop w:val="0"/>
      <w:marBottom w:val="0"/>
      <w:divBdr>
        <w:top w:val="none" w:sz="0" w:space="0" w:color="auto"/>
        <w:left w:val="none" w:sz="0" w:space="0" w:color="auto"/>
        <w:bottom w:val="none" w:sz="0" w:space="0" w:color="auto"/>
        <w:right w:val="none" w:sz="0" w:space="0" w:color="auto"/>
      </w:divBdr>
      <w:divsChild>
        <w:div w:id="103965640">
          <w:marLeft w:val="0"/>
          <w:marRight w:val="0"/>
          <w:marTop w:val="300"/>
          <w:marBottom w:val="0"/>
          <w:divBdr>
            <w:top w:val="none" w:sz="0" w:space="0" w:color="auto"/>
            <w:left w:val="none" w:sz="0" w:space="0" w:color="auto"/>
            <w:bottom w:val="none" w:sz="0" w:space="0" w:color="auto"/>
            <w:right w:val="none" w:sz="0" w:space="0" w:color="auto"/>
          </w:divBdr>
          <w:divsChild>
            <w:div w:id="1896620074">
              <w:marLeft w:val="0"/>
              <w:marRight w:val="0"/>
              <w:marTop w:val="0"/>
              <w:marBottom w:val="0"/>
              <w:divBdr>
                <w:top w:val="none" w:sz="0" w:space="0" w:color="auto"/>
                <w:left w:val="none" w:sz="0" w:space="0" w:color="auto"/>
                <w:bottom w:val="none" w:sz="0" w:space="0" w:color="auto"/>
                <w:right w:val="none" w:sz="0" w:space="0" w:color="auto"/>
              </w:divBdr>
              <w:divsChild>
                <w:div w:id="1107043981">
                  <w:marLeft w:val="0"/>
                  <w:marRight w:val="0"/>
                  <w:marTop w:val="0"/>
                  <w:marBottom w:val="0"/>
                  <w:divBdr>
                    <w:top w:val="none" w:sz="0" w:space="0" w:color="auto"/>
                    <w:left w:val="none" w:sz="0" w:space="0" w:color="auto"/>
                    <w:bottom w:val="none" w:sz="0" w:space="0" w:color="auto"/>
                    <w:right w:val="none" w:sz="0" w:space="0" w:color="auto"/>
                  </w:divBdr>
                  <w:divsChild>
                    <w:div w:id="262611578">
                      <w:marLeft w:val="0"/>
                      <w:marRight w:val="0"/>
                      <w:marTop w:val="0"/>
                      <w:marBottom w:val="0"/>
                      <w:divBdr>
                        <w:top w:val="none" w:sz="0" w:space="0" w:color="auto"/>
                        <w:left w:val="none" w:sz="0" w:space="0" w:color="auto"/>
                        <w:bottom w:val="none" w:sz="0" w:space="0" w:color="auto"/>
                        <w:right w:val="none" w:sz="0" w:space="0" w:color="auto"/>
                      </w:divBdr>
                      <w:divsChild>
                        <w:div w:id="2076705165">
                          <w:marLeft w:val="0"/>
                          <w:marRight w:val="0"/>
                          <w:marTop w:val="0"/>
                          <w:marBottom w:val="0"/>
                          <w:divBdr>
                            <w:top w:val="none" w:sz="0" w:space="0" w:color="auto"/>
                            <w:left w:val="none" w:sz="0" w:space="0" w:color="auto"/>
                            <w:bottom w:val="none" w:sz="0" w:space="0" w:color="auto"/>
                            <w:right w:val="none" w:sz="0" w:space="0" w:color="auto"/>
                          </w:divBdr>
                          <w:divsChild>
                            <w:div w:id="1792362384">
                              <w:marLeft w:val="0"/>
                              <w:marRight w:val="0"/>
                              <w:marTop w:val="0"/>
                              <w:marBottom w:val="0"/>
                              <w:divBdr>
                                <w:top w:val="none" w:sz="0" w:space="0" w:color="auto"/>
                                <w:left w:val="none" w:sz="0" w:space="0" w:color="auto"/>
                                <w:bottom w:val="none" w:sz="0" w:space="0" w:color="auto"/>
                                <w:right w:val="none" w:sz="0" w:space="0" w:color="auto"/>
                              </w:divBdr>
                              <w:divsChild>
                                <w:div w:id="1960645296">
                                  <w:marLeft w:val="0"/>
                                  <w:marRight w:val="0"/>
                                  <w:marTop w:val="225"/>
                                  <w:marBottom w:val="150"/>
                                  <w:divBdr>
                                    <w:top w:val="none" w:sz="0" w:space="4" w:color="auto"/>
                                    <w:left w:val="none" w:sz="0" w:space="0" w:color="auto"/>
                                    <w:bottom w:val="single" w:sz="6" w:space="4" w:color="CECECE"/>
                                    <w:right w:val="none" w:sz="0" w:space="0" w:color="auto"/>
                                  </w:divBdr>
                                  <w:divsChild>
                                    <w:div w:id="111176445">
                                      <w:marLeft w:val="0"/>
                                      <w:marRight w:val="0"/>
                                      <w:marTop w:val="0"/>
                                      <w:marBottom w:val="0"/>
                                      <w:divBdr>
                                        <w:top w:val="none" w:sz="0" w:space="0" w:color="auto"/>
                                        <w:left w:val="none" w:sz="0" w:space="0" w:color="auto"/>
                                        <w:bottom w:val="none" w:sz="0" w:space="0" w:color="auto"/>
                                        <w:right w:val="none" w:sz="0" w:space="0" w:color="auto"/>
                                      </w:divBdr>
                                    </w:div>
                                    <w:div w:id="1766682031">
                                      <w:marLeft w:val="0"/>
                                      <w:marRight w:val="0"/>
                                      <w:marTop w:val="75"/>
                                      <w:marBottom w:val="75"/>
                                      <w:divBdr>
                                        <w:top w:val="none" w:sz="0" w:space="0" w:color="auto"/>
                                        <w:left w:val="none" w:sz="0" w:space="0" w:color="auto"/>
                                        <w:bottom w:val="none" w:sz="0" w:space="0" w:color="auto"/>
                                        <w:right w:val="none" w:sz="0" w:space="0" w:color="auto"/>
                                      </w:divBdr>
                                      <w:divsChild>
                                        <w:div w:id="371617712">
                                          <w:marLeft w:val="0"/>
                                          <w:marRight w:val="135"/>
                                          <w:marTop w:val="0"/>
                                          <w:marBottom w:val="0"/>
                                          <w:divBdr>
                                            <w:top w:val="none" w:sz="0" w:space="0" w:color="auto"/>
                                            <w:left w:val="none" w:sz="0" w:space="0" w:color="auto"/>
                                            <w:bottom w:val="none" w:sz="0" w:space="0" w:color="auto"/>
                                            <w:right w:val="none" w:sz="0" w:space="0" w:color="auto"/>
                                          </w:divBdr>
                                        </w:div>
                                        <w:div w:id="181436491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6905637">
                      <w:marLeft w:val="0"/>
                      <w:marRight w:val="0"/>
                      <w:marTop w:val="0"/>
                      <w:marBottom w:val="0"/>
                      <w:divBdr>
                        <w:top w:val="none" w:sz="0" w:space="0" w:color="auto"/>
                        <w:left w:val="none" w:sz="0" w:space="0" w:color="auto"/>
                        <w:bottom w:val="none" w:sz="0" w:space="0" w:color="auto"/>
                        <w:right w:val="none" w:sz="0" w:space="0" w:color="auto"/>
                      </w:divBdr>
                    </w:div>
                  </w:divsChild>
                </w:div>
                <w:div w:id="1881162349">
                  <w:marLeft w:val="0"/>
                  <w:marRight w:val="0"/>
                  <w:marTop w:val="150"/>
                  <w:marBottom w:val="0"/>
                  <w:divBdr>
                    <w:top w:val="none" w:sz="0" w:space="0" w:color="auto"/>
                    <w:left w:val="none" w:sz="0" w:space="0" w:color="auto"/>
                    <w:bottom w:val="none" w:sz="0" w:space="0" w:color="auto"/>
                    <w:right w:val="none" w:sz="0" w:space="0" w:color="auto"/>
                  </w:divBdr>
                  <w:divsChild>
                    <w:div w:id="1620643477">
                      <w:marLeft w:val="0"/>
                      <w:marRight w:val="0"/>
                      <w:marTop w:val="0"/>
                      <w:marBottom w:val="0"/>
                      <w:divBdr>
                        <w:top w:val="none" w:sz="0" w:space="0" w:color="auto"/>
                        <w:left w:val="none" w:sz="0" w:space="0" w:color="auto"/>
                        <w:bottom w:val="none" w:sz="0" w:space="0" w:color="auto"/>
                        <w:right w:val="none" w:sz="0" w:space="0" w:color="auto"/>
                      </w:divBdr>
                      <w:divsChild>
                        <w:div w:id="114697105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347934">
      <w:bodyDiv w:val="1"/>
      <w:marLeft w:val="0"/>
      <w:marRight w:val="0"/>
      <w:marTop w:val="0"/>
      <w:marBottom w:val="0"/>
      <w:divBdr>
        <w:top w:val="none" w:sz="0" w:space="0" w:color="auto"/>
        <w:left w:val="none" w:sz="0" w:space="0" w:color="auto"/>
        <w:bottom w:val="none" w:sz="0" w:space="0" w:color="auto"/>
        <w:right w:val="none" w:sz="0" w:space="0" w:color="auto"/>
      </w:divBdr>
      <w:divsChild>
        <w:div w:id="1405179812">
          <w:marLeft w:val="0"/>
          <w:marRight w:val="0"/>
          <w:marTop w:val="0"/>
          <w:marBottom w:val="0"/>
          <w:divBdr>
            <w:top w:val="none" w:sz="0" w:space="0" w:color="auto"/>
            <w:left w:val="none" w:sz="0" w:space="0" w:color="auto"/>
            <w:bottom w:val="none" w:sz="0" w:space="0" w:color="auto"/>
            <w:right w:val="none" w:sz="0" w:space="0" w:color="auto"/>
          </w:divBdr>
          <w:divsChild>
            <w:div w:id="19909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65321">
      <w:bodyDiv w:val="1"/>
      <w:marLeft w:val="0"/>
      <w:marRight w:val="0"/>
      <w:marTop w:val="0"/>
      <w:marBottom w:val="0"/>
      <w:divBdr>
        <w:top w:val="none" w:sz="0" w:space="0" w:color="auto"/>
        <w:left w:val="none" w:sz="0" w:space="0" w:color="auto"/>
        <w:bottom w:val="none" w:sz="0" w:space="0" w:color="auto"/>
        <w:right w:val="none" w:sz="0" w:space="0" w:color="auto"/>
      </w:divBdr>
      <w:divsChild>
        <w:div w:id="359621864">
          <w:marLeft w:val="0"/>
          <w:marRight w:val="0"/>
          <w:marTop w:val="0"/>
          <w:marBottom w:val="0"/>
          <w:divBdr>
            <w:top w:val="none" w:sz="0" w:space="0" w:color="auto"/>
            <w:left w:val="none" w:sz="0" w:space="0" w:color="auto"/>
            <w:bottom w:val="none" w:sz="0" w:space="0" w:color="auto"/>
            <w:right w:val="none" w:sz="0" w:space="0" w:color="auto"/>
          </w:divBdr>
          <w:divsChild>
            <w:div w:id="417750276">
              <w:marLeft w:val="0"/>
              <w:marRight w:val="0"/>
              <w:marTop w:val="0"/>
              <w:marBottom w:val="0"/>
              <w:divBdr>
                <w:top w:val="none" w:sz="0" w:space="0" w:color="auto"/>
                <w:left w:val="none" w:sz="0" w:space="0" w:color="auto"/>
                <w:bottom w:val="none" w:sz="0" w:space="0" w:color="auto"/>
                <w:right w:val="none" w:sz="0" w:space="0" w:color="auto"/>
              </w:divBdr>
              <w:divsChild>
                <w:div w:id="160201817">
                  <w:marLeft w:val="0"/>
                  <w:marRight w:val="0"/>
                  <w:marTop w:val="0"/>
                  <w:marBottom w:val="0"/>
                  <w:divBdr>
                    <w:top w:val="none" w:sz="0" w:space="0" w:color="auto"/>
                    <w:left w:val="none" w:sz="0" w:space="0" w:color="auto"/>
                    <w:bottom w:val="none" w:sz="0" w:space="0" w:color="auto"/>
                    <w:right w:val="none" w:sz="0" w:space="0" w:color="auto"/>
                  </w:divBdr>
                  <w:divsChild>
                    <w:div w:id="1489250307">
                      <w:marLeft w:val="0"/>
                      <w:marRight w:val="0"/>
                      <w:marTop w:val="0"/>
                      <w:marBottom w:val="0"/>
                      <w:divBdr>
                        <w:top w:val="none" w:sz="0" w:space="0" w:color="auto"/>
                        <w:left w:val="none" w:sz="0" w:space="0" w:color="auto"/>
                        <w:bottom w:val="none" w:sz="0" w:space="0" w:color="auto"/>
                        <w:right w:val="none" w:sz="0" w:space="0" w:color="auto"/>
                      </w:divBdr>
                      <w:divsChild>
                        <w:div w:id="1757479591">
                          <w:marLeft w:val="0"/>
                          <w:marRight w:val="0"/>
                          <w:marTop w:val="0"/>
                          <w:marBottom w:val="0"/>
                          <w:divBdr>
                            <w:top w:val="none" w:sz="0" w:space="0" w:color="auto"/>
                            <w:left w:val="none" w:sz="0" w:space="0" w:color="auto"/>
                            <w:bottom w:val="none" w:sz="0" w:space="0" w:color="auto"/>
                            <w:right w:val="none" w:sz="0" w:space="0" w:color="auto"/>
                          </w:divBdr>
                          <w:divsChild>
                            <w:div w:id="77964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2052213">
      <w:bodyDiv w:val="1"/>
      <w:marLeft w:val="0"/>
      <w:marRight w:val="0"/>
      <w:marTop w:val="0"/>
      <w:marBottom w:val="0"/>
      <w:divBdr>
        <w:top w:val="none" w:sz="0" w:space="0" w:color="auto"/>
        <w:left w:val="none" w:sz="0" w:space="0" w:color="auto"/>
        <w:bottom w:val="none" w:sz="0" w:space="0" w:color="auto"/>
        <w:right w:val="none" w:sz="0" w:space="0" w:color="auto"/>
      </w:divBdr>
      <w:divsChild>
        <w:div w:id="1355964445">
          <w:marLeft w:val="0"/>
          <w:marRight w:val="0"/>
          <w:marTop w:val="0"/>
          <w:marBottom w:val="0"/>
          <w:divBdr>
            <w:top w:val="none" w:sz="0" w:space="0" w:color="auto"/>
            <w:left w:val="none" w:sz="0" w:space="0" w:color="auto"/>
            <w:bottom w:val="none" w:sz="0" w:space="0" w:color="auto"/>
            <w:right w:val="none" w:sz="0" w:space="0" w:color="auto"/>
          </w:divBdr>
        </w:div>
      </w:divsChild>
    </w:div>
    <w:div w:id="1342078361">
      <w:bodyDiv w:val="1"/>
      <w:marLeft w:val="0"/>
      <w:marRight w:val="0"/>
      <w:marTop w:val="0"/>
      <w:marBottom w:val="0"/>
      <w:divBdr>
        <w:top w:val="none" w:sz="0" w:space="0" w:color="auto"/>
        <w:left w:val="none" w:sz="0" w:space="0" w:color="auto"/>
        <w:bottom w:val="none" w:sz="0" w:space="0" w:color="auto"/>
        <w:right w:val="none" w:sz="0" w:space="0" w:color="auto"/>
      </w:divBdr>
    </w:div>
    <w:div w:id="1342581814">
      <w:bodyDiv w:val="1"/>
      <w:marLeft w:val="0"/>
      <w:marRight w:val="0"/>
      <w:marTop w:val="0"/>
      <w:marBottom w:val="0"/>
      <w:divBdr>
        <w:top w:val="none" w:sz="0" w:space="0" w:color="auto"/>
        <w:left w:val="none" w:sz="0" w:space="0" w:color="auto"/>
        <w:bottom w:val="none" w:sz="0" w:space="0" w:color="auto"/>
        <w:right w:val="none" w:sz="0" w:space="0" w:color="auto"/>
      </w:divBdr>
      <w:divsChild>
        <w:div w:id="1240795649">
          <w:marLeft w:val="0"/>
          <w:marRight w:val="0"/>
          <w:marTop w:val="0"/>
          <w:marBottom w:val="0"/>
          <w:divBdr>
            <w:top w:val="none" w:sz="0" w:space="0" w:color="auto"/>
            <w:left w:val="none" w:sz="0" w:space="0" w:color="auto"/>
            <w:bottom w:val="none" w:sz="0" w:space="0" w:color="auto"/>
            <w:right w:val="none" w:sz="0" w:space="0" w:color="auto"/>
          </w:divBdr>
          <w:divsChild>
            <w:div w:id="379020477">
              <w:marLeft w:val="0"/>
              <w:marRight w:val="0"/>
              <w:marTop w:val="0"/>
              <w:marBottom w:val="0"/>
              <w:divBdr>
                <w:top w:val="none" w:sz="0" w:space="0" w:color="auto"/>
                <w:left w:val="none" w:sz="0" w:space="0" w:color="auto"/>
                <w:bottom w:val="none" w:sz="0" w:space="0" w:color="auto"/>
                <w:right w:val="none" w:sz="0" w:space="0" w:color="auto"/>
              </w:divBdr>
              <w:divsChild>
                <w:div w:id="1712265588">
                  <w:marLeft w:val="0"/>
                  <w:marRight w:val="0"/>
                  <w:marTop w:val="0"/>
                  <w:marBottom w:val="0"/>
                  <w:divBdr>
                    <w:top w:val="none" w:sz="0" w:space="0" w:color="auto"/>
                    <w:left w:val="none" w:sz="0" w:space="0" w:color="auto"/>
                    <w:bottom w:val="none" w:sz="0" w:space="0" w:color="auto"/>
                    <w:right w:val="none" w:sz="0" w:space="0" w:color="auto"/>
                  </w:divBdr>
                  <w:divsChild>
                    <w:div w:id="413862458">
                      <w:marLeft w:val="0"/>
                      <w:marRight w:val="0"/>
                      <w:marTop w:val="0"/>
                      <w:marBottom w:val="0"/>
                      <w:divBdr>
                        <w:top w:val="none" w:sz="0" w:space="0" w:color="auto"/>
                        <w:left w:val="none" w:sz="0" w:space="0" w:color="auto"/>
                        <w:bottom w:val="none" w:sz="0" w:space="0" w:color="auto"/>
                        <w:right w:val="none" w:sz="0" w:space="0" w:color="auto"/>
                      </w:divBdr>
                      <w:divsChild>
                        <w:div w:id="1293823924">
                          <w:marLeft w:val="0"/>
                          <w:marRight w:val="0"/>
                          <w:marTop w:val="0"/>
                          <w:marBottom w:val="0"/>
                          <w:divBdr>
                            <w:top w:val="none" w:sz="0" w:space="0" w:color="auto"/>
                            <w:left w:val="none" w:sz="0" w:space="0" w:color="auto"/>
                            <w:bottom w:val="none" w:sz="0" w:space="0" w:color="auto"/>
                            <w:right w:val="none" w:sz="0" w:space="0" w:color="auto"/>
                          </w:divBdr>
                          <w:divsChild>
                            <w:div w:id="909313236">
                              <w:marLeft w:val="0"/>
                              <w:marRight w:val="0"/>
                              <w:marTop w:val="0"/>
                              <w:marBottom w:val="0"/>
                              <w:divBdr>
                                <w:top w:val="none" w:sz="0" w:space="0" w:color="auto"/>
                                <w:left w:val="none" w:sz="0" w:space="0" w:color="auto"/>
                                <w:bottom w:val="none" w:sz="0" w:space="0" w:color="auto"/>
                                <w:right w:val="none" w:sz="0" w:space="0" w:color="auto"/>
                              </w:divBdr>
                              <w:divsChild>
                                <w:div w:id="522790085">
                                  <w:marLeft w:val="0"/>
                                  <w:marRight w:val="0"/>
                                  <w:marTop w:val="0"/>
                                  <w:marBottom w:val="0"/>
                                  <w:divBdr>
                                    <w:top w:val="none" w:sz="0" w:space="0" w:color="auto"/>
                                    <w:left w:val="none" w:sz="0" w:space="0" w:color="auto"/>
                                    <w:bottom w:val="none" w:sz="0" w:space="0" w:color="auto"/>
                                    <w:right w:val="none" w:sz="0" w:space="0" w:color="auto"/>
                                  </w:divBdr>
                                  <w:divsChild>
                                    <w:div w:id="183109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3051493">
      <w:bodyDiv w:val="1"/>
      <w:marLeft w:val="0"/>
      <w:marRight w:val="0"/>
      <w:marTop w:val="0"/>
      <w:marBottom w:val="0"/>
      <w:divBdr>
        <w:top w:val="none" w:sz="0" w:space="0" w:color="auto"/>
        <w:left w:val="none" w:sz="0" w:space="0" w:color="auto"/>
        <w:bottom w:val="none" w:sz="0" w:space="0" w:color="auto"/>
        <w:right w:val="none" w:sz="0" w:space="0" w:color="auto"/>
      </w:divBdr>
      <w:divsChild>
        <w:div w:id="2054384346">
          <w:marLeft w:val="0"/>
          <w:marRight w:val="0"/>
          <w:marTop w:val="0"/>
          <w:marBottom w:val="0"/>
          <w:divBdr>
            <w:top w:val="none" w:sz="0" w:space="0" w:color="auto"/>
            <w:left w:val="none" w:sz="0" w:space="0" w:color="auto"/>
            <w:bottom w:val="dotted" w:sz="6" w:space="4" w:color="DDDDDD"/>
            <w:right w:val="none" w:sz="0" w:space="0" w:color="auto"/>
          </w:divBdr>
        </w:div>
      </w:divsChild>
    </w:div>
    <w:div w:id="1343318719">
      <w:bodyDiv w:val="1"/>
      <w:marLeft w:val="0"/>
      <w:marRight w:val="0"/>
      <w:marTop w:val="0"/>
      <w:marBottom w:val="0"/>
      <w:divBdr>
        <w:top w:val="none" w:sz="0" w:space="0" w:color="auto"/>
        <w:left w:val="none" w:sz="0" w:space="0" w:color="auto"/>
        <w:bottom w:val="none" w:sz="0" w:space="0" w:color="auto"/>
        <w:right w:val="none" w:sz="0" w:space="0" w:color="auto"/>
      </w:divBdr>
      <w:divsChild>
        <w:div w:id="889536108">
          <w:marLeft w:val="0"/>
          <w:marRight w:val="0"/>
          <w:marTop w:val="0"/>
          <w:marBottom w:val="0"/>
          <w:divBdr>
            <w:top w:val="none" w:sz="0" w:space="0" w:color="auto"/>
            <w:left w:val="none" w:sz="0" w:space="0" w:color="auto"/>
            <w:bottom w:val="none" w:sz="0" w:space="0" w:color="auto"/>
            <w:right w:val="none" w:sz="0" w:space="0" w:color="auto"/>
          </w:divBdr>
          <w:divsChild>
            <w:div w:id="1113865688">
              <w:marLeft w:val="0"/>
              <w:marRight w:val="0"/>
              <w:marTop w:val="0"/>
              <w:marBottom w:val="0"/>
              <w:divBdr>
                <w:top w:val="none" w:sz="0" w:space="0" w:color="auto"/>
                <w:left w:val="none" w:sz="0" w:space="0" w:color="auto"/>
                <w:bottom w:val="none" w:sz="0" w:space="0" w:color="auto"/>
                <w:right w:val="none" w:sz="0" w:space="0" w:color="auto"/>
              </w:divBdr>
              <w:divsChild>
                <w:div w:id="64110324">
                  <w:marLeft w:val="0"/>
                  <w:marRight w:val="0"/>
                  <w:marTop w:val="0"/>
                  <w:marBottom w:val="0"/>
                  <w:divBdr>
                    <w:top w:val="none" w:sz="0" w:space="0" w:color="auto"/>
                    <w:left w:val="none" w:sz="0" w:space="0" w:color="auto"/>
                    <w:bottom w:val="none" w:sz="0" w:space="0" w:color="auto"/>
                    <w:right w:val="none" w:sz="0" w:space="0" w:color="auto"/>
                  </w:divBdr>
                  <w:divsChild>
                    <w:div w:id="1362126395">
                      <w:marLeft w:val="0"/>
                      <w:marRight w:val="0"/>
                      <w:marTop w:val="0"/>
                      <w:marBottom w:val="0"/>
                      <w:divBdr>
                        <w:top w:val="none" w:sz="0" w:space="0" w:color="auto"/>
                        <w:left w:val="none" w:sz="0" w:space="0" w:color="auto"/>
                        <w:bottom w:val="none" w:sz="0" w:space="0" w:color="auto"/>
                        <w:right w:val="none" w:sz="0" w:space="0" w:color="auto"/>
                      </w:divBdr>
                      <w:divsChild>
                        <w:div w:id="2133477683">
                          <w:marLeft w:val="0"/>
                          <w:marRight w:val="0"/>
                          <w:marTop w:val="0"/>
                          <w:marBottom w:val="0"/>
                          <w:divBdr>
                            <w:top w:val="none" w:sz="0" w:space="0" w:color="auto"/>
                            <w:left w:val="none" w:sz="0" w:space="0" w:color="auto"/>
                            <w:bottom w:val="none" w:sz="0" w:space="0" w:color="auto"/>
                            <w:right w:val="none" w:sz="0" w:space="0" w:color="auto"/>
                          </w:divBdr>
                          <w:divsChild>
                            <w:div w:id="120058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4089738">
      <w:bodyDiv w:val="1"/>
      <w:marLeft w:val="0"/>
      <w:marRight w:val="0"/>
      <w:marTop w:val="0"/>
      <w:marBottom w:val="0"/>
      <w:divBdr>
        <w:top w:val="none" w:sz="0" w:space="0" w:color="auto"/>
        <w:left w:val="none" w:sz="0" w:space="0" w:color="auto"/>
        <w:bottom w:val="none" w:sz="0" w:space="0" w:color="auto"/>
        <w:right w:val="none" w:sz="0" w:space="0" w:color="auto"/>
      </w:divBdr>
    </w:div>
    <w:div w:id="1344437890">
      <w:bodyDiv w:val="1"/>
      <w:marLeft w:val="0"/>
      <w:marRight w:val="0"/>
      <w:marTop w:val="0"/>
      <w:marBottom w:val="0"/>
      <w:divBdr>
        <w:top w:val="none" w:sz="0" w:space="0" w:color="auto"/>
        <w:left w:val="none" w:sz="0" w:space="0" w:color="auto"/>
        <w:bottom w:val="none" w:sz="0" w:space="0" w:color="auto"/>
        <w:right w:val="none" w:sz="0" w:space="0" w:color="auto"/>
      </w:divBdr>
      <w:divsChild>
        <w:div w:id="163980549">
          <w:marLeft w:val="0"/>
          <w:marRight w:val="0"/>
          <w:marTop w:val="0"/>
          <w:marBottom w:val="0"/>
          <w:divBdr>
            <w:top w:val="none" w:sz="0" w:space="0" w:color="auto"/>
            <w:left w:val="none" w:sz="0" w:space="0" w:color="auto"/>
            <w:bottom w:val="dotted" w:sz="6" w:space="4" w:color="DDDDDD"/>
            <w:right w:val="none" w:sz="0" w:space="0" w:color="auto"/>
          </w:divBdr>
          <w:divsChild>
            <w:div w:id="157904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817087">
      <w:bodyDiv w:val="1"/>
      <w:marLeft w:val="0"/>
      <w:marRight w:val="0"/>
      <w:marTop w:val="439"/>
      <w:marBottom w:val="0"/>
      <w:divBdr>
        <w:top w:val="none" w:sz="0" w:space="0" w:color="auto"/>
        <w:left w:val="none" w:sz="0" w:space="0" w:color="auto"/>
        <w:bottom w:val="none" w:sz="0" w:space="0" w:color="auto"/>
        <w:right w:val="none" w:sz="0" w:space="0" w:color="auto"/>
      </w:divBdr>
      <w:divsChild>
        <w:div w:id="918950228">
          <w:marLeft w:val="0"/>
          <w:marRight w:val="0"/>
          <w:marTop w:val="0"/>
          <w:marBottom w:val="0"/>
          <w:divBdr>
            <w:top w:val="none" w:sz="0" w:space="0" w:color="auto"/>
            <w:left w:val="single" w:sz="6" w:space="0" w:color="ECECEC"/>
            <w:bottom w:val="none" w:sz="0" w:space="0" w:color="auto"/>
            <w:right w:val="single" w:sz="6" w:space="0" w:color="ECECEC"/>
          </w:divBdr>
          <w:divsChild>
            <w:div w:id="651132895">
              <w:marLeft w:val="0"/>
              <w:marRight w:val="0"/>
              <w:marTop w:val="0"/>
              <w:marBottom w:val="0"/>
              <w:divBdr>
                <w:top w:val="none" w:sz="0" w:space="0" w:color="auto"/>
                <w:left w:val="none" w:sz="0" w:space="0" w:color="auto"/>
                <w:bottom w:val="none" w:sz="0" w:space="0" w:color="auto"/>
                <w:right w:val="none" w:sz="0" w:space="0" w:color="auto"/>
              </w:divBdr>
              <w:divsChild>
                <w:div w:id="1932659931">
                  <w:marLeft w:val="0"/>
                  <w:marRight w:val="0"/>
                  <w:marTop w:val="0"/>
                  <w:marBottom w:val="0"/>
                  <w:divBdr>
                    <w:top w:val="none" w:sz="0" w:space="0" w:color="auto"/>
                    <w:left w:val="none" w:sz="0" w:space="0" w:color="auto"/>
                    <w:bottom w:val="none" w:sz="0" w:space="0" w:color="auto"/>
                    <w:right w:val="none" w:sz="0" w:space="0" w:color="auto"/>
                  </w:divBdr>
                  <w:divsChild>
                    <w:div w:id="243496638">
                      <w:marLeft w:val="0"/>
                      <w:marRight w:val="0"/>
                      <w:marTop w:val="0"/>
                      <w:marBottom w:val="0"/>
                      <w:divBdr>
                        <w:top w:val="none" w:sz="0" w:space="0" w:color="auto"/>
                        <w:left w:val="none" w:sz="0" w:space="0" w:color="auto"/>
                        <w:bottom w:val="none" w:sz="0" w:space="0" w:color="auto"/>
                        <w:right w:val="none" w:sz="0" w:space="0" w:color="auto"/>
                      </w:divBdr>
                      <w:divsChild>
                        <w:div w:id="437602606">
                          <w:marLeft w:val="0"/>
                          <w:marRight w:val="0"/>
                          <w:marTop w:val="0"/>
                          <w:marBottom w:val="0"/>
                          <w:divBdr>
                            <w:top w:val="none" w:sz="0" w:space="0" w:color="auto"/>
                            <w:left w:val="none" w:sz="0" w:space="0" w:color="auto"/>
                            <w:bottom w:val="none" w:sz="0" w:space="0" w:color="auto"/>
                            <w:right w:val="none" w:sz="0" w:space="0" w:color="auto"/>
                          </w:divBdr>
                          <w:divsChild>
                            <w:div w:id="1450203763">
                              <w:marLeft w:val="0"/>
                              <w:marRight w:val="0"/>
                              <w:marTop w:val="0"/>
                              <w:marBottom w:val="0"/>
                              <w:divBdr>
                                <w:top w:val="none" w:sz="0" w:space="0" w:color="auto"/>
                                <w:left w:val="none" w:sz="0" w:space="0" w:color="auto"/>
                                <w:bottom w:val="none" w:sz="0" w:space="0" w:color="auto"/>
                                <w:right w:val="none" w:sz="0" w:space="0" w:color="auto"/>
                              </w:divBdr>
                              <w:divsChild>
                                <w:div w:id="85376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4817612">
      <w:bodyDiv w:val="1"/>
      <w:marLeft w:val="0"/>
      <w:marRight w:val="0"/>
      <w:marTop w:val="0"/>
      <w:marBottom w:val="0"/>
      <w:divBdr>
        <w:top w:val="none" w:sz="0" w:space="0" w:color="auto"/>
        <w:left w:val="none" w:sz="0" w:space="0" w:color="auto"/>
        <w:bottom w:val="none" w:sz="0" w:space="0" w:color="auto"/>
        <w:right w:val="none" w:sz="0" w:space="0" w:color="auto"/>
      </w:divBdr>
    </w:div>
    <w:div w:id="1344865495">
      <w:bodyDiv w:val="1"/>
      <w:marLeft w:val="0"/>
      <w:marRight w:val="0"/>
      <w:marTop w:val="0"/>
      <w:marBottom w:val="0"/>
      <w:divBdr>
        <w:top w:val="none" w:sz="0" w:space="0" w:color="auto"/>
        <w:left w:val="none" w:sz="0" w:space="0" w:color="auto"/>
        <w:bottom w:val="none" w:sz="0" w:space="0" w:color="auto"/>
        <w:right w:val="none" w:sz="0" w:space="0" w:color="auto"/>
      </w:divBdr>
    </w:div>
    <w:div w:id="1345205283">
      <w:bodyDiv w:val="1"/>
      <w:marLeft w:val="0"/>
      <w:marRight w:val="0"/>
      <w:marTop w:val="0"/>
      <w:marBottom w:val="0"/>
      <w:divBdr>
        <w:top w:val="none" w:sz="0" w:space="0" w:color="auto"/>
        <w:left w:val="none" w:sz="0" w:space="0" w:color="auto"/>
        <w:bottom w:val="none" w:sz="0" w:space="0" w:color="auto"/>
        <w:right w:val="none" w:sz="0" w:space="0" w:color="auto"/>
      </w:divBdr>
      <w:divsChild>
        <w:div w:id="127019340">
          <w:marLeft w:val="0"/>
          <w:marRight w:val="0"/>
          <w:marTop w:val="0"/>
          <w:marBottom w:val="150"/>
          <w:divBdr>
            <w:top w:val="none" w:sz="0" w:space="0" w:color="auto"/>
            <w:left w:val="none" w:sz="0" w:space="0" w:color="auto"/>
            <w:bottom w:val="none" w:sz="0" w:space="0" w:color="auto"/>
            <w:right w:val="none" w:sz="0" w:space="0" w:color="auto"/>
          </w:divBdr>
        </w:div>
      </w:divsChild>
    </w:div>
    <w:div w:id="1345401864">
      <w:bodyDiv w:val="1"/>
      <w:marLeft w:val="0"/>
      <w:marRight w:val="0"/>
      <w:marTop w:val="0"/>
      <w:marBottom w:val="0"/>
      <w:divBdr>
        <w:top w:val="none" w:sz="0" w:space="0" w:color="auto"/>
        <w:left w:val="none" w:sz="0" w:space="0" w:color="auto"/>
        <w:bottom w:val="none" w:sz="0" w:space="0" w:color="auto"/>
        <w:right w:val="none" w:sz="0" w:space="0" w:color="auto"/>
      </w:divBdr>
      <w:divsChild>
        <w:div w:id="392436370">
          <w:marLeft w:val="0"/>
          <w:marRight w:val="0"/>
          <w:marTop w:val="0"/>
          <w:marBottom w:val="0"/>
          <w:divBdr>
            <w:top w:val="none" w:sz="0" w:space="0" w:color="auto"/>
            <w:left w:val="none" w:sz="0" w:space="0" w:color="auto"/>
            <w:bottom w:val="dotted" w:sz="6" w:space="4" w:color="DDDDDD"/>
            <w:right w:val="none" w:sz="0" w:space="0" w:color="auto"/>
          </w:divBdr>
          <w:divsChild>
            <w:div w:id="57717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403782">
      <w:bodyDiv w:val="1"/>
      <w:marLeft w:val="0"/>
      <w:marRight w:val="0"/>
      <w:marTop w:val="0"/>
      <w:marBottom w:val="0"/>
      <w:divBdr>
        <w:top w:val="none" w:sz="0" w:space="0" w:color="auto"/>
        <w:left w:val="none" w:sz="0" w:space="0" w:color="auto"/>
        <w:bottom w:val="none" w:sz="0" w:space="0" w:color="auto"/>
        <w:right w:val="none" w:sz="0" w:space="0" w:color="auto"/>
      </w:divBdr>
    </w:div>
    <w:div w:id="1346323116">
      <w:bodyDiv w:val="1"/>
      <w:marLeft w:val="0"/>
      <w:marRight w:val="0"/>
      <w:marTop w:val="0"/>
      <w:marBottom w:val="0"/>
      <w:divBdr>
        <w:top w:val="none" w:sz="0" w:space="0" w:color="auto"/>
        <w:left w:val="none" w:sz="0" w:space="0" w:color="auto"/>
        <w:bottom w:val="none" w:sz="0" w:space="0" w:color="auto"/>
        <w:right w:val="none" w:sz="0" w:space="0" w:color="auto"/>
      </w:divBdr>
      <w:divsChild>
        <w:div w:id="57824794">
          <w:marLeft w:val="0"/>
          <w:marRight w:val="0"/>
          <w:marTop w:val="0"/>
          <w:marBottom w:val="0"/>
          <w:divBdr>
            <w:top w:val="none" w:sz="0" w:space="0" w:color="auto"/>
            <w:left w:val="none" w:sz="0" w:space="0" w:color="auto"/>
            <w:bottom w:val="none" w:sz="0" w:space="0" w:color="auto"/>
            <w:right w:val="none" w:sz="0" w:space="0" w:color="auto"/>
          </w:divBdr>
          <w:divsChild>
            <w:div w:id="249198090">
              <w:marLeft w:val="0"/>
              <w:marRight w:val="0"/>
              <w:marTop w:val="0"/>
              <w:marBottom w:val="0"/>
              <w:divBdr>
                <w:top w:val="none" w:sz="0" w:space="0" w:color="auto"/>
                <w:left w:val="none" w:sz="0" w:space="0" w:color="auto"/>
                <w:bottom w:val="none" w:sz="0" w:space="0" w:color="auto"/>
                <w:right w:val="none" w:sz="0" w:space="0" w:color="auto"/>
              </w:divBdr>
            </w:div>
          </w:divsChild>
        </w:div>
        <w:div w:id="1565599873">
          <w:marLeft w:val="0"/>
          <w:marRight w:val="0"/>
          <w:marTop w:val="0"/>
          <w:marBottom w:val="150"/>
          <w:divBdr>
            <w:top w:val="none" w:sz="0" w:space="0" w:color="auto"/>
            <w:left w:val="none" w:sz="0" w:space="0" w:color="auto"/>
            <w:bottom w:val="none" w:sz="0" w:space="0" w:color="auto"/>
            <w:right w:val="none" w:sz="0" w:space="0" w:color="auto"/>
          </w:divBdr>
          <w:divsChild>
            <w:div w:id="974945244">
              <w:marLeft w:val="0"/>
              <w:marRight w:val="0"/>
              <w:marTop w:val="0"/>
              <w:marBottom w:val="0"/>
              <w:divBdr>
                <w:top w:val="none" w:sz="0" w:space="0" w:color="auto"/>
                <w:left w:val="none" w:sz="0" w:space="0" w:color="auto"/>
                <w:bottom w:val="none" w:sz="0" w:space="0" w:color="auto"/>
                <w:right w:val="none" w:sz="0" w:space="0" w:color="auto"/>
              </w:divBdr>
            </w:div>
          </w:divsChild>
        </w:div>
        <w:div w:id="1712344376">
          <w:marLeft w:val="0"/>
          <w:marRight w:val="0"/>
          <w:marTop w:val="0"/>
          <w:marBottom w:val="150"/>
          <w:divBdr>
            <w:top w:val="none" w:sz="0" w:space="0" w:color="auto"/>
            <w:left w:val="none" w:sz="0" w:space="0" w:color="auto"/>
            <w:bottom w:val="none" w:sz="0" w:space="0" w:color="auto"/>
            <w:right w:val="none" w:sz="0" w:space="0" w:color="auto"/>
          </w:divBdr>
        </w:div>
      </w:divsChild>
    </w:div>
    <w:div w:id="1346861908">
      <w:bodyDiv w:val="1"/>
      <w:marLeft w:val="0"/>
      <w:marRight w:val="0"/>
      <w:marTop w:val="0"/>
      <w:marBottom w:val="0"/>
      <w:divBdr>
        <w:top w:val="none" w:sz="0" w:space="0" w:color="auto"/>
        <w:left w:val="none" w:sz="0" w:space="0" w:color="auto"/>
        <w:bottom w:val="none" w:sz="0" w:space="0" w:color="auto"/>
        <w:right w:val="none" w:sz="0" w:space="0" w:color="auto"/>
      </w:divBdr>
      <w:divsChild>
        <w:div w:id="1280334196">
          <w:marLeft w:val="0"/>
          <w:marRight w:val="0"/>
          <w:marTop w:val="0"/>
          <w:marBottom w:val="0"/>
          <w:divBdr>
            <w:top w:val="none" w:sz="0" w:space="0" w:color="auto"/>
            <w:left w:val="none" w:sz="0" w:space="0" w:color="auto"/>
            <w:bottom w:val="dotted" w:sz="6" w:space="4" w:color="DDDDDD"/>
            <w:right w:val="none" w:sz="0" w:space="0" w:color="auto"/>
          </w:divBdr>
        </w:div>
      </w:divsChild>
    </w:div>
    <w:div w:id="1347102141">
      <w:bodyDiv w:val="1"/>
      <w:marLeft w:val="0"/>
      <w:marRight w:val="0"/>
      <w:marTop w:val="0"/>
      <w:marBottom w:val="0"/>
      <w:divBdr>
        <w:top w:val="none" w:sz="0" w:space="0" w:color="auto"/>
        <w:left w:val="none" w:sz="0" w:space="0" w:color="auto"/>
        <w:bottom w:val="none" w:sz="0" w:space="0" w:color="auto"/>
        <w:right w:val="none" w:sz="0" w:space="0" w:color="auto"/>
      </w:divBdr>
      <w:divsChild>
        <w:div w:id="656029645">
          <w:marLeft w:val="0"/>
          <w:marRight w:val="0"/>
          <w:marTop w:val="150"/>
          <w:marBottom w:val="0"/>
          <w:divBdr>
            <w:top w:val="none" w:sz="0" w:space="0" w:color="auto"/>
            <w:left w:val="none" w:sz="0" w:space="0" w:color="auto"/>
            <w:bottom w:val="none" w:sz="0" w:space="0" w:color="auto"/>
            <w:right w:val="none" w:sz="0" w:space="0" w:color="auto"/>
          </w:divBdr>
          <w:divsChild>
            <w:div w:id="1717464917">
              <w:marLeft w:val="0"/>
              <w:marRight w:val="0"/>
              <w:marTop w:val="0"/>
              <w:marBottom w:val="0"/>
              <w:divBdr>
                <w:top w:val="none" w:sz="0" w:space="0" w:color="auto"/>
                <w:left w:val="none" w:sz="0" w:space="0" w:color="auto"/>
                <w:bottom w:val="none" w:sz="0" w:space="0" w:color="auto"/>
                <w:right w:val="none" w:sz="0" w:space="0" w:color="auto"/>
              </w:divBdr>
              <w:divsChild>
                <w:div w:id="11667971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65790756">
          <w:marLeft w:val="0"/>
          <w:marRight w:val="0"/>
          <w:marTop w:val="0"/>
          <w:marBottom w:val="0"/>
          <w:divBdr>
            <w:top w:val="none" w:sz="0" w:space="0" w:color="auto"/>
            <w:left w:val="none" w:sz="0" w:space="0" w:color="auto"/>
            <w:bottom w:val="none" w:sz="0" w:space="0" w:color="auto"/>
            <w:right w:val="none" w:sz="0" w:space="0" w:color="auto"/>
          </w:divBdr>
          <w:divsChild>
            <w:div w:id="158101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169157">
      <w:bodyDiv w:val="1"/>
      <w:marLeft w:val="0"/>
      <w:marRight w:val="0"/>
      <w:marTop w:val="0"/>
      <w:marBottom w:val="0"/>
      <w:divBdr>
        <w:top w:val="none" w:sz="0" w:space="0" w:color="auto"/>
        <w:left w:val="none" w:sz="0" w:space="0" w:color="auto"/>
        <w:bottom w:val="none" w:sz="0" w:space="0" w:color="auto"/>
        <w:right w:val="none" w:sz="0" w:space="0" w:color="auto"/>
      </w:divBdr>
      <w:divsChild>
        <w:div w:id="1154371705">
          <w:marLeft w:val="0"/>
          <w:marRight w:val="0"/>
          <w:marTop w:val="0"/>
          <w:marBottom w:val="0"/>
          <w:divBdr>
            <w:top w:val="none" w:sz="0" w:space="0" w:color="auto"/>
            <w:left w:val="none" w:sz="0" w:space="0" w:color="auto"/>
            <w:bottom w:val="dotted" w:sz="6" w:space="4" w:color="DDDDDD"/>
            <w:right w:val="none" w:sz="0" w:space="0" w:color="auto"/>
          </w:divBdr>
          <w:divsChild>
            <w:div w:id="98829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244406">
      <w:bodyDiv w:val="1"/>
      <w:marLeft w:val="0"/>
      <w:marRight w:val="0"/>
      <w:marTop w:val="0"/>
      <w:marBottom w:val="0"/>
      <w:divBdr>
        <w:top w:val="none" w:sz="0" w:space="0" w:color="auto"/>
        <w:left w:val="none" w:sz="0" w:space="0" w:color="auto"/>
        <w:bottom w:val="none" w:sz="0" w:space="0" w:color="auto"/>
        <w:right w:val="none" w:sz="0" w:space="0" w:color="auto"/>
      </w:divBdr>
      <w:divsChild>
        <w:div w:id="629821210">
          <w:marLeft w:val="0"/>
          <w:marRight w:val="0"/>
          <w:marTop w:val="0"/>
          <w:marBottom w:val="150"/>
          <w:divBdr>
            <w:top w:val="none" w:sz="0" w:space="0" w:color="auto"/>
            <w:left w:val="none" w:sz="0" w:space="0" w:color="auto"/>
            <w:bottom w:val="none" w:sz="0" w:space="0" w:color="auto"/>
            <w:right w:val="none" w:sz="0" w:space="0" w:color="auto"/>
          </w:divBdr>
        </w:div>
        <w:div w:id="745541311">
          <w:marLeft w:val="0"/>
          <w:marRight w:val="0"/>
          <w:marTop w:val="225"/>
          <w:marBottom w:val="225"/>
          <w:divBdr>
            <w:top w:val="none" w:sz="0" w:space="0" w:color="auto"/>
            <w:left w:val="none" w:sz="0" w:space="0" w:color="auto"/>
            <w:bottom w:val="none" w:sz="0" w:space="0" w:color="auto"/>
            <w:right w:val="none" w:sz="0" w:space="0" w:color="auto"/>
          </w:divBdr>
        </w:div>
      </w:divsChild>
    </w:div>
    <w:div w:id="1347439893">
      <w:bodyDiv w:val="1"/>
      <w:marLeft w:val="0"/>
      <w:marRight w:val="0"/>
      <w:marTop w:val="0"/>
      <w:marBottom w:val="0"/>
      <w:divBdr>
        <w:top w:val="none" w:sz="0" w:space="0" w:color="auto"/>
        <w:left w:val="none" w:sz="0" w:space="0" w:color="auto"/>
        <w:bottom w:val="none" w:sz="0" w:space="0" w:color="auto"/>
        <w:right w:val="none" w:sz="0" w:space="0" w:color="auto"/>
      </w:divBdr>
      <w:divsChild>
        <w:div w:id="236281971">
          <w:marLeft w:val="0"/>
          <w:marRight w:val="0"/>
          <w:marTop w:val="0"/>
          <w:marBottom w:val="150"/>
          <w:divBdr>
            <w:top w:val="none" w:sz="0" w:space="0" w:color="auto"/>
            <w:left w:val="none" w:sz="0" w:space="0" w:color="auto"/>
            <w:bottom w:val="none" w:sz="0" w:space="0" w:color="auto"/>
            <w:right w:val="none" w:sz="0" w:space="0" w:color="auto"/>
          </w:divBdr>
          <w:divsChild>
            <w:div w:id="24792550">
              <w:marLeft w:val="0"/>
              <w:marRight w:val="0"/>
              <w:marTop w:val="0"/>
              <w:marBottom w:val="0"/>
              <w:divBdr>
                <w:top w:val="none" w:sz="0" w:space="0" w:color="auto"/>
                <w:left w:val="none" w:sz="0" w:space="0" w:color="auto"/>
                <w:bottom w:val="none" w:sz="0" w:space="0" w:color="auto"/>
                <w:right w:val="none" w:sz="0" w:space="0" w:color="auto"/>
              </w:divBdr>
            </w:div>
          </w:divsChild>
        </w:div>
        <w:div w:id="879392003">
          <w:marLeft w:val="0"/>
          <w:marRight w:val="0"/>
          <w:marTop w:val="0"/>
          <w:marBottom w:val="150"/>
          <w:divBdr>
            <w:top w:val="none" w:sz="0" w:space="0" w:color="auto"/>
            <w:left w:val="none" w:sz="0" w:space="0" w:color="auto"/>
            <w:bottom w:val="none" w:sz="0" w:space="0" w:color="auto"/>
            <w:right w:val="none" w:sz="0" w:space="0" w:color="auto"/>
          </w:divBdr>
        </w:div>
        <w:div w:id="1757020706">
          <w:marLeft w:val="0"/>
          <w:marRight w:val="0"/>
          <w:marTop w:val="0"/>
          <w:marBottom w:val="0"/>
          <w:divBdr>
            <w:top w:val="none" w:sz="0" w:space="0" w:color="auto"/>
            <w:left w:val="none" w:sz="0" w:space="0" w:color="auto"/>
            <w:bottom w:val="none" w:sz="0" w:space="0" w:color="auto"/>
            <w:right w:val="none" w:sz="0" w:space="0" w:color="auto"/>
          </w:divBdr>
          <w:divsChild>
            <w:div w:id="164616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513135">
      <w:bodyDiv w:val="1"/>
      <w:marLeft w:val="0"/>
      <w:marRight w:val="0"/>
      <w:marTop w:val="0"/>
      <w:marBottom w:val="0"/>
      <w:divBdr>
        <w:top w:val="none" w:sz="0" w:space="0" w:color="auto"/>
        <w:left w:val="none" w:sz="0" w:space="0" w:color="auto"/>
        <w:bottom w:val="none" w:sz="0" w:space="0" w:color="auto"/>
        <w:right w:val="none" w:sz="0" w:space="0" w:color="auto"/>
      </w:divBdr>
    </w:div>
    <w:div w:id="1347514411">
      <w:bodyDiv w:val="1"/>
      <w:marLeft w:val="0"/>
      <w:marRight w:val="0"/>
      <w:marTop w:val="0"/>
      <w:marBottom w:val="0"/>
      <w:divBdr>
        <w:top w:val="none" w:sz="0" w:space="0" w:color="auto"/>
        <w:left w:val="none" w:sz="0" w:space="0" w:color="auto"/>
        <w:bottom w:val="none" w:sz="0" w:space="0" w:color="auto"/>
        <w:right w:val="none" w:sz="0" w:space="0" w:color="auto"/>
      </w:divBdr>
      <w:divsChild>
        <w:div w:id="1246570297">
          <w:marLeft w:val="0"/>
          <w:marRight w:val="0"/>
          <w:marTop w:val="0"/>
          <w:marBottom w:val="0"/>
          <w:divBdr>
            <w:top w:val="none" w:sz="0" w:space="0" w:color="auto"/>
            <w:left w:val="none" w:sz="0" w:space="0" w:color="auto"/>
            <w:bottom w:val="none" w:sz="0" w:space="0" w:color="auto"/>
            <w:right w:val="none" w:sz="0" w:space="0" w:color="auto"/>
          </w:divBdr>
          <w:divsChild>
            <w:div w:id="147207400">
              <w:marLeft w:val="0"/>
              <w:marRight w:val="0"/>
              <w:marTop w:val="0"/>
              <w:marBottom w:val="0"/>
              <w:divBdr>
                <w:top w:val="none" w:sz="0" w:space="0" w:color="auto"/>
                <w:left w:val="none" w:sz="0" w:space="0" w:color="auto"/>
                <w:bottom w:val="none" w:sz="0" w:space="0" w:color="auto"/>
                <w:right w:val="none" w:sz="0" w:space="0" w:color="auto"/>
              </w:divBdr>
              <w:divsChild>
                <w:div w:id="127092674">
                  <w:marLeft w:val="0"/>
                  <w:marRight w:val="0"/>
                  <w:marTop w:val="0"/>
                  <w:marBottom w:val="150"/>
                  <w:divBdr>
                    <w:top w:val="none" w:sz="0" w:space="0" w:color="auto"/>
                    <w:left w:val="none" w:sz="0" w:space="0" w:color="auto"/>
                    <w:bottom w:val="none" w:sz="0" w:space="0" w:color="auto"/>
                    <w:right w:val="none" w:sz="0" w:space="0" w:color="auto"/>
                  </w:divBdr>
                  <w:divsChild>
                    <w:div w:id="1865901770">
                      <w:marLeft w:val="0"/>
                      <w:marRight w:val="0"/>
                      <w:marTop w:val="0"/>
                      <w:marBottom w:val="0"/>
                      <w:divBdr>
                        <w:top w:val="none" w:sz="0" w:space="0" w:color="auto"/>
                        <w:left w:val="none" w:sz="0" w:space="0" w:color="auto"/>
                        <w:bottom w:val="none" w:sz="0" w:space="0" w:color="auto"/>
                        <w:right w:val="none" w:sz="0" w:space="0" w:color="auto"/>
                      </w:divBdr>
                      <w:divsChild>
                        <w:div w:id="1827745781">
                          <w:marLeft w:val="0"/>
                          <w:marRight w:val="0"/>
                          <w:marTop w:val="0"/>
                          <w:marBottom w:val="0"/>
                          <w:divBdr>
                            <w:top w:val="none" w:sz="0" w:space="0" w:color="auto"/>
                            <w:left w:val="none" w:sz="0" w:space="0" w:color="auto"/>
                            <w:bottom w:val="none" w:sz="0" w:space="0" w:color="auto"/>
                            <w:right w:val="none" w:sz="0" w:space="0" w:color="auto"/>
                          </w:divBdr>
                          <w:divsChild>
                            <w:div w:id="751779397">
                              <w:marLeft w:val="0"/>
                              <w:marRight w:val="0"/>
                              <w:marTop w:val="0"/>
                              <w:marBottom w:val="0"/>
                              <w:divBdr>
                                <w:top w:val="none" w:sz="0" w:space="0" w:color="auto"/>
                                <w:left w:val="none" w:sz="0" w:space="0" w:color="auto"/>
                                <w:bottom w:val="none" w:sz="0" w:space="0" w:color="auto"/>
                                <w:right w:val="none" w:sz="0" w:space="0" w:color="auto"/>
                              </w:divBdr>
                              <w:divsChild>
                                <w:div w:id="637151356">
                                  <w:marLeft w:val="0"/>
                                  <w:marRight w:val="0"/>
                                  <w:marTop w:val="0"/>
                                  <w:marBottom w:val="0"/>
                                  <w:divBdr>
                                    <w:top w:val="none" w:sz="0" w:space="0" w:color="auto"/>
                                    <w:left w:val="none" w:sz="0" w:space="0" w:color="auto"/>
                                    <w:bottom w:val="none" w:sz="0" w:space="0" w:color="auto"/>
                                    <w:right w:val="none" w:sz="0" w:space="0" w:color="auto"/>
                                  </w:divBdr>
                                  <w:divsChild>
                                    <w:div w:id="645935215">
                                      <w:marLeft w:val="0"/>
                                      <w:marRight w:val="0"/>
                                      <w:marTop w:val="0"/>
                                      <w:marBottom w:val="0"/>
                                      <w:divBdr>
                                        <w:top w:val="none" w:sz="0" w:space="0" w:color="auto"/>
                                        <w:left w:val="none" w:sz="0" w:space="0" w:color="auto"/>
                                        <w:bottom w:val="none" w:sz="0" w:space="0" w:color="auto"/>
                                        <w:right w:val="none" w:sz="0" w:space="0" w:color="auto"/>
                                      </w:divBdr>
                                      <w:divsChild>
                                        <w:div w:id="1900822136">
                                          <w:marLeft w:val="0"/>
                                          <w:marRight w:val="0"/>
                                          <w:marTop w:val="0"/>
                                          <w:marBottom w:val="0"/>
                                          <w:divBdr>
                                            <w:top w:val="none" w:sz="0" w:space="0" w:color="auto"/>
                                            <w:left w:val="none" w:sz="0" w:space="0" w:color="auto"/>
                                            <w:bottom w:val="none" w:sz="0" w:space="0" w:color="auto"/>
                                            <w:right w:val="none" w:sz="0" w:space="0" w:color="auto"/>
                                          </w:divBdr>
                                          <w:divsChild>
                                            <w:div w:id="681320116">
                                              <w:marLeft w:val="0"/>
                                              <w:marRight w:val="0"/>
                                              <w:marTop w:val="0"/>
                                              <w:marBottom w:val="0"/>
                                              <w:divBdr>
                                                <w:top w:val="none" w:sz="0" w:space="0" w:color="auto"/>
                                                <w:left w:val="none" w:sz="0" w:space="0" w:color="auto"/>
                                                <w:bottom w:val="none" w:sz="0" w:space="0" w:color="auto"/>
                                                <w:right w:val="none" w:sz="0" w:space="0" w:color="auto"/>
                                              </w:divBdr>
                                              <w:divsChild>
                                                <w:div w:id="36949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8286472">
      <w:bodyDiv w:val="1"/>
      <w:marLeft w:val="0"/>
      <w:marRight w:val="0"/>
      <w:marTop w:val="0"/>
      <w:marBottom w:val="0"/>
      <w:divBdr>
        <w:top w:val="none" w:sz="0" w:space="0" w:color="auto"/>
        <w:left w:val="none" w:sz="0" w:space="0" w:color="auto"/>
        <w:bottom w:val="none" w:sz="0" w:space="0" w:color="auto"/>
        <w:right w:val="none" w:sz="0" w:space="0" w:color="auto"/>
      </w:divBdr>
    </w:div>
    <w:div w:id="1348366730">
      <w:bodyDiv w:val="1"/>
      <w:marLeft w:val="0"/>
      <w:marRight w:val="0"/>
      <w:marTop w:val="0"/>
      <w:marBottom w:val="0"/>
      <w:divBdr>
        <w:top w:val="none" w:sz="0" w:space="0" w:color="auto"/>
        <w:left w:val="none" w:sz="0" w:space="0" w:color="auto"/>
        <w:bottom w:val="none" w:sz="0" w:space="0" w:color="auto"/>
        <w:right w:val="none" w:sz="0" w:space="0" w:color="auto"/>
      </w:divBdr>
    </w:div>
    <w:div w:id="1348479066">
      <w:bodyDiv w:val="1"/>
      <w:marLeft w:val="0"/>
      <w:marRight w:val="0"/>
      <w:marTop w:val="0"/>
      <w:marBottom w:val="0"/>
      <w:divBdr>
        <w:top w:val="none" w:sz="0" w:space="0" w:color="auto"/>
        <w:left w:val="none" w:sz="0" w:space="0" w:color="auto"/>
        <w:bottom w:val="none" w:sz="0" w:space="0" w:color="auto"/>
        <w:right w:val="none" w:sz="0" w:space="0" w:color="auto"/>
      </w:divBdr>
    </w:div>
    <w:div w:id="1349214077">
      <w:bodyDiv w:val="1"/>
      <w:marLeft w:val="0"/>
      <w:marRight w:val="0"/>
      <w:marTop w:val="0"/>
      <w:marBottom w:val="0"/>
      <w:divBdr>
        <w:top w:val="none" w:sz="0" w:space="0" w:color="auto"/>
        <w:left w:val="none" w:sz="0" w:space="0" w:color="auto"/>
        <w:bottom w:val="none" w:sz="0" w:space="0" w:color="auto"/>
        <w:right w:val="none" w:sz="0" w:space="0" w:color="auto"/>
      </w:divBdr>
      <w:divsChild>
        <w:div w:id="1035038897">
          <w:marLeft w:val="0"/>
          <w:marRight w:val="0"/>
          <w:marTop w:val="0"/>
          <w:marBottom w:val="0"/>
          <w:divBdr>
            <w:top w:val="none" w:sz="0" w:space="0" w:color="auto"/>
            <w:left w:val="none" w:sz="0" w:space="0" w:color="auto"/>
            <w:bottom w:val="dotted" w:sz="6" w:space="4" w:color="DDDDDD"/>
            <w:right w:val="none" w:sz="0" w:space="0" w:color="auto"/>
          </w:divBdr>
        </w:div>
      </w:divsChild>
    </w:div>
    <w:div w:id="1349255565">
      <w:bodyDiv w:val="1"/>
      <w:marLeft w:val="0"/>
      <w:marRight w:val="0"/>
      <w:marTop w:val="0"/>
      <w:marBottom w:val="0"/>
      <w:divBdr>
        <w:top w:val="none" w:sz="0" w:space="0" w:color="auto"/>
        <w:left w:val="none" w:sz="0" w:space="0" w:color="auto"/>
        <w:bottom w:val="none" w:sz="0" w:space="0" w:color="auto"/>
        <w:right w:val="none" w:sz="0" w:space="0" w:color="auto"/>
      </w:divBdr>
      <w:divsChild>
        <w:div w:id="784890801">
          <w:marLeft w:val="0"/>
          <w:marRight w:val="0"/>
          <w:marTop w:val="0"/>
          <w:marBottom w:val="0"/>
          <w:divBdr>
            <w:top w:val="none" w:sz="0" w:space="0" w:color="auto"/>
            <w:left w:val="none" w:sz="0" w:space="0" w:color="auto"/>
            <w:bottom w:val="dotted" w:sz="6" w:space="4" w:color="DDDDDD"/>
            <w:right w:val="none" w:sz="0" w:space="0" w:color="auto"/>
          </w:divBdr>
        </w:div>
      </w:divsChild>
    </w:div>
    <w:div w:id="1349478531">
      <w:bodyDiv w:val="1"/>
      <w:marLeft w:val="0"/>
      <w:marRight w:val="0"/>
      <w:marTop w:val="0"/>
      <w:marBottom w:val="0"/>
      <w:divBdr>
        <w:top w:val="none" w:sz="0" w:space="0" w:color="auto"/>
        <w:left w:val="none" w:sz="0" w:space="0" w:color="auto"/>
        <w:bottom w:val="none" w:sz="0" w:space="0" w:color="auto"/>
        <w:right w:val="none" w:sz="0" w:space="0" w:color="auto"/>
      </w:divBdr>
      <w:divsChild>
        <w:div w:id="340160272">
          <w:marLeft w:val="0"/>
          <w:marRight w:val="0"/>
          <w:marTop w:val="0"/>
          <w:marBottom w:val="0"/>
          <w:divBdr>
            <w:top w:val="none" w:sz="0" w:space="0" w:color="auto"/>
            <w:left w:val="none" w:sz="0" w:space="0" w:color="auto"/>
            <w:bottom w:val="none" w:sz="0" w:space="0" w:color="auto"/>
            <w:right w:val="none" w:sz="0" w:space="0" w:color="auto"/>
          </w:divBdr>
          <w:divsChild>
            <w:div w:id="1868592917">
              <w:marLeft w:val="0"/>
              <w:marRight w:val="0"/>
              <w:marTop w:val="0"/>
              <w:marBottom w:val="0"/>
              <w:divBdr>
                <w:top w:val="none" w:sz="0" w:space="0" w:color="auto"/>
                <w:left w:val="none" w:sz="0" w:space="0" w:color="auto"/>
                <w:bottom w:val="none" w:sz="0" w:space="0" w:color="auto"/>
                <w:right w:val="none" w:sz="0" w:space="0" w:color="auto"/>
              </w:divBdr>
            </w:div>
          </w:divsChild>
        </w:div>
        <w:div w:id="409079407">
          <w:marLeft w:val="0"/>
          <w:marRight w:val="0"/>
          <w:marTop w:val="0"/>
          <w:marBottom w:val="150"/>
          <w:divBdr>
            <w:top w:val="none" w:sz="0" w:space="0" w:color="auto"/>
            <w:left w:val="none" w:sz="0" w:space="0" w:color="auto"/>
            <w:bottom w:val="none" w:sz="0" w:space="0" w:color="auto"/>
            <w:right w:val="none" w:sz="0" w:space="0" w:color="auto"/>
          </w:divBdr>
        </w:div>
        <w:div w:id="1567063243">
          <w:marLeft w:val="0"/>
          <w:marRight w:val="0"/>
          <w:marTop w:val="0"/>
          <w:marBottom w:val="150"/>
          <w:divBdr>
            <w:top w:val="none" w:sz="0" w:space="0" w:color="auto"/>
            <w:left w:val="none" w:sz="0" w:space="0" w:color="auto"/>
            <w:bottom w:val="none" w:sz="0" w:space="0" w:color="auto"/>
            <w:right w:val="none" w:sz="0" w:space="0" w:color="auto"/>
          </w:divBdr>
          <w:divsChild>
            <w:div w:id="153252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528099">
      <w:bodyDiv w:val="1"/>
      <w:marLeft w:val="0"/>
      <w:marRight w:val="0"/>
      <w:marTop w:val="0"/>
      <w:marBottom w:val="0"/>
      <w:divBdr>
        <w:top w:val="none" w:sz="0" w:space="0" w:color="auto"/>
        <w:left w:val="none" w:sz="0" w:space="0" w:color="auto"/>
        <w:bottom w:val="none" w:sz="0" w:space="0" w:color="auto"/>
        <w:right w:val="none" w:sz="0" w:space="0" w:color="auto"/>
      </w:divBdr>
      <w:divsChild>
        <w:div w:id="1971082838">
          <w:marLeft w:val="0"/>
          <w:marRight w:val="0"/>
          <w:marTop w:val="0"/>
          <w:marBottom w:val="150"/>
          <w:divBdr>
            <w:top w:val="none" w:sz="0" w:space="0" w:color="auto"/>
            <w:left w:val="none" w:sz="0" w:space="0" w:color="auto"/>
            <w:bottom w:val="none" w:sz="0" w:space="0" w:color="auto"/>
            <w:right w:val="none" w:sz="0" w:space="0" w:color="auto"/>
          </w:divBdr>
        </w:div>
      </w:divsChild>
    </w:div>
    <w:div w:id="1350107627">
      <w:bodyDiv w:val="1"/>
      <w:marLeft w:val="0"/>
      <w:marRight w:val="0"/>
      <w:marTop w:val="0"/>
      <w:marBottom w:val="0"/>
      <w:divBdr>
        <w:top w:val="none" w:sz="0" w:space="0" w:color="auto"/>
        <w:left w:val="none" w:sz="0" w:space="0" w:color="auto"/>
        <w:bottom w:val="none" w:sz="0" w:space="0" w:color="auto"/>
        <w:right w:val="none" w:sz="0" w:space="0" w:color="auto"/>
      </w:divBdr>
      <w:divsChild>
        <w:div w:id="1222401409">
          <w:marLeft w:val="0"/>
          <w:marRight w:val="0"/>
          <w:marTop w:val="0"/>
          <w:marBottom w:val="0"/>
          <w:divBdr>
            <w:top w:val="none" w:sz="0" w:space="0" w:color="auto"/>
            <w:left w:val="none" w:sz="0" w:space="0" w:color="auto"/>
            <w:bottom w:val="dotted" w:sz="6" w:space="4" w:color="DDDDDD"/>
            <w:right w:val="none" w:sz="0" w:space="0" w:color="auto"/>
          </w:divBdr>
          <w:divsChild>
            <w:div w:id="200496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183234">
      <w:bodyDiv w:val="1"/>
      <w:marLeft w:val="0"/>
      <w:marRight w:val="0"/>
      <w:marTop w:val="0"/>
      <w:marBottom w:val="0"/>
      <w:divBdr>
        <w:top w:val="none" w:sz="0" w:space="0" w:color="auto"/>
        <w:left w:val="none" w:sz="0" w:space="0" w:color="auto"/>
        <w:bottom w:val="none" w:sz="0" w:space="0" w:color="auto"/>
        <w:right w:val="none" w:sz="0" w:space="0" w:color="auto"/>
      </w:divBdr>
      <w:divsChild>
        <w:div w:id="451554513">
          <w:marLeft w:val="0"/>
          <w:marRight w:val="0"/>
          <w:marTop w:val="0"/>
          <w:marBottom w:val="150"/>
          <w:divBdr>
            <w:top w:val="none" w:sz="0" w:space="0" w:color="auto"/>
            <w:left w:val="none" w:sz="0" w:space="0" w:color="auto"/>
            <w:bottom w:val="none" w:sz="0" w:space="0" w:color="auto"/>
            <w:right w:val="none" w:sz="0" w:space="0" w:color="auto"/>
          </w:divBdr>
        </w:div>
      </w:divsChild>
    </w:div>
    <w:div w:id="1350453492">
      <w:bodyDiv w:val="1"/>
      <w:marLeft w:val="0"/>
      <w:marRight w:val="0"/>
      <w:marTop w:val="0"/>
      <w:marBottom w:val="0"/>
      <w:divBdr>
        <w:top w:val="none" w:sz="0" w:space="0" w:color="auto"/>
        <w:left w:val="none" w:sz="0" w:space="0" w:color="auto"/>
        <w:bottom w:val="none" w:sz="0" w:space="0" w:color="auto"/>
        <w:right w:val="none" w:sz="0" w:space="0" w:color="auto"/>
      </w:divBdr>
      <w:divsChild>
        <w:div w:id="650521288">
          <w:marLeft w:val="0"/>
          <w:marRight w:val="0"/>
          <w:marTop w:val="0"/>
          <w:marBottom w:val="0"/>
          <w:divBdr>
            <w:top w:val="none" w:sz="0" w:space="0" w:color="auto"/>
            <w:left w:val="none" w:sz="0" w:space="0" w:color="auto"/>
            <w:bottom w:val="none" w:sz="0" w:space="0" w:color="auto"/>
            <w:right w:val="none" w:sz="0" w:space="0" w:color="auto"/>
          </w:divBdr>
        </w:div>
      </w:divsChild>
    </w:div>
    <w:div w:id="1350793968">
      <w:bodyDiv w:val="1"/>
      <w:marLeft w:val="0"/>
      <w:marRight w:val="0"/>
      <w:marTop w:val="0"/>
      <w:marBottom w:val="0"/>
      <w:divBdr>
        <w:top w:val="none" w:sz="0" w:space="0" w:color="auto"/>
        <w:left w:val="none" w:sz="0" w:space="0" w:color="auto"/>
        <w:bottom w:val="none" w:sz="0" w:space="0" w:color="auto"/>
        <w:right w:val="none" w:sz="0" w:space="0" w:color="auto"/>
      </w:divBdr>
      <w:divsChild>
        <w:div w:id="1310475978">
          <w:marLeft w:val="0"/>
          <w:marRight w:val="0"/>
          <w:marTop w:val="0"/>
          <w:marBottom w:val="0"/>
          <w:divBdr>
            <w:top w:val="none" w:sz="0" w:space="0" w:color="auto"/>
            <w:left w:val="none" w:sz="0" w:space="0" w:color="auto"/>
            <w:bottom w:val="none" w:sz="0" w:space="0" w:color="auto"/>
            <w:right w:val="none" w:sz="0" w:space="0" w:color="auto"/>
          </w:divBdr>
          <w:divsChild>
            <w:div w:id="1461411008">
              <w:marLeft w:val="0"/>
              <w:marRight w:val="0"/>
              <w:marTop w:val="0"/>
              <w:marBottom w:val="0"/>
              <w:divBdr>
                <w:top w:val="none" w:sz="0" w:space="0" w:color="auto"/>
                <w:left w:val="none" w:sz="0" w:space="0" w:color="auto"/>
                <w:bottom w:val="none" w:sz="0" w:space="0" w:color="auto"/>
                <w:right w:val="none" w:sz="0" w:space="0" w:color="auto"/>
              </w:divBdr>
              <w:divsChild>
                <w:div w:id="1733768351">
                  <w:marLeft w:val="0"/>
                  <w:marRight w:val="0"/>
                  <w:marTop w:val="0"/>
                  <w:marBottom w:val="0"/>
                  <w:divBdr>
                    <w:top w:val="none" w:sz="0" w:space="0" w:color="auto"/>
                    <w:left w:val="none" w:sz="0" w:space="0" w:color="auto"/>
                    <w:bottom w:val="none" w:sz="0" w:space="0" w:color="auto"/>
                    <w:right w:val="none" w:sz="0" w:space="0" w:color="auto"/>
                  </w:divBdr>
                  <w:divsChild>
                    <w:div w:id="421682225">
                      <w:marLeft w:val="0"/>
                      <w:marRight w:val="0"/>
                      <w:marTop w:val="0"/>
                      <w:marBottom w:val="0"/>
                      <w:divBdr>
                        <w:top w:val="none" w:sz="0" w:space="0" w:color="auto"/>
                        <w:left w:val="none" w:sz="0" w:space="0" w:color="auto"/>
                        <w:bottom w:val="none" w:sz="0" w:space="0" w:color="auto"/>
                        <w:right w:val="none" w:sz="0" w:space="0" w:color="auto"/>
                      </w:divBdr>
                      <w:divsChild>
                        <w:div w:id="1089348254">
                          <w:marLeft w:val="0"/>
                          <w:marRight w:val="0"/>
                          <w:marTop w:val="0"/>
                          <w:marBottom w:val="0"/>
                          <w:divBdr>
                            <w:top w:val="none" w:sz="0" w:space="0" w:color="auto"/>
                            <w:left w:val="none" w:sz="0" w:space="0" w:color="auto"/>
                            <w:bottom w:val="none" w:sz="0" w:space="0" w:color="auto"/>
                            <w:right w:val="none" w:sz="0" w:space="0" w:color="auto"/>
                          </w:divBdr>
                          <w:divsChild>
                            <w:div w:id="1829709838">
                              <w:marLeft w:val="0"/>
                              <w:marRight w:val="0"/>
                              <w:marTop w:val="0"/>
                              <w:marBottom w:val="0"/>
                              <w:divBdr>
                                <w:top w:val="none" w:sz="0" w:space="0" w:color="auto"/>
                                <w:left w:val="none" w:sz="0" w:space="0" w:color="auto"/>
                                <w:bottom w:val="none" w:sz="0" w:space="0" w:color="auto"/>
                                <w:right w:val="none" w:sz="0" w:space="0" w:color="auto"/>
                              </w:divBdr>
                              <w:divsChild>
                                <w:div w:id="230818419">
                                  <w:marLeft w:val="0"/>
                                  <w:marRight w:val="0"/>
                                  <w:marTop w:val="0"/>
                                  <w:marBottom w:val="75"/>
                                  <w:divBdr>
                                    <w:top w:val="none" w:sz="0" w:space="0" w:color="auto"/>
                                    <w:left w:val="none" w:sz="0" w:space="0" w:color="auto"/>
                                    <w:bottom w:val="none" w:sz="0" w:space="0" w:color="auto"/>
                                    <w:right w:val="none" w:sz="0" w:space="0" w:color="auto"/>
                                  </w:divBdr>
                                  <w:divsChild>
                                    <w:div w:id="17052279">
                                      <w:marLeft w:val="0"/>
                                      <w:marRight w:val="0"/>
                                      <w:marTop w:val="0"/>
                                      <w:marBottom w:val="0"/>
                                      <w:divBdr>
                                        <w:top w:val="none" w:sz="0" w:space="0" w:color="auto"/>
                                        <w:left w:val="none" w:sz="0" w:space="0" w:color="auto"/>
                                        <w:bottom w:val="none" w:sz="0" w:space="0" w:color="auto"/>
                                        <w:right w:val="none" w:sz="0" w:space="0" w:color="auto"/>
                                      </w:divBdr>
                                      <w:divsChild>
                                        <w:div w:id="712929478">
                                          <w:marLeft w:val="0"/>
                                          <w:marRight w:val="0"/>
                                          <w:marTop w:val="0"/>
                                          <w:marBottom w:val="0"/>
                                          <w:divBdr>
                                            <w:top w:val="none" w:sz="0" w:space="0" w:color="auto"/>
                                            <w:left w:val="none" w:sz="0" w:space="0" w:color="auto"/>
                                            <w:bottom w:val="none" w:sz="0" w:space="0" w:color="auto"/>
                                            <w:right w:val="none" w:sz="0" w:space="0" w:color="auto"/>
                                          </w:divBdr>
                                          <w:divsChild>
                                            <w:div w:id="588464914">
                                              <w:marLeft w:val="0"/>
                                              <w:marRight w:val="0"/>
                                              <w:marTop w:val="0"/>
                                              <w:marBottom w:val="0"/>
                                              <w:divBdr>
                                                <w:top w:val="none" w:sz="0" w:space="0" w:color="auto"/>
                                                <w:left w:val="none" w:sz="0" w:space="0" w:color="auto"/>
                                                <w:bottom w:val="none" w:sz="0" w:space="0" w:color="auto"/>
                                                <w:right w:val="none" w:sz="0" w:space="0" w:color="auto"/>
                                              </w:divBdr>
                                              <w:divsChild>
                                                <w:div w:id="29414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1637022">
      <w:bodyDiv w:val="1"/>
      <w:marLeft w:val="0"/>
      <w:marRight w:val="0"/>
      <w:marTop w:val="0"/>
      <w:marBottom w:val="0"/>
      <w:divBdr>
        <w:top w:val="none" w:sz="0" w:space="0" w:color="auto"/>
        <w:left w:val="none" w:sz="0" w:space="0" w:color="auto"/>
        <w:bottom w:val="none" w:sz="0" w:space="0" w:color="auto"/>
        <w:right w:val="none" w:sz="0" w:space="0" w:color="auto"/>
      </w:divBdr>
      <w:divsChild>
        <w:div w:id="887762616">
          <w:marLeft w:val="0"/>
          <w:marRight w:val="0"/>
          <w:marTop w:val="0"/>
          <w:marBottom w:val="0"/>
          <w:divBdr>
            <w:top w:val="none" w:sz="0" w:space="0" w:color="auto"/>
            <w:left w:val="none" w:sz="0" w:space="0" w:color="auto"/>
            <w:bottom w:val="dotted" w:sz="6" w:space="4" w:color="DDDDDD"/>
            <w:right w:val="none" w:sz="0" w:space="0" w:color="auto"/>
          </w:divBdr>
          <w:divsChild>
            <w:div w:id="146342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640580">
      <w:bodyDiv w:val="1"/>
      <w:marLeft w:val="0"/>
      <w:marRight w:val="0"/>
      <w:marTop w:val="0"/>
      <w:marBottom w:val="0"/>
      <w:divBdr>
        <w:top w:val="none" w:sz="0" w:space="0" w:color="auto"/>
        <w:left w:val="none" w:sz="0" w:space="0" w:color="auto"/>
        <w:bottom w:val="none" w:sz="0" w:space="0" w:color="auto"/>
        <w:right w:val="none" w:sz="0" w:space="0" w:color="auto"/>
      </w:divBdr>
      <w:divsChild>
        <w:div w:id="686365607">
          <w:marLeft w:val="0"/>
          <w:marRight w:val="0"/>
          <w:marTop w:val="0"/>
          <w:marBottom w:val="150"/>
          <w:divBdr>
            <w:top w:val="none" w:sz="0" w:space="0" w:color="auto"/>
            <w:left w:val="none" w:sz="0" w:space="0" w:color="auto"/>
            <w:bottom w:val="none" w:sz="0" w:space="0" w:color="auto"/>
            <w:right w:val="none" w:sz="0" w:space="0" w:color="auto"/>
          </w:divBdr>
          <w:divsChild>
            <w:div w:id="868300344">
              <w:marLeft w:val="0"/>
              <w:marRight w:val="0"/>
              <w:marTop w:val="0"/>
              <w:marBottom w:val="0"/>
              <w:divBdr>
                <w:top w:val="none" w:sz="0" w:space="0" w:color="auto"/>
                <w:left w:val="none" w:sz="0" w:space="0" w:color="auto"/>
                <w:bottom w:val="none" w:sz="0" w:space="0" w:color="auto"/>
                <w:right w:val="none" w:sz="0" w:space="0" w:color="auto"/>
              </w:divBdr>
              <w:divsChild>
                <w:div w:id="207827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800200">
          <w:marLeft w:val="0"/>
          <w:marRight w:val="0"/>
          <w:marTop w:val="0"/>
          <w:marBottom w:val="150"/>
          <w:divBdr>
            <w:top w:val="none" w:sz="0" w:space="0" w:color="auto"/>
            <w:left w:val="none" w:sz="0" w:space="0" w:color="auto"/>
            <w:bottom w:val="none" w:sz="0" w:space="0" w:color="auto"/>
            <w:right w:val="none" w:sz="0" w:space="0" w:color="auto"/>
          </w:divBdr>
        </w:div>
        <w:div w:id="1119030161">
          <w:marLeft w:val="0"/>
          <w:marRight w:val="0"/>
          <w:marTop w:val="0"/>
          <w:marBottom w:val="0"/>
          <w:divBdr>
            <w:top w:val="none" w:sz="0" w:space="0" w:color="auto"/>
            <w:left w:val="none" w:sz="0" w:space="0" w:color="auto"/>
            <w:bottom w:val="none" w:sz="0" w:space="0" w:color="auto"/>
            <w:right w:val="none" w:sz="0" w:space="0" w:color="auto"/>
          </w:divBdr>
          <w:divsChild>
            <w:div w:id="3547209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51756765">
      <w:bodyDiv w:val="1"/>
      <w:marLeft w:val="0"/>
      <w:marRight w:val="0"/>
      <w:marTop w:val="0"/>
      <w:marBottom w:val="0"/>
      <w:divBdr>
        <w:top w:val="none" w:sz="0" w:space="0" w:color="auto"/>
        <w:left w:val="none" w:sz="0" w:space="0" w:color="auto"/>
        <w:bottom w:val="none" w:sz="0" w:space="0" w:color="auto"/>
        <w:right w:val="none" w:sz="0" w:space="0" w:color="auto"/>
      </w:divBdr>
      <w:divsChild>
        <w:div w:id="657733011">
          <w:marLeft w:val="0"/>
          <w:marRight w:val="0"/>
          <w:marTop w:val="0"/>
          <w:marBottom w:val="0"/>
          <w:divBdr>
            <w:top w:val="none" w:sz="0" w:space="0" w:color="auto"/>
            <w:left w:val="none" w:sz="0" w:space="0" w:color="auto"/>
            <w:bottom w:val="none" w:sz="0" w:space="0" w:color="auto"/>
            <w:right w:val="none" w:sz="0" w:space="0" w:color="auto"/>
          </w:divBdr>
        </w:div>
      </w:divsChild>
    </w:div>
    <w:div w:id="1352026051">
      <w:bodyDiv w:val="1"/>
      <w:marLeft w:val="0"/>
      <w:marRight w:val="0"/>
      <w:marTop w:val="0"/>
      <w:marBottom w:val="0"/>
      <w:divBdr>
        <w:top w:val="none" w:sz="0" w:space="0" w:color="auto"/>
        <w:left w:val="none" w:sz="0" w:space="0" w:color="auto"/>
        <w:bottom w:val="none" w:sz="0" w:space="0" w:color="auto"/>
        <w:right w:val="none" w:sz="0" w:space="0" w:color="auto"/>
      </w:divBdr>
      <w:divsChild>
        <w:div w:id="289897996">
          <w:marLeft w:val="0"/>
          <w:marRight w:val="0"/>
          <w:marTop w:val="0"/>
          <w:marBottom w:val="0"/>
          <w:divBdr>
            <w:top w:val="none" w:sz="0" w:space="0" w:color="auto"/>
            <w:left w:val="none" w:sz="0" w:space="0" w:color="auto"/>
            <w:bottom w:val="none" w:sz="0" w:space="0" w:color="auto"/>
            <w:right w:val="none" w:sz="0" w:space="0" w:color="auto"/>
          </w:divBdr>
          <w:divsChild>
            <w:div w:id="39493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221022">
      <w:bodyDiv w:val="1"/>
      <w:marLeft w:val="0"/>
      <w:marRight w:val="0"/>
      <w:marTop w:val="0"/>
      <w:marBottom w:val="0"/>
      <w:divBdr>
        <w:top w:val="none" w:sz="0" w:space="0" w:color="auto"/>
        <w:left w:val="none" w:sz="0" w:space="0" w:color="auto"/>
        <w:bottom w:val="none" w:sz="0" w:space="0" w:color="auto"/>
        <w:right w:val="none" w:sz="0" w:space="0" w:color="auto"/>
      </w:divBdr>
    </w:div>
    <w:div w:id="1352294012">
      <w:bodyDiv w:val="1"/>
      <w:marLeft w:val="0"/>
      <w:marRight w:val="0"/>
      <w:marTop w:val="0"/>
      <w:marBottom w:val="0"/>
      <w:divBdr>
        <w:top w:val="none" w:sz="0" w:space="0" w:color="auto"/>
        <w:left w:val="none" w:sz="0" w:space="0" w:color="auto"/>
        <w:bottom w:val="none" w:sz="0" w:space="0" w:color="auto"/>
        <w:right w:val="none" w:sz="0" w:space="0" w:color="auto"/>
      </w:divBdr>
      <w:divsChild>
        <w:div w:id="1850631117">
          <w:marLeft w:val="0"/>
          <w:marRight w:val="0"/>
          <w:marTop w:val="0"/>
          <w:marBottom w:val="150"/>
          <w:divBdr>
            <w:top w:val="none" w:sz="0" w:space="0" w:color="auto"/>
            <w:left w:val="none" w:sz="0" w:space="0" w:color="auto"/>
            <w:bottom w:val="none" w:sz="0" w:space="0" w:color="auto"/>
            <w:right w:val="none" w:sz="0" w:space="0" w:color="auto"/>
          </w:divBdr>
        </w:div>
      </w:divsChild>
    </w:div>
    <w:div w:id="1352340835">
      <w:bodyDiv w:val="1"/>
      <w:marLeft w:val="0"/>
      <w:marRight w:val="0"/>
      <w:marTop w:val="0"/>
      <w:marBottom w:val="0"/>
      <w:divBdr>
        <w:top w:val="none" w:sz="0" w:space="0" w:color="auto"/>
        <w:left w:val="none" w:sz="0" w:space="0" w:color="auto"/>
        <w:bottom w:val="none" w:sz="0" w:space="0" w:color="auto"/>
        <w:right w:val="none" w:sz="0" w:space="0" w:color="auto"/>
      </w:divBdr>
    </w:div>
    <w:div w:id="1352679704">
      <w:bodyDiv w:val="1"/>
      <w:marLeft w:val="0"/>
      <w:marRight w:val="0"/>
      <w:marTop w:val="0"/>
      <w:marBottom w:val="0"/>
      <w:divBdr>
        <w:top w:val="none" w:sz="0" w:space="0" w:color="auto"/>
        <w:left w:val="none" w:sz="0" w:space="0" w:color="auto"/>
        <w:bottom w:val="none" w:sz="0" w:space="0" w:color="auto"/>
        <w:right w:val="none" w:sz="0" w:space="0" w:color="auto"/>
      </w:divBdr>
      <w:divsChild>
        <w:div w:id="876427570">
          <w:marLeft w:val="0"/>
          <w:marRight w:val="0"/>
          <w:marTop w:val="0"/>
          <w:marBottom w:val="0"/>
          <w:divBdr>
            <w:top w:val="none" w:sz="0" w:space="0" w:color="auto"/>
            <w:left w:val="none" w:sz="0" w:space="0" w:color="auto"/>
            <w:bottom w:val="dotted" w:sz="6" w:space="4" w:color="DDDDDD"/>
            <w:right w:val="none" w:sz="0" w:space="0" w:color="auto"/>
          </w:divBdr>
        </w:div>
      </w:divsChild>
    </w:div>
    <w:div w:id="1352951669">
      <w:bodyDiv w:val="1"/>
      <w:marLeft w:val="0"/>
      <w:marRight w:val="0"/>
      <w:marTop w:val="0"/>
      <w:marBottom w:val="0"/>
      <w:divBdr>
        <w:top w:val="none" w:sz="0" w:space="0" w:color="auto"/>
        <w:left w:val="none" w:sz="0" w:space="0" w:color="auto"/>
        <w:bottom w:val="none" w:sz="0" w:space="0" w:color="auto"/>
        <w:right w:val="none" w:sz="0" w:space="0" w:color="auto"/>
      </w:divBdr>
      <w:divsChild>
        <w:div w:id="792821234">
          <w:marLeft w:val="0"/>
          <w:marRight w:val="0"/>
          <w:marTop w:val="0"/>
          <w:marBottom w:val="0"/>
          <w:divBdr>
            <w:top w:val="none" w:sz="0" w:space="0" w:color="auto"/>
            <w:left w:val="none" w:sz="0" w:space="0" w:color="auto"/>
            <w:bottom w:val="none" w:sz="0" w:space="0" w:color="auto"/>
            <w:right w:val="none" w:sz="0" w:space="0" w:color="auto"/>
          </w:divBdr>
          <w:divsChild>
            <w:div w:id="1370955602">
              <w:marLeft w:val="0"/>
              <w:marRight w:val="0"/>
              <w:marTop w:val="0"/>
              <w:marBottom w:val="0"/>
              <w:divBdr>
                <w:top w:val="none" w:sz="0" w:space="0" w:color="auto"/>
                <w:left w:val="none" w:sz="0" w:space="0" w:color="auto"/>
                <w:bottom w:val="none" w:sz="0" w:space="0" w:color="auto"/>
                <w:right w:val="none" w:sz="0" w:space="0" w:color="auto"/>
              </w:divBdr>
              <w:divsChild>
                <w:div w:id="984042146">
                  <w:marLeft w:val="0"/>
                  <w:marRight w:val="0"/>
                  <w:marTop w:val="0"/>
                  <w:marBottom w:val="0"/>
                  <w:divBdr>
                    <w:top w:val="none" w:sz="0" w:space="0" w:color="auto"/>
                    <w:left w:val="none" w:sz="0" w:space="0" w:color="auto"/>
                    <w:bottom w:val="none" w:sz="0" w:space="0" w:color="auto"/>
                    <w:right w:val="none" w:sz="0" w:space="0" w:color="auto"/>
                  </w:divBdr>
                  <w:divsChild>
                    <w:div w:id="304942469">
                      <w:marLeft w:val="0"/>
                      <w:marRight w:val="0"/>
                      <w:marTop w:val="0"/>
                      <w:marBottom w:val="0"/>
                      <w:divBdr>
                        <w:top w:val="none" w:sz="0" w:space="0" w:color="auto"/>
                        <w:left w:val="none" w:sz="0" w:space="0" w:color="auto"/>
                        <w:bottom w:val="none" w:sz="0" w:space="0" w:color="auto"/>
                        <w:right w:val="none" w:sz="0" w:space="0" w:color="auto"/>
                      </w:divBdr>
                      <w:divsChild>
                        <w:div w:id="1391001981">
                          <w:marLeft w:val="0"/>
                          <w:marRight w:val="0"/>
                          <w:marTop w:val="0"/>
                          <w:marBottom w:val="0"/>
                          <w:divBdr>
                            <w:top w:val="none" w:sz="0" w:space="0" w:color="auto"/>
                            <w:left w:val="none" w:sz="0" w:space="0" w:color="auto"/>
                            <w:bottom w:val="none" w:sz="0" w:space="0" w:color="auto"/>
                            <w:right w:val="none" w:sz="0" w:space="0" w:color="auto"/>
                          </w:divBdr>
                          <w:divsChild>
                            <w:div w:id="1351181411">
                              <w:marLeft w:val="0"/>
                              <w:marRight w:val="0"/>
                              <w:marTop w:val="0"/>
                              <w:marBottom w:val="0"/>
                              <w:divBdr>
                                <w:top w:val="none" w:sz="0" w:space="0" w:color="auto"/>
                                <w:left w:val="none" w:sz="0" w:space="0" w:color="auto"/>
                                <w:bottom w:val="none" w:sz="0" w:space="0" w:color="auto"/>
                                <w:right w:val="none" w:sz="0" w:space="0" w:color="auto"/>
                              </w:divBdr>
                              <w:divsChild>
                                <w:div w:id="163459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073681">
      <w:bodyDiv w:val="1"/>
      <w:marLeft w:val="0"/>
      <w:marRight w:val="0"/>
      <w:marTop w:val="0"/>
      <w:marBottom w:val="0"/>
      <w:divBdr>
        <w:top w:val="none" w:sz="0" w:space="0" w:color="auto"/>
        <w:left w:val="none" w:sz="0" w:space="0" w:color="auto"/>
        <w:bottom w:val="none" w:sz="0" w:space="0" w:color="auto"/>
        <w:right w:val="none" w:sz="0" w:space="0" w:color="auto"/>
      </w:divBdr>
    </w:div>
    <w:div w:id="1353074148">
      <w:bodyDiv w:val="1"/>
      <w:marLeft w:val="0"/>
      <w:marRight w:val="0"/>
      <w:marTop w:val="0"/>
      <w:marBottom w:val="0"/>
      <w:divBdr>
        <w:top w:val="none" w:sz="0" w:space="0" w:color="auto"/>
        <w:left w:val="none" w:sz="0" w:space="0" w:color="auto"/>
        <w:bottom w:val="none" w:sz="0" w:space="0" w:color="auto"/>
        <w:right w:val="none" w:sz="0" w:space="0" w:color="auto"/>
      </w:divBdr>
      <w:divsChild>
        <w:div w:id="1940289787">
          <w:marLeft w:val="0"/>
          <w:marRight w:val="0"/>
          <w:marTop w:val="0"/>
          <w:marBottom w:val="0"/>
          <w:divBdr>
            <w:top w:val="none" w:sz="0" w:space="0" w:color="auto"/>
            <w:left w:val="none" w:sz="0" w:space="0" w:color="auto"/>
            <w:bottom w:val="dotted" w:sz="6" w:space="4" w:color="DDDDDD"/>
            <w:right w:val="none" w:sz="0" w:space="0" w:color="auto"/>
          </w:divBdr>
          <w:divsChild>
            <w:div w:id="183687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415066">
      <w:bodyDiv w:val="1"/>
      <w:marLeft w:val="0"/>
      <w:marRight w:val="0"/>
      <w:marTop w:val="0"/>
      <w:marBottom w:val="0"/>
      <w:divBdr>
        <w:top w:val="none" w:sz="0" w:space="0" w:color="auto"/>
        <w:left w:val="none" w:sz="0" w:space="0" w:color="auto"/>
        <w:bottom w:val="none" w:sz="0" w:space="0" w:color="auto"/>
        <w:right w:val="none" w:sz="0" w:space="0" w:color="auto"/>
      </w:divBdr>
      <w:divsChild>
        <w:div w:id="1093747228">
          <w:marLeft w:val="0"/>
          <w:marRight w:val="0"/>
          <w:marTop w:val="0"/>
          <w:marBottom w:val="0"/>
          <w:divBdr>
            <w:top w:val="none" w:sz="0" w:space="0" w:color="auto"/>
            <w:left w:val="none" w:sz="0" w:space="0" w:color="auto"/>
            <w:bottom w:val="dotted" w:sz="6" w:space="4" w:color="DDDDDD"/>
            <w:right w:val="none" w:sz="0" w:space="0" w:color="auto"/>
          </w:divBdr>
          <w:divsChild>
            <w:div w:id="195533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065514">
      <w:bodyDiv w:val="1"/>
      <w:marLeft w:val="0"/>
      <w:marRight w:val="0"/>
      <w:marTop w:val="0"/>
      <w:marBottom w:val="0"/>
      <w:divBdr>
        <w:top w:val="none" w:sz="0" w:space="0" w:color="auto"/>
        <w:left w:val="none" w:sz="0" w:space="0" w:color="auto"/>
        <w:bottom w:val="none" w:sz="0" w:space="0" w:color="auto"/>
        <w:right w:val="none" w:sz="0" w:space="0" w:color="auto"/>
      </w:divBdr>
      <w:divsChild>
        <w:div w:id="1267426677">
          <w:marLeft w:val="0"/>
          <w:marRight w:val="0"/>
          <w:marTop w:val="0"/>
          <w:marBottom w:val="0"/>
          <w:divBdr>
            <w:top w:val="none" w:sz="0" w:space="0" w:color="auto"/>
            <w:left w:val="none" w:sz="0" w:space="0" w:color="auto"/>
            <w:bottom w:val="none" w:sz="0" w:space="0" w:color="auto"/>
            <w:right w:val="none" w:sz="0" w:space="0" w:color="auto"/>
          </w:divBdr>
          <w:divsChild>
            <w:div w:id="530412787">
              <w:marLeft w:val="0"/>
              <w:marRight w:val="0"/>
              <w:marTop w:val="225"/>
              <w:marBottom w:val="225"/>
              <w:divBdr>
                <w:top w:val="none" w:sz="0" w:space="0" w:color="auto"/>
                <w:left w:val="none" w:sz="0" w:space="0" w:color="auto"/>
                <w:bottom w:val="none" w:sz="0" w:space="0" w:color="auto"/>
                <w:right w:val="none" w:sz="0" w:space="0" w:color="auto"/>
              </w:divBdr>
            </w:div>
          </w:divsChild>
        </w:div>
        <w:div w:id="1641500604">
          <w:marLeft w:val="0"/>
          <w:marRight w:val="0"/>
          <w:marTop w:val="0"/>
          <w:marBottom w:val="150"/>
          <w:divBdr>
            <w:top w:val="none" w:sz="0" w:space="0" w:color="auto"/>
            <w:left w:val="none" w:sz="0" w:space="0" w:color="auto"/>
            <w:bottom w:val="none" w:sz="0" w:space="0" w:color="auto"/>
            <w:right w:val="none" w:sz="0" w:space="0" w:color="auto"/>
          </w:divBdr>
        </w:div>
        <w:div w:id="1852328180">
          <w:marLeft w:val="0"/>
          <w:marRight w:val="0"/>
          <w:marTop w:val="0"/>
          <w:marBottom w:val="150"/>
          <w:divBdr>
            <w:top w:val="none" w:sz="0" w:space="0" w:color="auto"/>
            <w:left w:val="none" w:sz="0" w:space="0" w:color="auto"/>
            <w:bottom w:val="none" w:sz="0" w:space="0" w:color="auto"/>
            <w:right w:val="none" w:sz="0" w:space="0" w:color="auto"/>
          </w:divBdr>
          <w:divsChild>
            <w:div w:id="1620212164">
              <w:marLeft w:val="0"/>
              <w:marRight w:val="0"/>
              <w:marTop w:val="0"/>
              <w:marBottom w:val="0"/>
              <w:divBdr>
                <w:top w:val="none" w:sz="0" w:space="0" w:color="auto"/>
                <w:left w:val="none" w:sz="0" w:space="0" w:color="auto"/>
                <w:bottom w:val="none" w:sz="0" w:space="0" w:color="auto"/>
                <w:right w:val="none" w:sz="0" w:space="0" w:color="auto"/>
              </w:divBdr>
              <w:divsChild>
                <w:div w:id="55354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260490">
      <w:bodyDiv w:val="1"/>
      <w:marLeft w:val="0"/>
      <w:marRight w:val="0"/>
      <w:marTop w:val="0"/>
      <w:marBottom w:val="0"/>
      <w:divBdr>
        <w:top w:val="none" w:sz="0" w:space="0" w:color="auto"/>
        <w:left w:val="none" w:sz="0" w:space="0" w:color="auto"/>
        <w:bottom w:val="none" w:sz="0" w:space="0" w:color="auto"/>
        <w:right w:val="none" w:sz="0" w:space="0" w:color="auto"/>
      </w:divBdr>
    </w:div>
    <w:div w:id="1354383069">
      <w:bodyDiv w:val="1"/>
      <w:marLeft w:val="0"/>
      <w:marRight w:val="0"/>
      <w:marTop w:val="0"/>
      <w:marBottom w:val="0"/>
      <w:divBdr>
        <w:top w:val="none" w:sz="0" w:space="0" w:color="auto"/>
        <w:left w:val="none" w:sz="0" w:space="0" w:color="auto"/>
        <w:bottom w:val="none" w:sz="0" w:space="0" w:color="auto"/>
        <w:right w:val="none" w:sz="0" w:space="0" w:color="auto"/>
      </w:divBdr>
      <w:divsChild>
        <w:div w:id="1684941125">
          <w:marLeft w:val="0"/>
          <w:marRight w:val="0"/>
          <w:marTop w:val="0"/>
          <w:marBottom w:val="0"/>
          <w:divBdr>
            <w:top w:val="none" w:sz="0" w:space="0" w:color="auto"/>
            <w:left w:val="none" w:sz="0" w:space="0" w:color="auto"/>
            <w:bottom w:val="none" w:sz="0" w:space="0" w:color="auto"/>
            <w:right w:val="none" w:sz="0" w:space="0" w:color="auto"/>
          </w:divBdr>
          <w:divsChild>
            <w:div w:id="803623691">
              <w:marLeft w:val="0"/>
              <w:marRight w:val="0"/>
              <w:marTop w:val="0"/>
              <w:marBottom w:val="0"/>
              <w:divBdr>
                <w:top w:val="none" w:sz="0" w:space="0" w:color="auto"/>
                <w:left w:val="none" w:sz="0" w:space="0" w:color="auto"/>
                <w:bottom w:val="none" w:sz="0" w:space="0" w:color="auto"/>
                <w:right w:val="none" w:sz="0" w:space="0" w:color="auto"/>
              </w:divBdr>
              <w:divsChild>
                <w:div w:id="256862613">
                  <w:marLeft w:val="0"/>
                  <w:marRight w:val="0"/>
                  <w:marTop w:val="0"/>
                  <w:marBottom w:val="0"/>
                  <w:divBdr>
                    <w:top w:val="none" w:sz="0" w:space="0" w:color="auto"/>
                    <w:left w:val="none" w:sz="0" w:space="0" w:color="auto"/>
                    <w:bottom w:val="none" w:sz="0" w:space="0" w:color="auto"/>
                    <w:right w:val="none" w:sz="0" w:space="0" w:color="auto"/>
                  </w:divBdr>
                  <w:divsChild>
                    <w:div w:id="105656961">
                      <w:marLeft w:val="0"/>
                      <w:marRight w:val="0"/>
                      <w:marTop w:val="0"/>
                      <w:marBottom w:val="0"/>
                      <w:divBdr>
                        <w:top w:val="none" w:sz="0" w:space="0" w:color="auto"/>
                        <w:left w:val="none" w:sz="0" w:space="0" w:color="auto"/>
                        <w:bottom w:val="none" w:sz="0" w:space="0" w:color="auto"/>
                        <w:right w:val="none" w:sz="0" w:space="0" w:color="auto"/>
                      </w:divBdr>
                      <w:divsChild>
                        <w:div w:id="1438795207">
                          <w:marLeft w:val="0"/>
                          <w:marRight w:val="0"/>
                          <w:marTop w:val="0"/>
                          <w:marBottom w:val="0"/>
                          <w:divBdr>
                            <w:top w:val="none" w:sz="0" w:space="0" w:color="auto"/>
                            <w:left w:val="none" w:sz="0" w:space="0" w:color="auto"/>
                            <w:bottom w:val="none" w:sz="0" w:space="0" w:color="auto"/>
                            <w:right w:val="none" w:sz="0" w:space="0" w:color="auto"/>
                          </w:divBdr>
                          <w:divsChild>
                            <w:div w:id="136725811">
                              <w:marLeft w:val="0"/>
                              <w:marRight w:val="0"/>
                              <w:marTop w:val="0"/>
                              <w:marBottom w:val="0"/>
                              <w:divBdr>
                                <w:top w:val="none" w:sz="0" w:space="0" w:color="auto"/>
                                <w:left w:val="none" w:sz="0" w:space="0" w:color="auto"/>
                                <w:bottom w:val="none" w:sz="0" w:space="0" w:color="auto"/>
                                <w:right w:val="none" w:sz="0" w:space="0" w:color="auto"/>
                              </w:divBdr>
                              <w:divsChild>
                                <w:div w:id="609708346">
                                  <w:marLeft w:val="0"/>
                                  <w:marRight w:val="0"/>
                                  <w:marTop w:val="0"/>
                                  <w:marBottom w:val="0"/>
                                  <w:divBdr>
                                    <w:top w:val="none" w:sz="0" w:space="0" w:color="auto"/>
                                    <w:left w:val="none" w:sz="0" w:space="0" w:color="auto"/>
                                    <w:bottom w:val="none" w:sz="0" w:space="0" w:color="auto"/>
                                    <w:right w:val="none" w:sz="0" w:space="0" w:color="auto"/>
                                  </w:divBdr>
                                  <w:divsChild>
                                    <w:div w:id="132928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4529015">
      <w:bodyDiv w:val="1"/>
      <w:marLeft w:val="0"/>
      <w:marRight w:val="0"/>
      <w:marTop w:val="0"/>
      <w:marBottom w:val="0"/>
      <w:divBdr>
        <w:top w:val="none" w:sz="0" w:space="0" w:color="auto"/>
        <w:left w:val="none" w:sz="0" w:space="0" w:color="auto"/>
        <w:bottom w:val="none" w:sz="0" w:space="0" w:color="auto"/>
        <w:right w:val="none" w:sz="0" w:space="0" w:color="auto"/>
      </w:divBdr>
      <w:divsChild>
        <w:div w:id="27148755">
          <w:marLeft w:val="0"/>
          <w:marRight w:val="0"/>
          <w:marTop w:val="0"/>
          <w:marBottom w:val="0"/>
          <w:divBdr>
            <w:top w:val="none" w:sz="0" w:space="0" w:color="auto"/>
            <w:left w:val="none" w:sz="0" w:space="0" w:color="auto"/>
            <w:bottom w:val="none" w:sz="0" w:space="0" w:color="auto"/>
            <w:right w:val="none" w:sz="0" w:space="0" w:color="auto"/>
          </w:divBdr>
          <w:divsChild>
            <w:div w:id="1989699074">
              <w:marLeft w:val="0"/>
              <w:marRight w:val="0"/>
              <w:marTop w:val="0"/>
              <w:marBottom w:val="0"/>
              <w:divBdr>
                <w:top w:val="none" w:sz="0" w:space="0" w:color="auto"/>
                <w:left w:val="none" w:sz="0" w:space="0" w:color="auto"/>
                <w:bottom w:val="none" w:sz="0" w:space="0" w:color="auto"/>
                <w:right w:val="none" w:sz="0" w:space="0" w:color="auto"/>
              </w:divBdr>
              <w:divsChild>
                <w:div w:id="1439989195">
                  <w:marLeft w:val="0"/>
                  <w:marRight w:val="0"/>
                  <w:marTop w:val="0"/>
                  <w:marBottom w:val="150"/>
                  <w:divBdr>
                    <w:top w:val="none" w:sz="0" w:space="0" w:color="auto"/>
                    <w:left w:val="none" w:sz="0" w:space="0" w:color="auto"/>
                    <w:bottom w:val="none" w:sz="0" w:space="0" w:color="auto"/>
                    <w:right w:val="none" w:sz="0" w:space="0" w:color="auto"/>
                  </w:divBdr>
                  <w:divsChild>
                    <w:div w:id="664087257">
                      <w:marLeft w:val="0"/>
                      <w:marRight w:val="0"/>
                      <w:marTop w:val="0"/>
                      <w:marBottom w:val="0"/>
                      <w:divBdr>
                        <w:top w:val="none" w:sz="0" w:space="0" w:color="auto"/>
                        <w:left w:val="none" w:sz="0" w:space="0" w:color="auto"/>
                        <w:bottom w:val="none" w:sz="0" w:space="0" w:color="auto"/>
                        <w:right w:val="none" w:sz="0" w:space="0" w:color="auto"/>
                      </w:divBdr>
                      <w:divsChild>
                        <w:div w:id="1273782860">
                          <w:marLeft w:val="0"/>
                          <w:marRight w:val="0"/>
                          <w:marTop w:val="0"/>
                          <w:marBottom w:val="0"/>
                          <w:divBdr>
                            <w:top w:val="none" w:sz="0" w:space="0" w:color="auto"/>
                            <w:left w:val="none" w:sz="0" w:space="0" w:color="auto"/>
                            <w:bottom w:val="none" w:sz="0" w:space="0" w:color="auto"/>
                            <w:right w:val="none" w:sz="0" w:space="0" w:color="auto"/>
                          </w:divBdr>
                          <w:divsChild>
                            <w:div w:id="1643777437">
                              <w:marLeft w:val="0"/>
                              <w:marRight w:val="0"/>
                              <w:marTop w:val="0"/>
                              <w:marBottom w:val="0"/>
                              <w:divBdr>
                                <w:top w:val="none" w:sz="0" w:space="0" w:color="auto"/>
                                <w:left w:val="none" w:sz="0" w:space="0" w:color="auto"/>
                                <w:bottom w:val="none" w:sz="0" w:space="0" w:color="auto"/>
                                <w:right w:val="none" w:sz="0" w:space="0" w:color="auto"/>
                              </w:divBdr>
                              <w:divsChild>
                                <w:div w:id="777334289">
                                  <w:marLeft w:val="0"/>
                                  <w:marRight w:val="0"/>
                                  <w:marTop w:val="0"/>
                                  <w:marBottom w:val="0"/>
                                  <w:divBdr>
                                    <w:top w:val="none" w:sz="0" w:space="0" w:color="auto"/>
                                    <w:left w:val="none" w:sz="0" w:space="0" w:color="auto"/>
                                    <w:bottom w:val="none" w:sz="0" w:space="0" w:color="auto"/>
                                    <w:right w:val="none" w:sz="0" w:space="0" w:color="auto"/>
                                  </w:divBdr>
                                  <w:divsChild>
                                    <w:div w:id="970552366">
                                      <w:marLeft w:val="0"/>
                                      <w:marRight w:val="0"/>
                                      <w:marTop w:val="0"/>
                                      <w:marBottom w:val="0"/>
                                      <w:divBdr>
                                        <w:top w:val="none" w:sz="0" w:space="0" w:color="auto"/>
                                        <w:left w:val="none" w:sz="0" w:space="0" w:color="auto"/>
                                        <w:bottom w:val="none" w:sz="0" w:space="0" w:color="auto"/>
                                        <w:right w:val="none" w:sz="0" w:space="0" w:color="auto"/>
                                      </w:divBdr>
                                      <w:divsChild>
                                        <w:div w:id="2025013808">
                                          <w:marLeft w:val="0"/>
                                          <w:marRight w:val="0"/>
                                          <w:marTop w:val="0"/>
                                          <w:marBottom w:val="0"/>
                                          <w:divBdr>
                                            <w:top w:val="none" w:sz="0" w:space="0" w:color="auto"/>
                                            <w:left w:val="none" w:sz="0" w:space="0" w:color="auto"/>
                                            <w:bottom w:val="none" w:sz="0" w:space="0" w:color="auto"/>
                                            <w:right w:val="none" w:sz="0" w:space="0" w:color="auto"/>
                                          </w:divBdr>
                                          <w:divsChild>
                                            <w:div w:id="1626235664">
                                              <w:marLeft w:val="0"/>
                                              <w:marRight w:val="0"/>
                                              <w:marTop w:val="0"/>
                                              <w:marBottom w:val="0"/>
                                              <w:divBdr>
                                                <w:top w:val="none" w:sz="0" w:space="0" w:color="auto"/>
                                                <w:left w:val="none" w:sz="0" w:space="0" w:color="auto"/>
                                                <w:bottom w:val="none" w:sz="0" w:space="0" w:color="auto"/>
                                                <w:right w:val="none" w:sz="0" w:space="0" w:color="auto"/>
                                              </w:divBdr>
                                              <w:divsChild>
                                                <w:div w:id="185876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5231750">
      <w:bodyDiv w:val="1"/>
      <w:marLeft w:val="0"/>
      <w:marRight w:val="0"/>
      <w:marTop w:val="0"/>
      <w:marBottom w:val="0"/>
      <w:divBdr>
        <w:top w:val="none" w:sz="0" w:space="0" w:color="auto"/>
        <w:left w:val="none" w:sz="0" w:space="0" w:color="auto"/>
        <w:bottom w:val="none" w:sz="0" w:space="0" w:color="auto"/>
        <w:right w:val="none" w:sz="0" w:space="0" w:color="auto"/>
      </w:divBdr>
    </w:div>
    <w:div w:id="1355575559">
      <w:bodyDiv w:val="1"/>
      <w:marLeft w:val="0"/>
      <w:marRight w:val="0"/>
      <w:marTop w:val="0"/>
      <w:marBottom w:val="0"/>
      <w:divBdr>
        <w:top w:val="none" w:sz="0" w:space="0" w:color="auto"/>
        <w:left w:val="none" w:sz="0" w:space="0" w:color="auto"/>
        <w:bottom w:val="none" w:sz="0" w:space="0" w:color="auto"/>
        <w:right w:val="none" w:sz="0" w:space="0" w:color="auto"/>
      </w:divBdr>
      <w:divsChild>
        <w:div w:id="78524625">
          <w:marLeft w:val="0"/>
          <w:marRight w:val="0"/>
          <w:marTop w:val="0"/>
          <w:marBottom w:val="0"/>
          <w:divBdr>
            <w:top w:val="none" w:sz="0" w:space="0" w:color="auto"/>
            <w:left w:val="none" w:sz="0" w:space="0" w:color="auto"/>
            <w:bottom w:val="dotted" w:sz="6" w:space="4" w:color="DDDDDD"/>
            <w:right w:val="none" w:sz="0" w:space="0" w:color="auto"/>
          </w:divBdr>
          <w:divsChild>
            <w:div w:id="125955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76663">
      <w:bodyDiv w:val="1"/>
      <w:marLeft w:val="0"/>
      <w:marRight w:val="0"/>
      <w:marTop w:val="0"/>
      <w:marBottom w:val="0"/>
      <w:divBdr>
        <w:top w:val="none" w:sz="0" w:space="0" w:color="auto"/>
        <w:left w:val="none" w:sz="0" w:space="0" w:color="auto"/>
        <w:bottom w:val="none" w:sz="0" w:space="0" w:color="auto"/>
        <w:right w:val="none" w:sz="0" w:space="0" w:color="auto"/>
      </w:divBdr>
      <w:divsChild>
        <w:div w:id="470054926">
          <w:marLeft w:val="0"/>
          <w:marRight w:val="0"/>
          <w:marTop w:val="0"/>
          <w:marBottom w:val="0"/>
          <w:divBdr>
            <w:top w:val="none" w:sz="0" w:space="0" w:color="auto"/>
            <w:left w:val="none" w:sz="0" w:space="0" w:color="auto"/>
            <w:bottom w:val="none" w:sz="0" w:space="0" w:color="auto"/>
            <w:right w:val="none" w:sz="0" w:space="0" w:color="auto"/>
          </w:divBdr>
          <w:divsChild>
            <w:div w:id="6864443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56275220">
      <w:bodyDiv w:val="1"/>
      <w:marLeft w:val="0"/>
      <w:marRight w:val="0"/>
      <w:marTop w:val="0"/>
      <w:marBottom w:val="0"/>
      <w:divBdr>
        <w:top w:val="none" w:sz="0" w:space="0" w:color="auto"/>
        <w:left w:val="none" w:sz="0" w:space="0" w:color="auto"/>
        <w:bottom w:val="none" w:sz="0" w:space="0" w:color="auto"/>
        <w:right w:val="none" w:sz="0" w:space="0" w:color="auto"/>
      </w:divBdr>
      <w:divsChild>
        <w:div w:id="627400532">
          <w:marLeft w:val="0"/>
          <w:marRight w:val="0"/>
          <w:marTop w:val="0"/>
          <w:marBottom w:val="0"/>
          <w:divBdr>
            <w:top w:val="none" w:sz="0" w:space="0" w:color="auto"/>
            <w:left w:val="none" w:sz="0" w:space="0" w:color="auto"/>
            <w:bottom w:val="none" w:sz="0" w:space="0" w:color="auto"/>
            <w:right w:val="none" w:sz="0" w:space="0" w:color="auto"/>
          </w:divBdr>
          <w:divsChild>
            <w:div w:id="1060981596">
              <w:marLeft w:val="0"/>
              <w:marRight w:val="0"/>
              <w:marTop w:val="0"/>
              <w:marBottom w:val="0"/>
              <w:divBdr>
                <w:top w:val="none" w:sz="0" w:space="0" w:color="auto"/>
                <w:left w:val="none" w:sz="0" w:space="0" w:color="auto"/>
                <w:bottom w:val="none" w:sz="0" w:space="0" w:color="auto"/>
                <w:right w:val="none" w:sz="0" w:space="0" w:color="auto"/>
              </w:divBdr>
              <w:divsChild>
                <w:div w:id="1933128592">
                  <w:marLeft w:val="0"/>
                  <w:marRight w:val="0"/>
                  <w:marTop w:val="0"/>
                  <w:marBottom w:val="0"/>
                  <w:divBdr>
                    <w:top w:val="none" w:sz="0" w:space="0" w:color="auto"/>
                    <w:left w:val="none" w:sz="0" w:space="0" w:color="auto"/>
                    <w:bottom w:val="none" w:sz="0" w:space="0" w:color="auto"/>
                    <w:right w:val="none" w:sz="0" w:space="0" w:color="auto"/>
                  </w:divBdr>
                  <w:divsChild>
                    <w:div w:id="789318196">
                      <w:marLeft w:val="0"/>
                      <w:marRight w:val="0"/>
                      <w:marTop w:val="0"/>
                      <w:marBottom w:val="0"/>
                      <w:divBdr>
                        <w:top w:val="none" w:sz="0" w:space="0" w:color="auto"/>
                        <w:left w:val="none" w:sz="0" w:space="0" w:color="auto"/>
                        <w:bottom w:val="none" w:sz="0" w:space="0" w:color="auto"/>
                        <w:right w:val="none" w:sz="0" w:space="0" w:color="auto"/>
                      </w:divBdr>
                      <w:divsChild>
                        <w:div w:id="1546329515">
                          <w:marLeft w:val="0"/>
                          <w:marRight w:val="0"/>
                          <w:marTop w:val="0"/>
                          <w:marBottom w:val="0"/>
                          <w:divBdr>
                            <w:top w:val="none" w:sz="0" w:space="0" w:color="auto"/>
                            <w:left w:val="none" w:sz="0" w:space="0" w:color="auto"/>
                            <w:bottom w:val="none" w:sz="0" w:space="0" w:color="auto"/>
                            <w:right w:val="none" w:sz="0" w:space="0" w:color="auto"/>
                          </w:divBdr>
                          <w:divsChild>
                            <w:div w:id="23659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617226">
      <w:bodyDiv w:val="1"/>
      <w:marLeft w:val="0"/>
      <w:marRight w:val="0"/>
      <w:marTop w:val="0"/>
      <w:marBottom w:val="0"/>
      <w:divBdr>
        <w:top w:val="none" w:sz="0" w:space="0" w:color="auto"/>
        <w:left w:val="none" w:sz="0" w:space="0" w:color="auto"/>
        <w:bottom w:val="none" w:sz="0" w:space="0" w:color="auto"/>
        <w:right w:val="none" w:sz="0" w:space="0" w:color="auto"/>
      </w:divBdr>
      <w:divsChild>
        <w:div w:id="2120448958">
          <w:marLeft w:val="0"/>
          <w:marRight w:val="0"/>
          <w:marTop w:val="0"/>
          <w:marBottom w:val="0"/>
          <w:divBdr>
            <w:top w:val="none" w:sz="0" w:space="0" w:color="auto"/>
            <w:left w:val="none" w:sz="0" w:space="0" w:color="auto"/>
            <w:bottom w:val="dotted" w:sz="6" w:space="4" w:color="DDDDDD"/>
            <w:right w:val="none" w:sz="0" w:space="0" w:color="auto"/>
          </w:divBdr>
          <w:divsChild>
            <w:div w:id="141636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661746">
      <w:bodyDiv w:val="1"/>
      <w:marLeft w:val="0"/>
      <w:marRight w:val="0"/>
      <w:marTop w:val="0"/>
      <w:marBottom w:val="0"/>
      <w:divBdr>
        <w:top w:val="none" w:sz="0" w:space="0" w:color="auto"/>
        <w:left w:val="none" w:sz="0" w:space="0" w:color="auto"/>
        <w:bottom w:val="none" w:sz="0" w:space="0" w:color="auto"/>
        <w:right w:val="none" w:sz="0" w:space="0" w:color="auto"/>
      </w:divBdr>
    </w:div>
    <w:div w:id="1357075196">
      <w:bodyDiv w:val="1"/>
      <w:marLeft w:val="0"/>
      <w:marRight w:val="0"/>
      <w:marTop w:val="0"/>
      <w:marBottom w:val="0"/>
      <w:divBdr>
        <w:top w:val="none" w:sz="0" w:space="0" w:color="auto"/>
        <w:left w:val="none" w:sz="0" w:space="0" w:color="auto"/>
        <w:bottom w:val="none" w:sz="0" w:space="0" w:color="auto"/>
        <w:right w:val="none" w:sz="0" w:space="0" w:color="auto"/>
      </w:divBdr>
    </w:div>
    <w:div w:id="1358000964">
      <w:bodyDiv w:val="1"/>
      <w:marLeft w:val="0"/>
      <w:marRight w:val="0"/>
      <w:marTop w:val="0"/>
      <w:marBottom w:val="0"/>
      <w:divBdr>
        <w:top w:val="none" w:sz="0" w:space="0" w:color="auto"/>
        <w:left w:val="none" w:sz="0" w:space="0" w:color="auto"/>
        <w:bottom w:val="none" w:sz="0" w:space="0" w:color="auto"/>
        <w:right w:val="none" w:sz="0" w:space="0" w:color="auto"/>
      </w:divBdr>
      <w:divsChild>
        <w:div w:id="879127638">
          <w:marLeft w:val="0"/>
          <w:marRight w:val="0"/>
          <w:marTop w:val="0"/>
          <w:marBottom w:val="0"/>
          <w:divBdr>
            <w:top w:val="none" w:sz="0" w:space="0" w:color="auto"/>
            <w:left w:val="none" w:sz="0" w:space="0" w:color="auto"/>
            <w:bottom w:val="dotted" w:sz="6" w:space="4" w:color="DDDDDD"/>
            <w:right w:val="none" w:sz="0" w:space="0" w:color="auto"/>
          </w:divBdr>
          <w:divsChild>
            <w:div w:id="129166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236653">
      <w:bodyDiv w:val="1"/>
      <w:marLeft w:val="0"/>
      <w:marRight w:val="0"/>
      <w:marTop w:val="0"/>
      <w:marBottom w:val="0"/>
      <w:divBdr>
        <w:top w:val="none" w:sz="0" w:space="0" w:color="auto"/>
        <w:left w:val="none" w:sz="0" w:space="0" w:color="auto"/>
        <w:bottom w:val="none" w:sz="0" w:space="0" w:color="auto"/>
        <w:right w:val="none" w:sz="0" w:space="0" w:color="auto"/>
      </w:divBdr>
    </w:div>
    <w:div w:id="1358385051">
      <w:bodyDiv w:val="1"/>
      <w:marLeft w:val="0"/>
      <w:marRight w:val="0"/>
      <w:marTop w:val="0"/>
      <w:marBottom w:val="0"/>
      <w:divBdr>
        <w:top w:val="none" w:sz="0" w:space="0" w:color="auto"/>
        <w:left w:val="none" w:sz="0" w:space="0" w:color="auto"/>
        <w:bottom w:val="none" w:sz="0" w:space="0" w:color="auto"/>
        <w:right w:val="none" w:sz="0" w:space="0" w:color="auto"/>
      </w:divBdr>
      <w:divsChild>
        <w:div w:id="1165631632">
          <w:marLeft w:val="0"/>
          <w:marRight w:val="0"/>
          <w:marTop w:val="0"/>
          <w:marBottom w:val="150"/>
          <w:divBdr>
            <w:top w:val="none" w:sz="0" w:space="0" w:color="auto"/>
            <w:left w:val="none" w:sz="0" w:space="0" w:color="auto"/>
            <w:bottom w:val="none" w:sz="0" w:space="0" w:color="auto"/>
            <w:right w:val="none" w:sz="0" w:space="0" w:color="auto"/>
          </w:divBdr>
        </w:div>
      </w:divsChild>
    </w:div>
    <w:div w:id="1358585929">
      <w:bodyDiv w:val="1"/>
      <w:marLeft w:val="0"/>
      <w:marRight w:val="0"/>
      <w:marTop w:val="0"/>
      <w:marBottom w:val="0"/>
      <w:divBdr>
        <w:top w:val="none" w:sz="0" w:space="0" w:color="auto"/>
        <w:left w:val="none" w:sz="0" w:space="0" w:color="auto"/>
        <w:bottom w:val="none" w:sz="0" w:space="0" w:color="auto"/>
        <w:right w:val="none" w:sz="0" w:space="0" w:color="auto"/>
      </w:divBdr>
    </w:div>
    <w:div w:id="1358653651">
      <w:bodyDiv w:val="1"/>
      <w:marLeft w:val="0"/>
      <w:marRight w:val="0"/>
      <w:marTop w:val="0"/>
      <w:marBottom w:val="0"/>
      <w:divBdr>
        <w:top w:val="none" w:sz="0" w:space="0" w:color="auto"/>
        <w:left w:val="none" w:sz="0" w:space="0" w:color="auto"/>
        <w:bottom w:val="none" w:sz="0" w:space="0" w:color="auto"/>
        <w:right w:val="none" w:sz="0" w:space="0" w:color="auto"/>
      </w:divBdr>
      <w:divsChild>
        <w:div w:id="880362623">
          <w:marLeft w:val="0"/>
          <w:marRight w:val="0"/>
          <w:marTop w:val="0"/>
          <w:marBottom w:val="0"/>
          <w:divBdr>
            <w:top w:val="none" w:sz="0" w:space="0" w:color="auto"/>
            <w:left w:val="none" w:sz="0" w:space="0" w:color="auto"/>
            <w:bottom w:val="dotted" w:sz="6" w:space="4" w:color="DDDDDD"/>
            <w:right w:val="none" w:sz="0" w:space="0" w:color="auto"/>
          </w:divBdr>
        </w:div>
      </w:divsChild>
    </w:div>
    <w:div w:id="1358971137">
      <w:bodyDiv w:val="1"/>
      <w:marLeft w:val="0"/>
      <w:marRight w:val="0"/>
      <w:marTop w:val="0"/>
      <w:marBottom w:val="0"/>
      <w:divBdr>
        <w:top w:val="none" w:sz="0" w:space="0" w:color="auto"/>
        <w:left w:val="none" w:sz="0" w:space="0" w:color="auto"/>
        <w:bottom w:val="none" w:sz="0" w:space="0" w:color="auto"/>
        <w:right w:val="none" w:sz="0" w:space="0" w:color="auto"/>
      </w:divBdr>
      <w:divsChild>
        <w:div w:id="1579056229">
          <w:marLeft w:val="0"/>
          <w:marRight w:val="0"/>
          <w:marTop w:val="0"/>
          <w:marBottom w:val="0"/>
          <w:divBdr>
            <w:top w:val="none" w:sz="0" w:space="0" w:color="auto"/>
            <w:left w:val="none" w:sz="0" w:space="0" w:color="auto"/>
            <w:bottom w:val="none" w:sz="0" w:space="0" w:color="auto"/>
            <w:right w:val="none" w:sz="0" w:space="0" w:color="auto"/>
          </w:divBdr>
        </w:div>
      </w:divsChild>
    </w:div>
    <w:div w:id="1359816284">
      <w:bodyDiv w:val="1"/>
      <w:marLeft w:val="0"/>
      <w:marRight w:val="0"/>
      <w:marTop w:val="0"/>
      <w:marBottom w:val="0"/>
      <w:divBdr>
        <w:top w:val="none" w:sz="0" w:space="0" w:color="auto"/>
        <w:left w:val="none" w:sz="0" w:space="0" w:color="auto"/>
        <w:bottom w:val="none" w:sz="0" w:space="0" w:color="auto"/>
        <w:right w:val="none" w:sz="0" w:space="0" w:color="auto"/>
      </w:divBdr>
    </w:div>
    <w:div w:id="1360163487">
      <w:bodyDiv w:val="1"/>
      <w:marLeft w:val="0"/>
      <w:marRight w:val="0"/>
      <w:marTop w:val="0"/>
      <w:marBottom w:val="0"/>
      <w:divBdr>
        <w:top w:val="none" w:sz="0" w:space="0" w:color="auto"/>
        <w:left w:val="none" w:sz="0" w:space="0" w:color="auto"/>
        <w:bottom w:val="none" w:sz="0" w:space="0" w:color="auto"/>
        <w:right w:val="none" w:sz="0" w:space="0" w:color="auto"/>
      </w:divBdr>
    </w:div>
    <w:div w:id="1360353303">
      <w:bodyDiv w:val="1"/>
      <w:marLeft w:val="0"/>
      <w:marRight w:val="0"/>
      <w:marTop w:val="0"/>
      <w:marBottom w:val="0"/>
      <w:divBdr>
        <w:top w:val="none" w:sz="0" w:space="0" w:color="auto"/>
        <w:left w:val="none" w:sz="0" w:space="0" w:color="auto"/>
        <w:bottom w:val="none" w:sz="0" w:space="0" w:color="auto"/>
        <w:right w:val="none" w:sz="0" w:space="0" w:color="auto"/>
      </w:divBdr>
      <w:divsChild>
        <w:div w:id="1871914544">
          <w:marLeft w:val="0"/>
          <w:marRight w:val="0"/>
          <w:marTop w:val="0"/>
          <w:marBottom w:val="0"/>
          <w:divBdr>
            <w:top w:val="none" w:sz="0" w:space="0" w:color="auto"/>
            <w:left w:val="none" w:sz="0" w:space="0" w:color="auto"/>
            <w:bottom w:val="none" w:sz="0" w:space="0" w:color="auto"/>
            <w:right w:val="none" w:sz="0" w:space="0" w:color="auto"/>
          </w:divBdr>
          <w:divsChild>
            <w:div w:id="605235659">
              <w:marLeft w:val="0"/>
              <w:marRight w:val="0"/>
              <w:marTop w:val="0"/>
              <w:marBottom w:val="0"/>
              <w:divBdr>
                <w:top w:val="none" w:sz="0" w:space="0" w:color="auto"/>
                <w:left w:val="none" w:sz="0" w:space="0" w:color="auto"/>
                <w:bottom w:val="none" w:sz="0" w:space="0" w:color="auto"/>
                <w:right w:val="none" w:sz="0" w:space="0" w:color="auto"/>
              </w:divBdr>
            </w:div>
          </w:divsChild>
        </w:div>
        <w:div w:id="208108963">
          <w:marLeft w:val="0"/>
          <w:marRight w:val="0"/>
          <w:marTop w:val="0"/>
          <w:marBottom w:val="0"/>
          <w:divBdr>
            <w:top w:val="none" w:sz="0" w:space="0" w:color="auto"/>
            <w:left w:val="none" w:sz="0" w:space="0" w:color="auto"/>
            <w:bottom w:val="none" w:sz="0" w:space="0" w:color="auto"/>
            <w:right w:val="none" w:sz="0" w:space="0" w:color="auto"/>
          </w:divBdr>
        </w:div>
        <w:div w:id="1977683517">
          <w:marLeft w:val="0"/>
          <w:marRight w:val="0"/>
          <w:marTop w:val="0"/>
          <w:marBottom w:val="0"/>
          <w:divBdr>
            <w:top w:val="none" w:sz="0" w:space="0" w:color="auto"/>
            <w:left w:val="none" w:sz="0" w:space="0" w:color="auto"/>
            <w:bottom w:val="none" w:sz="0" w:space="0" w:color="auto"/>
            <w:right w:val="none" w:sz="0" w:space="0" w:color="auto"/>
          </w:divBdr>
          <w:divsChild>
            <w:div w:id="1128012114">
              <w:marLeft w:val="-225"/>
              <w:marRight w:val="-225"/>
              <w:marTop w:val="0"/>
              <w:marBottom w:val="0"/>
              <w:divBdr>
                <w:top w:val="none" w:sz="0" w:space="0" w:color="auto"/>
                <w:left w:val="none" w:sz="0" w:space="0" w:color="auto"/>
                <w:bottom w:val="none" w:sz="0" w:space="0" w:color="auto"/>
                <w:right w:val="none" w:sz="0" w:space="0" w:color="auto"/>
              </w:divBdr>
              <w:divsChild>
                <w:div w:id="1805583766">
                  <w:marLeft w:val="0"/>
                  <w:marRight w:val="0"/>
                  <w:marTop w:val="0"/>
                  <w:marBottom w:val="0"/>
                  <w:divBdr>
                    <w:top w:val="none" w:sz="0" w:space="0" w:color="auto"/>
                    <w:left w:val="none" w:sz="0" w:space="0" w:color="auto"/>
                    <w:bottom w:val="none" w:sz="0" w:space="0" w:color="auto"/>
                    <w:right w:val="single" w:sz="6" w:space="0" w:color="000000"/>
                  </w:divBdr>
                  <w:divsChild>
                    <w:div w:id="1611207744">
                      <w:marLeft w:val="0"/>
                      <w:marRight w:val="0"/>
                      <w:marTop w:val="0"/>
                      <w:marBottom w:val="0"/>
                      <w:divBdr>
                        <w:top w:val="none" w:sz="0" w:space="0" w:color="auto"/>
                        <w:left w:val="none" w:sz="0" w:space="0" w:color="auto"/>
                        <w:bottom w:val="none" w:sz="0" w:space="0" w:color="auto"/>
                        <w:right w:val="none" w:sz="0" w:space="0" w:color="auto"/>
                      </w:divBdr>
                      <w:divsChild>
                        <w:div w:id="8076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76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543337">
      <w:bodyDiv w:val="1"/>
      <w:marLeft w:val="0"/>
      <w:marRight w:val="0"/>
      <w:marTop w:val="0"/>
      <w:marBottom w:val="0"/>
      <w:divBdr>
        <w:top w:val="none" w:sz="0" w:space="0" w:color="auto"/>
        <w:left w:val="none" w:sz="0" w:space="0" w:color="auto"/>
        <w:bottom w:val="none" w:sz="0" w:space="0" w:color="auto"/>
        <w:right w:val="none" w:sz="0" w:space="0" w:color="auto"/>
      </w:divBdr>
      <w:divsChild>
        <w:div w:id="2902977">
          <w:marLeft w:val="0"/>
          <w:marRight w:val="0"/>
          <w:marTop w:val="0"/>
          <w:marBottom w:val="0"/>
          <w:divBdr>
            <w:top w:val="none" w:sz="0" w:space="0" w:color="auto"/>
            <w:left w:val="none" w:sz="0" w:space="0" w:color="auto"/>
            <w:bottom w:val="none" w:sz="0" w:space="0" w:color="auto"/>
            <w:right w:val="none" w:sz="0" w:space="0" w:color="auto"/>
          </w:divBdr>
          <w:divsChild>
            <w:div w:id="310604082">
              <w:marLeft w:val="0"/>
              <w:marRight w:val="0"/>
              <w:marTop w:val="0"/>
              <w:marBottom w:val="0"/>
              <w:divBdr>
                <w:top w:val="none" w:sz="0" w:space="0" w:color="auto"/>
                <w:left w:val="none" w:sz="0" w:space="0" w:color="auto"/>
                <w:bottom w:val="none" w:sz="0" w:space="0" w:color="auto"/>
                <w:right w:val="none" w:sz="0" w:space="0" w:color="auto"/>
              </w:divBdr>
            </w:div>
          </w:divsChild>
        </w:div>
        <w:div w:id="720131645">
          <w:marLeft w:val="0"/>
          <w:marRight w:val="0"/>
          <w:marTop w:val="150"/>
          <w:marBottom w:val="0"/>
          <w:divBdr>
            <w:top w:val="none" w:sz="0" w:space="0" w:color="auto"/>
            <w:left w:val="none" w:sz="0" w:space="0" w:color="auto"/>
            <w:bottom w:val="none" w:sz="0" w:space="0" w:color="auto"/>
            <w:right w:val="none" w:sz="0" w:space="0" w:color="auto"/>
          </w:divBdr>
          <w:divsChild>
            <w:div w:id="823162436">
              <w:marLeft w:val="0"/>
              <w:marRight w:val="0"/>
              <w:marTop w:val="0"/>
              <w:marBottom w:val="0"/>
              <w:divBdr>
                <w:top w:val="none" w:sz="0" w:space="0" w:color="auto"/>
                <w:left w:val="none" w:sz="0" w:space="0" w:color="auto"/>
                <w:bottom w:val="none" w:sz="0" w:space="0" w:color="auto"/>
                <w:right w:val="none" w:sz="0" w:space="0" w:color="auto"/>
              </w:divBdr>
              <w:divsChild>
                <w:div w:id="85611420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052369">
      <w:bodyDiv w:val="1"/>
      <w:marLeft w:val="0"/>
      <w:marRight w:val="0"/>
      <w:marTop w:val="0"/>
      <w:marBottom w:val="0"/>
      <w:divBdr>
        <w:top w:val="none" w:sz="0" w:space="0" w:color="auto"/>
        <w:left w:val="none" w:sz="0" w:space="0" w:color="auto"/>
        <w:bottom w:val="none" w:sz="0" w:space="0" w:color="auto"/>
        <w:right w:val="none" w:sz="0" w:space="0" w:color="auto"/>
      </w:divBdr>
      <w:divsChild>
        <w:div w:id="431512324">
          <w:marLeft w:val="0"/>
          <w:marRight w:val="0"/>
          <w:marTop w:val="0"/>
          <w:marBottom w:val="0"/>
          <w:divBdr>
            <w:top w:val="none" w:sz="0" w:space="0" w:color="auto"/>
            <w:left w:val="none" w:sz="0" w:space="0" w:color="auto"/>
            <w:bottom w:val="none" w:sz="0" w:space="0" w:color="auto"/>
            <w:right w:val="none" w:sz="0" w:space="0" w:color="auto"/>
          </w:divBdr>
        </w:div>
        <w:div w:id="1031341931">
          <w:marLeft w:val="0"/>
          <w:marRight w:val="0"/>
          <w:marTop w:val="0"/>
          <w:marBottom w:val="300"/>
          <w:divBdr>
            <w:top w:val="none" w:sz="0" w:space="0" w:color="auto"/>
            <w:left w:val="none" w:sz="0" w:space="0" w:color="auto"/>
            <w:bottom w:val="none" w:sz="0" w:space="0" w:color="auto"/>
            <w:right w:val="none" w:sz="0" w:space="0" w:color="auto"/>
          </w:divBdr>
          <w:divsChild>
            <w:div w:id="928735420">
              <w:marLeft w:val="0"/>
              <w:marRight w:val="0"/>
              <w:marTop w:val="0"/>
              <w:marBottom w:val="0"/>
              <w:divBdr>
                <w:top w:val="none" w:sz="0" w:space="0" w:color="auto"/>
                <w:left w:val="none" w:sz="0" w:space="0" w:color="auto"/>
                <w:bottom w:val="none" w:sz="0" w:space="0" w:color="auto"/>
                <w:right w:val="none" w:sz="0" w:space="0" w:color="auto"/>
              </w:divBdr>
            </w:div>
          </w:divsChild>
        </w:div>
        <w:div w:id="1598635347">
          <w:marLeft w:val="0"/>
          <w:marRight w:val="0"/>
          <w:marTop w:val="0"/>
          <w:marBottom w:val="75"/>
          <w:divBdr>
            <w:top w:val="none" w:sz="0" w:space="0" w:color="auto"/>
            <w:left w:val="none" w:sz="0" w:space="0" w:color="auto"/>
            <w:bottom w:val="none" w:sz="0" w:space="0" w:color="auto"/>
            <w:right w:val="none" w:sz="0" w:space="0" w:color="auto"/>
          </w:divBdr>
        </w:div>
        <w:div w:id="1653673984">
          <w:marLeft w:val="0"/>
          <w:marRight w:val="0"/>
          <w:marTop w:val="0"/>
          <w:marBottom w:val="0"/>
          <w:divBdr>
            <w:top w:val="none" w:sz="0" w:space="0" w:color="auto"/>
            <w:left w:val="none" w:sz="0" w:space="0" w:color="auto"/>
            <w:bottom w:val="none" w:sz="0" w:space="0" w:color="auto"/>
            <w:right w:val="none" w:sz="0" w:space="0" w:color="auto"/>
          </w:divBdr>
          <w:divsChild>
            <w:div w:id="216355081">
              <w:marLeft w:val="0"/>
              <w:marRight w:val="0"/>
              <w:marTop w:val="0"/>
              <w:marBottom w:val="0"/>
              <w:divBdr>
                <w:top w:val="none" w:sz="0" w:space="0" w:color="auto"/>
                <w:left w:val="none" w:sz="0" w:space="0" w:color="auto"/>
                <w:bottom w:val="none" w:sz="0" w:space="0" w:color="auto"/>
                <w:right w:val="none" w:sz="0" w:space="0" w:color="auto"/>
              </w:divBdr>
              <w:divsChild>
                <w:div w:id="114963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052957">
      <w:bodyDiv w:val="1"/>
      <w:marLeft w:val="0"/>
      <w:marRight w:val="0"/>
      <w:marTop w:val="0"/>
      <w:marBottom w:val="0"/>
      <w:divBdr>
        <w:top w:val="none" w:sz="0" w:space="0" w:color="auto"/>
        <w:left w:val="none" w:sz="0" w:space="0" w:color="auto"/>
        <w:bottom w:val="none" w:sz="0" w:space="0" w:color="auto"/>
        <w:right w:val="none" w:sz="0" w:space="0" w:color="auto"/>
      </w:divBdr>
      <w:divsChild>
        <w:div w:id="1255745375">
          <w:marLeft w:val="0"/>
          <w:marRight w:val="0"/>
          <w:marTop w:val="0"/>
          <w:marBottom w:val="150"/>
          <w:divBdr>
            <w:top w:val="none" w:sz="0" w:space="0" w:color="auto"/>
            <w:left w:val="none" w:sz="0" w:space="0" w:color="auto"/>
            <w:bottom w:val="none" w:sz="0" w:space="0" w:color="auto"/>
            <w:right w:val="none" w:sz="0" w:space="0" w:color="auto"/>
          </w:divBdr>
        </w:div>
        <w:div w:id="1300771358">
          <w:marLeft w:val="0"/>
          <w:marRight w:val="0"/>
          <w:marTop w:val="0"/>
          <w:marBottom w:val="0"/>
          <w:divBdr>
            <w:top w:val="none" w:sz="0" w:space="0" w:color="auto"/>
            <w:left w:val="none" w:sz="0" w:space="0" w:color="auto"/>
            <w:bottom w:val="none" w:sz="0" w:space="0" w:color="auto"/>
            <w:right w:val="none" w:sz="0" w:space="0" w:color="auto"/>
          </w:divBdr>
          <w:divsChild>
            <w:div w:id="1164013127">
              <w:marLeft w:val="0"/>
              <w:marRight w:val="0"/>
              <w:marTop w:val="0"/>
              <w:marBottom w:val="0"/>
              <w:divBdr>
                <w:top w:val="none" w:sz="0" w:space="0" w:color="auto"/>
                <w:left w:val="none" w:sz="0" w:space="0" w:color="auto"/>
                <w:bottom w:val="none" w:sz="0" w:space="0" w:color="auto"/>
                <w:right w:val="none" w:sz="0" w:space="0" w:color="auto"/>
              </w:divBdr>
            </w:div>
          </w:divsChild>
        </w:div>
        <w:div w:id="1682396138">
          <w:marLeft w:val="0"/>
          <w:marRight w:val="0"/>
          <w:marTop w:val="0"/>
          <w:marBottom w:val="150"/>
          <w:divBdr>
            <w:top w:val="none" w:sz="0" w:space="0" w:color="auto"/>
            <w:left w:val="none" w:sz="0" w:space="0" w:color="auto"/>
            <w:bottom w:val="none" w:sz="0" w:space="0" w:color="auto"/>
            <w:right w:val="none" w:sz="0" w:space="0" w:color="auto"/>
          </w:divBdr>
          <w:divsChild>
            <w:div w:id="9949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781638">
      <w:bodyDiv w:val="1"/>
      <w:marLeft w:val="0"/>
      <w:marRight w:val="0"/>
      <w:marTop w:val="0"/>
      <w:marBottom w:val="0"/>
      <w:divBdr>
        <w:top w:val="none" w:sz="0" w:space="0" w:color="auto"/>
        <w:left w:val="none" w:sz="0" w:space="0" w:color="auto"/>
        <w:bottom w:val="none" w:sz="0" w:space="0" w:color="auto"/>
        <w:right w:val="none" w:sz="0" w:space="0" w:color="auto"/>
      </w:divBdr>
      <w:divsChild>
        <w:div w:id="717052493">
          <w:marLeft w:val="0"/>
          <w:marRight w:val="0"/>
          <w:marTop w:val="0"/>
          <w:marBottom w:val="150"/>
          <w:divBdr>
            <w:top w:val="none" w:sz="0" w:space="0" w:color="auto"/>
            <w:left w:val="none" w:sz="0" w:space="0" w:color="auto"/>
            <w:bottom w:val="none" w:sz="0" w:space="0" w:color="auto"/>
            <w:right w:val="none" w:sz="0" w:space="0" w:color="auto"/>
          </w:divBdr>
          <w:divsChild>
            <w:div w:id="376205788">
              <w:marLeft w:val="0"/>
              <w:marRight w:val="0"/>
              <w:marTop w:val="0"/>
              <w:marBottom w:val="0"/>
              <w:divBdr>
                <w:top w:val="none" w:sz="0" w:space="0" w:color="auto"/>
                <w:left w:val="none" w:sz="0" w:space="0" w:color="auto"/>
                <w:bottom w:val="none" w:sz="0" w:space="0" w:color="auto"/>
                <w:right w:val="none" w:sz="0" w:space="0" w:color="auto"/>
              </w:divBdr>
            </w:div>
          </w:divsChild>
        </w:div>
        <w:div w:id="1234968287">
          <w:marLeft w:val="0"/>
          <w:marRight w:val="0"/>
          <w:marTop w:val="0"/>
          <w:marBottom w:val="0"/>
          <w:divBdr>
            <w:top w:val="none" w:sz="0" w:space="0" w:color="auto"/>
            <w:left w:val="none" w:sz="0" w:space="0" w:color="auto"/>
            <w:bottom w:val="none" w:sz="0" w:space="0" w:color="auto"/>
            <w:right w:val="none" w:sz="0" w:space="0" w:color="auto"/>
          </w:divBdr>
          <w:divsChild>
            <w:div w:id="233126534">
              <w:marLeft w:val="0"/>
              <w:marRight w:val="0"/>
              <w:marTop w:val="0"/>
              <w:marBottom w:val="0"/>
              <w:divBdr>
                <w:top w:val="none" w:sz="0" w:space="0" w:color="auto"/>
                <w:left w:val="none" w:sz="0" w:space="0" w:color="auto"/>
                <w:bottom w:val="none" w:sz="0" w:space="0" w:color="auto"/>
                <w:right w:val="none" w:sz="0" w:space="0" w:color="auto"/>
              </w:divBdr>
            </w:div>
          </w:divsChild>
        </w:div>
        <w:div w:id="1607078180">
          <w:marLeft w:val="0"/>
          <w:marRight w:val="0"/>
          <w:marTop w:val="0"/>
          <w:marBottom w:val="150"/>
          <w:divBdr>
            <w:top w:val="none" w:sz="0" w:space="0" w:color="auto"/>
            <w:left w:val="none" w:sz="0" w:space="0" w:color="auto"/>
            <w:bottom w:val="none" w:sz="0" w:space="0" w:color="auto"/>
            <w:right w:val="none" w:sz="0" w:space="0" w:color="auto"/>
          </w:divBdr>
        </w:div>
      </w:divsChild>
    </w:div>
    <w:div w:id="1361978642">
      <w:bodyDiv w:val="1"/>
      <w:marLeft w:val="0"/>
      <w:marRight w:val="0"/>
      <w:marTop w:val="0"/>
      <w:marBottom w:val="0"/>
      <w:divBdr>
        <w:top w:val="none" w:sz="0" w:space="0" w:color="auto"/>
        <w:left w:val="none" w:sz="0" w:space="0" w:color="auto"/>
        <w:bottom w:val="none" w:sz="0" w:space="0" w:color="auto"/>
        <w:right w:val="none" w:sz="0" w:space="0" w:color="auto"/>
      </w:divBdr>
      <w:divsChild>
        <w:div w:id="1485858732">
          <w:marLeft w:val="0"/>
          <w:marRight w:val="0"/>
          <w:marTop w:val="0"/>
          <w:marBottom w:val="0"/>
          <w:divBdr>
            <w:top w:val="none" w:sz="0" w:space="0" w:color="auto"/>
            <w:left w:val="none" w:sz="0" w:space="0" w:color="auto"/>
            <w:bottom w:val="none" w:sz="0" w:space="0" w:color="auto"/>
            <w:right w:val="none" w:sz="0" w:space="0" w:color="auto"/>
          </w:divBdr>
          <w:divsChild>
            <w:div w:id="19813001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62130116">
      <w:bodyDiv w:val="1"/>
      <w:marLeft w:val="0"/>
      <w:marRight w:val="0"/>
      <w:marTop w:val="0"/>
      <w:marBottom w:val="0"/>
      <w:divBdr>
        <w:top w:val="none" w:sz="0" w:space="0" w:color="auto"/>
        <w:left w:val="none" w:sz="0" w:space="0" w:color="auto"/>
        <w:bottom w:val="none" w:sz="0" w:space="0" w:color="auto"/>
        <w:right w:val="none" w:sz="0" w:space="0" w:color="auto"/>
      </w:divBdr>
      <w:divsChild>
        <w:div w:id="873418760">
          <w:marLeft w:val="0"/>
          <w:marRight w:val="0"/>
          <w:marTop w:val="0"/>
          <w:marBottom w:val="0"/>
          <w:divBdr>
            <w:top w:val="none" w:sz="0" w:space="0" w:color="auto"/>
            <w:left w:val="none" w:sz="0" w:space="0" w:color="auto"/>
            <w:bottom w:val="dotted" w:sz="6" w:space="4" w:color="DDDDDD"/>
            <w:right w:val="none" w:sz="0" w:space="0" w:color="auto"/>
          </w:divBdr>
          <w:divsChild>
            <w:div w:id="213995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779361">
      <w:bodyDiv w:val="1"/>
      <w:marLeft w:val="0"/>
      <w:marRight w:val="0"/>
      <w:marTop w:val="0"/>
      <w:marBottom w:val="0"/>
      <w:divBdr>
        <w:top w:val="none" w:sz="0" w:space="0" w:color="auto"/>
        <w:left w:val="none" w:sz="0" w:space="0" w:color="auto"/>
        <w:bottom w:val="none" w:sz="0" w:space="0" w:color="auto"/>
        <w:right w:val="none" w:sz="0" w:space="0" w:color="auto"/>
      </w:divBdr>
      <w:divsChild>
        <w:div w:id="299531652">
          <w:marLeft w:val="0"/>
          <w:marRight w:val="0"/>
          <w:marTop w:val="0"/>
          <w:marBottom w:val="150"/>
          <w:divBdr>
            <w:top w:val="none" w:sz="0" w:space="0" w:color="auto"/>
            <w:left w:val="none" w:sz="0" w:space="0" w:color="auto"/>
            <w:bottom w:val="none" w:sz="0" w:space="0" w:color="auto"/>
            <w:right w:val="none" w:sz="0" w:space="0" w:color="auto"/>
          </w:divBdr>
        </w:div>
        <w:div w:id="1049302188">
          <w:marLeft w:val="0"/>
          <w:marRight w:val="0"/>
          <w:marTop w:val="0"/>
          <w:marBottom w:val="150"/>
          <w:divBdr>
            <w:top w:val="none" w:sz="0" w:space="0" w:color="auto"/>
            <w:left w:val="none" w:sz="0" w:space="0" w:color="auto"/>
            <w:bottom w:val="none" w:sz="0" w:space="0" w:color="auto"/>
            <w:right w:val="none" w:sz="0" w:space="0" w:color="auto"/>
          </w:divBdr>
          <w:divsChild>
            <w:div w:id="1611471118">
              <w:marLeft w:val="0"/>
              <w:marRight w:val="0"/>
              <w:marTop w:val="0"/>
              <w:marBottom w:val="0"/>
              <w:divBdr>
                <w:top w:val="none" w:sz="0" w:space="0" w:color="auto"/>
                <w:left w:val="none" w:sz="0" w:space="0" w:color="auto"/>
                <w:bottom w:val="none" w:sz="0" w:space="0" w:color="auto"/>
                <w:right w:val="none" w:sz="0" w:space="0" w:color="auto"/>
              </w:divBdr>
              <w:divsChild>
                <w:div w:id="46447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89632">
          <w:marLeft w:val="0"/>
          <w:marRight w:val="0"/>
          <w:marTop w:val="0"/>
          <w:marBottom w:val="0"/>
          <w:divBdr>
            <w:top w:val="none" w:sz="0" w:space="0" w:color="auto"/>
            <w:left w:val="none" w:sz="0" w:space="0" w:color="auto"/>
            <w:bottom w:val="none" w:sz="0" w:space="0" w:color="auto"/>
            <w:right w:val="none" w:sz="0" w:space="0" w:color="auto"/>
          </w:divBdr>
          <w:divsChild>
            <w:div w:id="13234661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62897877">
      <w:bodyDiv w:val="1"/>
      <w:marLeft w:val="0"/>
      <w:marRight w:val="0"/>
      <w:marTop w:val="0"/>
      <w:marBottom w:val="0"/>
      <w:divBdr>
        <w:top w:val="none" w:sz="0" w:space="0" w:color="auto"/>
        <w:left w:val="none" w:sz="0" w:space="0" w:color="auto"/>
        <w:bottom w:val="none" w:sz="0" w:space="0" w:color="auto"/>
        <w:right w:val="none" w:sz="0" w:space="0" w:color="auto"/>
      </w:divBdr>
      <w:divsChild>
        <w:div w:id="867987897">
          <w:marLeft w:val="0"/>
          <w:marRight w:val="0"/>
          <w:marTop w:val="150"/>
          <w:marBottom w:val="0"/>
          <w:divBdr>
            <w:top w:val="none" w:sz="0" w:space="0" w:color="auto"/>
            <w:left w:val="none" w:sz="0" w:space="0" w:color="auto"/>
            <w:bottom w:val="none" w:sz="0" w:space="0" w:color="auto"/>
            <w:right w:val="none" w:sz="0" w:space="0" w:color="auto"/>
          </w:divBdr>
          <w:divsChild>
            <w:div w:id="1625497890">
              <w:marLeft w:val="0"/>
              <w:marRight w:val="0"/>
              <w:marTop w:val="0"/>
              <w:marBottom w:val="0"/>
              <w:divBdr>
                <w:top w:val="none" w:sz="0" w:space="0" w:color="auto"/>
                <w:left w:val="none" w:sz="0" w:space="0" w:color="auto"/>
                <w:bottom w:val="none" w:sz="0" w:space="0" w:color="auto"/>
                <w:right w:val="none" w:sz="0" w:space="0" w:color="auto"/>
              </w:divBdr>
              <w:divsChild>
                <w:div w:id="67202738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24953844">
          <w:marLeft w:val="0"/>
          <w:marRight w:val="0"/>
          <w:marTop w:val="0"/>
          <w:marBottom w:val="0"/>
          <w:divBdr>
            <w:top w:val="none" w:sz="0" w:space="0" w:color="auto"/>
            <w:left w:val="none" w:sz="0" w:space="0" w:color="auto"/>
            <w:bottom w:val="none" w:sz="0" w:space="0" w:color="auto"/>
            <w:right w:val="none" w:sz="0" w:space="0" w:color="auto"/>
          </w:divBdr>
          <w:divsChild>
            <w:div w:id="179078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9230">
      <w:bodyDiv w:val="1"/>
      <w:marLeft w:val="0"/>
      <w:marRight w:val="0"/>
      <w:marTop w:val="0"/>
      <w:marBottom w:val="0"/>
      <w:divBdr>
        <w:top w:val="none" w:sz="0" w:space="0" w:color="auto"/>
        <w:left w:val="none" w:sz="0" w:space="0" w:color="auto"/>
        <w:bottom w:val="none" w:sz="0" w:space="0" w:color="auto"/>
        <w:right w:val="none" w:sz="0" w:space="0" w:color="auto"/>
      </w:divBdr>
      <w:divsChild>
        <w:div w:id="1261600509">
          <w:marLeft w:val="0"/>
          <w:marRight w:val="0"/>
          <w:marTop w:val="0"/>
          <w:marBottom w:val="0"/>
          <w:divBdr>
            <w:top w:val="none" w:sz="0" w:space="0" w:color="auto"/>
            <w:left w:val="none" w:sz="0" w:space="0" w:color="auto"/>
            <w:bottom w:val="dotted" w:sz="6" w:space="4" w:color="DDDDDD"/>
            <w:right w:val="none" w:sz="0" w:space="0" w:color="auto"/>
          </w:divBdr>
          <w:divsChild>
            <w:div w:id="196788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9384">
      <w:bodyDiv w:val="1"/>
      <w:marLeft w:val="0"/>
      <w:marRight w:val="0"/>
      <w:marTop w:val="0"/>
      <w:marBottom w:val="0"/>
      <w:divBdr>
        <w:top w:val="none" w:sz="0" w:space="0" w:color="auto"/>
        <w:left w:val="none" w:sz="0" w:space="0" w:color="auto"/>
        <w:bottom w:val="none" w:sz="0" w:space="0" w:color="auto"/>
        <w:right w:val="none" w:sz="0" w:space="0" w:color="auto"/>
      </w:divBdr>
      <w:divsChild>
        <w:div w:id="1073745885">
          <w:marLeft w:val="0"/>
          <w:marRight w:val="0"/>
          <w:marTop w:val="0"/>
          <w:marBottom w:val="150"/>
          <w:divBdr>
            <w:top w:val="none" w:sz="0" w:space="0" w:color="auto"/>
            <w:left w:val="none" w:sz="0" w:space="0" w:color="auto"/>
            <w:bottom w:val="none" w:sz="0" w:space="0" w:color="auto"/>
            <w:right w:val="none" w:sz="0" w:space="0" w:color="auto"/>
          </w:divBdr>
        </w:div>
        <w:div w:id="1997686197">
          <w:marLeft w:val="0"/>
          <w:marRight w:val="0"/>
          <w:marTop w:val="0"/>
          <w:marBottom w:val="0"/>
          <w:divBdr>
            <w:top w:val="none" w:sz="0" w:space="0" w:color="auto"/>
            <w:left w:val="none" w:sz="0" w:space="0" w:color="auto"/>
            <w:bottom w:val="none" w:sz="0" w:space="0" w:color="auto"/>
            <w:right w:val="none" w:sz="0" w:space="0" w:color="auto"/>
          </w:divBdr>
        </w:div>
      </w:divsChild>
    </w:div>
    <w:div w:id="1363899675">
      <w:bodyDiv w:val="1"/>
      <w:marLeft w:val="0"/>
      <w:marRight w:val="0"/>
      <w:marTop w:val="0"/>
      <w:marBottom w:val="0"/>
      <w:divBdr>
        <w:top w:val="none" w:sz="0" w:space="0" w:color="auto"/>
        <w:left w:val="none" w:sz="0" w:space="0" w:color="auto"/>
        <w:bottom w:val="none" w:sz="0" w:space="0" w:color="auto"/>
        <w:right w:val="none" w:sz="0" w:space="0" w:color="auto"/>
      </w:divBdr>
      <w:divsChild>
        <w:div w:id="42758915">
          <w:marLeft w:val="0"/>
          <w:marRight w:val="0"/>
          <w:marTop w:val="150"/>
          <w:marBottom w:val="0"/>
          <w:divBdr>
            <w:top w:val="none" w:sz="0" w:space="0" w:color="auto"/>
            <w:left w:val="none" w:sz="0" w:space="0" w:color="auto"/>
            <w:bottom w:val="none" w:sz="0" w:space="0" w:color="auto"/>
            <w:right w:val="none" w:sz="0" w:space="0" w:color="auto"/>
          </w:divBdr>
          <w:divsChild>
            <w:div w:id="888033199">
              <w:marLeft w:val="0"/>
              <w:marRight w:val="0"/>
              <w:marTop w:val="0"/>
              <w:marBottom w:val="0"/>
              <w:divBdr>
                <w:top w:val="none" w:sz="0" w:space="0" w:color="auto"/>
                <w:left w:val="none" w:sz="0" w:space="0" w:color="auto"/>
                <w:bottom w:val="none" w:sz="0" w:space="0" w:color="auto"/>
                <w:right w:val="none" w:sz="0" w:space="0" w:color="auto"/>
              </w:divBdr>
              <w:divsChild>
                <w:div w:id="137923786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842820991">
          <w:marLeft w:val="0"/>
          <w:marRight w:val="0"/>
          <w:marTop w:val="0"/>
          <w:marBottom w:val="0"/>
          <w:divBdr>
            <w:top w:val="none" w:sz="0" w:space="0" w:color="auto"/>
            <w:left w:val="none" w:sz="0" w:space="0" w:color="auto"/>
            <w:bottom w:val="none" w:sz="0" w:space="0" w:color="auto"/>
            <w:right w:val="none" w:sz="0" w:space="0" w:color="auto"/>
          </w:divBdr>
          <w:divsChild>
            <w:div w:id="139782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019777">
      <w:bodyDiv w:val="1"/>
      <w:marLeft w:val="0"/>
      <w:marRight w:val="0"/>
      <w:marTop w:val="0"/>
      <w:marBottom w:val="0"/>
      <w:divBdr>
        <w:top w:val="none" w:sz="0" w:space="0" w:color="auto"/>
        <w:left w:val="none" w:sz="0" w:space="0" w:color="auto"/>
        <w:bottom w:val="none" w:sz="0" w:space="0" w:color="auto"/>
        <w:right w:val="none" w:sz="0" w:space="0" w:color="auto"/>
      </w:divBdr>
    </w:div>
    <w:div w:id="1364214105">
      <w:bodyDiv w:val="1"/>
      <w:marLeft w:val="0"/>
      <w:marRight w:val="0"/>
      <w:marTop w:val="0"/>
      <w:marBottom w:val="0"/>
      <w:divBdr>
        <w:top w:val="none" w:sz="0" w:space="0" w:color="auto"/>
        <w:left w:val="none" w:sz="0" w:space="0" w:color="auto"/>
        <w:bottom w:val="none" w:sz="0" w:space="0" w:color="auto"/>
        <w:right w:val="none" w:sz="0" w:space="0" w:color="auto"/>
      </w:divBdr>
    </w:div>
    <w:div w:id="1364285354">
      <w:bodyDiv w:val="1"/>
      <w:marLeft w:val="0"/>
      <w:marRight w:val="0"/>
      <w:marTop w:val="0"/>
      <w:marBottom w:val="0"/>
      <w:divBdr>
        <w:top w:val="none" w:sz="0" w:space="0" w:color="auto"/>
        <w:left w:val="none" w:sz="0" w:space="0" w:color="auto"/>
        <w:bottom w:val="none" w:sz="0" w:space="0" w:color="auto"/>
        <w:right w:val="none" w:sz="0" w:space="0" w:color="auto"/>
      </w:divBdr>
    </w:div>
    <w:div w:id="1364597393">
      <w:bodyDiv w:val="1"/>
      <w:marLeft w:val="0"/>
      <w:marRight w:val="0"/>
      <w:marTop w:val="0"/>
      <w:marBottom w:val="0"/>
      <w:divBdr>
        <w:top w:val="none" w:sz="0" w:space="0" w:color="auto"/>
        <w:left w:val="none" w:sz="0" w:space="0" w:color="auto"/>
        <w:bottom w:val="none" w:sz="0" w:space="0" w:color="auto"/>
        <w:right w:val="none" w:sz="0" w:space="0" w:color="auto"/>
      </w:divBdr>
      <w:divsChild>
        <w:div w:id="587270683">
          <w:marLeft w:val="0"/>
          <w:marRight w:val="0"/>
          <w:marTop w:val="0"/>
          <w:marBottom w:val="150"/>
          <w:divBdr>
            <w:top w:val="none" w:sz="0" w:space="0" w:color="auto"/>
            <w:left w:val="none" w:sz="0" w:space="0" w:color="auto"/>
            <w:bottom w:val="none" w:sz="0" w:space="0" w:color="auto"/>
            <w:right w:val="none" w:sz="0" w:space="0" w:color="auto"/>
          </w:divBdr>
          <w:divsChild>
            <w:div w:id="1268347736">
              <w:marLeft w:val="0"/>
              <w:marRight w:val="0"/>
              <w:marTop w:val="0"/>
              <w:marBottom w:val="0"/>
              <w:divBdr>
                <w:top w:val="none" w:sz="0" w:space="0" w:color="auto"/>
                <w:left w:val="none" w:sz="0" w:space="0" w:color="auto"/>
                <w:bottom w:val="none" w:sz="0" w:space="0" w:color="auto"/>
                <w:right w:val="none" w:sz="0" w:space="0" w:color="auto"/>
              </w:divBdr>
              <w:divsChild>
                <w:div w:id="304242863">
                  <w:marLeft w:val="0"/>
                  <w:marRight w:val="0"/>
                  <w:marTop w:val="0"/>
                  <w:marBottom w:val="0"/>
                  <w:divBdr>
                    <w:top w:val="none" w:sz="0" w:space="0" w:color="auto"/>
                    <w:left w:val="none" w:sz="0" w:space="0" w:color="auto"/>
                    <w:bottom w:val="none" w:sz="0" w:space="0" w:color="auto"/>
                    <w:right w:val="none" w:sz="0" w:space="0" w:color="auto"/>
                  </w:divBdr>
                  <w:divsChild>
                    <w:div w:id="318462609">
                      <w:marLeft w:val="0"/>
                      <w:marRight w:val="150"/>
                      <w:marTop w:val="0"/>
                      <w:marBottom w:val="0"/>
                      <w:divBdr>
                        <w:top w:val="none" w:sz="0" w:space="0" w:color="auto"/>
                        <w:left w:val="none" w:sz="0" w:space="0" w:color="auto"/>
                        <w:bottom w:val="none" w:sz="0" w:space="0" w:color="auto"/>
                        <w:right w:val="none" w:sz="0" w:space="0" w:color="auto"/>
                      </w:divBdr>
                      <w:divsChild>
                        <w:div w:id="142981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458449">
          <w:marLeft w:val="0"/>
          <w:marRight w:val="0"/>
          <w:marTop w:val="0"/>
          <w:marBottom w:val="150"/>
          <w:divBdr>
            <w:top w:val="none" w:sz="0" w:space="0" w:color="auto"/>
            <w:left w:val="none" w:sz="0" w:space="0" w:color="auto"/>
            <w:bottom w:val="none" w:sz="0" w:space="0" w:color="auto"/>
            <w:right w:val="none" w:sz="0" w:space="0" w:color="auto"/>
          </w:divBdr>
        </w:div>
        <w:div w:id="1049454408">
          <w:marLeft w:val="0"/>
          <w:marRight w:val="0"/>
          <w:marTop w:val="0"/>
          <w:marBottom w:val="0"/>
          <w:divBdr>
            <w:top w:val="none" w:sz="0" w:space="0" w:color="auto"/>
            <w:left w:val="none" w:sz="0" w:space="0" w:color="auto"/>
            <w:bottom w:val="none" w:sz="0" w:space="0" w:color="auto"/>
            <w:right w:val="none" w:sz="0" w:space="0" w:color="auto"/>
          </w:divBdr>
          <w:divsChild>
            <w:div w:id="58349461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65982489">
      <w:bodyDiv w:val="1"/>
      <w:marLeft w:val="0"/>
      <w:marRight w:val="0"/>
      <w:marTop w:val="0"/>
      <w:marBottom w:val="0"/>
      <w:divBdr>
        <w:top w:val="none" w:sz="0" w:space="0" w:color="auto"/>
        <w:left w:val="none" w:sz="0" w:space="0" w:color="auto"/>
        <w:bottom w:val="none" w:sz="0" w:space="0" w:color="auto"/>
        <w:right w:val="none" w:sz="0" w:space="0" w:color="auto"/>
      </w:divBdr>
      <w:divsChild>
        <w:div w:id="381440595">
          <w:marLeft w:val="0"/>
          <w:marRight w:val="0"/>
          <w:marTop w:val="0"/>
          <w:marBottom w:val="0"/>
          <w:divBdr>
            <w:top w:val="none" w:sz="0" w:space="0" w:color="auto"/>
            <w:left w:val="none" w:sz="0" w:space="0" w:color="auto"/>
            <w:bottom w:val="none" w:sz="0" w:space="0" w:color="auto"/>
            <w:right w:val="none" w:sz="0" w:space="0" w:color="auto"/>
          </w:divBdr>
        </w:div>
      </w:divsChild>
    </w:div>
    <w:div w:id="1366098156">
      <w:bodyDiv w:val="1"/>
      <w:marLeft w:val="0"/>
      <w:marRight w:val="0"/>
      <w:marTop w:val="0"/>
      <w:marBottom w:val="0"/>
      <w:divBdr>
        <w:top w:val="none" w:sz="0" w:space="0" w:color="auto"/>
        <w:left w:val="none" w:sz="0" w:space="0" w:color="auto"/>
        <w:bottom w:val="none" w:sz="0" w:space="0" w:color="auto"/>
        <w:right w:val="none" w:sz="0" w:space="0" w:color="auto"/>
      </w:divBdr>
      <w:divsChild>
        <w:div w:id="316342379">
          <w:marLeft w:val="0"/>
          <w:marRight w:val="0"/>
          <w:marTop w:val="0"/>
          <w:marBottom w:val="150"/>
          <w:divBdr>
            <w:top w:val="none" w:sz="0" w:space="0" w:color="auto"/>
            <w:left w:val="none" w:sz="0" w:space="0" w:color="auto"/>
            <w:bottom w:val="none" w:sz="0" w:space="0" w:color="auto"/>
            <w:right w:val="none" w:sz="0" w:space="0" w:color="auto"/>
          </w:divBdr>
          <w:divsChild>
            <w:div w:id="112096291">
              <w:marLeft w:val="0"/>
              <w:marRight w:val="0"/>
              <w:marTop w:val="0"/>
              <w:marBottom w:val="0"/>
              <w:divBdr>
                <w:top w:val="none" w:sz="0" w:space="0" w:color="auto"/>
                <w:left w:val="none" w:sz="0" w:space="0" w:color="auto"/>
                <w:bottom w:val="none" w:sz="0" w:space="0" w:color="auto"/>
                <w:right w:val="none" w:sz="0" w:space="0" w:color="auto"/>
              </w:divBdr>
              <w:divsChild>
                <w:div w:id="196130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7405">
          <w:marLeft w:val="0"/>
          <w:marRight w:val="0"/>
          <w:marTop w:val="0"/>
          <w:marBottom w:val="150"/>
          <w:divBdr>
            <w:top w:val="none" w:sz="0" w:space="0" w:color="auto"/>
            <w:left w:val="none" w:sz="0" w:space="0" w:color="auto"/>
            <w:bottom w:val="none" w:sz="0" w:space="0" w:color="auto"/>
            <w:right w:val="none" w:sz="0" w:space="0" w:color="auto"/>
          </w:divBdr>
        </w:div>
        <w:div w:id="1526014063">
          <w:marLeft w:val="0"/>
          <w:marRight w:val="0"/>
          <w:marTop w:val="0"/>
          <w:marBottom w:val="0"/>
          <w:divBdr>
            <w:top w:val="none" w:sz="0" w:space="0" w:color="auto"/>
            <w:left w:val="none" w:sz="0" w:space="0" w:color="auto"/>
            <w:bottom w:val="none" w:sz="0" w:space="0" w:color="auto"/>
            <w:right w:val="none" w:sz="0" w:space="0" w:color="auto"/>
          </w:divBdr>
          <w:divsChild>
            <w:div w:id="123149664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66176910">
      <w:bodyDiv w:val="1"/>
      <w:marLeft w:val="0"/>
      <w:marRight w:val="0"/>
      <w:marTop w:val="0"/>
      <w:marBottom w:val="0"/>
      <w:divBdr>
        <w:top w:val="none" w:sz="0" w:space="0" w:color="auto"/>
        <w:left w:val="none" w:sz="0" w:space="0" w:color="auto"/>
        <w:bottom w:val="none" w:sz="0" w:space="0" w:color="auto"/>
        <w:right w:val="none" w:sz="0" w:space="0" w:color="auto"/>
      </w:divBdr>
      <w:divsChild>
        <w:div w:id="1771975329">
          <w:marLeft w:val="0"/>
          <w:marRight w:val="0"/>
          <w:marTop w:val="0"/>
          <w:marBottom w:val="0"/>
          <w:divBdr>
            <w:top w:val="none" w:sz="0" w:space="0" w:color="auto"/>
            <w:left w:val="none" w:sz="0" w:space="0" w:color="auto"/>
            <w:bottom w:val="none" w:sz="0" w:space="0" w:color="auto"/>
            <w:right w:val="none" w:sz="0" w:space="0" w:color="auto"/>
          </w:divBdr>
          <w:divsChild>
            <w:div w:id="1668824511">
              <w:marLeft w:val="0"/>
              <w:marRight w:val="0"/>
              <w:marTop w:val="0"/>
              <w:marBottom w:val="0"/>
              <w:divBdr>
                <w:top w:val="none" w:sz="0" w:space="0" w:color="auto"/>
                <w:left w:val="none" w:sz="0" w:space="0" w:color="auto"/>
                <w:bottom w:val="none" w:sz="0" w:space="0" w:color="auto"/>
                <w:right w:val="none" w:sz="0" w:space="0" w:color="auto"/>
              </w:divBdr>
              <w:divsChild>
                <w:div w:id="502278433">
                  <w:marLeft w:val="0"/>
                  <w:marRight w:val="0"/>
                  <w:marTop w:val="0"/>
                  <w:marBottom w:val="0"/>
                  <w:divBdr>
                    <w:top w:val="none" w:sz="0" w:space="0" w:color="auto"/>
                    <w:left w:val="none" w:sz="0" w:space="0" w:color="auto"/>
                    <w:bottom w:val="none" w:sz="0" w:space="0" w:color="auto"/>
                    <w:right w:val="none" w:sz="0" w:space="0" w:color="auto"/>
                  </w:divBdr>
                  <w:divsChild>
                    <w:div w:id="1811167754">
                      <w:marLeft w:val="0"/>
                      <w:marRight w:val="0"/>
                      <w:marTop w:val="0"/>
                      <w:marBottom w:val="0"/>
                      <w:divBdr>
                        <w:top w:val="none" w:sz="0" w:space="0" w:color="auto"/>
                        <w:left w:val="none" w:sz="0" w:space="0" w:color="auto"/>
                        <w:bottom w:val="none" w:sz="0" w:space="0" w:color="auto"/>
                        <w:right w:val="none" w:sz="0" w:space="0" w:color="auto"/>
                      </w:divBdr>
                      <w:divsChild>
                        <w:div w:id="1833330314">
                          <w:marLeft w:val="0"/>
                          <w:marRight w:val="0"/>
                          <w:marTop w:val="0"/>
                          <w:marBottom w:val="0"/>
                          <w:divBdr>
                            <w:top w:val="none" w:sz="0" w:space="0" w:color="auto"/>
                            <w:left w:val="none" w:sz="0" w:space="0" w:color="auto"/>
                            <w:bottom w:val="none" w:sz="0" w:space="0" w:color="auto"/>
                            <w:right w:val="none" w:sz="0" w:space="0" w:color="auto"/>
                          </w:divBdr>
                          <w:divsChild>
                            <w:div w:id="86378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482250">
      <w:bodyDiv w:val="1"/>
      <w:marLeft w:val="0"/>
      <w:marRight w:val="0"/>
      <w:marTop w:val="0"/>
      <w:marBottom w:val="0"/>
      <w:divBdr>
        <w:top w:val="none" w:sz="0" w:space="0" w:color="auto"/>
        <w:left w:val="none" w:sz="0" w:space="0" w:color="auto"/>
        <w:bottom w:val="none" w:sz="0" w:space="0" w:color="auto"/>
        <w:right w:val="none" w:sz="0" w:space="0" w:color="auto"/>
      </w:divBdr>
    </w:div>
    <w:div w:id="1367828093">
      <w:bodyDiv w:val="1"/>
      <w:marLeft w:val="0"/>
      <w:marRight w:val="0"/>
      <w:marTop w:val="0"/>
      <w:marBottom w:val="0"/>
      <w:divBdr>
        <w:top w:val="none" w:sz="0" w:space="0" w:color="auto"/>
        <w:left w:val="none" w:sz="0" w:space="0" w:color="auto"/>
        <w:bottom w:val="none" w:sz="0" w:space="0" w:color="auto"/>
        <w:right w:val="none" w:sz="0" w:space="0" w:color="auto"/>
      </w:divBdr>
    </w:div>
    <w:div w:id="1368141853">
      <w:bodyDiv w:val="1"/>
      <w:marLeft w:val="0"/>
      <w:marRight w:val="0"/>
      <w:marTop w:val="0"/>
      <w:marBottom w:val="0"/>
      <w:divBdr>
        <w:top w:val="none" w:sz="0" w:space="0" w:color="auto"/>
        <w:left w:val="none" w:sz="0" w:space="0" w:color="auto"/>
        <w:bottom w:val="none" w:sz="0" w:space="0" w:color="auto"/>
        <w:right w:val="none" w:sz="0" w:space="0" w:color="auto"/>
      </w:divBdr>
    </w:div>
    <w:div w:id="1368333545">
      <w:bodyDiv w:val="1"/>
      <w:marLeft w:val="0"/>
      <w:marRight w:val="0"/>
      <w:marTop w:val="0"/>
      <w:marBottom w:val="0"/>
      <w:divBdr>
        <w:top w:val="none" w:sz="0" w:space="0" w:color="auto"/>
        <w:left w:val="none" w:sz="0" w:space="0" w:color="auto"/>
        <w:bottom w:val="none" w:sz="0" w:space="0" w:color="auto"/>
        <w:right w:val="none" w:sz="0" w:space="0" w:color="auto"/>
      </w:divBdr>
      <w:divsChild>
        <w:div w:id="552692472">
          <w:marLeft w:val="0"/>
          <w:marRight w:val="0"/>
          <w:marTop w:val="0"/>
          <w:marBottom w:val="0"/>
          <w:divBdr>
            <w:top w:val="none" w:sz="0" w:space="0" w:color="auto"/>
            <w:left w:val="none" w:sz="0" w:space="0" w:color="auto"/>
            <w:bottom w:val="dotted" w:sz="6" w:space="4" w:color="DDDDDD"/>
            <w:right w:val="none" w:sz="0" w:space="0" w:color="auto"/>
          </w:divBdr>
          <w:divsChild>
            <w:div w:id="119730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798224">
      <w:bodyDiv w:val="1"/>
      <w:marLeft w:val="0"/>
      <w:marRight w:val="0"/>
      <w:marTop w:val="0"/>
      <w:marBottom w:val="0"/>
      <w:divBdr>
        <w:top w:val="none" w:sz="0" w:space="0" w:color="auto"/>
        <w:left w:val="none" w:sz="0" w:space="0" w:color="auto"/>
        <w:bottom w:val="none" w:sz="0" w:space="0" w:color="auto"/>
        <w:right w:val="none" w:sz="0" w:space="0" w:color="auto"/>
      </w:divBdr>
      <w:divsChild>
        <w:div w:id="1411805441">
          <w:marLeft w:val="0"/>
          <w:marRight w:val="0"/>
          <w:marTop w:val="300"/>
          <w:marBottom w:val="0"/>
          <w:divBdr>
            <w:top w:val="none" w:sz="0" w:space="0" w:color="auto"/>
            <w:left w:val="none" w:sz="0" w:space="0" w:color="auto"/>
            <w:bottom w:val="none" w:sz="0" w:space="0" w:color="auto"/>
            <w:right w:val="none" w:sz="0" w:space="0" w:color="auto"/>
          </w:divBdr>
          <w:divsChild>
            <w:div w:id="1413888246">
              <w:marLeft w:val="0"/>
              <w:marRight w:val="0"/>
              <w:marTop w:val="0"/>
              <w:marBottom w:val="0"/>
              <w:divBdr>
                <w:top w:val="none" w:sz="0" w:space="0" w:color="auto"/>
                <w:left w:val="none" w:sz="0" w:space="0" w:color="auto"/>
                <w:bottom w:val="none" w:sz="0" w:space="0" w:color="auto"/>
                <w:right w:val="none" w:sz="0" w:space="0" w:color="auto"/>
              </w:divBdr>
              <w:divsChild>
                <w:div w:id="1150168593">
                  <w:marLeft w:val="0"/>
                  <w:marRight w:val="0"/>
                  <w:marTop w:val="150"/>
                  <w:marBottom w:val="0"/>
                  <w:divBdr>
                    <w:top w:val="none" w:sz="0" w:space="0" w:color="auto"/>
                    <w:left w:val="none" w:sz="0" w:space="0" w:color="auto"/>
                    <w:bottom w:val="none" w:sz="0" w:space="0" w:color="auto"/>
                    <w:right w:val="none" w:sz="0" w:space="0" w:color="auto"/>
                  </w:divBdr>
                  <w:divsChild>
                    <w:div w:id="1565020404">
                      <w:marLeft w:val="0"/>
                      <w:marRight w:val="0"/>
                      <w:marTop w:val="0"/>
                      <w:marBottom w:val="0"/>
                      <w:divBdr>
                        <w:top w:val="none" w:sz="0" w:space="0" w:color="auto"/>
                        <w:left w:val="none" w:sz="0" w:space="0" w:color="auto"/>
                        <w:bottom w:val="none" w:sz="0" w:space="0" w:color="auto"/>
                        <w:right w:val="none" w:sz="0" w:space="0" w:color="auto"/>
                      </w:divBdr>
                      <w:divsChild>
                        <w:div w:id="637615741">
                          <w:marLeft w:val="0"/>
                          <w:marRight w:val="0"/>
                          <w:marTop w:val="0"/>
                          <w:marBottom w:val="0"/>
                          <w:divBdr>
                            <w:top w:val="none" w:sz="0" w:space="0" w:color="auto"/>
                            <w:left w:val="none" w:sz="0" w:space="0" w:color="auto"/>
                            <w:bottom w:val="none" w:sz="0" w:space="0" w:color="auto"/>
                            <w:right w:val="none" w:sz="0" w:space="0" w:color="auto"/>
                          </w:divBdr>
                        </w:div>
                        <w:div w:id="174105375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79336594">
                  <w:marLeft w:val="0"/>
                  <w:marRight w:val="0"/>
                  <w:marTop w:val="0"/>
                  <w:marBottom w:val="0"/>
                  <w:divBdr>
                    <w:top w:val="none" w:sz="0" w:space="0" w:color="auto"/>
                    <w:left w:val="none" w:sz="0" w:space="0" w:color="auto"/>
                    <w:bottom w:val="none" w:sz="0" w:space="0" w:color="auto"/>
                    <w:right w:val="none" w:sz="0" w:space="0" w:color="auto"/>
                  </w:divBdr>
                  <w:divsChild>
                    <w:div w:id="125863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262348">
      <w:bodyDiv w:val="1"/>
      <w:marLeft w:val="0"/>
      <w:marRight w:val="0"/>
      <w:marTop w:val="0"/>
      <w:marBottom w:val="0"/>
      <w:divBdr>
        <w:top w:val="none" w:sz="0" w:space="0" w:color="auto"/>
        <w:left w:val="none" w:sz="0" w:space="0" w:color="auto"/>
        <w:bottom w:val="none" w:sz="0" w:space="0" w:color="auto"/>
        <w:right w:val="none" w:sz="0" w:space="0" w:color="auto"/>
      </w:divBdr>
      <w:divsChild>
        <w:div w:id="175266573">
          <w:marLeft w:val="0"/>
          <w:marRight w:val="0"/>
          <w:marTop w:val="0"/>
          <w:marBottom w:val="150"/>
          <w:divBdr>
            <w:top w:val="none" w:sz="0" w:space="0" w:color="auto"/>
            <w:left w:val="none" w:sz="0" w:space="0" w:color="auto"/>
            <w:bottom w:val="none" w:sz="0" w:space="0" w:color="auto"/>
            <w:right w:val="none" w:sz="0" w:space="0" w:color="auto"/>
          </w:divBdr>
          <w:divsChild>
            <w:div w:id="716247268">
              <w:marLeft w:val="0"/>
              <w:marRight w:val="0"/>
              <w:marTop w:val="0"/>
              <w:marBottom w:val="0"/>
              <w:divBdr>
                <w:top w:val="none" w:sz="0" w:space="0" w:color="auto"/>
                <w:left w:val="none" w:sz="0" w:space="0" w:color="auto"/>
                <w:bottom w:val="none" w:sz="0" w:space="0" w:color="auto"/>
                <w:right w:val="none" w:sz="0" w:space="0" w:color="auto"/>
              </w:divBdr>
              <w:divsChild>
                <w:div w:id="119041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288079">
          <w:marLeft w:val="0"/>
          <w:marRight w:val="0"/>
          <w:marTop w:val="0"/>
          <w:marBottom w:val="150"/>
          <w:divBdr>
            <w:top w:val="none" w:sz="0" w:space="0" w:color="auto"/>
            <w:left w:val="none" w:sz="0" w:space="0" w:color="auto"/>
            <w:bottom w:val="none" w:sz="0" w:space="0" w:color="auto"/>
            <w:right w:val="none" w:sz="0" w:space="0" w:color="auto"/>
          </w:divBdr>
        </w:div>
        <w:div w:id="2094159817">
          <w:marLeft w:val="0"/>
          <w:marRight w:val="0"/>
          <w:marTop w:val="0"/>
          <w:marBottom w:val="0"/>
          <w:divBdr>
            <w:top w:val="none" w:sz="0" w:space="0" w:color="auto"/>
            <w:left w:val="none" w:sz="0" w:space="0" w:color="auto"/>
            <w:bottom w:val="none" w:sz="0" w:space="0" w:color="auto"/>
            <w:right w:val="none" w:sz="0" w:space="0" w:color="auto"/>
          </w:divBdr>
          <w:divsChild>
            <w:div w:id="14602211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69378699">
      <w:bodyDiv w:val="1"/>
      <w:marLeft w:val="0"/>
      <w:marRight w:val="0"/>
      <w:marTop w:val="0"/>
      <w:marBottom w:val="0"/>
      <w:divBdr>
        <w:top w:val="none" w:sz="0" w:space="0" w:color="auto"/>
        <w:left w:val="none" w:sz="0" w:space="0" w:color="auto"/>
        <w:bottom w:val="none" w:sz="0" w:space="0" w:color="auto"/>
        <w:right w:val="none" w:sz="0" w:space="0" w:color="auto"/>
      </w:divBdr>
      <w:divsChild>
        <w:div w:id="65542011">
          <w:marLeft w:val="0"/>
          <w:marRight w:val="0"/>
          <w:marTop w:val="0"/>
          <w:marBottom w:val="150"/>
          <w:divBdr>
            <w:top w:val="none" w:sz="0" w:space="0" w:color="auto"/>
            <w:left w:val="none" w:sz="0" w:space="0" w:color="auto"/>
            <w:bottom w:val="none" w:sz="0" w:space="0" w:color="auto"/>
            <w:right w:val="none" w:sz="0" w:space="0" w:color="auto"/>
          </w:divBdr>
        </w:div>
        <w:div w:id="351499418">
          <w:marLeft w:val="0"/>
          <w:marRight w:val="0"/>
          <w:marTop w:val="0"/>
          <w:marBottom w:val="0"/>
          <w:divBdr>
            <w:top w:val="none" w:sz="0" w:space="0" w:color="auto"/>
            <w:left w:val="none" w:sz="0" w:space="0" w:color="auto"/>
            <w:bottom w:val="none" w:sz="0" w:space="0" w:color="auto"/>
            <w:right w:val="none" w:sz="0" w:space="0" w:color="auto"/>
          </w:divBdr>
          <w:divsChild>
            <w:div w:id="16519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447791">
      <w:bodyDiv w:val="1"/>
      <w:marLeft w:val="0"/>
      <w:marRight w:val="0"/>
      <w:marTop w:val="0"/>
      <w:marBottom w:val="0"/>
      <w:divBdr>
        <w:top w:val="none" w:sz="0" w:space="0" w:color="auto"/>
        <w:left w:val="none" w:sz="0" w:space="0" w:color="auto"/>
        <w:bottom w:val="none" w:sz="0" w:space="0" w:color="auto"/>
        <w:right w:val="none" w:sz="0" w:space="0" w:color="auto"/>
      </w:divBdr>
    </w:div>
    <w:div w:id="1369717329">
      <w:bodyDiv w:val="1"/>
      <w:marLeft w:val="0"/>
      <w:marRight w:val="0"/>
      <w:marTop w:val="0"/>
      <w:marBottom w:val="0"/>
      <w:divBdr>
        <w:top w:val="none" w:sz="0" w:space="0" w:color="auto"/>
        <w:left w:val="none" w:sz="0" w:space="0" w:color="auto"/>
        <w:bottom w:val="none" w:sz="0" w:space="0" w:color="auto"/>
        <w:right w:val="none" w:sz="0" w:space="0" w:color="auto"/>
      </w:divBdr>
      <w:divsChild>
        <w:div w:id="700403619">
          <w:marLeft w:val="0"/>
          <w:marRight w:val="0"/>
          <w:marTop w:val="0"/>
          <w:marBottom w:val="0"/>
          <w:divBdr>
            <w:top w:val="none" w:sz="0" w:space="0" w:color="auto"/>
            <w:left w:val="none" w:sz="0" w:space="0" w:color="auto"/>
            <w:bottom w:val="none" w:sz="0" w:space="0" w:color="auto"/>
            <w:right w:val="none" w:sz="0" w:space="0" w:color="auto"/>
          </w:divBdr>
          <w:divsChild>
            <w:div w:id="305547030">
              <w:marLeft w:val="0"/>
              <w:marRight w:val="0"/>
              <w:marTop w:val="0"/>
              <w:marBottom w:val="0"/>
              <w:divBdr>
                <w:top w:val="none" w:sz="0" w:space="0" w:color="auto"/>
                <w:left w:val="none" w:sz="0" w:space="0" w:color="auto"/>
                <w:bottom w:val="none" w:sz="0" w:space="0" w:color="auto"/>
                <w:right w:val="none" w:sz="0" w:space="0" w:color="auto"/>
              </w:divBdr>
              <w:divsChild>
                <w:div w:id="1518303277">
                  <w:marLeft w:val="0"/>
                  <w:marRight w:val="0"/>
                  <w:marTop w:val="0"/>
                  <w:marBottom w:val="0"/>
                  <w:divBdr>
                    <w:top w:val="none" w:sz="0" w:space="0" w:color="auto"/>
                    <w:left w:val="none" w:sz="0" w:space="0" w:color="auto"/>
                    <w:bottom w:val="none" w:sz="0" w:space="0" w:color="auto"/>
                    <w:right w:val="none" w:sz="0" w:space="0" w:color="auto"/>
                  </w:divBdr>
                  <w:divsChild>
                    <w:div w:id="1069235150">
                      <w:marLeft w:val="0"/>
                      <w:marRight w:val="0"/>
                      <w:marTop w:val="0"/>
                      <w:marBottom w:val="0"/>
                      <w:divBdr>
                        <w:top w:val="none" w:sz="0" w:space="0" w:color="auto"/>
                        <w:left w:val="none" w:sz="0" w:space="0" w:color="auto"/>
                        <w:bottom w:val="none" w:sz="0" w:space="0" w:color="auto"/>
                        <w:right w:val="none" w:sz="0" w:space="0" w:color="auto"/>
                      </w:divBdr>
                      <w:divsChild>
                        <w:div w:id="306979100">
                          <w:marLeft w:val="0"/>
                          <w:marRight w:val="0"/>
                          <w:marTop w:val="0"/>
                          <w:marBottom w:val="0"/>
                          <w:divBdr>
                            <w:top w:val="none" w:sz="0" w:space="0" w:color="auto"/>
                            <w:left w:val="none" w:sz="0" w:space="0" w:color="auto"/>
                            <w:bottom w:val="none" w:sz="0" w:space="0" w:color="auto"/>
                            <w:right w:val="none" w:sz="0" w:space="0" w:color="auto"/>
                          </w:divBdr>
                          <w:divsChild>
                            <w:div w:id="117364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263265">
          <w:marLeft w:val="0"/>
          <w:marRight w:val="0"/>
          <w:marTop w:val="0"/>
          <w:marBottom w:val="0"/>
          <w:divBdr>
            <w:top w:val="none" w:sz="0" w:space="0" w:color="auto"/>
            <w:left w:val="none" w:sz="0" w:space="0" w:color="auto"/>
            <w:bottom w:val="none" w:sz="0" w:space="0" w:color="auto"/>
            <w:right w:val="none" w:sz="0" w:space="0" w:color="auto"/>
          </w:divBdr>
          <w:divsChild>
            <w:div w:id="272173257">
              <w:marLeft w:val="0"/>
              <w:marRight w:val="0"/>
              <w:marTop w:val="0"/>
              <w:marBottom w:val="300"/>
              <w:divBdr>
                <w:top w:val="none" w:sz="0" w:space="0" w:color="auto"/>
                <w:left w:val="none" w:sz="0" w:space="0" w:color="auto"/>
                <w:bottom w:val="single" w:sz="6" w:space="0" w:color="F1F1F1"/>
                <w:right w:val="none" w:sz="0" w:space="0" w:color="auto"/>
              </w:divBdr>
              <w:divsChild>
                <w:div w:id="6136391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369918082">
      <w:bodyDiv w:val="1"/>
      <w:marLeft w:val="0"/>
      <w:marRight w:val="0"/>
      <w:marTop w:val="0"/>
      <w:marBottom w:val="0"/>
      <w:divBdr>
        <w:top w:val="none" w:sz="0" w:space="0" w:color="auto"/>
        <w:left w:val="none" w:sz="0" w:space="0" w:color="auto"/>
        <w:bottom w:val="none" w:sz="0" w:space="0" w:color="auto"/>
        <w:right w:val="none" w:sz="0" w:space="0" w:color="auto"/>
      </w:divBdr>
      <w:divsChild>
        <w:div w:id="1682009374">
          <w:marLeft w:val="0"/>
          <w:marRight w:val="0"/>
          <w:marTop w:val="0"/>
          <w:marBottom w:val="0"/>
          <w:divBdr>
            <w:top w:val="none" w:sz="0" w:space="0" w:color="auto"/>
            <w:left w:val="none" w:sz="0" w:space="0" w:color="auto"/>
            <w:bottom w:val="dotted" w:sz="6" w:space="4" w:color="DDDDDD"/>
            <w:right w:val="none" w:sz="0" w:space="0" w:color="auto"/>
          </w:divBdr>
          <w:divsChild>
            <w:div w:id="110789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035754">
      <w:bodyDiv w:val="1"/>
      <w:marLeft w:val="0"/>
      <w:marRight w:val="0"/>
      <w:marTop w:val="0"/>
      <w:marBottom w:val="0"/>
      <w:divBdr>
        <w:top w:val="none" w:sz="0" w:space="0" w:color="auto"/>
        <w:left w:val="none" w:sz="0" w:space="0" w:color="auto"/>
        <w:bottom w:val="none" w:sz="0" w:space="0" w:color="auto"/>
        <w:right w:val="none" w:sz="0" w:space="0" w:color="auto"/>
      </w:divBdr>
    </w:div>
    <w:div w:id="1370107040">
      <w:bodyDiv w:val="1"/>
      <w:marLeft w:val="0"/>
      <w:marRight w:val="0"/>
      <w:marTop w:val="0"/>
      <w:marBottom w:val="0"/>
      <w:divBdr>
        <w:top w:val="none" w:sz="0" w:space="0" w:color="auto"/>
        <w:left w:val="none" w:sz="0" w:space="0" w:color="auto"/>
        <w:bottom w:val="none" w:sz="0" w:space="0" w:color="auto"/>
        <w:right w:val="none" w:sz="0" w:space="0" w:color="auto"/>
      </w:divBdr>
    </w:div>
    <w:div w:id="1370376512">
      <w:bodyDiv w:val="1"/>
      <w:marLeft w:val="0"/>
      <w:marRight w:val="0"/>
      <w:marTop w:val="0"/>
      <w:marBottom w:val="0"/>
      <w:divBdr>
        <w:top w:val="none" w:sz="0" w:space="0" w:color="auto"/>
        <w:left w:val="none" w:sz="0" w:space="0" w:color="auto"/>
        <w:bottom w:val="none" w:sz="0" w:space="0" w:color="auto"/>
        <w:right w:val="none" w:sz="0" w:space="0" w:color="auto"/>
      </w:divBdr>
      <w:divsChild>
        <w:div w:id="18356552">
          <w:marLeft w:val="0"/>
          <w:marRight w:val="0"/>
          <w:marTop w:val="0"/>
          <w:marBottom w:val="150"/>
          <w:divBdr>
            <w:top w:val="none" w:sz="0" w:space="0" w:color="auto"/>
            <w:left w:val="none" w:sz="0" w:space="0" w:color="auto"/>
            <w:bottom w:val="none" w:sz="0" w:space="0" w:color="auto"/>
            <w:right w:val="none" w:sz="0" w:space="0" w:color="auto"/>
          </w:divBdr>
        </w:div>
        <w:div w:id="262423075">
          <w:marLeft w:val="0"/>
          <w:marRight w:val="0"/>
          <w:marTop w:val="0"/>
          <w:marBottom w:val="150"/>
          <w:divBdr>
            <w:top w:val="none" w:sz="0" w:space="0" w:color="auto"/>
            <w:left w:val="none" w:sz="0" w:space="0" w:color="auto"/>
            <w:bottom w:val="none" w:sz="0" w:space="0" w:color="auto"/>
            <w:right w:val="none" w:sz="0" w:space="0" w:color="auto"/>
          </w:divBdr>
        </w:div>
        <w:div w:id="661812862">
          <w:marLeft w:val="0"/>
          <w:marRight w:val="0"/>
          <w:marTop w:val="0"/>
          <w:marBottom w:val="150"/>
          <w:divBdr>
            <w:top w:val="none" w:sz="0" w:space="0" w:color="auto"/>
            <w:left w:val="none" w:sz="0" w:space="0" w:color="auto"/>
            <w:bottom w:val="none" w:sz="0" w:space="0" w:color="auto"/>
            <w:right w:val="none" w:sz="0" w:space="0" w:color="auto"/>
          </w:divBdr>
        </w:div>
        <w:div w:id="662857861">
          <w:marLeft w:val="0"/>
          <w:marRight w:val="0"/>
          <w:marTop w:val="0"/>
          <w:marBottom w:val="150"/>
          <w:divBdr>
            <w:top w:val="none" w:sz="0" w:space="0" w:color="auto"/>
            <w:left w:val="none" w:sz="0" w:space="0" w:color="auto"/>
            <w:bottom w:val="none" w:sz="0" w:space="0" w:color="auto"/>
            <w:right w:val="none" w:sz="0" w:space="0" w:color="auto"/>
          </w:divBdr>
        </w:div>
        <w:div w:id="678971185">
          <w:marLeft w:val="0"/>
          <w:marRight w:val="0"/>
          <w:marTop w:val="0"/>
          <w:marBottom w:val="150"/>
          <w:divBdr>
            <w:top w:val="none" w:sz="0" w:space="0" w:color="auto"/>
            <w:left w:val="none" w:sz="0" w:space="0" w:color="auto"/>
            <w:bottom w:val="none" w:sz="0" w:space="0" w:color="auto"/>
            <w:right w:val="none" w:sz="0" w:space="0" w:color="auto"/>
          </w:divBdr>
        </w:div>
        <w:div w:id="765150532">
          <w:marLeft w:val="0"/>
          <w:marRight w:val="0"/>
          <w:marTop w:val="0"/>
          <w:marBottom w:val="150"/>
          <w:divBdr>
            <w:top w:val="none" w:sz="0" w:space="0" w:color="auto"/>
            <w:left w:val="none" w:sz="0" w:space="0" w:color="auto"/>
            <w:bottom w:val="none" w:sz="0" w:space="0" w:color="auto"/>
            <w:right w:val="none" w:sz="0" w:space="0" w:color="auto"/>
          </w:divBdr>
        </w:div>
        <w:div w:id="778139340">
          <w:marLeft w:val="0"/>
          <w:marRight w:val="0"/>
          <w:marTop w:val="0"/>
          <w:marBottom w:val="150"/>
          <w:divBdr>
            <w:top w:val="none" w:sz="0" w:space="0" w:color="auto"/>
            <w:left w:val="none" w:sz="0" w:space="0" w:color="auto"/>
            <w:bottom w:val="none" w:sz="0" w:space="0" w:color="auto"/>
            <w:right w:val="none" w:sz="0" w:space="0" w:color="auto"/>
          </w:divBdr>
        </w:div>
        <w:div w:id="964579975">
          <w:marLeft w:val="0"/>
          <w:marRight w:val="0"/>
          <w:marTop w:val="0"/>
          <w:marBottom w:val="150"/>
          <w:divBdr>
            <w:top w:val="none" w:sz="0" w:space="0" w:color="auto"/>
            <w:left w:val="none" w:sz="0" w:space="0" w:color="auto"/>
            <w:bottom w:val="none" w:sz="0" w:space="0" w:color="auto"/>
            <w:right w:val="none" w:sz="0" w:space="0" w:color="auto"/>
          </w:divBdr>
        </w:div>
        <w:div w:id="1029797643">
          <w:marLeft w:val="0"/>
          <w:marRight w:val="0"/>
          <w:marTop w:val="0"/>
          <w:marBottom w:val="150"/>
          <w:divBdr>
            <w:top w:val="none" w:sz="0" w:space="0" w:color="auto"/>
            <w:left w:val="none" w:sz="0" w:space="0" w:color="auto"/>
            <w:bottom w:val="none" w:sz="0" w:space="0" w:color="auto"/>
            <w:right w:val="none" w:sz="0" w:space="0" w:color="auto"/>
          </w:divBdr>
        </w:div>
        <w:div w:id="1123503276">
          <w:marLeft w:val="0"/>
          <w:marRight w:val="0"/>
          <w:marTop w:val="0"/>
          <w:marBottom w:val="150"/>
          <w:divBdr>
            <w:top w:val="none" w:sz="0" w:space="0" w:color="auto"/>
            <w:left w:val="none" w:sz="0" w:space="0" w:color="auto"/>
            <w:bottom w:val="none" w:sz="0" w:space="0" w:color="auto"/>
            <w:right w:val="none" w:sz="0" w:space="0" w:color="auto"/>
          </w:divBdr>
          <w:divsChild>
            <w:div w:id="1715502597">
              <w:marLeft w:val="0"/>
              <w:marRight w:val="0"/>
              <w:marTop w:val="0"/>
              <w:marBottom w:val="150"/>
              <w:divBdr>
                <w:top w:val="none" w:sz="0" w:space="0" w:color="auto"/>
                <w:left w:val="none" w:sz="0" w:space="0" w:color="auto"/>
                <w:bottom w:val="none" w:sz="0" w:space="0" w:color="auto"/>
                <w:right w:val="none" w:sz="0" w:space="0" w:color="auto"/>
              </w:divBdr>
              <w:divsChild>
                <w:div w:id="7769469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50653652">
          <w:marLeft w:val="0"/>
          <w:marRight w:val="0"/>
          <w:marTop w:val="0"/>
          <w:marBottom w:val="150"/>
          <w:divBdr>
            <w:top w:val="none" w:sz="0" w:space="0" w:color="auto"/>
            <w:left w:val="none" w:sz="0" w:space="0" w:color="auto"/>
            <w:bottom w:val="none" w:sz="0" w:space="0" w:color="auto"/>
            <w:right w:val="none" w:sz="0" w:space="0" w:color="auto"/>
          </w:divBdr>
        </w:div>
        <w:div w:id="1282222051">
          <w:marLeft w:val="0"/>
          <w:marRight w:val="0"/>
          <w:marTop w:val="0"/>
          <w:marBottom w:val="150"/>
          <w:divBdr>
            <w:top w:val="none" w:sz="0" w:space="0" w:color="auto"/>
            <w:left w:val="none" w:sz="0" w:space="0" w:color="auto"/>
            <w:bottom w:val="none" w:sz="0" w:space="0" w:color="auto"/>
            <w:right w:val="none" w:sz="0" w:space="0" w:color="auto"/>
          </w:divBdr>
        </w:div>
        <w:div w:id="1546792259">
          <w:marLeft w:val="0"/>
          <w:marRight w:val="0"/>
          <w:marTop w:val="0"/>
          <w:marBottom w:val="150"/>
          <w:divBdr>
            <w:top w:val="none" w:sz="0" w:space="0" w:color="auto"/>
            <w:left w:val="none" w:sz="0" w:space="0" w:color="auto"/>
            <w:bottom w:val="none" w:sz="0" w:space="0" w:color="auto"/>
            <w:right w:val="none" w:sz="0" w:space="0" w:color="auto"/>
          </w:divBdr>
        </w:div>
        <w:div w:id="1561403220">
          <w:marLeft w:val="0"/>
          <w:marRight w:val="0"/>
          <w:marTop w:val="0"/>
          <w:marBottom w:val="150"/>
          <w:divBdr>
            <w:top w:val="none" w:sz="0" w:space="0" w:color="auto"/>
            <w:left w:val="none" w:sz="0" w:space="0" w:color="auto"/>
            <w:bottom w:val="none" w:sz="0" w:space="0" w:color="auto"/>
            <w:right w:val="none" w:sz="0" w:space="0" w:color="auto"/>
          </w:divBdr>
        </w:div>
        <w:div w:id="1588080005">
          <w:marLeft w:val="0"/>
          <w:marRight w:val="0"/>
          <w:marTop w:val="0"/>
          <w:marBottom w:val="150"/>
          <w:divBdr>
            <w:top w:val="none" w:sz="0" w:space="0" w:color="auto"/>
            <w:left w:val="none" w:sz="0" w:space="0" w:color="auto"/>
            <w:bottom w:val="none" w:sz="0" w:space="0" w:color="auto"/>
            <w:right w:val="none" w:sz="0" w:space="0" w:color="auto"/>
          </w:divBdr>
        </w:div>
        <w:div w:id="1629780156">
          <w:marLeft w:val="0"/>
          <w:marRight w:val="0"/>
          <w:marTop w:val="0"/>
          <w:marBottom w:val="150"/>
          <w:divBdr>
            <w:top w:val="none" w:sz="0" w:space="0" w:color="auto"/>
            <w:left w:val="none" w:sz="0" w:space="0" w:color="auto"/>
            <w:bottom w:val="none" w:sz="0" w:space="0" w:color="auto"/>
            <w:right w:val="none" w:sz="0" w:space="0" w:color="auto"/>
          </w:divBdr>
        </w:div>
        <w:div w:id="1649088771">
          <w:marLeft w:val="0"/>
          <w:marRight w:val="0"/>
          <w:marTop w:val="0"/>
          <w:marBottom w:val="150"/>
          <w:divBdr>
            <w:top w:val="none" w:sz="0" w:space="0" w:color="auto"/>
            <w:left w:val="none" w:sz="0" w:space="0" w:color="auto"/>
            <w:bottom w:val="none" w:sz="0" w:space="0" w:color="auto"/>
            <w:right w:val="none" w:sz="0" w:space="0" w:color="auto"/>
          </w:divBdr>
        </w:div>
        <w:div w:id="1687366201">
          <w:marLeft w:val="0"/>
          <w:marRight w:val="0"/>
          <w:marTop w:val="0"/>
          <w:marBottom w:val="150"/>
          <w:divBdr>
            <w:top w:val="none" w:sz="0" w:space="0" w:color="auto"/>
            <w:left w:val="none" w:sz="0" w:space="0" w:color="auto"/>
            <w:bottom w:val="none" w:sz="0" w:space="0" w:color="auto"/>
            <w:right w:val="none" w:sz="0" w:space="0" w:color="auto"/>
          </w:divBdr>
        </w:div>
        <w:div w:id="1688678569">
          <w:marLeft w:val="0"/>
          <w:marRight w:val="0"/>
          <w:marTop w:val="0"/>
          <w:marBottom w:val="150"/>
          <w:divBdr>
            <w:top w:val="none" w:sz="0" w:space="0" w:color="auto"/>
            <w:left w:val="none" w:sz="0" w:space="0" w:color="auto"/>
            <w:bottom w:val="none" w:sz="0" w:space="0" w:color="auto"/>
            <w:right w:val="none" w:sz="0" w:space="0" w:color="auto"/>
          </w:divBdr>
        </w:div>
        <w:div w:id="1783765028">
          <w:marLeft w:val="0"/>
          <w:marRight w:val="0"/>
          <w:marTop w:val="0"/>
          <w:marBottom w:val="150"/>
          <w:divBdr>
            <w:top w:val="none" w:sz="0" w:space="0" w:color="auto"/>
            <w:left w:val="none" w:sz="0" w:space="0" w:color="auto"/>
            <w:bottom w:val="none" w:sz="0" w:space="0" w:color="auto"/>
            <w:right w:val="none" w:sz="0" w:space="0" w:color="auto"/>
          </w:divBdr>
        </w:div>
        <w:div w:id="1902786742">
          <w:marLeft w:val="0"/>
          <w:marRight w:val="0"/>
          <w:marTop w:val="0"/>
          <w:marBottom w:val="150"/>
          <w:divBdr>
            <w:top w:val="none" w:sz="0" w:space="0" w:color="auto"/>
            <w:left w:val="none" w:sz="0" w:space="0" w:color="auto"/>
            <w:bottom w:val="none" w:sz="0" w:space="0" w:color="auto"/>
            <w:right w:val="none" w:sz="0" w:space="0" w:color="auto"/>
          </w:divBdr>
        </w:div>
        <w:div w:id="1906648606">
          <w:marLeft w:val="0"/>
          <w:marRight w:val="0"/>
          <w:marTop w:val="0"/>
          <w:marBottom w:val="150"/>
          <w:divBdr>
            <w:top w:val="none" w:sz="0" w:space="0" w:color="auto"/>
            <w:left w:val="none" w:sz="0" w:space="0" w:color="auto"/>
            <w:bottom w:val="none" w:sz="0" w:space="0" w:color="auto"/>
            <w:right w:val="none" w:sz="0" w:space="0" w:color="auto"/>
          </w:divBdr>
        </w:div>
        <w:div w:id="1965889924">
          <w:marLeft w:val="0"/>
          <w:marRight w:val="0"/>
          <w:marTop w:val="0"/>
          <w:marBottom w:val="150"/>
          <w:divBdr>
            <w:top w:val="none" w:sz="0" w:space="0" w:color="auto"/>
            <w:left w:val="none" w:sz="0" w:space="0" w:color="auto"/>
            <w:bottom w:val="none" w:sz="0" w:space="0" w:color="auto"/>
            <w:right w:val="none" w:sz="0" w:space="0" w:color="auto"/>
          </w:divBdr>
        </w:div>
        <w:div w:id="2070105798">
          <w:marLeft w:val="0"/>
          <w:marRight w:val="0"/>
          <w:marTop w:val="0"/>
          <w:marBottom w:val="150"/>
          <w:divBdr>
            <w:top w:val="none" w:sz="0" w:space="0" w:color="auto"/>
            <w:left w:val="none" w:sz="0" w:space="0" w:color="auto"/>
            <w:bottom w:val="none" w:sz="0" w:space="0" w:color="auto"/>
            <w:right w:val="none" w:sz="0" w:space="0" w:color="auto"/>
          </w:divBdr>
        </w:div>
        <w:div w:id="2139640369">
          <w:marLeft w:val="0"/>
          <w:marRight w:val="0"/>
          <w:marTop w:val="0"/>
          <w:marBottom w:val="150"/>
          <w:divBdr>
            <w:top w:val="none" w:sz="0" w:space="0" w:color="auto"/>
            <w:left w:val="none" w:sz="0" w:space="0" w:color="auto"/>
            <w:bottom w:val="none" w:sz="0" w:space="0" w:color="auto"/>
            <w:right w:val="none" w:sz="0" w:space="0" w:color="auto"/>
          </w:divBdr>
        </w:div>
      </w:divsChild>
    </w:div>
    <w:div w:id="1371295032">
      <w:bodyDiv w:val="1"/>
      <w:marLeft w:val="0"/>
      <w:marRight w:val="0"/>
      <w:marTop w:val="0"/>
      <w:marBottom w:val="0"/>
      <w:divBdr>
        <w:top w:val="none" w:sz="0" w:space="0" w:color="auto"/>
        <w:left w:val="none" w:sz="0" w:space="0" w:color="auto"/>
        <w:bottom w:val="none" w:sz="0" w:space="0" w:color="auto"/>
        <w:right w:val="none" w:sz="0" w:space="0" w:color="auto"/>
      </w:divBdr>
      <w:divsChild>
        <w:div w:id="648755501">
          <w:marLeft w:val="0"/>
          <w:marRight w:val="0"/>
          <w:marTop w:val="0"/>
          <w:marBottom w:val="150"/>
          <w:divBdr>
            <w:top w:val="none" w:sz="0" w:space="0" w:color="auto"/>
            <w:left w:val="none" w:sz="0" w:space="0" w:color="auto"/>
            <w:bottom w:val="none" w:sz="0" w:space="0" w:color="auto"/>
            <w:right w:val="none" w:sz="0" w:space="0" w:color="auto"/>
          </w:divBdr>
          <w:divsChild>
            <w:div w:id="979379474">
              <w:marLeft w:val="0"/>
              <w:marRight w:val="0"/>
              <w:marTop w:val="0"/>
              <w:marBottom w:val="0"/>
              <w:divBdr>
                <w:top w:val="none" w:sz="0" w:space="0" w:color="auto"/>
                <w:left w:val="none" w:sz="0" w:space="0" w:color="auto"/>
                <w:bottom w:val="none" w:sz="0" w:space="0" w:color="auto"/>
                <w:right w:val="none" w:sz="0" w:space="0" w:color="auto"/>
              </w:divBdr>
              <w:divsChild>
                <w:div w:id="151480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9436">
          <w:marLeft w:val="0"/>
          <w:marRight w:val="0"/>
          <w:marTop w:val="0"/>
          <w:marBottom w:val="150"/>
          <w:divBdr>
            <w:top w:val="none" w:sz="0" w:space="0" w:color="auto"/>
            <w:left w:val="none" w:sz="0" w:space="0" w:color="auto"/>
            <w:bottom w:val="none" w:sz="0" w:space="0" w:color="auto"/>
            <w:right w:val="none" w:sz="0" w:space="0" w:color="auto"/>
          </w:divBdr>
        </w:div>
        <w:div w:id="685135920">
          <w:marLeft w:val="0"/>
          <w:marRight w:val="0"/>
          <w:marTop w:val="0"/>
          <w:marBottom w:val="0"/>
          <w:divBdr>
            <w:top w:val="none" w:sz="0" w:space="0" w:color="auto"/>
            <w:left w:val="none" w:sz="0" w:space="0" w:color="auto"/>
            <w:bottom w:val="none" w:sz="0" w:space="0" w:color="auto"/>
            <w:right w:val="none" w:sz="0" w:space="0" w:color="auto"/>
          </w:divBdr>
          <w:divsChild>
            <w:div w:id="188587434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71341823">
      <w:bodyDiv w:val="1"/>
      <w:marLeft w:val="0"/>
      <w:marRight w:val="0"/>
      <w:marTop w:val="0"/>
      <w:marBottom w:val="0"/>
      <w:divBdr>
        <w:top w:val="none" w:sz="0" w:space="0" w:color="auto"/>
        <w:left w:val="none" w:sz="0" w:space="0" w:color="auto"/>
        <w:bottom w:val="none" w:sz="0" w:space="0" w:color="auto"/>
        <w:right w:val="none" w:sz="0" w:space="0" w:color="auto"/>
      </w:divBdr>
      <w:divsChild>
        <w:div w:id="415515211">
          <w:marLeft w:val="0"/>
          <w:marRight w:val="0"/>
          <w:marTop w:val="0"/>
          <w:marBottom w:val="0"/>
          <w:divBdr>
            <w:top w:val="none" w:sz="0" w:space="0" w:color="auto"/>
            <w:left w:val="none" w:sz="0" w:space="0" w:color="auto"/>
            <w:bottom w:val="none" w:sz="0" w:space="0" w:color="auto"/>
            <w:right w:val="none" w:sz="0" w:space="0" w:color="auto"/>
          </w:divBdr>
          <w:divsChild>
            <w:div w:id="1047796775">
              <w:marLeft w:val="0"/>
              <w:marRight w:val="0"/>
              <w:marTop w:val="0"/>
              <w:marBottom w:val="0"/>
              <w:divBdr>
                <w:top w:val="single" w:sz="6" w:space="0" w:color="B3B3B3"/>
                <w:left w:val="none" w:sz="0" w:space="0" w:color="auto"/>
                <w:bottom w:val="single" w:sz="6" w:space="0" w:color="B3B3B3"/>
                <w:right w:val="none" w:sz="0" w:space="0" w:color="auto"/>
              </w:divBdr>
              <w:divsChild>
                <w:div w:id="2022857864">
                  <w:marLeft w:val="0"/>
                  <w:marRight w:val="0"/>
                  <w:marTop w:val="0"/>
                  <w:marBottom w:val="0"/>
                  <w:divBdr>
                    <w:top w:val="none" w:sz="0" w:space="0" w:color="auto"/>
                    <w:left w:val="none" w:sz="0" w:space="0" w:color="auto"/>
                    <w:bottom w:val="none" w:sz="0" w:space="0" w:color="auto"/>
                    <w:right w:val="none" w:sz="0" w:space="0" w:color="auto"/>
                  </w:divBdr>
                </w:div>
                <w:div w:id="211211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950743">
          <w:marLeft w:val="0"/>
          <w:marRight w:val="0"/>
          <w:marTop w:val="0"/>
          <w:marBottom w:val="0"/>
          <w:divBdr>
            <w:top w:val="single" w:sz="6" w:space="0" w:color="B3B3B3"/>
            <w:left w:val="none" w:sz="0" w:space="0" w:color="auto"/>
            <w:bottom w:val="single" w:sz="6" w:space="0" w:color="B3B3B3"/>
            <w:right w:val="none" w:sz="0" w:space="0" w:color="auto"/>
          </w:divBdr>
          <w:divsChild>
            <w:div w:id="269551557">
              <w:marLeft w:val="0"/>
              <w:marRight w:val="0"/>
              <w:marTop w:val="0"/>
              <w:marBottom w:val="0"/>
              <w:divBdr>
                <w:top w:val="none" w:sz="0" w:space="0" w:color="auto"/>
                <w:left w:val="none" w:sz="0" w:space="0" w:color="auto"/>
                <w:bottom w:val="none" w:sz="0" w:space="0" w:color="auto"/>
                <w:right w:val="none" w:sz="0" w:space="0" w:color="auto"/>
              </w:divBdr>
            </w:div>
            <w:div w:id="64848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5554">
      <w:bodyDiv w:val="1"/>
      <w:marLeft w:val="0"/>
      <w:marRight w:val="0"/>
      <w:marTop w:val="0"/>
      <w:marBottom w:val="0"/>
      <w:divBdr>
        <w:top w:val="none" w:sz="0" w:space="0" w:color="auto"/>
        <w:left w:val="none" w:sz="0" w:space="0" w:color="auto"/>
        <w:bottom w:val="none" w:sz="0" w:space="0" w:color="auto"/>
        <w:right w:val="none" w:sz="0" w:space="0" w:color="auto"/>
      </w:divBdr>
      <w:divsChild>
        <w:div w:id="165436643">
          <w:marLeft w:val="0"/>
          <w:marRight w:val="0"/>
          <w:marTop w:val="0"/>
          <w:marBottom w:val="150"/>
          <w:divBdr>
            <w:top w:val="none" w:sz="0" w:space="0" w:color="auto"/>
            <w:left w:val="none" w:sz="0" w:space="0" w:color="auto"/>
            <w:bottom w:val="none" w:sz="0" w:space="0" w:color="auto"/>
            <w:right w:val="none" w:sz="0" w:space="0" w:color="auto"/>
          </w:divBdr>
          <w:divsChild>
            <w:div w:id="259219246">
              <w:marLeft w:val="0"/>
              <w:marRight w:val="0"/>
              <w:marTop w:val="0"/>
              <w:marBottom w:val="0"/>
              <w:divBdr>
                <w:top w:val="none" w:sz="0" w:space="0" w:color="auto"/>
                <w:left w:val="none" w:sz="0" w:space="0" w:color="auto"/>
                <w:bottom w:val="none" w:sz="0" w:space="0" w:color="auto"/>
                <w:right w:val="none" w:sz="0" w:space="0" w:color="auto"/>
              </w:divBdr>
            </w:div>
          </w:divsChild>
        </w:div>
        <w:div w:id="520314106">
          <w:marLeft w:val="0"/>
          <w:marRight w:val="0"/>
          <w:marTop w:val="0"/>
          <w:marBottom w:val="150"/>
          <w:divBdr>
            <w:top w:val="none" w:sz="0" w:space="0" w:color="auto"/>
            <w:left w:val="none" w:sz="0" w:space="0" w:color="auto"/>
            <w:bottom w:val="none" w:sz="0" w:space="0" w:color="auto"/>
            <w:right w:val="none" w:sz="0" w:space="0" w:color="auto"/>
          </w:divBdr>
        </w:div>
        <w:div w:id="1364136873">
          <w:marLeft w:val="0"/>
          <w:marRight w:val="0"/>
          <w:marTop w:val="0"/>
          <w:marBottom w:val="0"/>
          <w:divBdr>
            <w:top w:val="none" w:sz="0" w:space="0" w:color="auto"/>
            <w:left w:val="none" w:sz="0" w:space="0" w:color="auto"/>
            <w:bottom w:val="none" w:sz="0" w:space="0" w:color="auto"/>
            <w:right w:val="none" w:sz="0" w:space="0" w:color="auto"/>
          </w:divBdr>
          <w:divsChild>
            <w:div w:id="17521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28738">
      <w:bodyDiv w:val="1"/>
      <w:marLeft w:val="0"/>
      <w:marRight w:val="0"/>
      <w:marTop w:val="0"/>
      <w:marBottom w:val="0"/>
      <w:divBdr>
        <w:top w:val="none" w:sz="0" w:space="0" w:color="auto"/>
        <w:left w:val="none" w:sz="0" w:space="0" w:color="auto"/>
        <w:bottom w:val="none" w:sz="0" w:space="0" w:color="auto"/>
        <w:right w:val="none" w:sz="0" w:space="0" w:color="auto"/>
      </w:divBdr>
    </w:div>
    <w:div w:id="1372147713">
      <w:bodyDiv w:val="1"/>
      <w:marLeft w:val="0"/>
      <w:marRight w:val="0"/>
      <w:marTop w:val="0"/>
      <w:marBottom w:val="0"/>
      <w:divBdr>
        <w:top w:val="none" w:sz="0" w:space="0" w:color="auto"/>
        <w:left w:val="none" w:sz="0" w:space="0" w:color="auto"/>
        <w:bottom w:val="none" w:sz="0" w:space="0" w:color="auto"/>
        <w:right w:val="none" w:sz="0" w:space="0" w:color="auto"/>
      </w:divBdr>
      <w:divsChild>
        <w:div w:id="1159808737">
          <w:marLeft w:val="0"/>
          <w:marRight w:val="0"/>
          <w:marTop w:val="0"/>
          <w:marBottom w:val="0"/>
          <w:divBdr>
            <w:top w:val="none" w:sz="0" w:space="0" w:color="auto"/>
            <w:left w:val="none" w:sz="0" w:space="0" w:color="auto"/>
            <w:bottom w:val="none" w:sz="0" w:space="0" w:color="auto"/>
            <w:right w:val="none" w:sz="0" w:space="0" w:color="auto"/>
          </w:divBdr>
          <w:divsChild>
            <w:div w:id="10531224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72153328">
      <w:bodyDiv w:val="1"/>
      <w:marLeft w:val="0"/>
      <w:marRight w:val="0"/>
      <w:marTop w:val="0"/>
      <w:marBottom w:val="0"/>
      <w:divBdr>
        <w:top w:val="none" w:sz="0" w:space="0" w:color="auto"/>
        <w:left w:val="none" w:sz="0" w:space="0" w:color="auto"/>
        <w:bottom w:val="none" w:sz="0" w:space="0" w:color="auto"/>
        <w:right w:val="none" w:sz="0" w:space="0" w:color="auto"/>
      </w:divBdr>
    </w:div>
    <w:div w:id="1372807994">
      <w:bodyDiv w:val="1"/>
      <w:marLeft w:val="0"/>
      <w:marRight w:val="0"/>
      <w:marTop w:val="0"/>
      <w:marBottom w:val="0"/>
      <w:divBdr>
        <w:top w:val="none" w:sz="0" w:space="0" w:color="auto"/>
        <w:left w:val="none" w:sz="0" w:space="0" w:color="auto"/>
        <w:bottom w:val="none" w:sz="0" w:space="0" w:color="auto"/>
        <w:right w:val="none" w:sz="0" w:space="0" w:color="auto"/>
      </w:divBdr>
    </w:div>
    <w:div w:id="1373311065">
      <w:bodyDiv w:val="1"/>
      <w:marLeft w:val="0"/>
      <w:marRight w:val="0"/>
      <w:marTop w:val="0"/>
      <w:marBottom w:val="0"/>
      <w:divBdr>
        <w:top w:val="none" w:sz="0" w:space="0" w:color="auto"/>
        <w:left w:val="none" w:sz="0" w:space="0" w:color="auto"/>
        <w:bottom w:val="none" w:sz="0" w:space="0" w:color="auto"/>
        <w:right w:val="none" w:sz="0" w:space="0" w:color="auto"/>
      </w:divBdr>
      <w:divsChild>
        <w:div w:id="1570729337">
          <w:marLeft w:val="0"/>
          <w:marRight w:val="0"/>
          <w:marTop w:val="0"/>
          <w:marBottom w:val="0"/>
          <w:divBdr>
            <w:top w:val="none" w:sz="0" w:space="0" w:color="auto"/>
            <w:left w:val="none" w:sz="0" w:space="0" w:color="auto"/>
            <w:bottom w:val="dotted" w:sz="6" w:space="4" w:color="DDDDDD"/>
            <w:right w:val="none" w:sz="0" w:space="0" w:color="auto"/>
          </w:divBdr>
          <w:divsChild>
            <w:div w:id="142186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651963">
      <w:bodyDiv w:val="1"/>
      <w:marLeft w:val="0"/>
      <w:marRight w:val="0"/>
      <w:marTop w:val="0"/>
      <w:marBottom w:val="0"/>
      <w:divBdr>
        <w:top w:val="none" w:sz="0" w:space="0" w:color="auto"/>
        <w:left w:val="none" w:sz="0" w:space="0" w:color="auto"/>
        <w:bottom w:val="none" w:sz="0" w:space="0" w:color="auto"/>
        <w:right w:val="none" w:sz="0" w:space="0" w:color="auto"/>
      </w:divBdr>
      <w:divsChild>
        <w:div w:id="930813998">
          <w:marLeft w:val="0"/>
          <w:marRight w:val="0"/>
          <w:marTop w:val="0"/>
          <w:marBottom w:val="150"/>
          <w:divBdr>
            <w:top w:val="none" w:sz="0" w:space="0" w:color="auto"/>
            <w:left w:val="none" w:sz="0" w:space="0" w:color="auto"/>
            <w:bottom w:val="none" w:sz="0" w:space="0" w:color="auto"/>
            <w:right w:val="none" w:sz="0" w:space="0" w:color="auto"/>
          </w:divBdr>
          <w:divsChild>
            <w:div w:id="1726561629">
              <w:marLeft w:val="0"/>
              <w:marRight w:val="0"/>
              <w:marTop w:val="0"/>
              <w:marBottom w:val="0"/>
              <w:divBdr>
                <w:top w:val="none" w:sz="0" w:space="0" w:color="auto"/>
                <w:left w:val="none" w:sz="0" w:space="0" w:color="auto"/>
                <w:bottom w:val="none" w:sz="0" w:space="0" w:color="auto"/>
                <w:right w:val="none" w:sz="0" w:space="0" w:color="auto"/>
              </w:divBdr>
              <w:divsChild>
                <w:div w:id="172382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885311">
          <w:marLeft w:val="0"/>
          <w:marRight w:val="0"/>
          <w:marTop w:val="0"/>
          <w:marBottom w:val="150"/>
          <w:divBdr>
            <w:top w:val="none" w:sz="0" w:space="0" w:color="auto"/>
            <w:left w:val="none" w:sz="0" w:space="0" w:color="auto"/>
            <w:bottom w:val="none" w:sz="0" w:space="0" w:color="auto"/>
            <w:right w:val="none" w:sz="0" w:space="0" w:color="auto"/>
          </w:divBdr>
        </w:div>
        <w:div w:id="918948753">
          <w:marLeft w:val="0"/>
          <w:marRight w:val="0"/>
          <w:marTop w:val="0"/>
          <w:marBottom w:val="0"/>
          <w:divBdr>
            <w:top w:val="none" w:sz="0" w:space="0" w:color="auto"/>
            <w:left w:val="none" w:sz="0" w:space="0" w:color="auto"/>
            <w:bottom w:val="none" w:sz="0" w:space="0" w:color="auto"/>
            <w:right w:val="none" w:sz="0" w:space="0" w:color="auto"/>
          </w:divBdr>
          <w:divsChild>
            <w:div w:id="137738743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74042534">
      <w:bodyDiv w:val="1"/>
      <w:marLeft w:val="0"/>
      <w:marRight w:val="0"/>
      <w:marTop w:val="0"/>
      <w:marBottom w:val="0"/>
      <w:divBdr>
        <w:top w:val="none" w:sz="0" w:space="0" w:color="auto"/>
        <w:left w:val="none" w:sz="0" w:space="0" w:color="auto"/>
        <w:bottom w:val="none" w:sz="0" w:space="0" w:color="auto"/>
        <w:right w:val="none" w:sz="0" w:space="0" w:color="auto"/>
      </w:divBdr>
    </w:div>
    <w:div w:id="1374231395">
      <w:bodyDiv w:val="1"/>
      <w:marLeft w:val="0"/>
      <w:marRight w:val="0"/>
      <w:marTop w:val="0"/>
      <w:marBottom w:val="0"/>
      <w:divBdr>
        <w:top w:val="none" w:sz="0" w:space="0" w:color="auto"/>
        <w:left w:val="none" w:sz="0" w:space="0" w:color="auto"/>
        <w:bottom w:val="none" w:sz="0" w:space="0" w:color="auto"/>
        <w:right w:val="none" w:sz="0" w:space="0" w:color="auto"/>
      </w:divBdr>
      <w:divsChild>
        <w:div w:id="2056157184">
          <w:marLeft w:val="0"/>
          <w:marRight w:val="0"/>
          <w:marTop w:val="0"/>
          <w:marBottom w:val="150"/>
          <w:divBdr>
            <w:top w:val="none" w:sz="0" w:space="0" w:color="auto"/>
            <w:left w:val="none" w:sz="0" w:space="0" w:color="auto"/>
            <w:bottom w:val="none" w:sz="0" w:space="0" w:color="auto"/>
            <w:right w:val="none" w:sz="0" w:space="0" w:color="auto"/>
          </w:divBdr>
        </w:div>
      </w:divsChild>
    </w:div>
    <w:div w:id="1374232182">
      <w:bodyDiv w:val="1"/>
      <w:marLeft w:val="0"/>
      <w:marRight w:val="0"/>
      <w:marTop w:val="0"/>
      <w:marBottom w:val="0"/>
      <w:divBdr>
        <w:top w:val="none" w:sz="0" w:space="0" w:color="auto"/>
        <w:left w:val="none" w:sz="0" w:space="0" w:color="auto"/>
        <w:bottom w:val="none" w:sz="0" w:space="0" w:color="auto"/>
        <w:right w:val="none" w:sz="0" w:space="0" w:color="auto"/>
      </w:divBdr>
    </w:div>
    <w:div w:id="1374573983">
      <w:bodyDiv w:val="1"/>
      <w:marLeft w:val="0"/>
      <w:marRight w:val="0"/>
      <w:marTop w:val="0"/>
      <w:marBottom w:val="0"/>
      <w:divBdr>
        <w:top w:val="none" w:sz="0" w:space="0" w:color="auto"/>
        <w:left w:val="none" w:sz="0" w:space="0" w:color="auto"/>
        <w:bottom w:val="none" w:sz="0" w:space="0" w:color="auto"/>
        <w:right w:val="none" w:sz="0" w:space="0" w:color="auto"/>
      </w:divBdr>
    </w:div>
    <w:div w:id="1374695379">
      <w:bodyDiv w:val="1"/>
      <w:marLeft w:val="0"/>
      <w:marRight w:val="0"/>
      <w:marTop w:val="0"/>
      <w:marBottom w:val="0"/>
      <w:divBdr>
        <w:top w:val="none" w:sz="0" w:space="0" w:color="auto"/>
        <w:left w:val="none" w:sz="0" w:space="0" w:color="auto"/>
        <w:bottom w:val="none" w:sz="0" w:space="0" w:color="auto"/>
        <w:right w:val="none" w:sz="0" w:space="0" w:color="auto"/>
      </w:divBdr>
      <w:divsChild>
        <w:div w:id="126553466">
          <w:marLeft w:val="0"/>
          <w:marRight w:val="0"/>
          <w:marTop w:val="0"/>
          <w:marBottom w:val="150"/>
          <w:divBdr>
            <w:top w:val="none" w:sz="0" w:space="0" w:color="auto"/>
            <w:left w:val="none" w:sz="0" w:space="0" w:color="auto"/>
            <w:bottom w:val="none" w:sz="0" w:space="0" w:color="auto"/>
            <w:right w:val="none" w:sz="0" w:space="0" w:color="auto"/>
          </w:divBdr>
          <w:divsChild>
            <w:div w:id="1034816216">
              <w:marLeft w:val="0"/>
              <w:marRight w:val="0"/>
              <w:marTop w:val="0"/>
              <w:marBottom w:val="0"/>
              <w:divBdr>
                <w:top w:val="none" w:sz="0" w:space="0" w:color="auto"/>
                <w:left w:val="none" w:sz="0" w:space="0" w:color="auto"/>
                <w:bottom w:val="none" w:sz="0" w:space="0" w:color="auto"/>
                <w:right w:val="none" w:sz="0" w:space="0" w:color="auto"/>
              </w:divBdr>
              <w:divsChild>
                <w:div w:id="1075593169">
                  <w:marLeft w:val="0"/>
                  <w:marRight w:val="0"/>
                  <w:marTop w:val="0"/>
                  <w:marBottom w:val="0"/>
                  <w:divBdr>
                    <w:top w:val="none" w:sz="0" w:space="0" w:color="auto"/>
                    <w:left w:val="none" w:sz="0" w:space="0" w:color="auto"/>
                    <w:bottom w:val="none" w:sz="0" w:space="0" w:color="auto"/>
                    <w:right w:val="none" w:sz="0" w:space="0" w:color="auto"/>
                  </w:divBdr>
                  <w:divsChild>
                    <w:div w:id="115950275">
                      <w:marLeft w:val="0"/>
                      <w:marRight w:val="150"/>
                      <w:marTop w:val="0"/>
                      <w:marBottom w:val="0"/>
                      <w:divBdr>
                        <w:top w:val="none" w:sz="0" w:space="0" w:color="auto"/>
                        <w:left w:val="none" w:sz="0" w:space="0" w:color="auto"/>
                        <w:bottom w:val="none" w:sz="0" w:space="0" w:color="auto"/>
                        <w:right w:val="none" w:sz="0" w:space="0" w:color="auto"/>
                      </w:divBdr>
                      <w:divsChild>
                        <w:div w:id="28045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326412">
          <w:marLeft w:val="0"/>
          <w:marRight w:val="0"/>
          <w:marTop w:val="0"/>
          <w:marBottom w:val="150"/>
          <w:divBdr>
            <w:top w:val="none" w:sz="0" w:space="0" w:color="auto"/>
            <w:left w:val="none" w:sz="0" w:space="0" w:color="auto"/>
            <w:bottom w:val="none" w:sz="0" w:space="0" w:color="auto"/>
            <w:right w:val="none" w:sz="0" w:space="0" w:color="auto"/>
          </w:divBdr>
        </w:div>
        <w:div w:id="2041583910">
          <w:marLeft w:val="0"/>
          <w:marRight w:val="0"/>
          <w:marTop w:val="0"/>
          <w:marBottom w:val="0"/>
          <w:divBdr>
            <w:top w:val="none" w:sz="0" w:space="0" w:color="auto"/>
            <w:left w:val="none" w:sz="0" w:space="0" w:color="auto"/>
            <w:bottom w:val="none" w:sz="0" w:space="0" w:color="auto"/>
            <w:right w:val="none" w:sz="0" w:space="0" w:color="auto"/>
          </w:divBdr>
          <w:divsChild>
            <w:div w:id="152358619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74770433">
      <w:bodyDiv w:val="1"/>
      <w:marLeft w:val="0"/>
      <w:marRight w:val="0"/>
      <w:marTop w:val="0"/>
      <w:marBottom w:val="0"/>
      <w:divBdr>
        <w:top w:val="none" w:sz="0" w:space="0" w:color="auto"/>
        <w:left w:val="none" w:sz="0" w:space="0" w:color="auto"/>
        <w:bottom w:val="none" w:sz="0" w:space="0" w:color="auto"/>
        <w:right w:val="none" w:sz="0" w:space="0" w:color="auto"/>
      </w:divBdr>
      <w:divsChild>
        <w:div w:id="344210765">
          <w:marLeft w:val="0"/>
          <w:marRight w:val="0"/>
          <w:marTop w:val="0"/>
          <w:marBottom w:val="150"/>
          <w:divBdr>
            <w:top w:val="none" w:sz="0" w:space="0" w:color="auto"/>
            <w:left w:val="none" w:sz="0" w:space="0" w:color="auto"/>
            <w:bottom w:val="none" w:sz="0" w:space="0" w:color="auto"/>
            <w:right w:val="none" w:sz="0" w:space="0" w:color="auto"/>
          </w:divBdr>
          <w:divsChild>
            <w:div w:id="2084061079">
              <w:marLeft w:val="0"/>
              <w:marRight w:val="0"/>
              <w:marTop w:val="0"/>
              <w:marBottom w:val="0"/>
              <w:divBdr>
                <w:top w:val="none" w:sz="0" w:space="0" w:color="auto"/>
                <w:left w:val="none" w:sz="0" w:space="0" w:color="auto"/>
                <w:bottom w:val="none" w:sz="0" w:space="0" w:color="auto"/>
                <w:right w:val="none" w:sz="0" w:space="0" w:color="auto"/>
              </w:divBdr>
              <w:divsChild>
                <w:div w:id="120036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907888">
          <w:marLeft w:val="0"/>
          <w:marRight w:val="0"/>
          <w:marTop w:val="0"/>
          <w:marBottom w:val="150"/>
          <w:divBdr>
            <w:top w:val="none" w:sz="0" w:space="0" w:color="auto"/>
            <w:left w:val="none" w:sz="0" w:space="0" w:color="auto"/>
            <w:bottom w:val="none" w:sz="0" w:space="0" w:color="auto"/>
            <w:right w:val="none" w:sz="0" w:space="0" w:color="auto"/>
          </w:divBdr>
        </w:div>
      </w:divsChild>
    </w:div>
    <w:div w:id="1374890707">
      <w:bodyDiv w:val="1"/>
      <w:marLeft w:val="0"/>
      <w:marRight w:val="0"/>
      <w:marTop w:val="0"/>
      <w:marBottom w:val="0"/>
      <w:divBdr>
        <w:top w:val="none" w:sz="0" w:space="0" w:color="auto"/>
        <w:left w:val="none" w:sz="0" w:space="0" w:color="auto"/>
        <w:bottom w:val="none" w:sz="0" w:space="0" w:color="auto"/>
        <w:right w:val="none" w:sz="0" w:space="0" w:color="auto"/>
      </w:divBdr>
      <w:divsChild>
        <w:div w:id="1359741133">
          <w:marLeft w:val="0"/>
          <w:marRight w:val="0"/>
          <w:marTop w:val="0"/>
          <w:marBottom w:val="0"/>
          <w:divBdr>
            <w:top w:val="none" w:sz="0" w:space="0" w:color="auto"/>
            <w:left w:val="none" w:sz="0" w:space="0" w:color="auto"/>
            <w:bottom w:val="none" w:sz="0" w:space="0" w:color="auto"/>
            <w:right w:val="none" w:sz="0" w:space="0" w:color="auto"/>
          </w:divBdr>
          <w:divsChild>
            <w:div w:id="368185501">
              <w:marLeft w:val="0"/>
              <w:marRight w:val="0"/>
              <w:marTop w:val="0"/>
              <w:marBottom w:val="0"/>
              <w:divBdr>
                <w:top w:val="none" w:sz="0" w:space="0" w:color="auto"/>
                <w:left w:val="none" w:sz="0" w:space="0" w:color="auto"/>
                <w:bottom w:val="none" w:sz="0" w:space="0" w:color="auto"/>
                <w:right w:val="none" w:sz="0" w:space="0" w:color="auto"/>
              </w:divBdr>
              <w:divsChild>
                <w:div w:id="259878446">
                  <w:marLeft w:val="0"/>
                  <w:marRight w:val="0"/>
                  <w:marTop w:val="0"/>
                  <w:marBottom w:val="0"/>
                  <w:divBdr>
                    <w:top w:val="none" w:sz="0" w:space="0" w:color="auto"/>
                    <w:left w:val="none" w:sz="0" w:space="0" w:color="auto"/>
                    <w:bottom w:val="none" w:sz="0" w:space="0" w:color="auto"/>
                    <w:right w:val="none" w:sz="0" w:space="0" w:color="auto"/>
                  </w:divBdr>
                  <w:divsChild>
                    <w:div w:id="2026397493">
                      <w:marLeft w:val="0"/>
                      <w:marRight w:val="0"/>
                      <w:marTop w:val="0"/>
                      <w:marBottom w:val="0"/>
                      <w:divBdr>
                        <w:top w:val="none" w:sz="0" w:space="0" w:color="auto"/>
                        <w:left w:val="none" w:sz="0" w:space="0" w:color="auto"/>
                        <w:bottom w:val="none" w:sz="0" w:space="0" w:color="auto"/>
                        <w:right w:val="none" w:sz="0" w:space="0" w:color="auto"/>
                      </w:divBdr>
                      <w:divsChild>
                        <w:div w:id="1279531550">
                          <w:marLeft w:val="0"/>
                          <w:marRight w:val="0"/>
                          <w:marTop w:val="0"/>
                          <w:marBottom w:val="0"/>
                          <w:divBdr>
                            <w:top w:val="none" w:sz="0" w:space="0" w:color="auto"/>
                            <w:left w:val="none" w:sz="0" w:space="0" w:color="auto"/>
                            <w:bottom w:val="none" w:sz="0" w:space="0" w:color="auto"/>
                            <w:right w:val="none" w:sz="0" w:space="0" w:color="auto"/>
                          </w:divBdr>
                          <w:divsChild>
                            <w:div w:id="2046563341">
                              <w:marLeft w:val="0"/>
                              <w:marRight w:val="0"/>
                              <w:marTop w:val="0"/>
                              <w:marBottom w:val="0"/>
                              <w:divBdr>
                                <w:top w:val="none" w:sz="0" w:space="0" w:color="auto"/>
                                <w:left w:val="none" w:sz="0" w:space="0" w:color="auto"/>
                                <w:bottom w:val="none" w:sz="0" w:space="0" w:color="auto"/>
                                <w:right w:val="none" w:sz="0" w:space="0" w:color="auto"/>
                              </w:divBdr>
                              <w:divsChild>
                                <w:div w:id="759913118">
                                  <w:marLeft w:val="0"/>
                                  <w:marRight w:val="0"/>
                                  <w:marTop w:val="0"/>
                                  <w:marBottom w:val="0"/>
                                  <w:divBdr>
                                    <w:top w:val="none" w:sz="0" w:space="0" w:color="auto"/>
                                    <w:left w:val="none" w:sz="0" w:space="0" w:color="auto"/>
                                    <w:bottom w:val="none" w:sz="0" w:space="0" w:color="auto"/>
                                    <w:right w:val="none" w:sz="0" w:space="0" w:color="auto"/>
                                  </w:divBdr>
                                  <w:divsChild>
                                    <w:div w:id="47796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231614">
      <w:bodyDiv w:val="1"/>
      <w:marLeft w:val="0"/>
      <w:marRight w:val="0"/>
      <w:marTop w:val="0"/>
      <w:marBottom w:val="0"/>
      <w:divBdr>
        <w:top w:val="none" w:sz="0" w:space="0" w:color="auto"/>
        <w:left w:val="none" w:sz="0" w:space="0" w:color="auto"/>
        <w:bottom w:val="none" w:sz="0" w:space="0" w:color="auto"/>
        <w:right w:val="none" w:sz="0" w:space="0" w:color="auto"/>
      </w:divBdr>
      <w:divsChild>
        <w:div w:id="479226104">
          <w:marLeft w:val="0"/>
          <w:marRight w:val="0"/>
          <w:marTop w:val="0"/>
          <w:marBottom w:val="150"/>
          <w:divBdr>
            <w:top w:val="none" w:sz="0" w:space="0" w:color="auto"/>
            <w:left w:val="none" w:sz="0" w:space="0" w:color="auto"/>
            <w:bottom w:val="none" w:sz="0" w:space="0" w:color="auto"/>
            <w:right w:val="none" w:sz="0" w:space="0" w:color="auto"/>
          </w:divBdr>
          <w:divsChild>
            <w:div w:id="1905949619">
              <w:marLeft w:val="0"/>
              <w:marRight w:val="0"/>
              <w:marTop w:val="0"/>
              <w:marBottom w:val="0"/>
              <w:divBdr>
                <w:top w:val="none" w:sz="0" w:space="0" w:color="auto"/>
                <w:left w:val="none" w:sz="0" w:space="0" w:color="auto"/>
                <w:bottom w:val="none" w:sz="0" w:space="0" w:color="auto"/>
                <w:right w:val="none" w:sz="0" w:space="0" w:color="auto"/>
              </w:divBdr>
              <w:divsChild>
                <w:div w:id="176476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292003">
          <w:marLeft w:val="0"/>
          <w:marRight w:val="0"/>
          <w:marTop w:val="0"/>
          <w:marBottom w:val="150"/>
          <w:divBdr>
            <w:top w:val="none" w:sz="0" w:space="0" w:color="auto"/>
            <w:left w:val="none" w:sz="0" w:space="0" w:color="auto"/>
            <w:bottom w:val="none" w:sz="0" w:space="0" w:color="auto"/>
            <w:right w:val="none" w:sz="0" w:space="0" w:color="auto"/>
          </w:divBdr>
        </w:div>
        <w:div w:id="637272086">
          <w:marLeft w:val="0"/>
          <w:marRight w:val="0"/>
          <w:marTop w:val="0"/>
          <w:marBottom w:val="0"/>
          <w:divBdr>
            <w:top w:val="none" w:sz="0" w:space="0" w:color="auto"/>
            <w:left w:val="none" w:sz="0" w:space="0" w:color="auto"/>
            <w:bottom w:val="none" w:sz="0" w:space="0" w:color="auto"/>
            <w:right w:val="none" w:sz="0" w:space="0" w:color="auto"/>
          </w:divBdr>
          <w:divsChild>
            <w:div w:id="205311361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75346585">
      <w:bodyDiv w:val="1"/>
      <w:marLeft w:val="0"/>
      <w:marRight w:val="0"/>
      <w:marTop w:val="0"/>
      <w:marBottom w:val="0"/>
      <w:divBdr>
        <w:top w:val="none" w:sz="0" w:space="0" w:color="auto"/>
        <w:left w:val="none" w:sz="0" w:space="0" w:color="auto"/>
        <w:bottom w:val="none" w:sz="0" w:space="0" w:color="auto"/>
        <w:right w:val="none" w:sz="0" w:space="0" w:color="auto"/>
      </w:divBdr>
      <w:divsChild>
        <w:div w:id="658533212">
          <w:marLeft w:val="0"/>
          <w:marRight w:val="0"/>
          <w:marTop w:val="0"/>
          <w:marBottom w:val="0"/>
          <w:divBdr>
            <w:top w:val="none" w:sz="0" w:space="0" w:color="auto"/>
            <w:left w:val="none" w:sz="0" w:space="0" w:color="auto"/>
            <w:bottom w:val="none" w:sz="0" w:space="0" w:color="auto"/>
            <w:right w:val="none" w:sz="0" w:space="0" w:color="auto"/>
          </w:divBdr>
          <w:divsChild>
            <w:div w:id="353844753">
              <w:marLeft w:val="0"/>
              <w:marRight w:val="0"/>
              <w:marTop w:val="0"/>
              <w:marBottom w:val="0"/>
              <w:divBdr>
                <w:top w:val="none" w:sz="0" w:space="0" w:color="auto"/>
                <w:left w:val="none" w:sz="0" w:space="0" w:color="auto"/>
                <w:bottom w:val="none" w:sz="0" w:space="0" w:color="auto"/>
                <w:right w:val="none" w:sz="0" w:space="0" w:color="auto"/>
              </w:divBdr>
              <w:divsChild>
                <w:div w:id="1678268593">
                  <w:marLeft w:val="0"/>
                  <w:marRight w:val="0"/>
                  <w:marTop w:val="0"/>
                  <w:marBottom w:val="0"/>
                  <w:divBdr>
                    <w:top w:val="none" w:sz="0" w:space="0" w:color="auto"/>
                    <w:left w:val="none" w:sz="0" w:space="0" w:color="auto"/>
                    <w:bottom w:val="none" w:sz="0" w:space="0" w:color="auto"/>
                    <w:right w:val="none" w:sz="0" w:space="0" w:color="auto"/>
                  </w:divBdr>
                  <w:divsChild>
                    <w:div w:id="737828329">
                      <w:marLeft w:val="0"/>
                      <w:marRight w:val="0"/>
                      <w:marTop w:val="0"/>
                      <w:marBottom w:val="0"/>
                      <w:divBdr>
                        <w:top w:val="none" w:sz="0" w:space="0" w:color="auto"/>
                        <w:left w:val="none" w:sz="0" w:space="0" w:color="auto"/>
                        <w:bottom w:val="none" w:sz="0" w:space="0" w:color="auto"/>
                        <w:right w:val="none" w:sz="0" w:space="0" w:color="auto"/>
                      </w:divBdr>
                      <w:divsChild>
                        <w:div w:id="594637333">
                          <w:marLeft w:val="0"/>
                          <w:marRight w:val="0"/>
                          <w:marTop w:val="0"/>
                          <w:marBottom w:val="0"/>
                          <w:divBdr>
                            <w:top w:val="none" w:sz="0" w:space="0" w:color="auto"/>
                            <w:left w:val="none" w:sz="0" w:space="0" w:color="auto"/>
                            <w:bottom w:val="none" w:sz="0" w:space="0" w:color="auto"/>
                            <w:right w:val="none" w:sz="0" w:space="0" w:color="auto"/>
                          </w:divBdr>
                          <w:divsChild>
                            <w:div w:id="2044791813">
                              <w:marLeft w:val="0"/>
                              <w:marRight w:val="0"/>
                              <w:marTop w:val="0"/>
                              <w:marBottom w:val="0"/>
                              <w:divBdr>
                                <w:top w:val="none" w:sz="0" w:space="0" w:color="auto"/>
                                <w:left w:val="none" w:sz="0" w:space="0" w:color="auto"/>
                                <w:bottom w:val="none" w:sz="0" w:space="0" w:color="auto"/>
                                <w:right w:val="none" w:sz="0" w:space="0" w:color="auto"/>
                              </w:divBdr>
                              <w:divsChild>
                                <w:div w:id="196551799">
                                  <w:marLeft w:val="0"/>
                                  <w:marRight w:val="0"/>
                                  <w:marTop w:val="0"/>
                                  <w:marBottom w:val="0"/>
                                  <w:divBdr>
                                    <w:top w:val="none" w:sz="0" w:space="0" w:color="auto"/>
                                    <w:left w:val="none" w:sz="0" w:space="0" w:color="auto"/>
                                    <w:bottom w:val="none" w:sz="0" w:space="0" w:color="auto"/>
                                    <w:right w:val="none" w:sz="0" w:space="0" w:color="auto"/>
                                  </w:divBdr>
                                  <w:divsChild>
                                    <w:div w:id="2048488600">
                                      <w:marLeft w:val="0"/>
                                      <w:marRight w:val="0"/>
                                      <w:marTop w:val="0"/>
                                      <w:marBottom w:val="0"/>
                                      <w:divBdr>
                                        <w:top w:val="none" w:sz="0" w:space="0" w:color="auto"/>
                                        <w:left w:val="none" w:sz="0" w:space="0" w:color="auto"/>
                                        <w:bottom w:val="none" w:sz="0" w:space="0" w:color="auto"/>
                                        <w:right w:val="none" w:sz="0" w:space="0" w:color="auto"/>
                                      </w:divBdr>
                                      <w:divsChild>
                                        <w:div w:id="201996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5472208">
      <w:bodyDiv w:val="1"/>
      <w:marLeft w:val="0"/>
      <w:marRight w:val="0"/>
      <w:marTop w:val="0"/>
      <w:marBottom w:val="0"/>
      <w:divBdr>
        <w:top w:val="none" w:sz="0" w:space="0" w:color="auto"/>
        <w:left w:val="none" w:sz="0" w:space="0" w:color="auto"/>
        <w:bottom w:val="none" w:sz="0" w:space="0" w:color="auto"/>
        <w:right w:val="none" w:sz="0" w:space="0" w:color="auto"/>
      </w:divBdr>
      <w:divsChild>
        <w:div w:id="2056929160">
          <w:marLeft w:val="0"/>
          <w:marRight w:val="0"/>
          <w:marTop w:val="0"/>
          <w:marBottom w:val="0"/>
          <w:divBdr>
            <w:top w:val="none" w:sz="0" w:space="0" w:color="auto"/>
            <w:left w:val="none" w:sz="0" w:space="0" w:color="auto"/>
            <w:bottom w:val="dotted" w:sz="6" w:space="4" w:color="DDDDDD"/>
            <w:right w:val="none" w:sz="0" w:space="0" w:color="auto"/>
          </w:divBdr>
          <w:divsChild>
            <w:div w:id="165722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90951">
      <w:bodyDiv w:val="1"/>
      <w:marLeft w:val="0"/>
      <w:marRight w:val="0"/>
      <w:marTop w:val="0"/>
      <w:marBottom w:val="0"/>
      <w:divBdr>
        <w:top w:val="none" w:sz="0" w:space="0" w:color="auto"/>
        <w:left w:val="none" w:sz="0" w:space="0" w:color="auto"/>
        <w:bottom w:val="none" w:sz="0" w:space="0" w:color="auto"/>
        <w:right w:val="none" w:sz="0" w:space="0" w:color="auto"/>
      </w:divBdr>
      <w:divsChild>
        <w:div w:id="1037047345">
          <w:marLeft w:val="0"/>
          <w:marRight w:val="0"/>
          <w:marTop w:val="0"/>
          <w:marBottom w:val="0"/>
          <w:divBdr>
            <w:top w:val="none" w:sz="0" w:space="0" w:color="auto"/>
            <w:left w:val="none" w:sz="0" w:space="0" w:color="auto"/>
            <w:bottom w:val="dotted" w:sz="6" w:space="4" w:color="DDDDDD"/>
            <w:right w:val="none" w:sz="0" w:space="0" w:color="auto"/>
          </w:divBdr>
          <w:divsChild>
            <w:div w:id="125439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932042">
      <w:bodyDiv w:val="1"/>
      <w:marLeft w:val="0"/>
      <w:marRight w:val="0"/>
      <w:marTop w:val="0"/>
      <w:marBottom w:val="0"/>
      <w:divBdr>
        <w:top w:val="none" w:sz="0" w:space="0" w:color="auto"/>
        <w:left w:val="none" w:sz="0" w:space="0" w:color="auto"/>
        <w:bottom w:val="none" w:sz="0" w:space="0" w:color="auto"/>
        <w:right w:val="none" w:sz="0" w:space="0" w:color="auto"/>
      </w:divBdr>
      <w:divsChild>
        <w:div w:id="37556920">
          <w:marLeft w:val="0"/>
          <w:marRight w:val="0"/>
          <w:marTop w:val="0"/>
          <w:marBottom w:val="225"/>
          <w:divBdr>
            <w:top w:val="none" w:sz="0" w:space="0" w:color="auto"/>
            <w:left w:val="none" w:sz="0" w:space="0" w:color="auto"/>
            <w:bottom w:val="none" w:sz="0" w:space="0" w:color="auto"/>
            <w:right w:val="none" w:sz="0" w:space="0" w:color="auto"/>
          </w:divBdr>
        </w:div>
        <w:div w:id="1875120738">
          <w:marLeft w:val="0"/>
          <w:marRight w:val="0"/>
          <w:marTop w:val="0"/>
          <w:marBottom w:val="225"/>
          <w:divBdr>
            <w:top w:val="none" w:sz="0" w:space="0" w:color="auto"/>
            <w:left w:val="none" w:sz="0" w:space="0" w:color="auto"/>
            <w:bottom w:val="none" w:sz="0" w:space="0" w:color="auto"/>
            <w:right w:val="none" w:sz="0" w:space="0" w:color="auto"/>
          </w:divBdr>
          <w:divsChild>
            <w:div w:id="405224512">
              <w:marLeft w:val="0"/>
              <w:marRight w:val="0"/>
              <w:marTop w:val="0"/>
              <w:marBottom w:val="0"/>
              <w:divBdr>
                <w:top w:val="none" w:sz="0" w:space="0" w:color="auto"/>
                <w:left w:val="none" w:sz="0" w:space="0" w:color="auto"/>
                <w:bottom w:val="none" w:sz="0" w:space="0" w:color="auto"/>
                <w:right w:val="none" w:sz="0" w:space="0" w:color="auto"/>
              </w:divBdr>
              <w:divsChild>
                <w:div w:id="91293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150988">
      <w:bodyDiv w:val="1"/>
      <w:marLeft w:val="0"/>
      <w:marRight w:val="0"/>
      <w:marTop w:val="0"/>
      <w:marBottom w:val="0"/>
      <w:divBdr>
        <w:top w:val="none" w:sz="0" w:space="0" w:color="auto"/>
        <w:left w:val="none" w:sz="0" w:space="0" w:color="auto"/>
        <w:bottom w:val="none" w:sz="0" w:space="0" w:color="auto"/>
        <w:right w:val="none" w:sz="0" w:space="0" w:color="auto"/>
      </w:divBdr>
      <w:divsChild>
        <w:div w:id="68844204">
          <w:marLeft w:val="0"/>
          <w:marRight w:val="0"/>
          <w:marTop w:val="0"/>
          <w:marBottom w:val="0"/>
          <w:divBdr>
            <w:top w:val="none" w:sz="0" w:space="0" w:color="auto"/>
            <w:left w:val="none" w:sz="0" w:space="0" w:color="auto"/>
            <w:bottom w:val="none" w:sz="0" w:space="0" w:color="auto"/>
            <w:right w:val="none" w:sz="0" w:space="0" w:color="auto"/>
          </w:divBdr>
        </w:div>
      </w:divsChild>
    </w:div>
    <w:div w:id="1376198405">
      <w:bodyDiv w:val="1"/>
      <w:marLeft w:val="0"/>
      <w:marRight w:val="0"/>
      <w:marTop w:val="0"/>
      <w:marBottom w:val="0"/>
      <w:divBdr>
        <w:top w:val="none" w:sz="0" w:space="0" w:color="auto"/>
        <w:left w:val="none" w:sz="0" w:space="0" w:color="auto"/>
        <w:bottom w:val="none" w:sz="0" w:space="0" w:color="auto"/>
        <w:right w:val="none" w:sz="0" w:space="0" w:color="auto"/>
      </w:divBdr>
      <w:divsChild>
        <w:div w:id="1282108235">
          <w:marLeft w:val="0"/>
          <w:marRight w:val="0"/>
          <w:marTop w:val="0"/>
          <w:marBottom w:val="0"/>
          <w:divBdr>
            <w:top w:val="none" w:sz="0" w:space="0" w:color="auto"/>
            <w:left w:val="none" w:sz="0" w:space="0" w:color="auto"/>
            <w:bottom w:val="none" w:sz="0" w:space="0" w:color="auto"/>
            <w:right w:val="none" w:sz="0" w:space="0" w:color="auto"/>
          </w:divBdr>
        </w:div>
        <w:div w:id="1724910837">
          <w:marLeft w:val="0"/>
          <w:marRight w:val="0"/>
          <w:marTop w:val="0"/>
          <w:marBottom w:val="150"/>
          <w:divBdr>
            <w:top w:val="none" w:sz="0" w:space="0" w:color="auto"/>
            <w:left w:val="none" w:sz="0" w:space="0" w:color="auto"/>
            <w:bottom w:val="none" w:sz="0" w:space="0" w:color="auto"/>
            <w:right w:val="none" w:sz="0" w:space="0" w:color="auto"/>
          </w:divBdr>
        </w:div>
      </w:divsChild>
    </w:div>
    <w:div w:id="1376345923">
      <w:bodyDiv w:val="1"/>
      <w:marLeft w:val="0"/>
      <w:marRight w:val="0"/>
      <w:marTop w:val="0"/>
      <w:marBottom w:val="0"/>
      <w:divBdr>
        <w:top w:val="none" w:sz="0" w:space="0" w:color="auto"/>
        <w:left w:val="none" w:sz="0" w:space="0" w:color="auto"/>
        <w:bottom w:val="none" w:sz="0" w:space="0" w:color="auto"/>
        <w:right w:val="none" w:sz="0" w:space="0" w:color="auto"/>
      </w:divBdr>
      <w:divsChild>
        <w:div w:id="606238824">
          <w:marLeft w:val="0"/>
          <w:marRight w:val="0"/>
          <w:marTop w:val="0"/>
          <w:marBottom w:val="0"/>
          <w:divBdr>
            <w:top w:val="none" w:sz="0" w:space="0" w:color="auto"/>
            <w:left w:val="none" w:sz="0" w:space="0" w:color="auto"/>
            <w:bottom w:val="dotted" w:sz="6" w:space="4" w:color="DDDDDD"/>
            <w:right w:val="none" w:sz="0" w:space="0" w:color="auto"/>
          </w:divBdr>
          <w:divsChild>
            <w:div w:id="1632514479">
              <w:marLeft w:val="0"/>
              <w:marRight w:val="0"/>
              <w:marTop w:val="0"/>
              <w:marBottom w:val="0"/>
              <w:divBdr>
                <w:top w:val="none" w:sz="0" w:space="0" w:color="auto"/>
                <w:left w:val="none" w:sz="0" w:space="0" w:color="auto"/>
                <w:bottom w:val="none" w:sz="0" w:space="0" w:color="auto"/>
                <w:right w:val="none" w:sz="0" w:space="0" w:color="auto"/>
              </w:divBdr>
            </w:div>
          </w:divsChild>
        </w:div>
        <w:div w:id="1185941894">
          <w:marLeft w:val="0"/>
          <w:marRight w:val="0"/>
          <w:marTop w:val="0"/>
          <w:marBottom w:val="0"/>
          <w:divBdr>
            <w:top w:val="none" w:sz="0" w:space="0" w:color="auto"/>
            <w:left w:val="none" w:sz="0" w:space="0" w:color="auto"/>
            <w:bottom w:val="none" w:sz="0" w:space="0" w:color="auto"/>
            <w:right w:val="none" w:sz="0" w:space="0" w:color="auto"/>
          </w:divBdr>
        </w:div>
      </w:divsChild>
    </w:div>
    <w:div w:id="1376543009">
      <w:bodyDiv w:val="1"/>
      <w:marLeft w:val="0"/>
      <w:marRight w:val="0"/>
      <w:marTop w:val="0"/>
      <w:marBottom w:val="0"/>
      <w:divBdr>
        <w:top w:val="none" w:sz="0" w:space="0" w:color="auto"/>
        <w:left w:val="none" w:sz="0" w:space="0" w:color="auto"/>
        <w:bottom w:val="none" w:sz="0" w:space="0" w:color="auto"/>
        <w:right w:val="none" w:sz="0" w:space="0" w:color="auto"/>
      </w:divBdr>
    </w:div>
    <w:div w:id="1376661418">
      <w:bodyDiv w:val="1"/>
      <w:marLeft w:val="0"/>
      <w:marRight w:val="0"/>
      <w:marTop w:val="0"/>
      <w:marBottom w:val="0"/>
      <w:divBdr>
        <w:top w:val="none" w:sz="0" w:space="0" w:color="auto"/>
        <w:left w:val="none" w:sz="0" w:space="0" w:color="auto"/>
        <w:bottom w:val="none" w:sz="0" w:space="0" w:color="auto"/>
        <w:right w:val="none" w:sz="0" w:space="0" w:color="auto"/>
      </w:divBdr>
      <w:divsChild>
        <w:div w:id="1453212273">
          <w:marLeft w:val="0"/>
          <w:marRight w:val="0"/>
          <w:marTop w:val="0"/>
          <w:marBottom w:val="150"/>
          <w:divBdr>
            <w:top w:val="none" w:sz="0" w:space="0" w:color="auto"/>
            <w:left w:val="none" w:sz="0" w:space="0" w:color="auto"/>
            <w:bottom w:val="none" w:sz="0" w:space="0" w:color="auto"/>
            <w:right w:val="none" w:sz="0" w:space="0" w:color="auto"/>
          </w:divBdr>
          <w:divsChild>
            <w:div w:id="1015503237">
              <w:marLeft w:val="0"/>
              <w:marRight w:val="0"/>
              <w:marTop w:val="0"/>
              <w:marBottom w:val="0"/>
              <w:divBdr>
                <w:top w:val="none" w:sz="0" w:space="0" w:color="auto"/>
                <w:left w:val="none" w:sz="0" w:space="0" w:color="auto"/>
                <w:bottom w:val="none" w:sz="0" w:space="0" w:color="auto"/>
                <w:right w:val="none" w:sz="0" w:space="0" w:color="auto"/>
              </w:divBdr>
              <w:divsChild>
                <w:div w:id="154895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685036">
          <w:marLeft w:val="0"/>
          <w:marRight w:val="0"/>
          <w:marTop w:val="0"/>
          <w:marBottom w:val="0"/>
          <w:divBdr>
            <w:top w:val="none" w:sz="0" w:space="0" w:color="auto"/>
            <w:left w:val="none" w:sz="0" w:space="0" w:color="auto"/>
            <w:bottom w:val="none" w:sz="0" w:space="0" w:color="auto"/>
            <w:right w:val="none" w:sz="0" w:space="0" w:color="auto"/>
          </w:divBdr>
          <w:divsChild>
            <w:div w:id="474644321">
              <w:marLeft w:val="0"/>
              <w:marRight w:val="0"/>
              <w:marTop w:val="225"/>
              <w:marBottom w:val="225"/>
              <w:divBdr>
                <w:top w:val="none" w:sz="0" w:space="0" w:color="auto"/>
                <w:left w:val="none" w:sz="0" w:space="0" w:color="auto"/>
                <w:bottom w:val="none" w:sz="0" w:space="0" w:color="auto"/>
                <w:right w:val="none" w:sz="0" w:space="0" w:color="auto"/>
              </w:divBdr>
            </w:div>
          </w:divsChild>
        </w:div>
        <w:div w:id="1999654592">
          <w:marLeft w:val="0"/>
          <w:marRight w:val="0"/>
          <w:marTop w:val="0"/>
          <w:marBottom w:val="150"/>
          <w:divBdr>
            <w:top w:val="none" w:sz="0" w:space="0" w:color="auto"/>
            <w:left w:val="none" w:sz="0" w:space="0" w:color="auto"/>
            <w:bottom w:val="none" w:sz="0" w:space="0" w:color="auto"/>
            <w:right w:val="none" w:sz="0" w:space="0" w:color="auto"/>
          </w:divBdr>
        </w:div>
      </w:divsChild>
    </w:div>
    <w:div w:id="1376664721">
      <w:bodyDiv w:val="1"/>
      <w:marLeft w:val="0"/>
      <w:marRight w:val="0"/>
      <w:marTop w:val="0"/>
      <w:marBottom w:val="0"/>
      <w:divBdr>
        <w:top w:val="none" w:sz="0" w:space="0" w:color="auto"/>
        <w:left w:val="none" w:sz="0" w:space="0" w:color="auto"/>
        <w:bottom w:val="none" w:sz="0" w:space="0" w:color="auto"/>
        <w:right w:val="none" w:sz="0" w:space="0" w:color="auto"/>
      </w:divBdr>
      <w:divsChild>
        <w:div w:id="520120987">
          <w:marLeft w:val="0"/>
          <w:marRight w:val="0"/>
          <w:marTop w:val="0"/>
          <w:marBottom w:val="0"/>
          <w:divBdr>
            <w:top w:val="none" w:sz="0" w:space="0" w:color="auto"/>
            <w:left w:val="none" w:sz="0" w:space="0" w:color="auto"/>
            <w:bottom w:val="none" w:sz="0" w:space="0" w:color="auto"/>
            <w:right w:val="none" w:sz="0" w:space="0" w:color="auto"/>
          </w:divBdr>
          <w:divsChild>
            <w:div w:id="1227573410">
              <w:marLeft w:val="0"/>
              <w:marRight w:val="0"/>
              <w:marTop w:val="0"/>
              <w:marBottom w:val="150"/>
              <w:divBdr>
                <w:top w:val="none" w:sz="0" w:space="0" w:color="auto"/>
                <w:left w:val="none" w:sz="0" w:space="0" w:color="auto"/>
                <w:bottom w:val="none" w:sz="0" w:space="0" w:color="auto"/>
                <w:right w:val="none" w:sz="0" w:space="0" w:color="auto"/>
              </w:divBdr>
            </w:div>
            <w:div w:id="1879203554">
              <w:marLeft w:val="0"/>
              <w:marRight w:val="0"/>
              <w:marTop w:val="0"/>
              <w:marBottom w:val="0"/>
              <w:divBdr>
                <w:top w:val="none" w:sz="0" w:space="0" w:color="auto"/>
                <w:left w:val="none" w:sz="0" w:space="0" w:color="auto"/>
                <w:bottom w:val="none" w:sz="0" w:space="0" w:color="auto"/>
                <w:right w:val="none" w:sz="0" w:space="0" w:color="auto"/>
              </w:divBdr>
              <w:divsChild>
                <w:div w:id="198072510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62164380">
          <w:marLeft w:val="0"/>
          <w:marRight w:val="0"/>
          <w:marTop w:val="0"/>
          <w:marBottom w:val="150"/>
          <w:divBdr>
            <w:top w:val="none" w:sz="0" w:space="0" w:color="auto"/>
            <w:left w:val="none" w:sz="0" w:space="0" w:color="auto"/>
            <w:bottom w:val="none" w:sz="0" w:space="0" w:color="auto"/>
            <w:right w:val="none" w:sz="0" w:space="0" w:color="auto"/>
          </w:divBdr>
          <w:divsChild>
            <w:div w:id="822627548">
              <w:marLeft w:val="0"/>
              <w:marRight w:val="0"/>
              <w:marTop w:val="0"/>
              <w:marBottom w:val="0"/>
              <w:divBdr>
                <w:top w:val="none" w:sz="0" w:space="0" w:color="auto"/>
                <w:left w:val="none" w:sz="0" w:space="0" w:color="auto"/>
                <w:bottom w:val="none" w:sz="0" w:space="0" w:color="auto"/>
                <w:right w:val="none" w:sz="0" w:space="0" w:color="auto"/>
              </w:divBdr>
              <w:divsChild>
                <w:div w:id="19084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074817">
      <w:bodyDiv w:val="1"/>
      <w:marLeft w:val="0"/>
      <w:marRight w:val="0"/>
      <w:marTop w:val="0"/>
      <w:marBottom w:val="0"/>
      <w:divBdr>
        <w:top w:val="none" w:sz="0" w:space="0" w:color="auto"/>
        <w:left w:val="none" w:sz="0" w:space="0" w:color="auto"/>
        <w:bottom w:val="none" w:sz="0" w:space="0" w:color="auto"/>
        <w:right w:val="none" w:sz="0" w:space="0" w:color="auto"/>
      </w:divBdr>
      <w:divsChild>
        <w:div w:id="714819881">
          <w:marLeft w:val="0"/>
          <w:marRight w:val="0"/>
          <w:marTop w:val="0"/>
          <w:marBottom w:val="0"/>
          <w:divBdr>
            <w:top w:val="none" w:sz="0" w:space="0" w:color="auto"/>
            <w:left w:val="none" w:sz="0" w:space="0" w:color="auto"/>
            <w:bottom w:val="none" w:sz="0" w:space="0" w:color="auto"/>
            <w:right w:val="none" w:sz="0" w:space="0" w:color="auto"/>
          </w:divBdr>
          <w:divsChild>
            <w:div w:id="1472750974">
              <w:marLeft w:val="0"/>
              <w:marRight w:val="0"/>
              <w:marTop w:val="0"/>
              <w:marBottom w:val="0"/>
              <w:divBdr>
                <w:top w:val="none" w:sz="0" w:space="0" w:color="auto"/>
                <w:left w:val="none" w:sz="0" w:space="0" w:color="auto"/>
                <w:bottom w:val="none" w:sz="0" w:space="0" w:color="auto"/>
                <w:right w:val="none" w:sz="0" w:space="0" w:color="auto"/>
              </w:divBdr>
              <w:divsChild>
                <w:div w:id="910432176">
                  <w:marLeft w:val="0"/>
                  <w:marRight w:val="0"/>
                  <w:marTop w:val="0"/>
                  <w:marBottom w:val="0"/>
                  <w:divBdr>
                    <w:top w:val="none" w:sz="0" w:space="0" w:color="auto"/>
                    <w:left w:val="none" w:sz="0" w:space="0" w:color="auto"/>
                    <w:bottom w:val="none" w:sz="0" w:space="0" w:color="auto"/>
                    <w:right w:val="none" w:sz="0" w:space="0" w:color="auto"/>
                  </w:divBdr>
                  <w:divsChild>
                    <w:div w:id="639920330">
                      <w:marLeft w:val="0"/>
                      <w:marRight w:val="0"/>
                      <w:marTop w:val="0"/>
                      <w:marBottom w:val="0"/>
                      <w:divBdr>
                        <w:top w:val="none" w:sz="0" w:space="0" w:color="auto"/>
                        <w:left w:val="none" w:sz="0" w:space="0" w:color="auto"/>
                        <w:bottom w:val="none" w:sz="0" w:space="0" w:color="auto"/>
                        <w:right w:val="none" w:sz="0" w:space="0" w:color="auto"/>
                      </w:divBdr>
                      <w:divsChild>
                        <w:div w:id="179511986">
                          <w:marLeft w:val="0"/>
                          <w:marRight w:val="0"/>
                          <w:marTop w:val="0"/>
                          <w:marBottom w:val="0"/>
                          <w:divBdr>
                            <w:top w:val="none" w:sz="0" w:space="0" w:color="auto"/>
                            <w:left w:val="none" w:sz="0" w:space="0" w:color="auto"/>
                            <w:bottom w:val="none" w:sz="0" w:space="0" w:color="auto"/>
                            <w:right w:val="none" w:sz="0" w:space="0" w:color="auto"/>
                          </w:divBdr>
                          <w:divsChild>
                            <w:div w:id="1044403440">
                              <w:marLeft w:val="0"/>
                              <w:marRight w:val="0"/>
                              <w:marTop w:val="0"/>
                              <w:marBottom w:val="0"/>
                              <w:divBdr>
                                <w:top w:val="none" w:sz="0" w:space="0" w:color="auto"/>
                                <w:left w:val="none" w:sz="0" w:space="0" w:color="auto"/>
                                <w:bottom w:val="none" w:sz="0" w:space="0" w:color="auto"/>
                                <w:right w:val="none" w:sz="0" w:space="0" w:color="auto"/>
                              </w:divBdr>
                              <w:divsChild>
                                <w:div w:id="337655049">
                                  <w:marLeft w:val="0"/>
                                  <w:marRight w:val="0"/>
                                  <w:marTop w:val="0"/>
                                  <w:marBottom w:val="0"/>
                                  <w:divBdr>
                                    <w:top w:val="none" w:sz="0" w:space="0" w:color="auto"/>
                                    <w:left w:val="none" w:sz="0" w:space="0" w:color="auto"/>
                                    <w:bottom w:val="none" w:sz="0" w:space="0" w:color="auto"/>
                                    <w:right w:val="none" w:sz="0" w:space="0" w:color="auto"/>
                                  </w:divBdr>
                                  <w:divsChild>
                                    <w:div w:id="116524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467779">
      <w:bodyDiv w:val="1"/>
      <w:marLeft w:val="0"/>
      <w:marRight w:val="0"/>
      <w:marTop w:val="0"/>
      <w:marBottom w:val="0"/>
      <w:divBdr>
        <w:top w:val="none" w:sz="0" w:space="0" w:color="auto"/>
        <w:left w:val="none" w:sz="0" w:space="0" w:color="auto"/>
        <w:bottom w:val="none" w:sz="0" w:space="0" w:color="auto"/>
        <w:right w:val="none" w:sz="0" w:space="0" w:color="auto"/>
      </w:divBdr>
      <w:divsChild>
        <w:div w:id="1770345567">
          <w:marLeft w:val="0"/>
          <w:marRight w:val="0"/>
          <w:marTop w:val="0"/>
          <w:marBottom w:val="0"/>
          <w:divBdr>
            <w:top w:val="none" w:sz="0" w:space="0" w:color="auto"/>
            <w:left w:val="none" w:sz="0" w:space="0" w:color="auto"/>
            <w:bottom w:val="dotted" w:sz="6" w:space="4" w:color="DDDDDD"/>
            <w:right w:val="none" w:sz="0" w:space="0" w:color="auto"/>
          </w:divBdr>
          <w:divsChild>
            <w:div w:id="158375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359874">
      <w:bodyDiv w:val="1"/>
      <w:marLeft w:val="0"/>
      <w:marRight w:val="0"/>
      <w:marTop w:val="0"/>
      <w:marBottom w:val="0"/>
      <w:divBdr>
        <w:top w:val="none" w:sz="0" w:space="0" w:color="auto"/>
        <w:left w:val="none" w:sz="0" w:space="0" w:color="auto"/>
        <w:bottom w:val="none" w:sz="0" w:space="0" w:color="auto"/>
        <w:right w:val="none" w:sz="0" w:space="0" w:color="auto"/>
      </w:divBdr>
      <w:divsChild>
        <w:div w:id="1344044697">
          <w:marLeft w:val="0"/>
          <w:marRight w:val="0"/>
          <w:marTop w:val="0"/>
          <w:marBottom w:val="0"/>
          <w:divBdr>
            <w:top w:val="none" w:sz="0" w:space="0" w:color="auto"/>
            <w:left w:val="none" w:sz="0" w:space="0" w:color="auto"/>
            <w:bottom w:val="none" w:sz="0" w:space="0" w:color="auto"/>
            <w:right w:val="none" w:sz="0" w:space="0" w:color="auto"/>
          </w:divBdr>
          <w:divsChild>
            <w:div w:id="11661651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78429527">
      <w:bodyDiv w:val="1"/>
      <w:marLeft w:val="0"/>
      <w:marRight w:val="0"/>
      <w:marTop w:val="0"/>
      <w:marBottom w:val="0"/>
      <w:divBdr>
        <w:top w:val="none" w:sz="0" w:space="0" w:color="auto"/>
        <w:left w:val="none" w:sz="0" w:space="0" w:color="auto"/>
        <w:bottom w:val="none" w:sz="0" w:space="0" w:color="auto"/>
        <w:right w:val="none" w:sz="0" w:space="0" w:color="auto"/>
      </w:divBdr>
    </w:div>
    <w:div w:id="1378509811">
      <w:bodyDiv w:val="1"/>
      <w:marLeft w:val="0"/>
      <w:marRight w:val="0"/>
      <w:marTop w:val="0"/>
      <w:marBottom w:val="0"/>
      <w:divBdr>
        <w:top w:val="none" w:sz="0" w:space="0" w:color="auto"/>
        <w:left w:val="none" w:sz="0" w:space="0" w:color="auto"/>
        <w:bottom w:val="none" w:sz="0" w:space="0" w:color="auto"/>
        <w:right w:val="none" w:sz="0" w:space="0" w:color="auto"/>
      </w:divBdr>
      <w:divsChild>
        <w:div w:id="1135180073">
          <w:marLeft w:val="0"/>
          <w:marRight w:val="0"/>
          <w:marTop w:val="0"/>
          <w:marBottom w:val="0"/>
          <w:divBdr>
            <w:top w:val="single" w:sz="6" w:space="0" w:color="999999"/>
            <w:left w:val="single" w:sz="6" w:space="0" w:color="999999"/>
            <w:bottom w:val="single" w:sz="6" w:space="0" w:color="999999"/>
            <w:right w:val="single" w:sz="6" w:space="0" w:color="999999"/>
          </w:divBdr>
          <w:divsChild>
            <w:div w:id="345206033">
              <w:marLeft w:val="0"/>
              <w:marRight w:val="0"/>
              <w:marTop w:val="225"/>
              <w:marBottom w:val="0"/>
              <w:divBdr>
                <w:top w:val="single" w:sz="6" w:space="0" w:color="FFFFFF"/>
                <w:left w:val="none" w:sz="0" w:space="0" w:color="auto"/>
                <w:bottom w:val="none" w:sz="0" w:space="0" w:color="auto"/>
                <w:right w:val="none" w:sz="0" w:space="0" w:color="auto"/>
              </w:divBdr>
              <w:divsChild>
                <w:div w:id="1561163348">
                  <w:marLeft w:val="0"/>
                  <w:marRight w:val="0"/>
                  <w:marTop w:val="0"/>
                  <w:marBottom w:val="0"/>
                  <w:divBdr>
                    <w:top w:val="none" w:sz="0" w:space="0" w:color="auto"/>
                    <w:left w:val="none" w:sz="0" w:space="0" w:color="auto"/>
                    <w:bottom w:val="none" w:sz="0" w:space="0" w:color="auto"/>
                    <w:right w:val="none" w:sz="0" w:space="0" w:color="auto"/>
                  </w:divBdr>
                  <w:divsChild>
                    <w:div w:id="953486666">
                      <w:marLeft w:val="0"/>
                      <w:marRight w:val="15"/>
                      <w:marTop w:val="0"/>
                      <w:marBottom w:val="0"/>
                      <w:divBdr>
                        <w:top w:val="none" w:sz="0" w:space="0" w:color="auto"/>
                        <w:left w:val="none" w:sz="0" w:space="0" w:color="auto"/>
                        <w:bottom w:val="none" w:sz="0" w:space="0" w:color="auto"/>
                        <w:right w:val="none" w:sz="0" w:space="0" w:color="auto"/>
                      </w:divBdr>
                      <w:divsChild>
                        <w:div w:id="2110541998">
                          <w:marLeft w:val="0"/>
                          <w:marRight w:val="0"/>
                          <w:marTop w:val="0"/>
                          <w:marBottom w:val="0"/>
                          <w:divBdr>
                            <w:top w:val="none" w:sz="0" w:space="0" w:color="auto"/>
                            <w:left w:val="none" w:sz="0" w:space="0" w:color="auto"/>
                            <w:bottom w:val="none" w:sz="0" w:space="0" w:color="auto"/>
                            <w:right w:val="none" w:sz="0" w:space="0" w:color="auto"/>
                          </w:divBdr>
                          <w:divsChild>
                            <w:div w:id="197396931">
                              <w:marLeft w:val="150"/>
                              <w:marRight w:val="105"/>
                              <w:marTop w:val="0"/>
                              <w:marBottom w:val="180"/>
                              <w:divBdr>
                                <w:top w:val="none" w:sz="0" w:space="0" w:color="auto"/>
                                <w:left w:val="none" w:sz="0" w:space="0" w:color="auto"/>
                                <w:bottom w:val="none" w:sz="0" w:space="0" w:color="auto"/>
                                <w:right w:val="none" w:sz="0" w:space="0" w:color="auto"/>
                              </w:divBdr>
                              <w:divsChild>
                                <w:div w:id="119345427">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8697943">
      <w:bodyDiv w:val="1"/>
      <w:marLeft w:val="0"/>
      <w:marRight w:val="0"/>
      <w:marTop w:val="0"/>
      <w:marBottom w:val="0"/>
      <w:divBdr>
        <w:top w:val="none" w:sz="0" w:space="0" w:color="auto"/>
        <w:left w:val="none" w:sz="0" w:space="0" w:color="auto"/>
        <w:bottom w:val="none" w:sz="0" w:space="0" w:color="auto"/>
        <w:right w:val="none" w:sz="0" w:space="0" w:color="auto"/>
      </w:divBdr>
    </w:div>
    <w:div w:id="1378891336">
      <w:bodyDiv w:val="1"/>
      <w:marLeft w:val="0"/>
      <w:marRight w:val="0"/>
      <w:marTop w:val="0"/>
      <w:marBottom w:val="0"/>
      <w:divBdr>
        <w:top w:val="none" w:sz="0" w:space="0" w:color="auto"/>
        <w:left w:val="none" w:sz="0" w:space="0" w:color="auto"/>
        <w:bottom w:val="none" w:sz="0" w:space="0" w:color="auto"/>
        <w:right w:val="none" w:sz="0" w:space="0" w:color="auto"/>
      </w:divBdr>
    </w:div>
    <w:div w:id="1378971314">
      <w:bodyDiv w:val="1"/>
      <w:marLeft w:val="0"/>
      <w:marRight w:val="0"/>
      <w:marTop w:val="0"/>
      <w:marBottom w:val="0"/>
      <w:divBdr>
        <w:top w:val="none" w:sz="0" w:space="0" w:color="auto"/>
        <w:left w:val="none" w:sz="0" w:space="0" w:color="auto"/>
        <w:bottom w:val="none" w:sz="0" w:space="0" w:color="auto"/>
        <w:right w:val="none" w:sz="0" w:space="0" w:color="auto"/>
      </w:divBdr>
      <w:divsChild>
        <w:div w:id="232470170">
          <w:marLeft w:val="0"/>
          <w:marRight w:val="0"/>
          <w:marTop w:val="0"/>
          <w:marBottom w:val="225"/>
          <w:divBdr>
            <w:top w:val="none" w:sz="0" w:space="0" w:color="auto"/>
            <w:left w:val="none" w:sz="0" w:space="0" w:color="auto"/>
            <w:bottom w:val="none" w:sz="0" w:space="0" w:color="auto"/>
            <w:right w:val="none" w:sz="0" w:space="0" w:color="auto"/>
          </w:divBdr>
          <w:divsChild>
            <w:div w:id="895358531">
              <w:marLeft w:val="0"/>
              <w:marRight w:val="0"/>
              <w:marTop w:val="0"/>
              <w:marBottom w:val="0"/>
              <w:divBdr>
                <w:top w:val="none" w:sz="0" w:space="0" w:color="auto"/>
                <w:left w:val="none" w:sz="0" w:space="0" w:color="auto"/>
                <w:bottom w:val="none" w:sz="0" w:space="0" w:color="auto"/>
                <w:right w:val="none" w:sz="0" w:space="0" w:color="auto"/>
              </w:divBdr>
              <w:divsChild>
                <w:div w:id="61166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764682">
          <w:marLeft w:val="0"/>
          <w:marRight w:val="0"/>
          <w:marTop w:val="0"/>
          <w:marBottom w:val="225"/>
          <w:divBdr>
            <w:top w:val="none" w:sz="0" w:space="0" w:color="auto"/>
            <w:left w:val="none" w:sz="0" w:space="0" w:color="auto"/>
            <w:bottom w:val="none" w:sz="0" w:space="0" w:color="auto"/>
            <w:right w:val="none" w:sz="0" w:space="0" w:color="auto"/>
          </w:divBdr>
        </w:div>
      </w:divsChild>
    </w:div>
    <w:div w:id="1379285009">
      <w:bodyDiv w:val="1"/>
      <w:marLeft w:val="0"/>
      <w:marRight w:val="0"/>
      <w:marTop w:val="0"/>
      <w:marBottom w:val="0"/>
      <w:divBdr>
        <w:top w:val="none" w:sz="0" w:space="0" w:color="auto"/>
        <w:left w:val="none" w:sz="0" w:space="0" w:color="auto"/>
        <w:bottom w:val="none" w:sz="0" w:space="0" w:color="auto"/>
        <w:right w:val="none" w:sz="0" w:space="0" w:color="auto"/>
      </w:divBdr>
    </w:div>
    <w:div w:id="1379548993">
      <w:bodyDiv w:val="1"/>
      <w:marLeft w:val="0"/>
      <w:marRight w:val="0"/>
      <w:marTop w:val="0"/>
      <w:marBottom w:val="0"/>
      <w:divBdr>
        <w:top w:val="none" w:sz="0" w:space="0" w:color="auto"/>
        <w:left w:val="none" w:sz="0" w:space="0" w:color="auto"/>
        <w:bottom w:val="none" w:sz="0" w:space="0" w:color="auto"/>
        <w:right w:val="none" w:sz="0" w:space="0" w:color="auto"/>
      </w:divBdr>
      <w:divsChild>
        <w:div w:id="1893152674">
          <w:marLeft w:val="0"/>
          <w:marRight w:val="0"/>
          <w:marTop w:val="0"/>
          <w:marBottom w:val="0"/>
          <w:divBdr>
            <w:top w:val="none" w:sz="0" w:space="0" w:color="auto"/>
            <w:left w:val="none" w:sz="0" w:space="0" w:color="auto"/>
            <w:bottom w:val="dotted" w:sz="6" w:space="4" w:color="DDDDDD"/>
            <w:right w:val="none" w:sz="0" w:space="0" w:color="auto"/>
          </w:divBdr>
          <w:divsChild>
            <w:div w:id="91366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275735">
      <w:bodyDiv w:val="1"/>
      <w:marLeft w:val="0"/>
      <w:marRight w:val="0"/>
      <w:marTop w:val="0"/>
      <w:marBottom w:val="0"/>
      <w:divBdr>
        <w:top w:val="none" w:sz="0" w:space="0" w:color="auto"/>
        <w:left w:val="none" w:sz="0" w:space="0" w:color="auto"/>
        <w:bottom w:val="none" w:sz="0" w:space="0" w:color="auto"/>
        <w:right w:val="none" w:sz="0" w:space="0" w:color="auto"/>
      </w:divBdr>
      <w:divsChild>
        <w:div w:id="529296180">
          <w:marLeft w:val="0"/>
          <w:marRight w:val="0"/>
          <w:marTop w:val="0"/>
          <w:marBottom w:val="150"/>
          <w:divBdr>
            <w:top w:val="none" w:sz="0" w:space="0" w:color="auto"/>
            <w:left w:val="none" w:sz="0" w:space="0" w:color="auto"/>
            <w:bottom w:val="none" w:sz="0" w:space="0" w:color="auto"/>
            <w:right w:val="none" w:sz="0" w:space="0" w:color="auto"/>
          </w:divBdr>
        </w:div>
      </w:divsChild>
    </w:div>
    <w:div w:id="1380351553">
      <w:bodyDiv w:val="1"/>
      <w:marLeft w:val="0"/>
      <w:marRight w:val="0"/>
      <w:marTop w:val="0"/>
      <w:marBottom w:val="0"/>
      <w:divBdr>
        <w:top w:val="none" w:sz="0" w:space="0" w:color="auto"/>
        <w:left w:val="none" w:sz="0" w:space="0" w:color="auto"/>
        <w:bottom w:val="none" w:sz="0" w:space="0" w:color="auto"/>
        <w:right w:val="none" w:sz="0" w:space="0" w:color="auto"/>
      </w:divBdr>
      <w:divsChild>
        <w:div w:id="815949233">
          <w:marLeft w:val="0"/>
          <w:marRight w:val="0"/>
          <w:marTop w:val="0"/>
          <w:marBottom w:val="0"/>
          <w:divBdr>
            <w:top w:val="none" w:sz="0" w:space="0" w:color="auto"/>
            <w:left w:val="none" w:sz="0" w:space="0" w:color="auto"/>
            <w:bottom w:val="none" w:sz="0" w:space="0" w:color="auto"/>
            <w:right w:val="none" w:sz="0" w:space="0" w:color="auto"/>
          </w:divBdr>
          <w:divsChild>
            <w:div w:id="733434397">
              <w:marLeft w:val="0"/>
              <w:marRight w:val="0"/>
              <w:marTop w:val="0"/>
              <w:marBottom w:val="0"/>
              <w:divBdr>
                <w:top w:val="none" w:sz="0" w:space="0" w:color="auto"/>
                <w:left w:val="none" w:sz="0" w:space="0" w:color="auto"/>
                <w:bottom w:val="none" w:sz="0" w:space="0" w:color="auto"/>
                <w:right w:val="none" w:sz="0" w:space="0" w:color="auto"/>
              </w:divBdr>
            </w:div>
            <w:div w:id="1600286649">
              <w:marLeft w:val="0"/>
              <w:marRight w:val="0"/>
              <w:marTop w:val="0"/>
              <w:marBottom w:val="150"/>
              <w:divBdr>
                <w:top w:val="none" w:sz="0" w:space="0" w:color="auto"/>
                <w:left w:val="none" w:sz="0" w:space="0" w:color="auto"/>
                <w:bottom w:val="none" w:sz="0" w:space="0" w:color="auto"/>
                <w:right w:val="none" w:sz="0" w:space="0" w:color="auto"/>
              </w:divBdr>
            </w:div>
          </w:divsChild>
        </w:div>
        <w:div w:id="1279876549">
          <w:marLeft w:val="0"/>
          <w:marRight w:val="0"/>
          <w:marTop w:val="0"/>
          <w:marBottom w:val="150"/>
          <w:divBdr>
            <w:top w:val="none" w:sz="0" w:space="0" w:color="auto"/>
            <w:left w:val="none" w:sz="0" w:space="0" w:color="auto"/>
            <w:bottom w:val="none" w:sz="0" w:space="0" w:color="auto"/>
            <w:right w:val="none" w:sz="0" w:space="0" w:color="auto"/>
          </w:divBdr>
          <w:divsChild>
            <w:div w:id="94739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396057">
      <w:bodyDiv w:val="1"/>
      <w:marLeft w:val="0"/>
      <w:marRight w:val="0"/>
      <w:marTop w:val="0"/>
      <w:marBottom w:val="0"/>
      <w:divBdr>
        <w:top w:val="none" w:sz="0" w:space="0" w:color="auto"/>
        <w:left w:val="none" w:sz="0" w:space="0" w:color="auto"/>
        <w:bottom w:val="none" w:sz="0" w:space="0" w:color="auto"/>
        <w:right w:val="none" w:sz="0" w:space="0" w:color="auto"/>
      </w:divBdr>
    </w:div>
    <w:div w:id="1380665029">
      <w:bodyDiv w:val="1"/>
      <w:marLeft w:val="0"/>
      <w:marRight w:val="0"/>
      <w:marTop w:val="0"/>
      <w:marBottom w:val="0"/>
      <w:divBdr>
        <w:top w:val="none" w:sz="0" w:space="0" w:color="auto"/>
        <w:left w:val="none" w:sz="0" w:space="0" w:color="auto"/>
        <w:bottom w:val="none" w:sz="0" w:space="0" w:color="auto"/>
        <w:right w:val="none" w:sz="0" w:space="0" w:color="auto"/>
      </w:divBdr>
    </w:div>
    <w:div w:id="1381248509">
      <w:bodyDiv w:val="1"/>
      <w:marLeft w:val="0"/>
      <w:marRight w:val="0"/>
      <w:marTop w:val="0"/>
      <w:marBottom w:val="0"/>
      <w:divBdr>
        <w:top w:val="none" w:sz="0" w:space="0" w:color="auto"/>
        <w:left w:val="none" w:sz="0" w:space="0" w:color="auto"/>
        <w:bottom w:val="none" w:sz="0" w:space="0" w:color="auto"/>
        <w:right w:val="none" w:sz="0" w:space="0" w:color="auto"/>
      </w:divBdr>
      <w:divsChild>
        <w:div w:id="1828473066">
          <w:marLeft w:val="0"/>
          <w:marRight w:val="0"/>
          <w:marTop w:val="0"/>
          <w:marBottom w:val="0"/>
          <w:divBdr>
            <w:top w:val="none" w:sz="0" w:space="0" w:color="auto"/>
            <w:left w:val="none" w:sz="0" w:space="0" w:color="auto"/>
            <w:bottom w:val="dotted" w:sz="6" w:space="4" w:color="DDDDDD"/>
            <w:right w:val="none" w:sz="0" w:space="0" w:color="auto"/>
          </w:divBdr>
        </w:div>
      </w:divsChild>
    </w:div>
    <w:div w:id="1381438603">
      <w:bodyDiv w:val="1"/>
      <w:marLeft w:val="0"/>
      <w:marRight w:val="0"/>
      <w:marTop w:val="0"/>
      <w:marBottom w:val="0"/>
      <w:divBdr>
        <w:top w:val="none" w:sz="0" w:space="0" w:color="auto"/>
        <w:left w:val="none" w:sz="0" w:space="0" w:color="auto"/>
        <w:bottom w:val="none" w:sz="0" w:space="0" w:color="auto"/>
        <w:right w:val="none" w:sz="0" w:space="0" w:color="auto"/>
      </w:divBdr>
      <w:divsChild>
        <w:div w:id="154730895">
          <w:marLeft w:val="0"/>
          <w:marRight w:val="0"/>
          <w:marTop w:val="0"/>
          <w:marBottom w:val="0"/>
          <w:divBdr>
            <w:top w:val="none" w:sz="0" w:space="0" w:color="auto"/>
            <w:left w:val="none" w:sz="0" w:space="0" w:color="auto"/>
            <w:bottom w:val="none" w:sz="0" w:space="0" w:color="auto"/>
            <w:right w:val="none" w:sz="0" w:space="0" w:color="auto"/>
          </w:divBdr>
          <w:divsChild>
            <w:div w:id="1024138389">
              <w:marLeft w:val="0"/>
              <w:marRight w:val="0"/>
              <w:marTop w:val="0"/>
              <w:marBottom w:val="0"/>
              <w:divBdr>
                <w:top w:val="none" w:sz="0" w:space="0" w:color="auto"/>
                <w:left w:val="none" w:sz="0" w:space="0" w:color="auto"/>
                <w:bottom w:val="none" w:sz="0" w:space="0" w:color="auto"/>
                <w:right w:val="none" w:sz="0" w:space="0" w:color="auto"/>
              </w:divBdr>
              <w:divsChild>
                <w:div w:id="1375159846">
                  <w:marLeft w:val="0"/>
                  <w:marRight w:val="0"/>
                  <w:marTop w:val="0"/>
                  <w:marBottom w:val="0"/>
                  <w:divBdr>
                    <w:top w:val="none" w:sz="0" w:space="0" w:color="auto"/>
                    <w:left w:val="none" w:sz="0" w:space="0" w:color="auto"/>
                    <w:bottom w:val="none" w:sz="0" w:space="0" w:color="auto"/>
                    <w:right w:val="none" w:sz="0" w:space="0" w:color="auto"/>
                  </w:divBdr>
                  <w:divsChild>
                    <w:div w:id="2024747978">
                      <w:marLeft w:val="0"/>
                      <w:marRight w:val="0"/>
                      <w:marTop w:val="0"/>
                      <w:marBottom w:val="0"/>
                      <w:divBdr>
                        <w:top w:val="none" w:sz="0" w:space="0" w:color="auto"/>
                        <w:left w:val="none" w:sz="0" w:space="0" w:color="auto"/>
                        <w:bottom w:val="none" w:sz="0" w:space="0" w:color="auto"/>
                        <w:right w:val="none" w:sz="0" w:space="0" w:color="auto"/>
                      </w:divBdr>
                      <w:divsChild>
                        <w:div w:id="1135872888">
                          <w:marLeft w:val="0"/>
                          <w:marRight w:val="0"/>
                          <w:marTop w:val="0"/>
                          <w:marBottom w:val="0"/>
                          <w:divBdr>
                            <w:top w:val="none" w:sz="0" w:space="0" w:color="auto"/>
                            <w:left w:val="none" w:sz="0" w:space="0" w:color="auto"/>
                            <w:bottom w:val="none" w:sz="0" w:space="0" w:color="auto"/>
                            <w:right w:val="none" w:sz="0" w:space="0" w:color="auto"/>
                          </w:divBdr>
                          <w:divsChild>
                            <w:div w:id="1939753060">
                              <w:marLeft w:val="0"/>
                              <w:marRight w:val="0"/>
                              <w:marTop w:val="0"/>
                              <w:marBottom w:val="0"/>
                              <w:divBdr>
                                <w:top w:val="none" w:sz="0" w:space="0" w:color="auto"/>
                                <w:left w:val="none" w:sz="0" w:space="0" w:color="auto"/>
                                <w:bottom w:val="none" w:sz="0" w:space="0" w:color="auto"/>
                                <w:right w:val="none" w:sz="0" w:space="0" w:color="auto"/>
                              </w:divBdr>
                              <w:divsChild>
                                <w:div w:id="33411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1587413">
      <w:bodyDiv w:val="1"/>
      <w:marLeft w:val="0"/>
      <w:marRight w:val="0"/>
      <w:marTop w:val="0"/>
      <w:marBottom w:val="0"/>
      <w:divBdr>
        <w:top w:val="none" w:sz="0" w:space="0" w:color="auto"/>
        <w:left w:val="none" w:sz="0" w:space="0" w:color="auto"/>
        <w:bottom w:val="none" w:sz="0" w:space="0" w:color="auto"/>
        <w:right w:val="none" w:sz="0" w:space="0" w:color="auto"/>
      </w:divBdr>
      <w:divsChild>
        <w:div w:id="2000883145">
          <w:marLeft w:val="0"/>
          <w:marRight w:val="0"/>
          <w:marTop w:val="0"/>
          <w:marBottom w:val="0"/>
          <w:divBdr>
            <w:top w:val="none" w:sz="0" w:space="0" w:color="auto"/>
            <w:left w:val="none" w:sz="0" w:space="0" w:color="auto"/>
            <w:bottom w:val="dotted" w:sz="6" w:space="4" w:color="DDDDDD"/>
            <w:right w:val="none" w:sz="0" w:space="0" w:color="auto"/>
          </w:divBdr>
          <w:divsChild>
            <w:div w:id="212614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980482">
      <w:bodyDiv w:val="1"/>
      <w:marLeft w:val="0"/>
      <w:marRight w:val="0"/>
      <w:marTop w:val="0"/>
      <w:marBottom w:val="0"/>
      <w:divBdr>
        <w:top w:val="none" w:sz="0" w:space="0" w:color="auto"/>
        <w:left w:val="none" w:sz="0" w:space="0" w:color="auto"/>
        <w:bottom w:val="none" w:sz="0" w:space="0" w:color="auto"/>
        <w:right w:val="none" w:sz="0" w:space="0" w:color="auto"/>
      </w:divBdr>
      <w:divsChild>
        <w:div w:id="1847593673">
          <w:marLeft w:val="0"/>
          <w:marRight w:val="0"/>
          <w:marTop w:val="0"/>
          <w:marBottom w:val="450"/>
          <w:divBdr>
            <w:top w:val="none" w:sz="0" w:space="0" w:color="auto"/>
            <w:left w:val="none" w:sz="0" w:space="0" w:color="auto"/>
            <w:bottom w:val="single" w:sz="6" w:space="19" w:color="EEEEEE"/>
            <w:right w:val="none" w:sz="0" w:space="0" w:color="auto"/>
          </w:divBdr>
          <w:divsChild>
            <w:div w:id="1517110852">
              <w:marLeft w:val="0"/>
              <w:marRight w:val="0"/>
              <w:marTop w:val="0"/>
              <w:marBottom w:val="150"/>
              <w:divBdr>
                <w:top w:val="none" w:sz="0" w:space="0" w:color="auto"/>
                <w:left w:val="none" w:sz="0" w:space="0" w:color="auto"/>
                <w:bottom w:val="none" w:sz="0" w:space="0" w:color="auto"/>
                <w:right w:val="none" w:sz="0" w:space="0" w:color="auto"/>
              </w:divBdr>
              <w:divsChild>
                <w:div w:id="193348798">
                  <w:marLeft w:val="0"/>
                  <w:marRight w:val="0"/>
                  <w:marTop w:val="0"/>
                  <w:marBottom w:val="0"/>
                  <w:divBdr>
                    <w:top w:val="none" w:sz="0" w:space="0" w:color="auto"/>
                    <w:left w:val="none" w:sz="0" w:space="0" w:color="auto"/>
                    <w:bottom w:val="none" w:sz="0" w:space="0" w:color="auto"/>
                    <w:right w:val="none" w:sz="0" w:space="0" w:color="auto"/>
                  </w:divBdr>
                </w:div>
              </w:divsChild>
            </w:div>
            <w:div w:id="1312828512">
              <w:marLeft w:val="0"/>
              <w:marRight w:val="0"/>
              <w:marTop w:val="0"/>
              <w:marBottom w:val="0"/>
              <w:divBdr>
                <w:top w:val="none" w:sz="0" w:space="0" w:color="auto"/>
                <w:left w:val="none" w:sz="0" w:space="0" w:color="auto"/>
                <w:bottom w:val="none" w:sz="0" w:space="0" w:color="auto"/>
                <w:right w:val="none" w:sz="0" w:space="0" w:color="auto"/>
              </w:divBdr>
            </w:div>
          </w:divsChild>
        </w:div>
        <w:div w:id="1488326315">
          <w:marLeft w:val="0"/>
          <w:marRight w:val="0"/>
          <w:marTop w:val="0"/>
          <w:marBottom w:val="0"/>
          <w:divBdr>
            <w:top w:val="none" w:sz="0" w:space="0" w:color="auto"/>
            <w:left w:val="none" w:sz="0" w:space="0" w:color="auto"/>
            <w:bottom w:val="none" w:sz="0" w:space="0" w:color="auto"/>
            <w:right w:val="none" w:sz="0" w:space="0" w:color="auto"/>
          </w:divBdr>
          <w:divsChild>
            <w:div w:id="2138527746">
              <w:marLeft w:val="0"/>
              <w:marRight w:val="0"/>
              <w:marTop w:val="0"/>
              <w:marBottom w:val="0"/>
              <w:divBdr>
                <w:top w:val="none" w:sz="0" w:space="0" w:color="auto"/>
                <w:left w:val="none" w:sz="0" w:space="0" w:color="auto"/>
                <w:bottom w:val="none" w:sz="0" w:space="0" w:color="auto"/>
                <w:right w:val="none" w:sz="0" w:space="0" w:color="auto"/>
              </w:divBdr>
              <w:divsChild>
                <w:div w:id="155577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286714">
      <w:bodyDiv w:val="1"/>
      <w:marLeft w:val="0"/>
      <w:marRight w:val="0"/>
      <w:marTop w:val="0"/>
      <w:marBottom w:val="0"/>
      <w:divBdr>
        <w:top w:val="none" w:sz="0" w:space="0" w:color="auto"/>
        <w:left w:val="none" w:sz="0" w:space="0" w:color="auto"/>
        <w:bottom w:val="none" w:sz="0" w:space="0" w:color="auto"/>
        <w:right w:val="none" w:sz="0" w:space="0" w:color="auto"/>
      </w:divBdr>
      <w:divsChild>
        <w:div w:id="315886251">
          <w:marLeft w:val="0"/>
          <w:marRight w:val="0"/>
          <w:marTop w:val="0"/>
          <w:marBottom w:val="0"/>
          <w:divBdr>
            <w:top w:val="none" w:sz="0" w:space="0" w:color="auto"/>
            <w:left w:val="none" w:sz="0" w:space="0" w:color="auto"/>
            <w:bottom w:val="none" w:sz="0" w:space="0" w:color="auto"/>
            <w:right w:val="none" w:sz="0" w:space="0" w:color="auto"/>
          </w:divBdr>
          <w:divsChild>
            <w:div w:id="265776226">
              <w:marLeft w:val="0"/>
              <w:marRight w:val="0"/>
              <w:marTop w:val="0"/>
              <w:marBottom w:val="0"/>
              <w:divBdr>
                <w:top w:val="none" w:sz="0" w:space="0" w:color="auto"/>
                <w:left w:val="none" w:sz="0" w:space="0" w:color="auto"/>
                <w:bottom w:val="none" w:sz="0" w:space="0" w:color="auto"/>
                <w:right w:val="none" w:sz="0" w:space="0" w:color="auto"/>
              </w:divBdr>
            </w:div>
          </w:divsChild>
        </w:div>
        <w:div w:id="1081415344">
          <w:marLeft w:val="0"/>
          <w:marRight w:val="0"/>
          <w:marTop w:val="0"/>
          <w:marBottom w:val="150"/>
          <w:divBdr>
            <w:top w:val="none" w:sz="0" w:space="0" w:color="auto"/>
            <w:left w:val="none" w:sz="0" w:space="0" w:color="auto"/>
            <w:bottom w:val="none" w:sz="0" w:space="0" w:color="auto"/>
            <w:right w:val="none" w:sz="0" w:space="0" w:color="auto"/>
          </w:divBdr>
          <w:divsChild>
            <w:div w:id="36245967">
              <w:marLeft w:val="0"/>
              <w:marRight w:val="0"/>
              <w:marTop w:val="0"/>
              <w:marBottom w:val="0"/>
              <w:divBdr>
                <w:top w:val="none" w:sz="0" w:space="0" w:color="auto"/>
                <w:left w:val="none" w:sz="0" w:space="0" w:color="auto"/>
                <w:bottom w:val="none" w:sz="0" w:space="0" w:color="auto"/>
                <w:right w:val="none" w:sz="0" w:space="0" w:color="auto"/>
              </w:divBdr>
            </w:div>
          </w:divsChild>
        </w:div>
        <w:div w:id="1973092606">
          <w:marLeft w:val="0"/>
          <w:marRight w:val="0"/>
          <w:marTop w:val="0"/>
          <w:marBottom w:val="150"/>
          <w:divBdr>
            <w:top w:val="none" w:sz="0" w:space="0" w:color="auto"/>
            <w:left w:val="none" w:sz="0" w:space="0" w:color="auto"/>
            <w:bottom w:val="none" w:sz="0" w:space="0" w:color="auto"/>
            <w:right w:val="none" w:sz="0" w:space="0" w:color="auto"/>
          </w:divBdr>
        </w:div>
      </w:divsChild>
    </w:div>
    <w:div w:id="1382900309">
      <w:bodyDiv w:val="1"/>
      <w:marLeft w:val="0"/>
      <w:marRight w:val="0"/>
      <w:marTop w:val="0"/>
      <w:marBottom w:val="0"/>
      <w:divBdr>
        <w:top w:val="none" w:sz="0" w:space="0" w:color="auto"/>
        <w:left w:val="none" w:sz="0" w:space="0" w:color="auto"/>
        <w:bottom w:val="none" w:sz="0" w:space="0" w:color="auto"/>
        <w:right w:val="none" w:sz="0" w:space="0" w:color="auto"/>
      </w:divBdr>
      <w:divsChild>
        <w:div w:id="675352179">
          <w:marLeft w:val="0"/>
          <w:marRight w:val="0"/>
          <w:marTop w:val="0"/>
          <w:marBottom w:val="0"/>
          <w:divBdr>
            <w:top w:val="none" w:sz="0" w:space="0" w:color="auto"/>
            <w:left w:val="none" w:sz="0" w:space="0" w:color="auto"/>
            <w:bottom w:val="none" w:sz="0" w:space="0" w:color="auto"/>
            <w:right w:val="none" w:sz="0" w:space="0" w:color="auto"/>
          </w:divBdr>
          <w:divsChild>
            <w:div w:id="703403260">
              <w:marLeft w:val="0"/>
              <w:marRight w:val="0"/>
              <w:marTop w:val="0"/>
              <w:marBottom w:val="0"/>
              <w:divBdr>
                <w:top w:val="none" w:sz="0" w:space="0" w:color="auto"/>
                <w:left w:val="none" w:sz="0" w:space="0" w:color="auto"/>
                <w:bottom w:val="none" w:sz="0" w:space="0" w:color="auto"/>
                <w:right w:val="none" w:sz="0" w:space="0" w:color="auto"/>
              </w:divBdr>
              <w:divsChild>
                <w:div w:id="541794607">
                  <w:marLeft w:val="0"/>
                  <w:marRight w:val="0"/>
                  <w:marTop w:val="0"/>
                  <w:marBottom w:val="0"/>
                  <w:divBdr>
                    <w:top w:val="none" w:sz="0" w:space="0" w:color="auto"/>
                    <w:left w:val="none" w:sz="0" w:space="0" w:color="auto"/>
                    <w:bottom w:val="none" w:sz="0" w:space="0" w:color="auto"/>
                    <w:right w:val="none" w:sz="0" w:space="0" w:color="auto"/>
                  </w:divBdr>
                  <w:divsChild>
                    <w:div w:id="2082093521">
                      <w:marLeft w:val="0"/>
                      <w:marRight w:val="0"/>
                      <w:marTop w:val="0"/>
                      <w:marBottom w:val="0"/>
                      <w:divBdr>
                        <w:top w:val="none" w:sz="0" w:space="0" w:color="auto"/>
                        <w:left w:val="none" w:sz="0" w:space="0" w:color="auto"/>
                        <w:bottom w:val="none" w:sz="0" w:space="0" w:color="auto"/>
                        <w:right w:val="none" w:sz="0" w:space="0" w:color="auto"/>
                      </w:divBdr>
                      <w:divsChild>
                        <w:div w:id="60906756">
                          <w:marLeft w:val="0"/>
                          <w:marRight w:val="0"/>
                          <w:marTop w:val="0"/>
                          <w:marBottom w:val="0"/>
                          <w:divBdr>
                            <w:top w:val="none" w:sz="0" w:space="0" w:color="auto"/>
                            <w:left w:val="none" w:sz="0" w:space="0" w:color="auto"/>
                            <w:bottom w:val="none" w:sz="0" w:space="0" w:color="auto"/>
                            <w:right w:val="none" w:sz="0" w:space="0" w:color="auto"/>
                          </w:divBdr>
                          <w:divsChild>
                            <w:div w:id="583883672">
                              <w:marLeft w:val="0"/>
                              <w:marRight w:val="0"/>
                              <w:marTop w:val="0"/>
                              <w:marBottom w:val="0"/>
                              <w:divBdr>
                                <w:top w:val="none" w:sz="0" w:space="0" w:color="auto"/>
                                <w:left w:val="none" w:sz="0" w:space="0" w:color="auto"/>
                                <w:bottom w:val="none" w:sz="0" w:space="0" w:color="auto"/>
                                <w:right w:val="none" w:sz="0" w:space="0" w:color="auto"/>
                              </w:divBdr>
                              <w:divsChild>
                                <w:div w:id="584263123">
                                  <w:marLeft w:val="0"/>
                                  <w:marRight w:val="0"/>
                                  <w:marTop w:val="0"/>
                                  <w:marBottom w:val="0"/>
                                  <w:divBdr>
                                    <w:top w:val="none" w:sz="0" w:space="0" w:color="auto"/>
                                    <w:left w:val="none" w:sz="0" w:space="0" w:color="auto"/>
                                    <w:bottom w:val="none" w:sz="0" w:space="0" w:color="auto"/>
                                    <w:right w:val="none" w:sz="0" w:space="0" w:color="auto"/>
                                  </w:divBdr>
                                  <w:divsChild>
                                    <w:div w:id="15808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093992">
      <w:bodyDiv w:val="1"/>
      <w:marLeft w:val="0"/>
      <w:marRight w:val="0"/>
      <w:marTop w:val="0"/>
      <w:marBottom w:val="0"/>
      <w:divBdr>
        <w:top w:val="none" w:sz="0" w:space="0" w:color="auto"/>
        <w:left w:val="none" w:sz="0" w:space="0" w:color="auto"/>
        <w:bottom w:val="none" w:sz="0" w:space="0" w:color="auto"/>
        <w:right w:val="none" w:sz="0" w:space="0" w:color="auto"/>
      </w:divBdr>
      <w:divsChild>
        <w:div w:id="1963262461">
          <w:marLeft w:val="0"/>
          <w:marRight w:val="0"/>
          <w:marTop w:val="0"/>
          <w:marBottom w:val="0"/>
          <w:divBdr>
            <w:top w:val="none" w:sz="0" w:space="0" w:color="auto"/>
            <w:left w:val="none" w:sz="0" w:space="0" w:color="auto"/>
            <w:bottom w:val="none" w:sz="0" w:space="0" w:color="auto"/>
            <w:right w:val="none" w:sz="0" w:space="0" w:color="auto"/>
          </w:divBdr>
          <w:divsChild>
            <w:div w:id="1057818050">
              <w:marLeft w:val="0"/>
              <w:marRight w:val="0"/>
              <w:marTop w:val="0"/>
              <w:marBottom w:val="0"/>
              <w:divBdr>
                <w:top w:val="none" w:sz="0" w:space="0" w:color="auto"/>
                <w:left w:val="none" w:sz="0" w:space="0" w:color="auto"/>
                <w:bottom w:val="none" w:sz="0" w:space="0" w:color="auto"/>
                <w:right w:val="none" w:sz="0" w:space="0" w:color="auto"/>
              </w:divBdr>
              <w:divsChild>
                <w:div w:id="445395046">
                  <w:marLeft w:val="0"/>
                  <w:marRight w:val="0"/>
                  <w:marTop w:val="0"/>
                  <w:marBottom w:val="0"/>
                  <w:divBdr>
                    <w:top w:val="none" w:sz="0" w:space="0" w:color="auto"/>
                    <w:left w:val="none" w:sz="0" w:space="0" w:color="auto"/>
                    <w:bottom w:val="none" w:sz="0" w:space="0" w:color="auto"/>
                    <w:right w:val="none" w:sz="0" w:space="0" w:color="auto"/>
                  </w:divBdr>
                  <w:divsChild>
                    <w:div w:id="989986826">
                      <w:marLeft w:val="0"/>
                      <w:marRight w:val="0"/>
                      <w:marTop w:val="0"/>
                      <w:marBottom w:val="0"/>
                      <w:divBdr>
                        <w:top w:val="none" w:sz="0" w:space="0" w:color="auto"/>
                        <w:left w:val="none" w:sz="0" w:space="0" w:color="auto"/>
                        <w:bottom w:val="none" w:sz="0" w:space="0" w:color="auto"/>
                        <w:right w:val="none" w:sz="0" w:space="0" w:color="auto"/>
                      </w:divBdr>
                      <w:divsChild>
                        <w:div w:id="2055616721">
                          <w:marLeft w:val="0"/>
                          <w:marRight w:val="0"/>
                          <w:marTop w:val="0"/>
                          <w:marBottom w:val="0"/>
                          <w:divBdr>
                            <w:top w:val="none" w:sz="0" w:space="0" w:color="auto"/>
                            <w:left w:val="none" w:sz="0" w:space="0" w:color="auto"/>
                            <w:bottom w:val="none" w:sz="0" w:space="0" w:color="auto"/>
                            <w:right w:val="none" w:sz="0" w:space="0" w:color="auto"/>
                          </w:divBdr>
                          <w:divsChild>
                            <w:div w:id="963272400">
                              <w:marLeft w:val="0"/>
                              <w:marRight w:val="0"/>
                              <w:marTop w:val="0"/>
                              <w:marBottom w:val="0"/>
                              <w:divBdr>
                                <w:top w:val="none" w:sz="0" w:space="0" w:color="auto"/>
                                <w:left w:val="none" w:sz="0" w:space="0" w:color="auto"/>
                                <w:bottom w:val="none" w:sz="0" w:space="0" w:color="auto"/>
                                <w:right w:val="none" w:sz="0" w:space="0" w:color="auto"/>
                              </w:divBdr>
                              <w:divsChild>
                                <w:div w:id="340591931">
                                  <w:marLeft w:val="0"/>
                                  <w:marRight w:val="0"/>
                                  <w:marTop w:val="0"/>
                                  <w:marBottom w:val="0"/>
                                  <w:divBdr>
                                    <w:top w:val="none" w:sz="0" w:space="0" w:color="auto"/>
                                    <w:left w:val="none" w:sz="0" w:space="0" w:color="auto"/>
                                    <w:bottom w:val="none" w:sz="0" w:space="0" w:color="auto"/>
                                    <w:right w:val="none" w:sz="0" w:space="0" w:color="auto"/>
                                  </w:divBdr>
                                  <w:divsChild>
                                    <w:div w:id="55392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405739">
      <w:bodyDiv w:val="1"/>
      <w:marLeft w:val="0"/>
      <w:marRight w:val="0"/>
      <w:marTop w:val="0"/>
      <w:marBottom w:val="0"/>
      <w:divBdr>
        <w:top w:val="none" w:sz="0" w:space="0" w:color="auto"/>
        <w:left w:val="none" w:sz="0" w:space="0" w:color="auto"/>
        <w:bottom w:val="none" w:sz="0" w:space="0" w:color="auto"/>
        <w:right w:val="none" w:sz="0" w:space="0" w:color="auto"/>
      </w:divBdr>
      <w:divsChild>
        <w:div w:id="1428228720">
          <w:marLeft w:val="0"/>
          <w:marRight w:val="0"/>
          <w:marTop w:val="0"/>
          <w:marBottom w:val="150"/>
          <w:divBdr>
            <w:top w:val="none" w:sz="0" w:space="0" w:color="auto"/>
            <w:left w:val="none" w:sz="0" w:space="0" w:color="auto"/>
            <w:bottom w:val="none" w:sz="0" w:space="0" w:color="auto"/>
            <w:right w:val="none" w:sz="0" w:space="0" w:color="auto"/>
          </w:divBdr>
        </w:div>
        <w:div w:id="1991443168">
          <w:marLeft w:val="0"/>
          <w:marRight w:val="0"/>
          <w:marTop w:val="0"/>
          <w:marBottom w:val="0"/>
          <w:divBdr>
            <w:top w:val="none" w:sz="0" w:space="0" w:color="auto"/>
            <w:left w:val="none" w:sz="0" w:space="0" w:color="auto"/>
            <w:bottom w:val="none" w:sz="0" w:space="0" w:color="auto"/>
            <w:right w:val="none" w:sz="0" w:space="0" w:color="auto"/>
          </w:divBdr>
        </w:div>
      </w:divsChild>
    </w:div>
    <w:div w:id="1383479309">
      <w:bodyDiv w:val="1"/>
      <w:marLeft w:val="0"/>
      <w:marRight w:val="0"/>
      <w:marTop w:val="0"/>
      <w:marBottom w:val="0"/>
      <w:divBdr>
        <w:top w:val="none" w:sz="0" w:space="0" w:color="auto"/>
        <w:left w:val="none" w:sz="0" w:space="0" w:color="auto"/>
        <w:bottom w:val="none" w:sz="0" w:space="0" w:color="auto"/>
        <w:right w:val="none" w:sz="0" w:space="0" w:color="auto"/>
      </w:divBdr>
      <w:divsChild>
        <w:div w:id="1479149968">
          <w:marLeft w:val="0"/>
          <w:marRight w:val="0"/>
          <w:marTop w:val="0"/>
          <w:marBottom w:val="0"/>
          <w:divBdr>
            <w:top w:val="none" w:sz="0" w:space="0" w:color="auto"/>
            <w:left w:val="none" w:sz="0" w:space="0" w:color="auto"/>
            <w:bottom w:val="none" w:sz="0" w:space="0" w:color="auto"/>
            <w:right w:val="none" w:sz="0" w:space="0" w:color="auto"/>
          </w:divBdr>
          <w:divsChild>
            <w:div w:id="1183516105">
              <w:marLeft w:val="0"/>
              <w:marRight w:val="0"/>
              <w:marTop w:val="0"/>
              <w:marBottom w:val="150"/>
              <w:divBdr>
                <w:top w:val="none" w:sz="0" w:space="0" w:color="auto"/>
                <w:left w:val="none" w:sz="0" w:space="0" w:color="auto"/>
                <w:bottom w:val="none" w:sz="0" w:space="0" w:color="auto"/>
                <w:right w:val="none" w:sz="0" w:space="0" w:color="auto"/>
              </w:divBdr>
            </w:div>
            <w:div w:id="163899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059737">
      <w:bodyDiv w:val="1"/>
      <w:marLeft w:val="0"/>
      <w:marRight w:val="0"/>
      <w:marTop w:val="0"/>
      <w:marBottom w:val="0"/>
      <w:divBdr>
        <w:top w:val="none" w:sz="0" w:space="0" w:color="auto"/>
        <w:left w:val="none" w:sz="0" w:space="0" w:color="auto"/>
        <w:bottom w:val="none" w:sz="0" w:space="0" w:color="auto"/>
        <w:right w:val="none" w:sz="0" w:space="0" w:color="auto"/>
      </w:divBdr>
      <w:divsChild>
        <w:div w:id="314265506">
          <w:marLeft w:val="0"/>
          <w:marRight w:val="0"/>
          <w:marTop w:val="0"/>
          <w:marBottom w:val="150"/>
          <w:divBdr>
            <w:top w:val="none" w:sz="0" w:space="0" w:color="auto"/>
            <w:left w:val="none" w:sz="0" w:space="0" w:color="auto"/>
            <w:bottom w:val="none" w:sz="0" w:space="0" w:color="auto"/>
            <w:right w:val="none" w:sz="0" w:space="0" w:color="auto"/>
          </w:divBdr>
          <w:divsChild>
            <w:div w:id="1201019246">
              <w:marLeft w:val="0"/>
              <w:marRight w:val="0"/>
              <w:marTop w:val="0"/>
              <w:marBottom w:val="0"/>
              <w:divBdr>
                <w:top w:val="none" w:sz="0" w:space="0" w:color="auto"/>
                <w:left w:val="none" w:sz="0" w:space="0" w:color="auto"/>
                <w:bottom w:val="none" w:sz="0" w:space="0" w:color="auto"/>
                <w:right w:val="none" w:sz="0" w:space="0" w:color="auto"/>
              </w:divBdr>
              <w:divsChild>
                <w:div w:id="110541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005236">
          <w:marLeft w:val="0"/>
          <w:marRight w:val="0"/>
          <w:marTop w:val="0"/>
          <w:marBottom w:val="0"/>
          <w:divBdr>
            <w:top w:val="none" w:sz="0" w:space="0" w:color="auto"/>
            <w:left w:val="none" w:sz="0" w:space="0" w:color="auto"/>
            <w:bottom w:val="none" w:sz="0" w:space="0" w:color="auto"/>
            <w:right w:val="none" w:sz="0" w:space="0" w:color="auto"/>
          </w:divBdr>
          <w:divsChild>
            <w:div w:id="740446746">
              <w:marLeft w:val="0"/>
              <w:marRight w:val="0"/>
              <w:marTop w:val="0"/>
              <w:marBottom w:val="150"/>
              <w:divBdr>
                <w:top w:val="none" w:sz="0" w:space="0" w:color="auto"/>
                <w:left w:val="none" w:sz="0" w:space="0" w:color="auto"/>
                <w:bottom w:val="none" w:sz="0" w:space="0" w:color="auto"/>
                <w:right w:val="none" w:sz="0" w:space="0" w:color="auto"/>
              </w:divBdr>
            </w:div>
            <w:div w:id="1764960724">
              <w:marLeft w:val="0"/>
              <w:marRight w:val="0"/>
              <w:marTop w:val="0"/>
              <w:marBottom w:val="0"/>
              <w:divBdr>
                <w:top w:val="none" w:sz="0" w:space="0" w:color="auto"/>
                <w:left w:val="none" w:sz="0" w:space="0" w:color="auto"/>
                <w:bottom w:val="none" w:sz="0" w:space="0" w:color="auto"/>
                <w:right w:val="none" w:sz="0" w:space="0" w:color="auto"/>
              </w:divBdr>
              <w:divsChild>
                <w:div w:id="18533804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384476741">
      <w:bodyDiv w:val="1"/>
      <w:marLeft w:val="0"/>
      <w:marRight w:val="0"/>
      <w:marTop w:val="0"/>
      <w:marBottom w:val="0"/>
      <w:divBdr>
        <w:top w:val="none" w:sz="0" w:space="0" w:color="auto"/>
        <w:left w:val="none" w:sz="0" w:space="0" w:color="auto"/>
        <w:bottom w:val="none" w:sz="0" w:space="0" w:color="auto"/>
        <w:right w:val="none" w:sz="0" w:space="0" w:color="auto"/>
      </w:divBdr>
      <w:divsChild>
        <w:div w:id="1529950110">
          <w:marLeft w:val="0"/>
          <w:marRight w:val="0"/>
          <w:marTop w:val="0"/>
          <w:marBottom w:val="0"/>
          <w:divBdr>
            <w:top w:val="none" w:sz="0" w:space="0" w:color="auto"/>
            <w:left w:val="none" w:sz="0" w:space="0" w:color="auto"/>
            <w:bottom w:val="none" w:sz="0" w:space="0" w:color="auto"/>
            <w:right w:val="none" w:sz="0" w:space="0" w:color="auto"/>
          </w:divBdr>
          <w:divsChild>
            <w:div w:id="243104132">
              <w:marLeft w:val="0"/>
              <w:marRight w:val="0"/>
              <w:marTop w:val="0"/>
              <w:marBottom w:val="0"/>
              <w:divBdr>
                <w:top w:val="none" w:sz="0" w:space="0" w:color="auto"/>
                <w:left w:val="none" w:sz="0" w:space="0" w:color="auto"/>
                <w:bottom w:val="none" w:sz="0" w:space="0" w:color="auto"/>
                <w:right w:val="none" w:sz="0" w:space="0" w:color="auto"/>
              </w:divBdr>
              <w:divsChild>
                <w:div w:id="285358454">
                  <w:marLeft w:val="0"/>
                  <w:marRight w:val="0"/>
                  <w:marTop w:val="0"/>
                  <w:marBottom w:val="0"/>
                  <w:divBdr>
                    <w:top w:val="none" w:sz="0" w:space="0" w:color="auto"/>
                    <w:left w:val="none" w:sz="0" w:space="0" w:color="auto"/>
                    <w:bottom w:val="none" w:sz="0" w:space="0" w:color="auto"/>
                    <w:right w:val="none" w:sz="0" w:space="0" w:color="auto"/>
                  </w:divBdr>
                  <w:divsChild>
                    <w:div w:id="1602565461">
                      <w:marLeft w:val="0"/>
                      <w:marRight w:val="0"/>
                      <w:marTop w:val="0"/>
                      <w:marBottom w:val="0"/>
                      <w:divBdr>
                        <w:top w:val="none" w:sz="0" w:space="0" w:color="auto"/>
                        <w:left w:val="none" w:sz="0" w:space="0" w:color="auto"/>
                        <w:bottom w:val="none" w:sz="0" w:space="0" w:color="auto"/>
                        <w:right w:val="none" w:sz="0" w:space="0" w:color="auto"/>
                      </w:divBdr>
                      <w:divsChild>
                        <w:div w:id="1568029069">
                          <w:marLeft w:val="0"/>
                          <w:marRight w:val="0"/>
                          <w:marTop w:val="0"/>
                          <w:marBottom w:val="0"/>
                          <w:divBdr>
                            <w:top w:val="none" w:sz="0" w:space="0" w:color="auto"/>
                            <w:left w:val="none" w:sz="0" w:space="0" w:color="auto"/>
                            <w:bottom w:val="none" w:sz="0" w:space="0" w:color="auto"/>
                            <w:right w:val="none" w:sz="0" w:space="0" w:color="auto"/>
                          </w:divBdr>
                          <w:divsChild>
                            <w:div w:id="1590887854">
                              <w:marLeft w:val="0"/>
                              <w:marRight w:val="0"/>
                              <w:marTop w:val="0"/>
                              <w:marBottom w:val="0"/>
                              <w:divBdr>
                                <w:top w:val="none" w:sz="0" w:space="0" w:color="auto"/>
                                <w:left w:val="none" w:sz="0" w:space="0" w:color="auto"/>
                                <w:bottom w:val="none" w:sz="0" w:space="0" w:color="auto"/>
                                <w:right w:val="none" w:sz="0" w:space="0" w:color="auto"/>
                              </w:divBdr>
                              <w:divsChild>
                                <w:div w:id="95279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4479768">
      <w:bodyDiv w:val="1"/>
      <w:marLeft w:val="0"/>
      <w:marRight w:val="0"/>
      <w:marTop w:val="0"/>
      <w:marBottom w:val="0"/>
      <w:divBdr>
        <w:top w:val="none" w:sz="0" w:space="0" w:color="auto"/>
        <w:left w:val="none" w:sz="0" w:space="0" w:color="auto"/>
        <w:bottom w:val="none" w:sz="0" w:space="0" w:color="auto"/>
        <w:right w:val="none" w:sz="0" w:space="0" w:color="auto"/>
      </w:divBdr>
    </w:div>
    <w:div w:id="1384911994">
      <w:bodyDiv w:val="1"/>
      <w:marLeft w:val="0"/>
      <w:marRight w:val="0"/>
      <w:marTop w:val="0"/>
      <w:marBottom w:val="0"/>
      <w:divBdr>
        <w:top w:val="none" w:sz="0" w:space="0" w:color="auto"/>
        <w:left w:val="none" w:sz="0" w:space="0" w:color="auto"/>
        <w:bottom w:val="none" w:sz="0" w:space="0" w:color="auto"/>
        <w:right w:val="none" w:sz="0" w:space="0" w:color="auto"/>
      </w:divBdr>
      <w:divsChild>
        <w:div w:id="891307668">
          <w:marLeft w:val="0"/>
          <w:marRight w:val="0"/>
          <w:marTop w:val="0"/>
          <w:marBottom w:val="150"/>
          <w:divBdr>
            <w:top w:val="none" w:sz="0" w:space="0" w:color="auto"/>
            <w:left w:val="none" w:sz="0" w:space="0" w:color="auto"/>
            <w:bottom w:val="none" w:sz="0" w:space="0" w:color="auto"/>
            <w:right w:val="none" w:sz="0" w:space="0" w:color="auto"/>
          </w:divBdr>
        </w:div>
        <w:div w:id="1586838234">
          <w:marLeft w:val="0"/>
          <w:marRight w:val="0"/>
          <w:marTop w:val="0"/>
          <w:marBottom w:val="0"/>
          <w:divBdr>
            <w:top w:val="none" w:sz="0" w:space="0" w:color="auto"/>
            <w:left w:val="none" w:sz="0" w:space="0" w:color="auto"/>
            <w:bottom w:val="none" w:sz="0" w:space="0" w:color="auto"/>
            <w:right w:val="none" w:sz="0" w:space="0" w:color="auto"/>
          </w:divBdr>
          <w:divsChild>
            <w:div w:id="1936748404">
              <w:marLeft w:val="0"/>
              <w:marRight w:val="0"/>
              <w:marTop w:val="225"/>
              <w:marBottom w:val="225"/>
              <w:divBdr>
                <w:top w:val="none" w:sz="0" w:space="0" w:color="auto"/>
                <w:left w:val="none" w:sz="0" w:space="0" w:color="auto"/>
                <w:bottom w:val="none" w:sz="0" w:space="0" w:color="auto"/>
                <w:right w:val="none" w:sz="0" w:space="0" w:color="auto"/>
              </w:divBdr>
            </w:div>
          </w:divsChild>
        </w:div>
        <w:div w:id="1809737556">
          <w:marLeft w:val="0"/>
          <w:marRight w:val="0"/>
          <w:marTop w:val="0"/>
          <w:marBottom w:val="150"/>
          <w:divBdr>
            <w:top w:val="none" w:sz="0" w:space="0" w:color="auto"/>
            <w:left w:val="none" w:sz="0" w:space="0" w:color="auto"/>
            <w:bottom w:val="none" w:sz="0" w:space="0" w:color="auto"/>
            <w:right w:val="none" w:sz="0" w:space="0" w:color="auto"/>
          </w:divBdr>
          <w:divsChild>
            <w:div w:id="629434902">
              <w:marLeft w:val="0"/>
              <w:marRight w:val="0"/>
              <w:marTop w:val="0"/>
              <w:marBottom w:val="0"/>
              <w:divBdr>
                <w:top w:val="none" w:sz="0" w:space="0" w:color="auto"/>
                <w:left w:val="none" w:sz="0" w:space="0" w:color="auto"/>
                <w:bottom w:val="none" w:sz="0" w:space="0" w:color="auto"/>
                <w:right w:val="none" w:sz="0" w:space="0" w:color="auto"/>
              </w:divBdr>
              <w:divsChild>
                <w:div w:id="186956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980973">
      <w:bodyDiv w:val="1"/>
      <w:marLeft w:val="0"/>
      <w:marRight w:val="0"/>
      <w:marTop w:val="0"/>
      <w:marBottom w:val="0"/>
      <w:divBdr>
        <w:top w:val="none" w:sz="0" w:space="0" w:color="auto"/>
        <w:left w:val="none" w:sz="0" w:space="0" w:color="auto"/>
        <w:bottom w:val="none" w:sz="0" w:space="0" w:color="auto"/>
        <w:right w:val="none" w:sz="0" w:space="0" w:color="auto"/>
      </w:divBdr>
      <w:divsChild>
        <w:div w:id="273825265">
          <w:marLeft w:val="0"/>
          <w:marRight w:val="0"/>
          <w:marTop w:val="0"/>
          <w:marBottom w:val="0"/>
          <w:divBdr>
            <w:top w:val="none" w:sz="0" w:space="0" w:color="auto"/>
            <w:left w:val="none" w:sz="0" w:space="0" w:color="auto"/>
            <w:bottom w:val="none" w:sz="0" w:space="0" w:color="auto"/>
            <w:right w:val="none" w:sz="0" w:space="0" w:color="auto"/>
          </w:divBdr>
          <w:divsChild>
            <w:div w:id="474185550">
              <w:marLeft w:val="0"/>
              <w:marRight w:val="0"/>
              <w:marTop w:val="0"/>
              <w:marBottom w:val="0"/>
              <w:divBdr>
                <w:top w:val="none" w:sz="0" w:space="0" w:color="auto"/>
                <w:left w:val="none" w:sz="0" w:space="0" w:color="auto"/>
                <w:bottom w:val="none" w:sz="0" w:space="0" w:color="auto"/>
                <w:right w:val="none" w:sz="0" w:space="0" w:color="auto"/>
              </w:divBdr>
            </w:div>
          </w:divsChild>
        </w:div>
        <w:div w:id="667246287">
          <w:marLeft w:val="0"/>
          <w:marRight w:val="0"/>
          <w:marTop w:val="0"/>
          <w:marBottom w:val="150"/>
          <w:divBdr>
            <w:top w:val="none" w:sz="0" w:space="0" w:color="auto"/>
            <w:left w:val="none" w:sz="0" w:space="0" w:color="auto"/>
            <w:bottom w:val="none" w:sz="0" w:space="0" w:color="auto"/>
            <w:right w:val="none" w:sz="0" w:space="0" w:color="auto"/>
          </w:divBdr>
          <w:divsChild>
            <w:div w:id="1514883929">
              <w:marLeft w:val="0"/>
              <w:marRight w:val="0"/>
              <w:marTop w:val="0"/>
              <w:marBottom w:val="0"/>
              <w:divBdr>
                <w:top w:val="none" w:sz="0" w:space="0" w:color="auto"/>
                <w:left w:val="none" w:sz="0" w:space="0" w:color="auto"/>
                <w:bottom w:val="none" w:sz="0" w:space="0" w:color="auto"/>
                <w:right w:val="none" w:sz="0" w:space="0" w:color="auto"/>
              </w:divBdr>
            </w:div>
          </w:divsChild>
        </w:div>
        <w:div w:id="1625228973">
          <w:marLeft w:val="0"/>
          <w:marRight w:val="0"/>
          <w:marTop w:val="0"/>
          <w:marBottom w:val="150"/>
          <w:divBdr>
            <w:top w:val="none" w:sz="0" w:space="0" w:color="auto"/>
            <w:left w:val="none" w:sz="0" w:space="0" w:color="auto"/>
            <w:bottom w:val="none" w:sz="0" w:space="0" w:color="auto"/>
            <w:right w:val="none" w:sz="0" w:space="0" w:color="auto"/>
          </w:divBdr>
        </w:div>
      </w:divsChild>
    </w:div>
    <w:div w:id="1385562921">
      <w:bodyDiv w:val="1"/>
      <w:marLeft w:val="0"/>
      <w:marRight w:val="0"/>
      <w:marTop w:val="0"/>
      <w:marBottom w:val="0"/>
      <w:divBdr>
        <w:top w:val="none" w:sz="0" w:space="0" w:color="auto"/>
        <w:left w:val="none" w:sz="0" w:space="0" w:color="auto"/>
        <w:bottom w:val="none" w:sz="0" w:space="0" w:color="auto"/>
        <w:right w:val="none" w:sz="0" w:space="0" w:color="auto"/>
      </w:divBdr>
      <w:divsChild>
        <w:div w:id="1327897504">
          <w:marLeft w:val="0"/>
          <w:marRight w:val="0"/>
          <w:marTop w:val="0"/>
          <w:marBottom w:val="0"/>
          <w:divBdr>
            <w:top w:val="none" w:sz="0" w:space="0" w:color="auto"/>
            <w:left w:val="none" w:sz="0" w:space="0" w:color="auto"/>
            <w:bottom w:val="dotted" w:sz="6" w:space="4" w:color="DDDDDD"/>
            <w:right w:val="none" w:sz="0" w:space="0" w:color="auto"/>
          </w:divBdr>
          <w:divsChild>
            <w:div w:id="43020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486258">
      <w:bodyDiv w:val="1"/>
      <w:marLeft w:val="0"/>
      <w:marRight w:val="0"/>
      <w:marTop w:val="0"/>
      <w:marBottom w:val="0"/>
      <w:divBdr>
        <w:top w:val="none" w:sz="0" w:space="0" w:color="auto"/>
        <w:left w:val="none" w:sz="0" w:space="0" w:color="auto"/>
        <w:bottom w:val="none" w:sz="0" w:space="0" w:color="auto"/>
        <w:right w:val="none" w:sz="0" w:space="0" w:color="auto"/>
      </w:divBdr>
      <w:divsChild>
        <w:div w:id="1715689957">
          <w:marLeft w:val="0"/>
          <w:marRight w:val="0"/>
          <w:marTop w:val="0"/>
          <w:marBottom w:val="0"/>
          <w:divBdr>
            <w:top w:val="none" w:sz="0" w:space="0" w:color="auto"/>
            <w:left w:val="none" w:sz="0" w:space="0" w:color="auto"/>
            <w:bottom w:val="none" w:sz="0" w:space="0" w:color="auto"/>
            <w:right w:val="none" w:sz="0" w:space="0" w:color="auto"/>
          </w:divBdr>
        </w:div>
      </w:divsChild>
    </w:div>
    <w:div w:id="1387533757">
      <w:bodyDiv w:val="1"/>
      <w:marLeft w:val="0"/>
      <w:marRight w:val="0"/>
      <w:marTop w:val="0"/>
      <w:marBottom w:val="0"/>
      <w:divBdr>
        <w:top w:val="none" w:sz="0" w:space="0" w:color="auto"/>
        <w:left w:val="none" w:sz="0" w:space="0" w:color="auto"/>
        <w:bottom w:val="none" w:sz="0" w:space="0" w:color="auto"/>
        <w:right w:val="none" w:sz="0" w:space="0" w:color="auto"/>
      </w:divBdr>
    </w:div>
    <w:div w:id="1387798106">
      <w:bodyDiv w:val="1"/>
      <w:marLeft w:val="0"/>
      <w:marRight w:val="0"/>
      <w:marTop w:val="0"/>
      <w:marBottom w:val="0"/>
      <w:divBdr>
        <w:top w:val="none" w:sz="0" w:space="0" w:color="auto"/>
        <w:left w:val="none" w:sz="0" w:space="0" w:color="auto"/>
        <w:bottom w:val="none" w:sz="0" w:space="0" w:color="auto"/>
        <w:right w:val="none" w:sz="0" w:space="0" w:color="auto"/>
      </w:divBdr>
      <w:divsChild>
        <w:div w:id="1025710124">
          <w:marLeft w:val="0"/>
          <w:marRight w:val="0"/>
          <w:marTop w:val="0"/>
          <w:marBottom w:val="0"/>
          <w:divBdr>
            <w:top w:val="none" w:sz="0" w:space="0" w:color="auto"/>
            <w:left w:val="none" w:sz="0" w:space="0" w:color="auto"/>
            <w:bottom w:val="none" w:sz="0" w:space="0" w:color="auto"/>
            <w:right w:val="none" w:sz="0" w:space="0" w:color="auto"/>
          </w:divBdr>
          <w:divsChild>
            <w:div w:id="1367755686">
              <w:marLeft w:val="0"/>
              <w:marRight w:val="0"/>
              <w:marTop w:val="225"/>
              <w:marBottom w:val="225"/>
              <w:divBdr>
                <w:top w:val="none" w:sz="0" w:space="0" w:color="auto"/>
                <w:left w:val="none" w:sz="0" w:space="0" w:color="auto"/>
                <w:bottom w:val="none" w:sz="0" w:space="0" w:color="auto"/>
                <w:right w:val="none" w:sz="0" w:space="0" w:color="auto"/>
              </w:divBdr>
            </w:div>
          </w:divsChild>
        </w:div>
        <w:div w:id="2049640178">
          <w:marLeft w:val="0"/>
          <w:marRight w:val="0"/>
          <w:marTop w:val="0"/>
          <w:marBottom w:val="150"/>
          <w:divBdr>
            <w:top w:val="none" w:sz="0" w:space="0" w:color="auto"/>
            <w:left w:val="none" w:sz="0" w:space="0" w:color="auto"/>
            <w:bottom w:val="none" w:sz="0" w:space="0" w:color="auto"/>
            <w:right w:val="none" w:sz="0" w:space="0" w:color="auto"/>
          </w:divBdr>
          <w:divsChild>
            <w:div w:id="1856766455">
              <w:marLeft w:val="0"/>
              <w:marRight w:val="0"/>
              <w:marTop w:val="0"/>
              <w:marBottom w:val="0"/>
              <w:divBdr>
                <w:top w:val="none" w:sz="0" w:space="0" w:color="auto"/>
                <w:left w:val="none" w:sz="0" w:space="0" w:color="auto"/>
                <w:bottom w:val="none" w:sz="0" w:space="0" w:color="auto"/>
                <w:right w:val="none" w:sz="0" w:space="0" w:color="auto"/>
              </w:divBdr>
              <w:divsChild>
                <w:div w:id="48228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321305">
          <w:marLeft w:val="0"/>
          <w:marRight w:val="0"/>
          <w:marTop w:val="0"/>
          <w:marBottom w:val="150"/>
          <w:divBdr>
            <w:top w:val="none" w:sz="0" w:space="0" w:color="auto"/>
            <w:left w:val="none" w:sz="0" w:space="0" w:color="auto"/>
            <w:bottom w:val="none" w:sz="0" w:space="0" w:color="auto"/>
            <w:right w:val="none" w:sz="0" w:space="0" w:color="auto"/>
          </w:divBdr>
        </w:div>
      </w:divsChild>
    </w:div>
    <w:div w:id="1387922296">
      <w:bodyDiv w:val="1"/>
      <w:marLeft w:val="0"/>
      <w:marRight w:val="0"/>
      <w:marTop w:val="0"/>
      <w:marBottom w:val="0"/>
      <w:divBdr>
        <w:top w:val="none" w:sz="0" w:space="0" w:color="auto"/>
        <w:left w:val="none" w:sz="0" w:space="0" w:color="auto"/>
        <w:bottom w:val="none" w:sz="0" w:space="0" w:color="auto"/>
        <w:right w:val="none" w:sz="0" w:space="0" w:color="auto"/>
      </w:divBdr>
    </w:div>
    <w:div w:id="1388842627">
      <w:bodyDiv w:val="1"/>
      <w:marLeft w:val="0"/>
      <w:marRight w:val="0"/>
      <w:marTop w:val="0"/>
      <w:marBottom w:val="0"/>
      <w:divBdr>
        <w:top w:val="none" w:sz="0" w:space="0" w:color="auto"/>
        <w:left w:val="none" w:sz="0" w:space="0" w:color="auto"/>
        <w:bottom w:val="none" w:sz="0" w:space="0" w:color="auto"/>
        <w:right w:val="none" w:sz="0" w:space="0" w:color="auto"/>
      </w:divBdr>
      <w:divsChild>
        <w:div w:id="796333957">
          <w:marLeft w:val="0"/>
          <w:marRight w:val="0"/>
          <w:marTop w:val="0"/>
          <w:marBottom w:val="0"/>
          <w:divBdr>
            <w:top w:val="none" w:sz="0" w:space="0" w:color="auto"/>
            <w:left w:val="none" w:sz="0" w:space="0" w:color="auto"/>
            <w:bottom w:val="dotted" w:sz="6" w:space="4" w:color="DDDDDD"/>
            <w:right w:val="none" w:sz="0" w:space="0" w:color="auto"/>
          </w:divBdr>
          <w:divsChild>
            <w:div w:id="9262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108114">
      <w:bodyDiv w:val="1"/>
      <w:marLeft w:val="0"/>
      <w:marRight w:val="0"/>
      <w:marTop w:val="0"/>
      <w:marBottom w:val="0"/>
      <w:divBdr>
        <w:top w:val="none" w:sz="0" w:space="0" w:color="auto"/>
        <w:left w:val="none" w:sz="0" w:space="0" w:color="auto"/>
        <w:bottom w:val="none" w:sz="0" w:space="0" w:color="auto"/>
        <w:right w:val="none" w:sz="0" w:space="0" w:color="auto"/>
      </w:divBdr>
      <w:divsChild>
        <w:div w:id="31153163">
          <w:marLeft w:val="0"/>
          <w:marRight w:val="0"/>
          <w:marTop w:val="0"/>
          <w:marBottom w:val="450"/>
          <w:divBdr>
            <w:top w:val="none" w:sz="0" w:space="0" w:color="auto"/>
            <w:left w:val="none" w:sz="0" w:space="0" w:color="auto"/>
            <w:bottom w:val="single" w:sz="6" w:space="19" w:color="EEEEEE"/>
            <w:right w:val="none" w:sz="0" w:space="0" w:color="auto"/>
          </w:divBdr>
          <w:divsChild>
            <w:div w:id="693850535">
              <w:marLeft w:val="0"/>
              <w:marRight w:val="0"/>
              <w:marTop w:val="0"/>
              <w:marBottom w:val="150"/>
              <w:divBdr>
                <w:top w:val="none" w:sz="0" w:space="0" w:color="auto"/>
                <w:left w:val="none" w:sz="0" w:space="0" w:color="auto"/>
                <w:bottom w:val="none" w:sz="0" w:space="0" w:color="auto"/>
                <w:right w:val="none" w:sz="0" w:space="0" w:color="auto"/>
              </w:divBdr>
              <w:divsChild>
                <w:div w:id="1047416949">
                  <w:marLeft w:val="0"/>
                  <w:marRight w:val="0"/>
                  <w:marTop w:val="0"/>
                  <w:marBottom w:val="0"/>
                  <w:divBdr>
                    <w:top w:val="none" w:sz="0" w:space="0" w:color="auto"/>
                    <w:left w:val="none" w:sz="0" w:space="0" w:color="auto"/>
                    <w:bottom w:val="none" w:sz="0" w:space="0" w:color="auto"/>
                    <w:right w:val="none" w:sz="0" w:space="0" w:color="auto"/>
                  </w:divBdr>
                </w:div>
              </w:divsChild>
            </w:div>
            <w:div w:id="386993136">
              <w:marLeft w:val="0"/>
              <w:marRight w:val="0"/>
              <w:marTop w:val="0"/>
              <w:marBottom w:val="0"/>
              <w:divBdr>
                <w:top w:val="none" w:sz="0" w:space="0" w:color="auto"/>
                <w:left w:val="none" w:sz="0" w:space="0" w:color="auto"/>
                <w:bottom w:val="none" w:sz="0" w:space="0" w:color="auto"/>
                <w:right w:val="none" w:sz="0" w:space="0" w:color="auto"/>
              </w:divBdr>
            </w:div>
          </w:divsChild>
        </w:div>
        <w:div w:id="1520578459">
          <w:marLeft w:val="0"/>
          <w:marRight w:val="0"/>
          <w:marTop w:val="0"/>
          <w:marBottom w:val="0"/>
          <w:divBdr>
            <w:top w:val="none" w:sz="0" w:space="0" w:color="auto"/>
            <w:left w:val="none" w:sz="0" w:space="0" w:color="auto"/>
            <w:bottom w:val="none" w:sz="0" w:space="0" w:color="auto"/>
            <w:right w:val="none" w:sz="0" w:space="0" w:color="auto"/>
          </w:divBdr>
          <w:divsChild>
            <w:div w:id="1820145210">
              <w:marLeft w:val="0"/>
              <w:marRight w:val="0"/>
              <w:marTop w:val="0"/>
              <w:marBottom w:val="0"/>
              <w:divBdr>
                <w:top w:val="none" w:sz="0" w:space="0" w:color="auto"/>
                <w:left w:val="none" w:sz="0" w:space="0" w:color="auto"/>
                <w:bottom w:val="none" w:sz="0" w:space="0" w:color="auto"/>
                <w:right w:val="none" w:sz="0" w:space="0" w:color="auto"/>
              </w:divBdr>
              <w:divsChild>
                <w:div w:id="159482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650069">
      <w:bodyDiv w:val="1"/>
      <w:marLeft w:val="0"/>
      <w:marRight w:val="0"/>
      <w:marTop w:val="0"/>
      <w:marBottom w:val="0"/>
      <w:divBdr>
        <w:top w:val="none" w:sz="0" w:space="0" w:color="auto"/>
        <w:left w:val="none" w:sz="0" w:space="0" w:color="auto"/>
        <w:bottom w:val="none" w:sz="0" w:space="0" w:color="auto"/>
        <w:right w:val="none" w:sz="0" w:space="0" w:color="auto"/>
      </w:divBdr>
      <w:divsChild>
        <w:div w:id="127936277">
          <w:marLeft w:val="0"/>
          <w:marRight w:val="0"/>
          <w:marTop w:val="0"/>
          <w:marBottom w:val="0"/>
          <w:divBdr>
            <w:top w:val="none" w:sz="0" w:space="0" w:color="auto"/>
            <w:left w:val="none" w:sz="0" w:space="0" w:color="auto"/>
            <w:bottom w:val="none" w:sz="0" w:space="0" w:color="auto"/>
            <w:right w:val="none" w:sz="0" w:space="0" w:color="auto"/>
          </w:divBdr>
          <w:divsChild>
            <w:div w:id="249391238">
              <w:marLeft w:val="0"/>
              <w:marRight w:val="0"/>
              <w:marTop w:val="0"/>
              <w:marBottom w:val="0"/>
              <w:divBdr>
                <w:top w:val="none" w:sz="0" w:space="0" w:color="auto"/>
                <w:left w:val="none" w:sz="0" w:space="0" w:color="auto"/>
                <w:bottom w:val="none" w:sz="0" w:space="0" w:color="auto"/>
                <w:right w:val="none" w:sz="0" w:space="0" w:color="auto"/>
              </w:divBdr>
            </w:div>
          </w:divsChild>
        </w:div>
        <w:div w:id="1204514699">
          <w:marLeft w:val="0"/>
          <w:marRight w:val="0"/>
          <w:marTop w:val="0"/>
          <w:marBottom w:val="150"/>
          <w:divBdr>
            <w:top w:val="none" w:sz="0" w:space="0" w:color="auto"/>
            <w:left w:val="none" w:sz="0" w:space="0" w:color="auto"/>
            <w:bottom w:val="none" w:sz="0" w:space="0" w:color="auto"/>
            <w:right w:val="none" w:sz="0" w:space="0" w:color="auto"/>
          </w:divBdr>
        </w:div>
        <w:div w:id="2144617262">
          <w:marLeft w:val="0"/>
          <w:marRight w:val="0"/>
          <w:marTop w:val="0"/>
          <w:marBottom w:val="150"/>
          <w:divBdr>
            <w:top w:val="none" w:sz="0" w:space="0" w:color="auto"/>
            <w:left w:val="none" w:sz="0" w:space="0" w:color="auto"/>
            <w:bottom w:val="none" w:sz="0" w:space="0" w:color="auto"/>
            <w:right w:val="none" w:sz="0" w:space="0" w:color="auto"/>
          </w:divBdr>
          <w:divsChild>
            <w:div w:id="42153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691987">
      <w:bodyDiv w:val="1"/>
      <w:marLeft w:val="0"/>
      <w:marRight w:val="0"/>
      <w:marTop w:val="0"/>
      <w:marBottom w:val="0"/>
      <w:divBdr>
        <w:top w:val="none" w:sz="0" w:space="0" w:color="auto"/>
        <w:left w:val="none" w:sz="0" w:space="0" w:color="auto"/>
        <w:bottom w:val="none" w:sz="0" w:space="0" w:color="auto"/>
        <w:right w:val="none" w:sz="0" w:space="0" w:color="auto"/>
      </w:divBdr>
      <w:divsChild>
        <w:div w:id="1128469180">
          <w:marLeft w:val="0"/>
          <w:marRight w:val="0"/>
          <w:marTop w:val="0"/>
          <w:marBottom w:val="0"/>
          <w:divBdr>
            <w:top w:val="none" w:sz="0" w:space="0" w:color="auto"/>
            <w:left w:val="none" w:sz="0" w:space="0" w:color="auto"/>
            <w:bottom w:val="none" w:sz="0" w:space="0" w:color="auto"/>
            <w:right w:val="none" w:sz="0" w:space="0" w:color="auto"/>
          </w:divBdr>
          <w:divsChild>
            <w:div w:id="1030841056">
              <w:marLeft w:val="0"/>
              <w:marRight w:val="0"/>
              <w:marTop w:val="0"/>
              <w:marBottom w:val="0"/>
              <w:divBdr>
                <w:top w:val="none" w:sz="0" w:space="0" w:color="auto"/>
                <w:left w:val="none" w:sz="0" w:space="0" w:color="auto"/>
                <w:bottom w:val="none" w:sz="0" w:space="0" w:color="auto"/>
                <w:right w:val="none" w:sz="0" w:space="0" w:color="auto"/>
              </w:divBdr>
            </w:div>
            <w:div w:id="1776241376">
              <w:marLeft w:val="0"/>
              <w:marRight w:val="0"/>
              <w:marTop w:val="0"/>
              <w:marBottom w:val="150"/>
              <w:divBdr>
                <w:top w:val="none" w:sz="0" w:space="0" w:color="auto"/>
                <w:left w:val="none" w:sz="0" w:space="0" w:color="auto"/>
                <w:bottom w:val="none" w:sz="0" w:space="0" w:color="auto"/>
                <w:right w:val="none" w:sz="0" w:space="0" w:color="auto"/>
              </w:divBdr>
            </w:div>
          </w:divsChild>
        </w:div>
        <w:div w:id="1479952021">
          <w:marLeft w:val="0"/>
          <w:marRight w:val="0"/>
          <w:marTop w:val="0"/>
          <w:marBottom w:val="150"/>
          <w:divBdr>
            <w:top w:val="none" w:sz="0" w:space="0" w:color="auto"/>
            <w:left w:val="none" w:sz="0" w:space="0" w:color="auto"/>
            <w:bottom w:val="none" w:sz="0" w:space="0" w:color="auto"/>
            <w:right w:val="none" w:sz="0" w:space="0" w:color="auto"/>
          </w:divBdr>
          <w:divsChild>
            <w:div w:id="178738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961658">
      <w:bodyDiv w:val="1"/>
      <w:marLeft w:val="0"/>
      <w:marRight w:val="0"/>
      <w:marTop w:val="0"/>
      <w:marBottom w:val="0"/>
      <w:divBdr>
        <w:top w:val="none" w:sz="0" w:space="0" w:color="auto"/>
        <w:left w:val="none" w:sz="0" w:space="0" w:color="auto"/>
        <w:bottom w:val="none" w:sz="0" w:space="0" w:color="auto"/>
        <w:right w:val="none" w:sz="0" w:space="0" w:color="auto"/>
      </w:divBdr>
    </w:div>
    <w:div w:id="1390031628">
      <w:bodyDiv w:val="1"/>
      <w:marLeft w:val="0"/>
      <w:marRight w:val="0"/>
      <w:marTop w:val="0"/>
      <w:marBottom w:val="0"/>
      <w:divBdr>
        <w:top w:val="none" w:sz="0" w:space="0" w:color="auto"/>
        <w:left w:val="none" w:sz="0" w:space="0" w:color="auto"/>
        <w:bottom w:val="none" w:sz="0" w:space="0" w:color="auto"/>
        <w:right w:val="none" w:sz="0" w:space="0" w:color="auto"/>
      </w:divBdr>
      <w:divsChild>
        <w:div w:id="285544598">
          <w:marLeft w:val="0"/>
          <w:marRight w:val="0"/>
          <w:marTop w:val="0"/>
          <w:marBottom w:val="0"/>
          <w:divBdr>
            <w:top w:val="none" w:sz="0" w:space="0" w:color="auto"/>
            <w:left w:val="none" w:sz="0" w:space="0" w:color="auto"/>
            <w:bottom w:val="none" w:sz="0" w:space="0" w:color="auto"/>
            <w:right w:val="none" w:sz="0" w:space="0" w:color="auto"/>
          </w:divBdr>
        </w:div>
      </w:divsChild>
    </w:div>
    <w:div w:id="1390153597">
      <w:bodyDiv w:val="1"/>
      <w:marLeft w:val="0"/>
      <w:marRight w:val="0"/>
      <w:marTop w:val="0"/>
      <w:marBottom w:val="0"/>
      <w:divBdr>
        <w:top w:val="none" w:sz="0" w:space="0" w:color="auto"/>
        <w:left w:val="none" w:sz="0" w:space="0" w:color="auto"/>
        <w:bottom w:val="none" w:sz="0" w:space="0" w:color="auto"/>
        <w:right w:val="none" w:sz="0" w:space="0" w:color="auto"/>
      </w:divBdr>
      <w:divsChild>
        <w:div w:id="38172019">
          <w:marLeft w:val="0"/>
          <w:marRight w:val="0"/>
          <w:marTop w:val="0"/>
          <w:marBottom w:val="150"/>
          <w:divBdr>
            <w:top w:val="none" w:sz="0" w:space="0" w:color="auto"/>
            <w:left w:val="none" w:sz="0" w:space="0" w:color="auto"/>
            <w:bottom w:val="none" w:sz="0" w:space="0" w:color="auto"/>
            <w:right w:val="none" w:sz="0" w:space="0" w:color="auto"/>
          </w:divBdr>
          <w:divsChild>
            <w:div w:id="1671909428">
              <w:blockQuote w:val="1"/>
              <w:marLeft w:val="450"/>
              <w:marRight w:val="-3900"/>
              <w:marTop w:val="0"/>
              <w:marBottom w:val="300"/>
              <w:divBdr>
                <w:top w:val="none" w:sz="0" w:space="0" w:color="auto"/>
                <w:left w:val="single" w:sz="6" w:space="11" w:color="CCCCCC"/>
                <w:bottom w:val="none" w:sz="0" w:space="0" w:color="auto"/>
                <w:right w:val="none" w:sz="0" w:space="0" w:color="auto"/>
              </w:divBdr>
            </w:div>
            <w:div w:id="1928804139">
              <w:marLeft w:val="0"/>
              <w:marRight w:val="0"/>
              <w:marTop w:val="0"/>
              <w:marBottom w:val="150"/>
              <w:divBdr>
                <w:top w:val="none" w:sz="0" w:space="0" w:color="auto"/>
                <w:left w:val="none" w:sz="0" w:space="0" w:color="auto"/>
                <w:bottom w:val="none" w:sz="0" w:space="0" w:color="auto"/>
                <w:right w:val="none" w:sz="0" w:space="0" w:color="auto"/>
              </w:divBdr>
            </w:div>
          </w:divsChild>
        </w:div>
        <w:div w:id="223759638">
          <w:marLeft w:val="0"/>
          <w:marRight w:val="0"/>
          <w:marTop w:val="0"/>
          <w:marBottom w:val="150"/>
          <w:divBdr>
            <w:top w:val="none" w:sz="0" w:space="0" w:color="auto"/>
            <w:left w:val="none" w:sz="0" w:space="0" w:color="auto"/>
            <w:bottom w:val="none" w:sz="0" w:space="0" w:color="auto"/>
            <w:right w:val="none" w:sz="0" w:space="0" w:color="auto"/>
          </w:divBdr>
        </w:div>
        <w:div w:id="345786143">
          <w:marLeft w:val="0"/>
          <w:marRight w:val="0"/>
          <w:marTop w:val="0"/>
          <w:marBottom w:val="150"/>
          <w:divBdr>
            <w:top w:val="none" w:sz="0" w:space="0" w:color="auto"/>
            <w:left w:val="none" w:sz="0" w:space="0" w:color="auto"/>
            <w:bottom w:val="none" w:sz="0" w:space="0" w:color="auto"/>
            <w:right w:val="none" w:sz="0" w:space="0" w:color="auto"/>
          </w:divBdr>
          <w:divsChild>
            <w:div w:id="1084768478">
              <w:marLeft w:val="0"/>
              <w:marRight w:val="0"/>
              <w:marTop w:val="0"/>
              <w:marBottom w:val="150"/>
              <w:divBdr>
                <w:top w:val="none" w:sz="0" w:space="0" w:color="auto"/>
                <w:left w:val="none" w:sz="0" w:space="0" w:color="auto"/>
                <w:bottom w:val="none" w:sz="0" w:space="0" w:color="auto"/>
                <w:right w:val="none" w:sz="0" w:space="0" w:color="auto"/>
              </w:divBdr>
            </w:div>
          </w:divsChild>
        </w:div>
        <w:div w:id="416370351">
          <w:marLeft w:val="0"/>
          <w:marRight w:val="0"/>
          <w:marTop w:val="0"/>
          <w:marBottom w:val="150"/>
          <w:divBdr>
            <w:top w:val="none" w:sz="0" w:space="0" w:color="auto"/>
            <w:left w:val="none" w:sz="0" w:space="0" w:color="auto"/>
            <w:bottom w:val="none" w:sz="0" w:space="0" w:color="auto"/>
            <w:right w:val="none" w:sz="0" w:space="0" w:color="auto"/>
          </w:divBdr>
        </w:div>
        <w:div w:id="434787838">
          <w:marLeft w:val="0"/>
          <w:marRight w:val="0"/>
          <w:marTop w:val="0"/>
          <w:marBottom w:val="150"/>
          <w:divBdr>
            <w:top w:val="none" w:sz="0" w:space="0" w:color="auto"/>
            <w:left w:val="none" w:sz="0" w:space="0" w:color="auto"/>
            <w:bottom w:val="none" w:sz="0" w:space="0" w:color="auto"/>
            <w:right w:val="none" w:sz="0" w:space="0" w:color="auto"/>
          </w:divBdr>
        </w:div>
        <w:div w:id="625359277">
          <w:marLeft w:val="0"/>
          <w:marRight w:val="0"/>
          <w:marTop w:val="0"/>
          <w:marBottom w:val="150"/>
          <w:divBdr>
            <w:top w:val="none" w:sz="0" w:space="0" w:color="auto"/>
            <w:left w:val="none" w:sz="0" w:space="0" w:color="auto"/>
            <w:bottom w:val="none" w:sz="0" w:space="0" w:color="auto"/>
            <w:right w:val="none" w:sz="0" w:space="0" w:color="auto"/>
          </w:divBdr>
        </w:div>
        <w:div w:id="820540880">
          <w:marLeft w:val="0"/>
          <w:marRight w:val="0"/>
          <w:marTop w:val="0"/>
          <w:marBottom w:val="150"/>
          <w:divBdr>
            <w:top w:val="none" w:sz="0" w:space="0" w:color="auto"/>
            <w:left w:val="none" w:sz="0" w:space="0" w:color="auto"/>
            <w:bottom w:val="none" w:sz="0" w:space="0" w:color="auto"/>
            <w:right w:val="none" w:sz="0" w:space="0" w:color="auto"/>
          </w:divBdr>
        </w:div>
        <w:div w:id="1029649854">
          <w:marLeft w:val="0"/>
          <w:marRight w:val="0"/>
          <w:marTop w:val="0"/>
          <w:marBottom w:val="150"/>
          <w:divBdr>
            <w:top w:val="none" w:sz="0" w:space="0" w:color="auto"/>
            <w:left w:val="none" w:sz="0" w:space="0" w:color="auto"/>
            <w:bottom w:val="none" w:sz="0" w:space="0" w:color="auto"/>
            <w:right w:val="none" w:sz="0" w:space="0" w:color="auto"/>
          </w:divBdr>
        </w:div>
        <w:div w:id="1185829712">
          <w:marLeft w:val="0"/>
          <w:marRight w:val="0"/>
          <w:marTop w:val="0"/>
          <w:marBottom w:val="150"/>
          <w:divBdr>
            <w:top w:val="none" w:sz="0" w:space="0" w:color="auto"/>
            <w:left w:val="none" w:sz="0" w:space="0" w:color="auto"/>
            <w:bottom w:val="none" w:sz="0" w:space="0" w:color="auto"/>
            <w:right w:val="none" w:sz="0" w:space="0" w:color="auto"/>
          </w:divBdr>
        </w:div>
        <w:div w:id="1334797343">
          <w:marLeft w:val="0"/>
          <w:marRight w:val="0"/>
          <w:marTop w:val="0"/>
          <w:marBottom w:val="150"/>
          <w:divBdr>
            <w:top w:val="none" w:sz="0" w:space="0" w:color="auto"/>
            <w:left w:val="none" w:sz="0" w:space="0" w:color="auto"/>
            <w:bottom w:val="none" w:sz="0" w:space="0" w:color="auto"/>
            <w:right w:val="none" w:sz="0" w:space="0" w:color="auto"/>
          </w:divBdr>
        </w:div>
        <w:div w:id="1528637748">
          <w:marLeft w:val="0"/>
          <w:marRight w:val="0"/>
          <w:marTop w:val="0"/>
          <w:marBottom w:val="150"/>
          <w:divBdr>
            <w:top w:val="none" w:sz="0" w:space="0" w:color="auto"/>
            <w:left w:val="none" w:sz="0" w:space="0" w:color="auto"/>
            <w:bottom w:val="none" w:sz="0" w:space="0" w:color="auto"/>
            <w:right w:val="none" w:sz="0" w:space="0" w:color="auto"/>
          </w:divBdr>
        </w:div>
        <w:div w:id="1547529120">
          <w:marLeft w:val="0"/>
          <w:marRight w:val="0"/>
          <w:marTop w:val="0"/>
          <w:marBottom w:val="150"/>
          <w:divBdr>
            <w:top w:val="none" w:sz="0" w:space="0" w:color="auto"/>
            <w:left w:val="none" w:sz="0" w:space="0" w:color="auto"/>
            <w:bottom w:val="none" w:sz="0" w:space="0" w:color="auto"/>
            <w:right w:val="none" w:sz="0" w:space="0" w:color="auto"/>
          </w:divBdr>
        </w:div>
      </w:divsChild>
    </w:div>
    <w:div w:id="1390305865">
      <w:bodyDiv w:val="1"/>
      <w:marLeft w:val="0"/>
      <w:marRight w:val="0"/>
      <w:marTop w:val="0"/>
      <w:marBottom w:val="0"/>
      <w:divBdr>
        <w:top w:val="none" w:sz="0" w:space="0" w:color="auto"/>
        <w:left w:val="none" w:sz="0" w:space="0" w:color="auto"/>
        <w:bottom w:val="none" w:sz="0" w:space="0" w:color="auto"/>
        <w:right w:val="none" w:sz="0" w:space="0" w:color="auto"/>
      </w:divBdr>
      <w:divsChild>
        <w:div w:id="996348149">
          <w:marLeft w:val="0"/>
          <w:marRight w:val="0"/>
          <w:marTop w:val="0"/>
          <w:marBottom w:val="0"/>
          <w:divBdr>
            <w:top w:val="none" w:sz="0" w:space="0" w:color="auto"/>
            <w:left w:val="none" w:sz="0" w:space="0" w:color="auto"/>
            <w:bottom w:val="none" w:sz="0" w:space="0" w:color="auto"/>
            <w:right w:val="none" w:sz="0" w:space="0" w:color="auto"/>
          </w:divBdr>
          <w:divsChild>
            <w:div w:id="658920242">
              <w:marLeft w:val="0"/>
              <w:marRight w:val="0"/>
              <w:marTop w:val="0"/>
              <w:marBottom w:val="300"/>
              <w:divBdr>
                <w:top w:val="none" w:sz="0" w:space="0" w:color="auto"/>
                <w:left w:val="none" w:sz="0" w:space="0" w:color="auto"/>
                <w:bottom w:val="single" w:sz="6" w:space="0" w:color="F1F1F1"/>
                <w:right w:val="none" w:sz="0" w:space="0" w:color="auto"/>
              </w:divBdr>
              <w:divsChild>
                <w:div w:id="1523786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49248203">
          <w:marLeft w:val="0"/>
          <w:marRight w:val="0"/>
          <w:marTop w:val="0"/>
          <w:marBottom w:val="0"/>
          <w:divBdr>
            <w:top w:val="none" w:sz="0" w:space="0" w:color="auto"/>
            <w:left w:val="none" w:sz="0" w:space="0" w:color="auto"/>
            <w:bottom w:val="none" w:sz="0" w:space="0" w:color="auto"/>
            <w:right w:val="none" w:sz="0" w:space="0" w:color="auto"/>
          </w:divBdr>
          <w:divsChild>
            <w:div w:id="1890144737">
              <w:marLeft w:val="0"/>
              <w:marRight w:val="0"/>
              <w:marTop w:val="0"/>
              <w:marBottom w:val="0"/>
              <w:divBdr>
                <w:top w:val="none" w:sz="0" w:space="0" w:color="auto"/>
                <w:left w:val="none" w:sz="0" w:space="0" w:color="auto"/>
                <w:bottom w:val="none" w:sz="0" w:space="0" w:color="auto"/>
                <w:right w:val="none" w:sz="0" w:space="0" w:color="auto"/>
              </w:divBdr>
              <w:divsChild>
                <w:div w:id="732703210">
                  <w:marLeft w:val="300"/>
                  <w:marRight w:val="0"/>
                  <w:marTop w:val="0"/>
                  <w:marBottom w:val="0"/>
                  <w:divBdr>
                    <w:top w:val="none" w:sz="0" w:space="0" w:color="auto"/>
                    <w:left w:val="none" w:sz="0" w:space="0" w:color="auto"/>
                    <w:bottom w:val="none" w:sz="0" w:space="0" w:color="auto"/>
                    <w:right w:val="none" w:sz="0" w:space="0" w:color="auto"/>
                  </w:divBdr>
                  <w:divsChild>
                    <w:div w:id="1266117107">
                      <w:marLeft w:val="0"/>
                      <w:marRight w:val="0"/>
                      <w:marTop w:val="0"/>
                      <w:marBottom w:val="300"/>
                      <w:divBdr>
                        <w:top w:val="none" w:sz="0" w:space="0" w:color="auto"/>
                        <w:left w:val="none" w:sz="0" w:space="0" w:color="auto"/>
                        <w:bottom w:val="none" w:sz="0" w:space="0" w:color="auto"/>
                        <w:right w:val="none" w:sz="0" w:space="0" w:color="auto"/>
                      </w:divBdr>
                      <w:divsChild>
                        <w:div w:id="109201734">
                          <w:marLeft w:val="0"/>
                          <w:marRight w:val="0"/>
                          <w:marTop w:val="0"/>
                          <w:marBottom w:val="0"/>
                          <w:divBdr>
                            <w:top w:val="none" w:sz="0" w:space="0" w:color="auto"/>
                            <w:left w:val="none" w:sz="0" w:space="0" w:color="auto"/>
                            <w:bottom w:val="none" w:sz="0" w:space="0" w:color="auto"/>
                            <w:right w:val="none" w:sz="0" w:space="0" w:color="auto"/>
                          </w:divBdr>
                          <w:divsChild>
                            <w:div w:id="2146579219">
                              <w:marLeft w:val="0"/>
                              <w:marRight w:val="0"/>
                              <w:marTop w:val="0"/>
                              <w:marBottom w:val="0"/>
                              <w:divBdr>
                                <w:top w:val="none" w:sz="0" w:space="0" w:color="auto"/>
                                <w:left w:val="none" w:sz="0" w:space="0" w:color="auto"/>
                                <w:bottom w:val="none" w:sz="0" w:space="0" w:color="auto"/>
                                <w:right w:val="none" w:sz="0" w:space="0" w:color="auto"/>
                              </w:divBdr>
                              <w:divsChild>
                                <w:div w:id="573785306">
                                  <w:marLeft w:val="0"/>
                                  <w:marRight w:val="0"/>
                                  <w:marTop w:val="0"/>
                                  <w:marBottom w:val="0"/>
                                  <w:divBdr>
                                    <w:top w:val="single" w:sz="2" w:space="0" w:color="DFDFDF"/>
                                    <w:left w:val="single" w:sz="2" w:space="0" w:color="DFDFDF"/>
                                    <w:bottom w:val="single" w:sz="2" w:space="0" w:color="DFDFDF"/>
                                    <w:right w:val="single" w:sz="2" w:space="0" w:color="DFDFDF"/>
                                  </w:divBdr>
                                  <w:divsChild>
                                    <w:div w:id="716512102">
                                      <w:marLeft w:val="-90"/>
                                      <w:marRight w:val="0"/>
                                      <w:marTop w:val="0"/>
                                      <w:marBottom w:val="0"/>
                                      <w:divBdr>
                                        <w:top w:val="none" w:sz="0" w:space="0" w:color="auto"/>
                                        <w:left w:val="none" w:sz="0" w:space="0" w:color="auto"/>
                                        <w:bottom w:val="none" w:sz="0" w:space="0" w:color="auto"/>
                                        <w:right w:val="none" w:sz="0" w:space="0" w:color="auto"/>
                                      </w:divBdr>
                                      <w:divsChild>
                                        <w:div w:id="956528789">
                                          <w:marLeft w:val="0"/>
                                          <w:marRight w:val="0"/>
                                          <w:marTop w:val="0"/>
                                          <w:marBottom w:val="45"/>
                                          <w:divBdr>
                                            <w:top w:val="single" w:sz="2" w:space="0" w:color="A9A9A9"/>
                                            <w:left w:val="single" w:sz="2" w:space="0" w:color="A9A9A9"/>
                                            <w:bottom w:val="single" w:sz="2" w:space="0" w:color="A9A9A9"/>
                                            <w:right w:val="single" w:sz="2" w:space="0" w:color="A9A9A9"/>
                                          </w:divBdr>
                                          <w:divsChild>
                                            <w:div w:id="1849713479">
                                              <w:marLeft w:val="0"/>
                                              <w:marRight w:val="0"/>
                                              <w:marTop w:val="0"/>
                                              <w:marBottom w:val="0"/>
                                              <w:divBdr>
                                                <w:top w:val="none" w:sz="0" w:space="0" w:color="auto"/>
                                                <w:left w:val="none" w:sz="0" w:space="0" w:color="auto"/>
                                                <w:bottom w:val="none" w:sz="0" w:space="0" w:color="auto"/>
                                                <w:right w:val="none" w:sz="0" w:space="0" w:color="auto"/>
                                              </w:divBdr>
                                              <w:divsChild>
                                                <w:div w:id="65523329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111123890">
                                      <w:marLeft w:val="0"/>
                                      <w:marRight w:val="0"/>
                                      <w:marTop w:val="0"/>
                                      <w:marBottom w:val="270"/>
                                      <w:divBdr>
                                        <w:top w:val="none" w:sz="0" w:space="0" w:color="auto"/>
                                        <w:left w:val="none" w:sz="0" w:space="0" w:color="auto"/>
                                        <w:bottom w:val="single" w:sz="12" w:space="5" w:color="DADADA"/>
                                        <w:right w:val="none" w:sz="0" w:space="0" w:color="auto"/>
                                      </w:divBdr>
                                      <w:divsChild>
                                        <w:div w:id="56564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355393">
                          <w:marLeft w:val="0"/>
                          <w:marRight w:val="0"/>
                          <w:marTop w:val="0"/>
                          <w:marBottom w:val="0"/>
                          <w:divBdr>
                            <w:top w:val="none" w:sz="0" w:space="0" w:color="auto"/>
                            <w:left w:val="none" w:sz="0" w:space="0" w:color="auto"/>
                            <w:bottom w:val="none" w:sz="0" w:space="0" w:color="auto"/>
                            <w:right w:val="none" w:sz="0" w:space="0" w:color="auto"/>
                          </w:divBdr>
                          <w:divsChild>
                            <w:div w:id="451287377">
                              <w:marLeft w:val="0"/>
                              <w:marRight w:val="0"/>
                              <w:marTop w:val="0"/>
                              <w:marBottom w:val="0"/>
                              <w:divBdr>
                                <w:top w:val="none" w:sz="0" w:space="0" w:color="auto"/>
                                <w:left w:val="none" w:sz="0" w:space="0" w:color="auto"/>
                                <w:bottom w:val="none" w:sz="0" w:space="0" w:color="auto"/>
                                <w:right w:val="none" w:sz="0" w:space="0" w:color="auto"/>
                              </w:divBdr>
                              <w:divsChild>
                                <w:div w:id="901796483">
                                  <w:marLeft w:val="0"/>
                                  <w:marRight w:val="0"/>
                                  <w:marTop w:val="0"/>
                                  <w:marBottom w:val="0"/>
                                  <w:divBdr>
                                    <w:top w:val="single" w:sz="2" w:space="0" w:color="DFDFDF"/>
                                    <w:left w:val="single" w:sz="2" w:space="0" w:color="DFDFDF"/>
                                    <w:bottom w:val="single" w:sz="2" w:space="0" w:color="DFDFDF"/>
                                    <w:right w:val="single" w:sz="2" w:space="0" w:color="DFDFDF"/>
                                  </w:divBdr>
                                  <w:divsChild>
                                    <w:div w:id="888110964">
                                      <w:marLeft w:val="-90"/>
                                      <w:marRight w:val="0"/>
                                      <w:marTop w:val="0"/>
                                      <w:marBottom w:val="0"/>
                                      <w:divBdr>
                                        <w:top w:val="none" w:sz="0" w:space="0" w:color="auto"/>
                                        <w:left w:val="none" w:sz="0" w:space="0" w:color="auto"/>
                                        <w:bottom w:val="none" w:sz="0" w:space="0" w:color="auto"/>
                                        <w:right w:val="none" w:sz="0" w:space="0" w:color="auto"/>
                                      </w:divBdr>
                                      <w:divsChild>
                                        <w:div w:id="1244874702">
                                          <w:marLeft w:val="0"/>
                                          <w:marRight w:val="0"/>
                                          <w:marTop w:val="0"/>
                                          <w:marBottom w:val="45"/>
                                          <w:divBdr>
                                            <w:top w:val="single" w:sz="2" w:space="0" w:color="A9A9A9"/>
                                            <w:left w:val="single" w:sz="2" w:space="0" w:color="A9A9A9"/>
                                            <w:bottom w:val="single" w:sz="2" w:space="0" w:color="A9A9A9"/>
                                            <w:right w:val="single" w:sz="2" w:space="0" w:color="A9A9A9"/>
                                          </w:divBdr>
                                          <w:divsChild>
                                            <w:div w:id="331839135">
                                              <w:marLeft w:val="0"/>
                                              <w:marRight w:val="0"/>
                                              <w:marTop w:val="0"/>
                                              <w:marBottom w:val="0"/>
                                              <w:divBdr>
                                                <w:top w:val="none" w:sz="0" w:space="0" w:color="auto"/>
                                                <w:left w:val="none" w:sz="0" w:space="0" w:color="auto"/>
                                                <w:bottom w:val="none" w:sz="0" w:space="0" w:color="auto"/>
                                                <w:right w:val="none" w:sz="0" w:space="0" w:color="auto"/>
                                              </w:divBdr>
                                              <w:divsChild>
                                                <w:div w:id="1405832772">
                                                  <w:marLeft w:val="92"/>
                                                  <w:marRight w:val="0"/>
                                                  <w:marTop w:val="0"/>
                                                  <w:marBottom w:val="150"/>
                                                  <w:divBdr>
                                                    <w:top w:val="single" w:sz="2" w:space="0" w:color="E4E4E4"/>
                                                    <w:left w:val="single" w:sz="2" w:space="0" w:color="E4E4E4"/>
                                                    <w:bottom w:val="single" w:sz="2" w:space="0" w:color="E4E4E4"/>
                                                    <w:right w:val="single" w:sz="2" w:space="0" w:color="E4E4E4"/>
                                                  </w:divBdr>
                                                </w:div>
                                                <w:div w:id="194376126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536187071">
                  <w:marLeft w:val="0"/>
                  <w:marRight w:val="0"/>
                  <w:marTop w:val="0"/>
                  <w:marBottom w:val="0"/>
                  <w:divBdr>
                    <w:top w:val="none" w:sz="0" w:space="0" w:color="auto"/>
                    <w:left w:val="none" w:sz="0" w:space="0" w:color="auto"/>
                    <w:bottom w:val="none" w:sz="0" w:space="0" w:color="auto"/>
                    <w:right w:val="none" w:sz="0" w:space="0" w:color="auto"/>
                  </w:divBdr>
                  <w:divsChild>
                    <w:div w:id="499783596">
                      <w:marLeft w:val="0"/>
                      <w:marRight w:val="0"/>
                      <w:marTop w:val="0"/>
                      <w:marBottom w:val="75"/>
                      <w:divBdr>
                        <w:top w:val="none" w:sz="0" w:space="0" w:color="auto"/>
                        <w:left w:val="none" w:sz="0" w:space="0" w:color="auto"/>
                        <w:bottom w:val="none" w:sz="0" w:space="0" w:color="auto"/>
                        <w:right w:val="none" w:sz="0" w:space="0" w:color="auto"/>
                      </w:divBdr>
                    </w:div>
                    <w:div w:id="795946967">
                      <w:marLeft w:val="0"/>
                      <w:marRight w:val="0"/>
                      <w:marTop w:val="0"/>
                      <w:marBottom w:val="0"/>
                      <w:divBdr>
                        <w:top w:val="none" w:sz="0" w:space="0" w:color="auto"/>
                        <w:left w:val="none" w:sz="0" w:space="0" w:color="auto"/>
                        <w:bottom w:val="none" w:sz="0" w:space="0" w:color="auto"/>
                        <w:right w:val="none" w:sz="0" w:space="0" w:color="auto"/>
                      </w:divBdr>
                    </w:div>
                    <w:div w:id="837109862">
                      <w:marLeft w:val="0"/>
                      <w:marRight w:val="0"/>
                      <w:marTop w:val="0"/>
                      <w:marBottom w:val="0"/>
                      <w:divBdr>
                        <w:top w:val="none" w:sz="0" w:space="0" w:color="auto"/>
                        <w:left w:val="none" w:sz="0" w:space="0" w:color="auto"/>
                        <w:bottom w:val="none" w:sz="0" w:space="0" w:color="auto"/>
                        <w:right w:val="none" w:sz="0" w:space="0" w:color="auto"/>
                      </w:divBdr>
                      <w:divsChild>
                        <w:div w:id="714738506">
                          <w:marLeft w:val="0"/>
                          <w:marRight w:val="0"/>
                          <w:marTop w:val="0"/>
                          <w:marBottom w:val="0"/>
                          <w:divBdr>
                            <w:top w:val="none" w:sz="0" w:space="0" w:color="auto"/>
                            <w:left w:val="none" w:sz="0" w:space="0" w:color="auto"/>
                            <w:bottom w:val="none" w:sz="0" w:space="0" w:color="auto"/>
                            <w:right w:val="none" w:sz="0" w:space="0" w:color="auto"/>
                          </w:divBdr>
                          <w:divsChild>
                            <w:div w:id="21142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89957">
                      <w:marLeft w:val="0"/>
                      <w:marRight w:val="0"/>
                      <w:marTop w:val="0"/>
                      <w:marBottom w:val="300"/>
                      <w:divBdr>
                        <w:top w:val="none" w:sz="0" w:space="0" w:color="auto"/>
                        <w:left w:val="none" w:sz="0" w:space="0" w:color="auto"/>
                        <w:bottom w:val="none" w:sz="0" w:space="0" w:color="auto"/>
                        <w:right w:val="none" w:sz="0" w:space="0" w:color="auto"/>
                      </w:divBdr>
                      <w:divsChild>
                        <w:div w:id="90407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033653">
      <w:bodyDiv w:val="1"/>
      <w:marLeft w:val="0"/>
      <w:marRight w:val="0"/>
      <w:marTop w:val="0"/>
      <w:marBottom w:val="0"/>
      <w:divBdr>
        <w:top w:val="none" w:sz="0" w:space="0" w:color="auto"/>
        <w:left w:val="none" w:sz="0" w:space="0" w:color="auto"/>
        <w:bottom w:val="none" w:sz="0" w:space="0" w:color="auto"/>
        <w:right w:val="none" w:sz="0" w:space="0" w:color="auto"/>
      </w:divBdr>
      <w:divsChild>
        <w:div w:id="1019234959">
          <w:marLeft w:val="0"/>
          <w:marRight w:val="0"/>
          <w:marTop w:val="0"/>
          <w:marBottom w:val="450"/>
          <w:divBdr>
            <w:top w:val="none" w:sz="0" w:space="0" w:color="auto"/>
            <w:left w:val="none" w:sz="0" w:space="0" w:color="auto"/>
            <w:bottom w:val="single" w:sz="6" w:space="19" w:color="EEEEEE"/>
            <w:right w:val="none" w:sz="0" w:space="0" w:color="auto"/>
          </w:divBdr>
          <w:divsChild>
            <w:div w:id="356127143">
              <w:marLeft w:val="0"/>
              <w:marRight w:val="0"/>
              <w:marTop w:val="0"/>
              <w:marBottom w:val="150"/>
              <w:divBdr>
                <w:top w:val="none" w:sz="0" w:space="0" w:color="auto"/>
                <w:left w:val="none" w:sz="0" w:space="0" w:color="auto"/>
                <w:bottom w:val="none" w:sz="0" w:space="0" w:color="auto"/>
                <w:right w:val="none" w:sz="0" w:space="0" w:color="auto"/>
              </w:divBdr>
              <w:divsChild>
                <w:div w:id="1521622522">
                  <w:marLeft w:val="0"/>
                  <w:marRight w:val="0"/>
                  <w:marTop w:val="0"/>
                  <w:marBottom w:val="0"/>
                  <w:divBdr>
                    <w:top w:val="none" w:sz="0" w:space="0" w:color="auto"/>
                    <w:left w:val="none" w:sz="0" w:space="0" w:color="auto"/>
                    <w:bottom w:val="none" w:sz="0" w:space="0" w:color="auto"/>
                    <w:right w:val="none" w:sz="0" w:space="0" w:color="auto"/>
                  </w:divBdr>
                </w:div>
              </w:divsChild>
            </w:div>
            <w:div w:id="778526588">
              <w:marLeft w:val="0"/>
              <w:marRight w:val="0"/>
              <w:marTop w:val="0"/>
              <w:marBottom w:val="0"/>
              <w:divBdr>
                <w:top w:val="none" w:sz="0" w:space="0" w:color="auto"/>
                <w:left w:val="none" w:sz="0" w:space="0" w:color="auto"/>
                <w:bottom w:val="none" w:sz="0" w:space="0" w:color="auto"/>
                <w:right w:val="none" w:sz="0" w:space="0" w:color="auto"/>
              </w:divBdr>
            </w:div>
          </w:divsChild>
        </w:div>
        <w:div w:id="61299931">
          <w:marLeft w:val="0"/>
          <w:marRight w:val="0"/>
          <w:marTop w:val="0"/>
          <w:marBottom w:val="0"/>
          <w:divBdr>
            <w:top w:val="none" w:sz="0" w:space="0" w:color="auto"/>
            <w:left w:val="none" w:sz="0" w:space="0" w:color="auto"/>
            <w:bottom w:val="none" w:sz="0" w:space="0" w:color="auto"/>
            <w:right w:val="none" w:sz="0" w:space="0" w:color="auto"/>
          </w:divBdr>
          <w:divsChild>
            <w:div w:id="1101216992">
              <w:marLeft w:val="0"/>
              <w:marRight w:val="0"/>
              <w:marTop w:val="0"/>
              <w:marBottom w:val="0"/>
              <w:divBdr>
                <w:top w:val="none" w:sz="0" w:space="0" w:color="auto"/>
                <w:left w:val="none" w:sz="0" w:space="0" w:color="auto"/>
                <w:bottom w:val="none" w:sz="0" w:space="0" w:color="auto"/>
                <w:right w:val="none" w:sz="0" w:space="0" w:color="auto"/>
              </w:divBdr>
              <w:divsChild>
                <w:div w:id="176095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268259">
      <w:bodyDiv w:val="1"/>
      <w:marLeft w:val="0"/>
      <w:marRight w:val="0"/>
      <w:marTop w:val="0"/>
      <w:marBottom w:val="0"/>
      <w:divBdr>
        <w:top w:val="none" w:sz="0" w:space="0" w:color="auto"/>
        <w:left w:val="none" w:sz="0" w:space="0" w:color="auto"/>
        <w:bottom w:val="none" w:sz="0" w:space="0" w:color="auto"/>
        <w:right w:val="none" w:sz="0" w:space="0" w:color="auto"/>
      </w:divBdr>
      <w:divsChild>
        <w:div w:id="1502114272">
          <w:marLeft w:val="0"/>
          <w:marRight w:val="0"/>
          <w:marTop w:val="0"/>
          <w:marBottom w:val="150"/>
          <w:divBdr>
            <w:top w:val="none" w:sz="0" w:space="0" w:color="auto"/>
            <w:left w:val="none" w:sz="0" w:space="0" w:color="auto"/>
            <w:bottom w:val="none" w:sz="0" w:space="0" w:color="auto"/>
            <w:right w:val="none" w:sz="0" w:space="0" w:color="auto"/>
          </w:divBdr>
        </w:div>
      </w:divsChild>
    </w:div>
    <w:div w:id="1392194197">
      <w:bodyDiv w:val="1"/>
      <w:marLeft w:val="0"/>
      <w:marRight w:val="0"/>
      <w:marTop w:val="0"/>
      <w:marBottom w:val="0"/>
      <w:divBdr>
        <w:top w:val="none" w:sz="0" w:space="0" w:color="auto"/>
        <w:left w:val="none" w:sz="0" w:space="0" w:color="auto"/>
        <w:bottom w:val="none" w:sz="0" w:space="0" w:color="auto"/>
        <w:right w:val="none" w:sz="0" w:space="0" w:color="auto"/>
      </w:divBdr>
    </w:div>
    <w:div w:id="1392582601">
      <w:bodyDiv w:val="1"/>
      <w:marLeft w:val="0"/>
      <w:marRight w:val="0"/>
      <w:marTop w:val="0"/>
      <w:marBottom w:val="0"/>
      <w:divBdr>
        <w:top w:val="none" w:sz="0" w:space="0" w:color="auto"/>
        <w:left w:val="none" w:sz="0" w:space="0" w:color="auto"/>
        <w:bottom w:val="none" w:sz="0" w:space="0" w:color="auto"/>
        <w:right w:val="none" w:sz="0" w:space="0" w:color="auto"/>
      </w:divBdr>
      <w:divsChild>
        <w:div w:id="588927904">
          <w:marLeft w:val="0"/>
          <w:marRight w:val="0"/>
          <w:marTop w:val="0"/>
          <w:marBottom w:val="0"/>
          <w:divBdr>
            <w:top w:val="none" w:sz="0" w:space="0" w:color="auto"/>
            <w:left w:val="none" w:sz="0" w:space="0" w:color="auto"/>
            <w:bottom w:val="none" w:sz="0" w:space="0" w:color="auto"/>
            <w:right w:val="none" w:sz="0" w:space="0" w:color="auto"/>
          </w:divBdr>
          <w:divsChild>
            <w:div w:id="208302239">
              <w:marLeft w:val="0"/>
              <w:marRight w:val="0"/>
              <w:marTop w:val="0"/>
              <w:marBottom w:val="0"/>
              <w:divBdr>
                <w:top w:val="none" w:sz="0" w:space="0" w:color="auto"/>
                <w:left w:val="none" w:sz="0" w:space="0" w:color="auto"/>
                <w:bottom w:val="none" w:sz="0" w:space="0" w:color="auto"/>
                <w:right w:val="none" w:sz="0" w:space="0" w:color="auto"/>
              </w:divBdr>
              <w:divsChild>
                <w:div w:id="1532691246">
                  <w:marLeft w:val="0"/>
                  <w:marRight w:val="0"/>
                  <w:marTop w:val="0"/>
                  <w:marBottom w:val="450"/>
                  <w:divBdr>
                    <w:top w:val="none" w:sz="0" w:space="0" w:color="auto"/>
                    <w:left w:val="none" w:sz="0" w:space="0" w:color="auto"/>
                    <w:bottom w:val="none" w:sz="0" w:space="0" w:color="auto"/>
                    <w:right w:val="none" w:sz="0" w:space="0" w:color="auto"/>
                  </w:divBdr>
                  <w:divsChild>
                    <w:div w:id="385109240">
                      <w:marLeft w:val="0"/>
                      <w:marRight w:val="0"/>
                      <w:marTop w:val="0"/>
                      <w:marBottom w:val="0"/>
                      <w:divBdr>
                        <w:top w:val="none" w:sz="0" w:space="0" w:color="auto"/>
                        <w:left w:val="none" w:sz="0" w:space="0" w:color="auto"/>
                        <w:bottom w:val="none" w:sz="0" w:space="0" w:color="auto"/>
                        <w:right w:val="none" w:sz="0" w:space="0" w:color="auto"/>
                      </w:divBdr>
                      <w:divsChild>
                        <w:div w:id="1133718542">
                          <w:marLeft w:val="0"/>
                          <w:marRight w:val="0"/>
                          <w:marTop w:val="0"/>
                          <w:marBottom w:val="150"/>
                          <w:divBdr>
                            <w:top w:val="none" w:sz="0" w:space="0" w:color="auto"/>
                            <w:left w:val="none" w:sz="0" w:space="0" w:color="auto"/>
                            <w:bottom w:val="none" w:sz="0" w:space="0" w:color="auto"/>
                            <w:right w:val="none" w:sz="0" w:space="0" w:color="auto"/>
                          </w:divBdr>
                        </w:div>
                        <w:div w:id="1428454653">
                          <w:marLeft w:val="0"/>
                          <w:marRight w:val="0"/>
                          <w:marTop w:val="0"/>
                          <w:marBottom w:val="0"/>
                          <w:divBdr>
                            <w:top w:val="none" w:sz="0" w:space="0" w:color="auto"/>
                            <w:left w:val="none" w:sz="0" w:space="0" w:color="auto"/>
                            <w:bottom w:val="none" w:sz="0" w:space="0" w:color="auto"/>
                            <w:right w:val="none" w:sz="0" w:space="0" w:color="auto"/>
                          </w:divBdr>
                          <w:divsChild>
                            <w:div w:id="37068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520675">
                      <w:marLeft w:val="0"/>
                      <w:marRight w:val="0"/>
                      <w:marTop w:val="0"/>
                      <w:marBottom w:val="150"/>
                      <w:divBdr>
                        <w:top w:val="none" w:sz="0" w:space="0" w:color="auto"/>
                        <w:left w:val="none" w:sz="0" w:space="0" w:color="auto"/>
                        <w:bottom w:val="none" w:sz="0" w:space="0" w:color="auto"/>
                        <w:right w:val="none" w:sz="0" w:space="0" w:color="auto"/>
                      </w:divBdr>
                      <w:divsChild>
                        <w:div w:id="181988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515147">
          <w:marLeft w:val="0"/>
          <w:marRight w:val="0"/>
          <w:marTop w:val="0"/>
          <w:marBottom w:val="375"/>
          <w:divBdr>
            <w:top w:val="none" w:sz="0" w:space="0" w:color="auto"/>
            <w:left w:val="none" w:sz="0" w:space="0" w:color="auto"/>
            <w:bottom w:val="single" w:sz="6" w:space="0" w:color="005494"/>
            <w:right w:val="none" w:sz="0" w:space="0" w:color="auto"/>
          </w:divBdr>
        </w:div>
        <w:div w:id="2096199040">
          <w:marLeft w:val="0"/>
          <w:marRight w:val="0"/>
          <w:marTop w:val="0"/>
          <w:marBottom w:val="300"/>
          <w:divBdr>
            <w:top w:val="none" w:sz="0" w:space="0" w:color="auto"/>
            <w:left w:val="none" w:sz="0" w:space="0" w:color="auto"/>
            <w:bottom w:val="single" w:sz="6" w:space="0" w:color="E4E4E4"/>
            <w:right w:val="none" w:sz="0" w:space="0" w:color="auto"/>
          </w:divBdr>
        </w:div>
      </w:divsChild>
    </w:div>
    <w:div w:id="1392584250">
      <w:bodyDiv w:val="1"/>
      <w:marLeft w:val="0"/>
      <w:marRight w:val="0"/>
      <w:marTop w:val="0"/>
      <w:marBottom w:val="0"/>
      <w:divBdr>
        <w:top w:val="none" w:sz="0" w:space="0" w:color="auto"/>
        <w:left w:val="none" w:sz="0" w:space="0" w:color="auto"/>
        <w:bottom w:val="none" w:sz="0" w:space="0" w:color="auto"/>
        <w:right w:val="none" w:sz="0" w:space="0" w:color="auto"/>
      </w:divBdr>
      <w:divsChild>
        <w:div w:id="1868063022">
          <w:marLeft w:val="0"/>
          <w:marRight w:val="0"/>
          <w:marTop w:val="0"/>
          <w:marBottom w:val="150"/>
          <w:divBdr>
            <w:top w:val="none" w:sz="0" w:space="0" w:color="auto"/>
            <w:left w:val="none" w:sz="0" w:space="0" w:color="auto"/>
            <w:bottom w:val="none" w:sz="0" w:space="0" w:color="auto"/>
            <w:right w:val="none" w:sz="0" w:space="0" w:color="auto"/>
          </w:divBdr>
        </w:div>
      </w:divsChild>
    </w:div>
    <w:div w:id="1392771696">
      <w:bodyDiv w:val="1"/>
      <w:marLeft w:val="0"/>
      <w:marRight w:val="0"/>
      <w:marTop w:val="0"/>
      <w:marBottom w:val="0"/>
      <w:divBdr>
        <w:top w:val="none" w:sz="0" w:space="0" w:color="auto"/>
        <w:left w:val="none" w:sz="0" w:space="0" w:color="auto"/>
        <w:bottom w:val="none" w:sz="0" w:space="0" w:color="auto"/>
        <w:right w:val="none" w:sz="0" w:space="0" w:color="auto"/>
      </w:divBdr>
    </w:div>
    <w:div w:id="1393388540">
      <w:bodyDiv w:val="1"/>
      <w:marLeft w:val="0"/>
      <w:marRight w:val="0"/>
      <w:marTop w:val="0"/>
      <w:marBottom w:val="0"/>
      <w:divBdr>
        <w:top w:val="none" w:sz="0" w:space="0" w:color="auto"/>
        <w:left w:val="none" w:sz="0" w:space="0" w:color="auto"/>
        <w:bottom w:val="none" w:sz="0" w:space="0" w:color="auto"/>
        <w:right w:val="none" w:sz="0" w:space="0" w:color="auto"/>
      </w:divBdr>
      <w:divsChild>
        <w:div w:id="360980168">
          <w:marLeft w:val="0"/>
          <w:marRight w:val="0"/>
          <w:marTop w:val="0"/>
          <w:marBottom w:val="75"/>
          <w:divBdr>
            <w:top w:val="none" w:sz="0" w:space="0" w:color="auto"/>
            <w:left w:val="none" w:sz="0" w:space="0" w:color="auto"/>
            <w:bottom w:val="none" w:sz="0" w:space="0" w:color="auto"/>
            <w:right w:val="none" w:sz="0" w:space="0" w:color="auto"/>
          </w:divBdr>
        </w:div>
        <w:div w:id="575213442">
          <w:marLeft w:val="0"/>
          <w:marRight w:val="0"/>
          <w:marTop w:val="0"/>
          <w:marBottom w:val="300"/>
          <w:divBdr>
            <w:top w:val="none" w:sz="0" w:space="0" w:color="auto"/>
            <w:left w:val="none" w:sz="0" w:space="0" w:color="auto"/>
            <w:bottom w:val="none" w:sz="0" w:space="0" w:color="auto"/>
            <w:right w:val="none" w:sz="0" w:space="0" w:color="auto"/>
          </w:divBdr>
          <w:divsChild>
            <w:div w:id="1867986492">
              <w:marLeft w:val="0"/>
              <w:marRight w:val="0"/>
              <w:marTop w:val="0"/>
              <w:marBottom w:val="0"/>
              <w:divBdr>
                <w:top w:val="none" w:sz="0" w:space="0" w:color="auto"/>
                <w:left w:val="none" w:sz="0" w:space="0" w:color="auto"/>
                <w:bottom w:val="none" w:sz="0" w:space="0" w:color="auto"/>
                <w:right w:val="none" w:sz="0" w:space="0" w:color="auto"/>
              </w:divBdr>
            </w:div>
          </w:divsChild>
        </w:div>
        <w:div w:id="1095830884">
          <w:marLeft w:val="0"/>
          <w:marRight w:val="0"/>
          <w:marTop w:val="0"/>
          <w:marBottom w:val="0"/>
          <w:divBdr>
            <w:top w:val="none" w:sz="0" w:space="0" w:color="auto"/>
            <w:left w:val="none" w:sz="0" w:space="0" w:color="auto"/>
            <w:bottom w:val="none" w:sz="0" w:space="0" w:color="auto"/>
            <w:right w:val="none" w:sz="0" w:space="0" w:color="auto"/>
          </w:divBdr>
          <w:divsChild>
            <w:div w:id="69009880">
              <w:marLeft w:val="0"/>
              <w:marRight w:val="0"/>
              <w:marTop w:val="0"/>
              <w:marBottom w:val="0"/>
              <w:divBdr>
                <w:top w:val="none" w:sz="0" w:space="0" w:color="auto"/>
                <w:left w:val="none" w:sz="0" w:space="0" w:color="auto"/>
                <w:bottom w:val="none" w:sz="0" w:space="0" w:color="auto"/>
                <w:right w:val="none" w:sz="0" w:space="0" w:color="auto"/>
              </w:divBdr>
            </w:div>
          </w:divsChild>
        </w:div>
        <w:div w:id="1144002055">
          <w:marLeft w:val="0"/>
          <w:marRight w:val="0"/>
          <w:marTop w:val="0"/>
          <w:marBottom w:val="0"/>
          <w:divBdr>
            <w:top w:val="none" w:sz="0" w:space="0" w:color="auto"/>
            <w:left w:val="none" w:sz="0" w:space="0" w:color="auto"/>
            <w:bottom w:val="none" w:sz="0" w:space="0" w:color="auto"/>
            <w:right w:val="none" w:sz="0" w:space="0" w:color="auto"/>
          </w:divBdr>
          <w:divsChild>
            <w:div w:id="886993783">
              <w:marLeft w:val="0"/>
              <w:marRight w:val="0"/>
              <w:marTop w:val="0"/>
              <w:marBottom w:val="0"/>
              <w:divBdr>
                <w:top w:val="none" w:sz="0" w:space="0" w:color="auto"/>
                <w:left w:val="none" w:sz="0" w:space="0" w:color="auto"/>
                <w:bottom w:val="none" w:sz="0" w:space="0" w:color="auto"/>
                <w:right w:val="none" w:sz="0" w:space="0" w:color="auto"/>
              </w:divBdr>
              <w:divsChild>
                <w:div w:id="162165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500800">
      <w:bodyDiv w:val="1"/>
      <w:marLeft w:val="0"/>
      <w:marRight w:val="0"/>
      <w:marTop w:val="0"/>
      <w:marBottom w:val="0"/>
      <w:divBdr>
        <w:top w:val="none" w:sz="0" w:space="0" w:color="auto"/>
        <w:left w:val="none" w:sz="0" w:space="0" w:color="auto"/>
        <w:bottom w:val="none" w:sz="0" w:space="0" w:color="auto"/>
        <w:right w:val="none" w:sz="0" w:space="0" w:color="auto"/>
      </w:divBdr>
    </w:div>
    <w:div w:id="1393501619">
      <w:bodyDiv w:val="1"/>
      <w:marLeft w:val="0"/>
      <w:marRight w:val="0"/>
      <w:marTop w:val="0"/>
      <w:marBottom w:val="0"/>
      <w:divBdr>
        <w:top w:val="none" w:sz="0" w:space="0" w:color="auto"/>
        <w:left w:val="none" w:sz="0" w:space="0" w:color="auto"/>
        <w:bottom w:val="none" w:sz="0" w:space="0" w:color="auto"/>
        <w:right w:val="none" w:sz="0" w:space="0" w:color="auto"/>
      </w:divBdr>
      <w:divsChild>
        <w:div w:id="857425849">
          <w:marLeft w:val="0"/>
          <w:marRight w:val="0"/>
          <w:marTop w:val="300"/>
          <w:marBottom w:val="0"/>
          <w:divBdr>
            <w:top w:val="none" w:sz="0" w:space="0" w:color="auto"/>
            <w:left w:val="none" w:sz="0" w:space="0" w:color="auto"/>
            <w:bottom w:val="none" w:sz="0" w:space="0" w:color="auto"/>
            <w:right w:val="none" w:sz="0" w:space="0" w:color="auto"/>
          </w:divBdr>
        </w:div>
      </w:divsChild>
    </w:div>
    <w:div w:id="1393655577">
      <w:bodyDiv w:val="1"/>
      <w:marLeft w:val="0"/>
      <w:marRight w:val="0"/>
      <w:marTop w:val="0"/>
      <w:marBottom w:val="0"/>
      <w:divBdr>
        <w:top w:val="none" w:sz="0" w:space="0" w:color="auto"/>
        <w:left w:val="none" w:sz="0" w:space="0" w:color="auto"/>
        <w:bottom w:val="none" w:sz="0" w:space="0" w:color="auto"/>
        <w:right w:val="none" w:sz="0" w:space="0" w:color="auto"/>
      </w:divBdr>
      <w:divsChild>
        <w:div w:id="78720122">
          <w:marLeft w:val="0"/>
          <w:marRight w:val="0"/>
          <w:marTop w:val="0"/>
          <w:marBottom w:val="150"/>
          <w:divBdr>
            <w:top w:val="none" w:sz="0" w:space="0" w:color="auto"/>
            <w:left w:val="none" w:sz="0" w:space="0" w:color="auto"/>
            <w:bottom w:val="none" w:sz="0" w:space="0" w:color="auto"/>
            <w:right w:val="none" w:sz="0" w:space="0" w:color="auto"/>
          </w:divBdr>
        </w:div>
      </w:divsChild>
    </w:div>
    <w:div w:id="1393698694">
      <w:bodyDiv w:val="1"/>
      <w:marLeft w:val="0"/>
      <w:marRight w:val="0"/>
      <w:marTop w:val="0"/>
      <w:marBottom w:val="0"/>
      <w:divBdr>
        <w:top w:val="none" w:sz="0" w:space="0" w:color="auto"/>
        <w:left w:val="none" w:sz="0" w:space="0" w:color="auto"/>
        <w:bottom w:val="none" w:sz="0" w:space="0" w:color="auto"/>
        <w:right w:val="none" w:sz="0" w:space="0" w:color="auto"/>
      </w:divBdr>
      <w:divsChild>
        <w:div w:id="1207643722">
          <w:marLeft w:val="0"/>
          <w:marRight w:val="0"/>
          <w:marTop w:val="0"/>
          <w:marBottom w:val="150"/>
          <w:divBdr>
            <w:top w:val="none" w:sz="0" w:space="0" w:color="auto"/>
            <w:left w:val="none" w:sz="0" w:space="0" w:color="auto"/>
            <w:bottom w:val="none" w:sz="0" w:space="0" w:color="auto"/>
            <w:right w:val="none" w:sz="0" w:space="0" w:color="auto"/>
          </w:divBdr>
        </w:div>
        <w:div w:id="1929726339">
          <w:marLeft w:val="0"/>
          <w:marRight w:val="0"/>
          <w:marTop w:val="0"/>
          <w:marBottom w:val="0"/>
          <w:divBdr>
            <w:top w:val="none" w:sz="0" w:space="0" w:color="auto"/>
            <w:left w:val="none" w:sz="0" w:space="0" w:color="auto"/>
            <w:bottom w:val="none" w:sz="0" w:space="0" w:color="auto"/>
            <w:right w:val="none" w:sz="0" w:space="0" w:color="auto"/>
          </w:divBdr>
        </w:div>
      </w:divsChild>
    </w:div>
    <w:div w:id="1393893885">
      <w:bodyDiv w:val="1"/>
      <w:marLeft w:val="0"/>
      <w:marRight w:val="0"/>
      <w:marTop w:val="0"/>
      <w:marBottom w:val="0"/>
      <w:divBdr>
        <w:top w:val="none" w:sz="0" w:space="0" w:color="auto"/>
        <w:left w:val="none" w:sz="0" w:space="0" w:color="auto"/>
        <w:bottom w:val="none" w:sz="0" w:space="0" w:color="auto"/>
        <w:right w:val="none" w:sz="0" w:space="0" w:color="auto"/>
      </w:divBdr>
    </w:div>
    <w:div w:id="1394042632">
      <w:bodyDiv w:val="1"/>
      <w:marLeft w:val="0"/>
      <w:marRight w:val="0"/>
      <w:marTop w:val="0"/>
      <w:marBottom w:val="0"/>
      <w:divBdr>
        <w:top w:val="none" w:sz="0" w:space="0" w:color="auto"/>
        <w:left w:val="none" w:sz="0" w:space="0" w:color="auto"/>
        <w:bottom w:val="none" w:sz="0" w:space="0" w:color="auto"/>
        <w:right w:val="none" w:sz="0" w:space="0" w:color="auto"/>
      </w:divBdr>
      <w:divsChild>
        <w:div w:id="156771295">
          <w:marLeft w:val="0"/>
          <w:marRight w:val="0"/>
          <w:marTop w:val="0"/>
          <w:marBottom w:val="150"/>
          <w:divBdr>
            <w:top w:val="none" w:sz="0" w:space="0" w:color="auto"/>
            <w:left w:val="none" w:sz="0" w:space="0" w:color="auto"/>
            <w:bottom w:val="none" w:sz="0" w:space="0" w:color="auto"/>
            <w:right w:val="none" w:sz="0" w:space="0" w:color="auto"/>
          </w:divBdr>
          <w:divsChild>
            <w:div w:id="1844591624">
              <w:marLeft w:val="0"/>
              <w:marRight w:val="0"/>
              <w:marTop w:val="0"/>
              <w:marBottom w:val="0"/>
              <w:divBdr>
                <w:top w:val="none" w:sz="0" w:space="0" w:color="auto"/>
                <w:left w:val="none" w:sz="0" w:space="0" w:color="auto"/>
                <w:bottom w:val="none" w:sz="0" w:space="0" w:color="auto"/>
                <w:right w:val="none" w:sz="0" w:space="0" w:color="auto"/>
              </w:divBdr>
            </w:div>
          </w:divsChild>
        </w:div>
        <w:div w:id="945841875">
          <w:marLeft w:val="0"/>
          <w:marRight w:val="0"/>
          <w:marTop w:val="0"/>
          <w:marBottom w:val="0"/>
          <w:divBdr>
            <w:top w:val="none" w:sz="0" w:space="0" w:color="auto"/>
            <w:left w:val="none" w:sz="0" w:space="0" w:color="auto"/>
            <w:bottom w:val="none" w:sz="0" w:space="0" w:color="auto"/>
            <w:right w:val="none" w:sz="0" w:space="0" w:color="auto"/>
          </w:divBdr>
        </w:div>
      </w:divsChild>
    </w:div>
    <w:div w:id="1394280558">
      <w:bodyDiv w:val="1"/>
      <w:marLeft w:val="0"/>
      <w:marRight w:val="0"/>
      <w:marTop w:val="0"/>
      <w:marBottom w:val="0"/>
      <w:divBdr>
        <w:top w:val="none" w:sz="0" w:space="0" w:color="auto"/>
        <w:left w:val="none" w:sz="0" w:space="0" w:color="auto"/>
        <w:bottom w:val="none" w:sz="0" w:space="0" w:color="auto"/>
        <w:right w:val="none" w:sz="0" w:space="0" w:color="auto"/>
      </w:divBdr>
      <w:divsChild>
        <w:div w:id="1747529536">
          <w:marLeft w:val="0"/>
          <w:marRight w:val="0"/>
          <w:marTop w:val="0"/>
          <w:marBottom w:val="150"/>
          <w:divBdr>
            <w:top w:val="none" w:sz="0" w:space="0" w:color="auto"/>
            <w:left w:val="none" w:sz="0" w:space="0" w:color="auto"/>
            <w:bottom w:val="none" w:sz="0" w:space="0" w:color="auto"/>
            <w:right w:val="none" w:sz="0" w:space="0" w:color="auto"/>
          </w:divBdr>
        </w:div>
      </w:divsChild>
    </w:div>
    <w:div w:id="1394305283">
      <w:bodyDiv w:val="1"/>
      <w:marLeft w:val="0"/>
      <w:marRight w:val="0"/>
      <w:marTop w:val="0"/>
      <w:marBottom w:val="0"/>
      <w:divBdr>
        <w:top w:val="none" w:sz="0" w:space="0" w:color="auto"/>
        <w:left w:val="none" w:sz="0" w:space="0" w:color="auto"/>
        <w:bottom w:val="none" w:sz="0" w:space="0" w:color="auto"/>
        <w:right w:val="none" w:sz="0" w:space="0" w:color="auto"/>
      </w:divBdr>
      <w:divsChild>
        <w:div w:id="536426939">
          <w:marLeft w:val="0"/>
          <w:marRight w:val="0"/>
          <w:marTop w:val="0"/>
          <w:marBottom w:val="0"/>
          <w:divBdr>
            <w:top w:val="none" w:sz="0" w:space="0" w:color="auto"/>
            <w:left w:val="none" w:sz="0" w:space="0" w:color="auto"/>
            <w:bottom w:val="dotted" w:sz="6" w:space="4" w:color="DDDDDD"/>
            <w:right w:val="none" w:sz="0" w:space="0" w:color="auto"/>
          </w:divBdr>
          <w:divsChild>
            <w:div w:id="172976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500485">
      <w:bodyDiv w:val="1"/>
      <w:marLeft w:val="0"/>
      <w:marRight w:val="0"/>
      <w:marTop w:val="0"/>
      <w:marBottom w:val="0"/>
      <w:divBdr>
        <w:top w:val="none" w:sz="0" w:space="0" w:color="auto"/>
        <w:left w:val="none" w:sz="0" w:space="0" w:color="auto"/>
        <w:bottom w:val="none" w:sz="0" w:space="0" w:color="auto"/>
        <w:right w:val="none" w:sz="0" w:space="0" w:color="auto"/>
      </w:divBdr>
      <w:divsChild>
        <w:div w:id="609052334">
          <w:marLeft w:val="0"/>
          <w:marRight w:val="0"/>
          <w:marTop w:val="0"/>
          <w:marBottom w:val="0"/>
          <w:divBdr>
            <w:top w:val="none" w:sz="0" w:space="0" w:color="auto"/>
            <w:left w:val="none" w:sz="0" w:space="0" w:color="auto"/>
            <w:bottom w:val="none" w:sz="0" w:space="0" w:color="auto"/>
            <w:right w:val="none" w:sz="0" w:space="0" w:color="auto"/>
          </w:divBdr>
          <w:divsChild>
            <w:div w:id="1752585319">
              <w:marLeft w:val="0"/>
              <w:marRight w:val="0"/>
              <w:marTop w:val="0"/>
              <w:marBottom w:val="0"/>
              <w:divBdr>
                <w:top w:val="none" w:sz="0" w:space="0" w:color="auto"/>
                <w:left w:val="none" w:sz="0" w:space="0" w:color="auto"/>
                <w:bottom w:val="none" w:sz="0" w:space="0" w:color="auto"/>
                <w:right w:val="none" w:sz="0" w:space="0" w:color="auto"/>
              </w:divBdr>
              <w:divsChild>
                <w:div w:id="854490937">
                  <w:marLeft w:val="0"/>
                  <w:marRight w:val="0"/>
                  <w:marTop w:val="0"/>
                  <w:marBottom w:val="0"/>
                  <w:divBdr>
                    <w:top w:val="none" w:sz="0" w:space="0" w:color="auto"/>
                    <w:left w:val="none" w:sz="0" w:space="0" w:color="auto"/>
                    <w:bottom w:val="none" w:sz="0" w:space="0" w:color="auto"/>
                    <w:right w:val="none" w:sz="0" w:space="0" w:color="auto"/>
                  </w:divBdr>
                  <w:divsChild>
                    <w:div w:id="1679386896">
                      <w:marLeft w:val="0"/>
                      <w:marRight w:val="0"/>
                      <w:marTop w:val="0"/>
                      <w:marBottom w:val="0"/>
                      <w:divBdr>
                        <w:top w:val="none" w:sz="0" w:space="0" w:color="auto"/>
                        <w:left w:val="none" w:sz="0" w:space="0" w:color="auto"/>
                        <w:bottom w:val="none" w:sz="0" w:space="0" w:color="auto"/>
                        <w:right w:val="none" w:sz="0" w:space="0" w:color="auto"/>
                      </w:divBdr>
                      <w:divsChild>
                        <w:div w:id="1296137451">
                          <w:marLeft w:val="0"/>
                          <w:marRight w:val="0"/>
                          <w:marTop w:val="0"/>
                          <w:marBottom w:val="0"/>
                          <w:divBdr>
                            <w:top w:val="none" w:sz="0" w:space="0" w:color="auto"/>
                            <w:left w:val="none" w:sz="0" w:space="0" w:color="auto"/>
                            <w:bottom w:val="none" w:sz="0" w:space="0" w:color="auto"/>
                            <w:right w:val="none" w:sz="0" w:space="0" w:color="auto"/>
                          </w:divBdr>
                          <w:divsChild>
                            <w:div w:id="204728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205677">
      <w:bodyDiv w:val="1"/>
      <w:marLeft w:val="0"/>
      <w:marRight w:val="0"/>
      <w:marTop w:val="0"/>
      <w:marBottom w:val="0"/>
      <w:divBdr>
        <w:top w:val="none" w:sz="0" w:space="0" w:color="auto"/>
        <w:left w:val="none" w:sz="0" w:space="0" w:color="auto"/>
        <w:bottom w:val="none" w:sz="0" w:space="0" w:color="auto"/>
        <w:right w:val="none" w:sz="0" w:space="0" w:color="auto"/>
      </w:divBdr>
    </w:div>
    <w:div w:id="1395424016">
      <w:bodyDiv w:val="1"/>
      <w:marLeft w:val="0"/>
      <w:marRight w:val="0"/>
      <w:marTop w:val="0"/>
      <w:marBottom w:val="0"/>
      <w:divBdr>
        <w:top w:val="none" w:sz="0" w:space="0" w:color="auto"/>
        <w:left w:val="none" w:sz="0" w:space="0" w:color="auto"/>
        <w:bottom w:val="none" w:sz="0" w:space="0" w:color="auto"/>
        <w:right w:val="none" w:sz="0" w:space="0" w:color="auto"/>
      </w:divBdr>
      <w:divsChild>
        <w:div w:id="1381856296">
          <w:marLeft w:val="0"/>
          <w:marRight w:val="0"/>
          <w:marTop w:val="0"/>
          <w:marBottom w:val="0"/>
          <w:divBdr>
            <w:top w:val="none" w:sz="0" w:space="0" w:color="auto"/>
            <w:left w:val="none" w:sz="0" w:space="0" w:color="auto"/>
            <w:bottom w:val="none" w:sz="0" w:space="0" w:color="auto"/>
            <w:right w:val="none" w:sz="0" w:space="0" w:color="auto"/>
          </w:divBdr>
          <w:divsChild>
            <w:div w:id="1188174147">
              <w:marLeft w:val="0"/>
              <w:marRight w:val="0"/>
              <w:marTop w:val="0"/>
              <w:marBottom w:val="150"/>
              <w:divBdr>
                <w:top w:val="none" w:sz="0" w:space="0" w:color="auto"/>
                <w:left w:val="none" w:sz="0" w:space="0" w:color="auto"/>
                <w:bottom w:val="none" w:sz="0" w:space="0" w:color="auto"/>
                <w:right w:val="none" w:sz="0" w:space="0" w:color="auto"/>
              </w:divBdr>
            </w:div>
            <w:div w:id="153893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854511">
      <w:bodyDiv w:val="1"/>
      <w:marLeft w:val="0"/>
      <w:marRight w:val="0"/>
      <w:marTop w:val="0"/>
      <w:marBottom w:val="0"/>
      <w:divBdr>
        <w:top w:val="none" w:sz="0" w:space="0" w:color="auto"/>
        <w:left w:val="none" w:sz="0" w:space="0" w:color="auto"/>
        <w:bottom w:val="none" w:sz="0" w:space="0" w:color="auto"/>
        <w:right w:val="none" w:sz="0" w:space="0" w:color="auto"/>
      </w:divBdr>
      <w:divsChild>
        <w:div w:id="1334719130">
          <w:marLeft w:val="0"/>
          <w:marRight w:val="0"/>
          <w:marTop w:val="0"/>
          <w:marBottom w:val="0"/>
          <w:divBdr>
            <w:top w:val="none" w:sz="0" w:space="0" w:color="auto"/>
            <w:left w:val="none" w:sz="0" w:space="0" w:color="auto"/>
            <w:bottom w:val="dotted" w:sz="6" w:space="4" w:color="DDDDDD"/>
            <w:right w:val="none" w:sz="0" w:space="0" w:color="auto"/>
          </w:divBdr>
        </w:div>
      </w:divsChild>
    </w:div>
    <w:div w:id="1395934656">
      <w:bodyDiv w:val="1"/>
      <w:marLeft w:val="0"/>
      <w:marRight w:val="0"/>
      <w:marTop w:val="0"/>
      <w:marBottom w:val="0"/>
      <w:divBdr>
        <w:top w:val="none" w:sz="0" w:space="0" w:color="auto"/>
        <w:left w:val="none" w:sz="0" w:space="0" w:color="auto"/>
        <w:bottom w:val="none" w:sz="0" w:space="0" w:color="auto"/>
        <w:right w:val="none" w:sz="0" w:space="0" w:color="auto"/>
      </w:divBdr>
      <w:divsChild>
        <w:div w:id="12270702">
          <w:marLeft w:val="0"/>
          <w:marRight w:val="0"/>
          <w:marTop w:val="0"/>
          <w:marBottom w:val="0"/>
          <w:divBdr>
            <w:top w:val="none" w:sz="0" w:space="0" w:color="auto"/>
            <w:left w:val="none" w:sz="0" w:space="0" w:color="auto"/>
            <w:bottom w:val="dotted" w:sz="6" w:space="4" w:color="DDDDDD"/>
            <w:right w:val="none" w:sz="0" w:space="0" w:color="auto"/>
          </w:divBdr>
          <w:divsChild>
            <w:div w:id="144037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935161">
      <w:bodyDiv w:val="1"/>
      <w:marLeft w:val="0"/>
      <w:marRight w:val="0"/>
      <w:marTop w:val="0"/>
      <w:marBottom w:val="0"/>
      <w:divBdr>
        <w:top w:val="none" w:sz="0" w:space="0" w:color="auto"/>
        <w:left w:val="none" w:sz="0" w:space="0" w:color="auto"/>
        <w:bottom w:val="none" w:sz="0" w:space="0" w:color="auto"/>
        <w:right w:val="none" w:sz="0" w:space="0" w:color="auto"/>
      </w:divBdr>
      <w:divsChild>
        <w:div w:id="588002409">
          <w:marLeft w:val="0"/>
          <w:marRight w:val="0"/>
          <w:marTop w:val="0"/>
          <w:marBottom w:val="150"/>
          <w:divBdr>
            <w:top w:val="none" w:sz="0" w:space="0" w:color="auto"/>
            <w:left w:val="none" w:sz="0" w:space="0" w:color="auto"/>
            <w:bottom w:val="none" w:sz="0" w:space="0" w:color="auto"/>
            <w:right w:val="none" w:sz="0" w:space="0" w:color="auto"/>
          </w:divBdr>
          <w:divsChild>
            <w:div w:id="1299067792">
              <w:marLeft w:val="0"/>
              <w:marRight w:val="0"/>
              <w:marTop w:val="0"/>
              <w:marBottom w:val="0"/>
              <w:divBdr>
                <w:top w:val="none" w:sz="0" w:space="0" w:color="auto"/>
                <w:left w:val="none" w:sz="0" w:space="0" w:color="auto"/>
                <w:bottom w:val="none" w:sz="0" w:space="0" w:color="auto"/>
                <w:right w:val="none" w:sz="0" w:space="0" w:color="auto"/>
              </w:divBdr>
              <w:divsChild>
                <w:div w:id="191430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38016">
          <w:marLeft w:val="0"/>
          <w:marRight w:val="0"/>
          <w:marTop w:val="0"/>
          <w:marBottom w:val="0"/>
          <w:divBdr>
            <w:top w:val="none" w:sz="0" w:space="0" w:color="auto"/>
            <w:left w:val="none" w:sz="0" w:space="0" w:color="auto"/>
            <w:bottom w:val="none" w:sz="0" w:space="0" w:color="auto"/>
            <w:right w:val="none" w:sz="0" w:space="0" w:color="auto"/>
          </w:divBdr>
          <w:divsChild>
            <w:div w:id="918292098">
              <w:marLeft w:val="0"/>
              <w:marRight w:val="0"/>
              <w:marTop w:val="225"/>
              <w:marBottom w:val="225"/>
              <w:divBdr>
                <w:top w:val="none" w:sz="0" w:space="0" w:color="auto"/>
                <w:left w:val="none" w:sz="0" w:space="0" w:color="auto"/>
                <w:bottom w:val="none" w:sz="0" w:space="0" w:color="auto"/>
                <w:right w:val="none" w:sz="0" w:space="0" w:color="auto"/>
              </w:divBdr>
            </w:div>
          </w:divsChild>
        </w:div>
        <w:div w:id="1102452399">
          <w:marLeft w:val="0"/>
          <w:marRight w:val="0"/>
          <w:marTop w:val="0"/>
          <w:marBottom w:val="150"/>
          <w:divBdr>
            <w:top w:val="none" w:sz="0" w:space="0" w:color="auto"/>
            <w:left w:val="none" w:sz="0" w:space="0" w:color="auto"/>
            <w:bottom w:val="none" w:sz="0" w:space="0" w:color="auto"/>
            <w:right w:val="none" w:sz="0" w:space="0" w:color="auto"/>
          </w:divBdr>
        </w:div>
      </w:divsChild>
    </w:div>
    <w:div w:id="1396784635">
      <w:bodyDiv w:val="1"/>
      <w:marLeft w:val="0"/>
      <w:marRight w:val="0"/>
      <w:marTop w:val="0"/>
      <w:marBottom w:val="0"/>
      <w:divBdr>
        <w:top w:val="none" w:sz="0" w:space="0" w:color="auto"/>
        <w:left w:val="none" w:sz="0" w:space="0" w:color="auto"/>
        <w:bottom w:val="none" w:sz="0" w:space="0" w:color="auto"/>
        <w:right w:val="none" w:sz="0" w:space="0" w:color="auto"/>
      </w:divBdr>
    </w:div>
    <w:div w:id="1396901699">
      <w:bodyDiv w:val="1"/>
      <w:marLeft w:val="0"/>
      <w:marRight w:val="0"/>
      <w:marTop w:val="0"/>
      <w:marBottom w:val="0"/>
      <w:divBdr>
        <w:top w:val="none" w:sz="0" w:space="0" w:color="auto"/>
        <w:left w:val="none" w:sz="0" w:space="0" w:color="auto"/>
        <w:bottom w:val="none" w:sz="0" w:space="0" w:color="auto"/>
        <w:right w:val="none" w:sz="0" w:space="0" w:color="auto"/>
      </w:divBdr>
      <w:divsChild>
        <w:div w:id="253243596">
          <w:marLeft w:val="0"/>
          <w:marRight w:val="0"/>
          <w:marTop w:val="0"/>
          <w:marBottom w:val="150"/>
          <w:divBdr>
            <w:top w:val="none" w:sz="0" w:space="0" w:color="auto"/>
            <w:left w:val="none" w:sz="0" w:space="0" w:color="auto"/>
            <w:bottom w:val="none" w:sz="0" w:space="0" w:color="auto"/>
            <w:right w:val="none" w:sz="0" w:space="0" w:color="auto"/>
          </w:divBdr>
        </w:div>
      </w:divsChild>
    </w:div>
    <w:div w:id="1396974073">
      <w:bodyDiv w:val="1"/>
      <w:marLeft w:val="0"/>
      <w:marRight w:val="0"/>
      <w:marTop w:val="0"/>
      <w:marBottom w:val="0"/>
      <w:divBdr>
        <w:top w:val="none" w:sz="0" w:space="0" w:color="auto"/>
        <w:left w:val="none" w:sz="0" w:space="0" w:color="auto"/>
        <w:bottom w:val="none" w:sz="0" w:space="0" w:color="auto"/>
        <w:right w:val="none" w:sz="0" w:space="0" w:color="auto"/>
      </w:divBdr>
      <w:divsChild>
        <w:div w:id="780343657">
          <w:marLeft w:val="0"/>
          <w:marRight w:val="0"/>
          <w:marTop w:val="0"/>
          <w:marBottom w:val="0"/>
          <w:divBdr>
            <w:top w:val="none" w:sz="0" w:space="0" w:color="auto"/>
            <w:left w:val="none" w:sz="0" w:space="0" w:color="auto"/>
            <w:bottom w:val="none" w:sz="0" w:space="0" w:color="auto"/>
            <w:right w:val="none" w:sz="0" w:space="0" w:color="auto"/>
          </w:divBdr>
          <w:divsChild>
            <w:div w:id="667945138">
              <w:marLeft w:val="0"/>
              <w:marRight w:val="0"/>
              <w:marTop w:val="0"/>
              <w:marBottom w:val="0"/>
              <w:divBdr>
                <w:top w:val="none" w:sz="0" w:space="0" w:color="auto"/>
                <w:left w:val="none" w:sz="0" w:space="0" w:color="auto"/>
                <w:bottom w:val="none" w:sz="0" w:space="0" w:color="auto"/>
                <w:right w:val="none" w:sz="0" w:space="0" w:color="auto"/>
              </w:divBdr>
              <w:divsChild>
                <w:div w:id="999890543">
                  <w:marLeft w:val="0"/>
                  <w:marRight w:val="0"/>
                  <w:marTop w:val="0"/>
                  <w:marBottom w:val="0"/>
                  <w:divBdr>
                    <w:top w:val="none" w:sz="0" w:space="0" w:color="auto"/>
                    <w:left w:val="none" w:sz="0" w:space="0" w:color="auto"/>
                    <w:bottom w:val="none" w:sz="0" w:space="0" w:color="auto"/>
                    <w:right w:val="none" w:sz="0" w:space="0" w:color="auto"/>
                  </w:divBdr>
                  <w:divsChild>
                    <w:div w:id="1028533046">
                      <w:marLeft w:val="0"/>
                      <w:marRight w:val="0"/>
                      <w:marTop w:val="0"/>
                      <w:marBottom w:val="0"/>
                      <w:divBdr>
                        <w:top w:val="none" w:sz="0" w:space="0" w:color="auto"/>
                        <w:left w:val="none" w:sz="0" w:space="0" w:color="auto"/>
                        <w:bottom w:val="none" w:sz="0" w:space="0" w:color="auto"/>
                        <w:right w:val="none" w:sz="0" w:space="0" w:color="auto"/>
                      </w:divBdr>
                      <w:divsChild>
                        <w:div w:id="1007636060">
                          <w:marLeft w:val="0"/>
                          <w:marRight w:val="0"/>
                          <w:marTop w:val="0"/>
                          <w:marBottom w:val="0"/>
                          <w:divBdr>
                            <w:top w:val="none" w:sz="0" w:space="0" w:color="auto"/>
                            <w:left w:val="none" w:sz="0" w:space="0" w:color="auto"/>
                            <w:bottom w:val="none" w:sz="0" w:space="0" w:color="auto"/>
                            <w:right w:val="none" w:sz="0" w:space="0" w:color="auto"/>
                          </w:divBdr>
                          <w:divsChild>
                            <w:div w:id="579871528">
                              <w:marLeft w:val="0"/>
                              <w:marRight w:val="0"/>
                              <w:marTop w:val="0"/>
                              <w:marBottom w:val="0"/>
                              <w:divBdr>
                                <w:top w:val="none" w:sz="0" w:space="0" w:color="auto"/>
                                <w:left w:val="none" w:sz="0" w:space="0" w:color="auto"/>
                                <w:bottom w:val="none" w:sz="0" w:space="0" w:color="auto"/>
                                <w:right w:val="none" w:sz="0" w:space="0" w:color="auto"/>
                              </w:divBdr>
                              <w:divsChild>
                                <w:div w:id="634222077">
                                  <w:marLeft w:val="0"/>
                                  <w:marRight w:val="0"/>
                                  <w:marTop w:val="0"/>
                                  <w:marBottom w:val="0"/>
                                  <w:divBdr>
                                    <w:top w:val="none" w:sz="0" w:space="0" w:color="auto"/>
                                    <w:left w:val="none" w:sz="0" w:space="0" w:color="auto"/>
                                    <w:bottom w:val="none" w:sz="0" w:space="0" w:color="auto"/>
                                    <w:right w:val="none" w:sz="0" w:space="0" w:color="auto"/>
                                  </w:divBdr>
                                  <w:divsChild>
                                    <w:div w:id="99414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169430">
      <w:bodyDiv w:val="1"/>
      <w:marLeft w:val="0"/>
      <w:marRight w:val="0"/>
      <w:marTop w:val="0"/>
      <w:marBottom w:val="0"/>
      <w:divBdr>
        <w:top w:val="none" w:sz="0" w:space="0" w:color="auto"/>
        <w:left w:val="none" w:sz="0" w:space="0" w:color="auto"/>
        <w:bottom w:val="none" w:sz="0" w:space="0" w:color="auto"/>
        <w:right w:val="none" w:sz="0" w:space="0" w:color="auto"/>
      </w:divBdr>
    </w:div>
    <w:div w:id="1398045755">
      <w:bodyDiv w:val="1"/>
      <w:marLeft w:val="0"/>
      <w:marRight w:val="0"/>
      <w:marTop w:val="0"/>
      <w:marBottom w:val="0"/>
      <w:divBdr>
        <w:top w:val="none" w:sz="0" w:space="0" w:color="auto"/>
        <w:left w:val="none" w:sz="0" w:space="0" w:color="auto"/>
        <w:bottom w:val="none" w:sz="0" w:space="0" w:color="auto"/>
        <w:right w:val="none" w:sz="0" w:space="0" w:color="auto"/>
      </w:divBdr>
      <w:divsChild>
        <w:div w:id="461535246">
          <w:marLeft w:val="0"/>
          <w:marRight w:val="0"/>
          <w:marTop w:val="0"/>
          <w:marBottom w:val="0"/>
          <w:divBdr>
            <w:top w:val="none" w:sz="0" w:space="0" w:color="auto"/>
            <w:left w:val="none" w:sz="0" w:space="0" w:color="auto"/>
            <w:bottom w:val="dotted" w:sz="6" w:space="4" w:color="DDDDDD"/>
            <w:right w:val="none" w:sz="0" w:space="0" w:color="auto"/>
          </w:divBdr>
        </w:div>
      </w:divsChild>
    </w:div>
    <w:div w:id="1398285109">
      <w:bodyDiv w:val="1"/>
      <w:marLeft w:val="0"/>
      <w:marRight w:val="0"/>
      <w:marTop w:val="0"/>
      <w:marBottom w:val="0"/>
      <w:divBdr>
        <w:top w:val="none" w:sz="0" w:space="0" w:color="auto"/>
        <w:left w:val="none" w:sz="0" w:space="0" w:color="auto"/>
        <w:bottom w:val="none" w:sz="0" w:space="0" w:color="auto"/>
        <w:right w:val="none" w:sz="0" w:space="0" w:color="auto"/>
      </w:divBdr>
    </w:div>
    <w:div w:id="1398286920">
      <w:bodyDiv w:val="1"/>
      <w:marLeft w:val="0"/>
      <w:marRight w:val="0"/>
      <w:marTop w:val="0"/>
      <w:marBottom w:val="0"/>
      <w:divBdr>
        <w:top w:val="none" w:sz="0" w:space="0" w:color="auto"/>
        <w:left w:val="none" w:sz="0" w:space="0" w:color="auto"/>
        <w:bottom w:val="none" w:sz="0" w:space="0" w:color="auto"/>
        <w:right w:val="none" w:sz="0" w:space="0" w:color="auto"/>
      </w:divBdr>
      <w:divsChild>
        <w:div w:id="183173552">
          <w:marLeft w:val="0"/>
          <w:marRight w:val="0"/>
          <w:marTop w:val="0"/>
          <w:marBottom w:val="150"/>
          <w:divBdr>
            <w:top w:val="none" w:sz="0" w:space="0" w:color="auto"/>
            <w:left w:val="none" w:sz="0" w:space="0" w:color="auto"/>
            <w:bottom w:val="none" w:sz="0" w:space="0" w:color="auto"/>
            <w:right w:val="none" w:sz="0" w:space="0" w:color="auto"/>
          </w:divBdr>
        </w:div>
      </w:divsChild>
    </w:div>
    <w:div w:id="1398554287">
      <w:bodyDiv w:val="1"/>
      <w:marLeft w:val="0"/>
      <w:marRight w:val="0"/>
      <w:marTop w:val="0"/>
      <w:marBottom w:val="0"/>
      <w:divBdr>
        <w:top w:val="none" w:sz="0" w:space="0" w:color="auto"/>
        <w:left w:val="none" w:sz="0" w:space="0" w:color="auto"/>
        <w:bottom w:val="none" w:sz="0" w:space="0" w:color="auto"/>
        <w:right w:val="none" w:sz="0" w:space="0" w:color="auto"/>
      </w:divBdr>
      <w:divsChild>
        <w:div w:id="117989536">
          <w:marLeft w:val="0"/>
          <w:marRight w:val="0"/>
          <w:marTop w:val="0"/>
          <w:marBottom w:val="0"/>
          <w:divBdr>
            <w:top w:val="single" w:sz="6" w:space="0" w:color="E5E5E5"/>
            <w:left w:val="none" w:sz="0" w:space="0" w:color="auto"/>
            <w:bottom w:val="single" w:sz="18" w:space="0" w:color="000000"/>
            <w:right w:val="none" w:sz="0" w:space="0" w:color="auto"/>
          </w:divBdr>
          <w:divsChild>
            <w:div w:id="244463703">
              <w:marLeft w:val="0"/>
              <w:marRight w:val="0"/>
              <w:marTop w:val="0"/>
              <w:marBottom w:val="0"/>
              <w:divBdr>
                <w:top w:val="none" w:sz="0" w:space="0" w:color="auto"/>
                <w:left w:val="none" w:sz="0" w:space="0" w:color="auto"/>
                <w:bottom w:val="none" w:sz="0" w:space="0" w:color="auto"/>
                <w:right w:val="none" w:sz="0" w:space="0" w:color="auto"/>
              </w:divBdr>
              <w:divsChild>
                <w:div w:id="168744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81016">
          <w:marLeft w:val="0"/>
          <w:marRight w:val="0"/>
          <w:marTop w:val="0"/>
          <w:marBottom w:val="0"/>
          <w:divBdr>
            <w:top w:val="none" w:sz="0" w:space="0" w:color="auto"/>
            <w:left w:val="none" w:sz="0" w:space="0" w:color="auto"/>
            <w:bottom w:val="none" w:sz="0" w:space="0" w:color="auto"/>
            <w:right w:val="none" w:sz="0" w:space="0" w:color="auto"/>
          </w:divBdr>
          <w:divsChild>
            <w:div w:id="1236207682">
              <w:marLeft w:val="0"/>
              <w:marRight w:val="0"/>
              <w:marTop w:val="0"/>
              <w:marBottom w:val="0"/>
              <w:divBdr>
                <w:top w:val="none" w:sz="0" w:space="0" w:color="auto"/>
                <w:left w:val="none" w:sz="0" w:space="0" w:color="auto"/>
                <w:bottom w:val="none" w:sz="0" w:space="0" w:color="auto"/>
                <w:right w:val="none" w:sz="0" w:space="0" w:color="auto"/>
              </w:divBdr>
              <w:divsChild>
                <w:div w:id="1129281012">
                  <w:marLeft w:val="0"/>
                  <w:marRight w:val="0"/>
                  <w:marTop w:val="0"/>
                  <w:marBottom w:val="0"/>
                  <w:divBdr>
                    <w:top w:val="none" w:sz="0" w:space="0" w:color="auto"/>
                    <w:left w:val="none" w:sz="0" w:space="0" w:color="auto"/>
                    <w:bottom w:val="none" w:sz="0" w:space="0" w:color="auto"/>
                    <w:right w:val="none" w:sz="0" w:space="0" w:color="auto"/>
                  </w:divBdr>
                  <w:divsChild>
                    <w:div w:id="1794246865">
                      <w:marLeft w:val="0"/>
                      <w:marRight w:val="0"/>
                      <w:marTop w:val="0"/>
                      <w:marBottom w:val="300"/>
                      <w:divBdr>
                        <w:top w:val="none" w:sz="0" w:space="0" w:color="auto"/>
                        <w:left w:val="none" w:sz="0" w:space="0" w:color="auto"/>
                        <w:bottom w:val="none" w:sz="0" w:space="0" w:color="auto"/>
                        <w:right w:val="none" w:sz="0" w:space="0" w:color="auto"/>
                      </w:divBdr>
                      <w:divsChild>
                        <w:div w:id="2103842246">
                          <w:marLeft w:val="0"/>
                          <w:marRight w:val="0"/>
                          <w:marTop w:val="0"/>
                          <w:marBottom w:val="225"/>
                          <w:divBdr>
                            <w:top w:val="single" w:sz="6" w:space="11" w:color="E5E5E5"/>
                            <w:left w:val="single" w:sz="6" w:space="11" w:color="E5E5E5"/>
                            <w:bottom w:val="single" w:sz="6" w:space="1" w:color="E5E5E5"/>
                            <w:right w:val="single" w:sz="6" w:space="11" w:color="E5E5E5"/>
                          </w:divBdr>
                          <w:divsChild>
                            <w:div w:id="23628058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398895876">
      <w:bodyDiv w:val="1"/>
      <w:marLeft w:val="0"/>
      <w:marRight w:val="0"/>
      <w:marTop w:val="0"/>
      <w:marBottom w:val="0"/>
      <w:divBdr>
        <w:top w:val="none" w:sz="0" w:space="0" w:color="auto"/>
        <w:left w:val="none" w:sz="0" w:space="0" w:color="auto"/>
        <w:bottom w:val="none" w:sz="0" w:space="0" w:color="auto"/>
        <w:right w:val="none" w:sz="0" w:space="0" w:color="auto"/>
      </w:divBdr>
    </w:div>
    <w:div w:id="1399010981">
      <w:bodyDiv w:val="1"/>
      <w:marLeft w:val="0"/>
      <w:marRight w:val="0"/>
      <w:marTop w:val="0"/>
      <w:marBottom w:val="0"/>
      <w:divBdr>
        <w:top w:val="none" w:sz="0" w:space="0" w:color="auto"/>
        <w:left w:val="none" w:sz="0" w:space="0" w:color="auto"/>
        <w:bottom w:val="none" w:sz="0" w:space="0" w:color="auto"/>
        <w:right w:val="none" w:sz="0" w:space="0" w:color="auto"/>
      </w:divBdr>
    </w:div>
    <w:div w:id="1399205157">
      <w:bodyDiv w:val="1"/>
      <w:marLeft w:val="0"/>
      <w:marRight w:val="0"/>
      <w:marTop w:val="0"/>
      <w:marBottom w:val="0"/>
      <w:divBdr>
        <w:top w:val="none" w:sz="0" w:space="0" w:color="auto"/>
        <w:left w:val="none" w:sz="0" w:space="0" w:color="auto"/>
        <w:bottom w:val="none" w:sz="0" w:space="0" w:color="auto"/>
        <w:right w:val="none" w:sz="0" w:space="0" w:color="auto"/>
      </w:divBdr>
      <w:divsChild>
        <w:div w:id="1731883134">
          <w:marLeft w:val="0"/>
          <w:marRight w:val="0"/>
          <w:marTop w:val="0"/>
          <w:marBottom w:val="0"/>
          <w:divBdr>
            <w:top w:val="none" w:sz="0" w:space="0" w:color="auto"/>
            <w:left w:val="none" w:sz="0" w:space="0" w:color="auto"/>
            <w:bottom w:val="none" w:sz="0" w:space="0" w:color="auto"/>
            <w:right w:val="none" w:sz="0" w:space="0" w:color="auto"/>
          </w:divBdr>
          <w:divsChild>
            <w:div w:id="1655645456">
              <w:marLeft w:val="0"/>
              <w:marRight w:val="0"/>
              <w:marTop w:val="0"/>
              <w:marBottom w:val="0"/>
              <w:divBdr>
                <w:top w:val="none" w:sz="0" w:space="0" w:color="auto"/>
                <w:left w:val="none" w:sz="0" w:space="0" w:color="auto"/>
                <w:bottom w:val="none" w:sz="0" w:space="0" w:color="auto"/>
                <w:right w:val="none" w:sz="0" w:space="0" w:color="auto"/>
              </w:divBdr>
            </w:div>
          </w:divsChild>
        </w:div>
        <w:div w:id="698550185">
          <w:marLeft w:val="0"/>
          <w:marRight w:val="0"/>
          <w:marTop w:val="0"/>
          <w:marBottom w:val="0"/>
          <w:divBdr>
            <w:top w:val="none" w:sz="0" w:space="0" w:color="auto"/>
            <w:left w:val="none" w:sz="0" w:space="0" w:color="auto"/>
            <w:bottom w:val="none" w:sz="0" w:space="0" w:color="auto"/>
            <w:right w:val="none" w:sz="0" w:space="0" w:color="auto"/>
          </w:divBdr>
        </w:div>
        <w:div w:id="908349631">
          <w:marLeft w:val="0"/>
          <w:marRight w:val="0"/>
          <w:marTop w:val="0"/>
          <w:marBottom w:val="0"/>
          <w:divBdr>
            <w:top w:val="none" w:sz="0" w:space="0" w:color="auto"/>
            <w:left w:val="none" w:sz="0" w:space="0" w:color="auto"/>
            <w:bottom w:val="none" w:sz="0" w:space="0" w:color="auto"/>
            <w:right w:val="none" w:sz="0" w:space="0" w:color="auto"/>
          </w:divBdr>
          <w:divsChild>
            <w:div w:id="1819957659">
              <w:marLeft w:val="-225"/>
              <w:marRight w:val="-225"/>
              <w:marTop w:val="0"/>
              <w:marBottom w:val="0"/>
              <w:divBdr>
                <w:top w:val="none" w:sz="0" w:space="0" w:color="auto"/>
                <w:left w:val="none" w:sz="0" w:space="0" w:color="auto"/>
                <w:bottom w:val="none" w:sz="0" w:space="0" w:color="auto"/>
                <w:right w:val="none" w:sz="0" w:space="0" w:color="auto"/>
              </w:divBdr>
              <w:divsChild>
                <w:div w:id="2083328262">
                  <w:marLeft w:val="0"/>
                  <w:marRight w:val="0"/>
                  <w:marTop w:val="0"/>
                  <w:marBottom w:val="0"/>
                  <w:divBdr>
                    <w:top w:val="none" w:sz="0" w:space="0" w:color="auto"/>
                    <w:left w:val="none" w:sz="0" w:space="0" w:color="auto"/>
                    <w:bottom w:val="none" w:sz="0" w:space="0" w:color="auto"/>
                    <w:right w:val="single" w:sz="6" w:space="0" w:color="000000"/>
                  </w:divBdr>
                  <w:divsChild>
                    <w:div w:id="2138258873">
                      <w:marLeft w:val="0"/>
                      <w:marRight w:val="0"/>
                      <w:marTop w:val="0"/>
                      <w:marBottom w:val="0"/>
                      <w:divBdr>
                        <w:top w:val="none" w:sz="0" w:space="0" w:color="auto"/>
                        <w:left w:val="none" w:sz="0" w:space="0" w:color="auto"/>
                        <w:bottom w:val="none" w:sz="0" w:space="0" w:color="auto"/>
                        <w:right w:val="none" w:sz="0" w:space="0" w:color="auto"/>
                      </w:divBdr>
                      <w:divsChild>
                        <w:div w:id="1772236334">
                          <w:marLeft w:val="0"/>
                          <w:marRight w:val="0"/>
                          <w:marTop w:val="0"/>
                          <w:marBottom w:val="0"/>
                          <w:divBdr>
                            <w:top w:val="none" w:sz="0" w:space="0" w:color="auto"/>
                            <w:left w:val="none" w:sz="0" w:space="0" w:color="auto"/>
                            <w:bottom w:val="none" w:sz="0" w:space="0" w:color="auto"/>
                            <w:right w:val="none" w:sz="0" w:space="0" w:color="auto"/>
                          </w:divBdr>
                        </w:div>
                        <w:div w:id="612246597">
                          <w:marLeft w:val="0"/>
                          <w:marRight w:val="0"/>
                          <w:marTop w:val="0"/>
                          <w:marBottom w:val="0"/>
                          <w:divBdr>
                            <w:top w:val="none" w:sz="0" w:space="0" w:color="auto"/>
                            <w:left w:val="none" w:sz="0" w:space="0" w:color="auto"/>
                            <w:bottom w:val="none" w:sz="0" w:space="0" w:color="auto"/>
                            <w:right w:val="none" w:sz="0" w:space="0" w:color="auto"/>
                          </w:divBdr>
                        </w:div>
                        <w:div w:id="95099568">
                          <w:marLeft w:val="0"/>
                          <w:marRight w:val="0"/>
                          <w:marTop w:val="0"/>
                          <w:marBottom w:val="0"/>
                          <w:divBdr>
                            <w:top w:val="none" w:sz="0" w:space="0" w:color="auto"/>
                            <w:left w:val="none" w:sz="0" w:space="0" w:color="auto"/>
                            <w:bottom w:val="none" w:sz="0" w:space="0" w:color="auto"/>
                            <w:right w:val="none" w:sz="0" w:space="0" w:color="auto"/>
                          </w:divBdr>
                        </w:div>
                        <w:div w:id="1715351969">
                          <w:marLeft w:val="0"/>
                          <w:marRight w:val="0"/>
                          <w:marTop w:val="0"/>
                          <w:marBottom w:val="0"/>
                          <w:divBdr>
                            <w:top w:val="none" w:sz="0" w:space="0" w:color="auto"/>
                            <w:left w:val="none" w:sz="0" w:space="0" w:color="auto"/>
                            <w:bottom w:val="none" w:sz="0" w:space="0" w:color="auto"/>
                            <w:right w:val="none" w:sz="0" w:space="0" w:color="auto"/>
                          </w:divBdr>
                        </w:div>
                        <w:div w:id="212333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49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746032">
      <w:bodyDiv w:val="1"/>
      <w:marLeft w:val="0"/>
      <w:marRight w:val="0"/>
      <w:marTop w:val="0"/>
      <w:marBottom w:val="0"/>
      <w:divBdr>
        <w:top w:val="none" w:sz="0" w:space="0" w:color="auto"/>
        <w:left w:val="none" w:sz="0" w:space="0" w:color="auto"/>
        <w:bottom w:val="none" w:sz="0" w:space="0" w:color="auto"/>
        <w:right w:val="none" w:sz="0" w:space="0" w:color="auto"/>
      </w:divBdr>
      <w:divsChild>
        <w:div w:id="1239559837">
          <w:marLeft w:val="0"/>
          <w:marRight w:val="0"/>
          <w:marTop w:val="0"/>
          <w:marBottom w:val="150"/>
          <w:divBdr>
            <w:top w:val="none" w:sz="0" w:space="0" w:color="auto"/>
            <w:left w:val="none" w:sz="0" w:space="0" w:color="auto"/>
            <w:bottom w:val="none" w:sz="0" w:space="0" w:color="auto"/>
            <w:right w:val="none" w:sz="0" w:space="0" w:color="auto"/>
          </w:divBdr>
        </w:div>
      </w:divsChild>
    </w:div>
    <w:div w:id="1400328927">
      <w:bodyDiv w:val="1"/>
      <w:marLeft w:val="0"/>
      <w:marRight w:val="0"/>
      <w:marTop w:val="0"/>
      <w:marBottom w:val="0"/>
      <w:divBdr>
        <w:top w:val="none" w:sz="0" w:space="0" w:color="auto"/>
        <w:left w:val="none" w:sz="0" w:space="0" w:color="auto"/>
        <w:bottom w:val="none" w:sz="0" w:space="0" w:color="auto"/>
        <w:right w:val="none" w:sz="0" w:space="0" w:color="auto"/>
      </w:divBdr>
      <w:divsChild>
        <w:div w:id="1415085284">
          <w:marLeft w:val="0"/>
          <w:marRight w:val="0"/>
          <w:marTop w:val="0"/>
          <w:marBottom w:val="150"/>
          <w:divBdr>
            <w:top w:val="none" w:sz="0" w:space="0" w:color="auto"/>
            <w:left w:val="none" w:sz="0" w:space="0" w:color="auto"/>
            <w:bottom w:val="none" w:sz="0" w:space="0" w:color="auto"/>
            <w:right w:val="none" w:sz="0" w:space="0" w:color="auto"/>
          </w:divBdr>
        </w:div>
      </w:divsChild>
    </w:div>
    <w:div w:id="1400517886">
      <w:bodyDiv w:val="1"/>
      <w:marLeft w:val="0"/>
      <w:marRight w:val="0"/>
      <w:marTop w:val="0"/>
      <w:marBottom w:val="0"/>
      <w:divBdr>
        <w:top w:val="none" w:sz="0" w:space="0" w:color="auto"/>
        <w:left w:val="none" w:sz="0" w:space="0" w:color="auto"/>
        <w:bottom w:val="none" w:sz="0" w:space="0" w:color="auto"/>
        <w:right w:val="none" w:sz="0" w:space="0" w:color="auto"/>
      </w:divBdr>
      <w:divsChild>
        <w:div w:id="101649875">
          <w:marLeft w:val="0"/>
          <w:marRight w:val="0"/>
          <w:marTop w:val="300"/>
          <w:marBottom w:val="0"/>
          <w:divBdr>
            <w:top w:val="none" w:sz="0" w:space="0" w:color="auto"/>
            <w:left w:val="none" w:sz="0" w:space="0" w:color="auto"/>
            <w:bottom w:val="none" w:sz="0" w:space="0" w:color="auto"/>
            <w:right w:val="none" w:sz="0" w:space="0" w:color="auto"/>
          </w:divBdr>
          <w:divsChild>
            <w:div w:id="1792363202">
              <w:marLeft w:val="0"/>
              <w:marRight w:val="0"/>
              <w:marTop w:val="300"/>
              <w:marBottom w:val="0"/>
              <w:divBdr>
                <w:top w:val="none" w:sz="0" w:space="0" w:color="auto"/>
                <w:left w:val="none" w:sz="0" w:space="0" w:color="auto"/>
                <w:bottom w:val="none" w:sz="0" w:space="0" w:color="auto"/>
                <w:right w:val="none" w:sz="0" w:space="0" w:color="auto"/>
              </w:divBdr>
              <w:divsChild>
                <w:div w:id="142702470">
                  <w:marLeft w:val="0"/>
                  <w:marRight w:val="0"/>
                  <w:marTop w:val="0"/>
                  <w:marBottom w:val="0"/>
                  <w:divBdr>
                    <w:top w:val="none" w:sz="0" w:space="0" w:color="auto"/>
                    <w:left w:val="none" w:sz="0" w:space="0" w:color="auto"/>
                    <w:bottom w:val="none" w:sz="0" w:space="0" w:color="auto"/>
                    <w:right w:val="none" w:sz="0" w:space="0" w:color="auto"/>
                  </w:divBdr>
                </w:div>
              </w:divsChild>
            </w:div>
            <w:div w:id="1857620049">
              <w:marLeft w:val="0"/>
              <w:marRight w:val="0"/>
              <w:marTop w:val="135"/>
              <w:marBottom w:val="0"/>
              <w:divBdr>
                <w:top w:val="none" w:sz="0" w:space="0" w:color="auto"/>
                <w:left w:val="none" w:sz="0" w:space="0" w:color="auto"/>
                <w:bottom w:val="none" w:sz="0" w:space="0" w:color="auto"/>
                <w:right w:val="none" w:sz="0" w:space="0" w:color="auto"/>
              </w:divBdr>
              <w:divsChild>
                <w:div w:id="1208033135">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340091022">
          <w:marLeft w:val="0"/>
          <w:marRight w:val="0"/>
          <w:marTop w:val="0"/>
          <w:marBottom w:val="0"/>
          <w:divBdr>
            <w:top w:val="single" w:sz="6" w:space="7" w:color="CFE3EA"/>
            <w:left w:val="single" w:sz="6" w:space="11" w:color="CFE3EA"/>
            <w:bottom w:val="single" w:sz="6" w:space="7" w:color="CFE3EA"/>
            <w:right w:val="single" w:sz="6" w:space="11" w:color="CFE3EA"/>
          </w:divBdr>
        </w:div>
      </w:divsChild>
    </w:div>
    <w:div w:id="1401177829">
      <w:bodyDiv w:val="1"/>
      <w:marLeft w:val="0"/>
      <w:marRight w:val="0"/>
      <w:marTop w:val="0"/>
      <w:marBottom w:val="0"/>
      <w:divBdr>
        <w:top w:val="none" w:sz="0" w:space="0" w:color="auto"/>
        <w:left w:val="none" w:sz="0" w:space="0" w:color="auto"/>
        <w:bottom w:val="none" w:sz="0" w:space="0" w:color="auto"/>
        <w:right w:val="none" w:sz="0" w:space="0" w:color="auto"/>
      </w:divBdr>
      <w:divsChild>
        <w:div w:id="1847089804">
          <w:marLeft w:val="0"/>
          <w:marRight w:val="0"/>
          <w:marTop w:val="0"/>
          <w:marBottom w:val="0"/>
          <w:divBdr>
            <w:top w:val="none" w:sz="0" w:space="0" w:color="auto"/>
            <w:left w:val="none" w:sz="0" w:space="0" w:color="auto"/>
            <w:bottom w:val="dotted" w:sz="6" w:space="4" w:color="DDDDDD"/>
            <w:right w:val="none" w:sz="0" w:space="0" w:color="auto"/>
          </w:divBdr>
          <w:divsChild>
            <w:div w:id="983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097460">
      <w:bodyDiv w:val="1"/>
      <w:marLeft w:val="0"/>
      <w:marRight w:val="0"/>
      <w:marTop w:val="0"/>
      <w:marBottom w:val="0"/>
      <w:divBdr>
        <w:top w:val="none" w:sz="0" w:space="0" w:color="auto"/>
        <w:left w:val="none" w:sz="0" w:space="0" w:color="auto"/>
        <w:bottom w:val="none" w:sz="0" w:space="0" w:color="auto"/>
        <w:right w:val="none" w:sz="0" w:space="0" w:color="auto"/>
      </w:divBdr>
      <w:divsChild>
        <w:div w:id="867523442">
          <w:marLeft w:val="0"/>
          <w:marRight w:val="0"/>
          <w:marTop w:val="0"/>
          <w:marBottom w:val="0"/>
          <w:divBdr>
            <w:top w:val="none" w:sz="0" w:space="0" w:color="auto"/>
            <w:left w:val="none" w:sz="0" w:space="0" w:color="auto"/>
            <w:bottom w:val="none" w:sz="0" w:space="0" w:color="auto"/>
            <w:right w:val="none" w:sz="0" w:space="0" w:color="auto"/>
          </w:divBdr>
          <w:divsChild>
            <w:div w:id="1390954012">
              <w:marLeft w:val="0"/>
              <w:marRight w:val="0"/>
              <w:marTop w:val="225"/>
              <w:marBottom w:val="225"/>
              <w:divBdr>
                <w:top w:val="none" w:sz="0" w:space="0" w:color="auto"/>
                <w:left w:val="none" w:sz="0" w:space="0" w:color="auto"/>
                <w:bottom w:val="none" w:sz="0" w:space="0" w:color="auto"/>
                <w:right w:val="none" w:sz="0" w:space="0" w:color="auto"/>
              </w:divBdr>
            </w:div>
          </w:divsChild>
        </w:div>
        <w:div w:id="1134523667">
          <w:marLeft w:val="0"/>
          <w:marRight w:val="0"/>
          <w:marTop w:val="0"/>
          <w:marBottom w:val="150"/>
          <w:divBdr>
            <w:top w:val="none" w:sz="0" w:space="0" w:color="auto"/>
            <w:left w:val="none" w:sz="0" w:space="0" w:color="auto"/>
            <w:bottom w:val="none" w:sz="0" w:space="0" w:color="auto"/>
            <w:right w:val="none" w:sz="0" w:space="0" w:color="auto"/>
          </w:divBdr>
          <w:divsChild>
            <w:div w:id="704797757">
              <w:marLeft w:val="0"/>
              <w:marRight w:val="0"/>
              <w:marTop w:val="0"/>
              <w:marBottom w:val="0"/>
              <w:divBdr>
                <w:top w:val="none" w:sz="0" w:space="0" w:color="auto"/>
                <w:left w:val="none" w:sz="0" w:space="0" w:color="auto"/>
                <w:bottom w:val="none" w:sz="0" w:space="0" w:color="auto"/>
                <w:right w:val="none" w:sz="0" w:space="0" w:color="auto"/>
              </w:divBdr>
              <w:divsChild>
                <w:div w:id="192626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791944">
          <w:marLeft w:val="0"/>
          <w:marRight w:val="0"/>
          <w:marTop w:val="0"/>
          <w:marBottom w:val="150"/>
          <w:divBdr>
            <w:top w:val="none" w:sz="0" w:space="0" w:color="auto"/>
            <w:left w:val="none" w:sz="0" w:space="0" w:color="auto"/>
            <w:bottom w:val="none" w:sz="0" w:space="0" w:color="auto"/>
            <w:right w:val="none" w:sz="0" w:space="0" w:color="auto"/>
          </w:divBdr>
        </w:div>
      </w:divsChild>
    </w:div>
    <w:div w:id="1402480749">
      <w:bodyDiv w:val="1"/>
      <w:marLeft w:val="0"/>
      <w:marRight w:val="0"/>
      <w:marTop w:val="0"/>
      <w:marBottom w:val="0"/>
      <w:divBdr>
        <w:top w:val="none" w:sz="0" w:space="0" w:color="auto"/>
        <w:left w:val="none" w:sz="0" w:space="0" w:color="auto"/>
        <w:bottom w:val="none" w:sz="0" w:space="0" w:color="auto"/>
        <w:right w:val="none" w:sz="0" w:space="0" w:color="auto"/>
      </w:divBdr>
      <w:divsChild>
        <w:div w:id="268900085">
          <w:marLeft w:val="0"/>
          <w:marRight w:val="0"/>
          <w:marTop w:val="0"/>
          <w:marBottom w:val="0"/>
          <w:divBdr>
            <w:top w:val="none" w:sz="0" w:space="0" w:color="auto"/>
            <w:left w:val="none" w:sz="0" w:space="0" w:color="auto"/>
            <w:bottom w:val="dotted" w:sz="6" w:space="4" w:color="DDDDDD"/>
            <w:right w:val="none" w:sz="0" w:space="0" w:color="auto"/>
          </w:divBdr>
          <w:divsChild>
            <w:div w:id="11645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06577">
      <w:bodyDiv w:val="1"/>
      <w:marLeft w:val="0"/>
      <w:marRight w:val="0"/>
      <w:marTop w:val="0"/>
      <w:marBottom w:val="0"/>
      <w:divBdr>
        <w:top w:val="none" w:sz="0" w:space="0" w:color="auto"/>
        <w:left w:val="none" w:sz="0" w:space="0" w:color="auto"/>
        <w:bottom w:val="none" w:sz="0" w:space="0" w:color="auto"/>
        <w:right w:val="none" w:sz="0" w:space="0" w:color="auto"/>
      </w:divBdr>
      <w:divsChild>
        <w:div w:id="1558971011">
          <w:marLeft w:val="0"/>
          <w:marRight w:val="0"/>
          <w:marTop w:val="0"/>
          <w:marBottom w:val="0"/>
          <w:divBdr>
            <w:top w:val="none" w:sz="0" w:space="0" w:color="auto"/>
            <w:left w:val="none" w:sz="0" w:space="0" w:color="auto"/>
            <w:bottom w:val="none" w:sz="0" w:space="0" w:color="auto"/>
            <w:right w:val="none" w:sz="0" w:space="0" w:color="auto"/>
          </w:divBdr>
        </w:div>
      </w:divsChild>
    </w:div>
    <w:div w:id="1402632623">
      <w:bodyDiv w:val="1"/>
      <w:marLeft w:val="0"/>
      <w:marRight w:val="0"/>
      <w:marTop w:val="0"/>
      <w:marBottom w:val="0"/>
      <w:divBdr>
        <w:top w:val="none" w:sz="0" w:space="0" w:color="auto"/>
        <w:left w:val="none" w:sz="0" w:space="0" w:color="auto"/>
        <w:bottom w:val="none" w:sz="0" w:space="0" w:color="auto"/>
        <w:right w:val="none" w:sz="0" w:space="0" w:color="auto"/>
      </w:divBdr>
    </w:div>
    <w:div w:id="1402680283">
      <w:bodyDiv w:val="1"/>
      <w:marLeft w:val="0"/>
      <w:marRight w:val="0"/>
      <w:marTop w:val="0"/>
      <w:marBottom w:val="0"/>
      <w:divBdr>
        <w:top w:val="none" w:sz="0" w:space="0" w:color="auto"/>
        <w:left w:val="none" w:sz="0" w:space="0" w:color="auto"/>
        <w:bottom w:val="none" w:sz="0" w:space="0" w:color="auto"/>
        <w:right w:val="none" w:sz="0" w:space="0" w:color="auto"/>
      </w:divBdr>
      <w:divsChild>
        <w:div w:id="110517090">
          <w:marLeft w:val="0"/>
          <w:marRight w:val="0"/>
          <w:marTop w:val="0"/>
          <w:marBottom w:val="150"/>
          <w:divBdr>
            <w:top w:val="none" w:sz="0" w:space="0" w:color="auto"/>
            <w:left w:val="none" w:sz="0" w:space="0" w:color="auto"/>
            <w:bottom w:val="none" w:sz="0" w:space="0" w:color="auto"/>
            <w:right w:val="none" w:sz="0" w:space="0" w:color="auto"/>
          </w:divBdr>
        </w:div>
        <w:div w:id="270478701">
          <w:marLeft w:val="0"/>
          <w:marRight w:val="0"/>
          <w:marTop w:val="0"/>
          <w:marBottom w:val="0"/>
          <w:divBdr>
            <w:top w:val="none" w:sz="0" w:space="0" w:color="auto"/>
            <w:left w:val="none" w:sz="0" w:space="0" w:color="auto"/>
            <w:bottom w:val="none" w:sz="0" w:space="0" w:color="auto"/>
            <w:right w:val="none" w:sz="0" w:space="0" w:color="auto"/>
          </w:divBdr>
        </w:div>
      </w:divsChild>
    </w:div>
    <w:div w:id="1402868092">
      <w:bodyDiv w:val="1"/>
      <w:marLeft w:val="0"/>
      <w:marRight w:val="0"/>
      <w:marTop w:val="0"/>
      <w:marBottom w:val="0"/>
      <w:divBdr>
        <w:top w:val="none" w:sz="0" w:space="0" w:color="auto"/>
        <w:left w:val="none" w:sz="0" w:space="0" w:color="auto"/>
        <w:bottom w:val="none" w:sz="0" w:space="0" w:color="auto"/>
        <w:right w:val="none" w:sz="0" w:space="0" w:color="auto"/>
      </w:divBdr>
      <w:divsChild>
        <w:div w:id="392391901">
          <w:marLeft w:val="0"/>
          <w:marRight w:val="0"/>
          <w:marTop w:val="0"/>
          <w:marBottom w:val="150"/>
          <w:divBdr>
            <w:top w:val="none" w:sz="0" w:space="0" w:color="auto"/>
            <w:left w:val="none" w:sz="0" w:space="0" w:color="auto"/>
            <w:bottom w:val="none" w:sz="0" w:space="0" w:color="auto"/>
            <w:right w:val="none" w:sz="0" w:space="0" w:color="auto"/>
          </w:divBdr>
          <w:divsChild>
            <w:div w:id="1210070297">
              <w:marLeft w:val="0"/>
              <w:marRight w:val="0"/>
              <w:marTop w:val="0"/>
              <w:marBottom w:val="0"/>
              <w:divBdr>
                <w:top w:val="none" w:sz="0" w:space="0" w:color="auto"/>
                <w:left w:val="none" w:sz="0" w:space="0" w:color="auto"/>
                <w:bottom w:val="none" w:sz="0" w:space="0" w:color="auto"/>
                <w:right w:val="none" w:sz="0" w:space="0" w:color="auto"/>
              </w:divBdr>
              <w:divsChild>
                <w:div w:id="19805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763464">
          <w:marLeft w:val="0"/>
          <w:marRight w:val="0"/>
          <w:marTop w:val="0"/>
          <w:marBottom w:val="150"/>
          <w:divBdr>
            <w:top w:val="none" w:sz="0" w:space="0" w:color="auto"/>
            <w:left w:val="none" w:sz="0" w:space="0" w:color="auto"/>
            <w:bottom w:val="none" w:sz="0" w:space="0" w:color="auto"/>
            <w:right w:val="none" w:sz="0" w:space="0" w:color="auto"/>
          </w:divBdr>
        </w:div>
      </w:divsChild>
    </w:div>
    <w:div w:id="1403016903">
      <w:bodyDiv w:val="1"/>
      <w:marLeft w:val="0"/>
      <w:marRight w:val="0"/>
      <w:marTop w:val="0"/>
      <w:marBottom w:val="0"/>
      <w:divBdr>
        <w:top w:val="none" w:sz="0" w:space="0" w:color="auto"/>
        <w:left w:val="none" w:sz="0" w:space="0" w:color="auto"/>
        <w:bottom w:val="none" w:sz="0" w:space="0" w:color="auto"/>
        <w:right w:val="none" w:sz="0" w:space="0" w:color="auto"/>
      </w:divBdr>
    </w:div>
    <w:div w:id="1403219526">
      <w:bodyDiv w:val="1"/>
      <w:marLeft w:val="0"/>
      <w:marRight w:val="0"/>
      <w:marTop w:val="0"/>
      <w:marBottom w:val="0"/>
      <w:divBdr>
        <w:top w:val="none" w:sz="0" w:space="0" w:color="auto"/>
        <w:left w:val="none" w:sz="0" w:space="0" w:color="auto"/>
        <w:bottom w:val="none" w:sz="0" w:space="0" w:color="auto"/>
        <w:right w:val="none" w:sz="0" w:space="0" w:color="auto"/>
      </w:divBdr>
    </w:div>
    <w:div w:id="1403681288">
      <w:bodyDiv w:val="1"/>
      <w:marLeft w:val="0"/>
      <w:marRight w:val="0"/>
      <w:marTop w:val="0"/>
      <w:marBottom w:val="0"/>
      <w:divBdr>
        <w:top w:val="none" w:sz="0" w:space="0" w:color="auto"/>
        <w:left w:val="none" w:sz="0" w:space="0" w:color="auto"/>
        <w:bottom w:val="none" w:sz="0" w:space="0" w:color="auto"/>
        <w:right w:val="none" w:sz="0" w:space="0" w:color="auto"/>
      </w:divBdr>
    </w:div>
    <w:div w:id="1403988701">
      <w:bodyDiv w:val="1"/>
      <w:marLeft w:val="0"/>
      <w:marRight w:val="0"/>
      <w:marTop w:val="0"/>
      <w:marBottom w:val="0"/>
      <w:divBdr>
        <w:top w:val="none" w:sz="0" w:space="0" w:color="auto"/>
        <w:left w:val="none" w:sz="0" w:space="0" w:color="auto"/>
        <w:bottom w:val="none" w:sz="0" w:space="0" w:color="auto"/>
        <w:right w:val="none" w:sz="0" w:space="0" w:color="auto"/>
      </w:divBdr>
      <w:divsChild>
        <w:div w:id="126439839">
          <w:marLeft w:val="0"/>
          <w:marRight w:val="0"/>
          <w:marTop w:val="150"/>
          <w:marBottom w:val="0"/>
          <w:divBdr>
            <w:top w:val="none" w:sz="0" w:space="0" w:color="auto"/>
            <w:left w:val="none" w:sz="0" w:space="0" w:color="auto"/>
            <w:bottom w:val="none" w:sz="0" w:space="0" w:color="auto"/>
            <w:right w:val="none" w:sz="0" w:space="0" w:color="auto"/>
          </w:divBdr>
          <w:divsChild>
            <w:div w:id="611060780">
              <w:marLeft w:val="0"/>
              <w:marRight w:val="150"/>
              <w:marTop w:val="0"/>
              <w:marBottom w:val="0"/>
              <w:divBdr>
                <w:top w:val="none" w:sz="0" w:space="0" w:color="auto"/>
                <w:left w:val="none" w:sz="0" w:space="0" w:color="auto"/>
                <w:bottom w:val="none" w:sz="0" w:space="0" w:color="auto"/>
                <w:right w:val="none" w:sz="0" w:space="0" w:color="auto"/>
              </w:divBdr>
            </w:div>
          </w:divsChild>
        </w:div>
        <w:div w:id="756444232">
          <w:marLeft w:val="0"/>
          <w:marRight w:val="0"/>
          <w:marTop w:val="0"/>
          <w:marBottom w:val="0"/>
          <w:divBdr>
            <w:top w:val="none" w:sz="0" w:space="8" w:color="auto"/>
            <w:left w:val="none" w:sz="0" w:space="2" w:color="auto"/>
            <w:bottom w:val="single" w:sz="6" w:space="8" w:color="DDDDDD"/>
            <w:right w:val="none" w:sz="0" w:space="0" w:color="auto"/>
          </w:divBdr>
        </w:div>
      </w:divsChild>
    </w:div>
    <w:div w:id="1404718884">
      <w:bodyDiv w:val="1"/>
      <w:marLeft w:val="0"/>
      <w:marRight w:val="0"/>
      <w:marTop w:val="0"/>
      <w:marBottom w:val="0"/>
      <w:divBdr>
        <w:top w:val="none" w:sz="0" w:space="0" w:color="auto"/>
        <w:left w:val="none" w:sz="0" w:space="0" w:color="auto"/>
        <w:bottom w:val="none" w:sz="0" w:space="0" w:color="auto"/>
        <w:right w:val="none" w:sz="0" w:space="0" w:color="auto"/>
      </w:divBdr>
      <w:divsChild>
        <w:div w:id="1664360082">
          <w:marLeft w:val="0"/>
          <w:marRight w:val="0"/>
          <w:marTop w:val="0"/>
          <w:marBottom w:val="0"/>
          <w:divBdr>
            <w:top w:val="none" w:sz="0" w:space="0" w:color="auto"/>
            <w:left w:val="none" w:sz="0" w:space="0" w:color="auto"/>
            <w:bottom w:val="none" w:sz="0" w:space="0" w:color="auto"/>
            <w:right w:val="none" w:sz="0" w:space="0" w:color="auto"/>
          </w:divBdr>
          <w:divsChild>
            <w:div w:id="356735224">
              <w:marLeft w:val="0"/>
              <w:marRight w:val="0"/>
              <w:marTop w:val="0"/>
              <w:marBottom w:val="150"/>
              <w:divBdr>
                <w:top w:val="none" w:sz="0" w:space="0" w:color="auto"/>
                <w:left w:val="none" w:sz="0" w:space="0" w:color="auto"/>
                <w:bottom w:val="none" w:sz="0" w:space="0" w:color="auto"/>
                <w:right w:val="none" w:sz="0" w:space="0" w:color="auto"/>
              </w:divBdr>
            </w:div>
            <w:div w:id="117730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833829">
      <w:bodyDiv w:val="1"/>
      <w:marLeft w:val="0"/>
      <w:marRight w:val="0"/>
      <w:marTop w:val="0"/>
      <w:marBottom w:val="0"/>
      <w:divBdr>
        <w:top w:val="none" w:sz="0" w:space="0" w:color="auto"/>
        <w:left w:val="none" w:sz="0" w:space="0" w:color="auto"/>
        <w:bottom w:val="none" w:sz="0" w:space="0" w:color="auto"/>
        <w:right w:val="none" w:sz="0" w:space="0" w:color="auto"/>
      </w:divBdr>
    </w:div>
    <w:div w:id="1405183553">
      <w:bodyDiv w:val="1"/>
      <w:marLeft w:val="0"/>
      <w:marRight w:val="0"/>
      <w:marTop w:val="0"/>
      <w:marBottom w:val="0"/>
      <w:divBdr>
        <w:top w:val="none" w:sz="0" w:space="0" w:color="auto"/>
        <w:left w:val="none" w:sz="0" w:space="0" w:color="auto"/>
        <w:bottom w:val="none" w:sz="0" w:space="0" w:color="auto"/>
        <w:right w:val="none" w:sz="0" w:space="0" w:color="auto"/>
      </w:divBdr>
      <w:divsChild>
        <w:div w:id="748774059">
          <w:marLeft w:val="0"/>
          <w:marRight w:val="0"/>
          <w:marTop w:val="0"/>
          <w:marBottom w:val="225"/>
          <w:divBdr>
            <w:top w:val="none" w:sz="0" w:space="0" w:color="auto"/>
            <w:left w:val="none" w:sz="0" w:space="0" w:color="auto"/>
            <w:bottom w:val="none" w:sz="0" w:space="0" w:color="auto"/>
            <w:right w:val="none" w:sz="0" w:space="0" w:color="auto"/>
          </w:divBdr>
          <w:divsChild>
            <w:div w:id="1117677072">
              <w:marLeft w:val="0"/>
              <w:marRight w:val="0"/>
              <w:marTop w:val="0"/>
              <w:marBottom w:val="0"/>
              <w:divBdr>
                <w:top w:val="none" w:sz="0" w:space="0" w:color="auto"/>
                <w:left w:val="none" w:sz="0" w:space="0" w:color="auto"/>
                <w:bottom w:val="none" w:sz="0" w:space="0" w:color="auto"/>
                <w:right w:val="none" w:sz="0" w:space="0" w:color="auto"/>
              </w:divBdr>
              <w:divsChild>
                <w:div w:id="52182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21212">
          <w:marLeft w:val="0"/>
          <w:marRight w:val="0"/>
          <w:marTop w:val="0"/>
          <w:marBottom w:val="225"/>
          <w:divBdr>
            <w:top w:val="none" w:sz="0" w:space="0" w:color="auto"/>
            <w:left w:val="none" w:sz="0" w:space="0" w:color="auto"/>
            <w:bottom w:val="none" w:sz="0" w:space="0" w:color="auto"/>
            <w:right w:val="none" w:sz="0" w:space="0" w:color="auto"/>
          </w:divBdr>
        </w:div>
      </w:divsChild>
    </w:div>
    <w:div w:id="1405831917">
      <w:bodyDiv w:val="1"/>
      <w:marLeft w:val="0"/>
      <w:marRight w:val="0"/>
      <w:marTop w:val="0"/>
      <w:marBottom w:val="0"/>
      <w:divBdr>
        <w:top w:val="none" w:sz="0" w:space="0" w:color="auto"/>
        <w:left w:val="none" w:sz="0" w:space="0" w:color="auto"/>
        <w:bottom w:val="none" w:sz="0" w:space="0" w:color="auto"/>
        <w:right w:val="none" w:sz="0" w:space="0" w:color="auto"/>
      </w:divBdr>
      <w:divsChild>
        <w:div w:id="1377852044">
          <w:marLeft w:val="0"/>
          <w:marRight w:val="0"/>
          <w:marTop w:val="0"/>
          <w:marBottom w:val="150"/>
          <w:divBdr>
            <w:top w:val="none" w:sz="0" w:space="0" w:color="auto"/>
            <w:left w:val="none" w:sz="0" w:space="0" w:color="auto"/>
            <w:bottom w:val="none" w:sz="0" w:space="0" w:color="auto"/>
            <w:right w:val="none" w:sz="0" w:space="0" w:color="auto"/>
          </w:divBdr>
        </w:div>
      </w:divsChild>
    </w:div>
    <w:div w:id="1405835884">
      <w:bodyDiv w:val="1"/>
      <w:marLeft w:val="0"/>
      <w:marRight w:val="0"/>
      <w:marTop w:val="0"/>
      <w:marBottom w:val="0"/>
      <w:divBdr>
        <w:top w:val="none" w:sz="0" w:space="0" w:color="auto"/>
        <w:left w:val="none" w:sz="0" w:space="0" w:color="auto"/>
        <w:bottom w:val="none" w:sz="0" w:space="0" w:color="auto"/>
        <w:right w:val="none" w:sz="0" w:space="0" w:color="auto"/>
      </w:divBdr>
    </w:div>
    <w:div w:id="1405836130">
      <w:bodyDiv w:val="1"/>
      <w:marLeft w:val="0"/>
      <w:marRight w:val="0"/>
      <w:marTop w:val="0"/>
      <w:marBottom w:val="0"/>
      <w:divBdr>
        <w:top w:val="none" w:sz="0" w:space="0" w:color="auto"/>
        <w:left w:val="none" w:sz="0" w:space="0" w:color="auto"/>
        <w:bottom w:val="none" w:sz="0" w:space="0" w:color="auto"/>
        <w:right w:val="none" w:sz="0" w:space="0" w:color="auto"/>
      </w:divBdr>
      <w:divsChild>
        <w:div w:id="1362896701">
          <w:marLeft w:val="0"/>
          <w:marRight w:val="0"/>
          <w:marTop w:val="0"/>
          <w:marBottom w:val="0"/>
          <w:divBdr>
            <w:top w:val="none" w:sz="0" w:space="0" w:color="auto"/>
            <w:left w:val="none" w:sz="0" w:space="0" w:color="auto"/>
            <w:bottom w:val="dotted" w:sz="6" w:space="4" w:color="DDDDDD"/>
            <w:right w:val="none" w:sz="0" w:space="0" w:color="auto"/>
          </w:divBdr>
          <w:divsChild>
            <w:div w:id="22375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224491">
      <w:bodyDiv w:val="1"/>
      <w:marLeft w:val="0"/>
      <w:marRight w:val="0"/>
      <w:marTop w:val="0"/>
      <w:marBottom w:val="0"/>
      <w:divBdr>
        <w:top w:val="none" w:sz="0" w:space="0" w:color="auto"/>
        <w:left w:val="none" w:sz="0" w:space="0" w:color="auto"/>
        <w:bottom w:val="none" w:sz="0" w:space="0" w:color="auto"/>
        <w:right w:val="none" w:sz="0" w:space="0" w:color="auto"/>
      </w:divBdr>
      <w:divsChild>
        <w:div w:id="536436255">
          <w:marLeft w:val="0"/>
          <w:marRight w:val="0"/>
          <w:marTop w:val="0"/>
          <w:marBottom w:val="150"/>
          <w:divBdr>
            <w:top w:val="none" w:sz="0" w:space="0" w:color="auto"/>
            <w:left w:val="none" w:sz="0" w:space="0" w:color="auto"/>
            <w:bottom w:val="none" w:sz="0" w:space="0" w:color="auto"/>
            <w:right w:val="none" w:sz="0" w:space="0" w:color="auto"/>
          </w:divBdr>
        </w:div>
        <w:div w:id="1729646713">
          <w:marLeft w:val="0"/>
          <w:marRight w:val="0"/>
          <w:marTop w:val="0"/>
          <w:marBottom w:val="0"/>
          <w:divBdr>
            <w:top w:val="none" w:sz="0" w:space="0" w:color="auto"/>
            <w:left w:val="none" w:sz="0" w:space="0" w:color="auto"/>
            <w:bottom w:val="none" w:sz="0" w:space="0" w:color="auto"/>
            <w:right w:val="none" w:sz="0" w:space="0" w:color="auto"/>
          </w:divBdr>
        </w:div>
      </w:divsChild>
    </w:div>
    <w:div w:id="1406679800">
      <w:bodyDiv w:val="1"/>
      <w:marLeft w:val="0"/>
      <w:marRight w:val="0"/>
      <w:marTop w:val="0"/>
      <w:marBottom w:val="0"/>
      <w:divBdr>
        <w:top w:val="none" w:sz="0" w:space="0" w:color="auto"/>
        <w:left w:val="none" w:sz="0" w:space="0" w:color="auto"/>
        <w:bottom w:val="none" w:sz="0" w:space="0" w:color="auto"/>
        <w:right w:val="none" w:sz="0" w:space="0" w:color="auto"/>
      </w:divBdr>
      <w:divsChild>
        <w:div w:id="1484857478">
          <w:marLeft w:val="0"/>
          <w:marRight w:val="0"/>
          <w:marTop w:val="0"/>
          <w:marBottom w:val="150"/>
          <w:divBdr>
            <w:top w:val="none" w:sz="0" w:space="0" w:color="auto"/>
            <w:left w:val="none" w:sz="0" w:space="0" w:color="auto"/>
            <w:bottom w:val="none" w:sz="0" w:space="0" w:color="auto"/>
            <w:right w:val="none" w:sz="0" w:space="0" w:color="auto"/>
          </w:divBdr>
          <w:divsChild>
            <w:div w:id="626816884">
              <w:marLeft w:val="0"/>
              <w:marRight w:val="0"/>
              <w:marTop w:val="0"/>
              <w:marBottom w:val="0"/>
              <w:divBdr>
                <w:top w:val="none" w:sz="0" w:space="0" w:color="auto"/>
                <w:left w:val="none" w:sz="0" w:space="0" w:color="auto"/>
                <w:bottom w:val="none" w:sz="0" w:space="0" w:color="auto"/>
                <w:right w:val="none" w:sz="0" w:space="0" w:color="auto"/>
              </w:divBdr>
              <w:divsChild>
                <w:div w:id="54298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584487">
          <w:marLeft w:val="0"/>
          <w:marRight w:val="0"/>
          <w:marTop w:val="0"/>
          <w:marBottom w:val="150"/>
          <w:divBdr>
            <w:top w:val="none" w:sz="0" w:space="0" w:color="auto"/>
            <w:left w:val="none" w:sz="0" w:space="0" w:color="auto"/>
            <w:bottom w:val="none" w:sz="0" w:space="0" w:color="auto"/>
            <w:right w:val="none" w:sz="0" w:space="0" w:color="auto"/>
          </w:divBdr>
        </w:div>
        <w:div w:id="1302690490">
          <w:marLeft w:val="0"/>
          <w:marRight w:val="0"/>
          <w:marTop w:val="0"/>
          <w:marBottom w:val="0"/>
          <w:divBdr>
            <w:top w:val="none" w:sz="0" w:space="0" w:color="auto"/>
            <w:left w:val="none" w:sz="0" w:space="0" w:color="auto"/>
            <w:bottom w:val="none" w:sz="0" w:space="0" w:color="auto"/>
            <w:right w:val="none" w:sz="0" w:space="0" w:color="auto"/>
          </w:divBdr>
          <w:divsChild>
            <w:div w:id="132516106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06682789">
      <w:bodyDiv w:val="1"/>
      <w:marLeft w:val="0"/>
      <w:marRight w:val="0"/>
      <w:marTop w:val="0"/>
      <w:marBottom w:val="0"/>
      <w:divBdr>
        <w:top w:val="none" w:sz="0" w:space="0" w:color="auto"/>
        <w:left w:val="none" w:sz="0" w:space="0" w:color="auto"/>
        <w:bottom w:val="none" w:sz="0" w:space="0" w:color="auto"/>
        <w:right w:val="none" w:sz="0" w:space="0" w:color="auto"/>
      </w:divBdr>
      <w:divsChild>
        <w:div w:id="100534788">
          <w:marLeft w:val="0"/>
          <w:marRight w:val="0"/>
          <w:marTop w:val="0"/>
          <w:marBottom w:val="0"/>
          <w:divBdr>
            <w:top w:val="none" w:sz="0" w:space="0" w:color="auto"/>
            <w:left w:val="none" w:sz="0" w:space="0" w:color="auto"/>
            <w:bottom w:val="none" w:sz="0" w:space="0" w:color="auto"/>
            <w:right w:val="none" w:sz="0" w:space="0" w:color="auto"/>
          </w:divBdr>
        </w:div>
      </w:divsChild>
    </w:div>
    <w:div w:id="1407261200">
      <w:bodyDiv w:val="1"/>
      <w:marLeft w:val="0"/>
      <w:marRight w:val="0"/>
      <w:marTop w:val="0"/>
      <w:marBottom w:val="0"/>
      <w:divBdr>
        <w:top w:val="none" w:sz="0" w:space="0" w:color="auto"/>
        <w:left w:val="none" w:sz="0" w:space="0" w:color="auto"/>
        <w:bottom w:val="none" w:sz="0" w:space="0" w:color="auto"/>
        <w:right w:val="none" w:sz="0" w:space="0" w:color="auto"/>
      </w:divBdr>
      <w:divsChild>
        <w:div w:id="997074025">
          <w:marLeft w:val="0"/>
          <w:marRight w:val="0"/>
          <w:marTop w:val="0"/>
          <w:marBottom w:val="0"/>
          <w:divBdr>
            <w:top w:val="none" w:sz="0" w:space="0" w:color="auto"/>
            <w:left w:val="none" w:sz="0" w:space="0" w:color="auto"/>
            <w:bottom w:val="none" w:sz="0" w:space="0" w:color="auto"/>
            <w:right w:val="none" w:sz="0" w:space="0" w:color="auto"/>
          </w:divBdr>
          <w:divsChild>
            <w:div w:id="249849274">
              <w:marLeft w:val="0"/>
              <w:marRight w:val="0"/>
              <w:marTop w:val="0"/>
              <w:marBottom w:val="0"/>
              <w:divBdr>
                <w:top w:val="none" w:sz="0" w:space="0" w:color="auto"/>
                <w:left w:val="none" w:sz="0" w:space="0" w:color="auto"/>
                <w:bottom w:val="none" w:sz="0" w:space="0" w:color="auto"/>
                <w:right w:val="none" w:sz="0" w:space="0" w:color="auto"/>
              </w:divBdr>
              <w:divsChild>
                <w:div w:id="1454979323">
                  <w:marLeft w:val="0"/>
                  <w:marRight w:val="0"/>
                  <w:marTop w:val="0"/>
                  <w:marBottom w:val="0"/>
                  <w:divBdr>
                    <w:top w:val="none" w:sz="0" w:space="0" w:color="auto"/>
                    <w:left w:val="none" w:sz="0" w:space="0" w:color="auto"/>
                    <w:bottom w:val="none" w:sz="0" w:space="0" w:color="auto"/>
                    <w:right w:val="none" w:sz="0" w:space="0" w:color="auto"/>
                  </w:divBdr>
                  <w:divsChild>
                    <w:div w:id="308675700">
                      <w:marLeft w:val="0"/>
                      <w:marRight w:val="0"/>
                      <w:marTop w:val="0"/>
                      <w:marBottom w:val="0"/>
                      <w:divBdr>
                        <w:top w:val="none" w:sz="0" w:space="0" w:color="auto"/>
                        <w:left w:val="none" w:sz="0" w:space="0" w:color="auto"/>
                        <w:bottom w:val="none" w:sz="0" w:space="0" w:color="auto"/>
                        <w:right w:val="none" w:sz="0" w:space="0" w:color="auto"/>
                      </w:divBdr>
                      <w:divsChild>
                        <w:div w:id="1931815743">
                          <w:marLeft w:val="0"/>
                          <w:marRight w:val="0"/>
                          <w:marTop w:val="0"/>
                          <w:marBottom w:val="0"/>
                          <w:divBdr>
                            <w:top w:val="none" w:sz="0" w:space="0" w:color="auto"/>
                            <w:left w:val="none" w:sz="0" w:space="0" w:color="auto"/>
                            <w:bottom w:val="none" w:sz="0" w:space="0" w:color="auto"/>
                            <w:right w:val="none" w:sz="0" w:space="0" w:color="auto"/>
                          </w:divBdr>
                          <w:divsChild>
                            <w:div w:id="1365911684">
                              <w:marLeft w:val="0"/>
                              <w:marRight w:val="0"/>
                              <w:marTop w:val="0"/>
                              <w:marBottom w:val="0"/>
                              <w:divBdr>
                                <w:top w:val="none" w:sz="0" w:space="0" w:color="auto"/>
                                <w:left w:val="none" w:sz="0" w:space="0" w:color="auto"/>
                                <w:bottom w:val="none" w:sz="0" w:space="0" w:color="auto"/>
                                <w:right w:val="none" w:sz="0" w:space="0" w:color="auto"/>
                              </w:divBdr>
                              <w:divsChild>
                                <w:div w:id="422075254">
                                  <w:marLeft w:val="0"/>
                                  <w:marRight w:val="0"/>
                                  <w:marTop w:val="0"/>
                                  <w:marBottom w:val="0"/>
                                  <w:divBdr>
                                    <w:top w:val="none" w:sz="0" w:space="0" w:color="auto"/>
                                    <w:left w:val="none" w:sz="0" w:space="0" w:color="auto"/>
                                    <w:bottom w:val="none" w:sz="0" w:space="0" w:color="auto"/>
                                    <w:right w:val="none" w:sz="0" w:space="0" w:color="auto"/>
                                  </w:divBdr>
                                  <w:divsChild>
                                    <w:div w:id="1867133622">
                                      <w:marLeft w:val="0"/>
                                      <w:marRight w:val="0"/>
                                      <w:marTop w:val="0"/>
                                      <w:marBottom w:val="0"/>
                                      <w:divBdr>
                                        <w:top w:val="none" w:sz="0" w:space="0" w:color="auto"/>
                                        <w:left w:val="none" w:sz="0" w:space="0" w:color="auto"/>
                                        <w:bottom w:val="none" w:sz="0" w:space="0" w:color="auto"/>
                                        <w:right w:val="none" w:sz="0" w:space="0" w:color="auto"/>
                                      </w:divBdr>
                                      <w:divsChild>
                                        <w:div w:id="105312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7462072">
      <w:bodyDiv w:val="1"/>
      <w:marLeft w:val="0"/>
      <w:marRight w:val="0"/>
      <w:marTop w:val="0"/>
      <w:marBottom w:val="0"/>
      <w:divBdr>
        <w:top w:val="none" w:sz="0" w:space="0" w:color="auto"/>
        <w:left w:val="none" w:sz="0" w:space="0" w:color="auto"/>
        <w:bottom w:val="none" w:sz="0" w:space="0" w:color="auto"/>
        <w:right w:val="none" w:sz="0" w:space="0" w:color="auto"/>
      </w:divBdr>
      <w:divsChild>
        <w:div w:id="1061247862">
          <w:marLeft w:val="0"/>
          <w:marRight w:val="0"/>
          <w:marTop w:val="0"/>
          <w:marBottom w:val="0"/>
          <w:divBdr>
            <w:top w:val="none" w:sz="0" w:space="0" w:color="auto"/>
            <w:left w:val="none" w:sz="0" w:space="0" w:color="auto"/>
            <w:bottom w:val="none" w:sz="0" w:space="0" w:color="auto"/>
            <w:right w:val="none" w:sz="0" w:space="0" w:color="auto"/>
          </w:divBdr>
        </w:div>
      </w:divsChild>
    </w:div>
    <w:div w:id="1408310574">
      <w:bodyDiv w:val="1"/>
      <w:marLeft w:val="0"/>
      <w:marRight w:val="0"/>
      <w:marTop w:val="0"/>
      <w:marBottom w:val="0"/>
      <w:divBdr>
        <w:top w:val="none" w:sz="0" w:space="0" w:color="auto"/>
        <w:left w:val="none" w:sz="0" w:space="0" w:color="auto"/>
        <w:bottom w:val="none" w:sz="0" w:space="0" w:color="auto"/>
        <w:right w:val="none" w:sz="0" w:space="0" w:color="auto"/>
      </w:divBdr>
      <w:divsChild>
        <w:div w:id="1507138504">
          <w:marLeft w:val="0"/>
          <w:marRight w:val="0"/>
          <w:marTop w:val="0"/>
          <w:marBottom w:val="150"/>
          <w:divBdr>
            <w:top w:val="none" w:sz="0" w:space="0" w:color="auto"/>
            <w:left w:val="none" w:sz="0" w:space="0" w:color="auto"/>
            <w:bottom w:val="none" w:sz="0" w:space="0" w:color="auto"/>
            <w:right w:val="none" w:sz="0" w:space="0" w:color="auto"/>
          </w:divBdr>
        </w:div>
      </w:divsChild>
    </w:div>
    <w:div w:id="1408654470">
      <w:bodyDiv w:val="1"/>
      <w:marLeft w:val="0"/>
      <w:marRight w:val="0"/>
      <w:marTop w:val="0"/>
      <w:marBottom w:val="0"/>
      <w:divBdr>
        <w:top w:val="none" w:sz="0" w:space="0" w:color="auto"/>
        <w:left w:val="none" w:sz="0" w:space="0" w:color="auto"/>
        <w:bottom w:val="none" w:sz="0" w:space="0" w:color="auto"/>
        <w:right w:val="none" w:sz="0" w:space="0" w:color="auto"/>
      </w:divBdr>
      <w:divsChild>
        <w:div w:id="929772138">
          <w:marLeft w:val="0"/>
          <w:marRight w:val="0"/>
          <w:marTop w:val="0"/>
          <w:marBottom w:val="150"/>
          <w:divBdr>
            <w:top w:val="none" w:sz="0" w:space="0" w:color="auto"/>
            <w:left w:val="none" w:sz="0" w:space="0" w:color="auto"/>
            <w:bottom w:val="none" w:sz="0" w:space="0" w:color="auto"/>
            <w:right w:val="none" w:sz="0" w:space="0" w:color="auto"/>
          </w:divBdr>
          <w:divsChild>
            <w:div w:id="1776094427">
              <w:marLeft w:val="0"/>
              <w:marRight w:val="0"/>
              <w:marTop w:val="0"/>
              <w:marBottom w:val="0"/>
              <w:divBdr>
                <w:top w:val="none" w:sz="0" w:space="0" w:color="auto"/>
                <w:left w:val="none" w:sz="0" w:space="0" w:color="auto"/>
                <w:bottom w:val="none" w:sz="0" w:space="0" w:color="auto"/>
                <w:right w:val="none" w:sz="0" w:space="0" w:color="auto"/>
              </w:divBdr>
              <w:divsChild>
                <w:div w:id="139581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234446">
          <w:marLeft w:val="0"/>
          <w:marRight w:val="0"/>
          <w:marTop w:val="0"/>
          <w:marBottom w:val="150"/>
          <w:divBdr>
            <w:top w:val="none" w:sz="0" w:space="0" w:color="auto"/>
            <w:left w:val="none" w:sz="0" w:space="0" w:color="auto"/>
            <w:bottom w:val="none" w:sz="0" w:space="0" w:color="auto"/>
            <w:right w:val="none" w:sz="0" w:space="0" w:color="auto"/>
          </w:divBdr>
        </w:div>
        <w:div w:id="1961377378">
          <w:marLeft w:val="0"/>
          <w:marRight w:val="0"/>
          <w:marTop w:val="0"/>
          <w:marBottom w:val="0"/>
          <w:divBdr>
            <w:top w:val="none" w:sz="0" w:space="0" w:color="auto"/>
            <w:left w:val="none" w:sz="0" w:space="0" w:color="auto"/>
            <w:bottom w:val="none" w:sz="0" w:space="0" w:color="auto"/>
            <w:right w:val="none" w:sz="0" w:space="0" w:color="auto"/>
          </w:divBdr>
          <w:divsChild>
            <w:div w:id="129999798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09157241">
      <w:bodyDiv w:val="1"/>
      <w:marLeft w:val="0"/>
      <w:marRight w:val="0"/>
      <w:marTop w:val="0"/>
      <w:marBottom w:val="0"/>
      <w:divBdr>
        <w:top w:val="none" w:sz="0" w:space="0" w:color="auto"/>
        <w:left w:val="none" w:sz="0" w:space="0" w:color="auto"/>
        <w:bottom w:val="none" w:sz="0" w:space="0" w:color="auto"/>
        <w:right w:val="none" w:sz="0" w:space="0" w:color="auto"/>
      </w:divBdr>
      <w:divsChild>
        <w:div w:id="1918054776">
          <w:marLeft w:val="0"/>
          <w:marRight w:val="0"/>
          <w:marTop w:val="0"/>
          <w:marBottom w:val="0"/>
          <w:divBdr>
            <w:top w:val="none" w:sz="0" w:space="0" w:color="auto"/>
            <w:left w:val="none" w:sz="0" w:space="0" w:color="auto"/>
            <w:bottom w:val="dotted" w:sz="6" w:space="4" w:color="DDDDDD"/>
            <w:right w:val="none" w:sz="0" w:space="0" w:color="auto"/>
          </w:divBdr>
        </w:div>
      </w:divsChild>
    </w:div>
    <w:div w:id="1409771589">
      <w:bodyDiv w:val="1"/>
      <w:marLeft w:val="0"/>
      <w:marRight w:val="0"/>
      <w:marTop w:val="0"/>
      <w:marBottom w:val="0"/>
      <w:divBdr>
        <w:top w:val="none" w:sz="0" w:space="0" w:color="auto"/>
        <w:left w:val="none" w:sz="0" w:space="0" w:color="auto"/>
        <w:bottom w:val="none" w:sz="0" w:space="0" w:color="auto"/>
        <w:right w:val="none" w:sz="0" w:space="0" w:color="auto"/>
      </w:divBdr>
      <w:divsChild>
        <w:div w:id="2067146787">
          <w:marLeft w:val="0"/>
          <w:marRight w:val="0"/>
          <w:marTop w:val="0"/>
          <w:marBottom w:val="450"/>
          <w:divBdr>
            <w:top w:val="none" w:sz="0" w:space="0" w:color="auto"/>
            <w:left w:val="none" w:sz="0" w:space="0" w:color="auto"/>
            <w:bottom w:val="single" w:sz="6" w:space="19" w:color="EEEEEE"/>
            <w:right w:val="none" w:sz="0" w:space="0" w:color="auto"/>
          </w:divBdr>
          <w:divsChild>
            <w:div w:id="169639412">
              <w:marLeft w:val="0"/>
              <w:marRight w:val="0"/>
              <w:marTop w:val="0"/>
              <w:marBottom w:val="150"/>
              <w:divBdr>
                <w:top w:val="none" w:sz="0" w:space="0" w:color="auto"/>
                <w:left w:val="none" w:sz="0" w:space="0" w:color="auto"/>
                <w:bottom w:val="none" w:sz="0" w:space="0" w:color="auto"/>
                <w:right w:val="none" w:sz="0" w:space="0" w:color="auto"/>
              </w:divBdr>
              <w:divsChild>
                <w:div w:id="1750035307">
                  <w:marLeft w:val="0"/>
                  <w:marRight w:val="0"/>
                  <w:marTop w:val="0"/>
                  <w:marBottom w:val="0"/>
                  <w:divBdr>
                    <w:top w:val="none" w:sz="0" w:space="0" w:color="auto"/>
                    <w:left w:val="none" w:sz="0" w:space="0" w:color="auto"/>
                    <w:bottom w:val="none" w:sz="0" w:space="0" w:color="auto"/>
                    <w:right w:val="none" w:sz="0" w:space="0" w:color="auto"/>
                  </w:divBdr>
                </w:div>
              </w:divsChild>
            </w:div>
            <w:div w:id="584612299">
              <w:marLeft w:val="0"/>
              <w:marRight w:val="0"/>
              <w:marTop w:val="0"/>
              <w:marBottom w:val="0"/>
              <w:divBdr>
                <w:top w:val="none" w:sz="0" w:space="0" w:color="auto"/>
                <w:left w:val="none" w:sz="0" w:space="0" w:color="auto"/>
                <w:bottom w:val="none" w:sz="0" w:space="0" w:color="auto"/>
                <w:right w:val="none" w:sz="0" w:space="0" w:color="auto"/>
              </w:divBdr>
            </w:div>
          </w:divsChild>
        </w:div>
        <w:div w:id="1879660192">
          <w:marLeft w:val="0"/>
          <w:marRight w:val="0"/>
          <w:marTop w:val="0"/>
          <w:marBottom w:val="0"/>
          <w:divBdr>
            <w:top w:val="none" w:sz="0" w:space="0" w:color="auto"/>
            <w:left w:val="none" w:sz="0" w:space="0" w:color="auto"/>
            <w:bottom w:val="none" w:sz="0" w:space="0" w:color="auto"/>
            <w:right w:val="none" w:sz="0" w:space="0" w:color="auto"/>
          </w:divBdr>
          <w:divsChild>
            <w:div w:id="1776634481">
              <w:marLeft w:val="0"/>
              <w:marRight w:val="0"/>
              <w:marTop w:val="0"/>
              <w:marBottom w:val="0"/>
              <w:divBdr>
                <w:top w:val="none" w:sz="0" w:space="0" w:color="auto"/>
                <w:left w:val="none" w:sz="0" w:space="0" w:color="auto"/>
                <w:bottom w:val="none" w:sz="0" w:space="0" w:color="auto"/>
                <w:right w:val="none" w:sz="0" w:space="0" w:color="auto"/>
              </w:divBdr>
              <w:divsChild>
                <w:div w:id="167996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078326">
      <w:bodyDiv w:val="1"/>
      <w:marLeft w:val="0"/>
      <w:marRight w:val="0"/>
      <w:marTop w:val="0"/>
      <w:marBottom w:val="0"/>
      <w:divBdr>
        <w:top w:val="none" w:sz="0" w:space="0" w:color="auto"/>
        <w:left w:val="none" w:sz="0" w:space="0" w:color="auto"/>
        <w:bottom w:val="none" w:sz="0" w:space="0" w:color="auto"/>
        <w:right w:val="none" w:sz="0" w:space="0" w:color="auto"/>
      </w:divBdr>
      <w:divsChild>
        <w:div w:id="1044717477">
          <w:marLeft w:val="0"/>
          <w:marRight w:val="0"/>
          <w:marTop w:val="0"/>
          <w:marBottom w:val="150"/>
          <w:divBdr>
            <w:top w:val="none" w:sz="0" w:space="0" w:color="auto"/>
            <w:left w:val="none" w:sz="0" w:space="0" w:color="auto"/>
            <w:bottom w:val="none" w:sz="0" w:space="0" w:color="auto"/>
            <w:right w:val="none" w:sz="0" w:space="0" w:color="auto"/>
          </w:divBdr>
          <w:divsChild>
            <w:div w:id="1221476325">
              <w:marLeft w:val="0"/>
              <w:marRight w:val="0"/>
              <w:marTop w:val="0"/>
              <w:marBottom w:val="0"/>
              <w:divBdr>
                <w:top w:val="none" w:sz="0" w:space="0" w:color="auto"/>
                <w:left w:val="none" w:sz="0" w:space="0" w:color="auto"/>
                <w:bottom w:val="none" w:sz="0" w:space="0" w:color="auto"/>
                <w:right w:val="none" w:sz="0" w:space="0" w:color="auto"/>
              </w:divBdr>
              <w:divsChild>
                <w:div w:id="355087135">
                  <w:marLeft w:val="0"/>
                  <w:marRight w:val="0"/>
                  <w:marTop w:val="0"/>
                  <w:marBottom w:val="0"/>
                  <w:divBdr>
                    <w:top w:val="none" w:sz="0" w:space="0" w:color="auto"/>
                    <w:left w:val="none" w:sz="0" w:space="0" w:color="auto"/>
                    <w:bottom w:val="none" w:sz="0" w:space="0" w:color="auto"/>
                    <w:right w:val="none" w:sz="0" w:space="0" w:color="auto"/>
                  </w:divBdr>
                  <w:divsChild>
                    <w:div w:id="1258060445">
                      <w:marLeft w:val="0"/>
                      <w:marRight w:val="150"/>
                      <w:marTop w:val="0"/>
                      <w:marBottom w:val="0"/>
                      <w:divBdr>
                        <w:top w:val="none" w:sz="0" w:space="0" w:color="auto"/>
                        <w:left w:val="none" w:sz="0" w:space="0" w:color="auto"/>
                        <w:bottom w:val="none" w:sz="0" w:space="0" w:color="auto"/>
                        <w:right w:val="none" w:sz="0" w:space="0" w:color="auto"/>
                      </w:divBdr>
                      <w:divsChild>
                        <w:div w:id="124101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73638">
          <w:marLeft w:val="0"/>
          <w:marRight w:val="0"/>
          <w:marTop w:val="0"/>
          <w:marBottom w:val="150"/>
          <w:divBdr>
            <w:top w:val="none" w:sz="0" w:space="0" w:color="auto"/>
            <w:left w:val="none" w:sz="0" w:space="0" w:color="auto"/>
            <w:bottom w:val="none" w:sz="0" w:space="0" w:color="auto"/>
            <w:right w:val="none" w:sz="0" w:space="0" w:color="auto"/>
          </w:divBdr>
        </w:div>
        <w:div w:id="395978580">
          <w:marLeft w:val="0"/>
          <w:marRight w:val="0"/>
          <w:marTop w:val="0"/>
          <w:marBottom w:val="0"/>
          <w:divBdr>
            <w:top w:val="none" w:sz="0" w:space="0" w:color="auto"/>
            <w:left w:val="none" w:sz="0" w:space="0" w:color="auto"/>
            <w:bottom w:val="none" w:sz="0" w:space="0" w:color="auto"/>
            <w:right w:val="none" w:sz="0" w:space="0" w:color="auto"/>
          </w:divBdr>
          <w:divsChild>
            <w:div w:id="110619900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10224884">
      <w:bodyDiv w:val="1"/>
      <w:marLeft w:val="0"/>
      <w:marRight w:val="0"/>
      <w:marTop w:val="0"/>
      <w:marBottom w:val="0"/>
      <w:divBdr>
        <w:top w:val="none" w:sz="0" w:space="0" w:color="auto"/>
        <w:left w:val="none" w:sz="0" w:space="0" w:color="auto"/>
        <w:bottom w:val="none" w:sz="0" w:space="0" w:color="auto"/>
        <w:right w:val="none" w:sz="0" w:space="0" w:color="auto"/>
      </w:divBdr>
      <w:divsChild>
        <w:div w:id="343939906">
          <w:marLeft w:val="0"/>
          <w:marRight w:val="0"/>
          <w:marTop w:val="0"/>
          <w:marBottom w:val="0"/>
          <w:divBdr>
            <w:top w:val="none" w:sz="0" w:space="0" w:color="auto"/>
            <w:left w:val="none" w:sz="0" w:space="0" w:color="auto"/>
            <w:bottom w:val="none" w:sz="0" w:space="0" w:color="auto"/>
            <w:right w:val="none" w:sz="0" w:space="0" w:color="auto"/>
          </w:divBdr>
          <w:divsChild>
            <w:div w:id="558783508">
              <w:marLeft w:val="0"/>
              <w:marRight w:val="0"/>
              <w:marTop w:val="0"/>
              <w:marBottom w:val="0"/>
              <w:divBdr>
                <w:top w:val="none" w:sz="0" w:space="0" w:color="auto"/>
                <w:left w:val="none" w:sz="0" w:space="0" w:color="auto"/>
                <w:bottom w:val="none" w:sz="0" w:space="0" w:color="auto"/>
                <w:right w:val="none" w:sz="0" w:space="0" w:color="auto"/>
              </w:divBdr>
              <w:divsChild>
                <w:div w:id="317658631">
                  <w:marLeft w:val="0"/>
                  <w:marRight w:val="0"/>
                  <w:marTop w:val="0"/>
                  <w:marBottom w:val="0"/>
                  <w:divBdr>
                    <w:top w:val="none" w:sz="0" w:space="0" w:color="auto"/>
                    <w:left w:val="none" w:sz="0" w:space="0" w:color="auto"/>
                    <w:bottom w:val="none" w:sz="0" w:space="0" w:color="auto"/>
                    <w:right w:val="none" w:sz="0" w:space="0" w:color="auto"/>
                  </w:divBdr>
                  <w:divsChild>
                    <w:div w:id="408969927">
                      <w:marLeft w:val="0"/>
                      <w:marRight w:val="0"/>
                      <w:marTop w:val="0"/>
                      <w:marBottom w:val="0"/>
                      <w:divBdr>
                        <w:top w:val="none" w:sz="0" w:space="0" w:color="auto"/>
                        <w:left w:val="none" w:sz="0" w:space="0" w:color="auto"/>
                        <w:bottom w:val="none" w:sz="0" w:space="0" w:color="auto"/>
                        <w:right w:val="none" w:sz="0" w:space="0" w:color="auto"/>
                      </w:divBdr>
                      <w:divsChild>
                        <w:div w:id="2009676698">
                          <w:marLeft w:val="0"/>
                          <w:marRight w:val="0"/>
                          <w:marTop w:val="0"/>
                          <w:marBottom w:val="0"/>
                          <w:divBdr>
                            <w:top w:val="none" w:sz="0" w:space="0" w:color="auto"/>
                            <w:left w:val="none" w:sz="0" w:space="0" w:color="auto"/>
                            <w:bottom w:val="none" w:sz="0" w:space="0" w:color="auto"/>
                            <w:right w:val="none" w:sz="0" w:space="0" w:color="auto"/>
                          </w:divBdr>
                          <w:divsChild>
                            <w:div w:id="1550149369">
                              <w:marLeft w:val="0"/>
                              <w:marRight w:val="0"/>
                              <w:marTop w:val="0"/>
                              <w:marBottom w:val="0"/>
                              <w:divBdr>
                                <w:top w:val="none" w:sz="0" w:space="0" w:color="auto"/>
                                <w:left w:val="none" w:sz="0" w:space="0" w:color="auto"/>
                                <w:bottom w:val="none" w:sz="0" w:space="0" w:color="auto"/>
                                <w:right w:val="none" w:sz="0" w:space="0" w:color="auto"/>
                              </w:divBdr>
                              <w:divsChild>
                                <w:div w:id="1798185261">
                                  <w:marLeft w:val="0"/>
                                  <w:marRight w:val="0"/>
                                  <w:marTop w:val="0"/>
                                  <w:marBottom w:val="0"/>
                                  <w:divBdr>
                                    <w:top w:val="none" w:sz="0" w:space="0" w:color="auto"/>
                                    <w:left w:val="none" w:sz="0" w:space="0" w:color="auto"/>
                                    <w:bottom w:val="none" w:sz="0" w:space="0" w:color="auto"/>
                                    <w:right w:val="none" w:sz="0" w:space="0" w:color="auto"/>
                                  </w:divBdr>
                                  <w:divsChild>
                                    <w:div w:id="80420378">
                                      <w:marLeft w:val="0"/>
                                      <w:marRight w:val="0"/>
                                      <w:marTop w:val="0"/>
                                      <w:marBottom w:val="0"/>
                                      <w:divBdr>
                                        <w:top w:val="none" w:sz="0" w:space="0" w:color="auto"/>
                                        <w:left w:val="none" w:sz="0" w:space="0" w:color="auto"/>
                                        <w:bottom w:val="none" w:sz="0" w:space="0" w:color="auto"/>
                                        <w:right w:val="none" w:sz="0" w:space="0" w:color="auto"/>
                                      </w:divBdr>
                                      <w:divsChild>
                                        <w:div w:id="166697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0275460">
      <w:bodyDiv w:val="1"/>
      <w:marLeft w:val="0"/>
      <w:marRight w:val="0"/>
      <w:marTop w:val="0"/>
      <w:marBottom w:val="0"/>
      <w:divBdr>
        <w:top w:val="none" w:sz="0" w:space="0" w:color="auto"/>
        <w:left w:val="none" w:sz="0" w:space="0" w:color="auto"/>
        <w:bottom w:val="none" w:sz="0" w:space="0" w:color="auto"/>
        <w:right w:val="none" w:sz="0" w:space="0" w:color="auto"/>
      </w:divBdr>
      <w:divsChild>
        <w:div w:id="470369283">
          <w:marLeft w:val="0"/>
          <w:marRight w:val="0"/>
          <w:marTop w:val="0"/>
          <w:marBottom w:val="0"/>
          <w:divBdr>
            <w:top w:val="none" w:sz="0" w:space="0" w:color="auto"/>
            <w:left w:val="none" w:sz="0" w:space="0" w:color="auto"/>
            <w:bottom w:val="dotted" w:sz="6" w:space="4" w:color="DDDDDD"/>
            <w:right w:val="none" w:sz="0" w:space="0" w:color="auto"/>
          </w:divBdr>
          <w:divsChild>
            <w:div w:id="189873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25685">
      <w:bodyDiv w:val="1"/>
      <w:marLeft w:val="0"/>
      <w:marRight w:val="0"/>
      <w:marTop w:val="0"/>
      <w:marBottom w:val="0"/>
      <w:divBdr>
        <w:top w:val="none" w:sz="0" w:space="0" w:color="auto"/>
        <w:left w:val="none" w:sz="0" w:space="0" w:color="auto"/>
        <w:bottom w:val="none" w:sz="0" w:space="0" w:color="auto"/>
        <w:right w:val="none" w:sz="0" w:space="0" w:color="auto"/>
      </w:divBdr>
    </w:div>
    <w:div w:id="1411537199">
      <w:bodyDiv w:val="1"/>
      <w:marLeft w:val="0"/>
      <w:marRight w:val="0"/>
      <w:marTop w:val="0"/>
      <w:marBottom w:val="0"/>
      <w:divBdr>
        <w:top w:val="none" w:sz="0" w:space="0" w:color="auto"/>
        <w:left w:val="none" w:sz="0" w:space="0" w:color="auto"/>
        <w:bottom w:val="none" w:sz="0" w:space="0" w:color="auto"/>
        <w:right w:val="none" w:sz="0" w:space="0" w:color="auto"/>
      </w:divBdr>
      <w:divsChild>
        <w:div w:id="592862730">
          <w:marLeft w:val="0"/>
          <w:marRight w:val="0"/>
          <w:marTop w:val="0"/>
          <w:marBottom w:val="0"/>
          <w:divBdr>
            <w:top w:val="none" w:sz="0" w:space="0" w:color="auto"/>
            <w:left w:val="none" w:sz="0" w:space="0" w:color="auto"/>
            <w:bottom w:val="dotted" w:sz="6" w:space="4" w:color="DDDDDD"/>
            <w:right w:val="none" w:sz="0" w:space="0" w:color="auto"/>
          </w:divBdr>
        </w:div>
      </w:divsChild>
    </w:div>
    <w:div w:id="1411807745">
      <w:bodyDiv w:val="1"/>
      <w:marLeft w:val="0"/>
      <w:marRight w:val="0"/>
      <w:marTop w:val="0"/>
      <w:marBottom w:val="0"/>
      <w:divBdr>
        <w:top w:val="none" w:sz="0" w:space="0" w:color="auto"/>
        <w:left w:val="none" w:sz="0" w:space="0" w:color="auto"/>
        <w:bottom w:val="none" w:sz="0" w:space="0" w:color="auto"/>
        <w:right w:val="none" w:sz="0" w:space="0" w:color="auto"/>
      </w:divBdr>
    </w:div>
    <w:div w:id="1412123187">
      <w:bodyDiv w:val="1"/>
      <w:marLeft w:val="0"/>
      <w:marRight w:val="0"/>
      <w:marTop w:val="0"/>
      <w:marBottom w:val="0"/>
      <w:divBdr>
        <w:top w:val="none" w:sz="0" w:space="0" w:color="auto"/>
        <w:left w:val="none" w:sz="0" w:space="0" w:color="auto"/>
        <w:bottom w:val="none" w:sz="0" w:space="0" w:color="auto"/>
        <w:right w:val="none" w:sz="0" w:space="0" w:color="auto"/>
      </w:divBdr>
      <w:divsChild>
        <w:div w:id="850949924">
          <w:marLeft w:val="0"/>
          <w:marRight w:val="0"/>
          <w:marTop w:val="0"/>
          <w:marBottom w:val="0"/>
          <w:divBdr>
            <w:top w:val="none" w:sz="0" w:space="0" w:color="auto"/>
            <w:left w:val="none" w:sz="0" w:space="0" w:color="auto"/>
            <w:bottom w:val="dotted" w:sz="6" w:space="4" w:color="DDDDDD"/>
            <w:right w:val="none" w:sz="0" w:space="0" w:color="auto"/>
          </w:divBdr>
        </w:div>
      </w:divsChild>
    </w:div>
    <w:div w:id="1412239866">
      <w:bodyDiv w:val="1"/>
      <w:marLeft w:val="0"/>
      <w:marRight w:val="0"/>
      <w:marTop w:val="0"/>
      <w:marBottom w:val="0"/>
      <w:divBdr>
        <w:top w:val="none" w:sz="0" w:space="0" w:color="auto"/>
        <w:left w:val="none" w:sz="0" w:space="0" w:color="auto"/>
        <w:bottom w:val="none" w:sz="0" w:space="0" w:color="auto"/>
        <w:right w:val="none" w:sz="0" w:space="0" w:color="auto"/>
      </w:divBdr>
      <w:divsChild>
        <w:div w:id="1168714324">
          <w:marLeft w:val="0"/>
          <w:marRight w:val="0"/>
          <w:marTop w:val="0"/>
          <w:marBottom w:val="0"/>
          <w:divBdr>
            <w:top w:val="none" w:sz="0" w:space="0" w:color="auto"/>
            <w:left w:val="none" w:sz="0" w:space="0" w:color="auto"/>
            <w:bottom w:val="none" w:sz="0" w:space="0" w:color="auto"/>
            <w:right w:val="none" w:sz="0" w:space="0" w:color="auto"/>
          </w:divBdr>
          <w:divsChild>
            <w:div w:id="428818108">
              <w:marLeft w:val="0"/>
              <w:marRight w:val="0"/>
              <w:marTop w:val="0"/>
              <w:marBottom w:val="0"/>
              <w:divBdr>
                <w:top w:val="none" w:sz="0" w:space="0" w:color="auto"/>
                <w:left w:val="none" w:sz="0" w:space="0" w:color="auto"/>
                <w:bottom w:val="none" w:sz="0" w:space="0" w:color="auto"/>
                <w:right w:val="none" w:sz="0" w:space="0" w:color="auto"/>
              </w:divBdr>
            </w:div>
          </w:divsChild>
        </w:div>
        <w:div w:id="1982149944">
          <w:marLeft w:val="0"/>
          <w:marRight w:val="0"/>
          <w:marTop w:val="0"/>
          <w:marBottom w:val="0"/>
          <w:divBdr>
            <w:top w:val="none" w:sz="0" w:space="0" w:color="auto"/>
            <w:left w:val="none" w:sz="0" w:space="0" w:color="auto"/>
            <w:bottom w:val="none" w:sz="0" w:space="0" w:color="auto"/>
            <w:right w:val="none" w:sz="0" w:space="0" w:color="auto"/>
          </w:divBdr>
        </w:div>
        <w:div w:id="1925988832">
          <w:marLeft w:val="0"/>
          <w:marRight w:val="0"/>
          <w:marTop w:val="0"/>
          <w:marBottom w:val="0"/>
          <w:divBdr>
            <w:top w:val="none" w:sz="0" w:space="0" w:color="auto"/>
            <w:left w:val="none" w:sz="0" w:space="0" w:color="auto"/>
            <w:bottom w:val="none" w:sz="0" w:space="0" w:color="auto"/>
            <w:right w:val="none" w:sz="0" w:space="0" w:color="auto"/>
          </w:divBdr>
          <w:divsChild>
            <w:div w:id="850410546">
              <w:marLeft w:val="-225"/>
              <w:marRight w:val="-225"/>
              <w:marTop w:val="0"/>
              <w:marBottom w:val="0"/>
              <w:divBdr>
                <w:top w:val="none" w:sz="0" w:space="0" w:color="auto"/>
                <w:left w:val="none" w:sz="0" w:space="0" w:color="auto"/>
                <w:bottom w:val="none" w:sz="0" w:space="0" w:color="auto"/>
                <w:right w:val="none" w:sz="0" w:space="0" w:color="auto"/>
              </w:divBdr>
              <w:divsChild>
                <w:div w:id="407993814">
                  <w:marLeft w:val="0"/>
                  <w:marRight w:val="0"/>
                  <w:marTop w:val="0"/>
                  <w:marBottom w:val="0"/>
                  <w:divBdr>
                    <w:top w:val="none" w:sz="0" w:space="0" w:color="auto"/>
                    <w:left w:val="none" w:sz="0" w:space="0" w:color="auto"/>
                    <w:bottom w:val="none" w:sz="0" w:space="0" w:color="auto"/>
                    <w:right w:val="single" w:sz="6" w:space="0" w:color="000000"/>
                  </w:divBdr>
                  <w:divsChild>
                    <w:div w:id="171184850">
                      <w:marLeft w:val="0"/>
                      <w:marRight w:val="0"/>
                      <w:marTop w:val="0"/>
                      <w:marBottom w:val="0"/>
                      <w:divBdr>
                        <w:top w:val="none" w:sz="0" w:space="0" w:color="auto"/>
                        <w:left w:val="none" w:sz="0" w:space="0" w:color="auto"/>
                        <w:bottom w:val="none" w:sz="0" w:space="0" w:color="auto"/>
                        <w:right w:val="none" w:sz="0" w:space="0" w:color="auto"/>
                      </w:divBdr>
                      <w:divsChild>
                        <w:div w:id="847865488">
                          <w:marLeft w:val="0"/>
                          <w:marRight w:val="0"/>
                          <w:marTop w:val="0"/>
                          <w:marBottom w:val="0"/>
                          <w:divBdr>
                            <w:top w:val="none" w:sz="0" w:space="0" w:color="auto"/>
                            <w:left w:val="none" w:sz="0" w:space="0" w:color="auto"/>
                            <w:bottom w:val="none" w:sz="0" w:space="0" w:color="auto"/>
                            <w:right w:val="none" w:sz="0" w:space="0" w:color="auto"/>
                          </w:divBdr>
                        </w:div>
                        <w:div w:id="1213544187">
                          <w:marLeft w:val="0"/>
                          <w:marRight w:val="0"/>
                          <w:marTop w:val="0"/>
                          <w:marBottom w:val="0"/>
                          <w:divBdr>
                            <w:top w:val="none" w:sz="0" w:space="0" w:color="auto"/>
                            <w:left w:val="none" w:sz="0" w:space="0" w:color="auto"/>
                            <w:bottom w:val="none" w:sz="0" w:space="0" w:color="auto"/>
                            <w:right w:val="none" w:sz="0" w:space="0" w:color="auto"/>
                          </w:divBdr>
                        </w:div>
                        <w:div w:id="1634168603">
                          <w:marLeft w:val="0"/>
                          <w:marRight w:val="0"/>
                          <w:marTop w:val="0"/>
                          <w:marBottom w:val="0"/>
                          <w:divBdr>
                            <w:top w:val="none" w:sz="0" w:space="0" w:color="auto"/>
                            <w:left w:val="none" w:sz="0" w:space="0" w:color="auto"/>
                            <w:bottom w:val="none" w:sz="0" w:space="0" w:color="auto"/>
                            <w:right w:val="none" w:sz="0" w:space="0" w:color="auto"/>
                          </w:divBdr>
                        </w:div>
                        <w:div w:id="353193727">
                          <w:marLeft w:val="0"/>
                          <w:marRight w:val="0"/>
                          <w:marTop w:val="0"/>
                          <w:marBottom w:val="0"/>
                          <w:divBdr>
                            <w:top w:val="none" w:sz="0" w:space="0" w:color="auto"/>
                            <w:left w:val="none" w:sz="0" w:space="0" w:color="auto"/>
                            <w:bottom w:val="none" w:sz="0" w:space="0" w:color="auto"/>
                            <w:right w:val="none" w:sz="0" w:space="0" w:color="auto"/>
                          </w:divBdr>
                        </w:div>
                        <w:div w:id="51138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1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586326">
      <w:bodyDiv w:val="1"/>
      <w:marLeft w:val="0"/>
      <w:marRight w:val="0"/>
      <w:marTop w:val="0"/>
      <w:marBottom w:val="0"/>
      <w:divBdr>
        <w:top w:val="none" w:sz="0" w:space="0" w:color="auto"/>
        <w:left w:val="none" w:sz="0" w:space="0" w:color="auto"/>
        <w:bottom w:val="none" w:sz="0" w:space="0" w:color="auto"/>
        <w:right w:val="none" w:sz="0" w:space="0" w:color="auto"/>
      </w:divBdr>
    </w:div>
    <w:div w:id="1412653336">
      <w:bodyDiv w:val="1"/>
      <w:marLeft w:val="0"/>
      <w:marRight w:val="0"/>
      <w:marTop w:val="0"/>
      <w:marBottom w:val="0"/>
      <w:divBdr>
        <w:top w:val="none" w:sz="0" w:space="0" w:color="auto"/>
        <w:left w:val="none" w:sz="0" w:space="0" w:color="auto"/>
        <w:bottom w:val="none" w:sz="0" w:space="0" w:color="auto"/>
        <w:right w:val="none" w:sz="0" w:space="0" w:color="auto"/>
      </w:divBdr>
      <w:divsChild>
        <w:div w:id="45111464">
          <w:marLeft w:val="0"/>
          <w:marRight w:val="0"/>
          <w:marTop w:val="0"/>
          <w:marBottom w:val="0"/>
          <w:divBdr>
            <w:top w:val="none" w:sz="0" w:space="0" w:color="auto"/>
            <w:left w:val="none" w:sz="0" w:space="0" w:color="auto"/>
            <w:bottom w:val="none" w:sz="0" w:space="0" w:color="auto"/>
            <w:right w:val="none" w:sz="0" w:space="0" w:color="auto"/>
          </w:divBdr>
        </w:div>
        <w:div w:id="1865245973">
          <w:marLeft w:val="0"/>
          <w:marRight w:val="0"/>
          <w:marTop w:val="0"/>
          <w:marBottom w:val="0"/>
          <w:divBdr>
            <w:top w:val="none" w:sz="0" w:space="0" w:color="auto"/>
            <w:left w:val="none" w:sz="0" w:space="0" w:color="auto"/>
            <w:bottom w:val="none" w:sz="0" w:space="0" w:color="auto"/>
            <w:right w:val="none" w:sz="0" w:space="0" w:color="auto"/>
          </w:divBdr>
        </w:div>
      </w:divsChild>
    </w:div>
    <w:div w:id="1413116815">
      <w:bodyDiv w:val="1"/>
      <w:marLeft w:val="0"/>
      <w:marRight w:val="0"/>
      <w:marTop w:val="0"/>
      <w:marBottom w:val="0"/>
      <w:divBdr>
        <w:top w:val="none" w:sz="0" w:space="0" w:color="auto"/>
        <w:left w:val="none" w:sz="0" w:space="0" w:color="auto"/>
        <w:bottom w:val="none" w:sz="0" w:space="0" w:color="auto"/>
        <w:right w:val="none" w:sz="0" w:space="0" w:color="auto"/>
      </w:divBdr>
      <w:divsChild>
        <w:div w:id="351104154">
          <w:marLeft w:val="0"/>
          <w:marRight w:val="0"/>
          <w:marTop w:val="0"/>
          <w:marBottom w:val="150"/>
          <w:divBdr>
            <w:top w:val="none" w:sz="0" w:space="0" w:color="auto"/>
            <w:left w:val="none" w:sz="0" w:space="0" w:color="auto"/>
            <w:bottom w:val="none" w:sz="0" w:space="0" w:color="auto"/>
            <w:right w:val="none" w:sz="0" w:space="0" w:color="auto"/>
          </w:divBdr>
        </w:div>
        <w:div w:id="389963846">
          <w:marLeft w:val="0"/>
          <w:marRight w:val="0"/>
          <w:marTop w:val="0"/>
          <w:marBottom w:val="150"/>
          <w:divBdr>
            <w:top w:val="none" w:sz="0" w:space="0" w:color="auto"/>
            <w:left w:val="none" w:sz="0" w:space="0" w:color="auto"/>
            <w:bottom w:val="none" w:sz="0" w:space="0" w:color="auto"/>
            <w:right w:val="none" w:sz="0" w:space="0" w:color="auto"/>
          </w:divBdr>
        </w:div>
        <w:div w:id="451677072">
          <w:marLeft w:val="0"/>
          <w:marRight w:val="0"/>
          <w:marTop w:val="0"/>
          <w:marBottom w:val="150"/>
          <w:divBdr>
            <w:top w:val="none" w:sz="0" w:space="0" w:color="auto"/>
            <w:left w:val="none" w:sz="0" w:space="0" w:color="auto"/>
            <w:bottom w:val="none" w:sz="0" w:space="0" w:color="auto"/>
            <w:right w:val="none" w:sz="0" w:space="0" w:color="auto"/>
          </w:divBdr>
        </w:div>
        <w:div w:id="548424114">
          <w:marLeft w:val="0"/>
          <w:marRight w:val="0"/>
          <w:marTop w:val="0"/>
          <w:marBottom w:val="150"/>
          <w:divBdr>
            <w:top w:val="none" w:sz="0" w:space="0" w:color="auto"/>
            <w:left w:val="none" w:sz="0" w:space="0" w:color="auto"/>
            <w:bottom w:val="none" w:sz="0" w:space="0" w:color="auto"/>
            <w:right w:val="none" w:sz="0" w:space="0" w:color="auto"/>
          </w:divBdr>
        </w:div>
        <w:div w:id="612789266">
          <w:marLeft w:val="0"/>
          <w:marRight w:val="0"/>
          <w:marTop w:val="0"/>
          <w:marBottom w:val="150"/>
          <w:divBdr>
            <w:top w:val="none" w:sz="0" w:space="0" w:color="auto"/>
            <w:left w:val="none" w:sz="0" w:space="0" w:color="auto"/>
            <w:bottom w:val="none" w:sz="0" w:space="0" w:color="auto"/>
            <w:right w:val="none" w:sz="0" w:space="0" w:color="auto"/>
          </w:divBdr>
        </w:div>
        <w:div w:id="912272832">
          <w:marLeft w:val="0"/>
          <w:marRight w:val="0"/>
          <w:marTop w:val="0"/>
          <w:marBottom w:val="150"/>
          <w:divBdr>
            <w:top w:val="none" w:sz="0" w:space="0" w:color="auto"/>
            <w:left w:val="none" w:sz="0" w:space="0" w:color="auto"/>
            <w:bottom w:val="none" w:sz="0" w:space="0" w:color="auto"/>
            <w:right w:val="none" w:sz="0" w:space="0" w:color="auto"/>
          </w:divBdr>
        </w:div>
        <w:div w:id="1120101785">
          <w:marLeft w:val="0"/>
          <w:marRight w:val="0"/>
          <w:marTop w:val="0"/>
          <w:marBottom w:val="150"/>
          <w:divBdr>
            <w:top w:val="none" w:sz="0" w:space="0" w:color="auto"/>
            <w:left w:val="none" w:sz="0" w:space="0" w:color="auto"/>
            <w:bottom w:val="none" w:sz="0" w:space="0" w:color="auto"/>
            <w:right w:val="none" w:sz="0" w:space="0" w:color="auto"/>
          </w:divBdr>
        </w:div>
        <w:div w:id="1131090916">
          <w:marLeft w:val="0"/>
          <w:marRight w:val="0"/>
          <w:marTop w:val="0"/>
          <w:marBottom w:val="150"/>
          <w:divBdr>
            <w:top w:val="none" w:sz="0" w:space="0" w:color="auto"/>
            <w:left w:val="none" w:sz="0" w:space="0" w:color="auto"/>
            <w:bottom w:val="none" w:sz="0" w:space="0" w:color="auto"/>
            <w:right w:val="none" w:sz="0" w:space="0" w:color="auto"/>
          </w:divBdr>
        </w:div>
        <w:div w:id="1200507947">
          <w:marLeft w:val="0"/>
          <w:marRight w:val="0"/>
          <w:marTop w:val="0"/>
          <w:marBottom w:val="150"/>
          <w:divBdr>
            <w:top w:val="none" w:sz="0" w:space="0" w:color="auto"/>
            <w:left w:val="none" w:sz="0" w:space="0" w:color="auto"/>
            <w:bottom w:val="none" w:sz="0" w:space="0" w:color="auto"/>
            <w:right w:val="none" w:sz="0" w:space="0" w:color="auto"/>
          </w:divBdr>
        </w:div>
        <w:div w:id="1681161499">
          <w:marLeft w:val="0"/>
          <w:marRight w:val="0"/>
          <w:marTop w:val="0"/>
          <w:marBottom w:val="150"/>
          <w:divBdr>
            <w:top w:val="none" w:sz="0" w:space="0" w:color="auto"/>
            <w:left w:val="none" w:sz="0" w:space="0" w:color="auto"/>
            <w:bottom w:val="none" w:sz="0" w:space="0" w:color="auto"/>
            <w:right w:val="none" w:sz="0" w:space="0" w:color="auto"/>
          </w:divBdr>
        </w:div>
        <w:div w:id="2002195792">
          <w:marLeft w:val="0"/>
          <w:marRight w:val="0"/>
          <w:marTop w:val="0"/>
          <w:marBottom w:val="150"/>
          <w:divBdr>
            <w:top w:val="none" w:sz="0" w:space="0" w:color="auto"/>
            <w:left w:val="none" w:sz="0" w:space="0" w:color="auto"/>
            <w:bottom w:val="none" w:sz="0" w:space="0" w:color="auto"/>
            <w:right w:val="none" w:sz="0" w:space="0" w:color="auto"/>
          </w:divBdr>
        </w:div>
        <w:div w:id="2007122254">
          <w:marLeft w:val="0"/>
          <w:marRight w:val="0"/>
          <w:marTop w:val="0"/>
          <w:marBottom w:val="150"/>
          <w:divBdr>
            <w:top w:val="none" w:sz="0" w:space="0" w:color="auto"/>
            <w:left w:val="none" w:sz="0" w:space="0" w:color="auto"/>
            <w:bottom w:val="none" w:sz="0" w:space="0" w:color="auto"/>
            <w:right w:val="none" w:sz="0" w:space="0" w:color="auto"/>
          </w:divBdr>
        </w:div>
      </w:divsChild>
    </w:div>
    <w:div w:id="1413353160">
      <w:bodyDiv w:val="1"/>
      <w:marLeft w:val="0"/>
      <w:marRight w:val="0"/>
      <w:marTop w:val="0"/>
      <w:marBottom w:val="0"/>
      <w:divBdr>
        <w:top w:val="none" w:sz="0" w:space="0" w:color="auto"/>
        <w:left w:val="none" w:sz="0" w:space="0" w:color="auto"/>
        <w:bottom w:val="none" w:sz="0" w:space="0" w:color="auto"/>
        <w:right w:val="none" w:sz="0" w:space="0" w:color="auto"/>
      </w:divBdr>
      <w:divsChild>
        <w:div w:id="626818849">
          <w:marLeft w:val="0"/>
          <w:marRight w:val="0"/>
          <w:marTop w:val="0"/>
          <w:marBottom w:val="0"/>
          <w:divBdr>
            <w:top w:val="none" w:sz="0" w:space="0" w:color="auto"/>
            <w:left w:val="none" w:sz="0" w:space="0" w:color="auto"/>
            <w:bottom w:val="none" w:sz="0" w:space="0" w:color="auto"/>
            <w:right w:val="none" w:sz="0" w:space="0" w:color="auto"/>
          </w:divBdr>
          <w:divsChild>
            <w:div w:id="129591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504386">
      <w:bodyDiv w:val="1"/>
      <w:marLeft w:val="0"/>
      <w:marRight w:val="0"/>
      <w:marTop w:val="0"/>
      <w:marBottom w:val="0"/>
      <w:divBdr>
        <w:top w:val="none" w:sz="0" w:space="0" w:color="auto"/>
        <w:left w:val="none" w:sz="0" w:space="0" w:color="auto"/>
        <w:bottom w:val="none" w:sz="0" w:space="0" w:color="auto"/>
        <w:right w:val="none" w:sz="0" w:space="0" w:color="auto"/>
      </w:divBdr>
      <w:divsChild>
        <w:div w:id="306473464">
          <w:marLeft w:val="0"/>
          <w:marRight w:val="0"/>
          <w:marTop w:val="0"/>
          <w:marBottom w:val="150"/>
          <w:divBdr>
            <w:top w:val="none" w:sz="0" w:space="0" w:color="auto"/>
            <w:left w:val="none" w:sz="0" w:space="0" w:color="auto"/>
            <w:bottom w:val="none" w:sz="0" w:space="0" w:color="auto"/>
            <w:right w:val="none" w:sz="0" w:space="0" w:color="auto"/>
          </w:divBdr>
        </w:div>
        <w:div w:id="551356259">
          <w:marLeft w:val="0"/>
          <w:marRight w:val="0"/>
          <w:marTop w:val="0"/>
          <w:marBottom w:val="150"/>
          <w:divBdr>
            <w:top w:val="none" w:sz="0" w:space="0" w:color="auto"/>
            <w:left w:val="none" w:sz="0" w:space="0" w:color="auto"/>
            <w:bottom w:val="none" w:sz="0" w:space="0" w:color="auto"/>
            <w:right w:val="none" w:sz="0" w:space="0" w:color="auto"/>
          </w:divBdr>
        </w:div>
        <w:div w:id="1131049661">
          <w:marLeft w:val="0"/>
          <w:marRight w:val="0"/>
          <w:marTop w:val="0"/>
          <w:marBottom w:val="150"/>
          <w:divBdr>
            <w:top w:val="none" w:sz="0" w:space="0" w:color="auto"/>
            <w:left w:val="none" w:sz="0" w:space="0" w:color="auto"/>
            <w:bottom w:val="none" w:sz="0" w:space="0" w:color="auto"/>
            <w:right w:val="none" w:sz="0" w:space="0" w:color="auto"/>
          </w:divBdr>
        </w:div>
        <w:div w:id="1513570928">
          <w:marLeft w:val="0"/>
          <w:marRight w:val="0"/>
          <w:marTop w:val="0"/>
          <w:marBottom w:val="150"/>
          <w:divBdr>
            <w:top w:val="none" w:sz="0" w:space="0" w:color="auto"/>
            <w:left w:val="none" w:sz="0" w:space="0" w:color="auto"/>
            <w:bottom w:val="none" w:sz="0" w:space="0" w:color="auto"/>
            <w:right w:val="none" w:sz="0" w:space="0" w:color="auto"/>
          </w:divBdr>
          <w:divsChild>
            <w:div w:id="1695299266">
              <w:marLeft w:val="0"/>
              <w:marRight w:val="0"/>
              <w:marTop w:val="0"/>
              <w:marBottom w:val="150"/>
              <w:divBdr>
                <w:top w:val="none" w:sz="0" w:space="0" w:color="auto"/>
                <w:left w:val="none" w:sz="0" w:space="0" w:color="auto"/>
                <w:bottom w:val="none" w:sz="0" w:space="0" w:color="auto"/>
                <w:right w:val="none" w:sz="0" w:space="0" w:color="auto"/>
              </w:divBdr>
            </w:div>
            <w:div w:id="1720395961">
              <w:marLeft w:val="0"/>
              <w:marRight w:val="0"/>
              <w:marTop w:val="0"/>
              <w:marBottom w:val="150"/>
              <w:divBdr>
                <w:top w:val="none" w:sz="0" w:space="0" w:color="auto"/>
                <w:left w:val="none" w:sz="0" w:space="0" w:color="auto"/>
                <w:bottom w:val="none" w:sz="0" w:space="0" w:color="auto"/>
                <w:right w:val="none" w:sz="0" w:space="0" w:color="auto"/>
              </w:divBdr>
            </w:div>
          </w:divsChild>
        </w:div>
        <w:div w:id="1586650545">
          <w:marLeft w:val="0"/>
          <w:marRight w:val="0"/>
          <w:marTop w:val="0"/>
          <w:marBottom w:val="150"/>
          <w:divBdr>
            <w:top w:val="none" w:sz="0" w:space="0" w:color="auto"/>
            <w:left w:val="none" w:sz="0" w:space="0" w:color="auto"/>
            <w:bottom w:val="none" w:sz="0" w:space="0" w:color="auto"/>
            <w:right w:val="none" w:sz="0" w:space="0" w:color="auto"/>
          </w:divBdr>
        </w:div>
        <w:div w:id="1665745640">
          <w:marLeft w:val="0"/>
          <w:marRight w:val="0"/>
          <w:marTop w:val="0"/>
          <w:marBottom w:val="150"/>
          <w:divBdr>
            <w:top w:val="none" w:sz="0" w:space="0" w:color="auto"/>
            <w:left w:val="none" w:sz="0" w:space="0" w:color="auto"/>
            <w:bottom w:val="none" w:sz="0" w:space="0" w:color="auto"/>
            <w:right w:val="none" w:sz="0" w:space="0" w:color="auto"/>
          </w:divBdr>
        </w:div>
        <w:div w:id="1773938432">
          <w:marLeft w:val="0"/>
          <w:marRight w:val="0"/>
          <w:marTop w:val="0"/>
          <w:marBottom w:val="150"/>
          <w:divBdr>
            <w:top w:val="none" w:sz="0" w:space="0" w:color="auto"/>
            <w:left w:val="none" w:sz="0" w:space="0" w:color="auto"/>
            <w:bottom w:val="none" w:sz="0" w:space="0" w:color="auto"/>
            <w:right w:val="none" w:sz="0" w:space="0" w:color="auto"/>
          </w:divBdr>
        </w:div>
        <w:div w:id="1841192690">
          <w:marLeft w:val="0"/>
          <w:marRight w:val="0"/>
          <w:marTop w:val="0"/>
          <w:marBottom w:val="150"/>
          <w:divBdr>
            <w:top w:val="none" w:sz="0" w:space="0" w:color="auto"/>
            <w:left w:val="none" w:sz="0" w:space="0" w:color="auto"/>
            <w:bottom w:val="none" w:sz="0" w:space="0" w:color="auto"/>
            <w:right w:val="none" w:sz="0" w:space="0" w:color="auto"/>
          </w:divBdr>
        </w:div>
        <w:div w:id="1983728032">
          <w:marLeft w:val="0"/>
          <w:marRight w:val="0"/>
          <w:marTop w:val="0"/>
          <w:marBottom w:val="150"/>
          <w:divBdr>
            <w:top w:val="none" w:sz="0" w:space="0" w:color="auto"/>
            <w:left w:val="none" w:sz="0" w:space="0" w:color="auto"/>
            <w:bottom w:val="none" w:sz="0" w:space="0" w:color="auto"/>
            <w:right w:val="none" w:sz="0" w:space="0" w:color="auto"/>
          </w:divBdr>
          <w:divsChild>
            <w:div w:id="106968194">
              <w:marLeft w:val="0"/>
              <w:marRight w:val="0"/>
              <w:marTop w:val="0"/>
              <w:marBottom w:val="150"/>
              <w:divBdr>
                <w:top w:val="none" w:sz="0" w:space="0" w:color="auto"/>
                <w:left w:val="none" w:sz="0" w:space="0" w:color="auto"/>
                <w:bottom w:val="none" w:sz="0" w:space="0" w:color="auto"/>
                <w:right w:val="none" w:sz="0" w:space="0" w:color="auto"/>
              </w:divBdr>
            </w:div>
            <w:div w:id="1274092218">
              <w:marLeft w:val="0"/>
              <w:marRight w:val="0"/>
              <w:marTop w:val="0"/>
              <w:marBottom w:val="150"/>
              <w:divBdr>
                <w:top w:val="none" w:sz="0" w:space="0" w:color="auto"/>
                <w:left w:val="none" w:sz="0" w:space="0" w:color="auto"/>
                <w:bottom w:val="none" w:sz="0" w:space="0" w:color="auto"/>
                <w:right w:val="none" w:sz="0" w:space="0" w:color="auto"/>
              </w:divBdr>
            </w:div>
            <w:div w:id="1586303260">
              <w:marLeft w:val="0"/>
              <w:marRight w:val="0"/>
              <w:marTop w:val="0"/>
              <w:marBottom w:val="150"/>
              <w:divBdr>
                <w:top w:val="none" w:sz="0" w:space="0" w:color="auto"/>
                <w:left w:val="none" w:sz="0" w:space="0" w:color="auto"/>
                <w:bottom w:val="none" w:sz="0" w:space="0" w:color="auto"/>
                <w:right w:val="none" w:sz="0" w:space="0" w:color="auto"/>
              </w:divBdr>
            </w:div>
            <w:div w:id="1915891689">
              <w:marLeft w:val="0"/>
              <w:marRight w:val="0"/>
              <w:marTop w:val="0"/>
              <w:marBottom w:val="150"/>
              <w:divBdr>
                <w:top w:val="none" w:sz="0" w:space="0" w:color="auto"/>
                <w:left w:val="none" w:sz="0" w:space="0" w:color="auto"/>
                <w:bottom w:val="none" w:sz="0" w:space="0" w:color="auto"/>
                <w:right w:val="none" w:sz="0" w:space="0" w:color="auto"/>
              </w:divBdr>
            </w:div>
            <w:div w:id="1916353836">
              <w:marLeft w:val="0"/>
              <w:marRight w:val="0"/>
              <w:marTop w:val="0"/>
              <w:marBottom w:val="150"/>
              <w:divBdr>
                <w:top w:val="none" w:sz="0" w:space="0" w:color="auto"/>
                <w:left w:val="none" w:sz="0" w:space="0" w:color="auto"/>
                <w:bottom w:val="none" w:sz="0" w:space="0" w:color="auto"/>
                <w:right w:val="none" w:sz="0" w:space="0" w:color="auto"/>
              </w:divBdr>
            </w:div>
            <w:div w:id="20152609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13508798">
      <w:bodyDiv w:val="1"/>
      <w:marLeft w:val="0"/>
      <w:marRight w:val="0"/>
      <w:marTop w:val="0"/>
      <w:marBottom w:val="0"/>
      <w:divBdr>
        <w:top w:val="none" w:sz="0" w:space="0" w:color="auto"/>
        <w:left w:val="none" w:sz="0" w:space="0" w:color="auto"/>
        <w:bottom w:val="none" w:sz="0" w:space="0" w:color="auto"/>
        <w:right w:val="none" w:sz="0" w:space="0" w:color="auto"/>
      </w:divBdr>
      <w:divsChild>
        <w:div w:id="433745436">
          <w:marLeft w:val="0"/>
          <w:marRight w:val="0"/>
          <w:marTop w:val="150"/>
          <w:marBottom w:val="0"/>
          <w:divBdr>
            <w:top w:val="none" w:sz="0" w:space="0" w:color="auto"/>
            <w:left w:val="none" w:sz="0" w:space="0" w:color="auto"/>
            <w:bottom w:val="none" w:sz="0" w:space="0" w:color="auto"/>
            <w:right w:val="none" w:sz="0" w:space="0" w:color="auto"/>
          </w:divBdr>
          <w:divsChild>
            <w:div w:id="1348676331">
              <w:marLeft w:val="0"/>
              <w:marRight w:val="0"/>
              <w:marTop w:val="0"/>
              <w:marBottom w:val="0"/>
              <w:divBdr>
                <w:top w:val="none" w:sz="0" w:space="0" w:color="auto"/>
                <w:left w:val="none" w:sz="0" w:space="0" w:color="auto"/>
                <w:bottom w:val="none" w:sz="0" w:space="0" w:color="auto"/>
                <w:right w:val="none" w:sz="0" w:space="0" w:color="auto"/>
              </w:divBdr>
              <w:divsChild>
                <w:div w:id="1038821868">
                  <w:marLeft w:val="75"/>
                  <w:marRight w:val="0"/>
                  <w:marTop w:val="0"/>
                  <w:marBottom w:val="0"/>
                  <w:divBdr>
                    <w:top w:val="none" w:sz="0" w:space="0" w:color="auto"/>
                    <w:left w:val="none" w:sz="0" w:space="0" w:color="auto"/>
                    <w:bottom w:val="none" w:sz="0" w:space="0" w:color="auto"/>
                    <w:right w:val="none" w:sz="0" w:space="0" w:color="auto"/>
                  </w:divBdr>
                </w:div>
                <w:div w:id="118200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287449">
          <w:marLeft w:val="0"/>
          <w:marRight w:val="0"/>
          <w:marTop w:val="0"/>
          <w:marBottom w:val="0"/>
          <w:divBdr>
            <w:top w:val="none" w:sz="0" w:space="0" w:color="auto"/>
            <w:left w:val="none" w:sz="0" w:space="0" w:color="auto"/>
            <w:bottom w:val="none" w:sz="0" w:space="0" w:color="auto"/>
            <w:right w:val="none" w:sz="0" w:space="0" w:color="auto"/>
          </w:divBdr>
          <w:divsChild>
            <w:div w:id="1175070162">
              <w:marLeft w:val="0"/>
              <w:marRight w:val="0"/>
              <w:marTop w:val="0"/>
              <w:marBottom w:val="0"/>
              <w:divBdr>
                <w:top w:val="none" w:sz="0" w:space="0" w:color="auto"/>
                <w:left w:val="none" w:sz="0" w:space="0" w:color="auto"/>
                <w:bottom w:val="none" w:sz="0" w:space="0" w:color="auto"/>
                <w:right w:val="none" w:sz="0" w:space="0" w:color="auto"/>
              </w:divBdr>
            </w:div>
            <w:div w:id="1523667846">
              <w:marLeft w:val="0"/>
              <w:marRight w:val="0"/>
              <w:marTop w:val="0"/>
              <w:marBottom w:val="0"/>
              <w:divBdr>
                <w:top w:val="none" w:sz="0" w:space="0" w:color="auto"/>
                <w:left w:val="none" w:sz="0" w:space="0" w:color="auto"/>
                <w:bottom w:val="none" w:sz="0" w:space="0" w:color="auto"/>
                <w:right w:val="none" w:sz="0" w:space="0" w:color="auto"/>
              </w:divBdr>
              <w:divsChild>
                <w:div w:id="1126968762">
                  <w:marLeft w:val="0"/>
                  <w:marRight w:val="0"/>
                  <w:marTop w:val="0"/>
                  <w:marBottom w:val="0"/>
                  <w:divBdr>
                    <w:top w:val="none" w:sz="0" w:space="0" w:color="auto"/>
                    <w:left w:val="none" w:sz="0" w:space="0" w:color="auto"/>
                    <w:bottom w:val="none" w:sz="0" w:space="0" w:color="auto"/>
                    <w:right w:val="none" w:sz="0" w:space="0" w:color="auto"/>
                  </w:divBdr>
                  <w:divsChild>
                    <w:div w:id="961964224">
                      <w:marLeft w:val="0"/>
                      <w:marRight w:val="0"/>
                      <w:marTop w:val="0"/>
                      <w:marBottom w:val="0"/>
                      <w:divBdr>
                        <w:top w:val="none" w:sz="0" w:space="0" w:color="auto"/>
                        <w:left w:val="none" w:sz="0" w:space="0" w:color="auto"/>
                        <w:bottom w:val="none" w:sz="0" w:space="0" w:color="auto"/>
                        <w:right w:val="none" w:sz="0" w:space="0" w:color="auto"/>
                      </w:divBdr>
                      <w:divsChild>
                        <w:div w:id="169610272">
                          <w:marLeft w:val="0"/>
                          <w:marRight w:val="0"/>
                          <w:marTop w:val="0"/>
                          <w:marBottom w:val="0"/>
                          <w:divBdr>
                            <w:top w:val="none" w:sz="0" w:space="0" w:color="auto"/>
                            <w:left w:val="none" w:sz="0" w:space="0" w:color="auto"/>
                            <w:bottom w:val="none" w:sz="0" w:space="0" w:color="auto"/>
                            <w:right w:val="none" w:sz="0" w:space="0" w:color="auto"/>
                          </w:divBdr>
                          <w:divsChild>
                            <w:div w:id="193347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54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61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967013">
      <w:bodyDiv w:val="1"/>
      <w:marLeft w:val="0"/>
      <w:marRight w:val="0"/>
      <w:marTop w:val="0"/>
      <w:marBottom w:val="0"/>
      <w:divBdr>
        <w:top w:val="none" w:sz="0" w:space="0" w:color="auto"/>
        <w:left w:val="none" w:sz="0" w:space="0" w:color="auto"/>
        <w:bottom w:val="none" w:sz="0" w:space="0" w:color="auto"/>
        <w:right w:val="none" w:sz="0" w:space="0" w:color="auto"/>
      </w:divBdr>
    </w:div>
    <w:div w:id="1414013809">
      <w:bodyDiv w:val="1"/>
      <w:marLeft w:val="0"/>
      <w:marRight w:val="0"/>
      <w:marTop w:val="0"/>
      <w:marBottom w:val="0"/>
      <w:divBdr>
        <w:top w:val="none" w:sz="0" w:space="0" w:color="auto"/>
        <w:left w:val="none" w:sz="0" w:space="0" w:color="auto"/>
        <w:bottom w:val="none" w:sz="0" w:space="0" w:color="auto"/>
        <w:right w:val="none" w:sz="0" w:space="0" w:color="auto"/>
      </w:divBdr>
    </w:div>
    <w:div w:id="1414014287">
      <w:bodyDiv w:val="1"/>
      <w:marLeft w:val="0"/>
      <w:marRight w:val="0"/>
      <w:marTop w:val="0"/>
      <w:marBottom w:val="0"/>
      <w:divBdr>
        <w:top w:val="none" w:sz="0" w:space="0" w:color="auto"/>
        <w:left w:val="none" w:sz="0" w:space="0" w:color="auto"/>
        <w:bottom w:val="none" w:sz="0" w:space="0" w:color="auto"/>
        <w:right w:val="none" w:sz="0" w:space="0" w:color="auto"/>
      </w:divBdr>
      <w:divsChild>
        <w:div w:id="215893019">
          <w:marLeft w:val="0"/>
          <w:marRight w:val="0"/>
          <w:marTop w:val="0"/>
          <w:marBottom w:val="0"/>
          <w:divBdr>
            <w:top w:val="none" w:sz="0" w:space="0" w:color="auto"/>
            <w:left w:val="none" w:sz="0" w:space="0" w:color="auto"/>
            <w:bottom w:val="dotted" w:sz="6" w:space="4" w:color="DDDDDD"/>
            <w:right w:val="none" w:sz="0" w:space="0" w:color="auto"/>
          </w:divBdr>
        </w:div>
      </w:divsChild>
    </w:div>
    <w:div w:id="1414276150">
      <w:bodyDiv w:val="1"/>
      <w:marLeft w:val="0"/>
      <w:marRight w:val="0"/>
      <w:marTop w:val="0"/>
      <w:marBottom w:val="0"/>
      <w:divBdr>
        <w:top w:val="none" w:sz="0" w:space="0" w:color="auto"/>
        <w:left w:val="none" w:sz="0" w:space="0" w:color="auto"/>
        <w:bottom w:val="none" w:sz="0" w:space="0" w:color="auto"/>
        <w:right w:val="none" w:sz="0" w:space="0" w:color="auto"/>
      </w:divBdr>
      <w:divsChild>
        <w:div w:id="646668931">
          <w:marLeft w:val="0"/>
          <w:marRight w:val="0"/>
          <w:marTop w:val="0"/>
          <w:marBottom w:val="0"/>
          <w:divBdr>
            <w:top w:val="none" w:sz="0" w:space="0" w:color="auto"/>
            <w:left w:val="none" w:sz="0" w:space="0" w:color="auto"/>
            <w:bottom w:val="dotted" w:sz="6" w:space="4" w:color="DDDDDD"/>
            <w:right w:val="none" w:sz="0" w:space="0" w:color="auto"/>
          </w:divBdr>
          <w:divsChild>
            <w:div w:id="45102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401100">
      <w:bodyDiv w:val="1"/>
      <w:marLeft w:val="0"/>
      <w:marRight w:val="0"/>
      <w:marTop w:val="0"/>
      <w:marBottom w:val="0"/>
      <w:divBdr>
        <w:top w:val="none" w:sz="0" w:space="0" w:color="auto"/>
        <w:left w:val="none" w:sz="0" w:space="0" w:color="auto"/>
        <w:bottom w:val="none" w:sz="0" w:space="0" w:color="auto"/>
        <w:right w:val="none" w:sz="0" w:space="0" w:color="auto"/>
      </w:divBdr>
    </w:div>
    <w:div w:id="1414623545">
      <w:bodyDiv w:val="1"/>
      <w:marLeft w:val="0"/>
      <w:marRight w:val="0"/>
      <w:marTop w:val="0"/>
      <w:marBottom w:val="0"/>
      <w:divBdr>
        <w:top w:val="none" w:sz="0" w:space="0" w:color="auto"/>
        <w:left w:val="none" w:sz="0" w:space="0" w:color="auto"/>
        <w:bottom w:val="none" w:sz="0" w:space="0" w:color="auto"/>
        <w:right w:val="none" w:sz="0" w:space="0" w:color="auto"/>
      </w:divBdr>
    </w:div>
    <w:div w:id="1415011285">
      <w:bodyDiv w:val="1"/>
      <w:marLeft w:val="0"/>
      <w:marRight w:val="0"/>
      <w:marTop w:val="0"/>
      <w:marBottom w:val="0"/>
      <w:divBdr>
        <w:top w:val="none" w:sz="0" w:space="0" w:color="auto"/>
        <w:left w:val="none" w:sz="0" w:space="0" w:color="auto"/>
        <w:bottom w:val="none" w:sz="0" w:space="0" w:color="auto"/>
        <w:right w:val="none" w:sz="0" w:space="0" w:color="auto"/>
      </w:divBdr>
      <w:divsChild>
        <w:div w:id="544487623">
          <w:marLeft w:val="0"/>
          <w:marRight w:val="0"/>
          <w:marTop w:val="0"/>
          <w:marBottom w:val="0"/>
          <w:divBdr>
            <w:top w:val="none" w:sz="0" w:space="0" w:color="auto"/>
            <w:left w:val="none" w:sz="0" w:space="0" w:color="auto"/>
            <w:bottom w:val="dotted" w:sz="6" w:space="4" w:color="DDDDDD"/>
            <w:right w:val="none" w:sz="0" w:space="0" w:color="auto"/>
          </w:divBdr>
          <w:divsChild>
            <w:div w:id="43811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514234">
      <w:bodyDiv w:val="1"/>
      <w:marLeft w:val="0"/>
      <w:marRight w:val="0"/>
      <w:marTop w:val="0"/>
      <w:marBottom w:val="0"/>
      <w:divBdr>
        <w:top w:val="none" w:sz="0" w:space="0" w:color="auto"/>
        <w:left w:val="none" w:sz="0" w:space="0" w:color="auto"/>
        <w:bottom w:val="none" w:sz="0" w:space="0" w:color="auto"/>
        <w:right w:val="none" w:sz="0" w:space="0" w:color="auto"/>
      </w:divBdr>
      <w:divsChild>
        <w:div w:id="1136290926">
          <w:marLeft w:val="0"/>
          <w:marRight w:val="0"/>
          <w:marTop w:val="0"/>
          <w:marBottom w:val="0"/>
          <w:divBdr>
            <w:top w:val="none" w:sz="0" w:space="0" w:color="auto"/>
            <w:left w:val="none" w:sz="0" w:space="0" w:color="auto"/>
            <w:bottom w:val="none" w:sz="0" w:space="0" w:color="auto"/>
            <w:right w:val="none" w:sz="0" w:space="0" w:color="auto"/>
          </w:divBdr>
          <w:divsChild>
            <w:div w:id="1457603016">
              <w:marLeft w:val="0"/>
              <w:marRight w:val="0"/>
              <w:marTop w:val="225"/>
              <w:marBottom w:val="225"/>
              <w:divBdr>
                <w:top w:val="none" w:sz="0" w:space="0" w:color="auto"/>
                <w:left w:val="none" w:sz="0" w:space="0" w:color="auto"/>
                <w:bottom w:val="none" w:sz="0" w:space="0" w:color="auto"/>
                <w:right w:val="none" w:sz="0" w:space="0" w:color="auto"/>
              </w:divBdr>
            </w:div>
          </w:divsChild>
        </w:div>
        <w:div w:id="1167087398">
          <w:marLeft w:val="0"/>
          <w:marRight w:val="0"/>
          <w:marTop w:val="0"/>
          <w:marBottom w:val="150"/>
          <w:divBdr>
            <w:top w:val="none" w:sz="0" w:space="0" w:color="auto"/>
            <w:left w:val="none" w:sz="0" w:space="0" w:color="auto"/>
            <w:bottom w:val="none" w:sz="0" w:space="0" w:color="auto"/>
            <w:right w:val="none" w:sz="0" w:space="0" w:color="auto"/>
          </w:divBdr>
          <w:divsChild>
            <w:div w:id="1865285720">
              <w:marLeft w:val="0"/>
              <w:marRight w:val="0"/>
              <w:marTop w:val="0"/>
              <w:marBottom w:val="0"/>
              <w:divBdr>
                <w:top w:val="none" w:sz="0" w:space="0" w:color="auto"/>
                <w:left w:val="none" w:sz="0" w:space="0" w:color="auto"/>
                <w:bottom w:val="none" w:sz="0" w:space="0" w:color="auto"/>
                <w:right w:val="none" w:sz="0" w:space="0" w:color="auto"/>
              </w:divBdr>
              <w:divsChild>
                <w:div w:id="27001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443794">
          <w:marLeft w:val="0"/>
          <w:marRight w:val="0"/>
          <w:marTop w:val="0"/>
          <w:marBottom w:val="150"/>
          <w:divBdr>
            <w:top w:val="none" w:sz="0" w:space="0" w:color="auto"/>
            <w:left w:val="none" w:sz="0" w:space="0" w:color="auto"/>
            <w:bottom w:val="none" w:sz="0" w:space="0" w:color="auto"/>
            <w:right w:val="none" w:sz="0" w:space="0" w:color="auto"/>
          </w:divBdr>
        </w:div>
      </w:divsChild>
    </w:div>
    <w:div w:id="1415933616">
      <w:bodyDiv w:val="1"/>
      <w:marLeft w:val="0"/>
      <w:marRight w:val="0"/>
      <w:marTop w:val="0"/>
      <w:marBottom w:val="0"/>
      <w:divBdr>
        <w:top w:val="none" w:sz="0" w:space="0" w:color="auto"/>
        <w:left w:val="none" w:sz="0" w:space="0" w:color="auto"/>
        <w:bottom w:val="none" w:sz="0" w:space="0" w:color="auto"/>
        <w:right w:val="none" w:sz="0" w:space="0" w:color="auto"/>
      </w:divBdr>
      <w:divsChild>
        <w:div w:id="1262951643">
          <w:marLeft w:val="0"/>
          <w:marRight w:val="0"/>
          <w:marTop w:val="0"/>
          <w:marBottom w:val="150"/>
          <w:divBdr>
            <w:top w:val="none" w:sz="0" w:space="0" w:color="auto"/>
            <w:left w:val="none" w:sz="0" w:space="0" w:color="auto"/>
            <w:bottom w:val="none" w:sz="0" w:space="0" w:color="auto"/>
            <w:right w:val="none" w:sz="0" w:space="0" w:color="auto"/>
          </w:divBdr>
        </w:div>
        <w:div w:id="1881746624">
          <w:marLeft w:val="0"/>
          <w:marRight w:val="0"/>
          <w:marTop w:val="0"/>
          <w:marBottom w:val="150"/>
          <w:divBdr>
            <w:top w:val="none" w:sz="0" w:space="0" w:color="auto"/>
            <w:left w:val="none" w:sz="0" w:space="0" w:color="auto"/>
            <w:bottom w:val="none" w:sz="0" w:space="0" w:color="auto"/>
            <w:right w:val="none" w:sz="0" w:space="0" w:color="auto"/>
          </w:divBdr>
          <w:divsChild>
            <w:div w:id="137771352">
              <w:marLeft w:val="0"/>
              <w:marRight w:val="0"/>
              <w:marTop w:val="0"/>
              <w:marBottom w:val="0"/>
              <w:divBdr>
                <w:top w:val="none" w:sz="0" w:space="0" w:color="auto"/>
                <w:left w:val="none" w:sz="0" w:space="0" w:color="auto"/>
                <w:bottom w:val="none" w:sz="0" w:space="0" w:color="auto"/>
                <w:right w:val="none" w:sz="0" w:space="0" w:color="auto"/>
              </w:divBdr>
            </w:div>
          </w:divsChild>
        </w:div>
        <w:div w:id="1922518571">
          <w:marLeft w:val="0"/>
          <w:marRight w:val="0"/>
          <w:marTop w:val="0"/>
          <w:marBottom w:val="0"/>
          <w:divBdr>
            <w:top w:val="none" w:sz="0" w:space="0" w:color="auto"/>
            <w:left w:val="none" w:sz="0" w:space="0" w:color="auto"/>
            <w:bottom w:val="none" w:sz="0" w:space="0" w:color="auto"/>
            <w:right w:val="none" w:sz="0" w:space="0" w:color="auto"/>
          </w:divBdr>
          <w:divsChild>
            <w:div w:id="97309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3829">
      <w:bodyDiv w:val="1"/>
      <w:marLeft w:val="0"/>
      <w:marRight w:val="0"/>
      <w:marTop w:val="0"/>
      <w:marBottom w:val="0"/>
      <w:divBdr>
        <w:top w:val="none" w:sz="0" w:space="0" w:color="auto"/>
        <w:left w:val="none" w:sz="0" w:space="0" w:color="auto"/>
        <w:bottom w:val="none" w:sz="0" w:space="0" w:color="auto"/>
        <w:right w:val="none" w:sz="0" w:space="0" w:color="auto"/>
      </w:divBdr>
      <w:divsChild>
        <w:div w:id="233970832">
          <w:marLeft w:val="0"/>
          <w:marRight w:val="0"/>
          <w:marTop w:val="0"/>
          <w:marBottom w:val="0"/>
          <w:divBdr>
            <w:top w:val="none" w:sz="0" w:space="0" w:color="auto"/>
            <w:left w:val="none" w:sz="0" w:space="0" w:color="auto"/>
            <w:bottom w:val="none" w:sz="0" w:space="0" w:color="auto"/>
            <w:right w:val="none" w:sz="0" w:space="0" w:color="auto"/>
          </w:divBdr>
          <w:divsChild>
            <w:div w:id="365908324">
              <w:marLeft w:val="0"/>
              <w:marRight w:val="0"/>
              <w:marTop w:val="0"/>
              <w:marBottom w:val="0"/>
              <w:divBdr>
                <w:top w:val="none" w:sz="0" w:space="0" w:color="auto"/>
                <w:left w:val="none" w:sz="0" w:space="0" w:color="auto"/>
                <w:bottom w:val="none" w:sz="0" w:space="0" w:color="auto"/>
                <w:right w:val="none" w:sz="0" w:space="0" w:color="auto"/>
              </w:divBdr>
              <w:divsChild>
                <w:div w:id="1137140446">
                  <w:marLeft w:val="0"/>
                  <w:marRight w:val="0"/>
                  <w:marTop w:val="0"/>
                  <w:marBottom w:val="0"/>
                  <w:divBdr>
                    <w:top w:val="none" w:sz="0" w:space="0" w:color="auto"/>
                    <w:left w:val="none" w:sz="0" w:space="0" w:color="auto"/>
                    <w:bottom w:val="none" w:sz="0" w:space="0" w:color="auto"/>
                    <w:right w:val="none" w:sz="0" w:space="0" w:color="auto"/>
                  </w:divBdr>
                  <w:divsChild>
                    <w:div w:id="1046176573">
                      <w:marLeft w:val="0"/>
                      <w:marRight w:val="0"/>
                      <w:marTop w:val="0"/>
                      <w:marBottom w:val="0"/>
                      <w:divBdr>
                        <w:top w:val="none" w:sz="0" w:space="0" w:color="auto"/>
                        <w:left w:val="none" w:sz="0" w:space="0" w:color="auto"/>
                        <w:bottom w:val="none" w:sz="0" w:space="0" w:color="auto"/>
                        <w:right w:val="none" w:sz="0" w:space="0" w:color="auto"/>
                      </w:divBdr>
                      <w:divsChild>
                        <w:div w:id="1846700768">
                          <w:marLeft w:val="0"/>
                          <w:marRight w:val="0"/>
                          <w:marTop w:val="0"/>
                          <w:marBottom w:val="0"/>
                          <w:divBdr>
                            <w:top w:val="none" w:sz="0" w:space="0" w:color="auto"/>
                            <w:left w:val="none" w:sz="0" w:space="0" w:color="auto"/>
                            <w:bottom w:val="none" w:sz="0" w:space="0" w:color="auto"/>
                            <w:right w:val="none" w:sz="0" w:space="0" w:color="auto"/>
                          </w:divBdr>
                          <w:divsChild>
                            <w:div w:id="833565893">
                              <w:marLeft w:val="0"/>
                              <w:marRight w:val="0"/>
                              <w:marTop w:val="0"/>
                              <w:marBottom w:val="0"/>
                              <w:divBdr>
                                <w:top w:val="none" w:sz="0" w:space="0" w:color="auto"/>
                                <w:left w:val="none" w:sz="0" w:space="0" w:color="auto"/>
                                <w:bottom w:val="none" w:sz="0" w:space="0" w:color="auto"/>
                                <w:right w:val="none" w:sz="0" w:space="0" w:color="auto"/>
                              </w:divBdr>
                              <w:divsChild>
                                <w:div w:id="594360805">
                                  <w:marLeft w:val="0"/>
                                  <w:marRight w:val="0"/>
                                  <w:marTop w:val="0"/>
                                  <w:marBottom w:val="0"/>
                                  <w:divBdr>
                                    <w:top w:val="none" w:sz="0" w:space="0" w:color="auto"/>
                                    <w:left w:val="none" w:sz="0" w:space="0" w:color="auto"/>
                                    <w:bottom w:val="none" w:sz="0" w:space="0" w:color="auto"/>
                                    <w:right w:val="none" w:sz="0" w:space="0" w:color="auto"/>
                                  </w:divBdr>
                                  <w:divsChild>
                                    <w:div w:id="42365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242895">
      <w:bodyDiv w:val="1"/>
      <w:marLeft w:val="0"/>
      <w:marRight w:val="0"/>
      <w:marTop w:val="0"/>
      <w:marBottom w:val="0"/>
      <w:divBdr>
        <w:top w:val="none" w:sz="0" w:space="0" w:color="auto"/>
        <w:left w:val="none" w:sz="0" w:space="0" w:color="auto"/>
        <w:bottom w:val="none" w:sz="0" w:space="0" w:color="auto"/>
        <w:right w:val="none" w:sz="0" w:space="0" w:color="auto"/>
      </w:divBdr>
    </w:div>
    <w:div w:id="1416433589">
      <w:bodyDiv w:val="1"/>
      <w:marLeft w:val="0"/>
      <w:marRight w:val="0"/>
      <w:marTop w:val="0"/>
      <w:marBottom w:val="0"/>
      <w:divBdr>
        <w:top w:val="none" w:sz="0" w:space="0" w:color="auto"/>
        <w:left w:val="none" w:sz="0" w:space="0" w:color="auto"/>
        <w:bottom w:val="none" w:sz="0" w:space="0" w:color="auto"/>
        <w:right w:val="none" w:sz="0" w:space="0" w:color="auto"/>
      </w:divBdr>
      <w:divsChild>
        <w:div w:id="1643727142">
          <w:marLeft w:val="0"/>
          <w:marRight w:val="0"/>
          <w:marTop w:val="0"/>
          <w:marBottom w:val="0"/>
          <w:divBdr>
            <w:top w:val="none" w:sz="0" w:space="0" w:color="auto"/>
            <w:left w:val="none" w:sz="0" w:space="0" w:color="auto"/>
            <w:bottom w:val="none" w:sz="0" w:space="0" w:color="auto"/>
            <w:right w:val="none" w:sz="0" w:space="0" w:color="auto"/>
          </w:divBdr>
          <w:divsChild>
            <w:div w:id="1043140675">
              <w:marLeft w:val="0"/>
              <w:marRight w:val="0"/>
              <w:marTop w:val="0"/>
              <w:marBottom w:val="0"/>
              <w:divBdr>
                <w:top w:val="none" w:sz="0" w:space="0" w:color="auto"/>
                <w:left w:val="none" w:sz="0" w:space="0" w:color="auto"/>
                <w:bottom w:val="none" w:sz="0" w:space="0" w:color="auto"/>
                <w:right w:val="none" w:sz="0" w:space="0" w:color="auto"/>
              </w:divBdr>
              <w:divsChild>
                <w:div w:id="1732772392">
                  <w:marLeft w:val="0"/>
                  <w:marRight w:val="0"/>
                  <w:marTop w:val="0"/>
                  <w:marBottom w:val="0"/>
                  <w:divBdr>
                    <w:top w:val="none" w:sz="0" w:space="0" w:color="auto"/>
                    <w:left w:val="none" w:sz="0" w:space="0" w:color="auto"/>
                    <w:bottom w:val="none" w:sz="0" w:space="0" w:color="auto"/>
                    <w:right w:val="none" w:sz="0" w:space="0" w:color="auto"/>
                  </w:divBdr>
                  <w:divsChild>
                    <w:div w:id="1437677481">
                      <w:marLeft w:val="0"/>
                      <w:marRight w:val="0"/>
                      <w:marTop w:val="0"/>
                      <w:marBottom w:val="0"/>
                      <w:divBdr>
                        <w:top w:val="none" w:sz="0" w:space="0" w:color="auto"/>
                        <w:left w:val="none" w:sz="0" w:space="0" w:color="auto"/>
                        <w:bottom w:val="none" w:sz="0" w:space="0" w:color="auto"/>
                        <w:right w:val="none" w:sz="0" w:space="0" w:color="auto"/>
                      </w:divBdr>
                      <w:divsChild>
                        <w:div w:id="1621642077">
                          <w:marLeft w:val="0"/>
                          <w:marRight w:val="0"/>
                          <w:marTop w:val="0"/>
                          <w:marBottom w:val="0"/>
                          <w:divBdr>
                            <w:top w:val="none" w:sz="0" w:space="0" w:color="auto"/>
                            <w:left w:val="none" w:sz="0" w:space="0" w:color="auto"/>
                            <w:bottom w:val="none" w:sz="0" w:space="0" w:color="auto"/>
                            <w:right w:val="none" w:sz="0" w:space="0" w:color="auto"/>
                          </w:divBdr>
                          <w:divsChild>
                            <w:div w:id="91523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6441419">
      <w:bodyDiv w:val="1"/>
      <w:marLeft w:val="0"/>
      <w:marRight w:val="0"/>
      <w:marTop w:val="0"/>
      <w:marBottom w:val="0"/>
      <w:divBdr>
        <w:top w:val="none" w:sz="0" w:space="0" w:color="auto"/>
        <w:left w:val="none" w:sz="0" w:space="0" w:color="auto"/>
        <w:bottom w:val="none" w:sz="0" w:space="0" w:color="auto"/>
        <w:right w:val="none" w:sz="0" w:space="0" w:color="auto"/>
      </w:divBdr>
    </w:div>
    <w:div w:id="1416974485">
      <w:bodyDiv w:val="1"/>
      <w:marLeft w:val="0"/>
      <w:marRight w:val="0"/>
      <w:marTop w:val="0"/>
      <w:marBottom w:val="0"/>
      <w:divBdr>
        <w:top w:val="none" w:sz="0" w:space="0" w:color="auto"/>
        <w:left w:val="none" w:sz="0" w:space="0" w:color="auto"/>
        <w:bottom w:val="none" w:sz="0" w:space="0" w:color="auto"/>
        <w:right w:val="none" w:sz="0" w:space="0" w:color="auto"/>
      </w:divBdr>
      <w:divsChild>
        <w:div w:id="394161395">
          <w:marLeft w:val="0"/>
          <w:marRight w:val="0"/>
          <w:marTop w:val="0"/>
          <w:marBottom w:val="0"/>
          <w:divBdr>
            <w:top w:val="none" w:sz="0" w:space="0" w:color="auto"/>
            <w:left w:val="none" w:sz="0" w:space="0" w:color="auto"/>
            <w:bottom w:val="dotted" w:sz="6" w:space="4" w:color="DDDDDD"/>
            <w:right w:val="none" w:sz="0" w:space="0" w:color="auto"/>
          </w:divBdr>
        </w:div>
      </w:divsChild>
    </w:div>
    <w:div w:id="1416979880">
      <w:bodyDiv w:val="1"/>
      <w:marLeft w:val="0"/>
      <w:marRight w:val="0"/>
      <w:marTop w:val="0"/>
      <w:marBottom w:val="0"/>
      <w:divBdr>
        <w:top w:val="none" w:sz="0" w:space="0" w:color="auto"/>
        <w:left w:val="none" w:sz="0" w:space="0" w:color="auto"/>
        <w:bottom w:val="none" w:sz="0" w:space="0" w:color="auto"/>
        <w:right w:val="none" w:sz="0" w:space="0" w:color="auto"/>
      </w:divBdr>
      <w:divsChild>
        <w:div w:id="6714068">
          <w:marLeft w:val="0"/>
          <w:marRight w:val="0"/>
          <w:marTop w:val="0"/>
          <w:marBottom w:val="0"/>
          <w:divBdr>
            <w:top w:val="none" w:sz="0" w:space="0" w:color="auto"/>
            <w:left w:val="none" w:sz="0" w:space="0" w:color="auto"/>
            <w:bottom w:val="none" w:sz="0" w:space="0" w:color="auto"/>
            <w:right w:val="none" w:sz="0" w:space="0" w:color="auto"/>
          </w:divBdr>
          <w:divsChild>
            <w:div w:id="104359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360835">
      <w:bodyDiv w:val="1"/>
      <w:marLeft w:val="0"/>
      <w:marRight w:val="0"/>
      <w:marTop w:val="0"/>
      <w:marBottom w:val="0"/>
      <w:divBdr>
        <w:top w:val="none" w:sz="0" w:space="0" w:color="auto"/>
        <w:left w:val="none" w:sz="0" w:space="0" w:color="auto"/>
        <w:bottom w:val="none" w:sz="0" w:space="0" w:color="auto"/>
        <w:right w:val="none" w:sz="0" w:space="0" w:color="auto"/>
      </w:divBdr>
      <w:divsChild>
        <w:div w:id="1258367208">
          <w:marLeft w:val="0"/>
          <w:marRight w:val="0"/>
          <w:marTop w:val="0"/>
          <w:marBottom w:val="0"/>
          <w:divBdr>
            <w:top w:val="none" w:sz="0" w:space="0" w:color="auto"/>
            <w:left w:val="none" w:sz="0" w:space="0" w:color="auto"/>
            <w:bottom w:val="none" w:sz="0" w:space="0" w:color="auto"/>
            <w:right w:val="none" w:sz="0" w:space="0" w:color="auto"/>
          </w:divBdr>
        </w:div>
      </w:divsChild>
    </w:div>
    <w:div w:id="1417903538">
      <w:bodyDiv w:val="1"/>
      <w:marLeft w:val="0"/>
      <w:marRight w:val="0"/>
      <w:marTop w:val="0"/>
      <w:marBottom w:val="0"/>
      <w:divBdr>
        <w:top w:val="none" w:sz="0" w:space="0" w:color="auto"/>
        <w:left w:val="none" w:sz="0" w:space="0" w:color="auto"/>
        <w:bottom w:val="none" w:sz="0" w:space="0" w:color="auto"/>
        <w:right w:val="none" w:sz="0" w:space="0" w:color="auto"/>
      </w:divBdr>
    </w:div>
    <w:div w:id="1418400420">
      <w:bodyDiv w:val="1"/>
      <w:marLeft w:val="0"/>
      <w:marRight w:val="0"/>
      <w:marTop w:val="0"/>
      <w:marBottom w:val="0"/>
      <w:divBdr>
        <w:top w:val="none" w:sz="0" w:space="0" w:color="auto"/>
        <w:left w:val="none" w:sz="0" w:space="0" w:color="auto"/>
        <w:bottom w:val="none" w:sz="0" w:space="0" w:color="auto"/>
        <w:right w:val="none" w:sz="0" w:space="0" w:color="auto"/>
      </w:divBdr>
      <w:divsChild>
        <w:div w:id="465008534">
          <w:marLeft w:val="0"/>
          <w:marRight w:val="0"/>
          <w:marTop w:val="0"/>
          <w:marBottom w:val="0"/>
          <w:divBdr>
            <w:top w:val="none" w:sz="0" w:space="0" w:color="auto"/>
            <w:left w:val="none" w:sz="0" w:space="0" w:color="auto"/>
            <w:bottom w:val="none" w:sz="0" w:space="0" w:color="auto"/>
            <w:right w:val="none" w:sz="0" w:space="0" w:color="auto"/>
          </w:divBdr>
          <w:divsChild>
            <w:div w:id="427237509">
              <w:marLeft w:val="0"/>
              <w:marRight w:val="0"/>
              <w:marTop w:val="0"/>
              <w:marBottom w:val="0"/>
              <w:divBdr>
                <w:top w:val="none" w:sz="0" w:space="0" w:color="auto"/>
                <w:left w:val="none" w:sz="0" w:space="0" w:color="auto"/>
                <w:bottom w:val="none" w:sz="0" w:space="0" w:color="auto"/>
                <w:right w:val="none" w:sz="0" w:space="0" w:color="auto"/>
              </w:divBdr>
              <w:divsChild>
                <w:div w:id="1333415211">
                  <w:marLeft w:val="0"/>
                  <w:marRight w:val="0"/>
                  <w:marTop w:val="0"/>
                  <w:marBottom w:val="0"/>
                  <w:divBdr>
                    <w:top w:val="none" w:sz="0" w:space="0" w:color="auto"/>
                    <w:left w:val="none" w:sz="0" w:space="0" w:color="auto"/>
                    <w:bottom w:val="none" w:sz="0" w:space="0" w:color="auto"/>
                    <w:right w:val="none" w:sz="0" w:space="0" w:color="auto"/>
                  </w:divBdr>
                  <w:divsChild>
                    <w:div w:id="406073092">
                      <w:marLeft w:val="0"/>
                      <w:marRight w:val="0"/>
                      <w:marTop w:val="0"/>
                      <w:marBottom w:val="0"/>
                      <w:divBdr>
                        <w:top w:val="none" w:sz="0" w:space="0" w:color="auto"/>
                        <w:left w:val="none" w:sz="0" w:space="0" w:color="auto"/>
                        <w:bottom w:val="none" w:sz="0" w:space="0" w:color="auto"/>
                        <w:right w:val="none" w:sz="0" w:space="0" w:color="auto"/>
                      </w:divBdr>
                      <w:divsChild>
                        <w:div w:id="178812560">
                          <w:marLeft w:val="0"/>
                          <w:marRight w:val="0"/>
                          <w:marTop w:val="0"/>
                          <w:marBottom w:val="0"/>
                          <w:divBdr>
                            <w:top w:val="none" w:sz="0" w:space="0" w:color="auto"/>
                            <w:left w:val="none" w:sz="0" w:space="0" w:color="auto"/>
                            <w:bottom w:val="none" w:sz="0" w:space="0" w:color="auto"/>
                            <w:right w:val="none" w:sz="0" w:space="0" w:color="auto"/>
                          </w:divBdr>
                          <w:divsChild>
                            <w:div w:id="1483615462">
                              <w:marLeft w:val="0"/>
                              <w:marRight w:val="0"/>
                              <w:marTop w:val="0"/>
                              <w:marBottom w:val="0"/>
                              <w:divBdr>
                                <w:top w:val="none" w:sz="0" w:space="0" w:color="auto"/>
                                <w:left w:val="none" w:sz="0" w:space="0" w:color="auto"/>
                                <w:bottom w:val="none" w:sz="0" w:space="0" w:color="auto"/>
                                <w:right w:val="none" w:sz="0" w:space="0" w:color="auto"/>
                              </w:divBdr>
                              <w:divsChild>
                                <w:div w:id="1808352246">
                                  <w:marLeft w:val="0"/>
                                  <w:marRight w:val="0"/>
                                  <w:marTop w:val="0"/>
                                  <w:marBottom w:val="0"/>
                                  <w:divBdr>
                                    <w:top w:val="none" w:sz="0" w:space="0" w:color="auto"/>
                                    <w:left w:val="none" w:sz="0" w:space="0" w:color="auto"/>
                                    <w:bottom w:val="none" w:sz="0" w:space="0" w:color="auto"/>
                                    <w:right w:val="none" w:sz="0" w:space="0" w:color="auto"/>
                                  </w:divBdr>
                                  <w:divsChild>
                                    <w:div w:id="193196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549909">
      <w:bodyDiv w:val="1"/>
      <w:marLeft w:val="0"/>
      <w:marRight w:val="0"/>
      <w:marTop w:val="0"/>
      <w:marBottom w:val="0"/>
      <w:divBdr>
        <w:top w:val="none" w:sz="0" w:space="0" w:color="auto"/>
        <w:left w:val="none" w:sz="0" w:space="0" w:color="auto"/>
        <w:bottom w:val="none" w:sz="0" w:space="0" w:color="auto"/>
        <w:right w:val="none" w:sz="0" w:space="0" w:color="auto"/>
      </w:divBdr>
      <w:divsChild>
        <w:div w:id="331874870">
          <w:marLeft w:val="0"/>
          <w:marRight w:val="0"/>
          <w:marTop w:val="0"/>
          <w:marBottom w:val="0"/>
          <w:divBdr>
            <w:top w:val="none" w:sz="0" w:space="0" w:color="auto"/>
            <w:left w:val="none" w:sz="0" w:space="0" w:color="auto"/>
            <w:bottom w:val="none" w:sz="0" w:space="0" w:color="auto"/>
            <w:right w:val="none" w:sz="0" w:space="0" w:color="auto"/>
          </w:divBdr>
          <w:divsChild>
            <w:div w:id="1286694479">
              <w:marLeft w:val="0"/>
              <w:marRight w:val="0"/>
              <w:marTop w:val="0"/>
              <w:marBottom w:val="0"/>
              <w:divBdr>
                <w:top w:val="none" w:sz="0" w:space="0" w:color="auto"/>
                <w:left w:val="none" w:sz="0" w:space="0" w:color="auto"/>
                <w:bottom w:val="none" w:sz="0" w:space="0" w:color="auto"/>
                <w:right w:val="none" w:sz="0" w:space="0" w:color="auto"/>
              </w:divBdr>
              <w:divsChild>
                <w:div w:id="771358969">
                  <w:marLeft w:val="0"/>
                  <w:marRight w:val="0"/>
                  <w:marTop w:val="0"/>
                  <w:marBottom w:val="0"/>
                  <w:divBdr>
                    <w:top w:val="none" w:sz="0" w:space="0" w:color="auto"/>
                    <w:left w:val="none" w:sz="0" w:space="0" w:color="auto"/>
                    <w:bottom w:val="none" w:sz="0" w:space="0" w:color="auto"/>
                    <w:right w:val="none" w:sz="0" w:space="0" w:color="auto"/>
                  </w:divBdr>
                  <w:divsChild>
                    <w:div w:id="195510571">
                      <w:marLeft w:val="0"/>
                      <w:marRight w:val="0"/>
                      <w:marTop w:val="0"/>
                      <w:marBottom w:val="0"/>
                      <w:divBdr>
                        <w:top w:val="none" w:sz="0" w:space="0" w:color="auto"/>
                        <w:left w:val="none" w:sz="0" w:space="0" w:color="auto"/>
                        <w:bottom w:val="none" w:sz="0" w:space="0" w:color="auto"/>
                        <w:right w:val="none" w:sz="0" w:space="0" w:color="auto"/>
                      </w:divBdr>
                      <w:divsChild>
                        <w:div w:id="1769811534">
                          <w:marLeft w:val="0"/>
                          <w:marRight w:val="0"/>
                          <w:marTop w:val="0"/>
                          <w:marBottom w:val="0"/>
                          <w:divBdr>
                            <w:top w:val="none" w:sz="0" w:space="0" w:color="auto"/>
                            <w:left w:val="none" w:sz="0" w:space="0" w:color="auto"/>
                            <w:bottom w:val="none" w:sz="0" w:space="0" w:color="auto"/>
                            <w:right w:val="none" w:sz="0" w:space="0" w:color="auto"/>
                          </w:divBdr>
                          <w:divsChild>
                            <w:div w:id="398404697">
                              <w:marLeft w:val="0"/>
                              <w:marRight w:val="0"/>
                              <w:marTop w:val="0"/>
                              <w:marBottom w:val="0"/>
                              <w:divBdr>
                                <w:top w:val="none" w:sz="0" w:space="0" w:color="auto"/>
                                <w:left w:val="none" w:sz="0" w:space="0" w:color="auto"/>
                                <w:bottom w:val="none" w:sz="0" w:space="0" w:color="auto"/>
                                <w:right w:val="none" w:sz="0" w:space="0" w:color="auto"/>
                              </w:divBdr>
                              <w:divsChild>
                                <w:div w:id="1313830627">
                                  <w:marLeft w:val="0"/>
                                  <w:marRight w:val="0"/>
                                  <w:marTop w:val="0"/>
                                  <w:marBottom w:val="0"/>
                                  <w:divBdr>
                                    <w:top w:val="none" w:sz="0" w:space="0" w:color="auto"/>
                                    <w:left w:val="none" w:sz="0" w:space="0" w:color="auto"/>
                                    <w:bottom w:val="none" w:sz="0" w:space="0" w:color="auto"/>
                                    <w:right w:val="none" w:sz="0" w:space="0" w:color="auto"/>
                                  </w:divBdr>
                                  <w:divsChild>
                                    <w:div w:id="137843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749502">
      <w:bodyDiv w:val="1"/>
      <w:marLeft w:val="0"/>
      <w:marRight w:val="0"/>
      <w:marTop w:val="0"/>
      <w:marBottom w:val="0"/>
      <w:divBdr>
        <w:top w:val="none" w:sz="0" w:space="0" w:color="auto"/>
        <w:left w:val="none" w:sz="0" w:space="0" w:color="auto"/>
        <w:bottom w:val="none" w:sz="0" w:space="0" w:color="auto"/>
        <w:right w:val="none" w:sz="0" w:space="0" w:color="auto"/>
      </w:divBdr>
    </w:div>
    <w:div w:id="1418751914">
      <w:bodyDiv w:val="1"/>
      <w:marLeft w:val="0"/>
      <w:marRight w:val="0"/>
      <w:marTop w:val="0"/>
      <w:marBottom w:val="0"/>
      <w:divBdr>
        <w:top w:val="none" w:sz="0" w:space="0" w:color="auto"/>
        <w:left w:val="none" w:sz="0" w:space="0" w:color="auto"/>
        <w:bottom w:val="none" w:sz="0" w:space="0" w:color="auto"/>
        <w:right w:val="none" w:sz="0" w:space="0" w:color="auto"/>
      </w:divBdr>
    </w:div>
    <w:div w:id="1418866641">
      <w:bodyDiv w:val="1"/>
      <w:marLeft w:val="0"/>
      <w:marRight w:val="0"/>
      <w:marTop w:val="0"/>
      <w:marBottom w:val="0"/>
      <w:divBdr>
        <w:top w:val="none" w:sz="0" w:space="0" w:color="auto"/>
        <w:left w:val="none" w:sz="0" w:space="0" w:color="auto"/>
        <w:bottom w:val="none" w:sz="0" w:space="0" w:color="auto"/>
        <w:right w:val="none" w:sz="0" w:space="0" w:color="auto"/>
      </w:divBdr>
      <w:divsChild>
        <w:div w:id="1499152643">
          <w:marLeft w:val="0"/>
          <w:marRight w:val="0"/>
          <w:marTop w:val="0"/>
          <w:marBottom w:val="0"/>
          <w:divBdr>
            <w:top w:val="none" w:sz="0" w:space="0" w:color="auto"/>
            <w:left w:val="none" w:sz="0" w:space="0" w:color="auto"/>
            <w:bottom w:val="none" w:sz="0" w:space="0" w:color="auto"/>
            <w:right w:val="none" w:sz="0" w:space="0" w:color="auto"/>
          </w:divBdr>
          <w:divsChild>
            <w:div w:id="1029988634">
              <w:marLeft w:val="0"/>
              <w:marRight w:val="0"/>
              <w:marTop w:val="0"/>
              <w:marBottom w:val="0"/>
              <w:divBdr>
                <w:top w:val="none" w:sz="0" w:space="0" w:color="auto"/>
                <w:left w:val="none" w:sz="0" w:space="0" w:color="auto"/>
                <w:bottom w:val="none" w:sz="0" w:space="0" w:color="auto"/>
                <w:right w:val="none" w:sz="0" w:space="0" w:color="auto"/>
              </w:divBdr>
              <w:divsChild>
                <w:div w:id="73770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736801">
          <w:marLeft w:val="0"/>
          <w:marRight w:val="0"/>
          <w:marTop w:val="0"/>
          <w:marBottom w:val="75"/>
          <w:divBdr>
            <w:top w:val="none" w:sz="0" w:space="0" w:color="auto"/>
            <w:left w:val="none" w:sz="0" w:space="0" w:color="auto"/>
            <w:bottom w:val="none" w:sz="0" w:space="0" w:color="auto"/>
            <w:right w:val="none" w:sz="0" w:space="0" w:color="auto"/>
          </w:divBdr>
        </w:div>
      </w:divsChild>
    </w:div>
    <w:div w:id="1418869500">
      <w:bodyDiv w:val="1"/>
      <w:marLeft w:val="0"/>
      <w:marRight w:val="0"/>
      <w:marTop w:val="0"/>
      <w:marBottom w:val="0"/>
      <w:divBdr>
        <w:top w:val="none" w:sz="0" w:space="0" w:color="auto"/>
        <w:left w:val="none" w:sz="0" w:space="0" w:color="auto"/>
        <w:bottom w:val="none" w:sz="0" w:space="0" w:color="auto"/>
        <w:right w:val="none" w:sz="0" w:space="0" w:color="auto"/>
      </w:divBdr>
      <w:divsChild>
        <w:div w:id="1983273332">
          <w:marLeft w:val="0"/>
          <w:marRight w:val="0"/>
          <w:marTop w:val="0"/>
          <w:marBottom w:val="0"/>
          <w:divBdr>
            <w:top w:val="none" w:sz="0" w:space="0" w:color="auto"/>
            <w:left w:val="none" w:sz="0" w:space="0" w:color="auto"/>
            <w:bottom w:val="dotted" w:sz="6" w:space="4" w:color="DDDDDD"/>
            <w:right w:val="none" w:sz="0" w:space="0" w:color="auto"/>
          </w:divBdr>
          <w:divsChild>
            <w:div w:id="146488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056190">
      <w:bodyDiv w:val="1"/>
      <w:marLeft w:val="0"/>
      <w:marRight w:val="0"/>
      <w:marTop w:val="0"/>
      <w:marBottom w:val="0"/>
      <w:divBdr>
        <w:top w:val="none" w:sz="0" w:space="0" w:color="auto"/>
        <w:left w:val="none" w:sz="0" w:space="0" w:color="auto"/>
        <w:bottom w:val="none" w:sz="0" w:space="0" w:color="auto"/>
        <w:right w:val="none" w:sz="0" w:space="0" w:color="auto"/>
      </w:divBdr>
      <w:divsChild>
        <w:div w:id="1400709868">
          <w:marLeft w:val="0"/>
          <w:marRight w:val="0"/>
          <w:marTop w:val="0"/>
          <w:marBottom w:val="0"/>
          <w:divBdr>
            <w:top w:val="none" w:sz="0" w:space="0" w:color="auto"/>
            <w:left w:val="none" w:sz="0" w:space="0" w:color="auto"/>
            <w:bottom w:val="none" w:sz="0" w:space="0" w:color="auto"/>
            <w:right w:val="none" w:sz="0" w:space="0" w:color="auto"/>
          </w:divBdr>
        </w:div>
      </w:divsChild>
    </w:div>
    <w:div w:id="1419061222">
      <w:bodyDiv w:val="1"/>
      <w:marLeft w:val="0"/>
      <w:marRight w:val="0"/>
      <w:marTop w:val="0"/>
      <w:marBottom w:val="0"/>
      <w:divBdr>
        <w:top w:val="none" w:sz="0" w:space="0" w:color="auto"/>
        <w:left w:val="none" w:sz="0" w:space="0" w:color="auto"/>
        <w:bottom w:val="none" w:sz="0" w:space="0" w:color="auto"/>
        <w:right w:val="none" w:sz="0" w:space="0" w:color="auto"/>
      </w:divBdr>
      <w:divsChild>
        <w:div w:id="190530734">
          <w:marLeft w:val="0"/>
          <w:marRight w:val="0"/>
          <w:marTop w:val="0"/>
          <w:marBottom w:val="0"/>
          <w:divBdr>
            <w:top w:val="none" w:sz="0" w:space="0" w:color="auto"/>
            <w:left w:val="none" w:sz="0" w:space="0" w:color="auto"/>
            <w:bottom w:val="dotted" w:sz="6" w:space="4" w:color="DDDDDD"/>
            <w:right w:val="none" w:sz="0" w:space="0" w:color="auto"/>
          </w:divBdr>
        </w:div>
      </w:divsChild>
    </w:div>
    <w:div w:id="1419518376">
      <w:bodyDiv w:val="1"/>
      <w:marLeft w:val="0"/>
      <w:marRight w:val="0"/>
      <w:marTop w:val="0"/>
      <w:marBottom w:val="0"/>
      <w:divBdr>
        <w:top w:val="none" w:sz="0" w:space="0" w:color="auto"/>
        <w:left w:val="none" w:sz="0" w:space="0" w:color="auto"/>
        <w:bottom w:val="none" w:sz="0" w:space="0" w:color="auto"/>
        <w:right w:val="none" w:sz="0" w:space="0" w:color="auto"/>
      </w:divBdr>
      <w:divsChild>
        <w:div w:id="2082290334">
          <w:marLeft w:val="0"/>
          <w:marRight w:val="0"/>
          <w:marTop w:val="0"/>
          <w:marBottom w:val="0"/>
          <w:divBdr>
            <w:top w:val="none" w:sz="0" w:space="0" w:color="auto"/>
            <w:left w:val="none" w:sz="0" w:space="0" w:color="auto"/>
            <w:bottom w:val="none" w:sz="0" w:space="0" w:color="auto"/>
            <w:right w:val="none" w:sz="0" w:space="0" w:color="auto"/>
          </w:divBdr>
          <w:divsChild>
            <w:div w:id="14935957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19600549">
      <w:bodyDiv w:val="1"/>
      <w:marLeft w:val="0"/>
      <w:marRight w:val="0"/>
      <w:marTop w:val="0"/>
      <w:marBottom w:val="0"/>
      <w:divBdr>
        <w:top w:val="none" w:sz="0" w:space="0" w:color="auto"/>
        <w:left w:val="none" w:sz="0" w:space="0" w:color="auto"/>
        <w:bottom w:val="none" w:sz="0" w:space="0" w:color="auto"/>
        <w:right w:val="none" w:sz="0" w:space="0" w:color="auto"/>
      </w:divBdr>
      <w:divsChild>
        <w:div w:id="1858502437">
          <w:marLeft w:val="0"/>
          <w:marRight w:val="0"/>
          <w:marTop w:val="0"/>
          <w:marBottom w:val="0"/>
          <w:divBdr>
            <w:top w:val="none" w:sz="0" w:space="0" w:color="auto"/>
            <w:left w:val="none" w:sz="0" w:space="0" w:color="auto"/>
            <w:bottom w:val="dotted" w:sz="6" w:space="4" w:color="DDDDDD"/>
            <w:right w:val="none" w:sz="0" w:space="0" w:color="auto"/>
          </w:divBdr>
        </w:div>
      </w:divsChild>
    </w:div>
    <w:div w:id="1419672737">
      <w:bodyDiv w:val="1"/>
      <w:marLeft w:val="0"/>
      <w:marRight w:val="0"/>
      <w:marTop w:val="0"/>
      <w:marBottom w:val="0"/>
      <w:divBdr>
        <w:top w:val="none" w:sz="0" w:space="0" w:color="auto"/>
        <w:left w:val="none" w:sz="0" w:space="0" w:color="auto"/>
        <w:bottom w:val="none" w:sz="0" w:space="0" w:color="auto"/>
        <w:right w:val="none" w:sz="0" w:space="0" w:color="auto"/>
      </w:divBdr>
    </w:div>
    <w:div w:id="1420060527">
      <w:bodyDiv w:val="1"/>
      <w:marLeft w:val="0"/>
      <w:marRight w:val="0"/>
      <w:marTop w:val="0"/>
      <w:marBottom w:val="0"/>
      <w:divBdr>
        <w:top w:val="none" w:sz="0" w:space="0" w:color="auto"/>
        <w:left w:val="none" w:sz="0" w:space="0" w:color="auto"/>
        <w:bottom w:val="none" w:sz="0" w:space="0" w:color="auto"/>
        <w:right w:val="none" w:sz="0" w:space="0" w:color="auto"/>
      </w:divBdr>
      <w:divsChild>
        <w:div w:id="1678969426">
          <w:marLeft w:val="0"/>
          <w:marRight w:val="0"/>
          <w:marTop w:val="0"/>
          <w:marBottom w:val="180"/>
          <w:divBdr>
            <w:top w:val="none" w:sz="0" w:space="0" w:color="auto"/>
            <w:left w:val="none" w:sz="0" w:space="0" w:color="auto"/>
            <w:bottom w:val="none" w:sz="0" w:space="0" w:color="auto"/>
            <w:right w:val="none" w:sz="0" w:space="0" w:color="auto"/>
          </w:divBdr>
        </w:div>
        <w:div w:id="1830712701">
          <w:marLeft w:val="0"/>
          <w:marRight w:val="0"/>
          <w:marTop w:val="0"/>
          <w:marBottom w:val="180"/>
          <w:divBdr>
            <w:top w:val="none" w:sz="0" w:space="0" w:color="auto"/>
            <w:left w:val="none" w:sz="0" w:space="0" w:color="auto"/>
            <w:bottom w:val="none" w:sz="0" w:space="0" w:color="auto"/>
            <w:right w:val="none" w:sz="0" w:space="0" w:color="auto"/>
          </w:divBdr>
        </w:div>
        <w:div w:id="1498423038">
          <w:marLeft w:val="0"/>
          <w:marRight w:val="0"/>
          <w:marTop w:val="0"/>
          <w:marBottom w:val="180"/>
          <w:divBdr>
            <w:top w:val="none" w:sz="0" w:space="0" w:color="auto"/>
            <w:left w:val="none" w:sz="0" w:space="0" w:color="auto"/>
            <w:bottom w:val="none" w:sz="0" w:space="0" w:color="auto"/>
            <w:right w:val="none" w:sz="0" w:space="0" w:color="auto"/>
          </w:divBdr>
        </w:div>
        <w:div w:id="128017867">
          <w:marLeft w:val="0"/>
          <w:marRight w:val="0"/>
          <w:marTop w:val="0"/>
          <w:marBottom w:val="180"/>
          <w:divBdr>
            <w:top w:val="none" w:sz="0" w:space="0" w:color="auto"/>
            <w:left w:val="none" w:sz="0" w:space="0" w:color="auto"/>
            <w:bottom w:val="none" w:sz="0" w:space="0" w:color="auto"/>
            <w:right w:val="none" w:sz="0" w:space="0" w:color="auto"/>
          </w:divBdr>
        </w:div>
      </w:divsChild>
    </w:div>
    <w:div w:id="1420178290">
      <w:bodyDiv w:val="1"/>
      <w:marLeft w:val="0"/>
      <w:marRight w:val="0"/>
      <w:marTop w:val="0"/>
      <w:marBottom w:val="0"/>
      <w:divBdr>
        <w:top w:val="none" w:sz="0" w:space="0" w:color="auto"/>
        <w:left w:val="none" w:sz="0" w:space="0" w:color="auto"/>
        <w:bottom w:val="none" w:sz="0" w:space="0" w:color="auto"/>
        <w:right w:val="none" w:sz="0" w:space="0" w:color="auto"/>
      </w:divBdr>
      <w:divsChild>
        <w:div w:id="1510023346">
          <w:marLeft w:val="0"/>
          <w:marRight w:val="0"/>
          <w:marTop w:val="0"/>
          <w:marBottom w:val="0"/>
          <w:divBdr>
            <w:top w:val="none" w:sz="0" w:space="0" w:color="auto"/>
            <w:left w:val="none" w:sz="0" w:space="0" w:color="auto"/>
            <w:bottom w:val="none" w:sz="0" w:space="0" w:color="auto"/>
            <w:right w:val="none" w:sz="0" w:space="0" w:color="auto"/>
          </w:divBdr>
          <w:divsChild>
            <w:div w:id="1769080057">
              <w:marLeft w:val="0"/>
              <w:marRight w:val="0"/>
              <w:marTop w:val="0"/>
              <w:marBottom w:val="0"/>
              <w:divBdr>
                <w:top w:val="none" w:sz="0" w:space="0" w:color="auto"/>
                <w:left w:val="none" w:sz="0" w:space="0" w:color="auto"/>
                <w:bottom w:val="none" w:sz="0" w:space="0" w:color="auto"/>
                <w:right w:val="none" w:sz="0" w:space="0" w:color="auto"/>
              </w:divBdr>
              <w:divsChild>
                <w:div w:id="1398549196">
                  <w:marLeft w:val="0"/>
                  <w:marRight w:val="0"/>
                  <w:marTop w:val="0"/>
                  <w:marBottom w:val="0"/>
                  <w:divBdr>
                    <w:top w:val="none" w:sz="0" w:space="0" w:color="auto"/>
                    <w:left w:val="none" w:sz="0" w:space="0" w:color="auto"/>
                    <w:bottom w:val="none" w:sz="0" w:space="0" w:color="auto"/>
                    <w:right w:val="none" w:sz="0" w:space="0" w:color="auto"/>
                  </w:divBdr>
                  <w:divsChild>
                    <w:div w:id="1062021689">
                      <w:marLeft w:val="0"/>
                      <w:marRight w:val="0"/>
                      <w:marTop w:val="0"/>
                      <w:marBottom w:val="0"/>
                      <w:divBdr>
                        <w:top w:val="none" w:sz="0" w:space="0" w:color="auto"/>
                        <w:left w:val="none" w:sz="0" w:space="0" w:color="auto"/>
                        <w:bottom w:val="none" w:sz="0" w:space="0" w:color="auto"/>
                        <w:right w:val="none" w:sz="0" w:space="0" w:color="auto"/>
                      </w:divBdr>
                      <w:divsChild>
                        <w:div w:id="1983385853">
                          <w:marLeft w:val="0"/>
                          <w:marRight w:val="0"/>
                          <w:marTop w:val="0"/>
                          <w:marBottom w:val="0"/>
                          <w:divBdr>
                            <w:top w:val="none" w:sz="0" w:space="0" w:color="auto"/>
                            <w:left w:val="none" w:sz="0" w:space="0" w:color="auto"/>
                            <w:bottom w:val="none" w:sz="0" w:space="0" w:color="auto"/>
                            <w:right w:val="none" w:sz="0" w:space="0" w:color="auto"/>
                          </w:divBdr>
                          <w:divsChild>
                            <w:div w:id="1761562776">
                              <w:marLeft w:val="0"/>
                              <w:marRight w:val="0"/>
                              <w:marTop w:val="0"/>
                              <w:marBottom w:val="0"/>
                              <w:divBdr>
                                <w:top w:val="none" w:sz="0" w:space="0" w:color="auto"/>
                                <w:left w:val="none" w:sz="0" w:space="0" w:color="auto"/>
                                <w:bottom w:val="none" w:sz="0" w:space="0" w:color="auto"/>
                                <w:right w:val="none" w:sz="0" w:space="0" w:color="auto"/>
                              </w:divBdr>
                              <w:divsChild>
                                <w:div w:id="1095632942">
                                  <w:marLeft w:val="0"/>
                                  <w:marRight w:val="0"/>
                                  <w:marTop w:val="0"/>
                                  <w:marBottom w:val="0"/>
                                  <w:divBdr>
                                    <w:top w:val="none" w:sz="0" w:space="0" w:color="auto"/>
                                    <w:left w:val="none" w:sz="0" w:space="0" w:color="auto"/>
                                    <w:bottom w:val="none" w:sz="0" w:space="0" w:color="auto"/>
                                    <w:right w:val="none" w:sz="0" w:space="0" w:color="auto"/>
                                  </w:divBdr>
                                  <w:divsChild>
                                    <w:div w:id="1408847178">
                                      <w:marLeft w:val="0"/>
                                      <w:marRight w:val="0"/>
                                      <w:marTop w:val="0"/>
                                      <w:marBottom w:val="0"/>
                                      <w:divBdr>
                                        <w:top w:val="none" w:sz="0" w:space="0" w:color="auto"/>
                                        <w:left w:val="none" w:sz="0" w:space="0" w:color="auto"/>
                                        <w:bottom w:val="none" w:sz="0" w:space="0" w:color="auto"/>
                                        <w:right w:val="none" w:sz="0" w:space="0" w:color="auto"/>
                                      </w:divBdr>
                                      <w:divsChild>
                                        <w:div w:id="162018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0179518">
      <w:bodyDiv w:val="1"/>
      <w:marLeft w:val="0"/>
      <w:marRight w:val="0"/>
      <w:marTop w:val="0"/>
      <w:marBottom w:val="0"/>
      <w:divBdr>
        <w:top w:val="none" w:sz="0" w:space="0" w:color="auto"/>
        <w:left w:val="none" w:sz="0" w:space="0" w:color="auto"/>
        <w:bottom w:val="none" w:sz="0" w:space="0" w:color="auto"/>
        <w:right w:val="none" w:sz="0" w:space="0" w:color="auto"/>
      </w:divBdr>
      <w:divsChild>
        <w:div w:id="434330873">
          <w:marLeft w:val="0"/>
          <w:marRight w:val="0"/>
          <w:marTop w:val="0"/>
          <w:marBottom w:val="0"/>
          <w:divBdr>
            <w:top w:val="none" w:sz="0" w:space="0" w:color="auto"/>
            <w:left w:val="none" w:sz="0" w:space="0" w:color="auto"/>
            <w:bottom w:val="none" w:sz="0" w:space="0" w:color="auto"/>
            <w:right w:val="none" w:sz="0" w:space="0" w:color="auto"/>
          </w:divBdr>
        </w:div>
      </w:divsChild>
    </w:div>
    <w:div w:id="1420251061">
      <w:bodyDiv w:val="1"/>
      <w:marLeft w:val="0"/>
      <w:marRight w:val="0"/>
      <w:marTop w:val="0"/>
      <w:marBottom w:val="0"/>
      <w:divBdr>
        <w:top w:val="none" w:sz="0" w:space="0" w:color="auto"/>
        <w:left w:val="none" w:sz="0" w:space="0" w:color="auto"/>
        <w:bottom w:val="none" w:sz="0" w:space="0" w:color="auto"/>
        <w:right w:val="none" w:sz="0" w:space="0" w:color="auto"/>
      </w:divBdr>
      <w:divsChild>
        <w:div w:id="1126200464">
          <w:marLeft w:val="0"/>
          <w:marRight w:val="0"/>
          <w:marTop w:val="0"/>
          <w:marBottom w:val="0"/>
          <w:divBdr>
            <w:top w:val="none" w:sz="0" w:space="0" w:color="auto"/>
            <w:left w:val="none" w:sz="0" w:space="0" w:color="auto"/>
            <w:bottom w:val="dotted" w:sz="6" w:space="4" w:color="DDDDDD"/>
            <w:right w:val="none" w:sz="0" w:space="0" w:color="auto"/>
          </w:divBdr>
        </w:div>
      </w:divsChild>
    </w:div>
    <w:div w:id="1420567710">
      <w:bodyDiv w:val="1"/>
      <w:marLeft w:val="0"/>
      <w:marRight w:val="0"/>
      <w:marTop w:val="0"/>
      <w:marBottom w:val="0"/>
      <w:divBdr>
        <w:top w:val="none" w:sz="0" w:space="0" w:color="auto"/>
        <w:left w:val="none" w:sz="0" w:space="0" w:color="auto"/>
        <w:bottom w:val="none" w:sz="0" w:space="0" w:color="auto"/>
        <w:right w:val="none" w:sz="0" w:space="0" w:color="auto"/>
      </w:divBdr>
      <w:divsChild>
        <w:div w:id="1406731470">
          <w:marLeft w:val="0"/>
          <w:marRight w:val="0"/>
          <w:marTop w:val="0"/>
          <w:marBottom w:val="0"/>
          <w:divBdr>
            <w:top w:val="none" w:sz="0" w:space="0" w:color="auto"/>
            <w:left w:val="none" w:sz="0" w:space="0" w:color="auto"/>
            <w:bottom w:val="none" w:sz="0" w:space="0" w:color="auto"/>
            <w:right w:val="none" w:sz="0" w:space="0" w:color="auto"/>
          </w:divBdr>
          <w:divsChild>
            <w:div w:id="2005157441">
              <w:marLeft w:val="0"/>
              <w:marRight w:val="0"/>
              <w:marTop w:val="0"/>
              <w:marBottom w:val="0"/>
              <w:divBdr>
                <w:top w:val="none" w:sz="0" w:space="0" w:color="auto"/>
                <w:left w:val="none" w:sz="0" w:space="0" w:color="auto"/>
                <w:bottom w:val="none" w:sz="0" w:space="0" w:color="auto"/>
                <w:right w:val="none" w:sz="0" w:space="0" w:color="auto"/>
              </w:divBdr>
              <w:divsChild>
                <w:div w:id="255404858">
                  <w:marLeft w:val="0"/>
                  <w:marRight w:val="0"/>
                  <w:marTop w:val="0"/>
                  <w:marBottom w:val="150"/>
                  <w:divBdr>
                    <w:top w:val="none" w:sz="0" w:space="0" w:color="auto"/>
                    <w:left w:val="none" w:sz="0" w:space="0" w:color="auto"/>
                    <w:bottom w:val="none" w:sz="0" w:space="0" w:color="auto"/>
                    <w:right w:val="none" w:sz="0" w:space="0" w:color="auto"/>
                  </w:divBdr>
                  <w:divsChild>
                    <w:div w:id="761098739">
                      <w:marLeft w:val="0"/>
                      <w:marRight w:val="0"/>
                      <w:marTop w:val="0"/>
                      <w:marBottom w:val="0"/>
                      <w:divBdr>
                        <w:top w:val="none" w:sz="0" w:space="0" w:color="auto"/>
                        <w:left w:val="none" w:sz="0" w:space="0" w:color="auto"/>
                        <w:bottom w:val="none" w:sz="0" w:space="0" w:color="auto"/>
                        <w:right w:val="none" w:sz="0" w:space="0" w:color="auto"/>
                      </w:divBdr>
                      <w:divsChild>
                        <w:div w:id="1003512927">
                          <w:marLeft w:val="0"/>
                          <w:marRight w:val="0"/>
                          <w:marTop w:val="0"/>
                          <w:marBottom w:val="0"/>
                          <w:divBdr>
                            <w:top w:val="none" w:sz="0" w:space="0" w:color="auto"/>
                            <w:left w:val="none" w:sz="0" w:space="0" w:color="auto"/>
                            <w:bottom w:val="none" w:sz="0" w:space="0" w:color="auto"/>
                            <w:right w:val="none" w:sz="0" w:space="0" w:color="auto"/>
                          </w:divBdr>
                          <w:divsChild>
                            <w:div w:id="10379295">
                              <w:marLeft w:val="0"/>
                              <w:marRight w:val="0"/>
                              <w:marTop w:val="0"/>
                              <w:marBottom w:val="0"/>
                              <w:divBdr>
                                <w:top w:val="none" w:sz="0" w:space="0" w:color="auto"/>
                                <w:left w:val="none" w:sz="0" w:space="0" w:color="auto"/>
                                <w:bottom w:val="none" w:sz="0" w:space="0" w:color="auto"/>
                                <w:right w:val="none" w:sz="0" w:space="0" w:color="auto"/>
                              </w:divBdr>
                              <w:divsChild>
                                <w:div w:id="393436090">
                                  <w:marLeft w:val="0"/>
                                  <w:marRight w:val="0"/>
                                  <w:marTop w:val="0"/>
                                  <w:marBottom w:val="0"/>
                                  <w:divBdr>
                                    <w:top w:val="none" w:sz="0" w:space="0" w:color="auto"/>
                                    <w:left w:val="none" w:sz="0" w:space="0" w:color="auto"/>
                                    <w:bottom w:val="none" w:sz="0" w:space="0" w:color="auto"/>
                                    <w:right w:val="none" w:sz="0" w:space="0" w:color="auto"/>
                                  </w:divBdr>
                                  <w:divsChild>
                                    <w:div w:id="2094079973">
                                      <w:marLeft w:val="0"/>
                                      <w:marRight w:val="0"/>
                                      <w:marTop w:val="0"/>
                                      <w:marBottom w:val="0"/>
                                      <w:divBdr>
                                        <w:top w:val="none" w:sz="0" w:space="0" w:color="auto"/>
                                        <w:left w:val="none" w:sz="0" w:space="0" w:color="auto"/>
                                        <w:bottom w:val="none" w:sz="0" w:space="0" w:color="auto"/>
                                        <w:right w:val="none" w:sz="0" w:space="0" w:color="auto"/>
                                      </w:divBdr>
                                      <w:divsChild>
                                        <w:div w:id="2045015879">
                                          <w:marLeft w:val="0"/>
                                          <w:marRight w:val="0"/>
                                          <w:marTop w:val="0"/>
                                          <w:marBottom w:val="0"/>
                                          <w:divBdr>
                                            <w:top w:val="none" w:sz="0" w:space="0" w:color="auto"/>
                                            <w:left w:val="none" w:sz="0" w:space="0" w:color="auto"/>
                                            <w:bottom w:val="none" w:sz="0" w:space="0" w:color="auto"/>
                                            <w:right w:val="none" w:sz="0" w:space="0" w:color="auto"/>
                                          </w:divBdr>
                                          <w:divsChild>
                                            <w:div w:id="1360397906">
                                              <w:marLeft w:val="0"/>
                                              <w:marRight w:val="0"/>
                                              <w:marTop w:val="0"/>
                                              <w:marBottom w:val="0"/>
                                              <w:divBdr>
                                                <w:top w:val="none" w:sz="0" w:space="0" w:color="auto"/>
                                                <w:left w:val="none" w:sz="0" w:space="0" w:color="auto"/>
                                                <w:bottom w:val="none" w:sz="0" w:space="0" w:color="auto"/>
                                                <w:right w:val="none" w:sz="0" w:space="0" w:color="auto"/>
                                              </w:divBdr>
                                              <w:divsChild>
                                                <w:div w:id="42881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0638182">
      <w:bodyDiv w:val="1"/>
      <w:marLeft w:val="0"/>
      <w:marRight w:val="0"/>
      <w:marTop w:val="0"/>
      <w:marBottom w:val="0"/>
      <w:divBdr>
        <w:top w:val="none" w:sz="0" w:space="0" w:color="auto"/>
        <w:left w:val="none" w:sz="0" w:space="0" w:color="auto"/>
        <w:bottom w:val="none" w:sz="0" w:space="0" w:color="auto"/>
        <w:right w:val="none" w:sz="0" w:space="0" w:color="auto"/>
      </w:divBdr>
    </w:div>
    <w:div w:id="1420759000">
      <w:bodyDiv w:val="1"/>
      <w:marLeft w:val="0"/>
      <w:marRight w:val="0"/>
      <w:marTop w:val="0"/>
      <w:marBottom w:val="0"/>
      <w:divBdr>
        <w:top w:val="none" w:sz="0" w:space="0" w:color="auto"/>
        <w:left w:val="none" w:sz="0" w:space="0" w:color="auto"/>
        <w:bottom w:val="none" w:sz="0" w:space="0" w:color="auto"/>
        <w:right w:val="none" w:sz="0" w:space="0" w:color="auto"/>
      </w:divBdr>
      <w:divsChild>
        <w:div w:id="1486823925">
          <w:marLeft w:val="0"/>
          <w:marRight w:val="0"/>
          <w:marTop w:val="0"/>
          <w:marBottom w:val="0"/>
          <w:divBdr>
            <w:top w:val="none" w:sz="0" w:space="0" w:color="auto"/>
            <w:left w:val="none" w:sz="0" w:space="0" w:color="auto"/>
            <w:bottom w:val="dotted" w:sz="6" w:space="4" w:color="DDDDDD"/>
            <w:right w:val="none" w:sz="0" w:space="0" w:color="auto"/>
          </w:divBdr>
          <w:divsChild>
            <w:div w:id="98385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220757">
      <w:bodyDiv w:val="1"/>
      <w:marLeft w:val="0"/>
      <w:marRight w:val="0"/>
      <w:marTop w:val="0"/>
      <w:marBottom w:val="0"/>
      <w:divBdr>
        <w:top w:val="none" w:sz="0" w:space="0" w:color="auto"/>
        <w:left w:val="none" w:sz="0" w:space="0" w:color="auto"/>
        <w:bottom w:val="none" w:sz="0" w:space="0" w:color="auto"/>
        <w:right w:val="none" w:sz="0" w:space="0" w:color="auto"/>
      </w:divBdr>
      <w:divsChild>
        <w:div w:id="1950626998">
          <w:marLeft w:val="0"/>
          <w:marRight w:val="0"/>
          <w:marTop w:val="0"/>
          <w:marBottom w:val="0"/>
          <w:divBdr>
            <w:top w:val="none" w:sz="0" w:space="0" w:color="auto"/>
            <w:left w:val="none" w:sz="0" w:space="0" w:color="auto"/>
            <w:bottom w:val="dotted" w:sz="6" w:space="4" w:color="DDDDDD"/>
            <w:right w:val="none" w:sz="0" w:space="0" w:color="auto"/>
          </w:divBdr>
        </w:div>
      </w:divsChild>
    </w:div>
    <w:div w:id="1421291179">
      <w:bodyDiv w:val="1"/>
      <w:marLeft w:val="0"/>
      <w:marRight w:val="0"/>
      <w:marTop w:val="0"/>
      <w:marBottom w:val="0"/>
      <w:divBdr>
        <w:top w:val="none" w:sz="0" w:space="0" w:color="auto"/>
        <w:left w:val="none" w:sz="0" w:space="0" w:color="auto"/>
        <w:bottom w:val="none" w:sz="0" w:space="0" w:color="auto"/>
        <w:right w:val="none" w:sz="0" w:space="0" w:color="auto"/>
      </w:divBdr>
      <w:divsChild>
        <w:div w:id="2080446641">
          <w:marLeft w:val="0"/>
          <w:marRight w:val="0"/>
          <w:marTop w:val="0"/>
          <w:marBottom w:val="150"/>
          <w:divBdr>
            <w:top w:val="none" w:sz="0" w:space="0" w:color="auto"/>
            <w:left w:val="none" w:sz="0" w:space="0" w:color="auto"/>
            <w:bottom w:val="none" w:sz="0" w:space="0" w:color="auto"/>
            <w:right w:val="none" w:sz="0" w:space="0" w:color="auto"/>
          </w:divBdr>
        </w:div>
      </w:divsChild>
    </w:div>
    <w:div w:id="1421364981">
      <w:bodyDiv w:val="1"/>
      <w:marLeft w:val="0"/>
      <w:marRight w:val="0"/>
      <w:marTop w:val="0"/>
      <w:marBottom w:val="0"/>
      <w:divBdr>
        <w:top w:val="none" w:sz="0" w:space="0" w:color="auto"/>
        <w:left w:val="none" w:sz="0" w:space="0" w:color="auto"/>
        <w:bottom w:val="none" w:sz="0" w:space="0" w:color="auto"/>
        <w:right w:val="none" w:sz="0" w:space="0" w:color="auto"/>
      </w:divBdr>
    </w:div>
    <w:div w:id="1421757155">
      <w:bodyDiv w:val="1"/>
      <w:marLeft w:val="0"/>
      <w:marRight w:val="0"/>
      <w:marTop w:val="0"/>
      <w:marBottom w:val="0"/>
      <w:divBdr>
        <w:top w:val="none" w:sz="0" w:space="0" w:color="auto"/>
        <w:left w:val="none" w:sz="0" w:space="0" w:color="auto"/>
        <w:bottom w:val="none" w:sz="0" w:space="0" w:color="auto"/>
        <w:right w:val="none" w:sz="0" w:space="0" w:color="auto"/>
      </w:divBdr>
      <w:divsChild>
        <w:div w:id="355355095">
          <w:marLeft w:val="0"/>
          <w:marRight w:val="0"/>
          <w:marTop w:val="0"/>
          <w:marBottom w:val="0"/>
          <w:divBdr>
            <w:top w:val="none" w:sz="0" w:space="0" w:color="auto"/>
            <w:left w:val="none" w:sz="0" w:space="0" w:color="auto"/>
            <w:bottom w:val="none" w:sz="0" w:space="0" w:color="auto"/>
            <w:right w:val="none" w:sz="0" w:space="0" w:color="auto"/>
          </w:divBdr>
          <w:divsChild>
            <w:div w:id="755324120">
              <w:marLeft w:val="0"/>
              <w:marRight w:val="0"/>
              <w:marTop w:val="0"/>
              <w:marBottom w:val="0"/>
              <w:divBdr>
                <w:top w:val="none" w:sz="0" w:space="0" w:color="auto"/>
                <w:left w:val="none" w:sz="0" w:space="0" w:color="auto"/>
                <w:bottom w:val="none" w:sz="0" w:space="0" w:color="auto"/>
                <w:right w:val="none" w:sz="0" w:space="0" w:color="auto"/>
              </w:divBdr>
              <w:divsChild>
                <w:div w:id="1884556040">
                  <w:marLeft w:val="0"/>
                  <w:marRight w:val="0"/>
                  <w:marTop w:val="0"/>
                  <w:marBottom w:val="0"/>
                  <w:divBdr>
                    <w:top w:val="none" w:sz="0" w:space="0" w:color="auto"/>
                    <w:left w:val="none" w:sz="0" w:space="0" w:color="auto"/>
                    <w:bottom w:val="none" w:sz="0" w:space="0" w:color="auto"/>
                    <w:right w:val="none" w:sz="0" w:space="0" w:color="auto"/>
                  </w:divBdr>
                  <w:divsChild>
                    <w:div w:id="1698699856">
                      <w:marLeft w:val="0"/>
                      <w:marRight w:val="0"/>
                      <w:marTop w:val="0"/>
                      <w:marBottom w:val="300"/>
                      <w:divBdr>
                        <w:top w:val="none" w:sz="0" w:space="0" w:color="auto"/>
                        <w:left w:val="none" w:sz="0" w:space="0" w:color="auto"/>
                        <w:bottom w:val="none" w:sz="0" w:space="0" w:color="auto"/>
                        <w:right w:val="none" w:sz="0" w:space="0" w:color="auto"/>
                      </w:divBdr>
                      <w:divsChild>
                        <w:div w:id="57632457">
                          <w:marLeft w:val="0"/>
                          <w:marRight w:val="0"/>
                          <w:marTop w:val="0"/>
                          <w:marBottom w:val="225"/>
                          <w:divBdr>
                            <w:top w:val="single" w:sz="6" w:space="11" w:color="E5E5E5"/>
                            <w:left w:val="single" w:sz="6" w:space="11" w:color="E5E5E5"/>
                            <w:bottom w:val="single" w:sz="6" w:space="1" w:color="E5E5E5"/>
                            <w:right w:val="single" w:sz="6" w:space="11" w:color="E5E5E5"/>
                          </w:divBdr>
                          <w:divsChild>
                            <w:div w:id="117935286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2030834444">
          <w:marLeft w:val="0"/>
          <w:marRight w:val="0"/>
          <w:marTop w:val="0"/>
          <w:marBottom w:val="0"/>
          <w:divBdr>
            <w:top w:val="single" w:sz="6" w:space="0" w:color="E5E5E5"/>
            <w:left w:val="none" w:sz="0" w:space="0" w:color="auto"/>
            <w:bottom w:val="single" w:sz="18" w:space="0" w:color="000000"/>
            <w:right w:val="none" w:sz="0" w:space="0" w:color="auto"/>
          </w:divBdr>
          <w:divsChild>
            <w:div w:id="898126537">
              <w:marLeft w:val="0"/>
              <w:marRight w:val="0"/>
              <w:marTop w:val="0"/>
              <w:marBottom w:val="0"/>
              <w:divBdr>
                <w:top w:val="none" w:sz="0" w:space="0" w:color="auto"/>
                <w:left w:val="none" w:sz="0" w:space="0" w:color="auto"/>
                <w:bottom w:val="none" w:sz="0" w:space="0" w:color="auto"/>
                <w:right w:val="none" w:sz="0" w:space="0" w:color="auto"/>
              </w:divBdr>
              <w:divsChild>
                <w:div w:id="88803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070915">
      <w:bodyDiv w:val="1"/>
      <w:marLeft w:val="0"/>
      <w:marRight w:val="0"/>
      <w:marTop w:val="0"/>
      <w:marBottom w:val="0"/>
      <w:divBdr>
        <w:top w:val="none" w:sz="0" w:space="0" w:color="auto"/>
        <w:left w:val="none" w:sz="0" w:space="0" w:color="auto"/>
        <w:bottom w:val="none" w:sz="0" w:space="0" w:color="auto"/>
        <w:right w:val="none" w:sz="0" w:space="0" w:color="auto"/>
      </w:divBdr>
      <w:divsChild>
        <w:div w:id="1705327519">
          <w:marLeft w:val="0"/>
          <w:marRight w:val="0"/>
          <w:marTop w:val="0"/>
          <w:marBottom w:val="0"/>
          <w:divBdr>
            <w:top w:val="none" w:sz="0" w:space="0" w:color="auto"/>
            <w:left w:val="none" w:sz="0" w:space="0" w:color="auto"/>
            <w:bottom w:val="none" w:sz="0" w:space="0" w:color="auto"/>
            <w:right w:val="none" w:sz="0" w:space="0" w:color="auto"/>
          </w:divBdr>
        </w:div>
        <w:div w:id="1833179041">
          <w:marLeft w:val="0"/>
          <w:marRight w:val="0"/>
          <w:marTop w:val="0"/>
          <w:marBottom w:val="150"/>
          <w:divBdr>
            <w:top w:val="none" w:sz="0" w:space="0" w:color="auto"/>
            <w:left w:val="none" w:sz="0" w:space="0" w:color="auto"/>
            <w:bottom w:val="none" w:sz="0" w:space="0" w:color="auto"/>
            <w:right w:val="none" w:sz="0" w:space="0" w:color="auto"/>
          </w:divBdr>
        </w:div>
      </w:divsChild>
    </w:div>
    <w:div w:id="1422288682">
      <w:bodyDiv w:val="1"/>
      <w:marLeft w:val="0"/>
      <w:marRight w:val="0"/>
      <w:marTop w:val="0"/>
      <w:marBottom w:val="0"/>
      <w:divBdr>
        <w:top w:val="none" w:sz="0" w:space="0" w:color="auto"/>
        <w:left w:val="none" w:sz="0" w:space="0" w:color="auto"/>
        <w:bottom w:val="none" w:sz="0" w:space="0" w:color="auto"/>
        <w:right w:val="none" w:sz="0" w:space="0" w:color="auto"/>
      </w:divBdr>
      <w:divsChild>
        <w:div w:id="1249656308">
          <w:marLeft w:val="0"/>
          <w:marRight w:val="0"/>
          <w:marTop w:val="0"/>
          <w:marBottom w:val="150"/>
          <w:divBdr>
            <w:top w:val="none" w:sz="0" w:space="0" w:color="auto"/>
            <w:left w:val="none" w:sz="0" w:space="0" w:color="auto"/>
            <w:bottom w:val="none" w:sz="0" w:space="0" w:color="auto"/>
            <w:right w:val="none" w:sz="0" w:space="0" w:color="auto"/>
          </w:divBdr>
        </w:div>
      </w:divsChild>
    </w:div>
    <w:div w:id="1422605276">
      <w:bodyDiv w:val="1"/>
      <w:marLeft w:val="0"/>
      <w:marRight w:val="0"/>
      <w:marTop w:val="0"/>
      <w:marBottom w:val="0"/>
      <w:divBdr>
        <w:top w:val="none" w:sz="0" w:space="0" w:color="auto"/>
        <w:left w:val="none" w:sz="0" w:space="0" w:color="auto"/>
        <w:bottom w:val="none" w:sz="0" w:space="0" w:color="auto"/>
        <w:right w:val="none" w:sz="0" w:space="0" w:color="auto"/>
      </w:divBdr>
      <w:divsChild>
        <w:div w:id="613100366">
          <w:marLeft w:val="0"/>
          <w:marRight w:val="0"/>
          <w:marTop w:val="0"/>
          <w:marBottom w:val="0"/>
          <w:divBdr>
            <w:top w:val="none" w:sz="0" w:space="0" w:color="auto"/>
            <w:left w:val="none" w:sz="0" w:space="0" w:color="auto"/>
            <w:bottom w:val="dotted" w:sz="6" w:space="4" w:color="DDDDDD"/>
            <w:right w:val="none" w:sz="0" w:space="0" w:color="auto"/>
          </w:divBdr>
          <w:divsChild>
            <w:div w:id="78211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379422">
      <w:bodyDiv w:val="1"/>
      <w:marLeft w:val="0"/>
      <w:marRight w:val="0"/>
      <w:marTop w:val="0"/>
      <w:marBottom w:val="0"/>
      <w:divBdr>
        <w:top w:val="none" w:sz="0" w:space="0" w:color="auto"/>
        <w:left w:val="none" w:sz="0" w:space="0" w:color="auto"/>
        <w:bottom w:val="none" w:sz="0" w:space="0" w:color="auto"/>
        <w:right w:val="none" w:sz="0" w:space="0" w:color="auto"/>
      </w:divBdr>
      <w:divsChild>
        <w:div w:id="1618292755">
          <w:marLeft w:val="0"/>
          <w:marRight w:val="0"/>
          <w:marTop w:val="0"/>
          <w:marBottom w:val="0"/>
          <w:divBdr>
            <w:top w:val="none" w:sz="0" w:space="0" w:color="auto"/>
            <w:left w:val="none" w:sz="0" w:space="0" w:color="auto"/>
            <w:bottom w:val="dotted" w:sz="6" w:space="4" w:color="DDDDDD"/>
            <w:right w:val="none" w:sz="0" w:space="0" w:color="auto"/>
          </w:divBdr>
          <w:divsChild>
            <w:div w:id="71678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720767">
      <w:bodyDiv w:val="1"/>
      <w:marLeft w:val="0"/>
      <w:marRight w:val="0"/>
      <w:marTop w:val="0"/>
      <w:marBottom w:val="0"/>
      <w:divBdr>
        <w:top w:val="none" w:sz="0" w:space="0" w:color="auto"/>
        <w:left w:val="none" w:sz="0" w:space="0" w:color="auto"/>
        <w:bottom w:val="none" w:sz="0" w:space="0" w:color="auto"/>
        <w:right w:val="none" w:sz="0" w:space="0" w:color="auto"/>
      </w:divBdr>
    </w:div>
    <w:div w:id="1424448277">
      <w:bodyDiv w:val="1"/>
      <w:marLeft w:val="0"/>
      <w:marRight w:val="0"/>
      <w:marTop w:val="0"/>
      <w:marBottom w:val="0"/>
      <w:divBdr>
        <w:top w:val="none" w:sz="0" w:space="0" w:color="auto"/>
        <w:left w:val="none" w:sz="0" w:space="0" w:color="auto"/>
        <w:bottom w:val="none" w:sz="0" w:space="0" w:color="auto"/>
        <w:right w:val="none" w:sz="0" w:space="0" w:color="auto"/>
      </w:divBdr>
      <w:divsChild>
        <w:div w:id="181669629">
          <w:marLeft w:val="0"/>
          <w:marRight w:val="0"/>
          <w:marTop w:val="0"/>
          <w:marBottom w:val="150"/>
          <w:divBdr>
            <w:top w:val="none" w:sz="0" w:space="0" w:color="auto"/>
            <w:left w:val="none" w:sz="0" w:space="0" w:color="auto"/>
            <w:bottom w:val="none" w:sz="0" w:space="0" w:color="auto"/>
            <w:right w:val="none" w:sz="0" w:space="0" w:color="auto"/>
          </w:divBdr>
        </w:div>
        <w:div w:id="1576669774">
          <w:marLeft w:val="0"/>
          <w:marRight w:val="0"/>
          <w:marTop w:val="0"/>
          <w:marBottom w:val="0"/>
          <w:divBdr>
            <w:top w:val="none" w:sz="0" w:space="0" w:color="auto"/>
            <w:left w:val="none" w:sz="0" w:space="0" w:color="auto"/>
            <w:bottom w:val="none" w:sz="0" w:space="0" w:color="auto"/>
            <w:right w:val="none" w:sz="0" w:space="0" w:color="auto"/>
          </w:divBdr>
          <w:divsChild>
            <w:div w:id="1283154686">
              <w:marLeft w:val="0"/>
              <w:marRight w:val="0"/>
              <w:marTop w:val="225"/>
              <w:marBottom w:val="225"/>
              <w:divBdr>
                <w:top w:val="none" w:sz="0" w:space="0" w:color="auto"/>
                <w:left w:val="none" w:sz="0" w:space="0" w:color="auto"/>
                <w:bottom w:val="none" w:sz="0" w:space="0" w:color="auto"/>
                <w:right w:val="none" w:sz="0" w:space="0" w:color="auto"/>
              </w:divBdr>
            </w:div>
          </w:divsChild>
        </w:div>
        <w:div w:id="1895583653">
          <w:marLeft w:val="0"/>
          <w:marRight w:val="0"/>
          <w:marTop w:val="0"/>
          <w:marBottom w:val="150"/>
          <w:divBdr>
            <w:top w:val="none" w:sz="0" w:space="0" w:color="auto"/>
            <w:left w:val="none" w:sz="0" w:space="0" w:color="auto"/>
            <w:bottom w:val="none" w:sz="0" w:space="0" w:color="auto"/>
            <w:right w:val="none" w:sz="0" w:space="0" w:color="auto"/>
          </w:divBdr>
          <w:divsChild>
            <w:div w:id="2063357794">
              <w:marLeft w:val="0"/>
              <w:marRight w:val="0"/>
              <w:marTop w:val="0"/>
              <w:marBottom w:val="0"/>
              <w:divBdr>
                <w:top w:val="none" w:sz="0" w:space="0" w:color="auto"/>
                <w:left w:val="none" w:sz="0" w:space="0" w:color="auto"/>
                <w:bottom w:val="none" w:sz="0" w:space="0" w:color="auto"/>
                <w:right w:val="none" w:sz="0" w:space="0" w:color="auto"/>
              </w:divBdr>
              <w:divsChild>
                <w:div w:id="5835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884954">
      <w:bodyDiv w:val="1"/>
      <w:marLeft w:val="0"/>
      <w:marRight w:val="0"/>
      <w:marTop w:val="0"/>
      <w:marBottom w:val="0"/>
      <w:divBdr>
        <w:top w:val="none" w:sz="0" w:space="0" w:color="auto"/>
        <w:left w:val="none" w:sz="0" w:space="0" w:color="auto"/>
        <w:bottom w:val="none" w:sz="0" w:space="0" w:color="auto"/>
        <w:right w:val="none" w:sz="0" w:space="0" w:color="auto"/>
      </w:divBdr>
      <w:divsChild>
        <w:div w:id="477697438">
          <w:marLeft w:val="0"/>
          <w:marRight w:val="0"/>
          <w:marTop w:val="0"/>
          <w:marBottom w:val="0"/>
          <w:divBdr>
            <w:top w:val="none" w:sz="0" w:space="0" w:color="auto"/>
            <w:left w:val="none" w:sz="0" w:space="0" w:color="auto"/>
            <w:bottom w:val="none" w:sz="0" w:space="0" w:color="auto"/>
            <w:right w:val="none" w:sz="0" w:space="0" w:color="auto"/>
          </w:divBdr>
          <w:divsChild>
            <w:div w:id="277106184">
              <w:marLeft w:val="0"/>
              <w:marRight w:val="0"/>
              <w:marTop w:val="0"/>
              <w:marBottom w:val="0"/>
              <w:divBdr>
                <w:top w:val="none" w:sz="0" w:space="0" w:color="auto"/>
                <w:left w:val="none" w:sz="0" w:space="0" w:color="auto"/>
                <w:bottom w:val="none" w:sz="0" w:space="0" w:color="auto"/>
                <w:right w:val="none" w:sz="0" w:space="0" w:color="auto"/>
              </w:divBdr>
              <w:divsChild>
                <w:div w:id="202416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421584">
          <w:marLeft w:val="0"/>
          <w:marRight w:val="0"/>
          <w:marTop w:val="0"/>
          <w:marBottom w:val="0"/>
          <w:divBdr>
            <w:top w:val="none" w:sz="0" w:space="0" w:color="auto"/>
            <w:left w:val="none" w:sz="0" w:space="0" w:color="auto"/>
            <w:bottom w:val="none" w:sz="0" w:space="0" w:color="auto"/>
            <w:right w:val="none" w:sz="0" w:space="0" w:color="auto"/>
          </w:divBdr>
        </w:div>
        <w:div w:id="1604144546">
          <w:marLeft w:val="0"/>
          <w:marRight w:val="0"/>
          <w:marTop w:val="0"/>
          <w:marBottom w:val="300"/>
          <w:divBdr>
            <w:top w:val="none" w:sz="0" w:space="0" w:color="auto"/>
            <w:left w:val="none" w:sz="0" w:space="0" w:color="auto"/>
            <w:bottom w:val="none" w:sz="0" w:space="0" w:color="auto"/>
            <w:right w:val="none" w:sz="0" w:space="0" w:color="auto"/>
          </w:divBdr>
          <w:divsChild>
            <w:div w:id="702555001">
              <w:marLeft w:val="0"/>
              <w:marRight w:val="0"/>
              <w:marTop w:val="0"/>
              <w:marBottom w:val="0"/>
              <w:divBdr>
                <w:top w:val="none" w:sz="0" w:space="0" w:color="auto"/>
                <w:left w:val="none" w:sz="0" w:space="0" w:color="auto"/>
                <w:bottom w:val="none" w:sz="0" w:space="0" w:color="auto"/>
                <w:right w:val="none" w:sz="0" w:space="0" w:color="auto"/>
              </w:divBdr>
            </w:div>
          </w:divsChild>
        </w:div>
        <w:div w:id="1841700941">
          <w:marLeft w:val="0"/>
          <w:marRight w:val="0"/>
          <w:marTop w:val="0"/>
          <w:marBottom w:val="75"/>
          <w:divBdr>
            <w:top w:val="none" w:sz="0" w:space="0" w:color="auto"/>
            <w:left w:val="none" w:sz="0" w:space="0" w:color="auto"/>
            <w:bottom w:val="none" w:sz="0" w:space="0" w:color="auto"/>
            <w:right w:val="none" w:sz="0" w:space="0" w:color="auto"/>
          </w:divBdr>
        </w:div>
      </w:divsChild>
    </w:div>
    <w:div w:id="1425030690">
      <w:bodyDiv w:val="1"/>
      <w:marLeft w:val="0"/>
      <w:marRight w:val="0"/>
      <w:marTop w:val="0"/>
      <w:marBottom w:val="0"/>
      <w:divBdr>
        <w:top w:val="none" w:sz="0" w:space="0" w:color="auto"/>
        <w:left w:val="none" w:sz="0" w:space="0" w:color="auto"/>
        <w:bottom w:val="none" w:sz="0" w:space="0" w:color="auto"/>
        <w:right w:val="none" w:sz="0" w:space="0" w:color="auto"/>
      </w:divBdr>
    </w:div>
    <w:div w:id="1425498575">
      <w:bodyDiv w:val="1"/>
      <w:marLeft w:val="0"/>
      <w:marRight w:val="0"/>
      <w:marTop w:val="0"/>
      <w:marBottom w:val="0"/>
      <w:divBdr>
        <w:top w:val="none" w:sz="0" w:space="0" w:color="auto"/>
        <w:left w:val="none" w:sz="0" w:space="0" w:color="auto"/>
        <w:bottom w:val="none" w:sz="0" w:space="0" w:color="auto"/>
        <w:right w:val="none" w:sz="0" w:space="0" w:color="auto"/>
      </w:divBdr>
      <w:divsChild>
        <w:div w:id="1983265628">
          <w:marLeft w:val="0"/>
          <w:marRight w:val="0"/>
          <w:marTop w:val="0"/>
          <w:marBottom w:val="0"/>
          <w:divBdr>
            <w:top w:val="none" w:sz="0" w:space="0" w:color="auto"/>
            <w:left w:val="none" w:sz="0" w:space="0" w:color="auto"/>
            <w:bottom w:val="none" w:sz="0" w:space="0" w:color="auto"/>
            <w:right w:val="none" w:sz="0" w:space="0" w:color="auto"/>
          </w:divBdr>
          <w:divsChild>
            <w:div w:id="56588563">
              <w:marLeft w:val="0"/>
              <w:marRight w:val="0"/>
              <w:marTop w:val="0"/>
              <w:marBottom w:val="0"/>
              <w:divBdr>
                <w:top w:val="none" w:sz="0" w:space="0" w:color="auto"/>
                <w:left w:val="none" w:sz="0" w:space="0" w:color="auto"/>
                <w:bottom w:val="none" w:sz="0" w:space="0" w:color="auto"/>
                <w:right w:val="none" w:sz="0" w:space="0" w:color="auto"/>
              </w:divBdr>
              <w:divsChild>
                <w:div w:id="545027671">
                  <w:marLeft w:val="0"/>
                  <w:marRight w:val="0"/>
                  <w:marTop w:val="0"/>
                  <w:marBottom w:val="0"/>
                  <w:divBdr>
                    <w:top w:val="none" w:sz="0" w:space="0" w:color="auto"/>
                    <w:left w:val="none" w:sz="0" w:space="0" w:color="auto"/>
                    <w:bottom w:val="none" w:sz="0" w:space="0" w:color="auto"/>
                    <w:right w:val="none" w:sz="0" w:space="0" w:color="auto"/>
                  </w:divBdr>
                  <w:divsChild>
                    <w:div w:id="11152037">
                      <w:marLeft w:val="0"/>
                      <w:marRight w:val="0"/>
                      <w:marTop w:val="0"/>
                      <w:marBottom w:val="0"/>
                      <w:divBdr>
                        <w:top w:val="none" w:sz="0" w:space="0" w:color="auto"/>
                        <w:left w:val="none" w:sz="0" w:space="0" w:color="auto"/>
                        <w:bottom w:val="none" w:sz="0" w:space="0" w:color="auto"/>
                        <w:right w:val="none" w:sz="0" w:space="0" w:color="auto"/>
                      </w:divBdr>
                      <w:divsChild>
                        <w:div w:id="560990132">
                          <w:marLeft w:val="0"/>
                          <w:marRight w:val="0"/>
                          <w:marTop w:val="0"/>
                          <w:marBottom w:val="0"/>
                          <w:divBdr>
                            <w:top w:val="none" w:sz="0" w:space="0" w:color="auto"/>
                            <w:left w:val="none" w:sz="0" w:space="0" w:color="auto"/>
                            <w:bottom w:val="none" w:sz="0" w:space="0" w:color="auto"/>
                            <w:right w:val="none" w:sz="0" w:space="0" w:color="auto"/>
                          </w:divBdr>
                          <w:divsChild>
                            <w:div w:id="2146896814">
                              <w:marLeft w:val="0"/>
                              <w:marRight w:val="0"/>
                              <w:marTop w:val="0"/>
                              <w:marBottom w:val="0"/>
                              <w:divBdr>
                                <w:top w:val="none" w:sz="0" w:space="0" w:color="auto"/>
                                <w:left w:val="none" w:sz="0" w:space="0" w:color="auto"/>
                                <w:bottom w:val="none" w:sz="0" w:space="0" w:color="auto"/>
                                <w:right w:val="none" w:sz="0" w:space="0" w:color="auto"/>
                              </w:divBdr>
                              <w:divsChild>
                                <w:div w:id="1232733808">
                                  <w:marLeft w:val="0"/>
                                  <w:marRight w:val="0"/>
                                  <w:marTop w:val="0"/>
                                  <w:marBottom w:val="88"/>
                                  <w:divBdr>
                                    <w:top w:val="none" w:sz="0" w:space="0" w:color="auto"/>
                                    <w:left w:val="none" w:sz="0" w:space="0" w:color="auto"/>
                                    <w:bottom w:val="none" w:sz="0" w:space="0" w:color="auto"/>
                                    <w:right w:val="none" w:sz="0" w:space="0" w:color="auto"/>
                                  </w:divBdr>
                                  <w:divsChild>
                                    <w:div w:id="611127899">
                                      <w:marLeft w:val="0"/>
                                      <w:marRight w:val="0"/>
                                      <w:marTop w:val="0"/>
                                      <w:marBottom w:val="0"/>
                                      <w:divBdr>
                                        <w:top w:val="none" w:sz="0" w:space="0" w:color="auto"/>
                                        <w:left w:val="none" w:sz="0" w:space="0" w:color="auto"/>
                                        <w:bottom w:val="none" w:sz="0" w:space="0" w:color="auto"/>
                                        <w:right w:val="none" w:sz="0" w:space="0" w:color="auto"/>
                                      </w:divBdr>
                                      <w:divsChild>
                                        <w:div w:id="451949032">
                                          <w:marLeft w:val="0"/>
                                          <w:marRight w:val="0"/>
                                          <w:marTop w:val="0"/>
                                          <w:marBottom w:val="0"/>
                                          <w:divBdr>
                                            <w:top w:val="none" w:sz="0" w:space="0" w:color="auto"/>
                                            <w:left w:val="none" w:sz="0" w:space="0" w:color="auto"/>
                                            <w:bottom w:val="none" w:sz="0" w:space="0" w:color="auto"/>
                                            <w:right w:val="none" w:sz="0" w:space="0" w:color="auto"/>
                                          </w:divBdr>
                                          <w:divsChild>
                                            <w:div w:id="93914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6414080">
      <w:bodyDiv w:val="1"/>
      <w:marLeft w:val="0"/>
      <w:marRight w:val="0"/>
      <w:marTop w:val="0"/>
      <w:marBottom w:val="0"/>
      <w:divBdr>
        <w:top w:val="none" w:sz="0" w:space="0" w:color="auto"/>
        <w:left w:val="none" w:sz="0" w:space="0" w:color="auto"/>
        <w:bottom w:val="none" w:sz="0" w:space="0" w:color="auto"/>
        <w:right w:val="none" w:sz="0" w:space="0" w:color="auto"/>
      </w:divBdr>
      <w:divsChild>
        <w:div w:id="691223578">
          <w:marLeft w:val="0"/>
          <w:marRight w:val="0"/>
          <w:marTop w:val="0"/>
          <w:marBottom w:val="0"/>
          <w:divBdr>
            <w:top w:val="none" w:sz="0" w:space="0" w:color="auto"/>
            <w:left w:val="none" w:sz="0" w:space="0" w:color="auto"/>
            <w:bottom w:val="none" w:sz="0" w:space="0" w:color="auto"/>
            <w:right w:val="none" w:sz="0" w:space="0" w:color="auto"/>
          </w:divBdr>
          <w:divsChild>
            <w:div w:id="1079592165">
              <w:marLeft w:val="0"/>
              <w:marRight w:val="0"/>
              <w:marTop w:val="0"/>
              <w:marBottom w:val="0"/>
              <w:divBdr>
                <w:top w:val="none" w:sz="0" w:space="0" w:color="auto"/>
                <w:left w:val="none" w:sz="0" w:space="0" w:color="auto"/>
                <w:bottom w:val="none" w:sz="0" w:space="0" w:color="auto"/>
                <w:right w:val="none" w:sz="0" w:space="0" w:color="auto"/>
              </w:divBdr>
              <w:divsChild>
                <w:div w:id="543715231">
                  <w:marLeft w:val="0"/>
                  <w:marRight w:val="0"/>
                  <w:marTop w:val="0"/>
                  <w:marBottom w:val="0"/>
                  <w:divBdr>
                    <w:top w:val="none" w:sz="0" w:space="0" w:color="auto"/>
                    <w:left w:val="none" w:sz="0" w:space="0" w:color="auto"/>
                    <w:bottom w:val="none" w:sz="0" w:space="0" w:color="auto"/>
                    <w:right w:val="none" w:sz="0" w:space="0" w:color="auto"/>
                  </w:divBdr>
                  <w:divsChild>
                    <w:div w:id="580525884">
                      <w:marLeft w:val="0"/>
                      <w:marRight w:val="0"/>
                      <w:marTop w:val="0"/>
                      <w:marBottom w:val="75"/>
                      <w:divBdr>
                        <w:top w:val="none" w:sz="0" w:space="0" w:color="auto"/>
                        <w:left w:val="none" w:sz="0" w:space="0" w:color="auto"/>
                        <w:bottom w:val="none" w:sz="0" w:space="0" w:color="auto"/>
                        <w:right w:val="none" w:sz="0" w:space="0" w:color="auto"/>
                      </w:divBdr>
                    </w:div>
                    <w:div w:id="899288553">
                      <w:marLeft w:val="0"/>
                      <w:marRight w:val="0"/>
                      <w:marTop w:val="0"/>
                      <w:marBottom w:val="0"/>
                      <w:divBdr>
                        <w:top w:val="none" w:sz="0" w:space="0" w:color="auto"/>
                        <w:left w:val="none" w:sz="0" w:space="0" w:color="auto"/>
                        <w:bottom w:val="none" w:sz="0" w:space="0" w:color="auto"/>
                        <w:right w:val="none" w:sz="0" w:space="0" w:color="auto"/>
                      </w:divBdr>
                      <w:divsChild>
                        <w:div w:id="1225599757">
                          <w:marLeft w:val="0"/>
                          <w:marRight w:val="0"/>
                          <w:marTop w:val="0"/>
                          <w:marBottom w:val="0"/>
                          <w:divBdr>
                            <w:top w:val="none" w:sz="0" w:space="0" w:color="auto"/>
                            <w:left w:val="none" w:sz="0" w:space="0" w:color="auto"/>
                            <w:bottom w:val="none" w:sz="0" w:space="0" w:color="auto"/>
                            <w:right w:val="none" w:sz="0" w:space="0" w:color="auto"/>
                          </w:divBdr>
                          <w:divsChild>
                            <w:div w:id="60607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057050">
                      <w:marLeft w:val="0"/>
                      <w:marRight w:val="0"/>
                      <w:marTop w:val="0"/>
                      <w:marBottom w:val="0"/>
                      <w:divBdr>
                        <w:top w:val="none" w:sz="0" w:space="0" w:color="auto"/>
                        <w:left w:val="none" w:sz="0" w:space="0" w:color="auto"/>
                        <w:bottom w:val="none" w:sz="0" w:space="0" w:color="auto"/>
                        <w:right w:val="none" w:sz="0" w:space="0" w:color="auto"/>
                      </w:divBdr>
                    </w:div>
                    <w:div w:id="1331715531">
                      <w:marLeft w:val="0"/>
                      <w:marRight w:val="0"/>
                      <w:marTop w:val="0"/>
                      <w:marBottom w:val="300"/>
                      <w:divBdr>
                        <w:top w:val="none" w:sz="0" w:space="0" w:color="auto"/>
                        <w:left w:val="none" w:sz="0" w:space="0" w:color="auto"/>
                        <w:bottom w:val="none" w:sz="0" w:space="0" w:color="auto"/>
                        <w:right w:val="none" w:sz="0" w:space="0" w:color="auto"/>
                      </w:divBdr>
                      <w:divsChild>
                        <w:div w:id="120031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390080">
                  <w:marLeft w:val="300"/>
                  <w:marRight w:val="0"/>
                  <w:marTop w:val="0"/>
                  <w:marBottom w:val="0"/>
                  <w:divBdr>
                    <w:top w:val="none" w:sz="0" w:space="0" w:color="auto"/>
                    <w:left w:val="none" w:sz="0" w:space="0" w:color="auto"/>
                    <w:bottom w:val="none" w:sz="0" w:space="0" w:color="auto"/>
                    <w:right w:val="none" w:sz="0" w:space="0" w:color="auto"/>
                  </w:divBdr>
                  <w:divsChild>
                    <w:div w:id="897713401">
                      <w:marLeft w:val="0"/>
                      <w:marRight w:val="0"/>
                      <w:marTop w:val="0"/>
                      <w:marBottom w:val="300"/>
                      <w:divBdr>
                        <w:top w:val="none" w:sz="0" w:space="0" w:color="auto"/>
                        <w:left w:val="none" w:sz="0" w:space="0" w:color="auto"/>
                        <w:bottom w:val="none" w:sz="0" w:space="0" w:color="auto"/>
                        <w:right w:val="none" w:sz="0" w:space="0" w:color="auto"/>
                      </w:divBdr>
                      <w:divsChild>
                        <w:div w:id="234826900">
                          <w:marLeft w:val="0"/>
                          <w:marRight w:val="0"/>
                          <w:marTop w:val="0"/>
                          <w:marBottom w:val="0"/>
                          <w:divBdr>
                            <w:top w:val="none" w:sz="0" w:space="0" w:color="auto"/>
                            <w:left w:val="none" w:sz="0" w:space="0" w:color="auto"/>
                            <w:bottom w:val="none" w:sz="0" w:space="0" w:color="auto"/>
                            <w:right w:val="none" w:sz="0" w:space="0" w:color="auto"/>
                          </w:divBdr>
                          <w:divsChild>
                            <w:div w:id="1634411349">
                              <w:marLeft w:val="0"/>
                              <w:marRight w:val="0"/>
                              <w:marTop w:val="0"/>
                              <w:marBottom w:val="0"/>
                              <w:divBdr>
                                <w:top w:val="none" w:sz="0" w:space="0" w:color="auto"/>
                                <w:left w:val="none" w:sz="0" w:space="0" w:color="auto"/>
                                <w:bottom w:val="none" w:sz="0" w:space="0" w:color="auto"/>
                                <w:right w:val="none" w:sz="0" w:space="0" w:color="auto"/>
                              </w:divBdr>
                              <w:divsChild>
                                <w:div w:id="1390761108">
                                  <w:marLeft w:val="0"/>
                                  <w:marRight w:val="0"/>
                                  <w:marTop w:val="0"/>
                                  <w:marBottom w:val="0"/>
                                  <w:divBdr>
                                    <w:top w:val="single" w:sz="2" w:space="0" w:color="DFDFDF"/>
                                    <w:left w:val="single" w:sz="2" w:space="0" w:color="DFDFDF"/>
                                    <w:bottom w:val="single" w:sz="2" w:space="0" w:color="DFDFDF"/>
                                    <w:right w:val="single" w:sz="2" w:space="0" w:color="DFDFDF"/>
                                  </w:divBdr>
                                  <w:divsChild>
                                    <w:div w:id="1843663989">
                                      <w:marLeft w:val="-90"/>
                                      <w:marRight w:val="0"/>
                                      <w:marTop w:val="0"/>
                                      <w:marBottom w:val="0"/>
                                      <w:divBdr>
                                        <w:top w:val="none" w:sz="0" w:space="0" w:color="auto"/>
                                        <w:left w:val="none" w:sz="0" w:space="0" w:color="auto"/>
                                        <w:bottom w:val="none" w:sz="0" w:space="0" w:color="auto"/>
                                        <w:right w:val="none" w:sz="0" w:space="0" w:color="auto"/>
                                      </w:divBdr>
                                      <w:divsChild>
                                        <w:div w:id="539517455">
                                          <w:marLeft w:val="0"/>
                                          <w:marRight w:val="0"/>
                                          <w:marTop w:val="0"/>
                                          <w:marBottom w:val="45"/>
                                          <w:divBdr>
                                            <w:top w:val="single" w:sz="2" w:space="0" w:color="A9A9A9"/>
                                            <w:left w:val="single" w:sz="2" w:space="0" w:color="A9A9A9"/>
                                            <w:bottom w:val="single" w:sz="2" w:space="0" w:color="A9A9A9"/>
                                            <w:right w:val="single" w:sz="2" w:space="0" w:color="A9A9A9"/>
                                          </w:divBdr>
                                          <w:divsChild>
                                            <w:div w:id="1279026407">
                                              <w:marLeft w:val="0"/>
                                              <w:marRight w:val="0"/>
                                              <w:marTop w:val="0"/>
                                              <w:marBottom w:val="0"/>
                                              <w:divBdr>
                                                <w:top w:val="none" w:sz="0" w:space="0" w:color="auto"/>
                                                <w:left w:val="none" w:sz="0" w:space="0" w:color="auto"/>
                                                <w:bottom w:val="none" w:sz="0" w:space="0" w:color="auto"/>
                                                <w:right w:val="none" w:sz="0" w:space="0" w:color="auto"/>
                                              </w:divBdr>
                                              <w:divsChild>
                                                <w:div w:id="106387185">
                                                  <w:marLeft w:val="92"/>
                                                  <w:marRight w:val="0"/>
                                                  <w:marTop w:val="0"/>
                                                  <w:marBottom w:val="150"/>
                                                  <w:divBdr>
                                                    <w:top w:val="single" w:sz="2" w:space="0" w:color="E4E4E4"/>
                                                    <w:left w:val="single" w:sz="2" w:space="0" w:color="E4E4E4"/>
                                                    <w:bottom w:val="single" w:sz="2" w:space="0" w:color="E4E4E4"/>
                                                    <w:right w:val="single" w:sz="2" w:space="0" w:color="E4E4E4"/>
                                                  </w:divBdr>
                                                </w:div>
                                                <w:div w:id="204285421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307635427">
                          <w:marLeft w:val="0"/>
                          <w:marRight w:val="0"/>
                          <w:marTop w:val="0"/>
                          <w:marBottom w:val="0"/>
                          <w:divBdr>
                            <w:top w:val="none" w:sz="0" w:space="0" w:color="auto"/>
                            <w:left w:val="none" w:sz="0" w:space="0" w:color="auto"/>
                            <w:bottom w:val="none" w:sz="0" w:space="0" w:color="auto"/>
                            <w:right w:val="none" w:sz="0" w:space="0" w:color="auto"/>
                          </w:divBdr>
                          <w:divsChild>
                            <w:div w:id="824395318">
                              <w:marLeft w:val="0"/>
                              <w:marRight w:val="0"/>
                              <w:marTop w:val="0"/>
                              <w:marBottom w:val="0"/>
                              <w:divBdr>
                                <w:top w:val="none" w:sz="0" w:space="0" w:color="auto"/>
                                <w:left w:val="none" w:sz="0" w:space="0" w:color="auto"/>
                                <w:bottom w:val="none" w:sz="0" w:space="0" w:color="auto"/>
                                <w:right w:val="none" w:sz="0" w:space="0" w:color="auto"/>
                              </w:divBdr>
                              <w:divsChild>
                                <w:div w:id="792751363">
                                  <w:marLeft w:val="0"/>
                                  <w:marRight w:val="0"/>
                                  <w:marTop w:val="0"/>
                                  <w:marBottom w:val="0"/>
                                  <w:divBdr>
                                    <w:top w:val="single" w:sz="2" w:space="0" w:color="DFDFDF"/>
                                    <w:left w:val="single" w:sz="2" w:space="0" w:color="DFDFDF"/>
                                    <w:bottom w:val="single" w:sz="2" w:space="0" w:color="DFDFDF"/>
                                    <w:right w:val="single" w:sz="2" w:space="0" w:color="DFDFDF"/>
                                  </w:divBdr>
                                  <w:divsChild>
                                    <w:div w:id="679503110">
                                      <w:marLeft w:val="-90"/>
                                      <w:marRight w:val="0"/>
                                      <w:marTop w:val="0"/>
                                      <w:marBottom w:val="0"/>
                                      <w:divBdr>
                                        <w:top w:val="none" w:sz="0" w:space="0" w:color="auto"/>
                                        <w:left w:val="none" w:sz="0" w:space="0" w:color="auto"/>
                                        <w:bottom w:val="none" w:sz="0" w:space="0" w:color="auto"/>
                                        <w:right w:val="none" w:sz="0" w:space="0" w:color="auto"/>
                                      </w:divBdr>
                                      <w:divsChild>
                                        <w:div w:id="729311347">
                                          <w:marLeft w:val="0"/>
                                          <w:marRight w:val="0"/>
                                          <w:marTop w:val="0"/>
                                          <w:marBottom w:val="45"/>
                                          <w:divBdr>
                                            <w:top w:val="single" w:sz="2" w:space="0" w:color="A9A9A9"/>
                                            <w:left w:val="single" w:sz="2" w:space="0" w:color="A9A9A9"/>
                                            <w:bottom w:val="single" w:sz="2" w:space="0" w:color="A9A9A9"/>
                                            <w:right w:val="single" w:sz="2" w:space="0" w:color="A9A9A9"/>
                                          </w:divBdr>
                                          <w:divsChild>
                                            <w:div w:id="677656928">
                                              <w:marLeft w:val="0"/>
                                              <w:marRight w:val="0"/>
                                              <w:marTop w:val="0"/>
                                              <w:marBottom w:val="0"/>
                                              <w:divBdr>
                                                <w:top w:val="none" w:sz="0" w:space="0" w:color="auto"/>
                                                <w:left w:val="none" w:sz="0" w:space="0" w:color="auto"/>
                                                <w:bottom w:val="none" w:sz="0" w:space="0" w:color="auto"/>
                                                <w:right w:val="none" w:sz="0" w:space="0" w:color="auto"/>
                                              </w:divBdr>
                                              <w:divsChild>
                                                <w:div w:id="48910431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693721763">
                                      <w:marLeft w:val="0"/>
                                      <w:marRight w:val="0"/>
                                      <w:marTop w:val="0"/>
                                      <w:marBottom w:val="270"/>
                                      <w:divBdr>
                                        <w:top w:val="none" w:sz="0" w:space="0" w:color="auto"/>
                                        <w:left w:val="none" w:sz="0" w:space="0" w:color="auto"/>
                                        <w:bottom w:val="single" w:sz="12" w:space="5" w:color="DADADA"/>
                                        <w:right w:val="none" w:sz="0" w:space="0" w:color="auto"/>
                                      </w:divBdr>
                                      <w:divsChild>
                                        <w:div w:id="64605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109746">
          <w:marLeft w:val="0"/>
          <w:marRight w:val="0"/>
          <w:marTop w:val="0"/>
          <w:marBottom w:val="0"/>
          <w:divBdr>
            <w:top w:val="none" w:sz="0" w:space="0" w:color="auto"/>
            <w:left w:val="none" w:sz="0" w:space="0" w:color="auto"/>
            <w:bottom w:val="none" w:sz="0" w:space="0" w:color="auto"/>
            <w:right w:val="none" w:sz="0" w:space="0" w:color="auto"/>
          </w:divBdr>
          <w:divsChild>
            <w:div w:id="157576676">
              <w:marLeft w:val="0"/>
              <w:marRight w:val="0"/>
              <w:marTop w:val="0"/>
              <w:marBottom w:val="300"/>
              <w:divBdr>
                <w:top w:val="none" w:sz="0" w:space="0" w:color="auto"/>
                <w:left w:val="none" w:sz="0" w:space="0" w:color="auto"/>
                <w:bottom w:val="single" w:sz="6" w:space="0" w:color="F1F1F1"/>
                <w:right w:val="none" w:sz="0" w:space="0" w:color="auto"/>
              </w:divBdr>
              <w:divsChild>
                <w:div w:id="17735477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26457369">
      <w:bodyDiv w:val="1"/>
      <w:marLeft w:val="0"/>
      <w:marRight w:val="0"/>
      <w:marTop w:val="0"/>
      <w:marBottom w:val="0"/>
      <w:divBdr>
        <w:top w:val="none" w:sz="0" w:space="0" w:color="auto"/>
        <w:left w:val="none" w:sz="0" w:space="0" w:color="auto"/>
        <w:bottom w:val="none" w:sz="0" w:space="0" w:color="auto"/>
        <w:right w:val="none" w:sz="0" w:space="0" w:color="auto"/>
      </w:divBdr>
      <w:divsChild>
        <w:div w:id="211697317">
          <w:marLeft w:val="0"/>
          <w:marRight w:val="0"/>
          <w:marTop w:val="0"/>
          <w:marBottom w:val="0"/>
          <w:divBdr>
            <w:top w:val="none" w:sz="0" w:space="0" w:color="auto"/>
            <w:left w:val="none" w:sz="0" w:space="0" w:color="auto"/>
            <w:bottom w:val="none" w:sz="0" w:space="0" w:color="auto"/>
            <w:right w:val="none" w:sz="0" w:space="0" w:color="auto"/>
          </w:divBdr>
        </w:div>
        <w:div w:id="1211529228">
          <w:marLeft w:val="0"/>
          <w:marRight w:val="0"/>
          <w:marTop w:val="0"/>
          <w:marBottom w:val="150"/>
          <w:divBdr>
            <w:top w:val="none" w:sz="0" w:space="0" w:color="auto"/>
            <w:left w:val="none" w:sz="0" w:space="0" w:color="auto"/>
            <w:bottom w:val="none" w:sz="0" w:space="0" w:color="auto"/>
            <w:right w:val="none" w:sz="0" w:space="0" w:color="auto"/>
          </w:divBdr>
        </w:div>
      </w:divsChild>
    </w:div>
    <w:div w:id="1426458598">
      <w:bodyDiv w:val="1"/>
      <w:marLeft w:val="0"/>
      <w:marRight w:val="0"/>
      <w:marTop w:val="0"/>
      <w:marBottom w:val="0"/>
      <w:divBdr>
        <w:top w:val="none" w:sz="0" w:space="0" w:color="auto"/>
        <w:left w:val="none" w:sz="0" w:space="0" w:color="auto"/>
        <w:bottom w:val="none" w:sz="0" w:space="0" w:color="auto"/>
        <w:right w:val="none" w:sz="0" w:space="0" w:color="auto"/>
      </w:divBdr>
    </w:div>
    <w:div w:id="1426464260">
      <w:bodyDiv w:val="1"/>
      <w:marLeft w:val="0"/>
      <w:marRight w:val="0"/>
      <w:marTop w:val="0"/>
      <w:marBottom w:val="0"/>
      <w:divBdr>
        <w:top w:val="none" w:sz="0" w:space="0" w:color="auto"/>
        <w:left w:val="none" w:sz="0" w:space="0" w:color="auto"/>
        <w:bottom w:val="none" w:sz="0" w:space="0" w:color="auto"/>
        <w:right w:val="none" w:sz="0" w:space="0" w:color="auto"/>
      </w:divBdr>
    </w:div>
    <w:div w:id="1427654539">
      <w:bodyDiv w:val="1"/>
      <w:marLeft w:val="0"/>
      <w:marRight w:val="0"/>
      <w:marTop w:val="0"/>
      <w:marBottom w:val="0"/>
      <w:divBdr>
        <w:top w:val="none" w:sz="0" w:space="0" w:color="auto"/>
        <w:left w:val="none" w:sz="0" w:space="0" w:color="auto"/>
        <w:bottom w:val="none" w:sz="0" w:space="0" w:color="auto"/>
        <w:right w:val="none" w:sz="0" w:space="0" w:color="auto"/>
      </w:divBdr>
      <w:divsChild>
        <w:div w:id="342123589">
          <w:marLeft w:val="0"/>
          <w:marRight w:val="0"/>
          <w:marTop w:val="0"/>
          <w:marBottom w:val="0"/>
          <w:divBdr>
            <w:top w:val="none" w:sz="0" w:space="0" w:color="auto"/>
            <w:left w:val="none" w:sz="0" w:space="0" w:color="auto"/>
            <w:bottom w:val="none" w:sz="0" w:space="0" w:color="auto"/>
            <w:right w:val="none" w:sz="0" w:space="0" w:color="auto"/>
          </w:divBdr>
          <w:divsChild>
            <w:div w:id="1327128189">
              <w:marLeft w:val="0"/>
              <w:marRight w:val="0"/>
              <w:marTop w:val="0"/>
              <w:marBottom w:val="0"/>
              <w:divBdr>
                <w:top w:val="none" w:sz="0" w:space="0" w:color="auto"/>
                <w:left w:val="none" w:sz="0" w:space="0" w:color="auto"/>
                <w:bottom w:val="none" w:sz="0" w:space="0" w:color="auto"/>
                <w:right w:val="none" w:sz="0" w:space="0" w:color="auto"/>
              </w:divBdr>
              <w:divsChild>
                <w:div w:id="29963283">
                  <w:marLeft w:val="0"/>
                  <w:marRight w:val="0"/>
                  <w:marTop w:val="0"/>
                  <w:marBottom w:val="0"/>
                  <w:divBdr>
                    <w:top w:val="none" w:sz="0" w:space="0" w:color="auto"/>
                    <w:left w:val="none" w:sz="0" w:space="0" w:color="auto"/>
                    <w:bottom w:val="none" w:sz="0" w:space="0" w:color="auto"/>
                    <w:right w:val="none" w:sz="0" w:space="0" w:color="auto"/>
                  </w:divBdr>
                  <w:divsChild>
                    <w:div w:id="2125804531">
                      <w:marLeft w:val="0"/>
                      <w:marRight w:val="0"/>
                      <w:marTop w:val="0"/>
                      <w:marBottom w:val="0"/>
                      <w:divBdr>
                        <w:top w:val="none" w:sz="0" w:space="0" w:color="auto"/>
                        <w:left w:val="none" w:sz="0" w:space="0" w:color="auto"/>
                        <w:bottom w:val="none" w:sz="0" w:space="0" w:color="auto"/>
                        <w:right w:val="none" w:sz="0" w:space="0" w:color="auto"/>
                      </w:divBdr>
                      <w:divsChild>
                        <w:div w:id="1739479837">
                          <w:marLeft w:val="0"/>
                          <w:marRight w:val="0"/>
                          <w:marTop w:val="0"/>
                          <w:marBottom w:val="0"/>
                          <w:divBdr>
                            <w:top w:val="none" w:sz="0" w:space="0" w:color="auto"/>
                            <w:left w:val="none" w:sz="0" w:space="0" w:color="auto"/>
                            <w:bottom w:val="none" w:sz="0" w:space="0" w:color="auto"/>
                            <w:right w:val="none" w:sz="0" w:space="0" w:color="auto"/>
                          </w:divBdr>
                          <w:divsChild>
                            <w:div w:id="45877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7730529">
      <w:bodyDiv w:val="1"/>
      <w:marLeft w:val="0"/>
      <w:marRight w:val="0"/>
      <w:marTop w:val="0"/>
      <w:marBottom w:val="0"/>
      <w:divBdr>
        <w:top w:val="none" w:sz="0" w:space="0" w:color="auto"/>
        <w:left w:val="none" w:sz="0" w:space="0" w:color="auto"/>
        <w:bottom w:val="none" w:sz="0" w:space="0" w:color="auto"/>
        <w:right w:val="none" w:sz="0" w:space="0" w:color="auto"/>
      </w:divBdr>
      <w:divsChild>
        <w:div w:id="1972977650">
          <w:marLeft w:val="0"/>
          <w:marRight w:val="0"/>
          <w:marTop w:val="0"/>
          <w:marBottom w:val="0"/>
          <w:divBdr>
            <w:top w:val="none" w:sz="0" w:space="0" w:color="auto"/>
            <w:left w:val="none" w:sz="0" w:space="0" w:color="auto"/>
            <w:bottom w:val="none" w:sz="0" w:space="0" w:color="auto"/>
            <w:right w:val="none" w:sz="0" w:space="0" w:color="auto"/>
          </w:divBdr>
        </w:div>
      </w:divsChild>
    </w:div>
    <w:div w:id="1428770821">
      <w:bodyDiv w:val="1"/>
      <w:marLeft w:val="0"/>
      <w:marRight w:val="0"/>
      <w:marTop w:val="0"/>
      <w:marBottom w:val="0"/>
      <w:divBdr>
        <w:top w:val="none" w:sz="0" w:space="0" w:color="auto"/>
        <w:left w:val="none" w:sz="0" w:space="0" w:color="auto"/>
        <w:bottom w:val="none" w:sz="0" w:space="0" w:color="auto"/>
        <w:right w:val="none" w:sz="0" w:space="0" w:color="auto"/>
      </w:divBdr>
      <w:divsChild>
        <w:div w:id="345326252">
          <w:marLeft w:val="0"/>
          <w:marRight w:val="225"/>
          <w:marTop w:val="0"/>
          <w:marBottom w:val="0"/>
          <w:divBdr>
            <w:top w:val="none" w:sz="0" w:space="0" w:color="auto"/>
            <w:left w:val="none" w:sz="0" w:space="0" w:color="auto"/>
            <w:bottom w:val="none" w:sz="0" w:space="0" w:color="auto"/>
            <w:right w:val="none" w:sz="0" w:space="0" w:color="auto"/>
          </w:divBdr>
          <w:divsChild>
            <w:div w:id="2051762237">
              <w:marLeft w:val="0"/>
              <w:marRight w:val="0"/>
              <w:marTop w:val="225"/>
              <w:marBottom w:val="0"/>
              <w:divBdr>
                <w:top w:val="none" w:sz="0" w:space="0" w:color="auto"/>
                <w:left w:val="none" w:sz="0" w:space="0" w:color="auto"/>
                <w:bottom w:val="none" w:sz="0" w:space="0" w:color="auto"/>
                <w:right w:val="none" w:sz="0" w:space="0" w:color="auto"/>
              </w:divBdr>
              <w:divsChild>
                <w:div w:id="83784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562677">
          <w:marLeft w:val="0"/>
          <w:marRight w:val="0"/>
          <w:marTop w:val="0"/>
          <w:marBottom w:val="0"/>
          <w:divBdr>
            <w:top w:val="none" w:sz="0" w:space="0" w:color="auto"/>
            <w:left w:val="none" w:sz="0" w:space="0" w:color="auto"/>
            <w:bottom w:val="none" w:sz="0" w:space="0" w:color="auto"/>
            <w:right w:val="none" w:sz="0" w:space="0" w:color="auto"/>
          </w:divBdr>
          <w:divsChild>
            <w:div w:id="1768041666">
              <w:marLeft w:val="0"/>
              <w:marRight w:val="0"/>
              <w:marTop w:val="0"/>
              <w:marBottom w:val="150"/>
              <w:divBdr>
                <w:top w:val="none" w:sz="0" w:space="0" w:color="auto"/>
                <w:left w:val="none" w:sz="0" w:space="0" w:color="auto"/>
                <w:bottom w:val="none" w:sz="0" w:space="0" w:color="auto"/>
                <w:right w:val="none" w:sz="0" w:space="0" w:color="auto"/>
              </w:divBdr>
              <w:divsChild>
                <w:div w:id="143486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843763">
      <w:bodyDiv w:val="1"/>
      <w:marLeft w:val="0"/>
      <w:marRight w:val="0"/>
      <w:marTop w:val="0"/>
      <w:marBottom w:val="0"/>
      <w:divBdr>
        <w:top w:val="none" w:sz="0" w:space="0" w:color="auto"/>
        <w:left w:val="none" w:sz="0" w:space="0" w:color="auto"/>
        <w:bottom w:val="none" w:sz="0" w:space="0" w:color="auto"/>
        <w:right w:val="none" w:sz="0" w:space="0" w:color="auto"/>
      </w:divBdr>
      <w:divsChild>
        <w:div w:id="1524828590">
          <w:marLeft w:val="0"/>
          <w:marRight w:val="0"/>
          <w:marTop w:val="0"/>
          <w:marBottom w:val="150"/>
          <w:divBdr>
            <w:top w:val="none" w:sz="0" w:space="0" w:color="auto"/>
            <w:left w:val="none" w:sz="0" w:space="0" w:color="auto"/>
            <w:bottom w:val="none" w:sz="0" w:space="0" w:color="auto"/>
            <w:right w:val="none" w:sz="0" w:space="0" w:color="auto"/>
          </w:divBdr>
        </w:div>
      </w:divsChild>
    </w:div>
    <w:div w:id="1429081845">
      <w:bodyDiv w:val="1"/>
      <w:marLeft w:val="0"/>
      <w:marRight w:val="0"/>
      <w:marTop w:val="0"/>
      <w:marBottom w:val="0"/>
      <w:divBdr>
        <w:top w:val="none" w:sz="0" w:space="0" w:color="auto"/>
        <w:left w:val="none" w:sz="0" w:space="0" w:color="auto"/>
        <w:bottom w:val="none" w:sz="0" w:space="0" w:color="auto"/>
        <w:right w:val="none" w:sz="0" w:space="0" w:color="auto"/>
      </w:divBdr>
      <w:divsChild>
        <w:div w:id="992222025">
          <w:marLeft w:val="0"/>
          <w:marRight w:val="0"/>
          <w:marTop w:val="0"/>
          <w:marBottom w:val="0"/>
          <w:divBdr>
            <w:top w:val="none" w:sz="0" w:space="0" w:color="auto"/>
            <w:left w:val="none" w:sz="0" w:space="0" w:color="auto"/>
            <w:bottom w:val="none" w:sz="0" w:space="0" w:color="auto"/>
            <w:right w:val="none" w:sz="0" w:space="0" w:color="auto"/>
          </w:divBdr>
        </w:div>
      </w:divsChild>
    </w:div>
    <w:div w:id="1429084199">
      <w:bodyDiv w:val="1"/>
      <w:marLeft w:val="0"/>
      <w:marRight w:val="0"/>
      <w:marTop w:val="0"/>
      <w:marBottom w:val="0"/>
      <w:divBdr>
        <w:top w:val="none" w:sz="0" w:space="0" w:color="auto"/>
        <w:left w:val="none" w:sz="0" w:space="0" w:color="auto"/>
        <w:bottom w:val="none" w:sz="0" w:space="0" w:color="auto"/>
        <w:right w:val="none" w:sz="0" w:space="0" w:color="auto"/>
      </w:divBdr>
      <w:divsChild>
        <w:div w:id="807087640">
          <w:marLeft w:val="0"/>
          <w:marRight w:val="0"/>
          <w:marTop w:val="0"/>
          <w:marBottom w:val="0"/>
          <w:divBdr>
            <w:top w:val="none" w:sz="0" w:space="0" w:color="auto"/>
            <w:left w:val="none" w:sz="0" w:space="0" w:color="auto"/>
            <w:bottom w:val="none" w:sz="0" w:space="0" w:color="auto"/>
            <w:right w:val="none" w:sz="0" w:space="0" w:color="auto"/>
          </w:divBdr>
          <w:divsChild>
            <w:div w:id="747920291">
              <w:marLeft w:val="0"/>
              <w:marRight w:val="0"/>
              <w:marTop w:val="0"/>
              <w:marBottom w:val="225"/>
              <w:divBdr>
                <w:top w:val="none" w:sz="0" w:space="0" w:color="auto"/>
                <w:left w:val="none" w:sz="0" w:space="0" w:color="auto"/>
                <w:bottom w:val="none" w:sz="0" w:space="0" w:color="auto"/>
                <w:right w:val="none" w:sz="0" w:space="0" w:color="auto"/>
              </w:divBdr>
              <w:divsChild>
                <w:div w:id="36901397">
                  <w:marLeft w:val="0"/>
                  <w:marRight w:val="0"/>
                  <w:marTop w:val="0"/>
                  <w:marBottom w:val="150"/>
                  <w:divBdr>
                    <w:top w:val="none" w:sz="0" w:space="0" w:color="auto"/>
                    <w:left w:val="none" w:sz="0" w:space="0" w:color="auto"/>
                    <w:bottom w:val="none" w:sz="0" w:space="0" w:color="auto"/>
                    <w:right w:val="none" w:sz="0" w:space="0" w:color="auto"/>
                  </w:divBdr>
                </w:div>
                <w:div w:id="321348711">
                  <w:marLeft w:val="0"/>
                  <w:marRight w:val="0"/>
                  <w:marTop w:val="0"/>
                  <w:marBottom w:val="150"/>
                  <w:divBdr>
                    <w:top w:val="none" w:sz="0" w:space="0" w:color="auto"/>
                    <w:left w:val="none" w:sz="0" w:space="0" w:color="auto"/>
                    <w:bottom w:val="none" w:sz="0" w:space="0" w:color="auto"/>
                    <w:right w:val="none" w:sz="0" w:space="0" w:color="auto"/>
                  </w:divBdr>
                </w:div>
                <w:div w:id="651565007">
                  <w:marLeft w:val="0"/>
                  <w:marRight w:val="0"/>
                  <w:marTop w:val="0"/>
                  <w:marBottom w:val="150"/>
                  <w:divBdr>
                    <w:top w:val="none" w:sz="0" w:space="0" w:color="auto"/>
                    <w:left w:val="none" w:sz="0" w:space="0" w:color="auto"/>
                    <w:bottom w:val="none" w:sz="0" w:space="0" w:color="auto"/>
                    <w:right w:val="none" w:sz="0" w:space="0" w:color="auto"/>
                  </w:divBdr>
                </w:div>
                <w:div w:id="772700433">
                  <w:marLeft w:val="0"/>
                  <w:marRight w:val="0"/>
                  <w:marTop w:val="0"/>
                  <w:marBottom w:val="150"/>
                  <w:divBdr>
                    <w:top w:val="none" w:sz="0" w:space="0" w:color="auto"/>
                    <w:left w:val="none" w:sz="0" w:space="0" w:color="auto"/>
                    <w:bottom w:val="none" w:sz="0" w:space="0" w:color="auto"/>
                    <w:right w:val="none" w:sz="0" w:space="0" w:color="auto"/>
                  </w:divBdr>
                </w:div>
                <w:div w:id="1010909939">
                  <w:marLeft w:val="0"/>
                  <w:marRight w:val="0"/>
                  <w:marTop w:val="0"/>
                  <w:marBottom w:val="150"/>
                  <w:divBdr>
                    <w:top w:val="none" w:sz="0" w:space="0" w:color="auto"/>
                    <w:left w:val="none" w:sz="0" w:space="0" w:color="auto"/>
                    <w:bottom w:val="none" w:sz="0" w:space="0" w:color="auto"/>
                    <w:right w:val="none" w:sz="0" w:space="0" w:color="auto"/>
                  </w:divBdr>
                </w:div>
                <w:div w:id="1269580555">
                  <w:marLeft w:val="0"/>
                  <w:marRight w:val="0"/>
                  <w:marTop w:val="0"/>
                  <w:marBottom w:val="150"/>
                  <w:divBdr>
                    <w:top w:val="none" w:sz="0" w:space="0" w:color="auto"/>
                    <w:left w:val="none" w:sz="0" w:space="0" w:color="auto"/>
                    <w:bottom w:val="none" w:sz="0" w:space="0" w:color="auto"/>
                    <w:right w:val="none" w:sz="0" w:space="0" w:color="auto"/>
                  </w:divBdr>
                </w:div>
                <w:div w:id="1473476085">
                  <w:marLeft w:val="0"/>
                  <w:marRight w:val="0"/>
                  <w:marTop w:val="0"/>
                  <w:marBottom w:val="150"/>
                  <w:divBdr>
                    <w:top w:val="none" w:sz="0" w:space="0" w:color="auto"/>
                    <w:left w:val="none" w:sz="0" w:space="0" w:color="auto"/>
                    <w:bottom w:val="none" w:sz="0" w:space="0" w:color="auto"/>
                    <w:right w:val="none" w:sz="0" w:space="0" w:color="auto"/>
                  </w:divBdr>
                </w:div>
                <w:div w:id="1600019377">
                  <w:marLeft w:val="0"/>
                  <w:marRight w:val="0"/>
                  <w:marTop w:val="0"/>
                  <w:marBottom w:val="150"/>
                  <w:divBdr>
                    <w:top w:val="none" w:sz="0" w:space="0" w:color="auto"/>
                    <w:left w:val="none" w:sz="0" w:space="0" w:color="auto"/>
                    <w:bottom w:val="none" w:sz="0" w:space="0" w:color="auto"/>
                    <w:right w:val="none" w:sz="0" w:space="0" w:color="auto"/>
                  </w:divBdr>
                </w:div>
                <w:div w:id="1683583548">
                  <w:marLeft w:val="0"/>
                  <w:marRight w:val="0"/>
                  <w:marTop w:val="0"/>
                  <w:marBottom w:val="150"/>
                  <w:divBdr>
                    <w:top w:val="none" w:sz="0" w:space="0" w:color="auto"/>
                    <w:left w:val="none" w:sz="0" w:space="0" w:color="auto"/>
                    <w:bottom w:val="none" w:sz="0" w:space="0" w:color="auto"/>
                    <w:right w:val="none" w:sz="0" w:space="0" w:color="auto"/>
                  </w:divBdr>
                </w:div>
                <w:div w:id="1845893321">
                  <w:marLeft w:val="0"/>
                  <w:marRight w:val="0"/>
                  <w:marTop w:val="0"/>
                  <w:marBottom w:val="150"/>
                  <w:divBdr>
                    <w:top w:val="none" w:sz="0" w:space="0" w:color="auto"/>
                    <w:left w:val="none" w:sz="0" w:space="0" w:color="auto"/>
                    <w:bottom w:val="none" w:sz="0" w:space="0" w:color="auto"/>
                    <w:right w:val="none" w:sz="0" w:space="0" w:color="auto"/>
                  </w:divBdr>
                </w:div>
                <w:div w:id="1898393501">
                  <w:marLeft w:val="0"/>
                  <w:marRight w:val="0"/>
                  <w:marTop w:val="0"/>
                  <w:marBottom w:val="150"/>
                  <w:divBdr>
                    <w:top w:val="none" w:sz="0" w:space="0" w:color="auto"/>
                    <w:left w:val="none" w:sz="0" w:space="0" w:color="auto"/>
                    <w:bottom w:val="none" w:sz="0" w:space="0" w:color="auto"/>
                    <w:right w:val="none" w:sz="0" w:space="0" w:color="auto"/>
                  </w:divBdr>
                </w:div>
                <w:div w:id="1903177043">
                  <w:marLeft w:val="0"/>
                  <w:marRight w:val="0"/>
                  <w:marTop w:val="0"/>
                  <w:marBottom w:val="150"/>
                  <w:divBdr>
                    <w:top w:val="none" w:sz="0" w:space="0" w:color="auto"/>
                    <w:left w:val="none" w:sz="0" w:space="0" w:color="auto"/>
                    <w:bottom w:val="none" w:sz="0" w:space="0" w:color="auto"/>
                    <w:right w:val="none" w:sz="0" w:space="0" w:color="auto"/>
                  </w:divBdr>
                </w:div>
                <w:div w:id="20705745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84655057">
          <w:marLeft w:val="0"/>
          <w:marRight w:val="0"/>
          <w:marTop w:val="0"/>
          <w:marBottom w:val="150"/>
          <w:divBdr>
            <w:top w:val="none" w:sz="0" w:space="0" w:color="auto"/>
            <w:left w:val="none" w:sz="0" w:space="0" w:color="auto"/>
            <w:bottom w:val="none" w:sz="0" w:space="0" w:color="auto"/>
            <w:right w:val="none" w:sz="0" w:space="0" w:color="auto"/>
          </w:divBdr>
        </w:div>
        <w:div w:id="2137023290">
          <w:marLeft w:val="0"/>
          <w:marRight w:val="0"/>
          <w:marTop w:val="0"/>
          <w:marBottom w:val="0"/>
          <w:divBdr>
            <w:top w:val="none" w:sz="0" w:space="0" w:color="auto"/>
            <w:left w:val="none" w:sz="0" w:space="0" w:color="auto"/>
            <w:bottom w:val="none" w:sz="0" w:space="0" w:color="auto"/>
            <w:right w:val="none" w:sz="0" w:space="0" w:color="auto"/>
          </w:divBdr>
        </w:div>
      </w:divsChild>
    </w:div>
    <w:div w:id="1429085676">
      <w:bodyDiv w:val="1"/>
      <w:marLeft w:val="0"/>
      <w:marRight w:val="0"/>
      <w:marTop w:val="0"/>
      <w:marBottom w:val="0"/>
      <w:divBdr>
        <w:top w:val="none" w:sz="0" w:space="0" w:color="auto"/>
        <w:left w:val="none" w:sz="0" w:space="0" w:color="auto"/>
        <w:bottom w:val="none" w:sz="0" w:space="0" w:color="auto"/>
        <w:right w:val="none" w:sz="0" w:space="0" w:color="auto"/>
      </w:divBdr>
      <w:divsChild>
        <w:div w:id="1432555013">
          <w:marLeft w:val="0"/>
          <w:marRight w:val="0"/>
          <w:marTop w:val="0"/>
          <w:marBottom w:val="0"/>
          <w:divBdr>
            <w:top w:val="none" w:sz="0" w:space="0" w:color="auto"/>
            <w:left w:val="none" w:sz="0" w:space="0" w:color="auto"/>
            <w:bottom w:val="none" w:sz="0" w:space="0" w:color="auto"/>
            <w:right w:val="none" w:sz="0" w:space="0" w:color="auto"/>
          </w:divBdr>
          <w:divsChild>
            <w:div w:id="1709139644">
              <w:marLeft w:val="0"/>
              <w:marRight w:val="0"/>
              <w:marTop w:val="0"/>
              <w:marBottom w:val="0"/>
              <w:divBdr>
                <w:top w:val="none" w:sz="0" w:space="0" w:color="auto"/>
                <w:left w:val="none" w:sz="0" w:space="0" w:color="auto"/>
                <w:bottom w:val="none" w:sz="0" w:space="0" w:color="auto"/>
                <w:right w:val="none" w:sz="0" w:space="0" w:color="auto"/>
              </w:divBdr>
              <w:divsChild>
                <w:div w:id="1357806900">
                  <w:marLeft w:val="0"/>
                  <w:marRight w:val="0"/>
                  <w:marTop w:val="0"/>
                  <w:marBottom w:val="0"/>
                  <w:divBdr>
                    <w:top w:val="none" w:sz="0" w:space="0" w:color="auto"/>
                    <w:left w:val="none" w:sz="0" w:space="0" w:color="auto"/>
                    <w:bottom w:val="none" w:sz="0" w:space="0" w:color="auto"/>
                    <w:right w:val="none" w:sz="0" w:space="0" w:color="auto"/>
                  </w:divBdr>
                  <w:divsChild>
                    <w:div w:id="1082725256">
                      <w:marLeft w:val="0"/>
                      <w:marRight w:val="0"/>
                      <w:marTop w:val="0"/>
                      <w:marBottom w:val="0"/>
                      <w:divBdr>
                        <w:top w:val="none" w:sz="0" w:space="0" w:color="auto"/>
                        <w:left w:val="none" w:sz="0" w:space="0" w:color="auto"/>
                        <w:bottom w:val="none" w:sz="0" w:space="0" w:color="auto"/>
                        <w:right w:val="none" w:sz="0" w:space="0" w:color="auto"/>
                      </w:divBdr>
                      <w:divsChild>
                        <w:div w:id="180512497">
                          <w:marLeft w:val="0"/>
                          <w:marRight w:val="0"/>
                          <w:marTop w:val="0"/>
                          <w:marBottom w:val="0"/>
                          <w:divBdr>
                            <w:top w:val="none" w:sz="0" w:space="0" w:color="auto"/>
                            <w:left w:val="none" w:sz="0" w:space="0" w:color="auto"/>
                            <w:bottom w:val="none" w:sz="0" w:space="0" w:color="auto"/>
                            <w:right w:val="none" w:sz="0" w:space="0" w:color="auto"/>
                          </w:divBdr>
                          <w:divsChild>
                            <w:div w:id="97991651">
                              <w:marLeft w:val="0"/>
                              <w:marRight w:val="0"/>
                              <w:marTop w:val="0"/>
                              <w:marBottom w:val="0"/>
                              <w:divBdr>
                                <w:top w:val="none" w:sz="0" w:space="0" w:color="auto"/>
                                <w:left w:val="none" w:sz="0" w:space="0" w:color="auto"/>
                                <w:bottom w:val="none" w:sz="0" w:space="0" w:color="auto"/>
                                <w:right w:val="none" w:sz="0" w:space="0" w:color="auto"/>
                              </w:divBdr>
                              <w:divsChild>
                                <w:div w:id="1381246829">
                                  <w:marLeft w:val="0"/>
                                  <w:marRight w:val="0"/>
                                  <w:marTop w:val="0"/>
                                  <w:marBottom w:val="0"/>
                                  <w:divBdr>
                                    <w:top w:val="none" w:sz="0" w:space="0" w:color="auto"/>
                                    <w:left w:val="none" w:sz="0" w:space="0" w:color="auto"/>
                                    <w:bottom w:val="none" w:sz="0" w:space="0" w:color="auto"/>
                                    <w:right w:val="none" w:sz="0" w:space="0" w:color="auto"/>
                                  </w:divBdr>
                                  <w:divsChild>
                                    <w:div w:id="156487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156244">
      <w:bodyDiv w:val="1"/>
      <w:marLeft w:val="0"/>
      <w:marRight w:val="0"/>
      <w:marTop w:val="0"/>
      <w:marBottom w:val="0"/>
      <w:divBdr>
        <w:top w:val="none" w:sz="0" w:space="0" w:color="auto"/>
        <w:left w:val="none" w:sz="0" w:space="0" w:color="auto"/>
        <w:bottom w:val="none" w:sz="0" w:space="0" w:color="auto"/>
        <w:right w:val="none" w:sz="0" w:space="0" w:color="auto"/>
      </w:divBdr>
      <w:divsChild>
        <w:div w:id="1891647845">
          <w:marLeft w:val="0"/>
          <w:marRight w:val="0"/>
          <w:marTop w:val="0"/>
          <w:marBottom w:val="0"/>
          <w:divBdr>
            <w:top w:val="none" w:sz="0" w:space="0" w:color="auto"/>
            <w:left w:val="none" w:sz="0" w:space="0" w:color="auto"/>
            <w:bottom w:val="none" w:sz="0" w:space="0" w:color="auto"/>
            <w:right w:val="none" w:sz="0" w:space="0" w:color="auto"/>
          </w:divBdr>
          <w:divsChild>
            <w:div w:id="784543306">
              <w:marLeft w:val="0"/>
              <w:marRight w:val="0"/>
              <w:marTop w:val="0"/>
              <w:marBottom w:val="0"/>
              <w:divBdr>
                <w:top w:val="none" w:sz="0" w:space="0" w:color="auto"/>
                <w:left w:val="none" w:sz="0" w:space="0" w:color="auto"/>
                <w:bottom w:val="none" w:sz="0" w:space="0" w:color="auto"/>
                <w:right w:val="none" w:sz="0" w:space="0" w:color="auto"/>
              </w:divBdr>
              <w:divsChild>
                <w:div w:id="1532843202">
                  <w:marLeft w:val="0"/>
                  <w:marRight w:val="0"/>
                  <w:marTop w:val="0"/>
                  <w:marBottom w:val="0"/>
                  <w:divBdr>
                    <w:top w:val="none" w:sz="0" w:space="0" w:color="auto"/>
                    <w:left w:val="none" w:sz="0" w:space="0" w:color="auto"/>
                    <w:bottom w:val="none" w:sz="0" w:space="0" w:color="auto"/>
                    <w:right w:val="none" w:sz="0" w:space="0" w:color="auto"/>
                  </w:divBdr>
                  <w:divsChild>
                    <w:div w:id="658847920">
                      <w:marLeft w:val="0"/>
                      <w:marRight w:val="0"/>
                      <w:marTop w:val="0"/>
                      <w:marBottom w:val="0"/>
                      <w:divBdr>
                        <w:top w:val="none" w:sz="0" w:space="0" w:color="auto"/>
                        <w:left w:val="none" w:sz="0" w:space="0" w:color="auto"/>
                        <w:bottom w:val="none" w:sz="0" w:space="0" w:color="auto"/>
                        <w:right w:val="none" w:sz="0" w:space="0" w:color="auto"/>
                      </w:divBdr>
                      <w:divsChild>
                        <w:div w:id="1460688012">
                          <w:marLeft w:val="0"/>
                          <w:marRight w:val="0"/>
                          <w:marTop w:val="0"/>
                          <w:marBottom w:val="0"/>
                          <w:divBdr>
                            <w:top w:val="none" w:sz="0" w:space="0" w:color="auto"/>
                            <w:left w:val="none" w:sz="0" w:space="0" w:color="auto"/>
                            <w:bottom w:val="none" w:sz="0" w:space="0" w:color="auto"/>
                            <w:right w:val="none" w:sz="0" w:space="0" w:color="auto"/>
                          </w:divBdr>
                          <w:divsChild>
                            <w:div w:id="1885868085">
                              <w:marLeft w:val="0"/>
                              <w:marRight w:val="0"/>
                              <w:marTop w:val="0"/>
                              <w:marBottom w:val="0"/>
                              <w:divBdr>
                                <w:top w:val="none" w:sz="0" w:space="0" w:color="auto"/>
                                <w:left w:val="none" w:sz="0" w:space="0" w:color="auto"/>
                                <w:bottom w:val="none" w:sz="0" w:space="0" w:color="auto"/>
                                <w:right w:val="none" w:sz="0" w:space="0" w:color="auto"/>
                              </w:divBdr>
                              <w:divsChild>
                                <w:div w:id="10911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9540637">
      <w:bodyDiv w:val="1"/>
      <w:marLeft w:val="0"/>
      <w:marRight w:val="0"/>
      <w:marTop w:val="0"/>
      <w:marBottom w:val="0"/>
      <w:divBdr>
        <w:top w:val="none" w:sz="0" w:space="0" w:color="auto"/>
        <w:left w:val="none" w:sz="0" w:space="0" w:color="auto"/>
        <w:bottom w:val="none" w:sz="0" w:space="0" w:color="auto"/>
        <w:right w:val="none" w:sz="0" w:space="0" w:color="auto"/>
      </w:divBdr>
      <w:divsChild>
        <w:div w:id="805974382">
          <w:marLeft w:val="0"/>
          <w:marRight w:val="0"/>
          <w:marTop w:val="0"/>
          <w:marBottom w:val="0"/>
          <w:divBdr>
            <w:top w:val="none" w:sz="0" w:space="0" w:color="auto"/>
            <w:left w:val="none" w:sz="0" w:space="0" w:color="auto"/>
            <w:bottom w:val="dotted" w:sz="6" w:space="4" w:color="DDDDDD"/>
            <w:right w:val="none" w:sz="0" w:space="0" w:color="auto"/>
          </w:divBdr>
        </w:div>
      </w:divsChild>
    </w:div>
    <w:div w:id="1429883833">
      <w:bodyDiv w:val="1"/>
      <w:marLeft w:val="0"/>
      <w:marRight w:val="0"/>
      <w:marTop w:val="0"/>
      <w:marBottom w:val="0"/>
      <w:divBdr>
        <w:top w:val="none" w:sz="0" w:space="0" w:color="auto"/>
        <w:left w:val="none" w:sz="0" w:space="0" w:color="auto"/>
        <w:bottom w:val="none" w:sz="0" w:space="0" w:color="auto"/>
        <w:right w:val="none" w:sz="0" w:space="0" w:color="auto"/>
      </w:divBdr>
      <w:divsChild>
        <w:div w:id="550967156">
          <w:marLeft w:val="0"/>
          <w:marRight w:val="0"/>
          <w:marTop w:val="0"/>
          <w:marBottom w:val="0"/>
          <w:divBdr>
            <w:top w:val="none" w:sz="0" w:space="0" w:color="auto"/>
            <w:left w:val="none" w:sz="0" w:space="0" w:color="auto"/>
            <w:bottom w:val="dotted" w:sz="6" w:space="4" w:color="DDDDDD"/>
            <w:right w:val="none" w:sz="0" w:space="0" w:color="auto"/>
          </w:divBdr>
          <w:divsChild>
            <w:div w:id="144515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889653">
      <w:bodyDiv w:val="1"/>
      <w:marLeft w:val="0"/>
      <w:marRight w:val="0"/>
      <w:marTop w:val="0"/>
      <w:marBottom w:val="0"/>
      <w:divBdr>
        <w:top w:val="none" w:sz="0" w:space="0" w:color="auto"/>
        <w:left w:val="none" w:sz="0" w:space="0" w:color="auto"/>
        <w:bottom w:val="none" w:sz="0" w:space="0" w:color="auto"/>
        <w:right w:val="none" w:sz="0" w:space="0" w:color="auto"/>
      </w:divBdr>
      <w:divsChild>
        <w:div w:id="355499840">
          <w:marLeft w:val="0"/>
          <w:marRight w:val="0"/>
          <w:marTop w:val="0"/>
          <w:marBottom w:val="0"/>
          <w:divBdr>
            <w:top w:val="none" w:sz="0" w:space="0" w:color="auto"/>
            <w:left w:val="none" w:sz="0" w:space="0" w:color="auto"/>
            <w:bottom w:val="dotted" w:sz="6" w:space="4" w:color="DDDDDD"/>
            <w:right w:val="none" w:sz="0" w:space="0" w:color="auto"/>
          </w:divBdr>
          <w:divsChild>
            <w:div w:id="39925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467246">
      <w:bodyDiv w:val="1"/>
      <w:marLeft w:val="0"/>
      <w:marRight w:val="0"/>
      <w:marTop w:val="0"/>
      <w:marBottom w:val="0"/>
      <w:divBdr>
        <w:top w:val="none" w:sz="0" w:space="0" w:color="auto"/>
        <w:left w:val="none" w:sz="0" w:space="0" w:color="auto"/>
        <w:bottom w:val="none" w:sz="0" w:space="0" w:color="auto"/>
        <w:right w:val="none" w:sz="0" w:space="0" w:color="auto"/>
      </w:divBdr>
    </w:div>
    <w:div w:id="1430783373">
      <w:bodyDiv w:val="1"/>
      <w:marLeft w:val="0"/>
      <w:marRight w:val="0"/>
      <w:marTop w:val="0"/>
      <w:marBottom w:val="0"/>
      <w:divBdr>
        <w:top w:val="none" w:sz="0" w:space="0" w:color="auto"/>
        <w:left w:val="none" w:sz="0" w:space="0" w:color="auto"/>
        <w:bottom w:val="none" w:sz="0" w:space="0" w:color="auto"/>
        <w:right w:val="none" w:sz="0" w:space="0" w:color="auto"/>
      </w:divBdr>
    </w:div>
    <w:div w:id="1430925933">
      <w:bodyDiv w:val="1"/>
      <w:marLeft w:val="0"/>
      <w:marRight w:val="0"/>
      <w:marTop w:val="0"/>
      <w:marBottom w:val="0"/>
      <w:divBdr>
        <w:top w:val="none" w:sz="0" w:space="0" w:color="auto"/>
        <w:left w:val="none" w:sz="0" w:space="0" w:color="auto"/>
        <w:bottom w:val="none" w:sz="0" w:space="0" w:color="auto"/>
        <w:right w:val="none" w:sz="0" w:space="0" w:color="auto"/>
      </w:divBdr>
    </w:div>
    <w:div w:id="1431196738">
      <w:bodyDiv w:val="1"/>
      <w:marLeft w:val="0"/>
      <w:marRight w:val="0"/>
      <w:marTop w:val="0"/>
      <w:marBottom w:val="0"/>
      <w:divBdr>
        <w:top w:val="none" w:sz="0" w:space="0" w:color="auto"/>
        <w:left w:val="none" w:sz="0" w:space="0" w:color="auto"/>
        <w:bottom w:val="none" w:sz="0" w:space="0" w:color="auto"/>
        <w:right w:val="none" w:sz="0" w:space="0" w:color="auto"/>
      </w:divBdr>
      <w:divsChild>
        <w:div w:id="204367975">
          <w:marLeft w:val="0"/>
          <w:marRight w:val="0"/>
          <w:marTop w:val="0"/>
          <w:marBottom w:val="0"/>
          <w:divBdr>
            <w:top w:val="none" w:sz="0" w:space="0" w:color="auto"/>
            <w:left w:val="none" w:sz="0" w:space="0" w:color="auto"/>
            <w:bottom w:val="none" w:sz="0" w:space="0" w:color="auto"/>
            <w:right w:val="none" w:sz="0" w:space="0" w:color="auto"/>
          </w:divBdr>
          <w:divsChild>
            <w:div w:id="231815466">
              <w:marLeft w:val="0"/>
              <w:marRight w:val="0"/>
              <w:marTop w:val="0"/>
              <w:marBottom w:val="225"/>
              <w:divBdr>
                <w:top w:val="none" w:sz="0" w:space="0" w:color="auto"/>
                <w:left w:val="none" w:sz="0" w:space="0" w:color="auto"/>
                <w:bottom w:val="none" w:sz="0" w:space="0" w:color="auto"/>
                <w:right w:val="none" w:sz="0" w:space="0" w:color="auto"/>
              </w:divBdr>
            </w:div>
            <w:div w:id="173357539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431197574">
      <w:bodyDiv w:val="1"/>
      <w:marLeft w:val="0"/>
      <w:marRight w:val="0"/>
      <w:marTop w:val="0"/>
      <w:marBottom w:val="0"/>
      <w:divBdr>
        <w:top w:val="none" w:sz="0" w:space="0" w:color="auto"/>
        <w:left w:val="none" w:sz="0" w:space="0" w:color="auto"/>
        <w:bottom w:val="none" w:sz="0" w:space="0" w:color="auto"/>
        <w:right w:val="none" w:sz="0" w:space="0" w:color="auto"/>
      </w:divBdr>
      <w:divsChild>
        <w:div w:id="2034766121">
          <w:marLeft w:val="0"/>
          <w:marRight w:val="0"/>
          <w:marTop w:val="0"/>
          <w:marBottom w:val="0"/>
          <w:divBdr>
            <w:top w:val="none" w:sz="0" w:space="0" w:color="auto"/>
            <w:left w:val="none" w:sz="0" w:space="0" w:color="auto"/>
            <w:bottom w:val="none" w:sz="0" w:space="0" w:color="auto"/>
            <w:right w:val="none" w:sz="0" w:space="0" w:color="auto"/>
          </w:divBdr>
          <w:divsChild>
            <w:div w:id="468399995">
              <w:marLeft w:val="0"/>
              <w:marRight w:val="0"/>
              <w:marTop w:val="0"/>
              <w:marBottom w:val="0"/>
              <w:divBdr>
                <w:top w:val="none" w:sz="0" w:space="0" w:color="auto"/>
                <w:left w:val="none" w:sz="0" w:space="0" w:color="auto"/>
                <w:bottom w:val="none" w:sz="0" w:space="0" w:color="auto"/>
                <w:right w:val="none" w:sz="0" w:space="0" w:color="auto"/>
              </w:divBdr>
              <w:divsChild>
                <w:div w:id="104078619">
                  <w:marLeft w:val="0"/>
                  <w:marRight w:val="0"/>
                  <w:marTop w:val="0"/>
                  <w:marBottom w:val="0"/>
                  <w:divBdr>
                    <w:top w:val="none" w:sz="0" w:space="0" w:color="auto"/>
                    <w:left w:val="none" w:sz="0" w:space="0" w:color="auto"/>
                    <w:bottom w:val="none" w:sz="0" w:space="0" w:color="auto"/>
                    <w:right w:val="none" w:sz="0" w:space="0" w:color="auto"/>
                  </w:divBdr>
                  <w:divsChild>
                    <w:div w:id="1303193489">
                      <w:marLeft w:val="0"/>
                      <w:marRight w:val="0"/>
                      <w:marTop w:val="0"/>
                      <w:marBottom w:val="0"/>
                      <w:divBdr>
                        <w:top w:val="none" w:sz="0" w:space="0" w:color="auto"/>
                        <w:left w:val="none" w:sz="0" w:space="0" w:color="auto"/>
                        <w:bottom w:val="none" w:sz="0" w:space="0" w:color="auto"/>
                        <w:right w:val="none" w:sz="0" w:space="0" w:color="auto"/>
                      </w:divBdr>
                      <w:divsChild>
                        <w:div w:id="654261241">
                          <w:marLeft w:val="0"/>
                          <w:marRight w:val="0"/>
                          <w:marTop w:val="0"/>
                          <w:marBottom w:val="0"/>
                          <w:divBdr>
                            <w:top w:val="none" w:sz="0" w:space="0" w:color="auto"/>
                            <w:left w:val="none" w:sz="0" w:space="0" w:color="auto"/>
                            <w:bottom w:val="none" w:sz="0" w:space="0" w:color="auto"/>
                            <w:right w:val="none" w:sz="0" w:space="0" w:color="auto"/>
                          </w:divBdr>
                          <w:divsChild>
                            <w:div w:id="205459314">
                              <w:marLeft w:val="0"/>
                              <w:marRight w:val="0"/>
                              <w:marTop w:val="0"/>
                              <w:marBottom w:val="0"/>
                              <w:divBdr>
                                <w:top w:val="none" w:sz="0" w:space="0" w:color="auto"/>
                                <w:left w:val="none" w:sz="0" w:space="0" w:color="auto"/>
                                <w:bottom w:val="none" w:sz="0" w:space="0" w:color="auto"/>
                                <w:right w:val="none" w:sz="0" w:space="0" w:color="auto"/>
                              </w:divBdr>
                              <w:divsChild>
                                <w:div w:id="133061045">
                                  <w:marLeft w:val="0"/>
                                  <w:marRight w:val="0"/>
                                  <w:marTop w:val="0"/>
                                  <w:marBottom w:val="0"/>
                                  <w:divBdr>
                                    <w:top w:val="none" w:sz="0" w:space="0" w:color="auto"/>
                                    <w:left w:val="none" w:sz="0" w:space="0" w:color="auto"/>
                                    <w:bottom w:val="none" w:sz="0" w:space="0" w:color="auto"/>
                                    <w:right w:val="none" w:sz="0" w:space="0" w:color="auto"/>
                                  </w:divBdr>
                                  <w:divsChild>
                                    <w:div w:id="321205669">
                                      <w:marLeft w:val="0"/>
                                      <w:marRight w:val="0"/>
                                      <w:marTop w:val="0"/>
                                      <w:marBottom w:val="0"/>
                                      <w:divBdr>
                                        <w:top w:val="none" w:sz="0" w:space="0" w:color="auto"/>
                                        <w:left w:val="none" w:sz="0" w:space="0" w:color="auto"/>
                                        <w:bottom w:val="none" w:sz="0" w:space="0" w:color="auto"/>
                                        <w:right w:val="none" w:sz="0" w:space="0" w:color="auto"/>
                                      </w:divBdr>
                                      <w:divsChild>
                                        <w:div w:id="969438617">
                                          <w:marLeft w:val="0"/>
                                          <w:marRight w:val="0"/>
                                          <w:marTop w:val="0"/>
                                          <w:marBottom w:val="0"/>
                                          <w:divBdr>
                                            <w:top w:val="none" w:sz="0" w:space="0" w:color="auto"/>
                                            <w:left w:val="none" w:sz="0" w:space="0" w:color="auto"/>
                                            <w:bottom w:val="none" w:sz="0" w:space="0" w:color="auto"/>
                                            <w:right w:val="none" w:sz="0" w:space="0" w:color="auto"/>
                                          </w:divBdr>
                                          <w:divsChild>
                                            <w:div w:id="161051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1311476">
      <w:bodyDiv w:val="1"/>
      <w:marLeft w:val="0"/>
      <w:marRight w:val="0"/>
      <w:marTop w:val="0"/>
      <w:marBottom w:val="0"/>
      <w:divBdr>
        <w:top w:val="none" w:sz="0" w:space="0" w:color="auto"/>
        <w:left w:val="none" w:sz="0" w:space="0" w:color="auto"/>
        <w:bottom w:val="none" w:sz="0" w:space="0" w:color="auto"/>
        <w:right w:val="none" w:sz="0" w:space="0" w:color="auto"/>
      </w:divBdr>
    </w:div>
    <w:div w:id="1431312008">
      <w:bodyDiv w:val="1"/>
      <w:marLeft w:val="0"/>
      <w:marRight w:val="0"/>
      <w:marTop w:val="0"/>
      <w:marBottom w:val="0"/>
      <w:divBdr>
        <w:top w:val="none" w:sz="0" w:space="0" w:color="auto"/>
        <w:left w:val="none" w:sz="0" w:space="0" w:color="auto"/>
        <w:bottom w:val="none" w:sz="0" w:space="0" w:color="auto"/>
        <w:right w:val="none" w:sz="0" w:space="0" w:color="auto"/>
      </w:divBdr>
      <w:divsChild>
        <w:div w:id="321545762">
          <w:marLeft w:val="0"/>
          <w:marRight w:val="0"/>
          <w:marTop w:val="0"/>
          <w:marBottom w:val="0"/>
          <w:divBdr>
            <w:top w:val="none" w:sz="0" w:space="0" w:color="auto"/>
            <w:left w:val="none" w:sz="0" w:space="0" w:color="auto"/>
            <w:bottom w:val="none" w:sz="0" w:space="0" w:color="auto"/>
            <w:right w:val="none" w:sz="0" w:space="0" w:color="auto"/>
          </w:divBdr>
          <w:divsChild>
            <w:div w:id="13522972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31581310">
      <w:bodyDiv w:val="1"/>
      <w:marLeft w:val="0"/>
      <w:marRight w:val="0"/>
      <w:marTop w:val="0"/>
      <w:marBottom w:val="0"/>
      <w:divBdr>
        <w:top w:val="none" w:sz="0" w:space="0" w:color="auto"/>
        <w:left w:val="none" w:sz="0" w:space="0" w:color="auto"/>
        <w:bottom w:val="none" w:sz="0" w:space="0" w:color="auto"/>
        <w:right w:val="none" w:sz="0" w:space="0" w:color="auto"/>
      </w:divBdr>
    </w:div>
    <w:div w:id="1431857093">
      <w:bodyDiv w:val="1"/>
      <w:marLeft w:val="0"/>
      <w:marRight w:val="0"/>
      <w:marTop w:val="0"/>
      <w:marBottom w:val="0"/>
      <w:divBdr>
        <w:top w:val="none" w:sz="0" w:space="0" w:color="auto"/>
        <w:left w:val="none" w:sz="0" w:space="0" w:color="auto"/>
        <w:bottom w:val="none" w:sz="0" w:space="0" w:color="auto"/>
        <w:right w:val="none" w:sz="0" w:space="0" w:color="auto"/>
      </w:divBdr>
      <w:divsChild>
        <w:div w:id="525365394">
          <w:marLeft w:val="0"/>
          <w:marRight w:val="0"/>
          <w:marTop w:val="0"/>
          <w:marBottom w:val="150"/>
          <w:divBdr>
            <w:top w:val="none" w:sz="0" w:space="0" w:color="auto"/>
            <w:left w:val="none" w:sz="0" w:space="0" w:color="auto"/>
            <w:bottom w:val="none" w:sz="0" w:space="0" w:color="auto"/>
            <w:right w:val="none" w:sz="0" w:space="0" w:color="auto"/>
          </w:divBdr>
          <w:divsChild>
            <w:div w:id="523445445">
              <w:marLeft w:val="0"/>
              <w:marRight w:val="0"/>
              <w:marTop w:val="0"/>
              <w:marBottom w:val="0"/>
              <w:divBdr>
                <w:top w:val="none" w:sz="0" w:space="0" w:color="auto"/>
                <w:left w:val="none" w:sz="0" w:space="0" w:color="auto"/>
                <w:bottom w:val="none" w:sz="0" w:space="0" w:color="auto"/>
                <w:right w:val="none" w:sz="0" w:space="0" w:color="auto"/>
              </w:divBdr>
              <w:divsChild>
                <w:div w:id="114754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12413">
          <w:marLeft w:val="0"/>
          <w:marRight w:val="0"/>
          <w:marTop w:val="0"/>
          <w:marBottom w:val="0"/>
          <w:divBdr>
            <w:top w:val="none" w:sz="0" w:space="0" w:color="auto"/>
            <w:left w:val="none" w:sz="0" w:space="0" w:color="auto"/>
            <w:bottom w:val="none" w:sz="0" w:space="0" w:color="auto"/>
            <w:right w:val="none" w:sz="0" w:space="0" w:color="auto"/>
          </w:divBdr>
          <w:divsChild>
            <w:div w:id="564872645">
              <w:marLeft w:val="0"/>
              <w:marRight w:val="0"/>
              <w:marTop w:val="0"/>
              <w:marBottom w:val="0"/>
              <w:divBdr>
                <w:top w:val="none" w:sz="0" w:space="0" w:color="auto"/>
                <w:left w:val="none" w:sz="0" w:space="0" w:color="auto"/>
                <w:bottom w:val="none" w:sz="0" w:space="0" w:color="auto"/>
                <w:right w:val="none" w:sz="0" w:space="0" w:color="auto"/>
              </w:divBdr>
              <w:divsChild>
                <w:div w:id="2050760810">
                  <w:marLeft w:val="0"/>
                  <w:marRight w:val="0"/>
                  <w:marTop w:val="225"/>
                  <w:marBottom w:val="225"/>
                  <w:divBdr>
                    <w:top w:val="none" w:sz="0" w:space="0" w:color="auto"/>
                    <w:left w:val="none" w:sz="0" w:space="0" w:color="auto"/>
                    <w:bottom w:val="none" w:sz="0" w:space="0" w:color="auto"/>
                    <w:right w:val="none" w:sz="0" w:space="0" w:color="auto"/>
                  </w:divBdr>
                </w:div>
              </w:divsChild>
            </w:div>
            <w:div w:id="7241853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32243532">
      <w:bodyDiv w:val="1"/>
      <w:marLeft w:val="0"/>
      <w:marRight w:val="0"/>
      <w:marTop w:val="0"/>
      <w:marBottom w:val="0"/>
      <w:divBdr>
        <w:top w:val="none" w:sz="0" w:space="0" w:color="auto"/>
        <w:left w:val="none" w:sz="0" w:space="0" w:color="auto"/>
        <w:bottom w:val="none" w:sz="0" w:space="0" w:color="auto"/>
        <w:right w:val="none" w:sz="0" w:space="0" w:color="auto"/>
      </w:divBdr>
      <w:divsChild>
        <w:div w:id="1813643653">
          <w:marLeft w:val="0"/>
          <w:marRight w:val="0"/>
          <w:marTop w:val="0"/>
          <w:marBottom w:val="0"/>
          <w:divBdr>
            <w:top w:val="none" w:sz="0" w:space="0" w:color="auto"/>
            <w:left w:val="none" w:sz="0" w:space="0" w:color="auto"/>
            <w:bottom w:val="none" w:sz="0" w:space="0" w:color="auto"/>
            <w:right w:val="none" w:sz="0" w:space="0" w:color="auto"/>
          </w:divBdr>
        </w:div>
      </w:divsChild>
    </w:div>
    <w:div w:id="1432360247">
      <w:bodyDiv w:val="1"/>
      <w:marLeft w:val="0"/>
      <w:marRight w:val="0"/>
      <w:marTop w:val="0"/>
      <w:marBottom w:val="0"/>
      <w:divBdr>
        <w:top w:val="none" w:sz="0" w:space="0" w:color="auto"/>
        <w:left w:val="none" w:sz="0" w:space="0" w:color="auto"/>
        <w:bottom w:val="none" w:sz="0" w:space="0" w:color="auto"/>
        <w:right w:val="none" w:sz="0" w:space="0" w:color="auto"/>
      </w:divBdr>
    </w:div>
    <w:div w:id="1432361302">
      <w:bodyDiv w:val="1"/>
      <w:marLeft w:val="0"/>
      <w:marRight w:val="0"/>
      <w:marTop w:val="0"/>
      <w:marBottom w:val="0"/>
      <w:divBdr>
        <w:top w:val="none" w:sz="0" w:space="0" w:color="auto"/>
        <w:left w:val="none" w:sz="0" w:space="0" w:color="auto"/>
        <w:bottom w:val="none" w:sz="0" w:space="0" w:color="auto"/>
        <w:right w:val="none" w:sz="0" w:space="0" w:color="auto"/>
      </w:divBdr>
    </w:div>
    <w:div w:id="1433433977">
      <w:bodyDiv w:val="1"/>
      <w:marLeft w:val="0"/>
      <w:marRight w:val="0"/>
      <w:marTop w:val="0"/>
      <w:marBottom w:val="0"/>
      <w:divBdr>
        <w:top w:val="none" w:sz="0" w:space="0" w:color="auto"/>
        <w:left w:val="none" w:sz="0" w:space="0" w:color="auto"/>
        <w:bottom w:val="none" w:sz="0" w:space="0" w:color="auto"/>
        <w:right w:val="none" w:sz="0" w:space="0" w:color="auto"/>
      </w:divBdr>
      <w:divsChild>
        <w:div w:id="313027587">
          <w:marLeft w:val="0"/>
          <w:marRight w:val="0"/>
          <w:marTop w:val="0"/>
          <w:marBottom w:val="0"/>
          <w:divBdr>
            <w:top w:val="none" w:sz="0" w:space="0" w:color="auto"/>
            <w:left w:val="none" w:sz="0" w:space="0" w:color="auto"/>
            <w:bottom w:val="dotted" w:sz="6" w:space="4" w:color="DDDDDD"/>
            <w:right w:val="none" w:sz="0" w:space="0" w:color="auto"/>
          </w:divBdr>
          <w:divsChild>
            <w:div w:id="90514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548389">
      <w:bodyDiv w:val="1"/>
      <w:marLeft w:val="0"/>
      <w:marRight w:val="0"/>
      <w:marTop w:val="0"/>
      <w:marBottom w:val="0"/>
      <w:divBdr>
        <w:top w:val="none" w:sz="0" w:space="0" w:color="auto"/>
        <w:left w:val="none" w:sz="0" w:space="0" w:color="auto"/>
        <w:bottom w:val="none" w:sz="0" w:space="0" w:color="auto"/>
        <w:right w:val="none" w:sz="0" w:space="0" w:color="auto"/>
      </w:divBdr>
      <w:divsChild>
        <w:div w:id="1467357591">
          <w:marLeft w:val="0"/>
          <w:marRight w:val="0"/>
          <w:marTop w:val="0"/>
          <w:marBottom w:val="0"/>
          <w:divBdr>
            <w:top w:val="none" w:sz="0" w:space="0" w:color="auto"/>
            <w:left w:val="none" w:sz="0" w:space="0" w:color="auto"/>
            <w:bottom w:val="none" w:sz="0" w:space="0" w:color="auto"/>
            <w:right w:val="none" w:sz="0" w:space="0" w:color="auto"/>
          </w:divBdr>
        </w:div>
      </w:divsChild>
    </w:div>
    <w:div w:id="1433815788">
      <w:bodyDiv w:val="1"/>
      <w:marLeft w:val="0"/>
      <w:marRight w:val="0"/>
      <w:marTop w:val="0"/>
      <w:marBottom w:val="0"/>
      <w:divBdr>
        <w:top w:val="none" w:sz="0" w:space="0" w:color="auto"/>
        <w:left w:val="none" w:sz="0" w:space="0" w:color="auto"/>
        <w:bottom w:val="none" w:sz="0" w:space="0" w:color="auto"/>
        <w:right w:val="none" w:sz="0" w:space="0" w:color="auto"/>
      </w:divBdr>
      <w:divsChild>
        <w:div w:id="1409233829">
          <w:marLeft w:val="0"/>
          <w:marRight w:val="0"/>
          <w:marTop w:val="0"/>
          <w:marBottom w:val="0"/>
          <w:divBdr>
            <w:top w:val="none" w:sz="0" w:space="0" w:color="auto"/>
            <w:left w:val="none" w:sz="0" w:space="0" w:color="auto"/>
            <w:bottom w:val="dotted" w:sz="6" w:space="4" w:color="DDDDDD"/>
            <w:right w:val="none" w:sz="0" w:space="0" w:color="auto"/>
          </w:divBdr>
          <w:divsChild>
            <w:div w:id="12000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091145">
      <w:bodyDiv w:val="1"/>
      <w:marLeft w:val="0"/>
      <w:marRight w:val="0"/>
      <w:marTop w:val="0"/>
      <w:marBottom w:val="0"/>
      <w:divBdr>
        <w:top w:val="none" w:sz="0" w:space="0" w:color="auto"/>
        <w:left w:val="none" w:sz="0" w:space="0" w:color="auto"/>
        <w:bottom w:val="none" w:sz="0" w:space="0" w:color="auto"/>
        <w:right w:val="none" w:sz="0" w:space="0" w:color="auto"/>
      </w:divBdr>
    </w:div>
    <w:div w:id="1434128749">
      <w:bodyDiv w:val="1"/>
      <w:marLeft w:val="0"/>
      <w:marRight w:val="0"/>
      <w:marTop w:val="0"/>
      <w:marBottom w:val="0"/>
      <w:divBdr>
        <w:top w:val="none" w:sz="0" w:space="0" w:color="auto"/>
        <w:left w:val="none" w:sz="0" w:space="0" w:color="auto"/>
        <w:bottom w:val="none" w:sz="0" w:space="0" w:color="auto"/>
        <w:right w:val="none" w:sz="0" w:space="0" w:color="auto"/>
      </w:divBdr>
      <w:divsChild>
        <w:div w:id="351078159">
          <w:marLeft w:val="0"/>
          <w:marRight w:val="0"/>
          <w:marTop w:val="0"/>
          <w:marBottom w:val="0"/>
          <w:divBdr>
            <w:top w:val="none" w:sz="0" w:space="0" w:color="auto"/>
            <w:left w:val="none" w:sz="0" w:space="0" w:color="auto"/>
            <w:bottom w:val="dotted" w:sz="6" w:space="4" w:color="DDDDDD"/>
            <w:right w:val="none" w:sz="0" w:space="0" w:color="auto"/>
          </w:divBdr>
        </w:div>
      </w:divsChild>
    </w:div>
    <w:div w:id="1434521475">
      <w:bodyDiv w:val="1"/>
      <w:marLeft w:val="0"/>
      <w:marRight w:val="0"/>
      <w:marTop w:val="0"/>
      <w:marBottom w:val="0"/>
      <w:divBdr>
        <w:top w:val="none" w:sz="0" w:space="0" w:color="auto"/>
        <w:left w:val="none" w:sz="0" w:space="0" w:color="auto"/>
        <w:bottom w:val="none" w:sz="0" w:space="0" w:color="auto"/>
        <w:right w:val="none" w:sz="0" w:space="0" w:color="auto"/>
      </w:divBdr>
    </w:div>
    <w:div w:id="1434592480">
      <w:bodyDiv w:val="1"/>
      <w:marLeft w:val="0"/>
      <w:marRight w:val="0"/>
      <w:marTop w:val="0"/>
      <w:marBottom w:val="0"/>
      <w:divBdr>
        <w:top w:val="none" w:sz="0" w:space="0" w:color="auto"/>
        <w:left w:val="none" w:sz="0" w:space="0" w:color="auto"/>
        <w:bottom w:val="none" w:sz="0" w:space="0" w:color="auto"/>
        <w:right w:val="none" w:sz="0" w:space="0" w:color="auto"/>
      </w:divBdr>
      <w:divsChild>
        <w:div w:id="407968091">
          <w:marLeft w:val="0"/>
          <w:marRight w:val="0"/>
          <w:marTop w:val="0"/>
          <w:marBottom w:val="75"/>
          <w:divBdr>
            <w:top w:val="none" w:sz="0" w:space="0" w:color="auto"/>
            <w:left w:val="none" w:sz="0" w:space="0" w:color="auto"/>
            <w:bottom w:val="none" w:sz="0" w:space="0" w:color="auto"/>
            <w:right w:val="none" w:sz="0" w:space="0" w:color="auto"/>
          </w:divBdr>
        </w:div>
        <w:div w:id="531696445">
          <w:marLeft w:val="0"/>
          <w:marRight w:val="0"/>
          <w:marTop w:val="0"/>
          <w:marBottom w:val="300"/>
          <w:divBdr>
            <w:top w:val="none" w:sz="0" w:space="0" w:color="auto"/>
            <w:left w:val="none" w:sz="0" w:space="0" w:color="auto"/>
            <w:bottom w:val="none" w:sz="0" w:space="0" w:color="auto"/>
            <w:right w:val="none" w:sz="0" w:space="0" w:color="auto"/>
          </w:divBdr>
          <w:divsChild>
            <w:div w:id="1505630737">
              <w:marLeft w:val="0"/>
              <w:marRight w:val="0"/>
              <w:marTop w:val="0"/>
              <w:marBottom w:val="0"/>
              <w:divBdr>
                <w:top w:val="none" w:sz="0" w:space="0" w:color="auto"/>
                <w:left w:val="none" w:sz="0" w:space="0" w:color="auto"/>
                <w:bottom w:val="none" w:sz="0" w:space="0" w:color="auto"/>
                <w:right w:val="none" w:sz="0" w:space="0" w:color="auto"/>
              </w:divBdr>
            </w:div>
          </w:divsChild>
        </w:div>
        <w:div w:id="780535974">
          <w:marLeft w:val="0"/>
          <w:marRight w:val="0"/>
          <w:marTop w:val="0"/>
          <w:marBottom w:val="0"/>
          <w:divBdr>
            <w:top w:val="none" w:sz="0" w:space="0" w:color="auto"/>
            <w:left w:val="none" w:sz="0" w:space="0" w:color="auto"/>
            <w:bottom w:val="none" w:sz="0" w:space="0" w:color="auto"/>
            <w:right w:val="none" w:sz="0" w:space="0" w:color="auto"/>
          </w:divBdr>
        </w:div>
        <w:div w:id="1885869271">
          <w:marLeft w:val="0"/>
          <w:marRight w:val="0"/>
          <w:marTop w:val="0"/>
          <w:marBottom w:val="0"/>
          <w:divBdr>
            <w:top w:val="none" w:sz="0" w:space="0" w:color="auto"/>
            <w:left w:val="none" w:sz="0" w:space="0" w:color="auto"/>
            <w:bottom w:val="none" w:sz="0" w:space="0" w:color="auto"/>
            <w:right w:val="none" w:sz="0" w:space="0" w:color="auto"/>
          </w:divBdr>
          <w:divsChild>
            <w:div w:id="598680334">
              <w:marLeft w:val="0"/>
              <w:marRight w:val="0"/>
              <w:marTop w:val="0"/>
              <w:marBottom w:val="0"/>
              <w:divBdr>
                <w:top w:val="none" w:sz="0" w:space="0" w:color="auto"/>
                <w:left w:val="none" w:sz="0" w:space="0" w:color="auto"/>
                <w:bottom w:val="none" w:sz="0" w:space="0" w:color="auto"/>
                <w:right w:val="none" w:sz="0" w:space="0" w:color="auto"/>
              </w:divBdr>
              <w:divsChild>
                <w:div w:id="155414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941132">
      <w:bodyDiv w:val="1"/>
      <w:marLeft w:val="0"/>
      <w:marRight w:val="0"/>
      <w:marTop w:val="0"/>
      <w:marBottom w:val="0"/>
      <w:divBdr>
        <w:top w:val="none" w:sz="0" w:space="0" w:color="auto"/>
        <w:left w:val="none" w:sz="0" w:space="0" w:color="auto"/>
        <w:bottom w:val="none" w:sz="0" w:space="0" w:color="auto"/>
        <w:right w:val="none" w:sz="0" w:space="0" w:color="auto"/>
      </w:divBdr>
      <w:divsChild>
        <w:div w:id="962461791">
          <w:marLeft w:val="0"/>
          <w:marRight w:val="0"/>
          <w:marTop w:val="0"/>
          <w:marBottom w:val="150"/>
          <w:divBdr>
            <w:top w:val="none" w:sz="0" w:space="0" w:color="auto"/>
            <w:left w:val="none" w:sz="0" w:space="0" w:color="auto"/>
            <w:bottom w:val="none" w:sz="0" w:space="0" w:color="auto"/>
            <w:right w:val="none" w:sz="0" w:space="0" w:color="auto"/>
          </w:divBdr>
        </w:div>
      </w:divsChild>
    </w:div>
    <w:div w:id="1435318947">
      <w:bodyDiv w:val="1"/>
      <w:marLeft w:val="0"/>
      <w:marRight w:val="0"/>
      <w:marTop w:val="0"/>
      <w:marBottom w:val="0"/>
      <w:divBdr>
        <w:top w:val="none" w:sz="0" w:space="0" w:color="auto"/>
        <w:left w:val="none" w:sz="0" w:space="0" w:color="auto"/>
        <w:bottom w:val="none" w:sz="0" w:space="0" w:color="auto"/>
        <w:right w:val="none" w:sz="0" w:space="0" w:color="auto"/>
      </w:divBdr>
    </w:div>
    <w:div w:id="1435899680">
      <w:bodyDiv w:val="1"/>
      <w:marLeft w:val="0"/>
      <w:marRight w:val="0"/>
      <w:marTop w:val="0"/>
      <w:marBottom w:val="0"/>
      <w:divBdr>
        <w:top w:val="none" w:sz="0" w:space="0" w:color="auto"/>
        <w:left w:val="none" w:sz="0" w:space="0" w:color="auto"/>
        <w:bottom w:val="none" w:sz="0" w:space="0" w:color="auto"/>
        <w:right w:val="none" w:sz="0" w:space="0" w:color="auto"/>
      </w:divBdr>
      <w:divsChild>
        <w:div w:id="316763704">
          <w:marLeft w:val="0"/>
          <w:marRight w:val="0"/>
          <w:marTop w:val="0"/>
          <w:marBottom w:val="150"/>
          <w:divBdr>
            <w:top w:val="none" w:sz="0" w:space="0" w:color="auto"/>
            <w:left w:val="none" w:sz="0" w:space="0" w:color="auto"/>
            <w:bottom w:val="none" w:sz="0" w:space="0" w:color="auto"/>
            <w:right w:val="none" w:sz="0" w:space="0" w:color="auto"/>
          </w:divBdr>
        </w:div>
      </w:divsChild>
    </w:div>
    <w:div w:id="1435902927">
      <w:bodyDiv w:val="1"/>
      <w:marLeft w:val="0"/>
      <w:marRight w:val="0"/>
      <w:marTop w:val="0"/>
      <w:marBottom w:val="0"/>
      <w:divBdr>
        <w:top w:val="none" w:sz="0" w:space="0" w:color="auto"/>
        <w:left w:val="none" w:sz="0" w:space="0" w:color="auto"/>
        <w:bottom w:val="none" w:sz="0" w:space="0" w:color="auto"/>
        <w:right w:val="none" w:sz="0" w:space="0" w:color="auto"/>
      </w:divBdr>
      <w:divsChild>
        <w:div w:id="1462305077">
          <w:marLeft w:val="0"/>
          <w:marRight w:val="0"/>
          <w:marTop w:val="0"/>
          <w:marBottom w:val="0"/>
          <w:divBdr>
            <w:top w:val="none" w:sz="0" w:space="0" w:color="auto"/>
            <w:left w:val="none" w:sz="0" w:space="0" w:color="auto"/>
            <w:bottom w:val="dotted" w:sz="6" w:space="4" w:color="DDDDDD"/>
            <w:right w:val="none" w:sz="0" w:space="0" w:color="auto"/>
          </w:divBdr>
          <w:divsChild>
            <w:div w:id="3985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292240">
      <w:bodyDiv w:val="1"/>
      <w:marLeft w:val="0"/>
      <w:marRight w:val="0"/>
      <w:marTop w:val="0"/>
      <w:marBottom w:val="0"/>
      <w:divBdr>
        <w:top w:val="none" w:sz="0" w:space="0" w:color="auto"/>
        <w:left w:val="none" w:sz="0" w:space="0" w:color="auto"/>
        <w:bottom w:val="none" w:sz="0" w:space="0" w:color="auto"/>
        <w:right w:val="none" w:sz="0" w:space="0" w:color="auto"/>
      </w:divBdr>
      <w:divsChild>
        <w:div w:id="20979441">
          <w:marLeft w:val="0"/>
          <w:marRight w:val="0"/>
          <w:marTop w:val="0"/>
          <w:marBottom w:val="150"/>
          <w:divBdr>
            <w:top w:val="none" w:sz="0" w:space="0" w:color="auto"/>
            <w:left w:val="none" w:sz="0" w:space="0" w:color="auto"/>
            <w:bottom w:val="none" w:sz="0" w:space="0" w:color="auto"/>
            <w:right w:val="none" w:sz="0" w:space="0" w:color="auto"/>
          </w:divBdr>
        </w:div>
        <w:div w:id="132530039">
          <w:marLeft w:val="0"/>
          <w:marRight w:val="0"/>
          <w:marTop w:val="0"/>
          <w:marBottom w:val="0"/>
          <w:divBdr>
            <w:top w:val="none" w:sz="0" w:space="0" w:color="auto"/>
            <w:left w:val="none" w:sz="0" w:space="0" w:color="auto"/>
            <w:bottom w:val="none" w:sz="0" w:space="0" w:color="auto"/>
            <w:right w:val="none" w:sz="0" w:space="0" w:color="auto"/>
          </w:divBdr>
          <w:divsChild>
            <w:div w:id="2117014976">
              <w:marLeft w:val="0"/>
              <w:marRight w:val="0"/>
              <w:marTop w:val="0"/>
              <w:marBottom w:val="0"/>
              <w:divBdr>
                <w:top w:val="none" w:sz="0" w:space="0" w:color="auto"/>
                <w:left w:val="none" w:sz="0" w:space="0" w:color="auto"/>
                <w:bottom w:val="none" w:sz="0" w:space="0" w:color="auto"/>
                <w:right w:val="none" w:sz="0" w:space="0" w:color="auto"/>
              </w:divBdr>
            </w:div>
          </w:divsChild>
        </w:div>
        <w:div w:id="1850174655">
          <w:marLeft w:val="0"/>
          <w:marRight w:val="0"/>
          <w:marTop w:val="0"/>
          <w:marBottom w:val="150"/>
          <w:divBdr>
            <w:top w:val="none" w:sz="0" w:space="0" w:color="auto"/>
            <w:left w:val="none" w:sz="0" w:space="0" w:color="auto"/>
            <w:bottom w:val="none" w:sz="0" w:space="0" w:color="auto"/>
            <w:right w:val="none" w:sz="0" w:space="0" w:color="auto"/>
          </w:divBdr>
          <w:divsChild>
            <w:div w:id="162176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486058">
      <w:bodyDiv w:val="1"/>
      <w:marLeft w:val="0"/>
      <w:marRight w:val="0"/>
      <w:marTop w:val="0"/>
      <w:marBottom w:val="0"/>
      <w:divBdr>
        <w:top w:val="none" w:sz="0" w:space="0" w:color="auto"/>
        <w:left w:val="none" w:sz="0" w:space="0" w:color="auto"/>
        <w:bottom w:val="none" w:sz="0" w:space="0" w:color="auto"/>
        <w:right w:val="none" w:sz="0" w:space="0" w:color="auto"/>
      </w:divBdr>
      <w:divsChild>
        <w:div w:id="1860503288">
          <w:marLeft w:val="0"/>
          <w:marRight w:val="0"/>
          <w:marTop w:val="0"/>
          <w:marBottom w:val="0"/>
          <w:divBdr>
            <w:top w:val="none" w:sz="0" w:space="0" w:color="auto"/>
            <w:left w:val="none" w:sz="0" w:space="0" w:color="auto"/>
            <w:bottom w:val="none" w:sz="0" w:space="0" w:color="auto"/>
            <w:right w:val="none" w:sz="0" w:space="0" w:color="auto"/>
          </w:divBdr>
        </w:div>
      </w:divsChild>
    </w:div>
    <w:div w:id="1436749069">
      <w:bodyDiv w:val="1"/>
      <w:marLeft w:val="0"/>
      <w:marRight w:val="0"/>
      <w:marTop w:val="0"/>
      <w:marBottom w:val="0"/>
      <w:divBdr>
        <w:top w:val="none" w:sz="0" w:space="0" w:color="auto"/>
        <w:left w:val="none" w:sz="0" w:space="0" w:color="auto"/>
        <w:bottom w:val="none" w:sz="0" w:space="0" w:color="auto"/>
        <w:right w:val="none" w:sz="0" w:space="0" w:color="auto"/>
      </w:divBdr>
      <w:divsChild>
        <w:div w:id="1336612621">
          <w:marLeft w:val="0"/>
          <w:marRight w:val="0"/>
          <w:marTop w:val="0"/>
          <w:marBottom w:val="0"/>
          <w:divBdr>
            <w:top w:val="none" w:sz="0" w:space="0" w:color="auto"/>
            <w:left w:val="none" w:sz="0" w:space="0" w:color="auto"/>
            <w:bottom w:val="dotted" w:sz="6" w:space="4" w:color="DDDDDD"/>
            <w:right w:val="none" w:sz="0" w:space="0" w:color="auto"/>
          </w:divBdr>
        </w:div>
      </w:divsChild>
    </w:div>
    <w:div w:id="1437208785">
      <w:bodyDiv w:val="1"/>
      <w:marLeft w:val="0"/>
      <w:marRight w:val="0"/>
      <w:marTop w:val="0"/>
      <w:marBottom w:val="0"/>
      <w:divBdr>
        <w:top w:val="none" w:sz="0" w:space="0" w:color="auto"/>
        <w:left w:val="none" w:sz="0" w:space="0" w:color="auto"/>
        <w:bottom w:val="none" w:sz="0" w:space="0" w:color="auto"/>
        <w:right w:val="none" w:sz="0" w:space="0" w:color="auto"/>
      </w:divBdr>
    </w:div>
    <w:div w:id="1437360931">
      <w:bodyDiv w:val="1"/>
      <w:marLeft w:val="0"/>
      <w:marRight w:val="0"/>
      <w:marTop w:val="0"/>
      <w:marBottom w:val="0"/>
      <w:divBdr>
        <w:top w:val="none" w:sz="0" w:space="0" w:color="auto"/>
        <w:left w:val="none" w:sz="0" w:space="0" w:color="auto"/>
        <w:bottom w:val="none" w:sz="0" w:space="0" w:color="auto"/>
        <w:right w:val="none" w:sz="0" w:space="0" w:color="auto"/>
      </w:divBdr>
      <w:divsChild>
        <w:div w:id="1542326398">
          <w:marLeft w:val="0"/>
          <w:marRight w:val="0"/>
          <w:marTop w:val="0"/>
          <w:marBottom w:val="0"/>
          <w:divBdr>
            <w:top w:val="none" w:sz="0" w:space="0" w:color="auto"/>
            <w:left w:val="none" w:sz="0" w:space="0" w:color="auto"/>
            <w:bottom w:val="dotted" w:sz="6" w:space="4" w:color="DDDDDD"/>
            <w:right w:val="none" w:sz="0" w:space="0" w:color="auto"/>
          </w:divBdr>
          <w:divsChild>
            <w:div w:id="203719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60066">
      <w:bodyDiv w:val="1"/>
      <w:marLeft w:val="0"/>
      <w:marRight w:val="0"/>
      <w:marTop w:val="0"/>
      <w:marBottom w:val="0"/>
      <w:divBdr>
        <w:top w:val="none" w:sz="0" w:space="0" w:color="auto"/>
        <w:left w:val="none" w:sz="0" w:space="0" w:color="auto"/>
        <w:bottom w:val="none" w:sz="0" w:space="0" w:color="auto"/>
        <w:right w:val="none" w:sz="0" w:space="0" w:color="auto"/>
      </w:divBdr>
      <w:divsChild>
        <w:div w:id="1814180811">
          <w:marLeft w:val="0"/>
          <w:marRight w:val="0"/>
          <w:marTop w:val="0"/>
          <w:marBottom w:val="150"/>
          <w:divBdr>
            <w:top w:val="none" w:sz="0" w:space="0" w:color="auto"/>
            <w:left w:val="none" w:sz="0" w:space="0" w:color="auto"/>
            <w:bottom w:val="none" w:sz="0" w:space="0" w:color="auto"/>
            <w:right w:val="none" w:sz="0" w:space="0" w:color="auto"/>
          </w:divBdr>
          <w:divsChild>
            <w:div w:id="1831479572">
              <w:marLeft w:val="0"/>
              <w:marRight w:val="0"/>
              <w:marTop w:val="0"/>
              <w:marBottom w:val="0"/>
              <w:divBdr>
                <w:top w:val="none" w:sz="0" w:space="0" w:color="auto"/>
                <w:left w:val="none" w:sz="0" w:space="0" w:color="auto"/>
                <w:bottom w:val="none" w:sz="0" w:space="0" w:color="auto"/>
                <w:right w:val="none" w:sz="0" w:space="0" w:color="auto"/>
              </w:divBdr>
              <w:divsChild>
                <w:div w:id="2128233676">
                  <w:marLeft w:val="0"/>
                  <w:marRight w:val="0"/>
                  <w:marTop w:val="0"/>
                  <w:marBottom w:val="0"/>
                  <w:divBdr>
                    <w:top w:val="none" w:sz="0" w:space="0" w:color="auto"/>
                    <w:left w:val="none" w:sz="0" w:space="0" w:color="auto"/>
                    <w:bottom w:val="none" w:sz="0" w:space="0" w:color="auto"/>
                    <w:right w:val="none" w:sz="0" w:space="0" w:color="auto"/>
                  </w:divBdr>
                  <w:divsChild>
                    <w:div w:id="1031029825">
                      <w:marLeft w:val="0"/>
                      <w:marRight w:val="150"/>
                      <w:marTop w:val="0"/>
                      <w:marBottom w:val="0"/>
                      <w:divBdr>
                        <w:top w:val="none" w:sz="0" w:space="0" w:color="auto"/>
                        <w:left w:val="none" w:sz="0" w:space="0" w:color="auto"/>
                        <w:bottom w:val="none" w:sz="0" w:space="0" w:color="auto"/>
                        <w:right w:val="none" w:sz="0" w:space="0" w:color="auto"/>
                      </w:divBdr>
                      <w:divsChild>
                        <w:div w:id="10184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206224">
          <w:marLeft w:val="0"/>
          <w:marRight w:val="0"/>
          <w:marTop w:val="0"/>
          <w:marBottom w:val="150"/>
          <w:divBdr>
            <w:top w:val="none" w:sz="0" w:space="0" w:color="auto"/>
            <w:left w:val="none" w:sz="0" w:space="0" w:color="auto"/>
            <w:bottom w:val="none" w:sz="0" w:space="0" w:color="auto"/>
            <w:right w:val="none" w:sz="0" w:space="0" w:color="auto"/>
          </w:divBdr>
        </w:div>
        <w:div w:id="194656479">
          <w:marLeft w:val="0"/>
          <w:marRight w:val="0"/>
          <w:marTop w:val="0"/>
          <w:marBottom w:val="0"/>
          <w:divBdr>
            <w:top w:val="none" w:sz="0" w:space="0" w:color="auto"/>
            <w:left w:val="none" w:sz="0" w:space="0" w:color="auto"/>
            <w:bottom w:val="none" w:sz="0" w:space="0" w:color="auto"/>
            <w:right w:val="none" w:sz="0" w:space="0" w:color="auto"/>
          </w:divBdr>
          <w:divsChild>
            <w:div w:id="16611539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37753219">
      <w:bodyDiv w:val="1"/>
      <w:marLeft w:val="0"/>
      <w:marRight w:val="0"/>
      <w:marTop w:val="0"/>
      <w:marBottom w:val="0"/>
      <w:divBdr>
        <w:top w:val="none" w:sz="0" w:space="0" w:color="auto"/>
        <w:left w:val="none" w:sz="0" w:space="0" w:color="auto"/>
        <w:bottom w:val="none" w:sz="0" w:space="0" w:color="auto"/>
        <w:right w:val="none" w:sz="0" w:space="0" w:color="auto"/>
      </w:divBdr>
      <w:divsChild>
        <w:div w:id="385302424">
          <w:marLeft w:val="0"/>
          <w:marRight w:val="0"/>
          <w:marTop w:val="0"/>
          <w:marBottom w:val="0"/>
          <w:divBdr>
            <w:top w:val="none" w:sz="0" w:space="0" w:color="auto"/>
            <w:left w:val="none" w:sz="0" w:space="0" w:color="auto"/>
            <w:bottom w:val="none" w:sz="0" w:space="0" w:color="auto"/>
            <w:right w:val="none" w:sz="0" w:space="0" w:color="auto"/>
          </w:divBdr>
        </w:div>
      </w:divsChild>
    </w:div>
    <w:div w:id="1438523300">
      <w:bodyDiv w:val="1"/>
      <w:marLeft w:val="0"/>
      <w:marRight w:val="0"/>
      <w:marTop w:val="0"/>
      <w:marBottom w:val="0"/>
      <w:divBdr>
        <w:top w:val="none" w:sz="0" w:space="0" w:color="auto"/>
        <w:left w:val="none" w:sz="0" w:space="0" w:color="auto"/>
        <w:bottom w:val="none" w:sz="0" w:space="0" w:color="auto"/>
        <w:right w:val="none" w:sz="0" w:space="0" w:color="auto"/>
      </w:divBdr>
      <w:divsChild>
        <w:div w:id="459299028">
          <w:marLeft w:val="0"/>
          <w:marRight w:val="0"/>
          <w:marTop w:val="0"/>
          <w:marBottom w:val="0"/>
          <w:divBdr>
            <w:top w:val="none" w:sz="0" w:space="0" w:color="auto"/>
            <w:left w:val="none" w:sz="0" w:space="0" w:color="auto"/>
            <w:bottom w:val="none" w:sz="0" w:space="0" w:color="auto"/>
            <w:right w:val="none" w:sz="0" w:space="0" w:color="auto"/>
          </w:divBdr>
          <w:divsChild>
            <w:div w:id="1092362977">
              <w:marLeft w:val="0"/>
              <w:marRight w:val="0"/>
              <w:marTop w:val="0"/>
              <w:marBottom w:val="0"/>
              <w:divBdr>
                <w:top w:val="none" w:sz="0" w:space="0" w:color="auto"/>
                <w:left w:val="none" w:sz="0" w:space="0" w:color="auto"/>
                <w:bottom w:val="none" w:sz="0" w:space="0" w:color="auto"/>
                <w:right w:val="none" w:sz="0" w:space="0" w:color="auto"/>
              </w:divBdr>
              <w:divsChild>
                <w:div w:id="754014056">
                  <w:marLeft w:val="0"/>
                  <w:marRight w:val="0"/>
                  <w:marTop w:val="0"/>
                  <w:marBottom w:val="0"/>
                  <w:divBdr>
                    <w:top w:val="none" w:sz="0" w:space="0" w:color="auto"/>
                    <w:left w:val="none" w:sz="0" w:space="0" w:color="auto"/>
                    <w:bottom w:val="none" w:sz="0" w:space="0" w:color="auto"/>
                    <w:right w:val="none" w:sz="0" w:space="0" w:color="auto"/>
                  </w:divBdr>
                  <w:divsChild>
                    <w:div w:id="637956732">
                      <w:marLeft w:val="0"/>
                      <w:marRight w:val="0"/>
                      <w:marTop w:val="0"/>
                      <w:marBottom w:val="0"/>
                      <w:divBdr>
                        <w:top w:val="none" w:sz="0" w:space="0" w:color="auto"/>
                        <w:left w:val="none" w:sz="0" w:space="0" w:color="auto"/>
                        <w:bottom w:val="none" w:sz="0" w:space="0" w:color="auto"/>
                        <w:right w:val="none" w:sz="0" w:space="0" w:color="auto"/>
                      </w:divBdr>
                      <w:divsChild>
                        <w:div w:id="641734979">
                          <w:marLeft w:val="0"/>
                          <w:marRight w:val="0"/>
                          <w:marTop w:val="0"/>
                          <w:marBottom w:val="0"/>
                          <w:divBdr>
                            <w:top w:val="none" w:sz="0" w:space="0" w:color="auto"/>
                            <w:left w:val="none" w:sz="0" w:space="0" w:color="auto"/>
                            <w:bottom w:val="none" w:sz="0" w:space="0" w:color="auto"/>
                            <w:right w:val="none" w:sz="0" w:space="0" w:color="auto"/>
                          </w:divBdr>
                          <w:divsChild>
                            <w:div w:id="1506941441">
                              <w:marLeft w:val="0"/>
                              <w:marRight w:val="0"/>
                              <w:marTop w:val="0"/>
                              <w:marBottom w:val="0"/>
                              <w:divBdr>
                                <w:top w:val="none" w:sz="0" w:space="0" w:color="auto"/>
                                <w:left w:val="none" w:sz="0" w:space="0" w:color="auto"/>
                                <w:bottom w:val="none" w:sz="0" w:space="0" w:color="auto"/>
                                <w:right w:val="none" w:sz="0" w:space="0" w:color="auto"/>
                              </w:divBdr>
                              <w:divsChild>
                                <w:div w:id="1605460010">
                                  <w:marLeft w:val="0"/>
                                  <w:marRight w:val="0"/>
                                  <w:marTop w:val="0"/>
                                  <w:marBottom w:val="0"/>
                                  <w:divBdr>
                                    <w:top w:val="none" w:sz="0" w:space="0" w:color="auto"/>
                                    <w:left w:val="none" w:sz="0" w:space="0" w:color="auto"/>
                                    <w:bottom w:val="none" w:sz="0" w:space="0" w:color="auto"/>
                                    <w:right w:val="none" w:sz="0" w:space="0" w:color="auto"/>
                                  </w:divBdr>
                                  <w:divsChild>
                                    <w:div w:id="1343506499">
                                      <w:marLeft w:val="0"/>
                                      <w:marRight w:val="0"/>
                                      <w:marTop w:val="0"/>
                                      <w:marBottom w:val="0"/>
                                      <w:divBdr>
                                        <w:top w:val="none" w:sz="0" w:space="0" w:color="auto"/>
                                        <w:left w:val="none" w:sz="0" w:space="0" w:color="auto"/>
                                        <w:bottom w:val="none" w:sz="0" w:space="0" w:color="auto"/>
                                        <w:right w:val="none" w:sz="0" w:space="0" w:color="auto"/>
                                      </w:divBdr>
                                      <w:divsChild>
                                        <w:div w:id="175717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9064983">
      <w:bodyDiv w:val="1"/>
      <w:marLeft w:val="0"/>
      <w:marRight w:val="0"/>
      <w:marTop w:val="0"/>
      <w:marBottom w:val="0"/>
      <w:divBdr>
        <w:top w:val="none" w:sz="0" w:space="0" w:color="auto"/>
        <w:left w:val="none" w:sz="0" w:space="0" w:color="auto"/>
        <w:bottom w:val="none" w:sz="0" w:space="0" w:color="auto"/>
        <w:right w:val="none" w:sz="0" w:space="0" w:color="auto"/>
      </w:divBdr>
      <w:divsChild>
        <w:div w:id="501051275">
          <w:marLeft w:val="0"/>
          <w:marRight w:val="0"/>
          <w:marTop w:val="0"/>
          <w:marBottom w:val="0"/>
          <w:divBdr>
            <w:top w:val="none" w:sz="0" w:space="0" w:color="auto"/>
            <w:left w:val="none" w:sz="0" w:space="0" w:color="auto"/>
            <w:bottom w:val="none" w:sz="0" w:space="0" w:color="auto"/>
            <w:right w:val="none" w:sz="0" w:space="0" w:color="auto"/>
          </w:divBdr>
          <w:divsChild>
            <w:div w:id="271087597">
              <w:marLeft w:val="0"/>
              <w:marRight w:val="0"/>
              <w:marTop w:val="0"/>
              <w:marBottom w:val="150"/>
              <w:divBdr>
                <w:top w:val="none" w:sz="0" w:space="0" w:color="auto"/>
                <w:left w:val="none" w:sz="0" w:space="0" w:color="auto"/>
                <w:bottom w:val="none" w:sz="0" w:space="0" w:color="auto"/>
                <w:right w:val="none" w:sz="0" w:space="0" w:color="auto"/>
              </w:divBdr>
            </w:div>
            <w:div w:id="11833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251762">
      <w:bodyDiv w:val="1"/>
      <w:marLeft w:val="0"/>
      <w:marRight w:val="0"/>
      <w:marTop w:val="0"/>
      <w:marBottom w:val="0"/>
      <w:divBdr>
        <w:top w:val="none" w:sz="0" w:space="0" w:color="auto"/>
        <w:left w:val="none" w:sz="0" w:space="0" w:color="auto"/>
        <w:bottom w:val="none" w:sz="0" w:space="0" w:color="auto"/>
        <w:right w:val="none" w:sz="0" w:space="0" w:color="auto"/>
      </w:divBdr>
      <w:divsChild>
        <w:div w:id="34434207">
          <w:marLeft w:val="0"/>
          <w:marRight w:val="0"/>
          <w:marTop w:val="0"/>
          <w:marBottom w:val="0"/>
          <w:divBdr>
            <w:top w:val="none" w:sz="0" w:space="0" w:color="auto"/>
            <w:left w:val="none" w:sz="0" w:space="0" w:color="auto"/>
            <w:bottom w:val="none" w:sz="0" w:space="0" w:color="auto"/>
            <w:right w:val="none" w:sz="0" w:space="0" w:color="auto"/>
          </w:divBdr>
          <w:divsChild>
            <w:div w:id="1964920974">
              <w:marLeft w:val="0"/>
              <w:marRight w:val="0"/>
              <w:marTop w:val="0"/>
              <w:marBottom w:val="0"/>
              <w:divBdr>
                <w:top w:val="none" w:sz="0" w:space="0" w:color="auto"/>
                <w:left w:val="none" w:sz="0" w:space="0" w:color="auto"/>
                <w:bottom w:val="none" w:sz="0" w:space="0" w:color="auto"/>
                <w:right w:val="none" w:sz="0" w:space="0" w:color="auto"/>
              </w:divBdr>
            </w:div>
          </w:divsChild>
        </w:div>
        <w:div w:id="832525186">
          <w:marLeft w:val="0"/>
          <w:marRight w:val="0"/>
          <w:marTop w:val="0"/>
          <w:marBottom w:val="0"/>
          <w:divBdr>
            <w:top w:val="none" w:sz="0" w:space="0" w:color="auto"/>
            <w:left w:val="none" w:sz="0" w:space="0" w:color="auto"/>
            <w:bottom w:val="none" w:sz="0" w:space="0" w:color="auto"/>
            <w:right w:val="none" w:sz="0" w:space="0" w:color="auto"/>
          </w:divBdr>
        </w:div>
        <w:div w:id="589462439">
          <w:marLeft w:val="0"/>
          <w:marRight w:val="0"/>
          <w:marTop w:val="0"/>
          <w:marBottom w:val="0"/>
          <w:divBdr>
            <w:top w:val="none" w:sz="0" w:space="0" w:color="auto"/>
            <w:left w:val="none" w:sz="0" w:space="0" w:color="auto"/>
            <w:bottom w:val="none" w:sz="0" w:space="0" w:color="auto"/>
            <w:right w:val="none" w:sz="0" w:space="0" w:color="auto"/>
          </w:divBdr>
          <w:divsChild>
            <w:div w:id="1569222615">
              <w:marLeft w:val="-225"/>
              <w:marRight w:val="-225"/>
              <w:marTop w:val="0"/>
              <w:marBottom w:val="0"/>
              <w:divBdr>
                <w:top w:val="none" w:sz="0" w:space="0" w:color="auto"/>
                <w:left w:val="none" w:sz="0" w:space="0" w:color="auto"/>
                <w:bottom w:val="none" w:sz="0" w:space="0" w:color="auto"/>
                <w:right w:val="none" w:sz="0" w:space="0" w:color="auto"/>
              </w:divBdr>
              <w:divsChild>
                <w:div w:id="1227912253">
                  <w:marLeft w:val="0"/>
                  <w:marRight w:val="0"/>
                  <w:marTop w:val="0"/>
                  <w:marBottom w:val="0"/>
                  <w:divBdr>
                    <w:top w:val="none" w:sz="0" w:space="0" w:color="auto"/>
                    <w:left w:val="none" w:sz="0" w:space="0" w:color="auto"/>
                    <w:bottom w:val="none" w:sz="0" w:space="0" w:color="auto"/>
                    <w:right w:val="single" w:sz="6" w:space="0" w:color="000000"/>
                  </w:divBdr>
                  <w:divsChild>
                    <w:div w:id="427121212">
                      <w:marLeft w:val="0"/>
                      <w:marRight w:val="0"/>
                      <w:marTop w:val="0"/>
                      <w:marBottom w:val="0"/>
                      <w:divBdr>
                        <w:top w:val="none" w:sz="0" w:space="0" w:color="auto"/>
                        <w:left w:val="none" w:sz="0" w:space="0" w:color="auto"/>
                        <w:bottom w:val="none" w:sz="0" w:space="0" w:color="auto"/>
                        <w:right w:val="none" w:sz="0" w:space="0" w:color="auto"/>
                      </w:divBdr>
                      <w:divsChild>
                        <w:div w:id="1013144159">
                          <w:marLeft w:val="0"/>
                          <w:marRight w:val="0"/>
                          <w:marTop w:val="0"/>
                          <w:marBottom w:val="0"/>
                          <w:divBdr>
                            <w:top w:val="none" w:sz="0" w:space="0" w:color="auto"/>
                            <w:left w:val="none" w:sz="0" w:space="0" w:color="auto"/>
                            <w:bottom w:val="none" w:sz="0" w:space="0" w:color="auto"/>
                            <w:right w:val="none" w:sz="0" w:space="0" w:color="auto"/>
                          </w:divBdr>
                        </w:div>
                        <w:div w:id="446197945">
                          <w:marLeft w:val="0"/>
                          <w:marRight w:val="0"/>
                          <w:marTop w:val="0"/>
                          <w:marBottom w:val="0"/>
                          <w:divBdr>
                            <w:top w:val="none" w:sz="0" w:space="0" w:color="auto"/>
                            <w:left w:val="none" w:sz="0" w:space="0" w:color="auto"/>
                            <w:bottom w:val="none" w:sz="0" w:space="0" w:color="auto"/>
                            <w:right w:val="none" w:sz="0" w:space="0" w:color="auto"/>
                          </w:divBdr>
                        </w:div>
                        <w:div w:id="30836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66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449727">
      <w:bodyDiv w:val="1"/>
      <w:marLeft w:val="0"/>
      <w:marRight w:val="0"/>
      <w:marTop w:val="0"/>
      <w:marBottom w:val="0"/>
      <w:divBdr>
        <w:top w:val="none" w:sz="0" w:space="0" w:color="auto"/>
        <w:left w:val="none" w:sz="0" w:space="0" w:color="auto"/>
        <w:bottom w:val="none" w:sz="0" w:space="0" w:color="auto"/>
        <w:right w:val="none" w:sz="0" w:space="0" w:color="auto"/>
      </w:divBdr>
      <w:divsChild>
        <w:div w:id="1015113070">
          <w:marLeft w:val="0"/>
          <w:marRight w:val="0"/>
          <w:marTop w:val="0"/>
          <w:marBottom w:val="0"/>
          <w:divBdr>
            <w:top w:val="none" w:sz="0" w:space="0" w:color="auto"/>
            <w:left w:val="none" w:sz="0" w:space="0" w:color="auto"/>
            <w:bottom w:val="none" w:sz="0" w:space="0" w:color="auto"/>
            <w:right w:val="none" w:sz="0" w:space="0" w:color="auto"/>
          </w:divBdr>
        </w:div>
        <w:div w:id="1551455209">
          <w:marLeft w:val="0"/>
          <w:marRight w:val="0"/>
          <w:marTop w:val="0"/>
          <w:marBottom w:val="150"/>
          <w:divBdr>
            <w:top w:val="none" w:sz="0" w:space="0" w:color="auto"/>
            <w:left w:val="none" w:sz="0" w:space="0" w:color="auto"/>
            <w:bottom w:val="none" w:sz="0" w:space="0" w:color="auto"/>
            <w:right w:val="none" w:sz="0" w:space="0" w:color="auto"/>
          </w:divBdr>
        </w:div>
      </w:divsChild>
    </w:div>
    <w:div w:id="1439720443">
      <w:bodyDiv w:val="1"/>
      <w:marLeft w:val="0"/>
      <w:marRight w:val="0"/>
      <w:marTop w:val="0"/>
      <w:marBottom w:val="0"/>
      <w:divBdr>
        <w:top w:val="none" w:sz="0" w:space="0" w:color="auto"/>
        <w:left w:val="none" w:sz="0" w:space="0" w:color="auto"/>
        <w:bottom w:val="none" w:sz="0" w:space="0" w:color="auto"/>
        <w:right w:val="none" w:sz="0" w:space="0" w:color="auto"/>
      </w:divBdr>
    </w:div>
    <w:div w:id="1439760957">
      <w:bodyDiv w:val="1"/>
      <w:marLeft w:val="0"/>
      <w:marRight w:val="0"/>
      <w:marTop w:val="0"/>
      <w:marBottom w:val="0"/>
      <w:divBdr>
        <w:top w:val="none" w:sz="0" w:space="0" w:color="auto"/>
        <w:left w:val="none" w:sz="0" w:space="0" w:color="auto"/>
        <w:bottom w:val="none" w:sz="0" w:space="0" w:color="auto"/>
        <w:right w:val="none" w:sz="0" w:space="0" w:color="auto"/>
      </w:divBdr>
      <w:divsChild>
        <w:div w:id="1685477868">
          <w:marLeft w:val="0"/>
          <w:marRight w:val="0"/>
          <w:marTop w:val="0"/>
          <w:marBottom w:val="150"/>
          <w:divBdr>
            <w:top w:val="none" w:sz="0" w:space="0" w:color="auto"/>
            <w:left w:val="none" w:sz="0" w:space="0" w:color="auto"/>
            <w:bottom w:val="none" w:sz="0" w:space="0" w:color="auto"/>
            <w:right w:val="none" w:sz="0" w:space="0" w:color="auto"/>
          </w:divBdr>
        </w:div>
      </w:divsChild>
    </w:div>
    <w:div w:id="1439982385">
      <w:bodyDiv w:val="1"/>
      <w:marLeft w:val="0"/>
      <w:marRight w:val="0"/>
      <w:marTop w:val="0"/>
      <w:marBottom w:val="0"/>
      <w:divBdr>
        <w:top w:val="none" w:sz="0" w:space="0" w:color="auto"/>
        <w:left w:val="none" w:sz="0" w:space="0" w:color="auto"/>
        <w:bottom w:val="none" w:sz="0" w:space="0" w:color="auto"/>
        <w:right w:val="none" w:sz="0" w:space="0" w:color="auto"/>
      </w:divBdr>
    </w:div>
    <w:div w:id="1440103144">
      <w:bodyDiv w:val="1"/>
      <w:marLeft w:val="0"/>
      <w:marRight w:val="0"/>
      <w:marTop w:val="0"/>
      <w:marBottom w:val="0"/>
      <w:divBdr>
        <w:top w:val="none" w:sz="0" w:space="0" w:color="auto"/>
        <w:left w:val="none" w:sz="0" w:space="0" w:color="auto"/>
        <w:bottom w:val="none" w:sz="0" w:space="0" w:color="auto"/>
        <w:right w:val="none" w:sz="0" w:space="0" w:color="auto"/>
      </w:divBdr>
      <w:divsChild>
        <w:div w:id="432941191">
          <w:marLeft w:val="0"/>
          <w:marRight w:val="0"/>
          <w:marTop w:val="0"/>
          <w:marBottom w:val="0"/>
          <w:divBdr>
            <w:top w:val="none" w:sz="0" w:space="0" w:color="auto"/>
            <w:left w:val="none" w:sz="0" w:space="0" w:color="auto"/>
            <w:bottom w:val="none" w:sz="0" w:space="0" w:color="auto"/>
            <w:right w:val="none" w:sz="0" w:space="0" w:color="auto"/>
          </w:divBdr>
          <w:divsChild>
            <w:div w:id="2053773618">
              <w:marLeft w:val="0"/>
              <w:marRight w:val="0"/>
              <w:marTop w:val="0"/>
              <w:marBottom w:val="0"/>
              <w:divBdr>
                <w:top w:val="none" w:sz="0" w:space="0" w:color="auto"/>
                <w:left w:val="none" w:sz="0" w:space="0" w:color="auto"/>
                <w:bottom w:val="none" w:sz="0" w:space="0" w:color="auto"/>
                <w:right w:val="none" w:sz="0" w:space="0" w:color="auto"/>
              </w:divBdr>
              <w:divsChild>
                <w:div w:id="296376810">
                  <w:marLeft w:val="0"/>
                  <w:marRight w:val="0"/>
                  <w:marTop w:val="0"/>
                  <w:marBottom w:val="0"/>
                  <w:divBdr>
                    <w:top w:val="none" w:sz="0" w:space="0" w:color="auto"/>
                    <w:left w:val="none" w:sz="0" w:space="0" w:color="auto"/>
                    <w:bottom w:val="none" w:sz="0" w:space="0" w:color="auto"/>
                    <w:right w:val="none" w:sz="0" w:space="0" w:color="auto"/>
                  </w:divBdr>
                  <w:divsChild>
                    <w:div w:id="1197962052">
                      <w:marLeft w:val="0"/>
                      <w:marRight w:val="0"/>
                      <w:marTop w:val="0"/>
                      <w:marBottom w:val="75"/>
                      <w:divBdr>
                        <w:top w:val="none" w:sz="0" w:space="0" w:color="auto"/>
                        <w:left w:val="none" w:sz="0" w:space="0" w:color="auto"/>
                        <w:bottom w:val="none" w:sz="0" w:space="0" w:color="auto"/>
                        <w:right w:val="none" w:sz="0" w:space="0" w:color="auto"/>
                      </w:divBdr>
                    </w:div>
                    <w:div w:id="2069768285">
                      <w:marLeft w:val="0"/>
                      <w:marRight w:val="0"/>
                      <w:marTop w:val="0"/>
                      <w:marBottom w:val="0"/>
                      <w:divBdr>
                        <w:top w:val="none" w:sz="0" w:space="0" w:color="auto"/>
                        <w:left w:val="none" w:sz="0" w:space="0" w:color="auto"/>
                        <w:bottom w:val="none" w:sz="0" w:space="0" w:color="auto"/>
                        <w:right w:val="none" w:sz="0" w:space="0" w:color="auto"/>
                      </w:divBdr>
                    </w:div>
                    <w:div w:id="2083021139">
                      <w:marLeft w:val="0"/>
                      <w:marRight w:val="0"/>
                      <w:marTop w:val="0"/>
                      <w:marBottom w:val="0"/>
                      <w:divBdr>
                        <w:top w:val="none" w:sz="0" w:space="0" w:color="auto"/>
                        <w:left w:val="none" w:sz="0" w:space="0" w:color="auto"/>
                        <w:bottom w:val="none" w:sz="0" w:space="0" w:color="auto"/>
                        <w:right w:val="none" w:sz="0" w:space="0" w:color="auto"/>
                      </w:divBdr>
                      <w:divsChild>
                        <w:div w:id="759716156">
                          <w:marLeft w:val="0"/>
                          <w:marRight w:val="0"/>
                          <w:marTop w:val="0"/>
                          <w:marBottom w:val="0"/>
                          <w:divBdr>
                            <w:top w:val="none" w:sz="0" w:space="0" w:color="auto"/>
                            <w:left w:val="none" w:sz="0" w:space="0" w:color="auto"/>
                            <w:bottom w:val="none" w:sz="0" w:space="0" w:color="auto"/>
                            <w:right w:val="none" w:sz="0" w:space="0" w:color="auto"/>
                          </w:divBdr>
                          <w:divsChild>
                            <w:div w:id="13297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536815">
                  <w:marLeft w:val="300"/>
                  <w:marRight w:val="0"/>
                  <w:marTop w:val="0"/>
                  <w:marBottom w:val="0"/>
                  <w:divBdr>
                    <w:top w:val="none" w:sz="0" w:space="0" w:color="auto"/>
                    <w:left w:val="none" w:sz="0" w:space="0" w:color="auto"/>
                    <w:bottom w:val="none" w:sz="0" w:space="0" w:color="auto"/>
                    <w:right w:val="none" w:sz="0" w:space="0" w:color="auto"/>
                  </w:divBdr>
                  <w:divsChild>
                    <w:div w:id="778329685">
                      <w:marLeft w:val="0"/>
                      <w:marRight w:val="0"/>
                      <w:marTop w:val="0"/>
                      <w:marBottom w:val="300"/>
                      <w:divBdr>
                        <w:top w:val="none" w:sz="0" w:space="0" w:color="auto"/>
                        <w:left w:val="none" w:sz="0" w:space="0" w:color="auto"/>
                        <w:bottom w:val="none" w:sz="0" w:space="0" w:color="auto"/>
                        <w:right w:val="none" w:sz="0" w:space="0" w:color="auto"/>
                      </w:divBdr>
                      <w:divsChild>
                        <w:div w:id="150024090">
                          <w:marLeft w:val="0"/>
                          <w:marRight w:val="0"/>
                          <w:marTop w:val="0"/>
                          <w:marBottom w:val="0"/>
                          <w:divBdr>
                            <w:top w:val="none" w:sz="0" w:space="0" w:color="auto"/>
                            <w:left w:val="none" w:sz="0" w:space="0" w:color="auto"/>
                            <w:bottom w:val="none" w:sz="0" w:space="0" w:color="auto"/>
                            <w:right w:val="none" w:sz="0" w:space="0" w:color="auto"/>
                          </w:divBdr>
                          <w:divsChild>
                            <w:div w:id="1087577350">
                              <w:marLeft w:val="0"/>
                              <w:marRight w:val="0"/>
                              <w:marTop w:val="0"/>
                              <w:marBottom w:val="0"/>
                              <w:divBdr>
                                <w:top w:val="none" w:sz="0" w:space="0" w:color="auto"/>
                                <w:left w:val="none" w:sz="0" w:space="0" w:color="auto"/>
                                <w:bottom w:val="none" w:sz="0" w:space="0" w:color="auto"/>
                                <w:right w:val="none" w:sz="0" w:space="0" w:color="auto"/>
                              </w:divBdr>
                              <w:divsChild>
                                <w:div w:id="1722286445">
                                  <w:marLeft w:val="0"/>
                                  <w:marRight w:val="0"/>
                                  <w:marTop w:val="0"/>
                                  <w:marBottom w:val="0"/>
                                  <w:divBdr>
                                    <w:top w:val="single" w:sz="2" w:space="0" w:color="DFDFDF"/>
                                    <w:left w:val="single" w:sz="2" w:space="0" w:color="DFDFDF"/>
                                    <w:bottom w:val="single" w:sz="2" w:space="0" w:color="DFDFDF"/>
                                    <w:right w:val="single" w:sz="2" w:space="0" w:color="DFDFDF"/>
                                  </w:divBdr>
                                  <w:divsChild>
                                    <w:div w:id="602761366">
                                      <w:marLeft w:val="-90"/>
                                      <w:marRight w:val="0"/>
                                      <w:marTop w:val="0"/>
                                      <w:marBottom w:val="0"/>
                                      <w:divBdr>
                                        <w:top w:val="none" w:sz="0" w:space="0" w:color="auto"/>
                                        <w:left w:val="none" w:sz="0" w:space="0" w:color="auto"/>
                                        <w:bottom w:val="none" w:sz="0" w:space="0" w:color="auto"/>
                                        <w:right w:val="none" w:sz="0" w:space="0" w:color="auto"/>
                                      </w:divBdr>
                                      <w:divsChild>
                                        <w:div w:id="1955208535">
                                          <w:marLeft w:val="0"/>
                                          <w:marRight w:val="0"/>
                                          <w:marTop w:val="0"/>
                                          <w:marBottom w:val="45"/>
                                          <w:divBdr>
                                            <w:top w:val="single" w:sz="2" w:space="0" w:color="A9A9A9"/>
                                            <w:left w:val="single" w:sz="2" w:space="0" w:color="A9A9A9"/>
                                            <w:bottom w:val="single" w:sz="2" w:space="0" w:color="A9A9A9"/>
                                            <w:right w:val="single" w:sz="2" w:space="0" w:color="A9A9A9"/>
                                          </w:divBdr>
                                          <w:divsChild>
                                            <w:div w:id="825166501">
                                              <w:marLeft w:val="0"/>
                                              <w:marRight w:val="0"/>
                                              <w:marTop w:val="0"/>
                                              <w:marBottom w:val="0"/>
                                              <w:divBdr>
                                                <w:top w:val="none" w:sz="0" w:space="0" w:color="auto"/>
                                                <w:left w:val="none" w:sz="0" w:space="0" w:color="auto"/>
                                                <w:bottom w:val="none" w:sz="0" w:space="0" w:color="auto"/>
                                                <w:right w:val="none" w:sz="0" w:space="0" w:color="auto"/>
                                              </w:divBdr>
                                              <w:divsChild>
                                                <w:div w:id="968517424">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854613079">
                                      <w:marLeft w:val="0"/>
                                      <w:marRight w:val="0"/>
                                      <w:marTop w:val="0"/>
                                      <w:marBottom w:val="270"/>
                                      <w:divBdr>
                                        <w:top w:val="none" w:sz="0" w:space="0" w:color="auto"/>
                                        <w:left w:val="none" w:sz="0" w:space="0" w:color="auto"/>
                                        <w:bottom w:val="single" w:sz="12" w:space="5" w:color="DADADA"/>
                                        <w:right w:val="none" w:sz="0" w:space="0" w:color="auto"/>
                                      </w:divBdr>
                                      <w:divsChild>
                                        <w:div w:id="109316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281234">
                          <w:marLeft w:val="0"/>
                          <w:marRight w:val="0"/>
                          <w:marTop w:val="0"/>
                          <w:marBottom w:val="0"/>
                          <w:divBdr>
                            <w:top w:val="none" w:sz="0" w:space="0" w:color="auto"/>
                            <w:left w:val="none" w:sz="0" w:space="0" w:color="auto"/>
                            <w:bottom w:val="none" w:sz="0" w:space="0" w:color="auto"/>
                            <w:right w:val="none" w:sz="0" w:space="0" w:color="auto"/>
                          </w:divBdr>
                          <w:divsChild>
                            <w:div w:id="2078428865">
                              <w:marLeft w:val="0"/>
                              <w:marRight w:val="0"/>
                              <w:marTop w:val="0"/>
                              <w:marBottom w:val="0"/>
                              <w:divBdr>
                                <w:top w:val="none" w:sz="0" w:space="0" w:color="auto"/>
                                <w:left w:val="none" w:sz="0" w:space="0" w:color="auto"/>
                                <w:bottom w:val="none" w:sz="0" w:space="0" w:color="auto"/>
                                <w:right w:val="none" w:sz="0" w:space="0" w:color="auto"/>
                              </w:divBdr>
                              <w:divsChild>
                                <w:div w:id="1288076730">
                                  <w:marLeft w:val="0"/>
                                  <w:marRight w:val="0"/>
                                  <w:marTop w:val="0"/>
                                  <w:marBottom w:val="0"/>
                                  <w:divBdr>
                                    <w:top w:val="single" w:sz="2" w:space="0" w:color="DFDFDF"/>
                                    <w:left w:val="single" w:sz="2" w:space="0" w:color="DFDFDF"/>
                                    <w:bottom w:val="single" w:sz="2" w:space="0" w:color="DFDFDF"/>
                                    <w:right w:val="single" w:sz="2" w:space="0" w:color="DFDFDF"/>
                                  </w:divBdr>
                                  <w:divsChild>
                                    <w:div w:id="209658474">
                                      <w:marLeft w:val="-90"/>
                                      <w:marRight w:val="0"/>
                                      <w:marTop w:val="0"/>
                                      <w:marBottom w:val="0"/>
                                      <w:divBdr>
                                        <w:top w:val="none" w:sz="0" w:space="0" w:color="auto"/>
                                        <w:left w:val="none" w:sz="0" w:space="0" w:color="auto"/>
                                        <w:bottom w:val="none" w:sz="0" w:space="0" w:color="auto"/>
                                        <w:right w:val="none" w:sz="0" w:space="0" w:color="auto"/>
                                      </w:divBdr>
                                      <w:divsChild>
                                        <w:div w:id="2088308861">
                                          <w:marLeft w:val="0"/>
                                          <w:marRight w:val="0"/>
                                          <w:marTop w:val="0"/>
                                          <w:marBottom w:val="45"/>
                                          <w:divBdr>
                                            <w:top w:val="single" w:sz="2" w:space="0" w:color="A9A9A9"/>
                                            <w:left w:val="single" w:sz="2" w:space="0" w:color="A9A9A9"/>
                                            <w:bottom w:val="single" w:sz="2" w:space="0" w:color="A9A9A9"/>
                                            <w:right w:val="single" w:sz="2" w:space="0" w:color="A9A9A9"/>
                                          </w:divBdr>
                                          <w:divsChild>
                                            <w:div w:id="440951174">
                                              <w:marLeft w:val="0"/>
                                              <w:marRight w:val="0"/>
                                              <w:marTop w:val="0"/>
                                              <w:marBottom w:val="0"/>
                                              <w:divBdr>
                                                <w:top w:val="none" w:sz="0" w:space="0" w:color="auto"/>
                                                <w:left w:val="none" w:sz="0" w:space="0" w:color="auto"/>
                                                <w:bottom w:val="none" w:sz="0" w:space="0" w:color="auto"/>
                                                <w:right w:val="none" w:sz="0" w:space="0" w:color="auto"/>
                                              </w:divBdr>
                                              <w:divsChild>
                                                <w:div w:id="432483415">
                                                  <w:marLeft w:val="92"/>
                                                  <w:marRight w:val="0"/>
                                                  <w:marTop w:val="0"/>
                                                  <w:marBottom w:val="150"/>
                                                  <w:divBdr>
                                                    <w:top w:val="single" w:sz="2" w:space="0" w:color="E4E4E4"/>
                                                    <w:left w:val="single" w:sz="2" w:space="0" w:color="E4E4E4"/>
                                                    <w:bottom w:val="single" w:sz="2" w:space="0" w:color="E4E4E4"/>
                                                    <w:right w:val="single" w:sz="2" w:space="0" w:color="E4E4E4"/>
                                                  </w:divBdr>
                                                </w:div>
                                                <w:div w:id="165880541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 w:id="1436898188">
          <w:marLeft w:val="0"/>
          <w:marRight w:val="0"/>
          <w:marTop w:val="0"/>
          <w:marBottom w:val="0"/>
          <w:divBdr>
            <w:top w:val="none" w:sz="0" w:space="0" w:color="auto"/>
            <w:left w:val="none" w:sz="0" w:space="0" w:color="auto"/>
            <w:bottom w:val="none" w:sz="0" w:space="0" w:color="auto"/>
            <w:right w:val="none" w:sz="0" w:space="0" w:color="auto"/>
          </w:divBdr>
          <w:divsChild>
            <w:div w:id="1335189096">
              <w:marLeft w:val="0"/>
              <w:marRight w:val="0"/>
              <w:marTop w:val="0"/>
              <w:marBottom w:val="300"/>
              <w:divBdr>
                <w:top w:val="none" w:sz="0" w:space="0" w:color="auto"/>
                <w:left w:val="none" w:sz="0" w:space="0" w:color="auto"/>
                <w:bottom w:val="single" w:sz="6" w:space="0" w:color="F1F1F1"/>
                <w:right w:val="none" w:sz="0" w:space="0" w:color="auto"/>
              </w:divBdr>
              <w:divsChild>
                <w:div w:id="15024284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40684135">
      <w:bodyDiv w:val="1"/>
      <w:marLeft w:val="0"/>
      <w:marRight w:val="0"/>
      <w:marTop w:val="0"/>
      <w:marBottom w:val="0"/>
      <w:divBdr>
        <w:top w:val="none" w:sz="0" w:space="0" w:color="auto"/>
        <w:left w:val="none" w:sz="0" w:space="0" w:color="auto"/>
        <w:bottom w:val="none" w:sz="0" w:space="0" w:color="auto"/>
        <w:right w:val="none" w:sz="0" w:space="0" w:color="auto"/>
      </w:divBdr>
      <w:divsChild>
        <w:div w:id="746193632">
          <w:marLeft w:val="0"/>
          <w:marRight w:val="0"/>
          <w:marTop w:val="0"/>
          <w:marBottom w:val="0"/>
          <w:divBdr>
            <w:top w:val="none" w:sz="0" w:space="0" w:color="auto"/>
            <w:left w:val="none" w:sz="0" w:space="0" w:color="auto"/>
            <w:bottom w:val="dotted" w:sz="6" w:space="4" w:color="DDDDDD"/>
            <w:right w:val="none" w:sz="0" w:space="0" w:color="auto"/>
          </w:divBdr>
        </w:div>
      </w:divsChild>
    </w:div>
    <w:div w:id="1441334356">
      <w:bodyDiv w:val="1"/>
      <w:marLeft w:val="0"/>
      <w:marRight w:val="0"/>
      <w:marTop w:val="0"/>
      <w:marBottom w:val="0"/>
      <w:divBdr>
        <w:top w:val="none" w:sz="0" w:space="0" w:color="auto"/>
        <w:left w:val="none" w:sz="0" w:space="0" w:color="auto"/>
        <w:bottom w:val="none" w:sz="0" w:space="0" w:color="auto"/>
        <w:right w:val="none" w:sz="0" w:space="0" w:color="auto"/>
      </w:divBdr>
      <w:divsChild>
        <w:div w:id="1446926140">
          <w:marLeft w:val="0"/>
          <w:marRight w:val="0"/>
          <w:marTop w:val="0"/>
          <w:marBottom w:val="0"/>
          <w:divBdr>
            <w:top w:val="none" w:sz="0" w:space="8" w:color="auto"/>
            <w:left w:val="none" w:sz="0" w:space="2" w:color="auto"/>
            <w:bottom w:val="single" w:sz="6" w:space="8" w:color="DDDDDD"/>
            <w:right w:val="none" w:sz="0" w:space="0" w:color="auto"/>
          </w:divBdr>
        </w:div>
        <w:div w:id="1872526704">
          <w:marLeft w:val="0"/>
          <w:marRight w:val="0"/>
          <w:marTop w:val="150"/>
          <w:marBottom w:val="0"/>
          <w:divBdr>
            <w:top w:val="none" w:sz="0" w:space="0" w:color="auto"/>
            <w:left w:val="none" w:sz="0" w:space="0" w:color="auto"/>
            <w:bottom w:val="none" w:sz="0" w:space="0" w:color="auto"/>
            <w:right w:val="none" w:sz="0" w:space="0" w:color="auto"/>
          </w:divBdr>
          <w:divsChild>
            <w:div w:id="93706412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41335830">
      <w:bodyDiv w:val="1"/>
      <w:marLeft w:val="0"/>
      <w:marRight w:val="0"/>
      <w:marTop w:val="0"/>
      <w:marBottom w:val="0"/>
      <w:divBdr>
        <w:top w:val="none" w:sz="0" w:space="0" w:color="auto"/>
        <w:left w:val="none" w:sz="0" w:space="0" w:color="auto"/>
        <w:bottom w:val="none" w:sz="0" w:space="0" w:color="auto"/>
        <w:right w:val="none" w:sz="0" w:space="0" w:color="auto"/>
      </w:divBdr>
    </w:div>
    <w:div w:id="1441876224">
      <w:bodyDiv w:val="1"/>
      <w:marLeft w:val="0"/>
      <w:marRight w:val="0"/>
      <w:marTop w:val="0"/>
      <w:marBottom w:val="0"/>
      <w:divBdr>
        <w:top w:val="none" w:sz="0" w:space="0" w:color="auto"/>
        <w:left w:val="none" w:sz="0" w:space="0" w:color="auto"/>
        <w:bottom w:val="none" w:sz="0" w:space="0" w:color="auto"/>
        <w:right w:val="none" w:sz="0" w:space="0" w:color="auto"/>
      </w:divBdr>
      <w:divsChild>
        <w:div w:id="1076321022">
          <w:marLeft w:val="0"/>
          <w:marRight w:val="0"/>
          <w:marTop w:val="0"/>
          <w:marBottom w:val="0"/>
          <w:divBdr>
            <w:top w:val="none" w:sz="0" w:space="0" w:color="auto"/>
            <w:left w:val="none" w:sz="0" w:space="0" w:color="auto"/>
            <w:bottom w:val="dotted" w:sz="6" w:space="4" w:color="DDDDDD"/>
            <w:right w:val="none" w:sz="0" w:space="0" w:color="auto"/>
          </w:divBdr>
        </w:div>
      </w:divsChild>
    </w:div>
    <w:div w:id="1442408563">
      <w:bodyDiv w:val="1"/>
      <w:marLeft w:val="0"/>
      <w:marRight w:val="0"/>
      <w:marTop w:val="0"/>
      <w:marBottom w:val="0"/>
      <w:divBdr>
        <w:top w:val="none" w:sz="0" w:space="0" w:color="auto"/>
        <w:left w:val="none" w:sz="0" w:space="0" w:color="auto"/>
        <w:bottom w:val="none" w:sz="0" w:space="0" w:color="auto"/>
        <w:right w:val="none" w:sz="0" w:space="0" w:color="auto"/>
      </w:divBdr>
      <w:divsChild>
        <w:div w:id="1196313464">
          <w:marLeft w:val="0"/>
          <w:marRight w:val="0"/>
          <w:marTop w:val="0"/>
          <w:marBottom w:val="0"/>
          <w:divBdr>
            <w:top w:val="none" w:sz="0" w:space="8" w:color="auto"/>
            <w:left w:val="none" w:sz="0" w:space="2" w:color="auto"/>
            <w:bottom w:val="single" w:sz="6" w:space="8" w:color="DDDDDD"/>
            <w:right w:val="none" w:sz="0" w:space="0" w:color="auto"/>
          </w:divBdr>
        </w:div>
        <w:div w:id="2085569356">
          <w:marLeft w:val="0"/>
          <w:marRight w:val="0"/>
          <w:marTop w:val="150"/>
          <w:marBottom w:val="0"/>
          <w:divBdr>
            <w:top w:val="none" w:sz="0" w:space="0" w:color="auto"/>
            <w:left w:val="none" w:sz="0" w:space="0" w:color="auto"/>
            <w:bottom w:val="none" w:sz="0" w:space="0" w:color="auto"/>
            <w:right w:val="none" w:sz="0" w:space="0" w:color="auto"/>
          </w:divBdr>
          <w:divsChild>
            <w:div w:id="128060048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42451470">
      <w:bodyDiv w:val="1"/>
      <w:marLeft w:val="0"/>
      <w:marRight w:val="0"/>
      <w:marTop w:val="0"/>
      <w:marBottom w:val="0"/>
      <w:divBdr>
        <w:top w:val="none" w:sz="0" w:space="0" w:color="auto"/>
        <w:left w:val="none" w:sz="0" w:space="0" w:color="auto"/>
        <w:bottom w:val="none" w:sz="0" w:space="0" w:color="auto"/>
        <w:right w:val="none" w:sz="0" w:space="0" w:color="auto"/>
      </w:divBdr>
      <w:divsChild>
        <w:div w:id="1260335526">
          <w:marLeft w:val="0"/>
          <w:marRight w:val="0"/>
          <w:marTop w:val="150"/>
          <w:marBottom w:val="0"/>
          <w:divBdr>
            <w:top w:val="none" w:sz="0" w:space="0" w:color="auto"/>
            <w:left w:val="none" w:sz="0" w:space="0" w:color="auto"/>
            <w:bottom w:val="none" w:sz="0" w:space="0" w:color="auto"/>
            <w:right w:val="none" w:sz="0" w:space="0" w:color="auto"/>
          </w:divBdr>
          <w:divsChild>
            <w:div w:id="1018510412">
              <w:marLeft w:val="0"/>
              <w:marRight w:val="0"/>
              <w:marTop w:val="0"/>
              <w:marBottom w:val="0"/>
              <w:divBdr>
                <w:top w:val="none" w:sz="0" w:space="0" w:color="auto"/>
                <w:left w:val="none" w:sz="0" w:space="0" w:color="auto"/>
                <w:bottom w:val="none" w:sz="0" w:space="0" w:color="auto"/>
                <w:right w:val="none" w:sz="0" w:space="0" w:color="auto"/>
              </w:divBdr>
              <w:divsChild>
                <w:div w:id="151761990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29423942">
          <w:marLeft w:val="0"/>
          <w:marRight w:val="0"/>
          <w:marTop w:val="0"/>
          <w:marBottom w:val="0"/>
          <w:divBdr>
            <w:top w:val="none" w:sz="0" w:space="0" w:color="auto"/>
            <w:left w:val="none" w:sz="0" w:space="0" w:color="auto"/>
            <w:bottom w:val="none" w:sz="0" w:space="0" w:color="auto"/>
            <w:right w:val="none" w:sz="0" w:space="0" w:color="auto"/>
          </w:divBdr>
          <w:divsChild>
            <w:div w:id="266238499">
              <w:marLeft w:val="0"/>
              <w:marRight w:val="0"/>
              <w:marTop w:val="150"/>
              <w:marBottom w:val="150"/>
              <w:divBdr>
                <w:top w:val="none" w:sz="0" w:space="0" w:color="auto"/>
                <w:left w:val="none" w:sz="0" w:space="0" w:color="auto"/>
                <w:bottom w:val="none" w:sz="0" w:space="0" w:color="auto"/>
                <w:right w:val="none" w:sz="0" w:space="0" w:color="auto"/>
              </w:divBdr>
            </w:div>
            <w:div w:id="814025871">
              <w:marLeft w:val="0"/>
              <w:marRight w:val="0"/>
              <w:marTop w:val="150"/>
              <w:marBottom w:val="150"/>
              <w:divBdr>
                <w:top w:val="none" w:sz="0" w:space="0" w:color="auto"/>
                <w:left w:val="none" w:sz="0" w:space="0" w:color="auto"/>
                <w:bottom w:val="none" w:sz="0" w:space="0" w:color="auto"/>
                <w:right w:val="none" w:sz="0" w:space="0" w:color="auto"/>
              </w:divBdr>
            </w:div>
            <w:div w:id="108888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458195">
      <w:bodyDiv w:val="1"/>
      <w:marLeft w:val="0"/>
      <w:marRight w:val="0"/>
      <w:marTop w:val="0"/>
      <w:marBottom w:val="0"/>
      <w:divBdr>
        <w:top w:val="none" w:sz="0" w:space="0" w:color="auto"/>
        <w:left w:val="none" w:sz="0" w:space="0" w:color="auto"/>
        <w:bottom w:val="none" w:sz="0" w:space="0" w:color="auto"/>
        <w:right w:val="none" w:sz="0" w:space="0" w:color="auto"/>
      </w:divBdr>
      <w:divsChild>
        <w:div w:id="2139293775">
          <w:marLeft w:val="0"/>
          <w:marRight w:val="0"/>
          <w:marTop w:val="0"/>
          <w:marBottom w:val="0"/>
          <w:divBdr>
            <w:top w:val="none" w:sz="0" w:space="0" w:color="auto"/>
            <w:left w:val="none" w:sz="0" w:space="0" w:color="auto"/>
            <w:bottom w:val="dotted" w:sz="6" w:space="4" w:color="DDDDDD"/>
            <w:right w:val="none" w:sz="0" w:space="0" w:color="auto"/>
          </w:divBdr>
          <w:divsChild>
            <w:div w:id="59972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20138">
      <w:bodyDiv w:val="1"/>
      <w:marLeft w:val="0"/>
      <w:marRight w:val="0"/>
      <w:marTop w:val="0"/>
      <w:marBottom w:val="0"/>
      <w:divBdr>
        <w:top w:val="none" w:sz="0" w:space="0" w:color="auto"/>
        <w:left w:val="none" w:sz="0" w:space="0" w:color="auto"/>
        <w:bottom w:val="none" w:sz="0" w:space="0" w:color="auto"/>
        <w:right w:val="none" w:sz="0" w:space="0" w:color="auto"/>
      </w:divBdr>
    </w:div>
    <w:div w:id="1442724527">
      <w:bodyDiv w:val="1"/>
      <w:marLeft w:val="0"/>
      <w:marRight w:val="0"/>
      <w:marTop w:val="0"/>
      <w:marBottom w:val="0"/>
      <w:divBdr>
        <w:top w:val="none" w:sz="0" w:space="0" w:color="auto"/>
        <w:left w:val="none" w:sz="0" w:space="0" w:color="auto"/>
        <w:bottom w:val="none" w:sz="0" w:space="0" w:color="auto"/>
        <w:right w:val="none" w:sz="0" w:space="0" w:color="auto"/>
      </w:divBdr>
    </w:div>
    <w:div w:id="1443500568">
      <w:bodyDiv w:val="1"/>
      <w:marLeft w:val="0"/>
      <w:marRight w:val="0"/>
      <w:marTop w:val="0"/>
      <w:marBottom w:val="0"/>
      <w:divBdr>
        <w:top w:val="none" w:sz="0" w:space="0" w:color="auto"/>
        <w:left w:val="none" w:sz="0" w:space="0" w:color="auto"/>
        <w:bottom w:val="none" w:sz="0" w:space="0" w:color="auto"/>
        <w:right w:val="none" w:sz="0" w:space="0" w:color="auto"/>
      </w:divBdr>
    </w:div>
    <w:div w:id="1443838687">
      <w:bodyDiv w:val="1"/>
      <w:marLeft w:val="0"/>
      <w:marRight w:val="0"/>
      <w:marTop w:val="0"/>
      <w:marBottom w:val="0"/>
      <w:divBdr>
        <w:top w:val="none" w:sz="0" w:space="0" w:color="auto"/>
        <w:left w:val="none" w:sz="0" w:space="0" w:color="auto"/>
        <w:bottom w:val="none" w:sz="0" w:space="0" w:color="auto"/>
        <w:right w:val="none" w:sz="0" w:space="0" w:color="auto"/>
      </w:divBdr>
      <w:divsChild>
        <w:div w:id="1712727191">
          <w:marLeft w:val="0"/>
          <w:marRight w:val="0"/>
          <w:marTop w:val="0"/>
          <w:marBottom w:val="150"/>
          <w:divBdr>
            <w:top w:val="none" w:sz="0" w:space="0" w:color="auto"/>
            <w:left w:val="none" w:sz="0" w:space="0" w:color="auto"/>
            <w:bottom w:val="none" w:sz="0" w:space="0" w:color="auto"/>
            <w:right w:val="none" w:sz="0" w:space="0" w:color="auto"/>
          </w:divBdr>
        </w:div>
      </w:divsChild>
    </w:div>
    <w:div w:id="1443964070">
      <w:bodyDiv w:val="1"/>
      <w:marLeft w:val="0"/>
      <w:marRight w:val="0"/>
      <w:marTop w:val="0"/>
      <w:marBottom w:val="0"/>
      <w:divBdr>
        <w:top w:val="none" w:sz="0" w:space="0" w:color="auto"/>
        <w:left w:val="none" w:sz="0" w:space="0" w:color="auto"/>
        <w:bottom w:val="none" w:sz="0" w:space="0" w:color="auto"/>
        <w:right w:val="none" w:sz="0" w:space="0" w:color="auto"/>
      </w:divBdr>
      <w:divsChild>
        <w:div w:id="1303652447">
          <w:marLeft w:val="0"/>
          <w:marRight w:val="0"/>
          <w:marTop w:val="0"/>
          <w:marBottom w:val="0"/>
          <w:divBdr>
            <w:top w:val="none" w:sz="0" w:space="0" w:color="auto"/>
            <w:left w:val="none" w:sz="0" w:space="0" w:color="auto"/>
            <w:bottom w:val="none" w:sz="0" w:space="0" w:color="auto"/>
            <w:right w:val="none" w:sz="0" w:space="0" w:color="auto"/>
          </w:divBdr>
          <w:divsChild>
            <w:div w:id="1374692850">
              <w:marLeft w:val="0"/>
              <w:marRight w:val="0"/>
              <w:marTop w:val="0"/>
              <w:marBottom w:val="0"/>
              <w:divBdr>
                <w:top w:val="none" w:sz="0" w:space="0" w:color="auto"/>
                <w:left w:val="none" w:sz="0" w:space="0" w:color="auto"/>
                <w:bottom w:val="none" w:sz="0" w:space="0" w:color="auto"/>
                <w:right w:val="none" w:sz="0" w:space="0" w:color="auto"/>
              </w:divBdr>
              <w:divsChild>
                <w:div w:id="28923755">
                  <w:marLeft w:val="0"/>
                  <w:marRight w:val="0"/>
                  <w:marTop w:val="0"/>
                  <w:marBottom w:val="0"/>
                  <w:divBdr>
                    <w:top w:val="none" w:sz="0" w:space="0" w:color="auto"/>
                    <w:left w:val="none" w:sz="0" w:space="0" w:color="auto"/>
                    <w:bottom w:val="none" w:sz="0" w:space="0" w:color="auto"/>
                    <w:right w:val="none" w:sz="0" w:space="0" w:color="auto"/>
                  </w:divBdr>
                  <w:divsChild>
                    <w:div w:id="1998877264">
                      <w:marLeft w:val="0"/>
                      <w:marRight w:val="0"/>
                      <w:marTop w:val="0"/>
                      <w:marBottom w:val="0"/>
                      <w:divBdr>
                        <w:top w:val="none" w:sz="0" w:space="0" w:color="auto"/>
                        <w:left w:val="none" w:sz="0" w:space="0" w:color="auto"/>
                        <w:bottom w:val="none" w:sz="0" w:space="0" w:color="auto"/>
                        <w:right w:val="none" w:sz="0" w:space="0" w:color="auto"/>
                      </w:divBdr>
                      <w:divsChild>
                        <w:div w:id="1123773237">
                          <w:marLeft w:val="0"/>
                          <w:marRight w:val="0"/>
                          <w:marTop w:val="0"/>
                          <w:marBottom w:val="0"/>
                          <w:divBdr>
                            <w:top w:val="none" w:sz="0" w:space="0" w:color="auto"/>
                            <w:left w:val="none" w:sz="0" w:space="0" w:color="auto"/>
                            <w:bottom w:val="none" w:sz="0" w:space="0" w:color="auto"/>
                            <w:right w:val="none" w:sz="0" w:space="0" w:color="auto"/>
                          </w:divBdr>
                          <w:divsChild>
                            <w:div w:id="204950902">
                              <w:marLeft w:val="0"/>
                              <w:marRight w:val="0"/>
                              <w:marTop w:val="0"/>
                              <w:marBottom w:val="0"/>
                              <w:divBdr>
                                <w:top w:val="none" w:sz="0" w:space="0" w:color="auto"/>
                                <w:left w:val="none" w:sz="0" w:space="0" w:color="auto"/>
                                <w:bottom w:val="none" w:sz="0" w:space="0" w:color="auto"/>
                                <w:right w:val="none" w:sz="0" w:space="0" w:color="auto"/>
                              </w:divBdr>
                              <w:divsChild>
                                <w:div w:id="476189808">
                                  <w:marLeft w:val="0"/>
                                  <w:marRight w:val="0"/>
                                  <w:marTop w:val="0"/>
                                  <w:marBottom w:val="0"/>
                                  <w:divBdr>
                                    <w:top w:val="none" w:sz="0" w:space="0" w:color="auto"/>
                                    <w:left w:val="none" w:sz="0" w:space="0" w:color="auto"/>
                                    <w:bottom w:val="none" w:sz="0" w:space="0" w:color="auto"/>
                                    <w:right w:val="none" w:sz="0" w:space="0" w:color="auto"/>
                                  </w:divBdr>
                                  <w:divsChild>
                                    <w:div w:id="58752943">
                                      <w:marLeft w:val="0"/>
                                      <w:marRight w:val="0"/>
                                      <w:marTop w:val="0"/>
                                      <w:marBottom w:val="0"/>
                                      <w:divBdr>
                                        <w:top w:val="none" w:sz="0" w:space="0" w:color="auto"/>
                                        <w:left w:val="none" w:sz="0" w:space="0" w:color="auto"/>
                                        <w:bottom w:val="none" w:sz="0" w:space="0" w:color="auto"/>
                                        <w:right w:val="none" w:sz="0" w:space="0" w:color="auto"/>
                                      </w:divBdr>
                                      <w:divsChild>
                                        <w:div w:id="938486677">
                                          <w:marLeft w:val="0"/>
                                          <w:marRight w:val="0"/>
                                          <w:marTop w:val="0"/>
                                          <w:marBottom w:val="0"/>
                                          <w:divBdr>
                                            <w:top w:val="none" w:sz="0" w:space="0" w:color="auto"/>
                                            <w:left w:val="none" w:sz="0" w:space="0" w:color="auto"/>
                                            <w:bottom w:val="none" w:sz="0" w:space="0" w:color="auto"/>
                                            <w:right w:val="none" w:sz="0" w:space="0" w:color="auto"/>
                                          </w:divBdr>
                                        </w:div>
                                      </w:divsChild>
                                    </w:div>
                                    <w:div w:id="84617987">
                                      <w:marLeft w:val="0"/>
                                      <w:marRight w:val="0"/>
                                      <w:marTop w:val="0"/>
                                      <w:marBottom w:val="0"/>
                                      <w:divBdr>
                                        <w:top w:val="none" w:sz="0" w:space="0" w:color="auto"/>
                                        <w:left w:val="none" w:sz="0" w:space="0" w:color="auto"/>
                                        <w:bottom w:val="none" w:sz="0" w:space="0" w:color="auto"/>
                                        <w:right w:val="none" w:sz="0" w:space="0" w:color="auto"/>
                                      </w:divBdr>
                                      <w:divsChild>
                                        <w:div w:id="458257553">
                                          <w:marLeft w:val="0"/>
                                          <w:marRight w:val="0"/>
                                          <w:marTop w:val="0"/>
                                          <w:marBottom w:val="0"/>
                                          <w:divBdr>
                                            <w:top w:val="none" w:sz="0" w:space="0" w:color="auto"/>
                                            <w:left w:val="none" w:sz="0" w:space="0" w:color="auto"/>
                                            <w:bottom w:val="none" w:sz="0" w:space="0" w:color="auto"/>
                                            <w:right w:val="none" w:sz="0" w:space="0" w:color="auto"/>
                                          </w:divBdr>
                                        </w:div>
                                        <w:div w:id="92773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4423998">
      <w:bodyDiv w:val="1"/>
      <w:marLeft w:val="0"/>
      <w:marRight w:val="0"/>
      <w:marTop w:val="0"/>
      <w:marBottom w:val="0"/>
      <w:divBdr>
        <w:top w:val="none" w:sz="0" w:space="0" w:color="auto"/>
        <w:left w:val="none" w:sz="0" w:space="0" w:color="auto"/>
        <w:bottom w:val="none" w:sz="0" w:space="0" w:color="auto"/>
        <w:right w:val="none" w:sz="0" w:space="0" w:color="auto"/>
      </w:divBdr>
      <w:divsChild>
        <w:div w:id="377121637">
          <w:marLeft w:val="0"/>
          <w:marRight w:val="0"/>
          <w:marTop w:val="0"/>
          <w:marBottom w:val="150"/>
          <w:divBdr>
            <w:top w:val="none" w:sz="0" w:space="0" w:color="auto"/>
            <w:left w:val="none" w:sz="0" w:space="0" w:color="auto"/>
            <w:bottom w:val="none" w:sz="0" w:space="0" w:color="auto"/>
            <w:right w:val="none" w:sz="0" w:space="0" w:color="auto"/>
          </w:divBdr>
        </w:div>
        <w:div w:id="924454245">
          <w:marLeft w:val="0"/>
          <w:marRight w:val="0"/>
          <w:marTop w:val="0"/>
          <w:marBottom w:val="0"/>
          <w:divBdr>
            <w:top w:val="none" w:sz="0" w:space="0" w:color="auto"/>
            <w:left w:val="none" w:sz="0" w:space="0" w:color="auto"/>
            <w:bottom w:val="none" w:sz="0" w:space="0" w:color="auto"/>
            <w:right w:val="none" w:sz="0" w:space="0" w:color="auto"/>
          </w:divBdr>
          <w:divsChild>
            <w:div w:id="1436095364">
              <w:marLeft w:val="0"/>
              <w:marRight w:val="0"/>
              <w:marTop w:val="225"/>
              <w:marBottom w:val="225"/>
              <w:divBdr>
                <w:top w:val="none" w:sz="0" w:space="0" w:color="auto"/>
                <w:left w:val="none" w:sz="0" w:space="0" w:color="auto"/>
                <w:bottom w:val="none" w:sz="0" w:space="0" w:color="auto"/>
                <w:right w:val="none" w:sz="0" w:space="0" w:color="auto"/>
              </w:divBdr>
            </w:div>
          </w:divsChild>
        </w:div>
        <w:div w:id="1834682055">
          <w:marLeft w:val="0"/>
          <w:marRight w:val="0"/>
          <w:marTop w:val="0"/>
          <w:marBottom w:val="150"/>
          <w:divBdr>
            <w:top w:val="none" w:sz="0" w:space="0" w:color="auto"/>
            <w:left w:val="none" w:sz="0" w:space="0" w:color="auto"/>
            <w:bottom w:val="none" w:sz="0" w:space="0" w:color="auto"/>
            <w:right w:val="none" w:sz="0" w:space="0" w:color="auto"/>
          </w:divBdr>
          <w:divsChild>
            <w:div w:id="815142860">
              <w:marLeft w:val="0"/>
              <w:marRight w:val="0"/>
              <w:marTop w:val="0"/>
              <w:marBottom w:val="0"/>
              <w:divBdr>
                <w:top w:val="none" w:sz="0" w:space="0" w:color="auto"/>
                <w:left w:val="none" w:sz="0" w:space="0" w:color="auto"/>
                <w:bottom w:val="none" w:sz="0" w:space="0" w:color="auto"/>
                <w:right w:val="none" w:sz="0" w:space="0" w:color="auto"/>
              </w:divBdr>
              <w:divsChild>
                <w:div w:id="130273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568751">
      <w:bodyDiv w:val="1"/>
      <w:marLeft w:val="0"/>
      <w:marRight w:val="0"/>
      <w:marTop w:val="0"/>
      <w:marBottom w:val="0"/>
      <w:divBdr>
        <w:top w:val="none" w:sz="0" w:space="0" w:color="auto"/>
        <w:left w:val="none" w:sz="0" w:space="0" w:color="auto"/>
        <w:bottom w:val="none" w:sz="0" w:space="0" w:color="auto"/>
        <w:right w:val="none" w:sz="0" w:space="0" w:color="auto"/>
      </w:divBdr>
      <w:divsChild>
        <w:div w:id="1101225184">
          <w:marLeft w:val="0"/>
          <w:marRight w:val="0"/>
          <w:marTop w:val="0"/>
          <w:marBottom w:val="0"/>
          <w:divBdr>
            <w:top w:val="none" w:sz="0" w:space="0" w:color="auto"/>
            <w:left w:val="none" w:sz="0" w:space="0" w:color="auto"/>
            <w:bottom w:val="none" w:sz="0" w:space="0" w:color="auto"/>
            <w:right w:val="none" w:sz="0" w:space="0" w:color="auto"/>
          </w:divBdr>
        </w:div>
        <w:div w:id="691417864">
          <w:marLeft w:val="0"/>
          <w:marRight w:val="0"/>
          <w:marTop w:val="0"/>
          <w:marBottom w:val="0"/>
          <w:divBdr>
            <w:top w:val="none" w:sz="0" w:space="0" w:color="auto"/>
            <w:left w:val="none" w:sz="0" w:space="0" w:color="auto"/>
            <w:bottom w:val="none" w:sz="0" w:space="0" w:color="auto"/>
            <w:right w:val="none" w:sz="0" w:space="0" w:color="auto"/>
          </w:divBdr>
        </w:div>
      </w:divsChild>
    </w:div>
    <w:div w:id="1444884194">
      <w:bodyDiv w:val="1"/>
      <w:marLeft w:val="0"/>
      <w:marRight w:val="0"/>
      <w:marTop w:val="0"/>
      <w:marBottom w:val="0"/>
      <w:divBdr>
        <w:top w:val="none" w:sz="0" w:space="0" w:color="auto"/>
        <w:left w:val="none" w:sz="0" w:space="0" w:color="auto"/>
        <w:bottom w:val="none" w:sz="0" w:space="0" w:color="auto"/>
        <w:right w:val="none" w:sz="0" w:space="0" w:color="auto"/>
      </w:divBdr>
    </w:div>
    <w:div w:id="1444955170">
      <w:bodyDiv w:val="1"/>
      <w:marLeft w:val="0"/>
      <w:marRight w:val="0"/>
      <w:marTop w:val="0"/>
      <w:marBottom w:val="0"/>
      <w:divBdr>
        <w:top w:val="none" w:sz="0" w:space="0" w:color="auto"/>
        <w:left w:val="none" w:sz="0" w:space="0" w:color="auto"/>
        <w:bottom w:val="none" w:sz="0" w:space="0" w:color="auto"/>
        <w:right w:val="none" w:sz="0" w:space="0" w:color="auto"/>
      </w:divBdr>
      <w:divsChild>
        <w:div w:id="1885368210">
          <w:marLeft w:val="0"/>
          <w:marRight w:val="0"/>
          <w:marTop w:val="0"/>
          <w:marBottom w:val="0"/>
          <w:divBdr>
            <w:top w:val="none" w:sz="0" w:space="0" w:color="auto"/>
            <w:left w:val="none" w:sz="0" w:space="0" w:color="auto"/>
            <w:bottom w:val="none" w:sz="0" w:space="0" w:color="auto"/>
            <w:right w:val="none" w:sz="0" w:space="0" w:color="auto"/>
          </w:divBdr>
          <w:divsChild>
            <w:div w:id="1952930615">
              <w:marLeft w:val="0"/>
              <w:marRight w:val="0"/>
              <w:marTop w:val="0"/>
              <w:marBottom w:val="0"/>
              <w:divBdr>
                <w:top w:val="none" w:sz="0" w:space="0" w:color="auto"/>
                <w:left w:val="none" w:sz="0" w:space="0" w:color="auto"/>
                <w:bottom w:val="none" w:sz="0" w:space="0" w:color="auto"/>
                <w:right w:val="none" w:sz="0" w:space="0" w:color="auto"/>
              </w:divBdr>
              <w:divsChild>
                <w:div w:id="1764455055">
                  <w:marLeft w:val="0"/>
                  <w:marRight w:val="0"/>
                  <w:marTop w:val="0"/>
                  <w:marBottom w:val="0"/>
                  <w:divBdr>
                    <w:top w:val="none" w:sz="0" w:space="0" w:color="auto"/>
                    <w:left w:val="none" w:sz="0" w:space="0" w:color="auto"/>
                    <w:bottom w:val="none" w:sz="0" w:space="0" w:color="auto"/>
                    <w:right w:val="none" w:sz="0" w:space="0" w:color="auto"/>
                  </w:divBdr>
                  <w:divsChild>
                    <w:div w:id="2119443641">
                      <w:marLeft w:val="0"/>
                      <w:marRight w:val="0"/>
                      <w:marTop w:val="0"/>
                      <w:marBottom w:val="0"/>
                      <w:divBdr>
                        <w:top w:val="none" w:sz="0" w:space="0" w:color="auto"/>
                        <w:left w:val="none" w:sz="0" w:space="0" w:color="auto"/>
                        <w:bottom w:val="none" w:sz="0" w:space="0" w:color="auto"/>
                        <w:right w:val="none" w:sz="0" w:space="0" w:color="auto"/>
                      </w:divBdr>
                      <w:divsChild>
                        <w:div w:id="1909537506">
                          <w:marLeft w:val="0"/>
                          <w:marRight w:val="0"/>
                          <w:marTop w:val="0"/>
                          <w:marBottom w:val="0"/>
                          <w:divBdr>
                            <w:top w:val="none" w:sz="0" w:space="0" w:color="auto"/>
                            <w:left w:val="none" w:sz="0" w:space="0" w:color="auto"/>
                            <w:bottom w:val="none" w:sz="0" w:space="0" w:color="auto"/>
                            <w:right w:val="none" w:sz="0" w:space="0" w:color="auto"/>
                          </w:divBdr>
                          <w:divsChild>
                            <w:div w:id="697970884">
                              <w:marLeft w:val="0"/>
                              <w:marRight w:val="0"/>
                              <w:marTop w:val="0"/>
                              <w:marBottom w:val="0"/>
                              <w:divBdr>
                                <w:top w:val="none" w:sz="0" w:space="0" w:color="auto"/>
                                <w:left w:val="none" w:sz="0" w:space="0" w:color="auto"/>
                                <w:bottom w:val="none" w:sz="0" w:space="0" w:color="auto"/>
                                <w:right w:val="none" w:sz="0" w:space="0" w:color="auto"/>
                              </w:divBdr>
                              <w:divsChild>
                                <w:div w:id="1158811767">
                                  <w:marLeft w:val="0"/>
                                  <w:marRight w:val="0"/>
                                  <w:marTop w:val="0"/>
                                  <w:marBottom w:val="0"/>
                                  <w:divBdr>
                                    <w:top w:val="none" w:sz="0" w:space="0" w:color="auto"/>
                                    <w:left w:val="none" w:sz="0" w:space="0" w:color="auto"/>
                                    <w:bottom w:val="none" w:sz="0" w:space="0" w:color="auto"/>
                                    <w:right w:val="none" w:sz="0" w:space="0" w:color="auto"/>
                                  </w:divBdr>
                                  <w:divsChild>
                                    <w:div w:id="212572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5466794">
      <w:bodyDiv w:val="1"/>
      <w:marLeft w:val="0"/>
      <w:marRight w:val="0"/>
      <w:marTop w:val="0"/>
      <w:marBottom w:val="0"/>
      <w:divBdr>
        <w:top w:val="none" w:sz="0" w:space="0" w:color="auto"/>
        <w:left w:val="none" w:sz="0" w:space="0" w:color="auto"/>
        <w:bottom w:val="none" w:sz="0" w:space="0" w:color="auto"/>
        <w:right w:val="none" w:sz="0" w:space="0" w:color="auto"/>
      </w:divBdr>
      <w:divsChild>
        <w:div w:id="607466285">
          <w:marLeft w:val="0"/>
          <w:marRight w:val="0"/>
          <w:marTop w:val="0"/>
          <w:marBottom w:val="0"/>
          <w:divBdr>
            <w:top w:val="none" w:sz="0" w:space="0" w:color="auto"/>
            <w:left w:val="none" w:sz="0" w:space="0" w:color="auto"/>
            <w:bottom w:val="dotted" w:sz="6" w:space="4" w:color="DDDDDD"/>
            <w:right w:val="none" w:sz="0" w:space="0" w:color="auto"/>
          </w:divBdr>
          <w:divsChild>
            <w:div w:id="164268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80701">
      <w:bodyDiv w:val="1"/>
      <w:marLeft w:val="0"/>
      <w:marRight w:val="0"/>
      <w:marTop w:val="0"/>
      <w:marBottom w:val="0"/>
      <w:divBdr>
        <w:top w:val="none" w:sz="0" w:space="0" w:color="auto"/>
        <w:left w:val="none" w:sz="0" w:space="0" w:color="auto"/>
        <w:bottom w:val="none" w:sz="0" w:space="0" w:color="auto"/>
        <w:right w:val="none" w:sz="0" w:space="0" w:color="auto"/>
      </w:divBdr>
      <w:divsChild>
        <w:div w:id="431366441">
          <w:marLeft w:val="0"/>
          <w:marRight w:val="0"/>
          <w:marTop w:val="0"/>
          <w:marBottom w:val="150"/>
          <w:divBdr>
            <w:top w:val="none" w:sz="0" w:space="0" w:color="auto"/>
            <w:left w:val="none" w:sz="0" w:space="0" w:color="auto"/>
            <w:bottom w:val="none" w:sz="0" w:space="0" w:color="auto"/>
            <w:right w:val="none" w:sz="0" w:space="0" w:color="auto"/>
          </w:divBdr>
          <w:divsChild>
            <w:div w:id="213083654">
              <w:marLeft w:val="0"/>
              <w:marRight w:val="0"/>
              <w:marTop w:val="0"/>
              <w:marBottom w:val="0"/>
              <w:divBdr>
                <w:top w:val="none" w:sz="0" w:space="0" w:color="auto"/>
                <w:left w:val="none" w:sz="0" w:space="0" w:color="auto"/>
                <w:bottom w:val="none" w:sz="0" w:space="0" w:color="auto"/>
                <w:right w:val="none" w:sz="0" w:space="0" w:color="auto"/>
              </w:divBdr>
            </w:div>
          </w:divsChild>
        </w:div>
        <w:div w:id="1156385470">
          <w:marLeft w:val="0"/>
          <w:marRight w:val="0"/>
          <w:marTop w:val="0"/>
          <w:marBottom w:val="150"/>
          <w:divBdr>
            <w:top w:val="none" w:sz="0" w:space="0" w:color="auto"/>
            <w:left w:val="none" w:sz="0" w:space="0" w:color="auto"/>
            <w:bottom w:val="none" w:sz="0" w:space="0" w:color="auto"/>
            <w:right w:val="none" w:sz="0" w:space="0" w:color="auto"/>
          </w:divBdr>
        </w:div>
        <w:div w:id="1949459111">
          <w:marLeft w:val="0"/>
          <w:marRight w:val="0"/>
          <w:marTop w:val="0"/>
          <w:marBottom w:val="0"/>
          <w:divBdr>
            <w:top w:val="none" w:sz="0" w:space="0" w:color="auto"/>
            <w:left w:val="none" w:sz="0" w:space="0" w:color="auto"/>
            <w:bottom w:val="none" w:sz="0" w:space="0" w:color="auto"/>
            <w:right w:val="none" w:sz="0" w:space="0" w:color="auto"/>
          </w:divBdr>
          <w:divsChild>
            <w:div w:id="90021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193141">
      <w:bodyDiv w:val="1"/>
      <w:marLeft w:val="0"/>
      <w:marRight w:val="0"/>
      <w:marTop w:val="0"/>
      <w:marBottom w:val="0"/>
      <w:divBdr>
        <w:top w:val="none" w:sz="0" w:space="0" w:color="auto"/>
        <w:left w:val="none" w:sz="0" w:space="0" w:color="auto"/>
        <w:bottom w:val="none" w:sz="0" w:space="0" w:color="auto"/>
        <w:right w:val="none" w:sz="0" w:space="0" w:color="auto"/>
      </w:divBdr>
      <w:divsChild>
        <w:div w:id="605043672">
          <w:marLeft w:val="0"/>
          <w:marRight w:val="0"/>
          <w:marTop w:val="0"/>
          <w:marBottom w:val="0"/>
          <w:divBdr>
            <w:top w:val="none" w:sz="0" w:space="0" w:color="auto"/>
            <w:left w:val="none" w:sz="0" w:space="0" w:color="auto"/>
            <w:bottom w:val="none" w:sz="0" w:space="0" w:color="auto"/>
            <w:right w:val="none" w:sz="0" w:space="0" w:color="auto"/>
          </w:divBdr>
          <w:divsChild>
            <w:div w:id="18731037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46198450">
      <w:bodyDiv w:val="1"/>
      <w:marLeft w:val="0"/>
      <w:marRight w:val="0"/>
      <w:marTop w:val="0"/>
      <w:marBottom w:val="0"/>
      <w:divBdr>
        <w:top w:val="none" w:sz="0" w:space="0" w:color="auto"/>
        <w:left w:val="none" w:sz="0" w:space="0" w:color="auto"/>
        <w:bottom w:val="none" w:sz="0" w:space="0" w:color="auto"/>
        <w:right w:val="none" w:sz="0" w:space="0" w:color="auto"/>
      </w:divBdr>
      <w:divsChild>
        <w:div w:id="895123090">
          <w:marLeft w:val="0"/>
          <w:marRight w:val="0"/>
          <w:marTop w:val="0"/>
          <w:marBottom w:val="0"/>
          <w:divBdr>
            <w:top w:val="none" w:sz="0" w:space="0" w:color="auto"/>
            <w:left w:val="none" w:sz="0" w:space="0" w:color="auto"/>
            <w:bottom w:val="none" w:sz="0" w:space="0" w:color="auto"/>
            <w:right w:val="none" w:sz="0" w:space="0" w:color="auto"/>
          </w:divBdr>
        </w:div>
      </w:divsChild>
    </w:div>
    <w:div w:id="1446388631">
      <w:bodyDiv w:val="1"/>
      <w:marLeft w:val="0"/>
      <w:marRight w:val="0"/>
      <w:marTop w:val="0"/>
      <w:marBottom w:val="0"/>
      <w:divBdr>
        <w:top w:val="none" w:sz="0" w:space="0" w:color="auto"/>
        <w:left w:val="none" w:sz="0" w:space="0" w:color="auto"/>
        <w:bottom w:val="none" w:sz="0" w:space="0" w:color="auto"/>
        <w:right w:val="none" w:sz="0" w:space="0" w:color="auto"/>
      </w:divBdr>
      <w:divsChild>
        <w:div w:id="199518222">
          <w:marLeft w:val="0"/>
          <w:marRight w:val="0"/>
          <w:marTop w:val="0"/>
          <w:marBottom w:val="150"/>
          <w:divBdr>
            <w:top w:val="none" w:sz="0" w:space="0" w:color="auto"/>
            <w:left w:val="none" w:sz="0" w:space="0" w:color="auto"/>
            <w:bottom w:val="none" w:sz="0" w:space="0" w:color="auto"/>
            <w:right w:val="none" w:sz="0" w:space="0" w:color="auto"/>
          </w:divBdr>
          <w:divsChild>
            <w:div w:id="223226740">
              <w:marLeft w:val="0"/>
              <w:marRight w:val="0"/>
              <w:marTop w:val="0"/>
              <w:marBottom w:val="0"/>
              <w:divBdr>
                <w:top w:val="none" w:sz="0" w:space="0" w:color="auto"/>
                <w:left w:val="none" w:sz="0" w:space="0" w:color="auto"/>
                <w:bottom w:val="none" w:sz="0" w:space="0" w:color="auto"/>
                <w:right w:val="none" w:sz="0" w:space="0" w:color="auto"/>
              </w:divBdr>
            </w:div>
          </w:divsChild>
        </w:div>
        <w:div w:id="446969648">
          <w:marLeft w:val="0"/>
          <w:marRight w:val="0"/>
          <w:marTop w:val="0"/>
          <w:marBottom w:val="0"/>
          <w:divBdr>
            <w:top w:val="none" w:sz="0" w:space="0" w:color="auto"/>
            <w:left w:val="none" w:sz="0" w:space="0" w:color="auto"/>
            <w:bottom w:val="none" w:sz="0" w:space="0" w:color="auto"/>
            <w:right w:val="none" w:sz="0" w:space="0" w:color="auto"/>
          </w:divBdr>
          <w:divsChild>
            <w:div w:id="246496934">
              <w:marLeft w:val="0"/>
              <w:marRight w:val="0"/>
              <w:marTop w:val="0"/>
              <w:marBottom w:val="150"/>
              <w:divBdr>
                <w:top w:val="none" w:sz="0" w:space="0" w:color="auto"/>
                <w:left w:val="none" w:sz="0" w:space="0" w:color="auto"/>
                <w:bottom w:val="none" w:sz="0" w:space="0" w:color="auto"/>
                <w:right w:val="none" w:sz="0" w:space="0" w:color="auto"/>
              </w:divBdr>
            </w:div>
            <w:div w:id="33345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389195">
      <w:bodyDiv w:val="1"/>
      <w:marLeft w:val="0"/>
      <w:marRight w:val="0"/>
      <w:marTop w:val="0"/>
      <w:marBottom w:val="0"/>
      <w:divBdr>
        <w:top w:val="none" w:sz="0" w:space="0" w:color="auto"/>
        <w:left w:val="none" w:sz="0" w:space="0" w:color="auto"/>
        <w:bottom w:val="none" w:sz="0" w:space="0" w:color="auto"/>
        <w:right w:val="none" w:sz="0" w:space="0" w:color="auto"/>
      </w:divBdr>
      <w:divsChild>
        <w:div w:id="742484271">
          <w:marLeft w:val="0"/>
          <w:marRight w:val="0"/>
          <w:marTop w:val="0"/>
          <w:marBottom w:val="0"/>
          <w:divBdr>
            <w:top w:val="none" w:sz="0" w:space="0" w:color="auto"/>
            <w:left w:val="none" w:sz="0" w:space="0" w:color="auto"/>
            <w:bottom w:val="none" w:sz="0" w:space="0" w:color="auto"/>
            <w:right w:val="none" w:sz="0" w:space="0" w:color="auto"/>
          </w:divBdr>
        </w:div>
        <w:div w:id="1752923089">
          <w:marLeft w:val="0"/>
          <w:marRight w:val="0"/>
          <w:marTop w:val="0"/>
          <w:marBottom w:val="150"/>
          <w:divBdr>
            <w:top w:val="none" w:sz="0" w:space="0" w:color="auto"/>
            <w:left w:val="none" w:sz="0" w:space="0" w:color="auto"/>
            <w:bottom w:val="none" w:sz="0" w:space="0" w:color="auto"/>
            <w:right w:val="none" w:sz="0" w:space="0" w:color="auto"/>
          </w:divBdr>
        </w:div>
      </w:divsChild>
    </w:div>
    <w:div w:id="1447580761">
      <w:bodyDiv w:val="1"/>
      <w:marLeft w:val="0"/>
      <w:marRight w:val="0"/>
      <w:marTop w:val="0"/>
      <w:marBottom w:val="0"/>
      <w:divBdr>
        <w:top w:val="none" w:sz="0" w:space="0" w:color="auto"/>
        <w:left w:val="none" w:sz="0" w:space="0" w:color="auto"/>
        <w:bottom w:val="none" w:sz="0" w:space="0" w:color="auto"/>
        <w:right w:val="none" w:sz="0" w:space="0" w:color="auto"/>
      </w:divBdr>
      <w:divsChild>
        <w:div w:id="1312251679">
          <w:marLeft w:val="0"/>
          <w:marRight w:val="0"/>
          <w:marTop w:val="0"/>
          <w:marBottom w:val="150"/>
          <w:divBdr>
            <w:top w:val="none" w:sz="0" w:space="0" w:color="auto"/>
            <w:left w:val="none" w:sz="0" w:space="0" w:color="auto"/>
            <w:bottom w:val="none" w:sz="0" w:space="0" w:color="auto"/>
            <w:right w:val="none" w:sz="0" w:space="0" w:color="auto"/>
          </w:divBdr>
        </w:div>
      </w:divsChild>
    </w:div>
    <w:div w:id="1447771857">
      <w:bodyDiv w:val="1"/>
      <w:marLeft w:val="0"/>
      <w:marRight w:val="0"/>
      <w:marTop w:val="0"/>
      <w:marBottom w:val="0"/>
      <w:divBdr>
        <w:top w:val="none" w:sz="0" w:space="0" w:color="auto"/>
        <w:left w:val="none" w:sz="0" w:space="0" w:color="auto"/>
        <w:bottom w:val="none" w:sz="0" w:space="0" w:color="auto"/>
        <w:right w:val="none" w:sz="0" w:space="0" w:color="auto"/>
      </w:divBdr>
      <w:divsChild>
        <w:div w:id="1082874471">
          <w:marLeft w:val="0"/>
          <w:marRight w:val="0"/>
          <w:marTop w:val="0"/>
          <w:marBottom w:val="0"/>
          <w:divBdr>
            <w:top w:val="none" w:sz="0" w:space="0" w:color="auto"/>
            <w:left w:val="none" w:sz="0" w:space="0" w:color="auto"/>
            <w:bottom w:val="none" w:sz="0" w:space="0" w:color="auto"/>
            <w:right w:val="none" w:sz="0" w:space="0" w:color="auto"/>
          </w:divBdr>
          <w:divsChild>
            <w:div w:id="372273051">
              <w:marLeft w:val="0"/>
              <w:marRight w:val="0"/>
              <w:marTop w:val="0"/>
              <w:marBottom w:val="0"/>
              <w:divBdr>
                <w:top w:val="none" w:sz="0" w:space="0" w:color="auto"/>
                <w:left w:val="none" w:sz="0" w:space="0" w:color="auto"/>
                <w:bottom w:val="none" w:sz="0" w:space="0" w:color="auto"/>
                <w:right w:val="none" w:sz="0" w:space="0" w:color="auto"/>
              </w:divBdr>
              <w:divsChild>
                <w:div w:id="1394699576">
                  <w:marLeft w:val="0"/>
                  <w:marRight w:val="0"/>
                  <w:marTop w:val="0"/>
                  <w:marBottom w:val="0"/>
                  <w:divBdr>
                    <w:top w:val="none" w:sz="0" w:space="0" w:color="auto"/>
                    <w:left w:val="none" w:sz="0" w:space="0" w:color="auto"/>
                    <w:bottom w:val="none" w:sz="0" w:space="0" w:color="auto"/>
                    <w:right w:val="none" w:sz="0" w:space="0" w:color="auto"/>
                  </w:divBdr>
                  <w:divsChild>
                    <w:div w:id="1503012015">
                      <w:marLeft w:val="0"/>
                      <w:marRight w:val="0"/>
                      <w:marTop w:val="0"/>
                      <w:marBottom w:val="0"/>
                      <w:divBdr>
                        <w:top w:val="none" w:sz="0" w:space="0" w:color="auto"/>
                        <w:left w:val="none" w:sz="0" w:space="0" w:color="auto"/>
                        <w:bottom w:val="none" w:sz="0" w:space="0" w:color="auto"/>
                        <w:right w:val="none" w:sz="0" w:space="0" w:color="auto"/>
                      </w:divBdr>
                      <w:divsChild>
                        <w:div w:id="871311071">
                          <w:marLeft w:val="0"/>
                          <w:marRight w:val="0"/>
                          <w:marTop w:val="0"/>
                          <w:marBottom w:val="0"/>
                          <w:divBdr>
                            <w:top w:val="none" w:sz="0" w:space="0" w:color="auto"/>
                            <w:left w:val="none" w:sz="0" w:space="0" w:color="auto"/>
                            <w:bottom w:val="none" w:sz="0" w:space="0" w:color="auto"/>
                            <w:right w:val="none" w:sz="0" w:space="0" w:color="auto"/>
                          </w:divBdr>
                          <w:divsChild>
                            <w:div w:id="264654771">
                              <w:marLeft w:val="0"/>
                              <w:marRight w:val="0"/>
                              <w:marTop w:val="0"/>
                              <w:marBottom w:val="0"/>
                              <w:divBdr>
                                <w:top w:val="none" w:sz="0" w:space="0" w:color="auto"/>
                                <w:left w:val="none" w:sz="0" w:space="0" w:color="auto"/>
                                <w:bottom w:val="none" w:sz="0" w:space="0" w:color="auto"/>
                                <w:right w:val="none" w:sz="0" w:space="0" w:color="auto"/>
                              </w:divBdr>
                              <w:divsChild>
                                <w:div w:id="651835807">
                                  <w:marLeft w:val="0"/>
                                  <w:marRight w:val="0"/>
                                  <w:marTop w:val="0"/>
                                  <w:marBottom w:val="0"/>
                                  <w:divBdr>
                                    <w:top w:val="none" w:sz="0" w:space="0" w:color="auto"/>
                                    <w:left w:val="none" w:sz="0" w:space="0" w:color="auto"/>
                                    <w:bottom w:val="none" w:sz="0" w:space="0" w:color="auto"/>
                                    <w:right w:val="none" w:sz="0" w:space="0" w:color="auto"/>
                                  </w:divBdr>
                                  <w:divsChild>
                                    <w:div w:id="173805143">
                                      <w:marLeft w:val="0"/>
                                      <w:marRight w:val="0"/>
                                      <w:marTop w:val="0"/>
                                      <w:marBottom w:val="0"/>
                                      <w:divBdr>
                                        <w:top w:val="none" w:sz="0" w:space="0" w:color="auto"/>
                                        <w:left w:val="none" w:sz="0" w:space="0" w:color="auto"/>
                                        <w:bottom w:val="none" w:sz="0" w:space="0" w:color="auto"/>
                                        <w:right w:val="none" w:sz="0" w:space="0" w:color="auto"/>
                                      </w:divBdr>
                                      <w:divsChild>
                                        <w:div w:id="225922480">
                                          <w:marLeft w:val="0"/>
                                          <w:marRight w:val="0"/>
                                          <w:marTop w:val="0"/>
                                          <w:marBottom w:val="0"/>
                                          <w:divBdr>
                                            <w:top w:val="none" w:sz="0" w:space="0" w:color="auto"/>
                                            <w:left w:val="none" w:sz="0" w:space="0" w:color="auto"/>
                                            <w:bottom w:val="none" w:sz="0" w:space="0" w:color="auto"/>
                                            <w:right w:val="none" w:sz="0" w:space="0" w:color="auto"/>
                                          </w:divBdr>
                                          <w:divsChild>
                                            <w:div w:id="8422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7775863">
      <w:bodyDiv w:val="1"/>
      <w:marLeft w:val="0"/>
      <w:marRight w:val="0"/>
      <w:marTop w:val="0"/>
      <w:marBottom w:val="0"/>
      <w:divBdr>
        <w:top w:val="none" w:sz="0" w:space="0" w:color="auto"/>
        <w:left w:val="none" w:sz="0" w:space="0" w:color="auto"/>
        <w:bottom w:val="none" w:sz="0" w:space="0" w:color="auto"/>
        <w:right w:val="none" w:sz="0" w:space="0" w:color="auto"/>
      </w:divBdr>
      <w:divsChild>
        <w:div w:id="2010133973">
          <w:marLeft w:val="0"/>
          <w:marRight w:val="0"/>
          <w:marTop w:val="0"/>
          <w:marBottom w:val="0"/>
          <w:divBdr>
            <w:top w:val="none" w:sz="0" w:space="0" w:color="auto"/>
            <w:left w:val="none" w:sz="0" w:space="0" w:color="auto"/>
            <w:bottom w:val="none" w:sz="0" w:space="0" w:color="auto"/>
            <w:right w:val="none" w:sz="0" w:space="0" w:color="auto"/>
          </w:divBdr>
          <w:divsChild>
            <w:div w:id="197632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352157">
      <w:bodyDiv w:val="1"/>
      <w:marLeft w:val="0"/>
      <w:marRight w:val="0"/>
      <w:marTop w:val="0"/>
      <w:marBottom w:val="0"/>
      <w:divBdr>
        <w:top w:val="none" w:sz="0" w:space="0" w:color="auto"/>
        <w:left w:val="none" w:sz="0" w:space="0" w:color="auto"/>
        <w:bottom w:val="none" w:sz="0" w:space="0" w:color="auto"/>
        <w:right w:val="none" w:sz="0" w:space="0" w:color="auto"/>
      </w:divBdr>
      <w:divsChild>
        <w:div w:id="1898541076">
          <w:marLeft w:val="0"/>
          <w:marRight w:val="0"/>
          <w:marTop w:val="0"/>
          <w:marBottom w:val="0"/>
          <w:divBdr>
            <w:top w:val="none" w:sz="0" w:space="0" w:color="auto"/>
            <w:left w:val="none" w:sz="0" w:space="0" w:color="auto"/>
            <w:bottom w:val="dotted" w:sz="6" w:space="4" w:color="DDDDDD"/>
            <w:right w:val="none" w:sz="0" w:space="0" w:color="auto"/>
          </w:divBdr>
        </w:div>
      </w:divsChild>
    </w:div>
    <w:div w:id="1448357619">
      <w:bodyDiv w:val="1"/>
      <w:marLeft w:val="0"/>
      <w:marRight w:val="0"/>
      <w:marTop w:val="0"/>
      <w:marBottom w:val="0"/>
      <w:divBdr>
        <w:top w:val="none" w:sz="0" w:space="0" w:color="auto"/>
        <w:left w:val="none" w:sz="0" w:space="0" w:color="auto"/>
        <w:bottom w:val="none" w:sz="0" w:space="0" w:color="auto"/>
        <w:right w:val="none" w:sz="0" w:space="0" w:color="auto"/>
      </w:divBdr>
    </w:div>
    <w:div w:id="1448424294">
      <w:bodyDiv w:val="1"/>
      <w:marLeft w:val="0"/>
      <w:marRight w:val="0"/>
      <w:marTop w:val="0"/>
      <w:marBottom w:val="0"/>
      <w:divBdr>
        <w:top w:val="none" w:sz="0" w:space="0" w:color="auto"/>
        <w:left w:val="none" w:sz="0" w:space="0" w:color="auto"/>
        <w:bottom w:val="none" w:sz="0" w:space="0" w:color="auto"/>
        <w:right w:val="none" w:sz="0" w:space="0" w:color="auto"/>
      </w:divBdr>
      <w:divsChild>
        <w:div w:id="709065442">
          <w:marLeft w:val="0"/>
          <w:marRight w:val="0"/>
          <w:marTop w:val="0"/>
          <w:marBottom w:val="0"/>
          <w:divBdr>
            <w:top w:val="none" w:sz="0" w:space="0" w:color="auto"/>
            <w:left w:val="none" w:sz="0" w:space="0" w:color="auto"/>
            <w:bottom w:val="none" w:sz="0" w:space="0" w:color="auto"/>
            <w:right w:val="none" w:sz="0" w:space="0" w:color="auto"/>
          </w:divBdr>
          <w:divsChild>
            <w:div w:id="870260650">
              <w:marLeft w:val="0"/>
              <w:marRight w:val="0"/>
              <w:marTop w:val="0"/>
              <w:marBottom w:val="150"/>
              <w:divBdr>
                <w:top w:val="none" w:sz="0" w:space="0" w:color="auto"/>
                <w:left w:val="none" w:sz="0" w:space="0" w:color="auto"/>
                <w:bottom w:val="none" w:sz="0" w:space="0" w:color="auto"/>
                <w:right w:val="none" w:sz="0" w:space="0" w:color="auto"/>
              </w:divBdr>
            </w:div>
            <w:div w:id="1647584363">
              <w:marLeft w:val="0"/>
              <w:marRight w:val="0"/>
              <w:marTop w:val="0"/>
              <w:marBottom w:val="0"/>
              <w:divBdr>
                <w:top w:val="none" w:sz="0" w:space="0" w:color="auto"/>
                <w:left w:val="none" w:sz="0" w:space="0" w:color="auto"/>
                <w:bottom w:val="none" w:sz="0" w:space="0" w:color="auto"/>
                <w:right w:val="none" w:sz="0" w:space="0" w:color="auto"/>
              </w:divBdr>
              <w:divsChild>
                <w:div w:id="1679108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34546500">
          <w:marLeft w:val="0"/>
          <w:marRight w:val="0"/>
          <w:marTop w:val="0"/>
          <w:marBottom w:val="150"/>
          <w:divBdr>
            <w:top w:val="none" w:sz="0" w:space="0" w:color="auto"/>
            <w:left w:val="none" w:sz="0" w:space="0" w:color="auto"/>
            <w:bottom w:val="none" w:sz="0" w:space="0" w:color="auto"/>
            <w:right w:val="none" w:sz="0" w:space="0" w:color="auto"/>
          </w:divBdr>
          <w:divsChild>
            <w:div w:id="1596136991">
              <w:marLeft w:val="0"/>
              <w:marRight w:val="0"/>
              <w:marTop w:val="0"/>
              <w:marBottom w:val="0"/>
              <w:divBdr>
                <w:top w:val="none" w:sz="0" w:space="0" w:color="auto"/>
                <w:left w:val="none" w:sz="0" w:space="0" w:color="auto"/>
                <w:bottom w:val="none" w:sz="0" w:space="0" w:color="auto"/>
                <w:right w:val="none" w:sz="0" w:space="0" w:color="auto"/>
              </w:divBdr>
              <w:divsChild>
                <w:div w:id="207161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425572">
      <w:bodyDiv w:val="1"/>
      <w:marLeft w:val="0"/>
      <w:marRight w:val="0"/>
      <w:marTop w:val="0"/>
      <w:marBottom w:val="0"/>
      <w:divBdr>
        <w:top w:val="none" w:sz="0" w:space="0" w:color="auto"/>
        <w:left w:val="none" w:sz="0" w:space="0" w:color="auto"/>
        <w:bottom w:val="none" w:sz="0" w:space="0" w:color="auto"/>
        <w:right w:val="none" w:sz="0" w:space="0" w:color="auto"/>
      </w:divBdr>
      <w:divsChild>
        <w:div w:id="600376862">
          <w:marLeft w:val="0"/>
          <w:marRight w:val="0"/>
          <w:marTop w:val="0"/>
          <w:marBottom w:val="150"/>
          <w:divBdr>
            <w:top w:val="none" w:sz="0" w:space="0" w:color="auto"/>
            <w:left w:val="none" w:sz="0" w:space="0" w:color="auto"/>
            <w:bottom w:val="none" w:sz="0" w:space="0" w:color="auto"/>
            <w:right w:val="none" w:sz="0" w:space="0" w:color="auto"/>
          </w:divBdr>
          <w:divsChild>
            <w:div w:id="1425149580">
              <w:marLeft w:val="0"/>
              <w:marRight w:val="0"/>
              <w:marTop w:val="0"/>
              <w:marBottom w:val="0"/>
              <w:divBdr>
                <w:top w:val="none" w:sz="0" w:space="0" w:color="auto"/>
                <w:left w:val="none" w:sz="0" w:space="0" w:color="auto"/>
                <w:bottom w:val="none" w:sz="0" w:space="0" w:color="auto"/>
                <w:right w:val="none" w:sz="0" w:space="0" w:color="auto"/>
              </w:divBdr>
              <w:divsChild>
                <w:div w:id="103118481">
                  <w:marLeft w:val="0"/>
                  <w:marRight w:val="0"/>
                  <w:marTop w:val="0"/>
                  <w:marBottom w:val="0"/>
                  <w:divBdr>
                    <w:top w:val="none" w:sz="0" w:space="0" w:color="auto"/>
                    <w:left w:val="none" w:sz="0" w:space="0" w:color="auto"/>
                    <w:bottom w:val="none" w:sz="0" w:space="0" w:color="auto"/>
                    <w:right w:val="none" w:sz="0" w:space="0" w:color="auto"/>
                  </w:divBdr>
                  <w:divsChild>
                    <w:div w:id="1107699718">
                      <w:marLeft w:val="0"/>
                      <w:marRight w:val="150"/>
                      <w:marTop w:val="0"/>
                      <w:marBottom w:val="0"/>
                      <w:divBdr>
                        <w:top w:val="none" w:sz="0" w:space="0" w:color="auto"/>
                        <w:left w:val="none" w:sz="0" w:space="0" w:color="auto"/>
                        <w:bottom w:val="none" w:sz="0" w:space="0" w:color="auto"/>
                        <w:right w:val="none" w:sz="0" w:space="0" w:color="auto"/>
                      </w:divBdr>
                      <w:divsChild>
                        <w:div w:id="193084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724683">
          <w:marLeft w:val="0"/>
          <w:marRight w:val="0"/>
          <w:marTop w:val="0"/>
          <w:marBottom w:val="150"/>
          <w:divBdr>
            <w:top w:val="none" w:sz="0" w:space="0" w:color="auto"/>
            <w:left w:val="none" w:sz="0" w:space="0" w:color="auto"/>
            <w:bottom w:val="none" w:sz="0" w:space="0" w:color="auto"/>
            <w:right w:val="none" w:sz="0" w:space="0" w:color="auto"/>
          </w:divBdr>
        </w:div>
        <w:div w:id="1934165425">
          <w:marLeft w:val="0"/>
          <w:marRight w:val="0"/>
          <w:marTop w:val="0"/>
          <w:marBottom w:val="0"/>
          <w:divBdr>
            <w:top w:val="none" w:sz="0" w:space="0" w:color="auto"/>
            <w:left w:val="none" w:sz="0" w:space="0" w:color="auto"/>
            <w:bottom w:val="none" w:sz="0" w:space="0" w:color="auto"/>
            <w:right w:val="none" w:sz="0" w:space="0" w:color="auto"/>
          </w:divBdr>
          <w:divsChild>
            <w:div w:id="8146849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48429746">
      <w:bodyDiv w:val="1"/>
      <w:marLeft w:val="0"/>
      <w:marRight w:val="0"/>
      <w:marTop w:val="0"/>
      <w:marBottom w:val="0"/>
      <w:divBdr>
        <w:top w:val="none" w:sz="0" w:space="0" w:color="auto"/>
        <w:left w:val="none" w:sz="0" w:space="0" w:color="auto"/>
        <w:bottom w:val="none" w:sz="0" w:space="0" w:color="auto"/>
        <w:right w:val="none" w:sz="0" w:space="0" w:color="auto"/>
      </w:divBdr>
      <w:divsChild>
        <w:div w:id="234316322">
          <w:marLeft w:val="0"/>
          <w:marRight w:val="0"/>
          <w:marTop w:val="0"/>
          <w:marBottom w:val="0"/>
          <w:divBdr>
            <w:top w:val="none" w:sz="0" w:space="0" w:color="auto"/>
            <w:left w:val="none" w:sz="0" w:space="0" w:color="auto"/>
            <w:bottom w:val="none" w:sz="0" w:space="0" w:color="auto"/>
            <w:right w:val="none" w:sz="0" w:space="0" w:color="auto"/>
          </w:divBdr>
          <w:divsChild>
            <w:div w:id="383798181">
              <w:marLeft w:val="0"/>
              <w:marRight w:val="0"/>
              <w:marTop w:val="0"/>
              <w:marBottom w:val="0"/>
              <w:divBdr>
                <w:top w:val="none" w:sz="0" w:space="0" w:color="auto"/>
                <w:left w:val="none" w:sz="0" w:space="0" w:color="auto"/>
                <w:bottom w:val="none" w:sz="0" w:space="0" w:color="auto"/>
                <w:right w:val="none" w:sz="0" w:space="0" w:color="auto"/>
              </w:divBdr>
              <w:divsChild>
                <w:div w:id="1531726577">
                  <w:marLeft w:val="0"/>
                  <w:marRight w:val="0"/>
                  <w:marTop w:val="0"/>
                  <w:marBottom w:val="0"/>
                  <w:divBdr>
                    <w:top w:val="none" w:sz="0" w:space="0" w:color="auto"/>
                    <w:left w:val="none" w:sz="0" w:space="0" w:color="auto"/>
                    <w:bottom w:val="none" w:sz="0" w:space="0" w:color="auto"/>
                    <w:right w:val="none" w:sz="0" w:space="0" w:color="auto"/>
                  </w:divBdr>
                  <w:divsChild>
                    <w:div w:id="192304566">
                      <w:marLeft w:val="0"/>
                      <w:marRight w:val="0"/>
                      <w:marTop w:val="0"/>
                      <w:marBottom w:val="0"/>
                      <w:divBdr>
                        <w:top w:val="none" w:sz="0" w:space="0" w:color="auto"/>
                        <w:left w:val="none" w:sz="0" w:space="0" w:color="auto"/>
                        <w:bottom w:val="none" w:sz="0" w:space="0" w:color="auto"/>
                        <w:right w:val="none" w:sz="0" w:space="0" w:color="auto"/>
                      </w:divBdr>
                      <w:divsChild>
                        <w:div w:id="467935141">
                          <w:marLeft w:val="0"/>
                          <w:marRight w:val="0"/>
                          <w:marTop w:val="0"/>
                          <w:marBottom w:val="0"/>
                          <w:divBdr>
                            <w:top w:val="none" w:sz="0" w:space="0" w:color="auto"/>
                            <w:left w:val="none" w:sz="0" w:space="0" w:color="auto"/>
                            <w:bottom w:val="none" w:sz="0" w:space="0" w:color="auto"/>
                            <w:right w:val="none" w:sz="0" w:space="0" w:color="auto"/>
                          </w:divBdr>
                          <w:divsChild>
                            <w:div w:id="606694612">
                              <w:marLeft w:val="0"/>
                              <w:marRight w:val="0"/>
                              <w:marTop w:val="0"/>
                              <w:marBottom w:val="0"/>
                              <w:divBdr>
                                <w:top w:val="none" w:sz="0" w:space="0" w:color="auto"/>
                                <w:left w:val="none" w:sz="0" w:space="0" w:color="auto"/>
                                <w:bottom w:val="none" w:sz="0" w:space="0" w:color="auto"/>
                                <w:right w:val="none" w:sz="0" w:space="0" w:color="auto"/>
                              </w:divBdr>
                              <w:divsChild>
                                <w:div w:id="12400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9004498">
      <w:bodyDiv w:val="1"/>
      <w:marLeft w:val="0"/>
      <w:marRight w:val="0"/>
      <w:marTop w:val="0"/>
      <w:marBottom w:val="0"/>
      <w:divBdr>
        <w:top w:val="none" w:sz="0" w:space="0" w:color="auto"/>
        <w:left w:val="none" w:sz="0" w:space="0" w:color="auto"/>
        <w:bottom w:val="none" w:sz="0" w:space="0" w:color="auto"/>
        <w:right w:val="none" w:sz="0" w:space="0" w:color="auto"/>
      </w:divBdr>
      <w:divsChild>
        <w:div w:id="961228352">
          <w:marLeft w:val="0"/>
          <w:marRight w:val="0"/>
          <w:marTop w:val="0"/>
          <w:marBottom w:val="0"/>
          <w:divBdr>
            <w:top w:val="none" w:sz="0" w:space="0" w:color="auto"/>
            <w:left w:val="none" w:sz="0" w:space="0" w:color="auto"/>
            <w:bottom w:val="dotted" w:sz="6" w:space="4" w:color="DDDDDD"/>
            <w:right w:val="none" w:sz="0" w:space="0" w:color="auto"/>
          </w:divBdr>
          <w:divsChild>
            <w:div w:id="7039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277307">
      <w:bodyDiv w:val="1"/>
      <w:marLeft w:val="0"/>
      <w:marRight w:val="0"/>
      <w:marTop w:val="0"/>
      <w:marBottom w:val="0"/>
      <w:divBdr>
        <w:top w:val="none" w:sz="0" w:space="0" w:color="auto"/>
        <w:left w:val="none" w:sz="0" w:space="0" w:color="auto"/>
        <w:bottom w:val="none" w:sz="0" w:space="0" w:color="auto"/>
        <w:right w:val="none" w:sz="0" w:space="0" w:color="auto"/>
      </w:divBdr>
      <w:divsChild>
        <w:div w:id="1654676775">
          <w:marLeft w:val="0"/>
          <w:marRight w:val="0"/>
          <w:marTop w:val="0"/>
          <w:marBottom w:val="0"/>
          <w:divBdr>
            <w:top w:val="none" w:sz="0" w:space="0" w:color="auto"/>
            <w:left w:val="none" w:sz="0" w:space="0" w:color="auto"/>
            <w:bottom w:val="none" w:sz="0" w:space="0" w:color="auto"/>
            <w:right w:val="none" w:sz="0" w:space="0" w:color="auto"/>
          </w:divBdr>
          <w:divsChild>
            <w:div w:id="14580530">
              <w:marLeft w:val="0"/>
              <w:marRight w:val="0"/>
              <w:marTop w:val="0"/>
              <w:marBottom w:val="0"/>
              <w:divBdr>
                <w:top w:val="none" w:sz="0" w:space="0" w:color="auto"/>
                <w:left w:val="none" w:sz="0" w:space="0" w:color="auto"/>
                <w:bottom w:val="none" w:sz="0" w:space="0" w:color="auto"/>
                <w:right w:val="none" w:sz="0" w:space="0" w:color="auto"/>
              </w:divBdr>
            </w:div>
            <w:div w:id="72166403">
              <w:marLeft w:val="0"/>
              <w:marRight w:val="0"/>
              <w:marTop w:val="0"/>
              <w:marBottom w:val="0"/>
              <w:divBdr>
                <w:top w:val="none" w:sz="0" w:space="0" w:color="auto"/>
                <w:left w:val="none" w:sz="0" w:space="0" w:color="auto"/>
                <w:bottom w:val="none" w:sz="0" w:space="0" w:color="auto"/>
                <w:right w:val="none" w:sz="0" w:space="0" w:color="auto"/>
              </w:divBdr>
            </w:div>
            <w:div w:id="233249339">
              <w:marLeft w:val="0"/>
              <w:marRight w:val="0"/>
              <w:marTop w:val="0"/>
              <w:marBottom w:val="0"/>
              <w:divBdr>
                <w:top w:val="none" w:sz="0" w:space="0" w:color="auto"/>
                <w:left w:val="none" w:sz="0" w:space="0" w:color="auto"/>
                <w:bottom w:val="none" w:sz="0" w:space="0" w:color="auto"/>
                <w:right w:val="none" w:sz="0" w:space="0" w:color="auto"/>
              </w:divBdr>
            </w:div>
            <w:div w:id="265117298">
              <w:marLeft w:val="0"/>
              <w:marRight w:val="0"/>
              <w:marTop w:val="0"/>
              <w:marBottom w:val="0"/>
              <w:divBdr>
                <w:top w:val="none" w:sz="0" w:space="0" w:color="auto"/>
                <w:left w:val="none" w:sz="0" w:space="0" w:color="auto"/>
                <w:bottom w:val="none" w:sz="0" w:space="0" w:color="auto"/>
                <w:right w:val="none" w:sz="0" w:space="0" w:color="auto"/>
              </w:divBdr>
            </w:div>
            <w:div w:id="289017049">
              <w:marLeft w:val="0"/>
              <w:marRight w:val="0"/>
              <w:marTop w:val="0"/>
              <w:marBottom w:val="0"/>
              <w:divBdr>
                <w:top w:val="none" w:sz="0" w:space="0" w:color="auto"/>
                <w:left w:val="none" w:sz="0" w:space="0" w:color="auto"/>
                <w:bottom w:val="none" w:sz="0" w:space="0" w:color="auto"/>
                <w:right w:val="none" w:sz="0" w:space="0" w:color="auto"/>
              </w:divBdr>
            </w:div>
            <w:div w:id="320351402">
              <w:marLeft w:val="0"/>
              <w:marRight w:val="0"/>
              <w:marTop w:val="0"/>
              <w:marBottom w:val="0"/>
              <w:divBdr>
                <w:top w:val="none" w:sz="0" w:space="0" w:color="auto"/>
                <w:left w:val="none" w:sz="0" w:space="0" w:color="auto"/>
                <w:bottom w:val="none" w:sz="0" w:space="0" w:color="auto"/>
                <w:right w:val="none" w:sz="0" w:space="0" w:color="auto"/>
              </w:divBdr>
            </w:div>
            <w:div w:id="344022908">
              <w:marLeft w:val="0"/>
              <w:marRight w:val="0"/>
              <w:marTop w:val="0"/>
              <w:marBottom w:val="0"/>
              <w:divBdr>
                <w:top w:val="none" w:sz="0" w:space="0" w:color="auto"/>
                <w:left w:val="none" w:sz="0" w:space="0" w:color="auto"/>
                <w:bottom w:val="none" w:sz="0" w:space="0" w:color="auto"/>
                <w:right w:val="none" w:sz="0" w:space="0" w:color="auto"/>
              </w:divBdr>
            </w:div>
            <w:div w:id="379133573">
              <w:marLeft w:val="0"/>
              <w:marRight w:val="0"/>
              <w:marTop w:val="0"/>
              <w:marBottom w:val="0"/>
              <w:divBdr>
                <w:top w:val="none" w:sz="0" w:space="0" w:color="auto"/>
                <w:left w:val="none" w:sz="0" w:space="0" w:color="auto"/>
                <w:bottom w:val="none" w:sz="0" w:space="0" w:color="auto"/>
                <w:right w:val="none" w:sz="0" w:space="0" w:color="auto"/>
              </w:divBdr>
            </w:div>
            <w:div w:id="440078013">
              <w:marLeft w:val="0"/>
              <w:marRight w:val="0"/>
              <w:marTop w:val="0"/>
              <w:marBottom w:val="0"/>
              <w:divBdr>
                <w:top w:val="none" w:sz="0" w:space="0" w:color="auto"/>
                <w:left w:val="none" w:sz="0" w:space="0" w:color="auto"/>
                <w:bottom w:val="none" w:sz="0" w:space="0" w:color="auto"/>
                <w:right w:val="none" w:sz="0" w:space="0" w:color="auto"/>
              </w:divBdr>
            </w:div>
            <w:div w:id="682243245">
              <w:marLeft w:val="0"/>
              <w:marRight w:val="0"/>
              <w:marTop w:val="0"/>
              <w:marBottom w:val="0"/>
              <w:divBdr>
                <w:top w:val="none" w:sz="0" w:space="0" w:color="auto"/>
                <w:left w:val="none" w:sz="0" w:space="0" w:color="auto"/>
                <w:bottom w:val="none" w:sz="0" w:space="0" w:color="auto"/>
                <w:right w:val="none" w:sz="0" w:space="0" w:color="auto"/>
              </w:divBdr>
            </w:div>
            <w:div w:id="1155493595">
              <w:marLeft w:val="0"/>
              <w:marRight w:val="0"/>
              <w:marTop w:val="0"/>
              <w:marBottom w:val="0"/>
              <w:divBdr>
                <w:top w:val="none" w:sz="0" w:space="0" w:color="auto"/>
                <w:left w:val="none" w:sz="0" w:space="0" w:color="auto"/>
                <w:bottom w:val="none" w:sz="0" w:space="0" w:color="auto"/>
                <w:right w:val="none" w:sz="0" w:space="0" w:color="auto"/>
              </w:divBdr>
            </w:div>
            <w:div w:id="1259480675">
              <w:marLeft w:val="0"/>
              <w:marRight w:val="0"/>
              <w:marTop w:val="0"/>
              <w:marBottom w:val="0"/>
              <w:divBdr>
                <w:top w:val="none" w:sz="0" w:space="0" w:color="auto"/>
                <w:left w:val="none" w:sz="0" w:space="0" w:color="auto"/>
                <w:bottom w:val="none" w:sz="0" w:space="0" w:color="auto"/>
                <w:right w:val="none" w:sz="0" w:space="0" w:color="auto"/>
              </w:divBdr>
            </w:div>
            <w:div w:id="1330870604">
              <w:marLeft w:val="0"/>
              <w:marRight w:val="0"/>
              <w:marTop w:val="0"/>
              <w:marBottom w:val="0"/>
              <w:divBdr>
                <w:top w:val="none" w:sz="0" w:space="0" w:color="auto"/>
                <w:left w:val="none" w:sz="0" w:space="0" w:color="auto"/>
                <w:bottom w:val="none" w:sz="0" w:space="0" w:color="auto"/>
                <w:right w:val="none" w:sz="0" w:space="0" w:color="auto"/>
              </w:divBdr>
            </w:div>
            <w:div w:id="1331063171">
              <w:marLeft w:val="0"/>
              <w:marRight w:val="0"/>
              <w:marTop w:val="0"/>
              <w:marBottom w:val="0"/>
              <w:divBdr>
                <w:top w:val="none" w:sz="0" w:space="0" w:color="auto"/>
                <w:left w:val="none" w:sz="0" w:space="0" w:color="auto"/>
                <w:bottom w:val="none" w:sz="0" w:space="0" w:color="auto"/>
                <w:right w:val="none" w:sz="0" w:space="0" w:color="auto"/>
              </w:divBdr>
            </w:div>
            <w:div w:id="1381173766">
              <w:marLeft w:val="0"/>
              <w:marRight w:val="0"/>
              <w:marTop w:val="0"/>
              <w:marBottom w:val="0"/>
              <w:divBdr>
                <w:top w:val="none" w:sz="0" w:space="0" w:color="auto"/>
                <w:left w:val="none" w:sz="0" w:space="0" w:color="auto"/>
                <w:bottom w:val="none" w:sz="0" w:space="0" w:color="auto"/>
                <w:right w:val="none" w:sz="0" w:space="0" w:color="auto"/>
              </w:divBdr>
            </w:div>
            <w:div w:id="1550218371">
              <w:marLeft w:val="0"/>
              <w:marRight w:val="0"/>
              <w:marTop w:val="0"/>
              <w:marBottom w:val="0"/>
              <w:divBdr>
                <w:top w:val="none" w:sz="0" w:space="0" w:color="auto"/>
                <w:left w:val="none" w:sz="0" w:space="0" w:color="auto"/>
                <w:bottom w:val="none" w:sz="0" w:space="0" w:color="auto"/>
                <w:right w:val="none" w:sz="0" w:space="0" w:color="auto"/>
              </w:divBdr>
            </w:div>
            <w:div w:id="1563907615">
              <w:marLeft w:val="0"/>
              <w:marRight w:val="0"/>
              <w:marTop w:val="0"/>
              <w:marBottom w:val="0"/>
              <w:divBdr>
                <w:top w:val="none" w:sz="0" w:space="0" w:color="auto"/>
                <w:left w:val="none" w:sz="0" w:space="0" w:color="auto"/>
                <w:bottom w:val="none" w:sz="0" w:space="0" w:color="auto"/>
                <w:right w:val="none" w:sz="0" w:space="0" w:color="auto"/>
              </w:divBdr>
            </w:div>
            <w:div w:id="1591088530">
              <w:marLeft w:val="0"/>
              <w:marRight w:val="0"/>
              <w:marTop w:val="0"/>
              <w:marBottom w:val="0"/>
              <w:divBdr>
                <w:top w:val="none" w:sz="0" w:space="0" w:color="auto"/>
                <w:left w:val="none" w:sz="0" w:space="0" w:color="auto"/>
                <w:bottom w:val="none" w:sz="0" w:space="0" w:color="auto"/>
                <w:right w:val="none" w:sz="0" w:space="0" w:color="auto"/>
              </w:divBdr>
            </w:div>
            <w:div w:id="1628126976">
              <w:marLeft w:val="0"/>
              <w:marRight w:val="0"/>
              <w:marTop w:val="0"/>
              <w:marBottom w:val="0"/>
              <w:divBdr>
                <w:top w:val="none" w:sz="0" w:space="0" w:color="auto"/>
                <w:left w:val="none" w:sz="0" w:space="0" w:color="auto"/>
                <w:bottom w:val="none" w:sz="0" w:space="0" w:color="auto"/>
                <w:right w:val="none" w:sz="0" w:space="0" w:color="auto"/>
              </w:divBdr>
            </w:div>
            <w:div w:id="1668558639">
              <w:marLeft w:val="0"/>
              <w:marRight w:val="0"/>
              <w:marTop w:val="0"/>
              <w:marBottom w:val="0"/>
              <w:divBdr>
                <w:top w:val="none" w:sz="0" w:space="0" w:color="auto"/>
                <w:left w:val="none" w:sz="0" w:space="0" w:color="auto"/>
                <w:bottom w:val="none" w:sz="0" w:space="0" w:color="auto"/>
                <w:right w:val="none" w:sz="0" w:space="0" w:color="auto"/>
              </w:divBdr>
            </w:div>
            <w:div w:id="1715957314">
              <w:marLeft w:val="0"/>
              <w:marRight w:val="0"/>
              <w:marTop w:val="0"/>
              <w:marBottom w:val="0"/>
              <w:divBdr>
                <w:top w:val="none" w:sz="0" w:space="0" w:color="auto"/>
                <w:left w:val="none" w:sz="0" w:space="0" w:color="auto"/>
                <w:bottom w:val="none" w:sz="0" w:space="0" w:color="auto"/>
                <w:right w:val="none" w:sz="0" w:space="0" w:color="auto"/>
              </w:divBdr>
            </w:div>
            <w:div w:id="1732651614">
              <w:marLeft w:val="0"/>
              <w:marRight w:val="0"/>
              <w:marTop w:val="0"/>
              <w:marBottom w:val="0"/>
              <w:divBdr>
                <w:top w:val="none" w:sz="0" w:space="0" w:color="auto"/>
                <w:left w:val="none" w:sz="0" w:space="0" w:color="auto"/>
                <w:bottom w:val="none" w:sz="0" w:space="0" w:color="auto"/>
                <w:right w:val="none" w:sz="0" w:space="0" w:color="auto"/>
              </w:divBdr>
            </w:div>
            <w:div w:id="1804229365">
              <w:marLeft w:val="0"/>
              <w:marRight w:val="0"/>
              <w:marTop w:val="0"/>
              <w:marBottom w:val="0"/>
              <w:divBdr>
                <w:top w:val="none" w:sz="0" w:space="0" w:color="auto"/>
                <w:left w:val="none" w:sz="0" w:space="0" w:color="auto"/>
                <w:bottom w:val="none" w:sz="0" w:space="0" w:color="auto"/>
                <w:right w:val="none" w:sz="0" w:space="0" w:color="auto"/>
              </w:divBdr>
            </w:div>
            <w:div w:id="1957173532">
              <w:marLeft w:val="0"/>
              <w:marRight w:val="0"/>
              <w:marTop w:val="0"/>
              <w:marBottom w:val="0"/>
              <w:divBdr>
                <w:top w:val="none" w:sz="0" w:space="0" w:color="auto"/>
                <w:left w:val="none" w:sz="0" w:space="0" w:color="auto"/>
                <w:bottom w:val="none" w:sz="0" w:space="0" w:color="auto"/>
                <w:right w:val="none" w:sz="0" w:space="0" w:color="auto"/>
              </w:divBdr>
            </w:div>
            <w:div w:id="214022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470106">
      <w:bodyDiv w:val="1"/>
      <w:marLeft w:val="0"/>
      <w:marRight w:val="0"/>
      <w:marTop w:val="0"/>
      <w:marBottom w:val="0"/>
      <w:divBdr>
        <w:top w:val="none" w:sz="0" w:space="0" w:color="auto"/>
        <w:left w:val="none" w:sz="0" w:space="0" w:color="auto"/>
        <w:bottom w:val="none" w:sz="0" w:space="0" w:color="auto"/>
        <w:right w:val="none" w:sz="0" w:space="0" w:color="auto"/>
      </w:divBdr>
    </w:div>
    <w:div w:id="1449809643">
      <w:bodyDiv w:val="1"/>
      <w:marLeft w:val="0"/>
      <w:marRight w:val="0"/>
      <w:marTop w:val="0"/>
      <w:marBottom w:val="0"/>
      <w:divBdr>
        <w:top w:val="none" w:sz="0" w:space="0" w:color="auto"/>
        <w:left w:val="none" w:sz="0" w:space="0" w:color="auto"/>
        <w:bottom w:val="none" w:sz="0" w:space="0" w:color="auto"/>
        <w:right w:val="none" w:sz="0" w:space="0" w:color="auto"/>
      </w:divBdr>
      <w:divsChild>
        <w:div w:id="434908389">
          <w:marLeft w:val="0"/>
          <w:marRight w:val="0"/>
          <w:marTop w:val="225"/>
          <w:marBottom w:val="225"/>
          <w:divBdr>
            <w:top w:val="none" w:sz="0" w:space="0" w:color="auto"/>
            <w:left w:val="none" w:sz="0" w:space="0" w:color="auto"/>
            <w:bottom w:val="none" w:sz="0" w:space="0" w:color="auto"/>
            <w:right w:val="none" w:sz="0" w:space="0" w:color="auto"/>
          </w:divBdr>
        </w:div>
      </w:divsChild>
    </w:div>
    <w:div w:id="1449856971">
      <w:bodyDiv w:val="1"/>
      <w:marLeft w:val="0"/>
      <w:marRight w:val="0"/>
      <w:marTop w:val="0"/>
      <w:marBottom w:val="0"/>
      <w:divBdr>
        <w:top w:val="none" w:sz="0" w:space="0" w:color="auto"/>
        <w:left w:val="none" w:sz="0" w:space="0" w:color="auto"/>
        <w:bottom w:val="none" w:sz="0" w:space="0" w:color="auto"/>
        <w:right w:val="none" w:sz="0" w:space="0" w:color="auto"/>
      </w:divBdr>
      <w:divsChild>
        <w:div w:id="1218324945">
          <w:marLeft w:val="0"/>
          <w:marRight w:val="0"/>
          <w:marTop w:val="0"/>
          <w:marBottom w:val="0"/>
          <w:divBdr>
            <w:top w:val="none" w:sz="0" w:space="0" w:color="auto"/>
            <w:left w:val="none" w:sz="0" w:space="0" w:color="auto"/>
            <w:bottom w:val="none" w:sz="0" w:space="0" w:color="auto"/>
            <w:right w:val="none" w:sz="0" w:space="0" w:color="auto"/>
          </w:divBdr>
          <w:divsChild>
            <w:div w:id="1519925851">
              <w:marLeft w:val="0"/>
              <w:marRight w:val="0"/>
              <w:marTop w:val="0"/>
              <w:marBottom w:val="0"/>
              <w:divBdr>
                <w:top w:val="none" w:sz="0" w:space="0" w:color="auto"/>
                <w:left w:val="none" w:sz="0" w:space="0" w:color="auto"/>
                <w:bottom w:val="none" w:sz="0" w:space="0" w:color="auto"/>
                <w:right w:val="none" w:sz="0" w:space="0" w:color="auto"/>
              </w:divBdr>
              <w:divsChild>
                <w:div w:id="1161194896">
                  <w:marLeft w:val="0"/>
                  <w:marRight w:val="0"/>
                  <w:marTop w:val="0"/>
                  <w:marBottom w:val="0"/>
                  <w:divBdr>
                    <w:top w:val="none" w:sz="0" w:space="0" w:color="auto"/>
                    <w:left w:val="none" w:sz="0" w:space="0" w:color="auto"/>
                    <w:bottom w:val="none" w:sz="0" w:space="0" w:color="auto"/>
                    <w:right w:val="none" w:sz="0" w:space="0" w:color="auto"/>
                  </w:divBdr>
                  <w:divsChild>
                    <w:div w:id="56786941">
                      <w:marLeft w:val="0"/>
                      <w:marRight w:val="0"/>
                      <w:marTop w:val="0"/>
                      <w:marBottom w:val="0"/>
                      <w:divBdr>
                        <w:top w:val="none" w:sz="0" w:space="0" w:color="auto"/>
                        <w:left w:val="none" w:sz="0" w:space="0" w:color="auto"/>
                        <w:bottom w:val="none" w:sz="0" w:space="0" w:color="auto"/>
                        <w:right w:val="none" w:sz="0" w:space="0" w:color="auto"/>
                      </w:divBdr>
                      <w:divsChild>
                        <w:div w:id="1885940028">
                          <w:marLeft w:val="0"/>
                          <w:marRight w:val="0"/>
                          <w:marTop w:val="0"/>
                          <w:marBottom w:val="0"/>
                          <w:divBdr>
                            <w:top w:val="none" w:sz="0" w:space="0" w:color="auto"/>
                            <w:left w:val="none" w:sz="0" w:space="0" w:color="auto"/>
                            <w:bottom w:val="none" w:sz="0" w:space="0" w:color="auto"/>
                            <w:right w:val="none" w:sz="0" w:space="0" w:color="auto"/>
                          </w:divBdr>
                          <w:divsChild>
                            <w:div w:id="1335570535">
                              <w:marLeft w:val="0"/>
                              <w:marRight w:val="0"/>
                              <w:marTop w:val="0"/>
                              <w:marBottom w:val="0"/>
                              <w:divBdr>
                                <w:top w:val="none" w:sz="0" w:space="0" w:color="auto"/>
                                <w:left w:val="none" w:sz="0" w:space="0" w:color="auto"/>
                                <w:bottom w:val="none" w:sz="0" w:space="0" w:color="auto"/>
                                <w:right w:val="none" w:sz="0" w:space="0" w:color="auto"/>
                              </w:divBdr>
                              <w:divsChild>
                                <w:div w:id="1597445197">
                                  <w:marLeft w:val="0"/>
                                  <w:marRight w:val="0"/>
                                  <w:marTop w:val="0"/>
                                  <w:marBottom w:val="75"/>
                                  <w:divBdr>
                                    <w:top w:val="none" w:sz="0" w:space="0" w:color="auto"/>
                                    <w:left w:val="none" w:sz="0" w:space="0" w:color="auto"/>
                                    <w:bottom w:val="none" w:sz="0" w:space="0" w:color="auto"/>
                                    <w:right w:val="none" w:sz="0" w:space="0" w:color="auto"/>
                                  </w:divBdr>
                                  <w:divsChild>
                                    <w:div w:id="1198155315">
                                      <w:marLeft w:val="0"/>
                                      <w:marRight w:val="0"/>
                                      <w:marTop w:val="0"/>
                                      <w:marBottom w:val="0"/>
                                      <w:divBdr>
                                        <w:top w:val="none" w:sz="0" w:space="0" w:color="auto"/>
                                        <w:left w:val="none" w:sz="0" w:space="0" w:color="auto"/>
                                        <w:bottom w:val="none" w:sz="0" w:space="0" w:color="auto"/>
                                        <w:right w:val="none" w:sz="0" w:space="0" w:color="auto"/>
                                      </w:divBdr>
                                      <w:divsChild>
                                        <w:div w:id="1066877151">
                                          <w:marLeft w:val="0"/>
                                          <w:marRight w:val="0"/>
                                          <w:marTop w:val="0"/>
                                          <w:marBottom w:val="0"/>
                                          <w:divBdr>
                                            <w:top w:val="none" w:sz="0" w:space="0" w:color="auto"/>
                                            <w:left w:val="none" w:sz="0" w:space="0" w:color="auto"/>
                                            <w:bottom w:val="none" w:sz="0" w:space="0" w:color="auto"/>
                                            <w:right w:val="none" w:sz="0" w:space="0" w:color="auto"/>
                                          </w:divBdr>
                                          <w:divsChild>
                                            <w:div w:id="928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0584253">
      <w:bodyDiv w:val="1"/>
      <w:marLeft w:val="0"/>
      <w:marRight w:val="0"/>
      <w:marTop w:val="0"/>
      <w:marBottom w:val="0"/>
      <w:divBdr>
        <w:top w:val="none" w:sz="0" w:space="0" w:color="auto"/>
        <w:left w:val="none" w:sz="0" w:space="0" w:color="auto"/>
        <w:bottom w:val="none" w:sz="0" w:space="0" w:color="auto"/>
        <w:right w:val="none" w:sz="0" w:space="0" w:color="auto"/>
      </w:divBdr>
    </w:div>
    <w:div w:id="1450660247">
      <w:bodyDiv w:val="1"/>
      <w:marLeft w:val="0"/>
      <w:marRight w:val="0"/>
      <w:marTop w:val="0"/>
      <w:marBottom w:val="0"/>
      <w:divBdr>
        <w:top w:val="none" w:sz="0" w:space="0" w:color="auto"/>
        <w:left w:val="none" w:sz="0" w:space="0" w:color="auto"/>
        <w:bottom w:val="none" w:sz="0" w:space="0" w:color="auto"/>
        <w:right w:val="none" w:sz="0" w:space="0" w:color="auto"/>
      </w:divBdr>
      <w:divsChild>
        <w:div w:id="1499660366">
          <w:marLeft w:val="0"/>
          <w:marRight w:val="0"/>
          <w:marTop w:val="0"/>
          <w:marBottom w:val="150"/>
          <w:divBdr>
            <w:top w:val="none" w:sz="0" w:space="0" w:color="auto"/>
            <w:left w:val="none" w:sz="0" w:space="0" w:color="auto"/>
            <w:bottom w:val="none" w:sz="0" w:space="0" w:color="auto"/>
            <w:right w:val="none" w:sz="0" w:space="0" w:color="auto"/>
          </w:divBdr>
          <w:divsChild>
            <w:div w:id="1368330160">
              <w:marLeft w:val="0"/>
              <w:marRight w:val="0"/>
              <w:marTop w:val="0"/>
              <w:marBottom w:val="0"/>
              <w:divBdr>
                <w:top w:val="none" w:sz="0" w:space="0" w:color="auto"/>
                <w:left w:val="none" w:sz="0" w:space="0" w:color="auto"/>
                <w:bottom w:val="none" w:sz="0" w:space="0" w:color="auto"/>
                <w:right w:val="none" w:sz="0" w:space="0" w:color="auto"/>
              </w:divBdr>
            </w:div>
          </w:divsChild>
        </w:div>
        <w:div w:id="711150780">
          <w:marLeft w:val="0"/>
          <w:marRight w:val="0"/>
          <w:marTop w:val="0"/>
          <w:marBottom w:val="0"/>
          <w:divBdr>
            <w:top w:val="none" w:sz="0" w:space="0" w:color="auto"/>
            <w:left w:val="none" w:sz="0" w:space="0" w:color="auto"/>
            <w:bottom w:val="none" w:sz="0" w:space="0" w:color="auto"/>
            <w:right w:val="none" w:sz="0" w:space="0" w:color="auto"/>
          </w:divBdr>
        </w:div>
      </w:divsChild>
    </w:div>
    <w:div w:id="1450781573">
      <w:bodyDiv w:val="1"/>
      <w:marLeft w:val="0"/>
      <w:marRight w:val="0"/>
      <w:marTop w:val="0"/>
      <w:marBottom w:val="0"/>
      <w:divBdr>
        <w:top w:val="none" w:sz="0" w:space="0" w:color="auto"/>
        <w:left w:val="none" w:sz="0" w:space="0" w:color="auto"/>
        <w:bottom w:val="none" w:sz="0" w:space="0" w:color="auto"/>
        <w:right w:val="none" w:sz="0" w:space="0" w:color="auto"/>
      </w:divBdr>
      <w:divsChild>
        <w:div w:id="404957769">
          <w:marLeft w:val="0"/>
          <w:marRight w:val="0"/>
          <w:marTop w:val="0"/>
          <w:marBottom w:val="0"/>
          <w:divBdr>
            <w:top w:val="none" w:sz="0" w:space="0" w:color="auto"/>
            <w:left w:val="none" w:sz="0" w:space="0" w:color="auto"/>
            <w:bottom w:val="none" w:sz="0" w:space="0" w:color="auto"/>
            <w:right w:val="none" w:sz="0" w:space="0" w:color="auto"/>
          </w:divBdr>
          <w:divsChild>
            <w:div w:id="1902591878">
              <w:marLeft w:val="0"/>
              <w:marRight w:val="0"/>
              <w:marTop w:val="0"/>
              <w:marBottom w:val="0"/>
              <w:divBdr>
                <w:top w:val="none" w:sz="0" w:space="0" w:color="auto"/>
                <w:left w:val="none" w:sz="0" w:space="0" w:color="auto"/>
                <w:bottom w:val="none" w:sz="0" w:space="0" w:color="auto"/>
                <w:right w:val="none" w:sz="0" w:space="0" w:color="auto"/>
              </w:divBdr>
              <w:divsChild>
                <w:div w:id="1995643498">
                  <w:marLeft w:val="0"/>
                  <w:marRight w:val="0"/>
                  <w:marTop w:val="0"/>
                  <w:marBottom w:val="0"/>
                  <w:divBdr>
                    <w:top w:val="none" w:sz="0" w:space="0" w:color="auto"/>
                    <w:left w:val="none" w:sz="0" w:space="0" w:color="auto"/>
                    <w:bottom w:val="none" w:sz="0" w:space="0" w:color="auto"/>
                    <w:right w:val="none" w:sz="0" w:space="0" w:color="auto"/>
                  </w:divBdr>
                  <w:divsChild>
                    <w:div w:id="1040714876">
                      <w:marLeft w:val="0"/>
                      <w:marRight w:val="0"/>
                      <w:marTop w:val="0"/>
                      <w:marBottom w:val="0"/>
                      <w:divBdr>
                        <w:top w:val="none" w:sz="0" w:space="0" w:color="auto"/>
                        <w:left w:val="none" w:sz="0" w:space="0" w:color="auto"/>
                        <w:bottom w:val="none" w:sz="0" w:space="0" w:color="auto"/>
                        <w:right w:val="none" w:sz="0" w:space="0" w:color="auto"/>
                      </w:divBdr>
                      <w:divsChild>
                        <w:div w:id="48000967">
                          <w:marLeft w:val="0"/>
                          <w:marRight w:val="0"/>
                          <w:marTop w:val="0"/>
                          <w:marBottom w:val="0"/>
                          <w:divBdr>
                            <w:top w:val="none" w:sz="0" w:space="0" w:color="auto"/>
                            <w:left w:val="none" w:sz="0" w:space="0" w:color="auto"/>
                            <w:bottom w:val="none" w:sz="0" w:space="0" w:color="auto"/>
                            <w:right w:val="none" w:sz="0" w:space="0" w:color="auto"/>
                          </w:divBdr>
                          <w:divsChild>
                            <w:div w:id="33309133">
                              <w:marLeft w:val="0"/>
                              <w:marRight w:val="0"/>
                              <w:marTop w:val="0"/>
                              <w:marBottom w:val="0"/>
                              <w:divBdr>
                                <w:top w:val="none" w:sz="0" w:space="0" w:color="auto"/>
                                <w:left w:val="none" w:sz="0" w:space="0" w:color="auto"/>
                                <w:bottom w:val="none" w:sz="0" w:space="0" w:color="auto"/>
                                <w:right w:val="none" w:sz="0" w:space="0" w:color="auto"/>
                              </w:divBdr>
                              <w:divsChild>
                                <w:div w:id="408189250">
                                  <w:marLeft w:val="0"/>
                                  <w:marRight w:val="0"/>
                                  <w:marTop w:val="0"/>
                                  <w:marBottom w:val="0"/>
                                  <w:divBdr>
                                    <w:top w:val="none" w:sz="0" w:space="0" w:color="auto"/>
                                    <w:left w:val="none" w:sz="0" w:space="0" w:color="auto"/>
                                    <w:bottom w:val="none" w:sz="0" w:space="0" w:color="auto"/>
                                    <w:right w:val="none" w:sz="0" w:space="0" w:color="auto"/>
                                  </w:divBdr>
                                  <w:divsChild>
                                    <w:div w:id="1062098921">
                                      <w:marLeft w:val="0"/>
                                      <w:marRight w:val="0"/>
                                      <w:marTop w:val="0"/>
                                      <w:marBottom w:val="0"/>
                                      <w:divBdr>
                                        <w:top w:val="none" w:sz="0" w:space="0" w:color="auto"/>
                                        <w:left w:val="none" w:sz="0" w:space="0" w:color="auto"/>
                                        <w:bottom w:val="none" w:sz="0" w:space="0" w:color="auto"/>
                                        <w:right w:val="none" w:sz="0" w:space="0" w:color="auto"/>
                                      </w:divBdr>
                                      <w:divsChild>
                                        <w:div w:id="45706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1321595">
      <w:bodyDiv w:val="1"/>
      <w:marLeft w:val="0"/>
      <w:marRight w:val="0"/>
      <w:marTop w:val="0"/>
      <w:marBottom w:val="0"/>
      <w:divBdr>
        <w:top w:val="none" w:sz="0" w:space="0" w:color="auto"/>
        <w:left w:val="none" w:sz="0" w:space="0" w:color="auto"/>
        <w:bottom w:val="none" w:sz="0" w:space="0" w:color="auto"/>
        <w:right w:val="none" w:sz="0" w:space="0" w:color="auto"/>
      </w:divBdr>
      <w:divsChild>
        <w:div w:id="1868367421">
          <w:marLeft w:val="0"/>
          <w:marRight w:val="0"/>
          <w:marTop w:val="0"/>
          <w:marBottom w:val="0"/>
          <w:divBdr>
            <w:top w:val="none" w:sz="0" w:space="0" w:color="auto"/>
            <w:left w:val="none" w:sz="0" w:space="0" w:color="auto"/>
            <w:bottom w:val="none" w:sz="0" w:space="0" w:color="auto"/>
            <w:right w:val="none" w:sz="0" w:space="0" w:color="auto"/>
          </w:divBdr>
        </w:div>
      </w:divsChild>
    </w:div>
    <w:div w:id="1451627388">
      <w:bodyDiv w:val="1"/>
      <w:marLeft w:val="0"/>
      <w:marRight w:val="0"/>
      <w:marTop w:val="0"/>
      <w:marBottom w:val="0"/>
      <w:divBdr>
        <w:top w:val="none" w:sz="0" w:space="0" w:color="auto"/>
        <w:left w:val="none" w:sz="0" w:space="0" w:color="auto"/>
        <w:bottom w:val="none" w:sz="0" w:space="0" w:color="auto"/>
        <w:right w:val="none" w:sz="0" w:space="0" w:color="auto"/>
      </w:divBdr>
      <w:divsChild>
        <w:div w:id="18287722">
          <w:marLeft w:val="0"/>
          <w:marRight w:val="0"/>
          <w:marTop w:val="0"/>
          <w:marBottom w:val="450"/>
          <w:divBdr>
            <w:top w:val="none" w:sz="0" w:space="0" w:color="auto"/>
            <w:left w:val="none" w:sz="0" w:space="0" w:color="auto"/>
            <w:bottom w:val="none" w:sz="0" w:space="0" w:color="auto"/>
            <w:right w:val="none" w:sz="0" w:space="0" w:color="auto"/>
          </w:divBdr>
        </w:div>
        <w:div w:id="1401978552">
          <w:marLeft w:val="0"/>
          <w:marRight w:val="0"/>
          <w:marTop w:val="0"/>
          <w:marBottom w:val="450"/>
          <w:divBdr>
            <w:top w:val="none" w:sz="0" w:space="0" w:color="auto"/>
            <w:left w:val="none" w:sz="0" w:space="0" w:color="auto"/>
            <w:bottom w:val="none" w:sz="0" w:space="0" w:color="auto"/>
            <w:right w:val="none" w:sz="0" w:space="0" w:color="auto"/>
          </w:divBdr>
          <w:divsChild>
            <w:div w:id="850527344">
              <w:marLeft w:val="0"/>
              <w:marRight w:val="0"/>
              <w:marTop w:val="0"/>
              <w:marBottom w:val="150"/>
              <w:divBdr>
                <w:top w:val="none" w:sz="0" w:space="0" w:color="auto"/>
                <w:left w:val="none" w:sz="0" w:space="0" w:color="auto"/>
                <w:bottom w:val="none" w:sz="0" w:space="0" w:color="auto"/>
                <w:right w:val="none" w:sz="0" w:space="0" w:color="auto"/>
              </w:divBdr>
              <w:divsChild>
                <w:div w:id="735323533">
                  <w:marLeft w:val="0"/>
                  <w:marRight w:val="0"/>
                  <w:marTop w:val="0"/>
                  <w:marBottom w:val="0"/>
                  <w:divBdr>
                    <w:top w:val="none" w:sz="0" w:space="0" w:color="auto"/>
                    <w:left w:val="none" w:sz="0" w:space="0" w:color="auto"/>
                    <w:bottom w:val="none" w:sz="0" w:space="0" w:color="auto"/>
                    <w:right w:val="none" w:sz="0" w:space="0" w:color="auto"/>
                  </w:divBdr>
                </w:div>
              </w:divsChild>
            </w:div>
            <w:div w:id="2001031963">
              <w:marLeft w:val="0"/>
              <w:marRight w:val="0"/>
              <w:marTop w:val="0"/>
              <w:marBottom w:val="0"/>
              <w:divBdr>
                <w:top w:val="none" w:sz="0" w:space="0" w:color="auto"/>
                <w:left w:val="none" w:sz="0" w:space="0" w:color="auto"/>
                <w:bottom w:val="none" w:sz="0" w:space="0" w:color="auto"/>
                <w:right w:val="none" w:sz="0" w:space="0" w:color="auto"/>
              </w:divBdr>
              <w:divsChild>
                <w:div w:id="146629939">
                  <w:marLeft w:val="0"/>
                  <w:marRight w:val="0"/>
                  <w:marTop w:val="0"/>
                  <w:marBottom w:val="0"/>
                  <w:divBdr>
                    <w:top w:val="none" w:sz="0" w:space="0" w:color="auto"/>
                    <w:left w:val="none" w:sz="0" w:space="0" w:color="auto"/>
                    <w:bottom w:val="none" w:sz="0" w:space="0" w:color="auto"/>
                    <w:right w:val="none" w:sz="0" w:space="0" w:color="auto"/>
                  </w:divBdr>
                  <w:divsChild>
                    <w:div w:id="668368702">
                      <w:marLeft w:val="0"/>
                      <w:marRight w:val="0"/>
                      <w:marTop w:val="0"/>
                      <w:marBottom w:val="0"/>
                      <w:divBdr>
                        <w:top w:val="none" w:sz="0" w:space="0" w:color="auto"/>
                        <w:left w:val="none" w:sz="0" w:space="0" w:color="auto"/>
                        <w:bottom w:val="none" w:sz="0" w:space="0" w:color="auto"/>
                        <w:right w:val="none" w:sz="0" w:space="0" w:color="auto"/>
                      </w:divBdr>
                    </w:div>
                  </w:divsChild>
                </w:div>
                <w:div w:id="13683390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52016277">
      <w:bodyDiv w:val="1"/>
      <w:marLeft w:val="0"/>
      <w:marRight w:val="0"/>
      <w:marTop w:val="0"/>
      <w:marBottom w:val="0"/>
      <w:divBdr>
        <w:top w:val="none" w:sz="0" w:space="0" w:color="auto"/>
        <w:left w:val="none" w:sz="0" w:space="0" w:color="auto"/>
        <w:bottom w:val="none" w:sz="0" w:space="0" w:color="auto"/>
        <w:right w:val="none" w:sz="0" w:space="0" w:color="auto"/>
      </w:divBdr>
    </w:div>
    <w:div w:id="1452170530">
      <w:bodyDiv w:val="1"/>
      <w:marLeft w:val="0"/>
      <w:marRight w:val="0"/>
      <w:marTop w:val="0"/>
      <w:marBottom w:val="0"/>
      <w:divBdr>
        <w:top w:val="none" w:sz="0" w:space="0" w:color="auto"/>
        <w:left w:val="none" w:sz="0" w:space="0" w:color="auto"/>
        <w:bottom w:val="none" w:sz="0" w:space="0" w:color="auto"/>
        <w:right w:val="none" w:sz="0" w:space="0" w:color="auto"/>
      </w:divBdr>
      <w:divsChild>
        <w:div w:id="206072465">
          <w:marLeft w:val="0"/>
          <w:marRight w:val="0"/>
          <w:marTop w:val="0"/>
          <w:marBottom w:val="0"/>
          <w:divBdr>
            <w:top w:val="none" w:sz="0" w:space="0" w:color="auto"/>
            <w:left w:val="none" w:sz="0" w:space="0" w:color="auto"/>
            <w:bottom w:val="none" w:sz="0" w:space="0" w:color="auto"/>
            <w:right w:val="none" w:sz="0" w:space="0" w:color="auto"/>
          </w:divBdr>
          <w:divsChild>
            <w:div w:id="8716478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52435084">
      <w:bodyDiv w:val="1"/>
      <w:marLeft w:val="0"/>
      <w:marRight w:val="0"/>
      <w:marTop w:val="0"/>
      <w:marBottom w:val="0"/>
      <w:divBdr>
        <w:top w:val="none" w:sz="0" w:space="0" w:color="auto"/>
        <w:left w:val="none" w:sz="0" w:space="0" w:color="auto"/>
        <w:bottom w:val="none" w:sz="0" w:space="0" w:color="auto"/>
        <w:right w:val="none" w:sz="0" w:space="0" w:color="auto"/>
      </w:divBdr>
    </w:div>
    <w:div w:id="1452675998">
      <w:bodyDiv w:val="1"/>
      <w:marLeft w:val="0"/>
      <w:marRight w:val="0"/>
      <w:marTop w:val="0"/>
      <w:marBottom w:val="0"/>
      <w:divBdr>
        <w:top w:val="none" w:sz="0" w:space="0" w:color="auto"/>
        <w:left w:val="none" w:sz="0" w:space="0" w:color="auto"/>
        <w:bottom w:val="none" w:sz="0" w:space="0" w:color="auto"/>
        <w:right w:val="none" w:sz="0" w:space="0" w:color="auto"/>
      </w:divBdr>
    </w:div>
    <w:div w:id="1453010656">
      <w:bodyDiv w:val="1"/>
      <w:marLeft w:val="0"/>
      <w:marRight w:val="0"/>
      <w:marTop w:val="0"/>
      <w:marBottom w:val="0"/>
      <w:divBdr>
        <w:top w:val="none" w:sz="0" w:space="0" w:color="auto"/>
        <w:left w:val="none" w:sz="0" w:space="0" w:color="auto"/>
        <w:bottom w:val="none" w:sz="0" w:space="0" w:color="auto"/>
        <w:right w:val="none" w:sz="0" w:space="0" w:color="auto"/>
      </w:divBdr>
      <w:divsChild>
        <w:div w:id="856891843">
          <w:marLeft w:val="0"/>
          <w:marRight w:val="0"/>
          <w:marTop w:val="0"/>
          <w:marBottom w:val="0"/>
          <w:divBdr>
            <w:top w:val="none" w:sz="0" w:space="0" w:color="auto"/>
            <w:left w:val="none" w:sz="0" w:space="0" w:color="auto"/>
            <w:bottom w:val="dotted" w:sz="6" w:space="4" w:color="DDDDDD"/>
            <w:right w:val="none" w:sz="0" w:space="0" w:color="auto"/>
          </w:divBdr>
          <w:divsChild>
            <w:div w:id="5878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058990">
      <w:bodyDiv w:val="1"/>
      <w:marLeft w:val="0"/>
      <w:marRight w:val="0"/>
      <w:marTop w:val="0"/>
      <w:marBottom w:val="0"/>
      <w:divBdr>
        <w:top w:val="none" w:sz="0" w:space="0" w:color="auto"/>
        <w:left w:val="none" w:sz="0" w:space="0" w:color="auto"/>
        <w:bottom w:val="none" w:sz="0" w:space="0" w:color="auto"/>
        <w:right w:val="none" w:sz="0" w:space="0" w:color="auto"/>
      </w:divBdr>
      <w:divsChild>
        <w:div w:id="1828940729">
          <w:marLeft w:val="0"/>
          <w:marRight w:val="0"/>
          <w:marTop w:val="0"/>
          <w:marBottom w:val="450"/>
          <w:divBdr>
            <w:top w:val="none" w:sz="0" w:space="0" w:color="auto"/>
            <w:left w:val="none" w:sz="0" w:space="0" w:color="auto"/>
            <w:bottom w:val="single" w:sz="6" w:space="19" w:color="EEEEEE"/>
            <w:right w:val="none" w:sz="0" w:space="0" w:color="auto"/>
          </w:divBdr>
          <w:divsChild>
            <w:div w:id="1162356494">
              <w:marLeft w:val="0"/>
              <w:marRight w:val="0"/>
              <w:marTop w:val="0"/>
              <w:marBottom w:val="150"/>
              <w:divBdr>
                <w:top w:val="none" w:sz="0" w:space="0" w:color="auto"/>
                <w:left w:val="none" w:sz="0" w:space="0" w:color="auto"/>
                <w:bottom w:val="none" w:sz="0" w:space="0" w:color="auto"/>
                <w:right w:val="none" w:sz="0" w:space="0" w:color="auto"/>
              </w:divBdr>
              <w:divsChild>
                <w:div w:id="1374041290">
                  <w:marLeft w:val="0"/>
                  <w:marRight w:val="0"/>
                  <w:marTop w:val="0"/>
                  <w:marBottom w:val="0"/>
                  <w:divBdr>
                    <w:top w:val="none" w:sz="0" w:space="0" w:color="auto"/>
                    <w:left w:val="none" w:sz="0" w:space="0" w:color="auto"/>
                    <w:bottom w:val="none" w:sz="0" w:space="0" w:color="auto"/>
                    <w:right w:val="none" w:sz="0" w:space="0" w:color="auto"/>
                  </w:divBdr>
                </w:div>
              </w:divsChild>
            </w:div>
            <w:div w:id="1675961483">
              <w:marLeft w:val="0"/>
              <w:marRight w:val="0"/>
              <w:marTop w:val="0"/>
              <w:marBottom w:val="0"/>
              <w:divBdr>
                <w:top w:val="none" w:sz="0" w:space="0" w:color="auto"/>
                <w:left w:val="none" w:sz="0" w:space="0" w:color="auto"/>
                <w:bottom w:val="none" w:sz="0" w:space="0" w:color="auto"/>
                <w:right w:val="none" w:sz="0" w:space="0" w:color="auto"/>
              </w:divBdr>
            </w:div>
          </w:divsChild>
        </w:div>
        <w:div w:id="2137873040">
          <w:marLeft w:val="0"/>
          <w:marRight w:val="0"/>
          <w:marTop w:val="0"/>
          <w:marBottom w:val="0"/>
          <w:divBdr>
            <w:top w:val="none" w:sz="0" w:space="0" w:color="auto"/>
            <w:left w:val="none" w:sz="0" w:space="0" w:color="auto"/>
            <w:bottom w:val="none" w:sz="0" w:space="0" w:color="auto"/>
            <w:right w:val="none" w:sz="0" w:space="0" w:color="auto"/>
          </w:divBdr>
          <w:divsChild>
            <w:div w:id="1069620596">
              <w:marLeft w:val="0"/>
              <w:marRight w:val="0"/>
              <w:marTop w:val="0"/>
              <w:marBottom w:val="0"/>
              <w:divBdr>
                <w:top w:val="none" w:sz="0" w:space="0" w:color="auto"/>
                <w:left w:val="none" w:sz="0" w:space="0" w:color="auto"/>
                <w:bottom w:val="none" w:sz="0" w:space="0" w:color="auto"/>
                <w:right w:val="none" w:sz="0" w:space="0" w:color="auto"/>
              </w:divBdr>
              <w:divsChild>
                <w:div w:id="6869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206356">
      <w:bodyDiv w:val="1"/>
      <w:marLeft w:val="0"/>
      <w:marRight w:val="0"/>
      <w:marTop w:val="0"/>
      <w:marBottom w:val="0"/>
      <w:divBdr>
        <w:top w:val="none" w:sz="0" w:space="0" w:color="auto"/>
        <w:left w:val="none" w:sz="0" w:space="0" w:color="auto"/>
        <w:bottom w:val="none" w:sz="0" w:space="0" w:color="auto"/>
        <w:right w:val="none" w:sz="0" w:space="0" w:color="auto"/>
      </w:divBdr>
      <w:divsChild>
        <w:div w:id="1093093086">
          <w:marLeft w:val="0"/>
          <w:marRight w:val="0"/>
          <w:marTop w:val="0"/>
          <w:marBottom w:val="0"/>
          <w:divBdr>
            <w:top w:val="none" w:sz="0" w:space="0" w:color="auto"/>
            <w:left w:val="none" w:sz="0" w:space="0" w:color="auto"/>
            <w:bottom w:val="dotted" w:sz="6" w:space="4" w:color="DDDDDD"/>
            <w:right w:val="none" w:sz="0" w:space="0" w:color="auto"/>
          </w:divBdr>
        </w:div>
      </w:divsChild>
    </w:div>
    <w:div w:id="1454254168">
      <w:bodyDiv w:val="1"/>
      <w:marLeft w:val="0"/>
      <w:marRight w:val="0"/>
      <w:marTop w:val="0"/>
      <w:marBottom w:val="0"/>
      <w:divBdr>
        <w:top w:val="none" w:sz="0" w:space="0" w:color="auto"/>
        <w:left w:val="none" w:sz="0" w:space="0" w:color="auto"/>
        <w:bottom w:val="none" w:sz="0" w:space="0" w:color="auto"/>
        <w:right w:val="none" w:sz="0" w:space="0" w:color="auto"/>
      </w:divBdr>
      <w:divsChild>
        <w:div w:id="1947500168">
          <w:marLeft w:val="0"/>
          <w:marRight w:val="0"/>
          <w:marTop w:val="0"/>
          <w:marBottom w:val="0"/>
          <w:divBdr>
            <w:top w:val="none" w:sz="0" w:space="0" w:color="auto"/>
            <w:left w:val="none" w:sz="0" w:space="0" w:color="auto"/>
            <w:bottom w:val="none" w:sz="0" w:space="0" w:color="auto"/>
            <w:right w:val="none" w:sz="0" w:space="0" w:color="auto"/>
          </w:divBdr>
        </w:div>
      </w:divsChild>
    </w:div>
    <w:div w:id="1454447543">
      <w:bodyDiv w:val="1"/>
      <w:marLeft w:val="0"/>
      <w:marRight w:val="0"/>
      <w:marTop w:val="0"/>
      <w:marBottom w:val="0"/>
      <w:divBdr>
        <w:top w:val="none" w:sz="0" w:space="0" w:color="auto"/>
        <w:left w:val="none" w:sz="0" w:space="0" w:color="auto"/>
        <w:bottom w:val="none" w:sz="0" w:space="0" w:color="auto"/>
        <w:right w:val="none" w:sz="0" w:space="0" w:color="auto"/>
      </w:divBdr>
    </w:div>
    <w:div w:id="1454522955">
      <w:bodyDiv w:val="1"/>
      <w:marLeft w:val="0"/>
      <w:marRight w:val="0"/>
      <w:marTop w:val="0"/>
      <w:marBottom w:val="0"/>
      <w:divBdr>
        <w:top w:val="none" w:sz="0" w:space="0" w:color="auto"/>
        <w:left w:val="none" w:sz="0" w:space="0" w:color="auto"/>
        <w:bottom w:val="none" w:sz="0" w:space="0" w:color="auto"/>
        <w:right w:val="none" w:sz="0" w:space="0" w:color="auto"/>
      </w:divBdr>
      <w:divsChild>
        <w:div w:id="21370936">
          <w:marLeft w:val="0"/>
          <w:marRight w:val="0"/>
          <w:marTop w:val="0"/>
          <w:marBottom w:val="0"/>
          <w:divBdr>
            <w:top w:val="single" w:sz="6" w:space="0" w:color="FFFFFF"/>
            <w:left w:val="none" w:sz="0" w:space="0" w:color="auto"/>
            <w:bottom w:val="single" w:sz="6" w:space="0" w:color="E5E5E5"/>
            <w:right w:val="none" w:sz="0" w:space="0" w:color="auto"/>
          </w:divBdr>
          <w:divsChild>
            <w:div w:id="1937788783">
              <w:marLeft w:val="0"/>
              <w:marRight w:val="0"/>
              <w:marTop w:val="0"/>
              <w:marBottom w:val="0"/>
              <w:divBdr>
                <w:top w:val="none" w:sz="0" w:space="0" w:color="auto"/>
                <w:left w:val="none" w:sz="0" w:space="0" w:color="auto"/>
                <w:bottom w:val="none" w:sz="0" w:space="0" w:color="auto"/>
                <w:right w:val="none" w:sz="0" w:space="0" w:color="auto"/>
              </w:divBdr>
              <w:divsChild>
                <w:div w:id="167838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8631">
          <w:marLeft w:val="0"/>
          <w:marRight w:val="0"/>
          <w:marTop w:val="0"/>
          <w:marBottom w:val="0"/>
          <w:divBdr>
            <w:top w:val="single" w:sz="6" w:space="0" w:color="E5E5E5"/>
            <w:left w:val="none" w:sz="0" w:space="0" w:color="auto"/>
            <w:bottom w:val="single" w:sz="18" w:space="0" w:color="000000"/>
            <w:right w:val="none" w:sz="0" w:space="0" w:color="auto"/>
          </w:divBdr>
          <w:divsChild>
            <w:div w:id="1312366030">
              <w:marLeft w:val="0"/>
              <w:marRight w:val="0"/>
              <w:marTop w:val="0"/>
              <w:marBottom w:val="0"/>
              <w:divBdr>
                <w:top w:val="none" w:sz="0" w:space="0" w:color="auto"/>
                <w:left w:val="none" w:sz="0" w:space="0" w:color="auto"/>
                <w:bottom w:val="none" w:sz="0" w:space="0" w:color="auto"/>
                <w:right w:val="none" w:sz="0" w:space="0" w:color="auto"/>
              </w:divBdr>
              <w:divsChild>
                <w:div w:id="143559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550312">
          <w:marLeft w:val="0"/>
          <w:marRight w:val="0"/>
          <w:marTop w:val="0"/>
          <w:marBottom w:val="0"/>
          <w:divBdr>
            <w:top w:val="none" w:sz="0" w:space="0" w:color="auto"/>
            <w:left w:val="none" w:sz="0" w:space="0" w:color="auto"/>
            <w:bottom w:val="none" w:sz="0" w:space="0" w:color="auto"/>
            <w:right w:val="none" w:sz="0" w:space="0" w:color="auto"/>
          </w:divBdr>
          <w:divsChild>
            <w:div w:id="729117462">
              <w:marLeft w:val="0"/>
              <w:marRight w:val="0"/>
              <w:marTop w:val="0"/>
              <w:marBottom w:val="0"/>
              <w:divBdr>
                <w:top w:val="none" w:sz="0" w:space="0" w:color="auto"/>
                <w:left w:val="none" w:sz="0" w:space="0" w:color="auto"/>
                <w:bottom w:val="none" w:sz="0" w:space="0" w:color="auto"/>
                <w:right w:val="none" w:sz="0" w:space="0" w:color="auto"/>
              </w:divBdr>
              <w:divsChild>
                <w:div w:id="394737949">
                  <w:marLeft w:val="0"/>
                  <w:marRight w:val="0"/>
                  <w:marTop w:val="0"/>
                  <w:marBottom w:val="0"/>
                  <w:divBdr>
                    <w:top w:val="none" w:sz="0" w:space="0" w:color="auto"/>
                    <w:left w:val="none" w:sz="0" w:space="0" w:color="auto"/>
                    <w:bottom w:val="none" w:sz="0" w:space="0" w:color="auto"/>
                    <w:right w:val="none" w:sz="0" w:space="0" w:color="auto"/>
                  </w:divBdr>
                  <w:divsChild>
                    <w:div w:id="346717650">
                      <w:marLeft w:val="0"/>
                      <w:marRight w:val="0"/>
                      <w:marTop w:val="0"/>
                      <w:marBottom w:val="0"/>
                      <w:divBdr>
                        <w:top w:val="none" w:sz="0" w:space="0" w:color="auto"/>
                        <w:left w:val="none" w:sz="0" w:space="0" w:color="auto"/>
                        <w:bottom w:val="none" w:sz="0" w:space="0" w:color="auto"/>
                        <w:right w:val="none" w:sz="0" w:space="0" w:color="auto"/>
                      </w:divBdr>
                      <w:divsChild>
                        <w:div w:id="1938294952">
                          <w:marLeft w:val="0"/>
                          <w:marRight w:val="0"/>
                          <w:marTop w:val="0"/>
                          <w:marBottom w:val="300"/>
                          <w:divBdr>
                            <w:top w:val="none" w:sz="0" w:space="0" w:color="auto"/>
                            <w:left w:val="none" w:sz="0" w:space="0" w:color="auto"/>
                            <w:bottom w:val="none" w:sz="0" w:space="0" w:color="auto"/>
                            <w:right w:val="none" w:sz="0" w:space="0" w:color="auto"/>
                          </w:divBdr>
                          <w:divsChild>
                            <w:div w:id="28845438">
                              <w:marLeft w:val="0"/>
                              <w:marRight w:val="0"/>
                              <w:marTop w:val="0"/>
                              <w:marBottom w:val="225"/>
                              <w:divBdr>
                                <w:top w:val="single" w:sz="6" w:space="11" w:color="E5E5E5"/>
                                <w:left w:val="single" w:sz="6" w:space="11" w:color="E5E5E5"/>
                                <w:bottom w:val="single" w:sz="6" w:space="1" w:color="E5E5E5"/>
                                <w:right w:val="single" w:sz="6" w:space="11" w:color="E5E5E5"/>
                              </w:divBdr>
                              <w:divsChild>
                                <w:div w:id="1746952656">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sChild>
    </w:div>
    <w:div w:id="1454595729">
      <w:bodyDiv w:val="1"/>
      <w:marLeft w:val="0"/>
      <w:marRight w:val="0"/>
      <w:marTop w:val="0"/>
      <w:marBottom w:val="0"/>
      <w:divBdr>
        <w:top w:val="none" w:sz="0" w:space="0" w:color="auto"/>
        <w:left w:val="none" w:sz="0" w:space="0" w:color="auto"/>
        <w:bottom w:val="none" w:sz="0" w:space="0" w:color="auto"/>
        <w:right w:val="none" w:sz="0" w:space="0" w:color="auto"/>
      </w:divBdr>
      <w:divsChild>
        <w:div w:id="284970195">
          <w:marLeft w:val="0"/>
          <w:marRight w:val="0"/>
          <w:marTop w:val="0"/>
          <w:marBottom w:val="0"/>
          <w:divBdr>
            <w:top w:val="none" w:sz="0" w:space="0" w:color="auto"/>
            <w:left w:val="none" w:sz="0" w:space="0" w:color="auto"/>
            <w:bottom w:val="none" w:sz="0" w:space="0" w:color="auto"/>
            <w:right w:val="none" w:sz="0" w:space="0" w:color="auto"/>
          </w:divBdr>
          <w:divsChild>
            <w:div w:id="21324595">
              <w:marLeft w:val="0"/>
              <w:marRight w:val="0"/>
              <w:marTop w:val="0"/>
              <w:marBottom w:val="150"/>
              <w:divBdr>
                <w:top w:val="none" w:sz="0" w:space="0" w:color="auto"/>
                <w:left w:val="none" w:sz="0" w:space="0" w:color="auto"/>
                <w:bottom w:val="none" w:sz="0" w:space="0" w:color="auto"/>
                <w:right w:val="none" w:sz="0" w:space="0" w:color="auto"/>
              </w:divBdr>
            </w:div>
            <w:div w:id="115117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637076">
      <w:bodyDiv w:val="1"/>
      <w:marLeft w:val="0"/>
      <w:marRight w:val="0"/>
      <w:marTop w:val="0"/>
      <w:marBottom w:val="0"/>
      <w:divBdr>
        <w:top w:val="none" w:sz="0" w:space="0" w:color="auto"/>
        <w:left w:val="none" w:sz="0" w:space="0" w:color="auto"/>
        <w:bottom w:val="none" w:sz="0" w:space="0" w:color="auto"/>
        <w:right w:val="none" w:sz="0" w:space="0" w:color="auto"/>
      </w:divBdr>
      <w:divsChild>
        <w:div w:id="2032755117">
          <w:marLeft w:val="0"/>
          <w:marRight w:val="0"/>
          <w:marTop w:val="0"/>
          <w:marBottom w:val="0"/>
          <w:divBdr>
            <w:top w:val="none" w:sz="0" w:space="0" w:color="auto"/>
            <w:left w:val="none" w:sz="0" w:space="0" w:color="auto"/>
            <w:bottom w:val="none" w:sz="0" w:space="0" w:color="auto"/>
            <w:right w:val="none" w:sz="0" w:space="0" w:color="auto"/>
          </w:divBdr>
        </w:div>
      </w:divsChild>
    </w:div>
    <w:div w:id="1454792030">
      <w:bodyDiv w:val="1"/>
      <w:marLeft w:val="0"/>
      <w:marRight w:val="0"/>
      <w:marTop w:val="0"/>
      <w:marBottom w:val="0"/>
      <w:divBdr>
        <w:top w:val="none" w:sz="0" w:space="0" w:color="auto"/>
        <w:left w:val="none" w:sz="0" w:space="0" w:color="auto"/>
        <w:bottom w:val="none" w:sz="0" w:space="0" w:color="auto"/>
        <w:right w:val="none" w:sz="0" w:space="0" w:color="auto"/>
      </w:divBdr>
      <w:divsChild>
        <w:div w:id="359940076">
          <w:marLeft w:val="0"/>
          <w:marRight w:val="0"/>
          <w:marTop w:val="0"/>
          <w:marBottom w:val="0"/>
          <w:divBdr>
            <w:top w:val="none" w:sz="0" w:space="0" w:color="auto"/>
            <w:left w:val="none" w:sz="0" w:space="0" w:color="auto"/>
            <w:bottom w:val="none" w:sz="0" w:space="0" w:color="auto"/>
            <w:right w:val="none" w:sz="0" w:space="0" w:color="auto"/>
          </w:divBdr>
        </w:div>
        <w:div w:id="1141847011">
          <w:marLeft w:val="0"/>
          <w:marRight w:val="0"/>
          <w:marTop w:val="0"/>
          <w:marBottom w:val="0"/>
          <w:divBdr>
            <w:top w:val="none" w:sz="0" w:space="0" w:color="auto"/>
            <w:left w:val="none" w:sz="0" w:space="0" w:color="auto"/>
            <w:bottom w:val="none" w:sz="0" w:space="0" w:color="auto"/>
            <w:right w:val="none" w:sz="0" w:space="0" w:color="auto"/>
          </w:divBdr>
        </w:div>
        <w:div w:id="1561359256">
          <w:marLeft w:val="0"/>
          <w:marRight w:val="0"/>
          <w:marTop w:val="0"/>
          <w:marBottom w:val="225"/>
          <w:divBdr>
            <w:top w:val="none" w:sz="0" w:space="0" w:color="auto"/>
            <w:left w:val="none" w:sz="0" w:space="0" w:color="auto"/>
            <w:bottom w:val="none" w:sz="0" w:space="0" w:color="auto"/>
            <w:right w:val="none" w:sz="0" w:space="0" w:color="auto"/>
          </w:divBdr>
        </w:div>
      </w:divsChild>
    </w:div>
    <w:div w:id="1456172093">
      <w:bodyDiv w:val="1"/>
      <w:marLeft w:val="0"/>
      <w:marRight w:val="0"/>
      <w:marTop w:val="0"/>
      <w:marBottom w:val="0"/>
      <w:divBdr>
        <w:top w:val="none" w:sz="0" w:space="0" w:color="auto"/>
        <w:left w:val="none" w:sz="0" w:space="0" w:color="auto"/>
        <w:bottom w:val="none" w:sz="0" w:space="0" w:color="auto"/>
        <w:right w:val="none" w:sz="0" w:space="0" w:color="auto"/>
      </w:divBdr>
      <w:divsChild>
        <w:div w:id="987901663">
          <w:marLeft w:val="0"/>
          <w:marRight w:val="0"/>
          <w:marTop w:val="0"/>
          <w:marBottom w:val="150"/>
          <w:divBdr>
            <w:top w:val="none" w:sz="0" w:space="0" w:color="auto"/>
            <w:left w:val="none" w:sz="0" w:space="0" w:color="auto"/>
            <w:bottom w:val="none" w:sz="0" w:space="0" w:color="auto"/>
            <w:right w:val="none" w:sz="0" w:space="0" w:color="auto"/>
          </w:divBdr>
        </w:div>
        <w:div w:id="1125612928">
          <w:marLeft w:val="0"/>
          <w:marRight w:val="0"/>
          <w:marTop w:val="0"/>
          <w:marBottom w:val="0"/>
          <w:divBdr>
            <w:top w:val="none" w:sz="0" w:space="0" w:color="auto"/>
            <w:left w:val="none" w:sz="0" w:space="0" w:color="auto"/>
            <w:bottom w:val="none" w:sz="0" w:space="0" w:color="auto"/>
            <w:right w:val="none" w:sz="0" w:space="0" w:color="auto"/>
          </w:divBdr>
          <w:divsChild>
            <w:div w:id="1572078147">
              <w:marLeft w:val="0"/>
              <w:marRight w:val="0"/>
              <w:marTop w:val="0"/>
              <w:marBottom w:val="0"/>
              <w:divBdr>
                <w:top w:val="none" w:sz="0" w:space="0" w:color="auto"/>
                <w:left w:val="none" w:sz="0" w:space="0" w:color="auto"/>
                <w:bottom w:val="none" w:sz="0" w:space="0" w:color="auto"/>
                <w:right w:val="none" w:sz="0" w:space="0" w:color="auto"/>
              </w:divBdr>
            </w:div>
          </w:divsChild>
        </w:div>
        <w:div w:id="2056541925">
          <w:marLeft w:val="0"/>
          <w:marRight w:val="0"/>
          <w:marTop w:val="0"/>
          <w:marBottom w:val="150"/>
          <w:divBdr>
            <w:top w:val="none" w:sz="0" w:space="0" w:color="auto"/>
            <w:left w:val="none" w:sz="0" w:space="0" w:color="auto"/>
            <w:bottom w:val="none" w:sz="0" w:space="0" w:color="auto"/>
            <w:right w:val="none" w:sz="0" w:space="0" w:color="auto"/>
          </w:divBdr>
          <w:divsChild>
            <w:div w:id="69273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633208">
      <w:bodyDiv w:val="1"/>
      <w:marLeft w:val="0"/>
      <w:marRight w:val="0"/>
      <w:marTop w:val="0"/>
      <w:marBottom w:val="0"/>
      <w:divBdr>
        <w:top w:val="none" w:sz="0" w:space="0" w:color="auto"/>
        <w:left w:val="none" w:sz="0" w:space="0" w:color="auto"/>
        <w:bottom w:val="none" w:sz="0" w:space="0" w:color="auto"/>
        <w:right w:val="none" w:sz="0" w:space="0" w:color="auto"/>
      </w:divBdr>
      <w:divsChild>
        <w:div w:id="361905946">
          <w:marLeft w:val="0"/>
          <w:marRight w:val="0"/>
          <w:marTop w:val="0"/>
          <w:marBottom w:val="150"/>
          <w:divBdr>
            <w:top w:val="none" w:sz="0" w:space="0" w:color="auto"/>
            <w:left w:val="none" w:sz="0" w:space="0" w:color="auto"/>
            <w:bottom w:val="none" w:sz="0" w:space="0" w:color="auto"/>
            <w:right w:val="none" w:sz="0" w:space="0" w:color="auto"/>
          </w:divBdr>
        </w:div>
      </w:divsChild>
    </w:div>
    <w:div w:id="1458259485">
      <w:bodyDiv w:val="1"/>
      <w:marLeft w:val="0"/>
      <w:marRight w:val="0"/>
      <w:marTop w:val="0"/>
      <w:marBottom w:val="0"/>
      <w:divBdr>
        <w:top w:val="none" w:sz="0" w:space="0" w:color="auto"/>
        <w:left w:val="none" w:sz="0" w:space="0" w:color="auto"/>
        <w:bottom w:val="none" w:sz="0" w:space="0" w:color="auto"/>
        <w:right w:val="none" w:sz="0" w:space="0" w:color="auto"/>
      </w:divBdr>
    </w:div>
    <w:div w:id="1458375712">
      <w:bodyDiv w:val="1"/>
      <w:marLeft w:val="0"/>
      <w:marRight w:val="0"/>
      <w:marTop w:val="0"/>
      <w:marBottom w:val="0"/>
      <w:divBdr>
        <w:top w:val="none" w:sz="0" w:space="0" w:color="auto"/>
        <w:left w:val="none" w:sz="0" w:space="0" w:color="auto"/>
        <w:bottom w:val="none" w:sz="0" w:space="0" w:color="auto"/>
        <w:right w:val="none" w:sz="0" w:space="0" w:color="auto"/>
      </w:divBdr>
      <w:divsChild>
        <w:div w:id="1798572442">
          <w:marLeft w:val="0"/>
          <w:marRight w:val="0"/>
          <w:marTop w:val="0"/>
          <w:marBottom w:val="150"/>
          <w:divBdr>
            <w:top w:val="none" w:sz="0" w:space="0" w:color="auto"/>
            <w:left w:val="none" w:sz="0" w:space="0" w:color="auto"/>
            <w:bottom w:val="none" w:sz="0" w:space="0" w:color="auto"/>
            <w:right w:val="none" w:sz="0" w:space="0" w:color="auto"/>
          </w:divBdr>
          <w:divsChild>
            <w:div w:id="821315652">
              <w:marLeft w:val="0"/>
              <w:marRight w:val="0"/>
              <w:marTop w:val="0"/>
              <w:marBottom w:val="0"/>
              <w:divBdr>
                <w:top w:val="none" w:sz="0" w:space="0" w:color="auto"/>
                <w:left w:val="none" w:sz="0" w:space="0" w:color="auto"/>
                <w:bottom w:val="none" w:sz="0" w:space="0" w:color="auto"/>
                <w:right w:val="none" w:sz="0" w:space="0" w:color="auto"/>
              </w:divBdr>
              <w:divsChild>
                <w:div w:id="186262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92191">
          <w:marLeft w:val="0"/>
          <w:marRight w:val="0"/>
          <w:marTop w:val="0"/>
          <w:marBottom w:val="0"/>
          <w:divBdr>
            <w:top w:val="none" w:sz="0" w:space="0" w:color="auto"/>
            <w:left w:val="none" w:sz="0" w:space="0" w:color="auto"/>
            <w:bottom w:val="none" w:sz="0" w:space="0" w:color="auto"/>
            <w:right w:val="none" w:sz="0" w:space="0" w:color="auto"/>
          </w:divBdr>
          <w:divsChild>
            <w:div w:id="1209489107">
              <w:marLeft w:val="0"/>
              <w:marRight w:val="0"/>
              <w:marTop w:val="0"/>
              <w:marBottom w:val="0"/>
              <w:divBdr>
                <w:top w:val="none" w:sz="0" w:space="0" w:color="auto"/>
                <w:left w:val="none" w:sz="0" w:space="0" w:color="auto"/>
                <w:bottom w:val="none" w:sz="0" w:space="0" w:color="auto"/>
                <w:right w:val="none" w:sz="0" w:space="0" w:color="auto"/>
              </w:divBdr>
              <w:divsChild>
                <w:div w:id="909538240">
                  <w:marLeft w:val="0"/>
                  <w:marRight w:val="0"/>
                  <w:marTop w:val="225"/>
                  <w:marBottom w:val="225"/>
                  <w:divBdr>
                    <w:top w:val="none" w:sz="0" w:space="0" w:color="auto"/>
                    <w:left w:val="none" w:sz="0" w:space="0" w:color="auto"/>
                    <w:bottom w:val="none" w:sz="0" w:space="0" w:color="auto"/>
                    <w:right w:val="none" w:sz="0" w:space="0" w:color="auto"/>
                  </w:divBdr>
                </w:div>
              </w:divsChild>
            </w:div>
            <w:div w:id="19315480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58597050">
      <w:bodyDiv w:val="1"/>
      <w:marLeft w:val="0"/>
      <w:marRight w:val="0"/>
      <w:marTop w:val="0"/>
      <w:marBottom w:val="0"/>
      <w:divBdr>
        <w:top w:val="none" w:sz="0" w:space="0" w:color="auto"/>
        <w:left w:val="none" w:sz="0" w:space="0" w:color="auto"/>
        <w:bottom w:val="none" w:sz="0" w:space="0" w:color="auto"/>
        <w:right w:val="none" w:sz="0" w:space="0" w:color="auto"/>
      </w:divBdr>
      <w:divsChild>
        <w:div w:id="1074818505">
          <w:marLeft w:val="0"/>
          <w:marRight w:val="0"/>
          <w:marTop w:val="0"/>
          <w:marBottom w:val="0"/>
          <w:divBdr>
            <w:top w:val="none" w:sz="0" w:space="0" w:color="auto"/>
            <w:left w:val="none" w:sz="0" w:space="0" w:color="auto"/>
            <w:bottom w:val="dotted" w:sz="6" w:space="4" w:color="DDDDDD"/>
            <w:right w:val="none" w:sz="0" w:space="0" w:color="auto"/>
          </w:divBdr>
        </w:div>
      </w:divsChild>
    </w:div>
    <w:div w:id="1458839968">
      <w:bodyDiv w:val="1"/>
      <w:marLeft w:val="0"/>
      <w:marRight w:val="0"/>
      <w:marTop w:val="0"/>
      <w:marBottom w:val="0"/>
      <w:divBdr>
        <w:top w:val="none" w:sz="0" w:space="0" w:color="auto"/>
        <w:left w:val="none" w:sz="0" w:space="0" w:color="auto"/>
        <w:bottom w:val="none" w:sz="0" w:space="0" w:color="auto"/>
        <w:right w:val="none" w:sz="0" w:space="0" w:color="auto"/>
      </w:divBdr>
      <w:divsChild>
        <w:div w:id="83721897">
          <w:marLeft w:val="0"/>
          <w:marRight w:val="0"/>
          <w:marTop w:val="0"/>
          <w:marBottom w:val="0"/>
          <w:divBdr>
            <w:top w:val="none" w:sz="0" w:space="0" w:color="auto"/>
            <w:left w:val="none" w:sz="0" w:space="0" w:color="auto"/>
            <w:bottom w:val="none" w:sz="0" w:space="0" w:color="auto"/>
            <w:right w:val="none" w:sz="0" w:space="0" w:color="auto"/>
          </w:divBdr>
          <w:divsChild>
            <w:div w:id="14494703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59760962">
      <w:bodyDiv w:val="1"/>
      <w:marLeft w:val="0"/>
      <w:marRight w:val="0"/>
      <w:marTop w:val="0"/>
      <w:marBottom w:val="0"/>
      <w:divBdr>
        <w:top w:val="none" w:sz="0" w:space="0" w:color="auto"/>
        <w:left w:val="none" w:sz="0" w:space="0" w:color="auto"/>
        <w:bottom w:val="none" w:sz="0" w:space="0" w:color="auto"/>
        <w:right w:val="none" w:sz="0" w:space="0" w:color="auto"/>
      </w:divBdr>
    </w:div>
    <w:div w:id="1459765208">
      <w:bodyDiv w:val="1"/>
      <w:marLeft w:val="0"/>
      <w:marRight w:val="0"/>
      <w:marTop w:val="0"/>
      <w:marBottom w:val="0"/>
      <w:divBdr>
        <w:top w:val="none" w:sz="0" w:space="0" w:color="auto"/>
        <w:left w:val="none" w:sz="0" w:space="0" w:color="auto"/>
        <w:bottom w:val="none" w:sz="0" w:space="0" w:color="auto"/>
        <w:right w:val="none" w:sz="0" w:space="0" w:color="auto"/>
      </w:divBdr>
      <w:divsChild>
        <w:div w:id="696394506">
          <w:marLeft w:val="0"/>
          <w:marRight w:val="0"/>
          <w:marTop w:val="0"/>
          <w:marBottom w:val="0"/>
          <w:divBdr>
            <w:top w:val="none" w:sz="0" w:space="0" w:color="auto"/>
            <w:left w:val="none" w:sz="0" w:space="0" w:color="auto"/>
            <w:bottom w:val="dotted" w:sz="6" w:space="4" w:color="DDDDDD"/>
            <w:right w:val="none" w:sz="0" w:space="0" w:color="auto"/>
          </w:divBdr>
        </w:div>
      </w:divsChild>
    </w:div>
    <w:div w:id="1460025546">
      <w:bodyDiv w:val="1"/>
      <w:marLeft w:val="0"/>
      <w:marRight w:val="0"/>
      <w:marTop w:val="0"/>
      <w:marBottom w:val="0"/>
      <w:divBdr>
        <w:top w:val="none" w:sz="0" w:space="0" w:color="auto"/>
        <w:left w:val="none" w:sz="0" w:space="0" w:color="auto"/>
        <w:bottom w:val="none" w:sz="0" w:space="0" w:color="auto"/>
        <w:right w:val="none" w:sz="0" w:space="0" w:color="auto"/>
      </w:divBdr>
      <w:divsChild>
        <w:div w:id="592786988">
          <w:marLeft w:val="0"/>
          <w:marRight w:val="0"/>
          <w:marTop w:val="0"/>
          <w:marBottom w:val="0"/>
          <w:divBdr>
            <w:top w:val="none" w:sz="0" w:space="0" w:color="auto"/>
            <w:left w:val="none" w:sz="0" w:space="0" w:color="auto"/>
            <w:bottom w:val="dotted" w:sz="6" w:space="4" w:color="DDDDDD"/>
            <w:right w:val="none" w:sz="0" w:space="0" w:color="auto"/>
          </w:divBdr>
          <w:divsChild>
            <w:div w:id="98366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689539">
      <w:bodyDiv w:val="1"/>
      <w:marLeft w:val="0"/>
      <w:marRight w:val="0"/>
      <w:marTop w:val="0"/>
      <w:marBottom w:val="0"/>
      <w:divBdr>
        <w:top w:val="none" w:sz="0" w:space="0" w:color="auto"/>
        <w:left w:val="none" w:sz="0" w:space="0" w:color="auto"/>
        <w:bottom w:val="none" w:sz="0" w:space="0" w:color="auto"/>
        <w:right w:val="none" w:sz="0" w:space="0" w:color="auto"/>
      </w:divBdr>
      <w:divsChild>
        <w:div w:id="2117626773">
          <w:marLeft w:val="0"/>
          <w:marRight w:val="0"/>
          <w:marTop w:val="0"/>
          <w:marBottom w:val="150"/>
          <w:divBdr>
            <w:top w:val="none" w:sz="0" w:space="0" w:color="auto"/>
            <w:left w:val="none" w:sz="0" w:space="0" w:color="auto"/>
            <w:bottom w:val="none" w:sz="0" w:space="0" w:color="auto"/>
            <w:right w:val="none" w:sz="0" w:space="0" w:color="auto"/>
          </w:divBdr>
        </w:div>
      </w:divsChild>
    </w:div>
    <w:div w:id="1461222939">
      <w:bodyDiv w:val="1"/>
      <w:marLeft w:val="0"/>
      <w:marRight w:val="0"/>
      <w:marTop w:val="0"/>
      <w:marBottom w:val="0"/>
      <w:divBdr>
        <w:top w:val="none" w:sz="0" w:space="0" w:color="auto"/>
        <w:left w:val="none" w:sz="0" w:space="0" w:color="auto"/>
        <w:bottom w:val="none" w:sz="0" w:space="0" w:color="auto"/>
        <w:right w:val="none" w:sz="0" w:space="0" w:color="auto"/>
      </w:divBdr>
      <w:divsChild>
        <w:div w:id="1195390810">
          <w:marLeft w:val="0"/>
          <w:marRight w:val="0"/>
          <w:marTop w:val="0"/>
          <w:marBottom w:val="150"/>
          <w:divBdr>
            <w:top w:val="none" w:sz="0" w:space="0" w:color="auto"/>
            <w:left w:val="none" w:sz="0" w:space="0" w:color="auto"/>
            <w:bottom w:val="none" w:sz="0" w:space="0" w:color="auto"/>
            <w:right w:val="none" w:sz="0" w:space="0" w:color="auto"/>
          </w:divBdr>
          <w:divsChild>
            <w:div w:id="212545808">
              <w:marLeft w:val="0"/>
              <w:marRight w:val="0"/>
              <w:marTop w:val="0"/>
              <w:marBottom w:val="0"/>
              <w:divBdr>
                <w:top w:val="none" w:sz="0" w:space="0" w:color="auto"/>
                <w:left w:val="none" w:sz="0" w:space="0" w:color="auto"/>
                <w:bottom w:val="none" w:sz="0" w:space="0" w:color="auto"/>
                <w:right w:val="none" w:sz="0" w:space="0" w:color="auto"/>
              </w:divBdr>
              <w:divsChild>
                <w:div w:id="2133622676">
                  <w:marLeft w:val="0"/>
                  <w:marRight w:val="0"/>
                  <w:marTop w:val="0"/>
                  <w:marBottom w:val="0"/>
                  <w:divBdr>
                    <w:top w:val="none" w:sz="0" w:space="0" w:color="auto"/>
                    <w:left w:val="none" w:sz="0" w:space="0" w:color="auto"/>
                    <w:bottom w:val="none" w:sz="0" w:space="0" w:color="auto"/>
                    <w:right w:val="none" w:sz="0" w:space="0" w:color="auto"/>
                  </w:divBdr>
                  <w:divsChild>
                    <w:div w:id="703485274">
                      <w:marLeft w:val="0"/>
                      <w:marRight w:val="150"/>
                      <w:marTop w:val="0"/>
                      <w:marBottom w:val="0"/>
                      <w:divBdr>
                        <w:top w:val="none" w:sz="0" w:space="0" w:color="auto"/>
                        <w:left w:val="none" w:sz="0" w:space="0" w:color="auto"/>
                        <w:bottom w:val="none" w:sz="0" w:space="0" w:color="auto"/>
                        <w:right w:val="none" w:sz="0" w:space="0" w:color="auto"/>
                      </w:divBdr>
                      <w:divsChild>
                        <w:div w:id="121438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508217">
          <w:marLeft w:val="0"/>
          <w:marRight w:val="0"/>
          <w:marTop w:val="0"/>
          <w:marBottom w:val="150"/>
          <w:divBdr>
            <w:top w:val="none" w:sz="0" w:space="0" w:color="auto"/>
            <w:left w:val="none" w:sz="0" w:space="0" w:color="auto"/>
            <w:bottom w:val="none" w:sz="0" w:space="0" w:color="auto"/>
            <w:right w:val="none" w:sz="0" w:space="0" w:color="auto"/>
          </w:divBdr>
        </w:div>
        <w:div w:id="83963582">
          <w:marLeft w:val="0"/>
          <w:marRight w:val="0"/>
          <w:marTop w:val="0"/>
          <w:marBottom w:val="0"/>
          <w:divBdr>
            <w:top w:val="none" w:sz="0" w:space="0" w:color="auto"/>
            <w:left w:val="none" w:sz="0" w:space="0" w:color="auto"/>
            <w:bottom w:val="none" w:sz="0" w:space="0" w:color="auto"/>
            <w:right w:val="none" w:sz="0" w:space="0" w:color="auto"/>
          </w:divBdr>
          <w:divsChild>
            <w:div w:id="5631054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61417527">
      <w:bodyDiv w:val="1"/>
      <w:marLeft w:val="0"/>
      <w:marRight w:val="0"/>
      <w:marTop w:val="0"/>
      <w:marBottom w:val="0"/>
      <w:divBdr>
        <w:top w:val="none" w:sz="0" w:space="0" w:color="auto"/>
        <w:left w:val="none" w:sz="0" w:space="0" w:color="auto"/>
        <w:bottom w:val="none" w:sz="0" w:space="0" w:color="auto"/>
        <w:right w:val="none" w:sz="0" w:space="0" w:color="auto"/>
      </w:divBdr>
      <w:divsChild>
        <w:div w:id="728384589">
          <w:marLeft w:val="0"/>
          <w:marRight w:val="0"/>
          <w:marTop w:val="0"/>
          <w:marBottom w:val="0"/>
          <w:divBdr>
            <w:top w:val="none" w:sz="0" w:space="0" w:color="auto"/>
            <w:left w:val="none" w:sz="0" w:space="0" w:color="auto"/>
            <w:bottom w:val="none" w:sz="0" w:space="0" w:color="auto"/>
            <w:right w:val="none" w:sz="0" w:space="0" w:color="auto"/>
          </w:divBdr>
        </w:div>
        <w:div w:id="1036855658">
          <w:marLeft w:val="0"/>
          <w:marRight w:val="0"/>
          <w:marTop w:val="0"/>
          <w:marBottom w:val="0"/>
          <w:divBdr>
            <w:top w:val="none" w:sz="0" w:space="0" w:color="auto"/>
            <w:left w:val="none" w:sz="0" w:space="0" w:color="auto"/>
            <w:bottom w:val="none" w:sz="0" w:space="0" w:color="auto"/>
            <w:right w:val="none" w:sz="0" w:space="0" w:color="auto"/>
          </w:divBdr>
          <w:divsChild>
            <w:div w:id="1971013949">
              <w:marLeft w:val="0"/>
              <w:marRight w:val="0"/>
              <w:marTop w:val="0"/>
              <w:marBottom w:val="0"/>
              <w:divBdr>
                <w:top w:val="none" w:sz="0" w:space="0" w:color="auto"/>
                <w:left w:val="none" w:sz="0" w:space="0" w:color="auto"/>
                <w:bottom w:val="none" w:sz="0" w:space="0" w:color="auto"/>
                <w:right w:val="none" w:sz="0" w:space="0" w:color="auto"/>
              </w:divBdr>
              <w:divsChild>
                <w:div w:id="138490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sChild>
        <w:div w:id="1811168065">
          <w:marLeft w:val="0"/>
          <w:marRight w:val="0"/>
          <w:marTop w:val="0"/>
          <w:marBottom w:val="0"/>
          <w:divBdr>
            <w:top w:val="none" w:sz="0" w:space="0" w:color="auto"/>
            <w:left w:val="none" w:sz="0" w:space="0" w:color="auto"/>
            <w:bottom w:val="none" w:sz="0" w:space="0" w:color="auto"/>
            <w:right w:val="none" w:sz="0" w:space="0" w:color="auto"/>
          </w:divBdr>
          <w:divsChild>
            <w:div w:id="2039811469">
              <w:marLeft w:val="0"/>
              <w:marRight w:val="0"/>
              <w:marTop w:val="0"/>
              <w:marBottom w:val="0"/>
              <w:divBdr>
                <w:top w:val="none" w:sz="0" w:space="0" w:color="auto"/>
                <w:left w:val="none" w:sz="0" w:space="0" w:color="auto"/>
                <w:bottom w:val="none" w:sz="0" w:space="0" w:color="auto"/>
                <w:right w:val="none" w:sz="0" w:space="0" w:color="auto"/>
              </w:divBdr>
              <w:divsChild>
                <w:div w:id="1970696029">
                  <w:marLeft w:val="0"/>
                  <w:marRight w:val="0"/>
                  <w:marTop w:val="0"/>
                  <w:marBottom w:val="0"/>
                  <w:divBdr>
                    <w:top w:val="none" w:sz="0" w:space="0" w:color="auto"/>
                    <w:left w:val="none" w:sz="0" w:space="0" w:color="auto"/>
                    <w:bottom w:val="none" w:sz="0" w:space="0" w:color="auto"/>
                    <w:right w:val="none" w:sz="0" w:space="0" w:color="auto"/>
                  </w:divBdr>
                  <w:divsChild>
                    <w:div w:id="1496460611">
                      <w:marLeft w:val="0"/>
                      <w:marRight w:val="0"/>
                      <w:marTop w:val="0"/>
                      <w:marBottom w:val="0"/>
                      <w:divBdr>
                        <w:top w:val="none" w:sz="0" w:space="0" w:color="auto"/>
                        <w:left w:val="none" w:sz="0" w:space="0" w:color="auto"/>
                        <w:bottom w:val="none" w:sz="0" w:space="0" w:color="auto"/>
                        <w:right w:val="none" w:sz="0" w:space="0" w:color="auto"/>
                      </w:divBdr>
                      <w:divsChild>
                        <w:div w:id="35199197">
                          <w:marLeft w:val="0"/>
                          <w:marRight w:val="0"/>
                          <w:marTop w:val="0"/>
                          <w:marBottom w:val="0"/>
                          <w:divBdr>
                            <w:top w:val="none" w:sz="0" w:space="0" w:color="auto"/>
                            <w:left w:val="none" w:sz="0" w:space="0" w:color="auto"/>
                            <w:bottom w:val="none" w:sz="0" w:space="0" w:color="auto"/>
                            <w:right w:val="none" w:sz="0" w:space="0" w:color="auto"/>
                          </w:divBdr>
                          <w:divsChild>
                            <w:div w:id="2013676459">
                              <w:marLeft w:val="0"/>
                              <w:marRight w:val="0"/>
                              <w:marTop w:val="0"/>
                              <w:marBottom w:val="0"/>
                              <w:divBdr>
                                <w:top w:val="none" w:sz="0" w:space="0" w:color="auto"/>
                                <w:left w:val="none" w:sz="0" w:space="0" w:color="auto"/>
                                <w:bottom w:val="none" w:sz="0" w:space="0" w:color="auto"/>
                                <w:right w:val="none" w:sz="0" w:space="0" w:color="auto"/>
                              </w:divBdr>
                              <w:divsChild>
                                <w:div w:id="1151095029">
                                  <w:marLeft w:val="0"/>
                                  <w:marRight w:val="0"/>
                                  <w:marTop w:val="0"/>
                                  <w:marBottom w:val="0"/>
                                  <w:divBdr>
                                    <w:top w:val="none" w:sz="0" w:space="0" w:color="auto"/>
                                    <w:left w:val="none" w:sz="0" w:space="0" w:color="auto"/>
                                    <w:bottom w:val="none" w:sz="0" w:space="0" w:color="auto"/>
                                    <w:right w:val="none" w:sz="0" w:space="0" w:color="auto"/>
                                  </w:divBdr>
                                  <w:divsChild>
                                    <w:div w:id="143301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651400">
      <w:bodyDiv w:val="1"/>
      <w:marLeft w:val="0"/>
      <w:marRight w:val="0"/>
      <w:marTop w:val="0"/>
      <w:marBottom w:val="0"/>
      <w:divBdr>
        <w:top w:val="none" w:sz="0" w:space="0" w:color="auto"/>
        <w:left w:val="none" w:sz="0" w:space="0" w:color="auto"/>
        <w:bottom w:val="none" w:sz="0" w:space="0" w:color="auto"/>
        <w:right w:val="none" w:sz="0" w:space="0" w:color="auto"/>
      </w:divBdr>
      <w:divsChild>
        <w:div w:id="456141595">
          <w:marLeft w:val="0"/>
          <w:marRight w:val="0"/>
          <w:marTop w:val="0"/>
          <w:marBottom w:val="375"/>
          <w:divBdr>
            <w:top w:val="none" w:sz="0" w:space="0" w:color="auto"/>
            <w:left w:val="none" w:sz="0" w:space="0" w:color="auto"/>
            <w:bottom w:val="dotted" w:sz="6" w:space="14" w:color="C2C2C2"/>
            <w:right w:val="none" w:sz="0" w:space="0" w:color="auto"/>
          </w:divBdr>
          <w:divsChild>
            <w:div w:id="1372457805">
              <w:marLeft w:val="0"/>
              <w:marRight w:val="0"/>
              <w:marTop w:val="0"/>
              <w:marBottom w:val="0"/>
              <w:divBdr>
                <w:top w:val="none" w:sz="0" w:space="0" w:color="auto"/>
                <w:left w:val="none" w:sz="0" w:space="0" w:color="auto"/>
                <w:bottom w:val="none" w:sz="0" w:space="0" w:color="auto"/>
                <w:right w:val="none" w:sz="0" w:space="0" w:color="auto"/>
              </w:divBdr>
              <w:divsChild>
                <w:div w:id="2018579629">
                  <w:marLeft w:val="0"/>
                  <w:marRight w:val="0"/>
                  <w:marTop w:val="0"/>
                  <w:marBottom w:val="0"/>
                  <w:divBdr>
                    <w:top w:val="none" w:sz="0" w:space="0" w:color="auto"/>
                    <w:left w:val="none" w:sz="0" w:space="0" w:color="auto"/>
                    <w:bottom w:val="none" w:sz="0" w:space="0" w:color="auto"/>
                    <w:right w:val="none" w:sz="0" w:space="0" w:color="auto"/>
                  </w:divBdr>
                  <w:divsChild>
                    <w:div w:id="980499310">
                      <w:marLeft w:val="0"/>
                      <w:marRight w:val="0"/>
                      <w:marTop w:val="0"/>
                      <w:marBottom w:val="0"/>
                      <w:divBdr>
                        <w:top w:val="none" w:sz="0" w:space="0" w:color="auto"/>
                        <w:left w:val="none" w:sz="0" w:space="0" w:color="auto"/>
                        <w:bottom w:val="none" w:sz="0" w:space="0" w:color="auto"/>
                        <w:right w:val="none" w:sz="0" w:space="0" w:color="auto"/>
                      </w:divBdr>
                      <w:divsChild>
                        <w:div w:id="2103255974">
                          <w:marLeft w:val="0"/>
                          <w:marRight w:val="0"/>
                          <w:marTop w:val="0"/>
                          <w:marBottom w:val="0"/>
                          <w:divBdr>
                            <w:top w:val="none" w:sz="0" w:space="0" w:color="auto"/>
                            <w:left w:val="none" w:sz="0" w:space="0" w:color="auto"/>
                            <w:bottom w:val="none" w:sz="0" w:space="0" w:color="auto"/>
                            <w:right w:val="none" w:sz="0" w:space="0" w:color="auto"/>
                          </w:divBdr>
                          <w:divsChild>
                            <w:div w:id="164123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739770">
              <w:marLeft w:val="0"/>
              <w:marRight w:val="0"/>
              <w:marTop w:val="0"/>
              <w:marBottom w:val="180"/>
              <w:divBdr>
                <w:top w:val="none" w:sz="0" w:space="0" w:color="auto"/>
                <w:left w:val="none" w:sz="0" w:space="0" w:color="auto"/>
                <w:bottom w:val="none" w:sz="0" w:space="0" w:color="auto"/>
                <w:right w:val="none" w:sz="0" w:space="0" w:color="auto"/>
              </w:divBdr>
            </w:div>
          </w:divsChild>
        </w:div>
        <w:div w:id="803810259">
          <w:marLeft w:val="0"/>
          <w:marRight w:val="0"/>
          <w:marTop w:val="0"/>
          <w:marBottom w:val="450"/>
          <w:divBdr>
            <w:top w:val="none" w:sz="0" w:space="0" w:color="auto"/>
            <w:left w:val="none" w:sz="0" w:space="0" w:color="auto"/>
            <w:bottom w:val="none" w:sz="0" w:space="0" w:color="auto"/>
            <w:right w:val="none" w:sz="0" w:space="0" w:color="auto"/>
          </w:divBdr>
          <w:divsChild>
            <w:div w:id="302543871">
              <w:marLeft w:val="0"/>
              <w:marRight w:val="0"/>
              <w:marTop w:val="0"/>
              <w:marBottom w:val="0"/>
              <w:divBdr>
                <w:top w:val="none" w:sz="0" w:space="0" w:color="auto"/>
                <w:left w:val="none" w:sz="0" w:space="0" w:color="auto"/>
                <w:bottom w:val="none" w:sz="0" w:space="0" w:color="auto"/>
                <w:right w:val="none" w:sz="0" w:space="0" w:color="auto"/>
              </w:divBdr>
              <w:divsChild>
                <w:div w:id="1824352464">
                  <w:marLeft w:val="0"/>
                  <w:marRight w:val="0"/>
                  <w:marTop w:val="0"/>
                  <w:marBottom w:val="0"/>
                  <w:divBdr>
                    <w:top w:val="none" w:sz="0" w:space="0" w:color="auto"/>
                    <w:left w:val="none" w:sz="0" w:space="0" w:color="auto"/>
                    <w:bottom w:val="none" w:sz="0" w:space="0" w:color="auto"/>
                    <w:right w:val="none" w:sz="0" w:space="0" w:color="auto"/>
                  </w:divBdr>
                  <w:divsChild>
                    <w:div w:id="636644739">
                      <w:marLeft w:val="0"/>
                      <w:marRight w:val="0"/>
                      <w:marTop w:val="0"/>
                      <w:marBottom w:val="0"/>
                      <w:divBdr>
                        <w:top w:val="none" w:sz="0" w:space="0" w:color="auto"/>
                        <w:left w:val="none" w:sz="0" w:space="0" w:color="auto"/>
                        <w:bottom w:val="none" w:sz="0" w:space="0" w:color="auto"/>
                        <w:right w:val="none" w:sz="0" w:space="0" w:color="auto"/>
                      </w:divBdr>
                      <w:divsChild>
                        <w:div w:id="572009073">
                          <w:marLeft w:val="0"/>
                          <w:marRight w:val="0"/>
                          <w:marTop w:val="0"/>
                          <w:marBottom w:val="225"/>
                          <w:divBdr>
                            <w:top w:val="none" w:sz="0" w:space="0" w:color="auto"/>
                            <w:left w:val="none" w:sz="0" w:space="0" w:color="auto"/>
                            <w:bottom w:val="none" w:sz="0" w:space="0" w:color="auto"/>
                            <w:right w:val="none" w:sz="0" w:space="0" w:color="auto"/>
                          </w:divBdr>
                          <w:divsChild>
                            <w:div w:id="718211243">
                              <w:marLeft w:val="0"/>
                              <w:marRight w:val="0"/>
                              <w:marTop w:val="0"/>
                              <w:marBottom w:val="225"/>
                              <w:divBdr>
                                <w:top w:val="none" w:sz="0" w:space="0" w:color="auto"/>
                                <w:left w:val="none" w:sz="0" w:space="0" w:color="auto"/>
                                <w:bottom w:val="none" w:sz="0" w:space="0" w:color="auto"/>
                                <w:right w:val="none" w:sz="0" w:space="0" w:color="auto"/>
                              </w:divBdr>
                            </w:div>
                          </w:divsChild>
                        </w:div>
                        <w:div w:id="1001733812">
                          <w:marLeft w:val="0"/>
                          <w:marRight w:val="0"/>
                          <w:marTop w:val="0"/>
                          <w:marBottom w:val="225"/>
                          <w:divBdr>
                            <w:top w:val="none" w:sz="0" w:space="0" w:color="auto"/>
                            <w:left w:val="none" w:sz="0" w:space="0" w:color="auto"/>
                            <w:bottom w:val="none" w:sz="0" w:space="0" w:color="auto"/>
                            <w:right w:val="none" w:sz="0" w:space="0" w:color="auto"/>
                          </w:divBdr>
                        </w:div>
                      </w:divsChild>
                    </w:div>
                    <w:div w:id="675765726">
                      <w:marLeft w:val="0"/>
                      <w:marRight w:val="0"/>
                      <w:marTop w:val="0"/>
                      <w:marBottom w:val="0"/>
                      <w:divBdr>
                        <w:top w:val="none" w:sz="0" w:space="0" w:color="auto"/>
                        <w:left w:val="none" w:sz="0" w:space="0" w:color="auto"/>
                        <w:bottom w:val="none" w:sz="0" w:space="0" w:color="auto"/>
                        <w:right w:val="none" w:sz="0" w:space="0" w:color="auto"/>
                      </w:divBdr>
                      <w:divsChild>
                        <w:div w:id="1358778725">
                          <w:marLeft w:val="0"/>
                          <w:marRight w:val="0"/>
                          <w:marTop w:val="0"/>
                          <w:marBottom w:val="0"/>
                          <w:divBdr>
                            <w:top w:val="none" w:sz="0" w:space="0" w:color="auto"/>
                            <w:left w:val="none" w:sz="0" w:space="0" w:color="auto"/>
                            <w:bottom w:val="none" w:sz="0" w:space="0" w:color="auto"/>
                            <w:right w:val="none" w:sz="0" w:space="0" w:color="auto"/>
                          </w:divBdr>
                          <w:divsChild>
                            <w:div w:id="761223484">
                              <w:marLeft w:val="0"/>
                              <w:marRight w:val="0"/>
                              <w:marTop w:val="0"/>
                              <w:marBottom w:val="0"/>
                              <w:divBdr>
                                <w:top w:val="none" w:sz="0" w:space="0" w:color="auto"/>
                                <w:left w:val="none" w:sz="0" w:space="0" w:color="auto"/>
                                <w:bottom w:val="none" w:sz="0" w:space="0" w:color="auto"/>
                                <w:right w:val="none" w:sz="0" w:space="0" w:color="auto"/>
                              </w:divBdr>
                            </w:div>
                            <w:div w:id="1088650361">
                              <w:marLeft w:val="0"/>
                              <w:marRight w:val="0"/>
                              <w:marTop w:val="0"/>
                              <w:marBottom w:val="0"/>
                              <w:divBdr>
                                <w:top w:val="none" w:sz="0" w:space="0" w:color="auto"/>
                                <w:left w:val="none" w:sz="0" w:space="0" w:color="auto"/>
                                <w:bottom w:val="none" w:sz="0" w:space="0" w:color="auto"/>
                                <w:right w:val="none" w:sz="0" w:space="0" w:color="auto"/>
                              </w:divBdr>
                            </w:div>
                            <w:div w:id="187356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730701">
      <w:bodyDiv w:val="1"/>
      <w:marLeft w:val="0"/>
      <w:marRight w:val="0"/>
      <w:marTop w:val="0"/>
      <w:marBottom w:val="0"/>
      <w:divBdr>
        <w:top w:val="none" w:sz="0" w:space="0" w:color="auto"/>
        <w:left w:val="none" w:sz="0" w:space="0" w:color="auto"/>
        <w:bottom w:val="none" w:sz="0" w:space="0" w:color="auto"/>
        <w:right w:val="none" w:sz="0" w:space="0" w:color="auto"/>
      </w:divBdr>
      <w:divsChild>
        <w:div w:id="1242636586">
          <w:marLeft w:val="0"/>
          <w:marRight w:val="0"/>
          <w:marTop w:val="0"/>
          <w:marBottom w:val="0"/>
          <w:divBdr>
            <w:top w:val="none" w:sz="0" w:space="0" w:color="auto"/>
            <w:left w:val="none" w:sz="0" w:space="0" w:color="auto"/>
            <w:bottom w:val="none" w:sz="0" w:space="0" w:color="auto"/>
            <w:right w:val="none" w:sz="0" w:space="0" w:color="auto"/>
          </w:divBdr>
          <w:divsChild>
            <w:div w:id="4074623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63574969">
      <w:bodyDiv w:val="1"/>
      <w:marLeft w:val="0"/>
      <w:marRight w:val="0"/>
      <w:marTop w:val="0"/>
      <w:marBottom w:val="0"/>
      <w:divBdr>
        <w:top w:val="none" w:sz="0" w:space="0" w:color="auto"/>
        <w:left w:val="none" w:sz="0" w:space="0" w:color="auto"/>
        <w:bottom w:val="none" w:sz="0" w:space="0" w:color="auto"/>
        <w:right w:val="none" w:sz="0" w:space="0" w:color="auto"/>
      </w:divBdr>
    </w:div>
    <w:div w:id="1464544745">
      <w:bodyDiv w:val="1"/>
      <w:marLeft w:val="0"/>
      <w:marRight w:val="0"/>
      <w:marTop w:val="0"/>
      <w:marBottom w:val="0"/>
      <w:divBdr>
        <w:top w:val="none" w:sz="0" w:space="0" w:color="auto"/>
        <w:left w:val="none" w:sz="0" w:space="0" w:color="auto"/>
        <w:bottom w:val="none" w:sz="0" w:space="0" w:color="auto"/>
        <w:right w:val="none" w:sz="0" w:space="0" w:color="auto"/>
      </w:divBdr>
    </w:div>
    <w:div w:id="1465007018">
      <w:bodyDiv w:val="1"/>
      <w:marLeft w:val="0"/>
      <w:marRight w:val="0"/>
      <w:marTop w:val="0"/>
      <w:marBottom w:val="0"/>
      <w:divBdr>
        <w:top w:val="none" w:sz="0" w:space="0" w:color="auto"/>
        <w:left w:val="none" w:sz="0" w:space="0" w:color="auto"/>
        <w:bottom w:val="none" w:sz="0" w:space="0" w:color="auto"/>
        <w:right w:val="none" w:sz="0" w:space="0" w:color="auto"/>
      </w:divBdr>
    </w:div>
    <w:div w:id="1465351470">
      <w:bodyDiv w:val="1"/>
      <w:marLeft w:val="0"/>
      <w:marRight w:val="0"/>
      <w:marTop w:val="0"/>
      <w:marBottom w:val="0"/>
      <w:divBdr>
        <w:top w:val="none" w:sz="0" w:space="0" w:color="auto"/>
        <w:left w:val="none" w:sz="0" w:space="0" w:color="auto"/>
        <w:bottom w:val="none" w:sz="0" w:space="0" w:color="auto"/>
        <w:right w:val="none" w:sz="0" w:space="0" w:color="auto"/>
      </w:divBdr>
      <w:divsChild>
        <w:div w:id="49576029">
          <w:marLeft w:val="0"/>
          <w:marRight w:val="0"/>
          <w:marTop w:val="0"/>
          <w:marBottom w:val="150"/>
          <w:divBdr>
            <w:top w:val="none" w:sz="0" w:space="0" w:color="auto"/>
            <w:left w:val="none" w:sz="0" w:space="0" w:color="auto"/>
            <w:bottom w:val="none" w:sz="0" w:space="0" w:color="auto"/>
            <w:right w:val="none" w:sz="0" w:space="0" w:color="auto"/>
          </w:divBdr>
          <w:divsChild>
            <w:div w:id="1110508751">
              <w:marLeft w:val="0"/>
              <w:marRight w:val="0"/>
              <w:marTop w:val="0"/>
              <w:marBottom w:val="0"/>
              <w:divBdr>
                <w:top w:val="none" w:sz="0" w:space="0" w:color="auto"/>
                <w:left w:val="none" w:sz="0" w:space="0" w:color="auto"/>
                <w:bottom w:val="none" w:sz="0" w:space="0" w:color="auto"/>
                <w:right w:val="none" w:sz="0" w:space="0" w:color="auto"/>
              </w:divBdr>
            </w:div>
          </w:divsChild>
        </w:div>
        <w:div w:id="519901211">
          <w:marLeft w:val="0"/>
          <w:marRight w:val="0"/>
          <w:marTop w:val="0"/>
          <w:marBottom w:val="0"/>
          <w:divBdr>
            <w:top w:val="none" w:sz="0" w:space="0" w:color="auto"/>
            <w:left w:val="none" w:sz="0" w:space="0" w:color="auto"/>
            <w:bottom w:val="none" w:sz="0" w:space="0" w:color="auto"/>
            <w:right w:val="none" w:sz="0" w:space="0" w:color="auto"/>
          </w:divBdr>
          <w:divsChild>
            <w:div w:id="438380954">
              <w:marLeft w:val="0"/>
              <w:marRight w:val="0"/>
              <w:marTop w:val="0"/>
              <w:marBottom w:val="0"/>
              <w:divBdr>
                <w:top w:val="none" w:sz="0" w:space="0" w:color="auto"/>
                <w:left w:val="none" w:sz="0" w:space="0" w:color="auto"/>
                <w:bottom w:val="none" w:sz="0" w:space="0" w:color="auto"/>
                <w:right w:val="none" w:sz="0" w:space="0" w:color="auto"/>
              </w:divBdr>
            </w:div>
            <w:div w:id="7324370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65804615">
      <w:bodyDiv w:val="1"/>
      <w:marLeft w:val="0"/>
      <w:marRight w:val="0"/>
      <w:marTop w:val="0"/>
      <w:marBottom w:val="0"/>
      <w:divBdr>
        <w:top w:val="none" w:sz="0" w:space="0" w:color="auto"/>
        <w:left w:val="none" w:sz="0" w:space="0" w:color="auto"/>
        <w:bottom w:val="none" w:sz="0" w:space="0" w:color="auto"/>
        <w:right w:val="none" w:sz="0" w:space="0" w:color="auto"/>
      </w:divBdr>
      <w:divsChild>
        <w:div w:id="1108237648">
          <w:marLeft w:val="0"/>
          <w:marRight w:val="0"/>
          <w:marTop w:val="0"/>
          <w:marBottom w:val="0"/>
          <w:divBdr>
            <w:top w:val="none" w:sz="0" w:space="0" w:color="auto"/>
            <w:left w:val="none" w:sz="0" w:space="0" w:color="auto"/>
            <w:bottom w:val="dotted" w:sz="6" w:space="4" w:color="DDDDDD"/>
            <w:right w:val="none" w:sz="0" w:space="0" w:color="auto"/>
          </w:divBdr>
          <w:divsChild>
            <w:div w:id="58854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92895">
      <w:bodyDiv w:val="1"/>
      <w:marLeft w:val="0"/>
      <w:marRight w:val="0"/>
      <w:marTop w:val="0"/>
      <w:marBottom w:val="0"/>
      <w:divBdr>
        <w:top w:val="none" w:sz="0" w:space="0" w:color="auto"/>
        <w:left w:val="none" w:sz="0" w:space="0" w:color="auto"/>
        <w:bottom w:val="none" w:sz="0" w:space="0" w:color="auto"/>
        <w:right w:val="none" w:sz="0" w:space="0" w:color="auto"/>
      </w:divBdr>
    </w:div>
    <w:div w:id="1466703281">
      <w:bodyDiv w:val="1"/>
      <w:marLeft w:val="0"/>
      <w:marRight w:val="0"/>
      <w:marTop w:val="0"/>
      <w:marBottom w:val="0"/>
      <w:divBdr>
        <w:top w:val="none" w:sz="0" w:space="0" w:color="auto"/>
        <w:left w:val="none" w:sz="0" w:space="0" w:color="auto"/>
        <w:bottom w:val="none" w:sz="0" w:space="0" w:color="auto"/>
        <w:right w:val="none" w:sz="0" w:space="0" w:color="auto"/>
      </w:divBdr>
      <w:divsChild>
        <w:div w:id="1832477295">
          <w:marLeft w:val="0"/>
          <w:marRight w:val="0"/>
          <w:marTop w:val="0"/>
          <w:marBottom w:val="0"/>
          <w:divBdr>
            <w:top w:val="none" w:sz="0" w:space="0" w:color="auto"/>
            <w:left w:val="none" w:sz="0" w:space="0" w:color="auto"/>
            <w:bottom w:val="none" w:sz="0" w:space="0" w:color="auto"/>
            <w:right w:val="none" w:sz="0" w:space="0" w:color="auto"/>
          </w:divBdr>
          <w:divsChild>
            <w:div w:id="19355555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66965577">
      <w:bodyDiv w:val="1"/>
      <w:marLeft w:val="0"/>
      <w:marRight w:val="0"/>
      <w:marTop w:val="0"/>
      <w:marBottom w:val="0"/>
      <w:divBdr>
        <w:top w:val="none" w:sz="0" w:space="0" w:color="auto"/>
        <w:left w:val="none" w:sz="0" w:space="0" w:color="auto"/>
        <w:bottom w:val="none" w:sz="0" w:space="0" w:color="auto"/>
        <w:right w:val="none" w:sz="0" w:space="0" w:color="auto"/>
      </w:divBdr>
      <w:divsChild>
        <w:div w:id="1541437060">
          <w:marLeft w:val="0"/>
          <w:marRight w:val="0"/>
          <w:marTop w:val="0"/>
          <w:marBottom w:val="0"/>
          <w:divBdr>
            <w:top w:val="none" w:sz="0" w:space="0" w:color="auto"/>
            <w:left w:val="none" w:sz="0" w:space="0" w:color="auto"/>
            <w:bottom w:val="none" w:sz="0" w:space="0" w:color="auto"/>
            <w:right w:val="none" w:sz="0" w:space="0" w:color="auto"/>
          </w:divBdr>
          <w:divsChild>
            <w:div w:id="281694770">
              <w:marLeft w:val="0"/>
              <w:marRight w:val="0"/>
              <w:marTop w:val="0"/>
              <w:marBottom w:val="0"/>
              <w:divBdr>
                <w:top w:val="none" w:sz="0" w:space="0" w:color="auto"/>
                <w:left w:val="none" w:sz="0" w:space="0" w:color="auto"/>
                <w:bottom w:val="none" w:sz="0" w:space="0" w:color="auto"/>
                <w:right w:val="none" w:sz="0" w:space="0" w:color="auto"/>
              </w:divBdr>
            </w:div>
          </w:divsChild>
        </w:div>
        <w:div w:id="1476339967">
          <w:marLeft w:val="0"/>
          <w:marRight w:val="0"/>
          <w:marTop w:val="240"/>
          <w:marBottom w:val="0"/>
          <w:divBdr>
            <w:top w:val="none" w:sz="0" w:space="0" w:color="auto"/>
            <w:left w:val="none" w:sz="0" w:space="0" w:color="auto"/>
            <w:bottom w:val="none" w:sz="0" w:space="0" w:color="auto"/>
            <w:right w:val="none" w:sz="0" w:space="0" w:color="auto"/>
          </w:divBdr>
        </w:div>
      </w:divsChild>
    </w:div>
    <w:div w:id="1467969380">
      <w:bodyDiv w:val="1"/>
      <w:marLeft w:val="0"/>
      <w:marRight w:val="0"/>
      <w:marTop w:val="0"/>
      <w:marBottom w:val="0"/>
      <w:divBdr>
        <w:top w:val="none" w:sz="0" w:space="0" w:color="auto"/>
        <w:left w:val="none" w:sz="0" w:space="0" w:color="auto"/>
        <w:bottom w:val="none" w:sz="0" w:space="0" w:color="auto"/>
        <w:right w:val="none" w:sz="0" w:space="0" w:color="auto"/>
      </w:divBdr>
    </w:div>
    <w:div w:id="1468208965">
      <w:bodyDiv w:val="1"/>
      <w:marLeft w:val="0"/>
      <w:marRight w:val="0"/>
      <w:marTop w:val="0"/>
      <w:marBottom w:val="0"/>
      <w:divBdr>
        <w:top w:val="none" w:sz="0" w:space="0" w:color="auto"/>
        <w:left w:val="none" w:sz="0" w:space="0" w:color="auto"/>
        <w:bottom w:val="none" w:sz="0" w:space="0" w:color="auto"/>
        <w:right w:val="none" w:sz="0" w:space="0" w:color="auto"/>
      </w:divBdr>
    </w:div>
    <w:div w:id="1468474178">
      <w:bodyDiv w:val="1"/>
      <w:marLeft w:val="0"/>
      <w:marRight w:val="0"/>
      <w:marTop w:val="0"/>
      <w:marBottom w:val="0"/>
      <w:divBdr>
        <w:top w:val="none" w:sz="0" w:space="0" w:color="auto"/>
        <w:left w:val="none" w:sz="0" w:space="0" w:color="auto"/>
        <w:bottom w:val="none" w:sz="0" w:space="0" w:color="auto"/>
        <w:right w:val="none" w:sz="0" w:space="0" w:color="auto"/>
      </w:divBdr>
    </w:div>
    <w:div w:id="1468551534">
      <w:bodyDiv w:val="1"/>
      <w:marLeft w:val="0"/>
      <w:marRight w:val="0"/>
      <w:marTop w:val="0"/>
      <w:marBottom w:val="0"/>
      <w:divBdr>
        <w:top w:val="none" w:sz="0" w:space="0" w:color="auto"/>
        <w:left w:val="none" w:sz="0" w:space="0" w:color="auto"/>
        <w:bottom w:val="none" w:sz="0" w:space="0" w:color="auto"/>
        <w:right w:val="none" w:sz="0" w:space="0" w:color="auto"/>
      </w:divBdr>
      <w:divsChild>
        <w:div w:id="901403980">
          <w:marLeft w:val="0"/>
          <w:marRight w:val="0"/>
          <w:marTop w:val="0"/>
          <w:marBottom w:val="0"/>
          <w:divBdr>
            <w:top w:val="none" w:sz="0" w:space="0" w:color="auto"/>
            <w:left w:val="none" w:sz="0" w:space="0" w:color="auto"/>
            <w:bottom w:val="none" w:sz="0" w:space="0" w:color="auto"/>
            <w:right w:val="none" w:sz="0" w:space="0" w:color="auto"/>
          </w:divBdr>
          <w:divsChild>
            <w:div w:id="1329092789">
              <w:marLeft w:val="0"/>
              <w:marRight w:val="0"/>
              <w:marTop w:val="225"/>
              <w:marBottom w:val="225"/>
              <w:divBdr>
                <w:top w:val="none" w:sz="0" w:space="0" w:color="auto"/>
                <w:left w:val="none" w:sz="0" w:space="0" w:color="auto"/>
                <w:bottom w:val="none" w:sz="0" w:space="0" w:color="auto"/>
                <w:right w:val="none" w:sz="0" w:space="0" w:color="auto"/>
              </w:divBdr>
            </w:div>
          </w:divsChild>
        </w:div>
        <w:div w:id="1314068080">
          <w:marLeft w:val="0"/>
          <w:marRight w:val="0"/>
          <w:marTop w:val="0"/>
          <w:marBottom w:val="150"/>
          <w:divBdr>
            <w:top w:val="none" w:sz="0" w:space="0" w:color="auto"/>
            <w:left w:val="none" w:sz="0" w:space="0" w:color="auto"/>
            <w:bottom w:val="none" w:sz="0" w:space="0" w:color="auto"/>
            <w:right w:val="none" w:sz="0" w:space="0" w:color="auto"/>
          </w:divBdr>
          <w:divsChild>
            <w:div w:id="1325010610">
              <w:marLeft w:val="0"/>
              <w:marRight w:val="0"/>
              <w:marTop w:val="0"/>
              <w:marBottom w:val="0"/>
              <w:divBdr>
                <w:top w:val="none" w:sz="0" w:space="0" w:color="auto"/>
                <w:left w:val="none" w:sz="0" w:space="0" w:color="auto"/>
                <w:bottom w:val="none" w:sz="0" w:space="0" w:color="auto"/>
                <w:right w:val="none" w:sz="0" w:space="0" w:color="auto"/>
              </w:divBdr>
              <w:divsChild>
                <w:div w:id="39231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972934">
          <w:marLeft w:val="0"/>
          <w:marRight w:val="0"/>
          <w:marTop w:val="0"/>
          <w:marBottom w:val="150"/>
          <w:divBdr>
            <w:top w:val="none" w:sz="0" w:space="0" w:color="auto"/>
            <w:left w:val="none" w:sz="0" w:space="0" w:color="auto"/>
            <w:bottom w:val="none" w:sz="0" w:space="0" w:color="auto"/>
            <w:right w:val="none" w:sz="0" w:space="0" w:color="auto"/>
          </w:divBdr>
        </w:div>
      </w:divsChild>
    </w:div>
    <w:div w:id="1469204240">
      <w:bodyDiv w:val="1"/>
      <w:marLeft w:val="0"/>
      <w:marRight w:val="0"/>
      <w:marTop w:val="0"/>
      <w:marBottom w:val="0"/>
      <w:divBdr>
        <w:top w:val="none" w:sz="0" w:space="0" w:color="auto"/>
        <w:left w:val="none" w:sz="0" w:space="0" w:color="auto"/>
        <w:bottom w:val="none" w:sz="0" w:space="0" w:color="auto"/>
        <w:right w:val="none" w:sz="0" w:space="0" w:color="auto"/>
      </w:divBdr>
      <w:divsChild>
        <w:div w:id="931937083">
          <w:marLeft w:val="0"/>
          <w:marRight w:val="0"/>
          <w:marTop w:val="0"/>
          <w:marBottom w:val="150"/>
          <w:divBdr>
            <w:top w:val="none" w:sz="0" w:space="0" w:color="auto"/>
            <w:left w:val="none" w:sz="0" w:space="0" w:color="auto"/>
            <w:bottom w:val="none" w:sz="0" w:space="0" w:color="auto"/>
            <w:right w:val="none" w:sz="0" w:space="0" w:color="auto"/>
          </w:divBdr>
        </w:div>
      </w:divsChild>
    </w:div>
    <w:div w:id="1469853959">
      <w:bodyDiv w:val="1"/>
      <w:marLeft w:val="0"/>
      <w:marRight w:val="0"/>
      <w:marTop w:val="0"/>
      <w:marBottom w:val="0"/>
      <w:divBdr>
        <w:top w:val="none" w:sz="0" w:space="0" w:color="auto"/>
        <w:left w:val="none" w:sz="0" w:space="0" w:color="auto"/>
        <w:bottom w:val="none" w:sz="0" w:space="0" w:color="auto"/>
        <w:right w:val="none" w:sz="0" w:space="0" w:color="auto"/>
      </w:divBdr>
      <w:divsChild>
        <w:div w:id="319583873">
          <w:marLeft w:val="0"/>
          <w:marRight w:val="0"/>
          <w:marTop w:val="0"/>
          <w:marBottom w:val="0"/>
          <w:divBdr>
            <w:top w:val="none" w:sz="0" w:space="0" w:color="auto"/>
            <w:left w:val="none" w:sz="0" w:space="0" w:color="auto"/>
            <w:bottom w:val="none" w:sz="0" w:space="0" w:color="auto"/>
            <w:right w:val="none" w:sz="0" w:space="0" w:color="auto"/>
          </w:divBdr>
          <w:divsChild>
            <w:div w:id="201386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434263">
      <w:bodyDiv w:val="1"/>
      <w:marLeft w:val="0"/>
      <w:marRight w:val="0"/>
      <w:marTop w:val="0"/>
      <w:marBottom w:val="0"/>
      <w:divBdr>
        <w:top w:val="none" w:sz="0" w:space="0" w:color="auto"/>
        <w:left w:val="none" w:sz="0" w:space="0" w:color="auto"/>
        <w:bottom w:val="none" w:sz="0" w:space="0" w:color="auto"/>
        <w:right w:val="none" w:sz="0" w:space="0" w:color="auto"/>
      </w:divBdr>
      <w:divsChild>
        <w:div w:id="32078363">
          <w:marLeft w:val="0"/>
          <w:marRight w:val="0"/>
          <w:marTop w:val="0"/>
          <w:marBottom w:val="150"/>
          <w:divBdr>
            <w:top w:val="none" w:sz="0" w:space="0" w:color="auto"/>
            <w:left w:val="none" w:sz="0" w:space="0" w:color="auto"/>
            <w:bottom w:val="none" w:sz="0" w:space="0" w:color="auto"/>
            <w:right w:val="none" w:sz="0" w:space="0" w:color="auto"/>
          </w:divBdr>
        </w:div>
        <w:div w:id="538855953">
          <w:marLeft w:val="0"/>
          <w:marRight w:val="0"/>
          <w:marTop w:val="0"/>
          <w:marBottom w:val="150"/>
          <w:divBdr>
            <w:top w:val="none" w:sz="0" w:space="0" w:color="auto"/>
            <w:left w:val="none" w:sz="0" w:space="0" w:color="auto"/>
            <w:bottom w:val="none" w:sz="0" w:space="0" w:color="auto"/>
            <w:right w:val="none" w:sz="0" w:space="0" w:color="auto"/>
          </w:divBdr>
          <w:divsChild>
            <w:div w:id="2085758379">
              <w:marLeft w:val="0"/>
              <w:marRight w:val="0"/>
              <w:marTop w:val="0"/>
              <w:marBottom w:val="0"/>
              <w:divBdr>
                <w:top w:val="none" w:sz="0" w:space="0" w:color="auto"/>
                <w:left w:val="none" w:sz="0" w:space="0" w:color="auto"/>
                <w:bottom w:val="none" w:sz="0" w:space="0" w:color="auto"/>
                <w:right w:val="none" w:sz="0" w:space="0" w:color="auto"/>
              </w:divBdr>
            </w:div>
          </w:divsChild>
        </w:div>
        <w:div w:id="692002934">
          <w:marLeft w:val="0"/>
          <w:marRight w:val="0"/>
          <w:marTop w:val="0"/>
          <w:marBottom w:val="0"/>
          <w:divBdr>
            <w:top w:val="none" w:sz="0" w:space="0" w:color="auto"/>
            <w:left w:val="none" w:sz="0" w:space="0" w:color="auto"/>
            <w:bottom w:val="none" w:sz="0" w:space="0" w:color="auto"/>
            <w:right w:val="none" w:sz="0" w:space="0" w:color="auto"/>
          </w:divBdr>
          <w:divsChild>
            <w:div w:id="39420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12828">
      <w:bodyDiv w:val="1"/>
      <w:marLeft w:val="0"/>
      <w:marRight w:val="0"/>
      <w:marTop w:val="0"/>
      <w:marBottom w:val="0"/>
      <w:divBdr>
        <w:top w:val="none" w:sz="0" w:space="0" w:color="auto"/>
        <w:left w:val="none" w:sz="0" w:space="0" w:color="auto"/>
        <w:bottom w:val="none" w:sz="0" w:space="0" w:color="auto"/>
        <w:right w:val="none" w:sz="0" w:space="0" w:color="auto"/>
      </w:divBdr>
    </w:div>
    <w:div w:id="1470585993">
      <w:bodyDiv w:val="1"/>
      <w:marLeft w:val="0"/>
      <w:marRight w:val="0"/>
      <w:marTop w:val="0"/>
      <w:marBottom w:val="0"/>
      <w:divBdr>
        <w:top w:val="none" w:sz="0" w:space="0" w:color="auto"/>
        <w:left w:val="none" w:sz="0" w:space="0" w:color="auto"/>
        <w:bottom w:val="none" w:sz="0" w:space="0" w:color="auto"/>
        <w:right w:val="none" w:sz="0" w:space="0" w:color="auto"/>
      </w:divBdr>
      <w:divsChild>
        <w:div w:id="43407875">
          <w:marLeft w:val="0"/>
          <w:marRight w:val="0"/>
          <w:marTop w:val="0"/>
          <w:marBottom w:val="150"/>
          <w:divBdr>
            <w:top w:val="none" w:sz="0" w:space="0" w:color="auto"/>
            <w:left w:val="none" w:sz="0" w:space="0" w:color="auto"/>
            <w:bottom w:val="none" w:sz="0" w:space="0" w:color="auto"/>
            <w:right w:val="none" w:sz="0" w:space="0" w:color="auto"/>
          </w:divBdr>
          <w:divsChild>
            <w:div w:id="2074156831">
              <w:marLeft w:val="0"/>
              <w:marRight w:val="0"/>
              <w:marTop w:val="0"/>
              <w:marBottom w:val="0"/>
              <w:divBdr>
                <w:top w:val="none" w:sz="0" w:space="0" w:color="auto"/>
                <w:left w:val="none" w:sz="0" w:space="0" w:color="auto"/>
                <w:bottom w:val="none" w:sz="0" w:space="0" w:color="auto"/>
                <w:right w:val="none" w:sz="0" w:space="0" w:color="auto"/>
              </w:divBdr>
            </w:div>
          </w:divsChild>
        </w:div>
        <w:div w:id="1029070536">
          <w:marLeft w:val="0"/>
          <w:marRight w:val="0"/>
          <w:marTop w:val="0"/>
          <w:marBottom w:val="150"/>
          <w:divBdr>
            <w:top w:val="none" w:sz="0" w:space="0" w:color="auto"/>
            <w:left w:val="none" w:sz="0" w:space="0" w:color="auto"/>
            <w:bottom w:val="none" w:sz="0" w:space="0" w:color="auto"/>
            <w:right w:val="none" w:sz="0" w:space="0" w:color="auto"/>
          </w:divBdr>
        </w:div>
        <w:div w:id="1726640392">
          <w:marLeft w:val="0"/>
          <w:marRight w:val="0"/>
          <w:marTop w:val="0"/>
          <w:marBottom w:val="0"/>
          <w:divBdr>
            <w:top w:val="none" w:sz="0" w:space="0" w:color="auto"/>
            <w:left w:val="none" w:sz="0" w:space="0" w:color="auto"/>
            <w:bottom w:val="none" w:sz="0" w:space="0" w:color="auto"/>
            <w:right w:val="none" w:sz="0" w:space="0" w:color="auto"/>
          </w:divBdr>
          <w:divsChild>
            <w:div w:id="122363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93192">
      <w:bodyDiv w:val="1"/>
      <w:marLeft w:val="0"/>
      <w:marRight w:val="0"/>
      <w:marTop w:val="0"/>
      <w:marBottom w:val="0"/>
      <w:divBdr>
        <w:top w:val="none" w:sz="0" w:space="0" w:color="auto"/>
        <w:left w:val="none" w:sz="0" w:space="0" w:color="auto"/>
        <w:bottom w:val="none" w:sz="0" w:space="0" w:color="auto"/>
        <w:right w:val="none" w:sz="0" w:space="0" w:color="auto"/>
      </w:divBdr>
    </w:div>
    <w:div w:id="1470660426">
      <w:bodyDiv w:val="1"/>
      <w:marLeft w:val="0"/>
      <w:marRight w:val="0"/>
      <w:marTop w:val="0"/>
      <w:marBottom w:val="0"/>
      <w:divBdr>
        <w:top w:val="none" w:sz="0" w:space="0" w:color="auto"/>
        <w:left w:val="none" w:sz="0" w:space="0" w:color="auto"/>
        <w:bottom w:val="none" w:sz="0" w:space="0" w:color="auto"/>
        <w:right w:val="none" w:sz="0" w:space="0" w:color="auto"/>
      </w:divBdr>
    </w:div>
    <w:div w:id="1470900033">
      <w:bodyDiv w:val="1"/>
      <w:marLeft w:val="0"/>
      <w:marRight w:val="0"/>
      <w:marTop w:val="0"/>
      <w:marBottom w:val="0"/>
      <w:divBdr>
        <w:top w:val="none" w:sz="0" w:space="0" w:color="auto"/>
        <w:left w:val="none" w:sz="0" w:space="0" w:color="auto"/>
        <w:bottom w:val="none" w:sz="0" w:space="0" w:color="auto"/>
        <w:right w:val="none" w:sz="0" w:space="0" w:color="auto"/>
      </w:divBdr>
      <w:divsChild>
        <w:div w:id="1292442618">
          <w:marLeft w:val="0"/>
          <w:marRight w:val="0"/>
          <w:marTop w:val="0"/>
          <w:marBottom w:val="150"/>
          <w:divBdr>
            <w:top w:val="none" w:sz="0" w:space="0" w:color="auto"/>
            <w:left w:val="none" w:sz="0" w:space="0" w:color="auto"/>
            <w:bottom w:val="none" w:sz="0" w:space="0" w:color="auto"/>
            <w:right w:val="none" w:sz="0" w:space="0" w:color="auto"/>
          </w:divBdr>
        </w:div>
      </w:divsChild>
    </w:div>
    <w:div w:id="1470978804">
      <w:bodyDiv w:val="1"/>
      <w:marLeft w:val="0"/>
      <w:marRight w:val="0"/>
      <w:marTop w:val="0"/>
      <w:marBottom w:val="0"/>
      <w:divBdr>
        <w:top w:val="none" w:sz="0" w:space="0" w:color="auto"/>
        <w:left w:val="none" w:sz="0" w:space="0" w:color="auto"/>
        <w:bottom w:val="none" w:sz="0" w:space="0" w:color="auto"/>
        <w:right w:val="none" w:sz="0" w:space="0" w:color="auto"/>
      </w:divBdr>
      <w:divsChild>
        <w:div w:id="1597053218">
          <w:marLeft w:val="0"/>
          <w:marRight w:val="0"/>
          <w:marTop w:val="0"/>
          <w:marBottom w:val="0"/>
          <w:divBdr>
            <w:top w:val="none" w:sz="0" w:space="0" w:color="auto"/>
            <w:left w:val="none" w:sz="0" w:space="0" w:color="auto"/>
            <w:bottom w:val="none" w:sz="0" w:space="0" w:color="auto"/>
            <w:right w:val="none" w:sz="0" w:space="0" w:color="auto"/>
          </w:divBdr>
          <w:divsChild>
            <w:div w:id="809707605">
              <w:marLeft w:val="0"/>
              <w:marRight w:val="0"/>
              <w:marTop w:val="0"/>
              <w:marBottom w:val="0"/>
              <w:divBdr>
                <w:top w:val="none" w:sz="0" w:space="0" w:color="auto"/>
                <w:left w:val="none" w:sz="0" w:space="0" w:color="auto"/>
                <w:bottom w:val="none" w:sz="0" w:space="0" w:color="auto"/>
                <w:right w:val="none" w:sz="0" w:space="0" w:color="auto"/>
              </w:divBdr>
            </w:div>
          </w:divsChild>
        </w:div>
        <w:div w:id="1207372071">
          <w:marLeft w:val="0"/>
          <w:marRight w:val="0"/>
          <w:marTop w:val="0"/>
          <w:marBottom w:val="0"/>
          <w:divBdr>
            <w:top w:val="none" w:sz="0" w:space="0" w:color="auto"/>
            <w:left w:val="none" w:sz="0" w:space="0" w:color="auto"/>
            <w:bottom w:val="none" w:sz="0" w:space="0" w:color="auto"/>
            <w:right w:val="none" w:sz="0" w:space="0" w:color="auto"/>
          </w:divBdr>
        </w:div>
        <w:div w:id="357126425">
          <w:marLeft w:val="0"/>
          <w:marRight w:val="0"/>
          <w:marTop w:val="0"/>
          <w:marBottom w:val="0"/>
          <w:divBdr>
            <w:top w:val="none" w:sz="0" w:space="0" w:color="auto"/>
            <w:left w:val="none" w:sz="0" w:space="0" w:color="auto"/>
            <w:bottom w:val="none" w:sz="0" w:space="0" w:color="auto"/>
            <w:right w:val="none" w:sz="0" w:space="0" w:color="auto"/>
          </w:divBdr>
          <w:divsChild>
            <w:div w:id="1231228292">
              <w:marLeft w:val="-225"/>
              <w:marRight w:val="-225"/>
              <w:marTop w:val="0"/>
              <w:marBottom w:val="0"/>
              <w:divBdr>
                <w:top w:val="none" w:sz="0" w:space="0" w:color="auto"/>
                <w:left w:val="none" w:sz="0" w:space="0" w:color="auto"/>
                <w:bottom w:val="none" w:sz="0" w:space="0" w:color="auto"/>
                <w:right w:val="none" w:sz="0" w:space="0" w:color="auto"/>
              </w:divBdr>
              <w:divsChild>
                <w:div w:id="1245532435">
                  <w:marLeft w:val="0"/>
                  <w:marRight w:val="0"/>
                  <w:marTop w:val="0"/>
                  <w:marBottom w:val="0"/>
                  <w:divBdr>
                    <w:top w:val="none" w:sz="0" w:space="0" w:color="auto"/>
                    <w:left w:val="none" w:sz="0" w:space="0" w:color="auto"/>
                    <w:bottom w:val="none" w:sz="0" w:space="0" w:color="auto"/>
                    <w:right w:val="single" w:sz="6" w:space="0" w:color="000000"/>
                  </w:divBdr>
                  <w:divsChild>
                    <w:div w:id="1903640385">
                      <w:marLeft w:val="0"/>
                      <w:marRight w:val="0"/>
                      <w:marTop w:val="0"/>
                      <w:marBottom w:val="0"/>
                      <w:divBdr>
                        <w:top w:val="none" w:sz="0" w:space="0" w:color="auto"/>
                        <w:left w:val="none" w:sz="0" w:space="0" w:color="auto"/>
                        <w:bottom w:val="none" w:sz="0" w:space="0" w:color="auto"/>
                        <w:right w:val="none" w:sz="0" w:space="0" w:color="auto"/>
                      </w:divBdr>
                      <w:divsChild>
                        <w:div w:id="951478531">
                          <w:marLeft w:val="0"/>
                          <w:marRight w:val="0"/>
                          <w:marTop w:val="0"/>
                          <w:marBottom w:val="0"/>
                          <w:divBdr>
                            <w:top w:val="none" w:sz="0" w:space="0" w:color="auto"/>
                            <w:left w:val="none" w:sz="0" w:space="0" w:color="auto"/>
                            <w:bottom w:val="none" w:sz="0" w:space="0" w:color="auto"/>
                            <w:right w:val="none" w:sz="0" w:space="0" w:color="auto"/>
                          </w:divBdr>
                        </w:div>
                        <w:div w:id="1009140414">
                          <w:marLeft w:val="0"/>
                          <w:marRight w:val="0"/>
                          <w:marTop w:val="0"/>
                          <w:marBottom w:val="0"/>
                          <w:divBdr>
                            <w:top w:val="none" w:sz="0" w:space="0" w:color="auto"/>
                            <w:left w:val="none" w:sz="0" w:space="0" w:color="auto"/>
                            <w:bottom w:val="none" w:sz="0" w:space="0" w:color="auto"/>
                            <w:right w:val="none" w:sz="0" w:space="0" w:color="auto"/>
                          </w:divBdr>
                        </w:div>
                        <w:div w:id="2115318078">
                          <w:marLeft w:val="0"/>
                          <w:marRight w:val="0"/>
                          <w:marTop w:val="0"/>
                          <w:marBottom w:val="0"/>
                          <w:divBdr>
                            <w:top w:val="none" w:sz="0" w:space="0" w:color="auto"/>
                            <w:left w:val="none" w:sz="0" w:space="0" w:color="auto"/>
                            <w:bottom w:val="none" w:sz="0" w:space="0" w:color="auto"/>
                            <w:right w:val="none" w:sz="0" w:space="0" w:color="auto"/>
                          </w:divBdr>
                        </w:div>
                        <w:div w:id="637883227">
                          <w:marLeft w:val="0"/>
                          <w:marRight w:val="0"/>
                          <w:marTop w:val="0"/>
                          <w:marBottom w:val="0"/>
                          <w:divBdr>
                            <w:top w:val="none" w:sz="0" w:space="0" w:color="auto"/>
                            <w:left w:val="none" w:sz="0" w:space="0" w:color="auto"/>
                            <w:bottom w:val="none" w:sz="0" w:space="0" w:color="auto"/>
                            <w:right w:val="none" w:sz="0" w:space="0" w:color="auto"/>
                          </w:divBdr>
                        </w:div>
                        <w:div w:id="205037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052990">
      <w:bodyDiv w:val="1"/>
      <w:marLeft w:val="0"/>
      <w:marRight w:val="0"/>
      <w:marTop w:val="0"/>
      <w:marBottom w:val="0"/>
      <w:divBdr>
        <w:top w:val="none" w:sz="0" w:space="0" w:color="auto"/>
        <w:left w:val="none" w:sz="0" w:space="0" w:color="auto"/>
        <w:bottom w:val="none" w:sz="0" w:space="0" w:color="auto"/>
        <w:right w:val="none" w:sz="0" w:space="0" w:color="auto"/>
      </w:divBdr>
      <w:divsChild>
        <w:div w:id="995113497">
          <w:marLeft w:val="0"/>
          <w:marRight w:val="0"/>
          <w:marTop w:val="0"/>
          <w:marBottom w:val="0"/>
          <w:divBdr>
            <w:top w:val="none" w:sz="0" w:space="0" w:color="auto"/>
            <w:left w:val="none" w:sz="0" w:space="0" w:color="auto"/>
            <w:bottom w:val="none" w:sz="0" w:space="0" w:color="auto"/>
            <w:right w:val="none" w:sz="0" w:space="0" w:color="auto"/>
          </w:divBdr>
          <w:divsChild>
            <w:div w:id="128133918">
              <w:marLeft w:val="0"/>
              <w:marRight w:val="0"/>
              <w:marTop w:val="0"/>
              <w:marBottom w:val="0"/>
              <w:divBdr>
                <w:top w:val="none" w:sz="0" w:space="0" w:color="auto"/>
                <w:left w:val="none" w:sz="0" w:space="0" w:color="auto"/>
                <w:bottom w:val="none" w:sz="0" w:space="0" w:color="auto"/>
                <w:right w:val="none" w:sz="0" w:space="0" w:color="auto"/>
              </w:divBdr>
              <w:divsChild>
                <w:div w:id="329331015">
                  <w:marLeft w:val="0"/>
                  <w:marRight w:val="0"/>
                  <w:marTop w:val="0"/>
                  <w:marBottom w:val="0"/>
                  <w:divBdr>
                    <w:top w:val="none" w:sz="0" w:space="0" w:color="auto"/>
                    <w:left w:val="none" w:sz="0" w:space="0" w:color="auto"/>
                    <w:bottom w:val="none" w:sz="0" w:space="0" w:color="auto"/>
                    <w:right w:val="none" w:sz="0" w:space="0" w:color="auto"/>
                  </w:divBdr>
                  <w:divsChild>
                    <w:div w:id="1374845304">
                      <w:marLeft w:val="0"/>
                      <w:marRight w:val="0"/>
                      <w:marTop w:val="0"/>
                      <w:marBottom w:val="0"/>
                      <w:divBdr>
                        <w:top w:val="none" w:sz="0" w:space="0" w:color="auto"/>
                        <w:left w:val="none" w:sz="0" w:space="0" w:color="auto"/>
                        <w:bottom w:val="none" w:sz="0" w:space="0" w:color="auto"/>
                        <w:right w:val="none" w:sz="0" w:space="0" w:color="auto"/>
                      </w:divBdr>
                      <w:divsChild>
                        <w:div w:id="192303368">
                          <w:marLeft w:val="0"/>
                          <w:marRight w:val="0"/>
                          <w:marTop w:val="0"/>
                          <w:marBottom w:val="0"/>
                          <w:divBdr>
                            <w:top w:val="none" w:sz="0" w:space="0" w:color="auto"/>
                            <w:left w:val="none" w:sz="0" w:space="0" w:color="auto"/>
                            <w:bottom w:val="none" w:sz="0" w:space="0" w:color="auto"/>
                            <w:right w:val="none" w:sz="0" w:space="0" w:color="auto"/>
                          </w:divBdr>
                          <w:divsChild>
                            <w:div w:id="876964588">
                              <w:marLeft w:val="0"/>
                              <w:marRight w:val="0"/>
                              <w:marTop w:val="0"/>
                              <w:marBottom w:val="0"/>
                              <w:divBdr>
                                <w:top w:val="none" w:sz="0" w:space="0" w:color="auto"/>
                                <w:left w:val="none" w:sz="0" w:space="0" w:color="auto"/>
                                <w:bottom w:val="none" w:sz="0" w:space="0" w:color="auto"/>
                                <w:right w:val="none" w:sz="0" w:space="0" w:color="auto"/>
                              </w:divBdr>
                              <w:divsChild>
                                <w:div w:id="1373726635">
                                  <w:marLeft w:val="0"/>
                                  <w:marRight w:val="0"/>
                                  <w:marTop w:val="0"/>
                                  <w:marBottom w:val="0"/>
                                  <w:divBdr>
                                    <w:top w:val="none" w:sz="0" w:space="0" w:color="auto"/>
                                    <w:left w:val="none" w:sz="0" w:space="0" w:color="auto"/>
                                    <w:bottom w:val="none" w:sz="0" w:space="0" w:color="auto"/>
                                    <w:right w:val="none" w:sz="0" w:space="0" w:color="auto"/>
                                  </w:divBdr>
                                  <w:divsChild>
                                    <w:div w:id="336466997">
                                      <w:marLeft w:val="0"/>
                                      <w:marRight w:val="0"/>
                                      <w:marTop w:val="0"/>
                                      <w:marBottom w:val="0"/>
                                      <w:divBdr>
                                        <w:top w:val="none" w:sz="0" w:space="0" w:color="auto"/>
                                        <w:left w:val="none" w:sz="0" w:space="0" w:color="auto"/>
                                        <w:bottom w:val="none" w:sz="0" w:space="0" w:color="auto"/>
                                        <w:right w:val="none" w:sz="0" w:space="0" w:color="auto"/>
                                      </w:divBdr>
                                      <w:divsChild>
                                        <w:div w:id="154633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1559467">
      <w:bodyDiv w:val="1"/>
      <w:marLeft w:val="0"/>
      <w:marRight w:val="0"/>
      <w:marTop w:val="0"/>
      <w:marBottom w:val="0"/>
      <w:divBdr>
        <w:top w:val="none" w:sz="0" w:space="0" w:color="auto"/>
        <w:left w:val="none" w:sz="0" w:space="0" w:color="auto"/>
        <w:bottom w:val="none" w:sz="0" w:space="0" w:color="auto"/>
        <w:right w:val="none" w:sz="0" w:space="0" w:color="auto"/>
      </w:divBdr>
      <w:divsChild>
        <w:div w:id="1322658304">
          <w:marLeft w:val="0"/>
          <w:marRight w:val="0"/>
          <w:marTop w:val="0"/>
          <w:marBottom w:val="0"/>
          <w:divBdr>
            <w:top w:val="none" w:sz="0" w:space="0" w:color="auto"/>
            <w:left w:val="none" w:sz="0" w:space="0" w:color="auto"/>
            <w:bottom w:val="none" w:sz="0" w:space="0" w:color="auto"/>
            <w:right w:val="none" w:sz="0" w:space="0" w:color="auto"/>
          </w:divBdr>
          <w:divsChild>
            <w:div w:id="1091001609">
              <w:marLeft w:val="0"/>
              <w:marRight w:val="0"/>
              <w:marTop w:val="0"/>
              <w:marBottom w:val="0"/>
              <w:divBdr>
                <w:top w:val="none" w:sz="0" w:space="0" w:color="auto"/>
                <w:left w:val="none" w:sz="0" w:space="0" w:color="auto"/>
                <w:bottom w:val="none" w:sz="0" w:space="0" w:color="auto"/>
                <w:right w:val="none" w:sz="0" w:space="0" w:color="auto"/>
              </w:divBdr>
              <w:divsChild>
                <w:div w:id="1627394401">
                  <w:marLeft w:val="0"/>
                  <w:marRight w:val="0"/>
                  <w:marTop w:val="0"/>
                  <w:marBottom w:val="0"/>
                  <w:divBdr>
                    <w:top w:val="none" w:sz="0" w:space="0" w:color="auto"/>
                    <w:left w:val="none" w:sz="0" w:space="0" w:color="auto"/>
                    <w:bottom w:val="none" w:sz="0" w:space="0" w:color="auto"/>
                    <w:right w:val="none" w:sz="0" w:space="0" w:color="auto"/>
                  </w:divBdr>
                  <w:divsChild>
                    <w:div w:id="359817352">
                      <w:marLeft w:val="0"/>
                      <w:marRight w:val="0"/>
                      <w:marTop w:val="0"/>
                      <w:marBottom w:val="0"/>
                      <w:divBdr>
                        <w:top w:val="none" w:sz="0" w:space="0" w:color="auto"/>
                        <w:left w:val="none" w:sz="0" w:space="0" w:color="auto"/>
                        <w:bottom w:val="none" w:sz="0" w:space="0" w:color="auto"/>
                        <w:right w:val="none" w:sz="0" w:space="0" w:color="auto"/>
                      </w:divBdr>
                      <w:divsChild>
                        <w:div w:id="1317103680">
                          <w:marLeft w:val="0"/>
                          <w:marRight w:val="0"/>
                          <w:marTop w:val="0"/>
                          <w:marBottom w:val="0"/>
                          <w:divBdr>
                            <w:top w:val="none" w:sz="0" w:space="0" w:color="auto"/>
                            <w:left w:val="none" w:sz="0" w:space="0" w:color="auto"/>
                            <w:bottom w:val="none" w:sz="0" w:space="0" w:color="auto"/>
                            <w:right w:val="none" w:sz="0" w:space="0" w:color="auto"/>
                          </w:divBdr>
                          <w:divsChild>
                            <w:div w:id="1567256709">
                              <w:marLeft w:val="0"/>
                              <w:marRight w:val="0"/>
                              <w:marTop w:val="0"/>
                              <w:marBottom w:val="0"/>
                              <w:divBdr>
                                <w:top w:val="none" w:sz="0" w:space="0" w:color="auto"/>
                                <w:left w:val="none" w:sz="0" w:space="0" w:color="auto"/>
                                <w:bottom w:val="none" w:sz="0" w:space="0" w:color="auto"/>
                                <w:right w:val="none" w:sz="0" w:space="0" w:color="auto"/>
                              </w:divBdr>
                              <w:divsChild>
                                <w:div w:id="1890342420">
                                  <w:marLeft w:val="0"/>
                                  <w:marRight w:val="0"/>
                                  <w:marTop w:val="0"/>
                                  <w:marBottom w:val="0"/>
                                  <w:divBdr>
                                    <w:top w:val="none" w:sz="0" w:space="0" w:color="auto"/>
                                    <w:left w:val="none" w:sz="0" w:space="0" w:color="auto"/>
                                    <w:bottom w:val="none" w:sz="0" w:space="0" w:color="auto"/>
                                    <w:right w:val="none" w:sz="0" w:space="0" w:color="auto"/>
                                  </w:divBdr>
                                  <w:divsChild>
                                    <w:div w:id="43660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1943257">
      <w:bodyDiv w:val="1"/>
      <w:marLeft w:val="0"/>
      <w:marRight w:val="0"/>
      <w:marTop w:val="0"/>
      <w:marBottom w:val="0"/>
      <w:divBdr>
        <w:top w:val="none" w:sz="0" w:space="0" w:color="auto"/>
        <w:left w:val="none" w:sz="0" w:space="0" w:color="auto"/>
        <w:bottom w:val="none" w:sz="0" w:space="0" w:color="auto"/>
        <w:right w:val="none" w:sz="0" w:space="0" w:color="auto"/>
      </w:divBdr>
      <w:divsChild>
        <w:div w:id="1900898424">
          <w:marLeft w:val="0"/>
          <w:marRight w:val="0"/>
          <w:marTop w:val="0"/>
          <w:marBottom w:val="150"/>
          <w:divBdr>
            <w:top w:val="none" w:sz="0" w:space="0" w:color="auto"/>
            <w:left w:val="none" w:sz="0" w:space="0" w:color="auto"/>
            <w:bottom w:val="none" w:sz="0" w:space="0" w:color="auto"/>
            <w:right w:val="none" w:sz="0" w:space="0" w:color="auto"/>
          </w:divBdr>
        </w:div>
      </w:divsChild>
    </w:div>
    <w:div w:id="1472794978">
      <w:bodyDiv w:val="1"/>
      <w:marLeft w:val="0"/>
      <w:marRight w:val="0"/>
      <w:marTop w:val="0"/>
      <w:marBottom w:val="0"/>
      <w:divBdr>
        <w:top w:val="none" w:sz="0" w:space="0" w:color="auto"/>
        <w:left w:val="none" w:sz="0" w:space="0" w:color="auto"/>
        <w:bottom w:val="none" w:sz="0" w:space="0" w:color="auto"/>
        <w:right w:val="none" w:sz="0" w:space="0" w:color="auto"/>
      </w:divBdr>
      <w:divsChild>
        <w:div w:id="1553804557">
          <w:marLeft w:val="0"/>
          <w:marRight w:val="0"/>
          <w:marTop w:val="0"/>
          <w:marBottom w:val="225"/>
          <w:divBdr>
            <w:top w:val="none" w:sz="0" w:space="0" w:color="auto"/>
            <w:left w:val="none" w:sz="0" w:space="0" w:color="auto"/>
            <w:bottom w:val="none" w:sz="0" w:space="0" w:color="auto"/>
            <w:right w:val="none" w:sz="0" w:space="0" w:color="auto"/>
          </w:divBdr>
        </w:div>
      </w:divsChild>
    </w:div>
    <w:div w:id="1473866194">
      <w:bodyDiv w:val="1"/>
      <w:marLeft w:val="0"/>
      <w:marRight w:val="0"/>
      <w:marTop w:val="0"/>
      <w:marBottom w:val="0"/>
      <w:divBdr>
        <w:top w:val="none" w:sz="0" w:space="0" w:color="auto"/>
        <w:left w:val="none" w:sz="0" w:space="0" w:color="auto"/>
        <w:bottom w:val="none" w:sz="0" w:space="0" w:color="auto"/>
        <w:right w:val="none" w:sz="0" w:space="0" w:color="auto"/>
      </w:divBdr>
      <w:divsChild>
        <w:div w:id="1276789100">
          <w:marLeft w:val="0"/>
          <w:marRight w:val="0"/>
          <w:marTop w:val="0"/>
          <w:marBottom w:val="0"/>
          <w:divBdr>
            <w:top w:val="none" w:sz="0" w:space="0" w:color="auto"/>
            <w:left w:val="none" w:sz="0" w:space="0" w:color="auto"/>
            <w:bottom w:val="dotted" w:sz="6" w:space="4" w:color="DDDDDD"/>
            <w:right w:val="none" w:sz="0" w:space="0" w:color="auto"/>
          </w:divBdr>
        </w:div>
      </w:divsChild>
    </w:div>
    <w:div w:id="1474251877">
      <w:bodyDiv w:val="1"/>
      <w:marLeft w:val="0"/>
      <w:marRight w:val="0"/>
      <w:marTop w:val="0"/>
      <w:marBottom w:val="0"/>
      <w:divBdr>
        <w:top w:val="none" w:sz="0" w:space="0" w:color="auto"/>
        <w:left w:val="none" w:sz="0" w:space="0" w:color="auto"/>
        <w:bottom w:val="none" w:sz="0" w:space="0" w:color="auto"/>
        <w:right w:val="none" w:sz="0" w:space="0" w:color="auto"/>
      </w:divBdr>
      <w:divsChild>
        <w:div w:id="4984512">
          <w:marLeft w:val="0"/>
          <w:marRight w:val="0"/>
          <w:marTop w:val="0"/>
          <w:marBottom w:val="0"/>
          <w:divBdr>
            <w:top w:val="none" w:sz="0" w:space="0" w:color="auto"/>
            <w:left w:val="none" w:sz="0" w:space="0" w:color="auto"/>
            <w:bottom w:val="none" w:sz="0" w:space="0" w:color="auto"/>
            <w:right w:val="none" w:sz="0" w:space="0" w:color="auto"/>
          </w:divBdr>
          <w:divsChild>
            <w:div w:id="994451914">
              <w:marLeft w:val="0"/>
              <w:marRight w:val="0"/>
              <w:marTop w:val="0"/>
              <w:marBottom w:val="0"/>
              <w:divBdr>
                <w:top w:val="none" w:sz="0" w:space="0" w:color="auto"/>
                <w:left w:val="none" w:sz="0" w:space="0" w:color="auto"/>
                <w:bottom w:val="none" w:sz="0" w:space="0" w:color="auto"/>
                <w:right w:val="none" w:sz="0" w:space="0" w:color="auto"/>
              </w:divBdr>
            </w:div>
          </w:divsChild>
        </w:div>
        <w:div w:id="393628325">
          <w:marLeft w:val="0"/>
          <w:marRight w:val="0"/>
          <w:marTop w:val="150"/>
          <w:marBottom w:val="0"/>
          <w:divBdr>
            <w:top w:val="none" w:sz="0" w:space="0" w:color="auto"/>
            <w:left w:val="none" w:sz="0" w:space="0" w:color="auto"/>
            <w:bottom w:val="none" w:sz="0" w:space="0" w:color="auto"/>
            <w:right w:val="none" w:sz="0" w:space="0" w:color="auto"/>
          </w:divBdr>
          <w:divsChild>
            <w:div w:id="399835146">
              <w:marLeft w:val="0"/>
              <w:marRight w:val="0"/>
              <w:marTop w:val="0"/>
              <w:marBottom w:val="0"/>
              <w:divBdr>
                <w:top w:val="none" w:sz="0" w:space="0" w:color="auto"/>
                <w:left w:val="none" w:sz="0" w:space="0" w:color="auto"/>
                <w:bottom w:val="none" w:sz="0" w:space="0" w:color="auto"/>
                <w:right w:val="none" w:sz="0" w:space="0" w:color="auto"/>
              </w:divBdr>
              <w:divsChild>
                <w:div w:id="1291741875">
                  <w:marLeft w:val="0"/>
                  <w:marRight w:val="0"/>
                  <w:marTop w:val="0"/>
                  <w:marBottom w:val="0"/>
                  <w:divBdr>
                    <w:top w:val="none" w:sz="0" w:space="0" w:color="auto"/>
                    <w:left w:val="none" w:sz="0" w:space="0" w:color="auto"/>
                    <w:bottom w:val="none" w:sz="0" w:space="0" w:color="auto"/>
                    <w:right w:val="none" w:sz="0" w:space="0" w:color="auto"/>
                  </w:divBdr>
                </w:div>
                <w:div w:id="204624717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028811">
      <w:bodyDiv w:val="1"/>
      <w:marLeft w:val="0"/>
      <w:marRight w:val="0"/>
      <w:marTop w:val="0"/>
      <w:marBottom w:val="0"/>
      <w:divBdr>
        <w:top w:val="none" w:sz="0" w:space="0" w:color="auto"/>
        <w:left w:val="none" w:sz="0" w:space="0" w:color="auto"/>
        <w:bottom w:val="none" w:sz="0" w:space="0" w:color="auto"/>
        <w:right w:val="none" w:sz="0" w:space="0" w:color="auto"/>
      </w:divBdr>
    </w:div>
    <w:div w:id="1475566107">
      <w:bodyDiv w:val="1"/>
      <w:marLeft w:val="0"/>
      <w:marRight w:val="0"/>
      <w:marTop w:val="0"/>
      <w:marBottom w:val="0"/>
      <w:divBdr>
        <w:top w:val="none" w:sz="0" w:space="0" w:color="auto"/>
        <w:left w:val="none" w:sz="0" w:space="0" w:color="auto"/>
        <w:bottom w:val="none" w:sz="0" w:space="0" w:color="auto"/>
        <w:right w:val="none" w:sz="0" w:space="0" w:color="auto"/>
      </w:divBdr>
      <w:divsChild>
        <w:div w:id="1229923126">
          <w:marLeft w:val="0"/>
          <w:marRight w:val="0"/>
          <w:marTop w:val="0"/>
          <w:marBottom w:val="0"/>
          <w:divBdr>
            <w:top w:val="none" w:sz="0" w:space="0" w:color="auto"/>
            <w:left w:val="none" w:sz="0" w:space="0" w:color="auto"/>
            <w:bottom w:val="none" w:sz="0" w:space="0" w:color="auto"/>
            <w:right w:val="none" w:sz="0" w:space="0" w:color="auto"/>
          </w:divBdr>
          <w:divsChild>
            <w:div w:id="637036206">
              <w:marLeft w:val="0"/>
              <w:marRight w:val="0"/>
              <w:marTop w:val="0"/>
              <w:marBottom w:val="0"/>
              <w:divBdr>
                <w:top w:val="none" w:sz="0" w:space="0" w:color="auto"/>
                <w:left w:val="none" w:sz="0" w:space="0" w:color="auto"/>
                <w:bottom w:val="none" w:sz="0" w:space="0" w:color="auto"/>
                <w:right w:val="none" w:sz="0" w:space="0" w:color="auto"/>
              </w:divBdr>
              <w:divsChild>
                <w:div w:id="1627852825">
                  <w:marLeft w:val="0"/>
                  <w:marRight w:val="0"/>
                  <w:marTop w:val="0"/>
                  <w:marBottom w:val="0"/>
                  <w:divBdr>
                    <w:top w:val="none" w:sz="0" w:space="0" w:color="auto"/>
                    <w:left w:val="none" w:sz="0" w:space="0" w:color="auto"/>
                    <w:bottom w:val="none" w:sz="0" w:space="0" w:color="auto"/>
                    <w:right w:val="none" w:sz="0" w:space="0" w:color="auto"/>
                  </w:divBdr>
                  <w:divsChild>
                    <w:div w:id="1693993128">
                      <w:marLeft w:val="0"/>
                      <w:marRight w:val="0"/>
                      <w:marTop w:val="0"/>
                      <w:marBottom w:val="0"/>
                      <w:divBdr>
                        <w:top w:val="none" w:sz="0" w:space="0" w:color="auto"/>
                        <w:left w:val="none" w:sz="0" w:space="0" w:color="auto"/>
                        <w:bottom w:val="none" w:sz="0" w:space="0" w:color="auto"/>
                        <w:right w:val="none" w:sz="0" w:space="0" w:color="auto"/>
                      </w:divBdr>
                      <w:divsChild>
                        <w:div w:id="1832519279">
                          <w:marLeft w:val="0"/>
                          <w:marRight w:val="0"/>
                          <w:marTop w:val="0"/>
                          <w:marBottom w:val="0"/>
                          <w:divBdr>
                            <w:top w:val="none" w:sz="0" w:space="0" w:color="auto"/>
                            <w:left w:val="none" w:sz="0" w:space="0" w:color="auto"/>
                            <w:bottom w:val="none" w:sz="0" w:space="0" w:color="auto"/>
                            <w:right w:val="none" w:sz="0" w:space="0" w:color="auto"/>
                          </w:divBdr>
                          <w:divsChild>
                            <w:div w:id="1579826333">
                              <w:marLeft w:val="0"/>
                              <w:marRight w:val="0"/>
                              <w:marTop w:val="0"/>
                              <w:marBottom w:val="0"/>
                              <w:divBdr>
                                <w:top w:val="none" w:sz="0" w:space="0" w:color="auto"/>
                                <w:left w:val="none" w:sz="0" w:space="0" w:color="auto"/>
                                <w:bottom w:val="none" w:sz="0" w:space="0" w:color="auto"/>
                                <w:right w:val="none" w:sz="0" w:space="0" w:color="auto"/>
                              </w:divBdr>
                              <w:divsChild>
                                <w:div w:id="1096363968">
                                  <w:marLeft w:val="0"/>
                                  <w:marRight w:val="0"/>
                                  <w:marTop w:val="0"/>
                                  <w:marBottom w:val="0"/>
                                  <w:divBdr>
                                    <w:top w:val="none" w:sz="0" w:space="0" w:color="auto"/>
                                    <w:left w:val="none" w:sz="0" w:space="0" w:color="auto"/>
                                    <w:bottom w:val="none" w:sz="0" w:space="0" w:color="auto"/>
                                    <w:right w:val="none" w:sz="0" w:space="0" w:color="auto"/>
                                  </w:divBdr>
                                  <w:divsChild>
                                    <w:div w:id="185017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835758">
      <w:bodyDiv w:val="1"/>
      <w:marLeft w:val="0"/>
      <w:marRight w:val="0"/>
      <w:marTop w:val="0"/>
      <w:marBottom w:val="0"/>
      <w:divBdr>
        <w:top w:val="none" w:sz="0" w:space="0" w:color="auto"/>
        <w:left w:val="none" w:sz="0" w:space="0" w:color="auto"/>
        <w:bottom w:val="none" w:sz="0" w:space="0" w:color="auto"/>
        <w:right w:val="none" w:sz="0" w:space="0" w:color="auto"/>
      </w:divBdr>
    </w:div>
    <w:div w:id="1476021905">
      <w:bodyDiv w:val="1"/>
      <w:marLeft w:val="0"/>
      <w:marRight w:val="0"/>
      <w:marTop w:val="0"/>
      <w:marBottom w:val="0"/>
      <w:divBdr>
        <w:top w:val="none" w:sz="0" w:space="0" w:color="auto"/>
        <w:left w:val="none" w:sz="0" w:space="0" w:color="auto"/>
        <w:bottom w:val="none" w:sz="0" w:space="0" w:color="auto"/>
        <w:right w:val="none" w:sz="0" w:space="0" w:color="auto"/>
      </w:divBdr>
      <w:divsChild>
        <w:div w:id="373240207">
          <w:marLeft w:val="0"/>
          <w:marRight w:val="0"/>
          <w:marTop w:val="0"/>
          <w:marBottom w:val="0"/>
          <w:divBdr>
            <w:top w:val="none" w:sz="0" w:space="0" w:color="auto"/>
            <w:left w:val="none" w:sz="0" w:space="0" w:color="auto"/>
            <w:bottom w:val="none" w:sz="0" w:space="0" w:color="auto"/>
            <w:right w:val="none" w:sz="0" w:space="0" w:color="auto"/>
          </w:divBdr>
          <w:divsChild>
            <w:div w:id="1989941964">
              <w:marLeft w:val="0"/>
              <w:marRight w:val="0"/>
              <w:marTop w:val="0"/>
              <w:marBottom w:val="0"/>
              <w:divBdr>
                <w:top w:val="none" w:sz="0" w:space="0" w:color="auto"/>
                <w:left w:val="none" w:sz="0" w:space="0" w:color="auto"/>
                <w:bottom w:val="none" w:sz="0" w:space="0" w:color="auto"/>
                <w:right w:val="none" w:sz="0" w:space="0" w:color="auto"/>
              </w:divBdr>
              <w:divsChild>
                <w:div w:id="1899707996">
                  <w:marLeft w:val="0"/>
                  <w:marRight w:val="0"/>
                  <w:marTop w:val="0"/>
                  <w:marBottom w:val="0"/>
                  <w:divBdr>
                    <w:top w:val="none" w:sz="0" w:space="0" w:color="auto"/>
                    <w:left w:val="none" w:sz="0" w:space="0" w:color="auto"/>
                    <w:bottom w:val="none" w:sz="0" w:space="0" w:color="auto"/>
                    <w:right w:val="none" w:sz="0" w:space="0" w:color="auto"/>
                  </w:divBdr>
                  <w:divsChild>
                    <w:div w:id="1056273152">
                      <w:marLeft w:val="0"/>
                      <w:marRight w:val="0"/>
                      <w:marTop w:val="0"/>
                      <w:marBottom w:val="0"/>
                      <w:divBdr>
                        <w:top w:val="none" w:sz="0" w:space="0" w:color="auto"/>
                        <w:left w:val="none" w:sz="0" w:space="0" w:color="auto"/>
                        <w:bottom w:val="none" w:sz="0" w:space="0" w:color="auto"/>
                        <w:right w:val="none" w:sz="0" w:space="0" w:color="auto"/>
                      </w:divBdr>
                      <w:divsChild>
                        <w:div w:id="516896049">
                          <w:marLeft w:val="0"/>
                          <w:marRight w:val="0"/>
                          <w:marTop w:val="0"/>
                          <w:marBottom w:val="0"/>
                          <w:divBdr>
                            <w:top w:val="none" w:sz="0" w:space="0" w:color="auto"/>
                            <w:left w:val="none" w:sz="0" w:space="0" w:color="auto"/>
                            <w:bottom w:val="none" w:sz="0" w:space="0" w:color="auto"/>
                            <w:right w:val="none" w:sz="0" w:space="0" w:color="auto"/>
                          </w:divBdr>
                          <w:divsChild>
                            <w:div w:id="988755018">
                              <w:marLeft w:val="0"/>
                              <w:marRight w:val="0"/>
                              <w:marTop w:val="0"/>
                              <w:marBottom w:val="0"/>
                              <w:divBdr>
                                <w:top w:val="none" w:sz="0" w:space="0" w:color="auto"/>
                                <w:left w:val="none" w:sz="0" w:space="0" w:color="auto"/>
                                <w:bottom w:val="none" w:sz="0" w:space="0" w:color="auto"/>
                                <w:right w:val="none" w:sz="0" w:space="0" w:color="auto"/>
                              </w:divBdr>
                              <w:divsChild>
                                <w:div w:id="2112166698">
                                  <w:marLeft w:val="0"/>
                                  <w:marRight w:val="0"/>
                                  <w:marTop w:val="0"/>
                                  <w:marBottom w:val="0"/>
                                  <w:divBdr>
                                    <w:top w:val="none" w:sz="0" w:space="0" w:color="auto"/>
                                    <w:left w:val="none" w:sz="0" w:space="0" w:color="auto"/>
                                    <w:bottom w:val="none" w:sz="0" w:space="0" w:color="auto"/>
                                    <w:right w:val="none" w:sz="0" w:space="0" w:color="auto"/>
                                  </w:divBdr>
                                  <w:divsChild>
                                    <w:div w:id="29499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6069935">
      <w:bodyDiv w:val="1"/>
      <w:marLeft w:val="0"/>
      <w:marRight w:val="0"/>
      <w:marTop w:val="0"/>
      <w:marBottom w:val="0"/>
      <w:divBdr>
        <w:top w:val="none" w:sz="0" w:space="0" w:color="auto"/>
        <w:left w:val="none" w:sz="0" w:space="0" w:color="auto"/>
        <w:bottom w:val="none" w:sz="0" w:space="0" w:color="auto"/>
        <w:right w:val="none" w:sz="0" w:space="0" w:color="auto"/>
      </w:divBdr>
      <w:divsChild>
        <w:div w:id="221448779">
          <w:marLeft w:val="0"/>
          <w:marRight w:val="0"/>
          <w:marTop w:val="0"/>
          <w:marBottom w:val="75"/>
          <w:divBdr>
            <w:top w:val="none" w:sz="0" w:space="0" w:color="auto"/>
            <w:left w:val="none" w:sz="0" w:space="0" w:color="auto"/>
            <w:bottom w:val="none" w:sz="0" w:space="0" w:color="auto"/>
            <w:right w:val="none" w:sz="0" w:space="0" w:color="auto"/>
          </w:divBdr>
        </w:div>
        <w:div w:id="481890701">
          <w:marLeft w:val="0"/>
          <w:marRight w:val="0"/>
          <w:marTop w:val="0"/>
          <w:marBottom w:val="300"/>
          <w:divBdr>
            <w:top w:val="none" w:sz="0" w:space="0" w:color="auto"/>
            <w:left w:val="none" w:sz="0" w:space="0" w:color="auto"/>
            <w:bottom w:val="none" w:sz="0" w:space="0" w:color="auto"/>
            <w:right w:val="none" w:sz="0" w:space="0" w:color="auto"/>
          </w:divBdr>
          <w:divsChild>
            <w:div w:id="1931960915">
              <w:marLeft w:val="0"/>
              <w:marRight w:val="0"/>
              <w:marTop w:val="0"/>
              <w:marBottom w:val="0"/>
              <w:divBdr>
                <w:top w:val="none" w:sz="0" w:space="0" w:color="auto"/>
                <w:left w:val="none" w:sz="0" w:space="0" w:color="auto"/>
                <w:bottom w:val="none" w:sz="0" w:space="0" w:color="auto"/>
                <w:right w:val="none" w:sz="0" w:space="0" w:color="auto"/>
              </w:divBdr>
            </w:div>
          </w:divsChild>
        </w:div>
        <w:div w:id="547647299">
          <w:marLeft w:val="0"/>
          <w:marRight w:val="0"/>
          <w:marTop w:val="0"/>
          <w:marBottom w:val="0"/>
          <w:divBdr>
            <w:top w:val="none" w:sz="0" w:space="0" w:color="auto"/>
            <w:left w:val="none" w:sz="0" w:space="0" w:color="auto"/>
            <w:bottom w:val="none" w:sz="0" w:space="0" w:color="auto"/>
            <w:right w:val="none" w:sz="0" w:space="0" w:color="auto"/>
          </w:divBdr>
          <w:divsChild>
            <w:div w:id="1789012098">
              <w:marLeft w:val="0"/>
              <w:marRight w:val="0"/>
              <w:marTop w:val="0"/>
              <w:marBottom w:val="0"/>
              <w:divBdr>
                <w:top w:val="none" w:sz="0" w:space="0" w:color="auto"/>
                <w:left w:val="none" w:sz="0" w:space="0" w:color="auto"/>
                <w:bottom w:val="none" w:sz="0" w:space="0" w:color="auto"/>
                <w:right w:val="none" w:sz="0" w:space="0" w:color="auto"/>
              </w:divBdr>
              <w:divsChild>
                <w:div w:id="112030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520528">
          <w:marLeft w:val="0"/>
          <w:marRight w:val="0"/>
          <w:marTop w:val="0"/>
          <w:marBottom w:val="0"/>
          <w:divBdr>
            <w:top w:val="none" w:sz="0" w:space="0" w:color="auto"/>
            <w:left w:val="none" w:sz="0" w:space="0" w:color="auto"/>
            <w:bottom w:val="none" w:sz="0" w:space="0" w:color="auto"/>
            <w:right w:val="none" w:sz="0" w:space="0" w:color="auto"/>
          </w:divBdr>
          <w:divsChild>
            <w:div w:id="158638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1087">
      <w:bodyDiv w:val="1"/>
      <w:marLeft w:val="0"/>
      <w:marRight w:val="0"/>
      <w:marTop w:val="0"/>
      <w:marBottom w:val="0"/>
      <w:divBdr>
        <w:top w:val="none" w:sz="0" w:space="0" w:color="auto"/>
        <w:left w:val="none" w:sz="0" w:space="0" w:color="auto"/>
        <w:bottom w:val="none" w:sz="0" w:space="0" w:color="auto"/>
        <w:right w:val="none" w:sz="0" w:space="0" w:color="auto"/>
      </w:divBdr>
      <w:divsChild>
        <w:div w:id="1522429118">
          <w:marLeft w:val="0"/>
          <w:marRight w:val="0"/>
          <w:marTop w:val="0"/>
          <w:marBottom w:val="0"/>
          <w:divBdr>
            <w:top w:val="none" w:sz="0" w:space="0" w:color="auto"/>
            <w:left w:val="none" w:sz="0" w:space="0" w:color="auto"/>
            <w:bottom w:val="dotted" w:sz="6" w:space="4" w:color="DDDDDD"/>
            <w:right w:val="none" w:sz="0" w:space="0" w:color="auto"/>
          </w:divBdr>
        </w:div>
      </w:divsChild>
    </w:div>
    <w:div w:id="1476604654">
      <w:bodyDiv w:val="1"/>
      <w:marLeft w:val="0"/>
      <w:marRight w:val="0"/>
      <w:marTop w:val="0"/>
      <w:marBottom w:val="0"/>
      <w:divBdr>
        <w:top w:val="none" w:sz="0" w:space="0" w:color="auto"/>
        <w:left w:val="none" w:sz="0" w:space="0" w:color="auto"/>
        <w:bottom w:val="none" w:sz="0" w:space="0" w:color="auto"/>
        <w:right w:val="none" w:sz="0" w:space="0" w:color="auto"/>
      </w:divBdr>
      <w:divsChild>
        <w:div w:id="1769812337">
          <w:marLeft w:val="0"/>
          <w:marRight w:val="0"/>
          <w:marTop w:val="0"/>
          <w:marBottom w:val="0"/>
          <w:divBdr>
            <w:top w:val="none" w:sz="0" w:space="0" w:color="auto"/>
            <w:left w:val="none" w:sz="0" w:space="0" w:color="auto"/>
            <w:bottom w:val="none" w:sz="0" w:space="0" w:color="auto"/>
            <w:right w:val="none" w:sz="0" w:space="0" w:color="auto"/>
          </w:divBdr>
        </w:div>
      </w:divsChild>
    </w:div>
    <w:div w:id="1477069966">
      <w:bodyDiv w:val="1"/>
      <w:marLeft w:val="0"/>
      <w:marRight w:val="0"/>
      <w:marTop w:val="0"/>
      <w:marBottom w:val="0"/>
      <w:divBdr>
        <w:top w:val="none" w:sz="0" w:space="0" w:color="auto"/>
        <w:left w:val="none" w:sz="0" w:space="0" w:color="auto"/>
        <w:bottom w:val="none" w:sz="0" w:space="0" w:color="auto"/>
        <w:right w:val="none" w:sz="0" w:space="0" w:color="auto"/>
      </w:divBdr>
      <w:divsChild>
        <w:div w:id="223176833">
          <w:marLeft w:val="0"/>
          <w:marRight w:val="0"/>
          <w:marTop w:val="0"/>
          <w:marBottom w:val="150"/>
          <w:divBdr>
            <w:top w:val="none" w:sz="0" w:space="0" w:color="auto"/>
            <w:left w:val="none" w:sz="0" w:space="0" w:color="auto"/>
            <w:bottom w:val="none" w:sz="0" w:space="0" w:color="auto"/>
            <w:right w:val="none" w:sz="0" w:space="0" w:color="auto"/>
          </w:divBdr>
        </w:div>
        <w:div w:id="623999924">
          <w:marLeft w:val="0"/>
          <w:marRight w:val="0"/>
          <w:marTop w:val="0"/>
          <w:marBottom w:val="0"/>
          <w:divBdr>
            <w:top w:val="none" w:sz="0" w:space="0" w:color="auto"/>
            <w:left w:val="none" w:sz="0" w:space="0" w:color="auto"/>
            <w:bottom w:val="none" w:sz="0" w:space="0" w:color="auto"/>
            <w:right w:val="none" w:sz="0" w:space="0" w:color="auto"/>
          </w:divBdr>
          <w:divsChild>
            <w:div w:id="1874493203">
              <w:marLeft w:val="0"/>
              <w:marRight w:val="0"/>
              <w:marTop w:val="225"/>
              <w:marBottom w:val="225"/>
              <w:divBdr>
                <w:top w:val="none" w:sz="0" w:space="0" w:color="auto"/>
                <w:left w:val="none" w:sz="0" w:space="0" w:color="auto"/>
                <w:bottom w:val="none" w:sz="0" w:space="0" w:color="auto"/>
                <w:right w:val="none" w:sz="0" w:space="0" w:color="auto"/>
              </w:divBdr>
            </w:div>
          </w:divsChild>
        </w:div>
        <w:div w:id="1162893492">
          <w:marLeft w:val="0"/>
          <w:marRight w:val="0"/>
          <w:marTop w:val="0"/>
          <w:marBottom w:val="150"/>
          <w:divBdr>
            <w:top w:val="none" w:sz="0" w:space="0" w:color="auto"/>
            <w:left w:val="none" w:sz="0" w:space="0" w:color="auto"/>
            <w:bottom w:val="none" w:sz="0" w:space="0" w:color="auto"/>
            <w:right w:val="none" w:sz="0" w:space="0" w:color="auto"/>
          </w:divBdr>
          <w:divsChild>
            <w:div w:id="1223906512">
              <w:marLeft w:val="0"/>
              <w:marRight w:val="0"/>
              <w:marTop w:val="0"/>
              <w:marBottom w:val="0"/>
              <w:divBdr>
                <w:top w:val="none" w:sz="0" w:space="0" w:color="auto"/>
                <w:left w:val="none" w:sz="0" w:space="0" w:color="auto"/>
                <w:bottom w:val="none" w:sz="0" w:space="0" w:color="auto"/>
                <w:right w:val="none" w:sz="0" w:space="0" w:color="auto"/>
              </w:divBdr>
              <w:divsChild>
                <w:div w:id="113016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146892">
      <w:bodyDiv w:val="1"/>
      <w:marLeft w:val="0"/>
      <w:marRight w:val="0"/>
      <w:marTop w:val="0"/>
      <w:marBottom w:val="0"/>
      <w:divBdr>
        <w:top w:val="none" w:sz="0" w:space="0" w:color="auto"/>
        <w:left w:val="none" w:sz="0" w:space="0" w:color="auto"/>
        <w:bottom w:val="none" w:sz="0" w:space="0" w:color="auto"/>
        <w:right w:val="none" w:sz="0" w:space="0" w:color="auto"/>
      </w:divBdr>
      <w:divsChild>
        <w:div w:id="298805748">
          <w:marLeft w:val="0"/>
          <w:marRight w:val="0"/>
          <w:marTop w:val="0"/>
          <w:marBottom w:val="0"/>
          <w:divBdr>
            <w:top w:val="none" w:sz="0" w:space="0" w:color="auto"/>
            <w:left w:val="none" w:sz="0" w:space="0" w:color="auto"/>
            <w:bottom w:val="none" w:sz="0" w:space="0" w:color="auto"/>
            <w:right w:val="none" w:sz="0" w:space="0" w:color="auto"/>
          </w:divBdr>
          <w:divsChild>
            <w:div w:id="670522969">
              <w:marLeft w:val="0"/>
              <w:marRight w:val="0"/>
              <w:marTop w:val="0"/>
              <w:marBottom w:val="0"/>
              <w:divBdr>
                <w:top w:val="none" w:sz="0" w:space="0" w:color="auto"/>
                <w:left w:val="none" w:sz="0" w:space="0" w:color="auto"/>
                <w:bottom w:val="none" w:sz="0" w:space="0" w:color="auto"/>
                <w:right w:val="none" w:sz="0" w:space="0" w:color="auto"/>
              </w:divBdr>
              <w:divsChild>
                <w:div w:id="261183392">
                  <w:marLeft w:val="0"/>
                  <w:marRight w:val="0"/>
                  <w:marTop w:val="0"/>
                  <w:marBottom w:val="0"/>
                  <w:divBdr>
                    <w:top w:val="none" w:sz="0" w:space="0" w:color="auto"/>
                    <w:left w:val="none" w:sz="0" w:space="0" w:color="auto"/>
                    <w:bottom w:val="none" w:sz="0" w:space="0" w:color="auto"/>
                    <w:right w:val="none" w:sz="0" w:space="0" w:color="auto"/>
                  </w:divBdr>
                  <w:divsChild>
                    <w:div w:id="98571649">
                      <w:marLeft w:val="0"/>
                      <w:marRight w:val="0"/>
                      <w:marTop w:val="0"/>
                      <w:marBottom w:val="0"/>
                      <w:divBdr>
                        <w:top w:val="none" w:sz="0" w:space="0" w:color="auto"/>
                        <w:left w:val="none" w:sz="0" w:space="0" w:color="auto"/>
                        <w:bottom w:val="none" w:sz="0" w:space="0" w:color="auto"/>
                        <w:right w:val="none" w:sz="0" w:space="0" w:color="auto"/>
                      </w:divBdr>
                      <w:divsChild>
                        <w:div w:id="1054088701">
                          <w:marLeft w:val="0"/>
                          <w:marRight w:val="0"/>
                          <w:marTop w:val="0"/>
                          <w:marBottom w:val="0"/>
                          <w:divBdr>
                            <w:top w:val="none" w:sz="0" w:space="0" w:color="auto"/>
                            <w:left w:val="none" w:sz="0" w:space="0" w:color="auto"/>
                            <w:bottom w:val="none" w:sz="0" w:space="0" w:color="auto"/>
                            <w:right w:val="none" w:sz="0" w:space="0" w:color="auto"/>
                          </w:divBdr>
                          <w:divsChild>
                            <w:div w:id="8797557">
                              <w:marLeft w:val="0"/>
                              <w:marRight w:val="0"/>
                              <w:marTop w:val="0"/>
                              <w:marBottom w:val="0"/>
                              <w:divBdr>
                                <w:top w:val="none" w:sz="0" w:space="0" w:color="auto"/>
                                <w:left w:val="none" w:sz="0" w:space="0" w:color="auto"/>
                                <w:bottom w:val="none" w:sz="0" w:space="0" w:color="auto"/>
                                <w:right w:val="none" w:sz="0" w:space="0" w:color="auto"/>
                              </w:divBdr>
                              <w:divsChild>
                                <w:div w:id="2082557540">
                                  <w:marLeft w:val="0"/>
                                  <w:marRight w:val="0"/>
                                  <w:marTop w:val="0"/>
                                  <w:marBottom w:val="0"/>
                                  <w:divBdr>
                                    <w:top w:val="none" w:sz="0" w:space="0" w:color="auto"/>
                                    <w:left w:val="none" w:sz="0" w:space="0" w:color="auto"/>
                                    <w:bottom w:val="none" w:sz="0" w:space="0" w:color="auto"/>
                                    <w:right w:val="none" w:sz="0" w:space="0" w:color="auto"/>
                                  </w:divBdr>
                                  <w:divsChild>
                                    <w:div w:id="74985642">
                                      <w:marLeft w:val="0"/>
                                      <w:marRight w:val="0"/>
                                      <w:marTop w:val="0"/>
                                      <w:marBottom w:val="0"/>
                                      <w:divBdr>
                                        <w:top w:val="none" w:sz="0" w:space="0" w:color="auto"/>
                                        <w:left w:val="none" w:sz="0" w:space="0" w:color="auto"/>
                                        <w:bottom w:val="none" w:sz="0" w:space="0" w:color="auto"/>
                                        <w:right w:val="none" w:sz="0" w:space="0" w:color="auto"/>
                                      </w:divBdr>
                                      <w:divsChild>
                                        <w:div w:id="1021249069">
                                          <w:marLeft w:val="0"/>
                                          <w:marRight w:val="0"/>
                                          <w:marTop w:val="0"/>
                                          <w:marBottom w:val="0"/>
                                          <w:divBdr>
                                            <w:top w:val="none" w:sz="0" w:space="0" w:color="auto"/>
                                            <w:left w:val="none" w:sz="0" w:space="0" w:color="auto"/>
                                            <w:bottom w:val="none" w:sz="0" w:space="0" w:color="auto"/>
                                            <w:right w:val="none" w:sz="0" w:space="0" w:color="auto"/>
                                          </w:divBdr>
                                          <w:divsChild>
                                            <w:div w:id="271018648">
                                              <w:marLeft w:val="0"/>
                                              <w:marRight w:val="0"/>
                                              <w:marTop w:val="0"/>
                                              <w:marBottom w:val="0"/>
                                              <w:divBdr>
                                                <w:top w:val="none" w:sz="0" w:space="0" w:color="auto"/>
                                                <w:left w:val="none" w:sz="0" w:space="0" w:color="auto"/>
                                                <w:bottom w:val="none" w:sz="0" w:space="0" w:color="auto"/>
                                                <w:right w:val="none" w:sz="0" w:space="0" w:color="auto"/>
                                              </w:divBdr>
                                            </w:div>
                                            <w:div w:id="405962167">
                                              <w:marLeft w:val="0"/>
                                              <w:marRight w:val="0"/>
                                              <w:marTop w:val="0"/>
                                              <w:marBottom w:val="0"/>
                                              <w:divBdr>
                                                <w:top w:val="none" w:sz="0" w:space="0" w:color="auto"/>
                                                <w:left w:val="none" w:sz="0" w:space="0" w:color="auto"/>
                                                <w:bottom w:val="none" w:sz="0" w:space="0" w:color="auto"/>
                                                <w:right w:val="none" w:sz="0" w:space="0" w:color="auto"/>
                                              </w:divBdr>
                                            </w:div>
                                            <w:div w:id="551429385">
                                              <w:marLeft w:val="0"/>
                                              <w:marRight w:val="0"/>
                                              <w:marTop w:val="0"/>
                                              <w:marBottom w:val="0"/>
                                              <w:divBdr>
                                                <w:top w:val="none" w:sz="0" w:space="0" w:color="auto"/>
                                                <w:left w:val="none" w:sz="0" w:space="0" w:color="auto"/>
                                                <w:bottom w:val="none" w:sz="0" w:space="0" w:color="auto"/>
                                                <w:right w:val="none" w:sz="0" w:space="0" w:color="auto"/>
                                              </w:divBdr>
                                            </w:div>
                                            <w:div w:id="1180658256">
                                              <w:marLeft w:val="0"/>
                                              <w:marRight w:val="0"/>
                                              <w:marTop w:val="0"/>
                                              <w:marBottom w:val="0"/>
                                              <w:divBdr>
                                                <w:top w:val="none" w:sz="0" w:space="0" w:color="auto"/>
                                                <w:left w:val="none" w:sz="0" w:space="0" w:color="auto"/>
                                                <w:bottom w:val="none" w:sz="0" w:space="0" w:color="auto"/>
                                                <w:right w:val="none" w:sz="0" w:space="0" w:color="auto"/>
                                              </w:divBdr>
                                            </w:div>
                                            <w:div w:id="1402479865">
                                              <w:marLeft w:val="0"/>
                                              <w:marRight w:val="0"/>
                                              <w:marTop w:val="0"/>
                                              <w:marBottom w:val="0"/>
                                              <w:divBdr>
                                                <w:top w:val="none" w:sz="0" w:space="0" w:color="auto"/>
                                                <w:left w:val="none" w:sz="0" w:space="0" w:color="auto"/>
                                                <w:bottom w:val="none" w:sz="0" w:space="0" w:color="auto"/>
                                                <w:right w:val="none" w:sz="0" w:space="0" w:color="auto"/>
                                              </w:divBdr>
                                            </w:div>
                                            <w:div w:id="1774470137">
                                              <w:marLeft w:val="0"/>
                                              <w:marRight w:val="0"/>
                                              <w:marTop w:val="0"/>
                                              <w:marBottom w:val="0"/>
                                              <w:divBdr>
                                                <w:top w:val="none" w:sz="0" w:space="0" w:color="auto"/>
                                                <w:left w:val="none" w:sz="0" w:space="0" w:color="auto"/>
                                                <w:bottom w:val="none" w:sz="0" w:space="0" w:color="auto"/>
                                                <w:right w:val="none" w:sz="0" w:space="0" w:color="auto"/>
                                              </w:divBdr>
                                            </w:div>
                                            <w:div w:id="194572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7337647">
      <w:bodyDiv w:val="1"/>
      <w:marLeft w:val="0"/>
      <w:marRight w:val="0"/>
      <w:marTop w:val="0"/>
      <w:marBottom w:val="0"/>
      <w:divBdr>
        <w:top w:val="none" w:sz="0" w:space="0" w:color="auto"/>
        <w:left w:val="none" w:sz="0" w:space="0" w:color="auto"/>
        <w:bottom w:val="none" w:sz="0" w:space="0" w:color="auto"/>
        <w:right w:val="none" w:sz="0" w:space="0" w:color="auto"/>
      </w:divBdr>
    </w:div>
    <w:div w:id="1477531218">
      <w:bodyDiv w:val="1"/>
      <w:marLeft w:val="0"/>
      <w:marRight w:val="0"/>
      <w:marTop w:val="0"/>
      <w:marBottom w:val="0"/>
      <w:divBdr>
        <w:top w:val="none" w:sz="0" w:space="0" w:color="auto"/>
        <w:left w:val="none" w:sz="0" w:space="0" w:color="auto"/>
        <w:bottom w:val="none" w:sz="0" w:space="0" w:color="auto"/>
        <w:right w:val="none" w:sz="0" w:space="0" w:color="auto"/>
      </w:divBdr>
    </w:div>
    <w:div w:id="1477794769">
      <w:bodyDiv w:val="1"/>
      <w:marLeft w:val="0"/>
      <w:marRight w:val="0"/>
      <w:marTop w:val="0"/>
      <w:marBottom w:val="0"/>
      <w:divBdr>
        <w:top w:val="none" w:sz="0" w:space="0" w:color="auto"/>
        <w:left w:val="none" w:sz="0" w:space="0" w:color="auto"/>
        <w:bottom w:val="none" w:sz="0" w:space="0" w:color="auto"/>
        <w:right w:val="none" w:sz="0" w:space="0" w:color="auto"/>
      </w:divBdr>
      <w:divsChild>
        <w:div w:id="1040057493">
          <w:marLeft w:val="0"/>
          <w:marRight w:val="0"/>
          <w:marTop w:val="0"/>
          <w:marBottom w:val="0"/>
          <w:divBdr>
            <w:top w:val="none" w:sz="0" w:space="0" w:color="auto"/>
            <w:left w:val="none" w:sz="0" w:space="0" w:color="auto"/>
            <w:bottom w:val="none" w:sz="0" w:space="0" w:color="auto"/>
            <w:right w:val="none" w:sz="0" w:space="0" w:color="auto"/>
          </w:divBdr>
          <w:divsChild>
            <w:div w:id="1858301718">
              <w:marLeft w:val="0"/>
              <w:marRight w:val="0"/>
              <w:marTop w:val="0"/>
              <w:marBottom w:val="0"/>
              <w:divBdr>
                <w:top w:val="none" w:sz="0" w:space="0" w:color="auto"/>
                <w:left w:val="none" w:sz="0" w:space="0" w:color="auto"/>
                <w:bottom w:val="none" w:sz="0" w:space="0" w:color="auto"/>
                <w:right w:val="none" w:sz="0" w:space="0" w:color="auto"/>
              </w:divBdr>
              <w:divsChild>
                <w:div w:id="218248665">
                  <w:marLeft w:val="0"/>
                  <w:marRight w:val="0"/>
                  <w:marTop w:val="0"/>
                  <w:marBottom w:val="0"/>
                  <w:divBdr>
                    <w:top w:val="none" w:sz="0" w:space="0" w:color="auto"/>
                    <w:left w:val="none" w:sz="0" w:space="0" w:color="auto"/>
                    <w:bottom w:val="none" w:sz="0" w:space="0" w:color="auto"/>
                    <w:right w:val="none" w:sz="0" w:space="0" w:color="auto"/>
                  </w:divBdr>
                  <w:divsChild>
                    <w:div w:id="1494445437">
                      <w:marLeft w:val="0"/>
                      <w:marRight w:val="0"/>
                      <w:marTop w:val="0"/>
                      <w:marBottom w:val="0"/>
                      <w:divBdr>
                        <w:top w:val="none" w:sz="0" w:space="0" w:color="auto"/>
                        <w:left w:val="none" w:sz="0" w:space="0" w:color="auto"/>
                        <w:bottom w:val="none" w:sz="0" w:space="0" w:color="auto"/>
                        <w:right w:val="none" w:sz="0" w:space="0" w:color="auto"/>
                      </w:divBdr>
                      <w:divsChild>
                        <w:div w:id="1466003973">
                          <w:marLeft w:val="0"/>
                          <w:marRight w:val="0"/>
                          <w:marTop w:val="0"/>
                          <w:marBottom w:val="0"/>
                          <w:divBdr>
                            <w:top w:val="none" w:sz="0" w:space="0" w:color="auto"/>
                            <w:left w:val="none" w:sz="0" w:space="0" w:color="auto"/>
                            <w:bottom w:val="none" w:sz="0" w:space="0" w:color="auto"/>
                            <w:right w:val="none" w:sz="0" w:space="0" w:color="auto"/>
                          </w:divBdr>
                          <w:divsChild>
                            <w:div w:id="1925412014">
                              <w:marLeft w:val="0"/>
                              <w:marRight w:val="0"/>
                              <w:marTop w:val="0"/>
                              <w:marBottom w:val="0"/>
                              <w:divBdr>
                                <w:top w:val="none" w:sz="0" w:space="0" w:color="auto"/>
                                <w:left w:val="none" w:sz="0" w:space="0" w:color="auto"/>
                                <w:bottom w:val="none" w:sz="0" w:space="0" w:color="auto"/>
                                <w:right w:val="none" w:sz="0" w:space="0" w:color="auto"/>
                              </w:divBdr>
                              <w:divsChild>
                                <w:div w:id="12540727">
                                  <w:marLeft w:val="0"/>
                                  <w:marRight w:val="0"/>
                                  <w:marTop w:val="0"/>
                                  <w:marBottom w:val="0"/>
                                  <w:divBdr>
                                    <w:top w:val="none" w:sz="0" w:space="0" w:color="auto"/>
                                    <w:left w:val="none" w:sz="0" w:space="0" w:color="auto"/>
                                    <w:bottom w:val="none" w:sz="0" w:space="0" w:color="auto"/>
                                    <w:right w:val="none" w:sz="0" w:space="0" w:color="auto"/>
                                  </w:divBdr>
                                  <w:divsChild>
                                    <w:div w:id="50517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7911581">
      <w:bodyDiv w:val="1"/>
      <w:marLeft w:val="0"/>
      <w:marRight w:val="0"/>
      <w:marTop w:val="0"/>
      <w:marBottom w:val="0"/>
      <w:divBdr>
        <w:top w:val="none" w:sz="0" w:space="0" w:color="auto"/>
        <w:left w:val="none" w:sz="0" w:space="0" w:color="auto"/>
        <w:bottom w:val="none" w:sz="0" w:space="0" w:color="auto"/>
        <w:right w:val="none" w:sz="0" w:space="0" w:color="auto"/>
      </w:divBdr>
      <w:divsChild>
        <w:div w:id="500659611">
          <w:marLeft w:val="0"/>
          <w:marRight w:val="0"/>
          <w:marTop w:val="0"/>
          <w:marBottom w:val="0"/>
          <w:divBdr>
            <w:top w:val="none" w:sz="0" w:space="0" w:color="auto"/>
            <w:left w:val="none" w:sz="0" w:space="0" w:color="auto"/>
            <w:bottom w:val="none" w:sz="0" w:space="0" w:color="auto"/>
            <w:right w:val="none" w:sz="0" w:space="0" w:color="auto"/>
          </w:divBdr>
          <w:divsChild>
            <w:div w:id="1108550291">
              <w:marLeft w:val="0"/>
              <w:marRight w:val="0"/>
              <w:marTop w:val="0"/>
              <w:marBottom w:val="150"/>
              <w:divBdr>
                <w:top w:val="none" w:sz="0" w:space="0" w:color="auto"/>
                <w:left w:val="none" w:sz="0" w:space="0" w:color="auto"/>
                <w:bottom w:val="none" w:sz="0" w:space="0" w:color="auto"/>
                <w:right w:val="none" w:sz="0" w:space="0" w:color="auto"/>
              </w:divBdr>
            </w:div>
            <w:div w:id="198149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91277">
      <w:bodyDiv w:val="1"/>
      <w:marLeft w:val="0"/>
      <w:marRight w:val="0"/>
      <w:marTop w:val="0"/>
      <w:marBottom w:val="0"/>
      <w:divBdr>
        <w:top w:val="none" w:sz="0" w:space="0" w:color="auto"/>
        <w:left w:val="none" w:sz="0" w:space="0" w:color="auto"/>
        <w:bottom w:val="none" w:sz="0" w:space="0" w:color="auto"/>
        <w:right w:val="none" w:sz="0" w:space="0" w:color="auto"/>
      </w:divBdr>
      <w:divsChild>
        <w:div w:id="690452861">
          <w:marLeft w:val="0"/>
          <w:marRight w:val="0"/>
          <w:marTop w:val="0"/>
          <w:marBottom w:val="0"/>
          <w:divBdr>
            <w:top w:val="none" w:sz="0" w:space="0" w:color="auto"/>
            <w:left w:val="none" w:sz="0" w:space="0" w:color="auto"/>
            <w:bottom w:val="none" w:sz="0" w:space="0" w:color="auto"/>
            <w:right w:val="none" w:sz="0" w:space="0" w:color="auto"/>
          </w:divBdr>
        </w:div>
      </w:divsChild>
    </w:div>
    <w:div w:id="1478065685">
      <w:bodyDiv w:val="1"/>
      <w:marLeft w:val="0"/>
      <w:marRight w:val="0"/>
      <w:marTop w:val="0"/>
      <w:marBottom w:val="0"/>
      <w:divBdr>
        <w:top w:val="none" w:sz="0" w:space="0" w:color="auto"/>
        <w:left w:val="none" w:sz="0" w:space="0" w:color="auto"/>
        <w:bottom w:val="none" w:sz="0" w:space="0" w:color="auto"/>
        <w:right w:val="none" w:sz="0" w:space="0" w:color="auto"/>
      </w:divBdr>
      <w:divsChild>
        <w:div w:id="1151872382">
          <w:marLeft w:val="0"/>
          <w:marRight w:val="0"/>
          <w:marTop w:val="0"/>
          <w:marBottom w:val="150"/>
          <w:divBdr>
            <w:top w:val="none" w:sz="0" w:space="0" w:color="auto"/>
            <w:left w:val="none" w:sz="0" w:space="0" w:color="auto"/>
            <w:bottom w:val="none" w:sz="0" w:space="0" w:color="auto"/>
            <w:right w:val="none" w:sz="0" w:space="0" w:color="auto"/>
          </w:divBdr>
        </w:div>
      </w:divsChild>
    </w:div>
    <w:div w:id="1478451520">
      <w:bodyDiv w:val="1"/>
      <w:marLeft w:val="0"/>
      <w:marRight w:val="0"/>
      <w:marTop w:val="0"/>
      <w:marBottom w:val="0"/>
      <w:divBdr>
        <w:top w:val="none" w:sz="0" w:space="0" w:color="auto"/>
        <w:left w:val="none" w:sz="0" w:space="0" w:color="auto"/>
        <w:bottom w:val="none" w:sz="0" w:space="0" w:color="auto"/>
        <w:right w:val="none" w:sz="0" w:space="0" w:color="auto"/>
      </w:divBdr>
    </w:div>
    <w:div w:id="1478717176">
      <w:bodyDiv w:val="1"/>
      <w:marLeft w:val="0"/>
      <w:marRight w:val="0"/>
      <w:marTop w:val="0"/>
      <w:marBottom w:val="0"/>
      <w:divBdr>
        <w:top w:val="none" w:sz="0" w:space="0" w:color="auto"/>
        <w:left w:val="none" w:sz="0" w:space="0" w:color="auto"/>
        <w:bottom w:val="none" w:sz="0" w:space="0" w:color="auto"/>
        <w:right w:val="none" w:sz="0" w:space="0" w:color="auto"/>
      </w:divBdr>
      <w:divsChild>
        <w:div w:id="1556312264">
          <w:marLeft w:val="0"/>
          <w:marRight w:val="0"/>
          <w:marTop w:val="0"/>
          <w:marBottom w:val="0"/>
          <w:divBdr>
            <w:top w:val="none" w:sz="0" w:space="0" w:color="auto"/>
            <w:left w:val="none" w:sz="0" w:space="0" w:color="auto"/>
            <w:bottom w:val="dotted" w:sz="6" w:space="4" w:color="DDDDDD"/>
            <w:right w:val="none" w:sz="0" w:space="0" w:color="auto"/>
          </w:divBdr>
        </w:div>
      </w:divsChild>
    </w:div>
    <w:div w:id="1479304221">
      <w:bodyDiv w:val="1"/>
      <w:marLeft w:val="0"/>
      <w:marRight w:val="0"/>
      <w:marTop w:val="0"/>
      <w:marBottom w:val="0"/>
      <w:divBdr>
        <w:top w:val="none" w:sz="0" w:space="0" w:color="auto"/>
        <w:left w:val="none" w:sz="0" w:space="0" w:color="auto"/>
        <w:bottom w:val="none" w:sz="0" w:space="0" w:color="auto"/>
        <w:right w:val="none" w:sz="0" w:space="0" w:color="auto"/>
      </w:divBdr>
      <w:divsChild>
        <w:div w:id="288166221">
          <w:marLeft w:val="0"/>
          <w:marRight w:val="0"/>
          <w:marTop w:val="0"/>
          <w:marBottom w:val="150"/>
          <w:divBdr>
            <w:top w:val="none" w:sz="0" w:space="0" w:color="auto"/>
            <w:left w:val="none" w:sz="0" w:space="0" w:color="auto"/>
            <w:bottom w:val="none" w:sz="0" w:space="0" w:color="auto"/>
            <w:right w:val="none" w:sz="0" w:space="0" w:color="auto"/>
          </w:divBdr>
          <w:divsChild>
            <w:div w:id="685786184">
              <w:marLeft w:val="0"/>
              <w:marRight w:val="0"/>
              <w:marTop w:val="0"/>
              <w:marBottom w:val="0"/>
              <w:divBdr>
                <w:top w:val="none" w:sz="0" w:space="0" w:color="auto"/>
                <w:left w:val="none" w:sz="0" w:space="0" w:color="auto"/>
                <w:bottom w:val="none" w:sz="0" w:space="0" w:color="auto"/>
                <w:right w:val="none" w:sz="0" w:space="0" w:color="auto"/>
              </w:divBdr>
              <w:divsChild>
                <w:div w:id="17914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32030">
          <w:marLeft w:val="0"/>
          <w:marRight w:val="0"/>
          <w:marTop w:val="0"/>
          <w:marBottom w:val="0"/>
          <w:divBdr>
            <w:top w:val="none" w:sz="0" w:space="0" w:color="auto"/>
            <w:left w:val="none" w:sz="0" w:space="0" w:color="auto"/>
            <w:bottom w:val="none" w:sz="0" w:space="0" w:color="auto"/>
            <w:right w:val="none" w:sz="0" w:space="0" w:color="auto"/>
          </w:divBdr>
          <w:divsChild>
            <w:div w:id="189883420">
              <w:marLeft w:val="0"/>
              <w:marRight w:val="0"/>
              <w:marTop w:val="0"/>
              <w:marBottom w:val="0"/>
              <w:divBdr>
                <w:top w:val="none" w:sz="0" w:space="0" w:color="auto"/>
                <w:left w:val="none" w:sz="0" w:space="0" w:color="auto"/>
                <w:bottom w:val="none" w:sz="0" w:space="0" w:color="auto"/>
                <w:right w:val="none" w:sz="0" w:space="0" w:color="auto"/>
              </w:divBdr>
              <w:divsChild>
                <w:div w:id="2119828661">
                  <w:marLeft w:val="0"/>
                  <w:marRight w:val="0"/>
                  <w:marTop w:val="225"/>
                  <w:marBottom w:val="225"/>
                  <w:divBdr>
                    <w:top w:val="none" w:sz="0" w:space="0" w:color="auto"/>
                    <w:left w:val="none" w:sz="0" w:space="0" w:color="auto"/>
                    <w:bottom w:val="none" w:sz="0" w:space="0" w:color="auto"/>
                    <w:right w:val="none" w:sz="0" w:space="0" w:color="auto"/>
                  </w:divBdr>
                </w:div>
              </w:divsChild>
            </w:div>
            <w:div w:id="13881440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80225145">
      <w:bodyDiv w:val="1"/>
      <w:marLeft w:val="0"/>
      <w:marRight w:val="0"/>
      <w:marTop w:val="0"/>
      <w:marBottom w:val="0"/>
      <w:divBdr>
        <w:top w:val="none" w:sz="0" w:space="0" w:color="auto"/>
        <w:left w:val="none" w:sz="0" w:space="0" w:color="auto"/>
        <w:bottom w:val="none" w:sz="0" w:space="0" w:color="auto"/>
        <w:right w:val="none" w:sz="0" w:space="0" w:color="auto"/>
      </w:divBdr>
      <w:divsChild>
        <w:div w:id="70127752">
          <w:marLeft w:val="0"/>
          <w:marRight w:val="0"/>
          <w:marTop w:val="0"/>
          <w:marBottom w:val="450"/>
          <w:divBdr>
            <w:top w:val="none" w:sz="0" w:space="0" w:color="auto"/>
            <w:left w:val="none" w:sz="0" w:space="0" w:color="auto"/>
            <w:bottom w:val="single" w:sz="6" w:space="19" w:color="EEEEEE"/>
            <w:right w:val="none" w:sz="0" w:space="0" w:color="auto"/>
          </w:divBdr>
          <w:divsChild>
            <w:div w:id="1564491008">
              <w:marLeft w:val="0"/>
              <w:marRight w:val="0"/>
              <w:marTop w:val="0"/>
              <w:marBottom w:val="150"/>
              <w:divBdr>
                <w:top w:val="none" w:sz="0" w:space="0" w:color="auto"/>
                <w:left w:val="none" w:sz="0" w:space="0" w:color="auto"/>
                <w:bottom w:val="none" w:sz="0" w:space="0" w:color="auto"/>
                <w:right w:val="none" w:sz="0" w:space="0" w:color="auto"/>
              </w:divBdr>
              <w:divsChild>
                <w:div w:id="1581982822">
                  <w:marLeft w:val="0"/>
                  <w:marRight w:val="0"/>
                  <w:marTop w:val="0"/>
                  <w:marBottom w:val="0"/>
                  <w:divBdr>
                    <w:top w:val="none" w:sz="0" w:space="0" w:color="auto"/>
                    <w:left w:val="none" w:sz="0" w:space="0" w:color="auto"/>
                    <w:bottom w:val="none" w:sz="0" w:space="0" w:color="auto"/>
                    <w:right w:val="none" w:sz="0" w:space="0" w:color="auto"/>
                  </w:divBdr>
                </w:div>
              </w:divsChild>
            </w:div>
            <w:div w:id="980689792">
              <w:marLeft w:val="0"/>
              <w:marRight w:val="0"/>
              <w:marTop w:val="0"/>
              <w:marBottom w:val="0"/>
              <w:divBdr>
                <w:top w:val="none" w:sz="0" w:space="0" w:color="auto"/>
                <w:left w:val="none" w:sz="0" w:space="0" w:color="auto"/>
                <w:bottom w:val="none" w:sz="0" w:space="0" w:color="auto"/>
                <w:right w:val="none" w:sz="0" w:space="0" w:color="auto"/>
              </w:divBdr>
            </w:div>
          </w:divsChild>
        </w:div>
        <w:div w:id="1732077614">
          <w:marLeft w:val="0"/>
          <w:marRight w:val="0"/>
          <w:marTop w:val="0"/>
          <w:marBottom w:val="0"/>
          <w:divBdr>
            <w:top w:val="none" w:sz="0" w:space="0" w:color="auto"/>
            <w:left w:val="none" w:sz="0" w:space="0" w:color="auto"/>
            <w:bottom w:val="none" w:sz="0" w:space="0" w:color="auto"/>
            <w:right w:val="none" w:sz="0" w:space="0" w:color="auto"/>
          </w:divBdr>
          <w:divsChild>
            <w:div w:id="134880020">
              <w:marLeft w:val="0"/>
              <w:marRight w:val="0"/>
              <w:marTop w:val="0"/>
              <w:marBottom w:val="0"/>
              <w:divBdr>
                <w:top w:val="none" w:sz="0" w:space="0" w:color="auto"/>
                <w:left w:val="none" w:sz="0" w:space="0" w:color="auto"/>
                <w:bottom w:val="none" w:sz="0" w:space="0" w:color="auto"/>
                <w:right w:val="none" w:sz="0" w:space="0" w:color="auto"/>
              </w:divBdr>
              <w:divsChild>
                <w:div w:id="12165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41053">
      <w:bodyDiv w:val="1"/>
      <w:marLeft w:val="0"/>
      <w:marRight w:val="0"/>
      <w:marTop w:val="0"/>
      <w:marBottom w:val="0"/>
      <w:divBdr>
        <w:top w:val="none" w:sz="0" w:space="0" w:color="auto"/>
        <w:left w:val="none" w:sz="0" w:space="0" w:color="auto"/>
        <w:bottom w:val="none" w:sz="0" w:space="0" w:color="auto"/>
        <w:right w:val="none" w:sz="0" w:space="0" w:color="auto"/>
      </w:divBdr>
      <w:divsChild>
        <w:div w:id="598561595">
          <w:marLeft w:val="0"/>
          <w:marRight w:val="0"/>
          <w:marTop w:val="0"/>
          <w:marBottom w:val="150"/>
          <w:divBdr>
            <w:top w:val="none" w:sz="0" w:space="0" w:color="auto"/>
            <w:left w:val="none" w:sz="0" w:space="0" w:color="auto"/>
            <w:bottom w:val="none" w:sz="0" w:space="0" w:color="auto"/>
            <w:right w:val="none" w:sz="0" w:space="0" w:color="auto"/>
          </w:divBdr>
          <w:divsChild>
            <w:div w:id="562450395">
              <w:marLeft w:val="0"/>
              <w:marRight w:val="0"/>
              <w:marTop w:val="0"/>
              <w:marBottom w:val="0"/>
              <w:divBdr>
                <w:top w:val="none" w:sz="0" w:space="0" w:color="auto"/>
                <w:left w:val="none" w:sz="0" w:space="0" w:color="auto"/>
                <w:bottom w:val="none" w:sz="0" w:space="0" w:color="auto"/>
                <w:right w:val="none" w:sz="0" w:space="0" w:color="auto"/>
              </w:divBdr>
            </w:div>
          </w:divsChild>
        </w:div>
        <w:div w:id="1392465007">
          <w:marLeft w:val="0"/>
          <w:marRight w:val="0"/>
          <w:marTop w:val="0"/>
          <w:marBottom w:val="0"/>
          <w:divBdr>
            <w:top w:val="none" w:sz="0" w:space="0" w:color="auto"/>
            <w:left w:val="none" w:sz="0" w:space="0" w:color="auto"/>
            <w:bottom w:val="none" w:sz="0" w:space="0" w:color="auto"/>
            <w:right w:val="none" w:sz="0" w:space="0" w:color="auto"/>
          </w:divBdr>
          <w:divsChild>
            <w:div w:id="148258159">
              <w:marLeft w:val="0"/>
              <w:marRight w:val="0"/>
              <w:marTop w:val="0"/>
              <w:marBottom w:val="0"/>
              <w:divBdr>
                <w:top w:val="none" w:sz="0" w:space="0" w:color="auto"/>
                <w:left w:val="none" w:sz="0" w:space="0" w:color="auto"/>
                <w:bottom w:val="none" w:sz="0" w:space="0" w:color="auto"/>
                <w:right w:val="none" w:sz="0" w:space="0" w:color="auto"/>
              </w:divBdr>
            </w:div>
            <w:div w:id="3065219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81386280">
      <w:bodyDiv w:val="1"/>
      <w:marLeft w:val="0"/>
      <w:marRight w:val="0"/>
      <w:marTop w:val="0"/>
      <w:marBottom w:val="0"/>
      <w:divBdr>
        <w:top w:val="none" w:sz="0" w:space="0" w:color="auto"/>
        <w:left w:val="none" w:sz="0" w:space="0" w:color="auto"/>
        <w:bottom w:val="none" w:sz="0" w:space="0" w:color="auto"/>
        <w:right w:val="none" w:sz="0" w:space="0" w:color="auto"/>
      </w:divBdr>
      <w:divsChild>
        <w:div w:id="956332734">
          <w:marLeft w:val="0"/>
          <w:marRight w:val="0"/>
          <w:marTop w:val="0"/>
          <w:marBottom w:val="150"/>
          <w:divBdr>
            <w:top w:val="none" w:sz="0" w:space="0" w:color="auto"/>
            <w:left w:val="none" w:sz="0" w:space="0" w:color="auto"/>
            <w:bottom w:val="none" w:sz="0" w:space="0" w:color="auto"/>
            <w:right w:val="none" w:sz="0" w:space="0" w:color="auto"/>
          </w:divBdr>
        </w:div>
        <w:div w:id="1471243440">
          <w:marLeft w:val="0"/>
          <w:marRight w:val="0"/>
          <w:marTop w:val="0"/>
          <w:marBottom w:val="0"/>
          <w:divBdr>
            <w:top w:val="none" w:sz="0" w:space="0" w:color="auto"/>
            <w:left w:val="none" w:sz="0" w:space="0" w:color="auto"/>
            <w:bottom w:val="none" w:sz="0" w:space="0" w:color="auto"/>
            <w:right w:val="none" w:sz="0" w:space="0" w:color="auto"/>
          </w:divBdr>
        </w:div>
      </w:divsChild>
    </w:div>
    <w:div w:id="1481533706">
      <w:bodyDiv w:val="1"/>
      <w:marLeft w:val="0"/>
      <w:marRight w:val="0"/>
      <w:marTop w:val="0"/>
      <w:marBottom w:val="0"/>
      <w:divBdr>
        <w:top w:val="none" w:sz="0" w:space="0" w:color="auto"/>
        <w:left w:val="none" w:sz="0" w:space="0" w:color="auto"/>
        <w:bottom w:val="none" w:sz="0" w:space="0" w:color="auto"/>
        <w:right w:val="none" w:sz="0" w:space="0" w:color="auto"/>
      </w:divBdr>
      <w:divsChild>
        <w:div w:id="189030496">
          <w:marLeft w:val="0"/>
          <w:marRight w:val="0"/>
          <w:marTop w:val="0"/>
          <w:marBottom w:val="0"/>
          <w:divBdr>
            <w:top w:val="none" w:sz="0" w:space="0" w:color="auto"/>
            <w:left w:val="none" w:sz="0" w:space="0" w:color="auto"/>
            <w:bottom w:val="none" w:sz="0" w:space="0" w:color="auto"/>
            <w:right w:val="none" w:sz="0" w:space="0" w:color="auto"/>
          </w:divBdr>
          <w:divsChild>
            <w:div w:id="364134218">
              <w:marLeft w:val="0"/>
              <w:marRight w:val="0"/>
              <w:marTop w:val="0"/>
              <w:marBottom w:val="0"/>
              <w:divBdr>
                <w:top w:val="none" w:sz="0" w:space="0" w:color="auto"/>
                <w:left w:val="none" w:sz="0" w:space="0" w:color="auto"/>
                <w:bottom w:val="none" w:sz="0" w:space="0" w:color="auto"/>
                <w:right w:val="none" w:sz="0" w:space="0" w:color="auto"/>
              </w:divBdr>
            </w:div>
          </w:divsChild>
        </w:div>
        <w:div w:id="717898949">
          <w:marLeft w:val="0"/>
          <w:marRight w:val="0"/>
          <w:marTop w:val="0"/>
          <w:marBottom w:val="150"/>
          <w:divBdr>
            <w:top w:val="none" w:sz="0" w:space="0" w:color="auto"/>
            <w:left w:val="none" w:sz="0" w:space="0" w:color="auto"/>
            <w:bottom w:val="none" w:sz="0" w:space="0" w:color="auto"/>
            <w:right w:val="none" w:sz="0" w:space="0" w:color="auto"/>
          </w:divBdr>
          <w:divsChild>
            <w:div w:id="408889975">
              <w:marLeft w:val="0"/>
              <w:marRight w:val="0"/>
              <w:marTop w:val="0"/>
              <w:marBottom w:val="0"/>
              <w:divBdr>
                <w:top w:val="none" w:sz="0" w:space="0" w:color="auto"/>
                <w:left w:val="none" w:sz="0" w:space="0" w:color="auto"/>
                <w:bottom w:val="none" w:sz="0" w:space="0" w:color="auto"/>
                <w:right w:val="none" w:sz="0" w:space="0" w:color="auto"/>
              </w:divBdr>
            </w:div>
          </w:divsChild>
        </w:div>
        <w:div w:id="1758817856">
          <w:marLeft w:val="0"/>
          <w:marRight w:val="0"/>
          <w:marTop w:val="0"/>
          <w:marBottom w:val="150"/>
          <w:divBdr>
            <w:top w:val="none" w:sz="0" w:space="0" w:color="auto"/>
            <w:left w:val="none" w:sz="0" w:space="0" w:color="auto"/>
            <w:bottom w:val="none" w:sz="0" w:space="0" w:color="auto"/>
            <w:right w:val="none" w:sz="0" w:space="0" w:color="auto"/>
          </w:divBdr>
        </w:div>
      </w:divsChild>
    </w:div>
    <w:div w:id="1482037740">
      <w:bodyDiv w:val="1"/>
      <w:marLeft w:val="0"/>
      <w:marRight w:val="0"/>
      <w:marTop w:val="0"/>
      <w:marBottom w:val="0"/>
      <w:divBdr>
        <w:top w:val="none" w:sz="0" w:space="0" w:color="auto"/>
        <w:left w:val="none" w:sz="0" w:space="0" w:color="auto"/>
        <w:bottom w:val="none" w:sz="0" w:space="0" w:color="auto"/>
        <w:right w:val="none" w:sz="0" w:space="0" w:color="auto"/>
      </w:divBdr>
      <w:divsChild>
        <w:div w:id="18557120">
          <w:marLeft w:val="0"/>
          <w:marRight w:val="0"/>
          <w:marTop w:val="0"/>
          <w:marBottom w:val="150"/>
          <w:divBdr>
            <w:top w:val="none" w:sz="0" w:space="0" w:color="auto"/>
            <w:left w:val="none" w:sz="0" w:space="0" w:color="auto"/>
            <w:bottom w:val="none" w:sz="0" w:space="0" w:color="auto"/>
            <w:right w:val="none" w:sz="0" w:space="0" w:color="auto"/>
          </w:divBdr>
        </w:div>
      </w:divsChild>
    </w:div>
    <w:div w:id="1483156119">
      <w:bodyDiv w:val="1"/>
      <w:marLeft w:val="0"/>
      <w:marRight w:val="0"/>
      <w:marTop w:val="0"/>
      <w:marBottom w:val="0"/>
      <w:divBdr>
        <w:top w:val="none" w:sz="0" w:space="0" w:color="auto"/>
        <w:left w:val="none" w:sz="0" w:space="0" w:color="auto"/>
        <w:bottom w:val="none" w:sz="0" w:space="0" w:color="auto"/>
        <w:right w:val="none" w:sz="0" w:space="0" w:color="auto"/>
      </w:divBdr>
      <w:divsChild>
        <w:div w:id="1336571385">
          <w:marLeft w:val="0"/>
          <w:marRight w:val="0"/>
          <w:marTop w:val="0"/>
          <w:marBottom w:val="150"/>
          <w:divBdr>
            <w:top w:val="none" w:sz="0" w:space="0" w:color="auto"/>
            <w:left w:val="none" w:sz="0" w:space="0" w:color="auto"/>
            <w:bottom w:val="none" w:sz="0" w:space="0" w:color="auto"/>
            <w:right w:val="none" w:sz="0" w:space="0" w:color="auto"/>
          </w:divBdr>
        </w:div>
        <w:div w:id="1885871912">
          <w:marLeft w:val="0"/>
          <w:marRight w:val="0"/>
          <w:marTop w:val="0"/>
          <w:marBottom w:val="0"/>
          <w:divBdr>
            <w:top w:val="none" w:sz="0" w:space="0" w:color="auto"/>
            <w:left w:val="none" w:sz="0" w:space="0" w:color="auto"/>
            <w:bottom w:val="none" w:sz="0" w:space="0" w:color="auto"/>
            <w:right w:val="none" w:sz="0" w:space="0" w:color="auto"/>
          </w:divBdr>
        </w:div>
      </w:divsChild>
    </w:div>
    <w:div w:id="1483231510">
      <w:bodyDiv w:val="1"/>
      <w:marLeft w:val="0"/>
      <w:marRight w:val="0"/>
      <w:marTop w:val="0"/>
      <w:marBottom w:val="0"/>
      <w:divBdr>
        <w:top w:val="none" w:sz="0" w:space="0" w:color="auto"/>
        <w:left w:val="none" w:sz="0" w:space="0" w:color="auto"/>
        <w:bottom w:val="none" w:sz="0" w:space="0" w:color="auto"/>
        <w:right w:val="none" w:sz="0" w:space="0" w:color="auto"/>
      </w:divBdr>
      <w:divsChild>
        <w:div w:id="408383094">
          <w:marLeft w:val="0"/>
          <w:marRight w:val="0"/>
          <w:marTop w:val="0"/>
          <w:marBottom w:val="0"/>
          <w:divBdr>
            <w:top w:val="none" w:sz="0" w:space="0" w:color="auto"/>
            <w:left w:val="none" w:sz="0" w:space="0" w:color="auto"/>
            <w:bottom w:val="none" w:sz="0" w:space="0" w:color="auto"/>
            <w:right w:val="none" w:sz="0" w:space="0" w:color="auto"/>
          </w:divBdr>
          <w:divsChild>
            <w:div w:id="1658849671">
              <w:marLeft w:val="0"/>
              <w:marRight w:val="0"/>
              <w:marTop w:val="0"/>
              <w:marBottom w:val="0"/>
              <w:divBdr>
                <w:top w:val="none" w:sz="0" w:space="0" w:color="auto"/>
                <w:left w:val="none" w:sz="0" w:space="0" w:color="auto"/>
                <w:bottom w:val="none" w:sz="0" w:space="0" w:color="auto"/>
                <w:right w:val="none" w:sz="0" w:space="0" w:color="auto"/>
              </w:divBdr>
              <w:divsChild>
                <w:div w:id="1091699665">
                  <w:marLeft w:val="0"/>
                  <w:marRight w:val="0"/>
                  <w:marTop w:val="0"/>
                  <w:marBottom w:val="0"/>
                  <w:divBdr>
                    <w:top w:val="none" w:sz="0" w:space="0" w:color="auto"/>
                    <w:left w:val="none" w:sz="0" w:space="0" w:color="auto"/>
                    <w:bottom w:val="none" w:sz="0" w:space="0" w:color="auto"/>
                    <w:right w:val="none" w:sz="0" w:space="0" w:color="auto"/>
                  </w:divBdr>
                  <w:divsChild>
                    <w:div w:id="1502623042">
                      <w:marLeft w:val="0"/>
                      <w:marRight w:val="0"/>
                      <w:marTop w:val="0"/>
                      <w:marBottom w:val="0"/>
                      <w:divBdr>
                        <w:top w:val="none" w:sz="0" w:space="0" w:color="auto"/>
                        <w:left w:val="none" w:sz="0" w:space="0" w:color="auto"/>
                        <w:bottom w:val="none" w:sz="0" w:space="0" w:color="auto"/>
                        <w:right w:val="none" w:sz="0" w:space="0" w:color="auto"/>
                      </w:divBdr>
                      <w:divsChild>
                        <w:div w:id="78508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3427915">
      <w:bodyDiv w:val="1"/>
      <w:marLeft w:val="0"/>
      <w:marRight w:val="0"/>
      <w:marTop w:val="0"/>
      <w:marBottom w:val="0"/>
      <w:divBdr>
        <w:top w:val="none" w:sz="0" w:space="0" w:color="auto"/>
        <w:left w:val="none" w:sz="0" w:space="0" w:color="auto"/>
        <w:bottom w:val="none" w:sz="0" w:space="0" w:color="auto"/>
        <w:right w:val="none" w:sz="0" w:space="0" w:color="auto"/>
      </w:divBdr>
      <w:divsChild>
        <w:div w:id="1365522211">
          <w:marLeft w:val="0"/>
          <w:marRight w:val="0"/>
          <w:marTop w:val="0"/>
          <w:marBottom w:val="0"/>
          <w:divBdr>
            <w:top w:val="none" w:sz="0" w:space="0" w:color="auto"/>
            <w:left w:val="none" w:sz="0" w:space="0" w:color="auto"/>
            <w:bottom w:val="none" w:sz="0" w:space="0" w:color="auto"/>
            <w:right w:val="none" w:sz="0" w:space="0" w:color="auto"/>
          </w:divBdr>
          <w:divsChild>
            <w:div w:id="210266952">
              <w:marLeft w:val="0"/>
              <w:marRight w:val="0"/>
              <w:marTop w:val="0"/>
              <w:marBottom w:val="0"/>
              <w:divBdr>
                <w:top w:val="none" w:sz="0" w:space="0" w:color="auto"/>
                <w:left w:val="none" w:sz="0" w:space="0" w:color="auto"/>
                <w:bottom w:val="none" w:sz="0" w:space="0" w:color="auto"/>
                <w:right w:val="none" w:sz="0" w:space="0" w:color="auto"/>
              </w:divBdr>
              <w:divsChild>
                <w:div w:id="421922146">
                  <w:marLeft w:val="0"/>
                  <w:marRight w:val="0"/>
                  <w:marTop w:val="0"/>
                  <w:marBottom w:val="0"/>
                  <w:divBdr>
                    <w:top w:val="none" w:sz="0" w:space="0" w:color="auto"/>
                    <w:left w:val="none" w:sz="0" w:space="0" w:color="auto"/>
                    <w:bottom w:val="none" w:sz="0" w:space="0" w:color="auto"/>
                    <w:right w:val="none" w:sz="0" w:space="0" w:color="auto"/>
                  </w:divBdr>
                  <w:divsChild>
                    <w:div w:id="2038849747">
                      <w:marLeft w:val="0"/>
                      <w:marRight w:val="0"/>
                      <w:marTop w:val="0"/>
                      <w:marBottom w:val="0"/>
                      <w:divBdr>
                        <w:top w:val="none" w:sz="0" w:space="0" w:color="auto"/>
                        <w:left w:val="none" w:sz="0" w:space="0" w:color="auto"/>
                        <w:bottom w:val="none" w:sz="0" w:space="0" w:color="auto"/>
                        <w:right w:val="none" w:sz="0" w:space="0" w:color="auto"/>
                      </w:divBdr>
                      <w:divsChild>
                        <w:div w:id="1488091992">
                          <w:marLeft w:val="0"/>
                          <w:marRight w:val="0"/>
                          <w:marTop w:val="0"/>
                          <w:marBottom w:val="0"/>
                          <w:divBdr>
                            <w:top w:val="none" w:sz="0" w:space="0" w:color="auto"/>
                            <w:left w:val="none" w:sz="0" w:space="0" w:color="auto"/>
                            <w:bottom w:val="none" w:sz="0" w:space="0" w:color="auto"/>
                            <w:right w:val="none" w:sz="0" w:space="0" w:color="auto"/>
                          </w:divBdr>
                          <w:divsChild>
                            <w:div w:id="1520966920">
                              <w:marLeft w:val="0"/>
                              <w:marRight w:val="0"/>
                              <w:marTop w:val="0"/>
                              <w:marBottom w:val="0"/>
                              <w:divBdr>
                                <w:top w:val="none" w:sz="0" w:space="0" w:color="auto"/>
                                <w:left w:val="none" w:sz="0" w:space="0" w:color="auto"/>
                                <w:bottom w:val="none" w:sz="0" w:space="0" w:color="auto"/>
                                <w:right w:val="none" w:sz="0" w:space="0" w:color="auto"/>
                              </w:divBdr>
                              <w:divsChild>
                                <w:div w:id="213202486">
                                  <w:marLeft w:val="0"/>
                                  <w:marRight w:val="0"/>
                                  <w:marTop w:val="0"/>
                                  <w:marBottom w:val="0"/>
                                  <w:divBdr>
                                    <w:top w:val="none" w:sz="0" w:space="0" w:color="auto"/>
                                    <w:left w:val="none" w:sz="0" w:space="0" w:color="auto"/>
                                    <w:bottom w:val="none" w:sz="0" w:space="0" w:color="auto"/>
                                    <w:right w:val="none" w:sz="0" w:space="0" w:color="auto"/>
                                  </w:divBdr>
                                  <w:divsChild>
                                    <w:div w:id="194200130">
                                      <w:marLeft w:val="0"/>
                                      <w:marRight w:val="0"/>
                                      <w:marTop w:val="0"/>
                                      <w:marBottom w:val="0"/>
                                      <w:divBdr>
                                        <w:top w:val="none" w:sz="0" w:space="0" w:color="auto"/>
                                        <w:left w:val="none" w:sz="0" w:space="0" w:color="auto"/>
                                        <w:bottom w:val="none" w:sz="0" w:space="0" w:color="auto"/>
                                        <w:right w:val="none" w:sz="0" w:space="0" w:color="auto"/>
                                      </w:divBdr>
                                      <w:divsChild>
                                        <w:div w:id="157466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3540737">
      <w:bodyDiv w:val="1"/>
      <w:marLeft w:val="0"/>
      <w:marRight w:val="0"/>
      <w:marTop w:val="0"/>
      <w:marBottom w:val="0"/>
      <w:divBdr>
        <w:top w:val="none" w:sz="0" w:space="0" w:color="auto"/>
        <w:left w:val="none" w:sz="0" w:space="0" w:color="auto"/>
        <w:bottom w:val="none" w:sz="0" w:space="0" w:color="auto"/>
        <w:right w:val="none" w:sz="0" w:space="0" w:color="auto"/>
      </w:divBdr>
      <w:divsChild>
        <w:div w:id="887843256">
          <w:marLeft w:val="0"/>
          <w:marRight w:val="0"/>
          <w:marTop w:val="0"/>
          <w:marBottom w:val="0"/>
          <w:divBdr>
            <w:top w:val="none" w:sz="0" w:space="0" w:color="auto"/>
            <w:left w:val="none" w:sz="0" w:space="0" w:color="auto"/>
            <w:bottom w:val="dotted" w:sz="6" w:space="4" w:color="DDDDDD"/>
            <w:right w:val="none" w:sz="0" w:space="0" w:color="auto"/>
          </w:divBdr>
        </w:div>
      </w:divsChild>
    </w:div>
    <w:div w:id="1483961061">
      <w:bodyDiv w:val="1"/>
      <w:marLeft w:val="0"/>
      <w:marRight w:val="0"/>
      <w:marTop w:val="0"/>
      <w:marBottom w:val="0"/>
      <w:divBdr>
        <w:top w:val="none" w:sz="0" w:space="0" w:color="auto"/>
        <w:left w:val="none" w:sz="0" w:space="0" w:color="auto"/>
        <w:bottom w:val="none" w:sz="0" w:space="0" w:color="auto"/>
        <w:right w:val="none" w:sz="0" w:space="0" w:color="auto"/>
      </w:divBdr>
      <w:divsChild>
        <w:div w:id="1459295189">
          <w:marLeft w:val="0"/>
          <w:marRight w:val="0"/>
          <w:marTop w:val="0"/>
          <w:marBottom w:val="0"/>
          <w:divBdr>
            <w:top w:val="none" w:sz="0" w:space="0" w:color="auto"/>
            <w:left w:val="none" w:sz="0" w:space="0" w:color="auto"/>
            <w:bottom w:val="none" w:sz="0" w:space="0" w:color="auto"/>
            <w:right w:val="none" w:sz="0" w:space="0" w:color="auto"/>
          </w:divBdr>
        </w:div>
        <w:div w:id="1795978684">
          <w:marLeft w:val="0"/>
          <w:marRight w:val="0"/>
          <w:marTop w:val="0"/>
          <w:marBottom w:val="150"/>
          <w:divBdr>
            <w:top w:val="none" w:sz="0" w:space="0" w:color="auto"/>
            <w:left w:val="none" w:sz="0" w:space="0" w:color="auto"/>
            <w:bottom w:val="none" w:sz="0" w:space="0" w:color="auto"/>
            <w:right w:val="none" w:sz="0" w:space="0" w:color="auto"/>
          </w:divBdr>
        </w:div>
      </w:divsChild>
    </w:div>
    <w:div w:id="1484007709">
      <w:bodyDiv w:val="1"/>
      <w:marLeft w:val="0"/>
      <w:marRight w:val="0"/>
      <w:marTop w:val="0"/>
      <w:marBottom w:val="0"/>
      <w:divBdr>
        <w:top w:val="none" w:sz="0" w:space="0" w:color="auto"/>
        <w:left w:val="none" w:sz="0" w:space="0" w:color="auto"/>
        <w:bottom w:val="none" w:sz="0" w:space="0" w:color="auto"/>
        <w:right w:val="none" w:sz="0" w:space="0" w:color="auto"/>
      </w:divBdr>
    </w:div>
    <w:div w:id="1484010106">
      <w:bodyDiv w:val="1"/>
      <w:marLeft w:val="0"/>
      <w:marRight w:val="0"/>
      <w:marTop w:val="0"/>
      <w:marBottom w:val="0"/>
      <w:divBdr>
        <w:top w:val="none" w:sz="0" w:space="0" w:color="auto"/>
        <w:left w:val="none" w:sz="0" w:space="0" w:color="auto"/>
        <w:bottom w:val="none" w:sz="0" w:space="0" w:color="auto"/>
        <w:right w:val="none" w:sz="0" w:space="0" w:color="auto"/>
      </w:divBdr>
      <w:divsChild>
        <w:div w:id="115685689">
          <w:marLeft w:val="0"/>
          <w:marRight w:val="0"/>
          <w:marTop w:val="0"/>
          <w:marBottom w:val="0"/>
          <w:divBdr>
            <w:top w:val="none" w:sz="0" w:space="0" w:color="auto"/>
            <w:left w:val="none" w:sz="0" w:space="0" w:color="auto"/>
            <w:bottom w:val="dotted" w:sz="6" w:space="4" w:color="DDDDDD"/>
            <w:right w:val="none" w:sz="0" w:space="0" w:color="auto"/>
          </w:divBdr>
          <w:divsChild>
            <w:div w:id="34651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159487">
      <w:bodyDiv w:val="1"/>
      <w:marLeft w:val="0"/>
      <w:marRight w:val="0"/>
      <w:marTop w:val="0"/>
      <w:marBottom w:val="0"/>
      <w:divBdr>
        <w:top w:val="none" w:sz="0" w:space="0" w:color="auto"/>
        <w:left w:val="none" w:sz="0" w:space="0" w:color="auto"/>
        <w:bottom w:val="none" w:sz="0" w:space="0" w:color="auto"/>
        <w:right w:val="none" w:sz="0" w:space="0" w:color="auto"/>
      </w:divBdr>
      <w:divsChild>
        <w:div w:id="849029072">
          <w:marLeft w:val="0"/>
          <w:marRight w:val="0"/>
          <w:marTop w:val="0"/>
          <w:marBottom w:val="0"/>
          <w:divBdr>
            <w:top w:val="none" w:sz="0" w:space="0" w:color="auto"/>
            <w:left w:val="none" w:sz="0" w:space="0" w:color="auto"/>
            <w:bottom w:val="none" w:sz="0" w:space="0" w:color="auto"/>
            <w:right w:val="none" w:sz="0" w:space="0" w:color="auto"/>
          </w:divBdr>
          <w:divsChild>
            <w:div w:id="29502680">
              <w:marLeft w:val="0"/>
              <w:marRight w:val="0"/>
              <w:marTop w:val="0"/>
              <w:marBottom w:val="0"/>
              <w:divBdr>
                <w:top w:val="none" w:sz="0" w:space="0" w:color="auto"/>
                <w:left w:val="none" w:sz="0" w:space="0" w:color="auto"/>
                <w:bottom w:val="none" w:sz="0" w:space="0" w:color="auto"/>
                <w:right w:val="none" w:sz="0" w:space="0" w:color="auto"/>
              </w:divBdr>
            </w:div>
          </w:divsChild>
        </w:div>
        <w:div w:id="1739748177">
          <w:marLeft w:val="0"/>
          <w:marRight w:val="0"/>
          <w:marTop w:val="150"/>
          <w:marBottom w:val="0"/>
          <w:divBdr>
            <w:top w:val="none" w:sz="0" w:space="0" w:color="auto"/>
            <w:left w:val="none" w:sz="0" w:space="0" w:color="auto"/>
            <w:bottom w:val="none" w:sz="0" w:space="0" w:color="auto"/>
            <w:right w:val="none" w:sz="0" w:space="0" w:color="auto"/>
          </w:divBdr>
          <w:divsChild>
            <w:div w:id="1450785382">
              <w:marLeft w:val="0"/>
              <w:marRight w:val="0"/>
              <w:marTop w:val="0"/>
              <w:marBottom w:val="0"/>
              <w:divBdr>
                <w:top w:val="none" w:sz="0" w:space="0" w:color="auto"/>
                <w:left w:val="none" w:sz="0" w:space="0" w:color="auto"/>
                <w:bottom w:val="none" w:sz="0" w:space="0" w:color="auto"/>
                <w:right w:val="none" w:sz="0" w:space="0" w:color="auto"/>
              </w:divBdr>
              <w:divsChild>
                <w:div w:id="1096050792">
                  <w:marLeft w:val="0"/>
                  <w:marRight w:val="0"/>
                  <w:marTop w:val="0"/>
                  <w:marBottom w:val="0"/>
                  <w:divBdr>
                    <w:top w:val="none" w:sz="0" w:space="0" w:color="auto"/>
                    <w:left w:val="none" w:sz="0" w:space="0" w:color="auto"/>
                    <w:bottom w:val="none" w:sz="0" w:space="0" w:color="auto"/>
                    <w:right w:val="none" w:sz="0" w:space="0" w:color="auto"/>
                  </w:divBdr>
                </w:div>
                <w:div w:id="206925548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587751">
      <w:bodyDiv w:val="1"/>
      <w:marLeft w:val="0"/>
      <w:marRight w:val="0"/>
      <w:marTop w:val="0"/>
      <w:marBottom w:val="0"/>
      <w:divBdr>
        <w:top w:val="none" w:sz="0" w:space="0" w:color="auto"/>
        <w:left w:val="none" w:sz="0" w:space="0" w:color="auto"/>
        <w:bottom w:val="none" w:sz="0" w:space="0" w:color="auto"/>
        <w:right w:val="none" w:sz="0" w:space="0" w:color="auto"/>
      </w:divBdr>
      <w:divsChild>
        <w:div w:id="638074941">
          <w:marLeft w:val="0"/>
          <w:marRight w:val="0"/>
          <w:marTop w:val="0"/>
          <w:marBottom w:val="0"/>
          <w:divBdr>
            <w:top w:val="none" w:sz="0" w:space="0" w:color="auto"/>
            <w:left w:val="none" w:sz="0" w:space="0" w:color="auto"/>
            <w:bottom w:val="none" w:sz="0" w:space="0" w:color="auto"/>
            <w:right w:val="none" w:sz="0" w:space="0" w:color="auto"/>
          </w:divBdr>
          <w:divsChild>
            <w:div w:id="187263098">
              <w:marLeft w:val="0"/>
              <w:marRight w:val="0"/>
              <w:marTop w:val="0"/>
              <w:marBottom w:val="0"/>
              <w:divBdr>
                <w:top w:val="none" w:sz="0" w:space="0" w:color="auto"/>
                <w:left w:val="none" w:sz="0" w:space="0" w:color="auto"/>
                <w:bottom w:val="none" w:sz="0" w:space="0" w:color="auto"/>
                <w:right w:val="none" w:sz="0" w:space="0" w:color="auto"/>
              </w:divBdr>
            </w:div>
          </w:divsChild>
        </w:div>
        <w:div w:id="254556228">
          <w:marLeft w:val="0"/>
          <w:marRight w:val="0"/>
          <w:marTop w:val="0"/>
          <w:marBottom w:val="0"/>
          <w:divBdr>
            <w:top w:val="none" w:sz="0" w:space="0" w:color="auto"/>
            <w:left w:val="none" w:sz="0" w:space="0" w:color="auto"/>
            <w:bottom w:val="none" w:sz="0" w:space="0" w:color="auto"/>
            <w:right w:val="none" w:sz="0" w:space="0" w:color="auto"/>
          </w:divBdr>
        </w:div>
        <w:div w:id="1477646356">
          <w:marLeft w:val="0"/>
          <w:marRight w:val="0"/>
          <w:marTop w:val="0"/>
          <w:marBottom w:val="0"/>
          <w:divBdr>
            <w:top w:val="none" w:sz="0" w:space="0" w:color="auto"/>
            <w:left w:val="none" w:sz="0" w:space="0" w:color="auto"/>
            <w:bottom w:val="none" w:sz="0" w:space="0" w:color="auto"/>
            <w:right w:val="none" w:sz="0" w:space="0" w:color="auto"/>
          </w:divBdr>
          <w:divsChild>
            <w:div w:id="1427845706">
              <w:marLeft w:val="-225"/>
              <w:marRight w:val="-225"/>
              <w:marTop w:val="0"/>
              <w:marBottom w:val="0"/>
              <w:divBdr>
                <w:top w:val="none" w:sz="0" w:space="0" w:color="auto"/>
                <w:left w:val="none" w:sz="0" w:space="0" w:color="auto"/>
                <w:bottom w:val="none" w:sz="0" w:space="0" w:color="auto"/>
                <w:right w:val="none" w:sz="0" w:space="0" w:color="auto"/>
              </w:divBdr>
              <w:divsChild>
                <w:div w:id="1536238663">
                  <w:marLeft w:val="0"/>
                  <w:marRight w:val="0"/>
                  <w:marTop w:val="0"/>
                  <w:marBottom w:val="0"/>
                  <w:divBdr>
                    <w:top w:val="none" w:sz="0" w:space="0" w:color="auto"/>
                    <w:left w:val="none" w:sz="0" w:space="0" w:color="auto"/>
                    <w:bottom w:val="none" w:sz="0" w:space="0" w:color="auto"/>
                    <w:right w:val="single" w:sz="6" w:space="0" w:color="000000"/>
                  </w:divBdr>
                  <w:divsChild>
                    <w:div w:id="1487359044">
                      <w:marLeft w:val="0"/>
                      <w:marRight w:val="0"/>
                      <w:marTop w:val="0"/>
                      <w:marBottom w:val="0"/>
                      <w:divBdr>
                        <w:top w:val="none" w:sz="0" w:space="0" w:color="auto"/>
                        <w:left w:val="none" w:sz="0" w:space="0" w:color="auto"/>
                        <w:bottom w:val="none" w:sz="0" w:space="0" w:color="auto"/>
                        <w:right w:val="none" w:sz="0" w:space="0" w:color="auto"/>
                      </w:divBdr>
                      <w:divsChild>
                        <w:div w:id="68081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006424">
      <w:bodyDiv w:val="1"/>
      <w:marLeft w:val="0"/>
      <w:marRight w:val="0"/>
      <w:marTop w:val="0"/>
      <w:marBottom w:val="0"/>
      <w:divBdr>
        <w:top w:val="none" w:sz="0" w:space="0" w:color="auto"/>
        <w:left w:val="none" w:sz="0" w:space="0" w:color="auto"/>
        <w:bottom w:val="none" w:sz="0" w:space="0" w:color="auto"/>
        <w:right w:val="none" w:sz="0" w:space="0" w:color="auto"/>
      </w:divBdr>
      <w:divsChild>
        <w:div w:id="519469927">
          <w:marLeft w:val="0"/>
          <w:marRight w:val="0"/>
          <w:marTop w:val="0"/>
          <w:marBottom w:val="0"/>
          <w:divBdr>
            <w:top w:val="none" w:sz="0" w:space="0" w:color="auto"/>
            <w:left w:val="none" w:sz="0" w:space="0" w:color="auto"/>
            <w:bottom w:val="dotted" w:sz="6" w:space="4" w:color="DDDDDD"/>
            <w:right w:val="none" w:sz="0" w:space="0" w:color="auto"/>
          </w:divBdr>
          <w:divsChild>
            <w:div w:id="23147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312521">
      <w:bodyDiv w:val="1"/>
      <w:marLeft w:val="0"/>
      <w:marRight w:val="0"/>
      <w:marTop w:val="0"/>
      <w:marBottom w:val="0"/>
      <w:divBdr>
        <w:top w:val="none" w:sz="0" w:space="0" w:color="auto"/>
        <w:left w:val="none" w:sz="0" w:space="0" w:color="auto"/>
        <w:bottom w:val="none" w:sz="0" w:space="0" w:color="auto"/>
        <w:right w:val="none" w:sz="0" w:space="0" w:color="auto"/>
      </w:divBdr>
    </w:div>
    <w:div w:id="1485663498">
      <w:bodyDiv w:val="1"/>
      <w:marLeft w:val="0"/>
      <w:marRight w:val="0"/>
      <w:marTop w:val="0"/>
      <w:marBottom w:val="0"/>
      <w:divBdr>
        <w:top w:val="none" w:sz="0" w:space="0" w:color="auto"/>
        <w:left w:val="none" w:sz="0" w:space="0" w:color="auto"/>
        <w:bottom w:val="none" w:sz="0" w:space="0" w:color="auto"/>
        <w:right w:val="none" w:sz="0" w:space="0" w:color="auto"/>
      </w:divBdr>
      <w:divsChild>
        <w:div w:id="984088722">
          <w:marLeft w:val="0"/>
          <w:marRight w:val="0"/>
          <w:marTop w:val="0"/>
          <w:marBottom w:val="0"/>
          <w:divBdr>
            <w:top w:val="none" w:sz="0" w:space="0" w:color="auto"/>
            <w:left w:val="none" w:sz="0" w:space="0" w:color="auto"/>
            <w:bottom w:val="none" w:sz="0" w:space="0" w:color="auto"/>
            <w:right w:val="none" w:sz="0" w:space="0" w:color="auto"/>
          </w:divBdr>
          <w:divsChild>
            <w:div w:id="321549812">
              <w:marLeft w:val="0"/>
              <w:marRight w:val="0"/>
              <w:marTop w:val="0"/>
              <w:marBottom w:val="0"/>
              <w:divBdr>
                <w:top w:val="none" w:sz="0" w:space="0" w:color="auto"/>
                <w:left w:val="none" w:sz="0" w:space="0" w:color="auto"/>
                <w:bottom w:val="none" w:sz="0" w:space="0" w:color="auto"/>
                <w:right w:val="none" w:sz="0" w:space="0" w:color="auto"/>
              </w:divBdr>
              <w:divsChild>
                <w:div w:id="1679769411">
                  <w:marLeft w:val="0"/>
                  <w:marRight w:val="0"/>
                  <w:marTop w:val="0"/>
                  <w:marBottom w:val="0"/>
                  <w:divBdr>
                    <w:top w:val="none" w:sz="0" w:space="0" w:color="auto"/>
                    <w:left w:val="none" w:sz="0" w:space="0" w:color="auto"/>
                    <w:bottom w:val="none" w:sz="0" w:space="0" w:color="auto"/>
                    <w:right w:val="none" w:sz="0" w:space="0" w:color="auto"/>
                  </w:divBdr>
                  <w:divsChild>
                    <w:div w:id="630749138">
                      <w:marLeft w:val="0"/>
                      <w:marRight w:val="0"/>
                      <w:marTop w:val="0"/>
                      <w:marBottom w:val="0"/>
                      <w:divBdr>
                        <w:top w:val="none" w:sz="0" w:space="0" w:color="auto"/>
                        <w:left w:val="none" w:sz="0" w:space="0" w:color="auto"/>
                        <w:bottom w:val="none" w:sz="0" w:space="0" w:color="auto"/>
                        <w:right w:val="none" w:sz="0" w:space="0" w:color="auto"/>
                      </w:divBdr>
                      <w:divsChild>
                        <w:div w:id="1972975881">
                          <w:marLeft w:val="0"/>
                          <w:marRight w:val="0"/>
                          <w:marTop w:val="0"/>
                          <w:marBottom w:val="0"/>
                          <w:divBdr>
                            <w:top w:val="none" w:sz="0" w:space="0" w:color="auto"/>
                            <w:left w:val="none" w:sz="0" w:space="0" w:color="auto"/>
                            <w:bottom w:val="none" w:sz="0" w:space="0" w:color="auto"/>
                            <w:right w:val="none" w:sz="0" w:space="0" w:color="auto"/>
                          </w:divBdr>
                          <w:divsChild>
                            <w:div w:id="840243655">
                              <w:marLeft w:val="0"/>
                              <w:marRight w:val="0"/>
                              <w:marTop w:val="0"/>
                              <w:marBottom w:val="0"/>
                              <w:divBdr>
                                <w:top w:val="none" w:sz="0" w:space="0" w:color="auto"/>
                                <w:left w:val="none" w:sz="0" w:space="0" w:color="auto"/>
                                <w:bottom w:val="none" w:sz="0" w:space="0" w:color="auto"/>
                                <w:right w:val="none" w:sz="0" w:space="0" w:color="auto"/>
                              </w:divBdr>
                              <w:divsChild>
                                <w:div w:id="1586647634">
                                  <w:marLeft w:val="0"/>
                                  <w:marRight w:val="0"/>
                                  <w:marTop w:val="0"/>
                                  <w:marBottom w:val="0"/>
                                  <w:divBdr>
                                    <w:top w:val="none" w:sz="0" w:space="0" w:color="auto"/>
                                    <w:left w:val="none" w:sz="0" w:space="0" w:color="auto"/>
                                    <w:bottom w:val="none" w:sz="0" w:space="0" w:color="auto"/>
                                    <w:right w:val="none" w:sz="0" w:space="0" w:color="auto"/>
                                  </w:divBdr>
                                  <w:divsChild>
                                    <w:div w:id="880433634">
                                      <w:marLeft w:val="0"/>
                                      <w:marRight w:val="0"/>
                                      <w:marTop w:val="0"/>
                                      <w:marBottom w:val="0"/>
                                      <w:divBdr>
                                        <w:top w:val="none" w:sz="0" w:space="0" w:color="auto"/>
                                        <w:left w:val="none" w:sz="0" w:space="0" w:color="auto"/>
                                        <w:bottom w:val="none" w:sz="0" w:space="0" w:color="auto"/>
                                        <w:right w:val="none" w:sz="0" w:space="0" w:color="auto"/>
                                      </w:divBdr>
                                      <w:divsChild>
                                        <w:div w:id="1333411105">
                                          <w:marLeft w:val="0"/>
                                          <w:marRight w:val="0"/>
                                          <w:marTop w:val="0"/>
                                          <w:marBottom w:val="0"/>
                                          <w:divBdr>
                                            <w:top w:val="none" w:sz="0" w:space="0" w:color="auto"/>
                                            <w:left w:val="none" w:sz="0" w:space="0" w:color="auto"/>
                                            <w:bottom w:val="none" w:sz="0" w:space="0" w:color="auto"/>
                                            <w:right w:val="none" w:sz="0" w:space="0" w:color="auto"/>
                                          </w:divBdr>
                                          <w:divsChild>
                                            <w:div w:id="80230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6122491">
      <w:bodyDiv w:val="1"/>
      <w:marLeft w:val="0"/>
      <w:marRight w:val="0"/>
      <w:marTop w:val="0"/>
      <w:marBottom w:val="0"/>
      <w:divBdr>
        <w:top w:val="none" w:sz="0" w:space="0" w:color="auto"/>
        <w:left w:val="none" w:sz="0" w:space="0" w:color="auto"/>
        <w:bottom w:val="none" w:sz="0" w:space="0" w:color="auto"/>
        <w:right w:val="none" w:sz="0" w:space="0" w:color="auto"/>
      </w:divBdr>
    </w:div>
    <w:div w:id="1486167966">
      <w:bodyDiv w:val="1"/>
      <w:marLeft w:val="0"/>
      <w:marRight w:val="0"/>
      <w:marTop w:val="0"/>
      <w:marBottom w:val="0"/>
      <w:divBdr>
        <w:top w:val="none" w:sz="0" w:space="0" w:color="auto"/>
        <w:left w:val="none" w:sz="0" w:space="0" w:color="auto"/>
        <w:bottom w:val="none" w:sz="0" w:space="0" w:color="auto"/>
        <w:right w:val="none" w:sz="0" w:space="0" w:color="auto"/>
      </w:divBdr>
      <w:divsChild>
        <w:div w:id="1177385431">
          <w:marLeft w:val="0"/>
          <w:marRight w:val="0"/>
          <w:marTop w:val="0"/>
          <w:marBottom w:val="0"/>
          <w:divBdr>
            <w:top w:val="none" w:sz="0" w:space="0" w:color="auto"/>
            <w:left w:val="none" w:sz="0" w:space="0" w:color="auto"/>
            <w:bottom w:val="none" w:sz="0" w:space="0" w:color="auto"/>
            <w:right w:val="none" w:sz="0" w:space="0" w:color="auto"/>
          </w:divBdr>
          <w:divsChild>
            <w:div w:id="659771750">
              <w:marLeft w:val="0"/>
              <w:marRight w:val="0"/>
              <w:marTop w:val="0"/>
              <w:marBottom w:val="0"/>
              <w:divBdr>
                <w:top w:val="none" w:sz="0" w:space="0" w:color="auto"/>
                <w:left w:val="none" w:sz="0" w:space="0" w:color="auto"/>
                <w:bottom w:val="none" w:sz="0" w:space="0" w:color="auto"/>
                <w:right w:val="none" w:sz="0" w:space="0" w:color="auto"/>
              </w:divBdr>
              <w:divsChild>
                <w:div w:id="1405682486">
                  <w:marLeft w:val="0"/>
                  <w:marRight w:val="0"/>
                  <w:marTop w:val="0"/>
                  <w:marBottom w:val="0"/>
                  <w:divBdr>
                    <w:top w:val="none" w:sz="0" w:space="0" w:color="auto"/>
                    <w:left w:val="none" w:sz="0" w:space="0" w:color="auto"/>
                    <w:bottom w:val="none" w:sz="0" w:space="0" w:color="auto"/>
                    <w:right w:val="none" w:sz="0" w:space="0" w:color="auto"/>
                  </w:divBdr>
                  <w:divsChild>
                    <w:div w:id="990673857">
                      <w:marLeft w:val="0"/>
                      <w:marRight w:val="0"/>
                      <w:marTop w:val="0"/>
                      <w:marBottom w:val="0"/>
                      <w:divBdr>
                        <w:top w:val="none" w:sz="0" w:space="0" w:color="auto"/>
                        <w:left w:val="none" w:sz="0" w:space="0" w:color="auto"/>
                        <w:bottom w:val="none" w:sz="0" w:space="0" w:color="auto"/>
                        <w:right w:val="none" w:sz="0" w:space="0" w:color="auto"/>
                      </w:divBdr>
                      <w:divsChild>
                        <w:div w:id="1839540425">
                          <w:marLeft w:val="0"/>
                          <w:marRight w:val="0"/>
                          <w:marTop w:val="0"/>
                          <w:marBottom w:val="0"/>
                          <w:divBdr>
                            <w:top w:val="none" w:sz="0" w:space="0" w:color="auto"/>
                            <w:left w:val="none" w:sz="0" w:space="0" w:color="auto"/>
                            <w:bottom w:val="none" w:sz="0" w:space="0" w:color="auto"/>
                            <w:right w:val="none" w:sz="0" w:space="0" w:color="auto"/>
                          </w:divBdr>
                          <w:divsChild>
                            <w:div w:id="717776052">
                              <w:marLeft w:val="0"/>
                              <w:marRight w:val="0"/>
                              <w:marTop w:val="0"/>
                              <w:marBottom w:val="0"/>
                              <w:divBdr>
                                <w:top w:val="none" w:sz="0" w:space="0" w:color="auto"/>
                                <w:left w:val="none" w:sz="0" w:space="0" w:color="auto"/>
                                <w:bottom w:val="none" w:sz="0" w:space="0" w:color="auto"/>
                                <w:right w:val="none" w:sz="0" w:space="0" w:color="auto"/>
                              </w:divBdr>
                              <w:divsChild>
                                <w:div w:id="1468546991">
                                  <w:marLeft w:val="0"/>
                                  <w:marRight w:val="0"/>
                                  <w:marTop w:val="0"/>
                                  <w:marBottom w:val="0"/>
                                  <w:divBdr>
                                    <w:top w:val="none" w:sz="0" w:space="0" w:color="auto"/>
                                    <w:left w:val="none" w:sz="0" w:space="0" w:color="auto"/>
                                    <w:bottom w:val="none" w:sz="0" w:space="0" w:color="auto"/>
                                    <w:right w:val="none" w:sz="0" w:space="0" w:color="auto"/>
                                  </w:divBdr>
                                  <w:divsChild>
                                    <w:div w:id="120312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553451">
      <w:bodyDiv w:val="1"/>
      <w:marLeft w:val="0"/>
      <w:marRight w:val="0"/>
      <w:marTop w:val="0"/>
      <w:marBottom w:val="0"/>
      <w:divBdr>
        <w:top w:val="none" w:sz="0" w:space="0" w:color="auto"/>
        <w:left w:val="none" w:sz="0" w:space="0" w:color="auto"/>
        <w:bottom w:val="none" w:sz="0" w:space="0" w:color="auto"/>
        <w:right w:val="none" w:sz="0" w:space="0" w:color="auto"/>
      </w:divBdr>
    </w:div>
    <w:div w:id="1486553701">
      <w:bodyDiv w:val="1"/>
      <w:marLeft w:val="0"/>
      <w:marRight w:val="0"/>
      <w:marTop w:val="0"/>
      <w:marBottom w:val="0"/>
      <w:divBdr>
        <w:top w:val="none" w:sz="0" w:space="0" w:color="auto"/>
        <w:left w:val="none" w:sz="0" w:space="0" w:color="auto"/>
        <w:bottom w:val="none" w:sz="0" w:space="0" w:color="auto"/>
        <w:right w:val="none" w:sz="0" w:space="0" w:color="auto"/>
      </w:divBdr>
      <w:divsChild>
        <w:div w:id="1720392972">
          <w:marLeft w:val="0"/>
          <w:marRight w:val="0"/>
          <w:marTop w:val="0"/>
          <w:marBottom w:val="0"/>
          <w:divBdr>
            <w:top w:val="none" w:sz="0" w:space="0" w:color="auto"/>
            <w:left w:val="none" w:sz="0" w:space="0" w:color="auto"/>
            <w:bottom w:val="none" w:sz="0" w:space="0" w:color="auto"/>
            <w:right w:val="none" w:sz="0" w:space="0" w:color="auto"/>
          </w:divBdr>
          <w:divsChild>
            <w:div w:id="2126532106">
              <w:marLeft w:val="0"/>
              <w:marRight w:val="0"/>
              <w:marTop w:val="0"/>
              <w:marBottom w:val="0"/>
              <w:divBdr>
                <w:top w:val="none" w:sz="0" w:space="0" w:color="auto"/>
                <w:left w:val="none" w:sz="0" w:space="0" w:color="auto"/>
                <w:bottom w:val="none" w:sz="0" w:space="0" w:color="auto"/>
                <w:right w:val="none" w:sz="0" w:space="0" w:color="auto"/>
              </w:divBdr>
              <w:divsChild>
                <w:div w:id="1432313062">
                  <w:marLeft w:val="0"/>
                  <w:marRight w:val="0"/>
                  <w:marTop w:val="0"/>
                  <w:marBottom w:val="0"/>
                  <w:divBdr>
                    <w:top w:val="none" w:sz="0" w:space="0" w:color="auto"/>
                    <w:left w:val="none" w:sz="0" w:space="0" w:color="auto"/>
                    <w:bottom w:val="none" w:sz="0" w:space="0" w:color="auto"/>
                    <w:right w:val="none" w:sz="0" w:space="0" w:color="auto"/>
                  </w:divBdr>
                  <w:divsChild>
                    <w:div w:id="1686441857">
                      <w:marLeft w:val="0"/>
                      <w:marRight w:val="0"/>
                      <w:marTop w:val="0"/>
                      <w:marBottom w:val="0"/>
                      <w:divBdr>
                        <w:top w:val="none" w:sz="0" w:space="0" w:color="auto"/>
                        <w:left w:val="none" w:sz="0" w:space="0" w:color="auto"/>
                        <w:bottom w:val="none" w:sz="0" w:space="0" w:color="auto"/>
                        <w:right w:val="none" w:sz="0" w:space="0" w:color="auto"/>
                      </w:divBdr>
                      <w:divsChild>
                        <w:div w:id="1249004999">
                          <w:marLeft w:val="0"/>
                          <w:marRight w:val="0"/>
                          <w:marTop w:val="0"/>
                          <w:marBottom w:val="0"/>
                          <w:divBdr>
                            <w:top w:val="none" w:sz="0" w:space="0" w:color="auto"/>
                            <w:left w:val="none" w:sz="0" w:space="0" w:color="auto"/>
                            <w:bottom w:val="none" w:sz="0" w:space="0" w:color="auto"/>
                            <w:right w:val="none" w:sz="0" w:space="0" w:color="auto"/>
                          </w:divBdr>
                          <w:divsChild>
                            <w:div w:id="615329177">
                              <w:marLeft w:val="0"/>
                              <w:marRight w:val="0"/>
                              <w:marTop w:val="0"/>
                              <w:marBottom w:val="0"/>
                              <w:divBdr>
                                <w:top w:val="none" w:sz="0" w:space="0" w:color="auto"/>
                                <w:left w:val="none" w:sz="0" w:space="0" w:color="auto"/>
                                <w:bottom w:val="none" w:sz="0" w:space="0" w:color="auto"/>
                                <w:right w:val="none" w:sz="0" w:space="0" w:color="auto"/>
                              </w:divBdr>
                              <w:divsChild>
                                <w:div w:id="2013874936">
                                  <w:marLeft w:val="0"/>
                                  <w:marRight w:val="0"/>
                                  <w:marTop w:val="0"/>
                                  <w:marBottom w:val="0"/>
                                  <w:divBdr>
                                    <w:top w:val="none" w:sz="0" w:space="0" w:color="auto"/>
                                    <w:left w:val="none" w:sz="0" w:space="0" w:color="auto"/>
                                    <w:bottom w:val="none" w:sz="0" w:space="0" w:color="auto"/>
                                    <w:right w:val="none" w:sz="0" w:space="0" w:color="auto"/>
                                  </w:divBdr>
                                  <w:divsChild>
                                    <w:div w:id="93436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773563">
      <w:bodyDiv w:val="1"/>
      <w:marLeft w:val="0"/>
      <w:marRight w:val="0"/>
      <w:marTop w:val="0"/>
      <w:marBottom w:val="0"/>
      <w:divBdr>
        <w:top w:val="none" w:sz="0" w:space="0" w:color="auto"/>
        <w:left w:val="none" w:sz="0" w:space="0" w:color="auto"/>
        <w:bottom w:val="none" w:sz="0" w:space="0" w:color="auto"/>
        <w:right w:val="none" w:sz="0" w:space="0" w:color="auto"/>
      </w:divBdr>
      <w:divsChild>
        <w:div w:id="124860956">
          <w:marLeft w:val="0"/>
          <w:marRight w:val="0"/>
          <w:marTop w:val="0"/>
          <w:marBottom w:val="0"/>
          <w:divBdr>
            <w:top w:val="none" w:sz="0" w:space="0" w:color="auto"/>
            <w:left w:val="none" w:sz="0" w:space="0" w:color="auto"/>
            <w:bottom w:val="none" w:sz="0" w:space="0" w:color="auto"/>
            <w:right w:val="none" w:sz="0" w:space="0" w:color="auto"/>
          </w:divBdr>
          <w:divsChild>
            <w:div w:id="989790545">
              <w:marLeft w:val="0"/>
              <w:marRight w:val="0"/>
              <w:marTop w:val="0"/>
              <w:marBottom w:val="0"/>
              <w:divBdr>
                <w:top w:val="none" w:sz="0" w:space="0" w:color="auto"/>
                <w:left w:val="none" w:sz="0" w:space="0" w:color="auto"/>
                <w:bottom w:val="none" w:sz="0" w:space="0" w:color="auto"/>
                <w:right w:val="none" w:sz="0" w:space="0" w:color="auto"/>
              </w:divBdr>
              <w:divsChild>
                <w:div w:id="1999453063">
                  <w:marLeft w:val="0"/>
                  <w:marRight w:val="0"/>
                  <w:marTop w:val="0"/>
                  <w:marBottom w:val="0"/>
                  <w:divBdr>
                    <w:top w:val="none" w:sz="0" w:space="0" w:color="auto"/>
                    <w:left w:val="none" w:sz="0" w:space="0" w:color="auto"/>
                    <w:bottom w:val="none" w:sz="0" w:space="0" w:color="auto"/>
                    <w:right w:val="none" w:sz="0" w:space="0" w:color="auto"/>
                  </w:divBdr>
                  <w:divsChild>
                    <w:div w:id="880826067">
                      <w:marLeft w:val="0"/>
                      <w:marRight w:val="0"/>
                      <w:marTop w:val="0"/>
                      <w:marBottom w:val="0"/>
                      <w:divBdr>
                        <w:top w:val="none" w:sz="0" w:space="0" w:color="auto"/>
                        <w:left w:val="none" w:sz="0" w:space="0" w:color="auto"/>
                        <w:bottom w:val="none" w:sz="0" w:space="0" w:color="auto"/>
                        <w:right w:val="none" w:sz="0" w:space="0" w:color="auto"/>
                      </w:divBdr>
                      <w:divsChild>
                        <w:div w:id="1587569395">
                          <w:marLeft w:val="0"/>
                          <w:marRight w:val="0"/>
                          <w:marTop w:val="0"/>
                          <w:marBottom w:val="0"/>
                          <w:divBdr>
                            <w:top w:val="none" w:sz="0" w:space="0" w:color="auto"/>
                            <w:left w:val="none" w:sz="0" w:space="0" w:color="auto"/>
                            <w:bottom w:val="none" w:sz="0" w:space="0" w:color="auto"/>
                            <w:right w:val="none" w:sz="0" w:space="0" w:color="auto"/>
                          </w:divBdr>
                          <w:divsChild>
                            <w:div w:id="1937014482">
                              <w:marLeft w:val="0"/>
                              <w:marRight w:val="0"/>
                              <w:marTop w:val="0"/>
                              <w:marBottom w:val="0"/>
                              <w:divBdr>
                                <w:top w:val="none" w:sz="0" w:space="0" w:color="auto"/>
                                <w:left w:val="none" w:sz="0" w:space="0" w:color="auto"/>
                                <w:bottom w:val="none" w:sz="0" w:space="0" w:color="auto"/>
                                <w:right w:val="none" w:sz="0" w:space="0" w:color="auto"/>
                              </w:divBdr>
                              <w:divsChild>
                                <w:div w:id="1427841506">
                                  <w:marLeft w:val="0"/>
                                  <w:marRight w:val="0"/>
                                  <w:marTop w:val="0"/>
                                  <w:marBottom w:val="0"/>
                                  <w:divBdr>
                                    <w:top w:val="none" w:sz="0" w:space="0" w:color="auto"/>
                                    <w:left w:val="none" w:sz="0" w:space="0" w:color="auto"/>
                                    <w:bottom w:val="none" w:sz="0" w:space="0" w:color="auto"/>
                                    <w:right w:val="none" w:sz="0" w:space="0" w:color="auto"/>
                                  </w:divBdr>
                                  <w:divsChild>
                                    <w:div w:id="129054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817141">
      <w:bodyDiv w:val="1"/>
      <w:marLeft w:val="0"/>
      <w:marRight w:val="0"/>
      <w:marTop w:val="0"/>
      <w:marBottom w:val="0"/>
      <w:divBdr>
        <w:top w:val="none" w:sz="0" w:space="0" w:color="auto"/>
        <w:left w:val="none" w:sz="0" w:space="0" w:color="auto"/>
        <w:bottom w:val="none" w:sz="0" w:space="0" w:color="auto"/>
        <w:right w:val="none" w:sz="0" w:space="0" w:color="auto"/>
      </w:divBdr>
      <w:divsChild>
        <w:div w:id="1726830627">
          <w:marLeft w:val="0"/>
          <w:marRight w:val="0"/>
          <w:marTop w:val="0"/>
          <w:marBottom w:val="0"/>
          <w:divBdr>
            <w:top w:val="none" w:sz="0" w:space="0" w:color="auto"/>
            <w:left w:val="none" w:sz="0" w:space="0" w:color="auto"/>
            <w:bottom w:val="dotted" w:sz="6" w:space="4" w:color="DDDDDD"/>
            <w:right w:val="none" w:sz="0" w:space="0" w:color="auto"/>
          </w:divBdr>
          <w:divsChild>
            <w:div w:id="80551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84812">
      <w:bodyDiv w:val="1"/>
      <w:marLeft w:val="0"/>
      <w:marRight w:val="0"/>
      <w:marTop w:val="0"/>
      <w:marBottom w:val="0"/>
      <w:divBdr>
        <w:top w:val="none" w:sz="0" w:space="0" w:color="auto"/>
        <w:left w:val="none" w:sz="0" w:space="0" w:color="auto"/>
        <w:bottom w:val="none" w:sz="0" w:space="0" w:color="auto"/>
        <w:right w:val="none" w:sz="0" w:space="0" w:color="auto"/>
      </w:divBdr>
    </w:div>
    <w:div w:id="1487697866">
      <w:bodyDiv w:val="1"/>
      <w:marLeft w:val="0"/>
      <w:marRight w:val="0"/>
      <w:marTop w:val="0"/>
      <w:marBottom w:val="0"/>
      <w:divBdr>
        <w:top w:val="none" w:sz="0" w:space="0" w:color="auto"/>
        <w:left w:val="none" w:sz="0" w:space="0" w:color="auto"/>
        <w:bottom w:val="none" w:sz="0" w:space="0" w:color="auto"/>
        <w:right w:val="none" w:sz="0" w:space="0" w:color="auto"/>
      </w:divBdr>
      <w:divsChild>
        <w:div w:id="1328439198">
          <w:marLeft w:val="0"/>
          <w:marRight w:val="0"/>
          <w:marTop w:val="0"/>
          <w:marBottom w:val="0"/>
          <w:divBdr>
            <w:top w:val="none" w:sz="0" w:space="0" w:color="auto"/>
            <w:left w:val="none" w:sz="0" w:space="0" w:color="auto"/>
            <w:bottom w:val="none" w:sz="0" w:space="0" w:color="auto"/>
            <w:right w:val="none" w:sz="0" w:space="0" w:color="auto"/>
          </w:divBdr>
          <w:divsChild>
            <w:div w:id="542526034">
              <w:marLeft w:val="0"/>
              <w:marRight w:val="0"/>
              <w:marTop w:val="0"/>
              <w:marBottom w:val="0"/>
              <w:divBdr>
                <w:top w:val="none" w:sz="0" w:space="0" w:color="auto"/>
                <w:left w:val="none" w:sz="0" w:space="0" w:color="auto"/>
                <w:bottom w:val="none" w:sz="0" w:space="0" w:color="auto"/>
                <w:right w:val="none" w:sz="0" w:space="0" w:color="auto"/>
              </w:divBdr>
              <w:divsChild>
                <w:div w:id="1972057413">
                  <w:marLeft w:val="0"/>
                  <w:marRight w:val="0"/>
                  <w:marTop w:val="0"/>
                  <w:marBottom w:val="0"/>
                  <w:divBdr>
                    <w:top w:val="none" w:sz="0" w:space="0" w:color="auto"/>
                    <w:left w:val="none" w:sz="0" w:space="0" w:color="auto"/>
                    <w:bottom w:val="none" w:sz="0" w:space="0" w:color="auto"/>
                    <w:right w:val="none" w:sz="0" w:space="0" w:color="auto"/>
                  </w:divBdr>
                  <w:divsChild>
                    <w:div w:id="902523167">
                      <w:marLeft w:val="0"/>
                      <w:marRight w:val="0"/>
                      <w:marTop w:val="0"/>
                      <w:marBottom w:val="0"/>
                      <w:divBdr>
                        <w:top w:val="none" w:sz="0" w:space="0" w:color="auto"/>
                        <w:left w:val="none" w:sz="0" w:space="0" w:color="auto"/>
                        <w:bottom w:val="none" w:sz="0" w:space="0" w:color="auto"/>
                        <w:right w:val="none" w:sz="0" w:space="0" w:color="auto"/>
                      </w:divBdr>
                      <w:divsChild>
                        <w:div w:id="1756050420">
                          <w:marLeft w:val="0"/>
                          <w:marRight w:val="0"/>
                          <w:marTop w:val="0"/>
                          <w:marBottom w:val="0"/>
                          <w:divBdr>
                            <w:top w:val="none" w:sz="0" w:space="0" w:color="auto"/>
                            <w:left w:val="none" w:sz="0" w:space="0" w:color="auto"/>
                            <w:bottom w:val="none" w:sz="0" w:space="0" w:color="auto"/>
                            <w:right w:val="none" w:sz="0" w:space="0" w:color="auto"/>
                          </w:divBdr>
                          <w:divsChild>
                            <w:div w:id="1264460688">
                              <w:marLeft w:val="0"/>
                              <w:marRight w:val="0"/>
                              <w:marTop w:val="0"/>
                              <w:marBottom w:val="0"/>
                              <w:divBdr>
                                <w:top w:val="none" w:sz="0" w:space="0" w:color="auto"/>
                                <w:left w:val="none" w:sz="0" w:space="0" w:color="auto"/>
                                <w:bottom w:val="none" w:sz="0" w:space="0" w:color="auto"/>
                                <w:right w:val="none" w:sz="0" w:space="0" w:color="auto"/>
                              </w:divBdr>
                              <w:divsChild>
                                <w:div w:id="1079253342">
                                  <w:marLeft w:val="0"/>
                                  <w:marRight w:val="0"/>
                                  <w:marTop w:val="0"/>
                                  <w:marBottom w:val="0"/>
                                  <w:divBdr>
                                    <w:top w:val="none" w:sz="0" w:space="0" w:color="auto"/>
                                    <w:left w:val="none" w:sz="0" w:space="0" w:color="auto"/>
                                    <w:bottom w:val="none" w:sz="0" w:space="0" w:color="auto"/>
                                    <w:right w:val="none" w:sz="0" w:space="0" w:color="auto"/>
                                  </w:divBdr>
                                  <w:divsChild>
                                    <w:div w:id="57864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7934010">
      <w:bodyDiv w:val="1"/>
      <w:marLeft w:val="0"/>
      <w:marRight w:val="0"/>
      <w:marTop w:val="0"/>
      <w:marBottom w:val="0"/>
      <w:divBdr>
        <w:top w:val="none" w:sz="0" w:space="0" w:color="auto"/>
        <w:left w:val="none" w:sz="0" w:space="0" w:color="auto"/>
        <w:bottom w:val="none" w:sz="0" w:space="0" w:color="auto"/>
        <w:right w:val="none" w:sz="0" w:space="0" w:color="auto"/>
      </w:divBdr>
      <w:divsChild>
        <w:div w:id="1711221325">
          <w:marLeft w:val="0"/>
          <w:marRight w:val="0"/>
          <w:marTop w:val="0"/>
          <w:marBottom w:val="150"/>
          <w:divBdr>
            <w:top w:val="none" w:sz="0" w:space="0" w:color="auto"/>
            <w:left w:val="none" w:sz="0" w:space="0" w:color="auto"/>
            <w:bottom w:val="none" w:sz="0" w:space="0" w:color="auto"/>
            <w:right w:val="none" w:sz="0" w:space="0" w:color="auto"/>
          </w:divBdr>
        </w:div>
      </w:divsChild>
    </w:div>
    <w:div w:id="1488352394">
      <w:bodyDiv w:val="1"/>
      <w:marLeft w:val="0"/>
      <w:marRight w:val="0"/>
      <w:marTop w:val="0"/>
      <w:marBottom w:val="0"/>
      <w:divBdr>
        <w:top w:val="none" w:sz="0" w:space="0" w:color="auto"/>
        <w:left w:val="none" w:sz="0" w:space="0" w:color="auto"/>
        <w:bottom w:val="none" w:sz="0" w:space="0" w:color="auto"/>
        <w:right w:val="none" w:sz="0" w:space="0" w:color="auto"/>
      </w:divBdr>
      <w:divsChild>
        <w:div w:id="94324621">
          <w:marLeft w:val="0"/>
          <w:marRight w:val="0"/>
          <w:marTop w:val="0"/>
          <w:marBottom w:val="150"/>
          <w:divBdr>
            <w:top w:val="none" w:sz="0" w:space="0" w:color="auto"/>
            <w:left w:val="none" w:sz="0" w:space="0" w:color="auto"/>
            <w:bottom w:val="none" w:sz="0" w:space="0" w:color="auto"/>
            <w:right w:val="none" w:sz="0" w:space="0" w:color="auto"/>
          </w:divBdr>
          <w:divsChild>
            <w:div w:id="1658340827">
              <w:marLeft w:val="0"/>
              <w:marRight w:val="0"/>
              <w:marTop w:val="0"/>
              <w:marBottom w:val="0"/>
              <w:divBdr>
                <w:top w:val="none" w:sz="0" w:space="0" w:color="auto"/>
                <w:left w:val="none" w:sz="0" w:space="0" w:color="auto"/>
                <w:bottom w:val="none" w:sz="0" w:space="0" w:color="auto"/>
                <w:right w:val="none" w:sz="0" w:space="0" w:color="auto"/>
              </w:divBdr>
            </w:div>
          </w:divsChild>
        </w:div>
        <w:div w:id="275647134">
          <w:marLeft w:val="0"/>
          <w:marRight w:val="0"/>
          <w:marTop w:val="0"/>
          <w:marBottom w:val="0"/>
          <w:divBdr>
            <w:top w:val="none" w:sz="0" w:space="0" w:color="auto"/>
            <w:left w:val="none" w:sz="0" w:space="0" w:color="auto"/>
            <w:bottom w:val="none" w:sz="0" w:space="0" w:color="auto"/>
            <w:right w:val="none" w:sz="0" w:space="0" w:color="auto"/>
          </w:divBdr>
          <w:divsChild>
            <w:div w:id="400567953">
              <w:marLeft w:val="0"/>
              <w:marRight w:val="0"/>
              <w:marTop w:val="0"/>
              <w:marBottom w:val="0"/>
              <w:divBdr>
                <w:top w:val="none" w:sz="0" w:space="0" w:color="auto"/>
                <w:left w:val="none" w:sz="0" w:space="0" w:color="auto"/>
                <w:bottom w:val="none" w:sz="0" w:space="0" w:color="auto"/>
                <w:right w:val="none" w:sz="0" w:space="0" w:color="auto"/>
              </w:divBdr>
            </w:div>
            <w:div w:id="4427252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88354645">
      <w:bodyDiv w:val="1"/>
      <w:marLeft w:val="0"/>
      <w:marRight w:val="0"/>
      <w:marTop w:val="0"/>
      <w:marBottom w:val="0"/>
      <w:divBdr>
        <w:top w:val="none" w:sz="0" w:space="0" w:color="auto"/>
        <w:left w:val="none" w:sz="0" w:space="0" w:color="auto"/>
        <w:bottom w:val="none" w:sz="0" w:space="0" w:color="auto"/>
        <w:right w:val="none" w:sz="0" w:space="0" w:color="auto"/>
      </w:divBdr>
      <w:divsChild>
        <w:div w:id="371737720">
          <w:marLeft w:val="0"/>
          <w:marRight w:val="0"/>
          <w:marTop w:val="0"/>
          <w:marBottom w:val="0"/>
          <w:divBdr>
            <w:top w:val="none" w:sz="0" w:space="0" w:color="auto"/>
            <w:left w:val="none" w:sz="0" w:space="0" w:color="auto"/>
            <w:bottom w:val="none" w:sz="0" w:space="0" w:color="auto"/>
            <w:right w:val="none" w:sz="0" w:space="0" w:color="auto"/>
          </w:divBdr>
        </w:div>
      </w:divsChild>
    </w:div>
    <w:div w:id="1488592677">
      <w:bodyDiv w:val="1"/>
      <w:marLeft w:val="0"/>
      <w:marRight w:val="0"/>
      <w:marTop w:val="0"/>
      <w:marBottom w:val="0"/>
      <w:divBdr>
        <w:top w:val="none" w:sz="0" w:space="0" w:color="auto"/>
        <w:left w:val="none" w:sz="0" w:space="0" w:color="auto"/>
        <w:bottom w:val="none" w:sz="0" w:space="0" w:color="auto"/>
        <w:right w:val="none" w:sz="0" w:space="0" w:color="auto"/>
      </w:divBdr>
      <w:divsChild>
        <w:div w:id="1751271541">
          <w:marLeft w:val="0"/>
          <w:marRight w:val="0"/>
          <w:marTop w:val="0"/>
          <w:marBottom w:val="0"/>
          <w:divBdr>
            <w:top w:val="none" w:sz="0" w:space="0" w:color="auto"/>
            <w:left w:val="none" w:sz="0" w:space="0" w:color="auto"/>
            <w:bottom w:val="dotted" w:sz="6" w:space="4" w:color="DDDDDD"/>
            <w:right w:val="none" w:sz="0" w:space="0" w:color="auto"/>
          </w:divBdr>
          <w:divsChild>
            <w:div w:id="10886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741512">
      <w:bodyDiv w:val="1"/>
      <w:marLeft w:val="0"/>
      <w:marRight w:val="0"/>
      <w:marTop w:val="0"/>
      <w:marBottom w:val="0"/>
      <w:divBdr>
        <w:top w:val="none" w:sz="0" w:space="0" w:color="auto"/>
        <w:left w:val="none" w:sz="0" w:space="0" w:color="auto"/>
        <w:bottom w:val="none" w:sz="0" w:space="0" w:color="auto"/>
        <w:right w:val="none" w:sz="0" w:space="0" w:color="auto"/>
      </w:divBdr>
      <w:divsChild>
        <w:div w:id="585651896">
          <w:marLeft w:val="0"/>
          <w:marRight w:val="0"/>
          <w:marTop w:val="0"/>
          <w:marBottom w:val="150"/>
          <w:divBdr>
            <w:top w:val="none" w:sz="0" w:space="0" w:color="auto"/>
            <w:left w:val="none" w:sz="0" w:space="0" w:color="auto"/>
            <w:bottom w:val="none" w:sz="0" w:space="0" w:color="auto"/>
            <w:right w:val="none" w:sz="0" w:space="0" w:color="auto"/>
          </w:divBdr>
          <w:divsChild>
            <w:div w:id="857042349">
              <w:marLeft w:val="0"/>
              <w:marRight w:val="0"/>
              <w:marTop w:val="0"/>
              <w:marBottom w:val="0"/>
              <w:divBdr>
                <w:top w:val="none" w:sz="0" w:space="0" w:color="auto"/>
                <w:left w:val="none" w:sz="0" w:space="0" w:color="auto"/>
                <w:bottom w:val="none" w:sz="0" w:space="0" w:color="auto"/>
                <w:right w:val="none" w:sz="0" w:space="0" w:color="auto"/>
              </w:divBdr>
            </w:div>
          </w:divsChild>
        </w:div>
        <w:div w:id="867370490">
          <w:marLeft w:val="0"/>
          <w:marRight w:val="0"/>
          <w:marTop w:val="0"/>
          <w:marBottom w:val="0"/>
          <w:divBdr>
            <w:top w:val="none" w:sz="0" w:space="0" w:color="auto"/>
            <w:left w:val="none" w:sz="0" w:space="0" w:color="auto"/>
            <w:bottom w:val="none" w:sz="0" w:space="0" w:color="auto"/>
            <w:right w:val="none" w:sz="0" w:space="0" w:color="auto"/>
          </w:divBdr>
          <w:divsChild>
            <w:div w:id="907542589">
              <w:marLeft w:val="0"/>
              <w:marRight w:val="0"/>
              <w:marTop w:val="0"/>
              <w:marBottom w:val="0"/>
              <w:divBdr>
                <w:top w:val="none" w:sz="0" w:space="0" w:color="auto"/>
                <w:left w:val="none" w:sz="0" w:space="0" w:color="auto"/>
                <w:bottom w:val="none" w:sz="0" w:space="0" w:color="auto"/>
                <w:right w:val="none" w:sz="0" w:space="0" w:color="auto"/>
              </w:divBdr>
            </w:div>
          </w:divsChild>
        </w:div>
        <w:div w:id="1652321178">
          <w:marLeft w:val="0"/>
          <w:marRight w:val="0"/>
          <w:marTop w:val="0"/>
          <w:marBottom w:val="150"/>
          <w:divBdr>
            <w:top w:val="none" w:sz="0" w:space="0" w:color="auto"/>
            <w:left w:val="none" w:sz="0" w:space="0" w:color="auto"/>
            <w:bottom w:val="none" w:sz="0" w:space="0" w:color="auto"/>
            <w:right w:val="none" w:sz="0" w:space="0" w:color="auto"/>
          </w:divBdr>
        </w:div>
      </w:divsChild>
    </w:div>
    <w:div w:id="1488789001">
      <w:bodyDiv w:val="1"/>
      <w:marLeft w:val="0"/>
      <w:marRight w:val="0"/>
      <w:marTop w:val="0"/>
      <w:marBottom w:val="0"/>
      <w:divBdr>
        <w:top w:val="none" w:sz="0" w:space="0" w:color="auto"/>
        <w:left w:val="none" w:sz="0" w:space="0" w:color="auto"/>
        <w:bottom w:val="none" w:sz="0" w:space="0" w:color="auto"/>
        <w:right w:val="none" w:sz="0" w:space="0" w:color="auto"/>
      </w:divBdr>
      <w:divsChild>
        <w:div w:id="940720428">
          <w:marLeft w:val="0"/>
          <w:marRight w:val="0"/>
          <w:marTop w:val="0"/>
          <w:marBottom w:val="0"/>
          <w:divBdr>
            <w:top w:val="none" w:sz="0" w:space="0" w:color="auto"/>
            <w:left w:val="none" w:sz="0" w:space="0" w:color="auto"/>
            <w:bottom w:val="none" w:sz="0" w:space="0" w:color="auto"/>
            <w:right w:val="none" w:sz="0" w:space="0" w:color="auto"/>
          </w:divBdr>
        </w:div>
      </w:divsChild>
    </w:div>
    <w:div w:id="1489134741">
      <w:bodyDiv w:val="1"/>
      <w:marLeft w:val="0"/>
      <w:marRight w:val="0"/>
      <w:marTop w:val="0"/>
      <w:marBottom w:val="0"/>
      <w:divBdr>
        <w:top w:val="none" w:sz="0" w:space="0" w:color="auto"/>
        <w:left w:val="none" w:sz="0" w:space="0" w:color="auto"/>
        <w:bottom w:val="none" w:sz="0" w:space="0" w:color="auto"/>
        <w:right w:val="none" w:sz="0" w:space="0" w:color="auto"/>
      </w:divBdr>
      <w:divsChild>
        <w:div w:id="292372711">
          <w:marLeft w:val="0"/>
          <w:marRight w:val="0"/>
          <w:marTop w:val="0"/>
          <w:marBottom w:val="0"/>
          <w:divBdr>
            <w:top w:val="none" w:sz="0" w:space="0" w:color="auto"/>
            <w:left w:val="none" w:sz="0" w:space="0" w:color="auto"/>
            <w:bottom w:val="none" w:sz="0" w:space="0" w:color="auto"/>
            <w:right w:val="none" w:sz="0" w:space="0" w:color="auto"/>
          </w:divBdr>
          <w:divsChild>
            <w:div w:id="1473059345">
              <w:marLeft w:val="0"/>
              <w:marRight w:val="0"/>
              <w:marTop w:val="0"/>
              <w:marBottom w:val="0"/>
              <w:divBdr>
                <w:top w:val="none" w:sz="0" w:space="0" w:color="auto"/>
                <w:left w:val="none" w:sz="0" w:space="0" w:color="auto"/>
                <w:bottom w:val="none" w:sz="0" w:space="0" w:color="auto"/>
                <w:right w:val="none" w:sz="0" w:space="0" w:color="auto"/>
              </w:divBdr>
              <w:divsChild>
                <w:div w:id="68690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227258">
          <w:marLeft w:val="0"/>
          <w:marRight w:val="0"/>
          <w:marTop w:val="0"/>
          <w:marBottom w:val="75"/>
          <w:divBdr>
            <w:top w:val="none" w:sz="0" w:space="0" w:color="auto"/>
            <w:left w:val="none" w:sz="0" w:space="0" w:color="auto"/>
            <w:bottom w:val="none" w:sz="0" w:space="0" w:color="auto"/>
            <w:right w:val="none" w:sz="0" w:space="0" w:color="auto"/>
          </w:divBdr>
        </w:div>
        <w:div w:id="1907565707">
          <w:marLeft w:val="0"/>
          <w:marRight w:val="0"/>
          <w:marTop w:val="0"/>
          <w:marBottom w:val="300"/>
          <w:divBdr>
            <w:top w:val="none" w:sz="0" w:space="0" w:color="auto"/>
            <w:left w:val="none" w:sz="0" w:space="0" w:color="auto"/>
            <w:bottom w:val="none" w:sz="0" w:space="0" w:color="auto"/>
            <w:right w:val="none" w:sz="0" w:space="0" w:color="auto"/>
          </w:divBdr>
          <w:divsChild>
            <w:div w:id="801271675">
              <w:marLeft w:val="0"/>
              <w:marRight w:val="0"/>
              <w:marTop w:val="0"/>
              <w:marBottom w:val="0"/>
              <w:divBdr>
                <w:top w:val="none" w:sz="0" w:space="0" w:color="auto"/>
                <w:left w:val="none" w:sz="0" w:space="0" w:color="auto"/>
                <w:bottom w:val="none" w:sz="0" w:space="0" w:color="auto"/>
                <w:right w:val="none" w:sz="0" w:space="0" w:color="auto"/>
              </w:divBdr>
            </w:div>
          </w:divsChild>
        </w:div>
        <w:div w:id="695157066">
          <w:marLeft w:val="0"/>
          <w:marRight w:val="0"/>
          <w:marTop w:val="0"/>
          <w:marBottom w:val="0"/>
          <w:divBdr>
            <w:top w:val="none" w:sz="0" w:space="0" w:color="auto"/>
            <w:left w:val="none" w:sz="0" w:space="0" w:color="auto"/>
            <w:bottom w:val="none" w:sz="0" w:space="0" w:color="auto"/>
            <w:right w:val="none" w:sz="0" w:space="0" w:color="auto"/>
          </w:divBdr>
          <w:divsChild>
            <w:div w:id="1978560047">
              <w:marLeft w:val="0"/>
              <w:marRight w:val="0"/>
              <w:marTop w:val="0"/>
              <w:marBottom w:val="0"/>
              <w:divBdr>
                <w:top w:val="none" w:sz="0" w:space="0" w:color="auto"/>
                <w:left w:val="none" w:sz="0" w:space="0" w:color="auto"/>
                <w:bottom w:val="none" w:sz="0" w:space="0" w:color="auto"/>
                <w:right w:val="none" w:sz="0" w:space="0" w:color="auto"/>
              </w:divBdr>
              <w:divsChild>
                <w:div w:id="487867743">
                  <w:marLeft w:val="0"/>
                  <w:marRight w:val="0"/>
                  <w:marTop w:val="0"/>
                  <w:marBottom w:val="450"/>
                  <w:divBdr>
                    <w:top w:val="none" w:sz="0" w:space="0" w:color="auto"/>
                    <w:left w:val="none" w:sz="0" w:space="0" w:color="auto"/>
                    <w:bottom w:val="none" w:sz="0" w:space="0" w:color="auto"/>
                    <w:right w:val="none" w:sz="0" w:space="0" w:color="auto"/>
                  </w:divBdr>
                  <w:divsChild>
                    <w:div w:id="17763167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489244740">
      <w:bodyDiv w:val="1"/>
      <w:marLeft w:val="0"/>
      <w:marRight w:val="0"/>
      <w:marTop w:val="0"/>
      <w:marBottom w:val="0"/>
      <w:divBdr>
        <w:top w:val="none" w:sz="0" w:space="0" w:color="auto"/>
        <w:left w:val="none" w:sz="0" w:space="0" w:color="auto"/>
        <w:bottom w:val="none" w:sz="0" w:space="0" w:color="auto"/>
        <w:right w:val="none" w:sz="0" w:space="0" w:color="auto"/>
      </w:divBdr>
      <w:divsChild>
        <w:div w:id="380985460">
          <w:marLeft w:val="0"/>
          <w:marRight w:val="0"/>
          <w:marTop w:val="0"/>
          <w:marBottom w:val="0"/>
          <w:divBdr>
            <w:top w:val="none" w:sz="0" w:space="0" w:color="auto"/>
            <w:left w:val="none" w:sz="0" w:space="0" w:color="auto"/>
            <w:bottom w:val="none" w:sz="0" w:space="0" w:color="auto"/>
            <w:right w:val="none" w:sz="0" w:space="0" w:color="auto"/>
          </w:divBdr>
          <w:divsChild>
            <w:div w:id="2045980816">
              <w:marLeft w:val="0"/>
              <w:marRight w:val="0"/>
              <w:marTop w:val="0"/>
              <w:marBottom w:val="0"/>
              <w:divBdr>
                <w:top w:val="none" w:sz="0" w:space="0" w:color="auto"/>
                <w:left w:val="none" w:sz="0" w:space="0" w:color="auto"/>
                <w:bottom w:val="none" w:sz="0" w:space="0" w:color="auto"/>
                <w:right w:val="none" w:sz="0" w:space="0" w:color="auto"/>
              </w:divBdr>
              <w:divsChild>
                <w:div w:id="1239054207">
                  <w:marLeft w:val="0"/>
                  <w:marRight w:val="0"/>
                  <w:marTop w:val="0"/>
                  <w:marBottom w:val="450"/>
                  <w:divBdr>
                    <w:top w:val="none" w:sz="0" w:space="0" w:color="auto"/>
                    <w:left w:val="none" w:sz="0" w:space="0" w:color="auto"/>
                    <w:bottom w:val="none" w:sz="0" w:space="0" w:color="auto"/>
                    <w:right w:val="none" w:sz="0" w:space="0" w:color="auto"/>
                  </w:divBdr>
                  <w:divsChild>
                    <w:div w:id="1891116437">
                      <w:marLeft w:val="0"/>
                      <w:marRight w:val="0"/>
                      <w:marTop w:val="0"/>
                      <w:marBottom w:val="150"/>
                      <w:divBdr>
                        <w:top w:val="none" w:sz="0" w:space="0" w:color="auto"/>
                        <w:left w:val="none" w:sz="0" w:space="0" w:color="auto"/>
                        <w:bottom w:val="none" w:sz="0" w:space="0" w:color="auto"/>
                        <w:right w:val="none" w:sz="0" w:space="0" w:color="auto"/>
                      </w:divBdr>
                      <w:divsChild>
                        <w:div w:id="54671310">
                          <w:marLeft w:val="0"/>
                          <w:marRight w:val="0"/>
                          <w:marTop w:val="0"/>
                          <w:marBottom w:val="0"/>
                          <w:divBdr>
                            <w:top w:val="none" w:sz="0" w:space="0" w:color="auto"/>
                            <w:left w:val="none" w:sz="0" w:space="0" w:color="auto"/>
                            <w:bottom w:val="none" w:sz="0" w:space="0" w:color="auto"/>
                            <w:right w:val="none" w:sz="0" w:space="0" w:color="auto"/>
                          </w:divBdr>
                        </w:div>
                      </w:divsChild>
                    </w:div>
                    <w:div w:id="2099713478">
                      <w:marLeft w:val="0"/>
                      <w:marRight w:val="0"/>
                      <w:marTop w:val="0"/>
                      <w:marBottom w:val="0"/>
                      <w:divBdr>
                        <w:top w:val="none" w:sz="0" w:space="0" w:color="auto"/>
                        <w:left w:val="none" w:sz="0" w:space="0" w:color="auto"/>
                        <w:bottom w:val="none" w:sz="0" w:space="0" w:color="auto"/>
                        <w:right w:val="none" w:sz="0" w:space="0" w:color="auto"/>
                      </w:divBdr>
                      <w:divsChild>
                        <w:div w:id="1273855425">
                          <w:marLeft w:val="0"/>
                          <w:marRight w:val="0"/>
                          <w:marTop w:val="0"/>
                          <w:marBottom w:val="0"/>
                          <w:divBdr>
                            <w:top w:val="none" w:sz="0" w:space="0" w:color="auto"/>
                            <w:left w:val="none" w:sz="0" w:space="0" w:color="auto"/>
                            <w:bottom w:val="none" w:sz="0" w:space="0" w:color="auto"/>
                            <w:right w:val="none" w:sz="0" w:space="0" w:color="auto"/>
                          </w:divBdr>
                          <w:divsChild>
                            <w:div w:id="1994095813">
                              <w:marLeft w:val="0"/>
                              <w:marRight w:val="0"/>
                              <w:marTop w:val="0"/>
                              <w:marBottom w:val="0"/>
                              <w:divBdr>
                                <w:top w:val="none" w:sz="0" w:space="0" w:color="auto"/>
                                <w:left w:val="none" w:sz="0" w:space="0" w:color="auto"/>
                                <w:bottom w:val="none" w:sz="0" w:space="0" w:color="auto"/>
                                <w:right w:val="none" w:sz="0" w:space="0" w:color="auto"/>
                              </w:divBdr>
                            </w:div>
                          </w:divsChild>
                        </w:div>
                        <w:div w:id="12850407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64776519">
          <w:marLeft w:val="0"/>
          <w:marRight w:val="0"/>
          <w:marTop w:val="0"/>
          <w:marBottom w:val="300"/>
          <w:divBdr>
            <w:top w:val="none" w:sz="0" w:space="0" w:color="auto"/>
            <w:left w:val="none" w:sz="0" w:space="0" w:color="auto"/>
            <w:bottom w:val="single" w:sz="6" w:space="0" w:color="E4E4E4"/>
            <w:right w:val="none" w:sz="0" w:space="0" w:color="auto"/>
          </w:divBdr>
        </w:div>
        <w:div w:id="1019508155">
          <w:marLeft w:val="0"/>
          <w:marRight w:val="0"/>
          <w:marTop w:val="0"/>
          <w:marBottom w:val="375"/>
          <w:divBdr>
            <w:top w:val="none" w:sz="0" w:space="0" w:color="auto"/>
            <w:left w:val="none" w:sz="0" w:space="0" w:color="auto"/>
            <w:bottom w:val="single" w:sz="6" w:space="0" w:color="005494"/>
            <w:right w:val="none" w:sz="0" w:space="0" w:color="auto"/>
          </w:divBdr>
        </w:div>
      </w:divsChild>
    </w:div>
    <w:div w:id="1489781929">
      <w:bodyDiv w:val="1"/>
      <w:marLeft w:val="0"/>
      <w:marRight w:val="0"/>
      <w:marTop w:val="0"/>
      <w:marBottom w:val="0"/>
      <w:divBdr>
        <w:top w:val="none" w:sz="0" w:space="0" w:color="auto"/>
        <w:left w:val="none" w:sz="0" w:space="0" w:color="auto"/>
        <w:bottom w:val="none" w:sz="0" w:space="0" w:color="auto"/>
        <w:right w:val="none" w:sz="0" w:space="0" w:color="auto"/>
      </w:divBdr>
      <w:divsChild>
        <w:div w:id="72355225">
          <w:marLeft w:val="0"/>
          <w:marRight w:val="0"/>
          <w:marTop w:val="0"/>
          <w:marBottom w:val="450"/>
          <w:divBdr>
            <w:top w:val="none" w:sz="0" w:space="0" w:color="auto"/>
            <w:left w:val="none" w:sz="0" w:space="0" w:color="auto"/>
            <w:bottom w:val="single" w:sz="6" w:space="19" w:color="EEEEEE"/>
            <w:right w:val="none" w:sz="0" w:space="0" w:color="auto"/>
          </w:divBdr>
          <w:divsChild>
            <w:div w:id="468405408">
              <w:marLeft w:val="0"/>
              <w:marRight w:val="0"/>
              <w:marTop w:val="0"/>
              <w:marBottom w:val="150"/>
              <w:divBdr>
                <w:top w:val="none" w:sz="0" w:space="0" w:color="auto"/>
                <w:left w:val="none" w:sz="0" w:space="0" w:color="auto"/>
                <w:bottom w:val="none" w:sz="0" w:space="0" w:color="auto"/>
                <w:right w:val="none" w:sz="0" w:space="0" w:color="auto"/>
              </w:divBdr>
              <w:divsChild>
                <w:div w:id="766194652">
                  <w:marLeft w:val="0"/>
                  <w:marRight w:val="0"/>
                  <w:marTop w:val="0"/>
                  <w:marBottom w:val="0"/>
                  <w:divBdr>
                    <w:top w:val="none" w:sz="0" w:space="0" w:color="auto"/>
                    <w:left w:val="none" w:sz="0" w:space="0" w:color="auto"/>
                    <w:bottom w:val="none" w:sz="0" w:space="0" w:color="auto"/>
                    <w:right w:val="none" w:sz="0" w:space="0" w:color="auto"/>
                  </w:divBdr>
                </w:div>
              </w:divsChild>
            </w:div>
            <w:div w:id="904485507">
              <w:marLeft w:val="0"/>
              <w:marRight w:val="0"/>
              <w:marTop w:val="0"/>
              <w:marBottom w:val="0"/>
              <w:divBdr>
                <w:top w:val="none" w:sz="0" w:space="0" w:color="auto"/>
                <w:left w:val="none" w:sz="0" w:space="0" w:color="auto"/>
                <w:bottom w:val="none" w:sz="0" w:space="0" w:color="auto"/>
                <w:right w:val="none" w:sz="0" w:space="0" w:color="auto"/>
              </w:divBdr>
            </w:div>
          </w:divsChild>
        </w:div>
        <w:div w:id="241373684">
          <w:marLeft w:val="0"/>
          <w:marRight w:val="0"/>
          <w:marTop w:val="0"/>
          <w:marBottom w:val="0"/>
          <w:divBdr>
            <w:top w:val="none" w:sz="0" w:space="0" w:color="auto"/>
            <w:left w:val="none" w:sz="0" w:space="0" w:color="auto"/>
            <w:bottom w:val="none" w:sz="0" w:space="0" w:color="auto"/>
            <w:right w:val="none" w:sz="0" w:space="0" w:color="auto"/>
          </w:divBdr>
          <w:divsChild>
            <w:div w:id="1744597197">
              <w:marLeft w:val="0"/>
              <w:marRight w:val="0"/>
              <w:marTop w:val="0"/>
              <w:marBottom w:val="0"/>
              <w:divBdr>
                <w:top w:val="none" w:sz="0" w:space="0" w:color="auto"/>
                <w:left w:val="none" w:sz="0" w:space="0" w:color="auto"/>
                <w:bottom w:val="none" w:sz="0" w:space="0" w:color="auto"/>
                <w:right w:val="none" w:sz="0" w:space="0" w:color="auto"/>
              </w:divBdr>
              <w:divsChild>
                <w:div w:id="6641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092083">
      <w:bodyDiv w:val="1"/>
      <w:marLeft w:val="0"/>
      <w:marRight w:val="0"/>
      <w:marTop w:val="0"/>
      <w:marBottom w:val="0"/>
      <w:divBdr>
        <w:top w:val="none" w:sz="0" w:space="0" w:color="auto"/>
        <w:left w:val="none" w:sz="0" w:space="0" w:color="auto"/>
        <w:bottom w:val="none" w:sz="0" w:space="0" w:color="auto"/>
        <w:right w:val="none" w:sz="0" w:space="0" w:color="auto"/>
      </w:divBdr>
      <w:divsChild>
        <w:div w:id="1736851846">
          <w:marLeft w:val="0"/>
          <w:marRight w:val="0"/>
          <w:marTop w:val="0"/>
          <w:marBottom w:val="0"/>
          <w:divBdr>
            <w:top w:val="none" w:sz="0" w:space="0" w:color="auto"/>
            <w:left w:val="none" w:sz="0" w:space="0" w:color="auto"/>
            <w:bottom w:val="none" w:sz="0" w:space="0" w:color="auto"/>
            <w:right w:val="none" w:sz="0" w:space="0" w:color="auto"/>
          </w:divBdr>
          <w:divsChild>
            <w:div w:id="1676953120">
              <w:marLeft w:val="0"/>
              <w:marRight w:val="0"/>
              <w:marTop w:val="0"/>
              <w:marBottom w:val="0"/>
              <w:divBdr>
                <w:top w:val="none" w:sz="0" w:space="0" w:color="auto"/>
                <w:left w:val="none" w:sz="0" w:space="0" w:color="auto"/>
                <w:bottom w:val="none" w:sz="0" w:space="0" w:color="auto"/>
                <w:right w:val="none" w:sz="0" w:space="0" w:color="auto"/>
              </w:divBdr>
              <w:divsChild>
                <w:div w:id="826289311">
                  <w:marLeft w:val="0"/>
                  <w:marRight w:val="0"/>
                  <w:marTop w:val="0"/>
                  <w:marBottom w:val="0"/>
                  <w:divBdr>
                    <w:top w:val="none" w:sz="0" w:space="0" w:color="auto"/>
                    <w:left w:val="none" w:sz="0" w:space="0" w:color="auto"/>
                    <w:bottom w:val="none" w:sz="0" w:space="0" w:color="auto"/>
                    <w:right w:val="none" w:sz="0" w:space="0" w:color="auto"/>
                  </w:divBdr>
                  <w:divsChild>
                    <w:div w:id="1664970631">
                      <w:marLeft w:val="0"/>
                      <w:marRight w:val="0"/>
                      <w:marTop w:val="0"/>
                      <w:marBottom w:val="0"/>
                      <w:divBdr>
                        <w:top w:val="none" w:sz="0" w:space="0" w:color="auto"/>
                        <w:left w:val="none" w:sz="0" w:space="0" w:color="auto"/>
                        <w:bottom w:val="none" w:sz="0" w:space="0" w:color="auto"/>
                        <w:right w:val="none" w:sz="0" w:space="0" w:color="auto"/>
                      </w:divBdr>
                      <w:divsChild>
                        <w:div w:id="33711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634889">
      <w:bodyDiv w:val="1"/>
      <w:marLeft w:val="0"/>
      <w:marRight w:val="0"/>
      <w:marTop w:val="0"/>
      <w:marBottom w:val="0"/>
      <w:divBdr>
        <w:top w:val="none" w:sz="0" w:space="0" w:color="auto"/>
        <w:left w:val="none" w:sz="0" w:space="0" w:color="auto"/>
        <w:bottom w:val="none" w:sz="0" w:space="0" w:color="auto"/>
        <w:right w:val="none" w:sz="0" w:space="0" w:color="auto"/>
      </w:divBdr>
      <w:divsChild>
        <w:div w:id="1235776122">
          <w:marLeft w:val="0"/>
          <w:marRight w:val="0"/>
          <w:marTop w:val="0"/>
          <w:marBottom w:val="0"/>
          <w:divBdr>
            <w:top w:val="none" w:sz="0" w:space="0" w:color="auto"/>
            <w:left w:val="none" w:sz="0" w:space="0" w:color="auto"/>
            <w:bottom w:val="dotted" w:sz="6" w:space="4" w:color="DDDDDD"/>
            <w:right w:val="none" w:sz="0" w:space="0" w:color="auto"/>
          </w:divBdr>
          <w:divsChild>
            <w:div w:id="121512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53148">
      <w:bodyDiv w:val="1"/>
      <w:marLeft w:val="0"/>
      <w:marRight w:val="0"/>
      <w:marTop w:val="0"/>
      <w:marBottom w:val="0"/>
      <w:divBdr>
        <w:top w:val="none" w:sz="0" w:space="0" w:color="auto"/>
        <w:left w:val="none" w:sz="0" w:space="0" w:color="auto"/>
        <w:bottom w:val="none" w:sz="0" w:space="0" w:color="auto"/>
        <w:right w:val="none" w:sz="0" w:space="0" w:color="auto"/>
      </w:divBdr>
      <w:divsChild>
        <w:div w:id="970091663">
          <w:marLeft w:val="0"/>
          <w:marRight w:val="0"/>
          <w:marTop w:val="0"/>
          <w:marBottom w:val="0"/>
          <w:divBdr>
            <w:top w:val="none" w:sz="0" w:space="0" w:color="auto"/>
            <w:left w:val="none" w:sz="0" w:space="0" w:color="auto"/>
            <w:bottom w:val="none" w:sz="0" w:space="0" w:color="auto"/>
            <w:right w:val="none" w:sz="0" w:space="0" w:color="auto"/>
          </w:divBdr>
          <w:divsChild>
            <w:div w:id="1795325075">
              <w:marLeft w:val="0"/>
              <w:marRight w:val="0"/>
              <w:marTop w:val="0"/>
              <w:marBottom w:val="0"/>
              <w:divBdr>
                <w:top w:val="none" w:sz="0" w:space="0" w:color="auto"/>
                <w:left w:val="none" w:sz="0" w:space="0" w:color="auto"/>
                <w:bottom w:val="none" w:sz="0" w:space="0" w:color="auto"/>
                <w:right w:val="none" w:sz="0" w:space="0" w:color="auto"/>
              </w:divBdr>
            </w:div>
          </w:divsChild>
        </w:div>
        <w:div w:id="1213736004">
          <w:marLeft w:val="0"/>
          <w:marRight w:val="0"/>
          <w:marTop w:val="120"/>
          <w:marBottom w:val="0"/>
          <w:divBdr>
            <w:top w:val="none" w:sz="0" w:space="0" w:color="auto"/>
            <w:left w:val="none" w:sz="0" w:space="0" w:color="auto"/>
            <w:bottom w:val="none" w:sz="0" w:space="0" w:color="auto"/>
            <w:right w:val="none" w:sz="0" w:space="0" w:color="auto"/>
          </w:divBdr>
        </w:div>
      </w:divsChild>
    </w:div>
    <w:div w:id="1490827256">
      <w:bodyDiv w:val="1"/>
      <w:marLeft w:val="0"/>
      <w:marRight w:val="0"/>
      <w:marTop w:val="0"/>
      <w:marBottom w:val="0"/>
      <w:divBdr>
        <w:top w:val="none" w:sz="0" w:space="0" w:color="auto"/>
        <w:left w:val="none" w:sz="0" w:space="0" w:color="auto"/>
        <w:bottom w:val="none" w:sz="0" w:space="0" w:color="auto"/>
        <w:right w:val="none" w:sz="0" w:space="0" w:color="auto"/>
      </w:divBdr>
      <w:divsChild>
        <w:div w:id="1727875316">
          <w:marLeft w:val="0"/>
          <w:marRight w:val="0"/>
          <w:marTop w:val="0"/>
          <w:marBottom w:val="0"/>
          <w:divBdr>
            <w:top w:val="none" w:sz="0" w:space="0" w:color="auto"/>
            <w:left w:val="none" w:sz="0" w:space="0" w:color="auto"/>
            <w:bottom w:val="dotted" w:sz="6" w:space="4" w:color="DDDDDD"/>
            <w:right w:val="none" w:sz="0" w:space="0" w:color="auto"/>
          </w:divBdr>
          <w:divsChild>
            <w:div w:id="72457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906992">
      <w:bodyDiv w:val="1"/>
      <w:marLeft w:val="0"/>
      <w:marRight w:val="0"/>
      <w:marTop w:val="0"/>
      <w:marBottom w:val="0"/>
      <w:divBdr>
        <w:top w:val="none" w:sz="0" w:space="0" w:color="auto"/>
        <w:left w:val="none" w:sz="0" w:space="0" w:color="auto"/>
        <w:bottom w:val="none" w:sz="0" w:space="0" w:color="auto"/>
        <w:right w:val="none" w:sz="0" w:space="0" w:color="auto"/>
      </w:divBdr>
    </w:div>
    <w:div w:id="1491093565">
      <w:bodyDiv w:val="1"/>
      <w:marLeft w:val="0"/>
      <w:marRight w:val="0"/>
      <w:marTop w:val="0"/>
      <w:marBottom w:val="0"/>
      <w:divBdr>
        <w:top w:val="none" w:sz="0" w:space="0" w:color="auto"/>
        <w:left w:val="none" w:sz="0" w:space="0" w:color="auto"/>
        <w:bottom w:val="none" w:sz="0" w:space="0" w:color="auto"/>
        <w:right w:val="none" w:sz="0" w:space="0" w:color="auto"/>
      </w:divBdr>
    </w:div>
    <w:div w:id="1491169690">
      <w:bodyDiv w:val="1"/>
      <w:marLeft w:val="0"/>
      <w:marRight w:val="0"/>
      <w:marTop w:val="0"/>
      <w:marBottom w:val="0"/>
      <w:divBdr>
        <w:top w:val="none" w:sz="0" w:space="0" w:color="auto"/>
        <w:left w:val="none" w:sz="0" w:space="0" w:color="auto"/>
        <w:bottom w:val="none" w:sz="0" w:space="0" w:color="auto"/>
        <w:right w:val="none" w:sz="0" w:space="0" w:color="auto"/>
      </w:divBdr>
      <w:divsChild>
        <w:div w:id="1867057045">
          <w:marLeft w:val="0"/>
          <w:marRight w:val="0"/>
          <w:marTop w:val="0"/>
          <w:marBottom w:val="0"/>
          <w:divBdr>
            <w:top w:val="none" w:sz="0" w:space="0" w:color="auto"/>
            <w:left w:val="none" w:sz="0" w:space="0" w:color="auto"/>
            <w:bottom w:val="none" w:sz="0" w:space="0" w:color="auto"/>
            <w:right w:val="none" w:sz="0" w:space="0" w:color="auto"/>
          </w:divBdr>
          <w:divsChild>
            <w:div w:id="2124883927">
              <w:marLeft w:val="0"/>
              <w:marRight w:val="0"/>
              <w:marTop w:val="0"/>
              <w:marBottom w:val="0"/>
              <w:divBdr>
                <w:top w:val="none" w:sz="0" w:space="0" w:color="auto"/>
                <w:left w:val="none" w:sz="0" w:space="0" w:color="auto"/>
                <w:bottom w:val="none" w:sz="0" w:space="0" w:color="auto"/>
                <w:right w:val="none" w:sz="0" w:space="0" w:color="auto"/>
              </w:divBdr>
              <w:divsChild>
                <w:div w:id="1670211287">
                  <w:marLeft w:val="0"/>
                  <w:marRight w:val="0"/>
                  <w:marTop w:val="0"/>
                  <w:marBottom w:val="0"/>
                  <w:divBdr>
                    <w:top w:val="none" w:sz="0" w:space="0" w:color="auto"/>
                    <w:left w:val="none" w:sz="0" w:space="0" w:color="auto"/>
                    <w:bottom w:val="none" w:sz="0" w:space="0" w:color="auto"/>
                    <w:right w:val="none" w:sz="0" w:space="0" w:color="auto"/>
                  </w:divBdr>
                  <w:divsChild>
                    <w:div w:id="159584293">
                      <w:marLeft w:val="0"/>
                      <w:marRight w:val="0"/>
                      <w:marTop w:val="0"/>
                      <w:marBottom w:val="0"/>
                      <w:divBdr>
                        <w:top w:val="none" w:sz="0" w:space="0" w:color="auto"/>
                        <w:left w:val="none" w:sz="0" w:space="0" w:color="auto"/>
                        <w:bottom w:val="none" w:sz="0" w:space="0" w:color="auto"/>
                        <w:right w:val="none" w:sz="0" w:space="0" w:color="auto"/>
                      </w:divBdr>
                      <w:divsChild>
                        <w:div w:id="491139272">
                          <w:marLeft w:val="0"/>
                          <w:marRight w:val="0"/>
                          <w:marTop w:val="0"/>
                          <w:marBottom w:val="0"/>
                          <w:divBdr>
                            <w:top w:val="none" w:sz="0" w:space="0" w:color="auto"/>
                            <w:left w:val="none" w:sz="0" w:space="0" w:color="auto"/>
                            <w:bottom w:val="none" w:sz="0" w:space="0" w:color="auto"/>
                            <w:right w:val="none" w:sz="0" w:space="0" w:color="auto"/>
                          </w:divBdr>
                          <w:divsChild>
                            <w:div w:id="1670138245">
                              <w:marLeft w:val="0"/>
                              <w:marRight w:val="0"/>
                              <w:marTop w:val="0"/>
                              <w:marBottom w:val="0"/>
                              <w:divBdr>
                                <w:top w:val="none" w:sz="0" w:space="0" w:color="auto"/>
                                <w:left w:val="none" w:sz="0" w:space="0" w:color="auto"/>
                                <w:bottom w:val="none" w:sz="0" w:space="0" w:color="auto"/>
                                <w:right w:val="none" w:sz="0" w:space="0" w:color="auto"/>
                              </w:divBdr>
                              <w:divsChild>
                                <w:div w:id="690835894">
                                  <w:marLeft w:val="0"/>
                                  <w:marRight w:val="0"/>
                                  <w:marTop w:val="0"/>
                                  <w:marBottom w:val="0"/>
                                  <w:divBdr>
                                    <w:top w:val="none" w:sz="0" w:space="0" w:color="auto"/>
                                    <w:left w:val="none" w:sz="0" w:space="0" w:color="auto"/>
                                    <w:bottom w:val="none" w:sz="0" w:space="0" w:color="auto"/>
                                    <w:right w:val="none" w:sz="0" w:space="0" w:color="auto"/>
                                  </w:divBdr>
                                  <w:divsChild>
                                    <w:div w:id="979729544">
                                      <w:marLeft w:val="0"/>
                                      <w:marRight w:val="0"/>
                                      <w:marTop w:val="0"/>
                                      <w:marBottom w:val="0"/>
                                      <w:divBdr>
                                        <w:top w:val="none" w:sz="0" w:space="0" w:color="auto"/>
                                        <w:left w:val="none" w:sz="0" w:space="0" w:color="auto"/>
                                        <w:bottom w:val="none" w:sz="0" w:space="0" w:color="auto"/>
                                        <w:right w:val="none" w:sz="0" w:space="0" w:color="auto"/>
                                      </w:divBdr>
                                      <w:divsChild>
                                        <w:div w:id="204100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1211353">
      <w:bodyDiv w:val="1"/>
      <w:marLeft w:val="0"/>
      <w:marRight w:val="0"/>
      <w:marTop w:val="0"/>
      <w:marBottom w:val="0"/>
      <w:divBdr>
        <w:top w:val="none" w:sz="0" w:space="0" w:color="auto"/>
        <w:left w:val="none" w:sz="0" w:space="0" w:color="auto"/>
        <w:bottom w:val="none" w:sz="0" w:space="0" w:color="auto"/>
        <w:right w:val="none" w:sz="0" w:space="0" w:color="auto"/>
      </w:divBdr>
      <w:divsChild>
        <w:div w:id="2027750105">
          <w:marLeft w:val="0"/>
          <w:marRight w:val="0"/>
          <w:marTop w:val="0"/>
          <w:marBottom w:val="150"/>
          <w:divBdr>
            <w:top w:val="none" w:sz="0" w:space="0" w:color="auto"/>
            <w:left w:val="none" w:sz="0" w:space="0" w:color="auto"/>
            <w:bottom w:val="none" w:sz="0" w:space="0" w:color="auto"/>
            <w:right w:val="none" w:sz="0" w:space="0" w:color="auto"/>
          </w:divBdr>
        </w:div>
      </w:divsChild>
    </w:div>
    <w:div w:id="1491288944">
      <w:bodyDiv w:val="1"/>
      <w:marLeft w:val="0"/>
      <w:marRight w:val="0"/>
      <w:marTop w:val="0"/>
      <w:marBottom w:val="0"/>
      <w:divBdr>
        <w:top w:val="none" w:sz="0" w:space="0" w:color="auto"/>
        <w:left w:val="none" w:sz="0" w:space="0" w:color="auto"/>
        <w:bottom w:val="none" w:sz="0" w:space="0" w:color="auto"/>
        <w:right w:val="none" w:sz="0" w:space="0" w:color="auto"/>
      </w:divBdr>
      <w:divsChild>
        <w:div w:id="242842154">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508862593">
              <w:marLeft w:val="0"/>
              <w:marRight w:val="0"/>
              <w:marTop w:val="300"/>
              <w:marBottom w:val="300"/>
              <w:divBdr>
                <w:top w:val="none" w:sz="0" w:space="0" w:color="auto"/>
                <w:left w:val="none" w:sz="0" w:space="0" w:color="auto"/>
                <w:bottom w:val="none" w:sz="0" w:space="0" w:color="auto"/>
                <w:right w:val="none" w:sz="0" w:space="0" w:color="auto"/>
              </w:divBdr>
              <w:divsChild>
                <w:div w:id="1434591710">
                  <w:marLeft w:val="0"/>
                  <w:marRight w:val="0"/>
                  <w:marTop w:val="0"/>
                  <w:marBottom w:val="0"/>
                  <w:divBdr>
                    <w:top w:val="none" w:sz="0" w:space="0" w:color="auto"/>
                    <w:left w:val="none" w:sz="0" w:space="0" w:color="auto"/>
                    <w:bottom w:val="none" w:sz="0" w:space="0" w:color="auto"/>
                    <w:right w:val="none" w:sz="0" w:space="0" w:color="auto"/>
                  </w:divBdr>
                  <w:divsChild>
                    <w:div w:id="304701475">
                      <w:marLeft w:val="0"/>
                      <w:marRight w:val="0"/>
                      <w:marTop w:val="0"/>
                      <w:marBottom w:val="0"/>
                      <w:divBdr>
                        <w:top w:val="none" w:sz="0" w:space="0" w:color="auto"/>
                        <w:left w:val="none" w:sz="0" w:space="0" w:color="auto"/>
                        <w:bottom w:val="none" w:sz="0" w:space="0" w:color="auto"/>
                        <w:right w:val="none" w:sz="0" w:space="0" w:color="auto"/>
                      </w:divBdr>
                      <w:divsChild>
                        <w:div w:id="449209151">
                          <w:marLeft w:val="0"/>
                          <w:marRight w:val="0"/>
                          <w:marTop w:val="0"/>
                          <w:marBottom w:val="0"/>
                          <w:divBdr>
                            <w:top w:val="none" w:sz="0" w:space="0" w:color="auto"/>
                            <w:left w:val="none" w:sz="0" w:space="0" w:color="auto"/>
                            <w:bottom w:val="none" w:sz="0" w:space="0" w:color="auto"/>
                            <w:right w:val="none" w:sz="0" w:space="0" w:color="auto"/>
                          </w:divBdr>
                          <w:divsChild>
                            <w:div w:id="1765540187">
                              <w:marLeft w:val="0"/>
                              <w:marRight w:val="0"/>
                              <w:marTop w:val="0"/>
                              <w:marBottom w:val="0"/>
                              <w:divBdr>
                                <w:top w:val="none" w:sz="0" w:space="0" w:color="auto"/>
                                <w:left w:val="none" w:sz="0" w:space="0" w:color="auto"/>
                                <w:bottom w:val="none" w:sz="0" w:space="0" w:color="auto"/>
                                <w:right w:val="none" w:sz="0" w:space="0" w:color="auto"/>
                              </w:divBdr>
                              <w:divsChild>
                                <w:div w:id="952324411">
                                  <w:marLeft w:val="0"/>
                                  <w:marRight w:val="0"/>
                                  <w:marTop w:val="0"/>
                                  <w:marBottom w:val="0"/>
                                  <w:divBdr>
                                    <w:top w:val="none" w:sz="0" w:space="0" w:color="auto"/>
                                    <w:left w:val="none" w:sz="0" w:space="0" w:color="auto"/>
                                    <w:bottom w:val="none" w:sz="0" w:space="0" w:color="auto"/>
                                    <w:right w:val="none" w:sz="0" w:space="0" w:color="auto"/>
                                  </w:divBdr>
                                  <w:divsChild>
                                    <w:div w:id="20874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1407220">
      <w:bodyDiv w:val="1"/>
      <w:marLeft w:val="0"/>
      <w:marRight w:val="0"/>
      <w:marTop w:val="0"/>
      <w:marBottom w:val="0"/>
      <w:divBdr>
        <w:top w:val="none" w:sz="0" w:space="0" w:color="auto"/>
        <w:left w:val="none" w:sz="0" w:space="0" w:color="auto"/>
        <w:bottom w:val="none" w:sz="0" w:space="0" w:color="auto"/>
        <w:right w:val="none" w:sz="0" w:space="0" w:color="auto"/>
      </w:divBdr>
    </w:div>
    <w:div w:id="1491755371">
      <w:bodyDiv w:val="1"/>
      <w:marLeft w:val="0"/>
      <w:marRight w:val="0"/>
      <w:marTop w:val="0"/>
      <w:marBottom w:val="0"/>
      <w:divBdr>
        <w:top w:val="none" w:sz="0" w:space="0" w:color="auto"/>
        <w:left w:val="none" w:sz="0" w:space="0" w:color="auto"/>
        <w:bottom w:val="none" w:sz="0" w:space="0" w:color="auto"/>
        <w:right w:val="none" w:sz="0" w:space="0" w:color="auto"/>
      </w:divBdr>
    </w:div>
    <w:div w:id="1491871011">
      <w:bodyDiv w:val="1"/>
      <w:marLeft w:val="0"/>
      <w:marRight w:val="0"/>
      <w:marTop w:val="0"/>
      <w:marBottom w:val="0"/>
      <w:divBdr>
        <w:top w:val="none" w:sz="0" w:space="0" w:color="auto"/>
        <w:left w:val="none" w:sz="0" w:space="0" w:color="auto"/>
        <w:bottom w:val="none" w:sz="0" w:space="0" w:color="auto"/>
        <w:right w:val="none" w:sz="0" w:space="0" w:color="auto"/>
      </w:divBdr>
      <w:divsChild>
        <w:div w:id="211770083">
          <w:marLeft w:val="0"/>
          <w:marRight w:val="0"/>
          <w:marTop w:val="0"/>
          <w:marBottom w:val="150"/>
          <w:divBdr>
            <w:top w:val="none" w:sz="0" w:space="0" w:color="auto"/>
            <w:left w:val="none" w:sz="0" w:space="0" w:color="auto"/>
            <w:bottom w:val="none" w:sz="0" w:space="0" w:color="auto"/>
            <w:right w:val="none" w:sz="0" w:space="0" w:color="auto"/>
          </w:divBdr>
          <w:divsChild>
            <w:div w:id="42564697">
              <w:marLeft w:val="0"/>
              <w:marRight w:val="0"/>
              <w:marTop w:val="0"/>
              <w:marBottom w:val="0"/>
              <w:divBdr>
                <w:top w:val="none" w:sz="0" w:space="0" w:color="auto"/>
                <w:left w:val="none" w:sz="0" w:space="0" w:color="auto"/>
                <w:bottom w:val="none" w:sz="0" w:space="0" w:color="auto"/>
                <w:right w:val="none" w:sz="0" w:space="0" w:color="auto"/>
              </w:divBdr>
              <w:divsChild>
                <w:div w:id="37447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682541">
          <w:marLeft w:val="0"/>
          <w:marRight w:val="0"/>
          <w:marTop w:val="0"/>
          <w:marBottom w:val="0"/>
          <w:divBdr>
            <w:top w:val="none" w:sz="0" w:space="0" w:color="auto"/>
            <w:left w:val="none" w:sz="0" w:space="0" w:color="auto"/>
            <w:bottom w:val="none" w:sz="0" w:space="0" w:color="auto"/>
            <w:right w:val="none" w:sz="0" w:space="0" w:color="auto"/>
          </w:divBdr>
          <w:divsChild>
            <w:div w:id="829830953">
              <w:marLeft w:val="0"/>
              <w:marRight w:val="0"/>
              <w:marTop w:val="225"/>
              <w:marBottom w:val="225"/>
              <w:divBdr>
                <w:top w:val="none" w:sz="0" w:space="0" w:color="auto"/>
                <w:left w:val="none" w:sz="0" w:space="0" w:color="auto"/>
                <w:bottom w:val="none" w:sz="0" w:space="0" w:color="auto"/>
                <w:right w:val="none" w:sz="0" w:space="0" w:color="auto"/>
              </w:divBdr>
            </w:div>
          </w:divsChild>
        </w:div>
        <w:div w:id="1687443373">
          <w:marLeft w:val="0"/>
          <w:marRight w:val="0"/>
          <w:marTop w:val="0"/>
          <w:marBottom w:val="150"/>
          <w:divBdr>
            <w:top w:val="none" w:sz="0" w:space="0" w:color="auto"/>
            <w:left w:val="none" w:sz="0" w:space="0" w:color="auto"/>
            <w:bottom w:val="none" w:sz="0" w:space="0" w:color="auto"/>
            <w:right w:val="none" w:sz="0" w:space="0" w:color="auto"/>
          </w:divBdr>
        </w:div>
      </w:divsChild>
    </w:div>
    <w:div w:id="1492063896">
      <w:bodyDiv w:val="1"/>
      <w:marLeft w:val="0"/>
      <w:marRight w:val="0"/>
      <w:marTop w:val="0"/>
      <w:marBottom w:val="0"/>
      <w:divBdr>
        <w:top w:val="none" w:sz="0" w:space="0" w:color="auto"/>
        <w:left w:val="none" w:sz="0" w:space="0" w:color="auto"/>
        <w:bottom w:val="none" w:sz="0" w:space="0" w:color="auto"/>
        <w:right w:val="none" w:sz="0" w:space="0" w:color="auto"/>
      </w:divBdr>
      <w:divsChild>
        <w:div w:id="121463340">
          <w:marLeft w:val="0"/>
          <w:marRight w:val="0"/>
          <w:marTop w:val="0"/>
          <w:marBottom w:val="0"/>
          <w:divBdr>
            <w:top w:val="none" w:sz="0" w:space="0" w:color="auto"/>
            <w:left w:val="none" w:sz="0" w:space="0" w:color="auto"/>
            <w:bottom w:val="none" w:sz="0" w:space="0" w:color="auto"/>
            <w:right w:val="none" w:sz="0" w:space="0" w:color="auto"/>
          </w:divBdr>
        </w:div>
        <w:div w:id="274676244">
          <w:marLeft w:val="0"/>
          <w:marRight w:val="0"/>
          <w:marTop w:val="0"/>
          <w:marBottom w:val="150"/>
          <w:divBdr>
            <w:top w:val="none" w:sz="0" w:space="0" w:color="auto"/>
            <w:left w:val="none" w:sz="0" w:space="0" w:color="auto"/>
            <w:bottom w:val="none" w:sz="0" w:space="0" w:color="auto"/>
            <w:right w:val="none" w:sz="0" w:space="0" w:color="auto"/>
          </w:divBdr>
        </w:div>
      </w:divsChild>
    </w:div>
    <w:div w:id="1492260708">
      <w:bodyDiv w:val="1"/>
      <w:marLeft w:val="0"/>
      <w:marRight w:val="0"/>
      <w:marTop w:val="0"/>
      <w:marBottom w:val="0"/>
      <w:divBdr>
        <w:top w:val="none" w:sz="0" w:space="0" w:color="auto"/>
        <w:left w:val="none" w:sz="0" w:space="0" w:color="auto"/>
        <w:bottom w:val="none" w:sz="0" w:space="0" w:color="auto"/>
        <w:right w:val="none" w:sz="0" w:space="0" w:color="auto"/>
      </w:divBdr>
      <w:divsChild>
        <w:div w:id="2129005518">
          <w:marLeft w:val="0"/>
          <w:marRight w:val="0"/>
          <w:marTop w:val="0"/>
          <w:marBottom w:val="0"/>
          <w:divBdr>
            <w:top w:val="none" w:sz="0" w:space="0" w:color="auto"/>
            <w:left w:val="none" w:sz="0" w:space="0" w:color="auto"/>
            <w:bottom w:val="none" w:sz="0" w:space="0" w:color="auto"/>
            <w:right w:val="none" w:sz="0" w:space="0" w:color="auto"/>
          </w:divBdr>
          <w:divsChild>
            <w:div w:id="38275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40715">
      <w:bodyDiv w:val="1"/>
      <w:marLeft w:val="0"/>
      <w:marRight w:val="0"/>
      <w:marTop w:val="0"/>
      <w:marBottom w:val="0"/>
      <w:divBdr>
        <w:top w:val="none" w:sz="0" w:space="0" w:color="auto"/>
        <w:left w:val="none" w:sz="0" w:space="0" w:color="auto"/>
        <w:bottom w:val="none" w:sz="0" w:space="0" w:color="auto"/>
        <w:right w:val="none" w:sz="0" w:space="0" w:color="auto"/>
      </w:divBdr>
      <w:divsChild>
        <w:div w:id="48648210">
          <w:marLeft w:val="0"/>
          <w:marRight w:val="0"/>
          <w:marTop w:val="0"/>
          <w:marBottom w:val="0"/>
          <w:divBdr>
            <w:top w:val="none" w:sz="0" w:space="0" w:color="auto"/>
            <w:left w:val="none" w:sz="0" w:space="0" w:color="auto"/>
            <w:bottom w:val="dotted" w:sz="6" w:space="4" w:color="DDDDDD"/>
            <w:right w:val="none" w:sz="0" w:space="0" w:color="auto"/>
          </w:divBdr>
          <w:divsChild>
            <w:div w:id="163868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134355">
      <w:bodyDiv w:val="1"/>
      <w:marLeft w:val="0"/>
      <w:marRight w:val="0"/>
      <w:marTop w:val="0"/>
      <w:marBottom w:val="0"/>
      <w:divBdr>
        <w:top w:val="none" w:sz="0" w:space="0" w:color="auto"/>
        <w:left w:val="none" w:sz="0" w:space="0" w:color="auto"/>
        <w:bottom w:val="none" w:sz="0" w:space="0" w:color="auto"/>
        <w:right w:val="none" w:sz="0" w:space="0" w:color="auto"/>
      </w:divBdr>
    </w:div>
    <w:div w:id="1493326146">
      <w:bodyDiv w:val="1"/>
      <w:marLeft w:val="0"/>
      <w:marRight w:val="0"/>
      <w:marTop w:val="0"/>
      <w:marBottom w:val="0"/>
      <w:divBdr>
        <w:top w:val="none" w:sz="0" w:space="0" w:color="auto"/>
        <w:left w:val="none" w:sz="0" w:space="0" w:color="auto"/>
        <w:bottom w:val="none" w:sz="0" w:space="0" w:color="auto"/>
        <w:right w:val="none" w:sz="0" w:space="0" w:color="auto"/>
      </w:divBdr>
    </w:div>
    <w:div w:id="1494183055">
      <w:bodyDiv w:val="1"/>
      <w:marLeft w:val="0"/>
      <w:marRight w:val="0"/>
      <w:marTop w:val="0"/>
      <w:marBottom w:val="0"/>
      <w:divBdr>
        <w:top w:val="none" w:sz="0" w:space="0" w:color="auto"/>
        <w:left w:val="none" w:sz="0" w:space="0" w:color="auto"/>
        <w:bottom w:val="none" w:sz="0" w:space="0" w:color="auto"/>
        <w:right w:val="none" w:sz="0" w:space="0" w:color="auto"/>
      </w:divBdr>
      <w:divsChild>
        <w:div w:id="313067046">
          <w:marLeft w:val="0"/>
          <w:marRight w:val="0"/>
          <w:marTop w:val="0"/>
          <w:marBottom w:val="0"/>
          <w:divBdr>
            <w:top w:val="none" w:sz="0" w:space="0" w:color="auto"/>
            <w:left w:val="none" w:sz="0" w:space="0" w:color="auto"/>
            <w:bottom w:val="none" w:sz="0" w:space="0" w:color="auto"/>
            <w:right w:val="none" w:sz="0" w:space="0" w:color="auto"/>
          </w:divBdr>
          <w:divsChild>
            <w:div w:id="542089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94755604">
      <w:bodyDiv w:val="1"/>
      <w:marLeft w:val="0"/>
      <w:marRight w:val="0"/>
      <w:marTop w:val="0"/>
      <w:marBottom w:val="0"/>
      <w:divBdr>
        <w:top w:val="none" w:sz="0" w:space="0" w:color="auto"/>
        <w:left w:val="none" w:sz="0" w:space="0" w:color="auto"/>
        <w:bottom w:val="none" w:sz="0" w:space="0" w:color="auto"/>
        <w:right w:val="none" w:sz="0" w:space="0" w:color="auto"/>
      </w:divBdr>
      <w:divsChild>
        <w:div w:id="662048958">
          <w:marLeft w:val="0"/>
          <w:marRight w:val="0"/>
          <w:marTop w:val="0"/>
          <w:marBottom w:val="0"/>
          <w:divBdr>
            <w:top w:val="none" w:sz="0" w:space="0" w:color="auto"/>
            <w:left w:val="none" w:sz="0" w:space="0" w:color="auto"/>
            <w:bottom w:val="dotted" w:sz="6" w:space="4" w:color="DDDDDD"/>
            <w:right w:val="none" w:sz="0" w:space="0" w:color="auto"/>
          </w:divBdr>
          <w:divsChild>
            <w:div w:id="49129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102810">
      <w:bodyDiv w:val="1"/>
      <w:marLeft w:val="0"/>
      <w:marRight w:val="0"/>
      <w:marTop w:val="0"/>
      <w:marBottom w:val="0"/>
      <w:divBdr>
        <w:top w:val="none" w:sz="0" w:space="0" w:color="auto"/>
        <w:left w:val="none" w:sz="0" w:space="0" w:color="auto"/>
        <w:bottom w:val="none" w:sz="0" w:space="0" w:color="auto"/>
        <w:right w:val="none" w:sz="0" w:space="0" w:color="auto"/>
      </w:divBdr>
      <w:divsChild>
        <w:div w:id="1093433258">
          <w:marLeft w:val="0"/>
          <w:marRight w:val="0"/>
          <w:marTop w:val="0"/>
          <w:marBottom w:val="150"/>
          <w:divBdr>
            <w:top w:val="none" w:sz="0" w:space="0" w:color="auto"/>
            <w:left w:val="none" w:sz="0" w:space="0" w:color="auto"/>
            <w:bottom w:val="none" w:sz="0" w:space="0" w:color="auto"/>
            <w:right w:val="none" w:sz="0" w:space="0" w:color="auto"/>
          </w:divBdr>
          <w:divsChild>
            <w:div w:id="1632781595">
              <w:marLeft w:val="0"/>
              <w:marRight w:val="0"/>
              <w:marTop w:val="0"/>
              <w:marBottom w:val="0"/>
              <w:divBdr>
                <w:top w:val="none" w:sz="0" w:space="0" w:color="auto"/>
                <w:left w:val="none" w:sz="0" w:space="0" w:color="auto"/>
                <w:bottom w:val="none" w:sz="0" w:space="0" w:color="auto"/>
                <w:right w:val="none" w:sz="0" w:space="0" w:color="auto"/>
              </w:divBdr>
            </w:div>
          </w:divsChild>
        </w:div>
        <w:div w:id="1536573633">
          <w:marLeft w:val="0"/>
          <w:marRight w:val="0"/>
          <w:marTop w:val="0"/>
          <w:marBottom w:val="150"/>
          <w:divBdr>
            <w:top w:val="none" w:sz="0" w:space="0" w:color="auto"/>
            <w:left w:val="none" w:sz="0" w:space="0" w:color="auto"/>
            <w:bottom w:val="none" w:sz="0" w:space="0" w:color="auto"/>
            <w:right w:val="none" w:sz="0" w:space="0" w:color="auto"/>
          </w:divBdr>
        </w:div>
      </w:divsChild>
    </w:div>
    <w:div w:id="1495296324">
      <w:bodyDiv w:val="1"/>
      <w:marLeft w:val="0"/>
      <w:marRight w:val="0"/>
      <w:marTop w:val="0"/>
      <w:marBottom w:val="0"/>
      <w:divBdr>
        <w:top w:val="none" w:sz="0" w:space="0" w:color="auto"/>
        <w:left w:val="none" w:sz="0" w:space="0" w:color="auto"/>
        <w:bottom w:val="none" w:sz="0" w:space="0" w:color="auto"/>
        <w:right w:val="none" w:sz="0" w:space="0" w:color="auto"/>
      </w:divBdr>
      <w:divsChild>
        <w:div w:id="704215489">
          <w:marLeft w:val="0"/>
          <w:marRight w:val="0"/>
          <w:marTop w:val="0"/>
          <w:marBottom w:val="150"/>
          <w:divBdr>
            <w:top w:val="none" w:sz="0" w:space="0" w:color="auto"/>
            <w:left w:val="none" w:sz="0" w:space="0" w:color="auto"/>
            <w:bottom w:val="none" w:sz="0" w:space="0" w:color="auto"/>
            <w:right w:val="none" w:sz="0" w:space="0" w:color="auto"/>
          </w:divBdr>
          <w:divsChild>
            <w:div w:id="290208746">
              <w:marLeft w:val="0"/>
              <w:marRight w:val="0"/>
              <w:marTop w:val="0"/>
              <w:marBottom w:val="0"/>
              <w:divBdr>
                <w:top w:val="none" w:sz="0" w:space="0" w:color="auto"/>
                <w:left w:val="none" w:sz="0" w:space="0" w:color="auto"/>
                <w:bottom w:val="none" w:sz="0" w:space="0" w:color="auto"/>
                <w:right w:val="none" w:sz="0" w:space="0" w:color="auto"/>
              </w:divBdr>
              <w:divsChild>
                <w:div w:id="699671385">
                  <w:marLeft w:val="0"/>
                  <w:marRight w:val="0"/>
                  <w:marTop w:val="0"/>
                  <w:marBottom w:val="0"/>
                  <w:divBdr>
                    <w:top w:val="none" w:sz="0" w:space="0" w:color="auto"/>
                    <w:left w:val="none" w:sz="0" w:space="0" w:color="auto"/>
                    <w:bottom w:val="none" w:sz="0" w:space="0" w:color="auto"/>
                    <w:right w:val="none" w:sz="0" w:space="0" w:color="auto"/>
                  </w:divBdr>
                  <w:divsChild>
                    <w:div w:id="77594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303643">
          <w:marLeft w:val="0"/>
          <w:marRight w:val="0"/>
          <w:marTop w:val="0"/>
          <w:marBottom w:val="0"/>
          <w:divBdr>
            <w:top w:val="none" w:sz="0" w:space="0" w:color="auto"/>
            <w:left w:val="none" w:sz="0" w:space="0" w:color="auto"/>
            <w:bottom w:val="none" w:sz="0" w:space="0" w:color="auto"/>
            <w:right w:val="none" w:sz="0" w:space="0" w:color="auto"/>
          </w:divBdr>
        </w:div>
      </w:divsChild>
    </w:div>
    <w:div w:id="1495609685">
      <w:bodyDiv w:val="1"/>
      <w:marLeft w:val="0"/>
      <w:marRight w:val="0"/>
      <w:marTop w:val="0"/>
      <w:marBottom w:val="0"/>
      <w:divBdr>
        <w:top w:val="none" w:sz="0" w:space="0" w:color="auto"/>
        <w:left w:val="none" w:sz="0" w:space="0" w:color="auto"/>
        <w:bottom w:val="none" w:sz="0" w:space="0" w:color="auto"/>
        <w:right w:val="none" w:sz="0" w:space="0" w:color="auto"/>
      </w:divBdr>
      <w:divsChild>
        <w:div w:id="1503007314">
          <w:marLeft w:val="0"/>
          <w:marRight w:val="0"/>
          <w:marTop w:val="0"/>
          <w:marBottom w:val="0"/>
          <w:divBdr>
            <w:top w:val="none" w:sz="0" w:space="0" w:color="auto"/>
            <w:left w:val="none" w:sz="0" w:space="0" w:color="auto"/>
            <w:bottom w:val="none" w:sz="0" w:space="0" w:color="auto"/>
            <w:right w:val="none" w:sz="0" w:space="0" w:color="auto"/>
          </w:divBdr>
        </w:div>
      </w:divsChild>
    </w:div>
    <w:div w:id="1495955284">
      <w:bodyDiv w:val="1"/>
      <w:marLeft w:val="0"/>
      <w:marRight w:val="0"/>
      <w:marTop w:val="0"/>
      <w:marBottom w:val="0"/>
      <w:divBdr>
        <w:top w:val="none" w:sz="0" w:space="0" w:color="auto"/>
        <w:left w:val="none" w:sz="0" w:space="0" w:color="auto"/>
        <w:bottom w:val="none" w:sz="0" w:space="0" w:color="auto"/>
        <w:right w:val="none" w:sz="0" w:space="0" w:color="auto"/>
      </w:divBdr>
      <w:divsChild>
        <w:div w:id="1528635326">
          <w:marLeft w:val="0"/>
          <w:marRight w:val="0"/>
          <w:marTop w:val="0"/>
          <w:marBottom w:val="0"/>
          <w:divBdr>
            <w:top w:val="none" w:sz="0" w:space="0" w:color="auto"/>
            <w:left w:val="none" w:sz="0" w:space="0" w:color="auto"/>
            <w:bottom w:val="dotted" w:sz="6" w:space="4" w:color="DDDDDD"/>
            <w:right w:val="none" w:sz="0" w:space="0" w:color="auto"/>
          </w:divBdr>
          <w:divsChild>
            <w:div w:id="212168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146145">
      <w:bodyDiv w:val="1"/>
      <w:marLeft w:val="0"/>
      <w:marRight w:val="0"/>
      <w:marTop w:val="0"/>
      <w:marBottom w:val="0"/>
      <w:divBdr>
        <w:top w:val="none" w:sz="0" w:space="0" w:color="auto"/>
        <w:left w:val="none" w:sz="0" w:space="0" w:color="auto"/>
        <w:bottom w:val="none" w:sz="0" w:space="0" w:color="auto"/>
        <w:right w:val="none" w:sz="0" w:space="0" w:color="auto"/>
      </w:divBdr>
      <w:divsChild>
        <w:div w:id="203099989">
          <w:marLeft w:val="0"/>
          <w:marRight w:val="0"/>
          <w:marTop w:val="0"/>
          <w:marBottom w:val="150"/>
          <w:divBdr>
            <w:top w:val="none" w:sz="0" w:space="0" w:color="auto"/>
            <w:left w:val="none" w:sz="0" w:space="0" w:color="auto"/>
            <w:bottom w:val="none" w:sz="0" w:space="0" w:color="auto"/>
            <w:right w:val="none" w:sz="0" w:space="0" w:color="auto"/>
          </w:divBdr>
        </w:div>
        <w:div w:id="1287157537">
          <w:marLeft w:val="0"/>
          <w:marRight w:val="0"/>
          <w:marTop w:val="0"/>
          <w:marBottom w:val="0"/>
          <w:divBdr>
            <w:top w:val="none" w:sz="0" w:space="0" w:color="auto"/>
            <w:left w:val="none" w:sz="0" w:space="0" w:color="auto"/>
            <w:bottom w:val="none" w:sz="0" w:space="0" w:color="auto"/>
            <w:right w:val="none" w:sz="0" w:space="0" w:color="auto"/>
          </w:divBdr>
        </w:div>
      </w:divsChild>
    </w:div>
    <w:div w:id="1496996642">
      <w:bodyDiv w:val="1"/>
      <w:marLeft w:val="0"/>
      <w:marRight w:val="0"/>
      <w:marTop w:val="0"/>
      <w:marBottom w:val="0"/>
      <w:divBdr>
        <w:top w:val="none" w:sz="0" w:space="0" w:color="auto"/>
        <w:left w:val="none" w:sz="0" w:space="0" w:color="auto"/>
        <w:bottom w:val="none" w:sz="0" w:space="0" w:color="auto"/>
        <w:right w:val="none" w:sz="0" w:space="0" w:color="auto"/>
      </w:divBdr>
      <w:divsChild>
        <w:div w:id="248005154">
          <w:marLeft w:val="0"/>
          <w:marRight w:val="0"/>
          <w:marTop w:val="0"/>
          <w:marBottom w:val="150"/>
          <w:divBdr>
            <w:top w:val="none" w:sz="0" w:space="0" w:color="auto"/>
            <w:left w:val="none" w:sz="0" w:space="0" w:color="auto"/>
            <w:bottom w:val="none" w:sz="0" w:space="0" w:color="auto"/>
            <w:right w:val="none" w:sz="0" w:space="0" w:color="auto"/>
          </w:divBdr>
          <w:divsChild>
            <w:div w:id="1452091585">
              <w:marLeft w:val="0"/>
              <w:marRight w:val="0"/>
              <w:marTop w:val="0"/>
              <w:marBottom w:val="0"/>
              <w:divBdr>
                <w:top w:val="none" w:sz="0" w:space="0" w:color="auto"/>
                <w:left w:val="none" w:sz="0" w:space="0" w:color="auto"/>
                <w:bottom w:val="none" w:sz="0" w:space="0" w:color="auto"/>
                <w:right w:val="none" w:sz="0" w:space="0" w:color="auto"/>
              </w:divBdr>
            </w:div>
          </w:divsChild>
        </w:div>
        <w:div w:id="1026516802">
          <w:marLeft w:val="0"/>
          <w:marRight w:val="0"/>
          <w:marTop w:val="0"/>
          <w:marBottom w:val="150"/>
          <w:divBdr>
            <w:top w:val="none" w:sz="0" w:space="0" w:color="auto"/>
            <w:left w:val="none" w:sz="0" w:space="0" w:color="auto"/>
            <w:bottom w:val="none" w:sz="0" w:space="0" w:color="auto"/>
            <w:right w:val="none" w:sz="0" w:space="0" w:color="auto"/>
          </w:divBdr>
        </w:div>
        <w:div w:id="1807551484">
          <w:marLeft w:val="0"/>
          <w:marRight w:val="0"/>
          <w:marTop w:val="0"/>
          <w:marBottom w:val="0"/>
          <w:divBdr>
            <w:top w:val="none" w:sz="0" w:space="0" w:color="auto"/>
            <w:left w:val="none" w:sz="0" w:space="0" w:color="auto"/>
            <w:bottom w:val="none" w:sz="0" w:space="0" w:color="auto"/>
            <w:right w:val="none" w:sz="0" w:space="0" w:color="auto"/>
          </w:divBdr>
          <w:divsChild>
            <w:div w:id="60654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17923">
      <w:bodyDiv w:val="1"/>
      <w:marLeft w:val="0"/>
      <w:marRight w:val="0"/>
      <w:marTop w:val="0"/>
      <w:marBottom w:val="0"/>
      <w:divBdr>
        <w:top w:val="none" w:sz="0" w:space="0" w:color="auto"/>
        <w:left w:val="none" w:sz="0" w:space="0" w:color="auto"/>
        <w:bottom w:val="none" w:sz="0" w:space="0" w:color="auto"/>
        <w:right w:val="none" w:sz="0" w:space="0" w:color="auto"/>
      </w:divBdr>
      <w:divsChild>
        <w:div w:id="534192082">
          <w:marLeft w:val="0"/>
          <w:marRight w:val="0"/>
          <w:marTop w:val="0"/>
          <w:marBottom w:val="0"/>
          <w:divBdr>
            <w:top w:val="none" w:sz="0" w:space="0" w:color="auto"/>
            <w:left w:val="none" w:sz="0" w:space="0" w:color="auto"/>
            <w:bottom w:val="none" w:sz="0" w:space="0" w:color="auto"/>
            <w:right w:val="none" w:sz="0" w:space="0" w:color="auto"/>
          </w:divBdr>
          <w:divsChild>
            <w:div w:id="1644314252">
              <w:marLeft w:val="0"/>
              <w:marRight w:val="0"/>
              <w:marTop w:val="0"/>
              <w:marBottom w:val="0"/>
              <w:divBdr>
                <w:top w:val="none" w:sz="0" w:space="0" w:color="auto"/>
                <w:left w:val="none" w:sz="0" w:space="0" w:color="auto"/>
                <w:bottom w:val="none" w:sz="0" w:space="0" w:color="auto"/>
                <w:right w:val="none" w:sz="0" w:space="0" w:color="auto"/>
              </w:divBdr>
              <w:divsChild>
                <w:div w:id="1827748160">
                  <w:marLeft w:val="0"/>
                  <w:marRight w:val="0"/>
                  <w:marTop w:val="0"/>
                  <w:marBottom w:val="0"/>
                  <w:divBdr>
                    <w:top w:val="none" w:sz="0" w:space="0" w:color="auto"/>
                    <w:left w:val="none" w:sz="0" w:space="0" w:color="auto"/>
                    <w:bottom w:val="none" w:sz="0" w:space="0" w:color="auto"/>
                    <w:right w:val="none" w:sz="0" w:space="0" w:color="auto"/>
                  </w:divBdr>
                  <w:divsChild>
                    <w:div w:id="873729872">
                      <w:marLeft w:val="0"/>
                      <w:marRight w:val="0"/>
                      <w:marTop w:val="0"/>
                      <w:marBottom w:val="0"/>
                      <w:divBdr>
                        <w:top w:val="none" w:sz="0" w:space="0" w:color="auto"/>
                        <w:left w:val="none" w:sz="0" w:space="0" w:color="auto"/>
                        <w:bottom w:val="none" w:sz="0" w:space="0" w:color="auto"/>
                        <w:right w:val="none" w:sz="0" w:space="0" w:color="auto"/>
                      </w:divBdr>
                      <w:divsChild>
                        <w:div w:id="2077166734">
                          <w:marLeft w:val="0"/>
                          <w:marRight w:val="0"/>
                          <w:marTop w:val="0"/>
                          <w:marBottom w:val="0"/>
                          <w:divBdr>
                            <w:top w:val="none" w:sz="0" w:space="0" w:color="auto"/>
                            <w:left w:val="none" w:sz="0" w:space="0" w:color="auto"/>
                            <w:bottom w:val="none" w:sz="0" w:space="0" w:color="auto"/>
                            <w:right w:val="none" w:sz="0" w:space="0" w:color="auto"/>
                          </w:divBdr>
                          <w:divsChild>
                            <w:div w:id="747191777">
                              <w:marLeft w:val="0"/>
                              <w:marRight w:val="0"/>
                              <w:marTop w:val="0"/>
                              <w:marBottom w:val="0"/>
                              <w:divBdr>
                                <w:top w:val="none" w:sz="0" w:space="0" w:color="auto"/>
                                <w:left w:val="none" w:sz="0" w:space="0" w:color="auto"/>
                                <w:bottom w:val="none" w:sz="0" w:space="0" w:color="auto"/>
                                <w:right w:val="none" w:sz="0" w:space="0" w:color="auto"/>
                              </w:divBdr>
                              <w:divsChild>
                                <w:div w:id="1288774129">
                                  <w:marLeft w:val="0"/>
                                  <w:marRight w:val="0"/>
                                  <w:marTop w:val="0"/>
                                  <w:marBottom w:val="0"/>
                                  <w:divBdr>
                                    <w:top w:val="none" w:sz="0" w:space="0" w:color="auto"/>
                                    <w:left w:val="none" w:sz="0" w:space="0" w:color="auto"/>
                                    <w:bottom w:val="none" w:sz="0" w:space="0" w:color="auto"/>
                                    <w:right w:val="none" w:sz="0" w:space="0" w:color="auto"/>
                                  </w:divBdr>
                                  <w:divsChild>
                                    <w:div w:id="210044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960378">
      <w:bodyDiv w:val="1"/>
      <w:marLeft w:val="0"/>
      <w:marRight w:val="0"/>
      <w:marTop w:val="0"/>
      <w:marBottom w:val="0"/>
      <w:divBdr>
        <w:top w:val="none" w:sz="0" w:space="0" w:color="auto"/>
        <w:left w:val="none" w:sz="0" w:space="0" w:color="auto"/>
        <w:bottom w:val="none" w:sz="0" w:space="0" w:color="auto"/>
        <w:right w:val="none" w:sz="0" w:space="0" w:color="auto"/>
      </w:divBdr>
      <w:divsChild>
        <w:div w:id="759957530">
          <w:marLeft w:val="0"/>
          <w:marRight w:val="0"/>
          <w:marTop w:val="0"/>
          <w:marBottom w:val="0"/>
          <w:divBdr>
            <w:top w:val="none" w:sz="0" w:space="0" w:color="auto"/>
            <w:left w:val="none" w:sz="0" w:space="0" w:color="auto"/>
            <w:bottom w:val="none" w:sz="0" w:space="0" w:color="auto"/>
            <w:right w:val="none" w:sz="0" w:space="0" w:color="auto"/>
          </w:divBdr>
        </w:div>
      </w:divsChild>
    </w:div>
    <w:div w:id="1498418970">
      <w:bodyDiv w:val="1"/>
      <w:marLeft w:val="0"/>
      <w:marRight w:val="0"/>
      <w:marTop w:val="0"/>
      <w:marBottom w:val="0"/>
      <w:divBdr>
        <w:top w:val="none" w:sz="0" w:space="0" w:color="auto"/>
        <w:left w:val="none" w:sz="0" w:space="0" w:color="auto"/>
        <w:bottom w:val="none" w:sz="0" w:space="0" w:color="auto"/>
        <w:right w:val="none" w:sz="0" w:space="0" w:color="auto"/>
      </w:divBdr>
    </w:div>
    <w:div w:id="1498421337">
      <w:bodyDiv w:val="1"/>
      <w:marLeft w:val="0"/>
      <w:marRight w:val="0"/>
      <w:marTop w:val="0"/>
      <w:marBottom w:val="0"/>
      <w:divBdr>
        <w:top w:val="none" w:sz="0" w:space="0" w:color="auto"/>
        <w:left w:val="none" w:sz="0" w:space="0" w:color="auto"/>
        <w:bottom w:val="none" w:sz="0" w:space="0" w:color="auto"/>
        <w:right w:val="none" w:sz="0" w:space="0" w:color="auto"/>
      </w:divBdr>
    </w:div>
    <w:div w:id="1498691435">
      <w:bodyDiv w:val="1"/>
      <w:marLeft w:val="0"/>
      <w:marRight w:val="0"/>
      <w:marTop w:val="0"/>
      <w:marBottom w:val="0"/>
      <w:divBdr>
        <w:top w:val="none" w:sz="0" w:space="0" w:color="auto"/>
        <w:left w:val="none" w:sz="0" w:space="0" w:color="auto"/>
        <w:bottom w:val="none" w:sz="0" w:space="0" w:color="auto"/>
        <w:right w:val="none" w:sz="0" w:space="0" w:color="auto"/>
      </w:divBdr>
      <w:divsChild>
        <w:div w:id="744646720">
          <w:marLeft w:val="0"/>
          <w:marRight w:val="0"/>
          <w:marTop w:val="0"/>
          <w:marBottom w:val="0"/>
          <w:divBdr>
            <w:top w:val="none" w:sz="0" w:space="0" w:color="auto"/>
            <w:left w:val="none" w:sz="0" w:space="0" w:color="auto"/>
            <w:bottom w:val="none" w:sz="0" w:space="0" w:color="auto"/>
            <w:right w:val="none" w:sz="0" w:space="0" w:color="auto"/>
          </w:divBdr>
          <w:divsChild>
            <w:div w:id="286280056">
              <w:marLeft w:val="0"/>
              <w:marRight w:val="0"/>
              <w:marTop w:val="0"/>
              <w:marBottom w:val="300"/>
              <w:divBdr>
                <w:top w:val="none" w:sz="0" w:space="0" w:color="auto"/>
                <w:left w:val="none" w:sz="0" w:space="0" w:color="auto"/>
                <w:bottom w:val="none" w:sz="0" w:space="0" w:color="auto"/>
                <w:right w:val="none" w:sz="0" w:space="0" w:color="auto"/>
              </w:divBdr>
              <w:divsChild>
                <w:div w:id="1666206866">
                  <w:marLeft w:val="0"/>
                  <w:marRight w:val="0"/>
                  <w:marTop w:val="0"/>
                  <w:marBottom w:val="0"/>
                  <w:divBdr>
                    <w:top w:val="none" w:sz="0" w:space="0" w:color="auto"/>
                    <w:left w:val="none" w:sz="0" w:space="0" w:color="auto"/>
                    <w:bottom w:val="none" w:sz="0" w:space="0" w:color="auto"/>
                    <w:right w:val="none" w:sz="0" w:space="0" w:color="auto"/>
                  </w:divBdr>
                  <w:divsChild>
                    <w:div w:id="1471942950">
                      <w:marLeft w:val="0"/>
                      <w:marRight w:val="0"/>
                      <w:marTop w:val="0"/>
                      <w:marBottom w:val="0"/>
                      <w:divBdr>
                        <w:top w:val="none" w:sz="0" w:space="0" w:color="auto"/>
                        <w:left w:val="none" w:sz="0" w:space="0" w:color="auto"/>
                        <w:bottom w:val="none" w:sz="0" w:space="0" w:color="auto"/>
                        <w:right w:val="none" w:sz="0" w:space="0" w:color="auto"/>
                      </w:divBdr>
                      <w:divsChild>
                        <w:div w:id="1254123566">
                          <w:marLeft w:val="0"/>
                          <w:marRight w:val="0"/>
                          <w:marTop w:val="0"/>
                          <w:marBottom w:val="0"/>
                          <w:divBdr>
                            <w:top w:val="none" w:sz="0" w:space="0" w:color="auto"/>
                            <w:left w:val="none" w:sz="0" w:space="0" w:color="auto"/>
                            <w:bottom w:val="none" w:sz="0" w:space="0" w:color="auto"/>
                            <w:right w:val="none" w:sz="0" w:space="0" w:color="auto"/>
                          </w:divBdr>
                          <w:divsChild>
                            <w:div w:id="436098222">
                              <w:marLeft w:val="0"/>
                              <w:marRight w:val="0"/>
                              <w:marTop w:val="0"/>
                              <w:marBottom w:val="0"/>
                              <w:divBdr>
                                <w:top w:val="none" w:sz="0" w:space="0" w:color="auto"/>
                                <w:left w:val="none" w:sz="0" w:space="0" w:color="auto"/>
                                <w:bottom w:val="none" w:sz="0" w:space="0" w:color="auto"/>
                                <w:right w:val="none" w:sz="0" w:space="0" w:color="auto"/>
                              </w:divBdr>
                              <w:divsChild>
                                <w:div w:id="798496370">
                                  <w:marLeft w:val="0"/>
                                  <w:marRight w:val="0"/>
                                  <w:marTop w:val="0"/>
                                  <w:marBottom w:val="0"/>
                                  <w:divBdr>
                                    <w:top w:val="none" w:sz="0" w:space="0" w:color="auto"/>
                                    <w:left w:val="none" w:sz="0" w:space="0" w:color="auto"/>
                                    <w:bottom w:val="none" w:sz="0" w:space="0" w:color="auto"/>
                                    <w:right w:val="none" w:sz="0" w:space="0" w:color="auto"/>
                                  </w:divBdr>
                                  <w:divsChild>
                                    <w:div w:id="654265350">
                                      <w:marLeft w:val="0"/>
                                      <w:marRight w:val="0"/>
                                      <w:marTop w:val="0"/>
                                      <w:marBottom w:val="0"/>
                                      <w:divBdr>
                                        <w:top w:val="none" w:sz="0" w:space="0" w:color="auto"/>
                                        <w:left w:val="none" w:sz="0" w:space="0" w:color="auto"/>
                                        <w:bottom w:val="none" w:sz="0" w:space="0" w:color="auto"/>
                                        <w:right w:val="none" w:sz="0" w:space="0" w:color="auto"/>
                                      </w:divBdr>
                                      <w:divsChild>
                                        <w:div w:id="2100907530">
                                          <w:marLeft w:val="0"/>
                                          <w:marRight w:val="0"/>
                                          <w:marTop w:val="0"/>
                                          <w:marBottom w:val="0"/>
                                          <w:divBdr>
                                            <w:top w:val="none" w:sz="0" w:space="0" w:color="auto"/>
                                            <w:left w:val="none" w:sz="0" w:space="0" w:color="auto"/>
                                            <w:bottom w:val="none" w:sz="0" w:space="0" w:color="auto"/>
                                            <w:right w:val="none" w:sz="0" w:space="0" w:color="auto"/>
                                          </w:divBdr>
                                          <w:divsChild>
                                            <w:div w:id="912935461">
                                              <w:marLeft w:val="0"/>
                                              <w:marRight w:val="0"/>
                                              <w:marTop w:val="0"/>
                                              <w:marBottom w:val="0"/>
                                              <w:divBdr>
                                                <w:top w:val="none" w:sz="0" w:space="0" w:color="auto"/>
                                                <w:left w:val="none" w:sz="0" w:space="0" w:color="auto"/>
                                                <w:bottom w:val="none" w:sz="0" w:space="0" w:color="auto"/>
                                                <w:right w:val="none" w:sz="0" w:space="0" w:color="auto"/>
                                              </w:divBdr>
                                            </w:div>
                                          </w:divsChild>
                                        </w:div>
                                        <w:div w:id="1799832712">
                                          <w:marLeft w:val="0"/>
                                          <w:marRight w:val="0"/>
                                          <w:marTop w:val="0"/>
                                          <w:marBottom w:val="0"/>
                                          <w:divBdr>
                                            <w:top w:val="none" w:sz="0" w:space="0" w:color="auto"/>
                                            <w:left w:val="none" w:sz="0" w:space="0" w:color="auto"/>
                                            <w:bottom w:val="none" w:sz="0" w:space="0" w:color="auto"/>
                                            <w:right w:val="none" w:sz="0" w:space="0" w:color="auto"/>
                                          </w:divBdr>
                                          <w:divsChild>
                                            <w:div w:id="165703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3433671">
          <w:marLeft w:val="0"/>
          <w:marRight w:val="0"/>
          <w:marTop w:val="0"/>
          <w:marBottom w:val="0"/>
          <w:divBdr>
            <w:top w:val="none" w:sz="0" w:space="0" w:color="auto"/>
            <w:left w:val="none" w:sz="0" w:space="0" w:color="auto"/>
            <w:bottom w:val="none" w:sz="0" w:space="0" w:color="auto"/>
            <w:right w:val="none" w:sz="0" w:space="0" w:color="auto"/>
          </w:divBdr>
          <w:divsChild>
            <w:div w:id="1564440478">
              <w:marLeft w:val="0"/>
              <w:marRight w:val="0"/>
              <w:marTop w:val="150"/>
              <w:marBottom w:val="0"/>
              <w:divBdr>
                <w:top w:val="none" w:sz="0" w:space="0" w:color="auto"/>
                <w:left w:val="none" w:sz="0" w:space="0" w:color="auto"/>
                <w:bottom w:val="none" w:sz="0" w:space="0" w:color="auto"/>
                <w:right w:val="none" w:sz="0" w:space="0" w:color="auto"/>
              </w:divBdr>
              <w:divsChild>
                <w:div w:id="2026906233">
                  <w:marLeft w:val="0"/>
                  <w:marRight w:val="0"/>
                  <w:marTop w:val="0"/>
                  <w:marBottom w:val="0"/>
                  <w:divBdr>
                    <w:top w:val="none" w:sz="0" w:space="0" w:color="auto"/>
                    <w:left w:val="none" w:sz="0" w:space="0" w:color="auto"/>
                    <w:bottom w:val="none" w:sz="0" w:space="0" w:color="auto"/>
                    <w:right w:val="none" w:sz="0" w:space="0" w:color="auto"/>
                  </w:divBdr>
                </w:div>
                <w:div w:id="1037773172">
                  <w:marLeft w:val="225"/>
                  <w:marRight w:val="0"/>
                  <w:marTop w:val="0"/>
                  <w:marBottom w:val="225"/>
                  <w:divBdr>
                    <w:top w:val="none" w:sz="0" w:space="0" w:color="auto"/>
                    <w:left w:val="none" w:sz="0" w:space="0" w:color="auto"/>
                    <w:bottom w:val="none" w:sz="0" w:space="0" w:color="auto"/>
                    <w:right w:val="none" w:sz="0" w:space="0" w:color="auto"/>
                  </w:divBdr>
                  <w:divsChild>
                    <w:div w:id="53774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031297">
      <w:bodyDiv w:val="1"/>
      <w:marLeft w:val="0"/>
      <w:marRight w:val="0"/>
      <w:marTop w:val="0"/>
      <w:marBottom w:val="0"/>
      <w:divBdr>
        <w:top w:val="none" w:sz="0" w:space="0" w:color="auto"/>
        <w:left w:val="none" w:sz="0" w:space="0" w:color="auto"/>
        <w:bottom w:val="none" w:sz="0" w:space="0" w:color="auto"/>
        <w:right w:val="none" w:sz="0" w:space="0" w:color="auto"/>
      </w:divBdr>
      <w:divsChild>
        <w:div w:id="1568422111">
          <w:marLeft w:val="0"/>
          <w:marRight w:val="0"/>
          <w:marTop w:val="0"/>
          <w:marBottom w:val="0"/>
          <w:divBdr>
            <w:top w:val="none" w:sz="0" w:space="0" w:color="auto"/>
            <w:left w:val="none" w:sz="0" w:space="0" w:color="auto"/>
            <w:bottom w:val="none" w:sz="0" w:space="0" w:color="auto"/>
            <w:right w:val="none" w:sz="0" w:space="0" w:color="auto"/>
          </w:divBdr>
          <w:divsChild>
            <w:div w:id="1844974866">
              <w:marLeft w:val="0"/>
              <w:marRight w:val="0"/>
              <w:marTop w:val="0"/>
              <w:marBottom w:val="0"/>
              <w:divBdr>
                <w:top w:val="none" w:sz="0" w:space="0" w:color="auto"/>
                <w:left w:val="none" w:sz="0" w:space="0" w:color="auto"/>
                <w:bottom w:val="none" w:sz="0" w:space="0" w:color="auto"/>
                <w:right w:val="none" w:sz="0" w:space="0" w:color="auto"/>
              </w:divBdr>
              <w:divsChild>
                <w:div w:id="1346596024">
                  <w:marLeft w:val="0"/>
                  <w:marRight w:val="0"/>
                  <w:marTop w:val="0"/>
                  <w:marBottom w:val="0"/>
                  <w:divBdr>
                    <w:top w:val="none" w:sz="0" w:space="0" w:color="auto"/>
                    <w:left w:val="none" w:sz="0" w:space="0" w:color="auto"/>
                    <w:bottom w:val="none" w:sz="0" w:space="0" w:color="auto"/>
                    <w:right w:val="none" w:sz="0" w:space="0" w:color="auto"/>
                  </w:divBdr>
                  <w:divsChild>
                    <w:div w:id="1773697828">
                      <w:marLeft w:val="0"/>
                      <w:marRight w:val="0"/>
                      <w:marTop w:val="0"/>
                      <w:marBottom w:val="0"/>
                      <w:divBdr>
                        <w:top w:val="none" w:sz="0" w:space="0" w:color="auto"/>
                        <w:left w:val="none" w:sz="0" w:space="0" w:color="auto"/>
                        <w:bottom w:val="none" w:sz="0" w:space="0" w:color="auto"/>
                        <w:right w:val="none" w:sz="0" w:space="0" w:color="auto"/>
                      </w:divBdr>
                      <w:divsChild>
                        <w:div w:id="1007294031">
                          <w:marLeft w:val="0"/>
                          <w:marRight w:val="0"/>
                          <w:marTop w:val="0"/>
                          <w:marBottom w:val="0"/>
                          <w:divBdr>
                            <w:top w:val="none" w:sz="0" w:space="0" w:color="auto"/>
                            <w:left w:val="none" w:sz="0" w:space="0" w:color="auto"/>
                            <w:bottom w:val="none" w:sz="0" w:space="0" w:color="auto"/>
                            <w:right w:val="none" w:sz="0" w:space="0" w:color="auto"/>
                          </w:divBdr>
                          <w:divsChild>
                            <w:div w:id="1712420884">
                              <w:marLeft w:val="0"/>
                              <w:marRight w:val="0"/>
                              <w:marTop w:val="0"/>
                              <w:marBottom w:val="0"/>
                              <w:divBdr>
                                <w:top w:val="none" w:sz="0" w:space="0" w:color="auto"/>
                                <w:left w:val="none" w:sz="0" w:space="0" w:color="auto"/>
                                <w:bottom w:val="none" w:sz="0" w:space="0" w:color="auto"/>
                                <w:right w:val="none" w:sz="0" w:space="0" w:color="auto"/>
                              </w:divBdr>
                              <w:divsChild>
                                <w:div w:id="244799427">
                                  <w:marLeft w:val="0"/>
                                  <w:marRight w:val="0"/>
                                  <w:marTop w:val="0"/>
                                  <w:marBottom w:val="0"/>
                                  <w:divBdr>
                                    <w:top w:val="none" w:sz="0" w:space="0" w:color="auto"/>
                                    <w:left w:val="none" w:sz="0" w:space="0" w:color="auto"/>
                                    <w:bottom w:val="none" w:sz="0" w:space="0" w:color="auto"/>
                                    <w:right w:val="none" w:sz="0" w:space="0" w:color="auto"/>
                                  </w:divBdr>
                                  <w:divsChild>
                                    <w:div w:id="21870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9806941">
      <w:bodyDiv w:val="1"/>
      <w:marLeft w:val="0"/>
      <w:marRight w:val="0"/>
      <w:marTop w:val="0"/>
      <w:marBottom w:val="0"/>
      <w:divBdr>
        <w:top w:val="none" w:sz="0" w:space="0" w:color="auto"/>
        <w:left w:val="none" w:sz="0" w:space="0" w:color="auto"/>
        <w:bottom w:val="none" w:sz="0" w:space="0" w:color="auto"/>
        <w:right w:val="none" w:sz="0" w:space="0" w:color="auto"/>
      </w:divBdr>
      <w:divsChild>
        <w:div w:id="1522818747">
          <w:marLeft w:val="0"/>
          <w:marRight w:val="0"/>
          <w:marTop w:val="0"/>
          <w:marBottom w:val="150"/>
          <w:divBdr>
            <w:top w:val="none" w:sz="0" w:space="0" w:color="auto"/>
            <w:left w:val="none" w:sz="0" w:space="0" w:color="auto"/>
            <w:bottom w:val="none" w:sz="0" w:space="0" w:color="auto"/>
            <w:right w:val="none" w:sz="0" w:space="0" w:color="auto"/>
          </w:divBdr>
        </w:div>
      </w:divsChild>
    </w:div>
    <w:div w:id="1499885318">
      <w:bodyDiv w:val="1"/>
      <w:marLeft w:val="0"/>
      <w:marRight w:val="0"/>
      <w:marTop w:val="0"/>
      <w:marBottom w:val="0"/>
      <w:divBdr>
        <w:top w:val="none" w:sz="0" w:space="0" w:color="auto"/>
        <w:left w:val="none" w:sz="0" w:space="0" w:color="auto"/>
        <w:bottom w:val="none" w:sz="0" w:space="0" w:color="auto"/>
        <w:right w:val="none" w:sz="0" w:space="0" w:color="auto"/>
      </w:divBdr>
      <w:divsChild>
        <w:div w:id="1216698303">
          <w:marLeft w:val="0"/>
          <w:marRight w:val="0"/>
          <w:marTop w:val="0"/>
          <w:marBottom w:val="0"/>
          <w:divBdr>
            <w:top w:val="none" w:sz="0" w:space="0" w:color="auto"/>
            <w:left w:val="none" w:sz="0" w:space="0" w:color="auto"/>
            <w:bottom w:val="none" w:sz="0" w:space="0" w:color="auto"/>
            <w:right w:val="none" w:sz="0" w:space="0" w:color="auto"/>
          </w:divBdr>
        </w:div>
        <w:div w:id="1267079195">
          <w:marLeft w:val="0"/>
          <w:marRight w:val="0"/>
          <w:marTop w:val="0"/>
          <w:marBottom w:val="300"/>
          <w:divBdr>
            <w:top w:val="none" w:sz="0" w:space="0" w:color="auto"/>
            <w:left w:val="none" w:sz="0" w:space="0" w:color="auto"/>
            <w:bottom w:val="none" w:sz="0" w:space="0" w:color="auto"/>
            <w:right w:val="none" w:sz="0" w:space="0" w:color="auto"/>
          </w:divBdr>
          <w:divsChild>
            <w:div w:id="2054426610">
              <w:marLeft w:val="0"/>
              <w:marRight w:val="0"/>
              <w:marTop w:val="0"/>
              <w:marBottom w:val="0"/>
              <w:divBdr>
                <w:top w:val="none" w:sz="0" w:space="0" w:color="auto"/>
                <w:left w:val="none" w:sz="0" w:space="0" w:color="auto"/>
                <w:bottom w:val="none" w:sz="0" w:space="0" w:color="auto"/>
                <w:right w:val="none" w:sz="0" w:space="0" w:color="auto"/>
              </w:divBdr>
            </w:div>
          </w:divsChild>
        </w:div>
        <w:div w:id="1321930142">
          <w:marLeft w:val="0"/>
          <w:marRight w:val="0"/>
          <w:marTop w:val="0"/>
          <w:marBottom w:val="75"/>
          <w:divBdr>
            <w:top w:val="none" w:sz="0" w:space="0" w:color="auto"/>
            <w:left w:val="none" w:sz="0" w:space="0" w:color="auto"/>
            <w:bottom w:val="none" w:sz="0" w:space="0" w:color="auto"/>
            <w:right w:val="none" w:sz="0" w:space="0" w:color="auto"/>
          </w:divBdr>
        </w:div>
        <w:div w:id="1631978345">
          <w:marLeft w:val="0"/>
          <w:marRight w:val="0"/>
          <w:marTop w:val="0"/>
          <w:marBottom w:val="0"/>
          <w:divBdr>
            <w:top w:val="none" w:sz="0" w:space="0" w:color="auto"/>
            <w:left w:val="none" w:sz="0" w:space="0" w:color="auto"/>
            <w:bottom w:val="none" w:sz="0" w:space="0" w:color="auto"/>
            <w:right w:val="none" w:sz="0" w:space="0" w:color="auto"/>
          </w:divBdr>
          <w:divsChild>
            <w:div w:id="734357657">
              <w:marLeft w:val="0"/>
              <w:marRight w:val="0"/>
              <w:marTop w:val="0"/>
              <w:marBottom w:val="0"/>
              <w:divBdr>
                <w:top w:val="none" w:sz="0" w:space="0" w:color="auto"/>
                <w:left w:val="none" w:sz="0" w:space="0" w:color="auto"/>
                <w:bottom w:val="none" w:sz="0" w:space="0" w:color="auto"/>
                <w:right w:val="none" w:sz="0" w:space="0" w:color="auto"/>
              </w:divBdr>
              <w:divsChild>
                <w:div w:id="129139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192584">
      <w:bodyDiv w:val="1"/>
      <w:marLeft w:val="0"/>
      <w:marRight w:val="0"/>
      <w:marTop w:val="0"/>
      <w:marBottom w:val="0"/>
      <w:divBdr>
        <w:top w:val="none" w:sz="0" w:space="0" w:color="auto"/>
        <w:left w:val="none" w:sz="0" w:space="0" w:color="auto"/>
        <w:bottom w:val="none" w:sz="0" w:space="0" w:color="auto"/>
        <w:right w:val="none" w:sz="0" w:space="0" w:color="auto"/>
      </w:divBdr>
      <w:divsChild>
        <w:div w:id="119033105">
          <w:marLeft w:val="0"/>
          <w:marRight w:val="0"/>
          <w:marTop w:val="0"/>
          <w:marBottom w:val="150"/>
          <w:divBdr>
            <w:top w:val="none" w:sz="0" w:space="0" w:color="auto"/>
            <w:left w:val="none" w:sz="0" w:space="0" w:color="auto"/>
            <w:bottom w:val="none" w:sz="0" w:space="0" w:color="auto"/>
            <w:right w:val="none" w:sz="0" w:space="0" w:color="auto"/>
          </w:divBdr>
        </w:div>
        <w:div w:id="909846643">
          <w:marLeft w:val="0"/>
          <w:marRight w:val="0"/>
          <w:marTop w:val="0"/>
          <w:marBottom w:val="0"/>
          <w:divBdr>
            <w:top w:val="none" w:sz="0" w:space="0" w:color="auto"/>
            <w:left w:val="none" w:sz="0" w:space="0" w:color="auto"/>
            <w:bottom w:val="none" w:sz="0" w:space="0" w:color="auto"/>
            <w:right w:val="none" w:sz="0" w:space="0" w:color="auto"/>
          </w:divBdr>
          <w:divsChild>
            <w:div w:id="649598739">
              <w:marLeft w:val="0"/>
              <w:marRight w:val="0"/>
              <w:marTop w:val="0"/>
              <w:marBottom w:val="0"/>
              <w:divBdr>
                <w:top w:val="none" w:sz="0" w:space="0" w:color="auto"/>
                <w:left w:val="none" w:sz="0" w:space="0" w:color="auto"/>
                <w:bottom w:val="none" w:sz="0" w:space="0" w:color="auto"/>
                <w:right w:val="none" w:sz="0" w:space="0" w:color="auto"/>
              </w:divBdr>
            </w:div>
          </w:divsChild>
        </w:div>
        <w:div w:id="1847397093">
          <w:marLeft w:val="0"/>
          <w:marRight w:val="0"/>
          <w:marTop w:val="0"/>
          <w:marBottom w:val="150"/>
          <w:divBdr>
            <w:top w:val="none" w:sz="0" w:space="0" w:color="auto"/>
            <w:left w:val="none" w:sz="0" w:space="0" w:color="auto"/>
            <w:bottom w:val="none" w:sz="0" w:space="0" w:color="auto"/>
            <w:right w:val="none" w:sz="0" w:space="0" w:color="auto"/>
          </w:divBdr>
          <w:divsChild>
            <w:div w:id="58068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193625">
      <w:bodyDiv w:val="1"/>
      <w:marLeft w:val="0"/>
      <w:marRight w:val="0"/>
      <w:marTop w:val="0"/>
      <w:marBottom w:val="0"/>
      <w:divBdr>
        <w:top w:val="none" w:sz="0" w:space="0" w:color="auto"/>
        <w:left w:val="none" w:sz="0" w:space="0" w:color="auto"/>
        <w:bottom w:val="none" w:sz="0" w:space="0" w:color="auto"/>
        <w:right w:val="none" w:sz="0" w:space="0" w:color="auto"/>
      </w:divBdr>
      <w:divsChild>
        <w:div w:id="2042631589">
          <w:marLeft w:val="0"/>
          <w:marRight w:val="0"/>
          <w:marTop w:val="0"/>
          <w:marBottom w:val="150"/>
          <w:divBdr>
            <w:top w:val="none" w:sz="0" w:space="0" w:color="auto"/>
            <w:left w:val="none" w:sz="0" w:space="0" w:color="auto"/>
            <w:bottom w:val="none" w:sz="0" w:space="0" w:color="auto"/>
            <w:right w:val="none" w:sz="0" w:space="0" w:color="auto"/>
          </w:divBdr>
        </w:div>
        <w:div w:id="2068799371">
          <w:marLeft w:val="0"/>
          <w:marRight w:val="0"/>
          <w:marTop w:val="0"/>
          <w:marBottom w:val="150"/>
          <w:divBdr>
            <w:top w:val="none" w:sz="0" w:space="0" w:color="auto"/>
            <w:left w:val="none" w:sz="0" w:space="0" w:color="auto"/>
            <w:bottom w:val="none" w:sz="0" w:space="0" w:color="auto"/>
            <w:right w:val="none" w:sz="0" w:space="0" w:color="auto"/>
          </w:divBdr>
        </w:div>
      </w:divsChild>
    </w:div>
    <w:div w:id="1500341381">
      <w:bodyDiv w:val="1"/>
      <w:marLeft w:val="0"/>
      <w:marRight w:val="0"/>
      <w:marTop w:val="0"/>
      <w:marBottom w:val="0"/>
      <w:divBdr>
        <w:top w:val="none" w:sz="0" w:space="0" w:color="auto"/>
        <w:left w:val="none" w:sz="0" w:space="0" w:color="auto"/>
        <w:bottom w:val="none" w:sz="0" w:space="0" w:color="auto"/>
        <w:right w:val="none" w:sz="0" w:space="0" w:color="auto"/>
      </w:divBdr>
    </w:div>
    <w:div w:id="1500732564">
      <w:bodyDiv w:val="1"/>
      <w:marLeft w:val="0"/>
      <w:marRight w:val="0"/>
      <w:marTop w:val="0"/>
      <w:marBottom w:val="0"/>
      <w:divBdr>
        <w:top w:val="none" w:sz="0" w:space="0" w:color="auto"/>
        <w:left w:val="none" w:sz="0" w:space="0" w:color="auto"/>
        <w:bottom w:val="none" w:sz="0" w:space="0" w:color="auto"/>
        <w:right w:val="none" w:sz="0" w:space="0" w:color="auto"/>
      </w:divBdr>
      <w:divsChild>
        <w:div w:id="26218702">
          <w:marLeft w:val="0"/>
          <w:marRight w:val="0"/>
          <w:marTop w:val="0"/>
          <w:marBottom w:val="150"/>
          <w:divBdr>
            <w:top w:val="none" w:sz="0" w:space="0" w:color="auto"/>
            <w:left w:val="none" w:sz="0" w:space="0" w:color="auto"/>
            <w:bottom w:val="none" w:sz="0" w:space="0" w:color="auto"/>
            <w:right w:val="none" w:sz="0" w:space="0" w:color="auto"/>
          </w:divBdr>
        </w:div>
        <w:div w:id="44839935">
          <w:marLeft w:val="0"/>
          <w:marRight w:val="0"/>
          <w:marTop w:val="0"/>
          <w:marBottom w:val="0"/>
          <w:divBdr>
            <w:top w:val="none" w:sz="0" w:space="0" w:color="auto"/>
            <w:left w:val="none" w:sz="0" w:space="0" w:color="auto"/>
            <w:bottom w:val="none" w:sz="0" w:space="0" w:color="auto"/>
            <w:right w:val="none" w:sz="0" w:space="0" w:color="auto"/>
          </w:divBdr>
          <w:divsChild>
            <w:div w:id="1526359194">
              <w:marLeft w:val="0"/>
              <w:marRight w:val="0"/>
              <w:marTop w:val="225"/>
              <w:marBottom w:val="225"/>
              <w:divBdr>
                <w:top w:val="none" w:sz="0" w:space="0" w:color="auto"/>
                <w:left w:val="none" w:sz="0" w:space="0" w:color="auto"/>
                <w:bottom w:val="none" w:sz="0" w:space="0" w:color="auto"/>
                <w:right w:val="none" w:sz="0" w:space="0" w:color="auto"/>
              </w:divBdr>
            </w:div>
          </w:divsChild>
        </w:div>
        <w:div w:id="1448156666">
          <w:marLeft w:val="0"/>
          <w:marRight w:val="0"/>
          <w:marTop w:val="0"/>
          <w:marBottom w:val="150"/>
          <w:divBdr>
            <w:top w:val="none" w:sz="0" w:space="0" w:color="auto"/>
            <w:left w:val="none" w:sz="0" w:space="0" w:color="auto"/>
            <w:bottom w:val="none" w:sz="0" w:space="0" w:color="auto"/>
            <w:right w:val="none" w:sz="0" w:space="0" w:color="auto"/>
          </w:divBdr>
          <w:divsChild>
            <w:div w:id="635454921">
              <w:marLeft w:val="0"/>
              <w:marRight w:val="0"/>
              <w:marTop w:val="0"/>
              <w:marBottom w:val="0"/>
              <w:divBdr>
                <w:top w:val="none" w:sz="0" w:space="0" w:color="auto"/>
                <w:left w:val="none" w:sz="0" w:space="0" w:color="auto"/>
                <w:bottom w:val="none" w:sz="0" w:space="0" w:color="auto"/>
                <w:right w:val="none" w:sz="0" w:space="0" w:color="auto"/>
              </w:divBdr>
              <w:divsChild>
                <w:div w:id="207739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234442">
      <w:bodyDiv w:val="1"/>
      <w:marLeft w:val="0"/>
      <w:marRight w:val="0"/>
      <w:marTop w:val="0"/>
      <w:marBottom w:val="0"/>
      <w:divBdr>
        <w:top w:val="none" w:sz="0" w:space="0" w:color="auto"/>
        <w:left w:val="none" w:sz="0" w:space="0" w:color="auto"/>
        <w:bottom w:val="none" w:sz="0" w:space="0" w:color="auto"/>
        <w:right w:val="none" w:sz="0" w:space="0" w:color="auto"/>
      </w:divBdr>
      <w:divsChild>
        <w:div w:id="954286961">
          <w:marLeft w:val="0"/>
          <w:marRight w:val="0"/>
          <w:marTop w:val="0"/>
          <w:marBottom w:val="0"/>
          <w:divBdr>
            <w:top w:val="none" w:sz="0" w:space="0" w:color="auto"/>
            <w:left w:val="none" w:sz="0" w:space="0" w:color="auto"/>
            <w:bottom w:val="dotted" w:sz="6" w:space="4" w:color="DDDDDD"/>
            <w:right w:val="none" w:sz="0" w:space="0" w:color="auto"/>
          </w:divBdr>
        </w:div>
      </w:divsChild>
    </w:div>
    <w:div w:id="1502702348">
      <w:bodyDiv w:val="1"/>
      <w:marLeft w:val="0"/>
      <w:marRight w:val="0"/>
      <w:marTop w:val="0"/>
      <w:marBottom w:val="0"/>
      <w:divBdr>
        <w:top w:val="none" w:sz="0" w:space="0" w:color="auto"/>
        <w:left w:val="none" w:sz="0" w:space="0" w:color="auto"/>
        <w:bottom w:val="none" w:sz="0" w:space="0" w:color="auto"/>
        <w:right w:val="none" w:sz="0" w:space="0" w:color="auto"/>
      </w:divBdr>
    </w:div>
    <w:div w:id="1502815650">
      <w:bodyDiv w:val="1"/>
      <w:marLeft w:val="0"/>
      <w:marRight w:val="0"/>
      <w:marTop w:val="0"/>
      <w:marBottom w:val="0"/>
      <w:divBdr>
        <w:top w:val="none" w:sz="0" w:space="0" w:color="auto"/>
        <w:left w:val="none" w:sz="0" w:space="0" w:color="auto"/>
        <w:bottom w:val="none" w:sz="0" w:space="0" w:color="auto"/>
        <w:right w:val="none" w:sz="0" w:space="0" w:color="auto"/>
      </w:divBdr>
      <w:divsChild>
        <w:div w:id="258753480">
          <w:marLeft w:val="0"/>
          <w:marRight w:val="0"/>
          <w:marTop w:val="0"/>
          <w:marBottom w:val="150"/>
          <w:divBdr>
            <w:top w:val="none" w:sz="0" w:space="0" w:color="auto"/>
            <w:left w:val="none" w:sz="0" w:space="0" w:color="auto"/>
            <w:bottom w:val="none" w:sz="0" w:space="0" w:color="auto"/>
            <w:right w:val="none" w:sz="0" w:space="0" w:color="auto"/>
          </w:divBdr>
          <w:divsChild>
            <w:div w:id="331682157">
              <w:marLeft w:val="0"/>
              <w:marRight w:val="0"/>
              <w:marTop w:val="0"/>
              <w:marBottom w:val="0"/>
              <w:divBdr>
                <w:top w:val="none" w:sz="0" w:space="0" w:color="auto"/>
                <w:left w:val="none" w:sz="0" w:space="0" w:color="auto"/>
                <w:bottom w:val="none" w:sz="0" w:space="0" w:color="auto"/>
                <w:right w:val="none" w:sz="0" w:space="0" w:color="auto"/>
              </w:divBdr>
              <w:divsChild>
                <w:div w:id="5131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625411">
          <w:marLeft w:val="0"/>
          <w:marRight w:val="0"/>
          <w:marTop w:val="0"/>
          <w:marBottom w:val="0"/>
          <w:divBdr>
            <w:top w:val="none" w:sz="0" w:space="0" w:color="auto"/>
            <w:left w:val="none" w:sz="0" w:space="0" w:color="auto"/>
            <w:bottom w:val="none" w:sz="0" w:space="0" w:color="auto"/>
            <w:right w:val="none" w:sz="0" w:space="0" w:color="auto"/>
          </w:divBdr>
          <w:divsChild>
            <w:div w:id="392582670">
              <w:marLeft w:val="0"/>
              <w:marRight w:val="0"/>
              <w:marTop w:val="0"/>
              <w:marBottom w:val="0"/>
              <w:divBdr>
                <w:top w:val="none" w:sz="0" w:space="0" w:color="auto"/>
                <w:left w:val="none" w:sz="0" w:space="0" w:color="auto"/>
                <w:bottom w:val="none" w:sz="0" w:space="0" w:color="auto"/>
                <w:right w:val="none" w:sz="0" w:space="0" w:color="auto"/>
              </w:divBdr>
              <w:divsChild>
                <w:div w:id="1800104391">
                  <w:marLeft w:val="0"/>
                  <w:marRight w:val="0"/>
                  <w:marTop w:val="225"/>
                  <w:marBottom w:val="225"/>
                  <w:divBdr>
                    <w:top w:val="none" w:sz="0" w:space="0" w:color="auto"/>
                    <w:left w:val="none" w:sz="0" w:space="0" w:color="auto"/>
                    <w:bottom w:val="none" w:sz="0" w:space="0" w:color="auto"/>
                    <w:right w:val="none" w:sz="0" w:space="0" w:color="auto"/>
                  </w:divBdr>
                </w:div>
              </w:divsChild>
            </w:div>
            <w:div w:id="1924098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02887971">
      <w:bodyDiv w:val="1"/>
      <w:marLeft w:val="0"/>
      <w:marRight w:val="0"/>
      <w:marTop w:val="0"/>
      <w:marBottom w:val="0"/>
      <w:divBdr>
        <w:top w:val="none" w:sz="0" w:space="0" w:color="auto"/>
        <w:left w:val="none" w:sz="0" w:space="0" w:color="auto"/>
        <w:bottom w:val="none" w:sz="0" w:space="0" w:color="auto"/>
        <w:right w:val="none" w:sz="0" w:space="0" w:color="auto"/>
      </w:divBdr>
      <w:divsChild>
        <w:div w:id="288633215">
          <w:marLeft w:val="0"/>
          <w:marRight w:val="0"/>
          <w:marTop w:val="0"/>
          <w:marBottom w:val="225"/>
          <w:divBdr>
            <w:top w:val="none" w:sz="0" w:space="0" w:color="auto"/>
            <w:left w:val="none" w:sz="0" w:space="0" w:color="auto"/>
            <w:bottom w:val="none" w:sz="0" w:space="0" w:color="auto"/>
            <w:right w:val="none" w:sz="0" w:space="0" w:color="auto"/>
          </w:divBdr>
          <w:divsChild>
            <w:div w:id="1662807141">
              <w:marLeft w:val="0"/>
              <w:marRight w:val="0"/>
              <w:marTop w:val="0"/>
              <w:marBottom w:val="225"/>
              <w:divBdr>
                <w:top w:val="none" w:sz="0" w:space="0" w:color="auto"/>
                <w:left w:val="none" w:sz="0" w:space="0" w:color="auto"/>
                <w:bottom w:val="none" w:sz="0" w:space="0" w:color="auto"/>
                <w:right w:val="none" w:sz="0" w:space="0" w:color="auto"/>
              </w:divBdr>
            </w:div>
          </w:divsChild>
        </w:div>
        <w:div w:id="1226836888">
          <w:marLeft w:val="0"/>
          <w:marRight w:val="0"/>
          <w:marTop w:val="0"/>
          <w:marBottom w:val="225"/>
          <w:divBdr>
            <w:top w:val="none" w:sz="0" w:space="0" w:color="auto"/>
            <w:left w:val="none" w:sz="0" w:space="0" w:color="auto"/>
            <w:bottom w:val="none" w:sz="0" w:space="0" w:color="auto"/>
            <w:right w:val="none" w:sz="0" w:space="0" w:color="auto"/>
          </w:divBdr>
        </w:div>
      </w:divsChild>
    </w:div>
    <w:div w:id="1502968803">
      <w:bodyDiv w:val="1"/>
      <w:marLeft w:val="0"/>
      <w:marRight w:val="0"/>
      <w:marTop w:val="0"/>
      <w:marBottom w:val="0"/>
      <w:divBdr>
        <w:top w:val="none" w:sz="0" w:space="0" w:color="auto"/>
        <w:left w:val="none" w:sz="0" w:space="0" w:color="auto"/>
        <w:bottom w:val="none" w:sz="0" w:space="0" w:color="auto"/>
        <w:right w:val="none" w:sz="0" w:space="0" w:color="auto"/>
      </w:divBdr>
      <w:divsChild>
        <w:div w:id="365376181">
          <w:marLeft w:val="0"/>
          <w:marRight w:val="0"/>
          <w:marTop w:val="0"/>
          <w:marBottom w:val="0"/>
          <w:divBdr>
            <w:top w:val="none" w:sz="0" w:space="0" w:color="auto"/>
            <w:left w:val="none" w:sz="0" w:space="0" w:color="auto"/>
            <w:bottom w:val="dotted" w:sz="6" w:space="4" w:color="DDDDDD"/>
            <w:right w:val="none" w:sz="0" w:space="0" w:color="auto"/>
          </w:divBdr>
          <w:divsChild>
            <w:div w:id="108252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89070">
      <w:bodyDiv w:val="1"/>
      <w:marLeft w:val="0"/>
      <w:marRight w:val="0"/>
      <w:marTop w:val="0"/>
      <w:marBottom w:val="0"/>
      <w:divBdr>
        <w:top w:val="none" w:sz="0" w:space="0" w:color="auto"/>
        <w:left w:val="none" w:sz="0" w:space="0" w:color="auto"/>
        <w:bottom w:val="none" w:sz="0" w:space="0" w:color="auto"/>
        <w:right w:val="none" w:sz="0" w:space="0" w:color="auto"/>
      </w:divBdr>
      <w:divsChild>
        <w:div w:id="1835686467">
          <w:marLeft w:val="0"/>
          <w:marRight w:val="0"/>
          <w:marTop w:val="0"/>
          <w:marBottom w:val="0"/>
          <w:divBdr>
            <w:top w:val="none" w:sz="0" w:space="0" w:color="auto"/>
            <w:left w:val="none" w:sz="0" w:space="0" w:color="auto"/>
            <w:bottom w:val="none" w:sz="0" w:space="0" w:color="auto"/>
            <w:right w:val="none" w:sz="0" w:space="0" w:color="auto"/>
          </w:divBdr>
          <w:divsChild>
            <w:div w:id="191758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593063">
      <w:bodyDiv w:val="1"/>
      <w:marLeft w:val="0"/>
      <w:marRight w:val="0"/>
      <w:marTop w:val="0"/>
      <w:marBottom w:val="0"/>
      <w:divBdr>
        <w:top w:val="none" w:sz="0" w:space="0" w:color="auto"/>
        <w:left w:val="none" w:sz="0" w:space="0" w:color="auto"/>
        <w:bottom w:val="none" w:sz="0" w:space="0" w:color="auto"/>
        <w:right w:val="none" w:sz="0" w:space="0" w:color="auto"/>
      </w:divBdr>
      <w:divsChild>
        <w:div w:id="162550482">
          <w:marLeft w:val="0"/>
          <w:marRight w:val="0"/>
          <w:marTop w:val="0"/>
          <w:marBottom w:val="0"/>
          <w:divBdr>
            <w:top w:val="none" w:sz="0" w:space="0" w:color="auto"/>
            <w:left w:val="none" w:sz="0" w:space="0" w:color="auto"/>
            <w:bottom w:val="dotted" w:sz="6" w:space="4" w:color="DDDDDD"/>
            <w:right w:val="none" w:sz="0" w:space="0" w:color="auto"/>
          </w:divBdr>
          <w:divsChild>
            <w:div w:id="95618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663071">
      <w:bodyDiv w:val="1"/>
      <w:marLeft w:val="0"/>
      <w:marRight w:val="0"/>
      <w:marTop w:val="0"/>
      <w:marBottom w:val="0"/>
      <w:divBdr>
        <w:top w:val="none" w:sz="0" w:space="0" w:color="auto"/>
        <w:left w:val="none" w:sz="0" w:space="0" w:color="auto"/>
        <w:bottom w:val="none" w:sz="0" w:space="0" w:color="auto"/>
        <w:right w:val="none" w:sz="0" w:space="0" w:color="auto"/>
      </w:divBdr>
    </w:div>
    <w:div w:id="1503668903">
      <w:bodyDiv w:val="1"/>
      <w:marLeft w:val="0"/>
      <w:marRight w:val="0"/>
      <w:marTop w:val="0"/>
      <w:marBottom w:val="0"/>
      <w:divBdr>
        <w:top w:val="none" w:sz="0" w:space="0" w:color="auto"/>
        <w:left w:val="none" w:sz="0" w:space="0" w:color="auto"/>
        <w:bottom w:val="none" w:sz="0" w:space="0" w:color="auto"/>
        <w:right w:val="none" w:sz="0" w:space="0" w:color="auto"/>
      </w:divBdr>
      <w:divsChild>
        <w:div w:id="699820530">
          <w:marLeft w:val="0"/>
          <w:marRight w:val="0"/>
          <w:marTop w:val="0"/>
          <w:marBottom w:val="150"/>
          <w:divBdr>
            <w:top w:val="none" w:sz="0" w:space="0" w:color="auto"/>
            <w:left w:val="none" w:sz="0" w:space="0" w:color="auto"/>
            <w:bottom w:val="none" w:sz="0" w:space="0" w:color="auto"/>
            <w:right w:val="none" w:sz="0" w:space="0" w:color="auto"/>
          </w:divBdr>
        </w:div>
        <w:div w:id="1201823343">
          <w:marLeft w:val="0"/>
          <w:marRight w:val="0"/>
          <w:marTop w:val="0"/>
          <w:marBottom w:val="0"/>
          <w:divBdr>
            <w:top w:val="none" w:sz="0" w:space="0" w:color="auto"/>
            <w:left w:val="none" w:sz="0" w:space="0" w:color="auto"/>
            <w:bottom w:val="none" w:sz="0" w:space="0" w:color="auto"/>
            <w:right w:val="none" w:sz="0" w:space="0" w:color="auto"/>
          </w:divBdr>
          <w:divsChild>
            <w:div w:id="665790101">
              <w:marLeft w:val="0"/>
              <w:marRight w:val="0"/>
              <w:marTop w:val="225"/>
              <w:marBottom w:val="225"/>
              <w:divBdr>
                <w:top w:val="none" w:sz="0" w:space="0" w:color="auto"/>
                <w:left w:val="none" w:sz="0" w:space="0" w:color="auto"/>
                <w:bottom w:val="none" w:sz="0" w:space="0" w:color="auto"/>
                <w:right w:val="none" w:sz="0" w:space="0" w:color="auto"/>
              </w:divBdr>
            </w:div>
          </w:divsChild>
        </w:div>
        <w:div w:id="2093969413">
          <w:marLeft w:val="0"/>
          <w:marRight w:val="0"/>
          <w:marTop w:val="0"/>
          <w:marBottom w:val="150"/>
          <w:divBdr>
            <w:top w:val="none" w:sz="0" w:space="0" w:color="auto"/>
            <w:left w:val="none" w:sz="0" w:space="0" w:color="auto"/>
            <w:bottom w:val="none" w:sz="0" w:space="0" w:color="auto"/>
            <w:right w:val="none" w:sz="0" w:space="0" w:color="auto"/>
          </w:divBdr>
          <w:divsChild>
            <w:div w:id="1136948512">
              <w:marLeft w:val="0"/>
              <w:marRight w:val="0"/>
              <w:marTop w:val="0"/>
              <w:marBottom w:val="0"/>
              <w:divBdr>
                <w:top w:val="none" w:sz="0" w:space="0" w:color="auto"/>
                <w:left w:val="none" w:sz="0" w:space="0" w:color="auto"/>
                <w:bottom w:val="none" w:sz="0" w:space="0" w:color="auto"/>
                <w:right w:val="none" w:sz="0" w:space="0" w:color="auto"/>
              </w:divBdr>
              <w:divsChild>
                <w:div w:id="96115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201028">
      <w:bodyDiv w:val="1"/>
      <w:marLeft w:val="0"/>
      <w:marRight w:val="0"/>
      <w:marTop w:val="0"/>
      <w:marBottom w:val="0"/>
      <w:divBdr>
        <w:top w:val="none" w:sz="0" w:space="0" w:color="auto"/>
        <w:left w:val="none" w:sz="0" w:space="0" w:color="auto"/>
        <w:bottom w:val="none" w:sz="0" w:space="0" w:color="auto"/>
        <w:right w:val="none" w:sz="0" w:space="0" w:color="auto"/>
      </w:divBdr>
      <w:divsChild>
        <w:div w:id="969047370">
          <w:marLeft w:val="0"/>
          <w:marRight w:val="0"/>
          <w:marTop w:val="0"/>
          <w:marBottom w:val="150"/>
          <w:divBdr>
            <w:top w:val="none" w:sz="0" w:space="0" w:color="auto"/>
            <w:left w:val="none" w:sz="0" w:space="0" w:color="auto"/>
            <w:bottom w:val="none" w:sz="0" w:space="0" w:color="auto"/>
            <w:right w:val="none" w:sz="0" w:space="0" w:color="auto"/>
          </w:divBdr>
          <w:divsChild>
            <w:div w:id="94138454">
              <w:marLeft w:val="0"/>
              <w:marRight w:val="0"/>
              <w:marTop w:val="0"/>
              <w:marBottom w:val="0"/>
              <w:divBdr>
                <w:top w:val="none" w:sz="0" w:space="0" w:color="auto"/>
                <w:left w:val="none" w:sz="0" w:space="0" w:color="auto"/>
                <w:bottom w:val="none" w:sz="0" w:space="0" w:color="auto"/>
                <w:right w:val="none" w:sz="0" w:space="0" w:color="auto"/>
              </w:divBdr>
              <w:divsChild>
                <w:div w:id="659120432">
                  <w:marLeft w:val="0"/>
                  <w:marRight w:val="0"/>
                  <w:marTop w:val="0"/>
                  <w:marBottom w:val="0"/>
                  <w:divBdr>
                    <w:top w:val="none" w:sz="0" w:space="0" w:color="auto"/>
                    <w:left w:val="none" w:sz="0" w:space="0" w:color="auto"/>
                    <w:bottom w:val="none" w:sz="0" w:space="0" w:color="auto"/>
                    <w:right w:val="none" w:sz="0" w:space="0" w:color="auto"/>
                  </w:divBdr>
                  <w:divsChild>
                    <w:div w:id="857499543">
                      <w:marLeft w:val="0"/>
                      <w:marRight w:val="150"/>
                      <w:marTop w:val="0"/>
                      <w:marBottom w:val="0"/>
                      <w:divBdr>
                        <w:top w:val="none" w:sz="0" w:space="0" w:color="auto"/>
                        <w:left w:val="none" w:sz="0" w:space="0" w:color="auto"/>
                        <w:bottom w:val="none" w:sz="0" w:space="0" w:color="auto"/>
                        <w:right w:val="none" w:sz="0" w:space="0" w:color="auto"/>
                      </w:divBdr>
                      <w:divsChild>
                        <w:div w:id="44172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882778">
          <w:marLeft w:val="0"/>
          <w:marRight w:val="0"/>
          <w:marTop w:val="0"/>
          <w:marBottom w:val="150"/>
          <w:divBdr>
            <w:top w:val="none" w:sz="0" w:space="0" w:color="auto"/>
            <w:left w:val="none" w:sz="0" w:space="0" w:color="auto"/>
            <w:bottom w:val="none" w:sz="0" w:space="0" w:color="auto"/>
            <w:right w:val="none" w:sz="0" w:space="0" w:color="auto"/>
          </w:divBdr>
        </w:div>
        <w:div w:id="685208409">
          <w:marLeft w:val="0"/>
          <w:marRight w:val="0"/>
          <w:marTop w:val="0"/>
          <w:marBottom w:val="0"/>
          <w:divBdr>
            <w:top w:val="none" w:sz="0" w:space="0" w:color="auto"/>
            <w:left w:val="none" w:sz="0" w:space="0" w:color="auto"/>
            <w:bottom w:val="none" w:sz="0" w:space="0" w:color="auto"/>
            <w:right w:val="none" w:sz="0" w:space="0" w:color="auto"/>
          </w:divBdr>
          <w:divsChild>
            <w:div w:id="59100782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04272343">
      <w:bodyDiv w:val="1"/>
      <w:marLeft w:val="0"/>
      <w:marRight w:val="0"/>
      <w:marTop w:val="0"/>
      <w:marBottom w:val="0"/>
      <w:divBdr>
        <w:top w:val="none" w:sz="0" w:space="0" w:color="auto"/>
        <w:left w:val="none" w:sz="0" w:space="0" w:color="auto"/>
        <w:bottom w:val="none" w:sz="0" w:space="0" w:color="auto"/>
        <w:right w:val="none" w:sz="0" w:space="0" w:color="auto"/>
      </w:divBdr>
      <w:divsChild>
        <w:div w:id="64837151">
          <w:marLeft w:val="0"/>
          <w:marRight w:val="0"/>
          <w:marTop w:val="0"/>
          <w:marBottom w:val="0"/>
          <w:divBdr>
            <w:top w:val="none" w:sz="0" w:space="0" w:color="auto"/>
            <w:left w:val="none" w:sz="0" w:space="0" w:color="auto"/>
            <w:bottom w:val="none" w:sz="0" w:space="0" w:color="auto"/>
            <w:right w:val="none" w:sz="0" w:space="0" w:color="auto"/>
          </w:divBdr>
        </w:div>
        <w:div w:id="2124809572">
          <w:marLeft w:val="0"/>
          <w:marRight w:val="0"/>
          <w:marTop w:val="0"/>
          <w:marBottom w:val="0"/>
          <w:divBdr>
            <w:top w:val="none" w:sz="0" w:space="0" w:color="auto"/>
            <w:left w:val="none" w:sz="0" w:space="0" w:color="auto"/>
            <w:bottom w:val="none" w:sz="0" w:space="0" w:color="auto"/>
            <w:right w:val="none" w:sz="0" w:space="0" w:color="auto"/>
          </w:divBdr>
        </w:div>
      </w:divsChild>
    </w:div>
    <w:div w:id="1504320244">
      <w:bodyDiv w:val="1"/>
      <w:marLeft w:val="0"/>
      <w:marRight w:val="0"/>
      <w:marTop w:val="0"/>
      <w:marBottom w:val="0"/>
      <w:divBdr>
        <w:top w:val="none" w:sz="0" w:space="0" w:color="auto"/>
        <w:left w:val="none" w:sz="0" w:space="0" w:color="auto"/>
        <w:bottom w:val="none" w:sz="0" w:space="0" w:color="auto"/>
        <w:right w:val="none" w:sz="0" w:space="0" w:color="auto"/>
      </w:divBdr>
      <w:divsChild>
        <w:div w:id="2107731835">
          <w:marLeft w:val="0"/>
          <w:marRight w:val="0"/>
          <w:marTop w:val="0"/>
          <w:marBottom w:val="0"/>
          <w:divBdr>
            <w:top w:val="none" w:sz="0" w:space="0" w:color="auto"/>
            <w:left w:val="none" w:sz="0" w:space="0" w:color="auto"/>
            <w:bottom w:val="none" w:sz="0" w:space="0" w:color="auto"/>
            <w:right w:val="none" w:sz="0" w:space="0" w:color="auto"/>
          </w:divBdr>
        </w:div>
      </w:divsChild>
    </w:div>
    <w:div w:id="1504465667">
      <w:bodyDiv w:val="1"/>
      <w:marLeft w:val="0"/>
      <w:marRight w:val="0"/>
      <w:marTop w:val="0"/>
      <w:marBottom w:val="0"/>
      <w:divBdr>
        <w:top w:val="none" w:sz="0" w:space="0" w:color="auto"/>
        <w:left w:val="none" w:sz="0" w:space="0" w:color="auto"/>
        <w:bottom w:val="none" w:sz="0" w:space="0" w:color="auto"/>
        <w:right w:val="none" w:sz="0" w:space="0" w:color="auto"/>
      </w:divBdr>
      <w:divsChild>
        <w:div w:id="1488590385">
          <w:marLeft w:val="0"/>
          <w:marRight w:val="0"/>
          <w:marTop w:val="0"/>
          <w:marBottom w:val="0"/>
          <w:divBdr>
            <w:top w:val="none" w:sz="0" w:space="0" w:color="auto"/>
            <w:left w:val="none" w:sz="0" w:space="0" w:color="auto"/>
            <w:bottom w:val="none" w:sz="0" w:space="0" w:color="auto"/>
            <w:right w:val="none" w:sz="0" w:space="0" w:color="auto"/>
          </w:divBdr>
          <w:divsChild>
            <w:div w:id="832256039">
              <w:marLeft w:val="0"/>
              <w:marRight w:val="0"/>
              <w:marTop w:val="0"/>
              <w:marBottom w:val="0"/>
              <w:divBdr>
                <w:top w:val="none" w:sz="0" w:space="0" w:color="auto"/>
                <w:left w:val="none" w:sz="0" w:space="0" w:color="auto"/>
                <w:bottom w:val="none" w:sz="0" w:space="0" w:color="auto"/>
                <w:right w:val="none" w:sz="0" w:space="0" w:color="auto"/>
              </w:divBdr>
              <w:divsChild>
                <w:div w:id="191118765">
                  <w:marLeft w:val="0"/>
                  <w:marRight w:val="0"/>
                  <w:marTop w:val="0"/>
                  <w:marBottom w:val="0"/>
                  <w:divBdr>
                    <w:top w:val="none" w:sz="0" w:space="0" w:color="auto"/>
                    <w:left w:val="none" w:sz="0" w:space="0" w:color="auto"/>
                    <w:bottom w:val="none" w:sz="0" w:space="0" w:color="auto"/>
                    <w:right w:val="none" w:sz="0" w:space="0" w:color="auto"/>
                  </w:divBdr>
                  <w:divsChild>
                    <w:div w:id="1196847883">
                      <w:marLeft w:val="0"/>
                      <w:marRight w:val="0"/>
                      <w:marTop w:val="0"/>
                      <w:marBottom w:val="0"/>
                      <w:divBdr>
                        <w:top w:val="none" w:sz="0" w:space="0" w:color="auto"/>
                        <w:left w:val="none" w:sz="0" w:space="0" w:color="auto"/>
                        <w:bottom w:val="none" w:sz="0" w:space="0" w:color="auto"/>
                        <w:right w:val="none" w:sz="0" w:space="0" w:color="auto"/>
                      </w:divBdr>
                      <w:divsChild>
                        <w:div w:id="1498576035">
                          <w:marLeft w:val="0"/>
                          <w:marRight w:val="0"/>
                          <w:marTop w:val="0"/>
                          <w:marBottom w:val="0"/>
                          <w:divBdr>
                            <w:top w:val="none" w:sz="0" w:space="0" w:color="auto"/>
                            <w:left w:val="none" w:sz="0" w:space="0" w:color="auto"/>
                            <w:bottom w:val="none" w:sz="0" w:space="0" w:color="auto"/>
                            <w:right w:val="none" w:sz="0" w:space="0" w:color="auto"/>
                          </w:divBdr>
                          <w:divsChild>
                            <w:div w:id="1358506620">
                              <w:marLeft w:val="0"/>
                              <w:marRight w:val="0"/>
                              <w:marTop w:val="0"/>
                              <w:marBottom w:val="0"/>
                              <w:divBdr>
                                <w:top w:val="none" w:sz="0" w:space="0" w:color="auto"/>
                                <w:left w:val="none" w:sz="0" w:space="0" w:color="auto"/>
                                <w:bottom w:val="none" w:sz="0" w:space="0" w:color="auto"/>
                                <w:right w:val="none" w:sz="0" w:space="0" w:color="auto"/>
                              </w:divBdr>
                              <w:divsChild>
                                <w:div w:id="87092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4972041">
      <w:bodyDiv w:val="1"/>
      <w:marLeft w:val="0"/>
      <w:marRight w:val="0"/>
      <w:marTop w:val="0"/>
      <w:marBottom w:val="0"/>
      <w:divBdr>
        <w:top w:val="none" w:sz="0" w:space="0" w:color="auto"/>
        <w:left w:val="none" w:sz="0" w:space="0" w:color="auto"/>
        <w:bottom w:val="none" w:sz="0" w:space="0" w:color="auto"/>
        <w:right w:val="none" w:sz="0" w:space="0" w:color="auto"/>
      </w:divBdr>
      <w:divsChild>
        <w:div w:id="621113134">
          <w:marLeft w:val="0"/>
          <w:marRight w:val="0"/>
          <w:marTop w:val="0"/>
          <w:marBottom w:val="0"/>
          <w:divBdr>
            <w:top w:val="none" w:sz="0" w:space="0" w:color="auto"/>
            <w:left w:val="none" w:sz="0" w:space="0" w:color="auto"/>
            <w:bottom w:val="none" w:sz="0" w:space="0" w:color="auto"/>
            <w:right w:val="none" w:sz="0" w:space="0" w:color="auto"/>
          </w:divBdr>
          <w:divsChild>
            <w:div w:id="1875848166">
              <w:marLeft w:val="0"/>
              <w:marRight w:val="0"/>
              <w:marTop w:val="0"/>
              <w:marBottom w:val="225"/>
              <w:divBdr>
                <w:top w:val="none" w:sz="0" w:space="0" w:color="auto"/>
                <w:left w:val="none" w:sz="0" w:space="0" w:color="auto"/>
                <w:bottom w:val="none" w:sz="0" w:space="0" w:color="auto"/>
                <w:right w:val="none" w:sz="0" w:space="0" w:color="auto"/>
              </w:divBdr>
              <w:divsChild>
                <w:div w:id="36659813">
                  <w:marLeft w:val="225"/>
                  <w:marRight w:val="0"/>
                  <w:marTop w:val="0"/>
                  <w:marBottom w:val="0"/>
                  <w:divBdr>
                    <w:top w:val="none" w:sz="0" w:space="0" w:color="auto"/>
                    <w:left w:val="none" w:sz="0" w:space="0" w:color="auto"/>
                    <w:bottom w:val="none" w:sz="0" w:space="0" w:color="auto"/>
                    <w:right w:val="none" w:sz="0" w:space="0" w:color="auto"/>
                  </w:divBdr>
                  <w:divsChild>
                    <w:div w:id="122487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440410">
      <w:bodyDiv w:val="1"/>
      <w:marLeft w:val="0"/>
      <w:marRight w:val="0"/>
      <w:marTop w:val="0"/>
      <w:marBottom w:val="0"/>
      <w:divBdr>
        <w:top w:val="none" w:sz="0" w:space="0" w:color="auto"/>
        <w:left w:val="none" w:sz="0" w:space="0" w:color="auto"/>
        <w:bottom w:val="none" w:sz="0" w:space="0" w:color="auto"/>
        <w:right w:val="none" w:sz="0" w:space="0" w:color="auto"/>
      </w:divBdr>
      <w:divsChild>
        <w:div w:id="1133215281">
          <w:marLeft w:val="0"/>
          <w:marRight w:val="0"/>
          <w:marTop w:val="300"/>
          <w:marBottom w:val="0"/>
          <w:divBdr>
            <w:top w:val="none" w:sz="0" w:space="0" w:color="auto"/>
            <w:left w:val="none" w:sz="0" w:space="0" w:color="auto"/>
            <w:bottom w:val="none" w:sz="0" w:space="0" w:color="auto"/>
            <w:right w:val="none" w:sz="0" w:space="0" w:color="auto"/>
          </w:divBdr>
          <w:divsChild>
            <w:div w:id="476151288">
              <w:marLeft w:val="0"/>
              <w:marRight w:val="0"/>
              <w:marTop w:val="0"/>
              <w:marBottom w:val="0"/>
              <w:divBdr>
                <w:top w:val="none" w:sz="0" w:space="0" w:color="auto"/>
                <w:left w:val="none" w:sz="0" w:space="0" w:color="auto"/>
                <w:bottom w:val="none" w:sz="0" w:space="0" w:color="auto"/>
                <w:right w:val="none" w:sz="0" w:space="0" w:color="auto"/>
              </w:divBdr>
              <w:divsChild>
                <w:div w:id="512262109">
                  <w:marLeft w:val="0"/>
                  <w:marRight w:val="0"/>
                  <w:marTop w:val="150"/>
                  <w:marBottom w:val="0"/>
                  <w:divBdr>
                    <w:top w:val="none" w:sz="0" w:space="0" w:color="auto"/>
                    <w:left w:val="none" w:sz="0" w:space="0" w:color="auto"/>
                    <w:bottom w:val="none" w:sz="0" w:space="0" w:color="auto"/>
                    <w:right w:val="none" w:sz="0" w:space="0" w:color="auto"/>
                  </w:divBdr>
                  <w:divsChild>
                    <w:div w:id="2050912291">
                      <w:marLeft w:val="0"/>
                      <w:marRight w:val="0"/>
                      <w:marTop w:val="0"/>
                      <w:marBottom w:val="0"/>
                      <w:divBdr>
                        <w:top w:val="none" w:sz="0" w:space="0" w:color="auto"/>
                        <w:left w:val="none" w:sz="0" w:space="0" w:color="auto"/>
                        <w:bottom w:val="none" w:sz="0" w:space="0" w:color="auto"/>
                        <w:right w:val="none" w:sz="0" w:space="0" w:color="auto"/>
                      </w:divBdr>
                      <w:divsChild>
                        <w:div w:id="28581888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95689169">
                  <w:marLeft w:val="0"/>
                  <w:marRight w:val="0"/>
                  <w:marTop w:val="0"/>
                  <w:marBottom w:val="0"/>
                  <w:divBdr>
                    <w:top w:val="none" w:sz="0" w:space="0" w:color="auto"/>
                    <w:left w:val="none" w:sz="0" w:space="0" w:color="auto"/>
                    <w:bottom w:val="none" w:sz="0" w:space="0" w:color="auto"/>
                    <w:right w:val="none" w:sz="0" w:space="0" w:color="auto"/>
                  </w:divBdr>
                  <w:divsChild>
                    <w:div w:id="1020660615">
                      <w:marLeft w:val="0"/>
                      <w:marRight w:val="0"/>
                      <w:marTop w:val="0"/>
                      <w:marBottom w:val="0"/>
                      <w:divBdr>
                        <w:top w:val="none" w:sz="0" w:space="0" w:color="auto"/>
                        <w:left w:val="none" w:sz="0" w:space="0" w:color="auto"/>
                        <w:bottom w:val="none" w:sz="0" w:space="0" w:color="auto"/>
                        <w:right w:val="none" w:sz="0" w:space="0" w:color="auto"/>
                      </w:divBdr>
                      <w:divsChild>
                        <w:div w:id="453406906">
                          <w:marLeft w:val="0"/>
                          <w:marRight w:val="0"/>
                          <w:marTop w:val="0"/>
                          <w:marBottom w:val="0"/>
                          <w:divBdr>
                            <w:top w:val="none" w:sz="0" w:space="0" w:color="auto"/>
                            <w:left w:val="none" w:sz="0" w:space="0" w:color="auto"/>
                            <w:bottom w:val="none" w:sz="0" w:space="0" w:color="auto"/>
                            <w:right w:val="none" w:sz="0" w:space="0" w:color="auto"/>
                          </w:divBdr>
                          <w:divsChild>
                            <w:div w:id="986327344">
                              <w:marLeft w:val="0"/>
                              <w:marRight w:val="0"/>
                              <w:marTop w:val="0"/>
                              <w:marBottom w:val="0"/>
                              <w:divBdr>
                                <w:top w:val="none" w:sz="0" w:space="0" w:color="auto"/>
                                <w:left w:val="none" w:sz="0" w:space="0" w:color="auto"/>
                                <w:bottom w:val="none" w:sz="0" w:space="0" w:color="auto"/>
                                <w:right w:val="none" w:sz="0" w:space="0" w:color="auto"/>
                              </w:divBdr>
                              <w:divsChild>
                                <w:div w:id="1639411821">
                                  <w:marLeft w:val="0"/>
                                  <w:marRight w:val="0"/>
                                  <w:marTop w:val="225"/>
                                  <w:marBottom w:val="150"/>
                                  <w:divBdr>
                                    <w:top w:val="none" w:sz="0" w:space="4" w:color="auto"/>
                                    <w:left w:val="none" w:sz="0" w:space="0" w:color="auto"/>
                                    <w:bottom w:val="single" w:sz="6" w:space="4" w:color="CECECE"/>
                                    <w:right w:val="none" w:sz="0" w:space="0" w:color="auto"/>
                                  </w:divBdr>
                                  <w:divsChild>
                                    <w:div w:id="556430377">
                                      <w:marLeft w:val="0"/>
                                      <w:marRight w:val="0"/>
                                      <w:marTop w:val="75"/>
                                      <w:marBottom w:val="75"/>
                                      <w:divBdr>
                                        <w:top w:val="none" w:sz="0" w:space="0" w:color="auto"/>
                                        <w:left w:val="none" w:sz="0" w:space="0" w:color="auto"/>
                                        <w:bottom w:val="none" w:sz="0" w:space="0" w:color="auto"/>
                                        <w:right w:val="none" w:sz="0" w:space="0" w:color="auto"/>
                                      </w:divBdr>
                                      <w:divsChild>
                                        <w:div w:id="929896612">
                                          <w:marLeft w:val="0"/>
                                          <w:marRight w:val="135"/>
                                          <w:marTop w:val="0"/>
                                          <w:marBottom w:val="0"/>
                                          <w:divBdr>
                                            <w:top w:val="none" w:sz="0" w:space="0" w:color="auto"/>
                                            <w:left w:val="none" w:sz="0" w:space="0" w:color="auto"/>
                                            <w:bottom w:val="none" w:sz="0" w:space="0" w:color="auto"/>
                                            <w:right w:val="none" w:sz="0" w:space="0" w:color="auto"/>
                                          </w:divBdr>
                                        </w:div>
                                        <w:div w:id="1233657725">
                                          <w:marLeft w:val="0"/>
                                          <w:marRight w:val="0"/>
                                          <w:marTop w:val="45"/>
                                          <w:marBottom w:val="0"/>
                                          <w:divBdr>
                                            <w:top w:val="none" w:sz="0" w:space="0" w:color="auto"/>
                                            <w:left w:val="none" w:sz="0" w:space="0" w:color="auto"/>
                                            <w:bottom w:val="none" w:sz="0" w:space="0" w:color="auto"/>
                                            <w:right w:val="none" w:sz="0" w:space="0" w:color="auto"/>
                                          </w:divBdr>
                                        </w:div>
                                      </w:divsChild>
                                    </w:div>
                                    <w:div w:id="1187330917">
                                      <w:marLeft w:val="0"/>
                                      <w:marRight w:val="0"/>
                                      <w:marTop w:val="75"/>
                                      <w:marBottom w:val="75"/>
                                      <w:divBdr>
                                        <w:top w:val="none" w:sz="0" w:space="0" w:color="auto"/>
                                        <w:left w:val="none" w:sz="0" w:space="0" w:color="auto"/>
                                        <w:bottom w:val="none" w:sz="0" w:space="0" w:color="auto"/>
                                        <w:right w:val="none" w:sz="0" w:space="0" w:color="auto"/>
                                      </w:divBdr>
                                      <w:divsChild>
                                        <w:div w:id="270820165">
                                          <w:marLeft w:val="0"/>
                                          <w:marRight w:val="135"/>
                                          <w:marTop w:val="0"/>
                                          <w:marBottom w:val="0"/>
                                          <w:divBdr>
                                            <w:top w:val="none" w:sz="0" w:space="0" w:color="auto"/>
                                            <w:left w:val="none" w:sz="0" w:space="0" w:color="auto"/>
                                            <w:bottom w:val="none" w:sz="0" w:space="0" w:color="auto"/>
                                            <w:right w:val="none" w:sz="0" w:space="0" w:color="auto"/>
                                          </w:divBdr>
                                        </w:div>
                                        <w:div w:id="1712262860">
                                          <w:marLeft w:val="0"/>
                                          <w:marRight w:val="0"/>
                                          <w:marTop w:val="45"/>
                                          <w:marBottom w:val="0"/>
                                          <w:divBdr>
                                            <w:top w:val="none" w:sz="0" w:space="0" w:color="auto"/>
                                            <w:left w:val="none" w:sz="0" w:space="0" w:color="auto"/>
                                            <w:bottom w:val="none" w:sz="0" w:space="0" w:color="auto"/>
                                            <w:right w:val="none" w:sz="0" w:space="0" w:color="auto"/>
                                          </w:divBdr>
                                        </w:div>
                                      </w:divsChild>
                                    </w:div>
                                    <w:div w:id="213104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65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21618">
              <w:marLeft w:val="-1350"/>
              <w:marRight w:val="0"/>
              <w:marTop w:val="0"/>
              <w:marBottom w:val="0"/>
              <w:divBdr>
                <w:top w:val="none" w:sz="0" w:space="0" w:color="auto"/>
                <w:left w:val="none" w:sz="0" w:space="0" w:color="auto"/>
                <w:bottom w:val="none" w:sz="0" w:space="0" w:color="auto"/>
                <w:right w:val="none" w:sz="0" w:space="0" w:color="auto"/>
              </w:divBdr>
              <w:divsChild>
                <w:div w:id="105541751">
                  <w:marLeft w:val="0"/>
                  <w:marRight w:val="0"/>
                  <w:marTop w:val="0"/>
                  <w:marBottom w:val="0"/>
                  <w:divBdr>
                    <w:top w:val="none" w:sz="0" w:space="0" w:color="auto"/>
                    <w:left w:val="none" w:sz="0" w:space="0" w:color="auto"/>
                    <w:bottom w:val="none" w:sz="0" w:space="0" w:color="auto"/>
                    <w:right w:val="none" w:sz="0" w:space="0" w:color="auto"/>
                  </w:divBdr>
                  <w:divsChild>
                    <w:div w:id="1788550012">
                      <w:marLeft w:val="0"/>
                      <w:marRight w:val="0"/>
                      <w:marTop w:val="0"/>
                      <w:marBottom w:val="0"/>
                      <w:divBdr>
                        <w:top w:val="none" w:sz="0" w:space="0" w:color="auto"/>
                        <w:left w:val="none" w:sz="0" w:space="0" w:color="auto"/>
                        <w:bottom w:val="none" w:sz="0" w:space="0" w:color="auto"/>
                        <w:right w:val="none" w:sz="0" w:space="0" w:color="auto"/>
                      </w:divBdr>
                      <w:divsChild>
                        <w:div w:id="874385799">
                          <w:marLeft w:val="0"/>
                          <w:marRight w:val="0"/>
                          <w:marTop w:val="0"/>
                          <w:marBottom w:val="0"/>
                          <w:divBdr>
                            <w:top w:val="single" w:sz="6" w:space="0" w:color="C7C7C7"/>
                            <w:left w:val="single" w:sz="6" w:space="0" w:color="C7C7C7"/>
                            <w:bottom w:val="single" w:sz="6" w:space="0" w:color="C7C7C7"/>
                            <w:right w:val="single" w:sz="6" w:space="0" w:color="C7C7C7"/>
                          </w:divBdr>
                          <w:divsChild>
                            <w:div w:id="37242843">
                              <w:marLeft w:val="0"/>
                              <w:marRight w:val="0"/>
                              <w:marTop w:val="100"/>
                              <w:marBottom w:val="100"/>
                              <w:divBdr>
                                <w:top w:val="none" w:sz="0" w:space="0" w:color="auto"/>
                                <w:left w:val="none" w:sz="0" w:space="0" w:color="auto"/>
                                <w:bottom w:val="none" w:sz="0" w:space="0" w:color="auto"/>
                                <w:right w:val="none" w:sz="0" w:space="0" w:color="auto"/>
                              </w:divBdr>
                            </w:div>
                            <w:div w:id="515776030">
                              <w:marLeft w:val="0"/>
                              <w:marRight w:val="0"/>
                              <w:marTop w:val="100"/>
                              <w:marBottom w:val="100"/>
                              <w:divBdr>
                                <w:top w:val="none" w:sz="0" w:space="11" w:color="auto"/>
                                <w:left w:val="none" w:sz="0" w:space="0" w:color="auto"/>
                                <w:bottom w:val="single" w:sz="6" w:space="11" w:color="C7C7C7"/>
                                <w:right w:val="none" w:sz="0" w:space="0" w:color="auto"/>
                              </w:divBdr>
                            </w:div>
                            <w:div w:id="772476495">
                              <w:marLeft w:val="0"/>
                              <w:marRight w:val="0"/>
                              <w:marTop w:val="100"/>
                              <w:marBottom w:val="100"/>
                              <w:divBdr>
                                <w:top w:val="none" w:sz="0" w:space="11" w:color="auto"/>
                                <w:left w:val="none" w:sz="0" w:space="0" w:color="auto"/>
                                <w:bottom w:val="single" w:sz="6" w:space="11" w:color="C7C7C7"/>
                                <w:right w:val="none" w:sz="0" w:space="0" w:color="auto"/>
                              </w:divBdr>
                            </w:div>
                            <w:div w:id="1880048665">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 w:id="2028485460">
          <w:marLeft w:val="0"/>
          <w:marRight w:val="0"/>
          <w:marTop w:val="150"/>
          <w:marBottom w:val="0"/>
          <w:divBdr>
            <w:top w:val="none" w:sz="0" w:space="0" w:color="auto"/>
            <w:left w:val="none" w:sz="0" w:space="0" w:color="auto"/>
            <w:bottom w:val="none" w:sz="0" w:space="0" w:color="auto"/>
            <w:right w:val="none" w:sz="0" w:space="0" w:color="auto"/>
          </w:divBdr>
          <w:divsChild>
            <w:div w:id="1730492970">
              <w:marLeft w:val="0"/>
              <w:marRight w:val="0"/>
              <w:marTop w:val="0"/>
              <w:marBottom w:val="0"/>
              <w:divBdr>
                <w:top w:val="none" w:sz="0" w:space="0" w:color="auto"/>
                <w:left w:val="none" w:sz="0" w:space="0" w:color="auto"/>
                <w:bottom w:val="single" w:sz="6" w:space="0" w:color="EFEFEF"/>
                <w:right w:val="none" w:sz="0" w:space="0" w:color="auto"/>
              </w:divBdr>
              <w:divsChild>
                <w:div w:id="258173628">
                  <w:marLeft w:val="0"/>
                  <w:marRight w:val="0"/>
                  <w:marTop w:val="0"/>
                  <w:marBottom w:val="0"/>
                  <w:divBdr>
                    <w:top w:val="none" w:sz="0" w:space="0" w:color="auto"/>
                    <w:left w:val="none" w:sz="0" w:space="0" w:color="auto"/>
                    <w:bottom w:val="none" w:sz="0" w:space="0" w:color="auto"/>
                    <w:right w:val="none" w:sz="0" w:space="0" w:color="auto"/>
                  </w:divBdr>
                </w:div>
                <w:div w:id="140910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441549">
      <w:bodyDiv w:val="1"/>
      <w:marLeft w:val="0"/>
      <w:marRight w:val="0"/>
      <w:marTop w:val="0"/>
      <w:marBottom w:val="0"/>
      <w:divBdr>
        <w:top w:val="none" w:sz="0" w:space="0" w:color="auto"/>
        <w:left w:val="none" w:sz="0" w:space="0" w:color="auto"/>
        <w:bottom w:val="none" w:sz="0" w:space="0" w:color="auto"/>
        <w:right w:val="none" w:sz="0" w:space="0" w:color="auto"/>
      </w:divBdr>
      <w:divsChild>
        <w:div w:id="610745624">
          <w:marLeft w:val="0"/>
          <w:marRight w:val="0"/>
          <w:marTop w:val="0"/>
          <w:marBottom w:val="0"/>
          <w:divBdr>
            <w:top w:val="none" w:sz="0" w:space="0" w:color="auto"/>
            <w:left w:val="none" w:sz="0" w:space="0" w:color="auto"/>
            <w:bottom w:val="none" w:sz="0" w:space="0" w:color="auto"/>
            <w:right w:val="none" w:sz="0" w:space="0" w:color="auto"/>
          </w:divBdr>
          <w:divsChild>
            <w:div w:id="335302008">
              <w:marLeft w:val="0"/>
              <w:marRight w:val="0"/>
              <w:marTop w:val="0"/>
              <w:marBottom w:val="0"/>
              <w:divBdr>
                <w:top w:val="none" w:sz="0" w:space="0" w:color="auto"/>
                <w:left w:val="none" w:sz="0" w:space="0" w:color="auto"/>
                <w:bottom w:val="none" w:sz="0" w:space="0" w:color="auto"/>
                <w:right w:val="none" w:sz="0" w:space="0" w:color="auto"/>
              </w:divBdr>
              <w:divsChild>
                <w:div w:id="1065493093">
                  <w:marLeft w:val="0"/>
                  <w:marRight w:val="0"/>
                  <w:marTop w:val="0"/>
                  <w:marBottom w:val="0"/>
                  <w:divBdr>
                    <w:top w:val="none" w:sz="0" w:space="0" w:color="auto"/>
                    <w:left w:val="none" w:sz="0" w:space="0" w:color="auto"/>
                    <w:bottom w:val="none" w:sz="0" w:space="0" w:color="auto"/>
                    <w:right w:val="none" w:sz="0" w:space="0" w:color="auto"/>
                  </w:divBdr>
                  <w:divsChild>
                    <w:div w:id="554506410">
                      <w:marLeft w:val="0"/>
                      <w:marRight w:val="0"/>
                      <w:marTop w:val="0"/>
                      <w:marBottom w:val="0"/>
                      <w:divBdr>
                        <w:top w:val="none" w:sz="0" w:space="0" w:color="auto"/>
                        <w:left w:val="none" w:sz="0" w:space="0" w:color="auto"/>
                        <w:bottom w:val="none" w:sz="0" w:space="0" w:color="auto"/>
                        <w:right w:val="none" w:sz="0" w:space="0" w:color="auto"/>
                      </w:divBdr>
                      <w:divsChild>
                        <w:div w:id="1687831374">
                          <w:marLeft w:val="0"/>
                          <w:marRight w:val="0"/>
                          <w:marTop w:val="0"/>
                          <w:marBottom w:val="0"/>
                          <w:divBdr>
                            <w:top w:val="none" w:sz="0" w:space="0" w:color="auto"/>
                            <w:left w:val="none" w:sz="0" w:space="0" w:color="auto"/>
                            <w:bottom w:val="none" w:sz="0" w:space="0" w:color="auto"/>
                            <w:right w:val="none" w:sz="0" w:space="0" w:color="auto"/>
                          </w:divBdr>
                          <w:divsChild>
                            <w:div w:id="985083616">
                              <w:marLeft w:val="0"/>
                              <w:marRight w:val="0"/>
                              <w:marTop w:val="0"/>
                              <w:marBottom w:val="0"/>
                              <w:divBdr>
                                <w:top w:val="none" w:sz="0" w:space="0" w:color="auto"/>
                                <w:left w:val="none" w:sz="0" w:space="0" w:color="auto"/>
                                <w:bottom w:val="none" w:sz="0" w:space="0" w:color="auto"/>
                                <w:right w:val="none" w:sz="0" w:space="0" w:color="auto"/>
                              </w:divBdr>
                              <w:divsChild>
                                <w:div w:id="1601792946">
                                  <w:marLeft w:val="0"/>
                                  <w:marRight w:val="0"/>
                                  <w:marTop w:val="0"/>
                                  <w:marBottom w:val="0"/>
                                  <w:divBdr>
                                    <w:top w:val="none" w:sz="0" w:space="0" w:color="auto"/>
                                    <w:left w:val="none" w:sz="0" w:space="0" w:color="auto"/>
                                    <w:bottom w:val="none" w:sz="0" w:space="0" w:color="auto"/>
                                    <w:right w:val="none" w:sz="0" w:space="0" w:color="auto"/>
                                  </w:divBdr>
                                  <w:divsChild>
                                    <w:div w:id="32940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507780">
      <w:bodyDiv w:val="1"/>
      <w:marLeft w:val="0"/>
      <w:marRight w:val="0"/>
      <w:marTop w:val="0"/>
      <w:marBottom w:val="0"/>
      <w:divBdr>
        <w:top w:val="none" w:sz="0" w:space="0" w:color="auto"/>
        <w:left w:val="none" w:sz="0" w:space="0" w:color="auto"/>
        <w:bottom w:val="none" w:sz="0" w:space="0" w:color="auto"/>
        <w:right w:val="none" w:sz="0" w:space="0" w:color="auto"/>
      </w:divBdr>
      <w:divsChild>
        <w:div w:id="886526647">
          <w:marLeft w:val="0"/>
          <w:marRight w:val="0"/>
          <w:marTop w:val="0"/>
          <w:marBottom w:val="150"/>
          <w:divBdr>
            <w:top w:val="none" w:sz="0" w:space="0" w:color="auto"/>
            <w:left w:val="none" w:sz="0" w:space="0" w:color="auto"/>
            <w:bottom w:val="none" w:sz="0" w:space="0" w:color="auto"/>
            <w:right w:val="none" w:sz="0" w:space="0" w:color="auto"/>
          </w:divBdr>
          <w:divsChild>
            <w:div w:id="20206259">
              <w:marLeft w:val="0"/>
              <w:marRight w:val="0"/>
              <w:marTop w:val="0"/>
              <w:marBottom w:val="0"/>
              <w:divBdr>
                <w:top w:val="none" w:sz="0" w:space="0" w:color="auto"/>
                <w:left w:val="none" w:sz="0" w:space="0" w:color="auto"/>
                <w:bottom w:val="none" w:sz="0" w:space="0" w:color="auto"/>
                <w:right w:val="none" w:sz="0" w:space="0" w:color="auto"/>
              </w:divBdr>
              <w:divsChild>
                <w:div w:id="1620335662">
                  <w:marLeft w:val="0"/>
                  <w:marRight w:val="0"/>
                  <w:marTop w:val="0"/>
                  <w:marBottom w:val="0"/>
                  <w:divBdr>
                    <w:top w:val="none" w:sz="0" w:space="0" w:color="auto"/>
                    <w:left w:val="none" w:sz="0" w:space="0" w:color="auto"/>
                    <w:bottom w:val="none" w:sz="0" w:space="0" w:color="auto"/>
                    <w:right w:val="none" w:sz="0" w:space="0" w:color="auto"/>
                  </w:divBdr>
                  <w:divsChild>
                    <w:div w:id="1702826808">
                      <w:marLeft w:val="0"/>
                      <w:marRight w:val="150"/>
                      <w:marTop w:val="0"/>
                      <w:marBottom w:val="0"/>
                      <w:divBdr>
                        <w:top w:val="none" w:sz="0" w:space="0" w:color="auto"/>
                        <w:left w:val="none" w:sz="0" w:space="0" w:color="auto"/>
                        <w:bottom w:val="none" w:sz="0" w:space="0" w:color="auto"/>
                        <w:right w:val="none" w:sz="0" w:space="0" w:color="auto"/>
                      </w:divBdr>
                      <w:divsChild>
                        <w:div w:id="213401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354343">
          <w:marLeft w:val="0"/>
          <w:marRight w:val="0"/>
          <w:marTop w:val="0"/>
          <w:marBottom w:val="150"/>
          <w:divBdr>
            <w:top w:val="none" w:sz="0" w:space="0" w:color="auto"/>
            <w:left w:val="none" w:sz="0" w:space="0" w:color="auto"/>
            <w:bottom w:val="none" w:sz="0" w:space="0" w:color="auto"/>
            <w:right w:val="none" w:sz="0" w:space="0" w:color="auto"/>
          </w:divBdr>
        </w:div>
        <w:div w:id="151147375">
          <w:marLeft w:val="0"/>
          <w:marRight w:val="0"/>
          <w:marTop w:val="0"/>
          <w:marBottom w:val="0"/>
          <w:divBdr>
            <w:top w:val="none" w:sz="0" w:space="0" w:color="auto"/>
            <w:left w:val="none" w:sz="0" w:space="0" w:color="auto"/>
            <w:bottom w:val="none" w:sz="0" w:space="0" w:color="auto"/>
            <w:right w:val="none" w:sz="0" w:space="0" w:color="auto"/>
          </w:divBdr>
          <w:divsChild>
            <w:div w:id="144522340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05823226">
      <w:bodyDiv w:val="1"/>
      <w:marLeft w:val="0"/>
      <w:marRight w:val="0"/>
      <w:marTop w:val="0"/>
      <w:marBottom w:val="0"/>
      <w:divBdr>
        <w:top w:val="none" w:sz="0" w:space="0" w:color="auto"/>
        <w:left w:val="none" w:sz="0" w:space="0" w:color="auto"/>
        <w:bottom w:val="none" w:sz="0" w:space="0" w:color="auto"/>
        <w:right w:val="none" w:sz="0" w:space="0" w:color="auto"/>
      </w:divBdr>
      <w:divsChild>
        <w:div w:id="2028867521">
          <w:marLeft w:val="0"/>
          <w:marRight w:val="0"/>
          <w:marTop w:val="0"/>
          <w:marBottom w:val="150"/>
          <w:divBdr>
            <w:top w:val="none" w:sz="0" w:space="0" w:color="auto"/>
            <w:left w:val="none" w:sz="0" w:space="0" w:color="auto"/>
            <w:bottom w:val="none" w:sz="0" w:space="0" w:color="auto"/>
            <w:right w:val="none" w:sz="0" w:space="0" w:color="auto"/>
          </w:divBdr>
        </w:div>
      </w:divsChild>
    </w:div>
    <w:div w:id="1506825006">
      <w:bodyDiv w:val="1"/>
      <w:marLeft w:val="0"/>
      <w:marRight w:val="0"/>
      <w:marTop w:val="0"/>
      <w:marBottom w:val="0"/>
      <w:divBdr>
        <w:top w:val="none" w:sz="0" w:space="0" w:color="auto"/>
        <w:left w:val="none" w:sz="0" w:space="0" w:color="auto"/>
        <w:bottom w:val="none" w:sz="0" w:space="0" w:color="auto"/>
        <w:right w:val="none" w:sz="0" w:space="0" w:color="auto"/>
      </w:divBdr>
      <w:divsChild>
        <w:div w:id="366419859">
          <w:marLeft w:val="0"/>
          <w:marRight w:val="150"/>
          <w:marTop w:val="0"/>
          <w:marBottom w:val="0"/>
          <w:divBdr>
            <w:top w:val="none" w:sz="0" w:space="0" w:color="auto"/>
            <w:left w:val="none" w:sz="0" w:space="0" w:color="auto"/>
            <w:bottom w:val="none" w:sz="0" w:space="0" w:color="auto"/>
            <w:right w:val="none" w:sz="0" w:space="0" w:color="auto"/>
          </w:divBdr>
          <w:divsChild>
            <w:div w:id="49425365">
              <w:marLeft w:val="0"/>
              <w:marRight w:val="0"/>
              <w:marTop w:val="0"/>
              <w:marBottom w:val="0"/>
              <w:divBdr>
                <w:top w:val="none" w:sz="0" w:space="0" w:color="auto"/>
                <w:left w:val="none" w:sz="0" w:space="0" w:color="auto"/>
                <w:bottom w:val="none" w:sz="0" w:space="0" w:color="auto"/>
                <w:right w:val="none" w:sz="0" w:space="0" w:color="auto"/>
              </w:divBdr>
              <w:divsChild>
                <w:div w:id="836044714">
                  <w:marLeft w:val="0"/>
                  <w:marRight w:val="0"/>
                  <w:marTop w:val="0"/>
                  <w:marBottom w:val="0"/>
                  <w:divBdr>
                    <w:top w:val="none" w:sz="0" w:space="8" w:color="auto"/>
                    <w:left w:val="none" w:sz="0" w:space="2" w:color="auto"/>
                    <w:bottom w:val="single" w:sz="6" w:space="8" w:color="DDDDDD"/>
                    <w:right w:val="none" w:sz="0" w:space="0" w:color="auto"/>
                  </w:divBdr>
                </w:div>
                <w:div w:id="2022778943">
                  <w:marLeft w:val="0"/>
                  <w:marRight w:val="0"/>
                  <w:marTop w:val="150"/>
                  <w:marBottom w:val="0"/>
                  <w:divBdr>
                    <w:top w:val="none" w:sz="0" w:space="0" w:color="auto"/>
                    <w:left w:val="none" w:sz="0" w:space="0" w:color="auto"/>
                    <w:bottom w:val="none" w:sz="0" w:space="0" w:color="auto"/>
                    <w:right w:val="none" w:sz="0" w:space="0" w:color="auto"/>
                  </w:divBdr>
                  <w:divsChild>
                    <w:div w:id="240524940">
                      <w:marLeft w:val="0"/>
                      <w:marRight w:val="150"/>
                      <w:marTop w:val="0"/>
                      <w:marBottom w:val="0"/>
                      <w:divBdr>
                        <w:top w:val="none" w:sz="0" w:space="0" w:color="auto"/>
                        <w:left w:val="none" w:sz="0" w:space="0" w:color="auto"/>
                        <w:bottom w:val="none" w:sz="0" w:space="0" w:color="auto"/>
                        <w:right w:val="none" w:sz="0" w:space="0" w:color="auto"/>
                      </w:divBdr>
                      <w:divsChild>
                        <w:div w:id="59533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302840">
          <w:marLeft w:val="0"/>
          <w:marRight w:val="0"/>
          <w:marTop w:val="150"/>
          <w:marBottom w:val="0"/>
          <w:divBdr>
            <w:top w:val="none" w:sz="0" w:space="0" w:color="auto"/>
            <w:left w:val="none" w:sz="0" w:space="0" w:color="auto"/>
            <w:bottom w:val="none" w:sz="0" w:space="0" w:color="auto"/>
            <w:right w:val="none" w:sz="0" w:space="0" w:color="auto"/>
          </w:divBdr>
          <w:divsChild>
            <w:div w:id="2082874465">
              <w:marLeft w:val="0"/>
              <w:marRight w:val="0"/>
              <w:marTop w:val="150"/>
              <w:marBottom w:val="0"/>
              <w:divBdr>
                <w:top w:val="none" w:sz="0" w:space="0" w:color="auto"/>
                <w:left w:val="none" w:sz="0" w:space="0" w:color="auto"/>
                <w:bottom w:val="none" w:sz="0" w:space="0" w:color="auto"/>
                <w:right w:val="none" w:sz="0" w:space="0" w:color="auto"/>
              </w:divBdr>
              <w:divsChild>
                <w:div w:id="498228737">
                  <w:marLeft w:val="0"/>
                  <w:marRight w:val="0"/>
                  <w:marTop w:val="0"/>
                  <w:marBottom w:val="0"/>
                  <w:divBdr>
                    <w:top w:val="none" w:sz="0" w:space="0" w:color="auto"/>
                    <w:left w:val="none" w:sz="0" w:space="0" w:color="auto"/>
                    <w:bottom w:val="none" w:sz="0" w:space="0" w:color="auto"/>
                    <w:right w:val="none" w:sz="0" w:space="0" w:color="auto"/>
                  </w:divBdr>
                </w:div>
                <w:div w:id="126099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899960">
      <w:bodyDiv w:val="1"/>
      <w:marLeft w:val="0"/>
      <w:marRight w:val="0"/>
      <w:marTop w:val="0"/>
      <w:marBottom w:val="0"/>
      <w:divBdr>
        <w:top w:val="none" w:sz="0" w:space="0" w:color="auto"/>
        <w:left w:val="none" w:sz="0" w:space="0" w:color="auto"/>
        <w:bottom w:val="none" w:sz="0" w:space="0" w:color="auto"/>
        <w:right w:val="none" w:sz="0" w:space="0" w:color="auto"/>
      </w:divBdr>
    </w:div>
    <w:div w:id="1507357322">
      <w:bodyDiv w:val="1"/>
      <w:marLeft w:val="0"/>
      <w:marRight w:val="0"/>
      <w:marTop w:val="0"/>
      <w:marBottom w:val="0"/>
      <w:divBdr>
        <w:top w:val="none" w:sz="0" w:space="0" w:color="auto"/>
        <w:left w:val="none" w:sz="0" w:space="0" w:color="auto"/>
        <w:bottom w:val="none" w:sz="0" w:space="0" w:color="auto"/>
        <w:right w:val="none" w:sz="0" w:space="0" w:color="auto"/>
      </w:divBdr>
      <w:divsChild>
        <w:div w:id="1637028654">
          <w:marLeft w:val="0"/>
          <w:marRight w:val="0"/>
          <w:marTop w:val="0"/>
          <w:marBottom w:val="0"/>
          <w:divBdr>
            <w:top w:val="none" w:sz="0" w:space="0" w:color="auto"/>
            <w:left w:val="none" w:sz="0" w:space="0" w:color="auto"/>
            <w:bottom w:val="dotted" w:sz="6" w:space="4" w:color="DDDDDD"/>
            <w:right w:val="none" w:sz="0" w:space="0" w:color="auto"/>
          </w:divBdr>
          <w:divsChild>
            <w:div w:id="195154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402798">
      <w:bodyDiv w:val="1"/>
      <w:marLeft w:val="0"/>
      <w:marRight w:val="0"/>
      <w:marTop w:val="0"/>
      <w:marBottom w:val="0"/>
      <w:divBdr>
        <w:top w:val="none" w:sz="0" w:space="0" w:color="auto"/>
        <w:left w:val="none" w:sz="0" w:space="0" w:color="auto"/>
        <w:bottom w:val="none" w:sz="0" w:space="0" w:color="auto"/>
        <w:right w:val="none" w:sz="0" w:space="0" w:color="auto"/>
      </w:divBdr>
    </w:div>
    <w:div w:id="1507596087">
      <w:bodyDiv w:val="1"/>
      <w:marLeft w:val="0"/>
      <w:marRight w:val="0"/>
      <w:marTop w:val="0"/>
      <w:marBottom w:val="0"/>
      <w:divBdr>
        <w:top w:val="none" w:sz="0" w:space="0" w:color="auto"/>
        <w:left w:val="none" w:sz="0" w:space="0" w:color="auto"/>
        <w:bottom w:val="none" w:sz="0" w:space="0" w:color="auto"/>
        <w:right w:val="none" w:sz="0" w:space="0" w:color="auto"/>
      </w:divBdr>
      <w:divsChild>
        <w:div w:id="419453947">
          <w:marLeft w:val="0"/>
          <w:marRight w:val="0"/>
          <w:marTop w:val="0"/>
          <w:marBottom w:val="0"/>
          <w:divBdr>
            <w:top w:val="none" w:sz="0" w:space="0" w:color="auto"/>
            <w:left w:val="none" w:sz="0" w:space="0" w:color="auto"/>
            <w:bottom w:val="none" w:sz="0" w:space="0" w:color="auto"/>
            <w:right w:val="none" w:sz="0" w:space="0" w:color="auto"/>
          </w:divBdr>
          <w:divsChild>
            <w:div w:id="1484539206">
              <w:marLeft w:val="0"/>
              <w:marRight w:val="0"/>
              <w:marTop w:val="0"/>
              <w:marBottom w:val="0"/>
              <w:divBdr>
                <w:top w:val="none" w:sz="0" w:space="0" w:color="auto"/>
                <w:left w:val="none" w:sz="0" w:space="0" w:color="auto"/>
                <w:bottom w:val="none" w:sz="0" w:space="0" w:color="auto"/>
                <w:right w:val="none" w:sz="0" w:space="0" w:color="auto"/>
              </w:divBdr>
            </w:div>
          </w:divsChild>
        </w:div>
        <w:div w:id="669061647">
          <w:marLeft w:val="0"/>
          <w:marRight w:val="0"/>
          <w:marTop w:val="0"/>
          <w:marBottom w:val="150"/>
          <w:divBdr>
            <w:top w:val="none" w:sz="0" w:space="0" w:color="auto"/>
            <w:left w:val="none" w:sz="0" w:space="0" w:color="auto"/>
            <w:bottom w:val="none" w:sz="0" w:space="0" w:color="auto"/>
            <w:right w:val="none" w:sz="0" w:space="0" w:color="auto"/>
          </w:divBdr>
        </w:div>
        <w:div w:id="2035375438">
          <w:marLeft w:val="0"/>
          <w:marRight w:val="0"/>
          <w:marTop w:val="0"/>
          <w:marBottom w:val="150"/>
          <w:divBdr>
            <w:top w:val="none" w:sz="0" w:space="0" w:color="auto"/>
            <w:left w:val="none" w:sz="0" w:space="0" w:color="auto"/>
            <w:bottom w:val="none" w:sz="0" w:space="0" w:color="auto"/>
            <w:right w:val="none" w:sz="0" w:space="0" w:color="auto"/>
          </w:divBdr>
          <w:divsChild>
            <w:div w:id="163270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73711">
      <w:bodyDiv w:val="1"/>
      <w:marLeft w:val="0"/>
      <w:marRight w:val="0"/>
      <w:marTop w:val="0"/>
      <w:marBottom w:val="0"/>
      <w:divBdr>
        <w:top w:val="none" w:sz="0" w:space="0" w:color="auto"/>
        <w:left w:val="none" w:sz="0" w:space="0" w:color="auto"/>
        <w:bottom w:val="none" w:sz="0" w:space="0" w:color="auto"/>
        <w:right w:val="none" w:sz="0" w:space="0" w:color="auto"/>
      </w:divBdr>
    </w:div>
    <w:div w:id="1507936920">
      <w:bodyDiv w:val="1"/>
      <w:marLeft w:val="0"/>
      <w:marRight w:val="0"/>
      <w:marTop w:val="0"/>
      <w:marBottom w:val="0"/>
      <w:divBdr>
        <w:top w:val="none" w:sz="0" w:space="0" w:color="auto"/>
        <w:left w:val="none" w:sz="0" w:space="0" w:color="auto"/>
        <w:bottom w:val="none" w:sz="0" w:space="0" w:color="auto"/>
        <w:right w:val="none" w:sz="0" w:space="0" w:color="auto"/>
      </w:divBdr>
      <w:divsChild>
        <w:div w:id="37361955">
          <w:marLeft w:val="0"/>
          <w:marRight w:val="0"/>
          <w:marTop w:val="0"/>
          <w:marBottom w:val="0"/>
          <w:divBdr>
            <w:top w:val="none" w:sz="0" w:space="0" w:color="auto"/>
            <w:left w:val="none" w:sz="0" w:space="0" w:color="auto"/>
            <w:bottom w:val="dotted" w:sz="6" w:space="4" w:color="DDDDDD"/>
            <w:right w:val="none" w:sz="0" w:space="0" w:color="auto"/>
          </w:divBdr>
          <w:divsChild>
            <w:div w:id="22722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939360">
      <w:bodyDiv w:val="1"/>
      <w:marLeft w:val="0"/>
      <w:marRight w:val="0"/>
      <w:marTop w:val="0"/>
      <w:marBottom w:val="0"/>
      <w:divBdr>
        <w:top w:val="none" w:sz="0" w:space="0" w:color="auto"/>
        <w:left w:val="none" w:sz="0" w:space="0" w:color="auto"/>
        <w:bottom w:val="none" w:sz="0" w:space="0" w:color="auto"/>
        <w:right w:val="none" w:sz="0" w:space="0" w:color="auto"/>
      </w:divBdr>
    </w:div>
    <w:div w:id="1507943537">
      <w:bodyDiv w:val="1"/>
      <w:marLeft w:val="0"/>
      <w:marRight w:val="0"/>
      <w:marTop w:val="0"/>
      <w:marBottom w:val="0"/>
      <w:divBdr>
        <w:top w:val="none" w:sz="0" w:space="0" w:color="auto"/>
        <w:left w:val="none" w:sz="0" w:space="0" w:color="auto"/>
        <w:bottom w:val="none" w:sz="0" w:space="0" w:color="auto"/>
        <w:right w:val="none" w:sz="0" w:space="0" w:color="auto"/>
      </w:divBdr>
      <w:divsChild>
        <w:div w:id="391006499">
          <w:marLeft w:val="0"/>
          <w:marRight w:val="0"/>
          <w:marTop w:val="0"/>
          <w:marBottom w:val="150"/>
          <w:divBdr>
            <w:top w:val="none" w:sz="0" w:space="0" w:color="auto"/>
            <w:left w:val="none" w:sz="0" w:space="0" w:color="auto"/>
            <w:bottom w:val="none" w:sz="0" w:space="0" w:color="auto"/>
            <w:right w:val="none" w:sz="0" w:space="0" w:color="auto"/>
          </w:divBdr>
        </w:div>
        <w:div w:id="1249344840">
          <w:marLeft w:val="0"/>
          <w:marRight w:val="0"/>
          <w:marTop w:val="0"/>
          <w:marBottom w:val="150"/>
          <w:divBdr>
            <w:top w:val="none" w:sz="0" w:space="0" w:color="auto"/>
            <w:left w:val="none" w:sz="0" w:space="0" w:color="auto"/>
            <w:bottom w:val="none" w:sz="0" w:space="0" w:color="auto"/>
            <w:right w:val="none" w:sz="0" w:space="0" w:color="auto"/>
          </w:divBdr>
        </w:div>
        <w:div w:id="1379090123">
          <w:marLeft w:val="0"/>
          <w:marRight w:val="0"/>
          <w:marTop w:val="0"/>
          <w:marBottom w:val="150"/>
          <w:divBdr>
            <w:top w:val="none" w:sz="0" w:space="0" w:color="auto"/>
            <w:left w:val="none" w:sz="0" w:space="0" w:color="auto"/>
            <w:bottom w:val="none" w:sz="0" w:space="0" w:color="auto"/>
            <w:right w:val="none" w:sz="0" w:space="0" w:color="auto"/>
          </w:divBdr>
        </w:div>
        <w:div w:id="1427074841">
          <w:marLeft w:val="0"/>
          <w:marRight w:val="0"/>
          <w:marTop w:val="0"/>
          <w:marBottom w:val="150"/>
          <w:divBdr>
            <w:top w:val="none" w:sz="0" w:space="0" w:color="auto"/>
            <w:left w:val="none" w:sz="0" w:space="0" w:color="auto"/>
            <w:bottom w:val="none" w:sz="0" w:space="0" w:color="auto"/>
            <w:right w:val="none" w:sz="0" w:space="0" w:color="auto"/>
          </w:divBdr>
        </w:div>
      </w:divsChild>
    </w:div>
    <w:div w:id="1508133790">
      <w:bodyDiv w:val="1"/>
      <w:marLeft w:val="0"/>
      <w:marRight w:val="0"/>
      <w:marTop w:val="0"/>
      <w:marBottom w:val="0"/>
      <w:divBdr>
        <w:top w:val="none" w:sz="0" w:space="0" w:color="auto"/>
        <w:left w:val="none" w:sz="0" w:space="0" w:color="auto"/>
        <w:bottom w:val="none" w:sz="0" w:space="0" w:color="auto"/>
        <w:right w:val="none" w:sz="0" w:space="0" w:color="auto"/>
      </w:divBdr>
      <w:divsChild>
        <w:div w:id="2108035429">
          <w:marLeft w:val="0"/>
          <w:marRight w:val="0"/>
          <w:marTop w:val="0"/>
          <w:marBottom w:val="0"/>
          <w:divBdr>
            <w:top w:val="none" w:sz="0" w:space="0" w:color="auto"/>
            <w:left w:val="none" w:sz="0" w:space="0" w:color="auto"/>
            <w:bottom w:val="dotted" w:sz="6" w:space="4" w:color="DDDDDD"/>
            <w:right w:val="none" w:sz="0" w:space="0" w:color="auto"/>
          </w:divBdr>
        </w:div>
      </w:divsChild>
    </w:div>
    <w:div w:id="1508785089">
      <w:bodyDiv w:val="1"/>
      <w:marLeft w:val="0"/>
      <w:marRight w:val="0"/>
      <w:marTop w:val="0"/>
      <w:marBottom w:val="0"/>
      <w:divBdr>
        <w:top w:val="none" w:sz="0" w:space="0" w:color="auto"/>
        <w:left w:val="none" w:sz="0" w:space="0" w:color="auto"/>
        <w:bottom w:val="none" w:sz="0" w:space="0" w:color="auto"/>
        <w:right w:val="none" w:sz="0" w:space="0" w:color="auto"/>
      </w:divBdr>
      <w:divsChild>
        <w:div w:id="1225066012">
          <w:marLeft w:val="0"/>
          <w:marRight w:val="0"/>
          <w:marTop w:val="0"/>
          <w:marBottom w:val="0"/>
          <w:divBdr>
            <w:top w:val="none" w:sz="0" w:space="0" w:color="auto"/>
            <w:left w:val="none" w:sz="0" w:space="0" w:color="auto"/>
            <w:bottom w:val="none" w:sz="0" w:space="0" w:color="auto"/>
            <w:right w:val="none" w:sz="0" w:space="0" w:color="auto"/>
          </w:divBdr>
          <w:divsChild>
            <w:div w:id="258298557">
              <w:marLeft w:val="0"/>
              <w:marRight w:val="0"/>
              <w:marTop w:val="0"/>
              <w:marBottom w:val="0"/>
              <w:divBdr>
                <w:top w:val="none" w:sz="0" w:space="0" w:color="auto"/>
                <w:left w:val="none" w:sz="0" w:space="0" w:color="auto"/>
                <w:bottom w:val="none" w:sz="0" w:space="0" w:color="auto"/>
                <w:right w:val="none" w:sz="0" w:space="0" w:color="auto"/>
              </w:divBdr>
              <w:divsChild>
                <w:div w:id="897130525">
                  <w:marLeft w:val="0"/>
                  <w:marRight w:val="0"/>
                  <w:marTop w:val="0"/>
                  <w:marBottom w:val="0"/>
                  <w:divBdr>
                    <w:top w:val="none" w:sz="0" w:space="0" w:color="auto"/>
                    <w:left w:val="none" w:sz="0" w:space="0" w:color="auto"/>
                    <w:bottom w:val="none" w:sz="0" w:space="0" w:color="auto"/>
                    <w:right w:val="none" w:sz="0" w:space="0" w:color="auto"/>
                  </w:divBdr>
                  <w:divsChild>
                    <w:div w:id="506214031">
                      <w:marLeft w:val="0"/>
                      <w:marRight w:val="0"/>
                      <w:marTop w:val="0"/>
                      <w:marBottom w:val="0"/>
                      <w:divBdr>
                        <w:top w:val="none" w:sz="0" w:space="0" w:color="auto"/>
                        <w:left w:val="none" w:sz="0" w:space="0" w:color="auto"/>
                        <w:bottom w:val="none" w:sz="0" w:space="0" w:color="auto"/>
                        <w:right w:val="none" w:sz="0" w:space="0" w:color="auto"/>
                      </w:divBdr>
                      <w:divsChild>
                        <w:div w:id="1484392402">
                          <w:marLeft w:val="0"/>
                          <w:marRight w:val="0"/>
                          <w:marTop w:val="0"/>
                          <w:marBottom w:val="0"/>
                          <w:divBdr>
                            <w:top w:val="none" w:sz="0" w:space="0" w:color="auto"/>
                            <w:left w:val="none" w:sz="0" w:space="0" w:color="auto"/>
                            <w:bottom w:val="none" w:sz="0" w:space="0" w:color="auto"/>
                            <w:right w:val="none" w:sz="0" w:space="0" w:color="auto"/>
                          </w:divBdr>
                          <w:divsChild>
                            <w:div w:id="1528712606">
                              <w:marLeft w:val="0"/>
                              <w:marRight w:val="0"/>
                              <w:marTop w:val="0"/>
                              <w:marBottom w:val="0"/>
                              <w:divBdr>
                                <w:top w:val="none" w:sz="0" w:space="0" w:color="auto"/>
                                <w:left w:val="none" w:sz="0" w:space="0" w:color="auto"/>
                                <w:bottom w:val="none" w:sz="0" w:space="0" w:color="auto"/>
                                <w:right w:val="none" w:sz="0" w:space="0" w:color="auto"/>
                              </w:divBdr>
                              <w:divsChild>
                                <w:div w:id="110321146">
                                  <w:marLeft w:val="0"/>
                                  <w:marRight w:val="0"/>
                                  <w:marTop w:val="0"/>
                                  <w:marBottom w:val="0"/>
                                  <w:divBdr>
                                    <w:top w:val="none" w:sz="0" w:space="0" w:color="auto"/>
                                    <w:left w:val="none" w:sz="0" w:space="0" w:color="auto"/>
                                    <w:bottom w:val="none" w:sz="0" w:space="0" w:color="auto"/>
                                    <w:right w:val="none" w:sz="0" w:space="0" w:color="auto"/>
                                  </w:divBdr>
                                  <w:divsChild>
                                    <w:div w:id="198885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8866394">
      <w:bodyDiv w:val="1"/>
      <w:marLeft w:val="0"/>
      <w:marRight w:val="0"/>
      <w:marTop w:val="0"/>
      <w:marBottom w:val="0"/>
      <w:divBdr>
        <w:top w:val="none" w:sz="0" w:space="0" w:color="auto"/>
        <w:left w:val="none" w:sz="0" w:space="0" w:color="auto"/>
        <w:bottom w:val="none" w:sz="0" w:space="0" w:color="auto"/>
        <w:right w:val="none" w:sz="0" w:space="0" w:color="auto"/>
      </w:divBdr>
      <w:divsChild>
        <w:div w:id="1469207279">
          <w:marLeft w:val="0"/>
          <w:marRight w:val="0"/>
          <w:marTop w:val="0"/>
          <w:marBottom w:val="0"/>
          <w:divBdr>
            <w:top w:val="none" w:sz="0" w:space="0" w:color="auto"/>
            <w:left w:val="none" w:sz="0" w:space="0" w:color="auto"/>
            <w:bottom w:val="none" w:sz="0" w:space="0" w:color="auto"/>
            <w:right w:val="none" w:sz="0" w:space="0" w:color="auto"/>
          </w:divBdr>
        </w:div>
        <w:div w:id="1088581545">
          <w:marLeft w:val="0"/>
          <w:marRight w:val="0"/>
          <w:marTop w:val="0"/>
          <w:marBottom w:val="0"/>
          <w:divBdr>
            <w:top w:val="none" w:sz="0" w:space="0" w:color="auto"/>
            <w:left w:val="none" w:sz="0" w:space="0" w:color="auto"/>
            <w:bottom w:val="none" w:sz="0" w:space="0" w:color="auto"/>
            <w:right w:val="none" w:sz="0" w:space="0" w:color="auto"/>
          </w:divBdr>
          <w:divsChild>
            <w:div w:id="90330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439533">
      <w:bodyDiv w:val="1"/>
      <w:marLeft w:val="0"/>
      <w:marRight w:val="0"/>
      <w:marTop w:val="0"/>
      <w:marBottom w:val="0"/>
      <w:divBdr>
        <w:top w:val="none" w:sz="0" w:space="0" w:color="auto"/>
        <w:left w:val="none" w:sz="0" w:space="0" w:color="auto"/>
        <w:bottom w:val="none" w:sz="0" w:space="0" w:color="auto"/>
        <w:right w:val="none" w:sz="0" w:space="0" w:color="auto"/>
      </w:divBdr>
      <w:divsChild>
        <w:div w:id="1460953625">
          <w:marLeft w:val="0"/>
          <w:marRight w:val="0"/>
          <w:marTop w:val="0"/>
          <w:marBottom w:val="450"/>
          <w:divBdr>
            <w:top w:val="none" w:sz="0" w:space="0" w:color="auto"/>
            <w:left w:val="none" w:sz="0" w:space="0" w:color="auto"/>
            <w:bottom w:val="single" w:sz="6" w:space="19" w:color="EEEEEE"/>
            <w:right w:val="none" w:sz="0" w:space="0" w:color="auto"/>
          </w:divBdr>
          <w:divsChild>
            <w:div w:id="869607922">
              <w:marLeft w:val="0"/>
              <w:marRight w:val="0"/>
              <w:marTop w:val="0"/>
              <w:marBottom w:val="150"/>
              <w:divBdr>
                <w:top w:val="none" w:sz="0" w:space="0" w:color="auto"/>
                <w:left w:val="none" w:sz="0" w:space="0" w:color="auto"/>
                <w:bottom w:val="none" w:sz="0" w:space="0" w:color="auto"/>
                <w:right w:val="none" w:sz="0" w:space="0" w:color="auto"/>
              </w:divBdr>
              <w:divsChild>
                <w:div w:id="2032877814">
                  <w:marLeft w:val="0"/>
                  <w:marRight w:val="0"/>
                  <w:marTop w:val="0"/>
                  <w:marBottom w:val="0"/>
                  <w:divBdr>
                    <w:top w:val="none" w:sz="0" w:space="0" w:color="auto"/>
                    <w:left w:val="none" w:sz="0" w:space="0" w:color="auto"/>
                    <w:bottom w:val="none" w:sz="0" w:space="0" w:color="auto"/>
                    <w:right w:val="none" w:sz="0" w:space="0" w:color="auto"/>
                  </w:divBdr>
                </w:div>
              </w:divsChild>
            </w:div>
            <w:div w:id="913976002">
              <w:marLeft w:val="0"/>
              <w:marRight w:val="0"/>
              <w:marTop w:val="0"/>
              <w:marBottom w:val="0"/>
              <w:divBdr>
                <w:top w:val="none" w:sz="0" w:space="0" w:color="auto"/>
                <w:left w:val="none" w:sz="0" w:space="0" w:color="auto"/>
                <w:bottom w:val="none" w:sz="0" w:space="0" w:color="auto"/>
                <w:right w:val="none" w:sz="0" w:space="0" w:color="auto"/>
              </w:divBdr>
            </w:div>
          </w:divsChild>
        </w:div>
        <w:div w:id="2010402016">
          <w:marLeft w:val="0"/>
          <w:marRight w:val="0"/>
          <w:marTop w:val="0"/>
          <w:marBottom w:val="0"/>
          <w:divBdr>
            <w:top w:val="none" w:sz="0" w:space="0" w:color="auto"/>
            <w:left w:val="none" w:sz="0" w:space="0" w:color="auto"/>
            <w:bottom w:val="none" w:sz="0" w:space="0" w:color="auto"/>
            <w:right w:val="none" w:sz="0" w:space="0" w:color="auto"/>
          </w:divBdr>
          <w:divsChild>
            <w:div w:id="1304432614">
              <w:marLeft w:val="0"/>
              <w:marRight w:val="0"/>
              <w:marTop w:val="0"/>
              <w:marBottom w:val="0"/>
              <w:divBdr>
                <w:top w:val="none" w:sz="0" w:space="0" w:color="auto"/>
                <w:left w:val="none" w:sz="0" w:space="0" w:color="auto"/>
                <w:bottom w:val="none" w:sz="0" w:space="0" w:color="auto"/>
                <w:right w:val="none" w:sz="0" w:space="0" w:color="auto"/>
              </w:divBdr>
              <w:divsChild>
                <w:div w:id="71258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522899">
      <w:bodyDiv w:val="1"/>
      <w:marLeft w:val="0"/>
      <w:marRight w:val="0"/>
      <w:marTop w:val="0"/>
      <w:marBottom w:val="0"/>
      <w:divBdr>
        <w:top w:val="none" w:sz="0" w:space="0" w:color="auto"/>
        <w:left w:val="none" w:sz="0" w:space="0" w:color="auto"/>
        <w:bottom w:val="none" w:sz="0" w:space="0" w:color="auto"/>
        <w:right w:val="none" w:sz="0" w:space="0" w:color="auto"/>
      </w:divBdr>
      <w:divsChild>
        <w:div w:id="827942868">
          <w:marLeft w:val="0"/>
          <w:marRight w:val="0"/>
          <w:marTop w:val="0"/>
          <w:marBottom w:val="150"/>
          <w:divBdr>
            <w:top w:val="none" w:sz="0" w:space="0" w:color="auto"/>
            <w:left w:val="none" w:sz="0" w:space="0" w:color="auto"/>
            <w:bottom w:val="none" w:sz="0" w:space="0" w:color="auto"/>
            <w:right w:val="none" w:sz="0" w:space="0" w:color="auto"/>
          </w:divBdr>
        </w:div>
        <w:div w:id="1638603950">
          <w:marLeft w:val="0"/>
          <w:marRight w:val="0"/>
          <w:marTop w:val="0"/>
          <w:marBottom w:val="0"/>
          <w:divBdr>
            <w:top w:val="none" w:sz="0" w:space="0" w:color="auto"/>
            <w:left w:val="none" w:sz="0" w:space="0" w:color="auto"/>
            <w:bottom w:val="none" w:sz="0" w:space="0" w:color="auto"/>
            <w:right w:val="none" w:sz="0" w:space="0" w:color="auto"/>
          </w:divBdr>
          <w:divsChild>
            <w:div w:id="1905679095">
              <w:marLeft w:val="0"/>
              <w:marRight w:val="0"/>
              <w:marTop w:val="0"/>
              <w:marBottom w:val="0"/>
              <w:divBdr>
                <w:top w:val="none" w:sz="0" w:space="0" w:color="auto"/>
                <w:left w:val="none" w:sz="0" w:space="0" w:color="auto"/>
                <w:bottom w:val="none" w:sz="0" w:space="0" w:color="auto"/>
                <w:right w:val="none" w:sz="0" w:space="0" w:color="auto"/>
              </w:divBdr>
            </w:div>
          </w:divsChild>
        </w:div>
        <w:div w:id="1687830684">
          <w:marLeft w:val="0"/>
          <w:marRight w:val="0"/>
          <w:marTop w:val="0"/>
          <w:marBottom w:val="150"/>
          <w:divBdr>
            <w:top w:val="none" w:sz="0" w:space="0" w:color="auto"/>
            <w:left w:val="none" w:sz="0" w:space="0" w:color="auto"/>
            <w:bottom w:val="none" w:sz="0" w:space="0" w:color="auto"/>
            <w:right w:val="none" w:sz="0" w:space="0" w:color="auto"/>
          </w:divBdr>
          <w:divsChild>
            <w:div w:id="55956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171667">
      <w:bodyDiv w:val="1"/>
      <w:marLeft w:val="0"/>
      <w:marRight w:val="0"/>
      <w:marTop w:val="0"/>
      <w:marBottom w:val="0"/>
      <w:divBdr>
        <w:top w:val="none" w:sz="0" w:space="0" w:color="auto"/>
        <w:left w:val="none" w:sz="0" w:space="0" w:color="auto"/>
        <w:bottom w:val="none" w:sz="0" w:space="0" w:color="auto"/>
        <w:right w:val="none" w:sz="0" w:space="0" w:color="auto"/>
      </w:divBdr>
      <w:divsChild>
        <w:div w:id="1397170617">
          <w:marLeft w:val="0"/>
          <w:marRight w:val="0"/>
          <w:marTop w:val="0"/>
          <w:marBottom w:val="0"/>
          <w:divBdr>
            <w:top w:val="none" w:sz="0" w:space="0" w:color="auto"/>
            <w:left w:val="none" w:sz="0" w:space="0" w:color="auto"/>
            <w:bottom w:val="dotted" w:sz="6" w:space="4" w:color="DDDDDD"/>
            <w:right w:val="none" w:sz="0" w:space="0" w:color="auto"/>
          </w:divBdr>
        </w:div>
      </w:divsChild>
    </w:div>
    <w:div w:id="1510287691">
      <w:bodyDiv w:val="1"/>
      <w:marLeft w:val="0"/>
      <w:marRight w:val="0"/>
      <w:marTop w:val="0"/>
      <w:marBottom w:val="0"/>
      <w:divBdr>
        <w:top w:val="none" w:sz="0" w:space="0" w:color="auto"/>
        <w:left w:val="none" w:sz="0" w:space="0" w:color="auto"/>
        <w:bottom w:val="none" w:sz="0" w:space="0" w:color="auto"/>
        <w:right w:val="none" w:sz="0" w:space="0" w:color="auto"/>
      </w:divBdr>
      <w:divsChild>
        <w:div w:id="912474986">
          <w:marLeft w:val="0"/>
          <w:marRight w:val="0"/>
          <w:marTop w:val="0"/>
          <w:marBottom w:val="0"/>
          <w:divBdr>
            <w:top w:val="none" w:sz="0" w:space="0" w:color="auto"/>
            <w:left w:val="none" w:sz="0" w:space="0" w:color="auto"/>
            <w:bottom w:val="none" w:sz="0" w:space="0" w:color="auto"/>
            <w:right w:val="none" w:sz="0" w:space="0" w:color="auto"/>
          </w:divBdr>
          <w:divsChild>
            <w:div w:id="940794384">
              <w:marLeft w:val="0"/>
              <w:marRight w:val="0"/>
              <w:marTop w:val="0"/>
              <w:marBottom w:val="0"/>
              <w:divBdr>
                <w:top w:val="none" w:sz="0" w:space="0" w:color="auto"/>
                <w:left w:val="none" w:sz="0" w:space="0" w:color="auto"/>
                <w:bottom w:val="none" w:sz="0" w:space="0" w:color="auto"/>
                <w:right w:val="none" w:sz="0" w:space="0" w:color="auto"/>
              </w:divBdr>
              <w:divsChild>
                <w:div w:id="1531333078">
                  <w:marLeft w:val="0"/>
                  <w:marRight w:val="0"/>
                  <w:marTop w:val="0"/>
                  <w:marBottom w:val="0"/>
                  <w:divBdr>
                    <w:top w:val="none" w:sz="0" w:space="0" w:color="auto"/>
                    <w:left w:val="none" w:sz="0" w:space="0" w:color="auto"/>
                    <w:bottom w:val="none" w:sz="0" w:space="0" w:color="auto"/>
                    <w:right w:val="none" w:sz="0" w:space="0" w:color="auto"/>
                  </w:divBdr>
                  <w:divsChild>
                    <w:div w:id="328410771">
                      <w:marLeft w:val="0"/>
                      <w:marRight w:val="0"/>
                      <w:marTop w:val="0"/>
                      <w:marBottom w:val="0"/>
                      <w:divBdr>
                        <w:top w:val="none" w:sz="0" w:space="0" w:color="auto"/>
                        <w:left w:val="none" w:sz="0" w:space="0" w:color="auto"/>
                        <w:bottom w:val="none" w:sz="0" w:space="0" w:color="auto"/>
                        <w:right w:val="none" w:sz="0" w:space="0" w:color="auto"/>
                      </w:divBdr>
                      <w:divsChild>
                        <w:div w:id="766265573">
                          <w:marLeft w:val="0"/>
                          <w:marRight w:val="0"/>
                          <w:marTop w:val="0"/>
                          <w:marBottom w:val="0"/>
                          <w:divBdr>
                            <w:top w:val="none" w:sz="0" w:space="0" w:color="auto"/>
                            <w:left w:val="none" w:sz="0" w:space="0" w:color="auto"/>
                            <w:bottom w:val="none" w:sz="0" w:space="0" w:color="auto"/>
                            <w:right w:val="none" w:sz="0" w:space="0" w:color="auto"/>
                          </w:divBdr>
                          <w:divsChild>
                            <w:div w:id="701635544">
                              <w:marLeft w:val="0"/>
                              <w:marRight w:val="225"/>
                              <w:marTop w:val="0"/>
                              <w:marBottom w:val="0"/>
                              <w:divBdr>
                                <w:top w:val="none" w:sz="0" w:space="0" w:color="auto"/>
                                <w:left w:val="none" w:sz="0" w:space="0" w:color="auto"/>
                                <w:bottom w:val="none" w:sz="0" w:space="0" w:color="auto"/>
                                <w:right w:val="none" w:sz="0" w:space="0" w:color="auto"/>
                              </w:divBdr>
                              <w:divsChild>
                                <w:div w:id="335810515">
                                  <w:marLeft w:val="0"/>
                                  <w:marRight w:val="0"/>
                                  <w:marTop w:val="0"/>
                                  <w:marBottom w:val="0"/>
                                  <w:divBdr>
                                    <w:top w:val="none" w:sz="0" w:space="0" w:color="auto"/>
                                    <w:left w:val="none" w:sz="0" w:space="0" w:color="auto"/>
                                    <w:bottom w:val="none" w:sz="0" w:space="0" w:color="auto"/>
                                    <w:right w:val="none" w:sz="0" w:space="0" w:color="auto"/>
                                  </w:divBdr>
                                  <w:divsChild>
                                    <w:div w:id="142483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362947">
      <w:bodyDiv w:val="1"/>
      <w:marLeft w:val="0"/>
      <w:marRight w:val="0"/>
      <w:marTop w:val="0"/>
      <w:marBottom w:val="0"/>
      <w:divBdr>
        <w:top w:val="none" w:sz="0" w:space="0" w:color="auto"/>
        <w:left w:val="none" w:sz="0" w:space="0" w:color="auto"/>
        <w:bottom w:val="none" w:sz="0" w:space="0" w:color="auto"/>
        <w:right w:val="none" w:sz="0" w:space="0" w:color="auto"/>
      </w:divBdr>
      <w:divsChild>
        <w:div w:id="237598731">
          <w:marLeft w:val="0"/>
          <w:marRight w:val="0"/>
          <w:marTop w:val="0"/>
          <w:marBottom w:val="180"/>
          <w:divBdr>
            <w:top w:val="none" w:sz="0" w:space="0" w:color="auto"/>
            <w:left w:val="none" w:sz="0" w:space="0" w:color="auto"/>
            <w:bottom w:val="none" w:sz="0" w:space="0" w:color="auto"/>
            <w:right w:val="none" w:sz="0" w:space="0" w:color="auto"/>
          </w:divBdr>
        </w:div>
      </w:divsChild>
    </w:div>
    <w:div w:id="1510482749">
      <w:bodyDiv w:val="1"/>
      <w:marLeft w:val="0"/>
      <w:marRight w:val="0"/>
      <w:marTop w:val="0"/>
      <w:marBottom w:val="0"/>
      <w:divBdr>
        <w:top w:val="none" w:sz="0" w:space="0" w:color="auto"/>
        <w:left w:val="none" w:sz="0" w:space="0" w:color="auto"/>
        <w:bottom w:val="none" w:sz="0" w:space="0" w:color="auto"/>
        <w:right w:val="none" w:sz="0" w:space="0" w:color="auto"/>
      </w:divBdr>
      <w:divsChild>
        <w:div w:id="1845388634">
          <w:marLeft w:val="0"/>
          <w:marRight w:val="0"/>
          <w:marTop w:val="0"/>
          <w:marBottom w:val="0"/>
          <w:divBdr>
            <w:top w:val="none" w:sz="0" w:space="0" w:color="auto"/>
            <w:left w:val="none" w:sz="0" w:space="0" w:color="auto"/>
            <w:bottom w:val="none" w:sz="0" w:space="0" w:color="auto"/>
            <w:right w:val="none" w:sz="0" w:space="0" w:color="auto"/>
          </w:divBdr>
        </w:div>
      </w:divsChild>
    </w:div>
    <w:div w:id="1512328939">
      <w:bodyDiv w:val="1"/>
      <w:marLeft w:val="0"/>
      <w:marRight w:val="0"/>
      <w:marTop w:val="0"/>
      <w:marBottom w:val="0"/>
      <w:divBdr>
        <w:top w:val="none" w:sz="0" w:space="0" w:color="auto"/>
        <w:left w:val="none" w:sz="0" w:space="0" w:color="auto"/>
        <w:bottom w:val="none" w:sz="0" w:space="0" w:color="auto"/>
        <w:right w:val="none" w:sz="0" w:space="0" w:color="auto"/>
      </w:divBdr>
    </w:div>
    <w:div w:id="1512527342">
      <w:bodyDiv w:val="1"/>
      <w:marLeft w:val="0"/>
      <w:marRight w:val="0"/>
      <w:marTop w:val="0"/>
      <w:marBottom w:val="0"/>
      <w:divBdr>
        <w:top w:val="none" w:sz="0" w:space="0" w:color="auto"/>
        <w:left w:val="none" w:sz="0" w:space="0" w:color="auto"/>
        <w:bottom w:val="none" w:sz="0" w:space="0" w:color="auto"/>
        <w:right w:val="none" w:sz="0" w:space="0" w:color="auto"/>
      </w:divBdr>
      <w:divsChild>
        <w:div w:id="377247080">
          <w:marLeft w:val="0"/>
          <w:marRight w:val="0"/>
          <w:marTop w:val="0"/>
          <w:marBottom w:val="0"/>
          <w:divBdr>
            <w:top w:val="none" w:sz="0" w:space="0" w:color="auto"/>
            <w:left w:val="none" w:sz="0" w:space="0" w:color="auto"/>
            <w:bottom w:val="none" w:sz="0" w:space="0" w:color="auto"/>
            <w:right w:val="none" w:sz="0" w:space="0" w:color="auto"/>
          </w:divBdr>
        </w:div>
        <w:div w:id="526062284">
          <w:marLeft w:val="0"/>
          <w:marRight w:val="150"/>
          <w:marTop w:val="0"/>
          <w:marBottom w:val="0"/>
          <w:divBdr>
            <w:top w:val="none" w:sz="0" w:space="0" w:color="auto"/>
            <w:left w:val="none" w:sz="0" w:space="0" w:color="auto"/>
            <w:bottom w:val="none" w:sz="0" w:space="0" w:color="auto"/>
            <w:right w:val="none" w:sz="0" w:space="0" w:color="auto"/>
          </w:divBdr>
        </w:div>
        <w:div w:id="1638103221">
          <w:marLeft w:val="0"/>
          <w:marRight w:val="0"/>
          <w:marTop w:val="0"/>
          <w:marBottom w:val="0"/>
          <w:divBdr>
            <w:top w:val="none" w:sz="0" w:space="0" w:color="auto"/>
            <w:left w:val="none" w:sz="0" w:space="0" w:color="auto"/>
            <w:bottom w:val="none" w:sz="0" w:space="0" w:color="auto"/>
            <w:right w:val="none" w:sz="0" w:space="0" w:color="auto"/>
          </w:divBdr>
        </w:div>
      </w:divsChild>
    </w:div>
    <w:div w:id="1512792547">
      <w:bodyDiv w:val="1"/>
      <w:marLeft w:val="0"/>
      <w:marRight w:val="0"/>
      <w:marTop w:val="0"/>
      <w:marBottom w:val="0"/>
      <w:divBdr>
        <w:top w:val="none" w:sz="0" w:space="0" w:color="auto"/>
        <w:left w:val="none" w:sz="0" w:space="0" w:color="auto"/>
        <w:bottom w:val="none" w:sz="0" w:space="0" w:color="auto"/>
        <w:right w:val="none" w:sz="0" w:space="0" w:color="auto"/>
      </w:divBdr>
    </w:div>
    <w:div w:id="1513182537">
      <w:bodyDiv w:val="1"/>
      <w:marLeft w:val="0"/>
      <w:marRight w:val="0"/>
      <w:marTop w:val="0"/>
      <w:marBottom w:val="0"/>
      <w:divBdr>
        <w:top w:val="none" w:sz="0" w:space="0" w:color="auto"/>
        <w:left w:val="none" w:sz="0" w:space="0" w:color="auto"/>
        <w:bottom w:val="none" w:sz="0" w:space="0" w:color="auto"/>
        <w:right w:val="none" w:sz="0" w:space="0" w:color="auto"/>
      </w:divBdr>
      <w:divsChild>
        <w:div w:id="1804881464">
          <w:marLeft w:val="0"/>
          <w:marRight w:val="0"/>
          <w:marTop w:val="0"/>
          <w:marBottom w:val="0"/>
          <w:divBdr>
            <w:top w:val="none" w:sz="0" w:space="0" w:color="auto"/>
            <w:left w:val="none" w:sz="0" w:space="0" w:color="auto"/>
            <w:bottom w:val="none" w:sz="0" w:space="0" w:color="auto"/>
            <w:right w:val="none" w:sz="0" w:space="0" w:color="auto"/>
          </w:divBdr>
          <w:divsChild>
            <w:div w:id="2081168679">
              <w:marLeft w:val="0"/>
              <w:marRight w:val="0"/>
              <w:marTop w:val="0"/>
              <w:marBottom w:val="0"/>
              <w:divBdr>
                <w:top w:val="none" w:sz="0" w:space="0" w:color="auto"/>
                <w:left w:val="none" w:sz="0" w:space="0" w:color="auto"/>
                <w:bottom w:val="none" w:sz="0" w:space="0" w:color="auto"/>
                <w:right w:val="none" w:sz="0" w:space="0" w:color="auto"/>
              </w:divBdr>
              <w:divsChild>
                <w:div w:id="374740453">
                  <w:marLeft w:val="0"/>
                  <w:marRight w:val="0"/>
                  <w:marTop w:val="0"/>
                  <w:marBottom w:val="0"/>
                  <w:divBdr>
                    <w:top w:val="none" w:sz="0" w:space="0" w:color="auto"/>
                    <w:left w:val="none" w:sz="0" w:space="0" w:color="auto"/>
                    <w:bottom w:val="none" w:sz="0" w:space="0" w:color="auto"/>
                    <w:right w:val="none" w:sz="0" w:space="0" w:color="auto"/>
                  </w:divBdr>
                  <w:divsChild>
                    <w:div w:id="149833690">
                      <w:marLeft w:val="0"/>
                      <w:marRight w:val="0"/>
                      <w:marTop w:val="0"/>
                      <w:marBottom w:val="0"/>
                      <w:divBdr>
                        <w:top w:val="none" w:sz="0" w:space="0" w:color="auto"/>
                        <w:left w:val="none" w:sz="0" w:space="0" w:color="auto"/>
                        <w:bottom w:val="none" w:sz="0" w:space="0" w:color="auto"/>
                        <w:right w:val="none" w:sz="0" w:space="0" w:color="auto"/>
                      </w:divBdr>
                      <w:divsChild>
                        <w:div w:id="285081827">
                          <w:marLeft w:val="0"/>
                          <w:marRight w:val="0"/>
                          <w:marTop w:val="0"/>
                          <w:marBottom w:val="0"/>
                          <w:divBdr>
                            <w:top w:val="none" w:sz="0" w:space="0" w:color="auto"/>
                            <w:left w:val="none" w:sz="0" w:space="0" w:color="auto"/>
                            <w:bottom w:val="none" w:sz="0" w:space="0" w:color="auto"/>
                            <w:right w:val="none" w:sz="0" w:space="0" w:color="auto"/>
                          </w:divBdr>
                          <w:divsChild>
                            <w:div w:id="2079133010">
                              <w:marLeft w:val="0"/>
                              <w:marRight w:val="0"/>
                              <w:marTop w:val="0"/>
                              <w:marBottom w:val="0"/>
                              <w:divBdr>
                                <w:top w:val="none" w:sz="0" w:space="0" w:color="auto"/>
                                <w:left w:val="none" w:sz="0" w:space="0" w:color="auto"/>
                                <w:bottom w:val="none" w:sz="0" w:space="0" w:color="auto"/>
                                <w:right w:val="none" w:sz="0" w:space="0" w:color="auto"/>
                              </w:divBdr>
                              <w:divsChild>
                                <w:div w:id="337276355">
                                  <w:marLeft w:val="0"/>
                                  <w:marRight w:val="0"/>
                                  <w:marTop w:val="0"/>
                                  <w:marBottom w:val="0"/>
                                  <w:divBdr>
                                    <w:top w:val="none" w:sz="0" w:space="0" w:color="auto"/>
                                    <w:left w:val="none" w:sz="0" w:space="0" w:color="auto"/>
                                    <w:bottom w:val="none" w:sz="0" w:space="0" w:color="auto"/>
                                    <w:right w:val="none" w:sz="0" w:space="0" w:color="auto"/>
                                  </w:divBdr>
                                  <w:divsChild>
                                    <w:div w:id="1963532784">
                                      <w:marLeft w:val="0"/>
                                      <w:marRight w:val="0"/>
                                      <w:marTop w:val="0"/>
                                      <w:marBottom w:val="0"/>
                                      <w:divBdr>
                                        <w:top w:val="none" w:sz="0" w:space="0" w:color="auto"/>
                                        <w:left w:val="none" w:sz="0" w:space="0" w:color="auto"/>
                                        <w:bottom w:val="none" w:sz="0" w:space="0" w:color="auto"/>
                                        <w:right w:val="none" w:sz="0" w:space="0" w:color="auto"/>
                                      </w:divBdr>
                                      <w:divsChild>
                                        <w:div w:id="94693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3184648">
      <w:bodyDiv w:val="1"/>
      <w:marLeft w:val="0"/>
      <w:marRight w:val="0"/>
      <w:marTop w:val="0"/>
      <w:marBottom w:val="0"/>
      <w:divBdr>
        <w:top w:val="none" w:sz="0" w:space="0" w:color="auto"/>
        <w:left w:val="none" w:sz="0" w:space="0" w:color="auto"/>
        <w:bottom w:val="none" w:sz="0" w:space="0" w:color="auto"/>
        <w:right w:val="none" w:sz="0" w:space="0" w:color="auto"/>
      </w:divBdr>
      <w:divsChild>
        <w:div w:id="1478959515">
          <w:marLeft w:val="0"/>
          <w:marRight w:val="0"/>
          <w:marTop w:val="0"/>
          <w:marBottom w:val="0"/>
          <w:divBdr>
            <w:top w:val="none" w:sz="0" w:space="0" w:color="auto"/>
            <w:left w:val="none" w:sz="0" w:space="0" w:color="auto"/>
            <w:bottom w:val="dotted" w:sz="6" w:space="4" w:color="DDDDDD"/>
            <w:right w:val="none" w:sz="0" w:space="0" w:color="auto"/>
          </w:divBdr>
        </w:div>
      </w:divsChild>
    </w:div>
    <w:div w:id="1513252669">
      <w:bodyDiv w:val="1"/>
      <w:marLeft w:val="0"/>
      <w:marRight w:val="0"/>
      <w:marTop w:val="0"/>
      <w:marBottom w:val="0"/>
      <w:divBdr>
        <w:top w:val="none" w:sz="0" w:space="0" w:color="auto"/>
        <w:left w:val="none" w:sz="0" w:space="0" w:color="auto"/>
        <w:bottom w:val="none" w:sz="0" w:space="0" w:color="auto"/>
        <w:right w:val="none" w:sz="0" w:space="0" w:color="auto"/>
      </w:divBdr>
      <w:divsChild>
        <w:div w:id="1021010363">
          <w:marLeft w:val="0"/>
          <w:marRight w:val="0"/>
          <w:marTop w:val="0"/>
          <w:marBottom w:val="0"/>
          <w:divBdr>
            <w:top w:val="none" w:sz="0" w:space="0" w:color="auto"/>
            <w:left w:val="none" w:sz="0" w:space="0" w:color="auto"/>
            <w:bottom w:val="none" w:sz="0" w:space="0" w:color="auto"/>
            <w:right w:val="none" w:sz="0" w:space="0" w:color="auto"/>
          </w:divBdr>
          <w:divsChild>
            <w:div w:id="733893930">
              <w:marLeft w:val="0"/>
              <w:marRight w:val="0"/>
              <w:marTop w:val="0"/>
              <w:marBottom w:val="0"/>
              <w:divBdr>
                <w:top w:val="none" w:sz="0" w:space="0" w:color="auto"/>
                <w:left w:val="none" w:sz="0" w:space="0" w:color="auto"/>
                <w:bottom w:val="none" w:sz="0" w:space="0" w:color="auto"/>
                <w:right w:val="none" w:sz="0" w:space="0" w:color="auto"/>
              </w:divBdr>
              <w:divsChild>
                <w:div w:id="90516798">
                  <w:marLeft w:val="0"/>
                  <w:marRight w:val="0"/>
                  <w:marTop w:val="0"/>
                  <w:marBottom w:val="0"/>
                  <w:divBdr>
                    <w:top w:val="none" w:sz="0" w:space="0" w:color="auto"/>
                    <w:left w:val="none" w:sz="0" w:space="0" w:color="auto"/>
                    <w:bottom w:val="none" w:sz="0" w:space="0" w:color="auto"/>
                    <w:right w:val="none" w:sz="0" w:space="0" w:color="auto"/>
                  </w:divBdr>
                  <w:divsChild>
                    <w:div w:id="1895657190">
                      <w:marLeft w:val="0"/>
                      <w:marRight w:val="0"/>
                      <w:marTop w:val="0"/>
                      <w:marBottom w:val="0"/>
                      <w:divBdr>
                        <w:top w:val="none" w:sz="0" w:space="0" w:color="auto"/>
                        <w:left w:val="none" w:sz="0" w:space="0" w:color="auto"/>
                        <w:bottom w:val="none" w:sz="0" w:space="0" w:color="auto"/>
                        <w:right w:val="none" w:sz="0" w:space="0" w:color="auto"/>
                      </w:divBdr>
                      <w:divsChild>
                        <w:div w:id="127600173">
                          <w:marLeft w:val="0"/>
                          <w:marRight w:val="0"/>
                          <w:marTop w:val="0"/>
                          <w:marBottom w:val="0"/>
                          <w:divBdr>
                            <w:top w:val="none" w:sz="0" w:space="0" w:color="auto"/>
                            <w:left w:val="none" w:sz="0" w:space="0" w:color="auto"/>
                            <w:bottom w:val="none" w:sz="0" w:space="0" w:color="auto"/>
                            <w:right w:val="none" w:sz="0" w:space="0" w:color="auto"/>
                          </w:divBdr>
                          <w:divsChild>
                            <w:div w:id="800534608">
                              <w:marLeft w:val="0"/>
                              <w:marRight w:val="0"/>
                              <w:marTop w:val="0"/>
                              <w:marBottom w:val="0"/>
                              <w:divBdr>
                                <w:top w:val="none" w:sz="0" w:space="0" w:color="auto"/>
                                <w:left w:val="none" w:sz="0" w:space="0" w:color="auto"/>
                                <w:bottom w:val="none" w:sz="0" w:space="0" w:color="auto"/>
                                <w:right w:val="none" w:sz="0" w:space="0" w:color="auto"/>
                              </w:divBdr>
                              <w:divsChild>
                                <w:div w:id="1586068069">
                                  <w:marLeft w:val="0"/>
                                  <w:marRight w:val="0"/>
                                  <w:marTop w:val="0"/>
                                  <w:marBottom w:val="0"/>
                                  <w:divBdr>
                                    <w:top w:val="none" w:sz="0" w:space="0" w:color="auto"/>
                                    <w:left w:val="none" w:sz="0" w:space="0" w:color="auto"/>
                                    <w:bottom w:val="none" w:sz="0" w:space="0" w:color="auto"/>
                                    <w:right w:val="none" w:sz="0" w:space="0" w:color="auto"/>
                                  </w:divBdr>
                                  <w:divsChild>
                                    <w:div w:id="1112898931">
                                      <w:marLeft w:val="0"/>
                                      <w:marRight w:val="0"/>
                                      <w:marTop w:val="0"/>
                                      <w:marBottom w:val="0"/>
                                      <w:divBdr>
                                        <w:top w:val="none" w:sz="0" w:space="0" w:color="auto"/>
                                        <w:left w:val="none" w:sz="0" w:space="0" w:color="auto"/>
                                        <w:bottom w:val="none" w:sz="0" w:space="0" w:color="auto"/>
                                        <w:right w:val="none" w:sz="0" w:space="0" w:color="auto"/>
                                      </w:divBdr>
                                      <w:divsChild>
                                        <w:div w:id="622200347">
                                          <w:marLeft w:val="0"/>
                                          <w:marRight w:val="0"/>
                                          <w:marTop w:val="0"/>
                                          <w:marBottom w:val="0"/>
                                          <w:divBdr>
                                            <w:top w:val="none" w:sz="0" w:space="0" w:color="auto"/>
                                            <w:left w:val="none" w:sz="0" w:space="0" w:color="auto"/>
                                            <w:bottom w:val="none" w:sz="0" w:space="0" w:color="auto"/>
                                            <w:right w:val="none" w:sz="0" w:space="0" w:color="auto"/>
                                          </w:divBdr>
                                          <w:divsChild>
                                            <w:div w:id="346754824">
                                              <w:marLeft w:val="0"/>
                                              <w:marRight w:val="0"/>
                                              <w:marTop w:val="0"/>
                                              <w:marBottom w:val="0"/>
                                              <w:divBdr>
                                                <w:top w:val="none" w:sz="0" w:space="0" w:color="auto"/>
                                                <w:left w:val="none" w:sz="0" w:space="0" w:color="auto"/>
                                                <w:bottom w:val="none" w:sz="0" w:space="0" w:color="auto"/>
                                                <w:right w:val="none" w:sz="0" w:space="0" w:color="auto"/>
                                              </w:divBdr>
                                              <w:divsChild>
                                                <w:div w:id="8619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3371043">
      <w:bodyDiv w:val="1"/>
      <w:marLeft w:val="0"/>
      <w:marRight w:val="0"/>
      <w:marTop w:val="0"/>
      <w:marBottom w:val="0"/>
      <w:divBdr>
        <w:top w:val="none" w:sz="0" w:space="0" w:color="auto"/>
        <w:left w:val="none" w:sz="0" w:space="0" w:color="auto"/>
        <w:bottom w:val="none" w:sz="0" w:space="0" w:color="auto"/>
        <w:right w:val="none" w:sz="0" w:space="0" w:color="auto"/>
      </w:divBdr>
      <w:divsChild>
        <w:div w:id="258878062">
          <w:marLeft w:val="0"/>
          <w:marRight w:val="0"/>
          <w:marTop w:val="0"/>
          <w:marBottom w:val="0"/>
          <w:divBdr>
            <w:top w:val="none" w:sz="0" w:space="0" w:color="auto"/>
            <w:left w:val="none" w:sz="0" w:space="0" w:color="auto"/>
            <w:bottom w:val="none" w:sz="0" w:space="0" w:color="auto"/>
            <w:right w:val="none" w:sz="0" w:space="0" w:color="auto"/>
          </w:divBdr>
          <w:divsChild>
            <w:div w:id="759331372">
              <w:marLeft w:val="0"/>
              <w:marRight w:val="0"/>
              <w:marTop w:val="0"/>
              <w:marBottom w:val="0"/>
              <w:divBdr>
                <w:top w:val="none" w:sz="0" w:space="0" w:color="auto"/>
                <w:left w:val="none" w:sz="0" w:space="0" w:color="auto"/>
                <w:bottom w:val="none" w:sz="0" w:space="0" w:color="auto"/>
                <w:right w:val="none" w:sz="0" w:space="0" w:color="auto"/>
              </w:divBdr>
              <w:divsChild>
                <w:div w:id="1068846143">
                  <w:marLeft w:val="0"/>
                  <w:marRight w:val="0"/>
                  <w:marTop w:val="120"/>
                  <w:marBottom w:val="0"/>
                  <w:divBdr>
                    <w:top w:val="none" w:sz="0" w:space="0" w:color="auto"/>
                    <w:left w:val="none" w:sz="0" w:space="0" w:color="auto"/>
                    <w:bottom w:val="none" w:sz="0" w:space="0" w:color="auto"/>
                    <w:right w:val="none" w:sz="0" w:space="0" w:color="auto"/>
                  </w:divBdr>
                  <w:divsChild>
                    <w:div w:id="899553777">
                      <w:marLeft w:val="0"/>
                      <w:marRight w:val="0"/>
                      <w:marTop w:val="2067"/>
                      <w:marBottom w:val="0"/>
                      <w:divBdr>
                        <w:top w:val="none" w:sz="0" w:space="0" w:color="auto"/>
                        <w:left w:val="none" w:sz="0" w:space="0" w:color="auto"/>
                        <w:bottom w:val="none" w:sz="0" w:space="0" w:color="auto"/>
                        <w:right w:val="none" w:sz="0" w:space="0" w:color="auto"/>
                      </w:divBdr>
                      <w:divsChild>
                        <w:div w:id="1169101126">
                          <w:marLeft w:val="0"/>
                          <w:marRight w:val="0"/>
                          <w:marTop w:val="0"/>
                          <w:marBottom w:val="0"/>
                          <w:divBdr>
                            <w:top w:val="none" w:sz="0" w:space="0" w:color="auto"/>
                            <w:left w:val="none" w:sz="0" w:space="0" w:color="auto"/>
                            <w:bottom w:val="none" w:sz="0" w:space="0" w:color="auto"/>
                            <w:right w:val="none" w:sz="0" w:space="0" w:color="auto"/>
                          </w:divBdr>
                          <w:divsChild>
                            <w:div w:id="1608653312">
                              <w:marLeft w:val="0"/>
                              <w:marRight w:val="0"/>
                              <w:marTop w:val="240"/>
                              <w:marBottom w:val="360"/>
                              <w:divBdr>
                                <w:top w:val="none" w:sz="0" w:space="0" w:color="auto"/>
                                <w:left w:val="none" w:sz="0" w:space="0" w:color="auto"/>
                                <w:bottom w:val="none" w:sz="0" w:space="0" w:color="auto"/>
                                <w:right w:val="none" w:sz="0" w:space="0" w:color="auto"/>
                              </w:divBdr>
                              <w:divsChild>
                                <w:div w:id="722680652">
                                  <w:marLeft w:val="0"/>
                                  <w:marRight w:val="0"/>
                                  <w:marTop w:val="0"/>
                                  <w:marBottom w:val="0"/>
                                  <w:divBdr>
                                    <w:top w:val="none" w:sz="0" w:space="0" w:color="auto"/>
                                    <w:left w:val="none" w:sz="0" w:space="0" w:color="auto"/>
                                    <w:bottom w:val="none" w:sz="0" w:space="0" w:color="auto"/>
                                    <w:right w:val="none" w:sz="0" w:space="0" w:color="auto"/>
                                  </w:divBdr>
                                </w:div>
                              </w:divsChild>
                            </w:div>
                            <w:div w:id="1688287116">
                              <w:marLeft w:val="0"/>
                              <w:marRight w:val="0"/>
                              <w:marTop w:val="0"/>
                              <w:marBottom w:val="0"/>
                              <w:divBdr>
                                <w:top w:val="none" w:sz="0" w:space="0" w:color="auto"/>
                                <w:left w:val="none" w:sz="0" w:space="0" w:color="auto"/>
                                <w:bottom w:val="none" w:sz="0" w:space="0" w:color="auto"/>
                                <w:right w:val="none" w:sz="0" w:space="0" w:color="auto"/>
                              </w:divBdr>
                              <w:divsChild>
                                <w:div w:id="2022854117">
                                  <w:marLeft w:val="0"/>
                                  <w:marRight w:val="0"/>
                                  <w:marTop w:val="51"/>
                                  <w:marBottom w:val="136"/>
                                  <w:divBdr>
                                    <w:top w:val="none" w:sz="0" w:space="0" w:color="auto"/>
                                    <w:left w:val="none" w:sz="0" w:space="0" w:color="auto"/>
                                    <w:bottom w:val="none" w:sz="0" w:space="0" w:color="auto"/>
                                    <w:right w:val="none" w:sz="0" w:space="0" w:color="auto"/>
                                  </w:divBdr>
                                  <w:divsChild>
                                    <w:div w:id="626130987">
                                      <w:marLeft w:val="0"/>
                                      <w:marRight w:val="0"/>
                                      <w:marTop w:val="0"/>
                                      <w:marBottom w:val="0"/>
                                      <w:divBdr>
                                        <w:top w:val="none" w:sz="0" w:space="0" w:color="auto"/>
                                        <w:left w:val="none" w:sz="0" w:space="0" w:color="auto"/>
                                        <w:bottom w:val="none" w:sz="0" w:space="0" w:color="auto"/>
                                        <w:right w:val="none" w:sz="0" w:space="0" w:color="auto"/>
                                      </w:divBdr>
                                      <w:divsChild>
                                        <w:div w:id="945696255">
                                          <w:marLeft w:val="0"/>
                                          <w:marRight w:val="51"/>
                                          <w:marTop w:val="0"/>
                                          <w:marBottom w:val="0"/>
                                          <w:divBdr>
                                            <w:top w:val="none" w:sz="0" w:space="0" w:color="auto"/>
                                            <w:left w:val="none" w:sz="0" w:space="0" w:color="auto"/>
                                            <w:bottom w:val="none" w:sz="0" w:space="0" w:color="auto"/>
                                            <w:right w:val="none" w:sz="0" w:space="0" w:color="auto"/>
                                          </w:divBdr>
                                        </w:div>
                                      </w:divsChild>
                                    </w:div>
                                    <w:div w:id="1817339569">
                                      <w:marLeft w:val="0"/>
                                      <w:marRight w:val="0"/>
                                      <w:marTop w:val="0"/>
                                      <w:marBottom w:val="0"/>
                                      <w:divBdr>
                                        <w:top w:val="none" w:sz="0" w:space="0" w:color="auto"/>
                                        <w:left w:val="none" w:sz="0" w:space="0" w:color="auto"/>
                                        <w:bottom w:val="none" w:sz="0" w:space="0" w:color="auto"/>
                                        <w:right w:val="none" w:sz="0" w:space="0" w:color="auto"/>
                                      </w:divBdr>
                                      <w:divsChild>
                                        <w:div w:id="2023124449">
                                          <w:marLeft w:val="0"/>
                                          <w:marRight w:val="51"/>
                                          <w:marTop w:val="0"/>
                                          <w:marBottom w:val="0"/>
                                          <w:divBdr>
                                            <w:top w:val="none" w:sz="0" w:space="0" w:color="auto"/>
                                            <w:left w:val="none" w:sz="0" w:space="0" w:color="auto"/>
                                            <w:bottom w:val="none" w:sz="0" w:space="0" w:color="auto"/>
                                            <w:right w:val="none" w:sz="0" w:space="0" w:color="auto"/>
                                          </w:divBdr>
                                        </w:div>
                                      </w:divsChild>
                                    </w:div>
                                  </w:divsChild>
                                </w:div>
                              </w:divsChild>
                            </w:div>
                            <w:div w:id="1790121333">
                              <w:marLeft w:val="915"/>
                              <w:marRight w:val="0"/>
                              <w:marTop w:val="0"/>
                              <w:marBottom w:val="0"/>
                              <w:divBdr>
                                <w:top w:val="none" w:sz="0" w:space="0" w:color="auto"/>
                                <w:left w:val="none" w:sz="0" w:space="0" w:color="auto"/>
                                <w:bottom w:val="none" w:sz="0" w:space="0" w:color="auto"/>
                                <w:right w:val="none" w:sz="0" w:space="0" w:color="auto"/>
                              </w:divBdr>
                              <w:divsChild>
                                <w:div w:id="21377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3570291">
      <w:bodyDiv w:val="1"/>
      <w:marLeft w:val="0"/>
      <w:marRight w:val="0"/>
      <w:marTop w:val="0"/>
      <w:marBottom w:val="0"/>
      <w:divBdr>
        <w:top w:val="none" w:sz="0" w:space="0" w:color="auto"/>
        <w:left w:val="none" w:sz="0" w:space="0" w:color="auto"/>
        <w:bottom w:val="none" w:sz="0" w:space="0" w:color="auto"/>
        <w:right w:val="none" w:sz="0" w:space="0" w:color="auto"/>
      </w:divBdr>
    </w:div>
    <w:div w:id="1513571386">
      <w:bodyDiv w:val="1"/>
      <w:marLeft w:val="0"/>
      <w:marRight w:val="0"/>
      <w:marTop w:val="0"/>
      <w:marBottom w:val="0"/>
      <w:divBdr>
        <w:top w:val="none" w:sz="0" w:space="0" w:color="auto"/>
        <w:left w:val="none" w:sz="0" w:space="0" w:color="auto"/>
        <w:bottom w:val="none" w:sz="0" w:space="0" w:color="auto"/>
        <w:right w:val="none" w:sz="0" w:space="0" w:color="auto"/>
      </w:divBdr>
      <w:divsChild>
        <w:div w:id="290013634">
          <w:marLeft w:val="0"/>
          <w:marRight w:val="0"/>
          <w:marTop w:val="0"/>
          <w:marBottom w:val="0"/>
          <w:divBdr>
            <w:top w:val="none" w:sz="0" w:space="0" w:color="auto"/>
            <w:left w:val="none" w:sz="0" w:space="0" w:color="auto"/>
            <w:bottom w:val="none" w:sz="0" w:space="0" w:color="auto"/>
            <w:right w:val="none" w:sz="0" w:space="0" w:color="auto"/>
          </w:divBdr>
          <w:divsChild>
            <w:div w:id="880678163">
              <w:marLeft w:val="0"/>
              <w:marRight w:val="0"/>
              <w:marTop w:val="0"/>
              <w:marBottom w:val="0"/>
              <w:divBdr>
                <w:top w:val="none" w:sz="0" w:space="0" w:color="auto"/>
                <w:left w:val="none" w:sz="0" w:space="0" w:color="auto"/>
                <w:bottom w:val="none" w:sz="0" w:space="0" w:color="auto"/>
                <w:right w:val="none" w:sz="0" w:space="0" w:color="auto"/>
              </w:divBdr>
              <w:divsChild>
                <w:div w:id="1650018600">
                  <w:marLeft w:val="0"/>
                  <w:marRight w:val="0"/>
                  <w:marTop w:val="0"/>
                  <w:marBottom w:val="0"/>
                  <w:divBdr>
                    <w:top w:val="none" w:sz="0" w:space="0" w:color="auto"/>
                    <w:left w:val="none" w:sz="0" w:space="0" w:color="auto"/>
                    <w:bottom w:val="none" w:sz="0" w:space="0" w:color="auto"/>
                    <w:right w:val="none" w:sz="0" w:space="0" w:color="auto"/>
                  </w:divBdr>
                  <w:divsChild>
                    <w:div w:id="1828207055">
                      <w:marLeft w:val="0"/>
                      <w:marRight w:val="0"/>
                      <w:marTop w:val="0"/>
                      <w:marBottom w:val="0"/>
                      <w:divBdr>
                        <w:top w:val="none" w:sz="0" w:space="0" w:color="auto"/>
                        <w:left w:val="none" w:sz="0" w:space="0" w:color="auto"/>
                        <w:bottom w:val="none" w:sz="0" w:space="0" w:color="auto"/>
                        <w:right w:val="none" w:sz="0" w:space="0" w:color="auto"/>
                      </w:divBdr>
                      <w:divsChild>
                        <w:div w:id="572008120">
                          <w:marLeft w:val="0"/>
                          <w:marRight w:val="0"/>
                          <w:marTop w:val="0"/>
                          <w:marBottom w:val="0"/>
                          <w:divBdr>
                            <w:top w:val="none" w:sz="0" w:space="0" w:color="auto"/>
                            <w:left w:val="none" w:sz="0" w:space="0" w:color="auto"/>
                            <w:bottom w:val="none" w:sz="0" w:space="0" w:color="auto"/>
                            <w:right w:val="none" w:sz="0" w:space="0" w:color="auto"/>
                          </w:divBdr>
                          <w:divsChild>
                            <w:div w:id="1865631973">
                              <w:marLeft w:val="0"/>
                              <w:marRight w:val="0"/>
                              <w:marTop w:val="0"/>
                              <w:marBottom w:val="0"/>
                              <w:divBdr>
                                <w:top w:val="none" w:sz="0" w:space="0" w:color="auto"/>
                                <w:left w:val="none" w:sz="0" w:space="0" w:color="auto"/>
                                <w:bottom w:val="none" w:sz="0" w:space="0" w:color="auto"/>
                                <w:right w:val="none" w:sz="0" w:space="0" w:color="auto"/>
                              </w:divBdr>
                              <w:divsChild>
                                <w:div w:id="777793295">
                                  <w:marLeft w:val="0"/>
                                  <w:marRight w:val="0"/>
                                  <w:marTop w:val="0"/>
                                  <w:marBottom w:val="0"/>
                                  <w:divBdr>
                                    <w:top w:val="none" w:sz="0" w:space="0" w:color="auto"/>
                                    <w:left w:val="none" w:sz="0" w:space="0" w:color="auto"/>
                                    <w:bottom w:val="none" w:sz="0" w:space="0" w:color="auto"/>
                                    <w:right w:val="none" w:sz="0" w:space="0" w:color="auto"/>
                                  </w:divBdr>
                                  <w:divsChild>
                                    <w:div w:id="1752967475">
                                      <w:marLeft w:val="0"/>
                                      <w:marRight w:val="0"/>
                                      <w:marTop w:val="0"/>
                                      <w:marBottom w:val="0"/>
                                      <w:divBdr>
                                        <w:top w:val="none" w:sz="0" w:space="0" w:color="auto"/>
                                        <w:left w:val="none" w:sz="0" w:space="0" w:color="auto"/>
                                        <w:bottom w:val="none" w:sz="0" w:space="0" w:color="auto"/>
                                        <w:right w:val="none" w:sz="0" w:space="0" w:color="auto"/>
                                      </w:divBdr>
                                      <w:divsChild>
                                        <w:div w:id="198739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3759681">
      <w:bodyDiv w:val="1"/>
      <w:marLeft w:val="0"/>
      <w:marRight w:val="0"/>
      <w:marTop w:val="0"/>
      <w:marBottom w:val="0"/>
      <w:divBdr>
        <w:top w:val="none" w:sz="0" w:space="0" w:color="auto"/>
        <w:left w:val="none" w:sz="0" w:space="0" w:color="auto"/>
        <w:bottom w:val="none" w:sz="0" w:space="0" w:color="auto"/>
        <w:right w:val="none" w:sz="0" w:space="0" w:color="auto"/>
      </w:divBdr>
      <w:divsChild>
        <w:div w:id="1230582051">
          <w:marLeft w:val="0"/>
          <w:marRight w:val="0"/>
          <w:marTop w:val="0"/>
          <w:marBottom w:val="150"/>
          <w:divBdr>
            <w:top w:val="none" w:sz="0" w:space="0" w:color="auto"/>
            <w:left w:val="none" w:sz="0" w:space="0" w:color="auto"/>
            <w:bottom w:val="none" w:sz="0" w:space="0" w:color="auto"/>
            <w:right w:val="none" w:sz="0" w:space="0" w:color="auto"/>
          </w:divBdr>
        </w:div>
        <w:div w:id="1682587017">
          <w:marLeft w:val="0"/>
          <w:marRight w:val="0"/>
          <w:marTop w:val="0"/>
          <w:marBottom w:val="150"/>
          <w:divBdr>
            <w:top w:val="none" w:sz="0" w:space="0" w:color="auto"/>
            <w:left w:val="none" w:sz="0" w:space="0" w:color="auto"/>
            <w:bottom w:val="none" w:sz="0" w:space="0" w:color="auto"/>
            <w:right w:val="none" w:sz="0" w:space="0" w:color="auto"/>
          </w:divBdr>
          <w:divsChild>
            <w:div w:id="117184733">
              <w:marLeft w:val="0"/>
              <w:marRight w:val="0"/>
              <w:marTop w:val="0"/>
              <w:marBottom w:val="0"/>
              <w:divBdr>
                <w:top w:val="none" w:sz="0" w:space="0" w:color="auto"/>
                <w:left w:val="none" w:sz="0" w:space="0" w:color="auto"/>
                <w:bottom w:val="none" w:sz="0" w:space="0" w:color="auto"/>
                <w:right w:val="none" w:sz="0" w:space="0" w:color="auto"/>
              </w:divBdr>
            </w:div>
          </w:divsChild>
        </w:div>
        <w:div w:id="1810827110">
          <w:marLeft w:val="0"/>
          <w:marRight w:val="0"/>
          <w:marTop w:val="0"/>
          <w:marBottom w:val="0"/>
          <w:divBdr>
            <w:top w:val="none" w:sz="0" w:space="0" w:color="auto"/>
            <w:left w:val="none" w:sz="0" w:space="0" w:color="auto"/>
            <w:bottom w:val="none" w:sz="0" w:space="0" w:color="auto"/>
            <w:right w:val="none" w:sz="0" w:space="0" w:color="auto"/>
          </w:divBdr>
          <w:divsChild>
            <w:div w:id="158803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026948">
      <w:bodyDiv w:val="1"/>
      <w:marLeft w:val="0"/>
      <w:marRight w:val="0"/>
      <w:marTop w:val="0"/>
      <w:marBottom w:val="0"/>
      <w:divBdr>
        <w:top w:val="none" w:sz="0" w:space="0" w:color="auto"/>
        <w:left w:val="none" w:sz="0" w:space="0" w:color="auto"/>
        <w:bottom w:val="none" w:sz="0" w:space="0" w:color="auto"/>
        <w:right w:val="none" w:sz="0" w:space="0" w:color="auto"/>
      </w:divBdr>
      <w:divsChild>
        <w:div w:id="384379152">
          <w:marLeft w:val="0"/>
          <w:marRight w:val="0"/>
          <w:marTop w:val="0"/>
          <w:marBottom w:val="150"/>
          <w:divBdr>
            <w:top w:val="none" w:sz="0" w:space="0" w:color="auto"/>
            <w:left w:val="none" w:sz="0" w:space="0" w:color="auto"/>
            <w:bottom w:val="none" w:sz="0" w:space="0" w:color="auto"/>
            <w:right w:val="none" w:sz="0" w:space="0" w:color="auto"/>
          </w:divBdr>
          <w:divsChild>
            <w:div w:id="973948246">
              <w:marLeft w:val="0"/>
              <w:marRight w:val="0"/>
              <w:marTop w:val="0"/>
              <w:marBottom w:val="0"/>
              <w:divBdr>
                <w:top w:val="none" w:sz="0" w:space="0" w:color="auto"/>
                <w:left w:val="none" w:sz="0" w:space="0" w:color="auto"/>
                <w:bottom w:val="none" w:sz="0" w:space="0" w:color="auto"/>
                <w:right w:val="none" w:sz="0" w:space="0" w:color="auto"/>
              </w:divBdr>
            </w:div>
          </w:divsChild>
        </w:div>
        <w:div w:id="1540312392">
          <w:marLeft w:val="0"/>
          <w:marRight w:val="0"/>
          <w:marTop w:val="0"/>
          <w:marBottom w:val="0"/>
          <w:divBdr>
            <w:top w:val="none" w:sz="0" w:space="0" w:color="auto"/>
            <w:left w:val="none" w:sz="0" w:space="0" w:color="auto"/>
            <w:bottom w:val="none" w:sz="0" w:space="0" w:color="auto"/>
            <w:right w:val="none" w:sz="0" w:space="0" w:color="auto"/>
          </w:divBdr>
          <w:divsChild>
            <w:div w:id="1391536734">
              <w:marLeft w:val="0"/>
              <w:marRight w:val="0"/>
              <w:marTop w:val="0"/>
              <w:marBottom w:val="0"/>
              <w:divBdr>
                <w:top w:val="none" w:sz="0" w:space="0" w:color="auto"/>
                <w:left w:val="none" w:sz="0" w:space="0" w:color="auto"/>
                <w:bottom w:val="none" w:sz="0" w:space="0" w:color="auto"/>
                <w:right w:val="none" w:sz="0" w:space="0" w:color="auto"/>
              </w:divBdr>
            </w:div>
            <w:div w:id="18639302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14102149">
      <w:bodyDiv w:val="1"/>
      <w:marLeft w:val="0"/>
      <w:marRight w:val="0"/>
      <w:marTop w:val="0"/>
      <w:marBottom w:val="0"/>
      <w:divBdr>
        <w:top w:val="none" w:sz="0" w:space="0" w:color="auto"/>
        <w:left w:val="none" w:sz="0" w:space="0" w:color="auto"/>
        <w:bottom w:val="none" w:sz="0" w:space="0" w:color="auto"/>
        <w:right w:val="none" w:sz="0" w:space="0" w:color="auto"/>
      </w:divBdr>
      <w:divsChild>
        <w:div w:id="561335440">
          <w:marLeft w:val="0"/>
          <w:marRight w:val="0"/>
          <w:marTop w:val="0"/>
          <w:marBottom w:val="0"/>
          <w:divBdr>
            <w:top w:val="none" w:sz="0" w:space="8" w:color="auto"/>
            <w:left w:val="none" w:sz="0" w:space="2" w:color="auto"/>
            <w:bottom w:val="single" w:sz="6" w:space="8" w:color="DDDDDD"/>
            <w:right w:val="none" w:sz="0" w:space="0" w:color="auto"/>
          </w:divBdr>
        </w:div>
        <w:div w:id="1267731913">
          <w:marLeft w:val="0"/>
          <w:marRight w:val="0"/>
          <w:marTop w:val="150"/>
          <w:marBottom w:val="0"/>
          <w:divBdr>
            <w:top w:val="none" w:sz="0" w:space="0" w:color="auto"/>
            <w:left w:val="none" w:sz="0" w:space="0" w:color="auto"/>
            <w:bottom w:val="none" w:sz="0" w:space="0" w:color="auto"/>
            <w:right w:val="none" w:sz="0" w:space="0" w:color="auto"/>
          </w:divBdr>
          <w:divsChild>
            <w:div w:id="110666084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14145668">
      <w:bodyDiv w:val="1"/>
      <w:marLeft w:val="0"/>
      <w:marRight w:val="0"/>
      <w:marTop w:val="0"/>
      <w:marBottom w:val="0"/>
      <w:divBdr>
        <w:top w:val="none" w:sz="0" w:space="0" w:color="auto"/>
        <w:left w:val="none" w:sz="0" w:space="0" w:color="auto"/>
        <w:bottom w:val="none" w:sz="0" w:space="0" w:color="auto"/>
        <w:right w:val="none" w:sz="0" w:space="0" w:color="auto"/>
      </w:divBdr>
      <w:divsChild>
        <w:div w:id="304743783">
          <w:marLeft w:val="0"/>
          <w:marRight w:val="0"/>
          <w:marTop w:val="0"/>
          <w:marBottom w:val="0"/>
          <w:divBdr>
            <w:top w:val="none" w:sz="0" w:space="0" w:color="auto"/>
            <w:left w:val="none" w:sz="0" w:space="0" w:color="auto"/>
            <w:bottom w:val="dotted" w:sz="6" w:space="4" w:color="DDDDDD"/>
            <w:right w:val="none" w:sz="0" w:space="0" w:color="auto"/>
          </w:divBdr>
        </w:div>
      </w:divsChild>
    </w:div>
    <w:div w:id="1514150731">
      <w:bodyDiv w:val="1"/>
      <w:marLeft w:val="0"/>
      <w:marRight w:val="0"/>
      <w:marTop w:val="0"/>
      <w:marBottom w:val="0"/>
      <w:divBdr>
        <w:top w:val="none" w:sz="0" w:space="0" w:color="auto"/>
        <w:left w:val="none" w:sz="0" w:space="0" w:color="auto"/>
        <w:bottom w:val="none" w:sz="0" w:space="0" w:color="auto"/>
        <w:right w:val="none" w:sz="0" w:space="0" w:color="auto"/>
      </w:divBdr>
    </w:div>
    <w:div w:id="1514341538">
      <w:bodyDiv w:val="1"/>
      <w:marLeft w:val="0"/>
      <w:marRight w:val="0"/>
      <w:marTop w:val="0"/>
      <w:marBottom w:val="0"/>
      <w:divBdr>
        <w:top w:val="none" w:sz="0" w:space="0" w:color="auto"/>
        <w:left w:val="none" w:sz="0" w:space="0" w:color="auto"/>
        <w:bottom w:val="none" w:sz="0" w:space="0" w:color="auto"/>
        <w:right w:val="none" w:sz="0" w:space="0" w:color="auto"/>
      </w:divBdr>
      <w:divsChild>
        <w:div w:id="808673646">
          <w:marLeft w:val="0"/>
          <w:marRight w:val="0"/>
          <w:marTop w:val="0"/>
          <w:marBottom w:val="0"/>
          <w:divBdr>
            <w:top w:val="none" w:sz="0" w:space="0" w:color="auto"/>
            <w:left w:val="none" w:sz="0" w:space="0" w:color="auto"/>
            <w:bottom w:val="none" w:sz="0" w:space="0" w:color="auto"/>
            <w:right w:val="none" w:sz="0" w:space="0" w:color="auto"/>
          </w:divBdr>
          <w:divsChild>
            <w:div w:id="679889533">
              <w:marLeft w:val="0"/>
              <w:marRight w:val="0"/>
              <w:marTop w:val="0"/>
              <w:marBottom w:val="0"/>
              <w:divBdr>
                <w:top w:val="none" w:sz="0" w:space="0" w:color="auto"/>
                <w:left w:val="none" w:sz="0" w:space="0" w:color="auto"/>
                <w:bottom w:val="none" w:sz="0" w:space="0" w:color="auto"/>
                <w:right w:val="none" w:sz="0" w:space="0" w:color="auto"/>
              </w:divBdr>
              <w:divsChild>
                <w:div w:id="343747201">
                  <w:marLeft w:val="0"/>
                  <w:marRight w:val="0"/>
                  <w:marTop w:val="0"/>
                  <w:marBottom w:val="0"/>
                  <w:divBdr>
                    <w:top w:val="none" w:sz="0" w:space="0" w:color="auto"/>
                    <w:left w:val="none" w:sz="0" w:space="0" w:color="auto"/>
                    <w:bottom w:val="none" w:sz="0" w:space="0" w:color="auto"/>
                    <w:right w:val="none" w:sz="0" w:space="0" w:color="auto"/>
                  </w:divBdr>
                </w:div>
                <w:div w:id="368074624">
                  <w:marLeft w:val="0"/>
                  <w:marRight w:val="0"/>
                  <w:marTop w:val="0"/>
                  <w:marBottom w:val="0"/>
                  <w:divBdr>
                    <w:top w:val="none" w:sz="0" w:space="0" w:color="auto"/>
                    <w:left w:val="none" w:sz="0" w:space="0" w:color="auto"/>
                    <w:bottom w:val="none" w:sz="0" w:space="0" w:color="auto"/>
                    <w:right w:val="none" w:sz="0" w:space="0" w:color="auto"/>
                  </w:divBdr>
                </w:div>
                <w:div w:id="730929801">
                  <w:marLeft w:val="0"/>
                  <w:marRight w:val="0"/>
                  <w:marTop w:val="0"/>
                  <w:marBottom w:val="0"/>
                  <w:divBdr>
                    <w:top w:val="none" w:sz="0" w:space="0" w:color="auto"/>
                    <w:left w:val="none" w:sz="0" w:space="0" w:color="auto"/>
                    <w:bottom w:val="none" w:sz="0" w:space="0" w:color="auto"/>
                    <w:right w:val="none" w:sz="0" w:space="0" w:color="auto"/>
                  </w:divBdr>
                </w:div>
                <w:div w:id="735595193">
                  <w:marLeft w:val="0"/>
                  <w:marRight w:val="0"/>
                  <w:marTop w:val="0"/>
                  <w:marBottom w:val="0"/>
                  <w:divBdr>
                    <w:top w:val="none" w:sz="0" w:space="0" w:color="auto"/>
                    <w:left w:val="none" w:sz="0" w:space="0" w:color="auto"/>
                    <w:bottom w:val="none" w:sz="0" w:space="0" w:color="auto"/>
                    <w:right w:val="none" w:sz="0" w:space="0" w:color="auto"/>
                  </w:divBdr>
                </w:div>
                <w:div w:id="1356231462">
                  <w:marLeft w:val="0"/>
                  <w:marRight w:val="0"/>
                  <w:marTop w:val="0"/>
                  <w:marBottom w:val="0"/>
                  <w:divBdr>
                    <w:top w:val="none" w:sz="0" w:space="0" w:color="auto"/>
                    <w:left w:val="none" w:sz="0" w:space="0" w:color="auto"/>
                    <w:bottom w:val="none" w:sz="0" w:space="0" w:color="auto"/>
                    <w:right w:val="none" w:sz="0" w:space="0" w:color="auto"/>
                  </w:divBdr>
                </w:div>
              </w:divsChild>
            </w:div>
            <w:div w:id="78211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537410">
      <w:bodyDiv w:val="1"/>
      <w:marLeft w:val="0"/>
      <w:marRight w:val="0"/>
      <w:marTop w:val="0"/>
      <w:marBottom w:val="0"/>
      <w:divBdr>
        <w:top w:val="none" w:sz="0" w:space="0" w:color="auto"/>
        <w:left w:val="none" w:sz="0" w:space="0" w:color="auto"/>
        <w:bottom w:val="none" w:sz="0" w:space="0" w:color="auto"/>
        <w:right w:val="none" w:sz="0" w:space="0" w:color="auto"/>
      </w:divBdr>
      <w:divsChild>
        <w:div w:id="863447826">
          <w:marLeft w:val="0"/>
          <w:marRight w:val="0"/>
          <w:marTop w:val="0"/>
          <w:marBottom w:val="0"/>
          <w:divBdr>
            <w:top w:val="none" w:sz="0" w:space="0" w:color="auto"/>
            <w:left w:val="none" w:sz="0" w:space="0" w:color="auto"/>
            <w:bottom w:val="none" w:sz="0" w:space="0" w:color="auto"/>
            <w:right w:val="none" w:sz="0" w:space="0" w:color="auto"/>
          </w:divBdr>
        </w:div>
      </w:divsChild>
    </w:div>
    <w:div w:id="1514806338">
      <w:bodyDiv w:val="1"/>
      <w:marLeft w:val="0"/>
      <w:marRight w:val="0"/>
      <w:marTop w:val="0"/>
      <w:marBottom w:val="0"/>
      <w:divBdr>
        <w:top w:val="none" w:sz="0" w:space="0" w:color="auto"/>
        <w:left w:val="none" w:sz="0" w:space="0" w:color="auto"/>
        <w:bottom w:val="none" w:sz="0" w:space="0" w:color="auto"/>
        <w:right w:val="none" w:sz="0" w:space="0" w:color="auto"/>
      </w:divBdr>
      <w:divsChild>
        <w:div w:id="354229803">
          <w:marLeft w:val="0"/>
          <w:marRight w:val="0"/>
          <w:marTop w:val="0"/>
          <w:marBottom w:val="0"/>
          <w:divBdr>
            <w:top w:val="none" w:sz="0" w:space="0" w:color="auto"/>
            <w:left w:val="none" w:sz="0" w:space="0" w:color="auto"/>
            <w:bottom w:val="dotted" w:sz="6" w:space="4" w:color="DDDDDD"/>
            <w:right w:val="none" w:sz="0" w:space="0" w:color="auto"/>
          </w:divBdr>
          <w:divsChild>
            <w:div w:id="196689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49575">
      <w:bodyDiv w:val="1"/>
      <w:marLeft w:val="0"/>
      <w:marRight w:val="0"/>
      <w:marTop w:val="0"/>
      <w:marBottom w:val="0"/>
      <w:divBdr>
        <w:top w:val="none" w:sz="0" w:space="0" w:color="auto"/>
        <w:left w:val="none" w:sz="0" w:space="0" w:color="auto"/>
        <w:bottom w:val="none" w:sz="0" w:space="0" w:color="auto"/>
        <w:right w:val="none" w:sz="0" w:space="0" w:color="auto"/>
      </w:divBdr>
      <w:divsChild>
        <w:div w:id="388846037">
          <w:marLeft w:val="0"/>
          <w:marRight w:val="0"/>
          <w:marTop w:val="0"/>
          <w:marBottom w:val="150"/>
          <w:divBdr>
            <w:top w:val="none" w:sz="0" w:space="0" w:color="auto"/>
            <w:left w:val="none" w:sz="0" w:space="0" w:color="auto"/>
            <w:bottom w:val="none" w:sz="0" w:space="0" w:color="auto"/>
            <w:right w:val="none" w:sz="0" w:space="0" w:color="auto"/>
          </w:divBdr>
          <w:divsChild>
            <w:div w:id="1169560521">
              <w:marLeft w:val="0"/>
              <w:marRight w:val="0"/>
              <w:marTop w:val="0"/>
              <w:marBottom w:val="0"/>
              <w:divBdr>
                <w:top w:val="none" w:sz="0" w:space="0" w:color="auto"/>
                <w:left w:val="none" w:sz="0" w:space="0" w:color="auto"/>
                <w:bottom w:val="none" w:sz="0" w:space="0" w:color="auto"/>
                <w:right w:val="none" w:sz="0" w:space="0" w:color="auto"/>
              </w:divBdr>
            </w:div>
          </w:divsChild>
        </w:div>
        <w:div w:id="1926724620">
          <w:marLeft w:val="0"/>
          <w:marRight w:val="0"/>
          <w:marTop w:val="0"/>
          <w:marBottom w:val="150"/>
          <w:divBdr>
            <w:top w:val="none" w:sz="0" w:space="0" w:color="auto"/>
            <w:left w:val="none" w:sz="0" w:space="0" w:color="auto"/>
            <w:bottom w:val="none" w:sz="0" w:space="0" w:color="auto"/>
            <w:right w:val="none" w:sz="0" w:space="0" w:color="auto"/>
          </w:divBdr>
        </w:div>
        <w:div w:id="2091341222">
          <w:marLeft w:val="0"/>
          <w:marRight w:val="0"/>
          <w:marTop w:val="0"/>
          <w:marBottom w:val="0"/>
          <w:divBdr>
            <w:top w:val="none" w:sz="0" w:space="0" w:color="auto"/>
            <w:left w:val="none" w:sz="0" w:space="0" w:color="auto"/>
            <w:bottom w:val="none" w:sz="0" w:space="0" w:color="auto"/>
            <w:right w:val="none" w:sz="0" w:space="0" w:color="auto"/>
          </w:divBdr>
          <w:divsChild>
            <w:div w:id="184701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53311">
      <w:bodyDiv w:val="1"/>
      <w:marLeft w:val="0"/>
      <w:marRight w:val="0"/>
      <w:marTop w:val="0"/>
      <w:marBottom w:val="0"/>
      <w:divBdr>
        <w:top w:val="none" w:sz="0" w:space="0" w:color="auto"/>
        <w:left w:val="none" w:sz="0" w:space="0" w:color="auto"/>
        <w:bottom w:val="none" w:sz="0" w:space="0" w:color="auto"/>
        <w:right w:val="none" w:sz="0" w:space="0" w:color="auto"/>
      </w:divBdr>
      <w:divsChild>
        <w:div w:id="2064518307">
          <w:marLeft w:val="0"/>
          <w:marRight w:val="0"/>
          <w:marTop w:val="0"/>
          <w:marBottom w:val="0"/>
          <w:divBdr>
            <w:top w:val="none" w:sz="0" w:space="0" w:color="auto"/>
            <w:left w:val="none" w:sz="0" w:space="0" w:color="auto"/>
            <w:bottom w:val="dotted" w:sz="6" w:space="4" w:color="DDDDDD"/>
            <w:right w:val="none" w:sz="0" w:space="0" w:color="auto"/>
          </w:divBdr>
          <w:divsChild>
            <w:div w:id="130504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58837">
      <w:bodyDiv w:val="1"/>
      <w:marLeft w:val="0"/>
      <w:marRight w:val="0"/>
      <w:marTop w:val="0"/>
      <w:marBottom w:val="0"/>
      <w:divBdr>
        <w:top w:val="none" w:sz="0" w:space="0" w:color="auto"/>
        <w:left w:val="none" w:sz="0" w:space="0" w:color="auto"/>
        <w:bottom w:val="none" w:sz="0" w:space="0" w:color="auto"/>
        <w:right w:val="none" w:sz="0" w:space="0" w:color="auto"/>
      </w:divBdr>
    </w:div>
    <w:div w:id="1515144443">
      <w:bodyDiv w:val="1"/>
      <w:marLeft w:val="0"/>
      <w:marRight w:val="0"/>
      <w:marTop w:val="0"/>
      <w:marBottom w:val="0"/>
      <w:divBdr>
        <w:top w:val="none" w:sz="0" w:space="0" w:color="auto"/>
        <w:left w:val="none" w:sz="0" w:space="0" w:color="auto"/>
        <w:bottom w:val="none" w:sz="0" w:space="0" w:color="auto"/>
        <w:right w:val="none" w:sz="0" w:space="0" w:color="auto"/>
      </w:divBdr>
    </w:div>
    <w:div w:id="1515221606">
      <w:bodyDiv w:val="1"/>
      <w:marLeft w:val="0"/>
      <w:marRight w:val="0"/>
      <w:marTop w:val="0"/>
      <w:marBottom w:val="0"/>
      <w:divBdr>
        <w:top w:val="none" w:sz="0" w:space="0" w:color="auto"/>
        <w:left w:val="none" w:sz="0" w:space="0" w:color="auto"/>
        <w:bottom w:val="none" w:sz="0" w:space="0" w:color="auto"/>
        <w:right w:val="none" w:sz="0" w:space="0" w:color="auto"/>
      </w:divBdr>
      <w:divsChild>
        <w:div w:id="1708409876">
          <w:marLeft w:val="0"/>
          <w:marRight w:val="0"/>
          <w:marTop w:val="0"/>
          <w:marBottom w:val="150"/>
          <w:divBdr>
            <w:top w:val="none" w:sz="0" w:space="0" w:color="auto"/>
            <w:left w:val="none" w:sz="0" w:space="0" w:color="auto"/>
            <w:bottom w:val="none" w:sz="0" w:space="0" w:color="auto"/>
            <w:right w:val="none" w:sz="0" w:space="0" w:color="auto"/>
          </w:divBdr>
        </w:div>
      </w:divsChild>
    </w:div>
    <w:div w:id="1515412873">
      <w:bodyDiv w:val="1"/>
      <w:marLeft w:val="0"/>
      <w:marRight w:val="0"/>
      <w:marTop w:val="0"/>
      <w:marBottom w:val="0"/>
      <w:divBdr>
        <w:top w:val="none" w:sz="0" w:space="0" w:color="auto"/>
        <w:left w:val="none" w:sz="0" w:space="0" w:color="auto"/>
        <w:bottom w:val="none" w:sz="0" w:space="0" w:color="auto"/>
        <w:right w:val="none" w:sz="0" w:space="0" w:color="auto"/>
      </w:divBdr>
      <w:divsChild>
        <w:div w:id="1132750968">
          <w:marLeft w:val="0"/>
          <w:marRight w:val="0"/>
          <w:marTop w:val="0"/>
          <w:marBottom w:val="0"/>
          <w:divBdr>
            <w:top w:val="none" w:sz="0" w:space="0" w:color="auto"/>
            <w:left w:val="none" w:sz="0" w:space="0" w:color="auto"/>
            <w:bottom w:val="dotted" w:sz="6" w:space="4" w:color="DDDDDD"/>
            <w:right w:val="none" w:sz="0" w:space="0" w:color="auto"/>
          </w:divBdr>
        </w:div>
      </w:divsChild>
    </w:div>
    <w:div w:id="1515729904">
      <w:bodyDiv w:val="1"/>
      <w:marLeft w:val="0"/>
      <w:marRight w:val="0"/>
      <w:marTop w:val="0"/>
      <w:marBottom w:val="0"/>
      <w:divBdr>
        <w:top w:val="none" w:sz="0" w:space="0" w:color="auto"/>
        <w:left w:val="none" w:sz="0" w:space="0" w:color="auto"/>
        <w:bottom w:val="none" w:sz="0" w:space="0" w:color="auto"/>
        <w:right w:val="none" w:sz="0" w:space="0" w:color="auto"/>
      </w:divBdr>
      <w:divsChild>
        <w:div w:id="885412662">
          <w:marLeft w:val="0"/>
          <w:marRight w:val="0"/>
          <w:marTop w:val="0"/>
          <w:marBottom w:val="0"/>
          <w:divBdr>
            <w:top w:val="none" w:sz="0" w:space="0" w:color="auto"/>
            <w:left w:val="none" w:sz="0" w:space="0" w:color="auto"/>
            <w:bottom w:val="dotted" w:sz="6" w:space="4" w:color="DDDDDD"/>
            <w:right w:val="none" w:sz="0" w:space="0" w:color="auto"/>
          </w:divBdr>
          <w:divsChild>
            <w:div w:id="10572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798994">
      <w:bodyDiv w:val="1"/>
      <w:marLeft w:val="0"/>
      <w:marRight w:val="0"/>
      <w:marTop w:val="0"/>
      <w:marBottom w:val="0"/>
      <w:divBdr>
        <w:top w:val="none" w:sz="0" w:space="0" w:color="auto"/>
        <w:left w:val="none" w:sz="0" w:space="0" w:color="auto"/>
        <w:bottom w:val="none" w:sz="0" w:space="0" w:color="auto"/>
        <w:right w:val="none" w:sz="0" w:space="0" w:color="auto"/>
      </w:divBdr>
    </w:div>
    <w:div w:id="1515992313">
      <w:bodyDiv w:val="1"/>
      <w:marLeft w:val="0"/>
      <w:marRight w:val="0"/>
      <w:marTop w:val="0"/>
      <w:marBottom w:val="0"/>
      <w:divBdr>
        <w:top w:val="none" w:sz="0" w:space="0" w:color="auto"/>
        <w:left w:val="none" w:sz="0" w:space="0" w:color="auto"/>
        <w:bottom w:val="none" w:sz="0" w:space="0" w:color="auto"/>
        <w:right w:val="none" w:sz="0" w:space="0" w:color="auto"/>
      </w:divBdr>
      <w:divsChild>
        <w:div w:id="2024281258">
          <w:marLeft w:val="0"/>
          <w:marRight w:val="0"/>
          <w:marTop w:val="0"/>
          <w:marBottom w:val="0"/>
          <w:divBdr>
            <w:top w:val="none" w:sz="0" w:space="0" w:color="auto"/>
            <w:left w:val="none" w:sz="0" w:space="0" w:color="auto"/>
            <w:bottom w:val="dotted" w:sz="6" w:space="4" w:color="DDDDDD"/>
            <w:right w:val="none" w:sz="0" w:space="0" w:color="auto"/>
          </w:divBdr>
          <w:divsChild>
            <w:div w:id="129637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86749">
      <w:bodyDiv w:val="1"/>
      <w:marLeft w:val="0"/>
      <w:marRight w:val="0"/>
      <w:marTop w:val="0"/>
      <w:marBottom w:val="0"/>
      <w:divBdr>
        <w:top w:val="none" w:sz="0" w:space="0" w:color="auto"/>
        <w:left w:val="none" w:sz="0" w:space="0" w:color="auto"/>
        <w:bottom w:val="none" w:sz="0" w:space="0" w:color="auto"/>
        <w:right w:val="none" w:sz="0" w:space="0" w:color="auto"/>
      </w:divBdr>
    </w:div>
    <w:div w:id="1516387797">
      <w:bodyDiv w:val="1"/>
      <w:marLeft w:val="0"/>
      <w:marRight w:val="0"/>
      <w:marTop w:val="0"/>
      <w:marBottom w:val="0"/>
      <w:divBdr>
        <w:top w:val="none" w:sz="0" w:space="0" w:color="auto"/>
        <w:left w:val="none" w:sz="0" w:space="0" w:color="auto"/>
        <w:bottom w:val="none" w:sz="0" w:space="0" w:color="auto"/>
        <w:right w:val="none" w:sz="0" w:space="0" w:color="auto"/>
      </w:divBdr>
      <w:divsChild>
        <w:div w:id="1185703865">
          <w:marLeft w:val="0"/>
          <w:marRight w:val="0"/>
          <w:marTop w:val="0"/>
          <w:marBottom w:val="0"/>
          <w:divBdr>
            <w:top w:val="none" w:sz="0" w:space="0" w:color="auto"/>
            <w:left w:val="none" w:sz="0" w:space="0" w:color="auto"/>
            <w:bottom w:val="dotted" w:sz="6" w:space="4" w:color="DDDDDD"/>
            <w:right w:val="none" w:sz="0" w:space="0" w:color="auto"/>
          </w:divBdr>
        </w:div>
      </w:divsChild>
    </w:div>
    <w:div w:id="1516578688">
      <w:bodyDiv w:val="1"/>
      <w:marLeft w:val="0"/>
      <w:marRight w:val="0"/>
      <w:marTop w:val="0"/>
      <w:marBottom w:val="0"/>
      <w:divBdr>
        <w:top w:val="none" w:sz="0" w:space="0" w:color="auto"/>
        <w:left w:val="none" w:sz="0" w:space="0" w:color="auto"/>
        <w:bottom w:val="none" w:sz="0" w:space="0" w:color="auto"/>
        <w:right w:val="none" w:sz="0" w:space="0" w:color="auto"/>
      </w:divBdr>
      <w:divsChild>
        <w:div w:id="91243023">
          <w:marLeft w:val="0"/>
          <w:marRight w:val="0"/>
          <w:marTop w:val="0"/>
          <w:marBottom w:val="0"/>
          <w:divBdr>
            <w:top w:val="none" w:sz="0" w:space="0" w:color="auto"/>
            <w:left w:val="none" w:sz="0" w:space="0" w:color="auto"/>
            <w:bottom w:val="dotted" w:sz="6" w:space="4" w:color="DDDDDD"/>
            <w:right w:val="none" w:sz="0" w:space="0" w:color="auto"/>
          </w:divBdr>
          <w:divsChild>
            <w:div w:id="1183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767011">
      <w:bodyDiv w:val="1"/>
      <w:marLeft w:val="0"/>
      <w:marRight w:val="0"/>
      <w:marTop w:val="0"/>
      <w:marBottom w:val="0"/>
      <w:divBdr>
        <w:top w:val="none" w:sz="0" w:space="0" w:color="auto"/>
        <w:left w:val="none" w:sz="0" w:space="0" w:color="auto"/>
        <w:bottom w:val="none" w:sz="0" w:space="0" w:color="auto"/>
        <w:right w:val="none" w:sz="0" w:space="0" w:color="auto"/>
      </w:divBdr>
      <w:divsChild>
        <w:div w:id="416901295">
          <w:marLeft w:val="0"/>
          <w:marRight w:val="0"/>
          <w:marTop w:val="0"/>
          <w:marBottom w:val="150"/>
          <w:divBdr>
            <w:top w:val="none" w:sz="0" w:space="0" w:color="auto"/>
            <w:left w:val="none" w:sz="0" w:space="0" w:color="auto"/>
            <w:bottom w:val="none" w:sz="0" w:space="0" w:color="auto"/>
            <w:right w:val="none" w:sz="0" w:space="0" w:color="auto"/>
          </w:divBdr>
          <w:divsChild>
            <w:div w:id="1168447383">
              <w:marLeft w:val="0"/>
              <w:marRight w:val="0"/>
              <w:marTop w:val="0"/>
              <w:marBottom w:val="0"/>
              <w:divBdr>
                <w:top w:val="none" w:sz="0" w:space="0" w:color="auto"/>
                <w:left w:val="none" w:sz="0" w:space="0" w:color="auto"/>
                <w:bottom w:val="none" w:sz="0" w:space="0" w:color="auto"/>
                <w:right w:val="none" w:sz="0" w:space="0" w:color="auto"/>
              </w:divBdr>
              <w:divsChild>
                <w:div w:id="313681338">
                  <w:marLeft w:val="0"/>
                  <w:marRight w:val="0"/>
                  <w:marTop w:val="0"/>
                  <w:marBottom w:val="0"/>
                  <w:divBdr>
                    <w:top w:val="none" w:sz="0" w:space="0" w:color="auto"/>
                    <w:left w:val="none" w:sz="0" w:space="0" w:color="auto"/>
                    <w:bottom w:val="none" w:sz="0" w:space="0" w:color="auto"/>
                    <w:right w:val="none" w:sz="0" w:space="0" w:color="auto"/>
                  </w:divBdr>
                  <w:divsChild>
                    <w:div w:id="163014420">
                      <w:marLeft w:val="0"/>
                      <w:marRight w:val="150"/>
                      <w:marTop w:val="0"/>
                      <w:marBottom w:val="0"/>
                      <w:divBdr>
                        <w:top w:val="none" w:sz="0" w:space="0" w:color="auto"/>
                        <w:left w:val="none" w:sz="0" w:space="0" w:color="auto"/>
                        <w:bottom w:val="none" w:sz="0" w:space="0" w:color="auto"/>
                        <w:right w:val="none" w:sz="0" w:space="0" w:color="auto"/>
                      </w:divBdr>
                      <w:divsChild>
                        <w:div w:id="155831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247232">
          <w:marLeft w:val="0"/>
          <w:marRight w:val="0"/>
          <w:marTop w:val="0"/>
          <w:marBottom w:val="150"/>
          <w:divBdr>
            <w:top w:val="none" w:sz="0" w:space="0" w:color="auto"/>
            <w:left w:val="none" w:sz="0" w:space="0" w:color="auto"/>
            <w:bottom w:val="none" w:sz="0" w:space="0" w:color="auto"/>
            <w:right w:val="none" w:sz="0" w:space="0" w:color="auto"/>
          </w:divBdr>
        </w:div>
        <w:div w:id="202985773">
          <w:marLeft w:val="0"/>
          <w:marRight w:val="0"/>
          <w:marTop w:val="0"/>
          <w:marBottom w:val="0"/>
          <w:divBdr>
            <w:top w:val="none" w:sz="0" w:space="0" w:color="auto"/>
            <w:left w:val="none" w:sz="0" w:space="0" w:color="auto"/>
            <w:bottom w:val="none" w:sz="0" w:space="0" w:color="auto"/>
            <w:right w:val="none" w:sz="0" w:space="0" w:color="auto"/>
          </w:divBdr>
          <w:divsChild>
            <w:div w:id="205981994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17772449">
      <w:bodyDiv w:val="1"/>
      <w:marLeft w:val="0"/>
      <w:marRight w:val="0"/>
      <w:marTop w:val="0"/>
      <w:marBottom w:val="0"/>
      <w:divBdr>
        <w:top w:val="none" w:sz="0" w:space="0" w:color="auto"/>
        <w:left w:val="none" w:sz="0" w:space="0" w:color="auto"/>
        <w:bottom w:val="none" w:sz="0" w:space="0" w:color="auto"/>
        <w:right w:val="none" w:sz="0" w:space="0" w:color="auto"/>
      </w:divBdr>
    </w:div>
    <w:div w:id="1518301874">
      <w:bodyDiv w:val="1"/>
      <w:marLeft w:val="0"/>
      <w:marRight w:val="0"/>
      <w:marTop w:val="0"/>
      <w:marBottom w:val="0"/>
      <w:divBdr>
        <w:top w:val="none" w:sz="0" w:space="0" w:color="auto"/>
        <w:left w:val="none" w:sz="0" w:space="0" w:color="auto"/>
        <w:bottom w:val="none" w:sz="0" w:space="0" w:color="auto"/>
        <w:right w:val="none" w:sz="0" w:space="0" w:color="auto"/>
      </w:divBdr>
      <w:divsChild>
        <w:div w:id="1826972224">
          <w:marLeft w:val="0"/>
          <w:marRight w:val="0"/>
          <w:marTop w:val="0"/>
          <w:marBottom w:val="150"/>
          <w:divBdr>
            <w:top w:val="none" w:sz="0" w:space="0" w:color="auto"/>
            <w:left w:val="none" w:sz="0" w:space="0" w:color="auto"/>
            <w:bottom w:val="none" w:sz="0" w:space="0" w:color="auto"/>
            <w:right w:val="none" w:sz="0" w:space="0" w:color="auto"/>
          </w:divBdr>
          <w:divsChild>
            <w:div w:id="40643036">
              <w:marLeft w:val="0"/>
              <w:marRight w:val="0"/>
              <w:marTop w:val="0"/>
              <w:marBottom w:val="0"/>
              <w:divBdr>
                <w:top w:val="none" w:sz="0" w:space="0" w:color="auto"/>
                <w:left w:val="none" w:sz="0" w:space="0" w:color="auto"/>
                <w:bottom w:val="none" w:sz="0" w:space="0" w:color="auto"/>
                <w:right w:val="none" w:sz="0" w:space="0" w:color="auto"/>
              </w:divBdr>
              <w:divsChild>
                <w:div w:id="1231237157">
                  <w:marLeft w:val="0"/>
                  <w:marRight w:val="0"/>
                  <w:marTop w:val="0"/>
                  <w:marBottom w:val="0"/>
                  <w:divBdr>
                    <w:top w:val="none" w:sz="0" w:space="0" w:color="auto"/>
                    <w:left w:val="none" w:sz="0" w:space="0" w:color="auto"/>
                    <w:bottom w:val="none" w:sz="0" w:space="0" w:color="auto"/>
                    <w:right w:val="none" w:sz="0" w:space="0" w:color="auto"/>
                  </w:divBdr>
                  <w:divsChild>
                    <w:div w:id="523903894">
                      <w:marLeft w:val="0"/>
                      <w:marRight w:val="150"/>
                      <w:marTop w:val="0"/>
                      <w:marBottom w:val="0"/>
                      <w:divBdr>
                        <w:top w:val="none" w:sz="0" w:space="0" w:color="auto"/>
                        <w:left w:val="none" w:sz="0" w:space="0" w:color="auto"/>
                        <w:bottom w:val="none" w:sz="0" w:space="0" w:color="auto"/>
                        <w:right w:val="none" w:sz="0" w:space="0" w:color="auto"/>
                      </w:divBdr>
                      <w:divsChild>
                        <w:div w:id="143413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452383">
          <w:marLeft w:val="0"/>
          <w:marRight w:val="0"/>
          <w:marTop w:val="0"/>
          <w:marBottom w:val="150"/>
          <w:divBdr>
            <w:top w:val="none" w:sz="0" w:space="0" w:color="auto"/>
            <w:left w:val="none" w:sz="0" w:space="0" w:color="auto"/>
            <w:bottom w:val="none" w:sz="0" w:space="0" w:color="auto"/>
            <w:right w:val="none" w:sz="0" w:space="0" w:color="auto"/>
          </w:divBdr>
        </w:div>
        <w:div w:id="934631479">
          <w:marLeft w:val="0"/>
          <w:marRight w:val="0"/>
          <w:marTop w:val="0"/>
          <w:marBottom w:val="0"/>
          <w:divBdr>
            <w:top w:val="none" w:sz="0" w:space="0" w:color="auto"/>
            <w:left w:val="none" w:sz="0" w:space="0" w:color="auto"/>
            <w:bottom w:val="none" w:sz="0" w:space="0" w:color="auto"/>
            <w:right w:val="none" w:sz="0" w:space="0" w:color="auto"/>
          </w:divBdr>
          <w:divsChild>
            <w:div w:id="2559894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18621843">
      <w:bodyDiv w:val="1"/>
      <w:marLeft w:val="0"/>
      <w:marRight w:val="0"/>
      <w:marTop w:val="0"/>
      <w:marBottom w:val="0"/>
      <w:divBdr>
        <w:top w:val="none" w:sz="0" w:space="0" w:color="auto"/>
        <w:left w:val="none" w:sz="0" w:space="0" w:color="auto"/>
        <w:bottom w:val="none" w:sz="0" w:space="0" w:color="auto"/>
        <w:right w:val="none" w:sz="0" w:space="0" w:color="auto"/>
      </w:divBdr>
      <w:divsChild>
        <w:div w:id="618489599">
          <w:marLeft w:val="0"/>
          <w:marRight w:val="0"/>
          <w:marTop w:val="0"/>
          <w:marBottom w:val="0"/>
          <w:divBdr>
            <w:top w:val="none" w:sz="0" w:space="0" w:color="auto"/>
            <w:left w:val="none" w:sz="0" w:space="0" w:color="auto"/>
            <w:bottom w:val="none" w:sz="0" w:space="0" w:color="auto"/>
            <w:right w:val="none" w:sz="0" w:space="0" w:color="auto"/>
          </w:divBdr>
          <w:divsChild>
            <w:div w:id="916744027">
              <w:marLeft w:val="0"/>
              <w:marRight w:val="0"/>
              <w:marTop w:val="0"/>
              <w:marBottom w:val="0"/>
              <w:divBdr>
                <w:top w:val="none" w:sz="0" w:space="0" w:color="auto"/>
                <w:left w:val="none" w:sz="0" w:space="0" w:color="auto"/>
                <w:bottom w:val="none" w:sz="0" w:space="0" w:color="auto"/>
                <w:right w:val="none" w:sz="0" w:space="0" w:color="auto"/>
              </w:divBdr>
              <w:divsChild>
                <w:div w:id="160853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859527">
          <w:marLeft w:val="0"/>
          <w:marRight w:val="0"/>
          <w:marTop w:val="0"/>
          <w:marBottom w:val="450"/>
          <w:divBdr>
            <w:top w:val="none" w:sz="0" w:space="0" w:color="auto"/>
            <w:left w:val="none" w:sz="0" w:space="0" w:color="auto"/>
            <w:bottom w:val="single" w:sz="6" w:space="19" w:color="EEEEEE"/>
            <w:right w:val="none" w:sz="0" w:space="0" w:color="auto"/>
          </w:divBdr>
          <w:divsChild>
            <w:div w:id="1199006432">
              <w:marLeft w:val="0"/>
              <w:marRight w:val="0"/>
              <w:marTop w:val="0"/>
              <w:marBottom w:val="150"/>
              <w:divBdr>
                <w:top w:val="none" w:sz="0" w:space="0" w:color="auto"/>
                <w:left w:val="none" w:sz="0" w:space="0" w:color="auto"/>
                <w:bottom w:val="none" w:sz="0" w:space="0" w:color="auto"/>
                <w:right w:val="none" w:sz="0" w:space="0" w:color="auto"/>
              </w:divBdr>
              <w:divsChild>
                <w:div w:id="1430932774">
                  <w:marLeft w:val="0"/>
                  <w:marRight w:val="0"/>
                  <w:marTop w:val="0"/>
                  <w:marBottom w:val="0"/>
                  <w:divBdr>
                    <w:top w:val="none" w:sz="0" w:space="0" w:color="auto"/>
                    <w:left w:val="none" w:sz="0" w:space="0" w:color="auto"/>
                    <w:bottom w:val="none" w:sz="0" w:space="0" w:color="auto"/>
                    <w:right w:val="none" w:sz="0" w:space="0" w:color="auto"/>
                  </w:divBdr>
                </w:div>
              </w:divsChild>
            </w:div>
            <w:div w:id="140444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05047">
      <w:bodyDiv w:val="1"/>
      <w:marLeft w:val="0"/>
      <w:marRight w:val="0"/>
      <w:marTop w:val="0"/>
      <w:marBottom w:val="0"/>
      <w:divBdr>
        <w:top w:val="none" w:sz="0" w:space="0" w:color="auto"/>
        <w:left w:val="none" w:sz="0" w:space="0" w:color="auto"/>
        <w:bottom w:val="none" w:sz="0" w:space="0" w:color="auto"/>
        <w:right w:val="none" w:sz="0" w:space="0" w:color="auto"/>
      </w:divBdr>
      <w:divsChild>
        <w:div w:id="1618105068">
          <w:marLeft w:val="0"/>
          <w:marRight w:val="0"/>
          <w:marTop w:val="0"/>
          <w:marBottom w:val="0"/>
          <w:divBdr>
            <w:top w:val="none" w:sz="0" w:space="0" w:color="auto"/>
            <w:left w:val="none" w:sz="0" w:space="0" w:color="auto"/>
            <w:bottom w:val="none" w:sz="0" w:space="0" w:color="auto"/>
            <w:right w:val="none" w:sz="0" w:space="0" w:color="auto"/>
          </w:divBdr>
        </w:div>
      </w:divsChild>
    </w:div>
    <w:div w:id="1519197740">
      <w:bodyDiv w:val="1"/>
      <w:marLeft w:val="0"/>
      <w:marRight w:val="0"/>
      <w:marTop w:val="0"/>
      <w:marBottom w:val="0"/>
      <w:divBdr>
        <w:top w:val="none" w:sz="0" w:space="0" w:color="auto"/>
        <w:left w:val="none" w:sz="0" w:space="0" w:color="auto"/>
        <w:bottom w:val="none" w:sz="0" w:space="0" w:color="auto"/>
        <w:right w:val="none" w:sz="0" w:space="0" w:color="auto"/>
      </w:divBdr>
      <w:divsChild>
        <w:div w:id="1947881026">
          <w:marLeft w:val="0"/>
          <w:marRight w:val="0"/>
          <w:marTop w:val="0"/>
          <w:marBottom w:val="0"/>
          <w:divBdr>
            <w:top w:val="none" w:sz="0" w:space="0" w:color="auto"/>
            <w:left w:val="none" w:sz="0" w:space="0" w:color="auto"/>
            <w:bottom w:val="none" w:sz="0" w:space="0" w:color="auto"/>
            <w:right w:val="none" w:sz="0" w:space="0" w:color="auto"/>
          </w:divBdr>
          <w:divsChild>
            <w:div w:id="1204369011">
              <w:marLeft w:val="0"/>
              <w:marRight w:val="0"/>
              <w:marTop w:val="0"/>
              <w:marBottom w:val="0"/>
              <w:divBdr>
                <w:top w:val="none" w:sz="0" w:space="0" w:color="auto"/>
                <w:left w:val="none" w:sz="0" w:space="0" w:color="auto"/>
                <w:bottom w:val="none" w:sz="0" w:space="0" w:color="auto"/>
                <w:right w:val="none" w:sz="0" w:space="0" w:color="auto"/>
              </w:divBdr>
              <w:divsChild>
                <w:div w:id="1276256323">
                  <w:marLeft w:val="0"/>
                  <w:marRight w:val="0"/>
                  <w:marTop w:val="0"/>
                  <w:marBottom w:val="0"/>
                  <w:divBdr>
                    <w:top w:val="none" w:sz="0" w:space="0" w:color="auto"/>
                    <w:left w:val="none" w:sz="0" w:space="0" w:color="auto"/>
                    <w:bottom w:val="none" w:sz="0" w:space="0" w:color="auto"/>
                    <w:right w:val="none" w:sz="0" w:space="0" w:color="auto"/>
                  </w:divBdr>
                  <w:divsChild>
                    <w:div w:id="24258431">
                      <w:marLeft w:val="0"/>
                      <w:marRight w:val="0"/>
                      <w:marTop w:val="0"/>
                      <w:marBottom w:val="0"/>
                      <w:divBdr>
                        <w:top w:val="none" w:sz="0" w:space="0" w:color="auto"/>
                        <w:left w:val="none" w:sz="0" w:space="0" w:color="auto"/>
                        <w:bottom w:val="none" w:sz="0" w:space="0" w:color="auto"/>
                        <w:right w:val="none" w:sz="0" w:space="0" w:color="auto"/>
                      </w:divBdr>
                      <w:divsChild>
                        <w:div w:id="6912048">
                          <w:marLeft w:val="0"/>
                          <w:marRight w:val="0"/>
                          <w:marTop w:val="0"/>
                          <w:marBottom w:val="0"/>
                          <w:divBdr>
                            <w:top w:val="none" w:sz="0" w:space="0" w:color="auto"/>
                            <w:left w:val="none" w:sz="0" w:space="0" w:color="auto"/>
                            <w:bottom w:val="none" w:sz="0" w:space="0" w:color="auto"/>
                            <w:right w:val="none" w:sz="0" w:space="0" w:color="auto"/>
                          </w:divBdr>
                          <w:divsChild>
                            <w:div w:id="1955211263">
                              <w:marLeft w:val="0"/>
                              <w:marRight w:val="0"/>
                              <w:marTop w:val="0"/>
                              <w:marBottom w:val="0"/>
                              <w:divBdr>
                                <w:top w:val="none" w:sz="0" w:space="0" w:color="auto"/>
                                <w:left w:val="none" w:sz="0" w:space="0" w:color="auto"/>
                                <w:bottom w:val="none" w:sz="0" w:space="0" w:color="auto"/>
                                <w:right w:val="none" w:sz="0" w:space="0" w:color="auto"/>
                              </w:divBdr>
                              <w:divsChild>
                                <w:div w:id="1959755581">
                                  <w:marLeft w:val="0"/>
                                  <w:marRight w:val="0"/>
                                  <w:marTop w:val="0"/>
                                  <w:marBottom w:val="0"/>
                                  <w:divBdr>
                                    <w:top w:val="none" w:sz="0" w:space="0" w:color="auto"/>
                                    <w:left w:val="none" w:sz="0" w:space="0" w:color="auto"/>
                                    <w:bottom w:val="none" w:sz="0" w:space="0" w:color="auto"/>
                                    <w:right w:val="none" w:sz="0" w:space="0" w:color="auto"/>
                                  </w:divBdr>
                                  <w:divsChild>
                                    <w:div w:id="866068315">
                                      <w:marLeft w:val="0"/>
                                      <w:marRight w:val="0"/>
                                      <w:marTop w:val="0"/>
                                      <w:marBottom w:val="0"/>
                                      <w:divBdr>
                                        <w:top w:val="none" w:sz="0" w:space="0" w:color="auto"/>
                                        <w:left w:val="none" w:sz="0" w:space="0" w:color="auto"/>
                                        <w:bottom w:val="none" w:sz="0" w:space="0" w:color="auto"/>
                                        <w:right w:val="none" w:sz="0" w:space="0" w:color="auto"/>
                                      </w:divBdr>
                                      <w:divsChild>
                                        <w:div w:id="166003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9466346">
      <w:bodyDiv w:val="1"/>
      <w:marLeft w:val="0"/>
      <w:marRight w:val="0"/>
      <w:marTop w:val="0"/>
      <w:marBottom w:val="0"/>
      <w:divBdr>
        <w:top w:val="none" w:sz="0" w:space="0" w:color="auto"/>
        <w:left w:val="none" w:sz="0" w:space="0" w:color="auto"/>
        <w:bottom w:val="none" w:sz="0" w:space="0" w:color="auto"/>
        <w:right w:val="none" w:sz="0" w:space="0" w:color="auto"/>
      </w:divBdr>
      <w:divsChild>
        <w:div w:id="497313461">
          <w:marLeft w:val="0"/>
          <w:marRight w:val="0"/>
          <w:marTop w:val="300"/>
          <w:marBottom w:val="0"/>
          <w:divBdr>
            <w:top w:val="none" w:sz="0" w:space="0" w:color="auto"/>
            <w:left w:val="none" w:sz="0" w:space="0" w:color="auto"/>
            <w:bottom w:val="none" w:sz="0" w:space="0" w:color="auto"/>
            <w:right w:val="none" w:sz="0" w:space="0" w:color="auto"/>
          </w:divBdr>
        </w:div>
        <w:div w:id="1720543630">
          <w:marLeft w:val="0"/>
          <w:marRight w:val="0"/>
          <w:marTop w:val="135"/>
          <w:marBottom w:val="0"/>
          <w:divBdr>
            <w:top w:val="none" w:sz="0" w:space="0" w:color="auto"/>
            <w:left w:val="none" w:sz="0" w:space="0" w:color="auto"/>
            <w:bottom w:val="none" w:sz="0" w:space="0" w:color="auto"/>
            <w:right w:val="none" w:sz="0" w:space="0" w:color="auto"/>
          </w:divBdr>
          <w:divsChild>
            <w:div w:id="91305530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519654557">
      <w:bodyDiv w:val="1"/>
      <w:marLeft w:val="0"/>
      <w:marRight w:val="0"/>
      <w:marTop w:val="0"/>
      <w:marBottom w:val="0"/>
      <w:divBdr>
        <w:top w:val="none" w:sz="0" w:space="0" w:color="auto"/>
        <w:left w:val="none" w:sz="0" w:space="0" w:color="auto"/>
        <w:bottom w:val="none" w:sz="0" w:space="0" w:color="auto"/>
        <w:right w:val="none" w:sz="0" w:space="0" w:color="auto"/>
      </w:divBdr>
    </w:div>
    <w:div w:id="1520436439">
      <w:bodyDiv w:val="1"/>
      <w:marLeft w:val="0"/>
      <w:marRight w:val="0"/>
      <w:marTop w:val="0"/>
      <w:marBottom w:val="0"/>
      <w:divBdr>
        <w:top w:val="none" w:sz="0" w:space="0" w:color="auto"/>
        <w:left w:val="none" w:sz="0" w:space="0" w:color="auto"/>
        <w:bottom w:val="none" w:sz="0" w:space="0" w:color="auto"/>
        <w:right w:val="none" w:sz="0" w:space="0" w:color="auto"/>
      </w:divBdr>
    </w:div>
    <w:div w:id="1520581507">
      <w:bodyDiv w:val="1"/>
      <w:marLeft w:val="0"/>
      <w:marRight w:val="0"/>
      <w:marTop w:val="0"/>
      <w:marBottom w:val="0"/>
      <w:divBdr>
        <w:top w:val="none" w:sz="0" w:space="0" w:color="auto"/>
        <w:left w:val="none" w:sz="0" w:space="0" w:color="auto"/>
        <w:bottom w:val="none" w:sz="0" w:space="0" w:color="auto"/>
        <w:right w:val="none" w:sz="0" w:space="0" w:color="auto"/>
      </w:divBdr>
      <w:divsChild>
        <w:div w:id="820585507">
          <w:marLeft w:val="0"/>
          <w:marRight w:val="0"/>
          <w:marTop w:val="0"/>
          <w:marBottom w:val="150"/>
          <w:divBdr>
            <w:top w:val="none" w:sz="0" w:space="0" w:color="auto"/>
            <w:left w:val="none" w:sz="0" w:space="0" w:color="auto"/>
            <w:bottom w:val="none" w:sz="0" w:space="0" w:color="auto"/>
            <w:right w:val="none" w:sz="0" w:space="0" w:color="auto"/>
          </w:divBdr>
        </w:div>
      </w:divsChild>
    </w:div>
    <w:div w:id="1520774983">
      <w:bodyDiv w:val="1"/>
      <w:marLeft w:val="0"/>
      <w:marRight w:val="0"/>
      <w:marTop w:val="0"/>
      <w:marBottom w:val="0"/>
      <w:divBdr>
        <w:top w:val="none" w:sz="0" w:space="0" w:color="auto"/>
        <w:left w:val="none" w:sz="0" w:space="0" w:color="auto"/>
        <w:bottom w:val="none" w:sz="0" w:space="0" w:color="auto"/>
        <w:right w:val="none" w:sz="0" w:space="0" w:color="auto"/>
      </w:divBdr>
    </w:div>
    <w:div w:id="1520846995">
      <w:bodyDiv w:val="1"/>
      <w:marLeft w:val="0"/>
      <w:marRight w:val="0"/>
      <w:marTop w:val="0"/>
      <w:marBottom w:val="0"/>
      <w:divBdr>
        <w:top w:val="none" w:sz="0" w:space="0" w:color="auto"/>
        <w:left w:val="none" w:sz="0" w:space="0" w:color="auto"/>
        <w:bottom w:val="none" w:sz="0" w:space="0" w:color="auto"/>
        <w:right w:val="none" w:sz="0" w:space="0" w:color="auto"/>
      </w:divBdr>
      <w:divsChild>
        <w:div w:id="613754170">
          <w:marLeft w:val="0"/>
          <w:marRight w:val="0"/>
          <w:marTop w:val="0"/>
          <w:marBottom w:val="150"/>
          <w:divBdr>
            <w:top w:val="none" w:sz="0" w:space="0" w:color="auto"/>
            <w:left w:val="none" w:sz="0" w:space="0" w:color="auto"/>
            <w:bottom w:val="none" w:sz="0" w:space="0" w:color="auto"/>
            <w:right w:val="none" w:sz="0" w:space="0" w:color="auto"/>
          </w:divBdr>
          <w:divsChild>
            <w:div w:id="2107339368">
              <w:marLeft w:val="0"/>
              <w:marRight w:val="0"/>
              <w:marTop w:val="0"/>
              <w:marBottom w:val="0"/>
              <w:divBdr>
                <w:top w:val="none" w:sz="0" w:space="0" w:color="auto"/>
                <w:left w:val="none" w:sz="0" w:space="0" w:color="auto"/>
                <w:bottom w:val="none" w:sz="0" w:space="0" w:color="auto"/>
                <w:right w:val="none" w:sz="0" w:space="0" w:color="auto"/>
              </w:divBdr>
              <w:divsChild>
                <w:div w:id="101773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3373">
          <w:marLeft w:val="0"/>
          <w:marRight w:val="0"/>
          <w:marTop w:val="0"/>
          <w:marBottom w:val="150"/>
          <w:divBdr>
            <w:top w:val="none" w:sz="0" w:space="0" w:color="auto"/>
            <w:left w:val="none" w:sz="0" w:space="0" w:color="auto"/>
            <w:bottom w:val="none" w:sz="0" w:space="0" w:color="auto"/>
            <w:right w:val="none" w:sz="0" w:space="0" w:color="auto"/>
          </w:divBdr>
        </w:div>
        <w:div w:id="1046494084">
          <w:marLeft w:val="0"/>
          <w:marRight w:val="0"/>
          <w:marTop w:val="0"/>
          <w:marBottom w:val="0"/>
          <w:divBdr>
            <w:top w:val="none" w:sz="0" w:space="0" w:color="auto"/>
            <w:left w:val="none" w:sz="0" w:space="0" w:color="auto"/>
            <w:bottom w:val="none" w:sz="0" w:space="0" w:color="auto"/>
            <w:right w:val="none" w:sz="0" w:space="0" w:color="auto"/>
          </w:divBdr>
          <w:divsChild>
            <w:div w:id="181274952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20852590">
      <w:bodyDiv w:val="1"/>
      <w:marLeft w:val="0"/>
      <w:marRight w:val="0"/>
      <w:marTop w:val="0"/>
      <w:marBottom w:val="0"/>
      <w:divBdr>
        <w:top w:val="none" w:sz="0" w:space="0" w:color="auto"/>
        <w:left w:val="none" w:sz="0" w:space="0" w:color="auto"/>
        <w:bottom w:val="none" w:sz="0" w:space="0" w:color="auto"/>
        <w:right w:val="none" w:sz="0" w:space="0" w:color="auto"/>
      </w:divBdr>
    </w:div>
    <w:div w:id="1521162849">
      <w:bodyDiv w:val="1"/>
      <w:marLeft w:val="0"/>
      <w:marRight w:val="0"/>
      <w:marTop w:val="0"/>
      <w:marBottom w:val="0"/>
      <w:divBdr>
        <w:top w:val="none" w:sz="0" w:space="0" w:color="auto"/>
        <w:left w:val="none" w:sz="0" w:space="0" w:color="auto"/>
        <w:bottom w:val="none" w:sz="0" w:space="0" w:color="auto"/>
        <w:right w:val="none" w:sz="0" w:space="0" w:color="auto"/>
      </w:divBdr>
    </w:div>
    <w:div w:id="1521434780">
      <w:bodyDiv w:val="1"/>
      <w:marLeft w:val="0"/>
      <w:marRight w:val="0"/>
      <w:marTop w:val="0"/>
      <w:marBottom w:val="0"/>
      <w:divBdr>
        <w:top w:val="none" w:sz="0" w:space="0" w:color="auto"/>
        <w:left w:val="none" w:sz="0" w:space="0" w:color="auto"/>
        <w:bottom w:val="none" w:sz="0" w:space="0" w:color="auto"/>
        <w:right w:val="none" w:sz="0" w:space="0" w:color="auto"/>
      </w:divBdr>
      <w:divsChild>
        <w:div w:id="2129548053">
          <w:marLeft w:val="0"/>
          <w:marRight w:val="0"/>
          <w:marTop w:val="0"/>
          <w:marBottom w:val="0"/>
          <w:divBdr>
            <w:top w:val="none" w:sz="0" w:space="0" w:color="auto"/>
            <w:left w:val="none" w:sz="0" w:space="0" w:color="auto"/>
            <w:bottom w:val="none" w:sz="0" w:space="0" w:color="auto"/>
            <w:right w:val="none" w:sz="0" w:space="0" w:color="auto"/>
          </w:divBdr>
          <w:divsChild>
            <w:div w:id="444888859">
              <w:marLeft w:val="0"/>
              <w:marRight w:val="0"/>
              <w:marTop w:val="0"/>
              <w:marBottom w:val="0"/>
              <w:divBdr>
                <w:top w:val="none" w:sz="0" w:space="0" w:color="auto"/>
                <w:left w:val="none" w:sz="0" w:space="0" w:color="auto"/>
                <w:bottom w:val="none" w:sz="0" w:space="0" w:color="auto"/>
                <w:right w:val="none" w:sz="0" w:space="0" w:color="auto"/>
              </w:divBdr>
              <w:divsChild>
                <w:div w:id="1137839285">
                  <w:marLeft w:val="0"/>
                  <w:marRight w:val="0"/>
                  <w:marTop w:val="0"/>
                  <w:marBottom w:val="0"/>
                  <w:divBdr>
                    <w:top w:val="none" w:sz="0" w:space="0" w:color="auto"/>
                    <w:left w:val="none" w:sz="0" w:space="0" w:color="auto"/>
                    <w:bottom w:val="none" w:sz="0" w:space="0" w:color="auto"/>
                    <w:right w:val="none" w:sz="0" w:space="0" w:color="auto"/>
                  </w:divBdr>
                  <w:divsChild>
                    <w:div w:id="1051658579">
                      <w:marLeft w:val="0"/>
                      <w:marRight w:val="0"/>
                      <w:marTop w:val="0"/>
                      <w:marBottom w:val="0"/>
                      <w:divBdr>
                        <w:top w:val="none" w:sz="0" w:space="0" w:color="auto"/>
                        <w:left w:val="none" w:sz="0" w:space="0" w:color="auto"/>
                        <w:bottom w:val="none" w:sz="0" w:space="0" w:color="auto"/>
                        <w:right w:val="none" w:sz="0" w:space="0" w:color="auto"/>
                      </w:divBdr>
                      <w:divsChild>
                        <w:div w:id="1053502318">
                          <w:marLeft w:val="0"/>
                          <w:marRight w:val="0"/>
                          <w:marTop w:val="0"/>
                          <w:marBottom w:val="0"/>
                          <w:divBdr>
                            <w:top w:val="none" w:sz="0" w:space="0" w:color="auto"/>
                            <w:left w:val="none" w:sz="0" w:space="0" w:color="auto"/>
                            <w:bottom w:val="none" w:sz="0" w:space="0" w:color="auto"/>
                            <w:right w:val="none" w:sz="0" w:space="0" w:color="auto"/>
                          </w:divBdr>
                          <w:divsChild>
                            <w:div w:id="336345477">
                              <w:marLeft w:val="0"/>
                              <w:marRight w:val="0"/>
                              <w:marTop w:val="0"/>
                              <w:marBottom w:val="0"/>
                              <w:divBdr>
                                <w:top w:val="none" w:sz="0" w:space="0" w:color="auto"/>
                                <w:left w:val="none" w:sz="0" w:space="0" w:color="auto"/>
                                <w:bottom w:val="none" w:sz="0" w:space="0" w:color="auto"/>
                                <w:right w:val="none" w:sz="0" w:space="0" w:color="auto"/>
                              </w:divBdr>
                              <w:divsChild>
                                <w:div w:id="305866405">
                                  <w:marLeft w:val="0"/>
                                  <w:marRight w:val="0"/>
                                  <w:marTop w:val="0"/>
                                  <w:marBottom w:val="0"/>
                                  <w:divBdr>
                                    <w:top w:val="none" w:sz="0" w:space="0" w:color="auto"/>
                                    <w:left w:val="none" w:sz="0" w:space="0" w:color="auto"/>
                                    <w:bottom w:val="none" w:sz="0" w:space="0" w:color="auto"/>
                                    <w:right w:val="none" w:sz="0" w:space="0" w:color="auto"/>
                                  </w:divBdr>
                                  <w:divsChild>
                                    <w:div w:id="15682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1968882">
      <w:bodyDiv w:val="1"/>
      <w:marLeft w:val="0"/>
      <w:marRight w:val="0"/>
      <w:marTop w:val="0"/>
      <w:marBottom w:val="0"/>
      <w:divBdr>
        <w:top w:val="none" w:sz="0" w:space="0" w:color="auto"/>
        <w:left w:val="none" w:sz="0" w:space="0" w:color="auto"/>
        <w:bottom w:val="none" w:sz="0" w:space="0" w:color="auto"/>
        <w:right w:val="none" w:sz="0" w:space="0" w:color="auto"/>
      </w:divBdr>
    </w:div>
    <w:div w:id="1522163664">
      <w:bodyDiv w:val="1"/>
      <w:marLeft w:val="0"/>
      <w:marRight w:val="0"/>
      <w:marTop w:val="0"/>
      <w:marBottom w:val="0"/>
      <w:divBdr>
        <w:top w:val="none" w:sz="0" w:space="0" w:color="auto"/>
        <w:left w:val="none" w:sz="0" w:space="0" w:color="auto"/>
        <w:bottom w:val="none" w:sz="0" w:space="0" w:color="auto"/>
        <w:right w:val="none" w:sz="0" w:space="0" w:color="auto"/>
      </w:divBdr>
      <w:divsChild>
        <w:div w:id="1939484994">
          <w:marLeft w:val="0"/>
          <w:marRight w:val="0"/>
          <w:marTop w:val="0"/>
          <w:marBottom w:val="150"/>
          <w:divBdr>
            <w:top w:val="none" w:sz="0" w:space="0" w:color="auto"/>
            <w:left w:val="none" w:sz="0" w:space="0" w:color="auto"/>
            <w:bottom w:val="none" w:sz="0" w:space="0" w:color="auto"/>
            <w:right w:val="none" w:sz="0" w:space="0" w:color="auto"/>
          </w:divBdr>
        </w:div>
      </w:divsChild>
    </w:div>
    <w:div w:id="1522816070">
      <w:bodyDiv w:val="1"/>
      <w:marLeft w:val="0"/>
      <w:marRight w:val="0"/>
      <w:marTop w:val="0"/>
      <w:marBottom w:val="0"/>
      <w:divBdr>
        <w:top w:val="none" w:sz="0" w:space="0" w:color="auto"/>
        <w:left w:val="none" w:sz="0" w:space="0" w:color="auto"/>
        <w:bottom w:val="none" w:sz="0" w:space="0" w:color="auto"/>
        <w:right w:val="none" w:sz="0" w:space="0" w:color="auto"/>
      </w:divBdr>
      <w:divsChild>
        <w:div w:id="1006244841">
          <w:marLeft w:val="0"/>
          <w:marRight w:val="0"/>
          <w:marTop w:val="0"/>
          <w:marBottom w:val="0"/>
          <w:divBdr>
            <w:top w:val="none" w:sz="0" w:space="0" w:color="auto"/>
            <w:left w:val="none" w:sz="0" w:space="0" w:color="auto"/>
            <w:bottom w:val="dotted" w:sz="6" w:space="4" w:color="DDDDDD"/>
            <w:right w:val="none" w:sz="0" w:space="0" w:color="auto"/>
          </w:divBdr>
        </w:div>
      </w:divsChild>
    </w:div>
    <w:div w:id="1522932117">
      <w:bodyDiv w:val="1"/>
      <w:marLeft w:val="0"/>
      <w:marRight w:val="0"/>
      <w:marTop w:val="0"/>
      <w:marBottom w:val="0"/>
      <w:divBdr>
        <w:top w:val="none" w:sz="0" w:space="0" w:color="auto"/>
        <w:left w:val="none" w:sz="0" w:space="0" w:color="auto"/>
        <w:bottom w:val="none" w:sz="0" w:space="0" w:color="auto"/>
        <w:right w:val="none" w:sz="0" w:space="0" w:color="auto"/>
      </w:divBdr>
      <w:divsChild>
        <w:div w:id="286353558">
          <w:marLeft w:val="0"/>
          <w:marRight w:val="0"/>
          <w:marTop w:val="0"/>
          <w:marBottom w:val="0"/>
          <w:divBdr>
            <w:top w:val="none" w:sz="0" w:space="0" w:color="auto"/>
            <w:left w:val="none" w:sz="0" w:space="0" w:color="auto"/>
            <w:bottom w:val="none" w:sz="0" w:space="0" w:color="auto"/>
            <w:right w:val="none" w:sz="0" w:space="0" w:color="auto"/>
          </w:divBdr>
          <w:divsChild>
            <w:div w:id="875318184">
              <w:marLeft w:val="0"/>
              <w:marRight w:val="0"/>
              <w:marTop w:val="0"/>
              <w:marBottom w:val="0"/>
              <w:divBdr>
                <w:top w:val="none" w:sz="0" w:space="0" w:color="auto"/>
                <w:left w:val="none" w:sz="0" w:space="0" w:color="auto"/>
                <w:bottom w:val="none" w:sz="0" w:space="0" w:color="auto"/>
                <w:right w:val="none" w:sz="0" w:space="0" w:color="auto"/>
              </w:divBdr>
            </w:div>
          </w:divsChild>
        </w:div>
        <w:div w:id="334721827">
          <w:marLeft w:val="0"/>
          <w:marRight w:val="0"/>
          <w:marTop w:val="0"/>
          <w:marBottom w:val="150"/>
          <w:divBdr>
            <w:top w:val="none" w:sz="0" w:space="0" w:color="auto"/>
            <w:left w:val="none" w:sz="0" w:space="0" w:color="auto"/>
            <w:bottom w:val="none" w:sz="0" w:space="0" w:color="auto"/>
            <w:right w:val="none" w:sz="0" w:space="0" w:color="auto"/>
          </w:divBdr>
        </w:div>
        <w:div w:id="369185154">
          <w:marLeft w:val="0"/>
          <w:marRight w:val="0"/>
          <w:marTop w:val="0"/>
          <w:marBottom w:val="150"/>
          <w:divBdr>
            <w:top w:val="none" w:sz="0" w:space="0" w:color="auto"/>
            <w:left w:val="none" w:sz="0" w:space="0" w:color="auto"/>
            <w:bottom w:val="none" w:sz="0" w:space="0" w:color="auto"/>
            <w:right w:val="none" w:sz="0" w:space="0" w:color="auto"/>
          </w:divBdr>
          <w:divsChild>
            <w:div w:id="162130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856752">
      <w:bodyDiv w:val="1"/>
      <w:marLeft w:val="0"/>
      <w:marRight w:val="0"/>
      <w:marTop w:val="0"/>
      <w:marBottom w:val="0"/>
      <w:divBdr>
        <w:top w:val="none" w:sz="0" w:space="0" w:color="auto"/>
        <w:left w:val="none" w:sz="0" w:space="0" w:color="auto"/>
        <w:bottom w:val="none" w:sz="0" w:space="0" w:color="auto"/>
        <w:right w:val="none" w:sz="0" w:space="0" w:color="auto"/>
      </w:divBdr>
      <w:divsChild>
        <w:div w:id="599800871">
          <w:marLeft w:val="0"/>
          <w:marRight w:val="0"/>
          <w:marTop w:val="0"/>
          <w:marBottom w:val="0"/>
          <w:divBdr>
            <w:top w:val="none" w:sz="0" w:space="8" w:color="auto"/>
            <w:left w:val="none" w:sz="0" w:space="2" w:color="auto"/>
            <w:bottom w:val="single" w:sz="6" w:space="8" w:color="DDDDDD"/>
            <w:right w:val="none" w:sz="0" w:space="0" w:color="auto"/>
          </w:divBdr>
        </w:div>
        <w:div w:id="1938904980">
          <w:marLeft w:val="0"/>
          <w:marRight w:val="0"/>
          <w:marTop w:val="150"/>
          <w:marBottom w:val="0"/>
          <w:divBdr>
            <w:top w:val="none" w:sz="0" w:space="0" w:color="auto"/>
            <w:left w:val="none" w:sz="0" w:space="0" w:color="auto"/>
            <w:bottom w:val="none" w:sz="0" w:space="0" w:color="auto"/>
            <w:right w:val="none" w:sz="0" w:space="0" w:color="auto"/>
          </w:divBdr>
          <w:divsChild>
            <w:div w:id="128924087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24129230">
      <w:bodyDiv w:val="1"/>
      <w:marLeft w:val="0"/>
      <w:marRight w:val="0"/>
      <w:marTop w:val="0"/>
      <w:marBottom w:val="0"/>
      <w:divBdr>
        <w:top w:val="none" w:sz="0" w:space="0" w:color="auto"/>
        <w:left w:val="none" w:sz="0" w:space="0" w:color="auto"/>
        <w:bottom w:val="none" w:sz="0" w:space="0" w:color="auto"/>
        <w:right w:val="none" w:sz="0" w:space="0" w:color="auto"/>
      </w:divBdr>
      <w:divsChild>
        <w:div w:id="409082334">
          <w:marLeft w:val="0"/>
          <w:marRight w:val="0"/>
          <w:marTop w:val="0"/>
          <w:marBottom w:val="0"/>
          <w:divBdr>
            <w:top w:val="none" w:sz="0" w:space="0" w:color="auto"/>
            <w:left w:val="none" w:sz="0" w:space="0" w:color="auto"/>
            <w:bottom w:val="dotted" w:sz="6" w:space="4" w:color="DDDDDD"/>
            <w:right w:val="none" w:sz="0" w:space="0" w:color="auto"/>
          </w:divBdr>
          <w:divsChild>
            <w:div w:id="108318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443251">
      <w:bodyDiv w:val="1"/>
      <w:marLeft w:val="0"/>
      <w:marRight w:val="0"/>
      <w:marTop w:val="0"/>
      <w:marBottom w:val="0"/>
      <w:divBdr>
        <w:top w:val="none" w:sz="0" w:space="0" w:color="auto"/>
        <w:left w:val="none" w:sz="0" w:space="0" w:color="auto"/>
        <w:bottom w:val="none" w:sz="0" w:space="0" w:color="auto"/>
        <w:right w:val="none" w:sz="0" w:space="0" w:color="auto"/>
      </w:divBdr>
    </w:div>
    <w:div w:id="1524630652">
      <w:bodyDiv w:val="1"/>
      <w:marLeft w:val="0"/>
      <w:marRight w:val="0"/>
      <w:marTop w:val="0"/>
      <w:marBottom w:val="0"/>
      <w:divBdr>
        <w:top w:val="none" w:sz="0" w:space="0" w:color="auto"/>
        <w:left w:val="none" w:sz="0" w:space="0" w:color="auto"/>
        <w:bottom w:val="none" w:sz="0" w:space="0" w:color="auto"/>
        <w:right w:val="none" w:sz="0" w:space="0" w:color="auto"/>
      </w:divBdr>
      <w:divsChild>
        <w:div w:id="1204059407">
          <w:marLeft w:val="0"/>
          <w:marRight w:val="0"/>
          <w:marTop w:val="0"/>
          <w:marBottom w:val="0"/>
          <w:divBdr>
            <w:top w:val="none" w:sz="0" w:space="0" w:color="auto"/>
            <w:left w:val="none" w:sz="0" w:space="0" w:color="auto"/>
            <w:bottom w:val="dotted" w:sz="6" w:space="4" w:color="DDDDDD"/>
            <w:right w:val="none" w:sz="0" w:space="0" w:color="auto"/>
          </w:divBdr>
        </w:div>
      </w:divsChild>
    </w:div>
    <w:div w:id="1524783457">
      <w:bodyDiv w:val="1"/>
      <w:marLeft w:val="0"/>
      <w:marRight w:val="0"/>
      <w:marTop w:val="0"/>
      <w:marBottom w:val="0"/>
      <w:divBdr>
        <w:top w:val="none" w:sz="0" w:space="0" w:color="auto"/>
        <w:left w:val="none" w:sz="0" w:space="0" w:color="auto"/>
        <w:bottom w:val="none" w:sz="0" w:space="0" w:color="auto"/>
        <w:right w:val="none" w:sz="0" w:space="0" w:color="auto"/>
      </w:divBdr>
      <w:divsChild>
        <w:div w:id="427116545">
          <w:marLeft w:val="0"/>
          <w:marRight w:val="0"/>
          <w:marTop w:val="150"/>
          <w:marBottom w:val="0"/>
          <w:divBdr>
            <w:top w:val="none" w:sz="0" w:space="0" w:color="auto"/>
            <w:left w:val="none" w:sz="0" w:space="0" w:color="auto"/>
            <w:bottom w:val="none" w:sz="0" w:space="0" w:color="auto"/>
            <w:right w:val="none" w:sz="0" w:space="0" w:color="auto"/>
          </w:divBdr>
          <w:divsChild>
            <w:div w:id="41104398">
              <w:marLeft w:val="0"/>
              <w:marRight w:val="150"/>
              <w:marTop w:val="0"/>
              <w:marBottom w:val="0"/>
              <w:divBdr>
                <w:top w:val="none" w:sz="0" w:space="0" w:color="auto"/>
                <w:left w:val="none" w:sz="0" w:space="0" w:color="auto"/>
                <w:bottom w:val="none" w:sz="0" w:space="0" w:color="auto"/>
                <w:right w:val="none" w:sz="0" w:space="0" w:color="auto"/>
              </w:divBdr>
            </w:div>
          </w:divsChild>
        </w:div>
        <w:div w:id="643312029">
          <w:marLeft w:val="0"/>
          <w:marRight w:val="0"/>
          <w:marTop w:val="0"/>
          <w:marBottom w:val="0"/>
          <w:divBdr>
            <w:top w:val="none" w:sz="0" w:space="8" w:color="auto"/>
            <w:left w:val="none" w:sz="0" w:space="2" w:color="auto"/>
            <w:bottom w:val="single" w:sz="6" w:space="8" w:color="DDDDDD"/>
            <w:right w:val="none" w:sz="0" w:space="0" w:color="auto"/>
          </w:divBdr>
        </w:div>
      </w:divsChild>
    </w:div>
    <w:div w:id="1524977241">
      <w:bodyDiv w:val="1"/>
      <w:marLeft w:val="0"/>
      <w:marRight w:val="0"/>
      <w:marTop w:val="0"/>
      <w:marBottom w:val="0"/>
      <w:divBdr>
        <w:top w:val="none" w:sz="0" w:space="0" w:color="auto"/>
        <w:left w:val="none" w:sz="0" w:space="0" w:color="auto"/>
        <w:bottom w:val="none" w:sz="0" w:space="0" w:color="auto"/>
        <w:right w:val="none" w:sz="0" w:space="0" w:color="auto"/>
      </w:divBdr>
      <w:divsChild>
        <w:div w:id="2123843027">
          <w:marLeft w:val="0"/>
          <w:marRight w:val="0"/>
          <w:marTop w:val="0"/>
          <w:marBottom w:val="150"/>
          <w:divBdr>
            <w:top w:val="none" w:sz="0" w:space="0" w:color="auto"/>
            <w:left w:val="none" w:sz="0" w:space="0" w:color="auto"/>
            <w:bottom w:val="none" w:sz="0" w:space="0" w:color="auto"/>
            <w:right w:val="none" w:sz="0" w:space="0" w:color="auto"/>
          </w:divBdr>
        </w:div>
      </w:divsChild>
    </w:div>
    <w:div w:id="1525167803">
      <w:bodyDiv w:val="1"/>
      <w:marLeft w:val="0"/>
      <w:marRight w:val="0"/>
      <w:marTop w:val="0"/>
      <w:marBottom w:val="0"/>
      <w:divBdr>
        <w:top w:val="none" w:sz="0" w:space="0" w:color="auto"/>
        <w:left w:val="none" w:sz="0" w:space="0" w:color="auto"/>
        <w:bottom w:val="none" w:sz="0" w:space="0" w:color="auto"/>
        <w:right w:val="none" w:sz="0" w:space="0" w:color="auto"/>
      </w:divBdr>
      <w:divsChild>
        <w:div w:id="189150924">
          <w:marLeft w:val="0"/>
          <w:marRight w:val="0"/>
          <w:marTop w:val="0"/>
          <w:marBottom w:val="0"/>
          <w:divBdr>
            <w:top w:val="none" w:sz="0" w:space="0" w:color="auto"/>
            <w:left w:val="none" w:sz="0" w:space="0" w:color="auto"/>
            <w:bottom w:val="none" w:sz="0" w:space="0" w:color="auto"/>
            <w:right w:val="none" w:sz="0" w:space="0" w:color="auto"/>
          </w:divBdr>
        </w:div>
        <w:div w:id="459610824">
          <w:marLeft w:val="0"/>
          <w:marRight w:val="0"/>
          <w:marTop w:val="0"/>
          <w:marBottom w:val="150"/>
          <w:divBdr>
            <w:top w:val="none" w:sz="0" w:space="0" w:color="auto"/>
            <w:left w:val="none" w:sz="0" w:space="0" w:color="auto"/>
            <w:bottom w:val="none" w:sz="0" w:space="0" w:color="auto"/>
            <w:right w:val="none" w:sz="0" w:space="0" w:color="auto"/>
          </w:divBdr>
        </w:div>
        <w:div w:id="1171718225">
          <w:marLeft w:val="0"/>
          <w:marRight w:val="0"/>
          <w:marTop w:val="0"/>
          <w:marBottom w:val="150"/>
          <w:divBdr>
            <w:top w:val="none" w:sz="0" w:space="0" w:color="auto"/>
            <w:left w:val="none" w:sz="0" w:space="0" w:color="auto"/>
            <w:bottom w:val="none" w:sz="0" w:space="0" w:color="auto"/>
            <w:right w:val="none" w:sz="0" w:space="0" w:color="auto"/>
          </w:divBdr>
        </w:div>
      </w:divsChild>
    </w:div>
    <w:div w:id="1525558722">
      <w:bodyDiv w:val="1"/>
      <w:marLeft w:val="0"/>
      <w:marRight w:val="0"/>
      <w:marTop w:val="0"/>
      <w:marBottom w:val="0"/>
      <w:divBdr>
        <w:top w:val="none" w:sz="0" w:space="0" w:color="auto"/>
        <w:left w:val="none" w:sz="0" w:space="0" w:color="auto"/>
        <w:bottom w:val="none" w:sz="0" w:space="0" w:color="auto"/>
        <w:right w:val="none" w:sz="0" w:space="0" w:color="auto"/>
      </w:divBdr>
      <w:divsChild>
        <w:div w:id="1150907416">
          <w:marLeft w:val="0"/>
          <w:marRight w:val="0"/>
          <w:marTop w:val="0"/>
          <w:marBottom w:val="0"/>
          <w:divBdr>
            <w:top w:val="none" w:sz="0" w:space="0" w:color="auto"/>
            <w:left w:val="none" w:sz="0" w:space="0" w:color="auto"/>
            <w:bottom w:val="none" w:sz="0" w:space="0" w:color="auto"/>
            <w:right w:val="none" w:sz="0" w:space="0" w:color="auto"/>
          </w:divBdr>
          <w:divsChild>
            <w:div w:id="128195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635035">
      <w:bodyDiv w:val="1"/>
      <w:marLeft w:val="0"/>
      <w:marRight w:val="0"/>
      <w:marTop w:val="0"/>
      <w:marBottom w:val="0"/>
      <w:divBdr>
        <w:top w:val="none" w:sz="0" w:space="0" w:color="auto"/>
        <w:left w:val="none" w:sz="0" w:space="0" w:color="auto"/>
        <w:bottom w:val="none" w:sz="0" w:space="0" w:color="auto"/>
        <w:right w:val="none" w:sz="0" w:space="0" w:color="auto"/>
      </w:divBdr>
      <w:divsChild>
        <w:div w:id="1543323832">
          <w:marLeft w:val="0"/>
          <w:marRight w:val="0"/>
          <w:marTop w:val="0"/>
          <w:marBottom w:val="0"/>
          <w:divBdr>
            <w:top w:val="none" w:sz="0" w:space="0" w:color="auto"/>
            <w:left w:val="none" w:sz="0" w:space="0" w:color="auto"/>
            <w:bottom w:val="none" w:sz="0" w:space="0" w:color="auto"/>
            <w:right w:val="none" w:sz="0" w:space="0" w:color="auto"/>
          </w:divBdr>
          <w:divsChild>
            <w:div w:id="2001695221">
              <w:marLeft w:val="0"/>
              <w:marRight w:val="0"/>
              <w:marTop w:val="0"/>
              <w:marBottom w:val="0"/>
              <w:divBdr>
                <w:top w:val="none" w:sz="0" w:space="0" w:color="auto"/>
                <w:left w:val="none" w:sz="0" w:space="0" w:color="auto"/>
                <w:bottom w:val="none" w:sz="0" w:space="0" w:color="auto"/>
                <w:right w:val="none" w:sz="0" w:space="0" w:color="auto"/>
              </w:divBdr>
            </w:div>
            <w:div w:id="20077102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25971809">
      <w:bodyDiv w:val="1"/>
      <w:marLeft w:val="0"/>
      <w:marRight w:val="0"/>
      <w:marTop w:val="0"/>
      <w:marBottom w:val="0"/>
      <w:divBdr>
        <w:top w:val="none" w:sz="0" w:space="0" w:color="auto"/>
        <w:left w:val="none" w:sz="0" w:space="0" w:color="auto"/>
        <w:bottom w:val="none" w:sz="0" w:space="0" w:color="auto"/>
        <w:right w:val="none" w:sz="0" w:space="0" w:color="auto"/>
      </w:divBdr>
      <w:divsChild>
        <w:div w:id="915671039">
          <w:marLeft w:val="0"/>
          <w:marRight w:val="0"/>
          <w:marTop w:val="0"/>
          <w:marBottom w:val="0"/>
          <w:divBdr>
            <w:top w:val="none" w:sz="0" w:space="0" w:color="auto"/>
            <w:left w:val="none" w:sz="0" w:space="0" w:color="auto"/>
            <w:bottom w:val="none" w:sz="0" w:space="0" w:color="auto"/>
            <w:right w:val="none" w:sz="0" w:space="0" w:color="auto"/>
          </w:divBdr>
          <w:divsChild>
            <w:div w:id="130755705">
              <w:marLeft w:val="0"/>
              <w:marRight w:val="0"/>
              <w:marTop w:val="225"/>
              <w:marBottom w:val="225"/>
              <w:divBdr>
                <w:top w:val="none" w:sz="0" w:space="0" w:color="auto"/>
                <w:left w:val="none" w:sz="0" w:space="0" w:color="auto"/>
                <w:bottom w:val="none" w:sz="0" w:space="0" w:color="auto"/>
                <w:right w:val="none" w:sz="0" w:space="0" w:color="auto"/>
              </w:divBdr>
            </w:div>
          </w:divsChild>
        </w:div>
        <w:div w:id="1829706424">
          <w:marLeft w:val="0"/>
          <w:marRight w:val="0"/>
          <w:marTop w:val="0"/>
          <w:marBottom w:val="150"/>
          <w:divBdr>
            <w:top w:val="none" w:sz="0" w:space="0" w:color="auto"/>
            <w:left w:val="none" w:sz="0" w:space="0" w:color="auto"/>
            <w:bottom w:val="none" w:sz="0" w:space="0" w:color="auto"/>
            <w:right w:val="none" w:sz="0" w:space="0" w:color="auto"/>
          </w:divBdr>
        </w:div>
        <w:div w:id="1991905494">
          <w:marLeft w:val="0"/>
          <w:marRight w:val="0"/>
          <w:marTop w:val="0"/>
          <w:marBottom w:val="150"/>
          <w:divBdr>
            <w:top w:val="none" w:sz="0" w:space="0" w:color="auto"/>
            <w:left w:val="none" w:sz="0" w:space="0" w:color="auto"/>
            <w:bottom w:val="none" w:sz="0" w:space="0" w:color="auto"/>
            <w:right w:val="none" w:sz="0" w:space="0" w:color="auto"/>
          </w:divBdr>
          <w:divsChild>
            <w:div w:id="1589919835">
              <w:marLeft w:val="0"/>
              <w:marRight w:val="0"/>
              <w:marTop w:val="0"/>
              <w:marBottom w:val="0"/>
              <w:divBdr>
                <w:top w:val="none" w:sz="0" w:space="0" w:color="auto"/>
                <w:left w:val="none" w:sz="0" w:space="0" w:color="auto"/>
                <w:bottom w:val="none" w:sz="0" w:space="0" w:color="auto"/>
                <w:right w:val="none" w:sz="0" w:space="0" w:color="auto"/>
              </w:divBdr>
              <w:divsChild>
                <w:div w:id="54926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014970">
      <w:bodyDiv w:val="1"/>
      <w:marLeft w:val="0"/>
      <w:marRight w:val="0"/>
      <w:marTop w:val="0"/>
      <w:marBottom w:val="0"/>
      <w:divBdr>
        <w:top w:val="none" w:sz="0" w:space="0" w:color="auto"/>
        <w:left w:val="none" w:sz="0" w:space="0" w:color="auto"/>
        <w:bottom w:val="none" w:sz="0" w:space="0" w:color="auto"/>
        <w:right w:val="none" w:sz="0" w:space="0" w:color="auto"/>
      </w:divBdr>
      <w:divsChild>
        <w:div w:id="1402562666">
          <w:marLeft w:val="0"/>
          <w:marRight w:val="0"/>
          <w:marTop w:val="0"/>
          <w:marBottom w:val="225"/>
          <w:divBdr>
            <w:top w:val="none" w:sz="0" w:space="0" w:color="auto"/>
            <w:left w:val="none" w:sz="0" w:space="0" w:color="auto"/>
            <w:bottom w:val="none" w:sz="0" w:space="0" w:color="auto"/>
            <w:right w:val="none" w:sz="0" w:space="0" w:color="auto"/>
          </w:divBdr>
        </w:div>
      </w:divsChild>
    </w:div>
    <w:div w:id="1526167317">
      <w:bodyDiv w:val="1"/>
      <w:marLeft w:val="0"/>
      <w:marRight w:val="0"/>
      <w:marTop w:val="0"/>
      <w:marBottom w:val="0"/>
      <w:divBdr>
        <w:top w:val="none" w:sz="0" w:space="0" w:color="auto"/>
        <w:left w:val="none" w:sz="0" w:space="0" w:color="auto"/>
        <w:bottom w:val="none" w:sz="0" w:space="0" w:color="auto"/>
        <w:right w:val="none" w:sz="0" w:space="0" w:color="auto"/>
      </w:divBdr>
      <w:divsChild>
        <w:div w:id="617444269">
          <w:marLeft w:val="0"/>
          <w:marRight w:val="0"/>
          <w:marTop w:val="0"/>
          <w:marBottom w:val="0"/>
          <w:divBdr>
            <w:top w:val="none" w:sz="0" w:space="0" w:color="auto"/>
            <w:left w:val="none" w:sz="0" w:space="0" w:color="auto"/>
            <w:bottom w:val="dotted" w:sz="6" w:space="4" w:color="DDDDDD"/>
            <w:right w:val="none" w:sz="0" w:space="0" w:color="auto"/>
          </w:divBdr>
          <w:divsChild>
            <w:div w:id="21577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285485">
      <w:bodyDiv w:val="1"/>
      <w:marLeft w:val="0"/>
      <w:marRight w:val="0"/>
      <w:marTop w:val="0"/>
      <w:marBottom w:val="0"/>
      <w:divBdr>
        <w:top w:val="none" w:sz="0" w:space="0" w:color="auto"/>
        <w:left w:val="none" w:sz="0" w:space="0" w:color="auto"/>
        <w:bottom w:val="none" w:sz="0" w:space="0" w:color="auto"/>
        <w:right w:val="none" w:sz="0" w:space="0" w:color="auto"/>
      </w:divBdr>
      <w:divsChild>
        <w:div w:id="374083263">
          <w:marLeft w:val="0"/>
          <w:marRight w:val="0"/>
          <w:marTop w:val="0"/>
          <w:marBottom w:val="150"/>
          <w:divBdr>
            <w:top w:val="none" w:sz="0" w:space="0" w:color="auto"/>
            <w:left w:val="none" w:sz="0" w:space="0" w:color="auto"/>
            <w:bottom w:val="none" w:sz="0" w:space="0" w:color="auto"/>
            <w:right w:val="none" w:sz="0" w:space="0" w:color="auto"/>
          </w:divBdr>
          <w:divsChild>
            <w:div w:id="676077998">
              <w:marLeft w:val="0"/>
              <w:marRight w:val="0"/>
              <w:marTop w:val="0"/>
              <w:marBottom w:val="0"/>
              <w:divBdr>
                <w:top w:val="none" w:sz="0" w:space="0" w:color="auto"/>
                <w:left w:val="none" w:sz="0" w:space="0" w:color="auto"/>
                <w:bottom w:val="none" w:sz="0" w:space="0" w:color="auto"/>
                <w:right w:val="none" w:sz="0" w:space="0" w:color="auto"/>
              </w:divBdr>
              <w:divsChild>
                <w:div w:id="142777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18391">
          <w:marLeft w:val="0"/>
          <w:marRight w:val="0"/>
          <w:marTop w:val="0"/>
          <w:marBottom w:val="0"/>
          <w:divBdr>
            <w:top w:val="none" w:sz="0" w:space="0" w:color="auto"/>
            <w:left w:val="none" w:sz="0" w:space="0" w:color="auto"/>
            <w:bottom w:val="none" w:sz="0" w:space="0" w:color="auto"/>
            <w:right w:val="none" w:sz="0" w:space="0" w:color="auto"/>
          </w:divBdr>
          <w:divsChild>
            <w:div w:id="43410088">
              <w:marLeft w:val="0"/>
              <w:marRight w:val="0"/>
              <w:marTop w:val="0"/>
              <w:marBottom w:val="0"/>
              <w:divBdr>
                <w:top w:val="none" w:sz="0" w:space="0" w:color="auto"/>
                <w:left w:val="none" w:sz="0" w:space="0" w:color="auto"/>
                <w:bottom w:val="none" w:sz="0" w:space="0" w:color="auto"/>
                <w:right w:val="none" w:sz="0" w:space="0" w:color="auto"/>
              </w:divBdr>
              <w:divsChild>
                <w:div w:id="1920211102">
                  <w:marLeft w:val="0"/>
                  <w:marRight w:val="0"/>
                  <w:marTop w:val="225"/>
                  <w:marBottom w:val="225"/>
                  <w:divBdr>
                    <w:top w:val="none" w:sz="0" w:space="0" w:color="auto"/>
                    <w:left w:val="none" w:sz="0" w:space="0" w:color="auto"/>
                    <w:bottom w:val="none" w:sz="0" w:space="0" w:color="auto"/>
                    <w:right w:val="none" w:sz="0" w:space="0" w:color="auto"/>
                  </w:divBdr>
                </w:div>
              </w:divsChild>
            </w:div>
            <w:div w:id="1327628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26402913">
      <w:bodyDiv w:val="1"/>
      <w:marLeft w:val="0"/>
      <w:marRight w:val="0"/>
      <w:marTop w:val="0"/>
      <w:marBottom w:val="0"/>
      <w:divBdr>
        <w:top w:val="none" w:sz="0" w:space="0" w:color="auto"/>
        <w:left w:val="none" w:sz="0" w:space="0" w:color="auto"/>
        <w:bottom w:val="none" w:sz="0" w:space="0" w:color="auto"/>
        <w:right w:val="none" w:sz="0" w:space="0" w:color="auto"/>
      </w:divBdr>
      <w:divsChild>
        <w:div w:id="1522822598">
          <w:marLeft w:val="0"/>
          <w:marRight w:val="0"/>
          <w:marTop w:val="0"/>
          <w:marBottom w:val="150"/>
          <w:divBdr>
            <w:top w:val="none" w:sz="0" w:space="0" w:color="auto"/>
            <w:left w:val="none" w:sz="0" w:space="0" w:color="auto"/>
            <w:bottom w:val="none" w:sz="0" w:space="0" w:color="auto"/>
            <w:right w:val="none" w:sz="0" w:space="0" w:color="auto"/>
          </w:divBdr>
        </w:div>
      </w:divsChild>
    </w:div>
    <w:div w:id="1527138276">
      <w:bodyDiv w:val="1"/>
      <w:marLeft w:val="0"/>
      <w:marRight w:val="0"/>
      <w:marTop w:val="0"/>
      <w:marBottom w:val="0"/>
      <w:divBdr>
        <w:top w:val="none" w:sz="0" w:space="0" w:color="auto"/>
        <w:left w:val="none" w:sz="0" w:space="0" w:color="auto"/>
        <w:bottom w:val="none" w:sz="0" w:space="0" w:color="auto"/>
        <w:right w:val="none" w:sz="0" w:space="0" w:color="auto"/>
      </w:divBdr>
      <w:divsChild>
        <w:div w:id="1984653201">
          <w:marLeft w:val="0"/>
          <w:marRight w:val="0"/>
          <w:marTop w:val="0"/>
          <w:marBottom w:val="0"/>
          <w:divBdr>
            <w:top w:val="none" w:sz="0" w:space="0" w:color="auto"/>
            <w:left w:val="none" w:sz="0" w:space="0" w:color="auto"/>
            <w:bottom w:val="none" w:sz="0" w:space="0" w:color="auto"/>
            <w:right w:val="none" w:sz="0" w:space="0" w:color="auto"/>
          </w:divBdr>
          <w:divsChild>
            <w:div w:id="388960250">
              <w:marLeft w:val="0"/>
              <w:marRight w:val="0"/>
              <w:marTop w:val="0"/>
              <w:marBottom w:val="0"/>
              <w:divBdr>
                <w:top w:val="none" w:sz="0" w:space="0" w:color="auto"/>
                <w:left w:val="none" w:sz="0" w:space="0" w:color="auto"/>
                <w:bottom w:val="none" w:sz="0" w:space="0" w:color="auto"/>
                <w:right w:val="none" w:sz="0" w:space="0" w:color="auto"/>
              </w:divBdr>
              <w:divsChild>
                <w:div w:id="1400590809">
                  <w:marLeft w:val="0"/>
                  <w:marRight w:val="0"/>
                  <w:marTop w:val="0"/>
                  <w:marBottom w:val="0"/>
                  <w:divBdr>
                    <w:top w:val="none" w:sz="0" w:space="0" w:color="auto"/>
                    <w:left w:val="none" w:sz="0" w:space="0" w:color="auto"/>
                    <w:bottom w:val="none" w:sz="0" w:space="0" w:color="auto"/>
                    <w:right w:val="none" w:sz="0" w:space="0" w:color="auto"/>
                  </w:divBdr>
                  <w:divsChild>
                    <w:div w:id="1477409519">
                      <w:marLeft w:val="0"/>
                      <w:marRight w:val="0"/>
                      <w:marTop w:val="0"/>
                      <w:marBottom w:val="0"/>
                      <w:divBdr>
                        <w:top w:val="none" w:sz="0" w:space="0" w:color="auto"/>
                        <w:left w:val="none" w:sz="0" w:space="0" w:color="auto"/>
                        <w:bottom w:val="none" w:sz="0" w:space="0" w:color="auto"/>
                        <w:right w:val="none" w:sz="0" w:space="0" w:color="auto"/>
                      </w:divBdr>
                      <w:divsChild>
                        <w:div w:id="377365599">
                          <w:marLeft w:val="0"/>
                          <w:marRight w:val="0"/>
                          <w:marTop w:val="0"/>
                          <w:marBottom w:val="0"/>
                          <w:divBdr>
                            <w:top w:val="none" w:sz="0" w:space="0" w:color="auto"/>
                            <w:left w:val="none" w:sz="0" w:space="0" w:color="auto"/>
                            <w:bottom w:val="none" w:sz="0" w:space="0" w:color="auto"/>
                            <w:right w:val="none" w:sz="0" w:space="0" w:color="auto"/>
                          </w:divBdr>
                          <w:divsChild>
                            <w:div w:id="321276593">
                              <w:marLeft w:val="0"/>
                              <w:marRight w:val="0"/>
                              <w:marTop w:val="0"/>
                              <w:marBottom w:val="0"/>
                              <w:divBdr>
                                <w:top w:val="none" w:sz="0" w:space="0" w:color="auto"/>
                                <w:left w:val="none" w:sz="0" w:space="0" w:color="auto"/>
                                <w:bottom w:val="none" w:sz="0" w:space="0" w:color="auto"/>
                                <w:right w:val="none" w:sz="0" w:space="0" w:color="auto"/>
                              </w:divBdr>
                              <w:divsChild>
                                <w:div w:id="2134404384">
                                  <w:marLeft w:val="0"/>
                                  <w:marRight w:val="0"/>
                                  <w:marTop w:val="0"/>
                                  <w:marBottom w:val="0"/>
                                  <w:divBdr>
                                    <w:top w:val="none" w:sz="0" w:space="0" w:color="auto"/>
                                    <w:left w:val="none" w:sz="0" w:space="0" w:color="auto"/>
                                    <w:bottom w:val="none" w:sz="0" w:space="0" w:color="auto"/>
                                    <w:right w:val="none" w:sz="0" w:space="0" w:color="auto"/>
                                  </w:divBdr>
                                  <w:divsChild>
                                    <w:div w:id="194341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594101">
      <w:bodyDiv w:val="1"/>
      <w:marLeft w:val="0"/>
      <w:marRight w:val="0"/>
      <w:marTop w:val="0"/>
      <w:marBottom w:val="0"/>
      <w:divBdr>
        <w:top w:val="none" w:sz="0" w:space="0" w:color="auto"/>
        <w:left w:val="none" w:sz="0" w:space="0" w:color="auto"/>
        <w:bottom w:val="none" w:sz="0" w:space="0" w:color="auto"/>
        <w:right w:val="none" w:sz="0" w:space="0" w:color="auto"/>
      </w:divBdr>
      <w:divsChild>
        <w:div w:id="1134637098">
          <w:marLeft w:val="0"/>
          <w:marRight w:val="0"/>
          <w:marTop w:val="0"/>
          <w:marBottom w:val="0"/>
          <w:divBdr>
            <w:top w:val="none" w:sz="0" w:space="0" w:color="auto"/>
            <w:left w:val="none" w:sz="0" w:space="0" w:color="auto"/>
            <w:bottom w:val="none" w:sz="0" w:space="0" w:color="auto"/>
            <w:right w:val="none" w:sz="0" w:space="0" w:color="auto"/>
          </w:divBdr>
          <w:divsChild>
            <w:div w:id="1079911508">
              <w:marLeft w:val="0"/>
              <w:marRight w:val="0"/>
              <w:marTop w:val="0"/>
              <w:marBottom w:val="0"/>
              <w:divBdr>
                <w:top w:val="none" w:sz="0" w:space="0" w:color="auto"/>
                <w:left w:val="none" w:sz="0" w:space="0" w:color="auto"/>
                <w:bottom w:val="none" w:sz="0" w:space="0" w:color="auto"/>
                <w:right w:val="none" w:sz="0" w:space="0" w:color="auto"/>
              </w:divBdr>
            </w:div>
          </w:divsChild>
        </w:div>
        <w:div w:id="1141582185">
          <w:marLeft w:val="0"/>
          <w:marRight w:val="0"/>
          <w:marTop w:val="150"/>
          <w:marBottom w:val="0"/>
          <w:divBdr>
            <w:top w:val="none" w:sz="0" w:space="0" w:color="auto"/>
            <w:left w:val="none" w:sz="0" w:space="0" w:color="auto"/>
            <w:bottom w:val="none" w:sz="0" w:space="0" w:color="auto"/>
            <w:right w:val="none" w:sz="0" w:space="0" w:color="auto"/>
          </w:divBdr>
          <w:divsChild>
            <w:div w:id="707529554">
              <w:marLeft w:val="0"/>
              <w:marRight w:val="0"/>
              <w:marTop w:val="0"/>
              <w:marBottom w:val="0"/>
              <w:divBdr>
                <w:top w:val="none" w:sz="0" w:space="0" w:color="auto"/>
                <w:left w:val="none" w:sz="0" w:space="0" w:color="auto"/>
                <w:bottom w:val="none" w:sz="0" w:space="0" w:color="auto"/>
                <w:right w:val="none" w:sz="0" w:space="0" w:color="auto"/>
              </w:divBdr>
              <w:divsChild>
                <w:div w:id="153291264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054954">
      <w:bodyDiv w:val="1"/>
      <w:marLeft w:val="0"/>
      <w:marRight w:val="0"/>
      <w:marTop w:val="0"/>
      <w:marBottom w:val="0"/>
      <w:divBdr>
        <w:top w:val="none" w:sz="0" w:space="0" w:color="auto"/>
        <w:left w:val="none" w:sz="0" w:space="0" w:color="auto"/>
        <w:bottom w:val="none" w:sz="0" w:space="0" w:color="auto"/>
        <w:right w:val="none" w:sz="0" w:space="0" w:color="auto"/>
      </w:divBdr>
      <w:divsChild>
        <w:div w:id="181627199">
          <w:marLeft w:val="0"/>
          <w:marRight w:val="0"/>
          <w:marTop w:val="0"/>
          <w:marBottom w:val="150"/>
          <w:divBdr>
            <w:top w:val="none" w:sz="0" w:space="0" w:color="auto"/>
            <w:left w:val="none" w:sz="0" w:space="0" w:color="auto"/>
            <w:bottom w:val="none" w:sz="0" w:space="0" w:color="auto"/>
            <w:right w:val="none" w:sz="0" w:space="0" w:color="auto"/>
          </w:divBdr>
        </w:div>
        <w:div w:id="406729190">
          <w:marLeft w:val="0"/>
          <w:marRight w:val="0"/>
          <w:marTop w:val="0"/>
          <w:marBottom w:val="0"/>
          <w:divBdr>
            <w:top w:val="none" w:sz="0" w:space="0" w:color="auto"/>
            <w:left w:val="none" w:sz="0" w:space="0" w:color="auto"/>
            <w:bottom w:val="none" w:sz="0" w:space="0" w:color="auto"/>
            <w:right w:val="none" w:sz="0" w:space="0" w:color="auto"/>
          </w:divBdr>
          <w:divsChild>
            <w:div w:id="835538256">
              <w:marLeft w:val="0"/>
              <w:marRight w:val="0"/>
              <w:marTop w:val="0"/>
              <w:marBottom w:val="0"/>
              <w:divBdr>
                <w:top w:val="none" w:sz="0" w:space="0" w:color="auto"/>
                <w:left w:val="none" w:sz="0" w:space="0" w:color="auto"/>
                <w:bottom w:val="none" w:sz="0" w:space="0" w:color="auto"/>
                <w:right w:val="none" w:sz="0" w:space="0" w:color="auto"/>
              </w:divBdr>
            </w:div>
          </w:divsChild>
        </w:div>
        <w:div w:id="1548910184">
          <w:marLeft w:val="0"/>
          <w:marRight w:val="0"/>
          <w:marTop w:val="0"/>
          <w:marBottom w:val="150"/>
          <w:divBdr>
            <w:top w:val="none" w:sz="0" w:space="0" w:color="auto"/>
            <w:left w:val="none" w:sz="0" w:space="0" w:color="auto"/>
            <w:bottom w:val="none" w:sz="0" w:space="0" w:color="auto"/>
            <w:right w:val="none" w:sz="0" w:space="0" w:color="auto"/>
          </w:divBdr>
          <w:divsChild>
            <w:div w:id="115614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130933">
      <w:bodyDiv w:val="1"/>
      <w:marLeft w:val="0"/>
      <w:marRight w:val="0"/>
      <w:marTop w:val="0"/>
      <w:marBottom w:val="0"/>
      <w:divBdr>
        <w:top w:val="none" w:sz="0" w:space="0" w:color="auto"/>
        <w:left w:val="none" w:sz="0" w:space="0" w:color="auto"/>
        <w:bottom w:val="none" w:sz="0" w:space="0" w:color="auto"/>
        <w:right w:val="none" w:sz="0" w:space="0" w:color="auto"/>
      </w:divBdr>
      <w:divsChild>
        <w:div w:id="1367025523">
          <w:marLeft w:val="0"/>
          <w:marRight w:val="0"/>
          <w:marTop w:val="0"/>
          <w:marBottom w:val="150"/>
          <w:divBdr>
            <w:top w:val="none" w:sz="0" w:space="0" w:color="auto"/>
            <w:left w:val="none" w:sz="0" w:space="0" w:color="auto"/>
            <w:bottom w:val="none" w:sz="0" w:space="0" w:color="auto"/>
            <w:right w:val="none" w:sz="0" w:space="0" w:color="auto"/>
          </w:divBdr>
          <w:divsChild>
            <w:div w:id="1956981258">
              <w:marLeft w:val="0"/>
              <w:marRight w:val="0"/>
              <w:marTop w:val="0"/>
              <w:marBottom w:val="0"/>
              <w:divBdr>
                <w:top w:val="none" w:sz="0" w:space="0" w:color="auto"/>
                <w:left w:val="none" w:sz="0" w:space="0" w:color="auto"/>
                <w:bottom w:val="none" w:sz="0" w:space="0" w:color="auto"/>
                <w:right w:val="none" w:sz="0" w:space="0" w:color="auto"/>
              </w:divBdr>
              <w:divsChild>
                <w:div w:id="135183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438494">
          <w:marLeft w:val="0"/>
          <w:marRight w:val="0"/>
          <w:marTop w:val="0"/>
          <w:marBottom w:val="0"/>
          <w:divBdr>
            <w:top w:val="none" w:sz="0" w:space="0" w:color="auto"/>
            <w:left w:val="none" w:sz="0" w:space="0" w:color="auto"/>
            <w:bottom w:val="none" w:sz="0" w:space="0" w:color="auto"/>
            <w:right w:val="none" w:sz="0" w:space="0" w:color="auto"/>
          </w:divBdr>
          <w:divsChild>
            <w:div w:id="583996947">
              <w:marLeft w:val="0"/>
              <w:marRight w:val="0"/>
              <w:marTop w:val="0"/>
              <w:marBottom w:val="0"/>
              <w:divBdr>
                <w:top w:val="none" w:sz="0" w:space="0" w:color="auto"/>
                <w:left w:val="none" w:sz="0" w:space="0" w:color="auto"/>
                <w:bottom w:val="none" w:sz="0" w:space="0" w:color="auto"/>
                <w:right w:val="none" w:sz="0" w:space="0" w:color="auto"/>
              </w:divBdr>
              <w:divsChild>
                <w:div w:id="1804034386">
                  <w:marLeft w:val="0"/>
                  <w:marRight w:val="0"/>
                  <w:marTop w:val="225"/>
                  <w:marBottom w:val="225"/>
                  <w:divBdr>
                    <w:top w:val="none" w:sz="0" w:space="0" w:color="auto"/>
                    <w:left w:val="none" w:sz="0" w:space="0" w:color="auto"/>
                    <w:bottom w:val="none" w:sz="0" w:space="0" w:color="auto"/>
                    <w:right w:val="none" w:sz="0" w:space="0" w:color="auto"/>
                  </w:divBdr>
                </w:div>
              </w:divsChild>
            </w:div>
            <w:div w:id="20659122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28251298">
      <w:bodyDiv w:val="1"/>
      <w:marLeft w:val="0"/>
      <w:marRight w:val="0"/>
      <w:marTop w:val="0"/>
      <w:marBottom w:val="0"/>
      <w:divBdr>
        <w:top w:val="none" w:sz="0" w:space="0" w:color="auto"/>
        <w:left w:val="none" w:sz="0" w:space="0" w:color="auto"/>
        <w:bottom w:val="none" w:sz="0" w:space="0" w:color="auto"/>
        <w:right w:val="none" w:sz="0" w:space="0" w:color="auto"/>
      </w:divBdr>
    </w:div>
    <w:div w:id="1528636044">
      <w:bodyDiv w:val="1"/>
      <w:marLeft w:val="0"/>
      <w:marRight w:val="0"/>
      <w:marTop w:val="0"/>
      <w:marBottom w:val="0"/>
      <w:divBdr>
        <w:top w:val="none" w:sz="0" w:space="0" w:color="auto"/>
        <w:left w:val="none" w:sz="0" w:space="0" w:color="auto"/>
        <w:bottom w:val="none" w:sz="0" w:space="0" w:color="auto"/>
        <w:right w:val="none" w:sz="0" w:space="0" w:color="auto"/>
      </w:divBdr>
      <w:divsChild>
        <w:div w:id="182323680">
          <w:marLeft w:val="0"/>
          <w:marRight w:val="0"/>
          <w:marTop w:val="0"/>
          <w:marBottom w:val="150"/>
          <w:divBdr>
            <w:top w:val="none" w:sz="0" w:space="0" w:color="auto"/>
            <w:left w:val="none" w:sz="0" w:space="0" w:color="auto"/>
            <w:bottom w:val="none" w:sz="0" w:space="0" w:color="auto"/>
            <w:right w:val="none" w:sz="0" w:space="0" w:color="auto"/>
          </w:divBdr>
        </w:div>
        <w:div w:id="296450235">
          <w:marLeft w:val="0"/>
          <w:marRight w:val="0"/>
          <w:marTop w:val="0"/>
          <w:marBottom w:val="150"/>
          <w:divBdr>
            <w:top w:val="none" w:sz="0" w:space="0" w:color="auto"/>
            <w:left w:val="none" w:sz="0" w:space="0" w:color="auto"/>
            <w:bottom w:val="none" w:sz="0" w:space="0" w:color="auto"/>
            <w:right w:val="none" w:sz="0" w:space="0" w:color="auto"/>
          </w:divBdr>
        </w:div>
        <w:div w:id="338234067">
          <w:marLeft w:val="0"/>
          <w:marRight w:val="0"/>
          <w:marTop w:val="0"/>
          <w:marBottom w:val="150"/>
          <w:divBdr>
            <w:top w:val="none" w:sz="0" w:space="0" w:color="auto"/>
            <w:left w:val="none" w:sz="0" w:space="0" w:color="auto"/>
            <w:bottom w:val="none" w:sz="0" w:space="0" w:color="auto"/>
            <w:right w:val="none" w:sz="0" w:space="0" w:color="auto"/>
          </w:divBdr>
        </w:div>
        <w:div w:id="554700939">
          <w:marLeft w:val="0"/>
          <w:marRight w:val="0"/>
          <w:marTop w:val="0"/>
          <w:marBottom w:val="150"/>
          <w:divBdr>
            <w:top w:val="none" w:sz="0" w:space="0" w:color="auto"/>
            <w:left w:val="none" w:sz="0" w:space="0" w:color="auto"/>
            <w:bottom w:val="none" w:sz="0" w:space="0" w:color="auto"/>
            <w:right w:val="none" w:sz="0" w:space="0" w:color="auto"/>
          </w:divBdr>
        </w:div>
        <w:div w:id="571239669">
          <w:marLeft w:val="0"/>
          <w:marRight w:val="0"/>
          <w:marTop w:val="0"/>
          <w:marBottom w:val="150"/>
          <w:divBdr>
            <w:top w:val="none" w:sz="0" w:space="0" w:color="auto"/>
            <w:left w:val="none" w:sz="0" w:space="0" w:color="auto"/>
            <w:bottom w:val="none" w:sz="0" w:space="0" w:color="auto"/>
            <w:right w:val="none" w:sz="0" w:space="0" w:color="auto"/>
          </w:divBdr>
        </w:div>
        <w:div w:id="634679334">
          <w:marLeft w:val="0"/>
          <w:marRight w:val="0"/>
          <w:marTop w:val="0"/>
          <w:marBottom w:val="150"/>
          <w:divBdr>
            <w:top w:val="none" w:sz="0" w:space="0" w:color="auto"/>
            <w:left w:val="none" w:sz="0" w:space="0" w:color="auto"/>
            <w:bottom w:val="none" w:sz="0" w:space="0" w:color="auto"/>
            <w:right w:val="none" w:sz="0" w:space="0" w:color="auto"/>
          </w:divBdr>
        </w:div>
        <w:div w:id="1090544603">
          <w:marLeft w:val="0"/>
          <w:marRight w:val="0"/>
          <w:marTop w:val="0"/>
          <w:marBottom w:val="150"/>
          <w:divBdr>
            <w:top w:val="none" w:sz="0" w:space="0" w:color="auto"/>
            <w:left w:val="none" w:sz="0" w:space="0" w:color="auto"/>
            <w:bottom w:val="none" w:sz="0" w:space="0" w:color="auto"/>
            <w:right w:val="none" w:sz="0" w:space="0" w:color="auto"/>
          </w:divBdr>
        </w:div>
        <w:div w:id="1143890314">
          <w:marLeft w:val="0"/>
          <w:marRight w:val="0"/>
          <w:marTop w:val="0"/>
          <w:marBottom w:val="150"/>
          <w:divBdr>
            <w:top w:val="none" w:sz="0" w:space="0" w:color="auto"/>
            <w:left w:val="none" w:sz="0" w:space="0" w:color="auto"/>
            <w:bottom w:val="none" w:sz="0" w:space="0" w:color="auto"/>
            <w:right w:val="none" w:sz="0" w:space="0" w:color="auto"/>
          </w:divBdr>
        </w:div>
        <w:div w:id="1170410688">
          <w:marLeft w:val="0"/>
          <w:marRight w:val="0"/>
          <w:marTop w:val="0"/>
          <w:marBottom w:val="150"/>
          <w:divBdr>
            <w:top w:val="none" w:sz="0" w:space="0" w:color="auto"/>
            <w:left w:val="none" w:sz="0" w:space="0" w:color="auto"/>
            <w:bottom w:val="none" w:sz="0" w:space="0" w:color="auto"/>
            <w:right w:val="none" w:sz="0" w:space="0" w:color="auto"/>
          </w:divBdr>
        </w:div>
        <w:div w:id="1306352849">
          <w:marLeft w:val="0"/>
          <w:marRight w:val="0"/>
          <w:marTop w:val="0"/>
          <w:marBottom w:val="150"/>
          <w:divBdr>
            <w:top w:val="none" w:sz="0" w:space="0" w:color="auto"/>
            <w:left w:val="none" w:sz="0" w:space="0" w:color="auto"/>
            <w:bottom w:val="none" w:sz="0" w:space="0" w:color="auto"/>
            <w:right w:val="none" w:sz="0" w:space="0" w:color="auto"/>
          </w:divBdr>
        </w:div>
        <w:div w:id="1357001254">
          <w:marLeft w:val="0"/>
          <w:marRight w:val="0"/>
          <w:marTop w:val="0"/>
          <w:marBottom w:val="150"/>
          <w:divBdr>
            <w:top w:val="none" w:sz="0" w:space="0" w:color="auto"/>
            <w:left w:val="none" w:sz="0" w:space="0" w:color="auto"/>
            <w:bottom w:val="none" w:sz="0" w:space="0" w:color="auto"/>
            <w:right w:val="none" w:sz="0" w:space="0" w:color="auto"/>
          </w:divBdr>
        </w:div>
        <w:div w:id="1450667427">
          <w:marLeft w:val="0"/>
          <w:marRight w:val="0"/>
          <w:marTop w:val="0"/>
          <w:marBottom w:val="150"/>
          <w:divBdr>
            <w:top w:val="none" w:sz="0" w:space="0" w:color="auto"/>
            <w:left w:val="none" w:sz="0" w:space="0" w:color="auto"/>
            <w:bottom w:val="none" w:sz="0" w:space="0" w:color="auto"/>
            <w:right w:val="none" w:sz="0" w:space="0" w:color="auto"/>
          </w:divBdr>
        </w:div>
        <w:div w:id="2093506488">
          <w:marLeft w:val="0"/>
          <w:marRight w:val="0"/>
          <w:marTop w:val="0"/>
          <w:marBottom w:val="150"/>
          <w:divBdr>
            <w:top w:val="none" w:sz="0" w:space="0" w:color="auto"/>
            <w:left w:val="none" w:sz="0" w:space="0" w:color="auto"/>
            <w:bottom w:val="none" w:sz="0" w:space="0" w:color="auto"/>
            <w:right w:val="none" w:sz="0" w:space="0" w:color="auto"/>
          </w:divBdr>
        </w:div>
        <w:div w:id="2097240819">
          <w:marLeft w:val="0"/>
          <w:marRight w:val="0"/>
          <w:marTop w:val="0"/>
          <w:marBottom w:val="150"/>
          <w:divBdr>
            <w:top w:val="none" w:sz="0" w:space="0" w:color="auto"/>
            <w:left w:val="none" w:sz="0" w:space="0" w:color="auto"/>
            <w:bottom w:val="none" w:sz="0" w:space="0" w:color="auto"/>
            <w:right w:val="none" w:sz="0" w:space="0" w:color="auto"/>
          </w:divBdr>
        </w:div>
      </w:divsChild>
    </w:div>
    <w:div w:id="1528903765">
      <w:bodyDiv w:val="1"/>
      <w:marLeft w:val="0"/>
      <w:marRight w:val="0"/>
      <w:marTop w:val="0"/>
      <w:marBottom w:val="0"/>
      <w:divBdr>
        <w:top w:val="none" w:sz="0" w:space="0" w:color="auto"/>
        <w:left w:val="none" w:sz="0" w:space="0" w:color="auto"/>
        <w:bottom w:val="none" w:sz="0" w:space="0" w:color="auto"/>
        <w:right w:val="none" w:sz="0" w:space="0" w:color="auto"/>
      </w:divBdr>
      <w:divsChild>
        <w:div w:id="1249730809">
          <w:marLeft w:val="0"/>
          <w:marRight w:val="0"/>
          <w:marTop w:val="0"/>
          <w:marBottom w:val="0"/>
          <w:divBdr>
            <w:top w:val="none" w:sz="0" w:space="0" w:color="auto"/>
            <w:left w:val="none" w:sz="0" w:space="0" w:color="auto"/>
            <w:bottom w:val="dotted" w:sz="6" w:space="4" w:color="DDDDDD"/>
            <w:right w:val="none" w:sz="0" w:space="0" w:color="auto"/>
          </w:divBdr>
        </w:div>
      </w:divsChild>
    </w:div>
    <w:div w:id="1528955231">
      <w:bodyDiv w:val="1"/>
      <w:marLeft w:val="0"/>
      <w:marRight w:val="0"/>
      <w:marTop w:val="0"/>
      <w:marBottom w:val="0"/>
      <w:divBdr>
        <w:top w:val="none" w:sz="0" w:space="0" w:color="auto"/>
        <w:left w:val="none" w:sz="0" w:space="0" w:color="auto"/>
        <w:bottom w:val="none" w:sz="0" w:space="0" w:color="auto"/>
        <w:right w:val="none" w:sz="0" w:space="0" w:color="auto"/>
      </w:divBdr>
      <w:divsChild>
        <w:div w:id="109134271">
          <w:marLeft w:val="0"/>
          <w:marRight w:val="0"/>
          <w:marTop w:val="300"/>
          <w:marBottom w:val="0"/>
          <w:divBdr>
            <w:top w:val="none" w:sz="0" w:space="0" w:color="auto"/>
            <w:left w:val="none" w:sz="0" w:space="0" w:color="auto"/>
            <w:bottom w:val="none" w:sz="0" w:space="0" w:color="auto"/>
            <w:right w:val="none" w:sz="0" w:space="0" w:color="auto"/>
          </w:divBdr>
          <w:divsChild>
            <w:div w:id="374355985">
              <w:marLeft w:val="0"/>
              <w:marRight w:val="0"/>
              <w:marTop w:val="0"/>
              <w:marBottom w:val="0"/>
              <w:divBdr>
                <w:top w:val="none" w:sz="0" w:space="0" w:color="auto"/>
                <w:left w:val="none" w:sz="0" w:space="0" w:color="auto"/>
                <w:bottom w:val="none" w:sz="0" w:space="0" w:color="auto"/>
                <w:right w:val="none" w:sz="0" w:space="0" w:color="auto"/>
              </w:divBdr>
              <w:divsChild>
                <w:div w:id="472720621">
                  <w:marLeft w:val="0"/>
                  <w:marRight w:val="0"/>
                  <w:marTop w:val="150"/>
                  <w:marBottom w:val="0"/>
                  <w:divBdr>
                    <w:top w:val="none" w:sz="0" w:space="0" w:color="auto"/>
                    <w:left w:val="none" w:sz="0" w:space="0" w:color="auto"/>
                    <w:bottom w:val="none" w:sz="0" w:space="0" w:color="auto"/>
                    <w:right w:val="none" w:sz="0" w:space="0" w:color="auto"/>
                  </w:divBdr>
                  <w:divsChild>
                    <w:div w:id="1523129393">
                      <w:marLeft w:val="0"/>
                      <w:marRight w:val="0"/>
                      <w:marTop w:val="0"/>
                      <w:marBottom w:val="0"/>
                      <w:divBdr>
                        <w:top w:val="none" w:sz="0" w:space="0" w:color="auto"/>
                        <w:left w:val="none" w:sz="0" w:space="0" w:color="auto"/>
                        <w:bottom w:val="none" w:sz="0" w:space="0" w:color="auto"/>
                        <w:right w:val="none" w:sz="0" w:space="0" w:color="auto"/>
                      </w:divBdr>
                      <w:divsChild>
                        <w:div w:id="214056297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41403450">
                  <w:marLeft w:val="0"/>
                  <w:marRight w:val="0"/>
                  <w:marTop w:val="0"/>
                  <w:marBottom w:val="0"/>
                  <w:divBdr>
                    <w:top w:val="none" w:sz="0" w:space="0" w:color="auto"/>
                    <w:left w:val="none" w:sz="0" w:space="0" w:color="auto"/>
                    <w:bottom w:val="none" w:sz="0" w:space="0" w:color="auto"/>
                    <w:right w:val="none" w:sz="0" w:space="0" w:color="auto"/>
                  </w:divBdr>
                  <w:divsChild>
                    <w:div w:id="1019742167">
                      <w:marLeft w:val="0"/>
                      <w:marRight w:val="0"/>
                      <w:marTop w:val="0"/>
                      <w:marBottom w:val="0"/>
                      <w:divBdr>
                        <w:top w:val="none" w:sz="0" w:space="0" w:color="auto"/>
                        <w:left w:val="none" w:sz="0" w:space="0" w:color="auto"/>
                        <w:bottom w:val="none" w:sz="0" w:space="0" w:color="auto"/>
                        <w:right w:val="none" w:sz="0" w:space="0" w:color="auto"/>
                      </w:divBdr>
                    </w:div>
                    <w:div w:id="1569146074">
                      <w:marLeft w:val="0"/>
                      <w:marRight w:val="0"/>
                      <w:marTop w:val="0"/>
                      <w:marBottom w:val="0"/>
                      <w:divBdr>
                        <w:top w:val="none" w:sz="0" w:space="0" w:color="auto"/>
                        <w:left w:val="none" w:sz="0" w:space="0" w:color="auto"/>
                        <w:bottom w:val="none" w:sz="0" w:space="0" w:color="auto"/>
                        <w:right w:val="none" w:sz="0" w:space="0" w:color="auto"/>
                      </w:divBdr>
                      <w:divsChild>
                        <w:div w:id="2103796115">
                          <w:marLeft w:val="0"/>
                          <w:marRight w:val="0"/>
                          <w:marTop w:val="0"/>
                          <w:marBottom w:val="0"/>
                          <w:divBdr>
                            <w:top w:val="none" w:sz="0" w:space="0" w:color="auto"/>
                            <w:left w:val="none" w:sz="0" w:space="0" w:color="auto"/>
                            <w:bottom w:val="none" w:sz="0" w:space="0" w:color="auto"/>
                            <w:right w:val="none" w:sz="0" w:space="0" w:color="auto"/>
                          </w:divBdr>
                          <w:divsChild>
                            <w:div w:id="1958637612">
                              <w:marLeft w:val="0"/>
                              <w:marRight w:val="0"/>
                              <w:marTop w:val="0"/>
                              <w:marBottom w:val="0"/>
                              <w:divBdr>
                                <w:top w:val="none" w:sz="0" w:space="0" w:color="auto"/>
                                <w:left w:val="none" w:sz="0" w:space="0" w:color="auto"/>
                                <w:bottom w:val="none" w:sz="0" w:space="0" w:color="auto"/>
                                <w:right w:val="none" w:sz="0" w:space="0" w:color="auto"/>
                              </w:divBdr>
                              <w:divsChild>
                                <w:div w:id="1701397728">
                                  <w:marLeft w:val="0"/>
                                  <w:marRight w:val="0"/>
                                  <w:marTop w:val="225"/>
                                  <w:marBottom w:val="150"/>
                                  <w:divBdr>
                                    <w:top w:val="none" w:sz="0" w:space="4" w:color="auto"/>
                                    <w:left w:val="none" w:sz="0" w:space="0" w:color="auto"/>
                                    <w:bottom w:val="single" w:sz="6" w:space="4" w:color="CECECE"/>
                                    <w:right w:val="none" w:sz="0" w:space="0" w:color="auto"/>
                                  </w:divBdr>
                                  <w:divsChild>
                                    <w:div w:id="631440570">
                                      <w:marLeft w:val="0"/>
                                      <w:marRight w:val="0"/>
                                      <w:marTop w:val="75"/>
                                      <w:marBottom w:val="75"/>
                                      <w:divBdr>
                                        <w:top w:val="none" w:sz="0" w:space="0" w:color="auto"/>
                                        <w:left w:val="none" w:sz="0" w:space="0" w:color="auto"/>
                                        <w:bottom w:val="none" w:sz="0" w:space="0" w:color="auto"/>
                                        <w:right w:val="none" w:sz="0" w:space="0" w:color="auto"/>
                                      </w:divBdr>
                                      <w:divsChild>
                                        <w:div w:id="758796313">
                                          <w:marLeft w:val="0"/>
                                          <w:marRight w:val="135"/>
                                          <w:marTop w:val="0"/>
                                          <w:marBottom w:val="0"/>
                                          <w:divBdr>
                                            <w:top w:val="none" w:sz="0" w:space="0" w:color="auto"/>
                                            <w:left w:val="none" w:sz="0" w:space="0" w:color="auto"/>
                                            <w:bottom w:val="none" w:sz="0" w:space="0" w:color="auto"/>
                                            <w:right w:val="none" w:sz="0" w:space="0" w:color="auto"/>
                                          </w:divBdr>
                                        </w:div>
                                        <w:div w:id="1614164156">
                                          <w:marLeft w:val="0"/>
                                          <w:marRight w:val="0"/>
                                          <w:marTop w:val="45"/>
                                          <w:marBottom w:val="0"/>
                                          <w:divBdr>
                                            <w:top w:val="none" w:sz="0" w:space="0" w:color="auto"/>
                                            <w:left w:val="none" w:sz="0" w:space="0" w:color="auto"/>
                                            <w:bottom w:val="none" w:sz="0" w:space="0" w:color="auto"/>
                                            <w:right w:val="none" w:sz="0" w:space="0" w:color="auto"/>
                                          </w:divBdr>
                                        </w:div>
                                      </w:divsChild>
                                    </w:div>
                                    <w:div w:id="181641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726888">
              <w:marLeft w:val="-1350"/>
              <w:marRight w:val="0"/>
              <w:marTop w:val="0"/>
              <w:marBottom w:val="0"/>
              <w:divBdr>
                <w:top w:val="none" w:sz="0" w:space="0" w:color="auto"/>
                <w:left w:val="none" w:sz="0" w:space="0" w:color="auto"/>
                <w:bottom w:val="none" w:sz="0" w:space="0" w:color="auto"/>
                <w:right w:val="none" w:sz="0" w:space="0" w:color="auto"/>
              </w:divBdr>
              <w:divsChild>
                <w:div w:id="1938557965">
                  <w:marLeft w:val="0"/>
                  <w:marRight w:val="0"/>
                  <w:marTop w:val="0"/>
                  <w:marBottom w:val="0"/>
                  <w:divBdr>
                    <w:top w:val="none" w:sz="0" w:space="0" w:color="auto"/>
                    <w:left w:val="none" w:sz="0" w:space="0" w:color="auto"/>
                    <w:bottom w:val="none" w:sz="0" w:space="0" w:color="auto"/>
                    <w:right w:val="none" w:sz="0" w:space="0" w:color="auto"/>
                  </w:divBdr>
                  <w:divsChild>
                    <w:div w:id="478962374">
                      <w:marLeft w:val="0"/>
                      <w:marRight w:val="0"/>
                      <w:marTop w:val="0"/>
                      <w:marBottom w:val="0"/>
                      <w:divBdr>
                        <w:top w:val="none" w:sz="0" w:space="0" w:color="auto"/>
                        <w:left w:val="none" w:sz="0" w:space="0" w:color="auto"/>
                        <w:bottom w:val="none" w:sz="0" w:space="0" w:color="auto"/>
                        <w:right w:val="none" w:sz="0" w:space="0" w:color="auto"/>
                      </w:divBdr>
                      <w:divsChild>
                        <w:div w:id="593973798">
                          <w:marLeft w:val="0"/>
                          <w:marRight w:val="0"/>
                          <w:marTop w:val="0"/>
                          <w:marBottom w:val="0"/>
                          <w:divBdr>
                            <w:top w:val="single" w:sz="6" w:space="0" w:color="C7C7C7"/>
                            <w:left w:val="single" w:sz="6" w:space="0" w:color="C7C7C7"/>
                            <w:bottom w:val="single" w:sz="6" w:space="0" w:color="C7C7C7"/>
                            <w:right w:val="single" w:sz="6" w:space="0" w:color="C7C7C7"/>
                          </w:divBdr>
                          <w:divsChild>
                            <w:div w:id="2635363">
                              <w:marLeft w:val="0"/>
                              <w:marRight w:val="0"/>
                              <w:marTop w:val="100"/>
                              <w:marBottom w:val="100"/>
                              <w:divBdr>
                                <w:top w:val="none" w:sz="0" w:space="11" w:color="auto"/>
                                <w:left w:val="none" w:sz="0" w:space="0" w:color="auto"/>
                                <w:bottom w:val="single" w:sz="6" w:space="11" w:color="C7C7C7"/>
                                <w:right w:val="none" w:sz="0" w:space="0" w:color="auto"/>
                              </w:divBdr>
                            </w:div>
                            <w:div w:id="26563819">
                              <w:marLeft w:val="0"/>
                              <w:marRight w:val="0"/>
                              <w:marTop w:val="100"/>
                              <w:marBottom w:val="100"/>
                              <w:divBdr>
                                <w:top w:val="none" w:sz="0" w:space="11" w:color="auto"/>
                                <w:left w:val="none" w:sz="0" w:space="0" w:color="auto"/>
                                <w:bottom w:val="single" w:sz="6" w:space="11" w:color="C7C7C7"/>
                                <w:right w:val="none" w:sz="0" w:space="0" w:color="auto"/>
                              </w:divBdr>
                            </w:div>
                            <w:div w:id="734821978">
                              <w:marLeft w:val="0"/>
                              <w:marRight w:val="0"/>
                              <w:marTop w:val="100"/>
                              <w:marBottom w:val="100"/>
                              <w:divBdr>
                                <w:top w:val="none" w:sz="0" w:space="11" w:color="auto"/>
                                <w:left w:val="none" w:sz="0" w:space="0" w:color="auto"/>
                                <w:bottom w:val="single" w:sz="6" w:space="11" w:color="C7C7C7"/>
                                <w:right w:val="none" w:sz="0" w:space="0" w:color="auto"/>
                              </w:divBdr>
                            </w:div>
                            <w:div w:id="151345491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018043622">
          <w:marLeft w:val="0"/>
          <w:marRight w:val="0"/>
          <w:marTop w:val="150"/>
          <w:marBottom w:val="0"/>
          <w:divBdr>
            <w:top w:val="none" w:sz="0" w:space="0" w:color="auto"/>
            <w:left w:val="none" w:sz="0" w:space="0" w:color="auto"/>
            <w:bottom w:val="none" w:sz="0" w:space="0" w:color="auto"/>
            <w:right w:val="none" w:sz="0" w:space="0" w:color="auto"/>
          </w:divBdr>
          <w:divsChild>
            <w:div w:id="1591237146">
              <w:marLeft w:val="0"/>
              <w:marRight w:val="0"/>
              <w:marTop w:val="0"/>
              <w:marBottom w:val="0"/>
              <w:divBdr>
                <w:top w:val="none" w:sz="0" w:space="0" w:color="auto"/>
                <w:left w:val="none" w:sz="0" w:space="0" w:color="auto"/>
                <w:bottom w:val="single" w:sz="6" w:space="0" w:color="EFEFEF"/>
                <w:right w:val="none" w:sz="0" w:space="0" w:color="auto"/>
              </w:divBdr>
              <w:divsChild>
                <w:div w:id="80756849">
                  <w:marLeft w:val="0"/>
                  <w:marRight w:val="0"/>
                  <w:marTop w:val="0"/>
                  <w:marBottom w:val="0"/>
                  <w:divBdr>
                    <w:top w:val="none" w:sz="0" w:space="0" w:color="auto"/>
                    <w:left w:val="none" w:sz="0" w:space="0" w:color="auto"/>
                    <w:bottom w:val="none" w:sz="0" w:space="0" w:color="auto"/>
                    <w:right w:val="none" w:sz="0" w:space="0" w:color="auto"/>
                  </w:divBdr>
                </w:div>
                <w:div w:id="122397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295710">
      <w:bodyDiv w:val="1"/>
      <w:marLeft w:val="0"/>
      <w:marRight w:val="0"/>
      <w:marTop w:val="0"/>
      <w:marBottom w:val="0"/>
      <w:divBdr>
        <w:top w:val="none" w:sz="0" w:space="0" w:color="auto"/>
        <w:left w:val="none" w:sz="0" w:space="0" w:color="auto"/>
        <w:bottom w:val="none" w:sz="0" w:space="0" w:color="auto"/>
        <w:right w:val="none" w:sz="0" w:space="0" w:color="auto"/>
      </w:divBdr>
      <w:divsChild>
        <w:div w:id="1219510949">
          <w:marLeft w:val="0"/>
          <w:marRight w:val="0"/>
          <w:marTop w:val="0"/>
          <w:marBottom w:val="150"/>
          <w:divBdr>
            <w:top w:val="none" w:sz="0" w:space="0" w:color="auto"/>
            <w:left w:val="none" w:sz="0" w:space="0" w:color="auto"/>
            <w:bottom w:val="none" w:sz="0" w:space="0" w:color="auto"/>
            <w:right w:val="none" w:sz="0" w:space="0" w:color="auto"/>
          </w:divBdr>
          <w:divsChild>
            <w:div w:id="1884638038">
              <w:marLeft w:val="0"/>
              <w:marRight w:val="0"/>
              <w:marTop w:val="0"/>
              <w:marBottom w:val="0"/>
              <w:divBdr>
                <w:top w:val="none" w:sz="0" w:space="0" w:color="auto"/>
                <w:left w:val="none" w:sz="0" w:space="0" w:color="auto"/>
                <w:bottom w:val="none" w:sz="0" w:space="0" w:color="auto"/>
                <w:right w:val="none" w:sz="0" w:space="0" w:color="auto"/>
              </w:divBdr>
              <w:divsChild>
                <w:div w:id="102690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49342">
          <w:marLeft w:val="0"/>
          <w:marRight w:val="0"/>
          <w:marTop w:val="0"/>
          <w:marBottom w:val="150"/>
          <w:divBdr>
            <w:top w:val="none" w:sz="0" w:space="0" w:color="auto"/>
            <w:left w:val="none" w:sz="0" w:space="0" w:color="auto"/>
            <w:bottom w:val="none" w:sz="0" w:space="0" w:color="auto"/>
            <w:right w:val="none" w:sz="0" w:space="0" w:color="auto"/>
          </w:divBdr>
        </w:div>
        <w:div w:id="534662148">
          <w:marLeft w:val="0"/>
          <w:marRight w:val="0"/>
          <w:marTop w:val="0"/>
          <w:marBottom w:val="0"/>
          <w:divBdr>
            <w:top w:val="none" w:sz="0" w:space="0" w:color="auto"/>
            <w:left w:val="none" w:sz="0" w:space="0" w:color="auto"/>
            <w:bottom w:val="none" w:sz="0" w:space="0" w:color="auto"/>
            <w:right w:val="none" w:sz="0" w:space="0" w:color="auto"/>
          </w:divBdr>
          <w:divsChild>
            <w:div w:id="27120851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29416595">
      <w:bodyDiv w:val="1"/>
      <w:marLeft w:val="0"/>
      <w:marRight w:val="0"/>
      <w:marTop w:val="0"/>
      <w:marBottom w:val="0"/>
      <w:divBdr>
        <w:top w:val="none" w:sz="0" w:space="0" w:color="auto"/>
        <w:left w:val="none" w:sz="0" w:space="0" w:color="auto"/>
        <w:bottom w:val="none" w:sz="0" w:space="0" w:color="auto"/>
        <w:right w:val="none" w:sz="0" w:space="0" w:color="auto"/>
      </w:divBdr>
      <w:divsChild>
        <w:div w:id="1633749592">
          <w:marLeft w:val="0"/>
          <w:marRight w:val="0"/>
          <w:marTop w:val="0"/>
          <w:marBottom w:val="0"/>
          <w:divBdr>
            <w:top w:val="none" w:sz="0" w:space="0" w:color="auto"/>
            <w:left w:val="none" w:sz="0" w:space="0" w:color="auto"/>
            <w:bottom w:val="none" w:sz="0" w:space="0" w:color="auto"/>
            <w:right w:val="none" w:sz="0" w:space="0" w:color="auto"/>
          </w:divBdr>
          <w:divsChild>
            <w:div w:id="755714406">
              <w:marLeft w:val="0"/>
              <w:marRight w:val="0"/>
              <w:marTop w:val="0"/>
              <w:marBottom w:val="0"/>
              <w:divBdr>
                <w:top w:val="none" w:sz="0" w:space="0" w:color="auto"/>
                <w:left w:val="none" w:sz="0" w:space="0" w:color="auto"/>
                <w:bottom w:val="none" w:sz="0" w:space="0" w:color="auto"/>
                <w:right w:val="none" w:sz="0" w:space="0" w:color="auto"/>
              </w:divBdr>
              <w:divsChild>
                <w:div w:id="2029797572">
                  <w:marLeft w:val="0"/>
                  <w:marRight w:val="0"/>
                  <w:marTop w:val="0"/>
                  <w:marBottom w:val="0"/>
                  <w:divBdr>
                    <w:top w:val="none" w:sz="0" w:space="0" w:color="auto"/>
                    <w:left w:val="none" w:sz="0" w:space="0" w:color="auto"/>
                    <w:bottom w:val="none" w:sz="0" w:space="0" w:color="auto"/>
                    <w:right w:val="none" w:sz="0" w:space="0" w:color="auto"/>
                  </w:divBdr>
                  <w:divsChild>
                    <w:div w:id="1771464137">
                      <w:marLeft w:val="0"/>
                      <w:marRight w:val="0"/>
                      <w:marTop w:val="0"/>
                      <w:marBottom w:val="0"/>
                      <w:divBdr>
                        <w:top w:val="none" w:sz="0" w:space="0" w:color="auto"/>
                        <w:left w:val="none" w:sz="0" w:space="0" w:color="auto"/>
                        <w:bottom w:val="none" w:sz="0" w:space="0" w:color="auto"/>
                        <w:right w:val="none" w:sz="0" w:space="0" w:color="auto"/>
                      </w:divBdr>
                      <w:divsChild>
                        <w:div w:id="1811481353">
                          <w:marLeft w:val="0"/>
                          <w:marRight w:val="0"/>
                          <w:marTop w:val="0"/>
                          <w:marBottom w:val="0"/>
                          <w:divBdr>
                            <w:top w:val="none" w:sz="0" w:space="0" w:color="auto"/>
                            <w:left w:val="none" w:sz="0" w:space="0" w:color="auto"/>
                            <w:bottom w:val="none" w:sz="0" w:space="0" w:color="auto"/>
                            <w:right w:val="none" w:sz="0" w:space="0" w:color="auto"/>
                          </w:divBdr>
                          <w:divsChild>
                            <w:div w:id="149691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563560">
      <w:bodyDiv w:val="1"/>
      <w:marLeft w:val="0"/>
      <w:marRight w:val="0"/>
      <w:marTop w:val="0"/>
      <w:marBottom w:val="0"/>
      <w:divBdr>
        <w:top w:val="none" w:sz="0" w:space="0" w:color="auto"/>
        <w:left w:val="none" w:sz="0" w:space="0" w:color="auto"/>
        <w:bottom w:val="none" w:sz="0" w:space="0" w:color="auto"/>
        <w:right w:val="none" w:sz="0" w:space="0" w:color="auto"/>
      </w:divBdr>
      <w:divsChild>
        <w:div w:id="611936042">
          <w:marLeft w:val="0"/>
          <w:marRight w:val="0"/>
          <w:marTop w:val="0"/>
          <w:marBottom w:val="0"/>
          <w:divBdr>
            <w:top w:val="none" w:sz="0" w:space="0" w:color="auto"/>
            <w:left w:val="none" w:sz="0" w:space="0" w:color="auto"/>
            <w:bottom w:val="none" w:sz="0" w:space="0" w:color="auto"/>
            <w:right w:val="none" w:sz="0" w:space="0" w:color="auto"/>
          </w:divBdr>
          <w:divsChild>
            <w:div w:id="86167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565397">
      <w:bodyDiv w:val="1"/>
      <w:marLeft w:val="0"/>
      <w:marRight w:val="0"/>
      <w:marTop w:val="0"/>
      <w:marBottom w:val="0"/>
      <w:divBdr>
        <w:top w:val="none" w:sz="0" w:space="0" w:color="auto"/>
        <w:left w:val="none" w:sz="0" w:space="0" w:color="auto"/>
        <w:bottom w:val="none" w:sz="0" w:space="0" w:color="auto"/>
        <w:right w:val="none" w:sz="0" w:space="0" w:color="auto"/>
      </w:divBdr>
      <w:divsChild>
        <w:div w:id="379985878">
          <w:marLeft w:val="0"/>
          <w:marRight w:val="0"/>
          <w:marTop w:val="0"/>
          <w:marBottom w:val="0"/>
          <w:divBdr>
            <w:top w:val="none" w:sz="0" w:space="0" w:color="auto"/>
            <w:left w:val="none" w:sz="0" w:space="0" w:color="auto"/>
            <w:bottom w:val="dotted" w:sz="6" w:space="4" w:color="DDDDDD"/>
            <w:right w:val="none" w:sz="0" w:space="0" w:color="auto"/>
          </w:divBdr>
          <w:divsChild>
            <w:div w:id="27494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82767">
      <w:bodyDiv w:val="1"/>
      <w:marLeft w:val="0"/>
      <w:marRight w:val="0"/>
      <w:marTop w:val="0"/>
      <w:marBottom w:val="0"/>
      <w:divBdr>
        <w:top w:val="none" w:sz="0" w:space="0" w:color="auto"/>
        <w:left w:val="none" w:sz="0" w:space="0" w:color="auto"/>
        <w:bottom w:val="none" w:sz="0" w:space="0" w:color="auto"/>
        <w:right w:val="none" w:sz="0" w:space="0" w:color="auto"/>
      </w:divBdr>
      <w:divsChild>
        <w:div w:id="672147790">
          <w:marLeft w:val="0"/>
          <w:marRight w:val="0"/>
          <w:marTop w:val="0"/>
          <w:marBottom w:val="150"/>
          <w:divBdr>
            <w:top w:val="none" w:sz="0" w:space="0" w:color="auto"/>
            <w:left w:val="none" w:sz="0" w:space="0" w:color="auto"/>
            <w:bottom w:val="none" w:sz="0" w:space="0" w:color="auto"/>
            <w:right w:val="none" w:sz="0" w:space="0" w:color="auto"/>
          </w:divBdr>
        </w:div>
        <w:div w:id="1632708475">
          <w:marLeft w:val="0"/>
          <w:marRight w:val="0"/>
          <w:marTop w:val="0"/>
          <w:marBottom w:val="150"/>
          <w:divBdr>
            <w:top w:val="none" w:sz="0" w:space="0" w:color="auto"/>
            <w:left w:val="none" w:sz="0" w:space="0" w:color="auto"/>
            <w:bottom w:val="none" w:sz="0" w:space="0" w:color="auto"/>
            <w:right w:val="none" w:sz="0" w:space="0" w:color="auto"/>
          </w:divBdr>
          <w:divsChild>
            <w:div w:id="1646818318">
              <w:marLeft w:val="0"/>
              <w:marRight w:val="0"/>
              <w:marTop w:val="0"/>
              <w:marBottom w:val="0"/>
              <w:divBdr>
                <w:top w:val="none" w:sz="0" w:space="0" w:color="auto"/>
                <w:left w:val="none" w:sz="0" w:space="0" w:color="auto"/>
                <w:bottom w:val="none" w:sz="0" w:space="0" w:color="auto"/>
                <w:right w:val="none" w:sz="0" w:space="0" w:color="auto"/>
              </w:divBdr>
              <w:divsChild>
                <w:div w:id="162997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883755">
          <w:marLeft w:val="0"/>
          <w:marRight w:val="0"/>
          <w:marTop w:val="0"/>
          <w:marBottom w:val="0"/>
          <w:divBdr>
            <w:top w:val="none" w:sz="0" w:space="0" w:color="auto"/>
            <w:left w:val="none" w:sz="0" w:space="0" w:color="auto"/>
            <w:bottom w:val="none" w:sz="0" w:space="0" w:color="auto"/>
            <w:right w:val="none" w:sz="0" w:space="0" w:color="auto"/>
          </w:divBdr>
          <w:divsChild>
            <w:div w:id="7640345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30025055">
      <w:bodyDiv w:val="1"/>
      <w:marLeft w:val="0"/>
      <w:marRight w:val="0"/>
      <w:marTop w:val="0"/>
      <w:marBottom w:val="0"/>
      <w:divBdr>
        <w:top w:val="none" w:sz="0" w:space="0" w:color="auto"/>
        <w:left w:val="none" w:sz="0" w:space="0" w:color="auto"/>
        <w:bottom w:val="none" w:sz="0" w:space="0" w:color="auto"/>
        <w:right w:val="none" w:sz="0" w:space="0" w:color="auto"/>
      </w:divBdr>
      <w:divsChild>
        <w:div w:id="807825335">
          <w:marLeft w:val="0"/>
          <w:marRight w:val="0"/>
          <w:marTop w:val="0"/>
          <w:marBottom w:val="150"/>
          <w:divBdr>
            <w:top w:val="none" w:sz="0" w:space="0" w:color="auto"/>
            <w:left w:val="none" w:sz="0" w:space="0" w:color="auto"/>
            <w:bottom w:val="none" w:sz="0" w:space="0" w:color="auto"/>
            <w:right w:val="none" w:sz="0" w:space="0" w:color="auto"/>
          </w:divBdr>
          <w:divsChild>
            <w:div w:id="127863757">
              <w:marLeft w:val="0"/>
              <w:marRight w:val="0"/>
              <w:marTop w:val="0"/>
              <w:marBottom w:val="0"/>
              <w:divBdr>
                <w:top w:val="none" w:sz="0" w:space="0" w:color="auto"/>
                <w:left w:val="none" w:sz="0" w:space="0" w:color="auto"/>
                <w:bottom w:val="none" w:sz="0" w:space="0" w:color="auto"/>
                <w:right w:val="none" w:sz="0" w:space="0" w:color="auto"/>
              </w:divBdr>
              <w:divsChild>
                <w:div w:id="1129593053">
                  <w:marLeft w:val="0"/>
                  <w:marRight w:val="0"/>
                  <w:marTop w:val="0"/>
                  <w:marBottom w:val="0"/>
                  <w:divBdr>
                    <w:top w:val="none" w:sz="0" w:space="0" w:color="auto"/>
                    <w:left w:val="none" w:sz="0" w:space="0" w:color="auto"/>
                    <w:bottom w:val="none" w:sz="0" w:space="0" w:color="auto"/>
                    <w:right w:val="none" w:sz="0" w:space="0" w:color="auto"/>
                  </w:divBdr>
                  <w:divsChild>
                    <w:div w:id="640503862">
                      <w:marLeft w:val="0"/>
                      <w:marRight w:val="150"/>
                      <w:marTop w:val="0"/>
                      <w:marBottom w:val="0"/>
                      <w:divBdr>
                        <w:top w:val="none" w:sz="0" w:space="0" w:color="auto"/>
                        <w:left w:val="none" w:sz="0" w:space="0" w:color="auto"/>
                        <w:bottom w:val="none" w:sz="0" w:space="0" w:color="auto"/>
                        <w:right w:val="none" w:sz="0" w:space="0" w:color="auto"/>
                      </w:divBdr>
                      <w:divsChild>
                        <w:div w:id="201445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268961">
          <w:marLeft w:val="0"/>
          <w:marRight w:val="0"/>
          <w:marTop w:val="0"/>
          <w:marBottom w:val="150"/>
          <w:divBdr>
            <w:top w:val="none" w:sz="0" w:space="0" w:color="auto"/>
            <w:left w:val="none" w:sz="0" w:space="0" w:color="auto"/>
            <w:bottom w:val="none" w:sz="0" w:space="0" w:color="auto"/>
            <w:right w:val="none" w:sz="0" w:space="0" w:color="auto"/>
          </w:divBdr>
        </w:div>
        <w:div w:id="290014455">
          <w:marLeft w:val="0"/>
          <w:marRight w:val="0"/>
          <w:marTop w:val="0"/>
          <w:marBottom w:val="0"/>
          <w:divBdr>
            <w:top w:val="none" w:sz="0" w:space="0" w:color="auto"/>
            <w:left w:val="none" w:sz="0" w:space="0" w:color="auto"/>
            <w:bottom w:val="none" w:sz="0" w:space="0" w:color="auto"/>
            <w:right w:val="none" w:sz="0" w:space="0" w:color="auto"/>
          </w:divBdr>
          <w:divsChild>
            <w:div w:id="100312647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30069802">
      <w:bodyDiv w:val="1"/>
      <w:marLeft w:val="0"/>
      <w:marRight w:val="0"/>
      <w:marTop w:val="0"/>
      <w:marBottom w:val="0"/>
      <w:divBdr>
        <w:top w:val="none" w:sz="0" w:space="0" w:color="auto"/>
        <w:left w:val="none" w:sz="0" w:space="0" w:color="auto"/>
        <w:bottom w:val="none" w:sz="0" w:space="0" w:color="auto"/>
        <w:right w:val="none" w:sz="0" w:space="0" w:color="auto"/>
      </w:divBdr>
      <w:divsChild>
        <w:div w:id="158665708">
          <w:marLeft w:val="0"/>
          <w:marRight w:val="0"/>
          <w:marTop w:val="0"/>
          <w:marBottom w:val="150"/>
          <w:divBdr>
            <w:top w:val="none" w:sz="0" w:space="0" w:color="auto"/>
            <w:left w:val="none" w:sz="0" w:space="0" w:color="auto"/>
            <w:bottom w:val="none" w:sz="0" w:space="0" w:color="auto"/>
            <w:right w:val="none" w:sz="0" w:space="0" w:color="auto"/>
          </w:divBdr>
          <w:divsChild>
            <w:div w:id="807934935">
              <w:marLeft w:val="0"/>
              <w:marRight w:val="0"/>
              <w:marTop w:val="0"/>
              <w:marBottom w:val="0"/>
              <w:divBdr>
                <w:top w:val="none" w:sz="0" w:space="0" w:color="auto"/>
                <w:left w:val="none" w:sz="0" w:space="0" w:color="auto"/>
                <w:bottom w:val="none" w:sz="0" w:space="0" w:color="auto"/>
                <w:right w:val="none" w:sz="0" w:space="0" w:color="auto"/>
              </w:divBdr>
              <w:divsChild>
                <w:div w:id="187453930">
                  <w:marLeft w:val="0"/>
                  <w:marRight w:val="0"/>
                  <w:marTop w:val="0"/>
                  <w:marBottom w:val="0"/>
                  <w:divBdr>
                    <w:top w:val="none" w:sz="0" w:space="0" w:color="auto"/>
                    <w:left w:val="none" w:sz="0" w:space="0" w:color="auto"/>
                    <w:bottom w:val="none" w:sz="0" w:space="0" w:color="auto"/>
                    <w:right w:val="none" w:sz="0" w:space="0" w:color="auto"/>
                  </w:divBdr>
                  <w:divsChild>
                    <w:div w:id="1224877622">
                      <w:marLeft w:val="0"/>
                      <w:marRight w:val="150"/>
                      <w:marTop w:val="0"/>
                      <w:marBottom w:val="0"/>
                      <w:divBdr>
                        <w:top w:val="none" w:sz="0" w:space="0" w:color="auto"/>
                        <w:left w:val="none" w:sz="0" w:space="0" w:color="auto"/>
                        <w:bottom w:val="none" w:sz="0" w:space="0" w:color="auto"/>
                        <w:right w:val="none" w:sz="0" w:space="0" w:color="auto"/>
                      </w:divBdr>
                      <w:divsChild>
                        <w:div w:id="37959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873381">
          <w:marLeft w:val="0"/>
          <w:marRight w:val="0"/>
          <w:marTop w:val="0"/>
          <w:marBottom w:val="150"/>
          <w:divBdr>
            <w:top w:val="none" w:sz="0" w:space="0" w:color="auto"/>
            <w:left w:val="none" w:sz="0" w:space="0" w:color="auto"/>
            <w:bottom w:val="none" w:sz="0" w:space="0" w:color="auto"/>
            <w:right w:val="none" w:sz="0" w:space="0" w:color="auto"/>
          </w:divBdr>
        </w:div>
        <w:div w:id="1245645156">
          <w:marLeft w:val="0"/>
          <w:marRight w:val="0"/>
          <w:marTop w:val="0"/>
          <w:marBottom w:val="0"/>
          <w:divBdr>
            <w:top w:val="none" w:sz="0" w:space="0" w:color="auto"/>
            <w:left w:val="none" w:sz="0" w:space="0" w:color="auto"/>
            <w:bottom w:val="none" w:sz="0" w:space="0" w:color="auto"/>
            <w:right w:val="none" w:sz="0" w:space="0" w:color="auto"/>
          </w:divBdr>
          <w:divsChild>
            <w:div w:id="81156263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31187232">
      <w:bodyDiv w:val="1"/>
      <w:marLeft w:val="0"/>
      <w:marRight w:val="0"/>
      <w:marTop w:val="0"/>
      <w:marBottom w:val="0"/>
      <w:divBdr>
        <w:top w:val="none" w:sz="0" w:space="0" w:color="auto"/>
        <w:left w:val="none" w:sz="0" w:space="0" w:color="auto"/>
        <w:bottom w:val="none" w:sz="0" w:space="0" w:color="auto"/>
        <w:right w:val="none" w:sz="0" w:space="0" w:color="auto"/>
      </w:divBdr>
    </w:div>
    <w:div w:id="1532181085">
      <w:bodyDiv w:val="1"/>
      <w:marLeft w:val="0"/>
      <w:marRight w:val="0"/>
      <w:marTop w:val="0"/>
      <w:marBottom w:val="0"/>
      <w:divBdr>
        <w:top w:val="none" w:sz="0" w:space="0" w:color="auto"/>
        <w:left w:val="none" w:sz="0" w:space="0" w:color="auto"/>
        <w:bottom w:val="none" w:sz="0" w:space="0" w:color="auto"/>
        <w:right w:val="none" w:sz="0" w:space="0" w:color="auto"/>
      </w:divBdr>
      <w:divsChild>
        <w:div w:id="1577980748">
          <w:marLeft w:val="0"/>
          <w:marRight w:val="0"/>
          <w:marTop w:val="0"/>
          <w:marBottom w:val="0"/>
          <w:divBdr>
            <w:top w:val="none" w:sz="0" w:space="0" w:color="auto"/>
            <w:left w:val="none" w:sz="0" w:space="0" w:color="auto"/>
            <w:bottom w:val="none" w:sz="0" w:space="0" w:color="auto"/>
            <w:right w:val="none" w:sz="0" w:space="0" w:color="auto"/>
          </w:divBdr>
          <w:divsChild>
            <w:div w:id="18240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57618">
      <w:bodyDiv w:val="1"/>
      <w:marLeft w:val="0"/>
      <w:marRight w:val="0"/>
      <w:marTop w:val="0"/>
      <w:marBottom w:val="0"/>
      <w:divBdr>
        <w:top w:val="none" w:sz="0" w:space="0" w:color="auto"/>
        <w:left w:val="none" w:sz="0" w:space="0" w:color="auto"/>
        <w:bottom w:val="none" w:sz="0" w:space="0" w:color="auto"/>
        <w:right w:val="none" w:sz="0" w:space="0" w:color="auto"/>
      </w:divBdr>
      <w:divsChild>
        <w:div w:id="46227058">
          <w:marLeft w:val="0"/>
          <w:marRight w:val="0"/>
          <w:marTop w:val="0"/>
          <w:marBottom w:val="150"/>
          <w:divBdr>
            <w:top w:val="none" w:sz="0" w:space="0" w:color="auto"/>
            <w:left w:val="none" w:sz="0" w:space="0" w:color="auto"/>
            <w:bottom w:val="none" w:sz="0" w:space="0" w:color="auto"/>
            <w:right w:val="none" w:sz="0" w:space="0" w:color="auto"/>
          </w:divBdr>
        </w:div>
        <w:div w:id="1921599406">
          <w:marLeft w:val="0"/>
          <w:marRight w:val="0"/>
          <w:marTop w:val="0"/>
          <w:marBottom w:val="150"/>
          <w:divBdr>
            <w:top w:val="none" w:sz="0" w:space="0" w:color="auto"/>
            <w:left w:val="none" w:sz="0" w:space="0" w:color="auto"/>
            <w:bottom w:val="none" w:sz="0" w:space="0" w:color="auto"/>
            <w:right w:val="none" w:sz="0" w:space="0" w:color="auto"/>
          </w:divBdr>
          <w:divsChild>
            <w:div w:id="9622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02231">
      <w:bodyDiv w:val="1"/>
      <w:marLeft w:val="0"/>
      <w:marRight w:val="0"/>
      <w:marTop w:val="0"/>
      <w:marBottom w:val="0"/>
      <w:divBdr>
        <w:top w:val="none" w:sz="0" w:space="0" w:color="auto"/>
        <w:left w:val="none" w:sz="0" w:space="0" w:color="auto"/>
        <w:bottom w:val="none" w:sz="0" w:space="0" w:color="auto"/>
        <w:right w:val="none" w:sz="0" w:space="0" w:color="auto"/>
      </w:divBdr>
    </w:div>
    <w:div w:id="1532568318">
      <w:bodyDiv w:val="1"/>
      <w:marLeft w:val="0"/>
      <w:marRight w:val="0"/>
      <w:marTop w:val="0"/>
      <w:marBottom w:val="0"/>
      <w:divBdr>
        <w:top w:val="none" w:sz="0" w:space="0" w:color="auto"/>
        <w:left w:val="none" w:sz="0" w:space="0" w:color="auto"/>
        <w:bottom w:val="none" w:sz="0" w:space="0" w:color="auto"/>
        <w:right w:val="none" w:sz="0" w:space="0" w:color="auto"/>
      </w:divBdr>
      <w:divsChild>
        <w:div w:id="962075923">
          <w:marLeft w:val="0"/>
          <w:marRight w:val="0"/>
          <w:marTop w:val="0"/>
          <w:marBottom w:val="240"/>
          <w:divBdr>
            <w:top w:val="none" w:sz="0" w:space="0" w:color="auto"/>
            <w:left w:val="none" w:sz="0" w:space="0" w:color="auto"/>
            <w:bottom w:val="none" w:sz="0" w:space="0" w:color="auto"/>
            <w:right w:val="none" w:sz="0" w:space="0" w:color="auto"/>
          </w:divBdr>
        </w:div>
        <w:div w:id="1833401809">
          <w:marLeft w:val="0"/>
          <w:marRight w:val="0"/>
          <w:marTop w:val="0"/>
          <w:marBottom w:val="240"/>
          <w:divBdr>
            <w:top w:val="none" w:sz="0" w:space="0" w:color="auto"/>
            <w:left w:val="none" w:sz="0" w:space="0" w:color="auto"/>
            <w:bottom w:val="none" w:sz="0" w:space="0" w:color="auto"/>
            <w:right w:val="none" w:sz="0" w:space="0" w:color="auto"/>
          </w:divBdr>
        </w:div>
        <w:div w:id="1489788206">
          <w:marLeft w:val="0"/>
          <w:marRight w:val="0"/>
          <w:marTop w:val="0"/>
          <w:marBottom w:val="240"/>
          <w:divBdr>
            <w:top w:val="none" w:sz="0" w:space="0" w:color="auto"/>
            <w:left w:val="none" w:sz="0" w:space="0" w:color="auto"/>
            <w:bottom w:val="none" w:sz="0" w:space="0" w:color="auto"/>
            <w:right w:val="none" w:sz="0" w:space="0" w:color="auto"/>
          </w:divBdr>
        </w:div>
        <w:div w:id="1740060171">
          <w:marLeft w:val="0"/>
          <w:marRight w:val="0"/>
          <w:marTop w:val="0"/>
          <w:marBottom w:val="240"/>
          <w:divBdr>
            <w:top w:val="none" w:sz="0" w:space="0" w:color="auto"/>
            <w:left w:val="none" w:sz="0" w:space="0" w:color="auto"/>
            <w:bottom w:val="none" w:sz="0" w:space="0" w:color="auto"/>
            <w:right w:val="none" w:sz="0" w:space="0" w:color="auto"/>
          </w:divBdr>
        </w:div>
      </w:divsChild>
    </w:div>
    <w:div w:id="1533111282">
      <w:bodyDiv w:val="1"/>
      <w:marLeft w:val="0"/>
      <w:marRight w:val="0"/>
      <w:marTop w:val="0"/>
      <w:marBottom w:val="0"/>
      <w:divBdr>
        <w:top w:val="none" w:sz="0" w:space="0" w:color="auto"/>
        <w:left w:val="none" w:sz="0" w:space="0" w:color="auto"/>
        <w:bottom w:val="none" w:sz="0" w:space="0" w:color="auto"/>
        <w:right w:val="none" w:sz="0" w:space="0" w:color="auto"/>
      </w:divBdr>
      <w:divsChild>
        <w:div w:id="423571348">
          <w:marLeft w:val="0"/>
          <w:marRight w:val="0"/>
          <w:marTop w:val="0"/>
          <w:marBottom w:val="0"/>
          <w:divBdr>
            <w:top w:val="none" w:sz="0" w:space="0" w:color="auto"/>
            <w:left w:val="none" w:sz="0" w:space="0" w:color="auto"/>
            <w:bottom w:val="none" w:sz="0" w:space="0" w:color="auto"/>
            <w:right w:val="none" w:sz="0" w:space="0" w:color="auto"/>
          </w:divBdr>
        </w:div>
      </w:divsChild>
    </w:div>
    <w:div w:id="1533153785">
      <w:bodyDiv w:val="1"/>
      <w:marLeft w:val="0"/>
      <w:marRight w:val="0"/>
      <w:marTop w:val="0"/>
      <w:marBottom w:val="0"/>
      <w:divBdr>
        <w:top w:val="none" w:sz="0" w:space="0" w:color="auto"/>
        <w:left w:val="none" w:sz="0" w:space="0" w:color="auto"/>
        <w:bottom w:val="none" w:sz="0" w:space="0" w:color="auto"/>
        <w:right w:val="none" w:sz="0" w:space="0" w:color="auto"/>
      </w:divBdr>
    </w:div>
    <w:div w:id="1533299640">
      <w:bodyDiv w:val="1"/>
      <w:marLeft w:val="0"/>
      <w:marRight w:val="0"/>
      <w:marTop w:val="0"/>
      <w:marBottom w:val="0"/>
      <w:divBdr>
        <w:top w:val="none" w:sz="0" w:space="0" w:color="auto"/>
        <w:left w:val="none" w:sz="0" w:space="0" w:color="auto"/>
        <w:bottom w:val="none" w:sz="0" w:space="0" w:color="auto"/>
        <w:right w:val="none" w:sz="0" w:space="0" w:color="auto"/>
      </w:divBdr>
      <w:divsChild>
        <w:div w:id="358551645">
          <w:marLeft w:val="0"/>
          <w:marRight w:val="0"/>
          <w:marTop w:val="0"/>
          <w:marBottom w:val="0"/>
          <w:divBdr>
            <w:top w:val="none" w:sz="0" w:space="0" w:color="auto"/>
            <w:left w:val="none" w:sz="0" w:space="0" w:color="auto"/>
            <w:bottom w:val="dotted" w:sz="6" w:space="4" w:color="DDDDDD"/>
            <w:right w:val="none" w:sz="0" w:space="0" w:color="auto"/>
          </w:divBdr>
        </w:div>
      </w:divsChild>
    </w:div>
    <w:div w:id="1533498536">
      <w:bodyDiv w:val="1"/>
      <w:marLeft w:val="0"/>
      <w:marRight w:val="0"/>
      <w:marTop w:val="0"/>
      <w:marBottom w:val="0"/>
      <w:divBdr>
        <w:top w:val="none" w:sz="0" w:space="0" w:color="auto"/>
        <w:left w:val="none" w:sz="0" w:space="0" w:color="auto"/>
        <w:bottom w:val="none" w:sz="0" w:space="0" w:color="auto"/>
        <w:right w:val="none" w:sz="0" w:space="0" w:color="auto"/>
      </w:divBdr>
      <w:divsChild>
        <w:div w:id="2038698364">
          <w:marLeft w:val="0"/>
          <w:marRight w:val="0"/>
          <w:marTop w:val="0"/>
          <w:marBottom w:val="0"/>
          <w:divBdr>
            <w:top w:val="none" w:sz="0" w:space="0" w:color="auto"/>
            <w:left w:val="none" w:sz="0" w:space="0" w:color="auto"/>
            <w:bottom w:val="none" w:sz="0" w:space="0" w:color="auto"/>
            <w:right w:val="none" w:sz="0" w:space="0" w:color="auto"/>
          </w:divBdr>
          <w:divsChild>
            <w:div w:id="1431582904">
              <w:marLeft w:val="0"/>
              <w:marRight w:val="0"/>
              <w:marTop w:val="0"/>
              <w:marBottom w:val="0"/>
              <w:divBdr>
                <w:top w:val="none" w:sz="0" w:space="0" w:color="auto"/>
                <w:left w:val="none" w:sz="0" w:space="0" w:color="auto"/>
                <w:bottom w:val="none" w:sz="0" w:space="0" w:color="auto"/>
                <w:right w:val="none" w:sz="0" w:space="0" w:color="auto"/>
              </w:divBdr>
              <w:divsChild>
                <w:div w:id="2082555718">
                  <w:marLeft w:val="0"/>
                  <w:marRight w:val="0"/>
                  <w:marTop w:val="0"/>
                  <w:marBottom w:val="0"/>
                  <w:divBdr>
                    <w:top w:val="none" w:sz="0" w:space="0" w:color="auto"/>
                    <w:left w:val="none" w:sz="0" w:space="0" w:color="auto"/>
                    <w:bottom w:val="none" w:sz="0" w:space="0" w:color="auto"/>
                    <w:right w:val="none" w:sz="0" w:space="0" w:color="auto"/>
                  </w:divBdr>
                  <w:divsChild>
                    <w:div w:id="1349718120">
                      <w:marLeft w:val="0"/>
                      <w:marRight w:val="0"/>
                      <w:marTop w:val="0"/>
                      <w:marBottom w:val="0"/>
                      <w:divBdr>
                        <w:top w:val="none" w:sz="0" w:space="0" w:color="auto"/>
                        <w:left w:val="none" w:sz="0" w:space="0" w:color="auto"/>
                        <w:bottom w:val="none" w:sz="0" w:space="0" w:color="auto"/>
                        <w:right w:val="none" w:sz="0" w:space="0" w:color="auto"/>
                      </w:divBdr>
                      <w:divsChild>
                        <w:div w:id="1638611490">
                          <w:marLeft w:val="0"/>
                          <w:marRight w:val="0"/>
                          <w:marTop w:val="0"/>
                          <w:marBottom w:val="0"/>
                          <w:divBdr>
                            <w:top w:val="none" w:sz="0" w:space="0" w:color="auto"/>
                            <w:left w:val="none" w:sz="0" w:space="0" w:color="auto"/>
                            <w:bottom w:val="none" w:sz="0" w:space="0" w:color="auto"/>
                            <w:right w:val="none" w:sz="0" w:space="0" w:color="auto"/>
                          </w:divBdr>
                          <w:divsChild>
                            <w:div w:id="112289621">
                              <w:marLeft w:val="0"/>
                              <w:marRight w:val="0"/>
                              <w:marTop w:val="0"/>
                              <w:marBottom w:val="0"/>
                              <w:divBdr>
                                <w:top w:val="none" w:sz="0" w:space="0" w:color="auto"/>
                                <w:left w:val="none" w:sz="0" w:space="0" w:color="auto"/>
                                <w:bottom w:val="none" w:sz="0" w:space="0" w:color="auto"/>
                                <w:right w:val="none" w:sz="0" w:space="0" w:color="auto"/>
                              </w:divBdr>
                              <w:divsChild>
                                <w:div w:id="756246138">
                                  <w:marLeft w:val="0"/>
                                  <w:marRight w:val="0"/>
                                  <w:marTop w:val="0"/>
                                  <w:marBottom w:val="75"/>
                                  <w:divBdr>
                                    <w:top w:val="none" w:sz="0" w:space="0" w:color="auto"/>
                                    <w:left w:val="none" w:sz="0" w:space="0" w:color="auto"/>
                                    <w:bottom w:val="none" w:sz="0" w:space="0" w:color="auto"/>
                                    <w:right w:val="none" w:sz="0" w:space="0" w:color="auto"/>
                                  </w:divBdr>
                                  <w:divsChild>
                                    <w:div w:id="2027711039">
                                      <w:marLeft w:val="0"/>
                                      <w:marRight w:val="0"/>
                                      <w:marTop w:val="0"/>
                                      <w:marBottom w:val="0"/>
                                      <w:divBdr>
                                        <w:top w:val="none" w:sz="0" w:space="0" w:color="auto"/>
                                        <w:left w:val="none" w:sz="0" w:space="0" w:color="auto"/>
                                        <w:bottom w:val="none" w:sz="0" w:space="0" w:color="auto"/>
                                        <w:right w:val="none" w:sz="0" w:space="0" w:color="auto"/>
                                      </w:divBdr>
                                      <w:divsChild>
                                        <w:div w:id="2116245240">
                                          <w:marLeft w:val="0"/>
                                          <w:marRight w:val="0"/>
                                          <w:marTop w:val="0"/>
                                          <w:marBottom w:val="0"/>
                                          <w:divBdr>
                                            <w:top w:val="none" w:sz="0" w:space="0" w:color="auto"/>
                                            <w:left w:val="none" w:sz="0" w:space="0" w:color="auto"/>
                                            <w:bottom w:val="none" w:sz="0" w:space="0" w:color="auto"/>
                                            <w:right w:val="none" w:sz="0" w:space="0" w:color="auto"/>
                                          </w:divBdr>
                                          <w:divsChild>
                                            <w:div w:id="1658847999">
                                              <w:marLeft w:val="0"/>
                                              <w:marRight w:val="0"/>
                                              <w:marTop w:val="0"/>
                                              <w:marBottom w:val="0"/>
                                              <w:divBdr>
                                                <w:top w:val="none" w:sz="0" w:space="0" w:color="auto"/>
                                                <w:left w:val="none" w:sz="0" w:space="0" w:color="auto"/>
                                                <w:bottom w:val="none" w:sz="0" w:space="0" w:color="auto"/>
                                                <w:right w:val="none" w:sz="0" w:space="0" w:color="auto"/>
                                              </w:divBdr>
                                              <w:divsChild>
                                                <w:div w:id="133703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3762487">
      <w:bodyDiv w:val="1"/>
      <w:marLeft w:val="0"/>
      <w:marRight w:val="0"/>
      <w:marTop w:val="0"/>
      <w:marBottom w:val="0"/>
      <w:divBdr>
        <w:top w:val="none" w:sz="0" w:space="0" w:color="auto"/>
        <w:left w:val="none" w:sz="0" w:space="0" w:color="auto"/>
        <w:bottom w:val="none" w:sz="0" w:space="0" w:color="auto"/>
        <w:right w:val="none" w:sz="0" w:space="0" w:color="auto"/>
      </w:divBdr>
      <w:divsChild>
        <w:div w:id="1535538176">
          <w:marLeft w:val="0"/>
          <w:marRight w:val="0"/>
          <w:marTop w:val="0"/>
          <w:marBottom w:val="0"/>
          <w:divBdr>
            <w:top w:val="none" w:sz="0" w:space="0" w:color="auto"/>
            <w:left w:val="none" w:sz="0" w:space="0" w:color="auto"/>
            <w:bottom w:val="none" w:sz="0" w:space="0" w:color="auto"/>
            <w:right w:val="none" w:sz="0" w:space="0" w:color="auto"/>
          </w:divBdr>
        </w:div>
      </w:divsChild>
    </w:div>
    <w:div w:id="1534080103">
      <w:bodyDiv w:val="1"/>
      <w:marLeft w:val="0"/>
      <w:marRight w:val="0"/>
      <w:marTop w:val="0"/>
      <w:marBottom w:val="0"/>
      <w:divBdr>
        <w:top w:val="none" w:sz="0" w:space="0" w:color="auto"/>
        <w:left w:val="none" w:sz="0" w:space="0" w:color="auto"/>
        <w:bottom w:val="none" w:sz="0" w:space="0" w:color="auto"/>
        <w:right w:val="none" w:sz="0" w:space="0" w:color="auto"/>
      </w:divBdr>
      <w:divsChild>
        <w:div w:id="655112602">
          <w:marLeft w:val="0"/>
          <w:marRight w:val="0"/>
          <w:marTop w:val="0"/>
          <w:marBottom w:val="150"/>
          <w:divBdr>
            <w:top w:val="none" w:sz="0" w:space="0" w:color="auto"/>
            <w:left w:val="none" w:sz="0" w:space="0" w:color="auto"/>
            <w:bottom w:val="none" w:sz="0" w:space="0" w:color="auto"/>
            <w:right w:val="none" w:sz="0" w:space="0" w:color="auto"/>
          </w:divBdr>
        </w:div>
      </w:divsChild>
    </w:div>
    <w:div w:id="1534153498">
      <w:bodyDiv w:val="1"/>
      <w:marLeft w:val="0"/>
      <w:marRight w:val="0"/>
      <w:marTop w:val="0"/>
      <w:marBottom w:val="0"/>
      <w:divBdr>
        <w:top w:val="none" w:sz="0" w:space="0" w:color="auto"/>
        <w:left w:val="none" w:sz="0" w:space="0" w:color="auto"/>
        <w:bottom w:val="none" w:sz="0" w:space="0" w:color="auto"/>
        <w:right w:val="none" w:sz="0" w:space="0" w:color="auto"/>
      </w:divBdr>
      <w:divsChild>
        <w:div w:id="724448762">
          <w:marLeft w:val="0"/>
          <w:marRight w:val="0"/>
          <w:marTop w:val="0"/>
          <w:marBottom w:val="0"/>
          <w:divBdr>
            <w:top w:val="none" w:sz="0" w:space="0" w:color="auto"/>
            <w:left w:val="none" w:sz="0" w:space="0" w:color="auto"/>
            <w:bottom w:val="dotted" w:sz="6" w:space="4" w:color="DDDDDD"/>
            <w:right w:val="none" w:sz="0" w:space="0" w:color="auto"/>
          </w:divBdr>
          <w:divsChild>
            <w:div w:id="126302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30197">
      <w:bodyDiv w:val="1"/>
      <w:marLeft w:val="0"/>
      <w:marRight w:val="0"/>
      <w:marTop w:val="0"/>
      <w:marBottom w:val="0"/>
      <w:divBdr>
        <w:top w:val="none" w:sz="0" w:space="0" w:color="auto"/>
        <w:left w:val="none" w:sz="0" w:space="0" w:color="auto"/>
        <w:bottom w:val="none" w:sz="0" w:space="0" w:color="auto"/>
        <w:right w:val="none" w:sz="0" w:space="0" w:color="auto"/>
      </w:divBdr>
    </w:div>
    <w:div w:id="1534341879">
      <w:bodyDiv w:val="1"/>
      <w:marLeft w:val="0"/>
      <w:marRight w:val="0"/>
      <w:marTop w:val="0"/>
      <w:marBottom w:val="0"/>
      <w:divBdr>
        <w:top w:val="none" w:sz="0" w:space="0" w:color="auto"/>
        <w:left w:val="none" w:sz="0" w:space="0" w:color="auto"/>
        <w:bottom w:val="none" w:sz="0" w:space="0" w:color="auto"/>
        <w:right w:val="none" w:sz="0" w:space="0" w:color="auto"/>
      </w:divBdr>
      <w:divsChild>
        <w:div w:id="1703676234">
          <w:marLeft w:val="0"/>
          <w:marRight w:val="0"/>
          <w:marTop w:val="0"/>
          <w:marBottom w:val="150"/>
          <w:divBdr>
            <w:top w:val="none" w:sz="0" w:space="0" w:color="auto"/>
            <w:left w:val="none" w:sz="0" w:space="0" w:color="auto"/>
            <w:bottom w:val="none" w:sz="0" w:space="0" w:color="auto"/>
            <w:right w:val="none" w:sz="0" w:space="0" w:color="auto"/>
          </w:divBdr>
        </w:div>
      </w:divsChild>
    </w:div>
    <w:div w:id="1535776786">
      <w:bodyDiv w:val="1"/>
      <w:marLeft w:val="0"/>
      <w:marRight w:val="0"/>
      <w:marTop w:val="0"/>
      <w:marBottom w:val="0"/>
      <w:divBdr>
        <w:top w:val="none" w:sz="0" w:space="0" w:color="auto"/>
        <w:left w:val="none" w:sz="0" w:space="0" w:color="auto"/>
        <w:bottom w:val="none" w:sz="0" w:space="0" w:color="auto"/>
        <w:right w:val="none" w:sz="0" w:space="0" w:color="auto"/>
      </w:divBdr>
      <w:divsChild>
        <w:div w:id="490487418">
          <w:marLeft w:val="0"/>
          <w:marRight w:val="0"/>
          <w:marTop w:val="0"/>
          <w:marBottom w:val="0"/>
          <w:divBdr>
            <w:top w:val="none" w:sz="0" w:space="0" w:color="auto"/>
            <w:left w:val="none" w:sz="0" w:space="0" w:color="auto"/>
            <w:bottom w:val="none" w:sz="0" w:space="0" w:color="auto"/>
            <w:right w:val="none" w:sz="0" w:space="0" w:color="auto"/>
          </w:divBdr>
        </w:div>
      </w:divsChild>
    </w:div>
    <w:div w:id="1536188356">
      <w:bodyDiv w:val="1"/>
      <w:marLeft w:val="0"/>
      <w:marRight w:val="0"/>
      <w:marTop w:val="0"/>
      <w:marBottom w:val="0"/>
      <w:divBdr>
        <w:top w:val="none" w:sz="0" w:space="0" w:color="auto"/>
        <w:left w:val="none" w:sz="0" w:space="0" w:color="auto"/>
        <w:bottom w:val="none" w:sz="0" w:space="0" w:color="auto"/>
        <w:right w:val="none" w:sz="0" w:space="0" w:color="auto"/>
      </w:divBdr>
      <w:divsChild>
        <w:div w:id="1270698616">
          <w:marLeft w:val="0"/>
          <w:marRight w:val="0"/>
          <w:marTop w:val="0"/>
          <w:marBottom w:val="285"/>
          <w:divBdr>
            <w:top w:val="none" w:sz="0" w:space="0" w:color="auto"/>
            <w:left w:val="none" w:sz="0" w:space="0" w:color="auto"/>
            <w:bottom w:val="none" w:sz="0" w:space="0" w:color="auto"/>
            <w:right w:val="none" w:sz="0" w:space="0" w:color="auto"/>
          </w:divBdr>
          <w:divsChild>
            <w:div w:id="124572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234078">
      <w:bodyDiv w:val="1"/>
      <w:marLeft w:val="0"/>
      <w:marRight w:val="0"/>
      <w:marTop w:val="0"/>
      <w:marBottom w:val="0"/>
      <w:divBdr>
        <w:top w:val="none" w:sz="0" w:space="0" w:color="auto"/>
        <w:left w:val="none" w:sz="0" w:space="0" w:color="auto"/>
        <w:bottom w:val="none" w:sz="0" w:space="0" w:color="auto"/>
        <w:right w:val="none" w:sz="0" w:space="0" w:color="auto"/>
      </w:divBdr>
      <w:divsChild>
        <w:div w:id="1466318494">
          <w:marLeft w:val="0"/>
          <w:marRight w:val="0"/>
          <w:marTop w:val="0"/>
          <w:marBottom w:val="300"/>
          <w:divBdr>
            <w:top w:val="none" w:sz="0" w:space="0" w:color="auto"/>
            <w:left w:val="none" w:sz="0" w:space="0" w:color="auto"/>
            <w:bottom w:val="none" w:sz="0" w:space="0" w:color="auto"/>
            <w:right w:val="none" w:sz="0" w:space="0" w:color="auto"/>
          </w:divBdr>
          <w:divsChild>
            <w:div w:id="2006471918">
              <w:marLeft w:val="0"/>
              <w:marRight w:val="0"/>
              <w:marTop w:val="0"/>
              <w:marBottom w:val="0"/>
              <w:divBdr>
                <w:top w:val="none" w:sz="0" w:space="0" w:color="auto"/>
                <w:left w:val="none" w:sz="0" w:space="0" w:color="auto"/>
                <w:bottom w:val="none" w:sz="0" w:space="0" w:color="auto"/>
                <w:right w:val="none" w:sz="0" w:space="0" w:color="auto"/>
              </w:divBdr>
              <w:divsChild>
                <w:div w:id="1325664633">
                  <w:marLeft w:val="0"/>
                  <w:marRight w:val="0"/>
                  <w:marTop w:val="0"/>
                  <w:marBottom w:val="0"/>
                  <w:divBdr>
                    <w:top w:val="none" w:sz="0" w:space="0" w:color="auto"/>
                    <w:left w:val="none" w:sz="0" w:space="0" w:color="auto"/>
                    <w:bottom w:val="none" w:sz="0" w:space="0" w:color="auto"/>
                    <w:right w:val="none" w:sz="0" w:space="0" w:color="auto"/>
                  </w:divBdr>
                  <w:divsChild>
                    <w:div w:id="790171791">
                      <w:marLeft w:val="0"/>
                      <w:marRight w:val="0"/>
                      <w:marTop w:val="0"/>
                      <w:marBottom w:val="225"/>
                      <w:divBdr>
                        <w:top w:val="none" w:sz="0" w:space="0" w:color="2D2D2D"/>
                        <w:left w:val="none" w:sz="0" w:space="0" w:color="2D2D2D"/>
                        <w:bottom w:val="none" w:sz="0" w:space="0" w:color="2D2D2D"/>
                        <w:right w:val="none" w:sz="0" w:space="0" w:color="2D2D2D"/>
                      </w:divBdr>
                      <w:divsChild>
                        <w:div w:id="837236951">
                          <w:marLeft w:val="0"/>
                          <w:marRight w:val="0"/>
                          <w:marTop w:val="0"/>
                          <w:marBottom w:val="0"/>
                          <w:divBdr>
                            <w:top w:val="none" w:sz="0" w:space="0" w:color="auto"/>
                            <w:left w:val="none" w:sz="0" w:space="0" w:color="auto"/>
                            <w:bottom w:val="none" w:sz="0" w:space="0" w:color="auto"/>
                            <w:right w:val="none" w:sz="0" w:space="0" w:color="auto"/>
                          </w:divBdr>
                          <w:divsChild>
                            <w:div w:id="153172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308569">
      <w:bodyDiv w:val="1"/>
      <w:marLeft w:val="0"/>
      <w:marRight w:val="0"/>
      <w:marTop w:val="0"/>
      <w:marBottom w:val="0"/>
      <w:divBdr>
        <w:top w:val="none" w:sz="0" w:space="0" w:color="auto"/>
        <w:left w:val="none" w:sz="0" w:space="0" w:color="auto"/>
        <w:bottom w:val="none" w:sz="0" w:space="0" w:color="auto"/>
        <w:right w:val="none" w:sz="0" w:space="0" w:color="auto"/>
      </w:divBdr>
    </w:div>
    <w:div w:id="1536382202">
      <w:bodyDiv w:val="1"/>
      <w:marLeft w:val="0"/>
      <w:marRight w:val="0"/>
      <w:marTop w:val="0"/>
      <w:marBottom w:val="0"/>
      <w:divBdr>
        <w:top w:val="none" w:sz="0" w:space="0" w:color="auto"/>
        <w:left w:val="none" w:sz="0" w:space="0" w:color="auto"/>
        <w:bottom w:val="none" w:sz="0" w:space="0" w:color="auto"/>
        <w:right w:val="none" w:sz="0" w:space="0" w:color="auto"/>
      </w:divBdr>
      <w:divsChild>
        <w:div w:id="1050610845">
          <w:marLeft w:val="0"/>
          <w:marRight w:val="0"/>
          <w:marTop w:val="0"/>
          <w:marBottom w:val="0"/>
          <w:divBdr>
            <w:top w:val="none" w:sz="0" w:space="0" w:color="auto"/>
            <w:left w:val="none" w:sz="0" w:space="0" w:color="auto"/>
            <w:bottom w:val="none" w:sz="0" w:space="0" w:color="auto"/>
            <w:right w:val="none" w:sz="0" w:space="0" w:color="auto"/>
          </w:divBdr>
          <w:divsChild>
            <w:div w:id="189421986">
              <w:marLeft w:val="0"/>
              <w:marRight w:val="0"/>
              <w:marTop w:val="0"/>
              <w:marBottom w:val="0"/>
              <w:divBdr>
                <w:top w:val="none" w:sz="0" w:space="0" w:color="auto"/>
                <w:left w:val="none" w:sz="0" w:space="0" w:color="auto"/>
                <w:bottom w:val="none" w:sz="0" w:space="0" w:color="auto"/>
                <w:right w:val="none" w:sz="0" w:space="0" w:color="auto"/>
              </w:divBdr>
              <w:divsChild>
                <w:div w:id="57440275">
                  <w:marLeft w:val="0"/>
                  <w:marRight w:val="0"/>
                  <w:marTop w:val="0"/>
                  <w:marBottom w:val="0"/>
                  <w:divBdr>
                    <w:top w:val="none" w:sz="0" w:space="0" w:color="auto"/>
                    <w:left w:val="none" w:sz="0" w:space="0" w:color="auto"/>
                    <w:bottom w:val="none" w:sz="0" w:space="0" w:color="auto"/>
                    <w:right w:val="none" w:sz="0" w:space="0" w:color="auto"/>
                  </w:divBdr>
                  <w:divsChild>
                    <w:div w:id="857936464">
                      <w:marLeft w:val="0"/>
                      <w:marRight w:val="0"/>
                      <w:marTop w:val="0"/>
                      <w:marBottom w:val="0"/>
                      <w:divBdr>
                        <w:top w:val="none" w:sz="0" w:space="0" w:color="auto"/>
                        <w:left w:val="none" w:sz="0" w:space="0" w:color="auto"/>
                        <w:bottom w:val="none" w:sz="0" w:space="0" w:color="auto"/>
                        <w:right w:val="none" w:sz="0" w:space="0" w:color="auto"/>
                      </w:divBdr>
                      <w:divsChild>
                        <w:div w:id="684482158">
                          <w:marLeft w:val="0"/>
                          <w:marRight w:val="0"/>
                          <w:marTop w:val="0"/>
                          <w:marBottom w:val="0"/>
                          <w:divBdr>
                            <w:top w:val="none" w:sz="0" w:space="0" w:color="auto"/>
                            <w:left w:val="none" w:sz="0" w:space="0" w:color="auto"/>
                            <w:bottom w:val="none" w:sz="0" w:space="0" w:color="auto"/>
                            <w:right w:val="none" w:sz="0" w:space="0" w:color="auto"/>
                          </w:divBdr>
                          <w:divsChild>
                            <w:div w:id="439691408">
                              <w:marLeft w:val="0"/>
                              <w:marRight w:val="0"/>
                              <w:marTop w:val="0"/>
                              <w:marBottom w:val="0"/>
                              <w:divBdr>
                                <w:top w:val="none" w:sz="0" w:space="0" w:color="auto"/>
                                <w:left w:val="none" w:sz="0" w:space="0" w:color="auto"/>
                                <w:bottom w:val="none" w:sz="0" w:space="0" w:color="auto"/>
                                <w:right w:val="none" w:sz="0" w:space="0" w:color="auto"/>
                              </w:divBdr>
                              <w:divsChild>
                                <w:div w:id="107061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6575504">
      <w:bodyDiv w:val="1"/>
      <w:marLeft w:val="0"/>
      <w:marRight w:val="0"/>
      <w:marTop w:val="0"/>
      <w:marBottom w:val="0"/>
      <w:divBdr>
        <w:top w:val="none" w:sz="0" w:space="0" w:color="auto"/>
        <w:left w:val="none" w:sz="0" w:space="0" w:color="auto"/>
        <w:bottom w:val="none" w:sz="0" w:space="0" w:color="auto"/>
        <w:right w:val="none" w:sz="0" w:space="0" w:color="auto"/>
      </w:divBdr>
      <w:divsChild>
        <w:div w:id="1322002298">
          <w:marLeft w:val="0"/>
          <w:marRight w:val="0"/>
          <w:marTop w:val="150"/>
          <w:marBottom w:val="0"/>
          <w:divBdr>
            <w:top w:val="none" w:sz="0" w:space="0" w:color="auto"/>
            <w:left w:val="none" w:sz="0" w:space="0" w:color="auto"/>
            <w:bottom w:val="none" w:sz="0" w:space="0" w:color="auto"/>
            <w:right w:val="none" w:sz="0" w:space="0" w:color="auto"/>
          </w:divBdr>
          <w:divsChild>
            <w:div w:id="719212955">
              <w:marLeft w:val="0"/>
              <w:marRight w:val="0"/>
              <w:marTop w:val="0"/>
              <w:marBottom w:val="0"/>
              <w:divBdr>
                <w:top w:val="none" w:sz="0" w:space="0" w:color="auto"/>
                <w:left w:val="none" w:sz="0" w:space="0" w:color="auto"/>
                <w:bottom w:val="single" w:sz="6" w:space="0" w:color="EFEFEF"/>
                <w:right w:val="none" w:sz="0" w:space="0" w:color="auto"/>
              </w:divBdr>
              <w:divsChild>
                <w:div w:id="253439897">
                  <w:marLeft w:val="0"/>
                  <w:marRight w:val="0"/>
                  <w:marTop w:val="0"/>
                  <w:marBottom w:val="0"/>
                  <w:divBdr>
                    <w:top w:val="none" w:sz="0" w:space="0" w:color="auto"/>
                    <w:left w:val="none" w:sz="0" w:space="0" w:color="auto"/>
                    <w:bottom w:val="none" w:sz="0" w:space="0" w:color="auto"/>
                    <w:right w:val="none" w:sz="0" w:space="0" w:color="auto"/>
                  </w:divBdr>
                </w:div>
                <w:div w:id="63491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169932">
          <w:marLeft w:val="0"/>
          <w:marRight w:val="0"/>
          <w:marTop w:val="300"/>
          <w:marBottom w:val="0"/>
          <w:divBdr>
            <w:top w:val="none" w:sz="0" w:space="0" w:color="auto"/>
            <w:left w:val="none" w:sz="0" w:space="0" w:color="auto"/>
            <w:bottom w:val="none" w:sz="0" w:space="0" w:color="auto"/>
            <w:right w:val="none" w:sz="0" w:space="0" w:color="auto"/>
          </w:divBdr>
          <w:divsChild>
            <w:div w:id="593588231">
              <w:marLeft w:val="0"/>
              <w:marRight w:val="0"/>
              <w:marTop w:val="0"/>
              <w:marBottom w:val="0"/>
              <w:divBdr>
                <w:top w:val="none" w:sz="0" w:space="0" w:color="auto"/>
                <w:left w:val="none" w:sz="0" w:space="0" w:color="auto"/>
                <w:bottom w:val="none" w:sz="0" w:space="0" w:color="auto"/>
                <w:right w:val="none" w:sz="0" w:space="0" w:color="auto"/>
              </w:divBdr>
              <w:divsChild>
                <w:div w:id="1678848154">
                  <w:marLeft w:val="0"/>
                  <w:marRight w:val="0"/>
                  <w:marTop w:val="0"/>
                  <w:marBottom w:val="0"/>
                  <w:divBdr>
                    <w:top w:val="none" w:sz="0" w:space="0" w:color="auto"/>
                    <w:left w:val="none" w:sz="0" w:space="0" w:color="auto"/>
                    <w:bottom w:val="none" w:sz="0" w:space="0" w:color="auto"/>
                    <w:right w:val="none" w:sz="0" w:space="0" w:color="auto"/>
                  </w:divBdr>
                  <w:divsChild>
                    <w:div w:id="1547985931">
                      <w:marLeft w:val="0"/>
                      <w:marRight w:val="0"/>
                      <w:marTop w:val="0"/>
                      <w:marBottom w:val="0"/>
                      <w:divBdr>
                        <w:top w:val="none" w:sz="0" w:space="0" w:color="auto"/>
                        <w:left w:val="none" w:sz="0" w:space="0" w:color="auto"/>
                        <w:bottom w:val="none" w:sz="0" w:space="0" w:color="auto"/>
                        <w:right w:val="none" w:sz="0" w:space="0" w:color="auto"/>
                      </w:divBdr>
                    </w:div>
                  </w:divsChild>
                </w:div>
                <w:div w:id="2060591509">
                  <w:marLeft w:val="0"/>
                  <w:marRight w:val="0"/>
                  <w:marTop w:val="150"/>
                  <w:marBottom w:val="0"/>
                  <w:divBdr>
                    <w:top w:val="none" w:sz="0" w:space="0" w:color="auto"/>
                    <w:left w:val="none" w:sz="0" w:space="0" w:color="auto"/>
                    <w:bottom w:val="none" w:sz="0" w:space="0" w:color="auto"/>
                    <w:right w:val="none" w:sz="0" w:space="0" w:color="auto"/>
                  </w:divBdr>
                  <w:divsChild>
                    <w:div w:id="1858885761">
                      <w:marLeft w:val="0"/>
                      <w:marRight w:val="0"/>
                      <w:marTop w:val="0"/>
                      <w:marBottom w:val="0"/>
                      <w:divBdr>
                        <w:top w:val="none" w:sz="0" w:space="0" w:color="auto"/>
                        <w:left w:val="none" w:sz="0" w:space="0" w:color="auto"/>
                        <w:bottom w:val="none" w:sz="0" w:space="0" w:color="auto"/>
                        <w:right w:val="none" w:sz="0" w:space="0" w:color="auto"/>
                      </w:divBdr>
                      <w:divsChild>
                        <w:div w:id="1233810750">
                          <w:marLeft w:val="75"/>
                          <w:marRight w:val="0"/>
                          <w:marTop w:val="0"/>
                          <w:marBottom w:val="0"/>
                          <w:divBdr>
                            <w:top w:val="none" w:sz="0" w:space="0" w:color="auto"/>
                            <w:left w:val="none" w:sz="0" w:space="0" w:color="auto"/>
                            <w:bottom w:val="none" w:sz="0" w:space="0" w:color="auto"/>
                            <w:right w:val="none" w:sz="0" w:space="0" w:color="auto"/>
                          </w:divBdr>
                        </w:div>
                        <w:div w:id="170355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314121">
              <w:marLeft w:val="-1350"/>
              <w:marRight w:val="0"/>
              <w:marTop w:val="0"/>
              <w:marBottom w:val="0"/>
              <w:divBdr>
                <w:top w:val="none" w:sz="0" w:space="0" w:color="auto"/>
                <w:left w:val="none" w:sz="0" w:space="0" w:color="auto"/>
                <w:bottom w:val="none" w:sz="0" w:space="0" w:color="auto"/>
                <w:right w:val="none" w:sz="0" w:space="0" w:color="auto"/>
              </w:divBdr>
              <w:divsChild>
                <w:div w:id="1572933708">
                  <w:marLeft w:val="0"/>
                  <w:marRight w:val="0"/>
                  <w:marTop w:val="0"/>
                  <w:marBottom w:val="0"/>
                  <w:divBdr>
                    <w:top w:val="none" w:sz="0" w:space="0" w:color="auto"/>
                    <w:left w:val="none" w:sz="0" w:space="0" w:color="auto"/>
                    <w:bottom w:val="none" w:sz="0" w:space="0" w:color="auto"/>
                    <w:right w:val="none" w:sz="0" w:space="0" w:color="auto"/>
                  </w:divBdr>
                  <w:divsChild>
                    <w:div w:id="1879925052">
                      <w:marLeft w:val="0"/>
                      <w:marRight w:val="0"/>
                      <w:marTop w:val="0"/>
                      <w:marBottom w:val="0"/>
                      <w:divBdr>
                        <w:top w:val="none" w:sz="0" w:space="0" w:color="auto"/>
                        <w:left w:val="none" w:sz="0" w:space="0" w:color="auto"/>
                        <w:bottom w:val="none" w:sz="0" w:space="0" w:color="auto"/>
                        <w:right w:val="none" w:sz="0" w:space="0" w:color="auto"/>
                      </w:divBdr>
                      <w:divsChild>
                        <w:div w:id="105741063">
                          <w:marLeft w:val="0"/>
                          <w:marRight w:val="0"/>
                          <w:marTop w:val="0"/>
                          <w:marBottom w:val="0"/>
                          <w:divBdr>
                            <w:top w:val="single" w:sz="6" w:space="0" w:color="C7C7C7"/>
                            <w:left w:val="single" w:sz="6" w:space="0" w:color="C7C7C7"/>
                            <w:bottom w:val="single" w:sz="6" w:space="0" w:color="C7C7C7"/>
                            <w:right w:val="single" w:sz="6" w:space="0" w:color="C7C7C7"/>
                          </w:divBdr>
                          <w:divsChild>
                            <w:div w:id="713967984">
                              <w:marLeft w:val="0"/>
                              <w:marRight w:val="0"/>
                              <w:marTop w:val="100"/>
                              <w:marBottom w:val="100"/>
                              <w:divBdr>
                                <w:top w:val="none" w:sz="0" w:space="11" w:color="auto"/>
                                <w:left w:val="none" w:sz="0" w:space="0" w:color="auto"/>
                                <w:bottom w:val="single" w:sz="6" w:space="11" w:color="C7C7C7"/>
                                <w:right w:val="none" w:sz="0" w:space="0" w:color="auto"/>
                              </w:divBdr>
                            </w:div>
                            <w:div w:id="821890649">
                              <w:marLeft w:val="0"/>
                              <w:marRight w:val="0"/>
                              <w:marTop w:val="100"/>
                              <w:marBottom w:val="100"/>
                              <w:divBdr>
                                <w:top w:val="none" w:sz="0" w:space="0" w:color="auto"/>
                                <w:left w:val="none" w:sz="0" w:space="0" w:color="auto"/>
                                <w:bottom w:val="none" w:sz="0" w:space="0" w:color="auto"/>
                                <w:right w:val="none" w:sz="0" w:space="0" w:color="auto"/>
                              </w:divBdr>
                            </w:div>
                            <w:div w:id="1654990101">
                              <w:marLeft w:val="0"/>
                              <w:marRight w:val="0"/>
                              <w:marTop w:val="100"/>
                              <w:marBottom w:val="100"/>
                              <w:divBdr>
                                <w:top w:val="none" w:sz="0" w:space="11" w:color="auto"/>
                                <w:left w:val="none" w:sz="0" w:space="0" w:color="auto"/>
                                <w:bottom w:val="single" w:sz="6" w:space="11" w:color="C7C7C7"/>
                                <w:right w:val="none" w:sz="0" w:space="0" w:color="auto"/>
                              </w:divBdr>
                            </w:div>
                            <w:div w:id="2089225164">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536697187">
      <w:bodyDiv w:val="1"/>
      <w:marLeft w:val="0"/>
      <w:marRight w:val="0"/>
      <w:marTop w:val="0"/>
      <w:marBottom w:val="0"/>
      <w:divBdr>
        <w:top w:val="none" w:sz="0" w:space="0" w:color="auto"/>
        <w:left w:val="none" w:sz="0" w:space="0" w:color="auto"/>
        <w:bottom w:val="none" w:sz="0" w:space="0" w:color="auto"/>
        <w:right w:val="none" w:sz="0" w:space="0" w:color="auto"/>
      </w:divBdr>
      <w:divsChild>
        <w:div w:id="679771047">
          <w:marLeft w:val="0"/>
          <w:marRight w:val="0"/>
          <w:marTop w:val="0"/>
          <w:marBottom w:val="0"/>
          <w:divBdr>
            <w:top w:val="none" w:sz="0" w:space="0" w:color="auto"/>
            <w:left w:val="none" w:sz="0" w:space="0" w:color="auto"/>
            <w:bottom w:val="none" w:sz="0" w:space="0" w:color="auto"/>
            <w:right w:val="none" w:sz="0" w:space="0" w:color="auto"/>
          </w:divBdr>
          <w:divsChild>
            <w:div w:id="533272275">
              <w:marLeft w:val="0"/>
              <w:marRight w:val="0"/>
              <w:marTop w:val="0"/>
              <w:marBottom w:val="0"/>
              <w:divBdr>
                <w:top w:val="none" w:sz="0" w:space="0" w:color="auto"/>
                <w:left w:val="none" w:sz="0" w:space="0" w:color="auto"/>
                <w:bottom w:val="none" w:sz="0" w:space="0" w:color="auto"/>
                <w:right w:val="none" w:sz="0" w:space="0" w:color="auto"/>
              </w:divBdr>
              <w:divsChild>
                <w:div w:id="2116248837">
                  <w:marLeft w:val="0"/>
                  <w:marRight w:val="0"/>
                  <w:marTop w:val="0"/>
                  <w:marBottom w:val="0"/>
                  <w:divBdr>
                    <w:top w:val="none" w:sz="0" w:space="0" w:color="auto"/>
                    <w:left w:val="none" w:sz="0" w:space="0" w:color="auto"/>
                    <w:bottom w:val="none" w:sz="0" w:space="0" w:color="auto"/>
                    <w:right w:val="none" w:sz="0" w:space="0" w:color="auto"/>
                  </w:divBdr>
                  <w:divsChild>
                    <w:div w:id="1917977930">
                      <w:marLeft w:val="0"/>
                      <w:marRight w:val="0"/>
                      <w:marTop w:val="0"/>
                      <w:marBottom w:val="0"/>
                      <w:divBdr>
                        <w:top w:val="none" w:sz="0" w:space="0" w:color="auto"/>
                        <w:left w:val="none" w:sz="0" w:space="0" w:color="auto"/>
                        <w:bottom w:val="none" w:sz="0" w:space="0" w:color="auto"/>
                        <w:right w:val="none" w:sz="0" w:space="0" w:color="auto"/>
                      </w:divBdr>
                      <w:divsChild>
                        <w:div w:id="1812139575">
                          <w:marLeft w:val="0"/>
                          <w:marRight w:val="0"/>
                          <w:marTop w:val="0"/>
                          <w:marBottom w:val="0"/>
                          <w:divBdr>
                            <w:top w:val="none" w:sz="0" w:space="0" w:color="auto"/>
                            <w:left w:val="none" w:sz="0" w:space="0" w:color="auto"/>
                            <w:bottom w:val="none" w:sz="0" w:space="0" w:color="auto"/>
                            <w:right w:val="none" w:sz="0" w:space="0" w:color="auto"/>
                          </w:divBdr>
                          <w:divsChild>
                            <w:div w:id="922033003">
                              <w:marLeft w:val="0"/>
                              <w:marRight w:val="0"/>
                              <w:marTop w:val="0"/>
                              <w:marBottom w:val="0"/>
                              <w:divBdr>
                                <w:top w:val="none" w:sz="0" w:space="0" w:color="auto"/>
                                <w:left w:val="none" w:sz="0" w:space="0" w:color="auto"/>
                                <w:bottom w:val="none" w:sz="0" w:space="0" w:color="auto"/>
                                <w:right w:val="none" w:sz="0" w:space="0" w:color="auto"/>
                              </w:divBdr>
                              <w:divsChild>
                                <w:div w:id="2115903071">
                                  <w:marLeft w:val="0"/>
                                  <w:marRight w:val="0"/>
                                  <w:marTop w:val="0"/>
                                  <w:marBottom w:val="0"/>
                                  <w:divBdr>
                                    <w:top w:val="none" w:sz="0" w:space="0" w:color="auto"/>
                                    <w:left w:val="none" w:sz="0" w:space="0" w:color="auto"/>
                                    <w:bottom w:val="none" w:sz="0" w:space="0" w:color="auto"/>
                                    <w:right w:val="none" w:sz="0" w:space="0" w:color="auto"/>
                                  </w:divBdr>
                                  <w:divsChild>
                                    <w:div w:id="195050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042843">
      <w:bodyDiv w:val="1"/>
      <w:marLeft w:val="0"/>
      <w:marRight w:val="0"/>
      <w:marTop w:val="0"/>
      <w:marBottom w:val="0"/>
      <w:divBdr>
        <w:top w:val="none" w:sz="0" w:space="0" w:color="auto"/>
        <w:left w:val="none" w:sz="0" w:space="0" w:color="auto"/>
        <w:bottom w:val="none" w:sz="0" w:space="0" w:color="auto"/>
        <w:right w:val="none" w:sz="0" w:space="0" w:color="auto"/>
      </w:divBdr>
    </w:div>
    <w:div w:id="1537429703">
      <w:bodyDiv w:val="1"/>
      <w:marLeft w:val="0"/>
      <w:marRight w:val="0"/>
      <w:marTop w:val="0"/>
      <w:marBottom w:val="0"/>
      <w:divBdr>
        <w:top w:val="none" w:sz="0" w:space="0" w:color="auto"/>
        <w:left w:val="none" w:sz="0" w:space="0" w:color="auto"/>
        <w:bottom w:val="none" w:sz="0" w:space="0" w:color="auto"/>
        <w:right w:val="none" w:sz="0" w:space="0" w:color="auto"/>
      </w:divBdr>
      <w:divsChild>
        <w:div w:id="309215569">
          <w:marLeft w:val="0"/>
          <w:marRight w:val="0"/>
          <w:marTop w:val="0"/>
          <w:marBottom w:val="0"/>
          <w:divBdr>
            <w:top w:val="none" w:sz="0" w:space="0" w:color="auto"/>
            <w:left w:val="none" w:sz="0" w:space="0" w:color="auto"/>
            <w:bottom w:val="none" w:sz="0" w:space="0" w:color="auto"/>
            <w:right w:val="none" w:sz="0" w:space="0" w:color="auto"/>
          </w:divBdr>
          <w:divsChild>
            <w:div w:id="3107198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37964501">
      <w:bodyDiv w:val="1"/>
      <w:marLeft w:val="0"/>
      <w:marRight w:val="0"/>
      <w:marTop w:val="0"/>
      <w:marBottom w:val="0"/>
      <w:divBdr>
        <w:top w:val="none" w:sz="0" w:space="0" w:color="auto"/>
        <w:left w:val="none" w:sz="0" w:space="0" w:color="auto"/>
        <w:bottom w:val="none" w:sz="0" w:space="0" w:color="auto"/>
        <w:right w:val="none" w:sz="0" w:space="0" w:color="auto"/>
      </w:divBdr>
      <w:divsChild>
        <w:div w:id="1534616772">
          <w:marLeft w:val="0"/>
          <w:marRight w:val="0"/>
          <w:marTop w:val="0"/>
          <w:marBottom w:val="0"/>
          <w:divBdr>
            <w:top w:val="none" w:sz="0" w:space="0" w:color="auto"/>
            <w:left w:val="none" w:sz="0" w:space="0" w:color="auto"/>
            <w:bottom w:val="none" w:sz="0" w:space="0" w:color="auto"/>
            <w:right w:val="none" w:sz="0" w:space="0" w:color="auto"/>
          </w:divBdr>
        </w:div>
        <w:div w:id="1236889507">
          <w:marLeft w:val="0"/>
          <w:marRight w:val="0"/>
          <w:marTop w:val="0"/>
          <w:marBottom w:val="0"/>
          <w:divBdr>
            <w:top w:val="none" w:sz="0" w:space="0" w:color="auto"/>
            <w:left w:val="none" w:sz="0" w:space="0" w:color="auto"/>
            <w:bottom w:val="none" w:sz="0" w:space="0" w:color="auto"/>
            <w:right w:val="none" w:sz="0" w:space="0" w:color="auto"/>
          </w:divBdr>
        </w:div>
      </w:divsChild>
    </w:div>
    <w:div w:id="1538271223">
      <w:bodyDiv w:val="1"/>
      <w:marLeft w:val="0"/>
      <w:marRight w:val="0"/>
      <w:marTop w:val="0"/>
      <w:marBottom w:val="0"/>
      <w:divBdr>
        <w:top w:val="none" w:sz="0" w:space="0" w:color="auto"/>
        <w:left w:val="none" w:sz="0" w:space="0" w:color="auto"/>
        <w:bottom w:val="none" w:sz="0" w:space="0" w:color="auto"/>
        <w:right w:val="none" w:sz="0" w:space="0" w:color="auto"/>
      </w:divBdr>
    </w:div>
    <w:div w:id="1538276841">
      <w:bodyDiv w:val="1"/>
      <w:marLeft w:val="0"/>
      <w:marRight w:val="0"/>
      <w:marTop w:val="0"/>
      <w:marBottom w:val="0"/>
      <w:divBdr>
        <w:top w:val="none" w:sz="0" w:space="0" w:color="auto"/>
        <w:left w:val="none" w:sz="0" w:space="0" w:color="auto"/>
        <w:bottom w:val="none" w:sz="0" w:space="0" w:color="auto"/>
        <w:right w:val="none" w:sz="0" w:space="0" w:color="auto"/>
      </w:divBdr>
      <w:divsChild>
        <w:div w:id="246378323">
          <w:marLeft w:val="0"/>
          <w:marRight w:val="0"/>
          <w:marTop w:val="0"/>
          <w:marBottom w:val="0"/>
          <w:divBdr>
            <w:top w:val="none" w:sz="0" w:space="0" w:color="auto"/>
            <w:left w:val="none" w:sz="0" w:space="0" w:color="auto"/>
            <w:bottom w:val="dotted" w:sz="6" w:space="4" w:color="DDDDDD"/>
            <w:right w:val="none" w:sz="0" w:space="0" w:color="auto"/>
          </w:divBdr>
          <w:divsChild>
            <w:div w:id="71450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73375">
      <w:bodyDiv w:val="1"/>
      <w:marLeft w:val="0"/>
      <w:marRight w:val="0"/>
      <w:marTop w:val="0"/>
      <w:marBottom w:val="0"/>
      <w:divBdr>
        <w:top w:val="none" w:sz="0" w:space="0" w:color="auto"/>
        <w:left w:val="none" w:sz="0" w:space="0" w:color="auto"/>
        <w:bottom w:val="none" w:sz="0" w:space="0" w:color="auto"/>
        <w:right w:val="none" w:sz="0" w:space="0" w:color="auto"/>
      </w:divBdr>
      <w:divsChild>
        <w:div w:id="945846743">
          <w:marLeft w:val="0"/>
          <w:marRight w:val="0"/>
          <w:marTop w:val="0"/>
          <w:marBottom w:val="0"/>
          <w:divBdr>
            <w:top w:val="none" w:sz="0" w:space="0" w:color="auto"/>
            <w:left w:val="none" w:sz="0" w:space="0" w:color="auto"/>
            <w:bottom w:val="none" w:sz="0" w:space="0" w:color="auto"/>
            <w:right w:val="none" w:sz="0" w:space="0" w:color="auto"/>
          </w:divBdr>
          <w:divsChild>
            <w:div w:id="110591056">
              <w:marLeft w:val="0"/>
              <w:marRight w:val="0"/>
              <w:marTop w:val="0"/>
              <w:marBottom w:val="0"/>
              <w:divBdr>
                <w:top w:val="none" w:sz="0" w:space="0" w:color="auto"/>
                <w:left w:val="none" w:sz="0" w:space="0" w:color="auto"/>
                <w:bottom w:val="none" w:sz="0" w:space="0" w:color="auto"/>
                <w:right w:val="none" w:sz="0" w:space="0" w:color="auto"/>
              </w:divBdr>
              <w:divsChild>
                <w:div w:id="252134575">
                  <w:marLeft w:val="0"/>
                  <w:marRight w:val="0"/>
                  <w:marTop w:val="0"/>
                  <w:marBottom w:val="0"/>
                  <w:divBdr>
                    <w:top w:val="none" w:sz="0" w:space="0" w:color="auto"/>
                    <w:left w:val="none" w:sz="0" w:space="0" w:color="auto"/>
                    <w:bottom w:val="none" w:sz="0" w:space="0" w:color="auto"/>
                    <w:right w:val="none" w:sz="0" w:space="0" w:color="auto"/>
                  </w:divBdr>
                  <w:divsChild>
                    <w:div w:id="93012987">
                      <w:marLeft w:val="0"/>
                      <w:marRight w:val="0"/>
                      <w:marTop w:val="0"/>
                      <w:marBottom w:val="0"/>
                      <w:divBdr>
                        <w:top w:val="none" w:sz="0" w:space="0" w:color="auto"/>
                        <w:left w:val="none" w:sz="0" w:space="0" w:color="auto"/>
                        <w:bottom w:val="none" w:sz="0" w:space="0" w:color="auto"/>
                        <w:right w:val="none" w:sz="0" w:space="0" w:color="auto"/>
                      </w:divBdr>
                      <w:divsChild>
                        <w:div w:id="2043817413">
                          <w:marLeft w:val="0"/>
                          <w:marRight w:val="0"/>
                          <w:marTop w:val="0"/>
                          <w:marBottom w:val="0"/>
                          <w:divBdr>
                            <w:top w:val="none" w:sz="0" w:space="0" w:color="auto"/>
                            <w:left w:val="none" w:sz="0" w:space="0" w:color="auto"/>
                            <w:bottom w:val="none" w:sz="0" w:space="0" w:color="auto"/>
                            <w:right w:val="none" w:sz="0" w:space="0" w:color="auto"/>
                          </w:divBdr>
                          <w:divsChild>
                            <w:div w:id="1421179706">
                              <w:marLeft w:val="0"/>
                              <w:marRight w:val="0"/>
                              <w:marTop w:val="0"/>
                              <w:marBottom w:val="0"/>
                              <w:divBdr>
                                <w:top w:val="none" w:sz="0" w:space="0" w:color="auto"/>
                                <w:left w:val="none" w:sz="0" w:space="0" w:color="auto"/>
                                <w:bottom w:val="none" w:sz="0" w:space="0" w:color="auto"/>
                                <w:right w:val="none" w:sz="0" w:space="0" w:color="auto"/>
                              </w:divBdr>
                              <w:divsChild>
                                <w:div w:id="565338748">
                                  <w:marLeft w:val="0"/>
                                  <w:marRight w:val="0"/>
                                  <w:marTop w:val="0"/>
                                  <w:marBottom w:val="0"/>
                                  <w:divBdr>
                                    <w:top w:val="none" w:sz="0" w:space="0" w:color="auto"/>
                                    <w:left w:val="none" w:sz="0" w:space="0" w:color="auto"/>
                                    <w:bottom w:val="none" w:sz="0" w:space="0" w:color="auto"/>
                                    <w:right w:val="none" w:sz="0" w:space="0" w:color="auto"/>
                                  </w:divBdr>
                                  <w:divsChild>
                                    <w:div w:id="22349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8545645">
      <w:bodyDiv w:val="1"/>
      <w:marLeft w:val="0"/>
      <w:marRight w:val="0"/>
      <w:marTop w:val="0"/>
      <w:marBottom w:val="0"/>
      <w:divBdr>
        <w:top w:val="none" w:sz="0" w:space="0" w:color="auto"/>
        <w:left w:val="none" w:sz="0" w:space="0" w:color="auto"/>
        <w:bottom w:val="none" w:sz="0" w:space="0" w:color="auto"/>
        <w:right w:val="none" w:sz="0" w:space="0" w:color="auto"/>
      </w:divBdr>
    </w:div>
    <w:div w:id="1539244149">
      <w:bodyDiv w:val="1"/>
      <w:marLeft w:val="0"/>
      <w:marRight w:val="0"/>
      <w:marTop w:val="0"/>
      <w:marBottom w:val="0"/>
      <w:divBdr>
        <w:top w:val="none" w:sz="0" w:space="0" w:color="auto"/>
        <w:left w:val="none" w:sz="0" w:space="0" w:color="auto"/>
        <w:bottom w:val="none" w:sz="0" w:space="0" w:color="auto"/>
        <w:right w:val="none" w:sz="0" w:space="0" w:color="auto"/>
      </w:divBdr>
      <w:divsChild>
        <w:div w:id="35199417">
          <w:marLeft w:val="0"/>
          <w:marRight w:val="0"/>
          <w:marTop w:val="0"/>
          <w:marBottom w:val="150"/>
          <w:divBdr>
            <w:top w:val="none" w:sz="0" w:space="0" w:color="auto"/>
            <w:left w:val="none" w:sz="0" w:space="0" w:color="auto"/>
            <w:bottom w:val="none" w:sz="0" w:space="0" w:color="auto"/>
            <w:right w:val="none" w:sz="0" w:space="0" w:color="auto"/>
          </w:divBdr>
        </w:div>
        <w:div w:id="1437217534">
          <w:marLeft w:val="0"/>
          <w:marRight w:val="0"/>
          <w:marTop w:val="0"/>
          <w:marBottom w:val="0"/>
          <w:divBdr>
            <w:top w:val="none" w:sz="0" w:space="0" w:color="auto"/>
            <w:left w:val="none" w:sz="0" w:space="0" w:color="auto"/>
            <w:bottom w:val="none" w:sz="0" w:space="0" w:color="auto"/>
            <w:right w:val="none" w:sz="0" w:space="0" w:color="auto"/>
          </w:divBdr>
        </w:div>
      </w:divsChild>
    </w:div>
    <w:div w:id="1539927956">
      <w:bodyDiv w:val="1"/>
      <w:marLeft w:val="0"/>
      <w:marRight w:val="0"/>
      <w:marTop w:val="0"/>
      <w:marBottom w:val="0"/>
      <w:divBdr>
        <w:top w:val="none" w:sz="0" w:space="0" w:color="auto"/>
        <w:left w:val="none" w:sz="0" w:space="0" w:color="auto"/>
        <w:bottom w:val="none" w:sz="0" w:space="0" w:color="auto"/>
        <w:right w:val="none" w:sz="0" w:space="0" w:color="auto"/>
      </w:divBdr>
    </w:div>
    <w:div w:id="1539974151">
      <w:bodyDiv w:val="1"/>
      <w:marLeft w:val="0"/>
      <w:marRight w:val="0"/>
      <w:marTop w:val="0"/>
      <w:marBottom w:val="0"/>
      <w:divBdr>
        <w:top w:val="none" w:sz="0" w:space="0" w:color="auto"/>
        <w:left w:val="none" w:sz="0" w:space="0" w:color="auto"/>
        <w:bottom w:val="none" w:sz="0" w:space="0" w:color="auto"/>
        <w:right w:val="none" w:sz="0" w:space="0" w:color="auto"/>
      </w:divBdr>
    </w:div>
    <w:div w:id="1540242615">
      <w:bodyDiv w:val="1"/>
      <w:marLeft w:val="0"/>
      <w:marRight w:val="0"/>
      <w:marTop w:val="0"/>
      <w:marBottom w:val="0"/>
      <w:divBdr>
        <w:top w:val="none" w:sz="0" w:space="0" w:color="auto"/>
        <w:left w:val="none" w:sz="0" w:space="0" w:color="auto"/>
        <w:bottom w:val="none" w:sz="0" w:space="0" w:color="auto"/>
        <w:right w:val="none" w:sz="0" w:space="0" w:color="auto"/>
      </w:divBdr>
      <w:divsChild>
        <w:div w:id="242494843">
          <w:marLeft w:val="0"/>
          <w:marRight w:val="0"/>
          <w:marTop w:val="0"/>
          <w:marBottom w:val="0"/>
          <w:divBdr>
            <w:top w:val="none" w:sz="0" w:space="0" w:color="auto"/>
            <w:left w:val="none" w:sz="0" w:space="0" w:color="auto"/>
            <w:bottom w:val="none" w:sz="0" w:space="0" w:color="auto"/>
            <w:right w:val="none" w:sz="0" w:space="0" w:color="auto"/>
          </w:divBdr>
        </w:div>
      </w:divsChild>
    </w:div>
    <w:div w:id="1540388206">
      <w:bodyDiv w:val="1"/>
      <w:marLeft w:val="0"/>
      <w:marRight w:val="0"/>
      <w:marTop w:val="0"/>
      <w:marBottom w:val="0"/>
      <w:divBdr>
        <w:top w:val="none" w:sz="0" w:space="0" w:color="auto"/>
        <w:left w:val="none" w:sz="0" w:space="0" w:color="auto"/>
        <w:bottom w:val="none" w:sz="0" w:space="0" w:color="auto"/>
        <w:right w:val="none" w:sz="0" w:space="0" w:color="auto"/>
      </w:divBdr>
    </w:div>
    <w:div w:id="1540432489">
      <w:bodyDiv w:val="1"/>
      <w:marLeft w:val="0"/>
      <w:marRight w:val="0"/>
      <w:marTop w:val="0"/>
      <w:marBottom w:val="0"/>
      <w:divBdr>
        <w:top w:val="none" w:sz="0" w:space="0" w:color="auto"/>
        <w:left w:val="none" w:sz="0" w:space="0" w:color="auto"/>
        <w:bottom w:val="none" w:sz="0" w:space="0" w:color="auto"/>
        <w:right w:val="none" w:sz="0" w:space="0" w:color="auto"/>
      </w:divBdr>
      <w:divsChild>
        <w:div w:id="1808165457">
          <w:marLeft w:val="0"/>
          <w:marRight w:val="0"/>
          <w:marTop w:val="0"/>
          <w:marBottom w:val="0"/>
          <w:divBdr>
            <w:top w:val="none" w:sz="0" w:space="0" w:color="auto"/>
            <w:left w:val="none" w:sz="0" w:space="0" w:color="auto"/>
            <w:bottom w:val="none" w:sz="0" w:space="0" w:color="auto"/>
            <w:right w:val="none" w:sz="0" w:space="0" w:color="auto"/>
          </w:divBdr>
          <w:divsChild>
            <w:div w:id="700907576">
              <w:marLeft w:val="0"/>
              <w:marRight w:val="0"/>
              <w:marTop w:val="0"/>
              <w:marBottom w:val="0"/>
              <w:divBdr>
                <w:top w:val="none" w:sz="0" w:space="0" w:color="auto"/>
                <w:left w:val="none" w:sz="0" w:space="0" w:color="auto"/>
                <w:bottom w:val="none" w:sz="0" w:space="0" w:color="auto"/>
                <w:right w:val="none" w:sz="0" w:space="0" w:color="auto"/>
              </w:divBdr>
              <w:divsChild>
                <w:div w:id="1675959162">
                  <w:marLeft w:val="0"/>
                  <w:marRight w:val="0"/>
                  <w:marTop w:val="0"/>
                  <w:marBottom w:val="0"/>
                  <w:divBdr>
                    <w:top w:val="none" w:sz="0" w:space="0" w:color="auto"/>
                    <w:left w:val="none" w:sz="0" w:space="0" w:color="auto"/>
                    <w:bottom w:val="none" w:sz="0" w:space="0" w:color="auto"/>
                    <w:right w:val="none" w:sz="0" w:space="0" w:color="auto"/>
                  </w:divBdr>
                  <w:divsChild>
                    <w:div w:id="781923701">
                      <w:marLeft w:val="0"/>
                      <w:marRight w:val="0"/>
                      <w:marTop w:val="0"/>
                      <w:marBottom w:val="0"/>
                      <w:divBdr>
                        <w:top w:val="none" w:sz="0" w:space="0" w:color="auto"/>
                        <w:left w:val="none" w:sz="0" w:space="0" w:color="auto"/>
                        <w:bottom w:val="none" w:sz="0" w:space="0" w:color="auto"/>
                        <w:right w:val="none" w:sz="0" w:space="0" w:color="auto"/>
                      </w:divBdr>
                      <w:divsChild>
                        <w:div w:id="327563326">
                          <w:marLeft w:val="0"/>
                          <w:marRight w:val="0"/>
                          <w:marTop w:val="0"/>
                          <w:marBottom w:val="0"/>
                          <w:divBdr>
                            <w:top w:val="none" w:sz="0" w:space="0" w:color="auto"/>
                            <w:left w:val="none" w:sz="0" w:space="0" w:color="auto"/>
                            <w:bottom w:val="none" w:sz="0" w:space="0" w:color="auto"/>
                            <w:right w:val="none" w:sz="0" w:space="0" w:color="auto"/>
                          </w:divBdr>
                          <w:divsChild>
                            <w:div w:id="806554031">
                              <w:marLeft w:val="0"/>
                              <w:marRight w:val="0"/>
                              <w:marTop w:val="0"/>
                              <w:marBottom w:val="0"/>
                              <w:divBdr>
                                <w:top w:val="none" w:sz="0" w:space="0" w:color="auto"/>
                                <w:left w:val="none" w:sz="0" w:space="0" w:color="auto"/>
                                <w:bottom w:val="none" w:sz="0" w:space="0" w:color="auto"/>
                                <w:right w:val="none" w:sz="0" w:space="0" w:color="auto"/>
                              </w:divBdr>
                              <w:divsChild>
                                <w:div w:id="1595892624">
                                  <w:marLeft w:val="0"/>
                                  <w:marRight w:val="0"/>
                                  <w:marTop w:val="0"/>
                                  <w:marBottom w:val="0"/>
                                  <w:divBdr>
                                    <w:top w:val="none" w:sz="0" w:space="0" w:color="auto"/>
                                    <w:left w:val="none" w:sz="0" w:space="0" w:color="auto"/>
                                    <w:bottom w:val="none" w:sz="0" w:space="0" w:color="auto"/>
                                    <w:right w:val="none" w:sz="0" w:space="0" w:color="auto"/>
                                  </w:divBdr>
                                  <w:divsChild>
                                    <w:div w:id="182504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0435476">
      <w:bodyDiv w:val="1"/>
      <w:marLeft w:val="0"/>
      <w:marRight w:val="0"/>
      <w:marTop w:val="0"/>
      <w:marBottom w:val="0"/>
      <w:divBdr>
        <w:top w:val="none" w:sz="0" w:space="0" w:color="auto"/>
        <w:left w:val="none" w:sz="0" w:space="0" w:color="auto"/>
        <w:bottom w:val="none" w:sz="0" w:space="0" w:color="auto"/>
        <w:right w:val="none" w:sz="0" w:space="0" w:color="auto"/>
      </w:divBdr>
      <w:divsChild>
        <w:div w:id="1653371597">
          <w:marLeft w:val="0"/>
          <w:marRight w:val="0"/>
          <w:marTop w:val="0"/>
          <w:marBottom w:val="0"/>
          <w:divBdr>
            <w:top w:val="none" w:sz="0" w:space="0" w:color="auto"/>
            <w:left w:val="none" w:sz="0" w:space="0" w:color="auto"/>
            <w:bottom w:val="none" w:sz="0" w:space="0" w:color="auto"/>
            <w:right w:val="none" w:sz="0" w:space="0" w:color="auto"/>
          </w:divBdr>
          <w:divsChild>
            <w:div w:id="164365911">
              <w:marLeft w:val="0"/>
              <w:marRight w:val="0"/>
              <w:marTop w:val="0"/>
              <w:marBottom w:val="0"/>
              <w:divBdr>
                <w:top w:val="none" w:sz="0" w:space="0" w:color="auto"/>
                <w:left w:val="none" w:sz="0" w:space="0" w:color="auto"/>
                <w:bottom w:val="none" w:sz="0" w:space="0" w:color="auto"/>
                <w:right w:val="none" w:sz="0" w:space="0" w:color="auto"/>
              </w:divBdr>
            </w:div>
          </w:divsChild>
        </w:div>
        <w:div w:id="1773746981">
          <w:marLeft w:val="0"/>
          <w:marRight w:val="0"/>
          <w:marTop w:val="150"/>
          <w:marBottom w:val="0"/>
          <w:divBdr>
            <w:top w:val="none" w:sz="0" w:space="0" w:color="auto"/>
            <w:left w:val="none" w:sz="0" w:space="0" w:color="auto"/>
            <w:bottom w:val="none" w:sz="0" w:space="0" w:color="auto"/>
            <w:right w:val="none" w:sz="0" w:space="0" w:color="auto"/>
          </w:divBdr>
          <w:divsChild>
            <w:div w:id="1434010781">
              <w:marLeft w:val="0"/>
              <w:marRight w:val="0"/>
              <w:marTop w:val="0"/>
              <w:marBottom w:val="0"/>
              <w:divBdr>
                <w:top w:val="none" w:sz="0" w:space="0" w:color="auto"/>
                <w:left w:val="none" w:sz="0" w:space="0" w:color="auto"/>
                <w:bottom w:val="none" w:sz="0" w:space="0" w:color="auto"/>
                <w:right w:val="none" w:sz="0" w:space="0" w:color="auto"/>
              </w:divBdr>
              <w:divsChild>
                <w:div w:id="65125091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625724">
      <w:bodyDiv w:val="1"/>
      <w:marLeft w:val="0"/>
      <w:marRight w:val="0"/>
      <w:marTop w:val="0"/>
      <w:marBottom w:val="0"/>
      <w:divBdr>
        <w:top w:val="none" w:sz="0" w:space="0" w:color="auto"/>
        <w:left w:val="none" w:sz="0" w:space="0" w:color="auto"/>
        <w:bottom w:val="none" w:sz="0" w:space="0" w:color="auto"/>
        <w:right w:val="none" w:sz="0" w:space="0" w:color="auto"/>
      </w:divBdr>
      <w:divsChild>
        <w:div w:id="709189640">
          <w:marLeft w:val="0"/>
          <w:marRight w:val="0"/>
          <w:marTop w:val="0"/>
          <w:marBottom w:val="150"/>
          <w:divBdr>
            <w:top w:val="none" w:sz="0" w:space="0" w:color="auto"/>
            <w:left w:val="none" w:sz="0" w:space="0" w:color="auto"/>
            <w:bottom w:val="none" w:sz="0" w:space="0" w:color="auto"/>
            <w:right w:val="none" w:sz="0" w:space="0" w:color="auto"/>
          </w:divBdr>
          <w:divsChild>
            <w:div w:id="167644299">
              <w:marLeft w:val="0"/>
              <w:marRight w:val="0"/>
              <w:marTop w:val="0"/>
              <w:marBottom w:val="0"/>
              <w:divBdr>
                <w:top w:val="none" w:sz="0" w:space="0" w:color="auto"/>
                <w:left w:val="none" w:sz="0" w:space="0" w:color="auto"/>
                <w:bottom w:val="none" w:sz="0" w:space="0" w:color="auto"/>
                <w:right w:val="none" w:sz="0" w:space="0" w:color="auto"/>
              </w:divBdr>
              <w:divsChild>
                <w:div w:id="6476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866226">
          <w:marLeft w:val="0"/>
          <w:marRight w:val="0"/>
          <w:marTop w:val="0"/>
          <w:marBottom w:val="150"/>
          <w:divBdr>
            <w:top w:val="none" w:sz="0" w:space="0" w:color="auto"/>
            <w:left w:val="none" w:sz="0" w:space="0" w:color="auto"/>
            <w:bottom w:val="none" w:sz="0" w:space="0" w:color="auto"/>
            <w:right w:val="none" w:sz="0" w:space="0" w:color="auto"/>
          </w:divBdr>
        </w:div>
        <w:div w:id="937057078">
          <w:marLeft w:val="0"/>
          <w:marRight w:val="0"/>
          <w:marTop w:val="0"/>
          <w:marBottom w:val="0"/>
          <w:divBdr>
            <w:top w:val="none" w:sz="0" w:space="0" w:color="auto"/>
            <w:left w:val="none" w:sz="0" w:space="0" w:color="auto"/>
            <w:bottom w:val="none" w:sz="0" w:space="0" w:color="auto"/>
            <w:right w:val="none" w:sz="0" w:space="0" w:color="auto"/>
          </w:divBdr>
          <w:divsChild>
            <w:div w:id="152092620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41434006">
      <w:bodyDiv w:val="1"/>
      <w:marLeft w:val="0"/>
      <w:marRight w:val="0"/>
      <w:marTop w:val="0"/>
      <w:marBottom w:val="0"/>
      <w:divBdr>
        <w:top w:val="none" w:sz="0" w:space="0" w:color="auto"/>
        <w:left w:val="none" w:sz="0" w:space="0" w:color="auto"/>
        <w:bottom w:val="none" w:sz="0" w:space="0" w:color="auto"/>
        <w:right w:val="none" w:sz="0" w:space="0" w:color="auto"/>
      </w:divBdr>
    </w:div>
    <w:div w:id="1541436505">
      <w:bodyDiv w:val="1"/>
      <w:marLeft w:val="0"/>
      <w:marRight w:val="0"/>
      <w:marTop w:val="0"/>
      <w:marBottom w:val="0"/>
      <w:divBdr>
        <w:top w:val="none" w:sz="0" w:space="0" w:color="auto"/>
        <w:left w:val="none" w:sz="0" w:space="0" w:color="auto"/>
        <w:bottom w:val="none" w:sz="0" w:space="0" w:color="auto"/>
        <w:right w:val="none" w:sz="0" w:space="0" w:color="auto"/>
      </w:divBdr>
      <w:divsChild>
        <w:div w:id="540174035">
          <w:marLeft w:val="0"/>
          <w:marRight w:val="0"/>
          <w:marTop w:val="0"/>
          <w:marBottom w:val="0"/>
          <w:divBdr>
            <w:top w:val="none" w:sz="0" w:space="0" w:color="auto"/>
            <w:left w:val="none" w:sz="0" w:space="0" w:color="auto"/>
            <w:bottom w:val="none" w:sz="0" w:space="0" w:color="auto"/>
            <w:right w:val="none" w:sz="0" w:space="0" w:color="auto"/>
          </w:divBdr>
          <w:divsChild>
            <w:div w:id="778529563">
              <w:marLeft w:val="0"/>
              <w:marRight w:val="0"/>
              <w:marTop w:val="0"/>
              <w:marBottom w:val="0"/>
              <w:divBdr>
                <w:top w:val="none" w:sz="0" w:space="0" w:color="auto"/>
                <w:left w:val="none" w:sz="0" w:space="0" w:color="auto"/>
                <w:bottom w:val="none" w:sz="0" w:space="0" w:color="auto"/>
                <w:right w:val="none" w:sz="0" w:space="0" w:color="auto"/>
              </w:divBdr>
            </w:div>
          </w:divsChild>
        </w:div>
        <w:div w:id="1592003387">
          <w:marLeft w:val="0"/>
          <w:marRight w:val="0"/>
          <w:marTop w:val="0"/>
          <w:marBottom w:val="150"/>
          <w:divBdr>
            <w:top w:val="none" w:sz="0" w:space="0" w:color="auto"/>
            <w:left w:val="none" w:sz="0" w:space="0" w:color="auto"/>
            <w:bottom w:val="none" w:sz="0" w:space="0" w:color="auto"/>
            <w:right w:val="none" w:sz="0" w:space="0" w:color="auto"/>
          </w:divBdr>
        </w:div>
        <w:div w:id="1958019825">
          <w:marLeft w:val="0"/>
          <w:marRight w:val="0"/>
          <w:marTop w:val="0"/>
          <w:marBottom w:val="150"/>
          <w:divBdr>
            <w:top w:val="none" w:sz="0" w:space="0" w:color="auto"/>
            <w:left w:val="none" w:sz="0" w:space="0" w:color="auto"/>
            <w:bottom w:val="none" w:sz="0" w:space="0" w:color="auto"/>
            <w:right w:val="none" w:sz="0" w:space="0" w:color="auto"/>
          </w:divBdr>
          <w:divsChild>
            <w:div w:id="201965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896017">
      <w:bodyDiv w:val="1"/>
      <w:marLeft w:val="0"/>
      <w:marRight w:val="0"/>
      <w:marTop w:val="0"/>
      <w:marBottom w:val="0"/>
      <w:divBdr>
        <w:top w:val="none" w:sz="0" w:space="0" w:color="auto"/>
        <w:left w:val="none" w:sz="0" w:space="0" w:color="auto"/>
        <w:bottom w:val="none" w:sz="0" w:space="0" w:color="auto"/>
        <w:right w:val="none" w:sz="0" w:space="0" w:color="auto"/>
      </w:divBdr>
      <w:divsChild>
        <w:div w:id="1509448519">
          <w:marLeft w:val="0"/>
          <w:marRight w:val="0"/>
          <w:marTop w:val="0"/>
          <w:marBottom w:val="0"/>
          <w:divBdr>
            <w:top w:val="none" w:sz="0" w:space="0" w:color="auto"/>
            <w:left w:val="none" w:sz="0" w:space="0" w:color="auto"/>
            <w:bottom w:val="dotted" w:sz="6" w:space="4" w:color="DDDDDD"/>
            <w:right w:val="none" w:sz="0" w:space="0" w:color="auto"/>
          </w:divBdr>
        </w:div>
      </w:divsChild>
    </w:div>
    <w:div w:id="1542281056">
      <w:bodyDiv w:val="1"/>
      <w:marLeft w:val="0"/>
      <w:marRight w:val="0"/>
      <w:marTop w:val="0"/>
      <w:marBottom w:val="0"/>
      <w:divBdr>
        <w:top w:val="none" w:sz="0" w:space="0" w:color="auto"/>
        <w:left w:val="none" w:sz="0" w:space="0" w:color="auto"/>
        <w:bottom w:val="none" w:sz="0" w:space="0" w:color="auto"/>
        <w:right w:val="none" w:sz="0" w:space="0" w:color="auto"/>
      </w:divBdr>
      <w:divsChild>
        <w:div w:id="1611470708">
          <w:marLeft w:val="0"/>
          <w:marRight w:val="0"/>
          <w:marTop w:val="0"/>
          <w:marBottom w:val="0"/>
          <w:divBdr>
            <w:top w:val="none" w:sz="0" w:space="0" w:color="auto"/>
            <w:left w:val="none" w:sz="0" w:space="0" w:color="auto"/>
            <w:bottom w:val="dotted" w:sz="6" w:space="4" w:color="DDDDDD"/>
            <w:right w:val="none" w:sz="0" w:space="0" w:color="auto"/>
          </w:divBdr>
        </w:div>
      </w:divsChild>
    </w:div>
    <w:div w:id="1543010298">
      <w:bodyDiv w:val="1"/>
      <w:marLeft w:val="0"/>
      <w:marRight w:val="0"/>
      <w:marTop w:val="0"/>
      <w:marBottom w:val="0"/>
      <w:divBdr>
        <w:top w:val="none" w:sz="0" w:space="0" w:color="auto"/>
        <w:left w:val="none" w:sz="0" w:space="0" w:color="auto"/>
        <w:bottom w:val="none" w:sz="0" w:space="0" w:color="auto"/>
        <w:right w:val="none" w:sz="0" w:space="0" w:color="auto"/>
      </w:divBdr>
      <w:divsChild>
        <w:div w:id="1654287904">
          <w:marLeft w:val="0"/>
          <w:marRight w:val="0"/>
          <w:marTop w:val="0"/>
          <w:marBottom w:val="0"/>
          <w:divBdr>
            <w:top w:val="none" w:sz="0" w:space="0" w:color="auto"/>
            <w:left w:val="none" w:sz="0" w:space="0" w:color="auto"/>
            <w:bottom w:val="none" w:sz="0" w:space="0" w:color="auto"/>
            <w:right w:val="none" w:sz="0" w:space="0" w:color="auto"/>
          </w:divBdr>
        </w:div>
      </w:divsChild>
    </w:div>
    <w:div w:id="1543126674">
      <w:bodyDiv w:val="1"/>
      <w:marLeft w:val="0"/>
      <w:marRight w:val="0"/>
      <w:marTop w:val="0"/>
      <w:marBottom w:val="0"/>
      <w:divBdr>
        <w:top w:val="none" w:sz="0" w:space="0" w:color="auto"/>
        <w:left w:val="none" w:sz="0" w:space="0" w:color="auto"/>
        <w:bottom w:val="none" w:sz="0" w:space="0" w:color="auto"/>
        <w:right w:val="none" w:sz="0" w:space="0" w:color="auto"/>
      </w:divBdr>
      <w:divsChild>
        <w:div w:id="344983755">
          <w:marLeft w:val="0"/>
          <w:marRight w:val="0"/>
          <w:marTop w:val="0"/>
          <w:marBottom w:val="0"/>
          <w:divBdr>
            <w:top w:val="none" w:sz="0" w:space="0" w:color="auto"/>
            <w:left w:val="none" w:sz="0" w:space="0" w:color="auto"/>
            <w:bottom w:val="dotted" w:sz="6" w:space="4" w:color="DDDDDD"/>
            <w:right w:val="none" w:sz="0" w:space="0" w:color="auto"/>
          </w:divBdr>
          <w:divsChild>
            <w:div w:id="97622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440021">
      <w:bodyDiv w:val="1"/>
      <w:marLeft w:val="0"/>
      <w:marRight w:val="0"/>
      <w:marTop w:val="0"/>
      <w:marBottom w:val="0"/>
      <w:divBdr>
        <w:top w:val="none" w:sz="0" w:space="0" w:color="auto"/>
        <w:left w:val="none" w:sz="0" w:space="0" w:color="auto"/>
        <w:bottom w:val="none" w:sz="0" w:space="0" w:color="auto"/>
        <w:right w:val="none" w:sz="0" w:space="0" w:color="auto"/>
      </w:divBdr>
    </w:div>
    <w:div w:id="1543440617">
      <w:bodyDiv w:val="1"/>
      <w:marLeft w:val="0"/>
      <w:marRight w:val="0"/>
      <w:marTop w:val="0"/>
      <w:marBottom w:val="0"/>
      <w:divBdr>
        <w:top w:val="none" w:sz="0" w:space="0" w:color="auto"/>
        <w:left w:val="none" w:sz="0" w:space="0" w:color="auto"/>
        <w:bottom w:val="none" w:sz="0" w:space="0" w:color="auto"/>
        <w:right w:val="none" w:sz="0" w:space="0" w:color="auto"/>
      </w:divBdr>
    </w:div>
    <w:div w:id="1543663542">
      <w:bodyDiv w:val="1"/>
      <w:marLeft w:val="0"/>
      <w:marRight w:val="0"/>
      <w:marTop w:val="0"/>
      <w:marBottom w:val="0"/>
      <w:divBdr>
        <w:top w:val="none" w:sz="0" w:space="0" w:color="auto"/>
        <w:left w:val="none" w:sz="0" w:space="0" w:color="auto"/>
        <w:bottom w:val="none" w:sz="0" w:space="0" w:color="auto"/>
        <w:right w:val="none" w:sz="0" w:space="0" w:color="auto"/>
      </w:divBdr>
      <w:divsChild>
        <w:div w:id="825171749">
          <w:marLeft w:val="0"/>
          <w:marRight w:val="0"/>
          <w:marTop w:val="0"/>
          <w:marBottom w:val="0"/>
          <w:divBdr>
            <w:top w:val="none" w:sz="0" w:space="0" w:color="auto"/>
            <w:left w:val="none" w:sz="0" w:space="0" w:color="auto"/>
            <w:bottom w:val="none" w:sz="0" w:space="0" w:color="auto"/>
            <w:right w:val="none" w:sz="0" w:space="0" w:color="auto"/>
          </w:divBdr>
          <w:divsChild>
            <w:div w:id="289673468">
              <w:marLeft w:val="0"/>
              <w:marRight w:val="0"/>
              <w:marTop w:val="0"/>
              <w:marBottom w:val="0"/>
              <w:divBdr>
                <w:top w:val="none" w:sz="0" w:space="0" w:color="auto"/>
                <w:left w:val="none" w:sz="0" w:space="0" w:color="auto"/>
                <w:bottom w:val="none" w:sz="0" w:space="0" w:color="auto"/>
                <w:right w:val="none" w:sz="0" w:space="0" w:color="auto"/>
              </w:divBdr>
              <w:divsChild>
                <w:div w:id="1636527122">
                  <w:marLeft w:val="0"/>
                  <w:marRight w:val="0"/>
                  <w:marTop w:val="0"/>
                  <w:marBottom w:val="0"/>
                  <w:divBdr>
                    <w:top w:val="none" w:sz="0" w:space="0" w:color="auto"/>
                    <w:left w:val="none" w:sz="0" w:space="0" w:color="auto"/>
                    <w:bottom w:val="none" w:sz="0" w:space="0" w:color="auto"/>
                    <w:right w:val="none" w:sz="0" w:space="0" w:color="auto"/>
                  </w:divBdr>
                  <w:divsChild>
                    <w:div w:id="746146347">
                      <w:marLeft w:val="0"/>
                      <w:marRight w:val="0"/>
                      <w:marTop w:val="0"/>
                      <w:marBottom w:val="0"/>
                      <w:divBdr>
                        <w:top w:val="none" w:sz="0" w:space="0" w:color="auto"/>
                        <w:left w:val="none" w:sz="0" w:space="0" w:color="auto"/>
                        <w:bottom w:val="none" w:sz="0" w:space="0" w:color="auto"/>
                        <w:right w:val="none" w:sz="0" w:space="0" w:color="auto"/>
                      </w:divBdr>
                      <w:divsChild>
                        <w:div w:id="921373031">
                          <w:marLeft w:val="0"/>
                          <w:marRight w:val="0"/>
                          <w:marTop w:val="0"/>
                          <w:marBottom w:val="0"/>
                          <w:divBdr>
                            <w:top w:val="none" w:sz="0" w:space="0" w:color="auto"/>
                            <w:left w:val="none" w:sz="0" w:space="0" w:color="auto"/>
                            <w:bottom w:val="none" w:sz="0" w:space="0" w:color="auto"/>
                            <w:right w:val="none" w:sz="0" w:space="0" w:color="auto"/>
                          </w:divBdr>
                          <w:divsChild>
                            <w:div w:id="106589083">
                              <w:marLeft w:val="0"/>
                              <w:marRight w:val="0"/>
                              <w:marTop w:val="0"/>
                              <w:marBottom w:val="0"/>
                              <w:divBdr>
                                <w:top w:val="none" w:sz="0" w:space="0" w:color="auto"/>
                                <w:left w:val="none" w:sz="0" w:space="0" w:color="auto"/>
                                <w:bottom w:val="none" w:sz="0" w:space="0" w:color="auto"/>
                                <w:right w:val="none" w:sz="0" w:space="0" w:color="auto"/>
                              </w:divBdr>
                              <w:divsChild>
                                <w:div w:id="1530949750">
                                  <w:marLeft w:val="0"/>
                                  <w:marRight w:val="0"/>
                                  <w:marTop w:val="0"/>
                                  <w:marBottom w:val="0"/>
                                  <w:divBdr>
                                    <w:top w:val="none" w:sz="0" w:space="0" w:color="auto"/>
                                    <w:left w:val="none" w:sz="0" w:space="0" w:color="auto"/>
                                    <w:bottom w:val="none" w:sz="0" w:space="0" w:color="auto"/>
                                    <w:right w:val="none" w:sz="0" w:space="0" w:color="auto"/>
                                  </w:divBdr>
                                  <w:divsChild>
                                    <w:div w:id="16987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3709333">
      <w:bodyDiv w:val="1"/>
      <w:marLeft w:val="0"/>
      <w:marRight w:val="0"/>
      <w:marTop w:val="0"/>
      <w:marBottom w:val="0"/>
      <w:divBdr>
        <w:top w:val="none" w:sz="0" w:space="0" w:color="auto"/>
        <w:left w:val="none" w:sz="0" w:space="0" w:color="auto"/>
        <w:bottom w:val="none" w:sz="0" w:space="0" w:color="auto"/>
        <w:right w:val="none" w:sz="0" w:space="0" w:color="auto"/>
      </w:divBdr>
      <w:divsChild>
        <w:div w:id="1353998365">
          <w:marLeft w:val="0"/>
          <w:marRight w:val="0"/>
          <w:marTop w:val="0"/>
          <w:marBottom w:val="150"/>
          <w:divBdr>
            <w:top w:val="none" w:sz="0" w:space="0" w:color="auto"/>
            <w:left w:val="none" w:sz="0" w:space="0" w:color="auto"/>
            <w:bottom w:val="none" w:sz="0" w:space="0" w:color="auto"/>
            <w:right w:val="none" w:sz="0" w:space="0" w:color="auto"/>
          </w:divBdr>
        </w:div>
      </w:divsChild>
    </w:div>
    <w:div w:id="1543979572">
      <w:bodyDiv w:val="1"/>
      <w:marLeft w:val="0"/>
      <w:marRight w:val="0"/>
      <w:marTop w:val="0"/>
      <w:marBottom w:val="0"/>
      <w:divBdr>
        <w:top w:val="none" w:sz="0" w:space="0" w:color="auto"/>
        <w:left w:val="none" w:sz="0" w:space="0" w:color="auto"/>
        <w:bottom w:val="none" w:sz="0" w:space="0" w:color="auto"/>
        <w:right w:val="none" w:sz="0" w:space="0" w:color="auto"/>
      </w:divBdr>
      <w:divsChild>
        <w:div w:id="337854504">
          <w:marLeft w:val="0"/>
          <w:marRight w:val="0"/>
          <w:marTop w:val="0"/>
          <w:marBottom w:val="150"/>
          <w:divBdr>
            <w:top w:val="none" w:sz="0" w:space="0" w:color="auto"/>
            <w:left w:val="none" w:sz="0" w:space="0" w:color="auto"/>
            <w:bottom w:val="none" w:sz="0" w:space="0" w:color="auto"/>
            <w:right w:val="none" w:sz="0" w:space="0" w:color="auto"/>
          </w:divBdr>
        </w:div>
      </w:divsChild>
    </w:div>
    <w:div w:id="1544097232">
      <w:bodyDiv w:val="1"/>
      <w:marLeft w:val="0"/>
      <w:marRight w:val="0"/>
      <w:marTop w:val="0"/>
      <w:marBottom w:val="0"/>
      <w:divBdr>
        <w:top w:val="none" w:sz="0" w:space="0" w:color="auto"/>
        <w:left w:val="none" w:sz="0" w:space="0" w:color="auto"/>
        <w:bottom w:val="none" w:sz="0" w:space="0" w:color="auto"/>
        <w:right w:val="none" w:sz="0" w:space="0" w:color="auto"/>
      </w:divBdr>
      <w:divsChild>
        <w:div w:id="883759969">
          <w:marLeft w:val="0"/>
          <w:marRight w:val="0"/>
          <w:marTop w:val="0"/>
          <w:marBottom w:val="0"/>
          <w:divBdr>
            <w:top w:val="none" w:sz="0" w:space="0" w:color="auto"/>
            <w:left w:val="none" w:sz="0" w:space="0" w:color="auto"/>
            <w:bottom w:val="none" w:sz="0" w:space="0" w:color="auto"/>
            <w:right w:val="none" w:sz="0" w:space="0" w:color="auto"/>
          </w:divBdr>
          <w:divsChild>
            <w:div w:id="856382725">
              <w:marLeft w:val="0"/>
              <w:marRight w:val="0"/>
              <w:marTop w:val="0"/>
              <w:marBottom w:val="0"/>
              <w:divBdr>
                <w:top w:val="none" w:sz="0" w:space="0" w:color="auto"/>
                <w:left w:val="none" w:sz="0" w:space="0" w:color="auto"/>
                <w:bottom w:val="none" w:sz="0" w:space="0" w:color="auto"/>
                <w:right w:val="none" w:sz="0" w:space="0" w:color="auto"/>
              </w:divBdr>
              <w:divsChild>
                <w:div w:id="1168521838">
                  <w:marLeft w:val="0"/>
                  <w:marRight w:val="0"/>
                  <w:marTop w:val="0"/>
                  <w:marBottom w:val="0"/>
                  <w:divBdr>
                    <w:top w:val="none" w:sz="0" w:space="0" w:color="auto"/>
                    <w:left w:val="none" w:sz="0" w:space="0" w:color="auto"/>
                    <w:bottom w:val="none" w:sz="0" w:space="0" w:color="auto"/>
                    <w:right w:val="none" w:sz="0" w:space="0" w:color="auto"/>
                  </w:divBdr>
                  <w:divsChild>
                    <w:div w:id="1323007340">
                      <w:marLeft w:val="0"/>
                      <w:marRight w:val="0"/>
                      <w:marTop w:val="0"/>
                      <w:marBottom w:val="0"/>
                      <w:divBdr>
                        <w:top w:val="none" w:sz="0" w:space="0" w:color="auto"/>
                        <w:left w:val="none" w:sz="0" w:space="0" w:color="auto"/>
                        <w:bottom w:val="none" w:sz="0" w:space="0" w:color="auto"/>
                        <w:right w:val="none" w:sz="0" w:space="0" w:color="auto"/>
                      </w:divBdr>
                      <w:divsChild>
                        <w:div w:id="794524005">
                          <w:marLeft w:val="0"/>
                          <w:marRight w:val="0"/>
                          <w:marTop w:val="0"/>
                          <w:marBottom w:val="0"/>
                          <w:divBdr>
                            <w:top w:val="none" w:sz="0" w:space="0" w:color="auto"/>
                            <w:left w:val="none" w:sz="0" w:space="0" w:color="auto"/>
                            <w:bottom w:val="none" w:sz="0" w:space="0" w:color="auto"/>
                            <w:right w:val="none" w:sz="0" w:space="0" w:color="auto"/>
                          </w:divBdr>
                          <w:divsChild>
                            <w:div w:id="125219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019346">
      <w:bodyDiv w:val="1"/>
      <w:marLeft w:val="0"/>
      <w:marRight w:val="0"/>
      <w:marTop w:val="0"/>
      <w:marBottom w:val="0"/>
      <w:divBdr>
        <w:top w:val="none" w:sz="0" w:space="0" w:color="auto"/>
        <w:left w:val="none" w:sz="0" w:space="0" w:color="auto"/>
        <w:bottom w:val="none" w:sz="0" w:space="0" w:color="auto"/>
        <w:right w:val="none" w:sz="0" w:space="0" w:color="auto"/>
      </w:divBdr>
      <w:divsChild>
        <w:div w:id="191193548">
          <w:marLeft w:val="0"/>
          <w:marRight w:val="0"/>
          <w:marTop w:val="0"/>
          <w:marBottom w:val="150"/>
          <w:divBdr>
            <w:top w:val="none" w:sz="0" w:space="0" w:color="auto"/>
            <w:left w:val="none" w:sz="0" w:space="0" w:color="auto"/>
            <w:bottom w:val="none" w:sz="0" w:space="0" w:color="auto"/>
            <w:right w:val="none" w:sz="0" w:space="0" w:color="auto"/>
          </w:divBdr>
          <w:divsChild>
            <w:div w:id="786967068">
              <w:marLeft w:val="0"/>
              <w:marRight w:val="0"/>
              <w:marTop w:val="0"/>
              <w:marBottom w:val="0"/>
              <w:divBdr>
                <w:top w:val="none" w:sz="0" w:space="0" w:color="auto"/>
                <w:left w:val="none" w:sz="0" w:space="0" w:color="auto"/>
                <w:bottom w:val="none" w:sz="0" w:space="0" w:color="auto"/>
                <w:right w:val="none" w:sz="0" w:space="0" w:color="auto"/>
              </w:divBdr>
            </w:div>
          </w:divsChild>
        </w:div>
        <w:div w:id="1649825914">
          <w:marLeft w:val="0"/>
          <w:marRight w:val="0"/>
          <w:marTop w:val="0"/>
          <w:marBottom w:val="150"/>
          <w:divBdr>
            <w:top w:val="none" w:sz="0" w:space="0" w:color="auto"/>
            <w:left w:val="none" w:sz="0" w:space="0" w:color="auto"/>
            <w:bottom w:val="none" w:sz="0" w:space="0" w:color="auto"/>
            <w:right w:val="none" w:sz="0" w:space="0" w:color="auto"/>
          </w:divBdr>
        </w:div>
      </w:divsChild>
    </w:div>
    <w:div w:id="1545024433">
      <w:bodyDiv w:val="1"/>
      <w:marLeft w:val="0"/>
      <w:marRight w:val="0"/>
      <w:marTop w:val="0"/>
      <w:marBottom w:val="0"/>
      <w:divBdr>
        <w:top w:val="none" w:sz="0" w:space="0" w:color="auto"/>
        <w:left w:val="none" w:sz="0" w:space="0" w:color="auto"/>
        <w:bottom w:val="none" w:sz="0" w:space="0" w:color="auto"/>
        <w:right w:val="none" w:sz="0" w:space="0" w:color="auto"/>
      </w:divBdr>
      <w:divsChild>
        <w:div w:id="1956986513">
          <w:marLeft w:val="0"/>
          <w:marRight w:val="0"/>
          <w:marTop w:val="0"/>
          <w:marBottom w:val="0"/>
          <w:divBdr>
            <w:top w:val="none" w:sz="0" w:space="0" w:color="auto"/>
            <w:left w:val="none" w:sz="0" w:space="0" w:color="auto"/>
            <w:bottom w:val="none" w:sz="0" w:space="0" w:color="auto"/>
            <w:right w:val="none" w:sz="0" w:space="0" w:color="auto"/>
          </w:divBdr>
        </w:div>
      </w:divsChild>
    </w:div>
    <w:div w:id="1545679410">
      <w:bodyDiv w:val="1"/>
      <w:marLeft w:val="0"/>
      <w:marRight w:val="0"/>
      <w:marTop w:val="0"/>
      <w:marBottom w:val="0"/>
      <w:divBdr>
        <w:top w:val="none" w:sz="0" w:space="0" w:color="auto"/>
        <w:left w:val="none" w:sz="0" w:space="0" w:color="auto"/>
        <w:bottom w:val="none" w:sz="0" w:space="0" w:color="auto"/>
        <w:right w:val="none" w:sz="0" w:space="0" w:color="auto"/>
      </w:divBdr>
      <w:divsChild>
        <w:div w:id="144710173">
          <w:marLeft w:val="0"/>
          <w:marRight w:val="0"/>
          <w:marTop w:val="0"/>
          <w:marBottom w:val="0"/>
          <w:divBdr>
            <w:top w:val="none" w:sz="0" w:space="0" w:color="auto"/>
            <w:left w:val="none" w:sz="0" w:space="0" w:color="auto"/>
            <w:bottom w:val="dotted" w:sz="6" w:space="4" w:color="DDDDDD"/>
            <w:right w:val="none" w:sz="0" w:space="0" w:color="auto"/>
          </w:divBdr>
        </w:div>
      </w:divsChild>
    </w:div>
    <w:div w:id="1546677984">
      <w:bodyDiv w:val="1"/>
      <w:marLeft w:val="0"/>
      <w:marRight w:val="0"/>
      <w:marTop w:val="0"/>
      <w:marBottom w:val="0"/>
      <w:divBdr>
        <w:top w:val="none" w:sz="0" w:space="0" w:color="auto"/>
        <w:left w:val="none" w:sz="0" w:space="0" w:color="auto"/>
        <w:bottom w:val="none" w:sz="0" w:space="0" w:color="auto"/>
        <w:right w:val="none" w:sz="0" w:space="0" w:color="auto"/>
      </w:divBdr>
      <w:divsChild>
        <w:div w:id="1202858940">
          <w:marLeft w:val="0"/>
          <w:marRight w:val="0"/>
          <w:marTop w:val="0"/>
          <w:marBottom w:val="0"/>
          <w:divBdr>
            <w:top w:val="none" w:sz="0" w:space="0" w:color="auto"/>
            <w:left w:val="none" w:sz="0" w:space="0" w:color="auto"/>
            <w:bottom w:val="dotted" w:sz="6" w:space="4" w:color="DDDDDD"/>
            <w:right w:val="none" w:sz="0" w:space="0" w:color="auto"/>
          </w:divBdr>
        </w:div>
        <w:div w:id="2082369009">
          <w:marLeft w:val="0"/>
          <w:marRight w:val="225"/>
          <w:marTop w:val="0"/>
          <w:marBottom w:val="75"/>
          <w:divBdr>
            <w:top w:val="none" w:sz="0" w:space="0" w:color="auto"/>
            <w:left w:val="none" w:sz="0" w:space="0" w:color="auto"/>
            <w:bottom w:val="none" w:sz="0" w:space="0" w:color="auto"/>
            <w:right w:val="none" w:sz="0" w:space="0" w:color="auto"/>
          </w:divBdr>
          <w:divsChild>
            <w:div w:id="16880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915596">
      <w:bodyDiv w:val="1"/>
      <w:marLeft w:val="0"/>
      <w:marRight w:val="0"/>
      <w:marTop w:val="0"/>
      <w:marBottom w:val="0"/>
      <w:divBdr>
        <w:top w:val="none" w:sz="0" w:space="0" w:color="auto"/>
        <w:left w:val="none" w:sz="0" w:space="0" w:color="auto"/>
        <w:bottom w:val="none" w:sz="0" w:space="0" w:color="auto"/>
        <w:right w:val="none" w:sz="0" w:space="0" w:color="auto"/>
      </w:divBdr>
    </w:div>
    <w:div w:id="1547832450">
      <w:bodyDiv w:val="1"/>
      <w:marLeft w:val="0"/>
      <w:marRight w:val="0"/>
      <w:marTop w:val="0"/>
      <w:marBottom w:val="0"/>
      <w:divBdr>
        <w:top w:val="none" w:sz="0" w:space="0" w:color="auto"/>
        <w:left w:val="none" w:sz="0" w:space="0" w:color="auto"/>
        <w:bottom w:val="none" w:sz="0" w:space="0" w:color="auto"/>
        <w:right w:val="none" w:sz="0" w:space="0" w:color="auto"/>
      </w:divBdr>
      <w:divsChild>
        <w:div w:id="1129932219">
          <w:marLeft w:val="0"/>
          <w:marRight w:val="0"/>
          <w:marTop w:val="0"/>
          <w:marBottom w:val="0"/>
          <w:divBdr>
            <w:top w:val="none" w:sz="0" w:space="0" w:color="auto"/>
            <w:left w:val="none" w:sz="0" w:space="0" w:color="auto"/>
            <w:bottom w:val="none" w:sz="0" w:space="0" w:color="auto"/>
            <w:right w:val="none" w:sz="0" w:space="0" w:color="auto"/>
          </w:divBdr>
          <w:divsChild>
            <w:div w:id="1888950232">
              <w:marLeft w:val="2700"/>
              <w:marRight w:val="0"/>
              <w:marTop w:val="0"/>
              <w:marBottom w:val="0"/>
              <w:divBdr>
                <w:top w:val="none" w:sz="0" w:space="0" w:color="auto"/>
                <w:left w:val="none" w:sz="0" w:space="0" w:color="auto"/>
                <w:bottom w:val="none" w:sz="0" w:space="0" w:color="auto"/>
                <w:right w:val="none" w:sz="0" w:space="0" w:color="auto"/>
              </w:divBdr>
              <w:divsChild>
                <w:div w:id="87766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107274">
      <w:bodyDiv w:val="1"/>
      <w:marLeft w:val="0"/>
      <w:marRight w:val="0"/>
      <w:marTop w:val="0"/>
      <w:marBottom w:val="0"/>
      <w:divBdr>
        <w:top w:val="none" w:sz="0" w:space="0" w:color="auto"/>
        <w:left w:val="none" w:sz="0" w:space="0" w:color="auto"/>
        <w:bottom w:val="none" w:sz="0" w:space="0" w:color="auto"/>
        <w:right w:val="none" w:sz="0" w:space="0" w:color="auto"/>
      </w:divBdr>
      <w:divsChild>
        <w:div w:id="109205229">
          <w:marLeft w:val="0"/>
          <w:marRight w:val="0"/>
          <w:marTop w:val="0"/>
          <w:marBottom w:val="0"/>
          <w:divBdr>
            <w:top w:val="none" w:sz="0" w:space="0" w:color="auto"/>
            <w:left w:val="none" w:sz="0" w:space="0" w:color="auto"/>
            <w:bottom w:val="none" w:sz="0" w:space="0" w:color="auto"/>
            <w:right w:val="none" w:sz="0" w:space="0" w:color="auto"/>
          </w:divBdr>
          <w:divsChild>
            <w:div w:id="205409332">
              <w:marLeft w:val="0"/>
              <w:marRight w:val="0"/>
              <w:marTop w:val="0"/>
              <w:marBottom w:val="375"/>
              <w:divBdr>
                <w:top w:val="none" w:sz="0" w:space="0" w:color="auto"/>
                <w:left w:val="none" w:sz="0" w:space="0" w:color="auto"/>
                <w:bottom w:val="none" w:sz="0" w:space="0" w:color="auto"/>
                <w:right w:val="none" w:sz="0" w:space="0" w:color="auto"/>
              </w:divBdr>
            </w:div>
            <w:div w:id="481893568">
              <w:marLeft w:val="0"/>
              <w:marRight w:val="0"/>
              <w:marTop w:val="0"/>
              <w:marBottom w:val="225"/>
              <w:divBdr>
                <w:top w:val="none" w:sz="0" w:space="0" w:color="auto"/>
                <w:left w:val="none" w:sz="0" w:space="0" w:color="auto"/>
                <w:bottom w:val="none" w:sz="0" w:space="0" w:color="auto"/>
                <w:right w:val="none" w:sz="0" w:space="0" w:color="auto"/>
              </w:divBdr>
              <w:divsChild>
                <w:div w:id="293368475">
                  <w:marLeft w:val="0"/>
                  <w:marRight w:val="0"/>
                  <w:marTop w:val="0"/>
                  <w:marBottom w:val="150"/>
                  <w:divBdr>
                    <w:top w:val="none" w:sz="0" w:space="0" w:color="auto"/>
                    <w:left w:val="none" w:sz="0" w:space="0" w:color="auto"/>
                    <w:bottom w:val="none" w:sz="0" w:space="0" w:color="auto"/>
                    <w:right w:val="none" w:sz="0" w:space="0" w:color="auto"/>
                  </w:divBdr>
                </w:div>
                <w:div w:id="908266236">
                  <w:marLeft w:val="0"/>
                  <w:marRight w:val="0"/>
                  <w:marTop w:val="0"/>
                  <w:marBottom w:val="150"/>
                  <w:divBdr>
                    <w:top w:val="none" w:sz="0" w:space="0" w:color="auto"/>
                    <w:left w:val="none" w:sz="0" w:space="0" w:color="auto"/>
                    <w:bottom w:val="none" w:sz="0" w:space="0" w:color="auto"/>
                    <w:right w:val="none" w:sz="0" w:space="0" w:color="auto"/>
                  </w:divBdr>
                </w:div>
                <w:div w:id="971786443">
                  <w:marLeft w:val="0"/>
                  <w:marRight w:val="0"/>
                  <w:marTop w:val="0"/>
                  <w:marBottom w:val="150"/>
                  <w:divBdr>
                    <w:top w:val="none" w:sz="0" w:space="0" w:color="auto"/>
                    <w:left w:val="none" w:sz="0" w:space="0" w:color="auto"/>
                    <w:bottom w:val="none" w:sz="0" w:space="0" w:color="auto"/>
                    <w:right w:val="none" w:sz="0" w:space="0" w:color="auto"/>
                  </w:divBdr>
                </w:div>
                <w:div w:id="1108813981">
                  <w:marLeft w:val="0"/>
                  <w:marRight w:val="0"/>
                  <w:marTop w:val="0"/>
                  <w:marBottom w:val="150"/>
                  <w:divBdr>
                    <w:top w:val="none" w:sz="0" w:space="0" w:color="auto"/>
                    <w:left w:val="none" w:sz="0" w:space="0" w:color="auto"/>
                    <w:bottom w:val="none" w:sz="0" w:space="0" w:color="auto"/>
                    <w:right w:val="none" w:sz="0" w:space="0" w:color="auto"/>
                  </w:divBdr>
                </w:div>
                <w:div w:id="1147011664">
                  <w:marLeft w:val="0"/>
                  <w:marRight w:val="0"/>
                  <w:marTop w:val="0"/>
                  <w:marBottom w:val="150"/>
                  <w:divBdr>
                    <w:top w:val="none" w:sz="0" w:space="0" w:color="auto"/>
                    <w:left w:val="none" w:sz="0" w:space="0" w:color="auto"/>
                    <w:bottom w:val="none" w:sz="0" w:space="0" w:color="auto"/>
                    <w:right w:val="none" w:sz="0" w:space="0" w:color="auto"/>
                  </w:divBdr>
                </w:div>
                <w:div w:id="1410888994">
                  <w:marLeft w:val="0"/>
                  <w:marRight w:val="0"/>
                  <w:marTop w:val="0"/>
                  <w:marBottom w:val="150"/>
                  <w:divBdr>
                    <w:top w:val="none" w:sz="0" w:space="0" w:color="auto"/>
                    <w:left w:val="none" w:sz="0" w:space="0" w:color="auto"/>
                    <w:bottom w:val="none" w:sz="0" w:space="0" w:color="auto"/>
                    <w:right w:val="none" w:sz="0" w:space="0" w:color="auto"/>
                  </w:divBdr>
                </w:div>
                <w:div w:id="1686325427">
                  <w:marLeft w:val="0"/>
                  <w:marRight w:val="0"/>
                  <w:marTop w:val="0"/>
                  <w:marBottom w:val="150"/>
                  <w:divBdr>
                    <w:top w:val="none" w:sz="0" w:space="0" w:color="auto"/>
                    <w:left w:val="none" w:sz="0" w:space="0" w:color="auto"/>
                    <w:bottom w:val="none" w:sz="0" w:space="0" w:color="auto"/>
                    <w:right w:val="none" w:sz="0" w:space="0" w:color="auto"/>
                  </w:divBdr>
                </w:div>
                <w:div w:id="21433026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5568241">
          <w:marLeft w:val="0"/>
          <w:marRight w:val="0"/>
          <w:marTop w:val="0"/>
          <w:marBottom w:val="150"/>
          <w:divBdr>
            <w:top w:val="none" w:sz="0" w:space="0" w:color="auto"/>
            <w:left w:val="none" w:sz="0" w:space="0" w:color="auto"/>
            <w:bottom w:val="none" w:sz="0" w:space="0" w:color="auto"/>
            <w:right w:val="none" w:sz="0" w:space="0" w:color="auto"/>
          </w:divBdr>
        </w:div>
        <w:div w:id="2114934683">
          <w:marLeft w:val="-9765"/>
          <w:marRight w:val="0"/>
          <w:marTop w:val="0"/>
          <w:marBottom w:val="0"/>
          <w:divBdr>
            <w:top w:val="none" w:sz="0" w:space="0" w:color="auto"/>
            <w:left w:val="none" w:sz="0" w:space="0" w:color="auto"/>
            <w:bottom w:val="none" w:sz="0" w:space="0" w:color="auto"/>
            <w:right w:val="none" w:sz="0" w:space="0" w:color="auto"/>
          </w:divBdr>
        </w:div>
      </w:divsChild>
    </w:div>
    <w:div w:id="1548571347">
      <w:bodyDiv w:val="1"/>
      <w:marLeft w:val="0"/>
      <w:marRight w:val="0"/>
      <w:marTop w:val="0"/>
      <w:marBottom w:val="0"/>
      <w:divBdr>
        <w:top w:val="none" w:sz="0" w:space="0" w:color="auto"/>
        <w:left w:val="none" w:sz="0" w:space="0" w:color="auto"/>
        <w:bottom w:val="none" w:sz="0" w:space="0" w:color="auto"/>
        <w:right w:val="none" w:sz="0" w:space="0" w:color="auto"/>
      </w:divBdr>
    </w:div>
    <w:div w:id="1548839911">
      <w:bodyDiv w:val="1"/>
      <w:marLeft w:val="0"/>
      <w:marRight w:val="0"/>
      <w:marTop w:val="0"/>
      <w:marBottom w:val="0"/>
      <w:divBdr>
        <w:top w:val="none" w:sz="0" w:space="0" w:color="auto"/>
        <w:left w:val="none" w:sz="0" w:space="0" w:color="auto"/>
        <w:bottom w:val="none" w:sz="0" w:space="0" w:color="auto"/>
        <w:right w:val="none" w:sz="0" w:space="0" w:color="auto"/>
      </w:divBdr>
      <w:divsChild>
        <w:div w:id="797332008">
          <w:marLeft w:val="0"/>
          <w:marRight w:val="0"/>
          <w:marTop w:val="0"/>
          <w:marBottom w:val="240"/>
          <w:divBdr>
            <w:top w:val="none" w:sz="0" w:space="0" w:color="auto"/>
            <w:left w:val="none" w:sz="0" w:space="0" w:color="auto"/>
            <w:bottom w:val="none" w:sz="0" w:space="0" w:color="auto"/>
            <w:right w:val="none" w:sz="0" w:space="0" w:color="auto"/>
          </w:divBdr>
        </w:div>
        <w:div w:id="1579249059">
          <w:marLeft w:val="0"/>
          <w:marRight w:val="0"/>
          <w:marTop w:val="0"/>
          <w:marBottom w:val="240"/>
          <w:divBdr>
            <w:top w:val="none" w:sz="0" w:space="0" w:color="auto"/>
            <w:left w:val="none" w:sz="0" w:space="0" w:color="auto"/>
            <w:bottom w:val="none" w:sz="0" w:space="0" w:color="auto"/>
            <w:right w:val="none" w:sz="0" w:space="0" w:color="auto"/>
          </w:divBdr>
        </w:div>
        <w:div w:id="697049016">
          <w:marLeft w:val="0"/>
          <w:marRight w:val="0"/>
          <w:marTop w:val="0"/>
          <w:marBottom w:val="240"/>
          <w:divBdr>
            <w:top w:val="none" w:sz="0" w:space="0" w:color="auto"/>
            <w:left w:val="none" w:sz="0" w:space="0" w:color="auto"/>
            <w:bottom w:val="none" w:sz="0" w:space="0" w:color="auto"/>
            <w:right w:val="none" w:sz="0" w:space="0" w:color="auto"/>
          </w:divBdr>
        </w:div>
        <w:div w:id="1494375943">
          <w:marLeft w:val="0"/>
          <w:marRight w:val="0"/>
          <w:marTop w:val="0"/>
          <w:marBottom w:val="240"/>
          <w:divBdr>
            <w:top w:val="none" w:sz="0" w:space="0" w:color="auto"/>
            <w:left w:val="none" w:sz="0" w:space="0" w:color="auto"/>
            <w:bottom w:val="none" w:sz="0" w:space="0" w:color="auto"/>
            <w:right w:val="none" w:sz="0" w:space="0" w:color="auto"/>
          </w:divBdr>
        </w:div>
      </w:divsChild>
    </w:div>
    <w:div w:id="1549338858">
      <w:bodyDiv w:val="1"/>
      <w:marLeft w:val="0"/>
      <w:marRight w:val="0"/>
      <w:marTop w:val="0"/>
      <w:marBottom w:val="0"/>
      <w:divBdr>
        <w:top w:val="none" w:sz="0" w:space="0" w:color="auto"/>
        <w:left w:val="none" w:sz="0" w:space="0" w:color="auto"/>
        <w:bottom w:val="none" w:sz="0" w:space="0" w:color="auto"/>
        <w:right w:val="none" w:sz="0" w:space="0" w:color="auto"/>
      </w:divBdr>
      <w:divsChild>
        <w:div w:id="657422153">
          <w:marLeft w:val="0"/>
          <w:marRight w:val="0"/>
          <w:marTop w:val="0"/>
          <w:marBottom w:val="0"/>
          <w:divBdr>
            <w:top w:val="none" w:sz="0" w:space="0" w:color="auto"/>
            <w:left w:val="none" w:sz="0" w:space="0" w:color="auto"/>
            <w:bottom w:val="dotted" w:sz="6" w:space="4" w:color="DDDDDD"/>
            <w:right w:val="none" w:sz="0" w:space="0" w:color="auto"/>
          </w:divBdr>
          <w:divsChild>
            <w:div w:id="11321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52302">
      <w:bodyDiv w:val="1"/>
      <w:marLeft w:val="0"/>
      <w:marRight w:val="0"/>
      <w:marTop w:val="0"/>
      <w:marBottom w:val="0"/>
      <w:divBdr>
        <w:top w:val="none" w:sz="0" w:space="0" w:color="auto"/>
        <w:left w:val="none" w:sz="0" w:space="0" w:color="auto"/>
        <w:bottom w:val="none" w:sz="0" w:space="0" w:color="auto"/>
        <w:right w:val="none" w:sz="0" w:space="0" w:color="auto"/>
      </w:divBdr>
    </w:div>
    <w:div w:id="1549953596">
      <w:bodyDiv w:val="1"/>
      <w:marLeft w:val="0"/>
      <w:marRight w:val="0"/>
      <w:marTop w:val="0"/>
      <w:marBottom w:val="0"/>
      <w:divBdr>
        <w:top w:val="none" w:sz="0" w:space="0" w:color="auto"/>
        <w:left w:val="none" w:sz="0" w:space="0" w:color="auto"/>
        <w:bottom w:val="none" w:sz="0" w:space="0" w:color="auto"/>
        <w:right w:val="none" w:sz="0" w:space="0" w:color="auto"/>
      </w:divBdr>
      <w:divsChild>
        <w:div w:id="648552956">
          <w:marLeft w:val="0"/>
          <w:marRight w:val="0"/>
          <w:marTop w:val="0"/>
          <w:marBottom w:val="0"/>
          <w:divBdr>
            <w:top w:val="none" w:sz="0" w:space="0" w:color="auto"/>
            <w:left w:val="none" w:sz="0" w:space="0" w:color="auto"/>
            <w:bottom w:val="none" w:sz="0" w:space="0" w:color="auto"/>
            <w:right w:val="none" w:sz="0" w:space="0" w:color="auto"/>
          </w:divBdr>
          <w:divsChild>
            <w:div w:id="1507599146">
              <w:marLeft w:val="0"/>
              <w:marRight w:val="0"/>
              <w:marTop w:val="0"/>
              <w:marBottom w:val="0"/>
              <w:divBdr>
                <w:top w:val="none" w:sz="0" w:space="0" w:color="auto"/>
                <w:left w:val="none" w:sz="0" w:space="0" w:color="auto"/>
                <w:bottom w:val="none" w:sz="0" w:space="0" w:color="auto"/>
                <w:right w:val="none" w:sz="0" w:space="0" w:color="auto"/>
              </w:divBdr>
              <w:divsChild>
                <w:div w:id="80102073">
                  <w:marLeft w:val="0"/>
                  <w:marRight w:val="0"/>
                  <w:marTop w:val="0"/>
                  <w:marBottom w:val="0"/>
                  <w:divBdr>
                    <w:top w:val="none" w:sz="0" w:space="0" w:color="auto"/>
                    <w:left w:val="none" w:sz="0" w:space="0" w:color="auto"/>
                    <w:bottom w:val="none" w:sz="0" w:space="0" w:color="auto"/>
                    <w:right w:val="none" w:sz="0" w:space="0" w:color="auto"/>
                  </w:divBdr>
                  <w:divsChild>
                    <w:div w:id="1021974373">
                      <w:marLeft w:val="0"/>
                      <w:marRight w:val="0"/>
                      <w:marTop w:val="0"/>
                      <w:marBottom w:val="0"/>
                      <w:divBdr>
                        <w:top w:val="none" w:sz="0" w:space="0" w:color="auto"/>
                        <w:left w:val="none" w:sz="0" w:space="0" w:color="auto"/>
                        <w:bottom w:val="none" w:sz="0" w:space="0" w:color="auto"/>
                        <w:right w:val="none" w:sz="0" w:space="0" w:color="auto"/>
                      </w:divBdr>
                      <w:divsChild>
                        <w:div w:id="260653142">
                          <w:marLeft w:val="0"/>
                          <w:marRight w:val="0"/>
                          <w:marTop w:val="0"/>
                          <w:marBottom w:val="0"/>
                          <w:divBdr>
                            <w:top w:val="none" w:sz="0" w:space="0" w:color="auto"/>
                            <w:left w:val="none" w:sz="0" w:space="0" w:color="auto"/>
                            <w:bottom w:val="none" w:sz="0" w:space="0" w:color="auto"/>
                            <w:right w:val="none" w:sz="0" w:space="0" w:color="auto"/>
                          </w:divBdr>
                          <w:divsChild>
                            <w:div w:id="1196700876">
                              <w:marLeft w:val="0"/>
                              <w:marRight w:val="0"/>
                              <w:marTop w:val="0"/>
                              <w:marBottom w:val="0"/>
                              <w:divBdr>
                                <w:top w:val="none" w:sz="0" w:space="0" w:color="auto"/>
                                <w:left w:val="none" w:sz="0" w:space="0" w:color="auto"/>
                                <w:bottom w:val="none" w:sz="0" w:space="0" w:color="auto"/>
                                <w:right w:val="none" w:sz="0" w:space="0" w:color="auto"/>
                              </w:divBdr>
                              <w:divsChild>
                                <w:div w:id="2140873629">
                                  <w:marLeft w:val="0"/>
                                  <w:marRight w:val="0"/>
                                  <w:marTop w:val="0"/>
                                  <w:marBottom w:val="0"/>
                                  <w:divBdr>
                                    <w:top w:val="none" w:sz="0" w:space="0" w:color="auto"/>
                                    <w:left w:val="none" w:sz="0" w:space="0" w:color="auto"/>
                                    <w:bottom w:val="none" w:sz="0" w:space="0" w:color="auto"/>
                                    <w:right w:val="none" w:sz="0" w:space="0" w:color="auto"/>
                                  </w:divBdr>
                                  <w:divsChild>
                                    <w:div w:id="82728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9997519">
      <w:bodyDiv w:val="1"/>
      <w:marLeft w:val="0"/>
      <w:marRight w:val="0"/>
      <w:marTop w:val="0"/>
      <w:marBottom w:val="0"/>
      <w:divBdr>
        <w:top w:val="none" w:sz="0" w:space="0" w:color="auto"/>
        <w:left w:val="none" w:sz="0" w:space="0" w:color="auto"/>
        <w:bottom w:val="none" w:sz="0" w:space="0" w:color="auto"/>
        <w:right w:val="none" w:sz="0" w:space="0" w:color="auto"/>
      </w:divBdr>
      <w:divsChild>
        <w:div w:id="410081812">
          <w:marLeft w:val="0"/>
          <w:marRight w:val="0"/>
          <w:marTop w:val="0"/>
          <w:marBottom w:val="0"/>
          <w:divBdr>
            <w:top w:val="none" w:sz="0" w:space="0" w:color="auto"/>
            <w:left w:val="none" w:sz="0" w:space="0" w:color="auto"/>
            <w:bottom w:val="dotted" w:sz="6" w:space="4" w:color="DDDDDD"/>
            <w:right w:val="none" w:sz="0" w:space="0" w:color="auto"/>
          </w:divBdr>
          <w:divsChild>
            <w:div w:id="47240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411599">
      <w:bodyDiv w:val="1"/>
      <w:marLeft w:val="0"/>
      <w:marRight w:val="0"/>
      <w:marTop w:val="0"/>
      <w:marBottom w:val="0"/>
      <w:divBdr>
        <w:top w:val="none" w:sz="0" w:space="0" w:color="auto"/>
        <w:left w:val="none" w:sz="0" w:space="0" w:color="auto"/>
        <w:bottom w:val="none" w:sz="0" w:space="0" w:color="auto"/>
        <w:right w:val="none" w:sz="0" w:space="0" w:color="auto"/>
      </w:divBdr>
      <w:divsChild>
        <w:div w:id="876357263">
          <w:marLeft w:val="0"/>
          <w:marRight w:val="0"/>
          <w:marTop w:val="0"/>
          <w:marBottom w:val="0"/>
          <w:divBdr>
            <w:top w:val="none" w:sz="0" w:space="0" w:color="auto"/>
            <w:left w:val="none" w:sz="0" w:space="0" w:color="auto"/>
            <w:bottom w:val="dotted" w:sz="6" w:space="4" w:color="DDDDDD"/>
            <w:right w:val="none" w:sz="0" w:space="0" w:color="auto"/>
          </w:divBdr>
          <w:divsChild>
            <w:div w:id="6036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453545">
      <w:bodyDiv w:val="1"/>
      <w:marLeft w:val="0"/>
      <w:marRight w:val="0"/>
      <w:marTop w:val="0"/>
      <w:marBottom w:val="0"/>
      <w:divBdr>
        <w:top w:val="none" w:sz="0" w:space="0" w:color="auto"/>
        <w:left w:val="none" w:sz="0" w:space="0" w:color="auto"/>
        <w:bottom w:val="none" w:sz="0" w:space="0" w:color="auto"/>
        <w:right w:val="none" w:sz="0" w:space="0" w:color="auto"/>
      </w:divBdr>
      <w:divsChild>
        <w:div w:id="260987906">
          <w:marLeft w:val="0"/>
          <w:marRight w:val="0"/>
          <w:marTop w:val="0"/>
          <w:marBottom w:val="0"/>
          <w:divBdr>
            <w:top w:val="none" w:sz="0" w:space="0" w:color="auto"/>
            <w:left w:val="none" w:sz="0" w:space="0" w:color="auto"/>
            <w:bottom w:val="none" w:sz="0" w:space="0" w:color="auto"/>
            <w:right w:val="none" w:sz="0" w:space="0" w:color="auto"/>
          </w:divBdr>
        </w:div>
      </w:divsChild>
    </w:div>
    <w:div w:id="1551066035">
      <w:bodyDiv w:val="1"/>
      <w:marLeft w:val="0"/>
      <w:marRight w:val="0"/>
      <w:marTop w:val="0"/>
      <w:marBottom w:val="0"/>
      <w:divBdr>
        <w:top w:val="none" w:sz="0" w:space="0" w:color="auto"/>
        <w:left w:val="none" w:sz="0" w:space="0" w:color="auto"/>
        <w:bottom w:val="none" w:sz="0" w:space="0" w:color="auto"/>
        <w:right w:val="none" w:sz="0" w:space="0" w:color="auto"/>
      </w:divBdr>
    </w:div>
    <w:div w:id="1551067352">
      <w:bodyDiv w:val="1"/>
      <w:marLeft w:val="0"/>
      <w:marRight w:val="0"/>
      <w:marTop w:val="0"/>
      <w:marBottom w:val="0"/>
      <w:divBdr>
        <w:top w:val="none" w:sz="0" w:space="0" w:color="auto"/>
        <w:left w:val="none" w:sz="0" w:space="0" w:color="auto"/>
        <w:bottom w:val="none" w:sz="0" w:space="0" w:color="auto"/>
        <w:right w:val="none" w:sz="0" w:space="0" w:color="auto"/>
      </w:divBdr>
      <w:divsChild>
        <w:div w:id="1238829573">
          <w:marLeft w:val="0"/>
          <w:marRight w:val="0"/>
          <w:marTop w:val="0"/>
          <w:marBottom w:val="0"/>
          <w:divBdr>
            <w:top w:val="none" w:sz="0" w:space="0" w:color="auto"/>
            <w:left w:val="none" w:sz="0" w:space="0" w:color="auto"/>
            <w:bottom w:val="none" w:sz="0" w:space="0" w:color="auto"/>
            <w:right w:val="none" w:sz="0" w:space="0" w:color="auto"/>
          </w:divBdr>
          <w:divsChild>
            <w:div w:id="167491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720812">
      <w:bodyDiv w:val="1"/>
      <w:marLeft w:val="0"/>
      <w:marRight w:val="0"/>
      <w:marTop w:val="0"/>
      <w:marBottom w:val="0"/>
      <w:divBdr>
        <w:top w:val="none" w:sz="0" w:space="0" w:color="auto"/>
        <w:left w:val="none" w:sz="0" w:space="0" w:color="auto"/>
        <w:bottom w:val="none" w:sz="0" w:space="0" w:color="auto"/>
        <w:right w:val="none" w:sz="0" w:space="0" w:color="auto"/>
      </w:divBdr>
      <w:divsChild>
        <w:div w:id="1984889351">
          <w:marLeft w:val="0"/>
          <w:marRight w:val="0"/>
          <w:marTop w:val="0"/>
          <w:marBottom w:val="150"/>
          <w:divBdr>
            <w:top w:val="none" w:sz="0" w:space="0" w:color="auto"/>
            <w:left w:val="none" w:sz="0" w:space="0" w:color="auto"/>
            <w:bottom w:val="none" w:sz="0" w:space="0" w:color="auto"/>
            <w:right w:val="none" w:sz="0" w:space="0" w:color="auto"/>
          </w:divBdr>
        </w:div>
      </w:divsChild>
    </w:div>
    <w:div w:id="1552186437">
      <w:bodyDiv w:val="1"/>
      <w:marLeft w:val="0"/>
      <w:marRight w:val="0"/>
      <w:marTop w:val="0"/>
      <w:marBottom w:val="0"/>
      <w:divBdr>
        <w:top w:val="none" w:sz="0" w:space="0" w:color="auto"/>
        <w:left w:val="none" w:sz="0" w:space="0" w:color="auto"/>
        <w:bottom w:val="none" w:sz="0" w:space="0" w:color="auto"/>
        <w:right w:val="none" w:sz="0" w:space="0" w:color="auto"/>
      </w:divBdr>
    </w:div>
    <w:div w:id="1552234322">
      <w:bodyDiv w:val="1"/>
      <w:marLeft w:val="0"/>
      <w:marRight w:val="0"/>
      <w:marTop w:val="0"/>
      <w:marBottom w:val="0"/>
      <w:divBdr>
        <w:top w:val="none" w:sz="0" w:space="0" w:color="auto"/>
        <w:left w:val="none" w:sz="0" w:space="0" w:color="auto"/>
        <w:bottom w:val="none" w:sz="0" w:space="0" w:color="auto"/>
        <w:right w:val="none" w:sz="0" w:space="0" w:color="auto"/>
      </w:divBdr>
      <w:divsChild>
        <w:div w:id="1116483937">
          <w:marLeft w:val="0"/>
          <w:marRight w:val="0"/>
          <w:marTop w:val="0"/>
          <w:marBottom w:val="0"/>
          <w:divBdr>
            <w:top w:val="none" w:sz="0" w:space="0" w:color="auto"/>
            <w:left w:val="none" w:sz="0" w:space="0" w:color="auto"/>
            <w:bottom w:val="none" w:sz="0" w:space="0" w:color="auto"/>
            <w:right w:val="none" w:sz="0" w:space="0" w:color="auto"/>
          </w:divBdr>
          <w:divsChild>
            <w:div w:id="1242791313">
              <w:marLeft w:val="0"/>
              <w:marRight w:val="0"/>
              <w:marTop w:val="0"/>
              <w:marBottom w:val="0"/>
              <w:divBdr>
                <w:top w:val="none" w:sz="0" w:space="0" w:color="auto"/>
                <w:left w:val="none" w:sz="0" w:space="0" w:color="auto"/>
                <w:bottom w:val="none" w:sz="0" w:space="0" w:color="auto"/>
                <w:right w:val="none" w:sz="0" w:space="0" w:color="auto"/>
              </w:divBdr>
              <w:divsChild>
                <w:div w:id="207957270">
                  <w:marLeft w:val="0"/>
                  <w:marRight w:val="0"/>
                  <w:marTop w:val="0"/>
                  <w:marBottom w:val="150"/>
                  <w:divBdr>
                    <w:top w:val="none" w:sz="0" w:space="0" w:color="auto"/>
                    <w:left w:val="none" w:sz="0" w:space="0" w:color="auto"/>
                    <w:bottom w:val="none" w:sz="0" w:space="0" w:color="auto"/>
                    <w:right w:val="none" w:sz="0" w:space="0" w:color="auto"/>
                  </w:divBdr>
                  <w:divsChild>
                    <w:div w:id="71858865">
                      <w:marLeft w:val="0"/>
                      <w:marRight w:val="0"/>
                      <w:marTop w:val="0"/>
                      <w:marBottom w:val="0"/>
                      <w:divBdr>
                        <w:top w:val="none" w:sz="0" w:space="0" w:color="auto"/>
                        <w:left w:val="none" w:sz="0" w:space="0" w:color="auto"/>
                        <w:bottom w:val="none" w:sz="0" w:space="0" w:color="auto"/>
                        <w:right w:val="none" w:sz="0" w:space="0" w:color="auto"/>
                      </w:divBdr>
                      <w:divsChild>
                        <w:div w:id="1358119901">
                          <w:marLeft w:val="0"/>
                          <w:marRight w:val="0"/>
                          <w:marTop w:val="0"/>
                          <w:marBottom w:val="0"/>
                          <w:divBdr>
                            <w:top w:val="none" w:sz="0" w:space="0" w:color="auto"/>
                            <w:left w:val="none" w:sz="0" w:space="0" w:color="auto"/>
                            <w:bottom w:val="none" w:sz="0" w:space="0" w:color="auto"/>
                            <w:right w:val="none" w:sz="0" w:space="0" w:color="auto"/>
                          </w:divBdr>
                          <w:divsChild>
                            <w:div w:id="1354071921">
                              <w:marLeft w:val="0"/>
                              <w:marRight w:val="0"/>
                              <w:marTop w:val="0"/>
                              <w:marBottom w:val="0"/>
                              <w:divBdr>
                                <w:top w:val="none" w:sz="0" w:space="0" w:color="auto"/>
                                <w:left w:val="none" w:sz="0" w:space="0" w:color="auto"/>
                                <w:bottom w:val="none" w:sz="0" w:space="0" w:color="auto"/>
                                <w:right w:val="none" w:sz="0" w:space="0" w:color="auto"/>
                              </w:divBdr>
                              <w:divsChild>
                                <w:div w:id="1547134391">
                                  <w:marLeft w:val="0"/>
                                  <w:marRight w:val="0"/>
                                  <w:marTop w:val="0"/>
                                  <w:marBottom w:val="0"/>
                                  <w:divBdr>
                                    <w:top w:val="none" w:sz="0" w:space="0" w:color="auto"/>
                                    <w:left w:val="none" w:sz="0" w:space="0" w:color="auto"/>
                                    <w:bottom w:val="none" w:sz="0" w:space="0" w:color="auto"/>
                                    <w:right w:val="none" w:sz="0" w:space="0" w:color="auto"/>
                                  </w:divBdr>
                                  <w:divsChild>
                                    <w:div w:id="606549281">
                                      <w:marLeft w:val="0"/>
                                      <w:marRight w:val="0"/>
                                      <w:marTop w:val="0"/>
                                      <w:marBottom w:val="0"/>
                                      <w:divBdr>
                                        <w:top w:val="none" w:sz="0" w:space="0" w:color="auto"/>
                                        <w:left w:val="none" w:sz="0" w:space="0" w:color="auto"/>
                                        <w:bottom w:val="none" w:sz="0" w:space="0" w:color="auto"/>
                                        <w:right w:val="none" w:sz="0" w:space="0" w:color="auto"/>
                                      </w:divBdr>
                                      <w:divsChild>
                                        <w:div w:id="983198425">
                                          <w:marLeft w:val="0"/>
                                          <w:marRight w:val="0"/>
                                          <w:marTop w:val="0"/>
                                          <w:marBottom w:val="0"/>
                                          <w:divBdr>
                                            <w:top w:val="none" w:sz="0" w:space="0" w:color="auto"/>
                                            <w:left w:val="none" w:sz="0" w:space="0" w:color="auto"/>
                                            <w:bottom w:val="none" w:sz="0" w:space="0" w:color="auto"/>
                                            <w:right w:val="none" w:sz="0" w:space="0" w:color="auto"/>
                                          </w:divBdr>
                                          <w:divsChild>
                                            <w:div w:id="1749304763">
                                              <w:marLeft w:val="0"/>
                                              <w:marRight w:val="0"/>
                                              <w:marTop w:val="0"/>
                                              <w:marBottom w:val="0"/>
                                              <w:divBdr>
                                                <w:top w:val="none" w:sz="0" w:space="0" w:color="auto"/>
                                                <w:left w:val="none" w:sz="0" w:space="0" w:color="auto"/>
                                                <w:bottom w:val="none" w:sz="0" w:space="0" w:color="auto"/>
                                                <w:right w:val="none" w:sz="0" w:space="0" w:color="auto"/>
                                              </w:divBdr>
                                              <w:divsChild>
                                                <w:div w:id="95062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2692721">
      <w:bodyDiv w:val="1"/>
      <w:marLeft w:val="0"/>
      <w:marRight w:val="0"/>
      <w:marTop w:val="0"/>
      <w:marBottom w:val="0"/>
      <w:divBdr>
        <w:top w:val="none" w:sz="0" w:space="0" w:color="auto"/>
        <w:left w:val="none" w:sz="0" w:space="0" w:color="auto"/>
        <w:bottom w:val="none" w:sz="0" w:space="0" w:color="auto"/>
        <w:right w:val="none" w:sz="0" w:space="0" w:color="auto"/>
      </w:divBdr>
      <w:divsChild>
        <w:div w:id="76945095">
          <w:marLeft w:val="0"/>
          <w:marRight w:val="0"/>
          <w:marTop w:val="0"/>
          <w:marBottom w:val="0"/>
          <w:divBdr>
            <w:top w:val="none" w:sz="0" w:space="0" w:color="auto"/>
            <w:left w:val="none" w:sz="0" w:space="0" w:color="auto"/>
            <w:bottom w:val="none" w:sz="0" w:space="0" w:color="auto"/>
            <w:right w:val="none" w:sz="0" w:space="0" w:color="auto"/>
          </w:divBdr>
          <w:divsChild>
            <w:div w:id="1909226842">
              <w:marLeft w:val="0"/>
              <w:marRight w:val="0"/>
              <w:marTop w:val="225"/>
              <w:marBottom w:val="225"/>
              <w:divBdr>
                <w:top w:val="none" w:sz="0" w:space="0" w:color="auto"/>
                <w:left w:val="none" w:sz="0" w:space="0" w:color="auto"/>
                <w:bottom w:val="none" w:sz="0" w:space="0" w:color="auto"/>
                <w:right w:val="none" w:sz="0" w:space="0" w:color="auto"/>
              </w:divBdr>
            </w:div>
          </w:divsChild>
        </w:div>
        <w:div w:id="527378708">
          <w:marLeft w:val="0"/>
          <w:marRight w:val="0"/>
          <w:marTop w:val="0"/>
          <w:marBottom w:val="150"/>
          <w:divBdr>
            <w:top w:val="none" w:sz="0" w:space="0" w:color="auto"/>
            <w:left w:val="none" w:sz="0" w:space="0" w:color="auto"/>
            <w:bottom w:val="none" w:sz="0" w:space="0" w:color="auto"/>
            <w:right w:val="none" w:sz="0" w:space="0" w:color="auto"/>
          </w:divBdr>
        </w:div>
        <w:div w:id="1479029988">
          <w:marLeft w:val="0"/>
          <w:marRight w:val="0"/>
          <w:marTop w:val="0"/>
          <w:marBottom w:val="150"/>
          <w:divBdr>
            <w:top w:val="none" w:sz="0" w:space="0" w:color="auto"/>
            <w:left w:val="none" w:sz="0" w:space="0" w:color="auto"/>
            <w:bottom w:val="none" w:sz="0" w:space="0" w:color="auto"/>
            <w:right w:val="none" w:sz="0" w:space="0" w:color="auto"/>
          </w:divBdr>
          <w:divsChild>
            <w:div w:id="585651959">
              <w:marLeft w:val="0"/>
              <w:marRight w:val="0"/>
              <w:marTop w:val="0"/>
              <w:marBottom w:val="0"/>
              <w:divBdr>
                <w:top w:val="none" w:sz="0" w:space="0" w:color="auto"/>
                <w:left w:val="none" w:sz="0" w:space="0" w:color="auto"/>
                <w:bottom w:val="none" w:sz="0" w:space="0" w:color="auto"/>
                <w:right w:val="none" w:sz="0" w:space="0" w:color="auto"/>
              </w:divBdr>
              <w:divsChild>
                <w:div w:id="69484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883050">
      <w:bodyDiv w:val="1"/>
      <w:marLeft w:val="0"/>
      <w:marRight w:val="0"/>
      <w:marTop w:val="0"/>
      <w:marBottom w:val="0"/>
      <w:divBdr>
        <w:top w:val="none" w:sz="0" w:space="0" w:color="auto"/>
        <w:left w:val="none" w:sz="0" w:space="0" w:color="auto"/>
        <w:bottom w:val="none" w:sz="0" w:space="0" w:color="auto"/>
        <w:right w:val="none" w:sz="0" w:space="0" w:color="auto"/>
      </w:divBdr>
      <w:divsChild>
        <w:div w:id="1940524749">
          <w:marLeft w:val="0"/>
          <w:marRight w:val="0"/>
          <w:marTop w:val="0"/>
          <w:marBottom w:val="0"/>
          <w:divBdr>
            <w:top w:val="none" w:sz="0" w:space="0" w:color="auto"/>
            <w:left w:val="none" w:sz="0" w:space="0" w:color="auto"/>
            <w:bottom w:val="dotted" w:sz="6" w:space="4" w:color="DDDDDD"/>
            <w:right w:val="none" w:sz="0" w:space="0" w:color="auto"/>
          </w:divBdr>
          <w:divsChild>
            <w:div w:id="65021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078711">
      <w:bodyDiv w:val="1"/>
      <w:marLeft w:val="0"/>
      <w:marRight w:val="0"/>
      <w:marTop w:val="0"/>
      <w:marBottom w:val="0"/>
      <w:divBdr>
        <w:top w:val="none" w:sz="0" w:space="0" w:color="auto"/>
        <w:left w:val="none" w:sz="0" w:space="0" w:color="auto"/>
        <w:bottom w:val="none" w:sz="0" w:space="0" w:color="auto"/>
        <w:right w:val="none" w:sz="0" w:space="0" w:color="auto"/>
      </w:divBdr>
      <w:divsChild>
        <w:div w:id="1522165856">
          <w:marLeft w:val="0"/>
          <w:marRight w:val="0"/>
          <w:marTop w:val="0"/>
          <w:marBottom w:val="0"/>
          <w:divBdr>
            <w:top w:val="none" w:sz="0" w:space="0" w:color="auto"/>
            <w:left w:val="none" w:sz="0" w:space="0" w:color="auto"/>
            <w:bottom w:val="none" w:sz="0" w:space="0" w:color="auto"/>
            <w:right w:val="none" w:sz="0" w:space="0" w:color="auto"/>
          </w:divBdr>
        </w:div>
        <w:div w:id="1715544148">
          <w:marLeft w:val="0"/>
          <w:marRight w:val="0"/>
          <w:marTop w:val="0"/>
          <w:marBottom w:val="0"/>
          <w:divBdr>
            <w:top w:val="none" w:sz="0" w:space="0" w:color="auto"/>
            <w:left w:val="none" w:sz="0" w:space="0" w:color="auto"/>
            <w:bottom w:val="none" w:sz="0" w:space="0" w:color="auto"/>
            <w:right w:val="none" w:sz="0" w:space="0" w:color="auto"/>
          </w:divBdr>
        </w:div>
      </w:divsChild>
    </w:div>
    <w:div w:id="1553269457">
      <w:bodyDiv w:val="1"/>
      <w:marLeft w:val="0"/>
      <w:marRight w:val="0"/>
      <w:marTop w:val="0"/>
      <w:marBottom w:val="0"/>
      <w:divBdr>
        <w:top w:val="none" w:sz="0" w:space="0" w:color="auto"/>
        <w:left w:val="none" w:sz="0" w:space="0" w:color="auto"/>
        <w:bottom w:val="none" w:sz="0" w:space="0" w:color="auto"/>
        <w:right w:val="none" w:sz="0" w:space="0" w:color="auto"/>
      </w:divBdr>
    </w:div>
    <w:div w:id="1553299287">
      <w:bodyDiv w:val="1"/>
      <w:marLeft w:val="0"/>
      <w:marRight w:val="0"/>
      <w:marTop w:val="0"/>
      <w:marBottom w:val="0"/>
      <w:divBdr>
        <w:top w:val="none" w:sz="0" w:space="0" w:color="auto"/>
        <w:left w:val="none" w:sz="0" w:space="0" w:color="auto"/>
        <w:bottom w:val="none" w:sz="0" w:space="0" w:color="auto"/>
        <w:right w:val="none" w:sz="0" w:space="0" w:color="auto"/>
      </w:divBdr>
      <w:divsChild>
        <w:div w:id="453330041">
          <w:marLeft w:val="0"/>
          <w:marRight w:val="0"/>
          <w:marTop w:val="135"/>
          <w:marBottom w:val="0"/>
          <w:divBdr>
            <w:top w:val="none" w:sz="0" w:space="0" w:color="auto"/>
            <w:left w:val="none" w:sz="0" w:space="0" w:color="auto"/>
            <w:bottom w:val="none" w:sz="0" w:space="0" w:color="auto"/>
            <w:right w:val="none" w:sz="0" w:space="0" w:color="auto"/>
          </w:divBdr>
          <w:divsChild>
            <w:div w:id="1888104282">
              <w:marLeft w:val="0"/>
              <w:marRight w:val="0"/>
              <w:marTop w:val="45"/>
              <w:marBottom w:val="0"/>
              <w:divBdr>
                <w:top w:val="none" w:sz="0" w:space="0" w:color="auto"/>
                <w:left w:val="none" w:sz="0" w:space="0" w:color="auto"/>
                <w:bottom w:val="none" w:sz="0" w:space="0" w:color="auto"/>
                <w:right w:val="none" w:sz="0" w:space="0" w:color="auto"/>
              </w:divBdr>
            </w:div>
          </w:divsChild>
        </w:div>
        <w:div w:id="854997421">
          <w:marLeft w:val="0"/>
          <w:marRight w:val="0"/>
          <w:marTop w:val="300"/>
          <w:marBottom w:val="0"/>
          <w:divBdr>
            <w:top w:val="none" w:sz="0" w:space="0" w:color="auto"/>
            <w:left w:val="none" w:sz="0" w:space="0" w:color="auto"/>
            <w:bottom w:val="none" w:sz="0" w:space="0" w:color="auto"/>
            <w:right w:val="none" w:sz="0" w:space="0" w:color="auto"/>
          </w:divBdr>
          <w:divsChild>
            <w:div w:id="8500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44619">
      <w:bodyDiv w:val="1"/>
      <w:marLeft w:val="0"/>
      <w:marRight w:val="0"/>
      <w:marTop w:val="0"/>
      <w:marBottom w:val="0"/>
      <w:divBdr>
        <w:top w:val="none" w:sz="0" w:space="0" w:color="auto"/>
        <w:left w:val="none" w:sz="0" w:space="0" w:color="auto"/>
        <w:bottom w:val="none" w:sz="0" w:space="0" w:color="auto"/>
        <w:right w:val="none" w:sz="0" w:space="0" w:color="auto"/>
      </w:divBdr>
      <w:divsChild>
        <w:div w:id="1422797739">
          <w:marLeft w:val="0"/>
          <w:marRight w:val="0"/>
          <w:marTop w:val="0"/>
          <w:marBottom w:val="0"/>
          <w:divBdr>
            <w:top w:val="none" w:sz="0" w:space="0" w:color="auto"/>
            <w:left w:val="none" w:sz="0" w:space="0" w:color="auto"/>
            <w:bottom w:val="none" w:sz="0" w:space="0" w:color="auto"/>
            <w:right w:val="none" w:sz="0" w:space="0" w:color="auto"/>
          </w:divBdr>
        </w:div>
      </w:divsChild>
    </w:div>
    <w:div w:id="1554461847">
      <w:bodyDiv w:val="1"/>
      <w:marLeft w:val="0"/>
      <w:marRight w:val="0"/>
      <w:marTop w:val="0"/>
      <w:marBottom w:val="0"/>
      <w:divBdr>
        <w:top w:val="none" w:sz="0" w:space="0" w:color="auto"/>
        <w:left w:val="none" w:sz="0" w:space="0" w:color="auto"/>
        <w:bottom w:val="none" w:sz="0" w:space="0" w:color="auto"/>
        <w:right w:val="none" w:sz="0" w:space="0" w:color="auto"/>
      </w:divBdr>
    </w:div>
    <w:div w:id="1554737122">
      <w:bodyDiv w:val="1"/>
      <w:marLeft w:val="0"/>
      <w:marRight w:val="0"/>
      <w:marTop w:val="0"/>
      <w:marBottom w:val="0"/>
      <w:divBdr>
        <w:top w:val="none" w:sz="0" w:space="0" w:color="auto"/>
        <w:left w:val="none" w:sz="0" w:space="0" w:color="auto"/>
        <w:bottom w:val="none" w:sz="0" w:space="0" w:color="auto"/>
        <w:right w:val="none" w:sz="0" w:space="0" w:color="auto"/>
      </w:divBdr>
    </w:div>
    <w:div w:id="1555235972">
      <w:bodyDiv w:val="1"/>
      <w:marLeft w:val="0"/>
      <w:marRight w:val="0"/>
      <w:marTop w:val="0"/>
      <w:marBottom w:val="0"/>
      <w:divBdr>
        <w:top w:val="none" w:sz="0" w:space="0" w:color="auto"/>
        <w:left w:val="none" w:sz="0" w:space="0" w:color="auto"/>
        <w:bottom w:val="none" w:sz="0" w:space="0" w:color="auto"/>
        <w:right w:val="none" w:sz="0" w:space="0" w:color="auto"/>
      </w:divBdr>
      <w:divsChild>
        <w:div w:id="160244824">
          <w:marLeft w:val="0"/>
          <w:marRight w:val="0"/>
          <w:marTop w:val="0"/>
          <w:marBottom w:val="0"/>
          <w:divBdr>
            <w:top w:val="none" w:sz="0" w:space="0" w:color="auto"/>
            <w:left w:val="none" w:sz="0" w:space="0" w:color="auto"/>
            <w:bottom w:val="none" w:sz="0" w:space="0" w:color="auto"/>
            <w:right w:val="none" w:sz="0" w:space="0" w:color="auto"/>
          </w:divBdr>
          <w:divsChild>
            <w:div w:id="4575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354207">
      <w:bodyDiv w:val="1"/>
      <w:marLeft w:val="0"/>
      <w:marRight w:val="0"/>
      <w:marTop w:val="0"/>
      <w:marBottom w:val="0"/>
      <w:divBdr>
        <w:top w:val="none" w:sz="0" w:space="0" w:color="auto"/>
        <w:left w:val="none" w:sz="0" w:space="0" w:color="auto"/>
        <w:bottom w:val="none" w:sz="0" w:space="0" w:color="auto"/>
        <w:right w:val="none" w:sz="0" w:space="0" w:color="auto"/>
      </w:divBdr>
      <w:divsChild>
        <w:div w:id="402144556">
          <w:marLeft w:val="0"/>
          <w:marRight w:val="0"/>
          <w:marTop w:val="0"/>
          <w:marBottom w:val="0"/>
          <w:divBdr>
            <w:top w:val="none" w:sz="0" w:space="0" w:color="auto"/>
            <w:left w:val="none" w:sz="0" w:space="0" w:color="auto"/>
            <w:bottom w:val="none" w:sz="0" w:space="0" w:color="auto"/>
            <w:right w:val="none" w:sz="0" w:space="0" w:color="auto"/>
          </w:divBdr>
          <w:divsChild>
            <w:div w:id="1559365439">
              <w:marLeft w:val="0"/>
              <w:marRight w:val="0"/>
              <w:marTop w:val="0"/>
              <w:marBottom w:val="0"/>
              <w:divBdr>
                <w:top w:val="none" w:sz="0" w:space="0" w:color="auto"/>
                <w:left w:val="none" w:sz="0" w:space="0" w:color="auto"/>
                <w:bottom w:val="none" w:sz="0" w:space="0" w:color="auto"/>
                <w:right w:val="none" w:sz="0" w:space="0" w:color="auto"/>
              </w:divBdr>
              <w:divsChild>
                <w:div w:id="742991580">
                  <w:marLeft w:val="0"/>
                  <w:marRight w:val="0"/>
                  <w:marTop w:val="0"/>
                  <w:marBottom w:val="0"/>
                  <w:divBdr>
                    <w:top w:val="none" w:sz="0" w:space="0" w:color="auto"/>
                    <w:left w:val="none" w:sz="0" w:space="0" w:color="auto"/>
                    <w:bottom w:val="none" w:sz="0" w:space="0" w:color="auto"/>
                    <w:right w:val="none" w:sz="0" w:space="0" w:color="auto"/>
                  </w:divBdr>
                  <w:divsChild>
                    <w:div w:id="538006508">
                      <w:marLeft w:val="0"/>
                      <w:marRight w:val="0"/>
                      <w:marTop w:val="0"/>
                      <w:marBottom w:val="0"/>
                      <w:divBdr>
                        <w:top w:val="none" w:sz="0" w:space="0" w:color="auto"/>
                        <w:left w:val="none" w:sz="0" w:space="0" w:color="auto"/>
                        <w:bottom w:val="none" w:sz="0" w:space="0" w:color="auto"/>
                        <w:right w:val="none" w:sz="0" w:space="0" w:color="auto"/>
                      </w:divBdr>
                      <w:divsChild>
                        <w:div w:id="666247401">
                          <w:marLeft w:val="0"/>
                          <w:marRight w:val="0"/>
                          <w:marTop w:val="0"/>
                          <w:marBottom w:val="0"/>
                          <w:divBdr>
                            <w:top w:val="none" w:sz="0" w:space="0" w:color="auto"/>
                            <w:left w:val="none" w:sz="0" w:space="0" w:color="auto"/>
                            <w:bottom w:val="none" w:sz="0" w:space="0" w:color="auto"/>
                            <w:right w:val="none" w:sz="0" w:space="0" w:color="auto"/>
                          </w:divBdr>
                          <w:divsChild>
                            <w:div w:id="1604143710">
                              <w:marLeft w:val="0"/>
                              <w:marRight w:val="0"/>
                              <w:marTop w:val="0"/>
                              <w:marBottom w:val="0"/>
                              <w:divBdr>
                                <w:top w:val="none" w:sz="0" w:space="0" w:color="auto"/>
                                <w:left w:val="none" w:sz="0" w:space="0" w:color="auto"/>
                                <w:bottom w:val="none" w:sz="0" w:space="0" w:color="auto"/>
                                <w:right w:val="none" w:sz="0" w:space="0" w:color="auto"/>
                              </w:divBdr>
                              <w:divsChild>
                                <w:div w:id="792097139">
                                  <w:marLeft w:val="0"/>
                                  <w:marRight w:val="0"/>
                                  <w:marTop w:val="0"/>
                                  <w:marBottom w:val="0"/>
                                  <w:divBdr>
                                    <w:top w:val="none" w:sz="0" w:space="0" w:color="auto"/>
                                    <w:left w:val="none" w:sz="0" w:space="0" w:color="auto"/>
                                    <w:bottom w:val="none" w:sz="0" w:space="0" w:color="auto"/>
                                    <w:right w:val="none" w:sz="0" w:space="0" w:color="auto"/>
                                  </w:divBdr>
                                  <w:divsChild>
                                    <w:div w:id="202508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818508">
      <w:bodyDiv w:val="1"/>
      <w:marLeft w:val="0"/>
      <w:marRight w:val="0"/>
      <w:marTop w:val="0"/>
      <w:marBottom w:val="0"/>
      <w:divBdr>
        <w:top w:val="none" w:sz="0" w:space="0" w:color="auto"/>
        <w:left w:val="none" w:sz="0" w:space="0" w:color="auto"/>
        <w:bottom w:val="none" w:sz="0" w:space="0" w:color="auto"/>
        <w:right w:val="none" w:sz="0" w:space="0" w:color="auto"/>
      </w:divBdr>
    </w:div>
    <w:div w:id="1556820324">
      <w:bodyDiv w:val="1"/>
      <w:marLeft w:val="0"/>
      <w:marRight w:val="0"/>
      <w:marTop w:val="0"/>
      <w:marBottom w:val="0"/>
      <w:divBdr>
        <w:top w:val="none" w:sz="0" w:space="0" w:color="auto"/>
        <w:left w:val="none" w:sz="0" w:space="0" w:color="auto"/>
        <w:bottom w:val="none" w:sz="0" w:space="0" w:color="auto"/>
        <w:right w:val="none" w:sz="0" w:space="0" w:color="auto"/>
      </w:divBdr>
      <w:divsChild>
        <w:div w:id="564994383">
          <w:marLeft w:val="0"/>
          <w:marRight w:val="0"/>
          <w:marTop w:val="0"/>
          <w:marBottom w:val="0"/>
          <w:divBdr>
            <w:top w:val="none" w:sz="0" w:space="0" w:color="auto"/>
            <w:left w:val="none" w:sz="0" w:space="0" w:color="auto"/>
            <w:bottom w:val="none" w:sz="0" w:space="0" w:color="auto"/>
            <w:right w:val="none" w:sz="0" w:space="0" w:color="auto"/>
          </w:divBdr>
          <w:divsChild>
            <w:div w:id="1535188031">
              <w:marLeft w:val="0"/>
              <w:marRight w:val="0"/>
              <w:marTop w:val="0"/>
              <w:marBottom w:val="0"/>
              <w:divBdr>
                <w:top w:val="none" w:sz="0" w:space="0" w:color="auto"/>
                <w:left w:val="none" w:sz="0" w:space="0" w:color="auto"/>
                <w:bottom w:val="none" w:sz="0" w:space="0" w:color="auto"/>
                <w:right w:val="none" w:sz="0" w:space="0" w:color="auto"/>
              </w:divBdr>
              <w:divsChild>
                <w:div w:id="841091175">
                  <w:marLeft w:val="0"/>
                  <w:marRight w:val="0"/>
                  <w:marTop w:val="0"/>
                  <w:marBottom w:val="0"/>
                  <w:divBdr>
                    <w:top w:val="none" w:sz="0" w:space="0" w:color="auto"/>
                    <w:left w:val="none" w:sz="0" w:space="0" w:color="auto"/>
                    <w:bottom w:val="none" w:sz="0" w:space="0" w:color="auto"/>
                    <w:right w:val="none" w:sz="0" w:space="0" w:color="auto"/>
                  </w:divBdr>
                  <w:divsChild>
                    <w:div w:id="288556117">
                      <w:marLeft w:val="0"/>
                      <w:marRight w:val="0"/>
                      <w:marTop w:val="0"/>
                      <w:marBottom w:val="0"/>
                      <w:divBdr>
                        <w:top w:val="none" w:sz="0" w:space="0" w:color="auto"/>
                        <w:left w:val="none" w:sz="0" w:space="0" w:color="auto"/>
                        <w:bottom w:val="none" w:sz="0" w:space="0" w:color="auto"/>
                        <w:right w:val="none" w:sz="0" w:space="0" w:color="auto"/>
                      </w:divBdr>
                    </w:div>
                    <w:div w:id="384333968">
                      <w:marLeft w:val="0"/>
                      <w:marRight w:val="0"/>
                      <w:marTop w:val="0"/>
                      <w:marBottom w:val="75"/>
                      <w:divBdr>
                        <w:top w:val="none" w:sz="0" w:space="0" w:color="auto"/>
                        <w:left w:val="none" w:sz="0" w:space="0" w:color="auto"/>
                        <w:bottom w:val="none" w:sz="0" w:space="0" w:color="auto"/>
                        <w:right w:val="none" w:sz="0" w:space="0" w:color="auto"/>
                      </w:divBdr>
                    </w:div>
                    <w:div w:id="926688586">
                      <w:marLeft w:val="0"/>
                      <w:marRight w:val="0"/>
                      <w:marTop w:val="0"/>
                      <w:marBottom w:val="0"/>
                      <w:divBdr>
                        <w:top w:val="none" w:sz="0" w:space="0" w:color="auto"/>
                        <w:left w:val="none" w:sz="0" w:space="0" w:color="auto"/>
                        <w:bottom w:val="none" w:sz="0" w:space="0" w:color="auto"/>
                        <w:right w:val="none" w:sz="0" w:space="0" w:color="auto"/>
                      </w:divBdr>
                      <w:divsChild>
                        <w:div w:id="2045129236">
                          <w:marLeft w:val="0"/>
                          <w:marRight w:val="0"/>
                          <w:marTop w:val="0"/>
                          <w:marBottom w:val="0"/>
                          <w:divBdr>
                            <w:top w:val="none" w:sz="0" w:space="0" w:color="auto"/>
                            <w:left w:val="none" w:sz="0" w:space="0" w:color="auto"/>
                            <w:bottom w:val="none" w:sz="0" w:space="0" w:color="auto"/>
                            <w:right w:val="none" w:sz="0" w:space="0" w:color="auto"/>
                          </w:divBdr>
                          <w:divsChild>
                            <w:div w:id="8226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079664">
                      <w:marLeft w:val="0"/>
                      <w:marRight w:val="0"/>
                      <w:marTop w:val="0"/>
                      <w:marBottom w:val="300"/>
                      <w:divBdr>
                        <w:top w:val="none" w:sz="0" w:space="0" w:color="auto"/>
                        <w:left w:val="none" w:sz="0" w:space="0" w:color="auto"/>
                        <w:bottom w:val="none" w:sz="0" w:space="0" w:color="auto"/>
                        <w:right w:val="none" w:sz="0" w:space="0" w:color="auto"/>
                      </w:divBdr>
                      <w:divsChild>
                        <w:div w:id="118266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260870">
          <w:marLeft w:val="0"/>
          <w:marRight w:val="0"/>
          <w:marTop w:val="0"/>
          <w:marBottom w:val="0"/>
          <w:divBdr>
            <w:top w:val="none" w:sz="0" w:space="0" w:color="auto"/>
            <w:left w:val="none" w:sz="0" w:space="0" w:color="auto"/>
            <w:bottom w:val="none" w:sz="0" w:space="0" w:color="auto"/>
            <w:right w:val="none" w:sz="0" w:space="0" w:color="auto"/>
          </w:divBdr>
          <w:divsChild>
            <w:div w:id="2135517954">
              <w:marLeft w:val="0"/>
              <w:marRight w:val="0"/>
              <w:marTop w:val="0"/>
              <w:marBottom w:val="300"/>
              <w:divBdr>
                <w:top w:val="none" w:sz="0" w:space="0" w:color="auto"/>
                <w:left w:val="none" w:sz="0" w:space="0" w:color="auto"/>
                <w:bottom w:val="single" w:sz="6" w:space="0" w:color="F1F1F1"/>
                <w:right w:val="none" w:sz="0" w:space="0" w:color="auto"/>
              </w:divBdr>
              <w:divsChild>
                <w:div w:id="9804228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57164565">
      <w:bodyDiv w:val="1"/>
      <w:marLeft w:val="0"/>
      <w:marRight w:val="0"/>
      <w:marTop w:val="0"/>
      <w:marBottom w:val="0"/>
      <w:divBdr>
        <w:top w:val="none" w:sz="0" w:space="0" w:color="auto"/>
        <w:left w:val="none" w:sz="0" w:space="0" w:color="auto"/>
        <w:bottom w:val="none" w:sz="0" w:space="0" w:color="auto"/>
        <w:right w:val="none" w:sz="0" w:space="0" w:color="auto"/>
      </w:divBdr>
    </w:div>
    <w:div w:id="1557543622">
      <w:bodyDiv w:val="1"/>
      <w:marLeft w:val="0"/>
      <w:marRight w:val="0"/>
      <w:marTop w:val="0"/>
      <w:marBottom w:val="0"/>
      <w:divBdr>
        <w:top w:val="none" w:sz="0" w:space="0" w:color="auto"/>
        <w:left w:val="none" w:sz="0" w:space="0" w:color="auto"/>
        <w:bottom w:val="none" w:sz="0" w:space="0" w:color="auto"/>
        <w:right w:val="none" w:sz="0" w:space="0" w:color="auto"/>
      </w:divBdr>
    </w:div>
    <w:div w:id="1557741722">
      <w:bodyDiv w:val="1"/>
      <w:marLeft w:val="0"/>
      <w:marRight w:val="0"/>
      <w:marTop w:val="0"/>
      <w:marBottom w:val="0"/>
      <w:divBdr>
        <w:top w:val="none" w:sz="0" w:space="0" w:color="auto"/>
        <w:left w:val="none" w:sz="0" w:space="0" w:color="auto"/>
        <w:bottom w:val="none" w:sz="0" w:space="0" w:color="auto"/>
        <w:right w:val="none" w:sz="0" w:space="0" w:color="auto"/>
      </w:divBdr>
      <w:divsChild>
        <w:div w:id="281301394">
          <w:marLeft w:val="0"/>
          <w:marRight w:val="0"/>
          <w:marTop w:val="0"/>
          <w:marBottom w:val="0"/>
          <w:divBdr>
            <w:top w:val="none" w:sz="0" w:space="0" w:color="auto"/>
            <w:left w:val="none" w:sz="0" w:space="0" w:color="auto"/>
            <w:bottom w:val="none" w:sz="0" w:space="0" w:color="auto"/>
            <w:right w:val="none" w:sz="0" w:space="0" w:color="auto"/>
          </w:divBdr>
        </w:div>
      </w:divsChild>
    </w:div>
    <w:div w:id="1559052026">
      <w:bodyDiv w:val="1"/>
      <w:marLeft w:val="0"/>
      <w:marRight w:val="0"/>
      <w:marTop w:val="0"/>
      <w:marBottom w:val="0"/>
      <w:divBdr>
        <w:top w:val="none" w:sz="0" w:space="0" w:color="auto"/>
        <w:left w:val="none" w:sz="0" w:space="0" w:color="auto"/>
        <w:bottom w:val="none" w:sz="0" w:space="0" w:color="auto"/>
        <w:right w:val="none" w:sz="0" w:space="0" w:color="auto"/>
      </w:divBdr>
    </w:div>
    <w:div w:id="1559317679">
      <w:bodyDiv w:val="1"/>
      <w:marLeft w:val="0"/>
      <w:marRight w:val="0"/>
      <w:marTop w:val="0"/>
      <w:marBottom w:val="0"/>
      <w:divBdr>
        <w:top w:val="none" w:sz="0" w:space="0" w:color="auto"/>
        <w:left w:val="none" w:sz="0" w:space="0" w:color="auto"/>
        <w:bottom w:val="none" w:sz="0" w:space="0" w:color="auto"/>
        <w:right w:val="none" w:sz="0" w:space="0" w:color="auto"/>
      </w:divBdr>
    </w:div>
    <w:div w:id="1559364195">
      <w:bodyDiv w:val="1"/>
      <w:marLeft w:val="0"/>
      <w:marRight w:val="0"/>
      <w:marTop w:val="0"/>
      <w:marBottom w:val="0"/>
      <w:divBdr>
        <w:top w:val="none" w:sz="0" w:space="0" w:color="auto"/>
        <w:left w:val="none" w:sz="0" w:space="0" w:color="auto"/>
        <w:bottom w:val="none" w:sz="0" w:space="0" w:color="auto"/>
        <w:right w:val="none" w:sz="0" w:space="0" w:color="auto"/>
      </w:divBdr>
      <w:divsChild>
        <w:div w:id="870847782">
          <w:marLeft w:val="0"/>
          <w:marRight w:val="0"/>
          <w:marTop w:val="0"/>
          <w:marBottom w:val="0"/>
          <w:divBdr>
            <w:top w:val="none" w:sz="0" w:space="0" w:color="auto"/>
            <w:left w:val="none" w:sz="0" w:space="0" w:color="auto"/>
            <w:bottom w:val="none" w:sz="0" w:space="0" w:color="auto"/>
            <w:right w:val="none" w:sz="0" w:space="0" w:color="auto"/>
          </w:divBdr>
          <w:divsChild>
            <w:div w:id="791168300">
              <w:marLeft w:val="0"/>
              <w:marRight w:val="0"/>
              <w:marTop w:val="0"/>
              <w:marBottom w:val="375"/>
              <w:divBdr>
                <w:top w:val="none" w:sz="0" w:space="0" w:color="auto"/>
                <w:left w:val="none" w:sz="0" w:space="0" w:color="auto"/>
                <w:bottom w:val="none" w:sz="0" w:space="0" w:color="auto"/>
                <w:right w:val="none" w:sz="0" w:space="0" w:color="auto"/>
              </w:divBdr>
            </w:div>
            <w:div w:id="824783737">
              <w:marLeft w:val="0"/>
              <w:marRight w:val="0"/>
              <w:marTop w:val="0"/>
              <w:marBottom w:val="225"/>
              <w:divBdr>
                <w:top w:val="none" w:sz="0" w:space="0" w:color="auto"/>
                <w:left w:val="none" w:sz="0" w:space="0" w:color="auto"/>
                <w:bottom w:val="none" w:sz="0" w:space="0" w:color="auto"/>
                <w:right w:val="none" w:sz="0" w:space="0" w:color="auto"/>
              </w:divBdr>
              <w:divsChild>
                <w:div w:id="309479127">
                  <w:marLeft w:val="0"/>
                  <w:marRight w:val="0"/>
                  <w:marTop w:val="0"/>
                  <w:marBottom w:val="150"/>
                  <w:divBdr>
                    <w:top w:val="none" w:sz="0" w:space="0" w:color="auto"/>
                    <w:left w:val="none" w:sz="0" w:space="0" w:color="auto"/>
                    <w:bottom w:val="none" w:sz="0" w:space="0" w:color="auto"/>
                    <w:right w:val="none" w:sz="0" w:space="0" w:color="auto"/>
                  </w:divBdr>
                </w:div>
                <w:div w:id="502353773">
                  <w:marLeft w:val="0"/>
                  <w:marRight w:val="0"/>
                  <w:marTop w:val="0"/>
                  <w:marBottom w:val="150"/>
                  <w:divBdr>
                    <w:top w:val="none" w:sz="0" w:space="0" w:color="auto"/>
                    <w:left w:val="none" w:sz="0" w:space="0" w:color="auto"/>
                    <w:bottom w:val="none" w:sz="0" w:space="0" w:color="auto"/>
                    <w:right w:val="none" w:sz="0" w:space="0" w:color="auto"/>
                  </w:divBdr>
                </w:div>
                <w:div w:id="642392453">
                  <w:marLeft w:val="0"/>
                  <w:marRight w:val="0"/>
                  <w:marTop w:val="0"/>
                  <w:marBottom w:val="150"/>
                  <w:divBdr>
                    <w:top w:val="none" w:sz="0" w:space="0" w:color="auto"/>
                    <w:left w:val="none" w:sz="0" w:space="0" w:color="auto"/>
                    <w:bottom w:val="none" w:sz="0" w:space="0" w:color="auto"/>
                    <w:right w:val="none" w:sz="0" w:space="0" w:color="auto"/>
                  </w:divBdr>
                </w:div>
                <w:div w:id="743843950">
                  <w:marLeft w:val="0"/>
                  <w:marRight w:val="0"/>
                  <w:marTop w:val="0"/>
                  <w:marBottom w:val="150"/>
                  <w:divBdr>
                    <w:top w:val="none" w:sz="0" w:space="0" w:color="auto"/>
                    <w:left w:val="none" w:sz="0" w:space="0" w:color="auto"/>
                    <w:bottom w:val="none" w:sz="0" w:space="0" w:color="auto"/>
                    <w:right w:val="none" w:sz="0" w:space="0" w:color="auto"/>
                  </w:divBdr>
                </w:div>
                <w:div w:id="763646555">
                  <w:marLeft w:val="0"/>
                  <w:marRight w:val="0"/>
                  <w:marTop w:val="0"/>
                  <w:marBottom w:val="150"/>
                  <w:divBdr>
                    <w:top w:val="none" w:sz="0" w:space="0" w:color="auto"/>
                    <w:left w:val="none" w:sz="0" w:space="0" w:color="auto"/>
                    <w:bottom w:val="none" w:sz="0" w:space="0" w:color="auto"/>
                    <w:right w:val="none" w:sz="0" w:space="0" w:color="auto"/>
                  </w:divBdr>
                </w:div>
                <w:div w:id="857431453">
                  <w:marLeft w:val="0"/>
                  <w:marRight w:val="0"/>
                  <w:marTop w:val="0"/>
                  <w:marBottom w:val="150"/>
                  <w:divBdr>
                    <w:top w:val="none" w:sz="0" w:space="0" w:color="auto"/>
                    <w:left w:val="none" w:sz="0" w:space="0" w:color="auto"/>
                    <w:bottom w:val="none" w:sz="0" w:space="0" w:color="auto"/>
                    <w:right w:val="none" w:sz="0" w:space="0" w:color="auto"/>
                  </w:divBdr>
                </w:div>
                <w:div w:id="1250118602">
                  <w:marLeft w:val="0"/>
                  <w:marRight w:val="0"/>
                  <w:marTop w:val="0"/>
                  <w:marBottom w:val="150"/>
                  <w:divBdr>
                    <w:top w:val="none" w:sz="0" w:space="0" w:color="auto"/>
                    <w:left w:val="none" w:sz="0" w:space="0" w:color="auto"/>
                    <w:bottom w:val="none" w:sz="0" w:space="0" w:color="auto"/>
                    <w:right w:val="none" w:sz="0" w:space="0" w:color="auto"/>
                  </w:divBdr>
                </w:div>
                <w:div w:id="2080515946">
                  <w:marLeft w:val="0"/>
                  <w:marRight w:val="0"/>
                  <w:marTop w:val="0"/>
                  <w:marBottom w:val="150"/>
                  <w:divBdr>
                    <w:top w:val="none" w:sz="0" w:space="0" w:color="auto"/>
                    <w:left w:val="none" w:sz="0" w:space="0" w:color="auto"/>
                    <w:bottom w:val="none" w:sz="0" w:space="0" w:color="auto"/>
                    <w:right w:val="none" w:sz="0" w:space="0" w:color="auto"/>
                  </w:divBdr>
                </w:div>
                <w:div w:id="20866876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09029899">
          <w:marLeft w:val="0"/>
          <w:marRight w:val="0"/>
          <w:marTop w:val="0"/>
          <w:marBottom w:val="150"/>
          <w:divBdr>
            <w:top w:val="none" w:sz="0" w:space="0" w:color="auto"/>
            <w:left w:val="none" w:sz="0" w:space="0" w:color="auto"/>
            <w:bottom w:val="none" w:sz="0" w:space="0" w:color="auto"/>
            <w:right w:val="none" w:sz="0" w:space="0" w:color="auto"/>
          </w:divBdr>
        </w:div>
        <w:div w:id="1221283867">
          <w:marLeft w:val="-9765"/>
          <w:marRight w:val="0"/>
          <w:marTop w:val="0"/>
          <w:marBottom w:val="0"/>
          <w:divBdr>
            <w:top w:val="none" w:sz="0" w:space="0" w:color="auto"/>
            <w:left w:val="none" w:sz="0" w:space="0" w:color="auto"/>
            <w:bottom w:val="none" w:sz="0" w:space="0" w:color="auto"/>
            <w:right w:val="none" w:sz="0" w:space="0" w:color="auto"/>
          </w:divBdr>
        </w:div>
      </w:divsChild>
    </w:div>
    <w:div w:id="1559432893">
      <w:bodyDiv w:val="1"/>
      <w:marLeft w:val="0"/>
      <w:marRight w:val="0"/>
      <w:marTop w:val="0"/>
      <w:marBottom w:val="0"/>
      <w:divBdr>
        <w:top w:val="none" w:sz="0" w:space="0" w:color="auto"/>
        <w:left w:val="none" w:sz="0" w:space="0" w:color="auto"/>
        <w:bottom w:val="none" w:sz="0" w:space="0" w:color="auto"/>
        <w:right w:val="none" w:sz="0" w:space="0" w:color="auto"/>
      </w:divBdr>
      <w:divsChild>
        <w:div w:id="458837714">
          <w:marLeft w:val="0"/>
          <w:marRight w:val="0"/>
          <w:marTop w:val="0"/>
          <w:marBottom w:val="0"/>
          <w:divBdr>
            <w:top w:val="none" w:sz="0" w:space="0" w:color="auto"/>
            <w:left w:val="none" w:sz="0" w:space="0" w:color="auto"/>
            <w:bottom w:val="none" w:sz="0" w:space="0" w:color="auto"/>
            <w:right w:val="none" w:sz="0" w:space="0" w:color="auto"/>
          </w:divBdr>
          <w:divsChild>
            <w:div w:id="19354755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59897152">
      <w:bodyDiv w:val="1"/>
      <w:marLeft w:val="0"/>
      <w:marRight w:val="0"/>
      <w:marTop w:val="0"/>
      <w:marBottom w:val="0"/>
      <w:divBdr>
        <w:top w:val="none" w:sz="0" w:space="0" w:color="auto"/>
        <w:left w:val="none" w:sz="0" w:space="0" w:color="auto"/>
        <w:bottom w:val="none" w:sz="0" w:space="0" w:color="auto"/>
        <w:right w:val="none" w:sz="0" w:space="0" w:color="auto"/>
      </w:divBdr>
      <w:divsChild>
        <w:div w:id="1247694175">
          <w:marLeft w:val="0"/>
          <w:marRight w:val="0"/>
          <w:marTop w:val="0"/>
          <w:marBottom w:val="150"/>
          <w:divBdr>
            <w:top w:val="none" w:sz="0" w:space="0" w:color="auto"/>
            <w:left w:val="none" w:sz="0" w:space="0" w:color="auto"/>
            <w:bottom w:val="none" w:sz="0" w:space="0" w:color="auto"/>
            <w:right w:val="none" w:sz="0" w:space="0" w:color="auto"/>
          </w:divBdr>
          <w:divsChild>
            <w:div w:id="1939865645">
              <w:marLeft w:val="0"/>
              <w:marRight w:val="0"/>
              <w:marTop w:val="0"/>
              <w:marBottom w:val="0"/>
              <w:divBdr>
                <w:top w:val="none" w:sz="0" w:space="0" w:color="auto"/>
                <w:left w:val="none" w:sz="0" w:space="0" w:color="auto"/>
                <w:bottom w:val="none" w:sz="0" w:space="0" w:color="auto"/>
                <w:right w:val="none" w:sz="0" w:space="0" w:color="auto"/>
              </w:divBdr>
              <w:divsChild>
                <w:div w:id="81934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432067">
          <w:marLeft w:val="0"/>
          <w:marRight w:val="0"/>
          <w:marTop w:val="0"/>
          <w:marBottom w:val="150"/>
          <w:divBdr>
            <w:top w:val="none" w:sz="0" w:space="0" w:color="auto"/>
            <w:left w:val="none" w:sz="0" w:space="0" w:color="auto"/>
            <w:bottom w:val="none" w:sz="0" w:space="0" w:color="auto"/>
            <w:right w:val="none" w:sz="0" w:space="0" w:color="auto"/>
          </w:divBdr>
        </w:div>
        <w:div w:id="225651180">
          <w:marLeft w:val="0"/>
          <w:marRight w:val="0"/>
          <w:marTop w:val="0"/>
          <w:marBottom w:val="0"/>
          <w:divBdr>
            <w:top w:val="none" w:sz="0" w:space="0" w:color="auto"/>
            <w:left w:val="none" w:sz="0" w:space="0" w:color="auto"/>
            <w:bottom w:val="none" w:sz="0" w:space="0" w:color="auto"/>
            <w:right w:val="none" w:sz="0" w:space="0" w:color="auto"/>
          </w:divBdr>
          <w:divsChild>
            <w:div w:id="17955211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59979098">
      <w:bodyDiv w:val="1"/>
      <w:marLeft w:val="0"/>
      <w:marRight w:val="0"/>
      <w:marTop w:val="0"/>
      <w:marBottom w:val="0"/>
      <w:divBdr>
        <w:top w:val="none" w:sz="0" w:space="0" w:color="auto"/>
        <w:left w:val="none" w:sz="0" w:space="0" w:color="auto"/>
        <w:bottom w:val="none" w:sz="0" w:space="0" w:color="auto"/>
        <w:right w:val="none" w:sz="0" w:space="0" w:color="auto"/>
      </w:divBdr>
    </w:div>
    <w:div w:id="1560097439">
      <w:bodyDiv w:val="1"/>
      <w:marLeft w:val="0"/>
      <w:marRight w:val="0"/>
      <w:marTop w:val="0"/>
      <w:marBottom w:val="0"/>
      <w:divBdr>
        <w:top w:val="none" w:sz="0" w:space="0" w:color="auto"/>
        <w:left w:val="none" w:sz="0" w:space="0" w:color="auto"/>
        <w:bottom w:val="none" w:sz="0" w:space="0" w:color="auto"/>
        <w:right w:val="none" w:sz="0" w:space="0" w:color="auto"/>
      </w:divBdr>
      <w:divsChild>
        <w:div w:id="1027482625">
          <w:marLeft w:val="0"/>
          <w:marRight w:val="0"/>
          <w:marTop w:val="0"/>
          <w:marBottom w:val="0"/>
          <w:divBdr>
            <w:top w:val="none" w:sz="0" w:space="0" w:color="auto"/>
            <w:left w:val="none" w:sz="0" w:space="0" w:color="auto"/>
            <w:bottom w:val="none" w:sz="0" w:space="0" w:color="auto"/>
            <w:right w:val="none" w:sz="0" w:space="0" w:color="auto"/>
          </w:divBdr>
        </w:div>
      </w:divsChild>
    </w:div>
    <w:div w:id="1560172058">
      <w:bodyDiv w:val="1"/>
      <w:marLeft w:val="0"/>
      <w:marRight w:val="0"/>
      <w:marTop w:val="0"/>
      <w:marBottom w:val="0"/>
      <w:divBdr>
        <w:top w:val="none" w:sz="0" w:space="0" w:color="auto"/>
        <w:left w:val="none" w:sz="0" w:space="0" w:color="auto"/>
        <w:bottom w:val="none" w:sz="0" w:space="0" w:color="auto"/>
        <w:right w:val="none" w:sz="0" w:space="0" w:color="auto"/>
      </w:divBdr>
      <w:divsChild>
        <w:div w:id="1405371233">
          <w:marLeft w:val="0"/>
          <w:marRight w:val="0"/>
          <w:marTop w:val="0"/>
          <w:marBottom w:val="450"/>
          <w:divBdr>
            <w:top w:val="none" w:sz="0" w:space="0" w:color="auto"/>
            <w:left w:val="none" w:sz="0" w:space="0" w:color="auto"/>
            <w:bottom w:val="single" w:sz="6" w:space="19" w:color="EEEEEE"/>
            <w:right w:val="none" w:sz="0" w:space="0" w:color="auto"/>
          </w:divBdr>
          <w:divsChild>
            <w:div w:id="328141499">
              <w:marLeft w:val="0"/>
              <w:marRight w:val="0"/>
              <w:marTop w:val="0"/>
              <w:marBottom w:val="150"/>
              <w:divBdr>
                <w:top w:val="none" w:sz="0" w:space="0" w:color="auto"/>
                <w:left w:val="none" w:sz="0" w:space="0" w:color="auto"/>
                <w:bottom w:val="none" w:sz="0" w:space="0" w:color="auto"/>
                <w:right w:val="none" w:sz="0" w:space="0" w:color="auto"/>
              </w:divBdr>
              <w:divsChild>
                <w:div w:id="851720683">
                  <w:marLeft w:val="0"/>
                  <w:marRight w:val="0"/>
                  <w:marTop w:val="0"/>
                  <w:marBottom w:val="0"/>
                  <w:divBdr>
                    <w:top w:val="none" w:sz="0" w:space="0" w:color="auto"/>
                    <w:left w:val="none" w:sz="0" w:space="0" w:color="auto"/>
                    <w:bottom w:val="none" w:sz="0" w:space="0" w:color="auto"/>
                    <w:right w:val="none" w:sz="0" w:space="0" w:color="auto"/>
                  </w:divBdr>
                </w:div>
              </w:divsChild>
            </w:div>
            <w:div w:id="716970828">
              <w:marLeft w:val="0"/>
              <w:marRight w:val="0"/>
              <w:marTop w:val="0"/>
              <w:marBottom w:val="0"/>
              <w:divBdr>
                <w:top w:val="none" w:sz="0" w:space="0" w:color="auto"/>
                <w:left w:val="none" w:sz="0" w:space="0" w:color="auto"/>
                <w:bottom w:val="none" w:sz="0" w:space="0" w:color="auto"/>
                <w:right w:val="none" w:sz="0" w:space="0" w:color="auto"/>
              </w:divBdr>
            </w:div>
          </w:divsChild>
        </w:div>
        <w:div w:id="561989903">
          <w:marLeft w:val="0"/>
          <w:marRight w:val="0"/>
          <w:marTop w:val="0"/>
          <w:marBottom w:val="0"/>
          <w:divBdr>
            <w:top w:val="none" w:sz="0" w:space="0" w:color="auto"/>
            <w:left w:val="none" w:sz="0" w:space="0" w:color="auto"/>
            <w:bottom w:val="none" w:sz="0" w:space="0" w:color="auto"/>
            <w:right w:val="none" w:sz="0" w:space="0" w:color="auto"/>
          </w:divBdr>
          <w:divsChild>
            <w:div w:id="1612741248">
              <w:marLeft w:val="0"/>
              <w:marRight w:val="0"/>
              <w:marTop w:val="0"/>
              <w:marBottom w:val="0"/>
              <w:divBdr>
                <w:top w:val="none" w:sz="0" w:space="0" w:color="auto"/>
                <w:left w:val="none" w:sz="0" w:space="0" w:color="auto"/>
                <w:bottom w:val="none" w:sz="0" w:space="0" w:color="auto"/>
                <w:right w:val="none" w:sz="0" w:space="0" w:color="auto"/>
              </w:divBdr>
              <w:divsChild>
                <w:div w:id="149987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359460">
      <w:bodyDiv w:val="1"/>
      <w:marLeft w:val="0"/>
      <w:marRight w:val="0"/>
      <w:marTop w:val="0"/>
      <w:marBottom w:val="0"/>
      <w:divBdr>
        <w:top w:val="none" w:sz="0" w:space="0" w:color="auto"/>
        <w:left w:val="none" w:sz="0" w:space="0" w:color="auto"/>
        <w:bottom w:val="none" w:sz="0" w:space="0" w:color="auto"/>
        <w:right w:val="none" w:sz="0" w:space="0" w:color="auto"/>
      </w:divBdr>
      <w:divsChild>
        <w:div w:id="81949476">
          <w:marLeft w:val="0"/>
          <w:marRight w:val="0"/>
          <w:marTop w:val="0"/>
          <w:marBottom w:val="150"/>
          <w:divBdr>
            <w:top w:val="none" w:sz="0" w:space="0" w:color="auto"/>
            <w:left w:val="none" w:sz="0" w:space="0" w:color="auto"/>
            <w:bottom w:val="none" w:sz="0" w:space="0" w:color="auto"/>
            <w:right w:val="none" w:sz="0" w:space="0" w:color="auto"/>
          </w:divBdr>
        </w:div>
        <w:div w:id="1180506520">
          <w:marLeft w:val="0"/>
          <w:marRight w:val="0"/>
          <w:marTop w:val="0"/>
          <w:marBottom w:val="150"/>
          <w:divBdr>
            <w:top w:val="none" w:sz="0" w:space="0" w:color="auto"/>
            <w:left w:val="none" w:sz="0" w:space="0" w:color="auto"/>
            <w:bottom w:val="none" w:sz="0" w:space="0" w:color="auto"/>
            <w:right w:val="none" w:sz="0" w:space="0" w:color="auto"/>
          </w:divBdr>
        </w:div>
        <w:div w:id="1189828502">
          <w:marLeft w:val="0"/>
          <w:marRight w:val="0"/>
          <w:marTop w:val="0"/>
          <w:marBottom w:val="150"/>
          <w:divBdr>
            <w:top w:val="none" w:sz="0" w:space="0" w:color="auto"/>
            <w:left w:val="none" w:sz="0" w:space="0" w:color="auto"/>
            <w:bottom w:val="none" w:sz="0" w:space="0" w:color="auto"/>
            <w:right w:val="none" w:sz="0" w:space="0" w:color="auto"/>
          </w:divBdr>
        </w:div>
        <w:div w:id="1504971486">
          <w:marLeft w:val="0"/>
          <w:marRight w:val="0"/>
          <w:marTop w:val="0"/>
          <w:marBottom w:val="150"/>
          <w:divBdr>
            <w:top w:val="none" w:sz="0" w:space="0" w:color="auto"/>
            <w:left w:val="none" w:sz="0" w:space="0" w:color="auto"/>
            <w:bottom w:val="none" w:sz="0" w:space="0" w:color="auto"/>
            <w:right w:val="none" w:sz="0" w:space="0" w:color="auto"/>
          </w:divBdr>
        </w:div>
        <w:div w:id="1745713530">
          <w:marLeft w:val="0"/>
          <w:marRight w:val="0"/>
          <w:marTop w:val="0"/>
          <w:marBottom w:val="150"/>
          <w:divBdr>
            <w:top w:val="none" w:sz="0" w:space="0" w:color="auto"/>
            <w:left w:val="none" w:sz="0" w:space="0" w:color="auto"/>
            <w:bottom w:val="none" w:sz="0" w:space="0" w:color="auto"/>
            <w:right w:val="none" w:sz="0" w:space="0" w:color="auto"/>
          </w:divBdr>
        </w:div>
        <w:div w:id="1801144644">
          <w:marLeft w:val="0"/>
          <w:marRight w:val="0"/>
          <w:marTop w:val="0"/>
          <w:marBottom w:val="150"/>
          <w:divBdr>
            <w:top w:val="none" w:sz="0" w:space="0" w:color="auto"/>
            <w:left w:val="none" w:sz="0" w:space="0" w:color="auto"/>
            <w:bottom w:val="none" w:sz="0" w:space="0" w:color="auto"/>
            <w:right w:val="none" w:sz="0" w:space="0" w:color="auto"/>
          </w:divBdr>
        </w:div>
        <w:div w:id="1928536565">
          <w:marLeft w:val="0"/>
          <w:marRight w:val="0"/>
          <w:marTop w:val="0"/>
          <w:marBottom w:val="150"/>
          <w:divBdr>
            <w:top w:val="none" w:sz="0" w:space="0" w:color="auto"/>
            <w:left w:val="none" w:sz="0" w:space="0" w:color="auto"/>
            <w:bottom w:val="none" w:sz="0" w:space="0" w:color="auto"/>
            <w:right w:val="none" w:sz="0" w:space="0" w:color="auto"/>
          </w:divBdr>
        </w:div>
      </w:divsChild>
    </w:div>
    <w:div w:id="1560362154">
      <w:bodyDiv w:val="1"/>
      <w:marLeft w:val="0"/>
      <w:marRight w:val="0"/>
      <w:marTop w:val="0"/>
      <w:marBottom w:val="0"/>
      <w:divBdr>
        <w:top w:val="none" w:sz="0" w:space="0" w:color="auto"/>
        <w:left w:val="none" w:sz="0" w:space="0" w:color="auto"/>
        <w:bottom w:val="none" w:sz="0" w:space="0" w:color="auto"/>
        <w:right w:val="none" w:sz="0" w:space="0" w:color="auto"/>
      </w:divBdr>
      <w:divsChild>
        <w:div w:id="665934840">
          <w:marLeft w:val="0"/>
          <w:marRight w:val="0"/>
          <w:marTop w:val="0"/>
          <w:marBottom w:val="0"/>
          <w:divBdr>
            <w:top w:val="none" w:sz="0" w:space="0" w:color="auto"/>
            <w:left w:val="none" w:sz="0" w:space="0" w:color="auto"/>
            <w:bottom w:val="none" w:sz="0" w:space="0" w:color="auto"/>
            <w:right w:val="none" w:sz="0" w:space="0" w:color="auto"/>
          </w:divBdr>
        </w:div>
      </w:divsChild>
    </w:div>
    <w:div w:id="1560438343">
      <w:bodyDiv w:val="1"/>
      <w:marLeft w:val="0"/>
      <w:marRight w:val="0"/>
      <w:marTop w:val="0"/>
      <w:marBottom w:val="0"/>
      <w:divBdr>
        <w:top w:val="none" w:sz="0" w:space="0" w:color="auto"/>
        <w:left w:val="none" w:sz="0" w:space="0" w:color="auto"/>
        <w:bottom w:val="none" w:sz="0" w:space="0" w:color="auto"/>
        <w:right w:val="none" w:sz="0" w:space="0" w:color="auto"/>
      </w:divBdr>
      <w:divsChild>
        <w:div w:id="687604131">
          <w:marLeft w:val="0"/>
          <w:marRight w:val="0"/>
          <w:marTop w:val="0"/>
          <w:marBottom w:val="0"/>
          <w:divBdr>
            <w:top w:val="none" w:sz="0" w:space="0" w:color="auto"/>
            <w:left w:val="none" w:sz="0" w:space="0" w:color="auto"/>
            <w:bottom w:val="none" w:sz="0" w:space="0" w:color="auto"/>
            <w:right w:val="none" w:sz="0" w:space="0" w:color="auto"/>
          </w:divBdr>
          <w:divsChild>
            <w:div w:id="1001468395">
              <w:marLeft w:val="0"/>
              <w:marRight w:val="0"/>
              <w:marTop w:val="0"/>
              <w:marBottom w:val="0"/>
              <w:divBdr>
                <w:top w:val="none" w:sz="0" w:space="0" w:color="auto"/>
                <w:left w:val="none" w:sz="0" w:space="0" w:color="auto"/>
                <w:bottom w:val="none" w:sz="0" w:space="0" w:color="auto"/>
                <w:right w:val="none" w:sz="0" w:space="0" w:color="auto"/>
              </w:divBdr>
            </w:div>
            <w:div w:id="1719402695">
              <w:marLeft w:val="0"/>
              <w:marRight w:val="0"/>
              <w:marTop w:val="0"/>
              <w:marBottom w:val="150"/>
              <w:divBdr>
                <w:top w:val="none" w:sz="0" w:space="0" w:color="auto"/>
                <w:left w:val="none" w:sz="0" w:space="0" w:color="auto"/>
                <w:bottom w:val="none" w:sz="0" w:space="0" w:color="auto"/>
                <w:right w:val="none" w:sz="0" w:space="0" w:color="auto"/>
              </w:divBdr>
            </w:div>
          </w:divsChild>
        </w:div>
        <w:div w:id="1921787179">
          <w:marLeft w:val="0"/>
          <w:marRight w:val="0"/>
          <w:marTop w:val="0"/>
          <w:marBottom w:val="150"/>
          <w:divBdr>
            <w:top w:val="none" w:sz="0" w:space="0" w:color="auto"/>
            <w:left w:val="none" w:sz="0" w:space="0" w:color="auto"/>
            <w:bottom w:val="none" w:sz="0" w:space="0" w:color="auto"/>
            <w:right w:val="none" w:sz="0" w:space="0" w:color="auto"/>
          </w:divBdr>
          <w:divsChild>
            <w:div w:id="150085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479709">
      <w:bodyDiv w:val="1"/>
      <w:marLeft w:val="0"/>
      <w:marRight w:val="0"/>
      <w:marTop w:val="0"/>
      <w:marBottom w:val="0"/>
      <w:divBdr>
        <w:top w:val="none" w:sz="0" w:space="0" w:color="auto"/>
        <w:left w:val="none" w:sz="0" w:space="0" w:color="auto"/>
        <w:bottom w:val="none" w:sz="0" w:space="0" w:color="auto"/>
        <w:right w:val="none" w:sz="0" w:space="0" w:color="auto"/>
      </w:divBdr>
      <w:divsChild>
        <w:div w:id="1961758624">
          <w:marLeft w:val="0"/>
          <w:marRight w:val="0"/>
          <w:marTop w:val="0"/>
          <w:marBottom w:val="0"/>
          <w:divBdr>
            <w:top w:val="none" w:sz="0" w:space="0" w:color="auto"/>
            <w:left w:val="none" w:sz="0" w:space="0" w:color="auto"/>
            <w:bottom w:val="none" w:sz="0" w:space="0" w:color="auto"/>
            <w:right w:val="none" w:sz="0" w:space="0" w:color="auto"/>
          </w:divBdr>
        </w:div>
        <w:div w:id="2062093902">
          <w:marLeft w:val="0"/>
          <w:marRight w:val="0"/>
          <w:marTop w:val="0"/>
          <w:marBottom w:val="0"/>
          <w:divBdr>
            <w:top w:val="none" w:sz="0" w:space="0" w:color="auto"/>
            <w:left w:val="none" w:sz="0" w:space="0" w:color="auto"/>
            <w:bottom w:val="none" w:sz="0" w:space="0" w:color="auto"/>
            <w:right w:val="none" w:sz="0" w:space="0" w:color="auto"/>
          </w:divBdr>
        </w:div>
      </w:divsChild>
    </w:div>
    <w:div w:id="1560509147">
      <w:bodyDiv w:val="1"/>
      <w:marLeft w:val="0"/>
      <w:marRight w:val="0"/>
      <w:marTop w:val="0"/>
      <w:marBottom w:val="0"/>
      <w:divBdr>
        <w:top w:val="none" w:sz="0" w:space="0" w:color="auto"/>
        <w:left w:val="none" w:sz="0" w:space="0" w:color="auto"/>
        <w:bottom w:val="none" w:sz="0" w:space="0" w:color="auto"/>
        <w:right w:val="none" w:sz="0" w:space="0" w:color="auto"/>
      </w:divBdr>
      <w:divsChild>
        <w:div w:id="936450369">
          <w:marLeft w:val="0"/>
          <w:marRight w:val="0"/>
          <w:marTop w:val="0"/>
          <w:marBottom w:val="0"/>
          <w:divBdr>
            <w:top w:val="none" w:sz="0" w:space="0" w:color="auto"/>
            <w:left w:val="none" w:sz="0" w:space="0" w:color="auto"/>
            <w:bottom w:val="none" w:sz="0" w:space="0" w:color="auto"/>
            <w:right w:val="none" w:sz="0" w:space="0" w:color="auto"/>
          </w:divBdr>
          <w:divsChild>
            <w:div w:id="692264967">
              <w:marLeft w:val="0"/>
              <w:marRight w:val="0"/>
              <w:marTop w:val="0"/>
              <w:marBottom w:val="0"/>
              <w:divBdr>
                <w:top w:val="none" w:sz="0" w:space="0" w:color="auto"/>
                <w:left w:val="none" w:sz="0" w:space="0" w:color="auto"/>
                <w:bottom w:val="none" w:sz="0" w:space="0" w:color="auto"/>
                <w:right w:val="none" w:sz="0" w:space="0" w:color="auto"/>
              </w:divBdr>
              <w:divsChild>
                <w:div w:id="706023466">
                  <w:marLeft w:val="0"/>
                  <w:marRight w:val="0"/>
                  <w:marTop w:val="0"/>
                  <w:marBottom w:val="0"/>
                  <w:divBdr>
                    <w:top w:val="none" w:sz="0" w:space="0" w:color="auto"/>
                    <w:left w:val="none" w:sz="0" w:space="0" w:color="auto"/>
                    <w:bottom w:val="none" w:sz="0" w:space="0" w:color="auto"/>
                    <w:right w:val="none" w:sz="0" w:space="0" w:color="auto"/>
                  </w:divBdr>
                  <w:divsChild>
                    <w:div w:id="1593077569">
                      <w:marLeft w:val="0"/>
                      <w:marRight w:val="0"/>
                      <w:marTop w:val="0"/>
                      <w:marBottom w:val="0"/>
                      <w:divBdr>
                        <w:top w:val="none" w:sz="0" w:space="0" w:color="auto"/>
                        <w:left w:val="none" w:sz="0" w:space="0" w:color="auto"/>
                        <w:bottom w:val="none" w:sz="0" w:space="0" w:color="auto"/>
                        <w:right w:val="none" w:sz="0" w:space="0" w:color="auto"/>
                      </w:divBdr>
                      <w:divsChild>
                        <w:div w:id="290210419">
                          <w:marLeft w:val="0"/>
                          <w:marRight w:val="0"/>
                          <w:marTop w:val="0"/>
                          <w:marBottom w:val="0"/>
                          <w:divBdr>
                            <w:top w:val="none" w:sz="0" w:space="0" w:color="auto"/>
                            <w:left w:val="none" w:sz="0" w:space="0" w:color="auto"/>
                            <w:bottom w:val="none" w:sz="0" w:space="0" w:color="auto"/>
                            <w:right w:val="none" w:sz="0" w:space="0" w:color="auto"/>
                          </w:divBdr>
                          <w:divsChild>
                            <w:div w:id="1270816884">
                              <w:marLeft w:val="0"/>
                              <w:marRight w:val="0"/>
                              <w:marTop w:val="0"/>
                              <w:marBottom w:val="0"/>
                              <w:divBdr>
                                <w:top w:val="none" w:sz="0" w:space="0" w:color="auto"/>
                                <w:left w:val="none" w:sz="0" w:space="0" w:color="auto"/>
                                <w:bottom w:val="none" w:sz="0" w:space="0" w:color="auto"/>
                                <w:right w:val="none" w:sz="0" w:space="0" w:color="auto"/>
                              </w:divBdr>
                              <w:divsChild>
                                <w:div w:id="1763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0556459">
      <w:bodyDiv w:val="1"/>
      <w:marLeft w:val="0"/>
      <w:marRight w:val="0"/>
      <w:marTop w:val="0"/>
      <w:marBottom w:val="0"/>
      <w:divBdr>
        <w:top w:val="none" w:sz="0" w:space="0" w:color="auto"/>
        <w:left w:val="none" w:sz="0" w:space="0" w:color="auto"/>
        <w:bottom w:val="none" w:sz="0" w:space="0" w:color="auto"/>
        <w:right w:val="none" w:sz="0" w:space="0" w:color="auto"/>
      </w:divBdr>
      <w:divsChild>
        <w:div w:id="1940602997">
          <w:marLeft w:val="0"/>
          <w:marRight w:val="0"/>
          <w:marTop w:val="0"/>
          <w:marBottom w:val="150"/>
          <w:divBdr>
            <w:top w:val="none" w:sz="0" w:space="0" w:color="auto"/>
            <w:left w:val="none" w:sz="0" w:space="0" w:color="auto"/>
            <w:bottom w:val="none" w:sz="0" w:space="0" w:color="auto"/>
            <w:right w:val="none" w:sz="0" w:space="0" w:color="auto"/>
          </w:divBdr>
        </w:div>
      </w:divsChild>
    </w:div>
    <w:div w:id="1560633473">
      <w:bodyDiv w:val="1"/>
      <w:marLeft w:val="0"/>
      <w:marRight w:val="0"/>
      <w:marTop w:val="0"/>
      <w:marBottom w:val="0"/>
      <w:divBdr>
        <w:top w:val="none" w:sz="0" w:space="0" w:color="auto"/>
        <w:left w:val="none" w:sz="0" w:space="0" w:color="auto"/>
        <w:bottom w:val="none" w:sz="0" w:space="0" w:color="auto"/>
        <w:right w:val="none" w:sz="0" w:space="0" w:color="auto"/>
      </w:divBdr>
    </w:div>
    <w:div w:id="1560676987">
      <w:bodyDiv w:val="1"/>
      <w:marLeft w:val="0"/>
      <w:marRight w:val="0"/>
      <w:marTop w:val="0"/>
      <w:marBottom w:val="0"/>
      <w:divBdr>
        <w:top w:val="none" w:sz="0" w:space="0" w:color="auto"/>
        <w:left w:val="none" w:sz="0" w:space="0" w:color="auto"/>
        <w:bottom w:val="none" w:sz="0" w:space="0" w:color="auto"/>
        <w:right w:val="none" w:sz="0" w:space="0" w:color="auto"/>
      </w:divBdr>
      <w:divsChild>
        <w:div w:id="314990955">
          <w:marLeft w:val="0"/>
          <w:marRight w:val="0"/>
          <w:marTop w:val="0"/>
          <w:marBottom w:val="0"/>
          <w:divBdr>
            <w:top w:val="none" w:sz="0" w:space="0" w:color="auto"/>
            <w:left w:val="none" w:sz="0" w:space="0" w:color="auto"/>
            <w:bottom w:val="dotted" w:sz="6" w:space="4" w:color="DDDDDD"/>
            <w:right w:val="none" w:sz="0" w:space="0" w:color="auto"/>
          </w:divBdr>
        </w:div>
      </w:divsChild>
    </w:div>
    <w:div w:id="1560939446">
      <w:bodyDiv w:val="1"/>
      <w:marLeft w:val="0"/>
      <w:marRight w:val="0"/>
      <w:marTop w:val="0"/>
      <w:marBottom w:val="0"/>
      <w:divBdr>
        <w:top w:val="none" w:sz="0" w:space="0" w:color="auto"/>
        <w:left w:val="none" w:sz="0" w:space="0" w:color="auto"/>
        <w:bottom w:val="none" w:sz="0" w:space="0" w:color="auto"/>
        <w:right w:val="none" w:sz="0" w:space="0" w:color="auto"/>
      </w:divBdr>
    </w:div>
    <w:div w:id="1560943078">
      <w:bodyDiv w:val="1"/>
      <w:marLeft w:val="0"/>
      <w:marRight w:val="0"/>
      <w:marTop w:val="0"/>
      <w:marBottom w:val="0"/>
      <w:divBdr>
        <w:top w:val="none" w:sz="0" w:space="0" w:color="auto"/>
        <w:left w:val="none" w:sz="0" w:space="0" w:color="auto"/>
        <w:bottom w:val="none" w:sz="0" w:space="0" w:color="auto"/>
        <w:right w:val="none" w:sz="0" w:space="0" w:color="auto"/>
      </w:divBdr>
    </w:div>
    <w:div w:id="1561089587">
      <w:bodyDiv w:val="1"/>
      <w:marLeft w:val="0"/>
      <w:marRight w:val="0"/>
      <w:marTop w:val="0"/>
      <w:marBottom w:val="0"/>
      <w:divBdr>
        <w:top w:val="none" w:sz="0" w:space="0" w:color="auto"/>
        <w:left w:val="none" w:sz="0" w:space="0" w:color="auto"/>
        <w:bottom w:val="none" w:sz="0" w:space="0" w:color="auto"/>
        <w:right w:val="none" w:sz="0" w:space="0" w:color="auto"/>
      </w:divBdr>
    </w:div>
    <w:div w:id="1561135777">
      <w:bodyDiv w:val="1"/>
      <w:marLeft w:val="0"/>
      <w:marRight w:val="0"/>
      <w:marTop w:val="0"/>
      <w:marBottom w:val="0"/>
      <w:divBdr>
        <w:top w:val="none" w:sz="0" w:space="0" w:color="auto"/>
        <w:left w:val="none" w:sz="0" w:space="0" w:color="auto"/>
        <w:bottom w:val="none" w:sz="0" w:space="0" w:color="auto"/>
        <w:right w:val="none" w:sz="0" w:space="0" w:color="auto"/>
      </w:divBdr>
      <w:divsChild>
        <w:div w:id="987444133">
          <w:marLeft w:val="0"/>
          <w:marRight w:val="0"/>
          <w:marTop w:val="0"/>
          <w:marBottom w:val="0"/>
          <w:divBdr>
            <w:top w:val="none" w:sz="0" w:space="0" w:color="auto"/>
            <w:left w:val="none" w:sz="0" w:space="0" w:color="auto"/>
            <w:bottom w:val="none" w:sz="0" w:space="0" w:color="auto"/>
            <w:right w:val="none" w:sz="0" w:space="0" w:color="auto"/>
          </w:divBdr>
          <w:divsChild>
            <w:div w:id="746654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61136086">
      <w:bodyDiv w:val="1"/>
      <w:marLeft w:val="0"/>
      <w:marRight w:val="0"/>
      <w:marTop w:val="0"/>
      <w:marBottom w:val="0"/>
      <w:divBdr>
        <w:top w:val="none" w:sz="0" w:space="0" w:color="auto"/>
        <w:left w:val="none" w:sz="0" w:space="0" w:color="auto"/>
        <w:bottom w:val="none" w:sz="0" w:space="0" w:color="auto"/>
        <w:right w:val="none" w:sz="0" w:space="0" w:color="auto"/>
      </w:divBdr>
    </w:div>
    <w:div w:id="1561406620">
      <w:bodyDiv w:val="1"/>
      <w:marLeft w:val="0"/>
      <w:marRight w:val="0"/>
      <w:marTop w:val="0"/>
      <w:marBottom w:val="0"/>
      <w:divBdr>
        <w:top w:val="none" w:sz="0" w:space="0" w:color="auto"/>
        <w:left w:val="none" w:sz="0" w:space="0" w:color="auto"/>
        <w:bottom w:val="none" w:sz="0" w:space="0" w:color="auto"/>
        <w:right w:val="none" w:sz="0" w:space="0" w:color="auto"/>
      </w:divBdr>
    </w:div>
    <w:div w:id="1561670145">
      <w:bodyDiv w:val="1"/>
      <w:marLeft w:val="0"/>
      <w:marRight w:val="0"/>
      <w:marTop w:val="0"/>
      <w:marBottom w:val="0"/>
      <w:divBdr>
        <w:top w:val="none" w:sz="0" w:space="0" w:color="auto"/>
        <w:left w:val="none" w:sz="0" w:space="0" w:color="auto"/>
        <w:bottom w:val="none" w:sz="0" w:space="0" w:color="auto"/>
        <w:right w:val="none" w:sz="0" w:space="0" w:color="auto"/>
      </w:divBdr>
      <w:divsChild>
        <w:div w:id="1155218699">
          <w:marLeft w:val="0"/>
          <w:marRight w:val="0"/>
          <w:marTop w:val="0"/>
          <w:marBottom w:val="0"/>
          <w:divBdr>
            <w:top w:val="none" w:sz="0" w:space="0" w:color="auto"/>
            <w:left w:val="none" w:sz="0" w:space="0" w:color="auto"/>
            <w:bottom w:val="none" w:sz="0" w:space="0" w:color="auto"/>
            <w:right w:val="none" w:sz="0" w:space="0" w:color="auto"/>
          </w:divBdr>
          <w:divsChild>
            <w:div w:id="887379092">
              <w:marLeft w:val="0"/>
              <w:marRight w:val="150"/>
              <w:marTop w:val="0"/>
              <w:marBottom w:val="0"/>
              <w:divBdr>
                <w:top w:val="none" w:sz="0" w:space="0" w:color="auto"/>
                <w:left w:val="none" w:sz="0" w:space="0" w:color="auto"/>
                <w:bottom w:val="none" w:sz="0" w:space="0" w:color="auto"/>
                <w:right w:val="none" w:sz="0" w:space="0" w:color="auto"/>
              </w:divBdr>
            </w:div>
            <w:div w:id="1298142751">
              <w:marLeft w:val="0"/>
              <w:marRight w:val="0"/>
              <w:marTop w:val="0"/>
              <w:marBottom w:val="0"/>
              <w:divBdr>
                <w:top w:val="none" w:sz="0" w:space="0" w:color="auto"/>
                <w:left w:val="none" w:sz="0" w:space="0" w:color="auto"/>
                <w:bottom w:val="none" w:sz="0" w:space="0" w:color="auto"/>
                <w:right w:val="none" w:sz="0" w:space="0" w:color="auto"/>
              </w:divBdr>
            </w:div>
          </w:divsChild>
        </w:div>
        <w:div w:id="1169826864">
          <w:marLeft w:val="0"/>
          <w:marRight w:val="0"/>
          <w:marTop w:val="0"/>
          <w:marBottom w:val="0"/>
          <w:divBdr>
            <w:top w:val="none" w:sz="0" w:space="0" w:color="auto"/>
            <w:left w:val="none" w:sz="0" w:space="0" w:color="auto"/>
            <w:bottom w:val="none" w:sz="0" w:space="0" w:color="auto"/>
            <w:right w:val="none" w:sz="0" w:space="0" w:color="auto"/>
          </w:divBdr>
        </w:div>
      </w:divsChild>
    </w:div>
    <w:div w:id="1561673385">
      <w:bodyDiv w:val="1"/>
      <w:marLeft w:val="0"/>
      <w:marRight w:val="0"/>
      <w:marTop w:val="0"/>
      <w:marBottom w:val="0"/>
      <w:divBdr>
        <w:top w:val="none" w:sz="0" w:space="0" w:color="auto"/>
        <w:left w:val="none" w:sz="0" w:space="0" w:color="auto"/>
        <w:bottom w:val="none" w:sz="0" w:space="0" w:color="auto"/>
        <w:right w:val="none" w:sz="0" w:space="0" w:color="auto"/>
      </w:divBdr>
    </w:div>
    <w:div w:id="1562592326">
      <w:bodyDiv w:val="1"/>
      <w:marLeft w:val="0"/>
      <w:marRight w:val="0"/>
      <w:marTop w:val="0"/>
      <w:marBottom w:val="0"/>
      <w:divBdr>
        <w:top w:val="none" w:sz="0" w:space="0" w:color="auto"/>
        <w:left w:val="none" w:sz="0" w:space="0" w:color="auto"/>
        <w:bottom w:val="none" w:sz="0" w:space="0" w:color="auto"/>
        <w:right w:val="none" w:sz="0" w:space="0" w:color="auto"/>
      </w:divBdr>
      <w:divsChild>
        <w:div w:id="740442733">
          <w:marLeft w:val="0"/>
          <w:marRight w:val="0"/>
          <w:marTop w:val="0"/>
          <w:marBottom w:val="150"/>
          <w:divBdr>
            <w:top w:val="none" w:sz="0" w:space="0" w:color="auto"/>
            <w:left w:val="none" w:sz="0" w:space="0" w:color="auto"/>
            <w:bottom w:val="none" w:sz="0" w:space="0" w:color="auto"/>
            <w:right w:val="none" w:sz="0" w:space="0" w:color="auto"/>
          </w:divBdr>
        </w:div>
      </w:divsChild>
    </w:div>
    <w:div w:id="1563370358">
      <w:bodyDiv w:val="1"/>
      <w:marLeft w:val="0"/>
      <w:marRight w:val="0"/>
      <w:marTop w:val="0"/>
      <w:marBottom w:val="0"/>
      <w:divBdr>
        <w:top w:val="none" w:sz="0" w:space="0" w:color="auto"/>
        <w:left w:val="none" w:sz="0" w:space="0" w:color="auto"/>
        <w:bottom w:val="none" w:sz="0" w:space="0" w:color="auto"/>
        <w:right w:val="none" w:sz="0" w:space="0" w:color="auto"/>
      </w:divBdr>
      <w:divsChild>
        <w:div w:id="190802787">
          <w:marLeft w:val="0"/>
          <w:marRight w:val="150"/>
          <w:marTop w:val="0"/>
          <w:marBottom w:val="0"/>
          <w:divBdr>
            <w:top w:val="none" w:sz="0" w:space="0" w:color="auto"/>
            <w:left w:val="none" w:sz="0" w:space="0" w:color="auto"/>
            <w:bottom w:val="none" w:sz="0" w:space="0" w:color="auto"/>
            <w:right w:val="none" w:sz="0" w:space="0" w:color="auto"/>
          </w:divBdr>
          <w:divsChild>
            <w:div w:id="923294256">
              <w:marLeft w:val="0"/>
              <w:marRight w:val="0"/>
              <w:marTop w:val="0"/>
              <w:marBottom w:val="0"/>
              <w:divBdr>
                <w:top w:val="none" w:sz="0" w:space="0" w:color="auto"/>
                <w:left w:val="none" w:sz="0" w:space="0" w:color="auto"/>
                <w:bottom w:val="none" w:sz="0" w:space="0" w:color="auto"/>
                <w:right w:val="none" w:sz="0" w:space="0" w:color="auto"/>
              </w:divBdr>
              <w:divsChild>
                <w:div w:id="96365712">
                  <w:marLeft w:val="0"/>
                  <w:marRight w:val="0"/>
                  <w:marTop w:val="0"/>
                  <w:marBottom w:val="0"/>
                  <w:divBdr>
                    <w:top w:val="none" w:sz="0" w:space="8" w:color="auto"/>
                    <w:left w:val="none" w:sz="0" w:space="2" w:color="auto"/>
                    <w:bottom w:val="single" w:sz="6" w:space="8" w:color="DDDDDD"/>
                    <w:right w:val="none" w:sz="0" w:space="0" w:color="auto"/>
                  </w:divBdr>
                </w:div>
                <w:div w:id="548807484">
                  <w:marLeft w:val="0"/>
                  <w:marRight w:val="0"/>
                  <w:marTop w:val="150"/>
                  <w:marBottom w:val="0"/>
                  <w:divBdr>
                    <w:top w:val="none" w:sz="0" w:space="0" w:color="auto"/>
                    <w:left w:val="none" w:sz="0" w:space="0" w:color="auto"/>
                    <w:bottom w:val="none" w:sz="0" w:space="0" w:color="auto"/>
                    <w:right w:val="none" w:sz="0" w:space="0" w:color="auto"/>
                  </w:divBdr>
                  <w:divsChild>
                    <w:div w:id="289484153">
                      <w:marLeft w:val="0"/>
                      <w:marRight w:val="150"/>
                      <w:marTop w:val="0"/>
                      <w:marBottom w:val="0"/>
                      <w:divBdr>
                        <w:top w:val="none" w:sz="0" w:space="0" w:color="auto"/>
                        <w:left w:val="none" w:sz="0" w:space="0" w:color="auto"/>
                        <w:bottom w:val="none" w:sz="0" w:space="0" w:color="auto"/>
                        <w:right w:val="none" w:sz="0" w:space="0" w:color="auto"/>
                      </w:divBdr>
                      <w:divsChild>
                        <w:div w:id="1332491024">
                          <w:marLeft w:val="0"/>
                          <w:marRight w:val="0"/>
                          <w:marTop w:val="0"/>
                          <w:marBottom w:val="0"/>
                          <w:divBdr>
                            <w:top w:val="none" w:sz="0" w:space="0" w:color="auto"/>
                            <w:left w:val="none" w:sz="0" w:space="0" w:color="auto"/>
                            <w:bottom w:val="none" w:sz="0" w:space="0" w:color="auto"/>
                            <w:right w:val="none" w:sz="0" w:space="0" w:color="auto"/>
                          </w:divBdr>
                        </w:div>
                        <w:div w:id="16571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509530">
          <w:marLeft w:val="0"/>
          <w:marRight w:val="0"/>
          <w:marTop w:val="0"/>
          <w:marBottom w:val="0"/>
          <w:divBdr>
            <w:top w:val="none" w:sz="0" w:space="0" w:color="auto"/>
            <w:left w:val="none" w:sz="0" w:space="0" w:color="auto"/>
            <w:bottom w:val="single" w:sz="12" w:space="0" w:color="C4C4C4"/>
            <w:right w:val="none" w:sz="0" w:space="0" w:color="auto"/>
          </w:divBdr>
          <w:divsChild>
            <w:div w:id="832373638">
              <w:marLeft w:val="0"/>
              <w:marRight w:val="0"/>
              <w:marTop w:val="0"/>
              <w:marBottom w:val="0"/>
              <w:divBdr>
                <w:top w:val="none" w:sz="0" w:space="0" w:color="auto"/>
                <w:left w:val="none" w:sz="0" w:space="0" w:color="auto"/>
                <w:bottom w:val="none" w:sz="0" w:space="0" w:color="auto"/>
                <w:right w:val="none" w:sz="0" w:space="0" w:color="auto"/>
              </w:divBdr>
              <w:divsChild>
                <w:div w:id="82621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951548">
      <w:bodyDiv w:val="1"/>
      <w:marLeft w:val="0"/>
      <w:marRight w:val="0"/>
      <w:marTop w:val="0"/>
      <w:marBottom w:val="0"/>
      <w:divBdr>
        <w:top w:val="none" w:sz="0" w:space="0" w:color="auto"/>
        <w:left w:val="none" w:sz="0" w:space="0" w:color="auto"/>
        <w:bottom w:val="none" w:sz="0" w:space="0" w:color="auto"/>
        <w:right w:val="none" w:sz="0" w:space="0" w:color="auto"/>
      </w:divBdr>
    </w:div>
    <w:div w:id="1564370080">
      <w:bodyDiv w:val="1"/>
      <w:marLeft w:val="0"/>
      <w:marRight w:val="0"/>
      <w:marTop w:val="0"/>
      <w:marBottom w:val="0"/>
      <w:divBdr>
        <w:top w:val="none" w:sz="0" w:space="0" w:color="auto"/>
        <w:left w:val="none" w:sz="0" w:space="0" w:color="auto"/>
        <w:bottom w:val="none" w:sz="0" w:space="0" w:color="auto"/>
        <w:right w:val="none" w:sz="0" w:space="0" w:color="auto"/>
      </w:divBdr>
    </w:div>
    <w:div w:id="1564413108">
      <w:bodyDiv w:val="1"/>
      <w:marLeft w:val="0"/>
      <w:marRight w:val="0"/>
      <w:marTop w:val="0"/>
      <w:marBottom w:val="0"/>
      <w:divBdr>
        <w:top w:val="none" w:sz="0" w:space="0" w:color="auto"/>
        <w:left w:val="none" w:sz="0" w:space="0" w:color="auto"/>
        <w:bottom w:val="none" w:sz="0" w:space="0" w:color="auto"/>
        <w:right w:val="none" w:sz="0" w:space="0" w:color="auto"/>
      </w:divBdr>
      <w:divsChild>
        <w:div w:id="528880333">
          <w:marLeft w:val="0"/>
          <w:marRight w:val="0"/>
          <w:marTop w:val="0"/>
          <w:marBottom w:val="150"/>
          <w:divBdr>
            <w:top w:val="none" w:sz="0" w:space="0" w:color="auto"/>
            <w:left w:val="none" w:sz="0" w:space="0" w:color="auto"/>
            <w:bottom w:val="none" w:sz="0" w:space="0" w:color="auto"/>
            <w:right w:val="none" w:sz="0" w:space="0" w:color="auto"/>
          </w:divBdr>
        </w:div>
      </w:divsChild>
    </w:div>
    <w:div w:id="1564440249">
      <w:bodyDiv w:val="1"/>
      <w:marLeft w:val="0"/>
      <w:marRight w:val="0"/>
      <w:marTop w:val="0"/>
      <w:marBottom w:val="0"/>
      <w:divBdr>
        <w:top w:val="none" w:sz="0" w:space="0" w:color="auto"/>
        <w:left w:val="none" w:sz="0" w:space="0" w:color="auto"/>
        <w:bottom w:val="none" w:sz="0" w:space="0" w:color="auto"/>
        <w:right w:val="none" w:sz="0" w:space="0" w:color="auto"/>
      </w:divBdr>
      <w:divsChild>
        <w:div w:id="580454385">
          <w:marLeft w:val="0"/>
          <w:marRight w:val="0"/>
          <w:marTop w:val="0"/>
          <w:marBottom w:val="0"/>
          <w:divBdr>
            <w:top w:val="none" w:sz="0" w:space="0" w:color="auto"/>
            <w:left w:val="none" w:sz="0" w:space="0" w:color="auto"/>
            <w:bottom w:val="none" w:sz="0" w:space="0" w:color="auto"/>
            <w:right w:val="none" w:sz="0" w:space="0" w:color="auto"/>
          </w:divBdr>
          <w:divsChild>
            <w:div w:id="464349799">
              <w:marLeft w:val="0"/>
              <w:marRight w:val="0"/>
              <w:marTop w:val="0"/>
              <w:marBottom w:val="0"/>
              <w:divBdr>
                <w:top w:val="none" w:sz="0" w:space="0" w:color="auto"/>
                <w:left w:val="none" w:sz="0" w:space="0" w:color="auto"/>
                <w:bottom w:val="none" w:sz="0" w:space="0" w:color="auto"/>
                <w:right w:val="none" w:sz="0" w:space="0" w:color="auto"/>
              </w:divBdr>
              <w:divsChild>
                <w:div w:id="44381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659947">
          <w:marLeft w:val="0"/>
          <w:marRight w:val="0"/>
          <w:marTop w:val="0"/>
          <w:marBottom w:val="75"/>
          <w:divBdr>
            <w:top w:val="none" w:sz="0" w:space="0" w:color="auto"/>
            <w:left w:val="none" w:sz="0" w:space="0" w:color="auto"/>
            <w:bottom w:val="none" w:sz="0" w:space="0" w:color="auto"/>
            <w:right w:val="none" w:sz="0" w:space="0" w:color="auto"/>
          </w:divBdr>
        </w:div>
        <w:div w:id="1296983059">
          <w:marLeft w:val="0"/>
          <w:marRight w:val="0"/>
          <w:marTop w:val="0"/>
          <w:marBottom w:val="0"/>
          <w:divBdr>
            <w:top w:val="none" w:sz="0" w:space="0" w:color="auto"/>
            <w:left w:val="none" w:sz="0" w:space="0" w:color="auto"/>
            <w:bottom w:val="none" w:sz="0" w:space="0" w:color="auto"/>
            <w:right w:val="none" w:sz="0" w:space="0" w:color="auto"/>
          </w:divBdr>
        </w:div>
      </w:divsChild>
    </w:div>
    <w:div w:id="1564483917">
      <w:bodyDiv w:val="1"/>
      <w:marLeft w:val="0"/>
      <w:marRight w:val="0"/>
      <w:marTop w:val="0"/>
      <w:marBottom w:val="0"/>
      <w:divBdr>
        <w:top w:val="none" w:sz="0" w:space="0" w:color="auto"/>
        <w:left w:val="none" w:sz="0" w:space="0" w:color="auto"/>
        <w:bottom w:val="none" w:sz="0" w:space="0" w:color="auto"/>
        <w:right w:val="none" w:sz="0" w:space="0" w:color="auto"/>
      </w:divBdr>
    </w:div>
    <w:div w:id="1564681084">
      <w:bodyDiv w:val="1"/>
      <w:marLeft w:val="0"/>
      <w:marRight w:val="0"/>
      <w:marTop w:val="0"/>
      <w:marBottom w:val="0"/>
      <w:divBdr>
        <w:top w:val="none" w:sz="0" w:space="0" w:color="auto"/>
        <w:left w:val="none" w:sz="0" w:space="0" w:color="auto"/>
        <w:bottom w:val="none" w:sz="0" w:space="0" w:color="auto"/>
        <w:right w:val="none" w:sz="0" w:space="0" w:color="auto"/>
      </w:divBdr>
    </w:div>
    <w:div w:id="1564949098">
      <w:bodyDiv w:val="1"/>
      <w:marLeft w:val="0"/>
      <w:marRight w:val="0"/>
      <w:marTop w:val="0"/>
      <w:marBottom w:val="0"/>
      <w:divBdr>
        <w:top w:val="none" w:sz="0" w:space="0" w:color="auto"/>
        <w:left w:val="none" w:sz="0" w:space="0" w:color="auto"/>
        <w:bottom w:val="none" w:sz="0" w:space="0" w:color="auto"/>
        <w:right w:val="none" w:sz="0" w:space="0" w:color="auto"/>
      </w:divBdr>
      <w:divsChild>
        <w:div w:id="854542060">
          <w:marLeft w:val="0"/>
          <w:marRight w:val="0"/>
          <w:marTop w:val="0"/>
          <w:marBottom w:val="0"/>
          <w:divBdr>
            <w:top w:val="none" w:sz="0" w:space="0" w:color="auto"/>
            <w:left w:val="none" w:sz="0" w:space="0" w:color="auto"/>
            <w:bottom w:val="dotted" w:sz="6" w:space="4" w:color="DDDDDD"/>
            <w:right w:val="none" w:sz="0" w:space="0" w:color="auto"/>
          </w:divBdr>
          <w:divsChild>
            <w:div w:id="154803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021783">
      <w:bodyDiv w:val="1"/>
      <w:marLeft w:val="0"/>
      <w:marRight w:val="0"/>
      <w:marTop w:val="0"/>
      <w:marBottom w:val="0"/>
      <w:divBdr>
        <w:top w:val="none" w:sz="0" w:space="0" w:color="auto"/>
        <w:left w:val="none" w:sz="0" w:space="0" w:color="auto"/>
        <w:bottom w:val="none" w:sz="0" w:space="0" w:color="auto"/>
        <w:right w:val="none" w:sz="0" w:space="0" w:color="auto"/>
      </w:divBdr>
      <w:divsChild>
        <w:div w:id="1319650518">
          <w:marLeft w:val="0"/>
          <w:marRight w:val="0"/>
          <w:marTop w:val="0"/>
          <w:marBottom w:val="0"/>
          <w:divBdr>
            <w:top w:val="none" w:sz="0" w:space="0" w:color="auto"/>
            <w:left w:val="none" w:sz="0" w:space="0" w:color="auto"/>
            <w:bottom w:val="none" w:sz="0" w:space="0" w:color="auto"/>
            <w:right w:val="none" w:sz="0" w:space="0" w:color="auto"/>
          </w:divBdr>
          <w:divsChild>
            <w:div w:id="813566361">
              <w:marLeft w:val="0"/>
              <w:marRight w:val="0"/>
              <w:marTop w:val="0"/>
              <w:marBottom w:val="0"/>
              <w:divBdr>
                <w:top w:val="none" w:sz="0" w:space="0" w:color="auto"/>
                <w:left w:val="none" w:sz="0" w:space="0" w:color="auto"/>
                <w:bottom w:val="none" w:sz="0" w:space="0" w:color="auto"/>
                <w:right w:val="none" w:sz="0" w:space="0" w:color="auto"/>
              </w:divBdr>
            </w:div>
            <w:div w:id="20791319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65333388">
      <w:bodyDiv w:val="1"/>
      <w:marLeft w:val="0"/>
      <w:marRight w:val="0"/>
      <w:marTop w:val="0"/>
      <w:marBottom w:val="0"/>
      <w:divBdr>
        <w:top w:val="none" w:sz="0" w:space="0" w:color="auto"/>
        <w:left w:val="none" w:sz="0" w:space="0" w:color="auto"/>
        <w:bottom w:val="none" w:sz="0" w:space="0" w:color="auto"/>
        <w:right w:val="none" w:sz="0" w:space="0" w:color="auto"/>
      </w:divBdr>
      <w:divsChild>
        <w:div w:id="1610510450">
          <w:marLeft w:val="0"/>
          <w:marRight w:val="0"/>
          <w:marTop w:val="0"/>
          <w:marBottom w:val="0"/>
          <w:divBdr>
            <w:top w:val="none" w:sz="0" w:space="0" w:color="auto"/>
            <w:left w:val="none" w:sz="0" w:space="0" w:color="auto"/>
            <w:bottom w:val="dotted" w:sz="6" w:space="4" w:color="DDDDDD"/>
            <w:right w:val="none" w:sz="0" w:space="0" w:color="auto"/>
          </w:divBdr>
          <w:divsChild>
            <w:div w:id="152046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600431">
      <w:bodyDiv w:val="1"/>
      <w:marLeft w:val="0"/>
      <w:marRight w:val="0"/>
      <w:marTop w:val="0"/>
      <w:marBottom w:val="0"/>
      <w:divBdr>
        <w:top w:val="none" w:sz="0" w:space="0" w:color="auto"/>
        <w:left w:val="none" w:sz="0" w:space="0" w:color="auto"/>
        <w:bottom w:val="none" w:sz="0" w:space="0" w:color="auto"/>
        <w:right w:val="none" w:sz="0" w:space="0" w:color="auto"/>
      </w:divBdr>
      <w:divsChild>
        <w:div w:id="1323002479">
          <w:marLeft w:val="0"/>
          <w:marRight w:val="0"/>
          <w:marTop w:val="0"/>
          <w:marBottom w:val="0"/>
          <w:divBdr>
            <w:top w:val="none" w:sz="0" w:space="0" w:color="auto"/>
            <w:left w:val="none" w:sz="0" w:space="0" w:color="auto"/>
            <w:bottom w:val="dotted" w:sz="6" w:space="4" w:color="DDDDDD"/>
            <w:right w:val="none" w:sz="0" w:space="0" w:color="auto"/>
          </w:divBdr>
          <w:divsChild>
            <w:div w:id="47129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840649">
      <w:bodyDiv w:val="1"/>
      <w:marLeft w:val="0"/>
      <w:marRight w:val="0"/>
      <w:marTop w:val="0"/>
      <w:marBottom w:val="0"/>
      <w:divBdr>
        <w:top w:val="none" w:sz="0" w:space="0" w:color="auto"/>
        <w:left w:val="none" w:sz="0" w:space="0" w:color="auto"/>
        <w:bottom w:val="none" w:sz="0" w:space="0" w:color="auto"/>
        <w:right w:val="none" w:sz="0" w:space="0" w:color="auto"/>
      </w:divBdr>
      <w:divsChild>
        <w:div w:id="1730766424">
          <w:marLeft w:val="0"/>
          <w:marRight w:val="0"/>
          <w:marTop w:val="0"/>
          <w:marBottom w:val="0"/>
          <w:divBdr>
            <w:top w:val="none" w:sz="0" w:space="0" w:color="auto"/>
            <w:left w:val="none" w:sz="0" w:space="0" w:color="auto"/>
            <w:bottom w:val="none" w:sz="0" w:space="0" w:color="auto"/>
            <w:right w:val="none" w:sz="0" w:space="0" w:color="auto"/>
          </w:divBdr>
          <w:divsChild>
            <w:div w:id="1741293478">
              <w:marLeft w:val="0"/>
              <w:marRight w:val="0"/>
              <w:marTop w:val="0"/>
              <w:marBottom w:val="0"/>
              <w:divBdr>
                <w:top w:val="none" w:sz="0" w:space="0" w:color="auto"/>
                <w:left w:val="none" w:sz="0" w:space="0" w:color="auto"/>
                <w:bottom w:val="none" w:sz="0" w:space="0" w:color="auto"/>
                <w:right w:val="none" w:sz="0" w:space="0" w:color="auto"/>
              </w:divBdr>
              <w:divsChild>
                <w:div w:id="361248167">
                  <w:marLeft w:val="0"/>
                  <w:marRight w:val="0"/>
                  <w:marTop w:val="0"/>
                  <w:marBottom w:val="0"/>
                  <w:divBdr>
                    <w:top w:val="none" w:sz="0" w:space="0" w:color="auto"/>
                    <w:left w:val="none" w:sz="0" w:space="0" w:color="auto"/>
                    <w:bottom w:val="none" w:sz="0" w:space="0" w:color="auto"/>
                    <w:right w:val="none" w:sz="0" w:space="0" w:color="auto"/>
                  </w:divBdr>
                  <w:divsChild>
                    <w:div w:id="906652587">
                      <w:marLeft w:val="0"/>
                      <w:marRight w:val="0"/>
                      <w:marTop w:val="0"/>
                      <w:marBottom w:val="0"/>
                      <w:divBdr>
                        <w:top w:val="none" w:sz="0" w:space="0" w:color="auto"/>
                        <w:left w:val="none" w:sz="0" w:space="0" w:color="auto"/>
                        <w:bottom w:val="none" w:sz="0" w:space="0" w:color="auto"/>
                        <w:right w:val="none" w:sz="0" w:space="0" w:color="auto"/>
                      </w:divBdr>
                      <w:divsChild>
                        <w:div w:id="213152931">
                          <w:marLeft w:val="0"/>
                          <w:marRight w:val="0"/>
                          <w:marTop w:val="0"/>
                          <w:marBottom w:val="0"/>
                          <w:divBdr>
                            <w:top w:val="none" w:sz="0" w:space="0" w:color="auto"/>
                            <w:left w:val="none" w:sz="0" w:space="0" w:color="auto"/>
                            <w:bottom w:val="none" w:sz="0" w:space="0" w:color="auto"/>
                            <w:right w:val="none" w:sz="0" w:space="0" w:color="auto"/>
                          </w:divBdr>
                          <w:divsChild>
                            <w:div w:id="35738804">
                              <w:marLeft w:val="0"/>
                              <w:marRight w:val="0"/>
                              <w:marTop w:val="0"/>
                              <w:marBottom w:val="0"/>
                              <w:divBdr>
                                <w:top w:val="none" w:sz="0" w:space="0" w:color="auto"/>
                                <w:left w:val="none" w:sz="0" w:space="0" w:color="auto"/>
                                <w:bottom w:val="none" w:sz="0" w:space="0" w:color="auto"/>
                                <w:right w:val="none" w:sz="0" w:space="0" w:color="auto"/>
                              </w:divBdr>
                              <w:divsChild>
                                <w:div w:id="262306174">
                                  <w:marLeft w:val="0"/>
                                  <w:marRight w:val="0"/>
                                  <w:marTop w:val="0"/>
                                  <w:marBottom w:val="0"/>
                                  <w:divBdr>
                                    <w:top w:val="none" w:sz="0" w:space="0" w:color="auto"/>
                                    <w:left w:val="none" w:sz="0" w:space="0" w:color="auto"/>
                                    <w:bottom w:val="none" w:sz="0" w:space="0" w:color="auto"/>
                                    <w:right w:val="none" w:sz="0" w:space="0" w:color="auto"/>
                                  </w:divBdr>
                                  <w:divsChild>
                                    <w:div w:id="18902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6842045">
      <w:bodyDiv w:val="1"/>
      <w:marLeft w:val="0"/>
      <w:marRight w:val="0"/>
      <w:marTop w:val="0"/>
      <w:marBottom w:val="0"/>
      <w:divBdr>
        <w:top w:val="none" w:sz="0" w:space="0" w:color="auto"/>
        <w:left w:val="none" w:sz="0" w:space="0" w:color="auto"/>
        <w:bottom w:val="none" w:sz="0" w:space="0" w:color="auto"/>
        <w:right w:val="none" w:sz="0" w:space="0" w:color="auto"/>
      </w:divBdr>
      <w:divsChild>
        <w:div w:id="1523083984">
          <w:marLeft w:val="0"/>
          <w:marRight w:val="0"/>
          <w:marTop w:val="0"/>
          <w:marBottom w:val="150"/>
          <w:divBdr>
            <w:top w:val="none" w:sz="0" w:space="0" w:color="auto"/>
            <w:left w:val="none" w:sz="0" w:space="0" w:color="auto"/>
            <w:bottom w:val="none" w:sz="0" w:space="0" w:color="auto"/>
            <w:right w:val="none" w:sz="0" w:space="0" w:color="auto"/>
          </w:divBdr>
        </w:div>
      </w:divsChild>
    </w:div>
    <w:div w:id="1567255072">
      <w:bodyDiv w:val="1"/>
      <w:marLeft w:val="0"/>
      <w:marRight w:val="0"/>
      <w:marTop w:val="0"/>
      <w:marBottom w:val="0"/>
      <w:divBdr>
        <w:top w:val="none" w:sz="0" w:space="0" w:color="auto"/>
        <w:left w:val="none" w:sz="0" w:space="0" w:color="auto"/>
        <w:bottom w:val="none" w:sz="0" w:space="0" w:color="auto"/>
        <w:right w:val="none" w:sz="0" w:space="0" w:color="auto"/>
      </w:divBdr>
      <w:divsChild>
        <w:div w:id="1968924471">
          <w:marLeft w:val="0"/>
          <w:marRight w:val="0"/>
          <w:marTop w:val="0"/>
          <w:marBottom w:val="0"/>
          <w:divBdr>
            <w:top w:val="none" w:sz="0" w:space="0" w:color="auto"/>
            <w:left w:val="none" w:sz="0" w:space="0" w:color="auto"/>
            <w:bottom w:val="none" w:sz="0" w:space="0" w:color="auto"/>
            <w:right w:val="none" w:sz="0" w:space="0" w:color="auto"/>
          </w:divBdr>
          <w:divsChild>
            <w:div w:id="1554075693">
              <w:marLeft w:val="0"/>
              <w:marRight w:val="0"/>
              <w:marTop w:val="0"/>
              <w:marBottom w:val="0"/>
              <w:divBdr>
                <w:top w:val="none" w:sz="0" w:space="0" w:color="auto"/>
                <w:left w:val="none" w:sz="0" w:space="0" w:color="auto"/>
                <w:bottom w:val="none" w:sz="0" w:space="0" w:color="auto"/>
                <w:right w:val="none" w:sz="0" w:space="0" w:color="auto"/>
              </w:divBdr>
              <w:divsChild>
                <w:div w:id="1250893915">
                  <w:marLeft w:val="0"/>
                  <w:marRight w:val="0"/>
                  <w:marTop w:val="0"/>
                  <w:marBottom w:val="0"/>
                  <w:divBdr>
                    <w:top w:val="none" w:sz="0" w:space="0" w:color="auto"/>
                    <w:left w:val="none" w:sz="0" w:space="0" w:color="auto"/>
                    <w:bottom w:val="none" w:sz="0" w:space="0" w:color="auto"/>
                    <w:right w:val="none" w:sz="0" w:space="0" w:color="auto"/>
                  </w:divBdr>
                  <w:divsChild>
                    <w:div w:id="82066635">
                      <w:marLeft w:val="0"/>
                      <w:marRight w:val="0"/>
                      <w:marTop w:val="0"/>
                      <w:marBottom w:val="0"/>
                      <w:divBdr>
                        <w:top w:val="none" w:sz="0" w:space="0" w:color="auto"/>
                        <w:left w:val="none" w:sz="0" w:space="0" w:color="auto"/>
                        <w:bottom w:val="none" w:sz="0" w:space="0" w:color="auto"/>
                        <w:right w:val="none" w:sz="0" w:space="0" w:color="auto"/>
                      </w:divBdr>
                      <w:divsChild>
                        <w:div w:id="105349026">
                          <w:marLeft w:val="0"/>
                          <w:marRight w:val="0"/>
                          <w:marTop w:val="0"/>
                          <w:marBottom w:val="0"/>
                          <w:divBdr>
                            <w:top w:val="none" w:sz="0" w:space="0" w:color="auto"/>
                            <w:left w:val="none" w:sz="0" w:space="0" w:color="auto"/>
                            <w:bottom w:val="none" w:sz="0" w:space="0" w:color="auto"/>
                            <w:right w:val="none" w:sz="0" w:space="0" w:color="auto"/>
                          </w:divBdr>
                          <w:divsChild>
                            <w:div w:id="280918141">
                              <w:marLeft w:val="0"/>
                              <w:marRight w:val="0"/>
                              <w:marTop w:val="0"/>
                              <w:marBottom w:val="0"/>
                              <w:divBdr>
                                <w:top w:val="none" w:sz="0" w:space="0" w:color="auto"/>
                                <w:left w:val="none" w:sz="0" w:space="0" w:color="auto"/>
                                <w:bottom w:val="none" w:sz="0" w:space="0" w:color="auto"/>
                                <w:right w:val="none" w:sz="0" w:space="0" w:color="auto"/>
                              </w:divBdr>
                              <w:divsChild>
                                <w:div w:id="1506703179">
                                  <w:marLeft w:val="0"/>
                                  <w:marRight w:val="0"/>
                                  <w:marTop w:val="0"/>
                                  <w:marBottom w:val="0"/>
                                  <w:divBdr>
                                    <w:top w:val="none" w:sz="0" w:space="0" w:color="auto"/>
                                    <w:left w:val="none" w:sz="0" w:space="0" w:color="auto"/>
                                    <w:bottom w:val="none" w:sz="0" w:space="0" w:color="auto"/>
                                    <w:right w:val="none" w:sz="0" w:space="0" w:color="auto"/>
                                  </w:divBdr>
                                  <w:divsChild>
                                    <w:div w:id="75827296">
                                      <w:marLeft w:val="0"/>
                                      <w:marRight w:val="0"/>
                                      <w:marTop w:val="0"/>
                                      <w:marBottom w:val="0"/>
                                      <w:divBdr>
                                        <w:top w:val="none" w:sz="0" w:space="0" w:color="auto"/>
                                        <w:left w:val="none" w:sz="0" w:space="0" w:color="auto"/>
                                        <w:bottom w:val="none" w:sz="0" w:space="0" w:color="auto"/>
                                        <w:right w:val="none" w:sz="0" w:space="0" w:color="auto"/>
                                      </w:divBdr>
                                      <w:divsChild>
                                        <w:div w:id="124375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7258153">
      <w:bodyDiv w:val="1"/>
      <w:marLeft w:val="0"/>
      <w:marRight w:val="0"/>
      <w:marTop w:val="0"/>
      <w:marBottom w:val="0"/>
      <w:divBdr>
        <w:top w:val="none" w:sz="0" w:space="0" w:color="auto"/>
        <w:left w:val="none" w:sz="0" w:space="0" w:color="auto"/>
        <w:bottom w:val="none" w:sz="0" w:space="0" w:color="auto"/>
        <w:right w:val="none" w:sz="0" w:space="0" w:color="auto"/>
      </w:divBdr>
    </w:div>
    <w:div w:id="1567639808">
      <w:bodyDiv w:val="1"/>
      <w:marLeft w:val="0"/>
      <w:marRight w:val="0"/>
      <w:marTop w:val="0"/>
      <w:marBottom w:val="0"/>
      <w:divBdr>
        <w:top w:val="none" w:sz="0" w:space="0" w:color="auto"/>
        <w:left w:val="none" w:sz="0" w:space="0" w:color="auto"/>
        <w:bottom w:val="none" w:sz="0" w:space="0" w:color="auto"/>
        <w:right w:val="none" w:sz="0" w:space="0" w:color="auto"/>
      </w:divBdr>
      <w:divsChild>
        <w:div w:id="141506012">
          <w:marLeft w:val="0"/>
          <w:marRight w:val="0"/>
          <w:marTop w:val="0"/>
          <w:marBottom w:val="0"/>
          <w:divBdr>
            <w:top w:val="none" w:sz="0" w:space="0" w:color="auto"/>
            <w:left w:val="none" w:sz="0" w:space="0" w:color="auto"/>
            <w:bottom w:val="none" w:sz="0" w:space="0" w:color="auto"/>
            <w:right w:val="none" w:sz="0" w:space="0" w:color="auto"/>
          </w:divBdr>
        </w:div>
      </w:divsChild>
    </w:div>
    <w:div w:id="1567955921">
      <w:bodyDiv w:val="1"/>
      <w:marLeft w:val="0"/>
      <w:marRight w:val="0"/>
      <w:marTop w:val="0"/>
      <w:marBottom w:val="0"/>
      <w:divBdr>
        <w:top w:val="none" w:sz="0" w:space="0" w:color="auto"/>
        <w:left w:val="none" w:sz="0" w:space="0" w:color="auto"/>
        <w:bottom w:val="none" w:sz="0" w:space="0" w:color="auto"/>
        <w:right w:val="none" w:sz="0" w:space="0" w:color="auto"/>
      </w:divBdr>
      <w:divsChild>
        <w:div w:id="1634869834">
          <w:marLeft w:val="0"/>
          <w:marRight w:val="0"/>
          <w:marTop w:val="0"/>
          <w:marBottom w:val="150"/>
          <w:divBdr>
            <w:top w:val="none" w:sz="0" w:space="0" w:color="auto"/>
            <w:left w:val="none" w:sz="0" w:space="0" w:color="auto"/>
            <w:bottom w:val="none" w:sz="0" w:space="0" w:color="auto"/>
            <w:right w:val="none" w:sz="0" w:space="0" w:color="auto"/>
          </w:divBdr>
        </w:div>
        <w:div w:id="1988972932">
          <w:marLeft w:val="0"/>
          <w:marRight w:val="0"/>
          <w:marTop w:val="0"/>
          <w:marBottom w:val="0"/>
          <w:divBdr>
            <w:top w:val="none" w:sz="0" w:space="0" w:color="auto"/>
            <w:left w:val="none" w:sz="0" w:space="0" w:color="auto"/>
            <w:bottom w:val="none" w:sz="0" w:space="0" w:color="auto"/>
            <w:right w:val="none" w:sz="0" w:space="0" w:color="auto"/>
          </w:divBdr>
        </w:div>
      </w:divsChild>
    </w:div>
    <w:div w:id="1568374183">
      <w:bodyDiv w:val="1"/>
      <w:marLeft w:val="0"/>
      <w:marRight w:val="0"/>
      <w:marTop w:val="0"/>
      <w:marBottom w:val="0"/>
      <w:divBdr>
        <w:top w:val="none" w:sz="0" w:space="0" w:color="auto"/>
        <w:left w:val="none" w:sz="0" w:space="0" w:color="auto"/>
        <w:bottom w:val="none" w:sz="0" w:space="0" w:color="auto"/>
        <w:right w:val="none" w:sz="0" w:space="0" w:color="auto"/>
      </w:divBdr>
      <w:divsChild>
        <w:div w:id="566455503">
          <w:marLeft w:val="0"/>
          <w:marRight w:val="0"/>
          <w:marTop w:val="0"/>
          <w:marBottom w:val="0"/>
          <w:divBdr>
            <w:top w:val="none" w:sz="0" w:space="0" w:color="auto"/>
            <w:left w:val="none" w:sz="0" w:space="0" w:color="auto"/>
            <w:bottom w:val="dotted" w:sz="6" w:space="4" w:color="DDDDDD"/>
            <w:right w:val="none" w:sz="0" w:space="0" w:color="auto"/>
          </w:divBdr>
          <w:divsChild>
            <w:div w:id="143520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70732">
      <w:bodyDiv w:val="1"/>
      <w:marLeft w:val="0"/>
      <w:marRight w:val="0"/>
      <w:marTop w:val="0"/>
      <w:marBottom w:val="0"/>
      <w:divBdr>
        <w:top w:val="none" w:sz="0" w:space="0" w:color="auto"/>
        <w:left w:val="none" w:sz="0" w:space="0" w:color="auto"/>
        <w:bottom w:val="none" w:sz="0" w:space="0" w:color="auto"/>
        <w:right w:val="none" w:sz="0" w:space="0" w:color="auto"/>
      </w:divBdr>
      <w:divsChild>
        <w:div w:id="448205721">
          <w:marLeft w:val="0"/>
          <w:marRight w:val="0"/>
          <w:marTop w:val="0"/>
          <w:marBottom w:val="0"/>
          <w:divBdr>
            <w:top w:val="none" w:sz="0" w:space="0" w:color="auto"/>
            <w:left w:val="none" w:sz="0" w:space="0" w:color="auto"/>
            <w:bottom w:val="dotted" w:sz="6" w:space="4" w:color="DDDDDD"/>
            <w:right w:val="none" w:sz="0" w:space="0" w:color="auto"/>
          </w:divBdr>
          <w:divsChild>
            <w:div w:id="185514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418626">
      <w:bodyDiv w:val="1"/>
      <w:marLeft w:val="0"/>
      <w:marRight w:val="0"/>
      <w:marTop w:val="0"/>
      <w:marBottom w:val="0"/>
      <w:divBdr>
        <w:top w:val="none" w:sz="0" w:space="0" w:color="auto"/>
        <w:left w:val="none" w:sz="0" w:space="0" w:color="auto"/>
        <w:bottom w:val="none" w:sz="0" w:space="0" w:color="auto"/>
        <w:right w:val="none" w:sz="0" w:space="0" w:color="auto"/>
      </w:divBdr>
      <w:divsChild>
        <w:div w:id="42943430">
          <w:marLeft w:val="0"/>
          <w:marRight w:val="0"/>
          <w:marTop w:val="0"/>
          <w:marBottom w:val="150"/>
          <w:divBdr>
            <w:top w:val="none" w:sz="0" w:space="0" w:color="auto"/>
            <w:left w:val="none" w:sz="0" w:space="0" w:color="auto"/>
            <w:bottom w:val="none" w:sz="0" w:space="0" w:color="auto"/>
            <w:right w:val="none" w:sz="0" w:space="0" w:color="auto"/>
          </w:divBdr>
        </w:div>
        <w:div w:id="185026217">
          <w:marLeft w:val="0"/>
          <w:marRight w:val="0"/>
          <w:marTop w:val="0"/>
          <w:marBottom w:val="150"/>
          <w:divBdr>
            <w:top w:val="none" w:sz="0" w:space="0" w:color="auto"/>
            <w:left w:val="none" w:sz="0" w:space="0" w:color="auto"/>
            <w:bottom w:val="none" w:sz="0" w:space="0" w:color="auto"/>
            <w:right w:val="none" w:sz="0" w:space="0" w:color="auto"/>
          </w:divBdr>
        </w:div>
        <w:div w:id="197790036">
          <w:marLeft w:val="0"/>
          <w:marRight w:val="0"/>
          <w:marTop w:val="0"/>
          <w:marBottom w:val="150"/>
          <w:divBdr>
            <w:top w:val="none" w:sz="0" w:space="0" w:color="auto"/>
            <w:left w:val="none" w:sz="0" w:space="0" w:color="auto"/>
            <w:bottom w:val="none" w:sz="0" w:space="0" w:color="auto"/>
            <w:right w:val="none" w:sz="0" w:space="0" w:color="auto"/>
          </w:divBdr>
        </w:div>
        <w:div w:id="254552767">
          <w:marLeft w:val="0"/>
          <w:marRight w:val="0"/>
          <w:marTop w:val="0"/>
          <w:marBottom w:val="150"/>
          <w:divBdr>
            <w:top w:val="none" w:sz="0" w:space="0" w:color="auto"/>
            <w:left w:val="none" w:sz="0" w:space="0" w:color="auto"/>
            <w:bottom w:val="none" w:sz="0" w:space="0" w:color="auto"/>
            <w:right w:val="none" w:sz="0" w:space="0" w:color="auto"/>
          </w:divBdr>
        </w:div>
        <w:div w:id="379327610">
          <w:marLeft w:val="0"/>
          <w:marRight w:val="0"/>
          <w:marTop w:val="0"/>
          <w:marBottom w:val="150"/>
          <w:divBdr>
            <w:top w:val="none" w:sz="0" w:space="0" w:color="auto"/>
            <w:left w:val="none" w:sz="0" w:space="0" w:color="auto"/>
            <w:bottom w:val="none" w:sz="0" w:space="0" w:color="auto"/>
            <w:right w:val="none" w:sz="0" w:space="0" w:color="auto"/>
          </w:divBdr>
        </w:div>
        <w:div w:id="388460494">
          <w:marLeft w:val="0"/>
          <w:marRight w:val="0"/>
          <w:marTop w:val="0"/>
          <w:marBottom w:val="150"/>
          <w:divBdr>
            <w:top w:val="none" w:sz="0" w:space="0" w:color="auto"/>
            <w:left w:val="none" w:sz="0" w:space="0" w:color="auto"/>
            <w:bottom w:val="none" w:sz="0" w:space="0" w:color="auto"/>
            <w:right w:val="none" w:sz="0" w:space="0" w:color="auto"/>
          </w:divBdr>
        </w:div>
        <w:div w:id="495148437">
          <w:marLeft w:val="0"/>
          <w:marRight w:val="0"/>
          <w:marTop w:val="0"/>
          <w:marBottom w:val="150"/>
          <w:divBdr>
            <w:top w:val="none" w:sz="0" w:space="0" w:color="auto"/>
            <w:left w:val="none" w:sz="0" w:space="0" w:color="auto"/>
            <w:bottom w:val="none" w:sz="0" w:space="0" w:color="auto"/>
            <w:right w:val="none" w:sz="0" w:space="0" w:color="auto"/>
          </w:divBdr>
        </w:div>
        <w:div w:id="554396399">
          <w:marLeft w:val="0"/>
          <w:marRight w:val="0"/>
          <w:marTop w:val="0"/>
          <w:marBottom w:val="150"/>
          <w:divBdr>
            <w:top w:val="none" w:sz="0" w:space="0" w:color="auto"/>
            <w:left w:val="none" w:sz="0" w:space="0" w:color="auto"/>
            <w:bottom w:val="none" w:sz="0" w:space="0" w:color="auto"/>
            <w:right w:val="none" w:sz="0" w:space="0" w:color="auto"/>
          </w:divBdr>
        </w:div>
        <w:div w:id="638919764">
          <w:marLeft w:val="0"/>
          <w:marRight w:val="0"/>
          <w:marTop w:val="0"/>
          <w:marBottom w:val="150"/>
          <w:divBdr>
            <w:top w:val="none" w:sz="0" w:space="0" w:color="auto"/>
            <w:left w:val="none" w:sz="0" w:space="0" w:color="auto"/>
            <w:bottom w:val="none" w:sz="0" w:space="0" w:color="auto"/>
            <w:right w:val="none" w:sz="0" w:space="0" w:color="auto"/>
          </w:divBdr>
        </w:div>
        <w:div w:id="661616725">
          <w:marLeft w:val="0"/>
          <w:marRight w:val="0"/>
          <w:marTop w:val="0"/>
          <w:marBottom w:val="150"/>
          <w:divBdr>
            <w:top w:val="none" w:sz="0" w:space="0" w:color="auto"/>
            <w:left w:val="none" w:sz="0" w:space="0" w:color="auto"/>
            <w:bottom w:val="none" w:sz="0" w:space="0" w:color="auto"/>
            <w:right w:val="none" w:sz="0" w:space="0" w:color="auto"/>
          </w:divBdr>
        </w:div>
        <w:div w:id="1008094563">
          <w:marLeft w:val="0"/>
          <w:marRight w:val="0"/>
          <w:marTop w:val="0"/>
          <w:marBottom w:val="150"/>
          <w:divBdr>
            <w:top w:val="none" w:sz="0" w:space="0" w:color="auto"/>
            <w:left w:val="none" w:sz="0" w:space="0" w:color="auto"/>
            <w:bottom w:val="none" w:sz="0" w:space="0" w:color="auto"/>
            <w:right w:val="none" w:sz="0" w:space="0" w:color="auto"/>
          </w:divBdr>
        </w:div>
        <w:div w:id="1030765374">
          <w:marLeft w:val="0"/>
          <w:marRight w:val="0"/>
          <w:marTop w:val="0"/>
          <w:marBottom w:val="150"/>
          <w:divBdr>
            <w:top w:val="none" w:sz="0" w:space="0" w:color="auto"/>
            <w:left w:val="none" w:sz="0" w:space="0" w:color="auto"/>
            <w:bottom w:val="none" w:sz="0" w:space="0" w:color="auto"/>
            <w:right w:val="none" w:sz="0" w:space="0" w:color="auto"/>
          </w:divBdr>
        </w:div>
        <w:div w:id="1175459124">
          <w:marLeft w:val="0"/>
          <w:marRight w:val="0"/>
          <w:marTop w:val="0"/>
          <w:marBottom w:val="150"/>
          <w:divBdr>
            <w:top w:val="none" w:sz="0" w:space="0" w:color="auto"/>
            <w:left w:val="none" w:sz="0" w:space="0" w:color="auto"/>
            <w:bottom w:val="none" w:sz="0" w:space="0" w:color="auto"/>
            <w:right w:val="none" w:sz="0" w:space="0" w:color="auto"/>
          </w:divBdr>
        </w:div>
        <w:div w:id="1295060390">
          <w:marLeft w:val="0"/>
          <w:marRight w:val="0"/>
          <w:marTop w:val="0"/>
          <w:marBottom w:val="150"/>
          <w:divBdr>
            <w:top w:val="none" w:sz="0" w:space="0" w:color="auto"/>
            <w:left w:val="none" w:sz="0" w:space="0" w:color="auto"/>
            <w:bottom w:val="none" w:sz="0" w:space="0" w:color="auto"/>
            <w:right w:val="none" w:sz="0" w:space="0" w:color="auto"/>
          </w:divBdr>
        </w:div>
        <w:div w:id="1322271953">
          <w:marLeft w:val="0"/>
          <w:marRight w:val="0"/>
          <w:marTop w:val="0"/>
          <w:marBottom w:val="150"/>
          <w:divBdr>
            <w:top w:val="none" w:sz="0" w:space="0" w:color="auto"/>
            <w:left w:val="none" w:sz="0" w:space="0" w:color="auto"/>
            <w:bottom w:val="none" w:sz="0" w:space="0" w:color="auto"/>
            <w:right w:val="none" w:sz="0" w:space="0" w:color="auto"/>
          </w:divBdr>
        </w:div>
        <w:div w:id="1351030004">
          <w:marLeft w:val="0"/>
          <w:marRight w:val="0"/>
          <w:marTop w:val="0"/>
          <w:marBottom w:val="150"/>
          <w:divBdr>
            <w:top w:val="none" w:sz="0" w:space="0" w:color="auto"/>
            <w:left w:val="none" w:sz="0" w:space="0" w:color="auto"/>
            <w:bottom w:val="none" w:sz="0" w:space="0" w:color="auto"/>
            <w:right w:val="none" w:sz="0" w:space="0" w:color="auto"/>
          </w:divBdr>
        </w:div>
        <w:div w:id="1360005226">
          <w:marLeft w:val="0"/>
          <w:marRight w:val="0"/>
          <w:marTop w:val="0"/>
          <w:marBottom w:val="150"/>
          <w:divBdr>
            <w:top w:val="none" w:sz="0" w:space="0" w:color="auto"/>
            <w:left w:val="none" w:sz="0" w:space="0" w:color="auto"/>
            <w:bottom w:val="none" w:sz="0" w:space="0" w:color="auto"/>
            <w:right w:val="none" w:sz="0" w:space="0" w:color="auto"/>
          </w:divBdr>
        </w:div>
        <w:div w:id="1492604057">
          <w:marLeft w:val="0"/>
          <w:marRight w:val="0"/>
          <w:marTop w:val="0"/>
          <w:marBottom w:val="150"/>
          <w:divBdr>
            <w:top w:val="none" w:sz="0" w:space="0" w:color="auto"/>
            <w:left w:val="none" w:sz="0" w:space="0" w:color="auto"/>
            <w:bottom w:val="none" w:sz="0" w:space="0" w:color="auto"/>
            <w:right w:val="none" w:sz="0" w:space="0" w:color="auto"/>
          </w:divBdr>
        </w:div>
        <w:div w:id="1519540999">
          <w:marLeft w:val="0"/>
          <w:marRight w:val="0"/>
          <w:marTop w:val="0"/>
          <w:marBottom w:val="150"/>
          <w:divBdr>
            <w:top w:val="none" w:sz="0" w:space="0" w:color="auto"/>
            <w:left w:val="none" w:sz="0" w:space="0" w:color="auto"/>
            <w:bottom w:val="none" w:sz="0" w:space="0" w:color="auto"/>
            <w:right w:val="none" w:sz="0" w:space="0" w:color="auto"/>
          </w:divBdr>
        </w:div>
        <w:div w:id="1560091582">
          <w:marLeft w:val="0"/>
          <w:marRight w:val="0"/>
          <w:marTop w:val="0"/>
          <w:marBottom w:val="150"/>
          <w:divBdr>
            <w:top w:val="none" w:sz="0" w:space="0" w:color="auto"/>
            <w:left w:val="none" w:sz="0" w:space="0" w:color="auto"/>
            <w:bottom w:val="none" w:sz="0" w:space="0" w:color="auto"/>
            <w:right w:val="none" w:sz="0" w:space="0" w:color="auto"/>
          </w:divBdr>
        </w:div>
        <w:div w:id="1566720866">
          <w:marLeft w:val="0"/>
          <w:marRight w:val="0"/>
          <w:marTop w:val="0"/>
          <w:marBottom w:val="150"/>
          <w:divBdr>
            <w:top w:val="none" w:sz="0" w:space="0" w:color="auto"/>
            <w:left w:val="none" w:sz="0" w:space="0" w:color="auto"/>
            <w:bottom w:val="none" w:sz="0" w:space="0" w:color="auto"/>
            <w:right w:val="none" w:sz="0" w:space="0" w:color="auto"/>
          </w:divBdr>
        </w:div>
        <w:div w:id="1571649429">
          <w:marLeft w:val="0"/>
          <w:marRight w:val="0"/>
          <w:marTop w:val="0"/>
          <w:marBottom w:val="150"/>
          <w:divBdr>
            <w:top w:val="none" w:sz="0" w:space="0" w:color="auto"/>
            <w:left w:val="none" w:sz="0" w:space="0" w:color="auto"/>
            <w:bottom w:val="none" w:sz="0" w:space="0" w:color="auto"/>
            <w:right w:val="none" w:sz="0" w:space="0" w:color="auto"/>
          </w:divBdr>
        </w:div>
        <w:div w:id="1644654086">
          <w:marLeft w:val="0"/>
          <w:marRight w:val="0"/>
          <w:marTop w:val="0"/>
          <w:marBottom w:val="150"/>
          <w:divBdr>
            <w:top w:val="none" w:sz="0" w:space="0" w:color="auto"/>
            <w:left w:val="none" w:sz="0" w:space="0" w:color="auto"/>
            <w:bottom w:val="none" w:sz="0" w:space="0" w:color="auto"/>
            <w:right w:val="none" w:sz="0" w:space="0" w:color="auto"/>
          </w:divBdr>
        </w:div>
        <w:div w:id="1659529953">
          <w:marLeft w:val="0"/>
          <w:marRight w:val="0"/>
          <w:marTop w:val="0"/>
          <w:marBottom w:val="150"/>
          <w:divBdr>
            <w:top w:val="none" w:sz="0" w:space="0" w:color="auto"/>
            <w:left w:val="none" w:sz="0" w:space="0" w:color="auto"/>
            <w:bottom w:val="none" w:sz="0" w:space="0" w:color="auto"/>
            <w:right w:val="none" w:sz="0" w:space="0" w:color="auto"/>
          </w:divBdr>
        </w:div>
        <w:div w:id="1695039468">
          <w:marLeft w:val="0"/>
          <w:marRight w:val="0"/>
          <w:marTop w:val="0"/>
          <w:marBottom w:val="150"/>
          <w:divBdr>
            <w:top w:val="none" w:sz="0" w:space="0" w:color="auto"/>
            <w:left w:val="none" w:sz="0" w:space="0" w:color="auto"/>
            <w:bottom w:val="none" w:sz="0" w:space="0" w:color="auto"/>
            <w:right w:val="none" w:sz="0" w:space="0" w:color="auto"/>
          </w:divBdr>
        </w:div>
        <w:div w:id="1720204900">
          <w:marLeft w:val="0"/>
          <w:marRight w:val="0"/>
          <w:marTop w:val="0"/>
          <w:marBottom w:val="150"/>
          <w:divBdr>
            <w:top w:val="none" w:sz="0" w:space="0" w:color="auto"/>
            <w:left w:val="none" w:sz="0" w:space="0" w:color="auto"/>
            <w:bottom w:val="none" w:sz="0" w:space="0" w:color="auto"/>
            <w:right w:val="none" w:sz="0" w:space="0" w:color="auto"/>
          </w:divBdr>
        </w:div>
        <w:div w:id="1812553056">
          <w:marLeft w:val="0"/>
          <w:marRight w:val="0"/>
          <w:marTop w:val="0"/>
          <w:marBottom w:val="150"/>
          <w:divBdr>
            <w:top w:val="none" w:sz="0" w:space="0" w:color="auto"/>
            <w:left w:val="none" w:sz="0" w:space="0" w:color="auto"/>
            <w:bottom w:val="none" w:sz="0" w:space="0" w:color="auto"/>
            <w:right w:val="none" w:sz="0" w:space="0" w:color="auto"/>
          </w:divBdr>
        </w:div>
        <w:div w:id="1848901759">
          <w:marLeft w:val="0"/>
          <w:marRight w:val="0"/>
          <w:marTop w:val="0"/>
          <w:marBottom w:val="150"/>
          <w:divBdr>
            <w:top w:val="none" w:sz="0" w:space="0" w:color="auto"/>
            <w:left w:val="none" w:sz="0" w:space="0" w:color="auto"/>
            <w:bottom w:val="none" w:sz="0" w:space="0" w:color="auto"/>
            <w:right w:val="none" w:sz="0" w:space="0" w:color="auto"/>
          </w:divBdr>
        </w:div>
        <w:div w:id="1870098105">
          <w:marLeft w:val="0"/>
          <w:marRight w:val="0"/>
          <w:marTop w:val="0"/>
          <w:marBottom w:val="150"/>
          <w:divBdr>
            <w:top w:val="none" w:sz="0" w:space="0" w:color="auto"/>
            <w:left w:val="none" w:sz="0" w:space="0" w:color="auto"/>
            <w:bottom w:val="none" w:sz="0" w:space="0" w:color="auto"/>
            <w:right w:val="none" w:sz="0" w:space="0" w:color="auto"/>
          </w:divBdr>
        </w:div>
        <w:div w:id="1907957324">
          <w:marLeft w:val="0"/>
          <w:marRight w:val="0"/>
          <w:marTop w:val="0"/>
          <w:marBottom w:val="150"/>
          <w:divBdr>
            <w:top w:val="none" w:sz="0" w:space="0" w:color="auto"/>
            <w:left w:val="none" w:sz="0" w:space="0" w:color="auto"/>
            <w:bottom w:val="none" w:sz="0" w:space="0" w:color="auto"/>
            <w:right w:val="none" w:sz="0" w:space="0" w:color="auto"/>
          </w:divBdr>
        </w:div>
        <w:div w:id="2056808752">
          <w:marLeft w:val="0"/>
          <w:marRight w:val="0"/>
          <w:marTop w:val="0"/>
          <w:marBottom w:val="150"/>
          <w:divBdr>
            <w:top w:val="none" w:sz="0" w:space="0" w:color="auto"/>
            <w:left w:val="none" w:sz="0" w:space="0" w:color="auto"/>
            <w:bottom w:val="none" w:sz="0" w:space="0" w:color="auto"/>
            <w:right w:val="none" w:sz="0" w:space="0" w:color="auto"/>
          </w:divBdr>
        </w:div>
        <w:div w:id="2062166424">
          <w:marLeft w:val="0"/>
          <w:marRight w:val="0"/>
          <w:marTop w:val="0"/>
          <w:marBottom w:val="150"/>
          <w:divBdr>
            <w:top w:val="none" w:sz="0" w:space="0" w:color="auto"/>
            <w:left w:val="none" w:sz="0" w:space="0" w:color="auto"/>
            <w:bottom w:val="none" w:sz="0" w:space="0" w:color="auto"/>
            <w:right w:val="none" w:sz="0" w:space="0" w:color="auto"/>
          </w:divBdr>
        </w:div>
      </w:divsChild>
    </w:div>
    <w:div w:id="1569682598">
      <w:bodyDiv w:val="1"/>
      <w:marLeft w:val="0"/>
      <w:marRight w:val="0"/>
      <w:marTop w:val="0"/>
      <w:marBottom w:val="0"/>
      <w:divBdr>
        <w:top w:val="none" w:sz="0" w:space="0" w:color="auto"/>
        <w:left w:val="none" w:sz="0" w:space="0" w:color="auto"/>
        <w:bottom w:val="none" w:sz="0" w:space="0" w:color="auto"/>
        <w:right w:val="none" w:sz="0" w:space="0" w:color="auto"/>
      </w:divBdr>
    </w:div>
    <w:div w:id="1569924681">
      <w:bodyDiv w:val="1"/>
      <w:marLeft w:val="0"/>
      <w:marRight w:val="0"/>
      <w:marTop w:val="0"/>
      <w:marBottom w:val="0"/>
      <w:divBdr>
        <w:top w:val="none" w:sz="0" w:space="0" w:color="auto"/>
        <w:left w:val="none" w:sz="0" w:space="0" w:color="auto"/>
        <w:bottom w:val="none" w:sz="0" w:space="0" w:color="auto"/>
        <w:right w:val="none" w:sz="0" w:space="0" w:color="auto"/>
      </w:divBdr>
      <w:divsChild>
        <w:div w:id="1818104493">
          <w:marLeft w:val="0"/>
          <w:marRight w:val="0"/>
          <w:marTop w:val="0"/>
          <w:marBottom w:val="0"/>
          <w:divBdr>
            <w:top w:val="none" w:sz="0" w:space="0" w:color="auto"/>
            <w:left w:val="none" w:sz="0" w:space="0" w:color="auto"/>
            <w:bottom w:val="none" w:sz="0" w:space="0" w:color="auto"/>
            <w:right w:val="none" w:sz="0" w:space="0" w:color="auto"/>
          </w:divBdr>
        </w:div>
        <w:div w:id="1848128608">
          <w:marLeft w:val="0"/>
          <w:marRight w:val="0"/>
          <w:marTop w:val="0"/>
          <w:marBottom w:val="0"/>
          <w:divBdr>
            <w:top w:val="none" w:sz="0" w:space="0" w:color="auto"/>
            <w:left w:val="none" w:sz="0" w:space="0" w:color="auto"/>
            <w:bottom w:val="none" w:sz="0" w:space="0" w:color="auto"/>
            <w:right w:val="none" w:sz="0" w:space="0" w:color="auto"/>
          </w:divBdr>
          <w:divsChild>
            <w:div w:id="385763425">
              <w:marLeft w:val="0"/>
              <w:marRight w:val="0"/>
              <w:marTop w:val="0"/>
              <w:marBottom w:val="0"/>
              <w:divBdr>
                <w:top w:val="none" w:sz="0" w:space="0" w:color="auto"/>
                <w:left w:val="none" w:sz="0" w:space="0" w:color="auto"/>
                <w:bottom w:val="none" w:sz="0" w:space="0" w:color="auto"/>
                <w:right w:val="none" w:sz="0" w:space="0" w:color="auto"/>
              </w:divBdr>
            </w:div>
            <w:div w:id="145223887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70312730">
      <w:bodyDiv w:val="1"/>
      <w:marLeft w:val="0"/>
      <w:marRight w:val="0"/>
      <w:marTop w:val="0"/>
      <w:marBottom w:val="0"/>
      <w:divBdr>
        <w:top w:val="none" w:sz="0" w:space="0" w:color="auto"/>
        <w:left w:val="none" w:sz="0" w:space="0" w:color="auto"/>
        <w:bottom w:val="none" w:sz="0" w:space="0" w:color="auto"/>
        <w:right w:val="none" w:sz="0" w:space="0" w:color="auto"/>
      </w:divBdr>
      <w:divsChild>
        <w:div w:id="861893602">
          <w:marLeft w:val="0"/>
          <w:marRight w:val="0"/>
          <w:marTop w:val="0"/>
          <w:marBottom w:val="0"/>
          <w:divBdr>
            <w:top w:val="none" w:sz="0" w:space="0" w:color="auto"/>
            <w:left w:val="none" w:sz="0" w:space="0" w:color="auto"/>
            <w:bottom w:val="dotted" w:sz="6" w:space="4" w:color="DDDDDD"/>
            <w:right w:val="none" w:sz="0" w:space="0" w:color="auto"/>
          </w:divBdr>
        </w:div>
      </w:divsChild>
    </w:div>
    <w:div w:id="1570505396">
      <w:bodyDiv w:val="1"/>
      <w:marLeft w:val="0"/>
      <w:marRight w:val="0"/>
      <w:marTop w:val="0"/>
      <w:marBottom w:val="0"/>
      <w:divBdr>
        <w:top w:val="none" w:sz="0" w:space="0" w:color="auto"/>
        <w:left w:val="none" w:sz="0" w:space="0" w:color="auto"/>
        <w:bottom w:val="none" w:sz="0" w:space="0" w:color="auto"/>
        <w:right w:val="none" w:sz="0" w:space="0" w:color="auto"/>
      </w:divBdr>
      <w:divsChild>
        <w:div w:id="83109009">
          <w:marLeft w:val="0"/>
          <w:marRight w:val="0"/>
          <w:marTop w:val="0"/>
          <w:marBottom w:val="0"/>
          <w:divBdr>
            <w:top w:val="none" w:sz="0" w:space="0" w:color="auto"/>
            <w:left w:val="none" w:sz="0" w:space="0" w:color="auto"/>
            <w:bottom w:val="none" w:sz="0" w:space="0" w:color="auto"/>
            <w:right w:val="none" w:sz="0" w:space="0" w:color="auto"/>
          </w:divBdr>
          <w:divsChild>
            <w:div w:id="951597941">
              <w:marLeft w:val="0"/>
              <w:marRight w:val="0"/>
              <w:marTop w:val="0"/>
              <w:marBottom w:val="0"/>
              <w:divBdr>
                <w:top w:val="none" w:sz="0" w:space="0" w:color="auto"/>
                <w:left w:val="none" w:sz="0" w:space="0" w:color="auto"/>
                <w:bottom w:val="none" w:sz="0" w:space="0" w:color="auto"/>
                <w:right w:val="none" w:sz="0" w:space="0" w:color="auto"/>
              </w:divBdr>
              <w:divsChild>
                <w:div w:id="1345134822">
                  <w:marLeft w:val="0"/>
                  <w:marRight w:val="0"/>
                  <w:marTop w:val="0"/>
                  <w:marBottom w:val="0"/>
                  <w:divBdr>
                    <w:top w:val="none" w:sz="0" w:space="0" w:color="auto"/>
                    <w:left w:val="none" w:sz="0" w:space="0" w:color="auto"/>
                    <w:bottom w:val="none" w:sz="0" w:space="0" w:color="auto"/>
                    <w:right w:val="none" w:sz="0" w:space="0" w:color="auto"/>
                  </w:divBdr>
                  <w:divsChild>
                    <w:div w:id="973408989">
                      <w:marLeft w:val="0"/>
                      <w:marRight w:val="0"/>
                      <w:marTop w:val="0"/>
                      <w:marBottom w:val="0"/>
                      <w:divBdr>
                        <w:top w:val="none" w:sz="0" w:space="0" w:color="auto"/>
                        <w:left w:val="none" w:sz="0" w:space="0" w:color="auto"/>
                        <w:bottom w:val="none" w:sz="0" w:space="0" w:color="auto"/>
                        <w:right w:val="none" w:sz="0" w:space="0" w:color="auto"/>
                      </w:divBdr>
                      <w:divsChild>
                        <w:div w:id="597442903">
                          <w:marLeft w:val="0"/>
                          <w:marRight w:val="0"/>
                          <w:marTop w:val="0"/>
                          <w:marBottom w:val="0"/>
                          <w:divBdr>
                            <w:top w:val="none" w:sz="0" w:space="0" w:color="auto"/>
                            <w:left w:val="none" w:sz="0" w:space="0" w:color="auto"/>
                            <w:bottom w:val="none" w:sz="0" w:space="0" w:color="auto"/>
                            <w:right w:val="none" w:sz="0" w:space="0" w:color="auto"/>
                          </w:divBdr>
                          <w:divsChild>
                            <w:div w:id="1225340259">
                              <w:marLeft w:val="0"/>
                              <w:marRight w:val="0"/>
                              <w:marTop w:val="0"/>
                              <w:marBottom w:val="0"/>
                              <w:divBdr>
                                <w:top w:val="none" w:sz="0" w:space="0" w:color="auto"/>
                                <w:left w:val="none" w:sz="0" w:space="0" w:color="auto"/>
                                <w:bottom w:val="none" w:sz="0" w:space="0" w:color="auto"/>
                                <w:right w:val="none" w:sz="0" w:space="0" w:color="auto"/>
                              </w:divBdr>
                              <w:divsChild>
                                <w:div w:id="24604952">
                                  <w:marLeft w:val="0"/>
                                  <w:marRight w:val="0"/>
                                  <w:marTop w:val="0"/>
                                  <w:marBottom w:val="0"/>
                                  <w:divBdr>
                                    <w:top w:val="none" w:sz="0" w:space="0" w:color="auto"/>
                                    <w:left w:val="none" w:sz="0" w:space="0" w:color="auto"/>
                                    <w:bottom w:val="none" w:sz="0" w:space="0" w:color="auto"/>
                                    <w:right w:val="none" w:sz="0" w:space="0" w:color="auto"/>
                                  </w:divBdr>
                                  <w:divsChild>
                                    <w:div w:id="120240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995600">
      <w:bodyDiv w:val="1"/>
      <w:marLeft w:val="0"/>
      <w:marRight w:val="0"/>
      <w:marTop w:val="0"/>
      <w:marBottom w:val="0"/>
      <w:divBdr>
        <w:top w:val="none" w:sz="0" w:space="0" w:color="auto"/>
        <w:left w:val="none" w:sz="0" w:space="0" w:color="auto"/>
        <w:bottom w:val="none" w:sz="0" w:space="0" w:color="auto"/>
        <w:right w:val="none" w:sz="0" w:space="0" w:color="auto"/>
      </w:divBdr>
      <w:divsChild>
        <w:div w:id="30156024">
          <w:marLeft w:val="0"/>
          <w:marRight w:val="0"/>
          <w:marTop w:val="0"/>
          <w:marBottom w:val="0"/>
          <w:divBdr>
            <w:top w:val="none" w:sz="0" w:space="0" w:color="auto"/>
            <w:left w:val="none" w:sz="0" w:space="0" w:color="auto"/>
            <w:bottom w:val="dotted" w:sz="6" w:space="4" w:color="DDDDDD"/>
            <w:right w:val="none" w:sz="0" w:space="0" w:color="auto"/>
          </w:divBdr>
          <w:divsChild>
            <w:div w:id="150798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190125">
      <w:bodyDiv w:val="1"/>
      <w:marLeft w:val="0"/>
      <w:marRight w:val="0"/>
      <w:marTop w:val="0"/>
      <w:marBottom w:val="0"/>
      <w:divBdr>
        <w:top w:val="none" w:sz="0" w:space="0" w:color="auto"/>
        <w:left w:val="none" w:sz="0" w:space="0" w:color="auto"/>
        <w:bottom w:val="none" w:sz="0" w:space="0" w:color="auto"/>
        <w:right w:val="none" w:sz="0" w:space="0" w:color="auto"/>
      </w:divBdr>
      <w:divsChild>
        <w:div w:id="1364593557">
          <w:marLeft w:val="0"/>
          <w:marRight w:val="0"/>
          <w:marTop w:val="0"/>
          <w:marBottom w:val="150"/>
          <w:divBdr>
            <w:top w:val="none" w:sz="0" w:space="0" w:color="auto"/>
            <w:left w:val="none" w:sz="0" w:space="0" w:color="auto"/>
            <w:bottom w:val="none" w:sz="0" w:space="0" w:color="auto"/>
            <w:right w:val="none" w:sz="0" w:space="0" w:color="auto"/>
          </w:divBdr>
        </w:div>
      </w:divsChild>
    </w:div>
    <w:div w:id="1571575178">
      <w:bodyDiv w:val="1"/>
      <w:marLeft w:val="0"/>
      <w:marRight w:val="0"/>
      <w:marTop w:val="0"/>
      <w:marBottom w:val="0"/>
      <w:divBdr>
        <w:top w:val="none" w:sz="0" w:space="0" w:color="auto"/>
        <w:left w:val="none" w:sz="0" w:space="0" w:color="auto"/>
        <w:bottom w:val="none" w:sz="0" w:space="0" w:color="auto"/>
        <w:right w:val="none" w:sz="0" w:space="0" w:color="auto"/>
      </w:divBdr>
      <w:divsChild>
        <w:div w:id="1992056734">
          <w:marLeft w:val="0"/>
          <w:marRight w:val="0"/>
          <w:marTop w:val="0"/>
          <w:marBottom w:val="150"/>
          <w:divBdr>
            <w:top w:val="none" w:sz="0" w:space="0" w:color="auto"/>
            <w:left w:val="none" w:sz="0" w:space="0" w:color="auto"/>
            <w:bottom w:val="none" w:sz="0" w:space="0" w:color="auto"/>
            <w:right w:val="none" w:sz="0" w:space="0" w:color="auto"/>
          </w:divBdr>
        </w:div>
      </w:divsChild>
    </w:div>
    <w:div w:id="1571621171">
      <w:bodyDiv w:val="1"/>
      <w:marLeft w:val="0"/>
      <w:marRight w:val="0"/>
      <w:marTop w:val="0"/>
      <w:marBottom w:val="0"/>
      <w:divBdr>
        <w:top w:val="none" w:sz="0" w:space="0" w:color="auto"/>
        <w:left w:val="none" w:sz="0" w:space="0" w:color="auto"/>
        <w:bottom w:val="none" w:sz="0" w:space="0" w:color="auto"/>
        <w:right w:val="none" w:sz="0" w:space="0" w:color="auto"/>
      </w:divBdr>
    </w:div>
    <w:div w:id="1571891931">
      <w:bodyDiv w:val="1"/>
      <w:marLeft w:val="0"/>
      <w:marRight w:val="0"/>
      <w:marTop w:val="0"/>
      <w:marBottom w:val="0"/>
      <w:divBdr>
        <w:top w:val="none" w:sz="0" w:space="0" w:color="auto"/>
        <w:left w:val="none" w:sz="0" w:space="0" w:color="auto"/>
        <w:bottom w:val="none" w:sz="0" w:space="0" w:color="auto"/>
        <w:right w:val="none" w:sz="0" w:space="0" w:color="auto"/>
      </w:divBdr>
    </w:div>
    <w:div w:id="1572155828">
      <w:bodyDiv w:val="1"/>
      <w:marLeft w:val="0"/>
      <w:marRight w:val="0"/>
      <w:marTop w:val="0"/>
      <w:marBottom w:val="0"/>
      <w:divBdr>
        <w:top w:val="none" w:sz="0" w:space="0" w:color="auto"/>
        <w:left w:val="none" w:sz="0" w:space="0" w:color="auto"/>
        <w:bottom w:val="none" w:sz="0" w:space="0" w:color="auto"/>
        <w:right w:val="none" w:sz="0" w:space="0" w:color="auto"/>
      </w:divBdr>
      <w:divsChild>
        <w:div w:id="64493155">
          <w:marLeft w:val="0"/>
          <w:marRight w:val="0"/>
          <w:marTop w:val="0"/>
          <w:marBottom w:val="0"/>
          <w:divBdr>
            <w:top w:val="none" w:sz="0" w:space="0" w:color="auto"/>
            <w:left w:val="none" w:sz="0" w:space="0" w:color="auto"/>
            <w:bottom w:val="none" w:sz="0" w:space="0" w:color="auto"/>
            <w:right w:val="none" w:sz="0" w:space="0" w:color="auto"/>
          </w:divBdr>
          <w:divsChild>
            <w:div w:id="1623270022">
              <w:marLeft w:val="0"/>
              <w:marRight w:val="0"/>
              <w:marTop w:val="225"/>
              <w:marBottom w:val="225"/>
              <w:divBdr>
                <w:top w:val="none" w:sz="0" w:space="0" w:color="auto"/>
                <w:left w:val="none" w:sz="0" w:space="0" w:color="auto"/>
                <w:bottom w:val="none" w:sz="0" w:space="0" w:color="auto"/>
                <w:right w:val="none" w:sz="0" w:space="0" w:color="auto"/>
              </w:divBdr>
            </w:div>
          </w:divsChild>
        </w:div>
        <w:div w:id="392584815">
          <w:marLeft w:val="0"/>
          <w:marRight w:val="0"/>
          <w:marTop w:val="0"/>
          <w:marBottom w:val="150"/>
          <w:divBdr>
            <w:top w:val="none" w:sz="0" w:space="0" w:color="auto"/>
            <w:left w:val="none" w:sz="0" w:space="0" w:color="auto"/>
            <w:bottom w:val="none" w:sz="0" w:space="0" w:color="auto"/>
            <w:right w:val="none" w:sz="0" w:space="0" w:color="auto"/>
          </w:divBdr>
        </w:div>
        <w:div w:id="693919161">
          <w:marLeft w:val="0"/>
          <w:marRight w:val="0"/>
          <w:marTop w:val="0"/>
          <w:marBottom w:val="150"/>
          <w:divBdr>
            <w:top w:val="none" w:sz="0" w:space="0" w:color="auto"/>
            <w:left w:val="none" w:sz="0" w:space="0" w:color="auto"/>
            <w:bottom w:val="none" w:sz="0" w:space="0" w:color="auto"/>
            <w:right w:val="none" w:sz="0" w:space="0" w:color="auto"/>
          </w:divBdr>
          <w:divsChild>
            <w:div w:id="509179179">
              <w:marLeft w:val="0"/>
              <w:marRight w:val="0"/>
              <w:marTop w:val="0"/>
              <w:marBottom w:val="0"/>
              <w:divBdr>
                <w:top w:val="none" w:sz="0" w:space="0" w:color="auto"/>
                <w:left w:val="none" w:sz="0" w:space="0" w:color="auto"/>
                <w:bottom w:val="none" w:sz="0" w:space="0" w:color="auto"/>
                <w:right w:val="none" w:sz="0" w:space="0" w:color="auto"/>
              </w:divBdr>
              <w:divsChild>
                <w:div w:id="117665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230234">
      <w:bodyDiv w:val="1"/>
      <w:marLeft w:val="0"/>
      <w:marRight w:val="0"/>
      <w:marTop w:val="0"/>
      <w:marBottom w:val="0"/>
      <w:divBdr>
        <w:top w:val="none" w:sz="0" w:space="0" w:color="auto"/>
        <w:left w:val="none" w:sz="0" w:space="0" w:color="auto"/>
        <w:bottom w:val="none" w:sz="0" w:space="0" w:color="auto"/>
        <w:right w:val="none" w:sz="0" w:space="0" w:color="auto"/>
      </w:divBdr>
      <w:divsChild>
        <w:div w:id="1225990629">
          <w:marLeft w:val="0"/>
          <w:marRight w:val="0"/>
          <w:marTop w:val="225"/>
          <w:marBottom w:val="225"/>
          <w:divBdr>
            <w:top w:val="none" w:sz="0" w:space="0" w:color="auto"/>
            <w:left w:val="none" w:sz="0" w:space="0" w:color="auto"/>
            <w:bottom w:val="none" w:sz="0" w:space="0" w:color="auto"/>
            <w:right w:val="none" w:sz="0" w:space="0" w:color="auto"/>
          </w:divBdr>
        </w:div>
        <w:div w:id="1838768714">
          <w:marLeft w:val="0"/>
          <w:marRight w:val="0"/>
          <w:marTop w:val="0"/>
          <w:marBottom w:val="150"/>
          <w:divBdr>
            <w:top w:val="none" w:sz="0" w:space="0" w:color="auto"/>
            <w:left w:val="none" w:sz="0" w:space="0" w:color="auto"/>
            <w:bottom w:val="none" w:sz="0" w:space="0" w:color="auto"/>
            <w:right w:val="none" w:sz="0" w:space="0" w:color="auto"/>
          </w:divBdr>
        </w:div>
      </w:divsChild>
    </w:div>
    <w:div w:id="1572233566">
      <w:bodyDiv w:val="1"/>
      <w:marLeft w:val="0"/>
      <w:marRight w:val="0"/>
      <w:marTop w:val="0"/>
      <w:marBottom w:val="0"/>
      <w:divBdr>
        <w:top w:val="none" w:sz="0" w:space="0" w:color="auto"/>
        <w:left w:val="none" w:sz="0" w:space="0" w:color="auto"/>
        <w:bottom w:val="none" w:sz="0" w:space="0" w:color="auto"/>
        <w:right w:val="none" w:sz="0" w:space="0" w:color="auto"/>
      </w:divBdr>
    </w:div>
    <w:div w:id="1572346744">
      <w:bodyDiv w:val="1"/>
      <w:marLeft w:val="0"/>
      <w:marRight w:val="0"/>
      <w:marTop w:val="0"/>
      <w:marBottom w:val="0"/>
      <w:divBdr>
        <w:top w:val="none" w:sz="0" w:space="0" w:color="auto"/>
        <w:left w:val="none" w:sz="0" w:space="0" w:color="auto"/>
        <w:bottom w:val="none" w:sz="0" w:space="0" w:color="auto"/>
        <w:right w:val="none" w:sz="0" w:space="0" w:color="auto"/>
      </w:divBdr>
      <w:divsChild>
        <w:div w:id="814223096">
          <w:marLeft w:val="0"/>
          <w:marRight w:val="0"/>
          <w:marTop w:val="0"/>
          <w:marBottom w:val="0"/>
          <w:divBdr>
            <w:top w:val="none" w:sz="0" w:space="0" w:color="auto"/>
            <w:left w:val="none" w:sz="0" w:space="0" w:color="auto"/>
            <w:bottom w:val="none" w:sz="0" w:space="0" w:color="auto"/>
            <w:right w:val="none" w:sz="0" w:space="0" w:color="auto"/>
          </w:divBdr>
          <w:divsChild>
            <w:div w:id="553083568">
              <w:marLeft w:val="0"/>
              <w:marRight w:val="0"/>
              <w:marTop w:val="0"/>
              <w:marBottom w:val="0"/>
              <w:divBdr>
                <w:top w:val="none" w:sz="0" w:space="0" w:color="auto"/>
                <w:left w:val="none" w:sz="0" w:space="0" w:color="auto"/>
                <w:bottom w:val="none" w:sz="0" w:space="0" w:color="auto"/>
                <w:right w:val="none" w:sz="0" w:space="0" w:color="auto"/>
              </w:divBdr>
              <w:divsChild>
                <w:div w:id="503860524">
                  <w:marLeft w:val="0"/>
                  <w:marRight w:val="0"/>
                  <w:marTop w:val="0"/>
                  <w:marBottom w:val="0"/>
                  <w:divBdr>
                    <w:top w:val="none" w:sz="0" w:space="0" w:color="auto"/>
                    <w:left w:val="none" w:sz="0" w:space="0" w:color="auto"/>
                    <w:bottom w:val="none" w:sz="0" w:space="0" w:color="auto"/>
                    <w:right w:val="none" w:sz="0" w:space="0" w:color="auto"/>
                  </w:divBdr>
                  <w:divsChild>
                    <w:div w:id="2060590296">
                      <w:marLeft w:val="0"/>
                      <w:marRight w:val="0"/>
                      <w:marTop w:val="0"/>
                      <w:marBottom w:val="0"/>
                      <w:divBdr>
                        <w:top w:val="none" w:sz="0" w:space="0" w:color="auto"/>
                        <w:left w:val="none" w:sz="0" w:space="0" w:color="auto"/>
                        <w:bottom w:val="none" w:sz="0" w:space="0" w:color="auto"/>
                        <w:right w:val="none" w:sz="0" w:space="0" w:color="auto"/>
                      </w:divBdr>
                      <w:divsChild>
                        <w:div w:id="259795974">
                          <w:marLeft w:val="0"/>
                          <w:marRight w:val="0"/>
                          <w:marTop w:val="0"/>
                          <w:marBottom w:val="0"/>
                          <w:divBdr>
                            <w:top w:val="none" w:sz="0" w:space="0" w:color="auto"/>
                            <w:left w:val="none" w:sz="0" w:space="0" w:color="auto"/>
                            <w:bottom w:val="none" w:sz="0" w:space="0" w:color="auto"/>
                            <w:right w:val="none" w:sz="0" w:space="0" w:color="auto"/>
                          </w:divBdr>
                          <w:divsChild>
                            <w:div w:id="1843619721">
                              <w:marLeft w:val="0"/>
                              <w:marRight w:val="0"/>
                              <w:marTop w:val="0"/>
                              <w:marBottom w:val="0"/>
                              <w:divBdr>
                                <w:top w:val="none" w:sz="0" w:space="0" w:color="auto"/>
                                <w:left w:val="none" w:sz="0" w:space="0" w:color="auto"/>
                                <w:bottom w:val="none" w:sz="0" w:space="0" w:color="auto"/>
                                <w:right w:val="none" w:sz="0" w:space="0" w:color="auto"/>
                              </w:divBdr>
                              <w:divsChild>
                                <w:div w:id="2053340542">
                                  <w:marLeft w:val="0"/>
                                  <w:marRight w:val="0"/>
                                  <w:marTop w:val="0"/>
                                  <w:marBottom w:val="0"/>
                                  <w:divBdr>
                                    <w:top w:val="none" w:sz="0" w:space="0" w:color="auto"/>
                                    <w:left w:val="none" w:sz="0" w:space="0" w:color="auto"/>
                                    <w:bottom w:val="none" w:sz="0" w:space="0" w:color="auto"/>
                                    <w:right w:val="none" w:sz="0" w:space="0" w:color="auto"/>
                                  </w:divBdr>
                                  <w:divsChild>
                                    <w:div w:id="66089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2692434">
      <w:bodyDiv w:val="1"/>
      <w:marLeft w:val="0"/>
      <w:marRight w:val="0"/>
      <w:marTop w:val="0"/>
      <w:marBottom w:val="0"/>
      <w:divBdr>
        <w:top w:val="none" w:sz="0" w:space="0" w:color="auto"/>
        <w:left w:val="none" w:sz="0" w:space="0" w:color="auto"/>
        <w:bottom w:val="none" w:sz="0" w:space="0" w:color="auto"/>
        <w:right w:val="none" w:sz="0" w:space="0" w:color="auto"/>
      </w:divBdr>
      <w:divsChild>
        <w:div w:id="427696806">
          <w:marLeft w:val="0"/>
          <w:marRight w:val="0"/>
          <w:marTop w:val="0"/>
          <w:marBottom w:val="0"/>
          <w:divBdr>
            <w:top w:val="none" w:sz="0" w:space="0" w:color="auto"/>
            <w:left w:val="none" w:sz="0" w:space="0" w:color="auto"/>
            <w:bottom w:val="none" w:sz="0" w:space="0" w:color="auto"/>
            <w:right w:val="none" w:sz="0" w:space="0" w:color="auto"/>
          </w:divBdr>
          <w:divsChild>
            <w:div w:id="743769980">
              <w:marLeft w:val="0"/>
              <w:marRight w:val="0"/>
              <w:marTop w:val="0"/>
              <w:marBottom w:val="0"/>
              <w:divBdr>
                <w:top w:val="none" w:sz="0" w:space="0" w:color="auto"/>
                <w:left w:val="none" w:sz="0" w:space="0" w:color="auto"/>
                <w:bottom w:val="none" w:sz="0" w:space="0" w:color="auto"/>
                <w:right w:val="none" w:sz="0" w:space="0" w:color="auto"/>
              </w:divBdr>
            </w:div>
            <w:div w:id="17765161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2807856">
      <w:bodyDiv w:val="1"/>
      <w:marLeft w:val="0"/>
      <w:marRight w:val="0"/>
      <w:marTop w:val="0"/>
      <w:marBottom w:val="0"/>
      <w:divBdr>
        <w:top w:val="none" w:sz="0" w:space="0" w:color="auto"/>
        <w:left w:val="none" w:sz="0" w:space="0" w:color="auto"/>
        <w:bottom w:val="none" w:sz="0" w:space="0" w:color="auto"/>
        <w:right w:val="none" w:sz="0" w:space="0" w:color="auto"/>
      </w:divBdr>
      <w:divsChild>
        <w:div w:id="554585216">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416025862">
              <w:marLeft w:val="0"/>
              <w:marRight w:val="0"/>
              <w:marTop w:val="300"/>
              <w:marBottom w:val="300"/>
              <w:divBdr>
                <w:top w:val="none" w:sz="0" w:space="0" w:color="auto"/>
                <w:left w:val="none" w:sz="0" w:space="0" w:color="auto"/>
                <w:bottom w:val="none" w:sz="0" w:space="0" w:color="auto"/>
                <w:right w:val="none" w:sz="0" w:space="0" w:color="auto"/>
              </w:divBdr>
              <w:divsChild>
                <w:div w:id="175190550">
                  <w:marLeft w:val="0"/>
                  <w:marRight w:val="0"/>
                  <w:marTop w:val="0"/>
                  <w:marBottom w:val="0"/>
                  <w:divBdr>
                    <w:top w:val="none" w:sz="0" w:space="0" w:color="auto"/>
                    <w:left w:val="none" w:sz="0" w:space="0" w:color="auto"/>
                    <w:bottom w:val="none" w:sz="0" w:space="0" w:color="auto"/>
                    <w:right w:val="none" w:sz="0" w:space="0" w:color="auto"/>
                  </w:divBdr>
                  <w:divsChild>
                    <w:div w:id="2043508985">
                      <w:marLeft w:val="0"/>
                      <w:marRight w:val="0"/>
                      <w:marTop w:val="0"/>
                      <w:marBottom w:val="0"/>
                      <w:divBdr>
                        <w:top w:val="none" w:sz="0" w:space="0" w:color="auto"/>
                        <w:left w:val="none" w:sz="0" w:space="0" w:color="auto"/>
                        <w:bottom w:val="none" w:sz="0" w:space="0" w:color="auto"/>
                        <w:right w:val="none" w:sz="0" w:space="0" w:color="auto"/>
                      </w:divBdr>
                      <w:divsChild>
                        <w:div w:id="181288494">
                          <w:marLeft w:val="0"/>
                          <w:marRight w:val="0"/>
                          <w:marTop w:val="0"/>
                          <w:marBottom w:val="0"/>
                          <w:divBdr>
                            <w:top w:val="none" w:sz="0" w:space="0" w:color="auto"/>
                            <w:left w:val="none" w:sz="0" w:space="0" w:color="auto"/>
                            <w:bottom w:val="none" w:sz="0" w:space="0" w:color="auto"/>
                            <w:right w:val="none" w:sz="0" w:space="0" w:color="auto"/>
                          </w:divBdr>
                          <w:divsChild>
                            <w:div w:id="1923030936">
                              <w:marLeft w:val="0"/>
                              <w:marRight w:val="0"/>
                              <w:marTop w:val="0"/>
                              <w:marBottom w:val="0"/>
                              <w:divBdr>
                                <w:top w:val="none" w:sz="0" w:space="0" w:color="auto"/>
                                <w:left w:val="none" w:sz="0" w:space="0" w:color="auto"/>
                                <w:bottom w:val="none" w:sz="0" w:space="0" w:color="auto"/>
                                <w:right w:val="none" w:sz="0" w:space="0" w:color="auto"/>
                              </w:divBdr>
                              <w:divsChild>
                                <w:div w:id="2001692075">
                                  <w:marLeft w:val="0"/>
                                  <w:marRight w:val="0"/>
                                  <w:marTop w:val="0"/>
                                  <w:marBottom w:val="0"/>
                                  <w:divBdr>
                                    <w:top w:val="none" w:sz="0" w:space="0" w:color="auto"/>
                                    <w:left w:val="none" w:sz="0" w:space="0" w:color="auto"/>
                                    <w:bottom w:val="none" w:sz="0" w:space="0" w:color="auto"/>
                                    <w:right w:val="none" w:sz="0" w:space="0" w:color="auto"/>
                                  </w:divBdr>
                                  <w:divsChild>
                                    <w:div w:id="34356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2960936">
      <w:bodyDiv w:val="1"/>
      <w:marLeft w:val="0"/>
      <w:marRight w:val="0"/>
      <w:marTop w:val="0"/>
      <w:marBottom w:val="0"/>
      <w:divBdr>
        <w:top w:val="none" w:sz="0" w:space="0" w:color="auto"/>
        <w:left w:val="none" w:sz="0" w:space="0" w:color="auto"/>
        <w:bottom w:val="none" w:sz="0" w:space="0" w:color="auto"/>
        <w:right w:val="none" w:sz="0" w:space="0" w:color="auto"/>
      </w:divBdr>
      <w:divsChild>
        <w:div w:id="408305380">
          <w:marLeft w:val="0"/>
          <w:marRight w:val="0"/>
          <w:marTop w:val="0"/>
          <w:marBottom w:val="0"/>
          <w:divBdr>
            <w:top w:val="none" w:sz="0" w:space="0" w:color="auto"/>
            <w:left w:val="none" w:sz="0" w:space="0" w:color="auto"/>
            <w:bottom w:val="none" w:sz="0" w:space="0" w:color="auto"/>
            <w:right w:val="none" w:sz="0" w:space="0" w:color="auto"/>
          </w:divBdr>
          <w:divsChild>
            <w:div w:id="2110391060">
              <w:marLeft w:val="0"/>
              <w:marRight w:val="0"/>
              <w:marTop w:val="0"/>
              <w:marBottom w:val="0"/>
              <w:divBdr>
                <w:top w:val="none" w:sz="0" w:space="0" w:color="auto"/>
                <w:left w:val="none" w:sz="0" w:space="0" w:color="auto"/>
                <w:bottom w:val="none" w:sz="0" w:space="0" w:color="auto"/>
                <w:right w:val="none" w:sz="0" w:space="0" w:color="auto"/>
              </w:divBdr>
            </w:div>
          </w:divsChild>
        </w:div>
        <w:div w:id="1562860668">
          <w:marLeft w:val="0"/>
          <w:marRight w:val="0"/>
          <w:marTop w:val="0"/>
          <w:marBottom w:val="150"/>
          <w:divBdr>
            <w:top w:val="none" w:sz="0" w:space="0" w:color="auto"/>
            <w:left w:val="none" w:sz="0" w:space="0" w:color="auto"/>
            <w:bottom w:val="none" w:sz="0" w:space="0" w:color="auto"/>
            <w:right w:val="none" w:sz="0" w:space="0" w:color="auto"/>
          </w:divBdr>
        </w:div>
        <w:div w:id="1658463067">
          <w:marLeft w:val="0"/>
          <w:marRight w:val="0"/>
          <w:marTop w:val="0"/>
          <w:marBottom w:val="150"/>
          <w:divBdr>
            <w:top w:val="none" w:sz="0" w:space="0" w:color="auto"/>
            <w:left w:val="none" w:sz="0" w:space="0" w:color="auto"/>
            <w:bottom w:val="none" w:sz="0" w:space="0" w:color="auto"/>
            <w:right w:val="none" w:sz="0" w:space="0" w:color="auto"/>
          </w:divBdr>
          <w:divsChild>
            <w:div w:id="136282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79178">
      <w:bodyDiv w:val="1"/>
      <w:marLeft w:val="0"/>
      <w:marRight w:val="0"/>
      <w:marTop w:val="0"/>
      <w:marBottom w:val="0"/>
      <w:divBdr>
        <w:top w:val="none" w:sz="0" w:space="0" w:color="auto"/>
        <w:left w:val="none" w:sz="0" w:space="0" w:color="auto"/>
        <w:bottom w:val="none" w:sz="0" w:space="0" w:color="auto"/>
        <w:right w:val="none" w:sz="0" w:space="0" w:color="auto"/>
      </w:divBdr>
      <w:divsChild>
        <w:div w:id="916137783">
          <w:marLeft w:val="0"/>
          <w:marRight w:val="0"/>
          <w:marTop w:val="0"/>
          <w:marBottom w:val="0"/>
          <w:divBdr>
            <w:top w:val="single" w:sz="6" w:space="0" w:color="E5E5E5"/>
            <w:left w:val="none" w:sz="0" w:space="0" w:color="auto"/>
            <w:bottom w:val="single" w:sz="18" w:space="0" w:color="000000"/>
            <w:right w:val="none" w:sz="0" w:space="0" w:color="auto"/>
          </w:divBdr>
          <w:divsChild>
            <w:div w:id="279654068">
              <w:marLeft w:val="0"/>
              <w:marRight w:val="0"/>
              <w:marTop w:val="0"/>
              <w:marBottom w:val="0"/>
              <w:divBdr>
                <w:top w:val="none" w:sz="0" w:space="0" w:color="auto"/>
                <w:left w:val="none" w:sz="0" w:space="0" w:color="auto"/>
                <w:bottom w:val="none" w:sz="0" w:space="0" w:color="auto"/>
                <w:right w:val="none" w:sz="0" w:space="0" w:color="auto"/>
              </w:divBdr>
              <w:divsChild>
                <w:div w:id="100697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678242">
          <w:marLeft w:val="0"/>
          <w:marRight w:val="0"/>
          <w:marTop w:val="0"/>
          <w:marBottom w:val="0"/>
          <w:divBdr>
            <w:top w:val="none" w:sz="0" w:space="0" w:color="auto"/>
            <w:left w:val="none" w:sz="0" w:space="0" w:color="auto"/>
            <w:bottom w:val="none" w:sz="0" w:space="0" w:color="auto"/>
            <w:right w:val="none" w:sz="0" w:space="0" w:color="auto"/>
          </w:divBdr>
          <w:divsChild>
            <w:div w:id="1980182279">
              <w:marLeft w:val="0"/>
              <w:marRight w:val="0"/>
              <w:marTop w:val="0"/>
              <w:marBottom w:val="0"/>
              <w:divBdr>
                <w:top w:val="none" w:sz="0" w:space="0" w:color="auto"/>
                <w:left w:val="none" w:sz="0" w:space="0" w:color="auto"/>
                <w:bottom w:val="none" w:sz="0" w:space="0" w:color="auto"/>
                <w:right w:val="none" w:sz="0" w:space="0" w:color="auto"/>
              </w:divBdr>
              <w:divsChild>
                <w:div w:id="1711608099">
                  <w:marLeft w:val="0"/>
                  <w:marRight w:val="0"/>
                  <w:marTop w:val="0"/>
                  <w:marBottom w:val="0"/>
                  <w:divBdr>
                    <w:top w:val="none" w:sz="0" w:space="0" w:color="auto"/>
                    <w:left w:val="none" w:sz="0" w:space="0" w:color="auto"/>
                    <w:bottom w:val="none" w:sz="0" w:space="0" w:color="auto"/>
                    <w:right w:val="none" w:sz="0" w:space="0" w:color="auto"/>
                  </w:divBdr>
                  <w:divsChild>
                    <w:div w:id="473985918">
                      <w:marLeft w:val="0"/>
                      <w:marRight w:val="0"/>
                      <w:marTop w:val="0"/>
                      <w:marBottom w:val="300"/>
                      <w:divBdr>
                        <w:top w:val="none" w:sz="0" w:space="0" w:color="auto"/>
                        <w:left w:val="none" w:sz="0" w:space="0" w:color="auto"/>
                        <w:bottom w:val="none" w:sz="0" w:space="0" w:color="auto"/>
                        <w:right w:val="none" w:sz="0" w:space="0" w:color="auto"/>
                      </w:divBdr>
                      <w:divsChild>
                        <w:div w:id="697509084">
                          <w:marLeft w:val="0"/>
                          <w:marRight w:val="0"/>
                          <w:marTop w:val="0"/>
                          <w:marBottom w:val="225"/>
                          <w:divBdr>
                            <w:top w:val="single" w:sz="6" w:space="11" w:color="E5E5E5"/>
                            <w:left w:val="single" w:sz="6" w:space="11" w:color="E5E5E5"/>
                            <w:bottom w:val="single" w:sz="6" w:space="1" w:color="E5E5E5"/>
                            <w:right w:val="single" w:sz="6" w:space="11" w:color="E5E5E5"/>
                          </w:divBdr>
                          <w:divsChild>
                            <w:div w:id="73474622">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573195088">
      <w:bodyDiv w:val="1"/>
      <w:marLeft w:val="0"/>
      <w:marRight w:val="0"/>
      <w:marTop w:val="0"/>
      <w:marBottom w:val="0"/>
      <w:divBdr>
        <w:top w:val="none" w:sz="0" w:space="0" w:color="auto"/>
        <w:left w:val="none" w:sz="0" w:space="0" w:color="auto"/>
        <w:bottom w:val="none" w:sz="0" w:space="0" w:color="auto"/>
        <w:right w:val="none" w:sz="0" w:space="0" w:color="auto"/>
      </w:divBdr>
      <w:divsChild>
        <w:div w:id="250506016">
          <w:marLeft w:val="0"/>
          <w:marRight w:val="0"/>
          <w:marTop w:val="0"/>
          <w:marBottom w:val="300"/>
          <w:divBdr>
            <w:top w:val="none" w:sz="0" w:space="0" w:color="auto"/>
            <w:left w:val="none" w:sz="0" w:space="0" w:color="auto"/>
            <w:bottom w:val="none" w:sz="0" w:space="0" w:color="auto"/>
            <w:right w:val="none" w:sz="0" w:space="0" w:color="auto"/>
          </w:divBdr>
          <w:divsChild>
            <w:div w:id="807160858">
              <w:marLeft w:val="0"/>
              <w:marRight w:val="0"/>
              <w:marTop w:val="0"/>
              <w:marBottom w:val="0"/>
              <w:divBdr>
                <w:top w:val="none" w:sz="0" w:space="0" w:color="auto"/>
                <w:left w:val="none" w:sz="0" w:space="0" w:color="auto"/>
                <w:bottom w:val="none" w:sz="0" w:space="0" w:color="auto"/>
                <w:right w:val="none" w:sz="0" w:space="0" w:color="auto"/>
              </w:divBdr>
            </w:div>
          </w:divsChild>
        </w:div>
        <w:div w:id="518206626">
          <w:marLeft w:val="0"/>
          <w:marRight w:val="0"/>
          <w:marTop w:val="0"/>
          <w:marBottom w:val="75"/>
          <w:divBdr>
            <w:top w:val="none" w:sz="0" w:space="0" w:color="auto"/>
            <w:left w:val="none" w:sz="0" w:space="0" w:color="auto"/>
            <w:bottom w:val="none" w:sz="0" w:space="0" w:color="auto"/>
            <w:right w:val="none" w:sz="0" w:space="0" w:color="auto"/>
          </w:divBdr>
        </w:div>
        <w:div w:id="709838535">
          <w:marLeft w:val="0"/>
          <w:marRight w:val="0"/>
          <w:marTop w:val="0"/>
          <w:marBottom w:val="0"/>
          <w:divBdr>
            <w:top w:val="none" w:sz="0" w:space="0" w:color="auto"/>
            <w:left w:val="none" w:sz="0" w:space="0" w:color="auto"/>
            <w:bottom w:val="none" w:sz="0" w:space="0" w:color="auto"/>
            <w:right w:val="none" w:sz="0" w:space="0" w:color="auto"/>
          </w:divBdr>
          <w:divsChild>
            <w:div w:id="616909023">
              <w:marLeft w:val="0"/>
              <w:marRight w:val="0"/>
              <w:marTop w:val="0"/>
              <w:marBottom w:val="0"/>
              <w:divBdr>
                <w:top w:val="none" w:sz="0" w:space="0" w:color="auto"/>
                <w:left w:val="none" w:sz="0" w:space="0" w:color="auto"/>
                <w:bottom w:val="none" w:sz="0" w:space="0" w:color="auto"/>
                <w:right w:val="none" w:sz="0" w:space="0" w:color="auto"/>
              </w:divBdr>
              <w:divsChild>
                <w:div w:id="820077382">
                  <w:marLeft w:val="0"/>
                  <w:marRight w:val="0"/>
                  <w:marTop w:val="0"/>
                  <w:marBottom w:val="0"/>
                  <w:divBdr>
                    <w:top w:val="none" w:sz="0" w:space="0" w:color="auto"/>
                    <w:left w:val="none" w:sz="0" w:space="0" w:color="auto"/>
                    <w:bottom w:val="none" w:sz="0" w:space="0" w:color="auto"/>
                    <w:right w:val="none" w:sz="0" w:space="0" w:color="auto"/>
                  </w:divBdr>
                  <w:divsChild>
                    <w:div w:id="199055457">
                      <w:marLeft w:val="0"/>
                      <w:marRight w:val="0"/>
                      <w:marTop w:val="0"/>
                      <w:marBottom w:val="0"/>
                      <w:divBdr>
                        <w:top w:val="none" w:sz="0" w:space="0" w:color="auto"/>
                        <w:left w:val="none" w:sz="0" w:space="0" w:color="auto"/>
                        <w:bottom w:val="none" w:sz="0" w:space="0" w:color="auto"/>
                        <w:right w:val="none" w:sz="0" w:space="0" w:color="auto"/>
                      </w:divBdr>
                      <w:divsChild>
                        <w:div w:id="1554779024">
                          <w:marLeft w:val="0"/>
                          <w:marRight w:val="0"/>
                          <w:marTop w:val="0"/>
                          <w:marBottom w:val="0"/>
                          <w:divBdr>
                            <w:top w:val="none" w:sz="0" w:space="0" w:color="auto"/>
                            <w:left w:val="none" w:sz="0" w:space="0" w:color="auto"/>
                            <w:bottom w:val="none" w:sz="0" w:space="0" w:color="auto"/>
                            <w:right w:val="none" w:sz="0" w:space="0" w:color="auto"/>
                          </w:divBdr>
                          <w:divsChild>
                            <w:div w:id="1643534318">
                              <w:marLeft w:val="0"/>
                              <w:marRight w:val="0"/>
                              <w:marTop w:val="0"/>
                              <w:marBottom w:val="0"/>
                              <w:divBdr>
                                <w:top w:val="none" w:sz="0" w:space="0" w:color="auto"/>
                                <w:left w:val="none" w:sz="0" w:space="0" w:color="auto"/>
                                <w:bottom w:val="none" w:sz="0" w:space="0" w:color="auto"/>
                                <w:right w:val="none" w:sz="0" w:space="0" w:color="auto"/>
                              </w:divBdr>
                              <w:divsChild>
                                <w:div w:id="1327591958">
                                  <w:marLeft w:val="0"/>
                                  <w:marRight w:val="0"/>
                                  <w:marTop w:val="0"/>
                                  <w:marBottom w:val="0"/>
                                  <w:divBdr>
                                    <w:top w:val="none" w:sz="0" w:space="0" w:color="auto"/>
                                    <w:left w:val="none" w:sz="0" w:space="0" w:color="auto"/>
                                    <w:bottom w:val="none" w:sz="0" w:space="0" w:color="auto"/>
                                    <w:right w:val="none" w:sz="0" w:space="0" w:color="auto"/>
                                  </w:divBdr>
                                  <w:divsChild>
                                    <w:div w:id="143736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986114">
          <w:marLeft w:val="0"/>
          <w:marRight w:val="0"/>
          <w:marTop w:val="0"/>
          <w:marBottom w:val="0"/>
          <w:divBdr>
            <w:top w:val="none" w:sz="0" w:space="0" w:color="auto"/>
            <w:left w:val="none" w:sz="0" w:space="0" w:color="auto"/>
            <w:bottom w:val="none" w:sz="0" w:space="0" w:color="auto"/>
            <w:right w:val="none" w:sz="0" w:space="0" w:color="auto"/>
          </w:divBdr>
          <w:divsChild>
            <w:div w:id="1827740315">
              <w:marLeft w:val="0"/>
              <w:marRight w:val="0"/>
              <w:marTop w:val="0"/>
              <w:marBottom w:val="0"/>
              <w:divBdr>
                <w:top w:val="none" w:sz="0" w:space="0" w:color="auto"/>
                <w:left w:val="none" w:sz="0" w:space="0" w:color="auto"/>
                <w:bottom w:val="none" w:sz="0" w:space="0" w:color="auto"/>
                <w:right w:val="none" w:sz="0" w:space="0" w:color="auto"/>
              </w:divBdr>
              <w:divsChild>
                <w:div w:id="4367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348753">
      <w:bodyDiv w:val="1"/>
      <w:marLeft w:val="0"/>
      <w:marRight w:val="0"/>
      <w:marTop w:val="0"/>
      <w:marBottom w:val="0"/>
      <w:divBdr>
        <w:top w:val="none" w:sz="0" w:space="0" w:color="auto"/>
        <w:left w:val="none" w:sz="0" w:space="0" w:color="auto"/>
        <w:bottom w:val="none" w:sz="0" w:space="0" w:color="auto"/>
        <w:right w:val="none" w:sz="0" w:space="0" w:color="auto"/>
      </w:divBdr>
      <w:divsChild>
        <w:div w:id="211158496">
          <w:marLeft w:val="0"/>
          <w:marRight w:val="0"/>
          <w:marTop w:val="0"/>
          <w:marBottom w:val="150"/>
          <w:divBdr>
            <w:top w:val="none" w:sz="0" w:space="0" w:color="auto"/>
            <w:left w:val="none" w:sz="0" w:space="0" w:color="auto"/>
            <w:bottom w:val="none" w:sz="0" w:space="0" w:color="auto"/>
            <w:right w:val="none" w:sz="0" w:space="0" w:color="auto"/>
          </w:divBdr>
        </w:div>
      </w:divsChild>
    </w:div>
    <w:div w:id="1573544324">
      <w:bodyDiv w:val="1"/>
      <w:marLeft w:val="0"/>
      <w:marRight w:val="0"/>
      <w:marTop w:val="0"/>
      <w:marBottom w:val="0"/>
      <w:divBdr>
        <w:top w:val="none" w:sz="0" w:space="0" w:color="auto"/>
        <w:left w:val="none" w:sz="0" w:space="0" w:color="auto"/>
        <w:bottom w:val="none" w:sz="0" w:space="0" w:color="auto"/>
        <w:right w:val="none" w:sz="0" w:space="0" w:color="auto"/>
      </w:divBdr>
      <w:divsChild>
        <w:div w:id="2091541156">
          <w:marLeft w:val="0"/>
          <w:marRight w:val="0"/>
          <w:marTop w:val="0"/>
          <w:marBottom w:val="0"/>
          <w:divBdr>
            <w:top w:val="none" w:sz="0" w:space="0" w:color="auto"/>
            <w:left w:val="none" w:sz="0" w:space="0" w:color="auto"/>
            <w:bottom w:val="dotted" w:sz="6" w:space="4" w:color="DDDDDD"/>
            <w:right w:val="none" w:sz="0" w:space="0" w:color="auto"/>
          </w:divBdr>
          <w:divsChild>
            <w:div w:id="131630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544836">
      <w:bodyDiv w:val="1"/>
      <w:marLeft w:val="0"/>
      <w:marRight w:val="0"/>
      <w:marTop w:val="0"/>
      <w:marBottom w:val="0"/>
      <w:divBdr>
        <w:top w:val="none" w:sz="0" w:space="0" w:color="auto"/>
        <w:left w:val="none" w:sz="0" w:space="0" w:color="auto"/>
        <w:bottom w:val="none" w:sz="0" w:space="0" w:color="auto"/>
        <w:right w:val="none" w:sz="0" w:space="0" w:color="auto"/>
      </w:divBdr>
      <w:divsChild>
        <w:div w:id="1615553182">
          <w:marLeft w:val="0"/>
          <w:marRight w:val="0"/>
          <w:marTop w:val="225"/>
          <w:marBottom w:val="225"/>
          <w:divBdr>
            <w:top w:val="none" w:sz="0" w:space="0" w:color="auto"/>
            <w:left w:val="none" w:sz="0" w:space="0" w:color="auto"/>
            <w:bottom w:val="none" w:sz="0" w:space="0" w:color="auto"/>
            <w:right w:val="none" w:sz="0" w:space="0" w:color="auto"/>
          </w:divBdr>
        </w:div>
        <w:div w:id="1696344466">
          <w:marLeft w:val="0"/>
          <w:marRight w:val="0"/>
          <w:marTop w:val="0"/>
          <w:marBottom w:val="150"/>
          <w:divBdr>
            <w:top w:val="none" w:sz="0" w:space="0" w:color="auto"/>
            <w:left w:val="none" w:sz="0" w:space="0" w:color="auto"/>
            <w:bottom w:val="none" w:sz="0" w:space="0" w:color="auto"/>
            <w:right w:val="none" w:sz="0" w:space="0" w:color="auto"/>
          </w:divBdr>
        </w:div>
      </w:divsChild>
    </w:div>
    <w:div w:id="1573732385">
      <w:bodyDiv w:val="1"/>
      <w:marLeft w:val="0"/>
      <w:marRight w:val="0"/>
      <w:marTop w:val="0"/>
      <w:marBottom w:val="0"/>
      <w:divBdr>
        <w:top w:val="none" w:sz="0" w:space="0" w:color="auto"/>
        <w:left w:val="none" w:sz="0" w:space="0" w:color="auto"/>
        <w:bottom w:val="none" w:sz="0" w:space="0" w:color="auto"/>
        <w:right w:val="none" w:sz="0" w:space="0" w:color="auto"/>
      </w:divBdr>
      <w:divsChild>
        <w:div w:id="191496791">
          <w:marLeft w:val="0"/>
          <w:marRight w:val="0"/>
          <w:marTop w:val="0"/>
          <w:marBottom w:val="0"/>
          <w:divBdr>
            <w:top w:val="none" w:sz="0" w:space="0" w:color="auto"/>
            <w:left w:val="none" w:sz="0" w:space="0" w:color="auto"/>
            <w:bottom w:val="none" w:sz="0" w:space="0" w:color="auto"/>
            <w:right w:val="none" w:sz="0" w:space="0" w:color="auto"/>
          </w:divBdr>
        </w:div>
      </w:divsChild>
    </w:div>
    <w:div w:id="1573737041">
      <w:bodyDiv w:val="1"/>
      <w:marLeft w:val="0"/>
      <w:marRight w:val="0"/>
      <w:marTop w:val="0"/>
      <w:marBottom w:val="0"/>
      <w:divBdr>
        <w:top w:val="none" w:sz="0" w:space="0" w:color="auto"/>
        <w:left w:val="none" w:sz="0" w:space="0" w:color="auto"/>
        <w:bottom w:val="none" w:sz="0" w:space="0" w:color="auto"/>
        <w:right w:val="none" w:sz="0" w:space="0" w:color="auto"/>
      </w:divBdr>
      <w:divsChild>
        <w:div w:id="917714620">
          <w:marLeft w:val="0"/>
          <w:marRight w:val="0"/>
          <w:marTop w:val="0"/>
          <w:marBottom w:val="150"/>
          <w:divBdr>
            <w:top w:val="none" w:sz="0" w:space="0" w:color="auto"/>
            <w:left w:val="none" w:sz="0" w:space="0" w:color="auto"/>
            <w:bottom w:val="none" w:sz="0" w:space="0" w:color="auto"/>
            <w:right w:val="none" w:sz="0" w:space="0" w:color="auto"/>
          </w:divBdr>
          <w:divsChild>
            <w:div w:id="1381705101">
              <w:marLeft w:val="0"/>
              <w:marRight w:val="0"/>
              <w:marTop w:val="0"/>
              <w:marBottom w:val="0"/>
              <w:divBdr>
                <w:top w:val="none" w:sz="0" w:space="0" w:color="auto"/>
                <w:left w:val="none" w:sz="0" w:space="0" w:color="auto"/>
                <w:bottom w:val="none" w:sz="0" w:space="0" w:color="auto"/>
                <w:right w:val="none" w:sz="0" w:space="0" w:color="auto"/>
              </w:divBdr>
              <w:divsChild>
                <w:div w:id="445121899">
                  <w:marLeft w:val="0"/>
                  <w:marRight w:val="0"/>
                  <w:marTop w:val="0"/>
                  <w:marBottom w:val="0"/>
                  <w:divBdr>
                    <w:top w:val="none" w:sz="0" w:space="0" w:color="auto"/>
                    <w:left w:val="none" w:sz="0" w:space="0" w:color="auto"/>
                    <w:bottom w:val="none" w:sz="0" w:space="0" w:color="auto"/>
                    <w:right w:val="none" w:sz="0" w:space="0" w:color="auto"/>
                  </w:divBdr>
                  <w:divsChild>
                    <w:div w:id="491147123">
                      <w:marLeft w:val="0"/>
                      <w:marRight w:val="150"/>
                      <w:marTop w:val="0"/>
                      <w:marBottom w:val="0"/>
                      <w:divBdr>
                        <w:top w:val="none" w:sz="0" w:space="0" w:color="auto"/>
                        <w:left w:val="none" w:sz="0" w:space="0" w:color="auto"/>
                        <w:bottom w:val="none" w:sz="0" w:space="0" w:color="auto"/>
                        <w:right w:val="none" w:sz="0" w:space="0" w:color="auto"/>
                      </w:divBdr>
                      <w:divsChild>
                        <w:div w:id="53859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772865">
          <w:marLeft w:val="0"/>
          <w:marRight w:val="0"/>
          <w:marTop w:val="0"/>
          <w:marBottom w:val="0"/>
          <w:divBdr>
            <w:top w:val="none" w:sz="0" w:space="0" w:color="auto"/>
            <w:left w:val="none" w:sz="0" w:space="0" w:color="auto"/>
            <w:bottom w:val="none" w:sz="0" w:space="0" w:color="auto"/>
            <w:right w:val="none" w:sz="0" w:space="0" w:color="auto"/>
          </w:divBdr>
          <w:divsChild>
            <w:div w:id="1856000317">
              <w:marLeft w:val="0"/>
              <w:marRight w:val="0"/>
              <w:marTop w:val="0"/>
              <w:marBottom w:val="150"/>
              <w:divBdr>
                <w:top w:val="none" w:sz="0" w:space="0" w:color="auto"/>
                <w:left w:val="none" w:sz="0" w:space="0" w:color="auto"/>
                <w:bottom w:val="none" w:sz="0" w:space="0" w:color="auto"/>
                <w:right w:val="none" w:sz="0" w:space="0" w:color="auto"/>
              </w:divBdr>
            </w:div>
            <w:div w:id="516504306">
              <w:marLeft w:val="0"/>
              <w:marRight w:val="0"/>
              <w:marTop w:val="0"/>
              <w:marBottom w:val="0"/>
              <w:divBdr>
                <w:top w:val="none" w:sz="0" w:space="0" w:color="auto"/>
                <w:left w:val="none" w:sz="0" w:space="0" w:color="auto"/>
                <w:bottom w:val="none" w:sz="0" w:space="0" w:color="auto"/>
                <w:right w:val="none" w:sz="0" w:space="0" w:color="auto"/>
              </w:divBdr>
              <w:divsChild>
                <w:div w:id="15132278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573806738">
      <w:bodyDiv w:val="1"/>
      <w:marLeft w:val="0"/>
      <w:marRight w:val="0"/>
      <w:marTop w:val="0"/>
      <w:marBottom w:val="0"/>
      <w:divBdr>
        <w:top w:val="none" w:sz="0" w:space="0" w:color="auto"/>
        <w:left w:val="none" w:sz="0" w:space="0" w:color="auto"/>
        <w:bottom w:val="none" w:sz="0" w:space="0" w:color="auto"/>
        <w:right w:val="none" w:sz="0" w:space="0" w:color="auto"/>
      </w:divBdr>
      <w:divsChild>
        <w:div w:id="2015454007">
          <w:marLeft w:val="0"/>
          <w:marRight w:val="0"/>
          <w:marTop w:val="0"/>
          <w:marBottom w:val="0"/>
          <w:divBdr>
            <w:top w:val="none" w:sz="0" w:space="0" w:color="auto"/>
            <w:left w:val="none" w:sz="0" w:space="0" w:color="auto"/>
            <w:bottom w:val="none" w:sz="0" w:space="0" w:color="auto"/>
            <w:right w:val="none" w:sz="0" w:space="0" w:color="auto"/>
          </w:divBdr>
          <w:divsChild>
            <w:div w:id="408305103">
              <w:marLeft w:val="0"/>
              <w:marRight w:val="0"/>
              <w:marTop w:val="0"/>
              <w:marBottom w:val="0"/>
              <w:divBdr>
                <w:top w:val="none" w:sz="0" w:space="0" w:color="auto"/>
                <w:left w:val="none" w:sz="0" w:space="0" w:color="auto"/>
                <w:bottom w:val="none" w:sz="0" w:space="0" w:color="auto"/>
                <w:right w:val="none" w:sz="0" w:space="0" w:color="auto"/>
              </w:divBdr>
            </w:div>
            <w:div w:id="496923801">
              <w:marLeft w:val="0"/>
              <w:marRight w:val="0"/>
              <w:marTop w:val="0"/>
              <w:marBottom w:val="0"/>
              <w:divBdr>
                <w:top w:val="none" w:sz="0" w:space="0" w:color="auto"/>
                <w:left w:val="none" w:sz="0" w:space="0" w:color="auto"/>
                <w:bottom w:val="none" w:sz="0" w:space="0" w:color="auto"/>
                <w:right w:val="none" w:sz="0" w:space="0" w:color="auto"/>
              </w:divBdr>
            </w:div>
            <w:div w:id="621112956">
              <w:marLeft w:val="0"/>
              <w:marRight w:val="0"/>
              <w:marTop w:val="0"/>
              <w:marBottom w:val="0"/>
              <w:divBdr>
                <w:top w:val="none" w:sz="0" w:space="0" w:color="auto"/>
                <w:left w:val="none" w:sz="0" w:space="0" w:color="auto"/>
                <w:bottom w:val="none" w:sz="0" w:space="0" w:color="auto"/>
                <w:right w:val="none" w:sz="0" w:space="0" w:color="auto"/>
              </w:divBdr>
            </w:div>
            <w:div w:id="677317829">
              <w:marLeft w:val="0"/>
              <w:marRight w:val="0"/>
              <w:marTop w:val="0"/>
              <w:marBottom w:val="0"/>
              <w:divBdr>
                <w:top w:val="none" w:sz="0" w:space="0" w:color="auto"/>
                <w:left w:val="none" w:sz="0" w:space="0" w:color="auto"/>
                <w:bottom w:val="none" w:sz="0" w:space="0" w:color="auto"/>
                <w:right w:val="none" w:sz="0" w:space="0" w:color="auto"/>
              </w:divBdr>
            </w:div>
            <w:div w:id="837421111">
              <w:marLeft w:val="0"/>
              <w:marRight w:val="0"/>
              <w:marTop w:val="0"/>
              <w:marBottom w:val="0"/>
              <w:divBdr>
                <w:top w:val="none" w:sz="0" w:space="0" w:color="auto"/>
                <w:left w:val="none" w:sz="0" w:space="0" w:color="auto"/>
                <w:bottom w:val="none" w:sz="0" w:space="0" w:color="auto"/>
                <w:right w:val="none" w:sz="0" w:space="0" w:color="auto"/>
              </w:divBdr>
            </w:div>
            <w:div w:id="841941026">
              <w:marLeft w:val="0"/>
              <w:marRight w:val="0"/>
              <w:marTop w:val="0"/>
              <w:marBottom w:val="0"/>
              <w:divBdr>
                <w:top w:val="none" w:sz="0" w:space="0" w:color="auto"/>
                <w:left w:val="none" w:sz="0" w:space="0" w:color="auto"/>
                <w:bottom w:val="none" w:sz="0" w:space="0" w:color="auto"/>
                <w:right w:val="none" w:sz="0" w:space="0" w:color="auto"/>
              </w:divBdr>
            </w:div>
            <w:div w:id="909539556">
              <w:marLeft w:val="0"/>
              <w:marRight w:val="0"/>
              <w:marTop w:val="0"/>
              <w:marBottom w:val="0"/>
              <w:divBdr>
                <w:top w:val="none" w:sz="0" w:space="0" w:color="auto"/>
                <w:left w:val="none" w:sz="0" w:space="0" w:color="auto"/>
                <w:bottom w:val="none" w:sz="0" w:space="0" w:color="auto"/>
                <w:right w:val="none" w:sz="0" w:space="0" w:color="auto"/>
              </w:divBdr>
            </w:div>
            <w:div w:id="1026756205">
              <w:marLeft w:val="0"/>
              <w:marRight w:val="0"/>
              <w:marTop w:val="0"/>
              <w:marBottom w:val="0"/>
              <w:divBdr>
                <w:top w:val="none" w:sz="0" w:space="0" w:color="auto"/>
                <w:left w:val="none" w:sz="0" w:space="0" w:color="auto"/>
                <w:bottom w:val="none" w:sz="0" w:space="0" w:color="auto"/>
                <w:right w:val="none" w:sz="0" w:space="0" w:color="auto"/>
              </w:divBdr>
            </w:div>
            <w:div w:id="1034698834">
              <w:marLeft w:val="0"/>
              <w:marRight w:val="0"/>
              <w:marTop w:val="0"/>
              <w:marBottom w:val="0"/>
              <w:divBdr>
                <w:top w:val="none" w:sz="0" w:space="0" w:color="auto"/>
                <w:left w:val="none" w:sz="0" w:space="0" w:color="auto"/>
                <w:bottom w:val="none" w:sz="0" w:space="0" w:color="auto"/>
                <w:right w:val="none" w:sz="0" w:space="0" w:color="auto"/>
              </w:divBdr>
            </w:div>
            <w:div w:id="1077245965">
              <w:marLeft w:val="0"/>
              <w:marRight w:val="0"/>
              <w:marTop w:val="0"/>
              <w:marBottom w:val="0"/>
              <w:divBdr>
                <w:top w:val="none" w:sz="0" w:space="0" w:color="auto"/>
                <w:left w:val="none" w:sz="0" w:space="0" w:color="auto"/>
                <w:bottom w:val="none" w:sz="0" w:space="0" w:color="auto"/>
                <w:right w:val="none" w:sz="0" w:space="0" w:color="auto"/>
              </w:divBdr>
            </w:div>
            <w:div w:id="1267999336">
              <w:marLeft w:val="0"/>
              <w:marRight w:val="0"/>
              <w:marTop w:val="0"/>
              <w:marBottom w:val="0"/>
              <w:divBdr>
                <w:top w:val="none" w:sz="0" w:space="0" w:color="auto"/>
                <w:left w:val="none" w:sz="0" w:space="0" w:color="auto"/>
                <w:bottom w:val="none" w:sz="0" w:space="0" w:color="auto"/>
                <w:right w:val="none" w:sz="0" w:space="0" w:color="auto"/>
              </w:divBdr>
            </w:div>
            <w:div w:id="1574508304">
              <w:marLeft w:val="0"/>
              <w:marRight w:val="0"/>
              <w:marTop w:val="0"/>
              <w:marBottom w:val="0"/>
              <w:divBdr>
                <w:top w:val="none" w:sz="0" w:space="0" w:color="auto"/>
                <w:left w:val="none" w:sz="0" w:space="0" w:color="auto"/>
                <w:bottom w:val="none" w:sz="0" w:space="0" w:color="auto"/>
                <w:right w:val="none" w:sz="0" w:space="0" w:color="auto"/>
              </w:divBdr>
            </w:div>
            <w:div w:id="1621840229">
              <w:marLeft w:val="0"/>
              <w:marRight w:val="0"/>
              <w:marTop w:val="0"/>
              <w:marBottom w:val="0"/>
              <w:divBdr>
                <w:top w:val="none" w:sz="0" w:space="0" w:color="auto"/>
                <w:left w:val="none" w:sz="0" w:space="0" w:color="auto"/>
                <w:bottom w:val="none" w:sz="0" w:space="0" w:color="auto"/>
                <w:right w:val="none" w:sz="0" w:space="0" w:color="auto"/>
              </w:divBdr>
            </w:div>
            <w:div w:id="1909805629">
              <w:marLeft w:val="0"/>
              <w:marRight w:val="0"/>
              <w:marTop w:val="0"/>
              <w:marBottom w:val="0"/>
              <w:divBdr>
                <w:top w:val="none" w:sz="0" w:space="0" w:color="auto"/>
                <w:left w:val="none" w:sz="0" w:space="0" w:color="auto"/>
                <w:bottom w:val="none" w:sz="0" w:space="0" w:color="auto"/>
                <w:right w:val="none" w:sz="0" w:space="0" w:color="auto"/>
              </w:divBdr>
            </w:div>
            <w:div w:id="207507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2337">
      <w:bodyDiv w:val="1"/>
      <w:marLeft w:val="0"/>
      <w:marRight w:val="0"/>
      <w:marTop w:val="0"/>
      <w:marBottom w:val="0"/>
      <w:divBdr>
        <w:top w:val="none" w:sz="0" w:space="0" w:color="auto"/>
        <w:left w:val="none" w:sz="0" w:space="0" w:color="auto"/>
        <w:bottom w:val="none" w:sz="0" w:space="0" w:color="auto"/>
        <w:right w:val="none" w:sz="0" w:space="0" w:color="auto"/>
      </w:divBdr>
      <w:divsChild>
        <w:div w:id="748356330">
          <w:marLeft w:val="0"/>
          <w:marRight w:val="0"/>
          <w:marTop w:val="0"/>
          <w:marBottom w:val="0"/>
          <w:divBdr>
            <w:top w:val="none" w:sz="0" w:space="0" w:color="auto"/>
            <w:left w:val="none" w:sz="0" w:space="0" w:color="auto"/>
            <w:bottom w:val="none" w:sz="0" w:space="0" w:color="auto"/>
            <w:right w:val="none" w:sz="0" w:space="0" w:color="auto"/>
          </w:divBdr>
          <w:divsChild>
            <w:div w:id="487939390">
              <w:marLeft w:val="0"/>
              <w:marRight w:val="0"/>
              <w:marTop w:val="0"/>
              <w:marBottom w:val="0"/>
              <w:divBdr>
                <w:top w:val="none" w:sz="0" w:space="0" w:color="auto"/>
                <w:left w:val="none" w:sz="0" w:space="0" w:color="auto"/>
                <w:bottom w:val="none" w:sz="0" w:space="0" w:color="auto"/>
                <w:right w:val="none" w:sz="0" w:space="0" w:color="auto"/>
              </w:divBdr>
            </w:div>
          </w:divsChild>
        </w:div>
        <w:div w:id="818380389">
          <w:marLeft w:val="0"/>
          <w:marRight w:val="0"/>
          <w:marTop w:val="0"/>
          <w:marBottom w:val="150"/>
          <w:divBdr>
            <w:top w:val="none" w:sz="0" w:space="0" w:color="auto"/>
            <w:left w:val="none" w:sz="0" w:space="0" w:color="auto"/>
            <w:bottom w:val="none" w:sz="0" w:space="0" w:color="auto"/>
            <w:right w:val="none" w:sz="0" w:space="0" w:color="auto"/>
          </w:divBdr>
        </w:div>
        <w:div w:id="1619875016">
          <w:marLeft w:val="0"/>
          <w:marRight w:val="0"/>
          <w:marTop w:val="0"/>
          <w:marBottom w:val="150"/>
          <w:divBdr>
            <w:top w:val="none" w:sz="0" w:space="0" w:color="auto"/>
            <w:left w:val="none" w:sz="0" w:space="0" w:color="auto"/>
            <w:bottom w:val="none" w:sz="0" w:space="0" w:color="auto"/>
            <w:right w:val="none" w:sz="0" w:space="0" w:color="auto"/>
          </w:divBdr>
          <w:divsChild>
            <w:div w:id="69188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93288">
      <w:bodyDiv w:val="1"/>
      <w:marLeft w:val="0"/>
      <w:marRight w:val="0"/>
      <w:marTop w:val="0"/>
      <w:marBottom w:val="0"/>
      <w:divBdr>
        <w:top w:val="none" w:sz="0" w:space="0" w:color="auto"/>
        <w:left w:val="none" w:sz="0" w:space="0" w:color="auto"/>
        <w:bottom w:val="none" w:sz="0" w:space="0" w:color="auto"/>
        <w:right w:val="none" w:sz="0" w:space="0" w:color="auto"/>
      </w:divBdr>
    </w:div>
    <w:div w:id="1574586882">
      <w:bodyDiv w:val="1"/>
      <w:marLeft w:val="0"/>
      <w:marRight w:val="0"/>
      <w:marTop w:val="0"/>
      <w:marBottom w:val="0"/>
      <w:divBdr>
        <w:top w:val="none" w:sz="0" w:space="0" w:color="auto"/>
        <w:left w:val="none" w:sz="0" w:space="0" w:color="auto"/>
        <w:bottom w:val="none" w:sz="0" w:space="0" w:color="auto"/>
        <w:right w:val="none" w:sz="0" w:space="0" w:color="auto"/>
      </w:divBdr>
      <w:divsChild>
        <w:div w:id="1057516017">
          <w:marLeft w:val="0"/>
          <w:marRight w:val="0"/>
          <w:marTop w:val="0"/>
          <w:marBottom w:val="0"/>
          <w:divBdr>
            <w:top w:val="none" w:sz="0" w:space="0" w:color="auto"/>
            <w:left w:val="none" w:sz="0" w:space="0" w:color="auto"/>
            <w:bottom w:val="none" w:sz="0" w:space="0" w:color="auto"/>
            <w:right w:val="none" w:sz="0" w:space="0" w:color="auto"/>
          </w:divBdr>
        </w:div>
        <w:div w:id="1527212828">
          <w:marLeft w:val="0"/>
          <w:marRight w:val="0"/>
          <w:marTop w:val="0"/>
          <w:marBottom w:val="150"/>
          <w:divBdr>
            <w:top w:val="none" w:sz="0" w:space="0" w:color="auto"/>
            <w:left w:val="none" w:sz="0" w:space="0" w:color="auto"/>
            <w:bottom w:val="none" w:sz="0" w:space="0" w:color="auto"/>
            <w:right w:val="none" w:sz="0" w:space="0" w:color="auto"/>
          </w:divBdr>
        </w:div>
      </w:divsChild>
    </w:div>
    <w:div w:id="1576091264">
      <w:bodyDiv w:val="1"/>
      <w:marLeft w:val="0"/>
      <w:marRight w:val="0"/>
      <w:marTop w:val="0"/>
      <w:marBottom w:val="0"/>
      <w:divBdr>
        <w:top w:val="none" w:sz="0" w:space="0" w:color="auto"/>
        <w:left w:val="none" w:sz="0" w:space="0" w:color="auto"/>
        <w:bottom w:val="none" w:sz="0" w:space="0" w:color="auto"/>
        <w:right w:val="none" w:sz="0" w:space="0" w:color="auto"/>
      </w:divBdr>
      <w:divsChild>
        <w:div w:id="828638478">
          <w:marLeft w:val="0"/>
          <w:marRight w:val="0"/>
          <w:marTop w:val="0"/>
          <w:marBottom w:val="0"/>
          <w:divBdr>
            <w:top w:val="none" w:sz="0" w:space="0" w:color="auto"/>
            <w:left w:val="none" w:sz="0" w:space="0" w:color="auto"/>
            <w:bottom w:val="none" w:sz="0" w:space="0" w:color="auto"/>
            <w:right w:val="none" w:sz="0" w:space="0" w:color="auto"/>
          </w:divBdr>
          <w:divsChild>
            <w:div w:id="237373181">
              <w:marLeft w:val="0"/>
              <w:marRight w:val="0"/>
              <w:marTop w:val="0"/>
              <w:marBottom w:val="0"/>
              <w:divBdr>
                <w:top w:val="none" w:sz="0" w:space="0" w:color="auto"/>
                <w:left w:val="none" w:sz="0" w:space="0" w:color="auto"/>
                <w:bottom w:val="none" w:sz="0" w:space="0" w:color="auto"/>
                <w:right w:val="none" w:sz="0" w:space="0" w:color="auto"/>
              </w:divBdr>
              <w:divsChild>
                <w:div w:id="137534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142572">
          <w:marLeft w:val="0"/>
          <w:marRight w:val="0"/>
          <w:marTop w:val="0"/>
          <w:marBottom w:val="75"/>
          <w:divBdr>
            <w:top w:val="none" w:sz="0" w:space="0" w:color="auto"/>
            <w:left w:val="none" w:sz="0" w:space="0" w:color="auto"/>
            <w:bottom w:val="none" w:sz="0" w:space="0" w:color="auto"/>
            <w:right w:val="none" w:sz="0" w:space="0" w:color="auto"/>
          </w:divBdr>
        </w:div>
      </w:divsChild>
    </w:div>
    <w:div w:id="1576351649">
      <w:bodyDiv w:val="1"/>
      <w:marLeft w:val="0"/>
      <w:marRight w:val="0"/>
      <w:marTop w:val="0"/>
      <w:marBottom w:val="0"/>
      <w:divBdr>
        <w:top w:val="none" w:sz="0" w:space="0" w:color="auto"/>
        <w:left w:val="none" w:sz="0" w:space="0" w:color="auto"/>
        <w:bottom w:val="none" w:sz="0" w:space="0" w:color="auto"/>
        <w:right w:val="none" w:sz="0" w:space="0" w:color="auto"/>
      </w:divBdr>
      <w:divsChild>
        <w:div w:id="890192406">
          <w:marLeft w:val="0"/>
          <w:marRight w:val="0"/>
          <w:marTop w:val="0"/>
          <w:marBottom w:val="0"/>
          <w:divBdr>
            <w:top w:val="none" w:sz="0" w:space="0" w:color="auto"/>
            <w:left w:val="none" w:sz="0" w:space="0" w:color="auto"/>
            <w:bottom w:val="dotted" w:sz="6" w:space="4" w:color="DDDDDD"/>
            <w:right w:val="none" w:sz="0" w:space="0" w:color="auto"/>
          </w:divBdr>
          <w:divsChild>
            <w:div w:id="131591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357217">
      <w:bodyDiv w:val="1"/>
      <w:marLeft w:val="0"/>
      <w:marRight w:val="0"/>
      <w:marTop w:val="0"/>
      <w:marBottom w:val="0"/>
      <w:divBdr>
        <w:top w:val="none" w:sz="0" w:space="0" w:color="auto"/>
        <w:left w:val="none" w:sz="0" w:space="0" w:color="auto"/>
        <w:bottom w:val="none" w:sz="0" w:space="0" w:color="auto"/>
        <w:right w:val="none" w:sz="0" w:space="0" w:color="auto"/>
      </w:divBdr>
      <w:divsChild>
        <w:div w:id="843938617">
          <w:marLeft w:val="0"/>
          <w:marRight w:val="0"/>
          <w:marTop w:val="0"/>
          <w:marBottom w:val="0"/>
          <w:divBdr>
            <w:top w:val="none" w:sz="0" w:space="0" w:color="auto"/>
            <w:left w:val="none" w:sz="0" w:space="0" w:color="auto"/>
            <w:bottom w:val="none" w:sz="0" w:space="0" w:color="auto"/>
            <w:right w:val="none" w:sz="0" w:space="0" w:color="auto"/>
          </w:divBdr>
          <w:divsChild>
            <w:div w:id="2598728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7088801">
      <w:bodyDiv w:val="1"/>
      <w:marLeft w:val="0"/>
      <w:marRight w:val="0"/>
      <w:marTop w:val="0"/>
      <w:marBottom w:val="0"/>
      <w:divBdr>
        <w:top w:val="none" w:sz="0" w:space="0" w:color="auto"/>
        <w:left w:val="none" w:sz="0" w:space="0" w:color="auto"/>
        <w:bottom w:val="none" w:sz="0" w:space="0" w:color="auto"/>
        <w:right w:val="none" w:sz="0" w:space="0" w:color="auto"/>
      </w:divBdr>
      <w:divsChild>
        <w:div w:id="1279025365">
          <w:marLeft w:val="0"/>
          <w:marRight w:val="0"/>
          <w:marTop w:val="0"/>
          <w:marBottom w:val="150"/>
          <w:divBdr>
            <w:top w:val="none" w:sz="0" w:space="0" w:color="auto"/>
            <w:left w:val="none" w:sz="0" w:space="0" w:color="auto"/>
            <w:bottom w:val="none" w:sz="0" w:space="0" w:color="auto"/>
            <w:right w:val="none" w:sz="0" w:space="0" w:color="auto"/>
          </w:divBdr>
        </w:div>
      </w:divsChild>
    </w:div>
    <w:div w:id="1577091066">
      <w:bodyDiv w:val="1"/>
      <w:marLeft w:val="0"/>
      <w:marRight w:val="0"/>
      <w:marTop w:val="0"/>
      <w:marBottom w:val="0"/>
      <w:divBdr>
        <w:top w:val="none" w:sz="0" w:space="0" w:color="auto"/>
        <w:left w:val="none" w:sz="0" w:space="0" w:color="auto"/>
        <w:bottom w:val="none" w:sz="0" w:space="0" w:color="auto"/>
        <w:right w:val="none" w:sz="0" w:space="0" w:color="auto"/>
      </w:divBdr>
      <w:divsChild>
        <w:div w:id="573928178">
          <w:marLeft w:val="0"/>
          <w:marRight w:val="0"/>
          <w:marTop w:val="0"/>
          <w:marBottom w:val="0"/>
          <w:divBdr>
            <w:top w:val="none" w:sz="0" w:space="0" w:color="auto"/>
            <w:left w:val="none" w:sz="0" w:space="0" w:color="auto"/>
            <w:bottom w:val="none" w:sz="0" w:space="0" w:color="auto"/>
            <w:right w:val="none" w:sz="0" w:space="0" w:color="auto"/>
          </w:divBdr>
        </w:div>
      </w:divsChild>
    </w:div>
    <w:div w:id="1577280192">
      <w:bodyDiv w:val="1"/>
      <w:marLeft w:val="0"/>
      <w:marRight w:val="0"/>
      <w:marTop w:val="0"/>
      <w:marBottom w:val="0"/>
      <w:divBdr>
        <w:top w:val="none" w:sz="0" w:space="0" w:color="auto"/>
        <w:left w:val="none" w:sz="0" w:space="0" w:color="auto"/>
        <w:bottom w:val="none" w:sz="0" w:space="0" w:color="auto"/>
        <w:right w:val="none" w:sz="0" w:space="0" w:color="auto"/>
      </w:divBdr>
      <w:divsChild>
        <w:div w:id="692611815">
          <w:marLeft w:val="0"/>
          <w:marRight w:val="0"/>
          <w:marTop w:val="0"/>
          <w:marBottom w:val="0"/>
          <w:divBdr>
            <w:top w:val="none" w:sz="0" w:space="0" w:color="auto"/>
            <w:left w:val="none" w:sz="0" w:space="0" w:color="auto"/>
            <w:bottom w:val="none" w:sz="0" w:space="0" w:color="auto"/>
            <w:right w:val="none" w:sz="0" w:space="0" w:color="auto"/>
          </w:divBdr>
          <w:divsChild>
            <w:div w:id="769199192">
              <w:marLeft w:val="0"/>
              <w:marRight w:val="0"/>
              <w:marTop w:val="0"/>
              <w:marBottom w:val="0"/>
              <w:divBdr>
                <w:top w:val="none" w:sz="0" w:space="0" w:color="auto"/>
                <w:left w:val="none" w:sz="0" w:space="0" w:color="auto"/>
                <w:bottom w:val="none" w:sz="0" w:space="0" w:color="auto"/>
                <w:right w:val="none" w:sz="0" w:space="0" w:color="auto"/>
              </w:divBdr>
            </w:div>
          </w:divsChild>
        </w:div>
        <w:div w:id="833031485">
          <w:marLeft w:val="0"/>
          <w:marRight w:val="0"/>
          <w:marTop w:val="0"/>
          <w:marBottom w:val="0"/>
          <w:divBdr>
            <w:top w:val="none" w:sz="0" w:space="0" w:color="auto"/>
            <w:left w:val="none" w:sz="0" w:space="0" w:color="auto"/>
            <w:bottom w:val="none" w:sz="0" w:space="0" w:color="auto"/>
            <w:right w:val="none" w:sz="0" w:space="0" w:color="auto"/>
          </w:divBdr>
          <w:divsChild>
            <w:div w:id="1809009537">
              <w:marLeft w:val="0"/>
              <w:marRight w:val="0"/>
              <w:marTop w:val="0"/>
              <w:marBottom w:val="0"/>
              <w:divBdr>
                <w:top w:val="none" w:sz="0" w:space="0" w:color="auto"/>
                <w:left w:val="none" w:sz="0" w:space="0" w:color="auto"/>
                <w:bottom w:val="none" w:sz="0" w:space="0" w:color="auto"/>
                <w:right w:val="none" w:sz="0" w:space="0" w:color="auto"/>
              </w:divBdr>
              <w:divsChild>
                <w:div w:id="477653775">
                  <w:marLeft w:val="0"/>
                  <w:marRight w:val="0"/>
                  <w:marTop w:val="0"/>
                  <w:marBottom w:val="0"/>
                  <w:divBdr>
                    <w:top w:val="none" w:sz="0" w:space="0" w:color="auto"/>
                    <w:left w:val="none" w:sz="0" w:space="0" w:color="auto"/>
                    <w:bottom w:val="none" w:sz="0" w:space="0" w:color="auto"/>
                    <w:right w:val="none" w:sz="0" w:space="0" w:color="auto"/>
                  </w:divBdr>
                  <w:divsChild>
                    <w:div w:id="229077437">
                      <w:marLeft w:val="0"/>
                      <w:marRight w:val="0"/>
                      <w:marTop w:val="0"/>
                      <w:marBottom w:val="300"/>
                      <w:divBdr>
                        <w:top w:val="none" w:sz="0" w:space="0" w:color="auto"/>
                        <w:left w:val="none" w:sz="0" w:space="0" w:color="auto"/>
                        <w:bottom w:val="none" w:sz="0" w:space="0" w:color="auto"/>
                        <w:right w:val="none" w:sz="0" w:space="0" w:color="auto"/>
                      </w:divBdr>
                      <w:divsChild>
                        <w:div w:id="108084331">
                          <w:marLeft w:val="0"/>
                          <w:marRight w:val="0"/>
                          <w:marTop w:val="0"/>
                          <w:marBottom w:val="0"/>
                          <w:divBdr>
                            <w:top w:val="none" w:sz="0" w:space="0" w:color="auto"/>
                            <w:left w:val="none" w:sz="0" w:space="0" w:color="auto"/>
                            <w:bottom w:val="none" w:sz="0" w:space="0" w:color="auto"/>
                            <w:right w:val="none" w:sz="0" w:space="0" w:color="auto"/>
                          </w:divBdr>
                          <w:divsChild>
                            <w:div w:id="294026239">
                              <w:marLeft w:val="0"/>
                              <w:marRight w:val="0"/>
                              <w:marTop w:val="0"/>
                              <w:marBottom w:val="0"/>
                              <w:divBdr>
                                <w:top w:val="none" w:sz="0" w:space="0" w:color="auto"/>
                                <w:left w:val="none" w:sz="0" w:space="0" w:color="auto"/>
                                <w:bottom w:val="none" w:sz="0" w:space="0" w:color="auto"/>
                                <w:right w:val="none" w:sz="0" w:space="0" w:color="auto"/>
                              </w:divBdr>
                              <w:divsChild>
                                <w:div w:id="748693871">
                                  <w:marLeft w:val="0"/>
                                  <w:marRight w:val="0"/>
                                  <w:marTop w:val="0"/>
                                  <w:marBottom w:val="0"/>
                                  <w:divBdr>
                                    <w:top w:val="single" w:sz="2" w:space="0" w:color="DFDFDF"/>
                                    <w:left w:val="single" w:sz="2" w:space="0" w:color="DFDFDF"/>
                                    <w:bottom w:val="single" w:sz="2" w:space="0" w:color="DFDFDF"/>
                                    <w:right w:val="single" w:sz="2" w:space="0" w:color="DFDFDF"/>
                                  </w:divBdr>
                                  <w:divsChild>
                                    <w:div w:id="1088842098">
                                      <w:marLeft w:val="0"/>
                                      <w:marRight w:val="0"/>
                                      <w:marTop w:val="0"/>
                                      <w:marBottom w:val="270"/>
                                      <w:divBdr>
                                        <w:top w:val="none" w:sz="0" w:space="0" w:color="auto"/>
                                        <w:left w:val="none" w:sz="0" w:space="0" w:color="auto"/>
                                        <w:bottom w:val="single" w:sz="12" w:space="5" w:color="DADADA"/>
                                        <w:right w:val="none" w:sz="0" w:space="0" w:color="auto"/>
                                      </w:divBdr>
                                      <w:divsChild>
                                        <w:div w:id="1316883525">
                                          <w:marLeft w:val="0"/>
                                          <w:marRight w:val="0"/>
                                          <w:marTop w:val="0"/>
                                          <w:marBottom w:val="0"/>
                                          <w:divBdr>
                                            <w:top w:val="none" w:sz="0" w:space="0" w:color="auto"/>
                                            <w:left w:val="none" w:sz="0" w:space="0" w:color="auto"/>
                                            <w:bottom w:val="none" w:sz="0" w:space="0" w:color="auto"/>
                                            <w:right w:val="none" w:sz="0" w:space="0" w:color="auto"/>
                                          </w:divBdr>
                                        </w:div>
                                      </w:divsChild>
                                    </w:div>
                                    <w:div w:id="1544362771">
                                      <w:marLeft w:val="-90"/>
                                      <w:marRight w:val="0"/>
                                      <w:marTop w:val="0"/>
                                      <w:marBottom w:val="0"/>
                                      <w:divBdr>
                                        <w:top w:val="none" w:sz="0" w:space="0" w:color="auto"/>
                                        <w:left w:val="none" w:sz="0" w:space="0" w:color="auto"/>
                                        <w:bottom w:val="none" w:sz="0" w:space="0" w:color="auto"/>
                                        <w:right w:val="none" w:sz="0" w:space="0" w:color="auto"/>
                                      </w:divBdr>
                                      <w:divsChild>
                                        <w:div w:id="712654835">
                                          <w:marLeft w:val="0"/>
                                          <w:marRight w:val="0"/>
                                          <w:marTop w:val="0"/>
                                          <w:marBottom w:val="45"/>
                                          <w:divBdr>
                                            <w:top w:val="single" w:sz="2" w:space="0" w:color="A9A9A9"/>
                                            <w:left w:val="single" w:sz="2" w:space="0" w:color="A9A9A9"/>
                                            <w:bottom w:val="single" w:sz="2" w:space="0" w:color="A9A9A9"/>
                                            <w:right w:val="single" w:sz="2" w:space="0" w:color="A9A9A9"/>
                                          </w:divBdr>
                                          <w:divsChild>
                                            <w:div w:id="1772507459">
                                              <w:marLeft w:val="0"/>
                                              <w:marRight w:val="0"/>
                                              <w:marTop w:val="0"/>
                                              <w:marBottom w:val="0"/>
                                              <w:divBdr>
                                                <w:top w:val="none" w:sz="0" w:space="0" w:color="auto"/>
                                                <w:left w:val="none" w:sz="0" w:space="0" w:color="auto"/>
                                                <w:bottom w:val="none" w:sz="0" w:space="0" w:color="auto"/>
                                                <w:right w:val="none" w:sz="0" w:space="0" w:color="auto"/>
                                              </w:divBdr>
                                              <w:divsChild>
                                                <w:div w:id="184543154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711880482">
                          <w:marLeft w:val="0"/>
                          <w:marRight w:val="0"/>
                          <w:marTop w:val="0"/>
                          <w:marBottom w:val="0"/>
                          <w:divBdr>
                            <w:top w:val="none" w:sz="0" w:space="0" w:color="auto"/>
                            <w:left w:val="none" w:sz="0" w:space="0" w:color="auto"/>
                            <w:bottom w:val="none" w:sz="0" w:space="0" w:color="auto"/>
                            <w:right w:val="none" w:sz="0" w:space="0" w:color="auto"/>
                          </w:divBdr>
                          <w:divsChild>
                            <w:div w:id="1453860180">
                              <w:marLeft w:val="0"/>
                              <w:marRight w:val="0"/>
                              <w:marTop w:val="0"/>
                              <w:marBottom w:val="0"/>
                              <w:divBdr>
                                <w:top w:val="none" w:sz="0" w:space="0" w:color="auto"/>
                                <w:left w:val="none" w:sz="0" w:space="0" w:color="auto"/>
                                <w:bottom w:val="none" w:sz="0" w:space="0" w:color="auto"/>
                                <w:right w:val="none" w:sz="0" w:space="0" w:color="auto"/>
                              </w:divBdr>
                              <w:divsChild>
                                <w:div w:id="530382853">
                                  <w:marLeft w:val="0"/>
                                  <w:marRight w:val="0"/>
                                  <w:marTop w:val="0"/>
                                  <w:marBottom w:val="0"/>
                                  <w:divBdr>
                                    <w:top w:val="single" w:sz="2" w:space="0" w:color="DFDFDF"/>
                                    <w:left w:val="single" w:sz="2" w:space="0" w:color="DFDFDF"/>
                                    <w:bottom w:val="single" w:sz="2" w:space="0" w:color="DFDFDF"/>
                                    <w:right w:val="single" w:sz="2" w:space="0" w:color="DFDFDF"/>
                                  </w:divBdr>
                                  <w:divsChild>
                                    <w:div w:id="205485462">
                                      <w:marLeft w:val="-90"/>
                                      <w:marRight w:val="0"/>
                                      <w:marTop w:val="0"/>
                                      <w:marBottom w:val="0"/>
                                      <w:divBdr>
                                        <w:top w:val="none" w:sz="0" w:space="0" w:color="auto"/>
                                        <w:left w:val="none" w:sz="0" w:space="0" w:color="auto"/>
                                        <w:bottom w:val="none" w:sz="0" w:space="0" w:color="auto"/>
                                        <w:right w:val="none" w:sz="0" w:space="0" w:color="auto"/>
                                      </w:divBdr>
                                      <w:divsChild>
                                        <w:div w:id="778375940">
                                          <w:marLeft w:val="0"/>
                                          <w:marRight w:val="0"/>
                                          <w:marTop w:val="0"/>
                                          <w:marBottom w:val="45"/>
                                          <w:divBdr>
                                            <w:top w:val="single" w:sz="2" w:space="0" w:color="A9A9A9"/>
                                            <w:left w:val="single" w:sz="2" w:space="0" w:color="A9A9A9"/>
                                            <w:bottom w:val="single" w:sz="2" w:space="0" w:color="A9A9A9"/>
                                            <w:right w:val="single" w:sz="2" w:space="0" w:color="A9A9A9"/>
                                          </w:divBdr>
                                          <w:divsChild>
                                            <w:div w:id="530800841">
                                              <w:marLeft w:val="0"/>
                                              <w:marRight w:val="0"/>
                                              <w:marTop w:val="0"/>
                                              <w:marBottom w:val="0"/>
                                              <w:divBdr>
                                                <w:top w:val="none" w:sz="0" w:space="0" w:color="auto"/>
                                                <w:left w:val="none" w:sz="0" w:space="0" w:color="auto"/>
                                                <w:bottom w:val="none" w:sz="0" w:space="0" w:color="auto"/>
                                                <w:right w:val="none" w:sz="0" w:space="0" w:color="auto"/>
                                              </w:divBdr>
                                              <w:divsChild>
                                                <w:div w:id="76371775">
                                                  <w:marLeft w:val="92"/>
                                                  <w:marRight w:val="0"/>
                                                  <w:marTop w:val="0"/>
                                                  <w:marBottom w:val="150"/>
                                                  <w:divBdr>
                                                    <w:top w:val="single" w:sz="2" w:space="0" w:color="E4E4E4"/>
                                                    <w:left w:val="single" w:sz="2" w:space="0" w:color="E4E4E4"/>
                                                    <w:bottom w:val="single" w:sz="2" w:space="0" w:color="E4E4E4"/>
                                                    <w:right w:val="single" w:sz="2" w:space="0" w:color="E4E4E4"/>
                                                  </w:divBdr>
                                                </w:div>
                                                <w:div w:id="16871582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847718408">
                      <w:marLeft w:val="0"/>
                      <w:marRight w:val="0"/>
                      <w:marTop w:val="0"/>
                      <w:marBottom w:val="300"/>
                      <w:divBdr>
                        <w:top w:val="none" w:sz="0" w:space="0" w:color="auto"/>
                        <w:left w:val="none" w:sz="0" w:space="0" w:color="auto"/>
                        <w:bottom w:val="none" w:sz="0" w:space="0" w:color="auto"/>
                        <w:right w:val="none" w:sz="0" w:space="0" w:color="auto"/>
                      </w:divBdr>
                      <w:divsChild>
                        <w:div w:id="1366369734">
                          <w:marLeft w:val="0"/>
                          <w:marRight w:val="0"/>
                          <w:marTop w:val="0"/>
                          <w:marBottom w:val="0"/>
                          <w:divBdr>
                            <w:top w:val="none" w:sz="0" w:space="0" w:color="auto"/>
                            <w:left w:val="none" w:sz="0" w:space="0" w:color="auto"/>
                            <w:bottom w:val="none" w:sz="0" w:space="0" w:color="auto"/>
                            <w:right w:val="none" w:sz="0" w:space="0" w:color="auto"/>
                          </w:divBdr>
                          <w:divsChild>
                            <w:div w:id="1208567541">
                              <w:marLeft w:val="0"/>
                              <w:marRight w:val="0"/>
                              <w:marTop w:val="0"/>
                              <w:marBottom w:val="0"/>
                              <w:divBdr>
                                <w:top w:val="none" w:sz="0" w:space="0" w:color="auto"/>
                                <w:left w:val="none" w:sz="0" w:space="0" w:color="auto"/>
                                <w:bottom w:val="none" w:sz="0" w:space="0" w:color="auto"/>
                                <w:right w:val="none" w:sz="0" w:space="0" w:color="auto"/>
                              </w:divBdr>
                              <w:divsChild>
                                <w:div w:id="1732383255">
                                  <w:marLeft w:val="0"/>
                                  <w:marRight w:val="600"/>
                                  <w:marTop w:val="0"/>
                                  <w:marBottom w:val="0"/>
                                  <w:divBdr>
                                    <w:top w:val="none" w:sz="0" w:space="0" w:color="auto"/>
                                    <w:left w:val="none" w:sz="0" w:space="0" w:color="auto"/>
                                    <w:bottom w:val="none" w:sz="0" w:space="0" w:color="auto"/>
                                    <w:right w:val="none" w:sz="0" w:space="0" w:color="auto"/>
                                  </w:divBdr>
                                  <w:divsChild>
                                    <w:div w:id="211430749">
                                      <w:marLeft w:val="0"/>
                                      <w:marRight w:val="0"/>
                                      <w:marTop w:val="0"/>
                                      <w:marBottom w:val="120"/>
                                      <w:divBdr>
                                        <w:top w:val="none" w:sz="0" w:space="0" w:color="auto"/>
                                        <w:left w:val="none" w:sz="0" w:space="0" w:color="auto"/>
                                        <w:bottom w:val="single" w:sz="6" w:space="6" w:color="EEEEEE"/>
                                        <w:right w:val="none" w:sz="0" w:space="0" w:color="auto"/>
                                      </w:divBdr>
                                      <w:divsChild>
                                        <w:div w:id="1992057960">
                                          <w:marLeft w:val="0"/>
                                          <w:marRight w:val="0"/>
                                          <w:marTop w:val="0"/>
                                          <w:marBottom w:val="0"/>
                                          <w:divBdr>
                                            <w:top w:val="none" w:sz="0" w:space="0" w:color="auto"/>
                                            <w:left w:val="none" w:sz="0" w:space="0" w:color="auto"/>
                                            <w:bottom w:val="none" w:sz="0" w:space="0" w:color="auto"/>
                                            <w:right w:val="none" w:sz="0" w:space="0" w:color="auto"/>
                                          </w:divBdr>
                                        </w:div>
                                      </w:divsChild>
                                    </w:div>
                                    <w:div w:id="395251335">
                                      <w:marLeft w:val="0"/>
                                      <w:marRight w:val="0"/>
                                      <w:marTop w:val="0"/>
                                      <w:marBottom w:val="120"/>
                                      <w:divBdr>
                                        <w:top w:val="none" w:sz="0" w:space="0" w:color="auto"/>
                                        <w:left w:val="none" w:sz="0" w:space="0" w:color="auto"/>
                                        <w:bottom w:val="none" w:sz="0" w:space="0" w:color="auto"/>
                                        <w:right w:val="none" w:sz="0" w:space="0" w:color="auto"/>
                                      </w:divBdr>
                                      <w:divsChild>
                                        <w:div w:id="1147285341">
                                          <w:marLeft w:val="0"/>
                                          <w:marRight w:val="0"/>
                                          <w:marTop w:val="0"/>
                                          <w:marBottom w:val="0"/>
                                          <w:divBdr>
                                            <w:top w:val="none" w:sz="0" w:space="0" w:color="auto"/>
                                            <w:left w:val="none" w:sz="0" w:space="0" w:color="auto"/>
                                            <w:bottom w:val="none" w:sz="0" w:space="0" w:color="auto"/>
                                            <w:right w:val="none" w:sz="0" w:space="0" w:color="auto"/>
                                          </w:divBdr>
                                        </w:div>
                                      </w:divsChild>
                                    </w:div>
                                    <w:div w:id="469129505">
                                      <w:marLeft w:val="0"/>
                                      <w:marRight w:val="0"/>
                                      <w:marTop w:val="0"/>
                                      <w:marBottom w:val="120"/>
                                      <w:divBdr>
                                        <w:top w:val="none" w:sz="0" w:space="0" w:color="auto"/>
                                        <w:left w:val="none" w:sz="0" w:space="0" w:color="auto"/>
                                        <w:bottom w:val="single" w:sz="6" w:space="6" w:color="EEEEEE"/>
                                        <w:right w:val="none" w:sz="0" w:space="0" w:color="auto"/>
                                      </w:divBdr>
                                      <w:divsChild>
                                        <w:div w:id="2000958048">
                                          <w:marLeft w:val="0"/>
                                          <w:marRight w:val="0"/>
                                          <w:marTop w:val="0"/>
                                          <w:marBottom w:val="0"/>
                                          <w:divBdr>
                                            <w:top w:val="none" w:sz="0" w:space="0" w:color="auto"/>
                                            <w:left w:val="none" w:sz="0" w:space="0" w:color="auto"/>
                                            <w:bottom w:val="none" w:sz="0" w:space="0" w:color="auto"/>
                                            <w:right w:val="none" w:sz="0" w:space="0" w:color="auto"/>
                                          </w:divBdr>
                                        </w:div>
                                      </w:divsChild>
                                    </w:div>
                                    <w:div w:id="535198555">
                                      <w:marLeft w:val="0"/>
                                      <w:marRight w:val="0"/>
                                      <w:marTop w:val="0"/>
                                      <w:marBottom w:val="120"/>
                                      <w:divBdr>
                                        <w:top w:val="none" w:sz="0" w:space="0" w:color="auto"/>
                                        <w:left w:val="none" w:sz="0" w:space="0" w:color="auto"/>
                                        <w:bottom w:val="single" w:sz="6" w:space="6" w:color="EEEEEE"/>
                                        <w:right w:val="none" w:sz="0" w:space="0" w:color="auto"/>
                                      </w:divBdr>
                                      <w:divsChild>
                                        <w:div w:id="740521082">
                                          <w:marLeft w:val="0"/>
                                          <w:marRight w:val="0"/>
                                          <w:marTop w:val="0"/>
                                          <w:marBottom w:val="0"/>
                                          <w:divBdr>
                                            <w:top w:val="none" w:sz="0" w:space="0" w:color="auto"/>
                                            <w:left w:val="none" w:sz="0" w:space="0" w:color="auto"/>
                                            <w:bottom w:val="none" w:sz="0" w:space="0" w:color="auto"/>
                                            <w:right w:val="none" w:sz="0" w:space="0" w:color="auto"/>
                                          </w:divBdr>
                                        </w:div>
                                      </w:divsChild>
                                    </w:div>
                                    <w:div w:id="1486243420">
                                      <w:marLeft w:val="0"/>
                                      <w:marRight w:val="0"/>
                                      <w:marTop w:val="0"/>
                                      <w:marBottom w:val="120"/>
                                      <w:divBdr>
                                        <w:top w:val="none" w:sz="0" w:space="0" w:color="auto"/>
                                        <w:left w:val="none" w:sz="0" w:space="0" w:color="auto"/>
                                        <w:bottom w:val="single" w:sz="6" w:space="6" w:color="EEEEEE"/>
                                        <w:right w:val="none" w:sz="0" w:space="0" w:color="auto"/>
                                      </w:divBdr>
                                      <w:divsChild>
                                        <w:div w:id="139304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733924">
                                  <w:marLeft w:val="0"/>
                                  <w:marRight w:val="600"/>
                                  <w:marTop w:val="0"/>
                                  <w:marBottom w:val="0"/>
                                  <w:divBdr>
                                    <w:top w:val="none" w:sz="0" w:space="0" w:color="auto"/>
                                    <w:left w:val="none" w:sz="0" w:space="0" w:color="auto"/>
                                    <w:bottom w:val="none" w:sz="0" w:space="0" w:color="auto"/>
                                    <w:right w:val="none" w:sz="0" w:space="0" w:color="auto"/>
                                  </w:divBdr>
                                  <w:divsChild>
                                    <w:div w:id="89620369">
                                      <w:marLeft w:val="0"/>
                                      <w:marRight w:val="0"/>
                                      <w:marTop w:val="0"/>
                                      <w:marBottom w:val="120"/>
                                      <w:divBdr>
                                        <w:top w:val="none" w:sz="0" w:space="0" w:color="auto"/>
                                        <w:left w:val="none" w:sz="0" w:space="0" w:color="auto"/>
                                        <w:bottom w:val="single" w:sz="6" w:space="6" w:color="EEEEEE"/>
                                        <w:right w:val="none" w:sz="0" w:space="0" w:color="auto"/>
                                      </w:divBdr>
                                      <w:divsChild>
                                        <w:div w:id="38433987">
                                          <w:marLeft w:val="0"/>
                                          <w:marRight w:val="0"/>
                                          <w:marTop w:val="0"/>
                                          <w:marBottom w:val="0"/>
                                          <w:divBdr>
                                            <w:top w:val="none" w:sz="0" w:space="0" w:color="auto"/>
                                            <w:left w:val="none" w:sz="0" w:space="0" w:color="auto"/>
                                            <w:bottom w:val="none" w:sz="0" w:space="0" w:color="auto"/>
                                            <w:right w:val="none" w:sz="0" w:space="0" w:color="auto"/>
                                          </w:divBdr>
                                        </w:div>
                                      </w:divsChild>
                                    </w:div>
                                    <w:div w:id="828407233">
                                      <w:marLeft w:val="0"/>
                                      <w:marRight w:val="0"/>
                                      <w:marTop w:val="0"/>
                                      <w:marBottom w:val="120"/>
                                      <w:divBdr>
                                        <w:top w:val="none" w:sz="0" w:space="0" w:color="auto"/>
                                        <w:left w:val="none" w:sz="0" w:space="0" w:color="auto"/>
                                        <w:bottom w:val="single" w:sz="6" w:space="6" w:color="EEEEEE"/>
                                        <w:right w:val="none" w:sz="0" w:space="0" w:color="auto"/>
                                      </w:divBdr>
                                      <w:divsChild>
                                        <w:div w:id="1429424161">
                                          <w:marLeft w:val="0"/>
                                          <w:marRight w:val="0"/>
                                          <w:marTop w:val="0"/>
                                          <w:marBottom w:val="0"/>
                                          <w:divBdr>
                                            <w:top w:val="none" w:sz="0" w:space="0" w:color="auto"/>
                                            <w:left w:val="none" w:sz="0" w:space="0" w:color="auto"/>
                                            <w:bottom w:val="none" w:sz="0" w:space="0" w:color="auto"/>
                                            <w:right w:val="none" w:sz="0" w:space="0" w:color="auto"/>
                                          </w:divBdr>
                                        </w:div>
                                      </w:divsChild>
                                    </w:div>
                                    <w:div w:id="903683463">
                                      <w:marLeft w:val="0"/>
                                      <w:marRight w:val="0"/>
                                      <w:marTop w:val="0"/>
                                      <w:marBottom w:val="120"/>
                                      <w:divBdr>
                                        <w:top w:val="none" w:sz="0" w:space="0" w:color="auto"/>
                                        <w:left w:val="none" w:sz="0" w:space="0" w:color="auto"/>
                                        <w:bottom w:val="single" w:sz="6" w:space="6" w:color="EEEEEE"/>
                                        <w:right w:val="none" w:sz="0" w:space="0" w:color="auto"/>
                                      </w:divBdr>
                                      <w:divsChild>
                                        <w:div w:id="291373748">
                                          <w:marLeft w:val="0"/>
                                          <w:marRight w:val="0"/>
                                          <w:marTop w:val="0"/>
                                          <w:marBottom w:val="0"/>
                                          <w:divBdr>
                                            <w:top w:val="none" w:sz="0" w:space="0" w:color="auto"/>
                                            <w:left w:val="none" w:sz="0" w:space="0" w:color="auto"/>
                                            <w:bottom w:val="none" w:sz="0" w:space="0" w:color="auto"/>
                                            <w:right w:val="none" w:sz="0" w:space="0" w:color="auto"/>
                                          </w:divBdr>
                                        </w:div>
                                      </w:divsChild>
                                    </w:div>
                                    <w:div w:id="1127313169">
                                      <w:marLeft w:val="0"/>
                                      <w:marRight w:val="0"/>
                                      <w:marTop w:val="0"/>
                                      <w:marBottom w:val="120"/>
                                      <w:divBdr>
                                        <w:top w:val="none" w:sz="0" w:space="0" w:color="auto"/>
                                        <w:left w:val="none" w:sz="0" w:space="0" w:color="auto"/>
                                        <w:bottom w:val="none" w:sz="0" w:space="0" w:color="auto"/>
                                        <w:right w:val="none" w:sz="0" w:space="0" w:color="auto"/>
                                      </w:divBdr>
                                      <w:divsChild>
                                        <w:div w:id="58330795">
                                          <w:marLeft w:val="0"/>
                                          <w:marRight w:val="0"/>
                                          <w:marTop w:val="0"/>
                                          <w:marBottom w:val="0"/>
                                          <w:divBdr>
                                            <w:top w:val="none" w:sz="0" w:space="0" w:color="auto"/>
                                            <w:left w:val="none" w:sz="0" w:space="0" w:color="auto"/>
                                            <w:bottom w:val="none" w:sz="0" w:space="0" w:color="auto"/>
                                            <w:right w:val="none" w:sz="0" w:space="0" w:color="auto"/>
                                          </w:divBdr>
                                        </w:div>
                                      </w:divsChild>
                                    </w:div>
                                    <w:div w:id="2060938775">
                                      <w:marLeft w:val="0"/>
                                      <w:marRight w:val="0"/>
                                      <w:marTop w:val="0"/>
                                      <w:marBottom w:val="120"/>
                                      <w:divBdr>
                                        <w:top w:val="none" w:sz="0" w:space="0" w:color="auto"/>
                                        <w:left w:val="none" w:sz="0" w:space="0" w:color="auto"/>
                                        <w:bottom w:val="single" w:sz="6" w:space="6" w:color="EEEEEE"/>
                                        <w:right w:val="none" w:sz="0" w:space="0" w:color="auto"/>
                                      </w:divBdr>
                                      <w:divsChild>
                                        <w:div w:id="200057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627924">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 w:id="1911309456">
                  <w:marLeft w:val="0"/>
                  <w:marRight w:val="0"/>
                  <w:marTop w:val="0"/>
                  <w:marBottom w:val="0"/>
                  <w:divBdr>
                    <w:top w:val="none" w:sz="0" w:space="0" w:color="auto"/>
                    <w:left w:val="none" w:sz="0" w:space="0" w:color="auto"/>
                    <w:bottom w:val="none" w:sz="0" w:space="0" w:color="auto"/>
                    <w:right w:val="none" w:sz="0" w:space="0" w:color="auto"/>
                  </w:divBdr>
                  <w:divsChild>
                    <w:div w:id="390926757">
                      <w:marLeft w:val="0"/>
                      <w:marRight w:val="0"/>
                      <w:marTop w:val="0"/>
                      <w:marBottom w:val="0"/>
                      <w:divBdr>
                        <w:top w:val="none" w:sz="0" w:space="0" w:color="auto"/>
                        <w:left w:val="none" w:sz="0" w:space="0" w:color="auto"/>
                        <w:bottom w:val="none" w:sz="0" w:space="0" w:color="auto"/>
                        <w:right w:val="none" w:sz="0" w:space="0" w:color="auto"/>
                      </w:divBdr>
                      <w:divsChild>
                        <w:div w:id="54135209">
                          <w:marLeft w:val="0"/>
                          <w:marRight w:val="0"/>
                          <w:marTop w:val="0"/>
                          <w:marBottom w:val="0"/>
                          <w:divBdr>
                            <w:top w:val="none" w:sz="0" w:space="0" w:color="auto"/>
                            <w:left w:val="none" w:sz="0" w:space="0" w:color="auto"/>
                            <w:bottom w:val="none" w:sz="0" w:space="0" w:color="auto"/>
                            <w:right w:val="none" w:sz="0" w:space="0" w:color="auto"/>
                          </w:divBdr>
                          <w:divsChild>
                            <w:div w:id="136236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863628">
      <w:bodyDiv w:val="1"/>
      <w:marLeft w:val="0"/>
      <w:marRight w:val="0"/>
      <w:marTop w:val="0"/>
      <w:marBottom w:val="0"/>
      <w:divBdr>
        <w:top w:val="none" w:sz="0" w:space="0" w:color="auto"/>
        <w:left w:val="none" w:sz="0" w:space="0" w:color="auto"/>
        <w:bottom w:val="none" w:sz="0" w:space="0" w:color="auto"/>
        <w:right w:val="none" w:sz="0" w:space="0" w:color="auto"/>
      </w:divBdr>
      <w:divsChild>
        <w:div w:id="86773533">
          <w:marLeft w:val="0"/>
          <w:marRight w:val="0"/>
          <w:marTop w:val="0"/>
          <w:marBottom w:val="0"/>
          <w:divBdr>
            <w:top w:val="none" w:sz="0" w:space="0" w:color="auto"/>
            <w:left w:val="none" w:sz="0" w:space="0" w:color="auto"/>
            <w:bottom w:val="none" w:sz="0" w:space="0" w:color="auto"/>
            <w:right w:val="none" w:sz="0" w:space="0" w:color="auto"/>
          </w:divBdr>
          <w:divsChild>
            <w:div w:id="228810017">
              <w:marLeft w:val="0"/>
              <w:marRight w:val="0"/>
              <w:marTop w:val="0"/>
              <w:marBottom w:val="150"/>
              <w:divBdr>
                <w:top w:val="none" w:sz="0" w:space="0" w:color="auto"/>
                <w:left w:val="none" w:sz="0" w:space="0" w:color="auto"/>
                <w:bottom w:val="none" w:sz="0" w:space="0" w:color="auto"/>
                <w:right w:val="none" w:sz="0" w:space="0" w:color="auto"/>
              </w:divBdr>
            </w:div>
            <w:div w:id="16891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932190">
      <w:bodyDiv w:val="1"/>
      <w:marLeft w:val="0"/>
      <w:marRight w:val="0"/>
      <w:marTop w:val="0"/>
      <w:marBottom w:val="0"/>
      <w:divBdr>
        <w:top w:val="none" w:sz="0" w:space="0" w:color="auto"/>
        <w:left w:val="none" w:sz="0" w:space="0" w:color="auto"/>
        <w:bottom w:val="none" w:sz="0" w:space="0" w:color="auto"/>
        <w:right w:val="none" w:sz="0" w:space="0" w:color="auto"/>
      </w:divBdr>
      <w:divsChild>
        <w:div w:id="970474943">
          <w:marLeft w:val="0"/>
          <w:marRight w:val="0"/>
          <w:marTop w:val="0"/>
          <w:marBottom w:val="150"/>
          <w:divBdr>
            <w:top w:val="none" w:sz="0" w:space="0" w:color="auto"/>
            <w:left w:val="none" w:sz="0" w:space="0" w:color="auto"/>
            <w:bottom w:val="none" w:sz="0" w:space="0" w:color="auto"/>
            <w:right w:val="none" w:sz="0" w:space="0" w:color="auto"/>
          </w:divBdr>
        </w:div>
      </w:divsChild>
    </w:div>
    <w:div w:id="1578318345">
      <w:bodyDiv w:val="1"/>
      <w:marLeft w:val="0"/>
      <w:marRight w:val="0"/>
      <w:marTop w:val="0"/>
      <w:marBottom w:val="0"/>
      <w:divBdr>
        <w:top w:val="none" w:sz="0" w:space="0" w:color="auto"/>
        <w:left w:val="none" w:sz="0" w:space="0" w:color="auto"/>
        <w:bottom w:val="none" w:sz="0" w:space="0" w:color="auto"/>
        <w:right w:val="none" w:sz="0" w:space="0" w:color="auto"/>
      </w:divBdr>
      <w:divsChild>
        <w:div w:id="4401874">
          <w:marLeft w:val="0"/>
          <w:marRight w:val="0"/>
          <w:marTop w:val="0"/>
          <w:marBottom w:val="0"/>
          <w:divBdr>
            <w:top w:val="none" w:sz="0" w:space="0" w:color="auto"/>
            <w:left w:val="none" w:sz="0" w:space="0" w:color="auto"/>
            <w:bottom w:val="dotted" w:sz="6" w:space="4" w:color="DDDDDD"/>
            <w:right w:val="none" w:sz="0" w:space="0" w:color="auto"/>
          </w:divBdr>
          <w:divsChild>
            <w:div w:id="42542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9321">
      <w:bodyDiv w:val="1"/>
      <w:marLeft w:val="0"/>
      <w:marRight w:val="0"/>
      <w:marTop w:val="0"/>
      <w:marBottom w:val="0"/>
      <w:divBdr>
        <w:top w:val="none" w:sz="0" w:space="0" w:color="auto"/>
        <w:left w:val="none" w:sz="0" w:space="0" w:color="auto"/>
        <w:bottom w:val="none" w:sz="0" w:space="0" w:color="auto"/>
        <w:right w:val="none" w:sz="0" w:space="0" w:color="auto"/>
      </w:divBdr>
      <w:divsChild>
        <w:div w:id="1532299771">
          <w:marLeft w:val="0"/>
          <w:marRight w:val="0"/>
          <w:marTop w:val="0"/>
          <w:marBottom w:val="0"/>
          <w:divBdr>
            <w:top w:val="none" w:sz="0" w:space="0" w:color="auto"/>
            <w:left w:val="none" w:sz="0" w:space="0" w:color="auto"/>
            <w:bottom w:val="dotted" w:sz="6" w:space="4" w:color="DDDDDD"/>
            <w:right w:val="none" w:sz="0" w:space="0" w:color="auto"/>
          </w:divBdr>
        </w:div>
      </w:divsChild>
    </w:div>
    <w:div w:id="1578710840">
      <w:bodyDiv w:val="1"/>
      <w:marLeft w:val="0"/>
      <w:marRight w:val="0"/>
      <w:marTop w:val="0"/>
      <w:marBottom w:val="0"/>
      <w:divBdr>
        <w:top w:val="none" w:sz="0" w:space="0" w:color="auto"/>
        <w:left w:val="none" w:sz="0" w:space="0" w:color="auto"/>
        <w:bottom w:val="none" w:sz="0" w:space="0" w:color="auto"/>
        <w:right w:val="none" w:sz="0" w:space="0" w:color="auto"/>
      </w:divBdr>
      <w:divsChild>
        <w:div w:id="967510873">
          <w:marLeft w:val="0"/>
          <w:marRight w:val="0"/>
          <w:marTop w:val="0"/>
          <w:marBottom w:val="0"/>
          <w:divBdr>
            <w:top w:val="none" w:sz="0" w:space="0" w:color="auto"/>
            <w:left w:val="none" w:sz="0" w:space="0" w:color="auto"/>
            <w:bottom w:val="none" w:sz="0" w:space="0" w:color="auto"/>
            <w:right w:val="none" w:sz="0" w:space="0" w:color="auto"/>
          </w:divBdr>
          <w:divsChild>
            <w:div w:id="6222269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8975574">
      <w:bodyDiv w:val="1"/>
      <w:marLeft w:val="0"/>
      <w:marRight w:val="0"/>
      <w:marTop w:val="0"/>
      <w:marBottom w:val="0"/>
      <w:divBdr>
        <w:top w:val="none" w:sz="0" w:space="0" w:color="auto"/>
        <w:left w:val="none" w:sz="0" w:space="0" w:color="auto"/>
        <w:bottom w:val="none" w:sz="0" w:space="0" w:color="auto"/>
        <w:right w:val="none" w:sz="0" w:space="0" w:color="auto"/>
      </w:divBdr>
      <w:divsChild>
        <w:div w:id="1619290011">
          <w:marLeft w:val="0"/>
          <w:marRight w:val="0"/>
          <w:marTop w:val="150"/>
          <w:marBottom w:val="0"/>
          <w:divBdr>
            <w:top w:val="none" w:sz="0" w:space="0" w:color="auto"/>
            <w:left w:val="none" w:sz="0" w:space="0" w:color="auto"/>
            <w:bottom w:val="none" w:sz="0" w:space="0" w:color="auto"/>
            <w:right w:val="none" w:sz="0" w:space="0" w:color="auto"/>
          </w:divBdr>
          <w:divsChild>
            <w:div w:id="1580289492">
              <w:marLeft w:val="0"/>
              <w:marRight w:val="0"/>
              <w:marTop w:val="0"/>
              <w:marBottom w:val="0"/>
              <w:divBdr>
                <w:top w:val="none" w:sz="0" w:space="0" w:color="auto"/>
                <w:left w:val="none" w:sz="0" w:space="0" w:color="auto"/>
                <w:bottom w:val="none" w:sz="0" w:space="0" w:color="auto"/>
                <w:right w:val="none" w:sz="0" w:space="0" w:color="auto"/>
              </w:divBdr>
              <w:divsChild>
                <w:div w:id="113737889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45030541">
          <w:marLeft w:val="0"/>
          <w:marRight w:val="0"/>
          <w:marTop w:val="0"/>
          <w:marBottom w:val="0"/>
          <w:divBdr>
            <w:top w:val="none" w:sz="0" w:space="0" w:color="auto"/>
            <w:left w:val="none" w:sz="0" w:space="0" w:color="auto"/>
            <w:bottom w:val="none" w:sz="0" w:space="0" w:color="auto"/>
            <w:right w:val="none" w:sz="0" w:space="0" w:color="auto"/>
          </w:divBdr>
          <w:divsChild>
            <w:div w:id="1236162900">
              <w:marLeft w:val="0"/>
              <w:marRight w:val="0"/>
              <w:marTop w:val="0"/>
              <w:marBottom w:val="0"/>
              <w:divBdr>
                <w:top w:val="none" w:sz="0" w:space="0" w:color="auto"/>
                <w:left w:val="none" w:sz="0" w:space="0" w:color="auto"/>
                <w:bottom w:val="none" w:sz="0" w:space="0" w:color="auto"/>
                <w:right w:val="none" w:sz="0" w:space="0" w:color="auto"/>
              </w:divBdr>
            </w:div>
            <w:div w:id="2040206403">
              <w:marLeft w:val="0"/>
              <w:marRight w:val="0"/>
              <w:marTop w:val="0"/>
              <w:marBottom w:val="0"/>
              <w:divBdr>
                <w:top w:val="none" w:sz="0" w:space="0" w:color="auto"/>
                <w:left w:val="none" w:sz="0" w:space="0" w:color="auto"/>
                <w:bottom w:val="none" w:sz="0" w:space="0" w:color="auto"/>
                <w:right w:val="none" w:sz="0" w:space="0" w:color="auto"/>
              </w:divBdr>
              <w:divsChild>
                <w:div w:id="443620754">
                  <w:marLeft w:val="0"/>
                  <w:marRight w:val="0"/>
                  <w:marTop w:val="0"/>
                  <w:marBottom w:val="0"/>
                  <w:divBdr>
                    <w:top w:val="none" w:sz="0" w:space="0" w:color="auto"/>
                    <w:left w:val="none" w:sz="0" w:space="0" w:color="auto"/>
                    <w:bottom w:val="none" w:sz="0" w:space="0" w:color="auto"/>
                    <w:right w:val="none" w:sz="0" w:space="0" w:color="auto"/>
                  </w:divBdr>
                  <w:divsChild>
                    <w:div w:id="988439863">
                      <w:marLeft w:val="0"/>
                      <w:marRight w:val="0"/>
                      <w:marTop w:val="0"/>
                      <w:marBottom w:val="0"/>
                      <w:divBdr>
                        <w:top w:val="none" w:sz="0" w:space="0" w:color="auto"/>
                        <w:left w:val="none" w:sz="0" w:space="0" w:color="auto"/>
                        <w:bottom w:val="none" w:sz="0" w:space="0" w:color="auto"/>
                        <w:right w:val="none" w:sz="0" w:space="0" w:color="auto"/>
                      </w:divBdr>
                      <w:divsChild>
                        <w:div w:id="1465660348">
                          <w:marLeft w:val="0"/>
                          <w:marRight w:val="0"/>
                          <w:marTop w:val="225"/>
                          <w:marBottom w:val="150"/>
                          <w:divBdr>
                            <w:top w:val="none" w:sz="0" w:space="4" w:color="auto"/>
                            <w:left w:val="none" w:sz="0" w:space="0" w:color="auto"/>
                            <w:bottom w:val="single" w:sz="6" w:space="4" w:color="CECECE"/>
                            <w:right w:val="none" w:sz="0" w:space="0" w:color="auto"/>
                          </w:divBdr>
                          <w:divsChild>
                            <w:div w:id="458885006">
                              <w:marLeft w:val="0"/>
                              <w:marRight w:val="0"/>
                              <w:marTop w:val="0"/>
                              <w:marBottom w:val="0"/>
                              <w:divBdr>
                                <w:top w:val="none" w:sz="0" w:space="0" w:color="auto"/>
                                <w:left w:val="none" w:sz="0" w:space="0" w:color="auto"/>
                                <w:bottom w:val="none" w:sz="0" w:space="0" w:color="auto"/>
                                <w:right w:val="none" w:sz="0" w:space="0" w:color="auto"/>
                              </w:divBdr>
                            </w:div>
                            <w:div w:id="1162502370">
                              <w:marLeft w:val="0"/>
                              <w:marRight w:val="0"/>
                              <w:marTop w:val="75"/>
                              <w:marBottom w:val="75"/>
                              <w:divBdr>
                                <w:top w:val="none" w:sz="0" w:space="0" w:color="auto"/>
                                <w:left w:val="none" w:sz="0" w:space="0" w:color="auto"/>
                                <w:bottom w:val="none" w:sz="0" w:space="0" w:color="auto"/>
                                <w:right w:val="none" w:sz="0" w:space="0" w:color="auto"/>
                              </w:divBdr>
                              <w:divsChild>
                                <w:div w:id="402069514">
                                  <w:marLeft w:val="0"/>
                                  <w:marRight w:val="0"/>
                                  <w:marTop w:val="45"/>
                                  <w:marBottom w:val="0"/>
                                  <w:divBdr>
                                    <w:top w:val="none" w:sz="0" w:space="0" w:color="auto"/>
                                    <w:left w:val="none" w:sz="0" w:space="0" w:color="auto"/>
                                    <w:bottom w:val="none" w:sz="0" w:space="0" w:color="auto"/>
                                    <w:right w:val="none" w:sz="0" w:space="0" w:color="auto"/>
                                  </w:divBdr>
                                </w:div>
                                <w:div w:id="1749568918">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9513709">
      <w:bodyDiv w:val="1"/>
      <w:marLeft w:val="0"/>
      <w:marRight w:val="0"/>
      <w:marTop w:val="0"/>
      <w:marBottom w:val="0"/>
      <w:divBdr>
        <w:top w:val="none" w:sz="0" w:space="0" w:color="auto"/>
        <w:left w:val="none" w:sz="0" w:space="0" w:color="auto"/>
        <w:bottom w:val="none" w:sz="0" w:space="0" w:color="auto"/>
        <w:right w:val="none" w:sz="0" w:space="0" w:color="auto"/>
      </w:divBdr>
      <w:divsChild>
        <w:div w:id="1221286624">
          <w:marLeft w:val="0"/>
          <w:marRight w:val="0"/>
          <w:marTop w:val="0"/>
          <w:marBottom w:val="0"/>
          <w:divBdr>
            <w:top w:val="none" w:sz="0" w:space="0" w:color="auto"/>
            <w:left w:val="none" w:sz="0" w:space="0" w:color="auto"/>
            <w:bottom w:val="none" w:sz="0" w:space="0" w:color="auto"/>
            <w:right w:val="none" w:sz="0" w:space="0" w:color="auto"/>
          </w:divBdr>
          <w:divsChild>
            <w:div w:id="82074932">
              <w:marLeft w:val="0"/>
              <w:marRight w:val="0"/>
              <w:marTop w:val="0"/>
              <w:marBottom w:val="0"/>
              <w:divBdr>
                <w:top w:val="none" w:sz="0" w:space="0" w:color="auto"/>
                <w:left w:val="none" w:sz="0" w:space="0" w:color="auto"/>
                <w:bottom w:val="none" w:sz="0" w:space="0" w:color="auto"/>
                <w:right w:val="none" w:sz="0" w:space="0" w:color="auto"/>
              </w:divBdr>
              <w:divsChild>
                <w:div w:id="191310974">
                  <w:marLeft w:val="0"/>
                  <w:marRight w:val="0"/>
                  <w:marTop w:val="0"/>
                  <w:marBottom w:val="0"/>
                  <w:divBdr>
                    <w:top w:val="none" w:sz="0" w:space="0" w:color="auto"/>
                    <w:left w:val="none" w:sz="0" w:space="0" w:color="auto"/>
                    <w:bottom w:val="none" w:sz="0" w:space="0" w:color="auto"/>
                    <w:right w:val="none" w:sz="0" w:space="0" w:color="auto"/>
                  </w:divBdr>
                  <w:divsChild>
                    <w:div w:id="1852064493">
                      <w:marLeft w:val="0"/>
                      <w:marRight w:val="0"/>
                      <w:marTop w:val="0"/>
                      <w:marBottom w:val="0"/>
                      <w:divBdr>
                        <w:top w:val="none" w:sz="0" w:space="0" w:color="auto"/>
                        <w:left w:val="none" w:sz="0" w:space="0" w:color="auto"/>
                        <w:bottom w:val="none" w:sz="0" w:space="0" w:color="auto"/>
                        <w:right w:val="none" w:sz="0" w:space="0" w:color="auto"/>
                      </w:divBdr>
                      <w:divsChild>
                        <w:div w:id="1809517682">
                          <w:marLeft w:val="0"/>
                          <w:marRight w:val="0"/>
                          <w:marTop w:val="0"/>
                          <w:marBottom w:val="0"/>
                          <w:divBdr>
                            <w:top w:val="none" w:sz="0" w:space="0" w:color="auto"/>
                            <w:left w:val="none" w:sz="0" w:space="0" w:color="auto"/>
                            <w:bottom w:val="none" w:sz="0" w:space="0" w:color="auto"/>
                            <w:right w:val="none" w:sz="0" w:space="0" w:color="auto"/>
                          </w:divBdr>
                          <w:divsChild>
                            <w:div w:id="380399570">
                              <w:marLeft w:val="0"/>
                              <w:marRight w:val="0"/>
                              <w:marTop w:val="0"/>
                              <w:marBottom w:val="0"/>
                              <w:divBdr>
                                <w:top w:val="none" w:sz="0" w:space="0" w:color="auto"/>
                                <w:left w:val="none" w:sz="0" w:space="0" w:color="auto"/>
                                <w:bottom w:val="none" w:sz="0" w:space="0" w:color="auto"/>
                                <w:right w:val="none" w:sz="0" w:space="0" w:color="auto"/>
                              </w:divBdr>
                              <w:divsChild>
                                <w:div w:id="1533180407">
                                  <w:marLeft w:val="0"/>
                                  <w:marRight w:val="0"/>
                                  <w:marTop w:val="0"/>
                                  <w:marBottom w:val="0"/>
                                  <w:divBdr>
                                    <w:top w:val="none" w:sz="0" w:space="0" w:color="auto"/>
                                    <w:left w:val="none" w:sz="0" w:space="0" w:color="auto"/>
                                    <w:bottom w:val="none" w:sz="0" w:space="0" w:color="auto"/>
                                    <w:right w:val="none" w:sz="0" w:space="0" w:color="auto"/>
                                  </w:divBdr>
                                  <w:divsChild>
                                    <w:div w:id="49565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635988">
      <w:bodyDiv w:val="1"/>
      <w:marLeft w:val="0"/>
      <w:marRight w:val="0"/>
      <w:marTop w:val="0"/>
      <w:marBottom w:val="0"/>
      <w:divBdr>
        <w:top w:val="none" w:sz="0" w:space="0" w:color="auto"/>
        <w:left w:val="none" w:sz="0" w:space="0" w:color="auto"/>
        <w:bottom w:val="none" w:sz="0" w:space="0" w:color="auto"/>
        <w:right w:val="none" w:sz="0" w:space="0" w:color="auto"/>
      </w:divBdr>
      <w:divsChild>
        <w:div w:id="2002004253">
          <w:marLeft w:val="0"/>
          <w:marRight w:val="0"/>
          <w:marTop w:val="0"/>
          <w:marBottom w:val="0"/>
          <w:divBdr>
            <w:top w:val="none" w:sz="0" w:space="0" w:color="auto"/>
            <w:left w:val="none" w:sz="0" w:space="0" w:color="auto"/>
            <w:bottom w:val="dotted" w:sz="6" w:space="4" w:color="DDDDDD"/>
            <w:right w:val="none" w:sz="0" w:space="0" w:color="auto"/>
          </w:divBdr>
        </w:div>
      </w:divsChild>
    </w:div>
    <w:div w:id="1579705839">
      <w:bodyDiv w:val="1"/>
      <w:marLeft w:val="0"/>
      <w:marRight w:val="0"/>
      <w:marTop w:val="0"/>
      <w:marBottom w:val="0"/>
      <w:divBdr>
        <w:top w:val="none" w:sz="0" w:space="0" w:color="auto"/>
        <w:left w:val="none" w:sz="0" w:space="0" w:color="auto"/>
        <w:bottom w:val="none" w:sz="0" w:space="0" w:color="auto"/>
        <w:right w:val="none" w:sz="0" w:space="0" w:color="auto"/>
      </w:divBdr>
      <w:divsChild>
        <w:div w:id="981546353">
          <w:marLeft w:val="0"/>
          <w:marRight w:val="0"/>
          <w:marTop w:val="0"/>
          <w:marBottom w:val="450"/>
          <w:divBdr>
            <w:top w:val="none" w:sz="0" w:space="0" w:color="auto"/>
            <w:left w:val="none" w:sz="0" w:space="0" w:color="auto"/>
            <w:bottom w:val="single" w:sz="6" w:space="19" w:color="EEEEEE"/>
            <w:right w:val="none" w:sz="0" w:space="0" w:color="auto"/>
          </w:divBdr>
          <w:divsChild>
            <w:div w:id="881140597">
              <w:marLeft w:val="0"/>
              <w:marRight w:val="0"/>
              <w:marTop w:val="0"/>
              <w:marBottom w:val="150"/>
              <w:divBdr>
                <w:top w:val="none" w:sz="0" w:space="0" w:color="auto"/>
                <w:left w:val="none" w:sz="0" w:space="0" w:color="auto"/>
                <w:bottom w:val="none" w:sz="0" w:space="0" w:color="auto"/>
                <w:right w:val="none" w:sz="0" w:space="0" w:color="auto"/>
              </w:divBdr>
              <w:divsChild>
                <w:div w:id="1421217174">
                  <w:marLeft w:val="0"/>
                  <w:marRight w:val="0"/>
                  <w:marTop w:val="0"/>
                  <w:marBottom w:val="0"/>
                  <w:divBdr>
                    <w:top w:val="none" w:sz="0" w:space="0" w:color="auto"/>
                    <w:left w:val="none" w:sz="0" w:space="0" w:color="auto"/>
                    <w:bottom w:val="none" w:sz="0" w:space="0" w:color="auto"/>
                    <w:right w:val="none" w:sz="0" w:space="0" w:color="auto"/>
                  </w:divBdr>
                </w:div>
              </w:divsChild>
            </w:div>
            <w:div w:id="1445270190">
              <w:marLeft w:val="0"/>
              <w:marRight w:val="0"/>
              <w:marTop w:val="0"/>
              <w:marBottom w:val="0"/>
              <w:divBdr>
                <w:top w:val="none" w:sz="0" w:space="0" w:color="auto"/>
                <w:left w:val="none" w:sz="0" w:space="0" w:color="auto"/>
                <w:bottom w:val="none" w:sz="0" w:space="0" w:color="auto"/>
                <w:right w:val="none" w:sz="0" w:space="0" w:color="auto"/>
              </w:divBdr>
            </w:div>
          </w:divsChild>
        </w:div>
        <w:div w:id="1743258129">
          <w:marLeft w:val="0"/>
          <w:marRight w:val="0"/>
          <w:marTop w:val="0"/>
          <w:marBottom w:val="0"/>
          <w:divBdr>
            <w:top w:val="none" w:sz="0" w:space="0" w:color="auto"/>
            <w:left w:val="none" w:sz="0" w:space="0" w:color="auto"/>
            <w:bottom w:val="none" w:sz="0" w:space="0" w:color="auto"/>
            <w:right w:val="none" w:sz="0" w:space="0" w:color="auto"/>
          </w:divBdr>
          <w:divsChild>
            <w:div w:id="764956887">
              <w:marLeft w:val="0"/>
              <w:marRight w:val="0"/>
              <w:marTop w:val="0"/>
              <w:marBottom w:val="0"/>
              <w:divBdr>
                <w:top w:val="none" w:sz="0" w:space="0" w:color="auto"/>
                <w:left w:val="none" w:sz="0" w:space="0" w:color="auto"/>
                <w:bottom w:val="none" w:sz="0" w:space="0" w:color="auto"/>
                <w:right w:val="none" w:sz="0" w:space="0" w:color="auto"/>
              </w:divBdr>
              <w:divsChild>
                <w:div w:id="131452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753580">
      <w:bodyDiv w:val="1"/>
      <w:marLeft w:val="0"/>
      <w:marRight w:val="0"/>
      <w:marTop w:val="0"/>
      <w:marBottom w:val="0"/>
      <w:divBdr>
        <w:top w:val="none" w:sz="0" w:space="0" w:color="auto"/>
        <w:left w:val="none" w:sz="0" w:space="0" w:color="auto"/>
        <w:bottom w:val="none" w:sz="0" w:space="0" w:color="auto"/>
        <w:right w:val="none" w:sz="0" w:space="0" w:color="auto"/>
      </w:divBdr>
    </w:div>
    <w:div w:id="1579822340">
      <w:bodyDiv w:val="1"/>
      <w:marLeft w:val="0"/>
      <w:marRight w:val="0"/>
      <w:marTop w:val="0"/>
      <w:marBottom w:val="0"/>
      <w:divBdr>
        <w:top w:val="none" w:sz="0" w:space="0" w:color="auto"/>
        <w:left w:val="none" w:sz="0" w:space="0" w:color="auto"/>
        <w:bottom w:val="none" w:sz="0" w:space="0" w:color="auto"/>
        <w:right w:val="none" w:sz="0" w:space="0" w:color="auto"/>
      </w:divBdr>
      <w:divsChild>
        <w:div w:id="731851001">
          <w:marLeft w:val="0"/>
          <w:marRight w:val="0"/>
          <w:marTop w:val="0"/>
          <w:marBottom w:val="0"/>
          <w:divBdr>
            <w:top w:val="none" w:sz="0" w:space="0" w:color="auto"/>
            <w:left w:val="none" w:sz="0" w:space="0" w:color="auto"/>
            <w:bottom w:val="none" w:sz="0" w:space="0" w:color="auto"/>
            <w:right w:val="none" w:sz="0" w:space="0" w:color="auto"/>
          </w:divBdr>
          <w:divsChild>
            <w:div w:id="1913855800">
              <w:marLeft w:val="0"/>
              <w:marRight w:val="0"/>
              <w:marTop w:val="0"/>
              <w:marBottom w:val="0"/>
              <w:divBdr>
                <w:top w:val="none" w:sz="0" w:space="0" w:color="auto"/>
                <w:left w:val="none" w:sz="0" w:space="0" w:color="auto"/>
                <w:bottom w:val="none" w:sz="0" w:space="0" w:color="auto"/>
                <w:right w:val="none" w:sz="0" w:space="0" w:color="auto"/>
              </w:divBdr>
              <w:divsChild>
                <w:div w:id="52196947">
                  <w:marLeft w:val="0"/>
                  <w:marRight w:val="0"/>
                  <w:marTop w:val="0"/>
                  <w:marBottom w:val="0"/>
                  <w:divBdr>
                    <w:top w:val="none" w:sz="0" w:space="0" w:color="auto"/>
                    <w:left w:val="none" w:sz="0" w:space="0" w:color="auto"/>
                    <w:bottom w:val="none" w:sz="0" w:space="0" w:color="auto"/>
                    <w:right w:val="none" w:sz="0" w:space="0" w:color="auto"/>
                  </w:divBdr>
                  <w:divsChild>
                    <w:div w:id="1914268699">
                      <w:marLeft w:val="0"/>
                      <w:marRight w:val="0"/>
                      <w:marTop w:val="0"/>
                      <w:marBottom w:val="0"/>
                      <w:divBdr>
                        <w:top w:val="none" w:sz="0" w:space="0" w:color="auto"/>
                        <w:left w:val="none" w:sz="0" w:space="0" w:color="auto"/>
                        <w:bottom w:val="none" w:sz="0" w:space="0" w:color="auto"/>
                        <w:right w:val="none" w:sz="0" w:space="0" w:color="auto"/>
                      </w:divBdr>
                      <w:divsChild>
                        <w:div w:id="1518272938">
                          <w:marLeft w:val="0"/>
                          <w:marRight w:val="0"/>
                          <w:marTop w:val="0"/>
                          <w:marBottom w:val="0"/>
                          <w:divBdr>
                            <w:top w:val="none" w:sz="0" w:space="0" w:color="auto"/>
                            <w:left w:val="none" w:sz="0" w:space="0" w:color="auto"/>
                            <w:bottom w:val="none" w:sz="0" w:space="0" w:color="auto"/>
                            <w:right w:val="none" w:sz="0" w:space="0" w:color="auto"/>
                          </w:divBdr>
                          <w:divsChild>
                            <w:div w:id="1204830552">
                              <w:marLeft w:val="0"/>
                              <w:marRight w:val="0"/>
                              <w:marTop w:val="0"/>
                              <w:marBottom w:val="0"/>
                              <w:divBdr>
                                <w:top w:val="none" w:sz="0" w:space="0" w:color="auto"/>
                                <w:left w:val="none" w:sz="0" w:space="0" w:color="auto"/>
                                <w:bottom w:val="none" w:sz="0" w:space="0" w:color="auto"/>
                                <w:right w:val="none" w:sz="0" w:space="0" w:color="auto"/>
                              </w:divBdr>
                              <w:divsChild>
                                <w:div w:id="1416437127">
                                  <w:marLeft w:val="0"/>
                                  <w:marRight w:val="0"/>
                                  <w:marTop w:val="0"/>
                                  <w:marBottom w:val="0"/>
                                  <w:divBdr>
                                    <w:top w:val="none" w:sz="0" w:space="0" w:color="auto"/>
                                    <w:left w:val="none" w:sz="0" w:space="0" w:color="auto"/>
                                    <w:bottom w:val="none" w:sz="0" w:space="0" w:color="auto"/>
                                    <w:right w:val="none" w:sz="0" w:space="0" w:color="auto"/>
                                  </w:divBdr>
                                  <w:divsChild>
                                    <w:div w:id="1160538618">
                                      <w:marLeft w:val="0"/>
                                      <w:marRight w:val="0"/>
                                      <w:marTop w:val="0"/>
                                      <w:marBottom w:val="0"/>
                                      <w:divBdr>
                                        <w:top w:val="none" w:sz="0" w:space="0" w:color="auto"/>
                                        <w:left w:val="none" w:sz="0" w:space="0" w:color="auto"/>
                                        <w:bottom w:val="none" w:sz="0" w:space="0" w:color="auto"/>
                                        <w:right w:val="none" w:sz="0" w:space="0" w:color="auto"/>
                                      </w:divBdr>
                                      <w:divsChild>
                                        <w:div w:id="96161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021728">
      <w:bodyDiv w:val="1"/>
      <w:marLeft w:val="0"/>
      <w:marRight w:val="0"/>
      <w:marTop w:val="0"/>
      <w:marBottom w:val="0"/>
      <w:divBdr>
        <w:top w:val="none" w:sz="0" w:space="0" w:color="auto"/>
        <w:left w:val="none" w:sz="0" w:space="0" w:color="auto"/>
        <w:bottom w:val="none" w:sz="0" w:space="0" w:color="auto"/>
        <w:right w:val="none" w:sz="0" w:space="0" w:color="auto"/>
      </w:divBdr>
      <w:divsChild>
        <w:div w:id="125243645">
          <w:marLeft w:val="0"/>
          <w:marRight w:val="0"/>
          <w:marTop w:val="0"/>
          <w:marBottom w:val="225"/>
          <w:divBdr>
            <w:top w:val="none" w:sz="0" w:space="0" w:color="auto"/>
            <w:left w:val="none" w:sz="0" w:space="0" w:color="auto"/>
            <w:bottom w:val="none" w:sz="0" w:space="0" w:color="auto"/>
            <w:right w:val="none" w:sz="0" w:space="0" w:color="auto"/>
          </w:divBdr>
        </w:div>
        <w:div w:id="214314097">
          <w:marLeft w:val="105"/>
          <w:marRight w:val="0"/>
          <w:marTop w:val="0"/>
          <w:marBottom w:val="600"/>
          <w:divBdr>
            <w:top w:val="none" w:sz="0" w:space="0" w:color="auto"/>
            <w:left w:val="none" w:sz="0" w:space="0" w:color="auto"/>
            <w:bottom w:val="none" w:sz="0" w:space="0" w:color="auto"/>
            <w:right w:val="none" w:sz="0" w:space="0" w:color="auto"/>
          </w:divBdr>
          <w:divsChild>
            <w:div w:id="2064213039">
              <w:marLeft w:val="-15"/>
              <w:marRight w:val="-15"/>
              <w:marTop w:val="0"/>
              <w:marBottom w:val="0"/>
              <w:divBdr>
                <w:top w:val="none" w:sz="0" w:space="0" w:color="auto"/>
                <w:left w:val="none" w:sz="0" w:space="0" w:color="auto"/>
                <w:bottom w:val="none" w:sz="0" w:space="0" w:color="auto"/>
                <w:right w:val="none" w:sz="0" w:space="0" w:color="auto"/>
              </w:divBdr>
            </w:div>
          </w:divsChild>
        </w:div>
        <w:div w:id="455099009">
          <w:marLeft w:val="105"/>
          <w:marRight w:val="0"/>
          <w:marTop w:val="0"/>
          <w:marBottom w:val="600"/>
          <w:divBdr>
            <w:top w:val="none" w:sz="0" w:space="0" w:color="auto"/>
            <w:left w:val="none" w:sz="0" w:space="0" w:color="auto"/>
            <w:bottom w:val="none" w:sz="0" w:space="0" w:color="auto"/>
            <w:right w:val="none" w:sz="0" w:space="0" w:color="auto"/>
          </w:divBdr>
          <w:divsChild>
            <w:div w:id="1680085291">
              <w:marLeft w:val="-15"/>
              <w:marRight w:val="-15"/>
              <w:marTop w:val="0"/>
              <w:marBottom w:val="0"/>
              <w:divBdr>
                <w:top w:val="none" w:sz="0" w:space="0" w:color="auto"/>
                <w:left w:val="none" w:sz="0" w:space="0" w:color="auto"/>
                <w:bottom w:val="none" w:sz="0" w:space="0" w:color="auto"/>
                <w:right w:val="none" w:sz="0" w:space="0" w:color="auto"/>
              </w:divBdr>
            </w:div>
          </w:divsChild>
        </w:div>
        <w:div w:id="1755736928">
          <w:marLeft w:val="105"/>
          <w:marRight w:val="0"/>
          <w:marTop w:val="0"/>
          <w:marBottom w:val="600"/>
          <w:divBdr>
            <w:top w:val="none" w:sz="0" w:space="0" w:color="auto"/>
            <w:left w:val="none" w:sz="0" w:space="0" w:color="auto"/>
            <w:bottom w:val="none" w:sz="0" w:space="0" w:color="auto"/>
            <w:right w:val="none" w:sz="0" w:space="0" w:color="auto"/>
          </w:divBdr>
          <w:divsChild>
            <w:div w:id="194465520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80093042">
      <w:bodyDiv w:val="1"/>
      <w:marLeft w:val="0"/>
      <w:marRight w:val="0"/>
      <w:marTop w:val="0"/>
      <w:marBottom w:val="0"/>
      <w:divBdr>
        <w:top w:val="none" w:sz="0" w:space="0" w:color="auto"/>
        <w:left w:val="none" w:sz="0" w:space="0" w:color="auto"/>
        <w:bottom w:val="none" w:sz="0" w:space="0" w:color="auto"/>
        <w:right w:val="none" w:sz="0" w:space="0" w:color="auto"/>
      </w:divBdr>
    </w:div>
    <w:div w:id="1580094312">
      <w:bodyDiv w:val="1"/>
      <w:marLeft w:val="0"/>
      <w:marRight w:val="0"/>
      <w:marTop w:val="0"/>
      <w:marBottom w:val="0"/>
      <w:divBdr>
        <w:top w:val="none" w:sz="0" w:space="0" w:color="auto"/>
        <w:left w:val="none" w:sz="0" w:space="0" w:color="auto"/>
        <w:bottom w:val="none" w:sz="0" w:space="0" w:color="auto"/>
        <w:right w:val="none" w:sz="0" w:space="0" w:color="auto"/>
      </w:divBdr>
      <w:divsChild>
        <w:div w:id="79720273">
          <w:marLeft w:val="0"/>
          <w:marRight w:val="0"/>
          <w:marTop w:val="0"/>
          <w:marBottom w:val="150"/>
          <w:divBdr>
            <w:top w:val="none" w:sz="0" w:space="0" w:color="auto"/>
            <w:left w:val="none" w:sz="0" w:space="0" w:color="auto"/>
            <w:bottom w:val="none" w:sz="0" w:space="0" w:color="auto"/>
            <w:right w:val="none" w:sz="0" w:space="0" w:color="auto"/>
          </w:divBdr>
          <w:divsChild>
            <w:div w:id="615261650">
              <w:marLeft w:val="0"/>
              <w:marRight w:val="0"/>
              <w:marTop w:val="0"/>
              <w:marBottom w:val="0"/>
              <w:divBdr>
                <w:top w:val="none" w:sz="0" w:space="0" w:color="auto"/>
                <w:left w:val="none" w:sz="0" w:space="0" w:color="auto"/>
                <w:bottom w:val="none" w:sz="0" w:space="0" w:color="auto"/>
                <w:right w:val="none" w:sz="0" w:space="0" w:color="auto"/>
              </w:divBdr>
              <w:divsChild>
                <w:div w:id="89839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595191">
          <w:marLeft w:val="0"/>
          <w:marRight w:val="0"/>
          <w:marTop w:val="0"/>
          <w:marBottom w:val="150"/>
          <w:divBdr>
            <w:top w:val="none" w:sz="0" w:space="0" w:color="auto"/>
            <w:left w:val="none" w:sz="0" w:space="0" w:color="auto"/>
            <w:bottom w:val="none" w:sz="0" w:space="0" w:color="auto"/>
            <w:right w:val="none" w:sz="0" w:space="0" w:color="auto"/>
          </w:divBdr>
        </w:div>
        <w:div w:id="1688022315">
          <w:marLeft w:val="0"/>
          <w:marRight w:val="0"/>
          <w:marTop w:val="0"/>
          <w:marBottom w:val="0"/>
          <w:divBdr>
            <w:top w:val="none" w:sz="0" w:space="0" w:color="auto"/>
            <w:left w:val="none" w:sz="0" w:space="0" w:color="auto"/>
            <w:bottom w:val="none" w:sz="0" w:space="0" w:color="auto"/>
            <w:right w:val="none" w:sz="0" w:space="0" w:color="auto"/>
          </w:divBdr>
          <w:divsChild>
            <w:div w:id="17223177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80208138">
      <w:bodyDiv w:val="1"/>
      <w:marLeft w:val="0"/>
      <w:marRight w:val="0"/>
      <w:marTop w:val="0"/>
      <w:marBottom w:val="0"/>
      <w:divBdr>
        <w:top w:val="none" w:sz="0" w:space="0" w:color="auto"/>
        <w:left w:val="none" w:sz="0" w:space="0" w:color="auto"/>
        <w:bottom w:val="none" w:sz="0" w:space="0" w:color="auto"/>
        <w:right w:val="none" w:sz="0" w:space="0" w:color="auto"/>
      </w:divBdr>
      <w:divsChild>
        <w:div w:id="2119636515">
          <w:marLeft w:val="0"/>
          <w:marRight w:val="0"/>
          <w:marTop w:val="0"/>
          <w:marBottom w:val="0"/>
          <w:divBdr>
            <w:top w:val="none" w:sz="0" w:space="0" w:color="auto"/>
            <w:left w:val="none" w:sz="0" w:space="0" w:color="auto"/>
            <w:bottom w:val="dotted" w:sz="6" w:space="4" w:color="DDDDDD"/>
            <w:right w:val="none" w:sz="0" w:space="0" w:color="auto"/>
          </w:divBdr>
        </w:div>
      </w:divsChild>
    </w:div>
    <w:div w:id="1580552174">
      <w:bodyDiv w:val="1"/>
      <w:marLeft w:val="0"/>
      <w:marRight w:val="0"/>
      <w:marTop w:val="0"/>
      <w:marBottom w:val="0"/>
      <w:divBdr>
        <w:top w:val="none" w:sz="0" w:space="0" w:color="auto"/>
        <w:left w:val="none" w:sz="0" w:space="0" w:color="auto"/>
        <w:bottom w:val="none" w:sz="0" w:space="0" w:color="auto"/>
        <w:right w:val="none" w:sz="0" w:space="0" w:color="auto"/>
      </w:divBdr>
      <w:divsChild>
        <w:div w:id="29963156">
          <w:marLeft w:val="0"/>
          <w:marRight w:val="0"/>
          <w:marTop w:val="0"/>
          <w:marBottom w:val="300"/>
          <w:divBdr>
            <w:top w:val="none" w:sz="0" w:space="0" w:color="auto"/>
            <w:left w:val="none" w:sz="0" w:space="0" w:color="auto"/>
            <w:bottom w:val="none" w:sz="0" w:space="0" w:color="auto"/>
            <w:right w:val="none" w:sz="0" w:space="0" w:color="auto"/>
          </w:divBdr>
          <w:divsChild>
            <w:div w:id="366221247">
              <w:marLeft w:val="0"/>
              <w:marRight w:val="0"/>
              <w:marTop w:val="0"/>
              <w:marBottom w:val="0"/>
              <w:divBdr>
                <w:top w:val="none" w:sz="0" w:space="0" w:color="auto"/>
                <w:left w:val="none" w:sz="0" w:space="0" w:color="auto"/>
                <w:bottom w:val="none" w:sz="0" w:space="0" w:color="auto"/>
                <w:right w:val="none" w:sz="0" w:space="0" w:color="auto"/>
              </w:divBdr>
            </w:div>
          </w:divsChild>
        </w:div>
        <w:div w:id="538468404">
          <w:marLeft w:val="0"/>
          <w:marRight w:val="0"/>
          <w:marTop w:val="0"/>
          <w:marBottom w:val="0"/>
          <w:divBdr>
            <w:top w:val="none" w:sz="0" w:space="0" w:color="auto"/>
            <w:left w:val="none" w:sz="0" w:space="0" w:color="auto"/>
            <w:bottom w:val="none" w:sz="0" w:space="0" w:color="auto"/>
            <w:right w:val="none" w:sz="0" w:space="0" w:color="auto"/>
          </w:divBdr>
          <w:divsChild>
            <w:div w:id="1293172604">
              <w:marLeft w:val="0"/>
              <w:marRight w:val="0"/>
              <w:marTop w:val="0"/>
              <w:marBottom w:val="0"/>
              <w:divBdr>
                <w:top w:val="none" w:sz="0" w:space="0" w:color="auto"/>
                <w:left w:val="none" w:sz="0" w:space="0" w:color="auto"/>
                <w:bottom w:val="none" w:sz="0" w:space="0" w:color="auto"/>
                <w:right w:val="none" w:sz="0" w:space="0" w:color="auto"/>
              </w:divBdr>
              <w:divsChild>
                <w:div w:id="164084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028097">
          <w:marLeft w:val="0"/>
          <w:marRight w:val="0"/>
          <w:marTop w:val="0"/>
          <w:marBottom w:val="75"/>
          <w:divBdr>
            <w:top w:val="none" w:sz="0" w:space="0" w:color="auto"/>
            <w:left w:val="none" w:sz="0" w:space="0" w:color="auto"/>
            <w:bottom w:val="none" w:sz="0" w:space="0" w:color="auto"/>
            <w:right w:val="none" w:sz="0" w:space="0" w:color="auto"/>
          </w:divBdr>
        </w:div>
        <w:div w:id="1540313389">
          <w:marLeft w:val="0"/>
          <w:marRight w:val="0"/>
          <w:marTop w:val="0"/>
          <w:marBottom w:val="0"/>
          <w:divBdr>
            <w:top w:val="none" w:sz="0" w:space="0" w:color="auto"/>
            <w:left w:val="none" w:sz="0" w:space="0" w:color="auto"/>
            <w:bottom w:val="none" w:sz="0" w:space="0" w:color="auto"/>
            <w:right w:val="none" w:sz="0" w:space="0" w:color="auto"/>
          </w:divBdr>
        </w:div>
      </w:divsChild>
    </w:div>
    <w:div w:id="1580557765">
      <w:bodyDiv w:val="1"/>
      <w:marLeft w:val="0"/>
      <w:marRight w:val="0"/>
      <w:marTop w:val="0"/>
      <w:marBottom w:val="0"/>
      <w:divBdr>
        <w:top w:val="none" w:sz="0" w:space="0" w:color="auto"/>
        <w:left w:val="none" w:sz="0" w:space="0" w:color="auto"/>
        <w:bottom w:val="none" w:sz="0" w:space="0" w:color="auto"/>
        <w:right w:val="none" w:sz="0" w:space="0" w:color="auto"/>
      </w:divBdr>
      <w:divsChild>
        <w:div w:id="1248273750">
          <w:marLeft w:val="0"/>
          <w:marRight w:val="0"/>
          <w:marTop w:val="0"/>
          <w:marBottom w:val="0"/>
          <w:divBdr>
            <w:top w:val="none" w:sz="0" w:space="0" w:color="auto"/>
            <w:left w:val="none" w:sz="0" w:space="0" w:color="auto"/>
            <w:bottom w:val="none" w:sz="0" w:space="0" w:color="auto"/>
            <w:right w:val="none" w:sz="0" w:space="0" w:color="auto"/>
          </w:divBdr>
        </w:div>
        <w:div w:id="1398553743">
          <w:marLeft w:val="0"/>
          <w:marRight w:val="0"/>
          <w:marTop w:val="0"/>
          <w:marBottom w:val="45"/>
          <w:divBdr>
            <w:top w:val="none" w:sz="0" w:space="0" w:color="auto"/>
            <w:left w:val="none" w:sz="0" w:space="0" w:color="auto"/>
            <w:bottom w:val="none" w:sz="0" w:space="0" w:color="auto"/>
            <w:right w:val="none" w:sz="0" w:space="0" w:color="auto"/>
          </w:divBdr>
        </w:div>
        <w:div w:id="1685283238">
          <w:marLeft w:val="0"/>
          <w:marRight w:val="0"/>
          <w:marTop w:val="45"/>
          <w:marBottom w:val="0"/>
          <w:divBdr>
            <w:top w:val="none" w:sz="0" w:space="0" w:color="auto"/>
            <w:left w:val="none" w:sz="0" w:space="0" w:color="auto"/>
            <w:bottom w:val="none" w:sz="0" w:space="0" w:color="auto"/>
            <w:right w:val="none" w:sz="0" w:space="0" w:color="auto"/>
          </w:divBdr>
        </w:div>
      </w:divsChild>
    </w:div>
    <w:div w:id="1580629392">
      <w:bodyDiv w:val="1"/>
      <w:marLeft w:val="0"/>
      <w:marRight w:val="0"/>
      <w:marTop w:val="0"/>
      <w:marBottom w:val="0"/>
      <w:divBdr>
        <w:top w:val="none" w:sz="0" w:space="0" w:color="auto"/>
        <w:left w:val="none" w:sz="0" w:space="0" w:color="auto"/>
        <w:bottom w:val="none" w:sz="0" w:space="0" w:color="auto"/>
        <w:right w:val="none" w:sz="0" w:space="0" w:color="auto"/>
      </w:divBdr>
      <w:divsChild>
        <w:div w:id="594705826">
          <w:marLeft w:val="0"/>
          <w:marRight w:val="0"/>
          <w:marTop w:val="0"/>
          <w:marBottom w:val="240"/>
          <w:divBdr>
            <w:top w:val="none" w:sz="0" w:space="0" w:color="auto"/>
            <w:left w:val="none" w:sz="0" w:space="0" w:color="auto"/>
            <w:bottom w:val="none" w:sz="0" w:space="0" w:color="auto"/>
            <w:right w:val="none" w:sz="0" w:space="0" w:color="auto"/>
          </w:divBdr>
        </w:div>
        <w:div w:id="1361471295">
          <w:marLeft w:val="0"/>
          <w:marRight w:val="0"/>
          <w:marTop w:val="0"/>
          <w:marBottom w:val="240"/>
          <w:divBdr>
            <w:top w:val="none" w:sz="0" w:space="0" w:color="auto"/>
            <w:left w:val="none" w:sz="0" w:space="0" w:color="auto"/>
            <w:bottom w:val="none" w:sz="0" w:space="0" w:color="auto"/>
            <w:right w:val="none" w:sz="0" w:space="0" w:color="auto"/>
          </w:divBdr>
        </w:div>
        <w:div w:id="301276917">
          <w:marLeft w:val="0"/>
          <w:marRight w:val="0"/>
          <w:marTop w:val="0"/>
          <w:marBottom w:val="240"/>
          <w:divBdr>
            <w:top w:val="none" w:sz="0" w:space="0" w:color="auto"/>
            <w:left w:val="none" w:sz="0" w:space="0" w:color="auto"/>
            <w:bottom w:val="none" w:sz="0" w:space="0" w:color="auto"/>
            <w:right w:val="none" w:sz="0" w:space="0" w:color="auto"/>
          </w:divBdr>
        </w:div>
        <w:div w:id="565997962">
          <w:marLeft w:val="0"/>
          <w:marRight w:val="0"/>
          <w:marTop w:val="0"/>
          <w:marBottom w:val="240"/>
          <w:divBdr>
            <w:top w:val="none" w:sz="0" w:space="0" w:color="auto"/>
            <w:left w:val="none" w:sz="0" w:space="0" w:color="auto"/>
            <w:bottom w:val="none" w:sz="0" w:space="0" w:color="auto"/>
            <w:right w:val="none" w:sz="0" w:space="0" w:color="auto"/>
          </w:divBdr>
        </w:div>
      </w:divsChild>
    </w:div>
    <w:div w:id="1580753624">
      <w:bodyDiv w:val="1"/>
      <w:marLeft w:val="0"/>
      <w:marRight w:val="0"/>
      <w:marTop w:val="0"/>
      <w:marBottom w:val="0"/>
      <w:divBdr>
        <w:top w:val="none" w:sz="0" w:space="0" w:color="auto"/>
        <w:left w:val="none" w:sz="0" w:space="0" w:color="auto"/>
        <w:bottom w:val="none" w:sz="0" w:space="0" w:color="auto"/>
        <w:right w:val="none" w:sz="0" w:space="0" w:color="auto"/>
      </w:divBdr>
      <w:divsChild>
        <w:div w:id="93133481">
          <w:marLeft w:val="0"/>
          <w:marRight w:val="0"/>
          <w:marTop w:val="300"/>
          <w:marBottom w:val="0"/>
          <w:divBdr>
            <w:top w:val="none" w:sz="0" w:space="0" w:color="auto"/>
            <w:left w:val="none" w:sz="0" w:space="0" w:color="auto"/>
            <w:bottom w:val="none" w:sz="0" w:space="0" w:color="auto"/>
            <w:right w:val="none" w:sz="0" w:space="0" w:color="auto"/>
          </w:divBdr>
          <w:divsChild>
            <w:div w:id="1160727894">
              <w:marLeft w:val="-1350"/>
              <w:marRight w:val="0"/>
              <w:marTop w:val="0"/>
              <w:marBottom w:val="0"/>
              <w:divBdr>
                <w:top w:val="none" w:sz="0" w:space="0" w:color="auto"/>
                <w:left w:val="none" w:sz="0" w:space="0" w:color="auto"/>
                <w:bottom w:val="none" w:sz="0" w:space="0" w:color="auto"/>
                <w:right w:val="none" w:sz="0" w:space="0" w:color="auto"/>
              </w:divBdr>
              <w:divsChild>
                <w:div w:id="168955820">
                  <w:marLeft w:val="0"/>
                  <w:marRight w:val="0"/>
                  <w:marTop w:val="0"/>
                  <w:marBottom w:val="0"/>
                  <w:divBdr>
                    <w:top w:val="none" w:sz="0" w:space="0" w:color="auto"/>
                    <w:left w:val="none" w:sz="0" w:space="0" w:color="auto"/>
                    <w:bottom w:val="none" w:sz="0" w:space="0" w:color="auto"/>
                    <w:right w:val="none" w:sz="0" w:space="0" w:color="auto"/>
                  </w:divBdr>
                  <w:divsChild>
                    <w:div w:id="1632593243">
                      <w:marLeft w:val="0"/>
                      <w:marRight w:val="0"/>
                      <w:marTop w:val="0"/>
                      <w:marBottom w:val="0"/>
                      <w:divBdr>
                        <w:top w:val="none" w:sz="0" w:space="0" w:color="auto"/>
                        <w:left w:val="none" w:sz="0" w:space="0" w:color="auto"/>
                        <w:bottom w:val="none" w:sz="0" w:space="0" w:color="auto"/>
                        <w:right w:val="none" w:sz="0" w:space="0" w:color="auto"/>
                      </w:divBdr>
                      <w:divsChild>
                        <w:div w:id="1658724527">
                          <w:marLeft w:val="0"/>
                          <w:marRight w:val="0"/>
                          <w:marTop w:val="0"/>
                          <w:marBottom w:val="0"/>
                          <w:divBdr>
                            <w:top w:val="single" w:sz="6" w:space="0" w:color="C7C7C7"/>
                            <w:left w:val="single" w:sz="6" w:space="0" w:color="C7C7C7"/>
                            <w:bottom w:val="single" w:sz="6" w:space="0" w:color="C7C7C7"/>
                            <w:right w:val="single" w:sz="6" w:space="0" w:color="C7C7C7"/>
                          </w:divBdr>
                          <w:divsChild>
                            <w:div w:id="945577466">
                              <w:marLeft w:val="0"/>
                              <w:marRight w:val="0"/>
                              <w:marTop w:val="100"/>
                              <w:marBottom w:val="100"/>
                              <w:divBdr>
                                <w:top w:val="none" w:sz="0" w:space="0" w:color="auto"/>
                                <w:left w:val="none" w:sz="0" w:space="0" w:color="auto"/>
                                <w:bottom w:val="none" w:sz="0" w:space="0" w:color="auto"/>
                                <w:right w:val="none" w:sz="0" w:space="0" w:color="auto"/>
                              </w:divBdr>
                            </w:div>
                            <w:div w:id="1388265576">
                              <w:marLeft w:val="0"/>
                              <w:marRight w:val="0"/>
                              <w:marTop w:val="100"/>
                              <w:marBottom w:val="100"/>
                              <w:divBdr>
                                <w:top w:val="none" w:sz="0" w:space="11" w:color="auto"/>
                                <w:left w:val="none" w:sz="0" w:space="0" w:color="auto"/>
                                <w:bottom w:val="single" w:sz="6" w:space="11" w:color="C7C7C7"/>
                                <w:right w:val="none" w:sz="0" w:space="0" w:color="auto"/>
                              </w:divBdr>
                            </w:div>
                            <w:div w:id="1444030225">
                              <w:marLeft w:val="0"/>
                              <w:marRight w:val="0"/>
                              <w:marTop w:val="100"/>
                              <w:marBottom w:val="100"/>
                              <w:divBdr>
                                <w:top w:val="none" w:sz="0" w:space="11" w:color="auto"/>
                                <w:left w:val="none" w:sz="0" w:space="0" w:color="auto"/>
                                <w:bottom w:val="single" w:sz="6" w:space="11" w:color="C7C7C7"/>
                                <w:right w:val="none" w:sz="0" w:space="0" w:color="auto"/>
                              </w:divBdr>
                            </w:div>
                            <w:div w:id="1962105870">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516192409">
              <w:marLeft w:val="0"/>
              <w:marRight w:val="0"/>
              <w:marTop w:val="0"/>
              <w:marBottom w:val="0"/>
              <w:divBdr>
                <w:top w:val="none" w:sz="0" w:space="0" w:color="auto"/>
                <w:left w:val="none" w:sz="0" w:space="0" w:color="auto"/>
                <w:bottom w:val="none" w:sz="0" w:space="0" w:color="auto"/>
                <w:right w:val="none" w:sz="0" w:space="0" w:color="auto"/>
              </w:divBdr>
              <w:divsChild>
                <w:div w:id="128985854">
                  <w:marLeft w:val="0"/>
                  <w:marRight w:val="0"/>
                  <w:marTop w:val="0"/>
                  <w:marBottom w:val="0"/>
                  <w:divBdr>
                    <w:top w:val="none" w:sz="0" w:space="0" w:color="auto"/>
                    <w:left w:val="none" w:sz="0" w:space="0" w:color="auto"/>
                    <w:bottom w:val="none" w:sz="0" w:space="0" w:color="auto"/>
                    <w:right w:val="none" w:sz="0" w:space="0" w:color="auto"/>
                  </w:divBdr>
                  <w:divsChild>
                    <w:div w:id="727531219">
                      <w:marLeft w:val="0"/>
                      <w:marRight w:val="0"/>
                      <w:marTop w:val="0"/>
                      <w:marBottom w:val="0"/>
                      <w:divBdr>
                        <w:top w:val="none" w:sz="0" w:space="0" w:color="auto"/>
                        <w:left w:val="none" w:sz="0" w:space="0" w:color="auto"/>
                        <w:bottom w:val="none" w:sz="0" w:space="0" w:color="auto"/>
                        <w:right w:val="none" w:sz="0" w:space="0" w:color="auto"/>
                      </w:divBdr>
                    </w:div>
                  </w:divsChild>
                </w:div>
                <w:div w:id="606667217">
                  <w:marLeft w:val="0"/>
                  <w:marRight w:val="0"/>
                  <w:marTop w:val="150"/>
                  <w:marBottom w:val="0"/>
                  <w:divBdr>
                    <w:top w:val="none" w:sz="0" w:space="0" w:color="auto"/>
                    <w:left w:val="none" w:sz="0" w:space="0" w:color="auto"/>
                    <w:bottom w:val="none" w:sz="0" w:space="0" w:color="auto"/>
                    <w:right w:val="none" w:sz="0" w:space="0" w:color="auto"/>
                  </w:divBdr>
                  <w:divsChild>
                    <w:div w:id="1186332943">
                      <w:marLeft w:val="0"/>
                      <w:marRight w:val="0"/>
                      <w:marTop w:val="0"/>
                      <w:marBottom w:val="0"/>
                      <w:divBdr>
                        <w:top w:val="none" w:sz="0" w:space="0" w:color="auto"/>
                        <w:left w:val="none" w:sz="0" w:space="0" w:color="auto"/>
                        <w:bottom w:val="none" w:sz="0" w:space="0" w:color="auto"/>
                        <w:right w:val="none" w:sz="0" w:space="0" w:color="auto"/>
                      </w:divBdr>
                      <w:divsChild>
                        <w:div w:id="18566535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017308">
          <w:marLeft w:val="0"/>
          <w:marRight w:val="0"/>
          <w:marTop w:val="150"/>
          <w:marBottom w:val="0"/>
          <w:divBdr>
            <w:top w:val="none" w:sz="0" w:space="0" w:color="auto"/>
            <w:left w:val="none" w:sz="0" w:space="0" w:color="auto"/>
            <w:bottom w:val="none" w:sz="0" w:space="0" w:color="auto"/>
            <w:right w:val="none" w:sz="0" w:space="0" w:color="auto"/>
          </w:divBdr>
          <w:divsChild>
            <w:div w:id="87236499">
              <w:marLeft w:val="0"/>
              <w:marRight w:val="0"/>
              <w:marTop w:val="0"/>
              <w:marBottom w:val="0"/>
              <w:divBdr>
                <w:top w:val="none" w:sz="0" w:space="0" w:color="auto"/>
                <w:left w:val="none" w:sz="0" w:space="0" w:color="auto"/>
                <w:bottom w:val="single" w:sz="6" w:space="0" w:color="EFEFEF"/>
                <w:right w:val="none" w:sz="0" w:space="0" w:color="auto"/>
              </w:divBdr>
              <w:divsChild>
                <w:div w:id="876963482">
                  <w:marLeft w:val="0"/>
                  <w:marRight w:val="0"/>
                  <w:marTop w:val="0"/>
                  <w:marBottom w:val="0"/>
                  <w:divBdr>
                    <w:top w:val="none" w:sz="0" w:space="0" w:color="auto"/>
                    <w:left w:val="none" w:sz="0" w:space="0" w:color="auto"/>
                    <w:bottom w:val="none" w:sz="0" w:space="0" w:color="auto"/>
                    <w:right w:val="none" w:sz="0" w:space="0" w:color="auto"/>
                  </w:divBdr>
                </w:div>
                <w:div w:id="94800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796847">
      <w:bodyDiv w:val="1"/>
      <w:marLeft w:val="0"/>
      <w:marRight w:val="0"/>
      <w:marTop w:val="0"/>
      <w:marBottom w:val="0"/>
      <w:divBdr>
        <w:top w:val="none" w:sz="0" w:space="0" w:color="auto"/>
        <w:left w:val="none" w:sz="0" w:space="0" w:color="auto"/>
        <w:bottom w:val="none" w:sz="0" w:space="0" w:color="auto"/>
        <w:right w:val="none" w:sz="0" w:space="0" w:color="auto"/>
      </w:divBdr>
    </w:div>
    <w:div w:id="1581478022">
      <w:bodyDiv w:val="1"/>
      <w:marLeft w:val="0"/>
      <w:marRight w:val="0"/>
      <w:marTop w:val="0"/>
      <w:marBottom w:val="0"/>
      <w:divBdr>
        <w:top w:val="none" w:sz="0" w:space="0" w:color="auto"/>
        <w:left w:val="none" w:sz="0" w:space="0" w:color="auto"/>
        <w:bottom w:val="none" w:sz="0" w:space="0" w:color="auto"/>
        <w:right w:val="none" w:sz="0" w:space="0" w:color="auto"/>
      </w:divBdr>
      <w:divsChild>
        <w:div w:id="1675916372">
          <w:marLeft w:val="0"/>
          <w:marRight w:val="0"/>
          <w:marTop w:val="0"/>
          <w:marBottom w:val="0"/>
          <w:divBdr>
            <w:top w:val="none" w:sz="0" w:space="0" w:color="auto"/>
            <w:left w:val="none" w:sz="0" w:space="0" w:color="auto"/>
            <w:bottom w:val="none" w:sz="0" w:space="0" w:color="auto"/>
            <w:right w:val="none" w:sz="0" w:space="0" w:color="auto"/>
          </w:divBdr>
          <w:divsChild>
            <w:div w:id="815075045">
              <w:marLeft w:val="0"/>
              <w:marRight w:val="0"/>
              <w:marTop w:val="0"/>
              <w:marBottom w:val="0"/>
              <w:divBdr>
                <w:top w:val="none" w:sz="0" w:space="0" w:color="auto"/>
                <w:left w:val="none" w:sz="0" w:space="0" w:color="auto"/>
                <w:bottom w:val="none" w:sz="0" w:space="0" w:color="auto"/>
                <w:right w:val="none" w:sz="0" w:space="0" w:color="auto"/>
              </w:divBdr>
              <w:divsChild>
                <w:div w:id="876046218">
                  <w:marLeft w:val="0"/>
                  <w:marRight w:val="0"/>
                  <w:marTop w:val="0"/>
                  <w:marBottom w:val="0"/>
                  <w:divBdr>
                    <w:top w:val="none" w:sz="0" w:space="0" w:color="auto"/>
                    <w:left w:val="none" w:sz="0" w:space="0" w:color="auto"/>
                    <w:bottom w:val="none" w:sz="0" w:space="0" w:color="auto"/>
                    <w:right w:val="none" w:sz="0" w:space="0" w:color="auto"/>
                  </w:divBdr>
                  <w:divsChild>
                    <w:div w:id="794837098">
                      <w:marLeft w:val="0"/>
                      <w:marRight w:val="0"/>
                      <w:marTop w:val="0"/>
                      <w:marBottom w:val="0"/>
                      <w:divBdr>
                        <w:top w:val="none" w:sz="0" w:space="0" w:color="auto"/>
                        <w:left w:val="none" w:sz="0" w:space="0" w:color="auto"/>
                        <w:bottom w:val="none" w:sz="0" w:space="0" w:color="auto"/>
                        <w:right w:val="none" w:sz="0" w:space="0" w:color="auto"/>
                      </w:divBdr>
                      <w:divsChild>
                        <w:div w:id="541552799">
                          <w:marLeft w:val="0"/>
                          <w:marRight w:val="0"/>
                          <w:marTop w:val="0"/>
                          <w:marBottom w:val="0"/>
                          <w:divBdr>
                            <w:top w:val="none" w:sz="0" w:space="0" w:color="auto"/>
                            <w:left w:val="none" w:sz="0" w:space="0" w:color="auto"/>
                            <w:bottom w:val="none" w:sz="0" w:space="0" w:color="auto"/>
                            <w:right w:val="none" w:sz="0" w:space="0" w:color="auto"/>
                          </w:divBdr>
                          <w:divsChild>
                            <w:div w:id="744572500">
                              <w:marLeft w:val="0"/>
                              <w:marRight w:val="0"/>
                              <w:marTop w:val="0"/>
                              <w:marBottom w:val="0"/>
                              <w:divBdr>
                                <w:top w:val="none" w:sz="0" w:space="0" w:color="auto"/>
                                <w:left w:val="none" w:sz="0" w:space="0" w:color="auto"/>
                                <w:bottom w:val="none" w:sz="0" w:space="0" w:color="auto"/>
                                <w:right w:val="none" w:sz="0" w:space="0" w:color="auto"/>
                              </w:divBdr>
                              <w:divsChild>
                                <w:div w:id="105656801">
                                  <w:marLeft w:val="0"/>
                                  <w:marRight w:val="0"/>
                                  <w:marTop w:val="0"/>
                                  <w:marBottom w:val="75"/>
                                  <w:divBdr>
                                    <w:top w:val="none" w:sz="0" w:space="0" w:color="auto"/>
                                    <w:left w:val="none" w:sz="0" w:space="0" w:color="auto"/>
                                    <w:bottom w:val="none" w:sz="0" w:space="0" w:color="auto"/>
                                    <w:right w:val="none" w:sz="0" w:space="0" w:color="auto"/>
                                  </w:divBdr>
                                  <w:divsChild>
                                    <w:div w:id="1125389871">
                                      <w:marLeft w:val="0"/>
                                      <w:marRight w:val="0"/>
                                      <w:marTop w:val="0"/>
                                      <w:marBottom w:val="0"/>
                                      <w:divBdr>
                                        <w:top w:val="none" w:sz="0" w:space="0" w:color="auto"/>
                                        <w:left w:val="none" w:sz="0" w:space="0" w:color="auto"/>
                                        <w:bottom w:val="none" w:sz="0" w:space="0" w:color="auto"/>
                                        <w:right w:val="none" w:sz="0" w:space="0" w:color="auto"/>
                                      </w:divBdr>
                                      <w:divsChild>
                                        <w:div w:id="2103599980">
                                          <w:marLeft w:val="0"/>
                                          <w:marRight w:val="0"/>
                                          <w:marTop w:val="0"/>
                                          <w:marBottom w:val="0"/>
                                          <w:divBdr>
                                            <w:top w:val="none" w:sz="0" w:space="0" w:color="auto"/>
                                            <w:left w:val="none" w:sz="0" w:space="0" w:color="auto"/>
                                            <w:bottom w:val="none" w:sz="0" w:space="0" w:color="auto"/>
                                            <w:right w:val="none" w:sz="0" w:space="0" w:color="auto"/>
                                          </w:divBdr>
                                          <w:divsChild>
                                            <w:div w:id="658458425">
                                              <w:marLeft w:val="0"/>
                                              <w:marRight w:val="0"/>
                                              <w:marTop w:val="0"/>
                                              <w:marBottom w:val="0"/>
                                              <w:divBdr>
                                                <w:top w:val="none" w:sz="0" w:space="0" w:color="auto"/>
                                                <w:left w:val="none" w:sz="0" w:space="0" w:color="auto"/>
                                                <w:bottom w:val="none" w:sz="0" w:space="0" w:color="auto"/>
                                                <w:right w:val="none" w:sz="0" w:space="0" w:color="auto"/>
                                              </w:divBdr>
                                              <w:divsChild>
                                                <w:div w:id="201741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1674292">
      <w:bodyDiv w:val="1"/>
      <w:marLeft w:val="0"/>
      <w:marRight w:val="0"/>
      <w:marTop w:val="0"/>
      <w:marBottom w:val="0"/>
      <w:divBdr>
        <w:top w:val="none" w:sz="0" w:space="0" w:color="auto"/>
        <w:left w:val="none" w:sz="0" w:space="0" w:color="auto"/>
        <w:bottom w:val="none" w:sz="0" w:space="0" w:color="auto"/>
        <w:right w:val="none" w:sz="0" w:space="0" w:color="auto"/>
      </w:divBdr>
      <w:divsChild>
        <w:div w:id="1024746058">
          <w:marLeft w:val="0"/>
          <w:marRight w:val="0"/>
          <w:marTop w:val="0"/>
          <w:marBottom w:val="225"/>
          <w:divBdr>
            <w:top w:val="none" w:sz="0" w:space="0" w:color="auto"/>
            <w:left w:val="none" w:sz="0" w:space="0" w:color="auto"/>
            <w:bottom w:val="none" w:sz="0" w:space="0" w:color="auto"/>
            <w:right w:val="none" w:sz="0" w:space="0" w:color="auto"/>
          </w:divBdr>
        </w:div>
        <w:div w:id="519322334">
          <w:marLeft w:val="0"/>
          <w:marRight w:val="0"/>
          <w:marTop w:val="0"/>
          <w:marBottom w:val="225"/>
          <w:divBdr>
            <w:top w:val="none" w:sz="0" w:space="0" w:color="auto"/>
            <w:left w:val="none" w:sz="0" w:space="0" w:color="auto"/>
            <w:bottom w:val="none" w:sz="0" w:space="0" w:color="auto"/>
            <w:right w:val="none" w:sz="0" w:space="0" w:color="auto"/>
          </w:divBdr>
          <w:divsChild>
            <w:div w:id="809399845">
              <w:marLeft w:val="0"/>
              <w:marRight w:val="0"/>
              <w:marTop w:val="0"/>
              <w:marBottom w:val="0"/>
              <w:divBdr>
                <w:top w:val="none" w:sz="0" w:space="0" w:color="auto"/>
                <w:left w:val="none" w:sz="0" w:space="0" w:color="auto"/>
                <w:bottom w:val="none" w:sz="0" w:space="0" w:color="auto"/>
                <w:right w:val="none" w:sz="0" w:space="0" w:color="auto"/>
              </w:divBdr>
              <w:divsChild>
                <w:div w:id="127601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713489">
      <w:bodyDiv w:val="1"/>
      <w:marLeft w:val="0"/>
      <w:marRight w:val="0"/>
      <w:marTop w:val="0"/>
      <w:marBottom w:val="0"/>
      <w:divBdr>
        <w:top w:val="none" w:sz="0" w:space="0" w:color="auto"/>
        <w:left w:val="none" w:sz="0" w:space="0" w:color="auto"/>
        <w:bottom w:val="none" w:sz="0" w:space="0" w:color="auto"/>
        <w:right w:val="none" w:sz="0" w:space="0" w:color="auto"/>
      </w:divBdr>
      <w:divsChild>
        <w:div w:id="858810491">
          <w:marLeft w:val="0"/>
          <w:marRight w:val="0"/>
          <w:marTop w:val="0"/>
          <w:marBottom w:val="0"/>
          <w:divBdr>
            <w:top w:val="none" w:sz="0" w:space="0" w:color="auto"/>
            <w:left w:val="none" w:sz="0" w:space="0" w:color="auto"/>
            <w:bottom w:val="none" w:sz="0" w:space="0" w:color="auto"/>
            <w:right w:val="none" w:sz="0" w:space="0" w:color="auto"/>
          </w:divBdr>
        </w:div>
      </w:divsChild>
    </w:div>
    <w:div w:id="1581792093">
      <w:bodyDiv w:val="1"/>
      <w:marLeft w:val="0"/>
      <w:marRight w:val="0"/>
      <w:marTop w:val="0"/>
      <w:marBottom w:val="0"/>
      <w:divBdr>
        <w:top w:val="none" w:sz="0" w:space="0" w:color="auto"/>
        <w:left w:val="none" w:sz="0" w:space="0" w:color="auto"/>
        <w:bottom w:val="none" w:sz="0" w:space="0" w:color="auto"/>
        <w:right w:val="none" w:sz="0" w:space="0" w:color="auto"/>
      </w:divBdr>
      <w:divsChild>
        <w:div w:id="1268388130">
          <w:marLeft w:val="0"/>
          <w:marRight w:val="0"/>
          <w:marTop w:val="0"/>
          <w:marBottom w:val="0"/>
          <w:divBdr>
            <w:top w:val="none" w:sz="0" w:space="0" w:color="auto"/>
            <w:left w:val="none" w:sz="0" w:space="0" w:color="auto"/>
            <w:bottom w:val="none" w:sz="0" w:space="0" w:color="auto"/>
            <w:right w:val="none" w:sz="0" w:space="0" w:color="auto"/>
          </w:divBdr>
          <w:divsChild>
            <w:div w:id="403071618">
              <w:marLeft w:val="0"/>
              <w:marRight w:val="0"/>
              <w:marTop w:val="0"/>
              <w:marBottom w:val="0"/>
              <w:divBdr>
                <w:top w:val="none" w:sz="0" w:space="0" w:color="auto"/>
                <w:left w:val="none" w:sz="0" w:space="0" w:color="auto"/>
                <w:bottom w:val="none" w:sz="0" w:space="0" w:color="auto"/>
                <w:right w:val="none" w:sz="0" w:space="0" w:color="auto"/>
              </w:divBdr>
            </w:div>
            <w:div w:id="104309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869937">
      <w:bodyDiv w:val="1"/>
      <w:marLeft w:val="0"/>
      <w:marRight w:val="0"/>
      <w:marTop w:val="0"/>
      <w:marBottom w:val="0"/>
      <w:divBdr>
        <w:top w:val="none" w:sz="0" w:space="0" w:color="auto"/>
        <w:left w:val="none" w:sz="0" w:space="0" w:color="auto"/>
        <w:bottom w:val="none" w:sz="0" w:space="0" w:color="auto"/>
        <w:right w:val="none" w:sz="0" w:space="0" w:color="auto"/>
      </w:divBdr>
      <w:divsChild>
        <w:div w:id="1162544087">
          <w:marLeft w:val="0"/>
          <w:marRight w:val="0"/>
          <w:marTop w:val="0"/>
          <w:marBottom w:val="150"/>
          <w:divBdr>
            <w:top w:val="none" w:sz="0" w:space="0" w:color="auto"/>
            <w:left w:val="none" w:sz="0" w:space="0" w:color="auto"/>
            <w:bottom w:val="none" w:sz="0" w:space="0" w:color="auto"/>
            <w:right w:val="none" w:sz="0" w:space="0" w:color="auto"/>
          </w:divBdr>
        </w:div>
      </w:divsChild>
    </w:div>
    <w:div w:id="1581983696">
      <w:bodyDiv w:val="1"/>
      <w:marLeft w:val="0"/>
      <w:marRight w:val="0"/>
      <w:marTop w:val="0"/>
      <w:marBottom w:val="0"/>
      <w:divBdr>
        <w:top w:val="none" w:sz="0" w:space="0" w:color="auto"/>
        <w:left w:val="none" w:sz="0" w:space="0" w:color="auto"/>
        <w:bottom w:val="none" w:sz="0" w:space="0" w:color="auto"/>
        <w:right w:val="none" w:sz="0" w:space="0" w:color="auto"/>
      </w:divBdr>
      <w:divsChild>
        <w:div w:id="401297112">
          <w:marLeft w:val="0"/>
          <w:marRight w:val="0"/>
          <w:marTop w:val="0"/>
          <w:marBottom w:val="0"/>
          <w:divBdr>
            <w:top w:val="none" w:sz="0" w:space="0" w:color="auto"/>
            <w:left w:val="none" w:sz="0" w:space="0" w:color="auto"/>
            <w:bottom w:val="none" w:sz="0" w:space="0" w:color="auto"/>
            <w:right w:val="none" w:sz="0" w:space="0" w:color="auto"/>
          </w:divBdr>
          <w:divsChild>
            <w:div w:id="1328635915">
              <w:marLeft w:val="0"/>
              <w:marRight w:val="0"/>
              <w:marTop w:val="0"/>
              <w:marBottom w:val="0"/>
              <w:divBdr>
                <w:top w:val="none" w:sz="0" w:space="0" w:color="auto"/>
                <w:left w:val="none" w:sz="0" w:space="0" w:color="auto"/>
                <w:bottom w:val="none" w:sz="0" w:space="0" w:color="auto"/>
                <w:right w:val="none" w:sz="0" w:space="0" w:color="auto"/>
              </w:divBdr>
              <w:divsChild>
                <w:div w:id="179972961">
                  <w:marLeft w:val="0"/>
                  <w:marRight w:val="0"/>
                  <w:marTop w:val="0"/>
                  <w:marBottom w:val="0"/>
                  <w:divBdr>
                    <w:top w:val="none" w:sz="0" w:space="0" w:color="auto"/>
                    <w:left w:val="none" w:sz="0" w:space="0" w:color="auto"/>
                    <w:bottom w:val="none" w:sz="0" w:space="0" w:color="auto"/>
                    <w:right w:val="none" w:sz="0" w:space="0" w:color="auto"/>
                  </w:divBdr>
                  <w:divsChild>
                    <w:div w:id="1509827904">
                      <w:marLeft w:val="0"/>
                      <w:marRight w:val="0"/>
                      <w:marTop w:val="0"/>
                      <w:marBottom w:val="0"/>
                      <w:divBdr>
                        <w:top w:val="none" w:sz="0" w:space="0" w:color="auto"/>
                        <w:left w:val="none" w:sz="0" w:space="0" w:color="auto"/>
                        <w:bottom w:val="none" w:sz="0" w:space="0" w:color="auto"/>
                        <w:right w:val="none" w:sz="0" w:space="0" w:color="auto"/>
                      </w:divBdr>
                      <w:divsChild>
                        <w:div w:id="2032760866">
                          <w:marLeft w:val="0"/>
                          <w:marRight w:val="0"/>
                          <w:marTop w:val="0"/>
                          <w:marBottom w:val="0"/>
                          <w:divBdr>
                            <w:top w:val="none" w:sz="0" w:space="0" w:color="auto"/>
                            <w:left w:val="none" w:sz="0" w:space="0" w:color="auto"/>
                            <w:bottom w:val="none" w:sz="0" w:space="0" w:color="auto"/>
                            <w:right w:val="none" w:sz="0" w:space="0" w:color="auto"/>
                          </w:divBdr>
                          <w:divsChild>
                            <w:div w:id="744105543">
                              <w:marLeft w:val="0"/>
                              <w:marRight w:val="0"/>
                              <w:marTop w:val="0"/>
                              <w:marBottom w:val="0"/>
                              <w:divBdr>
                                <w:top w:val="none" w:sz="0" w:space="0" w:color="auto"/>
                                <w:left w:val="none" w:sz="0" w:space="0" w:color="auto"/>
                                <w:bottom w:val="none" w:sz="0" w:space="0" w:color="auto"/>
                                <w:right w:val="none" w:sz="0" w:space="0" w:color="auto"/>
                              </w:divBdr>
                              <w:divsChild>
                                <w:div w:id="692927113">
                                  <w:marLeft w:val="0"/>
                                  <w:marRight w:val="0"/>
                                  <w:marTop w:val="0"/>
                                  <w:marBottom w:val="0"/>
                                  <w:divBdr>
                                    <w:top w:val="none" w:sz="0" w:space="0" w:color="auto"/>
                                    <w:left w:val="none" w:sz="0" w:space="0" w:color="auto"/>
                                    <w:bottom w:val="none" w:sz="0" w:space="0" w:color="auto"/>
                                    <w:right w:val="none" w:sz="0" w:space="0" w:color="auto"/>
                                  </w:divBdr>
                                  <w:divsChild>
                                    <w:div w:id="1126242553">
                                      <w:marLeft w:val="0"/>
                                      <w:marRight w:val="0"/>
                                      <w:marTop w:val="0"/>
                                      <w:marBottom w:val="0"/>
                                      <w:divBdr>
                                        <w:top w:val="none" w:sz="0" w:space="0" w:color="auto"/>
                                        <w:left w:val="none" w:sz="0" w:space="0" w:color="auto"/>
                                        <w:bottom w:val="none" w:sz="0" w:space="0" w:color="auto"/>
                                        <w:right w:val="none" w:sz="0" w:space="0" w:color="auto"/>
                                      </w:divBdr>
                                      <w:divsChild>
                                        <w:div w:id="95448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2253858">
      <w:bodyDiv w:val="1"/>
      <w:marLeft w:val="0"/>
      <w:marRight w:val="0"/>
      <w:marTop w:val="0"/>
      <w:marBottom w:val="0"/>
      <w:divBdr>
        <w:top w:val="none" w:sz="0" w:space="0" w:color="auto"/>
        <w:left w:val="none" w:sz="0" w:space="0" w:color="auto"/>
        <w:bottom w:val="none" w:sz="0" w:space="0" w:color="auto"/>
        <w:right w:val="none" w:sz="0" w:space="0" w:color="auto"/>
      </w:divBdr>
      <w:divsChild>
        <w:div w:id="853155888">
          <w:marLeft w:val="0"/>
          <w:marRight w:val="0"/>
          <w:marTop w:val="0"/>
          <w:marBottom w:val="0"/>
          <w:divBdr>
            <w:top w:val="none" w:sz="0" w:space="0" w:color="auto"/>
            <w:left w:val="none" w:sz="0" w:space="0" w:color="auto"/>
            <w:bottom w:val="none" w:sz="0" w:space="0" w:color="auto"/>
            <w:right w:val="none" w:sz="0" w:space="0" w:color="auto"/>
          </w:divBdr>
          <w:divsChild>
            <w:div w:id="1608997645">
              <w:marLeft w:val="0"/>
              <w:marRight w:val="0"/>
              <w:marTop w:val="0"/>
              <w:marBottom w:val="0"/>
              <w:divBdr>
                <w:top w:val="none" w:sz="0" w:space="0" w:color="auto"/>
                <w:left w:val="none" w:sz="0" w:space="0" w:color="auto"/>
                <w:bottom w:val="none" w:sz="0" w:space="0" w:color="auto"/>
                <w:right w:val="none" w:sz="0" w:space="0" w:color="auto"/>
              </w:divBdr>
              <w:divsChild>
                <w:div w:id="1543246141">
                  <w:marLeft w:val="0"/>
                  <w:marRight w:val="0"/>
                  <w:marTop w:val="0"/>
                  <w:marBottom w:val="0"/>
                  <w:divBdr>
                    <w:top w:val="none" w:sz="0" w:space="0" w:color="auto"/>
                    <w:left w:val="none" w:sz="0" w:space="0" w:color="auto"/>
                    <w:bottom w:val="none" w:sz="0" w:space="0" w:color="auto"/>
                    <w:right w:val="none" w:sz="0" w:space="0" w:color="auto"/>
                  </w:divBdr>
                  <w:divsChild>
                    <w:div w:id="581644744">
                      <w:marLeft w:val="0"/>
                      <w:marRight w:val="0"/>
                      <w:marTop w:val="0"/>
                      <w:marBottom w:val="0"/>
                      <w:divBdr>
                        <w:top w:val="none" w:sz="0" w:space="0" w:color="auto"/>
                        <w:left w:val="none" w:sz="0" w:space="0" w:color="auto"/>
                        <w:bottom w:val="none" w:sz="0" w:space="0" w:color="auto"/>
                        <w:right w:val="none" w:sz="0" w:space="0" w:color="auto"/>
                      </w:divBdr>
                      <w:divsChild>
                        <w:div w:id="508327208">
                          <w:marLeft w:val="0"/>
                          <w:marRight w:val="0"/>
                          <w:marTop w:val="0"/>
                          <w:marBottom w:val="0"/>
                          <w:divBdr>
                            <w:top w:val="none" w:sz="0" w:space="0" w:color="auto"/>
                            <w:left w:val="none" w:sz="0" w:space="0" w:color="auto"/>
                            <w:bottom w:val="none" w:sz="0" w:space="0" w:color="auto"/>
                            <w:right w:val="none" w:sz="0" w:space="0" w:color="auto"/>
                          </w:divBdr>
                          <w:divsChild>
                            <w:div w:id="56630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47123">
                      <w:marLeft w:val="0"/>
                      <w:marRight w:val="0"/>
                      <w:marTop w:val="0"/>
                      <w:marBottom w:val="0"/>
                      <w:divBdr>
                        <w:top w:val="none" w:sz="0" w:space="0" w:color="auto"/>
                        <w:left w:val="none" w:sz="0" w:space="0" w:color="auto"/>
                        <w:bottom w:val="none" w:sz="0" w:space="0" w:color="auto"/>
                        <w:right w:val="none" w:sz="0" w:space="0" w:color="auto"/>
                      </w:divBdr>
                      <w:divsChild>
                        <w:div w:id="1310479017">
                          <w:marLeft w:val="0"/>
                          <w:marRight w:val="0"/>
                          <w:marTop w:val="0"/>
                          <w:marBottom w:val="0"/>
                          <w:divBdr>
                            <w:top w:val="none" w:sz="0" w:space="0" w:color="auto"/>
                            <w:left w:val="none" w:sz="0" w:space="0" w:color="auto"/>
                            <w:bottom w:val="none" w:sz="0" w:space="0" w:color="auto"/>
                            <w:right w:val="none" w:sz="0" w:space="0" w:color="auto"/>
                          </w:divBdr>
                        </w:div>
                      </w:divsChild>
                    </w:div>
                    <w:div w:id="1632517618">
                      <w:marLeft w:val="0"/>
                      <w:marRight w:val="0"/>
                      <w:marTop w:val="0"/>
                      <w:marBottom w:val="75"/>
                      <w:divBdr>
                        <w:top w:val="none" w:sz="0" w:space="0" w:color="auto"/>
                        <w:left w:val="none" w:sz="0" w:space="0" w:color="auto"/>
                        <w:bottom w:val="none" w:sz="0" w:space="0" w:color="auto"/>
                        <w:right w:val="none" w:sz="0" w:space="0" w:color="auto"/>
                      </w:divBdr>
                    </w:div>
                    <w:div w:id="2064981386">
                      <w:marLeft w:val="0"/>
                      <w:marRight w:val="0"/>
                      <w:marTop w:val="0"/>
                      <w:marBottom w:val="300"/>
                      <w:divBdr>
                        <w:top w:val="none" w:sz="0" w:space="0" w:color="auto"/>
                        <w:left w:val="none" w:sz="0" w:space="0" w:color="auto"/>
                        <w:bottom w:val="none" w:sz="0" w:space="0" w:color="auto"/>
                        <w:right w:val="none" w:sz="0" w:space="0" w:color="auto"/>
                      </w:divBdr>
                      <w:divsChild>
                        <w:div w:id="212075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905569">
                  <w:marLeft w:val="0"/>
                  <w:marRight w:val="0"/>
                  <w:marTop w:val="0"/>
                  <w:marBottom w:val="0"/>
                  <w:divBdr>
                    <w:top w:val="none" w:sz="0" w:space="0" w:color="auto"/>
                    <w:left w:val="none" w:sz="0" w:space="0" w:color="auto"/>
                    <w:bottom w:val="none" w:sz="0" w:space="0" w:color="auto"/>
                    <w:right w:val="none" w:sz="0" w:space="0" w:color="auto"/>
                  </w:divBdr>
                  <w:divsChild>
                    <w:div w:id="43528171">
                      <w:marLeft w:val="0"/>
                      <w:marRight w:val="0"/>
                      <w:marTop w:val="0"/>
                      <w:marBottom w:val="300"/>
                      <w:divBdr>
                        <w:top w:val="none" w:sz="0" w:space="0" w:color="auto"/>
                        <w:left w:val="none" w:sz="0" w:space="0" w:color="auto"/>
                        <w:bottom w:val="none" w:sz="0" w:space="0" w:color="auto"/>
                        <w:right w:val="none" w:sz="0" w:space="0" w:color="auto"/>
                      </w:divBdr>
                      <w:divsChild>
                        <w:div w:id="359428955">
                          <w:marLeft w:val="0"/>
                          <w:marRight w:val="0"/>
                          <w:marTop w:val="0"/>
                          <w:marBottom w:val="120"/>
                          <w:divBdr>
                            <w:top w:val="none" w:sz="0" w:space="0" w:color="auto"/>
                            <w:left w:val="none" w:sz="0" w:space="0" w:color="auto"/>
                            <w:bottom w:val="single" w:sz="12" w:space="6" w:color="BBDEFE"/>
                            <w:right w:val="none" w:sz="0" w:space="0" w:color="auto"/>
                          </w:divBdr>
                        </w:div>
                        <w:div w:id="974598504">
                          <w:marLeft w:val="0"/>
                          <w:marRight w:val="0"/>
                          <w:marTop w:val="0"/>
                          <w:marBottom w:val="0"/>
                          <w:divBdr>
                            <w:top w:val="none" w:sz="0" w:space="0" w:color="auto"/>
                            <w:left w:val="none" w:sz="0" w:space="0" w:color="auto"/>
                            <w:bottom w:val="none" w:sz="0" w:space="0" w:color="auto"/>
                            <w:right w:val="none" w:sz="0" w:space="0" w:color="auto"/>
                          </w:divBdr>
                          <w:divsChild>
                            <w:div w:id="310408862">
                              <w:marLeft w:val="0"/>
                              <w:marRight w:val="0"/>
                              <w:marTop w:val="0"/>
                              <w:marBottom w:val="0"/>
                              <w:divBdr>
                                <w:top w:val="none" w:sz="0" w:space="0" w:color="auto"/>
                                <w:left w:val="none" w:sz="0" w:space="0" w:color="auto"/>
                                <w:bottom w:val="none" w:sz="0" w:space="0" w:color="auto"/>
                                <w:right w:val="none" w:sz="0" w:space="0" w:color="auto"/>
                              </w:divBdr>
                              <w:divsChild>
                                <w:div w:id="946695790">
                                  <w:marLeft w:val="0"/>
                                  <w:marRight w:val="600"/>
                                  <w:marTop w:val="0"/>
                                  <w:marBottom w:val="0"/>
                                  <w:divBdr>
                                    <w:top w:val="none" w:sz="0" w:space="0" w:color="auto"/>
                                    <w:left w:val="none" w:sz="0" w:space="0" w:color="auto"/>
                                    <w:bottom w:val="none" w:sz="0" w:space="0" w:color="auto"/>
                                    <w:right w:val="none" w:sz="0" w:space="0" w:color="auto"/>
                                  </w:divBdr>
                                  <w:divsChild>
                                    <w:div w:id="57825637">
                                      <w:marLeft w:val="0"/>
                                      <w:marRight w:val="0"/>
                                      <w:marTop w:val="0"/>
                                      <w:marBottom w:val="120"/>
                                      <w:divBdr>
                                        <w:top w:val="none" w:sz="0" w:space="0" w:color="auto"/>
                                        <w:left w:val="none" w:sz="0" w:space="0" w:color="auto"/>
                                        <w:bottom w:val="single" w:sz="6" w:space="6" w:color="EEEEEE"/>
                                        <w:right w:val="none" w:sz="0" w:space="0" w:color="auto"/>
                                      </w:divBdr>
                                      <w:divsChild>
                                        <w:div w:id="1549754728">
                                          <w:marLeft w:val="0"/>
                                          <w:marRight w:val="0"/>
                                          <w:marTop w:val="0"/>
                                          <w:marBottom w:val="0"/>
                                          <w:divBdr>
                                            <w:top w:val="none" w:sz="0" w:space="0" w:color="auto"/>
                                            <w:left w:val="none" w:sz="0" w:space="0" w:color="auto"/>
                                            <w:bottom w:val="none" w:sz="0" w:space="0" w:color="auto"/>
                                            <w:right w:val="none" w:sz="0" w:space="0" w:color="auto"/>
                                          </w:divBdr>
                                        </w:div>
                                      </w:divsChild>
                                    </w:div>
                                    <w:div w:id="103350358">
                                      <w:marLeft w:val="0"/>
                                      <w:marRight w:val="0"/>
                                      <w:marTop w:val="0"/>
                                      <w:marBottom w:val="120"/>
                                      <w:divBdr>
                                        <w:top w:val="none" w:sz="0" w:space="0" w:color="auto"/>
                                        <w:left w:val="none" w:sz="0" w:space="0" w:color="auto"/>
                                        <w:bottom w:val="single" w:sz="6" w:space="6" w:color="EEEEEE"/>
                                        <w:right w:val="none" w:sz="0" w:space="0" w:color="auto"/>
                                      </w:divBdr>
                                      <w:divsChild>
                                        <w:div w:id="1005280209">
                                          <w:marLeft w:val="0"/>
                                          <w:marRight w:val="0"/>
                                          <w:marTop w:val="0"/>
                                          <w:marBottom w:val="0"/>
                                          <w:divBdr>
                                            <w:top w:val="none" w:sz="0" w:space="0" w:color="auto"/>
                                            <w:left w:val="none" w:sz="0" w:space="0" w:color="auto"/>
                                            <w:bottom w:val="none" w:sz="0" w:space="0" w:color="auto"/>
                                            <w:right w:val="none" w:sz="0" w:space="0" w:color="auto"/>
                                          </w:divBdr>
                                        </w:div>
                                      </w:divsChild>
                                    </w:div>
                                    <w:div w:id="266811094">
                                      <w:marLeft w:val="0"/>
                                      <w:marRight w:val="0"/>
                                      <w:marTop w:val="0"/>
                                      <w:marBottom w:val="120"/>
                                      <w:divBdr>
                                        <w:top w:val="none" w:sz="0" w:space="0" w:color="auto"/>
                                        <w:left w:val="none" w:sz="0" w:space="0" w:color="auto"/>
                                        <w:bottom w:val="single" w:sz="6" w:space="6" w:color="EEEEEE"/>
                                        <w:right w:val="none" w:sz="0" w:space="0" w:color="auto"/>
                                      </w:divBdr>
                                      <w:divsChild>
                                        <w:div w:id="1158426377">
                                          <w:marLeft w:val="0"/>
                                          <w:marRight w:val="0"/>
                                          <w:marTop w:val="0"/>
                                          <w:marBottom w:val="0"/>
                                          <w:divBdr>
                                            <w:top w:val="none" w:sz="0" w:space="0" w:color="auto"/>
                                            <w:left w:val="none" w:sz="0" w:space="0" w:color="auto"/>
                                            <w:bottom w:val="none" w:sz="0" w:space="0" w:color="auto"/>
                                            <w:right w:val="none" w:sz="0" w:space="0" w:color="auto"/>
                                          </w:divBdr>
                                        </w:div>
                                      </w:divsChild>
                                    </w:div>
                                    <w:div w:id="324747663">
                                      <w:marLeft w:val="0"/>
                                      <w:marRight w:val="0"/>
                                      <w:marTop w:val="0"/>
                                      <w:marBottom w:val="120"/>
                                      <w:divBdr>
                                        <w:top w:val="none" w:sz="0" w:space="0" w:color="auto"/>
                                        <w:left w:val="none" w:sz="0" w:space="0" w:color="auto"/>
                                        <w:bottom w:val="none" w:sz="0" w:space="0" w:color="auto"/>
                                        <w:right w:val="none" w:sz="0" w:space="0" w:color="auto"/>
                                      </w:divBdr>
                                      <w:divsChild>
                                        <w:div w:id="555165719">
                                          <w:marLeft w:val="0"/>
                                          <w:marRight w:val="0"/>
                                          <w:marTop w:val="0"/>
                                          <w:marBottom w:val="0"/>
                                          <w:divBdr>
                                            <w:top w:val="none" w:sz="0" w:space="0" w:color="auto"/>
                                            <w:left w:val="none" w:sz="0" w:space="0" w:color="auto"/>
                                            <w:bottom w:val="none" w:sz="0" w:space="0" w:color="auto"/>
                                            <w:right w:val="none" w:sz="0" w:space="0" w:color="auto"/>
                                          </w:divBdr>
                                        </w:div>
                                      </w:divsChild>
                                    </w:div>
                                    <w:div w:id="1238131230">
                                      <w:marLeft w:val="0"/>
                                      <w:marRight w:val="0"/>
                                      <w:marTop w:val="0"/>
                                      <w:marBottom w:val="120"/>
                                      <w:divBdr>
                                        <w:top w:val="none" w:sz="0" w:space="0" w:color="auto"/>
                                        <w:left w:val="none" w:sz="0" w:space="0" w:color="auto"/>
                                        <w:bottom w:val="single" w:sz="6" w:space="6" w:color="EEEEEE"/>
                                        <w:right w:val="none" w:sz="0" w:space="0" w:color="auto"/>
                                      </w:divBdr>
                                      <w:divsChild>
                                        <w:div w:id="7733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150976">
                                  <w:marLeft w:val="0"/>
                                  <w:marRight w:val="600"/>
                                  <w:marTop w:val="0"/>
                                  <w:marBottom w:val="0"/>
                                  <w:divBdr>
                                    <w:top w:val="none" w:sz="0" w:space="0" w:color="auto"/>
                                    <w:left w:val="none" w:sz="0" w:space="0" w:color="auto"/>
                                    <w:bottom w:val="none" w:sz="0" w:space="0" w:color="auto"/>
                                    <w:right w:val="none" w:sz="0" w:space="0" w:color="auto"/>
                                  </w:divBdr>
                                  <w:divsChild>
                                    <w:div w:id="163978078">
                                      <w:marLeft w:val="0"/>
                                      <w:marRight w:val="0"/>
                                      <w:marTop w:val="0"/>
                                      <w:marBottom w:val="120"/>
                                      <w:divBdr>
                                        <w:top w:val="none" w:sz="0" w:space="0" w:color="auto"/>
                                        <w:left w:val="none" w:sz="0" w:space="0" w:color="auto"/>
                                        <w:bottom w:val="single" w:sz="6" w:space="6" w:color="EEEEEE"/>
                                        <w:right w:val="none" w:sz="0" w:space="0" w:color="auto"/>
                                      </w:divBdr>
                                      <w:divsChild>
                                        <w:div w:id="773866157">
                                          <w:marLeft w:val="0"/>
                                          <w:marRight w:val="0"/>
                                          <w:marTop w:val="0"/>
                                          <w:marBottom w:val="0"/>
                                          <w:divBdr>
                                            <w:top w:val="none" w:sz="0" w:space="0" w:color="auto"/>
                                            <w:left w:val="none" w:sz="0" w:space="0" w:color="auto"/>
                                            <w:bottom w:val="none" w:sz="0" w:space="0" w:color="auto"/>
                                            <w:right w:val="none" w:sz="0" w:space="0" w:color="auto"/>
                                          </w:divBdr>
                                        </w:div>
                                      </w:divsChild>
                                    </w:div>
                                    <w:div w:id="375737367">
                                      <w:marLeft w:val="0"/>
                                      <w:marRight w:val="0"/>
                                      <w:marTop w:val="0"/>
                                      <w:marBottom w:val="120"/>
                                      <w:divBdr>
                                        <w:top w:val="none" w:sz="0" w:space="0" w:color="auto"/>
                                        <w:left w:val="none" w:sz="0" w:space="0" w:color="auto"/>
                                        <w:bottom w:val="single" w:sz="6" w:space="6" w:color="EEEEEE"/>
                                        <w:right w:val="none" w:sz="0" w:space="0" w:color="auto"/>
                                      </w:divBdr>
                                      <w:divsChild>
                                        <w:div w:id="129127981">
                                          <w:marLeft w:val="0"/>
                                          <w:marRight w:val="0"/>
                                          <w:marTop w:val="0"/>
                                          <w:marBottom w:val="0"/>
                                          <w:divBdr>
                                            <w:top w:val="none" w:sz="0" w:space="0" w:color="auto"/>
                                            <w:left w:val="none" w:sz="0" w:space="0" w:color="auto"/>
                                            <w:bottom w:val="none" w:sz="0" w:space="0" w:color="auto"/>
                                            <w:right w:val="none" w:sz="0" w:space="0" w:color="auto"/>
                                          </w:divBdr>
                                        </w:div>
                                      </w:divsChild>
                                    </w:div>
                                    <w:div w:id="994378713">
                                      <w:marLeft w:val="0"/>
                                      <w:marRight w:val="0"/>
                                      <w:marTop w:val="0"/>
                                      <w:marBottom w:val="120"/>
                                      <w:divBdr>
                                        <w:top w:val="none" w:sz="0" w:space="0" w:color="auto"/>
                                        <w:left w:val="none" w:sz="0" w:space="0" w:color="auto"/>
                                        <w:bottom w:val="single" w:sz="6" w:space="6" w:color="EEEEEE"/>
                                        <w:right w:val="none" w:sz="0" w:space="0" w:color="auto"/>
                                      </w:divBdr>
                                      <w:divsChild>
                                        <w:div w:id="748159464">
                                          <w:marLeft w:val="0"/>
                                          <w:marRight w:val="0"/>
                                          <w:marTop w:val="0"/>
                                          <w:marBottom w:val="0"/>
                                          <w:divBdr>
                                            <w:top w:val="none" w:sz="0" w:space="0" w:color="auto"/>
                                            <w:left w:val="none" w:sz="0" w:space="0" w:color="auto"/>
                                            <w:bottom w:val="none" w:sz="0" w:space="0" w:color="auto"/>
                                            <w:right w:val="none" w:sz="0" w:space="0" w:color="auto"/>
                                          </w:divBdr>
                                        </w:div>
                                      </w:divsChild>
                                    </w:div>
                                    <w:div w:id="1061905329">
                                      <w:marLeft w:val="0"/>
                                      <w:marRight w:val="0"/>
                                      <w:marTop w:val="0"/>
                                      <w:marBottom w:val="120"/>
                                      <w:divBdr>
                                        <w:top w:val="none" w:sz="0" w:space="0" w:color="auto"/>
                                        <w:left w:val="none" w:sz="0" w:space="0" w:color="auto"/>
                                        <w:bottom w:val="single" w:sz="6" w:space="6" w:color="EEEEEE"/>
                                        <w:right w:val="none" w:sz="0" w:space="0" w:color="auto"/>
                                      </w:divBdr>
                                      <w:divsChild>
                                        <w:div w:id="692997310">
                                          <w:marLeft w:val="0"/>
                                          <w:marRight w:val="0"/>
                                          <w:marTop w:val="0"/>
                                          <w:marBottom w:val="0"/>
                                          <w:divBdr>
                                            <w:top w:val="none" w:sz="0" w:space="0" w:color="auto"/>
                                            <w:left w:val="none" w:sz="0" w:space="0" w:color="auto"/>
                                            <w:bottom w:val="none" w:sz="0" w:space="0" w:color="auto"/>
                                            <w:right w:val="none" w:sz="0" w:space="0" w:color="auto"/>
                                          </w:divBdr>
                                        </w:div>
                                      </w:divsChild>
                                    </w:div>
                                    <w:div w:id="2127579456">
                                      <w:marLeft w:val="0"/>
                                      <w:marRight w:val="0"/>
                                      <w:marTop w:val="0"/>
                                      <w:marBottom w:val="120"/>
                                      <w:divBdr>
                                        <w:top w:val="none" w:sz="0" w:space="0" w:color="auto"/>
                                        <w:left w:val="none" w:sz="0" w:space="0" w:color="auto"/>
                                        <w:bottom w:val="none" w:sz="0" w:space="0" w:color="auto"/>
                                        <w:right w:val="none" w:sz="0" w:space="0" w:color="auto"/>
                                      </w:divBdr>
                                      <w:divsChild>
                                        <w:div w:id="4456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387695">
                      <w:marLeft w:val="0"/>
                      <w:marRight w:val="0"/>
                      <w:marTop w:val="0"/>
                      <w:marBottom w:val="300"/>
                      <w:divBdr>
                        <w:top w:val="none" w:sz="0" w:space="0" w:color="auto"/>
                        <w:left w:val="none" w:sz="0" w:space="0" w:color="auto"/>
                        <w:bottom w:val="none" w:sz="0" w:space="0" w:color="auto"/>
                        <w:right w:val="none" w:sz="0" w:space="0" w:color="auto"/>
                      </w:divBdr>
                      <w:divsChild>
                        <w:div w:id="28725855">
                          <w:marLeft w:val="0"/>
                          <w:marRight w:val="0"/>
                          <w:marTop w:val="0"/>
                          <w:marBottom w:val="0"/>
                          <w:divBdr>
                            <w:top w:val="none" w:sz="0" w:space="0" w:color="auto"/>
                            <w:left w:val="none" w:sz="0" w:space="0" w:color="auto"/>
                            <w:bottom w:val="none" w:sz="0" w:space="0" w:color="auto"/>
                            <w:right w:val="none" w:sz="0" w:space="0" w:color="auto"/>
                          </w:divBdr>
                          <w:divsChild>
                            <w:div w:id="861432529">
                              <w:marLeft w:val="0"/>
                              <w:marRight w:val="0"/>
                              <w:marTop w:val="0"/>
                              <w:marBottom w:val="0"/>
                              <w:divBdr>
                                <w:top w:val="none" w:sz="0" w:space="0" w:color="auto"/>
                                <w:left w:val="none" w:sz="0" w:space="0" w:color="auto"/>
                                <w:bottom w:val="none" w:sz="0" w:space="0" w:color="auto"/>
                                <w:right w:val="none" w:sz="0" w:space="0" w:color="auto"/>
                              </w:divBdr>
                              <w:divsChild>
                                <w:div w:id="293802483">
                                  <w:marLeft w:val="0"/>
                                  <w:marRight w:val="0"/>
                                  <w:marTop w:val="0"/>
                                  <w:marBottom w:val="0"/>
                                  <w:divBdr>
                                    <w:top w:val="single" w:sz="2" w:space="0" w:color="DFDFDF"/>
                                    <w:left w:val="single" w:sz="2" w:space="0" w:color="DFDFDF"/>
                                    <w:bottom w:val="single" w:sz="2" w:space="0" w:color="DFDFDF"/>
                                    <w:right w:val="single" w:sz="2" w:space="0" w:color="DFDFDF"/>
                                  </w:divBdr>
                                  <w:divsChild>
                                    <w:div w:id="415713519">
                                      <w:marLeft w:val="-90"/>
                                      <w:marRight w:val="0"/>
                                      <w:marTop w:val="0"/>
                                      <w:marBottom w:val="0"/>
                                      <w:divBdr>
                                        <w:top w:val="none" w:sz="0" w:space="0" w:color="auto"/>
                                        <w:left w:val="none" w:sz="0" w:space="0" w:color="auto"/>
                                        <w:bottom w:val="none" w:sz="0" w:space="0" w:color="auto"/>
                                        <w:right w:val="none" w:sz="0" w:space="0" w:color="auto"/>
                                      </w:divBdr>
                                      <w:divsChild>
                                        <w:div w:id="267085592">
                                          <w:marLeft w:val="0"/>
                                          <w:marRight w:val="0"/>
                                          <w:marTop w:val="0"/>
                                          <w:marBottom w:val="45"/>
                                          <w:divBdr>
                                            <w:top w:val="single" w:sz="2" w:space="0" w:color="A9A9A9"/>
                                            <w:left w:val="single" w:sz="2" w:space="0" w:color="A9A9A9"/>
                                            <w:bottom w:val="single" w:sz="2" w:space="0" w:color="A9A9A9"/>
                                            <w:right w:val="single" w:sz="2" w:space="0" w:color="A9A9A9"/>
                                          </w:divBdr>
                                          <w:divsChild>
                                            <w:div w:id="416899092">
                                              <w:marLeft w:val="0"/>
                                              <w:marRight w:val="0"/>
                                              <w:marTop w:val="0"/>
                                              <w:marBottom w:val="0"/>
                                              <w:divBdr>
                                                <w:top w:val="none" w:sz="0" w:space="0" w:color="auto"/>
                                                <w:left w:val="none" w:sz="0" w:space="0" w:color="auto"/>
                                                <w:bottom w:val="none" w:sz="0" w:space="0" w:color="auto"/>
                                                <w:right w:val="none" w:sz="0" w:space="0" w:color="auto"/>
                                              </w:divBdr>
                                              <w:divsChild>
                                                <w:div w:id="2130856322">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723799580">
                                      <w:marLeft w:val="0"/>
                                      <w:marRight w:val="0"/>
                                      <w:marTop w:val="0"/>
                                      <w:marBottom w:val="270"/>
                                      <w:divBdr>
                                        <w:top w:val="none" w:sz="0" w:space="0" w:color="auto"/>
                                        <w:left w:val="none" w:sz="0" w:space="0" w:color="auto"/>
                                        <w:bottom w:val="single" w:sz="12" w:space="5" w:color="DADADA"/>
                                        <w:right w:val="none" w:sz="0" w:space="0" w:color="auto"/>
                                      </w:divBdr>
                                      <w:divsChild>
                                        <w:div w:id="161501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980463">
                          <w:marLeft w:val="0"/>
                          <w:marRight w:val="0"/>
                          <w:marTop w:val="0"/>
                          <w:marBottom w:val="0"/>
                          <w:divBdr>
                            <w:top w:val="none" w:sz="0" w:space="0" w:color="auto"/>
                            <w:left w:val="none" w:sz="0" w:space="0" w:color="auto"/>
                            <w:bottom w:val="none" w:sz="0" w:space="0" w:color="auto"/>
                            <w:right w:val="none" w:sz="0" w:space="0" w:color="auto"/>
                          </w:divBdr>
                          <w:divsChild>
                            <w:div w:id="552349720">
                              <w:marLeft w:val="0"/>
                              <w:marRight w:val="0"/>
                              <w:marTop w:val="0"/>
                              <w:marBottom w:val="0"/>
                              <w:divBdr>
                                <w:top w:val="none" w:sz="0" w:space="0" w:color="auto"/>
                                <w:left w:val="none" w:sz="0" w:space="0" w:color="auto"/>
                                <w:bottom w:val="none" w:sz="0" w:space="0" w:color="auto"/>
                                <w:right w:val="none" w:sz="0" w:space="0" w:color="auto"/>
                              </w:divBdr>
                              <w:divsChild>
                                <w:div w:id="280259115">
                                  <w:marLeft w:val="0"/>
                                  <w:marRight w:val="0"/>
                                  <w:marTop w:val="0"/>
                                  <w:marBottom w:val="0"/>
                                  <w:divBdr>
                                    <w:top w:val="single" w:sz="2" w:space="0" w:color="DFDFDF"/>
                                    <w:left w:val="single" w:sz="2" w:space="0" w:color="DFDFDF"/>
                                    <w:bottom w:val="single" w:sz="2" w:space="0" w:color="DFDFDF"/>
                                    <w:right w:val="single" w:sz="2" w:space="0" w:color="DFDFDF"/>
                                  </w:divBdr>
                                  <w:divsChild>
                                    <w:div w:id="1912932313">
                                      <w:marLeft w:val="-90"/>
                                      <w:marRight w:val="0"/>
                                      <w:marTop w:val="0"/>
                                      <w:marBottom w:val="0"/>
                                      <w:divBdr>
                                        <w:top w:val="none" w:sz="0" w:space="0" w:color="auto"/>
                                        <w:left w:val="none" w:sz="0" w:space="0" w:color="auto"/>
                                        <w:bottom w:val="none" w:sz="0" w:space="0" w:color="auto"/>
                                        <w:right w:val="none" w:sz="0" w:space="0" w:color="auto"/>
                                      </w:divBdr>
                                      <w:divsChild>
                                        <w:div w:id="1174957817">
                                          <w:marLeft w:val="0"/>
                                          <w:marRight w:val="0"/>
                                          <w:marTop w:val="0"/>
                                          <w:marBottom w:val="45"/>
                                          <w:divBdr>
                                            <w:top w:val="single" w:sz="2" w:space="0" w:color="A9A9A9"/>
                                            <w:left w:val="single" w:sz="2" w:space="0" w:color="A9A9A9"/>
                                            <w:bottom w:val="single" w:sz="2" w:space="0" w:color="A9A9A9"/>
                                            <w:right w:val="single" w:sz="2" w:space="0" w:color="A9A9A9"/>
                                          </w:divBdr>
                                          <w:divsChild>
                                            <w:div w:id="1442341269">
                                              <w:marLeft w:val="0"/>
                                              <w:marRight w:val="0"/>
                                              <w:marTop w:val="0"/>
                                              <w:marBottom w:val="0"/>
                                              <w:divBdr>
                                                <w:top w:val="none" w:sz="0" w:space="0" w:color="auto"/>
                                                <w:left w:val="none" w:sz="0" w:space="0" w:color="auto"/>
                                                <w:bottom w:val="none" w:sz="0" w:space="0" w:color="auto"/>
                                                <w:right w:val="none" w:sz="0" w:space="0" w:color="auto"/>
                                              </w:divBdr>
                                              <w:divsChild>
                                                <w:div w:id="1231379721">
                                                  <w:marLeft w:val="92"/>
                                                  <w:marRight w:val="0"/>
                                                  <w:marTop w:val="0"/>
                                                  <w:marBottom w:val="150"/>
                                                  <w:divBdr>
                                                    <w:top w:val="single" w:sz="2" w:space="0" w:color="E4E4E4"/>
                                                    <w:left w:val="single" w:sz="2" w:space="0" w:color="E4E4E4"/>
                                                    <w:bottom w:val="single" w:sz="2" w:space="0" w:color="E4E4E4"/>
                                                    <w:right w:val="single" w:sz="2" w:space="0" w:color="E4E4E4"/>
                                                  </w:divBdr>
                                                </w:div>
                                                <w:div w:id="137462033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 w:id="1217276077">
          <w:marLeft w:val="0"/>
          <w:marRight w:val="0"/>
          <w:marTop w:val="0"/>
          <w:marBottom w:val="0"/>
          <w:divBdr>
            <w:top w:val="none" w:sz="0" w:space="0" w:color="auto"/>
            <w:left w:val="none" w:sz="0" w:space="0" w:color="auto"/>
            <w:bottom w:val="none" w:sz="0" w:space="0" w:color="auto"/>
            <w:right w:val="none" w:sz="0" w:space="0" w:color="auto"/>
          </w:divBdr>
          <w:divsChild>
            <w:div w:id="119152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519757">
      <w:bodyDiv w:val="1"/>
      <w:marLeft w:val="0"/>
      <w:marRight w:val="0"/>
      <w:marTop w:val="0"/>
      <w:marBottom w:val="0"/>
      <w:divBdr>
        <w:top w:val="none" w:sz="0" w:space="0" w:color="auto"/>
        <w:left w:val="none" w:sz="0" w:space="0" w:color="auto"/>
        <w:bottom w:val="none" w:sz="0" w:space="0" w:color="auto"/>
        <w:right w:val="none" w:sz="0" w:space="0" w:color="auto"/>
      </w:divBdr>
    </w:div>
    <w:div w:id="1583488551">
      <w:bodyDiv w:val="1"/>
      <w:marLeft w:val="0"/>
      <w:marRight w:val="0"/>
      <w:marTop w:val="0"/>
      <w:marBottom w:val="0"/>
      <w:divBdr>
        <w:top w:val="none" w:sz="0" w:space="0" w:color="auto"/>
        <w:left w:val="none" w:sz="0" w:space="0" w:color="auto"/>
        <w:bottom w:val="none" w:sz="0" w:space="0" w:color="auto"/>
        <w:right w:val="none" w:sz="0" w:space="0" w:color="auto"/>
      </w:divBdr>
      <w:divsChild>
        <w:div w:id="230383523">
          <w:marLeft w:val="0"/>
          <w:marRight w:val="0"/>
          <w:marTop w:val="0"/>
          <w:marBottom w:val="150"/>
          <w:divBdr>
            <w:top w:val="none" w:sz="0" w:space="0" w:color="auto"/>
            <w:left w:val="none" w:sz="0" w:space="0" w:color="auto"/>
            <w:bottom w:val="none" w:sz="0" w:space="0" w:color="auto"/>
            <w:right w:val="none" w:sz="0" w:space="0" w:color="auto"/>
          </w:divBdr>
        </w:div>
        <w:div w:id="729157613">
          <w:marLeft w:val="0"/>
          <w:marRight w:val="0"/>
          <w:marTop w:val="0"/>
          <w:marBottom w:val="150"/>
          <w:divBdr>
            <w:top w:val="none" w:sz="0" w:space="0" w:color="auto"/>
            <w:left w:val="none" w:sz="0" w:space="0" w:color="auto"/>
            <w:bottom w:val="none" w:sz="0" w:space="0" w:color="auto"/>
            <w:right w:val="none" w:sz="0" w:space="0" w:color="auto"/>
          </w:divBdr>
          <w:divsChild>
            <w:div w:id="2144734530">
              <w:marLeft w:val="0"/>
              <w:marRight w:val="0"/>
              <w:marTop w:val="0"/>
              <w:marBottom w:val="0"/>
              <w:divBdr>
                <w:top w:val="none" w:sz="0" w:space="0" w:color="auto"/>
                <w:left w:val="none" w:sz="0" w:space="0" w:color="auto"/>
                <w:bottom w:val="none" w:sz="0" w:space="0" w:color="auto"/>
                <w:right w:val="none" w:sz="0" w:space="0" w:color="auto"/>
              </w:divBdr>
              <w:divsChild>
                <w:div w:id="155277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067385">
          <w:marLeft w:val="0"/>
          <w:marRight w:val="0"/>
          <w:marTop w:val="0"/>
          <w:marBottom w:val="0"/>
          <w:divBdr>
            <w:top w:val="none" w:sz="0" w:space="0" w:color="auto"/>
            <w:left w:val="none" w:sz="0" w:space="0" w:color="auto"/>
            <w:bottom w:val="none" w:sz="0" w:space="0" w:color="auto"/>
            <w:right w:val="none" w:sz="0" w:space="0" w:color="auto"/>
          </w:divBdr>
          <w:divsChild>
            <w:div w:id="168972211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84143795">
      <w:bodyDiv w:val="1"/>
      <w:marLeft w:val="0"/>
      <w:marRight w:val="0"/>
      <w:marTop w:val="0"/>
      <w:marBottom w:val="0"/>
      <w:divBdr>
        <w:top w:val="none" w:sz="0" w:space="0" w:color="auto"/>
        <w:left w:val="none" w:sz="0" w:space="0" w:color="auto"/>
        <w:bottom w:val="none" w:sz="0" w:space="0" w:color="auto"/>
        <w:right w:val="none" w:sz="0" w:space="0" w:color="auto"/>
      </w:divBdr>
    </w:div>
    <w:div w:id="1584334770">
      <w:bodyDiv w:val="1"/>
      <w:marLeft w:val="0"/>
      <w:marRight w:val="0"/>
      <w:marTop w:val="0"/>
      <w:marBottom w:val="0"/>
      <w:divBdr>
        <w:top w:val="none" w:sz="0" w:space="0" w:color="auto"/>
        <w:left w:val="none" w:sz="0" w:space="0" w:color="auto"/>
        <w:bottom w:val="none" w:sz="0" w:space="0" w:color="auto"/>
        <w:right w:val="none" w:sz="0" w:space="0" w:color="auto"/>
      </w:divBdr>
    </w:div>
    <w:div w:id="1584535329">
      <w:bodyDiv w:val="1"/>
      <w:marLeft w:val="0"/>
      <w:marRight w:val="0"/>
      <w:marTop w:val="0"/>
      <w:marBottom w:val="0"/>
      <w:divBdr>
        <w:top w:val="none" w:sz="0" w:space="0" w:color="auto"/>
        <w:left w:val="none" w:sz="0" w:space="0" w:color="auto"/>
        <w:bottom w:val="none" w:sz="0" w:space="0" w:color="auto"/>
        <w:right w:val="none" w:sz="0" w:space="0" w:color="auto"/>
      </w:divBdr>
      <w:divsChild>
        <w:div w:id="847909838">
          <w:marLeft w:val="0"/>
          <w:marRight w:val="0"/>
          <w:marTop w:val="0"/>
          <w:marBottom w:val="0"/>
          <w:divBdr>
            <w:top w:val="none" w:sz="0" w:space="0" w:color="auto"/>
            <w:left w:val="none" w:sz="0" w:space="0" w:color="auto"/>
            <w:bottom w:val="dotted" w:sz="6" w:space="4" w:color="DDDDDD"/>
            <w:right w:val="none" w:sz="0" w:space="0" w:color="auto"/>
          </w:divBdr>
        </w:div>
      </w:divsChild>
    </w:div>
    <w:div w:id="1584535422">
      <w:bodyDiv w:val="1"/>
      <w:marLeft w:val="0"/>
      <w:marRight w:val="0"/>
      <w:marTop w:val="0"/>
      <w:marBottom w:val="0"/>
      <w:divBdr>
        <w:top w:val="none" w:sz="0" w:space="0" w:color="auto"/>
        <w:left w:val="none" w:sz="0" w:space="0" w:color="auto"/>
        <w:bottom w:val="none" w:sz="0" w:space="0" w:color="auto"/>
        <w:right w:val="none" w:sz="0" w:space="0" w:color="auto"/>
      </w:divBdr>
      <w:divsChild>
        <w:div w:id="475031421">
          <w:marLeft w:val="0"/>
          <w:marRight w:val="0"/>
          <w:marTop w:val="0"/>
          <w:marBottom w:val="0"/>
          <w:divBdr>
            <w:top w:val="none" w:sz="0" w:space="0" w:color="auto"/>
            <w:left w:val="none" w:sz="0" w:space="0" w:color="auto"/>
            <w:bottom w:val="none" w:sz="0" w:space="0" w:color="auto"/>
            <w:right w:val="none" w:sz="0" w:space="0" w:color="auto"/>
          </w:divBdr>
          <w:divsChild>
            <w:div w:id="12396297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85185213">
      <w:bodyDiv w:val="1"/>
      <w:marLeft w:val="0"/>
      <w:marRight w:val="0"/>
      <w:marTop w:val="0"/>
      <w:marBottom w:val="0"/>
      <w:divBdr>
        <w:top w:val="none" w:sz="0" w:space="0" w:color="auto"/>
        <w:left w:val="none" w:sz="0" w:space="0" w:color="auto"/>
        <w:bottom w:val="none" w:sz="0" w:space="0" w:color="auto"/>
        <w:right w:val="none" w:sz="0" w:space="0" w:color="auto"/>
      </w:divBdr>
      <w:divsChild>
        <w:div w:id="458575353">
          <w:marLeft w:val="0"/>
          <w:marRight w:val="0"/>
          <w:marTop w:val="0"/>
          <w:marBottom w:val="0"/>
          <w:divBdr>
            <w:top w:val="single" w:sz="6" w:space="7" w:color="CFE3EA"/>
            <w:left w:val="single" w:sz="6" w:space="11" w:color="CFE3EA"/>
            <w:bottom w:val="single" w:sz="6" w:space="7" w:color="CFE3EA"/>
            <w:right w:val="single" w:sz="6" w:space="11" w:color="CFE3EA"/>
          </w:divBdr>
        </w:div>
        <w:div w:id="1590312186">
          <w:marLeft w:val="0"/>
          <w:marRight w:val="0"/>
          <w:marTop w:val="300"/>
          <w:marBottom w:val="0"/>
          <w:divBdr>
            <w:top w:val="none" w:sz="0" w:space="0" w:color="auto"/>
            <w:left w:val="none" w:sz="0" w:space="0" w:color="auto"/>
            <w:bottom w:val="none" w:sz="0" w:space="0" w:color="auto"/>
            <w:right w:val="none" w:sz="0" w:space="0" w:color="auto"/>
          </w:divBdr>
        </w:div>
      </w:divsChild>
    </w:div>
    <w:div w:id="1585261272">
      <w:bodyDiv w:val="1"/>
      <w:marLeft w:val="0"/>
      <w:marRight w:val="0"/>
      <w:marTop w:val="0"/>
      <w:marBottom w:val="0"/>
      <w:divBdr>
        <w:top w:val="none" w:sz="0" w:space="0" w:color="auto"/>
        <w:left w:val="none" w:sz="0" w:space="0" w:color="auto"/>
        <w:bottom w:val="none" w:sz="0" w:space="0" w:color="auto"/>
        <w:right w:val="none" w:sz="0" w:space="0" w:color="auto"/>
      </w:divBdr>
      <w:divsChild>
        <w:div w:id="631861968">
          <w:marLeft w:val="0"/>
          <w:marRight w:val="0"/>
          <w:marTop w:val="0"/>
          <w:marBottom w:val="225"/>
          <w:divBdr>
            <w:top w:val="none" w:sz="0" w:space="0" w:color="auto"/>
            <w:left w:val="none" w:sz="0" w:space="0" w:color="auto"/>
            <w:bottom w:val="none" w:sz="0" w:space="0" w:color="auto"/>
            <w:right w:val="none" w:sz="0" w:space="0" w:color="auto"/>
          </w:divBdr>
        </w:div>
        <w:div w:id="1283876563">
          <w:marLeft w:val="0"/>
          <w:marRight w:val="0"/>
          <w:marTop w:val="0"/>
          <w:marBottom w:val="225"/>
          <w:divBdr>
            <w:top w:val="none" w:sz="0" w:space="0" w:color="auto"/>
            <w:left w:val="none" w:sz="0" w:space="0" w:color="auto"/>
            <w:bottom w:val="none" w:sz="0" w:space="0" w:color="auto"/>
            <w:right w:val="none" w:sz="0" w:space="0" w:color="auto"/>
          </w:divBdr>
          <w:divsChild>
            <w:div w:id="1892108141">
              <w:marLeft w:val="0"/>
              <w:marRight w:val="0"/>
              <w:marTop w:val="0"/>
              <w:marBottom w:val="0"/>
              <w:divBdr>
                <w:top w:val="none" w:sz="0" w:space="0" w:color="auto"/>
                <w:left w:val="none" w:sz="0" w:space="0" w:color="auto"/>
                <w:bottom w:val="none" w:sz="0" w:space="0" w:color="auto"/>
                <w:right w:val="none" w:sz="0" w:space="0" w:color="auto"/>
              </w:divBdr>
              <w:divsChild>
                <w:div w:id="78789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408206">
      <w:bodyDiv w:val="1"/>
      <w:marLeft w:val="0"/>
      <w:marRight w:val="0"/>
      <w:marTop w:val="0"/>
      <w:marBottom w:val="0"/>
      <w:divBdr>
        <w:top w:val="none" w:sz="0" w:space="0" w:color="auto"/>
        <w:left w:val="none" w:sz="0" w:space="0" w:color="auto"/>
        <w:bottom w:val="none" w:sz="0" w:space="0" w:color="auto"/>
        <w:right w:val="none" w:sz="0" w:space="0" w:color="auto"/>
      </w:divBdr>
      <w:divsChild>
        <w:div w:id="2065638375">
          <w:marLeft w:val="0"/>
          <w:marRight w:val="0"/>
          <w:marTop w:val="0"/>
          <w:marBottom w:val="150"/>
          <w:divBdr>
            <w:top w:val="none" w:sz="0" w:space="0" w:color="auto"/>
            <w:left w:val="none" w:sz="0" w:space="0" w:color="auto"/>
            <w:bottom w:val="none" w:sz="0" w:space="0" w:color="auto"/>
            <w:right w:val="none" w:sz="0" w:space="0" w:color="auto"/>
          </w:divBdr>
        </w:div>
      </w:divsChild>
    </w:div>
    <w:div w:id="1585645138">
      <w:bodyDiv w:val="1"/>
      <w:marLeft w:val="0"/>
      <w:marRight w:val="0"/>
      <w:marTop w:val="0"/>
      <w:marBottom w:val="0"/>
      <w:divBdr>
        <w:top w:val="none" w:sz="0" w:space="0" w:color="auto"/>
        <w:left w:val="none" w:sz="0" w:space="0" w:color="auto"/>
        <w:bottom w:val="none" w:sz="0" w:space="0" w:color="auto"/>
        <w:right w:val="none" w:sz="0" w:space="0" w:color="auto"/>
      </w:divBdr>
      <w:divsChild>
        <w:div w:id="1574003711">
          <w:marLeft w:val="0"/>
          <w:marRight w:val="0"/>
          <w:marTop w:val="0"/>
          <w:marBottom w:val="150"/>
          <w:divBdr>
            <w:top w:val="none" w:sz="0" w:space="0" w:color="auto"/>
            <w:left w:val="none" w:sz="0" w:space="0" w:color="auto"/>
            <w:bottom w:val="none" w:sz="0" w:space="0" w:color="auto"/>
            <w:right w:val="none" w:sz="0" w:space="0" w:color="auto"/>
          </w:divBdr>
        </w:div>
      </w:divsChild>
    </w:div>
    <w:div w:id="1585649925">
      <w:bodyDiv w:val="1"/>
      <w:marLeft w:val="0"/>
      <w:marRight w:val="0"/>
      <w:marTop w:val="0"/>
      <w:marBottom w:val="0"/>
      <w:divBdr>
        <w:top w:val="none" w:sz="0" w:space="0" w:color="auto"/>
        <w:left w:val="none" w:sz="0" w:space="0" w:color="auto"/>
        <w:bottom w:val="none" w:sz="0" w:space="0" w:color="auto"/>
        <w:right w:val="none" w:sz="0" w:space="0" w:color="auto"/>
      </w:divBdr>
      <w:divsChild>
        <w:div w:id="1200357695">
          <w:marLeft w:val="0"/>
          <w:marRight w:val="0"/>
          <w:marTop w:val="0"/>
          <w:marBottom w:val="0"/>
          <w:divBdr>
            <w:top w:val="none" w:sz="0" w:space="0" w:color="auto"/>
            <w:left w:val="none" w:sz="0" w:space="0" w:color="auto"/>
            <w:bottom w:val="none" w:sz="0" w:space="0" w:color="auto"/>
            <w:right w:val="none" w:sz="0" w:space="0" w:color="auto"/>
          </w:divBdr>
          <w:divsChild>
            <w:div w:id="19467691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86305637">
      <w:bodyDiv w:val="1"/>
      <w:marLeft w:val="0"/>
      <w:marRight w:val="0"/>
      <w:marTop w:val="0"/>
      <w:marBottom w:val="0"/>
      <w:divBdr>
        <w:top w:val="none" w:sz="0" w:space="0" w:color="auto"/>
        <w:left w:val="none" w:sz="0" w:space="0" w:color="auto"/>
        <w:bottom w:val="none" w:sz="0" w:space="0" w:color="auto"/>
        <w:right w:val="none" w:sz="0" w:space="0" w:color="auto"/>
      </w:divBdr>
    </w:div>
    <w:div w:id="1586766478">
      <w:bodyDiv w:val="1"/>
      <w:marLeft w:val="0"/>
      <w:marRight w:val="0"/>
      <w:marTop w:val="0"/>
      <w:marBottom w:val="0"/>
      <w:divBdr>
        <w:top w:val="none" w:sz="0" w:space="0" w:color="auto"/>
        <w:left w:val="none" w:sz="0" w:space="0" w:color="auto"/>
        <w:bottom w:val="none" w:sz="0" w:space="0" w:color="auto"/>
        <w:right w:val="none" w:sz="0" w:space="0" w:color="auto"/>
      </w:divBdr>
      <w:divsChild>
        <w:div w:id="1468744090">
          <w:marLeft w:val="0"/>
          <w:marRight w:val="0"/>
          <w:marTop w:val="0"/>
          <w:marBottom w:val="0"/>
          <w:divBdr>
            <w:top w:val="none" w:sz="0" w:space="0" w:color="auto"/>
            <w:left w:val="none" w:sz="0" w:space="0" w:color="auto"/>
            <w:bottom w:val="none" w:sz="0" w:space="0" w:color="auto"/>
            <w:right w:val="none" w:sz="0" w:space="0" w:color="auto"/>
          </w:divBdr>
          <w:divsChild>
            <w:div w:id="344135217">
              <w:marLeft w:val="0"/>
              <w:marRight w:val="0"/>
              <w:marTop w:val="0"/>
              <w:marBottom w:val="0"/>
              <w:divBdr>
                <w:top w:val="none" w:sz="0" w:space="0" w:color="auto"/>
                <w:left w:val="none" w:sz="0" w:space="0" w:color="auto"/>
                <w:bottom w:val="none" w:sz="0" w:space="0" w:color="auto"/>
                <w:right w:val="none" w:sz="0" w:space="0" w:color="auto"/>
              </w:divBdr>
              <w:divsChild>
                <w:div w:id="322323671">
                  <w:marLeft w:val="0"/>
                  <w:marRight w:val="0"/>
                  <w:marTop w:val="0"/>
                  <w:marBottom w:val="0"/>
                  <w:divBdr>
                    <w:top w:val="none" w:sz="0" w:space="0" w:color="auto"/>
                    <w:left w:val="none" w:sz="0" w:space="0" w:color="auto"/>
                    <w:bottom w:val="none" w:sz="0" w:space="0" w:color="auto"/>
                    <w:right w:val="none" w:sz="0" w:space="0" w:color="auto"/>
                  </w:divBdr>
                  <w:divsChild>
                    <w:div w:id="1637297773">
                      <w:marLeft w:val="0"/>
                      <w:marRight w:val="0"/>
                      <w:marTop w:val="0"/>
                      <w:marBottom w:val="0"/>
                      <w:divBdr>
                        <w:top w:val="none" w:sz="0" w:space="0" w:color="auto"/>
                        <w:left w:val="none" w:sz="0" w:space="0" w:color="auto"/>
                        <w:bottom w:val="none" w:sz="0" w:space="0" w:color="auto"/>
                        <w:right w:val="none" w:sz="0" w:space="0" w:color="auto"/>
                      </w:divBdr>
                      <w:divsChild>
                        <w:div w:id="741374413">
                          <w:marLeft w:val="0"/>
                          <w:marRight w:val="0"/>
                          <w:marTop w:val="0"/>
                          <w:marBottom w:val="0"/>
                          <w:divBdr>
                            <w:top w:val="none" w:sz="0" w:space="0" w:color="auto"/>
                            <w:left w:val="none" w:sz="0" w:space="0" w:color="auto"/>
                            <w:bottom w:val="none" w:sz="0" w:space="0" w:color="auto"/>
                            <w:right w:val="none" w:sz="0" w:space="0" w:color="auto"/>
                          </w:divBdr>
                          <w:divsChild>
                            <w:div w:id="819073904">
                              <w:marLeft w:val="0"/>
                              <w:marRight w:val="0"/>
                              <w:marTop w:val="0"/>
                              <w:marBottom w:val="0"/>
                              <w:divBdr>
                                <w:top w:val="none" w:sz="0" w:space="0" w:color="auto"/>
                                <w:left w:val="none" w:sz="0" w:space="0" w:color="auto"/>
                                <w:bottom w:val="none" w:sz="0" w:space="0" w:color="auto"/>
                                <w:right w:val="none" w:sz="0" w:space="0" w:color="auto"/>
                              </w:divBdr>
                              <w:divsChild>
                                <w:div w:id="2146653238">
                                  <w:marLeft w:val="0"/>
                                  <w:marRight w:val="0"/>
                                  <w:marTop w:val="0"/>
                                  <w:marBottom w:val="0"/>
                                  <w:divBdr>
                                    <w:top w:val="none" w:sz="0" w:space="0" w:color="auto"/>
                                    <w:left w:val="none" w:sz="0" w:space="0" w:color="auto"/>
                                    <w:bottom w:val="none" w:sz="0" w:space="0" w:color="auto"/>
                                    <w:right w:val="none" w:sz="0" w:space="0" w:color="auto"/>
                                  </w:divBdr>
                                  <w:divsChild>
                                    <w:div w:id="1711345588">
                                      <w:marLeft w:val="0"/>
                                      <w:marRight w:val="0"/>
                                      <w:marTop w:val="0"/>
                                      <w:marBottom w:val="0"/>
                                      <w:divBdr>
                                        <w:top w:val="none" w:sz="0" w:space="0" w:color="auto"/>
                                        <w:left w:val="none" w:sz="0" w:space="0" w:color="auto"/>
                                        <w:bottom w:val="none" w:sz="0" w:space="0" w:color="auto"/>
                                        <w:right w:val="none" w:sz="0" w:space="0" w:color="auto"/>
                                      </w:divBdr>
                                      <w:divsChild>
                                        <w:div w:id="67280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6916357">
      <w:bodyDiv w:val="1"/>
      <w:marLeft w:val="0"/>
      <w:marRight w:val="0"/>
      <w:marTop w:val="0"/>
      <w:marBottom w:val="0"/>
      <w:divBdr>
        <w:top w:val="none" w:sz="0" w:space="0" w:color="auto"/>
        <w:left w:val="none" w:sz="0" w:space="0" w:color="auto"/>
        <w:bottom w:val="none" w:sz="0" w:space="0" w:color="auto"/>
        <w:right w:val="none" w:sz="0" w:space="0" w:color="auto"/>
      </w:divBdr>
      <w:divsChild>
        <w:div w:id="554126616">
          <w:marLeft w:val="0"/>
          <w:marRight w:val="0"/>
          <w:marTop w:val="0"/>
          <w:marBottom w:val="0"/>
          <w:divBdr>
            <w:top w:val="none" w:sz="0" w:space="0" w:color="auto"/>
            <w:left w:val="none" w:sz="0" w:space="0" w:color="auto"/>
            <w:bottom w:val="none" w:sz="0" w:space="0" w:color="auto"/>
            <w:right w:val="none" w:sz="0" w:space="0" w:color="auto"/>
          </w:divBdr>
        </w:div>
        <w:div w:id="695618007">
          <w:marLeft w:val="0"/>
          <w:marRight w:val="0"/>
          <w:marTop w:val="0"/>
          <w:marBottom w:val="0"/>
          <w:divBdr>
            <w:top w:val="none" w:sz="0" w:space="0" w:color="auto"/>
            <w:left w:val="none" w:sz="0" w:space="0" w:color="auto"/>
            <w:bottom w:val="none" w:sz="0" w:space="0" w:color="auto"/>
            <w:right w:val="none" w:sz="0" w:space="0" w:color="auto"/>
          </w:divBdr>
          <w:divsChild>
            <w:div w:id="65202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920046">
      <w:bodyDiv w:val="1"/>
      <w:marLeft w:val="0"/>
      <w:marRight w:val="0"/>
      <w:marTop w:val="0"/>
      <w:marBottom w:val="0"/>
      <w:divBdr>
        <w:top w:val="none" w:sz="0" w:space="0" w:color="auto"/>
        <w:left w:val="none" w:sz="0" w:space="0" w:color="auto"/>
        <w:bottom w:val="none" w:sz="0" w:space="0" w:color="auto"/>
        <w:right w:val="none" w:sz="0" w:space="0" w:color="auto"/>
      </w:divBdr>
    </w:div>
    <w:div w:id="1586954819">
      <w:bodyDiv w:val="1"/>
      <w:marLeft w:val="0"/>
      <w:marRight w:val="0"/>
      <w:marTop w:val="0"/>
      <w:marBottom w:val="0"/>
      <w:divBdr>
        <w:top w:val="none" w:sz="0" w:space="0" w:color="auto"/>
        <w:left w:val="none" w:sz="0" w:space="0" w:color="auto"/>
        <w:bottom w:val="none" w:sz="0" w:space="0" w:color="auto"/>
        <w:right w:val="none" w:sz="0" w:space="0" w:color="auto"/>
      </w:divBdr>
    </w:div>
    <w:div w:id="1587349650">
      <w:bodyDiv w:val="1"/>
      <w:marLeft w:val="0"/>
      <w:marRight w:val="0"/>
      <w:marTop w:val="0"/>
      <w:marBottom w:val="0"/>
      <w:divBdr>
        <w:top w:val="none" w:sz="0" w:space="0" w:color="auto"/>
        <w:left w:val="none" w:sz="0" w:space="0" w:color="auto"/>
        <w:bottom w:val="none" w:sz="0" w:space="0" w:color="auto"/>
        <w:right w:val="none" w:sz="0" w:space="0" w:color="auto"/>
      </w:divBdr>
      <w:divsChild>
        <w:div w:id="698513148">
          <w:marLeft w:val="0"/>
          <w:marRight w:val="0"/>
          <w:marTop w:val="0"/>
          <w:marBottom w:val="0"/>
          <w:divBdr>
            <w:top w:val="none" w:sz="0" w:space="0" w:color="auto"/>
            <w:left w:val="none" w:sz="0" w:space="0" w:color="auto"/>
            <w:bottom w:val="dotted" w:sz="6" w:space="4" w:color="DDDDDD"/>
            <w:right w:val="none" w:sz="0" w:space="0" w:color="auto"/>
          </w:divBdr>
          <w:divsChild>
            <w:div w:id="81579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614357">
      <w:bodyDiv w:val="1"/>
      <w:marLeft w:val="0"/>
      <w:marRight w:val="0"/>
      <w:marTop w:val="0"/>
      <w:marBottom w:val="0"/>
      <w:divBdr>
        <w:top w:val="none" w:sz="0" w:space="0" w:color="auto"/>
        <w:left w:val="none" w:sz="0" w:space="0" w:color="auto"/>
        <w:bottom w:val="none" w:sz="0" w:space="0" w:color="auto"/>
        <w:right w:val="none" w:sz="0" w:space="0" w:color="auto"/>
      </w:divBdr>
      <w:divsChild>
        <w:div w:id="966398666">
          <w:marLeft w:val="0"/>
          <w:marRight w:val="0"/>
          <w:marTop w:val="0"/>
          <w:marBottom w:val="150"/>
          <w:divBdr>
            <w:top w:val="none" w:sz="0" w:space="0" w:color="auto"/>
            <w:left w:val="none" w:sz="0" w:space="0" w:color="auto"/>
            <w:bottom w:val="none" w:sz="0" w:space="0" w:color="auto"/>
            <w:right w:val="none" w:sz="0" w:space="0" w:color="auto"/>
          </w:divBdr>
          <w:divsChild>
            <w:div w:id="1005278252">
              <w:marLeft w:val="0"/>
              <w:marRight w:val="0"/>
              <w:marTop w:val="0"/>
              <w:marBottom w:val="0"/>
              <w:divBdr>
                <w:top w:val="none" w:sz="0" w:space="0" w:color="auto"/>
                <w:left w:val="none" w:sz="0" w:space="0" w:color="auto"/>
                <w:bottom w:val="none" w:sz="0" w:space="0" w:color="auto"/>
                <w:right w:val="none" w:sz="0" w:space="0" w:color="auto"/>
              </w:divBdr>
            </w:div>
          </w:divsChild>
        </w:div>
        <w:div w:id="1086999516">
          <w:marLeft w:val="0"/>
          <w:marRight w:val="0"/>
          <w:marTop w:val="0"/>
          <w:marBottom w:val="0"/>
          <w:divBdr>
            <w:top w:val="none" w:sz="0" w:space="0" w:color="auto"/>
            <w:left w:val="none" w:sz="0" w:space="0" w:color="auto"/>
            <w:bottom w:val="none" w:sz="0" w:space="0" w:color="auto"/>
            <w:right w:val="none" w:sz="0" w:space="0" w:color="auto"/>
          </w:divBdr>
          <w:divsChild>
            <w:div w:id="904530352">
              <w:marLeft w:val="0"/>
              <w:marRight w:val="0"/>
              <w:marTop w:val="0"/>
              <w:marBottom w:val="0"/>
              <w:divBdr>
                <w:top w:val="none" w:sz="0" w:space="0" w:color="auto"/>
                <w:left w:val="none" w:sz="0" w:space="0" w:color="auto"/>
                <w:bottom w:val="none" w:sz="0" w:space="0" w:color="auto"/>
                <w:right w:val="none" w:sz="0" w:space="0" w:color="auto"/>
              </w:divBdr>
            </w:div>
          </w:divsChild>
        </w:div>
        <w:div w:id="1562784540">
          <w:marLeft w:val="0"/>
          <w:marRight w:val="0"/>
          <w:marTop w:val="0"/>
          <w:marBottom w:val="150"/>
          <w:divBdr>
            <w:top w:val="none" w:sz="0" w:space="0" w:color="auto"/>
            <w:left w:val="none" w:sz="0" w:space="0" w:color="auto"/>
            <w:bottom w:val="none" w:sz="0" w:space="0" w:color="auto"/>
            <w:right w:val="none" w:sz="0" w:space="0" w:color="auto"/>
          </w:divBdr>
        </w:div>
      </w:divsChild>
    </w:div>
    <w:div w:id="1588150797">
      <w:bodyDiv w:val="1"/>
      <w:marLeft w:val="0"/>
      <w:marRight w:val="0"/>
      <w:marTop w:val="0"/>
      <w:marBottom w:val="0"/>
      <w:divBdr>
        <w:top w:val="none" w:sz="0" w:space="0" w:color="auto"/>
        <w:left w:val="none" w:sz="0" w:space="0" w:color="auto"/>
        <w:bottom w:val="none" w:sz="0" w:space="0" w:color="auto"/>
        <w:right w:val="none" w:sz="0" w:space="0" w:color="auto"/>
      </w:divBdr>
      <w:divsChild>
        <w:div w:id="1426072257">
          <w:marLeft w:val="0"/>
          <w:marRight w:val="0"/>
          <w:marTop w:val="0"/>
          <w:marBottom w:val="0"/>
          <w:divBdr>
            <w:top w:val="none" w:sz="0" w:space="0" w:color="auto"/>
            <w:left w:val="none" w:sz="0" w:space="0" w:color="auto"/>
            <w:bottom w:val="none" w:sz="0" w:space="0" w:color="auto"/>
            <w:right w:val="none" w:sz="0" w:space="0" w:color="auto"/>
          </w:divBdr>
          <w:divsChild>
            <w:div w:id="1790313414">
              <w:marLeft w:val="0"/>
              <w:marRight w:val="0"/>
              <w:marTop w:val="0"/>
              <w:marBottom w:val="0"/>
              <w:divBdr>
                <w:top w:val="none" w:sz="0" w:space="0" w:color="auto"/>
                <w:left w:val="none" w:sz="0" w:space="0" w:color="auto"/>
                <w:bottom w:val="none" w:sz="0" w:space="0" w:color="auto"/>
                <w:right w:val="none" w:sz="0" w:space="0" w:color="auto"/>
              </w:divBdr>
              <w:divsChild>
                <w:div w:id="1360009694">
                  <w:marLeft w:val="0"/>
                  <w:marRight w:val="0"/>
                  <w:marTop w:val="0"/>
                  <w:marBottom w:val="0"/>
                  <w:divBdr>
                    <w:top w:val="none" w:sz="0" w:space="0" w:color="auto"/>
                    <w:left w:val="none" w:sz="0" w:space="0" w:color="auto"/>
                    <w:bottom w:val="none" w:sz="0" w:space="0" w:color="auto"/>
                    <w:right w:val="none" w:sz="0" w:space="0" w:color="auto"/>
                  </w:divBdr>
                  <w:divsChild>
                    <w:div w:id="1993630549">
                      <w:marLeft w:val="0"/>
                      <w:marRight w:val="0"/>
                      <w:marTop w:val="0"/>
                      <w:marBottom w:val="0"/>
                      <w:divBdr>
                        <w:top w:val="none" w:sz="0" w:space="0" w:color="auto"/>
                        <w:left w:val="none" w:sz="0" w:space="0" w:color="auto"/>
                        <w:bottom w:val="none" w:sz="0" w:space="0" w:color="auto"/>
                        <w:right w:val="none" w:sz="0" w:space="0" w:color="auto"/>
                      </w:divBdr>
                      <w:divsChild>
                        <w:div w:id="1649362718">
                          <w:marLeft w:val="0"/>
                          <w:marRight w:val="0"/>
                          <w:marTop w:val="0"/>
                          <w:marBottom w:val="0"/>
                          <w:divBdr>
                            <w:top w:val="none" w:sz="0" w:space="0" w:color="auto"/>
                            <w:left w:val="none" w:sz="0" w:space="0" w:color="auto"/>
                            <w:bottom w:val="none" w:sz="0" w:space="0" w:color="auto"/>
                            <w:right w:val="none" w:sz="0" w:space="0" w:color="auto"/>
                          </w:divBdr>
                          <w:divsChild>
                            <w:div w:id="1130562066">
                              <w:marLeft w:val="0"/>
                              <w:marRight w:val="0"/>
                              <w:marTop w:val="0"/>
                              <w:marBottom w:val="0"/>
                              <w:divBdr>
                                <w:top w:val="none" w:sz="0" w:space="0" w:color="auto"/>
                                <w:left w:val="none" w:sz="0" w:space="0" w:color="auto"/>
                                <w:bottom w:val="none" w:sz="0" w:space="0" w:color="auto"/>
                                <w:right w:val="none" w:sz="0" w:space="0" w:color="auto"/>
                              </w:divBdr>
                              <w:divsChild>
                                <w:div w:id="1426730813">
                                  <w:marLeft w:val="0"/>
                                  <w:marRight w:val="0"/>
                                  <w:marTop w:val="0"/>
                                  <w:marBottom w:val="0"/>
                                  <w:divBdr>
                                    <w:top w:val="none" w:sz="0" w:space="0" w:color="auto"/>
                                    <w:left w:val="none" w:sz="0" w:space="0" w:color="auto"/>
                                    <w:bottom w:val="none" w:sz="0" w:space="0" w:color="auto"/>
                                    <w:right w:val="none" w:sz="0" w:space="0" w:color="auto"/>
                                  </w:divBdr>
                                  <w:divsChild>
                                    <w:div w:id="162234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810517">
      <w:bodyDiv w:val="1"/>
      <w:marLeft w:val="0"/>
      <w:marRight w:val="0"/>
      <w:marTop w:val="0"/>
      <w:marBottom w:val="0"/>
      <w:divBdr>
        <w:top w:val="none" w:sz="0" w:space="0" w:color="auto"/>
        <w:left w:val="none" w:sz="0" w:space="0" w:color="auto"/>
        <w:bottom w:val="none" w:sz="0" w:space="0" w:color="auto"/>
        <w:right w:val="none" w:sz="0" w:space="0" w:color="auto"/>
      </w:divBdr>
      <w:divsChild>
        <w:div w:id="689180502">
          <w:marLeft w:val="0"/>
          <w:marRight w:val="0"/>
          <w:marTop w:val="0"/>
          <w:marBottom w:val="0"/>
          <w:divBdr>
            <w:top w:val="none" w:sz="0" w:space="0" w:color="auto"/>
            <w:left w:val="none" w:sz="0" w:space="0" w:color="auto"/>
            <w:bottom w:val="none" w:sz="0" w:space="0" w:color="auto"/>
            <w:right w:val="none" w:sz="0" w:space="0" w:color="auto"/>
          </w:divBdr>
          <w:divsChild>
            <w:div w:id="948514777">
              <w:marLeft w:val="0"/>
              <w:marRight w:val="0"/>
              <w:marTop w:val="225"/>
              <w:marBottom w:val="225"/>
              <w:divBdr>
                <w:top w:val="none" w:sz="0" w:space="0" w:color="auto"/>
                <w:left w:val="none" w:sz="0" w:space="0" w:color="auto"/>
                <w:bottom w:val="none" w:sz="0" w:space="0" w:color="auto"/>
                <w:right w:val="none" w:sz="0" w:space="0" w:color="auto"/>
              </w:divBdr>
            </w:div>
          </w:divsChild>
        </w:div>
        <w:div w:id="940376275">
          <w:marLeft w:val="0"/>
          <w:marRight w:val="0"/>
          <w:marTop w:val="0"/>
          <w:marBottom w:val="150"/>
          <w:divBdr>
            <w:top w:val="none" w:sz="0" w:space="0" w:color="auto"/>
            <w:left w:val="none" w:sz="0" w:space="0" w:color="auto"/>
            <w:bottom w:val="none" w:sz="0" w:space="0" w:color="auto"/>
            <w:right w:val="none" w:sz="0" w:space="0" w:color="auto"/>
          </w:divBdr>
          <w:divsChild>
            <w:div w:id="746420457">
              <w:marLeft w:val="0"/>
              <w:marRight w:val="0"/>
              <w:marTop w:val="0"/>
              <w:marBottom w:val="0"/>
              <w:divBdr>
                <w:top w:val="none" w:sz="0" w:space="0" w:color="auto"/>
                <w:left w:val="none" w:sz="0" w:space="0" w:color="auto"/>
                <w:bottom w:val="none" w:sz="0" w:space="0" w:color="auto"/>
                <w:right w:val="none" w:sz="0" w:space="0" w:color="auto"/>
              </w:divBdr>
              <w:divsChild>
                <w:div w:id="38136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451557">
          <w:marLeft w:val="0"/>
          <w:marRight w:val="0"/>
          <w:marTop w:val="0"/>
          <w:marBottom w:val="150"/>
          <w:divBdr>
            <w:top w:val="none" w:sz="0" w:space="0" w:color="auto"/>
            <w:left w:val="none" w:sz="0" w:space="0" w:color="auto"/>
            <w:bottom w:val="none" w:sz="0" w:space="0" w:color="auto"/>
            <w:right w:val="none" w:sz="0" w:space="0" w:color="auto"/>
          </w:divBdr>
        </w:div>
      </w:divsChild>
    </w:div>
    <w:div w:id="1588877736">
      <w:bodyDiv w:val="1"/>
      <w:marLeft w:val="0"/>
      <w:marRight w:val="0"/>
      <w:marTop w:val="0"/>
      <w:marBottom w:val="0"/>
      <w:divBdr>
        <w:top w:val="none" w:sz="0" w:space="0" w:color="auto"/>
        <w:left w:val="none" w:sz="0" w:space="0" w:color="auto"/>
        <w:bottom w:val="none" w:sz="0" w:space="0" w:color="auto"/>
        <w:right w:val="none" w:sz="0" w:space="0" w:color="auto"/>
      </w:divBdr>
      <w:divsChild>
        <w:div w:id="1376127099">
          <w:marLeft w:val="0"/>
          <w:marRight w:val="0"/>
          <w:marTop w:val="0"/>
          <w:marBottom w:val="450"/>
          <w:divBdr>
            <w:top w:val="none" w:sz="0" w:space="0" w:color="auto"/>
            <w:left w:val="none" w:sz="0" w:space="0" w:color="auto"/>
            <w:bottom w:val="single" w:sz="6" w:space="19" w:color="EEEEEE"/>
            <w:right w:val="none" w:sz="0" w:space="0" w:color="auto"/>
          </w:divBdr>
          <w:divsChild>
            <w:div w:id="1629894572">
              <w:marLeft w:val="0"/>
              <w:marRight w:val="0"/>
              <w:marTop w:val="0"/>
              <w:marBottom w:val="150"/>
              <w:divBdr>
                <w:top w:val="none" w:sz="0" w:space="0" w:color="auto"/>
                <w:left w:val="none" w:sz="0" w:space="0" w:color="auto"/>
                <w:bottom w:val="none" w:sz="0" w:space="0" w:color="auto"/>
                <w:right w:val="none" w:sz="0" w:space="0" w:color="auto"/>
              </w:divBdr>
              <w:divsChild>
                <w:div w:id="1195575542">
                  <w:marLeft w:val="0"/>
                  <w:marRight w:val="0"/>
                  <w:marTop w:val="0"/>
                  <w:marBottom w:val="0"/>
                  <w:divBdr>
                    <w:top w:val="none" w:sz="0" w:space="0" w:color="auto"/>
                    <w:left w:val="none" w:sz="0" w:space="0" w:color="auto"/>
                    <w:bottom w:val="none" w:sz="0" w:space="0" w:color="auto"/>
                    <w:right w:val="none" w:sz="0" w:space="0" w:color="auto"/>
                  </w:divBdr>
                </w:div>
              </w:divsChild>
            </w:div>
            <w:div w:id="1578440050">
              <w:marLeft w:val="0"/>
              <w:marRight w:val="0"/>
              <w:marTop w:val="0"/>
              <w:marBottom w:val="0"/>
              <w:divBdr>
                <w:top w:val="none" w:sz="0" w:space="0" w:color="auto"/>
                <w:left w:val="none" w:sz="0" w:space="0" w:color="auto"/>
                <w:bottom w:val="none" w:sz="0" w:space="0" w:color="auto"/>
                <w:right w:val="none" w:sz="0" w:space="0" w:color="auto"/>
              </w:divBdr>
            </w:div>
          </w:divsChild>
        </w:div>
        <w:div w:id="687758788">
          <w:marLeft w:val="0"/>
          <w:marRight w:val="0"/>
          <w:marTop w:val="0"/>
          <w:marBottom w:val="0"/>
          <w:divBdr>
            <w:top w:val="none" w:sz="0" w:space="0" w:color="auto"/>
            <w:left w:val="none" w:sz="0" w:space="0" w:color="auto"/>
            <w:bottom w:val="none" w:sz="0" w:space="0" w:color="auto"/>
            <w:right w:val="none" w:sz="0" w:space="0" w:color="auto"/>
          </w:divBdr>
          <w:divsChild>
            <w:div w:id="1441335331">
              <w:marLeft w:val="0"/>
              <w:marRight w:val="0"/>
              <w:marTop w:val="0"/>
              <w:marBottom w:val="0"/>
              <w:divBdr>
                <w:top w:val="none" w:sz="0" w:space="0" w:color="auto"/>
                <w:left w:val="none" w:sz="0" w:space="0" w:color="auto"/>
                <w:bottom w:val="none" w:sz="0" w:space="0" w:color="auto"/>
                <w:right w:val="none" w:sz="0" w:space="0" w:color="auto"/>
              </w:divBdr>
              <w:divsChild>
                <w:div w:id="90283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188447">
      <w:bodyDiv w:val="1"/>
      <w:marLeft w:val="0"/>
      <w:marRight w:val="0"/>
      <w:marTop w:val="0"/>
      <w:marBottom w:val="0"/>
      <w:divBdr>
        <w:top w:val="none" w:sz="0" w:space="0" w:color="auto"/>
        <w:left w:val="none" w:sz="0" w:space="0" w:color="auto"/>
        <w:bottom w:val="none" w:sz="0" w:space="0" w:color="auto"/>
        <w:right w:val="none" w:sz="0" w:space="0" w:color="auto"/>
      </w:divBdr>
      <w:divsChild>
        <w:div w:id="146675689">
          <w:marLeft w:val="0"/>
          <w:marRight w:val="0"/>
          <w:marTop w:val="0"/>
          <w:marBottom w:val="0"/>
          <w:divBdr>
            <w:top w:val="none" w:sz="0" w:space="0" w:color="auto"/>
            <w:left w:val="none" w:sz="0" w:space="0" w:color="auto"/>
            <w:bottom w:val="none" w:sz="0" w:space="0" w:color="auto"/>
            <w:right w:val="none" w:sz="0" w:space="0" w:color="auto"/>
          </w:divBdr>
          <w:divsChild>
            <w:div w:id="1647204188">
              <w:marLeft w:val="0"/>
              <w:marRight w:val="0"/>
              <w:marTop w:val="0"/>
              <w:marBottom w:val="0"/>
              <w:divBdr>
                <w:top w:val="none" w:sz="0" w:space="0" w:color="auto"/>
                <w:left w:val="none" w:sz="0" w:space="0" w:color="auto"/>
                <w:bottom w:val="none" w:sz="0" w:space="0" w:color="auto"/>
                <w:right w:val="none" w:sz="0" w:space="0" w:color="auto"/>
              </w:divBdr>
              <w:divsChild>
                <w:div w:id="437143913">
                  <w:marLeft w:val="0"/>
                  <w:marRight w:val="0"/>
                  <w:marTop w:val="0"/>
                  <w:marBottom w:val="150"/>
                  <w:divBdr>
                    <w:top w:val="none" w:sz="0" w:space="0" w:color="auto"/>
                    <w:left w:val="none" w:sz="0" w:space="0" w:color="auto"/>
                    <w:bottom w:val="none" w:sz="0" w:space="0" w:color="auto"/>
                    <w:right w:val="none" w:sz="0" w:space="0" w:color="auto"/>
                  </w:divBdr>
                  <w:divsChild>
                    <w:div w:id="321814464">
                      <w:marLeft w:val="0"/>
                      <w:marRight w:val="0"/>
                      <w:marTop w:val="0"/>
                      <w:marBottom w:val="0"/>
                      <w:divBdr>
                        <w:top w:val="none" w:sz="0" w:space="0" w:color="auto"/>
                        <w:left w:val="none" w:sz="0" w:space="0" w:color="auto"/>
                        <w:bottom w:val="none" w:sz="0" w:space="0" w:color="auto"/>
                        <w:right w:val="none" w:sz="0" w:space="0" w:color="auto"/>
                      </w:divBdr>
                      <w:divsChild>
                        <w:div w:id="1457605608">
                          <w:marLeft w:val="0"/>
                          <w:marRight w:val="0"/>
                          <w:marTop w:val="0"/>
                          <w:marBottom w:val="0"/>
                          <w:divBdr>
                            <w:top w:val="none" w:sz="0" w:space="0" w:color="auto"/>
                            <w:left w:val="none" w:sz="0" w:space="0" w:color="auto"/>
                            <w:bottom w:val="none" w:sz="0" w:space="0" w:color="auto"/>
                            <w:right w:val="none" w:sz="0" w:space="0" w:color="auto"/>
                          </w:divBdr>
                          <w:divsChild>
                            <w:div w:id="1578320936">
                              <w:marLeft w:val="0"/>
                              <w:marRight w:val="0"/>
                              <w:marTop w:val="0"/>
                              <w:marBottom w:val="0"/>
                              <w:divBdr>
                                <w:top w:val="none" w:sz="0" w:space="0" w:color="auto"/>
                                <w:left w:val="none" w:sz="0" w:space="0" w:color="auto"/>
                                <w:bottom w:val="none" w:sz="0" w:space="0" w:color="auto"/>
                                <w:right w:val="none" w:sz="0" w:space="0" w:color="auto"/>
                              </w:divBdr>
                              <w:divsChild>
                                <w:div w:id="89400738">
                                  <w:marLeft w:val="0"/>
                                  <w:marRight w:val="0"/>
                                  <w:marTop w:val="0"/>
                                  <w:marBottom w:val="0"/>
                                  <w:divBdr>
                                    <w:top w:val="none" w:sz="0" w:space="0" w:color="auto"/>
                                    <w:left w:val="none" w:sz="0" w:space="0" w:color="auto"/>
                                    <w:bottom w:val="none" w:sz="0" w:space="0" w:color="auto"/>
                                    <w:right w:val="none" w:sz="0" w:space="0" w:color="auto"/>
                                  </w:divBdr>
                                  <w:divsChild>
                                    <w:div w:id="835610868">
                                      <w:marLeft w:val="0"/>
                                      <w:marRight w:val="0"/>
                                      <w:marTop w:val="0"/>
                                      <w:marBottom w:val="0"/>
                                      <w:divBdr>
                                        <w:top w:val="none" w:sz="0" w:space="0" w:color="auto"/>
                                        <w:left w:val="none" w:sz="0" w:space="0" w:color="auto"/>
                                        <w:bottom w:val="none" w:sz="0" w:space="0" w:color="auto"/>
                                        <w:right w:val="none" w:sz="0" w:space="0" w:color="auto"/>
                                      </w:divBdr>
                                      <w:divsChild>
                                        <w:div w:id="1670281402">
                                          <w:marLeft w:val="0"/>
                                          <w:marRight w:val="0"/>
                                          <w:marTop w:val="0"/>
                                          <w:marBottom w:val="0"/>
                                          <w:divBdr>
                                            <w:top w:val="none" w:sz="0" w:space="0" w:color="auto"/>
                                            <w:left w:val="none" w:sz="0" w:space="0" w:color="auto"/>
                                            <w:bottom w:val="none" w:sz="0" w:space="0" w:color="auto"/>
                                            <w:right w:val="none" w:sz="0" w:space="0" w:color="auto"/>
                                          </w:divBdr>
                                          <w:divsChild>
                                            <w:div w:id="1182741350">
                                              <w:marLeft w:val="0"/>
                                              <w:marRight w:val="0"/>
                                              <w:marTop w:val="0"/>
                                              <w:marBottom w:val="0"/>
                                              <w:divBdr>
                                                <w:top w:val="none" w:sz="0" w:space="0" w:color="auto"/>
                                                <w:left w:val="none" w:sz="0" w:space="0" w:color="auto"/>
                                                <w:bottom w:val="none" w:sz="0" w:space="0" w:color="auto"/>
                                                <w:right w:val="none" w:sz="0" w:space="0" w:color="auto"/>
                                              </w:divBdr>
                                              <w:divsChild>
                                                <w:div w:id="194145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9271461">
      <w:bodyDiv w:val="1"/>
      <w:marLeft w:val="0"/>
      <w:marRight w:val="0"/>
      <w:marTop w:val="0"/>
      <w:marBottom w:val="0"/>
      <w:divBdr>
        <w:top w:val="none" w:sz="0" w:space="0" w:color="auto"/>
        <w:left w:val="none" w:sz="0" w:space="0" w:color="auto"/>
        <w:bottom w:val="none" w:sz="0" w:space="0" w:color="auto"/>
        <w:right w:val="none" w:sz="0" w:space="0" w:color="auto"/>
      </w:divBdr>
      <w:divsChild>
        <w:div w:id="1458790746">
          <w:marLeft w:val="0"/>
          <w:marRight w:val="0"/>
          <w:marTop w:val="0"/>
          <w:marBottom w:val="0"/>
          <w:divBdr>
            <w:top w:val="none" w:sz="0" w:space="0" w:color="auto"/>
            <w:left w:val="none" w:sz="0" w:space="0" w:color="auto"/>
            <w:bottom w:val="none" w:sz="0" w:space="0" w:color="auto"/>
            <w:right w:val="none" w:sz="0" w:space="0" w:color="auto"/>
          </w:divBdr>
          <w:divsChild>
            <w:div w:id="1838423765">
              <w:marLeft w:val="0"/>
              <w:marRight w:val="0"/>
              <w:marTop w:val="0"/>
              <w:marBottom w:val="0"/>
              <w:divBdr>
                <w:top w:val="none" w:sz="0" w:space="0" w:color="auto"/>
                <w:left w:val="none" w:sz="0" w:space="0" w:color="auto"/>
                <w:bottom w:val="none" w:sz="0" w:space="0" w:color="auto"/>
                <w:right w:val="none" w:sz="0" w:space="0" w:color="auto"/>
              </w:divBdr>
              <w:divsChild>
                <w:div w:id="75840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656463">
          <w:marLeft w:val="0"/>
          <w:marRight w:val="0"/>
          <w:marTop w:val="0"/>
          <w:marBottom w:val="225"/>
          <w:divBdr>
            <w:top w:val="none" w:sz="0" w:space="0" w:color="auto"/>
            <w:left w:val="none" w:sz="0" w:space="0" w:color="auto"/>
            <w:bottom w:val="none" w:sz="0" w:space="0" w:color="auto"/>
            <w:right w:val="none" w:sz="0" w:space="0" w:color="auto"/>
          </w:divBdr>
        </w:div>
        <w:div w:id="1778062720">
          <w:marLeft w:val="0"/>
          <w:marRight w:val="0"/>
          <w:marTop w:val="0"/>
          <w:marBottom w:val="0"/>
          <w:divBdr>
            <w:top w:val="none" w:sz="0" w:space="0" w:color="auto"/>
            <w:left w:val="none" w:sz="0" w:space="0" w:color="auto"/>
            <w:bottom w:val="none" w:sz="0" w:space="0" w:color="auto"/>
            <w:right w:val="none" w:sz="0" w:space="0" w:color="auto"/>
          </w:divBdr>
          <w:divsChild>
            <w:div w:id="39197214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89272666">
      <w:bodyDiv w:val="1"/>
      <w:marLeft w:val="0"/>
      <w:marRight w:val="0"/>
      <w:marTop w:val="0"/>
      <w:marBottom w:val="0"/>
      <w:divBdr>
        <w:top w:val="none" w:sz="0" w:space="0" w:color="auto"/>
        <w:left w:val="none" w:sz="0" w:space="0" w:color="auto"/>
        <w:bottom w:val="none" w:sz="0" w:space="0" w:color="auto"/>
        <w:right w:val="none" w:sz="0" w:space="0" w:color="auto"/>
      </w:divBdr>
      <w:divsChild>
        <w:div w:id="1002708576">
          <w:marLeft w:val="0"/>
          <w:marRight w:val="0"/>
          <w:marTop w:val="0"/>
          <w:marBottom w:val="0"/>
          <w:divBdr>
            <w:top w:val="none" w:sz="0" w:space="0" w:color="auto"/>
            <w:left w:val="none" w:sz="0" w:space="0" w:color="auto"/>
            <w:bottom w:val="none" w:sz="0" w:space="0" w:color="auto"/>
            <w:right w:val="none" w:sz="0" w:space="0" w:color="auto"/>
          </w:divBdr>
        </w:div>
      </w:divsChild>
    </w:div>
    <w:div w:id="1589386227">
      <w:bodyDiv w:val="1"/>
      <w:marLeft w:val="0"/>
      <w:marRight w:val="0"/>
      <w:marTop w:val="0"/>
      <w:marBottom w:val="0"/>
      <w:divBdr>
        <w:top w:val="none" w:sz="0" w:space="0" w:color="auto"/>
        <w:left w:val="none" w:sz="0" w:space="0" w:color="auto"/>
        <w:bottom w:val="none" w:sz="0" w:space="0" w:color="auto"/>
        <w:right w:val="none" w:sz="0" w:space="0" w:color="auto"/>
      </w:divBdr>
      <w:divsChild>
        <w:div w:id="1623999278">
          <w:marLeft w:val="0"/>
          <w:marRight w:val="0"/>
          <w:marTop w:val="0"/>
          <w:marBottom w:val="0"/>
          <w:divBdr>
            <w:top w:val="none" w:sz="0" w:space="0" w:color="auto"/>
            <w:left w:val="none" w:sz="0" w:space="0" w:color="auto"/>
            <w:bottom w:val="none" w:sz="0" w:space="0" w:color="auto"/>
            <w:right w:val="none" w:sz="0" w:space="0" w:color="auto"/>
          </w:divBdr>
          <w:divsChild>
            <w:div w:id="1470320051">
              <w:marLeft w:val="0"/>
              <w:marRight w:val="0"/>
              <w:marTop w:val="0"/>
              <w:marBottom w:val="0"/>
              <w:divBdr>
                <w:top w:val="none" w:sz="0" w:space="0" w:color="auto"/>
                <w:left w:val="none" w:sz="0" w:space="0" w:color="auto"/>
                <w:bottom w:val="none" w:sz="0" w:space="0" w:color="auto"/>
                <w:right w:val="none" w:sz="0" w:space="0" w:color="auto"/>
              </w:divBdr>
              <w:divsChild>
                <w:div w:id="1417898604">
                  <w:marLeft w:val="0"/>
                  <w:marRight w:val="0"/>
                  <w:marTop w:val="0"/>
                  <w:marBottom w:val="0"/>
                  <w:divBdr>
                    <w:top w:val="none" w:sz="0" w:space="0" w:color="auto"/>
                    <w:left w:val="none" w:sz="0" w:space="0" w:color="auto"/>
                    <w:bottom w:val="none" w:sz="0" w:space="0" w:color="auto"/>
                    <w:right w:val="none" w:sz="0" w:space="0" w:color="auto"/>
                  </w:divBdr>
                  <w:divsChild>
                    <w:div w:id="309291448">
                      <w:marLeft w:val="0"/>
                      <w:marRight w:val="0"/>
                      <w:marTop w:val="0"/>
                      <w:marBottom w:val="0"/>
                      <w:divBdr>
                        <w:top w:val="none" w:sz="0" w:space="0" w:color="auto"/>
                        <w:left w:val="none" w:sz="0" w:space="0" w:color="auto"/>
                        <w:bottom w:val="none" w:sz="0" w:space="0" w:color="auto"/>
                        <w:right w:val="none" w:sz="0" w:space="0" w:color="auto"/>
                      </w:divBdr>
                      <w:divsChild>
                        <w:div w:id="1720936329">
                          <w:marLeft w:val="0"/>
                          <w:marRight w:val="0"/>
                          <w:marTop w:val="0"/>
                          <w:marBottom w:val="0"/>
                          <w:divBdr>
                            <w:top w:val="none" w:sz="0" w:space="0" w:color="auto"/>
                            <w:left w:val="none" w:sz="0" w:space="0" w:color="auto"/>
                            <w:bottom w:val="none" w:sz="0" w:space="0" w:color="auto"/>
                            <w:right w:val="none" w:sz="0" w:space="0" w:color="auto"/>
                          </w:divBdr>
                          <w:divsChild>
                            <w:div w:id="1736929304">
                              <w:marLeft w:val="0"/>
                              <w:marRight w:val="0"/>
                              <w:marTop w:val="0"/>
                              <w:marBottom w:val="0"/>
                              <w:divBdr>
                                <w:top w:val="none" w:sz="0" w:space="0" w:color="auto"/>
                                <w:left w:val="none" w:sz="0" w:space="0" w:color="auto"/>
                                <w:bottom w:val="none" w:sz="0" w:space="0" w:color="auto"/>
                                <w:right w:val="none" w:sz="0" w:space="0" w:color="auto"/>
                              </w:divBdr>
                              <w:divsChild>
                                <w:div w:id="2110005650">
                                  <w:marLeft w:val="0"/>
                                  <w:marRight w:val="0"/>
                                  <w:marTop w:val="0"/>
                                  <w:marBottom w:val="0"/>
                                  <w:divBdr>
                                    <w:top w:val="none" w:sz="0" w:space="0" w:color="auto"/>
                                    <w:left w:val="none" w:sz="0" w:space="0" w:color="auto"/>
                                    <w:bottom w:val="none" w:sz="0" w:space="0" w:color="auto"/>
                                    <w:right w:val="none" w:sz="0" w:space="0" w:color="auto"/>
                                  </w:divBdr>
                                  <w:divsChild>
                                    <w:div w:id="405808024">
                                      <w:marLeft w:val="0"/>
                                      <w:marRight w:val="0"/>
                                      <w:marTop w:val="0"/>
                                      <w:marBottom w:val="0"/>
                                      <w:divBdr>
                                        <w:top w:val="none" w:sz="0" w:space="0" w:color="auto"/>
                                        <w:left w:val="none" w:sz="0" w:space="0" w:color="auto"/>
                                        <w:bottom w:val="none" w:sz="0" w:space="0" w:color="auto"/>
                                        <w:right w:val="none" w:sz="0" w:space="0" w:color="auto"/>
                                      </w:divBdr>
                                      <w:divsChild>
                                        <w:div w:id="184590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9731593">
      <w:bodyDiv w:val="1"/>
      <w:marLeft w:val="0"/>
      <w:marRight w:val="0"/>
      <w:marTop w:val="0"/>
      <w:marBottom w:val="0"/>
      <w:divBdr>
        <w:top w:val="none" w:sz="0" w:space="0" w:color="auto"/>
        <w:left w:val="none" w:sz="0" w:space="0" w:color="auto"/>
        <w:bottom w:val="none" w:sz="0" w:space="0" w:color="auto"/>
        <w:right w:val="none" w:sz="0" w:space="0" w:color="auto"/>
      </w:divBdr>
      <w:divsChild>
        <w:div w:id="2114130170">
          <w:marLeft w:val="0"/>
          <w:marRight w:val="0"/>
          <w:marTop w:val="0"/>
          <w:marBottom w:val="0"/>
          <w:divBdr>
            <w:top w:val="none" w:sz="0" w:space="0" w:color="auto"/>
            <w:left w:val="none" w:sz="0" w:space="0" w:color="auto"/>
            <w:bottom w:val="none" w:sz="0" w:space="0" w:color="auto"/>
            <w:right w:val="none" w:sz="0" w:space="0" w:color="auto"/>
          </w:divBdr>
        </w:div>
      </w:divsChild>
    </w:div>
    <w:div w:id="1589774669">
      <w:bodyDiv w:val="1"/>
      <w:marLeft w:val="0"/>
      <w:marRight w:val="0"/>
      <w:marTop w:val="0"/>
      <w:marBottom w:val="0"/>
      <w:divBdr>
        <w:top w:val="none" w:sz="0" w:space="0" w:color="auto"/>
        <w:left w:val="none" w:sz="0" w:space="0" w:color="auto"/>
        <w:bottom w:val="none" w:sz="0" w:space="0" w:color="auto"/>
        <w:right w:val="none" w:sz="0" w:space="0" w:color="auto"/>
      </w:divBdr>
      <w:divsChild>
        <w:div w:id="310213161">
          <w:marLeft w:val="0"/>
          <w:marRight w:val="0"/>
          <w:marTop w:val="0"/>
          <w:marBottom w:val="150"/>
          <w:divBdr>
            <w:top w:val="none" w:sz="0" w:space="0" w:color="auto"/>
            <w:left w:val="none" w:sz="0" w:space="0" w:color="auto"/>
            <w:bottom w:val="none" w:sz="0" w:space="0" w:color="auto"/>
            <w:right w:val="none" w:sz="0" w:space="0" w:color="auto"/>
          </w:divBdr>
        </w:div>
        <w:div w:id="1006513761">
          <w:marLeft w:val="0"/>
          <w:marRight w:val="0"/>
          <w:marTop w:val="0"/>
          <w:marBottom w:val="0"/>
          <w:divBdr>
            <w:top w:val="none" w:sz="0" w:space="0" w:color="auto"/>
            <w:left w:val="none" w:sz="0" w:space="0" w:color="auto"/>
            <w:bottom w:val="none" w:sz="0" w:space="0" w:color="auto"/>
            <w:right w:val="none" w:sz="0" w:space="0" w:color="auto"/>
          </w:divBdr>
        </w:div>
      </w:divsChild>
    </w:div>
    <w:div w:id="1590113354">
      <w:bodyDiv w:val="1"/>
      <w:marLeft w:val="0"/>
      <w:marRight w:val="0"/>
      <w:marTop w:val="0"/>
      <w:marBottom w:val="0"/>
      <w:divBdr>
        <w:top w:val="none" w:sz="0" w:space="0" w:color="auto"/>
        <w:left w:val="none" w:sz="0" w:space="0" w:color="auto"/>
        <w:bottom w:val="none" w:sz="0" w:space="0" w:color="auto"/>
        <w:right w:val="none" w:sz="0" w:space="0" w:color="auto"/>
      </w:divBdr>
      <w:divsChild>
        <w:div w:id="1135637631">
          <w:marLeft w:val="0"/>
          <w:marRight w:val="0"/>
          <w:marTop w:val="0"/>
          <w:marBottom w:val="0"/>
          <w:divBdr>
            <w:top w:val="none" w:sz="0" w:space="0" w:color="auto"/>
            <w:left w:val="none" w:sz="0" w:space="0" w:color="auto"/>
            <w:bottom w:val="none" w:sz="0" w:space="0" w:color="auto"/>
            <w:right w:val="none" w:sz="0" w:space="0" w:color="auto"/>
          </w:divBdr>
          <w:divsChild>
            <w:div w:id="851576794">
              <w:marLeft w:val="0"/>
              <w:marRight w:val="0"/>
              <w:marTop w:val="0"/>
              <w:marBottom w:val="0"/>
              <w:divBdr>
                <w:top w:val="none" w:sz="0" w:space="0" w:color="auto"/>
                <w:left w:val="none" w:sz="0" w:space="0" w:color="auto"/>
                <w:bottom w:val="none" w:sz="0" w:space="0" w:color="auto"/>
                <w:right w:val="none" w:sz="0" w:space="0" w:color="auto"/>
              </w:divBdr>
              <w:divsChild>
                <w:div w:id="412091053">
                  <w:marLeft w:val="0"/>
                  <w:marRight w:val="0"/>
                  <w:marTop w:val="0"/>
                  <w:marBottom w:val="0"/>
                  <w:divBdr>
                    <w:top w:val="none" w:sz="0" w:space="0" w:color="auto"/>
                    <w:left w:val="none" w:sz="0" w:space="0" w:color="auto"/>
                    <w:bottom w:val="none" w:sz="0" w:space="0" w:color="auto"/>
                    <w:right w:val="none" w:sz="0" w:space="0" w:color="auto"/>
                  </w:divBdr>
                  <w:divsChild>
                    <w:div w:id="1055852458">
                      <w:marLeft w:val="0"/>
                      <w:marRight w:val="0"/>
                      <w:marTop w:val="0"/>
                      <w:marBottom w:val="0"/>
                      <w:divBdr>
                        <w:top w:val="none" w:sz="0" w:space="0" w:color="auto"/>
                        <w:left w:val="none" w:sz="0" w:space="0" w:color="auto"/>
                        <w:bottom w:val="none" w:sz="0" w:space="0" w:color="auto"/>
                        <w:right w:val="none" w:sz="0" w:space="0" w:color="auto"/>
                      </w:divBdr>
                      <w:divsChild>
                        <w:div w:id="816337277">
                          <w:marLeft w:val="0"/>
                          <w:marRight w:val="0"/>
                          <w:marTop w:val="0"/>
                          <w:marBottom w:val="0"/>
                          <w:divBdr>
                            <w:top w:val="none" w:sz="0" w:space="0" w:color="auto"/>
                            <w:left w:val="none" w:sz="0" w:space="0" w:color="auto"/>
                            <w:bottom w:val="none" w:sz="0" w:space="0" w:color="auto"/>
                            <w:right w:val="none" w:sz="0" w:space="0" w:color="auto"/>
                          </w:divBdr>
                          <w:divsChild>
                            <w:div w:id="1998341937">
                              <w:marLeft w:val="0"/>
                              <w:marRight w:val="0"/>
                              <w:marTop w:val="0"/>
                              <w:marBottom w:val="0"/>
                              <w:divBdr>
                                <w:top w:val="none" w:sz="0" w:space="0" w:color="auto"/>
                                <w:left w:val="none" w:sz="0" w:space="0" w:color="auto"/>
                                <w:bottom w:val="none" w:sz="0" w:space="0" w:color="auto"/>
                                <w:right w:val="none" w:sz="0" w:space="0" w:color="auto"/>
                              </w:divBdr>
                              <w:divsChild>
                                <w:div w:id="127116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0314199">
      <w:bodyDiv w:val="1"/>
      <w:marLeft w:val="0"/>
      <w:marRight w:val="0"/>
      <w:marTop w:val="0"/>
      <w:marBottom w:val="0"/>
      <w:divBdr>
        <w:top w:val="none" w:sz="0" w:space="0" w:color="auto"/>
        <w:left w:val="none" w:sz="0" w:space="0" w:color="auto"/>
        <w:bottom w:val="none" w:sz="0" w:space="0" w:color="auto"/>
        <w:right w:val="none" w:sz="0" w:space="0" w:color="auto"/>
      </w:divBdr>
      <w:divsChild>
        <w:div w:id="647706714">
          <w:marLeft w:val="0"/>
          <w:marRight w:val="0"/>
          <w:marTop w:val="0"/>
          <w:marBottom w:val="0"/>
          <w:divBdr>
            <w:top w:val="none" w:sz="0" w:space="0" w:color="auto"/>
            <w:left w:val="none" w:sz="0" w:space="0" w:color="auto"/>
            <w:bottom w:val="none" w:sz="0" w:space="0" w:color="auto"/>
            <w:right w:val="none" w:sz="0" w:space="0" w:color="auto"/>
          </w:divBdr>
          <w:divsChild>
            <w:div w:id="64678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424176">
      <w:bodyDiv w:val="1"/>
      <w:marLeft w:val="0"/>
      <w:marRight w:val="0"/>
      <w:marTop w:val="0"/>
      <w:marBottom w:val="0"/>
      <w:divBdr>
        <w:top w:val="none" w:sz="0" w:space="0" w:color="auto"/>
        <w:left w:val="none" w:sz="0" w:space="0" w:color="auto"/>
        <w:bottom w:val="none" w:sz="0" w:space="0" w:color="auto"/>
        <w:right w:val="none" w:sz="0" w:space="0" w:color="auto"/>
      </w:divBdr>
      <w:divsChild>
        <w:div w:id="1252198463">
          <w:marLeft w:val="0"/>
          <w:marRight w:val="0"/>
          <w:marTop w:val="0"/>
          <w:marBottom w:val="150"/>
          <w:divBdr>
            <w:top w:val="none" w:sz="0" w:space="0" w:color="auto"/>
            <w:left w:val="none" w:sz="0" w:space="0" w:color="auto"/>
            <w:bottom w:val="none" w:sz="0" w:space="0" w:color="auto"/>
            <w:right w:val="none" w:sz="0" w:space="0" w:color="auto"/>
          </w:divBdr>
        </w:div>
        <w:div w:id="1520965372">
          <w:marLeft w:val="0"/>
          <w:marRight w:val="0"/>
          <w:marTop w:val="0"/>
          <w:marBottom w:val="150"/>
          <w:divBdr>
            <w:top w:val="none" w:sz="0" w:space="0" w:color="auto"/>
            <w:left w:val="none" w:sz="0" w:space="0" w:color="auto"/>
            <w:bottom w:val="none" w:sz="0" w:space="0" w:color="auto"/>
            <w:right w:val="none" w:sz="0" w:space="0" w:color="auto"/>
          </w:divBdr>
          <w:divsChild>
            <w:div w:id="642778348">
              <w:marLeft w:val="0"/>
              <w:marRight w:val="0"/>
              <w:marTop w:val="0"/>
              <w:marBottom w:val="0"/>
              <w:divBdr>
                <w:top w:val="none" w:sz="0" w:space="0" w:color="auto"/>
                <w:left w:val="none" w:sz="0" w:space="0" w:color="auto"/>
                <w:bottom w:val="none" w:sz="0" w:space="0" w:color="auto"/>
                <w:right w:val="none" w:sz="0" w:space="0" w:color="auto"/>
              </w:divBdr>
            </w:div>
          </w:divsChild>
        </w:div>
        <w:div w:id="1635599330">
          <w:marLeft w:val="0"/>
          <w:marRight w:val="0"/>
          <w:marTop w:val="0"/>
          <w:marBottom w:val="0"/>
          <w:divBdr>
            <w:top w:val="none" w:sz="0" w:space="0" w:color="auto"/>
            <w:left w:val="none" w:sz="0" w:space="0" w:color="auto"/>
            <w:bottom w:val="none" w:sz="0" w:space="0" w:color="auto"/>
            <w:right w:val="none" w:sz="0" w:space="0" w:color="auto"/>
          </w:divBdr>
          <w:divsChild>
            <w:div w:id="116951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544988">
      <w:bodyDiv w:val="1"/>
      <w:marLeft w:val="0"/>
      <w:marRight w:val="0"/>
      <w:marTop w:val="0"/>
      <w:marBottom w:val="0"/>
      <w:divBdr>
        <w:top w:val="none" w:sz="0" w:space="0" w:color="auto"/>
        <w:left w:val="none" w:sz="0" w:space="0" w:color="auto"/>
        <w:bottom w:val="none" w:sz="0" w:space="0" w:color="auto"/>
        <w:right w:val="none" w:sz="0" w:space="0" w:color="auto"/>
      </w:divBdr>
    </w:div>
    <w:div w:id="1592078891">
      <w:bodyDiv w:val="1"/>
      <w:marLeft w:val="0"/>
      <w:marRight w:val="0"/>
      <w:marTop w:val="0"/>
      <w:marBottom w:val="0"/>
      <w:divBdr>
        <w:top w:val="none" w:sz="0" w:space="0" w:color="auto"/>
        <w:left w:val="none" w:sz="0" w:space="0" w:color="auto"/>
        <w:bottom w:val="none" w:sz="0" w:space="0" w:color="auto"/>
        <w:right w:val="none" w:sz="0" w:space="0" w:color="auto"/>
      </w:divBdr>
      <w:divsChild>
        <w:div w:id="1879312020">
          <w:marLeft w:val="0"/>
          <w:marRight w:val="0"/>
          <w:marTop w:val="0"/>
          <w:marBottom w:val="0"/>
          <w:divBdr>
            <w:top w:val="none" w:sz="0" w:space="0" w:color="auto"/>
            <w:left w:val="none" w:sz="0" w:space="0" w:color="auto"/>
            <w:bottom w:val="none" w:sz="0" w:space="0" w:color="auto"/>
            <w:right w:val="none" w:sz="0" w:space="0" w:color="auto"/>
          </w:divBdr>
          <w:divsChild>
            <w:div w:id="225343666">
              <w:marLeft w:val="0"/>
              <w:marRight w:val="0"/>
              <w:marTop w:val="0"/>
              <w:marBottom w:val="0"/>
              <w:divBdr>
                <w:top w:val="none" w:sz="0" w:space="0" w:color="auto"/>
                <w:left w:val="none" w:sz="0" w:space="0" w:color="auto"/>
                <w:bottom w:val="none" w:sz="0" w:space="0" w:color="auto"/>
                <w:right w:val="none" w:sz="0" w:space="0" w:color="auto"/>
              </w:divBdr>
              <w:divsChild>
                <w:div w:id="629671917">
                  <w:marLeft w:val="0"/>
                  <w:marRight w:val="0"/>
                  <w:marTop w:val="0"/>
                  <w:marBottom w:val="0"/>
                  <w:divBdr>
                    <w:top w:val="none" w:sz="0" w:space="0" w:color="auto"/>
                    <w:left w:val="none" w:sz="0" w:space="0" w:color="auto"/>
                    <w:bottom w:val="none" w:sz="0" w:space="0" w:color="auto"/>
                    <w:right w:val="none" w:sz="0" w:space="0" w:color="auto"/>
                  </w:divBdr>
                  <w:divsChild>
                    <w:div w:id="402794436">
                      <w:marLeft w:val="0"/>
                      <w:marRight w:val="0"/>
                      <w:marTop w:val="0"/>
                      <w:marBottom w:val="0"/>
                      <w:divBdr>
                        <w:top w:val="none" w:sz="0" w:space="0" w:color="auto"/>
                        <w:left w:val="none" w:sz="0" w:space="0" w:color="auto"/>
                        <w:bottom w:val="none" w:sz="0" w:space="0" w:color="auto"/>
                        <w:right w:val="none" w:sz="0" w:space="0" w:color="auto"/>
                      </w:divBdr>
                      <w:divsChild>
                        <w:div w:id="1278025170">
                          <w:marLeft w:val="0"/>
                          <w:marRight w:val="0"/>
                          <w:marTop w:val="0"/>
                          <w:marBottom w:val="0"/>
                          <w:divBdr>
                            <w:top w:val="none" w:sz="0" w:space="0" w:color="auto"/>
                            <w:left w:val="none" w:sz="0" w:space="0" w:color="auto"/>
                            <w:bottom w:val="none" w:sz="0" w:space="0" w:color="auto"/>
                            <w:right w:val="none" w:sz="0" w:space="0" w:color="auto"/>
                          </w:divBdr>
                          <w:divsChild>
                            <w:div w:id="207647063">
                              <w:marLeft w:val="0"/>
                              <w:marRight w:val="0"/>
                              <w:marTop w:val="0"/>
                              <w:marBottom w:val="0"/>
                              <w:divBdr>
                                <w:top w:val="none" w:sz="0" w:space="0" w:color="auto"/>
                                <w:left w:val="none" w:sz="0" w:space="0" w:color="auto"/>
                                <w:bottom w:val="none" w:sz="0" w:space="0" w:color="auto"/>
                                <w:right w:val="none" w:sz="0" w:space="0" w:color="auto"/>
                              </w:divBdr>
                              <w:divsChild>
                                <w:div w:id="1779059594">
                                  <w:marLeft w:val="0"/>
                                  <w:marRight w:val="0"/>
                                  <w:marTop w:val="0"/>
                                  <w:marBottom w:val="0"/>
                                  <w:divBdr>
                                    <w:top w:val="none" w:sz="0" w:space="0" w:color="auto"/>
                                    <w:left w:val="none" w:sz="0" w:space="0" w:color="auto"/>
                                    <w:bottom w:val="none" w:sz="0" w:space="0" w:color="auto"/>
                                    <w:right w:val="none" w:sz="0" w:space="0" w:color="auto"/>
                                  </w:divBdr>
                                  <w:divsChild>
                                    <w:div w:id="407925851">
                                      <w:marLeft w:val="0"/>
                                      <w:marRight w:val="0"/>
                                      <w:marTop w:val="0"/>
                                      <w:marBottom w:val="0"/>
                                      <w:divBdr>
                                        <w:top w:val="none" w:sz="0" w:space="0" w:color="auto"/>
                                        <w:left w:val="none" w:sz="0" w:space="0" w:color="auto"/>
                                        <w:bottom w:val="none" w:sz="0" w:space="0" w:color="auto"/>
                                        <w:right w:val="none" w:sz="0" w:space="0" w:color="auto"/>
                                      </w:divBdr>
                                      <w:divsChild>
                                        <w:div w:id="152274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2083075">
      <w:bodyDiv w:val="1"/>
      <w:marLeft w:val="0"/>
      <w:marRight w:val="0"/>
      <w:marTop w:val="0"/>
      <w:marBottom w:val="0"/>
      <w:divBdr>
        <w:top w:val="none" w:sz="0" w:space="0" w:color="auto"/>
        <w:left w:val="none" w:sz="0" w:space="0" w:color="auto"/>
        <w:bottom w:val="none" w:sz="0" w:space="0" w:color="auto"/>
        <w:right w:val="none" w:sz="0" w:space="0" w:color="auto"/>
      </w:divBdr>
      <w:divsChild>
        <w:div w:id="477503903">
          <w:marLeft w:val="0"/>
          <w:marRight w:val="0"/>
          <w:marTop w:val="0"/>
          <w:marBottom w:val="0"/>
          <w:divBdr>
            <w:top w:val="none" w:sz="0" w:space="0" w:color="auto"/>
            <w:left w:val="none" w:sz="0" w:space="0" w:color="auto"/>
            <w:bottom w:val="none" w:sz="0" w:space="0" w:color="auto"/>
            <w:right w:val="none" w:sz="0" w:space="0" w:color="auto"/>
          </w:divBdr>
          <w:divsChild>
            <w:div w:id="1506750832">
              <w:marLeft w:val="0"/>
              <w:marRight w:val="0"/>
              <w:marTop w:val="0"/>
              <w:marBottom w:val="0"/>
              <w:divBdr>
                <w:top w:val="none" w:sz="0" w:space="0" w:color="auto"/>
                <w:left w:val="none" w:sz="0" w:space="0" w:color="auto"/>
                <w:bottom w:val="none" w:sz="0" w:space="0" w:color="auto"/>
                <w:right w:val="none" w:sz="0" w:space="0" w:color="auto"/>
              </w:divBdr>
              <w:divsChild>
                <w:div w:id="2146464588">
                  <w:marLeft w:val="0"/>
                  <w:marRight w:val="0"/>
                  <w:marTop w:val="0"/>
                  <w:marBottom w:val="450"/>
                  <w:divBdr>
                    <w:top w:val="none" w:sz="0" w:space="0" w:color="auto"/>
                    <w:left w:val="none" w:sz="0" w:space="0" w:color="auto"/>
                    <w:bottom w:val="none" w:sz="0" w:space="0" w:color="auto"/>
                    <w:right w:val="none" w:sz="0" w:space="0" w:color="auto"/>
                  </w:divBdr>
                  <w:divsChild>
                    <w:div w:id="4485327">
                      <w:marLeft w:val="0"/>
                      <w:marRight w:val="0"/>
                      <w:marTop w:val="0"/>
                      <w:marBottom w:val="150"/>
                      <w:divBdr>
                        <w:top w:val="none" w:sz="0" w:space="0" w:color="auto"/>
                        <w:left w:val="none" w:sz="0" w:space="0" w:color="auto"/>
                        <w:bottom w:val="none" w:sz="0" w:space="0" w:color="auto"/>
                        <w:right w:val="none" w:sz="0" w:space="0" w:color="auto"/>
                      </w:divBdr>
                      <w:divsChild>
                        <w:div w:id="762266222">
                          <w:marLeft w:val="0"/>
                          <w:marRight w:val="0"/>
                          <w:marTop w:val="0"/>
                          <w:marBottom w:val="0"/>
                          <w:divBdr>
                            <w:top w:val="none" w:sz="0" w:space="0" w:color="auto"/>
                            <w:left w:val="none" w:sz="0" w:space="0" w:color="auto"/>
                            <w:bottom w:val="none" w:sz="0" w:space="0" w:color="auto"/>
                            <w:right w:val="none" w:sz="0" w:space="0" w:color="auto"/>
                          </w:divBdr>
                        </w:div>
                      </w:divsChild>
                    </w:div>
                    <w:div w:id="1727217515">
                      <w:marLeft w:val="0"/>
                      <w:marRight w:val="0"/>
                      <w:marTop w:val="0"/>
                      <w:marBottom w:val="0"/>
                      <w:divBdr>
                        <w:top w:val="none" w:sz="0" w:space="0" w:color="auto"/>
                        <w:left w:val="none" w:sz="0" w:space="0" w:color="auto"/>
                        <w:bottom w:val="none" w:sz="0" w:space="0" w:color="auto"/>
                        <w:right w:val="none" w:sz="0" w:space="0" w:color="auto"/>
                      </w:divBdr>
                      <w:divsChild>
                        <w:div w:id="1201745399">
                          <w:marLeft w:val="0"/>
                          <w:marRight w:val="0"/>
                          <w:marTop w:val="0"/>
                          <w:marBottom w:val="0"/>
                          <w:divBdr>
                            <w:top w:val="none" w:sz="0" w:space="0" w:color="auto"/>
                            <w:left w:val="none" w:sz="0" w:space="0" w:color="auto"/>
                            <w:bottom w:val="none" w:sz="0" w:space="0" w:color="auto"/>
                            <w:right w:val="none" w:sz="0" w:space="0" w:color="auto"/>
                          </w:divBdr>
                          <w:divsChild>
                            <w:div w:id="1118332580">
                              <w:marLeft w:val="0"/>
                              <w:marRight w:val="0"/>
                              <w:marTop w:val="0"/>
                              <w:marBottom w:val="0"/>
                              <w:divBdr>
                                <w:top w:val="none" w:sz="0" w:space="0" w:color="auto"/>
                                <w:left w:val="none" w:sz="0" w:space="0" w:color="auto"/>
                                <w:bottom w:val="none" w:sz="0" w:space="0" w:color="auto"/>
                                <w:right w:val="none" w:sz="0" w:space="0" w:color="auto"/>
                              </w:divBdr>
                            </w:div>
                          </w:divsChild>
                        </w:div>
                        <w:div w:id="18531836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79916005">
          <w:marLeft w:val="0"/>
          <w:marRight w:val="0"/>
          <w:marTop w:val="0"/>
          <w:marBottom w:val="375"/>
          <w:divBdr>
            <w:top w:val="none" w:sz="0" w:space="0" w:color="auto"/>
            <w:left w:val="none" w:sz="0" w:space="0" w:color="auto"/>
            <w:bottom w:val="single" w:sz="6" w:space="0" w:color="005494"/>
            <w:right w:val="none" w:sz="0" w:space="0" w:color="auto"/>
          </w:divBdr>
        </w:div>
        <w:div w:id="1965623658">
          <w:marLeft w:val="0"/>
          <w:marRight w:val="0"/>
          <w:marTop w:val="0"/>
          <w:marBottom w:val="300"/>
          <w:divBdr>
            <w:top w:val="none" w:sz="0" w:space="0" w:color="auto"/>
            <w:left w:val="none" w:sz="0" w:space="0" w:color="auto"/>
            <w:bottom w:val="single" w:sz="6" w:space="0" w:color="E4E4E4"/>
            <w:right w:val="none" w:sz="0" w:space="0" w:color="auto"/>
          </w:divBdr>
        </w:div>
      </w:divsChild>
    </w:div>
    <w:div w:id="1593049753">
      <w:bodyDiv w:val="1"/>
      <w:marLeft w:val="0"/>
      <w:marRight w:val="0"/>
      <w:marTop w:val="0"/>
      <w:marBottom w:val="0"/>
      <w:divBdr>
        <w:top w:val="none" w:sz="0" w:space="0" w:color="auto"/>
        <w:left w:val="none" w:sz="0" w:space="0" w:color="auto"/>
        <w:bottom w:val="none" w:sz="0" w:space="0" w:color="auto"/>
        <w:right w:val="none" w:sz="0" w:space="0" w:color="auto"/>
      </w:divBdr>
      <w:divsChild>
        <w:div w:id="1849098856">
          <w:marLeft w:val="0"/>
          <w:marRight w:val="0"/>
          <w:marTop w:val="0"/>
          <w:marBottom w:val="150"/>
          <w:divBdr>
            <w:top w:val="none" w:sz="0" w:space="0" w:color="auto"/>
            <w:left w:val="none" w:sz="0" w:space="0" w:color="auto"/>
            <w:bottom w:val="none" w:sz="0" w:space="0" w:color="auto"/>
            <w:right w:val="none" w:sz="0" w:space="0" w:color="auto"/>
          </w:divBdr>
          <w:divsChild>
            <w:div w:id="886064035">
              <w:marLeft w:val="0"/>
              <w:marRight w:val="0"/>
              <w:marTop w:val="0"/>
              <w:marBottom w:val="0"/>
              <w:divBdr>
                <w:top w:val="none" w:sz="0" w:space="0" w:color="auto"/>
                <w:left w:val="none" w:sz="0" w:space="0" w:color="auto"/>
                <w:bottom w:val="none" w:sz="0" w:space="0" w:color="auto"/>
                <w:right w:val="none" w:sz="0" w:space="0" w:color="auto"/>
              </w:divBdr>
              <w:divsChild>
                <w:div w:id="191431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547987">
          <w:marLeft w:val="0"/>
          <w:marRight w:val="0"/>
          <w:marTop w:val="0"/>
          <w:marBottom w:val="150"/>
          <w:divBdr>
            <w:top w:val="none" w:sz="0" w:space="0" w:color="auto"/>
            <w:left w:val="none" w:sz="0" w:space="0" w:color="auto"/>
            <w:bottom w:val="none" w:sz="0" w:space="0" w:color="auto"/>
            <w:right w:val="none" w:sz="0" w:space="0" w:color="auto"/>
          </w:divBdr>
        </w:div>
        <w:div w:id="781650480">
          <w:marLeft w:val="0"/>
          <w:marRight w:val="0"/>
          <w:marTop w:val="0"/>
          <w:marBottom w:val="0"/>
          <w:divBdr>
            <w:top w:val="none" w:sz="0" w:space="0" w:color="auto"/>
            <w:left w:val="none" w:sz="0" w:space="0" w:color="auto"/>
            <w:bottom w:val="none" w:sz="0" w:space="0" w:color="auto"/>
            <w:right w:val="none" w:sz="0" w:space="0" w:color="auto"/>
          </w:divBdr>
          <w:divsChild>
            <w:div w:id="65903928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93389197">
      <w:bodyDiv w:val="1"/>
      <w:marLeft w:val="0"/>
      <w:marRight w:val="0"/>
      <w:marTop w:val="0"/>
      <w:marBottom w:val="0"/>
      <w:divBdr>
        <w:top w:val="none" w:sz="0" w:space="0" w:color="auto"/>
        <w:left w:val="none" w:sz="0" w:space="0" w:color="auto"/>
        <w:bottom w:val="none" w:sz="0" w:space="0" w:color="auto"/>
        <w:right w:val="none" w:sz="0" w:space="0" w:color="auto"/>
      </w:divBdr>
      <w:divsChild>
        <w:div w:id="325404763">
          <w:marLeft w:val="0"/>
          <w:marRight w:val="0"/>
          <w:marTop w:val="0"/>
          <w:marBottom w:val="150"/>
          <w:divBdr>
            <w:top w:val="none" w:sz="0" w:space="0" w:color="auto"/>
            <w:left w:val="none" w:sz="0" w:space="0" w:color="auto"/>
            <w:bottom w:val="none" w:sz="0" w:space="0" w:color="auto"/>
            <w:right w:val="none" w:sz="0" w:space="0" w:color="auto"/>
          </w:divBdr>
          <w:divsChild>
            <w:div w:id="1689286658">
              <w:marLeft w:val="0"/>
              <w:marRight w:val="0"/>
              <w:marTop w:val="0"/>
              <w:marBottom w:val="0"/>
              <w:divBdr>
                <w:top w:val="none" w:sz="0" w:space="0" w:color="auto"/>
                <w:left w:val="none" w:sz="0" w:space="0" w:color="auto"/>
                <w:bottom w:val="none" w:sz="0" w:space="0" w:color="auto"/>
                <w:right w:val="none" w:sz="0" w:space="0" w:color="auto"/>
              </w:divBdr>
            </w:div>
          </w:divsChild>
        </w:div>
        <w:div w:id="1409957411">
          <w:marLeft w:val="0"/>
          <w:marRight w:val="0"/>
          <w:marTop w:val="0"/>
          <w:marBottom w:val="0"/>
          <w:divBdr>
            <w:top w:val="none" w:sz="0" w:space="0" w:color="auto"/>
            <w:left w:val="none" w:sz="0" w:space="0" w:color="auto"/>
            <w:bottom w:val="none" w:sz="0" w:space="0" w:color="auto"/>
            <w:right w:val="none" w:sz="0" w:space="0" w:color="auto"/>
          </w:divBdr>
          <w:divsChild>
            <w:div w:id="419568717">
              <w:marLeft w:val="0"/>
              <w:marRight w:val="0"/>
              <w:marTop w:val="0"/>
              <w:marBottom w:val="0"/>
              <w:divBdr>
                <w:top w:val="none" w:sz="0" w:space="0" w:color="auto"/>
                <w:left w:val="none" w:sz="0" w:space="0" w:color="auto"/>
                <w:bottom w:val="none" w:sz="0" w:space="0" w:color="auto"/>
                <w:right w:val="none" w:sz="0" w:space="0" w:color="auto"/>
              </w:divBdr>
            </w:div>
          </w:divsChild>
        </w:div>
        <w:div w:id="1753234426">
          <w:marLeft w:val="0"/>
          <w:marRight w:val="0"/>
          <w:marTop w:val="0"/>
          <w:marBottom w:val="150"/>
          <w:divBdr>
            <w:top w:val="none" w:sz="0" w:space="0" w:color="auto"/>
            <w:left w:val="none" w:sz="0" w:space="0" w:color="auto"/>
            <w:bottom w:val="none" w:sz="0" w:space="0" w:color="auto"/>
            <w:right w:val="none" w:sz="0" w:space="0" w:color="auto"/>
          </w:divBdr>
        </w:div>
      </w:divsChild>
    </w:div>
    <w:div w:id="1593706921">
      <w:bodyDiv w:val="1"/>
      <w:marLeft w:val="0"/>
      <w:marRight w:val="0"/>
      <w:marTop w:val="0"/>
      <w:marBottom w:val="0"/>
      <w:divBdr>
        <w:top w:val="none" w:sz="0" w:space="0" w:color="auto"/>
        <w:left w:val="none" w:sz="0" w:space="0" w:color="auto"/>
        <w:bottom w:val="none" w:sz="0" w:space="0" w:color="auto"/>
        <w:right w:val="none" w:sz="0" w:space="0" w:color="auto"/>
      </w:divBdr>
      <w:divsChild>
        <w:div w:id="710148852">
          <w:marLeft w:val="0"/>
          <w:marRight w:val="0"/>
          <w:marTop w:val="0"/>
          <w:marBottom w:val="0"/>
          <w:divBdr>
            <w:top w:val="none" w:sz="0" w:space="0" w:color="auto"/>
            <w:left w:val="none" w:sz="0" w:space="0" w:color="auto"/>
            <w:bottom w:val="none" w:sz="0" w:space="0" w:color="auto"/>
            <w:right w:val="none" w:sz="0" w:space="0" w:color="auto"/>
          </w:divBdr>
        </w:div>
        <w:div w:id="1806779999">
          <w:marLeft w:val="0"/>
          <w:marRight w:val="0"/>
          <w:marTop w:val="0"/>
          <w:marBottom w:val="150"/>
          <w:divBdr>
            <w:top w:val="none" w:sz="0" w:space="0" w:color="auto"/>
            <w:left w:val="none" w:sz="0" w:space="0" w:color="auto"/>
            <w:bottom w:val="none" w:sz="0" w:space="0" w:color="auto"/>
            <w:right w:val="none" w:sz="0" w:space="0" w:color="auto"/>
          </w:divBdr>
        </w:div>
      </w:divsChild>
    </w:div>
    <w:div w:id="1593856572">
      <w:bodyDiv w:val="1"/>
      <w:marLeft w:val="0"/>
      <w:marRight w:val="0"/>
      <w:marTop w:val="0"/>
      <w:marBottom w:val="0"/>
      <w:divBdr>
        <w:top w:val="none" w:sz="0" w:space="0" w:color="auto"/>
        <w:left w:val="none" w:sz="0" w:space="0" w:color="auto"/>
        <w:bottom w:val="none" w:sz="0" w:space="0" w:color="auto"/>
        <w:right w:val="none" w:sz="0" w:space="0" w:color="auto"/>
      </w:divBdr>
    </w:div>
    <w:div w:id="1594557446">
      <w:bodyDiv w:val="1"/>
      <w:marLeft w:val="0"/>
      <w:marRight w:val="0"/>
      <w:marTop w:val="0"/>
      <w:marBottom w:val="0"/>
      <w:divBdr>
        <w:top w:val="none" w:sz="0" w:space="0" w:color="auto"/>
        <w:left w:val="none" w:sz="0" w:space="0" w:color="auto"/>
        <w:bottom w:val="none" w:sz="0" w:space="0" w:color="auto"/>
        <w:right w:val="none" w:sz="0" w:space="0" w:color="auto"/>
      </w:divBdr>
    </w:div>
    <w:div w:id="1595244331">
      <w:bodyDiv w:val="1"/>
      <w:marLeft w:val="0"/>
      <w:marRight w:val="0"/>
      <w:marTop w:val="0"/>
      <w:marBottom w:val="0"/>
      <w:divBdr>
        <w:top w:val="none" w:sz="0" w:space="0" w:color="auto"/>
        <w:left w:val="none" w:sz="0" w:space="0" w:color="auto"/>
        <w:bottom w:val="none" w:sz="0" w:space="0" w:color="auto"/>
        <w:right w:val="none" w:sz="0" w:space="0" w:color="auto"/>
      </w:divBdr>
    </w:div>
    <w:div w:id="1595699742">
      <w:bodyDiv w:val="1"/>
      <w:marLeft w:val="0"/>
      <w:marRight w:val="0"/>
      <w:marTop w:val="0"/>
      <w:marBottom w:val="0"/>
      <w:divBdr>
        <w:top w:val="none" w:sz="0" w:space="0" w:color="auto"/>
        <w:left w:val="none" w:sz="0" w:space="0" w:color="auto"/>
        <w:bottom w:val="none" w:sz="0" w:space="0" w:color="auto"/>
        <w:right w:val="none" w:sz="0" w:space="0" w:color="auto"/>
      </w:divBdr>
      <w:divsChild>
        <w:div w:id="739444639">
          <w:marLeft w:val="0"/>
          <w:marRight w:val="0"/>
          <w:marTop w:val="0"/>
          <w:marBottom w:val="0"/>
          <w:divBdr>
            <w:top w:val="none" w:sz="0" w:space="0" w:color="auto"/>
            <w:left w:val="none" w:sz="0" w:space="0" w:color="auto"/>
            <w:bottom w:val="none" w:sz="0" w:space="0" w:color="auto"/>
            <w:right w:val="none" w:sz="0" w:space="0" w:color="auto"/>
          </w:divBdr>
          <w:divsChild>
            <w:div w:id="1957564688">
              <w:marLeft w:val="0"/>
              <w:marRight w:val="0"/>
              <w:marTop w:val="0"/>
              <w:marBottom w:val="0"/>
              <w:divBdr>
                <w:top w:val="none" w:sz="0" w:space="0" w:color="auto"/>
                <w:left w:val="none" w:sz="0" w:space="0" w:color="auto"/>
                <w:bottom w:val="none" w:sz="0" w:space="0" w:color="auto"/>
                <w:right w:val="none" w:sz="0" w:space="0" w:color="auto"/>
              </w:divBdr>
              <w:divsChild>
                <w:div w:id="1170173069">
                  <w:marLeft w:val="0"/>
                  <w:marRight w:val="0"/>
                  <w:marTop w:val="0"/>
                  <w:marBottom w:val="0"/>
                  <w:divBdr>
                    <w:top w:val="none" w:sz="0" w:space="0" w:color="auto"/>
                    <w:left w:val="none" w:sz="0" w:space="0" w:color="auto"/>
                    <w:bottom w:val="none" w:sz="0" w:space="0" w:color="auto"/>
                    <w:right w:val="none" w:sz="0" w:space="0" w:color="auto"/>
                  </w:divBdr>
                  <w:divsChild>
                    <w:div w:id="1643079342">
                      <w:marLeft w:val="0"/>
                      <w:marRight w:val="0"/>
                      <w:marTop w:val="0"/>
                      <w:marBottom w:val="0"/>
                      <w:divBdr>
                        <w:top w:val="none" w:sz="0" w:space="0" w:color="auto"/>
                        <w:left w:val="none" w:sz="0" w:space="0" w:color="auto"/>
                        <w:bottom w:val="none" w:sz="0" w:space="0" w:color="auto"/>
                        <w:right w:val="none" w:sz="0" w:space="0" w:color="auto"/>
                      </w:divBdr>
                      <w:divsChild>
                        <w:div w:id="160510218">
                          <w:marLeft w:val="0"/>
                          <w:marRight w:val="0"/>
                          <w:marTop w:val="0"/>
                          <w:marBottom w:val="0"/>
                          <w:divBdr>
                            <w:top w:val="none" w:sz="0" w:space="0" w:color="auto"/>
                            <w:left w:val="none" w:sz="0" w:space="0" w:color="auto"/>
                            <w:bottom w:val="none" w:sz="0" w:space="0" w:color="auto"/>
                            <w:right w:val="none" w:sz="0" w:space="0" w:color="auto"/>
                          </w:divBdr>
                          <w:divsChild>
                            <w:div w:id="145825531">
                              <w:marLeft w:val="0"/>
                              <w:marRight w:val="0"/>
                              <w:marTop w:val="0"/>
                              <w:marBottom w:val="0"/>
                              <w:divBdr>
                                <w:top w:val="none" w:sz="0" w:space="0" w:color="auto"/>
                                <w:left w:val="none" w:sz="0" w:space="0" w:color="auto"/>
                                <w:bottom w:val="none" w:sz="0" w:space="0" w:color="auto"/>
                                <w:right w:val="none" w:sz="0" w:space="0" w:color="auto"/>
                              </w:divBdr>
                              <w:divsChild>
                                <w:div w:id="710108297">
                                  <w:marLeft w:val="0"/>
                                  <w:marRight w:val="0"/>
                                  <w:marTop w:val="0"/>
                                  <w:marBottom w:val="0"/>
                                  <w:divBdr>
                                    <w:top w:val="none" w:sz="0" w:space="0" w:color="auto"/>
                                    <w:left w:val="none" w:sz="0" w:space="0" w:color="auto"/>
                                    <w:bottom w:val="none" w:sz="0" w:space="0" w:color="auto"/>
                                    <w:right w:val="none" w:sz="0" w:space="0" w:color="auto"/>
                                  </w:divBdr>
                                  <w:divsChild>
                                    <w:div w:id="212357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6329555">
      <w:bodyDiv w:val="1"/>
      <w:marLeft w:val="0"/>
      <w:marRight w:val="0"/>
      <w:marTop w:val="0"/>
      <w:marBottom w:val="0"/>
      <w:divBdr>
        <w:top w:val="none" w:sz="0" w:space="0" w:color="auto"/>
        <w:left w:val="none" w:sz="0" w:space="0" w:color="auto"/>
        <w:bottom w:val="none" w:sz="0" w:space="0" w:color="auto"/>
        <w:right w:val="none" w:sz="0" w:space="0" w:color="auto"/>
      </w:divBdr>
    </w:div>
    <w:div w:id="1596357452">
      <w:bodyDiv w:val="1"/>
      <w:marLeft w:val="0"/>
      <w:marRight w:val="0"/>
      <w:marTop w:val="0"/>
      <w:marBottom w:val="0"/>
      <w:divBdr>
        <w:top w:val="none" w:sz="0" w:space="0" w:color="auto"/>
        <w:left w:val="none" w:sz="0" w:space="0" w:color="auto"/>
        <w:bottom w:val="none" w:sz="0" w:space="0" w:color="auto"/>
        <w:right w:val="none" w:sz="0" w:space="0" w:color="auto"/>
      </w:divBdr>
    </w:div>
    <w:div w:id="1596477364">
      <w:bodyDiv w:val="1"/>
      <w:marLeft w:val="0"/>
      <w:marRight w:val="0"/>
      <w:marTop w:val="0"/>
      <w:marBottom w:val="0"/>
      <w:divBdr>
        <w:top w:val="none" w:sz="0" w:space="0" w:color="auto"/>
        <w:left w:val="none" w:sz="0" w:space="0" w:color="auto"/>
        <w:bottom w:val="none" w:sz="0" w:space="0" w:color="auto"/>
        <w:right w:val="none" w:sz="0" w:space="0" w:color="auto"/>
      </w:divBdr>
      <w:divsChild>
        <w:div w:id="9263670">
          <w:marLeft w:val="0"/>
          <w:marRight w:val="0"/>
          <w:marTop w:val="0"/>
          <w:marBottom w:val="0"/>
          <w:divBdr>
            <w:top w:val="none" w:sz="0" w:space="0" w:color="auto"/>
            <w:left w:val="none" w:sz="0" w:space="0" w:color="auto"/>
            <w:bottom w:val="none" w:sz="0" w:space="0" w:color="auto"/>
            <w:right w:val="none" w:sz="0" w:space="0" w:color="auto"/>
          </w:divBdr>
        </w:div>
      </w:divsChild>
    </w:div>
    <w:div w:id="1596864458">
      <w:bodyDiv w:val="1"/>
      <w:marLeft w:val="0"/>
      <w:marRight w:val="0"/>
      <w:marTop w:val="0"/>
      <w:marBottom w:val="0"/>
      <w:divBdr>
        <w:top w:val="none" w:sz="0" w:space="0" w:color="auto"/>
        <w:left w:val="none" w:sz="0" w:space="0" w:color="auto"/>
        <w:bottom w:val="none" w:sz="0" w:space="0" w:color="auto"/>
        <w:right w:val="none" w:sz="0" w:space="0" w:color="auto"/>
      </w:divBdr>
      <w:divsChild>
        <w:div w:id="1974092417">
          <w:marLeft w:val="0"/>
          <w:marRight w:val="0"/>
          <w:marTop w:val="0"/>
          <w:marBottom w:val="0"/>
          <w:divBdr>
            <w:top w:val="none" w:sz="0" w:space="0" w:color="auto"/>
            <w:left w:val="none" w:sz="0" w:space="0" w:color="auto"/>
            <w:bottom w:val="dotted" w:sz="6" w:space="4" w:color="DDDDDD"/>
            <w:right w:val="none" w:sz="0" w:space="0" w:color="auto"/>
          </w:divBdr>
          <w:divsChild>
            <w:div w:id="15357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013472">
      <w:bodyDiv w:val="1"/>
      <w:marLeft w:val="0"/>
      <w:marRight w:val="0"/>
      <w:marTop w:val="0"/>
      <w:marBottom w:val="0"/>
      <w:divBdr>
        <w:top w:val="none" w:sz="0" w:space="0" w:color="auto"/>
        <w:left w:val="none" w:sz="0" w:space="0" w:color="auto"/>
        <w:bottom w:val="none" w:sz="0" w:space="0" w:color="auto"/>
        <w:right w:val="none" w:sz="0" w:space="0" w:color="auto"/>
      </w:divBdr>
      <w:divsChild>
        <w:div w:id="524945524">
          <w:marLeft w:val="0"/>
          <w:marRight w:val="0"/>
          <w:marTop w:val="0"/>
          <w:marBottom w:val="0"/>
          <w:divBdr>
            <w:top w:val="none" w:sz="0" w:space="0" w:color="auto"/>
            <w:left w:val="none" w:sz="0" w:space="0" w:color="auto"/>
            <w:bottom w:val="none" w:sz="0" w:space="0" w:color="auto"/>
            <w:right w:val="none" w:sz="0" w:space="0" w:color="auto"/>
          </w:divBdr>
        </w:div>
        <w:div w:id="1134711148">
          <w:marLeft w:val="0"/>
          <w:marRight w:val="0"/>
          <w:marTop w:val="0"/>
          <w:marBottom w:val="0"/>
          <w:divBdr>
            <w:top w:val="none" w:sz="0" w:space="0" w:color="auto"/>
            <w:left w:val="none" w:sz="0" w:space="0" w:color="auto"/>
            <w:bottom w:val="none" w:sz="0" w:space="0" w:color="auto"/>
            <w:right w:val="none" w:sz="0" w:space="0" w:color="auto"/>
          </w:divBdr>
          <w:divsChild>
            <w:div w:id="1783381595">
              <w:marLeft w:val="0"/>
              <w:marRight w:val="0"/>
              <w:marTop w:val="0"/>
              <w:marBottom w:val="0"/>
              <w:divBdr>
                <w:top w:val="none" w:sz="0" w:space="0" w:color="auto"/>
                <w:left w:val="none" w:sz="0" w:space="0" w:color="auto"/>
                <w:bottom w:val="none" w:sz="0" w:space="0" w:color="auto"/>
                <w:right w:val="none" w:sz="0" w:space="0" w:color="auto"/>
              </w:divBdr>
              <w:divsChild>
                <w:div w:id="131938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492957">
          <w:marLeft w:val="0"/>
          <w:marRight w:val="0"/>
          <w:marTop w:val="0"/>
          <w:marBottom w:val="75"/>
          <w:divBdr>
            <w:top w:val="none" w:sz="0" w:space="0" w:color="auto"/>
            <w:left w:val="none" w:sz="0" w:space="0" w:color="auto"/>
            <w:bottom w:val="none" w:sz="0" w:space="0" w:color="auto"/>
            <w:right w:val="none" w:sz="0" w:space="0" w:color="auto"/>
          </w:divBdr>
        </w:div>
        <w:div w:id="1475025068">
          <w:marLeft w:val="0"/>
          <w:marRight w:val="0"/>
          <w:marTop w:val="0"/>
          <w:marBottom w:val="300"/>
          <w:divBdr>
            <w:top w:val="none" w:sz="0" w:space="0" w:color="auto"/>
            <w:left w:val="none" w:sz="0" w:space="0" w:color="auto"/>
            <w:bottom w:val="none" w:sz="0" w:space="0" w:color="auto"/>
            <w:right w:val="none" w:sz="0" w:space="0" w:color="auto"/>
          </w:divBdr>
          <w:divsChild>
            <w:div w:id="61467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403488">
      <w:bodyDiv w:val="1"/>
      <w:marLeft w:val="0"/>
      <w:marRight w:val="0"/>
      <w:marTop w:val="0"/>
      <w:marBottom w:val="0"/>
      <w:divBdr>
        <w:top w:val="none" w:sz="0" w:space="0" w:color="auto"/>
        <w:left w:val="none" w:sz="0" w:space="0" w:color="auto"/>
        <w:bottom w:val="none" w:sz="0" w:space="0" w:color="auto"/>
        <w:right w:val="none" w:sz="0" w:space="0" w:color="auto"/>
      </w:divBdr>
      <w:divsChild>
        <w:div w:id="1299453032">
          <w:marLeft w:val="0"/>
          <w:marRight w:val="0"/>
          <w:marTop w:val="0"/>
          <w:marBottom w:val="0"/>
          <w:divBdr>
            <w:top w:val="none" w:sz="0" w:space="0" w:color="auto"/>
            <w:left w:val="none" w:sz="0" w:space="0" w:color="auto"/>
            <w:bottom w:val="none" w:sz="0" w:space="0" w:color="auto"/>
            <w:right w:val="none" w:sz="0" w:space="0" w:color="auto"/>
          </w:divBdr>
          <w:divsChild>
            <w:div w:id="814219513">
              <w:marLeft w:val="0"/>
              <w:marRight w:val="0"/>
              <w:marTop w:val="0"/>
              <w:marBottom w:val="0"/>
              <w:divBdr>
                <w:top w:val="none" w:sz="0" w:space="0" w:color="auto"/>
                <w:left w:val="none" w:sz="0" w:space="0" w:color="auto"/>
                <w:bottom w:val="none" w:sz="0" w:space="0" w:color="auto"/>
                <w:right w:val="none" w:sz="0" w:space="0" w:color="auto"/>
              </w:divBdr>
              <w:divsChild>
                <w:div w:id="536435059">
                  <w:marLeft w:val="0"/>
                  <w:marRight w:val="0"/>
                  <w:marTop w:val="0"/>
                  <w:marBottom w:val="0"/>
                  <w:divBdr>
                    <w:top w:val="none" w:sz="0" w:space="0" w:color="auto"/>
                    <w:left w:val="none" w:sz="0" w:space="0" w:color="auto"/>
                    <w:bottom w:val="none" w:sz="0" w:space="0" w:color="auto"/>
                    <w:right w:val="none" w:sz="0" w:space="0" w:color="auto"/>
                  </w:divBdr>
                  <w:divsChild>
                    <w:div w:id="1269460016">
                      <w:marLeft w:val="0"/>
                      <w:marRight w:val="0"/>
                      <w:marTop w:val="0"/>
                      <w:marBottom w:val="300"/>
                      <w:divBdr>
                        <w:top w:val="none" w:sz="0" w:space="0" w:color="auto"/>
                        <w:left w:val="none" w:sz="0" w:space="0" w:color="auto"/>
                        <w:bottom w:val="none" w:sz="0" w:space="0" w:color="auto"/>
                        <w:right w:val="none" w:sz="0" w:space="0" w:color="auto"/>
                      </w:divBdr>
                      <w:divsChild>
                        <w:div w:id="1620062070">
                          <w:marLeft w:val="0"/>
                          <w:marRight w:val="0"/>
                          <w:marTop w:val="0"/>
                          <w:marBottom w:val="225"/>
                          <w:divBdr>
                            <w:top w:val="single" w:sz="6" w:space="11" w:color="E5E5E5"/>
                            <w:left w:val="single" w:sz="6" w:space="11" w:color="E5E5E5"/>
                            <w:bottom w:val="single" w:sz="6" w:space="1" w:color="E5E5E5"/>
                            <w:right w:val="single" w:sz="6" w:space="11" w:color="E5E5E5"/>
                          </w:divBdr>
                          <w:divsChild>
                            <w:div w:id="1133207601">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378892632">
          <w:marLeft w:val="0"/>
          <w:marRight w:val="0"/>
          <w:marTop w:val="0"/>
          <w:marBottom w:val="0"/>
          <w:divBdr>
            <w:top w:val="single" w:sz="6" w:space="0" w:color="E5E5E5"/>
            <w:left w:val="none" w:sz="0" w:space="0" w:color="auto"/>
            <w:bottom w:val="single" w:sz="18" w:space="0" w:color="000000"/>
            <w:right w:val="none" w:sz="0" w:space="0" w:color="auto"/>
          </w:divBdr>
          <w:divsChild>
            <w:div w:id="553126187">
              <w:marLeft w:val="0"/>
              <w:marRight w:val="0"/>
              <w:marTop w:val="0"/>
              <w:marBottom w:val="0"/>
              <w:divBdr>
                <w:top w:val="none" w:sz="0" w:space="0" w:color="auto"/>
                <w:left w:val="none" w:sz="0" w:space="0" w:color="auto"/>
                <w:bottom w:val="none" w:sz="0" w:space="0" w:color="auto"/>
                <w:right w:val="none" w:sz="0" w:space="0" w:color="auto"/>
              </w:divBdr>
              <w:divsChild>
                <w:div w:id="49696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708430">
      <w:bodyDiv w:val="1"/>
      <w:marLeft w:val="0"/>
      <w:marRight w:val="0"/>
      <w:marTop w:val="0"/>
      <w:marBottom w:val="0"/>
      <w:divBdr>
        <w:top w:val="none" w:sz="0" w:space="0" w:color="auto"/>
        <w:left w:val="none" w:sz="0" w:space="0" w:color="auto"/>
        <w:bottom w:val="none" w:sz="0" w:space="0" w:color="auto"/>
        <w:right w:val="none" w:sz="0" w:space="0" w:color="auto"/>
      </w:divBdr>
      <w:divsChild>
        <w:div w:id="108623249">
          <w:marLeft w:val="0"/>
          <w:marRight w:val="0"/>
          <w:marTop w:val="0"/>
          <w:marBottom w:val="0"/>
          <w:divBdr>
            <w:top w:val="none" w:sz="0" w:space="0" w:color="auto"/>
            <w:left w:val="none" w:sz="0" w:space="0" w:color="auto"/>
            <w:bottom w:val="none" w:sz="0" w:space="0" w:color="auto"/>
            <w:right w:val="none" w:sz="0" w:space="0" w:color="auto"/>
          </w:divBdr>
          <w:divsChild>
            <w:div w:id="1849179254">
              <w:marLeft w:val="0"/>
              <w:marRight w:val="0"/>
              <w:marTop w:val="0"/>
              <w:marBottom w:val="0"/>
              <w:divBdr>
                <w:top w:val="none" w:sz="0" w:space="0" w:color="auto"/>
                <w:left w:val="none" w:sz="0" w:space="0" w:color="auto"/>
                <w:bottom w:val="none" w:sz="0" w:space="0" w:color="auto"/>
                <w:right w:val="none" w:sz="0" w:space="0" w:color="auto"/>
              </w:divBdr>
              <w:divsChild>
                <w:div w:id="1173450145">
                  <w:marLeft w:val="0"/>
                  <w:marRight w:val="0"/>
                  <w:marTop w:val="0"/>
                  <w:marBottom w:val="0"/>
                  <w:divBdr>
                    <w:top w:val="none" w:sz="0" w:space="0" w:color="auto"/>
                    <w:left w:val="none" w:sz="0" w:space="0" w:color="auto"/>
                    <w:bottom w:val="none" w:sz="0" w:space="0" w:color="auto"/>
                    <w:right w:val="none" w:sz="0" w:space="0" w:color="auto"/>
                  </w:divBdr>
                  <w:divsChild>
                    <w:div w:id="322005862">
                      <w:marLeft w:val="0"/>
                      <w:marRight w:val="0"/>
                      <w:marTop w:val="0"/>
                      <w:marBottom w:val="0"/>
                      <w:divBdr>
                        <w:top w:val="none" w:sz="0" w:space="0" w:color="auto"/>
                        <w:left w:val="none" w:sz="0" w:space="0" w:color="auto"/>
                        <w:bottom w:val="none" w:sz="0" w:space="0" w:color="auto"/>
                        <w:right w:val="none" w:sz="0" w:space="0" w:color="auto"/>
                      </w:divBdr>
                      <w:divsChild>
                        <w:div w:id="1944265394">
                          <w:marLeft w:val="0"/>
                          <w:marRight w:val="0"/>
                          <w:marTop w:val="0"/>
                          <w:marBottom w:val="0"/>
                          <w:divBdr>
                            <w:top w:val="none" w:sz="0" w:space="0" w:color="auto"/>
                            <w:left w:val="none" w:sz="0" w:space="0" w:color="auto"/>
                            <w:bottom w:val="none" w:sz="0" w:space="0" w:color="auto"/>
                            <w:right w:val="none" w:sz="0" w:space="0" w:color="auto"/>
                          </w:divBdr>
                          <w:divsChild>
                            <w:div w:id="1289359621">
                              <w:marLeft w:val="0"/>
                              <w:marRight w:val="0"/>
                              <w:marTop w:val="0"/>
                              <w:marBottom w:val="0"/>
                              <w:divBdr>
                                <w:top w:val="none" w:sz="0" w:space="0" w:color="auto"/>
                                <w:left w:val="none" w:sz="0" w:space="0" w:color="auto"/>
                                <w:bottom w:val="none" w:sz="0" w:space="0" w:color="auto"/>
                                <w:right w:val="none" w:sz="0" w:space="0" w:color="auto"/>
                              </w:divBdr>
                              <w:divsChild>
                                <w:div w:id="305472263">
                                  <w:marLeft w:val="0"/>
                                  <w:marRight w:val="0"/>
                                  <w:marTop w:val="0"/>
                                  <w:marBottom w:val="0"/>
                                  <w:divBdr>
                                    <w:top w:val="none" w:sz="0" w:space="0" w:color="auto"/>
                                    <w:left w:val="none" w:sz="0" w:space="0" w:color="auto"/>
                                    <w:bottom w:val="none" w:sz="0" w:space="0" w:color="auto"/>
                                    <w:right w:val="none" w:sz="0" w:space="0" w:color="auto"/>
                                  </w:divBdr>
                                  <w:divsChild>
                                    <w:div w:id="803085154">
                                      <w:marLeft w:val="0"/>
                                      <w:marRight w:val="0"/>
                                      <w:marTop w:val="0"/>
                                      <w:marBottom w:val="0"/>
                                      <w:divBdr>
                                        <w:top w:val="none" w:sz="0" w:space="0" w:color="auto"/>
                                        <w:left w:val="none" w:sz="0" w:space="0" w:color="auto"/>
                                        <w:bottom w:val="none" w:sz="0" w:space="0" w:color="auto"/>
                                        <w:right w:val="none" w:sz="0" w:space="0" w:color="auto"/>
                                      </w:divBdr>
                                      <w:divsChild>
                                        <w:div w:id="77163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8949405">
      <w:bodyDiv w:val="1"/>
      <w:marLeft w:val="0"/>
      <w:marRight w:val="0"/>
      <w:marTop w:val="0"/>
      <w:marBottom w:val="0"/>
      <w:divBdr>
        <w:top w:val="none" w:sz="0" w:space="0" w:color="auto"/>
        <w:left w:val="none" w:sz="0" w:space="0" w:color="auto"/>
        <w:bottom w:val="none" w:sz="0" w:space="0" w:color="auto"/>
        <w:right w:val="none" w:sz="0" w:space="0" w:color="auto"/>
      </w:divBdr>
      <w:divsChild>
        <w:div w:id="203061536">
          <w:marLeft w:val="0"/>
          <w:marRight w:val="0"/>
          <w:marTop w:val="0"/>
          <w:marBottom w:val="0"/>
          <w:divBdr>
            <w:top w:val="none" w:sz="0" w:space="0" w:color="auto"/>
            <w:left w:val="none" w:sz="0" w:space="0" w:color="auto"/>
            <w:bottom w:val="none" w:sz="0" w:space="0" w:color="auto"/>
            <w:right w:val="none" w:sz="0" w:space="0" w:color="auto"/>
          </w:divBdr>
          <w:divsChild>
            <w:div w:id="1898735754">
              <w:marLeft w:val="0"/>
              <w:marRight w:val="0"/>
              <w:marTop w:val="0"/>
              <w:marBottom w:val="0"/>
              <w:divBdr>
                <w:top w:val="none" w:sz="0" w:space="0" w:color="auto"/>
                <w:left w:val="none" w:sz="0" w:space="0" w:color="auto"/>
                <w:bottom w:val="none" w:sz="0" w:space="0" w:color="auto"/>
                <w:right w:val="none" w:sz="0" w:space="0" w:color="auto"/>
              </w:divBdr>
              <w:divsChild>
                <w:div w:id="812065340">
                  <w:marLeft w:val="0"/>
                  <w:marRight w:val="0"/>
                  <w:marTop w:val="0"/>
                  <w:marBottom w:val="150"/>
                  <w:divBdr>
                    <w:top w:val="none" w:sz="0" w:space="0" w:color="auto"/>
                    <w:left w:val="none" w:sz="0" w:space="0" w:color="auto"/>
                    <w:bottom w:val="none" w:sz="0" w:space="0" w:color="auto"/>
                    <w:right w:val="none" w:sz="0" w:space="0" w:color="auto"/>
                  </w:divBdr>
                  <w:divsChild>
                    <w:div w:id="2085057639">
                      <w:marLeft w:val="0"/>
                      <w:marRight w:val="0"/>
                      <w:marTop w:val="0"/>
                      <w:marBottom w:val="0"/>
                      <w:divBdr>
                        <w:top w:val="none" w:sz="0" w:space="0" w:color="auto"/>
                        <w:left w:val="none" w:sz="0" w:space="0" w:color="auto"/>
                        <w:bottom w:val="none" w:sz="0" w:space="0" w:color="auto"/>
                        <w:right w:val="none" w:sz="0" w:space="0" w:color="auto"/>
                      </w:divBdr>
                      <w:divsChild>
                        <w:div w:id="1535270425">
                          <w:marLeft w:val="0"/>
                          <w:marRight w:val="0"/>
                          <w:marTop w:val="0"/>
                          <w:marBottom w:val="0"/>
                          <w:divBdr>
                            <w:top w:val="none" w:sz="0" w:space="0" w:color="auto"/>
                            <w:left w:val="none" w:sz="0" w:space="0" w:color="auto"/>
                            <w:bottom w:val="none" w:sz="0" w:space="0" w:color="auto"/>
                            <w:right w:val="none" w:sz="0" w:space="0" w:color="auto"/>
                          </w:divBdr>
                          <w:divsChild>
                            <w:div w:id="396633964">
                              <w:marLeft w:val="0"/>
                              <w:marRight w:val="0"/>
                              <w:marTop w:val="0"/>
                              <w:marBottom w:val="0"/>
                              <w:divBdr>
                                <w:top w:val="none" w:sz="0" w:space="0" w:color="auto"/>
                                <w:left w:val="none" w:sz="0" w:space="0" w:color="auto"/>
                                <w:bottom w:val="none" w:sz="0" w:space="0" w:color="auto"/>
                                <w:right w:val="none" w:sz="0" w:space="0" w:color="auto"/>
                              </w:divBdr>
                              <w:divsChild>
                                <w:div w:id="609629749">
                                  <w:marLeft w:val="0"/>
                                  <w:marRight w:val="0"/>
                                  <w:marTop w:val="0"/>
                                  <w:marBottom w:val="0"/>
                                  <w:divBdr>
                                    <w:top w:val="none" w:sz="0" w:space="0" w:color="auto"/>
                                    <w:left w:val="none" w:sz="0" w:space="0" w:color="auto"/>
                                    <w:bottom w:val="none" w:sz="0" w:space="0" w:color="auto"/>
                                    <w:right w:val="none" w:sz="0" w:space="0" w:color="auto"/>
                                  </w:divBdr>
                                  <w:divsChild>
                                    <w:div w:id="1955750242">
                                      <w:marLeft w:val="0"/>
                                      <w:marRight w:val="0"/>
                                      <w:marTop w:val="0"/>
                                      <w:marBottom w:val="0"/>
                                      <w:divBdr>
                                        <w:top w:val="none" w:sz="0" w:space="0" w:color="auto"/>
                                        <w:left w:val="none" w:sz="0" w:space="0" w:color="auto"/>
                                        <w:bottom w:val="none" w:sz="0" w:space="0" w:color="auto"/>
                                        <w:right w:val="none" w:sz="0" w:space="0" w:color="auto"/>
                                      </w:divBdr>
                                      <w:divsChild>
                                        <w:div w:id="797335909">
                                          <w:marLeft w:val="0"/>
                                          <w:marRight w:val="0"/>
                                          <w:marTop w:val="0"/>
                                          <w:marBottom w:val="0"/>
                                          <w:divBdr>
                                            <w:top w:val="none" w:sz="0" w:space="0" w:color="auto"/>
                                            <w:left w:val="none" w:sz="0" w:space="0" w:color="auto"/>
                                            <w:bottom w:val="none" w:sz="0" w:space="0" w:color="auto"/>
                                            <w:right w:val="none" w:sz="0" w:space="0" w:color="auto"/>
                                          </w:divBdr>
                                          <w:divsChild>
                                            <w:div w:id="1267032559">
                                              <w:marLeft w:val="0"/>
                                              <w:marRight w:val="0"/>
                                              <w:marTop w:val="0"/>
                                              <w:marBottom w:val="0"/>
                                              <w:divBdr>
                                                <w:top w:val="none" w:sz="0" w:space="0" w:color="auto"/>
                                                <w:left w:val="none" w:sz="0" w:space="0" w:color="auto"/>
                                                <w:bottom w:val="none" w:sz="0" w:space="0" w:color="auto"/>
                                                <w:right w:val="none" w:sz="0" w:space="0" w:color="auto"/>
                                              </w:divBdr>
                                              <w:divsChild>
                                                <w:div w:id="90572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9216196">
      <w:bodyDiv w:val="1"/>
      <w:marLeft w:val="0"/>
      <w:marRight w:val="0"/>
      <w:marTop w:val="0"/>
      <w:marBottom w:val="0"/>
      <w:divBdr>
        <w:top w:val="none" w:sz="0" w:space="0" w:color="auto"/>
        <w:left w:val="none" w:sz="0" w:space="0" w:color="auto"/>
        <w:bottom w:val="none" w:sz="0" w:space="0" w:color="auto"/>
        <w:right w:val="none" w:sz="0" w:space="0" w:color="auto"/>
      </w:divBdr>
      <w:divsChild>
        <w:div w:id="763838227">
          <w:marLeft w:val="0"/>
          <w:marRight w:val="0"/>
          <w:marTop w:val="0"/>
          <w:marBottom w:val="0"/>
          <w:divBdr>
            <w:top w:val="none" w:sz="0" w:space="0" w:color="auto"/>
            <w:left w:val="none" w:sz="0" w:space="0" w:color="auto"/>
            <w:bottom w:val="none" w:sz="0" w:space="0" w:color="auto"/>
            <w:right w:val="none" w:sz="0" w:space="0" w:color="auto"/>
          </w:divBdr>
          <w:divsChild>
            <w:div w:id="506791364">
              <w:marLeft w:val="0"/>
              <w:marRight w:val="0"/>
              <w:marTop w:val="225"/>
              <w:marBottom w:val="225"/>
              <w:divBdr>
                <w:top w:val="none" w:sz="0" w:space="0" w:color="auto"/>
                <w:left w:val="none" w:sz="0" w:space="0" w:color="auto"/>
                <w:bottom w:val="none" w:sz="0" w:space="0" w:color="auto"/>
                <w:right w:val="none" w:sz="0" w:space="0" w:color="auto"/>
              </w:divBdr>
            </w:div>
          </w:divsChild>
        </w:div>
        <w:div w:id="824785338">
          <w:marLeft w:val="0"/>
          <w:marRight w:val="0"/>
          <w:marTop w:val="0"/>
          <w:marBottom w:val="150"/>
          <w:divBdr>
            <w:top w:val="none" w:sz="0" w:space="0" w:color="auto"/>
            <w:left w:val="none" w:sz="0" w:space="0" w:color="auto"/>
            <w:bottom w:val="none" w:sz="0" w:space="0" w:color="auto"/>
            <w:right w:val="none" w:sz="0" w:space="0" w:color="auto"/>
          </w:divBdr>
        </w:div>
        <w:div w:id="967011554">
          <w:marLeft w:val="0"/>
          <w:marRight w:val="0"/>
          <w:marTop w:val="0"/>
          <w:marBottom w:val="150"/>
          <w:divBdr>
            <w:top w:val="none" w:sz="0" w:space="0" w:color="auto"/>
            <w:left w:val="none" w:sz="0" w:space="0" w:color="auto"/>
            <w:bottom w:val="none" w:sz="0" w:space="0" w:color="auto"/>
            <w:right w:val="none" w:sz="0" w:space="0" w:color="auto"/>
          </w:divBdr>
          <w:divsChild>
            <w:div w:id="18089632">
              <w:marLeft w:val="0"/>
              <w:marRight w:val="0"/>
              <w:marTop w:val="0"/>
              <w:marBottom w:val="0"/>
              <w:divBdr>
                <w:top w:val="none" w:sz="0" w:space="0" w:color="auto"/>
                <w:left w:val="none" w:sz="0" w:space="0" w:color="auto"/>
                <w:bottom w:val="none" w:sz="0" w:space="0" w:color="auto"/>
                <w:right w:val="none" w:sz="0" w:space="0" w:color="auto"/>
              </w:divBdr>
              <w:divsChild>
                <w:div w:id="130705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557402">
      <w:bodyDiv w:val="1"/>
      <w:marLeft w:val="0"/>
      <w:marRight w:val="0"/>
      <w:marTop w:val="0"/>
      <w:marBottom w:val="0"/>
      <w:divBdr>
        <w:top w:val="none" w:sz="0" w:space="0" w:color="auto"/>
        <w:left w:val="none" w:sz="0" w:space="0" w:color="auto"/>
        <w:bottom w:val="none" w:sz="0" w:space="0" w:color="auto"/>
        <w:right w:val="none" w:sz="0" w:space="0" w:color="auto"/>
      </w:divBdr>
      <w:divsChild>
        <w:div w:id="1988588251">
          <w:marLeft w:val="0"/>
          <w:marRight w:val="0"/>
          <w:marTop w:val="0"/>
          <w:marBottom w:val="0"/>
          <w:divBdr>
            <w:top w:val="none" w:sz="0" w:space="0" w:color="auto"/>
            <w:left w:val="none" w:sz="0" w:space="0" w:color="auto"/>
            <w:bottom w:val="none" w:sz="0" w:space="0" w:color="auto"/>
            <w:right w:val="none" w:sz="0" w:space="0" w:color="auto"/>
          </w:divBdr>
        </w:div>
      </w:divsChild>
    </w:div>
    <w:div w:id="1599632557">
      <w:bodyDiv w:val="1"/>
      <w:marLeft w:val="0"/>
      <w:marRight w:val="0"/>
      <w:marTop w:val="0"/>
      <w:marBottom w:val="0"/>
      <w:divBdr>
        <w:top w:val="none" w:sz="0" w:space="0" w:color="auto"/>
        <w:left w:val="none" w:sz="0" w:space="0" w:color="auto"/>
        <w:bottom w:val="none" w:sz="0" w:space="0" w:color="auto"/>
        <w:right w:val="none" w:sz="0" w:space="0" w:color="auto"/>
      </w:divBdr>
      <w:divsChild>
        <w:div w:id="954406742">
          <w:marLeft w:val="0"/>
          <w:marRight w:val="0"/>
          <w:marTop w:val="0"/>
          <w:marBottom w:val="0"/>
          <w:divBdr>
            <w:top w:val="none" w:sz="0" w:space="0" w:color="auto"/>
            <w:left w:val="none" w:sz="0" w:space="0" w:color="auto"/>
            <w:bottom w:val="none" w:sz="0" w:space="0" w:color="auto"/>
            <w:right w:val="none" w:sz="0" w:space="0" w:color="auto"/>
          </w:divBdr>
          <w:divsChild>
            <w:div w:id="144662373">
              <w:marLeft w:val="0"/>
              <w:marRight w:val="0"/>
              <w:marTop w:val="0"/>
              <w:marBottom w:val="0"/>
              <w:divBdr>
                <w:top w:val="none" w:sz="0" w:space="0" w:color="auto"/>
                <w:left w:val="none" w:sz="0" w:space="0" w:color="auto"/>
                <w:bottom w:val="none" w:sz="0" w:space="0" w:color="auto"/>
                <w:right w:val="none" w:sz="0" w:space="0" w:color="auto"/>
              </w:divBdr>
            </w:div>
          </w:divsChild>
        </w:div>
        <w:div w:id="1270967600">
          <w:marLeft w:val="0"/>
          <w:marRight w:val="0"/>
          <w:marTop w:val="0"/>
          <w:marBottom w:val="150"/>
          <w:divBdr>
            <w:top w:val="none" w:sz="0" w:space="0" w:color="auto"/>
            <w:left w:val="none" w:sz="0" w:space="0" w:color="auto"/>
            <w:bottom w:val="none" w:sz="0" w:space="0" w:color="auto"/>
            <w:right w:val="none" w:sz="0" w:space="0" w:color="auto"/>
          </w:divBdr>
          <w:divsChild>
            <w:div w:id="1537699770">
              <w:marLeft w:val="0"/>
              <w:marRight w:val="0"/>
              <w:marTop w:val="0"/>
              <w:marBottom w:val="0"/>
              <w:divBdr>
                <w:top w:val="none" w:sz="0" w:space="0" w:color="auto"/>
                <w:left w:val="none" w:sz="0" w:space="0" w:color="auto"/>
                <w:bottom w:val="none" w:sz="0" w:space="0" w:color="auto"/>
                <w:right w:val="none" w:sz="0" w:space="0" w:color="auto"/>
              </w:divBdr>
            </w:div>
          </w:divsChild>
        </w:div>
        <w:div w:id="2110150987">
          <w:marLeft w:val="0"/>
          <w:marRight w:val="0"/>
          <w:marTop w:val="0"/>
          <w:marBottom w:val="150"/>
          <w:divBdr>
            <w:top w:val="none" w:sz="0" w:space="0" w:color="auto"/>
            <w:left w:val="none" w:sz="0" w:space="0" w:color="auto"/>
            <w:bottom w:val="none" w:sz="0" w:space="0" w:color="auto"/>
            <w:right w:val="none" w:sz="0" w:space="0" w:color="auto"/>
          </w:divBdr>
        </w:div>
      </w:divsChild>
    </w:div>
    <w:div w:id="1599756437">
      <w:bodyDiv w:val="1"/>
      <w:marLeft w:val="0"/>
      <w:marRight w:val="0"/>
      <w:marTop w:val="0"/>
      <w:marBottom w:val="0"/>
      <w:divBdr>
        <w:top w:val="none" w:sz="0" w:space="0" w:color="auto"/>
        <w:left w:val="none" w:sz="0" w:space="0" w:color="auto"/>
        <w:bottom w:val="none" w:sz="0" w:space="0" w:color="auto"/>
        <w:right w:val="none" w:sz="0" w:space="0" w:color="auto"/>
      </w:divBdr>
    </w:div>
    <w:div w:id="1599873685">
      <w:bodyDiv w:val="1"/>
      <w:marLeft w:val="0"/>
      <w:marRight w:val="0"/>
      <w:marTop w:val="0"/>
      <w:marBottom w:val="0"/>
      <w:divBdr>
        <w:top w:val="none" w:sz="0" w:space="0" w:color="auto"/>
        <w:left w:val="none" w:sz="0" w:space="0" w:color="auto"/>
        <w:bottom w:val="none" w:sz="0" w:space="0" w:color="auto"/>
        <w:right w:val="none" w:sz="0" w:space="0" w:color="auto"/>
      </w:divBdr>
    </w:div>
    <w:div w:id="1600218964">
      <w:bodyDiv w:val="1"/>
      <w:marLeft w:val="0"/>
      <w:marRight w:val="0"/>
      <w:marTop w:val="0"/>
      <w:marBottom w:val="0"/>
      <w:divBdr>
        <w:top w:val="none" w:sz="0" w:space="0" w:color="auto"/>
        <w:left w:val="none" w:sz="0" w:space="0" w:color="auto"/>
        <w:bottom w:val="none" w:sz="0" w:space="0" w:color="auto"/>
        <w:right w:val="none" w:sz="0" w:space="0" w:color="auto"/>
      </w:divBdr>
      <w:divsChild>
        <w:div w:id="1886328059">
          <w:marLeft w:val="0"/>
          <w:marRight w:val="0"/>
          <w:marTop w:val="0"/>
          <w:marBottom w:val="150"/>
          <w:divBdr>
            <w:top w:val="none" w:sz="0" w:space="0" w:color="auto"/>
            <w:left w:val="none" w:sz="0" w:space="0" w:color="auto"/>
            <w:bottom w:val="none" w:sz="0" w:space="0" w:color="auto"/>
            <w:right w:val="none" w:sz="0" w:space="0" w:color="auto"/>
          </w:divBdr>
        </w:div>
      </w:divsChild>
    </w:div>
    <w:div w:id="1600328485">
      <w:bodyDiv w:val="1"/>
      <w:marLeft w:val="0"/>
      <w:marRight w:val="0"/>
      <w:marTop w:val="0"/>
      <w:marBottom w:val="0"/>
      <w:divBdr>
        <w:top w:val="none" w:sz="0" w:space="0" w:color="auto"/>
        <w:left w:val="none" w:sz="0" w:space="0" w:color="auto"/>
        <w:bottom w:val="none" w:sz="0" w:space="0" w:color="auto"/>
        <w:right w:val="none" w:sz="0" w:space="0" w:color="auto"/>
      </w:divBdr>
      <w:divsChild>
        <w:div w:id="675426132">
          <w:marLeft w:val="0"/>
          <w:marRight w:val="0"/>
          <w:marTop w:val="0"/>
          <w:marBottom w:val="0"/>
          <w:divBdr>
            <w:top w:val="none" w:sz="0" w:space="8" w:color="auto"/>
            <w:left w:val="none" w:sz="0" w:space="2" w:color="auto"/>
            <w:bottom w:val="single" w:sz="6" w:space="8" w:color="DDDDDD"/>
            <w:right w:val="none" w:sz="0" w:space="0" w:color="auto"/>
          </w:divBdr>
        </w:div>
        <w:div w:id="1368214676">
          <w:marLeft w:val="0"/>
          <w:marRight w:val="0"/>
          <w:marTop w:val="150"/>
          <w:marBottom w:val="0"/>
          <w:divBdr>
            <w:top w:val="none" w:sz="0" w:space="0" w:color="auto"/>
            <w:left w:val="none" w:sz="0" w:space="0" w:color="auto"/>
            <w:bottom w:val="none" w:sz="0" w:space="0" w:color="auto"/>
            <w:right w:val="none" w:sz="0" w:space="0" w:color="auto"/>
          </w:divBdr>
          <w:divsChild>
            <w:div w:id="74961741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01722792">
      <w:bodyDiv w:val="1"/>
      <w:marLeft w:val="0"/>
      <w:marRight w:val="0"/>
      <w:marTop w:val="0"/>
      <w:marBottom w:val="0"/>
      <w:divBdr>
        <w:top w:val="none" w:sz="0" w:space="0" w:color="auto"/>
        <w:left w:val="none" w:sz="0" w:space="0" w:color="auto"/>
        <w:bottom w:val="none" w:sz="0" w:space="0" w:color="auto"/>
        <w:right w:val="none" w:sz="0" w:space="0" w:color="auto"/>
      </w:divBdr>
      <w:divsChild>
        <w:div w:id="317463806">
          <w:marLeft w:val="0"/>
          <w:marRight w:val="0"/>
          <w:marTop w:val="0"/>
          <w:marBottom w:val="0"/>
          <w:divBdr>
            <w:top w:val="none" w:sz="0" w:space="0" w:color="auto"/>
            <w:left w:val="none" w:sz="0" w:space="0" w:color="auto"/>
            <w:bottom w:val="none" w:sz="0" w:space="0" w:color="auto"/>
            <w:right w:val="none" w:sz="0" w:space="0" w:color="auto"/>
          </w:divBdr>
          <w:divsChild>
            <w:div w:id="105320469">
              <w:marLeft w:val="0"/>
              <w:marRight w:val="0"/>
              <w:marTop w:val="225"/>
              <w:marBottom w:val="225"/>
              <w:divBdr>
                <w:top w:val="none" w:sz="0" w:space="0" w:color="auto"/>
                <w:left w:val="none" w:sz="0" w:space="0" w:color="auto"/>
                <w:bottom w:val="none" w:sz="0" w:space="0" w:color="auto"/>
                <w:right w:val="none" w:sz="0" w:space="0" w:color="auto"/>
              </w:divBdr>
            </w:div>
          </w:divsChild>
        </w:div>
        <w:div w:id="950088803">
          <w:marLeft w:val="0"/>
          <w:marRight w:val="0"/>
          <w:marTop w:val="0"/>
          <w:marBottom w:val="150"/>
          <w:divBdr>
            <w:top w:val="none" w:sz="0" w:space="0" w:color="auto"/>
            <w:left w:val="none" w:sz="0" w:space="0" w:color="auto"/>
            <w:bottom w:val="none" w:sz="0" w:space="0" w:color="auto"/>
            <w:right w:val="none" w:sz="0" w:space="0" w:color="auto"/>
          </w:divBdr>
          <w:divsChild>
            <w:div w:id="1523009419">
              <w:marLeft w:val="0"/>
              <w:marRight w:val="0"/>
              <w:marTop w:val="0"/>
              <w:marBottom w:val="0"/>
              <w:divBdr>
                <w:top w:val="none" w:sz="0" w:space="0" w:color="auto"/>
                <w:left w:val="none" w:sz="0" w:space="0" w:color="auto"/>
                <w:bottom w:val="none" w:sz="0" w:space="0" w:color="auto"/>
                <w:right w:val="none" w:sz="0" w:space="0" w:color="auto"/>
              </w:divBdr>
              <w:divsChild>
                <w:div w:id="57844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90294">
          <w:marLeft w:val="0"/>
          <w:marRight w:val="0"/>
          <w:marTop w:val="0"/>
          <w:marBottom w:val="150"/>
          <w:divBdr>
            <w:top w:val="none" w:sz="0" w:space="0" w:color="auto"/>
            <w:left w:val="none" w:sz="0" w:space="0" w:color="auto"/>
            <w:bottom w:val="none" w:sz="0" w:space="0" w:color="auto"/>
            <w:right w:val="none" w:sz="0" w:space="0" w:color="auto"/>
          </w:divBdr>
        </w:div>
      </w:divsChild>
    </w:div>
    <w:div w:id="1601984621">
      <w:bodyDiv w:val="1"/>
      <w:marLeft w:val="0"/>
      <w:marRight w:val="0"/>
      <w:marTop w:val="0"/>
      <w:marBottom w:val="0"/>
      <w:divBdr>
        <w:top w:val="none" w:sz="0" w:space="0" w:color="auto"/>
        <w:left w:val="none" w:sz="0" w:space="0" w:color="auto"/>
        <w:bottom w:val="none" w:sz="0" w:space="0" w:color="auto"/>
        <w:right w:val="none" w:sz="0" w:space="0" w:color="auto"/>
      </w:divBdr>
    </w:div>
    <w:div w:id="1602109622">
      <w:bodyDiv w:val="1"/>
      <w:marLeft w:val="0"/>
      <w:marRight w:val="0"/>
      <w:marTop w:val="0"/>
      <w:marBottom w:val="0"/>
      <w:divBdr>
        <w:top w:val="none" w:sz="0" w:space="0" w:color="auto"/>
        <w:left w:val="none" w:sz="0" w:space="0" w:color="auto"/>
        <w:bottom w:val="none" w:sz="0" w:space="0" w:color="auto"/>
        <w:right w:val="none" w:sz="0" w:space="0" w:color="auto"/>
      </w:divBdr>
    </w:div>
    <w:div w:id="1602375148">
      <w:bodyDiv w:val="1"/>
      <w:marLeft w:val="0"/>
      <w:marRight w:val="0"/>
      <w:marTop w:val="0"/>
      <w:marBottom w:val="0"/>
      <w:divBdr>
        <w:top w:val="none" w:sz="0" w:space="0" w:color="auto"/>
        <w:left w:val="none" w:sz="0" w:space="0" w:color="auto"/>
        <w:bottom w:val="none" w:sz="0" w:space="0" w:color="auto"/>
        <w:right w:val="none" w:sz="0" w:space="0" w:color="auto"/>
      </w:divBdr>
      <w:divsChild>
        <w:div w:id="1945646960">
          <w:marLeft w:val="0"/>
          <w:marRight w:val="0"/>
          <w:marTop w:val="0"/>
          <w:marBottom w:val="0"/>
          <w:divBdr>
            <w:top w:val="none" w:sz="0" w:space="0" w:color="auto"/>
            <w:left w:val="none" w:sz="0" w:space="0" w:color="auto"/>
            <w:bottom w:val="none" w:sz="0" w:space="0" w:color="auto"/>
            <w:right w:val="none" w:sz="0" w:space="0" w:color="auto"/>
          </w:divBdr>
          <w:divsChild>
            <w:div w:id="2095545753">
              <w:marLeft w:val="0"/>
              <w:marRight w:val="0"/>
              <w:marTop w:val="0"/>
              <w:marBottom w:val="0"/>
              <w:divBdr>
                <w:top w:val="none" w:sz="0" w:space="0" w:color="auto"/>
                <w:left w:val="none" w:sz="0" w:space="0" w:color="auto"/>
                <w:bottom w:val="none" w:sz="0" w:space="0" w:color="auto"/>
                <w:right w:val="none" w:sz="0" w:space="0" w:color="auto"/>
              </w:divBdr>
              <w:divsChild>
                <w:div w:id="864639653">
                  <w:marLeft w:val="0"/>
                  <w:marRight w:val="0"/>
                  <w:marTop w:val="0"/>
                  <w:marBottom w:val="0"/>
                  <w:divBdr>
                    <w:top w:val="none" w:sz="0" w:space="0" w:color="auto"/>
                    <w:left w:val="none" w:sz="0" w:space="0" w:color="auto"/>
                    <w:bottom w:val="none" w:sz="0" w:space="0" w:color="auto"/>
                    <w:right w:val="none" w:sz="0" w:space="0" w:color="auto"/>
                  </w:divBdr>
                  <w:divsChild>
                    <w:div w:id="408507202">
                      <w:marLeft w:val="0"/>
                      <w:marRight w:val="0"/>
                      <w:marTop w:val="0"/>
                      <w:marBottom w:val="0"/>
                      <w:divBdr>
                        <w:top w:val="none" w:sz="0" w:space="0" w:color="auto"/>
                        <w:left w:val="none" w:sz="0" w:space="0" w:color="auto"/>
                        <w:bottom w:val="none" w:sz="0" w:space="0" w:color="auto"/>
                        <w:right w:val="none" w:sz="0" w:space="0" w:color="auto"/>
                      </w:divBdr>
                      <w:divsChild>
                        <w:div w:id="15274716">
                          <w:marLeft w:val="0"/>
                          <w:marRight w:val="0"/>
                          <w:marTop w:val="0"/>
                          <w:marBottom w:val="0"/>
                          <w:divBdr>
                            <w:top w:val="none" w:sz="0" w:space="0" w:color="auto"/>
                            <w:left w:val="none" w:sz="0" w:space="0" w:color="auto"/>
                            <w:bottom w:val="none" w:sz="0" w:space="0" w:color="auto"/>
                            <w:right w:val="none" w:sz="0" w:space="0" w:color="auto"/>
                          </w:divBdr>
                          <w:divsChild>
                            <w:div w:id="1364674775">
                              <w:marLeft w:val="0"/>
                              <w:marRight w:val="0"/>
                              <w:marTop w:val="0"/>
                              <w:marBottom w:val="0"/>
                              <w:divBdr>
                                <w:top w:val="none" w:sz="0" w:space="0" w:color="auto"/>
                                <w:left w:val="none" w:sz="0" w:space="0" w:color="auto"/>
                                <w:bottom w:val="none" w:sz="0" w:space="0" w:color="auto"/>
                                <w:right w:val="none" w:sz="0" w:space="0" w:color="auto"/>
                              </w:divBdr>
                              <w:divsChild>
                                <w:div w:id="91574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2683593">
      <w:bodyDiv w:val="1"/>
      <w:marLeft w:val="0"/>
      <w:marRight w:val="0"/>
      <w:marTop w:val="0"/>
      <w:marBottom w:val="0"/>
      <w:divBdr>
        <w:top w:val="none" w:sz="0" w:space="0" w:color="auto"/>
        <w:left w:val="none" w:sz="0" w:space="0" w:color="auto"/>
        <w:bottom w:val="none" w:sz="0" w:space="0" w:color="auto"/>
        <w:right w:val="none" w:sz="0" w:space="0" w:color="auto"/>
      </w:divBdr>
      <w:divsChild>
        <w:div w:id="1446534240">
          <w:marLeft w:val="0"/>
          <w:marRight w:val="0"/>
          <w:marTop w:val="0"/>
          <w:marBottom w:val="0"/>
          <w:divBdr>
            <w:top w:val="none" w:sz="0" w:space="0" w:color="auto"/>
            <w:left w:val="none" w:sz="0" w:space="0" w:color="auto"/>
            <w:bottom w:val="dotted" w:sz="6" w:space="4" w:color="DDDDDD"/>
            <w:right w:val="none" w:sz="0" w:space="0" w:color="auto"/>
          </w:divBdr>
          <w:divsChild>
            <w:div w:id="212881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953762">
      <w:bodyDiv w:val="1"/>
      <w:marLeft w:val="0"/>
      <w:marRight w:val="0"/>
      <w:marTop w:val="0"/>
      <w:marBottom w:val="0"/>
      <w:divBdr>
        <w:top w:val="none" w:sz="0" w:space="0" w:color="auto"/>
        <w:left w:val="none" w:sz="0" w:space="0" w:color="auto"/>
        <w:bottom w:val="none" w:sz="0" w:space="0" w:color="auto"/>
        <w:right w:val="none" w:sz="0" w:space="0" w:color="auto"/>
      </w:divBdr>
      <w:divsChild>
        <w:div w:id="683819869">
          <w:marLeft w:val="0"/>
          <w:marRight w:val="0"/>
          <w:marTop w:val="0"/>
          <w:marBottom w:val="0"/>
          <w:divBdr>
            <w:top w:val="none" w:sz="0" w:space="0" w:color="auto"/>
            <w:left w:val="none" w:sz="0" w:space="0" w:color="auto"/>
            <w:bottom w:val="none" w:sz="0" w:space="0" w:color="auto"/>
            <w:right w:val="none" w:sz="0" w:space="0" w:color="auto"/>
          </w:divBdr>
          <w:divsChild>
            <w:div w:id="1501191332">
              <w:marLeft w:val="0"/>
              <w:marRight w:val="0"/>
              <w:marTop w:val="0"/>
              <w:marBottom w:val="0"/>
              <w:divBdr>
                <w:top w:val="none" w:sz="0" w:space="0" w:color="auto"/>
                <w:left w:val="none" w:sz="0" w:space="0" w:color="auto"/>
                <w:bottom w:val="none" w:sz="0" w:space="0" w:color="auto"/>
                <w:right w:val="none" w:sz="0" w:space="0" w:color="auto"/>
              </w:divBdr>
              <w:divsChild>
                <w:div w:id="1789541783">
                  <w:marLeft w:val="0"/>
                  <w:marRight w:val="0"/>
                  <w:marTop w:val="0"/>
                  <w:marBottom w:val="0"/>
                  <w:divBdr>
                    <w:top w:val="none" w:sz="0" w:space="0" w:color="auto"/>
                    <w:left w:val="none" w:sz="0" w:space="0" w:color="auto"/>
                    <w:bottom w:val="none" w:sz="0" w:space="0" w:color="auto"/>
                    <w:right w:val="none" w:sz="0" w:space="0" w:color="auto"/>
                  </w:divBdr>
                  <w:divsChild>
                    <w:div w:id="262884667">
                      <w:marLeft w:val="0"/>
                      <w:marRight w:val="0"/>
                      <w:marTop w:val="0"/>
                      <w:marBottom w:val="0"/>
                      <w:divBdr>
                        <w:top w:val="none" w:sz="0" w:space="0" w:color="auto"/>
                        <w:left w:val="none" w:sz="0" w:space="0" w:color="auto"/>
                        <w:bottom w:val="none" w:sz="0" w:space="0" w:color="auto"/>
                        <w:right w:val="none" w:sz="0" w:space="0" w:color="auto"/>
                      </w:divBdr>
                      <w:divsChild>
                        <w:div w:id="1112894215">
                          <w:marLeft w:val="0"/>
                          <w:marRight w:val="0"/>
                          <w:marTop w:val="0"/>
                          <w:marBottom w:val="0"/>
                          <w:divBdr>
                            <w:top w:val="none" w:sz="0" w:space="0" w:color="auto"/>
                            <w:left w:val="none" w:sz="0" w:space="0" w:color="auto"/>
                            <w:bottom w:val="none" w:sz="0" w:space="0" w:color="auto"/>
                            <w:right w:val="none" w:sz="0" w:space="0" w:color="auto"/>
                          </w:divBdr>
                          <w:divsChild>
                            <w:div w:id="632832240">
                              <w:marLeft w:val="0"/>
                              <w:marRight w:val="0"/>
                              <w:marTop w:val="0"/>
                              <w:marBottom w:val="0"/>
                              <w:divBdr>
                                <w:top w:val="none" w:sz="0" w:space="0" w:color="auto"/>
                                <w:left w:val="none" w:sz="0" w:space="0" w:color="auto"/>
                                <w:bottom w:val="none" w:sz="0" w:space="0" w:color="auto"/>
                                <w:right w:val="none" w:sz="0" w:space="0" w:color="auto"/>
                              </w:divBdr>
                              <w:divsChild>
                                <w:div w:id="1744529383">
                                  <w:marLeft w:val="0"/>
                                  <w:marRight w:val="0"/>
                                  <w:marTop w:val="0"/>
                                  <w:marBottom w:val="0"/>
                                  <w:divBdr>
                                    <w:top w:val="none" w:sz="0" w:space="0" w:color="auto"/>
                                    <w:left w:val="none" w:sz="0" w:space="0" w:color="auto"/>
                                    <w:bottom w:val="none" w:sz="0" w:space="0" w:color="auto"/>
                                    <w:right w:val="none" w:sz="0" w:space="0" w:color="auto"/>
                                  </w:divBdr>
                                  <w:divsChild>
                                    <w:div w:id="263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537619">
      <w:bodyDiv w:val="1"/>
      <w:marLeft w:val="0"/>
      <w:marRight w:val="0"/>
      <w:marTop w:val="0"/>
      <w:marBottom w:val="0"/>
      <w:divBdr>
        <w:top w:val="none" w:sz="0" w:space="0" w:color="auto"/>
        <w:left w:val="none" w:sz="0" w:space="0" w:color="auto"/>
        <w:bottom w:val="none" w:sz="0" w:space="0" w:color="auto"/>
        <w:right w:val="none" w:sz="0" w:space="0" w:color="auto"/>
      </w:divBdr>
      <w:divsChild>
        <w:div w:id="169178253">
          <w:marLeft w:val="0"/>
          <w:marRight w:val="0"/>
          <w:marTop w:val="0"/>
          <w:marBottom w:val="150"/>
          <w:divBdr>
            <w:top w:val="none" w:sz="0" w:space="0" w:color="auto"/>
            <w:left w:val="none" w:sz="0" w:space="0" w:color="auto"/>
            <w:bottom w:val="none" w:sz="0" w:space="0" w:color="auto"/>
            <w:right w:val="none" w:sz="0" w:space="0" w:color="auto"/>
          </w:divBdr>
          <w:divsChild>
            <w:div w:id="1992171169">
              <w:marLeft w:val="0"/>
              <w:marRight w:val="0"/>
              <w:marTop w:val="0"/>
              <w:marBottom w:val="0"/>
              <w:divBdr>
                <w:top w:val="none" w:sz="0" w:space="0" w:color="auto"/>
                <w:left w:val="none" w:sz="0" w:space="0" w:color="auto"/>
                <w:bottom w:val="none" w:sz="0" w:space="0" w:color="auto"/>
                <w:right w:val="none" w:sz="0" w:space="0" w:color="auto"/>
              </w:divBdr>
            </w:div>
          </w:divsChild>
        </w:div>
        <w:div w:id="530147261">
          <w:marLeft w:val="0"/>
          <w:marRight w:val="0"/>
          <w:marTop w:val="0"/>
          <w:marBottom w:val="0"/>
          <w:divBdr>
            <w:top w:val="none" w:sz="0" w:space="0" w:color="auto"/>
            <w:left w:val="none" w:sz="0" w:space="0" w:color="auto"/>
            <w:bottom w:val="none" w:sz="0" w:space="0" w:color="auto"/>
            <w:right w:val="none" w:sz="0" w:space="0" w:color="auto"/>
          </w:divBdr>
          <w:divsChild>
            <w:div w:id="1510024389">
              <w:marLeft w:val="0"/>
              <w:marRight w:val="0"/>
              <w:marTop w:val="0"/>
              <w:marBottom w:val="0"/>
              <w:divBdr>
                <w:top w:val="none" w:sz="0" w:space="0" w:color="auto"/>
                <w:left w:val="none" w:sz="0" w:space="0" w:color="auto"/>
                <w:bottom w:val="none" w:sz="0" w:space="0" w:color="auto"/>
                <w:right w:val="none" w:sz="0" w:space="0" w:color="auto"/>
              </w:divBdr>
            </w:div>
          </w:divsChild>
        </w:div>
        <w:div w:id="1879464819">
          <w:marLeft w:val="0"/>
          <w:marRight w:val="0"/>
          <w:marTop w:val="0"/>
          <w:marBottom w:val="150"/>
          <w:divBdr>
            <w:top w:val="none" w:sz="0" w:space="0" w:color="auto"/>
            <w:left w:val="none" w:sz="0" w:space="0" w:color="auto"/>
            <w:bottom w:val="none" w:sz="0" w:space="0" w:color="auto"/>
            <w:right w:val="none" w:sz="0" w:space="0" w:color="auto"/>
          </w:divBdr>
        </w:div>
      </w:divsChild>
    </w:div>
    <w:div w:id="1603561672">
      <w:bodyDiv w:val="1"/>
      <w:marLeft w:val="0"/>
      <w:marRight w:val="0"/>
      <w:marTop w:val="0"/>
      <w:marBottom w:val="0"/>
      <w:divBdr>
        <w:top w:val="none" w:sz="0" w:space="0" w:color="auto"/>
        <w:left w:val="none" w:sz="0" w:space="0" w:color="auto"/>
        <w:bottom w:val="none" w:sz="0" w:space="0" w:color="auto"/>
        <w:right w:val="none" w:sz="0" w:space="0" w:color="auto"/>
      </w:divBdr>
      <w:divsChild>
        <w:div w:id="1499425295">
          <w:marLeft w:val="0"/>
          <w:marRight w:val="0"/>
          <w:marTop w:val="0"/>
          <w:marBottom w:val="150"/>
          <w:divBdr>
            <w:top w:val="none" w:sz="0" w:space="0" w:color="auto"/>
            <w:left w:val="none" w:sz="0" w:space="0" w:color="auto"/>
            <w:bottom w:val="none" w:sz="0" w:space="0" w:color="auto"/>
            <w:right w:val="none" w:sz="0" w:space="0" w:color="auto"/>
          </w:divBdr>
        </w:div>
      </w:divsChild>
    </w:div>
    <w:div w:id="1604070104">
      <w:bodyDiv w:val="1"/>
      <w:marLeft w:val="0"/>
      <w:marRight w:val="0"/>
      <w:marTop w:val="0"/>
      <w:marBottom w:val="0"/>
      <w:divBdr>
        <w:top w:val="none" w:sz="0" w:space="0" w:color="auto"/>
        <w:left w:val="none" w:sz="0" w:space="0" w:color="auto"/>
        <w:bottom w:val="none" w:sz="0" w:space="0" w:color="auto"/>
        <w:right w:val="none" w:sz="0" w:space="0" w:color="auto"/>
      </w:divBdr>
    </w:div>
    <w:div w:id="1604456943">
      <w:bodyDiv w:val="1"/>
      <w:marLeft w:val="0"/>
      <w:marRight w:val="0"/>
      <w:marTop w:val="0"/>
      <w:marBottom w:val="0"/>
      <w:divBdr>
        <w:top w:val="none" w:sz="0" w:space="0" w:color="auto"/>
        <w:left w:val="none" w:sz="0" w:space="0" w:color="auto"/>
        <w:bottom w:val="none" w:sz="0" w:space="0" w:color="auto"/>
        <w:right w:val="none" w:sz="0" w:space="0" w:color="auto"/>
      </w:divBdr>
      <w:divsChild>
        <w:div w:id="1830168061">
          <w:marLeft w:val="0"/>
          <w:marRight w:val="0"/>
          <w:marTop w:val="0"/>
          <w:marBottom w:val="0"/>
          <w:divBdr>
            <w:top w:val="none" w:sz="0" w:space="0" w:color="auto"/>
            <w:left w:val="none" w:sz="0" w:space="0" w:color="auto"/>
            <w:bottom w:val="dotted" w:sz="6" w:space="4" w:color="DDDDDD"/>
            <w:right w:val="none" w:sz="0" w:space="0" w:color="auto"/>
          </w:divBdr>
          <w:divsChild>
            <w:div w:id="44815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649689">
      <w:bodyDiv w:val="1"/>
      <w:marLeft w:val="0"/>
      <w:marRight w:val="0"/>
      <w:marTop w:val="0"/>
      <w:marBottom w:val="0"/>
      <w:divBdr>
        <w:top w:val="none" w:sz="0" w:space="0" w:color="auto"/>
        <w:left w:val="none" w:sz="0" w:space="0" w:color="auto"/>
        <w:bottom w:val="none" w:sz="0" w:space="0" w:color="auto"/>
        <w:right w:val="none" w:sz="0" w:space="0" w:color="auto"/>
      </w:divBdr>
    </w:div>
    <w:div w:id="1605071192">
      <w:bodyDiv w:val="1"/>
      <w:marLeft w:val="0"/>
      <w:marRight w:val="0"/>
      <w:marTop w:val="0"/>
      <w:marBottom w:val="0"/>
      <w:divBdr>
        <w:top w:val="none" w:sz="0" w:space="0" w:color="auto"/>
        <w:left w:val="none" w:sz="0" w:space="0" w:color="auto"/>
        <w:bottom w:val="none" w:sz="0" w:space="0" w:color="auto"/>
        <w:right w:val="none" w:sz="0" w:space="0" w:color="auto"/>
      </w:divBdr>
      <w:divsChild>
        <w:div w:id="789396640">
          <w:marLeft w:val="0"/>
          <w:marRight w:val="0"/>
          <w:marTop w:val="0"/>
          <w:marBottom w:val="0"/>
          <w:divBdr>
            <w:top w:val="none" w:sz="0" w:space="0" w:color="auto"/>
            <w:left w:val="none" w:sz="0" w:space="0" w:color="auto"/>
            <w:bottom w:val="none" w:sz="0" w:space="0" w:color="auto"/>
            <w:right w:val="none" w:sz="0" w:space="0" w:color="auto"/>
          </w:divBdr>
          <w:divsChild>
            <w:div w:id="114505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111049">
      <w:bodyDiv w:val="1"/>
      <w:marLeft w:val="0"/>
      <w:marRight w:val="0"/>
      <w:marTop w:val="0"/>
      <w:marBottom w:val="0"/>
      <w:divBdr>
        <w:top w:val="none" w:sz="0" w:space="0" w:color="auto"/>
        <w:left w:val="none" w:sz="0" w:space="0" w:color="auto"/>
        <w:bottom w:val="none" w:sz="0" w:space="0" w:color="auto"/>
        <w:right w:val="none" w:sz="0" w:space="0" w:color="auto"/>
      </w:divBdr>
      <w:divsChild>
        <w:div w:id="867838218">
          <w:marLeft w:val="0"/>
          <w:marRight w:val="0"/>
          <w:marTop w:val="0"/>
          <w:marBottom w:val="150"/>
          <w:divBdr>
            <w:top w:val="none" w:sz="0" w:space="0" w:color="auto"/>
            <w:left w:val="none" w:sz="0" w:space="0" w:color="auto"/>
            <w:bottom w:val="none" w:sz="0" w:space="0" w:color="auto"/>
            <w:right w:val="none" w:sz="0" w:space="0" w:color="auto"/>
          </w:divBdr>
        </w:div>
        <w:div w:id="1930264334">
          <w:marLeft w:val="0"/>
          <w:marRight w:val="0"/>
          <w:marTop w:val="225"/>
          <w:marBottom w:val="225"/>
          <w:divBdr>
            <w:top w:val="none" w:sz="0" w:space="0" w:color="auto"/>
            <w:left w:val="none" w:sz="0" w:space="0" w:color="auto"/>
            <w:bottom w:val="none" w:sz="0" w:space="0" w:color="auto"/>
            <w:right w:val="none" w:sz="0" w:space="0" w:color="auto"/>
          </w:divBdr>
        </w:div>
      </w:divsChild>
    </w:div>
    <w:div w:id="1605647108">
      <w:bodyDiv w:val="1"/>
      <w:marLeft w:val="0"/>
      <w:marRight w:val="0"/>
      <w:marTop w:val="0"/>
      <w:marBottom w:val="0"/>
      <w:divBdr>
        <w:top w:val="none" w:sz="0" w:space="0" w:color="auto"/>
        <w:left w:val="none" w:sz="0" w:space="0" w:color="auto"/>
        <w:bottom w:val="none" w:sz="0" w:space="0" w:color="auto"/>
        <w:right w:val="none" w:sz="0" w:space="0" w:color="auto"/>
      </w:divBdr>
      <w:divsChild>
        <w:div w:id="497354958">
          <w:marLeft w:val="0"/>
          <w:marRight w:val="0"/>
          <w:marTop w:val="0"/>
          <w:marBottom w:val="0"/>
          <w:divBdr>
            <w:top w:val="none" w:sz="0" w:space="0" w:color="auto"/>
            <w:left w:val="none" w:sz="0" w:space="0" w:color="auto"/>
            <w:bottom w:val="none" w:sz="0" w:space="0" w:color="auto"/>
            <w:right w:val="none" w:sz="0" w:space="0" w:color="auto"/>
          </w:divBdr>
          <w:divsChild>
            <w:div w:id="6580031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05920558">
      <w:bodyDiv w:val="1"/>
      <w:marLeft w:val="0"/>
      <w:marRight w:val="0"/>
      <w:marTop w:val="0"/>
      <w:marBottom w:val="0"/>
      <w:divBdr>
        <w:top w:val="none" w:sz="0" w:space="0" w:color="auto"/>
        <w:left w:val="none" w:sz="0" w:space="0" w:color="auto"/>
        <w:bottom w:val="none" w:sz="0" w:space="0" w:color="auto"/>
        <w:right w:val="none" w:sz="0" w:space="0" w:color="auto"/>
      </w:divBdr>
      <w:divsChild>
        <w:div w:id="470172457">
          <w:marLeft w:val="0"/>
          <w:marRight w:val="0"/>
          <w:marTop w:val="0"/>
          <w:marBottom w:val="0"/>
          <w:divBdr>
            <w:top w:val="none" w:sz="0" w:space="8" w:color="auto"/>
            <w:left w:val="none" w:sz="0" w:space="2" w:color="auto"/>
            <w:bottom w:val="single" w:sz="6" w:space="8" w:color="DDDDDD"/>
            <w:right w:val="none" w:sz="0" w:space="0" w:color="auto"/>
          </w:divBdr>
        </w:div>
        <w:div w:id="1300067335">
          <w:marLeft w:val="0"/>
          <w:marRight w:val="0"/>
          <w:marTop w:val="150"/>
          <w:marBottom w:val="0"/>
          <w:divBdr>
            <w:top w:val="none" w:sz="0" w:space="0" w:color="auto"/>
            <w:left w:val="none" w:sz="0" w:space="0" w:color="auto"/>
            <w:bottom w:val="none" w:sz="0" w:space="0" w:color="auto"/>
            <w:right w:val="none" w:sz="0" w:space="0" w:color="auto"/>
          </w:divBdr>
          <w:divsChild>
            <w:div w:id="61066753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06036203">
      <w:bodyDiv w:val="1"/>
      <w:marLeft w:val="0"/>
      <w:marRight w:val="0"/>
      <w:marTop w:val="0"/>
      <w:marBottom w:val="0"/>
      <w:divBdr>
        <w:top w:val="none" w:sz="0" w:space="0" w:color="auto"/>
        <w:left w:val="none" w:sz="0" w:space="0" w:color="auto"/>
        <w:bottom w:val="none" w:sz="0" w:space="0" w:color="auto"/>
        <w:right w:val="none" w:sz="0" w:space="0" w:color="auto"/>
      </w:divBdr>
      <w:divsChild>
        <w:div w:id="1694305517">
          <w:marLeft w:val="0"/>
          <w:marRight w:val="0"/>
          <w:marTop w:val="0"/>
          <w:marBottom w:val="0"/>
          <w:divBdr>
            <w:top w:val="none" w:sz="0" w:space="0" w:color="auto"/>
            <w:left w:val="none" w:sz="0" w:space="0" w:color="auto"/>
            <w:bottom w:val="none" w:sz="0" w:space="0" w:color="auto"/>
            <w:right w:val="none" w:sz="0" w:space="0" w:color="auto"/>
          </w:divBdr>
        </w:div>
      </w:divsChild>
    </w:div>
    <w:div w:id="1606188032">
      <w:bodyDiv w:val="1"/>
      <w:marLeft w:val="0"/>
      <w:marRight w:val="0"/>
      <w:marTop w:val="0"/>
      <w:marBottom w:val="0"/>
      <w:divBdr>
        <w:top w:val="none" w:sz="0" w:space="0" w:color="auto"/>
        <w:left w:val="none" w:sz="0" w:space="0" w:color="auto"/>
        <w:bottom w:val="none" w:sz="0" w:space="0" w:color="auto"/>
        <w:right w:val="none" w:sz="0" w:space="0" w:color="auto"/>
      </w:divBdr>
      <w:divsChild>
        <w:div w:id="500702686">
          <w:marLeft w:val="0"/>
          <w:marRight w:val="0"/>
          <w:marTop w:val="0"/>
          <w:marBottom w:val="0"/>
          <w:divBdr>
            <w:top w:val="none" w:sz="0" w:space="0" w:color="auto"/>
            <w:left w:val="none" w:sz="0" w:space="0" w:color="auto"/>
            <w:bottom w:val="none" w:sz="0" w:space="0" w:color="auto"/>
            <w:right w:val="none" w:sz="0" w:space="0" w:color="auto"/>
          </w:divBdr>
          <w:divsChild>
            <w:div w:id="1321428399">
              <w:marLeft w:val="0"/>
              <w:marRight w:val="0"/>
              <w:marTop w:val="0"/>
              <w:marBottom w:val="0"/>
              <w:divBdr>
                <w:top w:val="none" w:sz="0" w:space="0" w:color="auto"/>
                <w:left w:val="none" w:sz="0" w:space="0" w:color="auto"/>
                <w:bottom w:val="none" w:sz="0" w:space="0" w:color="auto"/>
                <w:right w:val="none" w:sz="0" w:space="0" w:color="auto"/>
              </w:divBdr>
            </w:div>
          </w:divsChild>
        </w:div>
        <w:div w:id="1651322665">
          <w:marLeft w:val="0"/>
          <w:marRight w:val="0"/>
          <w:marTop w:val="0"/>
          <w:marBottom w:val="0"/>
          <w:divBdr>
            <w:top w:val="none" w:sz="0" w:space="0" w:color="auto"/>
            <w:left w:val="none" w:sz="0" w:space="0" w:color="auto"/>
            <w:bottom w:val="none" w:sz="0" w:space="0" w:color="auto"/>
            <w:right w:val="none" w:sz="0" w:space="0" w:color="auto"/>
          </w:divBdr>
        </w:div>
        <w:div w:id="1911307097">
          <w:marLeft w:val="0"/>
          <w:marRight w:val="0"/>
          <w:marTop w:val="0"/>
          <w:marBottom w:val="0"/>
          <w:divBdr>
            <w:top w:val="none" w:sz="0" w:space="0" w:color="auto"/>
            <w:left w:val="none" w:sz="0" w:space="0" w:color="auto"/>
            <w:bottom w:val="none" w:sz="0" w:space="0" w:color="auto"/>
            <w:right w:val="none" w:sz="0" w:space="0" w:color="auto"/>
          </w:divBdr>
          <w:divsChild>
            <w:div w:id="981812922">
              <w:marLeft w:val="-225"/>
              <w:marRight w:val="-225"/>
              <w:marTop w:val="0"/>
              <w:marBottom w:val="0"/>
              <w:divBdr>
                <w:top w:val="none" w:sz="0" w:space="0" w:color="auto"/>
                <w:left w:val="none" w:sz="0" w:space="0" w:color="auto"/>
                <w:bottom w:val="none" w:sz="0" w:space="0" w:color="auto"/>
                <w:right w:val="none" w:sz="0" w:space="0" w:color="auto"/>
              </w:divBdr>
              <w:divsChild>
                <w:div w:id="1010914545">
                  <w:marLeft w:val="0"/>
                  <w:marRight w:val="0"/>
                  <w:marTop w:val="0"/>
                  <w:marBottom w:val="0"/>
                  <w:divBdr>
                    <w:top w:val="none" w:sz="0" w:space="0" w:color="auto"/>
                    <w:left w:val="none" w:sz="0" w:space="0" w:color="auto"/>
                    <w:bottom w:val="none" w:sz="0" w:space="0" w:color="auto"/>
                    <w:right w:val="single" w:sz="6" w:space="0" w:color="000000"/>
                  </w:divBdr>
                  <w:divsChild>
                    <w:div w:id="393284527">
                      <w:marLeft w:val="0"/>
                      <w:marRight w:val="0"/>
                      <w:marTop w:val="0"/>
                      <w:marBottom w:val="0"/>
                      <w:divBdr>
                        <w:top w:val="none" w:sz="0" w:space="0" w:color="auto"/>
                        <w:left w:val="none" w:sz="0" w:space="0" w:color="auto"/>
                        <w:bottom w:val="none" w:sz="0" w:space="0" w:color="auto"/>
                        <w:right w:val="none" w:sz="0" w:space="0" w:color="auto"/>
                      </w:divBdr>
                      <w:divsChild>
                        <w:div w:id="1580486202">
                          <w:marLeft w:val="0"/>
                          <w:marRight w:val="0"/>
                          <w:marTop w:val="0"/>
                          <w:marBottom w:val="0"/>
                          <w:divBdr>
                            <w:top w:val="none" w:sz="0" w:space="0" w:color="auto"/>
                            <w:left w:val="none" w:sz="0" w:space="0" w:color="auto"/>
                            <w:bottom w:val="none" w:sz="0" w:space="0" w:color="auto"/>
                            <w:right w:val="none" w:sz="0" w:space="0" w:color="auto"/>
                          </w:divBdr>
                        </w:div>
                        <w:div w:id="853763107">
                          <w:marLeft w:val="0"/>
                          <w:marRight w:val="0"/>
                          <w:marTop w:val="0"/>
                          <w:marBottom w:val="0"/>
                          <w:divBdr>
                            <w:top w:val="none" w:sz="0" w:space="0" w:color="auto"/>
                            <w:left w:val="none" w:sz="0" w:space="0" w:color="auto"/>
                            <w:bottom w:val="none" w:sz="0" w:space="0" w:color="auto"/>
                            <w:right w:val="none" w:sz="0" w:space="0" w:color="auto"/>
                          </w:divBdr>
                        </w:div>
                        <w:div w:id="972566545">
                          <w:marLeft w:val="0"/>
                          <w:marRight w:val="0"/>
                          <w:marTop w:val="0"/>
                          <w:marBottom w:val="0"/>
                          <w:divBdr>
                            <w:top w:val="none" w:sz="0" w:space="0" w:color="auto"/>
                            <w:left w:val="none" w:sz="0" w:space="0" w:color="auto"/>
                            <w:bottom w:val="none" w:sz="0" w:space="0" w:color="auto"/>
                            <w:right w:val="none" w:sz="0" w:space="0" w:color="auto"/>
                          </w:divBdr>
                        </w:div>
                        <w:div w:id="26254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381385">
      <w:bodyDiv w:val="1"/>
      <w:marLeft w:val="0"/>
      <w:marRight w:val="0"/>
      <w:marTop w:val="0"/>
      <w:marBottom w:val="0"/>
      <w:divBdr>
        <w:top w:val="none" w:sz="0" w:space="0" w:color="auto"/>
        <w:left w:val="none" w:sz="0" w:space="0" w:color="auto"/>
        <w:bottom w:val="none" w:sz="0" w:space="0" w:color="auto"/>
        <w:right w:val="none" w:sz="0" w:space="0" w:color="auto"/>
      </w:divBdr>
      <w:divsChild>
        <w:div w:id="105274016">
          <w:marLeft w:val="0"/>
          <w:marRight w:val="0"/>
          <w:marTop w:val="0"/>
          <w:marBottom w:val="0"/>
          <w:divBdr>
            <w:top w:val="none" w:sz="0" w:space="0" w:color="auto"/>
            <w:left w:val="none" w:sz="0" w:space="0" w:color="auto"/>
            <w:bottom w:val="none" w:sz="0" w:space="0" w:color="auto"/>
            <w:right w:val="none" w:sz="0" w:space="0" w:color="auto"/>
          </w:divBdr>
          <w:divsChild>
            <w:div w:id="638268169">
              <w:marLeft w:val="0"/>
              <w:marRight w:val="0"/>
              <w:marTop w:val="0"/>
              <w:marBottom w:val="0"/>
              <w:divBdr>
                <w:top w:val="none" w:sz="0" w:space="0" w:color="auto"/>
                <w:left w:val="none" w:sz="0" w:space="0" w:color="auto"/>
                <w:bottom w:val="none" w:sz="0" w:space="0" w:color="auto"/>
                <w:right w:val="none" w:sz="0" w:space="0" w:color="auto"/>
              </w:divBdr>
              <w:divsChild>
                <w:div w:id="457720574">
                  <w:marLeft w:val="0"/>
                  <w:marRight w:val="0"/>
                  <w:marTop w:val="0"/>
                  <w:marBottom w:val="0"/>
                  <w:divBdr>
                    <w:top w:val="none" w:sz="0" w:space="0" w:color="auto"/>
                    <w:left w:val="none" w:sz="0" w:space="0" w:color="auto"/>
                    <w:bottom w:val="none" w:sz="0" w:space="0" w:color="auto"/>
                    <w:right w:val="none" w:sz="0" w:space="0" w:color="auto"/>
                  </w:divBdr>
                  <w:divsChild>
                    <w:div w:id="640505392">
                      <w:marLeft w:val="0"/>
                      <w:marRight w:val="0"/>
                      <w:marTop w:val="0"/>
                      <w:marBottom w:val="0"/>
                      <w:divBdr>
                        <w:top w:val="none" w:sz="0" w:space="0" w:color="auto"/>
                        <w:left w:val="none" w:sz="0" w:space="0" w:color="auto"/>
                        <w:bottom w:val="none" w:sz="0" w:space="0" w:color="auto"/>
                        <w:right w:val="none" w:sz="0" w:space="0" w:color="auto"/>
                      </w:divBdr>
                      <w:divsChild>
                        <w:div w:id="50731431">
                          <w:marLeft w:val="0"/>
                          <w:marRight w:val="0"/>
                          <w:marTop w:val="0"/>
                          <w:marBottom w:val="0"/>
                          <w:divBdr>
                            <w:top w:val="none" w:sz="0" w:space="0" w:color="auto"/>
                            <w:left w:val="none" w:sz="0" w:space="0" w:color="auto"/>
                            <w:bottom w:val="none" w:sz="0" w:space="0" w:color="auto"/>
                            <w:right w:val="none" w:sz="0" w:space="0" w:color="auto"/>
                          </w:divBdr>
                          <w:divsChild>
                            <w:div w:id="2122264990">
                              <w:marLeft w:val="0"/>
                              <w:marRight w:val="0"/>
                              <w:marTop w:val="0"/>
                              <w:marBottom w:val="0"/>
                              <w:divBdr>
                                <w:top w:val="none" w:sz="0" w:space="0" w:color="auto"/>
                                <w:left w:val="none" w:sz="0" w:space="0" w:color="auto"/>
                                <w:bottom w:val="none" w:sz="0" w:space="0" w:color="auto"/>
                                <w:right w:val="none" w:sz="0" w:space="0" w:color="auto"/>
                              </w:divBdr>
                              <w:divsChild>
                                <w:div w:id="1392540163">
                                  <w:marLeft w:val="0"/>
                                  <w:marRight w:val="0"/>
                                  <w:marTop w:val="0"/>
                                  <w:marBottom w:val="0"/>
                                  <w:divBdr>
                                    <w:top w:val="none" w:sz="0" w:space="0" w:color="auto"/>
                                    <w:left w:val="none" w:sz="0" w:space="0" w:color="auto"/>
                                    <w:bottom w:val="none" w:sz="0" w:space="0" w:color="auto"/>
                                    <w:right w:val="none" w:sz="0" w:space="0" w:color="auto"/>
                                  </w:divBdr>
                                  <w:divsChild>
                                    <w:div w:id="145479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6420780">
      <w:bodyDiv w:val="1"/>
      <w:marLeft w:val="0"/>
      <w:marRight w:val="0"/>
      <w:marTop w:val="0"/>
      <w:marBottom w:val="0"/>
      <w:divBdr>
        <w:top w:val="none" w:sz="0" w:space="0" w:color="auto"/>
        <w:left w:val="none" w:sz="0" w:space="0" w:color="auto"/>
        <w:bottom w:val="none" w:sz="0" w:space="0" w:color="auto"/>
        <w:right w:val="none" w:sz="0" w:space="0" w:color="auto"/>
      </w:divBdr>
      <w:divsChild>
        <w:div w:id="1301957183">
          <w:marLeft w:val="0"/>
          <w:marRight w:val="0"/>
          <w:marTop w:val="0"/>
          <w:marBottom w:val="225"/>
          <w:divBdr>
            <w:top w:val="none" w:sz="0" w:space="0" w:color="auto"/>
            <w:left w:val="none" w:sz="0" w:space="0" w:color="auto"/>
            <w:bottom w:val="none" w:sz="0" w:space="0" w:color="auto"/>
            <w:right w:val="none" w:sz="0" w:space="0" w:color="auto"/>
          </w:divBdr>
          <w:divsChild>
            <w:div w:id="1724938470">
              <w:marLeft w:val="0"/>
              <w:marRight w:val="0"/>
              <w:marTop w:val="0"/>
              <w:marBottom w:val="0"/>
              <w:divBdr>
                <w:top w:val="none" w:sz="0" w:space="0" w:color="auto"/>
                <w:left w:val="none" w:sz="0" w:space="0" w:color="auto"/>
                <w:bottom w:val="none" w:sz="0" w:space="0" w:color="auto"/>
                <w:right w:val="none" w:sz="0" w:space="0" w:color="auto"/>
              </w:divBdr>
              <w:divsChild>
                <w:div w:id="22873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26883">
          <w:marLeft w:val="0"/>
          <w:marRight w:val="0"/>
          <w:marTop w:val="0"/>
          <w:marBottom w:val="225"/>
          <w:divBdr>
            <w:top w:val="none" w:sz="0" w:space="0" w:color="auto"/>
            <w:left w:val="none" w:sz="0" w:space="0" w:color="auto"/>
            <w:bottom w:val="none" w:sz="0" w:space="0" w:color="auto"/>
            <w:right w:val="none" w:sz="0" w:space="0" w:color="auto"/>
          </w:divBdr>
        </w:div>
      </w:divsChild>
    </w:div>
    <w:div w:id="1606691778">
      <w:bodyDiv w:val="1"/>
      <w:marLeft w:val="0"/>
      <w:marRight w:val="0"/>
      <w:marTop w:val="0"/>
      <w:marBottom w:val="0"/>
      <w:divBdr>
        <w:top w:val="none" w:sz="0" w:space="0" w:color="auto"/>
        <w:left w:val="none" w:sz="0" w:space="0" w:color="auto"/>
        <w:bottom w:val="none" w:sz="0" w:space="0" w:color="auto"/>
        <w:right w:val="none" w:sz="0" w:space="0" w:color="auto"/>
      </w:divBdr>
      <w:divsChild>
        <w:div w:id="1211530168">
          <w:marLeft w:val="0"/>
          <w:marRight w:val="0"/>
          <w:marTop w:val="0"/>
          <w:marBottom w:val="0"/>
          <w:divBdr>
            <w:top w:val="none" w:sz="0" w:space="0" w:color="auto"/>
            <w:left w:val="none" w:sz="0" w:space="0" w:color="auto"/>
            <w:bottom w:val="none" w:sz="0" w:space="0" w:color="auto"/>
            <w:right w:val="none" w:sz="0" w:space="0" w:color="auto"/>
          </w:divBdr>
          <w:divsChild>
            <w:div w:id="52703018">
              <w:marLeft w:val="0"/>
              <w:marRight w:val="0"/>
              <w:marTop w:val="0"/>
              <w:marBottom w:val="150"/>
              <w:divBdr>
                <w:top w:val="none" w:sz="0" w:space="0" w:color="auto"/>
                <w:left w:val="none" w:sz="0" w:space="0" w:color="auto"/>
                <w:bottom w:val="none" w:sz="0" w:space="0" w:color="auto"/>
                <w:right w:val="none" w:sz="0" w:space="0" w:color="auto"/>
              </w:divBdr>
              <w:divsChild>
                <w:div w:id="1906798453">
                  <w:marLeft w:val="0"/>
                  <w:marRight w:val="0"/>
                  <w:marTop w:val="0"/>
                  <w:marBottom w:val="0"/>
                  <w:divBdr>
                    <w:top w:val="none" w:sz="0" w:space="0" w:color="auto"/>
                    <w:left w:val="none" w:sz="0" w:space="0" w:color="auto"/>
                    <w:bottom w:val="none" w:sz="0" w:space="0" w:color="auto"/>
                    <w:right w:val="none" w:sz="0" w:space="0" w:color="auto"/>
                  </w:divBdr>
                  <w:divsChild>
                    <w:div w:id="440611590">
                      <w:marLeft w:val="0"/>
                      <w:marRight w:val="0"/>
                      <w:marTop w:val="0"/>
                      <w:marBottom w:val="0"/>
                      <w:divBdr>
                        <w:top w:val="none" w:sz="0" w:space="0" w:color="auto"/>
                        <w:left w:val="none" w:sz="0" w:space="0" w:color="auto"/>
                        <w:bottom w:val="none" w:sz="0" w:space="0" w:color="auto"/>
                        <w:right w:val="none" w:sz="0" w:space="0" w:color="auto"/>
                      </w:divBdr>
                      <w:divsChild>
                        <w:div w:id="72733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33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764842">
      <w:bodyDiv w:val="1"/>
      <w:marLeft w:val="0"/>
      <w:marRight w:val="0"/>
      <w:marTop w:val="0"/>
      <w:marBottom w:val="0"/>
      <w:divBdr>
        <w:top w:val="none" w:sz="0" w:space="0" w:color="auto"/>
        <w:left w:val="none" w:sz="0" w:space="0" w:color="auto"/>
        <w:bottom w:val="none" w:sz="0" w:space="0" w:color="auto"/>
        <w:right w:val="none" w:sz="0" w:space="0" w:color="auto"/>
      </w:divBdr>
      <w:divsChild>
        <w:div w:id="331300887">
          <w:marLeft w:val="0"/>
          <w:marRight w:val="0"/>
          <w:marTop w:val="0"/>
          <w:marBottom w:val="150"/>
          <w:divBdr>
            <w:top w:val="none" w:sz="0" w:space="0" w:color="auto"/>
            <w:left w:val="none" w:sz="0" w:space="0" w:color="auto"/>
            <w:bottom w:val="none" w:sz="0" w:space="0" w:color="auto"/>
            <w:right w:val="none" w:sz="0" w:space="0" w:color="auto"/>
          </w:divBdr>
        </w:div>
        <w:div w:id="1590381636">
          <w:marLeft w:val="0"/>
          <w:marRight w:val="0"/>
          <w:marTop w:val="0"/>
          <w:marBottom w:val="0"/>
          <w:divBdr>
            <w:top w:val="none" w:sz="0" w:space="0" w:color="auto"/>
            <w:left w:val="none" w:sz="0" w:space="0" w:color="auto"/>
            <w:bottom w:val="none" w:sz="0" w:space="0" w:color="auto"/>
            <w:right w:val="none" w:sz="0" w:space="0" w:color="auto"/>
          </w:divBdr>
        </w:div>
      </w:divsChild>
    </w:div>
    <w:div w:id="1607228148">
      <w:bodyDiv w:val="1"/>
      <w:marLeft w:val="0"/>
      <w:marRight w:val="0"/>
      <w:marTop w:val="0"/>
      <w:marBottom w:val="0"/>
      <w:divBdr>
        <w:top w:val="none" w:sz="0" w:space="0" w:color="auto"/>
        <w:left w:val="none" w:sz="0" w:space="0" w:color="auto"/>
        <w:bottom w:val="none" w:sz="0" w:space="0" w:color="auto"/>
        <w:right w:val="none" w:sz="0" w:space="0" w:color="auto"/>
      </w:divBdr>
    </w:div>
    <w:div w:id="1607272330">
      <w:bodyDiv w:val="1"/>
      <w:marLeft w:val="0"/>
      <w:marRight w:val="0"/>
      <w:marTop w:val="0"/>
      <w:marBottom w:val="0"/>
      <w:divBdr>
        <w:top w:val="none" w:sz="0" w:space="0" w:color="auto"/>
        <w:left w:val="none" w:sz="0" w:space="0" w:color="auto"/>
        <w:bottom w:val="none" w:sz="0" w:space="0" w:color="auto"/>
        <w:right w:val="none" w:sz="0" w:space="0" w:color="auto"/>
      </w:divBdr>
      <w:divsChild>
        <w:div w:id="656493316">
          <w:marLeft w:val="0"/>
          <w:marRight w:val="0"/>
          <w:marTop w:val="0"/>
          <w:marBottom w:val="150"/>
          <w:divBdr>
            <w:top w:val="none" w:sz="0" w:space="0" w:color="auto"/>
            <w:left w:val="none" w:sz="0" w:space="0" w:color="auto"/>
            <w:bottom w:val="none" w:sz="0" w:space="0" w:color="auto"/>
            <w:right w:val="none" w:sz="0" w:space="0" w:color="auto"/>
          </w:divBdr>
        </w:div>
        <w:div w:id="1004165812">
          <w:marLeft w:val="0"/>
          <w:marRight w:val="0"/>
          <w:marTop w:val="0"/>
          <w:marBottom w:val="0"/>
          <w:divBdr>
            <w:top w:val="none" w:sz="0" w:space="0" w:color="auto"/>
            <w:left w:val="none" w:sz="0" w:space="0" w:color="auto"/>
            <w:bottom w:val="none" w:sz="0" w:space="0" w:color="auto"/>
            <w:right w:val="none" w:sz="0" w:space="0" w:color="auto"/>
          </w:divBdr>
          <w:divsChild>
            <w:div w:id="421877898">
              <w:marLeft w:val="0"/>
              <w:marRight w:val="0"/>
              <w:marTop w:val="0"/>
              <w:marBottom w:val="0"/>
              <w:divBdr>
                <w:top w:val="none" w:sz="0" w:space="0" w:color="auto"/>
                <w:left w:val="none" w:sz="0" w:space="0" w:color="auto"/>
                <w:bottom w:val="none" w:sz="0" w:space="0" w:color="auto"/>
                <w:right w:val="none" w:sz="0" w:space="0" w:color="auto"/>
              </w:divBdr>
            </w:div>
          </w:divsChild>
        </w:div>
        <w:div w:id="2092312990">
          <w:marLeft w:val="0"/>
          <w:marRight w:val="0"/>
          <w:marTop w:val="0"/>
          <w:marBottom w:val="150"/>
          <w:divBdr>
            <w:top w:val="none" w:sz="0" w:space="0" w:color="auto"/>
            <w:left w:val="none" w:sz="0" w:space="0" w:color="auto"/>
            <w:bottom w:val="none" w:sz="0" w:space="0" w:color="auto"/>
            <w:right w:val="none" w:sz="0" w:space="0" w:color="auto"/>
          </w:divBdr>
          <w:divsChild>
            <w:div w:id="142148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545561">
      <w:bodyDiv w:val="1"/>
      <w:marLeft w:val="0"/>
      <w:marRight w:val="0"/>
      <w:marTop w:val="0"/>
      <w:marBottom w:val="0"/>
      <w:divBdr>
        <w:top w:val="none" w:sz="0" w:space="0" w:color="auto"/>
        <w:left w:val="none" w:sz="0" w:space="0" w:color="auto"/>
        <w:bottom w:val="none" w:sz="0" w:space="0" w:color="auto"/>
        <w:right w:val="none" w:sz="0" w:space="0" w:color="auto"/>
      </w:divBdr>
      <w:divsChild>
        <w:div w:id="106046939">
          <w:marLeft w:val="0"/>
          <w:marRight w:val="0"/>
          <w:marTop w:val="0"/>
          <w:marBottom w:val="0"/>
          <w:divBdr>
            <w:top w:val="none" w:sz="0" w:space="0" w:color="auto"/>
            <w:left w:val="none" w:sz="0" w:space="0" w:color="auto"/>
            <w:bottom w:val="none" w:sz="0" w:space="0" w:color="auto"/>
            <w:right w:val="none" w:sz="0" w:space="0" w:color="auto"/>
          </w:divBdr>
          <w:divsChild>
            <w:div w:id="21979463">
              <w:marLeft w:val="0"/>
              <w:marRight w:val="0"/>
              <w:marTop w:val="0"/>
              <w:marBottom w:val="0"/>
              <w:divBdr>
                <w:top w:val="none" w:sz="0" w:space="0" w:color="auto"/>
                <w:left w:val="none" w:sz="0" w:space="0" w:color="auto"/>
                <w:bottom w:val="none" w:sz="0" w:space="0" w:color="auto"/>
                <w:right w:val="none" w:sz="0" w:space="0" w:color="auto"/>
              </w:divBdr>
            </w:div>
          </w:divsChild>
        </w:div>
        <w:div w:id="414134587">
          <w:marLeft w:val="0"/>
          <w:marRight w:val="0"/>
          <w:marTop w:val="0"/>
          <w:marBottom w:val="150"/>
          <w:divBdr>
            <w:top w:val="none" w:sz="0" w:space="0" w:color="auto"/>
            <w:left w:val="none" w:sz="0" w:space="0" w:color="auto"/>
            <w:bottom w:val="none" w:sz="0" w:space="0" w:color="auto"/>
            <w:right w:val="none" w:sz="0" w:space="0" w:color="auto"/>
          </w:divBdr>
          <w:divsChild>
            <w:div w:id="602037936">
              <w:marLeft w:val="0"/>
              <w:marRight w:val="0"/>
              <w:marTop w:val="0"/>
              <w:marBottom w:val="0"/>
              <w:divBdr>
                <w:top w:val="none" w:sz="0" w:space="0" w:color="auto"/>
                <w:left w:val="none" w:sz="0" w:space="0" w:color="auto"/>
                <w:bottom w:val="none" w:sz="0" w:space="0" w:color="auto"/>
                <w:right w:val="none" w:sz="0" w:space="0" w:color="auto"/>
              </w:divBdr>
            </w:div>
          </w:divsChild>
        </w:div>
        <w:div w:id="940842547">
          <w:marLeft w:val="0"/>
          <w:marRight w:val="0"/>
          <w:marTop w:val="0"/>
          <w:marBottom w:val="150"/>
          <w:divBdr>
            <w:top w:val="none" w:sz="0" w:space="0" w:color="auto"/>
            <w:left w:val="none" w:sz="0" w:space="0" w:color="auto"/>
            <w:bottom w:val="none" w:sz="0" w:space="0" w:color="auto"/>
            <w:right w:val="none" w:sz="0" w:space="0" w:color="auto"/>
          </w:divBdr>
        </w:div>
      </w:divsChild>
    </w:div>
    <w:div w:id="1607729796">
      <w:bodyDiv w:val="1"/>
      <w:marLeft w:val="0"/>
      <w:marRight w:val="0"/>
      <w:marTop w:val="0"/>
      <w:marBottom w:val="0"/>
      <w:divBdr>
        <w:top w:val="none" w:sz="0" w:space="0" w:color="auto"/>
        <w:left w:val="none" w:sz="0" w:space="0" w:color="auto"/>
        <w:bottom w:val="none" w:sz="0" w:space="0" w:color="auto"/>
        <w:right w:val="none" w:sz="0" w:space="0" w:color="auto"/>
      </w:divBdr>
    </w:div>
    <w:div w:id="1608469440">
      <w:bodyDiv w:val="1"/>
      <w:marLeft w:val="0"/>
      <w:marRight w:val="0"/>
      <w:marTop w:val="0"/>
      <w:marBottom w:val="0"/>
      <w:divBdr>
        <w:top w:val="none" w:sz="0" w:space="0" w:color="auto"/>
        <w:left w:val="none" w:sz="0" w:space="0" w:color="auto"/>
        <w:bottom w:val="none" w:sz="0" w:space="0" w:color="auto"/>
        <w:right w:val="none" w:sz="0" w:space="0" w:color="auto"/>
      </w:divBdr>
      <w:divsChild>
        <w:div w:id="1831366676">
          <w:marLeft w:val="0"/>
          <w:marRight w:val="0"/>
          <w:marTop w:val="0"/>
          <w:marBottom w:val="0"/>
          <w:divBdr>
            <w:top w:val="none" w:sz="0" w:space="0" w:color="auto"/>
            <w:left w:val="none" w:sz="0" w:space="0" w:color="auto"/>
            <w:bottom w:val="none" w:sz="0" w:space="0" w:color="auto"/>
            <w:right w:val="none" w:sz="0" w:space="0" w:color="auto"/>
          </w:divBdr>
          <w:divsChild>
            <w:div w:id="539122974">
              <w:marLeft w:val="0"/>
              <w:marRight w:val="0"/>
              <w:marTop w:val="0"/>
              <w:marBottom w:val="0"/>
              <w:divBdr>
                <w:top w:val="none" w:sz="0" w:space="0" w:color="auto"/>
                <w:left w:val="none" w:sz="0" w:space="0" w:color="auto"/>
                <w:bottom w:val="none" w:sz="0" w:space="0" w:color="auto"/>
                <w:right w:val="none" w:sz="0" w:space="0" w:color="auto"/>
              </w:divBdr>
            </w:div>
          </w:divsChild>
        </w:div>
        <w:div w:id="1533377717">
          <w:marLeft w:val="0"/>
          <w:marRight w:val="0"/>
          <w:marTop w:val="240"/>
          <w:marBottom w:val="0"/>
          <w:divBdr>
            <w:top w:val="none" w:sz="0" w:space="0" w:color="auto"/>
            <w:left w:val="none" w:sz="0" w:space="0" w:color="auto"/>
            <w:bottom w:val="none" w:sz="0" w:space="0" w:color="auto"/>
            <w:right w:val="none" w:sz="0" w:space="0" w:color="auto"/>
          </w:divBdr>
        </w:div>
      </w:divsChild>
    </w:div>
    <w:div w:id="1608927122">
      <w:bodyDiv w:val="1"/>
      <w:marLeft w:val="0"/>
      <w:marRight w:val="0"/>
      <w:marTop w:val="0"/>
      <w:marBottom w:val="0"/>
      <w:divBdr>
        <w:top w:val="none" w:sz="0" w:space="0" w:color="auto"/>
        <w:left w:val="none" w:sz="0" w:space="0" w:color="auto"/>
        <w:bottom w:val="none" w:sz="0" w:space="0" w:color="auto"/>
        <w:right w:val="none" w:sz="0" w:space="0" w:color="auto"/>
      </w:divBdr>
      <w:divsChild>
        <w:div w:id="1232812365">
          <w:marLeft w:val="0"/>
          <w:marRight w:val="0"/>
          <w:marTop w:val="0"/>
          <w:marBottom w:val="0"/>
          <w:divBdr>
            <w:top w:val="none" w:sz="0" w:space="0" w:color="auto"/>
            <w:left w:val="none" w:sz="0" w:space="0" w:color="auto"/>
            <w:bottom w:val="none" w:sz="0" w:space="0" w:color="auto"/>
            <w:right w:val="none" w:sz="0" w:space="0" w:color="auto"/>
          </w:divBdr>
          <w:divsChild>
            <w:div w:id="2147040262">
              <w:marLeft w:val="0"/>
              <w:marRight w:val="0"/>
              <w:marTop w:val="0"/>
              <w:marBottom w:val="0"/>
              <w:divBdr>
                <w:top w:val="none" w:sz="0" w:space="0" w:color="auto"/>
                <w:left w:val="none" w:sz="0" w:space="0" w:color="auto"/>
                <w:bottom w:val="none" w:sz="0" w:space="0" w:color="auto"/>
                <w:right w:val="none" w:sz="0" w:space="0" w:color="auto"/>
              </w:divBdr>
              <w:divsChild>
                <w:div w:id="1846430672">
                  <w:marLeft w:val="0"/>
                  <w:marRight w:val="0"/>
                  <w:marTop w:val="0"/>
                  <w:marBottom w:val="0"/>
                  <w:divBdr>
                    <w:top w:val="none" w:sz="0" w:space="0" w:color="auto"/>
                    <w:left w:val="none" w:sz="0" w:space="0" w:color="auto"/>
                    <w:bottom w:val="none" w:sz="0" w:space="0" w:color="auto"/>
                    <w:right w:val="none" w:sz="0" w:space="0" w:color="auto"/>
                  </w:divBdr>
                  <w:divsChild>
                    <w:div w:id="1480346489">
                      <w:marLeft w:val="0"/>
                      <w:marRight w:val="0"/>
                      <w:marTop w:val="0"/>
                      <w:marBottom w:val="0"/>
                      <w:divBdr>
                        <w:top w:val="none" w:sz="0" w:space="0" w:color="auto"/>
                        <w:left w:val="none" w:sz="0" w:space="0" w:color="auto"/>
                        <w:bottom w:val="none" w:sz="0" w:space="0" w:color="auto"/>
                        <w:right w:val="none" w:sz="0" w:space="0" w:color="auto"/>
                      </w:divBdr>
                      <w:divsChild>
                        <w:div w:id="481433300">
                          <w:marLeft w:val="0"/>
                          <w:marRight w:val="0"/>
                          <w:marTop w:val="0"/>
                          <w:marBottom w:val="0"/>
                          <w:divBdr>
                            <w:top w:val="none" w:sz="0" w:space="0" w:color="auto"/>
                            <w:left w:val="none" w:sz="0" w:space="0" w:color="auto"/>
                            <w:bottom w:val="none" w:sz="0" w:space="0" w:color="auto"/>
                            <w:right w:val="none" w:sz="0" w:space="0" w:color="auto"/>
                          </w:divBdr>
                          <w:divsChild>
                            <w:div w:id="1961035737">
                              <w:marLeft w:val="0"/>
                              <w:marRight w:val="0"/>
                              <w:marTop w:val="0"/>
                              <w:marBottom w:val="0"/>
                              <w:divBdr>
                                <w:top w:val="none" w:sz="0" w:space="0" w:color="auto"/>
                                <w:left w:val="none" w:sz="0" w:space="0" w:color="auto"/>
                                <w:bottom w:val="none" w:sz="0" w:space="0" w:color="auto"/>
                                <w:right w:val="none" w:sz="0" w:space="0" w:color="auto"/>
                              </w:divBdr>
                              <w:divsChild>
                                <w:div w:id="1570730829">
                                  <w:marLeft w:val="0"/>
                                  <w:marRight w:val="0"/>
                                  <w:marTop w:val="0"/>
                                  <w:marBottom w:val="0"/>
                                  <w:divBdr>
                                    <w:top w:val="none" w:sz="0" w:space="0" w:color="auto"/>
                                    <w:left w:val="none" w:sz="0" w:space="0" w:color="auto"/>
                                    <w:bottom w:val="none" w:sz="0" w:space="0" w:color="auto"/>
                                    <w:right w:val="none" w:sz="0" w:space="0" w:color="auto"/>
                                  </w:divBdr>
                                  <w:divsChild>
                                    <w:div w:id="2085715772">
                                      <w:marLeft w:val="0"/>
                                      <w:marRight w:val="0"/>
                                      <w:marTop w:val="0"/>
                                      <w:marBottom w:val="0"/>
                                      <w:divBdr>
                                        <w:top w:val="none" w:sz="0" w:space="0" w:color="auto"/>
                                        <w:left w:val="none" w:sz="0" w:space="0" w:color="auto"/>
                                        <w:bottom w:val="none" w:sz="0" w:space="0" w:color="auto"/>
                                        <w:right w:val="none" w:sz="0" w:space="0" w:color="auto"/>
                                      </w:divBdr>
                                      <w:divsChild>
                                        <w:div w:id="35141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927371">
      <w:bodyDiv w:val="1"/>
      <w:marLeft w:val="0"/>
      <w:marRight w:val="0"/>
      <w:marTop w:val="0"/>
      <w:marBottom w:val="0"/>
      <w:divBdr>
        <w:top w:val="none" w:sz="0" w:space="0" w:color="auto"/>
        <w:left w:val="none" w:sz="0" w:space="0" w:color="auto"/>
        <w:bottom w:val="none" w:sz="0" w:space="0" w:color="auto"/>
        <w:right w:val="none" w:sz="0" w:space="0" w:color="auto"/>
      </w:divBdr>
    </w:div>
    <w:div w:id="1609191348">
      <w:bodyDiv w:val="1"/>
      <w:marLeft w:val="0"/>
      <w:marRight w:val="0"/>
      <w:marTop w:val="0"/>
      <w:marBottom w:val="0"/>
      <w:divBdr>
        <w:top w:val="none" w:sz="0" w:space="0" w:color="auto"/>
        <w:left w:val="none" w:sz="0" w:space="0" w:color="auto"/>
        <w:bottom w:val="none" w:sz="0" w:space="0" w:color="auto"/>
        <w:right w:val="none" w:sz="0" w:space="0" w:color="auto"/>
      </w:divBdr>
    </w:div>
    <w:div w:id="1609316526">
      <w:bodyDiv w:val="1"/>
      <w:marLeft w:val="0"/>
      <w:marRight w:val="0"/>
      <w:marTop w:val="0"/>
      <w:marBottom w:val="0"/>
      <w:divBdr>
        <w:top w:val="none" w:sz="0" w:space="0" w:color="auto"/>
        <w:left w:val="none" w:sz="0" w:space="0" w:color="auto"/>
        <w:bottom w:val="none" w:sz="0" w:space="0" w:color="auto"/>
        <w:right w:val="none" w:sz="0" w:space="0" w:color="auto"/>
      </w:divBdr>
      <w:divsChild>
        <w:div w:id="839003530">
          <w:marLeft w:val="0"/>
          <w:marRight w:val="0"/>
          <w:marTop w:val="150"/>
          <w:marBottom w:val="0"/>
          <w:divBdr>
            <w:top w:val="none" w:sz="0" w:space="0" w:color="auto"/>
            <w:left w:val="none" w:sz="0" w:space="0" w:color="auto"/>
            <w:bottom w:val="none" w:sz="0" w:space="0" w:color="auto"/>
            <w:right w:val="none" w:sz="0" w:space="0" w:color="auto"/>
          </w:divBdr>
          <w:divsChild>
            <w:div w:id="839126091">
              <w:marLeft w:val="0"/>
              <w:marRight w:val="0"/>
              <w:marTop w:val="0"/>
              <w:marBottom w:val="0"/>
              <w:divBdr>
                <w:top w:val="none" w:sz="0" w:space="0" w:color="auto"/>
                <w:left w:val="none" w:sz="0" w:space="0" w:color="auto"/>
                <w:bottom w:val="single" w:sz="6" w:space="0" w:color="EFEFEF"/>
                <w:right w:val="none" w:sz="0" w:space="0" w:color="auto"/>
              </w:divBdr>
              <w:divsChild>
                <w:div w:id="1712194183">
                  <w:marLeft w:val="0"/>
                  <w:marRight w:val="0"/>
                  <w:marTop w:val="0"/>
                  <w:marBottom w:val="0"/>
                  <w:divBdr>
                    <w:top w:val="none" w:sz="0" w:space="0" w:color="auto"/>
                    <w:left w:val="none" w:sz="0" w:space="0" w:color="auto"/>
                    <w:bottom w:val="none" w:sz="0" w:space="0" w:color="auto"/>
                    <w:right w:val="none" w:sz="0" w:space="0" w:color="auto"/>
                  </w:divBdr>
                </w:div>
                <w:div w:id="193790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99294">
          <w:marLeft w:val="0"/>
          <w:marRight w:val="0"/>
          <w:marTop w:val="300"/>
          <w:marBottom w:val="0"/>
          <w:divBdr>
            <w:top w:val="none" w:sz="0" w:space="0" w:color="auto"/>
            <w:left w:val="none" w:sz="0" w:space="0" w:color="auto"/>
            <w:bottom w:val="none" w:sz="0" w:space="0" w:color="auto"/>
            <w:right w:val="none" w:sz="0" w:space="0" w:color="auto"/>
          </w:divBdr>
          <w:divsChild>
            <w:div w:id="189341310">
              <w:marLeft w:val="-1350"/>
              <w:marRight w:val="0"/>
              <w:marTop w:val="0"/>
              <w:marBottom w:val="0"/>
              <w:divBdr>
                <w:top w:val="none" w:sz="0" w:space="0" w:color="auto"/>
                <w:left w:val="none" w:sz="0" w:space="0" w:color="auto"/>
                <w:bottom w:val="none" w:sz="0" w:space="0" w:color="auto"/>
                <w:right w:val="none" w:sz="0" w:space="0" w:color="auto"/>
              </w:divBdr>
              <w:divsChild>
                <w:div w:id="381827697">
                  <w:marLeft w:val="0"/>
                  <w:marRight w:val="0"/>
                  <w:marTop w:val="0"/>
                  <w:marBottom w:val="0"/>
                  <w:divBdr>
                    <w:top w:val="none" w:sz="0" w:space="0" w:color="auto"/>
                    <w:left w:val="none" w:sz="0" w:space="0" w:color="auto"/>
                    <w:bottom w:val="none" w:sz="0" w:space="0" w:color="auto"/>
                    <w:right w:val="none" w:sz="0" w:space="0" w:color="auto"/>
                  </w:divBdr>
                  <w:divsChild>
                    <w:div w:id="277688791">
                      <w:marLeft w:val="0"/>
                      <w:marRight w:val="0"/>
                      <w:marTop w:val="0"/>
                      <w:marBottom w:val="0"/>
                      <w:divBdr>
                        <w:top w:val="none" w:sz="0" w:space="0" w:color="auto"/>
                        <w:left w:val="none" w:sz="0" w:space="0" w:color="auto"/>
                        <w:bottom w:val="none" w:sz="0" w:space="0" w:color="auto"/>
                        <w:right w:val="none" w:sz="0" w:space="0" w:color="auto"/>
                      </w:divBdr>
                      <w:divsChild>
                        <w:div w:id="465246123">
                          <w:marLeft w:val="0"/>
                          <w:marRight w:val="0"/>
                          <w:marTop w:val="0"/>
                          <w:marBottom w:val="0"/>
                          <w:divBdr>
                            <w:top w:val="single" w:sz="6" w:space="0" w:color="C7C7C7"/>
                            <w:left w:val="single" w:sz="6" w:space="0" w:color="C7C7C7"/>
                            <w:bottom w:val="single" w:sz="6" w:space="0" w:color="C7C7C7"/>
                            <w:right w:val="single" w:sz="6" w:space="0" w:color="C7C7C7"/>
                          </w:divBdr>
                          <w:divsChild>
                            <w:div w:id="603805961">
                              <w:marLeft w:val="0"/>
                              <w:marRight w:val="0"/>
                              <w:marTop w:val="100"/>
                              <w:marBottom w:val="100"/>
                              <w:divBdr>
                                <w:top w:val="none" w:sz="0" w:space="11" w:color="auto"/>
                                <w:left w:val="none" w:sz="0" w:space="0" w:color="auto"/>
                                <w:bottom w:val="single" w:sz="6" w:space="11" w:color="C7C7C7"/>
                                <w:right w:val="none" w:sz="0" w:space="0" w:color="auto"/>
                              </w:divBdr>
                            </w:div>
                            <w:div w:id="1041132667">
                              <w:marLeft w:val="0"/>
                              <w:marRight w:val="0"/>
                              <w:marTop w:val="100"/>
                              <w:marBottom w:val="100"/>
                              <w:divBdr>
                                <w:top w:val="none" w:sz="0" w:space="11" w:color="auto"/>
                                <w:left w:val="none" w:sz="0" w:space="0" w:color="auto"/>
                                <w:bottom w:val="single" w:sz="6" w:space="11" w:color="C7C7C7"/>
                                <w:right w:val="none" w:sz="0" w:space="0" w:color="auto"/>
                              </w:divBdr>
                            </w:div>
                            <w:div w:id="1162502913">
                              <w:marLeft w:val="0"/>
                              <w:marRight w:val="0"/>
                              <w:marTop w:val="100"/>
                              <w:marBottom w:val="100"/>
                              <w:divBdr>
                                <w:top w:val="none" w:sz="0" w:space="11" w:color="auto"/>
                                <w:left w:val="none" w:sz="0" w:space="0" w:color="auto"/>
                                <w:bottom w:val="single" w:sz="6" w:space="11" w:color="C7C7C7"/>
                                <w:right w:val="none" w:sz="0" w:space="0" w:color="auto"/>
                              </w:divBdr>
                            </w:div>
                            <w:div w:id="149849769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334721905">
              <w:marLeft w:val="0"/>
              <w:marRight w:val="0"/>
              <w:marTop w:val="0"/>
              <w:marBottom w:val="0"/>
              <w:divBdr>
                <w:top w:val="none" w:sz="0" w:space="0" w:color="auto"/>
                <w:left w:val="none" w:sz="0" w:space="0" w:color="auto"/>
                <w:bottom w:val="none" w:sz="0" w:space="0" w:color="auto"/>
                <w:right w:val="none" w:sz="0" w:space="0" w:color="auto"/>
              </w:divBdr>
              <w:divsChild>
                <w:div w:id="1204675">
                  <w:marLeft w:val="0"/>
                  <w:marRight w:val="0"/>
                  <w:marTop w:val="0"/>
                  <w:marBottom w:val="0"/>
                  <w:divBdr>
                    <w:top w:val="none" w:sz="0" w:space="0" w:color="auto"/>
                    <w:left w:val="none" w:sz="0" w:space="0" w:color="auto"/>
                    <w:bottom w:val="none" w:sz="0" w:space="0" w:color="auto"/>
                    <w:right w:val="none" w:sz="0" w:space="0" w:color="auto"/>
                  </w:divBdr>
                  <w:divsChild>
                    <w:div w:id="1524243332">
                      <w:marLeft w:val="0"/>
                      <w:marRight w:val="0"/>
                      <w:marTop w:val="0"/>
                      <w:marBottom w:val="0"/>
                      <w:divBdr>
                        <w:top w:val="none" w:sz="0" w:space="0" w:color="auto"/>
                        <w:left w:val="none" w:sz="0" w:space="0" w:color="auto"/>
                        <w:bottom w:val="none" w:sz="0" w:space="0" w:color="auto"/>
                        <w:right w:val="none" w:sz="0" w:space="0" w:color="auto"/>
                      </w:divBdr>
                    </w:div>
                  </w:divsChild>
                </w:div>
                <w:div w:id="516041553">
                  <w:marLeft w:val="0"/>
                  <w:marRight w:val="0"/>
                  <w:marTop w:val="150"/>
                  <w:marBottom w:val="0"/>
                  <w:divBdr>
                    <w:top w:val="none" w:sz="0" w:space="0" w:color="auto"/>
                    <w:left w:val="none" w:sz="0" w:space="0" w:color="auto"/>
                    <w:bottom w:val="none" w:sz="0" w:space="0" w:color="auto"/>
                    <w:right w:val="none" w:sz="0" w:space="0" w:color="auto"/>
                  </w:divBdr>
                  <w:divsChild>
                    <w:div w:id="494565325">
                      <w:marLeft w:val="0"/>
                      <w:marRight w:val="0"/>
                      <w:marTop w:val="0"/>
                      <w:marBottom w:val="0"/>
                      <w:divBdr>
                        <w:top w:val="none" w:sz="0" w:space="0" w:color="auto"/>
                        <w:left w:val="none" w:sz="0" w:space="0" w:color="auto"/>
                        <w:bottom w:val="none" w:sz="0" w:space="0" w:color="auto"/>
                        <w:right w:val="none" w:sz="0" w:space="0" w:color="auto"/>
                      </w:divBdr>
                      <w:divsChild>
                        <w:div w:id="483938484">
                          <w:marLeft w:val="75"/>
                          <w:marRight w:val="0"/>
                          <w:marTop w:val="0"/>
                          <w:marBottom w:val="0"/>
                          <w:divBdr>
                            <w:top w:val="none" w:sz="0" w:space="0" w:color="auto"/>
                            <w:left w:val="none" w:sz="0" w:space="0" w:color="auto"/>
                            <w:bottom w:val="none" w:sz="0" w:space="0" w:color="auto"/>
                            <w:right w:val="none" w:sz="0" w:space="0" w:color="auto"/>
                          </w:divBdr>
                        </w:div>
                        <w:div w:id="149796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386961">
      <w:bodyDiv w:val="1"/>
      <w:marLeft w:val="0"/>
      <w:marRight w:val="0"/>
      <w:marTop w:val="0"/>
      <w:marBottom w:val="0"/>
      <w:divBdr>
        <w:top w:val="none" w:sz="0" w:space="0" w:color="auto"/>
        <w:left w:val="none" w:sz="0" w:space="0" w:color="auto"/>
        <w:bottom w:val="none" w:sz="0" w:space="0" w:color="auto"/>
        <w:right w:val="none" w:sz="0" w:space="0" w:color="auto"/>
      </w:divBdr>
      <w:divsChild>
        <w:div w:id="1350987810">
          <w:marLeft w:val="0"/>
          <w:marRight w:val="0"/>
          <w:marTop w:val="0"/>
          <w:marBottom w:val="0"/>
          <w:divBdr>
            <w:top w:val="none" w:sz="0" w:space="0" w:color="auto"/>
            <w:left w:val="none" w:sz="0" w:space="0" w:color="auto"/>
            <w:bottom w:val="dotted" w:sz="6" w:space="4" w:color="DDDDDD"/>
            <w:right w:val="none" w:sz="0" w:space="0" w:color="auto"/>
          </w:divBdr>
          <w:divsChild>
            <w:div w:id="141223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387204">
      <w:bodyDiv w:val="1"/>
      <w:marLeft w:val="0"/>
      <w:marRight w:val="0"/>
      <w:marTop w:val="0"/>
      <w:marBottom w:val="0"/>
      <w:divBdr>
        <w:top w:val="none" w:sz="0" w:space="0" w:color="auto"/>
        <w:left w:val="none" w:sz="0" w:space="0" w:color="auto"/>
        <w:bottom w:val="none" w:sz="0" w:space="0" w:color="auto"/>
        <w:right w:val="none" w:sz="0" w:space="0" w:color="auto"/>
      </w:divBdr>
      <w:divsChild>
        <w:div w:id="1025442625">
          <w:marLeft w:val="0"/>
          <w:marRight w:val="0"/>
          <w:marTop w:val="0"/>
          <w:marBottom w:val="0"/>
          <w:divBdr>
            <w:top w:val="none" w:sz="0" w:space="0" w:color="auto"/>
            <w:left w:val="none" w:sz="0" w:space="0" w:color="auto"/>
            <w:bottom w:val="none" w:sz="0" w:space="0" w:color="auto"/>
            <w:right w:val="none" w:sz="0" w:space="0" w:color="auto"/>
          </w:divBdr>
          <w:divsChild>
            <w:div w:id="1922786906">
              <w:marLeft w:val="0"/>
              <w:marRight w:val="0"/>
              <w:marTop w:val="0"/>
              <w:marBottom w:val="0"/>
              <w:divBdr>
                <w:top w:val="none" w:sz="0" w:space="0" w:color="auto"/>
                <w:left w:val="none" w:sz="0" w:space="0" w:color="auto"/>
                <w:bottom w:val="none" w:sz="0" w:space="0" w:color="auto"/>
                <w:right w:val="none" w:sz="0" w:space="0" w:color="auto"/>
              </w:divBdr>
              <w:divsChild>
                <w:div w:id="342320695">
                  <w:marLeft w:val="0"/>
                  <w:marRight w:val="0"/>
                  <w:marTop w:val="0"/>
                  <w:marBottom w:val="0"/>
                  <w:divBdr>
                    <w:top w:val="none" w:sz="0" w:space="0" w:color="auto"/>
                    <w:left w:val="none" w:sz="0" w:space="0" w:color="auto"/>
                    <w:bottom w:val="none" w:sz="0" w:space="0" w:color="auto"/>
                    <w:right w:val="none" w:sz="0" w:space="0" w:color="auto"/>
                  </w:divBdr>
                  <w:divsChild>
                    <w:div w:id="167718392">
                      <w:marLeft w:val="0"/>
                      <w:marRight w:val="0"/>
                      <w:marTop w:val="0"/>
                      <w:marBottom w:val="0"/>
                      <w:divBdr>
                        <w:top w:val="none" w:sz="0" w:space="0" w:color="auto"/>
                        <w:left w:val="none" w:sz="0" w:space="0" w:color="auto"/>
                        <w:bottom w:val="none" w:sz="0" w:space="0" w:color="auto"/>
                        <w:right w:val="none" w:sz="0" w:space="0" w:color="auto"/>
                      </w:divBdr>
                      <w:divsChild>
                        <w:div w:id="1351907603">
                          <w:marLeft w:val="0"/>
                          <w:marRight w:val="0"/>
                          <w:marTop w:val="0"/>
                          <w:marBottom w:val="0"/>
                          <w:divBdr>
                            <w:top w:val="none" w:sz="0" w:space="0" w:color="auto"/>
                            <w:left w:val="none" w:sz="0" w:space="0" w:color="auto"/>
                            <w:bottom w:val="none" w:sz="0" w:space="0" w:color="auto"/>
                            <w:right w:val="none" w:sz="0" w:space="0" w:color="auto"/>
                          </w:divBdr>
                          <w:divsChild>
                            <w:div w:id="1696954495">
                              <w:marLeft w:val="0"/>
                              <w:marRight w:val="0"/>
                              <w:marTop w:val="0"/>
                              <w:marBottom w:val="0"/>
                              <w:divBdr>
                                <w:top w:val="none" w:sz="0" w:space="0" w:color="auto"/>
                                <w:left w:val="none" w:sz="0" w:space="0" w:color="auto"/>
                                <w:bottom w:val="none" w:sz="0" w:space="0" w:color="auto"/>
                                <w:right w:val="none" w:sz="0" w:space="0" w:color="auto"/>
                              </w:divBdr>
                              <w:divsChild>
                                <w:div w:id="134979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9507693">
      <w:bodyDiv w:val="1"/>
      <w:marLeft w:val="0"/>
      <w:marRight w:val="0"/>
      <w:marTop w:val="0"/>
      <w:marBottom w:val="0"/>
      <w:divBdr>
        <w:top w:val="none" w:sz="0" w:space="0" w:color="auto"/>
        <w:left w:val="none" w:sz="0" w:space="0" w:color="auto"/>
        <w:bottom w:val="none" w:sz="0" w:space="0" w:color="auto"/>
        <w:right w:val="none" w:sz="0" w:space="0" w:color="auto"/>
      </w:divBdr>
      <w:divsChild>
        <w:div w:id="427392515">
          <w:marLeft w:val="0"/>
          <w:marRight w:val="0"/>
          <w:marTop w:val="0"/>
          <w:marBottom w:val="285"/>
          <w:divBdr>
            <w:top w:val="none" w:sz="0" w:space="0" w:color="auto"/>
            <w:left w:val="none" w:sz="0" w:space="0" w:color="auto"/>
            <w:bottom w:val="none" w:sz="0" w:space="0" w:color="auto"/>
            <w:right w:val="none" w:sz="0" w:space="0" w:color="auto"/>
          </w:divBdr>
          <w:divsChild>
            <w:div w:id="35581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656193">
      <w:bodyDiv w:val="1"/>
      <w:marLeft w:val="0"/>
      <w:marRight w:val="0"/>
      <w:marTop w:val="0"/>
      <w:marBottom w:val="0"/>
      <w:divBdr>
        <w:top w:val="none" w:sz="0" w:space="0" w:color="auto"/>
        <w:left w:val="none" w:sz="0" w:space="0" w:color="auto"/>
        <w:bottom w:val="none" w:sz="0" w:space="0" w:color="auto"/>
        <w:right w:val="none" w:sz="0" w:space="0" w:color="auto"/>
      </w:divBdr>
    </w:div>
    <w:div w:id="1610041928">
      <w:bodyDiv w:val="1"/>
      <w:marLeft w:val="0"/>
      <w:marRight w:val="0"/>
      <w:marTop w:val="0"/>
      <w:marBottom w:val="0"/>
      <w:divBdr>
        <w:top w:val="none" w:sz="0" w:space="0" w:color="auto"/>
        <w:left w:val="none" w:sz="0" w:space="0" w:color="auto"/>
        <w:bottom w:val="none" w:sz="0" w:space="0" w:color="auto"/>
        <w:right w:val="none" w:sz="0" w:space="0" w:color="auto"/>
      </w:divBdr>
      <w:divsChild>
        <w:div w:id="206375149">
          <w:marLeft w:val="0"/>
          <w:marRight w:val="0"/>
          <w:marTop w:val="0"/>
          <w:marBottom w:val="0"/>
          <w:divBdr>
            <w:top w:val="none" w:sz="0" w:space="0" w:color="auto"/>
            <w:left w:val="none" w:sz="0" w:space="0" w:color="auto"/>
            <w:bottom w:val="none" w:sz="0" w:space="0" w:color="auto"/>
            <w:right w:val="none" w:sz="0" w:space="0" w:color="auto"/>
          </w:divBdr>
          <w:divsChild>
            <w:div w:id="130637727">
              <w:marLeft w:val="0"/>
              <w:marRight w:val="0"/>
              <w:marTop w:val="0"/>
              <w:marBottom w:val="0"/>
              <w:divBdr>
                <w:top w:val="none" w:sz="0" w:space="0" w:color="auto"/>
                <w:left w:val="none" w:sz="0" w:space="0" w:color="auto"/>
                <w:bottom w:val="none" w:sz="0" w:space="0" w:color="auto"/>
                <w:right w:val="none" w:sz="0" w:space="0" w:color="auto"/>
              </w:divBdr>
              <w:divsChild>
                <w:div w:id="110738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161759">
          <w:marLeft w:val="0"/>
          <w:marRight w:val="0"/>
          <w:marTop w:val="0"/>
          <w:marBottom w:val="0"/>
          <w:divBdr>
            <w:top w:val="none" w:sz="0" w:space="0" w:color="auto"/>
            <w:left w:val="none" w:sz="0" w:space="0" w:color="auto"/>
            <w:bottom w:val="none" w:sz="0" w:space="0" w:color="auto"/>
            <w:right w:val="none" w:sz="0" w:space="0" w:color="auto"/>
          </w:divBdr>
          <w:divsChild>
            <w:div w:id="338583404">
              <w:marLeft w:val="0"/>
              <w:marRight w:val="0"/>
              <w:marTop w:val="0"/>
              <w:marBottom w:val="0"/>
              <w:divBdr>
                <w:top w:val="none" w:sz="0" w:space="0" w:color="auto"/>
                <w:left w:val="none" w:sz="0" w:space="0" w:color="auto"/>
                <w:bottom w:val="none" w:sz="0" w:space="0" w:color="auto"/>
                <w:right w:val="none" w:sz="0" w:space="0" w:color="auto"/>
              </w:divBdr>
            </w:div>
            <w:div w:id="1765494563">
              <w:marLeft w:val="0"/>
              <w:marRight w:val="0"/>
              <w:marTop w:val="0"/>
              <w:marBottom w:val="0"/>
              <w:divBdr>
                <w:top w:val="none" w:sz="0" w:space="0" w:color="auto"/>
                <w:left w:val="none" w:sz="0" w:space="0" w:color="auto"/>
                <w:bottom w:val="none" w:sz="0" w:space="0" w:color="auto"/>
                <w:right w:val="none" w:sz="0" w:space="0" w:color="auto"/>
              </w:divBdr>
            </w:div>
            <w:div w:id="1790272762">
              <w:marLeft w:val="0"/>
              <w:marRight w:val="0"/>
              <w:marTop w:val="0"/>
              <w:marBottom w:val="0"/>
              <w:divBdr>
                <w:top w:val="none" w:sz="0" w:space="0" w:color="auto"/>
                <w:left w:val="none" w:sz="0" w:space="0" w:color="auto"/>
                <w:bottom w:val="none" w:sz="0" w:space="0" w:color="auto"/>
                <w:right w:val="none" w:sz="0" w:space="0" w:color="auto"/>
              </w:divBdr>
              <w:divsChild>
                <w:div w:id="1683556035">
                  <w:marLeft w:val="0"/>
                  <w:marRight w:val="0"/>
                  <w:marTop w:val="0"/>
                  <w:marBottom w:val="0"/>
                  <w:divBdr>
                    <w:top w:val="none" w:sz="0" w:space="0" w:color="auto"/>
                    <w:left w:val="none" w:sz="0" w:space="0" w:color="auto"/>
                    <w:bottom w:val="none" w:sz="0" w:space="0" w:color="auto"/>
                    <w:right w:val="none" w:sz="0" w:space="0" w:color="auto"/>
                  </w:divBdr>
                  <w:divsChild>
                    <w:div w:id="13810569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672150018">
          <w:marLeft w:val="0"/>
          <w:marRight w:val="0"/>
          <w:marTop w:val="0"/>
          <w:marBottom w:val="300"/>
          <w:divBdr>
            <w:top w:val="none" w:sz="0" w:space="0" w:color="auto"/>
            <w:left w:val="none" w:sz="0" w:space="0" w:color="auto"/>
            <w:bottom w:val="none" w:sz="0" w:space="0" w:color="auto"/>
            <w:right w:val="none" w:sz="0" w:space="0" w:color="auto"/>
          </w:divBdr>
          <w:divsChild>
            <w:div w:id="1874344378">
              <w:marLeft w:val="0"/>
              <w:marRight w:val="0"/>
              <w:marTop w:val="0"/>
              <w:marBottom w:val="0"/>
              <w:divBdr>
                <w:top w:val="none" w:sz="0" w:space="0" w:color="auto"/>
                <w:left w:val="none" w:sz="0" w:space="0" w:color="auto"/>
                <w:bottom w:val="none" w:sz="0" w:space="0" w:color="auto"/>
                <w:right w:val="none" w:sz="0" w:space="0" w:color="auto"/>
              </w:divBdr>
            </w:div>
          </w:divsChild>
        </w:div>
        <w:div w:id="2127771218">
          <w:marLeft w:val="0"/>
          <w:marRight w:val="0"/>
          <w:marTop w:val="0"/>
          <w:marBottom w:val="75"/>
          <w:divBdr>
            <w:top w:val="none" w:sz="0" w:space="0" w:color="auto"/>
            <w:left w:val="none" w:sz="0" w:space="0" w:color="auto"/>
            <w:bottom w:val="none" w:sz="0" w:space="0" w:color="auto"/>
            <w:right w:val="none" w:sz="0" w:space="0" w:color="auto"/>
          </w:divBdr>
        </w:div>
      </w:divsChild>
    </w:div>
    <w:div w:id="1610309418">
      <w:bodyDiv w:val="1"/>
      <w:marLeft w:val="0"/>
      <w:marRight w:val="0"/>
      <w:marTop w:val="0"/>
      <w:marBottom w:val="0"/>
      <w:divBdr>
        <w:top w:val="none" w:sz="0" w:space="0" w:color="auto"/>
        <w:left w:val="none" w:sz="0" w:space="0" w:color="auto"/>
        <w:bottom w:val="none" w:sz="0" w:space="0" w:color="auto"/>
        <w:right w:val="none" w:sz="0" w:space="0" w:color="auto"/>
      </w:divBdr>
      <w:divsChild>
        <w:div w:id="799152139">
          <w:marLeft w:val="0"/>
          <w:marRight w:val="0"/>
          <w:marTop w:val="0"/>
          <w:marBottom w:val="0"/>
          <w:divBdr>
            <w:top w:val="none" w:sz="0" w:space="0" w:color="auto"/>
            <w:left w:val="none" w:sz="0" w:space="0" w:color="auto"/>
            <w:bottom w:val="none" w:sz="0" w:space="0" w:color="auto"/>
            <w:right w:val="none" w:sz="0" w:space="0" w:color="auto"/>
          </w:divBdr>
          <w:divsChild>
            <w:div w:id="230432284">
              <w:marLeft w:val="0"/>
              <w:marRight w:val="0"/>
              <w:marTop w:val="0"/>
              <w:marBottom w:val="0"/>
              <w:divBdr>
                <w:top w:val="none" w:sz="0" w:space="0" w:color="auto"/>
                <w:left w:val="none" w:sz="0" w:space="0" w:color="auto"/>
                <w:bottom w:val="none" w:sz="0" w:space="0" w:color="auto"/>
                <w:right w:val="none" w:sz="0" w:space="0" w:color="auto"/>
              </w:divBdr>
              <w:divsChild>
                <w:div w:id="1491825118">
                  <w:marLeft w:val="0"/>
                  <w:marRight w:val="0"/>
                  <w:marTop w:val="0"/>
                  <w:marBottom w:val="0"/>
                  <w:divBdr>
                    <w:top w:val="none" w:sz="0" w:space="0" w:color="auto"/>
                    <w:left w:val="none" w:sz="0" w:space="0" w:color="auto"/>
                    <w:bottom w:val="none" w:sz="0" w:space="0" w:color="auto"/>
                    <w:right w:val="none" w:sz="0" w:space="0" w:color="auto"/>
                  </w:divBdr>
                  <w:divsChild>
                    <w:div w:id="953439947">
                      <w:marLeft w:val="0"/>
                      <w:marRight w:val="0"/>
                      <w:marTop w:val="0"/>
                      <w:marBottom w:val="0"/>
                      <w:divBdr>
                        <w:top w:val="none" w:sz="0" w:space="0" w:color="auto"/>
                        <w:left w:val="none" w:sz="0" w:space="0" w:color="auto"/>
                        <w:bottom w:val="none" w:sz="0" w:space="0" w:color="auto"/>
                        <w:right w:val="none" w:sz="0" w:space="0" w:color="auto"/>
                      </w:divBdr>
                      <w:divsChild>
                        <w:div w:id="438110257">
                          <w:marLeft w:val="0"/>
                          <w:marRight w:val="0"/>
                          <w:marTop w:val="0"/>
                          <w:marBottom w:val="0"/>
                          <w:divBdr>
                            <w:top w:val="none" w:sz="0" w:space="0" w:color="auto"/>
                            <w:left w:val="none" w:sz="0" w:space="0" w:color="auto"/>
                            <w:bottom w:val="none" w:sz="0" w:space="0" w:color="auto"/>
                            <w:right w:val="none" w:sz="0" w:space="0" w:color="auto"/>
                          </w:divBdr>
                          <w:divsChild>
                            <w:div w:id="1211305038">
                              <w:marLeft w:val="0"/>
                              <w:marRight w:val="0"/>
                              <w:marTop w:val="0"/>
                              <w:marBottom w:val="0"/>
                              <w:divBdr>
                                <w:top w:val="none" w:sz="0" w:space="0" w:color="auto"/>
                                <w:left w:val="none" w:sz="0" w:space="0" w:color="auto"/>
                                <w:bottom w:val="none" w:sz="0" w:space="0" w:color="auto"/>
                                <w:right w:val="none" w:sz="0" w:space="0" w:color="auto"/>
                              </w:divBdr>
                              <w:divsChild>
                                <w:div w:id="1641303721">
                                  <w:marLeft w:val="0"/>
                                  <w:marRight w:val="0"/>
                                  <w:marTop w:val="0"/>
                                  <w:marBottom w:val="0"/>
                                  <w:divBdr>
                                    <w:top w:val="none" w:sz="0" w:space="0" w:color="auto"/>
                                    <w:left w:val="none" w:sz="0" w:space="0" w:color="auto"/>
                                    <w:bottom w:val="none" w:sz="0" w:space="0" w:color="auto"/>
                                    <w:right w:val="none" w:sz="0" w:space="0" w:color="auto"/>
                                  </w:divBdr>
                                  <w:divsChild>
                                    <w:div w:id="522016623">
                                      <w:marLeft w:val="0"/>
                                      <w:marRight w:val="0"/>
                                      <w:marTop w:val="0"/>
                                      <w:marBottom w:val="0"/>
                                      <w:divBdr>
                                        <w:top w:val="none" w:sz="0" w:space="0" w:color="auto"/>
                                        <w:left w:val="none" w:sz="0" w:space="0" w:color="auto"/>
                                        <w:bottom w:val="none" w:sz="0" w:space="0" w:color="auto"/>
                                        <w:right w:val="none" w:sz="0" w:space="0" w:color="auto"/>
                                      </w:divBdr>
                                      <w:divsChild>
                                        <w:div w:id="1173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0502006">
      <w:bodyDiv w:val="1"/>
      <w:marLeft w:val="0"/>
      <w:marRight w:val="0"/>
      <w:marTop w:val="0"/>
      <w:marBottom w:val="0"/>
      <w:divBdr>
        <w:top w:val="none" w:sz="0" w:space="0" w:color="auto"/>
        <w:left w:val="none" w:sz="0" w:space="0" w:color="auto"/>
        <w:bottom w:val="none" w:sz="0" w:space="0" w:color="auto"/>
        <w:right w:val="none" w:sz="0" w:space="0" w:color="auto"/>
      </w:divBdr>
      <w:divsChild>
        <w:div w:id="1538155559">
          <w:marLeft w:val="0"/>
          <w:marRight w:val="0"/>
          <w:marTop w:val="0"/>
          <w:marBottom w:val="0"/>
          <w:divBdr>
            <w:top w:val="none" w:sz="0" w:space="0" w:color="auto"/>
            <w:left w:val="none" w:sz="0" w:space="0" w:color="auto"/>
            <w:bottom w:val="dotted" w:sz="6" w:space="4" w:color="DDDDDD"/>
            <w:right w:val="none" w:sz="0" w:space="0" w:color="auto"/>
          </w:divBdr>
          <w:divsChild>
            <w:div w:id="97715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503753">
      <w:bodyDiv w:val="1"/>
      <w:marLeft w:val="0"/>
      <w:marRight w:val="0"/>
      <w:marTop w:val="0"/>
      <w:marBottom w:val="0"/>
      <w:divBdr>
        <w:top w:val="none" w:sz="0" w:space="0" w:color="auto"/>
        <w:left w:val="none" w:sz="0" w:space="0" w:color="auto"/>
        <w:bottom w:val="none" w:sz="0" w:space="0" w:color="auto"/>
        <w:right w:val="none" w:sz="0" w:space="0" w:color="auto"/>
      </w:divBdr>
    </w:div>
    <w:div w:id="1611277443">
      <w:bodyDiv w:val="1"/>
      <w:marLeft w:val="0"/>
      <w:marRight w:val="0"/>
      <w:marTop w:val="0"/>
      <w:marBottom w:val="0"/>
      <w:divBdr>
        <w:top w:val="none" w:sz="0" w:space="0" w:color="auto"/>
        <w:left w:val="none" w:sz="0" w:space="0" w:color="auto"/>
        <w:bottom w:val="none" w:sz="0" w:space="0" w:color="auto"/>
        <w:right w:val="none" w:sz="0" w:space="0" w:color="auto"/>
      </w:divBdr>
    </w:div>
    <w:div w:id="1611667555">
      <w:bodyDiv w:val="1"/>
      <w:marLeft w:val="0"/>
      <w:marRight w:val="0"/>
      <w:marTop w:val="0"/>
      <w:marBottom w:val="0"/>
      <w:divBdr>
        <w:top w:val="none" w:sz="0" w:space="0" w:color="auto"/>
        <w:left w:val="none" w:sz="0" w:space="0" w:color="auto"/>
        <w:bottom w:val="none" w:sz="0" w:space="0" w:color="auto"/>
        <w:right w:val="none" w:sz="0" w:space="0" w:color="auto"/>
      </w:divBdr>
      <w:divsChild>
        <w:div w:id="1515068574">
          <w:marLeft w:val="0"/>
          <w:marRight w:val="0"/>
          <w:marTop w:val="0"/>
          <w:marBottom w:val="0"/>
          <w:divBdr>
            <w:top w:val="none" w:sz="0" w:space="0" w:color="auto"/>
            <w:left w:val="none" w:sz="0" w:space="0" w:color="auto"/>
            <w:bottom w:val="none" w:sz="0" w:space="0" w:color="auto"/>
            <w:right w:val="none" w:sz="0" w:space="0" w:color="auto"/>
          </w:divBdr>
        </w:div>
      </w:divsChild>
    </w:div>
    <w:div w:id="1612206337">
      <w:bodyDiv w:val="1"/>
      <w:marLeft w:val="0"/>
      <w:marRight w:val="0"/>
      <w:marTop w:val="0"/>
      <w:marBottom w:val="0"/>
      <w:divBdr>
        <w:top w:val="none" w:sz="0" w:space="0" w:color="auto"/>
        <w:left w:val="none" w:sz="0" w:space="0" w:color="auto"/>
        <w:bottom w:val="none" w:sz="0" w:space="0" w:color="auto"/>
        <w:right w:val="none" w:sz="0" w:space="0" w:color="auto"/>
      </w:divBdr>
      <w:divsChild>
        <w:div w:id="265236809">
          <w:marLeft w:val="0"/>
          <w:marRight w:val="0"/>
          <w:marTop w:val="0"/>
          <w:marBottom w:val="0"/>
          <w:divBdr>
            <w:top w:val="none" w:sz="0" w:space="0" w:color="auto"/>
            <w:left w:val="none" w:sz="0" w:space="0" w:color="auto"/>
            <w:bottom w:val="none" w:sz="0" w:space="0" w:color="auto"/>
            <w:right w:val="none" w:sz="0" w:space="0" w:color="auto"/>
          </w:divBdr>
          <w:divsChild>
            <w:div w:id="1703824840">
              <w:marLeft w:val="0"/>
              <w:marRight w:val="0"/>
              <w:marTop w:val="0"/>
              <w:marBottom w:val="0"/>
              <w:divBdr>
                <w:top w:val="none" w:sz="0" w:space="0" w:color="auto"/>
                <w:left w:val="none" w:sz="0" w:space="0" w:color="auto"/>
                <w:bottom w:val="none" w:sz="0" w:space="0" w:color="auto"/>
                <w:right w:val="none" w:sz="0" w:space="0" w:color="auto"/>
              </w:divBdr>
              <w:divsChild>
                <w:div w:id="681008851">
                  <w:marLeft w:val="0"/>
                  <w:marRight w:val="0"/>
                  <w:marTop w:val="0"/>
                  <w:marBottom w:val="0"/>
                  <w:divBdr>
                    <w:top w:val="none" w:sz="0" w:space="0" w:color="auto"/>
                    <w:left w:val="none" w:sz="0" w:space="0" w:color="auto"/>
                    <w:bottom w:val="none" w:sz="0" w:space="0" w:color="auto"/>
                    <w:right w:val="none" w:sz="0" w:space="0" w:color="auto"/>
                  </w:divBdr>
                  <w:divsChild>
                    <w:div w:id="1154838493">
                      <w:marLeft w:val="0"/>
                      <w:marRight w:val="0"/>
                      <w:marTop w:val="0"/>
                      <w:marBottom w:val="0"/>
                      <w:divBdr>
                        <w:top w:val="none" w:sz="0" w:space="0" w:color="auto"/>
                        <w:left w:val="none" w:sz="0" w:space="0" w:color="auto"/>
                        <w:bottom w:val="none" w:sz="0" w:space="0" w:color="auto"/>
                        <w:right w:val="none" w:sz="0" w:space="0" w:color="auto"/>
                      </w:divBdr>
                      <w:divsChild>
                        <w:div w:id="175925407">
                          <w:marLeft w:val="0"/>
                          <w:marRight w:val="0"/>
                          <w:marTop w:val="0"/>
                          <w:marBottom w:val="0"/>
                          <w:divBdr>
                            <w:top w:val="none" w:sz="0" w:space="0" w:color="auto"/>
                            <w:left w:val="none" w:sz="0" w:space="0" w:color="auto"/>
                            <w:bottom w:val="none" w:sz="0" w:space="0" w:color="auto"/>
                            <w:right w:val="none" w:sz="0" w:space="0" w:color="auto"/>
                          </w:divBdr>
                          <w:divsChild>
                            <w:div w:id="585262297">
                              <w:marLeft w:val="0"/>
                              <w:marRight w:val="0"/>
                              <w:marTop w:val="0"/>
                              <w:marBottom w:val="0"/>
                              <w:divBdr>
                                <w:top w:val="none" w:sz="0" w:space="0" w:color="auto"/>
                                <w:left w:val="none" w:sz="0" w:space="0" w:color="auto"/>
                                <w:bottom w:val="none" w:sz="0" w:space="0" w:color="auto"/>
                                <w:right w:val="none" w:sz="0" w:space="0" w:color="auto"/>
                              </w:divBdr>
                              <w:divsChild>
                                <w:div w:id="390930428">
                                  <w:marLeft w:val="0"/>
                                  <w:marRight w:val="0"/>
                                  <w:marTop w:val="0"/>
                                  <w:marBottom w:val="0"/>
                                  <w:divBdr>
                                    <w:top w:val="none" w:sz="0" w:space="0" w:color="auto"/>
                                    <w:left w:val="none" w:sz="0" w:space="0" w:color="auto"/>
                                    <w:bottom w:val="none" w:sz="0" w:space="0" w:color="auto"/>
                                    <w:right w:val="none" w:sz="0" w:space="0" w:color="auto"/>
                                  </w:divBdr>
                                  <w:divsChild>
                                    <w:div w:id="52482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2323516">
      <w:bodyDiv w:val="1"/>
      <w:marLeft w:val="0"/>
      <w:marRight w:val="0"/>
      <w:marTop w:val="0"/>
      <w:marBottom w:val="0"/>
      <w:divBdr>
        <w:top w:val="none" w:sz="0" w:space="0" w:color="auto"/>
        <w:left w:val="none" w:sz="0" w:space="0" w:color="auto"/>
        <w:bottom w:val="none" w:sz="0" w:space="0" w:color="auto"/>
        <w:right w:val="none" w:sz="0" w:space="0" w:color="auto"/>
      </w:divBdr>
      <w:divsChild>
        <w:div w:id="740710475">
          <w:marLeft w:val="0"/>
          <w:marRight w:val="0"/>
          <w:marTop w:val="0"/>
          <w:marBottom w:val="0"/>
          <w:divBdr>
            <w:top w:val="none" w:sz="0" w:space="0" w:color="auto"/>
            <w:left w:val="none" w:sz="0" w:space="0" w:color="auto"/>
            <w:bottom w:val="none" w:sz="0" w:space="0" w:color="auto"/>
            <w:right w:val="none" w:sz="0" w:space="0" w:color="auto"/>
          </w:divBdr>
          <w:divsChild>
            <w:div w:id="742410019">
              <w:marLeft w:val="0"/>
              <w:marRight w:val="0"/>
              <w:marTop w:val="0"/>
              <w:marBottom w:val="0"/>
              <w:divBdr>
                <w:top w:val="none" w:sz="0" w:space="0" w:color="auto"/>
                <w:left w:val="none" w:sz="0" w:space="0" w:color="auto"/>
                <w:bottom w:val="none" w:sz="0" w:space="0" w:color="auto"/>
                <w:right w:val="none" w:sz="0" w:space="0" w:color="auto"/>
              </w:divBdr>
              <w:divsChild>
                <w:div w:id="1013264602">
                  <w:marLeft w:val="0"/>
                  <w:marRight w:val="0"/>
                  <w:marTop w:val="0"/>
                  <w:marBottom w:val="150"/>
                  <w:divBdr>
                    <w:top w:val="none" w:sz="0" w:space="0" w:color="auto"/>
                    <w:left w:val="none" w:sz="0" w:space="0" w:color="auto"/>
                    <w:bottom w:val="none" w:sz="0" w:space="0" w:color="auto"/>
                    <w:right w:val="none" w:sz="0" w:space="0" w:color="auto"/>
                  </w:divBdr>
                  <w:divsChild>
                    <w:div w:id="129135973">
                      <w:marLeft w:val="0"/>
                      <w:marRight w:val="0"/>
                      <w:marTop w:val="0"/>
                      <w:marBottom w:val="0"/>
                      <w:divBdr>
                        <w:top w:val="none" w:sz="0" w:space="0" w:color="auto"/>
                        <w:left w:val="none" w:sz="0" w:space="0" w:color="auto"/>
                        <w:bottom w:val="none" w:sz="0" w:space="0" w:color="auto"/>
                        <w:right w:val="none" w:sz="0" w:space="0" w:color="auto"/>
                      </w:divBdr>
                      <w:divsChild>
                        <w:div w:id="18819635">
                          <w:marLeft w:val="0"/>
                          <w:marRight w:val="0"/>
                          <w:marTop w:val="0"/>
                          <w:marBottom w:val="0"/>
                          <w:divBdr>
                            <w:top w:val="none" w:sz="0" w:space="0" w:color="auto"/>
                            <w:left w:val="none" w:sz="0" w:space="0" w:color="auto"/>
                            <w:bottom w:val="none" w:sz="0" w:space="0" w:color="auto"/>
                            <w:right w:val="none" w:sz="0" w:space="0" w:color="auto"/>
                          </w:divBdr>
                          <w:divsChild>
                            <w:div w:id="428816118">
                              <w:marLeft w:val="0"/>
                              <w:marRight w:val="0"/>
                              <w:marTop w:val="0"/>
                              <w:marBottom w:val="0"/>
                              <w:divBdr>
                                <w:top w:val="none" w:sz="0" w:space="0" w:color="auto"/>
                                <w:left w:val="none" w:sz="0" w:space="0" w:color="auto"/>
                                <w:bottom w:val="none" w:sz="0" w:space="0" w:color="auto"/>
                                <w:right w:val="none" w:sz="0" w:space="0" w:color="auto"/>
                              </w:divBdr>
                              <w:divsChild>
                                <w:div w:id="1172455683">
                                  <w:marLeft w:val="0"/>
                                  <w:marRight w:val="0"/>
                                  <w:marTop w:val="0"/>
                                  <w:marBottom w:val="0"/>
                                  <w:divBdr>
                                    <w:top w:val="none" w:sz="0" w:space="0" w:color="auto"/>
                                    <w:left w:val="none" w:sz="0" w:space="0" w:color="auto"/>
                                    <w:bottom w:val="none" w:sz="0" w:space="0" w:color="auto"/>
                                    <w:right w:val="none" w:sz="0" w:space="0" w:color="auto"/>
                                  </w:divBdr>
                                  <w:divsChild>
                                    <w:div w:id="2094161465">
                                      <w:marLeft w:val="0"/>
                                      <w:marRight w:val="0"/>
                                      <w:marTop w:val="0"/>
                                      <w:marBottom w:val="0"/>
                                      <w:divBdr>
                                        <w:top w:val="none" w:sz="0" w:space="0" w:color="auto"/>
                                        <w:left w:val="none" w:sz="0" w:space="0" w:color="auto"/>
                                        <w:bottom w:val="none" w:sz="0" w:space="0" w:color="auto"/>
                                        <w:right w:val="none" w:sz="0" w:space="0" w:color="auto"/>
                                      </w:divBdr>
                                      <w:divsChild>
                                        <w:div w:id="791169116">
                                          <w:marLeft w:val="0"/>
                                          <w:marRight w:val="0"/>
                                          <w:marTop w:val="0"/>
                                          <w:marBottom w:val="0"/>
                                          <w:divBdr>
                                            <w:top w:val="none" w:sz="0" w:space="0" w:color="auto"/>
                                            <w:left w:val="none" w:sz="0" w:space="0" w:color="auto"/>
                                            <w:bottom w:val="none" w:sz="0" w:space="0" w:color="auto"/>
                                            <w:right w:val="none" w:sz="0" w:space="0" w:color="auto"/>
                                          </w:divBdr>
                                          <w:divsChild>
                                            <w:div w:id="1192185856">
                                              <w:marLeft w:val="0"/>
                                              <w:marRight w:val="0"/>
                                              <w:marTop w:val="0"/>
                                              <w:marBottom w:val="0"/>
                                              <w:divBdr>
                                                <w:top w:val="none" w:sz="0" w:space="0" w:color="auto"/>
                                                <w:left w:val="none" w:sz="0" w:space="0" w:color="auto"/>
                                                <w:bottom w:val="none" w:sz="0" w:space="0" w:color="auto"/>
                                                <w:right w:val="none" w:sz="0" w:space="0" w:color="auto"/>
                                              </w:divBdr>
                                              <w:divsChild>
                                                <w:div w:id="42017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2468127">
      <w:bodyDiv w:val="1"/>
      <w:marLeft w:val="0"/>
      <w:marRight w:val="0"/>
      <w:marTop w:val="0"/>
      <w:marBottom w:val="0"/>
      <w:divBdr>
        <w:top w:val="none" w:sz="0" w:space="0" w:color="auto"/>
        <w:left w:val="none" w:sz="0" w:space="0" w:color="auto"/>
        <w:bottom w:val="none" w:sz="0" w:space="0" w:color="auto"/>
        <w:right w:val="none" w:sz="0" w:space="0" w:color="auto"/>
      </w:divBdr>
      <w:divsChild>
        <w:div w:id="1428380557">
          <w:marLeft w:val="150"/>
          <w:marRight w:val="150"/>
          <w:marTop w:val="75"/>
          <w:marBottom w:val="150"/>
          <w:divBdr>
            <w:top w:val="single" w:sz="12" w:space="4" w:color="993333"/>
            <w:left w:val="single" w:sz="12" w:space="4" w:color="993333"/>
            <w:bottom w:val="single" w:sz="12" w:space="4" w:color="993333"/>
            <w:right w:val="single" w:sz="12" w:space="4" w:color="993333"/>
          </w:divBdr>
        </w:div>
        <w:div w:id="1754207679">
          <w:marLeft w:val="0"/>
          <w:marRight w:val="0"/>
          <w:marTop w:val="0"/>
          <w:marBottom w:val="0"/>
          <w:divBdr>
            <w:top w:val="none" w:sz="0" w:space="0" w:color="auto"/>
            <w:left w:val="none" w:sz="0" w:space="0" w:color="auto"/>
            <w:bottom w:val="dotted" w:sz="6" w:space="4" w:color="DDDDDD"/>
            <w:right w:val="none" w:sz="0" w:space="0" w:color="auto"/>
          </w:divBdr>
          <w:divsChild>
            <w:div w:id="51527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594458">
      <w:bodyDiv w:val="1"/>
      <w:marLeft w:val="0"/>
      <w:marRight w:val="0"/>
      <w:marTop w:val="0"/>
      <w:marBottom w:val="0"/>
      <w:divBdr>
        <w:top w:val="none" w:sz="0" w:space="0" w:color="auto"/>
        <w:left w:val="none" w:sz="0" w:space="0" w:color="auto"/>
        <w:bottom w:val="none" w:sz="0" w:space="0" w:color="auto"/>
        <w:right w:val="none" w:sz="0" w:space="0" w:color="auto"/>
      </w:divBdr>
      <w:divsChild>
        <w:div w:id="1748070550">
          <w:marLeft w:val="0"/>
          <w:marRight w:val="0"/>
          <w:marTop w:val="0"/>
          <w:marBottom w:val="150"/>
          <w:divBdr>
            <w:top w:val="none" w:sz="0" w:space="0" w:color="auto"/>
            <w:left w:val="none" w:sz="0" w:space="0" w:color="auto"/>
            <w:bottom w:val="none" w:sz="0" w:space="0" w:color="auto"/>
            <w:right w:val="none" w:sz="0" w:space="0" w:color="auto"/>
          </w:divBdr>
        </w:div>
      </w:divsChild>
    </w:div>
    <w:div w:id="1612863031">
      <w:bodyDiv w:val="1"/>
      <w:marLeft w:val="0"/>
      <w:marRight w:val="0"/>
      <w:marTop w:val="0"/>
      <w:marBottom w:val="0"/>
      <w:divBdr>
        <w:top w:val="none" w:sz="0" w:space="0" w:color="auto"/>
        <w:left w:val="none" w:sz="0" w:space="0" w:color="auto"/>
        <w:bottom w:val="none" w:sz="0" w:space="0" w:color="auto"/>
        <w:right w:val="none" w:sz="0" w:space="0" w:color="auto"/>
      </w:divBdr>
    </w:div>
    <w:div w:id="1613365427">
      <w:bodyDiv w:val="1"/>
      <w:marLeft w:val="0"/>
      <w:marRight w:val="0"/>
      <w:marTop w:val="0"/>
      <w:marBottom w:val="0"/>
      <w:divBdr>
        <w:top w:val="none" w:sz="0" w:space="0" w:color="auto"/>
        <w:left w:val="none" w:sz="0" w:space="0" w:color="auto"/>
        <w:bottom w:val="none" w:sz="0" w:space="0" w:color="auto"/>
        <w:right w:val="none" w:sz="0" w:space="0" w:color="auto"/>
      </w:divBdr>
    </w:div>
    <w:div w:id="1613395369">
      <w:bodyDiv w:val="1"/>
      <w:marLeft w:val="0"/>
      <w:marRight w:val="0"/>
      <w:marTop w:val="0"/>
      <w:marBottom w:val="0"/>
      <w:divBdr>
        <w:top w:val="none" w:sz="0" w:space="0" w:color="auto"/>
        <w:left w:val="none" w:sz="0" w:space="0" w:color="auto"/>
        <w:bottom w:val="none" w:sz="0" w:space="0" w:color="auto"/>
        <w:right w:val="none" w:sz="0" w:space="0" w:color="auto"/>
      </w:divBdr>
      <w:divsChild>
        <w:div w:id="1181243003">
          <w:marLeft w:val="0"/>
          <w:marRight w:val="0"/>
          <w:marTop w:val="0"/>
          <w:marBottom w:val="0"/>
          <w:divBdr>
            <w:top w:val="none" w:sz="0" w:space="0" w:color="auto"/>
            <w:left w:val="none" w:sz="0" w:space="0" w:color="auto"/>
            <w:bottom w:val="dotted" w:sz="6" w:space="4" w:color="DDDDDD"/>
            <w:right w:val="none" w:sz="0" w:space="0" w:color="auto"/>
          </w:divBdr>
        </w:div>
      </w:divsChild>
    </w:div>
    <w:div w:id="1613707440">
      <w:bodyDiv w:val="1"/>
      <w:marLeft w:val="0"/>
      <w:marRight w:val="0"/>
      <w:marTop w:val="0"/>
      <w:marBottom w:val="0"/>
      <w:divBdr>
        <w:top w:val="none" w:sz="0" w:space="0" w:color="auto"/>
        <w:left w:val="none" w:sz="0" w:space="0" w:color="auto"/>
        <w:bottom w:val="none" w:sz="0" w:space="0" w:color="auto"/>
        <w:right w:val="none" w:sz="0" w:space="0" w:color="auto"/>
      </w:divBdr>
      <w:divsChild>
        <w:div w:id="115830961">
          <w:marLeft w:val="0"/>
          <w:marRight w:val="0"/>
          <w:marTop w:val="0"/>
          <w:marBottom w:val="150"/>
          <w:divBdr>
            <w:top w:val="none" w:sz="0" w:space="0" w:color="auto"/>
            <w:left w:val="none" w:sz="0" w:space="0" w:color="auto"/>
            <w:bottom w:val="none" w:sz="0" w:space="0" w:color="auto"/>
            <w:right w:val="none" w:sz="0" w:space="0" w:color="auto"/>
          </w:divBdr>
        </w:div>
      </w:divsChild>
    </w:div>
    <w:div w:id="1613972376">
      <w:bodyDiv w:val="1"/>
      <w:marLeft w:val="0"/>
      <w:marRight w:val="0"/>
      <w:marTop w:val="0"/>
      <w:marBottom w:val="0"/>
      <w:divBdr>
        <w:top w:val="none" w:sz="0" w:space="0" w:color="auto"/>
        <w:left w:val="none" w:sz="0" w:space="0" w:color="auto"/>
        <w:bottom w:val="none" w:sz="0" w:space="0" w:color="auto"/>
        <w:right w:val="none" w:sz="0" w:space="0" w:color="auto"/>
      </w:divBdr>
    </w:div>
    <w:div w:id="1614049953">
      <w:bodyDiv w:val="1"/>
      <w:marLeft w:val="0"/>
      <w:marRight w:val="0"/>
      <w:marTop w:val="0"/>
      <w:marBottom w:val="0"/>
      <w:divBdr>
        <w:top w:val="none" w:sz="0" w:space="0" w:color="auto"/>
        <w:left w:val="none" w:sz="0" w:space="0" w:color="auto"/>
        <w:bottom w:val="none" w:sz="0" w:space="0" w:color="auto"/>
        <w:right w:val="none" w:sz="0" w:space="0" w:color="auto"/>
      </w:divBdr>
      <w:divsChild>
        <w:div w:id="115368232">
          <w:marLeft w:val="0"/>
          <w:marRight w:val="0"/>
          <w:marTop w:val="0"/>
          <w:marBottom w:val="0"/>
          <w:divBdr>
            <w:top w:val="none" w:sz="0" w:space="0" w:color="auto"/>
            <w:left w:val="none" w:sz="0" w:space="0" w:color="auto"/>
            <w:bottom w:val="none" w:sz="0" w:space="0" w:color="auto"/>
            <w:right w:val="none" w:sz="0" w:space="0" w:color="auto"/>
          </w:divBdr>
        </w:div>
      </w:divsChild>
    </w:div>
    <w:div w:id="1614089394">
      <w:bodyDiv w:val="1"/>
      <w:marLeft w:val="0"/>
      <w:marRight w:val="0"/>
      <w:marTop w:val="0"/>
      <w:marBottom w:val="0"/>
      <w:divBdr>
        <w:top w:val="none" w:sz="0" w:space="0" w:color="auto"/>
        <w:left w:val="none" w:sz="0" w:space="0" w:color="auto"/>
        <w:bottom w:val="none" w:sz="0" w:space="0" w:color="auto"/>
        <w:right w:val="none" w:sz="0" w:space="0" w:color="auto"/>
      </w:divBdr>
      <w:divsChild>
        <w:div w:id="1317803132">
          <w:marLeft w:val="0"/>
          <w:marRight w:val="0"/>
          <w:marTop w:val="0"/>
          <w:marBottom w:val="150"/>
          <w:divBdr>
            <w:top w:val="none" w:sz="0" w:space="0" w:color="auto"/>
            <w:left w:val="none" w:sz="0" w:space="0" w:color="auto"/>
            <w:bottom w:val="none" w:sz="0" w:space="0" w:color="auto"/>
            <w:right w:val="none" w:sz="0" w:space="0" w:color="auto"/>
          </w:divBdr>
        </w:div>
      </w:divsChild>
    </w:div>
    <w:div w:id="1614098299">
      <w:bodyDiv w:val="1"/>
      <w:marLeft w:val="0"/>
      <w:marRight w:val="0"/>
      <w:marTop w:val="0"/>
      <w:marBottom w:val="0"/>
      <w:divBdr>
        <w:top w:val="none" w:sz="0" w:space="0" w:color="auto"/>
        <w:left w:val="none" w:sz="0" w:space="0" w:color="auto"/>
        <w:bottom w:val="none" w:sz="0" w:space="0" w:color="auto"/>
        <w:right w:val="none" w:sz="0" w:space="0" w:color="auto"/>
      </w:divBdr>
      <w:divsChild>
        <w:div w:id="733431278">
          <w:marLeft w:val="0"/>
          <w:marRight w:val="0"/>
          <w:marTop w:val="0"/>
          <w:marBottom w:val="0"/>
          <w:divBdr>
            <w:top w:val="none" w:sz="0" w:space="0" w:color="auto"/>
            <w:left w:val="none" w:sz="0" w:space="0" w:color="auto"/>
            <w:bottom w:val="none" w:sz="0" w:space="0" w:color="auto"/>
            <w:right w:val="none" w:sz="0" w:space="0" w:color="auto"/>
          </w:divBdr>
          <w:divsChild>
            <w:div w:id="1963656307">
              <w:marLeft w:val="0"/>
              <w:marRight w:val="0"/>
              <w:marTop w:val="0"/>
              <w:marBottom w:val="0"/>
              <w:divBdr>
                <w:top w:val="none" w:sz="0" w:space="0" w:color="auto"/>
                <w:left w:val="none" w:sz="0" w:space="0" w:color="auto"/>
                <w:bottom w:val="none" w:sz="0" w:space="0" w:color="auto"/>
                <w:right w:val="none" w:sz="0" w:space="0" w:color="auto"/>
              </w:divBdr>
              <w:divsChild>
                <w:div w:id="184906202">
                  <w:marLeft w:val="0"/>
                  <w:marRight w:val="0"/>
                  <w:marTop w:val="0"/>
                  <w:marBottom w:val="0"/>
                  <w:divBdr>
                    <w:top w:val="none" w:sz="0" w:space="0" w:color="auto"/>
                    <w:left w:val="none" w:sz="0" w:space="0" w:color="auto"/>
                    <w:bottom w:val="none" w:sz="0" w:space="0" w:color="auto"/>
                    <w:right w:val="none" w:sz="0" w:space="0" w:color="auto"/>
                  </w:divBdr>
                  <w:divsChild>
                    <w:div w:id="458769983">
                      <w:marLeft w:val="0"/>
                      <w:marRight w:val="0"/>
                      <w:marTop w:val="0"/>
                      <w:marBottom w:val="0"/>
                      <w:divBdr>
                        <w:top w:val="none" w:sz="0" w:space="0" w:color="auto"/>
                        <w:left w:val="none" w:sz="0" w:space="0" w:color="auto"/>
                        <w:bottom w:val="none" w:sz="0" w:space="0" w:color="auto"/>
                        <w:right w:val="none" w:sz="0" w:space="0" w:color="auto"/>
                      </w:divBdr>
                      <w:divsChild>
                        <w:div w:id="789667323">
                          <w:marLeft w:val="0"/>
                          <w:marRight w:val="0"/>
                          <w:marTop w:val="0"/>
                          <w:marBottom w:val="0"/>
                          <w:divBdr>
                            <w:top w:val="none" w:sz="0" w:space="0" w:color="auto"/>
                            <w:left w:val="none" w:sz="0" w:space="0" w:color="auto"/>
                            <w:bottom w:val="none" w:sz="0" w:space="0" w:color="auto"/>
                            <w:right w:val="none" w:sz="0" w:space="0" w:color="auto"/>
                          </w:divBdr>
                          <w:divsChild>
                            <w:div w:id="103704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4243246">
      <w:bodyDiv w:val="1"/>
      <w:marLeft w:val="0"/>
      <w:marRight w:val="0"/>
      <w:marTop w:val="0"/>
      <w:marBottom w:val="0"/>
      <w:divBdr>
        <w:top w:val="none" w:sz="0" w:space="0" w:color="auto"/>
        <w:left w:val="none" w:sz="0" w:space="0" w:color="auto"/>
        <w:bottom w:val="none" w:sz="0" w:space="0" w:color="auto"/>
        <w:right w:val="none" w:sz="0" w:space="0" w:color="auto"/>
      </w:divBdr>
      <w:divsChild>
        <w:div w:id="704406144">
          <w:marLeft w:val="0"/>
          <w:marRight w:val="0"/>
          <w:marTop w:val="0"/>
          <w:marBottom w:val="0"/>
          <w:divBdr>
            <w:top w:val="none" w:sz="0" w:space="0" w:color="auto"/>
            <w:left w:val="none" w:sz="0" w:space="0" w:color="auto"/>
            <w:bottom w:val="dotted" w:sz="6" w:space="4" w:color="DDDDDD"/>
            <w:right w:val="none" w:sz="0" w:space="0" w:color="auto"/>
          </w:divBdr>
        </w:div>
      </w:divsChild>
    </w:div>
    <w:div w:id="1614480938">
      <w:bodyDiv w:val="1"/>
      <w:marLeft w:val="0"/>
      <w:marRight w:val="0"/>
      <w:marTop w:val="0"/>
      <w:marBottom w:val="0"/>
      <w:divBdr>
        <w:top w:val="none" w:sz="0" w:space="0" w:color="auto"/>
        <w:left w:val="none" w:sz="0" w:space="0" w:color="auto"/>
        <w:bottom w:val="none" w:sz="0" w:space="0" w:color="auto"/>
        <w:right w:val="none" w:sz="0" w:space="0" w:color="auto"/>
      </w:divBdr>
      <w:divsChild>
        <w:div w:id="1660619879">
          <w:marLeft w:val="0"/>
          <w:marRight w:val="0"/>
          <w:marTop w:val="0"/>
          <w:marBottom w:val="0"/>
          <w:divBdr>
            <w:top w:val="none" w:sz="0" w:space="0" w:color="auto"/>
            <w:left w:val="none" w:sz="0" w:space="0" w:color="auto"/>
            <w:bottom w:val="none" w:sz="0" w:space="0" w:color="auto"/>
            <w:right w:val="none" w:sz="0" w:space="0" w:color="auto"/>
          </w:divBdr>
        </w:div>
      </w:divsChild>
    </w:div>
    <w:div w:id="1614745058">
      <w:bodyDiv w:val="1"/>
      <w:marLeft w:val="0"/>
      <w:marRight w:val="0"/>
      <w:marTop w:val="0"/>
      <w:marBottom w:val="0"/>
      <w:divBdr>
        <w:top w:val="none" w:sz="0" w:space="0" w:color="auto"/>
        <w:left w:val="none" w:sz="0" w:space="0" w:color="auto"/>
        <w:bottom w:val="none" w:sz="0" w:space="0" w:color="auto"/>
        <w:right w:val="none" w:sz="0" w:space="0" w:color="auto"/>
      </w:divBdr>
      <w:divsChild>
        <w:div w:id="155923705">
          <w:marLeft w:val="0"/>
          <w:marRight w:val="0"/>
          <w:marTop w:val="0"/>
          <w:marBottom w:val="450"/>
          <w:divBdr>
            <w:top w:val="none" w:sz="0" w:space="0" w:color="auto"/>
            <w:left w:val="none" w:sz="0" w:space="0" w:color="auto"/>
            <w:bottom w:val="single" w:sz="6" w:space="19" w:color="EEEEEE"/>
            <w:right w:val="none" w:sz="0" w:space="0" w:color="auto"/>
          </w:divBdr>
          <w:divsChild>
            <w:div w:id="1005597577">
              <w:marLeft w:val="0"/>
              <w:marRight w:val="0"/>
              <w:marTop w:val="0"/>
              <w:marBottom w:val="150"/>
              <w:divBdr>
                <w:top w:val="none" w:sz="0" w:space="0" w:color="auto"/>
                <w:left w:val="none" w:sz="0" w:space="0" w:color="auto"/>
                <w:bottom w:val="none" w:sz="0" w:space="0" w:color="auto"/>
                <w:right w:val="none" w:sz="0" w:space="0" w:color="auto"/>
              </w:divBdr>
              <w:divsChild>
                <w:div w:id="1593850609">
                  <w:marLeft w:val="0"/>
                  <w:marRight w:val="0"/>
                  <w:marTop w:val="0"/>
                  <w:marBottom w:val="0"/>
                  <w:divBdr>
                    <w:top w:val="none" w:sz="0" w:space="0" w:color="auto"/>
                    <w:left w:val="none" w:sz="0" w:space="0" w:color="auto"/>
                    <w:bottom w:val="none" w:sz="0" w:space="0" w:color="auto"/>
                    <w:right w:val="none" w:sz="0" w:space="0" w:color="auto"/>
                  </w:divBdr>
                </w:div>
              </w:divsChild>
            </w:div>
            <w:div w:id="612371217">
              <w:marLeft w:val="0"/>
              <w:marRight w:val="0"/>
              <w:marTop w:val="0"/>
              <w:marBottom w:val="0"/>
              <w:divBdr>
                <w:top w:val="none" w:sz="0" w:space="0" w:color="auto"/>
                <w:left w:val="none" w:sz="0" w:space="0" w:color="auto"/>
                <w:bottom w:val="none" w:sz="0" w:space="0" w:color="auto"/>
                <w:right w:val="none" w:sz="0" w:space="0" w:color="auto"/>
              </w:divBdr>
            </w:div>
          </w:divsChild>
        </w:div>
        <w:div w:id="300886839">
          <w:marLeft w:val="0"/>
          <w:marRight w:val="0"/>
          <w:marTop w:val="0"/>
          <w:marBottom w:val="0"/>
          <w:divBdr>
            <w:top w:val="none" w:sz="0" w:space="0" w:color="auto"/>
            <w:left w:val="none" w:sz="0" w:space="0" w:color="auto"/>
            <w:bottom w:val="none" w:sz="0" w:space="0" w:color="auto"/>
            <w:right w:val="none" w:sz="0" w:space="0" w:color="auto"/>
          </w:divBdr>
          <w:divsChild>
            <w:div w:id="1665739382">
              <w:marLeft w:val="0"/>
              <w:marRight w:val="0"/>
              <w:marTop w:val="0"/>
              <w:marBottom w:val="0"/>
              <w:divBdr>
                <w:top w:val="none" w:sz="0" w:space="0" w:color="auto"/>
                <w:left w:val="none" w:sz="0" w:space="0" w:color="auto"/>
                <w:bottom w:val="none" w:sz="0" w:space="0" w:color="auto"/>
                <w:right w:val="none" w:sz="0" w:space="0" w:color="auto"/>
              </w:divBdr>
              <w:divsChild>
                <w:div w:id="40619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749706">
      <w:bodyDiv w:val="1"/>
      <w:marLeft w:val="0"/>
      <w:marRight w:val="0"/>
      <w:marTop w:val="0"/>
      <w:marBottom w:val="0"/>
      <w:divBdr>
        <w:top w:val="none" w:sz="0" w:space="0" w:color="auto"/>
        <w:left w:val="none" w:sz="0" w:space="0" w:color="auto"/>
        <w:bottom w:val="none" w:sz="0" w:space="0" w:color="auto"/>
        <w:right w:val="none" w:sz="0" w:space="0" w:color="auto"/>
      </w:divBdr>
      <w:divsChild>
        <w:div w:id="2030790789">
          <w:marLeft w:val="0"/>
          <w:marRight w:val="0"/>
          <w:marTop w:val="0"/>
          <w:marBottom w:val="0"/>
          <w:divBdr>
            <w:top w:val="none" w:sz="0" w:space="0" w:color="auto"/>
            <w:left w:val="none" w:sz="0" w:space="0" w:color="auto"/>
            <w:bottom w:val="dotted" w:sz="6" w:space="4" w:color="DDDDDD"/>
            <w:right w:val="none" w:sz="0" w:space="0" w:color="auto"/>
          </w:divBdr>
          <w:divsChild>
            <w:div w:id="15614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826991">
      <w:bodyDiv w:val="1"/>
      <w:marLeft w:val="0"/>
      <w:marRight w:val="0"/>
      <w:marTop w:val="0"/>
      <w:marBottom w:val="0"/>
      <w:divBdr>
        <w:top w:val="none" w:sz="0" w:space="0" w:color="auto"/>
        <w:left w:val="none" w:sz="0" w:space="0" w:color="auto"/>
        <w:bottom w:val="none" w:sz="0" w:space="0" w:color="auto"/>
        <w:right w:val="none" w:sz="0" w:space="0" w:color="auto"/>
      </w:divBdr>
      <w:divsChild>
        <w:div w:id="1951663437">
          <w:marLeft w:val="0"/>
          <w:marRight w:val="0"/>
          <w:marTop w:val="0"/>
          <w:marBottom w:val="0"/>
          <w:divBdr>
            <w:top w:val="none" w:sz="0" w:space="0" w:color="auto"/>
            <w:left w:val="none" w:sz="0" w:space="0" w:color="auto"/>
            <w:bottom w:val="dotted" w:sz="6" w:space="4" w:color="DDDDDD"/>
            <w:right w:val="none" w:sz="0" w:space="0" w:color="auto"/>
          </w:divBdr>
          <w:divsChild>
            <w:div w:id="185591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207631">
      <w:bodyDiv w:val="1"/>
      <w:marLeft w:val="0"/>
      <w:marRight w:val="0"/>
      <w:marTop w:val="0"/>
      <w:marBottom w:val="0"/>
      <w:divBdr>
        <w:top w:val="none" w:sz="0" w:space="0" w:color="auto"/>
        <w:left w:val="none" w:sz="0" w:space="0" w:color="auto"/>
        <w:bottom w:val="none" w:sz="0" w:space="0" w:color="auto"/>
        <w:right w:val="none" w:sz="0" w:space="0" w:color="auto"/>
      </w:divBdr>
      <w:divsChild>
        <w:div w:id="521626430">
          <w:marLeft w:val="0"/>
          <w:marRight w:val="0"/>
          <w:marTop w:val="0"/>
          <w:marBottom w:val="0"/>
          <w:divBdr>
            <w:top w:val="none" w:sz="0" w:space="0" w:color="auto"/>
            <w:left w:val="none" w:sz="0" w:space="0" w:color="auto"/>
            <w:bottom w:val="none" w:sz="0" w:space="0" w:color="auto"/>
            <w:right w:val="none" w:sz="0" w:space="0" w:color="auto"/>
          </w:divBdr>
        </w:div>
      </w:divsChild>
    </w:div>
    <w:div w:id="1615290115">
      <w:bodyDiv w:val="1"/>
      <w:marLeft w:val="0"/>
      <w:marRight w:val="0"/>
      <w:marTop w:val="0"/>
      <w:marBottom w:val="0"/>
      <w:divBdr>
        <w:top w:val="none" w:sz="0" w:space="0" w:color="auto"/>
        <w:left w:val="none" w:sz="0" w:space="0" w:color="auto"/>
        <w:bottom w:val="none" w:sz="0" w:space="0" w:color="auto"/>
        <w:right w:val="none" w:sz="0" w:space="0" w:color="auto"/>
      </w:divBdr>
    </w:div>
    <w:div w:id="1615483027">
      <w:bodyDiv w:val="1"/>
      <w:marLeft w:val="0"/>
      <w:marRight w:val="0"/>
      <w:marTop w:val="0"/>
      <w:marBottom w:val="0"/>
      <w:divBdr>
        <w:top w:val="none" w:sz="0" w:space="0" w:color="auto"/>
        <w:left w:val="none" w:sz="0" w:space="0" w:color="auto"/>
        <w:bottom w:val="none" w:sz="0" w:space="0" w:color="auto"/>
        <w:right w:val="none" w:sz="0" w:space="0" w:color="auto"/>
      </w:divBdr>
    </w:div>
    <w:div w:id="1615558988">
      <w:bodyDiv w:val="1"/>
      <w:marLeft w:val="0"/>
      <w:marRight w:val="0"/>
      <w:marTop w:val="0"/>
      <w:marBottom w:val="0"/>
      <w:divBdr>
        <w:top w:val="none" w:sz="0" w:space="0" w:color="auto"/>
        <w:left w:val="none" w:sz="0" w:space="0" w:color="auto"/>
        <w:bottom w:val="none" w:sz="0" w:space="0" w:color="auto"/>
        <w:right w:val="none" w:sz="0" w:space="0" w:color="auto"/>
      </w:divBdr>
      <w:divsChild>
        <w:div w:id="1946111975">
          <w:marLeft w:val="0"/>
          <w:marRight w:val="0"/>
          <w:marTop w:val="0"/>
          <w:marBottom w:val="0"/>
          <w:divBdr>
            <w:top w:val="none" w:sz="0" w:space="0" w:color="auto"/>
            <w:left w:val="none" w:sz="0" w:space="0" w:color="auto"/>
            <w:bottom w:val="dotted" w:sz="6" w:space="4" w:color="DDDDDD"/>
            <w:right w:val="none" w:sz="0" w:space="0" w:color="auto"/>
          </w:divBdr>
          <w:divsChild>
            <w:div w:id="210013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601916">
      <w:bodyDiv w:val="1"/>
      <w:marLeft w:val="0"/>
      <w:marRight w:val="0"/>
      <w:marTop w:val="0"/>
      <w:marBottom w:val="0"/>
      <w:divBdr>
        <w:top w:val="none" w:sz="0" w:space="0" w:color="auto"/>
        <w:left w:val="none" w:sz="0" w:space="0" w:color="auto"/>
        <w:bottom w:val="none" w:sz="0" w:space="0" w:color="auto"/>
        <w:right w:val="none" w:sz="0" w:space="0" w:color="auto"/>
      </w:divBdr>
    </w:div>
    <w:div w:id="1616063908">
      <w:bodyDiv w:val="1"/>
      <w:marLeft w:val="0"/>
      <w:marRight w:val="0"/>
      <w:marTop w:val="0"/>
      <w:marBottom w:val="0"/>
      <w:divBdr>
        <w:top w:val="none" w:sz="0" w:space="0" w:color="auto"/>
        <w:left w:val="none" w:sz="0" w:space="0" w:color="auto"/>
        <w:bottom w:val="none" w:sz="0" w:space="0" w:color="auto"/>
        <w:right w:val="none" w:sz="0" w:space="0" w:color="auto"/>
      </w:divBdr>
      <w:divsChild>
        <w:div w:id="230116873">
          <w:marLeft w:val="0"/>
          <w:marRight w:val="0"/>
          <w:marTop w:val="0"/>
          <w:marBottom w:val="0"/>
          <w:divBdr>
            <w:top w:val="none" w:sz="0" w:space="0" w:color="auto"/>
            <w:left w:val="none" w:sz="0" w:space="0" w:color="auto"/>
            <w:bottom w:val="none" w:sz="0" w:space="0" w:color="auto"/>
            <w:right w:val="none" w:sz="0" w:space="0" w:color="auto"/>
          </w:divBdr>
          <w:divsChild>
            <w:div w:id="1754349276">
              <w:marLeft w:val="0"/>
              <w:marRight w:val="0"/>
              <w:marTop w:val="0"/>
              <w:marBottom w:val="0"/>
              <w:divBdr>
                <w:top w:val="none" w:sz="0" w:space="0" w:color="auto"/>
                <w:left w:val="none" w:sz="0" w:space="0" w:color="auto"/>
                <w:bottom w:val="none" w:sz="0" w:space="0" w:color="auto"/>
                <w:right w:val="none" w:sz="0" w:space="0" w:color="auto"/>
              </w:divBdr>
              <w:divsChild>
                <w:div w:id="763114115">
                  <w:marLeft w:val="0"/>
                  <w:marRight w:val="0"/>
                  <w:marTop w:val="0"/>
                  <w:marBottom w:val="0"/>
                  <w:divBdr>
                    <w:top w:val="none" w:sz="0" w:space="0" w:color="auto"/>
                    <w:left w:val="none" w:sz="0" w:space="0" w:color="auto"/>
                    <w:bottom w:val="none" w:sz="0" w:space="0" w:color="auto"/>
                    <w:right w:val="none" w:sz="0" w:space="0" w:color="auto"/>
                  </w:divBdr>
                  <w:divsChild>
                    <w:div w:id="161743596">
                      <w:marLeft w:val="0"/>
                      <w:marRight w:val="0"/>
                      <w:marTop w:val="0"/>
                      <w:marBottom w:val="0"/>
                      <w:divBdr>
                        <w:top w:val="none" w:sz="0" w:space="0" w:color="auto"/>
                        <w:left w:val="none" w:sz="0" w:space="0" w:color="auto"/>
                        <w:bottom w:val="none" w:sz="0" w:space="0" w:color="auto"/>
                        <w:right w:val="none" w:sz="0" w:space="0" w:color="auto"/>
                      </w:divBdr>
                      <w:divsChild>
                        <w:div w:id="1634169767">
                          <w:marLeft w:val="0"/>
                          <w:marRight w:val="0"/>
                          <w:marTop w:val="0"/>
                          <w:marBottom w:val="0"/>
                          <w:divBdr>
                            <w:top w:val="none" w:sz="0" w:space="0" w:color="auto"/>
                            <w:left w:val="none" w:sz="0" w:space="0" w:color="auto"/>
                            <w:bottom w:val="none" w:sz="0" w:space="0" w:color="auto"/>
                            <w:right w:val="none" w:sz="0" w:space="0" w:color="auto"/>
                          </w:divBdr>
                          <w:divsChild>
                            <w:div w:id="229659439">
                              <w:marLeft w:val="0"/>
                              <w:marRight w:val="0"/>
                              <w:marTop w:val="0"/>
                              <w:marBottom w:val="0"/>
                              <w:divBdr>
                                <w:top w:val="none" w:sz="0" w:space="0" w:color="auto"/>
                                <w:left w:val="none" w:sz="0" w:space="0" w:color="auto"/>
                                <w:bottom w:val="none" w:sz="0" w:space="0" w:color="auto"/>
                                <w:right w:val="none" w:sz="0" w:space="0" w:color="auto"/>
                              </w:divBdr>
                              <w:divsChild>
                                <w:div w:id="1746800918">
                                  <w:marLeft w:val="0"/>
                                  <w:marRight w:val="0"/>
                                  <w:marTop w:val="0"/>
                                  <w:marBottom w:val="0"/>
                                  <w:divBdr>
                                    <w:top w:val="none" w:sz="0" w:space="0" w:color="auto"/>
                                    <w:left w:val="none" w:sz="0" w:space="0" w:color="auto"/>
                                    <w:bottom w:val="none" w:sz="0" w:space="0" w:color="auto"/>
                                    <w:right w:val="none" w:sz="0" w:space="0" w:color="auto"/>
                                  </w:divBdr>
                                  <w:divsChild>
                                    <w:div w:id="16186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6329589">
      <w:bodyDiv w:val="1"/>
      <w:marLeft w:val="0"/>
      <w:marRight w:val="0"/>
      <w:marTop w:val="0"/>
      <w:marBottom w:val="0"/>
      <w:divBdr>
        <w:top w:val="none" w:sz="0" w:space="0" w:color="auto"/>
        <w:left w:val="none" w:sz="0" w:space="0" w:color="auto"/>
        <w:bottom w:val="none" w:sz="0" w:space="0" w:color="auto"/>
        <w:right w:val="none" w:sz="0" w:space="0" w:color="auto"/>
      </w:divBdr>
      <w:divsChild>
        <w:div w:id="1843541565">
          <w:marLeft w:val="0"/>
          <w:marRight w:val="0"/>
          <w:marTop w:val="0"/>
          <w:marBottom w:val="450"/>
          <w:divBdr>
            <w:top w:val="none" w:sz="0" w:space="0" w:color="auto"/>
            <w:left w:val="none" w:sz="0" w:space="0" w:color="auto"/>
            <w:bottom w:val="single" w:sz="6" w:space="19" w:color="EEEEEE"/>
            <w:right w:val="none" w:sz="0" w:space="0" w:color="auto"/>
          </w:divBdr>
          <w:divsChild>
            <w:div w:id="511182611">
              <w:marLeft w:val="0"/>
              <w:marRight w:val="0"/>
              <w:marTop w:val="0"/>
              <w:marBottom w:val="150"/>
              <w:divBdr>
                <w:top w:val="none" w:sz="0" w:space="0" w:color="auto"/>
                <w:left w:val="none" w:sz="0" w:space="0" w:color="auto"/>
                <w:bottom w:val="none" w:sz="0" w:space="0" w:color="auto"/>
                <w:right w:val="none" w:sz="0" w:space="0" w:color="auto"/>
              </w:divBdr>
              <w:divsChild>
                <w:div w:id="1199275725">
                  <w:marLeft w:val="0"/>
                  <w:marRight w:val="0"/>
                  <w:marTop w:val="0"/>
                  <w:marBottom w:val="0"/>
                  <w:divBdr>
                    <w:top w:val="none" w:sz="0" w:space="0" w:color="auto"/>
                    <w:left w:val="none" w:sz="0" w:space="0" w:color="auto"/>
                    <w:bottom w:val="none" w:sz="0" w:space="0" w:color="auto"/>
                    <w:right w:val="none" w:sz="0" w:space="0" w:color="auto"/>
                  </w:divBdr>
                </w:div>
              </w:divsChild>
            </w:div>
            <w:div w:id="1669017199">
              <w:marLeft w:val="0"/>
              <w:marRight w:val="0"/>
              <w:marTop w:val="0"/>
              <w:marBottom w:val="0"/>
              <w:divBdr>
                <w:top w:val="none" w:sz="0" w:space="0" w:color="auto"/>
                <w:left w:val="none" w:sz="0" w:space="0" w:color="auto"/>
                <w:bottom w:val="none" w:sz="0" w:space="0" w:color="auto"/>
                <w:right w:val="none" w:sz="0" w:space="0" w:color="auto"/>
              </w:divBdr>
            </w:div>
          </w:divsChild>
        </w:div>
        <w:div w:id="2011326717">
          <w:marLeft w:val="0"/>
          <w:marRight w:val="0"/>
          <w:marTop w:val="0"/>
          <w:marBottom w:val="0"/>
          <w:divBdr>
            <w:top w:val="none" w:sz="0" w:space="0" w:color="auto"/>
            <w:left w:val="none" w:sz="0" w:space="0" w:color="auto"/>
            <w:bottom w:val="none" w:sz="0" w:space="0" w:color="auto"/>
            <w:right w:val="none" w:sz="0" w:space="0" w:color="auto"/>
          </w:divBdr>
          <w:divsChild>
            <w:div w:id="1515221150">
              <w:marLeft w:val="0"/>
              <w:marRight w:val="0"/>
              <w:marTop w:val="0"/>
              <w:marBottom w:val="0"/>
              <w:divBdr>
                <w:top w:val="none" w:sz="0" w:space="0" w:color="auto"/>
                <w:left w:val="none" w:sz="0" w:space="0" w:color="auto"/>
                <w:bottom w:val="none" w:sz="0" w:space="0" w:color="auto"/>
                <w:right w:val="none" w:sz="0" w:space="0" w:color="auto"/>
              </w:divBdr>
              <w:divsChild>
                <w:div w:id="13438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864152">
      <w:bodyDiv w:val="1"/>
      <w:marLeft w:val="0"/>
      <w:marRight w:val="0"/>
      <w:marTop w:val="0"/>
      <w:marBottom w:val="0"/>
      <w:divBdr>
        <w:top w:val="none" w:sz="0" w:space="0" w:color="auto"/>
        <w:left w:val="none" w:sz="0" w:space="0" w:color="auto"/>
        <w:bottom w:val="none" w:sz="0" w:space="0" w:color="auto"/>
        <w:right w:val="none" w:sz="0" w:space="0" w:color="auto"/>
      </w:divBdr>
      <w:divsChild>
        <w:div w:id="597837271">
          <w:marLeft w:val="0"/>
          <w:marRight w:val="0"/>
          <w:marTop w:val="120"/>
          <w:marBottom w:val="0"/>
          <w:divBdr>
            <w:top w:val="none" w:sz="0" w:space="0" w:color="auto"/>
            <w:left w:val="none" w:sz="0" w:space="0" w:color="auto"/>
            <w:bottom w:val="none" w:sz="0" w:space="0" w:color="auto"/>
            <w:right w:val="none" w:sz="0" w:space="0" w:color="auto"/>
          </w:divBdr>
        </w:div>
        <w:div w:id="2020082165">
          <w:marLeft w:val="0"/>
          <w:marRight w:val="0"/>
          <w:marTop w:val="0"/>
          <w:marBottom w:val="0"/>
          <w:divBdr>
            <w:top w:val="none" w:sz="0" w:space="0" w:color="auto"/>
            <w:left w:val="none" w:sz="0" w:space="0" w:color="auto"/>
            <w:bottom w:val="none" w:sz="0" w:space="0" w:color="auto"/>
            <w:right w:val="none" w:sz="0" w:space="0" w:color="auto"/>
          </w:divBdr>
          <w:divsChild>
            <w:div w:id="45845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73304">
      <w:bodyDiv w:val="1"/>
      <w:marLeft w:val="0"/>
      <w:marRight w:val="0"/>
      <w:marTop w:val="0"/>
      <w:marBottom w:val="0"/>
      <w:divBdr>
        <w:top w:val="none" w:sz="0" w:space="0" w:color="auto"/>
        <w:left w:val="none" w:sz="0" w:space="0" w:color="auto"/>
        <w:bottom w:val="none" w:sz="0" w:space="0" w:color="auto"/>
        <w:right w:val="none" w:sz="0" w:space="0" w:color="auto"/>
      </w:divBdr>
      <w:divsChild>
        <w:div w:id="1736273763">
          <w:marLeft w:val="0"/>
          <w:marRight w:val="0"/>
          <w:marTop w:val="0"/>
          <w:marBottom w:val="0"/>
          <w:divBdr>
            <w:top w:val="none" w:sz="0" w:space="0" w:color="auto"/>
            <w:left w:val="none" w:sz="0" w:space="0" w:color="auto"/>
            <w:bottom w:val="none" w:sz="0" w:space="0" w:color="auto"/>
            <w:right w:val="none" w:sz="0" w:space="0" w:color="auto"/>
          </w:divBdr>
          <w:divsChild>
            <w:div w:id="2103068586">
              <w:marLeft w:val="0"/>
              <w:marRight w:val="0"/>
              <w:marTop w:val="0"/>
              <w:marBottom w:val="0"/>
              <w:divBdr>
                <w:top w:val="none" w:sz="0" w:space="0" w:color="auto"/>
                <w:left w:val="none" w:sz="0" w:space="0" w:color="auto"/>
                <w:bottom w:val="none" w:sz="0" w:space="0" w:color="auto"/>
                <w:right w:val="none" w:sz="0" w:space="0" w:color="auto"/>
              </w:divBdr>
              <w:divsChild>
                <w:div w:id="633752861">
                  <w:marLeft w:val="0"/>
                  <w:marRight w:val="0"/>
                  <w:marTop w:val="0"/>
                  <w:marBottom w:val="0"/>
                  <w:divBdr>
                    <w:top w:val="none" w:sz="0" w:space="0" w:color="auto"/>
                    <w:left w:val="none" w:sz="0" w:space="0" w:color="auto"/>
                    <w:bottom w:val="none" w:sz="0" w:space="0" w:color="auto"/>
                    <w:right w:val="none" w:sz="0" w:space="0" w:color="auto"/>
                  </w:divBdr>
                  <w:divsChild>
                    <w:div w:id="1691107987">
                      <w:marLeft w:val="0"/>
                      <w:marRight w:val="0"/>
                      <w:marTop w:val="0"/>
                      <w:marBottom w:val="0"/>
                      <w:divBdr>
                        <w:top w:val="none" w:sz="0" w:space="0" w:color="auto"/>
                        <w:left w:val="none" w:sz="0" w:space="0" w:color="auto"/>
                        <w:bottom w:val="none" w:sz="0" w:space="0" w:color="auto"/>
                        <w:right w:val="none" w:sz="0" w:space="0" w:color="auto"/>
                      </w:divBdr>
                      <w:divsChild>
                        <w:div w:id="1209025183">
                          <w:marLeft w:val="0"/>
                          <w:marRight w:val="0"/>
                          <w:marTop w:val="0"/>
                          <w:marBottom w:val="0"/>
                          <w:divBdr>
                            <w:top w:val="none" w:sz="0" w:space="0" w:color="auto"/>
                            <w:left w:val="none" w:sz="0" w:space="0" w:color="auto"/>
                            <w:bottom w:val="none" w:sz="0" w:space="0" w:color="auto"/>
                            <w:right w:val="none" w:sz="0" w:space="0" w:color="auto"/>
                          </w:divBdr>
                          <w:divsChild>
                            <w:div w:id="1922450125">
                              <w:marLeft w:val="0"/>
                              <w:marRight w:val="0"/>
                              <w:marTop w:val="0"/>
                              <w:marBottom w:val="0"/>
                              <w:divBdr>
                                <w:top w:val="none" w:sz="0" w:space="0" w:color="auto"/>
                                <w:left w:val="none" w:sz="0" w:space="0" w:color="auto"/>
                                <w:bottom w:val="none" w:sz="0" w:space="0" w:color="auto"/>
                                <w:right w:val="none" w:sz="0" w:space="0" w:color="auto"/>
                              </w:divBdr>
                              <w:divsChild>
                                <w:div w:id="1508249224">
                                  <w:marLeft w:val="0"/>
                                  <w:marRight w:val="0"/>
                                  <w:marTop w:val="0"/>
                                  <w:marBottom w:val="0"/>
                                  <w:divBdr>
                                    <w:top w:val="none" w:sz="0" w:space="0" w:color="auto"/>
                                    <w:left w:val="none" w:sz="0" w:space="0" w:color="auto"/>
                                    <w:bottom w:val="none" w:sz="0" w:space="0" w:color="auto"/>
                                    <w:right w:val="none" w:sz="0" w:space="0" w:color="auto"/>
                                  </w:divBdr>
                                  <w:divsChild>
                                    <w:div w:id="172471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7561485">
      <w:bodyDiv w:val="1"/>
      <w:marLeft w:val="0"/>
      <w:marRight w:val="0"/>
      <w:marTop w:val="0"/>
      <w:marBottom w:val="0"/>
      <w:divBdr>
        <w:top w:val="none" w:sz="0" w:space="0" w:color="auto"/>
        <w:left w:val="none" w:sz="0" w:space="0" w:color="auto"/>
        <w:bottom w:val="none" w:sz="0" w:space="0" w:color="auto"/>
        <w:right w:val="none" w:sz="0" w:space="0" w:color="auto"/>
      </w:divBdr>
      <w:divsChild>
        <w:div w:id="657153023">
          <w:marLeft w:val="0"/>
          <w:marRight w:val="0"/>
          <w:marTop w:val="0"/>
          <w:marBottom w:val="150"/>
          <w:divBdr>
            <w:top w:val="none" w:sz="0" w:space="0" w:color="auto"/>
            <w:left w:val="none" w:sz="0" w:space="0" w:color="auto"/>
            <w:bottom w:val="none" w:sz="0" w:space="0" w:color="auto"/>
            <w:right w:val="none" w:sz="0" w:space="0" w:color="auto"/>
          </w:divBdr>
        </w:div>
      </w:divsChild>
    </w:div>
    <w:div w:id="1618442207">
      <w:bodyDiv w:val="1"/>
      <w:marLeft w:val="0"/>
      <w:marRight w:val="0"/>
      <w:marTop w:val="0"/>
      <w:marBottom w:val="0"/>
      <w:divBdr>
        <w:top w:val="none" w:sz="0" w:space="0" w:color="auto"/>
        <w:left w:val="none" w:sz="0" w:space="0" w:color="auto"/>
        <w:bottom w:val="none" w:sz="0" w:space="0" w:color="auto"/>
        <w:right w:val="none" w:sz="0" w:space="0" w:color="auto"/>
      </w:divBdr>
      <w:divsChild>
        <w:div w:id="1273707767">
          <w:marLeft w:val="0"/>
          <w:marRight w:val="0"/>
          <w:marTop w:val="0"/>
          <w:marBottom w:val="150"/>
          <w:divBdr>
            <w:top w:val="none" w:sz="0" w:space="0" w:color="auto"/>
            <w:left w:val="none" w:sz="0" w:space="0" w:color="auto"/>
            <w:bottom w:val="none" w:sz="0" w:space="0" w:color="auto"/>
            <w:right w:val="none" w:sz="0" w:space="0" w:color="auto"/>
          </w:divBdr>
        </w:div>
      </w:divsChild>
    </w:div>
    <w:div w:id="1618902925">
      <w:bodyDiv w:val="1"/>
      <w:marLeft w:val="0"/>
      <w:marRight w:val="0"/>
      <w:marTop w:val="0"/>
      <w:marBottom w:val="0"/>
      <w:divBdr>
        <w:top w:val="none" w:sz="0" w:space="0" w:color="auto"/>
        <w:left w:val="none" w:sz="0" w:space="0" w:color="auto"/>
        <w:bottom w:val="none" w:sz="0" w:space="0" w:color="auto"/>
        <w:right w:val="none" w:sz="0" w:space="0" w:color="auto"/>
      </w:divBdr>
      <w:divsChild>
        <w:div w:id="1130826015">
          <w:marLeft w:val="0"/>
          <w:marRight w:val="0"/>
          <w:marTop w:val="0"/>
          <w:marBottom w:val="150"/>
          <w:divBdr>
            <w:top w:val="none" w:sz="0" w:space="0" w:color="auto"/>
            <w:left w:val="none" w:sz="0" w:space="0" w:color="auto"/>
            <w:bottom w:val="none" w:sz="0" w:space="0" w:color="auto"/>
            <w:right w:val="none" w:sz="0" w:space="0" w:color="auto"/>
          </w:divBdr>
        </w:div>
        <w:div w:id="1181504353">
          <w:marLeft w:val="0"/>
          <w:marRight w:val="0"/>
          <w:marTop w:val="0"/>
          <w:marBottom w:val="0"/>
          <w:divBdr>
            <w:top w:val="none" w:sz="0" w:space="0" w:color="auto"/>
            <w:left w:val="none" w:sz="0" w:space="0" w:color="auto"/>
            <w:bottom w:val="none" w:sz="0" w:space="0" w:color="auto"/>
            <w:right w:val="none" w:sz="0" w:space="0" w:color="auto"/>
          </w:divBdr>
          <w:divsChild>
            <w:div w:id="1255284850">
              <w:marLeft w:val="0"/>
              <w:marRight w:val="0"/>
              <w:marTop w:val="225"/>
              <w:marBottom w:val="225"/>
              <w:divBdr>
                <w:top w:val="none" w:sz="0" w:space="0" w:color="auto"/>
                <w:left w:val="none" w:sz="0" w:space="0" w:color="auto"/>
                <w:bottom w:val="none" w:sz="0" w:space="0" w:color="auto"/>
                <w:right w:val="none" w:sz="0" w:space="0" w:color="auto"/>
              </w:divBdr>
            </w:div>
          </w:divsChild>
        </w:div>
        <w:div w:id="1628006312">
          <w:marLeft w:val="0"/>
          <w:marRight w:val="0"/>
          <w:marTop w:val="0"/>
          <w:marBottom w:val="150"/>
          <w:divBdr>
            <w:top w:val="none" w:sz="0" w:space="0" w:color="auto"/>
            <w:left w:val="none" w:sz="0" w:space="0" w:color="auto"/>
            <w:bottom w:val="none" w:sz="0" w:space="0" w:color="auto"/>
            <w:right w:val="none" w:sz="0" w:space="0" w:color="auto"/>
          </w:divBdr>
          <w:divsChild>
            <w:div w:id="893392553">
              <w:marLeft w:val="0"/>
              <w:marRight w:val="0"/>
              <w:marTop w:val="0"/>
              <w:marBottom w:val="0"/>
              <w:divBdr>
                <w:top w:val="none" w:sz="0" w:space="0" w:color="auto"/>
                <w:left w:val="none" w:sz="0" w:space="0" w:color="auto"/>
                <w:bottom w:val="none" w:sz="0" w:space="0" w:color="auto"/>
                <w:right w:val="none" w:sz="0" w:space="0" w:color="auto"/>
              </w:divBdr>
              <w:divsChild>
                <w:div w:id="17080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098374">
      <w:bodyDiv w:val="1"/>
      <w:marLeft w:val="0"/>
      <w:marRight w:val="0"/>
      <w:marTop w:val="0"/>
      <w:marBottom w:val="0"/>
      <w:divBdr>
        <w:top w:val="none" w:sz="0" w:space="0" w:color="auto"/>
        <w:left w:val="none" w:sz="0" w:space="0" w:color="auto"/>
        <w:bottom w:val="none" w:sz="0" w:space="0" w:color="auto"/>
        <w:right w:val="none" w:sz="0" w:space="0" w:color="auto"/>
      </w:divBdr>
      <w:divsChild>
        <w:div w:id="1934390226">
          <w:marLeft w:val="0"/>
          <w:marRight w:val="0"/>
          <w:marTop w:val="0"/>
          <w:marBottom w:val="0"/>
          <w:divBdr>
            <w:top w:val="none" w:sz="0" w:space="0" w:color="auto"/>
            <w:left w:val="none" w:sz="0" w:space="0" w:color="auto"/>
            <w:bottom w:val="none" w:sz="0" w:space="0" w:color="auto"/>
            <w:right w:val="none" w:sz="0" w:space="0" w:color="auto"/>
          </w:divBdr>
        </w:div>
      </w:divsChild>
    </w:div>
    <w:div w:id="1619291315">
      <w:bodyDiv w:val="1"/>
      <w:marLeft w:val="0"/>
      <w:marRight w:val="0"/>
      <w:marTop w:val="0"/>
      <w:marBottom w:val="0"/>
      <w:divBdr>
        <w:top w:val="none" w:sz="0" w:space="0" w:color="auto"/>
        <w:left w:val="none" w:sz="0" w:space="0" w:color="auto"/>
        <w:bottom w:val="none" w:sz="0" w:space="0" w:color="auto"/>
        <w:right w:val="none" w:sz="0" w:space="0" w:color="auto"/>
      </w:divBdr>
      <w:divsChild>
        <w:div w:id="1883707850">
          <w:marLeft w:val="0"/>
          <w:marRight w:val="0"/>
          <w:marTop w:val="0"/>
          <w:marBottom w:val="0"/>
          <w:divBdr>
            <w:top w:val="none" w:sz="0" w:space="0" w:color="auto"/>
            <w:left w:val="none" w:sz="0" w:space="0" w:color="auto"/>
            <w:bottom w:val="none" w:sz="0" w:space="0" w:color="auto"/>
            <w:right w:val="none" w:sz="0" w:space="0" w:color="auto"/>
          </w:divBdr>
          <w:divsChild>
            <w:div w:id="2058242590">
              <w:marLeft w:val="0"/>
              <w:marRight w:val="0"/>
              <w:marTop w:val="0"/>
              <w:marBottom w:val="0"/>
              <w:divBdr>
                <w:top w:val="none" w:sz="0" w:space="0" w:color="auto"/>
                <w:left w:val="none" w:sz="0" w:space="0" w:color="auto"/>
                <w:bottom w:val="none" w:sz="0" w:space="0" w:color="auto"/>
                <w:right w:val="none" w:sz="0" w:space="0" w:color="auto"/>
              </w:divBdr>
              <w:divsChild>
                <w:div w:id="1413350540">
                  <w:marLeft w:val="0"/>
                  <w:marRight w:val="0"/>
                  <w:marTop w:val="0"/>
                  <w:marBottom w:val="0"/>
                  <w:divBdr>
                    <w:top w:val="none" w:sz="0" w:space="0" w:color="auto"/>
                    <w:left w:val="none" w:sz="0" w:space="0" w:color="auto"/>
                    <w:bottom w:val="none" w:sz="0" w:space="0" w:color="auto"/>
                    <w:right w:val="none" w:sz="0" w:space="0" w:color="auto"/>
                  </w:divBdr>
                  <w:divsChild>
                    <w:div w:id="1906258846">
                      <w:marLeft w:val="0"/>
                      <w:marRight w:val="0"/>
                      <w:marTop w:val="0"/>
                      <w:marBottom w:val="0"/>
                      <w:divBdr>
                        <w:top w:val="none" w:sz="0" w:space="0" w:color="auto"/>
                        <w:left w:val="none" w:sz="0" w:space="0" w:color="auto"/>
                        <w:bottom w:val="none" w:sz="0" w:space="0" w:color="auto"/>
                        <w:right w:val="none" w:sz="0" w:space="0" w:color="auto"/>
                      </w:divBdr>
                      <w:divsChild>
                        <w:div w:id="484322100">
                          <w:marLeft w:val="0"/>
                          <w:marRight w:val="0"/>
                          <w:marTop w:val="0"/>
                          <w:marBottom w:val="0"/>
                          <w:divBdr>
                            <w:top w:val="none" w:sz="0" w:space="0" w:color="auto"/>
                            <w:left w:val="none" w:sz="0" w:space="0" w:color="auto"/>
                            <w:bottom w:val="none" w:sz="0" w:space="0" w:color="auto"/>
                            <w:right w:val="none" w:sz="0" w:space="0" w:color="auto"/>
                          </w:divBdr>
                          <w:divsChild>
                            <w:div w:id="1973099432">
                              <w:marLeft w:val="0"/>
                              <w:marRight w:val="0"/>
                              <w:marTop w:val="0"/>
                              <w:marBottom w:val="0"/>
                              <w:divBdr>
                                <w:top w:val="none" w:sz="0" w:space="0" w:color="auto"/>
                                <w:left w:val="none" w:sz="0" w:space="0" w:color="auto"/>
                                <w:bottom w:val="none" w:sz="0" w:space="0" w:color="auto"/>
                                <w:right w:val="none" w:sz="0" w:space="0" w:color="auto"/>
                              </w:divBdr>
                              <w:divsChild>
                                <w:div w:id="1576164912">
                                  <w:marLeft w:val="0"/>
                                  <w:marRight w:val="0"/>
                                  <w:marTop w:val="0"/>
                                  <w:marBottom w:val="0"/>
                                  <w:divBdr>
                                    <w:top w:val="none" w:sz="0" w:space="0" w:color="auto"/>
                                    <w:left w:val="none" w:sz="0" w:space="0" w:color="auto"/>
                                    <w:bottom w:val="none" w:sz="0" w:space="0" w:color="auto"/>
                                    <w:right w:val="none" w:sz="0" w:space="0" w:color="auto"/>
                                  </w:divBdr>
                                  <w:divsChild>
                                    <w:div w:id="66624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409689">
      <w:bodyDiv w:val="1"/>
      <w:marLeft w:val="0"/>
      <w:marRight w:val="0"/>
      <w:marTop w:val="0"/>
      <w:marBottom w:val="0"/>
      <w:divBdr>
        <w:top w:val="none" w:sz="0" w:space="0" w:color="auto"/>
        <w:left w:val="none" w:sz="0" w:space="0" w:color="auto"/>
        <w:bottom w:val="none" w:sz="0" w:space="0" w:color="auto"/>
        <w:right w:val="none" w:sz="0" w:space="0" w:color="auto"/>
      </w:divBdr>
      <w:divsChild>
        <w:div w:id="119031385">
          <w:marLeft w:val="0"/>
          <w:marRight w:val="0"/>
          <w:marTop w:val="0"/>
          <w:marBottom w:val="0"/>
          <w:divBdr>
            <w:top w:val="none" w:sz="0" w:space="0" w:color="auto"/>
            <w:left w:val="none" w:sz="0" w:space="0" w:color="auto"/>
            <w:bottom w:val="none" w:sz="0" w:space="0" w:color="auto"/>
            <w:right w:val="none" w:sz="0" w:space="0" w:color="auto"/>
          </w:divBdr>
          <w:divsChild>
            <w:div w:id="1350763697">
              <w:marLeft w:val="0"/>
              <w:marRight w:val="0"/>
              <w:marTop w:val="0"/>
              <w:marBottom w:val="0"/>
              <w:divBdr>
                <w:top w:val="none" w:sz="0" w:space="0" w:color="auto"/>
                <w:left w:val="none" w:sz="0" w:space="0" w:color="auto"/>
                <w:bottom w:val="none" w:sz="0" w:space="0" w:color="auto"/>
                <w:right w:val="none" w:sz="0" w:space="0" w:color="auto"/>
              </w:divBdr>
              <w:divsChild>
                <w:div w:id="1123885234">
                  <w:marLeft w:val="0"/>
                  <w:marRight w:val="0"/>
                  <w:marTop w:val="0"/>
                  <w:marBottom w:val="0"/>
                  <w:divBdr>
                    <w:top w:val="none" w:sz="0" w:space="0" w:color="auto"/>
                    <w:left w:val="none" w:sz="0" w:space="0" w:color="auto"/>
                    <w:bottom w:val="none" w:sz="0" w:space="0" w:color="auto"/>
                    <w:right w:val="none" w:sz="0" w:space="0" w:color="auto"/>
                  </w:divBdr>
                  <w:divsChild>
                    <w:div w:id="707686159">
                      <w:marLeft w:val="0"/>
                      <w:marRight w:val="0"/>
                      <w:marTop w:val="0"/>
                      <w:marBottom w:val="0"/>
                      <w:divBdr>
                        <w:top w:val="none" w:sz="0" w:space="0" w:color="auto"/>
                        <w:left w:val="none" w:sz="0" w:space="0" w:color="auto"/>
                        <w:bottom w:val="none" w:sz="0" w:space="0" w:color="auto"/>
                        <w:right w:val="none" w:sz="0" w:space="0" w:color="auto"/>
                      </w:divBdr>
                      <w:divsChild>
                        <w:div w:id="1505583549">
                          <w:marLeft w:val="0"/>
                          <w:marRight w:val="0"/>
                          <w:marTop w:val="0"/>
                          <w:marBottom w:val="0"/>
                          <w:divBdr>
                            <w:top w:val="none" w:sz="0" w:space="0" w:color="auto"/>
                            <w:left w:val="none" w:sz="0" w:space="0" w:color="auto"/>
                            <w:bottom w:val="none" w:sz="0" w:space="0" w:color="auto"/>
                            <w:right w:val="none" w:sz="0" w:space="0" w:color="auto"/>
                          </w:divBdr>
                          <w:divsChild>
                            <w:div w:id="1915166885">
                              <w:marLeft w:val="0"/>
                              <w:marRight w:val="0"/>
                              <w:marTop w:val="0"/>
                              <w:marBottom w:val="0"/>
                              <w:divBdr>
                                <w:top w:val="none" w:sz="0" w:space="0" w:color="auto"/>
                                <w:left w:val="none" w:sz="0" w:space="0" w:color="auto"/>
                                <w:bottom w:val="none" w:sz="0" w:space="0" w:color="auto"/>
                                <w:right w:val="none" w:sz="0" w:space="0" w:color="auto"/>
                              </w:divBdr>
                              <w:divsChild>
                                <w:div w:id="1109663642">
                                  <w:marLeft w:val="0"/>
                                  <w:marRight w:val="0"/>
                                  <w:marTop w:val="0"/>
                                  <w:marBottom w:val="0"/>
                                  <w:divBdr>
                                    <w:top w:val="none" w:sz="0" w:space="0" w:color="auto"/>
                                    <w:left w:val="none" w:sz="0" w:space="0" w:color="auto"/>
                                    <w:bottom w:val="none" w:sz="0" w:space="0" w:color="auto"/>
                                    <w:right w:val="none" w:sz="0" w:space="0" w:color="auto"/>
                                  </w:divBdr>
                                  <w:divsChild>
                                    <w:div w:id="194407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682465">
      <w:bodyDiv w:val="1"/>
      <w:marLeft w:val="0"/>
      <w:marRight w:val="0"/>
      <w:marTop w:val="0"/>
      <w:marBottom w:val="0"/>
      <w:divBdr>
        <w:top w:val="none" w:sz="0" w:space="0" w:color="auto"/>
        <w:left w:val="none" w:sz="0" w:space="0" w:color="auto"/>
        <w:bottom w:val="none" w:sz="0" w:space="0" w:color="auto"/>
        <w:right w:val="none" w:sz="0" w:space="0" w:color="auto"/>
      </w:divBdr>
    </w:div>
    <w:div w:id="1620184419">
      <w:bodyDiv w:val="1"/>
      <w:marLeft w:val="0"/>
      <w:marRight w:val="0"/>
      <w:marTop w:val="0"/>
      <w:marBottom w:val="0"/>
      <w:divBdr>
        <w:top w:val="none" w:sz="0" w:space="0" w:color="auto"/>
        <w:left w:val="none" w:sz="0" w:space="0" w:color="auto"/>
        <w:bottom w:val="none" w:sz="0" w:space="0" w:color="auto"/>
        <w:right w:val="none" w:sz="0" w:space="0" w:color="auto"/>
      </w:divBdr>
    </w:div>
    <w:div w:id="1620409222">
      <w:bodyDiv w:val="1"/>
      <w:marLeft w:val="0"/>
      <w:marRight w:val="0"/>
      <w:marTop w:val="0"/>
      <w:marBottom w:val="0"/>
      <w:divBdr>
        <w:top w:val="none" w:sz="0" w:space="0" w:color="auto"/>
        <w:left w:val="none" w:sz="0" w:space="0" w:color="auto"/>
        <w:bottom w:val="none" w:sz="0" w:space="0" w:color="auto"/>
        <w:right w:val="none" w:sz="0" w:space="0" w:color="auto"/>
      </w:divBdr>
    </w:div>
    <w:div w:id="1620457104">
      <w:bodyDiv w:val="1"/>
      <w:marLeft w:val="0"/>
      <w:marRight w:val="0"/>
      <w:marTop w:val="0"/>
      <w:marBottom w:val="0"/>
      <w:divBdr>
        <w:top w:val="none" w:sz="0" w:space="0" w:color="auto"/>
        <w:left w:val="none" w:sz="0" w:space="0" w:color="auto"/>
        <w:bottom w:val="none" w:sz="0" w:space="0" w:color="auto"/>
        <w:right w:val="none" w:sz="0" w:space="0" w:color="auto"/>
      </w:divBdr>
    </w:div>
    <w:div w:id="1620868709">
      <w:bodyDiv w:val="1"/>
      <w:marLeft w:val="0"/>
      <w:marRight w:val="0"/>
      <w:marTop w:val="0"/>
      <w:marBottom w:val="0"/>
      <w:divBdr>
        <w:top w:val="none" w:sz="0" w:space="0" w:color="auto"/>
        <w:left w:val="none" w:sz="0" w:space="0" w:color="auto"/>
        <w:bottom w:val="none" w:sz="0" w:space="0" w:color="auto"/>
        <w:right w:val="none" w:sz="0" w:space="0" w:color="auto"/>
      </w:divBdr>
    </w:div>
    <w:div w:id="1620911443">
      <w:bodyDiv w:val="1"/>
      <w:marLeft w:val="0"/>
      <w:marRight w:val="0"/>
      <w:marTop w:val="0"/>
      <w:marBottom w:val="0"/>
      <w:divBdr>
        <w:top w:val="none" w:sz="0" w:space="0" w:color="auto"/>
        <w:left w:val="none" w:sz="0" w:space="0" w:color="auto"/>
        <w:bottom w:val="none" w:sz="0" w:space="0" w:color="auto"/>
        <w:right w:val="none" w:sz="0" w:space="0" w:color="auto"/>
      </w:divBdr>
    </w:div>
    <w:div w:id="1621303946">
      <w:bodyDiv w:val="1"/>
      <w:marLeft w:val="0"/>
      <w:marRight w:val="0"/>
      <w:marTop w:val="0"/>
      <w:marBottom w:val="0"/>
      <w:divBdr>
        <w:top w:val="none" w:sz="0" w:space="0" w:color="auto"/>
        <w:left w:val="none" w:sz="0" w:space="0" w:color="auto"/>
        <w:bottom w:val="none" w:sz="0" w:space="0" w:color="auto"/>
        <w:right w:val="none" w:sz="0" w:space="0" w:color="auto"/>
      </w:divBdr>
    </w:div>
    <w:div w:id="1621496977">
      <w:bodyDiv w:val="1"/>
      <w:marLeft w:val="0"/>
      <w:marRight w:val="0"/>
      <w:marTop w:val="0"/>
      <w:marBottom w:val="0"/>
      <w:divBdr>
        <w:top w:val="none" w:sz="0" w:space="0" w:color="auto"/>
        <w:left w:val="none" w:sz="0" w:space="0" w:color="auto"/>
        <w:bottom w:val="none" w:sz="0" w:space="0" w:color="auto"/>
        <w:right w:val="none" w:sz="0" w:space="0" w:color="auto"/>
      </w:divBdr>
      <w:divsChild>
        <w:div w:id="2082022241">
          <w:marLeft w:val="0"/>
          <w:marRight w:val="0"/>
          <w:marTop w:val="0"/>
          <w:marBottom w:val="0"/>
          <w:divBdr>
            <w:top w:val="none" w:sz="0" w:space="0" w:color="auto"/>
            <w:left w:val="none" w:sz="0" w:space="0" w:color="auto"/>
            <w:bottom w:val="none" w:sz="0" w:space="0" w:color="auto"/>
            <w:right w:val="none" w:sz="0" w:space="0" w:color="auto"/>
          </w:divBdr>
          <w:divsChild>
            <w:div w:id="761146818">
              <w:marLeft w:val="0"/>
              <w:marRight w:val="0"/>
              <w:marTop w:val="0"/>
              <w:marBottom w:val="0"/>
              <w:divBdr>
                <w:top w:val="none" w:sz="0" w:space="0" w:color="auto"/>
                <w:left w:val="none" w:sz="0" w:space="0" w:color="auto"/>
                <w:bottom w:val="none" w:sz="0" w:space="0" w:color="auto"/>
                <w:right w:val="none" w:sz="0" w:space="0" w:color="auto"/>
              </w:divBdr>
              <w:divsChild>
                <w:div w:id="451242479">
                  <w:marLeft w:val="0"/>
                  <w:marRight w:val="0"/>
                  <w:marTop w:val="0"/>
                  <w:marBottom w:val="0"/>
                  <w:divBdr>
                    <w:top w:val="none" w:sz="0" w:space="0" w:color="auto"/>
                    <w:left w:val="none" w:sz="0" w:space="0" w:color="auto"/>
                    <w:bottom w:val="none" w:sz="0" w:space="0" w:color="auto"/>
                    <w:right w:val="none" w:sz="0" w:space="0" w:color="auto"/>
                  </w:divBdr>
                  <w:divsChild>
                    <w:div w:id="1270891842">
                      <w:marLeft w:val="0"/>
                      <w:marRight w:val="0"/>
                      <w:marTop w:val="0"/>
                      <w:marBottom w:val="0"/>
                      <w:divBdr>
                        <w:top w:val="none" w:sz="0" w:space="0" w:color="auto"/>
                        <w:left w:val="none" w:sz="0" w:space="0" w:color="auto"/>
                        <w:bottom w:val="none" w:sz="0" w:space="0" w:color="auto"/>
                        <w:right w:val="none" w:sz="0" w:space="0" w:color="auto"/>
                      </w:divBdr>
                      <w:divsChild>
                        <w:div w:id="651249958">
                          <w:marLeft w:val="0"/>
                          <w:marRight w:val="0"/>
                          <w:marTop w:val="0"/>
                          <w:marBottom w:val="0"/>
                          <w:divBdr>
                            <w:top w:val="none" w:sz="0" w:space="0" w:color="auto"/>
                            <w:left w:val="none" w:sz="0" w:space="0" w:color="auto"/>
                            <w:bottom w:val="none" w:sz="0" w:space="0" w:color="auto"/>
                            <w:right w:val="none" w:sz="0" w:space="0" w:color="auto"/>
                          </w:divBdr>
                          <w:divsChild>
                            <w:div w:id="2097050556">
                              <w:marLeft w:val="0"/>
                              <w:marRight w:val="0"/>
                              <w:marTop w:val="0"/>
                              <w:marBottom w:val="0"/>
                              <w:divBdr>
                                <w:top w:val="none" w:sz="0" w:space="0" w:color="auto"/>
                                <w:left w:val="none" w:sz="0" w:space="0" w:color="auto"/>
                                <w:bottom w:val="none" w:sz="0" w:space="0" w:color="auto"/>
                                <w:right w:val="none" w:sz="0" w:space="0" w:color="auto"/>
                              </w:divBdr>
                              <w:divsChild>
                                <w:div w:id="2005157135">
                                  <w:marLeft w:val="0"/>
                                  <w:marRight w:val="0"/>
                                  <w:marTop w:val="0"/>
                                  <w:marBottom w:val="0"/>
                                  <w:divBdr>
                                    <w:top w:val="none" w:sz="0" w:space="0" w:color="auto"/>
                                    <w:left w:val="none" w:sz="0" w:space="0" w:color="auto"/>
                                    <w:bottom w:val="none" w:sz="0" w:space="0" w:color="auto"/>
                                    <w:right w:val="none" w:sz="0" w:space="0" w:color="auto"/>
                                  </w:divBdr>
                                  <w:divsChild>
                                    <w:div w:id="68344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1717503">
      <w:bodyDiv w:val="1"/>
      <w:marLeft w:val="0"/>
      <w:marRight w:val="0"/>
      <w:marTop w:val="0"/>
      <w:marBottom w:val="0"/>
      <w:divBdr>
        <w:top w:val="none" w:sz="0" w:space="0" w:color="auto"/>
        <w:left w:val="none" w:sz="0" w:space="0" w:color="auto"/>
        <w:bottom w:val="none" w:sz="0" w:space="0" w:color="auto"/>
        <w:right w:val="none" w:sz="0" w:space="0" w:color="auto"/>
      </w:divBdr>
      <w:divsChild>
        <w:div w:id="286274376">
          <w:marLeft w:val="0"/>
          <w:marRight w:val="0"/>
          <w:marTop w:val="0"/>
          <w:marBottom w:val="0"/>
          <w:divBdr>
            <w:top w:val="none" w:sz="0" w:space="0" w:color="auto"/>
            <w:left w:val="none" w:sz="0" w:space="0" w:color="auto"/>
            <w:bottom w:val="none" w:sz="0" w:space="0" w:color="auto"/>
            <w:right w:val="none" w:sz="0" w:space="0" w:color="auto"/>
          </w:divBdr>
        </w:div>
      </w:divsChild>
    </w:div>
    <w:div w:id="1621954089">
      <w:bodyDiv w:val="1"/>
      <w:marLeft w:val="0"/>
      <w:marRight w:val="0"/>
      <w:marTop w:val="0"/>
      <w:marBottom w:val="0"/>
      <w:divBdr>
        <w:top w:val="none" w:sz="0" w:space="0" w:color="auto"/>
        <w:left w:val="none" w:sz="0" w:space="0" w:color="auto"/>
        <w:bottom w:val="none" w:sz="0" w:space="0" w:color="auto"/>
        <w:right w:val="none" w:sz="0" w:space="0" w:color="auto"/>
      </w:divBdr>
      <w:divsChild>
        <w:div w:id="122433158">
          <w:marLeft w:val="0"/>
          <w:marRight w:val="0"/>
          <w:marTop w:val="0"/>
          <w:marBottom w:val="150"/>
          <w:divBdr>
            <w:top w:val="none" w:sz="0" w:space="0" w:color="auto"/>
            <w:left w:val="none" w:sz="0" w:space="0" w:color="auto"/>
            <w:bottom w:val="none" w:sz="0" w:space="0" w:color="auto"/>
            <w:right w:val="none" w:sz="0" w:space="0" w:color="auto"/>
          </w:divBdr>
        </w:div>
      </w:divsChild>
    </w:div>
    <w:div w:id="1622226325">
      <w:bodyDiv w:val="1"/>
      <w:marLeft w:val="0"/>
      <w:marRight w:val="0"/>
      <w:marTop w:val="0"/>
      <w:marBottom w:val="0"/>
      <w:divBdr>
        <w:top w:val="none" w:sz="0" w:space="0" w:color="auto"/>
        <w:left w:val="none" w:sz="0" w:space="0" w:color="auto"/>
        <w:bottom w:val="none" w:sz="0" w:space="0" w:color="auto"/>
        <w:right w:val="none" w:sz="0" w:space="0" w:color="auto"/>
      </w:divBdr>
      <w:divsChild>
        <w:div w:id="309749830">
          <w:marLeft w:val="0"/>
          <w:marRight w:val="0"/>
          <w:marTop w:val="0"/>
          <w:marBottom w:val="0"/>
          <w:divBdr>
            <w:top w:val="none" w:sz="0" w:space="0" w:color="auto"/>
            <w:left w:val="none" w:sz="0" w:space="0" w:color="auto"/>
            <w:bottom w:val="dotted" w:sz="6" w:space="4" w:color="DDDDDD"/>
            <w:right w:val="none" w:sz="0" w:space="0" w:color="auto"/>
          </w:divBdr>
        </w:div>
      </w:divsChild>
    </w:div>
    <w:div w:id="1622494805">
      <w:bodyDiv w:val="1"/>
      <w:marLeft w:val="0"/>
      <w:marRight w:val="0"/>
      <w:marTop w:val="0"/>
      <w:marBottom w:val="0"/>
      <w:divBdr>
        <w:top w:val="none" w:sz="0" w:space="0" w:color="auto"/>
        <w:left w:val="none" w:sz="0" w:space="0" w:color="auto"/>
        <w:bottom w:val="none" w:sz="0" w:space="0" w:color="auto"/>
        <w:right w:val="none" w:sz="0" w:space="0" w:color="auto"/>
      </w:divBdr>
      <w:divsChild>
        <w:div w:id="351952209">
          <w:marLeft w:val="0"/>
          <w:marRight w:val="0"/>
          <w:marTop w:val="0"/>
          <w:marBottom w:val="0"/>
          <w:divBdr>
            <w:top w:val="none" w:sz="0" w:space="0" w:color="auto"/>
            <w:left w:val="none" w:sz="0" w:space="0" w:color="auto"/>
            <w:bottom w:val="none" w:sz="0" w:space="0" w:color="auto"/>
            <w:right w:val="none" w:sz="0" w:space="0" w:color="auto"/>
          </w:divBdr>
          <w:divsChild>
            <w:div w:id="390887646">
              <w:marLeft w:val="0"/>
              <w:marRight w:val="0"/>
              <w:marTop w:val="0"/>
              <w:marBottom w:val="0"/>
              <w:divBdr>
                <w:top w:val="none" w:sz="0" w:space="0" w:color="auto"/>
                <w:left w:val="none" w:sz="0" w:space="0" w:color="auto"/>
                <w:bottom w:val="none" w:sz="0" w:space="0" w:color="auto"/>
                <w:right w:val="none" w:sz="0" w:space="0" w:color="auto"/>
              </w:divBdr>
              <w:divsChild>
                <w:div w:id="1690641847">
                  <w:marLeft w:val="0"/>
                  <w:marRight w:val="0"/>
                  <w:marTop w:val="0"/>
                  <w:marBottom w:val="0"/>
                  <w:divBdr>
                    <w:top w:val="none" w:sz="0" w:space="0" w:color="auto"/>
                    <w:left w:val="none" w:sz="0" w:space="0" w:color="auto"/>
                    <w:bottom w:val="none" w:sz="0" w:space="0" w:color="auto"/>
                    <w:right w:val="none" w:sz="0" w:space="0" w:color="auto"/>
                  </w:divBdr>
                </w:div>
                <w:div w:id="189873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7057">
          <w:marLeft w:val="0"/>
          <w:marRight w:val="0"/>
          <w:marTop w:val="0"/>
          <w:marBottom w:val="0"/>
          <w:divBdr>
            <w:top w:val="none" w:sz="0" w:space="0" w:color="auto"/>
            <w:left w:val="none" w:sz="0" w:space="0" w:color="auto"/>
            <w:bottom w:val="none" w:sz="0" w:space="0" w:color="auto"/>
            <w:right w:val="none" w:sz="0" w:space="0" w:color="auto"/>
          </w:divBdr>
          <w:divsChild>
            <w:div w:id="1301808825">
              <w:marLeft w:val="0"/>
              <w:marRight w:val="0"/>
              <w:marTop w:val="0"/>
              <w:marBottom w:val="0"/>
              <w:divBdr>
                <w:top w:val="none" w:sz="0" w:space="0" w:color="auto"/>
                <w:left w:val="none" w:sz="0" w:space="0" w:color="auto"/>
                <w:bottom w:val="none" w:sz="0" w:space="0" w:color="auto"/>
                <w:right w:val="none" w:sz="0" w:space="0" w:color="auto"/>
              </w:divBdr>
              <w:divsChild>
                <w:div w:id="443112777">
                  <w:marLeft w:val="0"/>
                  <w:marRight w:val="0"/>
                  <w:marTop w:val="0"/>
                  <w:marBottom w:val="0"/>
                  <w:divBdr>
                    <w:top w:val="none" w:sz="0" w:space="0" w:color="auto"/>
                    <w:left w:val="none" w:sz="0" w:space="0" w:color="auto"/>
                    <w:bottom w:val="none" w:sz="0" w:space="0" w:color="auto"/>
                    <w:right w:val="none" w:sz="0" w:space="0" w:color="auto"/>
                  </w:divBdr>
                  <w:divsChild>
                    <w:div w:id="1360007353">
                      <w:marLeft w:val="0"/>
                      <w:marRight w:val="0"/>
                      <w:marTop w:val="0"/>
                      <w:marBottom w:val="0"/>
                      <w:divBdr>
                        <w:top w:val="none" w:sz="0" w:space="0" w:color="auto"/>
                        <w:left w:val="none" w:sz="0" w:space="0" w:color="auto"/>
                        <w:bottom w:val="none" w:sz="0" w:space="0" w:color="auto"/>
                        <w:right w:val="none" w:sz="0" w:space="0" w:color="auto"/>
                      </w:divBdr>
                      <w:divsChild>
                        <w:div w:id="191266613">
                          <w:marLeft w:val="0"/>
                          <w:marRight w:val="0"/>
                          <w:marTop w:val="225"/>
                          <w:marBottom w:val="0"/>
                          <w:divBdr>
                            <w:top w:val="none" w:sz="0" w:space="0" w:color="auto"/>
                            <w:left w:val="none" w:sz="0" w:space="0" w:color="auto"/>
                            <w:bottom w:val="none" w:sz="0" w:space="0" w:color="auto"/>
                            <w:right w:val="none" w:sz="0" w:space="0" w:color="auto"/>
                          </w:divBdr>
                          <w:divsChild>
                            <w:div w:id="1819764613">
                              <w:marLeft w:val="0"/>
                              <w:marRight w:val="0"/>
                              <w:marTop w:val="0"/>
                              <w:marBottom w:val="0"/>
                              <w:divBdr>
                                <w:top w:val="none" w:sz="0" w:space="0" w:color="auto"/>
                                <w:left w:val="none" w:sz="0" w:space="0" w:color="auto"/>
                                <w:bottom w:val="none" w:sz="0" w:space="0" w:color="auto"/>
                                <w:right w:val="none" w:sz="0" w:space="0" w:color="auto"/>
                              </w:divBdr>
                            </w:div>
                          </w:divsChild>
                        </w:div>
                        <w:div w:id="1168597695">
                          <w:marLeft w:val="0"/>
                          <w:marRight w:val="0"/>
                          <w:marTop w:val="0"/>
                          <w:marBottom w:val="0"/>
                          <w:divBdr>
                            <w:top w:val="none" w:sz="0" w:space="0" w:color="auto"/>
                            <w:left w:val="none" w:sz="0" w:space="0" w:color="auto"/>
                            <w:bottom w:val="none" w:sz="0" w:space="0" w:color="auto"/>
                            <w:right w:val="none" w:sz="0" w:space="0" w:color="auto"/>
                          </w:divBdr>
                          <w:divsChild>
                            <w:div w:id="1478185534">
                              <w:marLeft w:val="0"/>
                              <w:marRight w:val="0"/>
                              <w:marTop w:val="0"/>
                              <w:marBottom w:val="0"/>
                              <w:divBdr>
                                <w:top w:val="none" w:sz="0" w:space="0" w:color="auto"/>
                                <w:left w:val="none" w:sz="0" w:space="0" w:color="auto"/>
                                <w:bottom w:val="dotted" w:sz="6" w:space="0" w:color="auto"/>
                                <w:right w:val="none" w:sz="0" w:space="0" w:color="auto"/>
                              </w:divBdr>
                            </w:div>
                          </w:divsChild>
                        </w:div>
                      </w:divsChild>
                    </w:div>
                  </w:divsChild>
                </w:div>
                <w:div w:id="1101682306">
                  <w:marLeft w:val="0"/>
                  <w:marRight w:val="0"/>
                  <w:marTop w:val="0"/>
                  <w:marBottom w:val="0"/>
                  <w:divBdr>
                    <w:top w:val="none" w:sz="0" w:space="0" w:color="auto"/>
                    <w:left w:val="none" w:sz="0" w:space="0" w:color="auto"/>
                    <w:bottom w:val="none" w:sz="0" w:space="0" w:color="auto"/>
                    <w:right w:val="none" w:sz="0" w:space="0" w:color="auto"/>
                  </w:divBdr>
                  <w:divsChild>
                    <w:div w:id="2143840472">
                      <w:marLeft w:val="0"/>
                      <w:marRight w:val="0"/>
                      <w:marTop w:val="0"/>
                      <w:marBottom w:val="0"/>
                      <w:divBdr>
                        <w:top w:val="none" w:sz="0" w:space="0" w:color="auto"/>
                        <w:left w:val="none" w:sz="0" w:space="0" w:color="auto"/>
                        <w:bottom w:val="none" w:sz="0" w:space="0" w:color="auto"/>
                        <w:right w:val="none" w:sz="0" w:space="0" w:color="auto"/>
                      </w:divBdr>
                      <w:divsChild>
                        <w:div w:id="32139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571349">
      <w:bodyDiv w:val="1"/>
      <w:marLeft w:val="0"/>
      <w:marRight w:val="0"/>
      <w:marTop w:val="0"/>
      <w:marBottom w:val="0"/>
      <w:divBdr>
        <w:top w:val="none" w:sz="0" w:space="0" w:color="auto"/>
        <w:left w:val="none" w:sz="0" w:space="0" w:color="auto"/>
        <w:bottom w:val="none" w:sz="0" w:space="0" w:color="auto"/>
        <w:right w:val="none" w:sz="0" w:space="0" w:color="auto"/>
      </w:divBdr>
    </w:div>
    <w:div w:id="1622876432">
      <w:bodyDiv w:val="1"/>
      <w:marLeft w:val="0"/>
      <w:marRight w:val="0"/>
      <w:marTop w:val="0"/>
      <w:marBottom w:val="0"/>
      <w:divBdr>
        <w:top w:val="none" w:sz="0" w:space="0" w:color="auto"/>
        <w:left w:val="none" w:sz="0" w:space="0" w:color="auto"/>
        <w:bottom w:val="none" w:sz="0" w:space="0" w:color="auto"/>
        <w:right w:val="none" w:sz="0" w:space="0" w:color="auto"/>
      </w:divBdr>
      <w:divsChild>
        <w:div w:id="1681543817">
          <w:marLeft w:val="0"/>
          <w:marRight w:val="0"/>
          <w:marTop w:val="0"/>
          <w:marBottom w:val="0"/>
          <w:divBdr>
            <w:top w:val="none" w:sz="0" w:space="0" w:color="auto"/>
            <w:left w:val="none" w:sz="0" w:space="0" w:color="auto"/>
            <w:bottom w:val="dotted" w:sz="6" w:space="4" w:color="DDDDDD"/>
            <w:right w:val="none" w:sz="0" w:space="0" w:color="auto"/>
          </w:divBdr>
          <w:divsChild>
            <w:div w:id="187002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219912">
      <w:bodyDiv w:val="1"/>
      <w:marLeft w:val="0"/>
      <w:marRight w:val="0"/>
      <w:marTop w:val="0"/>
      <w:marBottom w:val="0"/>
      <w:divBdr>
        <w:top w:val="none" w:sz="0" w:space="0" w:color="auto"/>
        <w:left w:val="none" w:sz="0" w:space="0" w:color="auto"/>
        <w:bottom w:val="none" w:sz="0" w:space="0" w:color="auto"/>
        <w:right w:val="none" w:sz="0" w:space="0" w:color="auto"/>
      </w:divBdr>
      <w:divsChild>
        <w:div w:id="257643251">
          <w:marLeft w:val="0"/>
          <w:marRight w:val="0"/>
          <w:marTop w:val="0"/>
          <w:marBottom w:val="0"/>
          <w:divBdr>
            <w:top w:val="none" w:sz="0" w:space="0" w:color="auto"/>
            <w:left w:val="none" w:sz="0" w:space="0" w:color="auto"/>
            <w:bottom w:val="none" w:sz="0" w:space="0" w:color="auto"/>
            <w:right w:val="none" w:sz="0" w:space="0" w:color="auto"/>
          </w:divBdr>
        </w:div>
      </w:divsChild>
    </w:div>
    <w:div w:id="1623417255">
      <w:bodyDiv w:val="1"/>
      <w:marLeft w:val="0"/>
      <w:marRight w:val="0"/>
      <w:marTop w:val="0"/>
      <w:marBottom w:val="0"/>
      <w:divBdr>
        <w:top w:val="none" w:sz="0" w:space="0" w:color="auto"/>
        <w:left w:val="none" w:sz="0" w:space="0" w:color="auto"/>
        <w:bottom w:val="none" w:sz="0" w:space="0" w:color="auto"/>
        <w:right w:val="none" w:sz="0" w:space="0" w:color="auto"/>
      </w:divBdr>
      <w:divsChild>
        <w:div w:id="176701267">
          <w:marLeft w:val="0"/>
          <w:marRight w:val="0"/>
          <w:marTop w:val="0"/>
          <w:marBottom w:val="0"/>
          <w:divBdr>
            <w:top w:val="none" w:sz="0" w:space="0" w:color="auto"/>
            <w:left w:val="none" w:sz="0" w:space="0" w:color="auto"/>
            <w:bottom w:val="none" w:sz="0" w:space="0" w:color="auto"/>
            <w:right w:val="none" w:sz="0" w:space="0" w:color="auto"/>
          </w:divBdr>
          <w:divsChild>
            <w:div w:id="1537040141">
              <w:marLeft w:val="0"/>
              <w:marRight w:val="0"/>
              <w:marTop w:val="0"/>
              <w:marBottom w:val="0"/>
              <w:divBdr>
                <w:top w:val="none" w:sz="0" w:space="0" w:color="auto"/>
                <w:left w:val="none" w:sz="0" w:space="0" w:color="auto"/>
                <w:bottom w:val="none" w:sz="0" w:space="0" w:color="auto"/>
                <w:right w:val="none" w:sz="0" w:space="0" w:color="auto"/>
              </w:divBdr>
              <w:divsChild>
                <w:div w:id="536088499">
                  <w:marLeft w:val="0"/>
                  <w:marRight w:val="0"/>
                  <w:marTop w:val="0"/>
                  <w:marBottom w:val="0"/>
                  <w:divBdr>
                    <w:top w:val="none" w:sz="0" w:space="0" w:color="auto"/>
                    <w:left w:val="none" w:sz="0" w:space="0" w:color="auto"/>
                    <w:bottom w:val="none" w:sz="0" w:space="0" w:color="auto"/>
                    <w:right w:val="none" w:sz="0" w:space="0" w:color="auto"/>
                  </w:divBdr>
                  <w:divsChild>
                    <w:div w:id="384137936">
                      <w:marLeft w:val="0"/>
                      <w:marRight w:val="0"/>
                      <w:marTop w:val="0"/>
                      <w:marBottom w:val="0"/>
                      <w:divBdr>
                        <w:top w:val="none" w:sz="0" w:space="0" w:color="auto"/>
                        <w:left w:val="none" w:sz="0" w:space="0" w:color="auto"/>
                        <w:bottom w:val="none" w:sz="0" w:space="0" w:color="auto"/>
                        <w:right w:val="none" w:sz="0" w:space="0" w:color="auto"/>
                      </w:divBdr>
                      <w:divsChild>
                        <w:div w:id="1214198538">
                          <w:marLeft w:val="0"/>
                          <w:marRight w:val="0"/>
                          <w:marTop w:val="0"/>
                          <w:marBottom w:val="0"/>
                          <w:divBdr>
                            <w:top w:val="none" w:sz="0" w:space="0" w:color="auto"/>
                            <w:left w:val="none" w:sz="0" w:space="0" w:color="auto"/>
                            <w:bottom w:val="none" w:sz="0" w:space="0" w:color="auto"/>
                            <w:right w:val="none" w:sz="0" w:space="0" w:color="auto"/>
                          </w:divBdr>
                          <w:divsChild>
                            <w:div w:id="112792319">
                              <w:marLeft w:val="0"/>
                              <w:marRight w:val="0"/>
                              <w:marTop w:val="0"/>
                              <w:marBottom w:val="0"/>
                              <w:divBdr>
                                <w:top w:val="none" w:sz="0" w:space="0" w:color="auto"/>
                                <w:left w:val="none" w:sz="0" w:space="0" w:color="auto"/>
                                <w:bottom w:val="none" w:sz="0" w:space="0" w:color="auto"/>
                                <w:right w:val="none" w:sz="0" w:space="0" w:color="auto"/>
                              </w:divBdr>
                              <w:divsChild>
                                <w:div w:id="730033697">
                                  <w:marLeft w:val="0"/>
                                  <w:marRight w:val="0"/>
                                  <w:marTop w:val="0"/>
                                  <w:marBottom w:val="0"/>
                                  <w:divBdr>
                                    <w:top w:val="none" w:sz="0" w:space="0" w:color="auto"/>
                                    <w:left w:val="none" w:sz="0" w:space="0" w:color="auto"/>
                                    <w:bottom w:val="none" w:sz="0" w:space="0" w:color="auto"/>
                                    <w:right w:val="none" w:sz="0" w:space="0" w:color="auto"/>
                                  </w:divBdr>
                                  <w:divsChild>
                                    <w:div w:id="13716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531475">
      <w:bodyDiv w:val="1"/>
      <w:marLeft w:val="0"/>
      <w:marRight w:val="0"/>
      <w:marTop w:val="0"/>
      <w:marBottom w:val="0"/>
      <w:divBdr>
        <w:top w:val="none" w:sz="0" w:space="0" w:color="auto"/>
        <w:left w:val="none" w:sz="0" w:space="0" w:color="auto"/>
        <w:bottom w:val="none" w:sz="0" w:space="0" w:color="auto"/>
        <w:right w:val="none" w:sz="0" w:space="0" w:color="auto"/>
      </w:divBdr>
      <w:divsChild>
        <w:div w:id="175576975">
          <w:marLeft w:val="0"/>
          <w:marRight w:val="0"/>
          <w:marTop w:val="0"/>
          <w:marBottom w:val="0"/>
          <w:divBdr>
            <w:top w:val="none" w:sz="0" w:space="0" w:color="auto"/>
            <w:left w:val="none" w:sz="0" w:space="0" w:color="auto"/>
            <w:bottom w:val="none" w:sz="0" w:space="0" w:color="auto"/>
            <w:right w:val="none" w:sz="0" w:space="0" w:color="auto"/>
          </w:divBdr>
          <w:divsChild>
            <w:div w:id="1910581184">
              <w:marLeft w:val="0"/>
              <w:marRight w:val="0"/>
              <w:marTop w:val="0"/>
              <w:marBottom w:val="0"/>
              <w:divBdr>
                <w:top w:val="none" w:sz="0" w:space="0" w:color="auto"/>
                <w:left w:val="none" w:sz="0" w:space="0" w:color="auto"/>
                <w:bottom w:val="none" w:sz="0" w:space="0" w:color="auto"/>
                <w:right w:val="none" w:sz="0" w:space="0" w:color="auto"/>
              </w:divBdr>
              <w:divsChild>
                <w:div w:id="255554287">
                  <w:marLeft w:val="0"/>
                  <w:marRight w:val="0"/>
                  <w:marTop w:val="0"/>
                  <w:marBottom w:val="0"/>
                  <w:divBdr>
                    <w:top w:val="none" w:sz="0" w:space="0" w:color="auto"/>
                    <w:left w:val="none" w:sz="0" w:space="0" w:color="auto"/>
                    <w:bottom w:val="none" w:sz="0" w:space="0" w:color="auto"/>
                    <w:right w:val="none" w:sz="0" w:space="0" w:color="auto"/>
                  </w:divBdr>
                  <w:divsChild>
                    <w:div w:id="1188518715">
                      <w:marLeft w:val="0"/>
                      <w:marRight w:val="0"/>
                      <w:marTop w:val="0"/>
                      <w:marBottom w:val="0"/>
                      <w:divBdr>
                        <w:top w:val="none" w:sz="0" w:space="0" w:color="auto"/>
                        <w:left w:val="none" w:sz="0" w:space="0" w:color="auto"/>
                        <w:bottom w:val="none" w:sz="0" w:space="0" w:color="auto"/>
                        <w:right w:val="none" w:sz="0" w:space="0" w:color="auto"/>
                      </w:divBdr>
                      <w:divsChild>
                        <w:div w:id="1350066975">
                          <w:marLeft w:val="0"/>
                          <w:marRight w:val="0"/>
                          <w:marTop w:val="0"/>
                          <w:marBottom w:val="0"/>
                          <w:divBdr>
                            <w:top w:val="none" w:sz="0" w:space="0" w:color="auto"/>
                            <w:left w:val="none" w:sz="0" w:space="0" w:color="auto"/>
                            <w:bottom w:val="none" w:sz="0" w:space="0" w:color="auto"/>
                            <w:right w:val="none" w:sz="0" w:space="0" w:color="auto"/>
                          </w:divBdr>
                          <w:divsChild>
                            <w:div w:id="2036807202">
                              <w:marLeft w:val="0"/>
                              <w:marRight w:val="0"/>
                              <w:marTop w:val="0"/>
                              <w:marBottom w:val="0"/>
                              <w:divBdr>
                                <w:top w:val="none" w:sz="0" w:space="0" w:color="auto"/>
                                <w:left w:val="none" w:sz="0" w:space="0" w:color="auto"/>
                                <w:bottom w:val="none" w:sz="0" w:space="0" w:color="auto"/>
                                <w:right w:val="none" w:sz="0" w:space="0" w:color="auto"/>
                              </w:divBdr>
                              <w:divsChild>
                                <w:div w:id="835728371">
                                  <w:marLeft w:val="0"/>
                                  <w:marRight w:val="0"/>
                                  <w:marTop w:val="0"/>
                                  <w:marBottom w:val="0"/>
                                  <w:divBdr>
                                    <w:top w:val="none" w:sz="0" w:space="0" w:color="auto"/>
                                    <w:left w:val="none" w:sz="0" w:space="0" w:color="auto"/>
                                    <w:bottom w:val="none" w:sz="0" w:space="0" w:color="auto"/>
                                    <w:right w:val="none" w:sz="0" w:space="0" w:color="auto"/>
                                  </w:divBdr>
                                  <w:divsChild>
                                    <w:div w:id="1206797024">
                                      <w:marLeft w:val="0"/>
                                      <w:marRight w:val="0"/>
                                      <w:marTop w:val="0"/>
                                      <w:marBottom w:val="0"/>
                                      <w:divBdr>
                                        <w:top w:val="none" w:sz="0" w:space="0" w:color="auto"/>
                                        <w:left w:val="none" w:sz="0" w:space="0" w:color="auto"/>
                                        <w:bottom w:val="none" w:sz="0" w:space="0" w:color="auto"/>
                                        <w:right w:val="none" w:sz="0" w:space="0" w:color="auto"/>
                                      </w:divBdr>
                                      <w:divsChild>
                                        <w:div w:id="160179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682138">
      <w:bodyDiv w:val="1"/>
      <w:marLeft w:val="0"/>
      <w:marRight w:val="0"/>
      <w:marTop w:val="0"/>
      <w:marBottom w:val="0"/>
      <w:divBdr>
        <w:top w:val="none" w:sz="0" w:space="0" w:color="auto"/>
        <w:left w:val="none" w:sz="0" w:space="0" w:color="auto"/>
        <w:bottom w:val="none" w:sz="0" w:space="0" w:color="auto"/>
        <w:right w:val="none" w:sz="0" w:space="0" w:color="auto"/>
      </w:divBdr>
    </w:div>
    <w:div w:id="1623686520">
      <w:bodyDiv w:val="1"/>
      <w:marLeft w:val="0"/>
      <w:marRight w:val="0"/>
      <w:marTop w:val="0"/>
      <w:marBottom w:val="0"/>
      <w:divBdr>
        <w:top w:val="none" w:sz="0" w:space="0" w:color="auto"/>
        <w:left w:val="none" w:sz="0" w:space="0" w:color="auto"/>
        <w:bottom w:val="none" w:sz="0" w:space="0" w:color="auto"/>
        <w:right w:val="none" w:sz="0" w:space="0" w:color="auto"/>
      </w:divBdr>
      <w:divsChild>
        <w:div w:id="736366451">
          <w:marLeft w:val="0"/>
          <w:marRight w:val="0"/>
          <w:marTop w:val="0"/>
          <w:marBottom w:val="0"/>
          <w:divBdr>
            <w:top w:val="none" w:sz="0" w:space="0" w:color="auto"/>
            <w:left w:val="none" w:sz="0" w:space="0" w:color="auto"/>
            <w:bottom w:val="none" w:sz="0" w:space="0" w:color="auto"/>
            <w:right w:val="none" w:sz="0" w:space="0" w:color="auto"/>
          </w:divBdr>
        </w:div>
        <w:div w:id="1182470428">
          <w:marLeft w:val="0"/>
          <w:marRight w:val="0"/>
          <w:marTop w:val="0"/>
          <w:marBottom w:val="0"/>
          <w:divBdr>
            <w:top w:val="none" w:sz="0" w:space="0" w:color="auto"/>
            <w:left w:val="none" w:sz="0" w:space="0" w:color="auto"/>
            <w:bottom w:val="none" w:sz="0" w:space="0" w:color="auto"/>
            <w:right w:val="none" w:sz="0" w:space="0" w:color="auto"/>
          </w:divBdr>
        </w:div>
      </w:divsChild>
    </w:div>
    <w:div w:id="1623880443">
      <w:bodyDiv w:val="1"/>
      <w:marLeft w:val="0"/>
      <w:marRight w:val="0"/>
      <w:marTop w:val="0"/>
      <w:marBottom w:val="0"/>
      <w:divBdr>
        <w:top w:val="none" w:sz="0" w:space="0" w:color="auto"/>
        <w:left w:val="none" w:sz="0" w:space="0" w:color="auto"/>
        <w:bottom w:val="none" w:sz="0" w:space="0" w:color="auto"/>
        <w:right w:val="none" w:sz="0" w:space="0" w:color="auto"/>
      </w:divBdr>
      <w:divsChild>
        <w:div w:id="1436707286">
          <w:marLeft w:val="0"/>
          <w:marRight w:val="0"/>
          <w:marTop w:val="0"/>
          <w:marBottom w:val="0"/>
          <w:divBdr>
            <w:top w:val="none" w:sz="0" w:space="0" w:color="auto"/>
            <w:left w:val="none" w:sz="0" w:space="0" w:color="auto"/>
            <w:bottom w:val="dotted" w:sz="6" w:space="4" w:color="DDDDDD"/>
            <w:right w:val="none" w:sz="0" w:space="0" w:color="auto"/>
          </w:divBdr>
          <w:divsChild>
            <w:div w:id="139311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882618">
      <w:bodyDiv w:val="1"/>
      <w:marLeft w:val="0"/>
      <w:marRight w:val="0"/>
      <w:marTop w:val="0"/>
      <w:marBottom w:val="0"/>
      <w:divBdr>
        <w:top w:val="none" w:sz="0" w:space="0" w:color="auto"/>
        <w:left w:val="none" w:sz="0" w:space="0" w:color="auto"/>
        <w:bottom w:val="none" w:sz="0" w:space="0" w:color="auto"/>
        <w:right w:val="none" w:sz="0" w:space="0" w:color="auto"/>
      </w:divBdr>
      <w:divsChild>
        <w:div w:id="106388837">
          <w:marLeft w:val="0"/>
          <w:marRight w:val="0"/>
          <w:marTop w:val="0"/>
          <w:marBottom w:val="150"/>
          <w:divBdr>
            <w:top w:val="none" w:sz="0" w:space="0" w:color="auto"/>
            <w:left w:val="none" w:sz="0" w:space="0" w:color="auto"/>
            <w:bottom w:val="none" w:sz="0" w:space="0" w:color="auto"/>
            <w:right w:val="none" w:sz="0" w:space="0" w:color="auto"/>
          </w:divBdr>
        </w:div>
        <w:div w:id="114563714">
          <w:marLeft w:val="0"/>
          <w:marRight w:val="0"/>
          <w:marTop w:val="0"/>
          <w:marBottom w:val="150"/>
          <w:divBdr>
            <w:top w:val="none" w:sz="0" w:space="0" w:color="auto"/>
            <w:left w:val="none" w:sz="0" w:space="0" w:color="auto"/>
            <w:bottom w:val="none" w:sz="0" w:space="0" w:color="auto"/>
            <w:right w:val="none" w:sz="0" w:space="0" w:color="auto"/>
          </w:divBdr>
        </w:div>
        <w:div w:id="256839325">
          <w:marLeft w:val="0"/>
          <w:marRight w:val="0"/>
          <w:marTop w:val="0"/>
          <w:marBottom w:val="150"/>
          <w:divBdr>
            <w:top w:val="none" w:sz="0" w:space="0" w:color="auto"/>
            <w:left w:val="none" w:sz="0" w:space="0" w:color="auto"/>
            <w:bottom w:val="none" w:sz="0" w:space="0" w:color="auto"/>
            <w:right w:val="none" w:sz="0" w:space="0" w:color="auto"/>
          </w:divBdr>
        </w:div>
        <w:div w:id="468283255">
          <w:marLeft w:val="0"/>
          <w:marRight w:val="0"/>
          <w:marTop w:val="0"/>
          <w:marBottom w:val="150"/>
          <w:divBdr>
            <w:top w:val="none" w:sz="0" w:space="0" w:color="auto"/>
            <w:left w:val="none" w:sz="0" w:space="0" w:color="auto"/>
            <w:bottom w:val="none" w:sz="0" w:space="0" w:color="auto"/>
            <w:right w:val="none" w:sz="0" w:space="0" w:color="auto"/>
          </w:divBdr>
        </w:div>
        <w:div w:id="536623069">
          <w:marLeft w:val="0"/>
          <w:marRight w:val="0"/>
          <w:marTop w:val="0"/>
          <w:marBottom w:val="150"/>
          <w:divBdr>
            <w:top w:val="none" w:sz="0" w:space="0" w:color="auto"/>
            <w:left w:val="none" w:sz="0" w:space="0" w:color="auto"/>
            <w:bottom w:val="none" w:sz="0" w:space="0" w:color="auto"/>
            <w:right w:val="none" w:sz="0" w:space="0" w:color="auto"/>
          </w:divBdr>
        </w:div>
        <w:div w:id="557740754">
          <w:marLeft w:val="0"/>
          <w:marRight w:val="0"/>
          <w:marTop w:val="0"/>
          <w:marBottom w:val="150"/>
          <w:divBdr>
            <w:top w:val="none" w:sz="0" w:space="0" w:color="auto"/>
            <w:left w:val="none" w:sz="0" w:space="0" w:color="auto"/>
            <w:bottom w:val="none" w:sz="0" w:space="0" w:color="auto"/>
            <w:right w:val="none" w:sz="0" w:space="0" w:color="auto"/>
          </w:divBdr>
        </w:div>
        <w:div w:id="944582416">
          <w:marLeft w:val="0"/>
          <w:marRight w:val="0"/>
          <w:marTop w:val="0"/>
          <w:marBottom w:val="150"/>
          <w:divBdr>
            <w:top w:val="none" w:sz="0" w:space="0" w:color="auto"/>
            <w:left w:val="none" w:sz="0" w:space="0" w:color="auto"/>
            <w:bottom w:val="none" w:sz="0" w:space="0" w:color="auto"/>
            <w:right w:val="none" w:sz="0" w:space="0" w:color="auto"/>
          </w:divBdr>
        </w:div>
      </w:divsChild>
    </w:div>
    <w:div w:id="1624651676">
      <w:bodyDiv w:val="1"/>
      <w:marLeft w:val="0"/>
      <w:marRight w:val="0"/>
      <w:marTop w:val="0"/>
      <w:marBottom w:val="0"/>
      <w:divBdr>
        <w:top w:val="none" w:sz="0" w:space="0" w:color="auto"/>
        <w:left w:val="none" w:sz="0" w:space="0" w:color="auto"/>
        <w:bottom w:val="none" w:sz="0" w:space="0" w:color="auto"/>
        <w:right w:val="none" w:sz="0" w:space="0" w:color="auto"/>
      </w:divBdr>
    </w:div>
    <w:div w:id="1624996495">
      <w:bodyDiv w:val="1"/>
      <w:marLeft w:val="0"/>
      <w:marRight w:val="0"/>
      <w:marTop w:val="0"/>
      <w:marBottom w:val="0"/>
      <w:divBdr>
        <w:top w:val="none" w:sz="0" w:space="0" w:color="auto"/>
        <w:left w:val="none" w:sz="0" w:space="0" w:color="auto"/>
        <w:bottom w:val="none" w:sz="0" w:space="0" w:color="auto"/>
        <w:right w:val="none" w:sz="0" w:space="0" w:color="auto"/>
      </w:divBdr>
      <w:divsChild>
        <w:div w:id="1297492470">
          <w:marLeft w:val="0"/>
          <w:marRight w:val="0"/>
          <w:marTop w:val="0"/>
          <w:marBottom w:val="0"/>
          <w:divBdr>
            <w:top w:val="none" w:sz="0" w:space="0" w:color="auto"/>
            <w:left w:val="none" w:sz="0" w:space="0" w:color="auto"/>
            <w:bottom w:val="dotted" w:sz="6" w:space="4" w:color="DDDDDD"/>
            <w:right w:val="none" w:sz="0" w:space="0" w:color="auto"/>
          </w:divBdr>
          <w:divsChild>
            <w:div w:id="33823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186393">
      <w:bodyDiv w:val="1"/>
      <w:marLeft w:val="0"/>
      <w:marRight w:val="0"/>
      <w:marTop w:val="0"/>
      <w:marBottom w:val="0"/>
      <w:divBdr>
        <w:top w:val="none" w:sz="0" w:space="0" w:color="auto"/>
        <w:left w:val="none" w:sz="0" w:space="0" w:color="auto"/>
        <w:bottom w:val="none" w:sz="0" w:space="0" w:color="auto"/>
        <w:right w:val="none" w:sz="0" w:space="0" w:color="auto"/>
      </w:divBdr>
      <w:divsChild>
        <w:div w:id="175316343">
          <w:marLeft w:val="0"/>
          <w:marRight w:val="0"/>
          <w:marTop w:val="0"/>
          <w:marBottom w:val="0"/>
          <w:divBdr>
            <w:top w:val="none" w:sz="0" w:space="0" w:color="auto"/>
            <w:left w:val="none" w:sz="0" w:space="0" w:color="auto"/>
            <w:bottom w:val="none" w:sz="0" w:space="0" w:color="auto"/>
            <w:right w:val="none" w:sz="0" w:space="0" w:color="auto"/>
          </w:divBdr>
          <w:divsChild>
            <w:div w:id="36510669">
              <w:marLeft w:val="0"/>
              <w:marRight w:val="0"/>
              <w:marTop w:val="0"/>
              <w:marBottom w:val="0"/>
              <w:divBdr>
                <w:top w:val="none" w:sz="0" w:space="0" w:color="auto"/>
                <w:left w:val="none" w:sz="0" w:space="0" w:color="auto"/>
                <w:bottom w:val="none" w:sz="0" w:space="0" w:color="auto"/>
                <w:right w:val="none" w:sz="0" w:space="0" w:color="auto"/>
              </w:divBdr>
              <w:divsChild>
                <w:div w:id="2074623804">
                  <w:marLeft w:val="0"/>
                  <w:marRight w:val="0"/>
                  <w:marTop w:val="0"/>
                  <w:marBottom w:val="0"/>
                  <w:divBdr>
                    <w:top w:val="none" w:sz="0" w:space="0" w:color="auto"/>
                    <w:left w:val="none" w:sz="0" w:space="0" w:color="auto"/>
                    <w:bottom w:val="none" w:sz="0" w:space="0" w:color="auto"/>
                    <w:right w:val="none" w:sz="0" w:space="0" w:color="auto"/>
                  </w:divBdr>
                  <w:divsChild>
                    <w:div w:id="325398568">
                      <w:marLeft w:val="0"/>
                      <w:marRight w:val="0"/>
                      <w:marTop w:val="0"/>
                      <w:marBottom w:val="0"/>
                      <w:divBdr>
                        <w:top w:val="none" w:sz="0" w:space="0" w:color="auto"/>
                        <w:left w:val="none" w:sz="0" w:space="0" w:color="auto"/>
                        <w:bottom w:val="none" w:sz="0" w:space="0" w:color="auto"/>
                        <w:right w:val="none" w:sz="0" w:space="0" w:color="auto"/>
                      </w:divBdr>
                      <w:divsChild>
                        <w:div w:id="637498013">
                          <w:marLeft w:val="0"/>
                          <w:marRight w:val="0"/>
                          <w:marTop w:val="0"/>
                          <w:marBottom w:val="0"/>
                          <w:divBdr>
                            <w:top w:val="none" w:sz="0" w:space="0" w:color="auto"/>
                            <w:left w:val="none" w:sz="0" w:space="0" w:color="auto"/>
                            <w:bottom w:val="none" w:sz="0" w:space="0" w:color="auto"/>
                            <w:right w:val="none" w:sz="0" w:space="0" w:color="auto"/>
                          </w:divBdr>
                          <w:divsChild>
                            <w:div w:id="2052881094">
                              <w:marLeft w:val="0"/>
                              <w:marRight w:val="0"/>
                              <w:marTop w:val="0"/>
                              <w:marBottom w:val="0"/>
                              <w:divBdr>
                                <w:top w:val="none" w:sz="0" w:space="0" w:color="auto"/>
                                <w:left w:val="none" w:sz="0" w:space="0" w:color="auto"/>
                                <w:bottom w:val="none" w:sz="0" w:space="0" w:color="auto"/>
                                <w:right w:val="none" w:sz="0" w:space="0" w:color="auto"/>
                              </w:divBdr>
                              <w:divsChild>
                                <w:div w:id="149114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5191738">
      <w:bodyDiv w:val="1"/>
      <w:marLeft w:val="0"/>
      <w:marRight w:val="0"/>
      <w:marTop w:val="0"/>
      <w:marBottom w:val="0"/>
      <w:divBdr>
        <w:top w:val="none" w:sz="0" w:space="0" w:color="auto"/>
        <w:left w:val="none" w:sz="0" w:space="0" w:color="auto"/>
        <w:bottom w:val="none" w:sz="0" w:space="0" w:color="auto"/>
        <w:right w:val="none" w:sz="0" w:space="0" w:color="auto"/>
      </w:divBdr>
      <w:divsChild>
        <w:div w:id="964847312">
          <w:marLeft w:val="0"/>
          <w:marRight w:val="0"/>
          <w:marTop w:val="0"/>
          <w:marBottom w:val="0"/>
          <w:divBdr>
            <w:top w:val="none" w:sz="0" w:space="0" w:color="auto"/>
            <w:left w:val="none" w:sz="0" w:space="0" w:color="auto"/>
            <w:bottom w:val="none" w:sz="0" w:space="0" w:color="auto"/>
            <w:right w:val="none" w:sz="0" w:space="0" w:color="auto"/>
          </w:divBdr>
          <w:divsChild>
            <w:div w:id="57836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426523">
      <w:bodyDiv w:val="1"/>
      <w:marLeft w:val="0"/>
      <w:marRight w:val="0"/>
      <w:marTop w:val="0"/>
      <w:marBottom w:val="0"/>
      <w:divBdr>
        <w:top w:val="none" w:sz="0" w:space="0" w:color="auto"/>
        <w:left w:val="none" w:sz="0" w:space="0" w:color="auto"/>
        <w:bottom w:val="none" w:sz="0" w:space="0" w:color="auto"/>
        <w:right w:val="none" w:sz="0" w:space="0" w:color="auto"/>
      </w:divBdr>
      <w:divsChild>
        <w:div w:id="982083271">
          <w:marLeft w:val="0"/>
          <w:marRight w:val="0"/>
          <w:marTop w:val="0"/>
          <w:marBottom w:val="0"/>
          <w:divBdr>
            <w:top w:val="none" w:sz="0" w:space="0" w:color="auto"/>
            <w:left w:val="none" w:sz="0" w:space="0" w:color="auto"/>
            <w:bottom w:val="none" w:sz="0" w:space="0" w:color="auto"/>
            <w:right w:val="none" w:sz="0" w:space="0" w:color="auto"/>
          </w:divBdr>
          <w:divsChild>
            <w:div w:id="1436750210">
              <w:marLeft w:val="0"/>
              <w:marRight w:val="0"/>
              <w:marTop w:val="0"/>
              <w:marBottom w:val="0"/>
              <w:divBdr>
                <w:top w:val="none" w:sz="0" w:space="0" w:color="auto"/>
                <w:left w:val="none" w:sz="0" w:space="0" w:color="auto"/>
                <w:bottom w:val="none" w:sz="0" w:space="0" w:color="auto"/>
                <w:right w:val="none" w:sz="0" w:space="0" w:color="auto"/>
              </w:divBdr>
            </w:div>
          </w:divsChild>
        </w:div>
        <w:div w:id="94178277">
          <w:marLeft w:val="0"/>
          <w:marRight w:val="0"/>
          <w:marTop w:val="240"/>
          <w:marBottom w:val="0"/>
          <w:divBdr>
            <w:top w:val="none" w:sz="0" w:space="0" w:color="auto"/>
            <w:left w:val="none" w:sz="0" w:space="0" w:color="auto"/>
            <w:bottom w:val="none" w:sz="0" w:space="0" w:color="auto"/>
            <w:right w:val="none" w:sz="0" w:space="0" w:color="auto"/>
          </w:divBdr>
        </w:div>
      </w:divsChild>
    </w:div>
    <w:div w:id="1625497269">
      <w:bodyDiv w:val="1"/>
      <w:marLeft w:val="0"/>
      <w:marRight w:val="0"/>
      <w:marTop w:val="0"/>
      <w:marBottom w:val="0"/>
      <w:divBdr>
        <w:top w:val="none" w:sz="0" w:space="0" w:color="auto"/>
        <w:left w:val="none" w:sz="0" w:space="0" w:color="auto"/>
        <w:bottom w:val="none" w:sz="0" w:space="0" w:color="auto"/>
        <w:right w:val="none" w:sz="0" w:space="0" w:color="auto"/>
      </w:divBdr>
      <w:divsChild>
        <w:div w:id="1487550147">
          <w:marLeft w:val="0"/>
          <w:marRight w:val="0"/>
          <w:marTop w:val="0"/>
          <w:marBottom w:val="0"/>
          <w:divBdr>
            <w:top w:val="none" w:sz="0" w:space="0" w:color="auto"/>
            <w:left w:val="none" w:sz="0" w:space="0" w:color="auto"/>
            <w:bottom w:val="dotted" w:sz="6" w:space="4" w:color="DDDDDD"/>
            <w:right w:val="none" w:sz="0" w:space="0" w:color="auto"/>
          </w:divBdr>
        </w:div>
      </w:divsChild>
    </w:div>
    <w:div w:id="1626236690">
      <w:bodyDiv w:val="1"/>
      <w:marLeft w:val="0"/>
      <w:marRight w:val="0"/>
      <w:marTop w:val="0"/>
      <w:marBottom w:val="0"/>
      <w:divBdr>
        <w:top w:val="none" w:sz="0" w:space="0" w:color="auto"/>
        <w:left w:val="none" w:sz="0" w:space="0" w:color="auto"/>
        <w:bottom w:val="none" w:sz="0" w:space="0" w:color="auto"/>
        <w:right w:val="none" w:sz="0" w:space="0" w:color="auto"/>
      </w:divBdr>
      <w:divsChild>
        <w:div w:id="1963147648">
          <w:marLeft w:val="0"/>
          <w:marRight w:val="0"/>
          <w:marTop w:val="0"/>
          <w:marBottom w:val="0"/>
          <w:divBdr>
            <w:top w:val="none" w:sz="0" w:space="0" w:color="auto"/>
            <w:left w:val="none" w:sz="0" w:space="0" w:color="auto"/>
            <w:bottom w:val="dotted" w:sz="6" w:space="4" w:color="DDDDDD"/>
            <w:right w:val="none" w:sz="0" w:space="0" w:color="auto"/>
          </w:divBdr>
        </w:div>
      </w:divsChild>
    </w:div>
    <w:div w:id="1626933596">
      <w:bodyDiv w:val="1"/>
      <w:marLeft w:val="0"/>
      <w:marRight w:val="0"/>
      <w:marTop w:val="0"/>
      <w:marBottom w:val="0"/>
      <w:divBdr>
        <w:top w:val="none" w:sz="0" w:space="0" w:color="auto"/>
        <w:left w:val="none" w:sz="0" w:space="0" w:color="auto"/>
        <w:bottom w:val="none" w:sz="0" w:space="0" w:color="auto"/>
        <w:right w:val="none" w:sz="0" w:space="0" w:color="auto"/>
      </w:divBdr>
    </w:div>
    <w:div w:id="1627085582">
      <w:bodyDiv w:val="1"/>
      <w:marLeft w:val="0"/>
      <w:marRight w:val="0"/>
      <w:marTop w:val="0"/>
      <w:marBottom w:val="0"/>
      <w:divBdr>
        <w:top w:val="none" w:sz="0" w:space="0" w:color="auto"/>
        <w:left w:val="none" w:sz="0" w:space="0" w:color="auto"/>
        <w:bottom w:val="none" w:sz="0" w:space="0" w:color="auto"/>
        <w:right w:val="none" w:sz="0" w:space="0" w:color="auto"/>
      </w:divBdr>
      <w:divsChild>
        <w:div w:id="1746610546">
          <w:marLeft w:val="0"/>
          <w:marRight w:val="0"/>
          <w:marTop w:val="0"/>
          <w:marBottom w:val="150"/>
          <w:divBdr>
            <w:top w:val="none" w:sz="0" w:space="0" w:color="auto"/>
            <w:left w:val="none" w:sz="0" w:space="0" w:color="auto"/>
            <w:bottom w:val="none" w:sz="0" w:space="0" w:color="auto"/>
            <w:right w:val="none" w:sz="0" w:space="0" w:color="auto"/>
          </w:divBdr>
          <w:divsChild>
            <w:div w:id="123815803">
              <w:marLeft w:val="0"/>
              <w:marRight w:val="0"/>
              <w:marTop w:val="0"/>
              <w:marBottom w:val="0"/>
              <w:divBdr>
                <w:top w:val="none" w:sz="0" w:space="0" w:color="auto"/>
                <w:left w:val="none" w:sz="0" w:space="0" w:color="auto"/>
                <w:bottom w:val="none" w:sz="0" w:space="0" w:color="auto"/>
                <w:right w:val="none" w:sz="0" w:space="0" w:color="auto"/>
              </w:divBdr>
              <w:divsChild>
                <w:div w:id="197729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26418">
          <w:marLeft w:val="0"/>
          <w:marRight w:val="0"/>
          <w:marTop w:val="0"/>
          <w:marBottom w:val="150"/>
          <w:divBdr>
            <w:top w:val="none" w:sz="0" w:space="0" w:color="auto"/>
            <w:left w:val="none" w:sz="0" w:space="0" w:color="auto"/>
            <w:bottom w:val="none" w:sz="0" w:space="0" w:color="auto"/>
            <w:right w:val="none" w:sz="0" w:space="0" w:color="auto"/>
          </w:divBdr>
        </w:div>
        <w:div w:id="175577849">
          <w:marLeft w:val="0"/>
          <w:marRight w:val="0"/>
          <w:marTop w:val="0"/>
          <w:marBottom w:val="0"/>
          <w:divBdr>
            <w:top w:val="none" w:sz="0" w:space="0" w:color="auto"/>
            <w:left w:val="none" w:sz="0" w:space="0" w:color="auto"/>
            <w:bottom w:val="none" w:sz="0" w:space="0" w:color="auto"/>
            <w:right w:val="none" w:sz="0" w:space="0" w:color="auto"/>
          </w:divBdr>
          <w:divsChild>
            <w:div w:id="99275713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27154932">
      <w:bodyDiv w:val="1"/>
      <w:marLeft w:val="0"/>
      <w:marRight w:val="0"/>
      <w:marTop w:val="0"/>
      <w:marBottom w:val="0"/>
      <w:divBdr>
        <w:top w:val="none" w:sz="0" w:space="0" w:color="auto"/>
        <w:left w:val="none" w:sz="0" w:space="0" w:color="auto"/>
        <w:bottom w:val="none" w:sz="0" w:space="0" w:color="auto"/>
        <w:right w:val="none" w:sz="0" w:space="0" w:color="auto"/>
      </w:divBdr>
    </w:div>
    <w:div w:id="1627656880">
      <w:bodyDiv w:val="1"/>
      <w:marLeft w:val="0"/>
      <w:marRight w:val="0"/>
      <w:marTop w:val="0"/>
      <w:marBottom w:val="0"/>
      <w:divBdr>
        <w:top w:val="none" w:sz="0" w:space="0" w:color="auto"/>
        <w:left w:val="none" w:sz="0" w:space="0" w:color="auto"/>
        <w:bottom w:val="none" w:sz="0" w:space="0" w:color="auto"/>
        <w:right w:val="none" w:sz="0" w:space="0" w:color="auto"/>
      </w:divBdr>
      <w:divsChild>
        <w:div w:id="1098521928">
          <w:marLeft w:val="0"/>
          <w:marRight w:val="0"/>
          <w:marTop w:val="0"/>
          <w:marBottom w:val="0"/>
          <w:divBdr>
            <w:top w:val="none" w:sz="0" w:space="0" w:color="auto"/>
            <w:left w:val="none" w:sz="0" w:space="0" w:color="auto"/>
            <w:bottom w:val="none" w:sz="0" w:space="0" w:color="auto"/>
            <w:right w:val="none" w:sz="0" w:space="0" w:color="auto"/>
          </w:divBdr>
          <w:divsChild>
            <w:div w:id="83112871">
              <w:marLeft w:val="0"/>
              <w:marRight w:val="0"/>
              <w:marTop w:val="0"/>
              <w:marBottom w:val="0"/>
              <w:divBdr>
                <w:top w:val="single" w:sz="18" w:space="3" w:color="4A4A4A"/>
                <w:left w:val="none" w:sz="0" w:space="3" w:color="auto"/>
                <w:bottom w:val="single" w:sz="12" w:space="3" w:color="FFFFFF"/>
                <w:right w:val="none" w:sz="0" w:space="3" w:color="auto"/>
              </w:divBdr>
            </w:div>
            <w:div w:id="123236076">
              <w:marLeft w:val="225"/>
              <w:marRight w:val="0"/>
              <w:marTop w:val="0"/>
              <w:marBottom w:val="150"/>
              <w:divBdr>
                <w:top w:val="none" w:sz="0" w:space="0" w:color="auto"/>
                <w:left w:val="none" w:sz="0" w:space="0" w:color="auto"/>
                <w:bottom w:val="none" w:sz="0" w:space="0" w:color="auto"/>
                <w:right w:val="none" w:sz="0" w:space="0" w:color="auto"/>
              </w:divBdr>
            </w:div>
            <w:div w:id="1059747300">
              <w:marLeft w:val="0"/>
              <w:marRight w:val="0"/>
              <w:marTop w:val="0"/>
              <w:marBottom w:val="0"/>
              <w:divBdr>
                <w:top w:val="single" w:sz="18" w:space="3" w:color="4A4A4A"/>
                <w:left w:val="none" w:sz="0" w:space="3" w:color="auto"/>
                <w:bottom w:val="single" w:sz="12" w:space="3" w:color="FFFFFF"/>
                <w:right w:val="none" w:sz="0" w:space="3" w:color="auto"/>
              </w:divBdr>
            </w:div>
            <w:div w:id="1119370729">
              <w:marLeft w:val="0"/>
              <w:marRight w:val="0"/>
              <w:marTop w:val="0"/>
              <w:marBottom w:val="450"/>
              <w:divBdr>
                <w:top w:val="none" w:sz="0" w:space="0" w:color="auto"/>
                <w:left w:val="none" w:sz="0" w:space="0" w:color="auto"/>
                <w:bottom w:val="none" w:sz="0" w:space="0" w:color="auto"/>
                <w:right w:val="none" w:sz="0" w:space="0" w:color="auto"/>
              </w:divBdr>
            </w:div>
            <w:div w:id="1309288703">
              <w:marLeft w:val="225"/>
              <w:marRight w:val="0"/>
              <w:marTop w:val="0"/>
              <w:marBottom w:val="150"/>
              <w:divBdr>
                <w:top w:val="none" w:sz="0" w:space="0" w:color="auto"/>
                <w:left w:val="none" w:sz="0" w:space="0" w:color="auto"/>
                <w:bottom w:val="none" w:sz="0" w:space="0" w:color="auto"/>
                <w:right w:val="none" w:sz="0" w:space="0" w:color="auto"/>
              </w:divBdr>
            </w:div>
            <w:div w:id="1575823868">
              <w:marLeft w:val="0"/>
              <w:marRight w:val="0"/>
              <w:marTop w:val="0"/>
              <w:marBottom w:val="0"/>
              <w:divBdr>
                <w:top w:val="none" w:sz="0" w:space="0" w:color="auto"/>
                <w:left w:val="none" w:sz="0" w:space="0" w:color="auto"/>
                <w:bottom w:val="none" w:sz="0" w:space="0" w:color="auto"/>
                <w:right w:val="none" w:sz="0" w:space="0" w:color="auto"/>
              </w:divBdr>
              <w:divsChild>
                <w:div w:id="411783339">
                  <w:marLeft w:val="0"/>
                  <w:marRight w:val="0"/>
                  <w:marTop w:val="0"/>
                  <w:marBottom w:val="225"/>
                  <w:divBdr>
                    <w:top w:val="none" w:sz="0" w:space="0" w:color="auto"/>
                    <w:left w:val="none" w:sz="0" w:space="0" w:color="auto"/>
                    <w:bottom w:val="none" w:sz="0" w:space="0" w:color="auto"/>
                    <w:right w:val="none" w:sz="0" w:space="0" w:color="auto"/>
                  </w:divBdr>
                  <w:divsChild>
                    <w:div w:id="248272275">
                      <w:marLeft w:val="0"/>
                      <w:marRight w:val="0"/>
                      <w:marTop w:val="0"/>
                      <w:marBottom w:val="0"/>
                      <w:divBdr>
                        <w:top w:val="none" w:sz="0" w:space="0" w:color="auto"/>
                        <w:left w:val="none" w:sz="0" w:space="0" w:color="auto"/>
                        <w:bottom w:val="none" w:sz="0" w:space="0" w:color="auto"/>
                        <w:right w:val="none" w:sz="0" w:space="0" w:color="auto"/>
                      </w:divBdr>
                      <w:divsChild>
                        <w:div w:id="137665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25136">
          <w:marLeft w:val="0"/>
          <w:marRight w:val="0"/>
          <w:marTop w:val="0"/>
          <w:marBottom w:val="0"/>
          <w:divBdr>
            <w:top w:val="none" w:sz="0" w:space="0" w:color="auto"/>
            <w:left w:val="none" w:sz="0" w:space="0" w:color="auto"/>
            <w:bottom w:val="none" w:sz="0" w:space="0" w:color="auto"/>
            <w:right w:val="none" w:sz="0" w:space="0" w:color="auto"/>
          </w:divBdr>
          <w:divsChild>
            <w:div w:id="1625504684">
              <w:marLeft w:val="0"/>
              <w:marRight w:val="0"/>
              <w:marTop w:val="0"/>
              <w:marBottom w:val="0"/>
              <w:divBdr>
                <w:top w:val="none" w:sz="0" w:space="0" w:color="auto"/>
                <w:left w:val="none" w:sz="0" w:space="0" w:color="auto"/>
                <w:bottom w:val="none" w:sz="0" w:space="0" w:color="auto"/>
                <w:right w:val="none" w:sz="0" w:space="0" w:color="auto"/>
              </w:divBdr>
              <w:divsChild>
                <w:div w:id="83087245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627737589">
      <w:bodyDiv w:val="1"/>
      <w:marLeft w:val="0"/>
      <w:marRight w:val="0"/>
      <w:marTop w:val="0"/>
      <w:marBottom w:val="0"/>
      <w:divBdr>
        <w:top w:val="none" w:sz="0" w:space="0" w:color="auto"/>
        <w:left w:val="none" w:sz="0" w:space="0" w:color="auto"/>
        <w:bottom w:val="none" w:sz="0" w:space="0" w:color="auto"/>
        <w:right w:val="none" w:sz="0" w:space="0" w:color="auto"/>
      </w:divBdr>
      <w:divsChild>
        <w:div w:id="21713079">
          <w:marLeft w:val="0"/>
          <w:marRight w:val="0"/>
          <w:marTop w:val="0"/>
          <w:marBottom w:val="150"/>
          <w:divBdr>
            <w:top w:val="none" w:sz="0" w:space="0" w:color="auto"/>
            <w:left w:val="none" w:sz="0" w:space="0" w:color="auto"/>
            <w:bottom w:val="none" w:sz="0" w:space="0" w:color="auto"/>
            <w:right w:val="none" w:sz="0" w:space="0" w:color="auto"/>
          </w:divBdr>
          <w:divsChild>
            <w:div w:id="2029018472">
              <w:marLeft w:val="0"/>
              <w:marRight w:val="0"/>
              <w:marTop w:val="0"/>
              <w:marBottom w:val="0"/>
              <w:divBdr>
                <w:top w:val="none" w:sz="0" w:space="0" w:color="auto"/>
                <w:left w:val="none" w:sz="0" w:space="0" w:color="auto"/>
                <w:bottom w:val="none" w:sz="0" w:space="0" w:color="auto"/>
                <w:right w:val="none" w:sz="0" w:space="0" w:color="auto"/>
              </w:divBdr>
            </w:div>
          </w:divsChild>
        </w:div>
        <w:div w:id="702554323">
          <w:marLeft w:val="0"/>
          <w:marRight w:val="0"/>
          <w:marTop w:val="0"/>
          <w:marBottom w:val="150"/>
          <w:divBdr>
            <w:top w:val="none" w:sz="0" w:space="0" w:color="auto"/>
            <w:left w:val="none" w:sz="0" w:space="0" w:color="auto"/>
            <w:bottom w:val="none" w:sz="0" w:space="0" w:color="auto"/>
            <w:right w:val="none" w:sz="0" w:space="0" w:color="auto"/>
          </w:divBdr>
        </w:div>
      </w:divsChild>
    </w:div>
    <w:div w:id="1628122790">
      <w:bodyDiv w:val="1"/>
      <w:marLeft w:val="0"/>
      <w:marRight w:val="0"/>
      <w:marTop w:val="0"/>
      <w:marBottom w:val="0"/>
      <w:divBdr>
        <w:top w:val="none" w:sz="0" w:space="0" w:color="auto"/>
        <w:left w:val="none" w:sz="0" w:space="0" w:color="auto"/>
        <w:bottom w:val="none" w:sz="0" w:space="0" w:color="auto"/>
        <w:right w:val="none" w:sz="0" w:space="0" w:color="auto"/>
      </w:divBdr>
      <w:divsChild>
        <w:div w:id="2051805007">
          <w:marLeft w:val="0"/>
          <w:marRight w:val="0"/>
          <w:marTop w:val="0"/>
          <w:marBottom w:val="0"/>
          <w:divBdr>
            <w:top w:val="none" w:sz="0" w:space="0" w:color="auto"/>
            <w:left w:val="none" w:sz="0" w:space="0" w:color="auto"/>
            <w:bottom w:val="dotted" w:sz="6" w:space="4" w:color="DDDDDD"/>
            <w:right w:val="none" w:sz="0" w:space="0" w:color="auto"/>
          </w:divBdr>
          <w:divsChild>
            <w:div w:id="164091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93981">
      <w:bodyDiv w:val="1"/>
      <w:marLeft w:val="0"/>
      <w:marRight w:val="0"/>
      <w:marTop w:val="0"/>
      <w:marBottom w:val="0"/>
      <w:divBdr>
        <w:top w:val="none" w:sz="0" w:space="0" w:color="auto"/>
        <w:left w:val="none" w:sz="0" w:space="0" w:color="auto"/>
        <w:bottom w:val="none" w:sz="0" w:space="0" w:color="auto"/>
        <w:right w:val="none" w:sz="0" w:space="0" w:color="auto"/>
      </w:divBdr>
      <w:divsChild>
        <w:div w:id="242419722">
          <w:marLeft w:val="0"/>
          <w:marRight w:val="0"/>
          <w:marTop w:val="0"/>
          <w:marBottom w:val="150"/>
          <w:divBdr>
            <w:top w:val="none" w:sz="0" w:space="0" w:color="auto"/>
            <w:left w:val="none" w:sz="0" w:space="0" w:color="auto"/>
            <w:bottom w:val="none" w:sz="0" w:space="0" w:color="auto"/>
            <w:right w:val="none" w:sz="0" w:space="0" w:color="auto"/>
          </w:divBdr>
        </w:div>
      </w:divsChild>
    </w:div>
    <w:div w:id="1628242924">
      <w:bodyDiv w:val="1"/>
      <w:marLeft w:val="0"/>
      <w:marRight w:val="0"/>
      <w:marTop w:val="0"/>
      <w:marBottom w:val="0"/>
      <w:divBdr>
        <w:top w:val="none" w:sz="0" w:space="0" w:color="auto"/>
        <w:left w:val="none" w:sz="0" w:space="0" w:color="auto"/>
        <w:bottom w:val="none" w:sz="0" w:space="0" w:color="auto"/>
        <w:right w:val="none" w:sz="0" w:space="0" w:color="auto"/>
      </w:divBdr>
      <w:divsChild>
        <w:div w:id="808592659">
          <w:marLeft w:val="0"/>
          <w:marRight w:val="0"/>
          <w:marTop w:val="0"/>
          <w:marBottom w:val="0"/>
          <w:divBdr>
            <w:top w:val="none" w:sz="0" w:space="0" w:color="auto"/>
            <w:left w:val="none" w:sz="0" w:space="0" w:color="auto"/>
            <w:bottom w:val="none" w:sz="0" w:space="0" w:color="auto"/>
            <w:right w:val="none" w:sz="0" w:space="0" w:color="auto"/>
          </w:divBdr>
        </w:div>
      </w:divsChild>
    </w:div>
    <w:div w:id="1628773614">
      <w:bodyDiv w:val="1"/>
      <w:marLeft w:val="0"/>
      <w:marRight w:val="0"/>
      <w:marTop w:val="0"/>
      <w:marBottom w:val="0"/>
      <w:divBdr>
        <w:top w:val="none" w:sz="0" w:space="0" w:color="auto"/>
        <w:left w:val="none" w:sz="0" w:space="0" w:color="auto"/>
        <w:bottom w:val="none" w:sz="0" w:space="0" w:color="auto"/>
        <w:right w:val="none" w:sz="0" w:space="0" w:color="auto"/>
      </w:divBdr>
      <w:divsChild>
        <w:div w:id="1164858330">
          <w:marLeft w:val="0"/>
          <w:marRight w:val="0"/>
          <w:marTop w:val="0"/>
          <w:marBottom w:val="0"/>
          <w:divBdr>
            <w:top w:val="none" w:sz="0" w:space="0" w:color="auto"/>
            <w:left w:val="none" w:sz="0" w:space="0" w:color="auto"/>
            <w:bottom w:val="dotted" w:sz="6" w:space="4" w:color="DDDDDD"/>
            <w:right w:val="none" w:sz="0" w:space="0" w:color="auto"/>
          </w:divBdr>
        </w:div>
      </w:divsChild>
    </w:div>
    <w:div w:id="1628898499">
      <w:bodyDiv w:val="1"/>
      <w:marLeft w:val="0"/>
      <w:marRight w:val="0"/>
      <w:marTop w:val="0"/>
      <w:marBottom w:val="0"/>
      <w:divBdr>
        <w:top w:val="none" w:sz="0" w:space="0" w:color="auto"/>
        <w:left w:val="none" w:sz="0" w:space="0" w:color="auto"/>
        <w:bottom w:val="none" w:sz="0" w:space="0" w:color="auto"/>
        <w:right w:val="none" w:sz="0" w:space="0" w:color="auto"/>
      </w:divBdr>
      <w:divsChild>
        <w:div w:id="1039278348">
          <w:marLeft w:val="0"/>
          <w:marRight w:val="0"/>
          <w:marTop w:val="0"/>
          <w:marBottom w:val="0"/>
          <w:divBdr>
            <w:top w:val="none" w:sz="0" w:space="0" w:color="auto"/>
            <w:left w:val="none" w:sz="0" w:space="0" w:color="auto"/>
            <w:bottom w:val="none" w:sz="0" w:space="0" w:color="auto"/>
            <w:right w:val="none" w:sz="0" w:space="0" w:color="auto"/>
          </w:divBdr>
          <w:divsChild>
            <w:div w:id="792022370">
              <w:marLeft w:val="0"/>
              <w:marRight w:val="0"/>
              <w:marTop w:val="0"/>
              <w:marBottom w:val="0"/>
              <w:divBdr>
                <w:top w:val="none" w:sz="0" w:space="0" w:color="auto"/>
                <w:left w:val="none" w:sz="0" w:space="0" w:color="auto"/>
                <w:bottom w:val="none" w:sz="0" w:space="0" w:color="auto"/>
                <w:right w:val="none" w:sz="0" w:space="0" w:color="auto"/>
              </w:divBdr>
              <w:divsChild>
                <w:div w:id="802161595">
                  <w:marLeft w:val="0"/>
                  <w:marRight w:val="0"/>
                  <w:marTop w:val="0"/>
                  <w:marBottom w:val="0"/>
                  <w:divBdr>
                    <w:top w:val="none" w:sz="0" w:space="0" w:color="auto"/>
                    <w:left w:val="none" w:sz="0" w:space="0" w:color="auto"/>
                    <w:bottom w:val="none" w:sz="0" w:space="0" w:color="auto"/>
                    <w:right w:val="none" w:sz="0" w:space="0" w:color="auto"/>
                  </w:divBdr>
                  <w:divsChild>
                    <w:div w:id="463163716">
                      <w:marLeft w:val="0"/>
                      <w:marRight w:val="0"/>
                      <w:marTop w:val="0"/>
                      <w:marBottom w:val="0"/>
                      <w:divBdr>
                        <w:top w:val="none" w:sz="0" w:space="0" w:color="auto"/>
                        <w:left w:val="none" w:sz="0" w:space="0" w:color="auto"/>
                        <w:bottom w:val="none" w:sz="0" w:space="0" w:color="auto"/>
                        <w:right w:val="none" w:sz="0" w:space="0" w:color="auto"/>
                      </w:divBdr>
                      <w:divsChild>
                        <w:div w:id="613830405">
                          <w:marLeft w:val="0"/>
                          <w:marRight w:val="0"/>
                          <w:marTop w:val="0"/>
                          <w:marBottom w:val="0"/>
                          <w:divBdr>
                            <w:top w:val="none" w:sz="0" w:space="0" w:color="auto"/>
                            <w:left w:val="none" w:sz="0" w:space="0" w:color="auto"/>
                            <w:bottom w:val="none" w:sz="0" w:space="0" w:color="auto"/>
                            <w:right w:val="none" w:sz="0" w:space="0" w:color="auto"/>
                          </w:divBdr>
                          <w:divsChild>
                            <w:div w:id="1253389733">
                              <w:marLeft w:val="0"/>
                              <w:marRight w:val="0"/>
                              <w:marTop w:val="0"/>
                              <w:marBottom w:val="0"/>
                              <w:divBdr>
                                <w:top w:val="none" w:sz="0" w:space="0" w:color="auto"/>
                                <w:left w:val="none" w:sz="0" w:space="0" w:color="auto"/>
                                <w:bottom w:val="none" w:sz="0" w:space="0" w:color="auto"/>
                                <w:right w:val="none" w:sz="0" w:space="0" w:color="auto"/>
                              </w:divBdr>
                              <w:divsChild>
                                <w:div w:id="807821778">
                                  <w:marLeft w:val="0"/>
                                  <w:marRight w:val="0"/>
                                  <w:marTop w:val="0"/>
                                  <w:marBottom w:val="0"/>
                                  <w:divBdr>
                                    <w:top w:val="none" w:sz="0" w:space="0" w:color="auto"/>
                                    <w:left w:val="none" w:sz="0" w:space="0" w:color="auto"/>
                                    <w:bottom w:val="none" w:sz="0" w:space="0" w:color="auto"/>
                                    <w:right w:val="none" w:sz="0" w:space="0" w:color="auto"/>
                                  </w:divBdr>
                                  <w:divsChild>
                                    <w:div w:id="52352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822539">
      <w:bodyDiv w:val="1"/>
      <w:marLeft w:val="0"/>
      <w:marRight w:val="0"/>
      <w:marTop w:val="0"/>
      <w:marBottom w:val="0"/>
      <w:divBdr>
        <w:top w:val="none" w:sz="0" w:space="0" w:color="auto"/>
        <w:left w:val="none" w:sz="0" w:space="0" w:color="auto"/>
        <w:bottom w:val="none" w:sz="0" w:space="0" w:color="auto"/>
        <w:right w:val="none" w:sz="0" w:space="0" w:color="auto"/>
      </w:divBdr>
      <w:divsChild>
        <w:div w:id="933978987">
          <w:marLeft w:val="0"/>
          <w:marRight w:val="0"/>
          <w:marTop w:val="0"/>
          <w:marBottom w:val="450"/>
          <w:divBdr>
            <w:top w:val="none" w:sz="0" w:space="0" w:color="auto"/>
            <w:left w:val="none" w:sz="0" w:space="0" w:color="auto"/>
            <w:bottom w:val="single" w:sz="6" w:space="19" w:color="EEEEEE"/>
            <w:right w:val="none" w:sz="0" w:space="0" w:color="auto"/>
          </w:divBdr>
          <w:divsChild>
            <w:div w:id="143081671">
              <w:marLeft w:val="0"/>
              <w:marRight w:val="0"/>
              <w:marTop w:val="0"/>
              <w:marBottom w:val="150"/>
              <w:divBdr>
                <w:top w:val="none" w:sz="0" w:space="0" w:color="auto"/>
                <w:left w:val="none" w:sz="0" w:space="0" w:color="auto"/>
                <w:bottom w:val="none" w:sz="0" w:space="0" w:color="auto"/>
                <w:right w:val="none" w:sz="0" w:space="0" w:color="auto"/>
              </w:divBdr>
              <w:divsChild>
                <w:div w:id="407851064">
                  <w:marLeft w:val="0"/>
                  <w:marRight w:val="0"/>
                  <w:marTop w:val="0"/>
                  <w:marBottom w:val="0"/>
                  <w:divBdr>
                    <w:top w:val="none" w:sz="0" w:space="0" w:color="auto"/>
                    <w:left w:val="none" w:sz="0" w:space="0" w:color="auto"/>
                    <w:bottom w:val="none" w:sz="0" w:space="0" w:color="auto"/>
                    <w:right w:val="none" w:sz="0" w:space="0" w:color="auto"/>
                  </w:divBdr>
                </w:div>
              </w:divsChild>
            </w:div>
            <w:div w:id="868107257">
              <w:marLeft w:val="0"/>
              <w:marRight w:val="0"/>
              <w:marTop w:val="0"/>
              <w:marBottom w:val="0"/>
              <w:divBdr>
                <w:top w:val="none" w:sz="0" w:space="0" w:color="auto"/>
                <w:left w:val="none" w:sz="0" w:space="0" w:color="auto"/>
                <w:bottom w:val="none" w:sz="0" w:space="0" w:color="auto"/>
                <w:right w:val="none" w:sz="0" w:space="0" w:color="auto"/>
              </w:divBdr>
            </w:div>
          </w:divsChild>
        </w:div>
        <w:div w:id="646281327">
          <w:marLeft w:val="0"/>
          <w:marRight w:val="0"/>
          <w:marTop w:val="0"/>
          <w:marBottom w:val="0"/>
          <w:divBdr>
            <w:top w:val="none" w:sz="0" w:space="0" w:color="auto"/>
            <w:left w:val="none" w:sz="0" w:space="0" w:color="auto"/>
            <w:bottom w:val="none" w:sz="0" w:space="0" w:color="auto"/>
            <w:right w:val="none" w:sz="0" w:space="0" w:color="auto"/>
          </w:divBdr>
          <w:divsChild>
            <w:div w:id="200165459">
              <w:marLeft w:val="0"/>
              <w:marRight w:val="0"/>
              <w:marTop w:val="0"/>
              <w:marBottom w:val="0"/>
              <w:divBdr>
                <w:top w:val="none" w:sz="0" w:space="0" w:color="auto"/>
                <w:left w:val="none" w:sz="0" w:space="0" w:color="auto"/>
                <w:bottom w:val="none" w:sz="0" w:space="0" w:color="auto"/>
                <w:right w:val="none" w:sz="0" w:space="0" w:color="auto"/>
              </w:divBdr>
              <w:divsChild>
                <w:div w:id="73073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968518">
      <w:bodyDiv w:val="1"/>
      <w:marLeft w:val="0"/>
      <w:marRight w:val="0"/>
      <w:marTop w:val="0"/>
      <w:marBottom w:val="0"/>
      <w:divBdr>
        <w:top w:val="none" w:sz="0" w:space="0" w:color="auto"/>
        <w:left w:val="none" w:sz="0" w:space="0" w:color="auto"/>
        <w:bottom w:val="none" w:sz="0" w:space="0" w:color="auto"/>
        <w:right w:val="none" w:sz="0" w:space="0" w:color="auto"/>
      </w:divBdr>
      <w:divsChild>
        <w:div w:id="2005929764">
          <w:marLeft w:val="0"/>
          <w:marRight w:val="0"/>
          <w:marTop w:val="0"/>
          <w:marBottom w:val="0"/>
          <w:divBdr>
            <w:top w:val="none" w:sz="0" w:space="0" w:color="auto"/>
            <w:left w:val="none" w:sz="0" w:space="0" w:color="auto"/>
            <w:bottom w:val="none" w:sz="0" w:space="0" w:color="auto"/>
            <w:right w:val="none" w:sz="0" w:space="0" w:color="auto"/>
          </w:divBdr>
        </w:div>
      </w:divsChild>
    </w:div>
    <w:div w:id="1630282031">
      <w:bodyDiv w:val="1"/>
      <w:marLeft w:val="0"/>
      <w:marRight w:val="0"/>
      <w:marTop w:val="0"/>
      <w:marBottom w:val="0"/>
      <w:divBdr>
        <w:top w:val="none" w:sz="0" w:space="0" w:color="auto"/>
        <w:left w:val="none" w:sz="0" w:space="0" w:color="auto"/>
        <w:bottom w:val="none" w:sz="0" w:space="0" w:color="auto"/>
        <w:right w:val="none" w:sz="0" w:space="0" w:color="auto"/>
      </w:divBdr>
      <w:divsChild>
        <w:div w:id="668750980">
          <w:marLeft w:val="0"/>
          <w:marRight w:val="0"/>
          <w:marTop w:val="0"/>
          <w:marBottom w:val="0"/>
          <w:divBdr>
            <w:top w:val="none" w:sz="0" w:space="0" w:color="auto"/>
            <w:left w:val="none" w:sz="0" w:space="0" w:color="auto"/>
            <w:bottom w:val="none" w:sz="0" w:space="0" w:color="auto"/>
            <w:right w:val="none" w:sz="0" w:space="0" w:color="auto"/>
          </w:divBdr>
          <w:divsChild>
            <w:div w:id="1420525101">
              <w:marLeft w:val="0"/>
              <w:marRight w:val="0"/>
              <w:marTop w:val="0"/>
              <w:marBottom w:val="150"/>
              <w:divBdr>
                <w:top w:val="none" w:sz="0" w:space="0" w:color="auto"/>
                <w:left w:val="none" w:sz="0" w:space="0" w:color="auto"/>
                <w:bottom w:val="none" w:sz="0" w:space="0" w:color="auto"/>
                <w:right w:val="none" w:sz="0" w:space="0" w:color="auto"/>
              </w:divBdr>
            </w:div>
            <w:div w:id="184123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22285">
      <w:bodyDiv w:val="1"/>
      <w:marLeft w:val="0"/>
      <w:marRight w:val="0"/>
      <w:marTop w:val="0"/>
      <w:marBottom w:val="0"/>
      <w:divBdr>
        <w:top w:val="none" w:sz="0" w:space="0" w:color="auto"/>
        <w:left w:val="none" w:sz="0" w:space="0" w:color="auto"/>
        <w:bottom w:val="none" w:sz="0" w:space="0" w:color="auto"/>
        <w:right w:val="none" w:sz="0" w:space="0" w:color="auto"/>
      </w:divBdr>
      <w:divsChild>
        <w:div w:id="191501321">
          <w:marLeft w:val="0"/>
          <w:marRight w:val="0"/>
          <w:marTop w:val="0"/>
          <w:marBottom w:val="0"/>
          <w:divBdr>
            <w:top w:val="none" w:sz="0" w:space="0" w:color="auto"/>
            <w:left w:val="none" w:sz="0" w:space="0" w:color="auto"/>
            <w:bottom w:val="none" w:sz="0" w:space="0" w:color="auto"/>
            <w:right w:val="none" w:sz="0" w:space="0" w:color="auto"/>
          </w:divBdr>
          <w:divsChild>
            <w:div w:id="2141266643">
              <w:marLeft w:val="0"/>
              <w:marRight w:val="0"/>
              <w:marTop w:val="0"/>
              <w:marBottom w:val="0"/>
              <w:divBdr>
                <w:top w:val="none" w:sz="0" w:space="0" w:color="auto"/>
                <w:left w:val="none" w:sz="0" w:space="0" w:color="auto"/>
                <w:bottom w:val="none" w:sz="0" w:space="0" w:color="auto"/>
                <w:right w:val="none" w:sz="0" w:space="0" w:color="auto"/>
              </w:divBdr>
            </w:div>
          </w:divsChild>
        </w:div>
        <w:div w:id="538661916">
          <w:marLeft w:val="0"/>
          <w:marRight w:val="0"/>
          <w:marTop w:val="0"/>
          <w:marBottom w:val="0"/>
          <w:divBdr>
            <w:top w:val="none" w:sz="0" w:space="0" w:color="auto"/>
            <w:left w:val="none" w:sz="0" w:space="0" w:color="auto"/>
            <w:bottom w:val="none" w:sz="0" w:space="0" w:color="auto"/>
            <w:right w:val="none" w:sz="0" w:space="0" w:color="auto"/>
          </w:divBdr>
        </w:div>
        <w:div w:id="702559618">
          <w:marLeft w:val="0"/>
          <w:marRight w:val="0"/>
          <w:marTop w:val="0"/>
          <w:marBottom w:val="0"/>
          <w:divBdr>
            <w:top w:val="none" w:sz="0" w:space="0" w:color="auto"/>
            <w:left w:val="none" w:sz="0" w:space="0" w:color="auto"/>
            <w:bottom w:val="none" w:sz="0" w:space="0" w:color="auto"/>
            <w:right w:val="none" w:sz="0" w:space="0" w:color="auto"/>
          </w:divBdr>
          <w:divsChild>
            <w:div w:id="1649823670">
              <w:marLeft w:val="-225"/>
              <w:marRight w:val="-225"/>
              <w:marTop w:val="0"/>
              <w:marBottom w:val="0"/>
              <w:divBdr>
                <w:top w:val="none" w:sz="0" w:space="0" w:color="auto"/>
                <w:left w:val="none" w:sz="0" w:space="0" w:color="auto"/>
                <w:bottom w:val="none" w:sz="0" w:space="0" w:color="auto"/>
                <w:right w:val="none" w:sz="0" w:space="0" w:color="auto"/>
              </w:divBdr>
              <w:divsChild>
                <w:div w:id="1659764914">
                  <w:marLeft w:val="0"/>
                  <w:marRight w:val="0"/>
                  <w:marTop w:val="0"/>
                  <w:marBottom w:val="0"/>
                  <w:divBdr>
                    <w:top w:val="none" w:sz="0" w:space="0" w:color="auto"/>
                    <w:left w:val="none" w:sz="0" w:space="0" w:color="auto"/>
                    <w:bottom w:val="none" w:sz="0" w:space="0" w:color="auto"/>
                    <w:right w:val="single" w:sz="6" w:space="0" w:color="000000"/>
                  </w:divBdr>
                </w:div>
                <w:div w:id="116014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007946">
      <w:bodyDiv w:val="1"/>
      <w:marLeft w:val="0"/>
      <w:marRight w:val="0"/>
      <w:marTop w:val="0"/>
      <w:marBottom w:val="0"/>
      <w:divBdr>
        <w:top w:val="none" w:sz="0" w:space="0" w:color="auto"/>
        <w:left w:val="none" w:sz="0" w:space="0" w:color="auto"/>
        <w:bottom w:val="none" w:sz="0" w:space="0" w:color="auto"/>
        <w:right w:val="none" w:sz="0" w:space="0" w:color="auto"/>
      </w:divBdr>
      <w:divsChild>
        <w:div w:id="1134181636">
          <w:marLeft w:val="0"/>
          <w:marRight w:val="0"/>
          <w:marTop w:val="0"/>
          <w:marBottom w:val="0"/>
          <w:divBdr>
            <w:top w:val="none" w:sz="0" w:space="0" w:color="auto"/>
            <w:left w:val="none" w:sz="0" w:space="0" w:color="auto"/>
            <w:bottom w:val="none" w:sz="0" w:space="0" w:color="auto"/>
            <w:right w:val="none" w:sz="0" w:space="0" w:color="auto"/>
          </w:divBdr>
          <w:divsChild>
            <w:div w:id="1388334791">
              <w:marLeft w:val="0"/>
              <w:marRight w:val="0"/>
              <w:marTop w:val="0"/>
              <w:marBottom w:val="0"/>
              <w:divBdr>
                <w:top w:val="none" w:sz="0" w:space="0" w:color="auto"/>
                <w:left w:val="none" w:sz="0" w:space="0" w:color="auto"/>
                <w:bottom w:val="none" w:sz="0" w:space="0" w:color="auto"/>
                <w:right w:val="none" w:sz="0" w:space="0" w:color="auto"/>
              </w:divBdr>
              <w:divsChild>
                <w:div w:id="1279097036">
                  <w:marLeft w:val="0"/>
                  <w:marRight w:val="0"/>
                  <w:marTop w:val="0"/>
                  <w:marBottom w:val="0"/>
                  <w:divBdr>
                    <w:top w:val="none" w:sz="0" w:space="0" w:color="auto"/>
                    <w:left w:val="none" w:sz="0" w:space="0" w:color="auto"/>
                    <w:bottom w:val="none" w:sz="0" w:space="0" w:color="auto"/>
                    <w:right w:val="none" w:sz="0" w:space="0" w:color="auto"/>
                  </w:divBdr>
                  <w:divsChild>
                    <w:div w:id="2010401592">
                      <w:marLeft w:val="0"/>
                      <w:marRight w:val="0"/>
                      <w:marTop w:val="0"/>
                      <w:marBottom w:val="0"/>
                      <w:divBdr>
                        <w:top w:val="none" w:sz="0" w:space="0" w:color="auto"/>
                        <w:left w:val="none" w:sz="0" w:space="0" w:color="auto"/>
                        <w:bottom w:val="none" w:sz="0" w:space="0" w:color="auto"/>
                        <w:right w:val="none" w:sz="0" w:space="0" w:color="auto"/>
                      </w:divBdr>
                      <w:divsChild>
                        <w:div w:id="2130783155">
                          <w:marLeft w:val="0"/>
                          <w:marRight w:val="0"/>
                          <w:marTop w:val="0"/>
                          <w:marBottom w:val="0"/>
                          <w:divBdr>
                            <w:top w:val="none" w:sz="0" w:space="0" w:color="auto"/>
                            <w:left w:val="none" w:sz="0" w:space="0" w:color="auto"/>
                            <w:bottom w:val="none" w:sz="0" w:space="0" w:color="auto"/>
                            <w:right w:val="none" w:sz="0" w:space="0" w:color="auto"/>
                          </w:divBdr>
                          <w:divsChild>
                            <w:div w:id="332027746">
                              <w:marLeft w:val="0"/>
                              <w:marRight w:val="0"/>
                              <w:marTop w:val="0"/>
                              <w:marBottom w:val="0"/>
                              <w:divBdr>
                                <w:top w:val="none" w:sz="0" w:space="0" w:color="auto"/>
                                <w:left w:val="none" w:sz="0" w:space="0" w:color="auto"/>
                                <w:bottom w:val="none" w:sz="0" w:space="0" w:color="auto"/>
                                <w:right w:val="none" w:sz="0" w:space="0" w:color="auto"/>
                              </w:divBdr>
                              <w:divsChild>
                                <w:div w:id="1594892474">
                                  <w:marLeft w:val="0"/>
                                  <w:marRight w:val="0"/>
                                  <w:marTop w:val="0"/>
                                  <w:marBottom w:val="0"/>
                                  <w:divBdr>
                                    <w:top w:val="none" w:sz="0" w:space="0" w:color="auto"/>
                                    <w:left w:val="none" w:sz="0" w:space="0" w:color="auto"/>
                                    <w:bottom w:val="none" w:sz="0" w:space="0" w:color="auto"/>
                                    <w:right w:val="none" w:sz="0" w:space="0" w:color="auto"/>
                                  </w:divBdr>
                                  <w:divsChild>
                                    <w:div w:id="1800217678">
                                      <w:marLeft w:val="0"/>
                                      <w:marRight w:val="0"/>
                                      <w:marTop w:val="0"/>
                                      <w:marBottom w:val="0"/>
                                      <w:divBdr>
                                        <w:top w:val="none" w:sz="0" w:space="0" w:color="auto"/>
                                        <w:left w:val="none" w:sz="0" w:space="0" w:color="auto"/>
                                        <w:bottom w:val="none" w:sz="0" w:space="0" w:color="auto"/>
                                        <w:right w:val="none" w:sz="0" w:space="0" w:color="auto"/>
                                      </w:divBdr>
                                      <w:divsChild>
                                        <w:div w:id="18822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1279267">
      <w:bodyDiv w:val="1"/>
      <w:marLeft w:val="0"/>
      <w:marRight w:val="0"/>
      <w:marTop w:val="0"/>
      <w:marBottom w:val="0"/>
      <w:divBdr>
        <w:top w:val="none" w:sz="0" w:space="0" w:color="auto"/>
        <w:left w:val="none" w:sz="0" w:space="0" w:color="auto"/>
        <w:bottom w:val="none" w:sz="0" w:space="0" w:color="auto"/>
        <w:right w:val="none" w:sz="0" w:space="0" w:color="auto"/>
      </w:divBdr>
    </w:div>
    <w:div w:id="1631279297">
      <w:bodyDiv w:val="1"/>
      <w:marLeft w:val="0"/>
      <w:marRight w:val="0"/>
      <w:marTop w:val="0"/>
      <w:marBottom w:val="0"/>
      <w:divBdr>
        <w:top w:val="none" w:sz="0" w:space="0" w:color="auto"/>
        <w:left w:val="none" w:sz="0" w:space="0" w:color="auto"/>
        <w:bottom w:val="none" w:sz="0" w:space="0" w:color="auto"/>
        <w:right w:val="none" w:sz="0" w:space="0" w:color="auto"/>
      </w:divBdr>
    </w:div>
    <w:div w:id="1631546533">
      <w:bodyDiv w:val="1"/>
      <w:marLeft w:val="0"/>
      <w:marRight w:val="0"/>
      <w:marTop w:val="0"/>
      <w:marBottom w:val="0"/>
      <w:divBdr>
        <w:top w:val="none" w:sz="0" w:space="0" w:color="auto"/>
        <w:left w:val="none" w:sz="0" w:space="0" w:color="auto"/>
        <w:bottom w:val="none" w:sz="0" w:space="0" w:color="auto"/>
        <w:right w:val="none" w:sz="0" w:space="0" w:color="auto"/>
      </w:divBdr>
      <w:divsChild>
        <w:div w:id="547760493">
          <w:marLeft w:val="0"/>
          <w:marRight w:val="0"/>
          <w:marTop w:val="0"/>
          <w:marBottom w:val="0"/>
          <w:divBdr>
            <w:top w:val="none" w:sz="0" w:space="0" w:color="auto"/>
            <w:left w:val="none" w:sz="0" w:space="0" w:color="auto"/>
            <w:bottom w:val="none" w:sz="0" w:space="0" w:color="auto"/>
            <w:right w:val="none" w:sz="0" w:space="0" w:color="auto"/>
          </w:divBdr>
          <w:divsChild>
            <w:div w:id="140209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547113">
      <w:bodyDiv w:val="1"/>
      <w:marLeft w:val="0"/>
      <w:marRight w:val="0"/>
      <w:marTop w:val="0"/>
      <w:marBottom w:val="0"/>
      <w:divBdr>
        <w:top w:val="none" w:sz="0" w:space="0" w:color="auto"/>
        <w:left w:val="none" w:sz="0" w:space="0" w:color="auto"/>
        <w:bottom w:val="none" w:sz="0" w:space="0" w:color="auto"/>
        <w:right w:val="none" w:sz="0" w:space="0" w:color="auto"/>
      </w:divBdr>
      <w:divsChild>
        <w:div w:id="363214791">
          <w:marLeft w:val="0"/>
          <w:marRight w:val="0"/>
          <w:marTop w:val="0"/>
          <w:marBottom w:val="0"/>
          <w:divBdr>
            <w:top w:val="none" w:sz="0" w:space="0" w:color="auto"/>
            <w:left w:val="none" w:sz="0" w:space="0" w:color="auto"/>
            <w:bottom w:val="none" w:sz="0" w:space="0" w:color="auto"/>
            <w:right w:val="none" w:sz="0" w:space="0" w:color="auto"/>
          </w:divBdr>
        </w:div>
      </w:divsChild>
    </w:div>
    <w:div w:id="1631588339">
      <w:bodyDiv w:val="1"/>
      <w:marLeft w:val="0"/>
      <w:marRight w:val="0"/>
      <w:marTop w:val="0"/>
      <w:marBottom w:val="0"/>
      <w:divBdr>
        <w:top w:val="none" w:sz="0" w:space="0" w:color="auto"/>
        <w:left w:val="none" w:sz="0" w:space="0" w:color="auto"/>
        <w:bottom w:val="none" w:sz="0" w:space="0" w:color="auto"/>
        <w:right w:val="none" w:sz="0" w:space="0" w:color="auto"/>
      </w:divBdr>
      <w:divsChild>
        <w:div w:id="636225142">
          <w:marLeft w:val="0"/>
          <w:marRight w:val="0"/>
          <w:marTop w:val="0"/>
          <w:marBottom w:val="0"/>
          <w:divBdr>
            <w:top w:val="none" w:sz="0" w:space="0" w:color="auto"/>
            <w:left w:val="none" w:sz="0" w:space="0" w:color="auto"/>
            <w:bottom w:val="none" w:sz="0" w:space="0" w:color="auto"/>
            <w:right w:val="none" w:sz="0" w:space="0" w:color="auto"/>
          </w:divBdr>
          <w:divsChild>
            <w:div w:id="829180107">
              <w:marLeft w:val="0"/>
              <w:marRight w:val="0"/>
              <w:marTop w:val="0"/>
              <w:marBottom w:val="0"/>
              <w:divBdr>
                <w:top w:val="none" w:sz="0" w:space="0" w:color="auto"/>
                <w:left w:val="none" w:sz="0" w:space="0" w:color="auto"/>
                <w:bottom w:val="none" w:sz="0" w:space="0" w:color="auto"/>
                <w:right w:val="none" w:sz="0" w:space="0" w:color="auto"/>
              </w:divBdr>
            </w:div>
          </w:divsChild>
        </w:div>
        <w:div w:id="1839733743">
          <w:marLeft w:val="0"/>
          <w:marRight w:val="0"/>
          <w:marTop w:val="0"/>
          <w:marBottom w:val="150"/>
          <w:divBdr>
            <w:top w:val="none" w:sz="0" w:space="0" w:color="auto"/>
            <w:left w:val="none" w:sz="0" w:space="0" w:color="auto"/>
            <w:bottom w:val="none" w:sz="0" w:space="0" w:color="auto"/>
            <w:right w:val="none" w:sz="0" w:space="0" w:color="auto"/>
          </w:divBdr>
        </w:div>
        <w:div w:id="1978678185">
          <w:marLeft w:val="0"/>
          <w:marRight w:val="0"/>
          <w:marTop w:val="0"/>
          <w:marBottom w:val="150"/>
          <w:divBdr>
            <w:top w:val="none" w:sz="0" w:space="0" w:color="auto"/>
            <w:left w:val="none" w:sz="0" w:space="0" w:color="auto"/>
            <w:bottom w:val="none" w:sz="0" w:space="0" w:color="auto"/>
            <w:right w:val="none" w:sz="0" w:space="0" w:color="auto"/>
          </w:divBdr>
          <w:divsChild>
            <w:div w:id="128846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399290">
      <w:bodyDiv w:val="1"/>
      <w:marLeft w:val="0"/>
      <w:marRight w:val="0"/>
      <w:marTop w:val="0"/>
      <w:marBottom w:val="0"/>
      <w:divBdr>
        <w:top w:val="none" w:sz="0" w:space="0" w:color="auto"/>
        <w:left w:val="none" w:sz="0" w:space="0" w:color="auto"/>
        <w:bottom w:val="none" w:sz="0" w:space="0" w:color="auto"/>
        <w:right w:val="none" w:sz="0" w:space="0" w:color="auto"/>
      </w:divBdr>
      <w:divsChild>
        <w:div w:id="1610772123">
          <w:marLeft w:val="0"/>
          <w:marRight w:val="0"/>
          <w:marTop w:val="0"/>
          <w:marBottom w:val="0"/>
          <w:divBdr>
            <w:top w:val="none" w:sz="0" w:space="0" w:color="auto"/>
            <w:left w:val="none" w:sz="0" w:space="0" w:color="auto"/>
            <w:bottom w:val="dotted" w:sz="6" w:space="4" w:color="DDDDDD"/>
            <w:right w:val="none" w:sz="0" w:space="0" w:color="auto"/>
          </w:divBdr>
          <w:divsChild>
            <w:div w:id="96615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401900">
      <w:bodyDiv w:val="1"/>
      <w:marLeft w:val="0"/>
      <w:marRight w:val="0"/>
      <w:marTop w:val="0"/>
      <w:marBottom w:val="0"/>
      <w:divBdr>
        <w:top w:val="none" w:sz="0" w:space="0" w:color="auto"/>
        <w:left w:val="none" w:sz="0" w:space="0" w:color="auto"/>
        <w:bottom w:val="none" w:sz="0" w:space="0" w:color="auto"/>
        <w:right w:val="none" w:sz="0" w:space="0" w:color="auto"/>
      </w:divBdr>
    </w:div>
    <w:div w:id="1632514525">
      <w:bodyDiv w:val="1"/>
      <w:marLeft w:val="0"/>
      <w:marRight w:val="0"/>
      <w:marTop w:val="0"/>
      <w:marBottom w:val="0"/>
      <w:divBdr>
        <w:top w:val="none" w:sz="0" w:space="0" w:color="auto"/>
        <w:left w:val="none" w:sz="0" w:space="0" w:color="auto"/>
        <w:bottom w:val="none" w:sz="0" w:space="0" w:color="auto"/>
        <w:right w:val="none" w:sz="0" w:space="0" w:color="auto"/>
      </w:divBdr>
      <w:divsChild>
        <w:div w:id="953097327">
          <w:marLeft w:val="0"/>
          <w:marRight w:val="0"/>
          <w:marTop w:val="0"/>
          <w:marBottom w:val="0"/>
          <w:divBdr>
            <w:top w:val="none" w:sz="0" w:space="0" w:color="auto"/>
            <w:left w:val="none" w:sz="0" w:space="0" w:color="auto"/>
            <w:bottom w:val="dotted" w:sz="6" w:space="4" w:color="DDDDDD"/>
            <w:right w:val="none" w:sz="0" w:space="0" w:color="auto"/>
          </w:divBdr>
          <w:divsChild>
            <w:div w:id="38707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92242">
      <w:bodyDiv w:val="1"/>
      <w:marLeft w:val="0"/>
      <w:marRight w:val="0"/>
      <w:marTop w:val="0"/>
      <w:marBottom w:val="0"/>
      <w:divBdr>
        <w:top w:val="none" w:sz="0" w:space="0" w:color="auto"/>
        <w:left w:val="none" w:sz="0" w:space="0" w:color="auto"/>
        <w:bottom w:val="none" w:sz="0" w:space="0" w:color="auto"/>
        <w:right w:val="none" w:sz="0" w:space="0" w:color="auto"/>
      </w:divBdr>
      <w:divsChild>
        <w:div w:id="1271819758">
          <w:marLeft w:val="0"/>
          <w:marRight w:val="0"/>
          <w:marTop w:val="0"/>
          <w:marBottom w:val="0"/>
          <w:divBdr>
            <w:top w:val="none" w:sz="0" w:space="0" w:color="auto"/>
            <w:left w:val="none" w:sz="0" w:space="0" w:color="auto"/>
            <w:bottom w:val="dotted" w:sz="6" w:space="4" w:color="DDDDDD"/>
            <w:right w:val="none" w:sz="0" w:space="0" w:color="auto"/>
          </w:divBdr>
        </w:div>
      </w:divsChild>
    </w:div>
    <w:div w:id="1632635072">
      <w:bodyDiv w:val="1"/>
      <w:marLeft w:val="0"/>
      <w:marRight w:val="0"/>
      <w:marTop w:val="0"/>
      <w:marBottom w:val="0"/>
      <w:divBdr>
        <w:top w:val="none" w:sz="0" w:space="0" w:color="auto"/>
        <w:left w:val="none" w:sz="0" w:space="0" w:color="auto"/>
        <w:bottom w:val="none" w:sz="0" w:space="0" w:color="auto"/>
        <w:right w:val="none" w:sz="0" w:space="0" w:color="auto"/>
      </w:divBdr>
      <w:divsChild>
        <w:div w:id="551960499">
          <w:marLeft w:val="0"/>
          <w:marRight w:val="0"/>
          <w:marTop w:val="0"/>
          <w:marBottom w:val="0"/>
          <w:divBdr>
            <w:top w:val="none" w:sz="0" w:space="0" w:color="auto"/>
            <w:left w:val="none" w:sz="0" w:space="0" w:color="auto"/>
            <w:bottom w:val="none" w:sz="0" w:space="0" w:color="auto"/>
            <w:right w:val="none" w:sz="0" w:space="0" w:color="auto"/>
          </w:divBdr>
          <w:divsChild>
            <w:div w:id="2136438186">
              <w:marLeft w:val="0"/>
              <w:marRight w:val="0"/>
              <w:marTop w:val="0"/>
              <w:marBottom w:val="0"/>
              <w:divBdr>
                <w:top w:val="none" w:sz="0" w:space="0" w:color="auto"/>
                <w:left w:val="none" w:sz="0" w:space="0" w:color="auto"/>
                <w:bottom w:val="none" w:sz="0" w:space="0" w:color="auto"/>
                <w:right w:val="none" w:sz="0" w:space="0" w:color="auto"/>
              </w:divBdr>
              <w:divsChild>
                <w:div w:id="1639021480">
                  <w:marLeft w:val="0"/>
                  <w:marRight w:val="0"/>
                  <w:marTop w:val="0"/>
                  <w:marBottom w:val="0"/>
                  <w:divBdr>
                    <w:top w:val="none" w:sz="0" w:space="0" w:color="auto"/>
                    <w:left w:val="none" w:sz="0" w:space="0" w:color="auto"/>
                    <w:bottom w:val="none" w:sz="0" w:space="0" w:color="auto"/>
                    <w:right w:val="none" w:sz="0" w:space="0" w:color="auto"/>
                  </w:divBdr>
                  <w:divsChild>
                    <w:div w:id="1533421930">
                      <w:marLeft w:val="0"/>
                      <w:marRight w:val="0"/>
                      <w:marTop w:val="0"/>
                      <w:marBottom w:val="300"/>
                      <w:divBdr>
                        <w:top w:val="none" w:sz="0" w:space="0" w:color="auto"/>
                        <w:left w:val="none" w:sz="0" w:space="0" w:color="auto"/>
                        <w:bottom w:val="none" w:sz="0" w:space="0" w:color="auto"/>
                        <w:right w:val="none" w:sz="0" w:space="0" w:color="auto"/>
                      </w:divBdr>
                      <w:divsChild>
                        <w:div w:id="2003967134">
                          <w:marLeft w:val="0"/>
                          <w:marRight w:val="0"/>
                          <w:marTop w:val="0"/>
                          <w:marBottom w:val="225"/>
                          <w:divBdr>
                            <w:top w:val="single" w:sz="6" w:space="11" w:color="E5E5E5"/>
                            <w:left w:val="single" w:sz="6" w:space="11" w:color="E5E5E5"/>
                            <w:bottom w:val="single" w:sz="6" w:space="1" w:color="E5E5E5"/>
                            <w:right w:val="single" w:sz="6" w:space="11" w:color="E5E5E5"/>
                          </w:divBdr>
                          <w:divsChild>
                            <w:div w:id="699282068">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761869855">
          <w:marLeft w:val="0"/>
          <w:marRight w:val="0"/>
          <w:marTop w:val="0"/>
          <w:marBottom w:val="0"/>
          <w:divBdr>
            <w:top w:val="single" w:sz="6" w:space="0" w:color="E5E5E5"/>
            <w:left w:val="none" w:sz="0" w:space="0" w:color="auto"/>
            <w:bottom w:val="single" w:sz="18" w:space="0" w:color="000000"/>
            <w:right w:val="none" w:sz="0" w:space="0" w:color="auto"/>
          </w:divBdr>
          <w:divsChild>
            <w:div w:id="1499612511">
              <w:marLeft w:val="0"/>
              <w:marRight w:val="0"/>
              <w:marTop w:val="0"/>
              <w:marBottom w:val="0"/>
              <w:divBdr>
                <w:top w:val="none" w:sz="0" w:space="0" w:color="auto"/>
                <w:left w:val="none" w:sz="0" w:space="0" w:color="auto"/>
                <w:bottom w:val="none" w:sz="0" w:space="0" w:color="auto"/>
                <w:right w:val="none" w:sz="0" w:space="0" w:color="auto"/>
              </w:divBdr>
              <w:divsChild>
                <w:div w:id="151954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052923">
      <w:bodyDiv w:val="1"/>
      <w:marLeft w:val="0"/>
      <w:marRight w:val="0"/>
      <w:marTop w:val="0"/>
      <w:marBottom w:val="0"/>
      <w:divBdr>
        <w:top w:val="none" w:sz="0" w:space="0" w:color="auto"/>
        <w:left w:val="none" w:sz="0" w:space="0" w:color="auto"/>
        <w:bottom w:val="none" w:sz="0" w:space="0" w:color="auto"/>
        <w:right w:val="none" w:sz="0" w:space="0" w:color="auto"/>
      </w:divBdr>
      <w:divsChild>
        <w:div w:id="155801498">
          <w:marLeft w:val="0"/>
          <w:marRight w:val="0"/>
          <w:marTop w:val="0"/>
          <w:marBottom w:val="0"/>
          <w:divBdr>
            <w:top w:val="none" w:sz="0" w:space="0" w:color="auto"/>
            <w:left w:val="none" w:sz="0" w:space="0" w:color="auto"/>
            <w:bottom w:val="dotted" w:sz="6" w:space="4" w:color="DDDDDD"/>
            <w:right w:val="none" w:sz="0" w:space="0" w:color="auto"/>
          </w:divBdr>
        </w:div>
      </w:divsChild>
    </w:div>
    <w:div w:id="1633166793">
      <w:bodyDiv w:val="1"/>
      <w:marLeft w:val="0"/>
      <w:marRight w:val="0"/>
      <w:marTop w:val="0"/>
      <w:marBottom w:val="0"/>
      <w:divBdr>
        <w:top w:val="none" w:sz="0" w:space="0" w:color="auto"/>
        <w:left w:val="none" w:sz="0" w:space="0" w:color="auto"/>
        <w:bottom w:val="none" w:sz="0" w:space="0" w:color="auto"/>
        <w:right w:val="none" w:sz="0" w:space="0" w:color="auto"/>
      </w:divBdr>
    </w:div>
    <w:div w:id="1633319026">
      <w:bodyDiv w:val="1"/>
      <w:marLeft w:val="0"/>
      <w:marRight w:val="0"/>
      <w:marTop w:val="0"/>
      <w:marBottom w:val="0"/>
      <w:divBdr>
        <w:top w:val="none" w:sz="0" w:space="0" w:color="auto"/>
        <w:left w:val="none" w:sz="0" w:space="0" w:color="auto"/>
        <w:bottom w:val="none" w:sz="0" w:space="0" w:color="auto"/>
        <w:right w:val="none" w:sz="0" w:space="0" w:color="auto"/>
      </w:divBdr>
      <w:divsChild>
        <w:div w:id="353772345">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395932197">
              <w:marLeft w:val="0"/>
              <w:marRight w:val="0"/>
              <w:marTop w:val="300"/>
              <w:marBottom w:val="300"/>
              <w:divBdr>
                <w:top w:val="none" w:sz="0" w:space="0" w:color="auto"/>
                <w:left w:val="none" w:sz="0" w:space="0" w:color="auto"/>
                <w:bottom w:val="none" w:sz="0" w:space="0" w:color="auto"/>
                <w:right w:val="none" w:sz="0" w:space="0" w:color="auto"/>
              </w:divBdr>
              <w:divsChild>
                <w:div w:id="905257907">
                  <w:marLeft w:val="0"/>
                  <w:marRight w:val="0"/>
                  <w:marTop w:val="0"/>
                  <w:marBottom w:val="0"/>
                  <w:divBdr>
                    <w:top w:val="none" w:sz="0" w:space="0" w:color="auto"/>
                    <w:left w:val="none" w:sz="0" w:space="0" w:color="auto"/>
                    <w:bottom w:val="none" w:sz="0" w:space="0" w:color="auto"/>
                    <w:right w:val="none" w:sz="0" w:space="0" w:color="auto"/>
                  </w:divBdr>
                  <w:divsChild>
                    <w:div w:id="2045523916">
                      <w:marLeft w:val="0"/>
                      <w:marRight w:val="0"/>
                      <w:marTop w:val="0"/>
                      <w:marBottom w:val="0"/>
                      <w:divBdr>
                        <w:top w:val="none" w:sz="0" w:space="0" w:color="auto"/>
                        <w:left w:val="none" w:sz="0" w:space="0" w:color="auto"/>
                        <w:bottom w:val="none" w:sz="0" w:space="0" w:color="auto"/>
                        <w:right w:val="none" w:sz="0" w:space="0" w:color="auto"/>
                      </w:divBdr>
                      <w:divsChild>
                        <w:div w:id="202135161">
                          <w:marLeft w:val="0"/>
                          <w:marRight w:val="0"/>
                          <w:marTop w:val="0"/>
                          <w:marBottom w:val="0"/>
                          <w:divBdr>
                            <w:top w:val="none" w:sz="0" w:space="0" w:color="auto"/>
                            <w:left w:val="none" w:sz="0" w:space="0" w:color="auto"/>
                            <w:bottom w:val="none" w:sz="0" w:space="0" w:color="auto"/>
                            <w:right w:val="none" w:sz="0" w:space="0" w:color="auto"/>
                          </w:divBdr>
                          <w:divsChild>
                            <w:div w:id="2096514387">
                              <w:marLeft w:val="0"/>
                              <w:marRight w:val="0"/>
                              <w:marTop w:val="0"/>
                              <w:marBottom w:val="0"/>
                              <w:divBdr>
                                <w:top w:val="none" w:sz="0" w:space="0" w:color="auto"/>
                                <w:left w:val="none" w:sz="0" w:space="0" w:color="auto"/>
                                <w:bottom w:val="none" w:sz="0" w:space="0" w:color="auto"/>
                                <w:right w:val="none" w:sz="0" w:space="0" w:color="auto"/>
                              </w:divBdr>
                              <w:divsChild>
                                <w:div w:id="1050148997">
                                  <w:marLeft w:val="0"/>
                                  <w:marRight w:val="0"/>
                                  <w:marTop w:val="0"/>
                                  <w:marBottom w:val="0"/>
                                  <w:divBdr>
                                    <w:top w:val="none" w:sz="0" w:space="0" w:color="auto"/>
                                    <w:left w:val="none" w:sz="0" w:space="0" w:color="auto"/>
                                    <w:bottom w:val="none" w:sz="0" w:space="0" w:color="auto"/>
                                    <w:right w:val="none" w:sz="0" w:space="0" w:color="auto"/>
                                  </w:divBdr>
                                  <w:divsChild>
                                    <w:div w:id="990984147">
                                      <w:marLeft w:val="0"/>
                                      <w:marRight w:val="0"/>
                                      <w:marTop w:val="0"/>
                                      <w:marBottom w:val="0"/>
                                      <w:divBdr>
                                        <w:top w:val="none" w:sz="0" w:space="0" w:color="auto"/>
                                        <w:left w:val="none" w:sz="0" w:space="0" w:color="auto"/>
                                        <w:bottom w:val="none" w:sz="0" w:space="0" w:color="auto"/>
                                        <w:right w:val="none" w:sz="0" w:space="0" w:color="auto"/>
                                      </w:divBdr>
                                      <w:divsChild>
                                        <w:div w:id="339356316">
                                          <w:marLeft w:val="0"/>
                                          <w:marRight w:val="0"/>
                                          <w:marTop w:val="0"/>
                                          <w:marBottom w:val="0"/>
                                          <w:divBdr>
                                            <w:top w:val="none" w:sz="0" w:space="0" w:color="auto"/>
                                            <w:left w:val="none" w:sz="0" w:space="0" w:color="auto"/>
                                            <w:bottom w:val="none" w:sz="0" w:space="0" w:color="auto"/>
                                            <w:right w:val="none" w:sz="0" w:space="0" w:color="auto"/>
                                          </w:divBdr>
                                        </w:div>
                                        <w:div w:id="696928243">
                                          <w:marLeft w:val="0"/>
                                          <w:marRight w:val="0"/>
                                          <w:marTop w:val="0"/>
                                          <w:marBottom w:val="0"/>
                                          <w:divBdr>
                                            <w:top w:val="none" w:sz="0" w:space="0" w:color="auto"/>
                                            <w:left w:val="none" w:sz="0" w:space="0" w:color="auto"/>
                                            <w:bottom w:val="none" w:sz="0" w:space="0" w:color="auto"/>
                                            <w:right w:val="none" w:sz="0" w:space="0" w:color="auto"/>
                                          </w:divBdr>
                                        </w:div>
                                        <w:div w:id="1062366144">
                                          <w:marLeft w:val="0"/>
                                          <w:marRight w:val="0"/>
                                          <w:marTop w:val="0"/>
                                          <w:marBottom w:val="0"/>
                                          <w:divBdr>
                                            <w:top w:val="none" w:sz="0" w:space="0" w:color="auto"/>
                                            <w:left w:val="none" w:sz="0" w:space="0" w:color="auto"/>
                                            <w:bottom w:val="none" w:sz="0" w:space="0" w:color="auto"/>
                                            <w:right w:val="none" w:sz="0" w:space="0" w:color="auto"/>
                                          </w:divBdr>
                                        </w:div>
                                        <w:div w:id="1297102305">
                                          <w:marLeft w:val="0"/>
                                          <w:marRight w:val="0"/>
                                          <w:marTop w:val="0"/>
                                          <w:marBottom w:val="0"/>
                                          <w:divBdr>
                                            <w:top w:val="none" w:sz="0" w:space="0" w:color="auto"/>
                                            <w:left w:val="none" w:sz="0" w:space="0" w:color="auto"/>
                                            <w:bottom w:val="none" w:sz="0" w:space="0" w:color="auto"/>
                                            <w:right w:val="none" w:sz="0" w:space="0" w:color="auto"/>
                                          </w:divBdr>
                                        </w:div>
                                        <w:div w:id="1692411490">
                                          <w:marLeft w:val="0"/>
                                          <w:marRight w:val="0"/>
                                          <w:marTop w:val="0"/>
                                          <w:marBottom w:val="0"/>
                                          <w:divBdr>
                                            <w:top w:val="none" w:sz="0" w:space="0" w:color="auto"/>
                                            <w:left w:val="none" w:sz="0" w:space="0" w:color="auto"/>
                                            <w:bottom w:val="none" w:sz="0" w:space="0" w:color="auto"/>
                                            <w:right w:val="none" w:sz="0" w:space="0" w:color="auto"/>
                                          </w:divBdr>
                                        </w:div>
                                        <w:div w:id="21108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3512553">
      <w:bodyDiv w:val="1"/>
      <w:marLeft w:val="0"/>
      <w:marRight w:val="0"/>
      <w:marTop w:val="0"/>
      <w:marBottom w:val="0"/>
      <w:divBdr>
        <w:top w:val="none" w:sz="0" w:space="0" w:color="auto"/>
        <w:left w:val="none" w:sz="0" w:space="0" w:color="auto"/>
        <w:bottom w:val="none" w:sz="0" w:space="0" w:color="auto"/>
        <w:right w:val="none" w:sz="0" w:space="0" w:color="auto"/>
      </w:divBdr>
      <w:divsChild>
        <w:div w:id="2037848468">
          <w:marLeft w:val="0"/>
          <w:marRight w:val="0"/>
          <w:marTop w:val="0"/>
          <w:marBottom w:val="0"/>
          <w:divBdr>
            <w:top w:val="none" w:sz="0" w:space="0" w:color="auto"/>
            <w:left w:val="none" w:sz="0" w:space="0" w:color="auto"/>
            <w:bottom w:val="none" w:sz="0" w:space="0" w:color="auto"/>
            <w:right w:val="none" w:sz="0" w:space="0" w:color="auto"/>
          </w:divBdr>
          <w:divsChild>
            <w:div w:id="11568031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33706757">
      <w:bodyDiv w:val="1"/>
      <w:marLeft w:val="0"/>
      <w:marRight w:val="0"/>
      <w:marTop w:val="0"/>
      <w:marBottom w:val="0"/>
      <w:divBdr>
        <w:top w:val="none" w:sz="0" w:space="0" w:color="auto"/>
        <w:left w:val="none" w:sz="0" w:space="0" w:color="auto"/>
        <w:bottom w:val="none" w:sz="0" w:space="0" w:color="auto"/>
        <w:right w:val="none" w:sz="0" w:space="0" w:color="auto"/>
      </w:divBdr>
    </w:div>
    <w:div w:id="1634680184">
      <w:bodyDiv w:val="1"/>
      <w:marLeft w:val="0"/>
      <w:marRight w:val="0"/>
      <w:marTop w:val="0"/>
      <w:marBottom w:val="0"/>
      <w:divBdr>
        <w:top w:val="none" w:sz="0" w:space="0" w:color="auto"/>
        <w:left w:val="none" w:sz="0" w:space="0" w:color="auto"/>
        <w:bottom w:val="none" w:sz="0" w:space="0" w:color="auto"/>
        <w:right w:val="none" w:sz="0" w:space="0" w:color="auto"/>
      </w:divBdr>
      <w:divsChild>
        <w:div w:id="1590891461">
          <w:marLeft w:val="0"/>
          <w:marRight w:val="0"/>
          <w:marTop w:val="0"/>
          <w:marBottom w:val="150"/>
          <w:divBdr>
            <w:top w:val="none" w:sz="0" w:space="0" w:color="auto"/>
            <w:left w:val="none" w:sz="0" w:space="0" w:color="auto"/>
            <w:bottom w:val="none" w:sz="0" w:space="0" w:color="auto"/>
            <w:right w:val="none" w:sz="0" w:space="0" w:color="auto"/>
          </w:divBdr>
        </w:div>
        <w:div w:id="2141410239">
          <w:marLeft w:val="0"/>
          <w:marRight w:val="0"/>
          <w:marTop w:val="0"/>
          <w:marBottom w:val="0"/>
          <w:divBdr>
            <w:top w:val="none" w:sz="0" w:space="0" w:color="auto"/>
            <w:left w:val="none" w:sz="0" w:space="0" w:color="auto"/>
            <w:bottom w:val="none" w:sz="0" w:space="0" w:color="auto"/>
            <w:right w:val="none" w:sz="0" w:space="0" w:color="auto"/>
          </w:divBdr>
        </w:div>
      </w:divsChild>
    </w:div>
    <w:div w:id="1634753649">
      <w:bodyDiv w:val="1"/>
      <w:marLeft w:val="0"/>
      <w:marRight w:val="0"/>
      <w:marTop w:val="0"/>
      <w:marBottom w:val="0"/>
      <w:divBdr>
        <w:top w:val="none" w:sz="0" w:space="0" w:color="auto"/>
        <w:left w:val="none" w:sz="0" w:space="0" w:color="auto"/>
        <w:bottom w:val="none" w:sz="0" w:space="0" w:color="auto"/>
        <w:right w:val="none" w:sz="0" w:space="0" w:color="auto"/>
      </w:divBdr>
      <w:divsChild>
        <w:div w:id="1832286312">
          <w:marLeft w:val="0"/>
          <w:marRight w:val="0"/>
          <w:marTop w:val="0"/>
          <w:marBottom w:val="0"/>
          <w:divBdr>
            <w:top w:val="none" w:sz="0" w:space="0" w:color="auto"/>
            <w:left w:val="none" w:sz="0" w:space="0" w:color="auto"/>
            <w:bottom w:val="dotted" w:sz="6" w:space="4" w:color="DDDDDD"/>
            <w:right w:val="none" w:sz="0" w:space="0" w:color="auto"/>
          </w:divBdr>
          <w:divsChild>
            <w:div w:id="176653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824526">
      <w:bodyDiv w:val="1"/>
      <w:marLeft w:val="0"/>
      <w:marRight w:val="0"/>
      <w:marTop w:val="0"/>
      <w:marBottom w:val="0"/>
      <w:divBdr>
        <w:top w:val="none" w:sz="0" w:space="0" w:color="auto"/>
        <w:left w:val="none" w:sz="0" w:space="0" w:color="auto"/>
        <w:bottom w:val="none" w:sz="0" w:space="0" w:color="auto"/>
        <w:right w:val="none" w:sz="0" w:space="0" w:color="auto"/>
      </w:divBdr>
    </w:div>
    <w:div w:id="1634945695">
      <w:bodyDiv w:val="1"/>
      <w:marLeft w:val="0"/>
      <w:marRight w:val="0"/>
      <w:marTop w:val="0"/>
      <w:marBottom w:val="0"/>
      <w:divBdr>
        <w:top w:val="none" w:sz="0" w:space="0" w:color="auto"/>
        <w:left w:val="none" w:sz="0" w:space="0" w:color="auto"/>
        <w:bottom w:val="none" w:sz="0" w:space="0" w:color="auto"/>
        <w:right w:val="none" w:sz="0" w:space="0" w:color="auto"/>
      </w:divBdr>
      <w:divsChild>
        <w:div w:id="867334455">
          <w:marLeft w:val="0"/>
          <w:marRight w:val="0"/>
          <w:marTop w:val="0"/>
          <w:marBottom w:val="150"/>
          <w:divBdr>
            <w:top w:val="none" w:sz="0" w:space="0" w:color="auto"/>
            <w:left w:val="none" w:sz="0" w:space="0" w:color="auto"/>
            <w:bottom w:val="none" w:sz="0" w:space="0" w:color="auto"/>
            <w:right w:val="none" w:sz="0" w:space="0" w:color="auto"/>
          </w:divBdr>
          <w:divsChild>
            <w:div w:id="1808473925">
              <w:marLeft w:val="0"/>
              <w:marRight w:val="0"/>
              <w:marTop w:val="0"/>
              <w:marBottom w:val="0"/>
              <w:divBdr>
                <w:top w:val="none" w:sz="0" w:space="0" w:color="auto"/>
                <w:left w:val="none" w:sz="0" w:space="0" w:color="auto"/>
                <w:bottom w:val="none" w:sz="0" w:space="0" w:color="auto"/>
                <w:right w:val="none" w:sz="0" w:space="0" w:color="auto"/>
              </w:divBdr>
              <w:divsChild>
                <w:div w:id="48693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354776">
          <w:marLeft w:val="0"/>
          <w:marRight w:val="0"/>
          <w:marTop w:val="0"/>
          <w:marBottom w:val="0"/>
          <w:divBdr>
            <w:top w:val="none" w:sz="0" w:space="0" w:color="auto"/>
            <w:left w:val="none" w:sz="0" w:space="0" w:color="auto"/>
            <w:bottom w:val="none" w:sz="0" w:space="0" w:color="auto"/>
            <w:right w:val="none" w:sz="0" w:space="0" w:color="auto"/>
          </w:divBdr>
          <w:divsChild>
            <w:div w:id="987242640">
              <w:marLeft w:val="0"/>
              <w:marRight w:val="0"/>
              <w:marTop w:val="225"/>
              <w:marBottom w:val="225"/>
              <w:divBdr>
                <w:top w:val="none" w:sz="0" w:space="0" w:color="auto"/>
                <w:left w:val="none" w:sz="0" w:space="0" w:color="auto"/>
                <w:bottom w:val="none" w:sz="0" w:space="0" w:color="auto"/>
                <w:right w:val="none" w:sz="0" w:space="0" w:color="auto"/>
              </w:divBdr>
            </w:div>
          </w:divsChild>
        </w:div>
        <w:div w:id="1607077378">
          <w:marLeft w:val="0"/>
          <w:marRight w:val="0"/>
          <w:marTop w:val="0"/>
          <w:marBottom w:val="150"/>
          <w:divBdr>
            <w:top w:val="none" w:sz="0" w:space="0" w:color="auto"/>
            <w:left w:val="none" w:sz="0" w:space="0" w:color="auto"/>
            <w:bottom w:val="none" w:sz="0" w:space="0" w:color="auto"/>
            <w:right w:val="none" w:sz="0" w:space="0" w:color="auto"/>
          </w:divBdr>
        </w:div>
      </w:divsChild>
    </w:div>
    <w:div w:id="1635677400">
      <w:bodyDiv w:val="1"/>
      <w:marLeft w:val="0"/>
      <w:marRight w:val="0"/>
      <w:marTop w:val="0"/>
      <w:marBottom w:val="0"/>
      <w:divBdr>
        <w:top w:val="none" w:sz="0" w:space="0" w:color="auto"/>
        <w:left w:val="none" w:sz="0" w:space="0" w:color="auto"/>
        <w:bottom w:val="none" w:sz="0" w:space="0" w:color="auto"/>
        <w:right w:val="none" w:sz="0" w:space="0" w:color="auto"/>
      </w:divBdr>
      <w:divsChild>
        <w:div w:id="735131231">
          <w:marLeft w:val="0"/>
          <w:marRight w:val="0"/>
          <w:marTop w:val="0"/>
          <w:marBottom w:val="0"/>
          <w:divBdr>
            <w:top w:val="none" w:sz="0" w:space="0" w:color="auto"/>
            <w:left w:val="none" w:sz="0" w:space="0" w:color="auto"/>
            <w:bottom w:val="none" w:sz="0" w:space="0" w:color="auto"/>
            <w:right w:val="none" w:sz="0" w:space="0" w:color="auto"/>
          </w:divBdr>
          <w:divsChild>
            <w:div w:id="307561410">
              <w:marLeft w:val="0"/>
              <w:marRight w:val="0"/>
              <w:marTop w:val="0"/>
              <w:marBottom w:val="0"/>
              <w:divBdr>
                <w:top w:val="none" w:sz="0" w:space="0" w:color="auto"/>
                <w:left w:val="none" w:sz="0" w:space="0" w:color="auto"/>
                <w:bottom w:val="none" w:sz="0" w:space="0" w:color="auto"/>
                <w:right w:val="none" w:sz="0" w:space="0" w:color="auto"/>
              </w:divBdr>
              <w:divsChild>
                <w:div w:id="1299148571">
                  <w:marLeft w:val="0"/>
                  <w:marRight w:val="0"/>
                  <w:marTop w:val="0"/>
                  <w:marBottom w:val="0"/>
                  <w:divBdr>
                    <w:top w:val="none" w:sz="0" w:space="0" w:color="auto"/>
                    <w:left w:val="none" w:sz="0" w:space="0" w:color="auto"/>
                    <w:bottom w:val="none" w:sz="0" w:space="0" w:color="auto"/>
                    <w:right w:val="none" w:sz="0" w:space="0" w:color="auto"/>
                  </w:divBdr>
                  <w:divsChild>
                    <w:div w:id="1527409226">
                      <w:marLeft w:val="0"/>
                      <w:marRight w:val="0"/>
                      <w:marTop w:val="0"/>
                      <w:marBottom w:val="0"/>
                      <w:divBdr>
                        <w:top w:val="none" w:sz="0" w:space="0" w:color="auto"/>
                        <w:left w:val="none" w:sz="0" w:space="0" w:color="auto"/>
                        <w:bottom w:val="none" w:sz="0" w:space="0" w:color="auto"/>
                        <w:right w:val="none" w:sz="0" w:space="0" w:color="auto"/>
                      </w:divBdr>
                      <w:divsChild>
                        <w:div w:id="1740134585">
                          <w:marLeft w:val="0"/>
                          <w:marRight w:val="0"/>
                          <w:marTop w:val="0"/>
                          <w:marBottom w:val="0"/>
                          <w:divBdr>
                            <w:top w:val="none" w:sz="0" w:space="0" w:color="auto"/>
                            <w:left w:val="none" w:sz="0" w:space="0" w:color="auto"/>
                            <w:bottom w:val="none" w:sz="0" w:space="0" w:color="auto"/>
                            <w:right w:val="none" w:sz="0" w:space="0" w:color="auto"/>
                          </w:divBdr>
                          <w:divsChild>
                            <w:div w:id="465660034">
                              <w:marLeft w:val="0"/>
                              <w:marRight w:val="0"/>
                              <w:marTop w:val="0"/>
                              <w:marBottom w:val="0"/>
                              <w:divBdr>
                                <w:top w:val="none" w:sz="0" w:space="0" w:color="auto"/>
                                <w:left w:val="none" w:sz="0" w:space="0" w:color="auto"/>
                                <w:bottom w:val="none" w:sz="0" w:space="0" w:color="auto"/>
                                <w:right w:val="none" w:sz="0" w:space="0" w:color="auto"/>
                              </w:divBdr>
                              <w:divsChild>
                                <w:div w:id="252126985">
                                  <w:marLeft w:val="0"/>
                                  <w:marRight w:val="0"/>
                                  <w:marTop w:val="0"/>
                                  <w:marBottom w:val="0"/>
                                  <w:divBdr>
                                    <w:top w:val="none" w:sz="0" w:space="0" w:color="auto"/>
                                    <w:left w:val="none" w:sz="0" w:space="0" w:color="auto"/>
                                    <w:bottom w:val="none" w:sz="0" w:space="0" w:color="auto"/>
                                    <w:right w:val="none" w:sz="0" w:space="0" w:color="auto"/>
                                  </w:divBdr>
                                  <w:divsChild>
                                    <w:div w:id="1275405341">
                                      <w:marLeft w:val="0"/>
                                      <w:marRight w:val="0"/>
                                      <w:marTop w:val="0"/>
                                      <w:marBottom w:val="0"/>
                                      <w:divBdr>
                                        <w:top w:val="none" w:sz="0" w:space="0" w:color="auto"/>
                                        <w:left w:val="none" w:sz="0" w:space="0" w:color="auto"/>
                                        <w:bottom w:val="none" w:sz="0" w:space="0" w:color="auto"/>
                                        <w:right w:val="none" w:sz="0" w:space="0" w:color="auto"/>
                                      </w:divBdr>
                                      <w:divsChild>
                                        <w:div w:id="129371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5720315">
      <w:bodyDiv w:val="1"/>
      <w:marLeft w:val="0"/>
      <w:marRight w:val="0"/>
      <w:marTop w:val="0"/>
      <w:marBottom w:val="0"/>
      <w:divBdr>
        <w:top w:val="none" w:sz="0" w:space="0" w:color="auto"/>
        <w:left w:val="none" w:sz="0" w:space="0" w:color="auto"/>
        <w:bottom w:val="none" w:sz="0" w:space="0" w:color="auto"/>
        <w:right w:val="none" w:sz="0" w:space="0" w:color="auto"/>
      </w:divBdr>
    </w:div>
    <w:div w:id="1636518483">
      <w:bodyDiv w:val="1"/>
      <w:marLeft w:val="0"/>
      <w:marRight w:val="0"/>
      <w:marTop w:val="0"/>
      <w:marBottom w:val="0"/>
      <w:divBdr>
        <w:top w:val="none" w:sz="0" w:space="0" w:color="auto"/>
        <w:left w:val="none" w:sz="0" w:space="0" w:color="auto"/>
        <w:bottom w:val="none" w:sz="0" w:space="0" w:color="auto"/>
        <w:right w:val="none" w:sz="0" w:space="0" w:color="auto"/>
      </w:divBdr>
      <w:divsChild>
        <w:div w:id="1381637074">
          <w:marLeft w:val="0"/>
          <w:marRight w:val="0"/>
          <w:marTop w:val="0"/>
          <w:marBottom w:val="0"/>
          <w:divBdr>
            <w:top w:val="none" w:sz="0" w:space="0" w:color="auto"/>
            <w:left w:val="none" w:sz="0" w:space="0" w:color="auto"/>
            <w:bottom w:val="none" w:sz="0" w:space="0" w:color="auto"/>
            <w:right w:val="none" w:sz="0" w:space="0" w:color="auto"/>
          </w:divBdr>
          <w:divsChild>
            <w:div w:id="578945963">
              <w:marLeft w:val="0"/>
              <w:marRight w:val="0"/>
              <w:marTop w:val="0"/>
              <w:marBottom w:val="225"/>
              <w:divBdr>
                <w:top w:val="none" w:sz="0" w:space="0" w:color="auto"/>
                <w:left w:val="none" w:sz="0" w:space="0" w:color="auto"/>
                <w:bottom w:val="none" w:sz="0" w:space="0" w:color="auto"/>
                <w:right w:val="none" w:sz="0" w:space="0" w:color="auto"/>
              </w:divBdr>
              <w:divsChild>
                <w:div w:id="377899197">
                  <w:marLeft w:val="0"/>
                  <w:marRight w:val="0"/>
                  <w:marTop w:val="0"/>
                  <w:marBottom w:val="150"/>
                  <w:divBdr>
                    <w:top w:val="none" w:sz="0" w:space="0" w:color="auto"/>
                    <w:left w:val="none" w:sz="0" w:space="0" w:color="auto"/>
                    <w:bottom w:val="none" w:sz="0" w:space="0" w:color="auto"/>
                    <w:right w:val="none" w:sz="0" w:space="0" w:color="auto"/>
                  </w:divBdr>
                </w:div>
                <w:div w:id="503783452">
                  <w:marLeft w:val="0"/>
                  <w:marRight w:val="0"/>
                  <w:marTop w:val="0"/>
                  <w:marBottom w:val="150"/>
                  <w:divBdr>
                    <w:top w:val="none" w:sz="0" w:space="0" w:color="auto"/>
                    <w:left w:val="none" w:sz="0" w:space="0" w:color="auto"/>
                    <w:bottom w:val="none" w:sz="0" w:space="0" w:color="auto"/>
                    <w:right w:val="none" w:sz="0" w:space="0" w:color="auto"/>
                  </w:divBdr>
                </w:div>
                <w:div w:id="1561474793">
                  <w:marLeft w:val="0"/>
                  <w:marRight w:val="0"/>
                  <w:marTop w:val="0"/>
                  <w:marBottom w:val="150"/>
                  <w:divBdr>
                    <w:top w:val="none" w:sz="0" w:space="0" w:color="auto"/>
                    <w:left w:val="none" w:sz="0" w:space="0" w:color="auto"/>
                    <w:bottom w:val="none" w:sz="0" w:space="0" w:color="auto"/>
                    <w:right w:val="none" w:sz="0" w:space="0" w:color="auto"/>
                  </w:divBdr>
                </w:div>
                <w:div w:id="1575045155">
                  <w:marLeft w:val="0"/>
                  <w:marRight w:val="0"/>
                  <w:marTop w:val="0"/>
                  <w:marBottom w:val="150"/>
                  <w:divBdr>
                    <w:top w:val="none" w:sz="0" w:space="0" w:color="auto"/>
                    <w:left w:val="none" w:sz="0" w:space="0" w:color="auto"/>
                    <w:bottom w:val="none" w:sz="0" w:space="0" w:color="auto"/>
                    <w:right w:val="none" w:sz="0" w:space="0" w:color="auto"/>
                  </w:divBdr>
                </w:div>
                <w:div w:id="1753772246">
                  <w:marLeft w:val="0"/>
                  <w:marRight w:val="0"/>
                  <w:marTop w:val="0"/>
                  <w:marBottom w:val="150"/>
                  <w:divBdr>
                    <w:top w:val="none" w:sz="0" w:space="0" w:color="auto"/>
                    <w:left w:val="none" w:sz="0" w:space="0" w:color="auto"/>
                    <w:bottom w:val="none" w:sz="0" w:space="0" w:color="auto"/>
                    <w:right w:val="none" w:sz="0" w:space="0" w:color="auto"/>
                  </w:divBdr>
                </w:div>
                <w:div w:id="1854879444">
                  <w:marLeft w:val="0"/>
                  <w:marRight w:val="0"/>
                  <w:marTop w:val="0"/>
                  <w:marBottom w:val="150"/>
                  <w:divBdr>
                    <w:top w:val="none" w:sz="0" w:space="0" w:color="auto"/>
                    <w:left w:val="none" w:sz="0" w:space="0" w:color="auto"/>
                    <w:bottom w:val="none" w:sz="0" w:space="0" w:color="auto"/>
                    <w:right w:val="none" w:sz="0" w:space="0" w:color="auto"/>
                  </w:divBdr>
                  <w:divsChild>
                    <w:div w:id="106900549">
                      <w:marLeft w:val="0"/>
                      <w:marRight w:val="0"/>
                      <w:marTop w:val="0"/>
                      <w:marBottom w:val="150"/>
                      <w:divBdr>
                        <w:top w:val="none" w:sz="0" w:space="0" w:color="auto"/>
                        <w:left w:val="none" w:sz="0" w:space="0" w:color="auto"/>
                        <w:bottom w:val="none" w:sz="0" w:space="0" w:color="auto"/>
                        <w:right w:val="none" w:sz="0" w:space="0" w:color="auto"/>
                      </w:divBdr>
                      <w:divsChild>
                        <w:div w:id="139743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235843">
                  <w:marLeft w:val="0"/>
                  <w:marRight w:val="0"/>
                  <w:marTop w:val="0"/>
                  <w:marBottom w:val="150"/>
                  <w:divBdr>
                    <w:top w:val="none" w:sz="0" w:space="0" w:color="auto"/>
                    <w:left w:val="none" w:sz="0" w:space="0" w:color="auto"/>
                    <w:bottom w:val="none" w:sz="0" w:space="0" w:color="auto"/>
                    <w:right w:val="none" w:sz="0" w:space="0" w:color="auto"/>
                  </w:divBdr>
                </w:div>
                <w:div w:id="1975325213">
                  <w:marLeft w:val="0"/>
                  <w:marRight w:val="0"/>
                  <w:marTop w:val="0"/>
                  <w:marBottom w:val="150"/>
                  <w:divBdr>
                    <w:top w:val="none" w:sz="0" w:space="0" w:color="auto"/>
                    <w:left w:val="none" w:sz="0" w:space="0" w:color="auto"/>
                    <w:bottom w:val="none" w:sz="0" w:space="0" w:color="auto"/>
                    <w:right w:val="none" w:sz="0" w:space="0" w:color="auto"/>
                  </w:divBdr>
                </w:div>
              </w:divsChild>
            </w:div>
            <w:div w:id="846601164">
              <w:marLeft w:val="0"/>
              <w:marRight w:val="0"/>
              <w:marTop w:val="0"/>
              <w:marBottom w:val="375"/>
              <w:divBdr>
                <w:top w:val="none" w:sz="0" w:space="0" w:color="auto"/>
                <w:left w:val="none" w:sz="0" w:space="0" w:color="auto"/>
                <w:bottom w:val="none" w:sz="0" w:space="0" w:color="auto"/>
                <w:right w:val="none" w:sz="0" w:space="0" w:color="auto"/>
              </w:divBdr>
            </w:div>
          </w:divsChild>
        </w:div>
        <w:div w:id="1579628040">
          <w:marLeft w:val="0"/>
          <w:marRight w:val="0"/>
          <w:marTop w:val="0"/>
          <w:marBottom w:val="0"/>
          <w:divBdr>
            <w:top w:val="none" w:sz="0" w:space="0" w:color="auto"/>
            <w:left w:val="none" w:sz="0" w:space="0" w:color="auto"/>
            <w:bottom w:val="none" w:sz="0" w:space="0" w:color="auto"/>
            <w:right w:val="none" w:sz="0" w:space="0" w:color="auto"/>
          </w:divBdr>
        </w:div>
        <w:div w:id="1812139764">
          <w:marLeft w:val="0"/>
          <w:marRight w:val="0"/>
          <w:marTop w:val="0"/>
          <w:marBottom w:val="150"/>
          <w:divBdr>
            <w:top w:val="none" w:sz="0" w:space="0" w:color="auto"/>
            <w:left w:val="none" w:sz="0" w:space="0" w:color="auto"/>
            <w:bottom w:val="none" w:sz="0" w:space="0" w:color="auto"/>
            <w:right w:val="none" w:sz="0" w:space="0" w:color="auto"/>
          </w:divBdr>
        </w:div>
      </w:divsChild>
    </w:div>
    <w:div w:id="1637370299">
      <w:bodyDiv w:val="1"/>
      <w:marLeft w:val="0"/>
      <w:marRight w:val="0"/>
      <w:marTop w:val="0"/>
      <w:marBottom w:val="0"/>
      <w:divBdr>
        <w:top w:val="none" w:sz="0" w:space="0" w:color="auto"/>
        <w:left w:val="none" w:sz="0" w:space="0" w:color="auto"/>
        <w:bottom w:val="none" w:sz="0" w:space="0" w:color="auto"/>
        <w:right w:val="none" w:sz="0" w:space="0" w:color="auto"/>
      </w:divBdr>
      <w:divsChild>
        <w:div w:id="1809277869">
          <w:marLeft w:val="0"/>
          <w:marRight w:val="0"/>
          <w:marTop w:val="0"/>
          <w:marBottom w:val="375"/>
          <w:divBdr>
            <w:top w:val="none" w:sz="0" w:space="0" w:color="auto"/>
            <w:left w:val="none" w:sz="0" w:space="0" w:color="auto"/>
            <w:bottom w:val="single" w:sz="6" w:space="0" w:color="005494"/>
            <w:right w:val="none" w:sz="0" w:space="0" w:color="auto"/>
          </w:divBdr>
        </w:div>
        <w:div w:id="1877891214">
          <w:marLeft w:val="0"/>
          <w:marRight w:val="0"/>
          <w:marTop w:val="0"/>
          <w:marBottom w:val="0"/>
          <w:divBdr>
            <w:top w:val="none" w:sz="0" w:space="0" w:color="auto"/>
            <w:left w:val="none" w:sz="0" w:space="0" w:color="auto"/>
            <w:bottom w:val="none" w:sz="0" w:space="0" w:color="auto"/>
            <w:right w:val="none" w:sz="0" w:space="0" w:color="auto"/>
          </w:divBdr>
          <w:divsChild>
            <w:div w:id="284196635">
              <w:marLeft w:val="0"/>
              <w:marRight w:val="0"/>
              <w:marTop w:val="0"/>
              <w:marBottom w:val="0"/>
              <w:divBdr>
                <w:top w:val="none" w:sz="0" w:space="0" w:color="auto"/>
                <w:left w:val="none" w:sz="0" w:space="0" w:color="auto"/>
                <w:bottom w:val="none" w:sz="0" w:space="0" w:color="auto"/>
                <w:right w:val="none" w:sz="0" w:space="0" w:color="auto"/>
              </w:divBdr>
              <w:divsChild>
                <w:div w:id="625043113">
                  <w:marLeft w:val="0"/>
                  <w:marRight w:val="0"/>
                  <w:marTop w:val="0"/>
                  <w:marBottom w:val="450"/>
                  <w:divBdr>
                    <w:top w:val="none" w:sz="0" w:space="0" w:color="auto"/>
                    <w:left w:val="none" w:sz="0" w:space="0" w:color="auto"/>
                    <w:bottom w:val="none" w:sz="0" w:space="0" w:color="auto"/>
                    <w:right w:val="none" w:sz="0" w:space="0" w:color="auto"/>
                  </w:divBdr>
                  <w:divsChild>
                    <w:div w:id="1753088615">
                      <w:marLeft w:val="0"/>
                      <w:marRight w:val="0"/>
                      <w:marTop w:val="0"/>
                      <w:marBottom w:val="150"/>
                      <w:divBdr>
                        <w:top w:val="none" w:sz="0" w:space="0" w:color="auto"/>
                        <w:left w:val="none" w:sz="0" w:space="0" w:color="auto"/>
                        <w:bottom w:val="none" w:sz="0" w:space="0" w:color="auto"/>
                        <w:right w:val="none" w:sz="0" w:space="0" w:color="auto"/>
                      </w:divBdr>
                      <w:divsChild>
                        <w:div w:id="519779621">
                          <w:marLeft w:val="0"/>
                          <w:marRight w:val="0"/>
                          <w:marTop w:val="0"/>
                          <w:marBottom w:val="0"/>
                          <w:divBdr>
                            <w:top w:val="none" w:sz="0" w:space="0" w:color="auto"/>
                            <w:left w:val="none" w:sz="0" w:space="0" w:color="auto"/>
                            <w:bottom w:val="none" w:sz="0" w:space="0" w:color="auto"/>
                            <w:right w:val="none" w:sz="0" w:space="0" w:color="auto"/>
                          </w:divBdr>
                        </w:div>
                      </w:divsChild>
                    </w:div>
                    <w:div w:id="2089227883">
                      <w:marLeft w:val="0"/>
                      <w:marRight w:val="0"/>
                      <w:marTop w:val="0"/>
                      <w:marBottom w:val="0"/>
                      <w:divBdr>
                        <w:top w:val="none" w:sz="0" w:space="0" w:color="auto"/>
                        <w:left w:val="none" w:sz="0" w:space="0" w:color="auto"/>
                        <w:bottom w:val="none" w:sz="0" w:space="0" w:color="auto"/>
                        <w:right w:val="none" w:sz="0" w:space="0" w:color="auto"/>
                      </w:divBdr>
                      <w:divsChild>
                        <w:div w:id="899435942">
                          <w:marLeft w:val="0"/>
                          <w:marRight w:val="0"/>
                          <w:marTop w:val="0"/>
                          <w:marBottom w:val="150"/>
                          <w:divBdr>
                            <w:top w:val="none" w:sz="0" w:space="0" w:color="auto"/>
                            <w:left w:val="none" w:sz="0" w:space="0" w:color="auto"/>
                            <w:bottom w:val="none" w:sz="0" w:space="0" w:color="auto"/>
                            <w:right w:val="none" w:sz="0" w:space="0" w:color="auto"/>
                          </w:divBdr>
                        </w:div>
                        <w:div w:id="1446926642">
                          <w:marLeft w:val="0"/>
                          <w:marRight w:val="0"/>
                          <w:marTop w:val="0"/>
                          <w:marBottom w:val="0"/>
                          <w:divBdr>
                            <w:top w:val="none" w:sz="0" w:space="0" w:color="auto"/>
                            <w:left w:val="none" w:sz="0" w:space="0" w:color="auto"/>
                            <w:bottom w:val="none" w:sz="0" w:space="0" w:color="auto"/>
                            <w:right w:val="none" w:sz="0" w:space="0" w:color="auto"/>
                          </w:divBdr>
                          <w:divsChild>
                            <w:div w:id="2248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0742548">
          <w:marLeft w:val="0"/>
          <w:marRight w:val="0"/>
          <w:marTop w:val="0"/>
          <w:marBottom w:val="300"/>
          <w:divBdr>
            <w:top w:val="none" w:sz="0" w:space="0" w:color="auto"/>
            <w:left w:val="none" w:sz="0" w:space="0" w:color="auto"/>
            <w:bottom w:val="single" w:sz="6" w:space="0" w:color="E4E4E4"/>
            <w:right w:val="none" w:sz="0" w:space="0" w:color="auto"/>
          </w:divBdr>
        </w:div>
      </w:divsChild>
    </w:div>
    <w:div w:id="1637370423">
      <w:bodyDiv w:val="1"/>
      <w:marLeft w:val="0"/>
      <w:marRight w:val="0"/>
      <w:marTop w:val="0"/>
      <w:marBottom w:val="0"/>
      <w:divBdr>
        <w:top w:val="none" w:sz="0" w:space="0" w:color="auto"/>
        <w:left w:val="none" w:sz="0" w:space="0" w:color="auto"/>
        <w:bottom w:val="none" w:sz="0" w:space="0" w:color="auto"/>
        <w:right w:val="none" w:sz="0" w:space="0" w:color="auto"/>
      </w:divBdr>
      <w:divsChild>
        <w:div w:id="1643461372">
          <w:marLeft w:val="0"/>
          <w:marRight w:val="0"/>
          <w:marTop w:val="0"/>
          <w:marBottom w:val="0"/>
          <w:divBdr>
            <w:top w:val="none" w:sz="0" w:space="0" w:color="auto"/>
            <w:left w:val="none" w:sz="0" w:space="0" w:color="auto"/>
            <w:bottom w:val="none" w:sz="0" w:space="0" w:color="auto"/>
            <w:right w:val="none" w:sz="0" w:space="0" w:color="auto"/>
          </w:divBdr>
          <w:divsChild>
            <w:div w:id="1536767249">
              <w:marLeft w:val="0"/>
              <w:marRight w:val="0"/>
              <w:marTop w:val="0"/>
              <w:marBottom w:val="0"/>
              <w:divBdr>
                <w:top w:val="none" w:sz="0" w:space="0" w:color="auto"/>
                <w:left w:val="none" w:sz="0" w:space="0" w:color="auto"/>
                <w:bottom w:val="none" w:sz="0" w:space="0" w:color="auto"/>
                <w:right w:val="none" w:sz="0" w:space="0" w:color="auto"/>
              </w:divBdr>
              <w:divsChild>
                <w:div w:id="2013022782">
                  <w:marLeft w:val="0"/>
                  <w:marRight w:val="0"/>
                  <w:marTop w:val="0"/>
                  <w:marBottom w:val="0"/>
                  <w:divBdr>
                    <w:top w:val="none" w:sz="0" w:space="0" w:color="auto"/>
                    <w:left w:val="none" w:sz="0" w:space="0" w:color="auto"/>
                    <w:bottom w:val="none" w:sz="0" w:space="0" w:color="auto"/>
                    <w:right w:val="none" w:sz="0" w:space="0" w:color="auto"/>
                  </w:divBdr>
                  <w:divsChild>
                    <w:div w:id="1750809270">
                      <w:marLeft w:val="0"/>
                      <w:marRight w:val="0"/>
                      <w:marTop w:val="0"/>
                      <w:marBottom w:val="0"/>
                      <w:divBdr>
                        <w:top w:val="none" w:sz="0" w:space="0" w:color="auto"/>
                        <w:left w:val="none" w:sz="0" w:space="0" w:color="auto"/>
                        <w:bottom w:val="none" w:sz="0" w:space="0" w:color="auto"/>
                        <w:right w:val="none" w:sz="0" w:space="0" w:color="auto"/>
                      </w:divBdr>
                      <w:divsChild>
                        <w:div w:id="1362823184">
                          <w:marLeft w:val="0"/>
                          <w:marRight w:val="0"/>
                          <w:marTop w:val="0"/>
                          <w:marBottom w:val="0"/>
                          <w:divBdr>
                            <w:top w:val="none" w:sz="0" w:space="0" w:color="auto"/>
                            <w:left w:val="none" w:sz="0" w:space="0" w:color="auto"/>
                            <w:bottom w:val="none" w:sz="0" w:space="0" w:color="auto"/>
                            <w:right w:val="none" w:sz="0" w:space="0" w:color="auto"/>
                          </w:divBdr>
                          <w:divsChild>
                            <w:div w:id="773862049">
                              <w:marLeft w:val="0"/>
                              <w:marRight w:val="0"/>
                              <w:marTop w:val="0"/>
                              <w:marBottom w:val="0"/>
                              <w:divBdr>
                                <w:top w:val="none" w:sz="0" w:space="0" w:color="auto"/>
                                <w:left w:val="none" w:sz="0" w:space="0" w:color="auto"/>
                                <w:bottom w:val="none" w:sz="0" w:space="0" w:color="auto"/>
                                <w:right w:val="none" w:sz="0" w:space="0" w:color="auto"/>
                              </w:divBdr>
                              <w:divsChild>
                                <w:div w:id="1900435797">
                                  <w:marLeft w:val="0"/>
                                  <w:marRight w:val="0"/>
                                  <w:marTop w:val="0"/>
                                  <w:marBottom w:val="0"/>
                                  <w:divBdr>
                                    <w:top w:val="none" w:sz="0" w:space="0" w:color="auto"/>
                                    <w:left w:val="none" w:sz="0" w:space="0" w:color="auto"/>
                                    <w:bottom w:val="none" w:sz="0" w:space="0" w:color="auto"/>
                                    <w:right w:val="none" w:sz="0" w:space="0" w:color="auto"/>
                                  </w:divBdr>
                                  <w:divsChild>
                                    <w:div w:id="608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372708">
      <w:bodyDiv w:val="1"/>
      <w:marLeft w:val="0"/>
      <w:marRight w:val="0"/>
      <w:marTop w:val="0"/>
      <w:marBottom w:val="0"/>
      <w:divBdr>
        <w:top w:val="none" w:sz="0" w:space="0" w:color="auto"/>
        <w:left w:val="none" w:sz="0" w:space="0" w:color="auto"/>
        <w:bottom w:val="none" w:sz="0" w:space="0" w:color="auto"/>
        <w:right w:val="none" w:sz="0" w:space="0" w:color="auto"/>
      </w:divBdr>
      <w:divsChild>
        <w:div w:id="449664419">
          <w:marLeft w:val="0"/>
          <w:marRight w:val="0"/>
          <w:marTop w:val="0"/>
          <w:marBottom w:val="0"/>
          <w:divBdr>
            <w:top w:val="none" w:sz="0" w:space="0" w:color="auto"/>
            <w:left w:val="none" w:sz="0" w:space="0" w:color="auto"/>
            <w:bottom w:val="none" w:sz="0" w:space="0" w:color="auto"/>
            <w:right w:val="none" w:sz="0" w:space="0" w:color="auto"/>
          </w:divBdr>
          <w:divsChild>
            <w:div w:id="377750849">
              <w:marLeft w:val="0"/>
              <w:marRight w:val="0"/>
              <w:marTop w:val="0"/>
              <w:marBottom w:val="0"/>
              <w:divBdr>
                <w:top w:val="none" w:sz="0" w:space="0" w:color="auto"/>
                <w:left w:val="none" w:sz="0" w:space="0" w:color="auto"/>
                <w:bottom w:val="none" w:sz="0" w:space="0" w:color="auto"/>
                <w:right w:val="none" w:sz="0" w:space="0" w:color="auto"/>
              </w:divBdr>
              <w:divsChild>
                <w:div w:id="85926244">
                  <w:marLeft w:val="0"/>
                  <w:marRight w:val="0"/>
                  <w:marTop w:val="0"/>
                  <w:marBottom w:val="0"/>
                  <w:divBdr>
                    <w:top w:val="none" w:sz="0" w:space="0" w:color="auto"/>
                    <w:left w:val="none" w:sz="0" w:space="0" w:color="auto"/>
                    <w:bottom w:val="none" w:sz="0" w:space="0" w:color="auto"/>
                    <w:right w:val="none" w:sz="0" w:space="0" w:color="auto"/>
                  </w:divBdr>
                  <w:divsChild>
                    <w:div w:id="757945617">
                      <w:marLeft w:val="0"/>
                      <w:marRight w:val="0"/>
                      <w:marTop w:val="0"/>
                      <w:marBottom w:val="0"/>
                      <w:divBdr>
                        <w:top w:val="none" w:sz="0" w:space="0" w:color="auto"/>
                        <w:left w:val="none" w:sz="0" w:space="0" w:color="auto"/>
                        <w:bottom w:val="none" w:sz="0" w:space="0" w:color="auto"/>
                        <w:right w:val="none" w:sz="0" w:space="0" w:color="auto"/>
                      </w:divBdr>
                      <w:divsChild>
                        <w:div w:id="1201937081">
                          <w:marLeft w:val="0"/>
                          <w:marRight w:val="0"/>
                          <w:marTop w:val="0"/>
                          <w:marBottom w:val="0"/>
                          <w:divBdr>
                            <w:top w:val="none" w:sz="0" w:space="0" w:color="auto"/>
                            <w:left w:val="none" w:sz="0" w:space="0" w:color="auto"/>
                            <w:bottom w:val="none" w:sz="0" w:space="0" w:color="auto"/>
                            <w:right w:val="none" w:sz="0" w:space="0" w:color="auto"/>
                          </w:divBdr>
                          <w:divsChild>
                            <w:div w:id="262996100">
                              <w:marLeft w:val="0"/>
                              <w:marRight w:val="0"/>
                              <w:marTop w:val="0"/>
                              <w:marBottom w:val="0"/>
                              <w:divBdr>
                                <w:top w:val="none" w:sz="0" w:space="0" w:color="auto"/>
                                <w:left w:val="none" w:sz="0" w:space="0" w:color="auto"/>
                                <w:bottom w:val="none" w:sz="0" w:space="0" w:color="auto"/>
                                <w:right w:val="none" w:sz="0" w:space="0" w:color="auto"/>
                              </w:divBdr>
                              <w:divsChild>
                                <w:div w:id="653098610">
                                  <w:marLeft w:val="0"/>
                                  <w:marRight w:val="0"/>
                                  <w:marTop w:val="0"/>
                                  <w:marBottom w:val="0"/>
                                  <w:divBdr>
                                    <w:top w:val="none" w:sz="0" w:space="0" w:color="auto"/>
                                    <w:left w:val="none" w:sz="0" w:space="0" w:color="auto"/>
                                    <w:bottom w:val="none" w:sz="0" w:space="0" w:color="auto"/>
                                    <w:right w:val="none" w:sz="0" w:space="0" w:color="auto"/>
                                  </w:divBdr>
                                  <w:divsChild>
                                    <w:div w:id="63263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956645">
      <w:bodyDiv w:val="1"/>
      <w:marLeft w:val="0"/>
      <w:marRight w:val="0"/>
      <w:marTop w:val="0"/>
      <w:marBottom w:val="0"/>
      <w:divBdr>
        <w:top w:val="none" w:sz="0" w:space="0" w:color="auto"/>
        <w:left w:val="none" w:sz="0" w:space="0" w:color="auto"/>
        <w:bottom w:val="none" w:sz="0" w:space="0" w:color="auto"/>
        <w:right w:val="none" w:sz="0" w:space="0" w:color="auto"/>
      </w:divBdr>
      <w:divsChild>
        <w:div w:id="1706825759">
          <w:marLeft w:val="0"/>
          <w:marRight w:val="0"/>
          <w:marTop w:val="0"/>
          <w:marBottom w:val="0"/>
          <w:divBdr>
            <w:top w:val="none" w:sz="0" w:space="0" w:color="auto"/>
            <w:left w:val="none" w:sz="0" w:space="0" w:color="auto"/>
            <w:bottom w:val="none" w:sz="0" w:space="0" w:color="auto"/>
            <w:right w:val="none" w:sz="0" w:space="0" w:color="auto"/>
          </w:divBdr>
          <w:divsChild>
            <w:div w:id="209194458">
              <w:marLeft w:val="0"/>
              <w:marRight w:val="0"/>
              <w:marTop w:val="0"/>
              <w:marBottom w:val="0"/>
              <w:divBdr>
                <w:top w:val="none" w:sz="0" w:space="0" w:color="auto"/>
                <w:left w:val="none" w:sz="0" w:space="0" w:color="auto"/>
                <w:bottom w:val="none" w:sz="0" w:space="0" w:color="auto"/>
                <w:right w:val="none" w:sz="0" w:space="0" w:color="auto"/>
              </w:divBdr>
              <w:divsChild>
                <w:div w:id="2132623381">
                  <w:marLeft w:val="0"/>
                  <w:marRight w:val="0"/>
                  <w:marTop w:val="0"/>
                  <w:marBottom w:val="0"/>
                  <w:divBdr>
                    <w:top w:val="none" w:sz="0" w:space="0" w:color="auto"/>
                    <w:left w:val="none" w:sz="0" w:space="0" w:color="auto"/>
                    <w:bottom w:val="none" w:sz="0" w:space="0" w:color="auto"/>
                    <w:right w:val="none" w:sz="0" w:space="0" w:color="auto"/>
                  </w:divBdr>
                  <w:divsChild>
                    <w:div w:id="632951469">
                      <w:marLeft w:val="0"/>
                      <w:marRight w:val="0"/>
                      <w:marTop w:val="0"/>
                      <w:marBottom w:val="0"/>
                      <w:divBdr>
                        <w:top w:val="none" w:sz="0" w:space="0" w:color="auto"/>
                        <w:left w:val="none" w:sz="0" w:space="0" w:color="auto"/>
                        <w:bottom w:val="none" w:sz="0" w:space="0" w:color="auto"/>
                        <w:right w:val="none" w:sz="0" w:space="0" w:color="auto"/>
                      </w:divBdr>
                      <w:divsChild>
                        <w:div w:id="1829054404">
                          <w:marLeft w:val="0"/>
                          <w:marRight w:val="0"/>
                          <w:marTop w:val="0"/>
                          <w:marBottom w:val="0"/>
                          <w:divBdr>
                            <w:top w:val="none" w:sz="0" w:space="0" w:color="auto"/>
                            <w:left w:val="none" w:sz="0" w:space="0" w:color="auto"/>
                            <w:bottom w:val="none" w:sz="0" w:space="0" w:color="auto"/>
                            <w:right w:val="none" w:sz="0" w:space="0" w:color="auto"/>
                          </w:divBdr>
                          <w:divsChild>
                            <w:div w:id="205070661">
                              <w:marLeft w:val="0"/>
                              <w:marRight w:val="0"/>
                              <w:marTop w:val="0"/>
                              <w:marBottom w:val="0"/>
                              <w:divBdr>
                                <w:top w:val="none" w:sz="0" w:space="0" w:color="auto"/>
                                <w:left w:val="none" w:sz="0" w:space="0" w:color="auto"/>
                                <w:bottom w:val="none" w:sz="0" w:space="0" w:color="auto"/>
                                <w:right w:val="none" w:sz="0" w:space="0" w:color="auto"/>
                              </w:divBdr>
                              <w:divsChild>
                                <w:div w:id="1605305481">
                                  <w:marLeft w:val="0"/>
                                  <w:marRight w:val="0"/>
                                  <w:marTop w:val="0"/>
                                  <w:marBottom w:val="0"/>
                                  <w:divBdr>
                                    <w:top w:val="none" w:sz="0" w:space="0" w:color="auto"/>
                                    <w:left w:val="none" w:sz="0" w:space="0" w:color="auto"/>
                                    <w:bottom w:val="none" w:sz="0" w:space="0" w:color="auto"/>
                                    <w:right w:val="none" w:sz="0" w:space="0" w:color="auto"/>
                                  </w:divBdr>
                                  <w:divsChild>
                                    <w:div w:id="82675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8140358">
      <w:bodyDiv w:val="1"/>
      <w:marLeft w:val="0"/>
      <w:marRight w:val="0"/>
      <w:marTop w:val="0"/>
      <w:marBottom w:val="0"/>
      <w:divBdr>
        <w:top w:val="none" w:sz="0" w:space="0" w:color="auto"/>
        <w:left w:val="none" w:sz="0" w:space="0" w:color="auto"/>
        <w:bottom w:val="none" w:sz="0" w:space="0" w:color="auto"/>
        <w:right w:val="none" w:sz="0" w:space="0" w:color="auto"/>
      </w:divBdr>
      <w:divsChild>
        <w:div w:id="28536909">
          <w:marLeft w:val="0"/>
          <w:marRight w:val="0"/>
          <w:marTop w:val="0"/>
          <w:marBottom w:val="0"/>
          <w:divBdr>
            <w:top w:val="none" w:sz="0" w:space="0" w:color="auto"/>
            <w:left w:val="none" w:sz="0" w:space="0" w:color="auto"/>
            <w:bottom w:val="none" w:sz="0" w:space="0" w:color="auto"/>
            <w:right w:val="none" w:sz="0" w:space="0" w:color="auto"/>
          </w:divBdr>
          <w:divsChild>
            <w:div w:id="682131218">
              <w:marLeft w:val="0"/>
              <w:marRight w:val="0"/>
              <w:marTop w:val="0"/>
              <w:marBottom w:val="0"/>
              <w:divBdr>
                <w:top w:val="none" w:sz="0" w:space="0" w:color="auto"/>
                <w:left w:val="none" w:sz="0" w:space="0" w:color="auto"/>
                <w:bottom w:val="none" w:sz="0" w:space="0" w:color="auto"/>
                <w:right w:val="none" w:sz="0" w:space="0" w:color="auto"/>
              </w:divBdr>
            </w:div>
          </w:divsChild>
        </w:div>
        <w:div w:id="1445004439">
          <w:marLeft w:val="0"/>
          <w:marRight w:val="0"/>
          <w:marTop w:val="150"/>
          <w:marBottom w:val="0"/>
          <w:divBdr>
            <w:top w:val="none" w:sz="0" w:space="0" w:color="auto"/>
            <w:left w:val="none" w:sz="0" w:space="0" w:color="auto"/>
            <w:bottom w:val="none" w:sz="0" w:space="0" w:color="auto"/>
            <w:right w:val="none" w:sz="0" w:space="0" w:color="auto"/>
          </w:divBdr>
          <w:divsChild>
            <w:div w:id="580604522">
              <w:marLeft w:val="0"/>
              <w:marRight w:val="0"/>
              <w:marTop w:val="0"/>
              <w:marBottom w:val="0"/>
              <w:divBdr>
                <w:top w:val="none" w:sz="0" w:space="0" w:color="auto"/>
                <w:left w:val="none" w:sz="0" w:space="0" w:color="auto"/>
                <w:bottom w:val="none" w:sz="0" w:space="0" w:color="auto"/>
                <w:right w:val="none" w:sz="0" w:space="0" w:color="auto"/>
              </w:divBdr>
              <w:divsChild>
                <w:div w:id="147976454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335751">
      <w:bodyDiv w:val="1"/>
      <w:marLeft w:val="0"/>
      <w:marRight w:val="0"/>
      <w:marTop w:val="0"/>
      <w:marBottom w:val="0"/>
      <w:divBdr>
        <w:top w:val="none" w:sz="0" w:space="0" w:color="auto"/>
        <w:left w:val="none" w:sz="0" w:space="0" w:color="auto"/>
        <w:bottom w:val="none" w:sz="0" w:space="0" w:color="auto"/>
        <w:right w:val="none" w:sz="0" w:space="0" w:color="auto"/>
      </w:divBdr>
      <w:divsChild>
        <w:div w:id="641886181">
          <w:marLeft w:val="0"/>
          <w:marRight w:val="0"/>
          <w:marTop w:val="0"/>
          <w:marBottom w:val="0"/>
          <w:divBdr>
            <w:top w:val="none" w:sz="0" w:space="0" w:color="auto"/>
            <w:left w:val="none" w:sz="0" w:space="0" w:color="auto"/>
            <w:bottom w:val="none" w:sz="0" w:space="0" w:color="auto"/>
            <w:right w:val="none" w:sz="0" w:space="0" w:color="auto"/>
          </w:divBdr>
          <w:divsChild>
            <w:div w:id="70003519">
              <w:marLeft w:val="0"/>
              <w:marRight w:val="0"/>
              <w:marTop w:val="0"/>
              <w:marBottom w:val="0"/>
              <w:divBdr>
                <w:top w:val="none" w:sz="0" w:space="0" w:color="auto"/>
                <w:left w:val="none" w:sz="0" w:space="0" w:color="auto"/>
                <w:bottom w:val="none" w:sz="0" w:space="0" w:color="auto"/>
                <w:right w:val="none" w:sz="0" w:space="0" w:color="auto"/>
              </w:divBdr>
            </w:div>
            <w:div w:id="766735096">
              <w:marLeft w:val="0"/>
              <w:marRight w:val="0"/>
              <w:marTop w:val="0"/>
              <w:marBottom w:val="150"/>
              <w:divBdr>
                <w:top w:val="none" w:sz="0" w:space="0" w:color="auto"/>
                <w:left w:val="none" w:sz="0" w:space="0" w:color="auto"/>
                <w:bottom w:val="none" w:sz="0" w:space="0" w:color="auto"/>
                <w:right w:val="none" w:sz="0" w:space="0" w:color="auto"/>
              </w:divBdr>
            </w:div>
          </w:divsChild>
        </w:div>
        <w:div w:id="2120563527">
          <w:marLeft w:val="0"/>
          <w:marRight w:val="0"/>
          <w:marTop w:val="0"/>
          <w:marBottom w:val="150"/>
          <w:divBdr>
            <w:top w:val="none" w:sz="0" w:space="0" w:color="auto"/>
            <w:left w:val="none" w:sz="0" w:space="0" w:color="auto"/>
            <w:bottom w:val="none" w:sz="0" w:space="0" w:color="auto"/>
            <w:right w:val="none" w:sz="0" w:space="0" w:color="auto"/>
          </w:divBdr>
          <w:divsChild>
            <w:div w:id="158868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418035">
      <w:bodyDiv w:val="1"/>
      <w:marLeft w:val="0"/>
      <w:marRight w:val="0"/>
      <w:marTop w:val="0"/>
      <w:marBottom w:val="0"/>
      <w:divBdr>
        <w:top w:val="none" w:sz="0" w:space="0" w:color="auto"/>
        <w:left w:val="none" w:sz="0" w:space="0" w:color="auto"/>
        <w:bottom w:val="none" w:sz="0" w:space="0" w:color="auto"/>
        <w:right w:val="none" w:sz="0" w:space="0" w:color="auto"/>
      </w:divBdr>
      <w:divsChild>
        <w:div w:id="551232040">
          <w:marLeft w:val="0"/>
          <w:marRight w:val="0"/>
          <w:marTop w:val="0"/>
          <w:marBottom w:val="150"/>
          <w:divBdr>
            <w:top w:val="none" w:sz="0" w:space="0" w:color="auto"/>
            <w:left w:val="none" w:sz="0" w:space="0" w:color="auto"/>
            <w:bottom w:val="none" w:sz="0" w:space="0" w:color="auto"/>
            <w:right w:val="none" w:sz="0" w:space="0" w:color="auto"/>
          </w:divBdr>
        </w:div>
      </w:divsChild>
    </w:div>
    <w:div w:id="1638947944">
      <w:bodyDiv w:val="1"/>
      <w:marLeft w:val="0"/>
      <w:marRight w:val="0"/>
      <w:marTop w:val="0"/>
      <w:marBottom w:val="0"/>
      <w:divBdr>
        <w:top w:val="none" w:sz="0" w:space="0" w:color="auto"/>
        <w:left w:val="none" w:sz="0" w:space="0" w:color="auto"/>
        <w:bottom w:val="none" w:sz="0" w:space="0" w:color="auto"/>
        <w:right w:val="none" w:sz="0" w:space="0" w:color="auto"/>
      </w:divBdr>
      <w:divsChild>
        <w:div w:id="1737971533">
          <w:marLeft w:val="0"/>
          <w:marRight w:val="0"/>
          <w:marTop w:val="0"/>
          <w:marBottom w:val="150"/>
          <w:divBdr>
            <w:top w:val="none" w:sz="0" w:space="0" w:color="auto"/>
            <w:left w:val="none" w:sz="0" w:space="0" w:color="auto"/>
            <w:bottom w:val="none" w:sz="0" w:space="0" w:color="auto"/>
            <w:right w:val="none" w:sz="0" w:space="0" w:color="auto"/>
          </w:divBdr>
          <w:divsChild>
            <w:div w:id="59400735">
              <w:marLeft w:val="0"/>
              <w:marRight w:val="0"/>
              <w:marTop w:val="0"/>
              <w:marBottom w:val="0"/>
              <w:divBdr>
                <w:top w:val="none" w:sz="0" w:space="0" w:color="auto"/>
                <w:left w:val="none" w:sz="0" w:space="0" w:color="auto"/>
                <w:bottom w:val="none" w:sz="0" w:space="0" w:color="auto"/>
                <w:right w:val="none" w:sz="0" w:space="0" w:color="auto"/>
              </w:divBdr>
              <w:divsChild>
                <w:div w:id="353501981">
                  <w:marLeft w:val="0"/>
                  <w:marRight w:val="0"/>
                  <w:marTop w:val="0"/>
                  <w:marBottom w:val="0"/>
                  <w:divBdr>
                    <w:top w:val="none" w:sz="0" w:space="0" w:color="auto"/>
                    <w:left w:val="none" w:sz="0" w:space="0" w:color="auto"/>
                    <w:bottom w:val="none" w:sz="0" w:space="0" w:color="auto"/>
                    <w:right w:val="none" w:sz="0" w:space="0" w:color="auto"/>
                  </w:divBdr>
                  <w:divsChild>
                    <w:div w:id="188102830">
                      <w:marLeft w:val="0"/>
                      <w:marRight w:val="150"/>
                      <w:marTop w:val="0"/>
                      <w:marBottom w:val="0"/>
                      <w:divBdr>
                        <w:top w:val="none" w:sz="0" w:space="0" w:color="auto"/>
                        <w:left w:val="none" w:sz="0" w:space="0" w:color="auto"/>
                        <w:bottom w:val="none" w:sz="0" w:space="0" w:color="auto"/>
                        <w:right w:val="none" w:sz="0" w:space="0" w:color="auto"/>
                      </w:divBdr>
                      <w:divsChild>
                        <w:div w:id="173519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321136">
          <w:marLeft w:val="0"/>
          <w:marRight w:val="0"/>
          <w:marTop w:val="0"/>
          <w:marBottom w:val="150"/>
          <w:divBdr>
            <w:top w:val="none" w:sz="0" w:space="0" w:color="auto"/>
            <w:left w:val="none" w:sz="0" w:space="0" w:color="auto"/>
            <w:bottom w:val="none" w:sz="0" w:space="0" w:color="auto"/>
            <w:right w:val="none" w:sz="0" w:space="0" w:color="auto"/>
          </w:divBdr>
        </w:div>
        <w:div w:id="1146580462">
          <w:marLeft w:val="0"/>
          <w:marRight w:val="0"/>
          <w:marTop w:val="0"/>
          <w:marBottom w:val="0"/>
          <w:divBdr>
            <w:top w:val="none" w:sz="0" w:space="0" w:color="auto"/>
            <w:left w:val="none" w:sz="0" w:space="0" w:color="auto"/>
            <w:bottom w:val="none" w:sz="0" w:space="0" w:color="auto"/>
            <w:right w:val="none" w:sz="0" w:space="0" w:color="auto"/>
          </w:divBdr>
          <w:divsChild>
            <w:div w:id="19354061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39922163">
      <w:bodyDiv w:val="1"/>
      <w:marLeft w:val="0"/>
      <w:marRight w:val="0"/>
      <w:marTop w:val="0"/>
      <w:marBottom w:val="0"/>
      <w:divBdr>
        <w:top w:val="none" w:sz="0" w:space="0" w:color="auto"/>
        <w:left w:val="none" w:sz="0" w:space="0" w:color="auto"/>
        <w:bottom w:val="none" w:sz="0" w:space="0" w:color="auto"/>
        <w:right w:val="none" w:sz="0" w:space="0" w:color="auto"/>
      </w:divBdr>
      <w:divsChild>
        <w:div w:id="2087410470">
          <w:marLeft w:val="0"/>
          <w:marRight w:val="0"/>
          <w:marTop w:val="0"/>
          <w:marBottom w:val="0"/>
          <w:divBdr>
            <w:top w:val="none" w:sz="0" w:space="0" w:color="auto"/>
            <w:left w:val="none" w:sz="0" w:space="0" w:color="auto"/>
            <w:bottom w:val="dotted" w:sz="6" w:space="4" w:color="DDDDDD"/>
            <w:right w:val="none" w:sz="0" w:space="0" w:color="auto"/>
          </w:divBdr>
          <w:divsChild>
            <w:div w:id="50679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303056">
      <w:bodyDiv w:val="1"/>
      <w:marLeft w:val="0"/>
      <w:marRight w:val="0"/>
      <w:marTop w:val="0"/>
      <w:marBottom w:val="0"/>
      <w:divBdr>
        <w:top w:val="none" w:sz="0" w:space="0" w:color="auto"/>
        <w:left w:val="none" w:sz="0" w:space="0" w:color="auto"/>
        <w:bottom w:val="none" w:sz="0" w:space="0" w:color="auto"/>
        <w:right w:val="none" w:sz="0" w:space="0" w:color="auto"/>
      </w:divBdr>
      <w:divsChild>
        <w:div w:id="1237668699">
          <w:marLeft w:val="0"/>
          <w:marRight w:val="0"/>
          <w:marTop w:val="0"/>
          <w:marBottom w:val="150"/>
          <w:divBdr>
            <w:top w:val="none" w:sz="0" w:space="0" w:color="auto"/>
            <w:left w:val="none" w:sz="0" w:space="0" w:color="auto"/>
            <w:bottom w:val="none" w:sz="0" w:space="0" w:color="auto"/>
            <w:right w:val="none" w:sz="0" w:space="0" w:color="auto"/>
          </w:divBdr>
        </w:div>
        <w:div w:id="1868642644">
          <w:marLeft w:val="0"/>
          <w:marRight w:val="0"/>
          <w:marTop w:val="0"/>
          <w:marBottom w:val="0"/>
          <w:divBdr>
            <w:top w:val="none" w:sz="0" w:space="0" w:color="auto"/>
            <w:left w:val="none" w:sz="0" w:space="0" w:color="auto"/>
            <w:bottom w:val="none" w:sz="0" w:space="0" w:color="auto"/>
            <w:right w:val="none" w:sz="0" w:space="0" w:color="auto"/>
          </w:divBdr>
        </w:div>
      </w:divsChild>
    </w:div>
    <w:div w:id="1641030402">
      <w:bodyDiv w:val="1"/>
      <w:marLeft w:val="0"/>
      <w:marRight w:val="0"/>
      <w:marTop w:val="0"/>
      <w:marBottom w:val="0"/>
      <w:divBdr>
        <w:top w:val="none" w:sz="0" w:space="0" w:color="auto"/>
        <w:left w:val="none" w:sz="0" w:space="0" w:color="auto"/>
        <w:bottom w:val="none" w:sz="0" w:space="0" w:color="auto"/>
        <w:right w:val="none" w:sz="0" w:space="0" w:color="auto"/>
      </w:divBdr>
      <w:divsChild>
        <w:div w:id="886837998">
          <w:marLeft w:val="0"/>
          <w:marRight w:val="0"/>
          <w:marTop w:val="0"/>
          <w:marBottom w:val="0"/>
          <w:divBdr>
            <w:top w:val="none" w:sz="0" w:space="0" w:color="auto"/>
            <w:left w:val="none" w:sz="0" w:space="0" w:color="auto"/>
            <w:bottom w:val="none" w:sz="0" w:space="0" w:color="auto"/>
            <w:right w:val="none" w:sz="0" w:space="0" w:color="auto"/>
          </w:divBdr>
          <w:divsChild>
            <w:div w:id="1245609784">
              <w:marLeft w:val="0"/>
              <w:marRight w:val="0"/>
              <w:marTop w:val="0"/>
              <w:marBottom w:val="0"/>
              <w:divBdr>
                <w:top w:val="none" w:sz="0" w:space="0" w:color="auto"/>
                <w:left w:val="none" w:sz="0" w:space="0" w:color="auto"/>
                <w:bottom w:val="none" w:sz="0" w:space="0" w:color="auto"/>
                <w:right w:val="none" w:sz="0" w:space="0" w:color="auto"/>
              </w:divBdr>
            </w:div>
          </w:divsChild>
        </w:div>
        <w:div w:id="1301885337">
          <w:marLeft w:val="0"/>
          <w:marRight w:val="0"/>
          <w:marTop w:val="240"/>
          <w:marBottom w:val="0"/>
          <w:divBdr>
            <w:top w:val="none" w:sz="0" w:space="0" w:color="auto"/>
            <w:left w:val="none" w:sz="0" w:space="0" w:color="auto"/>
            <w:bottom w:val="none" w:sz="0" w:space="0" w:color="auto"/>
            <w:right w:val="none" w:sz="0" w:space="0" w:color="auto"/>
          </w:divBdr>
        </w:div>
      </w:divsChild>
    </w:div>
    <w:div w:id="1641425502">
      <w:bodyDiv w:val="1"/>
      <w:marLeft w:val="0"/>
      <w:marRight w:val="0"/>
      <w:marTop w:val="0"/>
      <w:marBottom w:val="0"/>
      <w:divBdr>
        <w:top w:val="none" w:sz="0" w:space="0" w:color="auto"/>
        <w:left w:val="none" w:sz="0" w:space="0" w:color="auto"/>
        <w:bottom w:val="none" w:sz="0" w:space="0" w:color="auto"/>
        <w:right w:val="none" w:sz="0" w:space="0" w:color="auto"/>
      </w:divBdr>
      <w:divsChild>
        <w:div w:id="1146632092">
          <w:marLeft w:val="0"/>
          <w:marRight w:val="0"/>
          <w:marTop w:val="0"/>
          <w:marBottom w:val="0"/>
          <w:divBdr>
            <w:top w:val="none" w:sz="0" w:space="0" w:color="auto"/>
            <w:left w:val="none" w:sz="0" w:space="0" w:color="auto"/>
            <w:bottom w:val="none" w:sz="0" w:space="0" w:color="auto"/>
            <w:right w:val="none" w:sz="0" w:space="0" w:color="auto"/>
          </w:divBdr>
          <w:divsChild>
            <w:div w:id="694040698">
              <w:marLeft w:val="0"/>
              <w:marRight w:val="0"/>
              <w:marTop w:val="0"/>
              <w:marBottom w:val="0"/>
              <w:divBdr>
                <w:top w:val="none" w:sz="0" w:space="0" w:color="auto"/>
                <w:left w:val="none" w:sz="0" w:space="0" w:color="auto"/>
                <w:bottom w:val="none" w:sz="0" w:space="0" w:color="auto"/>
                <w:right w:val="none" w:sz="0" w:space="0" w:color="auto"/>
              </w:divBdr>
              <w:divsChild>
                <w:div w:id="149946580">
                  <w:marLeft w:val="0"/>
                  <w:marRight w:val="0"/>
                  <w:marTop w:val="0"/>
                  <w:marBottom w:val="0"/>
                  <w:divBdr>
                    <w:top w:val="none" w:sz="0" w:space="0" w:color="auto"/>
                    <w:left w:val="none" w:sz="0" w:space="0" w:color="auto"/>
                    <w:bottom w:val="none" w:sz="0" w:space="0" w:color="auto"/>
                    <w:right w:val="none" w:sz="0" w:space="0" w:color="auto"/>
                  </w:divBdr>
                  <w:divsChild>
                    <w:div w:id="1509825651">
                      <w:marLeft w:val="0"/>
                      <w:marRight w:val="0"/>
                      <w:marTop w:val="0"/>
                      <w:marBottom w:val="300"/>
                      <w:divBdr>
                        <w:top w:val="none" w:sz="0" w:space="0" w:color="auto"/>
                        <w:left w:val="none" w:sz="0" w:space="0" w:color="auto"/>
                        <w:bottom w:val="none" w:sz="0" w:space="0" w:color="auto"/>
                        <w:right w:val="none" w:sz="0" w:space="0" w:color="auto"/>
                      </w:divBdr>
                      <w:divsChild>
                        <w:div w:id="276717834">
                          <w:marLeft w:val="0"/>
                          <w:marRight w:val="0"/>
                          <w:marTop w:val="0"/>
                          <w:marBottom w:val="0"/>
                          <w:divBdr>
                            <w:top w:val="none" w:sz="0" w:space="0" w:color="auto"/>
                            <w:left w:val="none" w:sz="0" w:space="0" w:color="auto"/>
                            <w:bottom w:val="none" w:sz="0" w:space="0" w:color="auto"/>
                            <w:right w:val="none" w:sz="0" w:space="0" w:color="auto"/>
                          </w:divBdr>
                          <w:divsChild>
                            <w:div w:id="586112330">
                              <w:marLeft w:val="0"/>
                              <w:marRight w:val="0"/>
                              <w:marTop w:val="0"/>
                              <w:marBottom w:val="0"/>
                              <w:divBdr>
                                <w:top w:val="none" w:sz="0" w:space="0" w:color="auto"/>
                                <w:left w:val="none" w:sz="0" w:space="0" w:color="auto"/>
                                <w:bottom w:val="none" w:sz="0" w:space="0" w:color="auto"/>
                                <w:right w:val="none" w:sz="0" w:space="0" w:color="auto"/>
                              </w:divBdr>
                              <w:divsChild>
                                <w:div w:id="1270816507">
                                  <w:marLeft w:val="0"/>
                                  <w:marRight w:val="0"/>
                                  <w:marTop w:val="0"/>
                                  <w:marBottom w:val="0"/>
                                  <w:divBdr>
                                    <w:top w:val="single" w:sz="2" w:space="0" w:color="DFDFDF"/>
                                    <w:left w:val="single" w:sz="2" w:space="0" w:color="DFDFDF"/>
                                    <w:bottom w:val="single" w:sz="2" w:space="0" w:color="DFDFDF"/>
                                    <w:right w:val="single" w:sz="2" w:space="0" w:color="DFDFDF"/>
                                  </w:divBdr>
                                  <w:divsChild>
                                    <w:div w:id="1389302714">
                                      <w:marLeft w:val="-90"/>
                                      <w:marRight w:val="0"/>
                                      <w:marTop w:val="0"/>
                                      <w:marBottom w:val="0"/>
                                      <w:divBdr>
                                        <w:top w:val="none" w:sz="0" w:space="0" w:color="auto"/>
                                        <w:left w:val="none" w:sz="0" w:space="0" w:color="auto"/>
                                        <w:bottom w:val="none" w:sz="0" w:space="0" w:color="auto"/>
                                        <w:right w:val="none" w:sz="0" w:space="0" w:color="auto"/>
                                      </w:divBdr>
                                      <w:divsChild>
                                        <w:div w:id="869337371">
                                          <w:marLeft w:val="0"/>
                                          <w:marRight w:val="0"/>
                                          <w:marTop w:val="0"/>
                                          <w:marBottom w:val="45"/>
                                          <w:divBdr>
                                            <w:top w:val="single" w:sz="2" w:space="0" w:color="A9A9A9"/>
                                            <w:left w:val="single" w:sz="2" w:space="0" w:color="A9A9A9"/>
                                            <w:bottom w:val="single" w:sz="2" w:space="0" w:color="A9A9A9"/>
                                            <w:right w:val="single" w:sz="2" w:space="0" w:color="A9A9A9"/>
                                          </w:divBdr>
                                          <w:divsChild>
                                            <w:div w:id="1527140652">
                                              <w:marLeft w:val="0"/>
                                              <w:marRight w:val="0"/>
                                              <w:marTop w:val="0"/>
                                              <w:marBottom w:val="0"/>
                                              <w:divBdr>
                                                <w:top w:val="none" w:sz="0" w:space="0" w:color="auto"/>
                                                <w:left w:val="none" w:sz="0" w:space="0" w:color="auto"/>
                                                <w:bottom w:val="none" w:sz="0" w:space="0" w:color="auto"/>
                                                <w:right w:val="none" w:sz="0" w:space="0" w:color="auto"/>
                                              </w:divBdr>
                                              <w:divsChild>
                                                <w:div w:id="376047181">
                                                  <w:marLeft w:val="92"/>
                                                  <w:marRight w:val="0"/>
                                                  <w:marTop w:val="0"/>
                                                  <w:marBottom w:val="150"/>
                                                  <w:divBdr>
                                                    <w:top w:val="single" w:sz="2" w:space="0" w:color="E4E4E4"/>
                                                    <w:left w:val="single" w:sz="2" w:space="0" w:color="E4E4E4"/>
                                                    <w:bottom w:val="single" w:sz="2" w:space="0" w:color="E4E4E4"/>
                                                    <w:right w:val="single" w:sz="2" w:space="0" w:color="E4E4E4"/>
                                                  </w:divBdr>
                                                </w:div>
                                                <w:div w:id="145189528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886143163">
                          <w:marLeft w:val="0"/>
                          <w:marRight w:val="0"/>
                          <w:marTop w:val="0"/>
                          <w:marBottom w:val="0"/>
                          <w:divBdr>
                            <w:top w:val="none" w:sz="0" w:space="0" w:color="auto"/>
                            <w:left w:val="none" w:sz="0" w:space="0" w:color="auto"/>
                            <w:bottom w:val="none" w:sz="0" w:space="0" w:color="auto"/>
                            <w:right w:val="none" w:sz="0" w:space="0" w:color="auto"/>
                          </w:divBdr>
                          <w:divsChild>
                            <w:div w:id="2043481120">
                              <w:marLeft w:val="0"/>
                              <w:marRight w:val="0"/>
                              <w:marTop w:val="0"/>
                              <w:marBottom w:val="0"/>
                              <w:divBdr>
                                <w:top w:val="none" w:sz="0" w:space="0" w:color="auto"/>
                                <w:left w:val="none" w:sz="0" w:space="0" w:color="auto"/>
                                <w:bottom w:val="none" w:sz="0" w:space="0" w:color="auto"/>
                                <w:right w:val="none" w:sz="0" w:space="0" w:color="auto"/>
                              </w:divBdr>
                              <w:divsChild>
                                <w:div w:id="1681857458">
                                  <w:marLeft w:val="0"/>
                                  <w:marRight w:val="0"/>
                                  <w:marTop w:val="0"/>
                                  <w:marBottom w:val="0"/>
                                  <w:divBdr>
                                    <w:top w:val="single" w:sz="2" w:space="0" w:color="DFDFDF"/>
                                    <w:left w:val="single" w:sz="2" w:space="0" w:color="DFDFDF"/>
                                    <w:bottom w:val="single" w:sz="2" w:space="0" w:color="DFDFDF"/>
                                    <w:right w:val="single" w:sz="2" w:space="0" w:color="DFDFDF"/>
                                  </w:divBdr>
                                  <w:divsChild>
                                    <w:div w:id="1607929067">
                                      <w:marLeft w:val="0"/>
                                      <w:marRight w:val="0"/>
                                      <w:marTop w:val="0"/>
                                      <w:marBottom w:val="270"/>
                                      <w:divBdr>
                                        <w:top w:val="none" w:sz="0" w:space="0" w:color="auto"/>
                                        <w:left w:val="none" w:sz="0" w:space="0" w:color="auto"/>
                                        <w:bottom w:val="single" w:sz="12" w:space="5" w:color="DADADA"/>
                                        <w:right w:val="none" w:sz="0" w:space="0" w:color="auto"/>
                                      </w:divBdr>
                                      <w:divsChild>
                                        <w:div w:id="1438331363">
                                          <w:marLeft w:val="0"/>
                                          <w:marRight w:val="0"/>
                                          <w:marTop w:val="0"/>
                                          <w:marBottom w:val="0"/>
                                          <w:divBdr>
                                            <w:top w:val="none" w:sz="0" w:space="0" w:color="auto"/>
                                            <w:left w:val="none" w:sz="0" w:space="0" w:color="auto"/>
                                            <w:bottom w:val="none" w:sz="0" w:space="0" w:color="auto"/>
                                            <w:right w:val="none" w:sz="0" w:space="0" w:color="auto"/>
                                          </w:divBdr>
                                        </w:div>
                                      </w:divsChild>
                                    </w:div>
                                    <w:div w:id="1845897245">
                                      <w:marLeft w:val="-90"/>
                                      <w:marRight w:val="0"/>
                                      <w:marTop w:val="0"/>
                                      <w:marBottom w:val="0"/>
                                      <w:divBdr>
                                        <w:top w:val="none" w:sz="0" w:space="0" w:color="auto"/>
                                        <w:left w:val="none" w:sz="0" w:space="0" w:color="auto"/>
                                        <w:bottom w:val="none" w:sz="0" w:space="0" w:color="auto"/>
                                        <w:right w:val="none" w:sz="0" w:space="0" w:color="auto"/>
                                      </w:divBdr>
                                      <w:divsChild>
                                        <w:div w:id="1280455016">
                                          <w:marLeft w:val="0"/>
                                          <w:marRight w:val="0"/>
                                          <w:marTop w:val="0"/>
                                          <w:marBottom w:val="45"/>
                                          <w:divBdr>
                                            <w:top w:val="single" w:sz="2" w:space="0" w:color="A9A9A9"/>
                                            <w:left w:val="single" w:sz="2" w:space="0" w:color="A9A9A9"/>
                                            <w:bottom w:val="single" w:sz="2" w:space="0" w:color="A9A9A9"/>
                                            <w:right w:val="single" w:sz="2" w:space="0" w:color="A9A9A9"/>
                                          </w:divBdr>
                                          <w:divsChild>
                                            <w:div w:id="525754423">
                                              <w:marLeft w:val="0"/>
                                              <w:marRight w:val="0"/>
                                              <w:marTop w:val="0"/>
                                              <w:marBottom w:val="0"/>
                                              <w:divBdr>
                                                <w:top w:val="none" w:sz="0" w:space="0" w:color="auto"/>
                                                <w:left w:val="none" w:sz="0" w:space="0" w:color="auto"/>
                                                <w:bottom w:val="none" w:sz="0" w:space="0" w:color="auto"/>
                                                <w:right w:val="none" w:sz="0" w:space="0" w:color="auto"/>
                                              </w:divBdr>
                                              <w:divsChild>
                                                <w:div w:id="68263526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926259157">
                      <w:marLeft w:val="0"/>
                      <w:marRight w:val="0"/>
                      <w:marTop w:val="0"/>
                      <w:marBottom w:val="300"/>
                      <w:divBdr>
                        <w:top w:val="none" w:sz="0" w:space="0" w:color="auto"/>
                        <w:left w:val="none" w:sz="0" w:space="0" w:color="auto"/>
                        <w:bottom w:val="none" w:sz="0" w:space="0" w:color="auto"/>
                        <w:right w:val="none" w:sz="0" w:space="0" w:color="auto"/>
                      </w:divBdr>
                      <w:divsChild>
                        <w:div w:id="171461270">
                          <w:marLeft w:val="0"/>
                          <w:marRight w:val="0"/>
                          <w:marTop w:val="0"/>
                          <w:marBottom w:val="120"/>
                          <w:divBdr>
                            <w:top w:val="none" w:sz="0" w:space="0" w:color="auto"/>
                            <w:left w:val="none" w:sz="0" w:space="0" w:color="auto"/>
                            <w:bottom w:val="single" w:sz="12" w:space="6" w:color="BBDEFE"/>
                            <w:right w:val="none" w:sz="0" w:space="0" w:color="auto"/>
                          </w:divBdr>
                        </w:div>
                        <w:div w:id="1087001298">
                          <w:marLeft w:val="0"/>
                          <w:marRight w:val="0"/>
                          <w:marTop w:val="0"/>
                          <w:marBottom w:val="0"/>
                          <w:divBdr>
                            <w:top w:val="none" w:sz="0" w:space="0" w:color="auto"/>
                            <w:left w:val="none" w:sz="0" w:space="0" w:color="auto"/>
                            <w:bottom w:val="none" w:sz="0" w:space="0" w:color="auto"/>
                            <w:right w:val="none" w:sz="0" w:space="0" w:color="auto"/>
                          </w:divBdr>
                          <w:divsChild>
                            <w:div w:id="1621572293">
                              <w:marLeft w:val="0"/>
                              <w:marRight w:val="0"/>
                              <w:marTop w:val="0"/>
                              <w:marBottom w:val="0"/>
                              <w:divBdr>
                                <w:top w:val="none" w:sz="0" w:space="0" w:color="auto"/>
                                <w:left w:val="none" w:sz="0" w:space="0" w:color="auto"/>
                                <w:bottom w:val="none" w:sz="0" w:space="0" w:color="auto"/>
                                <w:right w:val="none" w:sz="0" w:space="0" w:color="auto"/>
                              </w:divBdr>
                              <w:divsChild>
                                <w:div w:id="739332382">
                                  <w:marLeft w:val="0"/>
                                  <w:marRight w:val="600"/>
                                  <w:marTop w:val="0"/>
                                  <w:marBottom w:val="0"/>
                                  <w:divBdr>
                                    <w:top w:val="none" w:sz="0" w:space="0" w:color="auto"/>
                                    <w:left w:val="none" w:sz="0" w:space="0" w:color="auto"/>
                                    <w:bottom w:val="none" w:sz="0" w:space="0" w:color="auto"/>
                                    <w:right w:val="none" w:sz="0" w:space="0" w:color="auto"/>
                                  </w:divBdr>
                                  <w:divsChild>
                                    <w:div w:id="173737666">
                                      <w:marLeft w:val="0"/>
                                      <w:marRight w:val="0"/>
                                      <w:marTop w:val="0"/>
                                      <w:marBottom w:val="120"/>
                                      <w:divBdr>
                                        <w:top w:val="none" w:sz="0" w:space="0" w:color="auto"/>
                                        <w:left w:val="none" w:sz="0" w:space="0" w:color="auto"/>
                                        <w:bottom w:val="single" w:sz="6" w:space="6" w:color="EEEEEE"/>
                                        <w:right w:val="none" w:sz="0" w:space="0" w:color="auto"/>
                                      </w:divBdr>
                                      <w:divsChild>
                                        <w:div w:id="494493089">
                                          <w:marLeft w:val="0"/>
                                          <w:marRight w:val="0"/>
                                          <w:marTop w:val="0"/>
                                          <w:marBottom w:val="0"/>
                                          <w:divBdr>
                                            <w:top w:val="none" w:sz="0" w:space="0" w:color="auto"/>
                                            <w:left w:val="none" w:sz="0" w:space="0" w:color="auto"/>
                                            <w:bottom w:val="none" w:sz="0" w:space="0" w:color="auto"/>
                                            <w:right w:val="none" w:sz="0" w:space="0" w:color="auto"/>
                                          </w:divBdr>
                                        </w:div>
                                      </w:divsChild>
                                    </w:div>
                                    <w:div w:id="714160150">
                                      <w:marLeft w:val="0"/>
                                      <w:marRight w:val="0"/>
                                      <w:marTop w:val="0"/>
                                      <w:marBottom w:val="120"/>
                                      <w:divBdr>
                                        <w:top w:val="none" w:sz="0" w:space="0" w:color="auto"/>
                                        <w:left w:val="none" w:sz="0" w:space="0" w:color="auto"/>
                                        <w:bottom w:val="none" w:sz="0" w:space="0" w:color="auto"/>
                                        <w:right w:val="none" w:sz="0" w:space="0" w:color="auto"/>
                                      </w:divBdr>
                                      <w:divsChild>
                                        <w:div w:id="1362172757">
                                          <w:marLeft w:val="0"/>
                                          <w:marRight w:val="0"/>
                                          <w:marTop w:val="0"/>
                                          <w:marBottom w:val="0"/>
                                          <w:divBdr>
                                            <w:top w:val="none" w:sz="0" w:space="0" w:color="auto"/>
                                            <w:left w:val="none" w:sz="0" w:space="0" w:color="auto"/>
                                            <w:bottom w:val="none" w:sz="0" w:space="0" w:color="auto"/>
                                            <w:right w:val="none" w:sz="0" w:space="0" w:color="auto"/>
                                          </w:divBdr>
                                        </w:div>
                                      </w:divsChild>
                                    </w:div>
                                    <w:div w:id="799759914">
                                      <w:marLeft w:val="0"/>
                                      <w:marRight w:val="0"/>
                                      <w:marTop w:val="0"/>
                                      <w:marBottom w:val="120"/>
                                      <w:divBdr>
                                        <w:top w:val="none" w:sz="0" w:space="0" w:color="auto"/>
                                        <w:left w:val="none" w:sz="0" w:space="0" w:color="auto"/>
                                        <w:bottom w:val="single" w:sz="6" w:space="6" w:color="EEEEEE"/>
                                        <w:right w:val="none" w:sz="0" w:space="0" w:color="auto"/>
                                      </w:divBdr>
                                      <w:divsChild>
                                        <w:div w:id="1397783965">
                                          <w:marLeft w:val="0"/>
                                          <w:marRight w:val="0"/>
                                          <w:marTop w:val="0"/>
                                          <w:marBottom w:val="0"/>
                                          <w:divBdr>
                                            <w:top w:val="none" w:sz="0" w:space="0" w:color="auto"/>
                                            <w:left w:val="none" w:sz="0" w:space="0" w:color="auto"/>
                                            <w:bottom w:val="none" w:sz="0" w:space="0" w:color="auto"/>
                                            <w:right w:val="none" w:sz="0" w:space="0" w:color="auto"/>
                                          </w:divBdr>
                                        </w:div>
                                      </w:divsChild>
                                    </w:div>
                                    <w:div w:id="1215317713">
                                      <w:marLeft w:val="0"/>
                                      <w:marRight w:val="0"/>
                                      <w:marTop w:val="0"/>
                                      <w:marBottom w:val="120"/>
                                      <w:divBdr>
                                        <w:top w:val="none" w:sz="0" w:space="0" w:color="auto"/>
                                        <w:left w:val="none" w:sz="0" w:space="0" w:color="auto"/>
                                        <w:bottom w:val="single" w:sz="6" w:space="6" w:color="EEEEEE"/>
                                        <w:right w:val="none" w:sz="0" w:space="0" w:color="auto"/>
                                      </w:divBdr>
                                      <w:divsChild>
                                        <w:div w:id="154803574">
                                          <w:marLeft w:val="0"/>
                                          <w:marRight w:val="0"/>
                                          <w:marTop w:val="0"/>
                                          <w:marBottom w:val="0"/>
                                          <w:divBdr>
                                            <w:top w:val="none" w:sz="0" w:space="0" w:color="auto"/>
                                            <w:left w:val="none" w:sz="0" w:space="0" w:color="auto"/>
                                            <w:bottom w:val="none" w:sz="0" w:space="0" w:color="auto"/>
                                            <w:right w:val="none" w:sz="0" w:space="0" w:color="auto"/>
                                          </w:divBdr>
                                        </w:div>
                                      </w:divsChild>
                                    </w:div>
                                    <w:div w:id="1850487377">
                                      <w:marLeft w:val="0"/>
                                      <w:marRight w:val="0"/>
                                      <w:marTop w:val="0"/>
                                      <w:marBottom w:val="120"/>
                                      <w:divBdr>
                                        <w:top w:val="none" w:sz="0" w:space="0" w:color="auto"/>
                                        <w:left w:val="none" w:sz="0" w:space="0" w:color="auto"/>
                                        <w:bottom w:val="single" w:sz="6" w:space="6" w:color="EEEEEE"/>
                                        <w:right w:val="none" w:sz="0" w:space="0" w:color="auto"/>
                                      </w:divBdr>
                                      <w:divsChild>
                                        <w:div w:id="104772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982868">
                                  <w:marLeft w:val="0"/>
                                  <w:marRight w:val="600"/>
                                  <w:marTop w:val="0"/>
                                  <w:marBottom w:val="0"/>
                                  <w:divBdr>
                                    <w:top w:val="none" w:sz="0" w:space="0" w:color="auto"/>
                                    <w:left w:val="none" w:sz="0" w:space="0" w:color="auto"/>
                                    <w:bottom w:val="none" w:sz="0" w:space="0" w:color="auto"/>
                                    <w:right w:val="none" w:sz="0" w:space="0" w:color="auto"/>
                                  </w:divBdr>
                                  <w:divsChild>
                                    <w:div w:id="317153915">
                                      <w:marLeft w:val="0"/>
                                      <w:marRight w:val="0"/>
                                      <w:marTop w:val="0"/>
                                      <w:marBottom w:val="120"/>
                                      <w:divBdr>
                                        <w:top w:val="none" w:sz="0" w:space="0" w:color="auto"/>
                                        <w:left w:val="none" w:sz="0" w:space="0" w:color="auto"/>
                                        <w:bottom w:val="none" w:sz="0" w:space="0" w:color="auto"/>
                                        <w:right w:val="none" w:sz="0" w:space="0" w:color="auto"/>
                                      </w:divBdr>
                                      <w:divsChild>
                                        <w:div w:id="199901079">
                                          <w:marLeft w:val="0"/>
                                          <w:marRight w:val="0"/>
                                          <w:marTop w:val="0"/>
                                          <w:marBottom w:val="0"/>
                                          <w:divBdr>
                                            <w:top w:val="none" w:sz="0" w:space="0" w:color="auto"/>
                                            <w:left w:val="none" w:sz="0" w:space="0" w:color="auto"/>
                                            <w:bottom w:val="none" w:sz="0" w:space="0" w:color="auto"/>
                                            <w:right w:val="none" w:sz="0" w:space="0" w:color="auto"/>
                                          </w:divBdr>
                                        </w:div>
                                      </w:divsChild>
                                    </w:div>
                                    <w:div w:id="461770120">
                                      <w:marLeft w:val="0"/>
                                      <w:marRight w:val="0"/>
                                      <w:marTop w:val="0"/>
                                      <w:marBottom w:val="120"/>
                                      <w:divBdr>
                                        <w:top w:val="none" w:sz="0" w:space="0" w:color="auto"/>
                                        <w:left w:val="none" w:sz="0" w:space="0" w:color="auto"/>
                                        <w:bottom w:val="single" w:sz="6" w:space="6" w:color="EEEEEE"/>
                                        <w:right w:val="none" w:sz="0" w:space="0" w:color="auto"/>
                                      </w:divBdr>
                                      <w:divsChild>
                                        <w:div w:id="786775855">
                                          <w:marLeft w:val="0"/>
                                          <w:marRight w:val="0"/>
                                          <w:marTop w:val="0"/>
                                          <w:marBottom w:val="0"/>
                                          <w:divBdr>
                                            <w:top w:val="none" w:sz="0" w:space="0" w:color="auto"/>
                                            <w:left w:val="none" w:sz="0" w:space="0" w:color="auto"/>
                                            <w:bottom w:val="none" w:sz="0" w:space="0" w:color="auto"/>
                                            <w:right w:val="none" w:sz="0" w:space="0" w:color="auto"/>
                                          </w:divBdr>
                                        </w:div>
                                      </w:divsChild>
                                    </w:div>
                                    <w:div w:id="642777352">
                                      <w:marLeft w:val="0"/>
                                      <w:marRight w:val="0"/>
                                      <w:marTop w:val="0"/>
                                      <w:marBottom w:val="120"/>
                                      <w:divBdr>
                                        <w:top w:val="none" w:sz="0" w:space="0" w:color="auto"/>
                                        <w:left w:val="none" w:sz="0" w:space="0" w:color="auto"/>
                                        <w:bottom w:val="single" w:sz="6" w:space="6" w:color="EEEEEE"/>
                                        <w:right w:val="none" w:sz="0" w:space="0" w:color="auto"/>
                                      </w:divBdr>
                                      <w:divsChild>
                                        <w:div w:id="395513988">
                                          <w:marLeft w:val="0"/>
                                          <w:marRight w:val="0"/>
                                          <w:marTop w:val="0"/>
                                          <w:marBottom w:val="0"/>
                                          <w:divBdr>
                                            <w:top w:val="none" w:sz="0" w:space="0" w:color="auto"/>
                                            <w:left w:val="none" w:sz="0" w:space="0" w:color="auto"/>
                                            <w:bottom w:val="none" w:sz="0" w:space="0" w:color="auto"/>
                                            <w:right w:val="none" w:sz="0" w:space="0" w:color="auto"/>
                                          </w:divBdr>
                                        </w:div>
                                      </w:divsChild>
                                    </w:div>
                                    <w:div w:id="1291938974">
                                      <w:marLeft w:val="0"/>
                                      <w:marRight w:val="0"/>
                                      <w:marTop w:val="0"/>
                                      <w:marBottom w:val="120"/>
                                      <w:divBdr>
                                        <w:top w:val="none" w:sz="0" w:space="0" w:color="auto"/>
                                        <w:left w:val="none" w:sz="0" w:space="0" w:color="auto"/>
                                        <w:bottom w:val="single" w:sz="6" w:space="6" w:color="EEEEEE"/>
                                        <w:right w:val="none" w:sz="0" w:space="0" w:color="auto"/>
                                      </w:divBdr>
                                      <w:divsChild>
                                        <w:div w:id="661350836">
                                          <w:marLeft w:val="0"/>
                                          <w:marRight w:val="0"/>
                                          <w:marTop w:val="0"/>
                                          <w:marBottom w:val="0"/>
                                          <w:divBdr>
                                            <w:top w:val="none" w:sz="0" w:space="0" w:color="auto"/>
                                            <w:left w:val="none" w:sz="0" w:space="0" w:color="auto"/>
                                            <w:bottom w:val="none" w:sz="0" w:space="0" w:color="auto"/>
                                            <w:right w:val="none" w:sz="0" w:space="0" w:color="auto"/>
                                          </w:divBdr>
                                        </w:div>
                                      </w:divsChild>
                                    </w:div>
                                    <w:div w:id="2059234593">
                                      <w:marLeft w:val="0"/>
                                      <w:marRight w:val="0"/>
                                      <w:marTop w:val="0"/>
                                      <w:marBottom w:val="120"/>
                                      <w:divBdr>
                                        <w:top w:val="none" w:sz="0" w:space="0" w:color="auto"/>
                                        <w:left w:val="none" w:sz="0" w:space="0" w:color="auto"/>
                                        <w:bottom w:val="single" w:sz="6" w:space="6" w:color="EEEEEE"/>
                                        <w:right w:val="none" w:sz="0" w:space="0" w:color="auto"/>
                                      </w:divBdr>
                                      <w:divsChild>
                                        <w:div w:id="50227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300890">
                  <w:marLeft w:val="0"/>
                  <w:marRight w:val="0"/>
                  <w:marTop w:val="0"/>
                  <w:marBottom w:val="0"/>
                  <w:divBdr>
                    <w:top w:val="none" w:sz="0" w:space="0" w:color="auto"/>
                    <w:left w:val="none" w:sz="0" w:space="0" w:color="auto"/>
                    <w:bottom w:val="none" w:sz="0" w:space="0" w:color="auto"/>
                    <w:right w:val="none" w:sz="0" w:space="0" w:color="auto"/>
                  </w:divBdr>
                  <w:divsChild>
                    <w:div w:id="1670134698">
                      <w:marLeft w:val="0"/>
                      <w:marRight w:val="0"/>
                      <w:marTop w:val="0"/>
                      <w:marBottom w:val="0"/>
                      <w:divBdr>
                        <w:top w:val="none" w:sz="0" w:space="0" w:color="auto"/>
                        <w:left w:val="none" w:sz="0" w:space="0" w:color="auto"/>
                        <w:bottom w:val="none" w:sz="0" w:space="0" w:color="auto"/>
                        <w:right w:val="none" w:sz="0" w:space="0" w:color="auto"/>
                      </w:divBdr>
                      <w:divsChild>
                        <w:div w:id="70011214">
                          <w:marLeft w:val="0"/>
                          <w:marRight w:val="0"/>
                          <w:marTop w:val="0"/>
                          <w:marBottom w:val="0"/>
                          <w:divBdr>
                            <w:top w:val="none" w:sz="0" w:space="0" w:color="auto"/>
                            <w:left w:val="none" w:sz="0" w:space="0" w:color="auto"/>
                            <w:bottom w:val="none" w:sz="0" w:space="0" w:color="auto"/>
                            <w:right w:val="none" w:sz="0" w:space="0" w:color="auto"/>
                          </w:divBdr>
                          <w:divsChild>
                            <w:div w:id="128007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678837">
          <w:marLeft w:val="0"/>
          <w:marRight w:val="0"/>
          <w:marTop w:val="0"/>
          <w:marBottom w:val="0"/>
          <w:divBdr>
            <w:top w:val="none" w:sz="0" w:space="0" w:color="auto"/>
            <w:left w:val="none" w:sz="0" w:space="0" w:color="auto"/>
            <w:bottom w:val="none" w:sz="0" w:space="0" w:color="auto"/>
            <w:right w:val="none" w:sz="0" w:space="0" w:color="auto"/>
          </w:divBdr>
          <w:divsChild>
            <w:div w:id="50698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493645">
      <w:bodyDiv w:val="1"/>
      <w:marLeft w:val="0"/>
      <w:marRight w:val="0"/>
      <w:marTop w:val="0"/>
      <w:marBottom w:val="0"/>
      <w:divBdr>
        <w:top w:val="none" w:sz="0" w:space="0" w:color="auto"/>
        <w:left w:val="none" w:sz="0" w:space="0" w:color="auto"/>
        <w:bottom w:val="none" w:sz="0" w:space="0" w:color="auto"/>
        <w:right w:val="none" w:sz="0" w:space="0" w:color="auto"/>
      </w:divBdr>
      <w:divsChild>
        <w:div w:id="1327637566">
          <w:marLeft w:val="0"/>
          <w:marRight w:val="0"/>
          <w:marTop w:val="0"/>
          <w:marBottom w:val="0"/>
          <w:divBdr>
            <w:top w:val="none" w:sz="0" w:space="0" w:color="auto"/>
            <w:left w:val="none" w:sz="0" w:space="0" w:color="auto"/>
            <w:bottom w:val="none" w:sz="0" w:space="0" w:color="auto"/>
            <w:right w:val="none" w:sz="0" w:space="0" w:color="auto"/>
          </w:divBdr>
          <w:divsChild>
            <w:div w:id="1240797164">
              <w:marLeft w:val="0"/>
              <w:marRight w:val="0"/>
              <w:marTop w:val="0"/>
              <w:marBottom w:val="0"/>
              <w:divBdr>
                <w:top w:val="none" w:sz="0" w:space="0" w:color="auto"/>
                <w:left w:val="none" w:sz="0" w:space="0" w:color="auto"/>
                <w:bottom w:val="none" w:sz="0" w:space="0" w:color="auto"/>
                <w:right w:val="none" w:sz="0" w:space="0" w:color="auto"/>
              </w:divBdr>
              <w:divsChild>
                <w:div w:id="1693412021">
                  <w:marLeft w:val="0"/>
                  <w:marRight w:val="0"/>
                  <w:marTop w:val="0"/>
                  <w:marBottom w:val="0"/>
                  <w:divBdr>
                    <w:top w:val="none" w:sz="0" w:space="0" w:color="auto"/>
                    <w:left w:val="none" w:sz="0" w:space="0" w:color="auto"/>
                    <w:bottom w:val="none" w:sz="0" w:space="0" w:color="auto"/>
                    <w:right w:val="none" w:sz="0" w:space="0" w:color="auto"/>
                  </w:divBdr>
                  <w:divsChild>
                    <w:div w:id="798495301">
                      <w:marLeft w:val="0"/>
                      <w:marRight w:val="0"/>
                      <w:marTop w:val="0"/>
                      <w:marBottom w:val="0"/>
                      <w:divBdr>
                        <w:top w:val="none" w:sz="0" w:space="0" w:color="auto"/>
                        <w:left w:val="none" w:sz="0" w:space="0" w:color="auto"/>
                        <w:bottom w:val="none" w:sz="0" w:space="0" w:color="auto"/>
                        <w:right w:val="none" w:sz="0" w:space="0" w:color="auto"/>
                      </w:divBdr>
                      <w:divsChild>
                        <w:div w:id="1800567558">
                          <w:marLeft w:val="0"/>
                          <w:marRight w:val="0"/>
                          <w:marTop w:val="0"/>
                          <w:marBottom w:val="0"/>
                          <w:divBdr>
                            <w:top w:val="none" w:sz="0" w:space="0" w:color="auto"/>
                            <w:left w:val="none" w:sz="0" w:space="0" w:color="auto"/>
                            <w:bottom w:val="none" w:sz="0" w:space="0" w:color="auto"/>
                            <w:right w:val="none" w:sz="0" w:space="0" w:color="auto"/>
                          </w:divBdr>
                          <w:divsChild>
                            <w:div w:id="75412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688686">
      <w:bodyDiv w:val="1"/>
      <w:marLeft w:val="0"/>
      <w:marRight w:val="0"/>
      <w:marTop w:val="0"/>
      <w:marBottom w:val="0"/>
      <w:divBdr>
        <w:top w:val="none" w:sz="0" w:space="0" w:color="auto"/>
        <w:left w:val="none" w:sz="0" w:space="0" w:color="auto"/>
        <w:bottom w:val="none" w:sz="0" w:space="0" w:color="auto"/>
        <w:right w:val="none" w:sz="0" w:space="0" w:color="auto"/>
      </w:divBdr>
      <w:divsChild>
        <w:div w:id="1375692106">
          <w:marLeft w:val="0"/>
          <w:marRight w:val="0"/>
          <w:marTop w:val="0"/>
          <w:marBottom w:val="0"/>
          <w:divBdr>
            <w:top w:val="none" w:sz="0" w:space="0" w:color="auto"/>
            <w:left w:val="none" w:sz="0" w:space="0" w:color="auto"/>
            <w:bottom w:val="none" w:sz="0" w:space="0" w:color="auto"/>
            <w:right w:val="none" w:sz="0" w:space="0" w:color="auto"/>
          </w:divBdr>
        </w:div>
      </w:divsChild>
    </w:div>
    <w:div w:id="1641692467">
      <w:bodyDiv w:val="1"/>
      <w:marLeft w:val="0"/>
      <w:marRight w:val="0"/>
      <w:marTop w:val="0"/>
      <w:marBottom w:val="0"/>
      <w:divBdr>
        <w:top w:val="none" w:sz="0" w:space="0" w:color="auto"/>
        <w:left w:val="none" w:sz="0" w:space="0" w:color="auto"/>
        <w:bottom w:val="none" w:sz="0" w:space="0" w:color="auto"/>
        <w:right w:val="none" w:sz="0" w:space="0" w:color="auto"/>
      </w:divBdr>
    </w:div>
    <w:div w:id="1641809983">
      <w:bodyDiv w:val="1"/>
      <w:marLeft w:val="0"/>
      <w:marRight w:val="0"/>
      <w:marTop w:val="0"/>
      <w:marBottom w:val="0"/>
      <w:divBdr>
        <w:top w:val="none" w:sz="0" w:space="0" w:color="auto"/>
        <w:left w:val="none" w:sz="0" w:space="0" w:color="auto"/>
        <w:bottom w:val="none" w:sz="0" w:space="0" w:color="auto"/>
        <w:right w:val="none" w:sz="0" w:space="0" w:color="auto"/>
      </w:divBdr>
      <w:divsChild>
        <w:div w:id="1650280108">
          <w:marLeft w:val="0"/>
          <w:marRight w:val="0"/>
          <w:marTop w:val="0"/>
          <w:marBottom w:val="0"/>
          <w:divBdr>
            <w:top w:val="none" w:sz="0" w:space="0" w:color="auto"/>
            <w:left w:val="none" w:sz="0" w:space="0" w:color="auto"/>
            <w:bottom w:val="dotted" w:sz="6" w:space="4" w:color="DDDDDD"/>
            <w:right w:val="none" w:sz="0" w:space="0" w:color="auto"/>
          </w:divBdr>
        </w:div>
      </w:divsChild>
    </w:div>
    <w:div w:id="1642033887">
      <w:bodyDiv w:val="1"/>
      <w:marLeft w:val="0"/>
      <w:marRight w:val="0"/>
      <w:marTop w:val="0"/>
      <w:marBottom w:val="0"/>
      <w:divBdr>
        <w:top w:val="none" w:sz="0" w:space="0" w:color="auto"/>
        <w:left w:val="none" w:sz="0" w:space="0" w:color="auto"/>
        <w:bottom w:val="none" w:sz="0" w:space="0" w:color="auto"/>
        <w:right w:val="none" w:sz="0" w:space="0" w:color="auto"/>
      </w:divBdr>
      <w:divsChild>
        <w:div w:id="906646189">
          <w:marLeft w:val="0"/>
          <w:marRight w:val="0"/>
          <w:marTop w:val="0"/>
          <w:marBottom w:val="0"/>
          <w:divBdr>
            <w:top w:val="none" w:sz="0" w:space="0" w:color="auto"/>
            <w:left w:val="none" w:sz="0" w:space="0" w:color="auto"/>
            <w:bottom w:val="dotted" w:sz="6" w:space="4" w:color="DDDDDD"/>
            <w:right w:val="none" w:sz="0" w:space="0" w:color="auto"/>
          </w:divBdr>
          <w:divsChild>
            <w:div w:id="166778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148995">
      <w:bodyDiv w:val="1"/>
      <w:marLeft w:val="0"/>
      <w:marRight w:val="0"/>
      <w:marTop w:val="0"/>
      <w:marBottom w:val="0"/>
      <w:divBdr>
        <w:top w:val="none" w:sz="0" w:space="0" w:color="auto"/>
        <w:left w:val="none" w:sz="0" w:space="0" w:color="auto"/>
        <w:bottom w:val="none" w:sz="0" w:space="0" w:color="auto"/>
        <w:right w:val="none" w:sz="0" w:space="0" w:color="auto"/>
      </w:divBdr>
      <w:divsChild>
        <w:div w:id="282422876">
          <w:marLeft w:val="0"/>
          <w:marRight w:val="0"/>
          <w:marTop w:val="0"/>
          <w:marBottom w:val="0"/>
          <w:divBdr>
            <w:top w:val="none" w:sz="0" w:space="0" w:color="auto"/>
            <w:left w:val="none" w:sz="0" w:space="0" w:color="auto"/>
            <w:bottom w:val="none" w:sz="0" w:space="0" w:color="auto"/>
            <w:right w:val="none" w:sz="0" w:space="0" w:color="auto"/>
          </w:divBdr>
        </w:div>
      </w:divsChild>
    </w:div>
    <w:div w:id="1643080432">
      <w:bodyDiv w:val="1"/>
      <w:marLeft w:val="0"/>
      <w:marRight w:val="0"/>
      <w:marTop w:val="0"/>
      <w:marBottom w:val="0"/>
      <w:divBdr>
        <w:top w:val="none" w:sz="0" w:space="0" w:color="auto"/>
        <w:left w:val="none" w:sz="0" w:space="0" w:color="auto"/>
        <w:bottom w:val="none" w:sz="0" w:space="0" w:color="auto"/>
        <w:right w:val="none" w:sz="0" w:space="0" w:color="auto"/>
      </w:divBdr>
    </w:div>
    <w:div w:id="1643195063">
      <w:bodyDiv w:val="1"/>
      <w:marLeft w:val="0"/>
      <w:marRight w:val="0"/>
      <w:marTop w:val="0"/>
      <w:marBottom w:val="0"/>
      <w:divBdr>
        <w:top w:val="none" w:sz="0" w:space="0" w:color="auto"/>
        <w:left w:val="none" w:sz="0" w:space="0" w:color="auto"/>
        <w:bottom w:val="none" w:sz="0" w:space="0" w:color="auto"/>
        <w:right w:val="none" w:sz="0" w:space="0" w:color="auto"/>
      </w:divBdr>
    </w:div>
    <w:div w:id="1643580754">
      <w:bodyDiv w:val="1"/>
      <w:marLeft w:val="0"/>
      <w:marRight w:val="0"/>
      <w:marTop w:val="0"/>
      <w:marBottom w:val="0"/>
      <w:divBdr>
        <w:top w:val="none" w:sz="0" w:space="0" w:color="auto"/>
        <w:left w:val="none" w:sz="0" w:space="0" w:color="auto"/>
        <w:bottom w:val="none" w:sz="0" w:space="0" w:color="auto"/>
        <w:right w:val="none" w:sz="0" w:space="0" w:color="auto"/>
      </w:divBdr>
      <w:divsChild>
        <w:div w:id="753011305">
          <w:marLeft w:val="0"/>
          <w:marRight w:val="0"/>
          <w:marTop w:val="0"/>
          <w:marBottom w:val="0"/>
          <w:divBdr>
            <w:top w:val="none" w:sz="0" w:space="0" w:color="auto"/>
            <w:left w:val="none" w:sz="0" w:space="0" w:color="auto"/>
            <w:bottom w:val="dotted" w:sz="6" w:space="4" w:color="DDDDDD"/>
            <w:right w:val="none" w:sz="0" w:space="0" w:color="auto"/>
          </w:divBdr>
          <w:divsChild>
            <w:div w:id="33882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002122">
      <w:bodyDiv w:val="1"/>
      <w:marLeft w:val="0"/>
      <w:marRight w:val="0"/>
      <w:marTop w:val="0"/>
      <w:marBottom w:val="0"/>
      <w:divBdr>
        <w:top w:val="none" w:sz="0" w:space="0" w:color="auto"/>
        <w:left w:val="none" w:sz="0" w:space="0" w:color="auto"/>
        <w:bottom w:val="none" w:sz="0" w:space="0" w:color="auto"/>
        <w:right w:val="none" w:sz="0" w:space="0" w:color="auto"/>
      </w:divBdr>
      <w:divsChild>
        <w:div w:id="41246881">
          <w:marLeft w:val="0"/>
          <w:marRight w:val="0"/>
          <w:marTop w:val="0"/>
          <w:marBottom w:val="450"/>
          <w:divBdr>
            <w:top w:val="none" w:sz="0" w:space="0" w:color="auto"/>
            <w:left w:val="none" w:sz="0" w:space="0" w:color="auto"/>
            <w:bottom w:val="single" w:sz="6" w:space="19" w:color="EEEEEE"/>
            <w:right w:val="none" w:sz="0" w:space="0" w:color="auto"/>
          </w:divBdr>
          <w:divsChild>
            <w:div w:id="2061903157">
              <w:marLeft w:val="0"/>
              <w:marRight w:val="0"/>
              <w:marTop w:val="0"/>
              <w:marBottom w:val="150"/>
              <w:divBdr>
                <w:top w:val="none" w:sz="0" w:space="0" w:color="auto"/>
                <w:left w:val="none" w:sz="0" w:space="0" w:color="auto"/>
                <w:bottom w:val="none" w:sz="0" w:space="0" w:color="auto"/>
                <w:right w:val="none" w:sz="0" w:space="0" w:color="auto"/>
              </w:divBdr>
              <w:divsChild>
                <w:div w:id="1235050329">
                  <w:marLeft w:val="0"/>
                  <w:marRight w:val="0"/>
                  <w:marTop w:val="0"/>
                  <w:marBottom w:val="0"/>
                  <w:divBdr>
                    <w:top w:val="none" w:sz="0" w:space="0" w:color="auto"/>
                    <w:left w:val="none" w:sz="0" w:space="0" w:color="auto"/>
                    <w:bottom w:val="none" w:sz="0" w:space="0" w:color="auto"/>
                    <w:right w:val="none" w:sz="0" w:space="0" w:color="auto"/>
                  </w:divBdr>
                </w:div>
              </w:divsChild>
            </w:div>
            <w:div w:id="1938901364">
              <w:marLeft w:val="0"/>
              <w:marRight w:val="0"/>
              <w:marTop w:val="0"/>
              <w:marBottom w:val="0"/>
              <w:divBdr>
                <w:top w:val="none" w:sz="0" w:space="0" w:color="auto"/>
                <w:left w:val="none" w:sz="0" w:space="0" w:color="auto"/>
                <w:bottom w:val="none" w:sz="0" w:space="0" w:color="auto"/>
                <w:right w:val="none" w:sz="0" w:space="0" w:color="auto"/>
              </w:divBdr>
            </w:div>
          </w:divsChild>
        </w:div>
        <w:div w:id="2059893274">
          <w:marLeft w:val="0"/>
          <w:marRight w:val="0"/>
          <w:marTop w:val="0"/>
          <w:marBottom w:val="0"/>
          <w:divBdr>
            <w:top w:val="none" w:sz="0" w:space="0" w:color="auto"/>
            <w:left w:val="none" w:sz="0" w:space="0" w:color="auto"/>
            <w:bottom w:val="none" w:sz="0" w:space="0" w:color="auto"/>
            <w:right w:val="none" w:sz="0" w:space="0" w:color="auto"/>
          </w:divBdr>
          <w:divsChild>
            <w:div w:id="1307972362">
              <w:marLeft w:val="0"/>
              <w:marRight w:val="0"/>
              <w:marTop w:val="0"/>
              <w:marBottom w:val="0"/>
              <w:divBdr>
                <w:top w:val="none" w:sz="0" w:space="0" w:color="auto"/>
                <w:left w:val="none" w:sz="0" w:space="0" w:color="auto"/>
                <w:bottom w:val="none" w:sz="0" w:space="0" w:color="auto"/>
                <w:right w:val="none" w:sz="0" w:space="0" w:color="auto"/>
              </w:divBdr>
              <w:divsChild>
                <w:div w:id="161350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113269">
      <w:bodyDiv w:val="1"/>
      <w:marLeft w:val="0"/>
      <w:marRight w:val="0"/>
      <w:marTop w:val="0"/>
      <w:marBottom w:val="0"/>
      <w:divBdr>
        <w:top w:val="none" w:sz="0" w:space="0" w:color="auto"/>
        <w:left w:val="none" w:sz="0" w:space="0" w:color="auto"/>
        <w:bottom w:val="none" w:sz="0" w:space="0" w:color="auto"/>
        <w:right w:val="none" w:sz="0" w:space="0" w:color="auto"/>
      </w:divBdr>
      <w:divsChild>
        <w:div w:id="1059015291">
          <w:marLeft w:val="0"/>
          <w:marRight w:val="0"/>
          <w:marTop w:val="0"/>
          <w:marBottom w:val="0"/>
          <w:divBdr>
            <w:top w:val="none" w:sz="0" w:space="0" w:color="auto"/>
            <w:left w:val="none" w:sz="0" w:space="0" w:color="auto"/>
            <w:bottom w:val="dotted" w:sz="6" w:space="4" w:color="DDDDDD"/>
            <w:right w:val="none" w:sz="0" w:space="0" w:color="auto"/>
          </w:divBdr>
          <w:divsChild>
            <w:div w:id="135403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116625">
      <w:bodyDiv w:val="1"/>
      <w:marLeft w:val="0"/>
      <w:marRight w:val="0"/>
      <w:marTop w:val="0"/>
      <w:marBottom w:val="0"/>
      <w:divBdr>
        <w:top w:val="none" w:sz="0" w:space="0" w:color="auto"/>
        <w:left w:val="none" w:sz="0" w:space="0" w:color="auto"/>
        <w:bottom w:val="none" w:sz="0" w:space="0" w:color="auto"/>
        <w:right w:val="none" w:sz="0" w:space="0" w:color="auto"/>
      </w:divBdr>
    </w:div>
    <w:div w:id="1645040978">
      <w:bodyDiv w:val="1"/>
      <w:marLeft w:val="0"/>
      <w:marRight w:val="0"/>
      <w:marTop w:val="0"/>
      <w:marBottom w:val="0"/>
      <w:divBdr>
        <w:top w:val="none" w:sz="0" w:space="0" w:color="auto"/>
        <w:left w:val="none" w:sz="0" w:space="0" w:color="auto"/>
        <w:bottom w:val="none" w:sz="0" w:space="0" w:color="auto"/>
        <w:right w:val="none" w:sz="0" w:space="0" w:color="auto"/>
      </w:divBdr>
      <w:divsChild>
        <w:div w:id="274365341">
          <w:marLeft w:val="0"/>
          <w:marRight w:val="0"/>
          <w:marTop w:val="0"/>
          <w:marBottom w:val="0"/>
          <w:divBdr>
            <w:top w:val="none" w:sz="0" w:space="0" w:color="auto"/>
            <w:left w:val="none" w:sz="0" w:space="0" w:color="auto"/>
            <w:bottom w:val="none" w:sz="0" w:space="0" w:color="auto"/>
            <w:right w:val="none" w:sz="0" w:space="0" w:color="auto"/>
          </w:divBdr>
        </w:div>
      </w:divsChild>
    </w:div>
    <w:div w:id="1645500360">
      <w:bodyDiv w:val="1"/>
      <w:marLeft w:val="0"/>
      <w:marRight w:val="0"/>
      <w:marTop w:val="0"/>
      <w:marBottom w:val="0"/>
      <w:divBdr>
        <w:top w:val="none" w:sz="0" w:space="0" w:color="auto"/>
        <w:left w:val="none" w:sz="0" w:space="0" w:color="auto"/>
        <w:bottom w:val="none" w:sz="0" w:space="0" w:color="auto"/>
        <w:right w:val="none" w:sz="0" w:space="0" w:color="auto"/>
      </w:divBdr>
      <w:divsChild>
        <w:div w:id="1039818364">
          <w:marLeft w:val="0"/>
          <w:marRight w:val="0"/>
          <w:marTop w:val="0"/>
          <w:marBottom w:val="0"/>
          <w:divBdr>
            <w:top w:val="none" w:sz="0" w:space="0" w:color="auto"/>
            <w:left w:val="none" w:sz="0" w:space="0" w:color="auto"/>
            <w:bottom w:val="dotted" w:sz="6" w:space="4" w:color="DDDDDD"/>
            <w:right w:val="none" w:sz="0" w:space="0" w:color="auto"/>
          </w:divBdr>
        </w:div>
      </w:divsChild>
    </w:div>
    <w:div w:id="1645692813">
      <w:bodyDiv w:val="1"/>
      <w:marLeft w:val="0"/>
      <w:marRight w:val="0"/>
      <w:marTop w:val="0"/>
      <w:marBottom w:val="0"/>
      <w:divBdr>
        <w:top w:val="none" w:sz="0" w:space="0" w:color="auto"/>
        <w:left w:val="none" w:sz="0" w:space="0" w:color="auto"/>
        <w:bottom w:val="none" w:sz="0" w:space="0" w:color="auto"/>
        <w:right w:val="none" w:sz="0" w:space="0" w:color="auto"/>
      </w:divBdr>
      <w:divsChild>
        <w:div w:id="627661210">
          <w:marLeft w:val="0"/>
          <w:marRight w:val="0"/>
          <w:marTop w:val="0"/>
          <w:marBottom w:val="150"/>
          <w:divBdr>
            <w:top w:val="none" w:sz="0" w:space="0" w:color="auto"/>
            <w:left w:val="none" w:sz="0" w:space="0" w:color="auto"/>
            <w:bottom w:val="none" w:sz="0" w:space="0" w:color="auto"/>
            <w:right w:val="none" w:sz="0" w:space="0" w:color="auto"/>
          </w:divBdr>
        </w:div>
        <w:div w:id="1909000097">
          <w:marLeft w:val="0"/>
          <w:marRight w:val="0"/>
          <w:marTop w:val="0"/>
          <w:marBottom w:val="150"/>
          <w:divBdr>
            <w:top w:val="none" w:sz="0" w:space="0" w:color="auto"/>
            <w:left w:val="none" w:sz="0" w:space="0" w:color="auto"/>
            <w:bottom w:val="none" w:sz="0" w:space="0" w:color="auto"/>
            <w:right w:val="none" w:sz="0" w:space="0" w:color="auto"/>
          </w:divBdr>
          <w:divsChild>
            <w:div w:id="1303651587">
              <w:marLeft w:val="0"/>
              <w:marRight w:val="0"/>
              <w:marTop w:val="0"/>
              <w:marBottom w:val="0"/>
              <w:divBdr>
                <w:top w:val="none" w:sz="0" w:space="0" w:color="auto"/>
                <w:left w:val="none" w:sz="0" w:space="0" w:color="auto"/>
                <w:bottom w:val="none" w:sz="0" w:space="0" w:color="auto"/>
                <w:right w:val="none" w:sz="0" w:space="0" w:color="auto"/>
              </w:divBdr>
            </w:div>
          </w:divsChild>
        </w:div>
        <w:div w:id="1942760987">
          <w:marLeft w:val="0"/>
          <w:marRight w:val="0"/>
          <w:marTop w:val="0"/>
          <w:marBottom w:val="0"/>
          <w:divBdr>
            <w:top w:val="none" w:sz="0" w:space="0" w:color="auto"/>
            <w:left w:val="none" w:sz="0" w:space="0" w:color="auto"/>
            <w:bottom w:val="none" w:sz="0" w:space="0" w:color="auto"/>
            <w:right w:val="none" w:sz="0" w:space="0" w:color="auto"/>
          </w:divBdr>
          <w:divsChild>
            <w:div w:id="12931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742153">
      <w:bodyDiv w:val="1"/>
      <w:marLeft w:val="0"/>
      <w:marRight w:val="0"/>
      <w:marTop w:val="0"/>
      <w:marBottom w:val="0"/>
      <w:divBdr>
        <w:top w:val="none" w:sz="0" w:space="0" w:color="auto"/>
        <w:left w:val="none" w:sz="0" w:space="0" w:color="auto"/>
        <w:bottom w:val="none" w:sz="0" w:space="0" w:color="auto"/>
        <w:right w:val="none" w:sz="0" w:space="0" w:color="auto"/>
      </w:divBdr>
      <w:divsChild>
        <w:div w:id="752698782">
          <w:marLeft w:val="0"/>
          <w:marRight w:val="0"/>
          <w:marTop w:val="0"/>
          <w:marBottom w:val="0"/>
          <w:divBdr>
            <w:top w:val="none" w:sz="0" w:space="0" w:color="auto"/>
            <w:left w:val="none" w:sz="0" w:space="0" w:color="auto"/>
            <w:bottom w:val="none" w:sz="0" w:space="0" w:color="auto"/>
            <w:right w:val="none" w:sz="0" w:space="0" w:color="auto"/>
          </w:divBdr>
          <w:divsChild>
            <w:div w:id="1830124480">
              <w:marLeft w:val="0"/>
              <w:marRight w:val="0"/>
              <w:marTop w:val="0"/>
              <w:marBottom w:val="0"/>
              <w:divBdr>
                <w:top w:val="none" w:sz="0" w:space="0" w:color="auto"/>
                <w:left w:val="none" w:sz="0" w:space="0" w:color="auto"/>
                <w:bottom w:val="none" w:sz="0" w:space="0" w:color="auto"/>
                <w:right w:val="none" w:sz="0" w:space="0" w:color="auto"/>
              </w:divBdr>
              <w:divsChild>
                <w:div w:id="1623731783">
                  <w:marLeft w:val="0"/>
                  <w:marRight w:val="0"/>
                  <w:marTop w:val="0"/>
                  <w:marBottom w:val="0"/>
                  <w:divBdr>
                    <w:top w:val="none" w:sz="0" w:space="0" w:color="auto"/>
                    <w:left w:val="none" w:sz="0" w:space="0" w:color="auto"/>
                    <w:bottom w:val="none" w:sz="0" w:space="0" w:color="auto"/>
                    <w:right w:val="none" w:sz="0" w:space="0" w:color="auto"/>
                  </w:divBdr>
                  <w:divsChild>
                    <w:div w:id="1281108901">
                      <w:marLeft w:val="0"/>
                      <w:marRight w:val="0"/>
                      <w:marTop w:val="0"/>
                      <w:marBottom w:val="0"/>
                      <w:divBdr>
                        <w:top w:val="none" w:sz="0" w:space="0" w:color="auto"/>
                        <w:left w:val="none" w:sz="0" w:space="0" w:color="auto"/>
                        <w:bottom w:val="none" w:sz="0" w:space="0" w:color="auto"/>
                        <w:right w:val="none" w:sz="0" w:space="0" w:color="auto"/>
                      </w:divBdr>
                      <w:divsChild>
                        <w:div w:id="617567917">
                          <w:marLeft w:val="0"/>
                          <w:marRight w:val="0"/>
                          <w:marTop w:val="0"/>
                          <w:marBottom w:val="0"/>
                          <w:divBdr>
                            <w:top w:val="none" w:sz="0" w:space="0" w:color="auto"/>
                            <w:left w:val="none" w:sz="0" w:space="0" w:color="auto"/>
                            <w:bottom w:val="none" w:sz="0" w:space="0" w:color="auto"/>
                            <w:right w:val="none" w:sz="0" w:space="0" w:color="auto"/>
                          </w:divBdr>
                          <w:divsChild>
                            <w:div w:id="454912729">
                              <w:marLeft w:val="0"/>
                              <w:marRight w:val="0"/>
                              <w:marTop w:val="0"/>
                              <w:marBottom w:val="0"/>
                              <w:divBdr>
                                <w:top w:val="none" w:sz="0" w:space="0" w:color="auto"/>
                                <w:left w:val="none" w:sz="0" w:space="0" w:color="auto"/>
                                <w:bottom w:val="none" w:sz="0" w:space="0" w:color="auto"/>
                                <w:right w:val="none" w:sz="0" w:space="0" w:color="auto"/>
                              </w:divBdr>
                              <w:divsChild>
                                <w:div w:id="1561867058">
                                  <w:marLeft w:val="0"/>
                                  <w:marRight w:val="0"/>
                                  <w:marTop w:val="0"/>
                                  <w:marBottom w:val="0"/>
                                  <w:divBdr>
                                    <w:top w:val="none" w:sz="0" w:space="0" w:color="auto"/>
                                    <w:left w:val="none" w:sz="0" w:space="0" w:color="auto"/>
                                    <w:bottom w:val="none" w:sz="0" w:space="0" w:color="auto"/>
                                    <w:right w:val="none" w:sz="0" w:space="0" w:color="auto"/>
                                  </w:divBdr>
                                  <w:divsChild>
                                    <w:div w:id="1018853517">
                                      <w:marLeft w:val="0"/>
                                      <w:marRight w:val="0"/>
                                      <w:marTop w:val="0"/>
                                      <w:marBottom w:val="0"/>
                                      <w:divBdr>
                                        <w:top w:val="none" w:sz="0" w:space="0" w:color="auto"/>
                                        <w:left w:val="none" w:sz="0" w:space="0" w:color="auto"/>
                                        <w:bottom w:val="none" w:sz="0" w:space="0" w:color="auto"/>
                                        <w:right w:val="none" w:sz="0" w:space="0" w:color="auto"/>
                                      </w:divBdr>
                                      <w:divsChild>
                                        <w:div w:id="127914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6616452">
      <w:bodyDiv w:val="1"/>
      <w:marLeft w:val="0"/>
      <w:marRight w:val="0"/>
      <w:marTop w:val="439"/>
      <w:marBottom w:val="0"/>
      <w:divBdr>
        <w:top w:val="none" w:sz="0" w:space="0" w:color="auto"/>
        <w:left w:val="none" w:sz="0" w:space="0" w:color="auto"/>
        <w:bottom w:val="none" w:sz="0" w:space="0" w:color="auto"/>
        <w:right w:val="none" w:sz="0" w:space="0" w:color="auto"/>
      </w:divBdr>
      <w:divsChild>
        <w:div w:id="285430002">
          <w:marLeft w:val="0"/>
          <w:marRight w:val="0"/>
          <w:marTop w:val="0"/>
          <w:marBottom w:val="0"/>
          <w:divBdr>
            <w:top w:val="none" w:sz="0" w:space="0" w:color="auto"/>
            <w:left w:val="single" w:sz="6" w:space="0" w:color="ECECEC"/>
            <w:bottom w:val="none" w:sz="0" w:space="0" w:color="auto"/>
            <w:right w:val="single" w:sz="6" w:space="0" w:color="ECECEC"/>
          </w:divBdr>
          <w:divsChild>
            <w:div w:id="2054497870">
              <w:marLeft w:val="0"/>
              <w:marRight w:val="0"/>
              <w:marTop w:val="0"/>
              <w:marBottom w:val="0"/>
              <w:divBdr>
                <w:top w:val="none" w:sz="0" w:space="0" w:color="auto"/>
                <w:left w:val="none" w:sz="0" w:space="0" w:color="auto"/>
                <w:bottom w:val="none" w:sz="0" w:space="0" w:color="auto"/>
                <w:right w:val="none" w:sz="0" w:space="0" w:color="auto"/>
              </w:divBdr>
              <w:divsChild>
                <w:div w:id="1710177641">
                  <w:marLeft w:val="0"/>
                  <w:marRight w:val="0"/>
                  <w:marTop w:val="0"/>
                  <w:marBottom w:val="0"/>
                  <w:divBdr>
                    <w:top w:val="none" w:sz="0" w:space="0" w:color="auto"/>
                    <w:left w:val="none" w:sz="0" w:space="0" w:color="auto"/>
                    <w:bottom w:val="none" w:sz="0" w:space="0" w:color="auto"/>
                    <w:right w:val="none" w:sz="0" w:space="0" w:color="auto"/>
                  </w:divBdr>
                  <w:divsChild>
                    <w:div w:id="2064908858">
                      <w:marLeft w:val="0"/>
                      <w:marRight w:val="0"/>
                      <w:marTop w:val="0"/>
                      <w:marBottom w:val="0"/>
                      <w:divBdr>
                        <w:top w:val="none" w:sz="0" w:space="0" w:color="auto"/>
                        <w:left w:val="none" w:sz="0" w:space="0" w:color="auto"/>
                        <w:bottom w:val="none" w:sz="0" w:space="0" w:color="auto"/>
                        <w:right w:val="none" w:sz="0" w:space="0" w:color="auto"/>
                      </w:divBdr>
                      <w:divsChild>
                        <w:div w:id="23142108">
                          <w:marLeft w:val="0"/>
                          <w:marRight w:val="0"/>
                          <w:marTop w:val="0"/>
                          <w:marBottom w:val="0"/>
                          <w:divBdr>
                            <w:top w:val="none" w:sz="0" w:space="0" w:color="auto"/>
                            <w:left w:val="none" w:sz="0" w:space="0" w:color="auto"/>
                            <w:bottom w:val="none" w:sz="0" w:space="0" w:color="auto"/>
                            <w:right w:val="none" w:sz="0" w:space="0" w:color="auto"/>
                          </w:divBdr>
                          <w:divsChild>
                            <w:div w:id="194080249">
                              <w:marLeft w:val="0"/>
                              <w:marRight w:val="0"/>
                              <w:marTop w:val="0"/>
                              <w:marBottom w:val="0"/>
                              <w:divBdr>
                                <w:top w:val="none" w:sz="0" w:space="0" w:color="auto"/>
                                <w:left w:val="none" w:sz="0" w:space="0" w:color="auto"/>
                                <w:bottom w:val="none" w:sz="0" w:space="0" w:color="auto"/>
                                <w:right w:val="none" w:sz="0" w:space="0" w:color="auto"/>
                              </w:divBdr>
                              <w:divsChild>
                                <w:div w:id="168940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619607">
      <w:bodyDiv w:val="1"/>
      <w:marLeft w:val="0"/>
      <w:marRight w:val="0"/>
      <w:marTop w:val="0"/>
      <w:marBottom w:val="0"/>
      <w:divBdr>
        <w:top w:val="none" w:sz="0" w:space="0" w:color="auto"/>
        <w:left w:val="none" w:sz="0" w:space="0" w:color="auto"/>
        <w:bottom w:val="none" w:sz="0" w:space="0" w:color="auto"/>
        <w:right w:val="none" w:sz="0" w:space="0" w:color="auto"/>
      </w:divBdr>
      <w:divsChild>
        <w:div w:id="85348479">
          <w:marLeft w:val="0"/>
          <w:marRight w:val="0"/>
          <w:marTop w:val="0"/>
          <w:marBottom w:val="150"/>
          <w:divBdr>
            <w:top w:val="none" w:sz="0" w:space="0" w:color="auto"/>
            <w:left w:val="none" w:sz="0" w:space="0" w:color="auto"/>
            <w:bottom w:val="none" w:sz="0" w:space="0" w:color="auto"/>
            <w:right w:val="none" w:sz="0" w:space="0" w:color="auto"/>
          </w:divBdr>
        </w:div>
        <w:div w:id="248851963">
          <w:marLeft w:val="0"/>
          <w:marRight w:val="0"/>
          <w:marTop w:val="0"/>
          <w:marBottom w:val="150"/>
          <w:divBdr>
            <w:top w:val="none" w:sz="0" w:space="0" w:color="auto"/>
            <w:left w:val="none" w:sz="0" w:space="0" w:color="auto"/>
            <w:bottom w:val="none" w:sz="0" w:space="0" w:color="auto"/>
            <w:right w:val="none" w:sz="0" w:space="0" w:color="auto"/>
          </w:divBdr>
        </w:div>
        <w:div w:id="635186724">
          <w:marLeft w:val="0"/>
          <w:marRight w:val="0"/>
          <w:marTop w:val="0"/>
          <w:marBottom w:val="150"/>
          <w:divBdr>
            <w:top w:val="none" w:sz="0" w:space="0" w:color="auto"/>
            <w:left w:val="none" w:sz="0" w:space="0" w:color="auto"/>
            <w:bottom w:val="none" w:sz="0" w:space="0" w:color="auto"/>
            <w:right w:val="none" w:sz="0" w:space="0" w:color="auto"/>
          </w:divBdr>
        </w:div>
        <w:div w:id="645932624">
          <w:marLeft w:val="0"/>
          <w:marRight w:val="0"/>
          <w:marTop w:val="0"/>
          <w:marBottom w:val="150"/>
          <w:divBdr>
            <w:top w:val="none" w:sz="0" w:space="0" w:color="auto"/>
            <w:left w:val="none" w:sz="0" w:space="0" w:color="auto"/>
            <w:bottom w:val="none" w:sz="0" w:space="0" w:color="auto"/>
            <w:right w:val="none" w:sz="0" w:space="0" w:color="auto"/>
          </w:divBdr>
        </w:div>
        <w:div w:id="767434011">
          <w:marLeft w:val="0"/>
          <w:marRight w:val="0"/>
          <w:marTop w:val="0"/>
          <w:marBottom w:val="150"/>
          <w:divBdr>
            <w:top w:val="none" w:sz="0" w:space="0" w:color="auto"/>
            <w:left w:val="none" w:sz="0" w:space="0" w:color="auto"/>
            <w:bottom w:val="none" w:sz="0" w:space="0" w:color="auto"/>
            <w:right w:val="none" w:sz="0" w:space="0" w:color="auto"/>
          </w:divBdr>
        </w:div>
        <w:div w:id="1077821190">
          <w:marLeft w:val="0"/>
          <w:marRight w:val="0"/>
          <w:marTop w:val="0"/>
          <w:marBottom w:val="150"/>
          <w:divBdr>
            <w:top w:val="none" w:sz="0" w:space="0" w:color="auto"/>
            <w:left w:val="none" w:sz="0" w:space="0" w:color="auto"/>
            <w:bottom w:val="none" w:sz="0" w:space="0" w:color="auto"/>
            <w:right w:val="none" w:sz="0" w:space="0" w:color="auto"/>
          </w:divBdr>
        </w:div>
        <w:div w:id="1214074368">
          <w:marLeft w:val="0"/>
          <w:marRight w:val="0"/>
          <w:marTop w:val="0"/>
          <w:marBottom w:val="150"/>
          <w:divBdr>
            <w:top w:val="none" w:sz="0" w:space="0" w:color="auto"/>
            <w:left w:val="none" w:sz="0" w:space="0" w:color="auto"/>
            <w:bottom w:val="none" w:sz="0" w:space="0" w:color="auto"/>
            <w:right w:val="none" w:sz="0" w:space="0" w:color="auto"/>
          </w:divBdr>
        </w:div>
        <w:div w:id="1434470629">
          <w:marLeft w:val="0"/>
          <w:marRight w:val="0"/>
          <w:marTop w:val="0"/>
          <w:marBottom w:val="150"/>
          <w:divBdr>
            <w:top w:val="none" w:sz="0" w:space="0" w:color="auto"/>
            <w:left w:val="none" w:sz="0" w:space="0" w:color="auto"/>
            <w:bottom w:val="none" w:sz="0" w:space="0" w:color="auto"/>
            <w:right w:val="none" w:sz="0" w:space="0" w:color="auto"/>
          </w:divBdr>
        </w:div>
        <w:div w:id="1846281664">
          <w:marLeft w:val="0"/>
          <w:marRight w:val="0"/>
          <w:marTop w:val="0"/>
          <w:marBottom w:val="150"/>
          <w:divBdr>
            <w:top w:val="none" w:sz="0" w:space="0" w:color="auto"/>
            <w:left w:val="none" w:sz="0" w:space="0" w:color="auto"/>
            <w:bottom w:val="none" w:sz="0" w:space="0" w:color="auto"/>
            <w:right w:val="none" w:sz="0" w:space="0" w:color="auto"/>
          </w:divBdr>
        </w:div>
      </w:divsChild>
    </w:div>
    <w:div w:id="1647196960">
      <w:bodyDiv w:val="1"/>
      <w:marLeft w:val="0"/>
      <w:marRight w:val="0"/>
      <w:marTop w:val="0"/>
      <w:marBottom w:val="0"/>
      <w:divBdr>
        <w:top w:val="none" w:sz="0" w:space="0" w:color="auto"/>
        <w:left w:val="none" w:sz="0" w:space="0" w:color="auto"/>
        <w:bottom w:val="none" w:sz="0" w:space="0" w:color="auto"/>
        <w:right w:val="none" w:sz="0" w:space="0" w:color="auto"/>
      </w:divBdr>
      <w:divsChild>
        <w:div w:id="1598832153">
          <w:marLeft w:val="0"/>
          <w:marRight w:val="0"/>
          <w:marTop w:val="0"/>
          <w:marBottom w:val="450"/>
          <w:divBdr>
            <w:top w:val="none" w:sz="0" w:space="0" w:color="auto"/>
            <w:left w:val="none" w:sz="0" w:space="0" w:color="auto"/>
            <w:bottom w:val="single" w:sz="6" w:space="19" w:color="EEEEEE"/>
            <w:right w:val="none" w:sz="0" w:space="0" w:color="auto"/>
          </w:divBdr>
          <w:divsChild>
            <w:div w:id="497766530">
              <w:marLeft w:val="0"/>
              <w:marRight w:val="0"/>
              <w:marTop w:val="0"/>
              <w:marBottom w:val="150"/>
              <w:divBdr>
                <w:top w:val="none" w:sz="0" w:space="0" w:color="auto"/>
                <w:left w:val="none" w:sz="0" w:space="0" w:color="auto"/>
                <w:bottom w:val="none" w:sz="0" w:space="0" w:color="auto"/>
                <w:right w:val="none" w:sz="0" w:space="0" w:color="auto"/>
              </w:divBdr>
              <w:divsChild>
                <w:div w:id="2077697988">
                  <w:marLeft w:val="0"/>
                  <w:marRight w:val="0"/>
                  <w:marTop w:val="0"/>
                  <w:marBottom w:val="0"/>
                  <w:divBdr>
                    <w:top w:val="none" w:sz="0" w:space="0" w:color="auto"/>
                    <w:left w:val="none" w:sz="0" w:space="0" w:color="auto"/>
                    <w:bottom w:val="none" w:sz="0" w:space="0" w:color="auto"/>
                    <w:right w:val="none" w:sz="0" w:space="0" w:color="auto"/>
                  </w:divBdr>
                </w:div>
              </w:divsChild>
            </w:div>
            <w:div w:id="443158358">
              <w:marLeft w:val="0"/>
              <w:marRight w:val="0"/>
              <w:marTop w:val="0"/>
              <w:marBottom w:val="0"/>
              <w:divBdr>
                <w:top w:val="none" w:sz="0" w:space="0" w:color="auto"/>
                <w:left w:val="none" w:sz="0" w:space="0" w:color="auto"/>
                <w:bottom w:val="none" w:sz="0" w:space="0" w:color="auto"/>
                <w:right w:val="none" w:sz="0" w:space="0" w:color="auto"/>
              </w:divBdr>
            </w:div>
          </w:divsChild>
        </w:div>
        <w:div w:id="1499268756">
          <w:marLeft w:val="0"/>
          <w:marRight w:val="0"/>
          <w:marTop w:val="0"/>
          <w:marBottom w:val="0"/>
          <w:divBdr>
            <w:top w:val="none" w:sz="0" w:space="0" w:color="auto"/>
            <w:left w:val="none" w:sz="0" w:space="0" w:color="auto"/>
            <w:bottom w:val="none" w:sz="0" w:space="0" w:color="auto"/>
            <w:right w:val="none" w:sz="0" w:space="0" w:color="auto"/>
          </w:divBdr>
          <w:divsChild>
            <w:div w:id="1359160241">
              <w:marLeft w:val="0"/>
              <w:marRight w:val="0"/>
              <w:marTop w:val="0"/>
              <w:marBottom w:val="0"/>
              <w:divBdr>
                <w:top w:val="none" w:sz="0" w:space="0" w:color="auto"/>
                <w:left w:val="none" w:sz="0" w:space="0" w:color="auto"/>
                <w:bottom w:val="none" w:sz="0" w:space="0" w:color="auto"/>
                <w:right w:val="none" w:sz="0" w:space="0" w:color="auto"/>
              </w:divBdr>
              <w:divsChild>
                <w:div w:id="15395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275760">
      <w:bodyDiv w:val="1"/>
      <w:marLeft w:val="0"/>
      <w:marRight w:val="0"/>
      <w:marTop w:val="0"/>
      <w:marBottom w:val="0"/>
      <w:divBdr>
        <w:top w:val="none" w:sz="0" w:space="0" w:color="auto"/>
        <w:left w:val="none" w:sz="0" w:space="0" w:color="auto"/>
        <w:bottom w:val="none" w:sz="0" w:space="0" w:color="auto"/>
        <w:right w:val="none" w:sz="0" w:space="0" w:color="auto"/>
      </w:divBdr>
      <w:divsChild>
        <w:div w:id="285166393">
          <w:marLeft w:val="0"/>
          <w:marRight w:val="0"/>
          <w:marTop w:val="0"/>
          <w:marBottom w:val="0"/>
          <w:divBdr>
            <w:top w:val="none" w:sz="0" w:space="0" w:color="auto"/>
            <w:left w:val="none" w:sz="0" w:space="0" w:color="auto"/>
            <w:bottom w:val="none" w:sz="0" w:space="0" w:color="auto"/>
            <w:right w:val="none" w:sz="0" w:space="0" w:color="auto"/>
          </w:divBdr>
          <w:divsChild>
            <w:div w:id="18998542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47276753">
      <w:bodyDiv w:val="1"/>
      <w:marLeft w:val="0"/>
      <w:marRight w:val="0"/>
      <w:marTop w:val="0"/>
      <w:marBottom w:val="0"/>
      <w:divBdr>
        <w:top w:val="none" w:sz="0" w:space="0" w:color="auto"/>
        <w:left w:val="none" w:sz="0" w:space="0" w:color="auto"/>
        <w:bottom w:val="none" w:sz="0" w:space="0" w:color="auto"/>
        <w:right w:val="none" w:sz="0" w:space="0" w:color="auto"/>
      </w:divBdr>
      <w:divsChild>
        <w:div w:id="798300547">
          <w:marLeft w:val="0"/>
          <w:marRight w:val="0"/>
          <w:marTop w:val="0"/>
          <w:marBottom w:val="150"/>
          <w:divBdr>
            <w:top w:val="none" w:sz="0" w:space="0" w:color="auto"/>
            <w:left w:val="none" w:sz="0" w:space="0" w:color="auto"/>
            <w:bottom w:val="none" w:sz="0" w:space="0" w:color="auto"/>
            <w:right w:val="none" w:sz="0" w:space="0" w:color="auto"/>
          </w:divBdr>
          <w:divsChild>
            <w:div w:id="455099418">
              <w:marLeft w:val="0"/>
              <w:marRight w:val="0"/>
              <w:marTop w:val="0"/>
              <w:marBottom w:val="0"/>
              <w:divBdr>
                <w:top w:val="none" w:sz="0" w:space="0" w:color="auto"/>
                <w:left w:val="none" w:sz="0" w:space="0" w:color="auto"/>
                <w:bottom w:val="none" w:sz="0" w:space="0" w:color="auto"/>
                <w:right w:val="none" w:sz="0" w:space="0" w:color="auto"/>
              </w:divBdr>
            </w:div>
          </w:divsChild>
        </w:div>
        <w:div w:id="1282956507">
          <w:marLeft w:val="0"/>
          <w:marRight w:val="0"/>
          <w:marTop w:val="0"/>
          <w:marBottom w:val="150"/>
          <w:divBdr>
            <w:top w:val="none" w:sz="0" w:space="0" w:color="auto"/>
            <w:left w:val="none" w:sz="0" w:space="0" w:color="auto"/>
            <w:bottom w:val="none" w:sz="0" w:space="0" w:color="auto"/>
            <w:right w:val="none" w:sz="0" w:space="0" w:color="auto"/>
          </w:divBdr>
        </w:div>
        <w:div w:id="1999072189">
          <w:marLeft w:val="0"/>
          <w:marRight w:val="0"/>
          <w:marTop w:val="0"/>
          <w:marBottom w:val="0"/>
          <w:divBdr>
            <w:top w:val="none" w:sz="0" w:space="0" w:color="auto"/>
            <w:left w:val="none" w:sz="0" w:space="0" w:color="auto"/>
            <w:bottom w:val="none" w:sz="0" w:space="0" w:color="auto"/>
            <w:right w:val="none" w:sz="0" w:space="0" w:color="auto"/>
          </w:divBdr>
          <w:divsChild>
            <w:div w:id="83369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20502">
      <w:bodyDiv w:val="1"/>
      <w:marLeft w:val="0"/>
      <w:marRight w:val="0"/>
      <w:marTop w:val="0"/>
      <w:marBottom w:val="0"/>
      <w:divBdr>
        <w:top w:val="none" w:sz="0" w:space="0" w:color="auto"/>
        <w:left w:val="none" w:sz="0" w:space="0" w:color="auto"/>
        <w:bottom w:val="none" w:sz="0" w:space="0" w:color="auto"/>
        <w:right w:val="none" w:sz="0" w:space="0" w:color="auto"/>
      </w:divBdr>
      <w:divsChild>
        <w:div w:id="1808426394">
          <w:marLeft w:val="0"/>
          <w:marRight w:val="0"/>
          <w:marTop w:val="0"/>
          <w:marBottom w:val="0"/>
          <w:divBdr>
            <w:top w:val="none" w:sz="0" w:space="0" w:color="auto"/>
            <w:left w:val="none" w:sz="0" w:space="0" w:color="auto"/>
            <w:bottom w:val="none" w:sz="0" w:space="0" w:color="auto"/>
            <w:right w:val="none" w:sz="0" w:space="0" w:color="auto"/>
          </w:divBdr>
          <w:divsChild>
            <w:div w:id="1130632139">
              <w:marLeft w:val="0"/>
              <w:marRight w:val="0"/>
              <w:marTop w:val="0"/>
              <w:marBottom w:val="0"/>
              <w:divBdr>
                <w:top w:val="none" w:sz="0" w:space="0" w:color="auto"/>
                <w:left w:val="none" w:sz="0" w:space="0" w:color="auto"/>
                <w:bottom w:val="none" w:sz="0" w:space="0" w:color="auto"/>
                <w:right w:val="none" w:sz="0" w:space="0" w:color="auto"/>
              </w:divBdr>
              <w:divsChild>
                <w:div w:id="914364679">
                  <w:marLeft w:val="0"/>
                  <w:marRight w:val="0"/>
                  <w:marTop w:val="0"/>
                  <w:marBottom w:val="0"/>
                  <w:divBdr>
                    <w:top w:val="none" w:sz="0" w:space="0" w:color="auto"/>
                    <w:left w:val="none" w:sz="0" w:space="0" w:color="auto"/>
                    <w:bottom w:val="none" w:sz="0" w:space="0" w:color="auto"/>
                    <w:right w:val="none" w:sz="0" w:space="0" w:color="auto"/>
                  </w:divBdr>
                  <w:divsChild>
                    <w:div w:id="581375726">
                      <w:marLeft w:val="0"/>
                      <w:marRight w:val="0"/>
                      <w:marTop w:val="0"/>
                      <w:marBottom w:val="0"/>
                      <w:divBdr>
                        <w:top w:val="none" w:sz="0" w:space="0" w:color="auto"/>
                        <w:left w:val="none" w:sz="0" w:space="0" w:color="auto"/>
                        <w:bottom w:val="none" w:sz="0" w:space="0" w:color="auto"/>
                        <w:right w:val="none" w:sz="0" w:space="0" w:color="auto"/>
                      </w:divBdr>
                      <w:divsChild>
                        <w:div w:id="1626425914">
                          <w:marLeft w:val="0"/>
                          <w:marRight w:val="0"/>
                          <w:marTop w:val="0"/>
                          <w:marBottom w:val="0"/>
                          <w:divBdr>
                            <w:top w:val="none" w:sz="0" w:space="0" w:color="auto"/>
                            <w:left w:val="none" w:sz="0" w:space="0" w:color="auto"/>
                            <w:bottom w:val="none" w:sz="0" w:space="0" w:color="auto"/>
                            <w:right w:val="none" w:sz="0" w:space="0" w:color="auto"/>
                          </w:divBdr>
                          <w:divsChild>
                            <w:div w:id="2002465298">
                              <w:marLeft w:val="0"/>
                              <w:marRight w:val="0"/>
                              <w:marTop w:val="0"/>
                              <w:marBottom w:val="0"/>
                              <w:divBdr>
                                <w:top w:val="none" w:sz="0" w:space="0" w:color="auto"/>
                                <w:left w:val="none" w:sz="0" w:space="0" w:color="auto"/>
                                <w:bottom w:val="none" w:sz="0" w:space="0" w:color="auto"/>
                                <w:right w:val="none" w:sz="0" w:space="0" w:color="auto"/>
                              </w:divBdr>
                              <w:divsChild>
                                <w:div w:id="1929776108">
                                  <w:marLeft w:val="0"/>
                                  <w:marRight w:val="0"/>
                                  <w:marTop w:val="0"/>
                                  <w:marBottom w:val="0"/>
                                  <w:divBdr>
                                    <w:top w:val="none" w:sz="0" w:space="0" w:color="auto"/>
                                    <w:left w:val="none" w:sz="0" w:space="0" w:color="auto"/>
                                    <w:bottom w:val="none" w:sz="0" w:space="0" w:color="auto"/>
                                    <w:right w:val="none" w:sz="0" w:space="0" w:color="auto"/>
                                  </w:divBdr>
                                  <w:divsChild>
                                    <w:div w:id="2027948155">
                                      <w:marLeft w:val="0"/>
                                      <w:marRight w:val="0"/>
                                      <w:marTop w:val="0"/>
                                      <w:marBottom w:val="0"/>
                                      <w:divBdr>
                                        <w:top w:val="none" w:sz="0" w:space="0" w:color="auto"/>
                                        <w:left w:val="none" w:sz="0" w:space="0" w:color="auto"/>
                                        <w:bottom w:val="none" w:sz="0" w:space="0" w:color="auto"/>
                                        <w:right w:val="none" w:sz="0" w:space="0" w:color="auto"/>
                                      </w:divBdr>
                                      <w:divsChild>
                                        <w:div w:id="171510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7466171">
      <w:bodyDiv w:val="1"/>
      <w:marLeft w:val="0"/>
      <w:marRight w:val="0"/>
      <w:marTop w:val="0"/>
      <w:marBottom w:val="0"/>
      <w:divBdr>
        <w:top w:val="none" w:sz="0" w:space="0" w:color="auto"/>
        <w:left w:val="none" w:sz="0" w:space="0" w:color="auto"/>
        <w:bottom w:val="none" w:sz="0" w:space="0" w:color="auto"/>
        <w:right w:val="none" w:sz="0" w:space="0" w:color="auto"/>
      </w:divBdr>
    </w:div>
    <w:div w:id="1647664659">
      <w:bodyDiv w:val="1"/>
      <w:marLeft w:val="0"/>
      <w:marRight w:val="0"/>
      <w:marTop w:val="0"/>
      <w:marBottom w:val="0"/>
      <w:divBdr>
        <w:top w:val="none" w:sz="0" w:space="0" w:color="auto"/>
        <w:left w:val="none" w:sz="0" w:space="0" w:color="auto"/>
        <w:bottom w:val="none" w:sz="0" w:space="0" w:color="auto"/>
        <w:right w:val="none" w:sz="0" w:space="0" w:color="auto"/>
      </w:divBdr>
      <w:divsChild>
        <w:div w:id="1628312013">
          <w:marLeft w:val="0"/>
          <w:marRight w:val="0"/>
          <w:marTop w:val="0"/>
          <w:marBottom w:val="0"/>
          <w:divBdr>
            <w:top w:val="none" w:sz="0" w:space="0" w:color="auto"/>
            <w:left w:val="none" w:sz="0" w:space="0" w:color="auto"/>
            <w:bottom w:val="none" w:sz="0" w:space="0" w:color="auto"/>
            <w:right w:val="none" w:sz="0" w:space="0" w:color="auto"/>
          </w:divBdr>
          <w:divsChild>
            <w:div w:id="1331517455">
              <w:marLeft w:val="0"/>
              <w:marRight w:val="0"/>
              <w:marTop w:val="0"/>
              <w:marBottom w:val="0"/>
              <w:divBdr>
                <w:top w:val="none" w:sz="0" w:space="0" w:color="auto"/>
                <w:left w:val="none" w:sz="0" w:space="0" w:color="auto"/>
                <w:bottom w:val="none" w:sz="0" w:space="0" w:color="auto"/>
                <w:right w:val="none" w:sz="0" w:space="0" w:color="auto"/>
              </w:divBdr>
              <w:divsChild>
                <w:div w:id="475072695">
                  <w:marLeft w:val="0"/>
                  <w:marRight w:val="0"/>
                  <w:marTop w:val="0"/>
                  <w:marBottom w:val="0"/>
                  <w:divBdr>
                    <w:top w:val="none" w:sz="0" w:space="0" w:color="auto"/>
                    <w:left w:val="none" w:sz="0" w:space="0" w:color="auto"/>
                    <w:bottom w:val="none" w:sz="0" w:space="0" w:color="auto"/>
                    <w:right w:val="none" w:sz="0" w:space="0" w:color="auto"/>
                  </w:divBdr>
                  <w:divsChild>
                    <w:div w:id="695009291">
                      <w:marLeft w:val="0"/>
                      <w:marRight w:val="0"/>
                      <w:marTop w:val="0"/>
                      <w:marBottom w:val="0"/>
                      <w:divBdr>
                        <w:top w:val="none" w:sz="0" w:space="0" w:color="auto"/>
                        <w:left w:val="none" w:sz="0" w:space="0" w:color="auto"/>
                        <w:bottom w:val="none" w:sz="0" w:space="0" w:color="auto"/>
                        <w:right w:val="none" w:sz="0" w:space="0" w:color="auto"/>
                      </w:divBdr>
                      <w:divsChild>
                        <w:div w:id="1200974786">
                          <w:marLeft w:val="0"/>
                          <w:marRight w:val="0"/>
                          <w:marTop w:val="0"/>
                          <w:marBottom w:val="0"/>
                          <w:divBdr>
                            <w:top w:val="none" w:sz="0" w:space="0" w:color="auto"/>
                            <w:left w:val="none" w:sz="0" w:space="0" w:color="auto"/>
                            <w:bottom w:val="none" w:sz="0" w:space="0" w:color="auto"/>
                            <w:right w:val="none" w:sz="0" w:space="0" w:color="auto"/>
                          </w:divBdr>
                          <w:divsChild>
                            <w:div w:id="2141338887">
                              <w:marLeft w:val="0"/>
                              <w:marRight w:val="0"/>
                              <w:marTop w:val="0"/>
                              <w:marBottom w:val="0"/>
                              <w:divBdr>
                                <w:top w:val="none" w:sz="0" w:space="0" w:color="auto"/>
                                <w:left w:val="none" w:sz="0" w:space="0" w:color="auto"/>
                                <w:bottom w:val="none" w:sz="0" w:space="0" w:color="auto"/>
                                <w:right w:val="none" w:sz="0" w:space="0" w:color="auto"/>
                              </w:divBdr>
                              <w:divsChild>
                                <w:div w:id="379283770">
                                  <w:marLeft w:val="0"/>
                                  <w:marRight w:val="0"/>
                                  <w:marTop w:val="0"/>
                                  <w:marBottom w:val="0"/>
                                  <w:divBdr>
                                    <w:top w:val="none" w:sz="0" w:space="0" w:color="auto"/>
                                    <w:left w:val="none" w:sz="0" w:space="0" w:color="auto"/>
                                    <w:bottom w:val="none" w:sz="0" w:space="0" w:color="auto"/>
                                    <w:right w:val="none" w:sz="0" w:space="0" w:color="auto"/>
                                  </w:divBdr>
                                  <w:divsChild>
                                    <w:div w:id="203059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127449">
      <w:bodyDiv w:val="1"/>
      <w:marLeft w:val="0"/>
      <w:marRight w:val="0"/>
      <w:marTop w:val="0"/>
      <w:marBottom w:val="0"/>
      <w:divBdr>
        <w:top w:val="none" w:sz="0" w:space="0" w:color="auto"/>
        <w:left w:val="none" w:sz="0" w:space="0" w:color="auto"/>
        <w:bottom w:val="none" w:sz="0" w:space="0" w:color="auto"/>
        <w:right w:val="none" w:sz="0" w:space="0" w:color="auto"/>
      </w:divBdr>
    </w:div>
    <w:div w:id="1648314936">
      <w:bodyDiv w:val="1"/>
      <w:marLeft w:val="0"/>
      <w:marRight w:val="0"/>
      <w:marTop w:val="0"/>
      <w:marBottom w:val="0"/>
      <w:divBdr>
        <w:top w:val="none" w:sz="0" w:space="0" w:color="auto"/>
        <w:left w:val="none" w:sz="0" w:space="0" w:color="auto"/>
        <w:bottom w:val="none" w:sz="0" w:space="0" w:color="auto"/>
        <w:right w:val="none" w:sz="0" w:space="0" w:color="auto"/>
      </w:divBdr>
      <w:divsChild>
        <w:div w:id="1139104186">
          <w:marLeft w:val="0"/>
          <w:marRight w:val="0"/>
          <w:marTop w:val="0"/>
          <w:marBottom w:val="0"/>
          <w:divBdr>
            <w:top w:val="none" w:sz="0" w:space="0" w:color="auto"/>
            <w:left w:val="none" w:sz="0" w:space="0" w:color="auto"/>
            <w:bottom w:val="none" w:sz="0" w:space="0" w:color="auto"/>
            <w:right w:val="none" w:sz="0" w:space="0" w:color="auto"/>
          </w:divBdr>
        </w:div>
      </w:divsChild>
    </w:div>
    <w:div w:id="1650136082">
      <w:bodyDiv w:val="1"/>
      <w:marLeft w:val="0"/>
      <w:marRight w:val="0"/>
      <w:marTop w:val="0"/>
      <w:marBottom w:val="0"/>
      <w:divBdr>
        <w:top w:val="none" w:sz="0" w:space="0" w:color="auto"/>
        <w:left w:val="none" w:sz="0" w:space="0" w:color="auto"/>
        <w:bottom w:val="none" w:sz="0" w:space="0" w:color="auto"/>
        <w:right w:val="none" w:sz="0" w:space="0" w:color="auto"/>
      </w:divBdr>
      <w:divsChild>
        <w:div w:id="980694266">
          <w:marLeft w:val="0"/>
          <w:marRight w:val="0"/>
          <w:marTop w:val="0"/>
          <w:marBottom w:val="0"/>
          <w:divBdr>
            <w:top w:val="none" w:sz="0" w:space="0" w:color="auto"/>
            <w:left w:val="none" w:sz="0" w:space="0" w:color="auto"/>
            <w:bottom w:val="none" w:sz="0" w:space="0" w:color="auto"/>
            <w:right w:val="none" w:sz="0" w:space="0" w:color="auto"/>
          </w:divBdr>
          <w:divsChild>
            <w:div w:id="1533882937">
              <w:marLeft w:val="0"/>
              <w:marRight w:val="0"/>
              <w:marTop w:val="0"/>
              <w:marBottom w:val="0"/>
              <w:divBdr>
                <w:top w:val="none" w:sz="0" w:space="0" w:color="auto"/>
                <w:left w:val="none" w:sz="0" w:space="0" w:color="auto"/>
                <w:bottom w:val="none" w:sz="0" w:space="0" w:color="auto"/>
                <w:right w:val="none" w:sz="0" w:space="0" w:color="auto"/>
              </w:divBdr>
              <w:divsChild>
                <w:div w:id="1973290143">
                  <w:marLeft w:val="0"/>
                  <w:marRight w:val="0"/>
                  <w:marTop w:val="0"/>
                  <w:marBottom w:val="0"/>
                  <w:divBdr>
                    <w:top w:val="none" w:sz="0" w:space="0" w:color="auto"/>
                    <w:left w:val="none" w:sz="0" w:space="0" w:color="auto"/>
                    <w:bottom w:val="none" w:sz="0" w:space="0" w:color="auto"/>
                    <w:right w:val="none" w:sz="0" w:space="0" w:color="auto"/>
                  </w:divBdr>
                  <w:divsChild>
                    <w:div w:id="215556999">
                      <w:marLeft w:val="0"/>
                      <w:marRight w:val="0"/>
                      <w:marTop w:val="0"/>
                      <w:marBottom w:val="0"/>
                      <w:divBdr>
                        <w:top w:val="none" w:sz="0" w:space="0" w:color="auto"/>
                        <w:left w:val="none" w:sz="0" w:space="0" w:color="auto"/>
                        <w:bottom w:val="none" w:sz="0" w:space="0" w:color="auto"/>
                        <w:right w:val="none" w:sz="0" w:space="0" w:color="auto"/>
                      </w:divBdr>
                      <w:divsChild>
                        <w:div w:id="130876503">
                          <w:marLeft w:val="0"/>
                          <w:marRight w:val="0"/>
                          <w:marTop w:val="0"/>
                          <w:marBottom w:val="0"/>
                          <w:divBdr>
                            <w:top w:val="none" w:sz="0" w:space="0" w:color="auto"/>
                            <w:left w:val="none" w:sz="0" w:space="0" w:color="auto"/>
                            <w:bottom w:val="none" w:sz="0" w:space="0" w:color="auto"/>
                            <w:right w:val="none" w:sz="0" w:space="0" w:color="auto"/>
                          </w:divBdr>
                          <w:divsChild>
                            <w:div w:id="131610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163692">
      <w:bodyDiv w:val="1"/>
      <w:marLeft w:val="0"/>
      <w:marRight w:val="0"/>
      <w:marTop w:val="0"/>
      <w:marBottom w:val="0"/>
      <w:divBdr>
        <w:top w:val="none" w:sz="0" w:space="0" w:color="auto"/>
        <w:left w:val="none" w:sz="0" w:space="0" w:color="auto"/>
        <w:bottom w:val="none" w:sz="0" w:space="0" w:color="auto"/>
        <w:right w:val="none" w:sz="0" w:space="0" w:color="auto"/>
      </w:divBdr>
    </w:div>
    <w:div w:id="1650472298">
      <w:bodyDiv w:val="1"/>
      <w:marLeft w:val="0"/>
      <w:marRight w:val="0"/>
      <w:marTop w:val="0"/>
      <w:marBottom w:val="0"/>
      <w:divBdr>
        <w:top w:val="none" w:sz="0" w:space="0" w:color="auto"/>
        <w:left w:val="none" w:sz="0" w:space="0" w:color="auto"/>
        <w:bottom w:val="none" w:sz="0" w:space="0" w:color="auto"/>
        <w:right w:val="none" w:sz="0" w:space="0" w:color="auto"/>
      </w:divBdr>
      <w:divsChild>
        <w:div w:id="88939611">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826554579">
              <w:marLeft w:val="0"/>
              <w:marRight w:val="0"/>
              <w:marTop w:val="300"/>
              <w:marBottom w:val="300"/>
              <w:divBdr>
                <w:top w:val="none" w:sz="0" w:space="0" w:color="auto"/>
                <w:left w:val="none" w:sz="0" w:space="0" w:color="auto"/>
                <w:bottom w:val="none" w:sz="0" w:space="0" w:color="auto"/>
                <w:right w:val="none" w:sz="0" w:space="0" w:color="auto"/>
              </w:divBdr>
              <w:divsChild>
                <w:div w:id="205145347">
                  <w:marLeft w:val="0"/>
                  <w:marRight w:val="0"/>
                  <w:marTop w:val="0"/>
                  <w:marBottom w:val="0"/>
                  <w:divBdr>
                    <w:top w:val="none" w:sz="0" w:space="0" w:color="auto"/>
                    <w:left w:val="none" w:sz="0" w:space="0" w:color="auto"/>
                    <w:bottom w:val="none" w:sz="0" w:space="0" w:color="auto"/>
                    <w:right w:val="none" w:sz="0" w:space="0" w:color="auto"/>
                  </w:divBdr>
                  <w:divsChild>
                    <w:div w:id="1546521324">
                      <w:marLeft w:val="0"/>
                      <w:marRight w:val="0"/>
                      <w:marTop w:val="0"/>
                      <w:marBottom w:val="0"/>
                      <w:divBdr>
                        <w:top w:val="none" w:sz="0" w:space="0" w:color="auto"/>
                        <w:left w:val="none" w:sz="0" w:space="0" w:color="auto"/>
                        <w:bottom w:val="none" w:sz="0" w:space="0" w:color="auto"/>
                        <w:right w:val="none" w:sz="0" w:space="0" w:color="auto"/>
                      </w:divBdr>
                      <w:divsChild>
                        <w:div w:id="49322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791556">
      <w:bodyDiv w:val="1"/>
      <w:marLeft w:val="0"/>
      <w:marRight w:val="0"/>
      <w:marTop w:val="0"/>
      <w:marBottom w:val="0"/>
      <w:divBdr>
        <w:top w:val="none" w:sz="0" w:space="0" w:color="auto"/>
        <w:left w:val="none" w:sz="0" w:space="0" w:color="auto"/>
        <w:bottom w:val="none" w:sz="0" w:space="0" w:color="auto"/>
        <w:right w:val="none" w:sz="0" w:space="0" w:color="auto"/>
      </w:divBdr>
      <w:divsChild>
        <w:div w:id="1426027507">
          <w:marLeft w:val="0"/>
          <w:marRight w:val="0"/>
          <w:marTop w:val="0"/>
          <w:marBottom w:val="150"/>
          <w:divBdr>
            <w:top w:val="none" w:sz="0" w:space="0" w:color="auto"/>
            <w:left w:val="none" w:sz="0" w:space="0" w:color="auto"/>
            <w:bottom w:val="none" w:sz="0" w:space="0" w:color="auto"/>
            <w:right w:val="none" w:sz="0" w:space="0" w:color="auto"/>
          </w:divBdr>
        </w:div>
      </w:divsChild>
    </w:div>
    <w:div w:id="1650985244">
      <w:bodyDiv w:val="1"/>
      <w:marLeft w:val="0"/>
      <w:marRight w:val="0"/>
      <w:marTop w:val="0"/>
      <w:marBottom w:val="0"/>
      <w:divBdr>
        <w:top w:val="none" w:sz="0" w:space="0" w:color="auto"/>
        <w:left w:val="none" w:sz="0" w:space="0" w:color="auto"/>
        <w:bottom w:val="none" w:sz="0" w:space="0" w:color="auto"/>
        <w:right w:val="none" w:sz="0" w:space="0" w:color="auto"/>
      </w:divBdr>
    </w:div>
    <w:div w:id="1651444113">
      <w:bodyDiv w:val="1"/>
      <w:marLeft w:val="0"/>
      <w:marRight w:val="0"/>
      <w:marTop w:val="0"/>
      <w:marBottom w:val="0"/>
      <w:divBdr>
        <w:top w:val="none" w:sz="0" w:space="0" w:color="auto"/>
        <w:left w:val="none" w:sz="0" w:space="0" w:color="auto"/>
        <w:bottom w:val="none" w:sz="0" w:space="0" w:color="auto"/>
        <w:right w:val="none" w:sz="0" w:space="0" w:color="auto"/>
      </w:divBdr>
      <w:divsChild>
        <w:div w:id="523599433">
          <w:marLeft w:val="0"/>
          <w:marRight w:val="0"/>
          <w:marTop w:val="0"/>
          <w:marBottom w:val="0"/>
          <w:divBdr>
            <w:top w:val="none" w:sz="0" w:space="0" w:color="auto"/>
            <w:left w:val="none" w:sz="0" w:space="0" w:color="auto"/>
            <w:bottom w:val="none" w:sz="0" w:space="0" w:color="auto"/>
            <w:right w:val="none" w:sz="0" w:space="0" w:color="auto"/>
          </w:divBdr>
          <w:divsChild>
            <w:div w:id="815953739">
              <w:marLeft w:val="0"/>
              <w:marRight w:val="0"/>
              <w:marTop w:val="0"/>
              <w:marBottom w:val="0"/>
              <w:divBdr>
                <w:top w:val="none" w:sz="0" w:space="0" w:color="auto"/>
                <w:left w:val="none" w:sz="0" w:space="0" w:color="auto"/>
                <w:bottom w:val="none" w:sz="0" w:space="0" w:color="auto"/>
                <w:right w:val="none" w:sz="0" w:space="0" w:color="auto"/>
              </w:divBdr>
              <w:divsChild>
                <w:div w:id="520627187">
                  <w:marLeft w:val="0"/>
                  <w:marRight w:val="0"/>
                  <w:marTop w:val="0"/>
                  <w:marBottom w:val="0"/>
                  <w:divBdr>
                    <w:top w:val="none" w:sz="0" w:space="0" w:color="auto"/>
                    <w:left w:val="none" w:sz="0" w:space="0" w:color="auto"/>
                    <w:bottom w:val="none" w:sz="0" w:space="0" w:color="auto"/>
                    <w:right w:val="none" w:sz="0" w:space="0" w:color="auto"/>
                  </w:divBdr>
                  <w:divsChild>
                    <w:div w:id="1916813858">
                      <w:marLeft w:val="0"/>
                      <w:marRight w:val="0"/>
                      <w:marTop w:val="0"/>
                      <w:marBottom w:val="0"/>
                      <w:divBdr>
                        <w:top w:val="none" w:sz="0" w:space="0" w:color="auto"/>
                        <w:left w:val="none" w:sz="0" w:space="0" w:color="auto"/>
                        <w:bottom w:val="none" w:sz="0" w:space="0" w:color="auto"/>
                        <w:right w:val="none" w:sz="0" w:space="0" w:color="auto"/>
                      </w:divBdr>
                      <w:divsChild>
                        <w:div w:id="1552494455">
                          <w:marLeft w:val="0"/>
                          <w:marRight w:val="0"/>
                          <w:marTop w:val="0"/>
                          <w:marBottom w:val="0"/>
                          <w:divBdr>
                            <w:top w:val="none" w:sz="0" w:space="0" w:color="auto"/>
                            <w:left w:val="none" w:sz="0" w:space="0" w:color="auto"/>
                            <w:bottom w:val="none" w:sz="0" w:space="0" w:color="auto"/>
                            <w:right w:val="none" w:sz="0" w:space="0" w:color="auto"/>
                          </w:divBdr>
                          <w:divsChild>
                            <w:div w:id="1230648022">
                              <w:marLeft w:val="0"/>
                              <w:marRight w:val="0"/>
                              <w:marTop w:val="0"/>
                              <w:marBottom w:val="0"/>
                              <w:divBdr>
                                <w:top w:val="none" w:sz="0" w:space="0" w:color="auto"/>
                                <w:left w:val="none" w:sz="0" w:space="0" w:color="auto"/>
                                <w:bottom w:val="none" w:sz="0" w:space="0" w:color="auto"/>
                                <w:right w:val="none" w:sz="0" w:space="0" w:color="auto"/>
                              </w:divBdr>
                              <w:divsChild>
                                <w:div w:id="741876787">
                                  <w:marLeft w:val="0"/>
                                  <w:marRight w:val="0"/>
                                  <w:marTop w:val="0"/>
                                  <w:marBottom w:val="0"/>
                                  <w:divBdr>
                                    <w:top w:val="none" w:sz="0" w:space="0" w:color="auto"/>
                                    <w:left w:val="none" w:sz="0" w:space="0" w:color="auto"/>
                                    <w:bottom w:val="none" w:sz="0" w:space="0" w:color="auto"/>
                                    <w:right w:val="none" w:sz="0" w:space="0" w:color="auto"/>
                                  </w:divBdr>
                                  <w:divsChild>
                                    <w:div w:id="939992688">
                                      <w:marLeft w:val="0"/>
                                      <w:marRight w:val="0"/>
                                      <w:marTop w:val="0"/>
                                      <w:marBottom w:val="0"/>
                                      <w:divBdr>
                                        <w:top w:val="none" w:sz="0" w:space="0" w:color="auto"/>
                                        <w:left w:val="none" w:sz="0" w:space="0" w:color="auto"/>
                                        <w:bottom w:val="none" w:sz="0" w:space="0" w:color="auto"/>
                                        <w:right w:val="none" w:sz="0" w:space="0" w:color="auto"/>
                                      </w:divBdr>
                                      <w:divsChild>
                                        <w:div w:id="112010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1592216">
      <w:bodyDiv w:val="1"/>
      <w:marLeft w:val="0"/>
      <w:marRight w:val="0"/>
      <w:marTop w:val="0"/>
      <w:marBottom w:val="0"/>
      <w:divBdr>
        <w:top w:val="none" w:sz="0" w:space="0" w:color="auto"/>
        <w:left w:val="none" w:sz="0" w:space="0" w:color="auto"/>
        <w:bottom w:val="none" w:sz="0" w:space="0" w:color="auto"/>
        <w:right w:val="none" w:sz="0" w:space="0" w:color="auto"/>
      </w:divBdr>
      <w:divsChild>
        <w:div w:id="906575805">
          <w:marLeft w:val="0"/>
          <w:marRight w:val="0"/>
          <w:marTop w:val="0"/>
          <w:marBottom w:val="0"/>
          <w:divBdr>
            <w:top w:val="none" w:sz="0" w:space="0" w:color="auto"/>
            <w:left w:val="none" w:sz="0" w:space="0" w:color="auto"/>
            <w:bottom w:val="none" w:sz="0" w:space="0" w:color="auto"/>
            <w:right w:val="none" w:sz="0" w:space="0" w:color="auto"/>
          </w:divBdr>
        </w:div>
      </w:divsChild>
    </w:div>
    <w:div w:id="1651714969">
      <w:bodyDiv w:val="1"/>
      <w:marLeft w:val="0"/>
      <w:marRight w:val="0"/>
      <w:marTop w:val="0"/>
      <w:marBottom w:val="0"/>
      <w:divBdr>
        <w:top w:val="none" w:sz="0" w:space="0" w:color="auto"/>
        <w:left w:val="none" w:sz="0" w:space="0" w:color="auto"/>
        <w:bottom w:val="none" w:sz="0" w:space="0" w:color="auto"/>
        <w:right w:val="none" w:sz="0" w:space="0" w:color="auto"/>
      </w:divBdr>
      <w:divsChild>
        <w:div w:id="740100282">
          <w:marLeft w:val="0"/>
          <w:marRight w:val="0"/>
          <w:marTop w:val="0"/>
          <w:marBottom w:val="150"/>
          <w:divBdr>
            <w:top w:val="none" w:sz="0" w:space="0" w:color="auto"/>
            <w:left w:val="none" w:sz="0" w:space="0" w:color="auto"/>
            <w:bottom w:val="none" w:sz="0" w:space="0" w:color="auto"/>
            <w:right w:val="none" w:sz="0" w:space="0" w:color="auto"/>
          </w:divBdr>
        </w:div>
        <w:div w:id="1926764598">
          <w:marLeft w:val="0"/>
          <w:marRight w:val="0"/>
          <w:marTop w:val="225"/>
          <w:marBottom w:val="225"/>
          <w:divBdr>
            <w:top w:val="none" w:sz="0" w:space="0" w:color="auto"/>
            <w:left w:val="none" w:sz="0" w:space="0" w:color="auto"/>
            <w:bottom w:val="none" w:sz="0" w:space="0" w:color="auto"/>
            <w:right w:val="none" w:sz="0" w:space="0" w:color="auto"/>
          </w:divBdr>
        </w:div>
      </w:divsChild>
    </w:div>
    <w:div w:id="1651906725">
      <w:bodyDiv w:val="1"/>
      <w:marLeft w:val="0"/>
      <w:marRight w:val="0"/>
      <w:marTop w:val="0"/>
      <w:marBottom w:val="0"/>
      <w:divBdr>
        <w:top w:val="none" w:sz="0" w:space="0" w:color="auto"/>
        <w:left w:val="none" w:sz="0" w:space="0" w:color="auto"/>
        <w:bottom w:val="none" w:sz="0" w:space="0" w:color="auto"/>
        <w:right w:val="none" w:sz="0" w:space="0" w:color="auto"/>
      </w:divBdr>
      <w:divsChild>
        <w:div w:id="973484545">
          <w:marLeft w:val="0"/>
          <w:marRight w:val="0"/>
          <w:marTop w:val="0"/>
          <w:marBottom w:val="0"/>
          <w:divBdr>
            <w:top w:val="none" w:sz="0" w:space="0" w:color="auto"/>
            <w:left w:val="none" w:sz="0" w:space="0" w:color="auto"/>
            <w:bottom w:val="dotted" w:sz="6" w:space="4" w:color="DDDDDD"/>
            <w:right w:val="none" w:sz="0" w:space="0" w:color="auto"/>
          </w:divBdr>
          <w:divsChild>
            <w:div w:id="19335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950565">
      <w:bodyDiv w:val="1"/>
      <w:marLeft w:val="0"/>
      <w:marRight w:val="0"/>
      <w:marTop w:val="0"/>
      <w:marBottom w:val="0"/>
      <w:divBdr>
        <w:top w:val="none" w:sz="0" w:space="0" w:color="auto"/>
        <w:left w:val="none" w:sz="0" w:space="0" w:color="auto"/>
        <w:bottom w:val="none" w:sz="0" w:space="0" w:color="auto"/>
        <w:right w:val="none" w:sz="0" w:space="0" w:color="auto"/>
      </w:divBdr>
    </w:div>
    <w:div w:id="1653364960">
      <w:bodyDiv w:val="1"/>
      <w:marLeft w:val="0"/>
      <w:marRight w:val="0"/>
      <w:marTop w:val="0"/>
      <w:marBottom w:val="0"/>
      <w:divBdr>
        <w:top w:val="none" w:sz="0" w:space="0" w:color="auto"/>
        <w:left w:val="none" w:sz="0" w:space="0" w:color="auto"/>
        <w:bottom w:val="none" w:sz="0" w:space="0" w:color="auto"/>
        <w:right w:val="none" w:sz="0" w:space="0" w:color="auto"/>
      </w:divBdr>
      <w:divsChild>
        <w:div w:id="1801528318">
          <w:marLeft w:val="0"/>
          <w:marRight w:val="0"/>
          <w:marTop w:val="0"/>
          <w:marBottom w:val="0"/>
          <w:divBdr>
            <w:top w:val="none" w:sz="0" w:space="0" w:color="auto"/>
            <w:left w:val="none" w:sz="0" w:space="0" w:color="auto"/>
            <w:bottom w:val="none" w:sz="0" w:space="0" w:color="auto"/>
            <w:right w:val="none" w:sz="0" w:space="0" w:color="auto"/>
          </w:divBdr>
        </w:div>
      </w:divsChild>
    </w:div>
    <w:div w:id="1654483077">
      <w:bodyDiv w:val="1"/>
      <w:marLeft w:val="0"/>
      <w:marRight w:val="0"/>
      <w:marTop w:val="0"/>
      <w:marBottom w:val="0"/>
      <w:divBdr>
        <w:top w:val="none" w:sz="0" w:space="0" w:color="auto"/>
        <w:left w:val="none" w:sz="0" w:space="0" w:color="auto"/>
        <w:bottom w:val="none" w:sz="0" w:space="0" w:color="auto"/>
        <w:right w:val="none" w:sz="0" w:space="0" w:color="auto"/>
      </w:divBdr>
      <w:divsChild>
        <w:div w:id="826439694">
          <w:marLeft w:val="0"/>
          <w:marRight w:val="0"/>
          <w:marTop w:val="0"/>
          <w:marBottom w:val="0"/>
          <w:divBdr>
            <w:top w:val="none" w:sz="0" w:space="0" w:color="auto"/>
            <w:left w:val="none" w:sz="0" w:space="0" w:color="auto"/>
            <w:bottom w:val="none" w:sz="0" w:space="0" w:color="auto"/>
            <w:right w:val="none" w:sz="0" w:space="0" w:color="auto"/>
          </w:divBdr>
          <w:divsChild>
            <w:div w:id="614559546">
              <w:marLeft w:val="0"/>
              <w:marRight w:val="0"/>
              <w:marTop w:val="0"/>
              <w:marBottom w:val="0"/>
              <w:divBdr>
                <w:top w:val="none" w:sz="0" w:space="0" w:color="auto"/>
                <w:left w:val="none" w:sz="0" w:space="0" w:color="auto"/>
                <w:bottom w:val="none" w:sz="0" w:space="0" w:color="auto"/>
                <w:right w:val="none" w:sz="0" w:space="0" w:color="auto"/>
              </w:divBdr>
              <w:divsChild>
                <w:div w:id="1246767888">
                  <w:marLeft w:val="0"/>
                  <w:marRight w:val="0"/>
                  <w:marTop w:val="0"/>
                  <w:marBottom w:val="0"/>
                  <w:divBdr>
                    <w:top w:val="none" w:sz="0" w:space="0" w:color="auto"/>
                    <w:left w:val="none" w:sz="0" w:space="0" w:color="auto"/>
                    <w:bottom w:val="none" w:sz="0" w:space="0" w:color="auto"/>
                    <w:right w:val="none" w:sz="0" w:space="0" w:color="auto"/>
                  </w:divBdr>
                  <w:divsChild>
                    <w:div w:id="57558790">
                      <w:marLeft w:val="0"/>
                      <w:marRight w:val="0"/>
                      <w:marTop w:val="0"/>
                      <w:marBottom w:val="0"/>
                      <w:divBdr>
                        <w:top w:val="none" w:sz="0" w:space="0" w:color="auto"/>
                        <w:left w:val="none" w:sz="0" w:space="0" w:color="auto"/>
                        <w:bottom w:val="none" w:sz="0" w:space="0" w:color="auto"/>
                        <w:right w:val="none" w:sz="0" w:space="0" w:color="auto"/>
                      </w:divBdr>
                      <w:divsChild>
                        <w:div w:id="1272780798">
                          <w:marLeft w:val="0"/>
                          <w:marRight w:val="0"/>
                          <w:marTop w:val="0"/>
                          <w:marBottom w:val="0"/>
                          <w:divBdr>
                            <w:top w:val="none" w:sz="0" w:space="0" w:color="auto"/>
                            <w:left w:val="none" w:sz="0" w:space="0" w:color="auto"/>
                            <w:bottom w:val="none" w:sz="0" w:space="0" w:color="auto"/>
                            <w:right w:val="none" w:sz="0" w:space="0" w:color="auto"/>
                          </w:divBdr>
                          <w:divsChild>
                            <w:div w:id="94164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4605509">
      <w:bodyDiv w:val="1"/>
      <w:marLeft w:val="0"/>
      <w:marRight w:val="0"/>
      <w:marTop w:val="0"/>
      <w:marBottom w:val="0"/>
      <w:divBdr>
        <w:top w:val="none" w:sz="0" w:space="0" w:color="auto"/>
        <w:left w:val="none" w:sz="0" w:space="0" w:color="auto"/>
        <w:bottom w:val="none" w:sz="0" w:space="0" w:color="auto"/>
        <w:right w:val="none" w:sz="0" w:space="0" w:color="auto"/>
      </w:divBdr>
    </w:div>
    <w:div w:id="1655137663">
      <w:bodyDiv w:val="1"/>
      <w:marLeft w:val="0"/>
      <w:marRight w:val="0"/>
      <w:marTop w:val="0"/>
      <w:marBottom w:val="0"/>
      <w:divBdr>
        <w:top w:val="none" w:sz="0" w:space="0" w:color="auto"/>
        <w:left w:val="none" w:sz="0" w:space="0" w:color="auto"/>
        <w:bottom w:val="none" w:sz="0" w:space="0" w:color="auto"/>
        <w:right w:val="none" w:sz="0" w:space="0" w:color="auto"/>
      </w:divBdr>
    </w:div>
    <w:div w:id="1655258413">
      <w:bodyDiv w:val="1"/>
      <w:marLeft w:val="0"/>
      <w:marRight w:val="0"/>
      <w:marTop w:val="0"/>
      <w:marBottom w:val="0"/>
      <w:divBdr>
        <w:top w:val="none" w:sz="0" w:space="0" w:color="auto"/>
        <w:left w:val="none" w:sz="0" w:space="0" w:color="auto"/>
        <w:bottom w:val="none" w:sz="0" w:space="0" w:color="auto"/>
        <w:right w:val="none" w:sz="0" w:space="0" w:color="auto"/>
      </w:divBdr>
    </w:div>
    <w:div w:id="1656031810">
      <w:bodyDiv w:val="1"/>
      <w:marLeft w:val="0"/>
      <w:marRight w:val="0"/>
      <w:marTop w:val="0"/>
      <w:marBottom w:val="0"/>
      <w:divBdr>
        <w:top w:val="none" w:sz="0" w:space="0" w:color="auto"/>
        <w:left w:val="none" w:sz="0" w:space="0" w:color="auto"/>
        <w:bottom w:val="none" w:sz="0" w:space="0" w:color="auto"/>
        <w:right w:val="none" w:sz="0" w:space="0" w:color="auto"/>
      </w:divBdr>
      <w:divsChild>
        <w:div w:id="733545461">
          <w:marLeft w:val="0"/>
          <w:marRight w:val="0"/>
          <w:marTop w:val="0"/>
          <w:marBottom w:val="0"/>
          <w:divBdr>
            <w:top w:val="none" w:sz="0" w:space="0" w:color="auto"/>
            <w:left w:val="none" w:sz="0" w:space="0" w:color="auto"/>
            <w:bottom w:val="dotted" w:sz="6" w:space="4" w:color="DDDDDD"/>
            <w:right w:val="none" w:sz="0" w:space="0" w:color="auto"/>
          </w:divBdr>
          <w:divsChild>
            <w:div w:id="140372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107049">
      <w:bodyDiv w:val="1"/>
      <w:marLeft w:val="0"/>
      <w:marRight w:val="0"/>
      <w:marTop w:val="0"/>
      <w:marBottom w:val="0"/>
      <w:divBdr>
        <w:top w:val="none" w:sz="0" w:space="0" w:color="auto"/>
        <w:left w:val="none" w:sz="0" w:space="0" w:color="auto"/>
        <w:bottom w:val="none" w:sz="0" w:space="0" w:color="auto"/>
        <w:right w:val="none" w:sz="0" w:space="0" w:color="auto"/>
      </w:divBdr>
    </w:div>
    <w:div w:id="1656447709">
      <w:bodyDiv w:val="1"/>
      <w:marLeft w:val="0"/>
      <w:marRight w:val="0"/>
      <w:marTop w:val="0"/>
      <w:marBottom w:val="0"/>
      <w:divBdr>
        <w:top w:val="none" w:sz="0" w:space="0" w:color="auto"/>
        <w:left w:val="none" w:sz="0" w:space="0" w:color="auto"/>
        <w:bottom w:val="none" w:sz="0" w:space="0" w:color="auto"/>
        <w:right w:val="none" w:sz="0" w:space="0" w:color="auto"/>
      </w:divBdr>
      <w:divsChild>
        <w:div w:id="314188028">
          <w:marLeft w:val="0"/>
          <w:marRight w:val="225"/>
          <w:marTop w:val="0"/>
          <w:marBottom w:val="0"/>
          <w:divBdr>
            <w:top w:val="none" w:sz="0" w:space="0" w:color="auto"/>
            <w:left w:val="none" w:sz="0" w:space="0" w:color="auto"/>
            <w:bottom w:val="none" w:sz="0" w:space="0" w:color="auto"/>
            <w:right w:val="none" w:sz="0" w:space="0" w:color="auto"/>
          </w:divBdr>
          <w:divsChild>
            <w:div w:id="934292236">
              <w:marLeft w:val="0"/>
              <w:marRight w:val="0"/>
              <w:marTop w:val="225"/>
              <w:marBottom w:val="0"/>
              <w:divBdr>
                <w:top w:val="none" w:sz="0" w:space="0" w:color="auto"/>
                <w:left w:val="none" w:sz="0" w:space="0" w:color="auto"/>
                <w:bottom w:val="none" w:sz="0" w:space="0" w:color="auto"/>
                <w:right w:val="none" w:sz="0" w:space="0" w:color="auto"/>
              </w:divBdr>
              <w:divsChild>
                <w:div w:id="152273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834209">
      <w:bodyDiv w:val="1"/>
      <w:marLeft w:val="0"/>
      <w:marRight w:val="0"/>
      <w:marTop w:val="0"/>
      <w:marBottom w:val="0"/>
      <w:divBdr>
        <w:top w:val="none" w:sz="0" w:space="0" w:color="auto"/>
        <w:left w:val="none" w:sz="0" w:space="0" w:color="auto"/>
        <w:bottom w:val="none" w:sz="0" w:space="0" w:color="auto"/>
        <w:right w:val="none" w:sz="0" w:space="0" w:color="auto"/>
      </w:divBdr>
    </w:div>
    <w:div w:id="1657031729">
      <w:bodyDiv w:val="1"/>
      <w:marLeft w:val="0"/>
      <w:marRight w:val="0"/>
      <w:marTop w:val="0"/>
      <w:marBottom w:val="0"/>
      <w:divBdr>
        <w:top w:val="none" w:sz="0" w:space="0" w:color="auto"/>
        <w:left w:val="none" w:sz="0" w:space="0" w:color="auto"/>
        <w:bottom w:val="none" w:sz="0" w:space="0" w:color="auto"/>
        <w:right w:val="none" w:sz="0" w:space="0" w:color="auto"/>
      </w:divBdr>
      <w:divsChild>
        <w:div w:id="667824367">
          <w:marLeft w:val="0"/>
          <w:marRight w:val="0"/>
          <w:marTop w:val="300"/>
          <w:marBottom w:val="0"/>
          <w:divBdr>
            <w:top w:val="none" w:sz="0" w:space="0" w:color="auto"/>
            <w:left w:val="none" w:sz="0" w:space="0" w:color="auto"/>
            <w:bottom w:val="none" w:sz="0" w:space="0" w:color="auto"/>
            <w:right w:val="none" w:sz="0" w:space="0" w:color="auto"/>
          </w:divBdr>
          <w:divsChild>
            <w:div w:id="951982225">
              <w:marLeft w:val="-1350"/>
              <w:marRight w:val="0"/>
              <w:marTop w:val="0"/>
              <w:marBottom w:val="0"/>
              <w:divBdr>
                <w:top w:val="none" w:sz="0" w:space="0" w:color="auto"/>
                <w:left w:val="none" w:sz="0" w:space="0" w:color="auto"/>
                <w:bottom w:val="none" w:sz="0" w:space="0" w:color="auto"/>
                <w:right w:val="none" w:sz="0" w:space="0" w:color="auto"/>
              </w:divBdr>
              <w:divsChild>
                <w:div w:id="1721320257">
                  <w:marLeft w:val="0"/>
                  <w:marRight w:val="0"/>
                  <w:marTop w:val="0"/>
                  <w:marBottom w:val="0"/>
                  <w:divBdr>
                    <w:top w:val="none" w:sz="0" w:space="0" w:color="auto"/>
                    <w:left w:val="none" w:sz="0" w:space="0" w:color="auto"/>
                    <w:bottom w:val="none" w:sz="0" w:space="0" w:color="auto"/>
                    <w:right w:val="none" w:sz="0" w:space="0" w:color="auto"/>
                  </w:divBdr>
                  <w:divsChild>
                    <w:div w:id="1746953789">
                      <w:marLeft w:val="0"/>
                      <w:marRight w:val="0"/>
                      <w:marTop w:val="0"/>
                      <w:marBottom w:val="0"/>
                      <w:divBdr>
                        <w:top w:val="none" w:sz="0" w:space="0" w:color="auto"/>
                        <w:left w:val="none" w:sz="0" w:space="0" w:color="auto"/>
                        <w:bottom w:val="none" w:sz="0" w:space="0" w:color="auto"/>
                        <w:right w:val="none" w:sz="0" w:space="0" w:color="auto"/>
                      </w:divBdr>
                      <w:divsChild>
                        <w:div w:id="93211809">
                          <w:marLeft w:val="0"/>
                          <w:marRight w:val="0"/>
                          <w:marTop w:val="0"/>
                          <w:marBottom w:val="0"/>
                          <w:divBdr>
                            <w:top w:val="single" w:sz="6" w:space="0" w:color="C7C7C7"/>
                            <w:left w:val="single" w:sz="6" w:space="0" w:color="C7C7C7"/>
                            <w:bottom w:val="single" w:sz="6" w:space="0" w:color="C7C7C7"/>
                            <w:right w:val="single" w:sz="6" w:space="0" w:color="C7C7C7"/>
                          </w:divBdr>
                          <w:divsChild>
                            <w:div w:id="1112365225">
                              <w:marLeft w:val="0"/>
                              <w:marRight w:val="0"/>
                              <w:marTop w:val="100"/>
                              <w:marBottom w:val="100"/>
                              <w:divBdr>
                                <w:top w:val="none" w:sz="0" w:space="11" w:color="auto"/>
                                <w:left w:val="none" w:sz="0" w:space="0" w:color="auto"/>
                                <w:bottom w:val="single" w:sz="6" w:space="11" w:color="C7C7C7"/>
                                <w:right w:val="none" w:sz="0" w:space="0" w:color="auto"/>
                              </w:divBdr>
                            </w:div>
                            <w:div w:id="1386946269">
                              <w:marLeft w:val="0"/>
                              <w:marRight w:val="0"/>
                              <w:marTop w:val="100"/>
                              <w:marBottom w:val="100"/>
                              <w:divBdr>
                                <w:top w:val="none" w:sz="0" w:space="0" w:color="auto"/>
                                <w:left w:val="none" w:sz="0" w:space="0" w:color="auto"/>
                                <w:bottom w:val="none" w:sz="0" w:space="0" w:color="auto"/>
                                <w:right w:val="none" w:sz="0" w:space="0" w:color="auto"/>
                              </w:divBdr>
                            </w:div>
                            <w:div w:id="1479954366">
                              <w:marLeft w:val="0"/>
                              <w:marRight w:val="0"/>
                              <w:marTop w:val="100"/>
                              <w:marBottom w:val="100"/>
                              <w:divBdr>
                                <w:top w:val="none" w:sz="0" w:space="11" w:color="auto"/>
                                <w:left w:val="none" w:sz="0" w:space="0" w:color="auto"/>
                                <w:bottom w:val="single" w:sz="6" w:space="11" w:color="C7C7C7"/>
                                <w:right w:val="none" w:sz="0" w:space="0" w:color="auto"/>
                              </w:divBdr>
                            </w:div>
                            <w:div w:id="2122872315">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958564964">
              <w:marLeft w:val="0"/>
              <w:marRight w:val="0"/>
              <w:marTop w:val="0"/>
              <w:marBottom w:val="0"/>
              <w:divBdr>
                <w:top w:val="none" w:sz="0" w:space="0" w:color="auto"/>
                <w:left w:val="none" w:sz="0" w:space="0" w:color="auto"/>
                <w:bottom w:val="none" w:sz="0" w:space="0" w:color="auto"/>
                <w:right w:val="none" w:sz="0" w:space="0" w:color="auto"/>
              </w:divBdr>
              <w:divsChild>
                <w:div w:id="449277755">
                  <w:marLeft w:val="0"/>
                  <w:marRight w:val="0"/>
                  <w:marTop w:val="150"/>
                  <w:marBottom w:val="0"/>
                  <w:divBdr>
                    <w:top w:val="none" w:sz="0" w:space="0" w:color="auto"/>
                    <w:left w:val="none" w:sz="0" w:space="0" w:color="auto"/>
                    <w:bottom w:val="none" w:sz="0" w:space="0" w:color="auto"/>
                    <w:right w:val="none" w:sz="0" w:space="0" w:color="auto"/>
                  </w:divBdr>
                  <w:divsChild>
                    <w:div w:id="1611089465">
                      <w:marLeft w:val="0"/>
                      <w:marRight w:val="0"/>
                      <w:marTop w:val="0"/>
                      <w:marBottom w:val="0"/>
                      <w:divBdr>
                        <w:top w:val="none" w:sz="0" w:space="0" w:color="auto"/>
                        <w:left w:val="none" w:sz="0" w:space="0" w:color="auto"/>
                        <w:bottom w:val="none" w:sz="0" w:space="0" w:color="auto"/>
                        <w:right w:val="none" w:sz="0" w:space="0" w:color="auto"/>
                      </w:divBdr>
                      <w:divsChild>
                        <w:div w:id="204025441">
                          <w:marLeft w:val="75"/>
                          <w:marRight w:val="0"/>
                          <w:marTop w:val="0"/>
                          <w:marBottom w:val="0"/>
                          <w:divBdr>
                            <w:top w:val="none" w:sz="0" w:space="0" w:color="auto"/>
                            <w:left w:val="none" w:sz="0" w:space="0" w:color="auto"/>
                            <w:bottom w:val="none" w:sz="0" w:space="0" w:color="auto"/>
                            <w:right w:val="none" w:sz="0" w:space="0" w:color="auto"/>
                          </w:divBdr>
                        </w:div>
                        <w:div w:id="24511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021884">
                  <w:marLeft w:val="0"/>
                  <w:marRight w:val="0"/>
                  <w:marTop w:val="0"/>
                  <w:marBottom w:val="0"/>
                  <w:divBdr>
                    <w:top w:val="none" w:sz="0" w:space="0" w:color="auto"/>
                    <w:left w:val="none" w:sz="0" w:space="0" w:color="auto"/>
                    <w:bottom w:val="none" w:sz="0" w:space="0" w:color="auto"/>
                    <w:right w:val="none" w:sz="0" w:space="0" w:color="auto"/>
                  </w:divBdr>
                  <w:divsChild>
                    <w:div w:id="11075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921154">
          <w:marLeft w:val="0"/>
          <w:marRight w:val="0"/>
          <w:marTop w:val="150"/>
          <w:marBottom w:val="0"/>
          <w:divBdr>
            <w:top w:val="none" w:sz="0" w:space="0" w:color="auto"/>
            <w:left w:val="none" w:sz="0" w:space="0" w:color="auto"/>
            <w:bottom w:val="none" w:sz="0" w:space="0" w:color="auto"/>
            <w:right w:val="none" w:sz="0" w:space="0" w:color="auto"/>
          </w:divBdr>
          <w:divsChild>
            <w:div w:id="116217585">
              <w:marLeft w:val="0"/>
              <w:marRight w:val="0"/>
              <w:marTop w:val="0"/>
              <w:marBottom w:val="0"/>
              <w:divBdr>
                <w:top w:val="none" w:sz="0" w:space="0" w:color="auto"/>
                <w:left w:val="none" w:sz="0" w:space="0" w:color="auto"/>
                <w:bottom w:val="single" w:sz="6" w:space="0" w:color="EFEFEF"/>
                <w:right w:val="none" w:sz="0" w:space="0" w:color="auto"/>
              </w:divBdr>
              <w:divsChild>
                <w:div w:id="554898522">
                  <w:marLeft w:val="0"/>
                  <w:marRight w:val="0"/>
                  <w:marTop w:val="0"/>
                  <w:marBottom w:val="0"/>
                  <w:divBdr>
                    <w:top w:val="none" w:sz="0" w:space="0" w:color="auto"/>
                    <w:left w:val="none" w:sz="0" w:space="0" w:color="auto"/>
                    <w:bottom w:val="none" w:sz="0" w:space="0" w:color="auto"/>
                    <w:right w:val="none" w:sz="0" w:space="0" w:color="auto"/>
                  </w:divBdr>
                </w:div>
                <w:div w:id="144542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146197">
      <w:bodyDiv w:val="1"/>
      <w:marLeft w:val="0"/>
      <w:marRight w:val="0"/>
      <w:marTop w:val="0"/>
      <w:marBottom w:val="0"/>
      <w:divBdr>
        <w:top w:val="none" w:sz="0" w:space="0" w:color="auto"/>
        <w:left w:val="none" w:sz="0" w:space="0" w:color="auto"/>
        <w:bottom w:val="none" w:sz="0" w:space="0" w:color="auto"/>
        <w:right w:val="none" w:sz="0" w:space="0" w:color="auto"/>
      </w:divBdr>
    </w:div>
    <w:div w:id="1657146316">
      <w:bodyDiv w:val="1"/>
      <w:marLeft w:val="0"/>
      <w:marRight w:val="0"/>
      <w:marTop w:val="0"/>
      <w:marBottom w:val="0"/>
      <w:divBdr>
        <w:top w:val="none" w:sz="0" w:space="0" w:color="auto"/>
        <w:left w:val="none" w:sz="0" w:space="0" w:color="auto"/>
        <w:bottom w:val="none" w:sz="0" w:space="0" w:color="auto"/>
        <w:right w:val="none" w:sz="0" w:space="0" w:color="auto"/>
      </w:divBdr>
      <w:divsChild>
        <w:div w:id="1589969002">
          <w:marLeft w:val="0"/>
          <w:marRight w:val="0"/>
          <w:marTop w:val="0"/>
          <w:marBottom w:val="0"/>
          <w:divBdr>
            <w:top w:val="none" w:sz="0" w:space="0" w:color="auto"/>
            <w:left w:val="none" w:sz="0" w:space="0" w:color="auto"/>
            <w:bottom w:val="none" w:sz="0" w:space="0" w:color="auto"/>
            <w:right w:val="none" w:sz="0" w:space="0" w:color="auto"/>
          </w:divBdr>
          <w:divsChild>
            <w:div w:id="1807815837">
              <w:marLeft w:val="0"/>
              <w:marRight w:val="0"/>
              <w:marTop w:val="0"/>
              <w:marBottom w:val="0"/>
              <w:divBdr>
                <w:top w:val="none" w:sz="0" w:space="0" w:color="auto"/>
                <w:left w:val="none" w:sz="0" w:space="0" w:color="auto"/>
                <w:bottom w:val="none" w:sz="0" w:space="0" w:color="auto"/>
                <w:right w:val="none" w:sz="0" w:space="0" w:color="auto"/>
              </w:divBdr>
              <w:divsChild>
                <w:div w:id="1660889237">
                  <w:marLeft w:val="0"/>
                  <w:marRight w:val="0"/>
                  <w:marTop w:val="0"/>
                  <w:marBottom w:val="0"/>
                  <w:divBdr>
                    <w:top w:val="none" w:sz="0" w:space="0" w:color="auto"/>
                    <w:left w:val="none" w:sz="0" w:space="0" w:color="auto"/>
                    <w:bottom w:val="none" w:sz="0" w:space="0" w:color="auto"/>
                    <w:right w:val="none" w:sz="0" w:space="0" w:color="auto"/>
                  </w:divBdr>
                  <w:divsChild>
                    <w:div w:id="31733019">
                      <w:marLeft w:val="0"/>
                      <w:marRight w:val="0"/>
                      <w:marTop w:val="0"/>
                      <w:marBottom w:val="0"/>
                      <w:divBdr>
                        <w:top w:val="none" w:sz="0" w:space="0" w:color="auto"/>
                        <w:left w:val="none" w:sz="0" w:space="0" w:color="auto"/>
                        <w:bottom w:val="none" w:sz="0" w:space="0" w:color="auto"/>
                        <w:right w:val="none" w:sz="0" w:space="0" w:color="auto"/>
                      </w:divBdr>
                      <w:divsChild>
                        <w:div w:id="1459494987">
                          <w:marLeft w:val="0"/>
                          <w:marRight w:val="0"/>
                          <w:marTop w:val="0"/>
                          <w:marBottom w:val="0"/>
                          <w:divBdr>
                            <w:top w:val="none" w:sz="0" w:space="0" w:color="auto"/>
                            <w:left w:val="none" w:sz="0" w:space="0" w:color="auto"/>
                            <w:bottom w:val="none" w:sz="0" w:space="0" w:color="auto"/>
                            <w:right w:val="none" w:sz="0" w:space="0" w:color="auto"/>
                          </w:divBdr>
                          <w:divsChild>
                            <w:div w:id="543833738">
                              <w:marLeft w:val="0"/>
                              <w:marRight w:val="0"/>
                              <w:marTop w:val="0"/>
                              <w:marBottom w:val="0"/>
                              <w:divBdr>
                                <w:top w:val="none" w:sz="0" w:space="0" w:color="auto"/>
                                <w:left w:val="none" w:sz="0" w:space="0" w:color="auto"/>
                                <w:bottom w:val="none" w:sz="0" w:space="0" w:color="auto"/>
                                <w:right w:val="none" w:sz="0" w:space="0" w:color="auto"/>
                              </w:divBdr>
                              <w:divsChild>
                                <w:div w:id="629895170">
                                  <w:marLeft w:val="0"/>
                                  <w:marRight w:val="0"/>
                                  <w:marTop w:val="0"/>
                                  <w:marBottom w:val="0"/>
                                  <w:divBdr>
                                    <w:top w:val="none" w:sz="0" w:space="0" w:color="auto"/>
                                    <w:left w:val="none" w:sz="0" w:space="0" w:color="auto"/>
                                    <w:bottom w:val="none" w:sz="0" w:space="0" w:color="auto"/>
                                    <w:right w:val="none" w:sz="0" w:space="0" w:color="auto"/>
                                  </w:divBdr>
                                  <w:divsChild>
                                    <w:div w:id="1283078829">
                                      <w:marLeft w:val="0"/>
                                      <w:marRight w:val="0"/>
                                      <w:marTop w:val="0"/>
                                      <w:marBottom w:val="0"/>
                                      <w:divBdr>
                                        <w:top w:val="none" w:sz="0" w:space="0" w:color="auto"/>
                                        <w:left w:val="none" w:sz="0" w:space="0" w:color="auto"/>
                                        <w:bottom w:val="none" w:sz="0" w:space="0" w:color="auto"/>
                                        <w:right w:val="none" w:sz="0" w:space="0" w:color="auto"/>
                                      </w:divBdr>
                                      <w:divsChild>
                                        <w:div w:id="9985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7220510">
      <w:bodyDiv w:val="1"/>
      <w:marLeft w:val="0"/>
      <w:marRight w:val="0"/>
      <w:marTop w:val="0"/>
      <w:marBottom w:val="0"/>
      <w:divBdr>
        <w:top w:val="none" w:sz="0" w:space="0" w:color="auto"/>
        <w:left w:val="none" w:sz="0" w:space="0" w:color="auto"/>
        <w:bottom w:val="none" w:sz="0" w:space="0" w:color="auto"/>
        <w:right w:val="none" w:sz="0" w:space="0" w:color="auto"/>
      </w:divBdr>
      <w:divsChild>
        <w:div w:id="1572078188">
          <w:marLeft w:val="0"/>
          <w:marRight w:val="0"/>
          <w:marTop w:val="0"/>
          <w:marBottom w:val="150"/>
          <w:divBdr>
            <w:top w:val="none" w:sz="0" w:space="0" w:color="auto"/>
            <w:left w:val="none" w:sz="0" w:space="0" w:color="auto"/>
            <w:bottom w:val="none" w:sz="0" w:space="0" w:color="auto"/>
            <w:right w:val="none" w:sz="0" w:space="0" w:color="auto"/>
          </w:divBdr>
        </w:div>
      </w:divsChild>
    </w:div>
    <w:div w:id="1657683278">
      <w:bodyDiv w:val="1"/>
      <w:marLeft w:val="0"/>
      <w:marRight w:val="0"/>
      <w:marTop w:val="0"/>
      <w:marBottom w:val="0"/>
      <w:divBdr>
        <w:top w:val="none" w:sz="0" w:space="0" w:color="auto"/>
        <w:left w:val="none" w:sz="0" w:space="0" w:color="auto"/>
        <w:bottom w:val="none" w:sz="0" w:space="0" w:color="auto"/>
        <w:right w:val="none" w:sz="0" w:space="0" w:color="auto"/>
      </w:divBdr>
      <w:divsChild>
        <w:div w:id="299771011">
          <w:marLeft w:val="0"/>
          <w:marRight w:val="0"/>
          <w:marTop w:val="0"/>
          <w:marBottom w:val="240"/>
          <w:divBdr>
            <w:top w:val="none" w:sz="0" w:space="0" w:color="auto"/>
            <w:left w:val="none" w:sz="0" w:space="0" w:color="auto"/>
            <w:bottom w:val="none" w:sz="0" w:space="0" w:color="auto"/>
            <w:right w:val="none" w:sz="0" w:space="0" w:color="auto"/>
          </w:divBdr>
        </w:div>
        <w:div w:id="464203855">
          <w:marLeft w:val="0"/>
          <w:marRight w:val="0"/>
          <w:marTop w:val="0"/>
          <w:marBottom w:val="240"/>
          <w:divBdr>
            <w:top w:val="none" w:sz="0" w:space="0" w:color="auto"/>
            <w:left w:val="none" w:sz="0" w:space="0" w:color="auto"/>
            <w:bottom w:val="none" w:sz="0" w:space="0" w:color="auto"/>
            <w:right w:val="none" w:sz="0" w:space="0" w:color="auto"/>
          </w:divBdr>
          <w:divsChild>
            <w:div w:id="1237743588">
              <w:marLeft w:val="0"/>
              <w:marRight w:val="0"/>
              <w:marTop w:val="0"/>
              <w:marBottom w:val="0"/>
              <w:divBdr>
                <w:top w:val="none" w:sz="0" w:space="0" w:color="auto"/>
                <w:left w:val="none" w:sz="0" w:space="0" w:color="auto"/>
                <w:bottom w:val="none" w:sz="0" w:space="0" w:color="auto"/>
                <w:right w:val="none" w:sz="0" w:space="0" w:color="auto"/>
              </w:divBdr>
              <w:divsChild>
                <w:div w:id="8083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25405">
          <w:marLeft w:val="0"/>
          <w:marRight w:val="0"/>
          <w:marTop w:val="0"/>
          <w:marBottom w:val="240"/>
          <w:divBdr>
            <w:top w:val="none" w:sz="0" w:space="0" w:color="auto"/>
            <w:left w:val="none" w:sz="0" w:space="0" w:color="auto"/>
            <w:bottom w:val="none" w:sz="0" w:space="0" w:color="auto"/>
            <w:right w:val="none" w:sz="0" w:space="0" w:color="auto"/>
          </w:divBdr>
        </w:div>
        <w:div w:id="1361202771">
          <w:marLeft w:val="0"/>
          <w:marRight w:val="0"/>
          <w:marTop w:val="0"/>
          <w:marBottom w:val="240"/>
          <w:divBdr>
            <w:top w:val="none" w:sz="0" w:space="0" w:color="auto"/>
            <w:left w:val="none" w:sz="0" w:space="0" w:color="auto"/>
            <w:bottom w:val="none" w:sz="0" w:space="0" w:color="auto"/>
            <w:right w:val="none" w:sz="0" w:space="0" w:color="auto"/>
          </w:divBdr>
        </w:div>
        <w:div w:id="1734353208">
          <w:marLeft w:val="0"/>
          <w:marRight w:val="0"/>
          <w:marTop w:val="0"/>
          <w:marBottom w:val="240"/>
          <w:divBdr>
            <w:top w:val="none" w:sz="0" w:space="0" w:color="auto"/>
            <w:left w:val="none" w:sz="0" w:space="0" w:color="auto"/>
            <w:bottom w:val="none" w:sz="0" w:space="0" w:color="auto"/>
            <w:right w:val="none" w:sz="0" w:space="0" w:color="auto"/>
          </w:divBdr>
        </w:div>
      </w:divsChild>
    </w:div>
    <w:div w:id="1657798769">
      <w:bodyDiv w:val="1"/>
      <w:marLeft w:val="0"/>
      <w:marRight w:val="0"/>
      <w:marTop w:val="0"/>
      <w:marBottom w:val="0"/>
      <w:divBdr>
        <w:top w:val="none" w:sz="0" w:space="0" w:color="auto"/>
        <w:left w:val="none" w:sz="0" w:space="0" w:color="auto"/>
        <w:bottom w:val="none" w:sz="0" w:space="0" w:color="auto"/>
        <w:right w:val="none" w:sz="0" w:space="0" w:color="auto"/>
      </w:divBdr>
      <w:divsChild>
        <w:div w:id="312107644">
          <w:marLeft w:val="0"/>
          <w:marRight w:val="0"/>
          <w:marTop w:val="0"/>
          <w:marBottom w:val="0"/>
          <w:divBdr>
            <w:top w:val="none" w:sz="0" w:space="0" w:color="auto"/>
            <w:left w:val="none" w:sz="0" w:space="0" w:color="auto"/>
            <w:bottom w:val="dotted" w:sz="6" w:space="4" w:color="DDDDDD"/>
            <w:right w:val="none" w:sz="0" w:space="0" w:color="auto"/>
          </w:divBdr>
        </w:div>
      </w:divsChild>
    </w:div>
    <w:div w:id="1657806321">
      <w:bodyDiv w:val="1"/>
      <w:marLeft w:val="0"/>
      <w:marRight w:val="0"/>
      <w:marTop w:val="0"/>
      <w:marBottom w:val="0"/>
      <w:divBdr>
        <w:top w:val="none" w:sz="0" w:space="0" w:color="auto"/>
        <w:left w:val="none" w:sz="0" w:space="0" w:color="auto"/>
        <w:bottom w:val="none" w:sz="0" w:space="0" w:color="auto"/>
        <w:right w:val="none" w:sz="0" w:space="0" w:color="auto"/>
      </w:divBdr>
      <w:divsChild>
        <w:div w:id="844055683">
          <w:marLeft w:val="0"/>
          <w:marRight w:val="0"/>
          <w:marTop w:val="0"/>
          <w:marBottom w:val="0"/>
          <w:divBdr>
            <w:top w:val="none" w:sz="0" w:space="0" w:color="auto"/>
            <w:left w:val="none" w:sz="0" w:space="0" w:color="auto"/>
            <w:bottom w:val="none" w:sz="0" w:space="0" w:color="auto"/>
            <w:right w:val="none" w:sz="0" w:space="0" w:color="auto"/>
          </w:divBdr>
          <w:divsChild>
            <w:div w:id="1363674804">
              <w:marLeft w:val="0"/>
              <w:marRight w:val="0"/>
              <w:marTop w:val="0"/>
              <w:marBottom w:val="0"/>
              <w:divBdr>
                <w:top w:val="none" w:sz="0" w:space="0" w:color="auto"/>
                <w:left w:val="none" w:sz="0" w:space="0" w:color="auto"/>
                <w:bottom w:val="none" w:sz="0" w:space="0" w:color="auto"/>
                <w:right w:val="none" w:sz="0" w:space="0" w:color="auto"/>
              </w:divBdr>
              <w:divsChild>
                <w:div w:id="1047800560">
                  <w:marLeft w:val="0"/>
                  <w:marRight w:val="0"/>
                  <w:marTop w:val="0"/>
                  <w:marBottom w:val="0"/>
                  <w:divBdr>
                    <w:top w:val="none" w:sz="0" w:space="0" w:color="auto"/>
                    <w:left w:val="none" w:sz="0" w:space="0" w:color="auto"/>
                    <w:bottom w:val="none" w:sz="0" w:space="0" w:color="auto"/>
                    <w:right w:val="none" w:sz="0" w:space="0" w:color="auto"/>
                  </w:divBdr>
                  <w:divsChild>
                    <w:div w:id="1565137556">
                      <w:marLeft w:val="0"/>
                      <w:marRight w:val="0"/>
                      <w:marTop w:val="0"/>
                      <w:marBottom w:val="0"/>
                      <w:divBdr>
                        <w:top w:val="none" w:sz="0" w:space="0" w:color="auto"/>
                        <w:left w:val="none" w:sz="0" w:space="0" w:color="auto"/>
                        <w:bottom w:val="none" w:sz="0" w:space="0" w:color="auto"/>
                        <w:right w:val="none" w:sz="0" w:space="0" w:color="auto"/>
                      </w:divBdr>
                      <w:divsChild>
                        <w:div w:id="1627003641">
                          <w:marLeft w:val="0"/>
                          <w:marRight w:val="0"/>
                          <w:marTop w:val="0"/>
                          <w:marBottom w:val="0"/>
                          <w:divBdr>
                            <w:top w:val="none" w:sz="0" w:space="0" w:color="auto"/>
                            <w:left w:val="none" w:sz="0" w:space="0" w:color="auto"/>
                            <w:bottom w:val="none" w:sz="0" w:space="0" w:color="auto"/>
                            <w:right w:val="none" w:sz="0" w:space="0" w:color="auto"/>
                          </w:divBdr>
                          <w:divsChild>
                            <w:div w:id="2142459949">
                              <w:marLeft w:val="0"/>
                              <w:marRight w:val="0"/>
                              <w:marTop w:val="0"/>
                              <w:marBottom w:val="0"/>
                              <w:divBdr>
                                <w:top w:val="none" w:sz="0" w:space="0" w:color="auto"/>
                                <w:left w:val="none" w:sz="0" w:space="0" w:color="auto"/>
                                <w:bottom w:val="none" w:sz="0" w:space="0" w:color="auto"/>
                                <w:right w:val="none" w:sz="0" w:space="0" w:color="auto"/>
                              </w:divBdr>
                              <w:divsChild>
                                <w:div w:id="616253965">
                                  <w:marLeft w:val="0"/>
                                  <w:marRight w:val="0"/>
                                  <w:marTop w:val="0"/>
                                  <w:marBottom w:val="0"/>
                                  <w:divBdr>
                                    <w:top w:val="none" w:sz="0" w:space="0" w:color="auto"/>
                                    <w:left w:val="none" w:sz="0" w:space="0" w:color="auto"/>
                                    <w:bottom w:val="none" w:sz="0" w:space="0" w:color="auto"/>
                                    <w:right w:val="none" w:sz="0" w:space="0" w:color="auto"/>
                                  </w:divBdr>
                                  <w:divsChild>
                                    <w:div w:id="85002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7881461">
      <w:bodyDiv w:val="1"/>
      <w:marLeft w:val="0"/>
      <w:marRight w:val="0"/>
      <w:marTop w:val="0"/>
      <w:marBottom w:val="0"/>
      <w:divBdr>
        <w:top w:val="none" w:sz="0" w:space="0" w:color="auto"/>
        <w:left w:val="none" w:sz="0" w:space="0" w:color="auto"/>
        <w:bottom w:val="none" w:sz="0" w:space="0" w:color="auto"/>
        <w:right w:val="none" w:sz="0" w:space="0" w:color="auto"/>
      </w:divBdr>
      <w:divsChild>
        <w:div w:id="801508192">
          <w:marLeft w:val="0"/>
          <w:marRight w:val="0"/>
          <w:marTop w:val="0"/>
          <w:marBottom w:val="0"/>
          <w:divBdr>
            <w:top w:val="none" w:sz="0" w:space="0" w:color="auto"/>
            <w:left w:val="none" w:sz="0" w:space="0" w:color="auto"/>
            <w:bottom w:val="none" w:sz="0" w:space="0" w:color="auto"/>
            <w:right w:val="none" w:sz="0" w:space="0" w:color="auto"/>
          </w:divBdr>
        </w:div>
      </w:divsChild>
    </w:div>
    <w:div w:id="1658143823">
      <w:bodyDiv w:val="1"/>
      <w:marLeft w:val="0"/>
      <w:marRight w:val="0"/>
      <w:marTop w:val="0"/>
      <w:marBottom w:val="0"/>
      <w:divBdr>
        <w:top w:val="none" w:sz="0" w:space="0" w:color="auto"/>
        <w:left w:val="none" w:sz="0" w:space="0" w:color="auto"/>
        <w:bottom w:val="none" w:sz="0" w:space="0" w:color="auto"/>
        <w:right w:val="none" w:sz="0" w:space="0" w:color="auto"/>
      </w:divBdr>
      <w:divsChild>
        <w:div w:id="1238438577">
          <w:marLeft w:val="0"/>
          <w:marRight w:val="0"/>
          <w:marTop w:val="0"/>
          <w:marBottom w:val="0"/>
          <w:divBdr>
            <w:top w:val="none" w:sz="0" w:space="0" w:color="auto"/>
            <w:left w:val="none" w:sz="0" w:space="0" w:color="auto"/>
            <w:bottom w:val="none" w:sz="0" w:space="0" w:color="auto"/>
            <w:right w:val="none" w:sz="0" w:space="0" w:color="auto"/>
          </w:divBdr>
          <w:divsChild>
            <w:div w:id="685640843">
              <w:marLeft w:val="0"/>
              <w:marRight w:val="0"/>
              <w:marTop w:val="0"/>
              <w:marBottom w:val="0"/>
              <w:divBdr>
                <w:top w:val="none" w:sz="0" w:space="0" w:color="auto"/>
                <w:left w:val="none" w:sz="0" w:space="0" w:color="auto"/>
                <w:bottom w:val="none" w:sz="0" w:space="0" w:color="auto"/>
                <w:right w:val="none" w:sz="0" w:space="0" w:color="auto"/>
              </w:divBdr>
              <w:divsChild>
                <w:div w:id="16050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12497">
          <w:marLeft w:val="0"/>
          <w:marRight w:val="0"/>
          <w:marTop w:val="0"/>
          <w:marBottom w:val="75"/>
          <w:divBdr>
            <w:top w:val="none" w:sz="0" w:space="0" w:color="auto"/>
            <w:left w:val="none" w:sz="0" w:space="0" w:color="auto"/>
            <w:bottom w:val="none" w:sz="0" w:space="0" w:color="auto"/>
            <w:right w:val="none" w:sz="0" w:space="0" w:color="auto"/>
          </w:divBdr>
        </w:div>
        <w:div w:id="865874997">
          <w:marLeft w:val="0"/>
          <w:marRight w:val="0"/>
          <w:marTop w:val="0"/>
          <w:marBottom w:val="0"/>
          <w:divBdr>
            <w:top w:val="none" w:sz="0" w:space="0" w:color="auto"/>
            <w:left w:val="none" w:sz="0" w:space="0" w:color="auto"/>
            <w:bottom w:val="none" w:sz="0" w:space="0" w:color="auto"/>
            <w:right w:val="none" w:sz="0" w:space="0" w:color="auto"/>
          </w:divBdr>
          <w:divsChild>
            <w:div w:id="1962877562">
              <w:marLeft w:val="0"/>
              <w:marRight w:val="0"/>
              <w:marTop w:val="0"/>
              <w:marBottom w:val="0"/>
              <w:divBdr>
                <w:top w:val="none" w:sz="0" w:space="0" w:color="auto"/>
                <w:left w:val="none" w:sz="0" w:space="0" w:color="auto"/>
                <w:bottom w:val="none" w:sz="0" w:space="0" w:color="auto"/>
                <w:right w:val="none" w:sz="0" w:space="0" w:color="auto"/>
              </w:divBdr>
              <w:divsChild>
                <w:div w:id="1028794944">
                  <w:marLeft w:val="0"/>
                  <w:marRight w:val="0"/>
                  <w:marTop w:val="0"/>
                  <w:marBottom w:val="450"/>
                  <w:divBdr>
                    <w:top w:val="none" w:sz="0" w:space="0" w:color="auto"/>
                    <w:left w:val="none" w:sz="0" w:space="0" w:color="auto"/>
                    <w:bottom w:val="none" w:sz="0" w:space="0" w:color="auto"/>
                    <w:right w:val="none" w:sz="0" w:space="0" w:color="auto"/>
                  </w:divBdr>
                  <w:divsChild>
                    <w:div w:id="11814280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658220636">
      <w:bodyDiv w:val="1"/>
      <w:marLeft w:val="0"/>
      <w:marRight w:val="0"/>
      <w:marTop w:val="0"/>
      <w:marBottom w:val="0"/>
      <w:divBdr>
        <w:top w:val="none" w:sz="0" w:space="0" w:color="auto"/>
        <w:left w:val="none" w:sz="0" w:space="0" w:color="auto"/>
        <w:bottom w:val="none" w:sz="0" w:space="0" w:color="auto"/>
        <w:right w:val="none" w:sz="0" w:space="0" w:color="auto"/>
      </w:divBdr>
    </w:div>
    <w:div w:id="1658263108">
      <w:bodyDiv w:val="1"/>
      <w:marLeft w:val="0"/>
      <w:marRight w:val="0"/>
      <w:marTop w:val="0"/>
      <w:marBottom w:val="0"/>
      <w:divBdr>
        <w:top w:val="none" w:sz="0" w:space="0" w:color="auto"/>
        <w:left w:val="none" w:sz="0" w:space="0" w:color="auto"/>
        <w:bottom w:val="none" w:sz="0" w:space="0" w:color="auto"/>
        <w:right w:val="none" w:sz="0" w:space="0" w:color="auto"/>
      </w:divBdr>
      <w:divsChild>
        <w:div w:id="1112435635">
          <w:marLeft w:val="0"/>
          <w:marRight w:val="0"/>
          <w:marTop w:val="0"/>
          <w:marBottom w:val="150"/>
          <w:divBdr>
            <w:top w:val="none" w:sz="0" w:space="0" w:color="auto"/>
            <w:left w:val="none" w:sz="0" w:space="0" w:color="auto"/>
            <w:bottom w:val="none" w:sz="0" w:space="0" w:color="auto"/>
            <w:right w:val="none" w:sz="0" w:space="0" w:color="auto"/>
          </w:divBdr>
        </w:div>
      </w:divsChild>
    </w:div>
    <w:div w:id="1658723105">
      <w:bodyDiv w:val="1"/>
      <w:marLeft w:val="0"/>
      <w:marRight w:val="0"/>
      <w:marTop w:val="0"/>
      <w:marBottom w:val="0"/>
      <w:divBdr>
        <w:top w:val="none" w:sz="0" w:space="0" w:color="auto"/>
        <w:left w:val="none" w:sz="0" w:space="0" w:color="auto"/>
        <w:bottom w:val="none" w:sz="0" w:space="0" w:color="auto"/>
        <w:right w:val="none" w:sz="0" w:space="0" w:color="auto"/>
      </w:divBdr>
      <w:divsChild>
        <w:div w:id="1653173395">
          <w:marLeft w:val="0"/>
          <w:marRight w:val="0"/>
          <w:marTop w:val="0"/>
          <w:marBottom w:val="0"/>
          <w:divBdr>
            <w:top w:val="none" w:sz="0" w:space="0" w:color="auto"/>
            <w:left w:val="none" w:sz="0" w:space="0" w:color="auto"/>
            <w:bottom w:val="dotted" w:sz="6" w:space="4" w:color="DDDDDD"/>
            <w:right w:val="none" w:sz="0" w:space="0" w:color="auto"/>
          </w:divBdr>
        </w:div>
      </w:divsChild>
    </w:div>
    <w:div w:id="1658724643">
      <w:bodyDiv w:val="1"/>
      <w:marLeft w:val="0"/>
      <w:marRight w:val="0"/>
      <w:marTop w:val="0"/>
      <w:marBottom w:val="0"/>
      <w:divBdr>
        <w:top w:val="none" w:sz="0" w:space="0" w:color="auto"/>
        <w:left w:val="none" w:sz="0" w:space="0" w:color="auto"/>
        <w:bottom w:val="none" w:sz="0" w:space="0" w:color="auto"/>
        <w:right w:val="none" w:sz="0" w:space="0" w:color="auto"/>
      </w:divBdr>
      <w:divsChild>
        <w:div w:id="1191064162">
          <w:marLeft w:val="0"/>
          <w:marRight w:val="0"/>
          <w:marTop w:val="0"/>
          <w:marBottom w:val="0"/>
          <w:divBdr>
            <w:top w:val="none" w:sz="0" w:space="0" w:color="auto"/>
            <w:left w:val="none" w:sz="0" w:space="0" w:color="auto"/>
            <w:bottom w:val="dotted" w:sz="6" w:space="4" w:color="DDDDDD"/>
            <w:right w:val="none" w:sz="0" w:space="0" w:color="auto"/>
          </w:divBdr>
        </w:div>
      </w:divsChild>
    </w:div>
    <w:div w:id="1658996350">
      <w:bodyDiv w:val="1"/>
      <w:marLeft w:val="0"/>
      <w:marRight w:val="0"/>
      <w:marTop w:val="0"/>
      <w:marBottom w:val="0"/>
      <w:divBdr>
        <w:top w:val="none" w:sz="0" w:space="0" w:color="auto"/>
        <w:left w:val="none" w:sz="0" w:space="0" w:color="auto"/>
        <w:bottom w:val="none" w:sz="0" w:space="0" w:color="auto"/>
        <w:right w:val="none" w:sz="0" w:space="0" w:color="auto"/>
      </w:divBdr>
      <w:divsChild>
        <w:div w:id="543491729">
          <w:marLeft w:val="0"/>
          <w:marRight w:val="0"/>
          <w:marTop w:val="0"/>
          <w:marBottom w:val="0"/>
          <w:divBdr>
            <w:top w:val="none" w:sz="0" w:space="0" w:color="auto"/>
            <w:left w:val="none" w:sz="0" w:space="0" w:color="auto"/>
            <w:bottom w:val="none" w:sz="0" w:space="0" w:color="auto"/>
            <w:right w:val="none" w:sz="0" w:space="0" w:color="auto"/>
          </w:divBdr>
        </w:div>
        <w:div w:id="1928727116">
          <w:marLeft w:val="0"/>
          <w:marRight w:val="0"/>
          <w:marTop w:val="0"/>
          <w:marBottom w:val="150"/>
          <w:divBdr>
            <w:top w:val="none" w:sz="0" w:space="0" w:color="auto"/>
            <w:left w:val="none" w:sz="0" w:space="0" w:color="auto"/>
            <w:bottom w:val="none" w:sz="0" w:space="0" w:color="auto"/>
            <w:right w:val="none" w:sz="0" w:space="0" w:color="auto"/>
          </w:divBdr>
          <w:divsChild>
            <w:div w:id="1934045123">
              <w:marLeft w:val="0"/>
              <w:marRight w:val="0"/>
              <w:marTop w:val="0"/>
              <w:marBottom w:val="0"/>
              <w:divBdr>
                <w:top w:val="none" w:sz="0" w:space="0" w:color="auto"/>
                <w:left w:val="none" w:sz="0" w:space="0" w:color="auto"/>
                <w:bottom w:val="none" w:sz="0" w:space="0" w:color="auto"/>
                <w:right w:val="none" w:sz="0" w:space="0" w:color="auto"/>
              </w:divBdr>
              <w:divsChild>
                <w:div w:id="2113427468">
                  <w:marLeft w:val="0"/>
                  <w:marRight w:val="0"/>
                  <w:marTop w:val="0"/>
                  <w:marBottom w:val="0"/>
                  <w:divBdr>
                    <w:top w:val="none" w:sz="0" w:space="0" w:color="auto"/>
                    <w:left w:val="none" w:sz="0" w:space="0" w:color="auto"/>
                    <w:bottom w:val="none" w:sz="0" w:space="0" w:color="auto"/>
                    <w:right w:val="none" w:sz="0" w:space="0" w:color="auto"/>
                  </w:divBdr>
                  <w:divsChild>
                    <w:div w:id="69527531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59579553">
      <w:bodyDiv w:val="1"/>
      <w:marLeft w:val="0"/>
      <w:marRight w:val="0"/>
      <w:marTop w:val="0"/>
      <w:marBottom w:val="0"/>
      <w:divBdr>
        <w:top w:val="none" w:sz="0" w:space="0" w:color="auto"/>
        <w:left w:val="none" w:sz="0" w:space="0" w:color="auto"/>
        <w:bottom w:val="none" w:sz="0" w:space="0" w:color="auto"/>
        <w:right w:val="none" w:sz="0" w:space="0" w:color="auto"/>
      </w:divBdr>
      <w:divsChild>
        <w:div w:id="1822966674">
          <w:marLeft w:val="0"/>
          <w:marRight w:val="0"/>
          <w:marTop w:val="0"/>
          <w:marBottom w:val="150"/>
          <w:divBdr>
            <w:top w:val="none" w:sz="0" w:space="0" w:color="auto"/>
            <w:left w:val="none" w:sz="0" w:space="0" w:color="auto"/>
            <w:bottom w:val="none" w:sz="0" w:space="0" w:color="auto"/>
            <w:right w:val="none" w:sz="0" w:space="0" w:color="auto"/>
          </w:divBdr>
        </w:div>
      </w:divsChild>
    </w:div>
    <w:div w:id="1659841887">
      <w:bodyDiv w:val="1"/>
      <w:marLeft w:val="0"/>
      <w:marRight w:val="0"/>
      <w:marTop w:val="0"/>
      <w:marBottom w:val="0"/>
      <w:divBdr>
        <w:top w:val="none" w:sz="0" w:space="0" w:color="auto"/>
        <w:left w:val="none" w:sz="0" w:space="0" w:color="auto"/>
        <w:bottom w:val="none" w:sz="0" w:space="0" w:color="auto"/>
        <w:right w:val="none" w:sz="0" w:space="0" w:color="auto"/>
      </w:divBdr>
    </w:div>
    <w:div w:id="1659845664">
      <w:bodyDiv w:val="1"/>
      <w:marLeft w:val="0"/>
      <w:marRight w:val="0"/>
      <w:marTop w:val="0"/>
      <w:marBottom w:val="0"/>
      <w:divBdr>
        <w:top w:val="none" w:sz="0" w:space="0" w:color="auto"/>
        <w:left w:val="none" w:sz="0" w:space="0" w:color="auto"/>
        <w:bottom w:val="none" w:sz="0" w:space="0" w:color="auto"/>
        <w:right w:val="none" w:sz="0" w:space="0" w:color="auto"/>
      </w:divBdr>
      <w:divsChild>
        <w:div w:id="138109798">
          <w:marLeft w:val="0"/>
          <w:marRight w:val="0"/>
          <w:marTop w:val="0"/>
          <w:marBottom w:val="0"/>
          <w:divBdr>
            <w:top w:val="none" w:sz="0" w:space="0" w:color="auto"/>
            <w:left w:val="none" w:sz="0" w:space="0" w:color="auto"/>
            <w:bottom w:val="none" w:sz="0" w:space="0" w:color="auto"/>
            <w:right w:val="none" w:sz="0" w:space="0" w:color="auto"/>
          </w:divBdr>
          <w:divsChild>
            <w:div w:id="1960063350">
              <w:marLeft w:val="0"/>
              <w:marRight w:val="0"/>
              <w:marTop w:val="0"/>
              <w:marBottom w:val="0"/>
              <w:divBdr>
                <w:top w:val="none" w:sz="0" w:space="0" w:color="auto"/>
                <w:left w:val="none" w:sz="0" w:space="0" w:color="auto"/>
                <w:bottom w:val="none" w:sz="0" w:space="0" w:color="auto"/>
                <w:right w:val="none" w:sz="0" w:space="0" w:color="auto"/>
              </w:divBdr>
              <w:divsChild>
                <w:div w:id="489753984">
                  <w:marLeft w:val="0"/>
                  <w:marRight w:val="0"/>
                  <w:marTop w:val="0"/>
                  <w:marBottom w:val="120"/>
                  <w:divBdr>
                    <w:top w:val="none" w:sz="0" w:space="0" w:color="auto"/>
                    <w:left w:val="none" w:sz="0" w:space="0" w:color="auto"/>
                    <w:bottom w:val="none" w:sz="0" w:space="0" w:color="auto"/>
                    <w:right w:val="none" w:sz="0" w:space="0" w:color="auto"/>
                  </w:divBdr>
                  <w:divsChild>
                    <w:div w:id="420180894">
                      <w:marLeft w:val="150"/>
                      <w:marRight w:val="0"/>
                      <w:marTop w:val="0"/>
                      <w:marBottom w:val="0"/>
                      <w:divBdr>
                        <w:top w:val="none" w:sz="0" w:space="0" w:color="auto"/>
                        <w:left w:val="none" w:sz="0" w:space="0" w:color="auto"/>
                        <w:bottom w:val="none" w:sz="0" w:space="0" w:color="auto"/>
                        <w:right w:val="none" w:sz="0" w:space="0" w:color="auto"/>
                      </w:divBdr>
                      <w:divsChild>
                        <w:div w:id="1043285648">
                          <w:marLeft w:val="0"/>
                          <w:marRight w:val="0"/>
                          <w:marTop w:val="0"/>
                          <w:marBottom w:val="0"/>
                          <w:divBdr>
                            <w:top w:val="none" w:sz="0" w:space="0" w:color="auto"/>
                            <w:left w:val="none" w:sz="0" w:space="0" w:color="auto"/>
                            <w:bottom w:val="none" w:sz="0" w:space="0" w:color="auto"/>
                            <w:right w:val="none" w:sz="0" w:space="0" w:color="auto"/>
                          </w:divBdr>
                          <w:divsChild>
                            <w:div w:id="986282127">
                              <w:marLeft w:val="0"/>
                              <w:marRight w:val="0"/>
                              <w:marTop w:val="0"/>
                              <w:marBottom w:val="0"/>
                              <w:divBdr>
                                <w:top w:val="none" w:sz="0" w:space="0" w:color="auto"/>
                                <w:left w:val="none" w:sz="0" w:space="0" w:color="auto"/>
                                <w:bottom w:val="none" w:sz="0" w:space="0" w:color="auto"/>
                                <w:right w:val="none" w:sz="0" w:space="0" w:color="auto"/>
                              </w:divBdr>
                              <w:divsChild>
                                <w:div w:id="626861053">
                                  <w:marLeft w:val="0"/>
                                  <w:marRight w:val="0"/>
                                  <w:marTop w:val="0"/>
                                  <w:marBottom w:val="0"/>
                                  <w:divBdr>
                                    <w:top w:val="none" w:sz="0" w:space="0" w:color="auto"/>
                                    <w:left w:val="none" w:sz="0" w:space="0" w:color="auto"/>
                                    <w:bottom w:val="none" w:sz="0" w:space="0" w:color="auto"/>
                                    <w:right w:val="none" w:sz="0" w:space="0" w:color="auto"/>
                                  </w:divBdr>
                                  <w:divsChild>
                                    <w:div w:id="1420717381">
                                      <w:marLeft w:val="0"/>
                                      <w:marRight w:val="0"/>
                                      <w:marTop w:val="0"/>
                                      <w:marBottom w:val="360"/>
                                      <w:divBdr>
                                        <w:top w:val="none" w:sz="0" w:space="0" w:color="auto"/>
                                        <w:left w:val="none" w:sz="0" w:space="0" w:color="auto"/>
                                        <w:bottom w:val="none" w:sz="0" w:space="0" w:color="auto"/>
                                        <w:right w:val="none" w:sz="0" w:space="0" w:color="auto"/>
                                      </w:divBdr>
                                      <w:divsChild>
                                        <w:div w:id="211385011">
                                          <w:marLeft w:val="0"/>
                                          <w:marRight w:val="0"/>
                                          <w:marTop w:val="0"/>
                                          <w:marBottom w:val="0"/>
                                          <w:divBdr>
                                            <w:top w:val="none" w:sz="0" w:space="0" w:color="auto"/>
                                            <w:left w:val="none" w:sz="0" w:space="0" w:color="auto"/>
                                            <w:bottom w:val="none" w:sz="0" w:space="0" w:color="auto"/>
                                            <w:right w:val="none" w:sz="0" w:space="0" w:color="auto"/>
                                          </w:divBdr>
                                          <w:divsChild>
                                            <w:div w:id="669213910">
                                              <w:marLeft w:val="0"/>
                                              <w:marRight w:val="0"/>
                                              <w:marTop w:val="0"/>
                                              <w:marBottom w:val="0"/>
                                              <w:divBdr>
                                                <w:top w:val="none" w:sz="0" w:space="0" w:color="auto"/>
                                                <w:left w:val="none" w:sz="0" w:space="0" w:color="auto"/>
                                                <w:bottom w:val="none" w:sz="0" w:space="0" w:color="auto"/>
                                                <w:right w:val="none" w:sz="0" w:space="0" w:color="auto"/>
                                              </w:divBdr>
                                              <w:divsChild>
                                                <w:div w:id="203835028">
                                                  <w:marLeft w:val="0"/>
                                                  <w:marRight w:val="0"/>
                                                  <w:marTop w:val="0"/>
                                                  <w:marBottom w:val="0"/>
                                                  <w:divBdr>
                                                    <w:top w:val="none" w:sz="0" w:space="0" w:color="auto"/>
                                                    <w:left w:val="none" w:sz="0" w:space="0" w:color="auto"/>
                                                    <w:bottom w:val="none" w:sz="0" w:space="0" w:color="auto"/>
                                                    <w:right w:val="none" w:sz="0" w:space="0" w:color="auto"/>
                                                  </w:divBdr>
                                                  <w:divsChild>
                                                    <w:div w:id="568341591">
                                                      <w:marLeft w:val="0"/>
                                                      <w:marRight w:val="0"/>
                                                      <w:marTop w:val="0"/>
                                                      <w:marBottom w:val="0"/>
                                                      <w:divBdr>
                                                        <w:top w:val="none" w:sz="0" w:space="0" w:color="auto"/>
                                                        <w:left w:val="none" w:sz="0" w:space="0" w:color="auto"/>
                                                        <w:bottom w:val="none" w:sz="0" w:space="0" w:color="auto"/>
                                                        <w:right w:val="none" w:sz="0" w:space="0" w:color="auto"/>
                                                      </w:divBdr>
                                                      <w:divsChild>
                                                        <w:div w:id="134495211">
                                                          <w:marLeft w:val="0"/>
                                                          <w:marRight w:val="0"/>
                                                          <w:marTop w:val="0"/>
                                                          <w:marBottom w:val="0"/>
                                                          <w:divBdr>
                                                            <w:top w:val="none" w:sz="0" w:space="0" w:color="auto"/>
                                                            <w:left w:val="none" w:sz="0" w:space="0" w:color="auto"/>
                                                            <w:bottom w:val="none" w:sz="0" w:space="0" w:color="auto"/>
                                                            <w:right w:val="none" w:sz="0" w:space="0" w:color="auto"/>
                                                          </w:divBdr>
                                                        </w:div>
                                                        <w:div w:id="461775191">
                                                          <w:marLeft w:val="0"/>
                                                          <w:marRight w:val="0"/>
                                                          <w:marTop w:val="0"/>
                                                          <w:marBottom w:val="0"/>
                                                          <w:divBdr>
                                                            <w:top w:val="none" w:sz="0" w:space="0" w:color="auto"/>
                                                            <w:left w:val="none" w:sz="0" w:space="0" w:color="auto"/>
                                                            <w:bottom w:val="none" w:sz="0" w:space="0" w:color="auto"/>
                                                            <w:right w:val="none" w:sz="0" w:space="0" w:color="auto"/>
                                                          </w:divBdr>
                                                        </w:div>
                                                        <w:div w:id="1095709730">
                                                          <w:marLeft w:val="0"/>
                                                          <w:marRight w:val="0"/>
                                                          <w:marTop w:val="0"/>
                                                          <w:marBottom w:val="0"/>
                                                          <w:divBdr>
                                                            <w:top w:val="none" w:sz="0" w:space="0" w:color="auto"/>
                                                            <w:left w:val="none" w:sz="0" w:space="0" w:color="auto"/>
                                                            <w:bottom w:val="none" w:sz="0" w:space="0" w:color="auto"/>
                                                            <w:right w:val="none" w:sz="0" w:space="0" w:color="auto"/>
                                                          </w:divBdr>
                                                        </w:div>
                                                        <w:div w:id="1133063220">
                                                          <w:marLeft w:val="0"/>
                                                          <w:marRight w:val="0"/>
                                                          <w:marTop w:val="0"/>
                                                          <w:marBottom w:val="0"/>
                                                          <w:divBdr>
                                                            <w:top w:val="none" w:sz="0" w:space="0" w:color="auto"/>
                                                            <w:left w:val="none" w:sz="0" w:space="0" w:color="auto"/>
                                                            <w:bottom w:val="none" w:sz="0" w:space="0" w:color="auto"/>
                                                            <w:right w:val="none" w:sz="0" w:space="0" w:color="auto"/>
                                                          </w:divBdr>
                                                        </w:div>
                                                        <w:div w:id="1294167073">
                                                          <w:marLeft w:val="0"/>
                                                          <w:marRight w:val="0"/>
                                                          <w:marTop w:val="0"/>
                                                          <w:marBottom w:val="0"/>
                                                          <w:divBdr>
                                                            <w:top w:val="none" w:sz="0" w:space="0" w:color="auto"/>
                                                            <w:left w:val="none" w:sz="0" w:space="0" w:color="auto"/>
                                                            <w:bottom w:val="none" w:sz="0" w:space="0" w:color="auto"/>
                                                            <w:right w:val="none" w:sz="0" w:space="0" w:color="auto"/>
                                                          </w:divBdr>
                                                        </w:div>
                                                        <w:div w:id="1484931197">
                                                          <w:marLeft w:val="0"/>
                                                          <w:marRight w:val="0"/>
                                                          <w:marTop w:val="0"/>
                                                          <w:marBottom w:val="0"/>
                                                          <w:divBdr>
                                                            <w:top w:val="none" w:sz="0" w:space="0" w:color="auto"/>
                                                            <w:left w:val="none" w:sz="0" w:space="0" w:color="auto"/>
                                                            <w:bottom w:val="none" w:sz="0" w:space="0" w:color="auto"/>
                                                            <w:right w:val="none" w:sz="0" w:space="0" w:color="auto"/>
                                                          </w:divBdr>
                                                        </w:div>
                                                        <w:div w:id="17065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60113164">
      <w:bodyDiv w:val="1"/>
      <w:marLeft w:val="0"/>
      <w:marRight w:val="0"/>
      <w:marTop w:val="0"/>
      <w:marBottom w:val="0"/>
      <w:divBdr>
        <w:top w:val="none" w:sz="0" w:space="0" w:color="auto"/>
        <w:left w:val="none" w:sz="0" w:space="0" w:color="auto"/>
        <w:bottom w:val="none" w:sz="0" w:space="0" w:color="auto"/>
        <w:right w:val="none" w:sz="0" w:space="0" w:color="auto"/>
      </w:divBdr>
    </w:div>
    <w:div w:id="1661157171">
      <w:bodyDiv w:val="1"/>
      <w:marLeft w:val="0"/>
      <w:marRight w:val="0"/>
      <w:marTop w:val="0"/>
      <w:marBottom w:val="0"/>
      <w:divBdr>
        <w:top w:val="none" w:sz="0" w:space="0" w:color="auto"/>
        <w:left w:val="none" w:sz="0" w:space="0" w:color="auto"/>
        <w:bottom w:val="none" w:sz="0" w:space="0" w:color="auto"/>
        <w:right w:val="none" w:sz="0" w:space="0" w:color="auto"/>
      </w:divBdr>
      <w:divsChild>
        <w:div w:id="68966970">
          <w:marLeft w:val="0"/>
          <w:marRight w:val="0"/>
          <w:marTop w:val="0"/>
          <w:marBottom w:val="150"/>
          <w:divBdr>
            <w:top w:val="none" w:sz="0" w:space="0" w:color="auto"/>
            <w:left w:val="none" w:sz="0" w:space="0" w:color="auto"/>
            <w:bottom w:val="none" w:sz="0" w:space="0" w:color="auto"/>
            <w:right w:val="none" w:sz="0" w:space="0" w:color="auto"/>
          </w:divBdr>
          <w:divsChild>
            <w:div w:id="2041977941">
              <w:marLeft w:val="0"/>
              <w:marRight w:val="0"/>
              <w:marTop w:val="0"/>
              <w:marBottom w:val="0"/>
              <w:divBdr>
                <w:top w:val="none" w:sz="0" w:space="0" w:color="auto"/>
                <w:left w:val="none" w:sz="0" w:space="0" w:color="auto"/>
                <w:bottom w:val="none" w:sz="0" w:space="0" w:color="auto"/>
                <w:right w:val="none" w:sz="0" w:space="0" w:color="auto"/>
              </w:divBdr>
              <w:divsChild>
                <w:div w:id="131275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725417">
          <w:marLeft w:val="0"/>
          <w:marRight w:val="0"/>
          <w:marTop w:val="0"/>
          <w:marBottom w:val="0"/>
          <w:divBdr>
            <w:top w:val="none" w:sz="0" w:space="0" w:color="auto"/>
            <w:left w:val="none" w:sz="0" w:space="0" w:color="auto"/>
            <w:bottom w:val="none" w:sz="0" w:space="0" w:color="auto"/>
            <w:right w:val="none" w:sz="0" w:space="0" w:color="auto"/>
          </w:divBdr>
          <w:divsChild>
            <w:div w:id="302539040">
              <w:marLeft w:val="0"/>
              <w:marRight w:val="0"/>
              <w:marTop w:val="0"/>
              <w:marBottom w:val="0"/>
              <w:divBdr>
                <w:top w:val="none" w:sz="0" w:space="0" w:color="auto"/>
                <w:left w:val="none" w:sz="0" w:space="0" w:color="auto"/>
                <w:bottom w:val="none" w:sz="0" w:space="0" w:color="auto"/>
                <w:right w:val="none" w:sz="0" w:space="0" w:color="auto"/>
              </w:divBdr>
              <w:divsChild>
                <w:div w:id="1614676088">
                  <w:marLeft w:val="0"/>
                  <w:marRight w:val="0"/>
                  <w:marTop w:val="225"/>
                  <w:marBottom w:val="225"/>
                  <w:divBdr>
                    <w:top w:val="none" w:sz="0" w:space="0" w:color="auto"/>
                    <w:left w:val="none" w:sz="0" w:space="0" w:color="auto"/>
                    <w:bottom w:val="none" w:sz="0" w:space="0" w:color="auto"/>
                    <w:right w:val="none" w:sz="0" w:space="0" w:color="auto"/>
                  </w:divBdr>
                </w:div>
              </w:divsChild>
            </w:div>
            <w:div w:id="3495286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61233524">
      <w:bodyDiv w:val="1"/>
      <w:marLeft w:val="0"/>
      <w:marRight w:val="0"/>
      <w:marTop w:val="0"/>
      <w:marBottom w:val="0"/>
      <w:divBdr>
        <w:top w:val="none" w:sz="0" w:space="0" w:color="auto"/>
        <w:left w:val="none" w:sz="0" w:space="0" w:color="auto"/>
        <w:bottom w:val="none" w:sz="0" w:space="0" w:color="auto"/>
        <w:right w:val="none" w:sz="0" w:space="0" w:color="auto"/>
      </w:divBdr>
      <w:divsChild>
        <w:div w:id="332492870">
          <w:marLeft w:val="0"/>
          <w:marRight w:val="0"/>
          <w:marTop w:val="0"/>
          <w:marBottom w:val="0"/>
          <w:divBdr>
            <w:top w:val="none" w:sz="0" w:space="0" w:color="auto"/>
            <w:left w:val="none" w:sz="0" w:space="0" w:color="auto"/>
            <w:bottom w:val="none" w:sz="0" w:space="0" w:color="auto"/>
            <w:right w:val="none" w:sz="0" w:space="0" w:color="auto"/>
          </w:divBdr>
          <w:divsChild>
            <w:div w:id="417792027">
              <w:marLeft w:val="0"/>
              <w:marRight w:val="0"/>
              <w:marTop w:val="0"/>
              <w:marBottom w:val="0"/>
              <w:divBdr>
                <w:top w:val="none" w:sz="0" w:space="0" w:color="auto"/>
                <w:left w:val="none" w:sz="0" w:space="0" w:color="auto"/>
                <w:bottom w:val="none" w:sz="0" w:space="0" w:color="auto"/>
                <w:right w:val="none" w:sz="0" w:space="0" w:color="auto"/>
              </w:divBdr>
              <w:divsChild>
                <w:div w:id="391581070">
                  <w:marLeft w:val="0"/>
                  <w:marRight w:val="0"/>
                  <w:marTop w:val="0"/>
                  <w:marBottom w:val="0"/>
                  <w:divBdr>
                    <w:top w:val="none" w:sz="0" w:space="0" w:color="auto"/>
                    <w:left w:val="none" w:sz="0" w:space="0" w:color="auto"/>
                    <w:bottom w:val="none" w:sz="0" w:space="0" w:color="auto"/>
                    <w:right w:val="none" w:sz="0" w:space="0" w:color="auto"/>
                  </w:divBdr>
                  <w:divsChild>
                    <w:div w:id="615984579">
                      <w:marLeft w:val="0"/>
                      <w:marRight w:val="0"/>
                      <w:marTop w:val="0"/>
                      <w:marBottom w:val="0"/>
                      <w:divBdr>
                        <w:top w:val="none" w:sz="0" w:space="0" w:color="auto"/>
                        <w:left w:val="none" w:sz="0" w:space="0" w:color="auto"/>
                        <w:bottom w:val="none" w:sz="0" w:space="0" w:color="auto"/>
                        <w:right w:val="none" w:sz="0" w:space="0" w:color="auto"/>
                      </w:divBdr>
                      <w:divsChild>
                        <w:div w:id="792868205">
                          <w:marLeft w:val="0"/>
                          <w:marRight w:val="0"/>
                          <w:marTop w:val="0"/>
                          <w:marBottom w:val="0"/>
                          <w:divBdr>
                            <w:top w:val="none" w:sz="0" w:space="0" w:color="auto"/>
                            <w:left w:val="none" w:sz="0" w:space="0" w:color="auto"/>
                            <w:bottom w:val="none" w:sz="0" w:space="0" w:color="auto"/>
                            <w:right w:val="none" w:sz="0" w:space="0" w:color="auto"/>
                          </w:divBdr>
                          <w:divsChild>
                            <w:div w:id="245306053">
                              <w:marLeft w:val="0"/>
                              <w:marRight w:val="0"/>
                              <w:marTop w:val="0"/>
                              <w:marBottom w:val="0"/>
                              <w:divBdr>
                                <w:top w:val="none" w:sz="0" w:space="0" w:color="auto"/>
                                <w:left w:val="none" w:sz="0" w:space="0" w:color="auto"/>
                                <w:bottom w:val="none" w:sz="0" w:space="0" w:color="auto"/>
                                <w:right w:val="none" w:sz="0" w:space="0" w:color="auto"/>
                              </w:divBdr>
                              <w:divsChild>
                                <w:div w:id="1040741691">
                                  <w:marLeft w:val="0"/>
                                  <w:marRight w:val="0"/>
                                  <w:marTop w:val="0"/>
                                  <w:marBottom w:val="0"/>
                                  <w:divBdr>
                                    <w:top w:val="none" w:sz="0" w:space="0" w:color="auto"/>
                                    <w:left w:val="none" w:sz="0" w:space="0" w:color="auto"/>
                                    <w:bottom w:val="none" w:sz="0" w:space="0" w:color="auto"/>
                                    <w:right w:val="none" w:sz="0" w:space="0" w:color="auto"/>
                                  </w:divBdr>
                                  <w:divsChild>
                                    <w:div w:id="164334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496375">
      <w:bodyDiv w:val="1"/>
      <w:marLeft w:val="0"/>
      <w:marRight w:val="0"/>
      <w:marTop w:val="0"/>
      <w:marBottom w:val="0"/>
      <w:divBdr>
        <w:top w:val="none" w:sz="0" w:space="0" w:color="auto"/>
        <w:left w:val="none" w:sz="0" w:space="0" w:color="auto"/>
        <w:bottom w:val="none" w:sz="0" w:space="0" w:color="auto"/>
        <w:right w:val="none" w:sz="0" w:space="0" w:color="auto"/>
      </w:divBdr>
      <w:divsChild>
        <w:div w:id="1822192834">
          <w:marLeft w:val="0"/>
          <w:marRight w:val="0"/>
          <w:marTop w:val="0"/>
          <w:marBottom w:val="0"/>
          <w:divBdr>
            <w:top w:val="none" w:sz="0" w:space="0" w:color="auto"/>
            <w:left w:val="none" w:sz="0" w:space="0" w:color="auto"/>
            <w:bottom w:val="dotted" w:sz="6" w:space="4" w:color="DDDDDD"/>
            <w:right w:val="none" w:sz="0" w:space="0" w:color="auto"/>
          </w:divBdr>
        </w:div>
      </w:divsChild>
    </w:div>
    <w:div w:id="1661956051">
      <w:bodyDiv w:val="1"/>
      <w:marLeft w:val="0"/>
      <w:marRight w:val="0"/>
      <w:marTop w:val="0"/>
      <w:marBottom w:val="0"/>
      <w:divBdr>
        <w:top w:val="none" w:sz="0" w:space="0" w:color="auto"/>
        <w:left w:val="none" w:sz="0" w:space="0" w:color="auto"/>
        <w:bottom w:val="none" w:sz="0" w:space="0" w:color="auto"/>
        <w:right w:val="none" w:sz="0" w:space="0" w:color="auto"/>
      </w:divBdr>
    </w:div>
    <w:div w:id="1662003453">
      <w:bodyDiv w:val="1"/>
      <w:marLeft w:val="0"/>
      <w:marRight w:val="0"/>
      <w:marTop w:val="439"/>
      <w:marBottom w:val="0"/>
      <w:divBdr>
        <w:top w:val="none" w:sz="0" w:space="0" w:color="auto"/>
        <w:left w:val="none" w:sz="0" w:space="0" w:color="auto"/>
        <w:bottom w:val="none" w:sz="0" w:space="0" w:color="auto"/>
        <w:right w:val="none" w:sz="0" w:space="0" w:color="auto"/>
      </w:divBdr>
      <w:divsChild>
        <w:div w:id="1785996266">
          <w:marLeft w:val="0"/>
          <w:marRight w:val="0"/>
          <w:marTop w:val="0"/>
          <w:marBottom w:val="0"/>
          <w:divBdr>
            <w:top w:val="none" w:sz="0" w:space="0" w:color="auto"/>
            <w:left w:val="single" w:sz="6" w:space="0" w:color="ECECEC"/>
            <w:bottom w:val="none" w:sz="0" w:space="0" w:color="auto"/>
            <w:right w:val="single" w:sz="6" w:space="0" w:color="ECECEC"/>
          </w:divBdr>
          <w:divsChild>
            <w:div w:id="701323229">
              <w:marLeft w:val="0"/>
              <w:marRight w:val="0"/>
              <w:marTop w:val="0"/>
              <w:marBottom w:val="0"/>
              <w:divBdr>
                <w:top w:val="none" w:sz="0" w:space="0" w:color="auto"/>
                <w:left w:val="none" w:sz="0" w:space="0" w:color="auto"/>
                <w:bottom w:val="none" w:sz="0" w:space="0" w:color="auto"/>
                <w:right w:val="none" w:sz="0" w:space="0" w:color="auto"/>
              </w:divBdr>
              <w:divsChild>
                <w:div w:id="1287616071">
                  <w:marLeft w:val="0"/>
                  <w:marRight w:val="0"/>
                  <w:marTop w:val="0"/>
                  <w:marBottom w:val="0"/>
                  <w:divBdr>
                    <w:top w:val="none" w:sz="0" w:space="0" w:color="auto"/>
                    <w:left w:val="none" w:sz="0" w:space="0" w:color="auto"/>
                    <w:bottom w:val="none" w:sz="0" w:space="0" w:color="auto"/>
                    <w:right w:val="none" w:sz="0" w:space="0" w:color="auto"/>
                  </w:divBdr>
                  <w:divsChild>
                    <w:div w:id="1307854451">
                      <w:marLeft w:val="0"/>
                      <w:marRight w:val="0"/>
                      <w:marTop w:val="0"/>
                      <w:marBottom w:val="0"/>
                      <w:divBdr>
                        <w:top w:val="none" w:sz="0" w:space="0" w:color="auto"/>
                        <w:left w:val="none" w:sz="0" w:space="0" w:color="auto"/>
                        <w:bottom w:val="none" w:sz="0" w:space="0" w:color="auto"/>
                        <w:right w:val="none" w:sz="0" w:space="0" w:color="auto"/>
                      </w:divBdr>
                      <w:divsChild>
                        <w:div w:id="652297513">
                          <w:marLeft w:val="0"/>
                          <w:marRight w:val="0"/>
                          <w:marTop w:val="0"/>
                          <w:marBottom w:val="0"/>
                          <w:divBdr>
                            <w:top w:val="none" w:sz="0" w:space="0" w:color="auto"/>
                            <w:left w:val="none" w:sz="0" w:space="0" w:color="auto"/>
                            <w:bottom w:val="none" w:sz="0" w:space="0" w:color="auto"/>
                            <w:right w:val="none" w:sz="0" w:space="0" w:color="auto"/>
                          </w:divBdr>
                          <w:divsChild>
                            <w:div w:id="470752486">
                              <w:marLeft w:val="0"/>
                              <w:marRight w:val="0"/>
                              <w:marTop w:val="0"/>
                              <w:marBottom w:val="0"/>
                              <w:divBdr>
                                <w:top w:val="none" w:sz="0" w:space="0" w:color="auto"/>
                                <w:left w:val="none" w:sz="0" w:space="0" w:color="auto"/>
                                <w:bottom w:val="none" w:sz="0" w:space="0" w:color="auto"/>
                                <w:right w:val="none" w:sz="0" w:space="0" w:color="auto"/>
                              </w:divBdr>
                              <w:divsChild>
                                <w:div w:id="130215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074667">
      <w:bodyDiv w:val="1"/>
      <w:marLeft w:val="0"/>
      <w:marRight w:val="0"/>
      <w:marTop w:val="0"/>
      <w:marBottom w:val="0"/>
      <w:divBdr>
        <w:top w:val="none" w:sz="0" w:space="0" w:color="auto"/>
        <w:left w:val="none" w:sz="0" w:space="0" w:color="auto"/>
        <w:bottom w:val="none" w:sz="0" w:space="0" w:color="auto"/>
        <w:right w:val="none" w:sz="0" w:space="0" w:color="auto"/>
      </w:divBdr>
      <w:divsChild>
        <w:div w:id="529690199">
          <w:marLeft w:val="0"/>
          <w:marRight w:val="0"/>
          <w:marTop w:val="150"/>
          <w:marBottom w:val="0"/>
          <w:divBdr>
            <w:top w:val="none" w:sz="0" w:space="0" w:color="auto"/>
            <w:left w:val="none" w:sz="0" w:space="0" w:color="auto"/>
            <w:bottom w:val="none" w:sz="0" w:space="0" w:color="auto"/>
            <w:right w:val="none" w:sz="0" w:space="0" w:color="auto"/>
          </w:divBdr>
          <w:divsChild>
            <w:div w:id="1931111546">
              <w:marLeft w:val="0"/>
              <w:marRight w:val="0"/>
              <w:marTop w:val="0"/>
              <w:marBottom w:val="0"/>
              <w:divBdr>
                <w:top w:val="none" w:sz="0" w:space="0" w:color="auto"/>
                <w:left w:val="none" w:sz="0" w:space="0" w:color="auto"/>
                <w:bottom w:val="none" w:sz="0" w:space="0" w:color="auto"/>
                <w:right w:val="none" w:sz="0" w:space="0" w:color="auto"/>
              </w:divBdr>
              <w:divsChild>
                <w:div w:id="294800677">
                  <w:marLeft w:val="0"/>
                  <w:marRight w:val="0"/>
                  <w:marTop w:val="0"/>
                  <w:marBottom w:val="0"/>
                  <w:divBdr>
                    <w:top w:val="none" w:sz="0" w:space="0" w:color="auto"/>
                    <w:left w:val="none" w:sz="0" w:space="0" w:color="auto"/>
                    <w:bottom w:val="none" w:sz="0" w:space="0" w:color="auto"/>
                    <w:right w:val="none" w:sz="0" w:space="0" w:color="auto"/>
                  </w:divBdr>
                </w:div>
                <w:div w:id="82451510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57051682">
          <w:marLeft w:val="0"/>
          <w:marRight w:val="0"/>
          <w:marTop w:val="0"/>
          <w:marBottom w:val="0"/>
          <w:divBdr>
            <w:top w:val="none" w:sz="0" w:space="0" w:color="auto"/>
            <w:left w:val="none" w:sz="0" w:space="0" w:color="auto"/>
            <w:bottom w:val="none" w:sz="0" w:space="0" w:color="auto"/>
            <w:right w:val="none" w:sz="0" w:space="0" w:color="auto"/>
          </w:divBdr>
          <w:divsChild>
            <w:div w:id="42246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81981">
      <w:bodyDiv w:val="1"/>
      <w:marLeft w:val="0"/>
      <w:marRight w:val="0"/>
      <w:marTop w:val="0"/>
      <w:marBottom w:val="0"/>
      <w:divBdr>
        <w:top w:val="none" w:sz="0" w:space="0" w:color="auto"/>
        <w:left w:val="none" w:sz="0" w:space="0" w:color="auto"/>
        <w:bottom w:val="none" w:sz="0" w:space="0" w:color="auto"/>
        <w:right w:val="none" w:sz="0" w:space="0" w:color="auto"/>
      </w:divBdr>
      <w:divsChild>
        <w:div w:id="2015258023">
          <w:marLeft w:val="0"/>
          <w:marRight w:val="0"/>
          <w:marTop w:val="0"/>
          <w:marBottom w:val="0"/>
          <w:divBdr>
            <w:top w:val="none" w:sz="0" w:space="0" w:color="auto"/>
            <w:left w:val="none" w:sz="0" w:space="0" w:color="auto"/>
            <w:bottom w:val="none" w:sz="0" w:space="0" w:color="auto"/>
            <w:right w:val="none" w:sz="0" w:space="0" w:color="auto"/>
          </w:divBdr>
          <w:divsChild>
            <w:div w:id="102348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467054">
      <w:bodyDiv w:val="1"/>
      <w:marLeft w:val="0"/>
      <w:marRight w:val="0"/>
      <w:marTop w:val="0"/>
      <w:marBottom w:val="0"/>
      <w:divBdr>
        <w:top w:val="none" w:sz="0" w:space="0" w:color="auto"/>
        <w:left w:val="none" w:sz="0" w:space="0" w:color="auto"/>
        <w:bottom w:val="none" w:sz="0" w:space="0" w:color="auto"/>
        <w:right w:val="none" w:sz="0" w:space="0" w:color="auto"/>
      </w:divBdr>
    </w:div>
    <w:div w:id="1662736212">
      <w:bodyDiv w:val="1"/>
      <w:marLeft w:val="0"/>
      <w:marRight w:val="0"/>
      <w:marTop w:val="0"/>
      <w:marBottom w:val="0"/>
      <w:divBdr>
        <w:top w:val="none" w:sz="0" w:space="0" w:color="auto"/>
        <w:left w:val="none" w:sz="0" w:space="0" w:color="auto"/>
        <w:bottom w:val="none" w:sz="0" w:space="0" w:color="auto"/>
        <w:right w:val="none" w:sz="0" w:space="0" w:color="auto"/>
      </w:divBdr>
    </w:div>
    <w:div w:id="1662928200">
      <w:bodyDiv w:val="1"/>
      <w:marLeft w:val="0"/>
      <w:marRight w:val="0"/>
      <w:marTop w:val="0"/>
      <w:marBottom w:val="0"/>
      <w:divBdr>
        <w:top w:val="none" w:sz="0" w:space="0" w:color="auto"/>
        <w:left w:val="none" w:sz="0" w:space="0" w:color="auto"/>
        <w:bottom w:val="none" w:sz="0" w:space="0" w:color="auto"/>
        <w:right w:val="none" w:sz="0" w:space="0" w:color="auto"/>
      </w:divBdr>
      <w:divsChild>
        <w:div w:id="1339889892">
          <w:marLeft w:val="0"/>
          <w:marRight w:val="0"/>
          <w:marTop w:val="0"/>
          <w:marBottom w:val="150"/>
          <w:divBdr>
            <w:top w:val="none" w:sz="0" w:space="0" w:color="auto"/>
            <w:left w:val="none" w:sz="0" w:space="0" w:color="auto"/>
            <w:bottom w:val="none" w:sz="0" w:space="0" w:color="auto"/>
            <w:right w:val="none" w:sz="0" w:space="0" w:color="auto"/>
          </w:divBdr>
        </w:div>
      </w:divsChild>
    </w:div>
    <w:div w:id="1663389950">
      <w:bodyDiv w:val="1"/>
      <w:marLeft w:val="0"/>
      <w:marRight w:val="0"/>
      <w:marTop w:val="0"/>
      <w:marBottom w:val="0"/>
      <w:divBdr>
        <w:top w:val="none" w:sz="0" w:space="0" w:color="auto"/>
        <w:left w:val="none" w:sz="0" w:space="0" w:color="auto"/>
        <w:bottom w:val="none" w:sz="0" w:space="0" w:color="auto"/>
        <w:right w:val="none" w:sz="0" w:space="0" w:color="auto"/>
      </w:divBdr>
      <w:divsChild>
        <w:div w:id="832337310">
          <w:marLeft w:val="0"/>
          <w:marRight w:val="0"/>
          <w:marTop w:val="0"/>
          <w:marBottom w:val="0"/>
          <w:divBdr>
            <w:top w:val="none" w:sz="0" w:space="0" w:color="auto"/>
            <w:left w:val="none" w:sz="0" w:space="0" w:color="auto"/>
            <w:bottom w:val="none" w:sz="0" w:space="0" w:color="auto"/>
            <w:right w:val="none" w:sz="0" w:space="0" w:color="auto"/>
          </w:divBdr>
          <w:divsChild>
            <w:div w:id="1556090398">
              <w:marLeft w:val="0"/>
              <w:marRight w:val="0"/>
              <w:marTop w:val="0"/>
              <w:marBottom w:val="0"/>
              <w:divBdr>
                <w:top w:val="none" w:sz="0" w:space="0" w:color="auto"/>
                <w:left w:val="none" w:sz="0" w:space="0" w:color="auto"/>
                <w:bottom w:val="none" w:sz="0" w:space="0" w:color="auto"/>
                <w:right w:val="none" w:sz="0" w:space="0" w:color="auto"/>
              </w:divBdr>
              <w:divsChild>
                <w:div w:id="154732196">
                  <w:marLeft w:val="0"/>
                  <w:marRight w:val="0"/>
                  <w:marTop w:val="0"/>
                  <w:marBottom w:val="0"/>
                  <w:divBdr>
                    <w:top w:val="none" w:sz="0" w:space="0" w:color="auto"/>
                    <w:left w:val="none" w:sz="0" w:space="0" w:color="auto"/>
                    <w:bottom w:val="none" w:sz="0" w:space="0" w:color="auto"/>
                    <w:right w:val="none" w:sz="0" w:space="0" w:color="auto"/>
                  </w:divBdr>
                  <w:divsChild>
                    <w:div w:id="1084112303">
                      <w:marLeft w:val="0"/>
                      <w:marRight w:val="0"/>
                      <w:marTop w:val="0"/>
                      <w:marBottom w:val="0"/>
                      <w:divBdr>
                        <w:top w:val="none" w:sz="0" w:space="0" w:color="auto"/>
                        <w:left w:val="none" w:sz="0" w:space="0" w:color="auto"/>
                        <w:bottom w:val="none" w:sz="0" w:space="0" w:color="auto"/>
                        <w:right w:val="none" w:sz="0" w:space="0" w:color="auto"/>
                      </w:divBdr>
                      <w:divsChild>
                        <w:div w:id="924145838">
                          <w:marLeft w:val="0"/>
                          <w:marRight w:val="0"/>
                          <w:marTop w:val="0"/>
                          <w:marBottom w:val="0"/>
                          <w:divBdr>
                            <w:top w:val="none" w:sz="0" w:space="0" w:color="auto"/>
                            <w:left w:val="none" w:sz="0" w:space="0" w:color="auto"/>
                            <w:bottom w:val="none" w:sz="0" w:space="0" w:color="auto"/>
                            <w:right w:val="none" w:sz="0" w:space="0" w:color="auto"/>
                          </w:divBdr>
                          <w:divsChild>
                            <w:div w:id="1085225125">
                              <w:marLeft w:val="0"/>
                              <w:marRight w:val="0"/>
                              <w:marTop w:val="0"/>
                              <w:marBottom w:val="0"/>
                              <w:divBdr>
                                <w:top w:val="none" w:sz="0" w:space="0" w:color="auto"/>
                                <w:left w:val="none" w:sz="0" w:space="0" w:color="auto"/>
                                <w:bottom w:val="none" w:sz="0" w:space="0" w:color="auto"/>
                                <w:right w:val="none" w:sz="0" w:space="0" w:color="auto"/>
                              </w:divBdr>
                              <w:divsChild>
                                <w:div w:id="168374110">
                                  <w:marLeft w:val="0"/>
                                  <w:marRight w:val="0"/>
                                  <w:marTop w:val="0"/>
                                  <w:marBottom w:val="0"/>
                                  <w:divBdr>
                                    <w:top w:val="none" w:sz="0" w:space="0" w:color="auto"/>
                                    <w:left w:val="none" w:sz="0" w:space="0" w:color="auto"/>
                                    <w:bottom w:val="none" w:sz="0" w:space="0" w:color="auto"/>
                                    <w:right w:val="none" w:sz="0" w:space="0" w:color="auto"/>
                                  </w:divBdr>
                                  <w:divsChild>
                                    <w:div w:id="897473729">
                                      <w:marLeft w:val="0"/>
                                      <w:marRight w:val="0"/>
                                      <w:marTop w:val="0"/>
                                      <w:marBottom w:val="0"/>
                                      <w:divBdr>
                                        <w:top w:val="none" w:sz="0" w:space="0" w:color="auto"/>
                                        <w:left w:val="none" w:sz="0" w:space="0" w:color="auto"/>
                                        <w:bottom w:val="none" w:sz="0" w:space="0" w:color="auto"/>
                                        <w:right w:val="none" w:sz="0" w:space="0" w:color="auto"/>
                                      </w:divBdr>
                                      <w:divsChild>
                                        <w:div w:id="159123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4383811">
      <w:bodyDiv w:val="1"/>
      <w:marLeft w:val="0"/>
      <w:marRight w:val="0"/>
      <w:marTop w:val="0"/>
      <w:marBottom w:val="0"/>
      <w:divBdr>
        <w:top w:val="none" w:sz="0" w:space="0" w:color="auto"/>
        <w:left w:val="none" w:sz="0" w:space="0" w:color="auto"/>
        <w:bottom w:val="none" w:sz="0" w:space="0" w:color="auto"/>
        <w:right w:val="none" w:sz="0" w:space="0" w:color="auto"/>
      </w:divBdr>
      <w:divsChild>
        <w:div w:id="1322542033">
          <w:marLeft w:val="0"/>
          <w:marRight w:val="0"/>
          <w:marTop w:val="0"/>
          <w:marBottom w:val="0"/>
          <w:divBdr>
            <w:top w:val="none" w:sz="0" w:space="0" w:color="auto"/>
            <w:left w:val="none" w:sz="0" w:space="0" w:color="auto"/>
            <w:bottom w:val="none" w:sz="0" w:space="0" w:color="auto"/>
            <w:right w:val="none" w:sz="0" w:space="0" w:color="auto"/>
          </w:divBdr>
          <w:divsChild>
            <w:div w:id="84655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435515">
      <w:bodyDiv w:val="1"/>
      <w:marLeft w:val="0"/>
      <w:marRight w:val="0"/>
      <w:marTop w:val="0"/>
      <w:marBottom w:val="0"/>
      <w:divBdr>
        <w:top w:val="none" w:sz="0" w:space="0" w:color="auto"/>
        <w:left w:val="none" w:sz="0" w:space="0" w:color="auto"/>
        <w:bottom w:val="none" w:sz="0" w:space="0" w:color="auto"/>
        <w:right w:val="none" w:sz="0" w:space="0" w:color="auto"/>
      </w:divBdr>
      <w:divsChild>
        <w:div w:id="376976887">
          <w:marLeft w:val="0"/>
          <w:marRight w:val="0"/>
          <w:marTop w:val="0"/>
          <w:marBottom w:val="150"/>
          <w:divBdr>
            <w:top w:val="none" w:sz="0" w:space="0" w:color="auto"/>
            <w:left w:val="none" w:sz="0" w:space="0" w:color="auto"/>
            <w:bottom w:val="none" w:sz="0" w:space="0" w:color="auto"/>
            <w:right w:val="none" w:sz="0" w:space="0" w:color="auto"/>
          </w:divBdr>
        </w:div>
      </w:divsChild>
    </w:div>
    <w:div w:id="1664509476">
      <w:bodyDiv w:val="1"/>
      <w:marLeft w:val="0"/>
      <w:marRight w:val="0"/>
      <w:marTop w:val="0"/>
      <w:marBottom w:val="0"/>
      <w:divBdr>
        <w:top w:val="none" w:sz="0" w:space="0" w:color="auto"/>
        <w:left w:val="none" w:sz="0" w:space="0" w:color="auto"/>
        <w:bottom w:val="none" w:sz="0" w:space="0" w:color="auto"/>
        <w:right w:val="none" w:sz="0" w:space="0" w:color="auto"/>
      </w:divBdr>
    </w:div>
    <w:div w:id="1664549260">
      <w:bodyDiv w:val="1"/>
      <w:marLeft w:val="0"/>
      <w:marRight w:val="0"/>
      <w:marTop w:val="0"/>
      <w:marBottom w:val="0"/>
      <w:divBdr>
        <w:top w:val="none" w:sz="0" w:space="0" w:color="auto"/>
        <w:left w:val="none" w:sz="0" w:space="0" w:color="auto"/>
        <w:bottom w:val="none" w:sz="0" w:space="0" w:color="auto"/>
        <w:right w:val="none" w:sz="0" w:space="0" w:color="auto"/>
      </w:divBdr>
      <w:divsChild>
        <w:div w:id="222450692">
          <w:marLeft w:val="0"/>
          <w:marRight w:val="0"/>
          <w:marTop w:val="0"/>
          <w:marBottom w:val="150"/>
          <w:divBdr>
            <w:top w:val="none" w:sz="0" w:space="0" w:color="auto"/>
            <w:left w:val="none" w:sz="0" w:space="0" w:color="auto"/>
            <w:bottom w:val="none" w:sz="0" w:space="0" w:color="auto"/>
            <w:right w:val="none" w:sz="0" w:space="0" w:color="auto"/>
          </w:divBdr>
          <w:divsChild>
            <w:div w:id="2020355239">
              <w:marLeft w:val="0"/>
              <w:marRight w:val="0"/>
              <w:marTop w:val="0"/>
              <w:marBottom w:val="0"/>
              <w:divBdr>
                <w:top w:val="none" w:sz="0" w:space="0" w:color="auto"/>
                <w:left w:val="none" w:sz="0" w:space="0" w:color="auto"/>
                <w:bottom w:val="none" w:sz="0" w:space="0" w:color="auto"/>
                <w:right w:val="none" w:sz="0" w:space="0" w:color="auto"/>
              </w:divBdr>
            </w:div>
          </w:divsChild>
        </w:div>
        <w:div w:id="1736471970">
          <w:marLeft w:val="0"/>
          <w:marRight w:val="0"/>
          <w:marTop w:val="0"/>
          <w:marBottom w:val="0"/>
          <w:divBdr>
            <w:top w:val="none" w:sz="0" w:space="0" w:color="auto"/>
            <w:left w:val="none" w:sz="0" w:space="0" w:color="auto"/>
            <w:bottom w:val="none" w:sz="0" w:space="0" w:color="auto"/>
            <w:right w:val="none" w:sz="0" w:space="0" w:color="auto"/>
          </w:divBdr>
          <w:divsChild>
            <w:div w:id="753553031">
              <w:marLeft w:val="0"/>
              <w:marRight w:val="0"/>
              <w:marTop w:val="0"/>
              <w:marBottom w:val="150"/>
              <w:divBdr>
                <w:top w:val="none" w:sz="0" w:space="0" w:color="auto"/>
                <w:left w:val="none" w:sz="0" w:space="0" w:color="auto"/>
                <w:bottom w:val="none" w:sz="0" w:space="0" w:color="auto"/>
                <w:right w:val="none" w:sz="0" w:space="0" w:color="auto"/>
              </w:divBdr>
            </w:div>
            <w:div w:id="135275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578093">
      <w:bodyDiv w:val="1"/>
      <w:marLeft w:val="0"/>
      <w:marRight w:val="0"/>
      <w:marTop w:val="0"/>
      <w:marBottom w:val="0"/>
      <w:divBdr>
        <w:top w:val="none" w:sz="0" w:space="0" w:color="auto"/>
        <w:left w:val="none" w:sz="0" w:space="0" w:color="auto"/>
        <w:bottom w:val="none" w:sz="0" w:space="0" w:color="auto"/>
        <w:right w:val="none" w:sz="0" w:space="0" w:color="auto"/>
      </w:divBdr>
    </w:div>
    <w:div w:id="1664703250">
      <w:bodyDiv w:val="1"/>
      <w:marLeft w:val="0"/>
      <w:marRight w:val="0"/>
      <w:marTop w:val="0"/>
      <w:marBottom w:val="0"/>
      <w:divBdr>
        <w:top w:val="none" w:sz="0" w:space="0" w:color="auto"/>
        <w:left w:val="none" w:sz="0" w:space="0" w:color="auto"/>
        <w:bottom w:val="none" w:sz="0" w:space="0" w:color="auto"/>
        <w:right w:val="none" w:sz="0" w:space="0" w:color="auto"/>
      </w:divBdr>
      <w:divsChild>
        <w:div w:id="593899112">
          <w:marLeft w:val="0"/>
          <w:marRight w:val="0"/>
          <w:marTop w:val="0"/>
          <w:marBottom w:val="75"/>
          <w:divBdr>
            <w:top w:val="none" w:sz="0" w:space="0" w:color="auto"/>
            <w:left w:val="none" w:sz="0" w:space="0" w:color="auto"/>
            <w:bottom w:val="none" w:sz="0" w:space="0" w:color="auto"/>
            <w:right w:val="none" w:sz="0" w:space="0" w:color="auto"/>
          </w:divBdr>
        </w:div>
        <w:div w:id="1097601218">
          <w:marLeft w:val="0"/>
          <w:marRight w:val="0"/>
          <w:marTop w:val="0"/>
          <w:marBottom w:val="300"/>
          <w:divBdr>
            <w:top w:val="none" w:sz="0" w:space="0" w:color="auto"/>
            <w:left w:val="none" w:sz="0" w:space="0" w:color="auto"/>
            <w:bottom w:val="none" w:sz="0" w:space="0" w:color="auto"/>
            <w:right w:val="none" w:sz="0" w:space="0" w:color="auto"/>
          </w:divBdr>
          <w:divsChild>
            <w:div w:id="1783836974">
              <w:marLeft w:val="0"/>
              <w:marRight w:val="0"/>
              <w:marTop w:val="0"/>
              <w:marBottom w:val="0"/>
              <w:divBdr>
                <w:top w:val="none" w:sz="0" w:space="0" w:color="auto"/>
                <w:left w:val="none" w:sz="0" w:space="0" w:color="auto"/>
                <w:bottom w:val="none" w:sz="0" w:space="0" w:color="auto"/>
                <w:right w:val="none" w:sz="0" w:space="0" w:color="auto"/>
              </w:divBdr>
            </w:div>
          </w:divsChild>
        </w:div>
        <w:div w:id="1581256699">
          <w:marLeft w:val="0"/>
          <w:marRight w:val="0"/>
          <w:marTop w:val="0"/>
          <w:marBottom w:val="0"/>
          <w:divBdr>
            <w:top w:val="none" w:sz="0" w:space="0" w:color="auto"/>
            <w:left w:val="none" w:sz="0" w:space="0" w:color="auto"/>
            <w:bottom w:val="none" w:sz="0" w:space="0" w:color="auto"/>
            <w:right w:val="none" w:sz="0" w:space="0" w:color="auto"/>
          </w:divBdr>
          <w:divsChild>
            <w:div w:id="1461847550">
              <w:marLeft w:val="0"/>
              <w:marRight w:val="0"/>
              <w:marTop w:val="0"/>
              <w:marBottom w:val="0"/>
              <w:divBdr>
                <w:top w:val="none" w:sz="0" w:space="0" w:color="auto"/>
                <w:left w:val="none" w:sz="0" w:space="0" w:color="auto"/>
                <w:bottom w:val="none" w:sz="0" w:space="0" w:color="auto"/>
                <w:right w:val="none" w:sz="0" w:space="0" w:color="auto"/>
              </w:divBdr>
              <w:divsChild>
                <w:div w:id="3088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576732">
          <w:marLeft w:val="0"/>
          <w:marRight w:val="0"/>
          <w:marTop w:val="0"/>
          <w:marBottom w:val="0"/>
          <w:divBdr>
            <w:top w:val="none" w:sz="0" w:space="0" w:color="auto"/>
            <w:left w:val="none" w:sz="0" w:space="0" w:color="auto"/>
            <w:bottom w:val="none" w:sz="0" w:space="0" w:color="auto"/>
            <w:right w:val="none" w:sz="0" w:space="0" w:color="auto"/>
          </w:divBdr>
        </w:div>
      </w:divsChild>
    </w:div>
    <w:div w:id="1664818357">
      <w:bodyDiv w:val="1"/>
      <w:marLeft w:val="0"/>
      <w:marRight w:val="0"/>
      <w:marTop w:val="0"/>
      <w:marBottom w:val="0"/>
      <w:divBdr>
        <w:top w:val="none" w:sz="0" w:space="0" w:color="auto"/>
        <w:left w:val="none" w:sz="0" w:space="0" w:color="auto"/>
        <w:bottom w:val="none" w:sz="0" w:space="0" w:color="auto"/>
        <w:right w:val="none" w:sz="0" w:space="0" w:color="auto"/>
      </w:divBdr>
      <w:divsChild>
        <w:div w:id="851339224">
          <w:marLeft w:val="0"/>
          <w:marRight w:val="0"/>
          <w:marTop w:val="0"/>
          <w:marBottom w:val="0"/>
          <w:divBdr>
            <w:top w:val="none" w:sz="0" w:space="0" w:color="auto"/>
            <w:left w:val="none" w:sz="0" w:space="0" w:color="auto"/>
            <w:bottom w:val="none" w:sz="0" w:space="0" w:color="auto"/>
            <w:right w:val="none" w:sz="0" w:space="0" w:color="auto"/>
          </w:divBdr>
        </w:div>
      </w:divsChild>
    </w:div>
    <w:div w:id="1665163010">
      <w:bodyDiv w:val="1"/>
      <w:marLeft w:val="0"/>
      <w:marRight w:val="0"/>
      <w:marTop w:val="0"/>
      <w:marBottom w:val="0"/>
      <w:divBdr>
        <w:top w:val="none" w:sz="0" w:space="0" w:color="auto"/>
        <w:left w:val="none" w:sz="0" w:space="0" w:color="auto"/>
        <w:bottom w:val="none" w:sz="0" w:space="0" w:color="auto"/>
        <w:right w:val="none" w:sz="0" w:space="0" w:color="auto"/>
      </w:divBdr>
      <w:divsChild>
        <w:div w:id="891422323">
          <w:marLeft w:val="0"/>
          <w:marRight w:val="0"/>
          <w:marTop w:val="0"/>
          <w:marBottom w:val="0"/>
          <w:divBdr>
            <w:top w:val="none" w:sz="0" w:space="0" w:color="auto"/>
            <w:left w:val="none" w:sz="0" w:space="0" w:color="auto"/>
            <w:bottom w:val="dotted" w:sz="6" w:space="4" w:color="DDDDDD"/>
            <w:right w:val="none" w:sz="0" w:space="0" w:color="auto"/>
          </w:divBdr>
          <w:divsChild>
            <w:div w:id="106418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623616">
      <w:bodyDiv w:val="1"/>
      <w:marLeft w:val="0"/>
      <w:marRight w:val="0"/>
      <w:marTop w:val="0"/>
      <w:marBottom w:val="0"/>
      <w:divBdr>
        <w:top w:val="none" w:sz="0" w:space="0" w:color="auto"/>
        <w:left w:val="none" w:sz="0" w:space="0" w:color="auto"/>
        <w:bottom w:val="none" w:sz="0" w:space="0" w:color="auto"/>
        <w:right w:val="none" w:sz="0" w:space="0" w:color="auto"/>
      </w:divBdr>
      <w:divsChild>
        <w:div w:id="2075620810">
          <w:marLeft w:val="0"/>
          <w:marRight w:val="0"/>
          <w:marTop w:val="0"/>
          <w:marBottom w:val="0"/>
          <w:divBdr>
            <w:top w:val="none" w:sz="0" w:space="0" w:color="auto"/>
            <w:left w:val="none" w:sz="0" w:space="0" w:color="auto"/>
            <w:bottom w:val="none" w:sz="0" w:space="0" w:color="auto"/>
            <w:right w:val="none" w:sz="0" w:space="0" w:color="auto"/>
          </w:divBdr>
        </w:div>
      </w:divsChild>
    </w:div>
    <w:div w:id="1666088448">
      <w:bodyDiv w:val="1"/>
      <w:marLeft w:val="0"/>
      <w:marRight w:val="0"/>
      <w:marTop w:val="0"/>
      <w:marBottom w:val="0"/>
      <w:divBdr>
        <w:top w:val="none" w:sz="0" w:space="0" w:color="auto"/>
        <w:left w:val="none" w:sz="0" w:space="0" w:color="auto"/>
        <w:bottom w:val="none" w:sz="0" w:space="0" w:color="auto"/>
        <w:right w:val="none" w:sz="0" w:space="0" w:color="auto"/>
      </w:divBdr>
      <w:divsChild>
        <w:div w:id="298875349">
          <w:marLeft w:val="0"/>
          <w:marRight w:val="0"/>
          <w:marTop w:val="0"/>
          <w:marBottom w:val="150"/>
          <w:divBdr>
            <w:top w:val="none" w:sz="0" w:space="0" w:color="auto"/>
            <w:left w:val="none" w:sz="0" w:space="0" w:color="auto"/>
            <w:bottom w:val="none" w:sz="0" w:space="0" w:color="auto"/>
            <w:right w:val="none" w:sz="0" w:space="0" w:color="auto"/>
          </w:divBdr>
          <w:divsChild>
            <w:div w:id="524826858">
              <w:marLeft w:val="0"/>
              <w:marRight w:val="0"/>
              <w:marTop w:val="0"/>
              <w:marBottom w:val="0"/>
              <w:divBdr>
                <w:top w:val="none" w:sz="0" w:space="0" w:color="auto"/>
                <w:left w:val="none" w:sz="0" w:space="0" w:color="auto"/>
                <w:bottom w:val="none" w:sz="0" w:space="0" w:color="auto"/>
                <w:right w:val="none" w:sz="0" w:space="0" w:color="auto"/>
              </w:divBdr>
            </w:div>
          </w:divsChild>
        </w:div>
        <w:div w:id="1515798498">
          <w:marLeft w:val="0"/>
          <w:marRight w:val="0"/>
          <w:marTop w:val="0"/>
          <w:marBottom w:val="0"/>
          <w:divBdr>
            <w:top w:val="none" w:sz="0" w:space="0" w:color="auto"/>
            <w:left w:val="none" w:sz="0" w:space="0" w:color="auto"/>
            <w:bottom w:val="none" w:sz="0" w:space="0" w:color="auto"/>
            <w:right w:val="none" w:sz="0" w:space="0" w:color="auto"/>
          </w:divBdr>
          <w:divsChild>
            <w:div w:id="689333114">
              <w:marLeft w:val="0"/>
              <w:marRight w:val="0"/>
              <w:marTop w:val="0"/>
              <w:marBottom w:val="0"/>
              <w:divBdr>
                <w:top w:val="none" w:sz="0" w:space="0" w:color="auto"/>
                <w:left w:val="none" w:sz="0" w:space="0" w:color="auto"/>
                <w:bottom w:val="none" w:sz="0" w:space="0" w:color="auto"/>
                <w:right w:val="none" w:sz="0" w:space="0" w:color="auto"/>
              </w:divBdr>
            </w:div>
          </w:divsChild>
        </w:div>
        <w:div w:id="2056931470">
          <w:marLeft w:val="0"/>
          <w:marRight w:val="0"/>
          <w:marTop w:val="0"/>
          <w:marBottom w:val="150"/>
          <w:divBdr>
            <w:top w:val="none" w:sz="0" w:space="0" w:color="auto"/>
            <w:left w:val="none" w:sz="0" w:space="0" w:color="auto"/>
            <w:bottom w:val="none" w:sz="0" w:space="0" w:color="auto"/>
            <w:right w:val="none" w:sz="0" w:space="0" w:color="auto"/>
          </w:divBdr>
        </w:div>
      </w:divsChild>
    </w:div>
    <w:div w:id="1666127093">
      <w:bodyDiv w:val="1"/>
      <w:marLeft w:val="0"/>
      <w:marRight w:val="0"/>
      <w:marTop w:val="0"/>
      <w:marBottom w:val="0"/>
      <w:divBdr>
        <w:top w:val="none" w:sz="0" w:space="0" w:color="auto"/>
        <w:left w:val="none" w:sz="0" w:space="0" w:color="auto"/>
        <w:bottom w:val="none" w:sz="0" w:space="0" w:color="auto"/>
        <w:right w:val="none" w:sz="0" w:space="0" w:color="auto"/>
      </w:divBdr>
    </w:div>
    <w:div w:id="1666585768">
      <w:bodyDiv w:val="1"/>
      <w:marLeft w:val="0"/>
      <w:marRight w:val="0"/>
      <w:marTop w:val="0"/>
      <w:marBottom w:val="0"/>
      <w:divBdr>
        <w:top w:val="none" w:sz="0" w:space="0" w:color="auto"/>
        <w:left w:val="none" w:sz="0" w:space="0" w:color="auto"/>
        <w:bottom w:val="none" w:sz="0" w:space="0" w:color="auto"/>
        <w:right w:val="none" w:sz="0" w:space="0" w:color="auto"/>
      </w:divBdr>
      <w:divsChild>
        <w:div w:id="240913745">
          <w:marLeft w:val="0"/>
          <w:marRight w:val="0"/>
          <w:marTop w:val="0"/>
          <w:marBottom w:val="0"/>
          <w:divBdr>
            <w:top w:val="none" w:sz="0" w:space="0" w:color="auto"/>
            <w:left w:val="none" w:sz="0" w:space="0" w:color="auto"/>
            <w:bottom w:val="dotted" w:sz="6" w:space="4" w:color="DDDDDD"/>
            <w:right w:val="none" w:sz="0" w:space="0" w:color="auto"/>
          </w:divBdr>
        </w:div>
      </w:divsChild>
    </w:div>
    <w:div w:id="1666743655">
      <w:bodyDiv w:val="1"/>
      <w:marLeft w:val="0"/>
      <w:marRight w:val="0"/>
      <w:marTop w:val="0"/>
      <w:marBottom w:val="0"/>
      <w:divBdr>
        <w:top w:val="none" w:sz="0" w:space="0" w:color="auto"/>
        <w:left w:val="none" w:sz="0" w:space="0" w:color="auto"/>
        <w:bottom w:val="none" w:sz="0" w:space="0" w:color="auto"/>
        <w:right w:val="none" w:sz="0" w:space="0" w:color="auto"/>
      </w:divBdr>
      <w:divsChild>
        <w:div w:id="46421921">
          <w:marLeft w:val="0"/>
          <w:marRight w:val="0"/>
          <w:marTop w:val="0"/>
          <w:marBottom w:val="0"/>
          <w:divBdr>
            <w:top w:val="none" w:sz="0" w:space="0" w:color="auto"/>
            <w:left w:val="none" w:sz="0" w:space="0" w:color="auto"/>
            <w:bottom w:val="dotted" w:sz="6" w:space="4" w:color="DDDDDD"/>
            <w:right w:val="none" w:sz="0" w:space="0" w:color="auto"/>
          </w:divBdr>
        </w:div>
      </w:divsChild>
    </w:div>
    <w:div w:id="1666782396">
      <w:bodyDiv w:val="1"/>
      <w:marLeft w:val="0"/>
      <w:marRight w:val="0"/>
      <w:marTop w:val="0"/>
      <w:marBottom w:val="0"/>
      <w:divBdr>
        <w:top w:val="none" w:sz="0" w:space="0" w:color="auto"/>
        <w:left w:val="none" w:sz="0" w:space="0" w:color="auto"/>
        <w:bottom w:val="none" w:sz="0" w:space="0" w:color="auto"/>
        <w:right w:val="none" w:sz="0" w:space="0" w:color="auto"/>
      </w:divBdr>
      <w:divsChild>
        <w:div w:id="1387266227">
          <w:marLeft w:val="0"/>
          <w:marRight w:val="0"/>
          <w:marTop w:val="0"/>
          <w:marBottom w:val="0"/>
          <w:divBdr>
            <w:top w:val="none" w:sz="0" w:space="0" w:color="auto"/>
            <w:left w:val="none" w:sz="0" w:space="0" w:color="auto"/>
            <w:bottom w:val="dotted" w:sz="6" w:space="4" w:color="DDDDDD"/>
            <w:right w:val="none" w:sz="0" w:space="0" w:color="auto"/>
          </w:divBdr>
          <w:divsChild>
            <w:div w:id="105042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4140">
      <w:bodyDiv w:val="1"/>
      <w:marLeft w:val="0"/>
      <w:marRight w:val="0"/>
      <w:marTop w:val="0"/>
      <w:marBottom w:val="0"/>
      <w:divBdr>
        <w:top w:val="none" w:sz="0" w:space="0" w:color="auto"/>
        <w:left w:val="none" w:sz="0" w:space="0" w:color="auto"/>
        <w:bottom w:val="none" w:sz="0" w:space="0" w:color="auto"/>
        <w:right w:val="none" w:sz="0" w:space="0" w:color="auto"/>
      </w:divBdr>
      <w:divsChild>
        <w:div w:id="49574038">
          <w:marLeft w:val="0"/>
          <w:marRight w:val="0"/>
          <w:marTop w:val="0"/>
          <w:marBottom w:val="0"/>
          <w:divBdr>
            <w:top w:val="none" w:sz="0" w:space="0" w:color="auto"/>
            <w:left w:val="none" w:sz="0" w:space="0" w:color="auto"/>
            <w:bottom w:val="dotted" w:sz="6" w:space="4" w:color="DDDDDD"/>
            <w:right w:val="none" w:sz="0" w:space="0" w:color="auto"/>
          </w:divBdr>
          <w:divsChild>
            <w:div w:id="152177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129792">
      <w:bodyDiv w:val="1"/>
      <w:marLeft w:val="0"/>
      <w:marRight w:val="0"/>
      <w:marTop w:val="0"/>
      <w:marBottom w:val="0"/>
      <w:divBdr>
        <w:top w:val="none" w:sz="0" w:space="0" w:color="auto"/>
        <w:left w:val="none" w:sz="0" w:space="0" w:color="auto"/>
        <w:bottom w:val="none" w:sz="0" w:space="0" w:color="auto"/>
        <w:right w:val="none" w:sz="0" w:space="0" w:color="auto"/>
      </w:divBdr>
      <w:divsChild>
        <w:div w:id="252324386">
          <w:marLeft w:val="0"/>
          <w:marRight w:val="0"/>
          <w:marTop w:val="0"/>
          <w:marBottom w:val="0"/>
          <w:divBdr>
            <w:top w:val="none" w:sz="0" w:space="0" w:color="auto"/>
            <w:left w:val="none" w:sz="0" w:space="0" w:color="auto"/>
            <w:bottom w:val="none" w:sz="0" w:space="0" w:color="auto"/>
            <w:right w:val="none" w:sz="0" w:space="0" w:color="auto"/>
          </w:divBdr>
          <w:divsChild>
            <w:div w:id="33758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636838">
      <w:bodyDiv w:val="1"/>
      <w:marLeft w:val="0"/>
      <w:marRight w:val="0"/>
      <w:marTop w:val="0"/>
      <w:marBottom w:val="0"/>
      <w:divBdr>
        <w:top w:val="none" w:sz="0" w:space="0" w:color="auto"/>
        <w:left w:val="none" w:sz="0" w:space="0" w:color="auto"/>
        <w:bottom w:val="none" w:sz="0" w:space="0" w:color="auto"/>
        <w:right w:val="none" w:sz="0" w:space="0" w:color="auto"/>
      </w:divBdr>
      <w:divsChild>
        <w:div w:id="1534464687">
          <w:marLeft w:val="0"/>
          <w:marRight w:val="0"/>
          <w:marTop w:val="0"/>
          <w:marBottom w:val="0"/>
          <w:divBdr>
            <w:top w:val="none" w:sz="0" w:space="0" w:color="auto"/>
            <w:left w:val="none" w:sz="0" w:space="0" w:color="auto"/>
            <w:bottom w:val="none" w:sz="0" w:space="0" w:color="auto"/>
            <w:right w:val="none" w:sz="0" w:space="0" w:color="auto"/>
          </w:divBdr>
          <w:divsChild>
            <w:div w:id="1465804673">
              <w:marLeft w:val="0"/>
              <w:marRight w:val="0"/>
              <w:marTop w:val="0"/>
              <w:marBottom w:val="0"/>
              <w:divBdr>
                <w:top w:val="none" w:sz="0" w:space="0" w:color="auto"/>
                <w:left w:val="none" w:sz="0" w:space="0" w:color="auto"/>
                <w:bottom w:val="none" w:sz="0" w:space="0" w:color="auto"/>
                <w:right w:val="none" w:sz="0" w:space="0" w:color="auto"/>
              </w:divBdr>
              <w:divsChild>
                <w:div w:id="1952205368">
                  <w:marLeft w:val="0"/>
                  <w:marRight w:val="0"/>
                  <w:marTop w:val="0"/>
                  <w:marBottom w:val="0"/>
                  <w:divBdr>
                    <w:top w:val="none" w:sz="0" w:space="0" w:color="auto"/>
                    <w:left w:val="none" w:sz="0" w:space="0" w:color="auto"/>
                    <w:bottom w:val="none" w:sz="0" w:space="0" w:color="auto"/>
                    <w:right w:val="none" w:sz="0" w:space="0" w:color="auto"/>
                  </w:divBdr>
                  <w:divsChild>
                    <w:div w:id="159200860">
                      <w:marLeft w:val="0"/>
                      <w:marRight w:val="0"/>
                      <w:marTop w:val="0"/>
                      <w:marBottom w:val="0"/>
                      <w:divBdr>
                        <w:top w:val="none" w:sz="0" w:space="0" w:color="auto"/>
                        <w:left w:val="none" w:sz="0" w:space="0" w:color="auto"/>
                        <w:bottom w:val="none" w:sz="0" w:space="0" w:color="auto"/>
                        <w:right w:val="none" w:sz="0" w:space="0" w:color="auto"/>
                      </w:divBdr>
                      <w:divsChild>
                        <w:div w:id="1956249840">
                          <w:marLeft w:val="0"/>
                          <w:marRight w:val="0"/>
                          <w:marTop w:val="0"/>
                          <w:marBottom w:val="0"/>
                          <w:divBdr>
                            <w:top w:val="none" w:sz="0" w:space="0" w:color="auto"/>
                            <w:left w:val="none" w:sz="0" w:space="0" w:color="auto"/>
                            <w:bottom w:val="none" w:sz="0" w:space="0" w:color="auto"/>
                            <w:right w:val="none" w:sz="0" w:space="0" w:color="auto"/>
                          </w:divBdr>
                          <w:divsChild>
                            <w:div w:id="175875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03956">
      <w:bodyDiv w:val="1"/>
      <w:marLeft w:val="0"/>
      <w:marRight w:val="0"/>
      <w:marTop w:val="0"/>
      <w:marBottom w:val="0"/>
      <w:divBdr>
        <w:top w:val="none" w:sz="0" w:space="0" w:color="auto"/>
        <w:left w:val="none" w:sz="0" w:space="0" w:color="auto"/>
        <w:bottom w:val="none" w:sz="0" w:space="0" w:color="auto"/>
        <w:right w:val="none" w:sz="0" w:space="0" w:color="auto"/>
      </w:divBdr>
    </w:div>
    <w:div w:id="1668246729">
      <w:bodyDiv w:val="1"/>
      <w:marLeft w:val="0"/>
      <w:marRight w:val="0"/>
      <w:marTop w:val="0"/>
      <w:marBottom w:val="0"/>
      <w:divBdr>
        <w:top w:val="none" w:sz="0" w:space="0" w:color="auto"/>
        <w:left w:val="none" w:sz="0" w:space="0" w:color="auto"/>
        <w:bottom w:val="none" w:sz="0" w:space="0" w:color="auto"/>
        <w:right w:val="none" w:sz="0" w:space="0" w:color="auto"/>
      </w:divBdr>
      <w:divsChild>
        <w:div w:id="502167335">
          <w:marLeft w:val="0"/>
          <w:marRight w:val="0"/>
          <w:marTop w:val="0"/>
          <w:marBottom w:val="150"/>
          <w:divBdr>
            <w:top w:val="none" w:sz="0" w:space="0" w:color="auto"/>
            <w:left w:val="none" w:sz="0" w:space="0" w:color="auto"/>
            <w:bottom w:val="none" w:sz="0" w:space="0" w:color="auto"/>
            <w:right w:val="none" w:sz="0" w:space="0" w:color="auto"/>
          </w:divBdr>
          <w:divsChild>
            <w:div w:id="184828033">
              <w:marLeft w:val="0"/>
              <w:marRight w:val="0"/>
              <w:marTop w:val="0"/>
              <w:marBottom w:val="0"/>
              <w:divBdr>
                <w:top w:val="none" w:sz="0" w:space="0" w:color="auto"/>
                <w:left w:val="none" w:sz="0" w:space="0" w:color="auto"/>
                <w:bottom w:val="none" w:sz="0" w:space="0" w:color="auto"/>
                <w:right w:val="none" w:sz="0" w:space="0" w:color="auto"/>
              </w:divBdr>
              <w:divsChild>
                <w:div w:id="125181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569047">
          <w:marLeft w:val="0"/>
          <w:marRight w:val="0"/>
          <w:marTop w:val="0"/>
          <w:marBottom w:val="0"/>
          <w:divBdr>
            <w:top w:val="none" w:sz="0" w:space="0" w:color="auto"/>
            <w:left w:val="none" w:sz="0" w:space="0" w:color="auto"/>
            <w:bottom w:val="none" w:sz="0" w:space="0" w:color="auto"/>
            <w:right w:val="none" w:sz="0" w:space="0" w:color="auto"/>
          </w:divBdr>
          <w:divsChild>
            <w:div w:id="303000421">
              <w:marLeft w:val="0"/>
              <w:marRight w:val="0"/>
              <w:marTop w:val="225"/>
              <w:marBottom w:val="225"/>
              <w:divBdr>
                <w:top w:val="none" w:sz="0" w:space="0" w:color="auto"/>
                <w:left w:val="none" w:sz="0" w:space="0" w:color="auto"/>
                <w:bottom w:val="none" w:sz="0" w:space="0" w:color="auto"/>
                <w:right w:val="none" w:sz="0" w:space="0" w:color="auto"/>
              </w:divBdr>
            </w:div>
          </w:divsChild>
        </w:div>
        <w:div w:id="1188444048">
          <w:marLeft w:val="0"/>
          <w:marRight w:val="0"/>
          <w:marTop w:val="0"/>
          <w:marBottom w:val="150"/>
          <w:divBdr>
            <w:top w:val="none" w:sz="0" w:space="0" w:color="auto"/>
            <w:left w:val="none" w:sz="0" w:space="0" w:color="auto"/>
            <w:bottom w:val="none" w:sz="0" w:space="0" w:color="auto"/>
            <w:right w:val="none" w:sz="0" w:space="0" w:color="auto"/>
          </w:divBdr>
        </w:div>
      </w:divsChild>
    </w:div>
    <w:div w:id="1668247351">
      <w:bodyDiv w:val="1"/>
      <w:marLeft w:val="0"/>
      <w:marRight w:val="0"/>
      <w:marTop w:val="0"/>
      <w:marBottom w:val="0"/>
      <w:divBdr>
        <w:top w:val="none" w:sz="0" w:space="0" w:color="auto"/>
        <w:left w:val="none" w:sz="0" w:space="0" w:color="auto"/>
        <w:bottom w:val="none" w:sz="0" w:space="0" w:color="auto"/>
        <w:right w:val="none" w:sz="0" w:space="0" w:color="auto"/>
      </w:divBdr>
    </w:div>
    <w:div w:id="1668551401">
      <w:bodyDiv w:val="1"/>
      <w:marLeft w:val="0"/>
      <w:marRight w:val="0"/>
      <w:marTop w:val="0"/>
      <w:marBottom w:val="0"/>
      <w:divBdr>
        <w:top w:val="none" w:sz="0" w:space="0" w:color="auto"/>
        <w:left w:val="none" w:sz="0" w:space="0" w:color="auto"/>
        <w:bottom w:val="none" w:sz="0" w:space="0" w:color="auto"/>
        <w:right w:val="none" w:sz="0" w:space="0" w:color="auto"/>
      </w:divBdr>
    </w:div>
    <w:div w:id="1668748721">
      <w:bodyDiv w:val="1"/>
      <w:marLeft w:val="0"/>
      <w:marRight w:val="0"/>
      <w:marTop w:val="0"/>
      <w:marBottom w:val="0"/>
      <w:divBdr>
        <w:top w:val="none" w:sz="0" w:space="0" w:color="auto"/>
        <w:left w:val="none" w:sz="0" w:space="0" w:color="auto"/>
        <w:bottom w:val="none" w:sz="0" w:space="0" w:color="auto"/>
        <w:right w:val="none" w:sz="0" w:space="0" w:color="auto"/>
      </w:divBdr>
    </w:div>
    <w:div w:id="1668754179">
      <w:bodyDiv w:val="1"/>
      <w:marLeft w:val="0"/>
      <w:marRight w:val="0"/>
      <w:marTop w:val="0"/>
      <w:marBottom w:val="0"/>
      <w:divBdr>
        <w:top w:val="none" w:sz="0" w:space="0" w:color="auto"/>
        <w:left w:val="none" w:sz="0" w:space="0" w:color="auto"/>
        <w:bottom w:val="none" w:sz="0" w:space="0" w:color="auto"/>
        <w:right w:val="none" w:sz="0" w:space="0" w:color="auto"/>
      </w:divBdr>
      <w:divsChild>
        <w:div w:id="508568758">
          <w:marLeft w:val="0"/>
          <w:marRight w:val="0"/>
          <w:marTop w:val="0"/>
          <w:marBottom w:val="150"/>
          <w:divBdr>
            <w:top w:val="none" w:sz="0" w:space="0" w:color="auto"/>
            <w:left w:val="none" w:sz="0" w:space="0" w:color="auto"/>
            <w:bottom w:val="none" w:sz="0" w:space="0" w:color="auto"/>
            <w:right w:val="none" w:sz="0" w:space="0" w:color="auto"/>
          </w:divBdr>
          <w:divsChild>
            <w:div w:id="2050034713">
              <w:marLeft w:val="0"/>
              <w:marRight w:val="0"/>
              <w:marTop w:val="0"/>
              <w:marBottom w:val="0"/>
              <w:divBdr>
                <w:top w:val="none" w:sz="0" w:space="0" w:color="auto"/>
                <w:left w:val="none" w:sz="0" w:space="0" w:color="auto"/>
                <w:bottom w:val="none" w:sz="0" w:space="0" w:color="auto"/>
                <w:right w:val="none" w:sz="0" w:space="0" w:color="auto"/>
              </w:divBdr>
              <w:divsChild>
                <w:div w:id="117507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897660">
          <w:marLeft w:val="0"/>
          <w:marRight w:val="0"/>
          <w:marTop w:val="0"/>
          <w:marBottom w:val="0"/>
          <w:divBdr>
            <w:top w:val="none" w:sz="0" w:space="0" w:color="auto"/>
            <w:left w:val="none" w:sz="0" w:space="0" w:color="auto"/>
            <w:bottom w:val="none" w:sz="0" w:space="0" w:color="auto"/>
            <w:right w:val="none" w:sz="0" w:space="0" w:color="auto"/>
          </w:divBdr>
          <w:divsChild>
            <w:div w:id="1474714315">
              <w:marLeft w:val="0"/>
              <w:marRight w:val="0"/>
              <w:marTop w:val="0"/>
              <w:marBottom w:val="0"/>
              <w:divBdr>
                <w:top w:val="none" w:sz="0" w:space="0" w:color="auto"/>
                <w:left w:val="none" w:sz="0" w:space="0" w:color="auto"/>
                <w:bottom w:val="none" w:sz="0" w:space="0" w:color="auto"/>
                <w:right w:val="none" w:sz="0" w:space="0" w:color="auto"/>
              </w:divBdr>
              <w:divsChild>
                <w:div w:id="605187259">
                  <w:marLeft w:val="0"/>
                  <w:marRight w:val="0"/>
                  <w:marTop w:val="225"/>
                  <w:marBottom w:val="225"/>
                  <w:divBdr>
                    <w:top w:val="none" w:sz="0" w:space="0" w:color="auto"/>
                    <w:left w:val="none" w:sz="0" w:space="0" w:color="auto"/>
                    <w:bottom w:val="none" w:sz="0" w:space="0" w:color="auto"/>
                    <w:right w:val="none" w:sz="0" w:space="0" w:color="auto"/>
                  </w:divBdr>
                </w:div>
              </w:divsChild>
            </w:div>
            <w:div w:id="21238404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68900713">
      <w:bodyDiv w:val="1"/>
      <w:marLeft w:val="0"/>
      <w:marRight w:val="0"/>
      <w:marTop w:val="0"/>
      <w:marBottom w:val="0"/>
      <w:divBdr>
        <w:top w:val="none" w:sz="0" w:space="0" w:color="auto"/>
        <w:left w:val="none" w:sz="0" w:space="0" w:color="auto"/>
        <w:bottom w:val="none" w:sz="0" w:space="0" w:color="auto"/>
        <w:right w:val="none" w:sz="0" w:space="0" w:color="auto"/>
      </w:divBdr>
    </w:div>
    <w:div w:id="1669408860">
      <w:bodyDiv w:val="1"/>
      <w:marLeft w:val="0"/>
      <w:marRight w:val="0"/>
      <w:marTop w:val="0"/>
      <w:marBottom w:val="0"/>
      <w:divBdr>
        <w:top w:val="none" w:sz="0" w:space="0" w:color="auto"/>
        <w:left w:val="none" w:sz="0" w:space="0" w:color="auto"/>
        <w:bottom w:val="none" w:sz="0" w:space="0" w:color="auto"/>
        <w:right w:val="none" w:sz="0" w:space="0" w:color="auto"/>
      </w:divBdr>
      <w:divsChild>
        <w:div w:id="212498663">
          <w:marLeft w:val="0"/>
          <w:marRight w:val="0"/>
          <w:marTop w:val="0"/>
          <w:marBottom w:val="0"/>
          <w:divBdr>
            <w:top w:val="none" w:sz="0" w:space="0" w:color="auto"/>
            <w:left w:val="none" w:sz="0" w:space="0" w:color="auto"/>
            <w:bottom w:val="none" w:sz="0" w:space="0" w:color="auto"/>
            <w:right w:val="none" w:sz="0" w:space="0" w:color="auto"/>
          </w:divBdr>
          <w:divsChild>
            <w:div w:id="1117485385">
              <w:marLeft w:val="0"/>
              <w:marRight w:val="0"/>
              <w:marTop w:val="0"/>
              <w:marBottom w:val="0"/>
              <w:divBdr>
                <w:top w:val="none" w:sz="0" w:space="0" w:color="auto"/>
                <w:left w:val="none" w:sz="0" w:space="0" w:color="auto"/>
                <w:bottom w:val="none" w:sz="0" w:space="0" w:color="auto"/>
                <w:right w:val="none" w:sz="0" w:space="0" w:color="auto"/>
              </w:divBdr>
            </w:div>
          </w:divsChild>
        </w:div>
        <w:div w:id="1642928396">
          <w:marLeft w:val="0"/>
          <w:marRight w:val="0"/>
          <w:marTop w:val="0"/>
          <w:marBottom w:val="0"/>
          <w:divBdr>
            <w:top w:val="none" w:sz="0" w:space="0" w:color="auto"/>
            <w:left w:val="none" w:sz="0" w:space="0" w:color="auto"/>
            <w:bottom w:val="none" w:sz="0" w:space="0" w:color="auto"/>
            <w:right w:val="none" w:sz="0" w:space="0" w:color="auto"/>
          </w:divBdr>
        </w:div>
        <w:div w:id="397485698">
          <w:marLeft w:val="0"/>
          <w:marRight w:val="0"/>
          <w:marTop w:val="0"/>
          <w:marBottom w:val="0"/>
          <w:divBdr>
            <w:top w:val="none" w:sz="0" w:space="0" w:color="auto"/>
            <w:left w:val="none" w:sz="0" w:space="0" w:color="auto"/>
            <w:bottom w:val="none" w:sz="0" w:space="0" w:color="auto"/>
            <w:right w:val="none" w:sz="0" w:space="0" w:color="auto"/>
          </w:divBdr>
          <w:divsChild>
            <w:div w:id="77293546">
              <w:marLeft w:val="-225"/>
              <w:marRight w:val="-225"/>
              <w:marTop w:val="0"/>
              <w:marBottom w:val="0"/>
              <w:divBdr>
                <w:top w:val="none" w:sz="0" w:space="0" w:color="auto"/>
                <w:left w:val="none" w:sz="0" w:space="0" w:color="auto"/>
                <w:bottom w:val="none" w:sz="0" w:space="0" w:color="auto"/>
                <w:right w:val="none" w:sz="0" w:space="0" w:color="auto"/>
              </w:divBdr>
              <w:divsChild>
                <w:div w:id="980423295">
                  <w:marLeft w:val="0"/>
                  <w:marRight w:val="0"/>
                  <w:marTop w:val="0"/>
                  <w:marBottom w:val="0"/>
                  <w:divBdr>
                    <w:top w:val="none" w:sz="0" w:space="0" w:color="auto"/>
                    <w:left w:val="none" w:sz="0" w:space="0" w:color="auto"/>
                    <w:bottom w:val="none" w:sz="0" w:space="0" w:color="auto"/>
                    <w:right w:val="single" w:sz="6" w:space="0" w:color="000000"/>
                  </w:divBdr>
                  <w:divsChild>
                    <w:div w:id="154030074">
                      <w:marLeft w:val="0"/>
                      <w:marRight w:val="0"/>
                      <w:marTop w:val="0"/>
                      <w:marBottom w:val="0"/>
                      <w:divBdr>
                        <w:top w:val="none" w:sz="0" w:space="0" w:color="auto"/>
                        <w:left w:val="none" w:sz="0" w:space="0" w:color="auto"/>
                        <w:bottom w:val="none" w:sz="0" w:space="0" w:color="auto"/>
                        <w:right w:val="none" w:sz="0" w:space="0" w:color="auto"/>
                      </w:divBdr>
                      <w:divsChild>
                        <w:div w:id="2056856720">
                          <w:marLeft w:val="0"/>
                          <w:marRight w:val="0"/>
                          <w:marTop w:val="0"/>
                          <w:marBottom w:val="0"/>
                          <w:divBdr>
                            <w:top w:val="none" w:sz="0" w:space="0" w:color="auto"/>
                            <w:left w:val="none" w:sz="0" w:space="0" w:color="auto"/>
                            <w:bottom w:val="none" w:sz="0" w:space="0" w:color="auto"/>
                            <w:right w:val="none" w:sz="0" w:space="0" w:color="auto"/>
                          </w:divBdr>
                        </w:div>
                        <w:div w:id="130616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558869">
      <w:bodyDiv w:val="1"/>
      <w:marLeft w:val="0"/>
      <w:marRight w:val="0"/>
      <w:marTop w:val="0"/>
      <w:marBottom w:val="0"/>
      <w:divBdr>
        <w:top w:val="none" w:sz="0" w:space="0" w:color="auto"/>
        <w:left w:val="none" w:sz="0" w:space="0" w:color="auto"/>
        <w:bottom w:val="none" w:sz="0" w:space="0" w:color="auto"/>
        <w:right w:val="none" w:sz="0" w:space="0" w:color="auto"/>
      </w:divBdr>
      <w:divsChild>
        <w:div w:id="1381517900">
          <w:marLeft w:val="0"/>
          <w:marRight w:val="0"/>
          <w:marTop w:val="0"/>
          <w:marBottom w:val="0"/>
          <w:divBdr>
            <w:top w:val="none" w:sz="0" w:space="0" w:color="auto"/>
            <w:left w:val="none" w:sz="0" w:space="0" w:color="auto"/>
            <w:bottom w:val="none" w:sz="0" w:space="0" w:color="auto"/>
            <w:right w:val="none" w:sz="0" w:space="0" w:color="auto"/>
          </w:divBdr>
          <w:divsChild>
            <w:div w:id="558788387">
              <w:marLeft w:val="0"/>
              <w:marRight w:val="0"/>
              <w:marTop w:val="0"/>
              <w:marBottom w:val="150"/>
              <w:divBdr>
                <w:top w:val="none" w:sz="0" w:space="0" w:color="auto"/>
                <w:left w:val="none" w:sz="0" w:space="0" w:color="auto"/>
                <w:bottom w:val="none" w:sz="0" w:space="0" w:color="auto"/>
                <w:right w:val="none" w:sz="0" w:space="0" w:color="auto"/>
              </w:divBdr>
            </w:div>
            <w:div w:id="1480342371">
              <w:marLeft w:val="0"/>
              <w:marRight w:val="0"/>
              <w:marTop w:val="0"/>
              <w:marBottom w:val="0"/>
              <w:divBdr>
                <w:top w:val="none" w:sz="0" w:space="0" w:color="auto"/>
                <w:left w:val="none" w:sz="0" w:space="0" w:color="auto"/>
                <w:bottom w:val="none" w:sz="0" w:space="0" w:color="auto"/>
                <w:right w:val="none" w:sz="0" w:space="0" w:color="auto"/>
              </w:divBdr>
              <w:divsChild>
                <w:div w:id="3908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599259">
      <w:bodyDiv w:val="1"/>
      <w:marLeft w:val="0"/>
      <w:marRight w:val="0"/>
      <w:marTop w:val="0"/>
      <w:marBottom w:val="0"/>
      <w:divBdr>
        <w:top w:val="none" w:sz="0" w:space="0" w:color="auto"/>
        <w:left w:val="none" w:sz="0" w:space="0" w:color="auto"/>
        <w:bottom w:val="none" w:sz="0" w:space="0" w:color="auto"/>
        <w:right w:val="none" w:sz="0" w:space="0" w:color="auto"/>
      </w:divBdr>
      <w:divsChild>
        <w:div w:id="371148337">
          <w:marLeft w:val="0"/>
          <w:marRight w:val="0"/>
          <w:marTop w:val="0"/>
          <w:marBottom w:val="0"/>
          <w:divBdr>
            <w:top w:val="none" w:sz="0" w:space="0" w:color="auto"/>
            <w:left w:val="none" w:sz="0" w:space="0" w:color="auto"/>
            <w:bottom w:val="none" w:sz="0" w:space="0" w:color="auto"/>
            <w:right w:val="none" w:sz="0" w:space="0" w:color="auto"/>
          </w:divBdr>
          <w:divsChild>
            <w:div w:id="800313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69627898">
      <w:bodyDiv w:val="1"/>
      <w:marLeft w:val="0"/>
      <w:marRight w:val="0"/>
      <w:marTop w:val="0"/>
      <w:marBottom w:val="0"/>
      <w:divBdr>
        <w:top w:val="none" w:sz="0" w:space="0" w:color="auto"/>
        <w:left w:val="none" w:sz="0" w:space="0" w:color="auto"/>
        <w:bottom w:val="none" w:sz="0" w:space="0" w:color="auto"/>
        <w:right w:val="none" w:sz="0" w:space="0" w:color="auto"/>
      </w:divBdr>
      <w:divsChild>
        <w:div w:id="217280345">
          <w:marLeft w:val="0"/>
          <w:marRight w:val="0"/>
          <w:marTop w:val="0"/>
          <w:marBottom w:val="0"/>
          <w:divBdr>
            <w:top w:val="none" w:sz="0" w:space="0" w:color="auto"/>
            <w:left w:val="none" w:sz="0" w:space="0" w:color="auto"/>
            <w:bottom w:val="none" w:sz="0" w:space="0" w:color="auto"/>
            <w:right w:val="none" w:sz="0" w:space="0" w:color="auto"/>
          </w:divBdr>
          <w:divsChild>
            <w:div w:id="1279068034">
              <w:marLeft w:val="0"/>
              <w:marRight w:val="0"/>
              <w:marTop w:val="0"/>
              <w:marBottom w:val="0"/>
              <w:divBdr>
                <w:top w:val="none" w:sz="0" w:space="0" w:color="auto"/>
                <w:left w:val="none" w:sz="0" w:space="0" w:color="auto"/>
                <w:bottom w:val="none" w:sz="0" w:space="0" w:color="auto"/>
                <w:right w:val="none" w:sz="0" w:space="0" w:color="auto"/>
              </w:divBdr>
              <w:divsChild>
                <w:div w:id="1797331148">
                  <w:marLeft w:val="0"/>
                  <w:marRight w:val="0"/>
                  <w:marTop w:val="0"/>
                  <w:marBottom w:val="0"/>
                  <w:divBdr>
                    <w:top w:val="none" w:sz="0" w:space="0" w:color="auto"/>
                    <w:left w:val="none" w:sz="0" w:space="0" w:color="auto"/>
                    <w:bottom w:val="none" w:sz="0" w:space="0" w:color="auto"/>
                    <w:right w:val="none" w:sz="0" w:space="0" w:color="auto"/>
                  </w:divBdr>
                  <w:divsChild>
                    <w:div w:id="1362704020">
                      <w:marLeft w:val="0"/>
                      <w:marRight w:val="0"/>
                      <w:marTop w:val="0"/>
                      <w:marBottom w:val="0"/>
                      <w:divBdr>
                        <w:top w:val="none" w:sz="0" w:space="0" w:color="auto"/>
                        <w:left w:val="none" w:sz="0" w:space="0" w:color="auto"/>
                        <w:bottom w:val="none" w:sz="0" w:space="0" w:color="auto"/>
                        <w:right w:val="none" w:sz="0" w:space="0" w:color="auto"/>
                      </w:divBdr>
                      <w:divsChild>
                        <w:div w:id="1118647011">
                          <w:marLeft w:val="0"/>
                          <w:marRight w:val="0"/>
                          <w:marTop w:val="0"/>
                          <w:marBottom w:val="0"/>
                          <w:divBdr>
                            <w:top w:val="none" w:sz="0" w:space="0" w:color="auto"/>
                            <w:left w:val="none" w:sz="0" w:space="0" w:color="auto"/>
                            <w:bottom w:val="none" w:sz="0" w:space="0" w:color="auto"/>
                            <w:right w:val="none" w:sz="0" w:space="0" w:color="auto"/>
                          </w:divBdr>
                          <w:divsChild>
                            <w:div w:id="262618485">
                              <w:marLeft w:val="0"/>
                              <w:marRight w:val="0"/>
                              <w:marTop w:val="0"/>
                              <w:marBottom w:val="0"/>
                              <w:divBdr>
                                <w:top w:val="none" w:sz="0" w:space="0" w:color="auto"/>
                                <w:left w:val="none" w:sz="0" w:space="0" w:color="auto"/>
                                <w:bottom w:val="none" w:sz="0" w:space="0" w:color="auto"/>
                                <w:right w:val="none" w:sz="0" w:space="0" w:color="auto"/>
                              </w:divBdr>
                              <w:divsChild>
                                <w:div w:id="1906135813">
                                  <w:marLeft w:val="0"/>
                                  <w:marRight w:val="0"/>
                                  <w:marTop w:val="0"/>
                                  <w:marBottom w:val="0"/>
                                  <w:divBdr>
                                    <w:top w:val="none" w:sz="0" w:space="0" w:color="auto"/>
                                    <w:left w:val="none" w:sz="0" w:space="0" w:color="auto"/>
                                    <w:bottom w:val="none" w:sz="0" w:space="0" w:color="auto"/>
                                    <w:right w:val="none" w:sz="0" w:space="0" w:color="auto"/>
                                  </w:divBdr>
                                  <w:divsChild>
                                    <w:div w:id="7563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0281501">
      <w:bodyDiv w:val="1"/>
      <w:marLeft w:val="0"/>
      <w:marRight w:val="0"/>
      <w:marTop w:val="0"/>
      <w:marBottom w:val="0"/>
      <w:divBdr>
        <w:top w:val="none" w:sz="0" w:space="0" w:color="auto"/>
        <w:left w:val="none" w:sz="0" w:space="0" w:color="auto"/>
        <w:bottom w:val="none" w:sz="0" w:space="0" w:color="auto"/>
        <w:right w:val="none" w:sz="0" w:space="0" w:color="auto"/>
      </w:divBdr>
      <w:divsChild>
        <w:div w:id="1372418168">
          <w:marLeft w:val="0"/>
          <w:marRight w:val="0"/>
          <w:marTop w:val="0"/>
          <w:marBottom w:val="0"/>
          <w:divBdr>
            <w:top w:val="none" w:sz="0" w:space="0" w:color="auto"/>
            <w:left w:val="none" w:sz="0" w:space="0" w:color="auto"/>
            <w:bottom w:val="dotted" w:sz="6" w:space="4" w:color="DDDDDD"/>
            <w:right w:val="none" w:sz="0" w:space="0" w:color="auto"/>
          </w:divBdr>
        </w:div>
      </w:divsChild>
    </w:div>
    <w:div w:id="1670324228">
      <w:bodyDiv w:val="1"/>
      <w:marLeft w:val="0"/>
      <w:marRight w:val="0"/>
      <w:marTop w:val="0"/>
      <w:marBottom w:val="0"/>
      <w:divBdr>
        <w:top w:val="none" w:sz="0" w:space="0" w:color="auto"/>
        <w:left w:val="none" w:sz="0" w:space="0" w:color="auto"/>
        <w:bottom w:val="none" w:sz="0" w:space="0" w:color="auto"/>
        <w:right w:val="none" w:sz="0" w:space="0" w:color="auto"/>
      </w:divBdr>
      <w:divsChild>
        <w:div w:id="1303197822">
          <w:marLeft w:val="0"/>
          <w:marRight w:val="0"/>
          <w:marTop w:val="0"/>
          <w:marBottom w:val="0"/>
          <w:divBdr>
            <w:top w:val="none" w:sz="0" w:space="0" w:color="auto"/>
            <w:left w:val="none" w:sz="0" w:space="0" w:color="auto"/>
            <w:bottom w:val="none" w:sz="0" w:space="0" w:color="auto"/>
            <w:right w:val="none" w:sz="0" w:space="0" w:color="auto"/>
          </w:divBdr>
          <w:divsChild>
            <w:div w:id="357976098">
              <w:marLeft w:val="0"/>
              <w:marRight w:val="0"/>
              <w:marTop w:val="0"/>
              <w:marBottom w:val="0"/>
              <w:divBdr>
                <w:top w:val="none" w:sz="0" w:space="0" w:color="auto"/>
                <w:left w:val="none" w:sz="0" w:space="0" w:color="auto"/>
                <w:bottom w:val="none" w:sz="0" w:space="0" w:color="auto"/>
                <w:right w:val="none" w:sz="0" w:space="0" w:color="auto"/>
              </w:divBdr>
              <w:divsChild>
                <w:div w:id="2099474360">
                  <w:marLeft w:val="0"/>
                  <w:marRight w:val="0"/>
                  <w:marTop w:val="0"/>
                  <w:marBottom w:val="0"/>
                  <w:divBdr>
                    <w:top w:val="none" w:sz="0" w:space="0" w:color="auto"/>
                    <w:left w:val="none" w:sz="0" w:space="0" w:color="auto"/>
                    <w:bottom w:val="none" w:sz="0" w:space="0" w:color="auto"/>
                    <w:right w:val="none" w:sz="0" w:space="0" w:color="auto"/>
                  </w:divBdr>
                  <w:divsChild>
                    <w:div w:id="1596135399">
                      <w:marLeft w:val="0"/>
                      <w:marRight w:val="0"/>
                      <w:marTop w:val="0"/>
                      <w:marBottom w:val="0"/>
                      <w:divBdr>
                        <w:top w:val="none" w:sz="0" w:space="0" w:color="auto"/>
                        <w:left w:val="none" w:sz="0" w:space="0" w:color="auto"/>
                        <w:bottom w:val="none" w:sz="0" w:space="0" w:color="auto"/>
                        <w:right w:val="none" w:sz="0" w:space="0" w:color="auto"/>
                      </w:divBdr>
                      <w:divsChild>
                        <w:div w:id="67652272">
                          <w:marLeft w:val="0"/>
                          <w:marRight w:val="0"/>
                          <w:marTop w:val="0"/>
                          <w:marBottom w:val="0"/>
                          <w:divBdr>
                            <w:top w:val="none" w:sz="0" w:space="0" w:color="auto"/>
                            <w:left w:val="none" w:sz="0" w:space="0" w:color="auto"/>
                            <w:bottom w:val="none" w:sz="0" w:space="0" w:color="auto"/>
                            <w:right w:val="none" w:sz="0" w:space="0" w:color="auto"/>
                          </w:divBdr>
                          <w:divsChild>
                            <w:div w:id="191319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0407170">
      <w:bodyDiv w:val="1"/>
      <w:marLeft w:val="0"/>
      <w:marRight w:val="0"/>
      <w:marTop w:val="0"/>
      <w:marBottom w:val="0"/>
      <w:divBdr>
        <w:top w:val="none" w:sz="0" w:space="0" w:color="auto"/>
        <w:left w:val="none" w:sz="0" w:space="0" w:color="auto"/>
        <w:bottom w:val="none" w:sz="0" w:space="0" w:color="auto"/>
        <w:right w:val="none" w:sz="0" w:space="0" w:color="auto"/>
      </w:divBdr>
      <w:divsChild>
        <w:div w:id="633103133">
          <w:marLeft w:val="0"/>
          <w:marRight w:val="0"/>
          <w:marTop w:val="0"/>
          <w:marBottom w:val="0"/>
          <w:divBdr>
            <w:top w:val="none" w:sz="0" w:space="0" w:color="auto"/>
            <w:left w:val="none" w:sz="0" w:space="0" w:color="auto"/>
            <w:bottom w:val="dotted" w:sz="6" w:space="4" w:color="DDDDDD"/>
            <w:right w:val="none" w:sz="0" w:space="0" w:color="auto"/>
          </w:divBdr>
          <w:divsChild>
            <w:div w:id="78696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790137">
      <w:bodyDiv w:val="1"/>
      <w:marLeft w:val="0"/>
      <w:marRight w:val="0"/>
      <w:marTop w:val="0"/>
      <w:marBottom w:val="0"/>
      <w:divBdr>
        <w:top w:val="none" w:sz="0" w:space="0" w:color="auto"/>
        <w:left w:val="none" w:sz="0" w:space="0" w:color="auto"/>
        <w:bottom w:val="none" w:sz="0" w:space="0" w:color="auto"/>
        <w:right w:val="none" w:sz="0" w:space="0" w:color="auto"/>
      </w:divBdr>
    </w:div>
    <w:div w:id="1671105546">
      <w:bodyDiv w:val="1"/>
      <w:marLeft w:val="0"/>
      <w:marRight w:val="0"/>
      <w:marTop w:val="0"/>
      <w:marBottom w:val="0"/>
      <w:divBdr>
        <w:top w:val="none" w:sz="0" w:space="0" w:color="auto"/>
        <w:left w:val="none" w:sz="0" w:space="0" w:color="auto"/>
        <w:bottom w:val="none" w:sz="0" w:space="0" w:color="auto"/>
        <w:right w:val="none" w:sz="0" w:space="0" w:color="auto"/>
      </w:divBdr>
      <w:divsChild>
        <w:div w:id="1378891666">
          <w:marLeft w:val="0"/>
          <w:marRight w:val="0"/>
          <w:marTop w:val="0"/>
          <w:marBottom w:val="0"/>
          <w:divBdr>
            <w:top w:val="none" w:sz="0" w:space="0" w:color="auto"/>
            <w:left w:val="none" w:sz="0" w:space="0" w:color="auto"/>
            <w:bottom w:val="none" w:sz="0" w:space="0" w:color="auto"/>
            <w:right w:val="none" w:sz="0" w:space="0" w:color="auto"/>
          </w:divBdr>
          <w:divsChild>
            <w:div w:id="602345976">
              <w:marLeft w:val="0"/>
              <w:marRight w:val="0"/>
              <w:marTop w:val="0"/>
              <w:marBottom w:val="0"/>
              <w:divBdr>
                <w:top w:val="none" w:sz="0" w:space="0" w:color="auto"/>
                <w:left w:val="none" w:sz="0" w:space="0" w:color="auto"/>
                <w:bottom w:val="none" w:sz="0" w:space="0" w:color="auto"/>
                <w:right w:val="none" w:sz="0" w:space="0" w:color="auto"/>
              </w:divBdr>
              <w:divsChild>
                <w:div w:id="1028725362">
                  <w:marLeft w:val="0"/>
                  <w:marRight w:val="0"/>
                  <w:marTop w:val="0"/>
                  <w:marBottom w:val="0"/>
                  <w:divBdr>
                    <w:top w:val="none" w:sz="0" w:space="0" w:color="auto"/>
                    <w:left w:val="none" w:sz="0" w:space="0" w:color="auto"/>
                    <w:bottom w:val="none" w:sz="0" w:space="0" w:color="auto"/>
                    <w:right w:val="none" w:sz="0" w:space="0" w:color="auto"/>
                  </w:divBdr>
                  <w:divsChild>
                    <w:div w:id="564266099">
                      <w:marLeft w:val="0"/>
                      <w:marRight w:val="0"/>
                      <w:marTop w:val="0"/>
                      <w:marBottom w:val="0"/>
                      <w:divBdr>
                        <w:top w:val="none" w:sz="0" w:space="0" w:color="auto"/>
                        <w:left w:val="none" w:sz="0" w:space="0" w:color="auto"/>
                        <w:bottom w:val="none" w:sz="0" w:space="0" w:color="auto"/>
                        <w:right w:val="none" w:sz="0" w:space="0" w:color="auto"/>
                      </w:divBdr>
                      <w:divsChild>
                        <w:div w:id="824396813">
                          <w:marLeft w:val="0"/>
                          <w:marRight w:val="0"/>
                          <w:marTop w:val="0"/>
                          <w:marBottom w:val="0"/>
                          <w:divBdr>
                            <w:top w:val="none" w:sz="0" w:space="0" w:color="auto"/>
                            <w:left w:val="none" w:sz="0" w:space="0" w:color="auto"/>
                            <w:bottom w:val="none" w:sz="0" w:space="0" w:color="auto"/>
                            <w:right w:val="none" w:sz="0" w:space="0" w:color="auto"/>
                          </w:divBdr>
                          <w:divsChild>
                            <w:div w:id="1079056530">
                              <w:marLeft w:val="0"/>
                              <w:marRight w:val="0"/>
                              <w:marTop w:val="0"/>
                              <w:marBottom w:val="0"/>
                              <w:divBdr>
                                <w:top w:val="none" w:sz="0" w:space="0" w:color="auto"/>
                                <w:left w:val="none" w:sz="0" w:space="0" w:color="auto"/>
                                <w:bottom w:val="none" w:sz="0" w:space="0" w:color="auto"/>
                                <w:right w:val="none" w:sz="0" w:space="0" w:color="auto"/>
                              </w:divBdr>
                              <w:divsChild>
                                <w:div w:id="68236804">
                                  <w:marLeft w:val="0"/>
                                  <w:marRight w:val="0"/>
                                  <w:marTop w:val="0"/>
                                  <w:marBottom w:val="0"/>
                                  <w:divBdr>
                                    <w:top w:val="none" w:sz="0" w:space="0" w:color="auto"/>
                                    <w:left w:val="none" w:sz="0" w:space="0" w:color="auto"/>
                                    <w:bottom w:val="none" w:sz="0" w:space="0" w:color="auto"/>
                                    <w:right w:val="none" w:sz="0" w:space="0" w:color="auto"/>
                                  </w:divBdr>
                                  <w:divsChild>
                                    <w:div w:id="202350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1516846">
      <w:bodyDiv w:val="1"/>
      <w:marLeft w:val="0"/>
      <w:marRight w:val="0"/>
      <w:marTop w:val="0"/>
      <w:marBottom w:val="0"/>
      <w:divBdr>
        <w:top w:val="none" w:sz="0" w:space="0" w:color="auto"/>
        <w:left w:val="none" w:sz="0" w:space="0" w:color="auto"/>
        <w:bottom w:val="none" w:sz="0" w:space="0" w:color="auto"/>
        <w:right w:val="none" w:sz="0" w:space="0" w:color="auto"/>
      </w:divBdr>
      <w:divsChild>
        <w:div w:id="2011442015">
          <w:marLeft w:val="0"/>
          <w:marRight w:val="0"/>
          <w:marTop w:val="0"/>
          <w:marBottom w:val="0"/>
          <w:divBdr>
            <w:top w:val="none" w:sz="0" w:space="0" w:color="auto"/>
            <w:left w:val="none" w:sz="0" w:space="0" w:color="auto"/>
            <w:bottom w:val="none" w:sz="0" w:space="0" w:color="auto"/>
            <w:right w:val="none" w:sz="0" w:space="0" w:color="auto"/>
          </w:divBdr>
          <w:divsChild>
            <w:div w:id="311105344">
              <w:marLeft w:val="0"/>
              <w:marRight w:val="0"/>
              <w:marTop w:val="0"/>
              <w:marBottom w:val="0"/>
              <w:divBdr>
                <w:top w:val="none" w:sz="0" w:space="0" w:color="auto"/>
                <w:left w:val="none" w:sz="0" w:space="0" w:color="auto"/>
                <w:bottom w:val="none" w:sz="0" w:space="0" w:color="auto"/>
                <w:right w:val="none" w:sz="0" w:space="0" w:color="auto"/>
              </w:divBdr>
              <w:divsChild>
                <w:div w:id="1342849719">
                  <w:marLeft w:val="0"/>
                  <w:marRight w:val="0"/>
                  <w:marTop w:val="0"/>
                  <w:marBottom w:val="0"/>
                  <w:divBdr>
                    <w:top w:val="none" w:sz="0" w:space="0" w:color="auto"/>
                    <w:left w:val="none" w:sz="0" w:space="0" w:color="auto"/>
                    <w:bottom w:val="none" w:sz="0" w:space="0" w:color="auto"/>
                    <w:right w:val="none" w:sz="0" w:space="0" w:color="auto"/>
                  </w:divBdr>
                  <w:divsChild>
                    <w:div w:id="1491754259">
                      <w:marLeft w:val="0"/>
                      <w:marRight w:val="0"/>
                      <w:marTop w:val="0"/>
                      <w:marBottom w:val="0"/>
                      <w:divBdr>
                        <w:top w:val="none" w:sz="0" w:space="0" w:color="auto"/>
                        <w:left w:val="none" w:sz="0" w:space="0" w:color="auto"/>
                        <w:bottom w:val="none" w:sz="0" w:space="0" w:color="auto"/>
                        <w:right w:val="none" w:sz="0" w:space="0" w:color="auto"/>
                      </w:divBdr>
                      <w:divsChild>
                        <w:div w:id="808325424">
                          <w:marLeft w:val="0"/>
                          <w:marRight w:val="0"/>
                          <w:marTop w:val="0"/>
                          <w:marBottom w:val="0"/>
                          <w:divBdr>
                            <w:top w:val="none" w:sz="0" w:space="0" w:color="auto"/>
                            <w:left w:val="none" w:sz="0" w:space="0" w:color="auto"/>
                            <w:bottom w:val="none" w:sz="0" w:space="0" w:color="auto"/>
                            <w:right w:val="none" w:sz="0" w:space="0" w:color="auto"/>
                          </w:divBdr>
                          <w:divsChild>
                            <w:div w:id="1405226009">
                              <w:marLeft w:val="0"/>
                              <w:marRight w:val="0"/>
                              <w:marTop w:val="0"/>
                              <w:marBottom w:val="0"/>
                              <w:divBdr>
                                <w:top w:val="none" w:sz="0" w:space="0" w:color="auto"/>
                                <w:left w:val="none" w:sz="0" w:space="0" w:color="auto"/>
                                <w:bottom w:val="none" w:sz="0" w:space="0" w:color="auto"/>
                                <w:right w:val="none" w:sz="0" w:space="0" w:color="auto"/>
                              </w:divBdr>
                              <w:divsChild>
                                <w:div w:id="1358388449">
                                  <w:marLeft w:val="0"/>
                                  <w:marRight w:val="0"/>
                                  <w:marTop w:val="0"/>
                                  <w:marBottom w:val="0"/>
                                  <w:divBdr>
                                    <w:top w:val="none" w:sz="0" w:space="0" w:color="auto"/>
                                    <w:left w:val="none" w:sz="0" w:space="0" w:color="auto"/>
                                    <w:bottom w:val="none" w:sz="0" w:space="0" w:color="auto"/>
                                    <w:right w:val="none" w:sz="0" w:space="0" w:color="auto"/>
                                  </w:divBdr>
                                  <w:divsChild>
                                    <w:div w:id="110881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025268">
      <w:bodyDiv w:val="1"/>
      <w:marLeft w:val="0"/>
      <w:marRight w:val="0"/>
      <w:marTop w:val="0"/>
      <w:marBottom w:val="0"/>
      <w:divBdr>
        <w:top w:val="none" w:sz="0" w:space="0" w:color="auto"/>
        <w:left w:val="none" w:sz="0" w:space="0" w:color="auto"/>
        <w:bottom w:val="none" w:sz="0" w:space="0" w:color="auto"/>
        <w:right w:val="none" w:sz="0" w:space="0" w:color="auto"/>
      </w:divBdr>
    </w:div>
    <w:div w:id="1672641996">
      <w:bodyDiv w:val="1"/>
      <w:marLeft w:val="0"/>
      <w:marRight w:val="0"/>
      <w:marTop w:val="0"/>
      <w:marBottom w:val="0"/>
      <w:divBdr>
        <w:top w:val="none" w:sz="0" w:space="0" w:color="auto"/>
        <w:left w:val="none" w:sz="0" w:space="0" w:color="auto"/>
        <w:bottom w:val="none" w:sz="0" w:space="0" w:color="auto"/>
        <w:right w:val="none" w:sz="0" w:space="0" w:color="auto"/>
      </w:divBdr>
    </w:div>
    <w:div w:id="1673685009">
      <w:bodyDiv w:val="1"/>
      <w:marLeft w:val="0"/>
      <w:marRight w:val="0"/>
      <w:marTop w:val="0"/>
      <w:marBottom w:val="0"/>
      <w:divBdr>
        <w:top w:val="none" w:sz="0" w:space="0" w:color="auto"/>
        <w:left w:val="none" w:sz="0" w:space="0" w:color="auto"/>
        <w:bottom w:val="none" w:sz="0" w:space="0" w:color="auto"/>
        <w:right w:val="none" w:sz="0" w:space="0" w:color="auto"/>
      </w:divBdr>
      <w:divsChild>
        <w:div w:id="1121263627">
          <w:marLeft w:val="0"/>
          <w:marRight w:val="0"/>
          <w:marTop w:val="0"/>
          <w:marBottom w:val="0"/>
          <w:divBdr>
            <w:top w:val="none" w:sz="0" w:space="0" w:color="auto"/>
            <w:left w:val="none" w:sz="0" w:space="0" w:color="auto"/>
            <w:bottom w:val="none" w:sz="0" w:space="0" w:color="auto"/>
            <w:right w:val="none" w:sz="0" w:space="0" w:color="auto"/>
          </w:divBdr>
          <w:divsChild>
            <w:div w:id="507016285">
              <w:marLeft w:val="0"/>
              <w:marRight w:val="0"/>
              <w:marTop w:val="0"/>
              <w:marBottom w:val="0"/>
              <w:divBdr>
                <w:top w:val="none" w:sz="0" w:space="0" w:color="auto"/>
                <w:left w:val="none" w:sz="0" w:space="0" w:color="auto"/>
                <w:bottom w:val="none" w:sz="0" w:space="0" w:color="auto"/>
                <w:right w:val="none" w:sz="0" w:space="0" w:color="auto"/>
              </w:divBdr>
              <w:divsChild>
                <w:div w:id="725302891">
                  <w:marLeft w:val="0"/>
                  <w:marRight w:val="0"/>
                  <w:marTop w:val="0"/>
                  <w:marBottom w:val="0"/>
                  <w:divBdr>
                    <w:top w:val="none" w:sz="0" w:space="0" w:color="auto"/>
                    <w:left w:val="none" w:sz="0" w:space="0" w:color="auto"/>
                    <w:bottom w:val="none" w:sz="0" w:space="0" w:color="auto"/>
                    <w:right w:val="none" w:sz="0" w:space="0" w:color="auto"/>
                  </w:divBdr>
                  <w:divsChild>
                    <w:div w:id="200289040">
                      <w:marLeft w:val="0"/>
                      <w:marRight w:val="0"/>
                      <w:marTop w:val="0"/>
                      <w:marBottom w:val="0"/>
                      <w:divBdr>
                        <w:top w:val="none" w:sz="0" w:space="0" w:color="auto"/>
                        <w:left w:val="none" w:sz="0" w:space="0" w:color="auto"/>
                        <w:bottom w:val="none" w:sz="0" w:space="0" w:color="auto"/>
                        <w:right w:val="none" w:sz="0" w:space="0" w:color="auto"/>
                      </w:divBdr>
                      <w:divsChild>
                        <w:div w:id="1996445786">
                          <w:marLeft w:val="0"/>
                          <w:marRight w:val="0"/>
                          <w:marTop w:val="0"/>
                          <w:marBottom w:val="0"/>
                          <w:divBdr>
                            <w:top w:val="none" w:sz="0" w:space="0" w:color="auto"/>
                            <w:left w:val="none" w:sz="0" w:space="0" w:color="auto"/>
                            <w:bottom w:val="none" w:sz="0" w:space="0" w:color="auto"/>
                            <w:right w:val="none" w:sz="0" w:space="0" w:color="auto"/>
                          </w:divBdr>
                          <w:divsChild>
                            <w:div w:id="459618948">
                              <w:marLeft w:val="0"/>
                              <w:marRight w:val="0"/>
                              <w:marTop w:val="0"/>
                              <w:marBottom w:val="0"/>
                              <w:divBdr>
                                <w:top w:val="none" w:sz="0" w:space="0" w:color="auto"/>
                                <w:left w:val="none" w:sz="0" w:space="0" w:color="auto"/>
                                <w:bottom w:val="none" w:sz="0" w:space="0" w:color="auto"/>
                                <w:right w:val="none" w:sz="0" w:space="0" w:color="auto"/>
                              </w:divBdr>
                              <w:divsChild>
                                <w:div w:id="862670460">
                                  <w:marLeft w:val="0"/>
                                  <w:marRight w:val="0"/>
                                  <w:marTop w:val="0"/>
                                  <w:marBottom w:val="0"/>
                                  <w:divBdr>
                                    <w:top w:val="none" w:sz="0" w:space="0" w:color="auto"/>
                                    <w:left w:val="none" w:sz="0" w:space="0" w:color="auto"/>
                                    <w:bottom w:val="none" w:sz="0" w:space="0" w:color="auto"/>
                                    <w:right w:val="none" w:sz="0" w:space="0" w:color="auto"/>
                                  </w:divBdr>
                                  <w:divsChild>
                                    <w:div w:id="510218757">
                                      <w:marLeft w:val="0"/>
                                      <w:marRight w:val="0"/>
                                      <w:marTop w:val="0"/>
                                      <w:marBottom w:val="0"/>
                                      <w:divBdr>
                                        <w:top w:val="none" w:sz="0" w:space="0" w:color="auto"/>
                                        <w:left w:val="none" w:sz="0" w:space="0" w:color="auto"/>
                                        <w:bottom w:val="none" w:sz="0" w:space="0" w:color="auto"/>
                                        <w:right w:val="none" w:sz="0" w:space="0" w:color="auto"/>
                                      </w:divBdr>
                                      <w:divsChild>
                                        <w:div w:id="23825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4263233">
      <w:bodyDiv w:val="1"/>
      <w:marLeft w:val="0"/>
      <w:marRight w:val="0"/>
      <w:marTop w:val="0"/>
      <w:marBottom w:val="0"/>
      <w:divBdr>
        <w:top w:val="none" w:sz="0" w:space="0" w:color="auto"/>
        <w:left w:val="none" w:sz="0" w:space="0" w:color="auto"/>
        <w:bottom w:val="none" w:sz="0" w:space="0" w:color="auto"/>
        <w:right w:val="none" w:sz="0" w:space="0" w:color="auto"/>
      </w:divBdr>
    </w:div>
    <w:div w:id="1674455373">
      <w:bodyDiv w:val="1"/>
      <w:marLeft w:val="0"/>
      <w:marRight w:val="0"/>
      <w:marTop w:val="0"/>
      <w:marBottom w:val="0"/>
      <w:divBdr>
        <w:top w:val="none" w:sz="0" w:space="0" w:color="auto"/>
        <w:left w:val="none" w:sz="0" w:space="0" w:color="auto"/>
        <w:bottom w:val="none" w:sz="0" w:space="0" w:color="auto"/>
        <w:right w:val="none" w:sz="0" w:space="0" w:color="auto"/>
      </w:divBdr>
      <w:divsChild>
        <w:div w:id="195242973">
          <w:marLeft w:val="0"/>
          <w:marRight w:val="0"/>
          <w:marTop w:val="0"/>
          <w:marBottom w:val="150"/>
          <w:divBdr>
            <w:top w:val="none" w:sz="0" w:space="0" w:color="auto"/>
            <w:left w:val="none" w:sz="0" w:space="0" w:color="auto"/>
            <w:bottom w:val="none" w:sz="0" w:space="0" w:color="auto"/>
            <w:right w:val="none" w:sz="0" w:space="0" w:color="auto"/>
          </w:divBdr>
        </w:div>
        <w:div w:id="239870140">
          <w:marLeft w:val="0"/>
          <w:marRight w:val="0"/>
          <w:marTop w:val="0"/>
          <w:marBottom w:val="0"/>
          <w:divBdr>
            <w:top w:val="none" w:sz="0" w:space="0" w:color="auto"/>
            <w:left w:val="none" w:sz="0" w:space="0" w:color="auto"/>
            <w:bottom w:val="none" w:sz="0" w:space="0" w:color="auto"/>
            <w:right w:val="none" w:sz="0" w:space="0" w:color="auto"/>
          </w:divBdr>
          <w:divsChild>
            <w:div w:id="613754880">
              <w:marLeft w:val="0"/>
              <w:marRight w:val="0"/>
              <w:marTop w:val="0"/>
              <w:marBottom w:val="0"/>
              <w:divBdr>
                <w:top w:val="none" w:sz="0" w:space="0" w:color="auto"/>
                <w:left w:val="none" w:sz="0" w:space="0" w:color="auto"/>
                <w:bottom w:val="none" w:sz="0" w:space="0" w:color="auto"/>
                <w:right w:val="none" w:sz="0" w:space="0" w:color="auto"/>
              </w:divBdr>
            </w:div>
          </w:divsChild>
        </w:div>
        <w:div w:id="1671102537">
          <w:marLeft w:val="0"/>
          <w:marRight w:val="0"/>
          <w:marTop w:val="0"/>
          <w:marBottom w:val="150"/>
          <w:divBdr>
            <w:top w:val="none" w:sz="0" w:space="0" w:color="auto"/>
            <w:left w:val="none" w:sz="0" w:space="0" w:color="auto"/>
            <w:bottom w:val="none" w:sz="0" w:space="0" w:color="auto"/>
            <w:right w:val="none" w:sz="0" w:space="0" w:color="auto"/>
          </w:divBdr>
          <w:divsChild>
            <w:div w:id="91832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719288">
      <w:bodyDiv w:val="1"/>
      <w:marLeft w:val="0"/>
      <w:marRight w:val="0"/>
      <w:marTop w:val="0"/>
      <w:marBottom w:val="0"/>
      <w:divBdr>
        <w:top w:val="none" w:sz="0" w:space="0" w:color="auto"/>
        <w:left w:val="none" w:sz="0" w:space="0" w:color="auto"/>
        <w:bottom w:val="none" w:sz="0" w:space="0" w:color="auto"/>
        <w:right w:val="none" w:sz="0" w:space="0" w:color="auto"/>
      </w:divBdr>
      <w:divsChild>
        <w:div w:id="383719930">
          <w:marLeft w:val="0"/>
          <w:marRight w:val="0"/>
          <w:marTop w:val="0"/>
          <w:marBottom w:val="150"/>
          <w:divBdr>
            <w:top w:val="none" w:sz="0" w:space="0" w:color="auto"/>
            <w:left w:val="none" w:sz="0" w:space="0" w:color="auto"/>
            <w:bottom w:val="none" w:sz="0" w:space="0" w:color="auto"/>
            <w:right w:val="none" w:sz="0" w:space="0" w:color="auto"/>
          </w:divBdr>
        </w:div>
        <w:div w:id="710425827">
          <w:marLeft w:val="0"/>
          <w:marRight w:val="0"/>
          <w:marTop w:val="0"/>
          <w:marBottom w:val="0"/>
          <w:divBdr>
            <w:top w:val="none" w:sz="0" w:space="0" w:color="auto"/>
            <w:left w:val="none" w:sz="0" w:space="0" w:color="auto"/>
            <w:bottom w:val="none" w:sz="0" w:space="0" w:color="auto"/>
            <w:right w:val="none" w:sz="0" w:space="0" w:color="auto"/>
          </w:divBdr>
        </w:div>
      </w:divsChild>
    </w:div>
    <w:div w:id="1675104711">
      <w:bodyDiv w:val="1"/>
      <w:marLeft w:val="0"/>
      <w:marRight w:val="0"/>
      <w:marTop w:val="0"/>
      <w:marBottom w:val="0"/>
      <w:divBdr>
        <w:top w:val="none" w:sz="0" w:space="0" w:color="auto"/>
        <w:left w:val="none" w:sz="0" w:space="0" w:color="auto"/>
        <w:bottom w:val="none" w:sz="0" w:space="0" w:color="auto"/>
        <w:right w:val="none" w:sz="0" w:space="0" w:color="auto"/>
      </w:divBdr>
      <w:divsChild>
        <w:div w:id="888882764">
          <w:marLeft w:val="0"/>
          <w:marRight w:val="0"/>
          <w:marTop w:val="0"/>
          <w:marBottom w:val="0"/>
          <w:divBdr>
            <w:top w:val="none" w:sz="0" w:space="0" w:color="auto"/>
            <w:left w:val="none" w:sz="0" w:space="0" w:color="auto"/>
            <w:bottom w:val="dotted" w:sz="6" w:space="4" w:color="DDDDDD"/>
            <w:right w:val="none" w:sz="0" w:space="0" w:color="auto"/>
          </w:divBdr>
          <w:divsChild>
            <w:div w:id="172125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375460">
      <w:bodyDiv w:val="1"/>
      <w:marLeft w:val="0"/>
      <w:marRight w:val="0"/>
      <w:marTop w:val="0"/>
      <w:marBottom w:val="0"/>
      <w:divBdr>
        <w:top w:val="none" w:sz="0" w:space="0" w:color="auto"/>
        <w:left w:val="none" w:sz="0" w:space="0" w:color="auto"/>
        <w:bottom w:val="none" w:sz="0" w:space="0" w:color="auto"/>
        <w:right w:val="none" w:sz="0" w:space="0" w:color="auto"/>
      </w:divBdr>
      <w:divsChild>
        <w:div w:id="660427844">
          <w:marLeft w:val="0"/>
          <w:marRight w:val="0"/>
          <w:marTop w:val="0"/>
          <w:marBottom w:val="0"/>
          <w:divBdr>
            <w:top w:val="none" w:sz="0" w:space="0" w:color="auto"/>
            <w:left w:val="none" w:sz="0" w:space="0" w:color="auto"/>
            <w:bottom w:val="none" w:sz="0" w:space="0" w:color="auto"/>
            <w:right w:val="none" w:sz="0" w:space="0" w:color="auto"/>
          </w:divBdr>
          <w:divsChild>
            <w:div w:id="1272126473">
              <w:marLeft w:val="0"/>
              <w:marRight w:val="0"/>
              <w:marTop w:val="0"/>
              <w:marBottom w:val="0"/>
              <w:divBdr>
                <w:top w:val="none" w:sz="0" w:space="0" w:color="auto"/>
                <w:left w:val="none" w:sz="0" w:space="0" w:color="auto"/>
                <w:bottom w:val="none" w:sz="0" w:space="0" w:color="auto"/>
                <w:right w:val="none" w:sz="0" w:space="0" w:color="auto"/>
              </w:divBdr>
              <w:divsChild>
                <w:div w:id="1278370117">
                  <w:marLeft w:val="0"/>
                  <w:marRight w:val="0"/>
                  <w:marTop w:val="0"/>
                  <w:marBottom w:val="0"/>
                  <w:divBdr>
                    <w:top w:val="none" w:sz="0" w:space="0" w:color="auto"/>
                    <w:left w:val="none" w:sz="0" w:space="0" w:color="auto"/>
                    <w:bottom w:val="none" w:sz="0" w:space="0" w:color="auto"/>
                    <w:right w:val="none" w:sz="0" w:space="0" w:color="auto"/>
                  </w:divBdr>
                  <w:divsChild>
                    <w:div w:id="212621370">
                      <w:marLeft w:val="0"/>
                      <w:marRight w:val="0"/>
                      <w:marTop w:val="0"/>
                      <w:marBottom w:val="0"/>
                      <w:divBdr>
                        <w:top w:val="none" w:sz="0" w:space="0" w:color="auto"/>
                        <w:left w:val="none" w:sz="0" w:space="0" w:color="auto"/>
                        <w:bottom w:val="none" w:sz="0" w:space="0" w:color="auto"/>
                        <w:right w:val="none" w:sz="0" w:space="0" w:color="auto"/>
                      </w:divBdr>
                      <w:divsChild>
                        <w:div w:id="2125078744">
                          <w:marLeft w:val="0"/>
                          <w:marRight w:val="0"/>
                          <w:marTop w:val="0"/>
                          <w:marBottom w:val="0"/>
                          <w:divBdr>
                            <w:top w:val="none" w:sz="0" w:space="0" w:color="auto"/>
                            <w:left w:val="none" w:sz="0" w:space="0" w:color="auto"/>
                            <w:bottom w:val="none" w:sz="0" w:space="0" w:color="auto"/>
                            <w:right w:val="none" w:sz="0" w:space="0" w:color="auto"/>
                          </w:divBdr>
                          <w:divsChild>
                            <w:div w:id="2023241605">
                              <w:marLeft w:val="0"/>
                              <w:marRight w:val="0"/>
                              <w:marTop w:val="0"/>
                              <w:marBottom w:val="0"/>
                              <w:divBdr>
                                <w:top w:val="none" w:sz="0" w:space="0" w:color="auto"/>
                                <w:left w:val="none" w:sz="0" w:space="0" w:color="auto"/>
                                <w:bottom w:val="none" w:sz="0" w:space="0" w:color="auto"/>
                                <w:right w:val="none" w:sz="0" w:space="0" w:color="auto"/>
                              </w:divBdr>
                              <w:divsChild>
                                <w:div w:id="83889860">
                                  <w:marLeft w:val="0"/>
                                  <w:marRight w:val="0"/>
                                  <w:marTop w:val="0"/>
                                  <w:marBottom w:val="0"/>
                                  <w:divBdr>
                                    <w:top w:val="none" w:sz="0" w:space="0" w:color="auto"/>
                                    <w:left w:val="none" w:sz="0" w:space="0" w:color="auto"/>
                                    <w:bottom w:val="none" w:sz="0" w:space="0" w:color="auto"/>
                                    <w:right w:val="none" w:sz="0" w:space="0" w:color="auto"/>
                                  </w:divBdr>
                                  <w:divsChild>
                                    <w:div w:id="1784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717464">
      <w:bodyDiv w:val="1"/>
      <w:marLeft w:val="0"/>
      <w:marRight w:val="0"/>
      <w:marTop w:val="0"/>
      <w:marBottom w:val="0"/>
      <w:divBdr>
        <w:top w:val="none" w:sz="0" w:space="0" w:color="auto"/>
        <w:left w:val="none" w:sz="0" w:space="0" w:color="auto"/>
        <w:bottom w:val="none" w:sz="0" w:space="0" w:color="auto"/>
        <w:right w:val="none" w:sz="0" w:space="0" w:color="auto"/>
      </w:divBdr>
    </w:div>
    <w:div w:id="1676223251">
      <w:bodyDiv w:val="1"/>
      <w:marLeft w:val="0"/>
      <w:marRight w:val="0"/>
      <w:marTop w:val="0"/>
      <w:marBottom w:val="0"/>
      <w:divBdr>
        <w:top w:val="none" w:sz="0" w:space="0" w:color="auto"/>
        <w:left w:val="none" w:sz="0" w:space="0" w:color="auto"/>
        <w:bottom w:val="none" w:sz="0" w:space="0" w:color="auto"/>
        <w:right w:val="none" w:sz="0" w:space="0" w:color="auto"/>
      </w:divBdr>
    </w:div>
    <w:div w:id="1676566885">
      <w:bodyDiv w:val="1"/>
      <w:marLeft w:val="0"/>
      <w:marRight w:val="0"/>
      <w:marTop w:val="0"/>
      <w:marBottom w:val="0"/>
      <w:divBdr>
        <w:top w:val="none" w:sz="0" w:space="0" w:color="auto"/>
        <w:left w:val="none" w:sz="0" w:space="0" w:color="auto"/>
        <w:bottom w:val="none" w:sz="0" w:space="0" w:color="auto"/>
        <w:right w:val="none" w:sz="0" w:space="0" w:color="auto"/>
      </w:divBdr>
      <w:divsChild>
        <w:div w:id="726804047">
          <w:marLeft w:val="0"/>
          <w:marRight w:val="0"/>
          <w:marTop w:val="0"/>
          <w:marBottom w:val="0"/>
          <w:divBdr>
            <w:top w:val="none" w:sz="0" w:space="0" w:color="auto"/>
            <w:left w:val="none" w:sz="0" w:space="0" w:color="auto"/>
            <w:bottom w:val="none" w:sz="0" w:space="0" w:color="auto"/>
            <w:right w:val="none" w:sz="0" w:space="0" w:color="auto"/>
          </w:divBdr>
        </w:div>
        <w:div w:id="846165730">
          <w:marLeft w:val="0"/>
          <w:marRight w:val="0"/>
          <w:marTop w:val="0"/>
          <w:marBottom w:val="0"/>
          <w:divBdr>
            <w:top w:val="none" w:sz="0" w:space="0" w:color="auto"/>
            <w:left w:val="none" w:sz="0" w:space="0" w:color="auto"/>
            <w:bottom w:val="none" w:sz="0" w:space="0" w:color="auto"/>
            <w:right w:val="none" w:sz="0" w:space="0" w:color="auto"/>
          </w:divBdr>
        </w:div>
      </w:divsChild>
    </w:div>
    <w:div w:id="1676689930">
      <w:bodyDiv w:val="1"/>
      <w:marLeft w:val="0"/>
      <w:marRight w:val="0"/>
      <w:marTop w:val="0"/>
      <w:marBottom w:val="0"/>
      <w:divBdr>
        <w:top w:val="none" w:sz="0" w:space="0" w:color="auto"/>
        <w:left w:val="none" w:sz="0" w:space="0" w:color="auto"/>
        <w:bottom w:val="none" w:sz="0" w:space="0" w:color="auto"/>
        <w:right w:val="none" w:sz="0" w:space="0" w:color="auto"/>
      </w:divBdr>
      <w:divsChild>
        <w:div w:id="229115920">
          <w:marLeft w:val="0"/>
          <w:marRight w:val="0"/>
          <w:marTop w:val="0"/>
          <w:marBottom w:val="150"/>
          <w:divBdr>
            <w:top w:val="none" w:sz="0" w:space="0" w:color="auto"/>
            <w:left w:val="none" w:sz="0" w:space="0" w:color="auto"/>
            <w:bottom w:val="none" w:sz="0" w:space="0" w:color="auto"/>
            <w:right w:val="none" w:sz="0" w:space="0" w:color="auto"/>
          </w:divBdr>
        </w:div>
        <w:div w:id="1095201935">
          <w:marLeft w:val="0"/>
          <w:marRight w:val="0"/>
          <w:marTop w:val="0"/>
          <w:marBottom w:val="150"/>
          <w:divBdr>
            <w:top w:val="none" w:sz="0" w:space="0" w:color="auto"/>
            <w:left w:val="none" w:sz="0" w:space="0" w:color="auto"/>
            <w:bottom w:val="none" w:sz="0" w:space="0" w:color="auto"/>
            <w:right w:val="none" w:sz="0" w:space="0" w:color="auto"/>
          </w:divBdr>
        </w:div>
        <w:div w:id="1189022254">
          <w:marLeft w:val="0"/>
          <w:marRight w:val="0"/>
          <w:marTop w:val="0"/>
          <w:marBottom w:val="150"/>
          <w:divBdr>
            <w:top w:val="none" w:sz="0" w:space="0" w:color="auto"/>
            <w:left w:val="none" w:sz="0" w:space="0" w:color="auto"/>
            <w:bottom w:val="none" w:sz="0" w:space="0" w:color="auto"/>
            <w:right w:val="none" w:sz="0" w:space="0" w:color="auto"/>
          </w:divBdr>
        </w:div>
      </w:divsChild>
    </w:div>
    <w:div w:id="1677270443">
      <w:bodyDiv w:val="1"/>
      <w:marLeft w:val="0"/>
      <w:marRight w:val="0"/>
      <w:marTop w:val="0"/>
      <w:marBottom w:val="0"/>
      <w:divBdr>
        <w:top w:val="none" w:sz="0" w:space="0" w:color="auto"/>
        <w:left w:val="none" w:sz="0" w:space="0" w:color="auto"/>
        <w:bottom w:val="none" w:sz="0" w:space="0" w:color="auto"/>
        <w:right w:val="none" w:sz="0" w:space="0" w:color="auto"/>
      </w:divBdr>
      <w:divsChild>
        <w:div w:id="1468357167">
          <w:marLeft w:val="0"/>
          <w:marRight w:val="0"/>
          <w:marTop w:val="0"/>
          <w:marBottom w:val="0"/>
          <w:divBdr>
            <w:top w:val="none" w:sz="0" w:space="0" w:color="auto"/>
            <w:left w:val="none" w:sz="0" w:space="0" w:color="auto"/>
            <w:bottom w:val="none" w:sz="0" w:space="0" w:color="auto"/>
            <w:right w:val="none" w:sz="0" w:space="0" w:color="auto"/>
          </w:divBdr>
          <w:divsChild>
            <w:div w:id="371422535">
              <w:marLeft w:val="0"/>
              <w:marRight w:val="0"/>
              <w:marTop w:val="0"/>
              <w:marBottom w:val="0"/>
              <w:divBdr>
                <w:top w:val="none" w:sz="0" w:space="0" w:color="auto"/>
                <w:left w:val="none" w:sz="0" w:space="0" w:color="auto"/>
                <w:bottom w:val="none" w:sz="0" w:space="0" w:color="auto"/>
                <w:right w:val="none" w:sz="0" w:space="0" w:color="auto"/>
              </w:divBdr>
              <w:divsChild>
                <w:div w:id="1562134340">
                  <w:marLeft w:val="0"/>
                  <w:marRight w:val="0"/>
                  <w:marTop w:val="0"/>
                  <w:marBottom w:val="0"/>
                  <w:divBdr>
                    <w:top w:val="none" w:sz="0" w:space="0" w:color="auto"/>
                    <w:left w:val="none" w:sz="0" w:space="0" w:color="auto"/>
                    <w:bottom w:val="none" w:sz="0" w:space="0" w:color="auto"/>
                    <w:right w:val="none" w:sz="0" w:space="0" w:color="auto"/>
                  </w:divBdr>
                  <w:divsChild>
                    <w:div w:id="851261626">
                      <w:marLeft w:val="0"/>
                      <w:marRight w:val="0"/>
                      <w:marTop w:val="0"/>
                      <w:marBottom w:val="0"/>
                      <w:divBdr>
                        <w:top w:val="none" w:sz="0" w:space="0" w:color="auto"/>
                        <w:left w:val="none" w:sz="0" w:space="0" w:color="auto"/>
                        <w:bottom w:val="none" w:sz="0" w:space="0" w:color="auto"/>
                        <w:right w:val="none" w:sz="0" w:space="0" w:color="auto"/>
                      </w:divBdr>
                      <w:divsChild>
                        <w:div w:id="498154611">
                          <w:marLeft w:val="0"/>
                          <w:marRight w:val="0"/>
                          <w:marTop w:val="0"/>
                          <w:marBottom w:val="0"/>
                          <w:divBdr>
                            <w:top w:val="none" w:sz="0" w:space="0" w:color="auto"/>
                            <w:left w:val="none" w:sz="0" w:space="0" w:color="auto"/>
                            <w:bottom w:val="none" w:sz="0" w:space="0" w:color="auto"/>
                            <w:right w:val="none" w:sz="0" w:space="0" w:color="auto"/>
                          </w:divBdr>
                          <w:divsChild>
                            <w:div w:id="1361929671">
                              <w:marLeft w:val="0"/>
                              <w:marRight w:val="0"/>
                              <w:marTop w:val="0"/>
                              <w:marBottom w:val="0"/>
                              <w:divBdr>
                                <w:top w:val="none" w:sz="0" w:space="0" w:color="auto"/>
                                <w:left w:val="none" w:sz="0" w:space="0" w:color="auto"/>
                                <w:bottom w:val="none" w:sz="0" w:space="0" w:color="auto"/>
                                <w:right w:val="none" w:sz="0" w:space="0" w:color="auto"/>
                              </w:divBdr>
                              <w:divsChild>
                                <w:div w:id="112820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7536164">
      <w:bodyDiv w:val="1"/>
      <w:marLeft w:val="0"/>
      <w:marRight w:val="0"/>
      <w:marTop w:val="0"/>
      <w:marBottom w:val="0"/>
      <w:divBdr>
        <w:top w:val="none" w:sz="0" w:space="0" w:color="auto"/>
        <w:left w:val="none" w:sz="0" w:space="0" w:color="auto"/>
        <w:bottom w:val="none" w:sz="0" w:space="0" w:color="auto"/>
        <w:right w:val="none" w:sz="0" w:space="0" w:color="auto"/>
      </w:divBdr>
      <w:divsChild>
        <w:div w:id="46344107">
          <w:marLeft w:val="0"/>
          <w:marRight w:val="0"/>
          <w:marTop w:val="0"/>
          <w:marBottom w:val="0"/>
          <w:divBdr>
            <w:top w:val="none" w:sz="0" w:space="0" w:color="auto"/>
            <w:left w:val="none" w:sz="0" w:space="0" w:color="auto"/>
            <w:bottom w:val="none" w:sz="0" w:space="0" w:color="auto"/>
            <w:right w:val="none" w:sz="0" w:space="0" w:color="auto"/>
          </w:divBdr>
          <w:divsChild>
            <w:div w:id="1525635729">
              <w:marLeft w:val="0"/>
              <w:marRight w:val="0"/>
              <w:marTop w:val="0"/>
              <w:marBottom w:val="0"/>
              <w:divBdr>
                <w:top w:val="none" w:sz="0" w:space="0" w:color="auto"/>
                <w:left w:val="none" w:sz="0" w:space="0" w:color="auto"/>
                <w:bottom w:val="none" w:sz="0" w:space="0" w:color="auto"/>
                <w:right w:val="none" w:sz="0" w:space="0" w:color="auto"/>
              </w:divBdr>
            </w:div>
          </w:divsChild>
        </w:div>
        <w:div w:id="86931589">
          <w:marLeft w:val="0"/>
          <w:marRight w:val="0"/>
          <w:marTop w:val="0"/>
          <w:marBottom w:val="150"/>
          <w:divBdr>
            <w:top w:val="none" w:sz="0" w:space="0" w:color="auto"/>
            <w:left w:val="none" w:sz="0" w:space="0" w:color="auto"/>
            <w:bottom w:val="none" w:sz="0" w:space="0" w:color="auto"/>
            <w:right w:val="none" w:sz="0" w:space="0" w:color="auto"/>
          </w:divBdr>
          <w:divsChild>
            <w:div w:id="677587047">
              <w:marLeft w:val="0"/>
              <w:marRight w:val="0"/>
              <w:marTop w:val="0"/>
              <w:marBottom w:val="0"/>
              <w:divBdr>
                <w:top w:val="none" w:sz="0" w:space="0" w:color="auto"/>
                <w:left w:val="none" w:sz="0" w:space="0" w:color="auto"/>
                <w:bottom w:val="none" w:sz="0" w:space="0" w:color="auto"/>
                <w:right w:val="none" w:sz="0" w:space="0" w:color="auto"/>
              </w:divBdr>
            </w:div>
          </w:divsChild>
        </w:div>
        <w:div w:id="984625207">
          <w:marLeft w:val="0"/>
          <w:marRight w:val="0"/>
          <w:marTop w:val="0"/>
          <w:marBottom w:val="150"/>
          <w:divBdr>
            <w:top w:val="none" w:sz="0" w:space="0" w:color="auto"/>
            <w:left w:val="none" w:sz="0" w:space="0" w:color="auto"/>
            <w:bottom w:val="none" w:sz="0" w:space="0" w:color="auto"/>
            <w:right w:val="none" w:sz="0" w:space="0" w:color="auto"/>
          </w:divBdr>
        </w:div>
      </w:divsChild>
    </w:div>
    <w:div w:id="1677878610">
      <w:bodyDiv w:val="1"/>
      <w:marLeft w:val="0"/>
      <w:marRight w:val="0"/>
      <w:marTop w:val="0"/>
      <w:marBottom w:val="0"/>
      <w:divBdr>
        <w:top w:val="none" w:sz="0" w:space="0" w:color="auto"/>
        <w:left w:val="none" w:sz="0" w:space="0" w:color="auto"/>
        <w:bottom w:val="none" w:sz="0" w:space="0" w:color="auto"/>
        <w:right w:val="none" w:sz="0" w:space="0" w:color="auto"/>
      </w:divBdr>
      <w:divsChild>
        <w:div w:id="1868643412">
          <w:marLeft w:val="0"/>
          <w:marRight w:val="0"/>
          <w:marTop w:val="0"/>
          <w:marBottom w:val="0"/>
          <w:divBdr>
            <w:top w:val="none" w:sz="0" w:space="0" w:color="auto"/>
            <w:left w:val="none" w:sz="0" w:space="0" w:color="auto"/>
            <w:bottom w:val="none" w:sz="0" w:space="0" w:color="auto"/>
            <w:right w:val="none" w:sz="0" w:space="0" w:color="auto"/>
          </w:divBdr>
          <w:divsChild>
            <w:div w:id="1908178529">
              <w:marLeft w:val="0"/>
              <w:marRight w:val="0"/>
              <w:marTop w:val="0"/>
              <w:marBottom w:val="0"/>
              <w:divBdr>
                <w:top w:val="none" w:sz="0" w:space="0" w:color="auto"/>
                <w:left w:val="none" w:sz="0" w:space="0" w:color="auto"/>
                <w:bottom w:val="none" w:sz="0" w:space="0" w:color="auto"/>
                <w:right w:val="none" w:sz="0" w:space="0" w:color="auto"/>
              </w:divBdr>
            </w:div>
          </w:divsChild>
        </w:div>
        <w:div w:id="1807433782">
          <w:marLeft w:val="0"/>
          <w:marRight w:val="0"/>
          <w:marTop w:val="120"/>
          <w:marBottom w:val="0"/>
          <w:divBdr>
            <w:top w:val="none" w:sz="0" w:space="0" w:color="auto"/>
            <w:left w:val="none" w:sz="0" w:space="0" w:color="auto"/>
            <w:bottom w:val="none" w:sz="0" w:space="0" w:color="auto"/>
            <w:right w:val="none" w:sz="0" w:space="0" w:color="auto"/>
          </w:divBdr>
        </w:div>
      </w:divsChild>
    </w:div>
    <w:div w:id="1677922227">
      <w:bodyDiv w:val="1"/>
      <w:marLeft w:val="0"/>
      <w:marRight w:val="0"/>
      <w:marTop w:val="0"/>
      <w:marBottom w:val="0"/>
      <w:divBdr>
        <w:top w:val="none" w:sz="0" w:space="0" w:color="auto"/>
        <w:left w:val="none" w:sz="0" w:space="0" w:color="auto"/>
        <w:bottom w:val="none" w:sz="0" w:space="0" w:color="auto"/>
        <w:right w:val="none" w:sz="0" w:space="0" w:color="auto"/>
      </w:divBdr>
    </w:div>
    <w:div w:id="1678073706">
      <w:bodyDiv w:val="1"/>
      <w:marLeft w:val="0"/>
      <w:marRight w:val="0"/>
      <w:marTop w:val="0"/>
      <w:marBottom w:val="0"/>
      <w:divBdr>
        <w:top w:val="none" w:sz="0" w:space="0" w:color="auto"/>
        <w:left w:val="none" w:sz="0" w:space="0" w:color="auto"/>
        <w:bottom w:val="none" w:sz="0" w:space="0" w:color="auto"/>
        <w:right w:val="none" w:sz="0" w:space="0" w:color="auto"/>
      </w:divBdr>
      <w:divsChild>
        <w:div w:id="1885553765">
          <w:marLeft w:val="0"/>
          <w:marRight w:val="0"/>
          <w:marTop w:val="0"/>
          <w:marBottom w:val="0"/>
          <w:divBdr>
            <w:top w:val="none" w:sz="0" w:space="0" w:color="auto"/>
            <w:left w:val="none" w:sz="0" w:space="0" w:color="auto"/>
            <w:bottom w:val="none" w:sz="0" w:space="0" w:color="auto"/>
            <w:right w:val="none" w:sz="0" w:space="0" w:color="auto"/>
          </w:divBdr>
          <w:divsChild>
            <w:div w:id="483280674">
              <w:marLeft w:val="0"/>
              <w:marRight w:val="0"/>
              <w:marTop w:val="0"/>
              <w:marBottom w:val="0"/>
              <w:divBdr>
                <w:top w:val="none" w:sz="0" w:space="0" w:color="auto"/>
                <w:left w:val="none" w:sz="0" w:space="0" w:color="auto"/>
                <w:bottom w:val="none" w:sz="0" w:space="0" w:color="auto"/>
                <w:right w:val="none" w:sz="0" w:space="0" w:color="auto"/>
              </w:divBdr>
              <w:divsChild>
                <w:div w:id="1219516019">
                  <w:marLeft w:val="0"/>
                  <w:marRight w:val="0"/>
                  <w:marTop w:val="0"/>
                  <w:marBottom w:val="0"/>
                  <w:divBdr>
                    <w:top w:val="none" w:sz="0" w:space="0" w:color="auto"/>
                    <w:left w:val="none" w:sz="0" w:space="0" w:color="auto"/>
                    <w:bottom w:val="none" w:sz="0" w:space="0" w:color="auto"/>
                    <w:right w:val="none" w:sz="0" w:space="0" w:color="auto"/>
                  </w:divBdr>
                  <w:divsChild>
                    <w:div w:id="1967271768">
                      <w:marLeft w:val="0"/>
                      <w:marRight w:val="0"/>
                      <w:marTop w:val="0"/>
                      <w:marBottom w:val="0"/>
                      <w:divBdr>
                        <w:top w:val="none" w:sz="0" w:space="0" w:color="auto"/>
                        <w:left w:val="none" w:sz="0" w:space="0" w:color="auto"/>
                        <w:bottom w:val="none" w:sz="0" w:space="0" w:color="auto"/>
                        <w:right w:val="none" w:sz="0" w:space="0" w:color="auto"/>
                      </w:divBdr>
                      <w:divsChild>
                        <w:div w:id="222181670">
                          <w:marLeft w:val="0"/>
                          <w:marRight w:val="0"/>
                          <w:marTop w:val="0"/>
                          <w:marBottom w:val="0"/>
                          <w:divBdr>
                            <w:top w:val="none" w:sz="0" w:space="0" w:color="auto"/>
                            <w:left w:val="none" w:sz="0" w:space="0" w:color="auto"/>
                            <w:bottom w:val="none" w:sz="0" w:space="0" w:color="auto"/>
                            <w:right w:val="none" w:sz="0" w:space="0" w:color="auto"/>
                          </w:divBdr>
                          <w:divsChild>
                            <w:div w:id="345790320">
                              <w:marLeft w:val="0"/>
                              <w:marRight w:val="0"/>
                              <w:marTop w:val="0"/>
                              <w:marBottom w:val="0"/>
                              <w:divBdr>
                                <w:top w:val="none" w:sz="0" w:space="0" w:color="auto"/>
                                <w:left w:val="none" w:sz="0" w:space="0" w:color="auto"/>
                                <w:bottom w:val="none" w:sz="0" w:space="0" w:color="auto"/>
                                <w:right w:val="none" w:sz="0" w:space="0" w:color="auto"/>
                              </w:divBdr>
                              <w:divsChild>
                                <w:div w:id="1599868522">
                                  <w:marLeft w:val="0"/>
                                  <w:marRight w:val="0"/>
                                  <w:marTop w:val="0"/>
                                  <w:marBottom w:val="0"/>
                                  <w:divBdr>
                                    <w:top w:val="none" w:sz="0" w:space="0" w:color="auto"/>
                                    <w:left w:val="none" w:sz="0" w:space="0" w:color="auto"/>
                                    <w:bottom w:val="none" w:sz="0" w:space="0" w:color="auto"/>
                                    <w:right w:val="none" w:sz="0" w:space="0" w:color="auto"/>
                                  </w:divBdr>
                                  <w:divsChild>
                                    <w:div w:id="17053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8387612">
      <w:bodyDiv w:val="1"/>
      <w:marLeft w:val="0"/>
      <w:marRight w:val="0"/>
      <w:marTop w:val="0"/>
      <w:marBottom w:val="0"/>
      <w:divBdr>
        <w:top w:val="none" w:sz="0" w:space="0" w:color="auto"/>
        <w:left w:val="none" w:sz="0" w:space="0" w:color="auto"/>
        <w:bottom w:val="none" w:sz="0" w:space="0" w:color="auto"/>
        <w:right w:val="none" w:sz="0" w:space="0" w:color="auto"/>
      </w:divBdr>
      <w:divsChild>
        <w:div w:id="1463498428">
          <w:marLeft w:val="0"/>
          <w:marRight w:val="0"/>
          <w:marTop w:val="0"/>
          <w:marBottom w:val="0"/>
          <w:divBdr>
            <w:top w:val="none" w:sz="0" w:space="0" w:color="auto"/>
            <w:left w:val="none" w:sz="0" w:space="0" w:color="auto"/>
            <w:bottom w:val="dotted" w:sz="6" w:space="4" w:color="DDDDDD"/>
            <w:right w:val="none" w:sz="0" w:space="0" w:color="auto"/>
          </w:divBdr>
        </w:div>
      </w:divsChild>
    </w:div>
    <w:div w:id="1678851702">
      <w:bodyDiv w:val="1"/>
      <w:marLeft w:val="0"/>
      <w:marRight w:val="0"/>
      <w:marTop w:val="0"/>
      <w:marBottom w:val="0"/>
      <w:divBdr>
        <w:top w:val="none" w:sz="0" w:space="0" w:color="auto"/>
        <w:left w:val="none" w:sz="0" w:space="0" w:color="auto"/>
        <w:bottom w:val="none" w:sz="0" w:space="0" w:color="auto"/>
        <w:right w:val="none" w:sz="0" w:space="0" w:color="auto"/>
      </w:divBdr>
    </w:div>
    <w:div w:id="1679653903">
      <w:bodyDiv w:val="1"/>
      <w:marLeft w:val="0"/>
      <w:marRight w:val="0"/>
      <w:marTop w:val="0"/>
      <w:marBottom w:val="0"/>
      <w:divBdr>
        <w:top w:val="none" w:sz="0" w:space="0" w:color="auto"/>
        <w:left w:val="none" w:sz="0" w:space="0" w:color="auto"/>
        <w:bottom w:val="none" w:sz="0" w:space="0" w:color="auto"/>
        <w:right w:val="none" w:sz="0" w:space="0" w:color="auto"/>
      </w:divBdr>
      <w:divsChild>
        <w:div w:id="1414163893">
          <w:marLeft w:val="0"/>
          <w:marRight w:val="0"/>
          <w:marTop w:val="0"/>
          <w:marBottom w:val="150"/>
          <w:divBdr>
            <w:top w:val="none" w:sz="0" w:space="0" w:color="auto"/>
            <w:left w:val="none" w:sz="0" w:space="0" w:color="auto"/>
            <w:bottom w:val="none" w:sz="0" w:space="0" w:color="auto"/>
            <w:right w:val="none" w:sz="0" w:space="0" w:color="auto"/>
          </w:divBdr>
        </w:div>
      </w:divsChild>
    </w:div>
    <w:div w:id="1679960676">
      <w:bodyDiv w:val="1"/>
      <w:marLeft w:val="0"/>
      <w:marRight w:val="0"/>
      <w:marTop w:val="0"/>
      <w:marBottom w:val="0"/>
      <w:divBdr>
        <w:top w:val="none" w:sz="0" w:space="0" w:color="auto"/>
        <w:left w:val="none" w:sz="0" w:space="0" w:color="auto"/>
        <w:bottom w:val="none" w:sz="0" w:space="0" w:color="auto"/>
        <w:right w:val="none" w:sz="0" w:space="0" w:color="auto"/>
      </w:divBdr>
    </w:div>
    <w:div w:id="1680156652">
      <w:bodyDiv w:val="1"/>
      <w:marLeft w:val="0"/>
      <w:marRight w:val="0"/>
      <w:marTop w:val="0"/>
      <w:marBottom w:val="0"/>
      <w:divBdr>
        <w:top w:val="none" w:sz="0" w:space="0" w:color="auto"/>
        <w:left w:val="none" w:sz="0" w:space="0" w:color="auto"/>
        <w:bottom w:val="none" w:sz="0" w:space="0" w:color="auto"/>
        <w:right w:val="none" w:sz="0" w:space="0" w:color="auto"/>
      </w:divBdr>
      <w:divsChild>
        <w:div w:id="1998533996">
          <w:marLeft w:val="0"/>
          <w:marRight w:val="0"/>
          <w:marTop w:val="0"/>
          <w:marBottom w:val="150"/>
          <w:divBdr>
            <w:top w:val="none" w:sz="0" w:space="0" w:color="auto"/>
            <w:left w:val="none" w:sz="0" w:space="0" w:color="auto"/>
            <w:bottom w:val="none" w:sz="0" w:space="0" w:color="auto"/>
            <w:right w:val="none" w:sz="0" w:space="0" w:color="auto"/>
          </w:divBdr>
          <w:divsChild>
            <w:div w:id="1775132448">
              <w:marLeft w:val="0"/>
              <w:marRight w:val="0"/>
              <w:marTop w:val="0"/>
              <w:marBottom w:val="0"/>
              <w:divBdr>
                <w:top w:val="none" w:sz="0" w:space="0" w:color="auto"/>
                <w:left w:val="none" w:sz="0" w:space="0" w:color="auto"/>
                <w:bottom w:val="none" w:sz="0" w:space="0" w:color="auto"/>
                <w:right w:val="none" w:sz="0" w:space="0" w:color="auto"/>
              </w:divBdr>
              <w:divsChild>
                <w:div w:id="618727390">
                  <w:marLeft w:val="0"/>
                  <w:marRight w:val="0"/>
                  <w:marTop w:val="0"/>
                  <w:marBottom w:val="0"/>
                  <w:divBdr>
                    <w:top w:val="none" w:sz="0" w:space="0" w:color="auto"/>
                    <w:left w:val="none" w:sz="0" w:space="0" w:color="auto"/>
                    <w:bottom w:val="none" w:sz="0" w:space="0" w:color="auto"/>
                    <w:right w:val="none" w:sz="0" w:space="0" w:color="auto"/>
                  </w:divBdr>
                  <w:divsChild>
                    <w:div w:id="140344239">
                      <w:marLeft w:val="0"/>
                      <w:marRight w:val="150"/>
                      <w:marTop w:val="0"/>
                      <w:marBottom w:val="0"/>
                      <w:divBdr>
                        <w:top w:val="none" w:sz="0" w:space="0" w:color="auto"/>
                        <w:left w:val="none" w:sz="0" w:space="0" w:color="auto"/>
                        <w:bottom w:val="none" w:sz="0" w:space="0" w:color="auto"/>
                        <w:right w:val="none" w:sz="0" w:space="0" w:color="auto"/>
                      </w:divBdr>
                      <w:divsChild>
                        <w:div w:id="213713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679173">
          <w:marLeft w:val="0"/>
          <w:marRight w:val="0"/>
          <w:marTop w:val="0"/>
          <w:marBottom w:val="150"/>
          <w:divBdr>
            <w:top w:val="none" w:sz="0" w:space="0" w:color="auto"/>
            <w:left w:val="none" w:sz="0" w:space="0" w:color="auto"/>
            <w:bottom w:val="none" w:sz="0" w:space="0" w:color="auto"/>
            <w:right w:val="none" w:sz="0" w:space="0" w:color="auto"/>
          </w:divBdr>
        </w:div>
        <w:div w:id="2134473946">
          <w:marLeft w:val="0"/>
          <w:marRight w:val="0"/>
          <w:marTop w:val="0"/>
          <w:marBottom w:val="0"/>
          <w:divBdr>
            <w:top w:val="none" w:sz="0" w:space="0" w:color="auto"/>
            <w:left w:val="none" w:sz="0" w:space="0" w:color="auto"/>
            <w:bottom w:val="none" w:sz="0" w:space="0" w:color="auto"/>
            <w:right w:val="none" w:sz="0" w:space="0" w:color="auto"/>
          </w:divBdr>
          <w:divsChild>
            <w:div w:id="7022493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80306307">
      <w:bodyDiv w:val="1"/>
      <w:marLeft w:val="0"/>
      <w:marRight w:val="0"/>
      <w:marTop w:val="0"/>
      <w:marBottom w:val="0"/>
      <w:divBdr>
        <w:top w:val="none" w:sz="0" w:space="0" w:color="auto"/>
        <w:left w:val="none" w:sz="0" w:space="0" w:color="auto"/>
        <w:bottom w:val="none" w:sz="0" w:space="0" w:color="auto"/>
        <w:right w:val="none" w:sz="0" w:space="0" w:color="auto"/>
      </w:divBdr>
    </w:div>
    <w:div w:id="1680306871">
      <w:bodyDiv w:val="1"/>
      <w:marLeft w:val="0"/>
      <w:marRight w:val="0"/>
      <w:marTop w:val="0"/>
      <w:marBottom w:val="0"/>
      <w:divBdr>
        <w:top w:val="none" w:sz="0" w:space="0" w:color="auto"/>
        <w:left w:val="none" w:sz="0" w:space="0" w:color="auto"/>
        <w:bottom w:val="none" w:sz="0" w:space="0" w:color="auto"/>
        <w:right w:val="none" w:sz="0" w:space="0" w:color="auto"/>
      </w:divBdr>
      <w:divsChild>
        <w:div w:id="564755254">
          <w:marLeft w:val="0"/>
          <w:marRight w:val="0"/>
          <w:marTop w:val="0"/>
          <w:marBottom w:val="0"/>
          <w:divBdr>
            <w:top w:val="none" w:sz="0" w:space="0" w:color="auto"/>
            <w:left w:val="none" w:sz="0" w:space="0" w:color="auto"/>
            <w:bottom w:val="none" w:sz="0" w:space="0" w:color="auto"/>
            <w:right w:val="none" w:sz="0" w:space="0" w:color="auto"/>
          </w:divBdr>
          <w:divsChild>
            <w:div w:id="594021678">
              <w:marLeft w:val="0"/>
              <w:marRight w:val="0"/>
              <w:marTop w:val="0"/>
              <w:marBottom w:val="0"/>
              <w:divBdr>
                <w:top w:val="none" w:sz="0" w:space="0" w:color="auto"/>
                <w:left w:val="none" w:sz="0" w:space="0" w:color="auto"/>
                <w:bottom w:val="none" w:sz="0" w:space="0" w:color="auto"/>
                <w:right w:val="none" w:sz="0" w:space="0" w:color="auto"/>
              </w:divBdr>
              <w:divsChild>
                <w:div w:id="52852692">
                  <w:marLeft w:val="0"/>
                  <w:marRight w:val="0"/>
                  <w:marTop w:val="0"/>
                  <w:marBottom w:val="0"/>
                  <w:divBdr>
                    <w:top w:val="none" w:sz="0" w:space="0" w:color="auto"/>
                    <w:left w:val="none" w:sz="0" w:space="0" w:color="auto"/>
                    <w:bottom w:val="none" w:sz="0" w:space="0" w:color="auto"/>
                    <w:right w:val="none" w:sz="0" w:space="0" w:color="auto"/>
                  </w:divBdr>
                  <w:divsChild>
                    <w:div w:id="497963918">
                      <w:marLeft w:val="0"/>
                      <w:marRight w:val="0"/>
                      <w:marTop w:val="0"/>
                      <w:marBottom w:val="300"/>
                      <w:divBdr>
                        <w:top w:val="none" w:sz="0" w:space="0" w:color="auto"/>
                        <w:left w:val="none" w:sz="0" w:space="0" w:color="auto"/>
                        <w:bottom w:val="none" w:sz="0" w:space="0" w:color="auto"/>
                        <w:right w:val="none" w:sz="0" w:space="0" w:color="auto"/>
                      </w:divBdr>
                      <w:divsChild>
                        <w:div w:id="1172334069">
                          <w:marLeft w:val="0"/>
                          <w:marRight w:val="0"/>
                          <w:marTop w:val="0"/>
                          <w:marBottom w:val="225"/>
                          <w:divBdr>
                            <w:top w:val="single" w:sz="6" w:space="11" w:color="E5E5E5"/>
                            <w:left w:val="single" w:sz="6" w:space="11" w:color="E5E5E5"/>
                            <w:bottom w:val="single" w:sz="6" w:space="1" w:color="E5E5E5"/>
                            <w:right w:val="single" w:sz="6" w:space="11" w:color="E5E5E5"/>
                          </w:divBdr>
                          <w:divsChild>
                            <w:div w:id="262958136">
                              <w:marLeft w:val="0"/>
                              <w:marRight w:val="0"/>
                              <w:marTop w:val="0"/>
                              <w:marBottom w:val="0"/>
                              <w:divBdr>
                                <w:top w:val="none" w:sz="0" w:space="0" w:color="auto"/>
                                <w:left w:val="none" w:sz="0" w:space="0" w:color="auto"/>
                                <w:bottom w:val="dotted" w:sz="6" w:space="4" w:color="DDDDDD"/>
                                <w:right w:val="none" w:sz="0" w:space="0" w:color="auto"/>
                              </w:divBdr>
                              <w:divsChild>
                                <w:div w:id="83080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559584">
          <w:marLeft w:val="0"/>
          <w:marRight w:val="0"/>
          <w:marTop w:val="0"/>
          <w:marBottom w:val="0"/>
          <w:divBdr>
            <w:top w:val="single" w:sz="6" w:space="0" w:color="E5E5E5"/>
            <w:left w:val="none" w:sz="0" w:space="0" w:color="auto"/>
            <w:bottom w:val="single" w:sz="18" w:space="0" w:color="000000"/>
            <w:right w:val="none" w:sz="0" w:space="0" w:color="auto"/>
          </w:divBdr>
          <w:divsChild>
            <w:div w:id="1846436912">
              <w:marLeft w:val="0"/>
              <w:marRight w:val="0"/>
              <w:marTop w:val="0"/>
              <w:marBottom w:val="0"/>
              <w:divBdr>
                <w:top w:val="none" w:sz="0" w:space="0" w:color="auto"/>
                <w:left w:val="none" w:sz="0" w:space="0" w:color="auto"/>
                <w:bottom w:val="none" w:sz="0" w:space="0" w:color="auto"/>
                <w:right w:val="none" w:sz="0" w:space="0" w:color="auto"/>
              </w:divBdr>
              <w:divsChild>
                <w:div w:id="103681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502996">
      <w:bodyDiv w:val="1"/>
      <w:marLeft w:val="0"/>
      <w:marRight w:val="0"/>
      <w:marTop w:val="0"/>
      <w:marBottom w:val="0"/>
      <w:divBdr>
        <w:top w:val="none" w:sz="0" w:space="0" w:color="auto"/>
        <w:left w:val="none" w:sz="0" w:space="0" w:color="auto"/>
        <w:bottom w:val="none" w:sz="0" w:space="0" w:color="auto"/>
        <w:right w:val="none" w:sz="0" w:space="0" w:color="auto"/>
      </w:divBdr>
      <w:divsChild>
        <w:div w:id="172956987">
          <w:marLeft w:val="0"/>
          <w:marRight w:val="0"/>
          <w:marTop w:val="0"/>
          <w:marBottom w:val="150"/>
          <w:divBdr>
            <w:top w:val="none" w:sz="0" w:space="0" w:color="auto"/>
            <w:left w:val="none" w:sz="0" w:space="0" w:color="auto"/>
            <w:bottom w:val="none" w:sz="0" w:space="0" w:color="auto"/>
            <w:right w:val="none" w:sz="0" w:space="0" w:color="auto"/>
          </w:divBdr>
        </w:div>
      </w:divsChild>
    </w:div>
    <w:div w:id="1680506510">
      <w:bodyDiv w:val="1"/>
      <w:marLeft w:val="0"/>
      <w:marRight w:val="0"/>
      <w:marTop w:val="0"/>
      <w:marBottom w:val="0"/>
      <w:divBdr>
        <w:top w:val="none" w:sz="0" w:space="0" w:color="auto"/>
        <w:left w:val="none" w:sz="0" w:space="0" w:color="auto"/>
        <w:bottom w:val="none" w:sz="0" w:space="0" w:color="auto"/>
        <w:right w:val="none" w:sz="0" w:space="0" w:color="auto"/>
      </w:divBdr>
    </w:div>
    <w:div w:id="1680884572">
      <w:bodyDiv w:val="1"/>
      <w:marLeft w:val="0"/>
      <w:marRight w:val="0"/>
      <w:marTop w:val="0"/>
      <w:marBottom w:val="0"/>
      <w:divBdr>
        <w:top w:val="none" w:sz="0" w:space="0" w:color="auto"/>
        <w:left w:val="none" w:sz="0" w:space="0" w:color="auto"/>
        <w:bottom w:val="none" w:sz="0" w:space="0" w:color="auto"/>
        <w:right w:val="none" w:sz="0" w:space="0" w:color="auto"/>
      </w:divBdr>
      <w:divsChild>
        <w:div w:id="206573261">
          <w:marLeft w:val="0"/>
          <w:marRight w:val="0"/>
          <w:marTop w:val="0"/>
          <w:marBottom w:val="0"/>
          <w:divBdr>
            <w:top w:val="none" w:sz="0" w:space="0" w:color="auto"/>
            <w:left w:val="none" w:sz="0" w:space="0" w:color="auto"/>
            <w:bottom w:val="none" w:sz="0" w:space="0" w:color="auto"/>
            <w:right w:val="none" w:sz="0" w:space="0" w:color="auto"/>
          </w:divBdr>
        </w:div>
      </w:divsChild>
    </w:div>
    <w:div w:id="1681271031">
      <w:bodyDiv w:val="1"/>
      <w:marLeft w:val="0"/>
      <w:marRight w:val="0"/>
      <w:marTop w:val="0"/>
      <w:marBottom w:val="0"/>
      <w:divBdr>
        <w:top w:val="none" w:sz="0" w:space="0" w:color="auto"/>
        <w:left w:val="none" w:sz="0" w:space="0" w:color="auto"/>
        <w:bottom w:val="none" w:sz="0" w:space="0" w:color="auto"/>
        <w:right w:val="none" w:sz="0" w:space="0" w:color="auto"/>
      </w:divBdr>
      <w:divsChild>
        <w:div w:id="153881176">
          <w:marLeft w:val="0"/>
          <w:marRight w:val="0"/>
          <w:marTop w:val="0"/>
          <w:marBottom w:val="0"/>
          <w:divBdr>
            <w:top w:val="none" w:sz="0" w:space="0" w:color="auto"/>
            <w:left w:val="none" w:sz="0" w:space="0" w:color="auto"/>
            <w:bottom w:val="none" w:sz="0" w:space="0" w:color="auto"/>
            <w:right w:val="none" w:sz="0" w:space="0" w:color="auto"/>
          </w:divBdr>
          <w:divsChild>
            <w:div w:id="20134986">
              <w:marLeft w:val="0"/>
              <w:marRight w:val="0"/>
              <w:marTop w:val="0"/>
              <w:marBottom w:val="0"/>
              <w:divBdr>
                <w:top w:val="none" w:sz="0" w:space="0" w:color="auto"/>
                <w:left w:val="none" w:sz="0" w:space="0" w:color="auto"/>
                <w:bottom w:val="none" w:sz="0" w:space="0" w:color="auto"/>
                <w:right w:val="none" w:sz="0" w:space="0" w:color="auto"/>
              </w:divBdr>
              <w:divsChild>
                <w:div w:id="270937498">
                  <w:marLeft w:val="0"/>
                  <w:marRight w:val="0"/>
                  <w:marTop w:val="0"/>
                  <w:marBottom w:val="0"/>
                  <w:divBdr>
                    <w:top w:val="none" w:sz="0" w:space="0" w:color="auto"/>
                    <w:left w:val="none" w:sz="0" w:space="0" w:color="auto"/>
                    <w:bottom w:val="none" w:sz="0" w:space="0" w:color="auto"/>
                    <w:right w:val="none" w:sz="0" w:space="0" w:color="auto"/>
                  </w:divBdr>
                  <w:divsChild>
                    <w:div w:id="1731684800">
                      <w:marLeft w:val="0"/>
                      <w:marRight w:val="0"/>
                      <w:marTop w:val="0"/>
                      <w:marBottom w:val="0"/>
                      <w:divBdr>
                        <w:top w:val="none" w:sz="0" w:space="0" w:color="auto"/>
                        <w:left w:val="none" w:sz="0" w:space="0" w:color="auto"/>
                        <w:bottom w:val="none" w:sz="0" w:space="0" w:color="auto"/>
                        <w:right w:val="none" w:sz="0" w:space="0" w:color="auto"/>
                      </w:divBdr>
                      <w:divsChild>
                        <w:div w:id="786041536">
                          <w:marLeft w:val="0"/>
                          <w:marRight w:val="0"/>
                          <w:marTop w:val="0"/>
                          <w:marBottom w:val="0"/>
                          <w:divBdr>
                            <w:top w:val="none" w:sz="0" w:space="0" w:color="auto"/>
                            <w:left w:val="none" w:sz="0" w:space="0" w:color="auto"/>
                            <w:bottom w:val="none" w:sz="0" w:space="0" w:color="auto"/>
                            <w:right w:val="none" w:sz="0" w:space="0" w:color="auto"/>
                          </w:divBdr>
                          <w:divsChild>
                            <w:div w:id="46905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1275103">
      <w:bodyDiv w:val="1"/>
      <w:marLeft w:val="0"/>
      <w:marRight w:val="0"/>
      <w:marTop w:val="0"/>
      <w:marBottom w:val="0"/>
      <w:divBdr>
        <w:top w:val="none" w:sz="0" w:space="0" w:color="auto"/>
        <w:left w:val="none" w:sz="0" w:space="0" w:color="auto"/>
        <w:bottom w:val="none" w:sz="0" w:space="0" w:color="auto"/>
        <w:right w:val="none" w:sz="0" w:space="0" w:color="auto"/>
      </w:divBdr>
      <w:divsChild>
        <w:div w:id="598872568">
          <w:marLeft w:val="0"/>
          <w:marRight w:val="0"/>
          <w:marTop w:val="0"/>
          <w:marBottom w:val="0"/>
          <w:divBdr>
            <w:top w:val="none" w:sz="0" w:space="0" w:color="auto"/>
            <w:left w:val="none" w:sz="0" w:space="0" w:color="auto"/>
            <w:bottom w:val="none" w:sz="0" w:space="0" w:color="auto"/>
            <w:right w:val="none" w:sz="0" w:space="0" w:color="auto"/>
          </w:divBdr>
          <w:divsChild>
            <w:div w:id="1192113273">
              <w:marLeft w:val="0"/>
              <w:marRight w:val="0"/>
              <w:marTop w:val="0"/>
              <w:marBottom w:val="0"/>
              <w:divBdr>
                <w:top w:val="none" w:sz="0" w:space="0" w:color="auto"/>
                <w:left w:val="none" w:sz="0" w:space="0" w:color="auto"/>
                <w:bottom w:val="none" w:sz="0" w:space="0" w:color="auto"/>
                <w:right w:val="none" w:sz="0" w:space="0" w:color="auto"/>
              </w:divBdr>
              <w:divsChild>
                <w:div w:id="287276499">
                  <w:marLeft w:val="0"/>
                  <w:marRight w:val="0"/>
                  <w:marTop w:val="0"/>
                  <w:marBottom w:val="0"/>
                  <w:divBdr>
                    <w:top w:val="none" w:sz="0" w:space="0" w:color="auto"/>
                    <w:left w:val="none" w:sz="0" w:space="0" w:color="auto"/>
                    <w:bottom w:val="none" w:sz="0" w:space="0" w:color="auto"/>
                    <w:right w:val="none" w:sz="0" w:space="0" w:color="auto"/>
                  </w:divBdr>
                  <w:divsChild>
                    <w:div w:id="28377942">
                      <w:marLeft w:val="0"/>
                      <w:marRight w:val="0"/>
                      <w:marTop w:val="0"/>
                      <w:marBottom w:val="0"/>
                      <w:divBdr>
                        <w:top w:val="none" w:sz="0" w:space="0" w:color="auto"/>
                        <w:left w:val="none" w:sz="0" w:space="0" w:color="auto"/>
                        <w:bottom w:val="none" w:sz="0" w:space="0" w:color="auto"/>
                        <w:right w:val="none" w:sz="0" w:space="0" w:color="auto"/>
                      </w:divBdr>
                      <w:divsChild>
                        <w:div w:id="787435062">
                          <w:marLeft w:val="0"/>
                          <w:marRight w:val="0"/>
                          <w:marTop w:val="0"/>
                          <w:marBottom w:val="0"/>
                          <w:divBdr>
                            <w:top w:val="none" w:sz="0" w:space="0" w:color="auto"/>
                            <w:left w:val="none" w:sz="0" w:space="0" w:color="auto"/>
                            <w:bottom w:val="none" w:sz="0" w:space="0" w:color="auto"/>
                            <w:right w:val="none" w:sz="0" w:space="0" w:color="auto"/>
                          </w:divBdr>
                          <w:divsChild>
                            <w:div w:id="1711605875">
                              <w:marLeft w:val="0"/>
                              <w:marRight w:val="0"/>
                              <w:marTop w:val="0"/>
                              <w:marBottom w:val="0"/>
                              <w:divBdr>
                                <w:top w:val="none" w:sz="0" w:space="0" w:color="auto"/>
                                <w:left w:val="none" w:sz="0" w:space="0" w:color="auto"/>
                                <w:bottom w:val="none" w:sz="0" w:space="0" w:color="auto"/>
                                <w:right w:val="none" w:sz="0" w:space="0" w:color="auto"/>
                              </w:divBdr>
                              <w:divsChild>
                                <w:div w:id="1052650742">
                                  <w:marLeft w:val="0"/>
                                  <w:marRight w:val="0"/>
                                  <w:marTop w:val="0"/>
                                  <w:marBottom w:val="0"/>
                                  <w:divBdr>
                                    <w:top w:val="none" w:sz="0" w:space="0" w:color="auto"/>
                                    <w:left w:val="none" w:sz="0" w:space="0" w:color="auto"/>
                                    <w:bottom w:val="none" w:sz="0" w:space="0" w:color="auto"/>
                                    <w:right w:val="none" w:sz="0" w:space="0" w:color="auto"/>
                                  </w:divBdr>
                                  <w:divsChild>
                                    <w:div w:id="5983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547930">
      <w:bodyDiv w:val="1"/>
      <w:marLeft w:val="0"/>
      <w:marRight w:val="0"/>
      <w:marTop w:val="0"/>
      <w:marBottom w:val="0"/>
      <w:divBdr>
        <w:top w:val="none" w:sz="0" w:space="0" w:color="auto"/>
        <w:left w:val="none" w:sz="0" w:space="0" w:color="auto"/>
        <w:bottom w:val="none" w:sz="0" w:space="0" w:color="auto"/>
        <w:right w:val="none" w:sz="0" w:space="0" w:color="auto"/>
      </w:divBdr>
      <w:divsChild>
        <w:div w:id="472217601">
          <w:marLeft w:val="0"/>
          <w:marRight w:val="0"/>
          <w:marTop w:val="0"/>
          <w:marBottom w:val="0"/>
          <w:divBdr>
            <w:top w:val="none" w:sz="0" w:space="0" w:color="auto"/>
            <w:left w:val="none" w:sz="0" w:space="0" w:color="auto"/>
            <w:bottom w:val="none" w:sz="0" w:space="0" w:color="auto"/>
            <w:right w:val="none" w:sz="0" w:space="0" w:color="auto"/>
          </w:divBdr>
          <w:divsChild>
            <w:div w:id="1791587765">
              <w:marLeft w:val="0"/>
              <w:marRight w:val="0"/>
              <w:marTop w:val="0"/>
              <w:marBottom w:val="0"/>
              <w:divBdr>
                <w:top w:val="none" w:sz="0" w:space="0" w:color="auto"/>
                <w:left w:val="none" w:sz="0" w:space="0" w:color="auto"/>
                <w:bottom w:val="none" w:sz="0" w:space="0" w:color="auto"/>
                <w:right w:val="none" w:sz="0" w:space="0" w:color="auto"/>
              </w:divBdr>
            </w:div>
          </w:divsChild>
        </w:div>
        <w:div w:id="989023313">
          <w:marLeft w:val="0"/>
          <w:marRight w:val="0"/>
          <w:marTop w:val="150"/>
          <w:marBottom w:val="0"/>
          <w:divBdr>
            <w:top w:val="none" w:sz="0" w:space="0" w:color="auto"/>
            <w:left w:val="none" w:sz="0" w:space="0" w:color="auto"/>
            <w:bottom w:val="none" w:sz="0" w:space="0" w:color="auto"/>
            <w:right w:val="none" w:sz="0" w:space="0" w:color="auto"/>
          </w:divBdr>
          <w:divsChild>
            <w:div w:id="541987719">
              <w:marLeft w:val="0"/>
              <w:marRight w:val="0"/>
              <w:marTop w:val="0"/>
              <w:marBottom w:val="0"/>
              <w:divBdr>
                <w:top w:val="none" w:sz="0" w:space="0" w:color="auto"/>
                <w:left w:val="none" w:sz="0" w:space="0" w:color="auto"/>
                <w:bottom w:val="none" w:sz="0" w:space="0" w:color="auto"/>
                <w:right w:val="none" w:sz="0" w:space="0" w:color="auto"/>
              </w:divBdr>
              <w:divsChild>
                <w:div w:id="435104735">
                  <w:marLeft w:val="75"/>
                  <w:marRight w:val="0"/>
                  <w:marTop w:val="0"/>
                  <w:marBottom w:val="0"/>
                  <w:divBdr>
                    <w:top w:val="none" w:sz="0" w:space="0" w:color="auto"/>
                    <w:left w:val="none" w:sz="0" w:space="0" w:color="auto"/>
                    <w:bottom w:val="none" w:sz="0" w:space="0" w:color="auto"/>
                    <w:right w:val="none" w:sz="0" w:space="0" w:color="auto"/>
                  </w:divBdr>
                </w:div>
                <w:div w:id="45398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812280">
      <w:bodyDiv w:val="1"/>
      <w:marLeft w:val="0"/>
      <w:marRight w:val="0"/>
      <w:marTop w:val="0"/>
      <w:marBottom w:val="0"/>
      <w:divBdr>
        <w:top w:val="none" w:sz="0" w:space="0" w:color="auto"/>
        <w:left w:val="none" w:sz="0" w:space="0" w:color="auto"/>
        <w:bottom w:val="none" w:sz="0" w:space="0" w:color="auto"/>
        <w:right w:val="none" w:sz="0" w:space="0" w:color="auto"/>
      </w:divBdr>
      <w:divsChild>
        <w:div w:id="1073432026">
          <w:marLeft w:val="0"/>
          <w:marRight w:val="0"/>
          <w:marTop w:val="0"/>
          <w:marBottom w:val="0"/>
          <w:divBdr>
            <w:top w:val="none" w:sz="0" w:space="0" w:color="auto"/>
            <w:left w:val="none" w:sz="0" w:space="0" w:color="auto"/>
            <w:bottom w:val="none" w:sz="0" w:space="0" w:color="auto"/>
            <w:right w:val="none" w:sz="0" w:space="0" w:color="auto"/>
          </w:divBdr>
        </w:div>
      </w:divsChild>
    </w:div>
    <w:div w:id="1682048558">
      <w:bodyDiv w:val="1"/>
      <w:marLeft w:val="0"/>
      <w:marRight w:val="0"/>
      <w:marTop w:val="0"/>
      <w:marBottom w:val="0"/>
      <w:divBdr>
        <w:top w:val="none" w:sz="0" w:space="0" w:color="auto"/>
        <w:left w:val="none" w:sz="0" w:space="0" w:color="auto"/>
        <w:bottom w:val="none" w:sz="0" w:space="0" w:color="auto"/>
        <w:right w:val="none" w:sz="0" w:space="0" w:color="auto"/>
      </w:divBdr>
      <w:divsChild>
        <w:div w:id="1349137961">
          <w:marLeft w:val="0"/>
          <w:marRight w:val="0"/>
          <w:marTop w:val="0"/>
          <w:marBottom w:val="0"/>
          <w:divBdr>
            <w:top w:val="none" w:sz="0" w:space="0" w:color="auto"/>
            <w:left w:val="none" w:sz="0" w:space="0" w:color="auto"/>
            <w:bottom w:val="none" w:sz="0" w:space="0" w:color="auto"/>
            <w:right w:val="none" w:sz="0" w:space="0" w:color="auto"/>
          </w:divBdr>
          <w:divsChild>
            <w:div w:id="1184395851">
              <w:marLeft w:val="0"/>
              <w:marRight w:val="0"/>
              <w:marTop w:val="0"/>
              <w:marBottom w:val="0"/>
              <w:divBdr>
                <w:top w:val="none" w:sz="0" w:space="0" w:color="auto"/>
                <w:left w:val="none" w:sz="0" w:space="0" w:color="auto"/>
                <w:bottom w:val="none" w:sz="0" w:space="0" w:color="auto"/>
                <w:right w:val="none" w:sz="0" w:space="0" w:color="auto"/>
              </w:divBdr>
              <w:divsChild>
                <w:div w:id="914819741">
                  <w:marLeft w:val="0"/>
                  <w:marRight w:val="0"/>
                  <w:marTop w:val="0"/>
                  <w:marBottom w:val="0"/>
                  <w:divBdr>
                    <w:top w:val="none" w:sz="0" w:space="0" w:color="auto"/>
                    <w:left w:val="none" w:sz="0" w:space="0" w:color="auto"/>
                    <w:bottom w:val="none" w:sz="0" w:space="0" w:color="auto"/>
                    <w:right w:val="none" w:sz="0" w:space="0" w:color="auto"/>
                  </w:divBdr>
                  <w:divsChild>
                    <w:div w:id="175639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101476">
          <w:marLeft w:val="0"/>
          <w:marRight w:val="0"/>
          <w:marTop w:val="0"/>
          <w:marBottom w:val="0"/>
          <w:divBdr>
            <w:top w:val="none" w:sz="0" w:space="0" w:color="auto"/>
            <w:left w:val="none" w:sz="0" w:space="0" w:color="auto"/>
            <w:bottom w:val="none" w:sz="0" w:space="0" w:color="auto"/>
            <w:right w:val="none" w:sz="0" w:space="0" w:color="auto"/>
          </w:divBdr>
        </w:div>
      </w:divsChild>
    </w:div>
    <w:div w:id="1682051348">
      <w:bodyDiv w:val="1"/>
      <w:marLeft w:val="0"/>
      <w:marRight w:val="0"/>
      <w:marTop w:val="0"/>
      <w:marBottom w:val="0"/>
      <w:divBdr>
        <w:top w:val="none" w:sz="0" w:space="0" w:color="auto"/>
        <w:left w:val="none" w:sz="0" w:space="0" w:color="auto"/>
        <w:bottom w:val="none" w:sz="0" w:space="0" w:color="auto"/>
        <w:right w:val="none" w:sz="0" w:space="0" w:color="auto"/>
      </w:divBdr>
      <w:divsChild>
        <w:div w:id="131947559">
          <w:marLeft w:val="0"/>
          <w:marRight w:val="0"/>
          <w:marTop w:val="0"/>
          <w:marBottom w:val="150"/>
          <w:divBdr>
            <w:top w:val="none" w:sz="0" w:space="0" w:color="auto"/>
            <w:left w:val="none" w:sz="0" w:space="0" w:color="auto"/>
            <w:bottom w:val="none" w:sz="0" w:space="0" w:color="auto"/>
            <w:right w:val="none" w:sz="0" w:space="0" w:color="auto"/>
          </w:divBdr>
        </w:div>
      </w:divsChild>
    </w:div>
    <w:div w:id="1682312189">
      <w:bodyDiv w:val="1"/>
      <w:marLeft w:val="0"/>
      <w:marRight w:val="0"/>
      <w:marTop w:val="0"/>
      <w:marBottom w:val="0"/>
      <w:divBdr>
        <w:top w:val="none" w:sz="0" w:space="0" w:color="auto"/>
        <w:left w:val="none" w:sz="0" w:space="0" w:color="auto"/>
        <w:bottom w:val="none" w:sz="0" w:space="0" w:color="auto"/>
        <w:right w:val="none" w:sz="0" w:space="0" w:color="auto"/>
      </w:divBdr>
    </w:div>
    <w:div w:id="1682659047">
      <w:bodyDiv w:val="1"/>
      <w:marLeft w:val="0"/>
      <w:marRight w:val="0"/>
      <w:marTop w:val="0"/>
      <w:marBottom w:val="0"/>
      <w:divBdr>
        <w:top w:val="none" w:sz="0" w:space="0" w:color="auto"/>
        <w:left w:val="none" w:sz="0" w:space="0" w:color="auto"/>
        <w:bottom w:val="none" w:sz="0" w:space="0" w:color="auto"/>
        <w:right w:val="none" w:sz="0" w:space="0" w:color="auto"/>
      </w:divBdr>
    </w:div>
    <w:div w:id="1682705695">
      <w:bodyDiv w:val="1"/>
      <w:marLeft w:val="0"/>
      <w:marRight w:val="0"/>
      <w:marTop w:val="0"/>
      <w:marBottom w:val="0"/>
      <w:divBdr>
        <w:top w:val="none" w:sz="0" w:space="0" w:color="auto"/>
        <w:left w:val="none" w:sz="0" w:space="0" w:color="auto"/>
        <w:bottom w:val="none" w:sz="0" w:space="0" w:color="auto"/>
        <w:right w:val="none" w:sz="0" w:space="0" w:color="auto"/>
      </w:divBdr>
      <w:divsChild>
        <w:div w:id="1177575567">
          <w:marLeft w:val="0"/>
          <w:marRight w:val="0"/>
          <w:marTop w:val="0"/>
          <w:marBottom w:val="0"/>
          <w:divBdr>
            <w:top w:val="none" w:sz="0" w:space="0" w:color="auto"/>
            <w:left w:val="none" w:sz="0" w:space="0" w:color="auto"/>
            <w:bottom w:val="dotted" w:sz="6" w:space="4" w:color="DDDDDD"/>
            <w:right w:val="none" w:sz="0" w:space="0" w:color="auto"/>
          </w:divBdr>
          <w:divsChild>
            <w:div w:id="51808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774635">
      <w:bodyDiv w:val="1"/>
      <w:marLeft w:val="0"/>
      <w:marRight w:val="0"/>
      <w:marTop w:val="0"/>
      <w:marBottom w:val="0"/>
      <w:divBdr>
        <w:top w:val="none" w:sz="0" w:space="0" w:color="auto"/>
        <w:left w:val="none" w:sz="0" w:space="0" w:color="auto"/>
        <w:bottom w:val="none" w:sz="0" w:space="0" w:color="auto"/>
        <w:right w:val="none" w:sz="0" w:space="0" w:color="auto"/>
      </w:divBdr>
      <w:divsChild>
        <w:div w:id="1400513761">
          <w:marLeft w:val="0"/>
          <w:marRight w:val="0"/>
          <w:marTop w:val="0"/>
          <w:marBottom w:val="150"/>
          <w:divBdr>
            <w:top w:val="none" w:sz="0" w:space="0" w:color="auto"/>
            <w:left w:val="none" w:sz="0" w:space="0" w:color="auto"/>
            <w:bottom w:val="none" w:sz="0" w:space="0" w:color="auto"/>
            <w:right w:val="none" w:sz="0" w:space="0" w:color="auto"/>
          </w:divBdr>
        </w:div>
      </w:divsChild>
    </w:div>
    <w:div w:id="1683822877">
      <w:bodyDiv w:val="1"/>
      <w:marLeft w:val="0"/>
      <w:marRight w:val="0"/>
      <w:marTop w:val="0"/>
      <w:marBottom w:val="0"/>
      <w:divBdr>
        <w:top w:val="none" w:sz="0" w:space="0" w:color="auto"/>
        <w:left w:val="none" w:sz="0" w:space="0" w:color="auto"/>
        <w:bottom w:val="none" w:sz="0" w:space="0" w:color="auto"/>
        <w:right w:val="none" w:sz="0" w:space="0" w:color="auto"/>
      </w:divBdr>
      <w:divsChild>
        <w:div w:id="1710909897">
          <w:marLeft w:val="0"/>
          <w:marRight w:val="0"/>
          <w:marTop w:val="0"/>
          <w:marBottom w:val="150"/>
          <w:divBdr>
            <w:top w:val="none" w:sz="0" w:space="0" w:color="auto"/>
            <w:left w:val="none" w:sz="0" w:space="0" w:color="auto"/>
            <w:bottom w:val="none" w:sz="0" w:space="0" w:color="auto"/>
            <w:right w:val="none" w:sz="0" w:space="0" w:color="auto"/>
          </w:divBdr>
        </w:div>
        <w:div w:id="1859537387">
          <w:marLeft w:val="0"/>
          <w:marRight w:val="0"/>
          <w:marTop w:val="0"/>
          <w:marBottom w:val="150"/>
          <w:divBdr>
            <w:top w:val="none" w:sz="0" w:space="0" w:color="auto"/>
            <w:left w:val="none" w:sz="0" w:space="0" w:color="auto"/>
            <w:bottom w:val="none" w:sz="0" w:space="0" w:color="auto"/>
            <w:right w:val="none" w:sz="0" w:space="0" w:color="auto"/>
          </w:divBdr>
          <w:divsChild>
            <w:div w:id="1983580550">
              <w:marLeft w:val="0"/>
              <w:marRight w:val="0"/>
              <w:marTop w:val="0"/>
              <w:marBottom w:val="0"/>
              <w:divBdr>
                <w:top w:val="none" w:sz="0" w:space="0" w:color="auto"/>
                <w:left w:val="none" w:sz="0" w:space="0" w:color="auto"/>
                <w:bottom w:val="none" w:sz="0" w:space="0" w:color="auto"/>
                <w:right w:val="none" w:sz="0" w:space="0" w:color="auto"/>
              </w:divBdr>
              <w:divsChild>
                <w:div w:id="4719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667118">
          <w:marLeft w:val="0"/>
          <w:marRight w:val="0"/>
          <w:marTop w:val="0"/>
          <w:marBottom w:val="0"/>
          <w:divBdr>
            <w:top w:val="none" w:sz="0" w:space="0" w:color="auto"/>
            <w:left w:val="none" w:sz="0" w:space="0" w:color="auto"/>
            <w:bottom w:val="none" w:sz="0" w:space="0" w:color="auto"/>
            <w:right w:val="none" w:sz="0" w:space="0" w:color="auto"/>
          </w:divBdr>
          <w:divsChild>
            <w:div w:id="2518594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84354992">
      <w:bodyDiv w:val="1"/>
      <w:marLeft w:val="0"/>
      <w:marRight w:val="0"/>
      <w:marTop w:val="0"/>
      <w:marBottom w:val="0"/>
      <w:divBdr>
        <w:top w:val="none" w:sz="0" w:space="0" w:color="auto"/>
        <w:left w:val="none" w:sz="0" w:space="0" w:color="auto"/>
        <w:bottom w:val="none" w:sz="0" w:space="0" w:color="auto"/>
        <w:right w:val="none" w:sz="0" w:space="0" w:color="auto"/>
      </w:divBdr>
      <w:divsChild>
        <w:div w:id="222329520">
          <w:marLeft w:val="0"/>
          <w:marRight w:val="0"/>
          <w:marTop w:val="0"/>
          <w:marBottom w:val="0"/>
          <w:divBdr>
            <w:top w:val="none" w:sz="0" w:space="0" w:color="auto"/>
            <w:left w:val="none" w:sz="0" w:space="0" w:color="auto"/>
            <w:bottom w:val="none" w:sz="0" w:space="0" w:color="auto"/>
            <w:right w:val="none" w:sz="0" w:space="0" w:color="auto"/>
          </w:divBdr>
          <w:divsChild>
            <w:div w:id="1833252901">
              <w:marLeft w:val="0"/>
              <w:marRight w:val="0"/>
              <w:marTop w:val="0"/>
              <w:marBottom w:val="0"/>
              <w:divBdr>
                <w:top w:val="none" w:sz="0" w:space="0" w:color="auto"/>
                <w:left w:val="none" w:sz="0" w:space="0" w:color="auto"/>
                <w:bottom w:val="none" w:sz="0" w:space="0" w:color="auto"/>
                <w:right w:val="none" w:sz="0" w:space="0" w:color="auto"/>
              </w:divBdr>
              <w:divsChild>
                <w:div w:id="1718117819">
                  <w:marLeft w:val="0"/>
                  <w:marRight w:val="0"/>
                  <w:marTop w:val="0"/>
                  <w:marBottom w:val="0"/>
                  <w:divBdr>
                    <w:top w:val="none" w:sz="0" w:space="0" w:color="auto"/>
                    <w:left w:val="none" w:sz="0" w:space="0" w:color="auto"/>
                    <w:bottom w:val="none" w:sz="0" w:space="0" w:color="auto"/>
                    <w:right w:val="none" w:sz="0" w:space="0" w:color="auto"/>
                  </w:divBdr>
                  <w:divsChild>
                    <w:div w:id="343366521">
                      <w:marLeft w:val="0"/>
                      <w:marRight w:val="0"/>
                      <w:marTop w:val="0"/>
                      <w:marBottom w:val="0"/>
                      <w:divBdr>
                        <w:top w:val="none" w:sz="0" w:space="0" w:color="auto"/>
                        <w:left w:val="none" w:sz="0" w:space="0" w:color="auto"/>
                        <w:bottom w:val="none" w:sz="0" w:space="0" w:color="auto"/>
                        <w:right w:val="none" w:sz="0" w:space="0" w:color="auto"/>
                      </w:divBdr>
                      <w:divsChild>
                        <w:div w:id="1588659501">
                          <w:marLeft w:val="0"/>
                          <w:marRight w:val="0"/>
                          <w:marTop w:val="0"/>
                          <w:marBottom w:val="0"/>
                          <w:divBdr>
                            <w:top w:val="none" w:sz="0" w:space="0" w:color="auto"/>
                            <w:left w:val="none" w:sz="0" w:space="0" w:color="auto"/>
                            <w:bottom w:val="none" w:sz="0" w:space="0" w:color="auto"/>
                            <w:right w:val="none" w:sz="0" w:space="0" w:color="auto"/>
                          </w:divBdr>
                          <w:divsChild>
                            <w:div w:id="1147091981">
                              <w:marLeft w:val="0"/>
                              <w:marRight w:val="0"/>
                              <w:marTop w:val="0"/>
                              <w:marBottom w:val="0"/>
                              <w:divBdr>
                                <w:top w:val="none" w:sz="0" w:space="0" w:color="auto"/>
                                <w:left w:val="none" w:sz="0" w:space="0" w:color="auto"/>
                                <w:bottom w:val="none" w:sz="0" w:space="0" w:color="auto"/>
                                <w:right w:val="none" w:sz="0" w:space="0" w:color="auto"/>
                              </w:divBdr>
                              <w:divsChild>
                                <w:div w:id="757290475">
                                  <w:marLeft w:val="0"/>
                                  <w:marRight w:val="0"/>
                                  <w:marTop w:val="0"/>
                                  <w:marBottom w:val="0"/>
                                  <w:divBdr>
                                    <w:top w:val="none" w:sz="0" w:space="0" w:color="auto"/>
                                    <w:left w:val="none" w:sz="0" w:space="0" w:color="auto"/>
                                    <w:bottom w:val="none" w:sz="0" w:space="0" w:color="auto"/>
                                    <w:right w:val="none" w:sz="0" w:space="0" w:color="auto"/>
                                  </w:divBdr>
                                </w:div>
                                <w:div w:id="84216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4824035">
      <w:bodyDiv w:val="1"/>
      <w:marLeft w:val="0"/>
      <w:marRight w:val="0"/>
      <w:marTop w:val="0"/>
      <w:marBottom w:val="0"/>
      <w:divBdr>
        <w:top w:val="none" w:sz="0" w:space="0" w:color="auto"/>
        <w:left w:val="none" w:sz="0" w:space="0" w:color="auto"/>
        <w:bottom w:val="none" w:sz="0" w:space="0" w:color="auto"/>
        <w:right w:val="none" w:sz="0" w:space="0" w:color="auto"/>
      </w:divBdr>
    </w:div>
    <w:div w:id="1686050134">
      <w:bodyDiv w:val="1"/>
      <w:marLeft w:val="0"/>
      <w:marRight w:val="0"/>
      <w:marTop w:val="0"/>
      <w:marBottom w:val="0"/>
      <w:divBdr>
        <w:top w:val="none" w:sz="0" w:space="0" w:color="auto"/>
        <w:left w:val="none" w:sz="0" w:space="0" w:color="auto"/>
        <w:bottom w:val="none" w:sz="0" w:space="0" w:color="auto"/>
        <w:right w:val="none" w:sz="0" w:space="0" w:color="auto"/>
      </w:divBdr>
    </w:div>
    <w:div w:id="1686059025">
      <w:bodyDiv w:val="1"/>
      <w:marLeft w:val="0"/>
      <w:marRight w:val="0"/>
      <w:marTop w:val="0"/>
      <w:marBottom w:val="0"/>
      <w:divBdr>
        <w:top w:val="none" w:sz="0" w:space="0" w:color="auto"/>
        <w:left w:val="none" w:sz="0" w:space="0" w:color="auto"/>
        <w:bottom w:val="none" w:sz="0" w:space="0" w:color="auto"/>
        <w:right w:val="none" w:sz="0" w:space="0" w:color="auto"/>
      </w:divBdr>
    </w:div>
    <w:div w:id="1686127765">
      <w:bodyDiv w:val="1"/>
      <w:marLeft w:val="0"/>
      <w:marRight w:val="0"/>
      <w:marTop w:val="0"/>
      <w:marBottom w:val="0"/>
      <w:divBdr>
        <w:top w:val="none" w:sz="0" w:space="0" w:color="auto"/>
        <w:left w:val="none" w:sz="0" w:space="0" w:color="auto"/>
        <w:bottom w:val="none" w:sz="0" w:space="0" w:color="auto"/>
        <w:right w:val="none" w:sz="0" w:space="0" w:color="auto"/>
      </w:divBdr>
    </w:div>
    <w:div w:id="1686636261">
      <w:bodyDiv w:val="1"/>
      <w:marLeft w:val="0"/>
      <w:marRight w:val="0"/>
      <w:marTop w:val="0"/>
      <w:marBottom w:val="0"/>
      <w:divBdr>
        <w:top w:val="none" w:sz="0" w:space="0" w:color="auto"/>
        <w:left w:val="none" w:sz="0" w:space="0" w:color="auto"/>
        <w:bottom w:val="none" w:sz="0" w:space="0" w:color="auto"/>
        <w:right w:val="none" w:sz="0" w:space="0" w:color="auto"/>
      </w:divBdr>
    </w:div>
    <w:div w:id="1686639213">
      <w:bodyDiv w:val="1"/>
      <w:marLeft w:val="0"/>
      <w:marRight w:val="0"/>
      <w:marTop w:val="0"/>
      <w:marBottom w:val="0"/>
      <w:divBdr>
        <w:top w:val="none" w:sz="0" w:space="0" w:color="auto"/>
        <w:left w:val="none" w:sz="0" w:space="0" w:color="auto"/>
        <w:bottom w:val="none" w:sz="0" w:space="0" w:color="auto"/>
        <w:right w:val="none" w:sz="0" w:space="0" w:color="auto"/>
      </w:divBdr>
      <w:divsChild>
        <w:div w:id="1765881395">
          <w:marLeft w:val="0"/>
          <w:marRight w:val="0"/>
          <w:marTop w:val="0"/>
          <w:marBottom w:val="0"/>
          <w:divBdr>
            <w:top w:val="none" w:sz="0" w:space="0" w:color="auto"/>
            <w:left w:val="none" w:sz="0" w:space="0" w:color="auto"/>
            <w:bottom w:val="dotted" w:sz="6" w:space="4" w:color="DDDDDD"/>
            <w:right w:val="none" w:sz="0" w:space="0" w:color="auto"/>
          </w:divBdr>
        </w:div>
      </w:divsChild>
    </w:div>
    <w:div w:id="1686979540">
      <w:bodyDiv w:val="1"/>
      <w:marLeft w:val="0"/>
      <w:marRight w:val="0"/>
      <w:marTop w:val="0"/>
      <w:marBottom w:val="0"/>
      <w:divBdr>
        <w:top w:val="none" w:sz="0" w:space="0" w:color="auto"/>
        <w:left w:val="none" w:sz="0" w:space="0" w:color="auto"/>
        <w:bottom w:val="none" w:sz="0" w:space="0" w:color="auto"/>
        <w:right w:val="none" w:sz="0" w:space="0" w:color="auto"/>
      </w:divBdr>
      <w:divsChild>
        <w:div w:id="1481580479">
          <w:marLeft w:val="0"/>
          <w:marRight w:val="0"/>
          <w:marTop w:val="0"/>
          <w:marBottom w:val="0"/>
          <w:divBdr>
            <w:top w:val="none" w:sz="0" w:space="0" w:color="auto"/>
            <w:left w:val="none" w:sz="0" w:space="0" w:color="auto"/>
            <w:bottom w:val="dotted" w:sz="6" w:space="4" w:color="DDDDDD"/>
            <w:right w:val="none" w:sz="0" w:space="0" w:color="auto"/>
          </w:divBdr>
          <w:divsChild>
            <w:div w:id="13877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051150">
      <w:bodyDiv w:val="1"/>
      <w:marLeft w:val="0"/>
      <w:marRight w:val="0"/>
      <w:marTop w:val="0"/>
      <w:marBottom w:val="0"/>
      <w:divBdr>
        <w:top w:val="none" w:sz="0" w:space="0" w:color="auto"/>
        <w:left w:val="none" w:sz="0" w:space="0" w:color="auto"/>
        <w:bottom w:val="none" w:sz="0" w:space="0" w:color="auto"/>
        <w:right w:val="none" w:sz="0" w:space="0" w:color="auto"/>
      </w:divBdr>
      <w:divsChild>
        <w:div w:id="440539981">
          <w:marLeft w:val="0"/>
          <w:marRight w:val="0"/>
          <w:marTop w:val="0"/>
          <w:marBottom w:val="0"/>
          <w:divBdr>
            <w:top w:val="none" w:sz="0" w:space="0" w:color="auto"/>
            <w:left w:val="none" w:sz="0" w:space="0" w:color="auto"/>
            <w:bottom w:val="none" w:sz="0" w:space="0" w:color="auto"/>
            <w:right w:val="none" w:sz="0" w:space="0" w:color="auto"/>
          </w:divBdr>
          <w:divsChild>
            <w:div w:id="1913928382">
              <w:marLeft w:val="0"/>
              <w:marRight w:val="0"/>
              <w:marTop w:val="225"/>
              <w:marBottom w:val="225"/>
              <w:divBdr>
                <w:top w:val="none" w:sz="0" w:space="0" w:color="auto"/>
                <w:left w:val="none" w:sz="0" w:space="0" w:color="auto"/>
                <w:bottom w:val="none" w:sz="0" w:space="0" w:color="auto"/>
                <w:right w:val="none" w:sz="0" w:space="0" w:color="auto"/>
              </w:divBdr>
            </w:div>
          </w:divsChild>
        </w:div>
        <w:div w:id="1048844207">
          <w:marLeft w:val="0"/>
          <w:marRight w:val="0"/>
          <w:marTop w:val="0"/>
          <w:marBottom w:val="150"/>
          <w:divBdr>
            <w:top w:val="none" w:sz="0" w:space="0" w:color="auto"/>
            <w:left w:val="none" w:sz="0" w:space="0" w:color="auto"/>
            <w:bottom w:val="none" w:sz="0" w:space="0" w:color="auto"/>
            <w:right w:val="none" w:sz="0" w:space="0" w:color="auto"/>
          </w:divBdr>
        </w:div>
        <w:div w:id="1703019725">
          <w:marLeft w:val="0"/>
          <w:marRight w:val="0"/>
          <w:marTop w:val="0"/>
          <w:marBottom w:val="150"/>
          <w:divBdr>
            <w:top w:val="none" w:sz="0" w:space="0" w:color="auto"/>
            <w:left w:val="none" w:sz="0" w:space="0" w:color="auto"/>
            <w:bottom w:val="none" w:sz="0" w:space="0" w:color="auto"/>
            <w:right w:val="none" w:sz="0" w:space="0" w:color="auto"/>
          </w:divBdr>
          <w:divsChild>
            <w:div w:id="2089302499">
              <w:marLeft w:val="0"/>
              <w:marRight w:val="0"/>
              <w:marTop w:val="0"/>
              <w:marBottom w:val="0"/>
              <w:divBdr>
                <w:top w:val="none" w:sz="0" w:space="0" w:color="auto"/>
                <w:left w:val="none" w:sz="0" w:space="0" w:color="auto"/>
                <w:bottom w:val="none" w:sz="0" w:space="0" w:color="auto"/>
                <w:right w:val="none" w:sz="0" w:space="0" w:color="auto"/>
              </w:divBdr>
              <w:divsChild>
                <w:div w:id="77097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290037">
      <w:bodyDiv w:val="1"/>
      <w:marLeft w:val="0"/>
      <w:marRight w:val="0"/>
      <w:marTop w:val="0"/>
      <w:marBottom w:val="0"/>
      <w:divBdr>
        <w:top w:val="none" w:sz="0" w:space="0" w:color="auto"/>
        <w:left w:val="none" w:sz="0" w:space="0" w:color="auto"/>
        <w:bottom w:val="none" w:sz="0" w:space="0" w:color="auto"/>
        <w:right w:val="none" w:sz="0" w:space="0" w:color="auto"/>
      </w:divBdr>
      <w:divsChild>
        <w:div w:id="1805659765">
          <w:marLeft w:val="0"/>
          <w:marRight w:val="0"/>
          <w:marTop w:val="0"/>
          <w:marBottom w:val="0"/>
          <w:divBdr>
            <w:top w:val="none" w:sz="0" w:space="0" w:color="auto"/>
            <w:left w:val="none" w:sz="0" w:space="0" w:color="auto"/>
            <w:bottom w:val="none" w:sz="0" w:space="0" w:color="auto"/>
            <w:right w:val="none" w:sz="0" w:space="0" w:color="auto"/>
          </w:divBdr>
          <w:divsChild>
            <w:div w:id="664210642">
              <w:marLeft w:val="0"/>
              <w:marRight w:val="0"/>
              <w:marTop w:val="0"/>
              <w:marBottom w:val="0"/>
              <w:divBdr>
                <w:top w:val="none" w:sz="0" w:space="0" w:color="auto"/>
                <w:left w:val="none" w:sz="0" w:space="0" w:color="auto"/>
                <w:bottom w:val="none" w:sz="0" w:space="0" w:color="auto"/>
                <w:right w:val="none" w:sz="0" w:space="0" w:color="auto"/>
              </w:divBdr>
              <w:divsChild>
                <w:div w:id="625085191">
                  <w:marLeft w:val="0"/>
                  <w:marRight w:val="0"/>
                  <w:marTop w:val="0"/>
                  <w:marBottom w:val="0"/>
                  <w:divBdr>
                    <w:top w:val="none" w:sz="0" w:space="0" w:color="auto"/>
                    <w:left w:val="none" w:sz="0" w:space="0" w:color="auto"/>
                    <w:bottom w:val="none" w:sz="0" w:space="0" w:color="auto"/>
                    <w:right w:val="none" w:sz="0" w:space="0" w:color="auto"/>
                  </w:divBdr>
                  <w:divsChild>
                    <w:div w:id="181747304">
                      <w:marLeft w:val="0"/>
                      <w:marRight w:val="0"/>
                      <w:marTop w:val="0"/>
                      <w:marBottom w:val="0"/>
                      <w:divBdr>
                        <w:top w:val="none" w:sz="0" w:space="0" w:color="auto"/>
                        <w:left w:val="none" w:sz="0" w:space="0" w:color="auto"/>
                        <w:bottom w:val="none" w:sz="0" w:space="0" w:color="auto"/>
                        <w:right w:val="none" w:sz="0" w:space="0" w:color="auto"/>
                      </w:divBdr>
                      <w:divsChild>
                        <w:div w:id="820734917">
                          <w:marLeft w:val="0"/>
                          <w:marRight w:val="0"/>
                          <w:marTop w:val="0"/>
                          <w:marBottom w:val="0"/>
                          <w:divBdr>
                            <w:top w:val="none" w:sz="0" w:space="0" w:color="auto"/>
                            <w:left w:val="none" w:sz="0" w:space="0" w:color="auto"/>
                            <w:bottom w:val="none" w:sz="0" w:space="0" w:color="auto"/>
                            <w:right w:val="none" w:sz="0" w:space="0" w:color="auto"/>
                          </w:divBdr>
                          <w:divsChild>
                            <w:div w:id="1542399467">
                              <w:marLeft w:val="0"/>
                              <w:marRight w:val="0"/>
                              <w:marTop w:val="0"/>
                              <w:marBottom w:val="0"/>
                              <w:divBdr>
                                <w:top w:val="none" w:sz="0" w:space="0" w:color="auto"/>
                                <w:left w:val="none" w:sz="0" w:space="0" w:color="auto"/>
                                <w:bottom w:val="none" w:sz="0" w:space="0" w:color="auto"/>
                                <w:right w:val="none" w:sz="0" w:space="0" w:color="auto"/>
                              </w:divBdr>
                              <w:divsChild>
                                <w:div w:id="54784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8021765">
      <w:bodyDiv w:val="1"/>
      <w:marLeft w:val="0"/>
      <w:marRight w:val="0"/>
      <w:marTop w:val="0"/>
      <w:marBottom w:val="0"/>
      <w:divBdr>
        <w:top w:val="none" w:sz="0" w:space="0" w:color="auto"/>
        <w:left w:val="none" w:sz="0" w:space="0" w:color="auto"/>
        <w:bottom w:val="none" w:sz="0" w:space="0" w:color="auto"/>
        <w:right w:val="none" w:sz="0" w:space="0" w:color="auto"/>
      </w:divBdr>
      <w:divsChild>
        <w:div w:id="1623878126">
          <w:marLeft w:val="0"/>
          <w:marRight w:val="0"/>
          <w:marTop w:val="0"/>
          <w:marBottom w:val="0"/>
          <w:divBdr>
            <w:top w:val="none" w:sz="0" w:space="0" w:color="auto"/>
            <w:left w:val="none" w:sz="0" w:space="0" w:color="auto"/>
            <w:bottom w:val="none" w:sz="0" w:space="0" w:color="auto"/>
            <w:right w:val="none" w:sz="0" w:space="0" w:color="auto"/>
          </w:divBdr>
        </w:div>
      </w:divsChild>
    </w:div>
    <w:div w:id="1688098371">
      <w:bodyDiv w:val="1"/>
      <w:marLeft w:val="0"/>
      <w:marRight w:val="0"/>
      <w:marTop w:val="0"/>
      <w:marBottom w:val="0"/>
      <w:divBdr>
        <w:top w:val="none" w:sz="0" w:space="0" w:color="auto"/>
        <w:left w:val="none" w:sz="0" w:space="0" w:color="auto"/>
        <w:bottom w:val="none" w:sz="0" w:space="0" w:color="auto"/>
        <w:right w:val="none" w:sz="0" w:space="0" w:color="auto"/>
      </w:divBdr>
    </w:div>
    <w:div w:id="1688217805">
      <w:bodyDiv w:val="1"/>
      <w:marLeft w:val="0"/>
      <w:marRight w:val="0"/>
      <w:marTop w:val="0"/>
      <w:marBottom w:val="0"/>
      <w:divBdr>
        <w:top w:val="none" w:sz="0" w:space="0" w:color="auto"/>
        <w:left w:val="none" w:sz="0" w:space="0" w:color="auto"/>
        <w:bottom w:val="none" w:sz="0" w:space="0" w:color="auto"/>
        <w:right w:val="none" w:sz="0" w:space="0" w:color="auto"/>
      </w:divBdr>
      <w:divsChild>
        <w:div w:id="731923637">
          <w:marLeft w:val="0"/>
          <w:marRight w:val="0"/>
          <w:marTop w:val="0"/>
          <w:marBottom w:val="0"/>
          <w:divBdr>
            <w:top w:val="none" w:sz="0" w:space="0" w:color="auto"/>
            <w:left w:val="none" w:sz="0" w:space="0" w:color="auto"/>
            <w:bottom w:val="none" w:sz="0" w:space="0" w:color="auto"/>
            <w:right w:val="none" w:sz="0" w:space="0" w:color="auto"/>
          </w:divBdr>
          <w:divsChild>
            <w:div w:id="1673146859">
              <w:marLeft w:val="0"/>
              <w:marRight w:val="0"/>
              <w:marTop w:val="0"/>
              <w:marBottom w:val="0"/>
              <w:divBdr>
                <w:top w:val="none" w:sz="0" w:space="0" w:color="auto"/>
                <w:left w:val="none" w:sz="0" w:space="0" w:color="auto"/>
                <w:bottom w:val="none" w:sz="0" w:space="0" w:color="auto"/>
                <w:right w:val="none" w:sz="0" w:space="0" w:color="auto"/>
              </w:divBdr>
              <w:divsChild>
                <w:div w:id="869610188">
                  <w:marLeft w:val="0"/>
                  <w:marRight w:val="0"/>
                  <w:marTop w:val="0"/>
                  <w:marBottom w:val="0"/>
                  <w:divBdr>
                    <w:top w:val="none" w:sz="0" w:space="0" w:color="auto"/>
                    <w:left w:val="none" w:sz="0" w:space="0" w:color="auto"/>
                    <w:bottom w:val="none" w:sz="0" w:space="0" w:color="auto"/>
                    <w:right w:val="none" w:sz="0" w:space="0" w:color="auto"/>
                  </w:divBdr>
                  <w:divsChild>
                    <w:div w:id="28725135">
                      <w:marLeft w:val="0"/>
                      <w:marRight w:val="0"/>
                      <w:marTop w:val="0"/>
                      <w:marBottom w:val="0"/>
                      <w:divBdr>
                        <w:top w:val="none" w:sz="0" w:space="0" w:color="auto"/>
                        <w:left w:val="none" w:sz="0" w:space="0" w:color="auto"/>
                        <w:bottom w:val="none" w:sz="0" w:space="0" w:color="auto"/>
                        <w:right w:val="none" w:sz="0" w:space="0" w:color="auto"/>
                      </w:divBdr>
                      <w:divsChild>
                        <w:div w:id="1928732264">
                          <w:marLeft w:val="0"/>
                          <w:marRight w:val="0"/>
                          <w:marTop w:val="0"/>
                          <w:marBottom w:val="0"/>
                          <w:divBdr>
                            <w:top w:val="none" w:sz="0" w:space="0" w:color="auto"/>
                            <w:left w:val="none" w:sz="0" w:space="0" w:color="auto"/>
                            <w:bottom w:val="none" w:sz="0" w:space="0" w:color="auto"/>
                            <w:right w:val="none" w:sz="0" w:space="0" w:color="auto"/>
                          </w:divBdr>
                          <w:divsChild>
                            <w:div w:id="353381929">
                              <w:marLeft w:val="0"/>
                              <w:marRight w:val="0"/>
                              <w:marTop w:val="0"/>
                              <w:marBottom w:val="0"/>
                              <w:divBdr>
                                <w:top w:val="none" w:sz="0" w:space="0" w:color="auto"/>
                                <w:left w:val="none" w:sz="0" w:space="0" w:color="auto"/>
                                <w:bottom w:val="none" w:sz="0" w:space="0" w:color="auto"/>
                                <w:right w:val="none" w:sz="0" w:space="0" w:color="auto"/>
                              </w:divBdr>
                              <w:divsChild>
                                <w:div w:id="251085699">
                                  <w:marLeft w:val="0"/>
                                  <w:marRight w:val="0"/>
                                  <w:marTop w:val="0"/>
                                  <w:marBottom w:val="0"/>
                                  <w:divBdr>
                                    <w:top w:val="none" w:sz="0" w:space="0" w:color="auto"/>
                                    <w:left w:val="none" w:sz="0" w:space="0" w:color="auto"/>
                                    <w:bottom w:val="none" w:sz="0" w:space="0" w:color="auto"/>
                                    <w:right w:val="none" w:sz="0" w:space="0" w:color="auto"/>
                                  </w:divBdr>
                                  <w:divsChild>
                                    <w:div w:id="658079586">
                                      <w:marLeft w:val="0"/>
                                      <w:marRight w:val="0"/>
                                      <w:marTop w:val="0"/>
                                      <w:marBottom w:val="0"/>
                                      <w:divBdr>
                                        <w:top w:val="none" w:sz="0" w:space="0" w:color="auto"/>
                                        <w:left w:val="none" w:sz="0" w:space="0" w:color="auto"/>
                                        <w:bottom w:val="none" w:sz="0" w:space="0" w:color="auto"/>
                                        <w:right w:val="none" w:sz="0" w:space="0" w:color="auto"/>
                                      </w:divBdr>
                                      <w:divsChild>
                                        <w:div w:id="57698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8404288">
      <w:bodyDiv w:val="1"/>
      <w:marLeft w:val="0"/>
      <w:marRight w:val="0"/>
      <w:marTop w:val="0"/>
      <w:marBottom w:val="0"/>
      <w:divBdr>
        <w:top w:val="none" w:sz="0" w:space="0" w:color="auto"/>
        <w:left w:val="none" w:sz="0" w:space="0" w:color="auto"/>
        <w:bottom w:val="none" w:sz="0" w:space="0" w:color="auto"/>
        <w:right w:val="none" w:sz="0" w:space="0" w:color="auto"/>
      </w:divBdr>
      <w:divsChild>
        <w:div w:id="315426794">
          <w:marLeft w:val="0"/>
          <w:marRight w:val="0"/>
          <w:marTop w:val="0"/>
          <w:marBottom w:val="0"/>
          <w:divBdr>
            <w:top w:val="none" w:sz="0" w:space="0" w:color="auto"/>
            <w:left w:val="none" w:sz="0" w:space="0" w:color="auto"/>
            <w:bottom w:val="none" w:sz="0" w:space="0" w:color="auto"/>
            <w:right w:val="none" w:sz="0" w:space="0" w:color="auto"/>
          </w:divBdr>
        </w:div>
        <w:div w:id="584537173">
          <w:marLeft w:val="0"/>
          <w:marRight w:val="0"/>
          <w:marTop w:val="0"/>
          <w:marBottom w:val="0"/>
          <w:divBdr>
            <w:top w:val="none" w:sz="0" w:space="0" w:color="auto"/>
            <w:left w:val="none" w:sz="0" w:space="0" w:color="auto"/>
            <w:bottom w:val="none" w:sz="0" w:space="0" w:color="auto"/>
            <w:right w:val="none" w:sz="0" w:space="0" w:color="auto"/>
          </w:divBdr>
        </w:div>
      </w:divsChild>
    </w:div>
    <w:div w:id="1688602846">
      <w:bodyDiv w:val="1"/>
      <w:marLeft w:val="0"/>
      <w:marRight w:val="0"/>
      <w:marTop w:val="0"/>
      <w:marBottom w:val="0"/>
      <w:divBdr>
        <w:top w:val="none" w:sz="0" w:space="0" w:color="auto"/>
        <w:left w:val="none" w:sz="0" w:space="0" w:color="auto"/>
        <w:bottom w:val="none" w:sz="0" w:space="0" w:color="auto"/>
        <w:right w:val="none" w:sz="0" w:space="0" w:color="auto"/>
      </w:divBdr>
      <w:divsChild>
        <w:div w:id="671641894">
          <w:marLeft w:val="0"/>
          <w:marRight w:val="0"/>
          <w:marTop w:val="0"/>
          <w:marBottom w:val="0"/>
          <w:divBdr>
            <w:top w:val="none" w:sz="0" w:space="0" w:color="auto"/>
            <w:left w:val="none" w:sz="0" w:space="0" w:color="auto"/>
            <w:bottom w:val="none" w:sz="0" w:space="0" w:color="auto"/>
            <w:right w:val="none" w:sz="0" w:space="0" w:color="auto"/>
          </w:divBdr>
          <w:divsChild>
            <w:div w:id="1246184854">
              <w:marLeft w:val="0"/>
              <w:marRight w:val="0"/>
              <w:marTop w:val="0"/>
              <w:marBottom w:val="0"/>
              <w:divBdr>
                <w:top w:val="none" w:sz="0" w:space="0" w:color="auto"/>
                <w:left w:val="none" w:sz="0" w:space="0" w:color="auto"/>
                <w:bottom w:val="none" w:sz="0" w:space="0" w:color="auto"/>
                <w:right w:val="none" w:sz="0" w:space="0" w:color="auto"/>
              </w:divBdr>
              <w:divsChild>
                <w:div w:id="11837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829099">
          <w:marLeft w:val="0"/>
          <w:marRight w:val="0"/>
          <w:marTop w:val="0"/>
          <w:marBottom w:val="75"/>
          <w:divBdr>
            <w:top w:val="none" w:sz="0" w:space="0" w:color="auto"/>
            <w:left w:val="none" w:sz="0" w:space="0" w:color="auto"/>
            <w:bottom w:val="none" w:sz="0" w:space="0" w:color="auto"/>
            <w:right w:val="none" w:sz="0" w:space="0" w:color="auto"/>
          </w:divBdr>
        </w:div>
        <w:div w:id="976568353">
          <w:marLeft w:val="0"/>
          <w:marRight w:val="0"/>
          <w:marTop w:val="0"/>
          <w:marBottom w:val="300"/>
          <w:divBdr>
            <w:top w:val="none" w:sz="0" w:space="0" w:color="auto"/>
            <w:left w:val="none" w:sz="0" w:space="0" w:color="auto"/>
            <w:bottom w:val="none" w:sz="0" w:space="0" w:color="auto"/>
            <w:right w:val="none" w:sz="0" w:space="0" w:color="auto"/>
          </w:divBdr>
          <w:divsChild>
            <w:div w:id="355228957">
              <w:marLeft w:val="0"/>
              <w:marRight w:val="0"/>
              <w:marTop w:val="0"/>
              <w:marBottom w:val="0"/>
              <w:divBdr>
                <w:top w:val="none" w:sz="0" w:space="0" w:color="auto"/>
                <w:left w:val="none" w:sz="0" w:space="0" w:color="auto"/>
                <w:bottom w:val="none" w:sz="0" w:space="0" w:color="auto"/>
                <w:right w:val="none" w:sz="0" w:space="0" w:color="auto"/>
              </w:divBdr>
            </w:div>
          </w:divsChild>
        </w:div>
        <w:div w:id="1876767430">
          <w:marLeft w:val="0"/>
          <w:marRight w:val="0"/>
          <w:marTop w:val="0"/>
          <w:marBottom w:val="0"/>
          <w:divBdr>
            <w:top w:val="none" w:sz="0" w:space="0" w:color="auto"/>
            <w:left w:val="none" w:sz="0" w:space="0" w:color="auto"/>
            <w:bottom w:val="none" w:sz="0" w:space="0" w:color="auto"/>
            <w:right w:val="none" w:sz="0" w:space="0" w:color="auto"/>
          </w:divBdr>
          <w:divsChild>
            <w:div w:id="963536859">
              <w:marLeft w:val="0"/>
              <w:marRight w:val="0"/>
              <w:marTop w:val="0"/>
              <w:marBottom w:val="0"/>
              <w:divBdr>
                <w:top w:val="none" w:sz="0" w:space="0" w:color="auto"/>
                <w:left w:val="none" w:sz="0" w:space="0" w:color="auto"/>
                <w:bottom w:val="none" w:sz="0" w:space="0" w:color="auto"/>
                <w:right w:val="none" w:sz="0" w:space="0" w:color="auto"/>
              </w:divBdr>
              <w:divsChild>
                <w:div w:id="721178874">
                  <w:marLeft w:val="0"/>
                  <w:marRight w:val="0"/>
                  <w:marTop w:val="0"/>
                  <w:marBottom w:val="300"/>
                  <w:divBdr>
                    <w:top w:val="none" w:sz="0" w:space="0" w:color="auto"/>
                    <w:left w:val="none" w:sz="0" w:space="0" w:color="auto"/>
                    <w:bottom w:val="none" w:sz="0" w:space="0" w:color="auto"/>
                    <w:right w:val="none" w:sz="0" w:space="0" w:color="auto"/>
                  </w:divBdr>
                  <w:divsChild>
                    <w:div w:id="11137444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688873140">
      <w:bodyDiv w:val="1"/>
      <w:marLeft w:val="0"/>
      <w:marRight w:val="0"/>
      <w:marTop w:val="0"/>
      <w:marBottom w:val="0"/>
      <w:divBdr>
        <w:top w:val="none" w:sz="0" w:space="0" w:color="auto"/>
        <w:left w:val="none" w:sz="0" w:space="0" w:color="auto"/>
        <w:bottom w:val="none" w:sz="0" w:space="0" w:color="auto"/>
        <w:right w:val="none" w:sz="0" w:space="0" w:color="auto"/>
      </w:divBdr>
      <w:divsChild>
        <w:div w:id="289241533">
          <w:marLeft w:val="0"/>
          <w:marRight w:val="0"/>
          <w:marTop w:val="0"/>
          <w:marBottom w:val="150"/>
          <w:divBdr>
            <w:top w:val="none" w:sz="0" w:space="0" w:color="auto"/>
            <w:left w:val="none" w:sz="0" w:space="0" w:color="auto"/>
            <w:bottom w:val="none" w:sz="0" w:space="0" w:color="auto"/>
            <w:right w:val="none" w:sz="0" w:space="0" w:color="auto"/>
          </w:divBdr>
        </w:div>
        <w:div w:id="1085808611">
          <w:marLeft w:val="0"/>
          <w:marRight w:val="0"/>
          <w:marTop w:val="0"/>
          <w:marBottom w:val="0"/>
          <w:divBdr>
            <w:top w:val="none" w:sz="0" w:space="0" w:color="auto"/>
            <w:left w:val="none" w:sz="0" w:space="0" w:color="auto"/>
            <w:bottom w:val="none" w:sz="0" w:space="0" w:color="auto"/>
            <w:right w:val="none" w:sz="0" w:space="0" w:color="auto"/>
          </w:divBdr>
          <w:divsChild>
            <w:div w:id="50201811">
              <w:marLeft w:val="0"/>
              <w:marRight w:val="0"/>
              <w:marTop w:val="0"/>
              <w:marBottom w:val="225"/>
              <w:divBdr>
                <w:top w:val="none" w:sz="0" w:space="0" w:color="auto"/>
                <w:left w:val="none" w:sz="0" w:space="0" w:color="auto"/>
                <w:bottom w:val="none" w:sz="0" w:space="0" w:color="auto"/>
                <w:right w:val="none" w:sz="0" w:space="0" w:color="auto"/>
              </w:divBdr>
              <w:divsChild>
                <w:div w:id="179702359">
                  <w:marLeft w:val="0"/>
                  <w:marRight w:val="0"/>
                  <w:marTop w:val="0"/>
                  <w:marBottom w:val="150"/>
                  <w:divBdr>
                    <w:top w:val="none" w:sz="0" w:space="0" w:color="auto"/>
                    <w:left w:val="none" w:sz="0" w:space="0" w:color="auto"/>
                    <w:bottom w:val="none" w:sz="0" w:space="0" w:color="auto"/>
                    <w:right w:val="none" w:sz="0" w:space="0" w:color="auto"/>
                  </w:divBdr>
                  <w:divsChild>
                    <w:div w:id="1325236043">
                      <w:marLeft w:val="0"/>
                      <w:marRight w:val="0"/>
                      <w:marTop w:val="0"/>
                      <w:marBottom w:val="150"/>
                      <w:divBdr>
                        <w:top w:val="none" w:sz="0" w:space="0" w:color="auto"/>
                        <w:left w:val="none" w:sz="0" w:space="0" w:color="auto"/>
                        <w:bottom w:val="none" w:sz="0" w:space="0" w:color="auto"/>
                        <w:right w:val="none" w:sz="0" w:space="0" w:color="auto"/>
                      </w:divBdr>
                      <w:divsChild>
                        <w:div w:id="2731739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1735261">
                  <w:marLeft w:val="0"/>
                  <w:marRight w:val="0"/>
                  <w:marTop w:val="0"/>
                  <w:marBottom w:val="150"/>
                  <w:divBdr>
                    <w:top w:val="none" w:sz="0" w:space="0" w:color="auto"/>
                    <w:left w:val="none" w:sz="0" w:space="0" w:color="auto"/>
                    <w:bottom w:val="none" w:sz="0" w:space="0" w:color="auto"/>
                    <w:right w:val="none" w:sz="0" w:space="0" w:color="auto"/>
                  </w:divBdr>
                </w:div>
                <w:div w:id="1113094638">
                  <w:marLeft w:val="0"/>
                  <w:marRight w:val="0"/>
                  <w:marTop w:val="0"/>
                  <w:marBottom w:val="150"/>
                  <w:divBdr>
                    <w:top w:val="none" w:sz="0" w:space="0" w:color="auto"/>
                    <w:left w:val="none" w:sz="0" w:space="0" w:color="auto"/>
                    <w:bottom w:val="none" w:sz="0" w:space="0" w:color="auto"/>
                    <w:right w:val="none" w:sz="0" w:space="0" w:color="auto"/>
                  </w:divBdr>
                </w:div>
                <w:div w:id="1122991422">
                  <w:marLeft w:val="0"/>
                  <w:marRight w:val="0"/>
                  <w:marTop w:val="0"/>
                  <w:marBottom w:val="150"/>
                  <w:divBdr>
                    <w:top w:val="none" w:sz="0" w:space="0" w:color="auto"/>
                    <w:left w:val="none" w:sz="0" w:space="0" w:color="auto"/>
                    <w:bottom w:val="none" w:sz="0" w:space="0" w:color="auto"/>
                    <w:right w:val="none" w:sz="0" w:space="0" w:color="auto"/>
                  </w:divBdr>
                </w:div>
                <w:div w:id="1456750129">
                  <w:marLeft w:val="0"/>
                  <w:marRight w:val="0"/>
                  <w:marTop w:val="0"/>
                  <w:marBottom w:val="150"/>
                  <w:divBdr>
                    <w:top w:val="none" w:sz="0" w:space="0" w:color="auto"/>
                    <w:left w:val="none" w:sz="0" w:space="0" w:color="auto"/>
                    <w:bottom w:val="none" w:sz="0" w:space="0" w:color="auto"/>
                    <w:right w:val="none" w:sz="0" w:space="0" w:color="auto"/>
                  </w:divBdr>
                </w:div>
                <w:div w:id="1532642463">
                  <w:marLeft w:val="0"/>
                  <w:marRight w:val="0"/>
                  <w:marTop w:val="0"/>
                  <w:marBottom w:val="150"/>
                  <w:divBdr>
                    <w:top w:val="none" w:sz="0" w:space="0" w:color="auto"/>
                    <w:left w:val="none" w:sz="0" w:space="0" w:color="auto"/>
                    <w:bottom w:val="none" w:sz="0" w:space="0" w:color="auto"/>
                    <w:right w:val="none" w:sz="0" w:space="0" w:color="auto"/>
                  </w:divBdr>
                </w:div>
              </w:divsChild>
            </w:div>
            <w:div w:id="37219059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688949194">
      <w:bodyDiv w:val="1"/>
      <w:marLeft w:val="0"/>
      <w:marRight w:val="0"/>
      <w:marTop w:val="0"/>
      <w:marBottom w:val="0"/>
      <w:divBdr>
        <w:top w:val="none" w:sz="0" w:space="0" w:color="auto"/>
        <w:left w:val="none" w:sz="0" w:space="0" w:color="auto"/>
        <w:bottom w:val="none" w:sz="0" w:space="0" w:color="auto"/>
        <w:right w:val="none" w:sz="0" w:space="0" w:color="auto"/>
      </w:divBdr>
      <w:divsChild>
        <w:div w:id="89863314">
          <w:marLeft w:val="0"/>
          <w:marRight w:val="0"/>
          <w:marTop w:val="150"/>
          <w:marBottom w:val="0"/>
          <w:divBdr>
            <w:top w:val="none" w:sz="0" w:space="0" w:color="auto"/>
            <w:left w:val="none" w:sz="0" w:space="0" w:color="auto"/>
            <w:bottom w:val="none" w:sz="0" w:space="0" w:color="auto"/>
            <w:right w:val="none" w:sz="0" w:space="0" w:color="auto"/>
          </w:divBdr>
          <w:divsChild>
            <w:div w:id="1947805839">
              <w:marLeft w:val="0"/>
              <w:marRight w:val="150"/>
              <w:marTop w:val="0"/>
              <w:marBottom w:val="0"/>
              <w:divBdr>
                <w:top w:val="none" w:sz="0" w:space="0" w:color="auto"/>
                <w:left w:val="none" w:sz="0" w:space="0" w:color="auto"/>
                <w:bottom w:val="none" w:sz="0" w:space="0" w:color="auto"/>
                <w:right w:val="none" w:sz="0" w:space="0" w:color="auto"/>
              </w:divBdr>
            </w:div>
          </w:divsChild>
        </w:div>
        <w:div w:id="221596306">
          <w:marLeft w:val="0"/>
          <w:marRight w:val="0"/>
          <w:marTop w:val="0"/>
          <w:marBottom w:val="0"/>
          <w:divBdr>
            <w:top w:val="none" w:sz="0" w:space="8" w:color="auto"/>
            <w:left w:val="none" w:sz="0" w:space="2" w:color="auto"/>
            <w:bottom w:val="single" w:sz="6" w:space="8" w:color="DDDDDD"/>
            <w:right w:val="none" w:sz="0" w:space="0" w:color="auto"/>
          </w:divBdr>
        </w:div>
      </w:divsChild>
    </w:div>
    <w:div w:id="1689066096">
      <w:bodyDiv w:val="1"/>
      <w:marLeft w:val="0"/>
      <w:marRight w:val="0"/>
      <w:marTop w:val="0"/>
      <w:marBottom w:val="0"/>
      <w:divBdr>
        <w:top w:val="none" w:sz="0" w:space="0" w:color="auto"/>
        <w:left w:val="none" w:sz="0" w:space="0" w:color="auto"/>
        <w:bottom w:val="none" w:sz="0" w:space="0" w:color="auto"/>
        <w:right w:val="none" w:sz="0" w:space="0" w:color="auto"/>
      </w:divBdr>
    </w:div>
    <w:div w:id="1689789267">
      <w:bodyDiv w:val="1"/>
      <w:marLeft w:val="0"/>
      <w:marRight w:val="0"/>
      <w:marTop w:val="0"/>
      <w:marBottom w:val="0"/>
      <w:divBdr>
        <w:top w:val="none" w:sz="0" w:space="0" w:color="auto"/>
        <w:left w:val="none" w:sz="0" w:space="0" w:color="auto"/>
        <w:bottom w:val="none" w:sz="0" w:space="0" w:color="auto"/>
        <w:right w:val="none" w:sz="0" w:space="0" w:color="auto"/>
      </w:divBdr>
      <w:divsChild>
        <w:div w:id="490876967">
          <w:marLeft w:val="0"/>
          <w:marRight w:val="0"/>
          <w:marTop w:val="0"/>
          <w:marBottom w:val="0"/>
          <w:divBdr>
            <w:top w:val="none" w:sz="0" w:space="0" w:color="auto"/>
            <w:left w:val="none" w:sz="0" w:space="0" w:color="auto"/>
            <w:bottom w:val="none" w:sz="0" w:space="0" w:color="auto"/>
            <w:right w:val="none" w:sz="0" w:space="0" w:color="auto"/>
          </w:divBdr>
          <w:divsChild>
            <w:div w:id="81609096">
              <w:marLeft w:val="0"/>
              <w:marRight w:val="0"/>
              <w:marTop w:val="0"/>
              <w:marBottom w:val="0"/>
              <w:divBdr>
                <w:top w:val="none" w:sz="0" w:space="0" w:color="auto"/>
                <w:left w:val="none" w:sz="0" w:space="0" w:color="auto"/>
                <w:bottom w:val="none" w:sz="0" w:space="0" w:color="auto"/>
                <w:right w:val="none" w:sz="0" w:space="0" w:color="auto"/>
              </w:divBdr>
              <w:divsChild>
                <w:div w:id="1750926400">
                  <w:marLeft w:val="0"/>
                  <w:marRight w:val="0"/>
                  <w:marTop w:val="0"/>
                  <w:marBottom w:val="0"/>
                  <w:divBdr>
                    <w:top w:val="none" w:sz="0" w:space="0" w:color="auto"/>
                    <w:left w:val="none" w:sz="0" w:space="0" w:color="auto"/>
                    <w:bottom w:val="none" w:sz="0" w:space="0" w:color="auto"/>
                    <w:right w:val="none" w:sz="0" w:space="0" w:color="auto"/>
                  </w:divBdr>
                  <w:divsChild>
                    <w:div w:id="67269422">
                      <w:marLeft w:val="0"/>
                      <w:marRight w:val="0"/>
                      <w:marTop w:val="0"/>
                      <w:marBottom w:val="0"/>
                      <w:divBdr>
                        <w:top w:val="none" w:sz="0" w:space="0" w:color="auto"/>
                        <w:left w:val="none" w:sz="0" w:space="0" w:color="auto"/>
                        <w:bottom w:val="none" w:sz="0" w:space="0" w:color="auto"/>
                        <w:right w:val="none" w:sz="0" w:space="0" w:color="auto"/>
                      </w:divBdr>
                      <w:divsChild>
                        <w:div w:id="1761632940">
                          <w:marLeft w:val="0"/>
                          <w:marRight w:val="0"/>
                          <w:marTop w:val="0"/>
                          <w:marBottom w:val="0"/>
                          <w:divBdr>
                            <w:top w:val="none" w:sz="0" w:space="0" w:color="auto"/>
                            <w:left w:val="none" w:sz="0" w:space="0" w:color="auto"/>
                            <w:bottom w:val="none" w:sz="0" w:space="0" w:color="auto"/>
                            <w:right w:val="none" w:sz="0" w:space="0" w:color="auto"/>
                          </w:divBdr>
                          <w:divsChild>
                            <w:div w:id="1607077528">
                              <w:marLeft w:val="0"/>
                              <w:marRight w:val="0"/>
                              <w:marTop w:val="0"/>
                              <w:marBottom w:val="0"/>
                              <w:divBdr>
                                <w:top w:val="none" w:sz="0" w:space="0" w:color="auto"/>
                                <w:left w:val="none" w:sz="0" w:space="0" w:color="auto"/>
                                <w:bottom w:val="none" w:sz="0" w:space="0" w:color="auto"/>
                                <w:right w:val="none" w:sz="0" w:space="0" w:color="auto"/>
                              </w:divBdr>
                              <w:divsChild>
                                <w:div w:id="709766700">
                                  <w:marLeft w:val="0"/>
                                  <w:marRight w:val="0"/>
                                  <w:marTop w:val="0"/>
                                  <w:marBottom w:val="0"/>
                                  <w:divBdr>
                                    <w:top w:val="none" w:sz="0" w:space="0" w:color="auto"/>
                                    <w:left w:val="none" w:sz="0" w:space="0" w:color="auto"/>
                                    <w:bottom w:val="none" w:sz="0" w:space="0" w:color="auto"/>
                                    <w:right w:val="none" w:sz="0" w:space="0" w:color="auto"/>
                                  </w:divBdr>
                                  <w:divsChild>
                                    <w:div w:id="33700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057360">
      <w:bodyDiv w:val="1"/>
      <w:marLeft w:val="0"/>
      <w:marRight w:val="0"/>
      <w:marTop w:val="0"/>
      <w:marBottom w:val="0"/>
      <w:divBdr>
        <w:top w:val="none" w:sz="0" w:space="0" w:color="auto"/>
        <w:left w:val="none" w:sz="0" w:space="0" w:color="auto"/>
        <w:bottom w:val="none" w:sz="0" w:space="0" w:color="auto"/>
        <w:right w:val="none" w:sz="0" w:space="0" w:color="auto"/>
      </w:divBdr>
    </w:div>
    <w:div w:id="1690138241">
      <w:bodyDiv w:val="1"/>
      <w:marLeft w:val="0"/>
      <w:marRight w:val="0"/>
      <w:marTop w:val="0"/>
      <w:marBottom w:val="0"/>
      <w:divBdr>
        <w:top w:val="none" w:sz="0" w:space="0" w:color="auto"/>
        <w:left w:val="none" w:sz="0" w:space="0" w:color="auto"/>
        <w:bottom w:val="none" w:sz="0" w:space="0" w:color="auto"/>
        <w:right w:val="none" w:sz="0" w:space="0" w:color="auto"/>
      </w:divBdr>
      <w:divsChild>
        <w:div w:id="1334795897">
          <w:marLeft w:val="0"/>
          <w:marRight w:val="0"/>
          <w:marTop w:val="0"/>
          <w:marBottom w:val="0"/>
          <w:divBdr>
            <w:top w:val="none" w:sz="0" w:space="0" w:color="auto"/>
            <w:left w:val="none" w:sz="0" w:space="0" w:color="auto"/>
            <w:bottom w:val="dotted" w:sz="6" w:space="4" w:color="DDDDDD"/>
            <w:right w:val="none" w:sz="0" w:space="0" w:color="auto"/>
          </w:divBdr>
          <w:divsChild>
            <w:div w:id="5994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182042">
      <w:bodyDiv w:val="1"/>
      <w:marLeft w:val="0"/>
      <w:marRight w:val="0"/>
      <w:marTop w:val="0"/>
      <w:marBottom w:val="0"/>
      <w:divBdr>
        <w:top w:val="none" w:sz="0" w:space="0" w:color="auto"/>
        <w:left w:val="none" w:sz="0" w:space="0" w:color="auto"/>
        <w:bottom w:val="none" w:sz="0" w:space="0" w:color="auto"/>
        <w:right w:val="none" w:sz="0" w:space="0" w:color="auto"/>
      </w:divBdr>
    </w:div>
    <w:div w:id="1690370452">
      <w:bodyDiv w:val="1"/>
      <w:marLeft w:val="0"/>
      <w:marRight w:val="0"/>
      <w:marTop w:val="0"/>
      <w:marBottom w:val="0"/>
      <w:divBdr>
        <w:top w:val="none" w:sz="0" w:space="0" w:color="auto"/>
        <w:left w:val="none" w:sz="0" w:space="0" w:color="auto"/>
        <w:bottom w:val="none" w:sz="0" w:space="0" w:color="auto"/>
        <w:right w:val="none" w:sz="0" w:space="0" w:color="auto"/>
      </w:divBdr>
    </w:div>
    <w:div w:id="1690402277">
      <w:bodyDiv w:val="1"/>
      <w:marLeft w:val="0"/>
      <w:marRight w:val="0"/>
      <w:marTop w:val="0"/>
      <w:marBottom w:val="0"/>
      <w:divBdr>
        <w:top w:val="none" w:sz="0" w:space="0" w:color="auto"/>
        <w:left w:val="none" w:sz="0" w:space="0" w:color="auto"/>
        <w:bottom w:val="none" w:sz="0" w:space="0" w:color="auto"/>
        <w:right w:val="none" w:sz="0" w:space="0" w:color="auto"/>
      </w:divBdr>
      <w:divsChild>
        <w:div w:id="1753047136">
          <w:marLeft w:val="0"/>
          <w:marRight w:val="0"/>
          <w:marTop w:val="0"/>
          <w:marBottom w:val="450"/>
          <w:divBdr>
            <w:top w:val="single" w:sz="6" w:space="12" w:color="E6E6E6"/>
            <w:left w:val="none" w:sz="0" w:space="0" w:color="auto"/>
            <w:bottom w:val="none" w:sz="0" w:space="0" w:color="auto"/>
            <w:right w:val="none" w:sz="0" w:space="0" w:color="auto"/>
          </w:divBdr>
          <w:divsChild>
            <w:div w:id="37165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594484">
      <w:bodyDiv w:val="1"/>
      <w:marLeft w:val="0"/>
      <w:marRight w:val="0"/>
      <w:marTop w:val="0"/>
      <w:marBottom w:val="0"/>
      <w:divBdr>
        <w:top w:val="none" w:sz="0" w:space="0" w:color="auto"/>
        <w:left w:val="none" w:sz="0" w:space="0" w:color="auto"/>
        <w:bottom w:val="none" w:sz="0" w:space="0" w:color="auto"/>
        <w:right w:val="none" w:sz="0" w:space="0" w:color="auto"/>
      </w:divBdr>
      <w:divsChild>
        <w:div w:id="1740134662">
          <w:marLeft w:val="0"/>
          <w:marRight w:val="0"/>
          <w:marTop w:val="0"/>
          <w:marBottom w:val="0"/>
          <w:divBdr>
            <w:top w:val="none" w:sz="0" w:space="0" w:color="auto"/>
            <w:left w:val="none" w:sz="0" w:space="0" w:color="auto"/>
            <w:bottom w:val="none" w:sz="0" w:space="0" w:color="auto"/>
            <w:right w:val="none" w:sz="0" w:space="0" w:color="auto"/>
          </w:divBdr>
          <w:divsChild>
            <w:div w:id="1422750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90836579">
      <w:bodyDiv w:val="1"/>
      <w:marLeft w:val="0"/>
      <w:marRight w:val="0"/>
      <w:marTop w:val="0"/>
      <w:marBottom w:val="0"/>
      <w:divBdr>
        <w:top w:val="none" w:sz="0" w:space="0" w:color="auto"/>
        <w:left w:val="none" w:sz="0" w:space="0" w:color="auto"/>
        <w:bottom w:val="none" w:sz="0" w:space="0" w:color="auto"/>
        <w:right w:val="none" w:sz="0" w:space="0" w:color="auto"/>
      </w:divBdr>
      <w:divsChild>
        <w:div w:id="1859613516">
          <w:marLeft w:val="0"/>
          <w:marRight w:val="0"/>
          <w:marTop w:val="0"/>
          <w:marBottom w:val="150"/>
          <w:divBdr>
            <w:top w:val="none" w:sz="0" w:space="0" w:color="auto"/>
            <w:left w:val="none" w:sz="0" w:space="0" w:color="auto"/>
            <w:bottom w:val="none" w:sz="0" w:space="0" w:color="auto"/>
            <w:right w:val="none" w:sz="0" w:space="0" w:color="auto"/>
          </w:divBdr>
        </w:div>
      </w:divsChild>
    </w:div>
    <w:div w:id="1691029217">
      <w:bodyDiv w:val="1"/>
      <w:marLeft w:val="0"/>
      <w:marRight w:val="0"/>
      <w:marTop w:val="0"/>
      <w:marBottom w:val="0"/>
      <w:divBdr>
        <w:top w:val="none" w:sz="0" w:space="0" w:color="auto"/>
        <w:left w:val="none" w:sz="0" w:space="0" w:color="auto"/>
        <w:bottom w:val="none" w:sz="0" w:space="0" w:color="auto"/>
        <w:right w:val="none" w:sz="0" w:space="0" w:color="auto"/>
      </w:divBdr>
      <w:divsChild>
        <w:div w:id="1736396268">
          <w:marLeft w:val="0"/>
          <w:marRight w:val="0"/>
          <w:marTop w:val="0"/>
          <w:marBottom w:val="0"/>
          <w:divBdr>
            <w:top w:val="none" w:sz="0" w:space="0" w:color="auto"/>
            <w:left w:val="none" w:sz="0" w:space="0" w:color="auto"/>
            <w:bottom w:val="none" w:sz="0" w:space="0" w:color="auto"/>
            <w:right w:val="none" w:sz="0" w:space="0" w:color="auto"/>
          </w:divBdr>
          <w:divsChild>
            <w:div w:id="1670448561">
              <w:marLeft w:val="0"/>
              <w:marRight w:val="0"/>
              <w:marTop w:val="0"/>
              <w:marBottom w:val="0"/>
              <w:divBdr>
                <w:top w:val="none" w:sz="0" w:space="0" w:color="auto"/>
                <w:left w:val="none" w:sz="0" w:space="0" w:color="auto"/>
                <w:bottom w:val="none" w:sz="0" w:space="0" w:color="auto"/>
                <w:right w:val="none" w:sz="0" w:space="0" w:color="auto"/>
              </w:divBdr>
              <w:divsChild>
                <w:div w:id="939413105">
                  <w:marLeft w:val="0"/>
                  <w:marRight w:val="0"/>
                  <w:marTop w:val="0"/>
                  <w:marBottom w:val="0"/>
                  <w:divBdr>
                    <w:top w:val="none" w:sz="0" w:space="0" w:color="auto"/>
                    <w:left w:val="none" w:sz="0" w:space="0" w:color="auto"/>
                    <w:bottom w:val="none" w:sz="0" w:space="0" w:color="auto"/>
                    <w:right w:val="none" w:sz="0" w:space="0" w:color="auto"/>
                  </w:divBdr>
                  <w:divsChild>
                    <w:div w:id="1862694782">
                      <w:marLeft w:val="0"/>
                      <w:marRight w:val="0"/>
                      <w:marTop w:val="0"/>
                      <w:marBottom w:val="0"/>
                      <w:divBdr>
                        <w:top w:val="none" w:sz="0" w:space="0" w:color="auto"/>
                        <w:left w:val="none" w:sz="0" w:space="0" w:color="auto"/>
                        <w:bottom w:val="none" w:sz="0" w:space="0" w:color="auto"/>
                        <w:right w:val="none" w:sz="0" w:space="0" w:color="auto"/>
                      </w:divBdr>
                      <w:divsChild>
                        <w:div w:id="425424924">
                          <w:marLeft w:val="0"/>
                          <w:marRight w:val="0"/>
                          <w:marTop w:val="0"/>
                          <w:marBottom w:val="0"/>
                          <w:divBdr>
                            <w:top w:val="none" w:sz="0" w:space="0" w:color="auto"/>
                            <w:left w:val="none" w:sz="0" w:space="0" w:color="auto"/>
                            <w:bottom w:val="none" w:sz="0" w:space="0" w:color="auto"/>
                            <w:right w:val="none" w:sz="0" w:space="0" w:color="auto"/>
                          </w:divBdr>
                          <w:divsChild>
                            <w:div w:id="2120369191">
                              <w:marLeft w:val="0"/>
                              <w:marRight w:val="0"/>
                              <w:marTop w:val="0"/>
                              <w:marBottom w:val="0"/>
                              <w:divBdr>
                                <w:top w:val="none" w:sz="0" w:space="0" w:color="auto"/>
                                <w:left w:val="none" w:sz="0" w:space="0" w:color="auto"/>
                                <w:bottom w:val="none" w:sz="0" w:space="0" w:color="auto"/>
                                <w:right w:val="none" w:sz="0" w:space="0" w:color="auto"/>
                              </w:divBdr>
                              <w:divsChild>
                                <w:div w:id="590311265">
                                  <w:marLeft w:val="0"/>
                                  <w:marRight w:val="0"/>
                                  <w:marTop w:val="0"/>
                                  <w:marBottom w:val="0"/>
                                  <w:divBdr>
                                    <w:top w:val="none" w:sz="0" w:space="0" w:color="auto"/>
                                    <w:left w:val="none" w:sz="0" w:space="0" w:color="auto"/>
                                    <w:bottom w:val="none" w:sz="0" w:space="0" w:color="auto"/>
                                    <w:right w:val="none" w:sz="0" w:space="0" w:color="auto"/>
                                  </w:divBdr>
                                  <w:divsChild>
                                    <w:div w:id="212769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1879430">
      <w:bodyDiv w:val="1"/>
      <w:marLeft w:val="0"/>
      <w:marRight w:val="0"/>
      <w:marTop w:val="0"/>
      <w:marBottom w:val="0"/>
      <w:divBdr>
        <w:top w:val="none" w:sz="0" w:space="0" w:color="auto"/>
        <w:left w:val="none" w:sz="0" w:space="0" w:color="auto"/>
        <w:bottom w:val="none" w:sz="0" w:space="0" w:color="auto"/>
        <w:right w:val="none" w:sz="0" w:space="0" w:color="auto"/>
      </w:divBdr>
      <w:divsChild>
        <w:div w:id="1999189135">
          <w:marLeft w:val="0"/>
          <w:marRight w:val="0"/>
          <w:marTop w:val="0"/>
          <w:marBottom w:val="0"/>
          <w:divBdr>
            <w:top w:val="none" w:sz="0" w:space="0" w:color="auto"/>
            <w:left w:val="none" w:sz="0" w:space="0" w:color="auto"/>
            <w:bottom w:val="dotted" w:sz="6" w:space="4" w:color="DDDDDD"/>
            <w:right w:val="none" w:sz="0" w:space="0" w:color="auto"/>
          </w:divBdr>
          <w:divsChild>
            <w:div w:id="164843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031820">
      <w:bodyDiv w:val="1"/>
      <w:marLeft w:val="0"/>
      <w:marRight w:val="0"/>
      <w:marTop w:val="0"/>
      <w:marBottom w:val="0"/>
      <w:divBdr>
        <w:top w:val="none" w:sz="0" w:space="0" w:color="auto"/>
        <w:left w:val="none" w:sz="0" w:space="0" w:color="auto"/>
        <w:bottom w:val="none" w:sz="0" w:space="0" w:color="auto"/>
        <w:right w:val="none" w:sz="0" w:space="0" w:color="auto"/>
      </w:divBdr>
      <w:divsChild>
        <w:div w:id="82729859">
          <w:marLeft w:val="0"/>
          <w:marRight w:val="0"/>
          <w:marTop w:val="0"/>
          <w:marBottom w:val="150"/>
          <w:divBdr>
            <w:top w:val="none" w:sz="0" w:space="0" w:color="auto"/>
            <w:left w:val="none" w:sz="0" w:space="0" w:color="auto"/>
            <w:bottom w:val="none" w:sz="0" w:space="0" w:color="auto"/>
            <w:right w:val="none" w:sz="0" w:space="0" w:color="auto"/>
          </w:divBdr>
        </w:div>
        <w:div w:id="350188919">
          <w:marLeft w:val="0"/>
          <w:marRight w:val="0"/>
          <w:marTop w:val="0"/>
          <w:marBottom w:val="150"/>
          <w:divBdr>
            <w:top w:val="none" w:sz="0" w:space="0" w:color="auto"/>
            <w:left w:val="none" w:sz="0" w:space="0" w:color="auto"/>
            <w:bottom w:val="none" w:sz="0" w:space="0" w:color="auto"/>
            <w:right w:val="none" w:sz="0" w:space="0" w:color="auto"/>
          </w:divBdr>
        </w:div>
        <w:div w:id="661086229">
          <w:marLeft w:val="0"/>
          <w:marRight w:val="0"/>
          <w:marTop w:val="0"/>
          <w:marBottom w:val="150"/>
          <w:divBdr>
            <w:top w:val="none" w:sz="0" w:space="0" w:color="auto"/>
            <w:left w:val="none" w:sz="0" w:space="0" w:color="auto"/>
            <w:bottom w:val="none" w:sz="0" w:space="0" w:color="auto"/>
            <w:right w:val="none" w:sz="0" w:space="0" w:color="auto"/>
          </w:divBdr>
        </w:div>
        <w:div w:id="710150274">
          <w:marLeft w:val="0"/>
          <w:marRight w:val="0"/>
          <w:marTop w:val="0"/>
          <w:marBottom w:val="150"/>
          <w:divBdr>
            <w:top w:val="none" w:sz="0" w:space="0" w:color="auto"/>
            <w:left w:val="none" w:sz="0" w:space="0" w:color="auto"/>
            <w:bottom w:val="none" w:sz="0" w:space="0" w:color="auto"/>
            <w:right w:val="none" w:sz="0" w:space="0" w:color="auto"/>
          </w:divBdr>
        </w:div>
        <w:div w:id="1207983087">
          <w:marLeft w:val="0"/>
          <w:marRight w:val="0"/>
          <w:marTop w:val="0"/>
          <w:marBottom w:val="150"/>
          <w:divBdr>
            <w:top w:val="none" w:sz="0" w:space="0" w:color="auto"/>
            <w:left w:val="none" w:sz="0" w:space="0" w:color="auto"/>
            <w:bottom w:val="none" w:sz="0" w:space="0" w:color="auto"/>
            <w:right w:val="none" w:sz="0" w:space="0" w:color="auto"/>
          </w:divBdr>
        </w:div>
        <w:div w:id="1666670117">
          <w:marLeft w:val="0"/>
          <w:marRight w:val="0"/>
          <w:marTop w:val="0"/>
          <w:marBottom w:val="150"/>
          <w:divBdr>
            <w:top w:val="none" w:sz="0" w:space="0" w:color="auto"/>
            <w:left w:val="none" w:sz="0" w:space="0" w:color="auto"/>
            <w:bottom w:val="none" w:sz="0" w:space="0" w:color="auto"/>
            <w:right w:val="none" w:sz="0" w:space="0" w:color="auto"/>
          </w:divBdr>
        </w:div>
        <w:div w:id="1904832701">
          <w:marLeft w:val="0"/>
          <w:marRight w:val="0"/>
          <w:marTop w:val="0"/>
          <w:marBottom w:val="150"/>
          <w:divBdr>
            <w:top w:val="none" w:sz="0" w:space="0" w:color="auto"/>
            <w:left w:val="none" w:sz="0" w:space="0" w:color="auto"/>
            <w:bottom w:val="none" w:sz="0" w:space="0" w:color="auto"/>
            <w:right w:val="none" w:sz="0" w:space="0" w:color="auto"/>
          </w:divBdr>
        </w:div>
        <w:div w:id="2069767001">
          <w:marLeft w:val="0"/>
          <w:marRight w:val="0"/>
          <w:marTop w:val="0"/>
          <w:marBottom w:val="150"/>
          <w:divBdr>
            <w:top w:val="none" w:sz="0" w:space="0" w:color="auto"/>
            <w:left w:val="none" w:sz="0" w:space="0" w:color="auto"/>
            <w:bottom w:val="none" w:sz="0" w:space="0" w:color="auto"/>
            <w:right w:val="none" w:sz="0" w:space="0" w:color="auto"/>
          </w:divBdr>
        </w:div>
      </w:divsChild>
    </w:div>
    <w:div w:id="1692143330">
      <w:bodyDiv w:val="1"/>
      <w:marLeft w:val="0"/>
      <w:marRight w:val="0"/>
      <w:marTop w:val="0"/>
      <w:marBottom w:val="0"/>
      <w:divBdr>
        <w:top w:val="none" w:sz="0" w:space="0" w:color="auto"/>
        <w:left w:val="none" w:sz="0" w:space="0" w:color="auto"/>
        <w:bottom w:val="none" w:sz="0" w:space="0" w:color="auto"/>
        <w:right w:val="none" w:sz="0" w:space="0" w:color="auto"/>
      </w:divBdr>
      <w:divsChild>
        <w:div w:id="689769122">
          <w:marLeft w:val="0"/>
          <w:marRight w:val="0"/>
          <w:marTop w:val="150"/>
          <w:marBottom w:val="0"/>
          <w:divBdr>
            <w:top w:val="none" w:sz="0" w:space="0" w:color="auto"/>
            <w:left w:val="none" w:sz="0" w:space="0" w:color="auto"/>
            <w:bottom w:val="none" w:sz="0" w:space="0" w:color="auto"/>
            <w:right w:val="none" w:sz="0" w:space="0" w:color="auto"/>
          </w:divBdr>
          <w:divsChild>
            <w:div w:id="1308974207">
              <w:marLeft w:val="0"/>
              <w:marRight w:val="0"/>
              <w:marTop w:val="0"/>
              <w:marBottom w:val="0"/>
              <w:divBdr>
                <w:top w:val="none" w:sz="0" w:space="0" w:color="auto"/>
                <w:left w:val="none" w:sz="0" w:space="0" w:color="auto"/>
                <w:bottom w:val="none" w:sz="0" w:space="0" w:color="auto"/>
                <w:right w:val="none" w:sz="0" w:space="0" w:color="auto"/>
              </w:divBdr>
              <w:divsChild>
                <w:div w:id="20992240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348748279">
          <w:marLeft w:val="0"/>
          <w:marRight w:val="0"/>
          <w:marTop w:val="0"/>
          <w:marBottom w:val="0"/>
          <w:divBdr>
            <w:top w:val="none" w:sz="0" w:space="0" w:color="auto"/>
            <w:left w:val="none" w:sz="0" w:space="0" w:color="auto"/>
            <w:bottom w:val="none" w:sz="0" w:space="0" w:color="auto"/>
            <w:right w:val="none" w:sz="0" w:space="0" w:color="auto"/>
          </w:divBdr>
          <w:divsChild>
            <w:div w:id="1010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337240">
      <w:bodyDiv w:val="1"/>
      <w:marLeft w:val="0"/>
      <w:marRight w:val="0"/>
      <w:marTop w:val="0"/>
      <w:marBottom w:val="0"/>
      <w:divBdr>
        <w:top w:val="none" w:sz="0" w:space="0" w:color="auto"/>
        <w:left w:val="none" w:sz="0" w:space="0" w:color="auto"/>
        <w:bottom w:val="none" w:sz="0" w:space="0" w:color="auto"/>
        <w:right w:val="none" w:sz="0" w:space="0" w:color="auto"/>
      </w:divBdr>
      <w:divsChild>
        <w:div w:id="2093502722">
          <w:marLeft w:val="0"/>
          <w:marRight w:val="0"/>
          <w:marTop w:val="0"/>
          <w:marBottom w:val="0"/>
          <w:divBdr>
            <w:top w:val="none" w:sz="0" w:space="0" w:color="auto"/>
            <w:left w:val="none" w:sz="0" w:space="0" w:color="auto"/>
            <w:bottom w:val="none" w:sz="0" w:space="0" w:color="auto"/>
            <w:right w:val="none" w:sz="0" w:space="0" w:color="auto"/>
          </w:divBdr>
          <w:divsChild>
            <w:div w:id="1207254967">
              <w:marLeft w:val="0"/>
              <w:marRight w:val="0"/>
              <w:marTop w:val="0"/>
              <w:marBottom w:val="0"/>
              <w:divBdr>
                <w:top w:val="none" w:sz="0" w:space="0" w:color="auto"/>
                <w:left w:val="none" w:sz="0" w:space="0" w:color="auto"/>
                <w:bottom w:val="none" w:sz="0" w:space="0" w:color="auto"/>
                <w:right w:val="none" w:sz="0" w:space="0" w:color="auto"/>
              </w:divBdr>
              <w:divsChild>
                <w:div w:id="246354757">
                  <w:marLeft w:val="0"/>
                  <w:marRight w:val="0"/>
                  <w:marTop w:val="0"/>
                  <w:marBottom w:val="0"/>
                  <w:divBdr>
                    <w:top w:val="none" w:sz="0" w:space="0" w:color="auto"/>
                    <w:left w:val="none" w:sz="0" w:space="0" w:color="auto"/>
                    <w:bottom w:val="none" w:sz="0" w:space="0" w:color="auto"/>
                    <w:right w:val="none" w:sz="0" w:space="0" w:color="auto"/>
                  </w:divBdr>
                  <w:divsChild>
                    <w:div w:id="548996200">
                      <w:marLeft w:val="0"/>
                      <w:marRight w:val="0"/>
                      <w:marTop w:val="0"/>
                      <w:marBottom w:val="0"/>
                      <w:divBdr>
                        <w:top w:val="none" w:sz="0" w:space="0" w:color="auto"/>
                        <w:left w:val="none" w:sz="0" w:space="0" w:color="auto"/>
                        <w:bottom w:val="none" w:sz="0" w:space="0" w:color="auto"/>
                        <w:right w:val="none" w:sz="0" w:space="0" w:color="auto"/>
                      </w:divBdr>
                      <w:divsChild>
                        <w:div w:id="1882784415">
                          <w:marLeft w:val="0"/>
                          <w:marRight w:val="0"/>
                          <w:marTop w:val="0"/>
                          <w:marBottom w:val="0"/>
                          <w:divBdr>
                            <w:top w:val="none" w:sz="0" w:space="0" w:color="auto"/>
                            <w:left w:val="none" w:sz="0" w:space="0" w:color="auto"/>
                            <w:bottom w:val="none" w:sz="0" w:space="0" w:color="auto"/>
                            <w:right w:val="none" w:sz="0" w:space="0" w:color="auto"/>
                          </w:divBdr>
                          <w:divsChild>
                            <w:div w:id="161891933">
                              <w:marLeft w:val="0"/>
                              <w:marRight w:val="0"/>
                              <w:marTop w:val="0"/>
                              <w:marBottom w:val="0"/>
                              <w:divBdr>
                                <w:top w:val="none" w:sz="0" w:space="0" w:color="auto"/>
                                <w:left w:val="none" w:sz="0" w:space="0" w:color="auto"/>
                                <w:bottom w:val="none" w:sz="0" w:space="0" w:color="auto"/>
                                <w:right w:val="none" w:sz="0" w:space="0" w:color="auto"/>
                              </w:divBdr>
                              <w:divsChild>
                                <w:div w:id="725495952">
                                  <w:marLeft w:val="0"/>
                                  <w:marRight w:val="0"/>
                                  <w:marTop w:val="0"/>
                                  <w:marBottom w:val="0"/>
                                  <w:divBdr>
                                    <w:top w:val="none" w:sz="0" w:space="0" w:color="auto"/>
                                    <w:left w:val="none" w:sz="0" w:space="0" w:color="auto"/>
                                    <w:bottom w:val="none" w:sz="0" w:space="0" w:color="auto"/>
                                    <w:right w:val="none" w:sz="0" w:space="0" w:color="auto"/>
                                  </w:divBdr>
                                  <w:divsChild>
                                    <w:div w:id="114296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2758857">
      <w:bodyDiv w:val="1"/>
      <w:marLeft w:val="0"/>
      <w:marRight w:val="0"/>
      <w:marTop w:val="0"/>
      <w:marBottom w:val="0"/>
      <w:divBdr>
        <w:top w:val="none" w:sz="0" w:space="0" w:color="auto"/>
        <w:left w:val="none" w:sz="0" w:space="0" w:color="auto"/>
        <w:bottom w:val="none" w:sz="0" w:space="0" w:color="auto"/>
        <w:right w:val="none" w:sz="0" w:space="0" w:color="auto"/>
      </w:divBdr>
      <w:divsChild>
        <w:div w:id="197132449">
          <w:marLeft w:val="0"/>
          <w:marRight w:val="0"/>
          <w:marTop w:val="0"/>
          <w:marBottom w:val="150"/>
          <w:divBdr>
            <w:top w:val="none" w:sz="0" w:space="0" w:color="auto"/>
            <w:left w:val="none" w:sz="0" w:space="0" w:color="auto"/>
            <w:bottom w:val="none" w:sz="0" w:space="0" w:color="auto"/>
            <w:right w:val="none" w:sz="0" w:space="0" w:color="auto"/>
          </w:divBdr>
          <w:divsChild>
            <w:div w:id="862742392">
              <w:marLeft w:val="0"/>
              <w:marRight w:val="0"/>
              <w:marTop w:val="0"/>
              <w:marBottom w:val="0"/>
              <w:divBdr>
                <w:top w:val="none" w:sz="0" w:space="0" w:color="auto"/>
                <w:left w:val="none" w:sz="0" w:space="0" w:color="auto"/>
                <w:bottom w:val="none" w:sz="0" w:space="0" w:color="auto"/>
                <w:right w:val="none" w:sz="0" w:space="0" w:color="auto"/>
              </w:divBdr>
            </w:div>
          </w:divsChild>
        </w:div>
        <w:div w:id="374621985">
          <w:marLeft w:val="0"/>
          <w:marRight w:val="0"/>
          <w:marTop w:val="0"/>
          <w:marBottom w:val="0"/>
          <w:divBdr>
            <w:top w:val="none" w:sz="0" w:space="0" w:color="auto"/>
            <w:left w:val="none" w:sz="0" w:space="0" w:color="auto"/>
            <w:bottom w:val="none" w:sz="0" w:space="0" w:color="auto"/>
            <w:right w:val="none" w:sz="0" w:space="0" w:color="auto"/>
          </w:divBdr>
          <w:divsChild>
            <w:div w:id="1286041828">
              <w:marLeft w:val="0"/>
              <w:marRight w:val="0"/>
              <w:marTop w:val="0"/>
              <w:marBottom w:val="0"/>
              <w:divBdr>
                <w:top w:val="none" w:sz="0" w:space="0" w:color="auto"/>
                <w:left w:val="none" w:sz="0" w:space="0" w:color="auto"/>
                <w:bottom w:val="none" w:sz="0" w:space="0" w:color="auto"/>
                <w:right w:val="none" w:sz="0" w:space="0" w:color="auto"/>
              </w:divBdr>
            </w:div>
          </w:divsChild>
        </w:div>
        <w:div w:id="828985706">
          <w:marLeft w:val="0"/>
          <w:marRight w:val="0"/>
          <w:marTop w:val="0"/>
          <w:marBottom w:val="150"/>
          <w:divBdr>
            <w:top w:val="none" w:sz="0" w:space="0" w:color="auto"/>
            <w:left w:val="none" w:sz="0" w:space="0" w:color="auto"/>
            <w:bottom w:val="none" w:sz="0" w:space="0" w:color="auto"/>
            <w:right w:val="none" w:sz="0" w:space="0" w:color="auto"/>
          </w:divBdr>
        </w:div>
      </w:divsChild>
    </w:div>
    <w:div w:id="1693072059">
      <w:bodyDiv w:val="1"/>
      <w:marLeft w:val="0"/>
      <w:marRight w:val="0"/>
      <w:marTop w:val="0"/>
      <w:marBottom w:val="0"/>
      <w:divBdr>
        <w:top w:val="none" w:sz="0" w:space="0" w:color="auto"/>
        <w:left w:val="none" w:sz="0" w:space="0" w:color="auto"/>
        <w:bottom w:val="none" w:sz="0" w:space="0" w:color="auto"/>
        <w:right w:val="none" w:sz="0" w:space="0" w:color="auto"/>
      </w:divBdr>
      <w:divsChild>
        <w:div w:id="522984559">
          <w:marLeft w:val="0"/>
          <w:marRight w:val="0"/>
          <w:marTop w:val="0"/>
          <w:marBottom w:val="0"/>
          <w:divBdr>
            <w:top w:val="none" w:sz="0" w:space="0" w:color="auto"/>
            <w:left w:val="none" w:sz="0" w:space="0" w:color="auto"/>
            <w:bottom w:val="none" w:sz="0" w:space="0" w:color="auto"/>
            <w:right w:val="none" w:sz="0" w:space="0" w:color="auto"/>
          </w:divBdr>
          <w:divsChild>
            <w:div w:id="1006447566">
              <w:marLeft w:val="0"/>
              <w:marRight w:val="0"/>
              <w:marTop w:val="0"/>
              <w:marBottom w:val="0"/>
              <w:divBdr>
                <w:top w:val="none" w:sz="0" w:space="0" w:color="auto"/>
                <w:left w:val="none" w:sz="0" w:space="0" w:color="auto"/>
                <w:bottom w:val="none" w:sz="0" w:space="0" w:color="auto"/>
                <w:right w:val="none" w:sz="0" w:space="0" w:color="auto"/>
              </w:divBdr>
              <w:divsChild>
                <w:div w:id="224805237">
                  <w:marLeft w:val="0"/>
                  <w:marRight w:val="0"/>
                  <w:marTop w:val="0"/>
                  <w:marBottom w:val="0"/>
                  <w:divBdr>
                    <w:top w:val="none" w:sz="0" w:space="0" w:color="auto"/>
                    <w:left w:val="none" w:sz="0" w:space="0" w:color="auto"/>
                    <w:bottom w:val="none" w:sz="0" w:space="0" w:color="auto"/>
                    <w:right w:val="none" w:sz="0" w:space="0" w:color="auto"/>
                  </w:divBdr>
                  <w:divsChild>
                    <w:div w:id="1531531390">
                      <w:marLeft w:val="0"/>
                      <w:marRight w:val="0"/>
                      <w:marTop w:val="0"/>
                      <w:marBottom w:val="0"/>
                      <w:divBdr>
                        <w:top w:val="none" w:sz="0" w:space="0" w:color="auto"/>
                        <w:left w:val="none" w:sz="0" w:space="0" w:color="auto"/>
                        <w:bottom w:val="none" w:sz="0" w:space="0" w:color="auto"/>
                        <w:right w:val="none" w:sz="0" w:space="0" w:color="auto"/>
                      </w:divBdr>
                      <w:divsChild>
                        <w:div w:id="1216310425">
                          <w:marLeft w:val="0"/>
                          <w:marRight w:val="0"/>
                          <w:marTop w:val="0"/>
                          <w:marBottom w:val="0"/>
                          <w:divBdr>
                            <w:top w:val="none" w:sz="0" w:space="0" w:color="auto"/>
                            <w:left w:val="none" w:sz="0" w:space="0" w:color="auto"/>
                            <w:bottom w:val="none" w:sz="0" w:space="0" w:color="auto"/>
                            <w:right w:val="none" w:sz="0" w:space="0" w:color="auto"/>
                          </w:divBdr>
                          <w:divsChild>
                            <w:div w:id="338043241">
                              <w:marLeft w:val="0"/>
                              <w:marRight w:val="0"/>
                              <w:marTop w:val="0"/>
                              <w:marBottom w:val="0"/>
                              <w:divBdr>
                                <w:top w:val="none" w:sz="0" w:space="0" w:color="auto"/>
                                <w:left w:val="none" w:sz="0" w:space="0" w:color="auto"/>
                                <w:bottom w:val="none" w:sz="0" w:space="0" w:color="auto"/>
                                <w:right w:val="none" w:sz="0" w:space="0" w:color="auto"/>
                              </w:divBdr>
                              <w:divsChild>
                                <w:div w:id="1646859379">
                                  <w:marLeft w:val="0"/>
                                  <w:marRight w:val="0"/>
                                  <w:marTop w:val="0"/>
                                  <w:marBottom w:val="0"/>
                                  <w:divBdr>
                                    <w:top w:val="none" w:sz="0" w:space="0" w:color="auto"/>
                                    <w:left w:val="none" w:sz="0" w:space="0" w:color="auto"/>
                                    <w:bottom w:val="none" w:sz="0" w:space="0" w:color="auto"/>
                                    <w:right w:val="none" w:sz="0" w:space="0" w:color="auto"/>
                                  </w:divBdr>
                                  <w:divsChild>
                                    <w:div w:id="432363642">
                                      <w:marLeft w:val="0"/>
                                      <w:marRight w:val="0"/>
                                      <w:marTop w:val="0"/>
                                      <w:marBottom w:val="0"/>
                                      <w:divBdr>
                                        <w:top w:val="none" w:sz="0" w:space="0" w:color="auto"/>
                                        <w:left w:val="none" w:sz="0" w:space="0" w:color="auto"/>
                                        <w:bottom w:val="none" w:sz="0" w:space="0" w:color="auto"/>
                                        <w:right w:val="none" w:sz="0" w:space="0" w:color="auto"/>
                                      </w:divBdr>
                                      <w:divsChild>
                                        <w:div w:id="22911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3846859">
      <w:bodyDiv w:val="1"/>
      <w:marLeft w:val="0"/>
      <w:marRight w:val="0"/>
      <w:marTop w:val="0"/>
      <w:marBottom w:val="0"/>
      <w:divBdr>
        <w:top w:val="none" w:sz="0" w:space="0" w:color="auto"/>
        <w:left w:val="none" w:sz="0" w:space="0" w:color="auto"/>
        <w:bottom w:val="none" w:sz="0" w:space="0" w:color="auto"/>
        <w:right w:val="none" w:sz="0" w:space="0" w:color="auto"/>
      </w:divBdr>
      <w:divsChild>
        <w:div w:id="1277905668">
          <w:marLeft w:val="0"/>
          <w:marRight w:val="0"/>
          <w:marTop w:val="0"/>
          <w:marBottom w:val="0"/>
          <w:divBdr>
            <w:top w:val="none" w:sz="0" w:space="0" w:color="auto"/>
            <w:left w:val="none" w:sz="0" w:space="0" w:color="auto"/>
            <w:bottom w:val="dotted" w:sz="6" w:space="4" w:color="DDDDDD"/>
            <w:right w:val="none" w:sz="0" w:space="0" w:color="auto"/>
          </w:divBdr>
          <w:divsChild>
            <w:div w:id="175894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995776">
      <w:bodyDiv w:val="1"/>
      <w:marLeft w:val="0"/>
      <w:marRight w:val="0"/>
      <w:marTop w:val="0"/>
      <w:marBottom w:val="0"/>
      <w:divBdr>
        <w:top w:val="none" w:sz="0" w:space="0" w:color="auto"/>
        <w:left w:val="none" w:sz="0" w:space="0" w:color="auto"/>
        <w:bottom w:val="none" w:sz="0" w:space="0" w:color="auto"/>
        <w:right w:val="none" w:sz="0" w:space="0" w:color="auto"/>
      </w:divBdr>
      <w:divsChild>
        <w:div w:id="336923328">
          <w:marLeft w:val="0"/>
          <w:marRight w:val="0"/>
          <w:marTop w:val="0"/>
          <w:marBottom w:val="0"/>
          <w:divBdr>
            <w:top w:val="none" w:sz="0" w:space="0" w:color="auto"/>
            <w:left w:val="none" w:sz="0" w:space="0" w:color="auto"/>
            <w:bottom w:val="none" w:sz="0" w:space="0" w:color="auto"/>
            <w:right w:val="none" w:sz="0" w:space="0" w:color="auto"/>
          </w:divBdr>
          <w:divsChild>
            <w:div w:id="149476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182171">
      <w:bodyDiv w:val="1"/>
      <w:marLeft w:val="0"/>
      <w:marRight w:val="0"/>
      <w:marTop w:val="0"/>
      <w:marBottom w:val="0"/>
      <w:divBdr>
        <w:top w:val="none" w:sz="0" w:space="0" w:color="auto"/>
        <w:left w:val="none" w:sz="0" w:space="0" w:color="auto"/>
        <w:bottom w:val="none" w:sz="0" w:space="0" w:color="auto"/>
        <w:right w:val="none" w:sz="0" w:space="0" w:color="auto"/>
      </w:divBdr>
      <w:divsChild>
        <w:div w:id="1477526879">
          <w:marLeft w:val="0"/>
          <w:marRight w:val="0"/>
          <w:marTop w:val="0"/>
          <w:marBottom w:val="0"/>
          <w:divBdr>
            <w:top w:val="none" w:sz="0" w:space="0" w:color="auto"/>
            <w:left w:val="none" w:sz="0" w:space="0" w:color="auto"/>
            <w:bottom w:val="none" w:sz="0" w:space="0" w:color="auto"/>
            <w:right w:val="none" w:sz="0" w:space="0" w:color="auto"/>
          </w:divBdr>
          <w:divsChild>
            <w:div w:id="283273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94191305">
      <w:bodyDiv w:val="1"/>
      <w:marLeft w:val="0"/>
      <w:marRight w:val="0"/>
      <w:marTop w:val="0"/>
      <w:marBottom w:val="0"/>
      <w:divBdr>
        <w:top w:val="none" w:sz="0" w:space="0" w:color="auto"/>
        <w:left w:val="none" w:sz="0" w:space="0" w:color="auto"/>
        <w:bottom w:val="none" w:sz="0" w:space="0" w:color="auto"/>
        <w:right w:val="none" w:sz="0" w:space="0" w:color="auto"/>
      </w:divBdr>
      <w:divsChild>
        <w:div w:id="541328674">
          <w:marLeft w:val="0"/>
          <w:marRight w:val="0"/>
          <w:marTop w:val="0"/>
          <w:marBottom w:val="150"/>
          <w:divBdr>
            <w:top w:val="none" w:sz="0" w:space="0" w:color="auto"/>
            <w:left w:val="none" w:sz="0" w:space="0" w:color="auto"/>
            <w:bottom w:val="none" w:sz="0" w:space="0" w:color="auto"/>
            <w:right w:val="none" w:sz="0" w:space="0" w:color="auto"/>
          </w:divBdr>
        </w:div>
      </w:divsChild>
    </w:div>
    <w:div w:id="1694306728">
      <w:bodyDiv w:val="1"/>
      <w:marLeft w:val="0"/>
      <w:marRight w:val="0"/>
      <w:marTop w:val="0"/>
      <w:marBottom w:val="0"/>
      <w:divBdr>
        <w:top w:val="none" w:sz="0" w:space="0" w:color="auto"/>
        <w:left w:val="none" w:sz="0" w:space="0" w:color="auto"/>
        <w:bottom w:val="none" w:sz="0" w:space="0" w:color="auto"/>
        <w:right w:val="none" w:sz="0" w:space="0" w:color="auto"/>
      </w:divBdr>
      <w:divsChild>
        <w:div w:id="804157825">
          <w:marLeft w:val="0"/>
          <w:marRight w:val="0"/>
          <w:marTop w:val="0"/>
          <w:marBottom w:val="150"/>
          <w:divBdr>
            <w:top w:val="none" w:sz="0" w:space="0" w:color="auto"/>
            <w:left w:val="none" w:sz="0" w:space="0" w:color="auto"/>
            <w:bottom w:val="none" w:sz="0" w:space="0" w:color="auto"/>
            <w:right w:val="none" w:sz="0" w:space="0" w:color="auto"/>
          </w:divBdr>
        </w:div>
        <w:div w:id="2117478888">
          <w:marLeft w:val="0"/>
          <w:marRight w:val="0"/>
          <w:marTop w:val="0"/>
          <w:marBottom w:val="150"/>
          <w:divBdr>
            <w:top w:val="none" w:sz="0" w:space="0" w:color="auto"/>
            <w:left w:val="none" w:sz="0" w:space="0" w:color="auto"/>
            <w:bottom w:val="none" w:sz="0" w:space="0" w:color="auto"/>
            <w:right w:val="none" w:sz="0" w:space="0" w:color="auto"/>
          </w:divBdr>
          <w:divsChild>
            <w:div w:id="1119571830">
              <w:marLeft w:val="0"/>
              <w:marRight w:val="0"/>
              <w:marTop w:val="0"/>
              <w:marBottom w:val="0"/>
              <w:divBdr>
                <w:top w:val="none" w:sz="0" w:space="0" w:color="auto"/>
                <w:left w:val="none" w:sz="0" w:space="0" w:color="auto"/>
                <w:bottom w:val="none" w:sz="0" w:space="0" w:color="auto"/>
                <w:right w:val="none" w:sz="0" w:space="0" w:color="auto"/>
              </w:divBdr>
              <w:divsChild>
                <w:div w:id="110993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377735">
      <w:bodyDiv w:val="1"/>
      <w:marLeft w:val="0"/>
      <w:marRight w:val="0"/>
      <w:marTop w:val="0"/>
      <w:marBottom w:val="0"/>
      <w:divBdr>
        <w:top w:val="none" w:sz="0" w:space="0" w:color="auto"/>
        <w:left w:val="none" w:sz="0" w:space="0" w:color="auto"/>
        <w:bottom w:val="none" w:sz="0" w:space="0" w:color="auto"/>
        <w:right w:val="none" w:sz="0" w:space="0" w:color="auto"/>
      </w:divBdr>
    </w:div>
    <w:div w:id="1694385104">
      <w:bodyDiv w:val="1"/>
      <w:marLeft w:val="0"/>
      <w:marRight w:val="0"/>
      <w:marTop w:val="0"/>
      <w:marBottom w:val="0"/>
      <w:divBdr>
        <w:top w:val="none" w:sz="0" w:space="0" w:color="auto"/>
        <w:left w:val="none" w:sz="0" w:space="0" w:color="auto"/>
        <w:bottom w:val="none" w:sz="0" w:space="0" w:color="auto"/>
        <w:right w:val="none" w:sz="0" w:space="0" w:color="auto"/>
      </w:divBdr>
      <w:divsChild>
        <w:div w:id="1306542938">
          <w:marLeft w:val="0"/>
          <w:marRight w:val="0"/>
          <w:marTop w:val="0"/>
          <w:marBottom w:val="150"/>
          <w:divBdr>
            <w:top w:val="none" w:sz="0" w:space="0" w:color="auto"/>
            <w:left w:val="none" w:sz="0" w:space="0" w:color="auto"/>
            <w:bottom w:val="none" w:sz="0" w:space="0" w:color="auto"/>
            <w:right w:val="none" w:sz="0" w:space="0" w:color="auto"/>
          </w:divBdr>
        </w:div>
      </w:divsChild>
    </w:div>
    <w:div w:id="1694843427">
      <w:bodyDiv w:val="1"/>
      <w:marLeft w:val="0"/>
      <w:marRight w:val="0"/>
      <w:marTop w:val="0"/>
      <w:marBottom w:val="0"/>
      <w:divBdr>
        <w:top w:val="none" w:sz="0" w:space="0" w:color="auto"/>
        <w:left w:val="none" w:sz="0" w:space="0" w:color="auto"/>
        <w:bottom w:val="none" w:sz="0" w:space="0" w:color="auto"/>
        <w:right w:val="none" w:sz="0" w:space="0" w:color="auto"/>
      </w:divBdr>
      <w:divsChild>
        <w:div w:id="2042238420">
          <w:marLeft w:val="0"/>
          <w:marRight w:val="0"/>
          <w:marTop w:val="0"/>
          <w:marBottom w:val="180"/>
          <w:divBdr>
            <w:top w:val="none" w:sz="0" w:space="0" w:color="auto"/>
            <w:left w:val="none" w:sz="0" w:space="0" w:color="auto"/>
            <w:bottom w:val="none" w:sz="0" w:space="0" w:color="auto"/>
            <w:right w:val="none" w:sz="0" w:space="0" w:color="auto"/>
          </w:divBdr>
        </w:div>
      </w:divsChild>
    </w:div>
    <w:div w:id="1695421444">
      <w:bodyDiv w:val="1"/>
      <w:marLeft w:val="0"/>
      <w:marRight w:val="0"/>
      <w:marTop w:val="0"/>
      <w:marBottom w:val="0"/>
      <w:divBdr>
        <w:top w:val="none" w:sz="0" w:space="0" w:color="auto"/>
        <w:left w:val="none" w:sz="0" w:space="0" w:color="auto"/>
        <w:bottom w:val="none" w:sz="0" w:space="0" w:color="auto"/>
        <w:right w:val="none" w:sz="0" w:space="0" w:color="auto"/>
      </w:divBdr>
      <w:divsChild>
        <w:div w:id="1060443277">
          <w:marLeft w:val="0"/>
          <w:marRight w:val="0"/>
          <w:marTop w:val="300"/>
          <w:marBottom w:val="0"/>
          <w:divBdr>
            <w:top w:val="none" w:sz="0" w:space="0" w:color="auto"/>
            <w:left w:val="none" w:sz="0" w:space="0" w:color="auto"/>
            <w:bottom w:val="none" w:sz="0" w:space="0" w:color="auto"/>
            <w:right w:val="none" w:sz="0" w:space="0" w:color="auto"/>
          </w:divBdr>
          <w:divsChild>
            <w:div w:id="733821681">
              <w:marLeft w:val="0"/>
              <w:marRight w:val="0"/>
              <w:marTop w:val="150"/>
              <w:marBottom w:val="0"/>
              <w:divBdr>
                <w:top w:val="none" w:sz="0" w:space="0" w:color="auto"/>
                <w:left w:val="none" w:sz="0" w:space="0" w:color="auto"/>
                <w:bottom w:val="none" w:sz="0" w:space="0" w:color="auto"/>
                <w:right w:val="none" w:sz="0" w:space="0" w:color="auto"/>
              </w:divBdr>
            </w:div>
          </w:divsChild>
        </w:div>
        <w:div w:id="1251935862">
          <w:marLeft w:val="0"/>
          <w:marRight w:val="0"/>
          <w:marTop w:val="300"/>
          <w:marBottom w:val="0"/>
          <w:divBdr>
            <w:top w:val="none" w:sz="0" w:space="0" w:color="auto"/>
            <w:left w:val="none" w:sz="0" w:space="0" w:color="auto"/>
            <w:bottom w:val="none" w:sz="0" w:space="0" w:color="auto"/>
            <w:right w:val="none" w:sz="0" w:space="0" w:color="auto"/>
          </w:divBdr>
          <w:divsChild>
            <w:div w:id="40549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86269">
      <w:bodyDiv w:val="1"/>
      <w:marLeft w:val="0"/>
      <w:marRight w:val="0"/>
      <w:marTop w:val="0"/>
      <w:marBottom w:val="0"/>
      <w:divBdr>
        <w:top w:val="none" w:sz="0" w:space="0" w:color="auto"/>
        <w:left w:val="none" w:sz="0" w:space="0" w:color="auto"/>
        <w:bottom w:val="none" w:sz="0" w:space="0" w:color="auto"/>
        <w:right w:val="none" w:sz="0" w:space="0" w:color="auto"/>
      </w:divBdr>
      <w:divsChild>
        <w:div w:id="1986931784">
          <w:marLeft w:val="0"/>
          <w:marRight w:val="0"/>
          <w:marTop w:val="0"/>
          <w:marBottom w:val="0"/>
          <w:divBdr>
            <w:top w:val="none" w:sz="0" w:space="0" w:color="auto"/>
            <w:left w:val="none" w:sz="0" w:space="0" w:color="auto"/>
            <w:bottom w:val="dotted" w:sz="6" w:space="4" w:color="DDDDDD"/>
            <w:right w:val="none" w:sz="0" w:space="0" w:color="auto"/>
          </w:divBdr>
          <w:divsChild>
            <w:div w:id="146099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955308">
      <w:bodyDiv w:val="1"/>
      <w:marLeft w:val="0"/>
      <w:marRight w:val="0"/>
      <w:marTop w:val="0"/>
      <w:marBottom w:val="0"/>
      <w:divBdr>
        <w:top w:val="none" w:sz="0" w:space="0" w:color="auto"/>
        <w:left w:val="none" w:sz="0" w:space="0" w:color="auto"/>
        <w:bottom w:val="none" w:sz="0" w:space="0" w:color="auto"/>
        <w:right w:val="none" w:sz="0" w:space="0" w:color="auto"/>
      </w:divBdr>
      <w:divsChild>
        <w:div w:id="1292980399">
          <w:marLeft w:val="0"/>
          <w:marRight w:val="0"/>
          <w:marTop w:val="0"/>
          <w:marBottom w:val="0"/>
          <w:divBdr>
            <w:top w:val="none" w:sz="0" w:space="0" w:color="auto"/>
            <w:left w:val="none" w:sz="0" w:space="0" w:color="auto"/>
            <w:bottom w:val="none" w:sz="0" w:space="0" w:color="auto"/>
            <w:right w:val="none" w:sz="0" w:space="0" w:color="auto"/>
          </w:divBdr>
        </w:div>
      </w:divsChild>
    </w:div>
    <w:div w:id="1696232448">
      <w:bodyDiv w:val="1"/>
      <w:marLeft w:val="0"/>
      <w:marRight w:val="0"/>
      <w:marTop w:val="0"/>
      <w:marBottom w:val="0"/>
      <w:divBdr>
        <w:top w:val="none" w:sz="0" w:space="0" w:color="auto"/>
        <w:left w:val="none" w:sz="0" w:space="0" w:color="auto"/>
        <w:bottom w:val="none" w:sz="0" w:space="0" w:color="auto"/>
        <w:right w:val="none" w:sz="0" w:space="0" w:color="auto"/>
      </w:divBdr>
      <w:divsChild>
        <w:div w:id="221530126">
          <w:marLeft w:val="0"/>
          <w:marRight w:val="0"/>
          <w:marTop w:val="0"/>
          <w:marBottom w:val="0"/>
          <w:divBdr>
            <w:top w:val="none" w:sz="0" w:space="0" w:color="auto"/>
            <w:left w:val="none" w:sz="0" w:space="0" w:color="auto"/>
            <w:bottom w:val="dotted" w:sz="6" w:space="4" w:color="DDDDDD"/>
            <w:right w:val="none" w:sz="0" w:space="0" w:color="auto"/>
          </w:divBdr>
          <w:divsChild>
            <w:div w:id="191883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14631">
      <w:bodyDiv w:val="1"/>
      <w:marLeft w:val="0"/>
      <w:marRight w:val="0"/>
      <w:marTop w:val="0"/>
      <w:marBottom w:val="0"/>
      <w:divBdr>
        <w:top w:val="none" w:sz="0" w:space="0" w:color="auto"/>
        <w:left w:val="none" w:sz="0" w:space="0" w:color="auto"/>
        <w:bottom w:val="none" w:sz="0" w:space="0" w:color="auto"/>
        <w:right w:val="none" w:sz="0" w:space="0" w:color="auto"/>
      </w:divBdr>
      <w:divsChild>
        <w:div w:id="607393786">
          <w:marLeft w:val="0"/>
          <w:marRight w:val="0"/>
          <w:marTop w:val="0"/>
          <w:marBottom w:val="0"/>
          <w:divBdr>
            <w:top w:val="none" w:sz="0" w:space="0" w:color="auto"/>
            <w:left w:val="none" w:sz="0" w:space="0" w:color="auto"/>
            <w:bottom w:val="dotted" w:sz="6" w:space="4" w:color="DDDDDD"/>
            <w:right w:val="none" w:sz="0" w:space="0" w:color="auto"/>
          </w:divBdr>
        </w:div>
      </w:divsChild>
    </w:div>
    <w:div w:id="1698316212">
      <w:bodyDiv w:val="1"/>
      <w:marLeft w:val="0"/>
      <w:marRight w:val="0"/>
      <w:marTop w:val="0"/>
      <w:marBottom w:val="0"/>
      <w:divBdr>
        <w:top w:val="none" w:sz="0" w:space="0" w:color="auto"/>
        <w:left w:val="none" w:sz="0" w:space="0" w:color="auto"/>
        <w:bottom w:val="none" w:sz="0" w:space="0" w:color="auto"/>
        <w:right w:val="none" w:sz="0" w:space="0" w:color="auto"/>
      </w:divBdr>
      <w:divsChild>
        <w:div w:id="532764704">
          <w:marLeft w:val="0"/>
          <w:marRight w:val="0"/>
          <w:marTop w:val="0"/>
          <w:marBottom w:val="0"/>
          <w:divBdr>
            <w:top w:val="none" w:sz="0" w:space="0" w:color="auto"/>
            <w:left w:val="none" w:sz="0" w:space="0" w:color="auto"/>
            <w:bottom w:val="none" w:sz="0" w:space="0" w:color="auto"/>
            <w:right w:val="none" w:sz="0" w:space="0" w:color="auto"/>
          </w:divBdr>
          <w:divsChild>
            <w:div w:id="119614235">
              <w:marLeft w:val="2700"/>
              <w:marRight w:val="0"/>
              <w:marTop w:val="0"/>
              <w:marBottom w:val="0"/>
              <w:divBdr>
                <w:top w:val="none" w:sz="0" w:space="0" w:color="auto"/>
                <w:left w:val="none" w:sz="0" w:space="0" w:color="auto"/>
                <w:bottom w:val="none" w:sz="0" w:space="0" w:color="auto"/>
                <w:right w:val="none" w:sz="0" w:space="0" w:color="auto"/>
              </w:divBdr>
              <w:divsChild>
                <w:div w:id="573472103">
                  <w:marLeft w:val="0"/>
                  <w:marRight w:val="0"/>
                  <w:marTop w:val="0"/>
                  <w:marBottom w:val="0"/>
                  <w:divBdr>
                    <w:top w:val="none" w:sz="0" w:space="0" w:color="auto"/>
                    <w:left w:val="none" w:sz="0" w:space="0" w:color="auto"/>
                    <w:bottom w:val="none" w:sz="0" w:space="0" w:color="auto"/>
                    <w:right w:val="none" w:sz="0" w:space="0" w:color="auto"/>
                  </w:divBdr>
                </w:div>
              </w:divsChild>
            </w:div>
            <w:div w:id="449327045">
              <w:marLeft w:val="0"/>
              <w:marRight w:val="0"/>
              <w:marTop w:val="0"/>
              <w:marBottom w:val="0"/>
              <w:divBdr>
                <w:top w:val="none" w:sz="0" w:space="0" w:color="auto"/>
                <w:left w:val="none" w:sz="0" w:space="0" w:color="auto"/>
                <w:bottom w:val="none" w:sz="0" w:space="0" w:color="auto"/>
                <w:right w:val="none" w:sz="0" w:space="0" w:color="auto"/>
              </w:divBdr>
              <w:divsChild>
                <w:div w:id="41173761">
                  <w:marLeft w:val="0"/>
                  <w:marRight w:val="0"/>
                  <w:marTop w:val="0"/>
                  <w:marBottom w:val="0"/>
                  <w:divBdr>
                    <w:top w:val="none" w:sz="0" w:space="0" w:color="auto"/>
                    <w:left w:val="none" w:sz="0" w:space="0" w:color="auto"/>
                    <w:bottom w:val="none" w:sz="0" w:space="0" w:color="auto"/>
                    <w:right w:val="none" w:sz="0" w:space="0" w:color="auto"/>
                  </w:divBdr>
                  <w:divsChild>
                    <w:div w:id="129787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577762">
      <w:bodyDiv w:val="1"/>
      <w:marLeft w:val="0"/>
      <w:marRight w:val="0"/>
      <w:marTop w:val="0"/>
      <w:marBottom w:val="0"/>
      <w:divBdr>
        <w:top w:val="none" w:sz="0" w:space="0" w:color="auto"/>
        <w:left w:val="none" w:sz="0" w:space="0" w:color="auto"/>
        <w:bottom w:val="none" w:sz="0" w:space="0" w:color="auto"/>
        <w:right w:val="none" w:sz="0" w:space="0" w:color="auto"/>
      </w:divBdr>
      <w:divsChild>
        <w:div w:id="677000655">
          <w:marLeft w:val="0"/>
          <w:marRight w:val="0"/>
          <w:marTop w:val="0"/>
          <w:marBottom w:val="150"/>
          <w:divBdr>
            <w:top w:val="none" w:sz="0" w:space="0" w:color="auto"/>
            <w:left w:val="none" w:sz="0" w:space="0" w:color="auto"/>
            <w:bottom w:val="none" w:sz="0" w:space="0" w:color="auto"/>
            <w:right w:val="none" w:sz="0" w:space="0" w:color="auto"/>
          </w:divBdr>
        </w:div>
      </w:divsChild>
    </w:div>
    <w:div w:id="1699351063">
      <w:bodyDiv w:val="1"/>
      <w:marLeft w:val="0"/>
      <w:marRight w:val="0"/>
      <w:marTop w:val="0"/>
      <w:marBottom w:val="0"/>
      <w:divBdr>
        <w:top w:val="none" w:sz="0" w:space="0" w:color="auto"/>
        <w:left w:val="none" w:sz="0" w:space="0" w:color="auto"/>
        <w:bottom w:val="none" w:sz="0" w:space="0" w:color="auto"/>
        <w:right w:val="none" w:sz="0" w:space="0" w:color="auto"/>
      </w:divBdr>
      <w:divsChild>
        <w:div w:id="1131483487">
          <w:marLeft w:val="0"/>
          <w:marRight w:val="0"/>
          <w:marTop w:val="0"/>
          <w:marBottom w:val="0"/>
          <w:divBdr>
            <w:top w:val="none" w:sz="0" w:space="0" w:color="auto"/>
            <w:left w:val="none" w:sz="0" w:space="0" w:color="auto"/>
            <w:bottom w:val="none" w:sz="0" w:space="0" w:color="auto"/>
            <w:right w:val="none" w:sz="0" w:space="0" w:color="auto"/>
          </w:divBdr>
          <w:divsChild>
            <w:div w:id="282732592">
              <w:marLeft w:val="0"/>
              <w:marRight w:val="0"/>
              <w:marTop w:val="225"/>
              <w:marBottom w:val="225"/>
              <w:divBdr>
                <w:top w:val="none" w:sz="0" w:space="0" w:color="auto"/>
                <w:left w:val="none" w:sz="0" w:space="0" w:color="auto"/>
                <w:bottom w:val="none" w:sz="0" w:space="0" w:color="auto"/>
                <w:right w:val="none" w:sz="0" w:space="0" w:color="auto"/>
              </w:divBdr>
            </w:div>
          </w:divsChild>
        </w:div>
        <w:div w:id="1587224471">
          <w:marLeft w:val="0"/>
          <w:marRight w:val="0"/>
          <w:marTop w:val="0"/>
          <w:marBottom w:val="150"/>
          <w:divBdr>
            <w:top w:val="none" w:sz="0" w:space="0" w:color="auto"/>
            <w:left w:val="none" w:sz="0" w:space="0" w:color="auto"/>
            <w:bottom w:val="none" w:sz="0" w:space="0" w:color="auto"/>
            <w:right w:val="none" w:sz="0" w:space="0" w:color="auto"/>
          </w:divBdr>
        </w:div>
        <w:div w:id="1991013246">
          <w:marLeft w:val="0"/>
          <w:marRight w:val="0"/>
          <w:marTop w:val="0"/>
          <w:marBottom w:val="150"/>
          <w:divBdr>
            <w:top w:val="none" w:sz="0" w:space="0" w:color="auto"/>
            <w:left w:val="none" w:sz="0" w:space="0" w:color="auto"/>
            <w:bottom w:val="none" w:sz="0" w:space="0" w:color="auto"/>
            <w:right w:val="none" w:sz="0" w:space="0" w:color="auto"/>
          </w:divBdr>
          <w:divsChild>
            <w:div w:id="954096950">
              <w:marLeft w:val="0"/>
              <w:marRight w:val="0"/>
              <w:marTop w:val="0"/>
              <w:marBottom w:val="0"/>
              <w:divBdr>
                <w:top w:val="none" w:sz="0" w:space="0" w:color="auto"/>
                <w:left w:val="none" w:sz="0" w:space="0" w:color="auto"/>
                <w:bottom w:val="none" w:sz="0" w:space="0" w:color="auto"/>
                <w:right w:val="none" w:sz="0" w:space="0" w:color="auto"/>
              </w:divBdr>
              <w:divsChild>
                <w:div w:id="116898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50563">
      <w:bodyDiv w:val="1"/>
      <w:marLeft w:val="0"/>
      <w:marRight w:val="0"/>
      <w:marTop w:val="0"/>
      <w:marBottom w:val="0"/>
      <w:divBdr>
        <w:top w:val="none" w:sz="0" w:space="0" w:color="auto"/>
        <w:left w:val="none" w:sz="0" w:space="0" w:color="auto"/>
        <w:bottom w:val="none" w:sz="0" w:space="0" w:color="auto"/>
        <w:right w:val="none" w:sz="0" w:space="0" w:color="auto"/>
      </w:divBdr>
    </w:div>
    <w:div w:id="1699620264">
      <w:bodyDiv w:val="1"/>
      <w:marLeft w:val="0"/>
      <w:marRight w:val="0"/>
      <w:marTop w:val="0"/>
      <w:marBottom w:val="0"/>
      <w:divBdr>
        <w:top w:val="none" w:sz="0" w:space="0" w:color="auto"/>
        <w:left w:val="none" w:sz="0" w:space="0" w:color="auto"/>
        <w:bottom w:val="none" w:sz="0" w:space="0" w:color="auto"/>
        <w:right w:val="none" w:sz="0" w:space="0" w:color="auto"/>
      </w:divBdr>
      <w:divsChild>
        <w:div w:id="104816313">
          <w:marLeft w:val="0"/>
          <w:marRight w:val="0"/>
          <w:marTop w:val="150"/>
          <w:marBottom w:val="0"/>
          <w:divBdr>
            <w:top w:val="none" w:sz="0" w:space="0" w:color="auto"/>
            <w:left w:val="none" w:sz="0" w:space="0" w:color="auto"/>
            <w:bottom w:val="none" w:sz="0" w:space="0" w:color="auto"/>
            <w:right w:val="none" w:sz="0" w:space="0" w:color="auto"/>
          </w:divBdr>
          <w:divsChild>
            <w:div w:id="654728112">
              <w:marLeft w:val="0"/>
              <w:marRight w:val="0"/>
              <w:marTop w:val="0"/>
              <w:marBottom w:val="0"/>
              <w:divBdr>
                <w:top w:val="none" w:sz="0" w:space="0" w:color="auto"/>
                <w:left w:val="none" w:sz="0" w:space="0" w:color="auto"/>
                <w:bottom w:val="none" w:sz="0" w:space="0" w:color="auto"/>
                <w:right w:val="none" w:sz="0" w:space="0" w:color="auto"/>
              </w:divBdr>
              <w:divsChild>
                <w:div w:id="925728339">
                  <w:marLeft w:val="0"/>
                  <w:marRight w:val="0"/>
                  <w:marTop w:val="0"/>
                  <w:marBottom w:val="0"/>
                  <w:divBdr>
                    <w:top w:val="none" w:sz="0" w:space="0" w:color="auto"/>
                    <w:left w:val="none" w:sz="0" w:space="0" w:color="auto"/>
                    <w:bottom w:val="none" w:sz="0" w:space="0" w:color="auto"/>
                    <w:right w:val="none" w:sz="0" w:space="0" w:color="auto"/>
                  </w:divBdr>
                </w:div>
                <w:div w:id="152659593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03782109">
          <w:marLeft w:val="0"/>
          <w:marRight w:val="0"/>
          <w:marTop w:val="0"/>
          <w:marBottom w:val="0"/>
          <w:divBdr>
            <w:top w:val="none" w:sz="0" w:space="0" w:color="auto"/>
            <w:left w:val="none" w:sz="0" w:space="0" w:color="auto"/>
            <w:bottom w:val="none" w:sz="0" w:space="0" w:color="auto"/>
            <w:right w:val="none" w:sz="0" w:space="0" w:color="auto"/>
          </w:divBdr>
          <w:divsChild>
            <w:div w:id="32115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9651">
      <w:bodyDiv w:val="1"/>
      <w:marLeft w:val="0"/>
      <w:marRight w:val="0"/>
      <w:marTop w:val="0"/>
      <w:marBottom w:val="0"/>
      <w:divBdr>
        <w:top w:val="none" w:sz="0" w:space="0" w:color="auto"/>
        <w:left w:val="none" w:sz="0" w:space="0" w:color="auto"/>
        <w:bottom w:val="none" w:sz="0" w:space="0" w:color="auto"/>
        <w:right w:val="none" w:sz="0" w:space="0" w:color="auto"/>
      </w:divBdr>
      <w:divsChild>
        <w:div w:id="102961647">
          <w:marLeft w:val="0"/>
          <w:marRight w:val="0"/>
          <w:marTop w:val="0"/>
          <w:marBottom w:val="150"/>
          <w:divBdr>
            <w:top w:val="none" w:sz="0" w:space="0" w:color="auto"/>
            <w:left w:val="none" w:sz="0" w:space="0" w:color="auto"/>
            <w:bottom w:val="none" w:sz="0" w:space="0" w:color="auto"/>
            <w:right w:val="none" w:sz="0" w:space="0" w:color="auto"/>
          </w:divBdr>
          <w:divsChild>
            <w:div w:id="405612984">
              <w:marLeft w:val="0"/>
              <w:marRight w:val="0"/>
              <w:marTop w:val="0"/>
              <w:marBottom w:val="0"/>
              <w:divBdr>
                <w:top w:val="none" w:sz="0" w:space="0" w:color="auto"/>
                <w:left w:val="none" w:sz="0" w:space="0" w:color="auto"/>
                <w:bottom w:val="none" w:sz="0" w:space="0" w:color="auto"/>
                <w:right w:val="none" w:sz="0" w:space="0" w:color="auto"/>
              </w:divBdr>
              <w:divsChild>
                <w:div w:id="143629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95052">
          <w:marLeft w:val="0"/>
          <w:marRight w:val="0"/>
          <w:marTop w:val="0"/>
          <w:marBottom w:val="150"/>
          <w:divBdr>
            <w:top w:val="none" w:sz="0" w:space="0" w:color="auto"/>
            <w:left w:val="none" w:sz="0" w:space="0" w:color="auto"/>
            <w:bottom w:val="none" w:sz="0" w:space="0" w:color="auto"/>
            <w:right w:val="none" w:sz="0" w:space="0" w:color="auto"/>
          </w:divBdr>
        </w:div>
        <w:div w:id="751048458">
          <w:marLeft w:val="0"/>
          <w:marRight w:val="0"/>
          <w:marTop w:val="0"/>
          <w:marBottom w:val="0"/>
          <w:divBdr>
            <w:top w:val="none" w:sz="0" w:space="0" w:color="auto"/>
            <w:left w:val="none" w:sz="0" w:space="0" w:color="auto"/>
            <w:bottom w:val="none" w:sz="0" w:space="0" w:color="auto"/>
            <w:right w:val="none" w:sz="0" w:space="0" w:color="auto"/>
          </w:divBdr>
          <w:divsChild>
            <w:div w:id="208282369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00667695">
      <w:bodyDiv w:val="1"/>
      <w:marLeft w:val="0"/>
      <w:marRight w:val="0"/>
      <w:marTop w:val="0"/>
      <w:marBottom w:val="0"/>
      <w:divBdr>
        <w:top w:val="none" w:sz="0" w:space="0" w:color="auto"/>
        <w:left w:val="none" w:sz="0" w:space="0" w:color="auto"/>
        <w:bottom w:val="none" w:sz="0" w:space="0" w:color="auto"/>
        <w:right w:val="none" w:sz="0" w:space="0" w:color="auto"/>
      </w:divBdr>
      <w:divsChild>
        <w:div w:id="504055929">
          <w:marLeft w:val="0"/>
          <w:marRight w:val="0"/>
          <w:marTop w:val="0"/>
          <w:marBottom w:val="150"/>
          <w:divBdr>
            <w:top w:val="none" w:sz="0" w:space="0" w:color="auto"/>
            <w:left w:val="none" w:sz="0" w:space="0" w:color="auto"/>
            <w:bottom w:val="none" w:sz="0" w:space="0" w:color="auto"/>
            <w:right w:val="none" w:sz="0" w:space="0" w:color="auto"/>
          </w:divBdr>
          <w:divsChild>
            <w:div w:id="717124276">
              <w:marLeft w:val="0"/>
              <w:marRight w:val="0"/>
              <w:marTop w:val="0"/>
              <w:marBottom w:val="0"/>
              <w:divBdr>
                <w:top w:val="none" w:sz="0" w:space="0" w:color="auto"/>
                <w:left w:val="none" w:sz="0" w:space="0" w:color="auto"/>
                <w:bottom w:val="none" w:sz="0" w:space="0" w:color="auto"/>
                <w:right w:val="none" w:sz="0" w:space="0" w:color="auto"/>
              </w:divBdr>
              <w:divsChild>
                <w:div w:id="27764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133641">
          <w:marLeft w:val="0"/>
          <w:marRight w:val="0"/>
          <w:marTop w:val="0"/>
          <w:marBottom w:val="150"/>
          <w:divBdr>
            <w:top w:val="none" w:sz="0" w:space="0" w:color="auto"/>
            <w:left w:val="none" w:sz="0" w:space="0" w:color="auto"/>
            <w:bottom w:val="none" w:sz="0" w:space="0" w:color="auto"/>
            <w:right w:val="none" w:sz="0" w:space="0" w:color="auto"/>
          </w:divBdr>
        </w:div>
        <w:div w:id="2007859148">
          <w:marLeft w:val="0"/>
          <w:marRight w:val="0"/>
          <w:marTop w:val="0"/>
          <w:marBottom w:val="0"/>
          <w:divBdr>
            <w:top w:val="none" w:sz="0" w:space="0" w:color="auto"/>
            <w:left w:val="none" w:sz="0" w:space="0" w:color="auto"/>
            <w:bottom w:val="none" w:sz="0" w:space="0" w:color="auto"/>
            <w:right w:val="none" w:sz="0" w:space="0" w:color="auto"/>
          </w:divBdr>
          <w:divsChild>
            <w:div w:id="13822458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00933114">
      <w:bodyDiv w:val="1"/>
      <w:marLeft w:val="0"/>
      <w:marRight w:val="0"/>
      <w:marTop w:val="0"/>
      <w:marBottom w:val="0"/>
      <w:divBdr>
        <w:top w:val="none" w:sz="0" w:space="0" w:color="auto"/>
        <w:left w:val="none" w:sz="0" w:space="0" w:color="auto"/>
        <w:bottom w:val="none" w:sz="0" w:space="0" w:color="auto"/>
        <w:right w:val="none" w:sz="0" w:space="0" w:color="auto"/>
      </w:divBdr>
      <w:divsChild>
        <w:div w:id="1753430216">
          <w:marLeft w:val="0"/>
          <w:marRight w:val="0"/>
          <w:marTop w:val="0"/>
          <w:marBottom w:val="0"/>
          <w:divBdr>
            <w:top w:val="none" w:sz="0" w:space="0" w:color="auto"/>
            <w:left w:val="none" w:sz="0" w:space="0" w:color="auto"/>
            <w:bottom w:val="dotted" w:sz="6" w:space="4" w:color="DDDDDD"/>
            <w:right w:val="none" w:sz="0" w:space="0" w:color="auto"/>
          </w:divBdr>
          <w:divsChild>
            <w:div w:id="78840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008144">
      <w:bodyDiv w:val="1"/>
      <w:marLeft w:val="0"/>
      <w:marRight w:val="0"/>
      <w:marTop w:val="0"/>
      <w:marBottom w:val="0"/>
      <w:divBdr>
        <w:top w:val="none" w:sz="0" w:space="0" w:color="auto"/>
        <w:left w:val="none" w:sz="0" w:space="0" w:color="auto"/>
        <w:bottom w:val="none" w:sz="0" w:space="0" w:color="auto"/>
        <w:right w:val="none" w:sz="0" w:space="0" w:color="auto"/>
      </w:divBdr>
    </w:div>
    <w:div w:id="1701082427">
      <w:bodyDiv w:val="1"/>
      <w:marLeft w:val="0"/>
      <w:marRight w:val="0"/>
      <w:marTop w:val="0"/>
      <w:marBottom w:val="0"/>
      <w:divBdr>
        <w:top w:val="none" w:sz="0" w:space="0" w:color="auto"/>
        <w:left w:val="none" w:sz="0" w:space="0" w:color="auto"/>
        <w:bottom w:val="none" w:sz="0" w:space="0" w:color="auto"/>
        <w:right w:val="none" w:sz="0" w:space="0" w:color="auto"/>
      </w:divBdr>
      <w:divsChild>
        <w:div w:id="635917954">
          <w:marLeft w:val="0"/>
          <w:marRight w:val="0"/>
          <w:marTop w:val="0"/>
          <w:marBottom w:val="150"/>
          <w:divBdr>
            <w:top w:val="none" w:sz="0" w:space="0" w:color="auto"/>
            <w:left w:val="none" w:sz="0" w:space="0" w:color="auto"/>
            <w:bottom w:val="none" w:sz="0" w:space="0" w:color="auto"/>
            <w:right w:val="none" w:sz="0" w:space="0" w:color="auto"/>
          </w:divBdr>
        </w:div>
      </w:divsChild>
    </w:div>
    <w:div w:id="1701322014">
      <w:bodyDiv w:val="1"/>
      <w:marLeft w:val="0"/>
      <w:marRight w:val="0"/>
      <w:marTop w:val="0"/>
      <w:marBottom w:val="0"/>
      <w:divBdr>
        <w:top w:val="none" w:sz="0" w:space="0" w:color="auto"/>
        <w:left w:val="none" w:sz="0" w:space="0" w:color="auto"/>
        <w:bottom w:val="none" w:sz="0" w:space="0" w:color="auto"/>
        <w:right w:val="none" w:sz="0" w:space="0" w:color="auto"/>
      </w:divBdr>
    </w:div>
    <w:div w:id="1701398749">
      <w:bodyDiv w:val="1"/>
      <w:marLeft w:val="0"/>
      <w:marRight w:val="0"/>
      <w:marTop w:val="0"/>
      <w:marBottom w:val="0"/>
      <w:divBdr>
        <w:top w:val="none" w:sz="0" w:space="0" w:color="auto"/>
        <w:left w:val="none" w:sz="0" w:space="0" w:color="auto"/>
        <w:bottom w:val="none" w:sz="0" w:space="0" w:color="auto"/>
        <w:right w:val="none" w:sz="0" w:space="0" w:color="auto"/>
      </w:divBdr>
      <w:divsChild>
        <w:div w:id="647905724">
          <w:marLeft w:val="0"/>
          <w:marRight w:val="0"/>
          <w:marTop w:val="0"/>
          <w:marBottom w:val="0"/>
          <w:divBdr>
            <w:top w:val="none" w:sz="0" w:space="0" w:color="auto"/>
            <w:left w:val="none" w:sz="0" w:space="0" w:color="auto"/>
            <w:bottom w:val="none" w:sz="0" w:space="0" w:color="auto"/>
            <w:right w:val="none" w:sz="0" w:space="0" w:color="auto"/>
          </w:divBdr>
          <w:divsChild>
            <w:div w:id="2461141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2169005">
      <w:bodyDiv w:val="1"/>
      <w:marLeft w:val="0"/>
      <w:marRight w:val="0"/>
      <w:marTop w:val="0"/>
      <w:marBottom w:val="0"/>
      <w:divBdr>
        <w:top w:val="none" w:sz="0" w:space="0" w:color="auto"/>
        <w:left w:val="none" w:sz="0" w:space="0" w:color="auto"/>
        <w:bottom w:val="none" w:sz="0" w:space="0" w:color="auto"/>
        <w:right w:val="none" w:sz="0" w:space="0" w:color="auto"/>
      </w:divBdr>
    </w:div>
    <w:div w:id="1702196657">
      <w:bodyDiv w:val="1"/>
      <w:marLeft w:val="0"/>
      <w:marRight w:val="0"/>
      <w:marTop w:val="0"/>
      <w:marBottom w:val="0"/>
      <w:divBdr>
        <w:top w:val="none" w:sz="0" w:space="0" w:color="auto"/>
        <w:left w:val="none" w:sz="0" w:space="0" w:color="auto"/>
        <w:bottom w:val="none" w:sz="0" w:space="0" w:color="auto"/>
        <w:right w:val="none" w:sz="0" w:space="0" w:color="auto"/>
      </w:divBdr>
      <w:divsChild>
        <w:div w:id="235634304">
          <w:marLeft w:val="0"/>
          <w:marRight w:val="0"/>
          <w:marTop w:val="0"/>
          <w:marBottom w:val="150"/>
          <w:divBdr>
            <w:top w:val="none" w:sz="0" w:space="0" w:color="auto"/>
            <w:left w:val="none" w:sz="0" w:space="0" w:color="auto"/>
            <w:bottom w:val="none" w:sz="0" w:space="0" w:color="auto"/>
            <w:right w:val="none" w:sz="0" w:space="0" w:color="auto"/>
          </w:divBdr>
        </w:div>
        <w:div w:id="324892853">
          <w:marLeft w:val="0"/>
          <w:marRight w:val="0"/>
          <w:marTop w:val="0"/>
          <w:marBottom w:val="150"/>
          <w:divBdr>
            <w:top w:val="none" w:sz="0" w:space="0" w:color="auto"/>
            <w:left w:val="none" w:sz="0" w:space="0" w:color="auto"/>
            <w:bottom w:val="none" w:sz="0" w:space="0" w:color="auto"/>
            <w:right w:val="none" w:sz="0" w:space="0" w:color="auto"/>
          </w:divBdr>
        </w:div>
        <w:div w:id="542446770">
          <w:marLeft w:val="0"/>
          <w:marRight w:val="0"/>
          <w:marTop w:val="0"/>
          <w:marBottom w:val="150"/>
          <w:divBdr>
            <w:top w:val="none" w:sz="0" w:space="0" w:color="auto"/>
            <w:left w:val="none" w:sz="0" w:space="0" w:color="auto"/>
            <w:bottom w:val="none" w:sz="0" w:space="0" w:color="auto"/>
            <w:right w:val="none" w:sz="0" w:space="0" w:color="auto"/>
          </w:divBdr>
        </w:div>
        <w:div w:id="595286575">
          <w:marLeft w:val="0"/>
          <w:marRight w:val="0"/>
          <w:marTop w:val="0"/>
          <w:marBottom w:val="150"/>
          <w:divBdr>
            <w:top w:val="none" w:sz="0" w:space="0" w:color="auto"/>
            <w:left w:val="none" w:sz="0" w:space="0" w:color="auto"/>
            <w:bottom w:val="none" w:sz="0" w:space="0" w:color="auto"/>
            <w:right w:val="none" w:sz="0" w:space="0" w:color="auto"/>
          </w:divBdr>
        </w:div>
        <w:div w:id="629239003">
          <w:marLeft w:val="0"/>
          <w:marRight w:val="0"/>
          <w:marTop w:val="0"/>
          <w:marBottom w:val="150"/>
          <w:divBdr>
            <w:top w:val="none" w:sz="0" w:space="0" w:color="auto"/>
            <w:left w:val="none" w:sz="0" w:space="0" w:color="auto"/>
            <w:bottom w:val="none" w:sz="0" w:space="0" w:color="auto"/>
            <w:right w:val="none" w:sz="0" w:space="0" w:color="auto"/>
          </w:divBdr>
        </w:div>
        <w:div w:id="671682083">
          <w:marLeft w:val="0"/>
          <w:marRight w:val="0"/>
          <w:marTop w:val="0"/>
          <w:marBottom w:val="150"/>
          <w:divBdr>
            <w:top w:val="none" w:sz="0" w:space="0" w:color="auto"/>
            <w:left w:val="none" w:sz="0" w:space="0" w:color="auto"/>
            <w:bottom w:val="none" w:sz="0" w:space="0" w:color="auto"/>
            <w:right w:val="none" w:sz="0" w:space="0" w:color="auto"/>
          </w:divBdr>
        </w:div>
        <w:div w:id="1149444147">
          <w:marLeft w:val="0"/>
          <w:marRight w:val="0"/>
          <w:marTop w:val="0"/>
          <w:marBottom w:val="150"/>
          <w:divBdr>
            <w:top w:val="none" w:sz="0" w:space="0" w:color="auto"/>
            <w:left w:val="none" w:sz="0" w:space="0" w:color="auto"/>
            <w:bottom w:val="none" w:sz="0" w:space="0" w:color="auto"/>
            <w:right w:val="none" w:sz="0" w:space="0" w:color="auto"/>
          </w:divBdr>
        </w:div>
        <w:div w:id="1165702126">
          <w:marLeft w:val="0"/>
          <w:marRight w:val="0"/>
          <w:marTop w:val="0"/>
          <w:marBottom w:val="150"/>
          <w:divBdr>
            <w:top w:val="none" w:sz="0" w:space="0" w:color="auto"/>
            <w:left w:val="none" w:sz="0" w:space="0" w:color="auto"/>
            <w:bottom w:val="none" w:sz="0" w:space="0" w:color="auto"/>
            <w:right w:val="none" w:sz="0" w:space="0" w:color="auto"/>
          </w:divBdr>
        </w:div>
        <w:div w:id="1267692246">
          <w:marLeft w:val="0"/>
          <w:marRight w:val="0"/>
          <w:marTop w:val="0"/>
          <w:marBottom w:val="150"/>
          <w:divBdr>
            <w:top w:val="none" w:sz="0" w:space="0" w:color="auto"/>
            <w:left w:val="none" w:sz="0" w:space="0" w:color="auto"/>
            <w:bottom w:val="none" w:sz="0" w:space="0" w:color="auto"/>
            <w:right w:val="none" w:sz="0" w:space="0" w:color="auto"/>
          </w:divBdr>
        </w:div>
        <w:div w:id="1322661751">
          <w:marLeft w:val="0"/>
          <w:marRight w:val="0"/>
          <w:marTop w:val="0"/>
          <w:marBottom w:val="150"/>
          <w:divBdr>
            <w:top w:val="none" w:sz="0" w:space="0" w:color="auto"/>
            <w:left w:val="none" w:sz="0" w:space="0" w:color="auto"/>
            <w:bottom w:val="none" w:sz="0" w:space="0" w:color="auto"/>
            <w:right w:val="none" w:sz="0" w:space="0" w:color="auto"/>
          </w:divBdr>
        </w:div>
        <w:div w:id="1467815227">
          <w:marLeft w:val="0"/>
          <w:marRight w:val="0"/>
          <w:marTop w:val="0"/>
          <w:marBottom w:val="150"/>
          <w:divBdr>
            <w:top w:val="none" w:sz="0" w:space="0" w:color="auto"/>
            <w:left w:val="none" w:sz="0" w:space="0" w:color="auto"/>
            <w:bottom w:val="none" w:sz="0" w:space="0" w:color="auto"/>
            <w:right w:val="none" w:sz="0" w:space="0" w:color="auto"/>
          </w:divBdr>
        </w:div>
        <w:div w:id="1483231596">
          <w:marLeft w:val="0"/>
          <w:marRight w:val="0"/>
          <w:marTop w:val="0"/>
          <w:marBottom w:val="150"/>
          <w:divBdr>
            <w:top w:val="none" w:sz="0" w:space="0" w:color="auto"/>
            <w:left w:val="none" w:sz="0" w:space="0" w:color="auto"/>
            <w:bottom w:val="none" w:sz="0" w:space="0" w:color="auto"/>
            <w:right w:val="none" w:sz="0" w:space="0" w:color="auto"/>
          </w:divBdr>
        </w:div>
        <w:div w:id="1500660548">
          <w:marLeft w:val="0"/>
          <w:marRight w:val="0"/>
          <w:marTop w:val="0"/>
          <w:marBottom w:val="150"/>
          <w:divBdr>
            <w:top w:val="none" w:sz="0" w:space="0" w:color="auto"/>
            <w:left w:val="none" w:sz="0" w:space="0" w:color="auto"/>
            <w:bottom w:val="none" w:sz="0" w:space="0" w:color="auto"/>
            <w:right w:val="none" w:sz="0" w:space="0" w:color="auto"/>
          </w:divBdr>
        </w:div>
        <w:div w:id="1605187793">
          <w:marLeft w:val="0"/>
          <w:marRight w:val="0"/>
          <w:marTop w:val="0"/>
          <w:marBottom w:val="150"/>
          <w:divBdr>
            <w:top w:val="none" w:sz="0" w:space="0" w:color="auto"/>
            <w:left w:val="none" w:sz="0" w:space="0" w:color="auto"/>
            <w:bottom w:val="none" w:sz="0" w:space="0" w:color="auto"/>
            <w:right w:val="none" w:sz="0" w:space="0" w:color="auto"/>
          </w:divBdr>
        </w:div>
        <w:div w:id="1841920649">
          <w:marLeft w:val="0"/>
          <w:marRight w:val="0"/>
          <w:marTop w:val="0"/>
          <w:marBottom w:val="150"/>
          <w:divBdr>
            <w:top w:val="none" w:sz="0" w:space="0" w:color="auto"/>
            <w:left w:val="none" w:sz="0" w:space="0" w:color="auto"/>
            <w:bottom w:val="none" w:sz="0" w:space="0" w:color="auto"/>
            <w:right w:val="none" w:sz="0" w:space="0" w:color="auto"/>
          </w:divBdr>
        </w:div>
        <w:div w:id="1990592595">
          <w:marLeft w:val="0"/>
          <w:marRight w:val="0"/>
          <w:marTop w:val="0"/>
          <w:marBottom w:val="150"/>
          <w:divBdr>
            <w:top w:val="none" w:sz="0" w:space="0" w:color="auto"/>
            <w:left w:val="none" w:sz="0" w:space="0" w:color="auto"/>
            <w:bottom w:val="none" w:sz="0" w:space="0" w:color="auto"/>
            <w:right w:val="none" w:sz="0" w:space="0" w:color="auto"/>
          </w:divBdr>
        </w:div>
        <w:div w:id="2003778578">
          <w:marLeft w:val="0"/>
          <w:marRight w:val="0"/>
          <w:marTop w:val="0"/>
          <w:marBottom w:val="150"/>
          <w:divBdr>
            <w:top w:val="none" w:sz="0" w:space="0" w:color="auto"/>
            <w:left w:val="none" w:sz="0" w:space="0" w:color="auto"/>
            <w:bottom w:val="none" w:sz="0" w:space="0" w:color="auto"/>
            <w:right w:val="none" w:sz="0" w:space="0" w:color="auto"/>
          </w:divBdr>
        </w:div>
      </w:divsChild>
    </w:div>
    <w:div w:id="1702242660">
      <w:bodyDiv w:val="1"/>
      <w:marLeft w:val="0"/>
      <w:marRight w:val="0"/>
      <w:marTop w:val="0"/>
      <w:marBottom w:val="0"/>
      <w:divBdr>
        <w:top w:val="none" w:sz="0" w:space="0" w:color="auto"/>
        <w:left w:val="none" w:sz="0" w:space="0" w:color="auto"/>
        <w:bottom w:val="none" w:sz="0" w:space="0" w:color="auto"/>
        <w:right w:val="none" w:sz="0" w:space="0" w:color="auto"/>
      </w:divBdr>
      <w:divsChild>
        <w:div w:id="1733306357">
          <w:marLeft w:val="0"/>
          <w:marRight w:val="0"/>
          <w:marTop w:val="0"/>
          <w:marBottom w:val="0"/>
          <w:divBdr>
            <w:top w:val="none" w:sz="0" w:space="0" w:color="auto"/>
            <w:left w:val="none" w:sz="0" w:space="0" w:color="auto"/>
            <w:bottom w:val="dotted" w:sz="6" w:space="4" w:color="DDDDDD"/>
            <w:right w:val="none" w:sz="0" w:space="0" w:color="auto"/>
          </w:divBdr>
        </w:div>
      </w:divsChild>
    </w:div>
    <w:div w:id="1702437183">
      <w:bodyDiv w:val="1"/>
      <w:marLeft w:val="0"/>
      <w:marRight w:val="0"/>
      <w:marTop w:val="0"/>
      <w:marBottom w:val="0"/>
      <w:divBdr>
        <w:top w:val="none" w:sz="0" w:space="0" w:color="auto"/>
        <w:left w:val="none" w:sz="0" w:space="0" w:color="auto"/>
        <w:bottom w:val="none" w:sz="0" w:space="0" w:color="auto"/>
        <w:right w:val="none" w:sz="0" w:space="0" w:color="auto"/>
      </w:divBdr>
      <w:divsChild>
        <w:div w:id="674845457">
          <w:marLeft w:val="0"/>
          <w:marRight w:val="0"/>
          <w:marTop w:val="0"/>
          <w:marBottom w:val="225"/>
          <w:divBdr>
            <w:top w:val="none" w:sz="0" w:space="0" w:color="auto"/>
            <w:left w:val="none" w:sz="0" w:space="0" w:color="auto"/>
            <w:bottom w:val="none" w:sz="0" w:space="0" w:color="auto"/>
            <w:right w:val="none" w:sz="0" w:space="0" w:color="auto"/>
          </w:divBdr>
          <w:divsChild>
            <w:div w:id="480007195">
              <w:marLeft w:val="0"/>
              <w:marRight w:val="0"/>
              <w:marTop w:val="0"/>
              <w:marBottom w:val="0"/>
              <w:divBdr>
                <w:top w:val="none" w:sz="0" w:space="0" w:color="auto"/>
                <w:left w:val="none" w:sz="0" w:space="0" w:color="auto"/>
                <w:bottom w:val="none" w:sz="0" w:space="0" w:color="auto"/>
                <w:right w:val="none" w:sz="0" w:space="0" w:color="auto"/>
              </w:divBdr>
              <w:divsChild>
                <w:div w:id="185345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27809">
          <w:marLeft w:val="0"/>
          <w:marRight w:val="0"/>
          <w:marTop w:val="0"/>
          <w:marBottom w:val="225"/>
          <w:divBdr>
            <w:top w:val="none" w:sz="0" w:space="0" w:color="auto"/>
            <w:left w:val="none" w:sz="0" w:space="0" w:color="auto"/>
            <w:bottom w:val="none" w:sz="0" w:space="0" w:color="auto"/>
            <w:right w:val="none" w:sz="0" w:space="0" w:color="auto"/>
          </w:divBdr>
        </w:div>
      </w:divsChild>
    </w:div>
    <w:div w:id="1702978456">
      <w:bodyDiv w:val="1"/>
      <w:marLeft w:val="0"/>
      <w:marRight w:val="0"/>
      <w:marTop w:val="0"/>
      <w:marBottom w:val="0"/>
      <w:divBdr>
        <w:top w:val="none" w:sz="0" w:space="0" w:color="auto"/>
        <w:left w:val="none" w:sz="0" w:space="0" w:color="auto"/>
        <w:bottom w:val="none" w:sz="0" w:space="0" w:color="auto"/>
        <w:right w:val="none" w:sz="0" w:space="0" w:color="auto"/>
      </w:divBdr>
      <w:divsChild>
        <w:div w:id="287786362">
          <w:marLeft w:val="0"/>
          <w:marRight w:val="0"/>
          <w:marTop w:val="0"/>
          <w:marBottom w:val="0"/>
          <w:divBdr>
            <w:top w:val="none" w:sz="0" w:space="0" w:color="auto"/>
            <w:left w:val="none" w:sz="0" w:space="0" w:color="auto"/>
            <w:bottom w:val="none" w:sz="0" w:space="0" w:color="auto"/>
            <w:right w:val="none" w:sz="0" w:space="0" w:color="auto"/>
          </w:divBdr>
          <w:divsChild>
            <w:div w:id="13896495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3087628">
      <w:bodyDiv w:val="1"/>
      <w:marLeft w:val="0"/>
      <w:marRight w:val="0"/>
      <w:marTop w:val="0"/>
      <w:marBottom w:val="0"/>
      <w:divBdr>
        <w:top w:val="none" w:sz="0" w:space="0" w:color="auto"/>
        <w:left w:val="none" w:sz="0" w:space="0" w:color="auto"/>
        <w:bottom w:val="none" w:sz="0" w:space="0" w:color="auto"/>
        <w:right w:val="none" w:sz="0" w:space="0" w:color="auto"/>
      </w:divBdr>
      <w:divsChild>
        <w:div w:id="1356879073">
          <w:marLeft w:val="0"/>
          <w:marRight w:val="0"/>
          <w:marTop w:val="0"/>
          <w:marBottom w:val="0"/>
          <w:divBdr>
            <w:top w:val="none" w:sz="0" w:space="0" w:color="auto"/>
            <w:left w:val="none" w:sz="0" w:space="0" w:color="auto"/>
            <w:bottom w:val="none" w:sz="0" w:space="0" w:color="auto"/>
            <w:right w:val="none" w:sz="0" w:space="0" w:color="auto"/>
          </w:divBdr>
          <w:divsChild>
            <w:div w:id="867912331">
              <w:marLeft w:val="0"/>
              <w:marRight w:val="0"/>
              <w:marTop w:val="0"/>
              <w:marBottom w:val="0"/>
              <w:divBdr>
                <w:top w:val="none" w:sz="0" w:space="0" w:color="auto"/>
                <w:left w:val="none" w:sz="0" w:space="0" w:color="auto"/>
                <w:bottom w:val="none" w:sz="0" w:space="0" w:color="auto"/>
                <w:right w:val="none" w:sz="0" w:space="0" w:color="auto"/>
              </w:divBdr>
              <w:divsChild>
                <w:div w:id="256137504">
                  <w:marLeft w:val="0"/>
                  <w:marRight w:val="0"/>
                  <w:marTop w:val="0"/>
                  <w:marBottom w:val="0"/>
                  <w:divBdr>
                    <w:top w:val="none" w:sz="0" w:space="0" w:color="auto"/>
                    <w:left w:val="none" w:sz="0" w:space="0" w:color="auto"/>
                    <w:bottom w:val="none" w:sz="0" w:space="0" w:color="auto"/>
                    <w:right w:val="none" w:sz="0" w:space="0" w:color="auto"/>
                  </w:divBdr>
                  <w:divsChild>
                    <w:div w:id="1929462532">
                      <w:marLeft w:val="0"/>
                      <w:marRight w:val="0"/>
                      <w:marTop w:val="0"/>
                      <w:marBottom w:val="0"/>
                      <w:divBdr>
                        <w:top w:val="none" w:sz="0" w:space="0" w:color="auto"/>
                        <w:left w:val="none" w:sz="0" w:space="0" w:color="auto"/>
                        <w:bottom w:val="none" w:sz="0" w:space="0" w:color="auto"/>
                        <w:right w:val="none" w:sz="0" w:space="0" w:color="auto"/>
                      </w:divBdr>
                      <w:divsChild>
                        <w:div w:id="830024787">
                          <w:marLeft w:val="0"/>
                          <w:marRight w:val="0"/>
                          <w:marTop w:val="0"/>
                          <w:marBottom w:val="0"/>
                          <w:divBdr>
                            <w:top w:val="none" w:sz="0" w:space="0" w:color="auto"/>
                            <w:left w:val="none" w:sz="0" w:space="0" w:color="auto"/>
                            <w:bottom w:val="none" w:sz="0" w:space="0" w:color="auto"/>
                            <w:right w:val="none" w:sz="0" w:space="0" w:color="auto"/>
                          </w:divBdr>
                          <w:divsChild>
                            <w:div w:id="978536591">
                              <w:marLeft w:val="0"/>
                              <w:marRight w:val="0"/>
                              <w:marTop w:val="0"/>
                              <w:marBottom w:val="0"/>
                              <w:divBdr>
                                <w:top w:val="none" w:sz="0" w:space="0" w:color="auto"/>
                                <w:left w:val="none" w:sz="0" w:space="0" w:color="auto"/>
                                <w:bottom w:val="none" w:sz="0" w:space="0" w:color="auto"/>
                                <w:right w:val="none" w:sz="0" w:space="0" w:color="auto"/>
                              </w:divBdr>
                              <w:divsChild>
                                <w:div w:id="2130782592">
                                  <w:marLeft w:val="0"/>
                                  <w:marRight w:val="0"/>
                                  <w:marTop w:val="0"/>
                                  <w:marBottom w:val="0"/>
                                  <w:divBdr>
                                    <w:top w:val="none" w:sz="0" w:space="0" w:color="auto"/>
                                    <w:left w:val="none" w:sz="0" w:space="0" w:color="auto"/>
                                    <w:bottom w:val="none" w:sz="0" w:space="0" w:color="auto"/>
                                    <w:right w:val="none" w:sz="0" w:space="0" w:color="auto"/>
                                  </w:divBdr>
                                  <w:divsChild>
                                    <w:div w:id="154563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168712">
      <w:bodyDiv w:val="1"/>
      <w:marLeft w:val="0"/>
      <w:marRight w:val="0"/>
      <w:marTop w:val="0"/>
      <w:marBottom w:val="0"/>
      <w:divBdr>
        <w:top w:val="none" w:sz="0" w:space="0" w:color="auto"/>
        <w:left w:val="none" w:sz="0" w:space="0" w:color="auto"/>
        <w:bottom w:val="none" w:sz="0" w:space="0" w:color="auto"/>
        <w:right w:val="none" w:sz="0" w:space="0" w:color="auto"/>
      </w:divBdr>
      <w:divsChild>
        <w:div w:id="1741831799">
          <w:marLeft w:val="0"/>
          <w:marRight w:val="0"/>
          <w:marTop w:val="0"/>
          <w:marBottom w:val="150"/>
          <w:divBdr>
            <w:top w:val="none" w:sz="0" w:space="0" w:color="auto"/>
            <w:left w:val="none" w:sz="0" w:space="0" w:color="auto"/>
            <w:bottom w:val="none" w:sz="0" w:space="0" w:color="auto"/>
            <w:right w:val="none" w:sz="0" w:space="0" w:color="auto"/>
          </w:divBdr>
        </w:div>
      </w:divsChild>
    </w:div>
    <w:div w:id="1703241223">
      <w:bodyDiv w:val="1"/>
      <w:marLeft w:val="0"/>
      <w:marRight w:val="0"/>
      <w:marTop w:val="0"/>
      <w:marBottom w:val="0"/>
      <w:divBdr>
        <w:top w:val="none" w:sz="0" w:space="0" w:color="auto"/>
        <w:left w:val="none" w:sz="0" w:space="0" w:color="auto"/>
        <w:bottom w:val="none" w:sz="0" w:space="0" w:color="auto"/>
        <w:right w:val="none" w:sz="0" w:space="0" w:color="auto"/>
      </w:divBdr>
      <w:divsChild>
        <w:div w:id="803236577">
          <w:marLeft w:val="0"/>
          <w:marRight w:val="0"/>
          <w:marTop w:val="0"/>
          <w:marBottom w:val="0"/>
          <w:divBdr>
            <w:top w:val="none" w:sz="0" w:space="0" w:color="auto"/>
            <w:left w:val="none" w:sz="0" w:space="0" w:color="auto"/>
            <w:bottom w:val="none" w:sz="0" w:space="0" w:color="auto"/>
            <w:right w:val="none" w:sz="0" w:space="0" w:color="auto"/>
          </w:divBdr>
          <w:divsChild>
            <w:div w:id="148719215">
              <w:marLeft w:val="0"/>
              <w:marRight w:val="0"/>
              <w:marTop w:val="0"/>
              <w:marBottom w:val="0"/>
              <w:divBdr>
                <w:top w:val="none" w:sz="0" w:space="0" w:color="auto"/>
                <w:left w:val="none" w:sz="0" w:space="0" w:color="auto"/>
                <w:bottom w:val="none" w:sz="0" w:space="0" w:color="auto"/>
                <w:right w:val="none" w:sz="0" w:space="0" w:color="auto"/>
              </w:divBdr>
              <w:divsChild>
                <w:div w:id="510025471">
                  <w:marLeft w:val="0"/>
                  <w:marRight w:val="0"/>
                  <w:marTop w:val="0"/>
                  <w:marBottom w:val="0"/>
                  <w:divBdr>
                    <w:top w:val="none" w:sz="0" w:space="0" w:color="auto"/>
                    <w:left w:val="none" w:sz="0" w:space="0" w:color="auto"/>
                    <w:bottom w:val="none" w:sz="0" w:space="0" w:color="auto"/>
                    <w:right w:val="none" w:sz="0" w:space="0" w:color="auto"/>
                  </w:divBdr>
                  <w:divsChild>
                    <w:div w:id="384841242">
                      <w:marLeft w:val="0"/>
                      <w:marRight w:val="0"/>
                      <w:marTop w:val="0"/>
                      <w:marBottom w:val="0"/>
                      <w:divBdr>
                        <w:top w:val="none" w:sz="0" w:space="0" w:color="auto"/>
                        <w:left w:val="none" w:sz="0" w:space="0" w:color="auto"/>
                        <w:bottom w:val="none" w:sz="0" w:space="0" w:color="auto"/>
                        <w:right w:val="none" w:sz="0" w:space="0" w:color="auto"/>
                      </w:divBdr>
                      <w:divsChild>
                        <w:div w:id="120274475">
                          <w:marLeft w:val="0"/>
                          <w:marRight w:val="0"/>
                          <w:marTop w:val="0"/>
                          <w:marBottom w:val="0"/>
                          <w:divBdr>
                            <w:top w:val="none" w:sz="0" w:space="0" w:color="auto"/>
                            <w:left w:val="none" w:sz="0" w:space="0" w:color="auto"/>
                            <w:bottom w:val="none" w:sz="0" w:space="0" w:color="auto"/>
                            <w:right w:val="none" w:sz="0" w:space="0" w:color="auto"/>
                          </w:divBdr>
                          <w:divsChild>
                            <w:div w:id="1705053929">
                              <w:marLeft w:val="0"/>
                              <w:marRight w:val="0"/>
                              <w:marTop w:val="0"/>
                              <w:marBottom w:val="0"/>
                              <w:divBdr>
                                <w:top w:val="none" w:sz="0" w:space="0" w:color="auto"/>
                                <w:left w:val="none" w:sz="0" w:space="0" w:color="auto"/>
                                <w:bottom w:val="none" w:sz="0" w:space="0" w:color="auto"/>
                                <w:right w:val="none" w:sz="0" w:space="0" w:color="auto"/>
                              </w:divBdr>
                              <w:divsChild>
                                <w:div w:id="1723556743">
                                  <w:marLeft w:val="0"/>
                                  <w:marRight w:val="0"/>
                                  <w:marTop w:val="0"/>
                                  <w:marBottom w:val="0"/>
                                  <w:divBdr>
                                    <w:top w:val="none" w:sz="0" w:space="0" w:color="auto"/>
                                    <w:left w:val="none" w:sz="0" w:space="0" w:color="auto"/>
                                    <w:bottom w:val="none" w:sz="0" w:space="0" w:color="auto"/>
                                    <w:right w:val="none" w:sz="0" w:space="0" w:color="auto"/>
                                  </w:divBdr>
                                  <w:divsChild>
                                    <w:div w:id="170964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364438">
      <w:bodyDiv w:val="1"/>
      <w:marLeft w:val="0"/>
      <w:marRight w:val="0"/>
      <w:marTop w:val="0"/>
      <w:marBottom w:val="0"/>
      <w:divBdr>
        <w:top w:val="none" w:sz="0" w:space="0" w:color="auto"/>
        <w:left w:val="none" w:sz="0" w:space="0" w:color="auto"/>
        <w:bottom w:val="none" w:sz="0" w:space="0" w:color="auto"/>
        <w:right w:val="none" w:sz="0" w:space="0" w:color="auto"/>
      </w:divBdr>
      <w:divsChild>
        <w:div w:id="2146582598">
          <w:marLeft w:val="0"/>
          <w:marRight w:val="0"/>
          <w:marTop w:val="0"/>
          <w:marBottom w:val="0"/>
          <w:divBdr>
            <w:top w:val="none" w:sz="0" w:space="0" w:color="auto"/>
            <w:left w:val="none" w:sz="0" w:space="0" w:color="auto"/>
            <w:bottom w:val="dotted" w:sz="6" w:space="4" w:color="DDDDDD"/>
            <w:right w:val="none" w:sz="0" w:space="0" w:color="auto"/>
          </w:divBdr>
        </w:div>
      </w:divsChild>
    </w:div>
    <w:div w:id="1703742398">
      <w:bodyDiv w:val="1"/>
      <w:marLeft w:val="0"/>
      <w:marRight w:val="0"/>
      <w:marTop w:val="0"/>
      <w:marBottom w:val="0"/>
      <w:divBdr>
        <w:top w:val="none" w:sz="0" w:space="0" w:color="auto"/>
        <w:left w:val="none" w:sz="0" w:space="0" w:color="auto"/>
        <w:bottom w:val="none" w:sz="0" w:space="0" w:color="auto"/>
        <w:right w:val="none" w:sz="0" w:space="0" w:color="auto"/>
      </w:divBdr>
      <w:divsChild>
        <w:div w:id="1836871043">
          <w:marLeft w:val="0"/>
          <w:marRight w:val="0"/>
          <w:marTop w:val="0"/>
          <w:marBottom w:val="0"/>
          <w:divBdr>
            <w:top w:val="none" w:sz="0" w:space="0" w:color="auto"/>
            <w:left w:val="none" w:sz="0" w:space="0" w:color="auto"/>
            <w:bottom w:val="dotted" w:sz="6" w:space="4" w:color="DDDDDD"/>
            <w:right w:val="none" w:sz="0" w:space="0" w:color="auto"/>
          </w:divBdr>
          <w:divsChild>
            <w:div w:id="185630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211410">
      <w:bodyDiv w:val="1"/>
      <w:marLeft w:val="0"/>
      <w:marRight w:val="0"/>
      <w:marTop w:val="0"/>
      <w:marBottom w:val="0"/>
      <w:divBdr>
        <w:top w:val="none" w:sz="0" w:space="0" w:color="auto"/>
        <w:left w:val="none" w:sz="0" w:space="0" w:color="auto"/>
        <w:bottom w:val="none" w:sz="0" w:space="0" w:color="auto"/>
        <w:right w:val="none" w:sz="0" w:space="0" w:color="auto"/>
      </w:divBdr>
      <w:divsChild>
        <w:div w:id="709573265">
          <w:marLeft w:val="0"/>
          <w:marRight w:val="0"/>
          <w:marTop w:val="0"/>
          <w:marBottom w:val="0"/>
          <w:divBdr>
            <w:top w:val="none" w:sz="0" w:space="0" w:color="auto"/>
            <w:left w:val="none" w:sz="0" w:space="0" w:color="auto"/>
            <w:bottom w:val="none" w:sz="0" w:space="0" w:color="auto"/>
            <w:right w:val="none" w:sz="0" w:space="0" w:color="auto"/>
          </w:divBdr>
          <w:divsChild>
            <w:div w:id="19687327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4281525">
      <w:bodyDiv w:val="1"/>
      <w:marLeft w:val="0"/>
      <w:marRight w:val="0"/>
      <w:marTop w:val="0"/>
      <w:marBottom w:val="0"/>
      <w:divBdr>
        <w:top w:val="none" w:sz="0" w:space="0" w:color="auto"/>
        <w:left w:val="none" w:sz="0" w:space="0" w:color="auto"/>
        <w:bottom w:val="none" w:sz="0" w:space="0" w:color="auto"/>
        <w:right w:val="none" w:sz="0" w:space="0" w:color="auto"/>
      </w:divBdr>
      <w:divsChild>
        <w:div w:id="1057893448">
          <w:marLeft w:val="0"/>
          <w:marRight w:val="0"/>
          <w:marTop w:val="0"/>
          <w:marBottom w:val="0"/>
          <w:divBdr>
            <w:top w:val="none" w:sz="0" w:space="0" w:color="auto"/>
            <w:left w:val="none" w:sz="0" w:space="0" w:color="auto"/>
            <w:bottom w:val="none" w:sz="0" w:space="0" w:color="auto"/>
            <w:right w:val="none" w:sz="0" w:space="0" w:color="auto"/>
          </w:divBdr>
          <w:divsChild>
            <w:div w:id="20980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820137">
      <w:bodyDiv w:val="1"/>
      <w:marLeft w:val="0"/>
      <w:marRight w:val="0"/>
      <w:marTop w:val="0"/>
      <w:marBottom w:val="0"/>
      <w:divBdr>
        <w:top w:val="none" w:sz="0" w:space="0" w:color="auto"/>
        <w:left w:val="none" w:sz="0" w:space="0" w:color="auto"/>
        <w:bottom w:val="none" w:sz="0" w:space="0" w:color="auto"/>
        <w:right w:val="none" w:sz="0" w:space="0" w:color="auto"/>
      </w:divBdr>
      <w:divsChild>
        <w:div w:id="949896223">
          <w:marLeft w:val="0"/>
          <w:marRight w:val="0"/>
          <w:marTop w:val="0"/>
          <w:marBottom w:val="150"/>
          <w:divBdr>
            <w:top w:val="none" w:sz="0" w:space="0" w:color="auto"/>
            <w:left w:val="none" w:sz="0" w:space="0" w:color="auto"/>
            <w:bottom w:val="none" w:sz="0" w:space="0" w:color="auto"/>
            <w:right w:val="none" w:sz="0" w:space="0" w:color="auto"/>
          </w:divBdr>
        </w:div>
      </w:divsChild>
    </w:div>
    <w:div w:id="1704864767">
      <w:bodyDiv w:val="1"/>
      <w:marLeft w:val="0"/>
      <w:marRight w:val="0"/>
      <w:marTop w:val="0"/>
      <w:marBottom w:val="0"/>
      <w:divBdr>
        <w:top w:val="none" w:sz="0" w:space="0" w:color="auto"/>
        <w:left w:val="none" w:sz="0" w:space="0" w:color="auto"/>
        <w:bottom w:val="none" w:sz="0" w:space="0" w:color="auto"/>
        <w:right w:val="none" w:sz="0" w:space="0" w:color="auto"/>
      </w:divBdr>
      <w:divsChild>
        <w:div w:id="582492038">
          <w:marLeft w:val="0"/>
          <w:marRight w:val="0"/>
          <w:marTop w:val="0"/>
          <w:marBottom w:val="150"/>
          <w:divBdr>
            <w:top w:val="none" w:sz="0" w:space="0" w:color="auto"/>
            <w:left w:val="none" w:sz="0" w:space="0" w:color="auto"/>
            <w:bottom w:val="none" w:sz="0" w:space="0" w:color="auto"/>
            <w:right w:val="none" w:sz="0" w:space="0" w:color="auto"/>
          </w:divBdr>
          <w:divsChild>
            <w:div w:id="179859778">
              <w:marLeft w:val="0"/>
              <w:marRight w:val="0"/>
              <w:marTop w:val="0"/>
              <w:marBottom w:val="0"/>
              <w:divBdr>
                <w:top w:val="none" w:sz="0" w:space="0" w:color="auto"/>
                <w:left w:val="none" w:sz="0" w:space="0" w:color="auto"/>
                <w:bottom w:val="none" w:sz="0" w:space="0" w:color="auto"/>
                <w:right w:val="none" w:sz="0" w:space="0" w:color="auto"/>
              </w:divBdr>
              <w:divsChild>
                <w:div w:id="118574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591741">
          <w:marLeft w:val="0"/>
          <w:marRight w:val="0"/>
          <w:marTop w:val="0"/>
          <w:marBottom w:val="0"/>
          <w:divBdr>
            <w:top w:val="none" w:sz="0" w:space="0" w:color="auto"/>
            <w:left w:val="none" w:sz="0" w:space="0" w:color="auto"/>
            <w:bottom w:val="none" w:sz="0" w:space="0" w:color="auto"/>
            <w:right w:val="none" w:sz="0" w:space="0" w:color="auto"/>
          </w:divBdr>
          <w:divsChild>
            <w:div w:id="1301687518">
              <w:marLeft w:val="0"/>
              <w:marRight w:val="0"/>
              <w:marTop w:val="225"/>
              <w:marBottom w:val="225"/>
              <w:divBdr>
                <w:top w:val="none" w:sz="0" w:space="0" w:color="auto"/>
                <w:left w:val="none" w:sz="0" w:space="0" w:color="auto"/>
                <w:bottom w:val="none" w:sz="0" w:space="0" w:color="auto"/>
                <w:right w:val="none" w:sz="0" w:space="0" w:color="auto"/>
              </w:divBdr>
            </w:div>
          </w:divsChild>
        </w:div>
        <w:div w:id="1678997248">
          <w:marLeft w:val="0"/>
          <w:marRight w:val="0"/>
          <w:marTop w:val="0"/>
          <w:marBottom w:val="150"/>
          <w:divBdr>
            <w:top w:val="none" w:sz="0" w:space="0" w:color="auto"/>
            <w:left w:val="none" w:sz="0" w:space="0" w:color="auto"/>
            <w:bottom w:val="none" w:sz="0" w:space="0" w:color="auto"/>
            <w:right w:val="none" w:sz="0" w:space="0" w:color="auto"/>
          </w:divBdr>
        </w:div>
      </w:divsChild>
    </w:div>
    <w:div w:id="1704942952">
      <w:bodyDiv w:val="1"/>
      <w:marLeft w:val="0"/>
      <w:marRight w:val="0"/>
      <w:marTop w:val="0"/>
      <w:marBottom w:val="0"/>
      <w:divBdr>
        <w:top w:val="none" w:sz="0" w:space="0" w:color="auto"/>
        <w:left w:val="none" w:sz="0" w:space="0" w:color="auto"/>
        <w:bottom w:val="none" w:sz="0" w:space="0" w:color="auto"/>
        <w:right w:val="none" w:sz="0" w:space="0" w:color="auto"/>
      </w:divBdr>
      <w:divsChild>
        <w:div w:id="979727489">
          <w:marLeft w:val="0"/>
          <w:marRight w:val="0"/>
          <w:marTop w:val="0"/>
          <w:marBottom w:val="450"/>
          <w:divBdr>
            <w:top w:val="none" w:sz="0" w:space="0" w:color="auto"/>
            <w:left w:val="none" w:sz="0" w:space="0" w:color="auto"/>
            <w:bottom w:val="single" w:sz="6" w:space="19" w:color="EEEEEE"/>
            <w:right w:val="none" w:sz="0" w:space="0" w:color="auto"/>
          </w:divBdr>
          <w:divsChild>
            <w:div w:id="818303478">
              <w:marLeft w:val="0"/>
              <w:marRight w:val="0"/>
              <w:marTop w:val="0"/>
              <w:marBottom w:val="150"/>
              <w:divBdr>
                <w:top w:val="none" w:sz="0" w:space="0" w:color="auto"/>
                <w:left w:val="none" w:sz="0" w:space="0" w:color="auto"/>
                <w:bottom w:val="none" w:sz="0" w:space="0" w:color="auto"/>
                <w:right w:val="none" w:sz="0" w:space="0" w:color="auto"/>
              </w:divBdr>
              <w:divsChild>
                <w:div w:id="1672293107">
                  <w:marLeft w:val="0"/>
                  <w:marRight w:val="0"/>
                  <w:marTop w:val="0"/>
                  <w:marBottom w:val="0"/>
                  <w:divBdr>
                    <w:top w:val="none" w:sz="0" w:space="0" w:color="auto"/>
                    <w:left w:val="none" w:sz="0" w:space="0" w:color="auto"/>
                    <w:bottom w:val="none" w:sz="0" w:space="0" w:color="auto"/>
                    <w:right w:val="none" w:sz="0" w:space="0" w:color="auto"/>
                  </w:divBdr>
                </w:div>
              </w:divsChild>
            </w:div>
            <w:div w:id="2052799016">
              <w:marLeft w:val="0"/>
              <w:marRight w:val="0"/>
              <w:marTop w:val="0"/>
              <w:marBottom w:val="0"/>
              <w:divBdr>
                <w:top w:val="none" w:sz="0" w:space="0" w:color="auto"/>
                <w:left w:val="none" w:sz="0" w:space="0" w:color="auto"/>
                <w:bottom w:val="none" w:sz="0" w:space="0" w:color="auto"/>
                <w:right w:val="none" w:sz="0" w:space="0" w:color="auto"/>
              </w:divBdr>
            </w:div>
          </w:divsChild>
        </w:div>
        <w:div w:id="1362128820">
          <w:marLeft w:val="0"/>
          <w:marRight w:val="0"/>
          <w:marTop w:val="0"/>
          <w:marBottom w:val="0"/>
          <w:divBdr>
            <w:top w:val="none" w:sz="0" w:space="0" w:color="auto"/>
            <w:left w:val="none" w:sz="0" w:space="0" w:color="auto"/>
            <w:bottom w:val="none" w:sz="0" w:space="0" w:color="auto"/>
            <w:right w:val="none" w:sz="0" w:space="0" w:color="auto"/>
          </w:divBdr>
          <w:divsChild>
            <w:div w:id="1672833040">
              <w:marLeft w:val="0"/>
              <w:marRight w:val="0"/>
              <w:marTop w:val="0"/>
              <w:marBottom w:val="0"/>
              <w:divBdr>
                <w:top w:val="none" w:sz="0" w:space="0" w:color="auto"/>
                <w:left w:val="none" w:sz="0" w:space="0" w:color="auto"/>
                <w:bottom w:val="none" w:sz="0" w:space="0" w:color="auto"/>
                <w:right w:val="none" w:sz="0" w:space="0" w:color="auto"/>
              </w:divBdr>
              <w:divsChild>
                <w:div w:id="118956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329248">
      <w:bodyDiv w:val="1"/>
      <w:marLeft w:val="0"/>
      <w:marRight w:val="0"/>
      <w:marTop w:val="0"/>
      <w:marBottom w:val="0"/>
      <w:divBdr>
        <w:top w:val="none" w:sz="0" w:space="0" w:color="auto"/>
        <w:left w:val="none" w:sz="0" w:space="0" w:color="auto"/>
        <w:bottom w:val="none" w:sz="0" w:space="0" w:color="auto"/>
        <w:right w:val="none" w:sz="0" w:space="0" w:color="auto"/>
      </w:divBdr>
      <w:divsChild>
        <w:div w:id="347023135">
          <w:marLeft w:val="0"/>
          <w:marRight w:val="0"/>
          <w:marTop w:val="0"/>
          <w:marBottom w:val="0"/>
          <w:divBdr>
            <w:top w:val="none" w:sz="0" w:space="0" w:color="auto"/>
            <w:left w:val="none" w:sz="0" w:space="0" w:color="auto"/>
            <w:bottom w:val="dotted" w:sz="6" w:space="4" w:color="DDDDDD"/>
            <w:right w:val="none" w:sz="0" w:space="0" w:color="auto"/>
          </w:divBdr>
          <w:divsChild>
            <w:div w:id="3946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398768">
      <w:bodyDiv w:val="1"/>
      <w:marLeft w:val="0"/>
      <w:marRight w:val="0"/>
      <w:marTop w:val="0"/>
      <w:marBottom w:val="0"/>
      <w:divBdr>
        <w:top w:val="none" w:sz="0" w:space="0" w:color="auto"/>
        <w:left w:val="none" w:sz="0" w:space="0" w:color="auto"/>
        <w:bottom w:val="none" w:sz="0" w:space="0" w:color="auto"/>
        <w:right w:val="none" w:sz="0" w:space="0" w:color="auto"/>
      </w:divBdr>
      <w:divsChild>
        <w:div w:id="1869877752">
          <w:marLeft w:val="0"/>
          <w:marRight w:val="0"/>
          <w:marTop w:val="0"/>
          <w:marBottom w:val="150"/>
          <w:divBdr>
            <w:top w:val="none" w:sz="0" w:space="0" w:color="auto"/>
            <w:left w:val="none" w:sz="0" w:space="0" w:color="auto"/>
            <w:bottom w:val="none" w:sz="0" w:space="0" w:color="auto"/>
            <w:right w:val="none" w:sz="0" w:space="0" w:color="auto"/>
          </w:divBdr>
        </w:div>
      </w:divsChild>
    </w:div>
    <w:div w:id="1705449008">
      <w:bodyDiv w:val="1"/>
      <w:marLeft w:val="0"/>
      <w:marRight w:val="0"/>
      <w:marTop w:val="0"/>
      <w:marBottom w:val="0"/>
      <w:divBdr>
        <w:top w:val="none" w:sz="0" w:space="0" w:color="auto"/>
        <w:left w:val="none" w:sz="0" w:space="0" w:color="auto"/>
        <w:bottom w:val="none" w:sz="0" w:space="0" w:color="auto"/>
        <w:right w:val="none" w:sz="0" w:space="0" w:color="auto"/>
      </w:divBdr>
    </w:div>
    <w:div w:id="1705524326">
      <w:bodyDiv w:val="1"/>
      <w:marLeft w:val="0"/>
      <w:marRight w:val="0"/>
      <w:marTop w:val="0"/>
      <w:marBottom w:val="0"/>
      <w:divBdr>
        <w:top w:val="none" w:sz="0" w:space="0" w:color="auto"/>
        <w:left w:val="none" w:sz="0" w:space="0" w:color="auto"/>
        <w:bottom w:val="none" w:sz="0" w:space="0" w:color="auto"/>
        <w:right w:val="none" w:sz="0" w:space="0" w:color="auto"/>
      </w:divBdr>
      <w:divsChild>
        <w:div w:id="532763933">
          <w:marLeft w:val="0"/>
          <w:marRight w:val="0"/>
          <w:marTop w:val="0"/>
          <w:marBottom w:val="0"/>
          <w:divBdr>
            <w:top w:val="none" w:sz="0" w:space="0" w:color="auto"/>
            <w:left w:val="none" w:sz="0" w:space="0" w:color="auto"/>
            <w:bottom w:val="none" w:sz="0" w:space="0" w:color="auto"/>
            <w:right w:val="none" w:sz="0" w:space="0" w:color="auto"/>
          </w:divBdr>
          <w:divsChild>
            <w:div w:id="989867929">
              <w:marLeft w:val="0"/>
              <w:marRight w:val="0"/>
              <w:marTop w:val="0"/>
              <w:marBottom w:val="0"/>
              <w:divBdr>
                <w:top w:val="none" w:sz="0" w:space="0" w:color="auto"/>
                <w:left w:val="none" w:sz="0" w:space="0" w:color="auto"/>
                <w:bottom w:val="none" w:sz="0" w:space="0" w:color="auto"/>
                <w:right w:val="none" w:sz="0" w:space="0" w:color="auto"/>
              </w:divBdr>
              <w:divsChild>
                <w:div w:id="1763336250">
                  <w:marLeft w:val="0"/>
                  <w:marRight w:val="0"/>
                  <w:marTop w:val="0"/>
                  <w:marBottom w:val="0"/>
                  <w:divBdr>
                    <w:top w:val="none" w:sz="0" w:space="0" w:color="auto"/>
                    <w:left w:val="none" w:sz="0" w:space="0" w:color="auto"/>
                    <w:bottom w:val="none" w:sz="0" w:space="0" w:color="auto"/>
                    <w:right w:val="none" w:sz="0" w:space="0" w:color="auto"/>
                  </w:divBdr>
                  <w:divsChild>
                    <w:div w:id="1164586814">
                      <w:marLeft w:val="0"/>
                      <w:marRight w:val="0"/>
                      <w:marTop w:val="0"/>
                      <w:marBottom w:val="0"/>
                      <w:divBdr>
                        <w:top w:val="none" w:sz="0" w:space="0" w:color="auto"/>
                        <w:left w:val="none" w:sz="0" w:space="0" w:color="auto"/>
                        <w:bottom w:val="none" w:sz="0" w:space="0" w:color="auto"/>
                        <w:right w:val="none" w:sz="0" w:space="0" w:color="auto"/>
                      </w:divBdr>
                      <w:divsChild>
                        <w:div w:id="2082629234">
                          <w:marLeft w:val="0"/>
                          <w:marRight w:val="0"/>
                          <w:marTop w:val="0"/>
                          <w:marBottom w:val="0"/>
                          <w:divBdr>
                            <w:top w:val="none" w:sz="0" w:space="0" w:color="auto"/>
                            <w:left w:val="none" w:sz="0" w:space="0" w:color="auto"/>
                            <w:bottom w:val="none" w:sz="0" w:space="0" w:color="auto"/>
                            <w:right w:val="none" w:sz="0" w:space="0" w:color="auto"/>
                          </w:divBdr>
                          <w:divsChild>
                            <w:div w:id="547882885">
                              <w:marLeft w:val="0"/>
                              <w:marRight w:val="0"/>
                              <w:marTop w:val="0"/>
                              <w:marBottom w:val="0"/>
                              <w:divBdr>
                                <w:top w:val="none" w:sz="0" w:space="0" w:color="auto"/>
                                <w:left w:val="none" w:sz="0" w:space="0" w:color="auto"/>
                                <w:bottom w:val="none" w:sz="0" w:space="0" w:color="auto"/>
                                <w:right w:val="none" w:sz="0" w:space="0" w:color="auto"/>
                              </w:divBdr>
                              <w:divsChild>
                                <w:div w:id="1982227070">
                                  <w:marLeft w:val="0"/>
                                  <w:marRight w:val="0"/>
                                  <w:marTop w:val="0"/>
                                  <w:marBottom w:val="0"/>
                                  <w:divBdr>
                                    <w:top w:val="none" w:sz="0" w:space="0" w:color="auto"/>
                                    <w:left w:val="none" w:sz="0" w:space="0" w:color="auto"/>
                                    <w:bottom w:val="none" w:sz="0" w:space="0" w:color="auto"/>
                                    <w:right w:val="none" w:sz="0" w:space="0" w:color="auto"/>
                                  </w:divBdr>
                                  <w:divsChild>
                                    <w:div w:id="53295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060130">
      <w:bodyDiv w:val="1"/>
      <w:marLeft w:val="0"/>
      <w:marRight w:val="0"/>
      <w:marTop w:val="0"/>
      <w:marBottom w:val="0"/>
      <w:divBdr>
        <w:top w:val="none" w:sz="0" w:space="0" w:color="auto"/>
        <w:left w:val="none" w:sz="0" w:space="0" w:color="auto"/>
        <w:bottom w:val="none" w:sz="0" w:space="0" w:color="auto"/>
        <w:right w:val="none" w:sz="0" w:space="0" w:color="auto"/>
      </w:divBdr>
      <w:divsChild>
        <w:div w:id="72750307">
          <w:marLeft w:val="0"/>
          <w:marRight w:val="0"/>
          <w:marTop w:val="0"/>
          <w:marBottom w:val="0"/>
          <w:divBdr>
            <w:top w:val="none" w:sz="0" w:space="0" w:color="auto"/>
            <w:left w:val="none" w:sz="0" w:space="0" w:color="auto"/>
            <w:bottom w:val="none" w:sz="0" w:space="0" w:color="auto"/>
            <w:right w:val="none" w:sz="0" w:space="0" w:color="auto"/>
          </w:divBdr>
        </w:div>
      </w:divsChild>
    </w:div>
    <w:div w:id="1706447783">
      <w:bodyDiv w:val="1"/>
      <w:marLeft w:val="0"/>
      <w:marRight w:val="0"/>
      <w:marTop w:val="0"/>
      <w:marBottom w:val="0"/>
      <w:divBdr>
        <w:top w:val="none" w:sz="0" w:space="0" w:color="auto"/>
        <w:left w:val="none" w:sz="0" w:space="0" w:color="auto"/>
        <w:bottom w:val="none" w:sz="0" w:space="0" w:color="auto"/>
        <w:right w:val="none" w:sz="0" w:space="0" w:color="auto"/>
      </w:divBdr>
      <w:divsChild>
        <w:div w:id="175391398">
          <w:marLeft w:val="0"/>
          <w:marRight w:val="0"/>
          <w:marTop w:val="0"/>
          <w:marBottom w:val="0"/>
          <w:divBdr>
            <w:top w:val="none" w:sz="0" w:space="0" w:color="auto"/>
            <w:left w:val="none" w:sz="0" w:space="0" w:color="auto"/>
            <w:bottom w:val="none" w:sz="0" w:space="0" w:color="auto"/>
            <w:right w:val="none" w:sz="0" w:space="0" w:color="auto"/>
          </w:divBdr>
          <w:divsChild>
            <w:div w:id="10252063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6834454">
      <w:bodyDiv w:val="1"/>
      <w:marLeft w:val="0"/>
      <w:marRight w:val="0"/>
      <w:marTop w:val="0"/>
      <w:marBottom w:val="0"/>
      <w:divBdr>
        <w:top w:val="none" w:sz="0" w:space="0" w:color="auto"/>
        <w:left w:val="none" w:sz="0" w:space="0" w:color="auto"/>
        <w:bottom w:val="none" w:sz="0" w:space="0" w:color="auto"/>
        <w:right w:val="none" w:sz="0" w:space="0" w:color="auto"/>
      </w:divBdr>
    </w:div>
    <w:div w:id="1707178194">
      <w:bodyDiv w:val="1"/>
      <w:marLeft w:val="0"/>
      <w:marRight w:val="0"/>
      <w:marTop w:val="0"/>
      <w:marBottom w:val="0"/>
      <w:divBdr>
        <w:top w:val="none" w:sz="0" w:space="0" w:color="auto"/>
        <w:left w:val="none" w:sz="0" w:space="0" w:color="auto"/>
        <w:bottom w:val="none" w:sz="0" w:space="0" w:color="auto"/>
        <w:right w:val="none" w:sz="0" w:space="0" w:color="auto"/>
      </w:divBdr>
      <w:divsChild>
        <w:div w:id="755055239">
          <w:marLeft w:val="0"/>
          <w:marRight w:val="0"/>
          <w:marTop w:val="0"/>
          <w:marBottom w:val="150"/>
          <w:divBdr>
            <w:top w:val="none" w:sz="0" w:space="0" w:color="auto"/>
            <w:left w:val="none" w:sz="0" w:space="0" w:color="auto"/>
            <w:bottom w:val="none" w:sz="0" w:space="0" w:color="auto"/>
            <w:right w:val="none" w:sz="0" w:space="0" w:color="auto"/>
          </w:divBdr>
        </w:div>
      </w:divsChild>
    </w:div>
    <w:div w:id="1707482347">
      <w:bodyDiv w:val="1"/>
      <w:marLeft w:val="0"/>
      <w:marRight w:val="0"/>
      <w:marTop w:val="0"/>
      <w:marBottom w:val="0"/>
      <w:divBdr>
        <w:top w:val="none" w:sz="0" w:space="0" w:color="auto"/>
        <w:left w:val="none" w:sz="0" w:space="0" w:color="auto"/>
        <w:bottom w:val="none" w:sz="0" w:space="0" w:color="auto"/>
        <w:right w:val="none" w:sz="0" w:space="0" w:color="auto"/>
      </w:divBdr>
      <w:divsChild>
        <w:div w:id="565992968">
          <w:marLeft w:val="0"/>
          <w:marRight w:val="0"/>
          <w:marTop w:val="0"/>
          <w:marBottom w:val="150"/>
          <w:divBdr>
            <w:top w:val="none" w:sz="0" w:space="0" w:color="auto"/>
            <w:left w:val="none" w:sz="0" w:space="0" w:color="auto"/>
            <w:bottom w:val="none" w:sz="0" w:space="0" w:color="auto"/>
            <w:right w:val="none" w:sz="0" w:space="0" w:color="auto"/>
          </w:divBdr>
          <w:divsChild>
            <w:div w:id="1669795798">
              <w:marLeft w:val="0"/>
              <w:marRight w:val="0"/>
              <w:marTop w:val="0"/>
              <w:marBottom w:val="0"/>
              <w:divBdr>
                <w:top w:val="none" w:sz="0" w:space="0" w:color="auto"/>
                <w:left w:val="none" w:sz="0" w:space="0" w:color="auto"/>
                <w:bottom w:val="none" w:sz="0" w:space="0" w:color="auto"/>
                <w:right w:val="none" w:sz="0" w:space="0" w:color="auto"/>
              </w:divBdr>
            </w:div>
          </w:divsChild>
        </w:div>
        <w:div w:id="1792698618">
          <w:marLeft w:val="0"/>
          <w:marRight w:val="0"/>
          <w:marTop w:val="0"/>
          <w:marBottom w:val="150"/>
          <w:divBdr>
            <w:top w:val="none" w:sz="0" w:space="0" w:color="auto"/>
            <w:left w:val="none" w:sz="0" w:space="0" w:color="auto"/>
            <w:bottom w:val="none" w:sz="0" w:space="0" w:color="auto"/>
            <w:right w:val="none" w:sz="0" w:space="0" w:color="auto"/>
          </w:divBdr>
        </w:div>
      </w:divsChild>
    </w:div>
    <w:div w:id="1707825307">
      <w:bodyDiv w:val="1"/>
      <w:marLeft w:val="0"/>
      <w:marRight w:val="0"/>
      <w:marTop w:val="0"/>
      <w:marBottom w:val="0"/>
      <w:divBdr>
        <w:top w:val="none" w:sz="0" w:space="0" w:color="auto"/>
        <w:left w:val="none" w:sz="0" w:space="0" w:color="auto"/>
        <w:bottom w:val="none" w:sz="0" w:space="0" w:color="auto"/>
        <w:right w:val="none" w:sz="0" w:space="0" w:color="auto"/>
      </w:divBdr>
      <w:divsChild>
        <w:div w:id="194387699">
          <w:marLeft w:val="0"/>
          <w:marRight w:val="0"/>
          <w:marTop w:val="0"/>
          <w:marBottom w:val="0"/>
          <w:divBdr>
            <w:top w:val="none" w:sz="0" w:space="0" w:color="auto"/>
            <w:left w:val="none" w:sz="0" w:space="0" w:color="auto"/>
            <w:bottom w:val="none" w:sz="0" w:space="0" w:color="auto"/>
            <w:right w:val="none" w:sz="0" w:space="0" w:color="auto"/>
          </w:divBdr>
          <w:divsChild>
            <w:div w:id="1055785277">
              <w:marLeft w:val="0"/>
              <w:marRight w:val="0"/>
              <w:marTop w:val="0"/>
              <w:marBottom w:val="0"/>
              <w:divBdr>
                <w:top w:val="none" w:sz="0" w:space="0" w:color="auto"/>
                <w:left w:val="none" w:sz="0" w:space="0" w:color="auto"/>
                <w:bottom w:val="none" w:sz="0" w:space="0" w:color="auto"/>
                <w:right w:val="none" w:sz="0" w:space="0" w:color="auto"/>
              </w:divBdr>
            </w:div>
          </w:divsChild>
        </w:div>
        <w:div w:id="358049120">
          <w:marLeft w:val="0"/>
          <w:marRight w:val="0"/>
          <w:marTop w:val="0"/>
          <w:marBottom w:val="150"/>
          <w:divBdr>
            <w:top w:val="none" w:sz="0" w:space="0" w:color="auto"/>
            <w:left w:val="none" w:sz="0" w:space="0" w:color="auto"/>
            <w:bottom w:val="none" w:sz="0" w:space="0" w:color="auto"/>
            <w:right w:val="none" w:sz="0" w:space="0" w:color="auto"/>
          </w:divBdr>
          <w:divsChild>
            <w:div w:id="1158349484">
              <w:marLeft w:val="0"/>
              <w:marRight w:val="0"/>
              <w:marTop w:val="0"/>
              <w:marBottom w:val="0"/>
              <w:divBdr>
                <w:top w:val="none" w:sz="0" w:space="0" w:color="auto"/>
                <w:left w:val="none" w:sz="0" w:space="0" w:color="auto"/>
                <w:bottom w:val="none" w:sz="0" w:space="0" w:color="auto"/>
                <w:right w:val="none" w:sz="0" w:space="0" w:color="auto"/>
              </w:divBdr>
            </w:div>
          </w:divsChild>
        </w:div>
        <w:div w:id="700011841">
          <w:marLeft w:val="0"/>
          <w:marRight w:val="0"/>
          <w:marTop w:val="0"/>
          <w:marBottom w:val="150"/>
          <w:divBdr>
            <w:top w:val="none" w:sz="0" w:space="0" w:color="auto"/>
            <w:left w:val="none" w:sz="0" w:space="0" w:color="auto"/>
            <w:bottom w:val="none" w:sz="0" w:space="0" w:color="auto"/>
            <w:right w:val="none" w:sz="0" w:space="0" w:color="auto"/>
          </w:divBdr>
        </w:div>
      </w:divsChild>
    </w:div>
    <w:div w:id="1707830609">
      <w:bodyDiv w:val="1"/>
      <w:marLeft w:val="0"/>
      <w:marRight w:val="0"/>
      <w:marTop w:val="0"/>
      <w:marBottom w:val="0"/>
      <w:divBdr>
        <w:top w:val="none" w:sz="0" w:space="0" w:color="auto"/>
        <w:left w:val="none" w:sz="0" w:space="0" w:color="auto"/>
        <w:bottom w:val="none" w:sz="0" w:space="0" w:color="auto"/>
        <w:right w:val="none" w:sz="0" w:space="0" w:color="auto"/>
      </w:divBdr>
      <w:divsChild>
        <w:div w:id="677972218">
          <w:marLeft w:val="0"/>
          <w:marRight w:val="0"/>
          <w:marTop w:val="0"/>
          <w:marBottom w:val="0"/>
          <w:divBdr>
            <w:top w:val="none" w:sz="0" w:space="0" w:color="auto"/>
            <w:left w:val="none" w:sz="0" w:space="0" w:color="auto"/>
            <w:bottom w:val="none" w:sz="0" w:space="0" w:color="auto"/>
            <w:right w:val="none" w:sz="0" w:space="0" w:color="auto"/>
          </w:divBdr>
        </w:div>
        <w:div w:id="712534268">
          <w:marLeft w:val="0"/>
          <w:marRight w:val="0"/>
          <w:marTop w:val="0"/>
          <w:marBottom w:val="75"/>
          <w:divBdr>
            <w:top w:val="none" w:sz="0" w:space="0" w:color="auto"/>
            <w:left w:val="none" w:sz="0" w:space="0" w:color="auto"/>
            <w:bottom w:val="none" w:sz="0" w:space="0" w:color="auto"/>
            <w:right w:val="none" w:sz="0" w:space="0" w:color="auto"/>
          </w:divBdr>
        </w:div>
        <w:div w:id="1496146815">
          <w:marLeft w:val="0"/>
          <w:marRight w:val="0"/>
          <w:marTop w:val="0"/>
          <w:marBottom w:val="0"/>
          <w:divBdr>
            <w:top w:val="none" w:sz="0" w:space="0" w:color="auto"/>
            <w:left w:val="none" w:sz="0" w:space="0" w:color="auto"/>
            <w:bottom w:val="none" w:sz="0" w:space="0" w:color="auto"/>
            <w:right w:val="none" w:sz="0" w:space="0" w:color="auto"/>
          </w:divBdr>
          <w:divsChild>
            <w:div w:id="1780249197">
              <w:marLeft w:val="0"/>
              <w:marRight w:val="0"/>
              <w:marTop w:val="0"/>
              <w:marBottom w:val="0"/>
              <w:divBdr>
                <w:top w:val="none" w:sz="0" w:space="0" w:color="auto"/>
                <w:left w:val="none" w:sz="0" w:space="0" w:color="auto"/>
                <w:bottom w:val="none" w:sz="0" w:space="0" w:color="auto"/>
                <w:right w:val="none" w:sz="0" w:space="0" w:color="auto"/>
              </w:divBdr>
              <w:divsChild>
                <w:div w:id="128839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315973">
          <w:marLeft w:val="0"/>
          <w:marRight w:val="0"/>
          <w:marTop w:val="0"/>
          <w:marBottom w:val="300"/>
          <w:divBdr>
            <w:top w:val="none" w:sz="0" w:space="0" w:color="auto"/>
            <w:left w:val="none" w:sz="0" w:space="0" w:color="auto"/>
            <w:bottom w:val="none" w:sz="0" w:space="0" w:color="auto"/>
            <w:right w:val="none" w:sz="0" w:space="0" w:color="auto"/>
          </w:divBdr>
          <w:divsChild>
            <w:div w:id="100423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43047">
      <w:bodyDiv w:val="1"/>
      <w:marLeft w:val="0"/>
      <w:marRight w:val="0"/>
      <w:marTop w:val="0"/>
      <w:marBottom w:val="0"/>
      <w:divBdr>
        <w:top w:val="none" w:sz="0" w:space="0" w:color="auto"/>
        <w:left w:val="none" w:sz="0" w:space="0" w:color="auto"/>
        <w:bottom w:val="none" w:sz="0" w:space="0" w:color="auto"/>
        <w:right w:val="none" w:sz="0" w:space="0" w:color="auto"/>
      </w:divBdr>
    </w:div>
    <w:div w:id="1708290693">
      <w:bodyDiv w:val="1"/>
      <w:marLeft w:val="0"/>
      <w:marRight w:val="0"/>
      <w:marTop w:val="0"/>
      <w:marBottom w:val="0"/>
      <w:divBdr>
        <w:top w:val="none" w:sz="0" w:space="0" w:color="auto"/>
        <w:left w:val="none" w:sz="0" w:space="0" w:color="auto"/>
        <w:bottom w:val="none" w:sz="0" w:space="0" w:color="auto"/>
        <w:right w:val="none" w:sz="0" w:space="0" w:color="auto"/>
      </w:divBdr>
      <w:divsChild>
        <w:div w:id="747848087">
          <w:marLeft w:val="0"/>
          <w:marRight w:val="0"/>
          <w:marTop w:val="0"/>
          <w:marBottom w:val="0"/>
          <w:divBdr>
            <w:top w:val="none" w:sz="0" w:space="0" w:color="auto"/>
            <w:left w:val="none" w:sz="0" w:space="0" w:color="auto"/>
            <w:bottom w:val="none" w:sz="0" w:space="0" w:color="auto"/>
            <w:right w:val="none" w:sz="0" w:space="0" w:color="auto"/>
          </w:divBdr>
        </w:div>
      </w:divsChild>
    </w:div>
    <w:div w:id="1708330507">
      <w:bodyDiv w:val="1"/>
      <w:marLeft w:val="0"/>
      <w:marRight w:val="0"/>
      <w:marTop w:val="0"/>
      <w:marBottom w:val="0"/>
      <w:divBdr>
        <w:top w:val="none" w:sz="0" w:space="0" w:color="auto"/>
        <w:left w:val="none" w:sz="0" w:space="0" w:color="auto"/>
        <w:bottom w:val="none" w:sz="0" w:space="0" w:color="auto"/>
        <w:right w:val="none" w:sz="0" w:space="0" w:color="auto"/>
      </w:divBdr>
      <w:divsChild>
        <w:div w:id="403987245">
          <w:marLeft w:val="0"/>
          <w:marRight w:val="0"/>
          <w:marTop w:val="0"/>
          <w:marBottom w:val="0"/>
          <w:divBdr>
            <w:top w:val="none" w:sz="0" w:space="0" w:color="auto"/>
            <w:left w:val="none" w:sz="0" w:space="0" w:color="auto"/>
            <w:bottom w:val="none" w:sz="0" w:space="0" w:color="auto"/>
            <w:right w:val="none" w:sz="0" w:space="0" w:color="auto"/>
          </w:divBdr>
        </w:div>
        <w:div w:id="1273589307">
          <w:marLeft w:val="0"/>
          <w:marRight w:val="0"/>
          <w:marTop w:val="0"/>
          <w:marBottom w:val="150"/>
          <w:divBdr>
            <w:top w:val="none" w:sz="0" w:space="0" w:color="auto"/>
            <w:left w:val="none" w:sz="0" w:space="0" w:color="auto"/>
            <w:bottom w:val="none" w:sz="0" w:space="0" w:color="auto"/>
            <w:right w:val="none" w:sz="0" w:space="0" w:color="auto"/>
          </w:divBdr>
        </w:div>
      </w:divsChild>
    </w:div>
    <w:div w:id="1708480624">
      <w:bodyDiv w:val="1"/>
      <w:marLeft w:val="0"/>
      <w:marRight w:val="0"/>
      <w:marTop w:val="0"/>
      <w:marBottom w:val="0"/>
      <w:divBdr>
        <w:top w:val="none" w:sz="0" w:space="0" w:color="auto"/>
        <w:left w:val="none" w:sz="0" w:space="0" w:color="auto"/>
        <w:bottom w:val="none" w:sz="0" w:space="0" w:color="auto"/>
        <w:right w:val="none" w:sz="0" w:space="0" w:color="auto"/>
      </w:divBdr>
      <w:divsChild>
        <w:div w:id="1963922726">
          <w:marLeft w:val="0"/>
          <w:marRight w:val="0"/>
          <w:marTop w:val="0"/>
          <w:marBottom w:val="0"/>
          <w:divBdr>
            <w:top w:val="none" w:sz="0" w:space="0" w:color="auto"/>
            <w:left w:val="none" w:sz="0" w:space="0" w:color="auto"/>
            <w:bottom w:val="none" w:sz="0" w:space="0" w:color="auto"/>
            <w:right w:val="none" w:sz="0" w:space="0" w:color="auto"/>
          </w:divBdr>
        </w:div>
      </w:divsChild>
    </w:div>
    <w:div w:id="1708675078">
      <w:bodyDiv w:val="1"/>
      <w:marLeft w:val="0"/>
      <w:marRight w:val="0"/>
      <w:marTop w:val="0"/>
      <w:marBottom w:val="0"/>
      <w:divBdr>
        <w:top w:val="none" w:sz="0" w:space="0" w:color="auto"/>
        <w:left w:val="none" w:sz="0" w:space="0" w:color="auto"/>
        <w:bottom w:val="none" w:sz="0" w:space="0" w:color="auto"/>
        <w:right w:val="none" w:sz="0" w:space="0" w:color="auto"/>
      </w:divBdr>
      <w:divsChild>
        <w:div w:id="135227200">
          <w:marLeft w:val="0"/>
          <w:marRight w:val="0"/>
          <w:marTop w:val="0"/>
          <w:marBottom w:val="150"/>
          <w:divBdr>
            <w:top w:val="none" w:sz="0" w:space="0" w:color="auto"/>
            <w:left w:val="none" w:sz="0" w:space="0" w:color="auto"/>
            <w:bottom w:val="none" w:sz="0" w:space="0" w:color="auto"/>
            <w:right w:val="none" w:sz="0" w:space="0" w:color="auto"/>
          </w:divBdr>
        </w:div>
        <w:div w:id="198669876">
          <w:marLeft w:val="0"/>
          <w:marRight w:val="0"/>
          <w:marTop w:val="0"/>
          <w:marBottom w:val="150"/>
          <w:divBdr>
            <w:top w:val="none" w:sz="0" w:space="0" w:color="auto"/>
            <w:left w:val="none" w:sz="0" w:space="0" w:color="auto"/>
            <w:bottom w:val="none" w:sz="0" w:space="0" w:color="auto"/>
            <w:right w:val="none" w:sz="0" w:space="0" w:color="auto"/>
          </w:divBdr>
        </w:div>
        <w:div w:id="364336387">
          <w:marLeft w:val="0"/>
          <w:marRight w:val="0"/>
          <w:marTop w:val="0"/>
          <w:marBottom w:val="150"/>
          <w:divBdr>
            <w:top w:val="none" w:sz="0" w:space="0" w:color="auto"/>
            <w:left w:val="none" w:sz="0" w:space="0" w:color="auto"/>
            <w:bottom w:val="none" w:sz="0" w:space="0" w:color="auto"/>
            <w:right w:val="none" w:sz="0" w:space="0" w:color="auto"/>
          </w:divBdr>
        </w:div>
        <w:div w:id="707340320">
          <w:marLeft w:val="0"/>
          <w:marRight w:val="0"/>
          <w:marTop w:val="0"/>
          <w:marBottom w:val="150"/>
          <w:divBdr>
            <w:top w:val="none" w:sz="0" w:space="0" w:color="auto"/>
            <w:left w:val="none" w:sz="0" w:space="0" w:color="auto"/>
            <w:bottom w:val="none" w:sz="0" w:space="0" w:color="auto"/>
            <w:right w:val="none" w:sz="0" w:space="0" w:color="auto"/>
          </w:divBdr>
        </w:div>
        <w:div w:id="1502309196">
          <w:marLeft w:val="0"/>
          <w:marRight w:val="0"/>
          <w:marTop w:val="0"/>
          <w:marBottom w:val="150"/>
          <w:divBdr>
            <w:top w:val="none" w:sz="0" w:space="0" w:color="auto"/>
            <w:left w:val="none" w:sz="0" w:space="0" w:color="auto"/>
            <w:bottom w:val="none" w:sz="0" w:space="0" w:color="auto"/>
            <w:right w:val="none" w:sz="0" w:space="0" w:color="auto"/>
          </w:divBdr>
        </w:div>
        <w:div w:id="1524783881">
          <w:marLeft w:val="0"/>
          <w:marRight w:val="0"/>
          <w:marTop w:val="0"/>
          <w:marBottom w:val="150"/>
          <w:divBdr>
            <w:top w:val="none" w:sz="0" w:space="0" w:color="auto"/>
            <w:left w:val="none" w:sz="0" w:space="0" w:color="auto"/>
            <w:bottom w:val="none" w:sz="0" w:space="0" w:color="auto"/>
            <w:right w:val="none" w:sz="0" w:space="0" w:color="auto"/>
          </w:divBdr>
        </w:div>
        <w:div w:id="1965231452">
          <w:marLeft w:val="0"/>
          <w:marRight w:val="0"/>
          <w:marTop w:val="0"/>
          <w:marBottom w:val="150"/>
          <w:divBdr>
            <w:top w:val="none" w:sz="0" w:space="0" w:color="auto"/>
            <w:left w:val="none" w:sz="0" w:space="0" w:color="auto"/>
            <w:bottom w:val="none" w:sz="0" w:space="0" w:color="auto"/>
            <w:right w:val="none" w:sz="0" w:space="0" w:color="auto"/>
          </w:divBdr>
        </w:div>
        <w:div w:id="1997802939">
          <w:marLeft w:val="0"/>
          <w:marRight w:val="0"/>
          <w:marTop w:val="0"/>
          <w:marBottom w:val="150"/>
          <w:divBdr>
            <w:top w:val="none" w:sz="0" w:space="0" w:color="auto"/>
            <w:left w:val="none" w:sz="0" w:space="0" w:color="auto"/>
            <w:bottom w:val="none" w:sz="0" w:space="0" w:color="auto"/>
            <w:right w:val="none" w:sz="0" w:space="0" w:color="auto"/>
          </w:divBdr>
        </w:div>
      </w:divsChild>
    </w:div>
    <w:div w:id="1708752354">
      <w:bodyDiv w:val="1"/>
      <w:marLeft w:val="0"/>
      <w:marRight w:val="0"/>
      <w:marTop w:val="0"/>
      <w:marBottom w:val="0"/>
      <w:divBdr>
        <w:top w:val="none" w:sz="0" w:space="0" w:color="auto"/>
        <w:left w:val="none" w:sz="0" w:space="0" w:color="auto"/>
        <w:bottom w:val="none" w:sz="0" w:space="0" w:color="auto"/>
        <w:right w:val="none" w:sz="0" w:space="0" w:color="auto"/>
      </w:divBdr>
      <w:divsChild>
        <w:div w:id="523322882">
          <w:marLeft w:val="0"/>
          <w:marRight w:val="0"/>
          <w:marTop w:val="0"/>
          <w:marBottom w:val="0"/>
          <w:divBdr>
            <w:top w:val="none" w:sz="0" w:space="0" w:color="auto"/>
            <w:left w:val="none" w:sz="0" w:space="0" w:color="auto"/>
            <w:bottom w:val="none" w:sz="0" w:space="0" w:color="auto"/>
            <w:right w:val="none" w:sz="0" w:space="0" w:color="auto"/>
          </w:divBdr>
          <w:divsChild>
            <w:div w:id="1352681374">
              <w:marLeft w:val="0"/>
              <w:marRight w:val="0"/>
              <w:marTop w:val="0"/>
              <w:marBottom w:val="0"/>
              <w:divBdr>
                <w:top w:val="none" w:sz="0" w:space="0" w:color="auto"/>
                <w:left w:val="none" w:sz="0" w:space="0" w:color="auto"/>
                <w:bottom w:val="none" w:sz="0" w:space="0" w:color="auto"/>
                <w:right w:val="none" w:sz="0" w:space="0" w:color="auto"/>
              </w:divBdr>
            </w:div>
          </w:divsChild>
        </w:div>
        <w:div w:id="602810031">
          <w:marLeft w:val="0"/>
          <w:marRight w:val="0"/>
          <w:marTop w:val="0"/>
          <w:marBottom w:val="150"/>
          <w:divBdr>
            <w:top w:val="none" w:sz="0" w:space="0" w:color="auto"/>
            <w:left w:val="none" w:sz="0" w:space="0" w:color="auto"/>
            <w:bottom w:val="none" w:sz="0" w:space="0" w:color="auto"/>
            <w:right w:val="none" w:sz="0" w:space="0" w:color="auto"/>
          </w:divBdr>
        </w:div>
        <w:div w:id="1704675531">
          <w:marLeft w:val="0"/>
          <w:marRight w:val="0"/>
          <w:marTop w:val="0"/>
          <w:marBottom w:val="150"/>
          <w:divBdr>
            <w:top w:val="none" w:sz="0" w:space="0" w:color="auto"/>
            <w:left w:val="none" w:sz="0" w:space="0" w:color="auto"/>
            <w:bottom w:val="none" w:sz="0" w:space="0" w:color="auto"/>
            <w:right w:val="none" w:sz="0" w:space="0" w:color="auto"/>
          </w:divBdr>
          <w:divsChild>
            <w:div w:id="68822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8621">
      <w:bodyDiv w:val="1"/>
      <w:marLeft w:val="0"/>
      <w:marRight w:val="0"/>
      <w:marTop w:val="0"/>
      <w:marBottom w:val="0"/>
      <w:divBdr>
        <w:top w:val="none" w:sz="0" w:space="0" w:color="auto"/>
        <w:left w:val="none" w:sz="0" w:space="0" w:color="auto"/>
        <w:bottom w:val="none" w:sz="0" w:space="0" w:color="auto"/>
        <w:right w:val="none" w:sz="0" w:space="0" w:color="auto"/>
      </w:divBdr>
      <w:divsChild>
        <w:div w:id="33114930">
          <w:marLeft w:val="0"/>
          <w:marRight w:val="0"/>
          <w:marTop w:val="0"/>
          <w:marBottom w:val="0"/>
          <w:divBdr>
            <w:top w:val="none" w:sz="0" w:space="0" w:color="auto"/>
            <w:left w:val="none" w:sz="0" w:space="0" w:color="auto"/>
            <w:bottom w:val="dotted" w:sz="6" w:space="4" w:color="DDDDDD"/>
            <w:right w:val="none" w:sz="0" w:space="0" w:color="auto"/>
          </w:divBdr>
        </w:div>
      </w:divsChild>
    </w:div>
    <w:div w:id="1709380102">
      <w:bodyDiv w:val="1"/>
      <w:marLeft w:val="0"/>
      <w:marRight w:val="0"/>
      <w:marTop w:val="0"/>
      <w:marBottom w:val="0"/>
      <w:divBdr>
        <w:top w:val="none" w:sz="0" w:space="0" w:color="auto"/>
        <w:left w:val="none" w:sz="0" w:space="0" w:color="auto"/>
        <w:bottom w:val="none" w:sz="0" w:space="0" w:color="auto"/>
        <w:right w:val="none" w:sz="0" w:space="0" w:color="auto"/>
      </w:divBdr>
      <w:divsChild>
        <w:div w:id="396899281">
          <w:marLeft w:val="0"/>
          <w:marRight w:val="0"/>
          <w:marTop w:val="0"/>
          <w:marBottom w:val="150"/>
          <w:divBdr>
            <w:top w:val="none" w:sz="0" w:space="0" w:color="auto"/>
            <w:left w:val="none" w:sz="0" w:space="0" w:color="auto"/>
            <w:bottom w:val="none" w:sz="0" w:space="0" w:color="auto"/>
            <w:right w:val="none" w:sz="0" w:space="0" w:color="auto"/>
          </w:divBdr>
        </w:div>
        <w:div w:id="1967734926">
          <w:marLeft w:val="0"/>
          <w:marRight w:val="0"/>
          <w:marTop w:val="0"/>
          <w:marBottom w:val="150"/>
          <w:divBdr>
            <w:top w:val="none" w:sz="0" w:space="0" w:color="auto"/>
            <w:left w:val="none" w:sz="0" w:space="0" w:color="auto"/>
            <w:bottom w:val="none" w:sz="0" w:space="0" w:color="auto"/>
            <w:right w:val="none" w:sz="0" w:space="0" w:color="auto"/>
          </w:divBdr>
          <w:divsChild>
            <w:div w:id="157150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3203">
      <w:bodyDiv w:val="1"/>
      <w:marLeft w:val="0"/>
      <w:marRight w:val="0"/>
      <w:marTop w:val="0"/>
      <w:marBottom w:val="0"/>
      <w:divBdr>
        <w:top w:val="none" w:sz="0" w:space="0" w:color="auto"/>
        <w:left w:val="none" w:sz="0" w:space="0" w:color="auto"/>
        <w:bottom w:val="none" w:sz="0" w:space="0" w:color="auto"/>
        <w:right w:val="none" w:sz="0" w:space="0" w:color="auto"/>
      </w:divBdr>
      <w:divsChild>
        <w:div w:id="1060254776">
          <w:marLeft w:val="0"/>
          <w:marRight w:val="0"/>
          <w:marTop w:val="0"/>
          <w:marBottom w:val="0"/>
          <w:divBdr>
            <w:top w:val="none" w:sz="0" w:space="0" w:color="auto"/>
            <w:left w:val="none" w:sz="0" w:space="0" w:color="auto"/>
            <w:bottom w:val="none" w:sz="0" w:space="0" w:color="auto"/>
            <w:right w:val="none" w:sz="0" w:space="0" w:color="auto"/>
          </w:divBdr>
        </w:div>
        <w:div w:id="2032828323">
          <w:marLeft w:val="0"/>
          <w:marRight w:val="0"/>
          <w:marTop w:val="0"/>
          <w:marBottom w:val="150"/>
          <w:divBdr>
            <w:top w:val="none" w:sz="0" w:space="0" w:color="auto"/>
            <w:left w:val="none" w:sz="0" w:space="0" w:color="auto"/>
            <w:bottom w:val="none" w:sz="0" w:space="0" w:color="auto"/>
            <w:right w:val="none" w:sz="0" w:space="0" w:color="auto"/>
          </w:divBdr>
        </w:div>
      </w:divsChild>
    </w:div>
    <w:div w:id="1709989688">
      <w:bodyDiv w:val="1"/>
      <w:marLeft w:val="0"/>
      <w:marRight w:val="0"/>
      <w:marTop w:val="0"/>
      <w:marBottom w:val="0"/>
      <w:divBdr>
        <w:top w:val="none" w:sz="0" w:space="0" w:color="auto"/>
        <w:left w:val="none" w:sz="0" w:space="0" w:color="auto"/>
        <w:bottom w:val="none" w:sz="0" w:space="0" w:color="auto"/>
        <w:right w:val="none" w:sz="0" w:space="0" w:color="auto"/>
      </w:divBdr>
      <w:divsChild>
        <w:div w:id="1405954678">
          <w:marLeft w:val="0"/>
          <w:marRight w:val="0"/>
          <w:marTop w:val="0"/>
          <w:marBottom w:val="150"/>
          <w:divBdr>
            <w:top w:val="none" w:sz="0" w:space="0" w:color="auto"/>
            <w:left w:val="none" w:sz="0" w:space="0" w:color="auto"/>
            <w:bottom w:val="none" w:sz="0" w:space="0" w:color="auto"/>
            <w:right w:val="none" w:sz="0" w:space="0" w:color="auto"/>
          </w:divBdr>
          <w:divsChild>
            <w:div w:id="1777405618">
              <w:marLeft w:val="0"/>
              <w:marRight w:val="0"/>
              <w:marTop w:val="0"/>
              <w:marBottom w:val="0"/>
              <w:divBdr>
                <w:top w:val="none" w:sz="0" w:space="0" w:color="auto"/>
                <w:left w:val="none" w:sz="0" w:space="0" w:color="auto"/>
                <w:bottom w:val="none" w:sz="0" w:space="0" w:color="auto"/>
                <w:right w:val="none" w:sz="0" w:space="0" w:color="auto"/>
              </w:divBdr>
              <w:divsChild>
                <w:div w:id="2050912140">
                  <w:marLeft w:val="0"/>
                  <w:marRight w:val="0"/>
                  <w:marTop w:val="0"/>
                  <w:marBottom w:val="0"/>
                  <w:divBdr>
                    <w:top w:val="none" w:sz="0" w:space="0" w:color="auto"/>
                    <w:left w:val="none" w:sz="0" w:space="0" w:color="auto"/>
                    <w:bottom w:val="none" w:sz="0" w:space="0" w:color="auto"/>
                    <w:right w:val="none" w:sz="0" w:space="0" w:color="auto"/>
                  </w:divBdr>
                  <w:divsChild>
                    <w:div w:id="893588938">
                      <w:marLeft w:val="0"/>
                      <w:marRight w:val="150"/>
                      <w:marTop w:val="0"/>
                      <w:marBottom w:val="0"/>
                      <w:divBdr>
                        <w:top w:val="none" w:sz="0" w:space="0" w:color="auto"/>
                        <w:left w:val="none" w:sz="0" w:space="0" w:color="auto"/>
                        <w:bottom w:val="none" w:sz="0" w:space="0" w:color="auto"/>
                        <w:right w:val="none" w:sz="0" w:space="0" w:color="auto"/>
                      </w:divBdr>
                      <w:divsChild>
                        <w:div w:id="55142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152542">
          <w:marLeft w:val="0"/>
          <w:marRight w:val="0"/>
          <w:marTop w:val="0"/>
          <w:marBottom w:val="150"/>
          <w:divBdr>
            <w:top w:val="none" w:sz="0" w:space="0" w:color="auto"/>
            <w:left w:val="none" w:sz="0" w:space="0" w:color="auto"/>
            <w:bottom w:val="none" w:sz="0" w:space="0" w:color="auto"/>
            <w:right w:val="none" w:sz="0" w:space="0" w:color="auto"/>
          </w:divBdr>
        </w:div>
        <w:div w:id="759639906">
          <w:marLeft w:val="0"/>
          <w:marRight w:val="0"/>
          <w:marTop w:val="0"/>
          <w:marBottom w:val="0"/>
          <w:divBdr>
            <w:top w:val="none" w:sz="0" w:space="0" w:color="auto"/>
            <w:left w:val="none" w:sz="0" w:space="0" w:color="auto"/>
            <w:bottom w:val="none" w:sz="0" w:space="0" w:color="auto"/>
            <w:right w:val="none" w:sz="0" w:space="0" w:color="auto"/>
          </w:divBdr>
          <w:divsChild>
            <w:div w:id="159805752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10033632">
      <w:bodyDiv w:val="1"/>
      <w:marLeft w:val="0"/>
      <w:marRight w:val="0"/>
      <w:marTop w:val="0"/>
      <w:marBottom w:val="0"/>
      <w:divBdr>
        <w:top w:val="none" w:sz="0" w:space="0" w:color="auto"/>
        <w:left w:val="none" w:sz="0" w:space="0" w:color="auto"/>
        <w:bottom w:val="none" w:sz="0" w:space="0" w:color="auto"/>
        <w:right w:val="none" w:sz="0" w:space="0" w:color="auto"/>
      </w:divBdr>
    </w:div>
    <w:div w:id="1710297898">
      <w:bodyDiv w:val="1"/>
      <w:marLeft w:val="0"/>
      <w:marRight w:val="0"/>
      <w:marTop w:val="0"/>
      <w:marBottom w:val="0"/>
      <w:divBdr>
        <w:top w:val="none" w:sz="0" w:space="0" w:color="auto"/>
        <w:left w:val="none" w:sz="0" w:space="0" w:color="auto"/>
        <w:bottom w:val="none" w:sz="0" w:space="0" w:color="auto"/>
        <w:right w:val="none" w:sz="0" w:space="0" w:color="auto"/>
      </w:divBdr>
      <w:divsChild>
        <w:div w:id="292097831">
          <w:marLeft w:val="0"/>
          <w:marRight w:val="0"/>
          <w:marTop w:val="0"/>
          <w:marBottom w:val="0"/>
          <w:divBdr>
            <w:top w:val="none" w:sz="0" w:space="0" w:color="auto"/>
            <w:left w:val="none" w:sz="0" w:space="0" w:color="auto"/>
            <w:bottom w:val="dotted" w:sz="6" w:space="4" w:color="DDDDDD"/>
            <w:right w:val="none" w:sz="0" w:space="0" w:color="auto"/>
          </w:divBdr>
          <w:divsChild>
            <w:div w:id="202377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09788">
      <w:bodyDiv w:val="1"/>
      <w:marLeft w:val="0"/>
      <w:marRight w:val="0"/>
      <w:marTop w:val="0"/>
      <w:marBottom w:val="0"/>
      <w:divBdr>
        <w:top w:val="none" w:sz="0" w:space="0" w:color="auto"/>
        <w:left w:val="none" w:sz="0" w:space="0" w:color="auto"/>
        <w:bottom w:val="none" w:sz="0" w:space="0" w:color="auto"/>
        <w:right w:val="none" w:sz="0" w:space="0" w:color="auto"/>
      </w:divBdr>
      <w:divsChild>
        <w:div w:id="1701512385">
          <w:marLeft w:val="0"/>
          <w:marRight w:val="0"/>
          <w:marTop w:val="0"/>
          <w:marBottom w:val="0"/>
          <w:divBdr>
            <w:top w:val="none" w:sz="0" w:space="0" w:color="auto"/>
            <w:left w:val="none" w:sz="0" w:space="0" w:color="auto"/>
            <w:bottom w:val="none" w:sz="0" w:space="0" w:color="auto"/>
            <w:right w:val="none" w:sz="0" w:space="0" w:color="auto"/>
          </w:divBdr>
        </w:div>
      </w:divsChild>
    </w:div>
    <w:div w:id="1710957334">
      <w:bodyDiv w:val="1"/>
      <w:marLeft w:val="0"/>
      <w:marRight w:val="0"/>
      <w:marTop w:val="0"/>
      <w:marBottom w:val="0"/>
      <w:divBdr>
        <w:top w:val="none" w:sz="0" w:space="0" w:color="auto"/>
        <w:left w:val="none" w:sz="0" w:space="0" w:color="auto"/>
        <w:bottom w:val="none" w:sz="0" w:space="0" w:color="auto"/>
        <w:right w:val="none" w:sz="0" w:space="0" w:color="auto"/>
      </w:divBdr>
      <w:divsChild>
        <w:div w:id="245113130">
          <w:marLeft w:val="0"/>
          <w:marRight w:val="0"/>
          <w:marTop w:val="0"/>
          <w:marBottom w:val="0"/>
          <w:divBdr>
            <w:top w:val="none" w:sz="0" w:space="0" w:color="auto"/>
            <w:left w:val="none" w:sz="0" w:space="0" w:color="auto"/>
            <w:bottom w:val="none" w:sz="0" w:space="0" w:color="auto"/>
            <w:right w:val="none" w:sz="0" w:space="0" w:color="auto"/>
          </w:divBdr>
          <w:divsChild>
            <w:div w:id="1823081779">
              <w:marLeft w:val="0"/>
              <w:marRight w:val="0"/>
              <w:marTop w:val="0"/>
              <w:marBottom w:val="0"/>
              <w:divBdr>
                <w:top w:val="none" w:sz="0" w:space="0" w:color="auto"/>
                <w:left w:val="none" w:sz="0" w:space="0" w:color="auto"/>
                <w:bottom w:val="none" w:sz="0" w:space="0" w:color="auto"/>
                <w:right w:val="none" w:sz="0" w:space="0" w:color="auto"/>
              </w:divBdr>
              <w:divsChild>
                <w:div w:id="815561452">
                  <w:marLeft w:val="0"/>
                  <w:marRight w:val="0"/>
                  <w:marTop w:val="0"/>
                  <w:marBottom w:val="0"/>
                  <w:divBdr>
                    <w:top w:val="none" w:sz="0" w:space="0" w:color="auto"/>
                    <w:left w:val="none" w:sz="0" w:space="0" w:color="auto"/>
                    <w:bottom w:val="none" w:sz="0" w:space="0" w:color="auto"/>
                    <w:right w:val="none" w:sz="0" w:space="0" w:color="auto"/>
                  </w:divBdr>
                  <w:divsChild>
                    <w:div w:id="587806718">
                      <w:marLeft w:val="0"/>
                      <w:marRight w:val="0"/>
                      <w:marTop w:val="0"/>
                      <w:marBottom w:val="0"/>
                      <w:divBdr>
                        <w:top w:val="none" w:sz="0" w:space="0" w:color="auto"/>
                        <w:left w:val="none" w:sz="0" w:space="0" w:color="auto"/>
                        <w:bottom w:val="none" w:sz="0" w:space="0" w:color="auto"/>
                        <w:right w:val="none" w:sz="0" w:space="0" w:color="auto"/>
                      </w:divBdr>
                      <w:divsChild>
                        <w:div w:id="1716856425">
                          <w:marLeft w:val="0"/>
                          <w:marRight w:val="0"/>
                          <w:marTop w:val="0"/>
                          <w:marBottom w:val="0"/>
                          <w:divBdr>
                            <w:top w:val="none" w:sz="0" w:space="0" w:color="auto"/>
                            <w:left w:val="none" w:sz="0" w:space="0" w:color="auto"/>
                            <w:bottom w:val="none" w:sz="0" w:space="0" w:color="auto"/>
                            <w:right w:val="none" w:sz="0" w:space="0" w:color="auto"/>
                          </w:divBdr>
                          <w:divsChild>
                            <w:div w:id="1201824214">
                              <w:marLeft w:val="0"/>
                              <w:marRight w:val="0"/>
                              <w:marTop w:val="0"/>
                              <w:marBottom w:val="0"/>
                              <w:divBdr>
                                <w:top w:val="none" w:sz="0" w:space="0" w:color="auto"/>
                                <w:left w:val="none" w:sz="0" w:space="0" w:color="auto"/>
                                <w:bottom w:val="none" w:sz="0" w:space="0" w:color="auto"/>
                                <w:right w:val="none" w:sz="0" w:space="0" w:color="auto"/>
                              </w:divBdr>
                              <w:divsChild>
                                <w:div w:id="1164853775">
                                  <w:marLeft w:val="0"/>
                                  <w:marRight w:val="0"/>
                                  <w:marTop w:val="0"/>
                                  <w:marBottom w:val="0"/>
                                  <w:divBdr>
                                    <w:top w:val="none" w:sz="0" w:space="0" w:color="auto"/>
                                    <w:left w:val="none" w:sz="0" w:space="0" w:color="auto"/>
                                    <w:bottom w:val="none" w:sz="0" w:space="0" w:color="auto"/>
                                    <w:right w:val="none" w:sz="0" w:space="0" w:color="auto"/>
                                  </w:divBdr>
                                  <w:divsChild>
                                    <w:div w:id="46670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1219135">
      <w:bodyDiv w:val="1"/>
      <w:marLeft w:val="0"/>
      <w:marRight w:val="0"/>
      <w:marTop w:val="0"/>
      <w:marBottom w:val="0"/>
      <w:divBdr>
        <w:top w:val="none" w:sz="0" w:space="0" w:color="auto"/>
        <w:left w:val="none" w:sz="0" w:space="0" w:color="auto"/>
        <w:bottom w:val="none" w:sz="0" w:space="0" w:color="auto"/>
        <w:right w:val="none" w:sz="0" w:space="0" w:color="auto"/>
      </w:divBdr>
      <w:divsChild>
        <w:div w:id="347752729">
          <w:marLeft w:val="0"/>
          <w:marRight w:val="0"/>
          <w:marTop w:val="0"/>
          <w:marBottom w:val="0"/>
          <w:divBdr>
            <w:top w:val="none" w:sz="0" w:space="0" w:color="auto"/>
            <w:left w:val="none" w:sz="0" w:space="0" w:color="auto"/>
            <w:bottom w:val="dotted" w:sz="6" w:space="4" w:color="DDDDDD"/>
            <w:right w:val="none" w:sz="0" w:space="0" w:color="auto"/>
          </w:divBdr>
        </w:div>
      </w:divsChild>
    </w:div>
    <w:div w:id="1711412991">
      <w:bodyDiv w:val="1"/>
      <w:marLeft w:val="0"/>
      <w:marRight w:val="0"/>
      <w:marTop w:val="0"/>
      <w:marBottom w:val="0"/>
      <w:divBdr>
        <w:top w:val="none" w:sz="0" w:space="0" w:color="auto"/>
        <w:left w:val="none" w:sz="0" w:space="0" w:color="auto"/>
        <w:bottom w:val="none" w:sz="0" w:space="0" w:color="auto"/>
        <w:right w:val="none" w:sz="0" w:space="0" w:color="auto"/>
      </w:divBdr>
      <w:divsChild>
        <w:div w:id="116801046">
          <w:marLeft w:val="0"/>
          <w:marRight w:val="0"/>
          <w:marTop w:val="0"/>
          <w:marBottom w:val="150"/>
          <w:divBdr>
            <w:top w:val="none" w:sz="0" w:space="0" w:color="auto"/>
            <w:left w:val="none" w:sz="0" w:space="0" w:color="auto"/>
            <w:bottom w:val="none" w:sz="0" w:space="0" w:color="auto"/>
            <w:right w:val="none" w:sz="0" w:space="0" w:color="auto"/>
          </w:divBdr>
        </w:div>
        <w:div w:id="547424650">
          <w:marLeft w:val="0"/>
          <w:marRight w:val="0"/>
          <w:marTop w:val="0"/>
          <w:marBottom w:val="150"/>
          <w:divBdr>
            <w:top w:val="none" w:sz="0" w:space="0" w:color="auto"/>
            <w:left w:val="none" w:sz="0" w:space="0" w:color="auto"/>
            <w:bottom w:val="none" w:sz="0" w:space="0" w:color="auto"/>
            <w:right w:val="none" w:sz="0" w:space="0" w:color="auto"/>
          </w:divBdr>
          <w:divsChild>
            <w:div w:id="1346206626">
              <w:marLeft w:val="0"/>
              <w:marRight w:val="0"/>
              <w:marTop w:val="0"/>
              <w:marBottom w:val="0"/>
              <w:divBdr>
                <w:top w:val="none" w:sz="0" w:space="0" w:color="auto"/>
                <w:left w:val="none" w:sz="0" w:space="0" w:color="auto"/>
                <w:bottom w:val="none" w:sz="0" w:space="0" w:color="auto"/>
                <w:right w:val="none" w:sz="0" w:space="0" w:color="auto"/>
              </w:divBdr>
              <w:divsChild>
                <w:div w:id="1107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459786">
          <w:marLeft w:val="0"/>
          <w:marRight w:val="0"/>
          <w:marTop w:val="0"/>
          <w:marBottom w:val="0"/>
          <w:divBdr>
            <w:top w:val="none" w:sz="0" w:space="0" w:color="auto"/>
            <w:left w:val="none" w:sz="0" w:space="0" w:color="auto"/>
            <w:bottom w:val="none" w:sz="0" w:space="0" w:color="auto"/>
            <w:right w:val="none" w:sz="0" w:space="0" w:color="auto"/>
          </w:divBdr>
          <w:divsChild>
            <w:div w:id="4507806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11539941">
      <w:bodyDiv w:val="1"/>
      <w:marLeft w:val="0"/>
      <w:marRight w:val="0"/>
      <w:marTop w:val="0"/>
      <w:marBottom w:val="0"/>
      <w:divBdr>
        <w:top w:val="none" w:sz="0" w:space="0" w:color="auto"/>
        <w:left w:val="none" w:sz="0" w:space="0" w:color="auto"/>
        <w:bottom w:val="none" w:sz="0" w:space="0" w:color="auto"/>
        <w:right w:val="none" w:sz="0" w:space="0" w:color="auto"/>
      </w:divBdr>
      <w:divsChild>
        <w:div w:id="1383596608">
          <w:marLeft w:val="0"/>
          <w:marRight w:val="0"/>
          <w:marTop w:val="0"/>
          <w:marBottom w:val="0"/>
          <w:divBdr>
            <w:top w:val="none" w:sz="0" w:space="0" w:color="auto"/>
            <w:left w:val="none" w:sz="0" w:space="0" w:color="auto"/>
            <w:bottom w:val="none" w:sz="0" w:space="0" w:color="auto"/>
            <w:right w:val="none" w:sz="0" w:space="0" w:color="auto"/>
          </w:divBdr>
          <w:divsChild>
            <w:div w:id="614213130">
              <w:marLeft w:val="0"/>
              <w:marRight w:val="0"/>
              <w:marTop w:val="0"/>
              <w:marBottom w:val="0"/>
              <w:divBdr>
                <w:top w:val="none" w:sz="0" w:space="0" w:color="auto"/>
                <w:left w:val="none" w:sz="0" w:space="0" w:color="auto"/>
                <w:bottom w:val="none" w:sz="0" w:space="0" w:color="auto"/>
                <w:right w:val="none" w:sz="0" w:space="0" w:color="auto"/>
              </w:divBdr>
              <w:divsChild>
                <w:div w:id="993220859">
                  <w:marLeft w:val="0"/>
                  <w:marRight w:val="0"/>
                  <w:marTop w:val="0"/>
                  <w:marBottom w:val="0"/>
                  <w:divBdr>
                    <w:top w:val="none" w:sz="0" w:space="0" w:color="auto"/>
                    <w:left w:val="none" w:sz="0" w:space="0" w:color="auto"/>
                    <w:bottom w:val="none" w:sz="0" w:space="0" w:color="auto"/>
                    <w:right w:val="none" w:sz="0" w:space="0" w:color="auto"/>
                  </w:divBdr>
                  <w:divsChild>
                    <w:div w:id="1296643127">
                      <w:marLeft w:val="0"/>
                      <w:marRight w:val="0"/>
                      <w:marTop w:val="0"/>
                      <w:marBottom w:val="300"/>
                      <w:divBdr>
                        <w:top w:val="none" w:sz="0" w:space="0" w:color="auto"/>
                        <w:left w:val="none" w:sz="0" w:space="0" w:color="auto"/>
                        <w:bottom w:val="none" w:sz="0" w:space="0" w:color="auto"/>
                        <w:right w:val="none" w:sz="0" w:space="0" w:color="auto"/>
                      </w:divBdr>
                      <w:divsChild>
                        <w:div w:id="1031420774">
                          <w:marLeft w:val="0"/>
                          <w:marRight w:val="0"/>
                          <w:marTop w:val="0"/>
                          <w:marBottom w:val="225"/>
                          <w:divBdr>
                            <w:top w:val="single" w:sz="6" w:space="11" w:color="E5E5E5"/>
                            <w:left w:val="single" w:sz="6" w:space="11" w:color="E5E5E5"/>
                            <w:bottom w:val="single" w:sz="6" w:space="1" w:color="E5E5E5"/>
                            <w:right w:val="single" w:sz="6" w:space="11" w:color="E5E5E5"/>
                          </w:divBdr>
                          <w:divsChild>
                            <w:div w:id="83356839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583025147">
          <w:marLeft w:val="0"/>
          <w:marRight w:val="0"/>
          <w:marTop w:val="0"/>
          <w:marBottom w:val="0"/>
          <w:divBdr>
            <w:top w:val="single" w:sz="6" w:space="0" w:color="E5E5E5"/>
            <w:left w:val="none" w:sz="0" w:space="0" w:color="auto"/>
            <w:bottom w:val="single" w:sz="18" w:space="0" w:color="000000"/>
            <w:right w:val="none" w:sz="0" w:space="0" w:color="auto"/>
          </w:divBdr>
          <w:divsChild>
            <w:div w:id="2041078730">
              <w:marLeft w:val="0"/>
              <w:marRight w:val="0"/>
              <w:marTop w:val="0"/>
              <w:marBottom w:val="0"/>
              <w:divBdr>
                <w:top w:val="none" w:sz="0" w:space="0" w:color="auto"/>
                <w:left w:val="none" w:sz="0" w:space="0" w:color="auto"/>
                <w:bottom w:val="none" w:sz="0" w:space="0" w:color="auto"/>
                <w:right w:val="none" w:sz="0" w:space="0" w:color="auto"/>
              </w:divBdr>
              <w:divsChild>
                <w:div w:id="191281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612954">
      <w:bodyDiv w:val="1"/>
      <w:marLeft w:val="0"/>
      <w:marRight w:val="0"/>
      <w:marTop w:val="0"/>
      <w:marBottom w:val="0"/>
      <w:divBdr>
        <w:top w:val="none" w:sz="0" w:space="0" w:color="auto"/>
        <w:left w:val="none" w:sz="0" w:space="0" w:color="auto"/>
        <w:bottom w:val="none" w:sz="0" w:space="0" w:color="auto"/>
        <w:right w:val="none" w:sz="0" w:space="0" w:color="auto"/>
      </w:divBdr>
      <w:divsChild>
        <w:div w:id="140998427">
          <w:marLeft w:val="0"/>
          <w:marRight w:val="0"/>
          <w:marTop w:val="0"/>
          <w:marBottom w:val="0"/>
          <w:divBdr>
            <w:top w:val="none" w:sz="0" w:space="0" w:color="auto"/>
            <w:left w:val="none" w:sz="0" w:space="0" w:color="auto"/>
            <w:bottom w:val="none" w:sz="0" w:space="0" w:color="auto"/>
            <w:right w:val="none" w:sz="0" w:space="0" w:color="auto"/>
          </w:divBdr>
          <w:divsChild>
            <w:div w:id="853418810">
              <w:marLeft w:val="0"/>
              <w:marRight w:val="0"/>
              <w:marTop w:val="0"/>
              <w:marBottom w:val="0"/>
              <w:divBdr>
                <w:top w:val="none" w:sz="0" w:space="0" w:color="auto"/>
                <w:left w:val="none" w:sz="0" w:space="0" w:color="auto"/>
                <w:bottom w:val="none" w:sz="0" w:space="0" w:color="auto"/>
                <w:right w:val="none" w:sz="0" w:space="0" w:color="auto"/>
              </w:divBdr>
              <w:divsChild>
                <w:div w:id="87770682">
                  <w:marLeft w:val="0"/>
                  <w:marRight w:val="0"/>
                  <w:marTop w:val="0"/>
                  <w:marBottom w:val="0"/>
                  <w:divBdr>
                    <w:top w:val="none" w:sz="0" w:space="0" w:color="auto"/>
                    <w:left w:val="none" w:sz="0" w:space="0" w:color="auto"/>
                    <w:bottom w:val="none" w:sz="0" w:space="0" w:color="auto"/>
                    <w:right w:val="none" w:sz="0" w:space="0" w:color="auto"/>
                  </w:divBdr>
                  <w:divsChild>
                    <w:div w:id="1860895878">
                      <w:marLeft w:val="0"/>
                      <w:marRight w:val="0"/>
                      <w:marTop w:val="0"/>
                      <w:marBottom w:val="0"/>
                      <w:divBdr>
                        <w:top w:val="none" w:sz="0" w:space="0" w:color="auto"/>
                        <w:left w:val="none" w:sz="0" w:space="0" w:color="auto"/>
                        <w:bottom w:val="none" w:sz="0" w:space="0" w:color="auto"/>
                        <w:right w:val="none" w:sz="0" w:space="0" w:color="auto"/>
                      </w:divBdr>
                      <w:divsChild>
                        <w:div w:id="1434403464">
                          <w:marLeft w:val="0"/>
                          <w:marRight w:val="0"/>
                          <w:marTop w:val="0"/>
                          <w:marBottom w:val="0"/>
                          <w:divBdr>
                            <w:top w:val="none" w:sz="0" w:space="0" w:color="auto"/>
                            <w:left w:val="none" w:sz="0" w:space="0" w:color="auto"/>
                            <w:bottom w:val="none" w:sz="0" w:space="0" w:color="auto"/>
                            <w:right w:val="none" w:sz="0" w:space="0" w:color="auto"/>
                          </w:divBdr>
                          <w:divsChild>
                            <w:div w:id="1249148352">
                              <w:marLeft w:val="0"/>
                              <w:marRight w:val="0"/>
                              <w:marTop w:val="0"/>
                              <w:marBottom w:val="0"/>
                              <w:divBdr>
                                <w:top w:val="none" w:sz="0" w:space="0" w:color="auto"/>
                                <w:left w:val="none" w:sz="0" w:space="0" w:color="auto"/>
                                <w:bottom w:val="none" w:sz="0" w:space="0" w:color="auto"/>
                                <w:right w:val="none" w:sz="0" w:space="0" w:color="auto"/>
                              </w:divBdr>
                              <w:divsChild>
                                <w:div w:id="529536547">
                                  <w:marLeft w:val="0"/>
                                  <w:marRight w:val="0"/>
                                  <w:marTop w:val="0"/>
                                  <w:marBottom w:val="0"/>
                                  <w:divBdr>
                                    <w:top w:val="none" w:sz="0" w:space="0" w:color="auto"/>
                                    <w:left w:val="none" w:sz="0" w:space="0" w:color="auto"/>
                                    <w:bottom w:val="none" w:sz="0" w:space="0" w:color="auto"/>
                                    <w:right w:val="none" w:sz="0" w:space="0" w:color="auto"/>
                                  </w:divBdr>
                                  <w:divsChild>
                                    <w:div w:id="166582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070605">
      <w:bodyDiv w:val="1"/>
      <w:marLeft w:val="0"/>
      <w:marRight w:val="0"/>
      <w:marTop w:val="0"/>
      <w:marBottom w:val="0"/>
      <w:divBdr>
        <w:top w:val="none" w:sz="0" w:space="0" w:color="auto"/>
        <w:left w:val="none" w:sz="0" w:space="0" w:color="auto"/>
        <w:bottom w:val="none" w:sz="0" w:space="0" w:color="auto"/>
        <w:right w:val="none" w:sz="0" w:space="0" w:color="auto"/>
      </w:divBdr>
      <w:divsChild>
        <w:div w:id="2089115727">
          <w:marLeft w:val="0"/>
          <w:marRight w:val="0"/>
          <w:marTop w:val="0"/>
          <w:marBottom w:val="0"/>
          <w:divBdr>
            <w:top w:val="none" w:sz="0" w:space="0" w:color="auto"/>
            <w:left w:val="none" w:sz="0" w:space="0" w:color="auto"/>
            <w:bottom w:val="none" w:sz="0" w:space="0" w:color="auto"/>
            <w:right w:val="none" w:sz="0" w:space="0" w:color="auto"/>
          </w:divBdr>
          <w:divsChild>
            <w:div w:id="461001063">
              <w:marLeft w:val="0"/>
              <w:marRight w:val="0"/>
              <w:marTop w:val="0"/>
              <w:marBottom w:val="0"/>
              <w:divBdr>
                <w:top w:val="none" w:sz="0" w:space="0" w:color="auto"/>
                <w:left w:val="none" w:sz="0" w:space="0" w:color="auto"/>
                <w:bottom w:val="none" w:sz="0" w:space="0" w:color="auto"/>
                <w:right w:val="none" w:sz="0" w:space="0" w:color="auto"/>
              </w:divBdr>
              <w:divsChild>
                <w:div w:id="579752643">
                  <w:marLeft w:val="0"/>
                  <w:marRight w:val="0"/>
                  <w:marTop w:val="0"/>
                  <w:marBottom w:val="0"/>
                  <w:divBdr>
                    <w:top w:val="none" w:sz="0" w:space="0" w:color="auto"/>
                    <w:left w:val="none" w:sz="0" w:space="0" w:color="auto"/>
                    <w:bottom w:val="none" w:sz="0" w:space="0" w:color="auto"/>
                    <w:right w:val="none" w:sz="0" w:space="0" w:color="auto"/>
                  </w:divBdr>
                  <w:divsChild>
                    <w:div w:id="152064694">
                      <w:marLeft w:val="0"/>
                      <w:marRight w:val="0"/>
                      <w:marTop w:val="0"/>
                      <w:marBottom w:val="0"/>
                      <w:divBdr>
                        <w:top w:val="none" w:sz="0" w:space="0" w:color="auto"/>
                        <w:left w:val="none" w:sz="0" w:space="0" w:color="auto"/>
                        <w:bottom w:val="none" w:sz="0" w:space="0" w:color="auto"/>
                        <w:right w:val="none" w:sz="0" w:space="0" w:color="auto"/>
                      </w:divBdr>
                      <w:divsChild>
                        <w:div w:id="1857496871">
                          <w:marLeft w:val="0"/>
                          <w:marRight w:val="0"/>
                          <w:marTop w:val="0"/>
                          <w:marBottom w:val="0"/>
                          <w:divBdr>
                            <w:top w:val="none" w:sz="0" w:space="0" w:color="auto"/>
                            <w:left w:val="none" w:sz="0" w:space="0" w:color="auto"/>
                            <w:bottom w:val="none" w:sz="0" w:space="0" w:color="auto"/>
                            <w:right w:val="none" w:sz="0" w:space="0" w:color="auto"/>
                          </w:divBdr>
                          <w:divsChild>
                            <w:div w:id="887447898">
                              <w:marLeft w:val="0"/>
                              <w:marRight w:val="0"/>
                              <w:marTop w:val="0"/>
                              <w:marBottom w:val="0"/>
                              <w:divBdr>
                                <w:top w:val="none" w:sz="0" w:space="0" w:color="auto"/>
                                <w:left w:val="none" w:sz="0" w:space="0" w:color="auto"/>
                                <w:bottom w:val="none" w:sz="0" w:space="0" w:color="auto"/>
                                <w:right w:val="none" w:sz="0" w:space="0" w:color="auto"/>
                              </w:divBdr>
                              <w:divsChild>
                                <w:div w:id="61485167">
                                  <w:marLeft w:val="0"/>
                                  <w:marRight w:val="0"/>
                                  <w:marTop w:val="0"/>
                                  <w:marBottom w:val="0"/>
                                  <w:divBdr>
                                    <w:top w:val="none" w:sz="0" w:space="0" w:color="auto"/>
                                    <w:left w:val="none" w:sz="0" w:space="0" w:color="auto"/>
                                    <w:bottom w:val="none" w:sz="0" w:space="0" w:color="auto"/>
                                    <w:right w:val="none" w:sz="0" w:space="0" w:color="auto"/>
                                  </w:divBdr>
                                  <w:divsChild>
                                    <w:div w:id="460223202">
                                      <w:marLeft w:val="0"/>
                                      <w:marRight w:val="0"/>
                                      <w:marTop w:val="0"/>
                                      <w:marBottom w:val="0"/>
                                      <w:divBdr>
                                        <w:top w:val="none" w:sz="0" w:space="0" w:color="auto"/>
                                        <w:left w:val="none" w:sz="0" w:space="0" w:color="auto"/>
                                        <w:bottom w:val="none" w:sz="0" w:space="0" w:color="auto"/>
                                        <w:right w:val="none" w:sz="0" w:space="0" w:color="auto"/>
                                      </w:divBdr>
                                      <w:divsChild>
                                        <w:div w:id="128111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225609">
      <w:bodyDiv w:val="1"/>
      <w:marLeft w:val="0"/>
      <w:marRight w:val="0"/>
      <w:marTop w:val="0"/>
      <w:marBottom w:val="0"/>
      <w:divBdr>
        <w:top w:val="none" w:sz="0" w:space="0" w:color="auto"/>
        <w:left w:val="none" w:sz="0" w:space="0" w:color="auto"/>
        <w:bottom w:val="none" w:sz="0" w:space="0" w:color="auto"/>
        <w:right w:val="none" w:sz="0" w:space="0" w:color="auto"/>
      </w:divBdr>
    </w:div>
    <w:div w:id="1712612123">
      <w:bodyDiv w:val="1"/>
      <w:marLeft w:val="0"/>
      <w:marRight w:val="0"/>
      <w:marTop w:val="0"/>
      <w:marBottom w:val="0"/>
      <w:divBdr>
        <w:top w:val="none" w:sz="0" w:space="0" w:color="auto"/>
        <w:left w:val="none" w:sz="0" w:space="0" w:color="auto"/>
        <w:bottom w:val="none" w:sz="0" w:space="0" w:color="auto"/>
        <w:right w:val="none" w:sz="0" w:space="0" w:color="auto"/>
      </w:divBdr>
      <w:divsChild>
        <w:div w:id="225534418">
          <w:marLeft w:val="0"/>
          <w:marRight w:val="0"/>
          <w:marTop w:val="0"/>
          <w:marBottom w:val="0"/>
          <w:divBdr>
            <w:top w:val="none" w:sz="0" w:space="0" w:color="auto"/>
            <w:left w:val="none" w:sz="0" w:space="0" w:color="auto"/>
            <w:bottom w:val="dotted" w:sz="6" w:space="4" w:color="DDDDDD"/>
            <w:right w:val="none" w:sz="0" w:space="0" w:color="auto"/>
          </w:divBdr>
        </w:div>
      </w:divsChild>
    </w:div>
    <w:div w:id="1712726096">
      <w:bodyDiv w:val="1"/>
      <w:marLeft w:val="0"/>
      <w:marRight w:val="0"/>
      <w:marTop w:val="0"/>
      <w:marBottom w:val="0"/>
      <w:divBdr>
        <w:top w:val="none" w:sz="0" w:space="0" w:color="auto"/>
        <w:left w:val="none" w:sz="0" w:space="0" w:color="auto"/>
        <w:bottom w:val="none" w:sz="0" w:space="0" w:color="auto"/>
        <w:right w:val="none" w:sz="0" w:space="0" w:color="auto"/>
      </w:divBdr>
    </w:div>
    <w:div w:id="1712878066">
      <w:bodyDiv w:val="1"/>
      <w:marLeft w:val="0"/>
      <w:marRight w:val="0"/>
      <w:marTop w:val="0"/>
      <w:marBottom w:val="0"/>
      <w:divBdr>
        <w:top w:val="none" w:sz="0" w:space="0" w:color="auto"/>
        <w:left w:val="none" w:sz="0" w:space="0" w:color="auto"/>
        <w:bottom w:val="none" w:sz="0" w:space="0" w:color="auto"/>
        <w:right w:val="none" w:sz="0" w:space="0" w:color="auto"/>
      </w:divBdr>
      <w:divsChild>
        <w:div w:id="1157964028">
          <w:marLeft w:val="0"/>
          <w:marRight w:val="0"/>
          <w:marTop w:val="0"/>
          <w:marBottom w:val="0"/>
          <w:divBdr>
            <w:top w:val="none" w:sz="0" w:space="0" w:color="auto"/>
            <w:left w:val="none" w:sz="0" w:space="0" w:color="auto"/>
            <w:bottom w:val="none" w:sz="0" w:space="0" w:color="auto"/>
            <w:right w:val="none" w:sz="0" w:space="0" w:color="auto"/>
          </w:divBdr>
          <w:divsChild>
            <w:div w:id="1865900037">
              <w:marLeft w:val="0"/>
              <w:marRight w:val="0"/>
              <w:marTop w:val="0"/>
              <w:marBottom w:val="0"/>
              <w:divBdr>
                <w:top w:val="none" w:sz="0" w:space="0" w:color="auto"/>
                <w:left w:val="none" w:sz="0" w:space="0" w:color="auto"/>
                <w:bottom w:val="none" w:sz="0" w:space="0" w:color="auto"/>
                <w:right w:val="none" w:sz="0" w:space="0" w:color="auto"/>
              </w:divBdr>
              <w:divsChild>
                <w:div w:id="1003632803">
                  <w:marLeft w:val="0"/>
                  <w:marRight w:val="0"/>
                  <w:marTop w:val="0"/>
                  <w:marBottom w:val="0"/>
                  <w:divBdr>
                    <w:top w:val="none" w:sz="0" w:space="0" w:color="auto"/>
                    <w:left w:val="none" w:sz="0" w:space="0" w:color="auto"/>
                    <w:bottom w:val="none" w:sz="0" w:space="0" w:color="auto"/>
                    <w:right w:val="none" w:sz="0" w:space="0" w:color="auto"/>
                  </w:divBdr>
                  <w:divsChild>
                    <w:div w:id="1416510600">
                      <w:marLeft w:val="0"/>
                      <w:marRight w:val="0"/>
                      <w:marTop w:val="0"/>
                      <w:marBottom w:val="0"/>
                      <w:divBdr>
                        <w:top w:val="none" w:sz="0" w:space="0" w:color="auto"/>
                        <w:left w:val="none" w:sz="0" w:space="0" w:color="auto"/>
                        <w:bottom w:val="none" w:sz="0" w:space="0" w:color="auto"/>
                        <w:right w:val="none" w:sz="0" w:space="0" w:color="auto"/>
                      </w:divBdr>
                      <w:divsChild>
                        <w:div w:id="131142723">
                          <w:marLeft w:val="0"/>
                          <w:marRight w:val="0"/>
                          <w:marTop w:val="0"/>
                          <w:marBottom w:val="0"/>
                          <w:divBdr>
                            <w:top w:val="none" w:sz="0" w:space="0" w:color="auto"/>
                            <w:left w:val="none" w:sz="0" w:space="0" w:color="auto"/>
                            <w:bottom w:val="none" w:sz="0" w:space="0" w:color="auto"/>
                            <w:right w:val="none" w:sz="0" w:space="0" w:color="auto"/>
                          </w:divBdr>
                          <w:divsChild>
                            <w:div w:id="1435593892">
                              <w:marLeft w:val="0"/>
                              <w:marRight w:val="0"/>
                              <w:marTop w:val="0"/>
                              <w:marBottom w:val="0"/>
                              <w:divBdr>
                                <w:top w:val="none" w:sz="0" w:space="0" w:color="auto"/>
                                <w:left w:val="none" w:sz="0" w:space="0" w:color="auto"/>
                                <w:bottom w:val="none" w:sz="0" w:space="0" w:color="auto"/>
                                <w:right w:val="none" w:sz="0" w:space="0" w:color="auto"/>
                              </w:divBdr>
                              <w:divsChild>
                                <w:div w:id="976225916">
                                  <w:marLeft w:val="0"/>
                                  <w:marRight w:val="0"/>
                                  <w:marTop w:val="0"/>
                                  <w:marBottom w:val="0"/>
                                  <w:divBdr>
                                    <w:top w:val="none" w:sz="0" w:space="0" w:color="auto"/>
                                    <w:left w:val="none" w:sz="0" w:space="0" w:color="auto"/>
                                    <w:bottom w:val="none" w:sz="0" w:space="0" w:color="auto"/>
                                    <w:right w:val="none" w:sz="0" w:space="0" w:color="auto"/>
                                  </w:divBdr>
                                  <w:divsChild>
                                    <w:div w:id="211034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996826">
      <w:bodyDiv w:val="1"/>
      <w:marLeft w:val="0"/>
      <w:marRight w:val="0"/>
      <w:marTop w:val="0"/>
      <w:marBottom w:val="0"/>
      <w:divBdr>
        <w:top w:val="none" w:sz="0" w:space="0" w:color="auto"/>
        <w:left w:val="none" w:sz="0" w:space="0" w:color="auto"/>
        <w:bottom w:val="none" w:sz="0" w:space="0" w:color="auto"/>
        <w:right w:val="none" w:sz="0" w:space="0" w:color="auto"/>
      </w:divBdr>
    </w:div>
    <w:div w:id="1713185550">
      <w:bodyDiv w:val="1"/>
      <w:marLeft w:val="0"/>
      <w:marRight w:val="0"/>
      <w:marTop w:val="0"/>
      <w:marBottom w:val="0"/>
      <w:divBdr>
        <w:top w:val="none" w:sz="0" w:space="0" w:color="auto"/>
        <w:left w:val="none" w:sz="0" w:space="0" w:color="auto"/>
        <w:bottom w:val="none" w:sz="0" w:space="0" w:color="auto"/>
        <w:right w:val="none" w:sz="0" w:space="0" w:color="auto"/>
      </w:divBdr>
      <w:divsChild>
        <w:div w:id="385761018">
          <w:marLeft w:val="0"/>
          <w:marRight w:val="0"/>
          <w:marTop w:val="150"/>
          <w:marBottom w:val="0"/>
          <w:divBdr>
            <w:top w:val="none" w:sz="0" w:space="0" w:color="auto"/>
            <w:left w:val="none" w:sz="0" w:space="0" w:color="auto"/>
            <w:bottom w:val="none" w:sz="0" w:space="0" w:color="auto"/>
            <w:right w:val="none" w:sz="0" w:space="0" w:color="auto"/>
          </w:divBdr>
          <w:divsChild>
            <w:div w:id="781539251">
              <w:marLeft w:val="0"/>
              <w:marRight w:val="0"/>
              <w:marTop w:val="0"/>
              <w:marBottom w:val="0"/>
              <w:divBdr>
                <w:top w:val="none" w:sz="0" w:space="0" w:color="auto"/>
                <w:left w:val="none" w:sz="0" w:space="0" w:color="auto"/>
                <w:bottom w:val="single" w:sz="6" w:space="0" w:color="EFEFEF"/>
                <w:right w:val="none" w:sz="0" w:space="0" w:color="auto"/>
              </w:divBdr>
              <w:divsChild>
                <w:div w:id="560873277">
                  <w:marLeft w:val="0"/>
                  <w:marRight w:val="0"/>
                  <w:marTop w:val="0"/>
                  <w:marBottom w:val="0"/>
                  <w:divBdr>
                    <w:top w:val="none" w:sz="0" w:space="0" w:color="auto"/>
                    <w:left w:val="none" w:sz="0" w:space="0" w:color="auto"/>
                    <w:bottom w:val="none" w:sz="0" w:space="0" w:color="auto"/>
                    <w:right w:val="none" w:sz="0" w:space="0" w:color="auto"/>
                  </w:divBdr>
                </w:div>
                <w:div w:id="149325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053598">
          <w:marLeft w:val="0"/>
          <w:marRight w:val="0"/>
          <w:marTop w:val="300"/>
          <w:marBottom w:val="0"/>
          <w:divBdr>
            <w:top w:val="none" w:sz="0" w:space="0" w:color="auto"/>
            <w:left w:val="none" w:sz="0" w:space="0" w:color="auto"/>
            <w:bottom w:val="none" w:sz="0" w:space="0" w:color="auto"/>
            <w:right w:val="none" w:sz="0" w:space="0" w:color="auto"/>
          </w:divBdr>
          <w:divsChild>
            <w:div w:id="910192742">
              <w:marLeft w:val="0"/>
              <w:marRight w:val="0"/>
              <w:marTop w:val="0"/>
              <w:marBottom w:val="0"/>
              <w:divBdr>
                <w:top w:val="none" w:sz="0" w:space="0" w:color="auto"/>
                <w:left w:val="none" w:sz="0" w:space="0" w:color="auto"/>
                <w:bottom w:val="none" w:sz="0" w:space="0" w:color="auto"/>
                <w:right w:val="none" w:sz="0" w:space="0" w:color="auto"/>
              </w:divBdr>
              <w:divsChild>
                <w:div w:id="1778062442">
                  <w:marLeft w:val="0"/>
                  <w:marRight w:val="0"/>
                  <w:marTop w:val="0"/>
                  <w:marBottom w:val="0"/>
                  <w:divBdr>
                    <w:top w:val="none" w:sz="0" w:space="0" w:color="auto"/>
                    <w:left w:val="none" w:sz="0" w:space="0" w:color="auto"/>
                    <w:bottom w:val="none" w:sz="0" w:space="0" w:color="auto"/>
                    <w:right w:val="none" w:sz="0" w:space="0" w:color="auto"/>
                  </w:divBdr>
                  <w:divsChild>
                    <w:div w:id="808474595">
                      <w:marLeft w:val="0"/>
                      <w:marRight w:val="0"/>
                      <w:marTop w:val="0"/>
                      <w:marBottom w:val="0"/>
                      <w:divBdr>
                        <w:top w:val="none" w:sz="0" w:space="0" w:color="auto"/>
                        <w:left w:val="none" w:sz="0" w:space="0" w:color="auto"/>
                        <w:bottom w:val="none" w:sz="0" w:space="0" w:color="auto"/>
                        <w:right w:val="none" w:sz="0" w:space="0" w:color="auto"/>
                      </w:divBdr>
                    </w:div>
                  </w:divsChild>
                </w:div>
                <w:div w:id="1876969228">
                  <w:marLeft w:val="0"/>
                  <w:marRight w:val="0"/>
                  <w:marTop w:val="150"/>
                  <w:marBottom w:val="0"/>
                  <w:divBdr>
                    <w:top w:val="none" w:sz="0" w:space="0" w:color="auto"/>
                    <w:left w:val="none" w:sz="0" w:space="0" w:color="auto"/>
                    <w:bottom w:val="none" w:sz="0" w:space="0" w:color="auto"/>
                    <w:right w:val="none" w:sz="0" w:space="0" w:color="auto"/>
                  </w:divBdr>
                  <w:divsChild>
                    <w:div w:id="2010211825">
                      <w:marLeft w:val="0"/>
                      <w:marRight w:val="0"/>
                      <w:marTop w:val="0"/>
                      <w:marBottom w:val="0"/>
                      <w:divBdr>
                        <w:top w:val="none" w:sz="0" w:space="0" w:color="auto"/>
                        <w:left w:val="none" w:sz="0" w:space="0" w:color="auto"/>
                        <w:bottom w:val="none" w:sz="0" w:space="0" w:color="auto"/>
                        <w:right w:val="none" w:sz="0" w:space="0" w:color="auto"/>
                      </w:divBdr>
                      <w:divsChild>
                        <w:div w:id="155164987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700867">
              <w:marLeft w:val="-1350"/>
              <w:marRight w:val="0"/>
              <w:marTop w:val="0"/>
              <w:marBottom w:val="0"/>
              <w:divBdr>
                <w:top w:val="none" w:sz="0" w:space="0" w:color="auto"/>
                <w:left w:val="none" w:sz="0" w:space="0" w:color="auto"/>
                <w:bottom w:val="none" w:sz="0" w:space="0" w:color="auto"/>
                <w:right w:val="none" w:sz="0" w:space="0" w:color="auto"/>
              </w:divBdr>
              <w:divsChild>
                <w:div w:id="1384675482">
                  <w:marLeft w:val="0"/>
                  <w:marRight w:val="0"/>
                  <w:marTop w:val="0"/>
                  <w:marBottom w:val="0"/>
                  <w:divBdr>
                    <w:top w:val="none" w:sz="0" w:space="0" w:color="auto"/>
                    <w:left w:val="none" w:sz="0" w:space="0" w:color="auto"/>
                    <w:bottom w:val="none" w:sz="0" w:space="0" w:color="auto"/>
                    <w:right w:val="none" w:sz="0" w:space="0" w:color="auto"/>
                  </w:divBdr>
                  <w:divsChild>
                    <w:div w:id="1460102947">
                      <w:marLeft w:val="0"/>
                      <w:marRight w:val="0"/>
                      <w:marTop w:val="0"/>
                      <w:marBottom w:val="0"/>
                      <w:divBdr>
                        <w:top w:val="none" w:sz="0" w:space="0" w:color="auto"/>
                        <w:left w:val="none" w:sz="0" w:space="0" w:color="auto"/>
                        <w:bottom w:val="none" w:sz="0" w:space="0" w:color="auto"/>
                        <w:right w:val="none" w:sz="0" w:space="0" w:color="auto"/>
                      </w:divBdr>
                      <w:divsChild>
                        <w:div w:id="1036152702">
                          <w:marLeft w:val="0"/>
                          <w:marRight w:val="0"/>
                          <w:marTop w:val="0"/>
                          <w:marBottom w:val="0"/>
                          <w:divBdr>
                            <w:top w:val="single" w:sz="6" w:space="0" w:color="C7C7C7"/>
                            <w:left w:val="single" w:sz="6" w:space="0" w:color="C7C7C7"/>
                            <w:bottom w:val="single" w:sz="6" w:space="0" w:color="C7C7C7"/>
                            <w:right w:val="single" w:sz="6" w:space="0" w:color="C7C7C7"/>
                          </w:divBdr>
                          <w:divsChild>
                            <w:div w:id="170995256">
                              <w:marLeft w:val="0"/>
                              <w:marRight w:val="0"/>
                              <w:marTop w:val="100"/>
                              <w:marBottom w:val="100"/>
                              <w:divBdr>
                                <w:top w:val="none" w:sz="0" w:space="11" w:color="auto"/>
                                <w:left w:val="none" w:sz="0" w:space="0" w:color="auto"/>
                                <w:bottom w:val="single" w:sz="6" w:space="11" w:color="C7C7C7"/>
                                <w:right w:val="none" w:sz="0" w:space="0" w:color="auto"/>
                              </w:divBdr>
                            </w:div>
                            <w:div w:id="242640241">
                              <w:marLeft w:val="0"/>
                              <w:marRight w:val="0"/>
                              <w:marTop w:val="100"/>
                              <w:marBottom w:val="100"/>
                              <w:divBdr>
                                <w:top w:val="none" w:sz="0" w:space="0" w:color="auto"/>
                                <w:left w:val="none" w:sz="0" w:space="0" w:color="auto"/>
                                <w:bottom w:val="none" w:sz="0" w:space="0" w:color="auto"/>
                                <w:right w:val="none" w:sz="0" w:space="0" w:color="auto"/>
                              </w:divBdr>
                            </w:div>
                            <w:div w:id="675156641">
                              <w:marLeft w:val="0"/>
                              <w:marRight w:val="0"/>
                              <w:marTop w:val="100"/>
                              <w:marBottom w:val="100"/>
                              <w:divBdr>
                                <w:top w:val="none" w:sz="0" w:space="11" w:color="auto"/>
                                <w:left w:val="none" w:sz="0" w:space="0" w:color="auto"/>
                                <w:bottom w:val="single" w:sz="6" w:space="11" w:color="C7C7C7"/>
                                <w:right w:val="none" w:sz="0" w:space="0" w:color="auto"/>
                              </w:divBdr>
                            </w:div>
                            <w:div w:id="1084228085">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713269294">
      <w:bodyDiv w:val="1"/>
      <w:marLeft w:val="0"/>
      <w:marRight w:val="0"/>
      <w:marTop w:val="0"/>
      <w:marBottom w:val="0"/>
      <w:divBdr>
        <w:top w:val="none" w:sz="0" w:space="0" w:color="auto"/>
        <w:left w:val="none" w:sz="0" w:space="0" w:color="auto"/>
        <w:bottom w:val="none" w:sz="0" w:space="0" w:color="auto"/>
        <w:right w:val="none" w:sz="0" w:space="0" w:color="auto"/>
      </w:divBdr>
      <w:divsChild>
        <w:div w:id="608857375">
          <w:marLeft w:val="0"/>
          <w:marRight w:val="0"/>
          <w:marTop w:val="0"/>
          <w:marBottom w:val="0"/>
          <w:divBdr>
            <w:top w:val="none" w:sz="0" w:space="0" w:color="auto"/>
            <w:left w:val="none" w:sz="0" w:space="0" w:color="auto"/>
            <w:bottom w:val="dotted" w:sz="6" w:space="4" w:color="DDDDDD"/>
            <w:right w:val="none" w:sz="0" w:space="0" w:color="auto"/>
          </w:divBdr>
          <w:divsChild>
            <w:div w:id="23640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31406">
      <w:bodyDiv w:val="1"/>
      <w:marLeft w:val="0"/>
      <w:marRight w:val="0"/>
      <w:marTop w:val="0"/>
      <w:marBottom w:val="0"/>
      <w:divBdr>
        <w:top w:val="none" w:sz="0" w:space="0" w:color="auto"/>
        <w:left w:val="none" w:sz="0" w:space="0" w:color="auto"/>
        <w:bottom w:val="none" w:sz="0" w:space="0" w:color="auto"/>
        <w:right w:val="none" w:sz="0" w:space="0" w:color="auto"/>
      </w:divBdr>
      <w:divsChild>
        <w:div w:id="958997406">
          <w:marLeft w:val="0"/>
          <w:marRight w:val="0"/>
          <w:marTop w:val="0"/>
          <w:marBottom w:val="0"/>
          <w:divBdr>
            <w:top w:val="none" w:sz="0" w:space="0" w:color="auto"/>
            <w:left w:val="none" w:sz="0" w:space="0" w:color="auto"/>
            <w:bottom w:val="dotted" w:sz="6" w:space="4" w:color="DDDDDD"/>
            <w:right w:val="none" w:sz="0" w:space="0" w:color="auto"/>
          </w:divBdr>
        </w:div>
      </w:divsChild>
    </w:div>
    <w:div w:id="1713647311">
      <w:bodyDiv w:val="1"/>
      <w:marLeft w:val="0"/>
      <w:marRight w:val="0"/>
      <w:marTop w:val="0"/>
      <w:marBottom w:val="0"/>
      <w:divBdr>
        <w:top w:val="none" w:sz="0" w:space="0" w:color="auto"/>
        <w:left w:val="none" w:sz="0" w:space="0" w:color="auto"/>
        <w:bottom w:val="none" w:sz="0" w:space="0" w:color="auto"/>
        <w:right w:val="none" w:sz="0" w:space="0" w:color="auto"/>
      </w:divBdr>
      <w:divsChild>
        <w:div w:id="117839389">
          <w:marLeft w:val="0"/>
          <w:marRight w:val="0"/>
          <w:marTop w:val="0"/>
          <w:marBottom w:val="150"/>
          <w:divBdr>
            <w:top w:val="none" w:sz="0" w:space="0" w:color="auto"/>
            <w:left w:val="none" w:sz="0" w:space="0" w:color="auto"/>
            <w:bottom w:val="none" w:sz="0" w:space="0" w:color="auto"/>
            <w:right w:val="none" w:sz="0" w:space="0" w:color="auto"/>
          </w:divBdr>
          <w:divsChild>
            <w:div w:id="243340523">
              <w:marLeft w:val="0"/>
              <w:marRight w:val="0"/>
              <w:marTop w:val="0"/>
              <w:marBottom w:val="0"/>
              <w:divBdr>
                <w:top w:val="none" w:sz="0" w:space="0" w:color="auto"/>
                <w:left w:val="none" w:sz="0" w:space="0" w:color="auto"/>
                <w:bottom w:val="none" w:sz="0" w:space="0" w:color="auto"/>
                <w:right w:val="none" w:sz="0" w:space="0" w:color="auto"/>
              </w:divBdr>
            </w:div>
          </w:divsChild>
        </w:div>
        <w:div w:id="1108696300">
          <w:marLeft w:val="0"/>
          <w:marRight w:val="0"/>
          <w:marTop w:val="0"/>
          <w:marBottom w:val="0"/>
          <w:divBdr>
            <w:top w:val="none" w:sz="0" w:space="0" w:color="auto"/>
            <w:left w:val="none" w:sz="0" w:space="0" w:color="auto"/>
            <w:bottom w:val="none" w:sz="0" w:space="0" w:color="auto"/>
            <w:right w:val="none" w:sz="0" w:space="0" w:color="auto"/>
          </w:divBdr>
          <w:divsChild>
            <w:div w:id="1381518606">
              <w:marLeft w:val="0"/>
              <w:marRight w:val="0"/>
              <w:marTop w:val="0"/>
              <w:marBottom w:val="0"/>
              <w:divBdr>
                <w:top w:val="none" w:sz="0" w:space="0" w:color="auto"/>
                <w:left w:val="none" w:sz="0" w:space="0" w:color="auto"/>
                <w:bottom w:val="none" w:sz="0" w:space="0" w:color="auto"/>
                <w:right w:val="none" w:sz="0" w:space="0" w:color="auto"/>
              </w:divBdr>
            </w:div>
          </w:divsChild>
        </w:div>
        <w:div w:id="2012877361">
          <w:marLeft w:val="0"/>
          <w:marRight w:val="0"/>
          <w:marTop w:val="0"/>
          <w:marBottom w:val="150"/>
          <w:divBdr>
            <w:top w:val="none" w:sz="0" w:space="0" w:color="auto"/>
            <w:left w:val="none" w:sz="0" w:space="0" w:color="auto"/>
            <w:bottom w:val="none" w:sz="0" w:space="0" w:color="auto"/>
            <w:right w:val="none" w:sz="0" w:space="0" w:color="auto"/>
          </w:divBdr>
        </w:div>
      </w:divsChild>
    </w:div>
    <w:div w:id="1713920459">
      <w:bodyDiv w:val="1"/>
      <w:marLeft w:val="0"/>
      <w:marRight w:val="0"/>
      <w:marTop w:val="0"/>
      <w:marBottom w:val="0"/>
      <w:divBdr>
        <w:top w:val="none" w:sz="0" w:space="0" w:color="auto"/>
        <w:left w:val="none" w:sz="0" w:space="0" w:color="auto"/>
        <w:bottom w:val="none" w:sz="0" w:space="0" w:color="auto"/>
        <w:right w:val="none" w:sz="0" w:space="0" w:color="auto"/>
      </w:divBdr>
      <w:divsChild>
        <w:div w:id="1756629339">
          <w:marLeft w:val="0"/>
          <w:marRight w:val="0"/>
          <w:marTop w:val="0"/>
          <w:marBottom w:val="0"/>
          <w:divBdr>
            <w:top w:val="none" w:sz="0" w:space="0" w:color="auto"/>
            <w:left w:val="none" w:sz="0" w:space="0" w:color="auto"/>
            <w:bottom w:val="none" w:sz="0" w:space="0" w:color="auto"/>
            <w:right w:val="none" w:sz="0" w:space="0" w:color="auto"/>
          </w:divBdr>
        </w:div>
        <w:div w:id="2096126104">
          <w:marLeft w:val="0"/>
          <w:marRight w:val="0"/>
          <w:marTop w:val="0"/>
          <w:marBottom w:val="0"/>
          <w:divBdr>
            <w:top w:val="none" w:sz="0" w:space="0" w:color="auto"/>
            <w:left w:val="none" w:sz="0" w:space="0" w:color="auto"/>
            <w:bottom w:val="none" w:sz="0" w:space="0" w:color="auto"/>
            <w:right w:val="none" w:sz="0" w:space="0" w:color="auto"/>
          </w:divBdr>
        </w:div>
      </w:divsChild>
    </w:div>
    <w:div w:id="1714114183">
      <w:bodyDiv w:val="1"/>
      <w:marLeft w:val="0"/>
      <w:marRight w:val="0"/>
      <w:marTop w:val="0"/>
      <w:marBottom w:val="0"/>
      <w:divBdr>
        <w:top w:val="none" w:sz="0" w:space="0" w:color="auto"/>
        <w:left w:val="none" w:sz="0" w:space="0" w:color="auto"/>
        <w:bottom w:val="none" w:sz="0" w:space="0" w:color="auto"/>
        <w:right w:val="none" w:sz="0" w:space="0" w:color="auto"/>
      </w:divBdr>
      <w:divsChild>
        <w:div w:id="291985857">
          <w:marLeft w:val="0"/>
          <w:marRight w:val="0"/>
          <w:marTop w:val="0"/>
          <w:marBottom w:val="0"/>
          <w:divBdr>
            <w:top w:val="none" w:sz="0" w:space="0" w:color="auto"/>
            <w:left w:val="none" w:sz="0" w:space="0" w:color="auto"/>
            <w:bottom w:val="dotted" w:sz="6" w:space="4" w:color="DDDDDD"/>
            <w:right w:val="none" w:sz="0" w:space="0" w:color="auto"/>
          </w:divBdr>
        </w:div>
      </w:divsChild>
    </w:div>
    <w:div w:id="1714577090">
      <w:bodyDiv w:val="1"/>
      <w:marLeft w:val="0"/>
      <w:marRight w:val="0"/>
      <w:marTop w:val="0"/>
      <w:marBottom w:val="0"/>
      <w:divBdr>
        <w:top w:val="none" w:sz="0" w:space="0" w:color="auto"/>
        <w:left w:val="none" w:sz="0" w:space="0" w:color="auto"/>
        <w:bottom w:val="none" w:sz="0" w:space="0" w:color="auto"/>
        <w:right w:val="none" w:sz="0" w:space="0" w:color="auto"/>
      </w:divBdr>
      <w:divsChild>
        <w:div w:id="88354378">
          <w:marLeft w:val="0"/>
          <w:marRight w:val="0"/>
          <w:marTop w:val="0"/>
          <w:marBottom w:val="0"/>
          <w:divBdr>
            <w:top w:val="none" w:sz="0" w:space="0" w:color="auto"/>
            <w:left w:val="none" w:sz="0" w:space="0" w:color="auto"/>
            <w:bottom w:val="dotted" w:sz="6" w:space="4" w:color="DDDDDD"/>
            <w:right w:val="none" w:sz="0" w:space="0" w:color="auto"/>
          </w:divBdr>
        </w:div>
      </w:divsChild>
    </w:div>
    <w:div w:id="1714764732">
      <w:bodyDiv w:val="1"/>
      <w:marLeft w:val="0"/>
      <w:marRight w:val="0"/>
      <w:marTop w:val="0"/>
      <w:marBottom w:val="0"/>
      <w:divBdr>
        <w:top w:val="none" w:sz="0" w:space="0" w:color="auto"/>
        <w:left w:val="none" w:sz="0" w:space="0" w:color="auto"/>
        <w:bottom w:val="none" w:sz="0" w:space="0" w:color="auto"/>
        <w:right w:val="none" w:sz="0" w:space="0" w:color="auto"/>
      </w:divBdr>
      <w:divsChild>
        <w:div w:id="378822111">
          <w:marLeft w:val="0"/>
          <w:marRight w:val="0"/>
          <w:marTop w:val="0"/>
          <w:marBottom w:val="0"/>
          <w:divBdr>
            <w:top w:val="none" w:sz="0" w:space="8" w:color="auto"/>
            <w:left w:val="none" w:sz="0" w:space="2" w:color="auto"/>
            <w:bottom w:val="single" w:sz="6" w:space="8" w:color="DDDDDD"/>
            <w:right w:val="none" w:sz="0" w:space="0" w:color="auto"/>
          </w:divBdr>
        </w:div>
        <w:div w:id="1782337050">
          <w:marLeft w:val="0"/>
          <w:marRight w:val="0"/>
          <w:marTop w:val="150"/>
          <w:marBottom w:val="0"/>
          <w:divBdr>
            <w:top w:val="none" w:sz="0" w:space="0" w:color="auto"/>
            <w:left w:val="none" w:sz="0" w:space="0" w:color="auto"/>
            <w:bottom w:val="none" w:sz="0" w:space="0" w:color="auto"/>
            <w:right w:val="none" w:sz="0" w:space="0" w:color="auto"/>
          </w:divBdr>
          <w:divsChild>
            <w:div w:id="143670461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15079566">
      <w:bodyDiv w:val="1"/>
      <w:marLeft w:val="0"/>
      <w:marRight w:val="0"/>
      <w:marTop w:val="0"/>
      <w:marBottom w:val="0"/>
      <w:divBdr>
        <w:top w:val="none" w:sz="0" w:space="0" w:color="auto"/>
        <w:left w:val="none" w:sz="0" w:space="0" w:color="auto"/>
        <w:bottom w:val="none" w:sz="0" w:space="0" w:color="auto"/>
        <w:right w:val="none" w:sz="0" w:space="0" w:color="auto"/>
      </w:divBdr>
      <w:divsChild>
        <w:div w:id="1431584465">
          <w:marLeft w:val="0"/>
          <w:marRight w:val="0"/>
          <w:marTop w:val="0"/>
          <w:marBottom w:val="0"/>
          <w:divBdr>
            <w:top w:val="none" w:sz="0" w:space="0" w:color="auto"/>
            <w:left w:val="none" w:sz="0" w:space="0" w:color="auto"/>
            <w:bottom w:val="dotted" w:sz="6" w:space="4" w:color="DDDDDD"/>
            <w:right w:val="none" w:sz="0" w:space="0" w:color="auto"/>
          </w:divBdr>
        </w:div>
      </w:divsChild>
    </w:div>
    <w:div w:id="1715543571">
      <w:bodyDiv w:val="1"/>
      <w:marLeft w:val="0"/>
      <w:marRight w:val="0"/>
      <w:marTop w:val="0"/>
      <w:marBottom w:val="0"/>
      <w:divBdr>
        <w:top w:val="none" w:sz="0" w:space="0" w:color="auto"/>
        <w:left w:val="none" w:sz="0" w:space="0" w:color="auto"/>
        <w:bottom w:val="none" w:sz="0" w:space="0" w:color="auto"/>
        <w:right w:val="none" w:sz="0" w:space="0" w:color="auto"/>
      </w:divBdr>
      <w:divsChild>
        <w:div w:id="1171605054">
          <w:marLeft w:val="0"/>
          <w:marRight w:val="0"/>
          <w:marTop w:val="0"/>
          <w:marBottom w:val="0"/>
          <w:divBdr>
            <w:top w:val="none" w:sz="0" w:space="0" w:color="auto"/>
            <w:left w:val="none" w:sz="0" w:space="0" w:color="auto"/>
            <w:bottom w:val="none" w:sz="0" w:space="0" w:color="auto"/>
            <w:right w:val="none" w:sz="0" w:space="0" w:color="auto"/>
          </w:divBdr>
          <w:divsChild>
            <w:div w:id="505480915">
              <w:marLeft w:val="0"/>
              <w:marRight w:val="0"/>
              <w:marTop w:val="0"/>
              <w:marBottom w:val="0"/>
              <w:divBdr>
                <w:top w:val="none" w:sz="0" w:space="0" w:color="auto"/>
                <w:left w:val="none" w:sz="0" w:space="0" w:color="auto"/>
                <w:bottom w:val="none" w:sz="0" w:space="0" w:color="auto"/>
                <w:right w:val="none" w:sz="0" w:space="0" w:color="auto"/>
              </w:divBdr>
              <w:divsChild>
                <w:div w:id="896430516">
                  <w:marLeft w:val="0"/>
                  <w:marRight w:val="0"/>
                  <w:marTop w:val="0"/>
                  <w:marBottom w:val="0"/>
                  <w:divBdr>
                    <w:top w:val="none" w:sz="0" w:space="0" w:color="auto"/>
                    <w:left w:val="none" w:sz="0" w:space="0" w:color="auto"/>
                    <w:bottom w:val="none" w:sz="0" w:space="0" w:color="auto"/>
                    <w:right w:val="none" w:sz="0" w:space="0" w:color="auto"/>
                  </w:divBdr>
                  <w:divsChild>
                    <w:div w:id="1820657202">
                      <w:marLeft w:val="0"/>
                      <w:marRight w:val="0"/>
                      <w:marTop w:val="0"/>
                      <w:marBottom w:val="0"/>
                      <w:divBdr>
                        <w:top w:val="none" w:sz="0" w:space="0" w:color="auto"/>
                        <w:left w:val="none" w:sz="0" w:space="0" w:color="auto"/>
                        <w:bottom w:val="none" w:sz="0" w:space="0" w:color="auto"/>
                        <w:right w:val="none" w:sz="0" w:space="0" w:color="auto"/>
                      </w:divBdr>
                      <w:divsChild>
                        <w:div w:id="1826508188">
                          <w:marLeft w:val="0"/>
                          <w:marRight w:val="0"/>
                          <w:marTop w:val="0"/>
                          <w:marBottom w:val="0"/>
                          <w:divBdr>
                            <w:top w:val="none" w:sz="0" w:space="0" w:color="auto"/>
                            <w:left w:val="none" w:sz="0" w:space="0" w:color="auto"/>
                            <w:bottom w:val="none" w:sz="0" w:space="0" w:color="auto"/>
                            <w:right w:val="none" w:sz="0" w:space="0" w:color="auto"/>
                          </w:divBdr>
                          <w:divsChild>
                            <w:div w:id="18401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6194933">
      <w:bodyDiv w:val="1"/>
      <w:marLeft w:val="0"/>
      <w:marRight w:val="0"/>
      <w:marTop w:val="0"/>
      <w:marBottom w:val="0"/>
      <w:divBdr>
        <w:top w:val="none" w:sz="0" w:space="0" w:color="auto"/>
        <w:left w:val="none" w:sz="0" w:space="0" w:color="auto"/>
        <w:bottom w:val="none" w:sz="0" w:space="0" w:color="auto"/>
        <w:right w:val="none" w:sz="0" w:space="0" w:color="auto"/>
      </w:divBdr>
      <w:divsChild>
        <w:div w:id="269505976">
          <w:marLeft w:val="0"/>
          <w:marRight w:val="0"/>
          <w:marTop w:val="0"/>
          <w:marBottom w:val="75"/>
          <w:divBdr>
            <w:top w:val="none" w:sz="0" w:space="0" w:color="auto"/>
            <w:left w:val="none" w:sz="0" w:space="0" w:color="auto"/>
            <w:bottom w:val="none" w:sz="0" w:space="0" w:color="auto"/>
            <w:right w:val="none" w:sz="0" w:space="0" w:color="auto"/>
          </w:divBdr>
        </w:div>
        <w:div w:id="670639167">
          <w:marLeft w:val="0"/>
          <w:marRight w:val="0"/>
          <w:marTop w:val="0"/>
          <w:marBottom w:val="0"/>
          <w:divBdr>
            <w:top w:val="none" w:sz="0" w:space="0" w:color="auto"/>
            <w:left w:val="none" w:sz="0" w:space="0" w:color="auto"/>
            <w:bottom w:val="none" w:sz="0" w:space="0" w:color="auto"/>
            <w:right w:val="none" w:sz="0" w:space="0" w:color="auto"/>
          </w:divBdr>
          <w:divsChild>
            <w:div w:id="2147116103">
              <w:marLeft w:val="0"/>
              <w:marRight w:val="0"/>
              <w:marTop w:val="0"/>
              <w:marBottom w:val="0"/>
              <w:divBdr>
                <w:top w:val="none" w:sz="0" w:space="0" w:color="auto"/>
                <w:left w:val="none" w:sz="0" w:space="0" w:color="auto"/>
                <w:bottom w:val="none" w:sz="0" w:space="0" w:color="auto"/>
                <w:right w:val="none" w:sz="0" w:space="0" w:color="auto"/>
              </w:divBdr>
              <w:divsChild>
                <w:div w:id="16661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01238">
          <w:marLeft w:val="0"/>
          <w:marRight w:val="0"/>
          <w:marTop w:val="0"/>
          <w:marBottom w:val="0"/>
          <w:divBdr>
            <w:top w:val="none" w:sz="0" w:space="0" w:color="auto"/>
            <w:left w:val="none" w:sz="0" w:space="0" w:color="auto"/>
            <w:bottom w:val="none" w:sz="0" w:space="0" w:color="auto"/>
            <w:right w:val="none" w:sz="0" w:space="0" w:color="auto"/>
          </w:divBdr>
        </w:div>
        <w:div w:id="1659918387">
          <w:marLeft w:val="0"/>
          <w:marRight w:val="0"/>
          <w:marTop w:val="0"/>
          <w:marBottom w:val="300"/>
          <w:divBdr>
            <w:top w:val="none" w:sz="0" w:space="0" w:color="auto"/>
            <w:left w:val="none" w:sz="0" w:space="0" w:color="auto"/>
            <w:bottom w:val="none" w:sz="0" w:space="0" w:color="auto"/>
            <w:right w:val="none" w:sz="0" w:space="0" w:color="auto"/>
          </w:divBdr>
          <w:divsChild>
            <w:div w:id="30736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730286">
      <w:bodyDiv w:val="1"/>
      <w:marLeft w:val="0"/>
      <w:marRight w:val="0"/>
      <w:marTop w:val="0"/>
      <w:marBottom w:val="0"/>
      <w:divBdr>
        <w:top w:val="none" w:sz="0" w:space="0" w:color="auto"/>
        <w:left w:val="none" w:sz="0" w:space="0" w:color="auto"/>
        <w:bottom w:val="none" w:sz="0" w:space="0" w:color="auto"/>
        <w:right w:val="none" w:sz="0" w:space="0" w:color="auto"/>
      </w:divBdr>
      <w:divsChild>
        <w:div w:id="21443800">
          <w:marLeft w:val="0"/>
          <w:marRight w:val="0"/>
          <w:marTop w:val="0"/>
          <w:marBottom w:val="150"/>
          <w:divBdr>
            <w:top w:val="none" w:sz="0" w:space="0" w:color="auto"/>
            <w:left w:val="none" w:sz="0" w:space="0" w:color="auto"/>
            <w:bottom w:val="none" w:sz="0" w:space="0" w:color="auto"/>
            <w:right w:val="none" w:sz="0" w:space="0" w:color="auto"/>
          </w:divBdr>
        </w:div>
      </w:divsChild>
    </w:div>
    <w:div w:id="1717048591">
      <w:bodyDiv w:val="1"/>
      <w:marLeft w:val="0"/>
      <w:marRight w:val="0"/>
      <w:marTop w:val="0"/>
      <w:marBottom w:val="0"/>
      <w:divBdr>
        <w:top w:val="none" w:sz="0" w:space="0" w:color="auto"/>
        <w:left w:val="none" w:sz="0" w:space="0" w:color="auto"/>
        <w:bottom w:val="none" w:sz="0" w:space="0" w:color="auto"/>
        <w:right w:val="none" w:sz="0" w:space="0" w:color="auto"/>
      </w:divBdr>
      <w:divsChild>
        <w:div w:id="2125231028">
          <w:marLeft w:val="0"/>
          <w:marRight w:val="0"/>
          <w:marTop w:val="0"/>
          <w:marBottom w:val="0"/>
          <w:divBdr>
            <w:top w:val="none" w:sz="0" w:space="0" w:color="auto"/>
            <w:left w:val="none" w:sz="0" w:space="0" w:color="auto"/>
            <w:bottom w:val="none" w:sz="0" w:space="0" w:color="auto"/>
            <w:right w:val="none" w:sz="0" w:space="0" w:color="auto"/>
          </w:divBdr>
          <w:divsChild>
            <w:div w:id="189079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91419">
      <w:bodyDiv w:val="1"/>
      <w:marLeft w:val="0"/>
      <w:marRight w:val="0"/>
      <w:marTop w:val="0"/>
      <w:marBottom w:val="0"/>
      <w:divBdr>
        <w:top w:val="none" w:sz="0" w:space="0" w:color="auto"/>
        <w:left w:val="none" w:sz="0" w:space="0" w:color="auto"/>
        <w:bottom w:val="none" w:sz="0" w:space="0" w:color="auto"/>
        <w:right w:val="none" w:sz="0" w:space="0" w:color="auto"/>
      </w:divBdr>
      <w:divsChild>
        <w:div w:id="344938221">
          <w:marLeft w:val="0"/>
          <w:marRight w:val="0"/>
          <w:marTop w:val="0"/>
          <w:marBottom w:val="0"/>
          <w:divBdr>
            <w:top w:val="none" w:sz="0" w:space="0" w:color="auto"/>
            <w:left w:val="none" w:sz="0" w:space="0" w:color="auto"/>
            <w:bottom w:val="none" w:sz="0" w:space="0" w:color="auto"/>
            <w:right w:val="none" w:sz="0" w:space="0" w:color="auto"/>
          </w:divBdr>
        </w:div>
      </w:divsChild>
    </w:div>
    <w:div w:id="1717729816">
      <w:bodyDiv w:val="1"/>
      <w:marLeft w:val="0"/>
      <w:marRight w:val="0"/>
      <w:marTop w:val="0"/>
      <w:marBottom w:val="0"/>
      <w:divBdr>
        <w:top w:val="none" w:sz="0" w:space="0" w:color="auto"/>
        <w:left w:val="none" w:sz="0" w:space="0" w:color="auto"/>
        <w:bottom w:val="none" w:sz="0" w:space="0" w:color="auto"/>
        <w:right w:val="none" w:sz="0" w:space="0" w:color="auto"/>
      </w:divBdr>
      <w:divsChild>
        <w:div w:id="652024716">
          <w:marLeft w:val="0"/>
          <w:marRight w:val="0"/>
          <w:marTop w:val="0"/>
          <w:marBottom w:val="0"/>
          <w:divBdr>
            <w:top w:val="none" w:sz="0" w:space="0" w:color="auto"/>
            <w:left w:val="none" w:sz="0" w:space="0" w:color="auto"/>
            <w:bottom w:val="dotted" w:sz="6" w:space="4" w:color="DDDDDD"/>
            <w:right w:val="none" w:sz="0" w:space="0" w:color="auto"/>
          </w:divBdr>
        </w:div>
      </w:divsChild>
    </w:div>
    <w:div w:id="1717780058">
      <w:bodyDiv w:val="1"/>
      <w:marLeft w:val="0"/>
      <w:marRight w:val="0"/>
      <w:marTop w:val="0"/>
      <w:marBottom w:val="0"/>
      <w:divBdr>
        <w:top w:val="none" w:sz="0" w:space="0" w:color="auto"/>
        <w:left w:val="none" w:sz="0" w:space="0" w:color="auto"/>
        <w:bottom w:val="none" w:sz="0" w:space="0" w:color="auto"/>
        <w:right w:val="none" w:sz="0" w:space="0" w:color="auto"/>
      </w:divBdr>
      <w:divsChild>
        <w:div w:id="99421511">
          <w:marLeft w:val="0"/>
          <w:marRight w:val="0"/>
          <w:marTop w:val="0"/>
          <w:marBottom w:val="0"/>
          <w:divBdr>
            <w:top w:val="none" w:sz="0" w:space="0" w:color="auto"/>
            <w:left w:val="none" w:sz="0" w:space="0" w:color="auto"/>
            <w:bottom w:val="dotted" w:sz="6" w:space="4" w:color="DDDDDD"/>
            <w:right w:val="none" w:sz="0" w:space="0" w:color="auto"/>
          </w:divBdr>
          <w:divsChild>
            <w:div w:id="87454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850502">
      <w:bodyDiv w:val="1"/>
      <w:marLeft w:val="0"/>
      <w:marRight w:val="0"/>
      <w:marTop w:val="0"/>
      <w:marBottom w:val="0"/>
      <w:divBdr>
        <w:top w:val="none" w:sz="0" w:space="0" w:color="auto"/>
        <w:left w:val="none" w:sz="0" w:space="0" w:color="auto"/>
        <w:bottom w:val="none" w:sz="0" w:space="0" w:color="auto"/>
        <w:right w:val="none" w:sz="0" w:space="0" w:color="auto"/>
      </w:divBdr>
    </w:div>
    <w:div w:id="1718160155">
      <w:bodyDiv w:val="1"/>
      <w:marLeft w:val="0"/>
      <w:marRight w:val="0"/>
      <w:marTop w:val="0"/>
      <w:marBottom w:val="0"/>
      <w:divBdr>
        <w:top w:val="none" w:sz="0" w:space="0" w:color="auto"/>
        <w:left w:val="none" w:sz="0" w:space="0" w:color="auto"/>
        <w:bottom w:val="none" w:sz="0" w:space="0" w:color="auto"/>
        <w:right w:val="none" w:sz="0" w:space="0" w:color="auto"/>
      </w:divBdr>
      <w:divsChild>
        <w:div w:id="251207655">
          <w:marLeft w:val="0"/>
          <w:marRight w:val="0"/>
          <w:marTop w:val="0"/>
          <w:marBottom w:val="0"/>
          <w:divBdr>
            <w:top w:val="none" w:sz="0" w:space="0" w:color="auto"/>
            <w:left w:val="none" w:sz="0" w:space="0" w:color="auto"/>
            <w:bottom w:val="none" w:sz="0" w:space="0" w:color="auto"/>
            <w:right w:val="none" w:sz="0" w:space="0" w:color="auto"/>
          </w:divBdr>
          <w:divsChild>
            <w:div w:id="467209898">
              <w:marLeft w:val="0"/>
              <w:marRight w:val="0"/>
              <w:marTop w:val="0"/>
              <w:marBottom w:val="0"/>
              <w:divBdr>
                <w:top w:val="none" w:sz="0" w:space="0" w:color="auto"/>
                <w:left w:val="none" w:sz="0" w:space="0" w:color="auto"/>
                <w:bottom w:val="none" w:sz="0" w:space="0" w:color="auto"/>
                <w:right w:val="none" w:sz="0" w:space="0" w:color="auto"/>
              </w:divBdr>
              <w:divsChild>
                <w:div w:id="450979551">
                  <w:marLeft w:val="0"/>
                  <w:marRight w:val="0"/>
                  <w:marTop w:val="0"/>
                  <w:marBottom w:val="0"/>
                  <w:divBdr>
                    <w:top w:val="none" w:sz="0" w:space="0" w:color="auto"/>
                    <w:left w:val="none" w:sz="0" w:space="0" w:color="auto"/>
                    <w:bottom w:val="none" w:sz="0" w:space="0" w:color="auto"/>
                    <w:right w:val="none" w:sz="0" w:space="0" w:color="auto"/>
                  </w:divBdr>
                  <w:divsChild>
                    <w:div w:id="1813790805">
                      <w:marLeft w:val="0"/>
                      <w:marRight w:val="0"/>
                      <w:marTop w:val="0"/>
                      <w:marBottom w:val="0"/>
                      <w:divBdr>
                        <w:top w:val="none" w:sz="0" w:space="0" w:color="auto"/>
                        <w:left w:val="none" w:sz="0" w:space="0" w:color="auto"/>
                        <w:bottom w:val="none" w:sz="0" w:space="0" w:color="auto"/>
                        <w:right w:val="none" w:sz="0" w:space="0" w:color="auto"/>
                      </w:divBdr>
                      <w:divsChild>
                        <w:div w:id="1149395544">
                          <w:marLeft w:val="0"/>
                          <w:marRight w:val="0"/>
                          <w:marTop w:val="0"/>
                          <w:marBottom w:val="0"/>
                          <w:divBdr>
                            <w:top w:val="none" w:sz="0" w:space="0" w:color="auto"/>
                            <w:left w:val="none" w:sz="0" w:space="0" w:color="auto"/>
                            <w:bottom w:val="none" w:sz="0" w:space="0" w:color="auto"/>
                            <w:right w:val="none" w:sz="0" w:space="0" w:color="auto"/>
                          </w:divBdr>
                          <w:divsChild>
                            <w:div w:id="1406682866">
                              <w:marLeft w:val="0"/>
                              <w:marRight w:val="0"/>
                              <w:marTop w:val="0"/>
                              <w:marBottom w:val="0"/>
                              <w:divBdr>
                                <w:top w:val="none" w:sz="0" w:space="0" w:color="auto"/>
                                <w:left w:val="none" w:sz="0" w:space="0" w:color="auto"/>
                                <w:bottom w:val="none" w:sz="0" w:space="0" w:color="auto"/>
                                <w:right w:val="none" w:sz="0" w:space="0" w:color="auto"/>
                              </w:divBdr>
                              <w:divsChild>
                                <w:div w:id="993803344">
                                  <w:marLeft w:val="0"/>
                                  <w:marRight w:val="0"/>
                                  <w:marTop w:val="0"/>
                                  <w:marBottom w:val="0"/>
                                  <w:divBdr>
                                    <w:top w:val="none" w:sz="0" w:space="0" w:color="auto"/>
                                    <w:left w:val="none" w:sz="0" w:space="0" w:color="auto"/>
                                    <w:bottom w:val="none" w:sz="0" w:space="0" w:color="auto"/>
                                    <w:right w:val="none" w:sz="0" w:space="0" w:color="auto"/>
                                  </w:divBdr>
                                  <w:divsChild>
                                    <w:div w:id="55254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581606">
      <w:bodyDiv w:val="1"/>
      <w:marLeft w:val="0"/>
      <w:marRight w:val="0"/>
      <w:marTop w:val="0"/>
      <w:marBottom w:val="0"/>
      <w:divBdr>
        <w:top w:val="none" w:sz="0" w:space="0" w:color="auto"/>
        <w:left w:val="none" w:sz="0" w:space="0" w:color="auto"/>
        <w:bottom w:val="none" w:sz="0" w:space="0" w:color="auto"/>
        <w:right w:val="none" w:sz="0" w:space="0" w:color="auto"/>
      </w:divBdr>
    </w:div>
    <w:div w:id="1718819632">
      <w:bodyDiv w:val="1"/>
      <w:marLeft w:val="0"/>
      <w:marRight w:val="0"/>
      <w:marTop w:val="0"/>
      <w:marBottom w:val="0"/>
      <w:divBdr>
        <w:top w:val="none" w:sz="0" w:space="0" w:color="auto"/>
        <w:left w:val="none" w:sz="0" w:space="0" w:color="auto"/>
        <w:bottom w:val="none" w:sz="0" w:space="0" w:color="auto"/>
        <w:right w:val="none" w:sz="0" w:space="0" w:color="auto"/>
      </w:divBdr>
      <w:divsChild>
        <w:div w:id="1873960352">
          <w:marLeft w:val="0"/>
          <w:marRight w:val="0"/>
          <w:marTop w:val="0"/>
          <w:marBottom w:val="150"/>
          <w:divBdr>
            <w:top w:val="none" w:sz="0" w:space="0" w:color="auto"/>
            <w:left w:val="none" w:sz="0" w:space="0" w:color="auto"/>
            <w:bottom w:val="none" w:sz="0" w:space="0" w:color="auto"/>
            <w:right w:val="none" w:sz="0" w:space="0" w:color="auto"/>
          </w:divBdr>
        </w:div>
      </w:divsChild>
    </w:div>
    <w:div w:id="1719234580">
      <w:bodyDiv w:val="1"/>
      <w:marLeft w:val="0"/>
      <w:marRight w:val="0"/>
      <w:marTop w:val="0"/>
      <w:marBottom w:val="0"/>
      <w:divBdr>
        <w:top w:val="none" w:sz="0" w:space="0" w:color="auto"/>
        <w:left w:val="none" w:sz="0" w:space="0" w:color="auto"/>
        <w:bottom w:val="none" w:sz="0" w:space="0" w:color="auto"/>
        <w:right w:val="none" w:sz="0" w:space="0" w:color="auto"/>
      </w:divBdr>
      <w:divsChild>
        <w:div w:id="90704849">
          <w:marLeft w:val="0"/>
          <w:marRight w:val="0"/>
          <w:marTop w:val="0"/>
          <w:marBottom w:val="0"/>
          <w:divBdr>
            <w:top w:val="none" w:sz="0" w:space="0" w:color="auto"/>
            <w:left w:val="none" w:sz="0" w:space="0" w:color="auto"/>
            <w:bottom w:val="none" w:sz="0" w:space="0" w:color="auto"/>
            <w:right w:val="none" w:sz="0" w:space="0" w:color="auto"/>
          </w:divBdr>
          <w:divsChild>
            <w:div w:id="391930527">
              <w:marLeft w:val="0"/>
              <w:marRight w:val="0"/>
              <w:marTop w:val="225"/>
              <w:marBottom w:val="225"/>
              <w:divBdr>
                <w:top w:val="none" w:sz="0" w:space="0" w:color="auto"/>
                <w:left w:val="none" w:sz="0" w:space="0" w:color="auto"/>
                <w:bottom w:val="none" w:sz="0" w:space="0" w:color="auto"/>
                <w:right w:val="none" w:sz="0" w:space="0" w:color="auto"/>
              </w:divBdr>
            </w:div>
          </w:divsChild>
        </w:div>
        <w:div w:id="460877560">
          <w:marLeft w:val="0"/>
          <w:marRight w:val="0"/>
          <w:marTop w:val="0"/>
          <w:marBottom w:val="150"/>
          <w:divBdr>
            <w:top w:val="none" w:sz="0" w:space="0" w:color="auto"/>
            <w:left w:val="none" w:sz="0" w:space="0" w:color="auto"/>
            <w:bottom w:val="none" w:sz="0" w:space="0" w:color="auto"/>
            <w:right w:val="none" w:sz="0" w:space="0" w:color="auto"/>
          </w:divBdr>
        </w:div>
        <w:div w:id="1540164402">
          <w:marLeft w:val="0"/>
          <w:marRight w:val="0"/>
          <w:marTop w:val="0"/>
          <w:marBottom w:val="150"/>
          <w:divBdr>
            <w:top w:val="none" w:sz="0" w:space="0" w:color="auto"/>
            <w:left w:val="none" w:sz="0" w:space="0" w:color="auto"/>
            <w:bottom w:val="none" w:sz="0" w:space="0" w:color="auto"/>
            <w:right w:val="none" w:sz="0" w:space="0" w:color="auto"/>
          </w:divBdr>
          <w:divsChild>
            <w:div w:id="244384303">
              <w:marLeft w:val="0"/>
              <w:marRight w:val="0"/>
              <w:marTop w:val="0"/>
              <w:marBottom w:val="0"/>
              <w:divBdr>
                <w:top w:val="none" w:sz="0" w:space="0" w:color="auto"/>
                <w:left w:val="none" w:sz="0" w:space="0" w:color="auto"/>
                <w:bottom w:val="none" w:sz="0" w:space="0" w:color="auto"/>
                <w:right w:val="none" w:sz="0" w:space="0" w:color="auto"/>
              </w:divBdr>
              <w:divsChild>
                <w:div w:id="145309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402874">
      <w:bodyDiv w:val="1"/>
      <w:marLeft w:val="0"/>
      <w:marRight w:val="0"/>
      <w:marTop w:val="0"/>
      <w:marBottom w:val="0"/>
      <w:divBdr>
        <w:top w:val="none" w:sz="0" w:space="0" w:color="auto"/>
        <w:left w:val="none" w:sz="0" w:space="0" w:color="auto"/>
        <w:bottom w:val="none" w:sz="0" w:space="0" w:color="auto"/>
        <w:right w:val="none" w:sz="0" w:space="0" w:color="auto"/>
      </w:divBdr>
      <w:divsChild>
        <w:div w:id="246426399">
          <w:marLeft w:val="0"/>
          <w:marRight w:val="0"/>
          <w:marTop w:val="0"/>
          <w:marBottom w:val="0"/>
          <w:divBdr>
            <w:top w:val="none" w:sz="0" w:space="0" w:color="auto"/>
            <w:left w:val="none" w:sz="0" w:space="0" w:color="auto"/>
            <w:bottom w:val="none" w:sz="0" w:space="0" w:color="auto"/>
            <w:right w:val="none" w:sz="0" w:space="0" w:color="auto"/>
          </w:divBdr>
          <w:divsChild>
            <w:div w:id="136191799">
              <w:marLeft w:val="0"/>
              <w:marRight w:val="0"/>
              <w:marTop w:val="0"/>
              <w:marBottom w:val="0"/>
              <w:divBdr>
                <w:top w:val="none" w:sz="0" w:space="0" w:color="auto"/>
                <w:left w:val="none" w:sz="0" w:space="0" w:color="auto"/>
                <w:bottom w:val="none" w:sz="0" w:space="0" w:color="auto"/>
                <w:right w:val="none" w:sz="0" w:space="0" w:color="auto"/>
              </w:divBdr>
              <w:divsChild>
                <w:div w:id="1045905923">
                  <w:marLeft w:val="0"/>
                  <w:marRight w:val="0"/>
                  <w:marTop w:val="0"/>
                  <w:marBottom w:val="0"/>
                  <w:divBdr>
                    <w:top w:val="none" w:sz="0" w:space="0" w:color="auto"/>
                    <w:left w:val="none" w:sz="0" w:space="0" w:color="auto"/>
                    <w:bottom w:val="none" w:sz="0" w:space="0" w:color="auto"/>
                    <w:right w:val="none" w:sz="0" w:space="0" w:color="auto"/>
                  </w:divBdr>
                  <w:divsChild>
                    <w:div w:id="317268319">
                      <w:marLeft w:val="0"/>
                      <w:marRight w:val="0"/>
                      <w:marTop w:val="0"/>
                      <w:marBottom w:val="0"/>
                      <w:divBdr>
                        <w:top w:val="none" w:sz="0" w:space="0" w:color="auto"/>
                        <w:left w:val="none" w:sz="0" w:space="0" w:color="auto"/>
                        <w:bottom w:val="none" w:sz="0" w:space="0" w:color="auto"/>
                        <w:right w:val="none" w:sz="0" w:space="0" w:color="auto"/>
                      </w:divBdr>
                      <w:divsChild>
                        <w:div w:id="855968746">
                          <w:marLeft w:val="0"/>
                          <w:marRight w:val="0"/>
                          <w:marTop w:val="0"/>
                          <w:marBottom w:val="0"/>
                          <w:divBdr>
                            <w:top w:val="none" w:sz="0" w:space="0" w:color="auto"/>
                            <w:left w:val="none" w:sz="0" w:space="0" w:color="auto"/>
                            <w:bottom w:val="none" w:sz="0" w:space="0" w:color="auto"/>
                            <w:right w:val="none" w:sz="0" w:space="0" w:color="auto"/>
                          </w:divBdr>
                          <w:divsChild>
                            <w:div w:id="188613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398897">
                  <w:marLeft w:val="0"/>
                  <w:marRight w:val="0"/>
                  <w:marTop w:val="0"/>
                  <w:marBottom w:val="0"/>
                  <w:divBdr>
                    <w:top w:val="none" w:sz="0" w:space="0" w:color="auto"/>
                    <w:left w:val="none" w:sz="0" w:space="0" w:color="auto"/>
                    <w:bottom w:val="none" w:sz="0" w:space="0" w:color="auto"/>
                    <w:right w:val="none" w:sz="0" w:space="0" w:color="auto"/>
                  </w:divBdr>
                  <w:divsChild>
                    <w:div w:id="407964518">
                      <w:marLeft w:val="0"/>
                      <w:marRight w:val="0"/>
                      <w:marTop w:val="0"/>
                      <w:marBottom w:val="300"/>
                      <w:divBdr>
                        <w:top w:val="none" w:sz="0" w:space="0" w:color="auto"/>
                        <w:left w:val="none" w:sz="0" w:space="0" w:color="auto"/>
                        <w:bottom w:val="none" w:sz="0" w:space="0" w:color="auto"/>
                        <w:right w:val="none" w:sz="0" w:space="0" w:color="auto"/>
                      </w:divBdr>
                      <w:divsChild>
                        <w:div w:id="79525316">
                          <w:marLeft w:val="0"/>
                          <w:marRight w:val="0"/>
                          <w:marTop w:val="0"/>
                          <w:marBottom w:val="0"/>
                          <w:divBdr>
                            <w:top w:val="none" w:sz="0" w:space="0" w:color="auto"/>
                            <w:left w:val="none" w:sz="0" w:space="0" w:color="auto"/>
                            <w:bottom w:val="none" w:sz="0" w:space="0" w:color="auto"/>
                            <w:right w:val="none" w:sz="0" w:space="0" w:color="auto"/>
                          </w:divBdr>
                          <w:divsChild>
                            <w:div w:id="1293318953">
                              <w:marLeft w:val="0"/>
                              <w:marRight w:val="0"/>
                              <w:marTop w:val="0"/>
                              <w:marBottom w:val="0"/>
                              <w:divBdr>
                                <w:top w:val="none" w:sz="0" w:space="0" w:color="auto"/>
                                <w:left w:val="none" w:sz="0" w:space="0" w:color="auto"/>
                                <w:bottom w:val="none" w:sz="0" w:space="0" w:color="auto"/>
                                <w:right w:val="none" w:sz="0" w:space="0" w:color="auto"/>
                              </w:divBdr>
                              <w:divsChild>
                                <w:div w:id="560022074">
                                  <w:marLeft w:val="0"/>
                                  <w:marRight w:val="0"/>
                                  <w:marTop w:val="0"/>
                                  <w:marBottom w:val="0"/>
                                  <w:divBdr>
                                    <w:top w:val="single" w:sz="2" w:space="0" w:color="DFDFDF"/>
                                    <w:left w:val="single" w:sz="2" w:space="0" w:color="DFDFDF"/>
                                    <w:bottom w:val="single" w:sz="2" w:space="0" w:color="DFDFDF"/>
                                    <w:right w:val="single" w:sz="2" w:space="0" w:color="DFDFDF"/>
                                  </w:divBdr>
                                  <w:divsChild>
                                    <w:div w:id="49571751">
                                      <w:marLeft w:val="-90"/>
                                      <w:marRight w:val="0"/>
                                      <w:marTop w:val="0"/>
                                      <w:marBottom w:val="0"/>
                                      <w:divBdr>
                                        <w:top w:val="none" w:sz="0" w:space="0" w:color="auto"/>
                                        <w:left w:val="none" w:sz="0" w:space="0" w:color="auto"/>
                                        <w:bottom w:val="none" w:sz="0" w:space="0" w:color="auto"/>
                                        <w:right w:val="none" w:sz="0" w:space="0" w:color="auto"/>
                                      </w:divBdr>
                                      <w:divsChild>
                                        <w:div w:id="2121993924">
                                          <w:marLeft w:val="0"/>
                                          <w:marRight w:val="0"/>
                                          <w:marTop w:val="0"/>
                                          <w:marBottom w:val="45"/>
                                          <w:divBdr>
                                            <w:top w:val="single" w:sz="2" w:space="0" w:color="A9A9A9"/>
                                            <w:left w:val="single" w:sz="2" w:space="0" w:color="A9A9A9"/>
                                            <w:bottom w:val="single" w:sz="2" w:space="0" w:color="A9A9A9"/>
                                            <w:right w:val="single" w:sz="2" w:space="0" w:color="A9A9A9"/>
                                          </w:divBdr>
                                          <w:divsChild>
                                            <w:div w:id="1646623452">
                                              <w:marLeft w:val="0"/>
                                              <w:marRight w:val="0"/>
                                              <w:marTop w:val="0"/>
                                              <w:marBottom w:val="0"/>
                                              <w:divBdr>
                                                <w:top w:val="none" w:sz="0" w:space="0" w:color="auto"/>
                                                <w:left w:val="none" w:sz="0" w:space="0" w:color="auto"/>
                                                <w:bottom w:val="none" w:sz="0" w:space="0" w:color="auto"/>
                                                <w:right w:val="none" w:sz="0" w:space="0" w:color="auto"/>
                                              </w:divBdr>
                                              <w:divsChild>
                                                <w:div w:id="745877783">
                                                  <w:marLeft w:val="92"/>
                                                  <w:marRight w:val="0"/>
                                                  <w:marTop w:val="0"/>
                                                  <w:marBottom w:val="150"/>
                                                  <w:divBdr>
                                                    <w:top w:val="single" w:sz="2" w:space="0" w:color="E4E4E4"/>
                                                    <w:left w:val="single" w:sz="2" w:space="0" w:color="E4E4E4"/>
                                                    <w:bottom w:val="single" w:sz="2" w:space="0" w:color="E4E4E4"/>
                                                    <w:right w:val="single" w:sz="2" w:space="0" w:color="E4E4E4"/>
                                                  </w:divBdr>
                                                </w:div>
                                                <w:div w:id="204744126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772936115">
                          <w:marLeft w:val="0"/>
                          <w:marRight w:val="0"/>
                          <w:marTop w:val="45"/>
                          <w:marBottom w:val="0"/>
                          <w:divBdr>
                            <w:top w:val="none" w:sz="0" w:space="0" w:color="auto"/>
                            <w:left w:val="none" w:sz="0" w:space="0" w:color="auto"/>
                            <w:bottom w:val="none" w:sz="0" w:space="0" w:color="auto"/>
                            <w:right w:val="none" w:sz="0" w:space="0" w:color="auto"/>
                          </w:divBdr>
                          <w:divsChild>
                            <w:div w:id="91897328">
                              <w:marLeft w:val="0"/>
                              <w:marRight w:val="0"/>
                              <w:marTop w:val="0"/>
                              <w:marBottom w:val="330"/>
                              <w:divBdr>
                                <w:top w:val="none" w:sz="0" w:space="0" w:color="auto"/>
                                <w:left w:val="none" w:sz="0" w:space="0" w:color="auto"/>
                                <w:bottom w:val="none" w:sz="0" w:space="0" w:color="auto"/>
                                <w:right w:val="none" w:sz="0" w:space="0" w:color="auto"/>
                              </w:divBdr>
                              <w:divsChild>
                                <w:div w:id="303046575">
                                  <w:marLeft w:val="0"/>
                                  <w:marRight w:val="0"/>
                                  <w:marTop w:val="0"/>
                                  <w:marBottom w:val="0"/>
                                  <w:divBdr>
                                    <w:top w:val="none" w:sz="0" w:space="0" w:color="auto"/>
                                    <w:left w:val="none" w:sz="0" w:space="0" w:color="auto"/>
                                    <w:bottom w:val="none" w:sz="0" w:space="0" w:color="auto"/>
                                    <w:right w:val="none" w:sz="0" w:space="0" w:color="auto"/>
                                  </w:divBdr>
                                  <w:divsChild>
                                    <w:div w:id="1330715607">
                                      <w:marLeft w:val="0"/>
                                      <w:marRight w:val="0"/>
                                      <w:marTop w:val="0"/>
                                      <w:marBottom w:val="0"/>
                                      <w:divBdr>
                                        <w:top w:val="single" w:sz="2" w:space="0" w:color="DFDFDF"/>
                                        <w:left w:val="single" w:sz="2" w:space="0" w:color="DFDFDF"/>
                                        <w:bottom w:val="single" w:sz="2" w:space="0" w:color="DFDFDF"/>
                                        <w:right w:val="single" w:sz="2" w:space="0" w:color="DFDFDF"/>
                                      </w:divBdr>
                                      <w:divsChild>
                                        <w:div w:id="374353975">
                                          <w:marLeft w:val="-90"/>
                                          <w:marRight w:val="0"/>
                                          <w:marTop w:val="0"/>
                                          <w:marBottom w:val="0"/>
                                          <w:divBdr>
                                            <w:top w:val="none" w:sz="0" w:space="0" w:color="auto"/>
                                            <w:left w:val="none" w:sz="0" w:space="0" w:color="auto"/>
                                            <w:bottom w:val="none" w:sz="0" w:space="0" w:color="auto"/>
                                            <w:right w:val="none" w:sz="0" w:space="0" w:color="auto"/>
                                          </w:divBdr>
                                          <w:divsChild>
                                            <w:div w:id="2074887260">
                                              <w:marLeft w:val="0"/>
                                              <w:marRight w:val="0"/>
                                              <w:marTop w:val="0"/>
                                              <w:marBottom w:val="45"/>
                                              <w:divBdr>
                                                <w:top w:val="single" w:sz="2" w:space="0" w:color="A9A9A9"/>
                                                <w:left w:val="single" w:sz="2" w:space="0" w:color="A9A9A9"/>
                                                <w:bottom w:val="single" w:sz="2" w:space="0" w:color="A9A9A9"/>
                                                <w:right w:val="single" w:sz="2" w:space="0" w:color="A9A9A9"/>
                                              </w:divBdr>
                                              <w:divsChild>
                                                <w:div w:id="634218086">
                                                  <w:marLeft w:val="0"/>
                                                  <w:marRight w:val="0"/>
                                                  <w:marTop w:val="0"/>
                                                  <w:marBottom w:val="0"/>
                                                  <w:divBdr>
                                                    <w:top w:val="none" w:sz="0" w:space="0" w:color="auto"/>
                                                    <w:left w:val="none" w:sz="0" w:space="0" w:color="auto"/>
                                                    <w:bottom w:val="none" w:sz="0" w:space="0" w:color="auto"/>
                                                    <w:right w:val="none" w:sz="0" w:space="0" w:color="auto"/>
                                                  </w:divBdr>
                                                  <w:divsChild>
                                                    <w:div w:id="482434159">
                                                      <w:marLeft w:val="92"/>
                                                      <w:marRight w:val="0"/>
                                                      <w:marTop w:val="0"/>
                                                      <w:marBottom w:val="150"/>
                                                      <w:divBdr>
                                                        <w:top w:val="single" w:sz="2" w:space="0" w:color="E4E4E4"/>
                                                        <w:left w:val="single" w:sz="2" w:space="0" w:color="E4E4E4"/>
                                                        <w:bottom w:val="single" w:sz="2" w:space="0" w:color="E4E4E4"/>
                                                        <w:right w:val="single" w:sz="2" w:space="0" w:color="E4E4E4"/>
                                                      </w:divBdr>
                                                      <w:divsChild>
                                                        <w:div w:id="92557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6814273">
                              <w:marLeft w:val="0"/>
                              <w:marRight w:val="0"/>
                              <w:marTop w:val="0"/>
                              <w:marBottom w:val="330"/>
                              <w:divBdr>
                                <w:top w:val="none" w:sz="0" w:space="0" w:color="auto"/>
                                <w:left w:val="none" w:sz="0" w:space="0" w:color="auto"/>
                                <w:bottom w:val="none" w:sz="0" w:space="0" w:color="auto"/>
                                <w:right w:val="none" w:sz="0" w:space="0" w:color="auto"/>
                              </w:divBdr>
                              <w:divsChild>
                                <w:div w:id="919604442">
                                  <w:marLeft w:val="0"/>
                                  <w:marRight w:val="0"/>
                                  <w:marTop w:val="0"/>
                                  <w:marBottom w:val="0"/>
                                  <w:divBdr>
                                    <w:top w:val="none" w:sz="0" w:space="0" w:color="auto"/>
                                    <w:left w:val="none" w:sz="0" w:space="0" w:color="auto"/>
                                    <w:bottom w:val="none" w:sz="0" w:space="0" w:color="auto"/>
                                    <w:right w:val="none" w:sz="0" w:space="0" w:color="auto"/>
                                  </w:divBdr>
                                  <w:divsChild>
                                    <w:div w:id="1881749432">
                                      <w:marLeft w:val="0"/>
                                      <w:marRight w:val="0"/>
                                      <w:marTop w:val="0"/>
                                      <w:marBottom w:val="0"/>
                                      <w:divBdr>
                                        <w:top w:val="single" w:sz="2" w:space="0" w:color="DFDFDF"/>
                                        <w:left w:val="single" w:sz="2" w:space="0" w:color="DFDFDF"/>
                                        <w:bottom w:val="single" w:sz="2" w:space="0" w:color="DFDFDF"/>
                                        <w:right w:val="single" w:sz="2" w:space="0" w:color="DFDFDF"/>
                                      </w:divBdr>
                                      <w:divsChild>
                                        <w:div w:id="1500273049">
                                          <w:marLeft w:val="-90"/>
                                          <w:marRight w:val="0"/>
                                          <w:marTop w:val="0"/>
                                          <w:marBottom w:val="0"/>
                                          <w:divBdr>
                                            <w:top w:val="none" w:sz="0" w:space="0" w:color="auto"/>
                                            <w:left w:val="none" w:sz="0" w:space="0" w:color="auto"/>
                                            <w:bottom w:val="none" w:sz="0" w:space="0" w:color="auto"/>
                                            <w:right w:val="none" w:sz="0" w:space="0" w:color="auto"/>
                                          </w:divBdr>
                                          <w:divsChild>
                                            <w:div w:id="1039625096">
                                              <w:marLeft w:val="0"/>
                                              <w:marRight w:val="0"/>
                                              <w:marTop w:val="0"/>
                                              <w:marBottom w:val="45"/>
                                              <w:divBdr>
                                                <w:top w:val="single" w:sz="2" w:space="0" w:color="A9A9A9"/>
                                                <w:left w:val="single" w:sz="2" w:space="0" w:color="A9A9A9"/>
                                                <w:bottom w:val="single" w:sz="2" w:space="0" w:color="A9A9A9"/>
                                                <w:right w:val="single" w:sz="2" w:space="0" w:color="A9A9A9"/>
                                              </w:divBdr>
                                              <w:divsChild>
                                                <w:div w:id="154419870">
                                                  <w:marLeft w:val="0"/>
                                                  <w:marRight w:val="0"/>
                                                  <w:marTop w:val="0"/>
                                                  <w:marBottom w:val="0"/>
                                                  <w:divBdr>
                                                    <w:top w:val="none" w:sz="0" w:space="0" w:color="auto"/>
                                                    <w:left w:val="none" w:sz="0" w:space="0" w:color="auto"/>
                                                    <w:bottom w:val="none" w:sz="0" w:space="0" w:color="auto"/>
                                                    <w:right w:val="none" w:sz="0" w:space="0" w:color="auto"/>
                                                  </w:divBdr>
                                                  <w:divsChild>
                                                    <w:div w:id="188421719">
                                                      <w:marLeft w:val="92"/>
                                                      <w:marRight w:val="0"/>
                                                      <w:marTop w:val="0"/>
                                                      <w:marBottom w:val="150"/>
                                                      <w:divBdr>
                                                        <w:top w:val="single" w:sz="2" w:space="0" w:color="E4E4E4"/>
                                                        <w:left w:val="single" w:sz="2" w:space="0" w:color="E4E4E4"/>
                                                        <w:bottom w:val="single" w:sz="2" w:space="0" w:color="E4E4E4"/>
                                                        <w:right w:val="single" w:sz="2" w:space="0" w:color="E4E4E4"/>
                                                      </w:divBdr>
                                                      <w:divsChild>
                                                        <w:div w:id="201013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356252">
                              <w:marLeft w:val="0"/>
                              <w:marRight w:val="0"/>
                              <w:marTop w:val="0"/>
                              <w:marBottom w:val="330"/>
                              <w:divBdr>
                                <w:top w:val="none" w:sz="0" w:space="0" w:color="auto"/>
                                <w:left w:val="none" w:sz="0" w:space="0" w:color="auto"/>
                                <w:bottom w:val="none" w:sz="0" w:space="0" w:color="auto"/>
                                <w:right w:val="none" w:sz="0" w:space="0" w:color="auto"/>
                              </w:divBdr>
                              <w:divsChild>
                                <w:div w:id="221790228">
                                  <w:marLeft w:val="0"/>
                                  <w:marRight w:val="0"/>
                                  <w:marTop w:val="0"/>
                                  <w:marBottom w:val="0"/>
                                  <w:divBdr>
                                    <w:top w:val="none" w:sz="0" w:space="0" w:color="auto"/>
                                    <w:left w:val="none" w:sz="0" w:space="0" w:color="auto"/>
                                    <w:bottom w:val="none" w:sz="0" w:space="0" w:color="auto"/>
                                    <w:right w:val="none" w:sz="0" w:space="0" w:color="auto"/>
                                  </w:divBdr>
                                  <w:divsChild>
                                    <w:div w:id="66459710">
                                      <w:marLeft w:val="0"/>
                                      <w:marRight w:val="0"/>
                                      <w:marTop w:val="0"/>
                                      <w:marBottom w:val="0"/>
                                      <w:divBdr>
                                        <w:top w:val="single" w:sz="2" w:space="0" w:color="DFDFDF"/>
                                        <w:left w:val="single" w:sz="2" w:space="0" w:color="DFDFDF"/>
                                        <w:bottom w:val="single" w:sz="2" w:space="0" w:color="DFDFDF"/>
                                        <w:right w:val="single" w:sz="2" w:space="0" w:color="DFDFDF"/>
                                      </w:divBdr>
                                      <w:divsChild>
                                        <w:div w:id="521824803">
                                          <w:marLeft w:val="0"/>
                                          <w:marRight w:val="0"/>
                                          <w:marTop w:val="0"/>
                                          <w:marBottom w:val="270"/>
                                          <w:divBdr>
                                            <w:top w:val="none" w:sz="0" w:space="0" w:color="auto"/>
                                            <w:left w:val="none" w:sz="0" w:space="0" w:color="auto"/>
                                            <w:bottom w:val="single" w:sz="12" w:space="5" w:color="DADADA"/>
                                            <w:right w:val="none" w:sz="0" w:space="0" w:color="auto"/>
                                          </w:divBdr>
                                          <w:divsChild>
                                            <w:div w:id="479083748">
                                              <w:marLeft w:val="0"/>
                                              <w:marRight w:val="0"/>
                                              <w:marTop w:val="0"/>
                                              <w:marBottom w:val="0"/>
                                              <w:divBdr>
                                                <w:top w:val="none" w:sz="0" w:space="0" w:color="auto"/>
                                                <w:left w:val="none" w:sz="0" w:space="0" w:color="auto"/>
                                                <w:bottom w:val="none" w:sz="0" w:space="0" w:color="auto"/>
                                                <w:right w:val="none" w:sz="0" w:space="0" w:color="auto"/>
                                              </w:divBdr>
                                            </w:div>
                                          </w:divsChild>
                                        </w:div>
                                        <w:div w:id="1392197436">
                                          <w:marLeft w:val="-90"/>
                                          <w:marRight w:val="0"/>
                                          <w:marTop w:val="0"/>
                                          <w:marBottom w:val="0"/>
                                          <w:divBdr>
                                            <w:top w:val="none" w:sz="0" w:space="0" w:color="auto"/>
                                            <w:left w:val="none" w:sz="0" w:space="0" w:color="auto"/>
                                            <w:bottom w:val="none" w:sz="0" w:space="0" w:color="auto"/>
                                            <w:right w:val="none" w:sz="0" w:space="0" w:color="auto"/>
                                          </w:divBdr>
                                          <w:divsChild>
                                            <w:div w:id="623848159">
                                              <w:marLeft w:val="0"/>
                                              <w:marRight w:val="0"/>
                                              <w:marTop w:val="0"/>
                                              <w:marBottom w:val="45"/>
                                              <w:divBdr>
                                                <w:top w:val="single" w:sz="2" w:space="0" w:color="A9A9A9"/>
                                                <w:left w:val="single" w:sz="2" w:space="0" w:color="A9A9A9"/>
                                                <w:bottom w:val="single" w:sz="2" w:space="0" w:color="A9A9A9"/>
                                                <w:right w:val="single" w:sz="2" w:space="0" w:color="A9A9A9"/>
                                              </w:divBdr>
                                              <w:divsChild>
                                                <w:div w:id="2032031818">
                                                  <w:marLeft w:val="0"/>
                                                  <w:marRight w:val="0"/>
                                                  <w:marTop w:val="0"/>
                                                  <w:marBottom w:val="0"/>
                                                  <w:divBdr>
                                                    <w:top w:val="none" w:sz="0" w:space="0" w:color="auto"/>
                                                    <w:left w:val="none" w:sz="0" w:space="0" w:color="auto"/>
                                                    <w:bottom w:val="none" w:sz="0" w:space="0" w:color="auto"/>
                                                    <w:right w:val="none" w:sz="0" w:space="0" w:color="auto"/>
                                                  </w:divBdr>
                                                  <w:divsChild>
                                                    <w:div w:id="177358496">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188720572">
                      <w:marLeft w:val="0"/>
                      <w:marRight w:val="0"/>
                      <w:marTop w:val="0"/>
                      <w:marBottom w:val="300"/>
                      <w:divBdr>
                        <w:top w:val="none" w:sz="0" w:space="0" w:color="auto"/>
                        <w:left w:val="none" w:sz="0" w:space="0" w:color="auto"/>
                        <w:bottom w:val="none" w:sz="0" w:space="0" w:color="auto"/>
                        <w:right w:val="none" w:sz="0" w:space="0" w:color="auto"/>
                      </w:divBdr>
                      <w:divsChild>
                        <w:div w:id="1512526519">
                          <w:marLeft w:val="0"/>
                          <w:marRight w:val="0"/>
                          <w:marTop w:val="0"/>
                          <w:marBottom w:val="0"/>
                          <w:divBdr>
                            <w:top w:val="none" w:sz="0" w:space="0" w:color="auto"/>
                            <w:left w:val="none" w:sz="0" w:space="0" w:color="auto"/>
                            <w:bottom w:val="none" w:sz="0" w:space="0" w:color="auto"/>
                            <w:right w:val="none" w:sz="0" w:space="0" w:color="auto"/>
                          </w:divBdr>
                          <w:divsChild>
                            <w:div w:id="2029981696">
                              <w:marLeft w:val="0"/>
                              <w:marRight w:val="0"/>
                              <w:marTop w:val="0"/>
                              <w:marBottom w:val="0"/>
                              <w:divBdr>
                                <w:top w:val="none" w:sz="0" w:space="0" w:color="auto"/>
                                <w:left w:val="none" w:sz="0" w:space="0" w:color="auto"/>
                                <w:bottom w:val="none" w:sz="0" w:space="0" w:color="auto"/>
                                <w:right w:val="none" w:sz="0" w:space="0" w:color="auto"/>
                              </w:divBdr>
                              <w:divsChild>
                                <w:div w:id="404576389">
                                  <w:marLeft w:val="0"/>
                                  <w:marRight w:val="600"/>
                                  <w:marTop w:val="0"/>
                                  <w:marBottom w:val="0"/>
                                  <w:divBdr>
                                    <w:top w:val="none" w:sz="0" w:space="0" w:color="auto"/>
                                    <w:left w:val="none" w:sz="0" w:space="0" w:color="auto"/>
                                    <w:bottom w:val="none" w:sz="0" w:space="0" w:color="auto"/>
                                    <w:right w:val="none" w:sz="0" w:space="0" w:color="auto"/>
                                  </w:divBdr>
                                  <w:divsChild>
                                    <w:div w:id="195434758">
                                      <w:marLeft w:val="0"/>
                                      <w:marRight w:val="0"/>
                                      <w:marTop w:val="0"/>
                                      <w:marBottom w:val="120"/>
                                      <w:divBdr>
                                        <w:top w:val="none" w:sz="0" w:space="0" w:color="auto"/>
                                        <w:left w:val="none" w:sz="0" w:space="0" w:color="auto"/>
                                        <w:bottom w:val="single" w:sz="6" w:space="6" w:color="EEEEEE"/>
                                        <w:right w:val="none" w:sz="0" w:space="0" w:color="auto"/>
                                      </w:divBdr>
                                      <w:divsChild>
                                        <w:div w:id="1935942622">
                                          <w:marLeft w:val="0"/>
                                          <w:marRight w:val="0"/>
                                          <w:marTop w:val="0"/>
                                          <w:marBottom w:val="0"/>
                                          <w:divBdr>
                                            <w:top w:val="none" w:sz="0" w:space="0" w:color="auto"/>
                                            <w:left w:val="none" w:sz="0" w:space="0" w:color="auto"/>
                                            <w:bottom w:val="none" w:sz="0" w:space="0" w:color="auto"/>
                                            <w:right w:val="none" w:sz="0" w:space="0" w:color="auto"/>
                                          </w:divBdr>
                                        </w:div>
                                      </w:divsChild>
                                    </w:div>
                                    <w:div w:id="270360645">
                                      <w:marLeft w:val="0"/>
                                      <w:marRight w:val="0"/>
                                      <w:marTop w:val="0"/>
                                      <w:marBottom w:val="120"/>
                                      <w:divBdr>
                                        <w:top w:val="none" w:sz="0" w:space="0" w:color="auto"/>
                                        <w:left w:val="none" w:sz="0" w:space="0" w:color="auto"/>
                                        <w:bottom w:val="single" w:sz="6" w:space="6" w:color="EEEEEE"/>
                                        <w:right w:val="none" w:sz="0" w:space="0" w:color="auto"/>
                                      </w:divBdr>
                                      <w:divsChild>
                                        <w:div w:id="2085225856">
                                          <w:marLeft w:val="0"/>
                                          <w:marRight w:val="0"/>
                                          <w:marTop w:val="0"/>
                                          <w:marBottom w:val="0"/>
                                          <w:divBdr>
                                            <w:top w:val="none" w:sz="0" w:space="0" w:color="auto"/>
                                            <w:left w:val="none" w:sz="0" w:space="0" w:color="auto"/>
                                            <w:bottom w:val="none" w:sz="0" w:space="0" w:color="auto"/>
                                            <w:right w:val="none" w:sz="0" w:space="0" w:color="auto"/>
                                          </w:divBdr>
                                        </w:div>
                                      </w:divsChild>
                                    </w:div>
                                    <w:div w:id="1406026917">
                                      <w:marLeft w:val="0"/>
                                      <w:marRight w:val="0"/>
                                      <w:marTop w:val="0"/>
                                      <w:marBottom w:val="120"/>
                                      <w:divBdr>
                                        <w:top w:val="none" w:sz="0" w:space="0" w:color="auto"/>
                                        <w:left w:val="none" w:sz="0" w:space="0" w:color="auto"/>
                                        <w:bottom w:val="none" w:sz="0" w:space="0" w:color="auto"/>
                                        <w:right w:val="none" w:sz="0" w:space="0" w:color="auto"/>
                                      </w:divBdr>
                                      <w:divsChild>
                                        <w:div w:id="456800559">
                                          <w:marLeft w:val="0"/>
                                          <w:marRight w:val="0"/>
                                          <w:marTop w:val="0"/>
                                          <w:marBottom w:val="0"/>
                                          <w:divBdr>
                                            <w:top w:val="none" w:sz="0" w:space="0" w:color="auto"/>
                                            <w:left w:val="none" w:sz="0" w:space="0" w:color="auto"/>
                                            <w:bottom w:val="none" w:sz="0" w:space="0" w:color="auto"/>
                                            <w:right w:val="none" w:sz="0" w:space="0" w:color="auto"/>
                                          </w:divBdr>
                                        </w:div>
                                      </w:divsChild>
                                    </w:div>
                                    <w:div w:id="1493791399">
                                      <w:marLeft w:val="0"/>
                                      <w:marRight w:val="0"/>
                                      <w:marTop w:val="0"/>
                                      <w:marBottom w:val="120"/>
                                      <w:divBdr>
                                        <w:top w:val="none" w:sz="0" w:space="0" w:color="auto"/>
                                        <w:left w:val="none" w:sz="0" w:space="0" w:color="auto"/>
                                        <w:bottom w:val="single" w:sz="6" w:space="6" w:color="EEEEEE"/>
                                        <w:right w:val="none" w:sz="0" w:space="0" w:color="auto"/>
                                      </w:divBdr>
                                      <w:divsChild>
                                        <w:div w:id="1816413254">
                                          <w:marLeft w:val="0"/>
                                          <w:marRight w:val="0"/>
                                          <w:marTop w:val="0"/>
                                          <w:marBottom w:val="0"/>
                                          <w:divBdr>
                                            <w:top w:val="none" w:sz="0" w:space="0" w:color="auto"/>
                                            <w:left w:val="none" w:sz="0" w:space="0" w:color="auto"/>
                                            <w:bottom w:val="none" w:sz="0" w:space="0" w:color="auto"/>
                                            <w:right w:val="none" w:sz="0" w:space="0" w:color="auto"/>
                                          </w:divBdr>
                                        </w:div>
                                      </w:divsChild>
                                    </w:div>
                                    <w:div w:id="1928921261">
                                      <w:marLeft w:val="0"/>
                                      <w:marRight w:val="0"/>
                                      <w:marTop w:val="0"/>
                                      <w:marBottom w:val="120"/>
                                      <w:divBdr>
                                        <w:top w:val="none" w:sz="0" w:space="0" w:color="auto"/>
                                        <w:left w:val="none" w:sz="0" w:space="0" w:color="auto"/>
                                        <w:bottom w:val="single" w:sz="6" w:space="6" w:color="EEEEEE"/>
                                        <w:right w:val="none" w:sz="0" w:space="0" w:color="auto"/>
                                      </w:divBdr>
                                      <w:divsChild>
                                        <w:div w:id="59560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777469">
                                  <w:marLeft w:val="0"/>
                                  <w:marRight w:val="600"/>
                                  <w:marTop w:val="0"/>
                                  <w:marBottom w:val="0"/>
                                  <w:divBdr>
                                    <w:top w:val="none" w:sz="0" w:space="0" w:color="auto"/>
                                    <w:left w:val="none" w:sz="0" w:space="0" w:color="auto"/>
                                    <w:bottom w:val="none" w:sz="0" w:space="0" w:color="auto"/>
                                    <w:right w:val="none" w:sz="0" w:space="0" w:color="auto"/>
                                  </w:divBdr>
                                  <w:divsChild>
                                    <w:div w:id="425853589">
                                      <w:marLeft w:val="0"/>
                                      <w:marRight w:val="0"/>
                                      <w:marTop w:val="0"/>
                                      <w:marBottom w:val="120"/>
                                      <w:divBdr>
                                        <w:top w:val="none" w:sz="0" w:space="0" w:color="auto"/>
                                        <w:left w:val="none" w:sz="0" w:space="0" w:color="auto"/>
                                        <w:bottom w:val="single" w:sz="6" w:space="6" w:color="EEEEEE"/>
                                        <w:right w:val="none" w:sz="0" w:space="0" w:color="auto"/>
                                      </w:divBdr>
                                      <w:divsChild>
                                        <w:div w:id="2098552983">
                                          <w:marLeft w:val="0"/>
                                          <w:marRight w:val="0"/>
                                          <w:marTop w:val="0"/>
                                          <w:marBottom w:val="0"/>
                                          <w:divBdr>
                                            <w:top w:val="none" w:sz="0" w:space="0" w:color="auto"/>
                                            <w:left w:val="none" w:sz="0" w:space="0" w:color="auto"/>
                                            <w:bottom w:val="none" w:sz="0" w:space="0" w:color="auto"/>
                                            <w:right w:val="none" w:sz="0" w:space="0" w:color="auto"/>
                                          </w:divBdr>
                                        </w:div>
                                      </w:divsChild>
                                    </w:div>
                                    <w:div w:id="1884442969">
                                      <w:marLeft w:val="0"/>
                                      <w:marRight w:val="0"/>
                                      <w:marTop w:val="0"/>
                                      <w:marBottom w:val="120"/>
                                      <w:divBdr>
                                        <w:top w:val="none" w:sz="0" w:space="0" w:color="auto"/>
                                        <w:left w:val="none" w:sz="0" w:space="0" w:color="auto"/>
                                        <w:bottom w:val="single" w:sz="6" w:space="6" w:color="EEEEEE"/>
                                        <w:right w:val="none" w:sz="0" w:space="0" w:color="auto"/>
                                      </w:divBdr>
                                      <w:divsChild>
                                        <w:div w:id="69498421">
                                          <w:marLeft w:val="0"/>
                                          <w:marRight w:val="0"/>
                                          <w:marTop w:val="0"/>
                                          <w:marBottom w:val="0"/>
                                          <w:divBdr>
                                            <w:top w:val="none" w:sz="0" w:space="0" w:color="auto"/>
                                            <w:left w:val="none" w:sz="0" w:space="0" w:color="auto"/>
                                            <w:bottom w:val="none" w:sz="0" w:space="0" w:color="auto"/>
                                            <w:right w:val="none" w:sz="0" w:space="0" w:color="auto"/>
                                          </w:divBdr>
                                        </w:div>
                                      </w:divsChild>
                                    </w:div>
                                    <w:div w:id="2045210431">
                                      <w:marLeft w:val="0"/>
                                      <w:marRight w:val="0"/>
                                      <w:marTop w:val="0"/>
                                      <w:marBottom w:val="120"/>
                                      <w:divBdr>
                                        <w:top w:val="none" w:sz="0" w:space="0" w:color="auto"/>
                                        <w:left w:val="none" w:sz="0" w:space="0" w:color="auto"/>
                                        <w:bottom w:val="single" w:sz="6" w:space="6" w:color="EEEEEE"/>
                                        <w:right w:val="none" w:sz="0" w:space="0" w:color="auto"/>
                                      </w:divBdr>
                                      <w:divsChild>
                                        <w:div w:id="713771216">
                                          <w:marLeft w:val="0"/>
                                          <w:marRight w:val="0"/>
                                          <w:marTop w:val="0"/>
                                          <w:marBottom w:val="0"/>
                                          <w:divBdr>
                                            <w:top w:val="none" w:sz="0" w:space="0" w:color="auto"/>
                                            <w:left w:val="none" w:sz="0" w:space="0" w:color="auto"/>
                                            <w:bottom w:val="none" w:sz="0" w:space="0" w:color="auto"/>
                                            <w:right w:val="none" w:sz="0" w:space="0" w:color="auto"/>
                                          </w:divBdr>
                                        </w:div>
                                      </w:divsChild>
                                    </w:div>
                                    <w:div w:id="2053381116">
                                      <w:marLeft w:val="0"/>
                                      <w:marRight w:val="0"/>
                                      <w:marTop w:val="0"/>
                                      <w:marBottom w:val="120"/>
                                      <w:divBdr>
                                        <w:top w:val="none" w:sz="0" w:space="0" w:color="auto"/>
                                        <w:left w:val="none" w:sz="0" w:space="0" w:color="auto"/>
                                        <w:bottom w:val="single" w:sz="6" w:space="6" w:color="EEEEEE"/>
                                        <w:right w:val="none" w:sz="0" w:space="0" w:color="auto"/>
                                      </w:divBdr>
                                      <w:divsChild>
                                        <w:div w:id="1984889926">
                                          <w:marLeft w:val="0"/>
                                          <w:marRight w:val="0"/>
                                          <w:marTop w:val="0"/>
                                          <w:marBottom w:val="0"/>
                                          <w:divBdr>
                                            <w:top w:val="none" w:sz="0" w:space="0" w:color="auto"/>
                                            <w:left w:val="none" w:sz="0" w:space="0" w:color="auto"/>
                                            <w:bottom w:val="none" w:sz="0" w:space="0" w:color="auto"/>
                                            <w:right w:val="none" w:sz="0" w:space="0" w:color="auto"/>
                                          </w:divBdr>
                                        </w:div>
                                      </w:divsChild>
                                    </w:div>
                                    <w:div w:id="2080205336">
                                      <w:marLeft w:val="0"/>
                                      <w:marRight w:val="0"/>
                                      <w:marTop w:val="0"/>
                                      <w:marBottom w:val="120"/>
                                      <w:divBdr>
                                        <w:top w:val="none" w:sz="0" w:space="0" w:color="auto"/>
                                        <w:left w:val="none" w:sz="0" w:space="0" w:color="auto"/>
                                        <w:bottom w:val="none" w:sz="0" w:space="0" w:color="auto"/>
                                        <w:right w:val="none" w:sz="0" w:space="0" w:color="auto"/>
                                      </w:divBdr>
                                      <w:divsChild>
                                        <w:div w:id="178546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830266">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sChild>
            </w:div>
          </w:divsChild>
        </w:div>
        <w:div w:id="1851486692">
          <w:marLeft w:val="0"/>
          <w:marRight w:val="0"/>
          <w:marTop w:val="0"/>
          <w:marBottom w:val="0"/>
          <w:divBdr>
            <w:top w:val="none" w:sz="0" w:space="0" w:color="auto"/>
            <w:left w:val="none" w:sz="0" w:space="0" w:color="auto"/>
            <w:bottom w:val="none" w:sz="0" w:space="0" w:color="auto"/>
            <w:right w:val="none" w:sz="0" w:space="0" w:color="auto"/>
          </w:divBdr>
          <w:divsChild>
            <w:div w:id="151631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0860">
      <w:bodyDiv w:val="1"/>
      <w:marLeft w:val="0"/>
      <w:marRight w:val="0"/>
      <w:marTop w:val="0"/>
      <w:marBottom w:val="0"/>
      <w:divBdr>
        <w:top w:val="none" w:sz="0" w:space="0" w:color="auto"/>
        <w:left w:val="none" w:sz="0" w:space="0" w:color="auto"/>
        <w:bottom w:val="none" w:sz="0" w:space="0" w:color="auto"/>
        <w:right w:val="none" w:sz="0" w:space="0" w:color="auto"/>
      </w:divBdr>
      <w:divsChild>
        <w:div w:id="1237860323">
          <w:marLeft w:val="0"/>
          <w:marRight w:val="0"/>
          <w:marTop w:val="0"/>
          <w:marBottom w:val="150"/>
          <w:divBdr>
            <w:top w:val="none" w:sz="0" w:space="0" w:color="auto"/>
            <w:left w:val="none" w:sz="0" w:space="0" w:color="auto"/>
            <w:bottom w:val="none" w:sz="0" w:space="0" w:color="auto"/>
            <w:right w:val="none" w:sz="0" w:space="0" w:color="auto"/>
          </w:divBdr>
          <w:divsChild>
            <w:div w:id="598828825">
              <w:marLeft w:val="0"/>
              <w:marRight w:val="0"/>
              <w:marTop w:val="0"/>
              <w:marBottom w:val="0"/>
              <w:divBdr>
                <w:top w:val="none" w:sz="0" w:space="0" w:color="auto"/>
                <w:left w:val="none" w:sz="0" w:space="0" w:color="auto"/>
                <w:bottom w:val="none" w:sz="0" w:space="0" w:color="auto"/>
                <w:right w:val="none" w:sz="0" w:space="0" w:color="auto"/>
              </w:divBdr>
              <w:divsChild>
                <w:div w:id="89164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05265">
          <w:marLeft w:val="0"/>
          <w:marRight w:val="0"/>
          <w:marTop w:val="0"/>
          <w:marBottom w:val="0"/>
          <w:divBdr>
            <w:top w:val="none" w:sz="0" w:space="0" w:color="auto"/>
            <w:left w:val="none" w:sz="0" w:space="0" w:color="auto"/>
            <w:bottom w:val="none" w:sz="0" w:space="0" w:color="auto"/>
            <w:right w:val="none" w:sz="0" w:space="0" w:color="auto"/>
          </w:divBdr>
          <w:divsChild>
            <w:div w:id="22175030">
              <w:marLeft w:val="0"/>
              <w:marRight w:val="0"/>
              <w:marTop w:val="0"/>
              <w:marBottom w:val="0"/>
              <w:divBdr>
                <w:top w:val="none" w:sz="0" w:space="0" w:color="auto"/>
                <w:left w:val="none" w:sz="0" w:space="0" w:color="auto"/>
                <w:bottom w:val="none" w:sz="0" w:space="0" w:color="auto"/>
                <w:right w:val="none" w:sz="0" w:space="0" w:color="auto"/>
              </w:divBdr>
              <w:divsChild>
                <w:div w:id="423573828">
                  <w:marLeft w:val="0"/>
                  <w:marRight w:val="0"/>
                  <w:marTop w:val="225"/>
                  <w:marBottom w:val="225"/>
                  <w:divBdr>
                    <w:top w:val="none" w:sz="0" w:space="0" w:color="auto"/>
                    <w:left w:val="none" w:sz="0" w:space="0" w:color="auto"/>
                    <w:bottom w:val="none" w:sz="0" w:space="0" w:color="auto"/>
                    <w:right w:val="none" w:sz="0" w:space="0" w:color="auto"/>
                  </w:divBdr>
                </w:div>
              </w:divsChild>
            </w:div>
            <w:div w:id="20549595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19627377">
      <w:bodyDiv w:val="1"/>
      <w:marLeft w:val="0"/>
      <w:marRight w:val="0"/>
      <w:marTop w:val="0"/>
      <w:marBottom w:val="0"/>
      <w:divBdr>
        <w:top w:val="none" w:sz="0" w:space="0" w:color="auto"/>
        <w:left w:val="none" w:sz="0" w:space="0" w:color="auto"/>
        <w:bottom w:val="none" w:sz="0" w:space="0" w:color="auto"/>
        <w:right w:val="none" w:sz="0" w:space="0" w:color="auto"/>
      </w:divBdr>
      <w:divsChild>
        <w:div w:id="566577468">
          <w:marLeft w:val="0"/>
          <w:marRight w:val="0"/>
          <w:marTop w:val="0"/>
          <w:marBottom w:val="75"/>
          <w:divBdr>
            <w:top w:val="none" w:sz="0" w:space="0" w:color="auto"/>
            <w:left w:val="none" w:sz="0" w:space="0" w:color="auto"/>
            <w:bottom w:val="none" w:sz="0" w:space="0" w:color="auto"/>
            <w:right w:val="none" w:sz="0" w:space="0" w:color="auto"/>
          </w:divBdr>
        </w:div>
        <w:div w:id="852457603">
          <w:marLeft w:val="0"/>
          <w:marRight w:val="0"/>
          <w:marTop w:val="0"/>
          <w:marBottom w:val="0"/>
          <w:divBdr>
            <w:top w:val="none" w:sz="0" w:space="0" w:color="auto"/>
            <w:left w:val="none" w:sz="0" w:space="0" w:color="auto"/>
            <w:bottom w:val="none" w:sz="0" w:space="0" w:color="auto"/>
            <w:right w:val="none" w:sz="0" w:space="0" w:color="auto"/>
          </w:divBdr>
        </w:div>
        <w:div w:id="930042073">
          <w:marLeft w:val="0"/>
          <w:marRight w:val="0"/>
          <w:marTop w:val="0"/>
          <w:marBottom w:val="0"/>
          <w:divBdr>
            <w:top w:val="none" w:sz="0" w:space="0" w:color="auto"/>
            <w:left w:val="none" w:sz="0" w:space="0" w:color="auto"/>
            <w:bottom w:val="none" w:sz="0" w:space="0" w:color="auto"/>
            <w:right w:val="none" w:sz="0" w:space="0" w:color="auto"/>
          </w:divBdr>
          <w:divsChild>
            <w:div w:id="1440753518">
              <w:marLeft w:val="0"/>
              <w:marRight w:val="0"/>
              <w:marTop w:val="0"/>
              <w:marBottom w:val="0"/>
              <w:divBdr>
                <w:top w:val="none" w:sz="0" w:space="0" w:color="auto"/>
                <w:left w:val="none" w:sz="0" w:space="0" w:color="auto"/>
                <w:bottom w:val="none" w:sz="0" w:space="0" w:color="auto"/>
                <w:right w:val="none" w:sz="0" w:space="0" w:color="auto"/>
              </w:divBdr>
              <w:divsChild>
                <w:div w:id="177590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864962">
      <w:bodyDiv w:val="1"/>
      <w:marLeft w:val="0"/>
      <w:marRight w:val="0"/>
      <w:marTop w:val="0"/>
      <w:marBottom w:val="0"/>
      <w:divBdr>
        <w:top w:val="none" w:sz="0" w:space="0" w:color="auto"/>
        <w:left w:val="none" w:sz="0" w:space="0" w:color="auto"/>
        <w:bottom w:val="none" w:sz="0" w:space="0" w:color="auto"/>
        <w:right w:val="none" w:sz="0" w:space="0" w:color="auto"/>
      </w:divBdr>
      <w:divsChild>
        <w:div w:id="1544488256">
          <w:marLeft w:val="0"/>
          <w:marRight w:val="0"/>
          <w:marTop w:val="0"/>
          <w:marBottom w:val="0"/>
          <w:divBdr>
            <w:top w:val="none" w:sz="0" w:space="0" w:color="auto"/>
            <w:left w:val="none" w:sz="0" w:space="0" w:color="auto"/>
            <w:bottom w:val="none" w:sz="0" w:space="0" w:color="auto"/>
            <w:right w:val="none" w:sz="0" w:space="0" w:color="auto"/>
          </w:divBdr>
        </w:div>
      </w:divsChild>
    </w:div>
    <w:div w:id="1720014486">
      <w:bodyDiv w:val="1"/>
      <w:marLeft w:val="0"/>
      <w:marRight w:val="0"/>
      <w:marTop w:val="0"/>
      <w:marBottom w:val="0"/>
      <w:divBdr>
        <w:top w:val="none" w:sz="0" w:space="0" w:color="auto"/>
        <w:left w:val="none" w:sz="0" w:space="0" w:color="auto"/>
        <w:bottom w:val="none" w:sz="0" w:space="0" w:color="auto"/>
        <w:right w:val="none" w:sz="0" w:space="0" w:color="auto"/>
      </w:divBdr>
      <w:divsChild>
        <w:div w:id="615914470">
          <w:marLeft w:val="0"/>
          <w:marRight w:val="0"/>
          <w:marTop w:val="0"/>
          <w:marBottom w:val="0"/>
          <w:divBdr>
            <w:top w:val="none" w:sz="0" w:space="0" w:color="auto"/>
            <w:left w:val="none" w:sz="0" w:space="0" w:color="auto"/>
            <w:bottom w:val="dotted" w:sz="6" w:space="4" w:color="DDDDDD"/>
            <w:right w:val="none" w:sz="0" w:space="0" w:color="auto"/>
          </w:divBdr>
        </w:div>
      </w:divsChild>
    </w:div>
    <w:div w:id="1720086852">
      <w:bodyDiv w:val="1"/>
      <w:marLeft w:val="0"/>
      <w:marRight w:val="0"/>
      <w:marTop w:val="0"/>
      <w:marBottom w:val="0"/>
      <w:divBdr>
        <w:top w:val="none" w:sz="0" w:space="0" w:color="auto"/>
        <w:left w:val="none" w:sz="0" w:space="0" w:color="auto"/>
        <w:bottom w:val="none" w:sz="0" w:space="0" w:color="auto"/>
        <w:right w:val="none" w:sz="0" w:space="0" w:color="auto"/>
      </w:divBdr>
    </w:div>
    <w:div w:id="1720133733">
      <w:bodyDiv w:val="1"/>
      <w:marLeft w:val="0"/>
      <w:marRight w:val="0"/>
      <w:marTop w:val="0"/>
      <w:marBottom w:val="0"/>
      <w:divBdr>
        <w:top w:val="none" w:sz="0" w:space="0" w:color="auto"/>
        <w:left w:val="none" w:sz="0" w:space="0" w:color="auto"/>
        <w:bottom w:val="none" w:sz="0" w:space="0" w:color="auto"/>
        <w:right w:val="none" w:sz="0" w:space="0" w:color="auto"/>
      </w:divBdr>
      <w:divsChild>
        <w:div w:id="1565678481">
          <w:marLeft w:val="0"/>
          <w:marRight w:val="0"/>
          <w:marTop w:val="0"/>
          <w:marBottom w:val="0"/>
          <w:divBdr>
            <w:top w:val="none" w:sz="0" w:space="0" w:color="auto"/>
            <w:left w:val="none" w:sz="0" w:space="0" w:color="auto"/>
            <w:bottom w:val="none" w:sz="0" w:space="0" w:color="auto"/>
            <w:right w:val="none" w:sz="0" w:space="0" w:color="auto"/>
          </w:divBdr>
          <w:divsChild>
            <w:div w:id="836531297">
              <w:marLeft w:val="0"/>
              <w:marRight w:val="0"/>
              <w:marTop w:val="0"/>
              <w:marBottom w:val="0"/>
              <w:divBdr>
                <w:top w:val="none" w:sz="0" w:space="0" w:color="auto"/>
                <w:left w:val="none" w:sz="0" w:space="0" w:color="auto"/>
                <w:bottom w:val="none" w:sz="0" w:space="0" w:color="auto"/>
                <w:right w:val="none" w:sz="0" w:space="0" w:color="auto"/>
              </w:divBdr>
              <w:divsChild>
                <w:div w:id="1075786300">
                  <w:marLeft w:val="0"/>
                  <w:marRight w:val="0"/>
                  <w:marTop w:val="0"/>
                  <w:marBottom w:val="0"/>
                  <w:divBdr>
                    <w:top w:val="none" w:sz="0" w:space="0" w:color="auto"/>
                    <w:left w:val="none" w:sz="0" w:space="0" w:color="auto"/>
                    <w:bottom w:val="none" w:sz="0" w:space="0" w:color="auto"/>
                    <w:right w:val="none" w:sz="0" w:space="0" w:color="auto"/>
                  </w:divBdr>
                  <w:divsChild>
                    <w:div w:id="62996886">
                      <w:marLeft w:val="0"/>
                      <w:marRight w:val="0"/>
                      <w:marTop w:val="0"/>
                      <w:marBottom w:val="0"/>
                      <w:divBdr>
                        <w:top w:val="none" w:sz="0" w:space="0" w:color="auto"/>
                        <w:left w:val="none" w:sz="0" w:space="0" w:color="auto"/>
                        <w:bottom w:val="none" w:sz="0" w:space="0" w:color="auto"/>
                        <w:right w:val="none" w:sz="0" w:space="0" w:color="auto"/>
                      </w:divBdr>
                      <w:divsChild>
                        <w:div w:id="80034737">
                          <w:marLeft w:val="0"/>
                          <w:marRight w:val="0"/>
                          <w:marTop w:val="0"/>
                          <w:marBottom w:val="0"/>
                          <w:divBdr>
                            <w:top w:val="none" w:sz="0" w:space="0" w:color="auto"/>
                            <w:left w:val="none" w:sz="0" w:space="0" w:color="auto"/>
                            <w:bottom w:val="none" w:sz="0" w:space="0" w:color="auto"/>
                            <w:right w:val="none" w:sz="0" w:space="0" w:color="auto"/>
                          </w:divBdr>
                          <w:divsChild>
                            <w:div w:id="433670993">
                              <w:marLeft w:val="0"/>
                              <w:marRight w:val="0"/>
                              <w:marTop w:val="0"/>
                              <w:marBottom w:val="0"/>
                              <w:divBdr>
                                <w:top w:val="none" w:sz="0" w:space="0" w:color="auto"/>
                                <w:left w:val="none" w:sz="0" w:space="0" w:color="auto"/>
                                <w:bottom w:val="none" w:sz="0" w:space="0" w:color="auto"/>
                                <w:right w:val="none" w:sz="0" w:space="0" w:color="auto"/>
                              </w:divBdr>
                              <w:divsChild>
                                <w:div w:id="2130390637">
                                  <w:marLeft w:val="0"/>
                                  <w:marRight w:val="0"/>
                                  <w:marTop w:val="0"/>
                                  <w:marBottom w:val="0"/>
                                  <w:divBdr>
                                    <w:top w:val="none" w:sz="0" w:space="0" w:color="auto"/>
                                    <w:left w:val="none" w:sz="0" w:space="0" w:color="auto"/>
                                    <w:bottom w:val="none" w:sz="0" w:space="0" w:color="auto"/>
                                    <w:right w:val="none" w:sz="0" w:space="0" w:color="auto"/>
                                  </w:divBdr>
                                  <w:divsChild>
                                    <w:div w:id="93980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0321583">
      <w:bodyDiv w:val="1"/>
      <w:marLeft w:val="0"/>
      <w:marRight w:val="0"/>
      <w:marTop w:val="0"/>
      <w:marBottom w:val="0"/>
      <w:divBdr>
        <w:top w:val="none" w:sz="0" w:space="0" w:color="auto"/>
        <w:left w:val="none" w:sz="0" w:space="0" w:color="auto"/>
        <w:bottom w:val="none" w:sz="0" w:space="0" w:color="auto"/>
        <w:right w:val="none" w:sz="0" w:space="0" w:color="auto"/>
      </w:divBdr>
      <w:divsChild>
        <w:div w:id="214631360">
          <w:marLeft w:val="0"/>
          <w:marRight w:val="0"/>
          <w:marTop w:val="0"/>
          <w:marBottom w:val="150"/>
          <w:divBdr>
            <w:top w:val="none" w:sz="0" w:space="0" w:color="auto"/>
            <w:left w:val="none" w:sz="0" w:space="0" w:color="auto"/>
            <w:bottom w:val="none" w:sz="0" w:space="0" w:color="auto"/>
            <w:right w:val="none" w:sz="0" w:space="0" w:color="auto"/>
          </w:divBdr>
          <w:divsChild>
            <w:div w:id="791897552">
              <w:marLeft w:val="0"/>
              <w:marRight w:val="0"/>
              <w:marTop w:val="0"/>
              <w:marBottom w:val="0"/>
              <w:divBdr>
                <w:top w:val="none" w:sz="0" w:space="0" w:color="auto"/>
                <w:left w:val="none" w:sz="0" w:space="0" w:color="auto"/>
                <w:bottom w:val="none" w:sz="0" w:space="0" w:color="auto"/>
                <w:right w:val="none" w:sz="0" w:space="0" w:color="auto"/>
              </w:divBdr>
              <w:divsChild>
                <w:div w:id="26608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18764">
          <w:marLeft w:val="0"/>
          <w:marRight w:val="0"/>
          <w:marTop w:val="0"/>
          <w:marBottom w:val="0"/>
          <w:divBdr>
            <w:top w:val="none" w:sz="0" w:space="0" w:color="auto"/>
            <w:left w:val="none" w:sz="0" w:space="0" w:color="auto"/>
            <w:bottom w:val="none" w:sz="0" w:space="0" w:color="auto"/>
            <w:right w:val="none" w:sz="0" w:space="0" w:color="auto"/>
          </w:divBdr>
          <w:divsChild>
            <w:div w:id="979532319">
              <w:marLeft w:val="0"/>
              <w:marRight w:val="0"/>
              <w:marTop w:val="225"/>
              <w:marBottom w:val="225"/>
              <w:divBdr>
                <w:top w:val="none" w:sz="0" w:space="0" w:color="auto"/>
                <w:left w:val="none" w:sz="0" w:space="0" w:color="auto"/>
                <w:bottom w:val="none" w:sz="0" w:space="0" w:color="auto"/>
                <w:right w:val="none" w:sz="0" w:space="0" w:color="auto"/>
              </w:divBdr>
            </w:div>
          </w:divsChild>
        </w:div>
        <w:div w:id="1629387000">
          <w:marLeft w:val="0"/>
          <w:marRight w:val="0"/>
          <w:marTop w:val="0"/>
          <w:marBottom w:val="150"/>
          <w:divBdr>
            <w:top w:val="none" w:sz="0" w:space="0" w:color="auto"/>
            <w:left w:val="none" w:sz="0" w:space="0" w:color="auto"/>
            <w:bottom w:val="none" w:sz="0" w:space="0" w:color="auto"/>
            <w:right w:val="none" w:sz="0" w:space="0" w:color="auto"/>
          </w:divBdr>
        </w:div>
      </w:divsChild>
    </w:div>
    <w:div w:id="1720520080">
      <w:bodyDiv w:val="1"/>
      <w:marLeft w:val="0"/>
      <w:marRight w:val="0"/>
      <w:marTop w:val="0"/>
      <w:marBottom w:val="0"/>
      <w:divBdr>
        <w:top w:val="none" w:sz="0" w:space="0" w:color="auto"/>
        <w:left w:val="none" w:sz="0" w:space="0" w:color="auto"/>
        <w:bottom w:val="none" w:sz="0" w:space="0" w:color="auto"/>
        <w:right w:val="none" w:sz="0" w:space="0" w:color="auto"/>
      </w:divBdr>
      <w:divsChild>
        <w:div w:id="1702322913">
          <w:marLeft w:val="0"/>
          <w:marRight w:val="0"/>
          <w:marTop w:val="0"/>
          <w:marBottom w:val="0"/>
          <w:divBdr>
            <w:top w:val="none" w:sz="0" w:space="0" w:color="auto"/>
            <w:left w:val="none" w:sz="0" w:space="0" w:color="auto"/>
            <w:bottom w:val="dotted" w:sz="6" w:space="4" w:color="DDDDDD"/>
            <w:right w:val="none" w:sz="0" w:space="0" w:color="auto"/>
          </w:divBdr>
        </w:div>
      </w:divsChild>
    </w:div>
    <w:div w:id="1720981626">
      <w:bodyDiv w:val="1"/>
      <w:marLeft w:val="0"/>
      <w:marRight w:val="0"/>
      <w:marTop w:val="0"/>
      <w:marBottom w:val="0"/>
      <w:divBdr>
        <w:top w:val="none" w:sz="0" w:space="0" w:color="auto"/>
        <w:left w:val="none" w:sz="0" w:space="0" w:color="auto"/>
        <w:bottom w:val="none" w:sz="0" w:space="0" w:color="auto"/>
        <w:right w:val="none" w:sz="0" w:space="0" w:color="auto"/>
      </w:divBdr>
      <w:divsChild>
        <w:div w:id="1891845284">
          <w:marLeft w:val="0"/>
          <w:marRight w:val="0"/>
          <w:marTop w:val="0"/>
          <w:marBottom w:val="0"/>
          <w:divBdr>
            <w:top w:val="none" w:sz="0" w:space="0" w:color="auto"/>
            <w:left w:val="none" w:sz="0" w:space="0" w:color="auto"/>
            <w:bottom w:val="none" w:sz="0" w:space="0" w:color="auto"/>
            <w:right w:val="none" w:sz="0" w:space="0" w:color="auto"/>
          </w:divBdr>
          <w:divsChild>
            <w:div w:id="1030836509">
              <w:marLeft w:val="0"/>
              <w:marRight w:val="0"/>
              <w:marTop w:val="0"/>
              <w:marBottom w:val="0"/>
              <w:divBdr>
                <w:top w:val="none" w:sz="0" w:space="0" w:color="auto"/>
                <w:left w:val="none" w:sz="0" w:space="0" w:color="auto"/>
                <w:bottom w:val="none" w:sz="0" w:space="0" w:color="auto"/>
                <w:right w:val="none" w:sz="0" w:space="0" w:color="auto"/>
              </w:divBdr>
              <w:divsChild>
                <w:div w:id="2023973009">
                  <w:marLeft w:val="0"/>
                  <w:marRight w:val="0"/>
                  <w:marTop w:val="0"/>
                  <w:marBottom w:val="0"/>
                  <w:divBdr>
                    <w:top w:val="none" w:sz="0" w:space="0" w:color="auto"/>
                    <w:left w:val="none" w:sz="0" w:space="0" w:color="auto"/>
                    <w:bottom w:val="none" w:sz="0" w:space="0" w:color="auto"/>
                    <w:right w:val="none" w:sz="0" w:space="0" w:color="auto"/>
                  </w:divBdr>
                  <w:divsChild>
                    <w:div w:id="1328825362">
                      <w:marLeft w:val="0"/>
                      <w:marRight w:val="0"/>
                      <w:marTop w:val="0"/>
                      <w:marBottom w:val="0"/>
                      <w:divBdr>
                        <w:top w:val="none" w:sz="0" w:space="0" w:color="auto"/>
                        <w:left w:val="none" w:sz="0" w:space="0" w:color="auto"/>
                        <w:bottom w:val="none" w:sz="0" w:space="0" w:color="auto"/>
                        <w:right w:val="none" w:sz="0" w:space="0" w:color="auto"/>
                      </w:divBdr>
                      <w:divsChild>
                        <w:div w:id="824785105">
                          <w:marLeft w:val="0"/>
                          <w:marRight w:val="0"/>
                          <w:marTop w:val="0"/>
                          <w:marBottom w:val="0"/>
                          <w:divBdr>
                            <w:top w:val="none" w:sz="0" w:space="0" w:color="auto"/>
                            <w:left w:val="none" w:sz="0" w:space="0" w:color="auto"/>
                            <w:bottom w:val="none" w:sz="0" w:space="0" w:color="auto"/>
                            <w:right w:val="none" w:sz="0" w:space="0" w:color="auto"/>
                          </w:divBdr>
                          <w:divsChild>
                            <w:div w:id="1533610933">
                              <w:marLeft w:val="0"/>
                              <w:marRight w:val="0"/>
                              <w:marTop w:val="0"/>
                              <w:marBottom w:val="0"/>
                              <w:divBdr>
                                <w:top w:val="none" w:sz="0" w:space="0" w:color="auto"/>
                                <w:left w:val="none" w:sz="0" w:space="0" w:color="auto"/>
                                <w:bottom w:val="none" w:sz="0" w:space="0" w:color="auto"/>
                                <w:right w:val="none" w:sz="0" w:space="0" w:color="auto"/>
                              </w:divBdr>
                              <w:divsChild>
                                <w:div w:id="119106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594235">
      <w:bodyDiv w:val="1"/>
      <w:marLeft w:val="0"/>
      <w:marRight w:val="0"/>
      <w:marTop w:val="0"/>
      <w:marBottom w:val="0"/>
      <w:divBdr>
        <w:top w:val="none" w:sz="0" w:space="0" w:color="auto"/>
        <w:left w:val="none" w:sz="0" w:space="0" w:color="auto"/>
        <w:bottom w:val="none" w:sz="0" w:space="0" w:color="auto"/>
        <w:right w:val="none" w:sz="0" w:space="0" w:color="auto"/>
      </w:divBdr>
      <w:divsChild>
        <w:div w:id="780681920">
          <w:marLeft w:val="0"/>
          <w:marRight w:val="0"/>
          <w:marTop w:val="0"/>
          <w:marBottom w:val="0"/>
          <w:divBdr>
            <w:top w:val="none" w:sz="0" w:space="0" w:color="auto"/>
            <w:left w:val="none" w:sz="0" w:space="0" w:color="auto"/>
            <w:bottom w:val="dotted" w:sz="6" w:space="4" w:color="DDDDDD"/>
            <w:right w:val="none" w:sz="0" w:space="0" w:color="auto"/>
          </w:divBdr>
        </w:div>
      </w:divsChild>
    </w:div>
    <w:div w:id="1721703699">
      <w:bodyDiv w:val="1"/>
      <w:marLeft w:val="0"/>
      <w:marRight w:val="0"/>
      <w:marTop w:val="0"/>
      <w:marBottom w:val="0"/>
      <w:divBdr>
        <w:top w:val="none" w:sz="0" w:space="0" w:color="auto"/>
        <w:left w:val="none" w:sz="0" w:space="0" w:color="auto"/>
        <w:bottom w:val="none" w:sz="0" w:space="0" w:color="auto"/>
        <w:right w:val="none" w:sz="0" w:space="0" w:color="auto"/>
      </w:divBdr>
      <w:divsChild>
        <w:div w:id="297148971">
          <w:marLeft w:val="0"/>
          <w:marRight w:val="0"/>
          <w:marTop w:val="0"/>
          <w:marBottom w:val="150"/>
          <w:divBdr>
            <w:top w:val="none" w:sz="0" w:space="0" w:color="auto"/>
            <w:left w:val="none" w:sz="0" w:space="0" w:color="auto"/>
            <w:bottom w:val="none" w:sz="0" w:space="0" w:color="auto"/>
            <w:right w:val="none" w:sz="0" w:space="0" w:color="auto"/>
          </w:divBdr>
          <w:divsChild>
            <w:div w:id="1176581041">
              <w:marLeft w:val="0"/>
              <w:marRight w:val="0"/>
              <w:marTop w:val="0"/>
              <w:marBottom w:val="0"/>
              <w:divBdr>
                <w:top w:val="none" w:sz="0" w:space="0" w:color="auto"/>
                <w:left w:val="none" w:sz="0" w:space="0" w:color="auto"/>
                <w:bottom w:val="none" w:sz="0" w:space="0" w:color="auto"/>
                <w:right w:val="none" w:sz="0" w:space="0" w:color="auto"/>
              </w:divBdr>
              <w:divsChild>
                <w:div w:id="138721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241573">
          <w:marLeft w:val="0"/>
          <w:marRight w:val="0"/>
          <w:marTop w:val="0"/>
          <w:marBottom w:val="0"/>
          <w:divBdr>
            <w:top w:val="none" w:sz="0" w:space="0" w:color="auto"/>
            <w:left w:val="none" w:sz="0" w:space="0" w:color="auto"/>
            <w:bottom w:val="none" w:sz="0" w:space="0" w:color="auto"/>
            <w:right w:val="none" w:sz="0" w:space="0" w:color="auto"/>
          </w:divBdr>
          <w:divsChild>
            <w:div w:id="1430931906">
              <w:marLeft w:val="0"/>
              <w:marRight w:val="0"/>
              <w:marTop w:val="225"/>
              <w:marBottom w:val="225"/>
              <w:divBdr>
                <w:top w:val="none" w:sz="0" w:space="0" w:color="auto"/>
                <w:left w:val="none" w:sz="0" w:space="0" w:color="auto"/>
                <w:bottom w:val="none" w:sz="0" w:space="0" w:color="auto"/>
                <w:right w:val="none" w:sz="0" w:space="0" w:color="auto"/>
              </w:divBdr>
            </w:div>
          </w:divsChild>
        </w:div>
        <w:div w:id="1855680067">
          <w:marLeft w:val="0"/>
          <w:marRight w:val="0"/>
          <w:marTop w:val="0"/>
          <w:marBottom w:val="150"/>
          <w:divBdr>
            <w:top w:val="none" w:sz="0" w:space="0" w:color="auto"/>
            <w:left w:val="none" w:sz="0" w:space="0" w:color="auto"/>
            <w:bottom w:val="none" w:sz="0" w:space="0" w:color="auto"/>
            <w:right w:val="none" w:sz="0" w:space="0" w:color="auto"/>
          </w:divBdr>
        </w:div>
      </w:divsChild>
    </w:div>
    <w:div w:id="1721706648">
      <w:bodyDiv w:val="1"/>
      <w:marLeft w:val="0"/>
      <w:marRight w:val="0"/>
      <w:marTop w:val="0"/>
      <w:marBottom w:val="0"/>
      <w:divBdr>
        <w:top w:val="none" w:sz="0" w:space="0" w:color="auto"/>
        <w:left w:val="none" w:sz="0" w:space="0" w:color="auto"/>
        <w:bottom w:val="none" w:sz="0" w:space="0" w:color="auto"/>
        <w:right w:val="none" w:sz="0" w:space="0" w:color="auto"/>
      </w:divBdr>
      <w:divsChild>
        <w:div w:id="657850814">
          <w:marLeft w:val="0"/>
          <w:marRight w:val="0"/>
          <w:marTop w:val="0"/>
          <w:marBottom w:val="0"/>
          <w:divBdr>
            <w:top w:val="none" w:sz="0" w:space="0" w:color="auto"/>
            <w:left w:val="none" w:sz="0" w:space="0" w:color="auto"/>
            <w:bottom w:val="none" w:sz="0" w:space="0" w:color="auto"/>
            <w:right w:val="none" w:sz="0" w:space="0" w:color="auto"/>
          </w:divBdr>
          <w:divsChild>
            <w:div w:id="4927168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21707938">
      <w:bodyDiv w:val="1"/>
      <w:marLeft w:val="0"/>
      <w:marRight w:val="0"/>
      <w:marTop w:val="0"/>
      <w:marBottom w:val="0"/>
      <w:divBdr>
        <w:top w:val="none" w:sz="0" w:space="0" w:color="auto"/>
        <w:left w:val="none" w:sz="0" w:space="0" w:color="auto"/>
        <w:bottom w:val="none" w:sz="0" w:space="0" w:color="auto"/>
        <w:right w:val="none" w:sz="0" w:space="0" w:color="auto"/>
      </w:divBdr>
      <w:divsChild>
        <w:div w:id="56173873">
          <w:marLeft w:val="0"/>
          <w:marRight w:val="0"/>
          <w:marTop w:val="0"/>
          <w:marBottom w:val="0"/>
          <w:divBdr>
            <w:top w:val="none" w:sz="0" w:space="0" w:color="auto"/>
            <w:left w:val="none" w:sz="0" w:space="0" w:color="auto"/>
            <w:bottom w:val="none" w:sz="0" w:space="0" w:color="auto"/>
            <w:right w:val="none" w:sz="0" w:space="0" w:color="auto"/>
          </w:divBdr>
        </w:div>
      </w:divsChild>
    </w:div>
    <w:div w:id="1721975313">
      <w:bodyDiv w:val="1"/>
      <w:marLeft w:val="0"/>
      <w:marRight w:val="0"/>
      <w:marTop w:val="0"/>
      <w:marBottom w:val="0"/>
      <w:divBdr>
        <w:top w:val="none" w:sz="0" w:space="0" w:color="auto"/>
        <w:left w:val="none" w:sz="0" w:space="0" w:color="auto"/>
        <w:bottom w:val="none" w:sz="0" w:space="0" w:color="auto"/>
        <w:right w:val="none" w:sz="0" w:space="0" w:color="auto"/>
      </w:divBdr>
      <w:divsChild>
        <w:div w:id="138111963">
          <w:marLeft w:val="0"/>
          <w:marRight w:val="0"/>
          <w:marTop w:val="0"/>
          <w:marBottom w:val="300"/>
          <w:divBdr>
            <w:top w:val="none" w:sz="0" w:space="0" w:color="auto"/>
            <w:left w:val="none" w:sz="0" w:space="0" w:color="auto"/>
            <w:bottom w:val="single" w:sz="6" w:space="0" w:color="E4E4E4"/>
            <w:right w:val="none" w:sz="0" w:space="0" w:color="auto"/>
          </w:divBdr>
        </w:div>
        <w:div w:id="1772042300">
          <w:marLeft w:val="0"/>
          <w:marRight w:val="0"/>
          <w:marTop w:val="0"/>
          <w:marBottom w:val="0"/>
          <w:divBdr>
            <w:top w:val="none" w:sz="0" w:space="0" w:color="auto"/>
            <w:left w:val="none" w:sz="0" w:space="0" w:color="auto"/>
            <w:bottom w:val="none" w:sz="0" w:space="0" w:color="auto"/>
            <w:right w:val="none" w:sz="0" w:space="0" w:color="auto"/>
          </w:divBdr>
          <w:divsChild>
            <w:div w:id="103816493">
              <w:marLeft w:val="0"/>
              <w:marRight w:val="0"/>
              <w:marTop w:val="0"/>
              <w:marBottom w:val="0"/>
              <w:divBdr>
                <w:top w:val="none" w:sz="0" w:space="0" w:color="auto"/>
                <w:left w:val="none" w:sz="0" w:space="0" w:color="auto"/>
                <w:bottom w:val="none" w:sz="0" w:space="0" w:color="auto"/>
                <w:right w:val="none" w:sz="0" w:space="0" w:color="auto"/>
              </w:divBdr>
              <w:divsChild>
                <w:div w:id="1125466130">
                  <w:marLeft w:val="0"/>
                  <w:marRight w:val="0"/>
                  <w:marTop w:val="0"/>
                  <w:marBottom w:val="450"/>
                  <w:divBdr>
                    <w:top w:val="none" w:sz="0" w:space="0" w:color="auto"/>
                    <w:left w:val="none" w:sz="0" w:space="0" w:color="auto"/>
                    <w:bottom w:val="none" w:sz="0" w:space="0" w:color="auto"/>
                    <w:right w:val="none" w:sz="0" w:space="0" w:color="auto"/>
                  </w:divBdr>
                  <w:divsChild>
                    <w:div w:id="548346013">
                      <w:marLeft w:val="0"/>
                      <w:marRight w:val="0"/>
                      <w:marTop w:val="0"/>
                      <w:marBottom w:val="0"/>
                      <w:divBdr>
                        <w:top w:val="none" w:sz="0" w:space="0" w:color="auto"/>
                        <w:left w:val="none" w:sz="0" w:space="0" w:color="auto"/>
                        <w:bottom w:val="none" w:sz="0" w:space="0" w:color="auto"/>
                        <w:right w:val="none" w:sz="0" w:space="0" w:color="auto"/>
                      </w:divBdr>
                      <w:divsChild>
                        <w:div w:id="718624388">
                          <w:marLeft w:val="0"/>
                          <w:marRight w:val="0"/>
                          <w:marTop w:val="0"/>
                          <w:marBottom w:val="0"/>
                          <w:divBdr>
                            <w:top w:val="none" w:sz="0" w:space="0" w:color="auto"/>
                            <w:left w:val="none" w:sz="0" w:space="0" w:color="auto"/>
                            <w:bottom w:val="none" w:sz="0" w:space="0" w:color="auto"/>
                            <w:right w:val="none" w:sz="0" w:space="0" w:color="auto"/>
                          </w:divBdr>
                          <w:divsChild>
                            <w:div w:id="1435831968">
                              <w:marLeft w:val="0"/>
                              <w:marRight w:val="0"/>
                              <w:marTop w:val="0"/>
                              <w:marBottom w:val="0"/>
                              <w:divBdr>
                                <w:top w:val="none" w:sz="0" w:space="0" w:color="auto"/>
                                <w:left w:val="none" w:sz="0" w:space="0" w:color="auto"/>
                                <w:bottom w:val="none" w:sz="0" w:space="0" w:color="auto"/>
                                <w:right w:val="none" w:sz="0" w:space="0" w:color="auto"/>
                              </w:divBdr>
                            </w:div>
                          </w:divsChild>
                        </w:div>
                        <w:div w:id="1674188162">
                          <w:marLeft w:val="0"/>
                          <w:marRight w:val="0"/>
                          <w:marTop w:val="0"/>
                          <w:marBottom w:val="150"/>
                          <w:divBdr>
                            <w:top w:val="none" w:sz="0" w:space="0" w:color="auto"/>
                            <w:left w:val="none" w:sz="0" w:space="0" w:color="auto"/>
                            <w:bottom w:val="none" w:sz="0" w:space="0" w:color="auto"/>
                            <w:right w:val="none" w:sz="0" w:space="0" w:color="auto"/>
                          </w:divBdr>
                        </w:div>
                      </w:divsChild>
                    </w:div>
                    <w:div w:id="1760981950">
                      <w:marLeft w:val="0"/>
                      <w:marRight w:val="0"/>
                      <w:marTop w:val="0"/>
                      <w:marBottom w:val="150"/>
                      <w:divBdr>
                        <w:top w:val="none" w:sz="0" w:space="0" w:color="auto"/>
                        <w:left w:val="none" w:sz="0" w:space="0" w:color="auto"/>
                        <w:bottom w:val="none" w:sz="0" w:space="0" w:color="auto"/>
                        <w:right w:val="none" w:sz="0" w:space="0" w:color="auto"/>
                      </w:divBdr>
                      <w:divsChild>
                        <w:div w:id="128916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249013">
      <w:bodyDiv w:val="1"/>
      <w:marLeft w:val="0"/>
      <w:marRight w:val="0"/>
      <w:marTop w:val="0"/>
      <w:marBottom w:val="0"/>
      <w:divBdr>
        <w:top w:val="none" w:sz="0" w:space="0" w:color="auto"/>
        <w:left w:val="none" w:sz="0" w:space="0" w:color="auto"/>
        <w:bottom w:val="none" w:sz="0" w:space="0" w:color="auto"/>
        <w:right w:val="none" w:sz="0" w:space="0" w:color="auto"/>
      </w:divBdr>
      <w:divsChild>
        <w:div w:id="1075053189">
          <w:marLeft w:val="0"/>
          <w:marRight w:val="0"/>
          <w:marTop w:val="0"/>
          <w:marBottom w:val="150"/>
          <w:divBdr>
            <w:top w:val="none" w:sz="0" w:space="0" w:color="auto"/>
            <w:left w:val="none" w:sz="0" w:space="0" w:color="auto"/>
            <w:bottom w:val="none" w:sz="0" w:space="0" w:color="auto"/>
            <w:right w:val="none" w:sz="0" w:space="0" w:color="auto"/>
          </w:divBdr>
          <w:divsChild>
            <w:div w:id="605889313">
              <w:marLeft w:val="0"/>
              <w:marRight w:val="0"/>
              <w:marTop w:val="0"/>
              <w:marBottom w:val="0"/>
              <w:divBdr>
                <w:top w:val="none" w:sz="0" w:space="0" w:color="auto"/>
                <w:left w:val="none" w:sz="0" w:space="0" w:color="auto"/>
                <w:bottom w:val="none" w:sz="0" w:space="0" w:color="auto"/>
                <w:right w:val="none" w:sz="0" w:space="0" w:color="auto"/>
              </w:divBdr>
              <w:divsChild>
                <w:div w:id="1365524479">
                  <w:marLeft w:val="0"/>
                  <w:marRight w:val="0"/>
                  <w:marTop w:val="0"/>
                  <w:marBottom w:val="0"/>
                  <w:divBdr>
                    <w:top w:val="none" w:sz="0" w:space="0" w:color="auto"/>
                    <w:left w:val="none" w:sz="0" w:space="0" w:color="auto"/>
                    <w:bottom w:val="none" w:sz="0" w:space="0" w:color="auto"/>
                    <w:right w:val="none" w:sz="0" w:space="0" w:color="auto"/>
                  </w:divBdr>
                  <w:divsChild>
                    <w:div w:id="267200894">
                      <w:marLeft w:val="0"/>
                      <w:marRight w:val="150"/>
                      <w:marTop w:val="0"/>
                      <w:marBottom w:val="0"/>
                      <w:divBdr>
                        <w:top w:val="none" w:sz="0" w:space="0" w:color="auto"/>
                        <w:left w:val="none" w:sz="0" w:space="0" w:color="auto"/>
                        <w:bottom w:val="none" w:sz="0" w:space="0" w:color="auto"/>
                        <w:right w:val="none" w:sz="0" w:space="0" w:color="auto"/>
                      </w:divBdr>
                      <w:divsChild>
                        <w:div w:id="209901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175918">
          <w:marLeft w:val="0"/>
          <w:marRight w:val="0"/>
          <w:marTop w:val="0"/>
          <w:marBottom w:val="150"/>
          <w:divBdr>
            <w:top w:val="none" w:sz="0" w:space="0" w:color="auto"/>
            <w:left w:val="none" w:sz="0" w:space="0" w:color="auto"/>
            <w:bottom w:val="none" w:sz="0" w:space="0" w:color="auto"/>
            <w:right w:val="none" w:sz="0" w:space="0" w:color="auto"/>
          </w:divBdr>
        </w:div>
        <w:div w:id="1041172847">
          <w:marLeft w:val="0"/>
          <w:marRight w:val="0"/>
          <w:marTop w:val="0"/>
          <w:marBottom w:val="0"/>
          <w:divBdr>
            <w:top w:val="none" w:sz="0" w:space="0" w:color="auto"/>
            <w:left w:val="none" w:sz="0" w:space="0" w:color="auto"/>
            <w:bottom w:val="none" w:sz="0" w:space="0" w:color="auto"/>
            <w:right w:val="none" w:sz="0" w:space="0" w:color="auto"/>
          </w:divBdr>
          <w:divsChild>
            <w:div w:id="137430598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22434793">
      <w:bodyDiv w:val="1"/>
      <w:marLeft w:val="0"/>
      <w:marRight w:val="0"/>
      <w:marTop w:val="0"/>
      <w:marBottom w:val="0"/>
      <w:divBdr>
        <w:top w:val="none" w:sz="0" w:space="0" w:color="auto"/>
        <w:left w:val="none" w:sz="0" w:space="0" w:color="auto"/>
        <w:bottom w:val="none" w:sz="0" w:space="0" w:color="auto"/>
        <w:right w:val="none" w:sz="0" w:space="0" w:color="auto"/>
      </w:divBdr>
    </w:div>
    <w:div w:id="1722559296">
      <w:bodyDiv w:val="1"/>
      <w:marLeft w:val="0"/>
      <w:marRight w:val="0"/>
      <w:marTop w:val="0"/>
      <w:marBottom w:val="0"/>
      <w:divBdr>
        <w:top w:val="none" w:sz="0" w:space="0" w:color="auto"/>
        <w:left w:val="none" w:sz="0" w:space="0" w:color="auto"/>
        <w:bottom w:val="none" w:sz="0" w:space="0" w:color="auto"/>
        <w:right w:val="none" w:sz="0" w:space="0" w:color="auto"/>
      </w:divBdr>
      <w:divsChild>
        <w:div w:id="102114199">
          <w:marLeft w:val="0"/>
          <w:marRight w:val="0"/>
          <w:marTop w:val="0"/>
          <w:marBottom w:val="0"/>
          <w:divBdr>
            <w:top w:val="none" w:sz="0" w:space="0" w:color="auto"/>
            <w:left w:val="none" w:sz="0" w:space="0" w:color="auto"/>
            <w:bottom w:val="none" w:sz="0" w:space="0" w:color="auto"/>
            <w:right w:val="none" w:sz="0" w:space="0" w:color="auto"/>
          </w:divBdr>
          <w:divsChild>
            <w:div w:id="1645620120">
              <w:marLeft w:val="0"/>
              <w:marRight w:val="0"/>
              <w:marTop w:val="0"/>
              <w:marBottom w:val="0"/>
              <w:divBdr>
                <w:top w:val="none" w:sz="0" w:space="0" w:color="auto"/>
                <w:left w:val="none" w:sz="0" w:space="0" w:color="auto"/>
                <w:bottom w:val="none" w:sz="0" w:space="0" w:color="auto"/>
                <w:right w:val="none" w:sz="0" w:space="0" w:color="auto"/>
              </w:divBdr>
              <w:divsChild>
                <w:div w:id="1278830044">
                  <w:marLeft w:val="0"/>
                  <w:marRight w:val="0"/>
                  <w:marTop w:val="0"/>
                  <w:marBottom w:val="0"/>
                  <w:divBdr>
                    <w:top w:val="none" w:sz="0" w:space="0" w:color="auto"/>
                    <w:left w:val="none" w:sz="0" w:space="0" w:color="auto"/>
                    <w:bottom w:val="none" w:sz="0" w:space="0" w:color="auto"/>
                    <w:right w:val="none" w:sz="0" w:space="0" w:color="auto"/>
                  </w:divBdr>
                  <w:divsChild>
                    <w:div w:id="154148705">
                      <w:marLeft w:val="0"/>
                      <w:marRight w:val="0"/>
                      <w:marTop w:val="0"/>
                      <w:marBottom w:val="0"/>
                      <w:divBdr>
                        <w:top w:val="none" w:sz="0" w:space="0" w:color="auto"/>
                        <w:left w:val="none" w:sz="0" w:space="0" w:color="auto"/>
                        <w:bottom w:val="none" w:sz="0" w:space="0" w:color="auto"/>
                        <w:right w:val="none" w:sz="0" w:space="0" w:color="auto"/>
                      </w:divBdr>
                      <w:divsChild>
                        <w:div w:id="342047985">
                          <w:marLeft w:val="0"/>
                          <w:marRight w:val="0"/>
                          <w:marTop w:val="0"/>
                          <w:marBottom w:val="0"/>
                          <w:divBdr>
                            <w:top w:val="none" w:sz="0" w:space="0" w:color="auto"/>
                            <w:left w:val="none" w:sz="0" w:space="0" w:color="auto"/>
                            <w:bottom w:val="none" w:sz="0" w:space="0" w:color="auto"/>
                            <w:right w:val="none" w:sz="0" w:space="0" w:color="auto"/>
                          </w:divBdr>
                          <w:divsChild>
                            <w:div w:id="486361214">
                              <w:marLeft w:val="0"/>
                              <w:marRight w:val="0"/>
                              <w:marTop w:val="0"/>
                              <w:marBottom w:val="0"/>
                              <w:divBdr>
                                <w:top w:val="none" w:sz="0" w:space="0" w:color="auto"/>
                                <w:left w:val="none" w:sz="0" w:space="0" w:color="auto"/>
                                <w:bottom w:val="none" w:sz="0" w:space="0" w:color="auto"/>
                                <w:right w:val="none" w:sz="0" w:space="0" w:color="auto"/>
                              </w:divBdr>
                              <w:divsChild>
                                <w:div w:id="1670131836">
                                  <w:marLeft w:val="0"/>
                                  <w:marRight w:val="0"/>
                                  <w:marTop w:val="0"/>
                                  <w:marBottom w:val="0"/>
                                  <w:divBdr>
                                    <w:top w:val="none" w:sz="0" w:space="0" w:color="auto"/>
                                    <w:left w:val="none" w:sz="0" w:space="0" w:color="auto"/>
                                    <w:bottom w:val="none" w:sz="0" w:space="0" w:color="auto"/>
                                    <w:right w:val="none" w:sz="0" w:space="0" w:color="auto"/>
                                  </w:divBdr>
                                  <w:divsChild>
                                    <w:div w:id="781462967">
                                      <w:marLeft w:val="0"/>
                                      <w:marRight w:val="0"/>
                                      <w:marTop w:val="0"/>
                                      <w:marBottom w:val="0"/>
                                      <w:divBdr>
                                        <w:top w:val="none" w:sz="0" w:space="0" w:color="auto"/>
                                        <w:left w:val="none" w:sz="0" w:space="0" w:color="auto"/>
                                        <w:bottom w:val="none" w:sz="0" w:space="0" w:color="auto"/>
                                        <w:right w:val="none" w:sz="0" w:space="0" w:color="auto"/>
                                      </w:divBdr>
                                      <w:divsChild>
                                        <w:div w:id="46127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2708141">
      <w:bodyDiv w:val="1"/>
      <w:marLeft w:val="0"/>
      <w:marRight w:val="0"/>
      <w:marTop w:val="0"/>
      <w:marBottom w:val="0"/>
      <w:divBdr>
        <w:top w:val="none" w:sz="0" w:space="0" w:color="auto"/>
        <w:left w:val="none" w:sz="0" w:space="0" w:color="auto"/>
        <w:bottom w:val="none" w:sz="0" w:space="0" w:color="auto"/>
        <w:right w:val="none" w:sz="0" w:space="0" w:color="auto"/>
      </w:divBdr>
      <w:divsChild>
        <w:div w:id="232158814">
          <w:marLeft w:val="0"/>
          <w:marRight w:val="0"/>
          <w:marTop w:val="0"/>
          <w:marBottom w:val="150"/>
          <w:divBdr>
            <w:top w:val="none" w:sz="0" w:space="0" w:color="auto"/>
            <w:left w:val="none" w:sz="0" w:space="0" w:color="auto"/>
            <w:bottom w:val="none" w:sz="0" w:space="0" w:color="auto"/>
            <w:right w:val="none" w:sz="0" w:space="0" w:color="auto"/>
          </w:divBdr>
        </w:div>
        <w:div w:id="1394082128">
          <w:marLeft w:val="0"/>
          <w:marRight w:val="0"/>
          <w:marTop w:val="0"/>
          <w:marBottom w:val="0"/>
          <w:divBdr>
            <w:top w:val="none" w:sz="0" w:space="0" w:color="auto"/>
            <w:left w:val="none" w:sz="0" w:space="0" w:color="auto"/>
            <w:bottom w:val="none" w:sz="0" w:space="0" w:color="auto"/>
            <w:right w:val="none" w:sz="0" w:space="0" w:color="auto"/>
          </w:divBdr>
          <w:divsChild>
            <w:div w:id="348139499">
              <w:marLeft w:val="0"/>
              <w:marRight w:val="0"/>
              <w:marTop w:val="0"/>
              <w:marBottom w:val="0"/>
              <w:divBdr>
                <w:top w:val="none" w:sz="0" w:space="0" w:color="auto"/>
                <w:left w:val="none" w:sz="0" w:space="0" w:color="auto"/>
                <w:bottom w:val="none" w:sz="0" w:space="0" w:color="auto"/>
                <w:right w:val="none" w:sz="0" w:space="0" w:color="auto"/>
              </w:divBdr>
            </w:div>
          </w:divsChild>
        </w:div>
        <w:div w:id="1689257151">
          <w:marLeft w:val="0"/>
          <w:marRight w:val="0"/>
          <w:marTop w:val="0"/>
          <w:marBottom w:val="150"/>
          <w:divBdr>
            <w:top w:val="none" w:sz="0" w:space="0" w:color="auto"/>
            <w:left w:val="none" w:sz="0" w:space="0" w:color="auto"/>
            <w:bottom w:val="none" w:sz="0" w:space="0" w:color="auto"/>
            <w:right w:val="none" w:sz="0" w:space="0" w:color="auto"/>
          </w:divBdr>
          <w:divsChild>
            <w:div w:id="144823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904585">
      <w:bodyDiv w:val="1"/>
      <w:marLeft w:val="0"/>
      <w:marRight w:val="0"/>
      <w:marTop w:val="0"/>
      <w:marBottom w:val="0"/>
      <w:divBdr>
        <w:top w:val="none" w:sz="0" w:space="0" w:color="auto"/>
        <w:left w:val="none" w:sz="0" w:space="0" w:color="auto"/>
        <w:bottom w:val="none" w:sz="0" w:space="0" w:color="auto"/>
        <w:right w:val="none" w:sz="0" w:space="0" w:color="auto"/>
      </w:divBdr>
      <w:divsChild>
        <w:div w:id="365955866">
          <w:marLeft w:val="0"/>
          <w:marRight w:val="0"/>
          <w:marTop w:val="0"/>
          <w:marBottom w:val="0"/>
          <w:divBdr>
            <w:top w:val="none" w:sz="0" w:space="0" w:color="auto"/>
            <w:left w:val="none" w:sz="0" w:space="0" w:color="auto"/>
            <w:bottom w:val="none" w:sz="0" w:space="0" w:color="auto"/>
            <w:right w:val="none" w:sz="0" w:space="0" w:color="auto"/>
          </w:divBdr>
        </w:div>
      </w:divsChild>
    </w:div>
    <w:div w:id="1723095110">
      <w:bodyDiv w:val="1"/>
      <w:marLeft w:val="0"/>
      <w:marRight w:val="0"/>
      <w:marTop w:val="0"/>
      <w:marBottom w:val="0"/>
      <w:divBdr>
        <w:top w:val="none" w:sz="0" w:space="0" w:color="auto"/>
        <w:left w:val="none" w:sz="0" w:space="0" w:color="auto"/>
        <w:bottom w:val="none" w:sz="0" w:space="0" w:color="auto"/>
        <w:right w:val="none" w:sz="0" w:space="0" w:color="auto"/>
      </w:divBdr>
      <w:divsChild>
        <w:div w:id="156850201">
          <w:marLeft w:val="0"/>
          <w:marRight w:val="0"/>
          <w:marTop w:val="0"/>
          <w:marBottom w:val="150"/>
          <w:divBdr>
            <w:top w:val="none" w:sz="0" w:space="0" w:color="auto"/>
            <w:left w:val="none" w:sz="0" w:space="0" w:color="auto"/>
            <w:bottom w:val="none" w:sz="0" w:space="0" w:color="auto"/>
            <w:right w:val="none" w:sz="0" w:space="0" w:color="auto"/>
          </w:divBdr>
        </w:div>
        <w:div w:id="641498380">
          <w:marLeft w:val="0"/>
          <w:marRight w:val="0"/>
          <w:marTop w:val="0"/>
          <w:marBottom w:val="150"/>
          <w:divBdr>
            <w:top w:val="none" w:sz="0" w:space="0" w:color="auto"/>
            <w:left w:val="none" w:sz="0" w:space="0" w:color="auto"/>
            <w:bottom w:val="none" w:sz="0" w:space="0" w:color="auto"/>
            <w:right w:val="none" w:sz="0" w:space="0" w:color="auto"/>
          </w:divBdr>
        </w:div>
        <w:div w:id="1110509062">
          <w:marLeft w:val="0"/>
          <w:marRight w:val="0"/>
          <w:marTop w:val="0"/>
          <w:marBottom w:val="150"/>
          <w:divBdr>
            <w:top w:val="none" w:sz="0" w:space="0" w:color="auto"/>
            <w:left w:val="none" w:sz="0" w:space="0" w:color="auto"/>
            <w:bottom w:val="none" w:sz="0" w:space="0" w:color="auto"/>
            <w:right w:val="none" w:sz="0" w:space="0" w:color="auto"/>
          </w:divBdr>
        </w:div>
        <w:div w:id="1150177612">
          <w:marLeft w:val="0"/>
          <w:marRight w:val="0"/>
          <w:marTop w:val="0"/>
          <w:marBottom w:val="150"/>
          <w:divBdr>
            <w:top w:val="none" w:sz="0" w:space="0" w:color="auto"/>
            <w:left w:val="none" w:sz="0" w:space="0" w:color="auto"/>
            <w:bottom w:val="none" w:sz="0" w:space="0" w:color="auto"/>
            <w:right w:val="none" w:sz="0" w:space="0" w:color="auto"/>
          </w:divBdr>
        </w:div>
        <w:div w:id="1465344931">
          <w:marLeft w:val="0"/>
          <w:marRight w:val="0"/>
          <w:marTop w:val="0"/>
          <w:marBottom w:val="150"/>
          <w:divBdr>
            <w:top w:val="none" w:sz="0" w:space="0" w:color="auto"/>
            <w:left w:val="none" w:sz="0" w:space="0" w:color="auto"/>
            <w:bottom w:val="none" w:sz="0" w:space="0" w:color="auto"/>
            <w:right w:val="none" w:sz="0" w:space="0" w:color="auto"/>
          </w:divBdr>
        </w:div>
        <w:div w:id="1622759684">
          <w:marLeft w:val="0"/>
          <w:marRight w:val="0"/>
          <w:marTop w:val="0"/>
          <w:marBottom w:val="150"/>
          <w:divBdr>
            <w:top w:val="none" w:sz="0" w:space="0" w:color="auto"/>
            <w:left w:val="none" w:sz="0" w:space="0" w:color="auto"/>
            <w:bottom w:val="none" w:sz="0" w:space="0" w:color="auto"/>
            <w:right w:val="none" w:sz="0" w:space="0" w:color="auto"/>
          </w:divBdr>
        </w:div>
        <w:div w:id="2130127890">
          <w:marLeft w:val="0"/>
          <w:marRight w:val="0"/>
          <w:marTop w:val="0"/>
          <w:marBottom w:val="150"/>
          <w:divBdr>
            <w:top w:val="none" w:sz="0" w:space="0" w:color="auto"/>
            <w:left w:val="none" w:sz="0" w:space="0" w:color="auto"/>
            <w:bottom w:val="none" w:sz="0" w:space="0" w:color="auto"/>
            <w:right w:val="none" w:sz="0" w:space="0" w:color="auto"/>
          </w:divBdr>
        </w:div>
      </w:divsChild>
    </w:div>
    <w:div w:id="1723210790">
      <w:bodyDiv w:val="1"/>
      <w:marLeft w:val="0"/>
      <w:marRight w:val="0"/>
      <w:marTop w:val="0"/>
      <w:marBottom w:val="0"/>
      <w:divBdr>
        <w:top w:val="none" w:sz="0" w:space="0" w:color="auto"/>
        <w:left w:val="none" w:sz="0" w:space="0" w:color="auto"/>
        <w:bottom w:val="none" w:sz="0" w:space="0" w:color="auto"/>
        <w:right w:val="none" w:sz="0" w:space="0" w:color="auto"/>
      </w:divBdr>
    </w:div>
    <w:div w:id="1723483843">
      <w:bodyDiv w:val="1"/>
      <w:marLeft w:val="0"/>
      <w:marRight w:val="0"/>
      <w:marTop w:val="0"/>
      <w:marBottom w:val="0"/>
      <w:divBdr>
        <w:top w:val="none" w:sz="0" w:space="0" w:color="auto"/>
        <w:left w:val="none" w:sz="0" w:space="0" w:color="auto"/>
        <w:bottom w:val="none" w:sz="0" w:space="0" w:color="auto"/>
        <w:right w:val="none" w:sz="0" w:space="0" w:color="auto"/>
      </w:divBdr>
      <w:divsChild>
        <w:div w:id="1716856867">
          <w:marLeft w:val="0"/>
          <w:marRight w:val="0"/>
          <w:marTop w:val="0"/>
          <w:marBottom w:val="150"/>
          <w:divBdr>
            <w:top w:val="none" w:sz="0" w:space="0" w:color="auto"/>
            <w:left w:val="none" w:sz="0" w:space="0" w:color="auto"/>
            <w:bottom w:val="none" w:sz="0" w:space="0" w:color="auto"/>
            <w:right w:val="none" w:sz="0" w:space="0" w:color="auto"/>
          </w:divBdr>
        </w:div>
      </w:divsChild>
    </w:div>
    <w:div w:id="1723674360">
      <w:bodyDiv w:val="1"/>
      <w:marLeft w:val="0"/>
      <w:marRight w:val="0"/>
      <w:marTop w:val="0"/>
      <w:marBottom w:val="0"/>
      <w:divBdr>
        <w:top w:val="none" w:sz="0" w:space="0" w:color="auto"/>
        <w:left w:val="none" w:sz="0" w:space="0" w:color="auto"/>
        <w:bottom w:val="none" w:sz="0" w:space="0" w:color="auto"/>
        <w:right w:val="none" w:sz="0" w:space="0" w:color="auto"/>
      </w:divBdr>
      <w:divsChild>
        <w:div w:id="110050245">
          <w:marLeft w:val="0"/>
          <w:marRight w:val="0"/>
          <w:marTop w:val="0"/>
          <w:marBottom w:val="450"/>
          <w:divBdr>
            <w:top w:val="none" w:sz="0" w:space="0" w:color="auto"/>
            <w:left w:val="none" w:sz="0" w:space="0" w:color="auto"/>
            <w:bottom w:val="single" w:sz="6" w:space="19" w:color="EEEEEE"/>
            <w:right w:val="none" w:sz="0" w:space="0" w:color="auto"/>
          </w:divBdr>
          <w:divsChild>
            <w:div w:id="1910845925">
              <w:marLeft w:val="0"/>
              <w:marRight w:val="0"/>
              <w:marTop w:val="0"/>
              <w:marBottom w:val="150"/>
              <w:divBdr>
                <w:top w:val="none" w:sz="0" w:space="0" w:color="auto"/>
                <w:left w:val="none" w:sz="0" w:space="0" w:color="auto"/>
                <w:bottom w:val="none" w:sz="0" w:space="0" w:color="auto"/>
                <w:right w:val="none" w:sz="0" w:space="0" w:color="auto"/>
              </w:divBdr>
              <w:divsChild>
                <w:div w:id="182978280">
                  <w:marLeft w:val="0"/>
                  <w:marRight w:val="0"/>
                  <w:marTop w:val="0"/>
                  <w:marBottom w:val="0"/>
                  <w:divBdr>
                    <w:top w:val="none" w:sz="0" w:space="0" w:color="auto"/>
                    <w:left w:val="none" w:sz="0" w:space="0" w:color="auto"/>
                    <w:bottom w:val="none" w:sz="0" w:space="0" w:color="auto"/>
                    <w:right w:val="none" w:sz="0" w:space="0" w:color="auto"/>
                  </w:divBdr>
                </w:div>
              </w:divsChild>
            </w:div>
            <w:div w:id="1092386385">
              <w:marLeft w:val="0"/>
              <w:marRight w:val="0"/>
              <w:marTop w:val="0"/>
              <w:marBottom w:val="0"/>
              <w:divBdr>
                <w:top w:val="none" w:sz="0" w:space="0" w:color="auto"/>
                <w:left w:val="none" w:sz="0" w:space="0" w:color="auto"/>
                <w:bottom w:val="none" w:sz="0" w:space="0" w:color="auto"/>
                <w:right w:val="none" w:sz="0" w:space="0" w:color="auto"/>
              </w:divBdr>
            </w:div>
          </w:divsChild>
        </w:div>
        <w:div w:id="576552508">
          <w:marLeft w:val="0"/>
          <w:marRight w:val="0"/>
          <w:marTop w:val="0"/>
          <w:marBottom w:val="0"/>
          <w:divBdr>
            <w:top w:val="none" w:sz="0" w:space="0" w:color="auto"/>
            <w:left w:val="none" w:sz="0" w:space="0" w:color="auto"/>
            <w:bottom w:val="none" w:sz="0" w:space="0" w:color="auto"/>
            <w:right w:val="none" w:sz="0" w:space="0" w:color="auto"/>
          </w:divBdr>
          <w:divsChild>
            <w:div w:id="431633189">
              <w:marLeft w:val="0"/>
              <w:marRight w:val="0"/>
              <w:marTop w:val="0"/>
              <w:marBottom w:val="0"/>
              <w:divBdr>
                <w:top w:val="none" w:sz="0" w:space="0" w:color="auto"/>
                <w:left w:val="none" w:sz="0" w:space="0" w:color="auto"/>
                <w:bottom w:val="none" w:sz="0" w:space="0" w:color="auto"/>
                <w:right w:val="none" w:sz="0" w:space="0" w:color="auto"/>
              </w:divBdr>
              <w:divsChild>
                <w:div w:id="87728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062193">
      <w:bodyDiv w:val="1"/>
      <w:marLeft w:val="0"/>
      <w:marRight w:val="0"/>
      <w:marTop w:val="0"/>
      <w:marBottom w:val="0"/>
      <w:divBdr>
        <w:top w:val="none" w:sz="0" w:space="0" w:color="auto"/>
        <w:left w:val="none" w:sz="0" w:space="0" w:color="auto"/>
        <w:bottom w:val="none" w:sz="0" w:space="0" w:color="auto"/>
        <w:right w:val="none" w:sz="0" w:space="0" w:color="auto"/>
      </w:divBdr>
      <w:divsChild>
        <w:div w:id="258802772">
          <w:marLeft w:val="0"/>
          <w:marRight w:val="0"/>
          <w:marTop w:val="0"/>
          <w:marBottom w:val="150"/>
          <w:divBdr>
            <w:top w:val="none" w:sz="0" w:space="0" w:color="auto"/>
            <w:left w:val="none" w:sz="0" w:space="0" w:color="auto"/>
            <w:bottom w:val="none" w:sz="0" w:space="0" w:color="auto"/>
            <w:right w:val="none" w:sz="0" w:space="0" w:color="auto"/>
          </w:divBdr>
          <w:divsChild>
            <w:div w:id="194579694">
              <w:marLeft w:val="0"/>
              <w:marRight w:val="0"/>
              <w:marTop w:val="0"/>
              <w:marBottom w:val="0"/>
              <w:divBdr>
                <w:top w:val="none" w:sz="0" w:space="0" w:color="auto"/>
                <w:left w:val="none" w:sz="0" w:space="0" w:color="auto"/>
                <w:bottom w:val="none" w:sz="0" w:space="0" w:color="auto"/>
                <w:right w:val="none" w:sz="0" w:space="0" w:color="auto"/>
              </w:divBdr>
              <w:divsChild>
                <w:div w:id="1725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093500">
          <w:marLeft w:val="0"/>
          <w:marRight w:val="0"/>
          <w:marTop w:val="0"/>
          <w:marBottom w:val="150"/>
          <w:divBdr>
            <w:top w:val="none" w:sz="0" w:space="0" w:color="auto"/>
            <w:left w:val="none" w:sz="0" w:space="0" w:color="auto"/>
            <w:bottom w:val="none" w:sz="0" w:space="0" w:color="auto"/>
            <w:right w:val="none" w:sz="0" w:space="0" w:color="auto"/>
          </w:divBdr>
        </w:div>
        <w:div w:id="877545349">
          <w:marLeft w:val="0"/>
          <w:marRight w:val="0"/>
          <w:marTop w:val="0"/>
          <w:marBottom w:val="0"/>
          <w:divBdr>
            <w:top w:val="none" w:sz="0" w:space="0" w:color="auto"/>
            <w:left w:val="none" w:sz="0" w:space="0" w:color="auto"/>
            <w:bottom w:val="none" w:sz="0" w:space="0" w:color="auto"/>
            <w:right w:val="none" w:sz="0" w:space="0" w:color="auto"/>
          </w:divBdr>
          <w:divsChild>
            <w:div w:id="192048457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24402500">
      <w:bodyDiv w:val="1"/>
      <w:marLeft w:val="0"/>
      <w:marRight w:val="0"/>
      <w:marTop w:val="0"/>
      <w:marBottom w:val="0"/>
      <w:divBdr>
        <w:top w:val="none" w:sz="0" w:space="0" w:color="auto"/>
        <w:left w:val="none" w:sz="0" w:space="0" w:color="auto"/>
        <w:bottom w:val="none" w:sz="0" w:space="0" w:color="auto"/>
        <w:right w:val="none" w:sz="0" w:space="0" w:color="auto"/>
      </w:divBdr>
      <w:divsChild>
        <w:div w:id="1945646757">
          <w:marLeft w:val="0"/>
          <w:marRight w:val="0"/>
          <w:marTop w:val="0"/>
          <w:marBottom w:val="0"/>
          <w:divBdr>
            <w:top w:val="none" w:sz="0" w:space="0" w:color="auto"/>
            <w:left w:val="none" w:sz="0" w:space="0" w:color="auto"/>
            <w:bottom w:val="none" w:sz="0" w:space="0" w:color="auto"/>
            <w:right w:val="none" w:sz="0" w:space="0" w:color="auto"/>
          </w:divBdr>
        </w:div>
      </w:divsChild>
    </w:div>
    <w:div w:id="1724407815">
      <w:bodyDiv w:val="1"/>
      <w:marLeft w:val="0"/>
      <w:marRight w:val="0"/>
      <w:marTop w:val="0"/>
      <w:marBottom w:val="0"/>
      <w:divBdr>
        <w:top w:val="none" w:sz="0" w:space="0" w:color="auto"/>
        <w:left w:val="none" w:sz="0" w:space="0" w:color="auto"/>
        <w:bottom w:val="none" w:sz="0" w:space="0" w:color="auto"/>
        <w:right w:val="none" w:sz="0" w:space="0" w:color="auto"/>
      </w:divBdr>
      <w:divsChild>
        <w:div w:id="35324264">
          <w:marLeft w:val="0"/>
          <w:marRight w:val="0"/>
          <w:marTop w:val="0"/>
          <w:marBottom w:val="150"/>
          <w:divBdr>
            <w:top w:val="none" w:sz="0" w:space="0" w:color="auto"/>
            <w:left w:val="none" w:sz="0" w:space="0" w:color="auto"/>
            <w:bottom w:val="none" w:sz="0" w:space="0" w:color="auto"/>
            <w:right w:val="none" w:sz="0" w:space="0" w:color="auto"/>
          </w:divBdr>
          <w:divsChild>
            <w:div w:id="1903328999">
              <w:marLeft w:val="0"/>
              <w:marRight w:val="0"/>
              <w:marTop w:val="0"/>
              <w:marBottom w:val="0"/>
              <w:divBdr>
                <w:top w:val="none" w:sz="0" w:space="0" w:color="auto"/>
                <w:left w:val="none" w:sz="0" w:space="0" w:color="auto"/>
                <w:bottom w:val="none" w:sz="0" w:space="0" w:color="auto"/>
                <w:right w:val="none" w:sz="0" w:space="0" w:color="auto"/>
              </w:divBdr>
            </w:div>
          </w:divsChild>
        </w:div>
        <w:div w:id="171799189">
          <w:marLeft w:val="0"/>
          <w:marRight w:val="0"/>
          <w:marTop w:val="0"/>
          <w:marBottom w:val="0"/>
          <w:divBdr>
            <w:top w:val="none" w:sz="0" w:space="0" w:color="auto"/>
            <w:left w:val="none" w:sz="0" w:space="0" w:color="auto"/>
            <w:bottom w:val="none" w:sz="0" w:space="0" w:color="auto"/>
            <w:right w:val="none" w:sz="0" w:space="0" w:color="auto"/>
          </w:divBdr>
          <w:divsChild>
            <w:div w:id="1355229574">
              <w:marLeft w:val="0"/>
              <w:marRight w:val="0"/>
              <w:marTop w:val="0"/>
              <w:marBottom w:val="0"/>
              <w:divBdr>
                <w:top w:val="none" w:sz="0" w:space="0" w:color="auto"/>
                <w:left w:val="none" w:sz="0" w:space="0" w:color="auto"/>
                <w:bottom w:val="none" w:sz="0" w:space="0" w:color="auto"/>
                <w:right w:val="none" w:sz="0" w:space="0" w:color="auto"/>
              </w:divBdr>
            </w:div>
          </w:divsChild>
        </w:div>
        <w:div w:id="183523994">
          <w:marLeft w:val="0"/>
          <w:marRight w:val="0"/>
          <w:marTop w:val="0"/>
          <w:marBottom w:val="150"/>
          <w:divBdr>
            <w:top w:val="none" w:sz="0" w:space="0" w:color="auto"/>
            <w:left w:val="none" w:sz="0" w:space="0" w:color="auto"/>
            <w:bottom w:val="none" w:sz="0" w:space="0" w:color="auto"/>
            <w:right w:val="none" w:sz="0" w:space="0" w:color="auto"/>
          </w:divBdr>
        </w:div>
      </w:divsChild>
    </w:div>
    <w:div w:id="1724451504">
      <w:bodyDiv w:val="1"/>
      <w:marLeft w:val="0"/>
      <w:marRight w:val="0"/>
      <w:marTop w:val="0"/>
      <w:marBottom w:val="0"/>
      <w:divBdr>
        <w:top w:val="none" w:sz="0" w:space="0" w:color="auto"/>
        <w:left w:val="none" w:sz="0" w:space="0" w:color="auto"/>
        <w:bottom w:val="none" w:sz="0" w:space="0" w:color="auto"/>
        <w:right w:val="none" w:sz="0" w:space="0" w:color="auto"/>
      </w:divBdr>
      <w:divsChild>
        <w:div w:id="1766002157">
          <w:marLeft w:val="0"/>
          <w:marRight w:val="0"/>
          <w:marTop w:val="0"/>
          <w:marBottom w:val="150"/>
          <w:divBdr>
            <w:top w:val="none" w:sz="0" w:space="0" w:color="auto"/>
            <w:left w:val="none" w:sz="0" w:space="0" w:color="auto"/>
            <w:bottom w:val="none" w:sz="0" w:space="0" w:color="auto"/>
            <w:right w:val="none" w:sz="0" w:space="0" w:color="auto"/>
          </w:divBdr>
          <w:divsChild>
            <w:div w:id="349913482">
              <w:marLeft w:val="0"/>
              <w:marRight w:val="0"/>
              <w:marTop w:val="0"/>
              <w:marBottom w:val="0"/>
              <w:divBdr>
                <w:top w:val="none" w:sz="0" w:space="0" w:color="auto"/>
                <w:left w:val="none" w:sz="0" w:space="0" w:color="auto"/>
                <w:bottom w:val="none" w:sz="0" w:space="0" w:color="auto"/>
                <w:right w:val="none" w:sz="0" w:space="0" w:color="auto"/>
              </w:divBdr>
              <w:divsChild>
                <w:div w:id="55188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004355">
          <w:marLeft w:val="0"/>
          <w:marRight w:val="0"/>
          <w:marTop w:val="0"/>
          <w:marBottom w:val="150"/>
          <w:divBdr>
            <w:top w:val="none" w:sz="0" w:space="0" w:color="auto"/>
            <w:left w:val="none" w:sz="0" w:space="0" w:color="auto"/>
            <w:bottom w:val="none" w:sz="0" w:space="0" w:color="auto"/>
            <w:right w:val="none" w:sz="0" w:space="0" w:color="auto"/>
          </w:divBdr>
        </w:div>
        <w:div w:id="1989095133">
          <w:marLeft w:val="0"/>
          <w:marRight w:val="0"/>
          <w:marTop w:val="0"/>
          <w:marBottom w:val="0"/>
          <w:divBdr>
            <w:top w:val="none" w:sz="0" w:space="0" w:color="auto"/>
            <w:left w:val="none" w:sz="0" w:space="0" w:color="auto"/>
            <w:bottom w:val="none" w:sz="0" w:space="0" w:color="auto"/>
            <w:right w:val="none" w:sz="0" w:space="0" w:color="auto"/>
          </w:divBdr>
          <w:divsChild>
            <w:div w:id="87655031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24519964">
      <w:bodyDiv w:val="1"/>
      <w:marLeft w:val="0"/>
      <w:marRight w:val="0"/>
      <w:marTop w:val="0"/>
      <w:marBottom w:val="0"/>
      <w:divBdr>
        <w:top w:val="none" w:sz="0" w:space="0" w:color="auto"/>
        <w:left w:val="none" w:sz="0" w:space="0" w:color="auto"/>
        <w:bottom w:val="none" w:sz="0" w:space="0" w:color="auto"/>
        <w:right w:val="none" w:sz="0" w:space="0" w:color="auto"/>
      </w:divBdr>
      <w:divsChild>
        <w:div w:id="552176">
          <w:marLeft w:val="0"/>
          <w:marRight w:val="0"/>
          <w:marTop w:val="0"/>
          <w:marBottom w:val="150"/>
          <w:divBdr>
            <w:top w:val="none" w:sz="0" w:space="0" w:color="auto"/>
            <w:left w:val="none" w:sz="0" w:space="0" w:color="auto"/>
            <w:bottom w:val="none" w:sz="0" w:space="0" w:color="auto"/>
            <w:right w:val="none" w:sz="0" w:space="0" w:color="auto"/>
          </w:divBdr>
        </w:div>
        <w:div w:id="591009649">
          <w:marLeft w:val="0"/>
          <w:marRight w:val="0"/>
          <w:marTop w:val="0"/>
          <w:marBottom w:val="0"/>
          <w:divBdr>
            <w:top w:val="none" w:sz="0" w:space="0" w:color="auto"/>
            <w:left w:val="none" w:sz="0" w:space="0" w:color="auto"/>
            <w:bottom w:val="none" w:sz="0" w:space="0" w:color="auto"/>
            <w:right w:val="none" w:sz="0" w:space="0" w:color="auto"/>
          </w:divBdr>
          <w:divsChild>
            <w:div w:id="1905138287">
              <w:marLeft w:val="0"/>
              <w:marRight w:val="0"/>
              <w:marTop w:val="0"/>
              <w:marBottom w:val="0"/>
              <w:divBdr>
                <w:top w:val="none" w:sz="0" w:space="0" w:color="auto"/>
                <w:left w:val="none" w:sz="0" w:space="0" w:color="auto"/>
                <w:bottom w:val="none" w:sz="0" w:space="0" w:color="auto"/>
                <w:right w:val="none" w:sz="0" w:space="0" w:color="auto"/>
              </w:divBdr>
            </w:div>
          </w:divsChild>
        </w:div>
        <w:div w:id="734357187">
          <w:marLeft w:val="0"/>
          <w:marRight w:val="0"/>
          <w:marTop w:val="0"/>
          <w:marBottom w:val="150"/>
          <w:divBdr>
            <w:top w:val="none" w:sz="0" w:space="0" w:color="auto"/>
            <w:left w:val="none" w:sz="0" w:space="0" w:color="auto"/>
            <w:bottom w:val="none" w:sz="0" w:space="0" w:color="auto"/>
            <w:right w:val="none" w:sz="0" w:space="0" w:color="auto"/>
          </w:divBdr>
          <w:divsChild>
            <w:div w:id="1647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668497">
      <w:bodyDiv w:val="1"/>
      <w:marLeft w:val="0"/>
      <w:marRight w:val="0"/>
      <w:marTop w:val="0"/>
      <w:marBottom w:val="0"/>
      <w:divBdr>
        <w:top w:val="none" w:sz="0" w:space="0" w:color="auto"/>
        <w:left w:val="none" w:sz="0" w:space="0" w:color="auto"/>
        <w:bottom w:val="none" w:sz="0" w:space="0" w:color="auto"/>
        <w:right w:val="none" w:sz="0" w:space="0" w:color="auto"/>
      </w:divBdr>
    </w:div>
    <w:div w:id="1724865849">
      <w:bodyDiv w:val="1"/>
      <w:marLeft w:val="0"/>
      <w:marRight w:val="0"/>
      <w:marTop w:val="0"/>
      <w:marBottom w:val="0"/>
      <w:divBdr>
        <w:top w:val="none" w:sz="0" w:space="0" w:color="auto"/>
        <w:left w:val="none" w:sz="0" w:space="0" w:color="auto"/>
        <w:bottom w:val="none" w:sz="0" w:space="0" w:color="auto"/>
        <w:right w:val="none" w:sz="0" w:space="0" w:color="auto"/>
      </w:divBdr>
    </w:div>
    <w:div w:id="1725368598">
      <w:bodyDiv w:val="1"/>
      <w:marLeft w:val="0"/>
      <w:marRight w:val="0"/>
      <w:marTop w:val="0"/>
      <w:marBottom w:val="0"/>
      <w:divBdr>
        <w:top w:val="none" w:sz="0" w:space="0" w:color="auto"/>
        <w:left w:val="none" w:sz="0" w:space="0" w:color="auto"/>
        <w:bottom w:val="none" w:sz="0" w:space="0" w:color="auto"/>
        <w:right w:val="none" w:sz="0" w:space="0" w:color="auto"/>
      </w:divBdr>
      <w:divsChild>
        <w:div w:id="165752528">
          <w:marLeft w:val="0"/>
          <w:marRight w:val="0"/>
          <w:marTop w:val="0"/>
          <w:marBottom w:val="0"/>
          <w:divBdr>
            <w:top w:val="none" w:sz="0" w:space="0" w:color="auto"/>
            <w:left w:val="none" w:sz="0" w:space="0" w:color="auto"/>
            <w:bottom w:val="none" w:sz="0" w:space="0" w:color="auto"/>
            <w:right w:val="none" w:sz="0" w:space="0" w:color="auto"/>
          </w:divBdr>
        </w:div>
        <w:div w:id="862983780">
          <w:marLeft w:val="0"/>
          <w:marRight w:val="0"/>
          <w:marTop w:val="0"/>
          <w:marBottom w:val="150"/>
          <w:divBdr>
            <w:top w:val="none" w:sz="0" w:space="0" w:color="auto"/>
            <w:left w:val="none" w:sz="0" w:space="0" w:color="auto"/>
            <w:bottom w:val="none" w:sz="0" w:space="0" w:color="auto"/>
            <w:right w:val="none" w:sz="0" w:space="0" w:color="auto"/>
          </w:divBdr>
        </w:div>
      </w:divsChild>
    </w:div>
    <w:div w:id="1725637296">
      <w:bodyDiv w:val="1"/>
      <w:marLeft w:val="0"/>
      <w:marRight w:val="0"/>
      <w:marTop w:val="0"/>
      <w:marBottom w:val="0"/>
      <w:divBdr>
        <w:top w:val="none" w:sz="0" w:space="0" w:color="auto"/>
        <w:left w:val="none" w:sz="0" w:space="0" w:color="auto"/>
        <w:bottom w:val="none" w:sz="0" w:space="0" w:color="auto"/>
        <w:right w:val="none" w:sz="0" w:space="0" w:color="auto"/>
      </w:divBdr>
      <w:divsChild>
        <w:div w:id="305746966">
          <w:marLeft w:val="0"/>
          <w:marRight w:val="0"/>
          <w:marTop w:val="0"/>
          <w:marBottom w:val="0"/>
          <w:divBdr>
            <w:top w:val="none" w:sz="0" w:space="0" w:color="auto"/>
            <w:left w:val="none" w:sz="0" w:space="0" w:color="auto"/>
            <w:bottom w:val="none" w:sz="0" w:space="0" w:color="auto"/>
            <w:right w:val="none" w:sz="0" w:space="0" w:color="auto"/>
          </w:divBdr>
          <w:divsChild>
            <w:div w:id="1614898797">
              <w:marLeft w:val="0"/>
              <w:marRight w:val="0"/>
              <w:marTop w:val="0"/>
              <w:marBottom w:val="0"/>
              <w:divBdr>
                <w:top w:val="none" w:sz="0" w:space="0" w:color="auto"/>
                <w:left w:val="none" w:sz="0" w:space="0" w:color="auto"/>
                <w:bottom w:val="none" w:sz="0" w:space="0" w:color="auto"/>
                <w:right w:val="none" w:sz="0" w:space="0" w:color="auto"/>
              </w:divBdr>
              <w:divsChild>
                <w:div w:id="1046761040">
                  <w:marLeft w:val="0"/>
                  <w:marRight w:val="0"/>
                  <w:marTop w:val="0"/>
                  <w:marBottom w:val="0"/>
                  <w:divBdr>
                    <w:top w:val="none" w:sz="0" w:space="0" w:color="auto"/>
                    <w:left w:val="none" w:sz="0" w:space="0" w:color="auto"/>
                    <w:bottom w:val="none" w:sz="0" w:space="0" w:color="auto"/>
                    <w:right w:val="none" w:sz="0" w:space="0" w:color="auto"/>
                  </w:divBdr>
                  <w:divsChild>
                    <w:div w:id="1922988355">
                      <w:marLeft w:val="0"/>
                      <w:marRight w:val="0"/>
                      <w:marTop w:val="0"/>
                      <w:marBottom w:val="0"/>
                      <w:divBdr>
                        <w:top w:val="none" w:sz="0" w:space="0" w:color="auto"/>
                        <w:left w:val="none" w:sz="0" w:space="0" w:color="auto"/>
                        <w:bottom w:val="none" w:sz="0" w:space="0" w:color="auto"/>
                        <w:right w:val="none" w:sz="0" w:space="0" w:color="auto"/>
                      </w:divBdr>
                      <w:divsChild>
                        <w:div w:id="646059302">
                          <w:marLeft w:val="0"/>
                          <w:marRight w:val="0"/>
                          <w:marTop w:val="0"/>
                          <w:marBottom w:val="0"/>
                          <w:divBdr>
                            <w:top w:val="none" w:sz="0" w:space="0" w:color="auto"/>
                            <w:left w:val="none" w:sz="0" w:space="0" w:color="auto"/>
                            <w:bottom w:val="none" w:sz="0" w:space="0" w:color="auto"/>
                            <w:right w:val="none" w:sz="0" w:space="0" w:color="auto"/>
                          </w:divBdr>
                          <w:divsChild>
                            <w:div w:id="1112288734">
                              <w:marLeft w:val="0"/>
                              <w:marRight w:val="0"/>
                              <w:marTop w:val="0"/>
                              <w:marBottom w:val="0"/>
                              <w:divBdr>
                                <w:top w:val="none" w:sz="0" w:space="0" w:color="auto"/>
                                <w:left w:val="none" w:sz="0" w:space="0" w:color="auto"/>
                                <w:bottom w:val="none" w:sz="0" w:space="0" w:color="auto"/>
                                <w:right w:val="none" w:sz="0" w:space="0" w:color="auto"/>
                              </w:divBdr>
                              <w:divsChild>
                                <w:div w:id="1877618263">
                                  <w:marLeft w:val="0"/>
                                  <w:marRight w:val="0"/>
                                  <w:marTop w:val="0"/>
                                  <w:marBottom w:val="0"/>
                                  <w:divBdr>
                                    <w:top w:val="none" w:sz="0" w:space="0" w:color="auto"/>
                                    <w:left w:val="none" w:sz="0" w:space="0" w:color="auto"/>
                                    <w:bottom w:val="none" w:sz="0" w:space="0" w:color="auto"/>
                                    <w:right w:val="none" w:sz="0" w:space="0" w:color="auto"/>
                                  </w:divBdr>
                                  <w:divsChild>
                                    <w:div w:id="204239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222776">
      <w:bodyDiv w:val="1"/>
      <w:marLeft w:val="0"/>
      <w:marRight w:val="0"/>
      <w:marTop w:val="0"/>
      <w:marBottom w:val="0"/>
      <w:divBdr>
        <w:top w:val="none" w:sz="0" w:space="0" w:color="auto"/>
        <w:left w:val="none" w:sz="0" w:space="0" w:color="auto"/>
        <w:bottom w:val="none" w:sz="0" w:space="0" w:color="auto"/>
        <w:right w:val="none" w:sz="0" w:space="0" w:color="auto"/>
      </w:divBdr>
    </w:div>
    <w:div w:id="1726374293">
      <w:bodyDiv w:val="1"/>
      <w:marLeft w:val="0"/>
      <w:marRight w:val="0"/>
      <w:marTop w:val="0"/>
      <w:marBottom w:val="0"/>
      <w:divBdr>
        <w:top w:val="none" w:sz="0" w:space="0" w:color="auto"/>
        <w:left w:val="none" w:sz="0" w:space="0" w:color="auto"/>
        <w:bottom w:val="none" w:sz="0" w:space="0" w:color="auto"/>
        <w:right w:val="none" w:sz="0" w:space="0" w:color="auto"/>
      </w:divBdr>
      <w:divsChild>
        <w:div w:id="1256204666">
          <w:marLeft w:val="0"/>
          <w:marRight w:val="0"/>
          <w:marTop w:val="0"/>
          <w:marBottom w:val="150"/>
          <w:divBdr>
            <w:top w:val="none" w:sz="0" w:space="0" w:color="auto"/>
            <w:left w:val="none" w:sz="0" w:space="0" w:color="auto"/>
            <w:bottom w:val="none" w:sz="0" w:space="0" w:color="auto"/>
            <w:right w:val="none" w:sz="0" w:space="0" w:color="auto"/>
          </w:divBdr>
          <w:divsChild>
            <w:div w:id="195850693">
              <w:marLeft w:val="0"/>
              <w:marRight w:val="0"/>
              <w:marTop w:val="0"/>
              <w:marBottom w:val="0"/>
              <w:divBdr>
                <w:top w:val="none" w:sz="0" w:space="0" w:color="auto"/>
                <w:left w:val="none" w:sz="0" w:space="0" w:color="auto"/>
                <w:bottom w:val="none" w:sz="0" w:space="0" w:color="auto"/>
                <w:right w:val="none" w:sz="0" w:space="0" w:color="auto"/>
              </w:divBdr>
              <w:divsChild>
                <w:div w:id="4398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130630">
          <w:marLeft w:val="0"/>
          <w:marRight w:val="0"/>
          <w:marTop w:val="0"/>
          <w:marBottom w:val="0"/>
          <w:divBdr>
            <w:top w:val="none" w:sz="0" w:space="0" w:color="auto"/>
            <w:left w:val="none" w:sz="0" w:space="0" w:color="auto"/>
            <w:bottom w:val="none" w:sz="0" w:space="0" w:color="auto"/>
            <w:right w:val="none" w:sz="0" w:space="0" w:color="auto"/>
          </w:divBdr>
          <w:divsChild>
            <w:div w:id="1096025276">
              <w:marLeft w:val="0"/>
              <w:marRight w:val="0"/>
              <w:marTop w:val="0"/>
              <w:marBottom w:val="150"/>
              <w:divBdr>
                <w:top w:val="none" w:sz="0" w:space="0" w:color="auto"/>
                <w:left w:val="none" w:sz="0" w:space="0" w:color="auto"/>
                <w:bottom w:val="none" w:sz="0" w:space="0" w:color="auto"/>
                <w:right w:val="none" w:sz="0" w:space="0" w:color="auto"/>
              </w:divBdr>
            </w:div>
            <w:div w:id="1713378618">
              <w:marLeft w:val="0"/>
              <w:marRight w:val="0"/>
              <w:marTop w:val="0"/>
              <w:marBottom w:val="0"/>
              <w:divBdr>
                <w:top w:val="none" w:sz="0" w:space="0" w:color="auto"/>
                <w:left w:val="none" w:sz="0" w:space="0" w:color="auto"/>
                <w:bottom w:val="none" w:sz="0" w:space="0" w:color="auto"/>
                <w:right w:val="none" w:sz="0" w:space="0" w:color="auto"/>
              </w:divBdr>
              <w:divsChild>
                <w:div w:id="10961005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726445896">
      <w:bodyDiv w:val="1"/>
      <w:marLeft w:val="0"/>
      <w:marRight w:val="0"/>
      <w:marTop w:val="0"/>
      <w:marBottom w:val="0"/>
      <w:divBdr>
        <w:top w:val="none" w:sz="0" w:space="0" w:color="auto"/>
        <w:left w:val="none" w:sz="0" w:space="0" w:color="auto"/>
        <w:bottom w:val="none" w:sz="0" w:space="0" w:color="auto"/>
        <w:right w:val="none" w:sz="0" w:space="0" w:color="auto"/>
      </w:divBdr>
    </w:div>
    <w:div w:id="1726563027">
      <w:bodyDiv w:val="1"/>
      <w:marLeft w:val="0"/>
      <w:marRight w:val="0"/>
      <w:marTop w:val="0"/>
      <w:marBottom w:val="0"/>
      <w:divBdr>
        <w:top w:val="none" w:sz="0" w:space="0" w:color="auto"/>
        <w:left w:val="none" w:sz="0" w:space="0" w:color="auto"/>
        <w:bottom w:val="none" w:sz="0" w:space="0" w:color="auto"/>
        <w:right w:val="none" w:sz="0" w:space="0" w:color="auto"/>
      </w:divBdr>
    </w:div>
    <w:div w:id="1726830143">
      <w:bodyDiv w:val="1"/>
      <w:marLeft w:val="0"/>
      <w:marRight w:val="0"/>
      <w:marTop w:val="0"/>
      <w:marBottom w:val="0"/>
      <w:divBdr>
        <w:top w:val="none" w:sz="0" w:space="0" w:color="auto"/>
        <w:left w:val="none" w:sz="0" w:space="0" w:color="auto"/>
        <w:bottom w:val="none" w:sz="0" w:space="0" w:color="auto"/>
        <w:right w:val="none" w:sz="0" w:space="0" w:color="auto"/>
      </w:divBdr>
      <w:divsChild>
        <w:div w:id="986737952">
          <w:marLeft w:val="0"/>
          <w:marRight w:val="0"/>
          <w:marTop w:val="0"/>
          <w:marBottom w:val="0"/>
          <w:divBdr>
            <w:top w:val="none" w:sz="0" w:space="0" w:color="auto"/>
            <w:left w:val="none" w:sz="0" w:space="0" w:color="auto"/>
            <w:bottom w:val="none" w:sz="0" w:space="0" w:color="auto"/>
            <w:right w:val="none" w:sz="0" w:space="0" w:color="auto"/>
          </w:divBdr>
          <w:divsChild>
            <w:div w:id="378164825">
              <w:marLeft w:val="0"/>
              <w:marRight w:val="0"/>
              <w:marTop w:val="0"/>
              <w:marBottom w:val="0"/>
              <w:divBdr>
                <w:top w:val="none" w:sz="0" w:space="0" w:color="auto"/>
                <w:left w:val="none" w:sz="0" w:space="0" w:color="auto"/>
                <w:bottom w:val="none" w:sz="0" w:space="0" w:color="auto"/>
                <w:right w:val="none" w:sz="0" w:space="0" w:color="auto"/>
              </w:divBdr>
              <w:divsChild>
                <w:div w:id="3022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142519">
          <w:marLeft w:val="0"/>
          <w:marRight w:val="0"/>
          <w:marTop w:val="0"/>
          <w:marBottom w:val="75"/>
          <w:divBdr>
            <w:top w:val="none" w:sz="0" w:space="0" w:color="auto"/>
            <w:left w:val="none" w:sz="0" w:space="0" w:color="auto"/>
            <w:bottom w:val="none" w:sz="0" w:space="0" w:color="auto"/>
            <w:right w:val="none" w:sz="0" w:space="0" w:color="auto"/>
          </w:divBdr>
        </w:div>
        <w:div w:id="999116675">
          <w:marLeft w:val="0"/>
          <w:marRight w:val="0"/>
          <w:marTop w:val="0"/>
          <w:marBottom w:val="0"/>
          <w:divBdr>
            <w:top w:val="none" w:sz="0" w:space="0" w:color="auto"/>
            <w:left w:val="none" w:sz="0" w:space="0" w:color="auto"/>
            <w:bottom w:val="none" w:sz="0" w:space="0" w:color="auto"/>
            <w:right w:val="none" w:sz="0" w:space="0" w:color="auto"/>
          </w:divBdr>
          <w:divsChild>
            <w:div w:id="92090496">
              <w:marLeft w:val="0"/>
              <w:marRight w:val="0"/>
              <w:marTop w:val="0"/>
              <w:marBottom w:val="0"/>
              <w:divBdr>
                <w:top w:val="none" w:sz="0" w:space="0" w:color="auto"/>
                <w:left w:val="none" w:sz="0" w:space="0" w:color="auto"/>
                <w:bottom w:val="none" w:sz="0" w:space="0" w:color="auto"/>
                <w:right w:val="none" w:sz="0" w:space="0" w:color="auto"/>
              </w:divBdr>
              <w:divsChild>
                <w:div w:id="1804227220">
                  <w:marLeft w:val="0"/>
                  <w:marRight w:val="0"/>
                  <w:marTop w:val="0"/>
                  <w:marBottom w:val="450"/>
                  <w:divBdr>
                    <w:top w:val="none" w:sz="0" w:space="0" w:color="auto"/>
                    <w:left w:val="none" w:sz="0" w:space="0" w:color="auto"/>
                    <w:bottom w:val="none" w:sz="0" w:space="0" w:color="auto"/>
                    <w:right w:val="none" w:sz="0" w:space="0" w:color="auto"/>
                  </w:divBdr>
                  <w:divsChild>
                    <w:div w:id="17129223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726833361">
      <w:bodyDiv w:val="1"/>
      <w:marLeft w:val="0"/>
      <w:marRight w:val="0"/>
      <w:marTop w:val="0"/>
      <w:marBottom w:val="0"/>
      <w:divBdr>
        <w:top w:val="none" w:sz="0" w:space="0" w:color="auto"/>
        <w:left w:val="none" w:sz="0" w:space="0" w:color="auto"/>
        <w:bottom w:val="none" w:sz="0" w:space="0" w:color="auto"/>
        <w:right w:val="none" w:sz="0" w:space="0" w:color="auto"/>
      </w:divBdr>
      <w:divsChild>
        <w:div w:id="655425902">
          <w:marLeft w:val="0"/>
          <w:marRight w:val="0"/>
          <w:marTop w:val="0"/>
          <w:marBottom w:val="0"/>
          <w:divBdr>
            <w:top w:val="none" w:sz="0" w:space="0" w:color="auto"/>
            <w:left w:val="none" w:sz="0" w:space="0" w:color="auto"/>
            <w:bottom w:val="none" w:sz="0" w:space="0" w:color="auto"/>
            <w:right w:val="none" w:sz="0" w:space="0" w:color="auto"/>
          </w:divBdr>
          <w:divsChild>
            <w:div w:id="2133476815">
              <w:marLeft w:val="0"/>
              <w:marRight w:val="0"/>
              <w:marTop w:val="0"/>
              <w:marBottom w:val="0"/>
              <w:divBdr>
                <w:top w:val="none" w:sz="0" w:space="0" w:color="auto"/>
                <w:left w:val="none" w:sz="0" w:space="0" w:color="auto"/>
                <w:bottom w:val="none" w:sz="0" w:space="0" w:color="auto"/>
                <w:right w:val="none" w:sz="0" w:space="0" w:color="auto"/>
              </w:divBdr>
              <w:divsChild>
                <w:div w:id="539516384">
                  <w:marLeft w:val="0"/>
                  <w:marRight w:val="0"/>
                  <w:marTop w:val="0"/>
                  <w:marBottom w:val="0"/>
                  <w:divBdr>
                    <w:top w:val="none" w:sz="0" w:space="0" w:color="auto"/>
                    <w:left w:val="none" w:sz="0" w:space="0" w:color="auto"/>
                    <w:bottom w:val="none" w:sz="0" w:space="0" w:color="auto"/>
                    <w:right w:val="none" w:sz="0" w:space="0" w:color="auto"/>
                  </w:divBdr>
                  <w:divsChild>
                    <w:div w:id="2127969695">
                      <w:marLeft w:val="0"/>
                      <w:marRight w:val="0"/>
                      <w:marTop w:val="0"/>
                      <w:marBottom w:val="0"/>
                      <w:divBdr>
                        <w:top w:val="none" w:sz="0" w:space="0" w:color="auto"/>
                        <w:left w:val="none" w:sz="0" w:space="0" w:color="auto"/>
                        <w:bottom w:val="none" w:sz="0" w:space="0" w:color="auto"/>
                        <w:right w:val="none" w:sz="0" w:space="0" w:color="auto"/>
                      </w:divBdr>
                      <w:divsChild>
                        <w:div w:id="255985855">
                          <w:marLeft w:val="0"/>
                          <w:marRight w:val="0"/>
                          <w:marTop w:val="0"/>
                          <w:marBottom w:val="0"/>
                          <w:divBdr>
                            <w:top w:val="none" w:sz="0" w:space="0" w:color="auto"/>
                            <w:left w:val="none" w:sz="0" w:space="0" w:color="auto"/>
                            <w:bottom w:val="none" w:sz="0" w:space="0" w:color="auto"/>
                            <w:right w:val="none" w:sz="0" w:space="0" w:color="auto"/>
                          </w:divBdr>
                          <w:divsChild>
                            <w:div w:id="103896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6877758">
      <w:bodyDiv w:val="1"/>
      <w:marLeft w:val="0"/>
      <w:marRight w:val="0"/>
      <w:marTop w:val="0"/>
      <w:marBottom w:val="0"/>
      <w:divBdr>
        <w:top w:val="none" w:sz="0" w:space="0" w:color="auto"/>
        <w:left w:val="none" w:sz="0" w:space="0" w:color="auto"/>
        <w:bottom w:val="none" w:sz="0" w:space="0" w:color="auto"/>
        <w:right w:val="none" w:sz="0" w:space="0" w:color="auto"/>
      </w:divBdr>
      <w:divsChild>
        <w:div w:id="1295066514">
          <w:marLeft w:val="0"/>
          <w:marRight w:val="0"/>
          <w:marTop w:val="0"/>
          <w:marBottom w:val="0"/>
          <w:divBdr>
            <w:top w:val="none" w:sz="0" w:space="0" w:color="auto"/>
            <w:left w:val="none" w:sz="0" w:space="0" w:color="auto"/>
            <w:bottom w:val="dotted" w:sz="6" w:space="4" w:color="DDDDDD"/>
            <w:right w:val="none" w:sz="0" w:space="0" w:color="auto"/>
          </w:divBdr>
        </w:div>
      </w:divsChild>
    </w:div>
    <w:div w:id="1727146412">
      <w:bodyDiv w:val="1"/>
      <w:marLeft w:val="0"/>
      <w:marRight w:val="0"/>
      <w:marTop w:val="0"/>
      <w:marBottom w:val="0"/>
      <w:divBdr>
        <w:top w:val="none" w:sz="0" w:space="0" w:color="auto"/>
        <w:left w:val="none" w:sz="0" w:space="0" w:color="auto"/>
        <w:bottom w:val="none" w:sz="0" w:space="0" w:color="auto"/>
        <w:right w:val="none" w:sz="0" w:space="0" w:color="auto"/>
      </w:divBdr>
      <w:divsChild>
        <w:div w:id="2091537418">
          <w:marLeft w:val="0"/>
          <w:marRight w:val="0"/>
          <w:marTop w:val="0"/>
          <w:marBottom w:val="450"/>
          <w:divBdr>
            <w:top w:val="none" w:sz="0" w:space="0" w:color="auto"/>
            <w:left w:val="none" w:sz="0" w:space="0" w:color="auto"/>
            <w:bottom w:val="single" w:sz="6" w:space="19" w:color="EEEEEE"/>
            <w:right w:val="none" w:sz="0" w:space="0" w:color="auto"/>
          </w:divBdr>
          <w:divsChild>
            <w:div w:id="1651246067">
              <w:marLeft w:val="0"/>
              <w:marRight w:val="0"/>
              <w:marTop w:val="0"/>
              <w:marBottom w:val="150"/>
              <w:divBdr>
                <w:top w:val="none" w:sz="0" w:space="0" w:color="auto"/>
                <w:left w:val="none" w:sz="0" w:space="0" w:color="auto"/>
                <w:bottom w:val="none" w:sz="0" w:space="0" w:color="auto"/>
                <w:right w:val="none" w:sz="0" w:space="0" w:color="auto"/>
              </w:divBdr>
              <w:divsChild>
                <w:div w:id="82606298">
                  <w:marLeft w:val="0"/>
                  <w:marRight w:val="0"/>
                  <w:marTop w:val="0"/>
                  <w:marBottom w:val="0"/>
                  <w:divBdr>
                    <w:top w:val="none" w:sz="0" w:space="0" w:color="auto"/>
                    <w:left w:val="none" w:sz="0" w:space="0" w:color="auto"/>
                    <w:bottom w:val="none" w:sz="0" w:space="0" w:color="auto"/>
                    <w:right w:val="none" w:sz="0" w:space="0" w:color="auto"/>
                  </w:divBdr>
                </w:div>
              </w:divsChild>
            </w:div>
            <w:div w:id="298192300">
              <w:marLeft w:val="0"/>
              <w:marRight w:val="0"/>
              <w:marTop w:val="0"/>
              <w:marBottom w:val="0"/>
              <w:divBdr>
                <w:top w:val="none" w:sz="0" w:space="0" w:color="auto"/>
                <w:left w:val="none" w:sz="0" w:space="0" w:color="auto"/>
                <w:bottom w:val="none" w:sz="0" w:space="0" w:color="auto"/>
                <w:right w:val="none" w:sz="0" w:space="0" w:color="auto"/>
              </w:divBdr>
            </w:div>
          </w:divsChild>
        </w:div>
        <w:div w:id="272439494">
          <w:marLeft w:val="0"/>
          <w:marRight w:val="0"/>
          <w:marTop w:val="0"/>
          <w:marBottom w:val="0"/>
          <w:divBdr>
            <w:top w:val="none" w:sz="0" w:space="0" w:color="auto"/>
            <w:left w:val="none" w:sz="0" w:space="0" w:color="auto"/>
            <w:bottom w:val="none" w:sz="0" w:space="0" w:color="auto"/>
            <w:right w:val="none" w:sz="0" w:space="0" w:color="auto"/>
          </w:divBdr>
          <w:divsChild>
            <w:div w:id="2098205968">
              <w:marLeft w:val="0"/>
              <w:marRight w:val="0"/>
              <w:marTop w:val="0"/>
              <w:marBottom w:val="0"/>
              <w:divBdr>
                <w:top w:val="none" w:sz="0" w:space="0" w:color="auto"/>
                <w:left w:val="none" w:sz="0" w:space="0" w:color="auto"/>
                <w:bottom w:val="none" w:sz="0" w:space="0" w:color="auto"/>
                <w:right w:val="none" w:sz="0" w:space="0" w:color="auto"/>
              </w:divBdr>
              <w:divsChild>
                <w:div w:id="209893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4986">
      <w:bodyDiv w:val="1"/>
      <w:marLeft w:val="0"/>
      <w:marRight w:val="0"/>
      <w:marTop w:val="0"/>
      <w:marBottom w:val="0"/>
      <w:divBdr>
        <w:top w:val="none" w:sz="0" w:space="0" w:color="auto"/>
        <w:left w:val="none" w:sz="0" w:space="0" w:color="auto"/>
        <w:bottom w:val="none" w:sz="0" w:space="0" w:color="auto"/>
        <w:right w:val="none" w:sz="0" w:space="0" w:color="auto"/>
      </w:divBdr>
      <w:divsChild>
        <w:div w:id="1178271833">
          <w:marLeft w:val="0"/>
          <w:marRight w:val="0"/>
          <w:marTop w:val="0"/>
          <w:marBottom w:val="450"/>
          <w:divBdr>
            <w:top w:val="none" w:sz="0" w:space="0" w:color="auto"/>
            <w:left w:val="none" w:sz="0" w:space="0" w:color="auto"/>
            <w:bottom w:val="single" w:sz="6" w:space="19" w:color="EEEEEE"/>
            <w:right w:val="none" w:sz="0" w:space="0" w:color="auto"/>
          </w:divBdr>
          <w:divsChild>
            <w:div w:id="1015960434">
              <w:marLeft w:val="0"/>
              <w:marRight w:val="0"/>
              <w:marTop w:val="0"/>
              <w:marBottom w:val="150"/>
              <w:divBdr>
                <w:top w:val="none" w:sz="0" w:space="0" w:color="auto"/>
                <w:left w:val="none" w:sz="0" w:space="0" w:color="auto"/>
                <w:bottom w:val="none" w:sz="0" w:space="0" w:color="auto"/>
                <w:right w:val="none" w:sz="0" w:space="0" w:color="auto"/>
              </w:divBdr>
              <w:divsChild>
                <w:div w:id="1860268131">
                  <w:marLeft w:val="0"/>
                  <w:marRight w:val="0"/>
                  <w:marTop w:val="0"/>
                  <w:marBottom w:val="0"/>
                  <w:divBdr>
                    <w:top w:val="none" w:sz="0" w:space="0" w:color="auto"/>
                    <w:left w:val="none" w:sz="0" w:space="0" w:color="auto"/>
                    <w:bottom w:val="none" w:sz="0" w:space="0" w:color="auto"/>
                    <w:right w:val="none" w:sz="0" w:space="0" w:color="auto"/>
                  </w:divBdr>
                </w:div>
              </w:divsChild>
            </w:div>
            <w:div w:id="1589730402">
              <w:marLeft w:val="0"/>
              <w:marRight w:val="0"/>
              <w:marTop w:val="0"/>
              <w:marBottom w:val="0"/>
              <w:divBdr>
                <w:top w:val="none" w:sz="0" w:space="0" w:color="auto"/>
                <w:left w:val="none" w:sz="0" w:space="0" w:color="auto"/>
                <w:bottom w:val="none" w:sz="0" w:space="0" w:color="auto"/>
                <w:right w:val="none" w:sz="0" w:space="0" w:color="auto"/>
              </w:divBdr>
            </w:div>
          </w:divsChild>
        </w:div>
        <w:div w:id="1579897427">
          <w:marLeft w:val="0"/>
          <w:marRight w:val="0"/>
          <w:marTop w:val="0"/>
          <w:marBottom w:val="0"/>
          <w:divBdr>
            <w:top w:val="none" w:sz="0" w:space="0" w:color="auto"/>
            <w:left w:val="none" w:sz="0" w:space="0" w:color="auto"/>
            <w:bottom w:val="none" w:sz="0" w:space="0" w:color="auto"/>
            <w:right w:val="none" w:sz="0" w:space="0" w:color="auto"/>
          </w:divBdr>
          <w:divsChild>
            <w:div w:id="163253728">
              <w:marLeft w:val="0"/>
              <w:marRight w:val="0"/>
              <w:marTop w:val="0"/>
              <w:marBottom w:val="0"/>
              <w:divBdr>
                <w:top w:val="none" w:sz="0" w:space="0" w:color="auto"/>
                <w:left w:val="none" w:sz="0" w:space="0" w:color="auto"/>
                <w:bottom w:val="none" w:sz="0" w:space="0" w:color="auto"/>
                <w:right w:val="none" w:sz="0" w:space="0" w:color="auto"/>
              </w:divBdr>
              <w:divsChild>
                <w:div w:id="108117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86009">
      <w:bodyDiv w:val="1"/>
      <w:marLeft w:val="0"/>
      <w:marRight w:val="0"/>
      <w:marTop w:val="0"/>
      <w:marBottom w:val="0"/>
      <w:divBdr>
        <w:top w:val="none" w:sz="0" w:space="0" w:color="auto"/>
        <w:left w:val="none" w:sz="0" w:space="0" w:color="auto"/>
        <w:bottom w:val="none" w:sz="0" w:space="0" w:color="auto"/>
        <w:right w:val="none" w:sz="0" w:space="0" w:color="auto"/>
      </w:divBdr>
      <w:divsChild>
        <w:div w:id="1319114106">
          <w:marLeft w:val="0"/>
          <w:marRight w:val="0"/>
          <w:marTop w:val="0"/>
          <w:marBottom w:val="150"/>
          <w:divBdr>
            <w:top w:val="none" w:sz="0" w:space="0" w:color="auto"/>
            <w:left w:val="none" w:sz="0" w:space="0" w:color="auto"/>
            <w:bottom w:val="none" w:sz="0" w:space="0" w:color="auto"/>
            <w:right w:val="none" w:sz="0" w:space="0" w:color="auto"/>
          </w:divBdr>
        </w:div>
        <w:div w:id="2078898033">
          <w:marLeft w:val="0"/>
          <w:marRight w:val="0"/>
          <w:marTop w:val="0"/>
          <w:marBottom w:val="150"/>
          <w:divBdr>
            <w:top w:val="none" w:sz="0" w:space="0" w:color="auto"/>
            <w:left w:val="none" w:sz="0" w:space="0" w:color="auto"/>
            <w:bottom w:val="none" w:sz="0" w:space="0" w:color="auto"/>
            <w:right w:val="none" w:sz="0" w:space="0" w:color="auto"/>
          </w:divBdr>
          <w:divsChild>
            <w:div w:id="177046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48788">
      <w:bodyDiv w:val="1"/>
      <w:marLeft w:val="0"/>
      <w:marRight w:val="0"/>
      <w:marTop w:val="0"/>
      <w:marBottom w:val="0"/>
      <w:divBdr>
        <w:top w:val="none" w:sz="0" w:space="0" w:color="auto"/>
        <w:left w:val="none" w:sz="0" w:space="0" w:color="auto"/>
        <w:bottom w:val="none" w:sz="0" w:space="0" w:color="auto"/>
        <w:right w:val="none" w:sz="0" w:space="0" w:color="auto"/>
      </w:divBdr>
    </w:div>
    <w:div w:id="1728987523">
      <w:bodyDiv w:val="1"/>
      <w:marLeft w:val="0"/>
      <w:marRight w:val="0"/>
      <w:marTop w:val="0"/>
      <w:marBottom w:val="0"/>
      <w:divBdr>
        <w:top w:val="none" w:sz="0" w:space="0" w:color="auto"/>
        <w:left w:val="none" w:sz="0" w:space="0" w:color="auto"/>
        <w:bottom w:val="none" w:sz="0" w:space="0" w:color="auto"/>
        <w:right w:val="none" w:sz="0" w:space="0" w:color="auto"/>
      </w:divBdr>
      <w:divsChild>
        <w:div w:id="698318599">
          <w:marLeft w:val="0"/>
          <w:marRight w:val="0"/>
          <w:marTop w:val="0"/>
          <w:marBottom w:val="0"/>
          <w:divBdr>
            <w:top w:val="none" w:sz="0" w:space="0" w:color="auto"/>
            <w:left w:val="none" w:sz="0" w:space="0" w:color="auto"/>
            <w:bottom w:val="none" w:sz="0" w:space="0" w:color="auto"/>
            <w:right w:val="none" w:sz="0" w:space="0" w:color="auto"/>
          </w:divBdr>
          <w:divsChild>
            <w:div w:id="1735352214">
              <w:marLeft w:val="0"/>
              <w:marRight w:val="0"/>
              <w:marTop w:val="0"/>
              <w:marBottom w:val="0"/>
              <w:divBdr>
                <w:top w:val="none" w:sz="0" w:space="0" w:color="auto"/>
                <w:left w:val="none" w:sz="0" w:space="0" w:color="auto"/>
                <w:bottom w:val="none" w:sz="0" w:space="0" w:color="auto"/>
                <w:right w:val="none" w:sz="0" w:space="0" w:color="auto"/>
              </w:divBdr>
              <w:divsChild>
                <w:div w:id="1555117429">
                  <w:marLeft w:val="0"/>
                  <w:marRight w:val="0"/>
                  <w:marTop w:val="0"/>
                  <w:marBottom w:val="0"/>
                  <w:divBdr>
                    <w:top w:val="none" w:sz="0" w:space="0" w:color="auto"/>
                    <w:left w:val="none" w:sz="0" w:space="0" w:color="auto"/>
                    <w:bottom w:val="none" w:sz="0" w:space="0" w:color="auto"/>
                    <w:right w:val="none" w:sz="0" w:space="0" w:color="auto"/>
                  </w:divBdr>
                  <w:divsChild>
                    <w:div w:id="284700457">
                      <w:marLeft w:val="0"/>
                      <w:marRight w:val="0"/>
                      <w:marTop w:val="0"/>
                      <w:marBottom w:val="0"/>
                      <w:divBdr>
                        <w:top w:val="none" w:sz="0" w:space="0" w:color="auto"/>
                        <w:left w:val="none" w:sz="0" w:space="0" w:color="auto"/>
                        <w:bottom w:val="none" w:sz="0" w:space="0" w:color="auto"/>
                        <w:right w:val="none" w:sz="0" w:space="0" w:color="auto"/>
                      </w:divBdr>
                      <w:divsChild>
                        <w:div w:id="1779330079">
                          <w:marLeft w:val="0"/>
                          <w:marRight w:val="0"/>
                          <w:marTop w:val="0"/>
                          <w:marBottom w:val="0"/>
                          <w:divBdr>
                            <w:top w:val="none" w:sz="0" w:space="0" w:color="auto"/>
                            <w:left w:val="none" w:sz="0" w:space="0" w:color="auto"/>
                            <w:bottom w:val="none" w:sz="0" w:space="0" w:color="auto"/>
                            <w:right w:val="none" w:sz="0" w:space="0" w:color="auto"/>
                          </w:divBdr>
                          <w:divsChild>
                            <w:div w:id="1975283706">
                              <w:marLeft w:val="0"/>
                              <w:marRight w:val="0"/>
                              <w:marTop w:val="0"/>
                              <w:marBottom w:val="0"/>
                              <w:divBdr>
                                <w:top w:val="none" w:sz="0" w:space="0" w:color="auto"/>
                                <w:left w:val="none" w:sz="0" w:space="0" w:color="auto"/>
                                <w:bottom w:val="none" w:sz="0" w:space="0" w:color="auto"/>
                                <w:right w:val="none" w:sz="0" w:space="0" w:color="auto"/>
                              </w:divBdr>
                              <w:divsChild>
                                <w:div w:id="220021184">
                                  <w:marLeft w:val="0"/>
                                  <w:marRight w:val="0"/>
                                  <w:marTop w:val="0"/>
                                  <w:marBottom w:val="0"/>
                                  <w:divBdr>
                                    <w:top w:val="none" w:sz="0" w:space="0" w:color="auto"/>
                                    <w:left w:val="none" w:sz="0" w:space="0" w:color="auto"/>
                                    <w:bottom w:val="none" w:sz="0" w:space="0" w:color="auto"/>
                                    <w:right w:val="none" w:sz="0" w:space="0" w:color="auto"/>
                                  </w:divBdr>
                                  <w:divsChild>
                                    <w:div w:id="83731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9646621">
      <w:bodyDiv w:val="1"/>
      <w:marLeft w:val="0"/>
      <w:marRight w:val="0"/>
      <w:marTop w:val="0"/>
      <w:marBottom w:val="0"/>
      <w:divBdr>
        <w:top w:val="none" w:sz="0" w:space="0" w:color="auto"/>
        <w:left w:val="none" w:sz="0" w:space="0" w:color="auto"/>
        <w:bottom w:val="none" w:sz="0" w:space="0" w:color="auto"/>
        <w:right w:val="none" w:sz="0" w:space="0" w:color="auto"/>
      </w:divBdr>
      <w:divsChild>
        <w:div w:id="258225127">
          <w:marLeft w:val="0"/>
          <w:marRight w:val="0"/>
          <w:marTop w:val="0"/>
          <w:marBottom w:val="240"/>
          <w:divBdr>
            <w:top w:val="none" w:sz="0" w:space="0" w:color="auto"/>
            <w:left w:val="none" w:sz="0" w:space="0" w:color="auto"/>
            <w:bottom w:val="none" w:sz="0" w:space="0" w:color="auto"/>
            <w:right w:val="none" w:sz="0" w:space="0" w:color="auto"/>
          </w:divBdr>
        </w:div>
        <w:div w:id="1196767498">
          <w:marLeft w:val="0"/>
          <w:marRight w:val="0"/>
          <w:marTop w:val="0"/>
          <w:marBottom w:val="240"/>
          <w:divBdr>
            <w:top w:val="none" w:sz="0" w:space="0" w:color="auto"/>
            <w:left w:val="none" w:sz="0" w:space="0" w:color="auto"/>
            <w:bottom w:val="none" w:sz="0" w:space="0" w:color="auto"/>
            <w:right w:val="none" w:sz="0" w:space="0" w:color="auto"/>
          </w:divBdr>
        </w:div>
        <w:div w:id="1251234918">
          <w:marLeft w:val="0"/>
          <w:marRight w:val="0"/>
          <w:marTop w:val="0"/>
          <w:marBottom w:val="240"/>
          <w:divBdr>
            <w:top w:val="none" w:sz="0" w:space="0" w:color="auto"/>
            <w:left w:val="none" w:sz="0" w:space="0" w:color="auto"/>
            <w:bottom w:val="none" w:sz="0" w:space="0" w:color="auto"/>
            <w:right w:val="none" w:sz="0" w:space="0" w:color="auto"/>
          </w:divBdr>
        </w:div>
        <w:div w:id="1788624876">
          <w:marLeft w:val="0"/>
          <w:marRight w:val="0"/>
          <w:marTop w:val="0"/>
          <w:marBottom w:val="240"/>
          <w:divBdr>
            <w:top w:val="none" w:sz="0" w:space="0" w:color="auto"/>
            <w:left w:val="none" w:sz="0" w:space="0" w:color="auto"/>
            <w:bottom w:val="none" w:sz="0" w:space="0" w:color="auto"/>
            <w:right w:val="none" w:sz="0" w:space="0" w:color="auto"/>
          </w:divBdr>
        </w:div>
      </w:divsChild>
    </w:div>
    <w:div w:id="1729911880">
      <w:bodyDiv w:val="1"/>
      <w:marLeft w:val="0"/>
      <w:marRight w:val="0"/>
      <w:marTop w:val="0"/>
      <w:marBottom w:val="0"/>
      <w:divBdr>
        <w:top w:val="none" w:sz="0" w:space="0" w:color="auto"/>
        <w:left w:val="none" w:sz="0" w:space="0" w:color="auto"/>
        <w:bottom w:val="none" w:sz="0" w:space="0" w:color="auto"/>
        <w:right w:val="none" w:sz="0" w:space="0" w:color="auto"/>
      </w:divBdr>
      <w:divsChild>
        <w:div w:id="353656286">
          <w:marLeft w:val="0"/>
          <w:marRight w:val="0"/>
          <w:marTop w:val="0"/>
          <w:marBottom w:val="240"/>
          <w:divBdr>
            <w:top w:val="none" w:sz="0" w:space="0" w:color="auto"/>
            <w:left w:val="none" w:sz="0" w:space="0" w:color="auto"/>
            <w:bottom w:val="none" w:sz="0" w:space="0" w:color="auto"/>
            <w:right w:val="none" w:sz="0" w:space="0" w:color="auto"/>
          </w:divBdr>
        </w:div>
        <w:div w:id="560094041">
          <w:marLeft w:val="0"/>
          <w:marRight w:val="0"/>
          <w:marTop w:val="0"/>
          <w:marBottom w:val="240"/>
          <w:divBdr>
            <w:top w:val="none" w:sz="0" w:space="0" w:color="auto"/>
            <w:left w:val="none" w:sz="0" w:space="0" w:color="auto"/>
            <w:bottom w:val="none" w:sz="0" w:space="0" w:color="auto"/>
            <w:right w:val="none" w:sz="0" w:space="0" w:color="auto"/>
          </w:divBdr>
        </w:div>
        <w:div w:id="1731685543">
          <w:marLeft w:val="0"/>
          <w:marRight w:val="0"/>
          <w:marTop w:val="0"/>
          <w:marBottom w:val="240"/>
          <w:divBdr>
            <w:top w:val="none" w:sz="0" w:space="0" w:color="auto"/>
            <w:left w:val="none" w:sz="0" w:space="0" w:color="auto"/>
            <w:bottom w:val="none" w:sz="0" w:space="0" w:color="auto"/>
            <w:right w:val="none" w:sz="0" w:space="0" w:color="auto"/>
          </w:divBdr>
        </w:div>
        <w:div w:id="1744718555">
          <w:marLeft w:val="0"/>
          <w:marRight w:val="0"/>
          <w:marTop w:val="0"/>
          <w:marBottom w:val="240"/>
          <w:divBdr>
            <w:top w:val="none" w:sz="0" w:space="0" w:color="auto"/>
            <w:left w:val="none" w:sz="0" w:space="0" w:color="auto"/>
            <w:bottom w:val="none" w:sz="0" w:space="0" w:color="auto"/>
            <w:right w:val="none" w:sz="0" w:space="0" w:color="auto"/>
          </w:divBdr>
        </w:div>
        <w:div w:id="1941376060">
          <w:marLeft w:val="0"/>
          <w:marRight w:val="0"/>
          <w:marTop w:val="0"/>
          <w:marBottom w:val="240"/>
          <w:divBdr>
            <w:top w:val="none" w:sz="0" w:space="0" w:color="auto"/>
            <w:left w:val="none" w:sz="0" w:space="0" w:color="auto"/>
            <w:bottom w:val="none" w:sz="0" w:space="0" w:color="auto"/>
            <w:right w:val="none" w:sz="0" w:space="0" w:color="auto"/>
          </w:divBdr>
          <w:divsChild>
            <w:div w:id="1658801921">
              <w:marLeft w:val="0"/>
              <w:marRight w:val="0"/>
              <w:marTop w:val="0"/>
              <w:marBottom w:val="0"/>
              <w:divBdr>
                <w:top w:val="none" w:sz="0" w:space="0" w:color="auto"/>
                <w:left w:val="none" w:sz="0" w:space="0" w:color="auto"/>
                <w:bottom w:val="none" w:sz="0" w:space="0" w:color="auto"/>
                <w:right w:val="none" w:sz="0" w:space="0" w:color="auto"/>
              </w:divBdr>
              <w:divsChild>
                <w:div w:id="9714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227158">
      <w:bodyDiv w:val="1"/>
      <w:marLeft w:val="0"/>
      <w:marRight w:val="0"/>
      <w:marTop w:val="0"/>
      <w:marBottom w:val="0"/>
      <w:divBdr>
        <w:top w:val="none" w:sz="0" w:space="0" w:color="auto"/>
        <w:left w:val="none" w:sz="0" w:space="0" w:color="auto"/>
        <w:bottom w:val="none" w:sz="0" w:space="0" w:color="auto"/>
        <w:right w:val="none" w:sz="0" w:space="0" w:color="auto"/>
      </w:divBdr>
    </w:div>
    <w:div w:id="1730297618">
      <w:bodyDiv w:val="1"/>
      <w:marLeft w:val="0"/>
      <w:marRight w:val="0"/>
      <w:marTop w:val="0"/>
      <w:marBottom w:val="0"/>
      <w:divBdr>
        <w:top w:val="none" w:sz="0" w:space="0" w:color="auto"/>
        <w:left w:val="none" w:sz="0" w:space="0" w:color="auto"/>
        <w:bottom w:val="none" w:sz="0" w:space="0" w:color="auto"/>
        <w:right w:val="none" w:sz="0" w:space="0" w:color="auto"/>
      </w:divBdr>
    </w:div>
    <w:div w:id="1730376512">
      <w:bodyDiv w:val="1"/>
      <w:marLeft w:val="0"/>
      <w:marRight w:val="0"/>
      <w:marTop w:val="0"/>
      <w:marBottom w:val="0"/>
      <w:divBdr>
        <w:top w:val="none" w:sz="0" w:space="0" w:color="auto"/>
        <w:left w:val="none" w:sz="0" w:space="0" w:color="auto"/>
        <w:bottom w:val="none" w:sz="0" w:space="0" w:color="auto"/>
        <w:right w:val="none" w:sz="0" w:space="0" w:color="auto"/>
      </w:divBdr>
    </w:div>
    <w:div w:id="1730570637">
      <w:bodyDiv w:val="1"/>
      <w:marLeft w:val="0"/>
      <w:marRight w:val="0"/>
      <w:marTop w:val="0"/>
      <w:marBottom w:val="0"/>
      <w:divBdr>
        <w:top w:val="none" w:sz="0" w:space="0" w:color="auto"/>
        <w:left w:val="none" w:sz="0" w:space="0" w:color="auto"/>
        <w:bottom w:val="none" w:sz="0" w:space="0" w:color="auto"/>
        <w:right w:val="none" w:sz="0" w:space="0" w:color="auto"/>
      </w:divBdr>
      <w:divsChild>
        <w:div w:id="106584853">
          <w:marLeft w:val="0"/>
          <w:marRight w:val="0"/>
          <w:marTop w:val="0"/>
          <w:marBottom w:val="0"/>
          <w:divBdr>
            <w:top w:val="none" w:sz="0" w:space="0" w:color="auto"/>
            <w:left w:val="none" w:sz="0" w:space="0" w:color="auto"/>
            <w:bottom w:val="none" w:sz="0" w:space="0" w:color="auto"/>
            <w:right w:val="none" w:sz="0" w:space="0" w:color="auto"/>
          </w:divBdr>
          <w:divsChild>
            <w:div w:id="60430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7654">
      <w:bodyDiv w:val="1"/>
      <w:marLeft w:val="0"/>
      <w:marRight w:val="0"/>
      <w:marTop w:val="0"/>
      <w:marBottom w:val="0"/>
      <w:divBdr>
        <w:top w:val="none" w:sz="0" w:space="0" w:color="auto"/>
        <w:left w:val="none" w:sz="0" w:space="0" w:color="auto"/>
        <w:bottom w:val="none" w:sz="0" w:space="0" w:color="auto"/>
        <w:right w:val="none" w:sz="0" w:space="0" w:color="auto"/>
      </w:divBdr>
      <w:divsChild>
        <w:div w:id="1472552132">
          <w:marLeft w:val="0"/>
          <w:marRight w:val="0"/>
          <w:marTop w:val="0"/>
          <w:marBottom w:val="150"/>
          <w:divBdr>
            <w:top w:val="none" w:sz="0" w:space="0" w:color="auto"/>
            <w:left w:val="none" w:sz="0" w:space="0" w:color="auto"/>
            <w:bottom w:val="none" w:sz="0" w:space="0" w:color="auto"/>
            <w:right w:val="none" w:sz="0" w:space="0" w:color="auto"/>
          </w:divBdr>
          <w:divsChild>
            <w:div w:id="1314530709">
              <w:marLeft w:val="0"/>
              <w:marRight w:val="0"/>
              <w:marTop w:val="0"/>
              <w:marBottom w:val="0"/>
              <w:divBdr>
                <w:top w:val="none" w:sz="0" w:space="0" w:color="auto"/>
                <w:left w:val="none" w:sz="0" w:space="0" w:color="auto"/>
                <w:bottom w:val="none" w:sz="0" w:space="0" w:color="auto"/>
                <w:right w:val="none" w:sz="0" w:space="0" w:color="auto"/>
              </w:divBdr>
            </w:div>
          </w:divsChild>
        </w:div>
        <w:div w:id="1756903250">
          <w:marLeft w:val="0"/>
          <w:marRight w:val="0"/>
          <w:marTop w:val="0"/>
          <w:marBottom w:val="150"/>
          <w:divBdr>
            <w:top w:val="none" w:sz="0" w:space="0" w:color="auto"/>
            <w:left w:val="none" w:sz="0" w:space="0" w:color="auto"/>
            <w:bottom w:val="none" w:sz="0" w:space="0" w:color="auto"/>
            <w:right w:val="none" w:sz="0" w:space="0" w:color="auto"/>
          </w:divBdr>
        </w:div>
      </w:divsChild>
    </w:div>
    <w:div w:id="1731071008">
      <w:bodyDiv w:val="1"/>
      <w:marLeft w:val="0"/>
      <w:marRight w:val="0"/>
      <w:marTop w:val="0"/>
      <w:marBottom w:val="0"/>
      <w:divBdr>
        <w:top w:val="none" w:sz="0" w:space="0" w:color="auto"/>
        <w:left w:val="none" w:sz="0" w:space="0" w:color="auto"/>
        <w:bottom w:val="none" w:sz="0" w:space="0" w:color="auto"/>
        <w:right w:val="none" w:sz="0" w:space="0" w:color="auto"/>
      </w:divBdr>
      <w:divsChild>
        <w:div w:id="1980530166">
          <w:marLeft w:val="0"/>
          <w:marRight w:val="0"/>
          <w:marTop w:val="0"/>
          <w:marBottom w:val="0"/>
          <w:divBdr>
            <w:top w:val="none" w:sz="0" w:space="0" w:color="auto"/>
            <w:left w:val="none" w:sz="0" w:space="0" w:color="auto"/>
            <w:bottom w:val="dotted" w:sz="6" w:space="4" w:color="DDDDDD"/>
            <w:right w:val="none" w:sz="0" w:space="0" w:color="auto"/>
          </w:divBdr>
        </w:div>
      </w:divsChild>
    </w:div>
    <w:div w:id="1731609569">
      <w:bodyDiv w:val="1"/>
      <w:marLeft w:val="0"/>
      <w:marRight w:val="0"/>
      <w:marTop w:val="0"/>
      <w:marBottom w:val="0"/>
      <w:divBdr>
        <w:top w:val="none" w:sz="0" w:space="0" w:color="auto"/>
        <w:left w:val="none" w:sz="0" w:space="0" w:color="auto"/>
        <w:bottom w:val="none" w:sz="0" w:space="0" w:color="auto"/>
        <w:right w:val="none" w:sz="0" w:space="0" w:color="auto"/>
      </w:divBdr>
    </w:div>
    <w:div w:id="1731613666">
      <w:bodyDiv w:val="1"/>
      <w:marLeft w:val="0"/>
      <w:marRight w:val="0"/>
      <w:marTop w:val="0"/>
      <w:marBottom w:val="0"/>
      <w:divBdr>
        <w:top w:val="none" w:sz="0" w:space="0" w:color="auto"/>
        <w:left w:val="none" w:sz="0" w:space="0" w:color="auto"/>
        <w:bottom w:val="none" w:sz="0" w:space="0" w:color="auto"/>
        <w:right w:val="none" w:sz="0" w:space="0" w:color="auto"/>
      </w:divBdr>
    </w:div>
    <w:div w:id="1731878530">
      <w:bodyDiv w:val="1"/>
      <w:marLeft w:val="0"/>
      <w:marRight w:val="0"/>
      <w:marTop w:val="0"/>
      <w:marBottom w:val="0"/>
      <w:divBdr>
        <w:top w:val="none" w:sz="0" w:space="0" w:color="auto"/>
        <w:left w:val="none" w:sz="0" w:space="0" w:color="auto"/>
        <w:bottom w:val="none" w:sz="0" w:space="0" w:color="auto"/>
        <w:right w:val="none" w:sz="0" w:space="0" w:color="auto"/>
      </w:divBdr>
    </w:div>
    <w:div w:id="1731999644">
      <w:bodyDiv w:val="1"/>
      <w:marLeft w:val="0"/>
      <w:marRight w:val="0"/>
      <w:marTop w:val="0"/>
      <w:marBottom w:val="0"/>
      <w:divBdr>
        <w:top w:val="none" w:sz="0" w:space="0" w:color="auto"/>
        <w:left w:val="none" w:sz="0" w:space="0" w:color="auto"/>
        <w:bottom w:val="none" w:sz="0" w:space="0" w:color="auto"/>
        <w:right w:val="none" w:sz="0" w:space="0" w:color="auto"/>
      </w:divBdr>
    </w:div>
    <w:div w:id="1733113621">
      <w:bodyDiv w:val="1"/>
      <w:marLeft w:val="0"/>
      <w:marRight w:val="0"/>
      <w:marTop w:val="0"/>
      <w:marBottom w:val="0"/>
      <w:divBdr>
        <w:top w:val="none" w:sz="0" w:space="0" w:color="auto"/>
        <w:left w:val="none" w:sz="0" w:space="0" w:color="auto"/>
        <w:bottom w:val="none" w:sz="0" w:space="0" w:color="auto"/>
        <w:right w:val="none" w:sz="0" w:space="0" w:color="auto"/>
      </w:divBdr>
      <w:divsChild>
        <w:div w:id="658995338">
          <w:marLeft w:val="0"/>
          <w:marRight w:val="0"/>
          <w:marTop w:val="0"/>
          <w:marBottom w:val="0"/>
          <w:divBdr>
            <w:top w:val="none" w:sz="0" w:space="0" w:color="auto"/>
            <w:left w:val="none" w:sz="0" w:space="0" w:color="auto"/>
            <w:bottom w:val="none" w:sz="0" w:space="0" w:color="auto"/>
            <w:right w:val="none" w:sz="0" w:space="0" w:color="auto"/>
          </w:divBdr>
          <w:divsChild>
            <w:div w:id="1241520574">
              <w:marLeft w:val="0"/>
              <w:marRight w:val="0"/>
              <w:marTop w:val="0"/>
              <w:marBottom w:val="0"/>
              <w:divBdr>
                <w:top w:val="none" w:sz="0" w:space="0" w:color="auto"/>
                <w:left w:val="none" w:sz="0" w:space="0" w:color="auto"/>
                <w:bottom w:val="none" w:sz="0" w:space="0" w:color="auto"/>
                <w:right w:val="none" w:sz="0" w:space="0" w:color="auto"/>
              </w:divBdr>
              <w:divsChild>
                <w:div w:id="1009914479">
                  <w:marLeft w:val="0"/>
                  <w:marRight w:val="0"/>
                  <w:marTop w:val="0"/>
                  <w:marBottom w:val="0"/>
                  <w:divBdr>
                    <w:top w:val="none" w:sz="0" w:space="0" w:color="auto"/>
                    <w:left w:val="none" w:sz="0" w:space="0" w:color="auto"/>
                    <w:bottom w:val="none" w:sz="0" w:space="0" w:color="auto"/>
                    <w:right w:val="none" w:sz="0" w:space="0" w:color="auto"/>
                  </w:divBdr>
                  <w:divsChild>
                    <w:div w:id="1817334097">
                      <w:marLeft w:val="0"/>
                      <w:marRight w:val="0"/>
                      <w:marTop w:val="0"/>
                      <w:marBottom w:val="0"/>
                      <w:divBdr>
                        <w:top w:val="none" w:sz="0" w:space="0" w:color="auto"/>
                        <w:left w:val="none" w:sz="0" w:space="0" w:color="auto"/>
                        <w:bottom w:val="none" w:sz="0" w:space="0" w:color="auto"/>
                        <w:right w:val="none" w:sz="0" w:space="0" w:color="auto"/>
                      </w:divBdr>
                      <w:divsChild>
                        <w:div w:id="1328021900">
                          <w:marLeft w:val="0"/>
                          <w:marRight w:val="0"/>
                          <w:marTop w:val="0"/>
                          <w:marBottom w:val="0"/>
                          <w:divBdr>
                            <w:top w:val="none" w:sz="0" w:space="0" w:color="auto"/>
                            <w:left w:val="none" w:sz="0" w:space="0" w:color="auto"/>
                            <w:bottom w:val="none" w:sz="0" w:space="0" w:color="auto"/>
                            <w:right w:val="none" w:sz="0" w:space="0" w:color="auto"/>
                          </w:divBdr>
                          <w:divsChild>
                            <w:div w:id="1148403104">
                              <w:marLeft w:val="0"/>
                              <w:marRight w:val="0"/>
                              <w:marTop w:val="0"/>
                              <w:marBottom w:val="0"/>
                              <w:divBdr>
                                <w:top w:val="none" w:sz="0" w:space="0" w:color="auto"/>
                                <w:left w:val="none" w:sz="0" w:space="0" w:color="auto"/>
                                <w:bottom w:val="none" w:sz="0" w:space="0" w:color="auto"/>
                                <w:right w:val="none" w:sz="0" w:space="0" w:color="auto"/>
                              </w:divBdr>
                              <w:divsChild>
                                <w:div w:id="172780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3238587">
      <w:bodyDiv w:val="1"/>
      <w:marLeft w:val="0"/>
      <w:marRight w:val="0"/>
      <w:marTop w:val="0"/>
      <w:marBottom w:val="0"/>
      <w:divBdr>
        <w:top w:val="none" w:sz="0" w:space="0" w:color="auto"/>
        <w:left w:val="none" w:sz="0" w:space="0" w:color="auto"/>
        <w:bottom w:val="none" w:sz="0" w:space="0" w:color="auto"/>
        <w:right w:val="none" w:sz="0" w:space="0" w:color="auto"/>
      </w:divBdr>
      <w:divsChild>
        <w:div w:id="1558005247">
          <w:marLeft w:val="0"/>
          <w:marRight w:val="0"/>
          <w:marTop w:val="0"/>
          <w:marBottom w:val="150"/>
          <w:divBdr>
            <w:top w:val="none" w:sz="0" w:space="0" w:color="auto"/>
            <w:left w:val="none" w:sz="0" w:space="0" w:color="auto"/>
            <w:bottom w:val="none" w:sz="0" w:space="0" w:color="auto"/>
            <w:right w:val="none" w:sz="0" w:space="0" w:color="auto"/>
          </w:divBdr>
        </w:div>
      </w:divsChild>
    </w:div>
    <w:div w:id="1733313179">
      <w:bodyDiv w:val="1"/>
      <w:marLeft w:val="0"/>
      <w:marRight w:val="0"/>
      <w:marTop w:val="0"/>
      <w:marBottom w:val="0"/>
      <w:divBdr>
        <w:top w:val="none" w:sz="0" w:space="0" w:color="auto"/>
        <w:left w:val="none" w:sz="0" w:space="0" w:color="auto"/>
        <w:bottom w:val="none" w:sz="0" w:space="0" w:color="auto"/>
        <w:right w:val="none" w:sz="0" w:space="0" w:color="auto"/>
      </w:divBdr>
      <w:divsChild>
        <w:div w:id="1043017507">
          <w:marLeft w:val="0"/>
          <w:marRight w:val="0"/>
          <w:marTop w:val="0"/>
          <w:marBottom w:val="0"/>
          <w:divBdr>
            <w:top w:val="none" w:sz="0" w:space="0" w:color="auto"/>
            <w:left w:val="none" w:sz="0" w:space="0" w:color="auto"/>
            <w:bottom w:val="none" w:sz="0" w:space="0" w:color="auto"/>
            <w:right w:val="none" w:sz="0" w:space="0" w:color="auto"/>
          </w:divBdr>
          <w:divsChild>
            <w:div w:id="84692936">
              <w:marLeft w:val="0"/>
              <w:marRight w:val="0"/>
              <w:marTop w:val="225"/>
              <w:marBottom w:val="225"/>
              <w:divBdr>
                <w:top w:val="none" w:sz="0" w:space="0" w:color="auto"/>
                <w:left w:val="none" w:sz="0" w:space="0" w:color="auto"/>
                <w:bottom w:val="none" w:sz="0" w:space="0" w:color="auto"/>
                <w:right w:val="none" w:sz="0" w:space="0" w:color="auto"/>
              </w:divBdr>
            </w:div>
          </w:divsChild>
        </w:div>
        <w:div w:id="1285964457">
          <w:marLeft w:val="0"/>
          <w:marRight w:val="0"/>
          <w:marTop w:val="0"/>
          <w:marBottom w:val="150"/>
          <w:divBdr>
            <w:top w:val="none" w:sz="0" w:space="0" w:color="auto"/>
            <w:left w:val="none" w:sz="0" w:space="0" w:color="auto"/>
            <w:bottom w:val="none" w:sz="0" w:space="0" w:color="auto"/>
            <w:right w:val="none" w:sz="0" w:space="0" w:color="auto"/>
          </w:divBdr>
          <w:divsChild>
            <w:div w:id="1765955075">
              <w:marLeft w:val="0"/>
              <w:marRight w:val="0"/>
              <w:marTop w:val="0"/>
              <w:marBottom w:val="0"/>
              <w:divBdr>
                <w:top w:val="none" w:sz="0" w:space="0" w:color="auto"/>
                <w:left w:val="none" w:sz="0" w:space="0" w:color="auto"/>
                <w:bottom w:val="none" w:sz="0" w:space="0" w:color="auto"/>
                <w:right w:val="none" w:sz="0" w:space="0" w:color="auto"/>
              </w:divBdr>
              <w:divsChild>
                <w:div w:id="56263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980092">
          <w:marLeft w:val="0"/>
          <w:marRight w:val="0"/>
          <w:marTop w:val="0"/>
          <w:marBottom w:val="150"/>
          <w:divBdr>
            <w:top w:val="none" w:sz="0" w:space="0" w:color="auto"/>
            <w:left w:val="none" w:sz="0" w:space="0" w:color="auto"/>
            <w:bottom w:val="none" w:sz="0" w:space="0" w:color="auto"/>
            <w:right w:val="none" w:sz="0" w:space="0" w:color="auto"/>
          </w:divBdr>
        </w:div>
      </w:divsChild>
    </w:div>
    <w:div w:id="1733770975">
      <w:bodyDiv w:val="1"/>
      <w:marLeft w:val="0"/>
      <w:marRight w:val="0"/>
      <w:marTop w:val="0"/>
      <w:marBottom w:val="0"/>
      <w:divBdr>
        <w:top w:val="none" w:sz="0" w:space="0" w:color="auto"/>
        <w:left w:val="none" w:sz="0" w:space="0" w:color="auto"/>
        <w:bottom w:val="none" w:sz="0" w:space="0" w:color="auto"/>
        <w:right w:val="none" w:sz="0" w:space="0" w:color="auto"/>
      </w:divBdr>
      <w:divsChild>
        <w:div w:id="1609578506">
          <w:marLeft w:val="0"/>
          <w:marRight w:val="0"/>
          <w:marTop w:val="0"/>
          <w:marBottom w:val="225"/>
          <w:divBdr>
            <w:top w:val="none" w:sz="0" w:space="0" w:color="auto"/>
            <w:left w:val="none" w:sz="0" w:space="0" w:color="auto"/>
            <w:bottom w:val="none" w:sz="0" w:space="0" w:color="auto"/>
            <w:right w:val="none" w:sz="0" w:space="0" w:color="auto"/>
          </w:divBdr>
        </w:div>
      </w:divsChild>
    </w:div>
    <w:div w:id="1734309814">
      <w:bodyDiv w:val="1"/>
      <w:marLeft w:val="0"/>
      <w:marRight w:val="0"/>
      <w:marTop w:val="0"/>
      <w:marBottom w:val="0"/>
      <w:divBdr>
        <w:top w:val="none" w:sz="0" w:space="0" w:color="auto"/>
        <w:left w:val="none" w:sz="0" w:space="0" w:color="auto"/>
        <w:bottom w:val="none" w:sz="0" w:space="0" w:color="auto"/>
        <w:right w:val="none" w:sz="0" w:space="0" w:color="auto"/>
      </w:divBdr>
    </w:div>
    <w:div w:id="1734425202">
      <w:bodyDiv w:val="1"/>
      <w:marLeft w:val="0"/>
      <w:marRight w:val="0"/>
      <w:marTop w:val="0"/>
      <w:marBottom w:val="0"/>
      <w:divBdr>
        <w:top w:val="none" w:sz="0" w:space="0" w:color="auto"/>
        <w:left w:val="none" w:sz="0" w:space="0" w:color="auto"/>
        <w:bottom w:val="none" w:sz="0" w:space="0" w:color="auto"/>
        <w:right w:val="none" w:sz="0" w:space="0" w:color="auto"/>
      </w:divBdr>
    </w:div>
    <w:div w:id="1734427378">
      <w:bodyDiv w:val="1"/>
      <w:marLeft w:val="0"/>
      <w:marRight w:val="0"/>
      <w:marTop w:val="0"/>
      <w:marBottom w:val="0"/>
      <w:divBdr>
        <w:top w:val="none" w:sz="0" w:space="0" w:color="auto"/>
        <w:left w:val="none" w:sz="0" w:space="0" w:color="auto"/>
        <w:bottom w:val="none" w:sz="0" w:space="0" w:color="auto"/>
        <w:right w:val="none" w:sz="0" w:space="0" w:color="auto"/>
      </w:divBdr>
      <w:divsChild>
        <w:div w:id="1664578981">
          <w:marLeft w:val="0"/>
          <w:marRight w:val="0"/>
          <w:marTop w:val="0"/>
          <w:marBottom w:val="0"/>
          <w:divBdr>
            <w:top w:val="none" w:sz="0" w:space="0" w:color="auto"/>
            <w:left w:val="none" w:sz="0" w:space="0" w:color="auto"/>
            <w:bottom w:val="dotted" w:sz="6" w:space="4" w:color="DDDDDD"/>
            <w:right w:val="none" w:sz="0" w:space="0" w:color="auto"/>
          </w:divBdr>
        </w:div>
      </w:divsChild>
    </w:div>
    <w:div w:id="1734541761">
      <w:bodyDiv w:val="1"/>
      <w:marLeft w:val="0"/>
      <w:marRight w:val="0"/>
      <w:marTop w:val="0"/>
      <w:marBottom w:val="0"/>
      <w:divBdr>
        <w:top w:val="none" w:sz="0" w:space="0" w:color="auto"/>
        <w:left w:val="none" w:sz="0" w:space="0" w:color="auto"/>
        <w:bottom w:val="none" w:sz="0" w:space="0" w:color="auto"/>
        <w:right w:val="none" w:sz="0" w:space="0" w:color="auto"/>
      </w:divBdr>
    </w:div>
    <w:div w:id="1734738176">
      <w:bodyDiv w:val="1"/>
      <w:marLeft w:val="0"/>
      <w:marRight w:val="0"/>
      <w:marTop w:val="0"/>
      <w:marBottom w:val="0"/>
      <w:divBdr>
        <w:top w:val="none" w:sz="0" w:space="0" w:color="auto"/>
        <w:left w:val="none" w:sz="0" w:space="0" w:color="auto"/>
        <w:bottom w:val="none" w:sz="0" w:space="0" w:color="auto"/>
        <w:right w:val="none" w:sz="0" w:space="0" w:color="auto"/>
      </w:divBdr>
      <w:divsChild>
        <w:div w:id="73553415">
          <w:marLeft w:val="0"/>
          <w:marRight w:val="225"/>
          <w:marTop w:val="0"/>
          <w:marBottom w:val="75"/>
          <w:divBdr>
            <w:top w:val="none" w:sz="0" w:space="0" w:color="auto"/>
            <w:left w:val="none" w:sz="0" w:space="0" w:color="auto"/>
            <w:bottom w:val="none" w:sz="0" w:space="0" w:color="auto"/>
            <w:right w:val="none" w:sz="0" w:space="0" w:color="auto"/>
          </w:divBdr>
          <w:divsChild>
            <w:div w:id="1420758107">
              <w:marLeft w:val="0"/>
              <w:marRight w:val="0"/>
              <w:marTop w:val="0"/>
              <w:marBottom w:val="0"/>
              <w:divBdr>
                <w:top w:val="none" w:sz="0" w:space="0" w:color="auto"/>
                <w:left w:val="none" w:sz="0" w:space="0" w:color="auto"/>
                <w:bottom w:val="none" w:sz="0" w:space="0" w:color="auto"/>
                <w:right w:val="none" w:sz="0" w:space="0" w:color="auto"/>
              </w:divBdr>
            </w:div>
          </w:divsChild>
        </w:div>
        <w:div w:id="1813323460">
          <w:marLeft w:val="0"/>
          <w:marRight w:val="0"/>
          <w:marTop w:val="0"/>
          <w:marBottom w:val="0"/>
          <w:divBdr>
            <w:top w:val="none" w:sz="0" w:space="0" w:color="auto"/>
            <w:left w:val="none" w:sz="0" w:space="0" w:color="auto"/>
            <w:bottom w:val="dotted" w:sz="6" w:space="4" w:color="DDDDDD"/>
            <w:right w:val="none" w:sz="0" w:space="0" w:color="auto"/>
          </w:divBdr>
        </w:div>
      </w:divsChild>
    </w:div>
    <w:div w:id="1734769845">
      <w:bodyDiv w:val="1"/>
      <w:marLeft w:val="0"/>
      <w:marRight w:val="0"/>
      <w:marTop w:val="0"/>
      <w:marBottom w:val="0"/>
      <w:divBdr>
        <w:top w:val="none" w:sz="0" w:space="0" w:color="auto"/>
        <w:left w:val="none" w:sz="0" w:space="0" w:color="auto"/>
        <w:bottom w:val="none" w:sz="0" w:space="0" w:color="auto"/>
        <w:right w:val="none" w:sz="0" w:space="0" w:color="auto"/>
      </w:divBdr>
      <w:divsChild>
        <w:div w:id="1957177765">
          <w:marLeft w:val="0"/>
          <w:marRight w:val="0"/>
          <w:marTop w:val="0"/>
          <w:marBottom w:val="450"/>
          <w:divBdr>
            <w:top w:val="none" w:sz="0" w:space="0" w:color="auto"/>
            <w:left w:val="none" w:sz="0" w:space="0" w:color="auto"/>
            <w:bottom w:val="single" w:sz="6" w:space="19" w:color="EEEEEE"/>
            <w:right w:val="none" w:sz="0" w:space="0" w:color="auto"/>
          </w:divBdr>
          <w:divsChild>
            <w:div w:id="835457665">
              <w:marLeft w:val="0"/>
              <w:marRight w:val="0"/>
              <w:marTop w:val="0"/>
              <w:marBottom w:val="150"/>
              <w:divBdr>
                <w:top w:val="none" w:sz="0" w:space="0" w:color="auto"/>
                <w:left w:val="none" w:sz="0" w:space="0" w:color="auto"/>
                <w:bottom w:val="none" w:sz="0" w:space="0" w:color="auto"/>
                <w:right w:val="none" w:sz="0" w:space="0" w:color="auto"/>
              </w:divBdr>
              <w:divsChild>
                <w:div w:id="1945915532">
                  <w:marLeft w:val="0"/>
                  <w:marRight w:val="0"/>
                  <w:marTop w:val="0"/>
                  <w:marBottom w:val="0"/>
                  <w:divBdr>
                    <w:top w:val="none" w:sz="0" w:space="0" w:color="auto"/>
                    <w:left w:val="none" w:sz="0" w:space="0" w:color="auto"/>
                    <w:bottom w:val="none" w:sz="0" w:space="0" w:color="auto"/>
                    <w:right w:val="none" w:sz="0" w:space="0" w:color="auto"/>
                  </w:divBdr>
                </w:div>
              </w:divsChild>
            </w:div>
            <w:div w:id="1603800158">
              <w:marLeft w:val="0"/>
              <w:marRight w:val="0"/>
              <w:marTop w:val="0"/>
              <w:marBottom w:val="0"/>
              <w:divBdr>
                <w:top w:val="none" w:sz="0" w:space="0" w:color="auto"/>
                <w:left w:val="none" w:sz="0" w:space="0" w:color="auto"/>
                <w:bottom w:val="none" w:sz="0" w:space="0" w:color="auto"/>
                <w:right w:val="none" w:sz="0" w:space="0" w:color="auto"/>
              </w:divBdr>
            </w:div>
          </w:divsChild>
        </w:div>
        <w:div w:id="1561206472">
          <w:marLeft w:val="0"/>
          <w:marRight w:val="0"/>
          <w:marTop w:val="0"/>
          <w:marBottom w:val="0"/>
          <w:divBdr>
            <w:top w:val="none" w:sz="0" w:space="0" w:color="auto"/>
            <w:left w:val="none" w:sz="0" w:space="0" w:color="auto"/>
            <w:bottom w:val="none" w:sz="0" w:space="0" w:color="auto"/>
            <w:right w:val="none" w:sz="0" w:space="0" w:color="auto"/>
          </w:divBdr>
          <w:divsChild>
            <w:div w:id="1533421730">
              <w:marLeft w:val="0"/>
              <w:marRight w:val="0"/>
              <w:marTop w:val="0"/>
              <w:marBottom w:val="0"/>
              <w:divBdr>
                <w:top w:val="none" w:sz="0" w:space="0" w:color="auto"/>
                <w:left w:val="none" w:sz="0" w:space="0" w:color="auto"/>
                <w:bottom w:val="none" w:sz="0" w:space="0" w:color="auto"/>
                <w:right w:val="none" w:sz="0" w:space="0" w:color="auto"/>
              </w:divBdr>
              <w:divsChild>
                <w:div w:id="28331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081846">
      <w:bodyDiv w:val="1"/>
      <w:marLeft w:val="0"/>
      <w:marRight w:val="0"/>
      <w:marTop w:val="0"/>
      <w:marBottom w:val="0"/>
      <w:divBdr>
        <w:top w:val="none" w:sz="0" w:space="0" w:color="auto"/>
        <w:left w:val="none" w:sz="0" w:space="0" w:color="auto"/>
        <w:bottom w:val="none" w:sz="0" w:space="0" w:color="auto"/>
        <w:right w:val="none" w:sz="0" w:space="0" w:color="auto"/>
      </w:divBdr>
      <w:divsChild>
        <w:div w:id="389234785">
          <w:marLeft w:val="0"/>
          <w:marRight w:val="0"/>
          <w:marTop w:val="0"/>
          <w:marBottom w:val="0"/>
          <w:divBdr>
            <w:top w:val="none" w:sz="0" w:space="0" w:color="auto"/>
            <w:left w:val="none" w:sz="0" w:space="0" w:color="auto"/>
            <w:bottom w:val="dotted" w:sz="6" w:space="4" w:color="DDDDDD"/>
            <w:right w:val="none" w:sz="0" w:space="0" w:color="auto"/>
          </w:divBdr>
        </w:div>
      </w:divsChild>
    </w:div>
    <w:div w:id="1735271293">
      <w:bodyDiv w:val="1"/>
      <w:marLeft w:val="0"/>
      <w:marRight w:val="0"/>
      <w:marTop w:val="0"/>
      <w:marBottom w:val="0"/>
      <w:divBdr>
        <w:top w:val="none" w:sz="0" w:space="0" w:color="auto"/>
        <w:left w:val="none" w:sz="0" w:space="0" w:color="auto"/>
        <w:bottom w:val="none" w:sz="0" w:space="0" w:color="auto"/>
        <w:right w:val="none" w:sz="0" w:space="0" w:color="auto"/>
      </w:divBdr>
      <w:divsChild>
        <w:div w:id="39865789">
          <w:marLeft w:val="0"/>
          <w:marRight w:val="0"/>
          <w:marTop w:val="0"/>
          <w:marBottom w:val="0"/>
          <w:divBdr>
            <w:top w:val="none" w:sz="0" w:space="0" w:color="auto"/>
            <w:left w:val="none" w:sz="0" w:space="0" w:color="auto"/>
            <w:bottom w:val="none" w:sz="0" w:space="0" w:color="auto"/>
            <w:right w:val="none" w:sz="0" w:space="0" w:color="auto"/>
          </w:divBdr>
          <w:divsChild>
            <w:div w:id="1287858012">
              <w:marLeft w:val="0"/>
              <w:marRight w:val="0"/>
              <w:marTop w:val="0"/>
              <w:marBottom w:val="0"/>
              <w:divBdr>
                <w:top w:val="none" w:sz="0" w:space="0" w:color="auto"/>
                <w:left w:val="none" w:sz="0" w:space="0" w:color="auto"/>
                <w:bottom w:val="none" w:sz="0" w:space="0" w:color="auto"/>
                <w:right w:val="none" w:sz="0" w:space="0" w:color="auto"/>
              </w:divBdr>
              <w:divsChild>
                <w:div w:id="1717391888">
                  <w:marLeft w:val="0"/>
                  <w:marRight w:val="0"/>
                  <w:marTop w:val="0"/>
                  <w:marBottom w:val="0"/>
                  <w:divBdr>
                    <w:top w:val="none" w:sz="0" w:space="0" w:color="auto"/>
                    <w:left w:val="none" w:sz="0" w:space="0" w:color="auto"/>
                    <w:bottom w:val="none" w:sz="0" w:space="0" w:color="auto"/>
                    <w:right w:val="none" w:sz="0" w:space="0" w:color="auto"/>
                  </w:divBdr>
                  <w:divsChild>
                    <w:div w:id="249311498">
                      <w:marLeft w:val="0"/>
                      <w:marRight w:val="0"/>
                      <w:marTop w:val="0"/>
                      <w:marBottom w:val="0"/>
                      <w:divBdr>
                        <w:top w:val="none" w:sz="0" w:space="0" w:color="auto"/>
                        <w:left w:val="none" w:sz="0" w:space="0" w:color="auto"/>
                        <w:bottom w:val="none" w:sz="0" w:space="0" w:color="auto"/>
                        <w:right w:val="none" w:sz="0" w:space="0" w:color="auto"/>
                      </w:divBdr>
                      <w:divsChild>
                        <w:div w:id="1455557683">
                          <w:marLeft w:val="0"/>
                          <w:marRight w:val="0"/>
                          <w:marTop w:val="0"/>
                          <w:marBottom w:val="0"/>
                          <w:divBdr>
                            <w:top w:val="none" w:sz="0" w:space="0" w:color="auto"/>
                            <w:left w:val="none" w:sz="0" w:space="0" w:color="auto"/>
                            <w:bottom w:val="none" w:sz="0" w:space="0" w:color="auto"/>
                            <w:right w:val="none" w:sz="0" w:space="0" w:color="auto"/>
                          </w:divBdr>
                          <w:divsChild>
                            <w:div w:id="604189061">
                              <w:marLeft w:val="0"/>
                              <w:marRight w:val="0"/>
                              <w:marTop w:val="0"/>
                              <w:marBottom w:val="0"/>
                              <w:divBdr>
                                <w:top w:val="none" w:sz="0" w:space="0" w:color="auto"/>
                                <w:left w:val="none" w:sz="0" w:space="0" w:color="auto"/>
                                <w:bottom w:val="none" w:sz="0" w:space="0" w:color="auto"/>
                                <w:right w:val="none" w:sz="0" w:space="0" w:color="auto"/>
                              </w:divBdr>
                              <w:divsChild>
                                <w:div w:id="1345597297">
                                  <w:marLeft w:val="0"/>
                                  <w:marRight w:val="0"/>
                                  <w:marTop w:val="0"/>
                                  <w:marBottom w:val="0"/>
                                  <w:divBdr>
                                    <w:top w:val="none" w:sz="0" w:space="0" w:color="auto"/>
                                    <w:left w:val="none" w:sz="0" w:space="0" w:color="auto"/>
                                    <w:bottom w:val="none" w:sz="0" w:space="0" w:color="auto"/>
                                    <w:right w:val="none" w:sz="0" w:space="0" w:color="auto"/>
                                  </w:divBdr>
                                  <w:divsChild>
                                    <w:div w:id="60249703">
                                      <w:marLeft w:val="0"/>
                                      <w:marRight w:val="0"/>
                                      <w:marTop w:val="0"/>
                                      <w:marBottom w:val="0"/>
                                      <w:divBdr>
                                        <w:top w:val="none" w:sz="0" w:space="0" w:color="auto"/>
                                        <w:left w:val="none" w:sz="0" w:space="0" w:color="auto"/>
                                        <w:bottom w:val="none" w:sz="0" w:space="0" w:color="auto"/>
                                        <w:right w:val="none" w:sz="0" w:space="0" w:color="auto"/>
                                      </w:divBdr>
                                      <w:divsChild>
                                        <w:div w:id="210668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5394548">
      <w:bodyDiv w:val="1"/>
      <w:marLeft w:val="0"/>
      <w:marRight w:val="0"/>
      <w:marTop w:val="0"/>
      <w:marBottom w:val="0"/>
      <w:divBdr>
        <w:top w:val="none" w:sz="0" w:space="0" w:color="auto"/>
        <w:left w:val="none" w:sz="0" w:space="0" w:color="auto"/>
        <w:bottom w:val="none" w:sz="0" w:space="0" w:color="auto"/>
        <w:right w:val="none" w:sz="0" w:space="0" w:color="auto"/>
      </w:divBdr>
      <w:divsChild>
        <w:div w:id="25957100">
          <w:marLeft w:val="0"/>
          <w:marRight w:val="0"/>
          <w:marTop w:val="0"/>
          <w:marBottom w:val="0"/>
          <w:divBdr>
            <w:top w:val="none" w:sz="0" w:space="0" w:color="auto"/>
            <w:left w:val="none" w:sz="0" w:space="0" w:color="auto"/>
            <w:bottom w:val="none" w:sz="0" w:space="0" w:color="auto"/>
            <w:right w:val="none" w:sz="0" w:space="0" w:color="auto"/>
          </w:divBdr>
          <w:divsChild>
            <w:div w:id="2042390872">
              <w:marLeft w:val="0"/>
              <w:marRight w:val="0"/>
              <w:marTop w:val="0"/>
              <w:marBottom w:val="300"/>
              <w:divBdr>
                <w:top w:val="none" w:sz="0" w:space="0" w:color="auto"/>
                <w:left w:val="none" w:sz="0" w:space="0" w:color="auto"/>
                <w:bottom w:val="single" w:sz="6" w:space="0" w:color="F1F1F1"/>
                <w:right w:val="none" w:sz="0" w:space="0" w:color="auto"/>
              </w:divBdr>
              <w:divsChild>
                <w:div w:id="1597806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31623771">
          <w:marLeft w:val="0"/>
          <w:marRight w:val="0"/>
          <w:marTop w:val="0"/>
          <w:marBottom w:val="0"/>
          <w:divBdr>
            <w:top w:val="none" w:sz="0" w:space="0" w:color="auto"/>
            <w:left w:val="none" w:sz="0" w:space="0" w:color="auto"/>
            <w:bottom w:val="none" w:sz="0" w:space="0" w:color="auto"/>
            <w:right w:val="none" w:sz="0" w:space="0" w:color="auto"/>
          </w:divBdr>
          <w:divsChild>
            <w:div w:id="450979707">
              <w:marLeft w:val="0"/>
              <w:marRight w:val="0"/>
              <w:marTop w:val="0"/>
              <w:marBottom w:val="0"/>
              <w:divBdr>
                <w:top w:val="none" w:sz="0" w:space="0" w:color="auto"/>
                <w:left w:val="none" w:sz="0" w:space="0" w:color="auto"/>
                <w:bottom w:val="none" w:sz="0" w:space="0" w:color="auto"/>
                <w:right w:val="none" w:sz="0" w:space="0" w:color="auto"/>
              </w:divBdr>
              <w:divsChild>
                <w:div w:id="452090648">
                  <w:marLeft w:val="300"/>
                  <w:marRight w:val="0"/>
                  <w:marTop w:val="0"/>
                  <w:marBottom w:val="0"/>
                  <w:divBdr>
                    <w:top w:val="none" w:sz="0" w:space="0" w:color="auto"/>
                    <w:left w:val="none" w:sz="0" w:space="0" w:color="auto"/>
                    <w:bottom w:val="none" w:sz="0" w:space="0" w:color="auto"/>
                    <w:right w:val="none" w:sz="0" w:space="0" w:color="auto"/>
                  </w:divBdr>
                  <w:divsChild>
                    <w:div w:id="671179210">
                      <w:marLeft w:val="0"/>
                      <w:marRight w:val="0"/>
                      <w:marTop w:val="0"/>
                      <w:marBottom w:val="300"/>
                      <w:divBdr>
                        <w:top w:val="none" w:sz="0" w:space="0" w:color="auto"/>
                        <w:left w:val="none" w:sz="0" w:space="0" w:color="auto"/>
                        <w:bottom w:val="none" w:sz="0" w:space="0" w:color="auto"/>
                        <w:right w:val="none" w:sz="0" w:space="0" w:color="auto"/>
                      </w:divBdr>
                      <w:divsChild>
                        <w:div w:id="1433016566">
                          <w:marLeft w:val="0"/>
                          <w:marRight w:val="0"/>
                          <w:marTop w:val="0"/>
                          <w:marBottom w:val="0"/>
                          <w:divBdr>
                            <w:top w:val="none" w:sz="0" w:space="0" w:color="auto"/>
                            <w:left w:val="none" w:sz="0" w:space="0" w:color="auto"/>
                            <w:bottom w:val="none" w:sz="0" w:space="0" w:color="auto"/>
                            <w:right w:val="none" w:sz="0" w:space="0" w:color="auto"/>
                          </w:divBdr>
                          <w:divsChild>
                            <w:div w:id="1658536416">
                              <w:marLeft w:val="0"/>
                              <w:marRight w:val="0"/>
                              <w:marTop w:val="0"/>
                              <w:marBottom w:val="0"/>
                              <w:divBdr>
                                <w:top w:val="none" w:sz="0" w:space="0" w:color="auto"/>
                                <w:left w:val="none" w:sz="0" w:space="0" w:color="auto"/>
                                <w:bottom w:val="none" w:sz="0" w:space="0" w:color="auto"/>
                                <w:right w:val="none" w:sz="0" w:space="0" w:color="auto"/>
                              </w:divBdr>
                              <w:divsChild>
                                <w:div w:id="957026464">
                                  <w:marLeft w:val="0"/>
                                  <w:marRight w:val="0"/>
                                  <w:marTop w:val="0"/>
                                  <w:marBottom w:val="0"/>
                                  <w:divBdr>
                                    <w:top w:val="single" w:sz="2" w:space="0" w:color="DFDFDF"/>
                                    <w:left w:val="single" w:sz="2" w:space="0" w:color="DFDFDF"/>
                                    <w:bottom w:val="single" w:sz="2" w:space="0" w:color="DFDFDF"/>
                                    <w:right w:val="single" w:sz="2" w:space="0" w:color="DFDFDF"/>
                                  </w:divBdr>
                                  <w:divsChild>
                                    <w:div w:id="1213693702">
                                      <w:marLeft w:val="-90"/>
                                      <w:marRight w:val="0"/>
                                      <w:marTop w:val="0"/>
                                      <w:marBottom w:val="0"/>
                                      <w:divBdr>
                                        <w:top w:val="none" w:sz="0" w:space="0" w:color="auto"/>
                                        <w:left w:val="none" w:sz="0" w:space="0" w:color="auto"/>
                                        <w:bottom w:val="none" w:sz="0" w:space="0" w:color="auto"/>
                                        <w:right w:val="none" w:sz="0" w:space="0" w:color="auto"/>
                                      </w:divBdr>
                                      <w:divsChild>
                                        <w:div w:id="1002926113">
                                          <w:marLeft w:val="0"/>
                                          <w:marRight w:val="0"/>
                                          <w:marTop w:val="0"/>
                                          <w:marBottom w:val="45"/>
                                          <w:divBdr>
                                            <w:top w:val="single" w:sz="2" w:space="0" w:color="A9A9A9"/>
                                            <w:left w:val="single" w:sz="2" w:space="0" w:color="A9A9A9"/>
                                            <w:bottom w:val="single" w:sz="2" w:space="0" w:color="A9A9A9"/>
                                            <w:right w:val="single" w:sz="2" w:space="0" w:color="A9A9A9"/>
                                          </w:divBdr>
                                          <w:divsChild>
                                            <w:div w:id="2056346325">
                                              <w:marLeft w:val="0"/>
                                              <w:marRight w:val="0"/>
                                              <w:marTop w:val="0"/>
                                              <w:marBottom w:val="0"/>
                                              <w:divBdr>
                                                <w:top w:val="none" w:sz="0" w:space="0" w:color="auto"/>
                                                <w:left w:val="none" w:sz="0" w:space="0" w:color="auto"/>
                                                <w:bottom w:val="none" w:sz="0" w:space="0" w:color="auto"/>
                                                <w:right w:val="none" w:sz="0" w:space="0" w:color="auto"/>
                                              </w:divBdr>
                                              <w:divsChild>
                                                <w:div w:id="64181868">
                                                  <w:marLeft w:val="92"/>
                                                  <w:marRight w:val="0"/>
                                                  <w:marTop w:val="0"/>
                                                  <w:marBottom w:val="150"/>
                                                  <w:divBdr>
                                                    <w:top w:val="single" w:sz="2" w:space="0" w:color="E4E4E4"/>
                                                    <w:left w:val="single" w:sz="2" w:space="0" w:color="E4E4E4"/>
                                                    <w:bottom w:val="single" w:sz="2" w:space="0" w:color="E4E4E4"/>
                                                    <w:right w:val="single" w:sz="2" w:space="0" w:color="E4E4E4"/>
                                                  </w:divBdr>
                                                </w:div>
                                                <w:div w:id="62627707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2133092325">
                          <w:marLeft w:val="0"/>
                          <w:marRight w:val="0"/>
                          <w:marTop w:val="0"/>
                          <w:marBottom w:val="0"/>
                          <w:divBdr>
                            <w:top w:val="none" w:sz="0" w:space="0" w:color="auto"/>
                            <w:left w:val="none" w:sz="0" w:space="0" w:color="auto"/>
                            <w:bottom w:val="none" w:sz="0" w:space="0" w:color="auto"/>
                            <w:right w:val="none" w:sz="0" w:space="0" w:color="auto"/>
                          </w:divBdr>
                          <w:divsChild>
                            <w:div w:id="642932085">
                              <w:marLeft w:val="0"/>
                              <w:marRight w:val="0"/>
                              <w:marTop w:val="0"/>
                              <w:marBottom w:val="0"/>
                              <w:divBdr>
                                <w:top w:val="none" w:sz="0" w:space="0" w:color="auto"/>
                                <w:left w:val="none" w:sz="0" w:space="0" w:color="auto"/>
                                <w:bottom w:val="none" w:sz="0" w:space="0" w:color="auto"/>
                                <w:right w:val="none" w:sz="0" w:space="0" w:color="auto"/>
                              </w:divBdr>
                              <w:divsChild>
                                <w:div w:id="746658569">
                                  <w:marLeft w:val="0"/>
                                  <w:marRight w:val="0"/>
                                  <w:marTop w:val="0"/>
                                  <w:marBottom w:val="0"/>
                                  <w:divBdr>
                                    <w:top w:val="single" w:sz="2" w:space="0" w:color="DFDFDF"/>
                                    <w:left w:val="single" w:sz="2" w:space="0" w:color="DFDFDF"/>
                                    <w:bottom w:val="single" w:sz="2" w:space="0" w:color="DFDFDF"/>
                                    <w:right w:val="single" w:sz="2" w:space="0" w:color="DFDFDF"/>
                                  </w:divBdr>
                                  <w:divsChild>
                                    <w:div w:id="726219278">
                                      <w:marLeft w:val="0"/>
                                      <w:marRight w:val="0"/>
                                      <w:marTop w:val="0"/>
                                      <w:marBottom w:val="270"/>
                                      <w:divBdr>
                                        <w:top w:val="none" w:sz="0" w:space="0" w:color="auto"/>
                                        <w:left w:val="none" w:sz="0" w:space="0" w:color="auto"/>
                                        <w:bottom w:val="single" w:sz="12" w:space="5" w:color="DADADA"/>
                                        <w:right w:val="none" w:sz="0" w:space="0" w:color="auto"/>
                                      </w:divBdr>
                                      <w:divsChild>
                                        <w:div w:id="2118015000">
                                          <w:marLeft w:val="0"/>
                                          <w:marRight w:val="0"/>
                                          <w:marTop w:val="0"/>
                                          <w:marBottom w:val="0"/>
                                          <w:divBdr>
                                            <w:top w:val="none" w:sz="0" w:space="0" w:color="auto"/>
                                            <w:left w:val="none" w:sz="0" w:space="0" w:color="auto"/>
                                            <w:bottom w:val="none" w:sz="0" w:space="0" w:color="auto"/>
                                            <w:right w:val="none" w:sz="0" w:space="0" w:color="auto"/>
                                          </w:divBdr>
                                        </w:div>
                                      </w:divsChild>
                                    </w:div>
                                    <w:div w:id="1552035077">
                                      <w:marLeft w:val="-90"/>
                                      <w:marRight w:val="0"/>
                                      <w:marTop w:val="0"/>
                                      <w:marBottom w:val="0"/>
                                      <w:divBdr>
                                        <w:top w:val="none" w:sz="0" w:space="0" w:color="auto"/>
                                        <w:left w:val="none" w:sz="0" w:space="0" w:color="auto"/>
                                        <w:bottom w:val="none" w:sz="0" w:space="0" w:color="auto"/>
                                        <w:right w:val="none" w:sz="0" w:space="0" w:color="auto"/>
                                      </w:divBdr>
                                      <w:divsChild>
                                        <w:div w:id="987170902">
                                          <w:marLeft w:val="0"/>
                                          <w:marRight w:val="0"/>
                                          <w:marTop w:val="0"/>
                                          <w:marBottom w:val="45"/>
                                          <w:divBdr>
                                            <w:top w:val="single" w:sz="2" w:space="0" w:color="A9A9A9"/>
                                            <w:left w:val="single" w:sz="2" w:space="0" w:color="A9A9A9"/>
                                            <w:bottom w:val="single" w:sz="2" w:space="0" w:color="A9A9A9"/>
                                            <w:right w:val="single" w:sz="2" w:space="0" w:color="A9A9A9"/>
                                          </w:divBdr>
                                          <w:divsChild>
                                            <w:div w:id="706873936">
                                              <w:marLeft w:val="0"/>
                                              <w:marRight w:val="0"/>
                                              <w:marTop w:val="0"/>
                                              <w:marBottom w:val="0"/>
                                              <w:divBdr>
                                                <w:top w:val="none" w:sz="0" w:space="0" w:color="auto"/>
                                                <w:left w:val="none" w:sz="0" w:space="0" w:color="auto"/>
                                                <w:bottom w:val="none" w:sz="0" w:space="0" w:color="auto"/>
                                                <w:right w:val="none" w:sz="0" w:space="0" w:color="auto"/>
                                              </w:divBdr>
                                              <w:divsChild>
                                                <w:div w:id="154822291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575042690">
                  <w:marLeft w:val="0"/>
                  <w:marRight w:val="0"/>
                  <w:marTop w:val="0"/>
                  <w:marBottom w:val="0"/>
                  <w:divBdr>
                    <w:top w:val="none" w:sz="0" w:space="0" w:color="auto"/>
                    <w:left w:val="none" w:sz="0" w:space="0" w:color="auto"/>
                    <w:bottom w:val="none" w:sz="0" w:space="0" w:color="auto"/>
                    <w:right w:val="none" w:sz="0" w:space="0" w:color="auto"/>
                  </w:divBdr>
                  <w:divsChild>
                    <w:div w:id="876964013">
                      <w:marLeft w:val="0"/>
                      <w:marRight w:val="0"/>
                      <w:marTop w:val="0"/>
                      <w:marBottom w:val="0"/>
                      <w:divBdr>
                        <w:top w:val="none" w:sz="0" w:space="0" w:color="auto"/>
                        <w:left w:val="none" w:sz="0" w:space="0" w:color="auto"/>
                        <w:bottom w:val="none" w:sz="0" w:space="0" w:color="auto"/>
                        <w:right w:val="none" w:sz="0" w:space="0" w:color="auto"/>
                      </w:divBdr>
                      <w:divsChild>
                        <w:div w:id="2054425812">
                          <w:marLeft w:val="0"/>
                          <w:marRight w:val="0"/>
                          <w:marTop w:val="0"/>
                          <w:marBottom w:val="0"/>
                          <w:divBdr>
                            <w:top w:val="none" w:sz="0" w:space="0" w:color="auto"/>
                            <w:left w:val="none" w:sz="0" w:space="0" w:color="auto"/>
                            <w:bottom w:val="none" w:sz="0" w:space="0" w:color="auto"/>
                            <w:right w:val="none" w:sz="0" w:space="0" w:color="auto"/>
                          </w:divBdr>
                          <w:divsChild>
                            <w:div w:id="111451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549014">
      <w:bodyDiv w:val="1"/>
      <w:marLeft w:val="0"/>
      <w:marRight w:val="0"/>
      <w:marTop w:val="0"/>
      <w:marBottom w:val="0"/>
      <w:divBdr>
        <w:top w:val="none" w:sz="0" w:space="0" w:color="auto"/>
        <w:left w:val="none" w:sz="0" w:space="0" w:color="auto"/>
        <w:bottom w:val="none" w:sz="0" w:space="0" w:color="auto"/>
        <w:right w:val="none" w:sz="0" w:space="0" w:color="auto"/>
      </w:divBdr>
      <w:divsChild>
        <w:div w:id="845049900">
          <w:marLeft w:val="0"/>
          <w:marRight w:val="0"/>
          <w:marTop w:val="0"/>
          <w:marBottom w:val="0"/>
          <w:divBdr>
            <w:top w:val="none" w:sz="0" w:space="0" w:color="auto"/>
            <w:left w:val="none" w:sz="0" w:space="0" w:color="auto"/>
            <w:bottom w:val="none" w:sz="0" w:space="0" w:color="auto"/>
            <w:right w:val="none" w:sz="0" w:space="0" w:color="auto"/>
          </w:divBdr>
          <w:divsChild>
            <w:div w:id="841774036">
              <w:marLeft w:val="0"/>
              <w:marRight w:val="0"/>
              <w:marTop w:val="0"/>
              <w:marBottom w:val="0"/>
              <w:divBdr>
                <w:top w:val="none" w:sz="0" w:space="0" w:color="auto"/>
                <w:left w:val="none" w:sz="0" w:space="0" w:color="auto"/>
                <w:bottom w:val="none" w:sz="0" w:space="0" w:color="auto"/>
                <w:right w:val="none" w:sz="0" w:space="0" w:color="auto"/>
              </w:divBdr>
              <w:divsChild>
                <w:div w:id="2905319">
                  <w:marLeft w:val="0"/>
                  <w:marRight w:val="0"/>
                  <w:marTop w:val="0"/>
                  <w:marBottom w:val="0"/>
                  <w:divBdr>
                    <w:top w:val="none" w:sz="0" w:space="0" w:color="auto"/>
                    <w:left w:val="none" w:sz="0" w:space="0" w:color="auto"/>
                    <w:bottom w:val="none" w:sz="0" w:space="0" w:color="auto"/>
                    <w:right w:val="none" w:sz="0" w:space="0" w:color="auto"/>
                  </w:divBdr>
                  <w:divsChild>
                    <w:div w:id="2044599985">
                      <w:marLeft w:val="0"/>
                      <w:marRight w:val="0"/>
                      <w:marTop w:val="0"/>
                      <w:marBottom w:val="0"/>
                      <w:divBdr>
                        <w:top w:val="none" w:sz="0" w:space="0" w:color="auto"/>
                        <w:left w:val="none" w:sz="0" w:space="0" w:color="auto"/>
                        <w:bottom w:val="none" w:sz="0" w:space="0" w:color="auto"/>
                        <w:right w:val="none" w:sz="0" w:space="0" w:color="auto"/>
                      </w:divBdr>
                      <w:divsChild>
                        <w:div w:id="1883470366">
                          <w:marLeft w:val="0"/>
                          <w:marRight w:val="0"/>
                          <w:marTop w:val="0"/>
                          <w:marBottom w:val="0"/>
                          <w:divBdr>
                            <w:top w:val="none" w:sz="0" w:space="0" w:color="auto"/>
                            <w:left w:val="none" w:sz="0" w:space="0" w:color="auto"/>
                            <w:bottom w:val="none" w:sz="0" w:space="0" w:color="auto"/>
                            <w:right w:val="none" w:sz="0" w:space="0" w:color="auto"/>
                          </w:divBdr>
                          <w:divsChild>
                            <w:div w:id="1329669319">
                              <w:marLeft w:val="0"/>
                              <w:marRight w:val="0"/>
                              <w:marTop w:val="0"/>
                              <w:marBottom w:val="0"/>
                              <w:divBdr>
                                <w:top w:val="none" w:sz="0" w:space="0" w:color="auto"/>
                                <w:left w:val="none" w:sz="0" w:space="0" w:color="auto"/>
                                <w:bottom w:val="none" w:sz="0" w:space="0" w:color="auto"/>
                                <w:right w:val="none" w:sz="0" w:space="0" w:color="auto"/>
                              </w:divBdr>
                              <w:divsChild>
                                <w:div w:id="1643583275">
                                  <w:marLeft w:val="0"/>
                                  <w:marRight w:val="0"/>
                                  <w:marTop w:val="0"/>
                                  <w:marBottom w:val="0"/>
                                  <w:divBdr>
                                    <w:top w:val="none" w:sz="0" w:space="0" w:color="auto"/>
                                    <w:left w:val="none" w:sz="0" w:space="0" w:color="auto"/>
                                    <w:bottom w:val="none" w:sz="0" w:space="0" w:color="auto"/>
                                    <w:right w:val="none" w:sz="0" w:space="0" w:color="auto"/>
                                  </w:divBdr>
                                  <w:divsChild>
                                    <w:div w:id="9913184">
                                      <w:marLeft w:val="0"/>
                                      <w:marRight w:val="0"/>
                                      <w:marTop w:val="0"/>
                                      <w:marBottom w:val="0"/>
                                      <w:divBdr>
                                        <w:top w:val="none" w:sz="0" w:space="0" w:color="auto"/>
                                        <w:left w:val="none" w:sz="0" w:space="0" w:color="auto"/>
                                        <w:bottom w:val="none" w:sz="0" w:space="0" w:color="auto"/>
                                        <w:right w:val="none" w:sz="0" w:space="0" w:color="auto"/>
                                      </w:divBdr>
                                      <w:divsChild>
                                        <w:div w:id="167445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5858991">
      <w:bodyDiv w:val="1"/>
      <w:marLeft w:val="0"/>
      <w:marRight w:val="0"/>
      <w:marTop w:val="0"/>
      <w:marBottom w:val="0"/>
      <w:divBdr>
        <w:top w:val="none" w:sz="0" w:space="0" w:color="auto"/>
        <w:left w:val="none" w:sz="0" w:space="0" w:color="auto"/>
        <w:bottom w:val="none" w:sz="0" w:space="0" w:color="auto"/>
        <w:right w:val="none" w:sz="0" w:space="0" w:color="auto"/>
      </w:divBdr>
    </w:div>
    <w:div w:id="1735928284">
      <w:bodyDiv w:val="1"/>
      <w:marLeft w:val="0"/>
      <w:marRight w:val="0"/>
      <w:marTop w:val="0"/>
      <w:marBottom w:val="0"/>
      <w:divBdr>
        <w:top w:val="none" w:sz="0" w:space="0" w:color="auto"/>
        <w:left w:val="none" w:sz="0" w:space="0" w:color="auto"/>
        <w:bottom w:val="none" w:sz="0" w:space="0" w:color="auto"/>
        <w:right w:val="none" w:sz="0" w:space="0" w:color="auto"/>
      </w:divBdr>
      <w:divsChild>
        <w:div w:id="1047027354">
          <w:marLeft w:val="0"/>
          <w:marRight w:val="0"/>
          <w:marTop w:val="0"/>
          <w:marBottom w:val="0"/>
          <w:divBdr>
            <w:top w:val="none" w:sz="0" w:space="0" w:color="auto"/>
            <w:left w:val="none" w:sz="0" w:space="0" w:color="auto"/>
            <w:bottom w:val="none" w:sz="0" w:space="0" w:color="auto"/>
            <w:right w:val="none" w:sz="0" w:space="0" w:color="auto"/>
          </w:divBdr>
          <w:divsChild>
            <w:div w:id="294986306">
              <w:marLeft w:val="0"/>
              <w:marRight w:val="0"/>
              <w:marTop w:val="0"/>
              <w:marBottom w:val="0"/>
              <w:divBdr>
                <w:top w:val="none" w:sz="0" w:space="0" w:color="auto"/>
                <w:left w:val="none" w:sz="0" w:space="0" w:color="auto"/>
                <w:bottom w:val="none" w:sz="0" w:space="0" w:color="auto"/>
                <w:right w:val="none" w:sz="0" w:space="0" w:color="auto"/>
              </w:divBdr>
            </w:div>
          </w:divsChild>
        </w:div>
        <w:div w:id="1661154571">
          <w:marLeft w:val="0"/>
          <w:marRight w:val="0"/>
          <w:marTop w:val="0"/>
          <w:marBottom w:val="0"/>
          <w:divBdr>
            <w:top w:val="none" w:sz="0" w:space="0" w:color="auto"/>
            <w:left w:val="none" w:sz="0" w:space="0" w:color="auto"/>
            <w:bottom w:val="none" w:sz="0" w:space="0" w:color="auto"/>
            <w:right w:val="none" w:sz="0" w:space="0" w:color="auto"/>
          </w:divBdr>
        </w:div>
      </w:divsChild>
    </w:div>
    <w:div w:id="1736121088">
      <w:bodyDiv w:val="1"/>
      <w:marLeft w:val="0"/>
      <w:marRight w:val="0"/>
      <w:marTop w:val="0"/>
      <w:marBottom w:val="0"/>
      <w:divBdr>
        <w:top w:val="none" w:sz="0" w:space="0" w:color="auto"/>
        <w:left w:val="none" w:sz="0" w:space="0" w:color="auto"/>
        <w:bottom w:val="none" w:sz="0" w:space="0" w:color="auto"/>
        <w:right w:val="none" w:sz="0" w:space="0" w:color="auto"/>
      </w:divBdr>
    </w:div>
    <w:div w:id="1736201716">
      <w:bodyDiv w:val="1"/>
      <w:marLeft w:val="0"/>
      <w:marRight w:val="0"/>
      <w:marTop w:val="0"/>
      <w:marBottom w:val="0"/>
      <w:divBdr>
        <w:top w:val="none" w:sz="0" w:space="0" w:color="auto"/>
        <w:left w:val="none" w:sz="0" w:space="0" w:color="auto"/>
        <w:bottom w:val="none" w:sz="0" w:space="0" w:color="auto"/>
        <w:right w:val="none" w:sz="0" w:space="0" w:color="auto"/>
      </w:divBdr>
      <w:divsChild>
        <w:div w:id="822699192">
          <w:marLeft w:val="0"/>
          <w:marRight w:val="0"/>
          <w:marTop w:val="0"/>
          <w:marBottom w:val="150"/>
          <w:divBdr>
            <w:top w:val="none" w:sz="0" w:space="0" w:color="auto"/>
            <w:left w:val="none" w:sz="0" w:space="0" w:color="auto"/>
            <w:bottom w:val="none" w:sz="0" w:space="0" w:color="auto"/>
            <w:right w:val="none" w:sz="0" w:space="0" w:color="auto"/>
          </w:divBdr>
          <w:divsChild>
            <w:div w:id="657878005">
              <w:marLeft w:val="0"/>
              <w:marRight w:val="0"/>
              <w:marTop w:val="0"/>
              <w:marBottom w:val="0"/>
              <w:divBdr>
                <w:top w:val="none" w:sz="0" w:space="0" w:color="auto"/>
                <w:left w:val="none" w:sz="0" w:space="0" w:color="auto"/>
                <w:bottom w:val="none" w:sz="0" w:space="0" w:color="auto"/>
                <w:right w:val="none" w:sz="0" w:space="0" w:color="auto"/>
              </w:divBdr>
              <w:divsChild>
                <w:div w:id="131953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69404">
          <w:marLeft w:val="0"/>
          <w:marRight w:val="0"/>
          <w:marTop w:val="0"/>
          <w:marBottom w:val="150"/>
          <w:divBdr>
            <w:top w:val="none" w:sz="0" w:space="0" w:color="auto"/>
            <w:left w:val="none" w:sz="0" w:space="0" w:color="auto"/>
            <w:bottom w:val="none" w:sz="0" w:space="0" w:color="auto"/>
            <w:right w:val="none" w:sz="0" w:space="0" w:color="auto"/>
          </w:divBdr>
        </w:div>
        <w:div w:id="1384522770">
          <w:marLeft w:val="0"/>
          <w:marRight w:val="0"/>
          <w:marTop w:val="0"/>
          <w:marBottom w:val="0"/>
          <w:divBdr>
            <w:top w:val="none" w:sz="0" w:space="0" w:color="auto"/>
            <w:left w:val="none" w:sz="0" w:space="0" w:color="auto"/>
            <w:bottom w:val="none" w:sz="0" w:space="0" w:color="auto"/>
            <w:right w:val="none" w:sz="0" w:space="0" w:color="auto"/>
          </w:divBdr>
          <w:divsChild>
            <w:div w:id="33877153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36275018">
      <w:bodyDiv w:val="1"/>
      <w:marLeft w:val="0"/>
      <w:marRight w:val="0"/>
      <w:marTop w:val="0"/>
      <w:marBottom w:val="0"/>
      <w:divBdr>
        <w:top w:val="none" w:sz="0" w:space="0" w:color="auto"/>
        <w:left w:val="none" w:sz="0" w:space="0" w:color="auto"/>
        <w:bottom w:val="none" w:sz="0" w:space="0" w:color="auto"/>
        <w:right w:val="none" w:sz="0" w:space="0" w:color="auto"/>
      </w:divBdr>
      <w:divsChild>
        <w:div w:id="334310101">
          <w:marLeft w:val="0"/>
          <w:marRight w:val="0"/>
          <w:marTop w:val="0"/>
          <w:marBottom w:val="150"/>
          <w:divBdr>
            <w:top w:val="none" w:sz="0" w:space="0" w:color="auto"/>
            <w:left w:val="none" w:sz="0" w:space="0" w:color="auto"/>
            <w:bottom w:val="none" w:sz="0" w:space="0" w:color="auto"/>
            <w:right w:val="none" w:sz="0" w:space="0" w:color="auto"/>
          </w:divBdr>
          <w:divsChild>
            <w:div w:id="1117677272">
              <w:marLeft w:val="0"/>
              <w:marRight w:val="0"/>
              <w:marTop w:val="0"/>
              <w:marBottom w:val="0"/>
              <w:divBdr>
                <w:top w:val="none" w:sz="0" w:space="0" w:color="auto"/>
                <w:left w:val="none" w:sz="0" w:space="0" w:color="auto"/>
                <w:bottom w:val="none" w:sz="0" w:space="0" w:color="auto"/>
                <w:right w:val="none" w:sz="0" w:space="0" w:color="auto"/>
              </w:divBdr>
              <w:divsChild>
                <w:div w:id="361201141">
                  <w:marLeft w:val="0"/>
                  <w:marRight w:val="0"/>
                  <w:marTop w:val="0"/>
                  <w:marBottom w:val="0"/>
                  <w:divBdr>
                    <w:top w:val="none" w:sz="0" w:space="0" w:color="auto"/>
                    <w:left w:val="none" w:sz="0" w:space="0" w:color="auto"/>
                    <w:bottom w:val="none" w:sz="0" w:space="0" w:color="auto"/>
                    <w:right w:val="none" w:sz="0" w:space="0" w:color="auto"/>
                  </w:divBdr>
                  <w:divsChild>
                    <w:div w:id="546264387">
                      <w:marLeft w:val="0"/>
                      <w:marRight w:val="150"/>
                      <w:marTop w:val="0"/>
                      <w:marBottom w:val="0"/>
                      <w:divBdr>
                        <w:top w:val="none" w:sz="0" w:space="0" w:color="auto"/>
                        <w:left w:val="none" w:sz="0" w:space="0" w:color="auto"/>
                        <w:bottom w:val="none" w:sz="0" w:space="0" w:color="auto"/>
                        <w:right w:val="none" w:sz="0" w:space="0" w:color="auto"/>
                      </w:divBdr>
                      <w:divsChild>
                        <w:div w:id="128137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378304">
          <w:marLeft w:val="0"/>
          <w:marRight w:val="0"/>
          <w:marTop w:val="0"/>
          <w:marBottom w:val="150"/>
          <w:divBdr>
            <w:top w:val="none" w:sz="0" w:space="0" w:color="auto"/>
            <w:left w:val="none" w:sz="0" w:space="0" w:color="auto"/>
            <w:bottom w:val="none" w:sz="0" w:space="0" w:color="auto"/>
            <w:right w:val="none" w:sz="0" w:space="0" w:color="auto"/>
          </w:divBdr>
        </w:div>
        <w:div w:id="1635790460">
          <w:marLeft w:val="0"/>
          <w:marRight w:val="0"/>
          <w:marTop w:val="0"/>
          <w:marBottom w:val="0"/>
          <w:divBdr>
            <w:top w:val="none" w:sz="0" w:space="0" w:color="auto"/>
            <w:left w:val="none" w:sz="0" w:space="0" w:color="auto"/>
            <w:bottom w:val="none" w:sz="0" w:space="0" w:color="auto"/>
            <w:right w:val="none" w:sz="0" w:space="0" w:color="auto"/>
          </w:divBdr>
          <w:divsChild>
            <w:div w:id="85839578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36775456">
      <w:bodyDiv w:val="1"/>
      <w:marLeft w:val="0"/>
      <w:marRight w:val="0"/>
      <w:marTop w:val="0"/>
      <w:marBottom w:val="0"/>
      <w:divBdr>
        <w:top w:val="none" w:sz="0" w:space="0" w:color="auto"/>
        <w:left w:val="none" w:sz="0" w:space="0" w:color="auto"/>
        <w:bottom w:val="none" w:sz="0" w:space="0" w:color="auto"/>
        <w:right w:val="none" w:sz="0" w:space="0" w:color="auto"/>
      </w:divBdr>
      <w:divsChild>
        <w:div w:id="537670502">
          <w:marLeft w:val="0"/>
          <w:marRight w:val="0"/>
          <w:marTop w:val="0"/>
          <w:marBottom w:val="150"/>
          <w:divBdr>
            <w:top w:val="none" w:sz="0" w:space="0" w:color="auto"/>
            <w:left w:val="none" w:sz="0" w:space="0" w:color="auto"/>
            <w:bottom w:val="none" w:sz="0" w:space="0" w:color="auto"/>
            <w:right w:val="none" w:sz="0" w:space="0" w:color="auto"/>
          </w:divBdr>
          <w:divsChild>
            <w:div w:id="748771228">
              <w:marLeft w:val="0"/>
              <w:marRight w:val="0"/>
              <w:marTop w:val="0"/>
              <w:marBottom w:val="0"/>
              <w:divBdr>
                <w:top w:val="none" w:sz="0" w:space="0" w:color="auto"/>
                <w:left w:val="none" w:sz="0" w:space="0" w:color="auto"/>
                <w:bottom w:val="none" w:sz="0" w:space="0" w:color="auto"/>
                <w:right w:val="none" w:sz="0" w:space="0" w:color="auto"/>
              </w:divBdr>
              <w:divsChild>
                <w:div w:id="182939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785016">
          <w:marLeft w:val="0"/>
          <w:marRight w:val="0"/>
          <w:marTop w:val="0"/>
          <w:marBottom w:val="0"/>
          <w:divBdr>
            <w:top w:val="none" w:sz="0" w:space="0" w:color="auto"/>
            <w:left w:val="none" w:sz="0" w:space="0" w:color="auto"/>
            <w:bottom w:val="none" w:sz="0" w:space="0" w:color="auto"/>
            <w:right w:val="none" w:sz="0" w:space="0" w:color="auto"/>
          </w:divBdr>
          <w:divsChild>
            <w:div w:id="520978359">
              <w:marLeft w:val="0"/>
              <w:marRight w:val="0"/>
              <w:marTop w:val="225"/>
              <w:marBottom w:val="225"/>
              <w:divBdr>
                <w:top w:val="none" w:sz="0" w:space="0" w:color="auto"/>
                <w:left w:val="none" w:sz="0" w:space="0" w:color="auto"/>
                <w:bottom w:val="none" w:sz="0" w:space="0" w:color="auto"/>
                <w:right w:val="none" w:sz="0" w:space="0" w:color="auto"/>
              </w:divBdr>
            </w:div>
          </w:divsChild>
        </w:div>
        <w:div w:id="1914654783">
          <w:marLeft w:val="0"/>
          <w:marRight w:val="0"/>
          <w:marTop w:val="0"/>
          <w:marBottom w:val="150"/>
          <w:divBdr>
            <w:top w:val="none" w:sz="0" w:space="0" w:color="auto"/>
            <w:left w:val="none" w:sz="0" w:space="0" w:color="auto"/>
            <w:bottom w:val="none" w:sz="0" w:space="0" w:color="auto"/>
            <w:right w:val="none" w:sz="0" w:space="0" w:color="auto"/>
          </w:divBdr>
        </w:div>
      </w:divsChild>
    </w:div>
    <w:div w:id="1736855535">
      <w:bodyDiv w:val="1"/>
      <w:marLeft w:val="0"/>
      <w:marRight w:val="0"/>
      <w:marTop w:val="0"/>
      <w:marBottom w:val="0"/>
      <w:divBdr>
        <w:top w:val="none" w:sz="0" w:space="0" w:color="auto"/>
        <w:left w:val="none" w:sz="0" w:space="0" w:color="auto"/>
        <w:bottom w:val="none" w:sz="0" w:space="0" w:color="auto"/>
        <w:right w:val="none" w:sz="0" w:space="0" w:color="auto"/>
      </w:divBdr>
      <w:divsChild>
        <w:div w:id="1029068845">
          <w:marLeft w:val="0"/>
          <w:marRight w:val="0"/>
          <w:marTop w:val="0"/>
          <w:marBottom w:val="0"/>
          <w:divBdr>
            <w:top w:val="none" w:sz="0" w:space="0" w:color="auto"/>
            <w:left w:val="none" w:sz="0" w:space="0" w:color="auto"/>
            <w:bottom w:val="dotted" w:sz="6" w:space="4" w:color="DDDDDD"/>
            <w:right w:val="none" w:sz="0" w:space="0" w:color="auto"/>
          </w:divBdr>
        </w:div>
      </w:divsChild>
    </w:div>
    <w:div w:id="1736856551">
      <w:bodyDiv w:val="1"/>
      <w:marLeft w:val="0"/>
      <w:marRight w:val="0"/>
      <w:marTop w:val="0"/>
      <w:marBottom w:val="0"/>
      <w:divBdr>
        <w:top w:val="none" w:sz="0" w:space="0" w:color="auto"/>
        <w:left w:val="none" w:sz="0" w:space="0" w:color="auto"/>
        <w:bottom w:val="none" w:sz="0" w:space="0" w:color="auto"/>
        <w:right w:val="none" w:sz="0" w:space="0" w:color="auto"/>
      </w:divBdr>
    </w:div>
    <w:div w:id="1736926879">
      <w:bodyDiv w:val="1"/>
      <w:marLeft w:val="0"/>
      <w:marRight w:val="0"/>
      <w:marTop w:val="0"/>
      <w:marBottom w:val="0"/>
      <w:divBdr>
        <w:top w:val="none" w:sz="0" w:space="0" w:color="auto"/>
        <w:left w:val="none" w:sz="0" w:space="0" w:color="auto"/>
        <w:bottom w:val="none" w:sz="0" w:space="0" w:color="auto"/>
        <w:right w:val="none" w:sz="0" w:space="0" w:color="auto"/>
      </w:divBdr>
      <w:divsChild>
        <w:div w:id="203031475">
          <w:marLeft w:val="0"/>
          <w:marRight w:val="0"/>
          <w:marTop w:val="0"/>
          <w:marBottom w:val="0"/>
          <w:divBdr>
            <w:top w:val="none" w:sz="0" w:space="0" w:color="auto"/>
            <w:left w:val="none" w:sz="0" w:space="0" w:color="auto"/>
            <w:bottom w:val="dotted" w:sz="6" w:space="4" w:color="DDDDDD"/>
            <w:right w:val="none" w:sz="0" w:space="0" w:color="auto"/>
          </w:divBdr>
          <w:divsChild>
            <w:div w:id="199571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588289">
      <w:bodyDiv w:val="1"/>
      <w:marLeft w:val="0"/>
      <w:marRight w:val="0"/>
      <w:marTop w:val="0"/>
      <w:marBottom w:val="0"/>
      <w:divBdr>
        <w:top w:val="none" w:sz="0" w:space="0" w:color="auto"/>
        <w:left w:val="none" w:sz="0" w:space="0" w:color="auto"/>
        <w:bottom w:val="none" w:sz="0" w:space="0" w:color="auto"/>
        <w:right w:val="none" w:sz="0" w:space="0" w:color="auto"/>
      </w:divBdr>
      <w:divsChild>
        <w:div w:id="1479298343">
          <w:marLeft w:val="0"/>
          <w:marRight w:val="0"/>
          <w:marTop w:val="0"/>
          <w:marBottom w:val="0"/>
          <w:divBdr>
            <w:top w:val="none" w:sz="0" w:space="0" w:color="auto"/>
            <w:left w:val="none" w:sz="0" w:space="0" w:color="auto"/>
            <w:bottom w:val="dotted" w:sz="6" w:space="4" w:color="DDDDDD"/>
            <w:right w:val="none" w:sz="0" w:space="0" w:color="auto"/>
          </w:divBdr>
          <w:divsChild>
            <w:div w:id="58426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976849">
      <w:bodyDiv w:val="1"/>
      <w:marLeft w:val="0"/>
      <w:marRight w:val="0"/>
      <w:marTop w:val="0"/>
      <w:marBottom w:val="0"/>
      <w:divBdr>
        <w:top w:val="none" w:sz="0" w:space="0" w:color="auto"/>
        <w:left w:val="none" w:sz="0" w:space="0" w:color="auto"/>
        <w:bottom w:val="none" w:sz="0" w:space="0" w:color="auto"/>
        <w:right w:val="none" w:sz="0" w:space="0" w:color="auto"/>
      </w:divBdr>
      <w:divsChild>
        <w:div w:id="82190805">
          <w:marLeft w:val="0"/>
          <w:marRight w:val="0"/>
          <w:marTop w:val="0"/>
          <w:marBottom w:val="150"/>
          <w:divBdr>
            <w:top w:val="none" w:sz="0" w:space="0" w:color="auto"/>
            <w:left w:val="none" w:sz="0" w:space="0" w:color="auto"/>
            <w:bottom w:val="none" w:sz="0" w:space="0" w:color="auto"/>
            <w:right w:val="none" w:sz="0" w:space="0" w:color="auto"/>
          </w:divBdr>
        </w:div>
      </w:divsChild>
    </w:div>
    <w:div w:id="1738237525">
      <w:bodyDiv w:val="1"/>
      <w:marLeft w:val="0"/>
      <w:marRight w:val="0"/>
      <w:marTop w:val="0"/>
      <w:marBottom w:val="0"/>
      <w:divBdr>
        <w:top w:val="none" w:sz="0" w:space="0" w:color="auto"/>
        <w:left w:val="none" w:sz="0" w:space="0" w:color="auto"/>
        <w:bottom w:val="none" w:sz="0" w:space="0" w:color="auto"/>
        <w:right w:val="none" w:sz="0" w:space="0" w:color="auto"/>
      </w:divBdr>
      <w:divsChild>
        <w:div w:id="1413578640">
          <w:marLeft w:val="0"/>
          <w:marRight w:val="0"/>
          <w:marTop w:val="0"/>
          <w:marBottom w:val="0"/>
          <w:divBdr>
            <w:top w:val="none" w:sz="0" w:space="0" w:color="auto"/>
            <w:left w:val="none" w:sz="0" w:space="0" w:color="auto"/>
            <w:bottom w:val="dotted" w:sz="6" w:space="4" w:color="DDDDDD"/>
            <w:right w:val="none" w:sz="0" w:space="0" w:color="auto"/>
          </w:divBdr>
        </w:div>
      </w:divsChild>
    </w:div>
    <w:div w:id="1739134432">
      <w:bodyDiv w:val="1"/>
      <w:marLeft w:val="0"/>
      <w:marRight w:val="0"/>
      <w:marTop w:val="0"/>
      <w:marBottom w:val="0"/>
      <w:divBdr>
        <w:top w:val="none" w:sz="0" w:space="0" w:color="auto"/>
        <w:left w:val="none" w:sz="0" w:space="0" w:color="auto"/>
        <w:bottom w:val="none" w:sz="0" w:space="0" w:color="auto"/>
        <w:right w:val="none" w:sz="0" w:space="0" w:color="auto"/>
      </w:divBdr>
      <w:divsChild>
        <w:div w:id="84154414">
          <w:marLeft w:val="0"/>
          <w:marRight w:val="0"/>
          <w:marTop w:val="0"/>
          <w:marBottom w:val="150"/>
          <w:divBdr>
            <w:top w:val="none" w:sz="0" w:space="0" w:color="auto"/>
            <w:left w:val="none" w:sz="0" w:space="0" w:color="auto"/>
            <w:bottom w:val="none" w:sz="0" w:space="0" w:color="auto"/>
            <w:right w:val="none" w:sz="0" w:space="0" w:color="auto"/>
          </w:divBdr>
          <w:divsChild>
            <w:div w:id="1767572177">
              <w:marLeft w:val="0"/>
              <w:marRight w:val="0"/>
              <w:marTop w:val="0"/>
              <w:marBottom w:val="0"/>
              <w:divBdr>
                <w:top w:val="none" w:sz="0" w:space="0" w:color="auto"/>
                <w:left w:val="none" w:sz="0" w:space="0" w:color="auto"/>
                <w:bottom w:val="none" w:sz="0" w:space="0" w:color="auto"/>
                <w:right w:val="none" w:sz="0" w:space="0" w:color="auto"/>
              </w:divBdr>
              <w:divsChild>
                <w:div w:id="7554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1287">
          <w:marLeft w:val="0"/>
          <w:marRight w:val="0"/>
          <w:marTop w:val="0"/>
          <w:marBottom w:val="150"/>
          <w:divBdr>
            <w:top w:val="none" w:sz="0" w:space="0" w:color="auto"/>
            <w:left w:val="none" w:sz="0" w:space="0" w:color="auto"/>
            <w:bottom w:val="none" w:sz="0" w:space="0" w:color="auto"/>
            <w:right w:val="none" w:sz="0" w:space="0" w:color="auto"/>
          </w:divBdr>
        </w:div>
        <w:div w:id="697050821">
          <w:marLeft w:val="0"/>
          <w:marRight w:val="0"/>
          <w:marTop w:val="0"/>
          <w:marBottom w:val="0"/>
          <w:divBdr>
            <w:top w:val="none" w:sz="0" w:space="0" w:color="auto"/>
            <w:left w:val="none" w:sz="0" w:space="0" w:color="auto"/>
            <w:bottom w:val="none" w:sz="0" w:space="0" w:color="auto"/>
            <w:right w:val="none" w:sz="0" w:space="0" w:color="auto"/>
          </w:divBdr>
          <w:divsChild>
            <w:div w:id="109439475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39667192">
      <w:bodyDiv w:val="1"/>
      <w:marLeft w:val="0"/>
      <w:marRight w:val="0"/>
      <w:marTop w:val="0"/>
      <w:marBottom w:val="0"/>
      <w:divBdr>
        <w:top w:val="none" w:sz="0" w:space="0" w:color="auto"/>
        <w:left w:val="none" w:sz="0" w:space="0" w:color="auto"/>
        <w:bottom w:val="none" w:sz="0" w:space="0" w:color="auto"/>
        <w:right w:val="none" w:sz="0" w:space="0" w:color="auto"/>
      </w:divBdr>
      <w:divsChild>
        <w:div w:id="89087379">
          <w:marLeft w:val="0"/>
          <w:marRight w:val="0"/>
          <w:marTop w:val="0"/>
          <w:marBottom w:val="225"/>
          <w:divBdr>
            <w:top w:val="none" w:sz="0" w:space="0" w:color="auto"/>
            <w:left w:val="none" w:sz="0" w:space="0" w:color="auto"/>
            <w:bottom w:val="none" w:sz="0" w:space="0" w:color="auto"/>
            <w:right w:val="none" w:sz="0" w:space="0" w:color="auto"/>
          </w:divBdr>
        </w:div>
        <w:div w:id="1241522608">
          <w:marLeft w:val="0"/>
          <w:marRight w:val="0"/>
          <w:marTop w:val="0"/>
          <w:marBottom w:val="225"/>
          <w:divBdr>
            <w:top w:val="none" w:sz="0" w:space="0" w:color="auto"/>
            <w:left w:val="none" w:sz="0" w:space="0" w:color="auto"/>
            <w:bottom w:val="none" w:sz="0" w:space="0" w:color="auto"/>
            <w:right w:val="none" w:sz="0" w:space="0" w:color="auto"/>
          </w:divBdr>
          <w:divsChild>
            <w:div w:id="677192061">
              <w:marLeft w:val="0"/>
              <w:marRight w:val="0"/>
              <w:marTop w:val="0"/>
              <w:marBottom w:val="0"/>
              <w:divBdr>
                <w:top w:val="none" w:sz="0" w:space="0" w:color="auto"/>
                <w:left w:val="none" w:sz="0" w:space="0" w:color="auto"/>
                <w:bottom w:val="none" w:sz="0" w:space="0" w:color="auto"/>
                <w:right w:val="none" w:sz="0" w:space="0" w:color="auto"/>
              </w:divBdr>
              <w:divsChild>
                <w:div w:id="192684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059461">
      <w:bodyDiv w:val="1"/>
      <w:marLeft w:val="0"/>
      <w:marRight w:val="0"/>
      <w:marTop w:val="0"/>
      <w:marBottom w:val="0"/>
      <w:divBdr>
        <w:top w:val="none" w:sz="0" w:space="0" w:color="auto"/>
        <w:left w:val="none" w:sz="0" w:space="0" w:color="auto"/>
        <w:bottom w:val="none" w:sz="0" w:space="0" w:color="auto"/>
        <w:right w:val="none" w:sz="0" w:space="0" w:color="auto"/>
      </w:divBdr>
      <w:divsChild>
        <w:div w:id="554775705">
          <w:marLeft w:val="0"/>
          <w:marRight w:val="0"/>
          <w:marTop w:val="0"/>
          <w:marBottom w:val="150"/>
          <w:divBdr>
            <w:top w:val="none" w:sz="0" w:space="0" w:color="auto"/>
            <w:left w:val="none" w:sz="0" w:space="0" w:color="auto"/>
            <w:bottom w:val="none" w:sz="0" w:space="0" w:color="auto"/>
            <w:right w:val="none" w:sz="0" w:space="0" w:color="auto"/>
          </w:divBdr>
        </w:div>
      </w:divsChild>
    </w:div>
    <w:div w:id="1740324896">
      <w:bodyDiv w:val="1"/>
      <w:marLeft w:val="0"/>
      <w:marRight w:val="0"/>
      <w:marTop w:val="0"/>
      <w:marBottom w:val="0"/>
      <w:divBdr>
        <w:top w:val="none" w:sz="0" w:space="0" w:color="auto"/>
        <w:left w:val="none" w:sz="0" w:space="0" w:color="auto"/>
        <w:bottom w:val="none" w:sz="0" w:space="0" w:color="auto"/>
        <w:right w:val="none" w:sz="0" w:space="0" w:color="auto"/>
      </w:divBdr>
      <w:divsChild>
        <w:div w:id="575089559">
          <w:marLeft w:val="0"/>
          <w:marRight w:val="0"/>
          <w:marTop w:val="0"/>
          <w:marBottom w:val="0"/>
          <w:divBdr>
            <w:top w:val="none" w:sz="0" w:space="0" w:color="auto"/>
            <w:left w:val="none" w:sz="0" w:space="0" w:color="auto"/>
            <w:bottom w:val="none" w:sz="0" w:space="0" w:color="auto"/>
            <w:right w:val="none" w:sz="0" w:space="0" w:color="auto"/>
          </w:divBdr>
          <w:divsChild>
            <w:div w:id="20672890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40976976">
      <w:bodyDiv w:val="1"/>
      <w:marLeft w:val="0"/>
      <w:marRight w:val="0"/>
      <w:marTop w:val="0"/>
      <w:marBottom w:val="0"/>
      <w:divBdr>
        <w:top w:val="none" w:sz="0" w:space="0" w:color="auto"/>
        <w:left w:val="none" w:sz="0" w:space="0" w:color="auto"/>
        <w:bottom w:val="none" w:sz="0" w:space="0" w:color="auto"/>
        <w:right w:val="none" w:sz="0" w:space="0" w:color="auto"/>
      </w:divBdr>
      <w:divsChild>
        <w:div w:id="1738474442">
          <w:marLeft w:val="0"/>
          <w:marRight w:val="0"/>
          <w:marTop w:val="0"/>
          <w:marBottom w:val="150"/>
          <w:divBdr>
            <w:top w:val="none" w:sz="0" w:space="0" w:color="auto"/>
            <w:left w:val="none" w:sz="0" w:space="0" w:color="auto"/>
            <w:bottom w:val="none" w:sz="0" w:space="0" w:color="auto"/>
            <w:right w:val="none" w:sz="0" w:space="0" w:color="auto"/>
          </w:divBdr>
        </w:div>
      </w:divsChild>
    </w:div>
    <w:div w:id="1741101617">
      <w:bodyDiv w:val="1"/>
      <w:marLeft w:val="0"/>
      <w:marRight w:val="0"/>
      <w:marTop w:val="0"/>
      <w:marBottom w:val="0"/>
      <w:divBdr>
        <w:top w:val="none" w:sz="0" w:space="0" w:color="auto"/>
        <w:left w:val="none" w:sz="0" w:space="0" w:color="auto"/>
        <w:bottom w:val="none" w:sz="0" w:space="0" w:color="auto"/>
        <w:right w:val="none" w:sz="0" w:space="0" w:color="auto"/>
      </w:divBdr>
      <w:divsChild>
        <w:div w:id="1542017726">
          <w:marLeft w:val="0"/>
          <w:marRight w:val="0"/>
          <w:marTop w:val="0"/>
          <w:marBottom w:val="150"/>
          <w:divBdr>
            <w:top w:val="none" w:sz="0" w:space="0" w:color="auto"/>
            <w:left w:val="none" w:sz="0" w:space="0" w:color="auto"/>
            <w:bottom w:val="none" w:sz="0" w:space="0" w:color="auto"/>
            <w:right w:val="none" w:sz="0" w:space="0" w:color="auto"/>
          </w:divBdr>
        </w:div>
      </w:divsChild>
    </w:div>
    <w:div w:id="1741169844">
      <w:bodyDiv w:val="1"/>
      <w:marLeft w:val="0"/>
      <w:marRight w:val="0"/>
      <w:marTop w:val="0"/>
      <w:marBottom w:val="0"/>
      <w:divBdr>
        <w:top w:val="none" w:sz="0" w:space="0" w:color="auto"/>
        <w:left w:val="none" w:sz="0" w:space="0" w:color="auto"/>
        <w:bottom w:val="none" w:sz="0" w:space="0" w:color="auto"/>
        <w:right w:val="none" w:sz="0" w:space="0" w:color="auto"/>
      </w:divBdr>
      <w:divsChild>
        <w:div w:id="374276266">
          <w:blockQuote w:val="1"/>
          <w:marLeft w:val="600"/>
          <w:marRight w:val="0"/>
          <w:marTop w:val="100"/>
          <w:marBottom w:val="100"/>
          <w:divBdr>
            <w:top w:val="none" w:sz="0" w:space="0" w:color="auto"/>
            <w:left w:val="none" w:sz="0" w:space="0" w:color="auto"/>
            <w:bottom w:val="none" w:sz="0" w:space="0" w:color="auto"/>
            <w:right w:val="none" w:sz="0" w:space="0" w:color="auto"/>
          </w:divBdr>
        </w:div>
        <w:div w:id="1901791829">
          <w:blockQuote w:val="1"/>
          <w:marLeft w:val="600"/>
          <w:marRight w:val="0"/>
          <w:marTop w:val="100"/>
          <w:marBottom w:val="100"/>
          <w:divBdr>
            <w:top w:val="none" w:sz="0" w:space="0" w:color="auto"/>
            <w:left w:val="none" w:sz="0" w:space="0" w:color="auto"/>
            <w:bottom w:val="none" w:sz="0" w:space="0" w:color="auto"/>
            <w:right w:val="none" w:sz="0" w:space="0" w:color="auto"/>
          </w:divBdr>
        </w:div>
      </w:divsChild>
    </w:div>
    <w:div w:id="1741555425">
      <w:bodyDiv w:val="1"/>
      <w:marLeft w:val="0"/>
      <w:marRight w:val="0"/>
      <w:marTop w:val="0"/>
      <w:marBottom w:val="0"/>
      <w:divBdr>
        <w:top w:val="none" w:sz="0" w:space="0" w:color="auto"/>
        <w:left w:val="none" w:sz="0" w:space="0" w:color="auto"/>
        <w:bottom w:val="none" w:sz="0" w:space="0" w:color="auto"/>
        <w:right w:val="none" w:sz="0" w:space="0" w:color="auto"/>
      </w:divBdr>
      <w:divsChild>
        <w:div w:id="1302611969">
          <w:marLeft w:val="0"/>
          <w:marRight w:val="0"/>
          <w:marTop w:val="0"/>
          <w:marBottom w:val="0"/>
          <w:divBdr>
            <w:top w:val="none" w:sz="0" w:space="0" w:color="auto"/>
            <w:left w:val="none" w:sz="0" w:space="0" w:color="auto"/>
            <w:bottom w:val="dotted" w:sz="6" w:space="4" w:color="DDDDDD"/>
            <w:right w:val="none" w:sz="0" w:space="0" w:color="auto"/>
          </w:divBdr>
        </w:div>
      </w:divsChild>
    </w:div>
    <w:div w:id="1741563755">
      <w:bodyDiv w:val="1"/>
      <w:marLeft w:val="0"/>
      <w:marRight w:val="0"/>
      <w:marTop w:val="0"/>
      <w:marBottom w:val="0"/>
      <w:divBdr>
        <w:top w:val="none" w:sz="0" w:space="0" w:color="auto"/>
        <w:left w:val="none" w:sz="0" w:space="0" w:color="auto"/>
        <w:bottom w:val="none" w:sz="0" w:space="0" w:color="auto"/>
        <w:right w:val="none" w:sz="0" w:space="0" w:color="auto"/>
      </w:divBdr>
      <w:divsChild>
        <w:div w:id="128403774">
          <w:marLeft w:val="0"/>
          <w:marRight w:val="0"/>
          <w:marTop w:val="0"/>
          <w:marBottom w:val="0"/>
          <w:divBdr>
            <w:top w:val="none" w:sz="0" w:space="0" w:color="auto"/>
            <w:left w:val="none" w:sz="0" w:space="0" w:color="auto"/>
            <w:bottom w:val="none" w:sz="0" w:space="0" w:color="auto"/>
            <w:right w:val="none" w:sz="0" w:space="0" w:color="auto"/>
          </w:divBdr>
        </w:div>
        <w:div w:id="1194001118">
          <w:marLeft w:val="0"/>
          <w:marRight w:val="0"/>
          <w:marTop w:val="0"/>
          <w:marBottom w:val="150"/>
          <w:divBdr>
            <w:top w:val="none" w:sz="0" w:space="0" w:color="auto"/>
            <w:left w:val="none" w:sz="0" w:space="0" w:color="auto"/>
            <w:bottom w:val="none" w:sz="0" w:space="0" w:color="auto"/>
            <w:right w:val="none" w:sz="0" w:space="0" w:color="auto"/>
          </w:divBdr>
        </w:div>
      </w:divsChild>
    </w:div>
    <w:div w:id="1742024609">
      <w:bodyDiv w:val="1"/>
      <w:marLeft w:val="0"/>
      <w:marRight w:val="0"/>
      <w:marTop w:val="0"/>
      <w:marBottom w:val="0"/>
      <w:divBdr>
        <w:top w:val="none" w:sz="0" w:space="0" w:color="auto"/>
        <w:left w:val="none" w:sz="0" w:space="0" w:color="auto"/>
        <w:bottom w:val="none" w:sz="0" w:space="0" w:color="auto"/>
        <w:right w:val="none" w:sz="0" w:space="0" w:color="auto"/>
      </w:divBdr>
      <w:divsChild>
        <w:div w:id="300232715">
          <w:marLeft w:val="0"/>
          <w:marRight w:val="0"/>
          <w:marTop w:val="0"/>
          <w:marBottom w:val="450"/>
          <w:divBdr>
            <w:top w:val="none" w:sz="0" w:space="0" w:color="auto"/>
            <w:left w:val="none" w:sz="0" w:space="0" w:color="auto"/>
            <w:bottom w:val="single" w:sz="6" w:space="19" w:color="EEEEEE"/>
            <w:right w:val="none" w:sz="0" w:space="0" w:color="auto"/>
          </w:divBdr>
          <w:divsChild>
            <w:div w:id="1181968727">
              <w:marLeft w:val="0"/>
              <w:marRight w:val="0"/>
              <w:marTop w:val="0"/>
              <w:marBottom w:val="150"/>
              <w:divBdr>
                <w:top w:val="none" w:sz="0" w:space="0" w:color="auto"/>
                <w:left w:val="none" w:sz="0" w:space="0" w:color="auto"/>
                <w:bottom w:val="none" w:sz="0" w:space="0" w:color="auto"/>
                <w:right w:val="none" w:sz="0" w:space="0" w:color="auto"/>
              </w:divBdr>
              <w:divsChild>
                <w:div w:id="840892695">
                  <w:marLeft w:val="0"/>
                  <w:marRight w:val="0"/>
                  <w:marTop w:val="0"/>
                  <w:marBottom w:val="0"/>
                  <w:divBdr>
                    <w:top w:val="none" w:sz="0" w:space="0" w:color="auto"/>
                    <w:left w:val="none" w:sz="0" w:space="0" w:color="auto"/>
                    <w:bottom w:val="none" w:sz="0" w:space="0" w:color="auto"/>
                    <w:right w:val="none" w:sz="0" w:space="0" w:color="auto"/>
                  </w:divBdr>
                </w:div>
              </w:divsChild>
            </w:div>
            <w:div w:id="1481575202">
              <w:marLeft w:val="0"/>
              <w:marRight w:val="0"/>
              <w:marTop w:val="0"/>
              <w:marBottom w:val="0"/>
              <w:divBdr>
                <w:top w:val="none" w:sz="0" w:space="0" w:color="auto"/>
                <w:left w:val="none" w:sz="0" w:space="0" w:color="auto"/>
                <w:bottom w:val="none" w:sz="0" w:space="0" w:color="auto"/>
                <w:right w:val="none" w:sz="0" w:space="0" w:color="auto"/>
              </w:divBdr>
            </w:div>
          </w:divsChild>
        </w:div>
        <w:div w:id="704213596">
          <w:marLeft w:val="0"/>
          <w:marRight w:val="0"/>
          <w:marTop w:val="0"/>
          <w:marBottom w:val="0"/>
          <w:divBdr>
            <w:top w:val="none" w:sz="0" w:space="0" w:color="auto"/>
            <w:left w:val="none" w:sz="0" w:space="0" w:color="auto"/>
            <w:bottom w:val="none" w:sz="0" w:space="0" w:color="auto"/>
            <w:right w:val="none" w:sz="0" w:space="0" w:color="auto"/>
          </w:divBdr>
          <w:divsChild>
            <w:div w:id="750272381">
              <w:marLeft w:val="0"/>
              <w:marRight w:val="0"/>
              <w:marTop w:val="0"/>
              <w:marBottom w:val="0"/>
              <w:divBdr>
                <w:top w:val="none" w:sz="0" w:space="0" w:color="auto"/>
                <w:left w:val="none" w:sz="0" w:space="0" w:color="auto"/>
                <w:bottom w:val="none" w:sz="0" w:space="0" w:color="auto"/>
                <w:right w:val="none" w:sz="0" w:space="0" w:color="auto"/>
              </w:divBdr>
              <w:divsChild>
                <w:div w:id="59251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215798">
      <w:bodyDiv w:val="1"/>
      <w:marLeft w:val="0"/>
      <w:marRight w:val="0"/>
      <w:marTop w:val="0"/>
      <w:marBottom w:val="0"/>
      <w:divBdr>
        <w:top w:val="none" w:sz="0" w:space="0" w:color="auto"/>
        <w:left w:val="none" w:sz="0" w:space="0" w:color="auto"/>
        <w:bottom w:val="none" w:sz="0" w:space="0" w:color="auto"/>
        <w:right w:val="none" w:sz="0" w:space="0" w:color="auto"/>
      </w:divBdr>
      <w:divsChild>
        <w:div w:id="635062323">
          <w:marLeft w:val="0"/>
          <w:marRight w:val="0"/>
          <w:marTop w:val="0"/>
          <w:marBottom w:val="0"/>
          <w:divBdr>
            <w:top w:val="none" w:sz="0" w:space="0" w:color="auto"/>
            <w:left w:val="none" w:sz="0" w:space="0" w:color="auto"/>
            <w:bottom w:val="dotted" w:sz="6" w:space="4" w:color="DDDDDD"/>
            <w:right w:val="none" w:sz="0" w:space="0" w:color="auto"/>
          </w:divBdr>
        </w:div>
      </w:divsChild>
    </w:div>
    <w:div w:id="1742411412">
      <w:bodyDiv w:val="1"/>
      <w:marLeft w:val="0"/>
      <w:marRight w:val="0"/>
      <w:marTop w:val="0"/>
      <w:marBottom w:val="0"/>
      <w:divBdr>
        <w:top w:val="none" w:sz="0" w:space="0" w:color="auto"/>
        <w:left w:val="none" w:sz="0" w:space="0" w:color="auto"/>
        <w:bottom w:val="none" w:sz="0" w:space="0" w:color="auto"/>
        <w:right w:val="none" w:sz="0" w:space="0" w:color="auto"/>
      </w:divBdr>
      <w:divsChild>
        <w:div w:id="1771001151">
          <w:marLeft w:val="0"/>
          <w:marRight w:val="0"/>
          <w:marTop w:val="0"/>
          <w:marBottom w:val="0"/>
          <w:divBdr>
            <w:top w:val="none" w:sz="0" w:space="0" w:color="auto"/>
            <w:left w:val="none" w:sz="0" w:space="0" w:color="auto"/>
            <w:bottom w:val="none" w:sz="0" w:space="0" w:color="auto"/>
            <w:right w:val="none" w:sz="0" w:space="0" w:color="auto"/>
          </w:divBdr>
          <w:divsChild>
            <w:div w:id="1923173724">
              <w:marLeft w:val="0"/>
              <w:marRight w:val="0"/>
              <w:marTop w:val="0"/>
              <w:marBottom w:val="0"/>
              <w:divBdr>
                <w:top w:val="none" w:sz="0" w:space="0" w:color="auto"/>
                <w:left w:val="none" w:sz="0" w:space="0" w:color="auto"/>
                <w:bottom w:val="none" w:sz="0" w:space="0" w:color="auto"/>
                <w:right w:val="none" w:sz="0" w:space="0" w:color="auto"/>
              </w:divBdr>
              <w:divsChild>
                <w:div w:id="262149728">
                  <w:marLeft w:val="0"/>
                  <w:marRight w:val="0"/>
                  <w:marTop w:val="0"/>
                  <w:marBottom w:val="0"/>
                  <w:divBdr>
                    <w:top w:val="none" w:sz="0" w:space="0" w:color="auto"/>
                    <w:left w:val="none" w:sz="0" w:space="0" w:color="auto"/>
                    <w:bottom w:val="none" w:sz="0" w:space="0" w:color="auto"/>
                    <w:right w:val="none" w:sz="0" w:space="0" w:color="auto"/>
                  </w:divBdr>
                  <w:divsChild>
                    <w:div w:id="1496065971">
                      <w:marLeft w:val="0"/>
                      <w:marRight w:val="0"/>
                      <w:marTop w:val="0"/>
                      <w:marBottom w:val="0"/>
                      <w:divBdr>
                        <w:top w:val="none" w:sz="0" w:space="0" w:color="auto"/>
                        <w:left w:val="none" w:sz="0" w:space="0" w:color="auto"/>
                        <w:bottom w:val="none" w:sz="0" w:space="0" w:color="auto"/>
                        <w:right w:val="none" w:sz="0" w:space="0" w:color="auto"/>
                      </w:divBdr>
                      <w:divsChild>
                        <w:div w:id="11301825">
                          <w:marLeft w:val="0"/>
                          <w:marRight w:val="0"/>
                          <w:marTop w:val="0"/>
                          <w:marBottom w:val="0"/>
                          <w:divBdr>
                            <w:top w:val="none" w:sz="0" w:space="0" w:color="auto"/>
                            <w:left w:val="none" w:sz="0" w:space="0" w:color="auto"/>
                            <w:bottom w:val="none" w:sz="0" w:space="0" w:color="auto"/>
                            <w:right w:val="none" w:sz="0" w:space="0" w:color="auto"/>
                          </w:divBdr>
                          <w:divsChild>
                            <w:div w:id="795639440">
                              <w:marLeft w:val="0"/>
                              <w:marRight w:val="0"/>
                              <w:marTop w:val="0"/>
                              <w:marBottom w:val="0"/>
                              <w:divBdr>
                                <w:top w:val="none" w:sz="0" w:space="0" w:color="auto"/>
                                <w:left w:val="none" w:sz="0" w:space="0" w:color="auto"/>
                                <w:bottom w:val="none" w:sz="0" w:space="0" w:color="auto"/>
                                <w:right w:val="none" w:sz="0" w:space="0" w:color="auto"/>
                              </w:divBdr>
                              <w:divsChild>
                                <w:div w:id="1817065764">
                                  <w:marLeft w:val="0"/>
                                  <w:marRight w:val="0"/>
                                  <w:marTop w:val="0"/>
                                  <w:marBottom w:val="0"/>
                                  <w:divBdr>
                                    <w:top w:val="none" w:sz="0" w:space="0" w:color="auto"/>
                                    <w:left w:val="none" w:sz="0" w:space="0" w:color="auto"/>
                                    <w:bottom w:val="none" w:sz="0" w:space="0" w:color="auto"/>
                                    <w:right w:val="none" w:sz="0" w:space="0" w:color="auto"/>
                                  </w:divBdr>
                                  <w:divsChild>
                                    <w:div w:id="49114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2676099">
      <w:bodyDiv w:val="1"/>
      <w:marLeft w:val="0"/>
      <w:marRight w:val="0"/>
      <w:marTop w:val="0"/>
      <w:marBottom w:val="0"/>
      <w:divBdr>
        <w:top w:val="none" w:sz="0" w:space="0" w:color="auto"/>
        <w:left w:val="none" w:sz="0" w:space="0" w:color="auto"/>
        <w:bottom w:val="none" w:sz="0" w:space="0" w:color="auto"/>
        <w:right w:val="none" w:sz="0" w:space="0" w:color="auto"/>
      </w:divBdr>
      <w:divsChild>
        <w:div w:id="1651203114">
          <w:marLeft w:val="0"/>
          <w:marRight w:val="0"/>
          <w:marTop w:val="0"/>
          <w:marBottom w:val="0"/>
          <w:divBdr>
            <w:top w:val="none" w:sz="0" w:space="0" w:color="auto"/>
            <w:left w:val="none" w:sz="0" w:space="0" w:color="auto"/>
            <w:bottom w:val="none" w:sz="0" w:space="0" w:color="auto"/>
            <w:right w:val="none" w:sz="0" w:space="0" w:color="auto"/>
          </w:divBdr>
        </w:div>
      </w:divsChild>
    </w:div>
    <w:div w:id="1742676548">
      <w:bodyDiv w:val="1"/>
      <w:marLeft w:val="0"/>
      <w:marRight w:val="0"/>
      <w:marTop w:val="0"/>
      <w:marBottom w:val="0"/>
      <w:divBdr>
        <w:top w:val="none" w:sz="0" w:space="0" w:color="auto"/>
        <w:left w:val="none" w:sz="0" w:space="0" w:color="auto"/>
        <w:bottom w:val="none" w:sz="0" w:space="0" w:color="auto"/>
        <w:right w:val="none" w:sz="0" w:space="0" w:color="auto"/>
      </w:divBdr>
      <w:divsChild>
        <w:div w:id="1826361658">
          <w:marLeft w:val="0"/>
          <w:marRight w:val="0"/>
          <w:marTop w:val="0"/>
          <w:marBottom w:val="0"/>
          <w:divBdr>
            <w:top w:val="none" w:sz="0" w:space="0" w:color="auto"/>
            <w:left w:val="none" w:sz="0" w:space="0" w:color="auto"/>
            <w:bottom w:val="none" w:sz="0" w:space="0" w:color="auto"/>
            <w:right w:val="none" w:sz="0" w:space="0" w:color="auto"/>
          </w:divBdr>
          <w:divsChild>
            <w:div w:id="5493395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43288810">
      <w:bodyDiv w:val="1"/>
      <w:marLeft w:val="0"/>
      <w:marRight w:val="0"/>
      <w:marTop w:val="0"/>
      <w:marBottom w:val="0"/>
      <w:divBdr>
        <w:top w:val="none" w:sz="0" w:space="0" w:color="auto"/>
        <w:left w:val="none" w:sz="0" w:space="0" w:color="auto"/>
        <w:bottom w:val="none" w:sz="0" w:space="0" w:color="auto"/>
        <w:right w:val="none" w:sz="0" w:space="0" w:color="auto"/>
      </w:divBdr>
      <w:divsChild>
        <w:div w:id="401636248">
          <w:marLeft w:val="0"/>
          <w:marRight w:val="0"/>
          <w:marTop w:val="0"/>
          <w:marBottom w:val="0"/>
          <w:divBdr>
            <w:top w:val="none" w:sz="0" w:space="0" w:color="auto"/>
            <w:left w:val="none" w:sz="0" w:space="0" w:color="auto"/>
            <w:bottom w:val="none" w:sz="0" w:space="0" w:color="auto"/>
            <w:right w:val="none" w:sz="0" w:space="0" w:color="auto"/>
          </w:divBdr>
          <w:divsChild>
            <w:div w:id="1100611945">
              <w:marLeft w:val="0"/>
              <w:marRight w:val="0"/>
              <w:marTop w:val="0"/>
              <w:marBottom w:val="150"/>
              <w:divBdr>
                <w:top w:val="none" w:sz="0" w:space="0" w:color="auto"/>
                <w:left w:val="none" w:sz="0" w:space="0" w:color="auto"/>
                <w:bottom w:val="none" w:sz="0" w:space="0" w:color="auto"/>
                <w:right w:val="none" w:sz="0" w:space="0" w:color="auto"/>
              </w:divBdr>
              <w:divsChild>
                <w:div w:id="65746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90935">
          <w:marLeft w:val="0"/>
          <w:marRight w:val="225"/>
          <w:marTop w:val="0"/>
          <w:marBottom w:val="0"/>
          <w:divBdr>
            <w:top w:val="none" w:sz="0" w:space="0" w:color="auto"/>
            <w:left w:val="none" w:sz="0" w:space="0" w:color="auto"/>
            <w:bottom w:val="none" w:sz="0" w:space="0" w:color="auto"/>
            <w:right w:val="none" w:sz="0" w:space="0" w:color="auto"/>
          </w:divBdr>
          <w:divsChild>
            <w:div w:id="1272585519">
              <w:marLeft w:val="0"/>
              <w:marRight w:val="0"/>
              <w:marTop w:val="225"/>
              <w:marBottom w:val="0"/>
              <w:divBdr>
                <w:top w:val="none" w:sz="0" w:space="0" w:color="auto"/>
                <w:left w:val="none" w:sz="0" w:space="0" w:color="auto"/>
                <w:bottom w:val="none" w:sz="0" w:space="0" w:color="auto"/>
                <w:right w:val="none" w:sz="0" w:space="0" w:color="auto"/>
              </w:divBdr>
              <w:divsChild>
                <w:div w:id="41335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598010">
      <w:bodyDiv w:val="1"/>
      <w:marLeft w:val="0"/>
      <w:marRight w:val="0"/>
      <w:marTop w:val="0"/>
      <w:marBottom w:val="0"/>
      <w:divBdr>
        <w:top w:val="none" w:sz="0" w:space="0" w:color="auto"/>
        <w:left w:val="none" w:sz="0" w:space="0" w:color="auto"/>
        <w:bottom w:val="none" w:sz="0" w:space="0" w:color="auto"/>
        <w:right w:val="none" w:sz="0" w:space="0" w:color="auto"/>
      </w:divBdr>
    </w:div>
    <w:div w:id="1743721747">
      <w:bodyDiv w:val="1"/>
      <w:marLeft w:val="0"/>
      <w:marRight w:val="0"/>
      <w:marTop w:val="0"/>
      <w:marBottom w:val="0"/>
      <w:divBdr>
        <w:top w:val="none" w:sz="0" w:space="0" w:color="auto"/>
        <w:left w:val="none" w:sz="0" w:space="0" w:color="auto"/>
        <w:bottom w:val="none" w:sz="0" w:space="0" w:color="auto"/>
        <w:right w:val="none" w:sz="0" w:space="0" w:color="auto"/>
      </w:divBdr>
      <w:divsChild>
        <w:div w:id="909081104">
          <w:marLeft w:val="0"/>
          <w:marRight w:val="0"/>
          <w:marTop w:val="0"/>
          <w:marBottom w:val="150"/>
          <w:divBdr>
            <w:top w:val="none" w:sz="0" w:space="0" w:color="auto"/>
            <w:left w:val="none" w:sz="0" w:space="0" w:color="auto"/>
            <w:bottom w:val="none" w:sz="0" w:space="0" w:color="auto"/>
            <w:right w:val="none" w:sz="0" w:space="0" w:color="auto"/>
          </w:divBdr>
        </w:div>
      </w:divsChild>
    </w:div>
    <w:div w:id="1744444951">
      <w:bodyDiv w:val="1"/>
      <w:marLeft w:val="0"/>
      <w:marRight w:val="0"/>
      <w:marTop w:val="0"/>
      <w:marBottom w:val="0"/>
      <w:divBdr>
        <w:top w:val="none" w:sz="0" w:space="0" w:color="auto"/>
        <w:left w:val="none" w:sz="0" w:space="0" w:color="auto"/>
        <w:bottom w:val="none" w:sz="0" w:space="0" w:color="auto"/>
        <w:right w:val="none" w:sz="0" w:space="0" w:color="auto"/>
      </w:divBdr>
      <w:divsChild>
        <w:div w:id="1785616623">
          <w:marLeft w:val="0"/>
          <w:marRight w:val="0"/>
          <w:marTop w:val="0"/>
          <w:marBottom w:val="0"/>
          <w:divBdr>
            <w:top w:val="none" w:sz="0" w:space="0" w:color="auto"/>
            <w:left w:val="none" w:sz="0" w:space="0" w:color="auto"/>
            <w:bottom w:val="none" w:sz="0" w:space="0" w:color="auto"/>
            <w:right w:val="none" w:sz="0" w:space="0" w:color="auto"/>
          </w:divBdr>
        </w:div>
        <w:div w:id="1897669077">
          <w:marLeft w:val="0"/>
          <w:marRight w:val="0"/>
          <w:marTop w:val="0"/>
          <w:marBottom w:val="0"/>
          <w:divBdr>
            <w:top w:val="none" w:sz="0" w:space="0" w:color="auto"/>
            <w:left w:val="none" w:sz="0" w:space="0" w:color="auto"/>
            <w:bottom w:val="none" w:sz="0" w:space="0" w:color="auto"/>
            <w:right w:val="none" w:sz="0" w:space="0" w:color="auto"/>
          </w:divBdr>
          <w:divsChild>
            <w:div w:id="1236624083">
              <w:marLeft w:val="0"/>
              <w:marRight w:val="0"/>
              <w:marTop w:val="0"/>
              <w:marBottom w:val="0"/>
              <w:divBdr>
                <w:top w:val="none" w:sz="0" w:space="0" w:color="auto"/>
                <w:left w:val="none" w:sz="0" w:space="0" w:color="auto"/>
                <w:bottom w:val="none" w:sz="0" w:space="0" w:color="auto"/>
                <w:right w:val="none" w:sz="0" w:space="0" w:color="auto"/>
              </w:divBdr>
            </w:div>
          </w:divsChild>
        </w:div>
        <w:div w:id="1900549857">
          <w:marLeft w:val="0"/>
          <w:marRight w:val="0"/>
          <w:marTop w:val="0"/>
          <w:marBottom w:val="0"/>
          <w:divBdr>
            <w:top w:val="none" w:sz="0" w:space="0" w:color="auto"/>
            <w:left w:val="none" w:sz="0" w:space="0" w:color="auto"/>
            <w:bottom w:val="none" w:sz="0" w:space="0" w:color="auto"/>
            <w:right w:val="none" w:sz="0" w:space="0" w:color="auto"/>
          </w:divBdr>
        </w:div>
      </w:divsChild>
    </w:div>
    <w:div w:id="1744639384">
      <w:bodyDiv w:val="1"/>
      <w:marLeft w:val="0"/>
      <w:marRight w:val="0"/>
      <w:marTop w:val="0"/>
      <w:marBottom w:val="0"/>
      <w:divBdr>
        <w:top w:val="none" w:sz="0" w:space="0" w:color="auto"/>
        <w:left w:val="none" w:sz="0" w:space="0" w:color="auto"/>
        <w:bottom w:val="none" w:sz="0" w:space="0" w:color="auto"/>
        <w:right w:val="none" w:sz="0" w:space="0" w:color="auto"/>
      </w:divBdr>
      <w:divsChild>
        <w:div w:id="875118149">
          <w:marLeft w:val="0"/>
          <w:marRight w:val="0"/>
          <w:marTop w:val="0"/>
          <w:marBottom w:val="0"/>
          <w:divBdr>
            <w:top w:val="none" w:sz="0" w:space="0" w:color="auto"/>
            <w:left w:val="none" w:sz="0" w:space="0" w:color="auto"/>
            <w:bottom w:val="none" w:sz="0" w:space="0" w:color="auto"/>
            <w:right w:val="none" w:sz="0" w:space="0" w:color="auto"/>
          </w:divBdr>
          <w:divsChild>
            <w:div w:id="751312451">
              <w:marLeft w:val="0"/>
              <w:marRight w:val="0"/>
              <w:marTop w:val="0"/>
              <w:marBottom w:val="150"/>
              <w:divBdr>
                <w:top w:val="none" w:sz="0" w:space="0" w:color="auto"/>
                <w:left w:val="none" w:sz="0" w:space="0" w:color="auto"/>
                <w:bottom w:val="none" w:sz="0" w:space="0" w:color="auto"/>
                <w:right w:val="none" w:sz="0" w:space="0" w:color="auto"/>
              </w:divBdr>
            </w:div>
            <w:div w:id="1652559557">
              <w:marLeft w:val="0"/>
              <w:marRight w:val="0"/>
              <w:marTop w:val="0"/>
              <w:marBottom w:val="0"/>
              <w:divBdr>
                <w:top w:val="none" w:sz="0" w:space="0" w:color="auto"/>
                <w:left w:val="none" w:sz="0" w:space="0" w:color="auto"/>
                <w:bottom w:val="none" w:sz="0" w:space="0" w:color="auto"/>
                <w:right w:val="none" w:sz="0" w:space="0" w:color="auto"/>
              </w:divBdr>
              <w:divsChild>
                <w:div w:id="160406669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94406957">
          <w:marLeft w:val="0"/>
          <w:marRight w:val="0"/>
          <w:marTop w:val="0"/>
          <w:marBottom w:val="150"/>
          <w:divBdr>
            <w:top w:val="none" w:sz="0" w:space="0" w:color="auto"/>
            <w:left w:val="none" w:sz="0" w:space="0" w:color="auto"/>
            <w:bottom w:val="none" w:sz="0" w:space="0" w:color="auto"/>
            <w:right w:val="none" w:sz="0" w:space="0" w:color="auto"/>
          </w:divBdr>
          <w:divsChild>
            <w:div w:id="1089156059">
              <w:marLeft w:val="0"/>
              <w:marRight w:val="0"/>
              <w:marTop w:val="0"/>
              <w:marBottom w:val="0"/>
              <w:divBdr>
                <w:top w:val="none" w:sz="0" w:space="0" w:color="auto"/>
                <w:left w:val="none" w:sz="0" w:space="0" w:color="auto"/>
                <w:bottom w:val="none" w:sz="0" w:space="0" w:color="auto"/>
                <w:right w:val="none" w:sz="0" w:space="0" w:color="auto"/>
              </w:divBdr>
              <w:divsChild>
                <w:div w:id="1944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87617">
      <w:bodyDiv w:val="1"/>
      <w:marLeft w:val="0"/>
      <w:marRight w:val="0"/>
      <w:marTop w:val="0"/>
      <w:marBottom w:val="0"/>
      <w:divBdr>
        <w:top w:val="none" w:sz="0" w:space="0" w:color="auto"/>
        <w:left w:val="none" w:sz="0" w:space="0" w:color="auto"/>
        <w:bottom w:val="none" w:sz="0" w:space="0" w:color="auto"/>
        <w:right w:val="none" w:sz="0" w:space="0" w:color="auto"/>
      </w:divBdr>
      <w:divsChild>
        <w:div w:id="1478373355">
          <w:marLeft w:val="0"/>
          <w:marRight w:val="0"/>
          <w:marTop w:val="0"/>
          <w:marBottom w:val="0"/>
          <w:divBdr>
            <w:top w:val="none" w:sz="0" w:space="0" w:color="auto"/>
            <w:left w:val="none" w:sz="0" w:space="0" w:color="auto"/>
            <w:bottom w:val="none" w:sz="0" w:space="0" w:color="auto"/>
            <w:right w:val="none" w:sz="0" w:space="0" w:color="auto"/>
          </w:divBdr>
          <w:divsChild>
            <w:div w:id="285553299">
              <w:marLeft w:val="0"/>
              <w:marRight w:val="0"/>
              <w:marTop w:val="0"/>
              <w:marBottom w:val="0"/>
              <w:divBdr>
                <w:top w:val="none" w:sz="0" w:space="0" w:color="auto"/>
                <w:left w:val="none" w:sz="0" w:space="0" w:color="auto"/>
                <w:bottom w:val="none" w:sz="0" w:space="0" w:color="auto"/>
                <w:right w:val="none" w:sz="0" w:space="0" w:color="auto"/>
              </w:divBdr>
              <w:divsChild>
                <w:div w:id="1173253004">
                  <w:marLeft w:val="0"/>
                  <w:marRight w:val="0"/>
                  <w:marTop w:val="225"/>
                  <w:marBottom w:val="225"/>
                  <w:divBdr>
                    <w:top w:val="none" w:sz="0" w:space="0" w:color="auto"/>
                    <w:left w:val="none" w:sz="0" w:space="0" w:color="auto"/>
                    <w:bottom w:val="none" w:sz="0" w:space="0" w:color="auto"/>
                    <w:right w:val="none" w:sz="0" w:space="0" w:color="auto"/>
                  </w:divBdr>
                </w:div>
              </w:divsChild>
            </w:div>
            <w:div w:id="976883975">
              <w:marLeft w:val="0"/>
              <w:marRight w:val="0"/>
              <w:marTop w:val="0"/>
              <w:marBottom w:val="150"/>
              <w:divBdr>
                <w:top w:val="none" w:sz="0" w:space="0" w:color="auto"/>
                <w:left w:val="none" w:sz="0" w:space="0" w:color="auto"/>
                <w:bottom w:val="none" w:sz="0" w:space="0" w:color="auto"/>
                <w:right w:val="none" w:sz="0" w:space="0" w:color="auto"/>
              </w:divBdr>
            </w:div>
          </w:divsChild>
        </w:div>
        <w:div w:id="1637030982">
          <w:marLeft w:val="0"/>
          <w:marRight w:val="0"/>
          <w:marTop w:val="0"/>
          <w:marBottom w:val="150"/>
          <w:divBdr>
            <w:top w:val="none" w:sz="0" w:space="0" w:color="auto"/>
            <w:left w:val="none" w:sz="0" w:space="0" w:color="auto"/>
            <w:bottom w:val="none" w:sz="0" w:space="0" w:color="auto"/>
            <w:right w:val="none" w:sz="0" w:space="0" w:color="auto"/>
          </w:divBdr>
          <w:divsChild>
            <w:div w:id="162819299">
              <w:marLeft w:val="0"/>
              <w:marRight w:val="0"/>
              <w:marTop w:val="0"/>
              <w:marBottom w:val="0"/>
              <w:divBdr>
                <w:top w:val="none" w:sz="0" w:space="0" w:color="auto"/>
                <w:left w:val="none" w:sz="0" w:space="0" w:color="auto"/>
                <w:bottom w:val="none" w:sz="0" w:space="0" w:color="auto"/>
                <w:right w:val="none" w:sz="0" w:space="0" w:color="auto"/>
              </w:divBdr>
              <w:divsChild>
                <w:div w:id="123655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713423">
      <w:bodyDiv w:val="1"/>
      <w:marLeft w:val="0"/>
      <w:marRight w:val="0"/>
      <w:marTop w:val="0"/>
      <w:marBottom w:val="0"/>
      <w:divBdr>
        <w:top w:val="none" w:sz="0" w:space="0" w:color="auto"/>
        <w:left w:val="none" w:sz="0" w:space="0" w:color="auto"/>
        <w:bottom w:val="none" w:sz="0" w:space="0" w:color="auto"/>
        <w:right w:val="none" w:sz="0" w:space="0" w:color="auto"/>
      </w:divBdr>
      <w:divsChild>
        <w:div w:id="1155803331">
          <w:marLeft w:val="0"/>
          <w:marRight w:val="0"/>
          <w:marTop w:val="0"/>
          <w:marBottom w:val="0"/>
          <w:divBdr>
            <w:top w:val="none" w:sz="0" w:space="0" w:color="auto"/>
            <w:left w:val="none" w:sz="0" w:space="0" w:color="auto"/>
            <w:bottom w:val="none" w:sz="0" w:space="0" w:color="auto"/>
            <w:right w:val="none" w:sz="0" w:space="0" w:color="auto"/>
          </w:divBdr>
          <w:divsChild>
            <w:div w:id="433598856">
              <w:marLeft w:val="0"/>
              <w:marRight w:val="0"/>
              <w:marTop w:val="0"/>
              <w:marBottom w:val="0"/>
              <w:divBdr>
                <w:top w:val="none" w:sz="0" w:space="0" w:color="auto"/>
                <w:left w:val="none" w:sz="0" w:space="0" w:color="auto"/>
                <w:bottom w:val="none" w:sz="0" w:space="0" w:color="auto"/>
                <w:right w:val="none" w:sz="0" w:space="0" w:color="auto"/>
              </w:divBdr>
              <w:divsChild>
                <w:div w:id="439764774">
                  <w:marLeft w:val="0"/>
                  <w:marRight w:val="0"/>
                  <w:marTop w:val="0"/>
                  <w:marBottom w:val="0"/>
                  <w:divBdr>
                    <w:top w:val="none" w:sz="0" w:space="0" w:color="auto"/>
                    <w:left w:val="none" w:sz="0" w:space="0" w:color="auto"/>
                    <w:bottom w:val="none" w:sz="0" w:space="0" w:color="auto"/>
                    <w:right w:val="none" w:sz="0" w:space="0" w:color="auto"/>
                  </w:divBdr>
                  <w:divsChild>
                    <w:div w:id="181283497">
                      <w:marLeft w:val="0"/>
                      <w:marRight w:val="0"/>
                      <w:marTop w:val="0"/>
                      <w:marBottom w:val="0"/>
                      <w:divBdr>
                        <w:top w:val="none" w:sz="0" w:space="0" w:color="auto"/>
                        <w:left w:val="none" w:sz="0" w:space="0" w:color="auto"/>
                        <w:bottom w:val="none" w:sz="0" w:space="0" w:color="auto"/>
                        <w:right w:val="none" w:sz="0" w:space="0" w:color="auto"/>
                      </w:divBdr>
                      <w:divsChild>
                        <w:div w:id="665325382">
                          <w:marLeft w:val="0"/>
                          <w:marRight w:val="0"/>
                          <w:marTop w:val="0"/>
                          <w:marBottom w:val="0"/>
                          <w:divBdr>
                            <w:top w:val="none" w:sz="0" w:space="0" w:color="auto"/>
                            <w:left w:val="none" w:sz="0" w:space="0" w:color="auto"/>
                            <w:bottom w:val="none" w:sz="0" w:space="0" w:color="auto"/>
                            <w:right w:val="none" w:sz="0" w:space="0" w:color="auto"/>
                          </w:divBdr>
                          <w:divsChild>
                            <w:div w:id="1572540802">
                              <w:marLeft w:val="0"/>
                              <w:marRight w:val="0"/>
                              <w:marTop w:val="0"/>
                              <w:marBottom w:val="0"/>
                              <w:divBdr>
                                <w:top w:val="none" w:sz="0" w:space="0" w:color="auto"/>
                                <w:left w:val="none" w:sz="0" w:space="0" w:color="auto"/>
                                <w:bottom w:val="none" w:sz="0" w:space="0" w:color="auto"/>
                                <w:right w:val="none" w:sz="0" w:space="0" w:color="auto"/>
                              </w:divBdr>
                              <w:divsChild>
                                <w:div w:id="120618455">
                                  <w:marLeft w:val="0"/>
                                  <w:marRight w:val="0"/>
                                  <w:marTop w:val="0"/>
                                  <w:marBottom w:val="0"/>
                                  <w:divBdr>
                                    <w:top w:val="none" w:sz="0" w:space="0" w:color="auto"/>
                                    <w:left w:val="none" w:sz="0" w:space="0" w:color="auto"/>
                                    <w:bottom w:val="none" w:sz="0" w:space="0" w:color="auto"/>
                                    <w:right w:val="none" w:sz="0" w:space="0" w:color="auto"/>
                                  </w:divBdr>
                                  <w:divsChild>
                                    <w:div w:id="1399674256">
                                      <w:marLeft w:val="0"/>
                                      <w:marRight w:val="0"/>
                                      <w:marTop w:val="0"/>
                                      <w:marBottom w:val="0"/>
                                      <w:divBdr>
                                        <w:top w:val="none" w:sz="0" w:space="0" w:color="auto"/>
                                        <w:left w:val="none" w:sz="0" w:space="0" w:color="auto"/>
                                        <w:bottom w:val="none" w:sz="0" w:space="0" w:color="auto"/>
                                        <w:right w:val="none" w:sz="0" w:space="0" w:color="auto"/>
                                      </w:divBdr>
                                      <w:divsChild>
                                        <w:div w:id="95587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5831373">
      <w:bodyDiv w:val="1"/>
      <w:marLeft w:val="0"/>
      <w:marRight w:val="0"/>
      <w:marTop w:val="0"/>
      <w:marBottom w:val="0"/>
      <w:divBdr>
        <w:top w:val="none" w:sz="0" w:space="0" w:color="auto"/>
        <w:left w:val="none" w:sz="0" w:space="0" w:color="auto"/>
        <w:bottom w:val="none" w:sz="0" w:space="0" w:color="auto"/>
        <w:right w:val="none" w:sz="0" w:space="0" w:color="auto"/>
      </w:divBdr>
      <w:divsChild>
        <w:div w:id="1304430662">
          <w:marLeft w:val="0"/>
          <w:marRight w:val="0"/>
          <w:marTop w:val="0"/>
          <w:marBottom w:val="0"/>
          <w:divBdr>
            <w:top w:val="none" w:sz="0" w:space="0" w:color="auto"/>
            <w:left w:val="none" w:sz="0" w:space="0" w:color="auto"/>
            <w:bottom w:val="none" w:sz="0" w:space="0" w:color="auto"/>
            <w:right w:val="none" w:sz="0" w:space="0" w:color="auto"/>
          </w:divBdr>
          <w:divsChild>
            <w:div w:id="2024937859">
              <w:marLeft w:val="0"/>
              <w:marRight w:val="0"/>
              <w:marTop w:val="225"/>
              <w:marBottom w:val="225"/>
              <w:divBdr>
                <w:top w:val="none" w:sz="0" w:space="0" w:color="auto"/>
                <w:left w:val="none" w:sz="0" w:space="0" w:color="auto"/>
                <w:bottom w:val="none" w:sz="0" w:space="0" w:color="auto"/>
                <w:right w:val="none" w:sz="0" w:space="0" w:color="auto"/>
              </w:divBdr>
            </w:div>
          </w:divsChild>
        </w:div>
        <w:div w:id="1350718706">
          <w:marLeft w:val="0"/>
          <w:marRight w:val="0"/>
          <w:marTop w:val="0"/>
          <w:marBottom w:val="150"/>
          <w:divBdr>
            <w:top w:val="none" w:sz="0" w:space="0" w:color="auto"/>
            <w:left w:val="none" w:sz="0" w:space="0" w:color="auto"/>
            <w:bottom w:val="none" w:sz="0" w:space="0" w:color="auto"/>
            <w:right w:val="none" w:sz="0" w:space="0" w:color="auto"/>
          </w:divBdr>
          <w:divsChild>
            <w:div w:id="755437951">
              <w:marLeft w:val="0"/>
              <w:marRight w:val="0"/>
              <w:marTop w:val="0"/>
              <w:marBottom w:val="0"/>
              <w:divBdr>
                <w:top w:val="none" w:sz="0" w:space="0" w:color="auto"/>
                <w:left w:val="none" w:sz="0" w:space="0" w:color="auto"/>
                <w:bottom w:val="none" w:sz="0" w:space="0" w:color="auto"/>
                <w:right w:val="none" w:sz="0" w:space="0" w:color="auto"/>
              </w:divBdr>
              <w:divsChild>
                <w:div w:id="96700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7319">
          <w:marLeft w:val="0"/>
          <w:marRight w:val="0"/>
          <w:marTop w:val="0"/>
          <w:marBottom w:val="150"/>
          <w:divBdr>
            <w:top w:val="none" w:sz="0" w:space="0" w:color="auto"/>
            <w:left w:val="none" w:sz="0" w:space="0" w:color="auto"/>
            <w:bottom w:val="none" w:sz="0" w:space="0" w:color="auto"/>
            <w:right w:val="none" w:sz="0" w:space="0" w:color="auto"/>
          </w:divBdr>
        </w:div>
      </w:divsChild>
    </w:div>
    <w:div w:id="1746412073">
      <w:bodyDiv w:val="1"/>
      <w:marLeft w:val="0"/>
      <w:marRight w:val="0"/>
      <w:marTop w:val="0"/>
      <w:marBottom w:val="0"/>
      <w:divBdr>
        <w:top w:val="none" w:sz="0" w:space="0" w:color="auto"/>
        <w:left w:val="none" w:sz="0" w:space="0" w:color="auto"/>
        <w:bottom w:val="none" w:sz="0" w:space="0" w:color="auto"/>
        <w:right w:val="none" w:sz="0" w:space="0" w:color="auto"/>
      </w:divBdr>
      <w:divsChild>
        <w:div w:id="1821726946">
          <w:marLeft w:val="0"/>
          <w:marRight w:val="0"/>
          <w:marTop w:val="0"/>
          <w:marBottom w:val="0"/>
          <w:divBdr>
            <w:top w:val="none" w:sz="0" w:space="0" w:color="auto"/>
            <w:left w:val="none" w:sz="0" w:space="0" w:color="auto"/>
            <w:bottom w:val="dotted" w:sz="6" w:space="4" w:color="DDDDDD"/>
            <w:right w:val="none" w:sz="0" w:space="0" w:color="auto"/>
          </w:divBdr>
        </w:div>
      </w:divsChild>
    </w:div>
    <w:div w:id="1746757468">
      <w:bodyDiv w:val="1"/>
      <w:marLeft w:val="0"/>
      <w:marRight w:val="0"/>
      <w:marTop w:val="0"/>
      <w:marBottom w:val="0"/>
      <w:divBdr>
        <w:top w:val="none" w:sz="0" w:space="0" w:color="auto"/>
        <w:left w:val="none" w:sz="0" w:space="0" w:color="auto"/>
        <w:bottom w:val="none" w:sz="0" w:space="0" w:color="auto"/>
        <w:right w:val="none" w:sz="0" w:space="0" w:color="auto"/>
      </w:divBdr>
      <w:divsChild>
        <w:div w:id="616106124">
          <w:marLeft w:val="0"/>
          <w:marRight w:val="0"/>
          <w:marTop w:val="0"/>
          <w:marBottom w:val="0"/>
          <w:divBdr>
            <w:top w:val="none" w:sz="0" w:space="0" w:color="auto"/>
            <w:left w:val="none" w:sz="0" w:space="0" w:color="auto"/>
            <w:bottom w:val="none" w:sz="0" w:space="0" w:color="auto"/>
            <w:right w:val="none" w:sz="0" w:space="0" w:color="auto"/>
          </w:divBdr>
          <w:divsChild>
            <w:div w:id="103043688">
              <w:marLeft w:val="0"/>
              <w:marRight w:val="0"/>
              <w:marTop w:val="0"/>
              <w:marBottom w:val="0"/>
              <w:divBdr>
                <w:top w:val="none" w:sz="0" w:space="0" w:color="auto"/>
                <w:left w:val="none" w:sz="0" w:space="0" w:color="auto"/>
                <w:bottom w:val="none" w:sz="0" w:space="0" w:color="auto"/>
                <w:right w:val="none" w:sz="0" w:space="0" w:color="auto"/>
              </w:divBdr>
            </w:div>
            <w:div w:id="236328854">
              <w:marLeft w:val="0"/>
              <w:marRight w:val="0"/>
              <w:marTop w:val="0"/>
              <w:marBottom w:val="0"/>
              <w:divBdr>
                <w:top w:val="none" w:sz="0" w:space="0" w:color="auto"/>
                <w:left w:val="none" w:sz="0" w:space="0" w:color="auto"/>
                <w:bottom w:val="none" w:sz="0" w:space="0" w:color="auto"/>
                <w:right w:val="none" w:sz="0" w:space="0" w:color="auto"/>
              </w:divBdr>
            </w:div>
            <w:div w:id="543636920">
              <w:marLeft w:val="0"/>
              <w:marRight w:val="0"/>
              <w:marTop w:val="0"/>
              <w:marBottom w:val="0"/>
              <w:divBdr>
                <w:top w:val="none" w:sz="0" w:space="0" w:color="auto"/>
                <w:left w:val="none" w:sz="0" w:space="0" w:color="auto"/>
                <w:bottom w:val="none" w:sz="0" w:space="0" w:color="auto"/>
                <w:right w:val="none" w:sz="0" w:space="0" w:color="auto"/>
              </w:divBdr>
            </w:div>
            <w:div w:id="564029942">
              <w:marLeft w:val="0"/>
              <w:marRight w:val="0"/>
              <w:marTop w:val="0"/>
              <w:marBottom w:val="0"/>
              <w:divBdr>
                <w:top w:val="none" w:sz="0" w:space="0" w:color="auto"/>
                <w:left w:val="none" w:sz="0" w:space="0" w:color="auto"/>
                <w:bottom w:val="none" w:sz="0" w:space="0" w:color="auto"/>
                <w:right w:val="none" w:sz="0" w:space="0" w:color="auto"/>
              </w:divBdr>
            </w:div>
            <w:div w:id="618415601">
              <w:marLeft w:val="0"/>
              <w:marRight w:val="0"/>
              <w:marTop w:val="0"/>
              <w:marBottom w:val="0"/>
              <w:divBdr>
                <w:top w:val="none" w:sz="0" w:space="0" w:color="auto"/>
                <w:left w:val="none" w:sz="0" w:space="0" w:color="auto"/>
                <w:bottom w:val="none" w:sz="0" w:space="0" w:color="auto"/>
                <w:right w:val="none" w:sz="0" w:space="0" w:color="auto"/>
              </w:divBdr>
            </w:div>
            <w:div w:id="701714155">
              <w:marLeft w:val="0"/>
              <w:marRight w:val="0"/>
              <w:marTop w:val="0"/>
              <w:marBottom w:val="0"/>
              <w:divBdr>
                <w:top w:val="none" w:sz="0" w:space="0" w:color="auto"/>
                <w:left w:val="none" w:sz="0" w:space="0" w:color="auto"/>
                <w:bottom w:val="none" w:sz="0" w:space="0" w:color="auto"/>
                <w:right w:val="none" w:sz="0" w:space="0" w:color="auto"/>
              </w:divBdr>
            </w:div>
            <w:div w:id="790323029">
              <w:marLeft w:val="0"/>
              <w:marRight w:val="0"/>
              <w:marTop w:val="0"/>
              <w:marBottom w:val="0"/>
              <w:divBdr>
                <w:top w:val="none" w:sz="0" w:space="0" w:color="auto"/>
                <w:left w:val="none" w:sz="0" w:space="0" w:color="auto"/>
                <w:bottom w:val="none" w:sz="0" w:space="0" w:color="auto"/>
                <w:right w:val="none" w:sz="0" w:space="0" w:color="auto"/>
              </w:divBdr>
            </w:div>
            <w:div w:id="859777795">
              <w:marLeft w:val="0"/>
              <w:marRight w:val="0"/>
              <w:marTop w:val="0"/>
              <w:marBottom w:val="0"/>
              <w:divBdr>
                <w:top w:val="none" w:sz="0" w:space="0" w:color="auto"/>
                <w:left w:val="none" w:sz="0" w:space="0" w:color="auto"/>
                <w:bottom w:val="none" w:sz="0" w:space="0" w:color="auto"/>
                <w:right w:val="none" w:sz="0" w:space="0" w:color="auto"/>
              </w:divBdr>
            </w:div>
            <w:div w:id="1074089669">
              <w:marLeft w:val="0"/>
              <w:marRight w:val="0"/>
              <w:marTop w:val="0"/>
              <w:marBottom w:val="0"/>
              <w:divBdr>
                <w:top w:val="none" w:sz="0" w:space="0" w:color="auto"/>
                <w:left w:val="none" w:sz="0" w:space="0" w:color="auto"/>
                <w:bottom w:val="none" w:sz="0" w:space="0" w:color="auto"/>
                <w:right w:val="none" w:sz="0" w:space="0" w:color="auto"/>
              </w:divBdr>
            </w:div>
            <w:div w:id="1307583982">
              <w:marLeft w:val="0"/>
              <w:marRight w:val="0"/>
              <w:marTop w:val="0"/>
              <w:marBottom w:val="0"/>
              <w:divBdr>
                <w:top w:val="none" w:sz="0" w:space="0" w:color="auto"/>
                <w:left w:val="none" w:sz="0" w:space="0" w:color="auto"/>
                <w:bottom w:val="none" w:sz="0" w:space="0" w:color="auto"/>
                <w:right w:val="none" w:sz="0" w:space="0" w:color="auto"/>
              </w:divBdr>
            </w:div>
            <w:div w:id="1417173121">
              <w:marLeft w:val="0"/>
              <w:marRight w:val="0"/>
              <w:marTop w:val="0"/>
              <w:marBottom w:val="0"/>
              <w:divBdr>
                <w:top w:val="none" w:sz="0" w:space="0" w:color="auto"/>
                <w:left w:val="none" w:sz="0" w:space="0" w:color="auto"/>
                <w:bottom w:val="none" w:sz="0" w:space="0" w:color="auto"/>
                <w:right w:val="none" w:sz="0" w:space="0" w:color="auto"/>
              </w:divBdr>
            </w:div>
            <w:div w:id="1434208474">
              <w:marLeft w:val="0"/>
              <w:marRight w:val="0"/>
              <w:marTop w:val="0"/>
              <w:marBottom w:val="0"/>
              <w:divBdr>
                <w:top w:val="none" w:sz="0" w:space="0" w:color="auto"/>
                <w:left w:val="none" w:sz="0" w:space="0" w:color="auto"/>
                <w:bottom w:val="none" w:sz="0" w:space="0" w:color="auto"/>
                <w:right w:val="none" w:sz="0" w:space="0" w:color="auto"/>
              </w:divBdr>
            </w:div>
            <w:div w:id="1436903772">
              <w:marLeft w:val="0"/>
              <w:marRight w:val="0"/>
              <w:marTop w:val="0"/>
              <w:marBottom w:val="0"/>
              <w:divBdr>
                <w:top w:val="none" w:sz="0" w:space="0" w:color="auto"/>
                <w:left w:val="none" w:sz="0" w:space="0" w:color="auto"/>
                <w:bottom w:val="none" w:sz="0" w:space="0" w:color="auto"/>
                <w:right w:val="none" w:sz="0" w:space="0" w:color="auto"/>
              </w:divBdr>
            </w:div>
            <w:div w:id="1720666828">
              <w:marLeft w:val="0"/>
              <w:marRight w:val="0"/>
              <w:marTop w:val="0"/>
              <w:marBottom w:val="0"/>
              <w:divBdr>
                <w:top w:val="none" w:sz="0" w:space="0" w:color="auto"/>
                <w:left w:val="none" w:sz="0" w:space="0" w:color="auto"/>
                <w:bottom w:val="none" w:sz="0" w:space="0" w:color="auto"/>
                <w:right w:val="none" w:sz="0" w:space="0" w:color="auto"/>
              </w:divBdr>
            </w:div>
            <w:div w:id="1724669769">
              <w:marLeft w:val="0"/>
              <w:marRight w:val="0"/>
              <w:marTop w:val="0"/>
              <w:marBottom w:val="0"/>
              <w:divBdr>
                <w:top w:val="none" w:sz="0" w:space="0" w:color="auto"/>
                <w:left w:val="none" w:sz="0" w:space="0" w:color="auto"/>
                <w:bottom w:val="none" w:sz="0" w:space="0" w:color="auto"/>
                <w:right w:val="none" w:sz="0" w:space="0" w:color="auto"/>
              </w:divBdr>
            </w:div>
            <w:div w:id="1841505524">
              <w:marLeft w:val="0"/>
              <w:marRight w:val="0"/>
              <w:marTop w:val="0"/>
              <w:marBottom w:val="0"/>
              <w:divBdr>
                <w:top w:val="none" w:sz="0" w:space="0" w:color="auto"/>
                <w:left w:val="none" w:sz="0" w:space="0" w:color="auto"/>
                <w:bottom w:val="none" w:sz="0" w:space="0" w:color="auto"/>
                <w:right w:val="none" w:sz="0" w:space="0" w:color="auto"/>
              </w:divBdr>
            </w:div>
            <w:div w:id="1846556238">
              <w:marLeft w:val="0"/>
              <w:marRight w:val="0"/>
              <w:marTop w:val="0"/>
              <w:marBottom w:val="0"/>
              <w:divBdr>
                <w:top w:val="none" w:sz="0" w:space="0" w:color="auto"/>
                <w:left w:val="none" w:sz="0" w:space="0" w:color="auto"/>
                <w:bottom w:val="none" w:sz="0" w:space="0" w:color="auto"/>
                <w:right w:val="none" w:sz="0" w:space="0" w:color="auto"/>
              </w:divBdr>
            </w:div>
            <w:div w:id="1846898647">
              <w:marLeft w:val="0"/>
              <w:marRight w:val="0"/>
              <w:marTop w:val="0"/>
              <w:marBottom w:val="0"/>
              <w:divBdr>
                <w:top w:val="none" w:sz="0" w:space="0" w:color="auto"/>
                <w:left w:val="none" w:sz="0" w:space="0" w:color="auto"/>
                <w:bottom w:val="none" w:sz="0" w:space="0" w:color="auto"/>
                <w:right w:val="none" w:sz="0" w:space="0" w:color="auto"/>
              </w:divBdr>
            </w:div>
            <w:div w:id="1975476566">
              <w:marLeft w:val="0"/>
              <w:marRight w:val="0"/>
              <w:marTop w:val="0"/>
              <w:marBottom w:val="0"/>
              <w:divBdr>
                <w:top w:val="none" w:sz="0" w:space="0" w:color="auto"/>
                <w:left w:val="none" w:sz="0" w:space="0" w:color="auto"/>
                <w:bottom w:val="none" w:sz="0" w:space="0" w:color="auto"/>
                <w:right w:val="none" w:sz="0" w:space="0" w:color="auto"/>
              </w:divBdr>
            </w:div>
            <w:div w:id="1982687291">
              <w:marLeft w:val="0"/>
              <w:marRight w:val="0"/>
              <w:marTop w:val="0"/>
              <w:marBottom w:val="0"/>
              <w:divBdr>
                <w:top w:val="none" w:sz="0" w:space="0" w:color="auto"/>
                <w:left w:val="none" w:sz="0" w:space="0" w:color="auto"/>
                <w:bottom w:val="none" w:sz="0" w:space="0" w:color="auto"/>
                <w:right w:val="none" w:sz="0" w:space="0" w:color="auto"/>
              </w:divBdr>
            </w:div>
            <w:div w:id="2095396023">
              <w:marLeft w:val="0"/>
              <w:marRight w:val="0"/>
              <w:marTop w:val="0"/>
              <w:marBottom w:val="0"/>
              <w:divBdr>
                <w:top w:val="none" w:sz="0" w:space="0" w:color="auto"/>
                <w:left w:val="none" w:sz="0" w:space="0" w:color="auto"/>
                <w:bottom w:val="none" w:sz="0" w:space="0" w:color="auto"/>
                <w:right w:val="none" w:sz="0" w:space="0" w:color="auto"/>
              </w:divBdr>
            </w:div>
            <w:div w:id="2102484398">
              <w:marLeft w:val="0"/>
              <w:marRight w:val="0"/>
              <w:marTop w:val="0"/>
              <w:marBottom w:val="0"/>
              <w:divBdr>
                <w:top w:val="none" w:sz="0" w:space="0" w:color="auto"/>
                <w:left w:val="none" w:sz="0" w:space="0" w:color="auto"/>
                <w:bottom w:val="none" w:sz="0" w:space="0" w:color="auto"/>
                <w:right w:val="none" w:sz="0" w:space="0" w:color="auto"/>
              </w:divBdr>
            </w:div>
            <w:div w:id="212685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759461">
      <w:bodyDiv w:val="1"/>
      <w:marLeft w:val="0"/>
      <w:marRight w:val="0"/>
      <w:marTop w:val="0"/>
      <w:marBottom w:val="0"/>
      <w:divBdr>
        <w:top w:val="none" w:sz="0" w:space="0" w:color="auto"/>
        <w:left w:val="none" w:sz="0" w:space="0" w:color="auto"/>
        <w:bottom w:val="none" w:sz="0" w:space="0" w:color="auto"/>
        <w:right w:val="none" w:sz="0" w:space="0" w:color="auto"/>
      </w:divBdr>
      <w:divsChild>
        <w:div w:id="1729765241">
          <w:marLeft w:val="0"/>
          <w:marRight w:val="0"/>
          <w:marTop w:val="0"/>
          <w:marBottom w:val="0"/>
          <w:divBdr>
            <w:top w:val="none" w:sz="0" w:space="0" w:color="auto"/>
            <w:left w:val="none" w:sz="0" w:space="0" w:color="auto"/>
            <w:bottom w:val="none" w:sz="0" w:space="0" w:color="auto"/>
            <w:right w:val="none" w:sz="0" w:space="0" w:color="auto"/>
          </w:divBdr>
          <w:divsChild>
            <w:div w:id="916089992">
              <w:marLeft w:val="0"/>
              <w:marRight w:val="0"/>
              <w:marTop w:val="0"/>
              <w:marBottom w:val="150"/>
              <w:divBdr>
                <w:top w:val="none" w:sz="0" w:space="0" w:color="auto"/>
                <w:left w:val="none" w:sz="0" w:space="0" w:color="auto"/>
                <w:bottom w:val="none" w:sz="0" w:space="0" w:color="auto"/>
                <w:right w:val="none" w:sz="0" w:space="0" w:color="auto"/>
              </w:divBdr>
            </w:div>
            <w:div w:id="129263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951590">
      <w:bodyDiv w:val="1"/>
      <w:marLeft w:val="0"/>
      <w:marRight w:val="0"/>
      <w:marTop w:val="0"/>
      <w:marBottom w:val="0"/>
      <w:divBdr>
        <w:top w:val="none" w:sz="0" w:space="0" w:color="auto"/>
        <w:left w:val="none" w:sz="0" w:space="0" w:color="auto"/>
        <w:bottom w:val="none" w:sz="0" w:space="0" w:color="auto"/>
        <w:right w:val="none" w:sz="0" w:space="0" w:color="auto"/>
      </w:divBdr>
      <w:divsChild>
        <w:div w:id="1527132089">
          <w:marLeft w:val="0"/>
          <w:marRight w:val="0"/>
          <w:marTop w:val="0"/>
          <w:marBottom w:val="0"/>
          <w:divBdr>
            <w:top w:val="none" w:sz="0" w:space="0" w:color="auto"/>
            <w:left w:val="none" w:sz="0" w:space="0" w:color="auto"/>
            <w:bottom w:val="none" w:sz="0" w:space="0" w:color="auto"/>
            <w:right w:val="none" w:sz="0" w:space="0" w:color="auto"/>
          </w:divBdr>
        </w:div>
      </w:divsChild>
    </w:div>
    <w:div w:id="1747141619">
      <w:bodyDiv w:val="1"/>
      <w:marLeft w:val="0"/>
      <w:marRight w:val="0"/>
      <w:marTop w:val="0"/>
      <w:marBottom w:val="0"/>
      <w:divBdr>
        <w:top w:val="none" w:sz="0" w:space="0" w:color="auto"/>
        <w:left w:val="none" w:sz="0" w:space="0" w:color="auto"/>
        <w:bottom w:val="none" w:sz="0" w:space="0" w:color="auto"/>
        <w:right w:val="none" w:sz="0" w:space="0" w:color="auto"/>
      </w:divBdr>
      <w:divsChild>
        <w:div w:id="1387532912">
          <w:marLeft w:val="0"/>
          <w:marRight w:val="0"/>
          <w:marTop w:val="0"/>
          <w:marBottom w:val="0"/>
          <w:divBdr>
            <w:top w:val="none" w:sz="0" w:space="0" w:color="auto"/>
            <w:left w:val="none" w:sz="0" w:space="0" w:color="auto"/>
            <w:bottom w:val="dotted" w:sz="6" w:space="4" w:color="DDDDDD"/>
            <w:right w:val="none" w:sz="0" w:space="0" w:color="auto"/>
          </w:divBdr>
          <w:divsChild>
            <w:div w:id="130037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141709">
      <w:bodyDiv w:val="1"/>
      <w:marLeft w:val="0"/>
      <w:marRight w:val="0"/>
      <w:marTop w:val="0"/>
      <w:marBottom w:val="0"/>
      <w:divBdr>
        <w:top w:val="none" w:sz="0" w:space="0" w:color="auto"/>
        <w:left w:val="none" w:sz="0" w:space="0" w:color="auto"/>
        <w:bottom w:val="none" w:sz="0" w:space="0" w:color="auto"/>
        <w:right w:val="none" w:sz="0" w:space="0" w:color="auto"/>
      </w:divBdr>
    </w:div>
    <w:div w:id="1747722380">
      <w:bodyDiv w:val="1"/>
      <w:marLeft w:val="0"/>
      <w:marRight w:val="0"/>
      <w:marTop w:val="0"/>
      <w:marBottom w:val="0"/>
      <w:divBdr>
        <w:top w:val="none" w:sz="0" w:space="0" w:color="auto"/>
        <w:left w:val="none" w:sz="0" w:space="0" w:color="auto"/>
        <w:bottom w:val="none" w:sz="0" w:space="0" w:color="auto"/>
        <w:right w:val="none" w:sz="0" w:space="0" w:color="auto"/>
      </w:divBdr>
      <w:divsChild>
        <w:div w:id="97987496">
          <w:marLeft w:val="0"/>
          <w:marRight w:val="0"/>
          <w:marTop w:val="0"/>
          <w:marBottom w:val="0"/>
          <w:divBdr>
            <w:top w:val="none" w:sz="0" w:space="0" w:color="auto"/>
            <w:left w:val="none" w:sz="0" w:space="0" w:color="auto"/>
            <w:bottom w:val="none" w:sz="0" w:space="0" w:color="auto"/>
            <w:right w:val="none" w:sz="0" w:space="0" w:color="auto"/>
          </w:divBdr>
          <w:divsChild>
            <w:div w:id="323895401">
              <w:marLeft w:val="0"/>
              <w:marRight w:val="0"/>
              <w:marTop w:val="0"/>
              <w:marBottom w:val="150"/>
              <w:divBdr>
                <w:top w:val="none" w:sz="0" w:space="0" w:color="auto"/>
                <w:left w:val="none" w:sz="0" w:space="0" w:color="auto"/>
                <w:bottom w:val="none" w:sz="0" w:space="0" w:color="auto"/>
                <w:right w:val="none" w:sz="0" w:space="0" w:color="auto"/>
              </w:divBdr>
              <w:divsChild>
                <w:div w:id="5204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237388">
          <w:marLeft w:val="0"/>
          <w:marRight w:val="225"/>
          <w:marTop w:val="0"/>
          <w:marBottom w:val="0"/>
          <w:divBdr>
            <w:top w:val="none" w:sz="0" w:space="0" w:color="auto"/>
            <w:left w:val="none" w:sz="0" w:space="0" w:color="auto"/>
            <w:bottom w:val="none" w:sz="0" w:space="0" w:color="auto"/>
            <w:right w:val="none" w:sz="0" w:space="0" w:color="auto"/>
          </w:divBdr>
          <w:divsChild>
            <w:div w:id="1731923731">
              <w:marLeft w:val="0"/>
              <w:marRight w:val="0"/>
              <w:marTop w:val="225"/>
              <w:marBottom w:val="0"/>
              <w:divBdr>
                <w:top w:val="none" w:sz="0" w:space="0" w:color="auto"/>
                <w:left w:val="none" w:sz="0" w:space="0" w:color="auto"/>
                <w:bottom w:val="none" w:sz="0" w:space="0" w:color="auto"/>
                <w:right w:val="none" w:sz="0" w:space="0" w:color="auto"/>
              </w:divBdr>
              <w:divsChild>
                <w:div w:id="180827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991354">
      <w:bodyDiv w:val="1"/>
      <w:marLeft w:val="0"/>
      <w:marRight w:val="0"/>
      <w:marTop w:val="0"/>
      <w:marBottom w:val="0"/>
      <w:divBdr>
        <w:top w:val="none" w:sz="0" w:space="0" w:color="auto"/>
        <w:left w:val="none" w:sz="0" w:space="0" w:color="auto"/>
        <w:bottom w:val="none" w:sz="0" w:space="0" w:color="auto"/>
        <w:right w:val="none" w:sz="0" w:space="0" w:color="auto"/>
      </w:divBdr>
    </w:div>
    <w:div w:id="1748383717">
      <w:bodyDiv w:val="1"/>
      <w:marLeft w:val="0"/>
      <w:marRight w:val="0"/>
      <w:marTop w:val="0"/>
      <w:marBottom w:val="0"/>
      <w:divBdr>
        <w:top w:val="none" w:sz="0" w:space="0" w:color="auto"/>
        <w:left w:val="none" w:sz="0" w:space="0" w:color="auto"/>
        <w:bottom w:val="none" w:sz="0" w:space="0" w:color="auto"/>
        <w:right w:val="none" w:sz="0" w:space="0" w:color="auto"/>
      </w:divBdr>
      <w:divsChild>
        <w:div w:id="1957906950">
          <w:marLeft w:val="0"/>
          <w:marRight w:val="0"/>
          <w:marTop w:val="0"/>
          <w:marBottom w:val="180"/>
          <w:divBdr>
            <w:top w:val="none" w:sz="0" w:space="0" w:color="auto"/>
            <w:left w:val="none" w:sz="0" w:space="0" w:color="auto"/>
            <w:bottom w:val="none" w:sz="0" w:space="0" w:color="auto"/>
            <w:right w:val="none" w:sz="0" w:space="0" w:color="auto"/>
          </w:divBdr>
        </w:div>
        <w:div w:id="1857890155">
          <w:marLeft w:val="0"/>
          <w:marRight w:val="0"/>
          <w:marTop w:val="0"/>
          <w:marBottom w:val="180"/>
          <w:divBdr>
            <w:top w:val="none" w:sz="0" w:space="0" w:color="auto"/>
            <w:left w:val="none" w:sz="0" w:space="0" w:color="auto"/>
            <w:bottom w:val="none" w:sz="0" w:space="0" w:color="auto"/>
            <w:right w:val="none" w:sz="0" w:space="0" w:color="auto"/>
          </w:divBdr>
        </w:div>
        <w:div w:id="1068311070">
          <w:marLeft w:val="0"/>
          <w:marRight w:val="0"/>
          <w:marTop w:val="300"/>
          <w:marBottom w:val="0"/>
          <w:divBdr>
            <w:top w:val="none" w:sz="0" w:space="0" w:color="auto"/>
            <w:left w:val="none" w:sz="0" w:space="0" w:color="auto"/>
            <w:bottom w:val="none" w:sz="0" w:space="0" w:color="auto"/>
            <w:right w:val="none" w:sz="0" w:space="0" w:color="auto"/>
          </w:divBdr>
          <w:divsChild>
            <w:div w:id="1029065438">
              <w:marLeft w:val="0"/>
              <w:marRight w:val="0"/>
              <w:marTop w:val="0"/>
              <w:marBottom w:val="0"/>
              <w:divBdr>
                <w:top w:val="none" w:sz="0" w:space="0" w:color="auto"/>
                <w:left w:val="none" w:sz="0" w:space="0" w:color="auto"/>
                <w:bottom w:val="none" w:sz="0" w:space="0" w:color="auto"/>
                <w:right w:val="none" w:sz="0" w:space="0" w:color="auto"/>
              </w:divBdr>
              <w:divsChild>
                <w:div w:id="21515484">
                  <w:marLeft w:val="0"/>
                  <w:marRight w:val="0"/>
                  <w:marTop w:val="0"/>
                  <w:marBottom w:val="300"/>
                  <w:divBdr>
                    <w:top w:val="none" w:sz="0" w:space="0" w:color="auto"/>
                    <w:left w:val="none" w:sz="0" w:space="0" w:color="auto"/>
                    <w:bottom w:val="none" w:sz="0" w:space="0" w:color="auto"/>
                    <w:right w:val="none" w:sz="0" w:space="0" w:color="auto"/>
                  </w:divBdr>
                  <w:divsChild>
                    <w:div w:id="1507094867">
                      <w:marLeft w:val="-1800"/>
                      <w:marRight w:val="0"/>
                      <w:marTop w:val="75"/>
                      <w:marBottom w:val="0"/>
                      <w:divBdr>
                        <w:top w:val="none" w:sz="0" w:space="0" w:color="auto"/>
                        <w:left w:val="none" w:sz="0" w:space="0" w:color="auto"/>
                        <w:bottom w:val="none" w:sz="0" w:space="0" w:color="auto"/>
                        <w:right w:val="none" w:sz="0" w:space="0" w:color="auto"/>
                      </w:divBdr>
                    </w:div>
                    <w:div w:id="292560695">
                      <w:marLeft w:val="0"/>
                      <w:marRight w:val="0"/>
                      <w:marTop w:val="0"/>
                      <w:marBottom w:val="0"/>
                      <w:divBdr>
                        <w:top w:val="none" w:sz="0" w:space="0" w:color="auto"/>
                        <w:left w:val="none" w:sz="0" w:space="0" w:color="auto"/>
                        <w:bottom w:val="none" w:sz="0" w:space="0" w:color="auto"/>
                        <w:right w:val="none" w:sz="0" w:space="0" w:color="auto"/>
                      </w:divBdr>
                      <w:divsChild>
                        <w:div w:id="35646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762835">
      <w:bodyDiv w:val="1"/>
      <w:marLeft w:val="0"/>
      <w:marRight w:val="0"/>
      <w:marTop w:val="0"/>
      <w:marBottom w:val="0"/>
      <w:divBdr>
        <w:top w:val="none" w:sz="0" w:space="0" w:color="auto"/>
        <w:left w:val="none" w:sz="0" w:space="0" w:color="auto"/>
        <w:bottom w:val="none" w:sz="0" w:space="0" w:color="auto"/>
        <w:right w:val="none" w:sz="0" w:space="0" w:color="auto"/>
      </w:divBdr>
      <w:divsChild>
        <w:div w:id="1137992784">
          <w:marLeft w:val="0"/>
          <w:marRight w:val="0"/>
          <w:marTop w:val="0"/>
          <w:marBottom w:val="0"/>
          <w:divBdr>
            <w:top w:val="none" w:sz="0" w:space="0" w:color="auto"/>
            <w:left w:val="none" w:sz="0" w:space="0" w:color="auto"/>
            <w:bottom w:val="none" w:sz="0" w:space="0" w:color="auto"/>
            <w:right w:val="none" w:sz="0" w:space="0" w:color="auto"/>
          </w:divBdr>
          <w:divsChild>
            <w:div w:id="103379491">
              <w:marLeft w:val="0"/>
              <w:marRight w:val="0"/>
              <w:marTop w:val="0"/>
              <w:marBottom w:val="0"/>
              <w:divBdr>
                <w:top w:val="none" w:sz="0" w:space="0" w:color="auto"/>
                <w:left w:val="none" w:sz="0" w:space="0" w:color="auto"/>
                <w:bottom w:val="none" w:sz="0" w:space="0" w:color="auto"/>
                <w:right w:val="none" w:sz="0" w:space="0" w:color="auto"/>
              </w:divBdr>
              <w:divsChild>
                <w:div w:id="19205728">
                  <w:marLeft w:val="0"/>
                  <w:marRight w:val="0"/>
                  <w:marTop w:val="0"/>
                  <w:marBottom w:val="0"/>
                  <w:divBdr>
                    <w:top w:val="none" w:sz="0" w:space="0" w:color="auto"/>
                    <w:left w:val="none" w:sz="0" w:space="0" w:color="auto"/>
                    <w:bottom w:val="none" w:sz="0" w:space="0" w:color="auto"/>
                    <w:right w:val="none" w:sz="0" w:space="0" w:color="auto"/>
                  </w:divBdr>
                  <w:divsChild>
                    <w:div w:id="1413501831">
                      <w:marLeft w:val="0"/>
                      <w:marRight w:val="0"/>
                      <w:marTop w:val="0"/>
                      <w:marBottom w:val="0"/>
                      <w:divBdr>
                        <w:top w:val="none" w:sz="0" w:space="0" w:color="auto"/>
                        <w:left w:val="none" w:sz="0" w:space="0" w:color="auto"/>
                        <w:bottom w:val="none" w:sz="0" w:space="0" w:color="auto"/>
                        <w:right w:val="none" w:sz="0" w:space="0" w:color="auto"/>
                      </w:divBdr>
                      <w:divsChild>
                        <w:div w:id="778452435">
                          <w:marLeft w:val="0"/>
                          <w:marRight w:val="0"/>
                          <w:marTop w:val="0"/>
                          <w:marBottom w:val="0"/>
                          <w:divBdr>
                            <w:top w:val="none" w:sz="0" w:space="0" w:color="auto"/>
                            <w:left w:val="none" w:sz="0" w:space="0" w:color="auto"/>
                            <w:bottom w:val="none" w:sz="0" w:space="0" w:color="auto"/>
                            <w:right w:val="none" w:sz="0" w:space="0" w:color="auto"/>
                          </w:divBdr>
                          <w:divsChild>
                            <w:div w:id="644044700">
                              <w:marLeft w:val="0"/>
                              <w:marRight w:val="0"/>
                              <w:marTop w:val="0"/>
                              <w:marBottom w:val="0"/>
                              <w:divBdr>
                                <w:top w:val="none" w:sz="0" w:space="0" w:color="auto"/>
                                <w:left w:val="none" w:sz="0" w:space="0" w:color="auto"/>
                                <w:bottom w:val="none" w:sz="0" w:space="0" w:color="auto"/>
                                <w:right w:val="none" w:sz="0" w:space="0" w:color="auto"/>
                              </w:divBdr>
                              <w:divsChild>
                                <w:div w:id="934677139">
                                  <w:marLeft w:val="0"/>
                                  <w:marRight w:val="0"/>
                                  <w:marTop w:val="0"/>
                                  <w:marBottom w:val="0"/>
                                  <w:divBdr>
                                    <w:top w:val="none" w:sz="0" w:space="0" w:color="auto"/>
                                    <w:left w:val="none" w:sz="0" w:space="0" w:color="auto"/>
                                    <w:bottom w:val="none" w:sz="0" w:space="0" w:color="auto"/>
                                    <w:right w:val="none" w:sz="0" w:space="0" w:color="auto"/>
                                  </w:divBdr>
                                  <w:divsChild>
                                    <w:div w:id="583153359">
                                      <w:marLeft w:val="0"/>
                                      <w:marRight w:val="0"/>
                                      <w:marTop w:val="0"/>
                                      <w:marBottom w:val="0"/>
                                      <w:divBdr>
                                        <w:top w:val="none" w:sz="0" w:space="0" w:color="auto"/>
                                        <w:left w:val="none" w:sz="0" w:space="0" w:color="auto"/>
                                        <w:bottom w:val="none" w:sz="0" w:space="0" w:color="auto"/>
                                        <w:right w:val="none" w:sz="0" w:space="0" w:color="auto"/>
                                      </w:divBdr>
                                      <w:divsChild>
                                        <w:div w:id="42454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8845624">
      <w:bodyDiv w:val="1"/>
      <w:marLeft w:val="0"/>
      <w:marRight w:val="0"/>
      <w:marTop w:val="0"/>
      <w:marBottom w:val="0"/>
      <w:divBdr>
        <w:top w:val="none" w:sz="0" w:space="0" w:color="auto"/>
        <w:left w:val="none" w:sz="0" w:space="0" w:color="auto"/>
        <w:bottom w:val="none" w:sz="0" w:space="0" w:color="auto"/>
        <w:right w:val="none" w:sz="0" w:space="0" w:color="auto"/>
      </w:divBdr>
    </w:div>
    <w:div w:id="1749383519">
      <w:bodyDiv w:val="1"/>
      <w:marLeft w:val="0"/>
      <w:marRight w:val="0"/>
      <w:marTop w:val="0"/>
      <w:marBottom w:val="0"/>
      <w:divBdr>
        <w:top w:val="none" w:sz="0" w:space="0" w:color="auto"/>
        <w:left w:val="none" w:sz="0" w:space="0" w:color="auto"/>
        <w:bottom w:val="none" w:sz="0" w:space="0" w:color="auto"/>
        <w:right w:val="none" w:sz="0" w:space="0" w:color="auto"/>
      </w:divBdr>
    </w:div>
    <w:div w:id="1749496491">
      <w:bodyDiv w:val="1"/>
      <w:marLeft w:val="0"/>
      <w:marRight w:val="0"/>
      <w:marTop w:val="0"/>
      <w:marBottom w:val="0"/>
      <w:divBdr>
        <w:top w:val="none" w:sz="0" w:space="0" w:color="auto"/>
        <w:left w:val="none" w:sz="0" w:space="0" w:color="auto"/>
        <w:bottom w:val="none" w:sz="0" w:space="0" w:color="auto"/>
        <w:right w:val="none" w:sz="0" w:space="0" w:color="auto"/>
      </w:divBdr>
      <w:divsChild>
        <w:div w:id="1653758380">
          <w:marLeft w:val="0"/>
          <w:marRight w:val="0"/>
          <w:marTop w:val="0"/>
          <w:marBottom w:val="0"/>
          <w:divBdr>
            <w:top w:val="none" w:sz="0" w:space="0" w:color="auto"/>
            <w:left w:val="none" w:sz="0" w:space="0" w:color="auto"/>
            <w:bottom w:val="none" w:sz="0" w:space="0" w:color="auto"/>
            <w:right w:val="none" w:sz="0" w:space="0" w:color="auto"/>
          </w:divBdr>
          <w:divsChild>
            <w:div w:id="291400757">
              <w:marLeft w:val="0"/>
              <w:marRight w:val="0"/>
              <w:marTop w:val="0"/>
              <w:marBottom w:val="0"/>
              <w:divBdr>
                <w:top w:val="none" w:sz="0" w:space="0" w:color="auto"/>
                <w:left w:val="none" w:sz="0" w:space="0" w:color="auto"/>
                <w:bottom w:val="none" w:sz="0" w:space="0" w:color="auto"/>
                <w:right w:val="none" w:sz="0" w:space="0" w:color="auto"/>
              </w:divBdr>
            </w:div>
          </w:divsChild>
        </w:div>
        <w:div w:id="1612123236">
          <w:marLeft w:val="0"/>
          <w:marRight w:val="0"/>
          <w:marTop w:val="0"/>
          <w:marBottom w:val="0"/>
          <w:divBdr>
            <w:top w:val="none" w:sz="0" w:space="0" w:color="auto"/>
            <w:left w:val="none" w:sz="0" w:space="0" w:color="auto"/>
            <w:bottom w:val="none" w:sz="0" w:space="0" w:color="auto"/>
            <w:right w:val="none" w:sz="0" w:space="0" w:color="auto"/>
          </w:divBdr>
          <w:divsChild>
            <w:div w:id="2135051081">
              <w:marLeft w:val="0"/>
              <w:marRight w:val="0"/>
              <w:marTop w:val="0"/>
              <w:marBottom w:val="0"/>
              <w:divBdr>
                <w:top w:val="none" w:sz="0" w:space="0" w:color="auto"/>
                <w:left w:val="none" w:sz="0" w:space="0" w:color="auto"/>
                <w:bottom w:val="none" w:sz="0" w:space="0" w:color="auto"/>
                <w:right w:val="none" w:sz="0" w:space="0" w:color="auto"/>
              </w:divBdr>
              <w:divsChild>
                <w:div w:id="561405945">
                  <w:marLeft w:val="0"/>
                  <w:marRight w:val="0"/>
                  <w:marTop w:val="0"/>
                  <w:marBottom w:val="0"/>
                  <w:divBdr>
                    <w:top w:val="none" w:sz="0" w:space="0" w:color="auto"/>
                    <w:left w:val="none" w:sz="0" w:space="0" w:color="auto"/>
                    <w:bottom w:val="none" w:sz="0" w:space="0" w:color="auto"/>
                    <w:right w:val="none" w:sz="0" w:space="0" w:color="auto"/>
                  </w:divBdr>
                  <w:divsChild>
                    <w:div w:id="2064088945">
                      <w:marLeft w:val="0"/>
                      <w:marRight w:val="0"/>
                      <w:marTop w:val="0"/>
                      <w:marBottom w:val="300"/>
                      <w:divBdr>
                        <w:top w:val="none" w:sz="0" w:space="0" w:color="auto"/>
                        <w:left w:val="none" w:sz="0" w:space="0" w:color="auto"/>
                        <w:bottom w:val="none" w:sz="0" w:space="0" w:color="auto"/>
                        <w:right w:val="none" w:sz="0" w:space="0" w:color="auto"/>
                      </w:divBdr>
                      <w:divsChild>
                        <w:div w:id="1143233696">
                          <w:marLeft w:val="0"/>
                          <w:marRight w:val="0"/>
                          <w:marTop w:val="0"/>
                          <w:marBottom w:val="120"/>
                          <w:divBdr>
                            <w:top w:val="none" w:sz="0" w:space="0" w:color="auto"/>
                            <w:left w:val="none" w:sz="0" w:space="0" w:color="auto"/>
                            <w:bottom w:val="single" w:sz="12" w:space="6" w:color="BBDEFE"/>
                            <w:right w:val="none" w:sz="0" w:space="0" w:color="auto"/>
                          </w:divBdr>
                        </w:div>
                        <w:div w:id="1301106620">
                          <w:marLeft w:val="0"/>
                          <w:marRight w:val="0"/>
                          <w:marTop w:val="0"/>
                          <w:marBottom w:val="0"/>
                          <w:divBdr>
                            <w:top w:val="none" w:sz="0" w:space="0" w:color="auto"/>
                            <w:left w:val="none" w:sz="0" w:space="0" w:color="auto"/>
                            <w:bottom w:val="none" w:sz="0" w:space="0" w:color="auto"/>
                            <w:right w:val="none" w:sz="0" w:space="0" w:color="auto"/>
                          </w:divBdr>
                          <w:divsChild>
                            <w:div w:id="255872511">
                              <w:marLeft w:val="0"/>
                              <w:marRight w:val="0"/>
                              <w:marTop w:val="0"/>
                              <w:marBottom w:val="0"/>
                              <w:divBdr>
                                <w:top w:val="none" w:sz="0" w:space="0" w:color="auto"/>
                                <w:left w:val="none" w:sz="0" w:space="0" w:color="auto"/>
                                <w:bottom w:val="none" w:sz="0" w:space="0" w:color="auto"/>
                                <w:right w:val="none" w:sz="0" w:space="0" w:color="auto"/>
                              </w:divBdr>
                              <w:divsChild>
                                <w:div w:id="314844911">
                                  <w:marLeft w:val="0"/>
                                  <w:marRight w:val="600"/>
                                  <w:marTop w:val="0"/>
                                  <w:marBottom w:val="0"/>
                                  <w:divBdr>
                                    <w:top w:val="none" w:sz="0" w:space="0" w:color="auto"/>
                                    <w:left w:val="none" w:sz="0" w:space="0" w:color="auto"/>
                                    <w:bottom w:val="none" w:sz="0" w:space="0" w:color="auto"/>
                                    <w:right w:val="none" w:sz="0" w:space="0" w:color="auto"/>
                                  </w:divBdr>
                                  <w:divsChild>
                                    <w:div w:id="1386610693">
                                      <w:marLeft w:val="0"/>
                                      <w:marRight w:val="0"/>
                                      <w:marTop w:val="0"/>
                                      <w:marBottom w:val="120"/>
                                      <w:divBdr>
                                        <w:top w:val="none" w:sz="0" w:space="0" w:color="auto"/>
                                        <w:left w:val="none" w:sz="0" w:space="0" w:color="auto"/>
                                        <w:bottom w:val="single" w:sz="6" w:space="6" w:color="EEEEEE"/>
                                        <w:right w:val="none" w:sz="0" w:space="0" w:color="auto"/>
                                      </w:divBdr>
                                      <w:divsChild>
                                        <w:div w:id="196167313">
                                          <w:marLeft w:val="0"/>
                                          <w:marRight w:val="0"/>
                                          <w:marTop w:val="0"/>
                                          <w:marBottom w:val="0"/>
                                          <w:divBdr>
                                            <w:top w:val="none" w:sz="0" w:space="0" w:color="auto"/>
                                            <w:left w:val="none" w:sz="0" w:space="0" w:color="auto"/>
                                            <w:bottom w:val="none" w:sz="0" w:space="0" w:color="auto"/>
                                            <w:right w:val="none" w:sz="0" w:space="0" w:color="auto"/>
                                          </w:divBdr>
                                        </w:div>
                                      </w:divsChild>
                                    </w:div>
                                    <w:div w:id="1279490252">
                                      <w:marLeft w:val="0"/>
                                      <w:marRight w:val="0"/>
                                      <w:marTop w:val="0"/>
                                      <w:marBottom w:val="120"/>
                                      <w:divBdr>
                                        <w:top w:val="none" w:sz="0" w:space="0" w:color="auto"/>
                                        <w:left w:val="none" w:sz="0" w:space="0" w:color="auto"/>
                                        <w:bottom w:val="single" w:sz="6" w:space="6" w:color="EEEEEE"/>
                                        <w:right w:val="none" w:sz="0" w:space="0" w:color="auto"/>
                                      </w:divBdr>
                                      <w:divsChild>
                                        <w:div w:id="1071729668">
                                          <w:marLeft w:val="0"/>
                                          <w:marRight w:val="0"/>
                                          <w:marTop w:val="0"/>
                                          <w:marBottom w:val="0"/>
                                          <w:divBdr>
                                            <w:top w:val="none" w:sz="0" w:space="0" w:color="auto"/>
                                            <w:left w:val="none" w:sz="0" w:space="0" w:color="auto"/>
                                            <w:bottom w:val="none" w:sz="0" w:space="0" w:color="auto"/>
                                            <w:right w:val="none" w:sz="0" w:space="0" w:color="auto"/>
                                          </w:divBdr>
                                        </w:div>
                                      </w:divsChild>
                                    </w:div>
                                    <w:div w:id="16393986">
                                      <w:marLeft w:val="0"/>
                                      <w:marRight w:val="0"/>
                                      <w:marTop w:val="0"/>
                                      <w:marBottom w:val="120"/>
                                      <w:divBdr>
                                        <w:top w:val="none" w:sz="0" w:space="0" w:color="auto"/>
                                        <w:left w:val="none" w:sz="0" w:space="0" w:color="auto"/>
                                        <w:bottom w:val="single" w:sz="6" w:space="6" w:color="EEEEEE"/>
                                        <w:right w:val="none" w:sz="0" w:space="0" w:color="auto"/>
                                      </w:divBdr>
                                      <w:divsChild>
                                        <w:div w:id="1514874833">
                                          <w:marLeft w:val="0"/>
                                          <w:marRight w:val="0"/>
                                          <w:marTop w:val="0"/>
                                          <w:marBottom w:val="0"/>
                                          <w:divBdr>
                                            <w:top w:val="none" w:sz="0" w:space="0" w:color="auto"/>
                                            <w:left w:val="none" w:sz="0" w:space="0" w:color="auto"/>
                                            <w:bottom w:val="none" w:sz="0" w:space="0" w:color="auto"/>
                                            <w:right w:val="none" w:sz="0" w:space="0" w:color="auto"/>
                                          </w:divBdr>
                                        </w:div>
                                      </w:divsChild>
                                    </w:div>
                                    <w:div w:id="1070885737">
                                      <w:marLeft w:val="0"/>
                                      <w:marRight w:val="0"/>
                                      <w:marTop w:val="0"/>
                                      <w:marBottom w:val="120"/>
                                      <w:divBdr>
                                        <w:top w:val="none" w:sz="0" w:space="0" w:color="auto"/>
                                        <w:left w:val="none" w:sz="0" w:space="0" w:color="auto"/>
                                        <w:bottom w:val="single" w:sz="6" w:space="6" w:color="EEEEEE"/>
                                        <w:right w:val="none" w:sz="0" w:space="0" w:color="auto"/>
                                      </w:divBdr>
                                      <w:divsChild>
                                        <w:div w:id="441999358">
                                          <w:marLeft w:val="0"/>
                                          <w:marRight w:val="0"/>
                                          <w:marTop w:val="0"/>
                                          <w:marBottom w:val="0"/>
                                          <w:divBdr>
                                            <w:top w:val="none" w:sz="0" w:space="0" w:color="auto"/>
                                            <w:left w:val="none" w:sz="0" w:space="0" w:color="auto"/>
                                            <w:bottom w:val="none" w:sz="0" w:space="0" w:color="auto"/>
                                            <w:right w:val="none" w:sz="0" w:space="0" w:color="auto"/>
                                          </w:divBdr>
                                        </w:div>
                                      </w:divsChild>
                                    </w:div>
                                    <w:div w:id="423386035">
                                      <w:marLeft w:val="0"/>
                                      <w:marRight w:val="0"/>
                                      <w:marTop w:val="0"/>
                                      <w:marBottom w:val="120"/>
                                      <w:divBdr>
                                        <w:top w:val="none" w:sz="0" w:space="0" w:color="auto"/>
                                        <w:left w:val="none" w:sz="0" w:space="0" w:color="auto"/>
                                        <w:bottom w:val="none" w:sz="0" w:space="0" w:color="auto"/>
                                        <w:right w:val="none" w:sz="0" w:space="0" w:color="auto"/>
                                      </w:divBdr>
                                      <w:divsChild>
                                        <w:div w:id="94145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975252">
                                  <w:marLeft w:val="0"/>
                                  <w:marRight w:val="600"/>
                                  <w:marTop w:val="0"/>
                                  <w:marBottom w:val="0"/>
                                  <w:divBdr>
                                    <w:top w:val="none" w:sz="0" w:space="0" w:color="auto"/>
                                    <w:left w:val="none" w:sz="0" w:space="0" w:color="auto"/>
                                    <w:bottom w:val="none" w:sz="0" w:space="0" w:color="auto"/>
                                    <w:right w:val="none" w:sz="0" w:space="0" w:color="auto"/>
                                  </w:divBdr>
                                  <w:divsChild>
                                    <w:div w:id="1130707384">
                                      <w:marLeft w:val="0"/>
                                      <w:marRight w:val="0"/>
                                      <w:marTop w:val="0"/>
                                      <w:marBottom w:val="120"/>
                                      <w:divBdr>
                                        <w:top w:val="none" w:sz="0" w:space="0" w:color="auto"/>
                                        <w:left w:val="none" w:sz="0" w:space="0" w:color="auto"/>
                                        <w:bottom w:val="single" w:sz="6" w:space="6" w:color="EEEEEE"/>
                                        <w:right w:val="none" w:sz="0" w:space="0" w:color="auto"/>
                                      </w:divBdr>
                                      <w:divsChild>
                                        <w:div w:id="939799851">
                                          <w:marLeft w:val="0"/>
                                          <w:marRight w:val="0"/>
                                          <w:marTop w:val="0"/>
                                          <w:marBottom w:val="0"/>
                                          <w:divBdr>
                                            <w:top w:val="none" w:sz="0" w:space="0" w:color="auto"/>
                                            <w:left w:val="none" w:sz="0" w:space="0" w:color="auto"/>
                                            <w:bottom w:val="none" w:sz="0" w:space="0" w:color="auto"/>
                                            <w:right w:val="none" w:sz="0" w:space="0" w:color="auto"/>
                                          </w:divBdr>
                                        </w:div>
                                      </w:divsChild>
                                    </w:div>
                                    <w:div w:id="452795824">
                                      <w:marLeft w:val="0"/>
                                      <w:marRight w:val="0"/>
                                      <w:marTop w:val="0"/>
                                      <w:marBottom w:val="120"/>
                                      <w:divBdr>
                                        <w:top w:val="none" w:sz="0" w:space="0" w:color="auto"/>
                                        <w:left w:val="none" w:sz="0" w:space="0" w:color="auto"/>
                                        <w:bottom w:val="single" w:sz="6" w:space="6" w:color="EEEEEE"/>
                                        <w:right w:val="none" w:sz="0" w:space="0" w:color="auto"/>
                                      </w:divBdr>
                                      <w:divsChild>
                                        <w:div w:id="1767190235">
                                          <w:marLeft w:val="0"/>
                                          <w:marRight w:val="0"/>
                                          <w:marTop w:val="0"/>
                                          <w:marBottom w:val="0"/>
                                          <w:divBdr>
                                            <w:top w:val="none" w:sz="0" w:space="0" w:color="auto"/>
                                            <w:left w:val="none" w:sz="0" w:space="0" w:color="auto"/>
                                            <w:bottom w:val="none" w:sz="0" w:space="0" w:color="auto"/>
                                            <w:right w:val="none" w:sz="0" w:space="0" w:color="auto"/>
                                          </w:divBdr>
                                        </w:div>
                                      </w:divsChild>
                                    </w:div>
                                    <w:div w:id="115611424">
                                      <w:marLeft w:val="0"/>
                                      <w:marRight w:val="0"/>
                                      <w:marTop w:val="0"/>
                                      <w:marBottom w:val="120"/>
                                      <w:divBdr>
                                        <w:top w:val="none" w:sz="0" w:space="0" w:color="auto"/>
                                        <w:left w:val="none" w:sz="0" w:space="0" w:color="auto"/>
                                        <w:bottom w:val="single" w:sz="6" w:space="6" w:color="EEEEEE"/>
                                        <w:right w:val="none" w:sz="0" w:space="0" w:color="auto"/>
                                      </w:divBdr>
                                      <w:divsChild>
                                        <w:div w:id="10500967">
                                          <w:marLeft w:val="0"/>
                                          <w:marRight w:val="0"/>
                                          <w:marTop w:val="0"/>
                                          <w:marBottom w:val="0"/>
                                          <w:divBdr>
                                            <w:top w:val="none" w:sz="0" w:space="0" w:color="auto"/>
                                            <w:left w:val="none" w:sz="0" w:space="0" w:color="auto"/>
                                            <w:bottom w:val="none" w:sz="0" w:space="0" w:color="auto"/>
                                            <w:right w:val="none" w:sz="0" w:space="0" w:color="auto"/>
                                          </w:divBdr>
                                        </w:div>
                                      </w:divsChild>
                                    </w:div>
                                    <w:div w:id="1226990957">
                                      <w:marLeft w:val="0"/>
                                      <w:marRight w:val="0"/>
                                      <w:marTop w:val="0"/>
                                      <w:marBottom w:val="120"/>
                                      <w:divBdr>
                                        <w:top w:val="none" w:sz="0" w:space="0" w:color="auto"/>
                                        <w:left w:val="none" w:sz="0" w:space="0" w:color="auto"/>
                                        <w:bottom w:val="single" w:sz="6" w:space="6" w:color="EEEEEE"/>
                                        <w:right w:val="none" w:sz="0" w:space="0" w:color="auto"/>
                                      </w:divBdr>
                                      <w:divsChild>
                                        <w:div w:id="894002458">
                                          <w:marLeft w:val="0"/>
                                          <w:marRight w:val="0"/>
                                          <w:marTop w:val="0"/>
                                          <w:marBottom w:val="0"/>
                                          <w:divBdr>
                                            <w:top w:val="none" w:sz="0" w:space="0" w:color="auto"/>
                                            <w:left w:val="none" w:sz="0" w:space="0" w:color="auto"/>
                                            <w:bottom w:val="none" w:sz="0" w:space="0" w:color="auto"/>
                                            <w:right w:val="none" w:sz="0" w:space="0" w:color="auto"/>
                                          </w:divBdr>
                                        </w:div>
                                      </w:divsChild>
                                    </w:div>
                                    <w:div w:id="1604072175">
                                      <w:marLeft w:val="0"/>
                                      <w:marRight w:val="0"/>
                                      <w:marTop w:val="0"/>
                                      <w:marBottom w:val="120"/>
                                      <w:divBdr>
                                        <w:top w:val="none" w:sz="0" w:space="0" w:color="auto"/>
                                        <w:left w:val="none" w:sz="0" w:space="0" w:color="auto"/>
                                        <w:bottom w:val="none" w:sz="0" w:space="0" w:color="auto"/>
                                        <w:right w:val="none" w:sz="0" w:space="0" w:color="auto"/>
                                      </w:divBdr>
                                      <w:divsChild>
                                        <w:div w:id="94385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2433105">
                      <w:marLeft w:val="0"/>
                      <w:marRight w:val="0"/>
                      <w:marTop w:val="0"/>
                      <w:marBottom w:val="300"/>
                      <w:divBdr>
                        <w:top w:val="none" w:sz="0" w:space="0" w:color="auto"/>
                        <w:left w:val="none" w:sz="0" w:space="0" w:color="auto"/>
                        <w:bottom w:val="none" w:sz="0" w:space="0" w:color="auto"/>
                        <w:right w:val="none" w:sz="0" w:space="0" w:color="auto"/>
                      </w:divBdr>
                      <w:divsChild>
                        <w:div w:id="848956689">
                          <w:marLeft w:val="0"/>
                          <w:marRight w:val="0"/>
                          <w:marTop w:val="45"/>
                          <w:marBottom w:val="0"/>
                          <w:divBdr>
                            <w:top w:val="none" w:sz="0" w:space="0" w:color="auto"/>
                            <w:left w:val="none" w:sz="0" w:space="0" w:color="auto"/>
                            <w:bottom w:val="none" w:sz="0" w:space="0" w:color="auto"/>
                            <w:right w:val="none" w:sz="0" w:space="0" w:color="auto"/>
                          </w:divBdr>
                          <w:divsChild>
                            <w:div w:id="1873106672">
                              <w:marLeft w:val="0"/>
                              <w:marRight w:val="0"/>
                              <w:marTop w:val="0"/>
                              <w:marBottom w:val="0"/>
                              <w:divBdr>
                                <w:top w:val="none" w:sz="0" w:space="0" w:color="auto"/>
                                <w:left w:val="none" w:sz="0" w:space="0" w:color="auto"/>
                                <w:bottom w:val="none" w:sz="0" w:space="0" w:color="auto"/>
                                <w:right w:val="none" w:sz="0" w:space="0" w:color="auto"/>
                              </w:divBdr>
                              <w:divsChild>
                                <w:div w:id="1536700222">
                                  <w:marLeft w:val="0"/>
                                  <w:marRight w:val="0"/>
                                  <w:marTop w:val="0"/>
                                  <w:marBottom w:val="150"/>
                                  <w:divBdr>
                                    <w:top w:val="none" w:sz="0" w:space="0" w:color="auto"/>
                                    <w:left w:val="none" w:sz="0" w:space="0" w:color="auto"/>
                                    <w:bottom w:val="none" w:sz="0" w:space="0" w:color="auto"/>
                                    <w:right w:val="none" w:sz="0" w:space="0" w:color="auto"/>
                                  </w:divBdr>
                                  <w:divsChild>
                                    <w:div w:id="1949510501">
                                      <w:marLeft w:val="0"/>
                                      <w:marRight w:val="0"/>
                                      <w:marTop w:val="0"/>
                                      <w:marBottom w:val="0"/>
                                      <w:divBdr>
                                        <w:top w:val="none" w:sz="0" w:space="0" w:color="auto"/>
                                        <w:left w:val="none" w:sz="0" w:space="0" w:color="auto"/>
                                        <w:bottom w:val="none" w:sz="0" w:space="0" w:color="auto"/>
                                        <w:right w:val="none" w:sz="0" w:space="0" w:color="auto"/>
                                      </w:divBdr>
                                      <w:divsChild>
                                        <w:div w:id="2085182880">
                                          <w:marLeft w:val="0"/>
                                          <w:marRight w:val="0"/>
                                          <w:marTop w:val="100"/>
                                          <w:marBottom w:val="100"/>
                                          <w:divBdr>
                                            <w:top w:val="single" w:sz="2" w:space="0" w:color="DFDFDF"/>
                                            <w:left w:val="single" w:sz="2" w:space="0" w:color="DFDFDF"/>
                                            <w:bottom w:val="single" w:sz="2" w:space="0" w:color="DFDFDF"/>
                                            <w:right w:val="single" w:sz="2" w:space="0" w:color="DFDFDF"/>
                                          </w:divBdr>
                                          <w:divsChild>
                                            <w:div w:id="76174925">
                                              <w:marLeft w:val="0"/>
                                              <w:marRight w:val="0"/>
                                              <w:marTop w:val="0"/>
                                              <w:marBottom w:val="0"/>
                                              <w:divBdr>
                                                <w:top w:val="none" w:sz="0" w:space="0" w:color="auto"/>
                                                <w:left w:val="none" w:sz="0" w:space="0" w:color="auto"/>
                                                <w:bottom w:val="none" w:sz="0" w:space="0" w:color="auto"/>
                                                <w:right w:val="none" w:sz="0" w:space="0" w:color="auto"/>
                                              </w:divBdr>
                                              <w:divsChild>
                                                <w:div w:id="683241640">
                                                  <w:marLeft w:val="0"/>
                                                  <w:marRight w:val="0"/>
                                                  <w:marTop w:val="0"/>
                                                  <w:marBottom w:val="45"/>
                                                  <w:divBdr>
                                                    <w:top w:val="single" w:sz="2" w:space="0" w:color="A9A9A9"/>
                                                    <w:left w:val="single" w:sz="2" w:space="0" w:color="A9A9A9"/>
                                                    <w:bottom w:val="single" w:sz="2" w:space="0" w:color="A9A9A9"/>
                                                    <w:right w:val="single" w:sz="2" w:space="0" w:color="A9A9A9"/>
                                                  </w:divBdr>
                                                  <w:divsChild>
                                                    <w:div w:id="1749498138">
                                                      <w:marLeft w:val="0"/>
                                                      <w:marRight w:val="0"/>
                                                      <w:marTop w:val="0"/>
                                                      <w:marBottom w:val="0"/>
                                                      <w:divBdr>
                                                        <w:top w:val="none" w:sz="0" w:space="0" w:color="auto"/>
                                                        <w:left w:val="none" w:sz="0" w:space="0" w:color="auto"/>
                                                        <w:bottom w:val="none" w:sz="0" w:space="0" w:color="auto"/>
                                                        <w:right w:val="none" w:sz="0" w:space="0" w:color="auto"/>
                                                      </w:divBdr>
                                                      <w:divsChild>
                                                        <w:div w:id="486484027">
                                                          <w:marLeft w:val="0"/>
                                                          <w:marRight w:val="0"/>
                                                          <w:marTop w:val="0"/>
                                                          <w:marBottom w:val="0"/>
                                                          <w:divBdr>
                                                            <w:top w:val="single" w:sz="2" w:space="0" w:color="E4E4E4"/>
                                                            <w:left w:val="single" w:sz="2" w:space="0" w:color="E4E4E4"/>
                                                            <w:bottom w:val="single" w:sz="2" w:space="0" w:color="E4E4E4"/>
                                                            <w:right w:val="single" w:sz="2" w:space="0" w:color="E4E4E4"/>
                                                          </w:divBdr>
                                                        </w:div>
                                                        <w:div w:id="1349063748">
                                                          <w:marLeft w:val="0"/>
                                                          <w:marRight w:val="0"/>
                                                          <w:marTop w:val="0"/>
                                                          <w:marBottom w:val="0"/>
                                                          <w:divBdr>
                                                            <w:top w:val="single" w:sz="2" w:space="0" w:color="E4E4E4"/>
                                                            <w:left w:val="single" w:sz="2" w:space="0" w:color="E4E4E4"/>
                                                            <w:bottom w:val="single" w:sz="2" w:space="0" w:color="E4E4E4"/>
                                                            <w:right w:val="single" w:sz="2" w:space="0" w:color="E4E4E4"/>
                                                          </w:divBdr>
                                                        </w:div>
                                                        <w:div w:id="276059771">
                                                          <w:marLeft w:val="0"/>
                                                          <w:marRight w:val="0"/>
                                                          <w:marTop w:val="0"/>
                                                          <w:marBottom w:val="0"/>
                                                          <w:divBdr>
                                                            <w:top w:val="single" w:sz="2" w:space="0" w:color="E4E4E4"/>
                                                            <w:left w:val="single" w:sz="2" w:space="0" w:color="E4E4E4"/>
                                                            <w:bottom w:val="single" w:sz="2" w:space="0" w:color="E4E4E4"/>
                                                            <w:right w:val="single" w:sz="2" w:space="0" w:color="E4E4E4"/>
                                                          </w:divBdr>
                                                          <w:divsChild>
                                                            <w:div w:id="1658220819">
                                                              <w:marLeft w:val="0"/>
                                                              <w:marRight w:val="0"/>
                                                              <w:marTop w:val="0"/>
                                                              <w:marBottom w:val="0"/>
                                                              <w:divBdr>
                                                                <w:top w:val="none" w:sz="0" w:space="0" w:color="auto"/>
                                                                <w:left w:val="none" w:sz="0" w:space="0" w:color="auto"/>
                                                                <w:bottom w:val="none" w:sz="0" w:space="0" w:color="auto"/>
                                                                <w:right w:val="none" w:sz="0" w:space="0" w:color="auto"/>
                                                              </w:divBdr>
                                                            </w:div>
                                                          </w:divsChild>
                                                        </w:div>
                                                        <w:div w:id="2142381054">
                                                          <w:marLeft w:val="0"/>
                                                          <w:marRight w:val="0"/>
                                                          <w:marTop w:val="0"/>
                                                          <w:marBottom w:val="0"/>
                                                          <w:divBdr>
                                                            <w:top w:val="single" w:sz="2" w:space="0" w:color="E4E4E4"/>
                                                            <w:left w:val="single" w:sz="2" w:space="0" w:color="E4E4E4"/>
                                                            <w:bottom w:val="single" w:sz="2" w:space="0" w:color="E4E4E4"/>
                                                            <w:right w:val="single" w:sz="2" w:space="0" w:color="E4E4E4"/>
                                                          </w:divBdr>
                                                        </w:div>
                                                        <w:div w:id="1334186218">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408918871">
                              <w:marLeft w:val="0"/>
                              <w:marRight w:val="0"/>
                              <w:marTop w:val="0"/>
                              <w:marBottom w:val="330"/>
                              <w:divBdr>
                                <w:top w:val="none" w:sz="0" w:space="0" w:color="auto"/>
                                <w:left w:val="none" w:sz="0" w:space="0" w:color="auto"/>
                                <w:bottom w:val="none" w:sz="0" w:space="0" w:color="auto"/>
                                <w:right w:val="none" w:sz="0" w:space="0" w:color="auto"/>
                              </w:divBdr>
                              <w:divsChild>
                                <w:div w:id="967592140">
                                  <w:marLeft w:val="0"/>
                                  <w:marRight w:val="0"/>
                                  <w:marTop w:val="0"/>
                                  <w:marBottom w:val="0"/>
                                  <w:divBdr>
                                    <w:top w:val="none" w:sz="0" w:space="0" w:color="auto"/>
                                    <w:left w:val="none" w:sz="0" w:space="0" w:color="auto"/>
                                    <w:bottom w:val="none" w:sz="0" w:space="0" w:color="auto"/>
                                    <w:right w:val="none" w:sz="0" w:space="0" w:color="auto"/>
                                  </w:divBdr>
                                  <w:divsChild>
                                    <w:div w:id="1046561655">
                                      <w:marLeft w:val="0"/>
                                      <w:marRight w:val="0"/>
                                      <w:marTop w:val="0"/>
                                      <w:marBottom w:val="0"/>
                                      <w:divBdr>
                                        <w:top w:val="single" w:sz="2" w:space="0" w:color="DFDFDF"/>
                                        <w:left w:val="single" w:sz="2" w:space="0" w:color="DFDFDF"/>
                                        <w:bottom w:val="single" w:sz="2" w:space="0" w:color="DFDFDF"/>
                                        <w:right w:val="single" w:sz="2" w:space="0" w:color="DFDFDF"/>
                                      </w:divBdr>
                                      <w:divsChild>
                                        <w:div w:id="1551653037">
                                          <w:marLeft w:val="0"/>
                                          <w:marRight w:val="0"/>
                                          <w:marTop w:val="0"/>
                                          <w:marBottom w:val="270"/>
                                          <w:divBdr>
                                            <w:top w:val="none" w:sz="0" w:space="0" w:color="auto"/>
                                            <w:left w:val="none" w:sz="0" w:space="0" w:color="auto"/>
                                            <w:bottom w:val="single" w:sz="12" w:space="5" w:color="DADADA"/>
                                            <w:right w:val="none" w:sz="0" w:space="0" w:color="auto"/>
                                          </w:divBdr>
                                          <w:divsChild>
                                            <w:div w:id="1588147246">
                                              <w:marLeft w:val="0"/>
                                              <w:marRight w:val="0"/>
                                              <w:marTop w:val="0"/>
                                              <w:marBottom w:val="0"/>
                                              <w:divBdr>
                                                <w:top w:val="none" w:sz="0" w:space="0" w:color="auto"/>
                                                <w:left w:val="none" w:sz="0" w:space="0" w:color="auto"/>
                                                <w:bottom w:val="none" w:sz="0" w:space="0" w:color="auto"/>
                                                <w:right w:val="none" w:sz="0" w:space="0" w:color="auto"/>
                                              </w:divBdr>
                                            </w:div>
                                          </w:divsChild>
                                        </w:div>
                                        <w:div w:id="1386175613">
                                          <w:marLeft w:val="-90"/>
                                          <w:marRight w:val="0"/>
                                          <w:marTop w:val="0"/>
                                          <w:marBottom w:val="0"/>
                                          <w:divBdr>
                                            <w:top w:val="none" w:sz="0" w:space="0" w:color="auto"/>
                                            <w:left w:val="none" w:sz="0" w:space="0" w:color="auto"/>
                                            <w:bottom w:val="none" w:sz="0" w:space="0" w:color="auto"/>
                                            <w:right w:val="none" w:sz="0" w:space="0" w:color="auto"/>
                                          </w:divBdr>
                                          <w:divsChild>
                                            <w:div w:id="1501120569">
                                              <w:marLeft w:val="0"/>
                                              <w:marRight w:val="0"/>
                                              <w:marTop w:val="0"/>
                                              <w:marBottom w:val="45"/>
                                              <w:divBdr>
                                                <w:top w:val="single" w:sz="2" w:space="0" w:color="A9A9A9"/>
                                                <w:left w:val="single" w:sz="2" w:space="0" w:color="A9A9A9"/>
                                                <w:bottom w:val="single" w:sz="2" w:space="0" w:color="A9A9A9"/>
                                                <w:right w:val="single" w:sz="2" w:space="0" w:color="A9A9A9"/>
                                              </w:divBdr>
                                              <w:divsChild>
                                                <w:div w:id="1234703721">
                                                  <w:marLeft w:val="0"/>
                                                  <w:marRight w:val="0"/>
                                                  <w:marTop w:val="0"/>
                                                  <w:marBottom w:val="0"/>
                                                  <w:divBdr>
                                                    <w:top w:val="none" w:sz="0" w:space="0" w:color="auto"/>
                                                    <w:left w:val="none" w:sz="0" w:space="0" w:color="auto"/>
                                                    <w:bottom w:val="none" w:sz="0" w:space="0" w:color="auto"/>
                                                    <w:right w:val="none" w:sz="0" w:space="0" w:color="auto"/>
                                                  </w:divBdr>
                                                  <w:divsChild>
                                                    <w:div w:id="613289096">
                                                      <w:marLeft w:val="92"/>
                                                      <w:marRight w:val="0"/>
                                                      <w:marTop w:val="0"/>
                                                      <w:marBottom w:val="150"/>
                                                      <w:divBdr>
                                                        <w:top w:val="single" w:sz="2" w:space="0" w:color="E4E4E4"/>
                                                        <w:left w:val="single" w:sz="2" w:space="0" w:color="E4E4E4"/>
                                                        <w:bottom w:val="single" w:sz="2" w:space="0" w:color="E4E4E4"/>
                                                        <w:right w:val="single" w:sz="2" w:space="0" w:color="E4E4E4"/>
                                                      </w:divBdr>
                                                      <w:divsChild>
                                                        <w:div w:id="193169147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428848">
                              <w:marLeft w:val="0"/>
                              <w:marRight w:val="0"/>
                              <w:marTop w:val="0"/>
                              <w:marBottom w:val="330"/>
                              <w:divBdr>
                                <w:top w:val="none" w:sz="0" w:space="0" w:color="auto"/>
                                <w:left w:val="none" w:sz="0" w:space="0" w:color="auto"/>
                                <w:bottom w:val="none" w:sz="0" w:space="0" w:color="auto"/>
                                <w:right w:val="none" w:sz="0" w:space="0" w:color="auto"/>
                              </w:divBdr>
                              <w:divsChild>
                                <w:div w:id="204028156">
                                  <w:marLeft w:val="0"/>
                                  <w:marRight w:val="0"/>
                                  <w:marTop w:val="0"/>
                                  <w:marBottom w:val="0"/>
                                  <w:divBdr>
                                    <w:top w:val="none" w:sz="0" w:space="0" w:color="auto"/>
                                    <w:left w:val="none" w:sz="0" w:space="0" w:color="auto"/>
                                    <w:bottom w:val="none" w:sz="0" w:space="0" w:color="auto"/>
                                    <w:right w:val="none" w:sz="0" w:space="0" w:color="auto"/>
                                  </w:divBdr>
                                  <w:divsChild>
                                    <w:div w:id="1405300896">
                                      <w:marLeft w:val="0"/>
                                      <w:marRight w:val="0"/>
                                      <w:marTop w:val="0"/>
                                      <w:marBottom w:val="0"/>
                                      <w:divBdr>
                                        <w:top w:val="single" w:sz="2" w:space="0" w:color="DFDFDF"/>
                                        <w:left w:val="single" w:sz="2" w:space="0" w:color="DFDFDF"/>
                                        <w:bottom w:val="single" w:sz="2" w:space="0" w:color="DFDFDF"/>
                                        <w:right w:val="single" w:sz="2" w:space="0" w:color="DFDFDF"/>
                                      </w:divBdr>
                                      <w:divsChild>
                                        <w:div w:id="35545998">
                                          <w:marLeft w:val="-90"/>
                                          <w:marRight w:val="0"/>
                                          <w:marTop w:val="0"/>
                                          <w:marBottom w:val="0"/>
                                          <w:divBdr>
                                            <w:top w:val="none" w:sz="0" w:space="0" w:color="auto"/>
                                            <w:left w:val="none" w:sz="0" w:space="0" w:color="auto"/>
                                            <w:bottom w:val="none" w:sz="0" w:space="0" w:color="auto"/>
                                            <w:right w:val="none" w:sz="0" w:space="0" w:color="auto"/>
                                          </w:divBdr>
                                          <w:divsChild>
                                            <w:div w:id="1393578860">
                                              <w:marLeft w:val="0"/>
                                              <w:marRight w:val="0"/>
                                              <w:marTop w:val="0"/>
                                              <w:marBottom w:val="45"/>
                                              <w:divBdr>
                                                <w:top w:val="single" w:sz="2" w:space="0" w:color="A9A9A9"/>
                                                <w:left w:val="single" w:sz="2" w:space="0" w:color="A9A9A9"/>
                                                <w:bottom w:val="single" w:sz="2" w:space="0" w:color="A9A9A9"/>
                                                <w:right w:val="single" w:sz="2" w:space="0" w:color="A9A9A9"/>
                                              </w:divBdr>
                                              <w:divsChild>
                                                <w:div w:id="657731860">
                                                  <w:marLeft w:val="0"/>
                                                  <w:marRight w:val="0"/>
                                                  <w:marTop w:val="0"/>
                                                  <w:marBottom w:val="0"/>
                                                  <w:divBdr>
                                                    <w:top w:val="none" w:sz="0" w:space="0" w:color="auto"/>
                                                    <w:left w:val="none" w:sz="0" w:space="0" w:color="auto"/>
                                                    <w:bottom w:val="none" w:sz="0" w:space="0" w:color="auto"/>
                                                    <w:right w:val="none" w:sz="0" w:space="0" w:color="auto"/>
                                                  </w:divBdr>
                                                  <w:divsChild>
                                                    <w:div w:id="1570529768">
                                                      <w:marLeft w:val="92"/>
                                                      <w:marRight w:val="0"/>
                                                      <w:marTop w:val="0"/>
                                                      <w:marBottom w:val="150"/>
                                                      <w:divBdr>
                                                        <w:top w:val="single" w:sz="2" w:space="0" w:color="E4E4E4"/>
                                                        <w:left w:val="single" w:sz="2" w:space="0" w:color="E4E4E4"/>
                                                        <w:bottom w:val="single" w:sz="2" w:space="0" w:color="E4E4E4"/>
                                                        <w:right w:val="single" w:sz="2" w:space="0" w:color="E4E4E4"/>
                                                      </w:divBdr>
                                                      <w:divsChild>
                                                        <w:div w:id="945305993">
                                                          <w:marLeft w:val="0"/>
                                                          <w:marRight w:val="0"/>
                                                          <w:marTop w:val="0"/>
                                                          <w:marBottom w:val="0"/>
                                                          <w:divBdr>
                                                            <w:top w:val="none" w:sz="0" w:space="0" w:color="auto"/>
                                                            <w:left w:val="none" w:sz="0" w:space="0" w:color="auto"/>
                                                            <w:bottom w:val="none" w:sz="0" w:space="0" w:color="auto"/>
                                                            <w:right w:val="none" w:sz="0" w:space="0" w:color="auto"/>
                                                          </w:divBdr>
                                                        </w:div>
                                                        <w:div w:id="1478838313">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1850010">
                              <w:marLeft w:val="0"/>
                              <w:marRight w:val="0"/>
                              <w:marTop w:val="0"/>
                              <w:marBottom w:val="330"/>
                              <w:divBdr>
                                <w:top w:val="none" w:sz="0" w:space="0" w:color="auto"/>
                                <w:left w:val="none" w:sz="0" w:space="0" w:color="auto"/>
                                <w:bottom w:val="none" w:sz="0" w:space="0" w:color="auto"/>
                                <w:right w:val="none" w:sz="0" w:space="0" w:color="auto"/>
                              </w:divBdr>
                              <w:divsChild>
                                <w:div w:id="923878589">
                                  <w:marLeft w:val="0"/>
                                  <w:marRight w:val="0"/>
                                  <w:marTop w:val="0"/>
                                  <w:marBottom w:val="0"/>
                                  <w:divBdr>
                                    <w:top w:val="none" w:sz="0" w:space="0" w:color="auto"/>
                                    <w:left w:val="none" w:sz="0" w:space="0" w:color="auto"/>
                                    <w:bottom w:val="none" w:sz="0" w:space="0" w:color="auto"/>
                                    <w:right w:val="none" w:sz="0" w:space="0" w:color="auto"/>
                                  </w:divBdr>
                                  <w:divsChild>
                                    <w:div w:id="879052036">
                                      <w:marLeft w:val="0"/>
                                      <w:marRight w:val="0"/>
                                      <w:marTop w:val="0"/>
                                      <w:marBottom w:val="0"/>
                                      <w:divBdr>
                                        <w:top w:val="single" w:sz="2" w:space="0" w:color="DFDFDF"/>
                                        <w:left w:val="single" w:sz="2" w:space="0" w:color="DFDFDF"/>
                                        <w:bottom w:val="single" w:sz="2" w:space="0" w:color="DFDFDF"/>
                                        <w:right w:val="single" w:sz="2" w:space="0" w:color="DFDFDF"/>
                                      </w:divBdr>
                                      <w:divsChild>
                                        <w:div w:id="2089499477">
                                          <w:marLeft w:val="-90"/>
                                          <w:marRight w:val="0"/>
                                          <w:marTop w:val="0"/>
                                          <w:marBottom w:val="0"/>
                                          <w:divBdr>
                                            <w:top w:val="none" w:sz="0" w:space="0" w:color="auto"/>
                                            <w:left w:val="none" w:sz="0" w:space="0" w:color="auto"/>
                                            <w:bottom w:val="none" w:sz="0" w:space="0" w:color="auto"/>
                                            <w:right w:val="none" w:sz="0" w:space="0" w:color="auto"/>
                                          </w:divBdr>
                                          <w:divsChild>
                                            <w:div w:id="908031197">
                                              <w:marLeft w:val="0"/>
                                              <w:marRight w:val="0"/>
                                              <w:marTop w:val="0"/>
                                              <w:marBottom w:val="45"/>
                                              <w:divBdr>
                                                <w:top w:val="single" w:sz="2" w:space="0" w:color="A9A9A9"/>
                                                <w:left w:val="single" w:sz="2" w:space="0" w:color="A9A9A9"/>
                                                <w:bottom w:val="single" w:sz="2" w:space="0" w:color="A9A9A9"/>
                                                <w:right w:val="single" w:sz="2" w:space="0" w:color="A9A9A9"/>
                                              </w:divBdr>
                                              <w:divsChild>
                                                <w:div w:id="1454324965">
                                                  <w:marLeft w:val="0"/>
                                                  <w:marRight w:val="0"/>
                                                  <w:marTop w:val="0"/>
                                                  <w:marBottom w:val="0"/>
                                                  <w:divBdr>
                                                    <w:top w:val="none" w:sz="0" w:space="0" w:color="auto"/>
                                                    <w:left w:val="none" w:sz="0" w:space="0" w:color="auto"/>
                                                    <w:bottom w:val="none" w:sz="0" w:space="0" w:color="auto"/>
                                                    <w:right w:val="none" w:sz="0" w:space="0" w:color="auto"/>
                                                  </w:divBdr>
                                                  <w:divsChild>
                                                    <w:div w:id="1582833418">
                                                      <w:marLeft w:val="92"/>
                                                      <w:marRight w:val="0"/>
                                                      <w:marTop w:val="0"/>
                                                      <w:marBottom w:val="150"/>
                                                      <w:divBdr>
                                                        <w:top w:val="single" w:sz="2" w:space="0" w:color="E4E4E4"/>
                                                        <w:left w:val="single" w:sz="2" w:space="0" w:color="E4E4E4"/>
                                                        <w:bottom w:val="single" w:sz="2" w:space="0" w:color="E4E4E4"/>
                                                        <w:right w:val="single" w:sz="2" w:space="0" w:color="E4E4E4"/>
                                                      </w:divBdr>
                                                      <w:divsChild>
                                                        <w:div w:id="1286546957">
                                                          <w:marLeft w:val="0"/>
                                                          <w:marRight w:val="0"/>
                                                          <w:marTop w:val="0"/>
                                                          <w:marBottom w:val="0"/>
                                                          <w:divBdr>
                                                            <w:top w:val="none" w:sz="0" w:space="0" w:color="auto"/>
                                                            <w:left w:val="none" w:sz="0" w:space="0" w:color="auto"/>
                                                            <w:bottom w:val="none" w:sz="0" w:space="0" w:color="auto"/>
                                                            <w:right w:val="none" w:sz="0" w:space="0" w:color="auto"/>
                                                          </w:divBdr>
                                                        </w:div>
                                                        <w:div w:id="142711504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7894163">
                          <w:marLeft w:val="0"/>
                          <w:marRight w:val="0"/>
                          <w:marTop w:val="45"/>
                          <w:marBottom w:val="0"/>
                          <w:divBdr>
                            <w:top w:val="none" w:sz="0" w:space="0" w:color="auto"/>
                            <w:left w:val="none" w:sz="0" w:space="0" w:color="auto"/>
                            <w:bottom w:val="none" w:sz="0" w:space="0" w:color="auto"/>
                            <w:right w:val="none" w:sz="0" w:space="0" w:color="auto"/>
                          </w:divBdr>
                          <w:divsChild>
                            <w:div w:id="796601878">
                              <w:marLeft w:val="0"/>
                              <w:marRight w:val="0"/>
                              <w:marTop w:val="0"/>
                              <w:marBottom w:val="330"/>
                              <w:divBdr>
                                <w:top w:val="none" w:sz="0" w:space="0" w:color="auto"/>
                                <w:left w:val="none" w:sz="0" w:space="0" w:color="auto"/>
                                <w:bottom w:val="none" w:sz="0" w:space="0" w:color="auto"/>
                                <w:right w:val="none" w:sz="0" w:space="0" w:color="auto"/>
                              </w:divBdr>
                              <w:divsChild>
                                <w:div w:id="2086146707">
                                  <w:marLeft w:val="0"/>
                                  <w:marRight w:val="0"/>
                                  <w:marTop w:val="0"/>
                                  <w:marBottom w:val="0"/>
                                  <w:divBdr>
                                    <w:top w:val="none" w:sz="0" w:space="0" w:color="auto"/>
                                    <w:left w:val="none" w:sz="0" w:space="0" w:color="auto"/>
                                    <w:bottom w:val="none" w:sz="0" w:space="0" w:color="auto"/>
                                    <w:right w:val="none" w:sz="0" w:space="0" w:color="auto"/>
                                  </w:divBdr>
                                  <w:divsChild>
                                    <w:div w:id="702440188">
                                      <w:marLeft w:val="0"/>
                                      <w:marRight w:val="0"/>
                                      <w:marTop w:val="0"/>
                                      <w:marBottom w:val="0"/>
                                      <w:divBdr>
                                        <w:top w:val="single" w:sz="2" w:space="0" w:color="DFDFDF"/>
                                        <w:left w:val="single" w:sz="2" w:space="0" w:color="DFDFDF"/>
                                        <w:bottom w:val="single" w:sz="2" w:space="0" w:color="DFDFDF"/>
                                        <w:right w:val="single" w:sz="2" w:space="0" w:color="DFDFDF"/>
                                      </w:divBdr>
                                      <w:divsChild>
                                        <w:div w:id="1084959758">
                                          <w:marLeft w:val="-90"/>
                                          <w:marRight w:val="0"/>
                                          <w:marTop w:val="0"/>
                                          <w:marBottom w:val="0"/>
                                          <w:divBdr>
                                            <w:top w:val="none" w:sz="0" w:space="0" w:color="auto"/>
                                            <w:left w:val="none" w:sz="0" w:space="0" w:color="auto"/>
                                            <w:bottom w:val="none" w:sz="0" w:space="0" w:color="auto"/>
                                            <w:right w:val="none" w:sz="0" w:space="0" w:color="auto"/>
                                          </w:divBdr>
                                          <w:divsChild>
                                            <w:div w:id="1197933400">
                                              <w:marLeft w:val="0"/>
                                              <w:marRight w:val="0"/>
                                              <w:marTop w:val="0"/>
                                              <w:marBottom w:val="45"/>
                                              <w:divBdr>
                                                <w:top w:val="single" w:sz="2" w:space="0" w:color="A9A9A9"/>
                                                <w:left w:val="single" w:sz="2" w:space="0" w:color="A9A9A9"/>
                                                <w:bottom w:val="single" w:sz="2" w:space="0" w:color="A9A9A9"/>
                                                <w:right w:val="single" w:sz="2" w:space="0" w:color="A9A9A9"/>
                                              </w:divBdr>
                                              <w:divsChild>
                                                <w:div w:id="1216967953">
                                                  <w:marLeft w:val="0"/>
                                                  <w:marRight w:val="0"/>
                                                  <w:marTop w:val="0"/>
                                                  <w:marBottom w:val="0"/>
                                                  <w:divBdr>
                                                    <w:top w:val="none" w:sz="0" w:space="0" w:color="auto"/>
                                                    <w:left w:val="none" w:sz="0" w:space="0" w:color="auto"/>
                                                    <w:bottom w:val="none" w:sz="0" w:space="0" w:color="auto"/>
                                                    <w:right w:val="none" w:sz="0" w:space="0" w:color="auto"/>
                                                  </w:divBdr>
                                                  <w:divsChild>
                                                    <w:div w:id="869225480">
                                                      <w:marLeft w:val="92"/>
                                                      <w:marRight w:val="0"/>
                                                      <w:marTop w:val="0"/>
                                                      <w:marBottom w:val="150"/>
                                                      <w:divBdr>
                                                        <w:top w:val="single" w:sz="2" w:space="0" w:color="E4E4E4"/>
                                                        <w:left w:val="single" w:sz="2" w:space="0" w:color="E4E4E4"/>
                                                        <w:bottom w:val="single" w:sz="2" w:space="0" w:color="E4E4E4"/>
                                                        <w:right w:val="single" w:sz="2" w:space="0" w:color="E4E4E4"/>
                                                      </w:divBdr>
                                                      <w:divsChild>
                                                        <w:div w:id="720665398">
                                                          <w:marLeft w:val="0"/>
                                                          <w:marRight w:val="0"/>
                                                          <w:marTop w:val="0"/>
                                                          <w:marBottom w:val="0"/>
                                                          <w:divBdr>
                                                            <w:top w:val="none" w:sz="0" w:space="0" w:color="auto"/>
                                                            <w:left w:val="none" w:sz="0" w:space="0" w:color="auto"/>
                                                            <w:bottom w:val="none" w:sz="0" w:space="0" w:color="auto"/>
                                                            <w:right w:val="none" w:sz="0" w:space="0" w:color="auto"/>
                                                          </w:divBdr>
                                                        </w:div>
                                                        <w:div w:id="182762797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6669690">
                              <w:marLeft w:val="0"/>
                              <w:marRight w:val="0"/>
                              <w:marTop w:val="0"/>
                              <w:marBottom w:val="330"/>
                              <w:divBdr>
                                <w:top w:val="none" w:sz="0" w:space="0" w:color="auto"/>
                                <w:left w:val="none" w:sz="0" w:space="0" w:color="auto"/>
                                <w:bottom w:val="none" w:sz="0" w:space="0" w:color="auto"/>
                                <w:right w:val="none" w:sz="0" w:space="0" w:color="auto"/>
                              </w:divBdr>
                              <w:divsChild>
                                <w:div w:id="786507571">
                                  <w:marLeft w:val="0"/>
                                  <w:marRight w:val="0"/>
                                  <w:marTop w:val="0"/>
                                  <w:marBottom w:val="0"/>
                                  <w:divBdr>
                                    <w:top w:val="none" w:sz="0" w:space="0" w:color="auto"/>
                                    <w:left w:val="none" w:sz="0" w:space="0" w:color="auto"/>
                                    <w:bottom w:val="none" w:sz="0" w:space="0" w:color="auto"/>
                                    <w:right w:val="none" w:sz="0" w:space="0" w:color="auto"/>
                                  </w:divBdr>
                                  <w:divsChild>
                                    <w:div w:id="1878084014">
                                      <w:marLeft w:val="0"/>
                                      <w:marRight w:val="0"/>
                                      <w:marTop w:val="0"/>
                                      <w:marBottom w:val="0"/>
                                      <w:divBdr>
                                        <w:top w:val="single" w:sz="2" w:space="0" w:color="DFDFDF"/>
                                        <w:left w:val="single" w:sz="2" w:space="0" w:color="DFDFDF"/>
                                        <w:bottom w:val="single" w:sz="2" w:space="0" w:color="DFDFDF"/>
                                        <w:right w:val="single" w:sz="2" w:space="0" w:color="DFDFDF"/>
                                      </w:divBdr>
                                      <w:divsChild>
                                        <w:div w:id="350956583">
                                          <w:marLeft w:val="-90"/>
                                          <w:marRight w:val="0"/>
                                          <w:marTop w:val="0"/>
                                          <w:marBottom w:val="0"/>
                                          <w:divBdr>
                                            <w:top w:val="none" w:sz="0" w:space="0" w:color="auto"/>
                                            <w:left w:val="none" w:sz="0" w:space="0" w:color="auto"/>
                                            <w:bottom w:val="none" w:sz="0" w:space="0" w:color="auto"/>
                                            <w:right w:val="none" w:sz="0" w:space="0" w:color="auto"/>
                                          </w:divBdr>
                                          <w:divsChild>
                                            <w:div w:id="1464544953">
                                              <w:marLeft w:val="0"/>
                                              <w:marRight w:val="0"/>
                                              <w:marTop w:val="0"/>
                                              <w:marBottom w:val="45"/>
                                              <w:divBdr>
                                                <w:top w:val="single" w:sz="2" w:space="0" w:color="A9A9A9"/>
                                                <w:left w:val="single" w:sz="2" w:space="0" w:color="A9A9A9"/>
                                                <w:bottom w:val="single" w:sz="2" w:space="0" w:color="A9A9A9"/>
                                                <w:right w:val="single" w:sz="2" w:space="0" w:color="A9A9A9"/>
                                              </w:divBdr>
                                              <w:divsChild>
                                                <w:div w:id="289630044">
                                                  <w:marLeft w:val="0"/>
                                                  <w:marRight w:val="0"/>
                                                  <w:marTop w:val="0"/>
                                                  <w:marBottom w:val="0"/>
                                                  <w:divBdr>
                                                    <w:top w:val="none" w:sz="0" w:space="0" w:color="auto"/>
                                                    <w:left w:val="none" w:sz="0" w:space="0" w:color="auto"/>
                                                    <w:bottom w:val="none" w:sz="0" w:space="0" w:color="auto"/>
                                                    <w:right w:val="none" w:sz="0" w:space="0" w:color="auto"/>
                                                  </w:divBdr>
                                                  <w:divsChild>
                                                    <w:div w:id="775487525">
                                                      <w:marLeft w:val="92"/>
                                                      <w:marRight w:val="0"/>
                                                      <w:marTop w:val="0"/>
                                                      <w:marBottom w:val="150"/>
                                                      <w:divBdr>
                                                        <w:top w:val="single" w:sz="2" w:space="0" w:color="E4E4E4"/>
                                                        <w:left w:val="single" w:sz="2" w:space="0" w:color="E4E4E4"/>
                                                        <w:bottom w:val="single" w:sz="2" w:space="0" w:color="E4E4E4"/>
                                                        <w:right w:val="single" w:sz="2" w:space="0" w:color="E4E4E4"/>
                                                      </w:divBdr>
                                                      <w:divsChild>
                                                        <w:div w:id="1648895118">
                                                          <w:marLeft w:val="0"/>
                                                          <w:marRight w:val="0"/>
                                                          <w:marTop w:val="0"/>
                                                          <w:marBottom w:val="0"/>
                                                          <w:divBdr>
                                                            <w:top w:val="none" w:sz="0" w:space="0" w:color="auto"/>
                                                            <w:left w:val="none" w:sz="0" w:space="0" w:color="auto"/>
                                                            <w:bottom w:val="none" w:sz="0" w:space="0" w:color="auto"/>
                                                            <w:right w:val="none" w:sz="0" w:space="0" w:color="auto"/>
                                                          </w:divBdr>
                                                        </w:div>
                                                        <w:div w:id="187080268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2026370">
                              <w:marLeft w:val="0"/>
                              <w:marRight w:val="0"/>
                              <w:marTop w:val="0"/>
                              <w:marBottom w:val="330"/>
                              <w:divBdr>
                                <w:top w:val="none" w:sz="0" w:space="0" w:color="auto"/>
                                <w:left w:val="none" w:sz="0" w:space="0" w:color="auto"/>
                                <w:bottom w:val="none" w:sz="0" w:space="0" w:color="auto"/>
                                <w:right w:val="none" w:sz="0" w:space="0" w:color="auto"/>
                              </w:divBdr>
                              <w:divsChild>
                                <w:div w:id="748159275">
                                  <w:marLeft w:val="0"/>
                                  <w:marRight w:val="0"/>
                                  <w:marTop w:val="0"/>
                                  <w:marBottom w:val="0"/>
                                  <w:divBdr>
                                    <w:top w:val="none" w:sz="0" w:space="0" w:color="auto"/>
                                    <w:left w:val="none" w:sz="0" w:space="0" w:color="auto"/>
                                    <w:bottom w:val="none" w:sz="0" w:space="0" w:color="auto"/>
                                    <w:right w:val="none" w:sz="0" w:space="0" w:color="auto"/>
                                  </w:divBdr>
                                  <w:divsChild>
                                    <w:div w:id="1552232025">
                                      <w:marLeft w:val="0"/>
                                      <w:marRight w:val="0"/>
                                      <w:marTop w:val="0"/>
                                      <w:marBottom w:val="0"/>
                                      <w:divBdr>
                                        <w:top w:val="single" w:sz="2" w:space="0" w:color="DFDFDF"/>
                                        <w:left w:val="single" w:sz="2" w:space="0" w:color="DFDFDF"/>
                                        <w:bottom w:val="single" w:sz="2" w:space="0" w:color="DFDFDF"/>
                                        <w:right w:val="single" w:sz="2" w:space="0" w:color="DFDFDF"/>
                                      </w:divBdr>
                                      <w:divsChild>
                                        <w:div w:id="1997105238">
                                          <w:marLeft w:val="-90"/>
                                          <w:marRight w:val="0"/>
                                          <w:marTop w:val="0"/>
                                          <w:marBottom w:val="0"/>
                                          <w:divBdr>
                                            <w:top w:val="none" w:sz="0" w:space="0" w:color="auto"/>
                                            <w:left w:val="none" w:sz="0" w:space="0" w:color="auto"/>
                                            <w:bottom w:val="none" w:sz="0" w:space="0" w:color="auto"/>
                                            <w:right w:val="none" w:sz="0" w:space="0" w:color="auto"/>
                                          </w:divBdr>
                                          <w:divsChild>
                                            <w:div w:id="357857935">
                                              <w:marLeft w:val="0"/>
                                              <w:marRight w:val="0"/>
                                              <w:marTop w:val="0"/>
                                              <w:marBottom w:val="45"/>
                                              <w:divBdr>
                                                <w:top w:val="single" w:sz="2" w:space="0" w:color="A9A9A9"/>
                                                <w:left w:val="single" w:sz="2" w:space="0" w:color="A9A9A9"/>
                                                <w:bottom w:val="single" w:sz="2" w:space="0" w:color="A9A9A9"/>
                                                <w:right w:val="single" w:sz="2" w:space="0" w:color="A9A9A9"/>
                                              </w:divBdr>
                                              <w:divsChild>
                                                <w:div w:id="650061170">
                                                  <w:marLeft w:val="0"/>
                                                  <w:marRight w:val="0"/>
                                                  <w:marTop w:val="0"/>
                                                  <w:marBottom w:val="0"/>
                                                  <w:divBdr>
                                                    <w:top w:val="none" w:sz="0" w:space="0" w:color="auto"/>
                                                    <w:left w:val="none" w:sz="0" w:space="0" w:color="auto"/>
                                                    <w:bottom w:val="none" w:sz="0" w:space="0" w:color="auto"/>
                                                    <w:right w:val="none" w:sz="0" w:space="0" w:color="auto"/>
                                                  </w:divBdr>
                                                  <w:divsChild>
                                                    <w:div w:id="606735665">
                                                      <w:marLeft w:val="92"/>
                                                      <w:marRight w:val="0"/>
                                                      <w:marTop w:val="0"/>
                                                      <w:marBottom w:val="150"/>
                                                      <w:divBdr>
                                                        <w:top w:val="single" w:sz="2" w:space="0" w:color="E4E4E4"/>
                                                        <w:left w:val="single" w:sz="2" w:space="0" w:color="E4E4E4"/>
                                                        <w:bottom w:val="single" w:sz="2" w:space="0" w:color="E4E4E4"/>
                                                        <w:right w:val="single" w:sz="2" w:space="0" w:color="E4E4E4"/>
                                                      </w:divBdr>
                                                      <w:divsChild>
                                                        <w:div w:id="2108958091">
                                                          <w:marLeft w:val="0"/>
                                                          <w:marRight w:val="0"/>
                                                          <w:marTop w:val="0"/>
                                                          <w:marBottom w:val="0"/>
                                                          <w:divBdr>
                                                            <w:top w:val="none" w:sz="0" w:space="0" w:color="auto"/>
                                                            <w:left w:val="none" w:sz="0" w:space="0" w:color="auto"/>
                                                            <w:bottom w:val="none" w:sz="0" w:space="0" w:color="auto"/>
                                                            <w:right w:val="none" w:sz="0" w:space="0" w:color="auto"/>
                                                          </w:divBdr>
                                                        </w:div>
                                                        <w:div w:id="155708487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8346053">
                              <w:marLeft w:val="0"/>
                              <w:marRight w:val="0"/>
                              <w:marTop w:val="0"/>
                              <w:marBottom w:val="330"/>
                              <w:divBdr>
                                <w:top w:val="none" w:sz="0" w:space="0" w:color="auto"/>
                                <w:left w:val="none" w:sz="0" w:space="0" w:color="auto"/>
                                <w:bottom w:val="none" w:sz="0" w:space="0" w:color="auto"/>
                                <w:right w:val="none" w:sz="0" w:space="0" w:color="auto"/>
                              </w:divBdr>
                              <w:divsChild>
                                <w:div w:id="2025396523">
                                  <w:marLeft w:val="0"/>
                                  <w:marRight w:val="0"/>
                                  <w:marTop w:val="0"/>
                                  <w:marBottom w:val="0"/>
                                  <w:divBdr>
                                    <w:top w:val="none" w:sz="0" w:space="0" w:color="auto"/>
                                    <w:left w:val="none" w:sz="0" w:space="0" w:color="auto"/>
                                    <w:bottom w:val="none" w:sz="0" w:space="0" w:color="auto"/>
                                    <w:right w:val="none" w:sz="0" w:space="0" w:color="auto"/>
                                  </w:divBdr>
                                  <w:divsChild>
                                    <w:div w:id="141041039">
                                      <w:marLeft w:val="0"/>
                                      <w:marRight w:val="0"/>
                                      <w:marTop w:val="0"/>
                                      <w:marBottom w:val="0"/>
                                      <w:divBdr>
                                        <w:top w:val="single" w:sz="2" w:space="0" w:color="DFDFDF"/>
                                        <w:left w:val="single" w:sz="2" w:space="0" w:color="DFDFDF"/>
                                        <w:bottom w:val="single" w:sz="2" w:space="0" w:color="DFDFDF"/>
                                        <w:right w:val="single" w:sz="2" w:space="0" w:color="DFDFDF"/>
                                      </w:divBdr>
                                      <w:divsChild>
                                        <w:div w:id="1114981865">
                                          <w:marLeft w:val="-90"/>
                                          <w:marRight w:val="0"/>
                                          <w:marTop w:val="0"/>
                                          <w:marBottom w:val="0"/>
                                          <w:divBdr>
                                            <w:top w:val="none" w:sz="0" w:space="0" w:color="auto"/>
                                            <w:left w:val="none" w:sz="0" w:space="0" w:color="auto"/>
                                            <w:bottom w:val="none" w:sz="0" w:space="0" w:color="auto"/>
                                            <w:right w:val="none" w:sz="0" w:space="0" w:color="auto"/>
                                          </w:divBdr>
                                          <w:divsChild>
                                            <w:div w:id="1756587060">
                                              <w:marLeft w:val="0"/>
                                              <w:marRight w:val="0"/>
                                              <w:marTop w:val="0"/>
                                              <w:marBottom w:val="45"/>
                                              <w:divBdr>
                                                <w:top w:val="single" w:sz="2" w:space="0" w:color="A9A9A9"/>
                                                <w:left w:val="single" w:sz="2" w:space="0" w:color="A9A9A9"/>
                                                <w:bottom w:val="single" w:sz="2" w:space="0" w:color="A9A9A9"/>
                                                <w:right w:val="single" w:sz="2" w:space="0" w:color="A9A9A9"/>
                                              </w:divBdr>
                                              <w:divsChild>
                                                <w:div w:id="682125789">
                                                  <w:marLeft w:val="0"/>
                                                  <w:marRight w:val="0"/>
                                                  <w:marTop w:val="0"/>
                                                  <w:marBottom w:val="0"/>
                                                  <w:divBdr>
                                                    <w:top w:val="none" w:sz="0" w:space="0" w:color="auto"/>
                                                    <w:left w:val="none" w:sz="0" w:space="0" w:color="auto"/>
                                                    <w:bottom w:val="none" w:sz="0" w:space="0" w:color="auto"/>
                                                    <w:right w:val="none" w:sz="0" w:space="0" w:color="auto"/>
                                                  </w:divBdr>
                                                  <w:divsChild>
                                                    <w:div w:id="1398282379">
                                                      <w:marLeft w:val="92"/>
                                                      <w:marRight w:val="0"/>
                                                      <w:marTop w:val="0"/>
                                                      <w:marBottom w:val="150"/>
                                                      <w:divBdr>
                                                        <w:top w:val="single" w:sz="2" w:space="0" w:color="E4E4E4"/>
                                                        <w:left w:val="single" w:sz="2" w:space="0" w:color="E4E4E4"/>
                                                        <w:bottom w:val="single" w:sz="2" w:space="0" w:color="E4E4E4"/>
                                                        <w:right w:val="single" w:sz="2" w:space="0" w:color="E4E4E4"/>
                                                      </w:divBdr>
                                                      <w:divsChild>
                                                        <w:div w:id="380446515">
                                                          <w:marLeft w:val="0"/>
                                                          <w:marRight w:val="0"/>
                                                          <w:marTop w:val="0"/>
                                                          <w:marBottom w:val="0"/>
                                                          <w:divBdr>
                                                            <w:top w:val="none" w:sz="0" w:space="0" w:color="auto"/>
                                                            <w:left w:val="none" w:sz="0" w:space="0" w:color="auto"/>
                                                            <w:bottom w:val="none" w:sz="0" w:space="0" w:color="auto"/>
                                                            <w:right w:val="none" w:sz="0" w:space="0" w:color="auto"/>
                                                          </w:divBdr>
                                                        </w:div>
                                                        <w:div w:id="1859733544">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1415112">
                  <w:marLeft w:val="0"/>
                  <w:marRight w:val="0"/>
                  <w:marTop w:val="0"/>
                  <w:marBottom w:val="0"/>
                  <w:divBdr>
                    <w:top w:val="none" w:sz="0" w:space="0" w:color="auto"/>
                    <w:left w:val="none" w:sz="0" w:space="0" w:color="auto"/>
                    <w:bottom w:val="none" w:sz="0" w:space="0" w:color="auto"/>
                    <w:right w:val="none" w:sz="0" w:space="0" w:color="auto"/>
                  </w:divBdr>
                  <w:divsChild>
                    <w:div w:id="249121674">
                      <w:marLeft w:val="0"/>
                      <w:marRight w:val="0"/>
                      <w:marTop w:val="0"/>
                      <w:marBottom w:val="0"/>
                      <w:divBdr>
                        <w:top w:val="none" w:sz="0" w:space="0" w:color="auto"/>
                        <w:left w:val="none" w:sz="0" w:space="0" w:color="auto"/>
                        <w:bottom w:val="none" w:sz="0" w:space="0" w:color="auto"/>
                        <w:right w:val="none" w:sz="0" w:space="0" w:color="auto"/>
                      </w:divBdr>
                      <w:divsChild>
                        <w:div w:id="195653897">
                          <w:marLeft w:val="0"/>
                          <w:marRight w:val="0"/>
                          <w:marTop w:val="0"/>
                          <w:marBottom w:val="0"/>
                          <w:divBdr>
                            <w:top w:val="none" w:sz="0" w:space="0" w:color="auto"/>
                            <w:left w:val="none" w:sz="0" w:space="0" w:color="auto"/>
                            <w:bottom w:val="none" w:sz="0" w:space="0" w:color="auto"/>
                            <w:right w:val="none" w:sz="0" w:space="0" w:color="auto"/>
                          </w:divBdr>
                          <w:divsChild>
                            <w:div w:id="10554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53785">
                      <w:marLeft w:val="0"/>
                      <w:marRight w:val="0"/>
                      <w:marTop w:val="0"/>
                      <w:marBottom w:val="75"/>
                      <w:divBdr>
                        <w:top w:val="none" w:sz="0" w:space="0" w:color="auto"/>
                        <w:left w:val="none" w:sz="0" w:space="0" w:color="auto"/>
                        <w:bottom w:val="none" w:sz="0" w:space="0" w:color="auto"/>
                        <w:right w:val="none" w:sz="0" w:space="0" w:color="auto"/>
                      </w:divBdr>
                    </w:div>
                    <w:div w:id="347371680">
                      <w:marLeft w:val="0"/>
                      <w:marRight w:val="0"/>
                      <w:marTop w:val="0"/>
                      <w:marBottom w:val="300"/>
                      <w:divBdr>
                        <w:top w:val="none" w:sz="0" w:space="0" w:color="auto"/>
                        <w:left w:val="none" w:sz="0" w:space="0" w:color="auto"/>
                        <w:bottom w:val="none" w:sz="0" w:space="0" w:color="auto"/>
                        <w:right w:val="none" w:sz="0" w:space="0" w:color="auto"/>
                      </w:divBdr>
                      <w:divsChild>
                        <w:div w:id="292440580">
                          <w:marLeft w:val="0"/>
                          <w:marRight w:val="0"/>
                          <w:marTop w:val="0"/>
                          <w:marBottom w:val="0"/>
                          <w:divBdr>
                            <w:top w:val="none" w:sz="0" w:space="0" w:color="auto"/>
                            <w:left w:val="none" w:sz="0" w:space="0" w:color="auto"/>
                            <w:bottom w:val="none" w:sz="0" w:space="0" w:color="auto"/>
                            <w:right w:val="none" w:sz="0" w:space="0" w:color="auto"/>
                          </w:divBdr>
                        </w:div>
                      </w:divsChild>
                    </w:div>
                    <w:div w:id="1554392661">
                      <w:marLeft w:val="0"/>
                      <w:marRight w:val="0"/>
                      <w:marTop w:val="0"/>
                      <w:marBottom w:val="0"/>
                      <w:divBdr>
                        <w:top w:val="none" w:sz="0" w:space="0" w:color="auto"/>
                        <w:left w:val="none" w:sz="0" w:space="0" w:color="auto"/>
                        <w:bottom w:val="none" w:sz="0" w:space="0" w:color="auto"/>
                        <w:right w:val="none" w:sz="0" w:space="0" w:color="auto"/>
                      </w:divBdr>
                      <w:divsChild>
                        <w:div w:id="1033577411">
                          <w:marLeft w:val="0"/>
                          <w:marRight w:val="0"/>
                          <w:marTop w:val="0"/>
                          <w:marBottom w:val="0"/>
                          <w:divBdr>
                            <w:top w:val="none" w:sz="0" w:space="0" w:color="auto"/>
                            <w:left w:val="none" w:sz="0" w:space="0" w:color="auto"/>
                            <w:bottom w:val="none" w:sz="0" w:space="0" w:color="auto"/>
                            <w:right w:val="none" w:sz="0" w:space="0" w:color="auto"/>
                          </w:divBdr>
                          <w:divsChild>
                            <w:div w:id="813065768">
                              <w:marLeft w:val="0"/>
                              <w:marRight w:val="0"/>
                              <w:marTop w:val="0"/>
                              <w:marBottom w:val="150"/>
                              <w:divBdr>
                                <w:top w:val="none" w:sz="0" w:space="0" w:color="auto"/>
                                <w:left w:val="none" w:sz="0" w:space="0" w:color="auto"/>
                                <w:bottom w:val="none" w:sz="0" w:space="0" w:color="auto"/>
                                <w:right w:val="none" w:sz="0" w:space="0" w:color="auto"/>
                              </w:divBdr>
                              <w:divsChild>
                                <w:div w:id="106275406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07482596">
                          <w:marLeft w:val="0"/>
                          <w:marRight w:val="0"/>
                          <w:marTop w:val="0"/>
                          <w:marBottom w:val="0"/>
                          <w:divBdr>
                            <w:top w:val="none" w:sz="0" w:space="0" w:color="auto"/>
                            <w:left w:val="none" w:sz="0" w:space="0" w:color="auto"/>
                            <w:bottom w:val="none" w:sz="0" w:space="0" w:color="auto"/>
                            <w:right w:val="none" w:sz="0" w:space="0" w:color="auto"/>
                          </w:divBdr>
                          <w:divsChild>
                            <w:div w:id="210071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572149">
      <w:bodyDiv w:val="1"/>
      <w:marLeft w:val="0"/>
      <w:marRight w:val="0"/>
      <w:marTop w:val="0"/>
      <w:marBottom w:val="0"/>
      <w:divBdr>
        <w:top w:val="none" w:sz="0" w:space="0" w:color="auto"/>
        <w:left w:val="none" w:sz="0" w:space="0" w:color="auto"/>
        <w:bottom w:val="none" w:sz="0" w:space="0" w:color="auto"/>
        <w:right w:val="none" w:sz="0" w:space="0" w:color="auto"/>
      </w:divBdr>
      <w:divsChild>
        <w:div w:id="2006744199">
          <w:marLeft w:val="0"/>
          <w:marRight w:val="0"/>
          <w:marTop w:val="0"/>
          <w:marBottom w:val="0"/>
          <w:divBdr>
            <w:top w:val="none" w:sz="0" w:space="0" w:color="auto"/>
            <w:left w:val="none" w:sz="0" w:space="0" w:color="auto"/>
            <w:bottom w:val="dotted" w:sz="6" w:space="4" w:color="DDDDDD"/>
            <w:right w:val="none" w:sz="0" w:space="0" w:color="auto"/>
          </w:divBdr>
        </w:div>
      </w:divsChild>
    </w:div>
    <w:div w:id="1750076881">
      <w:bodyDiv w:val="1"/>
      <w:marLeft w:val="0"/>
      <w:marRight w:val="0"/>
      <w:marTop w:val="0"/>
      <w:marBottom w:val="0"/>
      <w:divBdr>
        <w:top w:val="none" w:sz="0" w:space="0" w:color="auto"/>
        <w:left w:val="none" w:sz="0" w:space="0" w:color="auto"/>
        <w:bottom w:val="none" w:sz="0" w:space="0" w:color="auto"/>
        <w:right w:val="none" w:sz="0" w:space="0" w:color="auto"/>
      </w:divBdr>
      <w:divsChild>
        <w:div w:id="401561015">
          <w:marLeft w:val="0"/>
          <w:marRight w:val="0"/>
          <w:marTop w:val="0"/>
          <w:marBottom w:val="0"/>
          <w:divBdr>
            <w:top w:val="none" w:sz="0" w:space="0" w:color="auto"/>
            <w:left w:val="none" w:sz="0" w:space="0" w:color="auto"/>
            <w:bottom w:val="none" w:sz="0" w:space="0" w:color="auto"/>
            <w:right w:val="none" w:sz="0" w:space="0" w:color="auto"/>
          </w:divBdr>
          <w:divsChild>
            <w:div w:id="94178012">
              <w:marLeft w:val="0"/>
              <w:marRight w:val="0"/>
              <w:marTop w:val="0"/>
              <w:marBottom w:val="0"/>
              <w:divBdr>
                <w:top w:val="none" w:sz="0" w:space="0" w:color="auto"/>
                <w:left w:val="none" w:sz="0" w:space="0" w:color="auto"/>
                <w:bottom w:val="none" w:sz="0" w:space="0" w:color="auto"/>
                <w:right w:val="none" w:sz="0" w:space="0" w:color="auto"/>
              </w:divBdr>
            </w:div>
          </w:divsChild>
        </w:div>
        <w:div w:id="464085100">
          <w:marLeft w:val="0"/>
          <w:marRight w:val="0"/>
          <w:marTop w:val="0"/>
          <w:marBottom w:val="150"/>
          <w:divBdr>
            <w:top w:val="none" w:sz="0" w:space="0" w:color="auto"/>
            <w:left w:val="none" w:sz="0" w:space="0" w:color="auto"/>
            <w:bottom w:val="none" w:sz="0" w:space="0" w:color="auto"/>
            <w:right w:val="none" w:sz="0" w:space="0" w:color="auto"/>
          </w:divBdr>
          <w:divsChild>
            <w:div w:id="1565948307">
              <w:marLeft w:val="0"/>
              <w:marRight w:val="0"/>
              <w:marTop w:val="0"/>
              <w:marBottom w:val="0"/>
              <w:divBdr>
                <w:top w:val="none" w:sz="0" w:space="0" w:color="auto"/>
                <w:left w:val="none" w:sz="0" w:space="0" w:color="auto"/>
                <w:bottom w:val="none" w:sz="0" w:space="0" w:color="auto"/>
                <w:right w:val="none" w:sz="0" w:space="0" w:color="auto"/>
              </w:divBdr>
            </w:div>
          </w:divsChild>
        </w:div>
        <w:div w:id="881787796">
          <w:marLeft w:val="0"/>
          <w:marRight w:val="0"/>
          <w:marTop w:val="0"/>
          <w:marBottom w:val="150"/>
          <w:divBdr>
            <w:top w:val="none" w:sz="0" w:space="0" w:color="auto"/>
            <w:left w:val="none" w:sz="0" w:space="0" w:color="auto"/>
            <w:bottom w:val="none" w:sz="0" w:space="0" w:color="auto"/>
            <w:right w:val="none" w:sz="0" w:space="0" w:color="auto"/>
          </w:divBdr>
        </w:div>
      </w:divsChild>
    </w:div>
    <w:div w:id="1750538721">
      <w:bodyDiv w:val="1"/>
      <w:marLeft w:val="0"/>
      <w:marRight w:val="0"/>
      <w:marTop w:val="0"/>
      <w:marBottom w:val="0"/>
      <w:divBdr>
        <w:top w:val="none" w:sz="0" w:space="0" w:color="auto"/>
        <w:left w:val="none" w:sz="0" w:space="0" w:color="auto"/>
        <w:bottom w:val="none" w:sz="0" w:space="0" w:color="auto"/>
        <w:right w:val="none" w:sz="0" w:space="0" w:color="auto"/>
      </w:divBdr>
      <w:divsChild>
        <w:div w:id="903298605">
          <w:marLeft w:val="0"/>
          <w:marRight w:val="0"/>
          <w:marTop w:val="0"/>
          <w:marBottom w:val="0"/>
          <w:divBdr>
            <w:top w:val="none" w:sz="0" w:space="0" w:color="auto"/>
            <w:left w:val="none" w:sz="0" w:space="0" w:color="auto"/>
            <w:bottom w:val="dotted" w:sz="6" w:space="4" w:color="DDDDDD"/>
            <w:right w:val="none" w:sz="0" w:space="0" w:color="auto"/>
          </w:divBdr>
          <w:divsChild>
            <w:div w:id="145308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729056">
      <w:bodyDiv w:val="1"/>
      <w:marLeft w:val="0"/>
      <w:marRight w:val="0"/>
      <w:marTop w:val="0"/>
      <w:marBottom w:val="0"/>
      <w:divBdr>
        <w:top w:val="none" w:sz="0" w:space="0" w:color="auto"/>
        <w:left w:val="none" w:sz="0" w:space="0" w:color="auto"/>
        <w:bottom w:val="none" w:sz="0" w:space="0" w:color="auto"/>
        <w:right w:val="none" w:sz="0" w:space="0" w:color="auto"/>
      </w:divBdr>
      <w:divsChild>
        <w:div w:id="775439257">
          <w:marLeft w:val="0"/>
          <w:marRight w:val="0"/>
          <w:marTop w:val="0"/>
          <w:marBottom w:val="0"/>
          <w:divBdr>
            <w:top w:val="none" w:sz="0" w:space="0" w:color="auto"/>
            <w:left w:val="none" w:sz="0" w:space="0" w:color="auto"/>
            <w:bottom w:val="none" w:sz="0" w:space="0" w:color="auto"/>
            <w:right w:val="none" w:sz="0" w:space="0" w:color="auto"/>
          </w:divBdr>
          <w:divsChild>
            <w:div w:id="1200706757">
              <w:marLeft w:val="0"/>
              <w:marRight w:val="0"/>
              <w:marTop w:val="0"/>
              <w:marBottom w:val="0"/>
              <w:divBdr>
                <w:top w:val="none" w:sz="0" w:space="0" w:color="auto"/>
                <w:left w:val="none" w:sz="0" w:space="0" w:color="auto"/>
                <w:bottom w:val="none" w:sz="0" w:space="0" w:color="auto"/>
                <w:right w:val="none" w:sz="0" w:space="0" w:color="auto"/>
              </w:divBdr>
              <w:divsChild>
                <w:div w:id="2136367663">
                  <w:marLeft w:val="0"/>
                  <w:marRight w:val="0"/>
                  <w:marTop w:val="0"/>
                  <w:marBottom w:val="0"/>
                  <w:divBdr>
                    <w:top w:val="none" w:sz="0" w:space="0" w:color="auto"/>
                    <w:left w:val="none" w:sz="0" w:space="0" w:color="auto"/>
                    <w:bottom w:val="none" w:sz="0" w:space="0" w:color="auto"/>
                    <w:right w:val="none" w:sz="0" w:space="0" w:color="auto"/>
                  </w:divBdr>
                  <w:divsChild>
                    <w:div w:id="18551963">
                      <w:marLeft w:val="0"/>
                      <w:marRight w:val="0"/>
                      <w:marTop w:val="0"/>
                      <w:marBottom w:val="0"/>
                      <w:divBdr>
                        <w:top w:val="none" w:sz="0" w:space="0" w:color="auto"/>
                        <w:left w:val="none" w:sz="0" w:space="0" w:color="auto"/>
                        <w:bottom w:val="none" w:sz="0" w:space="0" w:color="auto"/>
                        <w:right w:val="none" w:sz="0" w:space="0" w:color="auto"/>
                      </w:divBdr>
                      <w:divsChild>
                        <w:div w:id="222452926">
                          <w:marLeft w:val="0"/>
                          <w:marRight w:val="0"/>
                          <w:marTop w:val="0"/>
                          <w:marBottom w:val="0"/>
                          <w:divBdr>
                            <w:top w:val="none" w:sz="0" w:space="0" w:color="auto"/>
                            <w:left w:val="none" w:sz="0" w:space="0" w:color="auto"/>
                            <w:bottom w:val="none" w:sz="0" w:space="0" w:color="auto"/>
                            <w:right w:val="none" w:sz="0" w:space="0" w:color="auto"/>
                          </w:divBdr>
                          <w:divsChild>
                            <w:div w:id="928737908">
                              <w:marLeft w:val="0"/>
                              <w:marRight w:val="0"/>
                              <w:marTop w:val="0"/>
                              <w:marBottom w:val="0"/>
                              <w:divBdr>
                                <w:top w:val="none" w:sz="0" w:space="0" w:color="auto"/>
                                <w:left w:val="none" w:sz="0" w:space="0" w:color="auto"/>
                                <w:bottom w:val="none" w:sz="0" w:space="0" w:color="auto"/>
                                <w:right w:val="none" w:sz="0" w:space="0" w:color="auto"/>
                              </w:divBdr>
                              <w:divsChild>
                                <w:div w:id="1010447121">
                                  <w:marLeft w:val="0"/>
                                  <w:marRight w:val="0"/>
                                  <w:marTop w:val="0"/>
                                  <w:marBottom w:val="0"/>
                                  <w:divBdr>
                                    <w:top w:val="none" w:sz="0" w:space="0" w:color="auto"/>
                                    <w:left w:val="none" w:sz="0" w:space="0" w:color="auto"/>
                                    <w:bottom w:val="none" w:sz="0" w:space="0" w:color="auto"/>
                                    <w:right w:val="none" w:sz="0" w:space="0" w:color="auto"/>
                                  </w:divBdr>
                                  <w:divsChild>
                                    <w:div w:id="38286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0733650">
      <w:bodyDiv w:val="1"/>
      <w:marLeft w:val="0"/>
      <w:marRight w:val="0"/>
      <w:marTop w:val="0"/>
      <w:marBottom w:val="0"/>
      <w:divBdr>
        <w:top w:val="none" w:sz="0" w:space="0" w:color="auto"/>
        <w:left w:val="none" w:sz="0" w:space="0" w:color="auto"/>
        <w:bottom w:val="none" w:sz="0" w:space="0" w:color="auto"/>
        <w:right w:val="none" w:sz="0" w:space="0" w:color="auto"/>
      </w:divBdr>
      <w:divsChild>
        <w:div w:id="1528060896">
          <w:marLeft w:val="0"/>
          <w:marRight w:val="0"/>
          <w:marTop w:val="0"/>
          <w:marBottom w:val="150"/>
          <w:divBdr>
            <w:top w:val="none" w:sz="0" w:space="0" w:color="auto"/>
            <w:left w:val="none" w:sz="0" w:space="0" w:color="auto"/>
            <w:bottom w:val="none" w:sz="0" w:space="0" w:color="auto"/>
            <w:right w:val="none" w:sz="0" w:space="0" w:color="auto"/>
          </w:divBdr>
        </w:div>
        <w:div w:id="1852639439">
          <w:marLeft w:val="0"/>
          <w:marRight w:val="0"/>
          <w:marTop w:val="0"/>
          <w:marBottom w:val="0"/>
          <w:divBdr>
            <w:top w:val="none" w:sz="0" w:space="0" w:color="auto"/>
            <w:left w:val="none" w:sz="0" w:space="0" w:color="auto"/>
            <w:bottom w:val="none" w:sz="0" w:space="0" w:color="auto"/>
            <w:right w:val="none" w:sz="0" w:space="0" w:color="auto"/>
          </w:divBdr>
          <w:divsChild>
            <w:div w:id="1525359448">
              <w:marLeft w:val="0"/>
              <w:marRight w:val="0"/>
              <w:marTop w:val="0"/>
              <w:marBottom w:val="0"/>
              <w:divBdr>
                <w:top w:val="none" w:sz="0" w:space="0" w:color="auto"/>
                <w:left w:val="none" w:sz="0" w:space="0" w:color="auto"/>
                <w:bottom w:val="none" w:sz="0" w:space="0" w:color="auto"/>
                <w:right w:val="none" w:sz="0" w:space="0" w:color="auto"/>
              </w:divBdr>
            </w:div>
          </w:divsChild>
        </w:div>
        <w:div w:id="1948268317">
          <w:marLeft w:val="0"/>
          <w:marRight w:val="0"/>
          <w:marTop w:val="0"/>
          <w:marBottom w:val="150"/>
          <w:divBdr>
            <w:top w:val="none" w:sz="0" w:space="0" w:color="auto"/>
            <w:left w:val="none" w:sz="0" w:space="0" w:color="auto"/>
            <w:bottom w:val="none" w:sz="0" w:space="0" w:color="auto"/>
            <w:right w:val="none" w:sz="0" w:space="0" w:color="auto"/>
          </w:divBdr>
          <w:divsChild>
            <w:div w:id="169345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880445">
      <w:bodyDiv w:val="1"/>
      <w:marLeft w:val="0"/>
      <w:marRight w:val="0"/>
      <w:marTop w:val="0"/>
      <w:marBottom w:val="0"/>
      <w:divBdr>
        <w:top w:val="none" w:sz="0" w:space="0" w:color="auto"/>
        <w:left w:val="none" w:sz="0" w:space="0" w:color="auto"/>
        <w:bottom w:val="none" w:sz="0" w:space="0" w:color="auto"/>
        <w:right w:val="none" w:sz="0" w:space="0" w:color="auto"/>
      </w:divBdr>
      <w:divsChild>
        <w:div w:id="284892778">
          <w:marLeft w:val="0"/>
          <w:marRight w:val="0"/>
          <w:marTop w:val="0"/>
          <w:marBottom w:val="0"/>
          <w:divBdr>
            <w:top w:val="none" w:sz="0" w:space="0" w:color="auto"/>
            <w:left w:val="none" w:sz="0" w:space="0" w:color="auto"/>
            <w:bottom w:val="dotted" w:sz="6" w:space="4" w:color="DDDDDD"/>
            <w:right w:val="none" w:sz="0" w:space="0" w:color="auto"/>
          </w:divBdr>
          <w:divsChild>
            <w:div w:id="163421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198447">
      <w:bodyDiv w:val="1"/>
      <w:marLeft w:val="0"/>
      <w:marRight w:val="0"/>
      <w:marTop w:val="0"/>
      <w:marBottom w:val="0"/>
      <w:divBdr>
        <w:top w:val="none" w:sz="0" w:space="0" w:color="auto"/>
        <w:left w:val="none" w:sz="0" w:space="0" w:color="auto"/>
        <w:bottom w:val="none" w:sz="0" w:space="0" w:color="auto"/>
        <w:right w:val="none" w:sz="0" w:space="0" w:color="auto"/>
      </w:divBdr>
      <w:divsChild>
        <w:div w:id="353651036">
          <w:marLeft w:val="0"/>
          <w:marRight w:val="0"/>
          <w:marTop w:val="0"/>
          <w:marBottom w:val="0"/>
          <w:divBdr>
            <w:top w:val="none" w:sz="0" w:space="0" w:color="auto"/>
            <w:left w:val="none" w:sz="0" w:space="0" w:color="auto"/>
            <w:bottom w:val="dotted" w:sz="6" w:space="4" w:color="DDDDDD"/>
            <w:right w:val="none" w:sz="0" w:space="0" w:color="auto"/>
          </w:divBdr>
          <w:divsChild>
            <w:div w:id="15607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238828">
      <w:bodyDiv w:val="1"/>
      <w:marLeft w:val="0"/>
      <w:marRight w:val="0"/>
      <w:marTop w:val="0"/>
      <w:marBottom w:val="0"/>
      <w:divBdr>
        <w:top w:val="none" w:sz="0" w:space="0" w:color="auto"/>
        <w:left w:val="none" w:sz="0" w:space="0" w:color="auto"/>
        <w:bottom w:val="none" w:sz="0" w:space="0" w:color="auto"/>
        <w:right w:val="none" w:sz="0" w:space="0" w:color="auto"/>
      </w:divBdr>
      <w:divsChild>
        <w:div w:id="1312636825">
          <w:marLeft w:val="0"/>
          <w:marRight w:val="0"/>
          <w:marTop w:val="0"/>
          <w:marBottom w:val="0"/>
          <w:divBdr>
            <w:top w:val="none" w:sz="0" w:space="0" w:color="auto"/>
            <w:left w:val="none" w:sz="0" w:space="0" w:color="auto"/>
            <w:bottom w:val="dotted" w:sz="6" w:space="4" w:color="DDDDDD"/>
            <w:right w:val="none" w:sz="0" w:space="0" w:color="auto"/>
          </w:divBdr>
          <w:divsChild>
            <w:div w:id="51446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389644">
      <w:bodyDiv w:val="1"/>
      <w:marLeft w:val="0"/>
      <w:marRight w:val="0"/>
      <w:marTop w:val="0"/>
      <w:marBottom w:val="0"/>
      <w:divBdr>
        <w:top w:val="none" w:sz="0" w:space="0" w:color="auto"/>
        <w:left w:val="none" w:sz="0" w:space="0" w:color="auto"/>
        <w:bottom w:val="none" w:sz="0" w:space="0" w:color="auto"/>
        <w:right w:val="none" w:sz="0" w:space="0" w:color="auto"/>
      </w:divBdr>
      <w:divsChild>
        <w:div w:id="591623913">
          <w:marLeft w:val="0"/>
          <w:marRight w:val="0"/>
          <w:marTop w:val="0"/>
          <w:marBottom w:val="0"/>
          <w:divBdr>
            <w:top w:val="none" w:sz="0" w:space="0" w:color="auto"/>
            <w:left w:val="none" w:sz="0" w:space="0" w:color="auto"/>
            <w:bottom w:val="none" w:sz="0" w:space="0" w:color="auto"/>
            <w:right w:val="none" w:sz="0" w:space="0" w:color="auto"/>
          </w:divBdr>
          <w:divsChild>
            <w:div w:id="90114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305">
      <w:bodyDiv w:val="1"/>
      <w:marLeft w:val="0"/>
      <w:marRight w:val="0"/>
      <w:marTop w:val="0"/>
      <w:marBottom w:val="0"/>
      <w:divBdr>
        <w:top w:val="none" w:sz="0" w:space="0" w:color="auto"/>
        <w:left w:val="none" w:sz="0" w:space="0" w:color="auto"/>
        <w:bottom w:val="none" w:sz="0" w:space="0" w:color="auto"/>
        <w:right w:val="none" w:sz="0" w:space="0" w:color="auto"/>
      </w:divBdr>
      <w:divsChild>
        <w:div w:id="619723957">
          <w:marLeft w:val="0"/>
          <w:marRight w:val="0"/>
          <w:marTop w:val="0"/>
          <w:marBottom w:val="0"/>
          <w:divBdr>
            <w:top w:val="none" w:sz="0" w:space="0" w:color="auto"/>
            <w:left w:val="none" w:sz="0" w:space="0" w:color="auto"/>
            <w:bottom w:val="none" w:sz="0" w:space="0" w:color="auto"/>
            <w:right w:val="none" w:sz="0" w:space="0" w:color="auto"/>
          </w:divBdr>
          <w:divsChild>
            <w:div w:id="663818963">
              <w:marLeft w:val="0"/>
              <w:marRight w:val="0"/>
              <w:marTop w:val="0"/>
              <w:marBottom w:val="0"/>
              <w:divBdr>
                <w:top w:val="none" w:sz="0" w:space="0" w:color="auto"/>
                <w:left w:val="none" w:sz="0" w:space="0" w:color="auto"/>
                <w:bottom w:val="none" w:sz="0" w:space="0" w:color="auto"/>
                <w:right w:val="none" w:sz="0" w:space="0" w:color="auto"/>
              </w:divBdr>
            </w:div>
          </w:divsChild>
        </w:div>
        <w:div w:id="2127120859">
          <w:marLeft w:val="0"/>
          <w:marRight w:val="0"/>
          <w:marTop w:val="0"/>
          <w:marBottom w:val="0"/>
          <w:divBdr>
            <w:top w:val="none" w:sz="0" w:space="0" w:color="auto"/>
            <w:left w:val="none" w:sz="0" w:space="0" w:color="auto"/>
            <w:bottom w:val="none" w:sz="0" w:space="0" w:color="auto"/>
            <w:right w:val="none" w:sz="0" w:space="0" w:color="auto"/>
          </w:divBdr>
        </w:div>
      </w:divsChild>
    </w:div>
    <w:div w:id="1752775339">
      <w:bodyDiv w:val="1"/>
      <w:marLeft w:val="0"/>
      <w:marRight w:val="0"/>
      <w:marTop w:val="0"/>
      <w:marBottom w:val="0"/>
      <w:divBdr>
        <w:top w:val="none" w:sz="0" w:space="0" w:color="auto"/>
        <w:left w:val="none" w:sz="0" w:space="0" w:color="auto"/>
        <w:bottom w:val="none" w:sz="0" w:space="0" w:color="auto"/>
        <w:right w:val="none" w:sz="0" w:space="0" w:color="auto"/>
      </w:divBdr>
      <w:divsChild>
        <w:div w:id="105852186">
          <w:marLeft w:val="0"/>
          <w:marRight w:val="0"/>
          <w:marTop w:val="0"/>
          <w:marBottom w:val="150"/>
          <w:divBdr>
            <w:top w:val="none" w:sz="0" w:space="0" w:color="auto"/>
            <w:left w:val="none" w:sz="0" w:space="0" w:color="auto"/>
            <w:bottom w:val="none" w:sz="0" w:space="0" w:color="auto"/>
            <w:right w:val="none" w:sz="0" w:space="0" w:color="auto"/>
          </w:divBdr>
          <w:divsChild>
            <w:div w:id="500312711">
              <w:marLeft w:val="0"/>
              <w:marRight w:val="0"/>
              <w:marTop w:val="0"/>
              <w:marBottom w:val="0"/>
              <w:divBdr>
                <w:top w:val="none" w:sz="0" w:space="0" w:color="auto"/>
                <w:left w:val="none" w:sz="0" w:space="0" w:color="auto"/>
                <w:bottom w:val="none" w:sz="0" w:space="0" w:color="auto"/>
                <w:right w:val="none" w:sz="0" w:space="0" w:color="auto"/>
              </w:divBdr>
            </w:div>
          </w:divsChild>
        </w:div>
        <w:div w:id="832187695">
          <w:marLeft w:val="0"/>
          <w:marRight w:val="0"/>
          <w:marTop w:val="0"/>
          <w:marBottom w:val="0"/>
          <w:divBdr>
            <w:top w:val="none" w:sz="0" w:space="0" w:color="auto"/>
            <w:left w:val="none" w:sz="0" w:space="0" w:color="auto"/>
            <w:bottom w:val="none" w:sz="0" w:space="0" w:color="auto"/>
            <w:right w:val="none" w:sz="0" w:space="0" w:color="auto"/>
          </w:divBdr>
          <w:divsChild>
            <w:div w:id="920218779">
              <w:marLeft w:val="0"/>
              <w:marRight w:val="0"/>
              <w:marTop w:val="0"/>
              <w:marBottom w:val="0"/>
              <w:divBdr>
                <w:top w:val="none" w:sz="0" w:space="0" w:color="auto"/>
                <w:left w:val="none" w:sz="0" w:space="0" w:color="auto"/>
                <w:bottom w:val="none" w:sz="0" w:space="0" w:color="auto"/>
                <w:right w:val="none" w:sz="0" w:space="0" w:color="auto"/>
              </w:divBdr>
            </w:div>
          </w:divsChild>
        </w:div>
        <w:div w:id="1400978075">
          <w:marLeft w:val="0"/>
          <w:marRight w:val="0"/>
          <w:marTop w:val="0"/>
          <w:marBottom w:val="150"/>
          <w:divBdr>
            <w:top w:val="none" w:sz="0" w:space="0" w:color="auto"/>
            <w:left w:val="none" w:sz="0" w:space="0" w:color="auto"/>
            <w:bottom w:val="none" w:sz="0" w:space="0" w:color="auto"/>
            <w:right w:val="none" w:sz="0" w:space="0" w:color="auto"/>
          </w:divBdr>
        </w:div>
      </w:divsChild>
    </w:div>
    <w:div w:id="1752779041">
      <w:bodyDiv w:val="1"/>
      <w:marLeft w:val="0"/>
      <w:marRight w:val="0"/>
      <w:marTop w:val="0"/>
      <w:marBottom w:val="0"/>
      <w:divBdr>
        <w:top w:val="none" w:sz="0" w:space="0" w:color="auto"/>
        <w:left w:val="none" w:sz="0" w:space="0" w:color="auto"/>
        <w:bottom w:val="none" w:sz="0" w:space="0" w:color="auto"/>
        <w:right w:val="none" w:sz="0" w:space="0" w:color="auto"/>
      </w:divBdr>
      <w:divsChild>
        <w:div w:id="107967007">
          <w:marLeft w:val="0"/>
          <w:marRight w:val="0"/>
          <w:marTop w:val="0"/>
          <w:marBottom w:val="150"/>
          <w:divBdr>
            <w:top w:val="none" w:sz="0" w:space="0" w:color="auto"/>
            <w:left w:val="none" w:sz="0" w:space="0" w:color="auto"/>
            <w:bottom w:val="none" w:sz="0" w:space="0" w:color="auto"/>
            <w:right w:val="none" w:sz="0" w:space="0" w:color="auto"/>
          </w:divBdr>
        </w:div>
        <w:div w:id="807093756">
          <w:marLeft w:val="0"/>
          <w:marRight w:val="0"/>
          <w:marTop w:val="0"/>
          <w:marBottom w:val="0"/>
          <w:divBdr>
            <w:top w:val="none" w:sz="0" w:space="0" w:color="auto"/>
            <w:left w:val="none" w:sz="0" w:space="0" w:color="auto"/>
            <w:bottom w:val="none" w:sz="0" w:space="0" w:color="auto"/>
            <w:right w:val="none" w:sz="0" w:space="0" w:color="auto"/>
          </w:divBdr>
          <w:divsChild>
            <w:div w:id="64805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15717">
      <w:bodyDiv w:val="1"/>
      <w:marLeft w:val="0"/>
      <w:marRight w:val="0"/>
      <w:marTop w:val="0"/>
      <w:marBottom w:val="0"/>
      <w:divBdr>
        <w:top w:val="none" w:sz="0" w:space="0" w:color="auto"/>
        <w:left w:val="none" w:sz="0" w:space="0" w:color="auto"/>
        <w:bottom w:val="none" w:sz="0" w:space="0" w:color="auto"/>
        <w:right w:val="none" w:sz="0" w:space="0" w:color="auto"/>
      </w:divBdr>
    </w:div>
    <w:div w:id="1753507470">
      <w:bodyDiv w:val="1"/>
      <w:marLeft w:val="0"/>
      <w:marRight w:val="0"/>
      <w:marTop w:val="0"/>
      <w:marBottom w:val="0"/>
      <w:divBdr>
        <w:top w:val="none" w:sz="0" w:space="0" w:color="auto"/>
        <w:left w:val="none" w:sz="0" w:space="0" w:color="auto"/>
        <w:bottom w:val="none" w:sz="0" w:space="0" w:color="auto"/>
        <w:right w:val="none" w:sz="0" w:space="0" w:color="auto"/>
      </w:divBdr>
      <w:divsChild>
        <w:div w:id="730006881">
          <w:marLeft w:val="0"/>
          <w:marRight w:val="0"/>
          <w:marTop w:val="0"/>
          <w:marBottom w:val="0"/>
          <w:divBdr>
            <w:top w:val="none" w:sz="0" w:space="0" w:color="auto"/>
            <w:left w:val="none" w:sz="0" w:space="0" w:color="auto"/>
            <w:bottom w:val="dotted" w:sz="6" w:space="4" w:color="DDDDDD"/>
            <w:right w:val="none" w:sz="0" w:space="0" w:color="auto"/>
          </w:divBdr>
          <w:divsChild>
            <w:div w:id="25088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695232">
      <w:bodyDiv w:val="1"/>
      <w:marLeft w:val="0"/>
      <w:marRight w:val="0"/>
      <w:marTop w:val="0"/>
      <w:marBottom w:val="0"/>
      <w:divBdr>
        <w:top w:val="none" w:sz="0" w:space="0" w:color="auto"/>
        <w:left w:val="none" w:sz="0" w:space="0" w:color="auto"/>
        <w:bottom w:val="none" w:sz="0" w:space="0" w:color="auto"/>
        <w:right w:val="none" w:sz="0" w:space="0" w:color="auto"/>
      </w:divBdr>
    </w:div>
    <w:div w:id="1754231129">
      <w:bodyDiv w:val="1"/>
      <w:marLeft w:val="0"/>
      <w:marRight w:val="0"/>
      <w:marTop w:val="0"/>
      <w:marBottom w:val="0"/>
      <w:divBdr>
        <w:top w:val="none" w:sz="0" w:space="0" w:color="auto"/>
        <w:left w:val="none" w:sz="0" w:space="0" w:color="auto"/>
        <w:bottom w:val="none" w:sz="0" w:space="0" w:color="auto"/>
        <w:right w:val="none" w:sz="0" w:space="0" w:color="auto"/>
      </w:divBdr>
      <w:divsChild>
        <w:div w:id="89669025">
          <w:marLeft w:val="0"/>
          <w:marRight w:val="0"/>
          <w:marTop w:val="0"/>
          <w:marBottom w:val="0"/>
          <w:divBdr>
            <w:top w:val="none" w:sz="0" w:space="0" w:color="auto"/>
            <w:left w:val="none" w:sz="0" w:space="0" w:color="auto"/>
            <w:bottom w:val="none" w:sz="0" w:space="0" w:color="auto"/>
            <w:right w:val="none" w:sz="0" w:space="0" w:color="auto"/>
          </w:divBdr>
          <w:divsChild>
            <w:div w:id="1924531831">
              <w:marLeft w:val="0"/>
              <w:marRight w:val="0"/>
              <w:marTop w:val="0"/>
              <w:marBottom w:val="0"/>
              <w:divBdr>
                <w:top w:val="none" w:sz="0" w:space="0" w:color="auto"/>
                <w:left w:val="none" w:sz="0" w:space="0" w:color="auto"/>
                <w:bottom w:val="none" w:sz="0" w:space="0" w:color="auto"/>
                <w:right w:val="none" w:sz="0" w:space="0" w:color="auto"/>
              </w:divBdr>
              <w:divsChild>
                <w:div w:id="39208988">
                  <w:marLeft w:val="0"/>
                  <w:marRight w:val="0"/>
                  <w:marTop w:val="0"/>
                  <w:marBottom w:val="0"/>
                  <w:divBdr>
                    <w:top w:val="none" w:sz="0" w:space="0" w:color="auto"/>
                    <w:left w:val="none" w:sz="0" w:space="0" w:color="auto"/>
                    <w:bottom w:val="none" w:sz="0" w:space="0" w:color="auto"/>
                    <w:right w:val="none" w:sz="0" w:space="0" w:color="auto"/>
                  </w:divBdr>
                  <w:divsChild>
                    <w:div w:id="1686059169">
                      <w:marLeft w:val="0"/>
                      <w:marRight w:val="0"/>
                      <w:marTop w:val="0"/>
                      <w:marBottom w:val="0"/>
                      <w:divBdr>
                        <w:top w:val="none" w:sz="0" w:space="0" w:color="auto"/>
                        <w:left w:val="none" w:sz="0" w:space="0" w:color="auto"/>
                        <w:bottom w:val="none" w:sz="0" w:space="0" w:color="auto"/>
                        <w:right w:val="none" w:sz="0" w:space="0" w:color="auto"/>
                      </w:divBdr>
                      <w:divsChild>
                        <w:div w:id="1918705966">
                          <w:marLeft w:val="0"/>
                          <w:marRight w:val="0"/>
                          <w:marTop w:val="0"/>
                          <w:marBottom w:val="0"/>
                          <w:divBdr>
                            <w:top w:val="none" w:sz="0" w:space="0" w:color="auto"/>
                            <w:left w:val="none" w:sz="0" w:space="0" w:color="auto"/>
                            <w:bottom w:val="none" w:sz="0" w:space="0" w:color="auto"/>
                            <w:right w:val="none" w:sz="0" w:space="0" w:color="auto"/>
                          </w:divBdr>
                          <w:divsChild>
                            <w:div w:id="1458793913">
                              <w:marLeft w:val="0"/>
                              <w:marRight w:val="0"/>
                              <w:marTop w:val="0"/>
                              <w:marBottom w:val="0"/>
                              <w:divBdr>
                                <w:top w:val="none" w:sz="0" w:space="0" w:color="auto"/>
                                <w:left w:val="none" w:sz="0" w:space="0" w:color="auto"/>
                                <w:bottom w:val="none" w:sz="0" w:space="0" w:color="auto"/>
                                <w:right w:val="none" w:sz="0" w:space="0" w:color="auto"/>
                              </w:divBdr>
                              <w:divsChild>
                                <w:div w:id="1289779057">
                                  <w:marLeft w:val="0"/>
                                  <w:marRight w:val="0"/>
                                  <w:marTop w:val="0"/>
                                  <w:marBottom w:val="0"/>
                                  <w:divBdr>
                                    <w:top w:val="none" w:sz="0" w:space="0" w:color="auto"/>
                                    <w:left w:val="none" w:sz="0" w:space="0" w:color="auto"/>
                                    <w:bottom w:val="none" w:sz="0" w:space="0" w:color="auto"/>
                                    <w:right w:val="none" w:sz="0" w:space="0" w:color="auto"/>
                                  </w:divBdr>
                                  <w:divsChild>
                                    <w:div w:id="138668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4667368">
      <w:bodyDiv w:val="1"/>
      <w:marLeft w:val="0"/>
      <w:marRight w:val="0"/>
      <w:marTop w:val="0"/>
      <w:marBottom w:val="0"/>
      <w:divBdr>
        <w:top w:val="none" w:sz="0" w:space="0" w:color="auto"/>
        <w:left w:val="none" w:sz="0" w:space="0" w:color="auto"/>
        <w:bottom w:val="none" w:sz="0" w:space="0" w:color="auto"/>
        <w:right w:val="none" w:sz="0" w:space="0" w:color="auto"/>
      </w:divBdr>
      <w:divsChild>
        <w:div w:id="1098989805">
          <w:marLeft w:val="0"/>
          <w:marRight w:val="0"/>
          <w:marTop w:val="0"/>
          <w:marBottom w:val="225"/>
          <w:divBdr>
            <w:top w:val="none" w:sz="0" w:space="0" w:color="auto"/>
            <w:left w:val="none" w:sz="0" w:space="0" w:color="auto"/>
            <w:bottom w:val="none" w:sz="0" w:space="0" w:color="auto"/>
            <w:right w:val="none" w:sz="0" w:space="0" w:color="auto"/>
          </w:divBdr>
          <w:divsChild>
            <w:div w:id="1139108746">
              <w:marLeft w:val="0"/>
              <w:marRight w:val="0"/>
              <w:marTop w:val="0"/>
              <w:marBottom w:val="0"/>
              <w:divBdr>
                <w:top w:val="none" w:sz="0" w:space="0" w:color="auto"/>
                <w:left w:val="none" w:sz="0" w:space="0" w:color="auto"/>
                <w:bottom w:val="none" w:sz="0" w:space="0" w:color="auto"/>
                <w:right w:val="none" w:sz="0" w:space="0" w:color="auto"/>
              </w:divBdr>
            </w:div>
          </w:divsChild>
        </w:div>
        <w:div w:id="1755474936">
          <w:marLeft w:val="0"/>
          <w:marRight w:val="0"/>
          <w:marTop w:val="0"/>
          <w:marBottom w:val="225"/>
          <w:divBdr>
            <w:top w:val="none" w:sz="0" w:space="0" w:color="auto"/>
            <w:left w:val="none" w:sz="0" w:space="0" w:color="auto"/>
            <w:bottom w:val="none" w:sz="0" w:space="0" w:color="auto"/>
            <w:right w:val="none" w:sz="0" w:space="0" w:color="auto"/>
          </w:divBdr>
        </w:div>
      </w:divsChild>
    </w:div>
    <w:div w:id="1754858598">
      <w:bodyDiv w:val="1"/>
      <w:marLeft w:val="0"/>
      <w:marRight w:val="0"/>
      <w:marTop w:val="0"/>
      <w:marBottom w:val="0"/>
      <w:divBdr>
        <w:top w:val="none" w:sz="0" w:space="0" w:color="auto"/>
        <w:left w:val="none" w:sz="0" w:space="0" w:color="auto"/>
        <w:bottom w:val="none" w:sz="0" w:space="0" w:color="auto"/>
        <w:right w:val="none" w:sz="0" w:space="0" w:color="auto"/>
      </w:divBdr>
      <w:divsChild>
        <w:div w:id="1069959566">
          <w:marLeft w:val="0"/>
          <w:marRight w:val="0"/>
          <w:marTop w:val="0"/>
          <w:marBottom w:val="0"/>
          <w:divBdr>
            <w:top w:val="none" w:sz="0" w:space="0" w:color="auto"/>
            <w:left w:val="none" w:sz="0" w:space="0" w:color="auto"/>
            <w:bottom w:val="dotted" w:sz="6" w:space="4" w:color="DDDDDD"/>
            <w:right w:val="none" w:sz="0" w:space="0" w:color="auto"/>
          </w:divBdr>
          <w:divsChild>
            <w:div w:id="49442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928928">
      <w:bodyDiv w:val="1"/>
      <w:marLeft w:val="0"/>
      <w:marRight w:val="0"/>
      <w:marTop w:val="0"/>
      <w:marBottom w:val="0"/>
      <w:divBdr>
        <w:top w:val="none" w:sz="0" w:space="0" w:color="auto"/>
        <w:left w:val="none" w:sz="0" w:space="0" w:color="auto"/>
        <w:bottom w:val="none" w:sz="0" w:space="0" w:color="auto"/>
        <w:right w:val="none" w:sz="0" w:space="0" w:color="auto"/>
      </w:divBdr>
      <w:divsChild>
        <w:div w:id="1910925228">
          <w:marLeft w:val="0"/>
          <w:marRight w:val="0"/>
          <w:marTop w:val="0"/>
          <w:marBottom w:val="0"/>
          <w:divBdr>
            <w:top w:val="none" w:sz="0" w:space="0" w:color="auto"/>
            <w:left w:val="none" w:sz="0" w:space="0" w:color="auto"/>
            <w:bottom w:val="none" w:sz="0" w:space="0" w:color="auto"/>
            <w:right w:val="none" w:sz="0" w:space="0" w:color="auto"/>
          </w:divBdr>
          <w:divsChild>
            <w:div w:id="33969371">
              <w:marLeft w:val="0"/>
              <w:marRight w:val="0"/>
              <w:marTop w:val="0"/>
              <w:marBottom w:val="0"/>
              <w:divBdr>
                <w:top w:val="none" w:sz="0" w:space="0" w:color="auto"/>
                <w:left w:val="none" w:sz="0" w:space="0" w:color="auto"/>
                <w:bottom w:val="none" w:sz="0" w:space="0" w:color="auto"/>
                <w:right w:val="none" w:sz="0" w:space="0" w:color="auto"/>
              </w:divBdr>
            </w:div>
            <w:div w:id="697973553">
              <w:marLeft w:val="0"/>
              <w:marRight w:val="0"/>
              <w:marTop w:val="0"/>
              <w:marBottom w:val="0"/>
              <w:divBdr>
                <w:top w:val="none" w:sz="0" w:space="0" w:color="auto"/>
                <w:left w:val="none" w:sz="0" w:space="0" w:color="auto"/>
                <w:bottom w:val="none" w:sz="0" w:space="0" w:color="auto"/>
                <w:right w:val="none" w:sz="0" w:space="0" w:color="auto"/>
              </w:divBdr>
            </w:div>
            <w:div w:id="703211249">
              <w:marLeft w:val="0"/>
              <w:marRight w:val="0"/>
              <w:marTop w:val="0"/>
              <w:marBottom w:val="0"/>
              <w:divBdr>
                <w:top w:val="none" w:sz="0" w:space="0" w:color="auto"/>
                <w:left w:val="none" w:sz="0" w:space="0" w:color="auto"/>
                <w:bottom w:val="none" w:sz="0" w:space="0" w:color="auto"/>
                <w:right w:val="none" w:sz="0" w:space="0" w:color="auto"/>
              </w:divBdr>
            </w:div>
            <w:div w:id="1383869551">
              <w:marLeft w:val="0"/>
              <w:marRight w:val="0"/>
              <w:marTop w:val="0"/>
              <w:marBottom w:val="0"/>
              <w:divBdr>
                <w:top w:val="none" w:sz="0" w:space="0" w:color="auto"/>
                <w:left w:val="none" w:sz="0" w:space="0" w:color="auto"/>
                <w:bottom w:val="none" w:sz="0" w:space="0" w:color="auto"/>
                <w:right w:val="none" w:sz="0" w:space="0" w:color="auto"/>
              </w:divBdr>
            </w:div>
            <w:div w:id="1535264999">
              <w:marLeft w:val="0"/>
              <w:marRight w:val="0"/>
              <w:marTop w:val="0"/>
              <w:marBottom w:val="0"/>
              <w:divBdr>
                <w:top w:val="none" w:sz="0" w:space="0" w:color="auto"/>
                <w:left w:val="none" w:sz="0" w:space="0" w:color="auto"/>
                <w:bottom w:val="none" w:sz="0" w:space="0" w:color="auto"/>
                <w:right w:val="none" w:sz="0" w:space="0" w:color="auto"/>
              </w:divBdr>
            </w:div>
            <w:div w:id="209932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006507">
      <w:bodyDiv w:val="1"/>
      <w:marLeft w:val="0"/>
      <w:marRight w:val="0"/>
      <w:marTop w:val="0"/>
      <w:marBottom w:val="0"/>
      <w:divBdr>
        <w:top w:val="none" w:sz="0" w:space="0" w:color="auto"/>
        <w:left w:val="none" w:sz="0" w:space="0" w:color="auto"/>
        <w:bottom w:val="none" w:sz="0" w:space="0" w:color="auto"/>
        <w:right w:val="none" w:sz="0" w:space="0" w:color="auto"/>
      </w:divBdr>
      <w:divsChild>
        <w:div w:id="1796679922">
          <w:marLeft w:val="0"/>
          <w:marRight w:val="0"/>
          <w:marTop w:val="0"/>
          <w:marBottom w:val="0"/>
          <w:divBdr>
            <w:top w:val="none" w:sz="0" w:space="0" w:color="auto"/>
            <w:left w:val="none" w:sz="0" w:space="0" w:color="auto"/>
            <w:bottom w:val="none" w:sz="0" w:space="0" w:color="auto"/>
            <w:right w:val="none" w:sz="0" w:space="0" w:color="auto"/>
          </w:divBdr>
          <w:divsChild>
            <w:div w:id="1728799670">
              <w:marLeft w:val="0"/>
              <w:marRight w:val="0"/>
              <w:marTop w:val="0"/>
              <w:marBottom w:val="0"/>
              <w:divBdr>
                <w:top w:val="none" w:sz="0" w:space="0" w:color="auto"/>
                <w:left w:val="none" w:sz="0" w:space="0" w:color="auto"/>
                <w:bottom w:val="none" w:sz="0" w:space="0" w:color="auto"/>
                <w:right w:val="none" w:sz="0" w:space="0" w:color="auto"/>
              </w:divBdr>
              <w:divsChild>
                <w:div w:id="929193406">
                  <w:marLeft w:val="0"/>
                  <w:marRight w:val="0"/>
                  <w:marTop w:val="0"/>
                  <w:marBottom w:val="0"/>
                  <w:divBdr>
                    <w:top w:val="none" w:sz="0" w:space="0" w:color="auto"/>
                    <w:left w:val="none" w:sz="0" w:space="0" w:color="auto"/>
                    <w:bottom w:val="none" w:sz="0" w:space="0" w:color="auto"/>
                    <w:right w:val="none" w:sz="0" w:space="0" w:color="auto"/>
                  </w:divBdr>
                  <w:divsChild>
                    <w:div w:id="121773012">
                      <w:marLeft w:val="0"/>
                      <w:marRight w:val="0"/>
                      <w:marTop w:val="0"/>
                      <w:marBottom w:val="0"/>
                      <w:divBdr>
                        <w:top w:val="none" w:sz="0" w:space="0" w:color="auto"/>
                        <w:left w:val="none" w:sz="0" w:space="0" w:color="auto"/>
                        <w:bottom w:val="none" w:sz="0" w:space="0" w:color="auto"/>
                        <w:right w:val="none" w:sz="0" w:space="0" w:color="auto"/>
                      </w:divBdr>
                      <w:divsChild>
                        <w:div w:id="992831665">
                          <w:marLeft w:val="0"/>
                          <w:marRight w:val="0"/>
                          <w:marTop w:val="0"/>
                          <w:marBottom w:val="0"/>
                          <w:divBdr>
                            <w:top w:val="none" w:sz="0" w:space="0" w:color="auto"/>
                            <w:left w:val="none" w:sz="0" w:space="0" w:color="auto"/>
                            <w:bottom w:val="none" w:sz="0" w:space="0" w:color="auto"/>
                            <w:right w:val="none" w:sz="0" w:space="0" w:color="auto"/>
                          </w:divBdr>
                          <w:divsChild>
                            <w:div w:id="115664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080961">
      <w:bodyDiv w:val="1"/>
      <w:marLeft w:val="0"/>
      <w:marRight w:val="0"/>
      <w:marTop w:val="0"/>
      <w:marBottom w:val="0"/>
      <w:divBdr>
        <w:top w:val="none" w:sz="0" w:space="0" w:color="auto"/>
        <w:left w:val="none" w:sz="0" w:space="0" w:color="auto"/>
        <w:bottom w:val="none" w:sz="0" w:space="0" w:color="auto"/>
        <w:right w:val="none" w:sz="0" w:space="0" w:color="auto"/>
      </w:divBdr>
      <w:divsChild>
        <w:div w:id="107166840">
          <w:marLeft w:val="0"/>
          <w:marRight w:val="0"/>
          <w:marTop w:val="0"/>
          <w:marBottom w:val="150"/>
          <w:divBdr>
            <w:top w:val="none" w:sz="0" w:space="0" w:color="auto"/>
            <w:left w:val="none" w:sz="0" w:space="0" w:color="auto"/>
            <w:bottom w:val="none" w:sz="0" w:space="0" w:color="auto"/>
            <w:right w:val="none" w:sz="0" w:space="0" w:color="auto"/>
          </w:divBdr>
          <w:divsChild>
            <w:div w:id="572204455">
              <w:marLeft w:val="0"/>
              <w:marRight w:val="0"/>
              <w:marTop w:val="0"/>
              <w:marBottom w:val="0"/>
              <w:divBdr>
                <w:top w:val="none" w:sz="0" w:space="0" w:color="auto"/>
                <w:left w:val="none" w:sz="0" w:space="0" w:color="auto"/>
                <w:bottom w:val="none" w:sz="0" w:space="0" w:color="auto"/>
                <w:right w:val="none" w:sz="0" w:space="0" w:color="auto"/>
              </w:divBdr>
            </w:div>
          </w:divsChild>
        </w:div>
        <w:div w:id="458452475">
          <w:marLeft w:val="0"/>
          <w:marRight w:val="0"/>
          <w:marTop w:val="0"/>
          <w:marBottom w:val="0"/>
          <w:divBdr>
            <w:top w:val="none" w:sz="0" w:space="0" w:color="auto"/>
            <w:left w:val="none" w:sz="0" w:space="0" w:color="auto"/>
            <w:bottom w:val="none" w:sz="0" w:space="0" w:color="auto"/>
            <w:right w:val="none" w:sz="0" w:space="0" w:color="auto"/>
          </w:divBdr>
          <w:divsChild>
            <w:div w:id="1203715704">
              <w:marLeft w:val="0"/>
              <w:marRight w:val="0"/>
              <w:marTop w:val="0"/>
              <w:marBottom w:val="0"/>
              <w:divBdr>
                <w:top w:val="none" w:sz="0" w:space="0" w:color="auto"/>
                <w:left w:val="none" w:sz="0" w:space="0" w:color="auto"/>
                <w:bottom w:val="none" w:sz="0" w:space="0" w:color="auto"/>
                <w:right w:val="none" w:sz="0" w:space="0" w:color="auto"/>
              </w:divBdr>
            </w:div>
            <w:div w:id="14168533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55084322">
      <w:bodyDiv w:val="1"/>
      <w:marLeft w:val="0"/>
      <w:marRight w:val="0"/>
      <w:marTop w:val="0"/>
      <w:marBottom w:val="0"/>
      <w:divBdr>
        <w:top w:val="none" w:sz="0" w:space="0" w:color="auto"/>
        <w:left w:val="none" w:sz="0" w:space="0" w:color="auto"/>
        <w:bottom w:val="none" w:sz="0" w:space="0" w:color="auto"/>
        <w:right w:val="none" w:sz="0" w:space="0" w:color="auto"/>
      </w:divBdr>
      <w:divsChild>
        <w:div w:id="646014806">
          <w:marLeft w:val="0"/>
          <w:marRight w:val="0"/>
          <w:marTop w:val="0"/>
          <w:marBottom w:val="0"/>
          <w:divBdr>
            <w:top w:val="none" w:sz="0" w:space="0" w:color="auto"/>
            <w:left w:val="none" w:sz="0" w:space="0" w:color="auto"/>
            <w:bottom w:val="none" w:sz="0" w:space="0" w:color="auto"/>
            <w:right w:val="none" w:sz="0" w:space="0" w:color="auto"/>
          </w:divBdr>
          <w:divsChild>
            <w:div w:id="939219498">
              <w:marLeft w:val="0"/>
              <w:marRight w:val="0"/>
              <w:marTop w:val="0"/>
              <w:marBottom w:val="0"/>
              <w:divBdr>
                <w:top w:val="none" w:sz="0" w:space="0" w:color="auto"/>
                <w:left w:val="none" w:sz="0" w:space="0" w:color="auto"/>
                <w:bottom w:val="none" w:sz="0" w:space="0" w:color="auto"/>
                <w:right w:val="none" w:sz="0" w:space="0" w:color="auto"/>
              </w:divBdr>
              <w:divsChild>
                <w:div w:id="1804081195">
                  <w:marLeft w:val="0"/>
                  <w:marRight w:val="0"/>
                  <w:marTop w:val="0"/>
                  <w:marBottom w:val="0"/>
                  <w:divBdr>
                    <w:top w:val="none" w:sz="0" w:space="0" w:color="auto"/>
                    <w:left w:val="none" w:sz="0" w:space="0" w:color="auto"/>
                    <w:bottom w:val="none" w:sz="0" w:space="0" w:color="auto"/>
                    <w:right w:val="none" w:sz="0" w:space="0" w:color="auto"/>
                  </w:divBdr>
                  <w:divsChild>
                    <w:div w:id="70007491">
                      <w:marLeft w:val="0"/>
                      <w:marRight w:val="0"/>
                      <w:marTop w:val="0"/>
                      <w:marBottom w:val="0"/>
                      <w:divBdr>
                        <w:top w:val="none" w:sz="0" w:space="0" w:color="auto"/>
                        <w:left w:val="none" w:sz="0" w:space="0" w:color="auto"/>
                        <w:bottom w:val="none" w:sz="0" w:space="0" w:color="auto"/>
                        <w:right w:val="none" w:sz="0" w:space="0" w:color="auto"/>
                      </w:divBdr>
                      <w:divsChild>
                        <w:div w:id="1669560192">
                          <w:marLeft w:val="0"/>
                          <w:marRight w:val="0"/>
                          <w:marTop w:val="0"/>
                          <w:marBottom w:val="0"/>
                          <w:divBdr>
                            <w:top w:val="none" w:sz="0" w:space="0" w:color="auto"/>
                            <w:left w:val="none" w:sz="0" w:space="0" w:color="auto"/>
                            <w:bottom w:val="none" w:sz="0" w:space="0" w:color="auto"/>
                            <w:right w:val="none" w:sz="0" w:space="0" w:color="auto"/>
                          </w:divBdr>
                          <w:divsChild>
                            <w:div w:id="1976373522">
                              <w:marLeft w:val="0"/>
                              <w:marRight w:val="0"/>
                              <w:marTop w:val="0"/>
                              <w:marBottom w:val="0"/>
                              <w:divBdr>
                                <w:top w:val="none" w:sz="0" w:space="0" w:color="auto"/>
                                <w:left w:val="none" w:sz="0" w:space="0" w:color="auto"/>
                                <w:bottom w:val="none" w:sz="0" w:space="0" w:color="auto"/>
                                <w:right w:val="none" w:sz="0" w:space="0" w:color="auto"/>
                              </w:divBdr>
                              <w:divsChild>
                                <w:div w:id="140050628">
                                  <w:marLeft w:val="0"/>
                                  <w:marRight w:val="0"/>
                                  <w:marTop w:val="0"/>
                                  <w:marBottom w:val="0"/>
                                  <w:divBdr>
                                    <w:top w:val="none" w:sz="0" w:space="0" w:color="auto"/>
                                    <w:left w:val="none" w:sz="0" w:space="0" w:color="auto"/>
                                    <w:bottom w:val="none" w:sz="0" w:space="0" w:color="auto"/>
                                    <w:right w:val="none" w:sz="0" w:space="0" w:color="auto"/>
                                  </w:divBdr>
                                  <w:divsChild>
                                    <w:div w:id="258102815">
                                      <w:marLeft w:val="0"/>
                                      <w:marRight w:val="0"/>
                                      <w:marTop w:val="0"/>
                                      <w:marBottom w:val="0"/>
                                      <w:divBdr>
                                        <w:top w:val="none" w:sz="0" w:space="0" w:color="auto"/>
                                        <w:left w:val="none" w:sz="0" w:space="0" w:color="auto"/>
                                        <w:bottom w:val="none" w:sz="0" w:space="0" w:color="auto"/>
                                        <w:right w:val="none" w:sz="0" w:space="0" w:color="auto"/>
                                      </w:divBdr>
                                      <w:divsChild>
                                        <w:div w:id="1332294803">
                                          <w:marLeft w:val="0"/>
                                          <w:marRight w:val="0"/>
                                          <w:marTop w:val="0"/>
                                          <w:marBottom w:val="0"/>
                                          <w:divBdr>
                                            <w:top w:val="none" w:sz="0" w:space="0" w:color="auto"/>
                                            <w:left w:val="none" w:sz="0" w:space="0" w:color="auto"/>
                                            <w:bottom w:val="none" w:sz="0" w:space="0" w:color="auto"/>
                                            <w:right w:val="none" w:sz="0" w:space="0" w:color="auto"/>
                                          </w:divBdr>
                                          <w:divsChild>
                                            <w:div w:id="249319502">
                                              <w:marLeft w:val="0"/>
                                              <w:marRight w:val="0"/>
                                              <w:marTop w:val="0"/>
                                              <w:marBottom w:val="0"/>
                                              <w:divBdr>
                                                <w:top w:val="none" w:sz="0" w:space="0" w:color="auto"/>
                                                <w:left w:val="none" w:sz="0" w:space="0" w:color="auto"/>
                                                <w:bottom w:val="none" w:sz="0" w:space="0" w:color="auto"/>
                                                <w:right w:val="none" w:sz="0" w:space="0" w:color="auto"/>
                                              </w:divBdr>
                                            </w:div>
                                            <w:div w:id="1736539334">
                                              <w:marLeft w:val="0"/>
                                              <w:marRight w:val="0"/>
                                              <w:marTop w:val="0"/>
                                              <w:marBottom w:val="0"/>
                                              <w:divBdr>
                                                <w:top w:val="none" w:sz="0" w:space="0" w:color="auto"/>
                                                <w:left w:val="none" w:sz="0" w:space="0" w:color="auto"/>
                                                <w:bottom w:val="none" w:sz="0" w:space="0" w:color="auto"/>
                                                <w:right w:val="none" w:sz="0" w:space="0" w:color="auto"/>
                                              </w:divBdr>
                                            </w:div>
                                            <w:div w:id="177166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5274915">
      <w:bodyDiv w:val="1"/>
      <w:marLeft w:val="0"/>
      <w:marRight w:val="0"/>
      <w:marTop w:val="0"/>
      <w:marBottom w:val="0"/>
      <w:divBdr>
        <w:top w:val="none" w:sz="0" w:space="0" w:color="auto"/>
        <w:left w:val="none" w:sz="0" w:space="0" w:color="auto"/>
        <w:bottom w:val="none" w:sz="0" w:space="0" w:color="auto"/>
        <w:right w:val="none" w:sz="0" w:space="0" w:color="auto"/>
      </w:divBdr>
      <w:divsChild>
        <w:div w:id="198395531">
          <w:marLeft w:val="0"/>
          <w:marRight w:val="0"/>
          <w:marTop w:val="0"/>
          <w:marBottom w:val="0"/>
          <w:divBdr>
            <w:top w:val="none" w:sz="0" w:space="0" w:color="auto"/>
            <w:left w:val="none" w:sz="0" w:space="0" w:color="auto"/>
            <w:bottom w:val="none" w:sz="0" w:space="0" w:color="auto"/>
            <w:right w:val="none" w:sz="0" w:space="0" w:color="auto"/>
          </w:divBdr>
          <w:divsChild>
            <w:div w:id="2042439856">
              <w:marLeft w:val="0"/>
              <w:marRight w:val="0"/>
              <w:marTop w:val="0"/>
              <w:marBottom w:val="0"/>
              <w:divBdr>
                <w:top w:val="none" w:sz="0" w:space="0" w:color="auto"/>
                <w:left w:val="none" w:sz="0" w:space="0" w:color="auto"/>
                <w:bottom w:val="none" w:sz="0" w:space="0" w:color="auto"/>
                <w:right w:val="none" w:sz="0" w:space="0" w:color="auto"/>
              </w:divBdr>
              <w:divsChild>
                <w:div w:id="1655449039">
                  <w:marLeft w:val="0"/>
                  <w:marRight w:val="0"/>
                  <w:marTop w:val="0"/>
                  <w:marBottom w:val="0"/>
                  <w:divBdr>
                    <w:top w:val="none" w:sz="0" w:space="0" w:color="auto"/>
                    <w:left w:val="none" w:sz="0" w:space="0" w:color="auto"/>
                    <w:bottom w:val="none" w:sz="0" w:space="0" w:color="auto"/>
                    <w:right w:val="none" w:sz="0" w:space="0" w:color="auto"/>
                  </w:divBdr>
                  <w:divsChild>
                    <w:div w:id="1357459682">
                      <w:marLeft w:val="0"/>
                      <w:marRight w:val="0"/>
                      <w:marTop w:val="0"/>
                      <w:marBottom w:val="0"/>
                      <w:divBdr>
                        <w:top w:val="none" w:sz="0" w:space="0" w:color="auto"/>
                        <w:left w:val="none" w:sz="0" w:space="0" w:color="auto"/>
                        <w:bottom w:val="none" w:sz="0" w:space="0" w:color="auto"/>
                        <w:right w:val="none" w:sz="0" w:space="0" w:color="auto"/>
                      </w:divBdr>
                      <w:divsChild>
                        <w:div w:id="75178028">
                          <w:marLeft w:val="0"/>
                          <w:marRight w:val="0"/>
                          <w:marTop w:val="0"/>
                          <w:marBottom w:val="0"/>
                          <w:divBdr>
                            <w:top w:val="none" w:sz="0" w:space="0" w:color="auto"/>
                            <w:left w:val="none" w:sz="0" w:space="0" w:color="auto"/>
                            <w:bottom w:val="none" w:sz="0" w:space="0" w:color="auto"/>
                            <w:right w:val="none" w:sz="0" w:space="0" w:color="auto"/>
                          </w:divBdr>
                          <w:divsChild>
                            <w:div w:id="65687401">
                              <w:marLeft w:val="0"/>
                              <w:marRight w:val="0"/>
                              <w:marTop w:val="0"/>
                              <w:marBottom w:val="0"/>
                              <w:divBdr>
                                <w:top w:val="none" w:sz="0" w:space="0" w:color="auto"/>
                                <w:left w:val="none" w:sz="0" w:space="0" w:color="auto"/>
                                <w:bottom w:val="none" w:sz="0" w:space="0" w:color="auto"/>
                                <w:right w:val="none" w:sz="0" w:space="0" w:color="auto"/>
                              </w:divBdr>
                              <w:divsChild>
                                <w:div w:id="776556486">
                                  <w:marLeft w:val="0"/>
                                  <w:marRight w:val="0"/>
                                  <w:marTop w:val="0"/>
                                  <w:marBottom w:val="0"/>
                                  <w:divBdr>
                                    <w:top w:val="none" w:sz="0" w:space="0" w:color="auto"/>
                                    <w:left w:val="none" w:sz="0" w:space="0" w:color="auto"/>
                                    <w:bottom w:val="none" w:sz="0" w:space="0" w:color="auto"/>
                                    <w:right w:val="none" w:sz="0" w:space="0" w:color="auto"/>
                                  </w:divBdr>
                                  <w:divsChild>
                                    <w:div w:id="1099524028">
                                      <w:marLeft w:val="0"/>
                                      <w:marRight w:val="0"/>
                                      <w:marTop w:val="0"/>
                                      <w:marBottom w:val="0"/>
                                      <w:divBdr>
                                        <w:top w:val="none" w:sz="0" w:space="0" w:color="auto"/>
                                        <w:left w:val="none" w:sz="0" w:space="0" w:color="auto"/>
                                        <w:bottom w:val="none" w:sz="0" w:space="0" w:color="auto"/>
                                        <w:right w:val="none" w:sz="0" w:space="0" w:color="auto"/>
                                      </w:divBdr>
                                      <w:divsChild>
                                        <w:div w:id="45691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5543814">
      <w:bodyDiv w:val="1"/>
      <w:marLeft w:val="0"/>
      <w:marRight w:val="0"/>
      <w:marTop w:val="0"/>
      <w:marBottom w:val="0"/>
      <w:divBdr>
        <w:top w:val="none" w:sz="0" w:space="0" w:color="auto"/>
        <w:left w:val="none" w:sz="0" w:space="0" w:color="auto"/>
        <w:bottom w:val="none" w:sz="0" w:space="0" w:color="auto"/>
        <w:right w:val="none" w:sz="0" w:space="0" w:color="auto"/>
      </w:divBdr>
    </w:div>
    <w:div w:id="1756709369">
      <w:bodyDiv w:val="1"/>
      <w:marLeft w:val="0"/>
      <w:marRight w:val="0"/>
      <w:marTop w:val="0"/>
      <w:marBottom w:val="0"/>
      <w:divBdr>
        <w:top w:val="none" w:sz="0" w:space="0" w:color="auto"/>
        <w:left w:val="none" w:sz="0" w:space="0" w:color="auto"/>
        <w:bottom w:val="none" w:sz="0" w:space="0" w:color="auto"/>
        <w:right w:val="none" w:sz="0" w:space="0" w:color="auto"/>
      </w:divBdr>
      <w:divsChild>
        <w:div w:id="806121753">
          <w:marLeft w:val="0"/>
          <w:marRight w:val="0"/>
          <w:marTop w:val="0"/>
          <w:marBottom w:val="150"/>
          <w:divBdr>
            <w:top w:val="none" w:sz="0" w:space="0" w:color="auto"/>
            <w:left w:val="none" w:sz="0" w:space="0" w:color="auto"/>
            <w:bottom w:val="none" w:sz="0" w:space="0" w:color="auto"/>
            <w:right w:val="none" w:sz="0" w:space="0" w:color="auto"/>
          </w:divBdr>
        </w:div>
      </w:divsChild>
    </w:div>
    <w:div w:id="1757246405">
      <w:bodyDiv w:val="1"/>
      <w:marLeft w:val="0"/>
      <w:marRight w:val="0"/>
      <w:marTop w:val="0"/>
      <w:marBottom w:val="0"/>
      <w:divBdr>
        <w:top w:val="none" w:sz="0" w:space="0" w:color="auto"/>
        <w:left w:val="none" w:sz="0" w:space="0" w:color="auto"/>
        <w:bottom w:val="none" w:sz="0" w:space="0" w:color="auto"/>
        <w:right w:val="none" w:sz="0" w:space="0" w:color="auto"/>
      </w:divBdr>
      <w:divsChild>
        <w:div w:id="1470004852">
          <w:marLeft w:val="0"/>
          <w:marRight w:val="0"/>
          <w:marTop w:val="0"/>
          <w:marBottom w:val="0"/>
          <w:divBdr>
            <w:top w:val="none" w:sz="0" w:space="0" w:color="auto"/>
            <w:left w:val="none" w:sz="0" w:space="0" w:color="auto"/>
            <w:bottom w:val="none" w:sz="0" w:space="0" w:color="auto"/>
            <w:right w:val="none" w:sz="0" w:space="0" w:color="auto"/>
          </w:divBdr>
          <w:divsChild>
            <w:div w:id="1256673675">
              <w:marLeft w:val="0"/>
              <w:marRight w:val="0"/>
              <w:marTop w:val="0"/>
              <w:marBottom w:val="0"/>
              <w:divBdr>
                <w:top w:val="none" w:sz="0" w:space="0" w:color="auto"/>
                <w:left w:val="none" w:sz="0" w:space="0" w:color="auto"/>
                <w:bottom w:val="none" w:sz="0" w:space="0" w:color="auto"/>
                <w:right w:val="none" w:sz="0" w:space="0" w:color="auto"/>
              </w:divBdr>
              <w:divsChild>
                <w:div w:id="852648148">
                  <w:marLeft w:val="0"/>
                  <w:marRight w:val="0"/>
                  <w:marTop w:val="0"/>
                  <w:marBottom w:val="0"/>
                  <w:divBdr>
                    <w:top w:val="none" w:sz="0" w:space="0" w:color="auto"/>
                    <w:left w:val="none" w:sz="0" w:space="0" w:color="auto"/>
                    <w:bottom w:val="none" w:sz="0" w:space="0" w:color="auto"/>
                    <w:right w:val="none" w:sz="0" w:space="0" w:color="auto"/>
                  </w:divBdr>
                  <w:divsChild>
                    <w:div w:id="2022048182">
                      <w:marLeft w:val="0"/>
                      <w:marRight w:val="0"/>
                      <w:marTop w:val="0"/>
                      <w:marBottom w:val="0"/>
                      <w:divBdr>
                        <w:top w:val="none" w:sz="0" w:space="0" w:color="auto"/>
                        <w:left w:val="none" w:sz="0" w:space="0" w:color="auto"/>
                        <w:bottom w:val="none" w:sz="0" w:space="0" w:color="auto"/>
                        <w:right w:val="none" w:sz="0" w:space="0" w:color="auto"/>
                      </w:divBdr>
                      <w:divsChild>
                        <w:div w:id="1352222164">
                          <w:marLeft w:val="0"/>
                          <w:marRight w:val="0"/>
                          <w:marTop w:val="0"/>
                          <w:marBottom w:val="0"/>
                          <w:divBdr>
                            <w:top w:val="none" w:sz="0" w:space="0" w:color="auto"/>
                            <w:left w:val="none" w:sz="0" w:space="0" w:color="auto"/>
                            <w:bottom w:val="none" w:sz="0" w:space="0" w:color="auto"/>
                            <w:right w:val="none" w:sz="0" w:space="0" w:color="auto"/>
                          </w:divBdr>
                          <w:divsChild>
                            <w:div w:id="527988933">
                              <w:marLeft w:val="0"/>
                              <w:marRight w:val="0"/>
                              <w:marTop w:val="0"/>
                              <w:marBottom w:val="0"/>
                              <w:divBdr>
                                <w:top w:val="none" w:sz="0" w:space="0" w:color="auto"/>
                                <w:left w:val="none" w:sz="0" w:space="0" w:color="auto"/>
                                <w:bottom w:val="none" w:sz="0" w:space="0" w:color="auto"/>
                                <w:right w:val="none" w:sz="0" w:space="0" w:color="auto"/>
                              </w:divBdr>
                              <w:divsChild>
                                <w:div w:id="745153796">
                                  <w:marLeft w:val="0"/>
                                  <w:marRight w:val="0"/>
                                  <w:marTop w:val="0"/>
                                  <w:marBottom w:val="0"/>
                                  <w:divBdr>
                                    <w:top w:val="none" w:sz="0" w:space="0" w:color="auto"/>
                                    <w:left w:val="none" w:sz="0" w:space="0" w:color="auto"/>
                                    <w:bottom w:val="none" w:sz="0" w:space="0" w:color="auto"/>
                                    <w:right w:val="none" w:sz="0" w:space="0" w:color="auto"/>
                                  </w:divBdr>
                                  <w:divsChild>
                                    <w:div w:id="19166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7509543">
      <w:bodyDiv w:val="1"/>
      <w:marLeft w:val="0"/>
      <w:marRight w:val="0"/>
      <w:marTop w:val="0"/>
      <w:marBottom w:val="0"/>
      <w:divBdr>
        <w:top w:val="none" w:sz="0" w:space="0" w:color="auto"/>
        <w:left w:val="none" w:sz="0" w:space="0" w:color="auto"/>
        <w:bottom w:val="none" w:sz="0" w:space="0" w:color="auto"/>
        <w:right w:val="none" w:sz="0" w:space="0" w:color="auto"/>
      </w:divBdr>
      <w:divsChild>
        <w:div w:id="40178602">
          <w:marLeft w:val="0"/>
          <w:marRight w:val="0"/>
          <w:marTop w:val="0"/>
          <w:marBottom w:val="0"/>
          <w:divBdr>
            <w:top w:val="none" w:sz="0" w:space="0" w:color="auto"/>
            <w:left w:val="none" w:sz="0" w:space="0" w:color="auto"/>
            <w:bottom w:val="dotted" w:sz="6" w:space="4" w:color="DDDDDD"/>
            <w:right w:val="none" w:sz="0" w:space="0" w:color="auto"/>
          </w:divBdr>
          <w:divsChild>
            <w:div w:id="11273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820178">
      <w:bodyDiv w:val="1"/>
      <w:marLeft w:val="0"/>
      <w:marRight w:val="0"/>
      <w:marTop w:val="0"/>
      <w:marBottom w:val="0"/>
      <w:divBdr>
        <w:top w:val="none" w:sz="0" w:space="0" w:color="auto"/>
        <w:left w:val="none" w:sz="0" w:space="0" w:color="auto"/>
        <w:bottom w:val="none" w:sz="0" w:space="0" w:color="auto"/>
        <w:right w:val="none" w:sz="0" w:space="0" w:color="auto"/>
      </w:divBdr>
      <w:divsChild>
        <w:div w:id="1025450074">
          <w:marLeft w:val="0"/>
          <w:marRight w:val="0"/>
          <w:marTop w:val="0"/>
          <w:marBottom w:val="150"/>
          <w:divBdr>
            <w:top w:val="none" w:sz="0" w:space="0" w:color="auto"/>
            <w:left w:val="none" w:sz="0" w:space="0" w:color="auto"/>
            <w:bottom w:val="none" w:sz="0" w:space="0" w:color="auto"/>
            <w:right w:val="none" w:sz="0" w:space="0" w:color="auto"/>
          </w:divBdr>
        </w:div>
        <w:div w:id="1207068088">
          <w:marLeft w:val="0"/>
          <w:marRight w:val="0"/>
          <w:marTop w:val="0"/>
          <w:marBottom w:val="0"/>
          <w:divBdr>
            <w:top w:val="none" w:sz="0" w:space="0" w:color="auto"/>
            <w:left w:val="none" w:sz="0" w:space="0" w:color="auto"/>
            <w:bottom w:val="none" w:sz="0" w:space="0" w:color="auto"/>
            <w:right w:val="none" w:sz="0" w:space="0" w:color="auto"/>
          </w:divBdr>
          <w:divsChild>
            <w:div w:id="1402098085">
              <w:marLeft w:val="0"/>
              <w:marRight w:val="0"/>
              <w:marTop w:val="0"/>
              <w:marBottom w:val="0"/>
              <w:divBdr>
                <w:top w:val="none" w:sz="0" w:space="0" w:color="auto"/>
                <w:left w:val="none" w:sz="0" w:space="0" w:color="auto"/>
                <w:bottom w:val="none" w:sz="0" w:space="0" w:color="auto"/>
                <w:right w:val="none" w:sz="0" w:space="0" w:color="auto"/>
              </w:divBdr>
            </w:div>
          </w:divsChild>
        </w:div>
        <w:div w:id="1868827654">
          <w:marLeft w:val="0"/>
          <w:marRight w:val="0"/>
          <w:marTop w:val="0"/>
          <w:marBottom w:val="150"/>
          <w:divBdr>
            <w:top w:val="none" w:sz="0" w:space="0" w:color="auto"/>
            <w:left w:val="none" w:sz="0" w:space="0" w:color="auto"/>
            <w:bottom w:val="none" w:sz="0" w:space="0" w:color="auto"/>
            <w:right w:val="none" w:sz="0" w:space="0" w:color="auto"/>
          </w:divBdr>
          <w:divsChild>
            <w:div w:id="94149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285726">
      <w:bodyDiv w:val="1"/>
      <w:marLeft w:val="0"/>
      <w:marRight w:val="0"/>
      <w:marTop w:val="0"/>
      <w:marBottom w:val="0"/>
      <w:divBdr>
        <w:top w:val="none" w:sz="0" w:space="0" w:color="auto"/>
        <w:left w:val="none" w:sz="0" w:space="0" w:color="auto"/>
        <w:bottom w:val="none" w:sz="0" w:space="0" w:color="auto"/>
        <w:right w:val="none" w:sz="0" w:space="0" w:color="auto"/>
      </w:divBdr>
      <w:divsChild>
        <w:div w:id="1669207104">
          <w:marLeft w:val="0"/>
          <w:marRight w:val="0"/>
          <w:marTop w:val="0"/>
          <w:marBottom w:val="0"/>
          <w:divBdr>
            <w:top w:val="none" w:sz="0" w:space="0" w:color="auto"/>
            <w:left w:val="none" w:sz="0" w:space="0" w:color="auto"/>
            <w:bottom w:val="none" w:sz="0" w:space="0" w:color="auto"/>
            <w:right w:val="none" w:sz="0" w:space="0" w:color="auto"/>
          </w:divBdr>
          <w:divsChild>
            <w:div w:id="2056734931">
              <w:marLeft w:val="0"/>
              <w:marRight w:val="0"/>
              <w:marTop w:val="0"/>
              <w:marBottom w:val="0"/>
              <w:divBdr>
                <w:top w:val="none" w:sz="0" w:space="0" w:color="auto"/>
                <w:left w:val="none" w:sz="0" w:space="0" w:color="auto"/>
                <w:bottom w:val="none" w:sz="0" w:space="0" w:color="auto"/>
                <w:right w:val="none" w:sz="0" w:space="0" w:color="auto"/>
              </w:divBdr>
              <w:divsChild>
                <w:div w:id="1851945915">
                  <w:marLeft w:val="0"/>
                  <w:marRight w:val="0"/>
                  <w:marTop w:val="0"/>
                  <w:marBottom w:val="0"/>
                  <w:divBdr>
                    <w:top w:val="none" w:sz="0" w:space="0" w:color="auto"/>
                    <w:left w:val="none" w:sz="0" w:space="0" w:color="auto"/>
                    <w:bottom w:val="none" w:sz="0" w:space="0" w:color="auto"/>
                    <w:right w:val="none" w:sz="0" w:space="0" w:color="auto"/>
                  </w:divBdr>
                  <w:divsChild>
                    <w:div w:id="322246724">
                      <w:marLeft w:val="0"/>
                      <w:marRight w:val="0"/>
                      <w:marTop w:val="0"/>
                      <w:marBottom w:val="0"/>
                      <w:divBdr>
                        <w:top w:val="none" w:sz="0" w:space="0" w:color="auto"/>
                        <w:left w:val="none" w:sz="0" w:space="0" w:color="auto"/>
                        <w:bottom w:val="none" w:sz="0" w:space="0" w:color="auto"/>
                        <w:right w:val="none" w:sz="0" w:space="0" w:color="auto"/>
                      </w:divBdr>
                      <w:divsChild>
                        <w:div w:id="1135560059">
                          <w:marLeft w:val="0"/>
                          <w:marRight w:val="0"/>
                          <w:marTop w:val="0"/>
                          <w:marBottom w:val="0"/>
                          <w:divBdr>
                            <w:top w:val="none" w:sz="0" w:space="0" w:color="auto"/>
                            <w:left w:val="none" w:sz="0" w:space="0" w:color="auto"/>
                            <w:bottom w:val="none" w:sz="0" w:space="0" w:color="auto"/>
                            <w:right w:val="none" w:sz="0" w:space="0" w:color="auto"/>
                          </w:divBdr>
                          <w:divsChild>
                            <w:div w:id="774133107">
                              <w:marLeft w:val="0"/>
                              <w:marRight w:val="0"/>
                              <w:marTop w:val="0"/>
                              <w:marBottom w:val="0"/>
                              <w:divBdr>
                                <w:top w:val="none" w:sz="0" w:space="0" w:color="auto"/>
                                <w:left w:val="none" w:sz="0" w:space="0" w:color="auto"/>
                                <w:bottom w:val="none" w:sz="0" w:space="0" w:color="auto"/>
                                <w:right w:val="none" w:sz="0" w:space="0" w:color="auto"/>
                              </w:divBdr>
                              <w:divsChild>
                                <w:div w:id="396513333">
                                  <w:marLeft w:val="0"/>
                                  <w:marRight w:val="0"/>
                                  <w:marTop w:val="0"/>
                                  <w:marBottom w:val="0"/>
                                  <w:divBdr>
                                    <w:top w:val="none" w:sz="0" w:space="0" w:color="auto"/>
                                    <w:left w:val="none" w:sz="0" w:space="0" w:color="auto"/>
                                    <w:bottom w:val="none" w:sz="0" w:space="0" w:color="auto"/>
                                    <w:right w:val="none" w:sz="0" w:space="0" w:color="auto"/>
                                  </w:divBdr>
                                  <w:divsChild>
                                    <w:div w:id="134220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8406461">
      <w:bodyDiv w:val="1"/>
      <w:marLeft w:val="0"/>
      <w:marRight w:val="0"/>
      <w:marTop w:val="0"/>
      <w:marBottom w:val="0"/>
      <w:divBdr>
        <w:top w:val="none" w:sz="0" w:space="0" w:color="auto"/>
        <w:left w:val="none" w:sz="0" w:space="0" w:color="auto"/>
        <w:bottom w:val="none" w:sz="0" w:space="0" w:color="auto"/>
        <w:right w:val="none" w:sz="0" w:space="0" w:color="auto"/>
      </w:divBdr>
      <w:divsChild>
        <w:div w:id="1717656785">
          <w:marLeft w:val="0"/>
          <w:marRight w:val="0"/>
          <w:marTop w:val="0"/>
          <w:marBottom w:val="150"/>
          <w:divBdr>
            <w:top w:val="none" w:sz="0" w:space="0" w:color="auto"/>
            <w:left w:val="none" w:sz="0" w:space="0" w:color="auto"/>
            <w:bottom w:val="none" w:sz="0" w:space="0" w:color="auto"/>
            <w:right w:val="none" w:sz="0" w:space="0" w:color="auto"/>
          </w:divBdr>
        </w:div>
        <w:div w:id="1775058370">
          <w:marLeft w:val="0"/>
          <w:marRight w:val="0"/>
          <w:marTop w:val="0"/>
          <w:marBottom w:val="150"/>
          <w:divBdr>
            <w:top w:val="none" w:sz="0" w:space="0" w:color="auto"/>
            <w:left w:val="none" w:sz="0" w:space="0" w:color="auto"/>
            <w:bottom w:val="none" w:sz="0" w:space="0" w:color="auto"/>
            <w:right w:val="none" w:sz="0" w:space="0" w:color="auto"/>
          </w:divBdr>
          <w:divsChild>
            <w:div w:id="1134982338">
              <w:marLeft w:val="0"/>
              <w:marRight w:val="0"/>
              <w:marTop w:val="0"/>
              <w:marBottom w:val="0"/>
              <w:divBdr>
                <w:top w:val="none" w:sz="0" w:space="0" w:color="auto"/>
                <w:left w:val="none" w:sz="0" w:space="0" w:color="auto"/>
                <w:bottom w:val="none" w:sz="0" w:space="0" w:color="auto"/>
                <w:right w:val="none" w:sz="0" w:space="0" w:color="auto"/>
              </w:divBdr>
            </w:div>
          </w:divsChild>
        </w:div>
        <w:div w:id="2066758403">
          <w:marLeft w:val="0"/>
          <w:marRight w:val="0"/>
          <w:marTop w:val="0"/>
          <w:marBottom w:val="0"/>
          <w:divBdr>
            <w:top w:val="none" w:sz="0" w:space="0" w:color="auto"/>
            <w:left w:val="none" w:sz="0" w:space="0" w:color="auto"/>
            <w:bottom w:val="none" w:sz="0" w:space="0" w:color="auto"/>
            <w:right w:val="none" w:sz="0" w:space="0" w:color="auto"/>
          </w:divBdr>
          <w:divsChild>
            <w:div w:id="130188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549532">
      <w:bodyDiv w:val="1"/>
      <w:marLeft w:val="0"/>
      <w:marRight w:val="0"/>
      <w:marTop w:val="0"/>
      <w:marBottom w:val="0"/>
      <w:divBdr>
        <w:top w:val="none" w:sz="0" w:space="0" w:color="auto"/>
        <w:left w:val="none" w:sz="0" w:space="0" w:color="auto"/>
        <w:bottom w:val="none" w:sz="0" w:space="0" w:color="auto"/>
        <w:right w:val="none" w:sz="0" w:space="0" w:color="auto"/>
      </w:divBdr>
    </w:div>
    <w:div w:id="1758556691">
      <w:bodyDiv w:val="1"/>
      <w:marLeft w:val="0"/>
      <w:marRight w:val="0"/>
      <w:marTop w:val="0"/>
      <w:marBottom w:val="0"/>
      <w:divBdr>
        <w:top w:val="none" w:sz="0" w:space="0" w:color="auto"/>
        <w:left w:val="none" w:sz="0" w:space="0" w:color="auto"/>
        <w:bottom w:val="none" w:sz="0" w:space="0" w:color="auto"/>
        <w:right w:val="none" w:sz="0" w:space="0" w:color="auto"/>
      </w:divBdr>
    </w:div>
    <w:div w:id="1758746984">
      <w:bodyDiv w:val="1"/>
      <w:marLeft w:val="0"/>
      <w:marRight w:val="0"/>
      <w:marTop w:val="0"/>
      <w:marBottom w:val="0"/>
      <w:divBdr>
        <w:top w:val="none" w:sz="0" w:space="0" w:color="auto"/>
        <w:left w:val="none" w:sz="0" w:space="0" w:color="auto"/>
        <w:bottom w:val="none" w:sz="0" w:space="0" w:color="auto"/>
        <w:right w:val="none" w:sz="0" w:space="0" w:color="auto"/>
      </w:divBdr>
      <w:divsChild>
        <w:div w:id="1026365334">
          <w:marLeft w:val="0"/>
          <w:marRight w:val="0"/>
          <w:marTop w:val="0"/>
          <w:marBottom w:val="0"/>
          <w:divBdr>
            <w:top w:val="none" w:sz="0" w:space="0" w:color="auto"/>
            <w:left w:val="none" w:sz="0" w:space="0" w:color="auto"/>
            <w:bottom w:val="none" w:sz="0" w:space="0" w:color="auto"/>
            <w:right w:val="none" w:sz="0" w:space="0" w:color="auto"/>
          </w:divBdr>
          <w:divsChild>
            <w:div w:id="12335845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59251601">
      <w:bodyDiv w:val="1"/>
      <w:marLeft w:val="0"/>
      <w:marRight w:val="0"/>
      <w:marTop w:val="0"/>
      <w:marBottom w:val="0"/>
      <w:divBdr>
        <w:top w:val="none" w:sz="0" w:space="0" w:color="auto"/>
        <w:left w:val="none" w:sz="0" w:space="0" w:color="auto"/>
        <w:bottom w:val="none" w:sz="0" w:space="0" w:color="auto"/>
        <w:right w:val="none" w:sz="0" w:space="0" w:color="auto"/>
      </w:divBdr>
      <w:divsChild>
        <w:div w:id="1131021765">
          <w:marLeft w:val="0"/>
          <w:marRight w:val="0"/>
          <w:marTop w:val="0"/>
          <w:marBottom w:val="0"/>
          <w:divBdr>
            <w:top w:val="none" w:sz="0" w:space="0" w:color="auto"/>
            <w:left w:val="none" w:sz="0" w:space="0" w:color="auto"/>
            <w:bottom w:val="none" w:sz="0" w:space="0" w:color="auto"/>
            <w:right w:val="none" w:sz="0" w:space="0" w:color="auto"/>
          </w:divBdr>
          <w:divsChild>
            <w:div w:id="1060130022">
              <w:marLeft w:val="0"/>
              <w:marRight w:val="0"/>
              <w:marTop w:val="0"/>
              <w:marBottom w:val="0"/>
              <w:divBdr>
                <w:top w:val="none" w:sz="0" w:space="0" w:color="auto"/>
                <w:left w:val="none" w:sz="0" w:space="0" w:color="auto"/>
                <w:bottom w:val="none" w:sz="0" w:space="0" w:color="auto"/>
                <w:right w:val="none" w:sz="0" w:space="0" w:color="auto"/>
              </w:divBdr>
              <w:divsChild>
                <w:div w:id="72968538">
                  <w:marLeft w:val="0"/>
                  <w:marRight w:val="0"/>
                  <w:marTop w:val="0"/>
                  <w:marBottom w:val="0"/>
                  <w:divBdr>
                    <w:top w:val="none" w:sz="0" w:space="0" w:color="auto"/>
                    <w:left w:val="none" w:sz="0" w:space="0" w:color="auto"/>
                    <w:bottom w:val="none" w:sz="0" w:space="0" w:color="auto"/>
                    <w:right w:val="none" w:sz="0" w:space="0" w:color="auto"/>
                  </w:divBdr>
                  <w:divsChild>
                    <w:div w:id="1736004957">
                      <w:marLeft w:val="0"/>
                      <w:marRight w:val="0"/>
                      <w:marTop w:val="0"/>
                      <w:marBottom w:val="0"/>
                      <w:divBdr>
                        <w:top w:val="none" w:sz="0" w:space="0" w:color="auto"/>
                        <w:left w:val="none" w:sz="0" w:space="0" w:color="auto"/>
                        <w:bottom w:val="none" w:sz="0" w:space="0" w:color="auto"/>
                        <w:right w:val="none" w:sz="0" w:space="0" w:color="auto"/>
                      </w:divBdr>
                      <w:divsChild>
                        <w:div w:id="140393432">
                          <w:marLeft w:val="0"/>
                          <w:marRight w:val="0"/>
                          <w:marTop w:val="0"/>
                          <w:marBottom w:val="0"/>
                          <w:divBdr>
                            <w:top w:val="none" w:sz="0" w:space="0" w:color="auto"/>
                            <w:left w:val="none" w:sz="0" w:space="0" w:color="auto"/>
                            <w:bottom w:val="none" w:sz="0" w:space="0" w:color="auto"/>
                            <w:right w:val="none" w:sz="0" w:space="0" w:color="auto"/>
                          </w:divBdr>
                          <w:divsChild>
                            <w:div w:id="35966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9516101">
      <w:bodyDiv w:val="1"/>
      <w:marLeft w:val="0"/>
      <w:marRight w:val="0"/>
      <w:marTop w:val="0"/>
      <w:marBottom w:val="0"/>
      <w:divBdr>
        <w:top w:val="none" w:sz="0" w:space="0" w:color="auto"/>
        <w:left w:val="none" w:sz="0" w:space="0" w:color="auto"/>
        <w:bottom w:val="none" w:sz="0" w:space="0" w:color="auto"/>
        <w:right w:val="none" w:sz="0" w:space="0" w:color="auto"/>
      </w:divBdr>
      <w:divsChild>
        <w:div w:id="397019222">
          <w:marLeft w:val="0"/>
          <w:marRight w:val="0"/>
          <w:marTop w:val="0"/>
          <w:marBottom w:val="150"/>
          <w:divBdr>
            <w:top w:val="none" w:sz="0" w:space="0" w:color="auto"/>
            <w:left w:val="none" w:sz="0" w:space="0" w:color="auto"/>
            <w:bottom w:val="none" w:sz="0" w:space="0" w:color="auto"/>
            <w:right w:val="none" w:sz="0" w:space="0" w:color="auto"/>
          </w:divBdr>
        </w:div>
        <w:div w:id="1517772926">
          <w:marLeft w:val="0"/>
          <w:marRight w:val="0"/>
          <w:marTop w:val="0"/>
          <w:marBottom w:val="0"/>
          <w:divBdr>
            <w:top w:val="none" w:sz="0" w:space="0" w:color="auto"/>
            <w:left w:val="none" w:sz="0" w:space="0" w:color="auto"/>
            <w:bottom w:val="none" w:sz="0" w:space="0" w:color="auto"/>
            <w:right w:val="none" w:sz="0" w:space="0" w:color="auto"/>
          </w:divBdr>
        </w:div>
      </w:divsChild>
    </w:div>
    <w:div w:id="1759524133">
      <w:bodyDiv w:val="1"/>
      <w:marLeft w:val="0"/>
      <w:marRight w:val="0"/>
      <w:marTop w:val="0"/>
      <w:marBottom w:val="0"/>
      <w:divBdr>
        <w:top w:val="none" w:sz="0" w:space="0" w:color="auto"/>
        <w:left w:val="none" w:sz="0" w:space="0" w:color="auto"/>
        <w:bottom w:val="none" w:sz="0" w:space="0" w:color="auto"/>
        <w:right w:val="none" w:sz="0" w:space="0" w:color="auto"/>
      </w:divBdr>
      <w:divsChild>
        <w:div w:id="286666851">
          <w:marLeft w:val="0"/>
          <w:marRight w:val="0"/>
          <w:marTop w:val="0"/>
          <w:marBottom w:val="0"/>
          <w:divBdr>
            <w:top w:val="none" w:sz="0" w:space="0" w:color="auto"/>
            <w:left w:val="none" w:sz="0" w:space="0" w:color="auto"/>
            <w:bottom w:val="none" w:sz="0" w:space="0" w:color="auto"/>
            <w:right w:val="none" w:sz="0" w:space="0" w:color="auto"/>
          </w:divBdr>
          <w:divsChild>
            <w:div w:id="1392539006">
              <w:marLeft w:val="0"/>
              <w:marRight w:val="0"/>
              <w:marTop w:val="0"/>
              <w:marBottom w:val="0"/>
              <w:divBdr>
                <w:top w:val="none" w:sz="0" w:space="0" w:color="auto"/>
                <w:left w:val="none" w:sz="0" w:space="0" w:color="auto"/>
                <w:bottom w:val="none" w:sz="0" w:space="0" w:color="auto"/>
                <w:right w:val="none" w:sz="0" w:space="0" w:color="auto"/>
              </w:divBdr>
              <w:divsChild>
                <w:div w:id="2078091726">
                  <w:marLeft w:val="0"/>
                  <w:marRight w:val="0"/>
                  <w:marTop w:val="0"/>
                  <w:marBottom w:val="0"/>
                  <w:divBdr>
                    <w:top w:val="none" w:sz="0" w:space="0" w:color="auto"/>
                    <w:left w:val="none" w:sz="0" w:space="0" w:color="auto"/>
                    <w:bottom w:val="none" w:sz="0" w:space="0" w:color="auto"/>
                    <w:right w:val="none" w:sz="0" w:space="0" w:color="auto"/>
                  </w:divBdr>
                  <w:divsChild>
                    <w:div w:id="1705792004">
                      <w:marLeft w:val="0"/>
                      <w:marRight w:val="0"/>
                      <w:marTop w:val="0"/>
                      <w:marBottom w:val="300"/>
                      <w:divBdr>
                        <w:top w:val="none" w:sz="0" w:space="0" w:color="auto"/>
                        <w:left w:val="none" w:sz="0" w:space="0" w:color="auto"/>
                        <w:bottom w:val="none" w:sz="0" w:space="0" w:color="auto"/>
                        <w:right w:val="none" w:sz="0" w:space="0" w:color="auto"/>
                      </w:divBdr>
                      <w:divsChild>
                        <w:div w:id="1958561800">
                          <w:marLeft w:val="0"/>
                          <w:marRight w:val="0"/>
                          <w:marTop w:val="0"/>
                          <w:marBottom w:val="225"/>
                          <w:divBdr>
                            <w:top w:val="single" w:sz="6" w:space="11" w:color="E5E5E5"/>
                            <w:left w:val="single" w:sz="6" w:space="11" w:color="E5E5E5"/>
                            <w:bottom w:val="single" w:sz="6" w:space="1" w:color="E5E5E5"/>
                            <w:right w:val="single" w:sz="6" w:space="11" w:color="E5E5E5"/>
                          </w:divBdr>
                          <w:divsChild>
                            <w:div w:id="31227586">
                              <w:marLeft w:val="0"/>
                              <w:marRight w:val="0"/>
                              <w:marTop w:val="0"/>
                              <w:marBottom w:val="0"/>
                              <w:divBdr>
                                <w:top w:val="none" w:sz="0" w:space="0" w:color="auto"/>
                                <w:left w:val="none" w:sz="0" w:space="0" w:color="auto"/>
                                <w:bottom w:val="dotted" w:sz="6" w:space="4" w:color="DDDDDD"/>
                                <w:right w:val="none" w:sz="0" w:space="0" w:color="auto"/>
                              </w:divBdr>
                              <w:divsChild>
                                <w:div w:id="112815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0845028">
          <w:marLeft w:val="0"/>
          <w:marRight w:val="0"/>
          <w:marTop w:val="0"/>
          <w:marBottom w:val="0"/>
          <w:divBdr>
            <w:top w:val="single" w:sz="6" w:space="0" w:color="E5E5E5"/>
            <w:left w:val="none" w:sz="0" w:space="0" w:color="auto"/>
            <w:bottom w:val="single" w:sz="18" w:space="0" w:color="000000"/>
            <w:right w:val="none" w:sz="0" w:space="0" w:color="auto"/>
          </w:divBdr>
          <w:divsChild>
            <w:div w:id="850145362">
              <w:marLeft w:val="0"/>
              <w:marRight w:val="0"/>
              <w:marTop w:val="0"/>
              <w:marBottom w:val="0"/>
              <w:divBdr>
                <w:top w:val="none" w:sz="0" w:space="0" w:color="auto"/>
                <w:left w:val="none" w:sz="0" w:space="0" w:color="auto"/>
                <w:bottom w:val="none" w:sz="0" w:space="0" w:color="auto"/>
                <w:right w:val="none" w:sz="0" w:space="0" w:color="auto"/>
              </w:divBdr>
              <w:divsChild>
                <w:div w:id="173758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445033">
      <w:bodyDiv w:val="1"/>
      <w:marLeft w:val="0"/>
      <w:marRight w:val="0"/>
      <w:marTop w:val="0"/>
      <w:marBottom w:val="0"/>
      <w:divBdr>
        <w:top w:val="none" w:sz="0" w:space="0" w:color="auto"/>
        <w:left w:val="none" w:sz="0" w:space="0" w:color="auto"/>
        <w:bottom w:val="none" w:sz="0" w:space="0" w:color="auto"/>
        <w:right w:val="none" w:sz="0" w:space="0" w:color="auto"/>
      </w:divBdr>
    </w:div>
    <w:div w:id="1760829674">
      <w:bodyDiv w:val="1"/>
      <w:marLeft w:val="0"/>
      <w:marRight w:val="0"/>
      <w:marTop w:val="0"/>
      <w:marBottom w:val="0"/>
      <w:divBdr>
        <w:top w:val="none" w:sz="0" w:space="0" w:color="auto"/>
        <w:left w:val="none" w:sz="0" w:space="0" w:color="auto"/>
        <w:bottom w:val="none" w:sz="0" w:space="0" w:color="auto"/>
        <w:right w:val="none" w:sz="0" w:space="0" w:color="auto"/>
      </w:divBdr>
      <w:divsChild>
        <w:div w:id="1235776449">
          <w:marLeft w:val="0"/>
          <w:marRight w:val="0"/>
          <w:marTop w:val="0"/>
          <w:marBottom w:val="0"/>
          <w:divBdr>
            <w:top w:val="none" w:sz="0" w:space="0" w:color="auto"/>
            <w:left w:val="none" w:sz="0" w:space="0" w:color="auto"/>
            <w:bottom w:val="dotted" w:sz="6" w:space="4" w:color="DDDDDD"/>
            <w:right w:val="none" w:sz="0" w:space="0" w:color="auto"/>
          </w:divBdr>
          <w:divsChild>
            <w:div w:id="213930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835535">
      <w:bodyDiv w:val="1"/>
      <w:marLeft w:val="0"/>
      <w:marRight w:val="0"/>
      <w:marTop w:val="0"/>
      <w:marBottom w:val="0"/>
      <w:divBdr>
        <w:top w:val="none" w:sz="0" w:space="0" w:color="auto"/>
        <w:left w:val="none" w:sz="0" w:space="0" w:color="auto"/>
        <w:bottom w:val="none" w:sz="0" w:space="0" w:color="auto"/>
        <w:right w:val="none" w:sz="0" w:space="0" w:color="auto"/>
      </w:divBdr>
      <w:divsChild>
        <w:div w:id="394351371">
          <w:marLeft w:val="0"/>
          <w:marRight w:val="0"/>
          <w:marTop w:val="0"/>
          <w:marBottom w:val="150"/>
          <w:divBdr>
            <w:top w:val="none" w:sz="0" w:space="0" w:color="auto"/>
            <w:left w:val="none" w:sz="0" w:space="0" w:color="auto"/>
            <w:bottom w:val="none" w:sz="0" w:space="0" w:color="auto"/>
            <w:right w:val="none" w:sz="0" w:space="0" w:color="auto"/>
          </w:divBdr>
        </w:div>
      </w:divsChild>
    </w:div>
    <w:div w:id="1761171023">
      <w:bodyDiv w:val="1"/>
      <w:marLeft w:val="0"/>
      <w:marRight w:val="0"/>
      <w:marTop w:val="0"/>
      <w:marBottom w:val="0"/>
      <w:divBdr>
        <w:top w:val="none" w:sz="0" w:space="0" w:color="auto"/>
        <w:left w:val="none" w:sz="0" w:space="0" w:color="auto"/>
        <w:bottom w:val="none" w:sz="0" w:space="0" w:color="auto"/>
        <w:right w:val="none" w:sz="0" w:space="0" w:color="auto"/>
      </w:divBdr>
      <w:divsChild>
        <w:div w:id="901908967">
          <w:marLeft w:val="0"/>
          <w:marRight w:val="0"/>
          <w:marTop w:val="0"/>
          <w:marBottom w:val="0"/>
          <w:divBdr>
            <w:top w:val="none" w:sz="0" w:space="0" w:color="auto"/>
            <w:left w:val="none" w:sz="0" w:space="0" w:color="auto"/>
            <w:bottom w:val="none" w:sz="0" w:space="0" w:color="auto"/>
            <w:right w:val="none" w:sz="0" w:space="0" w:color="auto"/>
          </w:divBdr>
          <w:divsChild>
            <w:div w:id="1659848977">
              <w:marLeft w:val="0"/>
              <w:marRight w:val="0"/>
              <w:marTop w:val="0"/>
              <w:marBottom w:val="0"/>
              <w:divBdr>
                <w:top w:val="none" w:sz="0" w:space="0" w:color="auto"/>
                <w:left w:val="none" w:sz="0" w:space="0" w:color="auto"/>
                <w:bottom w:val="none" w:sz="0" w:space="0" w:color="auto"/>
                <w:right w:val="none" w:sz="0" w:space="0" w:color="auto"/>
              </w:divBdr>
              <w:divsChild>
                <w:div w:id="1146631858">
                  <w:marLeft w:val="0"/>
                  <w:marRight w:val="0"/>
                  <w:marTop w:val="0"/>
                  <w:marBottom w:val="0"/>
                  <w:divBdr>
                    <w:top w:val="none" w:sz="0" w:space="0" w:color="auto"/>
                    <w:left w:val="none" w:sz="0" w:space="0" w:color="auto"/>
                    <w:bottom w:val="none" w:sz="0" w:space="0" w:color="auto"/>
                    <w:right w:val="none" w:sz="0" w:space="0" w:color="auto"/>
                  </w:divBdr>
                  <w:divsChild>
                    <w:div w:id="655493896">
                      <w:marLeft w:val="0"/>
                      <w:marRight w:val="0"/>
                      <w:marTop w:val="0"/>
                      <w:marBottom w:val="0"/>
                      <w:divBdr>
                        <w:top w:val="none" w:sz="0" w:space="0" w:color="auto"/>
                        <w:left w:val="none" w:sz="0" w:space="0" w:color="auto"/>
                        <w:bottom w:val="none" w:sz="0" w:space="0" w:color="auto"/>
                        <w:right w:val="none" w:sz="0" w:space="0" w:color="auto"/>
                      </w:divBdr>
                      <w:divsChild>
                        <w:div w:id="4794475">
                          <w:marLeft w:val="0"/>
                          <w:marRight w:val="0"/>
                          <w:marTop w:val="0"/>
                          <w:marBottom w:val="0"/>
                          <w:divBdr>
                            <w:top w:val="none" w:sz="0" w:space="0" w:color="auto"/>
                            <w:left w:val="none" w:sz="0" w:space="0" w:color="auto"/>
                            <w:bottom w:val="none" w:sz="0" w:space="0" w:color="auto"/>
                            <w:right w:val="none" w:sz="0" w:space="0" w:color="auto"/>
                          </w:divBdr>
                          <w:divsChild>
                            <w:div w:id="2101947585">
                              <w:marLeft w:val="0"/>
                              <w:marRight w:val="0"/>
                              <w:marTop w:val="0"/>
                              <w:marBottom w:val="0"/>
                              <w:divBdr>
                                <w:top w:val="none" w:sz="0" w:space="0" w:color="auto"/>
                                <w:left w:val="none" w:sz="0" w:space="0" w:color="auto"/>
                                <w:bottom w:val="none" w:sz="0" w:space="0" w:color="auto"/>
                                <w:right w:val="none" w:sz="0" w:space="0" w:color="auto"/>
                              </w:divBdr>
                              <w:divsChild>
                                <w:div w:id="1685017539">
                                  <w:marLeft w:val="0"/>
                                  <w:marRight w:val="0"/>
                                  <w:marTop w:val="0"/>
                                  <w:marBottom w:val="0"/>
                                  <w:divBdr>
                                    <w:top w:val="none" w:sz="0" w:space="0" w:color="auto"/>
                                    <w:left w:val="none" w:sz="0" w:space="0" w:color="auto"/>
                                    <w:bottom w:val="none" w:sz="0" w:space="0" w:color="auto"/>
                                    <w:right w:val="none" w:sz="0" w:space="0" w:color="auto"/>
                                  </w:divBdr>
                                  <w:divsChild>
                                    <w:div w:id="51861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413445">
      <w:bodyDiv w:val="1"/>
      <w:marLeft w:val="0"/>
      <w:marRight w:val="0"/>
      <w:marTop w:val="0"/>
      <w:marBottom w:val="0"/>
      <w:divBdr>
        <w:top w:val="none" w:sz="0" w:space="0" w:color="auto"/>
        <w:left w:val="none" w:sz="0" w:space="0" w:color="auto"/>
        <w:bottom w:val="none" w:sz="0" w:space="0" w:color="auto"/>
        <w:right w:val="none" w:sz="0" w:space="0" w:color="auto"/>
      </w:divBdr>
    </w:div>
    <w:div w:id="1761751241">
      <w:bodyDiv w:val="1"/>
      <w:marLeft w:val="0"/>
      <w:marRight w:val="0"/>
      <w:marTop w:val="0"/>
      <w:marBottom w:val="0"/>
      <w:divBdr>
        <w:top w:val="none" w:sz="0" w:space="0" w:color="auto"/>
        <w:left w:val="none" w:sz="0" w:space="0" w:color="auto"/>
        <w:bottom w:val="none" w:sz="0" w:space="0" w:color="auto"/>
        <w:right w:val="none" w:sz="0" w:space="0" w:color="auto"/>
      </w:divBdr>
      <w:divsChild>
        <w:div w:id="542441998">
          <w:marLeft w:val="0"/>
          <w:marRight w:val="0"/>
          <w:marTop w:val="0"/>
          <w:marBottom w:val="0"/>
          <w:divBdr>
            <w:top w:val="none" w:sz="0" w:space="0" w:color="auto"/>
            <w:left w:val="none" w:sz="0" w:space="0" w:color="auto"/>
            <w:bottom w:val="dotted" w:sz="6" w:space="4" w:color="DDDDDD"/>
            <w:right w:val="none" w:sz="0" w:space="0" w:color="auto"/>
          </w:divBdr>
          <w:divsChild>
            <w:div w:id="149888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094421">
      <w:bodyDiv w:val="1"/>
      <w:marLeft w:val="0"/>
      <w:marRight w:val="0"/>
      <w:marTop w:val="0"/>
      <w:marBottom w:val="0"/>
      <w:divBdr>
        <w:top w:val="none" w:sz="0" w:space="0" w:color="auto"/>
        <w:left w:val="none" w:sz="0" w:space="0" w:color="auto"/>
        <w:bottom w:val="none" w:sz="0" w:space="0" w:color="auto"/>
        <w:right w:val="none" w:sz="0" w:space="0" w:color="auto"/>
      </w:divBdr>
      <w:divsChild>
        <w:div w:id="1768579739">
          <w:marLeft w:val="0"/>
          <w:marRight w:val="0"/>
          <w:marTop w:val="0"/>
          <w:marBottom w:val="0"/>
          <w:divBdr>
            <w:top w:val="none" w:sz="0" w:space="0" w:color="auto"/>
            <w:left w:val="none" w:sz="0" w:space="0" w:color="auto"/>
            <w:bottom w:val="none" w:sz="0" w:space="0" w:color="auto"/>
            <w:right w:val="none" w:sz="0" w:space="0" w:color="auto"/>
          </w:divBdr>
          <w:divsChild>
            <w:div w:id="558639817">
              <w:marLeft w:val="0"/>
              <w:marRight w:val="0"/>
              <w:marTop w:val="225"/>
              <w:marBottom w:val="225"/>
              <w:divBdr>
                <w:top w:val="none" w:sz="0" w:space="0" w:color="auto"/>
                <w:left w:val="none" w:sz="0" w:space="0" w:color="auto"/>
                <w:bottom w:val="none" w:sz="0" w:space="0" w:color="auto"/>
                <w:right w:val="none" w:sz="0" w:space="0" w:color="auto"/>
              </w:divBdr>
            </w:div>
          </w:divsChild>
        </w:div>
        <w:div w:id="1783064590">
          <w:marLeft w:val="0"/>
          <w:marRight w:val="0"/>
          <w:marTop w:val="0"/>
          <w:marBottom w:val="150"/>
          <w:divBdr>
            <w:top w:val="none" w:sz="0" w:space="0" w:color="auto"/>
            <w:left w:val="none" w:sz="0" w:space="0" w:color="auto"/>
            <w:bottom w:val="none" w:sz="0" w:space="0" w:color="auto"/>
            <w:right w:val="none" w:sz="0" w:space="0" w:color="auto"/>
          </w:divBdr>
        </w:div>
        <w:div w:id="2108381483">
          <w:marLeft w:val="0"/>
          <w:marRight w:val="0"/>
          <w:marTop w:val="0"/>
          <w:marBottom w:val="150"/>
          <w:divBdr>
            <w:top w:val="none" w:sz="0" w:space="0" w:color="auto"/>
            <w:left w:val="none" w:sz="0" w:space="0" w:color="auto"/>
            <w:bottom w:val="none" w:sz="0" w:space="0" w:color="auto"/>
            <w:right w:val="none" w:sz="0" w:space="0" w:color="auto"/>
          </w:divBdr>
          <w:divsChild>
            <w:div w:id="1739791795">
              <w:marLeft w:val="0"/>
              <w:marRight w:val="0"/>
              <w:marTop w:val="0"/>
              <w:marBottom w:val="0"/>
              <w:divBdr>
                <w:top w:val="none" w:sz="0" w:space="0" w:color="auto"/>
                <w:left w:val="none" w:sz="0" w:space="0" w:color="auto"/>
                <w:bottom w:val="none" w:sz="0" w:space="0" w:color="auto"/>
                <w:right w:val="none" w:sz="0" w:space="0" w:color="auto"/>
              </w:divBdr>
              <w:divsChild>
                <w:div w:id="1758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487687">
      <w:bodyDiv w:val="1"/>
      <w:marLeft w:val="0"/>
      <w:marRight w:val="0"/>
      <w:marTop w:val="0"/>
      <w:marBottom w:val="0"/>
      <w:divBdr>
        <w:top w:val="none" w:sz="0" w:space="0" w:color="auto"/>
        <w:left w:val="none" w:sz="0" w:space="0" w:color="auto"/>
        <w:bottom w:val="none" w:sz="0" w:space="0" w:color="auto"/>
        <w:right w:val="none" w:sz="0" w:space="0" w:color="auto"/>
      </w:divBdr>
    </w:div>
    <w:div w:id="1762792737">
      <w:bodyDiv w:val="1"/>
      <w:marLeft w:val="0"/>
      <w:marRight w:val="0"/>
      <w:marTop w:val="0"/>
      <w:marBottom w:val="0"/>
      <w:divBdr>
        <w:top w:val="none" w:sz="0" w:space="0" w:color="auto"/>
        <w:left w:val="none" w:sz="0" w:space="0" w:color="auto"/>
        <w:bottom w:val="none" w:sz="0" w:space="0" w:color="auto"/>
        <w:right w:val="none" w:sz="0" w:space="0" w:color="auto"/>
      </w:divBdr>
      <w:divsChild>
        <w:div w:id="757823793">
          <w:marLeft w:val="0"/>
          <w:marRight w:val="0"/>
          <w:marTop w:val="0"/>
          <w:marBottom w:val="150"/>
          <w:divBdr>
            <w:top w:val="none" w:sz="0" w:space="0" w:color="auto"/>
            <w:left w:val="none" w:sz="0" w:space="0" w:color="auto"/>
            <w:bottom w:val="none" w:sz="0" w:space="0" w:color="auto"/>
            <w:right w:val="none" w:sz="0" w:space="0" w:color="auto"/>
          </w:divBdr>
          <w:divsChild>
            <w:div w:id="1596937573">
              <w:marLeft w:val="0"/>
              <w:marRight w:val="0"/>
              <w:marTop w:val="0"/>
              <w:marBottom w:val="0"/>
              <w:divBdr>
                <w:top w:val="none" w:sz="0" w:space="0" w:color="auto"/>
                <w:left w:val="none" w:sz="0" w:space="0" w:color="auto"/>
                <w:bottom w:val="none" w:sz="0" w:space="0" w:color="auto"/>
                <w:right w:val="none" w:sz="0" w:space="0" w:color="auto"/>
              </w:divBdr>
            </w:div>
          </w:divsChild>
        </w:div>
        <w:div w:id="965114121">
          <w:marLeft w:val="0"/>
          <w:marRight w:val="0"/>
          <w:marTop w:val="0"/>
          <w:marBottom w:val="0"/>
          <w:divBdr>
            <w:top w:val="none" w:sz="0" w:space="0" w:color="auto"/>
            <w:left w:val="none" w:sz="0" w:space="0" w:color="auto"/>
            <w:bottom w:val="none" w:sz="0" w:space="0" w:color="auto"/>
            <w:right w:val="none" w:sz="0" w:space="0" w:color="auto"/>
          </w:divBdr>
          <w:divsChild>
            <w:div w:id="500049123">
              <w:marLeft w:val="0"/>
              <w:marRight w:val="0"/>
              <w:marTop w:val="0"/>
              <w:marBottom w:val="0"/>
              <w:divBdr>
                <w:top w:val="none" w:sz="0" w:space="0" w:color="auto"/>
                <w:left w:val="none" w:sz="0" w:space="0" w:color="auto"/>
                <w:bottom w:val="none" w:sz="0" w:space="0" w:color="auto"/>
                <w:right w:val="none" w:sz="0" w:space="0" w:color="auto"/>
              </w:divBdr>
            </w:div>
          </w:divsChild>
        </w:div>
        <w:div w:id="2069768824">
          <w:marLeft w:val="0"/>
          <w:marRight w:val="0"/>
          <w:marTop w:val="0"/>
          <w:marBottom w:val="150"/>
          <w:divBdr>
            <w:top w:val="none" w:sz="0" w:space="0" w:color="auto"/>
            <w:left w:val="none" w:sz="0" w:space="0" w:color="auto"/>
            <w:bottom w:val="none" w:sz="0" w:space="0" w:color="auto"/>
            <w:right w:val="none" w:sz="0" w:space="0" w:color="auto"/>
          </w:divBdr>
        </w:div>
      </w:divsChild>
    </w:div>
    <w:div w:id="1762871966">
      <w:bodyDiv w:val="1"/>
      <w:marLeft w:val="0"/>
      <w:marRight w:val="0"/>
      <w:marTop w:val="0"/>
      <w:marBottom w:val="0"/>
      <w:divBdr>
        <w:top w:val="none" w:sz="0" w:space="0" w:color="auto"/>
        <w:left w:val="none" w:sz="0" w:space="0" w:color="auto"/>
        <w:bottom w:val="none" w:sz="0" w:space="0" w:color="auto"/>
        <w:right w:val="none" w:sz="0" w:space="0" w:color="auto"/>
      </w:divBdr>
      <w:divsChild>
        <w:div w:id="57291689">
          <w:marLeft w:val="0"/>
          <w:marRight w:val="0"/>
          <w:marTop w:val="0"/>
          <w:marBottom w:val="150"/>
          <w:divBdr>
            <w:top w:val="none" w:sz="0" w:space="0" w:color="auto"/>
            <w:left w:val="none" w:sz="0" w:space="0" w:color="auto"/>
            <w:bottom w:val="none" w:sz="0" w:space="0" w:color="auto"/>
            <w:right w:val="none" w:sz="0" w:space="0" w:color="auto"/>
          </w:divBdr>
        </w:div>
      </w:divsChild>
    </w:div>
    <w:div w:id="1762948170">
      <w:bodyDiv w:val="1"/>
      <w:marLeft w:val="0"/>
      <w:marRight w:val="0"/>
      <w:marTop w:val="0"/>
      <w:marBottom w:val="0"/>
      <w:divBdr>
        <w:top w:val="none" w:sz="0" w:space="0" w:color="auto"/>
        <w:left w:val="none" w:sz="0" w:space="0" w:color="auto"/>
        <w:bottom w:val="none" w:sz="0" w:space="0" w:color="auto"/>
        <w:right w:val="none" w:sz="0" w:space="0" w:color="auto"/>
      </w:divBdr>
      <w:divsChild>
        <w:div w:id="1233539931">
          <w:marLeft w:val="0"/>
          <w:marRight w:val="0"/>
          <w:marTop w:val="0"/>
          <w:marBottom w:val="0"/>
          <w:divBdr>
            <w:top w:val="none" w:sz="0" w:space="0" w:color="auto"/>
            <w:left w:val="none" w:sz="0" w:space="0" w:color="auto"/>
            <w:bottom w:val="dotted" w:sz="6" w:space="4" w:color="DDDDDD"/>
            <w:right w:val="none" w:sz="0" w:space="0" w:color="auto"/>
          </w:divBdr>
        </w:div>
      </w:divsChild>
    </w:div>
    <w:div w:id="1763065680">
      <w:bodyDiv w:val="1"/>
      <w:marLeft w:val="0"/>
      <w:marRight w:val="0"/>
      <w:marTop w:val="375"/>
      <w:marBottom w:val="0"/>
      <w:divBdr>
        <w:top w:val="none" w:sz="0" w:space="0" w:color="auto"/>
        <w:left w:val="none" w:sz="0" w:space="0" w:color="auto"/>
        <w:bottom w:val="none" w:sz="0" w:space="0" w:color="auto"/>
        <w:right w:val="none" w:sz="0" w:space="0" w:color="auto"/>
      </w:divBdr>
      <w:divsChild>
        <w:div w:id="545871991">
          <w:marLeft w:val="0"/>
          <w:marRight w:val="0"/>
          <w:marTop w:val="0"/>
          <w:marBottom w:val="0"/>
          <w:divBdr>
            <w:top w:val="none" w:sz="0" w:space="0" w:color="auto"/>
            <w:left w:val="single" w:sz="6" w:space="0" w:color="ECECEC"/>
            <w:bottom w:val="none" w:sz="0" w:space="0" w:color="auto"/>
            <w:right w:val="single" w:sz="6" w:space="0" w:color="ECECEC"/>
          </w:divBdr>
          <w:divsChild>
            <w:div w:id="1102845851">
              <w:marLeft w:val="0"/>
              <w:marRight w:val="0"/>
              <w:marTop w:val="0"/>
              <w:marBottom w:val="0"/>
              <w:divBdr>
                <w:top w:val="none" w:sz="0" w:space="0" w:color="auto"/>
                <w:left w:val="none" w:sz="0" w:space="0" w:color="auto"/>
                <w:bottom w:val="none" w:sz="0" w:space="0" w:color="auto"/>
                <w:right w:val="none" w:sz="0" w:space="0" w:color="auto"/>
              </w:divBdr>
              <w:divsChild>
                <w:div w:id="496115843">
                  <w:marLeft w:val="0"/>
                  <w:marRight w:val="0"/>
                  <w:marTop w:val="0"/>
                  <w:marBottom w:val="0"/>
                  <w:divBdr>
                    <w:top w:val="none" w:sz="0" w:space="0" w:color="auto"/>
                    <w:left w:val="none" w:sz="0" w:space="0" w:color="auto"/>
                    <w:bottom w:val="none" w:sz="0" w:space="0" w:color="auto"/>
                    <w:right w:val="none" w:sz="0" w:space="0" w:color="auto"/>
                  </w:divBdr>
                  <w:divsChild>
                    <w:div w:id="122160366">
                      <w:marLeft w:val="0"/>
                      <w:marRight w:val="0"/>
                      <w:marTop w:val="0"/>
                      <w:marBottom w:val="0"/>
                      <w:divBdr>
                        <w:top w:val="none" w:sz="0" w:space="0" w:color="auto"/>
                        <w:left w:val="none" w:sz="0" w:space="0" w:color="auto"/>
                        <w:bottom w:val="none" w:sz="0" w:space="0" w:color="auto"/>
                        <w:right w:val="none" w:sz="0" w:space="0" w:color="auto"/>
                      </w:divBdr>
                      <w:divsChild>
                        <w:div w:id="1539005647">
                          <w:marLeft w:val="0"/>
                          <w:marRight w:val="0"/>
                          <w:marTop w:val="0"/>
                          <w:marBottom w:val="0"/>
                          <w:divBdr>
                            <w:top w:val="none" w:sz="0" w:space="0" w:color="auto"/>
                            <w:left w:val="none" w:sz="0" w:space="0" w:color="auto"/>
                            <w:bottom w:val="none" w:sz="0" w:space="0" w:color="auto"/>
                            <w:right w:val="none" w:sz="0" w:space="0" w:color="auto"/>
                          </w:divBdr>
                          <w:divsChild>
                            <w:div w:id="2084794535">
                              <w:marLeft w:val="0"/>
                              <w:marRight w:val="0"/>
                              <w:marTop w:val="0"/>
                              <w:marBottom w:val="0"/>
                              <w:divBdr>
                                <w:top w:val="none" w:sz="0" w:space="0" w:color="auto"/>
                                <w:left w:val="none" w:sz="0" w:space="0" w:color="auto"/>
                                <w:bottom w:val="none" w:sz="0" w:space="0" w:color="auto"/>
                                <w:right w:val="none" w:sz="0" w:space="0" w:color="auto"/>
                              </w:divBdr>
                              <w:divsChild>
                                <w:div w:id="139037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3909538">
      <w:bodyDiv w:val="1"/>
      <w:marLeft w:val="0"/>
      <w:marRight w:val="0"/>
      <w:marTop w:val="0"/>
      <w:marBottom w:val="0"/>
      <w:divBdr>
        <w:top w:val="none" w:sz="0" w:space="0" w:color="auto"/>
        <w:left w:val="none" w:sz="0" w:space="0" w:color="auto"/>
        <w:bottom w:val="none" w:sz="0" w:space="0" w:color="auto"/>
        <w:right w:val="none" w:sz="0" w:space="0" w:color="auto"/>
      </w:divBdr>
      <w:divsChild>
        <w:div w:id="97022066">
          <w:marLeft w:val="0"/>
          <w:marRight w:val="0"/>
          <w:marTop w:val="0"/>
          <w:marBottom w:val="0"/>
          <w:divBdr>
            <w:top w:val="none" w:sz="0" w:space="0" w:color="auto"/>
            <w:left w:val="none" w:sz="0" w:space="0" w:color="auto"/>
            <w:bottom w:val="dotted" w:sz="6" w:space="4" w:color="DDDDDD"/>
            <w:right w:val="none" w:sz="0" w:space="0" w:color="auto"/>
          </w:divBdr>
        </w:div>
      </w:divsChild>
    </w:div>
    <w:div w:id="1763990793">
      <w:bodyDiv w:val="1"/>
      <w:marLeft w:val="0"/>
      <w:marRight w:val="0"/>
      <w:marTop w:val="0"/>
      <w:marBottom w:val="0"/>
      <w:divBdr>
        <w:top w:val="none" w:sz="0" w:space="0" w:color="auto"/>
        <w:left w:val="none" w:sz="0" w:space="0" w:color="auto"/>
        <w:bottom w:val="none" w:sz="0" w:space="0" w:color="auto"/>
        <w:right w:val="none" w:sz="0" w:space="0" w:color="auto"/>
      </w:divBdr>
      <w:divsChild>
        <w:div w:id="555164417">
          <w:marLeft w:val="0"/>
          <w:marRight w:val="0"/>
          <w:marTop w:val="0"/>
          <w:marBottom w:val="0"/>
          <w:divBdr>
            <w:top w:val="none" w:sz="0" w:space="0" w:color="auto"/>
            <w:left w:val="none" w:sz="0" w:space="0" w:color="auto"/>
            <w:bottom w:val="none" w:sz="0" w:space="0" w:color="auto"/>
            <w:right w:val="none" w:sz="0" w:space="0" w:color="auto"/>
          </w:divBdr>
        </w:div>
      </w:divsChild>
    </w:div>
    <w:div w:id="1764035252">
      <w:bodyDiv w:val="1"/>
      <w:marLeft w:val="0"/>
      <w:marRight w:val="0"/>
      <w:marTop w:val="0"/>
      <w:marBottom w:val="0"/>
      <w:divBdr>
        <w:top w:val="none" w:sz="0" w:space="0" w:color="auto"/>
        <w:left w:val="none" w:sz="0" w:space="0" w:color="auto"/>
        <w:bottom w:val="none" w:sz="0" w:space="0" w:color="auto"/>
        <w:right w:val="none" w:sz="0" w:space="0" w:color="auto"/>
      </w:divBdr>
    </w:div>
    <w:div w:id="1764451962">
      <w:bodyDiv w:val="1"/>
      <w:marLeft w:val="0"/>
      <w:marRight w:val="0"/>
      <w:marTop w:val="0"/>
      <w:marBottom w:val="0"/>
      <w:divBdr>
        <w:top w:val="none" w:sz="0" w:space="0" w:color="auto"/>
        <w:left w:val="none" w:sz="0" w:space="0" w:color="auto"/>
        <w:bottom w:val="none" w:sz="0" w:space="0" w:color="auto"/>
        <w:right w:val="none" w:sz="0" w:space="0" w:color="auto"/>
      </w:divBdr>
      <w:divsChild>
        <w:div w:id="944926634">
          <w:marLeft w:val="0"/>
          <w:marRight w:val="0"/>
          <w:marTop w:val="0"/>
          <w:marBottom w:val="0"/>
          <w:divBdr>
            <w:top w:val="none" w:sz="0" w:space="0" w:color="auto"/>
            <w:left w:val="none" w:sz="0" w:space="0" w:color="auto"/>
            <w:bottom w:val="none" w:sz="0" w:space="0" w:color="auto"/>
            <w:right w:val="none" w:sz="0" w:space="0" w:color="auto"/>
          </w:divBdr>
          <w:divsChild>
            <w:div w:id="1934389084">
              <w:marLeft w:val="0"/>
              <w:marRight w:val="0"/>
              <w:marTop w:val="0"/>
              <w:marBottom w:val="0"/>
              <w:divBdr>
                <w:top w:val="none" w:sz="0" w:space="0" w:color="auto"/>
                <w:left w:val="none" w:sz="0" w:space="0" w:color="auto"/>
                <w:bottom w:val="none" w:sz="0" w:space="0" w:color="auto"/>
                <w:right w:val="none" w:sz="0" w:space="0" w:color="auto"/>
              </w:divBdr>
              <w:divsChild>
                <w:div w:id="1239710184">
                  <w:marLeft w:val="0"/>
                  <w:marRight w:val="0"/>
                  <w:marTop w:val="0"/>
                  <w:marBottom w:val="0"/>
                  <w:divBdr>
                    <w:top w:val="none" w:sz="0" w:space="0" w:color="auto"/>
                    <w:left w:val="none" w:sz="0" w:space="0" w:color="auto"/>
                    <w:bottom w:val="none" w:sz="0" w:space="0" w:color="auto"/>
                    <w:right w:val="none" w:sz="0" w:space="0" w:color="auto"/>
                  </w:divBdr>
                  <w:divsChild>
                    <w:div w:id="1639915184">
                      <w:marLeft w:val="0"/>
                      <w:marRight w:val="0"/>
                      <w:marTop w:val="0"/>
                      <w:marBottom w:val="0"/>
                      <w:divBdr>
                        <w:top w:val="none" w:sz="0" w:space="0" w:color="auto"/>
                        <w:left w:val="none" w:sz="0" w:space="0" w:color="auto"/>
                        <w:bottom w:val="none" w:sz="0" w:space="0" w:color="auto"/>
                        <w:right w:val="none" w:sz="0" w:space="0" w:color="auto"/>
                      </w:divBdr>
                      <w:divsChild>
                        <w:div w:id="1159735338">
                          <w:marLeft w:val="0"/>
                          <w:marRight w:val="0"/>
                          <w:marTop w:val="0"/>
                          <w:marBottom w:val="0"/>
                          <w:divBdr>
                            <w:top w:val="none" w:sz="0" w:space="0" w:color="auto"/>
                            <w:left w:val="none" w:sz="0" w:space="0" w:color="auto"/>
                            <w:bottom w:val="none" w:sz="0" w:space="0" w:color="auto"/>
                            <w:right w:val="none" w:sz="0" w:space="0" w:color="auto"/>
                          </w:divBdr>
                          <w:divsChild>
                            <w:div w:id="1012074165">
                              <w:marLeft w:val="0"/>
                              <w:marRight w:val="0"/>
                              <w:marTop w:val="0"/>
                              <w:marBottom w:val="0"/>
                              <w:divBdr>
                                <w:top w:val="none" w:sz="0" w:space="0" w:color="auto"/>
                                <w:left w:val="none" w:sz="0" w:space="0" w:color="auto"/>
                                <w:bottom w:val="none" w:sz="0" w:space="0" w:color="auto"/>
                                <w:right w:val="none" w:sz="0" w:space="0" w:color="auto"/>
                              </w:divBdr>
                              <w:divsChild>
                                <w:div w:id="1711294744">
                                  <w:marLeft w:val="0"/>
                                  <w:marRight w:val="0"/>
                                  <w:marTop w:val="0"/>
                                  <w:marBottom w:val="0"/>
                                  <w:divBdr>
                                    <w:top w:val="none" w:sz="0" w:space="0" w:color="auto"/>
                                    <w:left w:val="none" w:sz="0" w:space="0" w:color="auto"/>
                                    <w:bottom w:val="none" w:sz="0" w:space="0" w:color="auto"/>
                                    <w:right w:val="none" w:sz="0" w:space="0" w:color="auto"/>
                                  </w:divBdr>
                                  <w:divsChild>
                                    <w:div w:id="1861625478">
                                      <w:marLeft w:val="0"/>
                                      <w:marRight w:val="0"/>
                                      <w:marTop w:val="0"/>
                                      <w:marBottom w:val="0"/>
                                      <w:divBdr>
                                        <w:top w:val="none" w:sz="0" w:space="0" w:color="auto"/>
                                        <w:left w:val="none" w:sz="0" w:space="0" w:color="auto"/>
                                        <w:bottom w:val="none" w:sz="0" w:space="0" w:color="auto"/>
                                        <w:right w:val="none" w:sz="0" w:space="0" w:color="auto"/>
                                      </w:divBdr>
                                      <w:divsChild>
                                        <w:div w:id="114585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4760537">
      <w:bodyDiv w:val="1"/>
      <w:marLeft w:val="0"/>
      <w:marRight w:val="0"/>
      <w:marTop w:val="0"/>
      <w:marBottom w:val="0"/>
      <w:divBdr>
        <w:top w:val="none" w:sz="0" w:space="0" w:color="auto"/>
        <w:left w:val="none" w:sz="0" w:space="0" w:color="auto"/>
        <w:bottom w:val="none" w:sz="0" w:space="0" w:color="auto"/>
        <w:right w:val="none" w:sz="0" w:space="0" w:color="auto"/>
      </w:divBdr>
    </w:div>
    <w:div w:id="1764836152">
      <w:bodyDiv w:val="1"/>
      <w:marLeft w:val="0"/>
      <w:marRight w:val="0"/>
      <w:marTop w:val="0"/>
      <w:marBottom w:val="0"/>
      <w:divBdr>
        <w:top w:val="none" w:sz="0" w:space="0" w:color="auto"/>
        <w:left w:val="none" w:sz="0" w:space="0" w:color="auto"/>
        <w:bottom w:val="none" w:sz="0" w:space="0" w:color="auto"/>
        <w:right w:val="none" w:sz="0" w:space="0" w:color="auto"/>
      </w:divBdr>
      <w:divsChild>
        <w:div w:id="509224578">
          <w:marLeft w:val="0"/>
          <w:marRight w:val="0"/>
          <w:marTop w:val="0"/>
          <w:marBottom w:val="150"/>
          <w:divBdr>
            <w:top w:val="none" w:sz="0" w:space="0" w:color="auto"/>
            <w:left w:val="none" w:sz="0" w:space="0" w:color="auto"/>
            <w:bottom w:val="none" w:sz="0" w:space="0" w:color="auto"/>
            <w:right w:val="none" w:sz="0" w:space="0" w:color="auto"/>
          </w:divBdr>
        </w:div>
      </w:divsChild>
    </w:div>
    <w:div w:id="1764910515">
      <w:bodyDiv w:val="1"/>
      <w:marLeft w:val="0"/>
      <w:marRight w:val="0"/>
      <w:marTop w:val="0"/>
      <w:marBottom w:val="0"/>
      <w:divBdr>
        <w:top w:val="none" w:sz="0" w:space="0" w:color="auto"/>
        <w:left w:val="none" w:sz="0" w:space="0" w:color="auto"/>
        <w:bottom w:val="none" w:sz="0" w:space="0" w:color="auto"/>
        <w:right w:val="none" w:sz="0" w:space="0" w:color="auto"/>
      </w:divBdr>
      <w:divsChild>
        <w:div w:id="1932465870">
          <w:marLeft w:val="0"/>
          <w:marRight w:val="0"/>
          <w:marTop w:val="0"/>
          <w:marBottom w:val="180"/>
          <w:divBdr>
            <w:top w:val="none" w:sz="0" w:space="0" w:color="auto"/>
            <w:left w:val="none" w:sz="0" w:space="0" w:color="auto"/>
            <w:bottom w:val="none" w:sz="0" w:space="0" w:color="auto"/>
            <w:right w:val="none" w:sz="0" w:space="0" w:color="auto"/>
          </w:divBdr>
        </w:div>
      </w:divsChild>
    </w:div>
    <w:div w:id="1765219929">
      <w:bodyDiv w:val="1"/>
      <w:marLeft w:val="0"/>
      <w:marRight w:val="0"/>
      <w:marTop w:val="0"/>
      <w:marBottom w:val="0"/>
      <w:divBdr>
        <w:top w:val="none" w:sz="0" w:space="0" w:color="auto"/>
        <w:left w:val="none" w:sz="0" w:space="0" w:color="auto"/>
        <w:bottom w:val="none" w:sz="0" w:space="0" w:color="auto"/>
        <w:right w:val="none" w:sz="0" w:space="0" w:color="auto"/>
      </w:divBdr>
      <w:divsChild>
        <w:div w:id="1279993561">
          <w:marLeft w:val="0"/>
          <w:marRight w:val="0"/>
          <w:marTop w:val="0"/>
          <w:marBottom w:val="0"/>
          <w:divBdr>
            <w:top w:val="none" w:sz="0" w:space="0" w:color="auto"/>
            <w:left w:val="none" w:sz="0" w:space="0" w:color="auto"/>
            <w:bottom w:val="dotted" w:sz="6" w:space="4" w:color="DDDDDD"/>
            <w:right w:val="none" w:sz="0" w:space="0" w:color="auto"/>
          </w:divBdr>
          <w:divsChild>
            <w:div w:id="117515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374735">
      <w:bodyDiv w:val="1"/>
      <w:marLeft w:val="0"/>
      <w:marRight w:val="0"/>
      <w:marTop w:val="0"/>
      <w:marBottom w:val="0"/>
      <w:divBdr>
        <w:top w:val="none" w:sz="0" w:space="0" w:color="auto"/>
        <w:left w:val="none" w:sz="0" w:space="0" w:color="auto"/>
        <w:bottom w:val="none" w:sz="0" w:space="0" w:color="auto"/>
        <w:right w:val="none" w:sz="0" w:space="0" w:color="auto"/>
      </w:divBdr>
    </w:div>
    <w:div w:id="1765999249">
      <w:bodyDiv w:val="1"/>
      <w:marLeft w:val="0"/>
      <w:marRight w:val="0"/>
      <w:marTop w:val="0"/>
      <w:marBottom w:val="0"/>
      <w:divBdr>
        <w:top w:val="none" w:sz="0" w:space="0" w:color="auto"/>
        <w:left w:val="none" w:sz="0" w:space="0" w:color="auto"/>
        <w:bottom w:val="none" w:sz="0" w:space="0" w:color="auto"/>
        <w:right w:val="none" w:sz="0" w:space="0" w:color="auto"/>
      </w:divBdr>
      <w:divsChild>
        <w:div w:id="1050304970">
          <w:marLeft w:val="0"/>
          <w:marRight w:val="0"/>
          <w:marTop w:val="0"/>
          <w:marBottom w:val="150"/>
          <w:divBdr>
            <w:top w:val="none" w:sz="0" w:space="0" w:color="auto"/>
            <w:left w:val="none" w:sz="0" w:space="0" w:color="auto"/>
            <w:bottom w:val="none" w:sz="0" w:space="0" w:color="auto"/>
            <w:right w:val="none" w:sz="0" w:space="0" w:color="auto"/>
          </w:divBdr>
          <w:divsChild>
            <w:div w:id="851188616">
              <w:marLeft w:val="0"/>
              <w:marRight w:val="0"/>
              <w:marTop w:val="0"/>
              <w:marBottom w:val="0"/>
              <w:divBdr>
                <w:top w:val="none" w:sz="0" w:space="0" w:color="auto"/>
                <w:left w:val="none" w:sz="0" w:space="0" w:color="auto"/>
                <w:bottom w:val="none" w:sz="0" w:space="0" w:color="auto"/>
                <w:right w:val="none" w:sz="0" w:space="0" w:color="auto"/>
              </w:divBdr>
              <w:divsChild>
                <w:div w:id="165695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758672">
          <w:marLeft w:val="0"/>
          <w:marRight w:val="0"/>
          <w:marTop w:val="0"/>
          <w:marBottom w:val="0"/>
          <w:divBdr>
            <w:top w:val="none" w:sz="0" w:space="0" w:color="auto"/>
            <w:left w:val="none" w:sz="0" w:space="0" w:color="auto"/>
            <w:bottom w:val="none" w:sz="0" w:space="0" w:color="auto"/>
            <w:right w:val="none" w:sz="0" w:space="0" w:color="auto"/>
          </w:divBdr>
          <w:divsChild>
            <w:div w:id="798300054">
              <w:marLeft w:val="0"/>
              <w:marRight w:val="0"/>
              <w:marTop w:val="0"/>
              <w:marBottom w:val="150"/>
              <w:divBdr>
                <w:top w:val="none" w:sz="0" w:space="0" w:color="auto"/>
                <w:left w:val="none" w:sz="0" w:space="0" w:color="auto"/>
                <w:bottom w:val="none" w:sz="0" w:space="0" w:color="auto"/>
                <w:right w:val="none" w:sz="0" w:space="0" w:color="auto"/>
              </w:divBdr>
            </w:div>
            <w:div w:id="1534609199">
              <w:marLeft w:val="0"/>
              <w:marRight w:val="0"/>
              <w:marTop w:val="0"/>
              <w:marBottom w:val="0"/>
              <w:divBdr>
                <w:top w:val="none" w:sz="0" w:space="0" w:color="auto"/>
                <w:left w:val="none" w:sz="0" w:space="0" w:color="auto"/>
                <w:bottom w:val="none" w:sz="0" w:space="0" w:color="auto"/>
                <w:right w:val="none" w:sz="0" w:space="0" w:color="auto"/>
              </w:divBdr>
              <w:divsChild>
                <w:div w:id="15032745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765999629">
      <w:bodyDiv w:val="1"/>
      <w:marLeft w:val="0"/>
      <w:marRight w:val="0"/>
      <w:marTop w:val="0"/>
      <w:marBottom w:val="0"/>
      <w:divBdr>
        <w:top w:val="none" w:sz="0" w:space="0" w:color="auto"/>
        <w:left w:val="none" w:sz="0" w:space="0" w:color="auto"/>
        <w:bottom w:val="none" w:sz="0" w:space="0" w:color="auto"/>
        <w:right w:val="none" w:sz="0" w:space="0" w:color="auto"/>
      </w:divBdr>
    </w:div>
    <w:div w:id="1766338631">
      <w:bodyDiv w:val="1"/>
      <w:marLeft w:val="0"/>
      <w:marRight w:val="0"/>
      <w:marTop w:val="0"/>
      <w:marBottom w:val="0"/>
      <w:divBdr>
        <w:top w:val="none" w:sz="0" w:space="0" w:color="auto"/>
        <w:left w:val="none" w:sz="0" w:space="0" w:color="auto"/>
        <w:bottom w:val="none" w:sz="0" w:space="0" w:color="auto"/>
        <w:right w:val="none" w:sz="0" w:space="0" w:color="auto"/>
      </w:divBdr>
      <w:divsChild>
        <w:div w:id="1607813228">
          <w:marLeft w:val="0"/>
          <w:marRight w:val="0"/>
          <w:marTop w:val="0"/>
          <w:marBottom w:val="0"/>
          <w:divBdr>
            <w:top w:val="none" w:sz="0" w:space="0" w:color="auto"/>
            <w:left w:val="none" w:sz="0" w:space="0" w:color="auto"/>
            <w:bottom w:val="none" w:sz="0" w:space="0" w:color="auto"/>
            <w:right w:val="none" w:sz="0" w:space="0" w:color="auto"/>
          </w:divBdr>
          <w:divsChild>
            <w:div w:id="1480076874">
              <w:marLeft w:val="0"/>
              <w:marRight w:val="0"/>
              <w:marTop w:val="0"/>
              <w:marBottom w:val="0"/>
              <w:divBdr>
                <w:top w:val="none" w:sz="0" w:space="0" w:color="auto"/>
                <w:left w:val="none" w:sz="0" w:space="0" w:color="auto"/>
                <w:bottom w:val="single" w:sz="12" w:space="0" w:color="C4C4C4"/>
                <w:right w:val="none" w:sz="0" w:space="0" w:color="auto"/>
              </w:divBdr>
              <w:divsChild>
                <w:div w:id="427433568">
                  <w:marLeft w:val="0"/>
                  <w:marRight w:val="0"/>
                  <w:marTop w:val="0"/>
                  <w:marBottom w:val="0"/>
                  <w:divBdr>
                    <w:top w:val="none" w:sz="0" w:space="0" w:color="auto"/>
                    <w:left w:val="none" w:sz="0" w:space="0" w:color="auto"/>
                    <w:bottom w:val="none" w:sz="0" w:space="0" w:color="auto"/>
                    <w:right w:val="none" w:sz="0" w:space="0" w:color="auto"/>
                  </w:divBdr>
                  <w:divsChild>
                    <w:div w:id="105758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92785">
              <w:marLeft w:val="0"/>
              <w:marRight w:val="150"/>
              <w:marTop w:val="0"/>
              <w:marBottom w:val="0"/>
              <w:divBdr>
                <w:top w:val="none" w:sz="0" w:space="0" w:color="auto"/>
                <w:left w:val="none" w:sz="0" w:space="0" w:color="auto"/>
                <w:bottom w:val="none" w:sz="0" w:space="0" w:color="auto"/>
                <w:right w:val="none" w:sz="0" w:space="0" w:color="auto"/>
              </w:divBdr>
              <w:divsChild>
                <w:div w:id="419984098">
                  <w:marLeft w:val="0"/>
                  <w:marRight w:val="0"/>
                  <w:marTop w:val="0"/>
                  <w:marBottom w:val="0"/>
                  <w:divBdr>
                    <w:top w:val="none" w:sz="0" w:space="0" w:color="auto"/>
                    <w:left w:val="none" w:sz="0" w:space="0" w:color="auto"/>
                    <w:bottom w:val="none" w:sz="0" w:space="0" w:color="auto"/>
                    <w:right w:val="none" w:sz="0" w:space="0" w:color="auto"/>
                  </w:divBdr>
                  <w:divsChild>
                    <w:div w:id="750393646">
                      <w:marLeft w:val="0"/>
                      <w:marRight w:val="0"/>
                      <w:marTop w:val="150"/>
                      <w:marBottom w:val="0"/>
                      <w:divBdr>
                        <w:top w:val="none" w:sz="0" w:space="0" w:color="auto"/>
                        <w:left w:val="none" w:sz="0" w:space="0" w:color="auto"/>
                        <w:bottom w:val="none" w:sz="0" w:space="0" w:color="auto"/>
                        <w:right w:val="none" w:sz="0" w:space="0" w:color="auto"/>
                      </w:divBdr>
                      <w:divsChild>
                        <w:div w:id="1055275073">
                          <w:marLeft w:val="0"/>
                          <w:marRight w:val="150"/>
                          <w:marTop w:val="0"/>
                          <w:marBottom w:val="0"/>
                          <w:divBdr>
                            <w:top w:val="none" w:sz="0" w:space="0" w:color="auto"/>
                            <w:left w:val="none" w:sz="0" w:space="0" w:color="auto"/>
                            <w:bottom w:val="none" w:sz="0" w:space="0" w:color="auto"/>
                            <w:right w:val="none" w:sz="0" w:space="0" w:color="auto"/>
                          </w:divBdr>
                        </w:div>
                      </w:divsChild>
                    </w:div>
                    <w:div w:id="1792627839">
                      <w:marLeft w:val="0"/>
                      <w:marRight w:val="0"/>
                      <w:marTop w:val="0"/>
                      <w:marBottom w:val="0"/>
                      <w:divBdr>
                        <w:top w:val="none" w:sz="0" w:space="8" w:color="auto"/>
                        <w:left w:val="none" w:sz="0" w:space="2" w:color="auto"/>
                        <w:bottom w:val="single" w:sz="6" w:space="8" w:color="DDDDDD"/>
                        <w:right w:val="none" w:sz="0" w:space="0" w:color="auto"/>
                      </w:divBdr>
                    </w:div>
                  </w:divsChild>
                </w:div>
              </w:divsChild>
            </w:div>
          </w:divsChild>
        </w:div>
        <w:div w:id="2060519016">
          <w:marLeft w:val="0"/>
          <w:marRight w:val="0"/>
          <w:marTop w:val="0"/>
          <w:marBottom w:val="0"/>
          <w:divBdr>
            <w:top w:val="single" w:sz="12" w:space="0" w:color="FFFFFF"/>
            <w:left w:val="none" w:sz="0" w:space="0" w:color="auto"/>
            <w:bottom w:val="single" w:sz="12" w:space="0" w:color="FFFFFF"/>
            <w:right w:val="none" w:sz="0" w:space="0" w:color="auto"/>
          </w:divBdr>
        </w:div>
      </w:divsChild>
    </w:div>
    <w:div w:id="1767145012">
      <w:bodyDiv w:val="1"/>
      <w:marLeft w:val="0"/>
      <w:marRight w:val="0"/>
      <w:marTop w:val="0"/>
      <w:marBottom w:val="0"/>
      <w:divBdr>
        <w:top w:val="none" w:sz="0" w:space="0" w:color="auto"/>
        <w:left w:val="none" w:sz="0" w:space="0" w:color="auto"/>
        <w:bottom w:val="none" w:sz="0" w:space="0" w:color="auto"/>
        <w:right w:val="none" w:sz="0" w:space="0" w:color="auto"/>
      </w:divBdr>
    </w:div>
    <w:div w:id="1767341855">
      <w:bodyDiv w:val="1"/>
      <w:marLeft w:val="0"/>
      <w:marRight w:val="0"/>
      <w:marTop w:val="0"/>
      <w:marBottom w:val="0"/>
      <w:divBdr>
        <w:top w:val="none" w:sz="0" w:space="0" w:color="auto"/>
        <w:left w:val="none" w:sz="0" w:space="0" w:color="auto"/>
        <w:bottom w:val="none" w:sz="0" w:space="0" w:color="auto"/>
        <w:right w:val="none" w:sz="0" w:space="0" w:color="auto"/>
      </w:divBdr>
      <w:divsChild>
        <w:div w:id="249435930">
          <w:marLeft w:val="0"/>
          <w:marRight w:val="0"/>
          <w:marTop w:val="0"/>
          <w:marBottom w:val="300"/>
          <w:divBdr>
            <w:top w:val="none" w:sz="0" w:space="0" w:color="auto"/>
            <w:left w:val="none" w:sz="0" w:space="0" w:color="auto"/>
            <w:bottom w:val="single" w:sz="6" w:space="0" w:color="E4E4E4"/>
            <w:right w:val="none" w:sz="0" w:space="0" w:color="auto"/>
          </w:divBdr>
        </w:div>
        <w:div w:id="381366385">
          <w:marLeft w:val="0"/>
          <w:marRight w:val="0"/>
          <w:marTop w:val="0"/>
          <w:marBottom w:val="0"/>
          <w:divBdr>
            <w:top w:val="none" w:sz="0" w:space="0" w:color="auto"/>
            <w:left w:val="none" w:sz="0" w:space="0" w:color="auto"/>
            <w:bottom w:val="none" w:sz="0" w:space="0" w:color="auto"/>
            <w:right w:val="none" w:sz="0" w:space="0" w:color="auto"/>
          </w:divBdr>
          <w:divsChild>
            <w:div w:id="717556374">
              <w:marLeft w:val="0"/>
              <w:marRight w:val="0"/>
              <w:marTop w:val="0"/>
              <w:marBottom w:val="0"/>
              <w:divBdr>
                <w:top w:val="none" w:sz="0" w:space="0" w:color="auto"/>
                <w:left w:val="none" w:sz="0" w:space="0" w:color="auto"/>
                <w:bottom w:val="none" w:sz="0" w:space="0" w:color="auto"/>
                <w:right w:val="none" w:sz="0" w:space="0" w:color="auto"/>
              </w:divBdr>
              <w:divsChild>
                <w:div w:id="769131575">
                  <w:marLeft w:val="0"/>
                  <w:marRight w:val="0"/>
                  <w:marTop w:val="0"/>
                  <w:marBottom w:val="450"/>
                  <w:divBdr>
                    <w:top w:val="none" w:sz="0" w:space="0" w:color="auto"/>
                    <w:left w:val="none" w:sz="0" w:space="0" w:color="auto"/>
                    <w:bottom w:val="none" w:sz="0" w:space="0" w:color="auto"/>
                    <w:right w:val="none" w:sz="0" w:space="0" w:color="auto"/>
                  </w:divBdr>
                  <w:divsChild>
                    <w:div w:id="419646490">
                      <w:marLeft w:val="0"/>
                      <w:marRight w:val="0"/>
                      <w:marTop w:val="0"/>
                      <w:marBottom w:val="0"/>
                      <w:divBdr>
                        <w:top w:val="none" w:sz="0" w:space="0" w:color="auto"/>
                        <w:left w:val="none" w:sz="0" w:space="0" w:color="auto"/>
                        <w:bottom w:val="none" w:sz="0" w:space="0" w:color="auto"/>
                        <w:right w:val="none" w:sz="0" w:space="0" w:color="auto"/>
                      </w:divBdr>
                      <w:divsChild>
                        <w:div w:id="91516510">
                          <w:marLeft w:val="0"/>
                          <w:marRight w:val="0"/>
                          <w:marTop w:val="0"/>
                          <w:marBottom w:val="150"/>
                          <w:divBdr>
                            <w:top w:val="none" w:sz="0" w:space="0" w:color="auto"/>
                            <w:left w:val="none" w:sz="0" w:space="0" w:color="auto"/>
                            <w:bottom w:val="none" w:sz="0" w:space="0" w:color="auto"/>
                            <w:right w:val="none" w:sz="0" w:space="0" w:color="auto"/>
                          </w:divBdr>
                        </w:div>
                        <w:div w:id="479616027">
                          <w:marLeft w:val="0"/>
                          <w:marRight w:val="0"/>
                          <w:marTop w:val="0"/>
                          <w:marBottom w:val="0"/>
                          <w:divBdr>
                            <w:top w:val="none" w:sz="0" w:space="0" w:color="auto"/>
                            <w:left w:val="none" w:sz="0" w:space="0" w:color="auto"/>
                            <w:bottom w:val="none" w:sz="0" w:space="0" w:color="auto"/>
                            <w:right w:val="none" w:sz="0" w:space="0" w:color="auto"/>
                          </w:divBdr>
                          <w:divsChild>
                            <w:div w:id="21203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79285">
                      <w:marLeft w:val="0"/>
                      <w:marRight w:val="0"/>
                      <w:marTop w:val="0"/>
                      <w:marBottom w:val="150"/>
                      <w:divBdr>
                        <w:top w:val="none" w:sz="0" w:space="0" w:color="auto"/>
                        <w:left w:val="none" w:sz="0" w:space="0" w:color="auto"/>
                        <w:bottom w:val="none" w:sz="0" w:space="0" w:color="auto"/>
                        <w:right w:val="none" w:sz="0" w:space="0" w:color="auto"/>
                      </w:divBdr>
                      <w:divsChild>
                        <w:div w:id="160753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697042">
          <w:marLeft w:val="0"/>
          <w:marRight w:val="0"/>
          <w:marTop w:val="0"/>
          <w:marBottom w:val="375"/>
          <w:divBdr>
            <w:top w:val="none" w:sz="0" w:space="0" w:color="auto"/>
            <w:left w:val="none" w:sz="0" w:space="0" w:color="auto"/>
            <w:bottom w:val="single" w:sz="6" w:space="0" w:color="005494"/>
            <w:right w:val="none" w:sz="0" w:space="0" w:color="auto"/>
          </w:divBdr>
        </w:div>
      </w:divsChild>
    </w:div>
    <w:div w:id="1767458524">
      <w:bodyDiv w:val="1"/>
      <w:marLeft w:val="0"/>
      <w:marRight w:val="0"/>
      <w:marTop w:val="0"/>
      <w:marBottom w:val="0"/>
      <w:divBdr>
        <w:top w:val="none" w:sz="0" w:space="0" w:color="auto"/>
        <w:left w:val="none" w:sz="0" w:space="0" w:color="auto"/>
        <w:bottom w:val="none" w:sz="0" w:space="0" w:color="auto"/>
        <w:right w:val="none" w:sz="0" w:space="0" w:color="auto"/>
      </w:divBdr>
    </w:div>
    <w:div w:id="1767654425">
      <w:bodyDiv w:val="1"/>
      <w:marLeft w:val="0"/>
      <w:marRight w:val="0"/>
      <w:marTop w:val="0"/>
      <w:marBottom w:val="0"/>
      <w:divBdr>
        <w:top w:val="none" w:sz="0" w:space="0" w:color="auto"/>
        <w:left w:val="none" w:sz="0" w:space="0" w:color="auto"/>
        <w:bottom w:val="none" w:sz="0" w:space="0" w:color="auto"/>
        <w:right w:val="none" w:sz="0" w:space="0" w:color="auto"/>
      </w:divBdr>
      <w:divsChild>
        <w:div w:id="353112982">
          <w:marLeft w:val="0"/>
          <w:marRight w:val="0"/>
          <w:marTop w:val="0"/>
          <w:marBottom w:val="0"/>
          <w:divBdr>
            <w:top w:val="none" w:sz="0" w:space="0" w:color="auto"/>
            <w:left w:val="none" w:sz="0" w:space="0" w:color="auto"/>
            <w:bottom w:val="dotted" w:sz="6" w:space="4" w:color="DDDDDD"/>
            <w:right w:val="none" w:sz="0" w:space="0" w:color="auto"/>
          </w:divBdr>
          <w:divsChild>
            <w:div w:id="209466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24819">
      <w:bodyDiv w:val="1"/>
      <w:marLeft w:val="0"/>
      <w:marRight w:val="0"/>
      <w:marTop w:val="0"/>
      <w:marBottom w:val="0"/>
      <w:divBdr>
        <w:top w:val="none" w:sz="0" w:space="0" w:color="auto"/>
        <w:left w:val="none" w:sz="0" w:space="0" w:color="auto"/>
        <w:bottom w:val="none" w:sz="0" w:space="0" w:color="auto"/>
        <w:right w:val="none" w:sz="0" w:space="0" w:color="auto"/>
      </w:divBdr>
      <w:divsChild>
        <w:div w:id="932202540">
          <w:marLeft w:val="0"/>
          <w:marRight w:val="0"/>
          <w:marTop w:val="0"/>
          <w:marBottom w:val="0"/>
          <w:divBdr>
            <w:top w:val="none" w:sz="0" w:space="0" w:color="auto"/>
            <w:left w:val="none" w:sz="0" w:space="0" w:color="auto"/>
            <w:bottom w:val="none" w:sz="0" w:space="0" w:color="auto"/>
            <w:right w:val="none" w:sz="0" w:space="0" w:color="auto"/>
          </w:divBdr>
        </w:div>
      </w:divsChild>
    </w:div>
    <w:div w:id="1767967047">
      <w:bodyDiv w:val="1"/>
      <w:marLeft w:val="0"/>
      <w:marRight w:val="0"/>
      <w:marTop w:val="0"/>
      <w:marBottom w:val="0"/>
      <w:divBdr>
        <w:top w:val="none" w:sz="0" w:space="0" w:color="auto"/>
        <w:left w:val="none" w:sz="0" w:space="0" w:color="auto"/>
        <w:bottom w:val="none" w:sz="0" w:space="0" w:color="auto"/>
        <w:right w:val="none" w:sz="0" w:space="0" w:color="auto"/>
      </w:divBdr>
      <w:divsChild>
        <w:div w:id="1295873292">
          <w:marLeft w:val="0"/>
          <w:marRight w:val="0"/>
          <w:marTop w:val="0"/>
          <w:marBottom w:val="0"/>
          <w:divBdr>
            <w:top w:val="none" w:sz="0" w:space="0" w:color="auto"/>
            <w:left w:val="none" w:sz="0" w:space="0" w:color="auto"/>
            <w:bottom w:val="none" w:sz="0" w:space="0" w:color="auto"/>
            <w:right w:val="none" w:sz="0" w:space="0" w:color="auto"/>
          </w:divBdr>
          <w:divsChild>
            <w:div w:id="154902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039712">
      <w:bodyDiv w:val="1"/>
      <w:marLeft w:val="0"/>
      <w:marRight w:val="0"/>
      <w:marTop w:val="0"/>
      <w:marBottom w:val="0"/>
      <w:divBdr>
        <w:top w:val="none" w:sz="0" w:space="0" w:color="auto"/>
        <w:left w:val="none" w:sz="0" w:space="0" w:color="auto"/>
        <w:bottom w:val="none" w:sz="0" w:space="0" w:color="auto"/>
        <w:right w:val="none" w:sz="0" w:space="0" w:color="auto"/>
      </w:divBdr>
    </w:div>
    <w:div w:id="1768042279">
      <w:bodyDiv w:val="1"/>
      <w:marLeft w:val="0"/>
      <w:marRight w:val="0"/>
      <w:marTop w:val="0"/>
      <w:marBottom w:val="0"/>
      <w:divBdr>
        <w:top w:val="none" w:sz="0" w:space="0" w:color="auto"/>
        <w:left w:val="none" w:sz="0" w:space="0" w:color="auto"/>
        <w:bottom w:val="none" w:sz="0" w:space="0" w:color="auto"/>
        <w:right w:val="none" w:sz="0" w:space="0" w:color="auto"/>
      </w:divBdr>
      <w:divsChild>
        <w:div w:id="731269802">
          <w:marLeft w:val="0"/>
          <w:marRight w:val="0"/>
          <w:marTop w:val="0"/>
          <w:marBottom w:val="0"/>
          <w:divBdr>
            <w:top w:val="none" w:sz="0" w:space="0" w:color="auto"/>
            <w:left w:val="none" w:sz="0" w:space="0" w:color="auto"/>
            <w:bottom w:val="none" w:sz="0" w:space="0" w:color="auto"/>
            <w:right w:val="none" w:sz="0" w:space="0" w:color="auto"/>
          </w:divBdr>
        </w:div>
      </w:divsChild>
    </w:div>
    <w:div w:id="1768236028">
      <w:bodyDiv w:val="1"/>
      <w:marLeft w:val="0"/>
      <w:marRight w:val="0"/>
      <w:marTop w:val="0"/>
      <w:marBottom w:val="0"/>
      <w:divBdr>
        <w:top w:val="none" w:sz="0" w:space="0" w:color="auto"/>
        <w:left w:val="none" w:sz="0" w:space="0" w:color="auto"/>
        <w:bottom w:val="none" w:sz="0" w:space="0" w:color="auto"/>
        <w:right w:val="none" w:sz="0" w:space="0" w:color="auto"/>
      </w:divBdr>
      <w:divsChild>
        <w:div w:id="703097092">
          <w:marLeft w:val="0"/>
          <w:marRight w:val="0"/>
          <w:marTop w:val="0"/>
          <w:marBottom w:val="0"/>
          <w:divBdr>
            <w:top w:val="none" w:sz="0" w:space="0" w:color="auto"/>
            <w:left w:val="none" w:sz="0" w:space="0" w:color="auto"/>
            <w:bottom w:val="none" w:sz="0" w:space="0" w:color="auto"/>
            <w:right w:val="none" w:sz="0" w:space="0" w:color="auto"/>
          </w:divBdr>
          <w:divsChild>
            <w:div w:id="1870795571">
              <w:marLeft w:val="0"/>
              <w:marRight w:val="0"/>
              <w:marTop w:val="0"/>
              <w:marBottom w:val="0"/>
              <w:divBdr>
                <w:top w:val="none" w:sz="0" w:space="0" w:color="auto"/>
                <w:left w:val="none" w:sz="0" w:space="0" w:color="auto"/>
                <w:bottom w:val="none" w:sz="0" w:space="0" w:color="auto"/>
                <w:right w:val="none" w:sz="0" w:space="0" w:color="auto"/>
              </w:divBdr>
              <w:divsChild>
                <w:div w:id="839583157">
                  <w:marLeft w:val="0"/>
                  <w:marRight w:val="0"/>
                  <w:marTop w:val="0"/>
                  <w:marBottom w:val="0"/>
                  <w:divBdr>
                    <w:top w:val="none" w:sz="0" w:space="0" w:color="auto"/>
                    <w:left w:val="none" w:sz="0" w:space="0" w:color="auto"/>
                    <w:bottom w:val="none" w:sz="0" w:space="0" w:color="auto"/>
                    <w:right w:val="none" w:sz="0" w:space="0" w:color="auto"/>
                  </w:divBdr>
                  <w:divsChild>
                    <w:div w:id="735056658">
                      <w:marLeft w:val="0"/>
                      <w:marRight w:val="0"/>
                      <w:marTop w:val="0"/>
                      <w:marBottom w:val="0"/>
                      <w:divBdr>
                        <w:top w:val="none" w:sz="0" w:space="0" w:color="auto"/>
                        <w:left w:val="none" w:sz="0" w:space="0" w:color="auto"/>
                        <w:bottom w:val="none" w:sz="0" w:space="0" w:color="auto"/>
                        <w:right w:val="none" w:sz="0" w:space="0" w:color="auto"/>
                      </w:divBdr>
                      <w:divsChild>
                        <w:div w:id="1628049113">
                          <w:marLeft w:val="0"/>
                          <w:marRight w:val="0"/>
                          <w:marTop w:val="0"/>
                          <w:marBottom w:val="0"/>
                          <w:divBdr>
                            <w:top w:val="none" w:sz="0" w:space="0" w:color="auto"/>
                            <w:left w:val="none" w:sz="0" w:space="0" w:color="auto"/>
                            <w:bottom w:val="none" w:sz="0" w:space="0" w:color="auto"/>
                            <w:right w:val="none" w:sz="0" w:space="0" w:color="auto"/>
                          </w:divBdr>
                          <w:divsChild>
                            <w:div w:id="1863397805">
                              <w:marLeft w:val="0"/>
                              <w:marRight w:val="0"/>
                              <w:marTop w:val="0"/>
                              <w:marBottom w:val="0"/>
                              <w:divBdr>
                                <w:top w:val="none" w:sz="0" w:space="0" w:color="auto"/>
                                <w:left w:val="none" w:sz="0" w:space="0" w:color="auto"/>
                                <w:bottom w:val="none" w:sz="0" w:space="0" w:color="auto"/>
                                <w:right w:val="none" w:sz="0" w:space="0" w:color="auto"/>
                              </w:divBdr>
                              <w:divsChild>
                                <w:div w:id="876430657">
                                  <w:marLeft w:val="0"/>
                                  <w:marRight w:val="0"/>
                                  <w:marTop w:val="0"/>
                                  <w:marBottom w:val="0"/>
                                  <w:divBdr>
                                    <w:top w:val="none" w:sz="0" w:space="0" w:color="auto"/>
                                    <w:left w:val="none" w:sz="0" w:space="0" w:color="auto"/>
                                    <w:bottom w:val="none" w:sz="0" w:space="0" w:color="auto"/>
                                    <w:right w:val="none" w:sz="0" w:space="0" w:color="auto"/>
                                  </w:divBdr>
                                  <w:divsChild>
                                    <w:div w:id="85461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8496819">
      <w:bodyDiv w:val="1"/>
      <w:marLeft w:val="0"/>
      <w:marRight w:val="0"/>
      <w:marTop w:val="0"/>
      <w:marBottom w:val="0"/>
      <w:divBdr>
        <w:top w:val="none" w:sz="0" w:space="0" w:color="auto"/>
        <w:left w:val="none" w:sz="0" w:space="0" w:color="auto"/>
        <w:bottom w:val="none" w:sz="0" w:space="0" w:color="auto"/>
        <w:right w:val="none" w:sz="0" w:space="0" w:color="auto"/>
      </w:divBdr>
      <w:divsChild>
        <w:div w:id="487212952">
          <w:marLeft w:val="0"/>
          <w:marRight w:val="0"/>
          <w:marTop w:val="0"/>
          <w:marBottom w:val="300"/>
          <w:divBdr>
            <w:top w:val="none" w:sz="0" w:space="0" w:color="auto"/>
            <w:left w:val="none" w:sz="0" w:space="0" w:color="auto"/>
            <w:bottom w:val="none" w:sz="0" w:space="0" w:color="auto"/>
            <w:right w:val="none" w:sz="0" w:space="0" w:color="auto"/>
          </w:divBdr>
          <w:divsChild>
            <w:div w:id="1171800389">
              <w:marLeft w:val="0"/>
              <w:marRight w:val="0"/>
              <w:marTop w:val="0"/>
              <w:marBottom w:val="0"/>
              <w:divBdr>
                <w:top w:val="none" w:sz="0" w:space="0" w:color="auto"/>
                <w:left w:val="none" w:sz="0" w:space="0" w:color="auto"/>
                <w:bottom w:val="none" w:sz="0" w:space="0" w:color="auto"/>
                <w:right w:val="none" w:sz="0" w:space="0" w:color="auto"/>
              </w:divBdr>
            </w:div>
          </w:divsChild>
        </w:div>
        <w:div w:id="550306025">
          <w:marLeft w:val="0"/>
          <w:marRight w:val="0"/>
          <w:marTop w:val="0"/>
          <w:marBottom w:val="0"/>
          <w:divBdr>
            <w:top w:val="none" w:sz="0" w:space="0" w:color="auto"/>
            <w:left w:val="none" w:sz="0" w:space="0" w:color="auto"/>
            <w:bottom w:val="none" w:sz="0" w:space="0" w:color="auto"/>
            <w:right w:val="none" w:sz="0" w:space="0" w:color="auto"/>
          </w:divBdr>
        </w:div>
        <w:div w:id="753014227">
          <w:marLeft w:val="0"/>
          <w:marRight w:val="0"/>
          <w:marTop w:val="0"/>
          <w:marBottom w:val="0"/>
          <w:divBdr>
            <w:top w:val="none" w:sz="0" w:space="0" w:color="auto"/>
            <w:left w:val="none" w:sz="0" w:space="0" w:color="auto"/>
            <w:bottom w:val="none" w:sz="0" w:space="0" w:color="auto"/>
            <w:right w:val="none" w:sz="0" w:space="0" w:color="auto"/>
          </w:divBdr>
          <w:divsChild>
            <w:div w:id="1316758004">
              <w:marLeft w:val="0"/>
              <w:marRight w:val="0"/>
              <w:marTop w:val="0"/>
              <w:marBottom w:val="0"/>
              <w:divBdr>
                <w:top w:val="none" w:sz="0" w:space="0" w:color="auto"/>
                <w:left w:val="none" w:sz="0" w:space="0" w:color="auto"/>
                <w:bottom w:val="none" w:sz="0" w:space="0" w:color="auto"/>
                <w:right w:val="none" w:sz="0" w:space="0" w:color="auto"/>
              </w:divBdr>
              <w:divsChild>
                <w:div w:id="123601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157758">
          <w:marLeft w:val="0"/>
          <w:marRight w:val="0"/>
          <w:marTop w:val="0"/>
          <w:marBottom w:val="75"/>
          <w:divBdr>
            <w:top w:val="none" w:sz="0" w:space="0" w:color="auto"/>
            <w:left w:val="none" w:sz="0" w:space="0" w:color="auto"/>
            <w:bottom w:val="none" w:sz="0" w:space="0" w:color="auto"/>
            <w:right w:val="none" w:sz="0" w:space="0" w:color="auto"/>
          </w:divBdr>
        </w:div>
      </w:divsChild>
    </w:div>
    <w:div w:id="1769080388">
      <w:bodyDiv w:val="1"/>
      <w:marLeft w:val="0"/>
      <w:marRight w:val="0"/>
      <w:marTop w:val="0"/>
      <w:marBottom w:val="0"/>
      <w:divBdr>
        <w:top w:val="none" w:sz="0" w:space="0" w:color="auto"/>
        <w:left w:val="none" w:sz="0" w:space="0" w:color="auto"/>
        <w:bottom w:val="none" w:sz="0" w:space="0" w:color="auto"/>
        <w:right w:val="none" w:sz="0" w:space="0" w:color="auto"/>
      </w:divBdr>
      <w:divsChild>
        <w:div w:id="1919635211">
          <w:marLeft w:val="0"/>
          <w:marRight w:val="0"/>
          <w:marTop w:val="0"/>
          <w:marBottom w:val="0"/>
          <w:divBdr>
            <w:top w:val="none" w:sz="0" w:space="0" w:color="auto"/>
            <w:left w:val="none" w:sz="0" w:space="0" w:color="auto"/>
            <w:bottom w:val="none" w:sz="0" w:space="0" w:color="auto"/>
            <w:right w:val="none" w:sz="0" w:space="0" w:color="auto"/>
          </w:divBdr>
          <w:divsChild>
            <w:div w:id="310142429">
              <w:marLeft w:val="0"/>
              <w:marRight w:val="0"/>
              <w:marTop w:val="0"/>
              <w:marBottom w:val="0"/>
              <w:divBdr>
                <w:top w:val="none" w:sz="0" w:space="0" w:color="auto"/>
                <w:left w:val="none" w:sz="0" w:space="0" w:color="auto"/>
                <w:bottom w:val="none" w:sz="0" w:space="0" w:color="auto"/>
                <w:right w:val="none" w:sz="0" w:space="0" w:color="auto"/>
              </w:divBdr>
              <w:divsChild>
                <w:div w:id="1278609823">
                  <w:marLeft w:val="0"/>
                  <w:marRight w:val="0"/>
                  <w:marTop w:val="0"/>
                  <w:marBottom w:val="0"/>
                  <w:divBdr>
                    <w:top w:val="none" w:sz="0" w:space="0" w:color="auto"/>
                    <w:left w:val="none" w:sz="0" w:space="0" w:color="auto"/>
                    <w:bottom w:val="none" w:sz="0" w:space="0" w:color="auto"/>
                    <w:right w:val="none" w:sz="0" w:space="0" w:color="auto"/>
                  </w:divBdr>
                  <w:divsChild>
                    <w:div w:id="471561032">
                      <w:marLeft w:val="0"/>
                      <w:marRight w:val="0"/>
                      <w:marTop w:val="0"/>
                      <w:marBottom w:val="0"/>
                      <w:divBdr>
                        <w:top w:val="none" w:sz="0" w:space="0" w:color="auto"/>
                        <w:left w:val="none" w:sz="0" w:space="0" w:color="auto"/>
                        <w:bottom w:val="none" w:sz="0" w:space="0" w:color="auto"/>
                        <w:right w:val="none" w:sz="0" w:space="0" w:color="auto"/>
                      </w:divBdr>
                      <w:divsChild>
                        <w:div w:id="860511302">
                          <w:marLeft w:val="0"/>
                          <w:marRight w:val="0"/>
                          <w:marTop w:val="0"/>
                          <w:marBottom w:val="0"/>
                          <w:divBdr>
                            <w:top w:val="none" w:sz="0" w:space="0" w:color="auto"/>
                            <w:left w:val="none" w:sz="0" w:space="0" w:color="auto"/>
                            <w:bottom w:val="none" w:sz="0" w:space="0" w:color="auto"/>
                            <w:right w:val="none" w:sz="0" w:space="0" w:color="auto"/>
                          </w:divBdr>
                          <w:divsChild>
                            <w:div w:id="386077852">
                              <w:marLeft w:val="0"/>
                              <w:marRight w:val="0"/>
                              <w:marTop w:val="0"/>
                              <w:marBottom w:val="0"/>
                              <w:divBdr>
                                <w:top w:val="none" w:sz="0" w:space="0" w:color="auto"/>
                                <w:left w:val="none" w:sz="0" w:space="0" w:color="auto"/>
                                <w:bottom w:val="none" w:sz="0" w:space="0" w:color="auto"/>
                                <w:right w:val="none" w:sz="0" w:space="0" w:color="auto"/>
                              </w:divBdr>
                              <w:divsChild>
                                <w:div w:id="350494309">
                                  <w:marLeft w:val="0"/>
                                  <w:marRight w:val="0"/>
                                  <w:marTop w:val="0"/>
                                  <w:marBottom w:val="0"/>
                                  <w:divBdr>
                                    <w:top w:val="none" w:sz="0" w:space="0" w:color="auto"/>
                                    <w:left w:val="none" w:sz="0" w:space="0" w:color="auto"/>
                                    <w:bottom w:val="none" w:sz="0" w:space="0" w:color="auto"/>
                                    <w:right w:val="none" w:sz="0" w:space="0" w:color="auto"/>
                                  </w:divBdr>
                                  <w:divsChild>
                                    <w:div w:id="160217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93686">
      <w:bodyDiv w:val="1"/>
      <w:marLeft w:val="0"/>
      <w:marRight w:val="0"/>
      <w:marTop w:val="0"/>
      <w:marBottom w:val="0"/>
      <w:divBdr>
        <w:top w:val="none" w:sz="0" w:space="0" w:color="auto"/>
        <w:left w:val="none" w:sz="0" w:space="0" w:color="auto"/>
        <w:bottom w:val="none" w:sz="0" w:space="0" w:color="auto"/>
        <w:right w:val="none" w:sz="0" w:space="0" w:color="auto"/>
      </w:divBdr>
      <w:divsChild>
        <w:div w:id="1317342338">
          <w:marLeft w:val="0"/>
          <w:marRight w:val="0"/>
          <w:marTop w:val="0"/>
          <w:marBottom w:val="150"/>
          <w:divBdr>
            <w:top w:val="none" w:sz="0" w:space="0" w:color="auto"/>
            <w:left w:val="none" w:sz="0" w:space="0" w:color="auto"/>
            <w:bottom w:val="none" w:sz="0" w:space="0" w:color="auto"/>
            <w:right w:val="none" w:sz="0" w:space="0" w:color="auto"/>
          </w:divBdr>
          <w:divsChild>
            <w:div w:id="2110152903">
              <w:marLeft w:val="0"/>
              <w:marRight w:val="0"/>
              <w:marTop w:val="0"/>
              <w:marBottom w:val="0"/>
              <w:divBdr>
                <w:top w:val="none" w:sz="0" w:space="0" w:color="auto"/>
                <w:left w:val="none" w:sz="0" w:space="0" w:color="auto"/>
                <w:bottom w:val="none" w:sz="0" w:space="0" w:color="auto"/>
                <w:right w:val="none" w:sz="0" w:space="0" w:color="auto"/>
              </w:divBdr>
            </w:div>
          </w:divsChild>
        </w:div>
        <w:div w:id="1471512392">
          <w:marLeft w:val="0"/>
          <w:marRight w:val="0"/>
          <w:marTop w:val="0"/>
          <w:marBottom w:val="150"/>
          <w:divBdr>
            <w:top w:val="none" w:sz="0" w:space="0" w:color="auto"/>
            <w:left w:val="none" w:sz="0" w:space="0" w:color="auto"/>
            <w:bottom w:val="none" w:sz="0" w:space="0" w:color="auto"/>
            <w:right w:val="none" w:sz="0" w:space="0" w:color="auto"/>
          </w:divBdr>
        </w:div>
        <w:div w:id="2010014506">
          <w:marLeft w:val="0"/>
          <w:marRight w:val="0"/>
          <w:marTop w:val="0"/>
          <w:marBottom w:val="0"/>
          <w:divBdr>
            <w:top w:val="none" w:sz="0" w:space="0" w:color="auto"/>
            <w:left w:val="none" w:sz="0" w:space="0" w:color="auto"/>
            <w:bottom w:val="none" w:sz="0" w:space="0" w:color="auto"/>
            <w:right w:val="none" w:sz="0" w:space="0" w:color="auto"/>
          </w:divBdr>
          <w:divsChild>
            <w:div w:id="139304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202287">
      <w:bodyDiv w:val="1"/>
      <w:marLeft w:val="0"/>
      <w:marRight w:val="0"/>
      <w:marTop w:val="0"/>
      <w:marBottom w:val="0"/>
      <w:divBdr>
        <w:top w:val="none" w:sz="0" w:space="0" w:color="auto"/>
        <w:left w:val="none" w:sz="0" w:space="0" w:color="auto"/>
        <w:bottom w:val="none" w:sz="0" w:space="0" w:color="auto"/>
        <w:right w:val="none" w:sz="0" w:space="0" w:color="auto"/>
      </w:divBdr>
      <w:divsChild>
        <w:div w:id="1643970827">
          <w:marLeft w:val="0"/>
          <w:marRight w:val="0"/>
          <w:marTop w:val="0"/>
          <w:marBottom w:val="450"/>
          <w:divBdr>
            <w:top w:val="none" w:sz="0" w:space="0" w:color="auto"/>
            <w:left w:val="none" w:sz="0" w:space="0" w:color="auto"/>
            <w:bottom w:val="single" w:sz="6" w:space="19" w:color="EEEEEE"/>
            <w:right w:val="none" w:sz="0" w:space="0" w:color="auto"/>
          </w:divBdr>
          <w:divsChild>
            <w:div w:id="585576795">
              <w:marLeft w:val="0"/>
              <w:marRight w:val="0"/>
              <w:marTop w:val="0"/>
              <w:marBottom w:val="150"/>
              <w:divBdr>
                <w:top w:val="none" w:sz="0" w:space="0" w:color="auto"/>
                <w:left w:val="none" w:sz="0" w:space="0" w:color="auto"/>
                <w:bottom w:val="none" w:sz="0" w:space="0" w:color="auto"/>
                <w:right w:val="none" w:sz="0" w:space="0" w:color="auto"/>
              </w:divBdr>
              <w:divsChild>
                <w:div w:id="1899630424">
                  <w:marLeft w:val="0"/>
                  <w:marRight w:val="0"/>
                  <w:marTop w:val="0"/>
                  <w:marBottom w:val="0"/>
                  <w:divBdr>
                    <w:top w:val="none" w:sz="0" w:space="0" w:color="auto"/>
                    <w:left w:val="none" w:sz="0" w:space="0" w:color="auto"/>
                    <w:bottom w:val="none" w:sz="0" w:space="0" w:color="auto"/>
                    <w:right w:val="none" w:sz="0" w:space="0" w:color="auto"/>
                  </w:divBdr>
                </w:div>
              </w:divsChild>
            </w:div>
            <w:div w:id="254094889">
              <w:marLeft w:val="0"/>
              <w:marRight w:val="0"/>
              <w:marTop w:val="0"/>
              <w:marBottom w:val="0"/>
              <w:divBdr>
                <w:top w:val="none" w:sz="0" w:space="0" w:color="auto"/>
                <w:left w:val="none" w:sz="0" w:space="0" w:color="auto"/>
                <w:bottom w:val="none" w:sz="0" w:space="0" w:color="auto"/>
                <w:right w:val="none" w:sz="0" w:space="0" w:color="auto"/>
              </w:divBdr>
            </w:div>
          </w:divsChild>
        </w:div>
        <w:div w:id="269624695">
          <w:marLeft w:val="0"/>
          <w:marRight w:val="0"/>
          <w:marTop w:val="0"/>
          <w:marBottom w:val="0"/>
          <w:divBdr>
            <w:top w:val="none" w:sz="0" w:space="0" w:color="auto"/>
            <w:left w:val="none" w:sz="0" w:space="0" w:color="auto"/>
            <w:bottom w:val="none" w:sz="0" w:space="0" w:color="auto"/>
            <w:right w:val="none" w:sz="0" w:space="0" w:color="auto"/>
          </w:divBdr>
          <w:divsChild>
            <w:div w:id="718942932">
              <w:marLeft w:val="0"/>
              <w:marRight w:val="0"/>
              <w:marTop w:val="0"/>
              <w:marBottom w:val="0"/>
              <w:divBdr>
                <w:top w:val="none" w:sz="0" w:space="0" w:color="auto"/>
                <w:left w:val="none" w:sz="0" w:space="0" w:color="auto"/>
                <w:bottom w:val="none" w:sz="0" w:space="0" w:color="auto"/>
                <w:right w:val="none" w:sz="0" w:space="0" w:color="auto"/>
              </w:divBdr>
              <w:divsChild>
                <w:div w:id="641539028">
                  <w:marLeft w:val="0"/>
                  <w:marRight w:val="0"/>
                  <w:marTop w:val="0"/>
                  <w:marBottom w:val="0"/>
                  <w:divBdr>
                    <w:top w:val="none" w:sz="0" w:space="0" w:color="auto"/>
                    <w:left w:val="none" w:sz="0" w:space="0" w:color="auto"/>
                    <w:bottom w:val="none" w:sz="0" w:space="0" w:color="auto"/>
                    <w:right w:val="none" w:sz="0" w:space="0" w:color="auto"/>
                  </w:divBdr>
                </w:div>
                <w:div w:id="72267577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771506701">
      <w:bodyDiv w:val="1"/>
      <w:marLeft w:val="0"/>
      <w:marRight w:val="0"/>
      <w:marTop w:val="0"/>
      <w:marBottom w:val="0"/>
      <w:divBdr>
        <w:top w:val="none" w:sz="0" w:space="0" w:color="auto"/>
        <w:left w:val="none" w:sz="0" w:space="0" w:color="auto"/>
        <w:bottom w:val="none" w:sz="0" w:space="0" w:color="auto"/>
        <w:right w:val="none" w:sz="0" w:space="0" w:color="auto"/>
      </w:divBdr>
      <w:divsChild>
        <w:div w:id="2145157072">
          <w:marLeft w:val="0"/>
          <w:marRight w:val="0"/>
          <w:marTop w:val="0"/>
          <w:marBottom w:val="0"/>
          <w:divBdr>
            <w:top w:val="none" w:sz="0" w:space="0" w:color="auto"/>
            <w:left w:val="none" w:sz="0" w:space="0" w:color="auto"/>
            <w:bottom w:val="dotted" w:sz="6" w:space="4" w:color="DDDDDD"/>
            <w:right w:val="none" w:sz="0" w:space="0" w:color="auto"/>
          </w:divBdr>
        </w:div>
      </w:divsChild>
    </w:div>
    <w:div w:id="1772050521">
      <w:bodyDiv w:val="1"/>
      <w:marLeft w:val="0"/>
      <w:marRight w:val="0"/>
      <w:marTop w:val="0"/>
      <w:marBottom w:val="0"/>
      <w:divBdr>
        <w:top w:val="none" w:sz="0" w:space="0" w:color="auto"/>
        <w:left w:val="none" w:sz="0" w:space="0" w:color="auto"/>
        <w:bottom w:val="none" w:sz="0" w:space="0" w:color="auto"/>
        <w:right w:val="none" w:sz="0" w:space="0" w:color="auto"/>
      </w:divBdr>
      <w:divsChild>
        <w:div w:id="1382095750">
          <w:marLeft w:val="0"/>
          <w:marRight w:val="0"/>
          <w:marTop w:val="0"/>
          <w:marBottom w:val="0"/>
          <w:divBdr>
            <w:top w:val="none" w:sz="0" w:space="0" w:color="auto"/>
            <w:left w:val="none" w:sz="0" w:space="0" w:color="auto"/>
            <w:bottom w:val="dotted" w:sz="6" w:space="4" w:color="DDDDDD"/>
            <w:right w:val="none" w:sz="0" w:space="0" w:color="auto"/>
          </w:divBdr>
          <w:divsChild>
            <w:div w:id="14208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165459">
      <w:bodyDiv w:val="1"/>
      <w:marLeft w:val="0"/>
      <w:marRight w:val="0"/>
      <w:marTop w:val="0"/>
      <w:marBottom w:val="0"/>
      <w:divBdr>
        <w:top w:val="none" w:sz="0" w:space="0" w:color="auto"/>
        <w:left w:val="none" w:sz="0" w:space="0" w:color="auto"/>
        <w:bottom w:val="none" w:sz="0" w:space="0" w:color="auto"/>
        <w:right w:val="none" w:sz="0" w:space="0" w:color="auto"/>
      </w:divBdr>
      <w:divsChild>
        <w:div w:id="1666278833">
          <w:marLeft w:val="0"/>
          <w:marRight w:val="0"/>
          <w:marTop w:val="0"/>
          <w:marBottom w:val="0"/>
          <w:divBdr>
            <w:top w:val="none" w:sz="0" w:space="0" w:color="auto"/>
            <w:left w:val="none" w:sz="0" w:space="0" w:color="auto"/>
            <w:bottom w:val="dotted" w:sz="6" w:space="4" w:color="DDDDDD"/>
            <w:right w:val="none" w:sz="0" w:space="0" w:color="auto"/>
          </w:divBdr>
          <w:divsChild>
            <w:div w:id="16968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11455">
      <w:bodyDiv w:val="1"/>
      <w:marLeft w:val="0"/>
      <w:marRight w:val="0"/>
      <w:marTop w:val="0"/>
      <w:marBottom w:val="0"/>
      <w:divBdr>
        <w:top w:val="none" w:sz="0" w:space="0" w:color="auto"/>
        <w:left w:val="none" w:sz="0" w:space="0" w:color="auto"/>
        <w:bottom w:val="none" w:sz="0" w:space="0" w:color="auto"/>
        <w:right w:val="none" w:sz="0" w:space="0" w:color="auto"/>
      </w:divBdr>
      <w:divsChild>
        <w:div w:id="1603759014">
          <w:marLeft w:val="0"/>
          <w:marRight w:val="0"/>
          <w:marTop w:val="0"/>
          <w:marBottom w:val="0"/>
          <w:divBdr>
            <w:top w:val="none" w:sz="0" w:space="0" w:color="auto"/>
            <w:left w:val="none" w:sz="0" w:space="0" w:color="auto"/>
            <w:bottom w:val="none" w:sz="0" w:space="0" w:color="auto"/>
            <w:right w:val="none" w:sz="0" w:space="0" w:color="auto"/>
          </w:divBdr>
          <w:divsChild>
            <w:div w:id="1951474456">
              <w:marLeft w:val="0"/>
              <w:marRight w:val="0"/>
              <w:marTop w:val="0"/>
              <w:marBottom w:val="0"/>
              <w:divBdr>
                <w:top w:val="none" w:sz="0" w:space="0" w:color="auto"/>
                <w:left w:val="none" w:sz="0" w:space="0" w:color="auto"/>
                <w:bottom w:val="none" w:sz="0" w:space="0" w:color="auto"/>
                <w:right w:val="none" w:sz="0" w:space="0" w:color="auto"/>
              </w:divBdr>
              <w:divsChild>
                <w:div w:id="298844600">
                  <w:marLeft w:val="0"/>
                  <w:marRight w:val="0"/>
                  <w:marTop w:val="0"/>
                  <w:marBottom w:val="0"/>
                  <w:divBdr>
                    <w:top w:val="none" w:sz="0" w:space="0" w:color="auto"/>
                    <w:left w:val="none" w:sz="0" w:space="0" w:color="auto"/>
                    <w:bottom w:val="none" w:sz="0" w:space="0" w:color="auto"/>
                    <w:right w:val="none" w:sz="0" w:space="0" w:color="auto"/>
                  </w:divBdr>
                  <w:divsChild>
                    <w:div w:id="300237846">
                      <w:marLeft w:val="0"/>
                      <w:marRight w:val="0"/>
                      <w:marTop w:val="0"/>
                      <w:marBottom w:val="0"/>
                      <w:divBdr>
                        <w:top w:val="none" w:sz="0" w:space="0" w:color="auto"/>
                        <w:left w:val="none" w:sz="0" w:space="0" w:color="auto"/>
                        <w:bottom w:val="none" w:sz="0" w:space="0" w:color="auto"/>
                        <w:right w:val="none" w:sz="0" w:space="0" w:color="auto"/>
                      </w:divBdr>
                      <w:divsChild>
                        <w:div w:id="1114636365">
                          <w:marLeft w:val="0"/>
                          <w:marRight w:val="0"/>
                          <w:marTop w:val="0"/>
                          <w:marBottom w:val="0"/>
                          <w:divBdr>
                            <w:top w:val="none" w:sz="0" w:space="0" w:color="auto"/>
                            <w:left w:val="none" w:sz="0" w:space="0" w:color="auto"/>
                            <w:bottom w:val="none" w:sz="0" w:space="0" w:color="auto"/>
                            <w:right w:val="none" w:sz="0" w:space="0" w:color="auto"/>
                          </w:divBdr>
                          <w:divsChild>
                            <w:div w:id="1212888787">
                              <w:marLeft w:val="0"/>
                              <w:marRight w:val="0"/>
                              <w:marTop w:val="0"/>
                              <w:marBottom w:val="0"/>
                              <w:divBdr>
                                <w:top w:val="none" w:sz="0" w:space="0" w:color="auto"/>
                                <w:left w:val="none" w:sz="0" w:space="0" w:color="auto"/>
                                <w:bottom w:val="none" w:sz="0" w:space="0" w:color="auto"/>
                                <w:right w:val="none" w:sz="0" w:space="0" w:color="auto"/>
                              </w:divBdr>
                              <w:divsChild>
                                <w:div w:id="11959753">
                                  <w:marLeft w:val="0"/>
                                  <w:marRight w:val="0"/>
                                  <w:marTop w:val="0"/>
                                  <w:marBottom w:val="0"/>
                                  <w:divBdr>
                                    <w:top w:val="none" w:sz="0" w:space="0" w:color="auto"/>
                                    <w:left w:val="none" w:sz="0" w:space="0" w:color="auto"/>
                                    <w:bottom w:val="none" w:sz="0" w:space="0" w:color="auto"/>
                                    <w:right w:val="none" w:sz="0" w:space="0" w:color="auto"/>
                                  </w:divBdr>
                                  <w:divsChild>
                                    <w:div w:id="194656957">
                                      <w:marLeft w:val="0"/>
                                      <w:marRight w:val="0"/>
                                      <w:marTop w:val="0"/>
                                      <w:marBottom w:val="0"/>
                                      <w:divBdr>
                                        <w:top w:val="none" w:sz="0" w:space="0" w:color="auto"/>
                                        <w:left w:val="none" w:sz="0" w:space="0" w:color="auto"/>
                                        <w:bottom w:val="none" w:sz="0" w:space="0" w:color="auto"/>
                                        <w:right w:val="none" w:sz="0" w:space="0" w:color="auto"/>
                                      </w:divBdr>
                                      <w:divsChild>
                                        <w:div w:id="68506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2357220">
      <w:bodyDiv w:val="1"/>
      <w:marLeft w:val="0"/>
      <w:marRight w:val="0"/>
      <w:marTop w:val="0"/>
      <w:marBottom w:val="0"/>
      <w:divBdr>
        <w:top w:val="none" w:sz="0" w:space="0" w:color="auto"/>
        <w:left w:val="none" w:sz="0" w:space="0" w:color="auto"/>
        <w:bottom w:val="none" w:sz="0" w:space="0" w:color="auto"/>
        <w:right w:val="none" w:sz="0" w:space="0" w:color="auto"/>
      </w:divBdr>
      <w:divsChild>
        <w:div w:id="1502041412">
          <w:marLeft w:val="0"/>
          <w:marRight w:val="0"/>
          <w:marTop w:val="0"/>
          <w:marBottom w:val="150"/>
          <w:divBdr>
            <w:top w:val="none" w:sz="0" w:space="0" w:color="auto"/>
            <w:left w:val="none" w:sz="0" w:space="0" w:color="auto"/>
            <w:bottom w:val="none" w:sz="0" w:space="0" w:color="auto"/>
            <w:right w:val="none" w:sz="0" w:space="0" w:color="auto"/>
          </w:divBdr>
          <w:divsChild>
            <w:div w:id="1709716910">
              <w:marLeft w:val="0"/>
              <w:marRight w:val="0"/>
              <w:marTop w:val="0"/>
              <w:marBottom w:val="0"/>
              <w:divBdr>
                <w:top w:val="none" w:sz="0" w:space="0" w:color="auto"/>
                <w:left w:val="none" w:sz="0" w:space="0" w:color="auto"/>
                <w:bottom w:val="none" w:sz="0" w:space="0" w:color="auto"/>
                <w:right w:val="none" w:sz="0" w:space="0" w:color="auto"/>
              </w:divBdr>
              <w:divsChild>
                <w:div w:id="175932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857950">
          <w:marLeft w:val="0"/>
          <w:marRight w:val="0"/>
          <w:marTop w:val="0"/>
          <w:marBottom w:val="150"/>
          <w:divBdr>
            <w:top w:val="none" w:sz="0" w:space="0" w:color="auto"/>
            <w:left w:val="none" w:sz="0" w:space="0" w:color="auto"/>
            <w:bottom w:val="none" w:sz="0" w:space="0" w:color="auto"/>
            <w:right w:val="none" w:sz="0" w:space="0" w:color="auto"/>
          </w:divBdr>
        </w:div>
        <w:div w:id="563612302">
          <w:marLeft w:val="0"/>
          <w:marRight w:val="0"/>
          <w:marTop w:val="0"/>
          <w:marBottom w:val="0"/>
          <w:divBdr>
            <w:top w:val="none" w:sz="0" w:space="0" w:color="auto"/>
            <w:left w:val="none" w:sz="0" w:space="0" w:color="auto"/>
            <w:bottom w:val="none" w:sz="0" w:space="0" w:color="auto"/>
            <w:right w:val="none" w:sz="0" w:space="0" w:color="auto"/>
          </w:divBdr>
          <w:divsChild>
            <w:div w:id="31923616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73427352">
      <w:bodyDiv w:val="1"/>
      <w:marLeft w:val="0"/>
      <w:marRight w:val="0"/>
      <w:marTop w:val="0"/>
      <w:marBottom w:val="0"/>
      <w:divBdr>
        <w:top w:val="none" w:sz="0" w:space="0" w:color="auto"/>
        <w:left w:val="none" w:sz="0" w:space="0" w:color="auto"/>
        <w:bottom w:val="none" w:sz="0" w:space="0" w:color="auto"/>
        <w:right w:val="none" w:sz="0" w:space="0" w:color="auto"/>
      </w:divBdr>
    </w:div>
    <w:div w:id="1773436629">
      <w:bodyDiv w:val="1"/>
      <w:marLeft w:val="0"/>
      <w:marRight w:val="0"/>
      <w:marTop w:val="0"/>
      <w:marBottom w:val="0"/>
      <w:divBdr>
        <w:top w:val="none" w:sz="0" w:space="0" w:color="auto"/>
        <w:left w:val="none" w:sz="0" w:space="0" w:color="auto"/>
        <w:bottom w:val="none" w:sz="0" w:space="0" w:color="auto"/>
        <w:right w:val="none" w:sz="0" w:space="0" w:color="auto"/>
      </w:divBdr>
      <w:divsChild>
        <w:div w:id="1633364390">
          <w:marLeft w:val="0"/>
          <w:marRight w:val="0"/>
          <w:marTop w:val="0"/>
          <w:marBottom w:val="0"/>
          <w:divBdr>
            <w:top w:val="none" w:sz="0" w:space="0" w:color="auto"/>
            <w:left w:val="none" w:sz="0" w:space="0" w:color="auto"/>
            <w:bottom w:val="none" w:sz="0" w:space="0" w:color="auto"/>
            <w:right w:val="none" w:sz="0" w:space="0" w:color="auto"/>
          </w:divBdr>
          <w:divsChild>
            <w:div w:id="1084451426">
              <w:marLeft w:val="0"/>
              <w:marRight w:val="0"/>
              <w:marTop w:val="0"/>
              <w:marBottom w:val="0"/>
              <w:divBdr>
                <w:top w:val="none" w:sz="0" w:space="0" w:color="auto"/>
                <w:left w:val="none" w:sz="0" w:space="0" w:color="auto"/>
                <w:bottom w:val="none" w:sz="0" w:space="0" w:color="auto"/>
                <w:right w:val="none" w:sz="0" w:space="0" w:color="auto"/>
              </w:divBdr>
            </w:div>
          </w:divsChild>
        </w:div>
        <w:div w:id="1832408095">
          <w:marLeft w:val="0"/>
          <w:marRight w:val="0"/>
          <w:marTop w:val="0"/>
          <w:marBottom w:val="150"/>
          <w:divBdr>
            <w:top w:val="none" w:sz="0" w:space="0" w:color="auto"/>
            <w:left w:val="none" w:sz="0" w:space="0" w:color="auto"/>
            <w:bottom w:val="none" w:sz="0" w:space="0" w:color="auto"/>
            <w:right w:val="none" w:sz="0" w:space="0" w:color="auto"/>
          </w:divBdr>
        </w:div>
        <w:div w:id="1932854015">
          <w:marLeft w:val="0"/>
          <w:marRight w:val="0"/>
          <w:marTop w:val="0"/>
          <w:marBottom w:val="150"/>
          <w:divBdr>
            <w:top w:val="none" w:sz="0" w:space="0" w:color="auto"/>
            <w:left w:val="none" w:sz="0" w:space="0" w:color="auto"/>
            <w:bottom w:val="none" w:sz="0" w:space="0" w:color="auto"/>
            <w:right w:val="none" w:sz="0" w:space="0" w:color="auto"/>
          </w:divBdr>
          <w:divsChild>
            <w:div w:id="21209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133404">
      <w:bodyDiv w:val="1"/>
      <w:marLeft w:val="0"/>
      <w:marRight w:val="0"/>
      <w:marTop w:val="0"/>
      <w:marBottom w:val="0"/>
      <w:divBdr>
        <w:top w:val="none" w:sz="0" w:space="0" w:color="auto"/>
        <w:left w:val="none" w:sz="0" w:space="0" w:color="auto"/>
        <w:bottom w:val="none" w:sz="0" w:space="0" w:color="auto"/>
        <w:right w:val="none" w:sz="0" w:space="0" w:color="auto"/>
      </w:divBdr>
    </w:div>
    <w:div w:id="1774326759">
      <w:bodyDiv w:val="1"/>
      <w:marLeft w:val="0"/>
      <w:marRight w:val="0"/>
      <w:marTop w:val="0"/>
      <w:marBottom w:val="0"/>
      <w:divBdr>
        <w:top w:val="none" w:sz="0" w:space="0" w:color="auto"/>
        <w:left w:val="none" w:sz="0" w:space="0" w:color="auto"/>
        <w:bottom w:val="none" w:sz="0" w:space="0" w:color="auto"/>
        <w:right w:val="none" w:sz="0" w:space="0" w:color="auto"/>
      </w:divBdr>
      <w:divsChild>
        <w:div w:id="65764570">
          <w:marLeft w:val="0"/>
          <w:marRight w:val="0"/>
          <w:marTop w:val="0"/>
          <w:marBottom w:val="150"/>
          <w:divBdr>
            <w:top w:val="none" w:sz="0" w:space="0" w:color="auto"/>
            <w:left w:val="none" w:sz="0" w:space="0" w:color="auto"/>
            <w:bottom w:val="none" w:sz="0" w:space="0" w:color="auto"/>
            <w:right w:val="none" w:sz="0" w:space="0" w:color="auto"/>
          </w:divBdr>
        </w:div>
      </w:divsChild>
    </w:div>
    <w:div w:id="1774477888">
      <w:bodyDiv w:val="1"/>
      <w:marLeft w:val="0"/>
      <w:marRight w:val="0"/>
      <w:marTop w:val="0"/>
      <w:marBottom w:val="0"/>
      <w:divBdr>
        <w:top w:val="none" w:sz="0" w:space="0" w:color="auto"/>
        <w:left w:val="none" w:sz="0" w:space="0" w:color="auto"/>
        <w:bottom w:val="none" w:sz="0" w:space="0" w:color="auto"/>
        <w:right w:val="none" w:sz="0" w:space="0" w:color="auto"/>
      </w:divBdr>
    </w:div>
    <w:div w:id="1774783391">
      <w:bodyDiv w:val="1"/>
      <w:marLeft w:val="0"/>
      <w:marRight w:val="0"/>
      <w:marTop w:val="0"/>
      <w:marBottom w:val="0"/>
      <w:divBdr>
        <w:top w:val="none" w:sz="0" w:space="0" w:color="auto"/>
        <w:left w:val="none" w:sz="0" w:space="0" w:color="auto"/>
        <w:bottom w:val="none" w:sz="0" w:space="0" w:color="auto"/>
        <w:right w:val="none" w:sz="0" w:space="0" w:color="auto"/>
      </w:divBdr>
      <w:divsChild>
        <w:div w:id="932974769">
          <w:marLeft w:val="0"/>
          <w:marRight w:val="0"/>
          <w:marTop w:val="0"/>
          <w:marBottom w:val="0"/>
          <w:divBdr>
            <w:top w:val="none" w:sz="0" w:space="0" w:color="auto"/>
            <w:left w:val="none" w:sz="0" w:space="0" w:color="auto"/>
            <w:bottom w:val="none" w:sz="0" w:space="0" w:color="auto"/>
            <w:right w:val="none" w:sz="0" w:space="0" w:color="auto"/>
          </w:divBdr>
          <w:divsChild>
            <w:div w:id="106437242">
              <w:marLeft w:val="0"/>
              <w:marRight w:val="0"/>
              <w:marTop w:val="0"/>
              <w:marBottom w:val="0"/>
              <w:divBdr>
                <w:top w:val="none" w:sz="0" w:space="0" w:color="auto"/>
                <w:left w:val="none" w:sz="0" w:space="0" w:color="auto"/>
                <w:bottom w:val="none" w:sz="0" w:space="0" w:color="auto"/>
                <w:right w:val="none" w:sz="0" w:space="0" w:color="auto"/>
              </w:divBdr>
              <w:divsChild>
                <w:div w:id="1893271626">
                  <w:marLeft w:val="0"/>
                  <w:marRight w:val="0"/>
                  <w:marTop w:val="0"/>
                  <w:marBottom w:val="0"/>
                  <w:divBdr>
                    <w:top w:val="none" w:sz="0" w:space="0" w:color="auto"/>
                    <w:left w:val="none" w:sz="0" w:space="0" w:color="auto"/>
                    <w:bottom w:val="none" w:sz="0" w:space="0" w:color="auto"/>
                    <w:right w:val="none" w:sz="0" w:space="0" w:color="auto"/>
                  </w:divBdr>
                  <w:divsChild>
                    <w:div w:id="1160079497">
                      <w:marLeft w:val="0"/>
                      <w:marRight w:val="0"/>
                      <w:marTop w:val="0"/>
                      <w:marBottom w:val="0"/>
                      <w:divBdr>
                        <w:top w:val="none" w:sz="0" w:space="0" w:color="auto"/>
                        <w:left w:val="none" w:sz="0" w:space="0" w:color="auto"/>
                        <w:bottom w:val="none" w:sz="0" w:space="0" w:color="auto"/>
                        <w:right w:val="none" w:sz="0" w:space="0" w:color="auto"/>
                      </w:divBdr>
                      <w:divsChild>
                        <w:div w:id="288710484">
                          <w:marLeft w:val="0"/>
                          <w:marRight w:val="0"/>
                          <w:marTop w:val="0"/>
                          <w:marBottom w:val="0"/>
                          <w:divBdr>
                            <w:top w:val="none" w:sz="0" w:space="0" w:color="auto"/>
                            <w:left w:val="none" w:sz="0" w:space="0" w:color="auto"/>
                            <w:bottom w:val="none" w:sz="0" w:space="0" w:color="auto"/>
                            <w:right w:val="none" w:sz="0" w:space="0" w:color="auto"/>
                          </w:divBdr>
                          <w:divsChild>
                            <w:div w:id="1234511445">
                              <w:marLeft w:val="0"/>
                              <w:marRight w:val="0"/>
                              <w:marTop w:val="0"/>
                              <w:marBottom w:val="0"/>
                              <w:divBdr>
                                <w:top w:val="none" w:sz="0" w:space="0" w:color="auto"/>
                                <w:left w:val="none" w:sz="0" w:space="0" w:color="auto"/>
                                <w:bottom w:val="none" w:sz="0" w:space="0" w:color="auto"/>
                                <w:right w:val="none" w:sz="0" w:space="0" w:color="auto"/>
                              </w:divBdr>
                              <w:divsChild>
                                <w:div w:id="1625961814">
                                  <w:marLeft w:val="0"/>
                                  <w:marRight w:val="0"/>
                                  <w:marTop w:val="0"/>
                                  <w:marBottom w:val="0"/>
                                  <w:divBdr>
                                    <w:top w:val="none" w:sz="0" w:space="0" w:color="auto"/>
                                    <w:left w:val="none" w:sz="0" w:space="0" w:color="auto"/>
                                    <w:bottom w:val="none" w:sz="0" w:space="0" w:color="auto"/>
                                    <w:right w:val="none" w:sz="0" w:space="0" w:color="auto"/>
                                  </w:divBdr>
                                  <w:divsChild>
                                    <w:div w:id="1543636988">
                                      <w:marLeft w:val="0"/>
                                      <w:marRight w:val="0"/>
                                      <w:marTop w:val="0"/>
                                      <w:marBottom w:val="0"/>
                                      <w:divBdr>
                                        <w:top w:val="none" w:sz="0" w:space="0" w:color="auto"/>
                                        <w:left w:val="none" w:sz="0" w:space="0" w:color="auto"/>
                                        <w:bottom w:val="none" w:sz="0" w:space="0" w:color="auto"/>
                                        <w:right w:val="none" w:sz="0" w:space="0" w:color="auto"/>
                                      </w:divBdr>
                                      <w:divsChild>
                                        <w:div w:id="112619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4865044">
      <w:bodyDiv w:val="1"/>
      <w:marLeft w:val="0"/>
      <w:marRight w:val="0"/>
      <w:marTop w:val="0"/>
      <w:marBottom w:val="0"/>
      <w:divBdr>
        <w:top w:val="none" w:sz="0" w:space="0" w:color="auto"/>
        <w:left w:val="none" w:sz="0" w:space="0" w:color="auto"/>
        <w:bottom w:val="none" w:sz="0" w:space="0" w:color="auto"/>
        <w:right w:val="none" w:sz="0" w:space="0" w:color="auto"/>
      </w:divBdr>
    </w:div>
    <w:div w:id="1775972828">
      <w:bodyDiv w:val="1"/>
      <w:marLeft w:val="0"/>
      <w:marRight w:val="0"/>
      <w:marTop w:val="0"/>
      <w:marBottom w:val="0"/>
      <w:divBdr>
        <w:top w:val="none" w:sz="0" w:space="0" w:color="auto"/>
        <w:left w:val="none" w:sz="0" w:space="0" w:color="auto"/>
        <w:bottom w:val="none" w:sz="0" w:space="0" w:color="auto"/>
        <w:right w:val="none" w:sz="0" w:space="0" w:color="auto"/>
      </w:divBdr>
      <w:divsChild>
        <w:div w:id="597056775">
          <w:marLeft w:val="0"/>
          <w:marRight w:val="0"/>
          <w:marTop w:val="0"/>
          <w:marBottom w:val="0"/>
          <w:divBdr>
            <w:top w:val="none" w:sz="0" w:space="0" w:color="auto"/>
            <w:left w:val="none" w:sz="0" w:space="0" w:color="auto"/>
            <w:bottom w:val="none" w:sz="0" w:space="0" w:color="auto"/>
            <w:right w:val="none" w:sz="0" w:space="0" w:color="auto"/>
          </w:divBdr>
          <w:divsChild>
            <w:div w:id="1933661314">
              <w:marLeft w:val="0"/>
              <w:marRight w:val="0"/>
              <w:marTop w:val="0"/>
              <w:marBottom w:val="0"/>
              <w:divBdr>
                <w:top w:val="none" w:sz="0" w:space="0" w:color="auto"/>
                <w:left w:val="none" w:sz="0" w:space="0" w:color="auto"/>
                <w:bottom w:val="none" w:sz="0" w:space="0" w:color="auto"/>
                <w:right w:val="none" w:sz="0" w:space="0" w:color="auto"/>
              </w:divBdr>
              <w:divsChild>
                <w:div w:id="1526334774">
                  <w:marLeft w:val="0"/>
                  <w:marRight w:val="0"/>
                  <w:marTop w:val="0"/>
                  <w:marBottom w:val="450"/>
                  <w:divBdr>
                    <w:top w:val="none" w:sz="0" w:space="0" w:color="auto"/>
                    <w:left w:val="none" w:sz="0" w:space="0" w:color="auto"/>
                    <w:bottom w:val="none" w:sz="0" w:space="0" w:color="auto"/>
                    <w:right w:val="none" w:sz="0" w:space="0" w:color="auto"/>
                  </w:divBdr>
                  <w:divsChild>
                    <w:div w:id="818157">
                      <w:marLeft w:val="0"/>
                      <w:marRight w:val="0"/>
                      <w:marTop w:val="0"/>
                      <w:marBottom w:val="150"/>
                      <w:divBdr>
                        <w:top w:val="none" w:sz="0" w:space="0" w:color="auto"/>
                        <w:left w:val="none" w:sz="0" w:space="0" w:color="auto"/>
                        <w:bottom w:val="none" w:sz="0" w:space="0" w:color="auto"/>
                        <w:right w:val="none" w:sz="0" w:space="0" w:color="auto"/>
                      </w:divBdr>
                      <w:divsChild>
                        <w:div w:id="286856917">
                          <w:marLeft w:val="0"/>
                          <w:marRight w:val="0"/>
                          <w:marTop w:val="0"/>
                          <w:marBottom w:val="0"/>
                          <w:divBdr>
                            <w:top w:val="none" w:sz="0" w:space="0" w:color="auto"/>
                            <w:left w:val="none" w:sz="0" w:space="0" w:color="auto"/>
                            <w:bottom w:val="none" w:sz="0" w:space="0" w:color="auto"/>
                            <w:right w:val="none" w:sz="0" w:space="0" w:color="auto"/>
                          </w:divBdr>
                        </w:div>
                      </w:divsChild>
                    </w:div>
                    <w:div w:id="1283922675">
                      <w:marLeft w:val="0"/>
                      <w:marRight w:val="0"/>
                      <w:marTop w:val="0"/>
                      <w:marBottom w:val="0"/>
                      <w:divBdr>
                        <w:top w:val="none" w:sz="0" w:space="0" w:color="auto"/>
                        <w:left w:val="none" w:sz="0" w:space="0" w:color="auto"/>
                        <w:bottom w:val="none" w:sz="0" w:space="0" w:color="auto"/>
                        <w:right w:val="none" w:sz="0" w:space="0" w:color="auto"/>
                      </w:divBdr>
                      <w:divsChild>
                        <w:div w:id="102268775">
                          <w:marLeft w:val="0"/>
                          <w:marRight w:val="0"/>
                          <w:marTop w:val="0"/>
                          <w:marBottom w:val="0"/>
                          <w:divBdr>
                            <w:top w:val="none" w:sz="0" w:space="0" w:color="auto"/>
                            <w:left w:val="none" w:sz="0" w:space="0" w:color="auto"/>
                            <w:bottom w:val="none" w:sz="0" w:space="0" w:color="auto"/>
                            <w:right w:val="none" w:sz="0" w:space="0" w:color="auto"/>
                          </w:divBdr>
                          <w:divsChild>
                            <w:div w:id="660080053">
                              <w:marLeft w:val="0"/>
                              <w:marRight w:val="0"/>
                              <w:marTop w:val="0"/>
                              <w:marBottom w:val="0"/>
                              <w:divBdr>
                                <w:top w:val="none" w:sz="0" w:space="0" w:color="auto"/>
                                <w:left w:val="none" w:sz="0" w:space="0" w:color="auto"/>
                                <w:bottom w:val="none" w:sz="0" w:space="0" w:color="auto"/>
                                <w:right w:val="none" w:sz="0" w:space="0" w:color="auto"/>
                              </w:divBdr>
                            </w:div>
                          </w:divsChild>
                        </w:div>
                        <w:div w:id="15566235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34288907">
          <w:marLeft w:val="0"/>
          <w:marRight w:val="0"/>
          <w:marTop w:val="0"/>
          <w:marBottom w:val="300"/>
          <w:divBdr>
            <w:top w:val="none" w:sz="0" w:space="0" w:color="auto"/>
            <w:left w:val="none" w:sz="0" w:space="0" w:color="auto"/>
            <w:bottom w:val="single" w:sz="6" w:space="0" w:color="E4E4E4"/>
            <w:right w:val="none" w:sz="0" w:space="0" w:color="auto"/>
          </w:divBdr>
        </w:div>
        <w:div w:id="658265238">
          <w:marLeft w:val="0"/>
          <w:marRight w:val="0"/>
          <w:marTop w:val="0"/>
          <w:marBottom w:val="375"/>
          <w:divBdr>
            <w:top w:val="none" w:sz="0" w:space="0" w:color="auto"/>
            <w:left w:val="none" w:sz="0" w:space="0" w:color="auto"/>
            <w:bottom w:val="single" w:sz="6" w:space="0" w:color="005494"/>
            <w:right w:val="none" w:sz="0" w:space="0" w:color="auto"/>
          </w:divBdr>
        </w:div>
      </w:divsChild>
    </w:div>
    <w:div w:id="1776170209">
      <w:bodyDiv w:val="1"/>
      <w:marLeft w:val="0"/>
      <w:marRight w:val="0"/>
      <w:marTop w:val="0"/>
      <w:marBottom w:val="0"/>
      <w:divBdr>
        <w:top w:val="none" w:sz="0" w:space="0" w:color="auto"/>
        <w:left w:val="none" w:sz="0" w:space="0" w:color="auto"/>
        <w:bottom w:val="none" w:sz="0" w:space="0" w:color="auto"/>
        <w:right w:val="none" w:sz="0" w:space="0" w:color="auto"/>
      </w:divBdr>
      <w:divsChild>
        <w:div w:id="64643942">
          <w:marLeft w:val="0"/>
          <w:marRight w:val="0"/>
          <w:marTop w:val="0"/>
          <w:marBottom w:val="0"/>
          <w:divBdr>
            <w:top w:val="none" w:sz="0" w:space="0" w:color="auto"/>
            <w:left w:val="none" w:sz="0" w:space="0" w:color="auto"/>
            <w:bottom w:val="none" w:sz="0" w:space="0" w:color="auto"/>
            <w:right w:val="none" w:sz="0" w:space="0" w:color="auto"/>
          </w:divBdr>
          <w:divsChild>
            <w:div w:id="251663401">
              <w:marLeft w:val="0"/>
              <w:marRight w:val="0"/>
              <w:marTop w:val="225"/>
              <w:marBottom w:val="225"/>
              <w:divBdr>
                <w:top w:val="none" w:sz="0" w:space="0" w:color="auto"/>
                <w:left w:val="none" w:sz="0" w:space="0" w:color="auto"/>
                <w:bottom w:val="none" w:sz="0" w:space="0" w:color="auto"/>
                <w:right w:val="none" w:sz="0" w:space="0" w:color="auto"/>
              </w:divBdr>
            </w:div>
          </w:divsChild>
        </w:div>
        <w:div w:id="540437447">
          <w:marLeft w:val="0"/>
          <w:marRight w:val="0"/>
          <w:marTop w:val="0"/>
          <w:marBottom w:val="150"/>
          <w:divBdr>
            <w:top w:val="none" w:sz="0" w:space="0" w:color="auto"/>
            <w:left w:val="none" w:sz="0" w:space="0" w:color="auto"/>
            <w:bottom w:val="none" w:sz="0" w:space="0" w:color="auto"/>
            <w:right w:val="none" w:sz="0" w:space="0" w:color="auto"/>
          </w:divBdr>
        </w:div>
        <w:div w:id="1995641858">
          <w:marLeft w:val="0"/>
          <w:marRight w:val="0"/>
          <w:marTop w:val="0"/>
          <w:marBottom w:val="150"/>
          <w:divBdr>
            <w:top w:val="none" w:sz="0" w:space="0" w:color="auto"/>
            <w:left w:val="none" w:sz="0" w:space="0" w:color="auto"/>
            <w:bottom w:val="none" w:sz="0" w:space="0" w:color="auto"/>
            <w:right w:val="none" w:sz="0" w:space="0" w:color="auto"/>
          </w:divBdr>
          <w:divsChild>
            <w:div w:id="1805465837">
              <w:marLeft w:val="0"/>
              <w:marRight w:val="0"/>
              <w:marTop w:val="0"/>
              <w:marBottom w:val="0"/>
              <w:divBdr>
                <w:top w:val="none" w:sz="0" w:space="0" w:color="auto"/>
                <w:left w:val="none" w:sz="0" w:space="0" w:color="auto"/>
                <w:bottom w:val="none" w:sz="0" w:space="0" w:color="auto"/>
                <w:right w:val="none" w:sz="0" w:space="0" w:color="auto"/>
              </w:divBdr>
              <w:divsChild>
                <w:div w:id="24912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943913">
      <w:bodyDiv w:val="1"/>
      <w:marLeft w:val="0"/>
      <w:marRight w:val="0"/>
      <w:marTop w:val="0"/>
      <w:marBottom w:val="0"/>
      <w:divBdr>
        <w:top w:val="none" w:sz="0" w:space="0" w:color="auto"/>
        <w:left w:val="none" w:sz="0" w:space="0" w:color="auto"/>
        <w:bottom w:val="none" w:sz="0" w:space="0" w:color="auto"/>
        <w:right w:val="none" w:sz="0" w:space="0" w:color="auto"/>
      </w:divBdr>
      <w:divsChild>
        <w:div w:id="18555355">
          <w:marLeft w:val="0"/>
          <w:marRight w:val="0"/>
          <w:marTop w:val="0"/>
          <w:marBottom w:val="150"/>
          <w:divBdr>
            <w:top w:val="none" w:sz="0" w:space="0" w:color="auto"/>
            <w:left w:val="none" w:sz="0" w:space="0" w:color="auto"/>
            <w:bottom w:val="none" w:sz="0" w:space="0" w:color="auto"/>
            <w:right w:val="none" w:sz="0" w:space="0" w:color="auto"/>
          </w:divBdr>
        </w:div>
      </w:divsChild>
    </w:div>
    <w:div w:id="1777365799">
      <w:bodyDiv w:val="1"/>
      <w:marLeft w:val="0"/>
      <w:marRight w:val="0"/>
      <w:marTop w:val="0"/>
      <w:marBottom w:val="0"/>
      <w:divBdr>
        <w:top w:val="none" w:sz="0" w:space="0" w:color="auto"/>
        <w:left w:val="none" w:sz="0" w:space="0" w:color="auto"/>
        <w:bottom w:val="none" w:sz="0" w:space="0" w:color="auto"/>
        <w:right w:val="none" w:sz="0" w:space="0" w:color="auto"/>
      </w:divBdr>
      <w:divsChild>
        <w:div w:id="2104446180">
          <w:marLeft w:val="0"/>
          <w:marRight w:val="0"/>
          <w:marTop w:val="0"/>
          <w:marBottom w:val="0"/>
          <w:divBdr>
            <w:top w:val="none" w:sz="0" w:space="0" w:color="auto"/>
            <w:left w:val="none" w:sz="0" w:space="0" w:color="auto"/>
            <w:bottom w:val="dotted" w:sz="6" w:space="4" w:color="DDDDDD"/>
            <w:right w:val="none" w:sz="0" w:space="0" w:color="auto"/>
          </w:divBdr>
        </w:div>
      </w:divsChild>
    </w:div>
    <w:div w:id="1777551991">
      <w:bodyDiv w:val="1"/>
      <w:marLeft w:val="0"/>
      <w:marRight w:val="0"/>
      <w:marTop w:val="0"/>
      <w:marBottom w:val="0"/>
      <w:divBdr>
        <w:top w:val="none" w:sz="0" w:space="0" w:color="auto"/>
        <w:left w:val="none" w:sz="0" w:space="0" w:color="auto"/>
        <w:bottom w:val="none" w:sz="0" w:space="0" w:color="auto"/>
        <w:right w:val="none" w:sz="0" w:space="0" w:color="auto"/>
      </w:divBdr>
    </w:div>
    <w:div w:id="1777603961">
      <w:bodyDiv w:val="1"/>
      <w:marLeft w:val="0"/>
      <w:marRight w:val="0"/>
      <w:marTop w:val="0"/>
      <w:marBottom w:val="0"/>
      <w:divBdr>
        <w:top w:val="none" w:sz="0" w:space="0" w:color="auto"/>
        <w:left w:val="none" w:sz="0" w:space="0" w:color="auto"/>
        <w:bottom w:val="none" w:sz="0" w:space="0" w:color="auto"/>
        <w:right w:val="none" w:sz="0" w:space="0" w:color="auto"/>
      </w:divBdr>
    </w:div>
    <w:div w:id="1778868353">
      <w:bodyDiv w:val="1"/>
      <w:marLeft w:val="0"/>
      <w:marRight w:val="0"/>
      <w:marTop w:val="0"/>
      <w:marBottom w:val="0"/>
      <w:divBdr>
        <w:top w:val="none" w:sz="0" w:space="0" w:color="auto"/>
        <w:left w:val="none" w:sz="0" w:space="0" w:color="auto"/>
        <w:bottom w:val="none" w:sz="0" w:space="0" w:color="auto"/>
        <w:right w:val="none" w:sz="0" w:space="0" w:color="auto"/>
      </w:divBdr>
      <w:divsChild>
        <w:div w:id="1580598652">
          <w:marLeft w:val="0"/>
          <w:marRight w:val="0"/>
          <w:marTop w:val="0"/>
          <w:marBottom w:val="0"/>
          <w:divBdr>
            <w:top w:val="none" w:sz="0" w:space="0" w:color="auto"/>
            <w:left w:val="none" w:sz="0" w:space="0" w:color="auto"/>
            <w:bottom w:val="none" w:sz="0" w:space="0" w:color="auto"/>
            <w:right w:val="none" w:sz="0" w:space="0" w:color="auto"/>
          </w:divBdr>
          <w:divsChild>
            <w:div w:id="10047416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78985690">
      <w:bodyDiv w:val="1"/>
      <w:marLeft w:val="0"/>
      <w:marRight w:val="0"/>
      <w:marTop w:val="0"/>
      <w:marBottom w:val="0"/>
      <w:divBdr>
        <w:top w:val="none" w:sz="0" w:space="0" w:color="auto"/>
        <w:left w:val="none" w:sz="0" w:space="0" w:color="auto"/>
        <w:bottom w:val="none" w:sz="0" w:space="0" w:color="auto"/>
        <w:right w:val="none" w:sz="0" w:space="0" w:color="auto"/>
      </w:divBdr>
      <w:divsChild>
        <w:div w:id="529730980">
          <w:marLeft w:val="0"/>
          <w:marRight w:val="0"/>
          <w:marTop w:val="0"/>
          <w:marBottom w:val="0"/>
          <w:divBdr>
            <w:top w:val="none" w:sz="0" w:space="8" w:color="auto"/>
            <w:left w:val="none" w:sz="0" w:space="2" w:color="auto"/>
            <w:bottom w:val="single" w:sz="6" w:space="8" w:color="DDDDDD"/>
            <w:right w:val="none" w:sz="0" w:space="0" w:color="auto"/>
          </w:divBdr>
        </w:div>
        <w:div w:id="1877963597">
          <w:marLeft w:val="0"/>
          <w:marRight w:val="0"/>
          <w:marTop w:val="150"/>
          <w:marBottom w:val="0"/>
          <w:divBdr>
            <w:top w:val="none" w:sz="0" w:space="0" w:color="auto"/>
            <w:left w:val="none" w:sz="0" w:space="0" w:color="auto"/>
            <w:bottom w:val="none" w:sz="0" w:space="0" w:color="auto"/>
            <w:right w:val="none" w:sz="0" w:space="0" w:color="auto"/>
          </w:divBdr>
          <w:divsChild>
            <w:div w:id="117121475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79251154">
      <w:bodyDiv w:val="1"/>
      <w:marLeft w:val="0"/>
      <w:marRight w:val="0"/>
      <w:marTop w:val="0"/>
      <w:marBottom w:val="0"/>
      <w:divBdr>
        <w:top w:val="none" w:sz="0" w:space="0" w:color="auto"/>
        <w:left w:val="none" w:sz="0" w:space="0" w:color="auto"/>
        <w:bottom w:val="none" w:sz="0" w:space="0" w:color="auto"/>
        <w:right w:val="none" w:sz="0" w:space="0" w:color="auto"/>
      </w:divBdr>
    </w:div>
    <w:div w:id="1779326373">
      <w:bodyDiv w:val="1"/>
      <w:marLeft w:val="0"/>
      <w:marRight w:val="0"/>
      <w:marTop w:val="0"/>
      <w:marBottom w:val="0"/>
      <w:divBdr>
        <w:top w:val="none" w:sz="0" w:space="0" w:color="auto"/>
        <w:left w:val="none" w:sz="0" w:space="0" w:color="auto"/>
        <w:bottom w:val="none" w:sz="0" w:space="0" w:color="auto"/>
        <w:right w:val="none" w:sz="0" w:space="0" w:color="auto"/>
      </w:divBdr>
      <w:divsChild>
        <w:div w:id="128327798">
          <w:marLeft w:val="0"/>
          <w:marRight w:val="0"/>
          <w:marTop w:val="0"/>
          <w:marBottom w:val="180"/>
          <w:divBdr>
            <w:top w:val="none" w:sz="0" w:space="0" w:color="auto"/>
            <w:left w:val="none" w:sz="0" w:space="0" w:color="auto"/>
            <w:bottom w:val="none" w:sz="0" w:space="0" w:color="auto"/>
            <w:right w:val="none" w:sz="0" w:space="0" w:color="auto"/>
          </w:divBdr>
        </w:div>
      </w:divsChild>
    </w:div>
    <w:div w:id="1779908394">
      <w:bodyDiv w:val="1"/>
      <w:marLeft w:val="0"/>
      <w:marRight w:val="0"/>
      <w:marTop w:val="0"/>
      <w:marBottom w:val="0"/>
      <w:divBdr>
        <w:top w:val="none" w:sz="0" w:space="0" w:color="auto"/>
        <w:left w:val="none" w:sz="0" w:space="0" w:color="auto"/>
        <w:bottom w:val="none" w:sz="0" w:space="0" w:color="auto"/>
        <w:right w:val="none" w:sz="0" w:space="0" w:color="auto"/>
      </w:divBdr>
    </w:div>
    <w:div w:id="1780562849">
      <w:bodyDiv w:val="1"/>
      <w:marLeft w:val="0"/>
      <w:marRight w:val="0"/>
      <w:marTop w:val="0"/>
      <w:marBottom w:val="0"/>
      <w:divBdr>
        <w:top w:val="none" w:sz="0" w:space="0" w:color="auto"/>
        <w:left w:val="none" w:sz="0" w:space="0" w:color="auto"/>
        <w:bottom w:val="none" w:sz="0" w:space="0" w:color="auto"/>
        <w:right w:val="none" w:sz="0" w:space="0" w:color="auto"/>
      </w:divBdr>
      <w:divsChild>
        <w:div w:id="50621915">
          <w:marLeft w:val="0"/>
          <w:marRight w:val="0"/>
          <w:marTop w:val="0"/>
          <w:marBottom w:val="0"/>
          <w:divBdr>
            <w:top w:val="none" w:sz="0" w:space="0" w:color="auto"/>
            <w:left w:val="none" w:sz="0" w:space="0" w:color="auto"/>
            <w:bottom w:val="none" w:sz="0" w:space="0" w:color="auto"/>
            <w:right w:val="none" w:sz="0" w:space="0" w:color="auto"/>
          </w:divBdr>
        </w:div>
        <w:div w:id="1228809722">
          <w:marLeft w:val="0"/>
          <w:marRight w:val="0"/>
          <w:marTop w:val="0"/>
          <w:marBottom w:val="0"/>
          <w:divBdr>
            <w:top w:val="none" w:sz="0" w:space="0" w:color="auto"/>
            <w:left w:val="none" w:sz="0" w:space="0" w:color="auto"/>
            <w:bottom w:val="none" w:sz="0" w:space="0" w:color="auto"/>
            <w:right w:val="none" w:sz="0" w:space="0" w:color="auto"/>
          </w:divBdr>
        </w:div>
      </w:divsChild>
    </w:div>
    <w:div w:id="1781028150">
      <w:bodyDiv w:val="1"/>
      <w:marLeft w:val="0"/>
      <w:marRight w:val="0"/>
      <w:marTop w:val="0"/>
      <w:marBottom w:val="0"/>
      <w:divBdr>
        <w:top w:val="none" w:sz="0" w:space="0" w:color="auto"/>
        <w:left w:val="none" w:sz="0" w:space="0" w:color="auto"/>
        <w:bottom w:val="none" w:sz="0" w:space="0" w:color="auto"/>
        <w:right w:val="none" w:sz="0" w:space="0" w:color="auto"/>
      </w:divBdr>
    </w:div>
    <w:div w:id="1781609997">
      <w:bodyDiv w:val="1"/>
      <w:marLeft w:val="0"/>
      <w:marRight w:val="0"/>
      <w:marTop w:val="0"/>
      <w:marBottom w:val="0"/>
      <w:divBdr>
        <w:top w:val="none" w:sz="0" w:space="0" w:color="auto"/>
        <w:left w:val="none" w:sz="0" w:space="0" w:color="auto"/>
        <w:bottom w:val="none" w:sz="0" w:space="0" w:color="auto"/>
        <w:right w:val="none" w:sz="0" w:space="0" w:color="auto"/>
      </w:divBdr>
      <w:divsChild>
        <w:div w:id="514806643">
          <w:marLeft w:val="0"/>
          <w:marRight w:val="0"/>
          <w:marTop w:val="0"/>
          <w:marBottom w:val="150"/>
          <w:divBdr>
            <w:top w:val="none" w:sz="0" w:space="0" w:color="auto"/>
            <w:left w:val="none" w:sz="0" w:space="0" w:color="auto"/>
            <w:bottom w:val="none" w:sz="0" w:space="0" w:color="auto"/>
            <w:right w:val="none" w:sz="0" w:space="0" w:color="auto"/>
          </w:divBdr>
        </w:div>
        <w:div w:id="1299460289">
          <w:marLeft w:val="0"/>
          <w:marRight w:val="0"/>
          <w:marTop w:val="0"/>
          <w:marBottom w:val="0"/>
          <w:divBdr>
            <w:top w:val="none" w:sz="0" w:space="0" w:color="auto"/>
            <w:left w:val="none" w:sz="0" w:space="0" w:color="auto"/>
            <w:bottom w:val="none" w:sz="0" w:space="0" w:color="auto"/>
            <w:right w:val="none" w:sz="0" w:space="0" w:color="auto"/>
          </w:divBdr>
          <w:divsChild>
            <w:div w:id="201677252">
              <w:marLeft w:val="0"/>
              <w:marRight w:val="0"/>
              <w:marTop w:val="0"/>
              <w:marBottom w:val="0"/>
              <w:divBdr>
                <w:top w:val="none" w:sz="0" w:space="0" w:color="auto"/>
                <w:left w:val="none" w:sz="0" w:space="0" w:color="auto"/>
                <w:bottom w:val="none" w:sz="0" w:space="0" w:color="auto"/>
                <w:right w:val="none" w:sz="0" w:space="0" w:color="auto"/>
              </w:divBdr>
            </w:div>
          </w:divsChild>
        </w:div>
        <w:div w:id="2076128444">
          <w:marLeft w:val="0"/>
          <w:marRight w:val="0"/>
          <w:marTop w:val="0"/>
          <w:marBottom w:val="150"/>
          <w:divBdr>
            <w:top w:val="none" w:sz="0" w:space="0" w:color="auto"/>
            <w:left w:val="none" w:sz="0" w:space="0" w:color="auto"/>
            <w:bottom w:val="none" w:sz="0" w:space="0" w:color="auto"/>
            <w:right w:val="none" w:sz="0" w:space="0" w:color="auto"/>
          </w:divBdr>
          <w:divsChild>
            <w:div w:id="84509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800629">
      <w:bodyDiv w:val="1"/>
      <w:marLeft w:val="0"/>
      <w:marRight w:val="0"/>
      <w:marTop w:val="0"/>
      <w:marBottom w:val="0"/>
      <w:divBdr>
        <w:top w:val="none" w:sz="0" w:space="0" w:color="auto"/>
        <w:left w:val="none" w:sz="0" w:space="0" w:color="auto"/>
        <w:bottom w:val="none" w:sz="0" w:space="0" w:color="auto"/>
        <w:right w:val="none" w:sz="0" w:space="0" w:color="auto"/>
      </w:divBdr>
    </w:div>
    <w:div w:id="1781953253">
      <w:bodyDiv w:val="1"/>
      <w:marLeft w:val="0"/>
      <w:marRight w:val="0"/>
      <w:marTop w:val="0"/>
      <w:marBottom w:val="0"/>
      <w:divBdr>
        <w:top w:val="none" w:sz="0" w:space="0" w:color="auto"/>
        <w:left w:val="none" w:sz="0" w:space="0" w:color="auto"/>
        <w:bottom w:val="none" w:sz="0" w:space="0" w:color="auto"/>
        <w:right w:val="none" w:sz="0" w:space="0" w:color="auto"/>
      </w:divBdr>
      <w:divsChild>
        <w:div w:id="531967314">
          <w:marLeft w:val="0"/>
          <w:marRight w:val="0"/>
          <w:marTop w:val="0"/>
          <w:marBottom w:val="150"/>
          <w:divBdr>
            <w:top w:val="none" w:sz="0" w:space="0" w:color="auto"/>
            <w:left w:val="none" w:sz="0" w:space="0" w:color="auto"/>
            <w:bottom w:val="none" w:sz="0" w:space="0" w:color="auto"/>
            <w:right w:val="none" w:sz="0" w:space="0" w:color="auto"/>
          </w:divBdr>
          <w:divsChild>
            <w:div w:id="491603483">
              <w:marLeft w:val="0"/>
              <w:marRight w:val="0"/>
              <w:marTop w:val="0"/>
              <w:marBottom w:val="0"/>
              <w:divBdr>
                <w:top w:val="none" w:sz="0" w:space="0" w:color="auto"/>
                <w:left w:val="none" w:sz="0" w:space="0" w:color="auto"/>
                <w:bottom w:val="none" w:sz="0" w:space="0" w:color="auto"/>
                <w:right w:val="none" w:sz="0" w:space="0" w:color="auto"/>
              </w:divBdr>
            </w:div>
          </w:divsChild>
        </w:div>
        <w:div w:id="642396526">
          <w:marLeft w:val="0"/>
          <w:marRight w:val="0"/>
          <w:marTop w:val="0"/>
          <w:marBottom w:val="150"/>
          <w:divBdr>
            <w:top w:val="none" w:sz="0" w:space="0" w:color="auto"/>
            <w:left w:val="none" w:sz="0" w:space="0" w:color="auto"/>
            <w:bottom w:val="none" w:sz="0" w:space="0" w:color="auto"/>
            <w:right w:val="none" w:sz="0" w:space="0" w:color="auto"/>
          </w:divBdr>
        </w:div>
      </w:divsChild>
    </w:div>
    <w:div w:id="1781954770">
      <w:bodyDiv w:val="1"/>
      <w:marLeft w:val="0"/>
      <w:marRight w:val="0"/>
      <w:marTop w:val="0"/>
      <w:marBottom w:val="0"/>
      <w:divBdr>
        <w:top w:val="none" w:sz="0" w:space="0" w:color="auto"/>
        <w:left w:val="none" w:sz="0" w:space="0" w:color="auto"/>
        <w:bottom w:val="none" w:sz="0" w:space="0" w:color="auto"/>
        <w:right w:val="none" w:sz="0" w:space="0" w:color="auto"/>
      </w:divBdr>
      <w:divsChild>
        <w:div w:id="1633435972">
          <w:marLeft w:val="0"/>
          <w:marRight w:val="0"/>
          <w:marTop w:val="0"/>
          <w:marBottom w:val="0"/>
          <w:divBdr>
            <w:top w:val="none" w:sz="0" w:space="0" w:color="auto"/>
            <w:left w:val="none" w:sz="0" w:space="0" w:color="auto"/>
            <w:bottom w:val="dotted" w:sz="6" w:space="4" w:color="DDDDDD"/>
            <w:right w:val="none" w:sz="0" w:space="0" w:color="auto"/>
          </w:divBdr>
        </w:div>
        <w:div w:id="1999729748">
          <w:marLeft w:val="0"/>
          <w:marRight w:val="0"/>
          <w:marTop w:val="0"/>
          <w:marBottom w:val="0"/>
          <w:divBdr>
            <w:top w:val="none" w:sz="0" w:space="0" w:color="auto"/>
            <w:left w:val="none" w:sz="0" w:space="0" w:color="auto"/>
            <w:bottom w:val="none" w:sz="0" w:space="0" w:color="auto"/>
            <w:right w:val="none" w:sz="0" w:space="0" w:color="auto"/>
          </w:divBdr>
        </w:div>
      </w:divsChild>
    </w:div>
    <w:div w:id="1782336347">
      <w:bodyDiv w:val="1"/>
      <w:marLeft w:val="0"/>
      <w:marRight w:val="0"/>
      <w:marTop w:val="0"/>
      <w:marBottom w:val="0"/>
      <w:divBdr>
        <w:top w:val="none" w:sz="0" w:space="0" w:color="auto"/>
        <w:left w:val="none" w:sz="0" w:space="0" w:color="auto"/>
        <w:bottom w:val="none" w:sz="0" w:space="0" w:color="auto"/>
        <w:right w:val="none" w:sz="0" w:space="0" w:color="auto"/>
      </w:divBdr>
      <w:divsChild>
        <w:div w:id="1148592523">
          <w:marLeft w:val="0"/>
          <w:marRight w:val="0"/>
          <w:marTop w:val="0"/>
          <w:marBottom w:val="0"/>
          <w:divBdr>
            <w:top w:val="none" w:sz="0" w:space="0" w:color="auto"/>
            <w:left w:val="none" w:sz="0" w:space="0" w:color="auto"/>
            <w:bottom w:val="none" w:sz="0" w:space="0" w:color="auto"/>
            <w:right w:val="none" w:sz="0" w:space="0" w:color="auto"/>
          </w:divBdr>
          <w:divsChild>
            <w:div w:id="1898585365">
              <w:marLeft w:val="0"/>
              <w:marRight w:val="0"/>
              <w:marTop w:val="0"/>
              <w:marBottom w:val="0"/>
              <w:divBdr>
                <w:top w:val="none" w:sz="0" w:space="0" w:color="auto"/>
                <w:left w:val="none" w:sz="0" w:space="0" w:color="auto"/>
                <w:bottom w:val="none" w:sz="0" w:space="0" w:color="auto"/>
                <w:right w:val="none" w:sz="0" w:space="0" w:color="auto"/>
              </w:divBdr>
              <w:divsChild>
                <w:div w:id="2005938242">
                  <w:marLeft w:val="0"/>
                  <w:marRight w:val="0"/>
                  <w:marTop w:val="0"/>
                  <w:marBottom w:val="0"/>
                  <w:divBdr>
                    <w:top w:val="none" w:sz="0" w:space="0" w:color="auto"/>
                    <w:left w:val="none" w:sz="0" w:space="0" w:color="auto"/>
                    <w:bottom w:val="none" w:sz="0" w:space="0" w:color="auto"/>
                    <w:right w:val="none" w:sz="0" w:space="0" w:color="auto"/>
                  </w:divBdr>
                  <w:divsChild>
                    <w:div w:id="571736134">
                      <w:marLeft w:val="0"/>
                      <w:marRight w:val="0"/>
                      <w:marTop w:val="0"/>
                      <w:marBottom w:val="0"/>
                      <w:divBdr>
                        <w:top w:val="none" w:sz="0" w:space="0" w:color="auto"/>
                        <w:left w:val="none" w:sz="0" w:space="0" w:color="auto"/>
                        <w:bottom w:val="none" w:sz="0" w:space="0" w:color="auto"/>
                        <w:right w:val="none" w:sz="0" w:space="0" w:color="auto"/>
                      </w:divBdr>
                      <w:divsChild>
                        <w:div w:id="1101687629">
                          <w:marLeft w:val="0"/>
                          <w:marRight w:val="0"/>
                          <w:marTop w:val="0"/>
                          <w:marBottom w:val="0"/>
                          <w:divBdr>
                            <w:top w:val="none" w:sz="0" w:space="0" w:color="auto"/>
                            <w:left w:val="none" w:sz="0" w:space="0" w:color="auto"/>
                            <w:bottom w:val="none" w:sz="0" w:space="0" w:color="auto"/>
                            <w:right w:val="none" w:sz="0" w:space="0" w:color="auto"/>
                          </w:divBdr>
                          <w:divsChild>
                            <w:div w:id="128577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409486">
      <w:bodyDiv w:val="1"/>
      <w:marLeft w:val="0"/>
      <w:marRight w:val="0"/>
      <w:marTop w:val="0"/>
      <w:marBottom w:val="0"/>
      <w:divBdr>
        <w:top w:val="none" w:sz="0" w:space="0" w:color="auto"/>
        <w:left w:val="none" w:sz="0" w:space="0" w:color="auto"/>
        <w:bottom w:val="none" w:sz="0" w:space="0" w:color="auto"/>
        <w:right w:val="none" w:sz="0" w:space="0" w:color="auto"/>
      </w:divBdr>
      <w:divsChild>
        <w:div w:id="803890196">
          <w:marLeft w:val="0"/>
          <w:marRight w:val="0"/>
          <w:marTop w:val="0"/>
          <w:marBottom w:val="0"/>
          <w:divBdr>
            <w:top w:val="none" w:sz="0" w:space="0" w:color="auto"/>
            <w:left w:val="none" w:sz="0" w:space="0" w:color="auto"/>
            <w:bottom w:val="none" w:sz="0" w:space="0" w:color="auto"/>
            <w:right w:val="none" w:sz="0" w:space="0" w:color="auto"/>
          </w:divBdr>
        </w:div>
        <w:div w:id="1354307368">
          <w:marLeft w:val="0"/>
          <w:marRight w:val="0"/>
          <w:marTop w:val="0"/>
          <w:marBottom w:val="150"/>
          <w:divBdr>
            <w:top w:val="none" w:sz="0" w:space="0" w:color="auto"/>
            <w:left w:val="none" w:sz="0" w:space="0" w:color="auto"/>
            <w:bottom w:val="none" w:sz="0" w:space="0" w:color="auto"/>
            <w:right w:val="none" w:sz="0" w:space="0" w:color="auto"/>
          </w:divBdr>
        </w:div>
      </w:divsChild>
    </w:div>
    <w:div w:id="1782532527">
      <w:bodyDiv w:val="1"/>
      <w:marLeft w:val="0"/>
      <w:marRight w:val="0"/>
      <w:marTop w:val="0"/>
      <w:marBottom w:val="0"/>
      <w:divBdr>
        <w:top w:val="none" w:sz="0" w:space="0" w:color="auto"/>
        <w:left w:val="none" w:sz="0" w:space="0" w:color="auto"/>
        <w:bottom w:val="none" w:sz="0" w:space="0" w:color="auto"/>
        <w:right w:val="none" w:sz="0" w:space="0" w:color="auto"/>
      </w:divBdr>
      <w:divsChild>
        <w:div w:id="418332219">
          <w:marLeft w:val="0"/>
          <w:marRight w:val="0"/>
          <w:marTop w:val="0"/>
          <w:marBottom w:val="225"/>
          <w:divBdr>
            <w:top w:val="none" w:sz="0" w:space="0" w:color="auto"/>
            <w:left w:val="none" w:sz="0" w:space="0" w:color="auto"/>
            <w:bottom w:val="none" w:sz="0" w:space="0" w:color="auto"/>
            <w:right w:val="none" w:sz="0" w:space="0" w:color="auto"/>
          </w:divBdr>
        </w:div>
        <w:div w:id="1398749294">
          <w:marLeft w:val="0"/>
          <w:marRight w:val="0"/>
          <w:marTop w:val="0"/>
          <w:marBottom w:val="225"/>
          <w:divBdr>
            <w:top w:val="none" w:sz="0" w:space="0" w:color="auto"/>
            <w:left w:val="none" w:sz="0" w:space="0" w:color="auto"/>
            <w:bottom w:val="none" w:sz="0" w:space="0" w:color="auto"/>
            <w:right w:val="none" w:sz="0" w:space="0" w:color="auto"/>
          </w:divBdr>
          <w:divsChild>
            <w:div w:id="1186096848">
              <w:marLeft w:val="0"/>
              <w:marRight w:val="0"/>
              <w:marTop w:val="0"/>
              <w:marBottom w:val="0"/>
              <w:divBdr>
                <w:top w:val="none" w:sz="0" w:space="0" w:color="auto"/>
                <w:left w:val="none" w:sz="0" w:space="0" w:color="auto"/>
                <w:bottom w:val="none" w:sz="0" w:space="0" w:color="auto"/>
                <w:right w:val="none" w:sz="0" w:space="0" w:color="auto"/>
              </w:divBdr>
              <w:divsChild>
                <w:div w:id="179282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534810">
      <w:bodyDiv w:val="1"/>
      <w:marLeft w:val="0"/>
      <w:marRight w:val="0"/>
      <w:marTop w:val="0"/>
      <w:marBottom w:val="0"/>
      <w:divBdr>
        <w:top w:val="none" w:sz="0" w:space="0" w:color="auto"/>
        <w:left w:val="none" w:sz="0" w:space="0" w:color="auto"/>
        <w:bottom w:val="none" w:sz="0" w:space="0" w:color="auto"/>
        <w:right w:val="none" w:sz="0" w:space="0" w:color="auto"/>
      </w:divBdr>
      <w:divsChild>
        <w:div w:id="1079212600">
          <w:marLeft w:val="0"/>
          <w:marRight w:val="0"/>
          <w:marTop w:val="0"/>
          <w:marBottom w:val="300"/>
          <w:divBdr>
            <w:top w:val="none" w:sz="0" w:space="0" w:color="auto"/>
            <w:left w:val="none" w:sz="0" w:space="0" w:color="auto"/>
            <w:bottom w:val="none" w:sz="0" w:space="0" w:color="auto"/>
            <w:right w:val="none" w:sz="0" w:space="0" w:color="auto"/>
          </w:divBdr>
          <w:divsChild>
            <w:div w:id="1521165186">
              <w:marLeft w:val="0"/>
              <w:marRight w:val="0"/>
              <w:marTop w:val="0"/>
              <w:marBottom w:val="0"/>
              <w:divBdr>
                <w:top w:val="none" w:sz="0" w:space="0" w:color="auto"/>
                <w:left w:val="none" w:sz="0" w:space="0" w:color="auto"/>
                <w:bottom w:val="none" w:sz="0" w:space="0" w:color="auto"/>
                <w:right w:val="none" w:sz="0" w:space="0" w:color="auto"/>
              </w:divBdr>
              <w:divsChild>
                <w:div w:id="755253398">
                  <w:marLeft w:val="0"/>
                  <w:marRight w:val="0"/>
                  <w:marTop w:val="0"/>
                  <w:marBottom w:val="0"/>
                  <w:divBdr>
                    <w:top w:val="none" w:sz="0" w:space="0" w:color="auto"/>
                    <w:left w:val="none" w:sz="0" w:space="0" w:color="auto"/>
                    <w:bottom w:val="none" w:sz="0" w:space="0" w:color="auto"/>
                    <w:right w:val="none" w:sz="0" w:space="0" w:color="auto"/>
                  </w:divBdr>
                  <w:divsChild>
                    <w:div w:id="596133467">
                      <w:marLeft w:val="0"/>
                      <w:marRight w:val="0"/>
                      <w:marTop w:val="0"/>
                      <w:marBottom w:val="225"/>
                      <w:divBdr>
                        <w:top w:val="none" w:sz="0" w:space="0" w:color="2D2D2D"/>
                        <w:left w:val="none" w:sz="0" w:space="0" w:color="2D2D2D"/>
                        <w:bottom w:val="none" w:sz="0" w:space="0" w:color="2D2D2D"/>
                        <w:right w:val="none" w:sz="0" w:space="0" w:color="2D2D2D"/>
                      </w:divBdr>
                      <w:divsChild>
                        <w:div w:id="1958677122">
                          <w:marLeft w:val="0"/>
                          <w:marRight w:val="0"/>
                          <w:marTop w:val="120"/>
                          <w:marBottom w:val="150"/>
                          <w:divBdr>
                            <w:top w:val="none" w:sz="0" w:space="0" w:color="auto"/>
                            <w:left w:val="none" w:sz="0" w:space="0" w:color="auto"/>
                            <w:bottom w:val="none" w:sz="0" w:space="0" w:color="auto"/>
                            <w:right w:val="none" w:sz="0" w:space="0" w:color="auto"/>
                          </w:divBdr>
                          <w:divsChild>
                            <w:div w:id="191142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652372">
      <w:bodyDiv w:val="1"/>
      <w:marLeft w:val="0"/>
      <w:marRight w:val="0"/>
      <w:marTop w:val="0"/>
      <w:marBottom w:val="0"/>
      <w:divBdr>
        <w:top w:val="none" w:sz="0" w:space="0" w:color="auto"/>
        <w:left w:val="none" w:sz="0" w:space="0" w:color="auto"/>
        <w:bottom w:val="none" w:sz="0" w:space="0" w:color="auto"/>
        <w:right w:val="none" w:sz="0" w:space="0" w:color="auto"/>
      </w:divBdr>
      <w:divsChild>
        <w:div w:id="411588036">
          <w:marLeft w:val="0"/>
          <w:marRight w:val="0"/>
          <w:marTop w:val="0"/>
          <w:marBottom w:val="0"/>
          <w:divBdr>
            <w:top w:val="none" w:sz="0" w:space="0" w:color="auto"/>
            <w:left w:val="none" w:sz="0" w:space="0" w:color="auto"/>
            <w:bottom w:val="none" w:sz="0" w:space="0" w:color="auto"/>
            <w:right w:val="none" w:sz="0" w:space="0" w:color="auto"/>
          </w:divBdr>
          <w:divsChild>
            <w:div w:id="1658067680">
              <w:marLeft w:val="0"/>
              <w:marRight w:val="0"/>
              <w:marTop w:val="0"/>
              <w:marBottom w:val="0"/>
              <w:divBdr>
                <w:top w:val="none" w:sz="0" w:space="0" w:color="auto"/>
                <w:left w:val="none" w:sz="0" w:space="0" w:color="auto"/>
                <w:bottom w:val="none" w:sz="0" w:space="0" w:color="auto"/>
                <w:right w:val="none" w:sz="0" w:space="0" w:color="auto"/>
              </w:divBdr>
              <w:divsChild>
                <w:div w:id="994724511">
                  <w:marLeft w:val="0"/>
                  <w:marRight w:val="0"/>
                  <w:marTop w:val="0"/>
                  <w:marBottom w:val="0"/>
                  <w:divBdr>
                    <w:top w:val="none" w:sz="0" w:space="0" w:color="auto"/>
                    <w:left w:val="none" w:sz="0" w:space="0" w:color="auto"/>
                    <w:bottom w:val="none" w:sz="0" w:space="0" w:color="auto"/>
                    <w:right w:val="none" w:sz="0" w:space="0" w:color="auto"/>
                  </w:divBdr>
                  <w:divsChild>
                    <w:div w:id="972054880">
                      <w:marLeft w:val="0"/>
                      <w:marRight w:val="0"/>
                      <w:marTop w:val="0"/>
                      <w:marBottom w:val="300"/>
                      <w:divBdr>
                        <w:top w:val="none" w:sz="0" w:space="0" w:color="auto"/>
                        <w:left w:val="none" w:sz="0" w:space="0" w:color="auto"/>
                        <w:bottom w:val="none" w:sz="0" w:space="0" w:color="auto"/>
                        <w:right w:val="none" w:sz="0" w:space="0" w:color="auto"/>
                      </w:divBdr>
                      <w:divsChild>
                        <w:div w:id="773668309">
                          <w:marLeft w:val="0"/>
                          <w:marRight w:val="0"/>
                          <w:marTop w:val="0"/>
                          <w:marBottom w:val="225"/>
                          <w:divBdr>
                            <w:top w:val="single" w:sz="6" w:space="11" w:color="E5E5E5"/>
                            <w:left w:val="single" w:sz="6" w:space="11" w:color="E5E5E5"/>
                            <w:bottom w:val="single" w:sz="6" w:space="1" w:color="E5E5E5"/>
                            <w:right w:val="single" w:sz="6" w:space="11" w:color="E5E5E5"/>
                          </w:divBdr>
                          <w:divsChild>
                            <w:div w:id="107624348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630744117">
          <w:marLeft w:val="0"/>
          <w:marRight w:val="0"/>
          <w:marTop w:val="0"/>
          <w:marBottom w:val="0"/>
          <w:divBdr>
            <w:top w:val="single" w:sz="6" w:space="0" w:color="E5E5E5"/>
            <w:left w:val="none" w:sz="0" w:space="0" w:color="auto"/>
            <w:bottom w:val="single" w:sz="18" w:space="0" w:color="000000"/>
            <w:right w:val="none" w:sz="0" w:space="0" w:color="auto"/>
          </w:divBdr>
          <w:divsChild>
            <w:div w:id="940451038">
              <w:marLeft w:val="0"/>
              <w:marRight w:val="0"/>
              <w:marTop w:val="0"/>
              <w:marBottom w:val="0"/>
              <w:divBdr>
                <w:top w:val="none" w:sz="0" w:space="0" w:color="auto"/>
                <w:left w:val="none" w:sz="0" w:space="0" w:color="auto"/>
                <w:bottom w:val="none" w:sz="0" w:space="0" w:color="auto"/>
                <w:right w:val="none" w:sz="0" w:space="0" w:color="auto"/>
              </w:divBdr>
              <w:divsChild>
                <w:div w:id="202867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802661">
      <w:bodyDiv w:val="1"/>
      <w:marLeft w:val="0"/>
      <w:marRight w:val="0"/>
      <w:marTop w:val="0"/>
      <w:marBottom w:val="0"/>
      <w:divBdr>
        <w:top w:val="none" w:sz="0" w:space="0" w:color="auto"/>
        <w:left w:val="none" w:sz="0" w:space="0" w:color="auto"/>
        <w:bottom w:val="none" w:sz="0" w:space="0" w:color="auto"/>
        <w:right w:val="none" w:sz="0" w:space="0" w:color="auto"/>
      </w:divBdr>
      <w:divsChild>
        <w:div w:id="269555102">
          <w:marLeft w:val="0"/>
          <w:marRight w:val="150"/>
          <w:marTop w:val="0"/>
          <w:marBottom w:val="0"/>
          <w:divBdr>
            <w:top w:val="none" w:sz="0" w:space="0" w:color="auto"/>
            <w:left w:val="none" w:sz="0" w:space="0" w:color="auto"/>
            <w:bottom w:val="none" w:sz="0" w:space="0" w:color="auto"/>
            <w:right w:val="none" w:sz="0" w:space="0" w:color="auto"/>
          </w:divBdr>
          <w:divsChild>
            <w:div w:id="1933850965">
              <w:marLeft w:val="0"/>
              <w:marRight w:val="0"/>
              <w:marTop w:val="0"/>
              <w:marBottom w:val="0"/>
              <w:divBdr>
                <w:top w:val="none" w:sz="0" w:space="0" w:color="auto"/>
                <w:left w:val="none" w:sz="0" w:space="0" w:color="auto"/>
                <w:bottom w:val="none" w:sz="0" w:space="0" w:color="auto"/>
                <w:right w:val="none" w:sz="0" w:space="0" w:color="auto"/>
              </w:divBdr>
              <w:divsChild>
                <w:div w:id="1196846834">
                  <w:marLeft w:val="0"/>
                  <w:marRight w:val="0"/>
                  <w:marTop w:val="150"/>
                  <w:marBottom w:val="0"/>
                  <w:divBdr>
                    <w:top w:val="none" w:sz="0" w:space="0" w:color="auto"/>
                    <w:left w:val="none" w:sz="0" w:space="0" w:color="auto"/>
                    <w:bottom w:val="none" w:sz="0" w:space="0" w:color="auto"/>
                    <w:right w:val="none" w:sz="0" w:space="0" w:color="auto"/>
                  </w:divBdr>
                  <w:divsChild>
                    <w:div w:id="1855606738">
                      <w:marLeft w:val="0"/>
                      <w:marRight w:val="150"/>
                      <w:marTop w:val="0"/>
                      <w:marBottom w:val="0"/>
                      <w:divBdr>
                        <w:top w:val="none" w:sz="0" w:space="0" w:color="auto"/>
                        <w:left w:val="none" w:sz="0" w:space="0" w:color="auto"/>
                        <w:bottom w:val="none" w:sz="0" w:space="0" w:color="auto"/>
                        <w:right w:val="none" w:sz="0" w:space="0" w:color="auto"/>
                      </w:divBdr>
                      <w:divsChild>
                        <w:div w:id="426855120">
                          <w:marLeft w:val="0"/>
                          <w:marRight w:val="0"/>
                          <w:marTop w:val="0"/>
                          <w:marBottom w:val="0"/>
                          <w:divBdr>
                            <w:top w:val="none" w:sz="0" w:space="0" w:color="auto"/>
                            <w:left w:val="none" w:sz="0" w:space="0" w:color="auto"/>
                            <w:bottom w:val="none" w:sz="0" w:space="0" w:color="auto"/>
                            <w:right w:val="none" w:sz="0" w:space="0" w:color="auto"/>
                          </w:divBdr>
                        </w:div>
                        <w:div w:id="64890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246066">
                  <w:marLeft w:val="0"/>
                  <w:marRight w:val="0"/>
                  <w:marTop w:val="0"/>
                  <w:marBottom w:val="0"/>
                  <w:divBdr>
                    <w:top w:val="none" w:sz="0" w:space="8" w:color="auto"/>
                    <w:left w:val="none" w:sz="0" w:space="2" w:color="auto"/>
                    <w:bottom w:val="single" w:sz="6" w:space="8" w:color="DDDDDD"/>
                    <w:right w:val="none" w:sz="0" w:space="0" w:color="auto"/>
                  </w:divBdr>
                </w:div>
              </w:divsChild>
            </w:div>
          </w:divsChild>
        </w:div>
        <w:div w:id="1501431844">
          <w:marLeft w:val="0"/>
          <w:marRight w:val="0"/>
          <w:marTop w:val="0"/>
          <w:marBottom w:val="0"/>
          <w:divBdr>
            <w:top w:val="none" w:sz="0" w:space="0" w:color="auto"/>
            <w:left w:val="none" w:sz="0" w:space="0" w:color="auto"/>
            <w:bottom w:val="single" w:sz="12" w:space="0" w:color="C4C4C4"/>
            <w:right w:val="none" w:sz="0" w:space="0" w:color="auto"/>
          </w:divBdr>
          <w:divsChild>
            <w:div w:id="903178203">
              <w:marLeft w:val="0"/>
              <w:marRight w:val="0"/>
              <w:marTop w:val="0"/>
              <w:marBottom w:val="0"/>
              <w:divBdr>
                <w:top w:val="none" w:sz="0" w:space="0" w:color="auto"/>
                <w:left w:val="none" w:sz="0" w:space="0" w:color="auto"/>
                <w:bottom w:val="none" w:sz="0" w:space="0" w:color="auto"/>
                <w:right w:val="none" w:sz="0" w:space="0" w:color="auto"/>
              </w:divBdr>
              <w:divsChild>
                <w:div w:id="3782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873831">
      <w:bodyDiv w:val="1"/>
      <w:marLeft w:val="0"/>
      <w:marRight w:val="0"/>
      <w:marTop w:val="0"/>
      <w:marBottom w:val="0"/>
      <w:divBdr>
        <w:top w:val="none" w:sz="0" w:space="0" w:color="auto"/>
        <w:left w:val="none" w:sz="0" w:space="0" w:color="auto"/>
        <w:bottom w:val="none" w:sz="0" w:space="0" w:color="auto"/>
        <w:right w:val="none" w:sz="0" w:space="0" w:color="auto"/>
      </w:divBdr>
      <w:divsChild>
        <w:div w:id="1913004558">
          <w:marLeft w:val="0"/>
          <w:marRight w:val="0"/>
          <w:marTop w:val="135"/>
          <w:marBottom w:val="0"/>
          <w:divBdr>
            <w:top w:val="none" w:sz="0" w:space="0" w:color="auto"/>
            <w:left w:val="none" w:sz="0" w:space="0" w:color="auto"/>
            <w:bottom w:val="none" w:sz="0" w:space="0" w:color="auto"/>
            <w:right w:val="none" w:sz="0" w:space="0" w:color="auto"/>
          </w:divBdr>
          <w:divsChild>
            <w:div w:id="785275323">
              <w:marLeft w:val="0"/>
              <w:marRight w:val="0"/>
              <w:marTop w:val="45"/>
              <w:marBottom w:val="0"/>
              <w:divBdr>
                <w:top w:val="none" w:sz="0" w:space="0" w:color="auto"/>
                <w:left w:val="none" w:sz="0" w:space="0" w:color="auto"/>
                <w:bottom w:val="none" w:sz="0" w:space="0" w:color="auto"/>
                <w:right w:val="none" w:sz="0" w:space="0" w:color="auto"/>
              </w:divBdr>
            </w:div>
          </w:divsChild>
        </w:div>
        <w:div w:id="2018116491">
          <w:marLeft w:val="0"/>
          <w:marRight w:val="0"/>
          <w:marTop w:val="300"/>
          <w:marBottom w:val="0"/>
          <w:divBdr>
            <w:top w:val="none" w:sz="0" w:space="0" w:color="auto"/>
            <w:left w:val="none" w:sz="0" w:space="0" w:color="auto"/>
            <w:bottom w:val="none" w:sz="0" w:space="0" w:color="auto"/>
            <w:right w:val="none" w:sz="0" w:space="0" w:color="auto"/>
          </w:divBdr>
        </w:div>
      </w:divsChild>
    </w:div>
    <w:div w:id="1782912812">
      <w:bodyDiv w:val="1"/>
      <w:marLeft w:val="0"/>
      <w:marRight w:val="0"/>
      <w:marTop w:val="0"/>
      <w:marBottom w:val="0"/>
      <w:divBdr>
        <w:top w:val="none" w:sz="0" w:space="0" w:color="auto"/>
        <w:left w:val="none" w:sz="0" w:space="0" w:color="auto"/>
        <w:bottom w:val="none" w:sz="0" w:space="0" w:color="auto"/>
        <w:right w:val="none" w:sz="0" w:space="0" w:color="auto"/>
      </w:divBdr>
      <w:divsChild>
        <w:div w:id="147596136">
          <w:marLeft w:val="0"/>
          <w:marRight w:val="0"/>
          <w:marTop w:val="0"/>
          <w:marBottom w:val="150"/>
          <w:divBdr>
            <w:top w:val="none" w:sz="0" w:space="0" w:color="auto"/>
            <w:left w:val="none" w:sz="0" w:space="0" w:color="auto"/>
            <w:bottom w:val="none" w:sz="0" w:space="0" w:color="auto"/>
            <w:right w:val="none" w:sz="0" w:space="0" w:color="auto"/>
          </w:divBdr>
        </w:div>
        <w:div w:id="1256524170">
          <w:marLeft w:val="0"/>
          <w:marRight w:val="0"/>
          <w:marTop w:val="0"/>
          <w:marBottom w:val="150"/>
          <w:divBdr>
            <w:top w:val="none" w:sz="0" w:space="0" w:color="auto"/>
            <w:left w:val="none" w:sz="0" w:space="0" w:color="auto"/>
            <w:bottom w:val="none" w:sz="0" w:space="0" w:color="auto"/>
            <w:right w:val="none" w:sz="0" w:space="0" w:color="auto"/>
          </w:divBdr>
          <w:divsChild>
            <w:div w:id="553127839">
              <w:marLeft w:val="0"/>
              <w:marRight w:val="0"/>
              <w:marTop w:val="0"/>
              <w:marBottom w:val="0"/>
              <w:divBdr>
                <w:top w:val="none" w:sz="0" w:space="0" w:color="auto"/>
                <w:left w:val="none" w:sz="0" w:space="0" w:color="auto"/>
                <w:bottom w:val="none" w:sz="0" w:space="0" w:color="auto"/>
                <w:right w:val="none" w:sz="0" w:space="0" w:color="auto"/>
              </w:divBdr>
            </w:div>
          </w:divsChild>
        </w:div>
        <w:div w:id="2123844266">
          <w:marLeft w:val="0"/>
          <w:marRight w:val="0"/>
          <w:marTop w:val="0"/>
          <w:marBottom w:val="0"/>
          <w:divBdr>
            <w:top w:val="none" w:sz="0" w:space="0" w:color="auto"/>
            <w:left w:val="none" w:sz="0" w:space="0" w:color="auto"/>
            <w:bottom w:val="none" w:sz="0" w:space="0" w:color="auto"/>
            <w:right w:val="none" w:sz="0" w:space="0" w:color="auto"/>
          </w:divBdr>
          <w:divsChild>
            <w:div w:id="67030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571151">
      <w:bodyDiv w:val="1"/>
      <w:marLeft w:val="0"/>
      <w:marRight w:val="0"/>
      <w:marTop w:val="0"/>
      <w:marBottom w:val="0"/>
      <w:divBdr>
        <w:top w:val="none" w:sz="0" w:space="0" w:color="auto"/>
        <w:left w:val="none" w:sz="0" w:space="0" w:color="auto"/>
        <w:bottom w:val="none" w:sz="0" w:space="0" w:color="auto"/>
        <w:right w:val="none" w:sz="0" w:space="0" w:color="auto"/>
      </w:divBdr>
      <w:divsChild>
        <w:div w:id="16543714">
          <w:marLeft w:val="0"/>
          <w:marRight w:val="0"/>
          <w:marTop w:val="0"/>
          <w:marBottom w:val="0"/>
          <w:divBdr>
            <w:top w:val="none" w:sz="0" w:space="0" w:color="auto"/>
            <w:left w:val="none" w:sz="0" w:space="0" w:color="auto"/>
            <w:bottom w:val="none" w:sz="0" w:space="0" w:color="auto"/>
            <w:right w:val="none" w:sz="0" w:space="0" w:color="auto"/>
          </w:divBdr>
          <w:divsChild>
            <w:div w:id="20637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110349">
      <w:bodyDiv w:val="1"/>
      <w:marLeft w:val="0"/>
      <w:marRight w:val="0"/>
      <w:marTop w:val="0"/>
      <w:marBottom w:val="0"/>
      <w:divBdr>
        <w:top w:val="none" w:sz="0" w:space="0" w:color="auto"/>
        <w:left w:val="none" w:sz="0" w:space="0" w:color="auto"/>
        <w:bottom w:val="none" w:sz="0" w:space="0" w:color="auto"/>
        <w:right w:val="none" w:sz="0" w:space="0" w:color="auto"/>
      </w:divBdr>
      <w:divsChild>
        <w:div w:id="115220645">
          <w:marLeft w:val="0"/>
          <w:marRight w:val="0"/>
          <w:marTop w:val="0"/>
          <w:marBottom w:val="150"/>
          <w:divBdr>
            <w:top w:val="none" w:sz="0" w:space="0" w:color="auto"/>
            <w:left w:val="none" w:sz="0" w:space="0" w:color="auto"/>
            <w:bottom w:val="none" w:sz="0" w:space="0" w:color="auto"/>
            <w:right w:val="none" w:sz="0" w:space="0" w:color="auto"/>
          </w:divBdr>
        </w:div>
        <w:div w:id="251548378">
          <w:marLeft w:val="0"/>
          <w:marRight w:val="0"/>
          <w:marTop w:val="0"/>
          <w:marBottom w:val="150"/>
          <w:divBdr>
            <w:top w:val="none" w:sz="0" w:space="0" w:color="auto"/>
            <w:left w:val="none" w:sz="0" w:space="0" w:color="auto"/>
            <w:bottom w:val="none" w:sz="0" w:space="0" w:color="auto"/>
            <w:right w:val="none" w:sz="0" w:space="0" w:color="auto"/>
          </w:divBdr>
          <w:divsChild>
            <w:div w:id="1367221474">
              <w:marLeft w:val="0"/>
              <w:marRight w:val="0"/>
              <w:marTop w:val="0"/>
              <w:marBottom w:val="0"/>
              <w:divBdr>
                <w:top w:val="none" w:sz="0" w:space="0" w:color="auto"/>
                <w:left w:val="none" w:sz="0" w:space="0" w:color="auto"/>
                <w:bottom w:val="none" w:sz="0" w:space="0" w:color="auto"/>
                <w:right w:val="none" w:sz="0" w:space="0" w:color="auto"/>
              </w:divBdr>
            </w:div>
          </w:divsChild>
        </w:div>
        <w:div w:id="438793200">
          <w:marLeft w:val="0"/>
          <w:marRight w:val="0"/>
          <w:marTop w:val="0"/>
          <w:marBottom w:val="0"/>
          <w:divBdr>
            <w:top w:val="none" w:sz="0" w:space="0" w:color="auto"/>
            <w:left w:val="none" w:sz="0" w:space="0" w:color="auto"/>
            <w:bottom w:val="none" w:sz="0" w:space="0" w:color="auto"/>
            <w:right w:val="none" w:sz="0" w:space="0" w:color="auto"/>
          </w:divBdr>
          <w:divsChild>
            <w:div w:id="214500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111247">
      <w:bodyDiv w:val="1"/>
      <w:marLeft w:val="0"/>
      <w:marRight w:val="0"/>
      <w:marTop w:val="0"/>
      <w:marBottom w:val="0"/>
      <w:divBdr>
        <w:top w:val="none" w:sz="0" w:space="0" w:color="auto"/>
        <w:left w:val="none" w:sz="0" w:space="0" w:color="auto"/>
        <w:bottom w:val="none" w:sz="0" w:space="0" w:color="auto"/>
        <w:right w:val="none" w:sz="0" w:space="0" w:color="auto"/>
      </w:divBdr>
      <w:divsChild>
        <w:div w:id="1532910610">
          <w:marLeft w:val="0"/>
          <w:marRight w:val="0"/>
          <w:marTop w:val="0"/>
          <w:marBottom w:val="240"/>
          <w:divBdr>
            <w:top w:val="none" w:sz="0" w:space="0" w:color="auto"/>
            <w:left w:val="none" w:sz="0" w:space="0" w:color="auto"/>
            <w:bottom w:val="none" w:sz="0" w:space="0" w:color="auto"/>
            <w:right w:val="none" w:sz="0" w:space="0" w:color="auto"/>
          </w:divBdr>
        </w:div>
        <w:div w:id="1091242792">
          <w:marLeft w:val="0"/>
          <w:marRight w:val="0"/>
          <w:marTop w:val="0"/>
          <w:marBottom w:val="240"/>
          <w:divBdr>
            <w:top w:val="none" w:sz="0" w:space="0" w:color="auto"/>
            <w:left w:val="none" w:sz="0" w:space="0" w:color="auto"/>
            <w:bottom w:val="none" w:sz="0" w:space="0" w:color="auto"/>
            <w:right w:val="none" w:sz="0" w:space="0" w:color="auto"/>
          </w:divBdr>
        </w:div>
        <w:div w:id="16200246">
          <w:marLeft w:val="0"/>
          <w:marRight w:val="0"/>
          <w:marTop w:val="0"/>
          <w:marBottom w:val="240"/>
          <w:divBdr>
            <w:top w:val="none" w:sz="0" w:space="0" w:color="auto"/>
            <w:left w:val="none" w:sz="0" w:space="0" w:color="auto"/>
            <w:bottom w:val="none" w:sz="0" w:space="0" w:color="auto"/>
            <w:right w:val="none" w:sz="0" w:space="0" w:color="auto"/>
          </w:divBdr>
        </w:div>
        <w:div w:id="914244952">
          <w:marLeft w:val="0"/>
          <w:marRight w:val="0"/>
          <w:marTop w:val="0"/>
          <w:marBottom w:val="240"/>
          <w:divBdr>
            <w:top w:val="none" w:sz="0" w:space="0" w:color="auto"/>
            <w:left w:val="none" w:sz="0" w:space="0" w:color="auto"/>
            <w:bottom w:val="none" w:sz="0" w:space="0" w:color="auto"/>
            <w:right w:val="none" w:sz="0" w:space="0" w:color="auto"/>
          </w:divBdr>
        </w:div>
      </w:divsChild>
    </w:div>
    <w:div w:id="1784153158">
      <w:bodyDiv w:val="1"/>
      <w:marLeft w:val="0"/>
      <w:marRight w:val="0"/>
      <w:marTop w:val="0"/>
      <w:marBottom w:val="0"/>
      <w:divBdr>
        <w:top w:val="none" w:sz="0" w:space="0" w:color="auto"/>
        <w:left w:val="none" w:sz="0" w:space="0" w:color="auto"/>
        <w:bottom w:val="none" w:sz="0" w:space="0" w:color="auto"/>
        <w:right w:val="none" w:sz="0" w:space="0" w:color="auto"/>
      </w:divBdr>
      <w:divsChild>
        <w:div w:id="503012141">
          <w:marLeft w:val="0"/>
          <w:marRight w:val="0"/>
          <w:marTop w:val="0"/>
          <w:marBottom w:val="0"/>
          <w:divBdr>
            <w:top w:val="none" w:sz="0" w:space="0" w:color="auto"/>
            <w:left w:val="none" w:sz="0" w:space="0" w:color="auto"/>
            <w:bottom w:val="none" w:sz="0" w:space="0" w:color="auto"/>
            <w:right w:val="none" w:sz="0" w:space="0" w:color="auto"/>
          </w:divBdr>
        </w:div>
      </w:divsChild>
    </w:div>
    <w:div w:id="1786653198">
      <w:bodyDiv w:val="1"/>
      <w:marLeft w:val="0"/>
      <w:marRight w:val="0"/>
      <w:marTop w:val="0"/>
      <w:marBottom w:val="0"/>
      <w:divBdr>
        <w:top w:val="none" w:sz="0" w:space="0" w:color="auto"/>
        <w:left w:val="none" w:sz="0" w:space="0" w:color="auto"/>
        <w:bottom w:val="none" w:sz="0" w:space="0" w:color="auto"/>
        <w:right w:val="none" w:sz="0" w:space="0" w:color="auto"/>
      </w:divBdr>
      <w:divsChild>
        <w:div w:id="1226453188">
          <w:marLeft w:val="0"/>
          <w:marRight w:val="0"/>
          <w:marTop w:val="0"/>
          <w:marBottom w:val="0"/>
          <w:divBdr>
            <w:top w:val="none" w:sz="0" w:space="0" w:color="auto"/>
            <w:left w:val="none" w:sz="0" w:space="0" w:color="auto"/>
            <w:bottom w:val="none" w:sz="0" w:space="0" w:color="auto"/>
            <w:right w:val="none" w:sz="0" w:space="0" w:color="auto"/>
          </w:divBdr>
        </w:div>
      </w:divsChild>
    </w:div>
    <w:div w:id="1786654222">
      <w:bodyDiv w:val="1"/>
      <w:marLeft w:val="0"/>
      <w:marRight w:val="0"/>
      <w:marTop w:val="0"/>
      <w:marBottom w:val="0"/>
      <w:divBdr>
        <w:top w:val="none" w:sz="0" w:space="0" w:color="auto"/>
        <w:left w:val="none" w:sz="0" w:space="0" w:color="auto"/>
        <w:bottom w:val="none" w:sz="0" w:space="0" w:color="auto"/>
        <w:right w:val="none" w:sz="0" w:space="0" w:color="auto"/>
      </w:divBdr>
      <w:divsChild>
        <w:div w:id="765157679">
          <w:marLeft w:val="0"/>
          <w:marRight w:val="0"/>
          <w:marTop w:val="0"/>
          <w:marBottom w:val="0"/>
          <w:divBdr>
            <w:top w:val="none" w:sz="0" w:space="0" w:color="auto"/>
            <w:left w:val="none" w:sz="0" w:space="0" w:color="auto"/>
            <w:bottom w:val="none" w:sz="0" w:space="0" w:color="auto"/>
            <w:right w:val="none" w:sz="0" w:space="0" w:color="auto"/>
          </w:divBdr>
          <w:divsChild>
            <w:div w:id="423571328">
              <w:marLeft w:val="0"/>
              <w:marRight w:val="0"/>
              <w:marTop w:val="0"/>
              <w:marBottom w:val="150"/>
              <w:divBdr>
                <w:top w:val="none" w:sz="0" w:space="0" w:color="auto"/>
                <w:left w:val="none" w:sz="0" w:space="0" w:color="auto"/>
                <w:bottom w:val="none" w:sz="0" w:space="0" w:color="auto"/>
                <w:right w:val="none" w:sz="0" w:space="0" w:color="auto"/>
              </w:divBdr>
            </w:div>
            <w:div w:id="165093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7861">
      <w:bodyDiv w:val="1"/>
      <w:marLeft w:val="0"/>
      <w:marRight w:val="0"/>
      <w:marTop w:val="0"/>
      <w:marBottom w:val="0"/>
      <w:divBdr>
        <w:top w:val="none" w:sz="0" w:space="0" w:color="auto"/>
        <w:left w:val="none" w:sz="0" w:space="0" w:color="auto"/>
        <w:bottom w:val="none" w:sz="0" w:space="0" w:color="auto"/>
        <w:right w:val="none" w:sz="0" w:space="0" w:color="auto"/>
      </w:divBdr>
      <w:divsChild>
        <w:div w:id="2140569285">
          <w:marLeft w:val="0"/>
          <w:marRight w:val="0"/>
          <w:marTop w:val="0"/>
          <w:marBottom w:val="0"/>
          <w:divBdr>
            <w:top w:val="none" w:sz="0" w:space="0" w:color="auto"/>
            <w:left w:val="none" w:sz="0" w:space="0" w:color="auto"/>
            <w:bottom w:val="dotted" w:sz="6" w:space="4" w:color="DDDDDD"/>
            <w:right w:val="none" w:sz="0" w:space="0" w:color="auto"/>
          </w:divBdr>
          <w:divsChild>
            <w:div w:id="122448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9610">
      <w:bodyDiv w:val="1"/>
      <w:marLeft w:val="0"/>
      <w:marRight w:val="0"/>
      <w:marTop w:val="0"/>
      <w:marBottom w:val="0"/>
      <w:divBdr>
        <w:top w:val="none" w:sz="0" w:space="0" w:color="auto"/>
        <w:left w:val="none" w:sz="0" w:space="0" w:color="auto"/>
        <w:bottom w:val="none" w:sz="0" w:space="0" w:color="auto"/>
        <w:right w:val="none" w:sz="0" w:space="0" w:color="auto"/>
      </w:divBdr>
      <w:divsChild>
        <w:div w:id="1337920595">
          <w:marLeft w:val="0"/>
          <w:marRight w:val="0"/>
          <w:marTop w:val="0"/>
          <w:marBottom w:val="0"/>
          <w:divBdr>
            <w:top w:val="none" w:sz="0" w:space="0" w:color="auto"/>
            <w:left w:val="none" w:sz="0" w:space="0" w:color="auto"/>
            <w:bottom w:val="none" w:sz="0" w:space="0" w:color="auto"/>
            <w:right w:val="none" w:sz="0" w:space="0" w:color="auto"/>
          </w:divBdr>
          <w:divsChild>
            <w:div w:id="9548665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88084806">
      <w:bodyDiv w:val="1"/>
      <w:marLeft w:val="0"/>
      <w:marRight w:val="0"/>
      <w:marTop w:val="0"/>
      <w:marBottom w:val="0"/>
      <w:divBdr>
        <w:top w:val="none" w:sz="0" w:space="0" w:color="auto"/>
        <w:left w:val="none" w:sz="0" w:space="0" w:color="auto"/>
        <w:bottom w:val="none" w:sz="0" w:space="0" w:color="auto"/>
        <w:right w:val="none" w:sz="0" w:space="0" w:color="auto"/>
      </w:divBdr>
      <w:divsChild>
        <w:div w:id="552622472">
          <w:marLeft w:val="0"/>
          <w:marRight w:val="0"/>
          <w:marTop w:val="0"/>
          <w:marBottom w:val="0"/>
          <w:divBdr>
            <w:top w:val="none" w:sz="0" w:space="0" w:color="auto"/>
            <w:left w:val="none" w:sz="0" w:space="0" w:color="auto"/>
            <w:bottom w:val="dotted" w:sz="6" w:space="4" w:color="DDDDDD"/>
            <w:right w:val="none" w:sz="0" w:space="0" w:color="auto"/>
          </w:divBdr>
        </w:div>
      </w:divsChild>
    </w:div>
    <w:div w:id="1788155716">
      <w:bodyDiv w:val="1"/>
      <w:marLeft w:val="0"/>
      <w:marRight w:val="0"/>
      <w:marTop w:val="0"/>
      <w:marBottom w:val="0"/>
      <w:divBdr>
        <w:top w:val="none" w:sz="0" w:space="0" w:color="auto"/>
        <w:left w:val="none" w:sz="0" w:space="0" w:color="auto"/>
        <w:bottom w:val="none" w:sz="0" w:space="0" w:color="auto"/>
        <w:right w:val="none" w:sz="0" w:space="0" w:color="auto"/>
      </w:divBdr>
      <w:divsChild>
        <w:div w:id="1664429615">
          <w:marLeft w:val="0"/>
          <w:marRight w:val="0"/>
          <w:marTop w:val="0"/>
          <w:marBottom w:val="0"/>
          <w:divBdr>
            <w:top w:val="single" w:sz="6" w:space="0" w:color="E5E5E5"/>
            <w:left w:val="none" w:sz="0" w:space="0" w:color="auto"/>
            <w:bottom w:val="single" w:sz="18" w:space="0" w:color="000000"/>
            <w:right w:val="none" w:sz="0" w:space="0" w:color="auto"/>
          </w:divBdr>
          <w:divsChild>
            <w:div w:id="1123959278">
              <w:marLeft w:val="0"/>
              <w:marRight w:val="0"/>
              <w:marTop w:val="0"/>
              <w:marBottom w:val="0"/>
              <w:divBdr>
                <w:top w:val="none" w:sz="0" w:space="0" w:color="auto"/>
                <w:left w:val="none" w:sz="0" w:space="0" w:color="auto"/>
                <w:bottom w:val="none" w:sz="0" w:space="0" w:color="auto"/>
                <w:right w:val="none" w:sz="0" w:space="0" w:color="auto"/>
              </w:divBdr>
              <w:divsChild>
                <w:div w:id="101052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879252">
          <w:marLeft w:val="0"/>
          <w:marRight w:val="0"/>
          <w:marTop w:val="0"/>
          <w:marBottom w:val="0"/>
          <w:divBdr>
            <w:top w:val="none" w:sz="0" w:space="0" w:color="auto"/>
            <w:left w:val="none" w:sz="0" w:space="0" w:color="auto"/>
            <w:bottom w:val="none" w:sz="0" w:space="0" w:color="auto"/>
            <w:right w:val="none" w:sz="0" w:space="0" w:color="auto"/>
          </w:divBdr>
          <w:divsChild>
            <w:div w:id="1190147308">
              <w:marLeft w:val="0"/>
              <w:marRight w:val="0"/>
              <w:marTop w:val="0"/>
              <w:marBottom w:val="0"/>
              <w:divBdr>
                <w:top w:val="none" w:sz="0" w:space="0" w:color="auto"/>
                <w:left w:val="none" w:sz="0" w:space="0" w:color="auto"/>
                <w:bottom w:val="none" w:sz="0" w:space="0" w:color="auto"/>
                <w:right w:val="none" w:sz="0" w:space="0" w:color="auto"/>
              </w:divBdr>
              <w:divsChild>
                <w:div w:id="160968165">
                  <w:marLeft w:val="0"/>
                  <w:marRight w:val="0"/>
                  <w:marTop w:val="0"/>
                  <w:marBottom w:val="0"/>
                  <w:divBdr>
                    <w:top w:val="none" w:sz="0" w:space="0" w:color="auto"/>
                    <w:left w:val="none" w:sz="0" w:space="0" w:color="auto"/>
                    <w:bottom w:val="none" w:sz="0" w:space="0" w:color="auto"/>
                    <w:right w:val="none" w:sz="0" w:space="0" w:color="auto"/>
                  </w:divBdr>
                  <w:divsChild>
                    <w:div w:id="2069498667">
                      <w:marLeft w:val="0"/>
                      <w:marRight w:val="0"/>
                      <w:marTop w:val="0"/>
                      <w:marBottom w:val="300"/>
                      <w:divBdr>
                        <w:top w:val="none" w:sz="0" w:space="0" w:color="auto"/>
                        <w:left w:val="none" w:sz="0" w:space="0" w:color="auto"/>
                        <w:bottom w:val="none" w:sz="0" w:space="0" w:color="auto"/>
                        <w:right w:val="none" w:sz="0" w:space="0" w:color="auto"/>
                      </w:divBdr>
                      <w:divsChild>
                        <w:div w:id="1104502040">
                          <w:marLeft w:val="0"/>
                          <w:marRight w:val="0"/>
                          <w:marTop w:val="0"/>
                          <w:marBottom w:val="225"/>
                          <w:divBdr>
                            <w:top w:val="single" w:sz="6" w:space="11" w:color="E5E5E5"/>
                            <w:left w:val="single" w:sz="6" w:space="11" w:color="E5E5E5"/>
                            <w:bottom w:val="single" w:sz="6" w:space="1" w:color="E5E5E5"/>
                            <w:right w:val="single" w:sz="6" w:space="11" w:color="E5E5E5"/>
                          </w:divBdr>
                          <w:divsChild>
                            <w:div w:id="159805301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788624099">
      <w:bodyDiv w:val="1"/>
      <w:marLeft w:val="0"/>
      <w:marRight w:val="0"/>
      <w:marTop w:val="0"/>
      <w:marBottom w:val="0"/>
      <w:divBdr>
        <w:top w:val="none" w:sz="0" w:space="0" w:color="auto"/>
        <w:left w:val="none" w:sz="0" w:space="0" w:color="auto"/>
        <w:bottom w:val="none" w:sz="0" w:space="0" w:color="auto"/>
        <w:right w:val="none" w:sz="0" w:space="0" w:color="auto"/>
      </w:divBdr>
    </w:div>
    <w:div w:id="1789085745">
      <w:bodyDiv w:val="1"/>
      <w:marLeft w:val="0"/>
      <w:marRight w:val="0"/>
      <w:marTop w:val="0"/>
      <w:marBottom w:val="0"/>
      <w:divBdr>
        <w:top w:val="none" w:sz="0" w:space="0" w:color="auto"/>
        <w:left w:val="none" w:sz="0" w:space="0" w:color="auto"/>
        <w:bottom w:val="none" w:sz="0" w:space="0" w:color="auto"/>
        <w:right w:val="none" w:sz="0" w:space="0" w:color="auto"/>
      </w:divBdr>
      <w:divsChild>
        <w:div w:id="727651282">
          <w:marLeft w:val="0"/>
          <w:marRight w:val="0"/>
          <w:marTop w:val="0"/>
          <w:marBottom w:val="0"/>
          <w:divBdr>
            <w:top w:val="none" w:sz="0" w:space="0" w:color="auto"/>
            <w:left w:val="none" w:sz="0" w:space="0" w:color="auto"/>
            <w:bottom w:val="none" w:sz="0" w:space="0" w:color="auto"/>
            <w:right w:val="none" w:sz="0" w:space="0" w:color="auto"/>
          </w:divBdr>
          <w:divsChild>
            <w:div w:id="678193924">
              <w:marLeft w:val="0"/>
              <w:marRight w:val="0"/>
              <w:marTop w:val="0"/>
              <w:marBottom w:val="0"/>
              <w:divBdr>
                <w:top w:val="none" w:sz="0" w:space="0" w:color="auto"/>
                <w:left w:val="none" w:sz="0" w:space="0" w:color="auto"/>
                <w:bottom w:val="none" w:sz="0" w:space="0" w:color="auto"/>
                <w:right w:val="none" w:sz="0" w:space="0" w:color="auto"/>
              </w:divBdr>
            </w:div>
            <w:div w:id="1587037405">
              <w:marLeft w:val="0"/>
              <w:marRight w:val="0"/>
              <w:marTop w:val="0"/>
              <w:marBottom w:val="150"/>
              <w:divBdr>
                <w:top w:val="none" w:sz="0" w:space="0" w:color="auto"/>
                <w:left w:val="none" w:sz="0" w:space="0" w:color="auto"/>
                <w:bottom w:val="none" w:sz="0" w:space="0" w:color="auto"/>
                <w:right w:val="none" w:sz="0" w:space="0" w:color="auto"/>
              </w:divBdr>
            </w:div>
          </w:divsChild>
        </w:div>
        <w:div w:id="1108817049">
          <w:marLeft w:val="0"/>
          <w:marRight w:val="0"/>
          <w:marTop w:val="0"/>
          <w:marBottom w:val="150"/>
          <w:divBdr>
            <w:top w:val="none" w:sz="0" w:space="0" w:color="auto"/>
            <w:left w:val="none" w:sz="0" w:space="0" w:color="auto"/>
            <w:bottom w:val="none" w:sz="0" w:space="0" w:color="auto"/>
            <w:right w:val="none" w:sz="0" w:space="0" w:color="auto"/>
          </w:divBdr>
          <w:divsChild>
            <w:div w:id="59239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162975">
      <w:bodyDiv w:val="1"/>
      <w:marLeft w:val="0"/>
      <w:marRight w:val="0"/>
      <w:marTop w:val="0"/>
      <w:marBottom w:val="0"/>
      <w:divBdr>
        <w:top w:val="none" w:sz="0" w:space="0" w:color="auto"/>
        <w:left w:val="none" w:sz="0" w:space="0" w:color="auto"/>
        <w:bottom w:val="none" w:sz="0" w:space="0" w:color="auto"/>
        <w:right w:val="none" w:sz="0" w:space="0" w:color="auto"/>
      </w:divBdr>
      <w:divsChild>
        <w:div w:id="360401906">
          <w:marLeft w:val="0"/>
          <w:marRight w:val="0"/>
          <w:marTop w:val="0"/>
          <w:marBottom w:val="0"/>
          <w:divBdr>
            <w:top w:val="none" w:sz="0" w:space="0" w:color="auto"/>
            <w:left w:val="none" w:sz="0" w:space="0" w:color="auto"/>
            <w:bottom w:val="none" w:sz="0" w:space="0" w:color="auto"/>
            <w:right w:val="none" w:sz="0" w:space="0" w:color="auto"/>
          </w:divBdr>
        </w:div>
        <w:div w:id="733284365">
          <w:marLeft w:val="0"/>
          <w:marRight w:val="0"/>
          <w:marTop w:val="0"/>
          <w:marBottom w:val="0"/>
          <w:divBdr>
            <w:top w:val="none" w:sz="0" w:space="0" w:color="auto"/>
            <w:left w:val="none" w:sz="0" w:space="0" w:color="auto"/>
            <w:bottom w:val="none" w:sz="0" w:space="0" w:color="auto"/>
            <w:right w:val="none" w:sz="0" w:space="0" w:color="auto"/>
          </w:divBdr>
          <w:divsChild>
            <w:div w:id="626005840">
              <w:marLeft w:val="0"/>
              <w:marRight w:val="0"/>
              <w:marTop w:val="0"/>
              <w:marBottom w:val="0"/>
              <w:divBdr>
                <w:top w:val="none" w:sz="0" w:space="0" w:color="auto"/>
                <w:left w:val="none" w:sz="0" w:space="0" w:color="auto"/>
                <w:bottom w:val="none" w:sz="0" w:space="0" w:color="auto"/>
                <w:right w:val="none" w:sz="0" w:space="0" w:color="auto"/>
              </w:divBdr>
            </w:div>
            <w:div w:id="161062845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89466721">
      <w:bodyDiv w:val="1"/>
      <w:marLeft w:val="0"/>
      <w:marRight w:val="0"/>
      <w:marTop w:val="0"/>
      <w:marBottom w:val="0"/>
      <w:divBdr>
        <w:top w:val="none" w:sz="0" w:space="0" w:color="auto"/>
        <w:left w:val="none" w:sz="0" w:space="0" w:color="auto"/>
        <w:bottom w:val="none" w:sz="0" w:space="0" w:color="auto"/>
        <w:right w:val="none" w:sz="0" w:space="0" w:color="auto"/>
      </w:divBdr>
      <w:divsChild>
        <w:div w:id="817649963">
          <w:marLeft w:val="0"/>
          <w:marRight w:val="0"/>
          <w:marTop w:val="0"/>
          <w:marBottom w:val="0"/>
          <w:divBdr>
            <w:top w:val="none" w:sz="0" w:space="0" w:color="auto"/>
            <w:left w:val="none" w:sz="0" w:space="0" w:color="auto"/>
            <w:bottom w:val="dotted" w:sz="6" w:space="4" w:color="DDDDDD"/>
            <w:right w:val="none" w:sz="0" w:space="0" w:color="auto"/>
          </w:divBdr>
          <w:divsChild>
            <w:div w:id="105226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78504">
      <w:bodyDiv w:val="1"/>
      <w:marLeft w:val="0"/>
      <w:marRight w:val="0"/>
      <w:marTop w:val="0"/>
      <w:marBottom w:val="0"/>
      <w:divBdr>
        <w:top w:val="none" w:sz="0" w:space="0" w:color="auto"/>
        <w:left w:val="none" w:sz="0" w:space="0" w:color="auto"/>
        <w:bottom w:val="none" w:sz="0" w:space="0" w:color="auto"/>
        <w:right w:val="none" w:sz="0" w:space="0" w:color="auto"/>
      </w:divBdr>
      <w:divsChild>
        <w:div w:id="607586724">
          <w:marLeft w:val="0"/>
          <w:marRight w:val="0"/>
          <w:marTop w:val="0"/>
          <w:marBottom w:val="0"/>
          <w:divBdr>
            <w:top w:val="none" w:sz="0" w:space="0" w:color="auto"/>
            <w:left w:val="none" w:sz="0" w:space="0" w:color="auto"/>
            <w:bottom w:val="none" w:sz="0" w:space="0" w:color="auto"/>
            <w:right w:val="none" w:sz="0" w:space="0" w:color="auto"/>
          </w:divBdr>
          <w:divsChild>
            <w:div w:id="531845430">
              <w:marLeft w:val="0"/>
              <w:marRight w:val="0"/>
              <w:marTop w:val="0"/>
              <w:marBottom w:val="0"/>
              <w:divBdr>
                <w:top w:val="none" w:sz="0" w:space="0" w:color="auto"/>
                <w:left w:val="none" w:sz="0" w:space="0" w:color="auto"/>
                <w:bottom w:val="none" w:sz="0" w:space="0" w:color="auto"/>
                <w:right w:val="none" w:sz="0" w:space="0" w:color="auto"/>
              </w:divBdr>
            </w:div>
          </w:divsChild>
        </w:div>
        <w:div w:id="1471094472">
          <w:marLeft w:val="0"/>
          <w:marRight w:val="0"/>
          <w:marTop w:val="0"/>
          <w:marBottom w:val="150"/>
          <w:divBdr>
            <w:top w:val="none" w:sz="0" w:space="0" w:color="auto"/>
            <w:left w:val="none" w:sz="0" w:space="0" w:color="auto"/>
            <w:bottom w:val="none" w:sz="0" w:space="0" w:color="auto"/>
            <w:right w:val="none" w:sz="0" w:space="0" w:color="auto"/>
          </w:divBdr>
          <w:divsChild>
            <w:div w:id="1668945503">
              <w:marLeft w:val="0"/>
              <w:marRight w:val="0"/>
              <w:marTop w:val="0"/>
              <w:marBottom w:val="0"/>
              <w:divBdr>
                <w:top w:val="none" w:sz="0" w:space="0" w:color="auto"/>
                <w:left w:val="none" w:sz="0" w:space="0" w:color="auto"/>
                <w:bottom w:val="none" w:sz="0" w:space="0" w:color="auto"/>
                <w:right w:val="none" w:sz="0" w:space="0" w:color="auto"/>
              </w:divBdr>
            </w:div>
          </w:divsChild>
        </w:div>
        <w:div w:id="1978025521">
          <w:marLeft w:val="0"/>
          <w:marRight w:val="0"/>
          <w:marTop w:val="0"/>
          <w:marBottom w:val="150"/>
          <w:divBdr>
            <w:top w:val="none" w:sz="0" w:space="0" w:color="auto"/>
            <w:left w:val="none" w:sz="0" w:space="0" w:color="auto"/>
            <w:bottom w:val="none" w:sz="0" w:space="0" w:color="auto"/>
            <w:right w:val="none" w:sz="0" w:space="0" w:color="auto"/>
          </w:divBdr>
        </w:div>
      </w:divsChild>
    </w:div>
    <w:div w:id="1790515077">
      <w:bodyDiv w:val="1"/>
      <w:marLeft w:val="0"/>
      <w:marRight w:val="0"/>
      <w:marTop w:val="0"/>
      <w:marBottom w:val="0"/>
      <w:divBdr>
        <w:top w:val="none" w:sz="0" w:space="0" w:color="auto"/>
        <w:left w:val="none" w:sz="0" w:space="0" w:color="auto"/>
        <w:bottom w:val="none" w:sz="0" w:space="0" w:color="auto"/>
        <w:right w:val="none" w:sz="0" w:space="0" w:color="auto"/>
      </w:divBdr>
    </w:div>
    <w:div w:id="1790582456">
      <w:bodyDiv w:val="1"/>
      <w:marLeft w:val="0"/>
      <w:marRight w:val="0"/>
      <w:marTop w:val="0"/>
      <w:marBottom w:val="0"/>
      <w:divBdr>
        <w:top w:val="none" w:sz="0" w:space="0" w:color="auto"/>
        <w:left w:val="none" w:sz="0" w:space="0" w:color="auto"/>
        <w:bottom w:val="none" w:sz="0" w:space="0" w:color="auto"/>
        <w:right w:val="none" w:sz="0" w:space="0" w:color="auto"/>
      </w:divBdr>
      <w:divsChild>
        <w:div w:id="1415667688">
          <w:marLeft w:val="0"/>
          <w:marRight w:val="0"/>
          <w:marTop w:val="0"/>
          <w:marBottom w:val="0"/>
          <w:divBdr>
            <w:top w:val="none" w:sz="0" w:space="0" w:color="auto"/>
            <w:left w:val="none" w:sz="0" w:space="0" w:color="auto"/>
            <w:bottom w:val="none" w:sz="0" w:space="0" w:color="auto"/>
            <w:right w:val="none" w:sz="0" w:space="0" w:color="auto"/>
          </w:divBdr>
          <w:divsChild>
            <w:div w:id="1622103398">
              <w:marLeft w:val="0"/>
              <w:marRight w:val="0"/>
              <w:marTop w:val="0"/>
              <w:marBottom w:val="0"/>
              <w:divBdr>
                <w:top w:val="none" w:sz="0" w:space="0" w:color="auto"/>
                <w:left w:val="none" w:sz="0" w:space="0" w:color="auto"/>
                <w:bottom w:val="none" w:sz="0" w:space="0" w:color="auto"/>
                <w:right w:val="none" w:sz="0" w:space="0" w:color="auto"/>
              </w:divBdr>
              <w:divsChild>
                <w:div w:id="2095780698">
                  <w:marLeft w:val="0"/>
                  <w:marRight w:val="0"/>
                  <w:marTop w:val="0"/>
                  <w:marBottom w:val="0"/>
                  <w:divBdr>
                    <w:top w:val="none" w:sz="0" w:space="0" w:color="auto"/>
                    <w:left w:val="none" w:sz="0" w:space="0" w:color="auto"/>
                    <w:bottom w:val="none" w:sz="0" w:space="0" w:color="auto"/>
                    <w:right w:val="none" w:sz="0" w:space="0" w:color="auto"/>
                  </w:divBdr>
                  <w:divsChild>
                    <w:div w:id="115606525">
                      <w:marLeft w:val="0"/>
                      <w:marRight w:val="0"/>
                      <w:marTop w:val="0"/>
                      <w:marBottom w:val="0"/>
                      <w:divBdr>
                        <w:top w:val="none" w:sz="0" w:space="0" w:color="auto"/>
                        <w:left w:val="none" w:sz="0" w:space="0" w:color="auto"/>
                        <w:bottom w:val="none" w:sz="0" w:space="0" w:color="auto"/>
                        <w:right w:val="none" w:sz="0" w:space="0" w:color="auto"/>
                      </w:divBdr>
                      <w:divsChild>
                        <w:div w:id="391585667">
                          <w:marLeft w:val="0"/>
                          <w:marRight w:val="0"/>
                          <w:marTop w:val="0"/>
                          <w:marBottom w:val="0"/>
                          <w:divBdr>
                            <w:top w:val="none" w:sz="0" w:space="0" w:color="auto"/>
                            <w:left w:val="none" w:sz="0" w:space="0" w:color="auto"/>
                            <w:bottom w:val="none" w:sz="0" w:space="0" w:color="auto"/>
                            <w:right w:val="none" w:sz="0" w:space="0" w:color="auto"/>
                          </w:divBdr>
                          <w:divsChild>
                            <w:div w:id="1984970657">
                              <w:marLeft w:val="0"/>
                              <w:marRight w:val="0"/>
                              <w:marTop w:val="0"/>
                              <w:marBottom w:val="0"/>
                              <w:divBdr>
                                <w:top w:val="none" w:sz="0" w:space="0" w:color="auto"/>
                                <w:left w:val="none" w:sz="0" w:space="0" w:color="auto"/>
                                <w:bottom w:val="none" w:sz="0" w:space="0" w:color="auto"/>
                                <w:right w:val="none" w:sz="0" w:space="0" w:color="auto"/>
                              </w:divBdr>
                              <w:divsChild>
                                <w:div w:id="1596280200">
                                  <w:marLeft w:val="0"/>
                                  <w:marRight w:val="0"/>
                                  <w:marTop w:val="0"/>
                                  <w:marBottom w:val="0"/>
                                  <w:divBdr>
                                    <w:top w:val="none" w:sz="0" w:space="0" w:color="auto"/>
                                    <w:left w:val="none" w:sz="0" w:space="0" w:color="auto"/>
                                    <w:bottom w:val="none" w:sz="0" w:space="0" w:color="auto"/>
                                    <w:right w:val="none" w:sz="0" w:space="0" w:color="auto"/>
                                  </w:divBdr>
                                  <w:divsChild>
                                    <w:div w:id="1666665313">
                                      <w:marLeft w:val="0"/>
                                      <w:marRight w:val="0"/>
                                      <w:marTop w:val="0"/>
                                      <w:marBottom w:val="0"/>
                                      <w:divBdr>
                                        <w:top w:val="none" w:sz="0" w:space="0" w:color="auto"/>
                                        <w:left w:val="none" w:sz="0" w:space="0" w:color="auto"/>
                                        <w:bottom w:val="none" w:sz="0" w:space="0" w:color="auto"/>
                                        <w:right w:val="none" w:sz="0" w:space="0" w:color="auto"/>
                                      </w:divBdr>
                                      <w:divsChild>
                                        <w:div w:id="158958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0665740">
      <w:bodyDiv w:val="1"/>
      <w:marLeft w:val="0"/>
      <w:marRight w:val="0"/>
      <w:marTop w:val="0"/>
      <w:marBottom w:val="0"/>
      <w:divBdr>
        <w:top w:val="none" w:sz="0" w:space="0" w:color="auto"/>
        <w:left w:val="none" w:sz="0" w:space="0" w:color="auto"/>
        <w:bottom w:val="none" w:sz="0" w:space="0" w:color="auto"/>
        <w:right w:val="none" w:sz="0" w:space="0" w:color="auto"/>
      </w:divBdr>
      <w:divsChild>
        <w:div w:id="291137853">
          <w:marLeft w:val="0"/>
          <w:marRight w:val="0"/>
          <w:marTop w:val="0"/>
          <w:marBottom w:val="0"/>
          <w:divBdr>
            <w:top w:val="none" w:sz="0" w:space="0" w:color="auto"/>
            <w:left w:val="none" w:sz="0" w:space="0" w:color="auto"/>
            <w:bottom w:val="none" w:sz="0" w:space="0" w:color="auto"/>
            <w:right w:val="none" w:sz="0" w:space="0" w:color="auto"/>
          </w:divBdr>
          <w:divsChild>
            <w:div w:id="196962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66341">
      <w:bodyDiv w:val="1"/>
      <w:marLeft w:val="0"/>
      <w:marRight w:val="0"/>
      <w:marTop w:val="0"/>
      <w:marBottom w:val="0"/>
      <w:divBdr>
        <w:top w:val="none" w:sz="0" w:space="0" w:color="auto"/>
        <w:left w:val="none" w:sz="0" w:space="0" w:color="auto"/>
        <w:bottom w:val="none" w:sz="0" w:space="0" w:color="auto"/>
        <w:right w:val="none" w:sz="0" w:space="0" w:color="auto"/>
      </w:divBdr>
      <w:divsChild>
        <w:div w:id="691153889">
          <w:marLeft w:val="0"/>
          <w:marRight w:val="0"/>
          <w:marTop w:val="0"/>
          <w:marBottom w:val="0"/>
          <w:divBdr>
            <w:top w:val="none" w:sz="0" w:space="0" w:color="auto"/>
            <w:left w:val="none" w:sz="0" w:space="0" w:color="auto"/>
            <w:bottom w:val="none" w:sz="0" w:space="0" w:color="auto"/>
            <w:right w:val="none" w:sz="0" w:space="0" w:color="auto"/>
          </w:divBdr>
          <w:divsChild>
            <w:div w:id="1259947027">
              <w:marLeft w:val="0"/>
              <w:marRight w:val="0"/>
              <w:marTop w:val="0"/>
              <w:marBottom w:val="0"/>
              <w:divBdr>
                <w:top w:val="none" w:sz="0" w:space="0" w:color="auto"/>
                <w:left w:val="none" w:sz="0" w:space="0" w:color="auto"/>
                <w:bottom w:val="none" w:sz="0" w:space="0" w:color="auto"/>
                <w:right w:val="none" w:sz="0" w:space="0" w:color="auto"/>
              </w:divBdr>
              <w:divsChild>
                <w:div w:id="113985967">
                  <w:marLeft w:val="0"/>
                  <w:marRight w:val="0"/>
                  <w:marTop w:val="0"/>
                  <w:marBottom w:val="0"/>
                  <w:divBdr>
                    <w:top w:val="none" w:sz="0" w:space="0" w:color="auto"/>
                    <w:left w:val="none" w:sz="0" w:space="0" w:color="auto"/>
                    <w:bottom w:val="none" w:sz="0" w:space="0" w:color="auto"/>
                    <w:right w:val="none" w:sz="0" w:space="0" w:color="auto"/>
                  </w:divBdr>
                  <w:divsChild>
                    <w:div w:id="269824370">
                      <w:marLeft w:val="0"/>
                      <w:marRight w:val="0"/>
                      <w:marTop w:val="0"/>
                      <w:marBottom w:val="0"/>
                      <w:divBdr>
                        <w:top w:val="none" w:sz="0" w:space="0" w:color="auto"/>
                        <w:left w:val="none" w:sz="0" w:space="0" w:color="auto"/>
                        <w:bottom w:val="none" w:sz="0" w:space="0" w:color="auto"/>
                        <w:right w:val="none" w:sz="0" w:space="0" w:color="auto"/>
                      </w:divBdr>
                      <w:divsChild>
                        <w:div w:id="992485035">
                          <w:marLeft w:val="0"/>
                          <w:marRight w:val="0"/>
                          <w:marTop w:val="0"/>
                          <w:marBottom w:val="0"/>
                          <w:divBdr>
                            <w:top w:val="none" w:sz="0" w:space="0" w:color="auto"/>
                            <w:left w:val="none" w:sz="0" w:space="0" w:color="auto"/>
                            <w:bottom w:val="none" w:sz="0" w:space="0" w:color="auto"/>
                            <w:right w:val="none" w:sz="0" w:space="0" w:color="auto"/>
                          </w:divBdr>
                          <w:divsChild>
                            <w:div w:id="657803637">
                              <w:marLeft w:val="0"/>
                              <w:marRight w:val="0"/>
                              <w:marTop w:val="0"/>
                              <w:marBottom w:val="0"/>
                              <w:divBdr>
                                <w:top w:val="none" w:sz="0" w:space="0" w:color="auto"/>
                                <w:left w:val="none" w:sz="0" w:space="0" w:color="auto"/>
                                <w:bottom w:val="none" w:sz="0" w:space="0" w:color="auto"/>
                                <w:right w:val="none" w:sz="0" w:space="0" w:color="auto"/>
                              </w:divBdr>
                              <w:divsChild>
                                <w:div w:id="1185747166">
                                  <w:marLeft w:val="0"/>
                                  <w:marRight w:val="0"/>
                                  <w:marTop w:val="0"/>
                                  <w:marBottom w:val="0"/>
                                  <w:divBdr>
                                    <w:top w:val="none" w:sz="0" w:space="0" w:color="auto"/>
                                    <w:left w:val="none" w:sz="0" w:space="0" w:color="auto"/>
                                    <w:bottom w:val="none" w:sz="0" w:space="0" w:color="auto"/>
                                    <w:right w:val="none" w:sz="0" w:space="0" w:color="auto"/>
                                  </w:divBdr>
                                  <w:divsChild>
                                    <w:div w:id="1681618731">
                                      <w:marLeft w:val="0"/>
                                      <w:marRight w:val="0"/>
                                      <w:marTop w:val="0"/>
                                      <w:marBottom w:val="0"/>
                                      <w:divBdr>
                                        <w:top w:val="none" w:sz="0" w:space="0" w:color="auto"/>
                                        <w:left w:val="none" w:sz="0" w:space="0" w:color="auto"/>
                                        <w:bottom w:val="none" w:sz="0" w:space="0" w:color="auto"/>
                                        <w:right w:val="none" w:sz="0" w:space="0" w:color="auto"/>
                                      </w:divBdr>
                                      <w:divsChild>
                                        <w:div w:id="114989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1436345">
      <w:bodyDiv w:val="1"/>
      <w:marLeft w:val="0"/>
      <w:marRight w:val="0"/>
      <w:marTop w:val="0"/>
      <w:marBottom w:val="0"/>
      <w:divBdr>
        <w:top w:val="none" w:sz="0" w:space="0" w:color="auto"/>
        <w:left w:val="none" w:sz="0" w:space="0" w:color="auto"/>
        <w:bottom w:val="none" w:sz="0" w:space="0" w:color="auto"/>
        <w:right w:val="none" w:sz="0" w:space="0" w:color="auto"/>
      </w:divBdr>
      <w:divsChild>
        <w:div w:id="1152479333">
          <w:marLeft w:val="0"/>
          <w:marRight w:val="0"/>
          <w:marTop w:val="0"/>
          <w:marBottom w:val="0"/>
          <w:divBdr>
            <w:top w:val="none" w:sz="0" w:space="0" w:color="auto"/>
            <w:left w:val="none" w:sz="0" w:space="0" w:color="auto"/>
            <w:bottom w:val="dotted" w:sz="6" w:space="4" w:color="DDDDDD"/>
            <w:right w:val="none" w:sz="0" w:space="0" w:color="auto"/>
          </w:divBdr>
        </w:div>
      </w:divsChild>
    </w:div>
    <w:div w:id="1791438021">
      <w:bodyDiv w:val="1"/>
      <w:marLeft w:val="0"/>
      <w:marRight w:val="0"/>
      <w:marTop w:val="0"/>
      <w:marBottom w:val="0"/>
      <w:divBdr>
        <w:top w:val="none" w:sz="0" w:space="0" w:color="auto"/>
        <w:left w:val="none" w:sz="0" w:space="0" w:color="auto"/>
        <w:bottom w:val="none" w:sz="0" w:space="0" w:color="auto"/>
        <w:right w:val="none" w:sz="0" w:space="0" w:color="auto"/>
      </w:divBdr>
      <w:divsChild>
        <w:div w:id="1943223229">
          <w:marLeft w:val="0"/>
          <w:marRight w:val="0"/>
          <w:marTop w:val="0"/>
          <w:marBottom w:val="0"/>
          <w:divBdr>
            <w:top w:val="none" w:sz="0" w:space="0" w:color="auto"/>
            <w:left w:val="none" w:sz="0" w:space="0" w:color="auto"/>
            <w:bottom w:val="none" w:sz="0" w:space="0" w:color="auto"/>
            <w:right w:val="none" w:sz="0" w:space="0" w:color="auto"/>
          </w:divBdr>
        </w:div>
        <w:div w:id="1229225143">
          <w:marLeft w:val="0"/>
          <w:marRight w:val="0"/>
          <w:marTop w:val="0"/>
          <w:marBottom w:val="0"/>
          <w:divBdr>
            <w:top w:val="none" w:sz="0" w:space="0" w:color="auto"/>
            <w:left w:val="none" w:sz="0" w:space="0" w:color="auto"/>
            <w:bottom w:val="none" w:sz="0" w:space="0" w:color="auto"/>
            <w:right w:val="none" w:sz="0" w:space="0" w:color="auto"/>
          </w:divBdr>
        </w:div>
        <w:div w:id="474026338">
          <w:marLeft w:val="0"/>
          <w:marRight w:val="0"/>
          <w:marTop w:val="0"/>
          <w:marBottom w:val="0"/>
          <w:divBdr>
            <w:top w:val="none" w:sz="0" w:space="0" w:color="auto"/>
            <w:left w:val="none" w:sz="0" w:space="0" w:color="auto"/>
            <w:bottom w:val="none" w:sz="0" w:space="0" w:color="auto"/>
            <w:right w:val="none" w:sz="0" w:space="0" w:color="auto"/>
          </w:divBdr>
          <w:divsChild>
            <w:div w:id="1334138663">
              <w:marLeft w:val="0"/>
              <w:marRight w:val="0"/>
              <w:marTop w:val="0"/>
              <w:marBottom w:val="0"/>
              <w:divBdr>
                <w:top w:val="none" w:sz="0" w:space="0" w:color="auto"/>
                <w:left w:val="none" w:sz="0" w:space="0" w:color="auto"/>
                <w:bottom w:val="none" w:sz="0" w:space="0" w:color="auto"/>
                <w:right w:val="none" w:sz="0" w:space="0" w:color="auto"/>
              </w:divBdr>
              <w:divsChild>
                <w:div w:id="41753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968555">
      <w:bodyDiv w:val="1"/>
      <w:marLeft w:val="0"/>
      <w:marRight w:val="0"/>
      <w:marTop w:val="0"/>
      <w:marBottom w:val="0"/>
      <w:divBdr>
        <w:top w:val="none" w:sz="0" w:space="0" w:color="auto"/>
        <w:left w:val="none" w:sz="0" w:space="0" w:color="auto"/>
        <w:bottom w:val="none" w:sz="0" w:space="0" w:color="auto"/>
        <w:right w:val="none" w:sz="0" w:space="0" w:color="auto"/>
      </w:divBdr>
      <w:divsChild>
        <w:div w:id="1884905623">
          <w:marLeft w:val="0"/>
          <w:marRight w:val="0"/>
          <w:marTop w:val="150"/>
          <w:marBottom w:val="0"/>
          <w:divBdr>
            <w:top w:val="none" w:sz="0" w:space="0" w:color="auto"/>
            <w:left w:val="none" w:sz="0" w:space="0" w:color="auto"/>
            <w:bottom w:val="none" w:sz="0" w:space="0" w:color="auto"/>
            <w:right w:val="none" w:sz="0" w:space="0" w:color="auto"/>
          </w:divBdr>
          <w:divsChild>
            <w:div w:id="397829283">
              <w:marLeft w:val="0"/>
              <w:marRight w:val="0"/>
              <w:marTop w:val="0"/>
              <w:marBottom w:val="0"/>
              <w:divBdr>
                <w:top w:val="none" w:sz="0" w:space="0" w:color="auto"/>
                <w:left w:val="none" w:sz="0" w:space="0" w:color="auto"/>
                <w:bottom w:val="single" w:sz="6" w:space="0" w:color="EFEFEF"/>
                <w:right w:val="none" w:sz="0" w:space="0" w:color="auto"/>
              </w:divBdr>
              <w:divsChild>
                <w:div w:id="830755780">
                  <w:marLeft w:val="0"/>
                  <w:marRight w:val="0"/>
                  <w:marTop w:val="0"/>
                  <w:marBottom w:val="0"/>
                  <w:divBdr>
                    <w:top w:val="none" w:sz="0" w:space="0" w:color="auto"/>
                    <w:left w:val="none" w:sz="0" w:space="0" w:color="auto"/>
                    <w:bottom w:val="none" w:sz="0" w:space="0" w:color="auto"/>
                    <w:right w:val="none" w:sz="0" w:space="0" w:color="auto"/>
                  </w:divBdr>
                </w:div>
                <w:div w:id="134705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760806">
          <w:marLeft w:val="0"/>
          <w:marRight w:val="0"/>
          <w:marTop w:val="300"/>
          <w:marBottom w:val="0"/>
          <w:divBdr>
            <w:top w:val="none" w:sz="0" w:space="0" w:color="auto"/>
            <w:left w:val="none" w:sz="0" w:space="0" w:color="auto"/>
            <w:bottom w:val="none" w:sz="0" w:space="0" w:color="auto"/>
            <w:right w:val="none" w:sz="0" w:space="0" w:color="auto"/>
          </w:divBdr>
          <w:divsChild>
            <w:div w:id="1037507372">
              <w:marLeft w:val="-1350"/>
              <w:marRight w:val="0"/>
              <w:marTop w:val="0"/>
              <w:marBottom w:val="0"/>
              <w:divBdr>
                <w:top w:val="none" w:sz="0" w:space="0" w:color="auto"/>
                <w:left w:val="none" w:sz="0" w:space="0" w:color="auto"/>
                <w:bottom w:val="none" w:sz="0" w:space="0" w:color="auto"/>
                <w:right w:val="none" w:sz="0" w:space="0" w:color="auto"/>
              </w:divBdr>
              <w:divsChild>
                <w:div w:id="1274246734">
                  <w:marLeft w:val="0"/>
                  <w:marRight w:val="0"/>
                  <w:marTop w:val="0"/>
                  <w:marBottom w:val="0"/>
                  <w:divBdr>
                    <w:top w:val="none" w:sz="0" w:space="0" w:color="auto"/>
                    <w:left w:val="none" w:sz="0" w:space="0" w:color="auto"/>
                    <w:bottom w:val="none" w:sz="0" w:space="0" w:color="auto"/>
                    <w:right w:val="none" w:sz="0" w:space="0" w:color="auto"/>
                  </w:divBdr>
                  <w:divsChild>
                    <w:div w:id="748966733">
                      <w:marLeft w:val="0"/>
                      <w:marRight w:val="0"/>
                      <w:marTop w:val="0"/>
                      <w:marBottom w:val="0"/>
                      <w:divBdr>
                        <w:top w:val="none" w:sz="0" w:space="0" w:color="auto"/>
                        <w:left w:val="none" w:sz="0" w:space="0" w:color="auto"/>
                        <w:bottom w:val="none" w:sz="0" w:space="0" w:color="auto"/>
                        <w:right w:val="none" w:sz="0" w:space="0" w:color="auto"/>
                      </w:divBdr>
                      <w:divsChild>
                        <w:div w:id="1158959731">
                          <w:marLeft w:val="0"/>
                          <w:marRight w:val="0"/>
                          <w:marTop w:val="0"/>
                          <w:marBottom w:val="0"/>
                          <w:divBdr>
                            <w:top w:val="single" w:sz="6" w:space="0" w:color="C7C7C7"/>
                            <w:left w:val="single" w:sz="6" w:space="0" w:color="C7C7C7"/>
                            <w:bottom w:val="single" w:sz="6" w:space="0" w:color="C7C7C7"/>
                            <w:right w:val="single" w:sz="6" w:space="0" w:color="C7C7C7"/>
                          </w:divBdr>
                          <w:divsChild>
                            <w:div w:id="91634224">
                              <w:marLeft w:val="0"/>
                              <w:marRight w:val="0"/>
                              <w:marTop w:val="100"/>
                              <w:marBottom w:val="100"/>
                              <w:divBdr>
                                <w:top w:val="none" w:sz="0" w:space="11" w:color="auto"/>
                                <w:left w:val="none" w:sz="0" w:space="0" w:color="auto"/>
                                <w:bottom w:val="single" w:sz="6" w:space="11" w:color="C7C7C7"/>
                                <w:right w:val="none" w:sz="0" w:space="0" w:color="auto"/>
                              </w:divBdr>
                            </w:div>
                            <w:div w:id="662661989">
                              <w:marLeft w:val="0"/>
                              <w:marRight w:val="0"/>
                              <w:marTop w:val="100"/>
                              <w:marBottom w:val="100"/>
                              <w:divBdr>
                                <w:top w:val="none" w:sz="0" w:space="11" w:color="auto"/>
                                <w:left w:val="none" w:sz="0" w:space="0" w:color="auto"/>
                                <w:bottom w:val="single" w:sz="6" w:space="11" w:color="C7C7C7"/>
                                <w:right w:val="none" w:sz="0" w:space="0" w:color="auto"/>
                              </w:divBdr>
                            </w:div>
                            <w:div w:id="978150090">
                              <w:marLeft w:val="0"/>
                              <w:marRight w:val="0"/>
                              <w:marTop w:val="100"/>
                              <w:marBottom w:val="100"/>
                              <w:divBdr>
                                <w:top w:val="none" w:sz="0" w:space="11" w:color="auto"/>
                                <w:left w:val="none" w:sz="0" w:space="0" w:color="auto"/>
                                <w:bottom w:val="single" w:sz="6" w:space="11" w:color="C7C7C7"/>
                                <w:right w:val="none" w:sz="0" w:space="0" w:color="auto"/>
                              </w:divBdr>
                            </w:div>
                            <w:div w:id="164712636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815877486">
              <w:marLeft w:val="0"/>
              <w:marRight w:val="0"/>
              <w:marTop w:val="0"/>
              <w:marBottom w:val="0"/>
              <w:divBdr>
                <w:top w:val="none" w:sz="0" w:space="0" w:color="auto"/>
                <w:left w:val="none" w:sz="0" w:space="0" w:color="auto"/>
                <w:bottom w:val="none" w:sz="0" w:space="0" w:color="auto"/>
                <w:right w:val="none" w:sz="0" w:space="0" w:color="auto"/>
              </w:divBdr>
              <w:divsChild>
                <w:div w:id="134958895">
                  <w:marLeft w:val="0"/>
                  <w:marRight w:val="0"/>
                  <w:marTop w:val="0"/>
                  <w:marBottom w:val="0"/>
                  <w:divBdr>
                    <w:top w:val="none" w:sz="0" w:space="0" w:color="auto"/>
                    <w:left w:val="none" w:sz="0" w:space="0" w:color="auto"/>
                    <w:bottom w:val="none" w:sz="0" w:space="0" w:color="auto"/>
                    <w:right w:val="none" w:sz="0" w:space="0" w:color="auto"/>
                  </w:divBdr>
                  <w:divsChild>
                    <w:div w:id="1837452291">
                      <w:marLeft w:val="0"/>
                      <w:marRight w:val="0"/>
                      <w:marTop w:val="0"/>
                      <w:marBottom w:val="0"/>
                      <w:divBdr>
                        <w:top w:val="none" w:sz="0" w:space="0" w:color="auto"/>
                        <w:left w:val="none" w:sz="0" w:space="0" w:color="auto"/>
                        <w:bottom w:val="none" w:sz="0" w:space="0" w:color="auto"/>
                        <w:right w:val="none" w:sz="0" w:space="0" w:color="auto"/>
                      </w:divBdr>
                    </w:div>
                  </w:divsChild>
                </w:div>
                <w:div w:id="1106577848">
                  <w:marLeft w:val="0"/>
                  <w:marRight w:val="0"/>
                  <w:marTop w:val="150"/>
                  <w:marBottom w:val="0"/>
                  <w:divBdr>
                    <w:top w:val="none" w:sz="0" w:space="0" w:color="auto"/>
                    <w:left w:val="none" w:sz="0" w:space="0" w:color="auto"/>
                    <w:bottom w:val="none" w:sz="0" w:space="0" w:color="auto"/>
                    <w:right w:val="none" w:sz="0" w:space="0" w:color="auto"/>
                  </w:divBdr>
                  <w:divsChild>
                    <w:div w:id="1676149815">
                      <w:marLeft w:val="0"/>
                      <w:marRight w:val="0"/>
                      <w:marTop w:val="0"/>
                      <w:marBottom w:val="0"/>
                      <w:divBdr>
                        <w:top w:val="none" w:sz="0" w:space="0" w:color="auto"/>
                        <w:left w:val="none" w:sz="0" w:space="0" w:color="auto"/>
                        <w:bottom w:val="none" w:sz="0" w:space="0" w:color="auto"/>
                        <w:right w:val="none" w:sz="0" w:space="0" w:color="auto"/>
                      </w:divBdr>
                      <w:divsChild>
                        <w:div w:id="5447088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1976009">
      <w:bodyDiv w:val="1"/>
      <w:marLeft w:val="0"/>
      <w:marRight w:val="0"/>
      <w:marTop w:val="0"/>
      <w:marBottom w:val="0"/>
      <w:divBdr>
        <w:top w:val="none" w:sz="0" w:space="0" w:color="auto"/>
        <w:left w:val="none" w:sz="0" w:space="0" w:color="auto"/>
        <w:bottom w:val="none" w:sz="0" w:space="0" w:color="auto"/>
        <w:right w:val="none" w:sz="0" w:space="0" w:color="auto"/>
      </w:divBdr>
      <w:divsChild>
        <w:div w:id="405810455">
          <w:marLeft w:val="0"/>
          <w:marRight w:val="0"/>
          <w:marTop w:val="0"/>
          <w:marBottom w:val="150"/>
          <w:divBdr>
            <w:top w:val="none" w:sz="0" w:space="0" w:color="auto"/>
            <w:left w:val="none" w:sz="0" w:space="0" w:color="auto"/>
            <w:bottom w:val="none" w:sz="0" w:space="0" w:color="auto"/>
            <w:right w:val="none" w:sz="0" w:space="0" w:color="auto"/>
          </w:divBdr>
        </w:div>
        <w:div w:id="970554691">
          <w:marLeft w:val="0"/>
          <w:marRight w:val="0"/>
          <w:marTop w:val="0"/>
          <w:marBottom w:val="150"/>
          <w:divBdr>
            <w:top w:val="none" w:sz="0" w:space="0" w:color="auto"/>
            <w:left w:val="none" w:sz="0" w:space="0" w:color="auto"/>
            <w:bottom w:val="none" w:sz="0" w:space="0" w:color="auto"/>
            <w:right w:val="none" w:sz="0" w:space="0" w:color="auto"/>
          </w:divBdr>
        </w:div>
        <w:div w:id="976296641">
          <w:marLeft w:val="0"/>
          <w:marRight w:val="0"/>
          <w:marTop w:val="0"/>
          <w:marBottom w:val="150"/>
          <w:divBdr>
            <w:top w:val="none" w:sz="0" w:space="0" w:color="auto"/>
            <w:left w:val="none" w:sz="0" w:space="0" w:color="auto"/>
            <w:bottom w:val="none" w:sz="0" w:space="0" w:color="auto"/>
            <w:right w:val="none" w:sz="0" w:space="0" w:color="auto"/>
          </w:divBdr>
        </w:div>
        <w:div w:id="1451969362">
          <w:marLeft w:val="0"/>
          <w:marRight w:val="0"/>
          <w:marTop w:val="0"/>
          <w:marBottom w:val="150"/>
          <w:divBdr>
            <w:top w:val="none" w:sz="0" w:space="0" w:color="auto"/>
            <w:left w:val="none" w:sz="0" w:space="0" w:color="auto"/>
            <w:bottom w:val="none" w:sz="0" w:space="0" w:color="auto"/>
            <w:right w:val="none" w:sz="0" w:space="0" w:color="auto"/>
          </w:divBdr>
        </w:div>
        <w:div w:id="1696036837">
          <w:marLeft w:val="0"/>
          <w:marRight w:val="0"/>
          <w:marTop w:val="0"/>
          <w:marBottom w:val="150"/>
          <w:divBdr>
            <w:top w:val="none" w:sz="0" w:space="0" w:color="auto"/>
            <w:left w:val="none" w:sz="0" w:space="0" w:color="auto"/>
            <w:bottom w:val="none" w:sz="0" w:space="0" w:color="auto"/>
            <w:right w:val="none" w:sz="0" w:space="0" w:color="auto"/>
          </w:divBdr>
        </w:div>
        <w:div w:id="1780055572">
          <w:marLeft w:val="0"/>
          <w:marRight w:val="0"/>
          <w:marTop w:val="0"/>
          <w:marBottom w:val="150"/>
          <w:divBdr>
            <w:top w:val="none" w:sz="0" w:space="0" w:color="auto"/>
            <w:left w:val="none" w:sz="0" w:space="0" w:color="auto"/>
            <w:bottom w:val="none" w:sz="0" w:space="0" w:color="auto"/>
            <w:right w:val="none" w:sz="0" w:space="0" w:color="auto"/>
          </w:divBdr>
        </w:div>
      </w:divsChild>
    </w:div>
    <w:div w:id="1792630190">
      <w:bodyDiv w:val="1"/>
      <w:marLeft w:val="0"/>
      <w:marRight w:val="0"/>
      <w:marTop w:val="0"/>
      <w:marBottom w:val="0"/>
      <w:divBdr>
        <w:top w:val="none" w:sz="0" w:space="0" w:color="auto"/>
        <w:left w:val="none" w:sz="0" w:space="0" w:color="auto"/>
        <w:bottom w:val="none" w:sz="0" w:space="0" w:color="auto"/>
        <w:right w:val="none" w:sz="0" w:space="0" w:color="auto"/>
      </w:divBdr>
      <w:divsChild>
        <w:div w:id="545871357">
          <w:marLeft w:val="0"/>
          <w:marRight w:val="0"/>
          <w:marTop w:val="0"/>
          <w:marBottom w:val="0"/>
          <w:divBdr>
            <w:top w:val="none" w:sz="0" w:space="0" w:color="auto"/>
            <w:left w:val="none" w:sz="0" w:space="0" w:color="auto"/>
            <w:bottom w:val="none" w:sz="0" w:space="0" w:color="auto"/>
            <w:right w:val="none" w:sz="0" w:space="0" w:color="auto"/>
          </w:divBdr>
          <w:divsChild>
            <w:div w:id="51856139">
              <w:marLeft w:val="0"/>
              <w:marRight w:val="0"/>
              <w:marTop w:val="0"/>
              <w:marBottom w:val="0"/>
              <w:divBdr>
                <w:top w:val="none" w:sz="0" w:space="0" w:color="auto"/>
                <w:left w:val="none" w:sz="0" w:space="0" w:color="auto"/>
                <w:bottom w:val="none" w:sz="0" w:space="0" w:color="auto"/>
                <w:right w:val="none" w:sz="0" w:space="0" w:color="auto"/>
              </w:divBdr>
            </w:div>
          </w:divsChild>
        </w:div>
        <w:div w:id="1445345097">
          <w:marLeft w:val="0"/>
          <w:marRight w:val="0"/>
          <w:marTop w:val="150"/>
          <w:marBottom w:val="0"/>
          <w:divBdr>
            <w:top w:val="none" w:sz="0" w:space="0" w:color="auto"/>
            <w:left w:val="none" w:sz="0" w:space="0" w:color="auto"/>
            <w:bottom w:val="none" w:sz="0" w:space="0" w:color="auto"/>
            <w:right w:val="none" w:sz="0" w:space="0" w:color="auto"/>
          </w:divBdr>
          <w:divsChild>
            <w:div w:id="998312486">
              <w:marLeft w:val="0"/>
              <w:marRight w:val="0"/>
              <w:marTop w:val="0"/>
              <w:marBottom w:val="0"/>
              <w:divBdr>
                <w:top w:val="none" w:sz="0" w:space="0" w:color="auto"/>
                <w:left w:val="none" w:sz="0" w:space="0" w:color="auto"/>
                <w:bottom w:val="none" w:sz="0" w:space="0" w:color="auto"/>
                <w:right w:val="none" w:sz="0" w:space="0" w:color="auto"/>
              </w:divBdr>
              <w:divsChild>
                <w:div w:id="354234850">
                  <w:marLeft w:val="75"/>
                  <w:marRight w:val="0"/>
                  <w:marTop w:val="0"/>
                  <w:marBottom w:val="0"/>
                  <w:divBdr>
                    <w:top w:val="none" w:sz="0" w:space="0" w:color="auto"/>
                    <w:left w:val="none" w:sz="0" w:space="0" w:color="auto"/>
                    <w:bottom w:val="none" w:sz="0" w:space="0" w:color="auto"/>
                    <w:right w:val="none" w:sz="0" w:space="0" w:color="auto"/>
                  </w:divBdr>
                </w:div>
                <w:div w:id="136532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747276">
      <w:bodyDiv w:val="1"/>
      <w:marLeft w:val="0"/>
      <w:marRight w:val="0"/>
      <w:marTop w:val="0"/>
      <w:marBottom w:val="0"/>
      <w:divBdr>
        <w:top w:val="none" w:sz="0" w:space="0" w:color="auto"/>
        <w:left w:val="none" w:sz="0" w:space="0" w:color="auto"/>
        <w:bottom w:val="none" w:sz="0" w:space="0" w:color="auto"/>
        <w:right w:val="none" w:sz="0" w:space="0" w:color="auto"/>
      </w:divBdr>
      <w:divsChild>
        <w:div w:id="447822144">
          <w:marLeft w:val="0"/>
          <w:marRight w:val="0"/>
          <w:marTop w:val="0"/>
          <w:marBottom w:val="0"/>
          <w:divBdr>
            <w:top w:val="none" w:sz="0" w:space="0" w:color="auto"/>
            <w:left w:val="none" w:sz="0" w:space="0" w:color="auto"/>
            <w:bottom w:val="dotted" w:sz="6" w:space="4" w:color="DDDDDD"/>
            <w:right w:val="none" w:sz="0" w:space="0" w:color="auto"/>
          </w:divBdr>
        </w:div>
      </w:divsChild>
    </w:div>
    <w:div w:id="1793018968">
      <w:bodyDiv w:val="1"/>
      <w:marLeft w:val="0"/>
      <w:marRight w:val="0"/>
      <w:marTop w:val="0"/>
      <w:marBottom w:val="0"/>
      <w:divBdr>
        <w:top w:val="none" w:sz="0" w:space="0" w:color="auto"/>
        <w:left w:val="none" w:sz="0" w:space="0" w:color="auto"/>
        <w:bottom w:val="none" w:sz="0" w:space="0" w:color="auto"/>
        <w:right w:val="none" w:sz="0" w:space="0" w:color="auto"/>
      </w:divBdr>
      <w:divsChild>
        <w:div w:id="386102686">
          <w:marLeft w:val="0"/>
          <w:marRight w:val="0"/>
          <w:marTop w:val="0"/>
          <w:marBottom w:val="0"/>
          <w:divBdr>
            <w:top w:val="none" w:sz="0" w:space="0" w:color="auto"/>
            <w:left w:val="none" w:sz="0" w:space="0" w:color="auto"/>
            <w:bottom w:val="none" w:sz="0" w:space="0" w:color="auto"/>
            <w:right w:val="none" w:sz="0" w:space="0" w:color="auto"/>
          </w:divBdr>
        </w:div>
      </w:divsChild>
    </w:div>
    <w:div w:id="1794860725">
      <w:bodyDiv w:val="1"/>
      <w:marLeft w:val="0"/>
      <w:marRight w:val="0"/>
      <w:marTop w:val="0"/>
      <w:marBottom w:val="0"/>
      <w:divBdr>
        <w:top w:val="none" w:sz="0" w:space="0" w:color="auto"/>
        <w:left w:val="none" w:sz="0" w:space="0" w:color="auto"/>
        <w:bottom w:val="none" w:sz="0" w:space="0" w:color="auto"/>
        <w:right w:val="none" w:sz="0" w:space="0" w:color="auto"/>
      </w:divBdr>
      <w:divsChild>
        <w:div w:id="231549097">
          <w:marLeft w:val="0"/>
          <w:marRight w:val="0"/>
          <w:marTop w:val="0"/>
          <w:marBottom w:val="0"/>
          <w:divBdr>
            <w:top w:val="none" w:sz="0" w:space="0" w:color="auto"/>
            <w:left w:val="none" w:sz="0" w:space="0" w:color="auto"/>
            <w:bottom w:val="none" w:sz="0" w:space="0" w:color="auto"/>
            <w:right w:val="none" w:sz="0" w:space="0" w:color="auto"/>
          </w:divBdr>
        </w:div>
      </w:divsChild>
    </w:div>
    <w:div w:id="1795057303">
      <w:bodyDiv w:val="1"/>
      <w:marLeft w:val="0"/>
      <w:marRight w:val="0"/>
      <w:marTop w:val="0"/>
      <w:marBottom w:val="0"/>
      <w:divBdr>
        <w:top w:val="none" w:sz="0" w:space="0" w:color="auto"/>
        <w:left w:val="none" w:sz="0" w:space="0" w:color="auto"/>
        <w:bottom w:val="none" w:sz="0" w:space="0" w:color="auto"/>
        <w:right w:val="none" w:sz="0" w:space="0" w:color="auto"/>
      </w:divBdr>
    </w:div>
    <w:div w:id="1795060473">
      <w:bodyDiv w:val="1"/>
      <w:marLeft w:val="0"/>
      <w:marRight w:val="0"/>
      <w:marTop w:val="0"/>
      <w:marBottom w:val="0"/>
      <w:divBdr>
        <w:top w:val="none" w:sz="0" w:space="0" w:color="auto"/>
        <w:left w:val="none" w:sz="0" w:space="0" w:color="auto"/>
        <w:bottom w:val="none" w:sz="0" w:space="0" w:color="auto"/>
        <w:right w:val="none" w:sz="0" w:space="0" w:color="auto"/>
      </w:divBdr>
    </w:div>
    <w:div w:id="1795293318">
      <w:bodyDiv w:val="1"/>
      <w:marLeft w:val="0"/>
      <w:marRight w:val="0"/>
      <w:marTop w:val="0"/>
      <w:marBottom w:val="0"/>
      <w:divBdr>
        <w:top w:val="none" w:sz="0" w:space="0" w:color="auto"/>
        <w:left w:val="none" w:sz="0" w:space="0" w:color="auto"/>
        <w:bottom w:val="none" w:sz="0" w:space="0" w:color="auto"/>
        <w:right w:val="none" w:sz="0" w:space="0" w:color="auto"/>
      </w:divBdr>
      <w:divsChild>
        <w:div w:id="974062929">
          <w:marLeft w:val="0"/>
          <w:marRight w:val="0"/>
          <w:marTop w:val="0"/>
          <w:marBottom w:val="0"/>
          <w:divBdr>
            <w:top w:val="none" w:sz="0" w:space="0" w:color="auto"/>
            <w:left w:val="none" w:sz="0" w:space="0" w:color="auto"/>
            <w:bottom w:val="none" w:sz="0" w:space="0" w:color="auto"/>
            <w:right w:val="none" w:sz="0" w:space="0" w:color="auto"/>
          </w:divBdr>
        </w:div>
      </w:divsChild>
    </w:div>
    <w:div w:id="1795513907">
      <w:bodyDiv w:val="1"/>
      <w:marLeft w:val="0"/>
      <w:marRight w:val="0"/>
      <w:marTop w:val="0"/>
      <w:marBottom w:val="0"/>
      <w:divBdr>
        <w:top w:val="none" w:sz="0" w:space="0" w:color="auto"/>
        <w:left w:val="none" w:sz="0" w:space="0" w:color="auto"/>
        <w:bottom w:val="none" w:sz="0" w:space="0" w:color="auto"/>
        <w:right w:val="none" w:sz="0" w:space="0" w:color="auto"/>
      </w:divBdr>
      <w:divsChild>
        <w:div w:id="504396611">
          <w:marLeft w:val="0"/>
          <w:marRight w:val="0"/>
          <w:marTop w:val="0"/>
          <w:marBottom w:val="0"/>
          <w:divBdr>
            <w:top w:val="none" w:sz="0" w:space="0" w:color="auto"/>
            <w:left w:val="none" w:sz="0" w:space="0" w:color="auto"/>
            <w:bottom w:val="none" w:sz="0" w:space="0" w:color="auto"/>
            <w:right w:val="none" w:sz="0" w:space="0" w:color="auto"/>
          </w:divBdr>
          <w:divsChild>
            <w:div w:id="16562961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95556717">
      <w:bodyDiv w:val="1"/>
      <w:marLeft w:val="0"/>
      <w:marRight w:val="0"/>
      <w:marTop w:val="0"/>
      <w:marBottom w:val="0"/>
      <w:divBdr>
        <w:top w:val="none" w:sz="0" w:space="0" w:color="auto"/>
        <w:left w:val="none" w:sz="0" w:space="0" w:color="auto"/>
        <w:bottom w:val="none" w:sz="0" w:space="0" w:color="auto"/>
        <w:right w:val="none" w:sz="0" w:space="0" w:color="auto"/>
      </w:divBdr>
      <w:divsChild>
        <w:div w:id="147787825">
          <w:marLeft w:val="0"/>
          <w:marRight w:val="0"/>
          <w:marTop w:val="0"/>
          <w:marBottom w:val="150"/>
          <w:divBdr>
            <w:top w:val="none" w:sz="0" w:space="0" w:color="auto"/>
            <w:left w:val="none" w:sz="0" w:space="0" w:color="auto"/>
            <w:bottom w:val="none" w:sz="0" w:space="0" w:color="auto"/>
            <w:right w:val="none" w:sz="0" w:space="0" w:color="auto"/>
          </w:divBdr>
        </w:div>
        <w:div w:id="563218659">
          <w:marLeft w:val="0"/>
          <w:marRight w:val="0"/>
          <w:marTop w:val="0"/>
          <w:marBottom w:val="150"/>
          <w:divBdr>
            <w:top w:val="none" w:sz="0" w:space="0" w:color="auto"/>
            <w:left w:val="none" w:sz="0" w:space="0" w:color="auto"/>
            <w:bottom w:val="none" w:sz="0" w:space="0" w:color="auto"/>
            <w:right w:val="none" w:sz="0" w:space="0" w:color="auto"/>
          </w:divBdr>
        </w:div>
        <w:div w:id="1730373719">
          <w:marLeft w:val="0"/>
          <w:marRight w:val="0"/>
          <w:marTop w:val="0"/>
          <w:marBottom w:val="150"/>
          <w:divBdr>
            <w:top w:val="none" w:sz="0" w:space="0" w:color="auto"/>
            <w:left w:val="none" w:sz="0" w:space="0" w:color="auto"/>
            <w:bottom w:val="none" w:sz="0" w:space="0" w:color="auto"/>
            <w:right w:val="none" w:sz="0" w:space="0" w:color="auto"/>
          </w:divBdr>
        </w:div>
      </w:divsChild>
    </w:div>
    <w:div w:id="1795755230">
      <w:bodyDiv w:val="1"/>
      <w:marLeft w:val="0"/>
      <w:marRight w:val="0"/>
      <w:marTop w:val="0"/>
      <w:marBottom w:val="0"/>
      <w:divBdr>
        <w:top w:val="none" w:sz="0" w:space="0" w:color="auto"/>
        <w:left w:val="none" w:sz="0" w:space="0" w:color="auto"/>
        <w:bottom w:val="none" w:sz="0" w:space="0" w:color="auto"/>
        <w:right w:val="none" w:sz="0" w:space="0" w:color="auto"/>
      </w:divBdr>
      <w:divsChild>
        <w:div w:id="352191928">
          <w:marLeft w:val="0"/>
          <w:marRight w:val="0"/>
          <w:marTop w:val="0"/>
          <w:marBottom w:val="0"/>
          <w:divBdr>
            <w:top w:val="none" w:sz="0" w:space="0" w:color="auto"/>
            <w:left w:val="none" w:sz="0" w:space="0" w:color="auto"/>
            <w:bottom w:val="none" w:sz="0" w:space="0" w:color="auto"/>
            <w:right w:val="none" w:sz="0" w:space="0" w:color="auto"/>
          </w:divBdr>
          <w:divsChild>
            <w:div w:id="1621495226">
              <w:marLeft w:val="0"/>
              <w:marRight w:val="0"/>
              <w:marTop w:val="0"/>
              <w:marBottom w:val="0"/>
              <w:divBdr>
                <w:top w:val="none" w:sz="0" w:space="0" w:color="auto"/>
                <w:left w:val="none" w:sz="0" w:space="0" w:color="auto"/>
                <w:bottom w:val="none" w:sz="0" w:space="0" w:color="auto"/>
                <w:right w:val="none" w:sz="0" w:space="0" w:color="auto"/>
              </w:divBdr>
            </w:div>
          </w:divsChild>
        </w:div>
        <w:div w:id="604115952">
          <w:marLeft w:val="0"/>
          <w:marRight w:val="0"/>
          <w:marTop w:val="150"/>
          <w:marBottom w:val="0"/>
          <w:divBdr>
            <w:top w:val="none" w:sz="0" w:space="0" w:color="auto"/>
            <w:left w:val="none" w:sz="0" w:space="0" w:color="auto"/>
            <w:bottom w:val="none" w:sz="0" w:space="0" w:color="auto"/>
            <w:right w:val="none" w:sz="0" w:space="0" w:color="auto"/>
          </w:divBdr>
          <w:divsChild>
            <w:div w:id="360403768">
              <w:marLeft w:val="0"/>
              <w:marRight w:val="0"/>
              <w:marTop w:val="0"/>
              <w:marBottom w:val="0"/>
              <w:divBdr>
                <w:top w:val="none" w:sz="0" w:space="0" w:color="auto"/>
                <w:left w:val="none" w:sz="0" w:space="0" w:color="auto"/>
                <w:bottom w:val="none" w:sz="0" w:space="0" w:color="auto"/>
                <w:right w:val="none" w:sz="0" w:space="0" w:color="auto"/>
              </w:divBdr>
              <w:divsChild>
                <w:div w:id="1577663555">
                  <w:marLeft w:val="0"/>
                  <w:marRight w:val="0"/>
                  <w:marTop w:val="0"/>
                  <w:marBottom w:val="0"/>
                  <w:divBdr>
                    <w:top w:val="none" w:sz="0" w:space="0" w:color="auto"/>
                    <w:left w:val="none" w:sz="0" w:space="0" w:color="auto"/>
                    <w:bottom w:val="none" w:sz="0" w:space="0" w:color="auto"/>
                    <w:right w:val="none" w:sz="0" w:space="0" w:color="auto"/>
                  </w:divBdr>
                </w:div>
                <w:div w:id="182400112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08995">
      <w:bodyDiv w:val="1"/>
      <w:marLeft w:val="0"/>
      <w:marRight w:val="0"/>
      <w:marTop w:val="0"/>
      <w:marBottom w:val="0"/>
      <w:divBdr>
        <w:top w:val="none" w:sz="0" w:space="0" w:color="auto"/>
        <w:left w:val="none" w:sz="0" w:space="0" w:color="auto"/>
        <w:bottom w:val="none" w:sz="0" w:space="0" w:color="auto"/>
        <w:right w:val="none" w:sz="0" w:space="0" w:color="auto"/>
      </w:divBdr>
      <w:divsChild>
        <w:div w:id="1513032931">
          <w:marLeft w:val="0"/>
          <w:marRight w:val="0"/>
          <w:marTop w:val="135"/>
          <w:marBottom w:val="0"/>
          <w:divBdr>
            <w:top w:val="none" w:sz="0" w:space="0" w:color="auto"/>
            <w:left w:val="none" w:sz="0" w:space="0" w:color="auto"/>
            <w:bottom w:val="none" w:sz="0" w:space="0" w:color="auto"/>
            <w:right w:val="none" w:sz="0" w:space="0" w:color="auto"/>
          </w:divBdr>
          <w:divsChild>
            <w:div w:id="1758746616">
              <w:marLeft w:val="0"/>
              <w:marRight w:val="0"/>
              <w:marTop w:val="45"/>
              <w:marBottom w:val="0"/>
              <w:divBdr>
                <w:top w:val="none" w:sz="0" w:space="0" w:color="auto"/>
                <w:left w:val="none" w:sz="0" w:space="0" w:color="auto"/>
                <w:bottom w:val="none" w:sz="0" w:space="0" w:color="auto"/>
                <w:right w:val="none" w:sz="0" w:space="0" w:color="auto"/>
              </w:divBdr>
            </w:div>
          </w:divsChild>
        </w:div>
        <w:div w:id="1819881101">
          <w:marLeft w:val="0"/>
          <w:marRight w:val="0"/>
          <w:marTop w:val="300"/>
          <w:marBottom w:val="0"/>
          <w:divBdr>
            <w:top w:val="none" w:sz="0" w:space="0" w:color="auto"/>
            <w:left w:val="none" w:sz="0" w:space="0" w:color="auto"/>
            <w:bottom w:val="none" w:sz="0" w:space="0" w:color="auto"/>
            <w:right w:val="none" w:sz="0" w:space="0" w:color="auto"/>
          </w:divBdr>
        </w:div>
      </w:divsChild>
    </w:div>
    <w:div w:id="1796098164">
      <w:bodyDiv w:val="1"/>
      <w:marLeft w:val="0"/>
      <w:marRight w:val="0"/>
      <w:marTop w:val="0"/>
      <w:marBottom w:val="0"/>
      <w:divBdr>
        <w:top w:val="none" w:sz="0" w:space="0" w:color="auto"/>
        <w:left w:val="none" w:sz="0" w:space="0" w:color="auto"/>
        <w:bottom w:val="none" w:sz="0" w:space="0" w:color="auto"/>
        <w:right w:val="none" w:sz="0" w:space="0" w:color="auto"/>
      </w:divBdr>
      <w:divsChild>
        <w:div w:id="517233088">
          <w:marLeft w:val="0"/>
          <w:marRight w:val="0"/>
          <w:marTop w:val="0"/>
          <w:marBottom w:val="150"/>
          <w:divBdr>
            <w:top w:val="none" w:sz="0" w:space="0" w:color="auto"/>
            <w:left w:val="none" w:sz="0" w:space="0" w:color="auto"/>
            <w:bottom w:val="none" w:sz="0" w:space="0" w:color="auto"/>
            <w:right w:val="none" w:sz="0" w:space="0" w:color="auto"/>
          </w:divBdr>
          <w:divsChild>
            <w:div w:id="1015225580">
              <w:marLeft w:val="0"/>
              <w:marRight w:val="0"/>
              <w:marTop w:val="0"/>
              <w:marBottom w:val="0"/>
              <w:divBdr>
                <w:top w:val="none" w:sz="0" w:space="0" w:color="auto"/>
                <w:left w:val="none" w:sz="0" w:space="0" w:color="auto"/>
                <w:bottom w:val="none" w:sz="0" w:space="0" w:color="auto"/>
                <w:right w:val="none" w:sz="0" w:space="0" w:color="auto"/>
              </w:divBdr>
              <w:divsChild>
                <w:div w:id="3489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00359">
          <w:marLeft w:val="0"/>
          <w:marRight w:val="0"/>
          <w:marTop w:val="0"/>
          <w:marBottom w:val="0"/>
          <w:divBdr>
            <w:top w:val="none" w:sz="0" w:space="0" w:color="auto"/>
            <w:left w:val="none" w:sz="0" w:space="0" w:color="auto"/>
            <w:bottom w:val="none" w:sz="0" w:space="0" w:color="auto"/>
            <w:right w:val="none" w:sz="0" w:space="0" w:color="auto"/>
          </w:divBdr>
          <w:divsChild>
            <w:div w:id="433404096">
              <w:marLeft w:val="0"/>
              <w:marRight w:val="0"/>
              <w:marTop w:val="225"/>
              <w:marBottom w:val="225"/>
              <w:divBdr>
                <w:top w:val="none" w:sz="0" w:space="0" w:color="auto"/>
                <w:left w:val="none" w:sz="0" w:space="0" w:color="auto"/>
                <w:bottom w:val="none" w:sz="0" w:space="0" w:color="auto"/>
                <w:right w:val="none" w:sz="0" w:space="0" w:color="auto"/>
              </w:divBdr>
            </w:div>
          </w:divsChild>
        </w:div>
        <w:div w:id="1221211945">
          <w:marLeft w:val="0"/>
          <w:marRight w:val="0"/>
          <w:marTop w:val="0"/>
          <w:marBottom w:val="150"/>
          <w:divBdr>
            <w:top w:val="none" w:sz="0" w:space="0" w:color="auto"/>
            <w:left w:val="none" w:sz="0" w:space="0" w:color="auto"/>
            <w:bottom w:val="none" w:sz="0" w:space="0" w:color="auto"/>
            <w:right w:val="none" w:sz="0" w:space="0" w:color="auto"/>
          </w:divBdr>
        </w:div>
      </w:divsChild>
    </w:div>
    <w:div w:id="1796170629">
      <w:bodyDiv w:val="1"/>
      <w:marLeft w:val="0"/>
      <w:marRight w:val="0"/>
      <w:marTop w:val="0"/>
      <w:marBottom w:val="0"/>
      <w:divBdr>
        <w:top w:val="none" w:sz="0" w:space="0" w:color="auto"/>
        <w:left w:val="none" w:sz="0" w:space="0" w:color="auto"/>
        <w:bottom w:val="none" w:sz="0" w:space="0" w:color="auto"/>
        <w:right w:val="none" w:sz="0" w:space="0" w:color="auto"/>
      </w:divBdr>
      <w:divsChild>
        <w:div w:id="1991328765">
          <w:marLeft w:val="0"/>
          <w:marRight w:val="0"/>
          <w:marTop w:val="0"/>
          <w:marBottom w:val="0"/>
          <w:divBdr>
            <w:top w:val="none" w:sz="0" w:space="0" w:color="auto"/>
            <w:left w:val="none" w:sz="0" w:space="0" w:color="auto"/>
            <w:bottom w:val="dotted" w:sz="6" w:space="4" w:color="DDDDDD"/>
            <w:right w:val="none" w:sz="0" w:space="0" w:color="auto"/>
          </w:divBdr>
        </w:div>
      </w:divsChild>
    </w:div>
    <w:div w:id="1796287773">
      <w:bodyDiv w:val="1"/>
      <w:marLeft w:val="0"/>
      <w:marRight w:val="0"/>
      <w:marTop w:val="0"/>
      <w:marBottom w:val="0"/>
      <w:divBdr>
        <w:top w:val="none" w:sz="0" w:space="0" w:color="auto"/>
        <w:left w:val="none" w:sz="0" w:space="0" w:color="auto"/>
        <w:bottom w:val="none" w:sz="0" w:space="0" w:color="auto"/>
        <w:right w:val="none" w:sz="0" w:space="0" w:color="auto"/>
      </w:divBdr>
      <w:divsChild>
        <w:div w:id="645620983">
          <w:marLeft w:val="0"/>
          <w:marRight w:val="0"/>
          <w:marTop w:val="0"/>
          <w:marBottom w:val="0"/>
          <w:divBdr>
            <w:top w:val="none" w:sz="0" w:space="0" w:color="auto"/>
            <w:left w:val="none" w:sz="0" w:space="0" w:color="auto"/>
            <w:bottom w:val="none" w:sz="0" w:space="0" w:color="auto"/>
            <w:right w:val="none" w:sz="0" w:space="0" w:color="auto"/>
          </w:divBdr>
          <w:divsChild>
            <w:div w:id="1663898429">
              <w:marLeft w:val="0"/>
              <w:marRight w:val="0"/>
              <w:marTop w:val="0"/>
              <w:marBottom w:val="0"/>
              <w:divBdr>
                <w:top w:val="none" w:sz="0" w:space="0" w:color="auto"/>
                <w:left w:val="none" w:sz="0" w:space="0" w:color="auto"/>
                <w:bottom w:val="none" w:sz="0" w:space="0" w:color="auto"/>
                <w:right w:val="none" w:sz="0" w:space="0" w:color="auto"/>
              </w:divBdr>
            </w:div>
          </w:divsChild>
        </w:div>
        <w:div w:id="1412115316">
          <w:marLeft w:val="0"/>
          <w:marRight w:val="0"/>
          <w:marTop w:val="0"/>
          <w:marBottom w:val="150"/>
          <w:divBdr>
            <w:top w:val="none" w:sz="0" w:space="0" w:color="auto"/>
            <w:left w:val="none" w:sz="0" w:space="0" w:color="auto"/>
            <w:bottom w:val="none" w:sz="0" w:space="0" w:color="auto"/>
            <w:right w:val="none" w:sz="0" w:space="0" w:color="auto"/>
          </w:divBdr>
        </w:div>
        <w:div w:id="2056733309">
          <w:marLeft w:val="0"/>
          <w:marRight w:val="0"/>
          <w:marTop w:val="0"/>
          <w:marBottom w:val="150"/>
          <w:divBdr>
            <w:top w:val="none" w:sz="0" w:space="0" w:color="auto"/>
            <w:left w:val="none" w:sz="0" w:space="0" w:color="auto"/>
            <w:bottom w:val="none" w:sz="0" w:space="0" w:color="auto"/>
            <w:right w:val="none" w:sz="0" w:space="0" w:color="auto"/>
          </w:divBdr>
          <w:divsChild>
            <w:div w:id="144114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35857">
      <w:bodyDiv w:val="1"/>
      <w:marLeft w:val="0"/>
      <w:marRight w:val="0"/>
      <w:marTop w:val="0"/>
      <w:marBottom w:val="0"/>
      <w:divBdr>
        <w:top w:val="none" w:sz="0" w:space="0" w:color="auto"/>
        <w:left w:val="none" w:sz="0" w:space="0" w:color="auto"/>
        <w:bottom w:val="none" w:sz="0" w:space="0" w:color="auto"/>
        <w:right w:val="none" w:sz="0" w:space="0" w:color="auto"/>
      </w:divBdr>
    </w:div>
    <w:div w:id="1796750042">
      <w:bodyDiv w:val="1"/>
      <w:marLeft w:val="0"/>
      <w:marRight w:val="0"/>
      <w:marTop w:val="0"/>
      <w:marBottom w:val="0"/>
      <w:divBdr>
        <w:top w:val="none" w:sz="0" w:space="0" w:color="auto"/>
        <w:left w:val="none" w:sz="0" w:space="0" w:color="auto"/>
        <w:bottom w:val="none" w:sz="0" w:space="0" w:color="auto"/>
        <w:right w:val="none" w:sz="0" w:space="0" w:color="auto"/>
      </w:divBdr>
    </w:div>
    <w:div w:id="1796823552">
      <w:bodyDiv w:val="1"/>
      <w:marLeft w:val="0"/>
      <w:marRight w:val="0"/>
      <w:marTop w:val="0"/>
      <w:marBottom w:val="0"/>
      <w:divBdr>
        <w:top w:val="none" w:sz="0" w:space="0" w:color="auto"/>
        <w:left w:val="none" w:sz="0" w:space="0" w:color="auto"/>
        <w:bottom w:val="none" w:sz="0" w:space="0" w:color="auto"/>
        <w:right w:val="none" w:sz="0" w:space="0" w:color="auto"/>
      </w:divBdr>
      <w:divsChild>
        <w:div w:id="554899173">
          <w:marLeft w:val="0"/>
          <w:marRight w:val="0"/>
          <w:marTop w:val="0"/>
          <w:marBottom w:val="0"/>
          <w:divBdr>
            <w:top w:val="none" w:sz="0" w:space="0" w:color="auto"/>
            <w:left w:val="none" w:sz="0" w:space="0" w:color="auto"/>
            <w:bottom w:val="dotted" w:sz="6" w:space="4" w:color="DDDDDD"/>
            <w:right w:val="none" w:sz="0" w:space="0" w:color="auto"/>
          </w:divBdr>
          <w:divsChild>
            <w:div w:id="46191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332526">
      <w:bodyDiv w:val="1"/>
      <w:marLeft w:val="0"/>
      <w:marRight w:val="0"/>
      <w:marTop w:val="0"/>
      <w:marBottom w:val="0"/>
      <w:divBdr>
        <w:top w:val="none" w:sz="0" w:space="0" w:color="auto"/>
        <w:left w:val="none" w:sz="0" w:space="0" w:color="auto"/>
        <w:bottom w:val="none" w:sz="0" w:space="0" w:color="auto"/>
        <w:right w:val="none" w:sz="0" w:space="0" w:color="auto"/>
      </w:divBdr>
    </w:div>
    <w:div w:id="1797600061">
      <w:bodyDiv w:val="1"/>
      <w:marLeft w:val="0"/>
      <w:marRight w:val="0"/>
      <w:marTop w:val="0"/>
      <w:marBottom w:val="0"/>
      <w:divBdr>
        <w:top w:val="none" w:sz="0" w:space="0" w:color="auto"/>
        <w:left w:val="none" w:sz="0" w:space="0" w:color="auto"/>
        <w:bottom w:val="none" w:sz="0" w:space="0" w:color="auto"/>
        <w:right w:val="none" w:sz="0" w:space="0" w:color="auto"/>
      </w:divBdr>
      <w:divsChild>
        <w:div w:id="697043581">
          <w:marLeft w:val="0"/>
          <w:marRight w:val="0"/>
          <w:marTop w:val="0"/>
          <w:marBottom w:val="0"/>
          <w:divBdr>
            <w:top w:val="none" w:sz="0" w:space="0" w:color="auto"/>
            <w:left w:val="none" w:sz="0" w:space="0" w:color="auto"/>
            <w:bottom w:val="none" w:sz="0" w:space="0" w:color="auto"/>
            <w:right w:val="none" w:sz="0" w:space="0" w:color="auto"/>
          </w:divBdr>
        </w:div>
      </w:divsChild>
    </w:div>
    <w:div w:id="1797719262">
      <w:bodyDiv w:val="1"/>
      <w:marLeft w:val="0"/>
      <w:marRight w:val="0"/>
      <w:marTop w:val="0"/>
      <w:marBottom w:val="0"/>
      <w:divBdr>
        <w:top w:val="none" w:sz="0" w:space="0" w:color="auto"/>
        <w:left w:val="none" w:sz="0" w:space="0" w:color="auto"/>
        <w:bottom w:val="none" w:sz="0" w:space="0" w:color="auto"/>
        <w:right w:val="none" w:sz="0" w:space="0" w:color="auto"/>
      </w:divBdr>
      <w:divsChild>
        <w:div w:id="111940962">
          <w:marLeft w:val="0"/>
          <w:marRight w:val="0"/>
          <w:marTop w:val="0"/>
          <w:marBottom w:val="0"/>
          <w:divBdr>
            <w:top w:val="none" w:sz="0" w:space="0" w:color="auto"/>
            <w:left w:val="none" w:sz="0" w:space="0" w:color="auto"/>
            <w:bottom w:val="none" w:sz="0" w:space="0" w:color="auto"/>
            <w:right w:val="none" w:sz="0" w:space="0" w:color="auto"/>
          </w:divBdr>
          <w:divsChild>
            <w:div w:id="1240169451">
              <w:marLeft w:val="0"/>
              <w:marRight w:val="0"/>
              <w:marTop w:val="0"/>
              <w:marBottom w:val="0"/>
              <w:divBdr>
                <w:top w:val="none" w:sz="0" w:space="0" w:color="auto"/>
                <w:left w:val="none" w:sz="0" w:space="0" w:color="auto"/>
                <w:bottom w:val="none" w:sz="0" w:space="0" w:color="auto"/>
                <w:right w:val="none" w:sz="0" w:space="0" w:color="auto"/>
              </w:divBdr>
              <w:divsChild>
                <w:div w:id="764422836">
                  <w:marLeft w:val="0"/>
                  <w:marRight w:val="0"/>
                  <w:marTop w:val="0"/>
                  <w:marBottom w:val="0"/>
                  <w:divBdr>
                    <w:top w:val="none" w:sz="0" w:space="0" w:color="auto"/>
                    <w:left w:val="none" w:sz="0" w:space="0" w:color="auto"/>
                    <w:bottom w:val="none" w:sz="0" w:space="0" w:color="auto"/>
                    <w:right w:val="none" w:sz="0" w:space="0" w:color="auto"/>
                  </w:divBdr>
                  <w:divsChild>
                    <w:div w:id="308637151">
                      <w:marLeft w:val="0"/>
                      <w:marRight w:val="0"/>
                      <w:marTop w:val="0"/>
                      <w:marBottom w:val="0"/>
                      <w:divBdr>
                        <w:top w:val="none" w:sz="0" w:space="0" w:color="auto"/>
                        <w:left w:val="none" w:sz="0" w:space="0" w:color="auto"/>
                        <w:bottom w:val="none" w:sz="0" w:space="0" w:color="auto"/>
                        <w:right w:val="none" w:sz="0" w:space="0" w:color="auto"/>
                      </w:divBdr>
                      <w:divsChild>
                        <w:div w:id="1518035248">
                          <w:marLeft w:val="0"/>
                          <w:marRight w:val="0"/>
                          <w:marTop w:val="0"/>
                          <w:marBottom w:val="0"/>
                          <w:divBdr>
                            <w:top w:val="none" w:sz="0" w:space="0" w:color="auto"/>
                            <w:left w:val="none" w:sz="0" w:space="0" w:color="auto"/>
                            <w:bottom w:val="none" w:sz="0" w:space="0" w:color="auto"/>
                            <w:right w:val="none" w:sz="0" w:space="0" w:color="auto"/>
                          </w:divBdr>
                          <w:divsChild>
                            <w:div w:id="1690177483">
                              <w:marLeft w:val="0"/>
                              <w:marRight w:val="0"/>
                              <w:marTop w:val="0"/>
                              <w:marBottom w:val="0"/>
                              <w:divBdr>
                                <w:top w:val="none" w:sz="0" w:space="0" w:color="auto"/>
                                <w:left w:val="none" w:sz="0" w:space="0" w:color="auto"/>
                                <w:bottom w:val="none" w:sz="0" w:space="0" w:color="auto"/>
                                <w:right w:val="none" w:sz="0" w:space="0" w:color="auto"/>
                              </w:divBdr>
                              <w:divsChild>
                                <w:div w:id="328406871">
                                  <w:marLeft w:val="0"/>
                                  <w:marRight w:val="0"/>
                                  <w:marTop w:val="0"/>
                                  <w:marBottom w:val="0"/>
                                  <w:divBdr>
                                    <w:top w:val="none" w:sz="0" w:space="0" w:color="auto"/>
                                    <w:left w:val="none" w:sz="0" w:space="0" w:color="auto"/>
                                    <w:bottom w:val="none" w:sz="0" w:space="0" w:color="auto"/>
                                    <w:right w:val="none" w:sz="0" w:space="0" w:color="auto"/>
                                  </w:divBdr>
                                  <w:divsChild>
                                    <w:div w:id="23201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8984981">
      <w:bodyDiv w:val="1"/>
      <w:marLeft w:val="0"/>
      <w:marRight w:val="0"/>
      <w:marTop w:val="0"/>
      <w:marBottom w:val="0"/>
      <w:divBdr>
        <w:top w:val="none" w:sz="0" w:space="0" w:color="auto"/>
        <w:left w:val="none" w:sz="0" w:space="0" w:color="auto"/>
        <w:bottom w:val="none" w:sz="0" w:space="0" w:color="auto"/>
        <w:right w:val="none" w:sz="0" w:space="0" w:color="auto"/>
      </w:divBdr>
      <w:divsChild>
        <w:div w:id="425076368">
          <w:marLeft w:val="0"/>
          <w:marRight w:val="0"/>
          <w:marTop w:val="0"/>
          <w:marBottom w:val="0"/>
          <w:divBdr>
            <w:top w:val="none" w:sz="0" w:space="0" w:color="auto"/>
            <w:left w:val="none" w:sz="0" w:space="0" w:color="auto"/>
            <w:bottom w:val="none" w:sz="0" w:space="0" w:color="auto"/>
            <w:right w:val="none" w:sz="0" w:space="0" w:color="auto"/>
          </w:divBdr>
          <w:divsChild>
            <w:div w:id="1653023767">
              <w:marLeft w:val="0"/>
              <w:marRight w:val="0"/>
              <w:marTop w:val="0"/>
              <w:marBottom w:val="0"/>
              <w:divBdr>
                <w:top w:val="none" w:sz="0" w:space="0" w:color="auto"/>
                <w:left w:val="none" w:sz="0" w:space="0" w:color="auto"/>
                <w:bottom w:val="none" w:sz="0" w:space="0" w:color="auto"/>
                <w:right w:val="none" w:sz="0" w:space="0" w:color="auto"/>
              </w:divBdr>
              <w:divsChild>
                <w:div w:id="1454327749">
                  <w:marLeft w:val="0"/>
                  <w:marRight w:val="0"/>
                  <w:marTop w:val="0"/>
                  <w:marBottom w:val="0"/>
                  <w:divBdr>
                    <w:top w:val="none" w:sz="0" w:space="0" w:color="auto"/>
                    <w:left w:val="none" w:sz="0" w:space="0" w:color="auto"/>
                    <w:bottom w:val="none" w:sz="0" w:space="0" w:color="auto"/>
                    <w:right w:val="none" w:sz="0" w:space="0" w:color="auto"/>
                  </w:divBdr>
                  <w:divsChild>
                    <w:div w:id="1712075745">
                      <w:marLeft w:val="0"/>
                      <w:marRight w:val="0"/>
                      <w:marTop w:val="0"/>
                      <w:marBottom w:val="0"/>
                      <w:divBdr>
                        <w:top w:val="none" w:sz="0" w:space="0" w:color="auto"/>
                        <w:left w:val="none" w:sz="0" w:space="0" w:color="auto"/>
                        <w:bottom w:val="none" w:sz="0" w:space="0" w:color="auto"/>
                        <w:right w:val="none" w:sz="0" w:space="0" w:color="auto"/>
                      </w:divBdr>
                      <w:divsChild>
                        <w:div w:id="1205020344">
                          <w:marLeft w:val="0"/>
                          <w:marRight w:val="0"/>
                          <w:marTop w:val="0"/>
                          <w:marBottom w:val="0"/>
                          <w:divBdr>
                            <w:top w:val="none" w:sz="0" w:space="0" w:color="auto"/>
                            <w:left w:val="none" w:sz="0" w:space="0" w:color="auto"/>
                            <w:bottom w:val="none" w:sz="0" w:space="0" w:color="auto"/>
                            <w:right w:val="none" w:sz="0" w:space="0" w:color="auto"/>
                          </w:divBdr>
                          <w:divsChild>
                            <w:div w:id="279191259">
                              <w:marLeft w:val="0"/>
                              <w:marRight w:val="0"/>
                              <w:marTop w:val="0"/>
                              <w:marBottom w:val="0"/>
                              <w:divBdr>
                                <w:top w:val="none" w:sz="0" w:space="0" w:color="auto"/>
                                <w:left w:val="none" w:sz="0" w:space="0" w:color="auto"/>
                                <w:bottom w:val="none" w:sz="0" w:space="0" w:color="auto"/>
                                <w:right w:val="none" w:sz="0" w:space="0" w:color="auto"/>
                              </w:divBdr>
                              <w:divsChild>
                                <w:div w:id="840970624">
                                  <w:marLeft w:val="0"/>
                                  <w:marRight w:val="0"/>
                                  <w:marTop w:val="0"/>
                                  <w:marBottom w:val="0"/>
                                  <w:divBdr>
                                    <w:top w:val="none" w:sz="0" w:space="0" w:color="auto"/>
                                    <w:left w:val="none" w:sz="0" w:space="0" w:color="auto"/>
                                    <w:bottom w:val="none" w:sz="0" w:space="0" w:color="auto"/>
                                    <w:right w:val="none" w:sz="0" w:space="0" w:color="auto"/>
                                  </w:divBdr>
                                  <w:divsChild>
                                    <w:div w:id="54056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14618">
      <w:bodyDiv w:val="1"/>
      <w:marLeft w:val="0"/>
      <w:marRight w:val="0"/>
      <w:marTop w:val="0"/>
      <w:marBottom w:val="0"/>
      <w:divBdr>
        <w:top w:val="none" w:sz="0" w:space="0" w:color="auto"/>
        <w:left w:val="none" w:sz="0" w:space="0" w:color="auto"/>
        <w:bottom w:val="none" w:sz="0" w:space="0" w:color="auto"/>
        <w:right w:val="none" w:sz="0" w:space="0" w:color="auto"/>
      </w:divBdr>
      <w:divsChild>
        <w:div w:id="44184110">
          <w:marLeft w:val="0"/>
          <w:marRight w:val="0"/>
          <w:marTop w:val="0"/>
          <w:marBottom w:val="150"/>
          <w:divBdr>
            <w:top w:val="none" w:sz="0" w:space="0" w:color="auto"/>
            <w:left w:val="none" w:sz="0" w:space="0" w:color="auto"/>
            <w:bottom w:val="none" w:sz="0" w:space="0" w:color="auto"/>
            <w:right w:val="none" w:sz="0" w:space="0" w:color="auto"/>
          </w:divBdr>
          <w:divsChild>
            <w:div w:id="5789899">
              <w:marLeft w:val="0"/>
              <w:marRight w:val="0"/>
              <w:marTop w:val="0"/>
              <w:marBottom w:val="0"/>
              <w:divBdr>
                <w:top w:val="none" w:sz="0" w:space="0" w:color="auto"/>
                <w:left w:val="none" w:sz="0" w:space="0" w:color="auto"/>
                <w:bottom w:val="none" w:sz="0" w:space="0" w:color="auto"/>
                <w:right w:val="none" w:sz="0" w:space="0" w:color="auto"/>
              </w:divBdr>
            </w:div>
          </w:divsChild>
        </w:div>
        <w:div w:id="935098212">
          <w:marLeft w:val="0"/>
          <w:marRight w:val="0"/>
          <w:marTop w:val="0"/>
          <w:marBottom w:val="150"/>
          <w:divBdr>
            <w:top w:val="none" w:sz="0" w:space="0" w:color="auto"/>
            <w:left w:val="none" w:sz="0" w:space="0" w:color="auto"/>
            <w:bottom w:val="none" w:sz="0" w:space="0" w:color="auto"/>
            <w:right w:val="none" w:sz="0" w:space="0" w:color="auto"/>
          </w:divBdr>
        </w:div>
        <w:div w:id="1906721132">
          <w:marLeft w:val="0"/>
          <w:marRight w:val="0"/>
          <w:marTop w:val="0"/>
          <w:marBottom w:val="0"/>
          <w:divBdr>
            <w:top w:val="none" w:sz="0" w:space="0" w:color="auto"/>
            <w:left w:val="none" w:sz="0" w:space="0" w:color="auto"/>
            <w:bottom w:val="none" w:sz="0" w:space="0" w:color="auto"/>
            <w:right w:val="none" w:sz="0" w:space="0" w:color="auto"/>
          </w:divBdr>
          <w:divsChild>
            <w:div w:id="10696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63043">
      <w:bodyDiv w:val="1"/>
      <w:marLeft w:val="0"/>
      <w:marRight w:val="0"/>
      <w:marTop w:val="0"/>
      <w:marBottom w:val="0"/>
      <w:divBdr>
        <w:top w:val="none" w:sz="0" w:space="0" w:color="auto"/>
        <w:left w:val="none" w:sz="0" w:space="0" w:color="auto"/>
        <w:bottom w:val="none" w:sz="0" w:space="0" w:color="auto"/>
        <w:right w:val="none" w:sz="0" w:space="0" w:color="auto"/>
      </w:divBdr>
      <w:divsChild>
        <w:div w:id="699817550">
          <w:marLeft w:val="0"/>
          <w:marRight w:val="0"/>
          <w:marTop w:val="0"/>
          <w:marBottom w:val="150"/>
          <w:divBdr>
            <w:top w:val="none" w:sz="0" w:space="0" w:color="auto"/>
            <w:left w:val="none" w:sz="0" w:space="0" w:color="auto"/>
            <w:bottom w:val="none" w:sz="0" w:space="0" w:color="auto"/>
            <w:right w:val="none" w:sz="0" w:space="0" w:color="auto"/>
          </w:divBdr>
        </w:div>
      </w:divsChild>
    </w:div>
    <w:div w:id="1799954588">
      <w:bodyDiv w:val="1"/>
      <w:marLeft w:val="0"/>
      <w:marRight w:val="0"/>
      <w:marTop w:val="0"/>
      <w:marBottom w:val="0"/>
      <w:divBdr>
        <w:top w:val="none" w:sz="0" w:space="0" w:color="auto"/>
        <w:left w:val="none" w:sz="0" w:space="0" w:color="auto"/>
        <w:bottom w:val="none" w:sz="0" w:space="0" w:color="auto"/>
        <w:right w:val="none" w:sz="0" w:space="0" w:color="auto"/>
      </w:divBdr>
      <w:divsChild>
        <w:div w:id="274408787">
          <w:marLeft w:val="0"/>
          <w:marRight w:val="0"/>
          <w:marTop w:val="0"/>
          <w:marBottom w:val="0"/>
          <w:divBdr>
            <w:top w:val="none" w:sz="0" w:space="0" w:color="auto"/>
            <w:left w:val="none" w:sz="0" w:space="0" w:color="auto"/>
            <w:bottom w:val="dotted" w:sz="6" w:space="4" w:color="DDDDDD"/>
            <w:right w:val="none" w:sz="0" w:space="0" w:color="auto"/>
          </w:divBdr>
          <w:divsChild>
            <w:div w:id="40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102487">
      <w:bodyDiv w:val="1"/>
      <w:marLeft w:val="0"/>
      <w:marRight w:val="0"/>
      <w:marTop w:val="0"/>
      <w:marBottom w:val="0"/>
      <w:divBdr>
        <w:top w:val="none" w:sz="0" w:space="0" w:color="auto"/>
        <w:left w:val="none" w:sz="0" w:space="0" w:color="auto"/>
        <w:bottom w:val="none" w:sz="0" w:space="0" w:color="auto"/>
        <w:right w:val="none" w:sz="0" w:space="0" w:color="auto"/>
      </w:divBdr>
      <w:divsChild>
        <w:div w:id="494692198">
          <w:marLeft w:val="0"/>
          <w:marRight w:val="0"/>
          <w:marTop w:val="0"/>
          <w:marBottom w:val="0"/>
          <w:divBdr>
            <w:top w:val="none" w:sz="0" w:space="0" w:color="auto"/>
            <w:left w:val="none" w:sz="0" w:space="0" w:color="auto"/>
            <w:bottom w:val="none" w:sz="0" w:space="0" w:color="auto"/>
            <w:right w:val="none" w:sz="0" w:space="0" w:color="auto"/>
          </w:divBdr>
          <w:divsChild>
            <w:div w:id="223179998">
              <w:marLeft w:val="0"/>
              <w:marRight w:val="0"/>
              <w:marTop w:val="0"/>
              <w:marBottom w:val="0"/>
              <w:divBdr>
                <w:top w:val="none" w:sz="0" w:space="0" w:color="auto"/>
                <w:left w:val="none" w:sz="0" w:space="0" w:color="auto"/>
                <w:bottom w:val="none" w:sz="0" w:space="0" w:color="auto"/>
                <w:right w:val="none" w:sz="0" w:space="0" w:color="auto"/>
              </w:divBdr>
              <w:divsChild>
                <w:div w:id="662046227">
                  <w:marLeft w:val="0"/>
                  <w:marRight w:val="0"/>
                  <w:marTop w:val="225"/>
                  <w:marBottom w:val="225"/>
                  <w:divBdr>
                    <w:top w:val="none" w:sz="0" w:space="0" w:color="auto"/>
                    <w:left w:val="none" w:sz="0" w:space="0" w:color="auto"/>
                    <w:bottom w:val="none" w:sz="0" w:space="0" w:color="auto"/>
                    <w:right w:val="none" w:sz="0" w:space="0" w:color="auto"/>
                  </w:divBdr>
                </w:div>
              </w:divsChild>
            </w:div>
            <w:div w:id="2012298514">
              <w:marLeft w:val="0"/>
              <w:marRight w:val="0"/>
              <w:marTop w:val="0"/>
              <w:marBottom w:val="150"/>
              <w:divBdr>
                <w:top w:val="none" w:sz="0" w:space="0" w:color="auto"/>
                <w:left w:val="none" w:sz="0" w:space="0" w:color="auto"/>
                <w:bottom w:val="none" w:sz="0" w:space="0" w:color="auto"/>
                <w:right w:val="none" w:sz="0" w:space="0" w:color="auto"/>
              </w:divBdr>
            </w:div>
          </w:divsChild>
        </w:div>
        <w:div w:id="1383095452">
          <w:marLeft w:val="0"/>
          <w:marRight w:val="0"/>
          <w:marTop w:val="0"/>
          <w:marBottom w:val="150"/>
          <w:divBdr>
            <w:top w:val="none" w:sz="0" w:space="0" w:color="auto"/>
            <w:left w:val="none" w:sz="0" w:space="0" w:color="auto"/>
            <w:bottom w:val="none" w:sz="0" w:space="0" w:color="auto"/>
            <w:right w:val="none" w:sz="0" w:space="0" w:color="auto"/>
          </w:divBdr>
          <w:divsChild>
            <w:div w:id="1619021962">
              <w:marLeft w:val="0"/>
              <w:marRight w:val="0"/>
              <w:marTop w:val="0"/>
              <w:marBottom w:val="0"/>
              <w:divBdr>
                <w:top w:val="none" w:sz="0" w:space="0" w:color="auto"/>
                <w:left w:val="none" w:sz="0" w:space="0" w:color="auto"/>
                <w:bottom w:val="none" w:sz="0" w:space="0" w:color="auto"/>
                <w:right w:val="none" w:sz="0" w:space="0" w:color="auto"/>
              </w:divBdr>
              <w:divsChild>
                <w:div w:id="36706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103535">
      <w:bodyDiv w:val="1"/>
      <w:marLeft w:val="0"/>
      <w:marRight w:val="0"/>
      <w:marTop w:val="0"/>
      <w:marBottom w:val="0"/>
      <w:divBdr>
        <w:top w:val="none" w:sz="0" w:space="0" w:color="auto"/>
        <w:left w:val="none" w:sz="0" w:space="0" w:color="auto"/>
        <w:bottom w:val="none" w:sz="0" w:space="0" w:color="auto"/>
        <w:right w:val="none" w:sz="0" w:space="0" w:color="auto"/>
      </w:divBdr>
      <w:divsChild>
        <w:div w:id="1112285172">
          <w:marLeft w:val="0"/>
          <w:marRight w:val="0"/>
          <w:marTop w:val="0"/>
          <w:marBottom w:val="0"/>
          <w:divBdr>
            <w:top w:val="none" w:sz="0" w:space="0" w:color="auto"/>
            <w:left w:val="none" w:sz="0" w:space="0" w:color="auto"/>
            <w:bottom w:val="dotted" w:sz="6" w:space="4" w:color="DDDDDD"/>
            <w:right w:val="none" w:sz="0" w:space="0" w:color="auto"/>
          </w:divBdr>
        </w:div>
      </w:divsChild>
    </w:div>
    <w:div w:id="1800493893">
      <w:bodyDiv w:val="1"/>
      <w:marLeft w:val="0"/>
      <w:marRight w:val="0"/>
      <w:marTop w:val="0"/>
      <w:marBottom w:val="0"/>
      <w:divBdr>
        <w:top w:val="none" w:sz="0" w:space="0" w:color="auto"/>
        <w:left w:val="none" w:sz="0" w:space="0" w:color="auto"/>
        <w:bottom w:val="none" w:sz="0" w:space="0" w:color="auto"/>
        <w:right w:val="none" w:sz="0" w:space="0" w:color="auto"/>
      </w:divBdr>
      <w:divsChild>
        <w:div w:id="1545680946">
          <w:marLeft w:val="0"/>
          <w:marRight w:val="0"/>
          <w:marTop w:val="0"/>
          <w:marBottom w:val="0"/>
          <w:divBdr>
            <w:top w:val="none" w:sz="0" w:space="0" w:color="auto"/>
            <w:left w:val="none" w:sz="0" w:space="0" w:color="auto"/>
            <w:bottom w:val="none" w:sz="0" w:space="0" w:color="auto"/>
            <w:right w:val="none" w:sz="0" w:space="0" w:color="auto"/>
          </w:divBdr>
        </w:div>
      </w:divsChild>
    </w:div>
    <w:div w:id="1800803837">
      <w:bodyDiv w:val="1"/>
      <w:marLeft w:val="0"/>
      <w:marRight w:val="0"/>
      <w:marTop w:val="0"/>
      <w:marBottom w:val="0"/>
      <w:divBdr>
        <w:top w:val="none" w:sz="0" w:space="0" w:color="auto"/>
        <w:left w:val="none" w:sz="0" w:space="0" w:color="auto"/>
        <w:bottom w:val="none" w:sz="0" w:space="0" w:color="auto"/>
        <w:right w:val="none" w:sz="0" w:space="0" w:color="auto"/>
      </w:divBdr>
    </w:div>
    <w:div w:id="1801418530">
      <w:bodyDiv w:val="1"/>
      <w:marLeft w:val="0"/>
      <w:marRight w:val="0"/>
      <w:marTop w:val="0"/>
      <w:marBottom w:val="0"/>
      <w:divBdr>
        <w:top w:val="none" w:sz="0" w:space="0" w:color="auto"/>
        <w:left w:val="none" w:sz="0" w:space="0" w:color="auto"/>
        <w:bottom w:val="none" w:sz="0" w:space="0" w:color="auto"/>
        <w:right w:val="none" w:sz="0" w:space="0" w:color="auto"/>
      </w:divBdr>
      <w:divsChild>
        <w:div w:id="922110417">
          <w:marLeft w:val="0"/>
          <w:marRight w:val="0"/>
          <w:marTop w:val="0"/>
          <w:marBottom w:val="0"/>
          <w:divBdr>
            <w:top w:val="none" w:sz="0" w:space="0" w:color="auto"/>
            <w:left w:val="none" w:sz="0" w:space="0" w:color="auto"/>
            <w:bottom w:val="none" w:sz="0" w:space="0" w:color="auto"/>
            <w:right w:val="none" w:sz="0" w:space="0" w:color="auto"/>
          </w:divBdr>
        </w:div>
      </w:divsChild>
    </w:div>
    <w:div w:id="1801528309">
      <w:bodyDiv w:val="1"/>
      <w:marLeft w:val="0"/>
      <w:marRight w:val="0"/>
      <w:marTop w:val="0"/>
      <w:marBottom w:val="0"/>
      <w:divBdr>
        <w:top w:val="none" w:sz="0" w:space="0" w:color="auto"/>
        <w:left w:val="none" w:sz="0" w:space="0" w:color="auto"/>
        <w:bottom w:val="none" w:sz="0" w:space="0" w:color="auto"/>
        <w:right w:val="none" w:sz="0" w:space="0" w:color="auto"/>
      </w:divBdr>
      <w:divsChild>
        <w:div w:id="1014260644">
          <w:marLeft w:val="0"/>
          <w:marRight w:val="0"/>
          <w:marTop w:val="0"/>
          <w:marBottom w:val="150"/>
          <w:divBdr>
            <w:top w:val="none" w:sz="0" w:space="0" w:color="auto"/>
            <w:left w:val="none" w:sz="0" w:space="0" w:color="auto"/>
            <w:bottom w:val="none" w:sz="0" w:space="0" w:color="auto"/>
            <w:right w:val="none" w:sz="0" w:space="0" w:color="auto"/>
          </w:divBdr>
          <w:divsChild>
            <w:div w:id="2044623909">
              <w:marLeft w:val="0"/>
              <w:marRight w:val="0"/>
              <w:marTop w:val="0"/>
              <w:marBottom w:val="0"/>
              <w:divBdr>
                <w:top w:val="none" w:sz="0" w:space="0" w:color="auto"/>
                <w:left w:val="none" w:sz="0" w:space="0" w:color="auto"/>
                <w:bottom w:val="none" w:sz="0" w:space="0" w:color="auto"/>
                <w:right w:val="none" w:sz="0" w:space="0" w:color="auto"/>
              </w:divBdr>
              <w:divsChild>
                <w:div w:id="143351981">
                  <w:marLeft w:val="0"/>
                  <w:marRight w:val="0"/>
                  <w:marTop w:val="0"/>
                  <w:marBottom w:val="0"/>
                  <w:divBdr>
                    <w:top w:val="none" w:sz="0" w:space="0" w:color="auto"/>
                    <w:left w:val="none" w:sz="0" w:space="0" w:color="auto"/>
                    <w:bottom w:val="none" w:sz="0" w:space="0" w:color="auto"/>
                    <w:right w:val="none" w:sz="0" w:space="0" w:color="auto"/>
                  </w:divBdr>
                  <w:divsChild>
                    <w:div w:id="134316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010431">
          <w:marLeft w:val="0"/>
          <w:marRight w:val="0"/>
          <w:marTop w:val="0"/>
          <w:marBottom w:val="0"/>
          <w:divBdr>
            <w:top w:val="none" w:sz="0" w:space="0" w:color="auto"/>
            <w:left w:val="none" w:sz="0" w:space="0" w:color="auto"/>
            <w:bottom w:val="none" w:sz="0" w:space="0" w:color="auto"/>
            <w:right w:val="none" w:sz="0" w:space="0" w:color="auto"/>
          </w:divBdr>
        </w:div>
      </w:divsChild>
    </w:div>
    <w:div w:id="1801999091">
      <w:bodyDiv w:val="1"/>
      <w:marLeft w:val="0"/>
      <w:marRight w:val="0"/>
      <w:marTop w:val="0"/>
      <w:marBottom w:val="0"/>
      <w:divBdr>
        <w:top w:val="none" w:sz="0" w:space="0" w:color="auto"/>
        <w:left w:val="none" w:sz="0" w:space="0" w:color="auto"/>
        <w:bottom w:val="none" w:sz="0" w:space="0" w:color="auto"/>
        <w:right w:val="none" w:sz="0" w:space="0" w:color="auto"/>
      </w:divBdr>
      <w:divsChild>
        <w:div w:id="399208992">
          <w:marLeft w:val="0"/>
          <w:marRight w:val="0"/>
          <w:marTop w:val="0"/>
          <w:marBottom w:val="0"/>
          <w:divBdr>
            <w:top w:val="none" w:sz="0" w:space="0" w:color="auto"/>
            <w:left w:val="none" w:sz="0" w:space="0" w:color="auto"/>
            <w:bottom w:val="none" w:sz="0" w:space="0" w:color="auto"/>
            <w:right w:val="none" w:sz="0" w:space="0" w:color="auto"/>
          </w:divBdr>
        </w:div>
        <w:div w:id="1416200005">
          <w:marLeft w:val="0"/>
          <w:marRight w:val="0"/>
          <w:marTop w:val="0"/>
          <w:marBottom w:val="150"/>
          <w:divBdr>
            <w:top w:val="none" w:sz="0" w:space="0" w:color="auto"/>
            <w:left w:val="none" w:sz="0" w:space="0" w:color="auto"/>
            <w:bottom w:val="none" w:sz="0" w:space="0" w:color="auto"/>
            <w:right w:val="none" w:sz="0" w:space="0" w:color="auto"/>
          </w:divBdr>
        </w:div>
      </w:divsChild>
    </w:div>
    <w:div w:id="1802533518">
      <w:bodyDiv w:val="1"/>
      <w:marLeft w:val="0"/>
      <w:marRight w:val="0"/>
      <w:marTop w:val="0"/>
      <w:marBottom w:val="0"/>
      <w:divBdr>
        <w:top w:val="none" w:sz="0" w:space="0" w:color="auto"/>
        <w:left w:val="none" w:sz="0" w:space="0" w:color="auto"/>
        <w:bottom w:val="none" w:sz="0" w:space="0" w:color="auto"/>
        <w:right w:val="none" w:sz="0" w:space="0" w:color="auto"/>
      </w:divBdr>
      <w:divsChild>
        <w:div w:id="1413235799">
          <w:marLeft w:val="0"/>
          <w:marRight w:val="0"/>
          <w:marTop w:val="0"/>
          <w:marBottom w:val="180"/>
          <w:divBdr>
            <w:top w:val="none" w:sz="0" w:space="0" w:color="auto"/>
            <w:left w:val="none" w:sz="0" w:space="0" w:color="auto"/>
            <w:bottom w:val="none" w:sz="0" w:space="0" w:color="auto"/>
            <w:right w:val="none" w:sz="0" w:space="0" w:color="auto"/>
          </w:divBdr>
        </w:div>
      </w:divsChild>
    </w:div>
    <w:div w:id="1802648810">
      <w:bodyDiv w:val="1"/>
      <w:marLeft w:val="0"/>
      <w:marRight w:val="0"/>
      <w:marTop w:val="0"/>
      <w:marBottom w:val="0"/>
      <w:divBdr>
        <w:top w:val="none" w:sz="0" w:space="0" w:color="auto"/>
        <w:left w:val="none" w:sz="0" w:space="0" w:color="auto"/>
        <w:bottom w:val="none" w:sz="0" w:space="0" w:color="auto"/>
        <w:right w:val="none" w:sz="0" w:space="0" w:color="auto"/>
      </w:divBdr>
      <w:divsChild>
        <w:div w:id="783228449">
          <w:marLeft w:val="0"/>
          <w:marRight w:val="0"/>
          <w:marTop w:val="0"/>
          <w:marBottom w:val="0"/>
          <w:divBdr>
            <w:top w:val="none" w:sz="0" w:space="0" w:color="auto"/>
            <w:left w:val="none" w:sz="0" w:space="0" w:color="auto"/>
            <w:bottom w:val="dotted" w:sz="6" w:space="4" w:color="DDDDDD"/>
            <w:right w:val="none" w:sz="0" w:space="0" w:color="auto"/>
          </w:divBdr>
          <w:divsChild>
            <w:div w:id="205877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039579">
      <w:bodyDiv w:val="1"/>
      <w:marLeft w:val="0"/>
      <w:marRight w:val="0"/>
      <w:marTop w:val="0"/>
      <w:marBottom w:val="0"/>
      <w:divBdr>
        <w:top w:val="none" w:sz="0" w:space="0" w:color="auto"/>
        <w:left w:val="none" w:sz="0" w:space="0" w:color="auto"/>
        <w:bottom w:val="none" w:sz="0" w:space="0" w:color="auto"/>
        <w:right w:val="none" w:sz="0" w:space="0" w:color="auto"/>
      </w:divBdr>
      <w:divsChild>
        <w:div w:id="989871862">
          <w:marLeft w:val="0"/>
          <w:marRight w:val="0"/>
          <w:marTop w:val="0"/>
          <w:marBottom w:val="150"/>
          <w:divBdr>
            <w:top w:val="none" w:sz="0" w:space="0" w:color="auto"/>
            <w:left w:val="none" w:sz="0" w:space="0" w:color="auto"/>
            <w:bottom w:val="none" w:sz="0" w:space="0" w:color="auto"/>
            <w:right w:val="none" w:sz="0" w:space="0" w:color="auto"/>
          </w:divBdr>
        </w:div>
      </w:divsChild>
    </w:div>
    <w:div w:id="1803380965">
      <w:bodyDiv w:val="1"/>
      <w:marLeft w:val="0"/>
      <w:marRight w:val="0"/>
      <w:marTop w:val="0"/>
      <w:marBottom w:val="0"/>
      <w:divBdr>
        <w:top w:val="none" w:sz="0" w:space="0" w:color="auto"/>
        <w:left w:val="none" w:sz="0" w:space="0" w:color="auto"/>
        <w:bottom w:val="none" w:sz="0" w:space="0" w:color="auto"/>
        <w:right w:val="none" w:sz="0" w:space="0" w:color="auto"/>
      </w:divBdr>
      <w:divsChild>
        <w:div w:id="1939365576">
          <w:marLeft w:val="0"/>
          <w:marRight w:val="0"/>
          <w:marTop w:val="0"/>
          <w:marBottom w:val="0"/>
          <w:divBdr>
            <w:top w:val="none" w:sz="0" w:space="0" w:color="auto"/>
            <w:left w:val="none" w:sz="0" w:space="0" w:color="auto"/>
            <w:bottom w:val="none" w:sz="0" w:space="0" w:color="auto"/>
            <w:right w:val="none" w:sz="0" w:space="0" w:color="auto"/>
          </w:divBdr>
          <w:divsChild>
            <w:div w:id="1394353054">
              <w:marLeft w:val="0"/>
              <w:marRight w:val="0"/>
              <w:marTop w:val="0"/>
              <w:marBottom w:val="0"/>
              <w:divBdr>
                <w:top w:val="none" w:sz="0" w:space="0" w:color="auto"/>
                <w:left w:val="none" w:sz="0" w:space="0" w:color="auto"/>
                <w:bottom w:val="none" w:sz="0" w:space="0" w:color="auto"/>
                <w:right w:val="none" w:sz="0" w:space="0" w:color="auto"/>
              </w:divBdr>
              <w:divsChild>
                <w:div w:id="91024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784127">
          <w:marLeft w:val="0"/>
          <w:marRight w:val="0"/>
          <w:marTop w:val="0"/>
          <w:marBottom w:val="75"/>
          <w:divBdr>
            <w:top w:val="none" w:sz="0" w:space="0" w:color="auto"/>
            <w:left w:val="none" w:sz="0" w:space="0" w:color="auto"/>
            <w:bottom w:val="none" w:sz="0" w:space="0" w:color="auto"/>
            <w:right w:val="none" w:sz="0" w:space="0" w:color="auto"/>
          </w:divBdr>
        </w:div>
        <w:div w:id="931664373">
          <w:marLeft w:val="0"/>
          <w:marRight w:val="0"/>
          <w:marTop w:val="0"/>
          <w:marBottom w:val="0"/>
          <w:divBdr>
            <w:top w:val="none" w:sz="0" w:space="0" w:color="auto"/>
            <w:left w:val="none" w:sz="0" w:space="0" w:color="auto"/>
            <w:bottom w:val="none" w:sz="0" w:space="0" w:color="auto"/>
            <w:right w:val="none" w:sz="0" w:space="0" w:color="auto"/>
          </w:divBdr>
          <w:divsChild>
            <w:div w:id="115177197">
              <w:marLeft w:val="0"/>
              <w:marRight w:val="0"/>
              <w:marTop w:val="0"/>
              <w:marBottom w:val="0"/>
              <w:divBdr>
                <w:top w:val="none" w:sz="0" w:space="0" w:color="auto"/>
                <w:left w:val="none" w:sz="0" w:space="0" w:color="auto"/>
                <w:bottom w:val="none" w:sz="0" w:space="0" w:color="auto"/>
                <w:right w:val="none" w:sz="0" w:space="0" w:color="auto"/>
              </w:divBdr>
              <w:divsChild>
                <w:div w:id="1501196002">
                  <w:marLeft w:val="0"/>
                  <w:marRight w:val="0"/>
                  <w:marTop w:val="0"/>
                  <w:marBottom w:val="450"/>
                  <w:divBdr>
                    <w:top w:val="none" w:sz="0" w:space="0" w:color="auto"/>
                    <w:left w:val="none" w:sz="0" w:space="0" w:color="auto"/>
                    <w:bottom w:val="none" w:sz="0" w:space="0" w:color="auto"/>
                    <w:right w:val="none" w:sz="0" w:space="0" w:color="auto"/>
                  </w:divBdr>
                  <w:divsChild>
                    <w:div w:id="13968525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03425599">
      <w:bodyDiv w:val="1"/>
      <w:marLeft w:val="0"/>
      <w:marRight w:val="0"/>
      <w:marTop w:val="0"/>
      <w:marBottom w:val="0"/>
      <w:divBdr>
        <w:top w:val="none" w:sz="0" w:space="0" w:color="auto"/>
        <w:left w:val="none" w:sz="0" w:space="0" w:color="auto"/>
        <w:bottom w:val="none" w:sz="0" w:space="0" w:color="auto"/>
        <w:right w:val="none" w:sz="0" w:space="0" w:color="auto"/>
      </w:divBdr>
      <w:divsChild>
        <w:div w:id="785392078">
          <w:marLeft w:val="0"/>
          <w:marRight w:val="0"/>
          <w:marTop w:val="0"/>
          <w:marBottom w:val="0"/>
          <w:divBdr>
            <w:top w:val="none" w:sz="0" w:space="0" w:color="auto"/>
            <w:left w:val="none" w:sz="0" w:space="0" w:color="auto"/>
            <w:bottom w:val="none" w:sz="0" w:space="0" w:color="auto"/>
            <w:right w:val="none" w:sz="0" w:space="0" w:color="auto"/>
          </w:divBdr>
          <w:divsChild>
            <w:div w:id="21472375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03767610">
      <w:bodyDiv w:val="1"/>
      <w:marLeft w:val="0"/>
      <w:marRight w:val="0"/>
      <w:marTop w:val="0"/>
      <w:marBottom w:val="0"/>
      <w:divBdr>
        <w:top w:val="none" w:sz="0" w:space="0" w:color="auto"/>
        <w:left w:val="none" w:sz="0" w:space="0" w:color="auto"/>
        <w:bottom w:val="none" w:sz="0" w:space="0" w:color="auto"/>
        <w:right w:val="none" w:sz="0" w:space="0" w:color="auto"/>
      </w:divBdr>
      <w:divsChild>
        <w:div w:id="1330140169">
          <w:marLeft w:val="0"/>
          <w:marRight w:val="0"/>
          <w:marTop w:val="0"/>
          <w:marBottom w:val="0"/>
          <w:divBdr>
            <w:top w:val="none" w:sz="0" w:space="0" w:color="auto"/>
            <w:left w:val="none" w:sz="0" w:space="0" w:color="auto"/>
            <w:bottom w:val="dotted" w:sz="6" w:space="4" w:color="DDDDDD"/>
            <w:right w:val="none" w:sz="0" w:space="0" w:color="auto"/>
          </w:divBdr>
        </w:div>
      </w:divsChild>
    </w:div>
    <w:div w:id="1803964513">
      <w:bodyDiv w:val="1"/>
      <w:marLeft w:val="0"/>
      <w:marRight w:val="0"/>
      <w:marTop w:val="0"/>
      <w:marBottom w:val="0"/>
      <w:divBdr>
        <w:top w:val="none" w:sz="0" w:space="0" w:color="auto"/>
        <w:left w:val="none" w:sz="0" w:space="0" w:color="auto"/>
        <w:bottom w:val="none" w:sz="0" w:space="0" w:color="auto"/>
        <w:right w:val="none" w:sz="0" w:space="0" w:color="auto"/>
      </w:divBdr>
      <w:divsChild>
        <w:div w:id="469371037">
          <w:marLeft w:val="0"/>
          <w:marRight w:val="0"/>
          <w:marTop w:val="0"/>
          <w:marBottom w:val="0"/>
          <w:divBdr>
            <w:top w:val="none" w:sz="0" w:space="0" w:color="auto"/>
            <w:left w:val="none" w:sz="0" w:space="0" w:color="auto"/>
            <w:bottom w:val="none" w:sz="0" w:space="0" w:color="auto"/>
            <w:right w:val="none" w:sz="0" w:space="0" w:color="auto"/>
          </w:divBdr>
          <w:divsChild>
            <w:div w:id="1693994574">
              <w:marLeft w:val="0"/>
              <w:marRight w:val="0"/>
              <w:marTop w:val="0"/>
              <w:marBottom w:val="0"/>
              <w:divBdr>
                <w:top w:val="none" w:sz="0" w:space="0" w:color="auto"/>
                <w:left w:val="none" w:sz="0" w:space="0" w:color="auto"/>
                <w:bottom w:val="none" w:sz="0" w:space="0" w:color="auto"/>
                <w:right w:val="none" w:sz="0" w:space="0" w:color="auto"/>
              </w:divBdr>
              <w:divsChild>
                <w:div w:id="612439915">
                  <w:marLeft w:val="0"/>
                  <w:marRight w:val="0"/>
                  <w:marTop w:val="0"/>
                  <w:marBottom w:val="0"/>
                  <w:divBdr>
                    <w:top w:val="none" w:sz="0" w:space="0" w:color="auto"/>
                    <w:left w:val="none" w:sz="0" w:space="0" w:color="auto"/>
                    <w:bottom w:val="none" w:sz="0" w:space="0" w:color="auto"/>
                    <w:right w:val="none" w:sz="0" w:space="0" w:color="auto"/>
                  </w:divBdr>
                  <w:divsChild>
                    <w:div w:id="1168791102">
                      <w:marLeft w:val="0"/>
                      <w:marRight w:val="0"/>
                      <w:marTop w:val="0"/>
                      <w:marBottom w:val="0"/>
                      <w:divBdr>
                        <w:top w:val="none" w:sz="0" w:space="0" w:color="auto"/>
                        <w:left w:val="none" w:sz="0" w:space="0" w:color="auto"/>
                        <w:bottom w:val="none" w:sz="0" w:space="0" w:color="auto"/>
                        <w:right w:val="none" w:sz="0" w:space="0" w:color="auto"/>
                      </w:divBdr>
                      <w:divsChild>
                        <w:div w:id="936443929">
                          <w:marLeft w:val="0"/>
                          <w:marRight w:val="0"/>
                          <w:marTop w:val="0"/>
                          <w:marBottom w:val="0"/>
                          <w:divBdr>
                            <w:top w:val="none" w:sz="0" w:space="0" w:color="auto"/>
                            <w:left w:val="none" w:sz="0" w:space="0" w:color="auto"/>
                            <w:bottom w:val="none" w:sz="0" w:space="0" w:color="auto"/>
                            <w:right w:val="none" w:sz="0" w:space="0" w:color="auto"/>
                          </w:divBdr>
                          <w:divsChild>
                            <w:div w:id="1185441010">
                              <w:marLeft w:val="0"/>
                              <w:marRight w:val="0"/>
                              <w:marTop w:val="0"/>
                              <w:marBottom w:val="0"/>
                              <w:divBdr>
                                <w:top w:val="none" w:sz="0" w:space="0" w:color="auto"/>
                                <w:left w:val="none" w:sz="0" w:space="0" w:color="auto"/>
                                <w:bottom w:val="none" w:sz="0" w:space="0" w:color="auto"/>
                                <w:right w:val="none" w:sz="0" w:space="0" w:color="auto"/>
                              </w:divBdr>
                              <w:divsChild>
                                <w:div w:id="522398388">
                                  <w:marLeft w:val="0"/>
                                  <w:marRight w:val="0"/>
                                  <w:marTop w:val="0"/>
                                  <w:marBottom w:val="0"/>
                                  <w:divBdr>
                                    <w:top w:val="none" w:sz="0" w:space="0" w:color="auto"/>
                                    <w:left w:val="none" w:sz="0" w:space="0" w:color="auto"/>
                                    <w:bottom w:val="none" w:sz="0" w:space="0" w:color="auto"/>
                                    <w:right w:val="none" w:sz="0" w:space="0" w:color="auto"/>
                                  </w:divBdr>
                                  <w:divsChild>
                                    <w:div w:id="23917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5195862">
      <w:bodyDiv w:val="1"/>
      <w:marLeft w:val="0"/>
      <w:marRight w:val="0"/>
      <w:marTop w:val="0"/>
      <w:marBottom w:val="0"/>
      <w:divBdr>
        <w:top w:val="none" w:sz="0" w:space="0" w:color="auto"/>
        <w:left w:val="none" w:sz="0" w:space="0" w:color="auto"/>
        <w:bottom w:val="none" w:sz="0" w:space="0" w:color="auto"/>
        <w:right w:val="none" w:sz="0" w:space="0" w:color="auto"/>
      </w:divBdr>
    </w:div>
    <w:div w:id="1805268781">
      <w:bodyDiv w:val="1"/>
      <w:marLeft w:val="0"/>
      <w:marRight w:val="0"/>
      <w:marTop w:val="0"/>
      <w:marBottom w:val="0"/>
      <w:divBdr>
        <w:top w:val="none" w:sz="0" w:space="0" w:color="auto"/>
        <w:left w:val="none" w:sz="0" w:space="0" w:color="auto"/>
        <w:bottom w:val="none" w:sz="0" w:space="0" w:color="auto"/>
        <w:right w:val="none" w:sz="0" w:space="0" w:color="auto"/>
      </w:divBdr>
    </w:div>
    <w:div w:id="1805661142">
      <w:bodyDiv w:val="1"/>
      <w:marLeft w:val="0"/>
      <w:marRight w:val="0"/>
      <w:marTop w:val="0"/>
      <w:marBottom w:val="0"/>
      <w:divBdr>
        <w:top w:val="none" w:sz="0" w:space="0" w:color="auto"/>
        <w:left w:val="none" w:sz="0" w:space="0" w:color="auto"/>
        <w:bottom w:val="none" w:sz="0" w:space="0" w:color="auto"/>
        <w:right w:val="none" w:sz="0" w:space="0" w:color="auto"/>
      </w:divBdr>
      <w:divsChild>
        <w:div w:id="73863465">
          <w:marLeft w:val="0"/>
          <w:marRight w:val="0"/>
          <w:marTop w:val="0"/>
          <w:marBottom w:val="0"/>
          <w:divBdr>
            <w:top w:val="none" w:sz="0" w:space="0" w:color="auto"/>
            <w:left w:val="none" w:sz="0" w:space="0" w:color="auto"/>
            <w:bottom w:val="none" w:sz="0" w:space="0" w:color="auto"/>
            <w:right w:val="none" w:sz="0" w:space="0" w:color="auto"/>
          </w:divBdr>
          <w:divsChild>
            <w:div w:id="1422991807">
              <w:marLeft w:val="0"/>
              <w:marRight w:val="0"/>
              <w:marTop w:val="0"/>
              <w:marBottom w:val="150"/>
              <w:divBdr>
                <w:top w:val="none" w:sz="0" w:space="0" w:color="auto"/>
                <w:left w:val="none" w:sz="0" w:space="0" w:color="auto"/>
                <w:bottom w:val="none" w:sz="0" w:space="0" w:color="auto"/>
                <w:right w:val="none" w:sz="0" w:space="0" w:color="auto"/>
              </w:divBdr>
            </w:div>
            <w:div w:id="1771316654">
              <w:marLeft w:val="0"/>
              <w:marRight w:val="0"/>
              <w:marTop w:val="0"/>
              <w:marBottom w:val="0"/>
              <w:divBdr>
                <w:top w:val="none" w:sz="0" w:space="0" w:color="auto"/>
                <w:left w:val="none" w:sz="0" w:space="0" w:color="auto"/>
                <w:bottom w:val="none" w:sz="0" w:space="0" w:color="auto"/>
                <w:right w:val="none" w:sz="0" w:space="0" w:color="auto"/>
              </w:divBdr>
              <w:divsChild>
                <w:div w:id="28461885">
                  <w:marLeft w:val="0"/>
                  <w:marRight w:val="0"/>
                  <w:marTop w:val="0"/>
                  <w:marBottom w:val="0"/>
                  <w:divBdr>
                    <w:top w:val="none" w:sz="0" w:space="0" w:color="auto"/>
                    <w:left w:val="none" w:sz="0" w:space="0" w:color="auto"/>
                    <w:bottom w:val="none" w:sz="0" w:space="0" w:color="auto"/>
                    <w:right w:val="none" w:sz="0" w:space="0" w:color="auto"/>
                  </w:divBdr>
                </w:div>
                <w:div w:id="194076845">
                  <w:marLeft w:val="0"/>
                  <w:marRight w:val="0"/>
                  <w:marTop w:val="0"/>
                  <w:marBottom w:val="0"/>
                  <w:divBdr>
                    <w:top w:val="none" w:sz="0" w:space="0" w:color="auto"/>
                    <w:left w:val="none" w:sz="0" w:space="0" w:color="auto"/>
                    <w:bottom w:val="none" w:sz="0" w:space="0" w:color="auto"/>
                    <w:right w:val="none" w:sz="0" w:space="0" w:color="auto"/>
                  </w:divBdr>
                </w:div>
                <w:div w:id="218055190">
                  <w:marLeft w:val="0"/>
                  <w:marRight w:val="0"/>
                  <w:marTop w:val="0"/>
                  <w:marBottom w:val="0"/>
                  <w:divBdr>
                    <w:top w:val="none" w:sz="0" w:space="0" w:color="auto"/>
                    <w:left w:val="none" w:sz="0" w:space="0" w:color="auto"/>
                    <w:bottom w:val="none" w:sz="0" w:space="0" w:color="auto"/>
                    <w:right w:val="none" w:sz="0" w:space="0" w:color="auto"/>
                  </w:divBdr>
                </w:div>
                <w:div w:id="363212266">
                  <w:marLeft w:val="0"/>
                  <w:marRight w:val="0"/>
                  <w:marTop w:val="0"/>
                  <w:marBottom w:val="0"/>
                  <w:divBdr>
                    <w:top w:val="none" w:sz="0" w:space="0" w:color="auto"/>
                    <w:left w:val="none" w:sz="0" w:space="0" w:color="auto"/>
                    <w:bottom w:val="none" w:sz="0" w:space="0" w:color="auto"/>
                    <w:right w:val="none" w:sz="0" w:space="0" w:color="auto"/>
                  </w:divBdr>
                </w:div>
                <w:div w:id="410199466">
                  <w:marLeft w:val="0"/>
                  <w:marRight w:val="0"/>
                  <w:marTop w:val="0"/>
                  <w:marBottom w:val="0"/>
                  <w:divBdr>
                    <w:top w:val="none" w:sz="0" w:space="0" w:color="auto"/>
                    <w:left w:val="none" w:sz="0" w:space="0" w:color="auto"/>
                    <w:bottom w:val="none" w:sz="0" w:space="0" w:color="auto"/>
                    <w:right w:val="none" w:sz="0" w:space="0" w:color="auto"/>
                  </w:divBdr>
                </w:div>
                <w:div w:id="942345664">
                  <w:marLeft w:val="0"/>
                  <w:marRight w:val="0"/>
                  <w:marTop w:val="0"/>
                  <w:marBottom w:val="0"/>
                  <w:divBdr>
                    <w:top w:val="none" w:sz="0" w:space="0" w:color="auto"/>
                    <w:left w:val="none" w:sz="0" w:space="0" w:color="auto"/>
                    <w:bottom w:val="none" w:sz="0" w:space="0" w:color="auto"/>
                    <w:right w:val="none" w:sz="0" w:space="0" w:color="auto"/>
                  </w:divBdr>
                </w:div>
                <w:div w:id="1201939376">
                  <w:marLeft w:val="0"/>
                  <w:marRight w:val="0"/>
                  <w:marTop w:val="0"/>
                  <w:marBottom w:val="0"/>
                  <w:divBdr>
                    <w:top w:val="none" w:sz="0" w:space="0" w:color="auto"/>
                    <w:left w:val="none" w:sz="0" w:space="0" w:color="auto"/>
                    <w:bottom w:val="none" w:sz="0" w:space="0" w:color="auto"/>
                    <w:right w:val="none" w:sz="0" w:space="0" w:color="auto"/>
                  </w:divBdr>
                </w:div>
                <w:div w:id="1969702741">
                  <w:marLeft w:val="0"/>
                  <w:marRight w:val="0"/>
                  <w:marTop w:val="0"/>
                  <w:marBottom w:val="0"/>
                  <w:divBdr>
                    <w:top w:val="none" w:sz="0" w:space="0" w:color="auto"/>
                    <w:left w:val="none" w:sz="0" w:space="0" w:color="auto"/>
                    <w:bottom w:val="none" w:sz="0" w:space="0" w:color="auto"/>
                    <w:right w:val="none" w:sz="0" w:space="0" w:color="auto"/>
                  </w:divBdr>
                </w:div>
                <w:div w:id="202265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735150">
      <w:bodyDiv w:val="1"/>
      <w:marLeft w:val="0"/>
      <w:marRight w:val="0"/>
      <w:marTop w:val="0"/>
      <w:marBottom w:val="0"/>
      <w:divBdr>
        <w:top w:val="none" w:sz="0" w:space="0" w:color="auto"/>
        <w:left w:val="none" w:sz="0" w:space="0" w:color="auto"/>
        <w:bottom w:val="none" w:sz="0" w:space="0" w:color="auto"/>
        <w:right w:val="none" w:sz="0" w:space="0" w:color="auto"/>
      </w:divBdr>
      <w:divsChild>
        <w:div w:id="1923180684">
          <w:marLeft w:val="0"/>
          <w:marRight w:val="0"/>
          <w:marTop w:val="0"/>
          <w:marBottom w:val="0"/>
          <w:divBdr>
            <w:top w:val="none" w:sz="0" w:space="0" w:color="auto"/>
            <w:left w:val="none" w:sz="0" w:space="0" w:color="auto"/>
            <w:bottom w:val="dotted" w:sz="6" w:space="4" w:color="DDDDDD"/>
            <w:right w:val="none" w:sz="0" w:space="0" w:color="auto"/>
          </w:divBdr>
          <w:divsChild>
            <w:div w:id="178221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811219">
      <w:bodyDiv w:val="1"/>
      <w:marLeft w:val="0"/>
      <w:marRight w:val="0"/>
      <w:marTop w:val="0"/>
      <w:marBottom w:val="0"/>
      <w:divBdr>
        <w:top w:val="none" w:sz="0" w:space="0" w:color="auto"/>
        <w:left w:val="none" w:sz="0" w:space="0" w:color="auto"/>
        <w:bottom w:val="none" w:sz="0" w:space="0" w:color="auto"/>
        <w:right w:val="none" w:sz="0" w:space="0" w:color="auto"/>
      </w:divBdr>
      <w:divsChild>
        <w:div w:id="194272032">
          <w:marLeft w:val="0"/>
          <w:marRight w:val="0"/>
          <w:marTop w:val="0"/>
          <w:marBottom w:val="0"/>
          <w:divBdr>
            <w:top w:val="none" w:sz="0" w:space="0" w:color="auto"/>
            <w:left w:val="none" w:sz="0" w:space="0" w:color="auto"/>
            <w:bottom w:val="dotted" w:sz="6" w:space="4" w:color="DDDDDD"/>
            <w:right w:val="none" w:sz="0" w:space="0" w:color="auto"/>
          </w:divBdr>
        </w:div>
      </w:divsChild>
    </w:div>
    <w:div w:id="1805848807">
      <w:bodyDiv w:val="1"/>
      <w:marLeft w:val="0"/>
      <w:marRight w:val="0"/>
      <w:marTop w:val="0"/>
      <w:marBottom w:val="0"/>
      <w:divBdr>
        <w:top w:val="none" w:sz="0" w:space="0" w:color="auto"/>
        <w:left w:val="none" w:sz="0" w:space="0" w:color="auto"/>
        <w:bottom w:val="none" w:sz="0" w:space="0" w:color="auto"/>
        <w:right w:val="none" w:sz="0" w:space="0" w:color="auto"/>
      </w:divBdr>
      <w:divsChild>
        <w:div w:id="293562925">
          <w:marLeft w:val="0"/>
          <w:marRight w:val="0"/>
          <w:marTop w:val="0"/>
          <w:marBottom w:val="0"/>
          <w:divBdr>
            <w:top w:val="none" w:sz="0" w:space="0" w:color="auto"/>
            <w:left w:val="none" w:sz="0" w:space="0" w:color="auto"/>
            <w:bottom w:val="none" w:sz="0" w:space="0" w:color="auto"/>
            <w:right w:val="none" w:sz="0" w:space="0" w:color="auto"/>
          </w:divBdr>
          <w:divsChild>
            <w:div w:id="977226444">
              <w:marLeft w:val="0"/>
              <w:marRight w:val="0"/>
              <w:marTop w:val="225"/>
              <w:marBottom w:val="225"/>
              <w:divBdr>
                <w:top w:val="none" w:sz="0" w:space="0" w:color="auto"/>
                <w:left w:val="none" w:sz="0" w:space="0" w:color="auto"/>
                <w:bottom w:val="none" w:sz="0" w:space="0" w:color="auto"/>
                <w:right w:val="none" w:sz="0" w:space="0" w:color="auto"/>
              </w:divBdr>
            </w:div>
          </w:divsChild>
        </w:div>
        <w:div w:id="755828470">
          <w:marLeft w:val="0"/>
          <w:marRight w:val="0"/>
          <w:marTop w:val="0"/>
          <w:marBottom w:val="150"/>
          <w:divBdr>
            <w:top w:val="none" w:sz="0" w:space="0" w:color="auto"/>
            <w:left w:val="none" w:sz="0" w:space="0" w:color="auto"/>
            <w:bottom w:val="none" w:sz="0" w:space="0" w:color="auto"/>
            <w:right w:val="none" w:sz="0" w:space="0" w:color="auto"/>
          </w:divBdr>
        </w:div>
        <w:div w:id="1892039545">
          <w:marLeft w:val="0"/>
          <w:marRight w:val="0"/>
          <w:marTop w:val="0"/>
          <w:marBottom w:val="150"/>
          <w:divBdr>
            <w:top w:val="none" w:sz="0" w:space="0" w:color="auto"/>
            <w:left w:val="none" w:sz="0" w:space="0" w:color="auto"/>
            <w:bottom w:val="none" w:sz="0" w:space="0" w:color="auto"/>
            <w:right w:val="none" w:sz="0" w:space="0" w:color="auto"/>
          </w:divBdr>
          <w:divsChild>
            <w:div w:id="36399678">
              <w:marLeft w:val="0"/>
              <w:marRight w:val="0"/>
              <w:marTop w:val="0"/>
              <w:marBottom w:val="0"/>
              <w:divBdr>
                <w:top w:val="none" w:sz="0" w:space="0" w:color="auto"/>
                <w:left w:val="none" w:sz="0" w:space="0" w:color="auto"/>
                <w:bottom w:val="none" w:sz="0" w:space="0" w:color="auto"/>
                <w:right w:val="none" w:sz="0" w:space="0" w:color="auto"/>
              </w:divBdr>
              <w:divsChild>
                <w:div w:id="48905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696965">
      <w:bodyDiv w:val="1"/>
      <w:marLeft w:val="0"/>
      <w:marRight w:val="0"/>
      <w:marTop w:val="0"/>
      <w:marBottom w:val="0"/>
      <w:divBdr>
        <w:top w:val="none" w:sz="0" w:space="0" w:color="auto"/>
        <w:left w:val="none" w:sz="0" w:space="0" w:color="auto"/>
        <w:bottom w:val="none" w:sz="0" w:space="0" w:color="auto"/>
        <w:right w:val="none" w:sz="0" w:space="0" w:color="auto"/>
      </w:divBdr>
      <w:divsChild>
        <w:div w:id="438960264">
          <w:marLeft w:val="0"/>
          <w:marRight w:val="0"/>
          <w:marTop w:val="0"/>
          <w:marBottom w:val="0"/>
          <w:divBdr>
            <w:top w:val="none" w:sz="0" w:space="0" w:color="auto"/>
            <w:left w:val="none" w:sz="0" w:space="0" w:color="auto"/>
            <w:bottom w:val="none" w:sz="0" w:space="0" w:color="auto"/>
            <w:right w:val="none" w:sz="0" w:space="0" w:color="auto"/>
          </w:divBdr>
          <w:divsChild>
            <w:div w:id="611130196">
              <w:marLeft w:val="0"/>
              <w:marRight w:val="0"/>
              <w:marTop w:val="0"/>
              <w:marBottom w:val="150"/>
              <w:divBdr>
                <w:top w:val="none" w:sz="0" w:space="0" w:color="auto"/>
                <w:left w:val="none" w:sz="0" w:space="0" w:color="auto"/>
                <w:bottom w:val="none" w:sz="0" w:space="0" w:color="auto"/>
                <w:right w:val="none" w:sz="0" w:space="0" w:color="auto"/>
              </w:divBdr>
            </w:div>
            <w:div w:id="143891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968158">
      <w:bodyDiv w:val="1"/>
      <w:marLeft w:val="0"/>
      <w:marRight w:val="0"/>
      <w:marTop w:val="0"/>
      <w:marBottom w:val="0"/>
      <w:divBdr>
        <w:top w:val="none" w:sz="0" w:space="0" w:color="auto"/>
        <w:left w:val="none" w:sz="0" w:space="0" w:color="auto"/>
        <w:bottom w:val="none" w:sz="0" w:space="0" w:color="auto"/>
        <w:right w:val="none" w:sz="0" w:space="0" w:color="auto"/>
      </w:divBdr>
      <w:divsChild>
        <w:div w:id="1398549606">
          <w:marLeft w:val="0"/>
          <w:marRight w:val="0"/>
          <w:marTop w:val="0"/>
          <w:marBottom w:val="0"/>
          <w:divBdr>
            <w:top w:val="none" w:sz="0" w:space="0" w:color="auto"/>
            <w:left w:val="none" w:sz="0" w:space="0" w:color="auto"/>
            <w:bottom w:val="dotted" w:sz="6" w:space="4" w:color="DDDDDD"/>
            <w:right w:val="none" w:sz="0" w:space="0" w:color="auto"/>
          </w:divBdr>
        </w:div>
      </w:divsChild>
    </w:div>
    <w:div w:id="1807091089">
      <w:bodyDiv w:val="1"/>
      <w:marLeft w:val="0"/>
      <w:marRight w:val="0"/>
      <w:marTop w:val="0"/>
      <w:marBottom w:val="0"/>
      <w:divBdr>
        <w:top w:val="none" w:sz="0" w:space="0" w:color="auto"/>
        <w:left w:val="none" w:sz="0" w:space="0" w:color="auto"/>
        <w:bottom w:val="none" w:sz="0" w:space="0" w:color="auto"/>
        <w:right w:val="none" w:sz="0" w:space="0" w:color="auto"/>
      </w:divBdr>
      <w:divsChild>
        <w:div w:id="775295917">
          <w:marLeft w:val="0"/>
          <w:marRight w:val="0"/>
          <w:marTop w:val="0"/>
          <w:marBottom w:val="150"/>
          <w:divBdr>
            <w:top w:val="none" w:sz="0" w:space="0" w:color="auto"/>
            <w:left w:val="none" w:sz="0" w:space="0" w:color="auto"/>
            <w:bottom w:val="none" w:sz="0" w:space="0" w:color="auto"/>
            <w:right w:val="none" w:sz="0" w:space="0" w:color="auto"/>
          </w:divBdr>
          <w:divsChild>
            <w:div w:id="844318933">
              <w:marLeft w:val="0"/>
              <w:marRight w:val="0"/>
              <w:marTop w:val="0"/>
              <w:marBottom w:val="0"/>
              <w:divBdr>
                <w:top w:val="none" w:sz="0" w:space="0" w:color="auto"/>
                <w:left w:val="none" w:sz="0" w:space="0" w:color="auto"/>
                <w:bottom w:val="none" w:sz="0" w:space="0" w:color="auto"/>
                <w:right w:val="none" w:sz="0" w:space="0" w:color="auto"/>
              </w:divBdr>
            </w:div>
          </w:divsChild>
        </w:div>
        <w:div w:id="1136525605">
          <w:marLeft w:val="0"/>
          <w:marRight w:val="0"/>
          <w:marTop w:val="0"/>
          <w:marBottom w:val="0"/>
          <w:divBdr>
            <w:top w:val="none" w:sz="0" w:space="0" w:color="auto"/>
            <w:left w:val="none" w:sz="0" w:space="0" w:color="auto"/>
            <w:bottom w:val="none" w:sz="0" w:space="0" w:color="auto"/>
            <w:right w:val="none" w:sz="0" w:space="0" w:color="auto"/>
          </w:divBdr>
          <w:divsChild>
            <w:div w:id="1139768430">
              <w:marLeft w:val="0"/>
              <w:marRight w:val="0"/>
              <w:marTop w:val="0"/>
              <w:marBottom w:val="0"/>
              <w:divBdr>
                <w:top w:val="none" w:sz="0" w:space="0" w:color="auto"/>
                <w:left w:val="none" w:sz="0" w:space="0" w:color="auto"/>
                <w:bottom w:val="none" w:sz="0" w:space="0" w:color="auto"/>
                <w:right w:val="none" w:sz="0" w:space="0" w:color="auto"/>
              </w:divBdr>
            </w:div>
          </w:divsChild>
        </w:div>
        <w:div w:id="1914317113">
          <w:marLeft w:val="0"/>
          <w:marRight w:val="0"/>
          <w:marTop w:val="0"/>
          <w:marBottom w:val="150"/>
          <w:divBdr>
            <w:top w:val="none" w:sz="0" w:space="0" w:color="auto"/>
            <w:left w:val="none" w:sz="0" w:space="0" w:color="auto"/>
            <w:bottom w:val="none" w:sz="0" w:space="0" w:color="auto"/>
            <w:right w:val="none" w:sz="0" w:space="0" w:color="auto"/>
          </w:divBdr>
        </w:div>
      </w:divsChild>
    </w:div>
    <w:div w:id="1807117964">
      <w:bodyDiv w:val="1"/>
      <w:marLeft w:val="0"/>
      <w:marRight w:val="0"/>
      <w:marTop w:val="0"/>
      <w:marBottom w:val="0"/>
      <w:divBdr>
        <w:top w:val="none" w:sz="0" w:space="0" w:color="auto"/>
        <w:left w:val="none" w:sz="0" w:space="0" w:color="auto"/>
        <w:bottom w:val="none" w:sz="0" w:space="0" w:color="auto"/>
        <w:right w:val="none" w:sz="0" w:space="0" w:color="auto"/>
      </w:divBdr>
      <w:divsChild>
        <w:div w:id="837960123">
          <w:marLeft w:val="0"/>
          <w:marRight w:val="0"/>
          <w:marTop w:val="0"/>
          <w:marBottom w:val="0"/>
          <w:divBdr>
            <w:top w:val="none" w:sz="0" w:space="0" w:color="auto"/>
            <w:left w:val="none" w:sz="0" w:space="0" w:color="auto"/>
            <w:bottom w:val="none" w:sz="0" w:space="0" w:color="auto"/>
            <w:right w:val="none" w:sz="0" w:space="0" w:color="auto"/>
          </w:divBdr>
        </w:div>
        <w:div w:id="1431781069">
          <w:marLeft w:val="0"/>
          <w:marRight w:val="0"/>
          <w:marTop w:val="0"/>
          <w:marBottom w:val="0"/>
          <w:divBdr>
            <w:top w:val="none" w:sz="0" w:space="0" w:color="auto"/>
            <w:left w:val="none" w:sz="0" w:space="0" w:color="auto"/>
            <w:bottom w:val="none" w:sz="0" w:space="0" w:color="auto"/>
            <w:right w:val="none" w:sz="0" w:space="0" w:color="auto"/>
          </w:divBdr>
        </w:div>
      </w:divsChild>
    </w:div>
    <w:div w:id="1807165662">
      <w:bodyDiv w:val="1"/>
      <w:marLeft w:val="0"/>
      <w:marRight w:val="0"/>
      <w:marTop w:val="0"/>
      <w:marBottom w:val="0"/>
      <w:divBdr>
        <w:top w:val="none" w:sz="0" w:space="0" w:color="auto"/>
        <w:left w:val="none" w:sz="0" w:space="0" w:color="auto"/>
        <w:bottom w:val="none" w:sz="0" w:space="0" w:color="auto"/>
        <w:right w:val="none" w:sz="0" w:space="0" w:color="auto"/>
      </w:divBdr>
      <w:divsChild>
        <w:div w:id="172768420">
          <w:marLeft w:val="0"/>
          <w:marRight w:val="0"/>
          <w:marTop w:val="0"/>
          <w:marBottom w:val="0"/>
          <w:divBdr>
            <w:top w:val="none" w:sz="0" w:space="0" w:color="auto"/>
            <w:left w:val="none" w:sz="0" w:space="0" w:color="auto"/>
            <w:bottom w:val="none" w:sz="0" w:space="0" w:color="auto"/>
            <w:right w:val="none" w:sz="0" w:space="0" w:color="auto"/>
          </w:divBdr>
          <w:divsChild>
            <w:div w:id="500776514">
              <w:marLeft w:val="0"/>
              <w:marRight w:val="0"/>
              <w:marTop w:val="0"/>
              <w:marBottom w:val="0"/>
              <w:divBdr>
                <w:top w:val="none" w:sz="0" w:space="0" w:color="auto"/>
                <w:left w:val="none" w:sz="0" w:space="0" w:color="auto"/>
                <w:bottom w:val="none" w:sz="0" w:space="0" w:color="auto"/>
                <w:right w:val="none" w:sz="0" w:space="0" w:color="auto"/>
              </w:divBdr>
              <w:divsChild>
                <w:div w:id="1527675773">
                  <w:marLeft w:val="0"/>
                  <w:marRight w:val="0"/>
                  <w:marTop w:val="0"/>
                  <w:marBottom w:val="150"/>
                  <w:divBdr>
                    <w:top w:val="none" w:sz="0" w:space="0" w:color="auto"/>
                    <w:left w:val="none" w:sz="0" w:space="0" w:color="auto"/>
                    <w:bottom w:val="none" w:sz="0" w:space="0" w:color="auto"/>
                    <w:right w:val="none" w:sz="0" w:space="0" w:color="auto"/>
                  </w:divBdr>
                  <w:divsChild>
                    <w:div w:id="1709141048">
                      <w:marLeft w:val="0"/>
                      <w:marRight w:val="0"/>
                      <w:marTop w:val="0"/>
                      <w:marBottom w:val="0"/>
                      <w:divBdr>
                        <w:top w:val="none" w:sz="0" w:space="0" w:color="auto"/>
                        <w:left w:val="none" w:sz="0" w:space="0" w:color="auto"/>
                        <w:bottom w:val="none" w:sz="0" w:space="0" w:color="auto"/>
                        <w:right w:val="none" w:sz="0" w:space="0" w:color="auto"/>
                      </w:divBdr>
                      <w:divsChild>
                        <w:div w:id="1842156454">
                          <w:marLeft w:val="0"/>
                          <w:marRight w:val="0"/>
                          <w:marTop w:val="0"/>
                          <w:marBottom w:val="0"/>
                          <w:divBdr>
                            <w:top w:val="none" w:sz="0" w:space="0" w:color="auto"/>
                            <w:left w:val="none" w:sz="0" w:space="0" w:color="auto"/>
                            <w:bottom w:val="none" w:sz="0" w:space="0" w:color="auto"/>
                            <w:right w:val="none" w:sz="0" w:space="0" w:color="auto"/>
                          </w:divBdr>
                          <w:divsChild>
                            <w:div w:id="1292517597">
                              <w:marLeft w:val="0"/>
                              <w:marRight w:val="0"/>
                              <w:marTop w:val="0"/>
                              <w:marBottom w:val="0"/>
                              <w:divBdr>
                                <w:top w:val="none" w:sz="0" w:space="0" w:color="auto"/>
                                <w:left w:val="none" w:sz="0" w:space="0" w:color="auto"/>
                                <w:bottom w:val="none" w:sz="0" w:space="0" w:color="auto"/>
                                <w:right w:val="none" w:sz="0" w:space="0" w:color="auto"/>
                              </w:divBdr>
                              <w:divsChild>
                                <w:div w:id="283390705">
                                  <w:marLeft w:val="0"/>
                                  <w:marRight w:val="0"/>
                                  <w:marTop w:val="0"/>
                                  <w:marBottom w:val="0"/>
                                  <w:divBdr>
                                    <w:top w:val="none" w:sz="0" w:space="0" w:color="auto"/>
                                    <w:left w:val="none" w:sz="0" w:space="0" w:color="auto"/>
                                    <w:bottom w:val="none" w:sz="0" w:space="0" w:color="auto"/>
                                    <w:right w:val="none" w:sz="0" w:space="0" w:color="auto"/>
                                  </w:divBdr>
                                  <w:divsChild>
                                    <w:div w:id="1713994134">
                                      <w:marLeft w:val="0"/>
                                      <w:marRight w:val="0"/>
                                      <w:marTop w:val="0"/>
                                      <w:marBottom w:val="0"/>
                                      <w:divBdr>
                                        <w:top w:val="none" w:sz="0" w:space="0" w:color="auto"/>
                                        <w:left w:val="none" w:sz="0" w:space="0" w:color="auto"/>
                                        <w:bottom w:val="none" w:sz="0" w:space="0" w:color="auto"/>
                                        <w:right w:val="none" w:sz="0" w:space="0" w:color="auto"/>
                                      </w:divBdr>
                                      <w:divsChild>
                                        <w:div w:id="878517199">
                                          <w:marLeft w:val="0"/>
                                          <w:marRight w:val="0"/>
                                          <w:marTop w:val="0"/>
                                          <w:marBottom w:val="0"/>
                                          <w:divBdr>
                                            <w:top w:val="none" w:sz="0" w:space="0" w:color="auto"/>
                                            <w:left w:val="none" w:sz="0" w:space="0" w:color="auto"/>
                                            <w:bottom w:val="none" w:sz="0" w:space="0" w:color="auto"/>
                                            <w:right w:val="none" w:sz="0" w:space="0" w:color="auto"/>
                                          </w:divBdr>
                                          <w:divsChild>
                                            <w:div w:id="758676723">
                                              <w:marLeft w:val="0"/>
                                              <w:marRight w:val="0"/>
                                              <w:marTop w:val="0"/>
                                              <w:marBottom w:val="0"/>
                                              <w:divBdr>
                                                <w:top w:val="none" w:sz="0" w:space="0" w:color="auto"/>
                                                <w:left w:val="none" w:sz="0" w:space="0" w:color="auto"/>
                                                <w:bottom w:val="none" w:sz="0" w:space="0" w:color="auto"/>
                                                <w:right w:val="none" w:sz="0" w:space="0" w:color="auto"/>
                                              </w:divBdr>
                                              <w:divsChild>
                                                <w:div w:id="180364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7506705">
      <w:bodyDiv w:val="1"/>
      <w:marLeft w:val="0"/>
      <w:marRight w:val="0"/>
      <w:marTop w:val="0"/>
      <w:marBottom w:val="0"/>
      <w:divBdr>
        <w:top w:val="none" w:sz="0" w:space="0" w:color="auto"/>
        <w:left w:val="none" w:sz="0" w:space="0" w:color="auto"/>
        <w:bottom w:val="none" w:sz="0" w:space="0" w:color="auto"/>
        <w:right w:val="none" w:sz="0" w:space="0" w:color="auto"/>
      </w:divBdr>
      <w:divsChild>
        <w:div w:id="937982360">
          <w:marLeft w:val="0"/>
          <w:marRight w:val="0"/>
          <w:marTop w:val="0"/>
          <w:marBottom w:val="0"/>
          <w:divBdr>
            <w:top w:val="none" w:sz="0" w:space="0" w:color="auto"/>
            <w:left w:val="none" w:sz="0" w:space="0" w:color="auto"/>
            <w:bottom w:val="dotted" w:sz="6" w:space="4" w:color="DDDDDD"/>
            <w:right w:val="none" w:sz="0" w:space="0" w:color="auto"/>
          </w:divBdr>
        </w:div>
      </w:divsChild>
    </w:div>
    <w:div w:id="1807626656">
      <w:bodyDiv w:val="1"/>
      <w:marLeft w:val="0"/>
      <w:marRight w:val="0"/>
      <w:marTop w:val="0"/>
      <w:marBottom w:val="0"/>
      <w:divBdr>
        <w:top w:val="none" w:sz="0" w:space="0" w:color="auto"/>
        <w:left w:val="none" w:sz="0" w:space="0" w:color="auto"/>
        <w:bottom w:val="none" w:sz="0" w:space="0" w:color="auto"/>
        <w:right w:val="none" w:sz="0" w:space="0" w:color="auto"/>
      </w:divBdr>
    </w:div>
    <w:div w:id="1807821621">
      <w:bodyDiv w:val="1"/>
      <w:marLeft w:val="0"/>
      <w:marRight w:val="0"/>
      <w:marTop w:val="0"/>
      <w:marBottom w:val="0"/>
      <w:divBdr>
        <w:top w:val="none" w:sz="0" w:space="0" w:color="auto"/>
        <w:left w:val="none" w:sz="0" w:space="0" w:color="auto"/>
        <w:bottom w:val="none" w:sz="0" w:space="0" w:color="auto"/>
        <w:right w:val="none" w:sz="0" w:space="0" w:color="auto"/>
      </w:divBdr>
    </w:div>
    <w:div w:id="1808013991">
      <w:bodyDiv w:val="1"/>
      <w:marLeft w:val="0"/>
      <w:marRight w:val="0"/>
      <w:marTop w:val="0"/>
      <w:marBottom w:val="0"/>
      <w:divBdr>
        <w:top w:val="none" w:sz="0" w:space="0" w:color="auto"/>
        <w:left w:val="none" w:sz="0" w:space="0" w:color="auto"/>
        <w:bottom w:val="none" w:sz="0" w:space="0" w:color="auto"/>
        <w:right w:val="none" w:sz="0" w:space="0" w:color="auto"/>
      </w:divBdr>
      <w:divsChild>
        <w:div w:id="962273642">
          <w:marLeft w:val="0"/>
          <w:marRight w:val="0"/>
          <w:marTop w:val="150"/>
          <w:marBottom w:val="0"/>
          <w:divBdr>
            <w:top w:val="none" w:sz="0" w:space="0" w:color="auto"/>
            <w:left w:val="none" w:sz="0" w:space="0" w:color="auto"/>
            <w:bottom w:val="none" w:sz="0" w:space="0" w:color="auto"/>
            <w:right w:val="none" w:sz="0" w:space="0" w:color="auto"/>
          </w:divBdr>
          <w:divsChild>
            <w:div w:id="1044599582">
              <w:marLeft w:val="0"/>
              <w:marRight w:val="150"/>
              <w:marTop w:val="0"/>
              <w:marBottom w:val="0"/>
              <w:divBdr>
                <w:top w:val="none" w:sz="0" w:space="0" w:color="auto"/>
                <w:left w:val="none" w:sz="0" w:space="0" w:color="auto"/>
                <w:bottom w:val="none" w:sz="0" w:space="0" w:color="auto"/>
                <w:right w:val="none" w:sz="0" w:space="0" w:color="auto"/>
              </w:divBdr>
            </w:div>
          </w:divsChild>
        </w:div>
        <w:div w:id="1180001349">
          <w:marLeft w:val="0"/>
          <w:marRight w:val="0"/>
          <w:marTop w:val="0"/>
          <w:marBottom w:val="0"/>
          <w:divBdr>
            <w:top w:val="none" w:sz="0" w:space="8" w:color="auto"/>
            <w:left w:val="none" w:sz="0" w:space="2" w:color="auto"/>
            <w:bottom w:val="single" w:sz="6" w:space="8" w:color="DDDDDD"/>
            <w:right w:val="none" w:sz="0" w:space="0" w:color="auto"/>
          </w:divBdr>
        </w:div>
      </w:divsChild>
    </w:div>
    <w:div w:id="1808085544">
      <w:bodyDiv w:val="1"/>
      <w:marLeft w:val="0"/>
      <w:marRight w:val="0"/>
      <w:marTop w:val="0"/>
      <w:marBottom w:val="0"/>
      <w:divBdr>
        <w:top w:val="none" w:sz="0" w:space="0" w:color="auto"/>
        <w:left w:val="none" w:sz="0" w:space="0" w:color="auto"/>
        <w:bottom w:val="none" w:sz="0" w:space="0" w:color="auto"/>
        <w:right w:val="none" w:sz="0" w:space="0" w:color="auto"/>
      </w:divBdr>
      <w:divsChild>
        <w:div w:id="548807772">
          <w:marLeft w:val="0"/>
          <w:marRight w:val="0"/>
          <w:marTop w:val="0"/>
          <w:marBottom w:val="0"/>
          <w:divBdr>
            <w:top w:val="none" w:sz="0" w:space="0" w:color="auto"/>
            <w:left w:val="none" w:sz="0" w:space="0" w:color="auto"/>
            <w:bottom w:val="none" w:sz="0" w:space="0" w:color="auto"/>
            <w:right w:val="none" w:sz="0" w:space="0" w:color="auto"/>
          </w:divBdr>
        </w:div>
      </w:divsChild>
    </w:div>
    <w:div w:id="1808234573">
      <w:bodyDiv w:val="1"/>
      <w:marLeft w:val="0"/>
      <w:marRight w:val="0"/>
      <w:marTop w:val="0"/>
      <w:marBottom w:val="0"/>
      <w:divBdr>
        <w:top w:val="none" w:sz="0" w:space="0" w:color="auto"/>
        <w:left w:val="none" w:sz="0" w:space="0" w:color="auto"/>
        <w:bottom w:val="none" w:sz="0" w:space="0" w:color="auto"/>
        <w:right w:val="none" w:sz="0" w:space="0" w:color="auto"/>
      </w:divBdr>
      <w:divsChild>
        <w:div w:id="400448401">
          <w:marLeft w:val="0"/>
          <w:marRight w:val="0"/>
          <w:marTop w:val="0"/>
          <w:marBottom w:val="0"/>
          <w:divBdr>
            <w:top w:val="none" w:sz="0" w:space="0" w:color="auto"/>
            <w:left w:val="none" w:sz="0" w:space="0" w:color="auto"/>
            <w:bottom w:val="none" w:sz="0" w:space="0" w:color="auto"/>
            <w:right w:val="none" w:sz="0" w:space="0" w:color="auto"/>
          </w:divBdr>
          <w:divsChild>
            <w:div w:id="1324813914">
              <w:marLeft w:val="0"/>
              <w:marRight w:val="0"/>
              <w:marTop w:val="0"/>
              <w:marBottom w:val="0"/>
              <w:divBdr>
                <w:top w:val="none" w:sz="0" w:space="0" w:color="auto"/>
                <w:left w:val="none" w:sz="0" w:space="0" w:color="auto"/>
                <w:bottom w:val="none" w:sz="0" w:space="0" w:color="auto"/>
                <w:right w:val="none" w:sz="0" w:space="0" w:color="auto"/>
              </w:divBdr>
              <w:divsChild>
                <w:div w:id="1669747753">
                  <w:marLeft w:val="0"/>
                  <w:marRight w:val="0"/>
                  <w:marTop w:val="0"/>
                  <w:marBottom w:val="0"/>
                  <w:divBdr>
                    <w:top w:val="none" w:sz="0" w:space="0" w:color="auto"/>
                    <w:left w:val="none" w:sz="0" w:space="0" w:color="auto"/>
                    <w:bottom w:val="none" w:sz="0" w:space="0" w:color="auto"/>
                    <w:right w:val="none" w:sz="0" w:space="0" w:color="auto"/>
                  </w:divBdr>
                  <w:divsChild>
                    <w:div w:id="2084985271">
                      <w:marLeft w:val="0"/>
                      <w:marRight w:val="0"/>
                      <w:marTop w:val="0"/>
                      <w:marBottom w:val="0"/>
                      <w:divBdr>
                        <w:top w:val="none" w:sz="0" w:space="0" w:color="auto"/>
                        <w:left w:val="none" w:sz="0" w:space="0" w:color="auto"/>
                        <w:bottom w:val="none" w:sz="0" w:space="0" w:color="auto"/>
                        <w:right w:val="none" w:sz="0" w:space="0" w:color="auto"/>
                      </w:divBdr>
                      <w:divsChild>
                        <w:div w:id="973875019">
                          <w:marLeft w:val="0"/>
                          <w:marRight w:val="0"/>
                          <w:marTop w:val="0"/>
                          <w:marBottom w:val="0"/>
                          <w:divBdr>
                            <w:top w:val="none" w:sz="0" w:space="0" w:color="auto"/>
                            <w:left w:val="none" w:sz="0" w:space="0" w:color="auto"/>
                            <w:bottom w:val="none" w:sz="0" w:space="0" w:color="auto"/>
                            <w:right w:val="none" w:sz="0" w:space="0" w:color="auto"/>
                          </w:divBdr>
                          <w:divsChild>
                            <w:div w:id="235433676">
                              <w:marLeft w:val="0"/>
                              <w:marRight w:val="0"/>
                              <w:marTop w:val="0"/>
                              <w:marBottom w:val="0"/>
                              <w:divBdr>
                                <w:top w:val="none" w:sz="0" w:space="0" w:color="auto"/>
                                <w:left w:val="none" w:sz="0" w:space="0" w:color="auto"/>
                                <w:bottom w:val="none" w:sz="0" w:space="0" w:color="auto"/>
                                <w:right w:val="none" w:sz="0" w:space="0" w:color="auto"/>
                              </w:divBdr>
                              <w:divsChild>
                                <w:div w:id="1041055582">
                                  <w:marLeft w:val="0"/>
                                  <w:marRight w:val="0"/>
                                  <w:marTop w:val="0"/>
                                  <w:marBottom w:val="0"/>
                                  <w:divBdr>
                                    <w:top w:val="none" w:sz="0" w:space="0" w:color="auto"/>
                                    <w:left w:val="none" w:sz="0" w:space="0" w:color="auto"/>
                                    <w:bottom w:val="none" w:sz="0" w:space="0" w:color="auto"/>
                                    <w:right w:val="none" w:sz="0" w:space="0" w:color="auto"/>
                                  </w:divBdr>
                                  <w:divsChild>
                                    <w:div w:id="1173640029">
                                      <w:marLeft w:val="0"/>
                                      <w:marRight w:val="0"/>
                                      <w:marTop w:val="0"/>
                                      <w:marBottom w:val="0"/>
                                      <w:divBdr>
                                        <w:top w:val="none" w:sz="0" w:space="0" w:color="auto"/>
                                        <w:left w:val="none" w:sz="0" w:space="0" w:color="auto"/>
                                        <w:bottom w:val="none" w:sz="0" w:space="0" w:color="auto"/>
                                        <w:right w:val="none" w:sz="0" w:space="0" w:color="auto"/>
                                      </w:divBdr>
                                      <w:divsChild>
                                        <w:div w:id="175015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9080742">
      <w:bodyDiv w:val="1"/>
      <w:marLeft w:val="0"/>
      <w:marRight w:val="0"/>
      <w:marTop w:val="0"/>
      <w:marBottom w:val="0"/>
      <w:divBdr>
        <w:top w:val="none" w:sz="0" w:space="0" w:color="auto"/>
        <w:left w:val="none" w:sz="0" w:space="0" w:color="auto"/>
        <w:bottom w:val="none" w:sz="0" w:space="0" w:color="auto"/>
        <w:right w:val="none" w:sz="0" w:space="0" w:color="auto"/>
      </w:divBdr>
      <w:divsChild>
        <w:div w:id="396323196">
          <w:marLeft w:val="0"/>
          <w:marRight w:val="0"/>
          <w:marTop w:val="0"/>
          <w:marBottom w:val="150"/>
          <w:divBdr>
            <w:top w:val="none" w:sz="0" w:space="0" w:color="auto"/>
            <w:left w:val="none" w:sz="0" w:space="0" w:color="auto"/>
            <w:bottom w:val="none" w:sz="0" w:space="0" w:color="auto"/>
            <w:right w:val="none" w:sz="0" w:space="0" w:color="auto"/>
          </w:divBdr>
          <w:divsChild>
            <w:div w:id="1667977863">
              <w:marLeft w:val="0"/>
              <w:marRight w:val="0"/>
              <w:marTop w:val="0"/>
              <w:marBottom w:val="0"/>
              <w:divBdr>
                <w:top w:val="none" w:sz="0" w:space="0" w:color="auto"/>
                <w:left w:val="none" w:sz="0" w:space="0" w:color="auto"/>
                <w:bottom w:val="none" w:sz="0" w:space="0" w:color="auto"/>
                <w:right w:val="none" w:sz="0" w:space="0" w:color="auto"/>
              </w:divBdr>
              <w:divsChild>
                <w:div w:id="98763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968768">
          <w:marLeft w:val="0"/>
          <w:marRight w:val="0"/>
          <w:marTop w:val="0"/>
          <w:marBottom w:val="0"/>
          <w:divBdr>
            <w:top w:val="none" w:sz="0" w:space="0" w:color="auto"/>
            <w:left w:val="none" w:sz="0" w:space="0" w:color="auto"/>
            <w:bottom w:val="none" w:sz="0" w:space="0" w:color="auto"/>
            <w:right w:val="none" w:sz="0" w:space="0" w:color="auto"/>
          </w:divBdr>
          <w:divsChild>
            <w:div w:id="804393407">
              <w:marLeft w:val="0"/>
              <w:marRight w:val="0"/>
              <w:marTop w:val="225"/>
              <w:marBottom w:val="225"/>
              <w:divBdr>
                <w:top w:val="none" w:sz="0" w:space="0" w:color="auto"/>
                <w:left w:val="none" w:sz="0" w:space="0" w:color="auto"/>
                <w:bottom w:val="none" w:sz="0" w:space="0" w:color="auto"/>
                <w:right w:val="none" w:sz="0" w:space="0" w:color="auto"/>
              </w:divBdr>
            </w:div>
          </w:divsChild>
        </w:div>
        <w:div w:id="1666863353">
          <w:marLeft w:val="0"/>
          <w:marRight w:val="0"/>
          <w:marTop w:val="0"/>
          <w:marBottom w:val="150"/>
          <w:divBdr>
            <w:top w:val="none" w:sz="0" w:space="0" w:color="auto"/>
            <w:left w:val="none" w:sz="0" w:space="0" w:color="auto"/>
            <w:bottom w:val="none" w:sz="0" w:space="0" w:color="auto"/>
            <w:right w:val="none" w:sz="0" w:space="0" w:color="auto"/>
          </w:divBdr>
        </w:div>
      </w:divsChild>
    </w:div>
    <w:div w:id="1809081303">
      <w:bodyDiv w:val="1"/>
      <w:marLeft w:val="0"/>
      <w:marRight w:val="0"/>
      <w:marTop w:val="0"/>
      <w:marBottom w:val="0"/>
      <w:divBdr>
        <w:top w:val="none" w:sz="0" w:space="0" w:color="auto"/>
        <w:left w:val="none" w:sz="0" w:space="0" w:color="auto"/>
        <w:bottom w:val="none" w:sz="0" w:space="0" w:color="auto"/>
        <w:right w:val="none" w:sz="0" w:space="0" w:color="auto"/>
      </w:divBdr>
      <w:divsChild>
        <w:div w:id="868372411">
          <w:marLeft w:val="0"/>
          <w:marRight w:val="0"/>
          <w:marTop w:val="0"/>
          <w:marBottom w:val="0"/>
          <w:divBdr>
            <w:top w:val="none" w:sz="0" w:space="0" w:color="auto"/>
            <w:left w:val="none" w:sz="0" w:space="0" w:color="auto"/>
            <w:bottom w:val="none" w:sz="0" w:space="0" w:color="auto"/>
            <w:right w:val="none" w:sz="0" w:space="0" w:color="auto"/>
          </w:divBdr>
          <w:divsChild>
            <w:div w:id="231552332">
              <w:marLeft w:val="0"/>
              <w:marRight w:val="0"/>
              <w:marTop w:val="0"/>
              <w:marBottom w:val="0"/>
              <w:divBdr>
                <w:top w:val="none" w:sz="0" w:space="0" w:color="auto"/>
                <w:left w:val="none" w:sz="0" w:space="0" w:color="auto"/>
                <w:bottom w:val="none" w:sz="0" w:space="0" w:color="auto"/>
                <w:right w:val="none" w:sz="0" w:space="0" w:color="auto"/>
              </w:divBdr>
              <w:divsChild>
                <w:div w:id="72631958">
                  <w:marLeft w:val="0"/>
                  <w:marRight w:val="0"/>
                  <w:marTop w:val="0"/>
                  <w:marBottom w:val="0"/>
                  <w:divBdr>
                    <w:top w:val="none" w:sz="0" w:space="0" w:color="auto"/>
                    <w:left w:val="none" w:sz="0" w:space="0" w:color="auto"/>
                    <w:bottom w:val="none" w:sz="0" w:space="0" w:color="auto"/>
                    <w:right w:val="none" w:sz="0" w:space="0" w:color="auto"/>
                  </w:divBdr>
                  <w:divsChild>
                    <w:div w:id="1789928791">
                      <w:marLeft w:val="0"/>
                      <w:marRight w:val="0"/>
                      <w:marTop w:val="0"/>
                      <w:marBottom w:val="0"/>
                      <w:divBdr>
                        <w:top w:val="none" w:sz="0" w:space="0" w:color="auto"/>
                        <w:left w:val="none" w:sz="0" w:space="0" w:color="auto"/>
                        <w:bottom w:val="none" w:sz="0" w:space="0" w:color="auto"/>
                        <w:right w:val="none" w:sz="0" w:space="0" w:color="auto"/>
                      </w:divBdr>
                      <w:divsChild>
                        <w:div w:id="248275614">
                          <w:marLeft w:val="0"/>
                          <w:marRight w:val="0"/>
                          <w:marTop w:val="0"/>
                          <w:marBottom w:val="0"/>
                          <w:divBdr>
                            <w:top w:val="none" w:sz="0" w:space="0" w:color="auto"/>
                            <w:left w:val="none" w:sz="0" w:space="0" w:color="auto"/>
                            <w:bottom w:val="none" w:sz="0" w:space="0" w:color="auto"/>
                            <w:right w:val="none" w:sz="0" w:space="0" w:color="auto"/>
                          </w:divBdr>
                          <w:divsChild>
                            <w:div w:id="1069840726">
                              <w:marLeft w:val="0"/>
                              <w:marRight w:val="0"/>
                              <w:marTop w:val="0"/>
                              <w:marBottom w:val="0"/>
                              <w:divBdr>
                                <w:top w:val="none" w:sz="0" w:space="0" w:color="auto"/>
                                <w:left w:val="none" w:sz="0" w:space="0" w:color="auto"/>
                                <w:bottom w:val="none" w:sz="0" w:space="0" w:color="auto"/>
                                <w:right w:val="none" w:sz="0" w:space="0" w:color="auto"/>
                              </w:divBdr>
                              <w:divsChild>
                                <w:div w:id="1226451322">
                                  <w:marLeft w:val="0"/>
                                  <w:marRight w:val="0"/>
                                  <w:marTop w:val="0"/>
                                  <w:marBottom w:val="0"/>
                                  <w:divBdr>
                                    <w:top w:val="none" w:sz="0" w:space="0" w:color="auto"/>
                                    <w:left w:val="none" w:sz="0" w:space="0" w:color="auto"/>
                                    <w:bottom w:val="none" w:sz="0" w:space="0" w:color="auto"/>
                                    <w:right w:val="none" w:sz="0" w:space="0" w:color="auto"/>
                                  </w:divBdr>
                                  <w:divsChild>
                                    <w:div w:id="187206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9786522">
      <w:bodyDiv w:val="1"/>
      <w:marLeft w:val="0"/>
      <w:marRight w:val="0"/>
      <w:marTop w:val="0"/>
      <w:marBottom w:val="0"/>
      <w:divBdr>
        <w:top w:val="none" w:sz="0" w:space="0" w:color="auto"/>
        <w:left w:val="none" w:sz="0" w:space="0" w:color="auto"/>
        <w:bottom w:val="none" w:sz="0" w:space="0" w:color="auto"/>
        <w:right w:val="none" w:sz="0" w:space="0" w:color="auto"/>
      </w:divBdr>
      <w:divsChild>
        <w:div w:id="1717927050">
          <w:marLeft w:val="0"/>
          <w:marRight w:val="0"/>
          <w:marTop w:val="0"/>
          <w:marBottom w:val="0"/>
          <w:divBdr>
            <w:top w:val="none" w:sz="0" w:space="0" w:color="auto"/>
            <w:left w:val="none" w:sz="0" w:space="0" w:color="auto"/>
            <w:bottom w:val="dotted" w:sz="6" w:space="4" w:color="DDDDDD"/>
            <w:right w:val="none" w:sz="0" w:space="0" w:color="auto"/>
          </w:divBdr>
        </w:div>
      </w:divsChild>
    </w:div>
    <w:div w:id="1810391072">
      <w:bodyDiv w:val="1"/>
      <w:marLeft w:val="0"/>
      <w:marRight w:val="0"/>
      <w:marTop w:val="0"/>
      <w:marBottom w:val="0"/>
      <w:divBdr>
        <w:top w:val="none" w:sz="0" w:space="0" w:color="auto"/>
        <w:left w:val="none" w:sz="0" w:space="0" w:color="auto"/>
        <w:bottom w:val="none" w:sz="0" w:space="0" w:color="auto"/>
        <w:right w:val="none" w:sz="0" w:space="0" w:color="auto"/>
      </w:divBdr>
      <w:divsChild>
        <w:div w:id="652757664">
          <w:marLeft w:val="0"/>
          <w:marRight w:val="0"/>
          <w:marTop w:val="0"/>
          <w:marBottom w:val="0"/>
          <w:divBdr>
            <w:top w:val="none" w:sz="0" w:space="0" w:color="auto"/>
            <w:left w:val="none" w:sz="0" w:space="0" w:color="auto"/>
            <w:bottom w:val="dotted" w:sz="6" w:space="4" w:color="DDDDDD"/>
            <w:right w:val="none" w:sz="0" w:space="0" w:color="auto"/>
          </w:divBdr>
        </w:div>
      </w:divsChild>
    </w:div>
    <w:div w:id="1810391817">
      <w:bodyDiv w:val="1"/>
      <w:marLeft w:val="0"/>
      <w:marRight w:val="0"/>
      <w:marTop w:val="0"/>
      <w:marBottom w:val="0"/>
      <w:divBdr>
        <w:top w:val="none" w:sz="0" w:space="0" w:color="auto"/>
        <w:left w:val="none" w:sz="0" w:space="0" w:color="auto"/>
        <w:bottom w:val="none" w:sz="0" w:space="0" w:color="auto"/>
        <w:right w:val="none" w:sz="0" w:space="0" w:color="auto"/>
      </w:divBdr>
    </w:div>
    <w:div w:id="1810855875">
      <w:bodyDiv w:val="1"/>
      <w:marLeft w:val="0"/>
      <w:marRight w:val="0"/>
      <w:marTop w:val="0"/>
      <w:marBottom w:val="0"/>
      <w:divBdr>
        <w:top w:val="none" w:sz="0" w:space="0" w:color="auto"/>
        <w:left w:val="none" w:sz="0" w:space="0" w:color="auto"/>
        <w:bottom w:val="none" w:sz="0" w:space="0" w:color="auto"/>
        <w:right w:val="none" w:sz="0" w:space="0" w:color="auto"/>
      </w:divBdr>
    </w:div>
    <w:div w:id="1810898488">
      <w:bodyDiv w:val="1"/>
      <w:marLeft w:val="0"/>
      <w:marRight w:val="0"/>
      <w:marTop w:val="0"/>
      <w:marBottom w:val="0"/>
      <w:divBdr>
        <w:top w:val="none" w:sz="0" w:space="0" w:color="auto"/>
        <w:left w:val="none" w:sz="0" w:space="0" w:color="auto"/>
        <w:bottom w:val="none" w:sz="0" w:space="0" w:color="auto"/>
        <w:right w:val="none" w:sz="0" w:space="0" w:color="auto"/>
      </w:divBdr>
      <w:divsChild>
        <w:div w:id="658190996">
          <w:marLeft w:val="0"/>
          <w:marRight w:val="0"/>
          <w:marTop w:val="0"/>
          <w:marBottom w:val="0"/>
          <w:divBdr>
            <w:top w:val="none" w:sz="0" w:space="0" w:color="auto"/>
            <w:left w:val="none" w:sz="0" w:space="0" w:color="auto"/>
            <w:bottom w:val="dotted" w:sz="6" w:space="4" w:color="DDDDDD"/>
            <w:right w:val="none" w:sz="0" w:space="0" w:color="auto"/>
          </w:divBdr>
          <w:divsChild>
            <w:div w:id="147209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78264">
      <w:bodyDiv w:val="1"/>
      <w:marLeft w:val="0"/>
      <w:marRight w:val="0"/>
      <w:marTop w:val="0"/>
      <w:marBottom w:val="0"/>
      <w:divBdr>
        <w:top w:val="none" w:sz="0" w:space="0" w:color="auto"/>
        <w:left w:val="none" w:sz="0" w:space="0" w:color="auto"/>
        <w:bottom w:val="none" w:sz="0" w:space="0" w:color="auto"/>
        <w:right w:val="none" w:sz="0" w:space="0" w:color="auto"/>
      </w:divBdr>
      <w:divsChild>
        <w:div w:id="1396858756">
          <w:marLeft w:val="0"/>
          <w:marRight w:val="0"/>
          <w:marTop w:val="0"/>
          <w:marBottom w:val="0"/>
          <w:divBdr>
            <w:top w:val="none" w:sz="0" w:space="0" w:color="auto"/>
            <w:left w:val="none" w:sz="0" w:space="0" w:color="auto"/>
            <w:bottom w:val="none" w:sz="0" w:space="0" w:color="auto"/>
            <w:right w:val="none" w:sz="0" w:space="0" w:color="auto"/>
          </w:divBdr>
          <w:divsChild>
            <w:div w:id="1849129027">
              <w:marLeft w:val="0"/>
              <w:marRight w:val="0"/>
              <w:marTop w:val="0"/>
              <w:marBottom w:val="0"/>
              <w:divBdr>
                <w:top w:val="none" w:sz="0" w:space="0" w:color="auto"/>
                <w:left w:val="none" w:sz="0" w:space="0" w:color="auto"/>
                <w:bottom w:val="none" w:sz="0" w:space="0" w:color="auto"/>
                <w:right w:val="none" w:sz="0" w:space="0" w:color="auto"/>
              </w:divBdr>
              <w:divsChild>
                <w:div w:id="1791051677">
                  <w:marLeft w:val="0"/>
                  <w:marRight w:val="0"/>
                  <w:marTop w:val="0"/>
                  <w:marBottom w:val="0"/>
                  <w:divBdr>
                    <w:top w:val="none" w:sz="0" w:space="0" w:color="auto"/>
                    <w:left w:val="none" w:sz="0" w:space="0" w:color="auto"/>
                    <w:bottom w:val="none" w:sz="0" w:space="0" w:color="auto"/>
                    <w:right w:val="none" w:sz="0" w:space="0" w:color="auto"/>
                  </w:divBdr>
                  <w:divsChild>
                    <w:div w:id="470051743">
                      <w:marLeft w:val="0"/>
                      <w:marRight w:val="0"/>
                      <w:marTop w:val="0"/>
                      <w:marBottom w:val="0"/>
                      <w:divBdr>
                        <w:top w:val="none" w:sz="0" w:space="0" w:color="auto"/>
                        <w:left w:val="none" w:sz="0" w:space="0" w:color="auto"/>
                        <w:bottom w:val="none" w:sz="0" w:space="0" w:color="auto"/>
                        <w:right w:val="none" w:sz="0" w:space="0" w:color="auto"/>
                      </w:divBdr>
                      <w:divsChild>
                        <w:div w:id="1228607026">
                          <w:marLeft w:val="0"/>
                          <w:marRight w:val="0"/>
                          <w:marTop w:val="0"/>
                          <w:marBottom w:val="0"/>
                          <w:divBdr>
                            <w:top w:val="none" w:sz="0" w:space="0" w:color="auto"/>
                            <w:left w:val="none" w:sz="0" w:space="0" w:color="auto"/>
                            <w:bottom w:val="none" w:sz="0" w:space="0" w:color="auto"/>
                            <w:right w:val="none" w:sz="0" w:space="0" w:color="auto"/>
                          </w:divBdr>
                          <w:divsChild>
                            <w:div w:id="1328434667">
                              <w:marLeft w:val="0"/>
                              <w:marRight w:val="0"/>
                              <w:marTop w:val="0"/>
                              <w:marBottom w:val="0"/>
                              <w:divBdr>
                                <w:top w:val="none" w:sz="0" w:space="0" w:color="auto"/>
                                <w:left w:val="none" w:sz="0" w:space="0" w:color="auto"/>
                                <w:bottom w:val="none" w:sz="0" w:space="0" w:color="auto"/>
                                <w:right w:val="none" w:sz="0" w:space="0" w:color="auto"/>
                              </w:divBdr>
                              <w:divsChild>
                                <w:div w:id="913708225">
                                  <w:marLeft w:val="0"/>
                                  <w:marRight w:val="0"/>
                                  <w:marTop w:val="0"/>
                                  <w:marBottom w:val="0"/>
                                  <w:divBdr>
                                    <w:top w:val="none" w:sz="0" w:space="0" w:color="auto"/>
                                    <w:left w:val="none" w:sz="0" w:space="0" w:color="auto"/>
                                    <w:bottom w:val="none" w:sz="0" w:space="0" w:color="auto"/>
                                    <w:right w:val="none" w:sz="0" w:space="0" w:color="auto"/>
                                  </w:divBdr>
                                  <w:divsChild>
                                    <w:div w:id="92773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1091405">
      <w:bodyDiv w:val="1"/>
      <w:marLeft w:val="0"/>
      <w:marRight w:val="0"/>
      <w:marTop w:val="0"/>
      <w:marBottom w:val="0"/>
      <w:divBdr>
        <w:top w:val="none" w:sz="0" w:space="0" w:color="auto"/>
        <w:left w:val="none" w:sz="0" w:space="0" w:color="auto"/>
        <w:bottom w:val="none" w:sz="0" w:space="0" w:color="auto"/>
        <w:right w:val="none" w:sz="0" w:space="0" w:color="auto"/>
      </w:divBdr>
      <w:divsChild>
        <w:div w:id="1972634854">
          <w:marLeft w:val="0"/>
          <w:marRight w:val="0"/>
          <w:marTop w:val="0"/>
          <w:marBottom w:val="0"/>
          <w:divBdr>
            <w:top w:val="none" w:sz="0" w:space="0" w:color="auto"/>
            <w:left w:val="none" w:sz="0" w:space="0" w:color="auto"/>
            <w:bottom w:val="dotted" w:sz="6" w:space="4" w:color="DDDDDD"/>
            <w:right w:val="none" w:sz="0" w:space="0" w:color="auto"/>
          </w:divBdr>
        </w:div>
      </w:divsChild>
    </w:div>
    <w:div w:id="1811554529">
      <w:bodyDiv w:val="1"/>
      <w:marLeft w:val="0"/>
      <w:marRight w:val="0"/>
      <w:marTop w:val="0"/>
      <w:marBottom w:val="0"/>
      <w:divBdr>
        <w:top w:val="none" w:sz="0" w:space="0" w:color="auto"/>
        <w:left w:val="none" w:sz="0" w:space="0" w:color="auto"/>
        <w:bottom w:val="none" w:sz="0" w:space="0" w:color="auto"/>
        <w:right w:val="none" w:sz="0" w:space="0" w:color="auto"/>
      </w:divBdr>
      <w:divsChild>
        <w:div w:id="327709413">
          <w:marLeft w:val="0"/>
          <w:marRight w:val="0"/>
          <w:marTop w:val="0"/>
          <w:marBottom w:val="150"/>
          <w:divBdr>
            <w:top w:val="none" w:sz="0" w:space="0" w:color="auto"/>
            <w:left w:val="none" w:sz="0" w:space="0" w:color="auto"/>
            <w:bottom w:val="none" w:sz="0" w:space="0" w:color="auto"/>
            <w:right w:val="none" w:sz="0" w:space="0" w:color="auto"/>
          </w:divBdr>
        </w:div>
      </w:divsChild>
    </w:div>
    <w:div w:id="1811753347">
      <w:bodyDiv w:val="1"/>
      <w:marLeft w:val="0"/>
      <w:marRight w:val="0"/>
      <w:marTop w:val="0"/>
      <w:marBottom w:val="0"/>
      <w:divBdr>
        <w:top w:val="none" w:sz="0" w:space="0" w:color="auto"/>
        <w:left w:val="none" w:sz="0" w:space="0" w:color="auto"/>
        <w:bottom w:val="none" w:sz="0" w:space="0" w:color="auto"/>
        <w:right w:val="none" w:sz="0" w:space="0" w:color="auto"/>
      </w:divBdr>
      <w:divsChild>
        <w:div w:id="1586113334">
          <w:marLeft w:val="0"/>
          <w:marRight w:val="0"/>
          <w:marTop w:val="0"/>
          <w:marBottom w:val="150"/>
          <w:divBdr>
            <w:top w:val="none" w:sz="0" w:space="0" w:color="auto"/>
            <w:left w:val="none" w:sz="0" w:space="0" w:color="auto"/>
            <w:bottom w:val="none" w:sz="0" w:space="0" w:color="auto"/>
            <w:right w:val="none" w:sz="0" w:space="0" w:color="auto"/>
          </w:divBdr>
          <w:divsChild>
            <w:div w:id="636682789">
              <w:marLeft w:val="0"/>
              <w:marRight w:val="0"/>
              <w:marTop w:val="0"/>
              <w:marBottom w:val="0"/>
              <w:divBdr>
                <w:top w:val="none" w:sz="0" w:space="0" w:color="auto"/>
                <w:left w:val="none" w:sz="0" w:space="0" w:color="auto"/>
                <w:bottom w:val="none" w:sz="0" w:space="0" w:color="auto"/>
                <w:right w:val="none" w:sz="0" w:space="0" w:color="auto"/>
              </w:divBdr>
              <w:divsChild>
                <w:div w:id="1796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808747">
          <w:marLeft w:val="0"/>
          <w:marRight w:val="0"/>
          <w:marTop w:val="0"/>
          <w:marBottom w:val="150"/>
          <w:divBdr>
            <w:top w:val="none" w:sz="0" w:space="0" w:color="auto"/>
            <w:left w:val="none" w:sz="0" w:space="0" w:color="auto"/>
            <w:bottom w:val="none" w:sz="0" w:space="0" w:color="auto"/>
            <w:right w:val="none" w:sz="0" w:space="0" w:color="auto"/>
          </w:divBdr>
        </w:div>
        <w:div w:id="971979262">
          <w:marLeft w:val="0"/>
          <w:marRight w:val="0"/>
          <w:marTop w:val="0"/>
          <w:marBottom w:val="0"/>
          <w:divBdr>
            <w:top w:val="none" w:sz="0" w:space="0" w:color="auto"/>
            <w:left w:val="none" w:sz="0" w:space="0" w:color="auto"/>
            <w:bottom w:val="none" w:sz="0" w:space="0" w:color="auto"/>
            <w:right w:val="none" w:sz="0" w:space="0" w:color="auto"/>
          </w:divBdr>
          <w:divsChild>
            <w:div w:id="57936381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2019412">
      <w:bodyDiv w:val="1"/>
      <w:marLeft w:val="0"/>
      <w:marRight w:val="0"/>
      <w:marTop w:val="0"/>
      <w:marBottom w:val="0"/>
      <w:divBdr>
        <w:top w:val="none" w:sz="0" w:space="0" w:color="auto"/>
        <w:left w:val="none" w:sz="0" w:space="0" w:color="auto"/>
        <w:bottom w:val="none" w:sz="0" w:space="0" w:color="auto"/>
        <w:right w:val="none" w:sz="0" w:space="0" w:color="auto"/>
      </w:divBdr>
      <w:divsChild>
        <w:div w:id="517697617">
          <w:marLeft w:val="0"/>
          <w:marRight w:val="0"/>
          <w:marTop w:val="0"/>
          <w:marBottom w:val="150"/>
          <w:divBdr>
            <w:top w:val="none" w:sz="0" w:space="0" w:color="auto"/>
            <w:left w:val="none" w:sz="0" w:space="0" w:color="auto"/>
            <w:bottom w:val="none" w:sz="0" w:space="0" w:color="auto"/>
            <w:right w:val="none" w:sz="0" w:space="0" w:color="auto"/>
          </w:divBdr>
        </w:div>
        <w:div w:id="748308886">
          <w:marLeft w:val="0"/>
          <w:marRight w:val="0"/>
          <w:marTop w:val="0"/>
          <w:marBottom w:val="150"/>
          <w:divBdr>
            <w:top w:val="none" w:sz="0" w:space="0" w:color="auto"/>
            <w:left w:val="none" w:sz="0" w:space="0" w:color="auto"/>
            <w:bottom w:val="none" w:sz="0" w:space="0" w:color="auto"/>
            <w:right w:val="none" w:sz="0" w:space="0" w:color="auto"/>
          </w:divBdr>
          <w:divsChild>
            <w:div w:id="1490247101">
              <w:marLeft w:val="0"/>
              <w:marRight w:val="0"/>
              <w:marTop w:val="0"/>
              <w:marBottom w:val="0"/>
              <w:divBdr>
                <w:top w:val="none" w:sz="0" w:space="0" w:color="auto"/>
                <w:left w:val="none" w:sz="0" w:space="0" w:color="auto"/>
                <w:bottom w:val="none" w:sz="0" w:space="0" w:color="auto"/>
                <w:right w:val="none" w:sz="0" w:space="0" w:color="auto"/>
              </w:divBdr>
            </w:div>
          </w:divsChild>
        </w:div>
        <w:div w:id="1456407361">
          <w:marLeft w:val="0"/>
          <w:marRight w:val="0"/>
          <w:marTop w:val="0"/>
          <w:marBottom w:val="0"/>
          <w:divBdr>
            <w:top w:val="none" w:sz="0" w:space="0" w:color="auto"/>
            <w:left w:val="none" w:sz="0" w:space="0" w:color="auto"/>
            <w:bottom w:val="none" w:sz="0" w:space="0" w:color="auto"/>
            <w:right w:val="none" w:sz="0" w:space="0" w:color="auto"/>
          </w:divBdr>
          <w:divsChild>
            <w:div w:id="181039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332677">
      <w:bodyDiv w:val="1"/>
      <w:marLeft w:val="0"/>
      <w:marRight w:val="0"/>
      <w:marTop w:val="0"/>
      <w:marBottom w:val="0"/>
      <w:divBdr>
        <w:top w:val="none" w:sz="0" w:space="0" w:color="auto"/>
        <w:left w:val="none" w:sz="0" w:space="0" w:color="auto"/>
        <w:bottom w:val="none" w:sz="0" w:space="0" w:color="auto"/>
        <w:right w:val="none" w:sz="0" w:space="0" w:color="auto"/>
      </w:divBdr>
    </w:div>
    <w:div w:id="1812407250">
      <w:bodyDiv w:val="1"/>
      <w:marLeft w:val="0"/>
      <w:marRight w:val="0"/>
      <w:marTop w:val="0"/>
      <w:marBottom w:val="0"/>
      <w:divBdr>
        <w:top w:val="none" w:sz="0" w:space="0" w:color="auto"/>
        <w:left w:val="none" w:sz="0" w:space="0" w:color="auto"/>
        <w:bottom w:val="none" w:sz="0" w:space="0" w:color="auto"/>
        <w:right w:val="none" w:sz="0" w:space="0" w:color="auto"/>
      </w:divBdr>
      <w:divsChild>
        <w:div w:id="1801995158">
          <w:marLeft w:val="0"/>
          <w:marRight w:val="0"/>
          <w:marTop w:val="0"/>
          <w:marBottom w:val="0"/>
          <w:divBdr>
            <w:top w:val="none" w:sz="0" w:space="0" w:color="auto"/>
            <w:left w:val="none" w:sz="0" w:space="0" w:color="auto"/>
            <w:bottom w:val="none" w:sz="0" w:space="0" w:color="auto"/>
            <w:right w:val="none" w:sz="0" w:space="0" w:color="auto"/>
          </w:divBdr>
          <w:divsChild>
            <w:div w:id="1396925917">
              <w:marLeft w:val="0"/>
              <w:marRight w:val="0"/>
              <w:marTop w:val="0"/>
              <w:marBottom w:val="0"/>
              <w:divBdr>
                <w:top w:val="none" w:sz="0" w:space="0" w:color="auto"/>
                <w:left w:val="none" w:sz="0" w:space="0" w:color="auto"/>
                <w:bottom w:val="none" w:sz="0" w:space="0" w:color="auto"/>
                <w:right w:val="none" w:sz="0" w:space="0" w:color="auto"/>
              </w:divBdr>
              <w:divsChild>
                <w:div w:id="1019695362">
                  <w:marLeft w:val="0"/>
                  <w:marRight w:val="0"/>
                  <w:marTop w:val="0"/>
                  <w:marBottom w:val="0"/>
                  <w:divBdr>
                    <w:top w:val="none" w:sz="0" w:space="0" w:color="auto"/>
                    <w:left w:val="none" w:sz="0" w:space="0" w:color="auto"/>
                    <w:bottom w:val="none" w:sz="0" w:space="0" w:color="auto"/>
                    <w:right w:val="none" w:sz="0" w:space="0" w:color="auto"/>
                  </w:divBdr>
                  <w:divsChild>
                    <w:div w:id="14887660">
                      <w:marLeft w:val="0"/>
                      <w:marRight w:val="0"/>
                      <w:marTop w:val="0"/>
                      <w:marBottom w:val="0"/>
                      <w:divBdr>
                        <w:top w:val="none" w:sz="0" w:space="0" w:color="auto"/>
                        <w:left w:val="none" w:sz="0" w:space="0" w:color="auto"/>
                        <w:bottom w:val="none" w:sz="0" w:space="0" w:color="auto"/>
                        <w:right w:val="none" w:sz="0" w:space="0" w:color="auto"/>
                      </w:divBdr>
                      <w:divsChild>
                        <w:div w:id="2080403384">
                          <w:marLeft w:val="0"/>
                          <w:marRight w:val="0"/>
                          <w:marTop w:val="0"/>
                          <w:marBottom w:val="0"/>
                          <w:divBdr>
                            <w:top w:val="none" w:sz="0" w:space="0" w:color="auto"/>
                            <w:left w:val="none" w:sz="0" w:space="0" w:color="auto"/>
                            <w:bottom w:val="none" w:sz="0" w:space="0" w:color="auto"/>
                            <w:right w:val="none" w:sz="0" w:space="0" w:color="auto"/>
                          </w:divBdr>
                          <w:divsChild>
                            <w:div w:id="2057703425">
                              <w:marLeft w:val="0"/>
                              <w:marRight w:val="0"/>
                              <w:marTop w:val="0"/>
                              <w:marBottom w:val="0"/>
                              <w:divBdr>
                                <w:top w:val="none" w:sz="0" w:space="0" w:color="auto"/>
                                <w:left w:val="none" w:sz="0" w:space="0" w:color="auto"/>
                                <w:bottom w:val="none" w:sz="0" w:space="0" w:color="auto"/>
                                <w:right w:val="none" w:sz="0" w:space="0" w:color="auto"/>
                              </w:divBdr>
                              <w:divsChild>
                                <w:div w:id="764229135">
                                  <w:marLeft w:val="0"/>
                                  <w:marRight w:val="0"/>
                                  <w:marTop w:val="0"/>
                                  <w:marBottom w:val="0"/>
                                  <w:divBdr>
                                    <w:top w:val="none" w:sz="0" w:space="0" w:color="auto"/>
                                    <w:left w:val="none" w:sz="0" w:space="0" w:color="auto"/>
                                    <w:bottom w:val="none" w:sz="0" w:space="0" w:color="auto"/>
                                    <w:right w:val="none" w:sz="0" w:space="0" w:color="auto"/>
                                  </w:divBdr>
                                  <w:divsChild>
                                    <w:div w:id="167052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3012243">
      <w:bodyDiv w:val="1"/>
      <w:marLeft w:val="0"/>
      <w:marRight w:val="0"/>
      <w:marTop w:val="0"/>
      <w:marBottom w:val="0"/>
      <w:divBdr>
        <w:top w:val="none" w:sz="0" w:space="0" w:color="auto"/>
        <w:left w:val="none" w:sz="0" w:space="0" w:color="auto"/>
        <w:bottom w:val="none" w:sz="0" w:space="0" w:color="auto"/>
        <w:right w:val="none" w:sz="0" w:space="0" w:color="auto"/>
      </w:divBdr>
      <w:divsChild>
        <w:div w:id="1168910145">
          <w:marLeft w:val="0"/>
          <w:marRight w:val="0"/>
          <w:marTop w:val="0"/>
          <w:marBottom w:val="0"/>
          <w:divBdr>
            <w:top w:val="none" w:sz="0" w:space="0" w:color="auto"/>
            <w:left w:val="none" w:sz="0" w:space="0" w:color="auto"/>
            <w:bottom w:val="none" w:sz="0" w:space="0" w:color="auto"/>
            <w:right w:val="none" w:sz="0" w:space="0" w:color="auto"/>
          </w:divBdr>
        </w:div>
      </w:divsChild>
    </w:div>
    <w:div w:id="1813133664">
      <w:bodyDiv w:val="1"/>
      <w:marLeft w:val="0"/>
      <w:marRight w:val="0"/>
      <w:marTop w:val="0"/>
      <w:marBottom w:val="0"/>
      <w:divBdr>
        <w:top w:val="none" w:sz="0" w:space="0" w:color="auto"/>
        <w:left w:val="none" w:sz="0" w:space="0" w:color="auto"/>
        <w:bottom w:val="none" w:sz="0" w:space="0" w:color="auto"/>
        <w:right w:val="none" w:sz="0" w:space="0" w:color="auto"/>
      </w:divBdr>
      <w:divsChild>
        <w:div w:id="1415778218">
          <w:marLeft w:val="0"/>
          <w:marRight w:val="0"/>
          <w:marTop w:val="0"/>
          <w:marBottom w:val="0"/>
          <w:divBdr>
            <w:top w:val="none" w:sz="0" w:space="0" w:color="auto"/>
            <w:left w:val="none" w:sz="0" w:space="0" w:color="auto"/>
            <w:bottom w:val="dotted" w:sz="6" w:space="4" w:color="DDDDDD"/>
            <w:right w:val="none" w:sz="0" w:space="0" w:color="auto"/>
          </w:divBdr>
          <w:divsChild>
            <w:div w:id="122240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0432">
      <w:bodyDiv w:val="1"/>
      <w:marLeft w:val="0"/>
      <w:marRight w:val="0"/>
      <w:marTop w:val="0"/>
      <w:marBottom w:val="0"/>
      <w:divBdr>
        <w:top w:val="none" w:sz="0" w:space="0" w:color="auto"/>
        <w:left w:val="none" w:sz="0" w:space="0" w:color="auto"/>
        <w:bottom w:val="none" w:sz="0" w:space="0" w:color="auto"/>
        <w:right w:val="none" w:sz="0" w:space="0" w:color="auto"/>
      </w:divBdr>
      <w:divsChild>
        <w:div w:id="254478836">
          <w:marLeft w:val="0"/>
          <w:marRight w:val="0"/>
          <w:marTop w:val="0"/>
          <w:marBottom w:val="0"/>
          <w:divBdr>
            <w:top w:val="none" w:sz="0" w:space="0" w:color="auto"/>
            <w:left w:val="none" w:sz="0" w:space="0" w:color="auto"/>
            <w:bottom w:val="none" w:sz="0" w:space="0" w:color="auto"/>
            <w:right w:val="none" w:sz="0" w:space="0" w:color="auto"/>
          </w:divBdr>
          <w:divsChild>
            <w:div w:id="1072120393">
              <w:marLeft w:val="0"/>
              <w:marRight w:val="0"/>
              <w:marTop w:val="0"/>
              <w:marBottom w:val="0"/>
              <w:divBdr>
                <w:top w:val="none" w:sz="0" w:space="0" w:color="auto"/>
                <w:left w:val="none" w:sz="0" w:space="0" w:color="auto"/>
                <w:bottom w:val="none" w:sz="0" w:space="0" w:color="auto"/>
                <w:right w:val="none" w:sz="0" w:space="0" w:color="auto"/>
              </w:divBdr>
            </w:div>
            <w:div w:id="1412964006">
              <w:marLeft w:val="0"/>
              <w:marRight w:val="0"/>
              <w:marTop w:val="0"/>
              <w:marBottom w:val="150"/>
              <w:divBdr>
                <w:top w:val="none" w:sz="0" w:space="0" w:color="auto"/>
                <w:left w:val="none" w:sz="0" w:space="0" w:color="auto"/>
                <w:bottom w:val="none" w:sz="0" w:space="0" w:color="auto"/>
                <w:right w:val="none" w:sz="0" w:space="0" w:color="auto"/>
              </w:divBdr>
            </w:div>
          </w:divsChild>
        </w:div>
        <w:div w:id="1908301763">
          <w:marLeft w:val="0"/>
          <w:marRight w:val="0"/>
          <w:marTop w:val="0"/>
          <w:marBottom w:val="150"/>
          <w:divBdr>
            <w:top w:val="none" w:sz="0" w:space="0" w:color="auto"/>
            <w:left w:val="none" w:sz="0" w:space="0" w:color="auto"/>
            <w:bottom w:val="none" w:sz="0" w:space="0" w:color="auto"/>
            <w:right w:val="none" w:sz="0" w:space="0" w:color="auto"/>
          </w:divBdr>
          <w:divsChild>
            <w:div w:id="10944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09956">
      <w:bodyDiv w:val="1"/>
      <w:marLeft w:val="0"/>
      <w:marRight w:val="0"/>
      <w:marTop w:val="0"/>
      <w:marBottom w:val="0"/>
      <w:divBdr>
        <w:top w:val="none" w:sz="0" w:space="0" w:color="auto"/>
        <w:left w:val="none" w:sz="0" w:space="0" w:color="auto"/>
        <w:bottom w:val="none" w:sz="0" w:space="0" w:color="auto"/>
        <w:right w:val="none" w:sz="0" w:space="0" w:color="auto"/>
      </w:divBdr>
      <w:divsChild>
        <w:div w:id="229509644">
          <w:marLeft w:val="0"/>
          <w:marRight w:val="0"/>
          <w:marTop w:val="0"/>
          <w:marBottom w:val="150"/>
          <w:divBdr>
            <w:top w:val="none" w:sz="0" w:space="0" w:color="auto"/>
            <w:left w:val="none" w:sz="0" w:space="0" w:color="auto"/>
            <w:bottom w:val="none" w:sz="0" w:space="0" w:color="auto"/>
            <w:right w:val="none" w:sz="0" w:space="0" w:color="auto"/>
          </w:divBdr>
          <w:divsChild>
            <w:div w:id="676464691">
              <w:marLeft w:val="0"/>
              <w:marRight w:val="0"/>
              <w:marTop w:val="0"/>
              <w:marBottom w:val="0"/>
              <w:divBdr>
                <w:top w:val="none" w:sz="0" w:space="0" w:color="auto"/>
                <w:left w:val="none" w:sz="0" w:space="0" w:color="auto"/>
                <w:bottom w:val="none" w:sz="0" w:space="0" w:color="auto"/>
                <w:right w:val="none" w:sz="0" w:space="0" w:color="auto"/>
              </w:divBdr>
              <w:divsChild>
                <w:div w:id="88356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15997">
          <w:marLeft w:val="0"/>
          <w:marRight w:val="0"/>
          <w:marTop w:val="0"/>
          <w:marBottom w:val="150"/>
          <w:divBdr>
            <w:top w:val="none" w:sz="0" w:space="0" w:color="auto"/>
            <w:left w:val="none" w:sz="0" w:space="0" w:color="auto"/>
            <w:bottom w:val="none" w:sz="0" w:space="0" w:color="auto"/>
            <w:right w:val="none" w:sz="0" w:space="0" w:color="auto"/>
          </w:divBdr>
        </w:div>
        <w:div w:id="1524174698">
          <w:marLeft w:val="0"/>
          <w:marRight w:val="0"/>
          <w:marTop w:val="0"/>
          <w:marBottom w:val="0"/>
          <w:divBdr>
            <w:top w:val="none" w:sz="0" w:space="0" w:color="auto"/>
            <w:left w:val="none" w:sz="0" w:space="0" w:color="auto"/>
            <w:bottom w:val="none" w:sz="0" w:space="0" w:color="auto"/>
            <w:right w:val="none" w:sz="0" w:space="0" w:color="auto"/>
          </w:divBdr>
          <w:divsChild>
            <w:div w:id="15585159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4054152">
      <w:bodyDiv w:val="1"/>
      <w:marLeft w:val="0"/>
      <w:marRight w:val="0"/>
      <w:marTop w:val="0"/>
      <w:marBottom w:val="0"/>
      <w:divBdr>
        <w:top w:val="none" w:sz="0" w:space="0" w:color="auto"/>
        <w:left w:val="none" w:sz="0" w:space="0" w:color="auto"/>
        <w:bottom w:val="none" w:sz="0" w:space="0" w:color="auto"/>
        <w:right w:val="none" w:sz="0" w:space="0" w:color="auto"/>
      </w:divBdr>
    </w:div>
    <w:div w:id="1814055787">
      <w:bodyDiv w:val="1"/>
      <w:marLeft w:val="0"/>
      <w:marRight w:val="0"/>
      <w:marTop w:val="0"/>
      <w:marBottom w:val="0"/>
      <w:divBdr>
        <w:top w:val="none" w:sz="0" w:space="0" w:color="auto"/>
        <w:left w:val="none" w:sz="0" w:space="0" w:color="auto"/>
        <w:bottom w:val="none" w:sz="0" w:space="0" w:color="auto"/>
        <w:right w:val="none" w:sz="0" w:space="0" w:color="auto"/>
      </w:divBdr>
      <w:divsChild>
        <w:div w:id="1023245947">
          <w:marLeft w:val="0"/>
          <w:marRight w:val="0"/>
          <w:marTop w:val="150"/>
          <w:marBottom w:val="0"/>
          <w:divBdr>
            <w:top w:val="none" w:sz="0" w:space="0" w:color="auto"/>
            <w:left w:val="none" w:sz="0" w:space="0" w:color="auto"/>
            <w:bottom w:val="none" w:sz="0" w:space="0" w:color="auto"/>
            <w:right w:val="none" w:sz="0" w:space="0" w:color="auto"/>
          </w:divBdr>
          <w:divsChild>
            <w:div w:id="1420131118">
              <w:marLeft w:val="0"/>
              <w:marRight w:val="150"/>
              <w:marTop w:val="0"/>
              <w:marBottom w:val="0"/>
              <w:divBdr>
                <w:top w:val="none" w:sz="0" w:space="0" w:color="auto"/>
                <w:left w:val="none" w:sz="0" w:space="0" w:color="auto"/>
                <w:bottom w:val="none" w:sz="0" w:space="0" w:color="auto"/>
                <w:right w:val="none" w:sz="0" w:space="0" w:color="auto"/>
              </w:divBdr>
            </w:div>
          </w:divsChild>
        </w:div>
        <w:div w:id="2048796206">
          <w:marLeft w:val="0"/>
          <w:marRight w:val="0"/>
          <w:marTop w:val="0"/>
          <w:marBottom w:val="0"/>
          <w:divBdr>
            <w:top w:val="none" w:sz="0" w:space="8" w:color="auto"/>
            <w:left w:val="none" w:sz="0" w:space="2" w:color="auto"/>
            <w:bottom w:val="single" w:sz="6" w:space="8" w:color="DDDDDD"/>
            <w:right w:val="none" w:sz="0" w:space="0" w:color="auto"/>
          </w:divBdr>
        </w:div>
      </w:divsChild>
    </w:div>
    <w:div w:id="1814368538">
      <w:bodyDiv w:val="1"/>
      <w:marLeft w:val="0"/>
      <w:marRight w:val="0"/>
      <w:marTop w:val="0"/>
      <w:marBottom w:val="0"/>
      <w:divBdr>
        <w:top w:val="none" w:sz="0" w:space="0" w:color="auto"/>
        <w:left w:val="none" w:sz="0" w:space="0" w:color="auto"/>
        <w:bottom w:val="none" w:sz="0" w:space="0" w:color="auto"/>
        <w:right w:val="none" w:sz="0" w:space="0" w:color="auto"/>
      </w:divBdr>
      <w:divsChild>
        <w:div w:id="1036928124">
          <w:marLeft w:val="0"/>
          <w:marRight w:val="0"/>
          <w:marTop w:val="0"/>
          <w:marBottom w:val="0"/>
          <w:divBdr>
            <w:top w:val="none" w:sz="0" w:space="0" w:color="auto"/>
            <w:left w:val="none" w:sz="0" w:space="0" w:color="auto"/>
            <w:bottom w:val="none" w:sz="0" w:space="0" w:color="auto"/>
            <w:right w:val="none" w:sz="0" w:space="0" w:color="auto"/>
          </w:divBdr>
        </w:div>
      </w:divsChild>
    </w:div>
    <w:div w:id="1814374320">
      <w:bodyDiv w:val="1"/>
      <w:marLeft w:val="0"/>
      <w:marRight w:val="0"/>
      <w:marTop w:val="0"/>
      <w:marBottom w:val="0"/>
      <w:divBdr>
        <w:top w:val="none" w:sz="0" w:space="0" w:color="auto"/>
        <w:left w:val="none" w:sz="0" w:space="0" w:color="auto"/>
        <w:bottom w:val="none" w:sz="0" w:space="0" w:color="auto"/>
        <w:right w:val="none" w:sz="0" w:space="0" w:color="auto"/>
      </w:divBdr>
    </w:div>
    <w:div w:id="1814521208">
      <w:bodyDiv w:val="1"/>
      <w:marLeft w:val="0"/>
      <w:marRight w:val="0"/>
      <w:marTop w:val="0"/>
      <w:marBottom w:val="0"/>
      <w:divBdr>
        <w:top w:val="none" w:sz="0" w:space="0" w:color="auto"/>
        <w:left w:val="none" w:sz="0" w:space="0" w:color="auto"/>
        <w:bottom w:val="none" w:sz="0" w:space="0" w:color="auto"/>
        <w:right w:val="none" w:sz="0" w:space="0" w:color="auto"/>
      </w:divBdr>
      <w:divsChild>
        <w:div w:id="1300693312">
          <w:marLeft w:val="0"/>
          <w:marRight w:val="0"/>
          <w:marTop w:val="0"/>
          <w:marBottom w:val="0"/>
          <w:divBdr>
            <w:top w:val="none" w:sz="0" w:space="0" w:color="auto"/>
            <w:left w:val="none" w:sz="0" w:space="0" w:color="auto"/>
            <w:bottom w:val="dotted" w:sz="6" w:space="4" w:color="DDDDDD"/>
            <w:right w:val="none" w:sz="0" w:space="0" w:color="auto"/>
          </w:divBdr>
          <w:divsChild>
            <w:div w:id="111748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85330">
      <w:bodyDiv w:val="1"/>
      <w:marLeft w:val="0"/>
      <w:marRight w:val="0"/>
      <w:marTop w:val="0"/>
      <w:marBottom w:val="0"/>
      <w:divBdr>
        <w:top w:val="none" w:sz="0" w:space="0" w:color="auto"/>
        <w:left w:val="none" w:sz="0" w:space="0" w:color="auto"/>
        <w:bottom w:val="none" w:sz="0" w:space="0" w:color="auto"/>
        <w:right w:val="none" w:sz="0" w:space="0" w:color="auto"/>
      </w:divBdr>
    </w:div>
    <w:div w:id="1815902308">
      <w:bodyDiv w:val="1"/>
      <w:marLeft w:val="0"/>
      <w:marRight w:val="0"/>
      <w:marTop w:val="0"/>
      <w:marBottom w:val="0"/>
      <w:divBdr>
        <w:top w:val="none" w:sz="0" w:space="0" w:color="auto"/>
        <w:left w:val="none" w:sz="0" w:space="0" w:color="auto"/>
        <w:bottom w:val="none" w:sz="0" w:space="0" w:color="auto"/>
        <w:right w:val="none" w:sz="0" w:space="0" w:color="auto"/>
      </w:divBdr>
    </w:div>
    <w:div w:id="1816484113">
      <w:bodyDiv w:val="1"/>
      <w:marLeft w:val="0"/>
      <w:marRight w:val="0"/>
      <w:marTop w:val="0"/>
      <w:marBottom w:val="0"/>
      <w:divBdr>
        <w:top w:val="none" w:sz="0" w:space="0" w:color="auto"/>
        <w:left w:val="none" w:sz="0" w:space="0" w:color="auto"/>
        <w:bottom w:val="none" w:sz="0" w:space="0" w:color="auto"/>
        <w:right w:val="none" w:sz="0" w:space="0" w:color="auto"/>
      </w:divBdr>
      <w:divsChild>
        <w:div w:id="639266726">
          <w:marLeft w:val="0"/>
          <w:marRight w:val="0"/>
          <w:marTop w:val="0"/>
          <w:marBottom w:val="0"/>
          <w:divBdr>
            <w:top w:val="none" w:sz="0" w:space="0" w:color="auto"/>
            <w:left w:val="none" w:sz="0" w:space="0" w:color="auto"/>
            <w:bottom w:val="none" w:sz="0" w:space="0" w:color="auto"/>
            <w:right w:val="none" w:sz="0" w:space="0" w:color="auto"/>
          </w:divBdr>
          <w:divsChild>
            <w:div w:id="808086755">
              <w:marLeft w:val="0"/>
              <w:marRight w:val="0"/>
              <w:marTop w:val="0"/>
              <w:marBottom w:val="0"/>
              <w:divBdr>
                <w:top w:val="none" w:sz="0" w:space="0" w:color="auto"/>
                <w:left w:val="none" w:sz="0" w:space="0" w:color="auto"/>
                <w:bottom w:val="none" w:sz="0" w:space="0" w:color="auto"/>
                <w:right w:val="none" w:sz="0" w:space="0" w:color="auto"/>
              </w:divBdr>
            </w:div>
            <w:div w:id="182157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989783">
      <w:bodyDiv w:val="1"/>
      <w:marLeft w:val="0"/>
      <w:marRight w:val="0"/>
      <w:marTop w:val="0"/>
      <w:marBottom w:val="0"/>
      <w:divBdr>
        <w:top w:val="none" w:sz="0" w:space="0" w:color="auto"/>
        <w:left w:val="none" w:sz="0" w:space="0" w:color="auto"/>
        <w:bottom w:val="none" w:sz="0" w:space="0" w:color="auto"/>
        <w:right w:val="none" w:sz="0" w:space="0" w:color="auto"/>
      </w:divBdr>
      <w:divsChild>
        <w:div w:id="1620379534">
          <w:marLeft w:val="0"/>
          <w:marRight w:val="0"/>
          <w:marTop w:val="0"/>
          <w:marBottom w:val="150"/>
          <w:divBdr>
            <w:top w:val="none" w:sz="0" w:space="0" w:color="auto"/>
            <w:left w:val="none" w:sz="0" w:space="0" w:color="auto"/>
            <w:bottom w:val="none" w:sz="0" w:space="0" w:color="auto"/>
            <w:right w:val="none" w:sz="0" w:space="0" w:color="auto"/>
          </w:divBdr>
        </w:div>
      </w:divsChild>
    </w:div>
    <w:div w:id="1817065854">
      <w:bodyDiv w:val="1"/>
      <w:marLeft w:val="0"/>
      <w:marRight w:val="0"/>
      <w:marTop w:val="0"/>
      <w:marBottom w:val="0"/>
      <w:divBdr>
        <w:top w:val="none" w:sz="0" w:space="0" w:color="auto"/>
        <w:left w:val="none" w:sz="0" w:space="0" w:color="auto"/>
        <w:bottom w:val="none" w:sz="0" w:space="0" w:color="auto"/>
        <w:right w:val="none" w:sz="0" w:space="0" w:color="auto"/>
      </w:divBdr>
      <w:divsChild>
        <w:div w:id="1343699571">
          <w:marLeft w:val="0"/>
          <w:marRight w:val="0"/>
          <w:marTop w:val="0"/>
          <w:marBottom w:val="0"/>
          <w:divBdr>
            <w:top w:val="none" w:sz="0" w:space="0" w:color="auto"/>
            <w:left w:val="none" w:sz="0" w:space="0" w:color="auto"/>
            <w:bottom w:val="dotted" w:sz="6" w:space="4" w:color="DDDDDD"/>
            <w:right w:val="none" w:sz="0" w:space="0" w:color="auto"/>
          </w:divBdr>
          <w:divsChild>
            <w:div w:id="3166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44627">
      <w:bodyDiv w:val="1"/>
      <w:marLeft w:val="0"/>
      <w:marRight w:val="0"/>
      <w:marTop w:val="0"/>
      <w:marBottom w:val="0"/>
      <w:divBdr>
        <w:top w:val="none" w:sz="0" w:space="0" w:color="auto"/>
        <w:left w:val="none" w:sz="0" w:space="0" w:color="auto"/>
        <w:bottom w:val="none" w:sz="0" w:space="0" w:color="auto"/>
        <w:right w:val="none" w:sz="0" w:space="0" w:color="auto"/>
      </w:divBdr>
      <w:divsChild>
        <w:div w:id="1045564877">
          <w:marLeft w:val="0"/>
          <w:marRight w:val="0"/>
          <w:marTop w:val="0"/>
          <w:marBottom w:val="150"/>
          <w:divBdr>
            <w:top w:val="none" w:sz="0" w:space="0" w:color="auto"/>
            <w:left w:val="none" w:sz="0" w:space="0" w:color="auto"/>
            <w:bottom w:val="none" w:sz="0" w:space="0" w:color="auto"/>
            <w:right w:val="none" w:sz="0" w:space="0" w:color="auto"/>
          </w:divBdr>
        </w:div>
      </w:divsChild>
    </w:div>
    <w:div w:id="1817601905">
      <w:bodyDiv w:val="1"/>
      <w:marLeft w:val="0"/>
      <w:marRight w:val="0"/>
      <w:marTop w:val="0"/>
      <w:marBottom w:val="0"/>
      <w:divBdr>
        <w:top w:val="none" w:sz="0" w:space="0" w:color="auto"/>
        <w:left w:val="none" w:sz="0" w:space="0" w:color="auto"/>
        <w:bottom w:val="none" w:sz="0" w:space="0" w:color="auto"/>
        <w:right w:val="none" w:sz="0" w:space="0" w:color="auto"/>
      </w:divBdr>
      <w:divsChild>
        <w:div w:id="1359505041">
          <w:marLeft w:val="0"/>
          <w:marRight w:val="0"/>
          <w:marTop w:val="0"/>
          <w:marBottom w:val="150"/>
          <w:divBdr>
            <w:top w:val="none" w:sz="0" w:space="0" w:color="auto"/>
            <w:left w:val="none" w:sz="0" w:space="0" w:color="auto"/>
            <w:bottom w:val="none" w:sz="0" w:space="0" w:color="auto"/>
            <w:right w:val="none" w:sz="0" w:space="0" w:color="auto"/>
          </w:divBdr>
          <w:divsChild>
            <w:div w:id="1064987878">
              <w:marLeft w:val="0"/>
              <w:marRight w:val="0"/>
              <w:marTop w:val="0"/>
              <w:marBottom w:val="0"/>
              <w:divBdr>
                <w:top w:val="none" w:sz="0" w:space="0" w:color="auto"/>
                <w:left w:val="none" w:sz="0" w:space="0" w:color="auto"/>
                <w:bottom w:val="none" w:sz="0" w:space="0" w:color="auto"/>
                <w:right w:val="none" w:sz="0" w:space="0" w:color="auto"/>
              </w:divBdr>
              <w:divsChild>
                <w:div w:id="87870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450257">
          <w:marLeft w:val="0"/>
          <w:marRight w:val="0"/>
          <w:marTop w:val="0"/>
          <w:marBottom w:val="150"/>
          <w:divBdr>
            <w:top w:val="none" w:sz="0" w:space="0" w:color="auto"/>
            <w:left w:val="none" w:sz="0" w:space="0" w:color="auto"/>
            <w:bottom w:val="none" w:sz="0" w:space="0" w:color="auto"/>
            <w:right w:val="none" w:sz="0" w:space="0" w:color="auto"/>
          </w:divBdr>
        </w:div>
        <w:div w:id="1744527176">
          <w:marLeft w:val="0"/>
          <w:marRight w:val="0"/>
          <w:marTop w:val="0"/>
          <w:marBottom w:val="0"/>
          <w:divBdr>
            <w:top w:val="none" w:sz="0" w:space="0" w:color="auto"/>
            <w:left w:val="none" w:sz="0" w:space="0" w:color="auto"/>
            <w:bottom w:val="none" w:sz="0" w:space="0" w:color="auto"/>
            <w:right w:val="none" w:sz="0" w:space="0" w:color="auto"/>
          </w:divBdr>
          <w:divsChild>
            <w:div w:id="8822066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7647567">
      <w:bodyDiv w:val="1"/>
      <w:marLeft w:val="0"/>
      <w:marRight w:val="0"/>
      <w:marTop w:val="0"/>
      <w:marBottom w:val="0"/>
      <w:divBdr>
        <w:top w:val="none" w:sz="0" w:space="0" w:color="auto"/>
        <w:left w:val="none" w:sz="0" w:space="0" w:color="auto"/>
        <w:bottom w:val="none" w:sz="0" w:space="0" w:color="auto"/>
        <w:right w:val="none" w:sz="0" w:space="0" w:color="auto"/>
      </w:divBdr>
    </w:div>
    <w:div w:id="1817994722">
      <w:bodyDiv w:val="1"/>
      <w:marLeft w:val="0"/>
      <w:marRight w:val="0"/>
      <w:marTop w:val="0"/>
      <w:marBottom w:val="0"/>
      <w:divBdr>
        <w:top w:val="none" w:sz="0" w:space="0" w:color="auto"/>
        <w:left w:val="none" w:sz="0" w:space="0" w:color="auto"/>
        <w:bottom w:val="none" w:sz="0" w:space="0" w:color="auto"/>
        <w:right w:val="none" w:sz="0" w:space="0" w:color="auto"/>
      </w:divBdr>
      <w:divsChild>
        <w:div w:id="780611143">
          <w:marLeft w:val="0"/>
          <w:marRight w:val="0"/>
          <w:marTop w:val="0"/>
          <w:marBottom w:val="0"/>
          <w:divBdr>
            <w:top w:val="none" w:sz="0" w:space="0" w:color="auto"/>
            <w:left w:val="none" w:sz="0" w:space="0" w:color="auto"/>
            <w:bottom w:val="none" w:sz="0" w:space="0" w:color="auto"/>
            <w:right w:val="none" w:sz="0" w:space="0" w:color="auto"/>
          </w:divBdr>
        </w:div>
      </w:divsChild>
    </w:div>
    <w:div w:id="1818108741">
      <w:bodyDiv w:val="1"/>
      <w:marLeft w:val="0"/>
      <w:marRight w:val="0"/>
      <w:marTop w:val="0"/>
      <w:marBottom w:val="0"/>
      <w:divBdr>
        <w:top w:val="none" w:sz="0" w:space="0" w:color="auto"/>
        <w:left w:val="none" w:sz="0" w:space="0" w:color="auto"/>
        <w:bottom w:val="none" w:sz="0" w:space="0" w:color="auto"/>
        <w:right w:val="none" w:sz="0" w:space="0" w:color="auto"/>
      </w:divBdr>
      <w:divsChild>
        <w:div w:id="743382344">
          <w:marLeft w:val="0"/>
          <w:marRight w:val="0"/>
          <w:marTop w:val="0"/>
          <w:marBottom w:val="0"/>
          <w:divBdr>
            <w:top w:val="none" w:sz="0" w:space="0" w:color="auto"/>
            <w:left w:val="none" w:sz="0" w:space="0" w:color="auto"/>
            <w:bottom w:val="none" w:sz="0" w:space="0" w:color="auto"/>
            <w:right w:val="none" w:sz="0" w:space="0" w:color="auto"/>
          </w:divBdr>
        </w:div>
        <w:div w:id="1016271688">
          <w:marLeft w:val="0"/>
          <w:marRight w:val="0"/>
          <w:marTop w:val="0"/>
          <w:marBottom w:val="150"/>
          <w:divBdr>
            <w:top w:val="none" w:sz="0" w:space="0" w:color="auto"/>
            <w:left w:val="none" w:sz="0" w:space="0" w:color="auto"/>
            <w:bottom w:val="none" w:sz="0" w:space="0" w:color="auto"/>
            <w:right w:val="none" w:sz="0" w:space="0" w:color="auto"/>
          </w:divBdr>
        </w:div>
      </w:divsChild>
    </w:div>
    <w:div w:id="1818178729">
      <w:bodyDiv w:val="1"/>
      <w:marLeft w:val="0"/>
      <w:marRight w:val="0"/>
      <w:marTop w:val="0"/>
      <w:marBottom w:val="0"/>
      <w:divBdr>
        <w:top w:val="none" w:sz="0" w:space="0" w:color="auto"/>
        <w:left w:val="none" w:sz="0" w:space="0" w:color="auto"/>
        <w:bottom w:val="none" w:sz="0" w:space="0" w:color="auto"/>
        <w:right w:val="none" w:sz="0" w:space="0" w:color="auto"/>
      </w:divBdr>
      <w:divsChild>
        <w:div w:id="139662847">
          <w:marLeft w:val="0"/>
          <w:marRight w:val="0"/>
          <w:marTop w:val="0"/>
          <w:marBottom w:val="150"/>
          <w:divBdr>
            <w:top w:val="none" w:sz="0" w:space="0" w:color="auto"/>
            <w:left w:val="none" w:sz="0" w:space="0" w:color="auto"/>
            <w:bottom w:val="none" w:sz="0" w:space="0" w:color="auto"/>
            <w:right w:val="none" w:sz="0" w:space="0" w:color="auto"/>
          </w:divBdr>
        </w:div>
        <w:div w:id="926042754">
          <w:marLeft w:val="0"/>
          <w:marRight w:val="0"/>
          <w:marTop w:val="0"/>
          <w:marBottom w:val="150"/>
          <w:divBdr>
            <w:top w:val="none" w:sz="0" w:space="0" w:color="auto"/>
            <w:left w:val="none" w:sz="0" w:space="0" w:color="auto"/>
            <w:bottom w:val="none" w:sz="0" w:space="0" w:color="auto"/>
            <w:right w:val="none" w:sz="0" w:space="0" w:color="auto"/>
          </w:divBdr>
          <w:divsChild>
            <w:div w:id="1914587813">
              <w:marLeft w:val="0"/>
              <w:marRight w:val="0"/>
              <w:marTop w:val="0"/>
              <w:marBottom w:val="0"/>
              <w:divBdr>
                <w:top w:val="none" w:sz="0" w:space="0" w:color="auto"/>
                <w:left w:val="none" w:sz="0" w:space="0" w:color="auto"/>
                <w:bottom w:val="none" w:sz="0" w:space="0" w:color="auto"/>
                <w:right w:val="none" w:sz="0" w:space="0" w:color="auto"/>
              </w:divBdr>
            </w:div>
          </w:divsChild>
        </w:div>
        <w:div w:id="1651590789">
          <w:marLeft w:val="0"/>
          <w:marRight w:val="0"/>
          <w:marTop w:val="0"/>
          <w:marBottom w:val="0"/>
          <w:divBdr>
            <w:top w:val="none" w:sz="0" w:space="0" w:color="auto"/>
            <w:left w:val="none" w:sz="0" w:space="0" w:color="auto"/>
            <w:bottom w:val="none" w:sz="0" w:space="0" w:color="auto"/>
            <w:right w:val="none" w:sz="0" w:space="0" w:color="auto"/>
          </w:divBdr>
          <w:divsChild>
            <w:div w:id="158364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183445">
      <w:bodyDiv w:val="1"/>
      <w:marLeft w:val="0"/>
      <w:marRight w:val="0"/>
      <w:marTop w:val="0"/>
      <w:marBottom w:val="0"/>
      <w:divBdr>
        <w:top w:val="none" w:sz="0" w:space="0" w:color="auto"/>
        <w:left w:val="none" w:sz="0" w:space="0" w:color="auto"/>
        <w:bottom w:val="none" w:sz="0" w:space="0" w:color="auto"/>
        <w:right w:val="none" w:sz="0" w:space="0" w:color="auto"/>
      </w:divBdr>
      <w:divsChild>
        <w:div w:id="426191567">
          <w:marLeft w:val="0"/>
          <w:marRight w:val="0"/>
          <w:marTop w:val="0"/>
          <w:marBottom w:val="0"/>
          <w:divBdr>
            <w:top w:val="none" w:sz="0" w:space="0" w:color="auto"/>
            <w:left w:val="none" w:sz="0" w:space="0" w:color="auto"/>
            <w:bottom w:val="none" w:sz="0" w:space="0" w:color="auto"/>
            <w:right w:val="none" w:sz="0" w:space="0" w:color="auto"/>
          </w:divBdr>
          <w:divsChild>
            <w:div w:id="594942034">
              <w:marLeft w:val="0"/>
              <w:marRight w:val="0"/>
              <w:marTop w:val="0"/>
              <w:marBottom w:val="150"/>
              <w:divBdr>
                <w:top w:val="none" w:sz="0" w:space="0" w:color="auto"/>
                <w:left w:val="none" w:sz="0" w:space="0" w:color="auto"/>
                <w:bottom w:val="none" w:sz="0" w:space="0" w:color="auto"/>
                <w:right w:val="none" w:sz="0" w:space="0" w:color="auto"/>
              </w:divBdr>
            </w:div>
            <w:div w:id="1771003417">
              <w:marLeft w:val="0"/>
              <w:marRight w:val="0"/>
              <w:marTop w:val="0"/>
              <w:marBottom w:val="0"/>
              <w:divBdr>
                <w:top w:val="none" w:sz="0" w:space="0" w:color="auto"/>
                <w:left w:val="none" w:sz="0" w:space="0" w:color="auto"/>
                <w:bottom w:val="none" w:sz="0" w:space="0" w:color="auto"/>
                <w:right w:val="none" w:sz="0" w:space="0" w:color="auto"/>
              </w:divBdr>
            </w:div>
          </w:divsChild>
        </w:div>
        <w:div w:id="548568090">
          <w:marLeft w:val="0"/>
          <w:marRight w:val="0"/>
          <w:marTop w:val="0"/>
          <w:marBottom w:val="150"/>
          <w:divBdr>
            <w:top w:val="none" w:sz="0" w:space="0" w:color="auto"/>
            <w:left w:val="none" w:sz="0" w:space="0" w:color="auto"/>
            <w:bottom w:val="none" w:sz="0" w:space="0" w:color="auto"/>
            <w:right w:val="none" w:sz="0" w:space="0" w:color="auto"/>
          </w:divBdr>
          <w:divsChild>
            <w:div w:id="139192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0051">
      <w:bodyDiv w:val="1"/>
      <w:marLeft w:val="0"/>
      <w:marRight w:val="0"/>
      <w:marTop w:val="0"/>
      <w:marBottom w:val="0"/>
      <w:divBdr>
        <w:top w:val="none" w:sz="0" w:space="0" w:color="auto"/>
        <w:left w:val="none" w:sz="0" w:space="0" w:color="auto"/>
        <w:bottom w:val="none" w:sz="0" w:space="0" w:color="auto"/>
        <w:right w:val="none" w:sz="0" w:space="0" w:color="auto"/>
      </w:divBdr>
      <w:divsChild>
        <w:div w:id="2073305363">
          <w:marLeft w:val="0"/>
          <w:marRight w:val="0"/>
          <w:marTop w:val="0"/>
          <w:marBottom w:val="150"/>
          <w:divBdr>
            <w:top w:val="none" w:sz="0" w:space="0" w:color="auto"/>
            <w:left w:val="none" w:sz="0" w:space="0" w:color="auto"/>
            <w:bottom w:val="none" w:sz="0" w:space="0" w:color="auto"/>
            <w:right w:val="none" w:sz="0" w:space="0" w:color="auto"/>
          </w:divBdr>
          <w:divsChild>
            <w:div w:id="1318413452">
              <w:marLeft w:val="0"/>
              <w:marRight w:val="0"/>
              <w:marTop w:val="0"/>
              <w:marBottom w:val="0"/>
              <w:divBdr>
                <w:top w:val="none" w:sz="0" w:space="0" w:color="auto"/>
                <w:left w:val="none" w:sz="0" w:space="0" w:color="auto"/>
                <w:bottom w:val="none" w:sz="0" w:space="0" w:color="auto"/>
                <w:right w:val="none" w:sz="0" w:space="0" w:color="auto"/>
              </w:divBdr>
              <w:divsChild>
                <w:div w:id="1645158961">
                  <w:marLeft w:val="0"/>
                  <w:marRight w:val="0"/>
                  <w:marTop w:val="0"/>
                  <w:marBottom w:val="0"/>
                  <w:divBdr>
                    <w:top w:val="none" w:sz="0" w:space="0" w:color="auto"/>
                    <w:left w:val="none" w:sz="0" w:space="0" w:color="auto"/>
                    <w:bottom w:val="none" w:sz="0" w:space="0" w:color="auto"/>
                    <w:right w:val="none" w:sz="0" w:space="0" w:color="auto"/>
                  </w:divBdr>
                  <w:divsChild>
                    <w:div w:id="725954199">
                      <w:marLeft w:val="0"/>
                      <w:marRight w:val="150"/>
                      <w:marTop w:val="0"/>
                      <w:marBottom w:val="0"/>
                      <w:divBdr>
                        <w:top w:val="none" w:sz="0" w:space="0" w:color="auto"/>
                        <w:left w:val="none" w:sz="0" w:space="0" w:color="auto"/>
                        <w:bottom w:val="none" w:sz="0" w:space="0" w:color="auto"/>
                        <w:right w:val="none" w:sz="0" w:space="0" w:color="auto"/>
                      </w:divBdr>
                      <w:divsChild>
                        <w:div w:id="166011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054067">
          <w:marLeft w:val="0"/>
          <w:marRight w:val="0"/>
          <w:marTop w:val="0"/>
          <w:marBottom w:val="150"/>
          <w:divBdr>
            <w:top w:val="none" w:sz="0" w:space="0" w:color="auto"/>
            <w:left w:val="none" w:sz="0" w:space="0" w:color="auto"/>
            <w:bottom w:val="none" w:sz="0" w:space="0" w:color="auto"/>
            <w:right w:val="none" w:sz="0" w:space="0" w:color="auto"/>
          </w:divBdr>
        </w:div>
        <w:div w:id="1425102516">
          <w:marLeft w:val="0"/>
          <w:marRight w:val="0"/>
          <w:marTop w:val="0"/>
          <w:marBottom w:val="0"/>
          <w:divBdr>
            <w:top w:val="none" w:sz="0" w:space="0" w:color="auto"/>
            <w:left w:val="none" w:sz="0" w:space="0" w:color="auto"/>
            <w:bottom w:val="none" w:sz="0" w:space="0" w:color="auto"/>
            <w:right w:val="none" w:sz="0" w:space="0" w:color="auto"/>
          </w:divBdr>
          <w:divsChild>
            <w:div w:id="156815005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8297011">
      <w:bodyDiv w:val="1"/>
      <w:marLeft w:val="0"/>
      <w:marRight w:val="0"/>
      <w:marTop w:val="0"/>
      <w:marBottom w:val="0"/>
      <w:divBdr>
        <w:top w:val="none" w:sz="0" w:space="0" w:color="auto"/>
        <w:left w:val="none" w:sz="0" w:space="0" w:color="auto"/>
        <w:bottom w:val="none" w:sz="0" w:space="0" w:color="auto"/>
        <w:right w:val="none" w:sz="0" w:space="0" w:color="auto"/>
      </w:divBdr>
      <w:divsChild>
        <w:div w:id="676619723">
          <w:marLeft w:val="0"/>
          <w:marRight w:val="0"/>
          <w:marTop w:val="0"/>
          <w:marBottom w:val="450"/>
          <w:divBdr>
            <w:top w:val="none" w:sz="0" w:space="0" w:color="auto"/>
            <w:left w:val="none" w:sz="0" w:space="0" w:color="auto"/>
            <w:bottom w:val="single" w:sz="6" w:space="19" w:color="EEEEEE"/>
            <w:right w:val="none" w:sz="0" w:space="0" w:color="auto"/>
          </w:divBdr>
          <w:divsChild>
            <w:div w:id="944966466">
              <w:marLeft w:val="0"/>
              <w:marRight w:val="0"/>
              <w:marTop w:val="0"/>
              <w:marBottom w:val="150"/>
              <w:divBdr>
                <w:top w:val="none" w:sz="0" w:space="0" w:color="auto"/>
                <w:left w:val="none" w:sz="0" w:space="0" w:color="auto"/>
                <w:bottom w:val="none" w:sz="0" w:space="0" w:color="auto"/>
                <w:right w:val="none" w:sz="0" w:space="0" w:color="auto"/>
              </w:divBdr>
              <w:divsChild>
                <w:div w:id="916746626">
                  <w:marLeft w:val="0"/>
                  <w:marRight w:val="0"/>
                  <w:marTop w:val="0"/>
                  <w:marBottom w:val="0"/>
                  <w:divBdr>
                    <w:top w:val="none" w:sz="0" w:space="0" w:color="auto"/>
                    <w:left w:val="none" w:sz="0" w:space="0" w:color="auto"/>
                    <w:bottom w:val="none" w:sz="0" w:space="0" w:color="auto"/>
                    <w:right w:val="none" w:sz="0" w:space="0" w:color="auto"/>
                  </w:divBdr>
                </w:div>
              </w:divsChild>
            </w:div>
            <w:div w:id="1646859236">
              <w:marLeft w:val="0"/>
              <w:marRight w:val="0"/>
              <w:marTop w:val="0"/>
              <w:marBottom w:val="0"/>
              <w:divBdr>
                <w:top w:val="none" w:sz="0" w:space="0" w:color="auto"/>
                <w:left w:val="none" w:sz="0" w:space="0" w:color="auto"/>
                <w:bottom w:val="none" w:sz="0" w:space="0" w:color="auto"/>
                <w:right w:val="none" w:sz="0" w:space="0" w:color="auto"/>
              </w:divBdr>
            </w:div>
          </w:divsChild>
        </w:div>
        <w:div w:id="50078165">
          <w:marLeft w:val="0"/>
          <w:marRight w:val="0"/>
          <w:marTop w:val="0"/>
          <w:marBottom w:val="0"/>
          <w:divBdr>
            <w:top w:val="none" w:sz="0" w:space="0" w:color="auto"/>
            <w:left w:val="none" w:sz="0" w:space="0" w:color="auto"/>
            <w:bottom w:val="none" w:sz="0" w:space="0" w:color="auto"/>
            <w:right w:val="none" w:sz="0" w:space="0" w:color="auto"/>
          </w:divBdr>
          <w:divsChild>
            <w:div w:id="2088728568">
              <w:marLeft w:val="0"/>
              <w:marRight w:val="0"/>
              <w:marTop w:val="0"/>
              <w:marBottom w:val="0"/>
              <w:divBdr>
                <w:top w:val="none" w:sz="0" w:space="0" w:color="auto"/>
                <w:left w:val="none" w:sz="0" w:space="0" w:color="auto"/>
                <w:bottom w:val="none" w:sz="0" w:space="0" w:color="auto"/>
                <w:right w:val="none" w:sz="0" w:space="0" w:color="auto"/>
              </w:divBdr>
              <w:divsChild>
                <w:div w:id="124475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303322">
      <w:bodyDiv w:val="1"/>
      <w:marLeft w:val="0"/>
      <w:marRight w:val="0"/>
      <w:marTop w:val="0"/>
      <w:marBottom w:val="0"/>
      <w:divBdr>
        <w:top w:val="none" w:sz="0" w:space="0" w:color="auto"/>
        <w:left w:val="none" w:sz="0" w:space="0" w:color="auto"/>
        <w:bottom w:val="none" w:sz="0" w:space="0" w:color="auto"/>
        <w:right w:val="none" w:sz="0" w:space="0" w:color="auto"/>
      </w:divBdr>
      <w:divsChild>
        <w:div w:id="899053132">
          <w:marLeft w:val="0"/>
          <w:marRight w:val="0"/>
          <w:marTop w:val="0"/>
          <w:marBottom w:val="0"/>
          <w:divBdr>
            <w:top w:val="none" w:sz="0" w:space="0" w:color="auto"/>
            <w:left w:val="none" w:sz="0" w:space="0" w:color="auto"/>
            <w:bottom w:val="dotted" w:sz="6" w:space="4" w:color="DDDDDD"/>
            <w:right w:val="none" w:sz="0" w:space="0" w:color="auto"/>
          </w:divBdr>
          <w:divsChild>
            <w:div w:id="42411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835341">
      <w:bodyDiv w:val="1"/>
      <w:marLeft w:val="0"/>
      <w:marRight w:val="0"/>
      <w:marTop w:val="0"/>
      <w:marBottom w:val="0"/>
      <w:divBdr>
        <w:top w:val="none" w:sz="0" w:space="0" w:color="auto"/>
        <w:left w:val="none" w:sz="0" w:space="0" w:color="auto"/>
        <w:bottom w:val="none" w:sz="0" w:space="0" w:color="auto"/>
        <w:right w:val="none" w:sz="0" w:space="0" w:color="auto"/>
      </w:divBdr>
      <w:divsChild>
        <w:div w:id="20860713">
          <w:marLeft w:val="0"/>
          <w:marRight w:val="0"/>
          <w:marTop w:val="0"/>
          <w:marBottom w:val="0"/>
          <w:divBdr>
            <w:top w:val="none" w:sz="0" w:space="0" w:color="auto"/>
            <w:left w:val="none" w:sz="0" w:space="0" w:color="auto"/>
            <w:bottom w:val="dotted" w:sz="6" w:space="4" w:color="DDDDDD"/>
            <w:right w:val="none" w:sz="0" w:space="0" w:color="auto"/>
          </w:divBdr>
          <w:divsChild>
            <w:div w:id="7530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297381">
      <w:bodyDiv w:val="1"/>
      <w:marLeft w:val="0"/>
      <w:marRight w:val="0"/>
      <w:marTop w:val="0"/>
      <w:marBottom w:val="0"/>
      <w:divBdr>
        <w:top w:val="none" w:sz="0" w:space="0" w:color="auto"/>
        <w:left w:val="none" w:sz="0" w:space="0" w:color="auto"/>
        <w:bottom w:val="none" w:sz="0" w:space="0" w:color="auto"/>
        <w:right w:val="none" w:sz="0" w:space="0" w:color="auto"/>
      </w:divBdr>
      <w:divsChild>
        <w:div w:id="947007321">
          <w:marLeft w:val="0"/>
          <w:marRight w:val="0"/>
          <w:marTop w:val="0"/>
          <w:marBottom w:val="0"/>
          <w:divBdr>
            <w:top w:val="none" w:sz="0" w:space="0" w:color="auto"/>
            <w:left w:val="none" w:sz="0" w:space="0" w:color="auto"/>
            <w:bottom w:val="none" w:sz="0" w:space="0" w:color="auto"/>
            <w:right w:val="none" w:sz="0" w:space="0" w:color="auto"/>
          </w:divBdr>
          <w:divsChild>
            <w:div w:id="178422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375888">
      <w:bodyDiv w:val="1"/>
      <w:marLeft w:val="0"/>
      <w:marRight w:val="0"/>
      <w:marTop w:val="0"/>
      <w:marBottom w:val="0"/>
      <w:divBdr>
        <w:top w:val="none" w:sz="0" w:space="0" w:color="auto"/>
        <w:left w:val="none" w:sz="0" w:space="0" w:color="auto"/>
        <w:bottom w:val="none" w:sz="0" w:space="0" w:color="auto"/>
        <w:right w:val="none" w:sz="0" w:space="0" w:color="auto"/>
      </w:divBdr>
      <w:divsChild>
        <w:div w:id="2050377329">
          <w:marLeft w:val="0"/>
          <w:marRight w:val="0"/>
          <w:marTop w:val="0"/>
          <w:marBottom w:val="0"/>
          <w:divBdr>
            <w:top w:val="none" w:sz="0" w:space="0" w:color="auto"/>
            <w:left w:val="none" w:sz="0" w:space="0" w:color="auto"/>
            <w:bottom w:val="none" w:sz="0" w:space="0" w:color="auto"/>
            <w:right w:val="none" w:sz="0" w:space="0" w:color="auto"/>
          </w:divBdr>
          <w:divsChild>
            <w:div w:id="1264532234">
              <w:marLeft w:val="0"/>
              <w:marRight w:val="0"/>
              <w:marTop w:val="0"/>
              <w:marBottom w:val="0"/>
              <w:divBdr>
                <w:top w:val="none" w:sz="0" w:space="0" w:color="auto"/>
                <w:left w:val="none" w:sz="0" w:space="0" w:color="auto"/>
                <w:bottom w:val="none" w:sz="0" w:space="0" w:color="auto"/>
                <w:right w:val="none" w:sz="0" w:space="0" w:color="auto"/>
              </w:divBdr>
              <w:divsChild>
                <w:div w:id="213468594">
                  <w:marLeft w:val="0"/>
                  <w:marRight w:val="0"/>
                  <w:marTop w:val="0"/>
                  <w:marBottom w:val="0"/>
                  <w:divBdr>
                    <w:top w:val="none" w:sz="0" w:space="0" w:color="auto"/>
                    <w:left w:val="none" w:sz="0" w:space="0" w:color="auto"/>
                    <w:bottom w:val="none" w:sz="0" w:space="0" w:color="auto"/>
                    <w:right w:val="none" w:sz="0" w:space="0" w:color="auto"/>
                  </w:divBdr>
                  <w:divsChild>
                    <w:div w:id="807825700">
                      <w:marLeft w:val="0"/>
                      <w:marRight w:val="0"/>
                      <w:marTop w:val="0"/>
                      <w:marBottom w:val="0"/>
                      <w:divBdr>
                        <w:top w:val="none" w:sz="0" w:space="0" w:color="auto"/>
                        <w:left w:val="none" w:sz="0" w:space="0" w:color="auto"/>
                        <w:bottom w:val="none" w:sz="0" w:space="0" w:color="auto"/>
                        <w:right w:val="none" w:sz="0" w:space="0" w:color="auto"/>
                      </w:divBdr>
                      <w:divsChild>
                        <w:div w:id="1535264334">
                          <w:marLeft w:val="0"/>
                          <w:marRight w:val="0"/>
                          <w:marTop w:val="0"/>
                          <w:marBottom w:val="0"/>
                          <w:divBdr>
                            <w:top w:val="none" w:sz="0" w:space="0" w:color="auto"/>
                            <w:left w:val="none" w:sz="0" w:space="0" w:color="auto"/>
                            <w:bottom w:val="none" w:sz="0" w:space="0" w:color="auto"/>
                            <w:right w:val="none" w:sz="0" w:space="0" w:color="auto"/>
                          </w:divBdr>
                          <w:divsChild>
                            <w:div w:id="495609962">
                              <w:marLeft w:val="0"/>
                              <w:marRight w:val="0"/>
                              <w:marTop w:val="0"/>
                              <w:marBottom w:val="0"/>
                              <w:divBdr>
                                <w:top w:val="none" w:sz="0" w:space="0" w:color="auto"/>
                                <w:left w:val="none" w:sz="0" w:space="0" w:color="auto"/>
                                <w:bottom w:val="none" w:sz="0" w:space="0" w:color="auto"/>
                                <w:right w:val="none" w:sz="0" w:space="0" w:color="auto"/>
                              </w:divBdr>
                              <w:divsChild>
                                <w:div w:id="1946498209">
                                  <w:marLeft w:val="0"/>
                                  <w:marRight w:val="0"/>
                                  <w:marTop w:val="0"/>
                                  <w:marBottom w:val="0"/>
                                  <w:divBdr>
                                    <w:top w:val="none" w:sz="0" w:space="0" w:color="auto"/>
                                    <w:left w:val="none" w:sz="0" w:space="0" w:color="auto"/>
                                    <w:bottom w:val="none" w:sz="0" w:space="0" w:color="auto"/>
                                    <w:right w:val="none" w:sz="0" w:space="0" w:color="auto"/>
                                  </w:divBdr>
                                  <w:divsChild>
                                    <w:div w:id="36884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423079">
      <w:bodyDiv w:val="1"/>
      <w:marLeft w:val="0"/>
      <w:marRight w:val="0"/>
      <w:marTop w:val="0"/>
      <w:marBottom w:val="0"/>
      <w:divBdr>
        <w:top w:val="none" w:sz="0" w:space="0" w:color="auto"/>
        <w:left w:val="none" w:sz="0" w:space="0" w:color="auto"/>
        <w:bottom w:val="none" w:sz="0" w:space="0" w:color="auto"/>
        <w:right w:val="none" w:sz="0" w:space="0" w:color="auto"/>
      </w:divBdr>
    </w:div>
    <w:div w:id="1820265734">
      <w:bodyDiv w:val="1"/>
      <w:marLeft w:val="0"/>
      <w:marRight w:val="0"/>
      <w:marTop w:val="0"/>
      <w:marBottom w:val="0"/>
      <w:divBdr>
        <w:top w:val="none" w:sz="0" w:space="0" w:color="auto"/>
        <w:left w:val="none" w:sz="0" w:space="0" w:color="auto"/>
        <w:bottom w:val="none" w:sz="0" w:space="0" w:color="auto"/>
        <w:right w:val="none" w:sz="0" w:space="0" w:color="auto"/>
      </w:divBdr>
      <w:divsChild>
        <w:div w:id="684794124">
          <w:marLeft w:val="0"/>
          <w:marRight w:val="0"/>
          <w:marTop w:val="0"/>
          <w:marBottom w:val="0"/>
          <w:divBdr>
            <w:top w:val="none" w:sz="0" w:space="0" w:color="auto"/>
            <w:left w:val="none" w:sz="0" w:space="0" w:color="auto"/>
            <w:bottom w:val="none" w:sz="0" w:space="0" w:color="auto"/>
            <w:right w:val="none" w:sz="0" w:space="0" w:color="auto"/>
          </w:divBdr>
          <w:divsChild>
            <w:div w:id="186870933">
              <w:marLeft w:val="0"/>
              <w:marRight w:val="0"/>
              <w:marTop w:val="0"/>
              <w:marBottom w:val="150"/>
              <w:divBdr>
                <w:top w:val="none" w:sz="0" w:space="0" w:color="auto"/>
                <w:left w:val="none" w:sz="0" w:space="0" w:color="auto"/>
                <w:bottom w:val="none" w:sz="0" w:space="0" w:color="auto"/>
                <w:right w:val="none" w:sz="0" w:space="0" w:color="auto"/>
              </w:divBdr>
            </w:div>
            <w:div w:id="650790174">
              <w:marLeft w:val="0"/>
              <w:marRight w:val="0"/>
              <w:marTop w:val="0"/>
              <w:marBottom w:val="0"/>
              <w:divBdr>
                <w:top w:val="none" w:sz="0" w:space="0" w:color="auto"/>
                <w:left w:val="none" w:sz="0" w:space="0" w:color="auto"/>
                <w:bottom w:val="none" w:sz="0" w:space="0" w:color="auto"/>
                <w:right w:val="none" w:sz="0" w:space="0" w:color="auto"/>
              </w:divBdr>
            </w:div>
          </w:divsChild>
        </w:div>
        <w:div w:id="1426195393">
          <w:marLeft w:val="0"/>
          <w:marRight w:val="0"/>
          <w:marTop w:val="0"/>
          <w:marBottom w:val="150"/>
          <w:divBdr>
            <w:top w:val="none" w:sz="0" w:space="0" w:color="auto"/>
            <w:left w:val="none" w:sz="0" w:space="0" w:color="auto"/>
            <w:bottom w:val="none" w:sz="0" w:space="0" w:color="auto"/>
            <w:right w:val="none" w:sz="0" w:space="0" w:color="auto"/>
          </w:divBdr>
          <w:divsChild>
            <w:div w:id="93856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724942">
      <w:bodyDiv w:val="1"/>
      <w:marLeft w:val="0"/>
      <w:marRight w:val="0"/>
      <w:marTop w:val="0"/>
      <w:marBottom w:val="0"/>
      <w:divBdr>
        <w:top w:val="none" w:sz="0" w:space="0" w:color="auto"/>
        <w:left w:val="none" w:sz="0" w:space="0" w:color="auto"/>
        <w:bottom w:val="none" w:sz="0" w:space="0" w:color="auto"/>
        <w:right w:val="none" w:sz="0" w:space="0" w:color="auto"/>
      </w:divBdr>
      <w:divsChild>
        <w:div w:id="1148012432">
          <w:marLeft w:val="0"/>
          <w:marRight w:val="0"/>
          <w:marTop w:val="0"/>
          <w:marBottom w:val="150"/>
          <w:divBdr>
            <w:top w:val="none" w:sz="0" w:space="0" w:color="auto"/>
            <w:left w:val="none" w:sz="0" w:space="0" w:color="auto"/>
            <w:bottom w:val="none" w:sz="0" w:space="0" w:color="auto"/>
            <w:right w:val="none" w:sz="0" w:space="0" w:color="auto"/>
          </w:divBdr>
        </w:div>
      </w:divsChild>
    </w:div>
    <w:div w:id="1821195222">
      <w:bodyDiv w:val="1"/>
      <w:marLeft w:val="0"/>
      <w:marRight w:val="0"/>
      <w:marTop w:val="0"/>
      <w:marBottom w:val="0"/>
      <w:divBdr>
        <w:top w:val="none" w:sz="0" w:space="0" w:color="auto"/>
        <w:left w:val="none" w:sz="0" w:space="0" w:color="auto"/>
        <w:bottom w:val="none" w:sz="0" w:space="0" w:color="auto"/>
        <w:right w:val="none" w:sz="0" w:space="0" w:color="auto"/>
      </w:divBdr>
      <w:divsChild>
        <w:div w:id="1871260561">
          <w:marLeft w:val="0"/>
          <w:marRight w:val="0"/>
          <w:marTop w:val="0"/>
          <w:marBottom w:val="0"/>
          <w:divBdr>
            <w:top w:val="none" w:sz="0" w:space="0" w:color="auto"/>
            <w:left w:val="none" w:sz="0" w:space="0" w:color="auto"/>
            <w:bottom w:val="none" w:sz="0" w:space="0" w:color="auto"/>
            <w:right w:val="none" w:sz="0" w:space="0" w:color="auto"/>
          </w:divBdr>
        </w:div>
      </w:divsChild>
    </w:div>
    <w:div w:id="1821195712">
      <w:bodyDiv w:val="1"/>
      <w:marLeft w:val="0"/>
      <w:marRight w:val="0"/>
      <w:marTop w:val="0"/>
      <w:marBottom w:val="0"/>
      <w:divBdr>
        <w:top w:val="none" w:sz="0" w:space="0" w:color="auto"/>
        <w:left w:val="none" w:sz="0" w:space="0" w:color="auto"/>
        <w:bottom w:val="none" w:sz="0" w:space="0" w:color="auto"/>
        <w:right w:val="none" w:sz="0" w:space="0" w:color="auto"/>
      </w:divBdr>
      <w:divsChild>
        <w:div w:id="324289587">
          <w:marLeft w:val="0"/>
          <w:marRight w:val="0"/>
          <w:marTop w:val="0"/>
          <w:marBottom w:val="0"/>
          <w:divBdr>
            <w:top w:val="none" w:sz="0" w:space="0" w:color="auto"/>
            <w:left w:val="none" w:sz="0" w:space="0" w:color="auto"/>
            <w:bottom w:val="none" w:sz="0" w:space="0" w:color="auto"/>
            <w:right w:val="none" w:sz="0" w:space="0" w:color="auto"/>
          </w:divBdr>
        </w:div>
        <w:div w:id="1113209568">
          <w:marLeft w:val="0"/>
          <w:marRight w:val="0"/>
          <w:marTop w:val="0"/>
          <w:marBottom w:val="150"/>
          <w:divBdr>
            <w:top w:val="none" w:sz="0" w:space="0" w:color="auto"/>
            <w:left w:val="none" w:sz="0" w:space="0" w:color="auto"/>
            <w:bottom w:val="none" w:sz="0" w:space="0" w:color="auto"/>
            <w:right w:val="none" w:sz="0" w:space="0" w:color="auto"/>
          </w:divBdr>
        </w:div>
      </w:divsChild>
    </w:div>
    <w:div w:id="1821770782">
      <w:bodyDiv w:val="1"/>
      <w:marLeft w:val="0"/>
      <w:marRight w:val="0"/>
      <w:marTop w:val="0"/>
      <w:marBottom w:val="0"/>
      <w:divBdr>
        <w:top w:val="none" w:sz="0" w:space="0" w:color="auto"/>
        <w:left w:val="none" w:sz="0" w:space="0" w:color="auto"/>
        <w:bottom w:val="none" w:sz="0" w:space="0" w:color="auto"/>
        <w:right w:val="none" w:sz="0" w:space="0" w:color="auto"/>
      </w:divBdr>
    </w:div>
    <w:div w:id="1821848191">
      <w:bodyDiv w:val="1"/>
      <w:marLeft w:val="0"/>
      <w:marRight w:val="0"/>
      <w:marTop w:val="0"/>
      <w:marBottom w:val="0"/>
      <w:divBdr>
        <w:top w:val="none" w:sz="0" w:space="0" w:color="auto"/>
        <w:left w:val="none" w:sz="0" w:space="0" w:color="auto"/>
        <w:bottom w:val="none" w:sz="0" w:space="0" w:color="auto"/>
        <w:right w:val="none" w:sz="0" w:space="0" w:color="auto"/>
      </w:divBdr>
      <w:divsChild>
        <w:div w:id="948048203">
          <w:marLeft w:val="0"/>
          <w:marRight w:val="0"/>
          <w:marTop w:val="0"/>
          <w:marBottom w:val="0"/>
          <w:divBdr>
            <w:top w:val="none" w:sz="0" w:space="0" w:color="auto"/>
            <w:left w:val="none" w:sz="0" w:space="0" w:color="auto"/>
            <w:bottom w:val="none" w:sz="0" w:space="0" w:color="auto"/>
            <w:right w:val="none" w:sz="0" w:space="0" w:color="auto"/>
          </w:divBdr>
          <w:divsChild>
            <w:div w:id="187415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041342">
      <w:bodyDiv w:val="1"/>
      <w:marLeft w:val="0"/>
      <w:marRight w:val="0"/>
      <w:marTop w:val="0"/>
      <w:marBottom w:val="0"/>
      <w:divBdr>
        <w:top w:val="none" w:sz="0" w:space="0" w:color="auto"/>
        <w:left w:val="none" w:sz="0" w:space="0" w:color="auto"/>
        <w:bottom w:val="none" w:sz="0" w:space="0" w:color="auto"/>
        <w:right w:val="none" w:sz="0" w:space="0" w:color="auto"/>
      </w:divBdr>
      <w:divsChild>
        <w:div w:id="1823421560">
          <w:marLeft w:val="0"/>
          <w:marRight w:val="0"/>
          <w:marTop w:val="0"/>
          <w:marBottom w:val="0"/>
          <w:divBdr>
            <w:top w:val="none" w:sz="0" w:space="0" w:color="auto"/>
            <w:left w:val="none" w:sz="0" w:space="0" w:color="auto"/>
            <w:bottom w:val="none" w:sz="0" w:space="0" w:color="auto"/>
            <w:right w:val="none" w:sz="0" w:space="0" w:color="auto"/>
          </w:divBdr>
        </w:div>
      </w:divsChild>
    </w:div>
    <w:div w:id="1822428671">
      <w:bodyDiv w:val="1"/>
      <w:marLeft w:val="0"/>
      <w:marRight w:val="0"/>
      <w:marTop w:val="0"/>
      <w:marBottom w:val="0"/>
      <w:divBdr>
        <w:top w:val="none" w:sz="0" w:space="0" w:color="auto"/>
        <w:left w:val="none" w:sz="0" w:space="0" w:color="auto"/>
        <w:bottom w:val="none" w:sz="0" w:space="0" w:color="auto"/>
        <w:right w:val="none" w:sz="0" w:space="0" w:color="auto"/>
      </w:divBdr>
      <w:divsChild>
        <w:div w:id="1657298229">
          <w:marLeft w:val="0"/>
          <w:marRight w:val="0"/>
          <w:marTop w:val="0"/>
          <w:marBottom w:val="0"/>
          <w:divBdr>
            <w:top w:val="none" w:sz="0" w:space="0" w:color="auto"/>
            <w:left w:val="none" w:sz="0" w:space="0" w:color="auto"/>
            <w:bottom w:val="dotted" w:sz="6" w:space="4" w:color="DDDDDD"/>
            <w:right w:val="none" w:sz="0" w:space="0" w:color="auto"/>
          </w:divBdr>
          <w:divsChild>
            <w:div w:id="16875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576602">
      <w:bodyDiv w:val="1"/>
      <w:marLeft w:val="0"/>
      <w:marRight w:val="0"/>
      <w:marTop w:val="0"/>
      <w:marBottom w:val="0"/>
      <w:divBdr>
        <w:top w:val="none" w:sz="0" w:space="0" w:color="auto"/>
        <w:left w:val="none" w:sz="0" w:space="0" w:color="auto"/>
        <w:bottom w:val="none" w:sz="0" w:space="0" w:color="auto"/>
        <w:right w:val="none" w:sz="0" w:space="0" w:color="auto"/>
      </w:divBdr>
    </w:div>
    <w:div w:id="1823279767">
      <w:bodyDiv w:val="1"/>
      <w:marLeft w:val="0"/>
      <w:marRight w:val="0"/>
      <w:marTop w:val="0"/>
      <w:marBottom w:val="0"/>
      <w:divBdr>
        <w:top w:val="none" w:sz="0" w:space="0" w:color="auto"/>
        <w:left w:val="none" w:sz="0" w:space="0" w:color="auto"/>
        <w:bottom w:val="none" w:sz="0" w:space="0" w:color="auto"/>
        <w:right w:val="none" w:sz="0" w:space="0" w:color="auto"/>
      </w:divBdr>
      <w:divsChild>
        <w:div w:id="756903089">
          <w:marLeft w:val="0"/>
          <w:marRight w:val="0"/>
          <w:marTop w:val="0"/>
          <w:marBottom w:val="0"/>
          <w:divBdr>
            <w:top w:val="none" w:sz="0" w:space="0" w:color="auto"/>
            <w:left w:val="none" w:sz="0" w:space="0" w:color="auto"/>
            <w:bottom w:val="dotted" w:sz="6" w:space="4" w:color="DDDDDD"/>
            <w:right w:val="none" w:sz="0" w:space="0" w:color="auto"/>
          </w:divBdr>
        </w:div>
      </w:divsChild>
    </w:div>
    <w:div w:id="1823765570">
      <w:bodyDiv w:val="1"/>
      <w:marLeft w:val="0"/>
      <w:marRight w:val="0"/>
      <w:marTop w:val="0"/>
      <w:marBottom w:val="0"/>
      <w:divBdr>
        <w:top w:val="none" w:sz="0" w:space="0" w:color="auto"/>
        <w:left w:val="none" w:sz="0" w:space="0" w:color="auto"/>
        <w:bottom w:val="none" w:sz="0" w:space="0" w:color="auto"/>
        <w:right w:val="none" w:sz="0" w:space="0" w:color="auto"/>
      </w:divBdr>
      <w:divsChild>
        <w:div w:id="1602253418">
          <w:marLeft w:val="0"/>
          <w:marRight w:val="0"/>
          <w:marTop w:val="0"/>
          <w:marBottom w:val="0"/>
          <w:divBdr>
            <w:top w:val="none" w:sz="0" w:space="0" w:color="auto"/>
            <w:left w:val="none" w:sz="0" w:space="0" w:color="auto"/>
            <w:bottom w:val="none" w:sz="0" w:space="0" w:color="auto"/>
            <w:right w:val="none" w:sz="0" w:space="0" w:color="auto"/>
          </w:divBdr>
        </w:div>
      </w:divsChild>
    </w:div>
    <w:div w:id="1823810141">
      <w:bodyDiv w:val="1"/>
      <w:marLeft w:val="0"/>
      <w:marRight w:val="0"/>
      <w:marTop w:val="0"/>
      <w:marBottom w:val="0"/>
      <w:divBdr>
        <w:top w:val="none" w:sz="0" w:space="0" w:color="auto"/>
        <w:left w:val="none" w:sz="0" w:space="0" w:color="auto"/>
        <w:bottom w:val="none" w:sz="0" w:space="0" w:color="auto"/>
        <w:right w:val="none" w:sz="0" w:space="0" w:color="auto"/>
      </w:divBdr>
    </w:div>
    <w:div w:id="1824001833">
      <w:bodyDiv w:val="1"/>
      <w:marLeft w:val="0"/>
      <w:marRight w:val="0"/>
      <w:marTop w:val="0"/>
      <w:marBottom w:val="0"/>
      <w:divBdr>
        <w:top w:val="none" w:sz="0" w:space="0" w:color="auto"/>
        <w:left w:val="none" w:sz="0" w:space="0" w:color="auto"/>
        <w:bottom w:val="none" w:sz="0" w:space="0" w:color="auto"/>
        <w:right w:val="none" w:sz="0" w:space="0" w:color="auto"/>
      </w:divBdr>
    </w:div>
    <w:div w:id="1824004441">
      <w:bodyDiv w:val="1"/>
      <w:marLeft w:val="0"/>
      <w:marRight w:val="0"/>
      <w:marTop w:val="0"/>
      <w:marBottom w:val="0"/>
      <w:divBdr>
        <w:top w:val="none" w:sz="0" w:space="0" w:color="auto"/>
        <w:left w:val="none" w:sz="0" w:space="0" w:color="auto"/>
        <w:bottom w:val="none" w:sz="0" w:space="0" w:color="auto"/>
        <w:right w:val="none" w:sz="0" w:space="0" w:color="auto"/>
      </w:divBdr>
      <w:divsChild>
        <w:div w:id="81418029">
          <w:marLeft w:val="0"/>
          <w:marRight w:val="0"/>
          <w:marTop w:val="0"/>
          <w:marBottom w:val="0"/>
          <w:divBdr>
            <w:top w:val="none" w:sz="0" w:space="0" w:color="auto"/>
            <w:left w:val="none" w:sz="0" w:space="0" w:color="auto"/>
            <w:bottom w:val="none" w:sz="0" w:space="0" w:color="auto"/>
            <w:right w:val="none" w:sz="0" w:space="0" w:color="auto"/>
          </w:divBdr>
          <w:divsChild>
            <w:div w:id="1753969936">
              <w:marLeft w:val="0"/>
              <w:marRight w:val="0"/>
              <w:marTop w:val="0"/>
              <w:marBottom w:val="0"/>
              <w:divBdr>
                <w:top w:val="none" w:sz="0" w:space="0" w:color="auto"/>
                <w:left w:val="none" w:sz="0" w:space="0" w:color="auto"/>
                <w:bottom w:val="none" w:sz="0" w:space="0" w:color="auto"/>
                <w:right w:val="none" w:sz="0" w:space="0" w:color="auto"/>
              </w:divBdr>
              <w:divsChild>
                <w:div w:id="1312950018">
                  <w:marLeft w:val="0"/>
                  <w:marRight w:val="0"/>
                  <w:marTop w:val="225"/>
                  <w:marBottom w:val="225"/>
                  <w:divBdr>
                    <w:top w:val="none" w:sz="0" w:space="0" w:color="auto"/>
                    <w:left w:val="none" w:sz="0" w:space="0" w:color="auto"/>
                    <w:bottom w:val="none" w:sz="0" w:space="0" w:color="auto"/>
                    <w:right w:val="none" w:sz="0" w:space="0" w:color="auto"/>
                  </w:divBdr>
                </w:div>
              </w:divsChild>
            </w:div>
            <w:div w:id="2121341797">
              <w:marLeft w:val="0"/>
              <w:marRight w:val="0"/>
              <w:marTop w:val="0"/>
              <w:marBottom w:val="150"/>
              <w:divBdr>
                <w:top w:val="none" w:sz="0" w:space="0" w:color="auto"/>
                <w:left w:val="none" w:sz="0" w:space="0" w:color="auto"/>
                <w:bottom w:val="none" w:sz="0" w:space="0" w:color="auto"/>
                <w:right w:val="none" w:sz="0" w:space="0" w:color="auto"/>
              </w:divBdr>
            </w:div>
          </w:divsChild>
        </w:div>
        <w:div w:id="1590844285">
          <w:marLeft w:val="0"/>
          <w:marRight w:val="0"/>
          <w:marTop w:val="0"/>
          <w:marBottom w:val="150"/>
          <w:divBdr>
            <w:top w:val="none" w:sz="0" w:space="0" w:color="auto"/>
            <w:left w:val="none" w:sz="0" w:space="0" w:color="auto"/>
            <w:bottom w:val="none" w:sz="0" w:space="0" w:color="auto"/>
            <w:right w:val="none" w:sz="0" w:space="0" w:color="auto"/>
          </w:divBdr>
          <w:divsChild>
            <w:div w:id="917984177">
              <w:marLeft w:val="0"/>
              <w:marRight w:val="0"/>
              <w:marTop w:val="0"/>
              <w:marBottom w:val="0"/>
              <w:divBdr>
                <w:top w:val="none" w:sz="0" w:space="0" w:color="auto"/>
                <w:left w:val="none" w:sz="0" w:space="0" w:color="auto"/>
                <w:bottom w:val="none" w:sz="0" w:space="0" w:color="auto"/>
                <w:right w:val="none" w:sz="0" w:space="0" w:color="auto"/>
              </w:divBdr>
              <w:divsChild>
                <w:div w:id="18512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010413">
      <w:bodyDiv w:val="1"/>
      <w:marLeft w:val="0"/>
      <w:marRight w:val="0"/>
      <w:marTop w:val="0"/>
      <w:marBottom w:val="0"/>
      <w:divBdr>
        <w:top w:val="none" w:sz="0" w:space="0" w:color="auto"/>
        <w:left w:val="none" w:sz="0" w:space="0" w:color="auto"/>
        <w:bottom w:val="none" w:sz="0" w:space="0" w:color="auto"/>
        <w:right w:val="none" w:sz="0" w:space="0" w:color="auto"/>
      </w:divBdr>
      <w:divsChild>
        <w:div w:id="1789155397">
          <w:marLeft w:val="0"/>
          <w:marRight w:val="0"/>
          <w:marTop w:val="0"/>
          <w:marBottom w:val="225"/>
          <w:divBdr>
            <w:top w:val="none" w:sz="0" w:space="0" w:color="auto"/>
            <w:left w:val="none" w:sz="0" w:space="0" w:color="auto"/>
            <w:bottom w:val="none" w:sz="0" w:space="0" w:color="auto"/>
            <w:right w:val="none" w:sz="0" w:space="0" w:color="auto"/>
          </w:divBdr>
          <w:divsChild>
            <w:div w:id="1196507490">
              <w:marLeft w:val="0"/>
              <w:marRight w:val="0"/>
              <w:marTop w:val="0"/>
              <w:marBottom w:val="0"/>
              <w:divBdr>
                <w:top w:val="none" w:sz="0" w:space="0" w:color="auto"/>
                <w:left w:val="none" w:sz="0" w:space="0" w:color="auto"/>
                <w:bottom w:val="none" w:sz="0" w:space="0" w:color="auto"/>
                <w:right w:val="none" w:sz="0" w:space="0" w:color="auto"/>
              </w:divBdr>
              <w:divsChild>
                <w:div w:id="190286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301389">
          <w:marLeft w:val="0"/>
          <w:marRight w:val="0"/>
          <w:marTop w:val="0"/>
          <w:marBottom w:val="225"/>
          <w:divBdr>
            <w:top w:val="none" w:sz="0" w:space="0" w:color="auto"/>
            <w:left w:val="none" w:sz="0" w:space="0" w:color="auto"/>
            <w:bottom w:val="none" w:sz="0" w:space="0" w:color="auto"/>
            <w:right w:val="none" w:sz="0" w:space="0" w:color="auto"/>
          </w:divBdr>
        </w:div>
      </w:divsChild>
    </w:div>
    <w:div w:id="1824275736">
      <w:bodyDiv w:val="1"/>
      <w:marLeft w:val="0"/>
      <w:marRight w:val="0"/>
      <w:marTop w:val="0"/>
      <w:marBottom w:val="0"/>
      <w:divBdr>
        <w:top w:val="none" w:sz="0" w:space="0" w:color="auto"/>
        <w:left w:val="none" w:sz="0" w:space="0" w:color="auto"/>
        <w:bottom w:val="none" w:sz="0" w:space="0" w:color="auto"/>
        <w:right w:val="none" w:sz="0" w:space="0" w:color="auto"/>
      </w:divBdr>
    </w:div>
    <w:div w:id="1824467189">
      <w:bodyDiv w:val="1"/>
      <w:marLeft w:val="0"/>
      <w:marRight w:val="0"/>
      <w:marTop w:val="0"/>
      <w:marBottom w:val="0"/>
      <w:divBdr>
        <w:top w:val="none" w:sz="0" w:space="0" w:color="auto"/>
        <w:left w:val="none" w:sz="0" w:space="0" w:color="auto"/>
        <w:bottom w:val="none" w:sz="0" w:space="0" w:color="auto"/>
        <w:right w:val="none" w:sz="0" w:space="0" w:color="auto"/>
      </w:divBdr>
      <w:divsChild>
        <w:div w:id="1497453053">
          <w:marLeft w:val="0"/>
          <w:marRight w:val="0"/>
          <w:marTop w:val="0"/>
          <w:marBottom w:val="0"/>
          <w:divBdr>
            <w:top w:val="none" w:sz="0" w:space="0" w:color="auto"/>
            <w:left w:val="none" w:sz="0" w:space="0" w:color="auto"/>
            <w:bottom w:val="dotted" w:sz="6" w:space="4" w:color="DDDDDD"/>
            <w:right w:val="none" w:sz="0" w:space="0" w:color="auto"/>
          </w:divBdr>
        </w:div>
      </w:divsChild>
    </w:div>
    <w:div w:id="1824540994">
      <w:bodyDiv w:val="1"/>
      <w:marLeft w:val="0"/>
      <w:marRight w:val="0"/>
      <w:marTop w:val="0"/>
      <w:marBottom w:val="0"/>
      <w:divBdr>
        <w:top w:val="none" w:sz="0" w:space="0" w:color="auto"/>
        <w:left w:val="none" w:sz="0" w:space="0" w:color="auto"/>
        <w:bottom w:val="none" w:sz="0" w:space="0" w:color="auto"/>
        <w:right w:val="none" w:sz="0" w:space="0" w:color="auto"/>
      </w:divBdr>
      <w:divsChild>
        <w:div w:id="1057361580">
          <w:marLeft w:val="0"/>
          <w:marRight w:val="0"/>
          <w:marTop w:val="0"/>
          <w:marBottom w:val="0"/>
          <w:divBdr>
            <w:top w:val="none" w:sz="0" w:space="0" w:color="auto"/>
            <w:left w:val="none" w:sz="0" w:space="0" w:color="auto"/>
            <w:bottom w:val="none" w:sz="0" w:space="0" w:color="auto"/>
            <w:right w:val="none" w:sz="0" w:space="0" w:color="auto"/>
          </w:divBdr>
          <w:divsChild>
            <w:div w:id="9993136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25077321">
      <w:bodyDiv w:val="1"/>
      <w:marLeft w:val="0"/>
      <w:marRight w:val="0"/>
      <w:marTop w:val="0"/>
      <w:marBottom w:val="0"/>
      <w:divBdr>
        <w:top w:val="none" w:sz="0" w:space="0" w:color="auto"/>
        <w:left w:val="none" w:sz="0" w:space="0" w:color="auto"/>
        <w:bottom w:val="none" w:sz="0" w:space="0" w:color="auto"/>
        <w:right w:val="none" w:sz="0" w:space="0" w:color="auto"/>
      </w:divBdr>
      <w:divsChild>
        <w:div w:id="808284681">
          <w:marLeft w:val="0"/>
          <w:marRight w:val="0"/>
          <w:marTop w:val="0"/>
          <w:marBottom w:val="0"/>
          <w:divBdr>
            <w:top w:val="none" w:sz="0" w:space="0" w:color="auto"/>
            <w:left w:val="none" w:sz="0" w:space="0" w:color="auto"/>
            <w:bottom w:val="dotted" w:sz="6" w:space="4" w:color="DDDDDD"/>
            <w:right w:val="none" w:sz="0" w:space="0" w:color="auto"/>
          </w:divBdr>
          <w:divsChild>
            <w:div w:id="3767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314898">
      <w:bodyDiv w:val="1"/>
      <w:marLeft w:val="0"/>
      <w:marRight w:val="0"/>
      <w:marTop w:val="0"/>
      <w:marBottom w:val="0"/>
      <w:divBdr>
        <w:top w:val="none" w:sz="0" w:space="0" w:color="auto"/>
        <w:left w:val="none" w:sz="0" w:space="0" w:color="auto"/>
        <w:bottom w:val="none" w:sz="0" w:space="0" w:color="auto"/>
        <w:right w:val="none" w:sz="0" w:space="0" w:color="auto"/>
      </w:divBdr>
      <w:divsChild>
        <w:div w:id="744187006">
          <w:marLeft w:val="0"/>
          <w:marRight w:val="0"/>
          <w:marTop w:val="0"/>
          <w:marBottom w:val="0"/>
          <w:divBdr>
            <w:top w:val="none" w:sz="0" w:space="0" w:color="auto"/>
            <w:left w:val="none" w:sz="0" w:space="0" w:color="auto"/>
            <w:bottom w:val="none" w:sz="0" w:space="0" w:color="auto"/>
            <w:right w:val="none" w:sz="0" w:space="0" w:color="auto"/>
          </w:divBdr>
          <w:divsChild>
            <w:div w:id="730082919">
              <w:marLeft w:val="0"/>
              <w:marRight w:val="0"/>
              <w:marTop w:val="0"/>
              <w:marBottom w:val="0"/>
              <w:divBdr>
                <w:top w:val="none" w:sz="0" w:space="0" w:color="auto"/>
                <w:left w:val="none" w:sz="0" w:space="0" w:color="auto"/>
                <w:bottom w:val="none" w:sz="0" w:space="0" w:color="auto"/>
                <w:right w:val="none" w:sz="0" w:space="0" w:color="auto"/>
              </w:divBdr>
            </w:div>
          </w:divsChild>
        </w:div>
        <w:div w:id="1321469508">
          <w:marLeft w:val="0"/>
          <w:marRight w:val="0"/>
          <w:marTop w:val="0"/>
          <w:marBottom w:val="150"/>
          <w:divBdr>
            <w:top w:val="none" w:sz="0" w:space="0" w:color="auto"/>
            <w:left w:val="none" w:sz="0" w:space="0" w:color="auto"/>
            <w:bottom w:val="none" w:sz="0" w:space="0" w:color="auto"/>
            <w:right w:val="none" w:sz="0" w:space="0" w:color="auto"/>
          </w:divBdr>
          <w:divsChild>
            <w:div w:id="1321344094">
              <w:marLeft w:val="0"/>
              <w:marRight w:val="0"/>
              <w:marTop w:val="0"/>
              <w:marBottom w:val="0"/>
              <w:divBdr>
                <w:top w:val="none" w:sz="0" w:space="0" w:color="auto"/>
                <w:left w:val="none" w:sz="0" w:space="0" w:color="auto"/>
                <w:bottom w:val="none" w:sz="0" w:space="0" w:color="auto"/>
                <w:right w:val="none" w:sz="0" w:space="0" w:color="auto"/>
              </w:divBdr>
            </w:div>
          </w:divsChild>
        </w:div>
        <w:div w:id="1470246702">
          <w:marLeft w:val="0"/>
          <w:marRight w:val="0"/>
          <w:marTop w:val="0"/>
          <w:marBottom w:val="150"/>
          <w:divBdr>
            <w:top w:val="none" w:sz="0" w:space="0" w:color="auto"/>
            <w:left w:val="none" w:sz="0" w:space="0" w:color="auto"/>
            <w:bottom w:val="none" w:sz="0" w:space="0" w:color="auto"/>
            <w:right w:val="none" w:sz="0" w:space="0" w:color="auto"/>
          </w:divBdr>
        </w:div>
      </w:divsChild>
    </w:div>
    <w:div w:id="1827357443">
      <w:bodyDiv w:val="1"/>
      <w:marLeft w:val="0"/>
      <w:marRight w:val="0"/>
      <w:marTop w:val="0"/>
      <w:marBottom w:val="0"/>
      <w:divBdr>
        <w:top w:val="none" w:sz="0" w:space="0" w:color="auto"/>
        <w:left w:val="none" w:sz="0" w:space="0" w:color="auto"/>
        <w:bottom w:val="none" w:sz="0" w:space="0" w:color="auto"/>
        <w:right w:val="none" w:sz="0" w:space="0" w:color="auto"/>
      </w:divBdr>
      <w:divsChild>
        <w:div w:id="1111439327">
          <w:marLeft w:val="0"/>
          <w:marRight w:val="0"/>
          <w:marTop w:val="0"/>
          <w:marBottom w:val="150"/>
          <w:divBdr>
            <w:top w:val="none" w:sz="0" w:space="0" w:color="auto"/>
            <w:left w:val="none" w:sz="0" w:space="0" w:color="auto"/>
            <w:bottom w:val="none" w:sz="0" w:space="0" w:color="auto"/>
            <w:right w:val="none" w:sz="0" w:space="0" w:color="auto"/>
          </w:divBdr>
        </w:div>
      </w:divsChild>
    </w:div>
    <w:div w:id="1827546757">
      <w:bodyDiv w:val="1"/>
      <w:marLeft w:val="0"/>
      <w:marRight w:val="0"/>
      <w:marTop w:val="0"/>
      <w:marBottom w:val="0"/>
      <w:divBdr>
        <w:top w:val="none" w:sz="0" w:space="0" w:color="auto"/>
        <w:left w:val="none" w:sz="0" w:space="0" w:color="auto"/>
        <w:bottom w:val="none" w:sz="0" w:space="0" w:color="auto"/>
        <w:right w:val="none" w:sz="0" w:space="0" w:color="auto"/>
      </w:divBdr>
      <w:divsChild>
        <w:div w:id="1197504066">
          <w:marLeft w:val="0"/>
          <w:marRight w:val="0"/>
          <w:marTop w:val="0"/>
          <w:marBottom w:val="150"/>
          <w:divBdr>
            <w:top w:val="none" w:sz="0" w:space="0" w:color="auto"/>
            <w:left w:val="none" w:sz="0" w:space="0" w:color="auto"/>
            <w:bottom w:val="none" w:sz="0" w:space="0" w:color="auto"/>
            <w:right w:val="none" w:sz="0" w:space="0" w:color="auto"/>
          </w:divBdr>
        </w:div>
        <w:div w:id="1343782523">
          <w:marLeft w:val="0"/>
          <w:marRight w:val="0"/>
          <w:marTop w:val="0"/>
          <w:marBottom w:val="0"/>
          <w:divBdr>
            <w:top w:val="none" w:sz="0" w:space="0" w:color="auto"/>
            <w:left w:val="none" w:sz="0" w:space="0" w:color="auto"/>
            <w:bottom w:val="none" w:sz="0" w:space="0" w:color="auto"/>
            <w:right w:val="none" w:sz="0" w:space="0" w:color="auto"/>
          </w:divBdr>
          <w:divsChild>
            <w:div w:id="404301942">
              <w:marLeft w:val="0"/>
              <w:marRight w:val="0"/>
              <w:marTop w:val="0"/>
              <w:marBottom w:val="0"/>
              <w:divBdr>
                <w:top w:val="none" w:sz="0" w:space="0" w:color="auto"/>
                <w:left w:val="none" w:sz="0" w:space="0" w:color="auto"/>
                <w:bottom w:val="none" w:sz="0" w:space="0" w:color="auto"/>
                <w:right w:val="none" w:sz="0" w:space="0" w:color="auto"/>
              </w:divBdr>
            </w:div>
          </w:divsChild>
        </w:div>
        <w:div w:id="1505590189">
          <w:marLeft w:val="0"/>
          <w:marRight w:val="0"/>
          <w:marTop w:val="0"/>
          <w:marBottom w:val="150"/>
          <w:divBdr>
            <w:top w:val="none" w:sz="0" w:space="0" w:color="auto"/>
            <w:left w:val="none" w:sz="0" w:space="0" w:color="auto"/>
            <w:bottom w:val="none" w:sz="0" w:space="0" w:color="auto"/>
            <w:right w:val="none" w:sz="0" w:space="0" w:color="auto"/>
          </w:divBdr>
          <w:divsChild>
            <w:div w:id="8920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285795">
      <w:bodyDiv w:val="1"/>
      <w:marLeft w:val="0"/>
      <w:marRight w:val="0"/>
      <w:marTop w:val="0"/>
      <w:marBottom w:val="0"/>
      <w:divBdr>
        <w:top w:val="none" w:sz="0" w:space="0" w:color="auto"/>
        <w:left w:val="none" w:sz="0" w:space="0" w:color="auto"/>
        <w:bottom w:val="none" w:sz="0" w:space="0" w:color="auto"/>
        <w:right w:val="none" w:sz="0" w:space="0" w:color="auto"/>
      </w:divBdr>
      <w:divsChild>
        <w:div w:id="1365449726">
          <w:marLeft w:val="0"/>
          <w:marRight w:val="0"/>
          <w:marTop w:val="0"/>
          <w:marBottom w:val="0"/>
          <w:divBdr>
            <w:top w:val="none" w:sz="0" w:space="0" w:color="auto"/>
            <w:left w:val="none" w:sz="0" w:space="0" w:color="auto"/>
            <w:bottom w:val="dotted" w:sz="6" w:space="4" w:color="DDDDDD"/>
            <w:right w:val="none" w:sz="0" w:space="0" w:color="auto"/>
          </w:divBdr>
        </w:div>
      </w:divsChild>
    </w:div>
    <w:div w:id="1828355443">
      <w:bodyDiv w:val="1"/>
      <w:marLeft w:val="0"/>
      <w:marRight w:val="0"/>
      <w:marTop w:val="0"/>
      <w:marBottom w:val="0"/>
      <w:divBdr>
        <w:top w:val="none" w:sz="0" w:space="0" w:color="auto"/>
        <w:left w:val="none" w:sz="0" w:space="0" w:color="auto"/>
        <w:bottom w:val="none" w:sz="0" w:space="0" w:color="auto"/>
        <w:right w:val="none" w:sz="0" w:space="0" w:color="auto"/>
      </w:divBdr>
      <w:divsChild>
        <w:div w:id="476841747">
          <w:marLeft w:val="0"/>
          <w:marRight w:val="0"/>
          <w:marTop w:val="0"/>
          <w:marBottom w:val="150"/>
          <w:divBdr>
            <w:top w:val="none" w:sz="0" w:space="0" w:color="auto"/>
            <w:left w:val="none" w:sz="0" w:space="0" w:color="auto"/>
            <w:bottom w:val="none" w:sz="0" w:space="0" w:color="auto"/>
            <w:right w:val="none" w:sz="0" w:space="0" w:color="auto"/>
          </w:divBdr>
          <w:divsChild>
            <w:div w:id="2106028905">
              <w:marLeft w:val="0"/>
              <w:marRight w:val="0"/>
              <w:marTop w:val="0"/>
              <w:marBottom w:val="0"/>
              <w:divBdr>
                <w:top w:val="none" w:sz="0" w:space="0" w:color="auto"/>
                <w:left w:val="none" w:sz="0" w:space="0" w:color="auto"/>
                <w:bottom w:val="none" w:sz="0" w:space="0" w:color="auto"/>
                <w:right w:val="none" w:sz="0" w:space="0" w:color="auto"/>
              </w:divBdr>
            </w:div>
          </w:divsChild>
        </w:div>
        <w:div w:id="2103912303">
          <w:marLeft w:val="0"/>
          <w:marRight w:val="0"/>
          <w:marTop w:val="0"/>
          <w:marBottom w:val="150"/>
          <w:divBdr>
            <w:top w:val="none" w:sz="0" w:space="0" w:color="auto"/>
            <w:left w:val="none" w:sz="0" w:space="0" w:color="auto"/>
            <w:bottom w:val="none" w:sz="0" w:space="0" w:color="auto"/>
            <w:right w:val="none" w:sz="0" w:space="0" w:color="auto"/>
          </w:divBdr>
        </w:div>
      </w:divsChild>
    </w:div>
    <w:div w:id="1828549043">
      <w:bodyDiv w:val="1"/>
      <w:marLeft w:val="0"/>
      <w:marRight w:val="0"/>
      <w:marTop w:val="0"/>
      <w:marBottom w:val="0"/>
      <w:divBdr>
        <w:top w:val="none" w:sz="0" w:space="0" w:color="auto"/>
        <w:left w:val="none" w:sz="0" w:space="0" w:color="auto"/>
        <w:bottom w:val="none" w:sz="0" w:space="0" w:color="auto"/>
        <w:right w:val="none" w:sz="0" w:space="0" w:color="auto"/>
      </w:divBdr>
      <w:divsChild>
        <w:div w:id="1612083060">
          <w:marLeft w:val="0"/>
          <w:marRight w:val="0"/>
          <w:marTop w:val="0"/>
          <w:marBottom w:val="0"/>
          <w:divBdr>
            <w:top w:val="none" w:sz="0" w:space="0" w:color="auto"/>
            <w:left w:val="none" w:sz="0" w:space="0" w:color="auto"/>
            <w:bottom w:val="dotted" w:sz="6" w:space="4" w:color="DDDDDD"/>
            <w:right w:val="none" w:sz="0" w:space="0" w:color="auto"/>
          </w:divBdr>
          <w:divsChild>
            <w:div w:id="166239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552126">
      <w:bodyDiv w:val="1"/>
      <w:marLeft w:val="0"/>
      <w:marRight w:val="0"/>
      <w:marTop w:val="0"/>
      <w:marBottom w:val="0"/>
      <w:divBdr>
        <w:top w:val="none" w:sz="0" w:space="0" w:color="auto"/>
        <w:left w:val="none" w:sz="0" w:space="0" w:color="auto"/>
        <w:bottom w:val="none" w:sz="0" w:space="0" w:color="auto"/>
        <w:right w:val="none" w:sz="0" w:space="0" w:color="auto"/>
      </w:divBdr>
      <w:divsChild>
        <w:div w:id="782308039">
          <w:marLeft w:val="0"/>
          <w:marRight w:val="0"/>
          <w:marTop w:val="0"/>
          <w:marBottom w:val="0"/>
          <w:divBdr>
            <w:top w:val="none" w:sz="0" w:space="0" w:color="auto"/>
            <w:left w:val="none" w:sz="0" w:space="0" w:color="auto"/>
            <w:bottom w:val="dotted" w:sz="6" w:space="4" w:color="DDDDDD"/>
            <w:right w:val="none" w:sz="0" w:space="0" w:color="auto"/>
          </w:divBdr>
          <w:divsChild>
            <w:div w:id="132535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05370">
      <w:bodyDiv w:val="1"/>
      <w:marLeft w:val="0"/>
      <w:marRight w:val="0"/>
      <w:marTop w:val="0"/>
      <w:marBottom w:val="0"/>
      <w:divBdr>
        <w:top w:val="none" w:sz="0" w:space="0" w:color="auto"/>
        <w:left w:val="none" w:sz="0" w:space="0" w:color="auto"/>
        <w:bottom w:val="none" w:sz="0" w:space="0" w:color="auto"/>
        <w:right w:val="none" w:sz="0" w:space="0" w:color="auto"/>
      </w:divBdr>
      <w:divsChild>
        <w:div w:id="1714305711">
          <w:marLeft w:val="0"/>
          <w:marRight w:val="0"/>
          <w:marTop w:val="0"/>
          <w:marBottom w:val="150"/>
          <w:divBdr>
            <w:top w:val="none" w:sz="0" w:space="0" w:color="auto"/>
            <w:left w:val="none" w:sz="0" w:space="0" w:color="auto"/>
            <w:bottom w:val="none" w:sz="0" w:space="0" w:color="auto"/>
            <w:right w:val="none" w:sz="0" w:space="0" w:color="auto"/>
          </w:divBdr>
        </w:div>
      </w:divsChild>
    </w:div>
    <w:div w:id="1830249845">
      <w:bodyDiv w:val="1"/>
      <w:marLeft w:val="0"/>
      <w:marRight w:val="0"/>
      <w:marTop w:val="0"/>
      <w:marBottom w:val="0"/>
      <w:divBdr>
        <w:top w:val="none" w:sz="0" w:space="0" w:color="auto"/>
        <w:left w:val="none" w:sz="0" w:space="0" w:color="auto"/>
        <w:bottom w:val="none" w:sz="0" w:space="0" w:color="auto"/>
        <w:right w:val="none" w:sz="0" w:space="0" w:color="auto"/>
      </w:divBdr>
    </w:div>
    <w:div w:id="1830561320">
      <w:bodyDiv w:val="1"/>
      <w:marLeft w:val="0"/>
      <w:marRight w:val="0"/>
      <w:marTop w:val="0"/>
      <w:marBottom w:val="0"/>
      <w:divBdr>
        <w:top w:val="none" w:sz="0" w:space="0" w:color="auto"/>
        <w:left w:val="none" w:sz="0" w:space="0" w:color="auto"/>
        <w:bottom w:val="none" w:sz="0" w:space="0" w:color="auto"/>
        <w:right w:val="none" w:sz="0" w:space="0" w:color="auto"/>
      </w:divBdr>
      <w:divsChild>
        <w:div w:id="1411274377">
          <w:marLeft w:val="0"/>
          <w:marRight w:val="0"/>
          <w:marTop w:val="0"/>
          <w:marBottom w:val="0"/>
          <w:divBdr>
            <w:top w:val="none" w:sz="0" w:space="0" w:color="auto"/>
            <w:left w:val="none" w:sz="0" w:space="0" w:color="auto"/>
            <w:bottom w:val="none" w:sz="0" w:space="0" w:color="auto"/>
            <w:right w:val="none" w:sz="0" w:space="0" w:color="auto"/>
          </w:divBdr>
          <w:divsChild>
            <w:div w:id="21328223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30711860">
      <w:bodyDiv w:val="1"/>
      <w:marLeft w:val="0"/>
      <w:marRight w:val="0"/>
      <w:marTop w:val="0"/>
      <w:marBottom w:val="0"/>
      <w:divBdr>
        <w:top w:val="none" w:sz="0" w:space="0" w:color="auto"/>
        <w:left w:val="none" w:sz="0" w:space="0" w:color="auto"/>
        <w:bottom w:val="none" w:sz="0" w:space="0" w:color="auto"/>
        <w:right w:val="none" w:sz="0" w:space="0" w:color="auto"/>
      </w:divBdr>
      <w:divsChild>
        <w:div w:id="177890746">
          <w:marLeft w:val="0"/>
          <w:marRight w:val="0"/>
          <w:marTop w:val="0"/>
          <w:marBottom w:val="150"/>
          <w:divBdr>
            <w:top w:val="none" w:sz="0" w:space="0" w:color="auto"/>
            <w:left w:val="none" w:sz="0" w:space="0" w:color="auto"/>
            <w:bottom w:val="none" w:sz="0" w:space="0" w:color="auto"/>
            <w:right w:val="none" w:sz="0" w:space="0" w:color="auto"/>
          </w:divBdr>
        </w:div>
        <w:div w:id="829637141">
          <w:marLeft w:val="0"/>
          <w:marRight w:val="0"/>
          <w:marTop w:val="0"/>
          <w:marBottom w:val="150"/>
          <w:divBdr>
            <w:top w:val="none" w:sz="0" w:space="0" w:color="auto"/>
            <w:left w:val="none" w:sz="0" w:space="0" w:color="auto"/>
            <w:bottom w:val="none" w:sz="0" w:space="0" w:color="auto"/>
            <w:right w:val="none" w:sz="0" w:space="0" w:color="auto"/>
          </w:divBdr>
        </w:div>
        <w:div w:id="1095127926">
          <w:marLeft w:val="0"/>
          <w:marRight w:val="0"/>
          <w:marTop w:val="0"/>
          <w:marBottom w:val="150"/>
          <w:divBdr>
            <w:top w:val="none" w:sz="0" w:space="0" w:color="auto"/>
            <w:left w:val="none" w:sz="0" w:space="0" w:color="auto"/>
            <w:bottom w:val="none" w:sz="0" w:space="0" w:color="auto"/>
            <w:right w:val="none" w:sz="0" w:space="0" w:color="auto"/>
          </w:divBdr>
        </w:div>
        <w:div w:id="1183133893">
          <w:marLeft w:val="0"/>
          <w:marRight w:val="0"/>
          <w:marTop w:val="0"/>
          <w:marBottom w:val="150"/>
          <w:divBdr>
            <w:top w:val="none" w:sz="0" w:space="0" w:color="auto"/>
            <w:left w:val="none" w:sz="0" w:space="0" w:color="auto"/>
            <w:bottom w:val="none" w:sz="0" w:space="0" w:color="auto"/>
            <w:right w:val="none" w:sz="0" w:space="0" w:color="auto"/>
          </w:divBdr>
        </w:div>
        <w:div w:id="1281105255">
          <w:marLeft w:val="0"/>
          <w:marRight w:val="0"/>
          <w:marTop w:val="0"/>
          <w:marBottom w:val="150"/>
          <w:divBdr>
            <w:top w:val="none" w:sz="0" w:space="0" w:color="auto"/>
            <w:left w:val="none" w:sz="0" w:space="0" w:color="auto"/>
            <w:bottom w:val="none" w:sz="0" w:space="0" w:color="auto"/>
            <w:right w:val="none" w:sz="0" w:space="0" w:color="auto"/>
          </w:divBdr>
        </w:div>
        <w:div w:id="1561212581">
          <w:marLeft w:val="0"/>
          <w:marRight w:val="0"/>
          <w:marTop w:val="0"/>
          <w:marBottom w:val="150"/>
          <w:divBdr>
            <w:top w:val="none" w:sz="0" w:space="0" w:color="auto"/>
            <w:left w:val="none" w:sz="0" w:space="0" w:color="auto"/>
            <w:bottom w:val="none" w:sz="0" w:space="0" w:color="auto"/>
            <w:right w:val="none" w:sz="0" w:space="0" w:color="auto"/>
          </w:divBdr>
        </w:div>
        <w:div w:id="1699424957">
          <w:marLeft w:val="0"/>
          <w:marRight w:val="0"/>
          <w:marTop w:val="0"/>
          <w:marBottom w:val="150"/>
          <w:divBdr>
            <w:top w:val="none" w:sz="0" w:space="0" w:color="auto"/>
            <w:left w:val="none" w:sz="0" w:space="0" w:color="auto"/>
            <w:bottom w:val="none" w:sz="0" w:space="0" w:color="auto"/>
            <w:right w:val="none" w:sz="0" w:space="0" w:color="auto"/>
          </w:divBdr>
        </w:div>
        <w:div w:id="2048792336">
          <w:marLeft w:val="0"/>
          <w:marRight w:val="0"/>
          <w:marTop w:val="0"/>
          <w:marBottom w:val="150"/>
          <w:divBdr>
            <w:top w:val="none" w:sz="0" w:space="0" w:color="auto"/>
            <w:left w:val="none" w:sz="0" w:space="0" w:color="auto"/>
            <w:bottom w:val="none" w:sz="0" w:space="0" w:color="auto"/>
            <w:right w:val="none" w:sz="0" w:space="0" w:color="auto"/>
          </w:divBdr>
        </w:div>
      </w:divsChild>
    </w:div>
    <w:div w:id="1831210395">
      <w:bodyDiv w:val="1"/>
      <w:marLeft w:val="0"/>
      <w:marRight w:val="0"/>
      <w:marTop w:val="0"/>
      <w:marBottom w:val="0"/>
      <w:divBdr>
        <w:top w:val="none" w:sz="0" w:space="0" w:color="auto"/>
        <w:left w:val="none" w:sz="0" w:space="0" w:color="auto"/>
        <w:bottom w:val="none" w:sz="0" w:space="0" w:color="auto"/>
        <w:right w:val="none" w:sz="0" w:space="0" w:color="auto"/>
      </w:divBdr>
    </w:div>
    <w:div w:id="1831285974">
      <w:bodyDiv w:val="1"/>
      <w:marLeft w:val="0"/>
      <w:marRight w:val="0"/>
      <w:marTop w:val="0"/>
      <w:marBottom w:val="0"/>
      <w:divBdr>
        <w:top w:val="none" w:sz="0" w:space="0" w:color="auto"/>
        <w:left w:val="none" w:sz="0" w:space="0" w:color="auto"/>
        <w:bottom w:val="none" w:sz="0" w:space="0" w:color="auto"/>
        <w:right w:val="none" w:sz="0" w:space="0" w:color="auto"/>
      </w:divBdr>
    </w:div>
    <w:div w:id="1831557857">
      <w:bodyDiv w:val="1"/>
      <w:marLeft w:val="0"/>
      <w:marRight w:val="0"/>
      <w:marTop w:val="0"/>
      <w:marBottom w:val="0"/>
      <w:divBdr>
        <w:top w:val="none" w:sz="0" w:space="0" w:color="auto"/>
        <w:left w:val="none" w:sz="0" w:space="0" w:color="auto"/>
        <w:bottom w:val="none" w:sz="0" w:space="0" w:color="auto"/>
        <w:right w:val="none" w:sz="0" w:space="0" w:color="auto"/>
      </w:divBdr>
      <w:divsChild>
        <w:div w:id="1368917484">
          <w:marLeft w:val="0"/>
          <w:marRight w:val="0"/>
          <w:marTop w:val="0"/>
          <w:marBottom w:val="150"/>
          <w:divBdr>
            <w:top w:val="none" w:sz="0" w:space="0" w:color="auto"/>
            <w:left w:val="none" w:sz="0" w:space="0" w:color="auto"/>
            <w:bottom w:val="none" w:sz="0" w:space="0" w:color="auto"/>
            <w:right w:val="none" w:sz="0" w:space="0" w:color="auto"/>
          </w:divBdr>
          <w:divsChild>
            <w:div w:id="1259288101">
              <w:marLeft w:val="0"/>
              <w:marRight w:val="0"/>
              <w:marTop w:val="0"/>
              <w:marBottom w:val="0"/>
              <w:divBdr>
                <w:top w:val="none" w:sz="0" w:space="0" w:color="auto"/>
                <w:left w:val="none" w:sz="0" w:space="0" w:color="auto"/>
                <w:bottom w:val="none" w:sz="0" w:space="0" w:color="auto"/>
                <w:right w:val="none" w:sz="0" w:space="0" w:color="auto"/>
              </w:divBdr>
              <w:divsChild>
                <w:div w:id="213859641">
                  <w:marLeft w:val="0"/>
                  <w:marRight w:val="0"/>
                  <w:marTop w:val="0"/>
                  <w:marBottom w:val="0"/>
                  <w:divBdr>
                    <w:top w:val="none" w:sz="0" w:space="0" w:color="auto"/>
                    <w:left w:val="none" w:sz="0" w:space="0" w:color="auto"/>
                    <w:bottom w:val="none" w:sz="0" w:space="0" w:color="auto"/>
                    <w:right w:val="none" w:sz="0" w:space="0" w:color="auto"/>
                  </w:divBdr>
                  <w:divsChild>
                    <w:div w:id="468674524">
                      <w:marLeft w:val="0"/>
                      <w:marRight w:val="150"/>
                      <w:marTop w:val="0"/>
                      <w:marBottom w:val="0"/>
                      <w:divBdr>
                        <w:top w:val="none" w:sz="0" w:space="0" w:color="auto"/>
                        <w:left w:val="none" w:sz="0" w:space="0" w:color="auto"/>
                        <w:bottom w:val="none" w:sz="0" w:space="0" w:color="auto"/>
                        <w:right w:val="none" w:sz="0" w:space="0" w:color="auto"/>
                      </w:divBdr>
                      <w:divsChild>
                        <w:div w:id="158310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866137">
          <w:marLeft w:val="0"/>
          <w:marRight w:val="0"/>
          <w:marTop w:val="0"/>
          <w:marBottom w:val="150"/>
          <w:divBdr>
            <w:top w:val="none" w:sz="0" w:space="0" w:color="auto"/>
            <w:left w:val="none" w:sz="0" w:space="0" w:color="auto"/>
            <w:bottom w:val="none" w:sz="0" w:space="0" w:color="auto"/>
            <w:right w:val="none" w:sz="0" w:space="0" w:color="auto"/>
          </w:divBdr>
        </w:div>
        <w:div w:id="2077851363">
          <w:marLeft w:val="0"/>
          <w:marRight w:val="0"/>
          <w:marTop w:val="0"/>
          <w:marBottom w:val="0"/>
          <w:divBdr>
            <w:top w:val="none" w:sz="0" w:space="0" w:color="auto"/>
            <w:left w:val="none" w:sz="0" w:space="0" w:color="auto"/>
            <w:bottom w:val="none" w:sz="0" w:space="0" w:color="auto"/>
            <w:right w:val="none" w:sz="0" w:space="0" w:color="auto"/>
          </w:divBdr>
          <w:divsChild>
            <w:div w:id="58341648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32259281">
      <w:bodyDiv w:val="1"/>
      <w:marLeft w:val="0"/>
      <w:marRight w:val="0"/>
      <w:marTop w:val="0"/>
      <w:marBottom w:val="0"/>
      <w:divBdr>
        <w:top w:val="none" w:sz="0" w:space="0" w:color="auto"/>
        <w:left w:val="none" w:sz="0" w:space="0" w:color="auto"/>
        <w:bottom w:val="none" w:sz="0" w:space="0" w:color="auto"/>
        <w:right w:val="none" w:sz="0" w:space="0" w:color="auto"/>
      </w:divBdr>
      <w:divsChild>
        <w:div w:id="1096629626">
          <w:marLeft w:val="0"/>
          <w:marRight w:val="0"/>
          <w:marTop w:val="0"/>
          <w:marBottom w:val="150"/>
          <w:divBdr>
            <w:top w:val="none" w:sz="0" w:space="0" w:color="auto"/>
            <w:left w:val="none" w:sz="0" w:space="0" w:color="auto"/>
            <w:bottom w:val="none" w:sz="0" w:space="0" w:color="auto"/>
            <w:right w:val="none" w:sz="0" w:space="0" w:color="auto"/>
          </w:divBdr>
        </w:div>
        <w:div w:id="1147670414">
          <w:marLeft w:val="0"/>
          <w:marRight w:val="0"/>
          <w:marTop w:val="0"/>
          <w:marBottom w:val="150"/>
          <w:divBdr>
            <w:top w:val="none" w:sz="0" w:space="0" w:color="auto"/>
            <w:left w:val="none" w:sz="0" w:space="0" w:color="auto"/>
            <w:bottom w:val="none" w:sz="0" w:space="0" w:color="auto"/>
            <w:right w:val="none" w:sz="0" w:space="0" w:color="auto"/>
          </w:divBdr>
          <w:divsChild>
            <w:div w:id="1411780427">
              <w:marLeft w:val="0"/>
              <w:marRight w:val="0"/>
              <w:marTop w:val="0"/>
              <w:marBottom w:val="0"/>
              <w:divBdr>
                <w:top w:val="none" w:sz="0" w:space="0" w:color="auto"/>
                <w:left w:val="none" w:sz="0" w:space="0" w:color="auto"/>
                <w:bottom w:val="none" w:sz="0" w:space="0" w:color="auto"/>
                <w:right w:val="none" w:sz="0" w:space="0" w:color="auto"/>
              </w:divBdr>
            </w:div>
          </w:divsChild>
        </w:div>
        <w:div w:id="1411005787">
          <w:marLeft w:val="0"/>
          <w:marRight w:val="0"/>
          <w:marTop w:val="0"/>
          <w:marBottom w:val="0"/>
          <w:divBdr>
            <w:top w:val="none" w:sz="0" w:space="0" w:color="auto"/>
            <w:left w:val="none" w:sz="0" w:space="0" w:color="auto"/>
            <w:bottom w:val="none" w:sz="0" w:space="0" w:color="auto"/>
            <w:right w:val="none" w:sz="0" w:space="0" w:color="auto"/>
          </w:divBdr>
          <w:divsChild>
            <w:div w:id="78519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525767">
      <w:bodyDiv w:val="1"/>
      <w:marLeft w:val="0"/>
      <w:marRight w:val="0"/>
      <w:marTop w:val="0"/>
      <w:marBottom w:val="0"/>
      <w:divBdr>
        <w:top w:val="none" w:sz="0" w:space="0" w:color="auto"/>
        <w:left w:val="none" w:sz="0" w:space="0" w:color="auto"/>
        <w:bottom w:val="none" w:sz="0" w:space="0" w:color="auto"/>
        <w:right w:val="none" w:sz="0" w:space="0" w:color="auto"/>
      </w:divBdr>
      <w:divsChild>
        <w:div w:id="397436067">
          <w:marLeft w:val="0"/>
          <w:marRight w:val="0"/>
          <w:marTop w:val="0"/>
          <w:marBottom w:val="450"/>
          <w:divBdr>
            <w:top w:val="none" w:sz="0" w:space="0" w:color="auto"/>
            <w:left w:val="none" w:sz="0" w:space="0" w:color="auto"/>
            <w:bottom w:val="single" w:sz="6" w:space="19" w:color="EEEEEE"/>
            <w:right w:val="none" w:sz="0" w:space="0" w:color="auto"/>
          </w:divBdr>
          <w:divsChild>
            <w:div w:id="1990405255">
              <w:marLeft w:val="0"/>
              <w:marRight w:val="0"/>
              <w:marTop w:val="0"/>
              <w:marBottom w:val="150"/>
              <w:divBdr>
                <w:top w:val="none" w:sz="0" w:space="0" w:color="auto"/>
                <w:left w:val="none" w:sz="0" w:space="0" w:color="auto"/>
                <w:bottom w:val="none" w:sz="0" w:space="0" w:color="auto"/>
                <w:right w:val="none" w:sz="0" w:space="0" w:color="auto"/>
              </w:divBdr>
              <w:divsChild>
                <w:div w:id="649137933">
                  <w:marLeft w:val="0"/>
                  <w:marRight w:val="0"/>
                  <w:marTop w:val="0"/>
                  <w:marBottom w:val="0"/>
                  <w:divBdr>
                    <w:top w:val="none" w:sz="0" w:space="0" w:color="auto"/>
                    <w:left w:val="none" w:sz="0" w:space="0" w:color="auto"/>
                    <w:bottom w:val="none" w:sz="0" w:space="0" w:color="auto"/>
                    <w:right w:val="none" w:sz="0" w:space="0" w:color="auto"/>
                  </w:divBdr>
                </w:div>
              </w:divsChild>
            </w:div>
            <w:div w:id="1560365438">
              <w:marLeft w:val="0"/>
              <w:marRight w:val="0"/>
              <w:marTop w:val="0"/>
              <w:marBottom w:val="0"/>
              <w:divBdr>
                <w:top w:val="none" w:sz="0" w:space="0" w:color="auto"/>
                <w:left w:val="none" w:sz="0" w:space="0" w:color="auto"/>
                <w:bottom w:val="none" w:sz="0" w:space="0" w:color="auto"/>
                <w:right w:val="none" w:sz="0" w:space="0" w:color="auto"/>
              </w:divBdr>
            </w:div>
          </w:divsChild>
        </w:div>
        <w:div w:id="799617454">
          <w:marLeft w:val="0"/>
          <w:marRight w:val="0"/>
          <w:marTop w:val="0"/>
          <w:marBottom w:val="0"/>
          <w:divBdr>
            <w:top w:val="none" w:sz="0" w:space="0" w:color="auto"/>
            <w:left w:val="none" w:sz="0" w:space="0" w:color="auto"/>
            <w:bottom w:val="none" w:sz="0" w:space="0" w:color="auto"/>
            <w:right w:val="none" w:sz="0" w:space="0" w:color="auto"/>
          </w:divBdr>
          <w:divsChild>
            <w:div w:id="648562067">
              <w:marLeft w:val="0"/>
              <w:marRight w:val="0"/>
              <w:marTop w:val="0"/>
              <w:marBottom w:val="0"/>
              <w:divBdr>
                <w:top w:val="none" w:sz="0" w:space="0" w:color="auto"/>
                <w:left w:val="none" w:sz="0" w:space="0" w:color="auto"/>
                <w:bottom w:val="none" w:sz="0" w:space="0" w:color="auto"/>
                <w:right w:val="none" w:sz="0" w:space="0" w:color="auto"/>
              </w:divBdr>
              <w:divsChild>
                <w:div w:id="31202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598843">
      <w:bodyDiv w:val="1"/>
      <w:marLeft w:val="0"/>
      <w:marRight w:val="0"/>
      <w:marTop w:val="0"/>
      <w:marBottom w:val="0"/>
      <w:divBdr>
        <w:top w:val="none" w:sz="0" w:space="0" w:color="auto"/>
        <w:left w:val="none" w:sz="0" w:space="0" w:color="auto"/>
        <w:bottom w:val="none" w:sz="0" w:space="0" w:color="auto"/>
        <w:right w:val="none" w:sz="0" w:space="0" w:color="auto"/>
      </w:divBdr>
      <w:divsChild>
        <w:div w:id="981227656">
          <w:marLeft w:val="0"/>
          <w:marRight w:val="0"/>
          <w:marTop w:val="0"/>
          <w:marBottom w:val="0"/>
          <w:divBdr>
            <w:top w:val="none" w:sz="0" w:space="0" w:color="auto"/>
            <w:left w:val="none" w:sz="0" w:space="0" w:color="auto"/>
            <w:bottom w:val="none" w:sz="0" w:space="0" w:color="auto"/>
            <w:right w:val="none" w:sz="0" w:space="0" w:color="auto"/>
          </w:divBdr>
        </w:div>
        <w:div w:id="1944874384">
          <w:marLeft w:val="0"/>
          <w:marRight w:val="0"/>
          <w:marTop w:val="0"/>
          <w:marBottom w:val="75"/>
          <w:divBdr>
            <w:top w:val="none" w:sz="0" w:space="0" w:color="auto"/>
            <w:left w:val="none" w:sz="0" w:space="0" w:color="auto"/>
            <w:bottom w:val="none" w:sz="0" w:space="0" w:color="auto"/>
            <w:right w:val="none" w:sz="0" w:space="0" w:color="auto"/>
          </w:divBdr>
        </w:div>
        <w:div w:id="2069376383">
          <w:marLeft w:val="0"/>
          <w:marRight w:val="0"/>
          <w:marTop w:val="0"/>
          <w:marBottom w:val="0"/>
          <w:divBdr>
            <w:top w:val="none" w:sz="0" w:space="0" w:color="auto"/>
            <w:left w:val="none" w:sz="0" w:space="0" w:color="auto"/>
            <w:bottom w:val="none" w:sz="0" w:space="0" w:color="auto"/>
            <w:right w:val="none" w:sz="0" w:space="0" w:color="auto"/>
          </w:divBdr>
          <w:divsChild>
            <w:div w:id="1992177704">
              <w:marLeft w:val="0"/>
              <w:marRight w:val="0"/>
              <w:marTop w:val="0"/>
              <w:marBottom w:val="0"/>
              <w:divBdr>
                <w:top w:val="none" w:sz="0" w:space="0" w:color="auto"/>
                <w:left w:val="none" w:sz="0" w:space="0" w:color="auto"/>
                <w:bottom w:val="none" w:sz="0" w:space="0" w:color="auto"/>
                <w:right w:val="none" w:sz="0" w:space="0" w:color="auto"/>
              </w:divBdr>
              <w:divsChild>
                <w:div w:id="35549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08293">
      <w:bodyDiv w:val="1"/>
      <w:marLeft w:val="0"/>
      <w:marRight w:val="0"/>
      <w:marTop w:val="0"/>
      <w:marBottom w:val="0"/>
      <w:divBdr>
        <w:top w:val="none" w:sz="0" w:space="0" w:color="auto"/>
        <w:left w:val="none" w:sz="0" w:space="0" w:color="auto"/>
        <w:bottom w:val="none" w:sz="0" w:space="0" w:color="auto"/>
        <w:right w:val="none" w:sz="0" w:space="0" w:color="auto"/>
      </w:divBdr>
      <w:divsChild>
        <w:div w:id="1256287459">
          <w:marLeft w:val="0"/>
          <w:marRight w:val="0"/>
          <w:marTop w:val="0"/>
          <w:marBottom w:val="0"/>
          <w:divBdr>
            <w:top w:val="none" w:sz="0" w:space="0" w:color="auto"/>
            <w:left w:val="none" w:sz="0" w:space="0" w:color="auto"/>
            <w:bottom w:val="none" w:sz="0" w:space="0" w:color="auto"/>
            <w:right w:val="none" w:sz="0" w:space="0" w:color="auto"/>
          </w:divBdr>
          <w:divsChild>
            <w:div w:id="1303384247">
              <w:marLeft w:val="0"/>
              <w:marRight w:val="0"/>
              <w:marTop w:val="0"/>
              <w:marBottom w:val="0"/>
              <w:divBdr>
                <w:top w:val="none" w:sz="0" w:space="0" w:color="auto"/>
                <w:left w:val="none" w:sz="0" w:space="0" w:color="auto"/>
                <w:bottom w:val="none" w:sz="0" w:space="0" w:color="auto"/>
                <w:right w:val="none" w:sz="0" w:space="0" w:color="auto"/>
              </w:divBdr>
              <w:divsChild>
                <w:div w:id="542211660">
                  <w:marLeft w:val="0"/>
                  <w:marRight w:val="0"/>
                  <w:marTop w:val="0"/>
                  <w:marBottom w:val="120"/>
                  <w:divBdr>
                    <w:top w:val="none" w:sz="0" w:space="0" w:color="auto"/>
                    <w:left w:val="none" w:sz="0" w:space="0" w:color="auto"/>
                    <w:bottom w:val="none" w:sz="0" w:space="0" w:color="auto"/>
                    <w:right w:val="none" w:sz="0" w:space="0" w:color="auto"/>
                  </w:divBdr>
                  <w:divsChild>
                    <w:div w:id="313145365">
                      <w:marLeft w:val="150"/>
                      <w:marRight w:val="0"/>
                      <w:marTop w:val="0"/>
                      <w:marBottom w:val="0"/>
                      <w:divBdr>
                        <w:top w:val="none" w:sz="0" w:space="0" w:color="auto"/>
                        <w:left w:val="none" w:sz="0" w:space="0" w:color="auto"/>
                        <w:bottom w:val="none" w:sz="0" w:space="0" w:color="auto"/>
                        <w:right w:val="none" w:sz="0" w:space="0" w:color="auto"/>
                      </w:divBdr>
                      <w:divsChild>
                        <w:div w:id="483814421">
                          <w:marLeft w:val="0"/>
                          <w:marRight w:val="0"/>
                          <w:marTop w:val="0"/>
                          <w:marBottom w:val="0"/>
                          <w:divBdr>
                            <w:top w:val="none" w:sz="0" w:space="0" w:color="auto"/>
                            <w:left w:val="none" w:sz="0" w:space="0" w:color="auto"/>
                            <w:bottom w:val="none" w:sz="0" w:space="0" w:color="auto"/>
                            <w:right w:val="none" w:sz="0" w:space="0" w:color="auto"/>
                          </w:divBdr>
                          <w:divsChild>
                            <w:div w:id="1789740471">
                              <w:marLeft w:val="0"/>
                              <w:marRight w:val="0"/>
                              <w:marTop w:val="0"/>
                              <w:marBottom w:val="0"/>
                              <w:divBdr>
                                <w:top w:val="none" w:sz="0" w:space="0" w:color="auto"/>
                                <w:left w:val="none" w:sz="0" w:space="0" w:color="auto"/>
                                <w:bottom w:val="none" w:sz="0" w:space="0" w:color="auto"/>
                                <w:right w:val="none" w:sz="0" w:space="0" w:color="auto"/>
                              </w:divBdr>
                              <w:divsChild>
                                <w:div w:id="1124930370">
                                  <w:marLeft w:val="0"/>
                                  <w:marRight w:val="0"/>
                                  <w:marTop w:val="0"/>
                                  <w:marBottom w:val="0"/>
                                  <w:divBdr>
                                    <w:top w:val="none" w:sz="0" w:space="0" w:color="auto"/>
                                    <w:left w:val="none" w:sz="0" w:space="0" w:color="auto"/>
                                    <w:bottom w:val="none" w:sz="0" w:space="0" w:color="auto"/>
                                    <w:right w:val="none" w:sz="0" w:space="0" w:color="auto"/>
                                  </w:divBdr>
                                  <w:divsChild>
                                    <w:div w:id="839737766">
                                      <w:marLeft w:val="0"/>
                                      <w:marRight w:val="0"/>
                                      <w:marTop w:val="0"/>
                                      <w:marBottom w:val="360"/>
                                      <w:divBdr>
                                        <w:top w:val="none" w:sz="0" w:space="0" w:color="auto"/>
                                        <w:left w:val="none" w:sz="0" w:space="0" w:color="auto"/>
                                        <w:bottom w:val="none" w:sz="0" w:space="0" w:color="auto"/>
                                        <w:right w:val="none" w:sz="0" w:space="0" w:color="auto"/>
                                      </w:divBdr>
                                      <w:divsChild>
                                        <w:div w:id="1497644348">
                                          <w:marLeft w:val="0"/>
                                          <w:marRight w:val="0"/>
                                          <w:marTop w:val="0"/>
                                          <w:marBottom w:val="0"/>
                                          <w:divBdr>
                                            <w:top w:val="none" w:sz="0" w:space="0" w:color="auto"/>
                                            <w:left w:val="none" w:sz="0" w:space="0" w:color="auto"/>
                                            <w:bottom w:val="none" w:sz="0" w:space="0" w:color="auto"/>
                                            <w:right w:val="none" w:sz="0" w:space="0" w:color="auto"/>
                                          </w:divBdr>
                                          <w:divsChild>
                                            <w:div w:id="10187439">
                                              <w:marLeft w:val="0"/>
                                              <w:marRight w:val="0"/>
                                              <w:marTop w:val="0"/>
                                              <w:marBottom w:val="0"/>
                                              <w:divBdr>
                                                <w:top w:val="none" w:sz="0" w:space="0" w:color="auto"/>
                                                <w:left w:val="none" w:sz="0" w:space="0" w:color="auto"/>
                                                <w:bottom w:val="none" w:sz="0" w:space="0" w:color="auto"/>
                                                <w:right w:val="none" w:sz="0" w:space="0" w:color="auto"/>
                                              </w:divBdr>
                                              <w:divsChild>
                                                <w:div w:id="533273679">
                                                  <w:marLeft w:val="0"/>
                                                  <w:marRight w:val="0"/>
                                                  <w:marTop w:val="0"/>
                                                  <w:marBottom w:val="0"/>
                                                  <w:divBdr>
                                                    <w:top w:val="none" w:sz="0" w:space="0" w:color="auto"/>
                                                    <w:left w:val="none" w:sz="0" w:space="0" w:color="auto"/>
                                                    <w:bottom w:val="none" w:sz="0" w:space="0" w:color="auto"/>
                                                    <w:right w:val="none" w:sz="0" w:space="0" w:color="auto"/>
                                                  </w:divBdr>
                                                  <w:divsChild>
                                                    <w:div w:id="2115709732">
                                                      <w:marLeft w:val="0"/>
                                                      <w:marRight w:val="0"/>
                                                      <w:marTop w:val="0"/>
                                                      <w:marBottom w:val="0"/>
                                                      <w:divBdr>
                                                        <w:top w:val="none" w:sz="0" w:space="0" w:color="auto"/>
                                                        <w:left w:val="none" w:sz="0" w:space="0" w:color="auto"/>
                                                        <w:bottom w:val="none" w:sz="0" w:space="0" w:color="auto"/>
                                                        <w:right w:val="none" w:sz="0" w:space="0" w:color="auto"/>
                                                      </w:divBdr>
                                                      <w:divsChild>
                                                        <w:div w:id="16977547">
                                                          <w:marLeft w:val="0"/>
                                                          <w:marRight w:val="0"/>
                                                          <w:marTop w:val="0"/>
                                                          <w:marBottom w:val="0"/>
                                                          <w:divBdr>
                                                            <w:top w:val="none" w:sz="0" w:space="0" w:color="auto"/>
                                                            <w:left w:val="none" w:sz="0" w:space="0" w:color="auto"/>
                                                            <w:bottom w:val="none" w:sz="0" w:space="0" w:color="auto"/>
                                                            <w:right w:val="none" w:sz="0" w:space="0" w:color="auto"/>
                                                          </w:divBdr>
                                                        </w:div>
                                                        <w:div w:id="242956519">
                                                          <w:marLeft w:val="0"/>
                                                          <w:marRight w:val="0"/>
                                                          <w:marTop w:val="0"/>
                                                          <w:marBottom w:val="0"/>
                                                          <w:divBdr>
                                                            <w:top w:val="none" w:sz="0" w:space="0" w:color="auto"/>
                                                            <w:left w:val="none" w:sz="0" w:space="0" w:color="auto"/>
                                                            <w:bottom w:val="none" w:sz="0" w:space="0" w:color="auto"/>
                                                            <w:right w:val="none" w:sz="0" w:space="0" w:color="auto"/>
                                                          </w:divBdr>
                                                        </w:div>
                                                        <w:div w:id="289358442">
                                                          <w:marLeft w:val="0"/>
                                                          <w:marRight w:val="0"/>
                                                          <w:marTop w:val="0"/>
                                                          <w:marBottom w:val="0"/>
                                                          <w:divBdr>
                                                            <w:top w:val="none" w:sz="0" w:space="0" w:color="auto"/>
                                                            <w:left w:val="none" w:sz="0" w:space="0" w:color="auto"/>
                                                            <w:bottom w:val="none" w:sz="0" w:space="0" w:color="auto"/>
                                                            <w:right w:val="none" w:sz="0" w:space="0" w:color="auto"/>
                                                          </w:divBdr>
                                                        </w:div>
                                                        <w:div w:id="952905550">
                                                          <w:marLeft w:val="0"/>
                                                          <w:marRight w:val="0"/>
                                                          <w:marTop w:val="0"/>
                                                          <w:marBottom w:val="0"/>
                                                          <w:divBdr>
                                                            <w:top w:val="none" w:sz="0" w:space="0" w:color="auto"/>
                                                            <w:left w:val="none" w:sz="0" w:space="0" w:color="auto"/>
                                                            <w:bottom w:val="none" w:sz="0" w:space="0" w:color="auto"/>
                                                            <w:right w:val="none" w:sz="0" w:space="0" w:color="auto"/>
                                                          </w:divBdr>
                                                        </w:div>
                                                        <w:div w:id="1074663680">
                                                          <w:marLeft w:val="0"/>
                                                          <w:marRight w:val="0"/>
                                                          <w:marTop w:val="0"/>
                                                          <w:marBottom w:val="0"/>
                                                          <w:divBdr>
                                                            <w:top w:val="none" w:sz="0" w:space="0" w:color="auto"/>
                                                            <w:left w:val="none" w:sz="0" w:space="0" w:color="auto"/>
                                                            <w:bottom w:val="none" w:sz="0" w:space="0" w:color="auto"/>
                                                            <w:right w:val="none" w:sz="0" w:space="0" w:color="auto"/>
                                                          </w:divBdr>
                                                        </w:div>
                                                        <w:div w:id="1091895564">
                                                          <w:marLeft w:val="0"/>
                                                          <w:marRight w:val="0"/>
                                                          <w:marTop w:val="0"/>
                                                          <w:marBottom w:val="0"/>
                                                          <w:divBdr>
                                                            <w:top w:val="none" w:sz="0" w:space="0" w:color="auto"/>
                                                            <w:left w:val="none" w:sz="0" w:space="0" w:color="auto"/>
                                                            <w:bottom w:val="none" w:sz="0" w:space="0" w:color="auto"/>
                                                            <w:right w:val="none" w:sz="0" w:space="0" w:color="auto"/>
                                                          </w:divBdr>
                                                        </w:div>
                                                        <w:div w:id="1809276621">
                                                          <w:marLeft w:val="0"/>
                                                          <w:marRight w:val="0"/>
                                                          <w:marTop w:val="0"/>
                                                          <w:marBottom w:val="0"/>
                                                          <w:divBdr>
                                                            <w:top w:val="none" w:sz="0" w:space="0" w:color="auto"/>
                                                            <w:left w:val="none" w:sz="0" w:space="0" w:color="auto"/>
                                                            <w:bottom w:val="none" w:sz="0" w:space="0" w:color="auto"/>
                                                            <w:right w:val="none" w:sz="0" w:space="0" w:color="auto"/>
                                                          </w:divBdr>
                                                        </w:div>
                                                        <w:div w:id="2070878061">
                                                          <w:marLeft w:val="0"/>
                                                          <w:marRight w:val="0"/>
                                                          <w:marTop w:val="0"/>
                                                          <w:marBottom w:val="0"/>
                                                          <w:divBdr>
                                                            <w:top w:val="none" w:sz="0" w:space="0" w:color="auto"/>
                                                            <w:left w:val="none" w:sz="0" w:space="0" w:color="auto"/>
                                                            <w:bottom w:val="none" w:sz="0" w:space="0" w:color="auto"/>
                                                            <w:right w:val="none" w:sz="0" w:space="0" w:color="auto"/>
                                                          </w:divBdr>
                                                        </w:div>
                                                        <w:div w:id="213617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3259170">
      <w:bodyDiv w:val="1"/>
      <w:marLeft w:val="0"/>
      <w:marRight w:val="0"/>
      <w:marTop w:val="0"/>
      <w:marBottom w:val="0"/>
      <w:divBdr>
        <w:top w:val="none" w:sz="0" w:space="0" w:color="auto"/>
        <w:left w:val="none" w:sz="0" w:space="0" w:color="auto"/>
        <w:bottom w:val="none" w:sz="0" w:space="0" w:color="auto"/>
        <w:right w:val="none" w:sz="0" w:space="0" w:color="auto"/>
      </w:divBdr>
      <w:divsChild>
        <w:div w:id="698971648">
          <w:marLeft w:val="0"/>
          <w:marRight w:val="0"/>
          <w:marTop w:val="0"/>
          <w:marBottom w:val="450"/>
          <w:divBdr>
            <w:top w:val="none" w:sz="0" w:space="0" w:color="auto"/>
            <w:left w:val="none" w:sz="0" w:space="0" w:color="auto"/>
            <w:bottom w:val="single" w:sz="6" w:space="19" w:color="EEEEEE"/>
            <w:right w:val="none" w:sz="0" w:space="0" w:color="auto"/>
          </w:divBdr>
          <w:divsChild>
            <w:div w:id="1010373259">
              <w:marLeft w:val="0"/>
              <w:marRight w:val="0"/>
              <w:marTop w:val="0"/>
              <w:marBottom w:val="150"/>
              <w:divBdr>
                <w:top w:val="none" w:sz="0" w:space="0" w:color="auto"/>
                <w:left w:val="none" w:sz="0" w:space="0" w:color="auto"/>
                <w:bottom w:val="none" w:sz="0" w:space="0" w:color="auto"/>
                <w:right w:val="none" w:sz="0" w:space="0" w:color="auto"/>
              </w:divBdr>
              <w:divsChild>
                <w:div w:id="1806586180">
                  <w:marLeft w:val="0"/>
                  <w:marRight w:val="0"/>
                  <w:marTop w:val="0"/>
                  <w:marBottom w:val="0"/>
                  <w:divBdr>
                    <w:top w:val="none" w:sz="0" w:space="0" w:color="auto"/>
                    <w:left w:val="none" w:sz="0" w:space="0" w:color="auto"/>
                    <w:bottom w:val="none" w:sz="0" w:space="0" w:color="auto"/>
                    <w:right w:val="none" w:sz="0" w:space="0" w:color="auto"/>
                  </w:divBdr>
                </w:div>
              </w:divsChild>
            </w:div>
            <w:div w:id="1526941358">
              <w:marLeft w:val="0"/>
              <w:marRight w:val="0"/>
              <w:marTop w:val="0"/>
              <w:marBottom w:val="0"/>
              <w:divBdr>
                <w:top w:val="none" w:sz="0" w:space="0" w:color="auto"/>
                <w:left w:val="none" w:sz="0" w:space="0" w:color="auto"/>
                <w:bottom w:val="none" w:sz="0" w:space="0" w:color="auto"/>
                <w:right w:val="none" w:sz="0" w:space="0" w:color="auto"/>
              </w:divBdr>
            </w:div>
          </w:divsChild>
        </w:div>
        <w:div w:id="1052533650">
          <w:marLeft w:val="0"/>
          <w:marRight w:val="0"/>
          <w:marTop w:val="0"/>
          <w:marBottom w:val="0"/>
          <w:divBdr>
            <w:top w:val="none" w:sz="0" w:space="0" w:color="auto"/>
            <w:left w:val="none" w:sz="0" w:space="0" w:color="auto"/>
            <w:bottom w:val="none" w:sz="0" w:space="0" w:color="auto"/>
            <w:right w:val="none" w:sz="0" w:space="0" w:color="auto"/>
          </w:divBdr>
          <w:divsChild>
            <w:div w:id="1290625242">
              <w:marLeft w:val="0"/>
              <w:marRight w:val="0"/>
              <w:marTop w:val="0"/>
              <w:marBottom w:val="0"/>
              <w:divBdr>
                <w:top w:val="none" w:sz="0" w:space="0" w:color="auto"/>
                <w:left w:val="none" w:sz="0" w:space="0" w:color="auto"/>
                <w:bottom w:val="none" w:sz="0" w:space="0" w:color="auto"/>
                <w:right w:val="none" w:sz="0" w:space="0" w:color="auto"/>
              </w:divBdr>
              <w:divsChild>
                <w:div w:id="15225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714517">
      <w:bodyDiv w:val="1"/>
      <w:marLeft w:val="0"/>
      <w:marRight w:val="0"/>
      <w:marTop w:val="0"/>
      <w:marBottom w:val="0"/>
      <w:divBdr>
        <w:top w:val="none" w:sz="0" w:space="0" w:color="auto"/>
        <w:left w:val="none" w:sz="0" w:space="0" w:color="auto"/>
        <w:bottom w:val="none" w:sz="0" w:space="0" w:color="auto"/>
        <w:right w:val="none" w:sz="0" w:space="0" w:color="auto"/>
      </w:divBdr>
      <w:divsChild>
        <w:div w:id="249042986">
          <w:marLeft w:val="0"/>
          <w:marRight w:val="0"/>
          <w:marTop w:val="0"/>
          <w:marBottom w:val="0"/>
          <w:divBdr>
            <w:top w:val="none" w:sz="0" w:space="0" w:color="auto"/>
            <w:left w:val="none" w:sz="0" w:space="0" w:color="auto"/>
            <w:bottom w:val="none" w:sz="0" w:space="0" w:color="auto"/>
            <w:right w:val="none" w:sz="0" w:space="0" w:color="auto"/>
          </w:divBdr>
          <w:divsChild>
            <w:div w:id="887643373">
              <w:marLeft w:val="0"/>
              <w:marRight w:val="0"/>
              <w:marTop w:val="0"/>
              <w:marBottom w:val="300"/>
              <w:divBdr>
                <w:top w:val="none" w:sz="0" w:space="0" w:color="auto"/>
                <w:left w:val="none" w:sz="0" w:space="0" w:color="auto"/>
                <w:bottom w:val="single" w:sz="6" w:space="0" w:color="F1F1F1"/>
                <w:right w:val="none" w:sz="0" w:space="0" w:color="auto"/>
              </w:divBdr>
              <w:divsChild>
                <w:div w:id="3943578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66955517">
          <w:marLeft w:val="0"/>
          <w:marRight w:val="0"/>
          <w:marTop w:val="0"/>
          <w:marBottom w:val="0"/>
          <w:divBdr>
            <w:top w:val="none" w:sz="0" w:space="0" w:color="auto"/>
            <w:left w:val="none" w:sz="0" w:space="0" w:color="auto"/>
            <w:bottom w:val="none" w:sz="0" w:space="0" w:color="auto"/>
            <w:right w:val="none" w:sz="0" w:space="0" w:color="auto"/>
          </w:divBdr>
          <w:divsChild>
            <w:div w:id="1542983282">
              <w:marLeft w:val="0"/>
              <w:marRight w:val="0"/>
              <w:marTop w:val="0"/>
              <w:marBottom w:val="0"/>
              <w:divBdr>
                <w:top w:val="none" w:sz="0" w:space="0" w:color="auto"/>
                <w:left w:val="none" w:sz="0" w:space="0" w:color="auto"/>
                <w:bottom w:val="none" w:sz="0" w:space="0" w:color="auto"/>
                <w:right w:val="none" w:sz="0" w:space="0" w:color="auto"/>
              </w:divBdr>
              <w:divsChild>
                <w:div w:id="24988357">
                  <w:marLeft w:val="0"/>
                  <w:marRight w:val="0"/>
                  <w:marTop w:val="0"/>
                  <w:marBottom w:val="0"/>
                  <w:divBdr>
                    <w:top w:val="none" w:sz="0" w:space="0" w:color="auto"/>
                    <w:left w:val="none" w:sz="0" w:space="0" w:color="auto"/>
                    <w:bottom w:val="none" w:sz="0" w:space="0" w:color="auto"/>
                    <w:right w:val="none" w:sz="0" w:space="0" w:color="auto"/>
                  </w:divBdr>
                  <w:divsChild>
                    <w:div w:id="276646854">
                      <w:marLeft w:val="0"/>
                      <w:marRight w:val="0"/>
                      <w:marTop w:val="0"/>
                      <w:marBottom w:val="300"/>
                      <w:divBdr>
                        <w:top w:val="none" w:sz="0" w:space="0" w:color="auto"/>
                        <w:left w:val="none" w:sz="0" w:space="0" w:color="auto"/>
                        <w:bottom w:val="none" w:sz="0" w:space="0" w:color="auto"/>
                        <w:right w:val="none" w:sz="0" w:space="0" w:color="auto"/>
                      </w:divBdr>
                      <w:divsChild>
                        <w:div w:id="64650199">
                          <w:marLeft w:val="0"/>
                          <w:marRight w:val="0"/>
                          <w:marTop w:val="0"/>
                          <w:marBottom w:val="0"/>
                          <w:divBdr>
                            <w:top w:val="none" w:sz="0" w:space="0" w:color="auto"/>
                            <w:left w:val="none" w:sz="0" w:space="0" w:color="auto"/>
                            <w:bottom w:val="none" w:sz="0" w:space="0" w:color="auto"/>
                            <w:right w:val="none" w:sz="0" w:space="0" w:color="auto"/>
                          </w:divBdr>
                          <w:divsChild>
                            <w:div w:id="432045809">
                              <w:marLeft w:val="0"/>
                              <w:marRight w:val="0"/>
                              <w:marTop w:val="0"/>
                              <w:marBottom w:val="0"/>
                              <w:divBdr>
                                <w:top w:val="none" w:sz="0" w:space="0" w:color="auto"/>
                                <w:left w:val="none" w:sz="0" w:space="0" w:color="auto"/>
                                <w:bottom w:val="none" w:sz="0" w:space="0" w:color="auto"/>
                                <w:right w:val="none" w:sz="0" w:space="0" w:color="auto"/>
                              </w:divBdr>
                              <w:divsChild>
                                <w:div w:id="1602296224">
                                  <w:marLeft w:val="0"/>
                                  <w:marRight w:val="0"/>
                                  <w:marTop w:val="0"/>
                                  <w:marBottom w:val="0"/>
                                  <w:divBdr>
                                    <w:top w:val="single" w:sz="2" w:space="0" w:color="DFDFDF"/>
                                    <w:left w:val="single" w:sz="2" w:space="0" w:color="DFDFDF"/>
                                    <w:bottom w:val="single" w:sz="2" w:space="0" w:color="DFDFDF"/>
                                    <w:right w:val="single" w:sz="2" w:space="0" w:color="DFDFDF"/>
                                  </w:divBdr>
                                  <w:divsChild>
                                    <w:div w:id="615329164">
                                      <w:marLeft w:val="-90"/>
                                      <w:marRight w:val="0"/>
                                      <w:marTop w:val="0"/>
                                      <w:marBottom w:val="0"/>
                                      <w:divBdr>
                                        <w:top w:val="none" w:sz="0" w:space="0" w:color="auto"/>
                                        <w:left w:val="none" w:sz="0" w:space="0" w:color="auto"/>
                                        <w:bottom w:val="none" w:sz="0" w:space="0" w:color="auto"/>
                                        <w:right w:val="none" w:sz="0" w:space="0" w:color="auto"/>
                                      </w:divBdr>
                                      <w:divsChild>
                                        <w:div w:id="676466360">
                                          <w:marLeft w:val="0"/>
                                          <w:marRight w:val="0"/>
                                          <w:marTop w:val="0"/>
                                          <w:marBottom w:val="45"/>
                                          <w:divBdr>
                                            <w:top w:val="single" w:sz="2" w:space="0" w:color="A9A9A9"/>
                                            <w:left w:val="single" w:sz="2" w:space="0" w:color="A9A9A9"/>
                                            <w:bottom w:val="single" w:sz="2" w:space="0" w:color="A9A9A9"/>
                                            <w:right w:val="single" w:sz="2" w:space="0" w:color="A9A9A9"/>
                                          </w:divBdr>
                                          <w:divsChild>
                                            <w:div w:id="1436511060">
                                              <w:marLeft w:val="0"/>
                                              <w:marRight w:val="0"/>
                                              <w:marTop w:val="0"/>
                                              <w:marBottom w:val="0"/>
                                              <w:divBdr>
                                                <w:top w:val="none" w:sz="0" w:space="0" w:color="auto"/>
                                                <w:left w:val="none" w:sz="0" w:space="0" w:color="auto"/>
                                                <w:bottom w:val="none" w:sz="0" w:space="0" w:color="auto"/>
                                                <w:right w:val="none" w:sz="0" w:space="0" w:color="auto"/>
                                              </w:divBdr>
                                              <w:divsChild>
                                                <w:div w:id="993216903">
                                                  <w:marLeft w:val="92"/>
                                                  <w:marRight w:val="0"/>
                                                  <w:marTop w:val="0"/>
                                                  <w:marBottom w:val="150"/>
                                                  <w:divBdr>
                                                    <w:top w:val="single" w:sz="2" w:space="0" w:color="E4E4E4"/>
                                                    <w:left w:val="single" w:sz="2" w:space="0" w:color="E4E4E4"/>
                                                    <w:bottom w:val="single" w:sz="2" w:space="0" w:color="E4E4E4"/>
                                                    <w:right w:val="single" w:sz="2" w:space="0" w:color="E4E4E4"/>
                                                  </w:divBdr>
                                                </w:div>
                                                <w:div w:id="1845169306">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629553324">
                          <w:marLeft w:val="0"/>
                          <w:marRight w:val="0"/>
                          <w:marTop w:val="0"/>
                          <w:marBottom w:val="0"/>
                          <w:divBdr>
                            <w:top w:val="none" w:sz="0" w:space="0" w:color="auto"/>
                            <w:left w:val="none" w:sz="0" w:space="0" w:color="auto"/>
                            <w:bottom w:val="none" w:sz="0" w:space="0" w:color="auto"/>
                            <w:right w:val="none" w:sz="0" w:space="0" w:color="auto"/>
                          </w:divBdr>
                          <w:divsChild>
                            <w:div w:id="198052432">
                              <w:marLeft w:val="0"/>
                              <w:marRight w:val="0"/>
                              <w:marTop w:val="0"/>
                              <w:marBottom w:val="0"/>
                              <w:divBdr>
                                <w:top w:val="none" w:sz="0" w:space="0" w:color="auto"/>
                                <w:left w:val="none" w:sz="0" w:space="0" w:color="auto"/>
                                <w:bottom w:val="none" w:sz="0" w:space="0" w:color="auto"/>
                                <w:right w:val="none" w:sz="0" w:space="0" w:color="auto"/>
                              </w:divBdr>
                              <w:divsChild>
                                <w:div w:id="183908573">
                                  <w:marLeft w:val="0"/>
                                  <w:marRight w:val="0"/>
                                  <w:marTop w:val="0"/>
                                  <w:marBottom w:val="0"/>
                                  <w:divBdr>
                                    <w:top w:val="single" w:sz="2" w:space="0" w:color="DFDFDF"/>
                                    <w:left w:val="single" w:sz="2" w:space="0" w:color="DFDFDF"/>
                                    <w:bottom w:val="single" w:sz="2" w:space="0" w:color="DFDFDF"/>
                                    <w:right w:val="single" w:sz="2" w:space="0" w:color="DFDFDF"/>
                                  </w:divBdr>
                                  <w:divsChild>
                                    <w:div w:id="795176075">
                                      <w:marLeft w:val="0"/>
                                      <w:marRight w:val="0"/>
                                      <w:marTop w:val="0"/>
                                      <w:marBottom w:val="270"/>
                                      <w:divBdr>
                                        <w:top w:val="none" w:sz="0" w:space="0" w:color="auto"/>
                                        <w:left w:val="none" w:sz="0" w:space="0" w:color="auto"/>
                                        <w:bottom w:val="single" w:sz="12" w:space="5" w:color="DADADA"/>
                                        <w:right w:val="none" w:sz="0" w:space="0" w:color="auto"/>
                                      </w:divBdr>
                                      <w:divsChild>
                                        <w:div w:id="223613157">
                                          <w:marLeft w:val="0"/>
                                          <w:marRight w:val="0"/>
                                          <w:marTop w:val="0"/>
                                          <w:marBottom w:val="0"/>
                                          <w:divBdr>
                                            <w:top w:val="none" w:sz="0" w:space="0" w:color="auto"/>
                                            <w:left w:val="none" w:sz="0" w:space="0" w:color="auto"/>
                                            <w:bottom w:val="none" w:sz="0" w:space="0" w:color="auto"/>
                                            <w:right w:val="none" w:sz="0" w:space="0" w:color="auto"/>
                                          </w:divBdr>
                                        </w:div>
                                      </w:divsChild>
                                    </w:div>
                                    <w:div w:id="1572540511">
                                      <w:marLeft w:val="-90"/>
                                      <w:marRight w:val="0"/>
                                      <w:marTop w:val="0"/>
                                      <w:marBottom w:val="0"/>
                                      <w:divBdr>
                                        <w:top w:val="none" w:sz="0" w:space="0" w:color="auto"/>
                                        <w:left w:val="none" w:sz="0" w:space="0" w:color="auto"/>
                                        <w:bottom w:val="none" w:sz="0" w:space="0" w:color="auto"/>
                                        <w:right w:val="none" w:sz="0" w:space="0" w:color="auto"/>
                                      </w:divBdr>
                                      <w:divsChild>
                                        <w:div w:id="1266695715">
                                          <w:marLeft w:val="0"/>
                                          <w:marRight w:val="0"/>
                                          <w:marTop w:val="0"/>
                                          <w:marBottom w:val="45"/>
                                          <w:divBdr>
                                            <w:top w:val="single" w:sz="2" w:space="0" w:color="A9A9A9"/>
                                            <w:left w:val="single" w:sz="2" w:space="0" w:color="A9A9A9"/>
                                            <w:bottom w:val="single" w:sz="2" w:space="0" w:color="A9A9A9"/>
                                            <w:right w:val="single" w:sz="2" w:space="0" w:color="A9A9A9"/>
                                          </w:divBdr>
                                          <w:divsChild>
                                            <w:div w:id="484013173">
                                              <w:marLeft w:val="0"/>
                                              <w:marRight w:val="0"/>
                                              <w:marTop w:val="0"/>
                                              <w:marBottom w:val="0"/>
                                              <w:divBdr>
                                                <w:top w:val="none" w:sz="0" w:space="0" w:color="auto"/>
                                                <w:left w:val="none" w:sz="0" w:space="0" w:color="auto"/>
                                                <w:bottom w:val="none" w:sz="0" w:space="0" w:color="auto"/>
                                                <w:right w:val="none" w:sz="0" w:space="0" w:color="auto"/>
                                              </w:divBdr>
                                              <w:divsChild>
                                                <w:div w:id="1566909456">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417675470">
                  <w:marLeft w:val="0"/>
                  <w:marRight w:val="0"/>
                  <w:marTop w:val="0"/>
                  <w:marBottom w:val="0"/>
                  <w:divBdr>
                    <w:top w:val="none" w:sz="0" w:space="0" w:color="auto"/>
                    <w:left w:val="none" w:sz="0" w:space="0" w:color="auto"/>
                    <w:bottom w:val="none" w:sz="0" w:space="0" w:color="auto"/>
                    <w:right w:val="none" w:sz="0" w:space="0" w:color="auto"/>
                  </w:divBdr>
                  <w:divsChild>
                    <w:div w:id="850486945">
                      <w:marLeft w:val="0"/>
                      <w:marRight w:val="0"/>
                      <w:marTop w:val="0"/>
                      <w:marBottom w:val="75"/>
                      <w:divBdr>
                        <w:top w:val="none" w:sz="0" w:space="0" w:color="auto"/>
                        <w:left w:val="none" w:sz="0" w:space="0" w:color="auto"/>
                        <w:bottom w:val="none" w:sz="0" w:space="0" w:color="auto"/>
                        <w:right w:val="none" w:sz="0" w:space="0" w:color="auto"/>
                      </w:divBdr>
                    </w:div>
                    <w:div w:id="901719073">
                      <w:marLeft w:val="0"/>
                      <w:marRight w:val="0"/>
                      <w:marTop w:val="0"/>
                      <w:marBottom w:val="0"/>
                      <w:divBdr>
                        <w:top w:val="none" w:sz="0" w:space="0" w:color="auto"/>
                        <w:left w:val="none" w:sz="0" w:space="0" w:color="auto"/>
                        <w:bottom w:val="none" w:sz="0" w:space="0" w:color="auto"/>
                        <w:right w:val="none" w:sz="0" w:space="0" w:color="auto"/>
                      </w:divBdr>
                    </w:div>
                    <w:div w:id="1505435968">
                      <w:marLeft w:val="0"/>
                      <w:marRight w:val="0"/>
                      <w:marTop w:val="0"/>
                      <w:marBottom w:val="0"/>
                      <w:divBdr>
                        <w:top w:val="none" w:sz="0" w:space="0" w:color="auto"/>
                        <w:left w:val="none" w:sz="0" w:space="0" w:color="auto"/>
                        <w:bottom w:val="none" w:sz="0" w:space="0" w:color="auto"/>
                        <w:right w:val="none" w:sz="0" w:space="0" w:color="auto"/>
                      </w:divBdr>
                      <w:divsChild>
                        <w:div w:id="816728662">
                          <w:marLeft w:val="0"/>
                          <w:marRight w:val="0"/>
                          <w:marTop w:val="0"/>
                          <w:marBottom w:val="0"/>
                          <w:divBdr>
                            <w:top w:val="none" w:sz="0" w:space="0" w:color="auto"/>
                            <w:left w:val="none" w:sz="0" w:space="0" w:color="auto"/>
                            <w:bottom w:val="none" w:sz="0" w:space="0" w:color="auto"/>
                            <w:right w:val="none" w:sz="0" w:space="0" w:color="auto"/>
                          </w:divBdr>
                          <w:divsChild>
                            <w:div w:id="41956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34005">
                      <w:marLeft w:val="0"/>
                      <w:marRight w:val="0"/>
                      <w:marTop w:val="0"/>
                      <w:marBottom w:val="300"/>
                      <w:divBdr>
                        <w:top w:val="none" w:sz="0" w:space="0" w:color="auto"/>
                        <w:left w:val="none" w:sz="0" w:space="0" w:color="auto"/>
                        <w:bottom w:val="none" w:sz="0" w:space="0" w:color="auto"/>
                        <w:right w:val="none" w:sz="0" w:space="0" w:color="auto"/>
                      </w:divBdr>
                      <w:divsChild>
                        <w:div w:id="169818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4101369">
      <w:bodyDiv w:val="1"/>
      <w:marLeft w:val="0"/>
      <w:marRight w:val="0"/>
      <w:marTop w:val="0"/>
      <w:marBottom w:val="0"/>
      <w:divBdr>
        <w:top w:val="none" w:sz="0" w:space="0" w:color="auto"/>
        <w:left w:val="none" w:sz="0" w:space="0" w:color="auto"/>
        <w:bottom w:val="none" w:sz="0" w:space="0" w:color="auto"/>
        <w:right w:val="none" w:sz="0" w:space="0" w:color="auto"/>
      </w:divBdr>
    </w:div>
    <w:div w:id="1834368023">
      <w:bodyDiv w:val="1"/>
      <w:marLeft w:val="0"/>
      <w:marRight w:val="0"/>
      <w:marTop w:val="0"/>
      <w:marBottom w:val="0"/>
      <w:divBdr>
        <w:top w:val="none" w:sz="0" w:space="0" w:color="auto"/>
        <w:left w:val="none" w:sz="0" w:space="0" w:color="auto"/>
        <w:bottom w:val="none" w:sz="0" w:space="0" w:color="auto"/>
        <w:right w:val="none" w:sz="0" w:space="0" w:color="auto"/>
      </w:divBdr>
      <w:divsChild>
        <w:div w:id="818617979">
          <w:marLeft w:val="0"/>
          <w:marRight w:val="0"/>
          <w:marTop w:val="0"/>
          <w:marBottom w:val="0"/>
          <w:divBdr>
            <w:top w:val="none" w:sz="0" w:space="0" w:color="auto"/>
            <w:left w:val="none" w:sz="0" w:space="0" w:color="auto"/>
            <w:bottom w:val="dotted" w:sz="6" w:space="4" w:color="DDDDDD"/>
            <w:right w:val="none" w:sz="0" w:space="0" w:color="auto"/>
          </w:divBdr>
          <w:divsChild>
            <w:div w:id="170270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879240">
      <w:bodyDiv w:val="1"/>
      <w:marLeft w:val="0"/>
      <w:marRight w:val="0"/>
      <w:marTop w:val="0"/>
      <w:marBottom w:val="0"/>
      <w:divBdr>
        <w:top w:val="none" w:sz="0" w:space="0" w:color="auto"/>
        <w:left w:val="none" w:sz="0" w:space="0" w:color="auto"/>
        <w:bottom w:val="none" w:sz="0" w:space="0" w:color="auto"/>
        <w:right w:val="none" w:sz="0" w:space="0" w:color="auto"/>
      </w:divBdr>
      <w:divsChild>
        <w:div w:id="1241670162">
          <w:marLeft w:val="0"/>
          <w:marRight w:val="0"/>
          <w:marTop w:val="0"/>
          <w:marBottom w:val="0"/>
          <w:divBdr>
            <w:top w:val="none" w:sz="0" w:space="0" w:color="auto"/>
            <w:left w:val="none" w:sz="0" w:space="0" w:color="auto"/>
            <w:bottom w:val="none" w:sz="0" w:space="0" w:color="auto"/>
            <w:right w:val="none" w:sz="0" w:space="0" w:color="auto"/>
          </w:divBdr>
          <w:divsChild>
            <w:div w:id="351298262">
              <w:marLeft w:val="0"/>
              <w:marRight w:val="0"/>
              <w:marTop w:val="0"/>
              <w:marBottom w:val="0"/>
              <w:divBdr>
                <w:top w:val="none" w:sz="0" w:space="0" w:color="auto"/>
                <w:left w:val="none" w:sz="0" w:space="0" w:color="auto"/>
                <w:bottom w:val="none" w:sz="0" w:space="0" w:color="auto"/>
                <w:right w:val="none" w:sz="0" w:space="0" w:color="auto"/>
              </w:divBdr>
              <w:divsChild>
                <w:div w:id="1200514579">
                  <w:marLeft w:val="0"/>
                  <w:marRight w:val="0"/>
                  <w:marTop w:val="0"/>
                  <w:marBottom w:val="0"/>
                  <w:divBdr>
                    <w:top w:val="none" w:sz="0" w:space="0" w:color="auto"/>
                    <w:left w:val="none" w:sz="0" w:space="0" w:color="auto"/>
                    <w:bottom w:val="none" w:sz="0" w:space="0" w:color="auto"/>
                    <w:right w:val="none" w:sz="0" w:space="0" w:color="auto"/>
                  </w:divBdr>
                  <w:divsChild>
                    <w:div w:id="1504470415">
                      <w:marLeft w:val="0"/>
                      <w:marRight w:val="0"/>
                      <w:marTop w:val="0"/>
                      <w:marBottom w:val="0"/>
                      <w:divBdr>
                        <w:top w:val="none" w:sz="0" w:space="0" w:color="auto"/>
                        <w:left w:val="none" w:sz="0" w:space="0" w:color="auto"/>
                        <w:bottom w:val="none" w:sz="0" w:space="0" w:color="auto"/>
                        <w:right w:val="none" w:sz="0" w:space="0" w:color="auto"/>
                      </w:divBdr>
                      <w:divsChild>
                        <w:div w:id="62529110">
                          <w:marLeft w:val="0"/>
                          <w:marRight w:val="0"/>
                          <w:marTop w:val="0"/>
                          <w:marBottom w:val="0"/>
                          <w:divBdr>
                            <w:top w:val="none" w:sz="0" w:space="0" w:color="auto"/>
                            <w:left w:val="none" w:sz="0" w:space="0" w:color="auto"/>
                            <w:bottom w:val="none" w:sz="0" w:space="0" w:color="auto"/>
                            <w:right w:val="none" w:sz="0" w:space="0" w:color="auto"/>
                          </w:divBdr>
                          <w:divsChild>
                            <w:div w:id="1219588327">
                              <w:marLeft w:val="0"/>
                              <w:marRight w:val="0"/>
                              <w:marTop w:val="0"/>
                              <w:marBottom w:val="0"/>
                              <w:divBdr>
                                <w:top w:val="none" w:sz="0" w:space="0" w:color="auto"/>
                                <w:left w:val="none" w:sz="0" w:space="0" w:color="auto"/>
                                <w:bottom w:val="none" w:sz="0" w:space="0" w:color="auto"/>
                                <w:right w:val="none" w:sz="0" w:space="0" w:color="auto"/>
                              </w:divBdr>
                              <w:divsChild>
                                <w:div w:id="1859847664">
                                  <w:marLeft w:val="0"/>
                                  <w:marRight w:val="0"/>
                                  <w:marTop w:val="0"/>
                                  <w:marBottom w:val="0"/>
                                  <w:divBdr>
                                    <w:top w:val="none" w:sz="0" w:space="0" w:color="auto"/>
                                    <w:left w:val="none" w:sz="0" w:space="0" w:color="auto"/>
                                    <w:bottom w:val="none" w:sz="0" w:space="0" w:color="auto"/>
                                    <w:right w:val="none" w:sz="0" w:space="0" w:color="auto"/>
                                  </w:divBdr>
                                  <w:divsChild>
                                    <w:div w:id="202539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147765">
      <w:bodyDiv w:val="1"/>
      <w:marLeft w:val="0"/>
      <w:marRight w:val="0"/>
      <w:marTop w:val="0"/>
      <w:marBottom w:val="0"/>
      <w:divBdr>
        <w:top w:val="none" w:sz="0" w:space="0" w:color="auto"/>
        <w:left w:val="none" w:sz="0" w:space="0" w:color="auto"/>
        <w:bottom w:val="none" w:sz="0" w:space="0" w:color="auto"/>
        <w:right w:val="none" w:sz="0" w:space="0" w:color="auto"/>
      </w:divBdr>
      <w:divsChild>
        <w:div w:id="353966354">
          <w:marLeft w:val="0"/>
          <w:marRight w:val="0"/>
          <w:marTop w:val="0"/>
          <w:marBottom w:val="75"/>
          <w:divBdr>
            <w:top w:val="none" w:sz="0" w:space="0" w:color="auto"/>
            <w:left w:val="none" w:sz="0" w:space="0" w:color="auto"/>
            <w:bottom w:val="none" w:sz="0" w:space="0" w:color="auto"/>
            <w:right w:val="none" w:sz="0" w:space="0" w:color="auto"/>
          </w:divBdr>
        </w:div>
        <w:div w:id="702706953">
          <w:marLeft w:val="0"/>
          <w:marRight w:val="0"/>
          <w:marTop w:val="0"/>
          <w:marBottom w:val="300"/>
          <w:divBdr>
            <w:top w:val="none" w:sz="0" w:space="0" w:color="auto"/>
            <w:left w:val="none" w:sz="0" w:space="0" w:color="auto"/>
            <w:bottom w:val="none" w:sz="0" w:space="0" w:color="auto"/>
            <w:right w:val="none" w:sz="0" w:space="0" w:color="auto"/>
          </w:divBdr>
          <w:divsChild>
            <w:div w:id="1566141705">
              <w:marLeft w:val="0"/>
              <w:marRight w:val="0"/>
              <w:marTop w:val="0"/>
              <w:marBottom w:val="0"/>
              <w:divBdr>
                <w:top w:val="none" w:sz="0" w:space="0" w:color="auto"/>
                <w:left w:val="none" w:sz="0" w:space="0" w:color="auto"/>
                <w:bottom w:val="none" w:sz="0" w:space="0" w:color="auto"/>
                <w:right w:val="none" w:sz="0" w:space="0" w:color="auto"/>
              </w:divBdr>
            </w:div>
          </w:divsChild>
        </w:div>
        <w:div w:id="1258975334">
          <w:marLeft w:val="0"/>
          <w:marRight w:val="0"/>
          <w:marTop w:val="0"/>
          <w:marBottom w:val="0"/>
          <w:divBdr>
            <w:top w:val="none" w:sz="0" w:space="0" w:color="auto"/>
            <w:left w:val="none" w:sz="0" w:space="0" w:color="auto"/>
            <w:bottom w:val="none" w:sz="0" w:space="0" w:color="auto"/>
            <w:right w:val="none" w:sz="0" w:space="0" w:color="auto"/>
          </w:divBdr>
          <w:divsChild>
            <w:div w:id="1375932265">
              <w:marLeft w:val="0"/>
              <w:marRight w:val="0"/>
              <w:marTop w:val="0"/>
              <w:marBottom w:val="0"/>
              <w:divBdr>
                <w:top w:val="none" w:sz="0" w:space="0" w:color="auto"/>
                <w:left w:val="none" w:sz="0" w:space="0" w:color="auto"/>
                <w:bottom w:val="none" w:sz="0" w:space="0" w:color="auto"/>
                <w:right w:val="none" w:sz="0" w:space="0" w:color="auto"/>
              </w:divBdr>
              <w:divsChild>
                <w:div w:id="15418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50868">
          <w:marLeft w:val="0"/>
          <w:marRight w:val="0"/>
          <w:marTop w:val="0"/>
          <w:marBottom w:val="0"/>
          <w:divBdr>
            <w:top w:val="none" w:sz="0" w:space="0" w:color="auto"/>
            <w:left w:val="none" w:sz="0" w:space="0" w:color="auto"/>
            <w:bottom w:val="none" w:sz="0" w:space="0" w:color="auto"/>
            <w:right w:val="none" w:sz="0" w:space="0" w:color="auto"/>
          </w:divBdr>
        </w:div>
      </w:divsChild>
    </w:div>
    <w:div w:id="1835216605">
      <w:bodyDiv w:val="1"/>
      <w:marLeft w:val="0"/>
      <w:marRight w:val="0"/>
      <w:marTop w:val="0"/>
      <w:marBottom w:val="0"/>
      <w:divBdr>
        <w:top w:val="none" w:sz="0" w:space="0" w:color="auto"/>
        <w:left w:val="none" w:sz="0" w:space="0" w:color="auto"/>
        <w:bottom w:val="none" w:sz="0" w:space="0" w:color="auto"/>
        <w:right w:val="none" w:sz="0" w:space="0" w:color="auto"/>
      </w:divBdr>
      <w:divsChild>
        <w:div w:id="408386174">
          <w:marLeft w:val="0"/>
          <w:marRight w:val="225"/>
          <w:marTop w:val="0"/>
          <w:marBottom w:val="0"/>
          <w:divBdr>
            <w:top w:val="none" w:sz="0" w:space="0" w:color="auto"/>
            <w:left w:val="none" w:sz="0" w:space="0" w:color="auto"/>
            <w:bottom w:val="none" w:sz="0" w:space="0" w:color="auto"/>
            <w:right w:val="none" w:sz="0" w:space="0" w:color="auto"/>
          </w:divBdr>
          <w:divsChild>
            <w:div w:id="1931305928">
              <w:marLeft w:val="0"/>
              <w:marRight w:val="0"/>
              <w:marTop w:val="225"/>
              <w:marBottom w:val="0"/>
              <w:divBdr>
                <w:top w:val="none" w:sz="0" w:space="0" w:color="auto"/>
                <w:left w:val="none" w:sz="0" w:space="0" w:color="auto"/>
                <w:bottom w:val="none" w:sz="0" w:space="0" w:color="auto"/>
                <w:right w:val="none" w:sz="0" w:space="0" w:color="auto"/>
              </w:divBdr>
              <w:divsChild>
                <w:div w:id="175223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420027">
          <w:marLeft w:val="0"/>
          <w:marRight w:val="0"/>
          <w:marTop w:val="0"/>
          <w:marBottom w:val="0"/>
          <w:divBdr>
            <w:top w:val="none" w:sz="0" w:space="0" w:color="auto"/>
            <w:left w:val="none" w:sz="0" w:space="0" w:color="auto"/>
            <w:bottom w:val="none" w:sz="0" w:space="0" w:color="auto"/>
            <w:right w:val="none" w:sz="0" w:space="0" w:color="auto"/>
          </w:divBdr>
          <w:divsChild>
            <w:div w:id="1645741075">
              <w:marLeft w:val="0"/>
              <w:marRight w:val="0"/>
              <w:marTop w:val="0"/>
              <w:marBottom w:val="150"/>
              <w:divBdr>
                <w:top w:val="none" w:sz="0" w:space="0" w:color="auto"/>
                <w:left w:val="none" w:sz="0" w:space="0" w:color="auto"/>
                <w:bottom w:val="none" w:sz="0" w:space="0" w:color="auto"/>
                <w:right w:val="none" w:sz="0" w:space="0" w:color="auto"/>
              </w:divBdr>
              <w:divsChild>
                <w:div w:id="12818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073741">
      <w:bodyDiv w:val="1"/>
      <w:marLeft w:val="0"/>
      <w:marRight w:val="0"/>
      <w:marTop w:val="0"/>
      <w:marBottom w:val="0"/>
      <w:divBdr>
        <w:top w:val="none" w:sz="0" w:space="0" w:color="auto"/>
        <w:left w:val="none" w:sz="0" w:space="0" w:color="auto"/>
        <w:bottom w:val="none" w:sz="0" w:space="0" w:color="auto"/>
        <w:right w:val="none" w:sz="0" w:space="0" w:color="auto"/>
      </w:divBdr>
    </w:div>
    <w:div w:id="1836139643">
      <w:bodyDiv w:val="1"/>
      <w:marLeft w:val="0"/>
      <w:marRight w:val="0"/>
      <w:marTop w:val="0"/>
      <w:marBottom w:val="0"/>
      <w:divBdr>
        <w:top w:val="none" w:sz="0" w:space="0" w:color="auto"/>
        <w:left w:val="none" w:sz="0" w:space="0" w:color="auto"/>
        <w:bottom w:val="none" w:sz="0" w:space="0" w:color="auto"/>
        <w:right w:val="none" w:sz="0" w:space="0" w:color="auto"/>
      </w:divBdr>
      <w:divsChild>
        <w:div w:id="856428328">
          <w:marLeft w:val="0"/>
          <w:marRight w:val="0"/>
          <w:marTop w:val="0"/>
          <w:marBottom w:val="150"/>
          <w:divBdr>
            <w:top w:val="none" w:sz="0" w:space="0" w:color="auto"/>
            <w:left w:val="none" w:sz="0" w:space="0" w:color="auto"/>
            <w:bottom w:val="none" w:sz="0" w:space="0" w:color="auto"/>
            <w:right w:val="none" w:sz="0" w:space="0" w:color="auto"/>
          </w:divBdr>
        </w:div>
        <w:div w:id="2114471385">
          <w:marLeft w:val="0"/>
          <w:marRight w:val="0"/>
          <w:marTop w:val="0"/>
          <w:marBottom w:val="150"/>
          <w:divBdr>
            <w:top w:val="none" w:sz="0" w:space="0" w:color="auto"/>
            <w:left w:val="none" w:sz="0" w:space="0" w:color="auto"/>
            <w:bottom w:val="none" w:sz="0" w:space="0" w:color="auto"/>
            <w:right w:val="none" w:sz="0" w:space="0" w:color="auto"/>
          </w:divBdr>
          <w:divsChild>
            <w:div w:id="7952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146266">
      <w:bodyDiv w:val="1"/>
      <w:marLeft w:val="0"/>
      <w:marRight w:val="0"/>
      <w:marTop w:val="0"/>
      <w:marBottom w:val="0"/>
      <w:divBdr>
        <w:top w:val="none" w:sz="0" w:space="0" w:color="auto"/>
        <w:left w:val="none" w:sz="0" w:space="0" w:color="auto"/>
        <w:bottom w:val="none" w:sz="0" w:space="0" w:color="auto"/>
        <w:right w:val="none" w:sz="0" w:space="0" w:color="auto"/>
      </w:divBdr>
    </w:div>
    <w:div w:id="1836187882">
      <w:bodyDiv w:val="1"/>
      <w:marLeft w:val="0"/>
      <w:marRight w:val="0"/>
      <w:marTop w:val="0"/>
      <w:marBottom w:val="0"/>
      <w:divBdr>
        <w:top w:val="none" w:sz="0" w:space="0" w:color="auto"/>
        <w:left w:val="none" w:sz="0" w:space="0" w:color="auto"/>
        <w:bottom w:val="none" w:sz="0" w:space="0" w:color="auto"/>
        <w:right w:val="none" w:sz="0" w:space="0" w:color="auto"/>
      </w:divBdr>
      <w:divsChild>
        <w:div w:id="1103770494">
          <w:marLeft w:val="0"/>
          <w:marRight w:val="0"/>
          <w:marTop w:val="0"/>
          <w:marBottom w:val="0"/>
          <w:divBdr>
            <w:top w:val="none" w:sz="0" w:space="0" w:color="auto"/>
            <w:left w:val="none" w:sz="0" w:space="0" w:color="auto"/>
            <w:bottom w:val="none" w:sz="0" w:space="0" w:color="auto"/>
            <w:right w:val="none" w:sz="0" w:space="0" w:color="auto"/>
          </w:divBdr>
          <w:divsChild>
            <w:div w:id="46691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36719437">
      <w:bodyDiv w:val="1"/>
      <w:marLeft w:val="0"/>
      <w:marRight w:val="0"/>
      <w:marTop w:val="0"/>
      <w:marBottom w:val="0"/>
      <w:divBdr>
        <w:top w:val="none" w:sz="0" w:space="0" w:color="auto"/>
        <w:left w:val="none" w:sz="0" w:space="0" w:color="auto"/>
        <w:bottom w:val="none" w:sz="0" w:space="0" w:color="auto"/>
        <w:right w:val="none" w:sz="0" w:space="0" w:color="auto"/>
      </w:divBdr>
      <w:divsChild>
        <w:div w:id="81418781">
          <w:marLeft w:val="-9765"/>
          <w:marRight w:val="0"/>
          <w:marTop w:val="0"/>
          <w:marBottom w:val="0"/>
          <w:divBdr>
            <w:top w:val="none" w:sz="0" w:space="0" w:color="auto"/>
            <w:left w:val="none" w:sz="0" w:space="0" w:color="auto"/>
            <w:bottom w:val="none" w:sz="0" w:space="0" w:color="auto"/>
            <w:right w:val="none" w:sz="0" w:space="0" w:color="auto"/>
          </w:divBdr>
        </w:div>
        <w:div w:id="734164079">
          <w:marLeft w:val="0"/>
          <w:marRight w:val="0"/>
          <w:marTop w:val="0"/>
          <w:marBottom w:val="150"/>
          <w:divBdr>
            <w:top w:val="none" w:sz="0" w:space="0" w:color="auto"/>
            <w:left w:val="none" w:sz="0" w:space="0" w:color="auto"/>
            <w:bottom w:val="none" w:sz="0" w:space="0" w:color="auto"/>
            <w:right w:val="none" w:sz="0" w:space="0" w:color="auto"/>
          </w:divBdr>
        </w:div>
        <w:div w:id="1666740041">
          <w:marLeft w:val="0"/>
          <w:marRight w:val="0"/>
          <w:marTop w:val="0"/>
          <w:marBottom w:val="0"/>
          <w:divBdr>
            <w:top w:val="none" w:sz="0" w:space="0" w:color="auto"/>
            <w:left w:val="none" w:sz="0" w:space="0" w:color="auto"/>
            <w:bottom w:val="none" w:sz="0" w:space="0" w:color="auto"/>
            <w:right w:val="none" w:sz="0" w:space="0" w:color="auto"/>
          </w:divBdr>
          <w:divsChild>
            <w:div w:id="1166437860">
              <w:marLeft w:val="0"/>
              <w:marRight w:val="0"/>
              <w:marTop w:val="0"/>
              <w:marBottom w:val="225"/>
              <w:divBdr>
                <w:top w:val="none" w:sz="0" w:space="0" w:color="auto"/>
                <w:left w:val="none" w:sz="0" w:space="0" w:color="auto"/>
                <w:bottom w:val="none" w:sz="0" w:space="0" w:color="auto"/>
                <w:right w:val="none" w:sz="0" w:space="0" w:color="auto"/>
              </w:divBdr>
              <w:divsChild>
                <w:div w:id="34161827">
                  <w:marLeft w:val="0"/>
                  <w:marRight w:val="0"/>
                  <w:marTop w:val="0"/>
                  <w:marBottom w:val="150"/>
                  <w:divBdr>
                    <w:top w:val="none" w:sz="0" w:space="0" w:color="auto"/>
                    <w:left w:val="none" w:sz="0" w:space="0" w:color="auto"/>
                    <w:bottom w:val="none" w:sz="0" w:space="0" w:color="auto"/>
                    <w:right w:val="none" w:sz="0" w:space="0" w:color="auto"/>
                  </w:divBdr>
                </w:div>
                <w:div w:id="40642219">
                  <w:marLeft w:val="0"/>
                  <w:marRight w:val="0"/>
                  <w:marTop w:val="0"/>
                  <w:marBottom w:val="150"/>
                  <w:divBdr>
                    <w:top w:val="none" w:sz="0" w:space="0" w:color="auto"/>
                    <w:left w:val="none" w:sz="0" w:space="0" w:color="auto"/>
                    <w:bottom w:val="none" w:sz="0" w:space="0" w:color="auto"/>
                    <w:right w:val="none" w:sz="0" w:space="0" w:color="auto"/>
                  </w:divBdr>
                </w:div>
                <w:div w:id="79955553">
                  <w:marLeft w:val="0"/>
                  <w:marRight w:val="0"/>
                  <w:marTop w:val="0"/>
                  <w:marBottom w:val="150"/>
                  <w:divBdr>
                    <w:top w:val="none" w:sz="0" w:space="0" w:color="auto"/>
                    <w:left w:val="none" w:sz="0" w:space="0" w:color="auto"/>
                    <w:bottom w:val="none" w:sz="0" w:space="0" w:color="auto"/>
                    <w:right w:val="none" w:sz="0" w:space="0" w:color="auto"/>
                  </w:divBdr>
                </w:div>
                <w:div w:id="109935139">
                  <w:marLeft w:val="0"/>
                  <w:marRight w:val="0"/>
                  <w:marTop w:val="0"/>
                  <w:marBottom w:val="150"/>
                  <w:divBdr>
                    <w:top w:val="none" w:sz="0" w:space="0" w:color="auto"/>
                    <w:left w:val="none" w:sz="0" w:space="0" w:color="auto"/>
                    <w:bottom w:val="none" w:sz="0" w:space="0" w:color="auto"/>
                    <w:right w:val="none" w:sz="0" w:space="0" w:color="auto"/>
                  </w:divBdr>
                </w:div>
                <w:div w:id="123041750">
                  <w:marLeft w:val="0"/>
                  <w:marRight w:val="0"/>
                  <w:marTop w:val="0"/>
                  <w:marBottom w:val="150"/>
                  <w:divBdr>
                    <w:top w:val="none" w:sz="0" w:space="0" w:color="auto"/>
                    <w:left w:val="none" w:sz="0" w:space="0" w:color="auto"/>
                    <w:bottom w:val="none" w:sz="0" w:space="0" w:color="auto"/>
                    <w:right w:val="none" w:sz="0" w:space="0" w:color="auto"/>
                  </w:divBdr>
                </w:div>
                <w:div w:id="140198674">
                  <w:marLeft w:val="0"/>
                  <w:marRight w:val="0"/>
                  <w:marTop w:val="0"/>
                  <w:marBottom w:val="150"/>
                  <w:divBdr>
                    <w:top w:val="none" w:sz="0" w:space="0" w:color="auto"/>
                    <w:left w:val="none" w:sz="0" w:space="0" w:color="auto"/>
                    <w:bottom w:val="none" w:sz="0" w:space="0" w:color="auto"/>
                    <w:right w:val="none" w:sz="0" w:space="0" w:color="auto"/>
                  </w:divBdr>
                </w:div>
                <w:div w:id="189950077">
                  <w:marLeft w:val="0"/>
                  <w:marRight w:val="0"/>
                  <w:marTop w:val="0"/>
                  <w:marBottom w:val="150"/>
                  <w:divBdr>
                    <w:top w:val="none" w:sz="0" w:space="0" w:color="auto"/>
                    <w:left w:val="none" w:sz="0" w:space="0" w:color="auto"/>
                    <w:bottom w:val="none" w:sz="0" w:space="0" w:color="auto"/>
                    <w:right w:val="none" w:sz="0" w:space="0" w:color="auto"/>
                  </w:divBdr>
                </w:div>
                <w:div w:id="306519084">
                  <w:marLeft w:val="0"/>
                  <w:marRight w:val="0"/>
                  <w:marTop w:val="0"/>
                  <w:marBottom w:val="150"/>
                  <w:divBdr>
                    <w:top w:val="none" w:sz="0" w:space="0" w:color="auto"/>
                    <w:left w:val="none" w:sz="0" w:space="0" w:color="auto"/>
                    <w:bottom w:val="none" w:sz="0" w:space="0" w:color="auto"/>
                    <w:right w:val="none" w:sz="0" w:space="0" w:color="auto"/>
                  </w:divBdr>
                </w:div>
                <w:div w:id="351567191">
                  <w:marLeft w:val="0"/>
                  <w:marRight w:val="0"/>
                  <w:marTop w:val="0"/>
                  <w:marBottom w:val="150"/>
                  <w:divBdr>
                    <w:top w:val="none" w:sz="0" w:space="0" w:color="auto"/>
                    <w:left w:val="none" w:sz="0" w:space="0" w:color="auto"/>
                    <w:bottom w:val="none" w:sz="0" w:space="0" w:color="auto"/>
                    <w:right w:val="none" w:sz="0" w:space="0" w:color="auto"/>
                  </w:divBdr>
                </w:div>
                <w:div w:id="367727834">
                  <w:marLeft w:val="0"/>
                  <w:marRight w:val="0"/>
                  <w:marTop w:val="0"/>
                  <w:marBottom w:val="150"/>
                  <w:divBdr>
                    <w:top w:val="none" w:sz="0" w:space="0" w:color="auto"/>
                    <w:left w:val="none" w:sz="0" w:space="0" w:color="auto"/>
                    <w:bottom w:val="none" w:sz="0" w:space="0" w:color="auto"/>
                    <w:right w:val="none" w:sz="0" w:space="0" w:color="auto"/>
                  </w:divBdr>
                </w:div>
                <w:div w:id="380785238">
                  <w:marLeft w:val="0"/>
                  <w:marRight w:val="0"/>
                  <w:marTop w:val="0"/>
                  <w:marBottom w:val="150"/>
                  <w:divBdr>
                    <w:top w:val="none" w:sz="0" w:space="0" w:color="auto"/>
                    <w:left w:val="none" w:sz="0" w:space="0" w:color="auto"/>
                    <w:bottom w:val="none" w:sz="0" w:space="0" w:color="auto"/>
                    <w:right w:val="none" w:sz="0" w:space="0" w:color="auto"/>
                  </w:divBdr>
                </w:div>
                <w:div w:id="393741816">
                  <w:marLeft w:val="0"/>
                  <w:marRight w:val="0"/>
                  <w:marTop w:val="0"/>
                  <w:marBottom w:val="150"/>
                  <w:divBdr>
                    <w:top w:val="none" w:sz="0" w:space="0" w:color="auto"/>
                    <w:left w:val="none" w:sz="0" w:space="0" w:color="auto"/>
                    <w:bottom w:val="none" w:sz="0" w:space="0" w:color="auto"/>
                    <w:right w:val="none" w:sz="0" w:space="0" w:color="auto"/>
                  </w:divBdr>
                </w:div>
                <w:div w:id="443959890">
                  <w:marLeft w:val="0"/>
                  <w:marRight w:val="0"/>
                  <w:marTop w:val="0"/>
                  <w:marBottom w:val="150"/>
                  <w:divBdr>
                    <w:top w:val="none" w:sz="0" w:space="0" w:color="auto"/>
                    <w:left w:val="none" w:sz="0" w:space="0" w:color="auto"/>
                    <w:bottom w:val="none" w:sz="0" w:space="0" w:color="auto"/>
                    <w:right w:val="none" w:sz="0" w:space="0" w:color="auto"/>
                  </w:divBdr>
                </w:div>
                <w:div w:id="513350155">
                  <w:marLeft w:val="0"/>
                  <w:marRight w:val="0"/>
                  <w:marTop w:val="0"/>
                  <w:marBottom w:val="150"/>
                  <w:divBdr>
                    <w:top w:val="none" w:sz="0" w:space="0" w:color="auto"/>
                    <w:left w:val="none" w:sz="0" w:space="0" w:color="auto"/>
                    <w:bottom w:val="none" w:sz="0" w:space="0" w:color="auto"/>
                    <w:right w:val="none" w:sz="0" w:space="0" w:color="auto"/>
                  </w:divBdr>
                </w:div>
                <w:div w:id="530998025">
                  <w:marLeft w:val="0"/>
                  <w:marRight w:val="0"/>
                  <w:marTop w:val="0"/>
                  <w:marBottom w:val="150"/>
                  <w:divBdr>
                    <w:top w:val="none" w:sz="0" w:space="0" w:color="auto"/>
                    <w:left w:val="none" w:sz="0" w:space="0" w:color="auto"/>
                    <w:bottom w:val="none" w:sz="0" w:space="0" w:color="auto"/>
                    <w:right w:val="none" w:sz="0" w:space="0" w:color="auto"/>
                  </w:divBdr>
                  <w:divsChild>
                    <w:div w:id="1012336894">
                      <w:marLeft w:val="0"/>
                      <w:marRight w:val="0"/>
                      <w:marTop w:val="0"/>
                      <w:marBottom w:val="150"/>
                      <w:divBdr>
                        <w:top w:val="none" w:sz="0" w:space="0" w:color="auto"/>
                        <w:left w:val="none" w:sz="0" w:space="0" w:color="auto"/>
                        <w:bottom w:val="none" w:sz="0" w:space="0" w:color="auto"/>
                        <w:right w:val="none" w:sz="0" w:space="0" w:color="auto"/>
                      </w:divBdr>
                    </w:div>
                    <w:div w:id="1988701985">
                      <w:marLeft w:val="0"/>
                      <w:marRight w:val="0"/>
                      <w:marTop w:val="0"/>
                      <w:marBottom w:val="150"/>
                      <w:divBdr>
                        <w:top w:val="none" w:sz="0" w:space="0" w:color="auto"/>
                        <w:left w:val="none" w:sz="0" w:space="0" w:color="auto"/>
                        <w:bottom w:val="none" w:sz="0" w:space="0" w:color="auto"/>
                        <w:right w:val="none" w:sz="0" w:space="0" w:color="auto"/>
                      </w:divBdr>
                    </w:div>
                  </w:divsChild>
                </w:div>
                <w:div w:id="576287749">
                  <w:marLeft w:val="0"/>
                  <w:marRight w:val="0"/>
                  <w:marTop w:val="0"/>
                  <w:marBottom w:val="150"/>
                  <w:divBdr>
                    <w:top w:val="none" w:sz="0" w:space="0" w:color="auto"/>
                    <w:left w:val="none" w:sz="0" w:space="0" w:color="auto"/>
                    <w:bottom w:val="none" w:sz="0" w:space="0" w:color="auto"/>
                    <w:right w:val="none" w:sz="0" w:space="0" w:color="auto"/>
                  </w:divBdr>
                </w:div>
                <w:div w:id="587538022">
                  <w:marLeft w:val="0"/>
                  <w:marRight w:val="0"/>
                  <w:marTop w:val="0"/>
                  <w:marBottom w:val="150"/>
                  <w:divBdr>
                    <w:top w:val="none" w:sz="0" w:space="0" w:color="auto"/>
                    <w:left w:val="none" w:sz="0" w:space="0" w:color="auto"/>
                    <w:bottom w:val="none" w:sz="0" w:space="0" w:color="auto"/>
                    <w:right w:val="none" w:sz="0" w:space="0" w:color="auto"/>
                  </w:divBdr>
                </w:div>
                <w:div w:id="593787344">
                  <w:marLeft w:val="0"/>
                  <w:marRight w:val="0"/>
                  <w:marTop w:val="0"/>
                  <w:marBottom w:val="150"/>
                  <w:divBdr>
                    <w:top w:val="none" w:sz="0" w:space="0" w:color="auto"/>
                    <w:left w:val="none" w:sz="0" w:space="0" w:color="auto"/>
                    <w:bottom w:val="none" w:sz="0" w:space="0" w:color="auto"/>
                    <w:right w:val="none" w:sz="0" w:space="0" w:color="auto"/>
                  </w:divBdr>
                </w:div>
                <w:div w:id="629362427">
                  <w:marLeft w:val="0"/>
                  <w:marRight w:val="0"/>
                  <w:marTop w:val="0"/>
                  <w:marBottom w:val="150"/>
                  <w:divBdr>
                    <w:top w:val="none" w:sz="0" w:space="0" w:color="auto"/>
                    <w:left w:val="none" w:sz="0" w:space="0" w:color="auto"/>
                    <w:bottom w:val="none" w:sz="0" w:space="0" w:color="auto"/>
                    <w:right w:val="none" w:sz="0" w:space="0" w:color="auto"/>
                  </w:divBdr>
                </w:div>
                <w:div w:id="657611162">
                  <w:marLeft w:val="0"/>
                  <w:marRight w:val="0"/>
                  <w:marTop w:val="0"/>
                  <w:marBottom w:val="150"/>
                  <w:divBdr>
                    <w:top w:val="none" w:sz="0" w:space="0" w:color="auto"/>
                    <w:left w:val="none" w:sz="0" w:space="0" w:color="auto"/>
                    <w:bottom w:val="none" w:sz="0" w:space="0" w:color="auto"/>
                    <w:right w:val="none" w:sz="0" w:space="0" w:color="auto"/>
                  </w:divBdr>
                </w:div>
                <w:div w:id="871646796">
                  <w:marLeft w:val="0"/>
                  <w:marRight w:val="0"/>
                  <w:marTop w:val="0"/>
                  <w:marBottom w:val="150"/>
                  <w:divBdr>
                    <w:top w:val="none" w:sz="0" w:space="0" w:color="auto"/>
                    <w:left w:val="none" w:sz="0" w:space="0" w:color="auto"/>
                    <w:bottom w:val="none" w:sz="0" w:space="0" w:color="auto"/>
                    <w:right w:val="none" w:sz="0" w:space="0" w:color="auto"/>
                  </w:divBdr>
                </w:div>
                <w:div w:id="920793647">
                  <w:marLeft w:val="0"/>
                  <w:marRight w:val="0"/>
                  <w:marTop w:val="0"/>
                  <w:marBottom w:val="150"/>
                  <w:divBdr>
                    <w:top w:val="none" w:sz="0" w:space="0" w:color="auto"/>
                    <w:left w:val="none" w:sz="0" w:space="0" w:color="auto"/>
                    <w:bottom w:val="none" w:sz="0" w:space="0" w:color="auto"/>
                    <w:right w:val="none" w:sz="0" w:space="0" w:color="auto"/>
                  </w:divBdr>
                </w:div>
                <w:div w:id="1062874689">
                  <w:marLeft w:val="0"/>
                  <w:marRight w:val="0"/>
                  <w:marTop w:val="0"/>
                  <w:marBottom w:val="150"/>
                  <w:divBdr>
                    <w:top w:val="none" w:sz="0" w:space="0" w:color="auto"/>
                    <w:left w:val="none" w:sz="0" w:space="0" w:color="auto"/>
                    <w:bottom w:val="none" w:sz="0" w:space="0" w:color="auto"/>
                    <w:right w:val="none" w:sz="0" w:space="0" w:color="auto"/>
                  </w:divBdr>
                </w:div>
                <w:div w:id="1100446211">
                  <w:marLeft w:val="0"/>
                  <w:marRight w:val="0"/>
                  <w:marTop w:val="0"/>
                  <w:marBottom w:val="150"/>
                  <w:divBdr>
                    <w:top w:val="none" w:sz="0" w:space="0" w:color="auto"/>
                    <w:left w:val="none" w:sz="0" w:space="0" w:color="auto"/>
                    <w:bottom w:val="none" w:sz="0" w:space="0" w:color="auto"/>
                    <w:right w:val="none" w:sz="0" w:space="0" w:color="auto"/>
                  </w:divBdr>
                </w:div>
                <w:div w:id="1166630175">
                  <w:marLeft w:val="0"/>
                  <w:marRight w:val="0"/>
                  <w:marTop w:val="0"/>
                  <w:marBottom w:val="150"/>
                  <w:divBdr>
                    <w:top w:val="none" w:sz="0" w:space="0" w:color="auto"/>
                    <w:left w:val="none" w:sz="0" w:space="0" w:color="auto"/>
                    <w:bottom w:val="none" w:sz="0" w:space="0" w:color="auto"/>
                    <w:right w:val="none" w:sz="0" w:space="0" w:color="auto"/>
                  </w:divBdr>
                </w:div>
                <w:div w:id="1173061114">
                  <w:marLeft w:val="0"/>
                  <w:marRight w:val="0"/>
                  <w:marTop w:val="0"/>
                  <w:marBottom w:val="150"/>
                  <w:divBdr>
                    <w:top w:val="none" w:sz="0" w:space="0" w:color="auto"/>
                    <w:left w:val="none" w:sz="0" w:space="0" w:color="auto"/>
                    <w:bottom w:val="none" w:sz="0" w:space="0" w:color="auto"/>
                    <w:right w:val="none" w:sz="0" w:space="0" w:color="auto"/>
                  </w:divBdr>
                </w:div>
                <w:div w:id="1269506382">
                  <w:marLeft w:val="0"/>
                  <w:marRight w:val="0"/>
                  <w:marTop w:val="0"/>
                  <w:marBottom w:val="150"/>
                  <w:divBdr>
                    <w:top w:val="none" w:sz="0" w:space="0" w:color="auto"/>
                    <w:left w:val="none" w:sz="0" w:space="0" w:color="auto"/>
                    <w:bottom w:val="none" w:sz="0" w:space="0" w:color="auto"/>
                    <w:right w:val="none" w:sz="0" w:space="0" w:color="auto"/>
                  </w:divBdr>
                </w:div>
                <w:div w:id="1292327343">
                  <w:marLeft w:val="0"/>
                  <w:marRight w:val="0"/>
                  <w:marTop w:val="0"/>
                  <w:marBottom w:val="150"/>
                  <w:divBdr>
                    <w:top w:val="none" w:sz="0" w:space="0" w:color="auto"/>
                    <w:left w:val="none" w:sz="0" w:space="0" w:color="auto"/>
                    <w:bottom w:val="none" w:sz="0" w:space="0" w:color="auto"/>
                    <w:right w:val="none" w:sz="0" w:space="0" w:color="auto"/>
                  </w:divBdr>
                </w:div>
                <w:div w:id="1303270810">
                  <w:marLeft w:val="0"/>
                  <w:marRight w:val="0"/>
                  <w:marTop w:val="0"/>
                  <w:marBottom w:val="150"/>
                  <w:divBdr>
                    <w:top w:val="none" w:sz="0" w:space="0" w:color="auto"/>
                    <w:left w:val="none" w:sz="0" w:space="0" w:color="auto"/>
                    <w:bottom w:val="none" w:sz="0" w:space="0" w:color="auto"/>
                    <w:right w:val="none" w:sz="0" w:space="0" w:color="auto"/>
                  </w:divBdr>
                </w:div>
                <w:div w:id="1331328435">
                  <w:marLeft w:val="0"/>
                  <w:marRight w:val="0"/>
                  <w:marTop w:val="0"/>
                  <w:marBottom w:val="150"/>
                  <w:divBdr>
                    <w:top w:val="none" w:sz="0" w:space="0" w:color="auto"/>
                    <w:left w:val="none" w:sz="0" w:space="0" w:color="auto"/>
                    <w:bottom w:val="none" w:sz="0" w:space="0" w:color="auto"/>
                    <w:right w:val="none" w:sz="0" w:space="0" w:color="auto"/>
                  </w:divBdr>
                </w:div>
                <w:div w:id="1458067702">
                  <w:marLeft w:val="0"/>
                  <w:marRight w:val="0"/>
                  <w:marTop w:val="0"/>
                  <w:marBottom w:val="150"/>
                  <w:divBdr>
                    <w:top w:val="none" w:sz="0" w:space="0" w:color="auto"/>
                    <w:left w:val="none" w:sz="0" w:space="0" w:color="auto"/>
                    <w:bottom w:val="none" w:sz="0" w:space="0" w:color="auto"/>
                    <w:right w:val="none" w:sz="0" w:space="0" w:color="auto"/>
                  </w:divBdr>
                </w:div>
                <w:div w:id="1465347526">
                  <w:marLeft w:val="0"/>
                  <w:marRight w:val="0"/>
                  <w:marTop w:val="0"/>
                  <w:marBottom w:val="150"/>
                  <w:divBdr>
                    <w:top w:val="none" w:sz="0" w:space="0" w:color="auto"/>
                    <w:left w:val="none" w:sz="0" w:space="0" w:color="auto"/>
                    <w:bottom w:val="none" w:sz="0" w:space="0" w:color="auto"/>
                    <w:right w:val="none" w:sz="0" w:space="0" w:color="auto"/>
                  </w:divBdr>
                </w:div>
                <w:div w:id="1510871786">
                  <w:marLeft w:val="0"/>
                  <w:marRight w:val="0"/>
                  <w:marTop w:val="0"/>
                  <w:marBottom w:val="150"/>
                  <w:divBdr>
                    <w:top w:val="none" w:sz="0" w:space="0" w:color="auto"/>
                    <w:left w:val="none" w:sz="0" w:space="0" w:color="auto"/>
                    <w:bottom w:val="none" w:sz="0" w:space="0" w:color="auto"/>
                    <w:right w:val="none" w:sz="0" w:space="0" w:color="auto"/>
                  </w:divBdr>
                </w:div>
                <w:div w:id="1531457098">
                  <w:marLeft w:val="0"/>
                  <w:marRight w:val="0"/>
                  <w:marTop w:val="0"/>
                  <w:marBottom w:val="150"/>
                  <w:divBdr>
                    <w:top w:val="none" w:sz="0" w:space="0" w:color="auto"/>
                    <w:left w:val="none" w:sz="0" w:space="0" w:color="auto"/>
                    <w:bottom w:val="none" w:sz="0" w:space="0" w:color="auto"/>
                    <w:right w:val="none" w:sz="0" w:space="0" w:color="auto"/>
                  </w:divBdr>
                </w:div>
                <w:div w:id="1721392432">
                  <w:marLeft w:val="0"/>
                  <w:marRight w:val="0"/>
                  <w:marTop w:val="0"/>
                  <w:marBottom w:val="150"/>
                  <w:divBdr>
                    <w:top w:val="none" w:sz="0" w:space="0" w:color="auto"/>
                    <w:left w:val="none" w:sz="0" w:space="0" w:color="auto"/>
                    <w:bottom w:val="none" w:sz="0" w:space="0" w:color="auto"/>
                    <w:right w:val="none" w:sz="0" w:space="0" w:color="auto"/>
                  </w:divBdr>
                </w:div>
                <w:div w:id="1840464371">
                  <w:marLeft w:val="0"/>
                  <w:marRight w:val="0"/>
                  <w:marTop w:val="0"/>
                  <w:marBottom w:val="150"/>
                  <w:divBdr>
                    <w:top w:val="none" w:sz="0" w:space="0" w:color="auto"/>
                    <w:left w:val="none" w:sz="0" w:space="0" w:color="auto"/>
                    <w:bottom w:val="none" w:sz="0" w:space="0" w:color="auto"/>
                    <w:right w:val="none" w:sz="0" w:space="0" w:color="auto"/>
                  </w:divBdr>
                </w:div>
                <w:div w:id="1846941610">
                  <w:marLeft w:val="0"/>
                  <w:marRight w:val="0"/>
                  <w:marTop w:val="0"/>
                  <w:marBottom w:val="150"/>
                  <w:divBdr>
                    <w:top w:val="none" w:sz="0" w:space="0" w:color="auto"/>
                    <w:left w:val="none" w:sz="0" w:space="0" w:color="auto"/>
                    <w:bottom w:val="none" w:sz="0" w:space="0" w:color="auto"/>
                    <w:right w:val="none" w:sz="0" w:space="0" w:color="auto"/>
                  </w:divBdr>
                </w:div>
                <w:div w:id="1940746862">
                  <w:marLeft w:val="0"/>
                  <w:marRight w:val="0"/>
                  <w:marTop w:val="0"/>
                  <w:marBottom w:val="150"/>
                  <w:divBdr>
                    <w:top w:val="none" w:sz="0" w:space="0" w:color="auto"/>
                    <w:left w:val="none" w:sz="0" w:space="0" w:color="auto"/>
                    <w:bottom w:val="none" w:sz="0" w:space="0" w:color="auto"/>
                    <w:right w:val="none" w:sz="0" w:space="0" w:color="auto"/>
                  </w:divBdr>
                </w:div>
                <w:div w:id="1945725082">
                  <w:marLeft w:val="0"/>
                  <w:marRight w:val="0"/>
                  <w:marTop w:val="0"/>
                  <w:marBottom w:val="150"/>
                  <w:divBdr>
                    <w:top w:val="none" w:sz="0" w:space="0" w:color="auto"/>
                    <w:left w:val="none" w:sz="0" w:space="0" w:color="auto"/>
                    <w:bottom w:val="none" w:sz="0" w:space="0" w:color="auto"/>
                    <w:right w:val="none" w:sz="0" w:space="0" w:color="auto"/>
                  </w:divBdr>
                </w:div>
                <w:div w:id="1967927650">
                  <w:marLeft w:val="0"/>
                  <w:marRight w:val="0"/>
                  <w:marTop w:val="0"/>
                  <w:marBottom w:val="150"/>
                  <w:divBdr>
                    <w:top w:val="none" w:sz="0" w:space="0" w:color="auto"/>
                    <w:left w:val="none" w:sz="0" w:space="0" w:color="auto"/>
                    <w:bottom w:val="none" w:sz="0" w:space="0" w:color="auto"/>
                    <w:right w:val="none" w:sz="0" w:space="0" w:color="auto"/>
                  </w:divBdr>
                </w:div>
                <w:div w:id="1994529386">
                  <w:marLeft w:val="0"/>
                  <w:marRight w:val="0"/>
                  <w:marTop w:val="0"/>
                  <w:marBottom w:val="150"/>
                  <w:divBdr>
                    <w:top w:val="none" w:sz="0" w:space="0" w:color="auto"/>
                    <w:left w:val="none" w:sz="0" w:space="0" w:color="auto"/>
                    <w:bottom w:val="none" w:sz="0" w:space="0" w:color="auto"/>
                    <w:right w:val="none" w:sz="0" w:space="0" w:color="auto"/>
                  </w:divBdr>
                </w:div>
                <w:div w:id="2097290049">
                  <w:marLeft w:val="0"/>
                  <w:marRight w:val="0"/>
                  <w:marTop w:val="0"/>
                  <w:marBottom w:val="150"/>
                  <w:divBdr>
                    <w:top w:val="none" w:sz="0" w:space="0" w:color="auto"/>
                    <w:left w:val="none" w:sz="0" w:space="0" w:color="auto"/>
                    <w:bottom w:val="none" w:sz="0" w:space="0" w:color="auto"/>
                    <w:right w:val="none" w:sz="0" w:space="0" w:color="auto"/>
                  </w:divBdr>
                </w:div>
              </w:divsChild>
            </w:div>
            <w:div w:id="1791168831">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1837763066">
      <w:bodyDiv w:val="1"/>
      <w:marLeft w:val="0"/>
      <w:marRight w:val="0"/>
      <w:marTop w:val="0"/>
      <w:marBottom w:val="0"/>
      <w:divBdr>
        <w:top w:val="none" w:sz="0" w:space="0" w:color="auto"/>
        <w:left w:val="none" w:sz="0" w:space="0" w:color="auto"/>
        <w:bottom w:val="none" w:sz="0" w:space="0" w:color="auto"/>
        <w:right w:val="none" w:sz="0" w:space="0" w:color="auto"/>
      </w:divBdr>
      <w:divsChild>
        <w:div w:id="403916524">
          <w:marLeft w:val="0"/>
          <w:marRight w:val="0"/>
          <w:marTop w:val="0"/>
          <w:marBottom w:val="0"/>
          <w:divBdr>
            <w:top w:val="none" w:sz="0" w:space="0" w:color="auto"/>
            <w:left w:val="none" w:sz="0" w:space="0" w:color="auto"/>
            <w:bottom w:val="none" w:sz="0" w:space="0" w:color="auto"/>
            <w:right w:val="none" w:sz="0" w:space="0" w:color="auto"/>
          </w:divBdr>
          <w:divsChild>
            <w:div w:id="1575819119">
              <w:marLeft w:val="0"/>
              <w:marRight w:val="0"/>
              <w:marTop w:val="0"/>
              <w:marBottom w:val="0"/>
              <w:divBdr>
                <w:top w:val="none" w:sz="0" w:space="0" w:color="auto"/>
                <w:left w:val="none" w:sz="0" w:space="0" w:color="auto"/>
                <w:bottom w:val="none" w:sz="0" w:space="0" w:color="auto"/>
                <w:right w:val="none" w:sz="0" w:space="0" w:color="auto"/>
              </w:divBdr>
            </w:div>
          </w:divsChild>
        </w:div>
        <w:div w:id="1412506198">
          <w:marLeft w:val="0"/>
          <w:marRight w:val="0"/>
          <w:marTop w:val="0"/>
          <w:marBottom w:val="150"/>
          <w:divBdr>
            <w:top w:val="none" w:sz="0" w:space="0" w:color="auto"/>
            <w:left w:val="none" w:sz="0" w:space="0" w:color="auto"/>
            <w:bottom w:val="none" w:sz="0" w:space="0" w:color="auto"/>
            <w:right w:val="none" w:sz="0" w:space="0" w:color="auto"/>
          </w:divBdr>
          <w:divsChild>
            <w:div w:id="2007859017">
              <w:marLeft w:val="0"/>
              <w:marRight w:val="0"/>
              <w:marTop w:val="0"/>
              <w:marBottom w:val="0"/>
              <w:divBdr>
                <w:top w:val="none" w:sz="0" w:space="0" w:color="auto"/>
                <w:left w:val="none" w:sz="0" w:space="0" w:color="auto"/>
                <w:bottom w:val="none" w:sz="0" w:space="0" w:color="auto"/>
                <w:right w:val="none" w:sz="0" w:space="0" w:color="auto"/>
              </w:divBdr>
            </w:div>
          </w:divsChild>
        </w:div>
        <w:div w:id="1542942145">
          <w:marLeft w:val="0"/>
          <w:marRight w:val="0"/>
          <w:marTop w:val="0"/>
          <w:marBottom w:val="150"/>
          <w:divBdr>
            <w:top w:val="none" w:sz="0" w:space="0" w:color="auto"/>
            <w:left w:val="none" w:sz="0" w:space="0" w:color="auto"/>
            <w:bottom w:val="none" w:sz="0" w:space="0" w:color="auto"/>
            <w:right w:val="none" w:sz="0" w:space="0" w:color="auto"/>
          </w:divBdr>
        </w:div>
      </w:divsChild>
    </w:div>
    <w:div w:id="1837916247">
      <w:bodyDiv w:val="1"/>
      <w:marLeft w:val="0"/>
      <w:marRight w:val="0"/>
      <w:marTop w:val="0"/>
      <w:marBottom w:val="0"/>
      <w:divBdr>
        <w:top w:val="none" w:sz="0" w:space="0" w:color="auto"/>
        <w:left w:val="none" w:sz="0" w:space="0" w:color="auto"/>
        <w:bottom w:val="none" w:sz="0" w:space="0" w:color="auto"/>
        <w:right w:val="none" w:sz="0" w:space="0" w:color="auto"/>
      </w:divBdr>
      <w:divsChild>
        <w:div w:id="863983067">
          <w:marLeft w:val="0"/>
          <w:marRight w:val="0"/>
          <w:marTop w:val="0"/>
          <w:marBottom w:val="300"/>
          <w:divBdr>
            <w:top w:val="none" w:sz="0" w:space="0" w:color="auto"/>
            <w:left w:val="none" w:sz="0" w:space="0" w:color="auto"/>
            <w:bottom w:val="single" w:sz="6" w:space="0" w:color="E4E4E4"/>
            <w:right w:val="none" w:sz="0" w:space="0" w:color="auto"/>
          </w:divBdr>
        </w:div>
        <w:div w:id="1115903817">
          <w:marLeft w:val="0"/>
          <w:marRight w:val="0"/>
          <w:marTop w:val="0"/>
          <w:marBottom w:val="375"/>
          <w:divBdr>
            <w:top w:val="none" w:sz="0" w:space="0" w:color="auto"/>
            <w:left w:val="none" w:sz="0" w:space="0" w:color="auto"/>
            <w:bottom w:val="single" w:sz="6" w:space="0" w:color="005494"/>
            <w:right w:val="none" w:sz="0" w:space="0" w:color="auto"/>
          </w:divBdr>
        </w:div>
        <w:div w:id="1846820304">
          <w:marLeft w:val="0"/>
          <w:marRight w:val="0"/>
          <w:marTop w:val="0"/>
          <w:marBottom w:val="0"/>
          <w:divBdr>
            <w:top w:val="none" w:sz="0" w:space="0" w:color="auto"/>
            <w:left w:val="none" w:sz="0" w:space="0" w:color="auto"/>
            <w:bottom w:val="none" w:sz="0" w:space="0" w:color="auto"/>
            <w:right w:val="none" w:sz="0" w:space="0" w:color="auto"/>
          </w:divBdr>
          <w:divsChild>
            <w:div w:id="1508209231">
              <w:marLeft w:val="0"/>
              <w:marRight w:val="0"/>
              <w:marTop w:val="0"/>
              <w:marBottom w:val="0"/>
              <w:divBdr>
                <w:top w:val="none" w:sz="0" w:space="0" w:color="auto"/>
                <w:left w:val="none" w:sz="0" w:space="0" w:color="auto"/>
                <w:bottom w:val="none" w:sz="0" w:space="0" w:color="auto"/>
                <w:right w:val="none" w:sz="0" w:space="0" w:color="auto"/>
              </w:divBdr>
              <w:divsChild>
                <w:div w:id="901987852">
                  <w:marLeft w:val="0"/>
                  <w:marRight w:val="0"/>
                  <w:marTop w:val="0"/>
                  <w:marBottom w:val="450"/>
                  <w:divBdr>
                    <w:top w:val="none" w:sz="0" w:space="0" w:color="auto"/>
                    <w:left w:val="none" w:sz="0" w:space="0" w:color="auto"/>
                    <w:bottom w:val="none" w:sz="0" w:space="0" w:color="auto"/>
                    <w:right w:val="none" w:sz="0" w:space="0" w:color="auto"/>
                  </w:divBdr>
                  <w:divsChild>
                    <w:div w:id="1049569925">
                      <w:marLeft w:val="0"/>
                      <w:marRight w:val="0"/>
                      <w:marTop w:val="0"/>
                      <w:marBottom w:val="0"/>
                      <w:divBdr>
                        <w:top w:val="none" w:sz="0" w:space="0" w:color="auto"/>
                        <w:left w:val="none" w:sz="0" w:space="0" w:color="auto"/>
                        <w:bottom w:val="none" w:sz="0" w:space="0" w:color="auto"/>
                        <w:right w:val="none" w:sz="0" w:space="0" w:color="auto"/>
                      </w:divBdr>
                      <w:divsChild>
                        <w:div w:id="1915509024">
                          <w:marLeft w:val="0"/>
                          <w:marRight w:val="0"/>
                          <w:marTop w:val="0"/>
                          <w:marBottom w:val="150"/>
                          <w:divBdr>
                            <w:top w:val="none" w:sz="0" w:space="0" w:color="auto"/>
                            <w:left w:val="none" w:sz="0" w:space="0" w:color="auto"/>
                            <w:bottom w:val="none" w:sz="0" w:space="0" w:color="auto"/>
                            <w:right w:val="none" w:sz="0" w:space="0" w:color="auto"/>
                          </w:divBdr>
                        </w:div>
                        <w:div w:id="1946768421">
                          <w:marLeft w:val="0"/>
                          <w:marRight w:val="0"/>
                          <w:marTop w:val="0"/>
                          <w:marBottom w:val="0"/>
                          <w:divBdr>
                            <w:top w:val="none" w:sz="0" w:space="0" w:color="auto"/>
                            <w:left w:val="none" w:sz="0" w:space="0" w:color="auto"/>
                            <w:bottom w:val="none" w:sz="0" w:space="0" w:color="auto"/>
                            <w:right w:val="none" w:sz="0" w:space="0" w:color="auto"/>
                          </w:divBdr>
                          <w:divsChild>
                            <w:div w:id="195273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250564">
                      <w:marLeft w:val="0"/>
                      <w:marRight w:val="0"/>
                      <w:marTop w:val="0"/>
                      <w:marBottom w:val="150"/>
                      <w:divBdr>
                        <w:top w:val="none" w:sz="0" w:space="0" w:color="auto"/>
                        <w:left w:val="none" w:sz="0" w:space="0" w:color="auto"/>
                        <w:bottom w:val="none" w:sz="0" w:space="0" w:color="auto"/>
                        <w:right w:val="none" w:sz="0" w:space="0" w:color="auto"/>
                      </w:divBdr>
                      <w:divsChild>
                        <w:div w:id="143374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960117">
      <w:bodyDiv w:val="1"/>
      <w:marLeft w:val="0"/>
      <w:marRight w:val="0"/>
      <w:marTop w:val="0"/>
      <w:marBottom w:val="0"/>
      <w:divBdr>
        <w:top w:val="none" w:sz="0" w:space="0" w:color="auto"/>
        <w:left w:val="none" w:sz="0" w:space="0" w:color="auto"/>
        <w:bottom w:val="none" w:sz="0" w:space="0" w:color="auto"/>
        <w:right w:val="none" w:sz="0" w:space="0" w:color="auto"/>
      </w:divBdr>
      <w:divsChild>
        <w:div w:id="4283047">
          <w:marLeft w:val="0"/>
          <w:marRight w:val="0"/>
          <w:marTop w:val="0"/>
          <w:marBottom w:val="0"/>
          <w:divBdr>
            <w:top w:val="none" w:sz="0" w:space="0" w:color="auto"/>
            <w:left w:val="none" w:sz="0" w:space="0" w:color="auto"/>
            <w:bottom w:val="none" w:sz="0" w:space="0" w:color="auto"/>
            <w:right w:val="none" w:sz="0" w:space="0" w:color="auto"/>
          </w:divBdr>
          <w:divsChild>
            <w:div w:id="917788468">
              <w:marLeft w:val="0"/>
              <w:marRight w:val="0"/>
              <w:marTop w:val="0"/>
              <w:marBottom w:val="0"/>
              <w:divBdr>
                <w:top w:val="none" w:sz="0" w:space="0" w:color="auto"/>
                <w:left w:val="none" w:sz="0" w:space="0" w:color="auto"/>
                <w:bottom w:val="none" w:sz="0" w:space="0" w:color="auto"/>
                <w:right w:val="none" w:sz="0" w:space="0" w:color="auto"/>
              </w:divBdr>
              <w:divsChild>
                <w:div w:id="1112673399">
                  <w:marLeft w:val="0"/>
                  <w:marRight w:val="0"/>
                  <w:marTop w:val="0"/>
                  <w:marBottom w:val="150"/>
                  <w:divBdr>
                    <w:top w:val="none" w:sz="0" w:space="0" w:color="auto"/>
                    <w:left w:val="none" w:sz="0" w:space="0" w:color="auto"/>
                    <w:bottom w:val="none" w:sz="0" w:space="0" w:color="auto"/>
                    <w:right w:val="none" w:sz="0" w:space="0" w:color="auto"/>
                  </w:divBdr>
                  <w:divsChild>
                    <w:div w:id="1021012958">
                      <w:marLeft w:val="0"/>
                      <w:marRight w:val="0"/>
                      <w:marTop w:val="0"/>
                      <w:marBottom w:val="0"/>
                      <w:divBdr>
                        <w:top w:val="none" w:sz="0" w:space="0" w:color="auto"/>
                        <w:left w:val="none" w:sz="0" w:space="0" w:color="auto"/>
                        <w:bottom w:val="none" w:sz="0" w:space="0" w:color="auto"/>
                        <w:right w:val="none" w:sz="0" w:space="0" w:color="auto"/>
                      </w:divBdr>
                      <w:divsChild>
                        <w:div w:id="2112388293">
                          <w:marLeft w:val="0"/>
                          <w:marRight w:val="0"/>
                          <w:marTop w:val="0"/>
                          <w:marBottom w:val="0"/>
                          <w:divBdr>
                            <w:top w:val="none" w:sz="0" w:space="0" w:color="auto"/>
                            <w:left w:val="none" w:sz="0" w:space="0" w:color="auto"/>
                            <w:bottom w:val="none" w:sz="0" w:space="0" w:color="auto"/>
                            <w:right w:val="none" w:sz="0" w:space="0" w:color="auto"/>
                          </w:divBdr>
                          <w:divsChild>
                            <w:div w:id="228852259">
                              <w:marLeft w:val="0"/>
                              <w:marRight w:val="0"/>
                              <w:marTop w:val="0"/>
                              <w:marBottom w:val="0"/>
                              <w:divBdr>
                                <w:top w:val="none" w:sz="0" w:space="0" w:color="auto"/>
                                <w:left w:val="none" w:sz="0" w:space="0" w:color="auto"/>
                                <w:bottom w:val="none" w:sz="0" w:space="0" w:color="auto"/>
                                <w:right w:val="none" w:sz="0" w:space="0" w:color="auto"/>
                              </w:divBdr>
                              <w:divsChild>
                                <w:div w:id="1228497707">
                                  <w:marLeft w:val="0"/>
                                  <w:marRight w:val="0"/>
                                  <w:marTop w:val="0"/>
                                  <w:marBottom w:val="0"/>
                                  <w:divBdr>
                                    <w:top w:val="none" w:sz="0" w:space="0" w:color="auto"/>
                                    <w:left w:val="none" w:sz="0" w:space="0" w:color="auto"/>
                                    <w:bottom w:val="none" w:sz="0" w:space="0" w:color="auto"/>
                                    <w:right w:val="none" w:sz="0" w:space="0" w:color="auto"/>
                                  </w:divBdr>
                                  <w:divsChild>
                                    <w:div w:id="1389837935">
                                      <w:marLeft w:val="0"/>
                                      <w:marRight w:val="0"/>
                                      <w:marTop w:val="0"/>
                                      <w:marBottom w:val="0"/>
                                      <w:divBdr>
                                        <w:top w:val="none" w:sz="0" w:space="0" w:color="auto"/>
                                        <w:left w:val="none" w:sz="0" w:space="0" w:color="auto"/>
                                        <w:bottom w:val="none" w:sz="0" w:space="0" w:color="auto"/>
                                        <w:right w:val="none" w:sz="0" w:space="0" w:color="auto"/>
                                      </w:divBdr>
                                      <w:divsChild>
                                        <w:div w:id="604847083">
                                          <w:marLeft w:val="0"/>
                                          <w:marRight w:val="0"/>
                                          <w:marTop w:val="0"/>
                                          <w:marBottom w:val="0"/>
                                          <w:divBdr>
                                            <w:top w:val="none" w:sz="0" w:space="0" w:color="auto"/>
                                            <w:left w:val="none" w:sz="0" w:space="0" w:color="auto"/>
                                            <w:bottom w:val="none" w:sz="0" w:space="0" w:color="auto"/>
                                            <w:right w:val="none" w:sz="0" w:space="0" w:color="auto"/>
                                          </w:divBdr>
                                          <w:divsChild>
                                            <w:div w:id="1102646507">
                                              <w:marLeft w:val="0"/>
                                              <w:marRight w:val="0"/>
                                              <w:marTop w:val="0"/>
                                              <w:marBottom w:val="0"/>
                                              <w:divBdr>
                                                <w:top w:val="none" w:sz="0" w:space="0" w:color="auto"/>
                                                <w:left w:val="none" w:sz="0" w:space="0" w:color="auto"/>
                                                <w:bottom w:val="none" w:sz="0" w:space="0" w:color="auto"/>
                                                <w:right w:val="none" w:sz="0" w:space="0" w:color="auto"/>
                                              </w:divBdr>
                                              <w:divsChild>
                                                <w:div w:id="49029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8111226">
      <w:bodyDiv w:val="1"/>
      <w:marLeft w:val="0"/>
      <w:marRight w:val="0"/>
      <w:marTop w:val="0"/>
      <w:marBottom w:val="0"/>
      <w:divBdr>
        <w:top w:val="none" w:sz="0" w:space="0" w:color="auto"/>
        <w:left w:val="none" w:sz="0" w:space="0" w:color="auto"/>
        <w:bottom w:val="none" w:sz="0" w:space="0" w:color="auto"/>
        <w:right w:val="none" w:sz="0" w:space="0" w:color="auto"/>
      </w:divBdr>
      <w:divsChild>
        <w:div w:id="2104570456">
          <w:marLeft w:val="0"/>
          <w:marRight w:val="0"/>
          <w:marTop w:val="0"/>
          <w:marBottom w:val="0"/>
          <w:divBdr>
            <w:top w:val="none" w:sz="0" w:space="0" w:color="auto"/>
            <w:left w:val="none" w:sz="0" w:space="0" w:color="auto"/>
            <w:bottom w:val="none" w:sz="0" w:space="0" w:color="auto"/>
            <w:right w:val="none" w:sz="0" w:space="0" w:color="auto"/>
          </w:divBdr>
          <w:divsChild>
            <w:div w:id="1109087088">
              <w:marLeft w:val="0"/>
              <w:marRight w:val="0"/>
              <w:marTop w:val="0"/>
              <w:marBottom w:val="0"/>
              <w:divBdr>
                <w:top w:val="none" w:sz="0" w:space="0" w:color="auto"/>
                <w:left w:val="none" w:sz="0" w:space="0" w:color="auto"/>
                <w:bottom w:val="none" w:sz="0" w:space="0" w:color="auto"/>
                <w:right w:val="none" w:sz="0" w:space="0" w:color="auto"/>
              </w:divBdr>
              <w:divsChild>
                <w:div w:id="2132167110">
                  <w:marLeft w:val="0"/>
                  <w:marRight w:val="0"/>
                  <w:marTop w:val="0"/>
                  <w:marBottom w:val="0"/>
                  <w:divBdr>
                    <w:top w:val="none" w:sz="0" w:space="0" w:color="auto"/>
                    <w:left w:val="none" w:sz="0" w:space="0" w:color="auto"/>
                    <w:bottom w:val="none" w:sz="0" w:space="0" w:color="auto"/>
                    <w:right w:val="none" w:sz="0" w:space="0" w:color="auto"/>
                  </w:divBdr>
                  <w:divsChild>
                    <w:div w:id="826362094">
                      <w:marLeft w:val="0"/>
                      <w:marRight w:val="0"/>
                      <w:marTop w:val="0"/>
                      <w:marBottom w:val="0"/>
                      <w:divBdr>
                        <w:top w:val="none" w:sz="0" w:space="0" w:color="auto"/>
                        <w:left w:val="none" w:sz="0" w:space="0" w:color="auto"/>
                        <w:bottom w:val="none" w:sz="0" w:space="0" w:color="auto"/>
                        <w:right w:val="none" w:sz="0" w:space="0" w:color="auto"/>
                      </w:divBdr>
                      <w:divsChild>
                        <w:div w:id="389033855">
                          <w:marLeft w:val="0"/>
                          <w:marRight w:val="0"/>
                          <w:marTop w:val="0"/>
                          <w:marBottom w:val="0"/>
                          <w:divBdr>
                            <w:top w:val="none" w:sz="0" w:space="0" w:color="auto"/>
                            <w:left w:val="none" w:sz="0" w:space="0" w:color="auto"/>
                            <w:bottom w:val="none" w:sz="0" w:space="0" w:color="auto"/>
                            <w:right w:val="none" w:sz="0" w:space="0" w:color="auto"/>
                          </w:divBdr>
                          <w:divsChild>
                            <w:div w:id="1954631316">
                              <w:marLeft w:val="0"/>
                              <w:marRight w:val="0"/>
                              <w:marTop w:val="0"/>
                              <w:marBottom w:val="0"/>
                              <w:divBdr>
                                <w:top w:val="none" w:sz="0" w:space="0" w:color="auto"/>
                                <w:left w:val="none" w:sz="0" w:space="0" w:color="auto"/>
                                <w:bottom w:val="none" w:sz="0" w:space="0" w:color="auto"/>
                                <w:right w:val="none" w:sz="0" w:space="0" w:color="auto"/>
                              </w:divBdr>
                              <w:divsChild>
                                <w:div w:id="782305947">
                                  <w:marLeft w:val="0"/>
                                  <w:marRight w:val="0"/>
                                  <w:marTop w:val="0"/>
                                  <w:marBottom w:val="0"/>
                                  <w:divBdr>
                                    <w:top w:val="none" w:sz="0" w:space="0" w:color="auto"/>
                                    <w:left w:val="none" w:sz="0" w:space="0" w:color="auto"/>
                                    <w:bottom w:val="none" w:sz="0" w:space="0" w:color="auto"/>
                                    <w:right w:val="none" w:sz="0" w:space="0" w:color="auto"/>
                                  </w:divBdr>
                                  <w:divsChild>
                                    <w:div w:id="99773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8226391">
      <w:bodyDiv w:val="1"/>
      <w:marLeft w:val="0"/>
      <w:marRight w:val="0"/>
      <w:marTop w:val="0"/>
      <w:marBottom w:val="0"/>
      <w:divBdr>
        <w:top w:val="none" w:sz="0" w:space="0" w:color="auto"/>
        <w:left w:val="none" w:sz="0" w:space="0" w:color="auto"/>
        <w:bottom w:val="none" w:sz="0" w:space="0" w:color="auto"/>
        <w:right w:val="none" w:sz="0" w:space="0" w:color="auto"/>
      </w:divBdr>
      <w:divsChild>
        <w:div w:id="301152743">
          <w:marLeft w:val="0"/>
          <w:marRight w:val="0"/>
          <w:marTop w:val="0"/>
          <w:marBottom w:val="0"/>
          <w:divBdr>
            <w:top w:val="none" w:sz="0" w:space="0" w:color="auto"/>
            <w:left w:val="none" w:sz="0" w:space="0" w:color="auto"/>
            <w:bottom w:val="dotted" w:sz="6" w:space="4" w:color="DDDDDD"/>
            <w:right w:val="none" w:sz="0" w:space="0" w:color="auto"/>
          </w:divBdr>
          <w:divsChild>
            <w:div w:id="107304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574505">
      <w:bodyDiv w:val="1"/>
      <w:marLeft w:val="0"/>
      <w:marRight w:val="0"/>
      <w:marTop w:val="0"/>
      <w:marBottom w:val="0"/>
      <w:divBdr>
        <w:top w:val="none" w:sz="0" w:space="0" w:color="auto"/>
        <w:left w:val="none" w:sz="0" w:space="0" w:color="auto"/>
        <w:bottom w:val="none" w:sz="0" w:space="0" w:color="auto"/>
        <w:right w:val="none" w:sz="0" w:space="0" w:color="auto"/>
      </w:divBdr>
      <w:divsChild>
        <w:div w:id="296838898">
          <w:marLeft w:val="0"/>
          <w:marRight w:val="0"/>
          <w:marTop w:val="0"/>
          <w:marBottom w:val="0"/>
          <w:divBdr>
            <w:top w:val="none" w:sz="0" w:space="0" w:color="auto"/>
            <w:left w:val="none" w:sz="0" w:space="0" w:color="auto"/>
            <w:bottom w:val="none" w:sz="0" w:space="0" w:color="auto"/>
            <w:right w:val="none" w:sz="0" w:space="0" w:color="auto"/>
          </w:divBdr>
        </w:div>
      </w:divsChild>
    </w:div>
    <w:div w:id="1838960542">
      <w:bodyDiv w:val="1"/>
      <w:marLeft w:val="0"/>
      <w:marRight w:val="0"/>
      <w:marTop w:val="0"/>
      <w:marBottom w:val="0"/>
      <w:divBdr>
        <w:top w:val="none" w:sz="0" w:space="0" w:color="auto"/>
        <w:left w:val="none" w:sz="0" w:space="0" w:color="auto"/>
        <w:bottom w:val="none" w:sz="0" w:space="0" w:color="auto"/>
        <w:right w:val="none" w:sz="0" w:space="0" w:color="auto"/>
      </w:divBdr>
      <w:divsChild>
        <w:div w:id="1337420194">
          <w:marLeft w:val="0"/>
          <w:marRight w:val="0"/>
          <w:marTop w:val="0"/>
          <w:marBottom w:val="0"/>
          <w:divBdr>
            <w:top w:val="none" w:sz="0" w:space="0" w:color="auto"/>
            <w:left w:val="none" w:sz="0" w:space="0" w:color="auto"/>
            <w:bottom w:val="none" w:sz="0" w:space="0" w:color="auto"/>
            <w:right w:val="none" w:sz="0" w:space="0" w:color="auto"/>
          </w:divBdr>
          <w:divsChild>
            <w:div w:id="601650470">
              <w:marLeft w:val="0"/>
              <w:marRight w:val="0"/>
              <w:marTop w:val="0"/>
              <w:marBottom w:val="0"/>
              <w:divBdr>
                <w:top w:val="none" w:sz="0" w:space="0" w:color="auto"/>
                <w:left w:val="none" w:sz="0" w:space="0" w:color="auto"/>
                <w:bottom w:val="none" w:sz="0" w:space="0" w:color="auto"/>
                <w:right w:val="none" w:sz="0" w:space="0" w:color="auto"/>
              </w:divBdr>
            </w:div>
          </w:divsChild>
        </w:div>
        <w:div w:id="225343244">
          <w:marLeft w:val="0"/>
          <w:marRight w:val="0"/>
          <w:marTop w:val="0"/>
          <w:marBottom w:val="0"/>
          <w:divBdr>
            <w:top w:val="none" w:sz="0" w:space="0" w:color="auto"/>
            <w:left w:val="none" w:sz="0" w:space="0" w:color="auto"/>
            <w:bottom w:val="none" w:sz="0" w:space="0" w:color="auto"/>
            <w:right w:val="none" w:sz="0" w:space="0" w:color="auto"/>
          </w:divBdr>
        </w:div>
        <w:div w:id="317349290">
          <w:marLeft w:val="0"/>
          <w:marRight w:val="0"/>
          <w:marTop w:val="0"/>
          <w:marBottom w:val="0"/>
          <w:divBdr>
            <w:top w:val="none" w:sz="0" w:space="0" w:color="auto"/>
            <w:left w:val="none" w:sz="0" w:space="0" w:color="auto"/>
            <w:bottom w:val="none" w:sz="0" w:space="0" w:color="auto"/>
            <w:right w:val="none" w:sz="0" w:space="0" w:color="auto"/>
          </w:divBdr>
          <w:divsChild>
            <w:div w:id="1539275568">
              <w:marLeft w:val="-225"/>
              <w:marRight w:val="-225"/>
              <w:marTop w:val="0"/>
              <w:marBottom w:val="0"/>
              <w:divBdr>
                <w:top w:val="none" w:sz="0" w:space="0" w:color="auto"/>
                <w:left w:val="none" w:sz="0" w:space="0" w:color="auto"/>
                <w:bottom w:val="none" w:sz="0" w:space="0" w:color="auto"/>
                <w:right w:val="none" w:sz="0" w:space="0" w:color="auto"/>
              </w:divBdr>
              <w:divsChild>
                <w:div w:id="1641180642">
                  <w:marLeft w:val="0"/>
                  <w:marRight w:val="0"/>
                  <w:marTop w:val="0"/>
                  <w:marBottom w:val="0"/>
                  <w:divBdr>
                    <w:top w:val="none" w:sz="0" w:space="0" w:color="auto"/>
                    <w:left w:val="none" w:sz="0" w:space="0" w:color="auto"/>
                    <w:bottom w:val="none" w:sz="0" w:space="0" w:color="auto"/>
                    <w:right w:val="single" w:sz="6" w:space="0" w:color="000000"/>
                  </w:divBdr>
                  <w:divsChild>
                    <w:div w:id="674112831">
                      <w:marLeft w:val="0"/>
                      <w:marRight w:val="0"/>
                      <w:marTop w:val="0"/>
                      <w:marBottom w:val="0"/>
                      <w:divBdr>
                        <w:top w:val="none" w:sz="0" w:space="0" w:color="auto"/>
                        <w:left w:val="none" w:sz="0" w:space="0" w:color="auto"/>
                        <w:bottom w:val="none" w:sz="0" w:space="0" w:color="auto"/>
                        <w:right w:val="none" w:sz="0" w:space="0" w:color="auto"/>
                      </w:divBdr>
                      <w:divsChild>
                        <w:div w:id="637420997">
                          <w:marLeft w:val="0"/>
                          <w:marRight w:val="0"/>
                          <w:marTop w:val="0"/>
                          <w:marBottom w:val="0"/>
                          <w:divBdr>
                            <w:top w:val="none" w:sz="0" w:space="0" w:color="auto"/>
                            <w:left w:val="none" w:sz="0" w:space="0" w:color="auto"/>
                            <w:bottom w:val="none" w:sz="0" w:space="0" w:color="auto"/>
                            <w:right w:val="none" w:sz="0" w:space="0" w:color="auto"/>
                          </w:divBdr>
                        </w:div>
                        <w:div w:id="920019090">
                          <w:marLeft w:val="0"/>
                          <w:marRight w:val="0"/>
                          <w:marTop w:val="0"/>
                          <w:marBottom w:val="0"/>
                          <w:divBdr>
                            <w:top w:val="none" w:sz="0" w:space="0" w:color="auto"/>
                            <w:left w:val="none" w:sz="0" w:space="0" w:color="auto"/>
                            <w:bottom w:val="none" w:sz="0" w:space="0" w:color="auto"/>
                            <w:right w:val="none" w:sz="0" w:space="0" w:color="auto"/>
                          </w:divBdr>
                        </w:div>
                        <w:div w:id="1756244713">
                          <w:marLeft w:val="0"/>
                          <w:marRight w:val="0"/>
                          <w:marTop w:val="0"/>
                          <w:marBottom w:val="0"/>
                          <w:divBdr>
                            <w:top w:val="none" w:sz="0" w:space="0" w:color="auto"/>
                            <w:left w:val="none" w:sz="0" w:space="0" w:color="auto"/>
                            <w:bottom w:val="none" w:sz="0" w:space="0" w:color="auto"/>
                            <w:right w:val="none" w:sz="0" w:space="0" w:color="auto"/>
                          </w:divBdr>
                        </w:div>
                        <w:div w:id="1033111796">
                          <w:marLeft w:val="0"/>
                          <w:marRight w:val="0"/>
                          <w:marTop w:val="0"/>
                          <w:marBottom w:val="0"/>
                          <w:divBdr>
                            <w:top w:val="none" w:sz="0" w:space="0" w:color="auto"/>
                            <w:left w:val="none" w:sz="0" w:space="0" w:color="auto"/>
                            <w:bottom w:val="none" w:sz="0" w:space="0" w:color="auto"/>
                            <w:right w:val="none" w:sz="0" w:space="0" w:color="auto"/>
                          </w:divBdr>
                        </w:div>
                        <w:div w:id="34629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99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035393">
      <w:bodyDiv w:val="1"/>
      <w:marLeft w:val="0"/>
      <w:marRight w:val="0"/>
      <w:marTop w:val="0"/>
      <w:marBottom w:val="0"/>
      <w:divBdr>
        <w:top w:val="none" w:sz="0" w:space="0" w:color="auto"/>
        <w:left w:val="none" w:sz="0" w:space="0" w:color="auto"/>
        <w:bottom w:val="none" w:sz="0" w:space="0" w:color="auto"/>
        <w:right w:val="none" w:sz="0" w:space="0" w:color="auto"/>
      </w:divBdr>
      <w:divsChild>
        <w:div w:id="136849594">
          <w:marLeft w:val="0"/>
          <w:marRight w:val="0"/>
          <w:marTop w:val="0"/>
          <w:marBottom w:val="0"/>
          <w:divBdr>
            <w:top w:val="none" w:sz="0" w:space="0" w:color="auto"/>
            <w:left w:val="none" w:sz="0" w:space="0" w:color="auto"/>
            <w:bottom w:val="none" w:sz="0" w:space="0" w:color="auto"/>
            <w:right w:val="none" w:sz="0" w:space="0" w:color="auto"/>
          </w:divBdr>
        </w:div>
      </w:divsChild>
    </w:div>
    <w:div w:id="1839072745">
      <w:bodyDiv w:val="1"/>
      <w:marLeft w:val="0"/>
      <w:marRight w:val="0"/>
      <w:marTop w:val="0"/>
      <w:marBottom w:val="0"/>
      <w:divBdr>
        <w:top w:val="none" w:sz="0" w:space="0" w:color="auto"/>
        <w:left w:val="none" w:sz="0" w:space="0" w:color="auto"/>
        <w:bottom w:val="none" w:sz="0" w:space="0" w:color="auto"/>
        <w:right w:val="none" w:sz="0" w:space="0" w:color="auto"/>
      </w:divBdr>
    </w:div>
    <w:div w:id="1839228738">
      <w:bodyDiv w:val="1"/>
      <w:marLeft w:val="0"/>
      <w:marRight w:val="0"/>
      <w:marTop w:val="0"/>
      <w:marBottom w:val="0"/>
      <w:divBdr>
        <w:top w:val="none" w:sz="0" w:space="0" w:color="auto"/>
        <w:left w:val="none" w:sz="0" w:space="0" w:color="auto"/>
        <w:bottom w:val="none" w:sz="0" w:space="0" w:color="auto"/>
        <w:right w:val="none" w:sz="0" w:space="0" w:color="auto"/>
      </w:divBdr>
    </w:div>
    <w:div w:id="1839879616">
      <w:bodyDiv w:val="1"/>
      <w:marLeft w:val="0"/>
      <w:marRight w:val="0"/>
      <w:marTop w:val="0"/>
      <w:marBottom w:val="0"/>
      <w:divBdr>
        <w:top w:val="none" w:sz="0" w:space="0" w:color="auto"/>
        <w:left w:val="none" w:sz="0" w:space="0" w:color="auto"/>
        <w:bottom w:val="none" w:sz="0" w:space="0" w:color="auto"/>
        <w:right w:val="none" w:sz="0" w:space="0" w:color="auto"/>
      </w:divBdr>
      <w:divsChild>
        <w:div w:id="1571115627">
          <w:marLeft w:val="0"/>
          <w:marRight w:val="0"/>
          <w:marTop w:val="0"/>
          <w:marBottom w:val="0"/>
          <w:divBdr>
            <w:top w:val="none" w:sz="0" w:space="0" w:color="auto"/>
            <w:left w:val="none" w:sz="0" w:space="0" w:color="auto"/>
            <w:bottom w:val="none" w:sz="0" w:space="0" w:color="auto"/>
            <w:right w:val="none" w:sz="0" w:space="0" w:color="auto"/>
          </w:divBdr>
          <w:divsChild>
            <w:div w:id="2085909221">
              <w:marLeft w:val="0"/>
              <w:marRight w:val="0"/>
              <w:marTop w:val="0"/>
              <w:marBottom w:val="0"/>
              <w:divBdr>
                <w:top w:val="none" w:sz="0" w:space="0" w:color="auto"/>
                <w:left w:val="none" w:sz="0" w:space="0" w:color="auto"/>
                <w:bottom w:val="none" w:sz="0" w:space="0" w:color="auto"/>
                <w:right w:val="none" w:sz="0" w:space="0" w:color="auto"/>
              </w:divBdr>
              <w:divsChild>
                <w:div w:id="1795949491">
                  <w:marLeft w:val="0"/>
                  <w:marRight w:val="0"/>
                  <w:marTop w:val="0"/>
                  <w:marBottom w:val="150"/>
                  <w:divBdr>
                    <w:top w:val="none" w:sz="0" w:space="0" w:color="auto"/>
                    <w:left w:val="none" w:sz="0" w:space="0" w:color="auto"/>
                    <w:bottom w:val="none" w:sz="0" w:space="0" w:color="auto"/>
                    <w:right w:val="none" w:sz="0" w:space="0" w:color="auto"/>
                  </w:divBdr>
                  <w:divsChild>
                    <w:div w:id="1620333747">
                      <w:marLeft w:val="0"/>
                      <w:marRight w:val="0"/>
                      <w:marTop w:val="0"/>
                      <w:marBottom w:val="0"/>
                      <w:divBdr>
                        <w:top w:val="none" w:sz="0" w:space="0" w:color="auto"/>
                        <w:left w:val="none" w:sz="0" w:space="0" w:color="auto"/>
                        <w:bottom w:val="none" w:sz="0" w:space="0" w:color="auto"/>
                        <w:right w:val="none" w:sz="0" w:space="0" w:color="auto"/>
                      </w:divBdr>
                      <w:divsChild>
                        <w:div w:id="1692563307">
                          <w:marLeft w:val="0"/>
                          <w:marRight w:val="0"/>
                          <w:marTop w:val="0"/>
                          <w:marBottom w:val="0"/>
                          <w:divBdr>
                            <w:top w:val="none" w:sz="0" w:space="0" w:color="auto"/>
                            <w:left w:val="none" w:sz="0" w:space="0" w:color="auto"/>
                            <w:bottom w:val="none" w:sz="0" w:space="0" w:color="auto"/>
                            <w:right w:val="none" w:sz="0" w:space="0" w:color="auto"/>
                          </w:divBdr>
                          <w:divsChild>
                            <w:div w:id="716516414">
                              <w:marLeft w:val="0"/>
                              <w:marRight w:val="0"/>
                              <w:marTop w:val="0"/>
                              <w:marBottom w:val="0"/>
                              <w:divBdr>
                                <w:top w:val="none" w:sz="0" w:space="0" w:color="auto"/>
                                <w:left w:val="none" w:sz="0" w:space="0" w:color="auto"/>
                                <w:bottom w:val="none" w:sz="0" w:space="0" w:color="auto"/>
                                <w:right w:val="none" w:sz="0" w:space="0" w:color="auto"/>
                              </w:divBdr>
                              <w:divsChild>
                                <w:div w:id="2137480700">
                                  <w:marLeft w:val="0"/>
                                  <w:marRight w:val="0"/>
                                  <w:marTop w:val="0"/>
                                  <w:marBottom w:val="0"/>
                                  <w:divBdr>
                                    <w:top w:val="none" w:sz="0" w:space="0" w:color="auto"/>
                                    <w:left w:val="none" w:sz="0" w:space="0" w:color="auto"/>
                                    <w:bottom w:val="none" w:sz="0" w:space="0" w:color="auto"/>
                                    <w:right w:val="none" w:sz="0" w:space="0" w:color="auto"/>
                                  </w:divBdr>
                                  <w:divsChild>
                                    <w:div w:id="790981269">
                                      <w:marLeft w:val="0"/>
                                      <w:marRight w:val="0"/>
                                      <w:marTop w:val="0"/>
                                      <w:marBottom w:val="0"/>
                                      <w:divBdr>
                                        <w:top w:val="none" w:sz="0" w:space="0" w:color="auto"/>
                                        <w:left w:val="none" w:sz="0" w:space="0" w:color="auto"/>
                                        <w:bottom w:val="none" w:sz="0" w:space="0" w:color="auto"/>
                                        <w:right w:val="none" w:sz="0" w:space="0" w:color="auto"/>
                                      </w:divBdr>
                                      <w:divsChild>
                                        <w:div w:id="648751335">
                                          <w:marLeft w:val="0"/>
                                          <w:marRight w:val="0"/>
                                          <w:marTop w:val="0"/>
                                          <w:marBottom w:val="0"/>
                                          <w:divBdr>
                                            <w:top w:val="none" w:sz="0" w:space="0" w:color="auto"/>
                                            <w:left w:val="none" w:sz="0" w:space="0" w:color="auto"/>
                                            <w:bottom w:val="none" w:sz="0" w:space="0" w:color="auto"/>
                                            <w:right w:val="none" w:sz="0" w:space="0" w:color="auto"/>
                                          </w:divBdr>
                                          <w:divsChild>
                                            <w:div w:id="1386489139">
                                              <w:marLeft w:val="0"/>
                                              <w:marRight w:val="0"/>
                                              <w:marTop w:val="0"/>
                                              <w:marBottom w:val="0"/>
                                              <w:divBdr>
                                                <w:top w:val="none" w:sz="0" w:space="0" w:color="auto"/>
                                                <w:left w:val="none" w:sz="0" w:space="0" w:color="auto"/>
                                                <w:bottom w:val="none" w:sz="0" w:space="0" w:color="auto"/>
                                                <w:right w:val="none" w:sz="0" w:space="0" w:color="auto"/>
                                              </w:divBdr>
                                              <w:divsChild>
                                                <w:div w:id="19065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0735213">
      <w:bodyDiv w:val="1"/>
      <w:marLeft w:val="0"/>
      <w:marRight w:val="0"/>
      <w:marTop w:val="0"/>
      <w:marBottom w:val="0"/>
      <w:divBdr>
        <w:top w:val="none" w:sz="0" w:space="0" w:color="auto"/>
        <w:left w:val="none" w:sz="0" w:space="0" w:color="auto"/>
        <w:bottom w:val="none" w:sz="0" w:space="0" w:color="auto"/>
        <w:right w:val="none" w:sz="0" w:space="0" w:color="auto"/>
      </w:divBdr>
      <w:divsChild>
        <w:div w:id="98258802">
          <w:marLeft w:val="0"/>
          <w:marRight w:val="0"/>
          <w:marTop w:val="0"/>
          <w:marBottom w:val="0"/>
          <w:divBdr>
            <w:top w:val="none" w:sz="0" w:space="0" w:color="auto"/>
            <w:left w:val="none" w:sz="0" w:space="0" w:color="auto"/>
            <w:bottom w:val="none" w:sz="0" w:space="0" w:color="auto"/>
            <w:right w:val="none" w:sz="0" w:space="0" w:color="auto"/>
          </w:divBdr>
          <w:divsChild>
            <w:div w:id="1844931325">
              <w:marLeft w:val="0"/>
              <w:marRight w:val="0"/>
              <w:marTop w:val="0"/>
              <w:marBottom w:val="0"/>
              <w:divBdr>
                <w:top w:val="none" w:sz="0" w:space="0" w:color="auto"/>
                <w:left w:val="none" w:sz="0" w:space="0" w:color="auto"/>
                <w:bottom w:val="none" w:sz="0" w:space="0" w:color="auto"/>
                <w:right w:val="none" w:sz="0" w:space="0" w:color="auto"/>
              </w:divBdr>
              <w:divsChild>
                <w:div w:id="1457916665">
                  <w:marLeft w:val="0"/>
                  <w:marRight w:val="0"/>
                  <w:marTop w:val="0"/>
                  <w:marBottom w:val="0"/>
                  <w:divBdr>
                    <w:top w:val="none" w:sz="0" w:space="0" w:color="auto"/>
                    <w:left w:val="none" w:sz="0" w:space="0" w:color="auto"/>
                    <w:bottom w:val="none" w:sz="0" w:space="0" w:color="auto"/>
                    <w:right w:val="none" w:sz="0" w:space="0" w:color="auto"/>
                  </w:divBdr>
                  <w:divsChild>
                    <w:div w:id="1903632221">
                      <w:marLeft w:val="0"/>
                      <w:marRight w:val="0"/>
                      <w:marTop w:val="0"/>
                      <w:marBottom w:val="0"/>
                      <w:divBdr>
                        <w:top w:val="none" w:sz="0" w:space="0" w:color="auto"/>
                        <w:left w:val="none" w:sz="0" w:space="0" w:color="auto"/>
                        <w:bottom w:val="none" w:sz="0" w:space="0" w:color="auto"/>
                        <w:right w:val="none" w:sz="0" w:space="0" w:color="auto"/>
                      </w:divBdr>
                      <w:divsChild>
                        <w:div w:id="2102871184">
                          <w:marLeft w:val="0"/>
                          <w:marRight w:val="0"/>
                          <w:marTop w:val="0"/>
                          <w:marBottom w:val="0"/>
                          <w:divBdr>
                            <w:top w:val="none" w:sz="0" w:space="0" w:color="auto"/>
                            <w:left w:val="none" w:sz="0" w:space="0" w:color="auto"/>
                            <w:bottom w:val="none" w:sz="0" w:space="0" w:color="auto"/>
                            <w:right w:val="none" w:sz="0" w:space="0" w:color="auto"/>
                          </w:divBdr>
                          <w:divsChild>
                            <w:div w:id="510796929">
                              <w:marLeft w:val="0"/>
                              <w:marRight w:val="0"/>
                              <w:marTop w:val="0"/>
                              <w:marBottom w:val="0"/>
                              <w:divBdr>
                                <w:top w:val="none" w:sz="0" w:space="0" w:color="auto"/>
                                <w:left w:val="none" w:sz="0" w:space="0" w:color="auto"/>
                                <w:bottom w:val="none" w:sz="0" w:space="0" w:color="auto"/>
                                <w:right w:val="none" w:sz="0" w:space="0" w:color="auto"/>
                              </w:divBdr>
                              <w:divsChild>
                                <w:div w:id="916138151">
                                  <w:marLeft w:val="0"/>
                                  <w:marRight w:val="0"/>
                                  <w:marTop w:val="0"/>
                                  <w:marBottom w:val="0"/>
                                  <w:divBdr>
                                    <w:top w:val="none" w:sz="0" w:space="0" w:color="auto"/>
                                    <w:left w:val="none" w:sz="0" w:space="0" w:color="auto"/>
                                    <w:bottom w:val="none" w:sz="0" w:space="0" w:color="auto"/>
                                    <w:right w:val="none" w:sz="0" w:space="0" w:color="auto"/>
                                  </w:divBdr>
                                  <w:divsChild>
                                    <w:div w:id="42102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0851070">
      <w:bodyDiv w:val="1"/>
      <w:marLeft w:val="0"/>
      <w:marRight w:val="0"/>
      <w:marTop w:val="0"/>
      <w:marBottom w:val="0"/>
      <w:divBdr>
        <w:top w:val="none" w:sz="0" w:space="0" w:color="auto"/>
        <w:left w:val="none" w:sz="0" w:space="0" w:color="auto"/>
        <w:bottom w:val="none" w:sz="0" w:space="0" w:color="auto"/>
        <w:right w:val="none" w:sz="0" w:space="0" w:color="auto"/>
      </w:divBdr>
      <w:divsChild>
        <w:div w:id="1959023566">
          <w:marLeft w:val="0"/>
          <w:marRight w:val="0"/>
          <w:marTop w:val="0"/>
          <w:marBottom w:val="0"/>
          <w:divBdr>
            <w:top w:val="none" w:sz="0" w:space="0" w:color="auto"/>
            <w:left w:val="none" w:sz="0" w:space="0" w:color="auto"/>
            <w:bottom w:val="none" w:sz="0" w:space="0" w:color="auto"/>
            <w:right w:val="none" w:sz="0" w:space="0" w:color="auto"/>
          </w:divBdr>
          <w:divsChild>
            <w:div w:id="1792242502">
              <w:marLeft w:val="0"/>
              <w:marRight w:val="0"/>
              <w:marTop w:val="0"/>
              <w:marBottom w:val="0"/>
              <w:divBdr>
                <w:top w:val="none" w:sz="0" w:space="0" w:color="auto"/>
                <w:left w:val="none" w:sz="0" w:space="0" w:color="auto"/>
                <w:bottom w:val="none" w:sz="0" w:space="0" w:color="auto"/>
                <w:right w:val="none" w:sz="0" w:space="0" w:color="auto"/>
              </w:divBdr>
              <w:divsChild>
                <w:div w:id="5736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967327">
          <w:marLeft w:val="0"/>
          <w:marRight w:val="0"/>
          <w:marTop w:val="0"/>
          <w:marBottom w:val="75"/>
          <w:divBdr>
            <w:top w:val="none" w:sz="0" w:space="0" w:color="auto"/>
            <w:left w:val="none" w:sz="0" w:space="0" w:color="auto"/>
            <w:bottom w:val="none" w:sz="0" w:space="0" w:color="auto"/>
            <w:right w:val="none" w:sz="0" w:space="0" w:color="auto"/>
          </w:divBdr>
        </w:div>
        <w:div w:id="507477220">
          <w:marLeft w:val="0"/>
          <w:marRight w:val="0"/>
          <w:marTop w:val="0"/>
          <w:marBottom w:val="0"/>
          <w:divBdr>
            <w:top w:val="none" w:sz="0" w:space="0" w:color="auto"/>
            <w:left w:val="none" w:sz="0" w:space="0" w:color="auto"/>
            <w:bottom w:val="none" w:sz="0" w:space="0" w:color="auto"/>
            <w:right w:val="none" w:sz="0" w:space="0" w:color="auto"/>
          </w:divBdr>
          <w:divsChild>
            <w:div w:id="836845986">
              <w:marLeft w:val="0"/>
              <w:marRight w:val="0"/>
              <w:marTop w:val="0"/>
              <w:marBottom w:val="0"/>
              <w:divBdr>
                <w:top w:val="none" w:sz="0" w:space="0" w:color="auto"/>
                <w:left w:val="none" w:sz="0" w:space="0" w:color="auto"/>
                <w:bottom w:val="none" w:sz="0" w:space="0" w:color="auto"/>
                <w:right w:val="none" w:sz="0" w:space="0" w:color="auto"/>
              </w:divBdr>
              <w:divsChild>
                <w:div w:id="149442490">
                  <w:marLeft w:val="0"/>
                  <w:marRight w:val="0"/>
                  <w:marTop w:val="0"/>
                  <w:marBottom w:val="450"/>
                  <w:divBdr>
                    <w:top w:val="none" w:sz="0" w:space="0" w:color="auto"/>
                    <w:left w:val="none" w:sz="0" w:space="0" w:color="auto"/>
                    <w:bottom w:val="none" w:sz="0" w:space="0" w:color="auto"/>
                    <w:right w:val="none" w:sz="0" w:space="0" w:color="auto"/>
                  </w:divBdr>
                  <w:divsChild>
                    <w:div w:id="191234741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41311718">
      <w:bodyDiv w:val="1"/>
      <w:marLeft w:val="0"/>
      <w:marRight w:val="0"/>
      <w:marTop w:val="0"/>
      <w:marBottom w:val="0"/>
      <w:divBdr>
        <w:top w:val="none" w:sz="0" w:space="0" w:color="auto"/>
        <w:left w:val="none" w:sz="0" w:space="0" w:color="auto"/>
        <w:bottom w:val="none" w:sz="0" w:space="0" w:color="auto"/>
        <w:right w:val="none" w:sz="0" w:space="0" w:color="auto"/>
      </w:divBdr>
      <w:divsChild>
        <w:div w:id="259530713">
          <w:marLeft w:val="0"/>
          <w:marRight w:val="0"/>
          <w:marTop w:val="0"/>
          <w:marBottom w:val="150"/>
          <w:divBdr>
            <w:top w:val="none" w:sz="0" w:space="0" w:color="auto"/>
            <w:left w:val="none" w:sz="0" w:space="0" w:color="auto"/>
            <w:bottom w:val="none" w:sz="0" w:space="0" w:color="auto"/>
            <w:right w:val="none" w:sz="0" w:space="0" w:color="auto"/>
          </w:divBdr>
          <w:divsChild>
            <w:div w:id="686634749">
              <w:marLeft w:val="0"/>
              <w:marRight w:val="0"/>
              <w:marTop w:val="0"/>
              <w:marBottom w:val="0"/>
              <w:divBdr>
                <w:top w:val="none" w:sz="0" w:space="0" w:color="auto"/>
                <w:left w:val="none" w:sz="0" w:space="0" w:color="auto"/>
                <w:bottom w:val="none" w:sz="0" w:space="0" w:color="auto"/>
                <w:right w:val="none" w:sz="0" w:space="0" w:color="auto"/>
              </w:divBdr>
            </w:div>
          </w:divsChild>
        </w:div>
        <w:div w:id="462893753">
          <w:marLeft w:val="0"/>
          <w:marRight w:val="0"/>
          <w:marTop w:val="0"/>
          <w:marBottom w:val="0"/>
          <w:divBdr>
            <w:top w:val="none" w:sz="0" w:space="0" w:color="auto"/>
            <w:left w:val="none" w:sz="0" w:space="0" w:color="auto"/>
            <w:bottom w:val="none" w:sz="0" w:space="0" w:color="auto"/>
            <w:right w:val="none" w:sz="0" w:space="0" w:color="auto"/>
          </w:divBdr>
          <w:divsChild>
            <w:div w:id="2044401119">
              <w:marLeft w:val="0"/>
              <w:marRight w:val="0"/>
              <w:marTop w:val="0"/>
              <w:marBottom w:val="0"/>
              <w:divBdr>
                <w:top w:val="none" w:sz="0" w:space="0" w:color="auto"/>
                <w:left w:val="none" w:sz="0" w:space="0" w:color="auto"/>
                <w:bottom w:val="none" w:sz="0" w:space="0" w:color="auto"/>
                <w:right w:val="none" w:sz="0" w:space="0" w:color="auto"/>
              </w:divBdr>
            </w:div>
          </w:divsChild>
        </w:div>
        <w:div w:id="1630353470">
          <w:marLeft w:val="0"/>
          <w:marRight w:val="0"/>
          <w:marTop w:val="0"/>
          <w:marBottom w:val="150"/>
          <w:divBdr>
            <w:top w:val="none" w:sz="0" w:space="0" w:color="auto"/>
            <w:left w:val="none" w:sz="0" w:space="0" w:color="auto"/>
            <w:bottom w:val="none" w:sz="0" w:space="0" w:color="auto"/>
            <w:right w:val="none" w:sz="0" w:space="0" w:color="auto"/>
          </w:divBdr>
        </w:div>
      </w:divsChild>
    </w:div>
    <w:div w:id="1841384562">
      <w:bodyDiv w:val="1"/>
      <w:marLeft w:val="0"/>
      <w:marRight w:val="0"/>
      <w:marTop w:val="0"/>
      <w:marBottom w:val="0"/>
      <w:divBdr>
        <w:top w:val="none" w:sz="0" w:space="0" w:color="auto"/>
        <w:left w:val="none" w:sz="0" w:space="0" w:color="auto"/>
        <w:bottom w:val="none" w:sz="0" w:space="0" w:color="auto"/>
        <w:right w:val="none" w:sz="0" w:space="0" w:color="auto"/>
      </w:divBdr>
    </w:div>
    <w:div w:id="1841696405">
      <w:bodyDiv w:val="1"/>
      <w:marLeft w:val="0"/>
      <w:marRight w:val="0"/>
      <w:marTop w:val="0"/>
      <w:marBottom w:val="0"/>
      <w:divBdr>
        <w:top w:val="none" w:sz="0" w:space="0" w:color="auto"/>
        <w:left w:val="none" w:sz="0" w:space="0" w:color="auto"/>
        <w:bottom w:val="none" w:sz="0" w:space="0" w:color="auto"/>
        <w:right w:val="none" w:sz="0" w:space="0" w:color="auto"/>
      </w:divBdr>
      <w:divsChild>
        <w:div w:id="2066369406">
          <w:marLeft w:val="0"/>
          <w:marRight w:val="0"/>
          <w:marTop w:val="0"/>
          <w:marBottom w:val="450"/>
          <w:divBdr>
            <w:top w:val="none" w:sz="0" w:space="0" w:color="auto"/>
            <w:left w:val="none" w:sz="0" w:space="0" w:color="auto"/>
            <w:bottom w:val="single" w:sz="6" w:space="19" w:color="EEEEEE"/>
            <w:right w:val="none" w:sz="0" w:space="0" w:color="auto"/>
          </w:divBdr>
          <w:divsChild>
            <w:div w:id="892499337">
              <w:marLeft w:val="0"/>
              <w:marRight w:val="0"/>
              <w:marTop w:val="0"/>
              <w:marBottom w:val="150"/>
              <w:divBdr>
                <w:top w:val="none" w:sz="0" w:space="0" w:color="auto"/>
                <w:left w:val="none" w:sz="0" w:space="0" w:color="auto"/>
                <w:bottom w:val="none" w:sz="0" w:space="0" w:color="auto"/>
                <w:right w:val="none" w:sz="0" w:space="0" w:color="auto"/>
              </w:divBdr>
              <w:divsChild>
                <w:div w:id="1920168035">
                  <w:marLeft w:val="0"/>
                  <w:marRight w:val="0"/>
                  <w:marTop w:val="0"/>
                  <w:marBottom w:val="0"/>
                  <w:divBdr>
                    <w:top w:val="none" w:sz="0" w:space="0" w:color="auto"/>
                    <w:left w:val="none" w:sz="0" w:space="0" w:color="auto"/>
                    <w:bottom w:val="none" w:sz="0" w:space="0" w:color="auto"/>
                    <w:right w:val="none" w:sz="0" w:space="0" w:color="auto"/>
                  </w:divBdr>
                </w:div>
              </w:divsChild>
            </w:div>
            <w:div w:id="853307339">
              <w:marLeft w:val="0"/>
              <w:marRight w:val="0"/>
              <w:marTop w:val="0"/>
              <w:marBottom w:val="0"/>
              <w:divBdr>
                <w:top w:val="none" w:sz="0" w:space="0" w:color="auto"/>
                <w:left w:val="none" w:sz="0" w:space="0" w:color="auto"/>
                <w:bottom w:val="none" w:sz="0" w:space="0" w:color="auto"/>
                <w:right w:val="none" w:sz="0" w:space="0" w:color="auto"/>
              </w:divBdr>
            </w:div>
          </w:divsChild>
        </w:div>
        <w:div w:id="750468500">
          <w:marLeft w:val="0"/>
          <w:marRight w:val="0"/>
          <w:marTop w:val="0"/>
          <w:marBottom w:val="0"/>
          <w:divBdr>
            <w:top w:val="none" w:sz="0" w:space="0" w:color="auto"/>
            <w:left w:val="none" w:sz="0" w:space="0" w:color="auto"/>
            <w:bottom w:val="none" w:sz="0" w:space="0" w:color="auto"/>
            <w:right w:val="none" w:sz="0" w:space="0" w:color="auto"/>
          </w:divBdr>
          <w:divsChild>
            <w:div w:id="176888948">
              <w:marLeft w:val="0"/>
              <w:marRight w:val="0"/>
              <w:marTop w:val="0"/>
              <w:marBottom w:val="0"/>
              <w:divBdr>
                <w:top w:val="none" w:sz="0" w:space="0" w:color="auto"/>
                <w:left w:val="none" w:sz="0" w:space="0" w:color="auto"/>
                <w:bottom w:val="none" w:sz="0" w:space="0" w:color="auto"/>
                <w:right w:val="none" w:sz="0" w:space="0" w:color="auto"/>
              </w:divBdr>
              <w:divsChild>
                <w:div w:id="84420558">
                  <w:marLeft w:val="0"/>
                  <w:marRight w:val="0"/>
                  <w:marTop w:val="0"/>
                  <w:marBottom w:val="0"/>
                  <w:divBdr>
                    <w:top w:val="none" w:sz="0" w:space="0" w:color="auto"/>
                    <w:left w:val="none" w:sz="0" w:space="0" w:color="auto"/>
                    <w:bottom w:val="none" w:sz="0" w:space="0" w:color="auto"/>
                    <w:right w:val="none" w:sz="0" w:space="0" w:color="auto"/>
                  </w:divBdr>
                </w:div>
                <w:div w:id="5487590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841701321">
      <w:bodyDiv w:val="1"/>
      <w:marLeft w:val="0"/>
      <w:marRight w:val="0"/>
      <w:marTop w:val="0"/>
      <w:marBottom w:val="0"/>
      <w:divBdr>
        <w:top w:val="none" w:sz="0" w:space="0" w:color="auto"/>
        <w:left w:val="none" w:sz="0" w:space="0" w:color="auto"/>
        <w:bottom w:val="none" w:sz="0" w:space="0" w:color="auto"/>
        <w:right w:val="none" w:sz="0" w:space="0" w:color="auto"/>
      </w:divBdr>
      <w:divsChild>
        <w:div w:id="131598853">
          <w:marLeft w:val="0"/>
          <w:marRight w:val="0"/>
          <w:marTop w:val="0"/>
          <w:marBottom w:val="0"/>
          <w:divBdr>
            <w:top w:val="none" w:sz="0" w:space="0" w:color="auto"/>
            <w:left w:val="none" w:sz="0" w:space="0" w:color="auto"/>
            <w:bottom w:val="none" w:sz="0" w:space="0" w:color="auto"/>
            <w:right w:val="none" w:sz="0" w:space="0" w:color="auto"/>
          </w:divBdr>
          <w:divsChild>
            <w:div w:id="1837720913">
              <w:marLeft w:val="0"/>
              <w:marRight w:val="0"/>
              <w:marTop w:val="0"/>
              <w:marBottom w:val="0"/>
              <w:divBdr>
                <w:top w:val="none" w:sz="0" w:space="0" w:color="auto"/>
                <w:left w:val="none" w:sz="0" w:space="0" w:color="auto"/>
                <w:bottom w:val="none" w:sz="0" w:space="0" w:color="auto"/>
                <w:right w:val="none" w:sz="0" w:space="0" w:color="auto"/>
              </w:divBdr>
              <w:divsChild>
                <w:div w:id="441537414">
                  <w:marLeft w:val="0"/>
                  <w:marRight w:val="0"/>
                  <w:marTop w:val="0"/>
                  <w:marBottom w:val="0"/>
                  <w:divBdr>
                    <w:top w:val="none" w:sz="0" w:space="0" w:color="auto"/>
                    <w:left w:val="none" w:sz="0" w:space="0" w:color="auto"/>
                    <w:bottom w:val="none" w:sz="0" w:space="0" w:color="auto"/>
                    <w:right w:val="none" w:sz="0" w:space="0" w:color="auto"/>
                  </w:divBdr>
                  <w:divsChild>
                    <w:div w:id="286471696">
                      <w:marLeft w:val="0"/>
                      <w:marRight w:val="0"/>
                      <w:marTop w:val="0"/>
                      <w:marBottom w:val="0"/>
                      <w:divBdr>
                        <w:top w:val="none" w:sz="0" w:space="0" w:color="auto"/>
                        <w:left w:val="none" w:sz="0" w:space="0" w:color="auto"/>
                        <w:bottom w:val="none" w:sz="0" w:space="0" w:color="auto"/>
                        <w:right w:val="none" w:sz="0" w:space="0" w:color="auto"/>
                      </w:divBdr>
                    </w:div>
                    <w:div w:id="429399512">
                      <w:marLeft w:val="0"/>
                      <w:marRight w:val="0"/>
                      <w:marTop w:val="0"/>
                      <w:marBottom w:val="75"/>
                      <w:divBdr>
                        <w:top w:val="none" w:sz="0" w:space="0" w:color="auto"/>
                        <w:left w:val="none" w:sz="0" w:space="0" w:color="auto"/>
                        <w:bottom w:val="none" w:sz="0" w:space="0" w:color="auto"/>
                        <w:right w:val="none" w:sz="0" w:space="0" w:color="auto"/>
                      </w:divBdr>
                    </w:div>
                    <w:div w:id="1109351614">
                      <w:marLeft w:val="0"/>
                      <w:marRight w:val="0"/>
                      <w:marTop w:val="0"/>
                      <w:marBottom w:val="300"/>
                      <w:divBdr>
                        <w:top w:val="none" w:sz="0" w:space="0" w:color="auto"/>
                        <w:left w:val="none" w:sz="0" w:space="0" w:color="auto"/>
                        <w:bottom w:val="none" w:sz="0" w:space="0" w:color="auto"/>
                        <w:right w:val="none" w:sz="0" w:space="0" w:color="auto"/>
                      </w:divBdr>
                      <w:divsChild>
                        <w:div w:id="2018654951">
                          <w:marLeft w:val="0"/>
                          <w:marRight w:val="0"/>
                          <w:marTop w:val="0"/>
                          <w:marBottom w:val="0"/>
                          <w:divBdr>
                            <w:top w:val="none" w:sz="0" w:space="0" w:color="auto"/>
                            <w:left w:val="none" w:sz="0" w:space="0" w:color="auto"/>
                            <w:bottom w:val="none" w:sz="0" w:space="0" w:color="auto"/>
                            <w:right w:val="none" w:sz="0" w:space="0" w:color="auto"/>
                          </w:divBdr>
                        </w:div>
                      </w:divsChild>
                    </w:div>
                    <w:div w:id="1326014007">
                      <w:marLeft w:val="0"/>
                      <w:marRight w:val="0"/>
                      <w:marTop w:val="0"/>
                      <w:marBottom w:val="0"/>
                      <w:divBdr>
                        <w:top w:val="none" w:sz="0" w:space="0" w:color="auto"/>
                        <w:left w:val="none" w:sz="0" w:space="0" w:color="auto"/>
                        <w:bottom w:val="none" w:sz="0" w:space="0" w:color="auto"/>
                        <w:right w:val="none" w:sz="0" w:space="0" w:color="auto"/>
                      </w:divBdr>
                      <w:divsChild>
                        <w:div w:id="289212525">
                          <w:marLeft w:val="0"/>
                          <w:marRight w:val="0"/>
                          <w:marTop w:val="0"/>
                          <w:marBottom w:val="0"/>
                          <w:divBdr>
                            <w:top w:val="none" w:sz="0" w:space="0" w:color="auto"/>
                            <w:left w:val="none" w:sz="0" w:space="0" w:color="auto"/>
                            <w:bottom w:val="none" w:sz="0" w:space="0" w:color="auto"/>
                            <w:right w:val="none" w:sz="0" w:space="0" w:color="auto"/>
                          </w:divBdr>
                          <w:divsChild>
                            <w:div w:id="133537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599772">
                  <w:marLeft w:val="300"/>
                  <w:marRight w:val="0"/>
                  <w:marTop w:val="0"/>
                  <w:marBottom w:val="0"/>
                  <w:divBdr>
                    <w:top w:val="none" w:sz="0" w:space="0" w:color="auto"/>
                    <w:left w:val="none" w:sz="0" w:space="0" w:color="auto"/>
                    <w:bottom w:val="none" w:sz="0" w:space="0" w:color="auto"/>
                    <w:right w:val="none" w:sz="0" w:space="0" w:color="auto"/>
                  </w:divBdr>
                  <w:divsChild>
                    <w:div w:id="1097601616">
                      <w:marLeft w:val="0"/>
                      <w:marRight w:val="0"/>
                      <w:marTop w:val="0"/>
                      <w:marBottom w:val="300"/>
                      <w:divBdr>
                        <w:top w:val="none" w:sz="0" w:space="0" w:color="auto"/>
                        <w:left w:val="none" w:sz="0" w:space="0" w:color="auto"/>
                        <w:bottom w:val="none" w:sz="0" w:space="0" w:color="auto"/>
                        <w:right w:val="none" w:sz="0" w:space="0" w:color="auto"/>
                      </w:divBdr>
                      <w:divsChild>
                        <w:div w:id="547032879">
                          <w:marLeft w:val="0"/>
                          <w:marRight w:val="0"/>
                          <w:marTop w:val="0"/>
                          <w:marBottom w:val="0"/>
                          <w:divBdr>
                            <w:top w:val="none" w:sz="0" w:space="0" w:color="auto"/>
                            <w:left w:val="none" w:sz="0" w:space="0" w:color="auto"/>
                            <w:bottom w:val="none" w:sz="0" w:space="0" w:color="auto"/>
                            <w:right w:val="none" w:sz="0" w:space="0" w:color="auto"/>
                          </w:divBdr>
                          <w:divsChild>
                            <w:div w:id="2010984966">
                              <w:marLeft w:val="0"/>
                              <w:marRight w:val="0"/>
                              <w:marTop w:val="0"/>
                              <w:marBottom w:val="0"/>
                              <w:divBdr>
                                <w:top w:val="none" w:sz="0" w:space="0" w:color="auto"/>
                                <w:left w:val="none" w:sz="0" w:space="0" w:color="auto"/>
                                <w:bottom w:val="none" w:sz="0" w:space="0" w:color="auto"/>
                                <w:right w:val="none" w:sz="0" w:space="0" w:color="auto"/>
                              </w:divBdr>
                              <w:divsChild>
                                <w:div w:id="1823965109">
                                  <w:marLeft w:val="0"/>
                                  <w:marRight w:val="0"/>
                                  <w:marTop w:val="0"/>
                                  <w:marBottom w:val="0"/>
                                  <w:divBdr>
                                    <w:top w:val="single" w:sz="2" w:space="0" w:color="DFDFDF"/>
                                    <w:left w:val="single" w:sz="2" w:space="0" w:color="DFDFDF"/>
                                    <w:bottom w:val="single" w:sz="2" w:space="0" w:color="DFDFDF"/>
                                    <w:right w:val="single" w:sz="2" w:space="0" w:color="DFDFDF"/>
                                  </w:divBdr>
                                  <w:divsChild>
                                    <w:div w:id="1173061509">
                                      <w:marLeft w:val="0"/>
                                      <w:marRight w:val="0"/>
                                      <w:marTop w:val="0"/>
                                      <w:marBottom w:val="270"/>
                                      <w:divBdr>
                                        <w:top w:val="none" w:sz="0" w:space="0" w:color="auto"/>
                                        <w:left w:val="none" w:sz="0" w:space="0" w:color="auto"/>
                                        <w:bottom w:val="single" w:sz="12" w:space="5" w:color="DADADA"/>
                                        <w:right w:val="none" w:sz="0" w:space="0" w:color="auto"/>
                                      </w:divBdr>
                                      <w:divsChild>
                                        <w:div w:id="790124158">
                                          <w:marLeft w:val="0"/>
                                          <w:marRight w:val="0"/>
                                          <w:marTop w:val="0"/>
                                          <w:marBottom w:val="0"/>
                                          <w:divBdr>
                                            <w:top w:val="none" w:sz="0" w:space="0" w:color="auto"/>
                                            <w:left w:val="none" w:sz="0" w:space="0" w:color="auto"/>
                                            <w:bottom w:val="none" w:sz="0" w:space="0" w:color="auto"/>
                                            <w:right w:val="none" w:sz="0" w:space="0" w:color="auto"/>
                                          </w:divBdr>
                                        </w:div>
                                      </w:divsChild>
                                    </w:div>
                                    <w:div w:id="1874422360">
                                      <w:marLeft w:val="-90"/>
                                      <w:marRight w:val="0"/>
                                      <w:marTop w:val="0"/>
                                      <w:marBottom w:val="0"/>
                                      <w:divBdr>
                                        <w:top w:val="none" w:sz="0" w:space="0" w:color="auto"/>
                                        <w:left w:val="none" w:sz="0" w:space="0" w:color="auto"/>
                                        <w:bottom w:val="none" w:sz="0" w:space="0" w:color="auto"/>
                                        <w:right w:val="none" w:sz="0" w:space="0" w:color="auto"/>
                                      </w:divBdr>
                                      <w:divsChild>
                                        <w:div w:id="1878813233">
                                          <w:marLeft w:val="0"/>
                                          <w:marRight w:val="0"/>
                                          <w:marTop w:val="0"/>
                                          <w:marBottom w:val="45"/>
                                          <w:divBdr>
                                            <w:top w:val="single" w:sz="2" w:space="0" w:color="A9A9A9"/>
                                            <w:left w:val="single" w:sz="2" w:space="0" w:color="A9A9A9"/>
                                            <w:bottom w:val="single" w:sz="2" w:space="0" w:color="A9A9A9"/>
                                            <w:right w:val="single" w:sz="2" w:space="0" w:color="A9A9A9"/>
                                          </w:divBdr>
                                          <w:divsChild>
                                            <w:div w:id="742793755">
                                              <w:marLeft w:val="0"/>
                                              <w:marRight w:val="0"/>
                                              <w:marTop w:val="0"/>
                                              <w:marBottom w:val="0"/>
                                              <w:divBdr>
                                                <w:top w:val="none" w:sz="0" w:space="0" w:color="auto"/>
                                                <w:left w:val="none" w:sz="0" w:space="0" w:color="auto"/>
                                                <w:bottom w:val="none" w:sz="0" w:space="0" w:color="auto"/>
                                                <w:right w:val="none" w:sz="0" w:space="0" w:color="auto"/>
                                              </w:divBdr>
                                              <w:divsChild>
                                                <w:div w:id="79541803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876746775">
                          <w:marLeft w:val="0"/>
                          <w:marRight w:val="0"/>
                          <w:marTop w:val="0"/>
                          <w:marBottom w:val="0"/>
                          <w:divBdr>
                            <w:top w:val="none" w:sz="0" w:space="0" w:color="auto"/>
                            <w:left w:val="none" w:sz="0" w:space="0" w:color="auto"/>
                            <w:bottom w:val="none" w:sz="0" w:space="0" w:color="auto"/>
                            <w:right w:val="none" w:sz="0" w:space="0" w:color="auto"/>
                          </w:divBdr>
                          <w:divsChild>
                            <w:div w:id="132795976">
                              <w:marLeft w:val="0"/>
                              <w:marRight w:val="0"/>
                              <w:marTop w:val="0"/>
                              <w:marBottom w:val="0"/>
                              <w:divBdr>
                                <w:top w:val="none" w:sz="0" w:space="0" w:color="auto"/>
                                <w:left w:val="none" w:sz="0" w:space="0" w:color="auto"/>
                                <w:bottom w:val="none" w:sz="0" w:space="0" w:color="auto"/>
                                <w:right w:val="none" w:sz="0" w:space="0" w:color="auto"/>
                              </w:divBdr>
                              <w:divsChild>
                                <w:div w:id="1072238213">
                                  <w:marLeft w:val="0"/>
                                  <w:marRight w:val="0"/>
                                  <w:marTop w:val="0"/>
                                  <w:marBottom w:val="0"/>
                                  <w:divBdr>
                                    <w:top w:val="single" w:sz="2" w:space="0" w:color="DFDFDF"/>
                                    <w:left w:val="single" w:sz="2" w:space="0" w:color="DFDFDF"/>
                                    <w:bottom w:val="single" w:sz="2" w:space="0" w:color="DFDFDF"/>
                                    <w:right w:val="single" w:sz="2" w:space="0" w:color="DFDFDF"/>
                                  </w:divBdr>
                                  <w:divsChild>
                                    <w:div w:id="1369257265">
                                      <w:marLeft w:val="-90"/>
                                      <w:marRight w:val="0"/>
                                      <w:marTop w:val="0"/>
                                      <w:marBottom w:val="0"/>
                                      <w:divBdr>
                                        <w:top w:val="none" w:sz="0" w:space="0" w:color="auto"/>
                                        <w:left w:val="none" w:sz="0" w:space="0" w:color="auto"/>
                                        <w:bottom w:val="none" w:sz="0" w:space="0" w:color="auto"/>
                                        <w:right w:val="none" w:sz="0" w:space="0" w:color="auto"/>
                                      </w:divBdr>
                                      <w:divsChild>
                                        <w:div w:id="1879469439">
                                          <w:marLeft w:val="0"/>
                                          <w:marRight w:val="0"/>
                                          <w:marTop w:val="0"/>
                                          <w:marBottom w:val="45"/>
                                          <w:divBdr>
                                            <w:top w:val="single" w:sz="2" w:space="0" w:color="A9A9A9"/>
                                            <w:left w:val="single" w:sz="2" w:space="0" w:color="A9A9A9"/>
                                            <w:bottom w:val="single" w:sz="2" w:space="0" w:color="A9A9A9"/>
                                            <w:right w:val="single" w:sz="2" w:space="0" w:color="A9A9A9"/>
                                          </w:divBdr>
                                          <w:divsChild>
                                            <w:div w:id="814446997">
                                              <w:marLeft w:val="0"/>
                                              <w:marRight w:val="0"/>
                                              <w:marTop w:val="0"/>
                                              <w:marBottom w:val="0"/>
                                              <w:divBdr>
                                                <w:top w:val="none" w:sz="0" w:space="0" w:color="auto"/>
                                                <w:left w:val="none" w:sz="0" w:space="0" w:color="auto"/>
                                                <w:bottom w:val="none" w:sz="0" w:space="0" w:color="auto"/>
                                                <w:right w:val="none" w:sz="0" w:space="0" w:color="auto"/>
                                              </w:divBdr>
                                              <w:divsChild>
                                                <w:div w:id="645085746">
                                                  <w:marLeft w:val="92"/>
                                                  <w:marRight w:val="0"/>
                                                  <w:marTop w:val="0"/>
                                                  <w:marBottom w:val="150"/>
                                                  <w:divBdr>
                                                    <w:top w:val="single" w:sz="2" w:space="0" w:color="E4E4E4"/>
                                                    <w:left w:val="single" w:sz="2" w:space="0" w:color="E4E4E4"/>
                                                    <w:bottom w:val="single" w:sz="2" w:space="0" w:color="E4E4E4"/>
                                                    <w:right w:val="single" w:sz="2" w:space="0" w:color="E4E4E4"/>
                                                  </w:divBdr>
                                                </w:div>
                                                <w:div w:id="188482862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 w:id="1677147071">
          <w:marLeft w:val="0"/>
          <w:marRight w:val="0"/>
          <w:marTop w:val="0"/>
          <w:marBottom w:val="0"/>
          <w:divBdr>
            <w:top w:val="none" w:sz="0" w:space="0" w:color="auto"/>
            <w:left w:val="none" w:sz="0" w:space="0" w:color="auto"/>
            <w:bottom w:val="none" w:sz="0" w:space="0" w:color="auto"/>
            <w:right w:val="none" w:sz="0" w:space="0" w:color="auto"/>
          </w:divBdr>
          <w:divsChild>
            <w:div w:id="458501716">
              <w:marLeft w:val="0"/>
              <w:marRight w:val="0"/>
              <w:marTop w:val="0"/>
              <w:marBottom w:val="300"/>
              <w:divBdr>
                <w:top w:val="none" w:sz="0" w:space="0" w:color="auto"/>
                <w:left w:val="none" w:sz="0" w:space="0" w:color="auto"/>
                <w:bottom w:val="single" w:sz="6" w:space="0" w:color="F1F1F1"/>
                <w:right w:val="none" w:sz="0" w:space="0" w:color="auto"/>
              </w:divBdr>
              <w:divsChild>
                <w:div w:id="1968200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42306569">
      <w:bodyDiv w:val="1"/>
      <w:marLeft w:val="0"/>
      <w:marRight w:val="0"/>
      <w:marTop w:val="0"/>
      <w:marBottom w:val="0"/>
      <w:divBdr>
        <w:top w:val="none" w:sz="0" w:space="0" w:color="auto"/>
        <w:left w:val="none" w:sz="0" w:space="0" w:color="auto"/>
        <w:bottom w:val="none" w:sz="0" w:space="0" w:color="auto"/>
        <w:right w:val="none" w:sz="0" w:space="0" w:color="auto"/>
      </w:divBdr>
    </w:div>
    <w:div w:id="1843618640">
      <w:bodyDiv w:val="1"/>
      <w:marLeft w:val="0"/>
      <w:marRight w:val="0"/>
      <w:marTop w:val="0"/>
      <w:marBottom w:val="0"/>
      <w:divBdr>
        <w:top w:val="none" w:sz="0" w:space="0" w:color="auto"/>
        <w:left w:val="none" w:sz="0" w:space="0" w:color="auto"/>
        <w:bottom w:val="none" w:sz="0" w:space="0" w:color="auto"/>
        <w:right w:val="none" w:sz="0" w:space="0" w:color="auto"/>
      </w:divBdr>
      <w:divsChild>
        <w:div w:id="1579753083">
          <w:marLeft w:val="0"/>
          <w:marRight w:val="0"/>
          <w:marTop w:val="0"/>
          <w:marBottom w:val="0"/>
          <w:divBdr>
            <w:top w:val="none" w:sz="0" w:space="0" w:color="auto"/>
            <w:left w:val="none" w:sz="0" w:space="0" w:color="auto"/>
            <w:bottom w:val="none" w:sz="0" w:space="0" w:color="auto"/>
            <w:right w:val="none" w:sz="0" w:space="0" w:color="auto"/>
          </w:divBdr>
          <w:divsChild>
            <w:div w:id="1007749313">
              <w:marLeft w:val="0"/>
              <w:marRight w:val="0"/>
              <w:marTop w:val="0"/>
              <w:marBottom w:val="0"/>
              <w:divBdr>
                <w:top w:val="none" w:sz="0" w:space="0" w:color="auto"/>
                <w:left w:val="none" w:sz="0" w:space="0" w:color="auto"/>
                <w:bottom w:val="none" w:sz="0" w:space="0" w:color="auto"/>
                <w:right w:val="none" w:sz="0" w:space="0" w:color="auto"/>
              </w:divBdr>
              <w:divsChild>
                <w:div w:id="689766505">
                  <w:marLeft w:val="0"/>
                  <w:marRight w:val="0"/>
                  <w:marTop w:val="0"/>
                  <w:marBottom w:val="0"/>
                  <w:divBdr>
                    <w:top w:val="none" w:sz="0" w:space="0" w:color="auto"/>
                    <w:left w:val="none" w:sz="0" w:space="0" w:color="auto"/>
                    <w:bottom w:val="none" w:sz="0" w:space="0" w:color="auto"/>
                    <w:right w:val="none" w:sz="0" w:space="0" w:color="auto"/>
                  </w:divBdr>
                  <w:divsChild>
                    <w:div w:id="1655527064">
                      <w:marLeft w:val="0"/>
                      <w:marRight w:val="0"/>
                      <w:marTop w:val="0"/>
                      <w:marBottom w:val="0"/>
                      <w:divBdr>
                        <w:top w:val="none" w:sz="0" w:space="0" w:color="auto"/>
                        <w:left w:val="none" w:sz="0" w:space="0" w:color="auto"/>
                        <w:bottom w:val="none" w:sz="0" w:space="0" w:color="auto"/>
                        <w:right w:val="none" w:sz="0" w:space="0" w:color="auto"/>
                      </w:divBdr>
                      <w:divsChild>
                        <w:div w:id="1287738957">
                          <w:marLeft w:val="0"/>
                          <w:marRight w:val="0"/>
                          <w:marTop w:val="0"/>
                          <w:marBottom w:val="0"/>
                          <w:divBdr>
                            <w:top w:val="none" w:sz="0" w:space="0" w:color="auto"/>
                            <w:left w:val="none" w:sz="0" w:space="0" w:color="auto"/>
                            <w:bottom w:val="none" w:sz="0" w:space="0" w:color="auto"/>
                            <w:right w:val="none" w:sz="0" w:space="0" w:color="auto"/>
                          </w:divBdr>
                          <w:divsChild>
                            <w:div w:id="137029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198733">
      <w:bodyDiv w:val="1"/>
      <w:marLeft w:val="0"/>
      <w:marRight w:val="0"/>
      <w:marTop w:val="0"/>
      <w:marBottom w:val="0"/>
      <w:divBdr>
        <w:top w:val="none" w:sz="0" w:space="0" w:color="auto"/>
        <w:left w:val="none" w:sz="0" w:space="0" w:color="auto"/>
        <w:bottom w:val="none" w:sz="0" w:space="0" w:color="auto"/>
        <w:right w:val="none" w:sz="0" w:space="0" w:color="auto"/>
      </w:divBdr>
      <w:divsChild>
        <w:div w:id="78990875">
          <w:marLeft w:val="0"/>
          <w:marRight w:val="0"/>
          <w:marTop w:val="0"/>
          <w:marBottom w:val="0"/>
          <w:divBdr>
            <w:top w:val="none" w:sz="0" w:space="0" w:color="auto"/>
            <w:left w:val="none" w:sz="0" w:space="0" w:color="auto"/>
            <w:bottom w:val="none" w:sz="0" w:space="0" w:color="auto"/>
            <w:right w:val="none" w:sz="0" w:space="0" w:color="auto"/>
          </w:divBdr>
        </w:div>
      </w:divsChild>
    </w:div>
    <w:div w:id="1844314770">
      <w:bodyDiv w:val="1"/>
      <w:marLeft w:val="0"/>
      <w:marRight w:val="0"/>
      <w:marTop w:val="0"/>
      <w:marBottom w:val="0"/>
      <w:divBdr>
        <w:top w:val="none" w:sz="0" w:space="0" w:color="auto"/>
        <w:left w:val="none" w:sz="0" w:space="0" w:color="auto"/>
        <w:bottom w:val="none" w:sz="0" w:space="0" w:color="auto"/>
        <w:right w:val="none" w:sz="0" w:space="0" w:color="auto"/>
      </w:divBdr>
      <w:divsChild>
        <w:div w:id="1662930992">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312297873">
              <w:marLeft w:val="0"/>
              <w:marRight w:val="0"/>
              <w:marTop w:val="300"/>
              <w:marBottom w:val="300"/>
              <w:divBdr>
                <w:top w:val="none" w:sz="0" w:space="0" w:color="auto"/>
                <w:left w:val="none" w:sz="0" w:space="0" w:color="auto"/>
                <w:bottom w:val="none" w:sz="0" w:space="0" w:color="auto"/>
                <w:right w:val="none" w:sz="0" w:space="0" w:color="auto"/>
              </w:divBdr>
              <w:divsChild>
                <w:div w:id="72702723">
                  <w:marLeft w:val="0"/>
                  <w:marRight w:val="0"/>
                  <w:marTop w:val="0"/>
                  <w:marBottom w:val="0"/>
                  <w:divBdr>
                    <w:top w:val="none" w:sz="0" w:space="0" w:color="auto"/>
                    <w:left w:val="none" w:sz="0" w:space="0" w:color="auto"/>
                    <w:bottom w:val="none" w:sz="0" w:space="0" w:color="auto"/>
                    <w:right w:val="none" w:sz="0" w:space="0" w:color="auto"/>
                  </w:divBdr>
                  <w:divsChild>
                    <w:div w:id="340938130">
                      <w:marLeft w:val="0"/>
                      <w:marRight w:val="0"/>
                      <w:marTop w:val="0"/>
                      <w:marBottom w:val="0"/>
                      <w:divBdr>
                        <w:top w:val="none" w:sz="0" w:space="0" w:color="auto"/>
                        <w:left w:val="none" w:sz="0" w:space="0" w:color="auto"/>
                        <w:bottom w:val="none" w:sz="0" w:space="0" w:color="auto"/>
                        <w:right w:val="none" w:sz="0" w:space="0" w:color="auto"/>
                      </w:divBdr>
                      <w:divsChild>
                        <w:div w:id="155412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512362">
      <w:bodyDiv w:val="1"/>
      <w:marLeft w:val="0"/>
      <w:marRight w:val="0"/>
      <w:marTop w:val="0"/>
      <w:marBottom w:val="0"/>
      <w:divBdr>
        <w:top w:val="none" w:sz="0" w:space="0" w:color="auto"/>
        <w:left w:val="none" w:sz="0" w:space="0" w:color="auto"/>
        <w:bottom w:val="none" w:sz="0" w:space="0" w:color="auto"/>
        <w:right w:val="none" w:sz="0" w:space="0" w:color="auto"/>
      </w:divBdr>
    </w:div>
    <w:div w:id="1844782468">
      <w:bodyDiv w:val="1"/>
      <w:marLeft w:val="0"/>
      <w:marRight w:val="0"/>
      <w:marTop w:val="0"/>
      <w:marBottom w:val="0"/>
      <w:divBdr>
        <w:top w:val="none" w:sz="0" w:space="0" w:color="auto"/>
        <w:left w:val="none" w:sz="0" w:space="0" w:color="auto"/>
        <w:bottom w:val="none" w:sz="0" w:space="0" w:color="auto"/>
        <w:right w:val="none" w:sz="0" w:space="0" w:color="auto"/>
      </w:divBdr>
      <w:divsChild>
        <w:div w:id="539629639">
          <w:marLeft w:val="0"/>
          <w:marRight w:val="0"/>
          <w:marTop w:val="0"/>
          <w:marBottom w:val="0"/>
          <w:divBdr>
            <w:top w:val="none" w:sz="0" w:space="0" w:color="auto"/>
            <w:left w:val="none" w:sz="0" w:space="0" w:color="auto"/>
            <w:bottom w:val="none" w:sz="0" w:space="0" w:color="auto"/>
            <w:right w:val="none" w:sz="0" w:space="0" w:color="auto"/>
          </w:divBdr>
          <w:divsChild>
            <w:div w:id="121785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245148">
      <w:bodyDiv w:val="1"/>
      <w:marLeft w:val="0"/>
      <w:marRight w:val="0"/>
      <w:marTop w:val="0"/>
      <w:marBottom w:val="0"/>
      <w:divBdr>
        <w:top w:val="none" w:sz="0" w:space="0" w:color="auto"/>
        <w:left w:val="none" w:sz="0" w:space="0" w:color="auto"/>
        <w:bottom w:val="none" w:sz="0" w:space="0" w:color="auto"/>
        <w:right w:val="none" w:sz="0" w:space="0" w:color="auto"/>
      </w:divBdr>
    </w:div>
    <w:div w:id="1845775771">
      <w:bodyDiv w:val="1"/>
      <w:marLeft w:val="0"/>
      <w:marRight w:val="0"/>
      <w:marTop w:val="0"/>
      <w:marBottom w:val="0"/>
      <w:divBdr>
        <w:top w:val="none" w:sz="0" w:space="0" w:color="auto"/>
        <w:left w:val="none" w:sz="0" w:space="0" w:color="auto"/>
        <w:bottom w:val="none" w:sz="0" w:space="0" w:color="auto"/>
        <w:right w:val="none" w:sz="0" w:space="0" w:color="auto"/>
      </w:divBdr>
      <w:divsChild>
        <w:div w:id="1253973941">
          <w:marLeft w:val="0"/>
          <w:marRight w:val="0"/>
          <w:marTop w:val="0"/>
          <w:marBottom w:val="150"/>
          <w:divBdr>
            <w:top w:val="none" w:sz="0" w:space="0" w:color="auto"/>
            <w:left w:val="none" w:sz="0" w:space="0" w:color="auto"/>
            <w:bottom w:val="none" w:sz="0" w:space="0" w:color="auto"/>
            <w:right w:val="none" w:sz="0" w:space="0" w:color="auto"/>
          </w:divBdr>
        </w:div>
      </w:divsChild>
    </w:div>
    <w:div w:id="1845782417">
      <w:bodyDiv w:val="1"/>
      <w:marLeft w:val="0"/>
      <w:marRight w:val="0"/>
      <w:marTop w:val="0"/>
      <w:marBottom w:val="0"/>
      <w:divBdr>
        <w:top w:val="none" w:sz="0" w:space="0" w:color="auto"/>
        <w:left w:val="none" w:sz="0" w:space="0" w:color="auto"/>
        <w:bottom w:val="none" w:sz="0" w:space="0" w:color="auto"/>
        <w:right w:val="none" w:sz="0" w:space="0" w:color="auto"/>
      </w:divBdr>
      <w:divsChild>
        <w:div w:id="77025703">
          <w:marLeft w:val="0"/>
          <w:marRight w:val="0"/>
          <w:marTop w:val="0"/>
          <w:marBottom w:val="150"/>
          <w:divBdr>
            <w:top w:val="none" w:sz="0" w:space="0" w:color="auto"/>
            <w:left w:val="none" w:sz="0" w:space="0" w:color="auto"/>
            <w:bottom w:val="none" w:sz="0" w:space="0" w:color="auto"/>
            <w:right w:val="none" w:sz="0" w:space="0" w:color="auto"/>
          </w:divBdr>
        </w:div>
        <w:div w:id="235477370">
          <w:marLeft w:val="0"/>
          <w:marRight w:val="0"/>
          <w:marTop w:val="0"/>
          <w:marBottom w:val="0"/>
          <w:divBdr>
            <w:top w:val="none" w:sz="0" w:space="0" w:color="auto"/>
            <w:left w:val="none" w:sz="0" w:space="0" w:color="auto"/>
            <w:bottom w:val="none" w:sz="0" w:space="0" w:color="auto"/>
            <w:right w:val="none" w:sz="0" w:space="0" w:color="auto"/>
          </w:divBdr>
        </w:div>
      </w:divsChild>
    </w:div>
    <w:div w:id="1846632304">
      <w:bodyDiv w:val="1"/>
      <w:marLeft w:val="0"/>
      <w:marRight w:val="0"/>
      <w:marTop w:val="0"/>
      <w:marBottom w:val="0"/>
      <w:divBdr>
        <w:top w:val="none" w:sz="0" w:space="0" w:color="auto"/>
        <w:left w:val="none" w:sz="0" w:space="0" w:color="auto"/>
        <w:bottom w:val="none" w:sz="0" w:space="0" w:color="auto"/>
        <w:right w:val="none" w:sz="0" w:space="0" w:color="auto"/>
      </w:divBdr>
      <w:divsChild>
        <w:div w:id="1315525934">
          <w:marLeft w:val="0"/>
          <w:marRight w:val="0"/>
          <w:marTop w:val="0"/>
          <w:marBottom w:val="0"/>
          <w:divBdr>
            <w:top w:val="none" w:sz="0" w:space="0" w:color="auto"/>
            <w:left w:val="none" w:sz="0" w:space="0" w:color="auto"/>
            <w:bottom w:val="dotted" w:sz="6" w:space="4" w:color="DDDDDD"/>
            <w:right w:val="none" w:sz="0" w:space="0" w:color="auto"/>
          </w:divBdr>
          <w:divsChild>
            <w:div w:id="10512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666493">
      <w:bodyDiv w:val="1"/>
      <w:marLeft w:val="0"/>
      <w:marRight w:val="0"/>
      <w:marTop w:val="0"/>
      <w:marBottom w:val="0"/>
      <w:divBdr>
        <w:top w:val="none" w:sz="0" w:space="0" w:color="auto"/>
        <w:left w:val="none" w:sz="0" w:space="0" w:color="auto"/>
        <w:bottom w:val="none" w:sz="0" w:space="0" w:color="auto"/>
        <w:right w:val="none" w:sz="0" w:space="0" w:color="auto"/>
      </w:divBdr>
      <w:divsChild>
        <w:div w:id="973145171">
          <w:marLeft w:val="0"/>
          <w:marRight w:val="0"/>
          <w:marTop w:val="0"/>
          <w:marBottom w:val="0"/>
          <w:divBdr>
            <w:top w:val="none" w:sz="0" w:space="0" w:color="auto"/>
            <w:left w:val="none" w:sz="0" w:space="0" w:color="auto"/>
            <w:bottom w:val="none" w:sz="0" w:space="0" w:color="auto"/>
            <w:right w:val="none" w:sz="0" w:space="0" w:color="auto"/>
          </w:divBdr>
          <w:divsChild>
            <w:div w:id="928468802">
              <w:marLeft w:val="0"/>
              <w:marRight w:val="0"/>
              <w:marTop w:val="0"/>
              <w:marBottom w:val="0"/>
              <w:divBdr>
                <w:top w:val="none" w:sz="0" w:space="0" w:color="auto"/>
                <w:left w:val="none" w:sz="0" w:space="0" w:color="auto"/>
                <w:bottom w:val="none" w:sz="0" w:space="0" w:color="auto"/>
                <w:right w:val="none" w:sz="0" w:space="0" w:color="auto"/>
              </w:divBdr>
              <w:divsChild>
                <w:div w:id="18120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052477">
      <w:bodyDiv w:val="1"/>
      <w:marLeft w:val="0"/>
      <w:marRight w:val="0"/>
      <w:marTop w:val="0"/>
      <w:marBottom w:val="0"/>
      <w:divBdr>
        <w:top w:val="none" w:sz="0" w:space="0" w:color="auto"/>
        <w:left w:val="none" w:sz="0" w:space="0" w:color="auto"/>
        <w:bottom w:val="none" w:sz="0" w:space="0" w:color="auto"/>
        <w:right w:val="none" w:sz="0" w:space="0" w:color="auto"/>
      </w:divBdr>
      <w:divsChild>
        <w:div w:id="1861509483">
          <w:marLeft w:val="0"/>
          <w:marRight w:val="0"/>
          <w:marTop w:val="0"/>
          <w:marBottom w:val="0"/>
          <w:divBdr>
            <w:top w:val="none" w:sz="0" w:space="0" w:color="auto"/>
            <w:left w:val="none" w:sz="0" w:space="0" w:color="auto"/>
            <w:bottom w:val="none" w:sz="0" w:space="0" w:color="auto"/>
            <w:right w:val="none" w:sz="0" w:space="0" w:color="auto"/>
          </w:divBdr>
          <w:divsChild>
            <w:div w:id="1085493950">
              <w:marLeft w:val="0"/>
              <w:marRight w:val="0"/>
              <w:marTop w:val="0"/>
              <w:marBottom w:val="0"/>
              <w:divBdr>
                <w:top w:val="none" w:sz="0" w:space="0" w:color="auto"/>
                <w:left w:val="none" w:sz="0" w:space="0" w:color="auto"/>
                <w:bottom w:val="none" w:sz="0" w:space="0" w:color="auto"/>
                <w:right w:val="none" w:sz="0" w:space="0" w:color="auto"/>
              </w:divBdr>
              <w:divsChild>
                <w:div w:id="263615184">
                  <w:marLeft w:val="0"/>
                  <w:marRight w:val="0"/>
                  <w:marTop w:val="0"/>
                  <w:marBottom w:val="0"/>
                  <w:divBdr>
                    <w:top w:val="none" w:sz="0" w:space="0" w:color="auto"/>
                    <w:left w:val="none" w:sz="0" w:space="0" w:color="auto"/>
                    <w:bottom w:val="none" w:sz="0" w:space="0" w:color="auto"/>
                    <w:right w:val="none" w:sz="0" w:space="0" w:color="auto"/>
                  </w:divBdr>
                  <w:divsChild>
                    <w:div w:id="1096973228">
                      <w:marLeft w:val="0"/>
                      <w:marRight w:val="0"/>
                      <w:marTop w:val="0"/>
                      <w:marBottom w:val="0"/>
                      <w:divBdr>
                        <w:top w:val="none" w:sz="0" w:space="0" w:color="auto"/>
                        <w:left w:val="none" w:sz="0" w:space="0" w:color="auto"/>
                        <w:bottom w:val="none" w:sz="0" w:space="0" w:color="auto"/>
                        <w:right w:val="none" w:sz="0" w:space="0" w:color="auto"/>
                      </w:divBdr>
                      <w:divsChild>
                        <w:div w:id="172763971">
                          <w:marLeft w:val="0"/>
                          <w:marRight w:val="0"/>
                          <w:marTop w:val="0"/>
                          <w:marBottom w:val="0"/>
                          <w:divBdr>
                            <w:top w:val="none" w:sz="0" w:space="0" w:color="auto"/>
                            <w:left w:val="none" w:sz="0" w:space="0" w:color="auto"/>
                            <w:bottom w:val="none" w:sz="0" w:space="0" w:color="auto"/>
                            <w:right w:val="none" w:sz="0" w:space="0" w:color="auto"/>
                          </w:divBdr>
                          <w:divsChild>
                            <w:div w:id="710691021">
                              <w:marLeft w:val="0"/>
                              <w:marRight w:val="0"/>
                              <w:marTop w:val="0"/>
                              <w:marBottom w:val="0"/>
                              <w:divBdr>
                                <w:top w:val="none" w:sz="0" w:space="0" w:color="auto"/>
                                <w:left w:val="none" w:sz="0" w:space="0" w:color="auto"/>
                                <w:bottom w:val="none" w:sz="0" w:space="0" w:color="auto"/>
                                <w:right w:val="none" w:sz="0" w:space="0" w:color="auto"/>
                              </w:divBdr>
                              <w:divsChild>
                                <w:div w:id="1318263364">
                                  <w:marLeft w:val="0"/>
                                  <w:marRight w:val="0"/>
                                  <w:marTop w:val="0"/>
                                  <w:marBottom w:val="0"/>
                                  <w:divBdr>
                                    <w:top w:val="none" w:sz="0" w:space="0" w:color="auto"/>
                                    <w:left w:val="none" w:sz="0" w:space="0" w:color="auto"/>
                                    <w:bottom w:val="none" w:sz="0" w:space="0" w:color="auto"/>
                                    <w:right w:val="none" w:sz="0" w:space="0" w:color="auto"/>
                                  </w:divBdr>
                                  <w:divsChild>
                                    <w:div w:id="1991980628">
                                      <w:marLeft w:val="0"/>
                                      <w:marRight w:val="0"/>
                                      <w:marTop w:val="0"/>
                                      <w:marBottom w:val="0"/>
                                      <w:divBdr>
                                        <w:top w:val="none" w:sz="0" w:space="0" w:color="auto"/>
                                        <w:left w:val="none" w:sz="0" w:space="0" w:color="auto"/>
                                        <w:bottom w:val="none" w:sz="0" w:space="0" w:color="auto"/>
                                        <w:right w:val="none" w:sz="0" w:space="0" w:color="auto"/>
                                      </w:divBdr>
                                      <w:divsChild>
                                        <w:div w:id="1830753801">
                                          <w:marLeft w:val="0"/>
                                          <w:marRight w:val="0"/>
                                          <w:marTop w:val="0"/>
                                          <w:marBottom w:val="0"/>
                                          <w:divBdr>
                                            <w:top w:val="none" w:sz="0" w:space="0" w:color="auto"/>
                                            <w:left w:val="none" w:sz="0" w:space="0" w:color="auto"/>
                                            <w:bottom w:val="none" w:sz="0" w:space="0" w:color="auto"/>
                                            <w:right w:val="none" w:sz="0" w:space="0" w:color="auto"/>
                                          </w:divBdr>
                                          <w:divsChild>
                                            <w:div w:id="187283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8060939">
      <w:bodyDiv w:val="1"/>
      <w:marLeft w:val="0"/>
      <w:marRight w:val="0"/>
      <w:marTop w:val="0"/>
      <w:marBottom w:val="0"/>
      <w:divBdr>
        <w:top w:val="none" w:sz="0" w:space="0" w:color="auto"/>
        <w:left w:val="none" w:sz="0" w:space="0" w:color="auto"/>
        <w:bottom w:val="none" w:sz="0" w:space="0" w:color="auto"/>
        <w:right w:val="none" w:sz="0" w:space="0" w:color="auto"/>
      </w:divBdr>
      <w:divsChild>
        <w:div w:id="259873562">
          <w:marLeft w:val="0"/>
          <w:marRight w:val="0"/>
          <w:marTop w:val="0"/>
          <w:marBottom w:val="150"/>
          <w:divBdr>
            <w:top w:val="none" w:sz="0" w:space="0" w:color="auto"/>
            <w:left w:val="none" w:sz="0" w:space="0" w:color="auto"/>
            <w:bottom w:val="none" w:sz="0" w:space="0" w:color="auto"/>
            <w:right w:val="none" w:sz="0" w:space="0" w:color="auto"/>
          </w:divBdr>
          <w:divsChild>
            <w:div w:id="1955091255">
              <w:marLeft w:val="0"/>
              <w:marRight w:val="0"/>
              <w:marTop w:val="0"/>
              <w:marBottom w:val="0"/>
              <w:divBdr>
                <w:top w:val="none" w:sz="0" w:space="0" w:color="auto"/>
                <w:left w:val="none" w:sz="0" w:space="0" w:color="auto"/>
                <w:bottom w:val="none" w:sz="0" w:space="0" w:color="auto"/>
                <w:right w:val="none" w:sz="0" w:space="0" w:color="auto"/>
              </w:divBdr>
            </w:div>
          </w:divsChild>
        </w:div>
        <w:div w:id="295838690">
          <w:marLeft w:val="0"/>
          <w:marRight w:val="0"/>
          <w:marTop w:val="0"/>
          <w:marBottom w:val="150"/>
          <w:divBdr>
            <w:top w:val="none" w:sz="0" w:space="0" w:color="auto"/>
            <w:left w:val="none" w:sz="0" w:space="0" w:color="auto"/>
            <w:bottom w:val="none" w:sz="0" w:space="0" w:color="auto"/>
            <w:right w:val="none" w:sz="0" w:space="0" w:color="auto"/>
          </w:divBdr>
        </w:div>
        <w:div w:id="1032606358">
          <w:marLeft w:val="0"/>
          <w:marRight w:val="0"/>
          <w:marTop w:val="0"/>
          <w:marBottom w:val="0"/>
          <w:divBdr>
            <w:top w:val="none" w:sz="0" w:space="0" w:color="auto"/>
            <w:left w:val="none" w:sz="0" w:space="0" w:color="auto"/>
            <w:bottom w:val="none" w:sz="0" w:space="0" w:color="auto"/>
            <w:right w:val="none" w:sz="0" w:space="0" w:color="auto"/>
          </w:divBdr>
          <w:divsChild>
            <w:div w:id="108411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00401">
      <w:bodyDiv w:val="1"/>
      <w:marLeft w:val="0"/>
      <w:marRight w:val="0"/>
      <w:marTop w:val="0"/>
      <w:marBottom w:val="0"/>
      <w:divBdr>
        <w:top w:val="none" w:sz="0" w:space="0" w:color="auto"/>
        <w:left w:val="none" w:sz="0" w:space="0" w:color="auto"/>
        <w:bottom w:val="none" w:sz="0" w:space="0" w:color="auto"/>
        <w:right w:val="none" w:sz="0" w:space="0" w:color="auto"/>
      </w:divBdr>
      <w:divsChild>
        <w:div w:id="1956863936">
          <w:marLeft w:val="0"/>
          <w:marRight w:val="0"/>
          <w:marTop w:val="0"/>
          <w:marBottom w:val="0"/>
          <w:divBdr>
            <w:top w:val="none" w:sz="0" w:space="0" w:color="auto"/>
            <w:left w:val="none" w:sz="0" w:space="0" w:color="auto"/>
            <w:bottom w:val="none" w:sz="0" w:space="0" w:color="auto"/>
            <w:right w:val="none" w:sz="0" w:space="0" w:color="auto"/>
          </w:divBdr>
          <w:divsChild>
            <w:div w:id="823665246">
              <w:marLeft w:val="0"/>
              <w:marRight w:val="0"/>
              <w:marTop w:val="0"/>
              <w:marBottom w:val="0"/>
              <w:divBdr>
                <w:top w:val="none" w:sz="0" w:space="0" w:color="auto"/>
                <w:left w:val="none" w:sz="0" w:space="0" w:color="auto"/>
                <w:bottom w:val="none" w:sz="0" w:space="0" w:color="auto"/>
                <w:right w:val="none" w:sz="0" w:space="0" w:color="auto"/>
              </w:divBdr>
              <w:divsChild>
                <w:div w:id="1093277475">
                  <w:marLeft w:val="0"/>
                  <w:marRight w:val="0"/>
                  <w:marTop w:val="0"/>
                  <w:marBottom w:val="0"/>
                  <w:divBdr>
                    <w:top w:val="none" w:sz="0" w:space="0" w:color="auto"/>
                    <w:left w:val="none" w:sz="0" w:space="0" w:color="auto"/>
                    <w:bottom w:val="none" w:sz="0" w:space="0" w:color="auto"/>
                    <w:right w:val="none" w:sz="0" w:space="0" w:color="auto"/>
                  </w:divBdr>
                  <w:divsChild>
                    <w:div w:id="1032614958">
                      <w:marLeft w:val="0"/>
                      <w:marRight w:val="0"/>
                      <w:marTop w:val="0"/>
                      <w:marBottom w:val="0"/>
                      <w:divBdr>
                        <w:top w:val="none" w:sz="0" w:space="0" w:color="auto"/>
                        <w:left w:val="none" w:sz="0" w:space="0" w:color="auto"/>
                        <w:bottom w:val="none" w:sz="0" w:space="0" w:color="auto"/>
                        <w:right w:val="none" w:sz="0" w:space="0" w:color="auto"/>
                      </w:divBdr>
                      <w:divsChild>
                        <w:div w:id="1805081851">
                          <w:marLeft w:val="0"/>
                          <w:marRight w:val="0"/>
                          <w:marTop w:val="0"/>
                          <w:marBottom w:val="0"/>
                          <w:divBdr>
                            <w:top w:val="none" w:sz="0" w:space="0" w:color="auto"/>
                            <w:left w:val="none" w:sz="0" w:space="0" w:color="auto"/>
                            <w:bottom w:val="none" w:sz="0" w:space="0" w:color="auto"/>
                            <w:right w:val="none" w:sz="0" w:space="0" w:color="auto"/>
                          </w:divBdr>
                          <w:divsChild>
                            <w:div w:id="937057056">
                              <w:marLeft w:val="0"/>
                              <w:marRight w:val="0"/>
                              <w:marTop w:val="0"/>
                              <w:marBottom w:val="0"/>
                              <w:divBdr>
                                <w:top w:val="none" w:sz="0" w:space="0" w:color="auto"/>
                                <w:left w:val="none" w:sz="0" w:space="0" w:color="auto"/>
                                <w:bottom w:val="none" w:sz="0" w:space="0" w:color="auto"/>
                                <w:right w:val="none" w:sz="0" w:space="0" w:color="auto"/>
                              </w:divBdr>
                              <w:divsChild>
                                <w:div w:id="97069777">
                                  <w:marLeft w:val="0"/>
                                  <w:marRight w:val="0"/>
                                  <w:marTop w:val="0"/>
                                  <w:marBottom w:val="0"/>
                                  <w:divBdr>
                                    <w:top w:val="none" w:sz="0" w:space="0" w:color="auto"/>
                                    <w:left w:val="none" w:sz="0" w:space="0" w:color="auto"/>
                                    <w:bottom w:val="none" w:sz="0" w:space="0" w:color="auto"/>
                                    <w:right w:val="none" w:sz="0" w:space="0" w:color="auto"/>
                                  </w:divBdr>
                                  <w:divsChild>
                                    <w:div w:id="186170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23836">
      <w:bodyDiv w:val="1"/>
      <w:marLeft w:val="0"/>
      <w:marRight w:val="0"/>
      <w:marTop w:val="0"/>
      <w:marBottom w:val="0"/>
      <w:divBdr>
        <w:top w:val="none" w:sz="0" w:space="0" w:color="auto"/>
        <w:left w:val="none" w:sz="0" w:space="0" w:color="auto"/>
        <w:bottom w:val="none" w:sz="0" w:space="0" w:color="auto"/>
        <w:right w:val="none" w:sz="0" w:space="0" w:color="auto"/>
      </w:divBdr>
      <w:divsChild>
        <w:div w:id="1047680839">
          <w:marLeft w:val="0"/>
          <w:marRight w:val="0"/>
          <w:marTop w:val="0"/>
          <w:marBottom w:val="0"/>
          <w:divBdr>
            <w:top w:val="none" w:sz="0" w:space="0" w:color="auto"/>
            <w:left w:val="none" w:sz="0" w:space="0" w:color="auto"/>
            <w:bottom w:val="none" w:sz="0" w:space="0" w:color="auto"/>
            <w:right w:val="none" w:sz="0" w:space="0" w:color="auto"/>
          </w:divBdr>
          <w:divsChild>
            <w:div w:id="768308531">
              <w:marLeft w:val="0"/>
              <w:marRight w:val="0"/>
              <w:marTop w:val="0"/>
              <w:marBottom w:val="0"/>
              <w:divBdr>
                <w:top w:val="none" w:sz="0" w:space="0" w:color="auto"/>
                <w:left w:val="none" w:sz="0" w:space="0" w:color="auto"/>
                <w:bottom w:val="none" w:sz="0" w:space="0" w:color="auto"/>
                <w:right w:val="none" w:sz="0" w:space="0" w:color="auto"/>
              </w:divBdr>
              <w:divsChild>
                <w:div w:id="680473945">
                  <w:marLeft w:val="0"/>
                  <w:marRight w:val="0"/>
                  <w:marTop w:val="0"/>
                  <w:marBottom w:val="0"/>
                  <w:divBdr>
                    <w:top w:val="none" w:sz="0" w:space="0" w:color="auto"/>
                    <w:left w:val="none" w:sz="0" w:space="0" w:color="auto"/>
                    <w:bottom w:val="none" w:sz="0" w:space="0" w:color="auto"/>
                    <w:right w:val="none" w:sz="0" w:space="0" w:color="auto"/>
                  </w:divBdr>
                  <w:divsChild>
                    <w:div w:id="1142428311">
                      <w:marLeft w:val="0"/>
                      <w:marRight w:val="0"/>
                      <w:marTop w:val="0"/>
                      <w:marBottom w:val="0"/>
                      <w:divBdr>
                        <w:top w:val="none" w:sz="0" w:space="0" w:color="auto"/>
                        <w:left w:val="none" w:sz="0" w:space="0" w:color="auto"/>
                        <w:bottom w:val="none" w:sz="0" w:space="0" w:color="auto"/>
                        <w:right w:val="none" w:sz="0" w:space="0" w:color="auto"/>
                      </w:divBdr>
                      <w:divsChild>
                        <w:div w:id="1544828189">
                          <w:marLeft w:val="0"/>
                          <w:marRight w:val="0"/>
                          <w:marTop w:val="0"/>
                          <w:marBottom w:val="0"/>
                          <w:divBdr>
                            <w:top w:val="none" w:sz="0" w:space="0" w:color="auto"/>
                            <w:left w:val="none" w:sz="0" w:space="0" w:color="auto"/>
                            <w:bottom w:val="none" w:sz="0" w:space="0" w:color="auto"/>
                            <w:right w:val="none" w:sz="0" w:space="0" w:color="auto"/>
                          </w:divBdr>
                          <w:divsChild>
                            <w:div w:id="1299460048">
                              <w:marLeft w:val="0"/>
                              <w:marRight w:val="0"/>
                              <w:marTop w:val="0"/>
                              <w:marBottom w:val="0"/>
                              <w:divBdr>
                                <w:top w:val="none" w:sz="0" w:space="0" w:color="auto"/>
                                <w:left w:val="none" w:sz="0" w:space="0" w:color="auto"/>
                                <w:bottom w:val="none" w:sz="0" w:space="0" w:color="auto"/>
                                <w:right w:val="none" w:sz="0" w:space="0" w:color="auto"/>
                              </w:divBdr>
                              <w:divsChild>
                                <w:div w:id="1757899035">
                                  <w:marLeft w:val="0"/>
                                  <w:marRight w:val="0"/>
                                  <w:marTop w:val="0"/>
                                  <w:marBottom w:val="0"/>
                                  <w:divBdr>
                                    <w:top w:val="none" w:sz="0" w:space="0" w:color="auto"/>
                                    <w:left w:val="none" w:sz="0" w:space="0" w:color="auto"/>
                                    <w:bottom w:val="none" w:sz="0" w:space="0" w:color="auto"/>
                                    <w:right w:val="none" w:sz="0" w:space="0" w:color="auto"/>
                                  </w:divBdr>
                                  <w:divsChild>
                                    <w:div w:id="19249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672181">
      <w:bodyDiv w:val="1"/>
      <w:marLeft w:val="0"/>
      <w:marRight w:val="0"/>
      <w:marTop w:val="0"/>
      <w:marBottom w:val="0"/>
      <w:divBdr>
        <w:top w:val="none" w:sz="0" w:space="0" w:color="auto"/>
        <w:left w:val="none" w:sz="0" w:space="0" w:color="auto"/>
        <w:bottom w:val="none" w:sz="0" w:space="0" w:color="auto"/>
        <w:right w:val="none" w:sz="0" w:space="0" w:color="auto"/>
      </w:divBdr>
    </w:div>
    <w:div w:id="1848980000">
      <w:bodyDiv w:val="1"/>
      <w:marLeft w:val="0"/>
      <w:marRight w:val="0"/>
      <w:marTop w:val="0"/>
      <w:marBottom w:val="0"/>
      <w:divBdr>
        <w:top w:val="none" w:sz="0" w:space="0" w:color="auto"/>
        <w:left w:val="none" w:sz="0" w:space="0" w:color="auto"/>
        <w:bottom w:val="none" w:sz="0" w:space="0" w:color="auto"/>
        <w:right w:val="none" w:sz="0" w:space="0" w:color="auto"/>
      </w:divBdr>
    </w:div>
    <w:div w:id="1849369700">
      <w:bodyDiv w:val="1"/>
      <w:marLeft w:val="0"/>
      <w:marRight w:val="0"/>
      <w:marTop w:val="0"/>
      <w:marBottom w:val="0"/>
      <w:divBdr>
        <w:top w:val="none" w:sz="0" w:space="0" w:color="auto"/>
        <w:left w:val="none" w:sz="0" w:space="0" w:color="auto"/>
        <w:bottom w:val="none" w:sz="0" w:space="0" w:color="auto"/>
        <w:right w:val="none" w:sz="0" w:space="0" w:color="auto"/>
      </w:divBdr>
      <w:divsChild>
        <w:div w:id="337467494">
          <w:marLeft w:val="0"/>
          <w:marRight w:val="0"/>
          <w:marTop w:val="0"/>
          <w:marBottom w:val="0"/>
          <w:divBdr>
            <w:top w:val="none" w:sz="0" w:space="0" w:color="auto"/>
            <w:left w:val="none" w:sz="0" w:space="0" w:color="auto"/>
            <w:bottom w:val="none" w:sz="0" w:space="0" w:color="auto"/>
            <w:right w:val="none" w:sz="0" w:space="0" w:color="auto"/>
          </w:divBdr>
          <w:divsChild>
            <w:div w:id="1941721335">
              <w:marLeft w:val="0"/>
              <w:marRight w:val="0"/>
              <w:marTop w:val="0"/>
              <w:marBottom w:val="0"/>
              <w:divBdr>
                <w:top w:val="none" w:sz="0" w:space="0" w:color="auto"/>
                <w:left w:val="none" w:sz="0" w:space="0" w:color="auto"/>
                <w:bottom w:val="none" w:sz="0" w:space="0" w:color="auto"/>
                <w:right w:val="none" w:sz="0" w:space="0" w:color="auto"/>
              </w:divBdr>
            </w:div>
          </w:divsChild>
        </w:div>
        <w:div w:id="1191727713">
          <w:marLeft w:val="0"/>
          <w:marRight w:val="0"/>
          <w:marTop w:val="150"/>
          <w:marBottom w:val="0"/>
          <w:divBdr>
            <w:top w:val="none" w:sz="0" w:space="0" w:color="auto"/>
            <w:left w:val="none" w:sz="0" w:space="0" w:color="auto"/>
            <w:bottom w:val="none" w:sz="0" w:space="0" w:color="auto"/>
            <w:right w:val="none" w:sz="0" w:space="0" w:color="auto"/>
          </w:divBdr>
          <w:divsChild>
            <w:div w:id="498234024">
              <w:marLeft w:val="0"/>
              <w:marRight w:val="0"/>
              <w:marTop w:val="0"/>
              <w:marBottom w:val="0"/>
              <w:divBdr>
                <w:top w:val="none" w:sz="0" w:space="0" w:color="auto"/>
                <w:left w:val="none" w:sz="0" w:space="0" w:color="auto"/>
                <w:bottom w:val="none" w:sz="0" w:space="0" w:color="auto"/>
                <w:right w:val="none" w:sz="0" w:space="0" w:color="auto"/>
              </w:divBdr>
              <w:divsChild>
                <w:div w:id="535509706">
                  <w:marLeft w:val="0"/>
                  <w:marRight w:val="0"/>
                  <w:marTop w:val="0"/>
                  <w:marBottom w:val="0"/>
                  <w:divBdr>
                    <w:top w:val="none" w:sz="0" w:space="0" w:color="auto"/>
                    <w:left w:val="none" w:sz="0" w:space="0" w:color="auto"/>
                    <w:bottom w:val="none" w:sz="0" w:space="0" w:color="auto"/>
                    <w:right w:val="none" w:sz="0" w:space="0" w:color="auto"/>
                  </w:divBdr>
                </w:div>
                <w:div w:id="17629935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978945">
      <w:bodyDiv w:val="1"/>
      <w:marLeft w:val="0"/>
      <w:marRight w:val="0"/>
      <w:marTop w:val="0"/>
      <w:marBottom w:val="0"/>
      <w:divBdr>
        <w:top w:val="none" w:sz="0" w:space="0" w:color="auto"/>
        <w:left w:val="none" w:sz="0" w:space="0" w:color="auto"/>
        <w:bottom w:val="none" w:sz="0" w:space="0" w:color="auto"/>
        <w:right w:val="none" w:sz="0" w:space="0" w:color="auto"/>
      </w:divBdr>
      <w:divsChild>
        <w:div w:id="2038922708">
          <w:marLeft w:val="0"/>
          <w:marRight w:val="0"/>
          <w:marTop w:val="0"/>
          <w:marBottom w:val="0"/>
          <w:divBdr>
            <w:top w:val="none" w:sz="0" w:space="0" w:color="auto"/>
            <w:left w:val="none" w:sz="0" w:space="0" w:color="auto"/>
            <w:bottom w:val="none" w:sz="0" w:space="0" w:color="auto"/>
            <w:right w:val="none" w:sz="0" w:space="0" w:color="auto"/>
          </w:divBdr>
          <w:divsChild>
            <w:div w:id="1454013332">
              <w:marLeft w:val="0"/>
              <w:marRight w:val="0"/>
              <w:marTop w:val="0"/>
              <w:marBottom w:val="0"/>
              <w:divBdr>
                <w:top w:val="none" w:sz="0" w:space="0" w:color="auto"/>
                <w:left w:val="none" w:sz="0" w:space="0" w:color="auto"/>
                <w:bottom w:val="none" w:sz="0" w:space="0" w:color="auto"/>
                <w:right w:val="none" w:sz="0" w:space="0" w:color="auto"/>
              </w:divBdr>
              <w:divsChild>
                <w:div w:id="934481409">
                  <w:marLeft w:val="0"/>
                  <w:marRight w:val="0"/>
                  <w:marTop w:val="0"/>
                  <w:marBottom w:val="0"/>
                  <w:divBdr>
                    <w:top w:val="none" w:sz="0" w:space="0" w:color="auto"/>
                    <w:left w:val="none" w:sz="0" w:space="0" w:color="auto"/>
                    <w:bottom w:val="none" w:sz="0" w:space="0" w:color="auto"/>
                    <w:right w:val="none" w:sz="0" w:space="0" w:color="auto"/>
                  </w:divBdr>
                  <w:divsChild>
                    <w:div w:id="664863789">
                      <w:marLeft w:val="0"/>
                      <w:marRight w:val="0"/>
                      <w:marTop w:val="0"/>
                      <w:marBottom w:val="0"/>
                      <w:divBdr>
                        <w:top w:val="none" w:sz="0" w:space="0" w:color="auto"/>
                        <w:left w:val="none" w:sz="0" w:space="0" w:color="auto"/>
                        <w:bottom w:val="none" w:sz="0" w:space="0" w:color="auto"/>
                        <w:right w:val="none" w:sz="0" w:space="0" w:color="auto"/>
                      </w:divBdr>
                      <w:divsChild>
                        <w:div w:id="713968329">
                          <w:marLeft w:val="0"/>
                          <w:marRight w:val="0"/>
                          <w:marTop w:val="0"/>
                          <w:marBottom w:val="0"/>
                          <w:divBdr>
                            <w:top w:val="none" w:sz="0" w:space="0" w:color="auto"/>
                            <w:left w:val="none" w:sz="0" w:space="0" w:color="auto"/>
                            <w:bottom w:val="none" w:sz="0" w:space="0" w:color="auto"/>
                            <w:right w:val="none" w:sz="0" w:space="0" w:color="auto"/>
                          </w:divBdr>
                          <w:divsChild>
                            <w:div w:id="388655169">
                              <w:marLeft w:val="0"/>
                              <w:marRight w:val="0"/>
                              <w:marTop w:val="0"/>
                              <w:marBottom w:val="0"/>
                              <w:divBdr>
                                <w:top w:val="none" w:sz="0" w:space="0" w:color="auto"/>
                                <w:left w:val="none" w:sz="0" w:space="0" w:color="auto"/>
                                <w:bottom w:val="none" w:sz="0" w:space="0" w:color="auto"/>
                                <w:right w:val="none" w:sz="0" w:space="0" w:color="auto"/>
                              </w:divBdr>
                              <w:divsChild>
                                <w:div w:id="1432243286">
                                  <w:marLeft w:val="0"/>
                                  <w:marRight w:val="0"/>
                                  <w:marTop w:val="0"/>
                                  <w:marBottom w:val="0"/>
                                  <w:divBdr>
                                    <w:top w:val="none" w:sz="0" w:space="0" w:color="auto"/>
                                    <w:left w:val="none" w:sz="0" w:space="0" w:color="auto"/>
                                    <w:bottom w:val="none" w:sz="0" w:space="0" w:color="auto"/>
                                    <w:right w:val="none" w:sz="0" w:space="0" w:color="auto"/>
                                  </w:divBdr>
                                  <w:divsChild>
                                    <w:div w:id="175951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023596">
      <w:bodyDiv w:val="1"/>
      <w:marLeft w:val="0"/>
      <w:marRight w:val="0"/>
      <w:marTop w:val="0"/>
      <w:marBottom w:val="0"/>
      <w:divBdr>
        <w:top w:val="none" w:sz="0" w:space="0" w:color="auto"/>
        <w:left w:val="none" w:sz="0" w:space="0" w:color="auto"/>
        <w:bottom w:val="none" w:sz="0" w:space="0" w:color="auto"/>
        <w:right w:val="none" w:sz="0" w:space="0" w:color="auto"/>
      </w:divBdr>
      <w:divsChild>
        <w:div w:id="551159921">
          <w:marLeft w:val="0"/>
          <w:marRight w:val="0"/>
          <w:marTop w:val="0"/>
          <w:marBottom w:val="0"/>
          <w:divBdr>
            <w:top w:val="none" w:sz="0" w:space="0" w:color="auto"/>
            <w:left w:val="none" w:sz="0" w:space="0" w:color="auto"/>
            <w:bottom w:val="none" w:sz="0" w:space="0" w:color="auto"/>
            <w:right w:val="none" w:sz="0" w:space="0" w:color="auto"/>
          </w:divBdr>
          <w:divsChild>
            <w:div w:id="1178077422">
              <w:marLeft w:val="0"/>
              <w:marRight w:val="0"/>
              <w:marTop w:val="0"/>
              <w:marBottom w:val="0"/>
              <w:divBdr>
                <w:top w:val="none" w:sz="0" w:space="0" w:color="auto"/>
                <w:left w:val="none" w:sz="0" w:space="0" w:color="auto"/>
                <w:bottom w:val="none" w:sz="0" w:space="0" w:color="auto"/>
                <w:right w:val="none" w:sz="0" w:space="0" w:color="auto"/>
              </w:divBdr>
              <w:divsChild>
                <w:div w:id="93596773">
                  <w:marLeft w:val="0"/>
                  <w:marRight w:val="0"/>
                  <w:marTop w:val="0"/>
                  <w:marBottom w:val="0"/>
                  <w:divBdr>
                    <w:top w:val="none" w:sz="0" w:space="0" w:color="auto"/>
                    <w:left w:val="none" w:sz="0" w:space="0" w:color="auto"/>
                    <w:bottom w:val="none" w:sz="0" w:space="0" w:color="auto"/>
                    <w:right w:val="none" w:sz="0" w:space="0" w:color="auto"/>
                  </w:divBdr>
                  <w:divsChild>
                    <w:div w:id="386607163">
                      <w:marLeft w:val="0"/>
                      <w:marRight w:val="0"/>
                      <w:marTop w:val="0"/>
                      <w:marBottom w:val="300"/>
                      <w:divBdr>
                        <w:top w:val="none" w:sz="0" w:space="0" w:color="auto"/>
                        <w:left w:val="none" w:sz="0" w:space="0" w:color="auto"/>
                        <w:bottom w:val="none" w:sz="0" w:space="0" w:color="auto"/>
                        <w:right w:val="none" w:sz="0" w:space="0" w:color="auto"/>
                      </w:divBdr>
                      <w:divsChild>
                        <w:div w:id="1736659023">
                          <w:marLeft w:val="0"/>
                          <w:marRight w:val="0"/>
                          <w:marTop w:val="0"/>
                          <w:marBottom w:val="225"/>
                          <w:divBdr>
                            <w:top w:val="single" w:sz="6" w:space="11" w:color="E5E5E5"/>
                            <w:left w:val="single" w:sz="6" w:space="11" w:color="E5E5E5"/>
                            <w:bottom w:val="single" w:sz="6" w:space="1" w:color="E5E5E5"/>
                            <w:right w:val="single" w:sz="6" w:space="11" w:color="E5E5E5"/>
                          </w:divBdr>
                          <w:divsChild>
                            <w:div w:id="105601036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752699842">
          <w:marLeft w:val="0"/>
          <w:marRight w:val="0"/>
          <w:marTop w:val="0"/>
          <w:marBottom w:val="0"/>
          <w:divBdr>
            <w:top w:val="single" w:sz="6" w:space="0" w:color="E5E5E5"/>
            <w:left w:val="none" w:sz="0" w:space="0" w:color="auto"/>
            <w:bottom w:val="single" w:sz="18" w:space="0" w:color="000000"/>
            <w:right w:val="none" w:sz="0" w:space="0" w:color="auto"/>
          </w:divBdr>
          <w:divsChild>
            <w:div w:id="1949003341">
              <w:marLeft w:val="0"/>
              <w:marRight w:val="0"/>
              <w:marTop w:val="0"/>
              <w:marBottom w:val="0"/>
              <w:divBdr>
                <w:top w:val="none" w:sz="0" w:space="0" w:color="auto"/>
                <w:left w:val="none" w:sz="0" w:space="0" w:color="auto"/>
                <w:bottom w:val="none" w:sz="0" w:space="0" w:color="auto"/>
                <w:right w:val="none" w:sz="0" w:space="0" w:color="auto"/>
              </w:divBdr>
              <w:divsChild>
                <w:div w:id="7609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871322">
      <w:bodyDiv w:val="1"/>
      <w:marLeft w:val="0"/>
      <w:marRight w:val="0"/>
      <w:marTop w:val="0"/>
      <w:marBottom w:val="0"/>
      <w:divBdr>
        <w:top w:val="none" w:sz="0" w:space="0" w:color="auto"/>
        <w:left w:val="none" w:sz="0" w:space="0" w:color="auto"/>
        <w:bottom w:val="none" w:sz="0" w:space="0" w:color="auto"/>
        <w:right w:val="none" w:sz="0" w:space="0" w:color="auto"/>
      </w:divBdr>
      <w:divsChild>
        <w:div w:id="2053769803">
          <w:marLeft w:val="0"/>
          <w:marRight w:val="0"/>
          <w:marTop w:val="0"/>
          <w:marBottom w:val="0"/>
          <w:divBdr>
            <w:top w:val="none" w:sz="0" w:space="0" w:color="auto"/>
            <w:left w:val="none" w:sz="0" w:space="0" w:color="auto"/>
            <w:bottom w:val="none" w:sz="0" w:space="0" w:color="auto"/>
            <w:right w:val="none" w:sz="0" w:space="0" w:color="auto"/>
          </w:divBdr>
          <w:divsChild>
            <w:div w:id="1114667153">
              <w:marLeft w:val="0"/>
              <w:marRight w:val="0"/>
              <w:marTop w:val="0"/>
              <w:marBottom w:val="0"/>
              <w:divBdr>
                <w:top w:val="none" w:sz="0" w:space="0" w:color="auto"/>
                <w:left w:val="none" w:sz="0" w:space="0" w:color="auto"/>
                <w:bottom w:val="none" w:sz="0" w:space="0" w:color="auto"/>
                <w:right w:val="none" w:sz="0" w:space="0" w:color="auto"/>
              </w:divBdr>
              <w:divsChild>
                <w:div w:id="2068724742">
                  <w:marLeft w:val="0"/>
                  <w:marRight w:val="0"/>
                  <w:marTop w:val="0"/>
                  <w:marBottom w:val="0"/>
                  <w:divBdr>
                    <w:top w:val="none" w:sz="0" w:space="0" w:color="auto"/>
                    <w:left w:val="none" w:sz="0" w:space="0" w:color="auto"/>
                    <w:bottom w:val="none" w:sz="0" w:space="0" w:color="auto"/>
                    <w:right w:val="none" w:sz="0" w:space="0" w:color="auto"/>
                  </w:divBdr>
                  <w:divsChild>
                    <w:div w:id="1324314928">
                      <w:marLeft w:val="0"/>
                      <w:marRight w:val="0"/>
                      <w:marTop w:val="0"/>
                      <w:marBottom w:val="0"/>
                      <w:divBdr>
                        <w:top w:val="none" w:sz="0" w:space="0" w:color="auto"/>
                        <w:left w:val="none" w:sz="0" w:space="0" w:color="auto"/>
                        <w:bottom w:val="none" w:sz="0" w:space="0" w:color="auto"/>
                        <w:right w:val="none" w:sz="0" w:space="0" w:color="auto"/>
                      </w:divBdr>
                      <w:divsChild>
                        <w:div w:id="1499610789">
                          <w:marLeft w:val="0"/>
                          <w:marRight w:val="0"/>
                          <w:marTop w:val="0"/>
                          <w:marBottom w:val="0"/>
                          <w:divBdr>
                            <w:top w:val="none" w:sz="0" w:space="0" w:color="auto"/>
                            <w:left w:val="none" w:sz="0" w:space="0" w:color="auto"/>
                            <w:bottom w:val="none" w:sz="0" w:space="0" w:color="auto"/>
                            <w:right w:val="none" w:sz="0" w:space="0" w:color="auto"/>
                          </w:divBdr>
                          <w:divsChild>
                            <w:div w:id="506332316">
                              <w:marLeft w:val="0"/>
                              <w:marRight w:val="0"/>
                              <w:marTop w:val="0"/>
                              <w:marBottom w:val="0"/>
                              <w:divBdr>
                                <w:top w:val="none" w:sz="0" w:space="0" w:color="auto"/>
                                <w:left w:val="none" w:sz="0" w:space="0" w:color="auto"/>
                                <w:bottom w:val="none" w:sz="0" w:space="0" w:color="auto"/>
                                <w:right w:val="none" w:sz="0" w:space="0" w:color="auto"/>
                              </w:divBdr>
                              <w:divsChild>
                                <w:div w:id="1940985098">
                                  <w:marLeft w:val="0"/>
                                  <w:marRight w:val="0"/>
                                  <w:marTop w:val="0"/>
                                  <w:marBottom w:val="0"/>
                                  <w:divBdr>
                                    <w:top w:val="none" w:sz="0" w:space="0" w:color="auto"/>
                                    <w:left w:val="none" w:sz="0" w:space="0" w:color="auto"/>
                                    <w:bottom w:val="none" w:sz="0" w:space="0" w:color="auto"/>
                                    <w:right w:val="none" w:sz="0" w:space="0" w:color="auto"/>
                                  </w:divBdr>
                                  <w:divsChild>
                                    <w:div w:id="1259290882">
                                      <w:marLeft w:val="0"/>
                                      <w:marRight w:val="0"/>
                                      <w:marTop w:val="0"/>
                                      <w:marBottom w:val="0"/>
                                      <w:divBdr>
                                        <w:top w:val="none" w:sz="0" w:space="0" w:color="auto"/>
                                        <w:left w:val="none" w:sz="0" w:space="0" w:color="auto"/>
                                        <w:bottom w:val="none" w:sz="0" w:space="0" w:color="auto"/>
                                        <w:right w:val="none" w:sz="0" w:space="0" w:color="auto"/>
                                      </w:divBdr>
                                      <w:divsChild>
                                        <w:div w:id="239293945">
                                          <w:marLeft w:val="0"/>
                                          <w:marRight w:val="0"/>
                                          <w:marTop w:val="0"/>
                                          <w:marBottom w:val="0"/>
                                          <w:divBdr>
                                            <w:top w:val="none" w:sz="0" w:space="0" w:color="auto"/>
                                            <w:left w:val="none" w:sz="0" w:space="0" w:color="auto"/>
                                            <w:bottom w:val="none" w:sz="0" w:space="0" w:color="auto"/>
                                            <w:right w:val="none" w:sz="0" w:space="0" w:color="auto"/>
                                          </w:divBdr>
                                          <w:divsChild>
                                            <w:div w:id="106241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1027188">
      <w:bodyDiv w:val="1"/>
      <w:marLeft w:val="0"/>
      <w:marRight w:val="0"/>
      <w:marTop w:val="0"/>
      <w:marBottom w:val="0"/>
      <w:divBdr>
        <w:top w:val="none" w:sz="0" w:space="0" w:color="auto"/>
        <w:left w:val="none" w:sz="0" w:space="0" w:color="auto"/>
        <w:bottom w:val="none" w:sz="0" w:space="0" w:color="auto"/>
        <w:right w:val="none" w:sz="0" w:space="0" w:color="auto"/>
      </w:divBdr>
      <w:divsChild>
        <w:div w:id="87819334">
          <w:marLeft w:val="0"/>
          <w:marRight w:val="0"/>
          <w:marTop w:val="0"/>
          <w:marBottom w:val="0"/>
          <w:divBdr>
            <w:top w:val="none" w:sz="0" w:space="0" w:color="auto"/>
            <w:left w:val="none" w:sz="0" w:space="0" w:color="auto"/>
            <w:bottom w:val="none" w:sz="0" w:space="0" w:color="auto"/>
            <w:right w:val="none" w:sz="0" w:space="0" w:color="auto"/>
          </w:divBdr>
          <w:divsChild>
            <w:div w:id="730158823">
              <w:marLeft w:val="0"/>
              <w:marRight w:val="0"/>
              <w:marTop w:val="0"/>
              <w:marBottom w:val="0"/>
              <w:divBdr>
                <w:top w:val="none" w:sz="0" w:space="0" w:color="auto"/>
                <w:left w:val="none" w:sz="0" w:space="0" w:color="auto"/>
                <w:bottom w:val="none" w:sz="0" w:space="0" w:color="auto"/>
                <w:right w:val="none" w:sz="0" w:space="0" w:color="auto"/>
              </w:divBdr>
              <w:divsChild>
                <w:div w:id="939947397">
                  <w:marLeft w:val="0"/>
                  <w:marRight w:val="0"/>
                  <w:marTop w:val="0"/>
                  <w:marBottom w:val="0"/>
                  <w:divBdr>
                    <w:top w:val="none" w:sz="0" w:space="0" w:color="auto"/>
                    <w:left w:val="none" w:sz="0" w:space="0" w:color="auto"/>
                    <w:bottom w:val="none" w:sz="0" w:space="0" w:color="auto"/>
                    <w:right w:val="none" w:sz="0" w:space="0" w:color="auto"/>
                  </w:divBdr>
                  <w:divsChild>
                    <w:div w:id="902642907">
                      <w:marLeft w:val="0"/>
                      <w:marRight w:val="0"/>
                      <w:marTop w:val="0"/>
                      <w:marBottom w:val="0"/>
                      <w:divBdr>
                        <w:top w:val="none" w:sz="0" w:space="0" w:color="auto"/>
                        <w:left w:val="none" w:sz="0" w:space="0" w:color="auto"/>
                        <w:bottom w:val="none" w:sz="0" w:space="0" w:color="auto"/>
                        <w:right w:val="none" w:sz="0" w:space="0" w:color="auto"/>
                      </w:divBdr>
                      <w:divsChild>
                        <w:div w:id="1136490682">
                          <w:marLeft w:val="0"/>
                          <w:marRight w:val="0"/>
                          <w:marTop w:val="0"/>
                          <w:marBottom w:val="0"/>
                          <w:divBdr>
                            <w:top w:val="none" w:sz="0" w:space="0" w:color="auto"/>
                            <w:left w:val="none" w:sz="0" w:space="0" w:color="auto"/>
                            <w:bottom w:val="none" w:sz="0" w:space="0" w:color="auto"/>
                            <w:right w:val="none" w:sz="0" w:space="0" w:color="auto"/>
                          </w:divBdr>
                          <w:divsChild>
                            <w:div w:id="106629449">
                              <w:marLeft w:val="0"/>
                              <w:marRight w:val="0"/>
                              <w:marTop w:val="0"/>
                              <w:marBottom w:val="0"/>
                              <w:divBdr>
                                <w:top w:val="none" w:sz="0" w:space="0" w:color="auto"/>
                                <w:left w:val="none" w:sz="0" w:space="0" w:color="auto"/>
                                <w:bottom w:val="none" w:sz="0" w:space="0" w:color="auto"/>
                                <w:right w:val="none" w:sz="0" w:space="0" w:color="auto"/>
                              </w:divBdr>
                              <w:divsChild>
                                <w:div w:id="1965236386">
                                  <w:marLeft w:val="0"/>
                                  <w:marRight w:val="0"/>
                                  <w:marTop w:val="0"/>
                                  <w:marBottom w:val="0"/>
                                  <w:divBdr>
                                    <w:top w:val="none" w:sz="0" w:space="0" w:color="auto"/>
                                    <w:left w:val="none" w:sz="0" w:space="0" w:color="auto"/>
                                    <w:bottom w:val="none" w:sz="0" w:space="0" w:color="auto"/>
                                    <w:right w:val="none" w:sz="0" w:space="0" w:color="auto"/>
                                  </w:divBdr>
                                  <w:divsChild>
                                    <w:div w:id="74287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067621">
      <w:bodyDiv w:val="1"/>
      <w:marLeft w:val="0"/>
      <w:marRight w:val="0"/>
      <w:marTop w:val="0"/>
      <w:marBottom w:val="0"/>
      <w:divBdr>
        <w:top w:val="none" w:sz="0" w:space="0" w:color="auto"/>
        <w:left w:val="none" w:sz="0" w:space="0" w:color="auto"/>
        <w:bottom w:val="none" w:sz="0" w:space="0" w:color="auto"/>
        <w:right w:val="none" w:sz="0" w:space="0" w:color="auto"/>
      </w:divBdr>
    </w:div>
    <w:div w:id="1851141827">
      <w:bodyDiv w:val="1"/>
      <w:marLeft w:val="0"/>
      <w:marRight w:val="0"/>
      <w:marTop w:val="0"/>
      <w:marBottom w:val="0"/>
      <w:divBdr>
        <w:top w:val="none" w:sz="0" w:space="0" w:color="auto"/>
        <w:left w:val="none" w:sz="0" w:space="0" w:color="auto"/>
        <w:bottom w:val="none" w:sz="0" w:space="0" w:color="auto"/>
        <w:right w:val="none" w:sz="0" w:space="0" w:color="auto"/>
      </w:divBdr>
      <w:divsChild>
        <w:div w:id="41634460">
          <w:marLeft w:val="0"/>
          <w:marRight w:val="0"/>
          <w:marTop w:val="0"/>
          <w:marBottom w:val="150"/>
          <w:divBdr>
            <w:top w:val="none" w:sz="0" w:space="0" w:color="auto"/>
            <w:left w:val="none" w:sz="0" w:space="0" w:color="auto"/>
            <w:bottom w:val="none" w:sz="0" w:space="0" w:color="auto"/>
            <w:right w:val="none" w:sz="0" w:space="0" w:color="auto"/>
          </w:divBdr>
        </w:div>
        <w:div w:id="1694385089">
          <w:marLeft w:val="0"/>
          <w:marRight w:val="0"/>
          <w:marTop w:val="0"/>
          <w:marBottom w:val="0"/>
          <w:divBdr>
            <w:top w:val="none" w:sz="0" w:space="0" w:color="auto"/>
            <w:left w:val="none" w:sz="0" w:space="0" w:color="auto"/>
            <w:bottom w:val="none" w:sz="0" w:space="0" w:color="auto"/>
            <w:right w:val="none" w:sz="0" w:space="0" w:color="auto"/>
          </w:divBdr>
        </w:div>
      </w:divsChild>
    </w:div>
    <w:div w:id="1851293126">
      <w:bodyDiv w:val="1"/>
      <w:marLeft w:val="0"/>
      <w:marRight w:val="0"/>
      <w:marTop w:val="0"/>
      <w:marBottom w:val="0"/>
      <w:divBdr>
        <w:top w:val="none" w:sz="0" w:space="0" w:color="auto"/>
        <w:left w:val="none" w:sz="0" w:space="0" w:color="auto"/>
        <w:bottom w:val="none" w:sz="0" w:space="0" w:color="auto"/>
        <w:right w:val="none" w:sz="0" w:space="0" w:color="auto"/>
      </w:divBdr>
      <w:divsChild>
        <w:div w:id="1388995987">
          <w:marLeft w:val="0"/>
          <w:marRight w:val="0"/>
          <w:marTop w:val="0"/>
          <w:marBottom w:val="0"/>
          <w:divBdr>
            <w:top w:val="none" w:sz="0" w:space="0" w:color="auto"/>
            <w:left w:val="none" w:sz="0" w:space="0" w:color="auto"/>
            <w:bottom w:val="none" w:sz="0" w:space="0" w:color="auto"/>
            <w:right w:val="none" w:sz="0" w:space="0" w:color="auto"/>
          </w:divBdr>
          <w:divsChild>
            <w:div w:id="78985415">
              <w:marLeft w:val="0"/>
              <w:marRight w:val="0"/>
              <w:marTop w:val="0"/>
              <w:marBottom w:val="0"/>
              <w:divBdr>
                <w:top w:val="none" w:sz="0" w:space="0" w:color="auto"/>
                <w:left w:val="none" w:sz="0" w:space="0" w:color="auto"/>
                <w:bottom w:val="none" w:sz="0" w:space="0" w:color="auto"/>
                <w:right w:val="none" w:sz="0" w:space="0" w:color="auto"/>
              </w:divBdr>
              <w:divsChild>
                <w:div w:id="1959558249">
                  <w:marLeft w:val="0"/>
                  <w:marRight w:val="0"/>
                  <w:marTop w:val="0"/>
                  <w:marBottom w:val="0"/>
                  <w:divBdr>
                    <w:top w:val="none" w:sz="0" w:space="0" w:color="auto"/>
                    <w:left w:val="none" w:sz="0" w:space="0" w:color="auto"/>
                    <w:bottom w:val="none" w:sz="0" w:space="0" w:color="auto"/>
                    <w:right w:val="none" w:sz="0" w:space="0" w:color="auto"/>
                  </w:divBdr>
                  <w:divsChild>
                    <w:div w:id="944381714">
                      <w:marLeft w:val="0"/>
                      <w:marRight w:val="0"/>
                      <w:marTop w:val="0"/>
                      <w:marBottom w:val="0"/>
                      <w:divBdr>
                        <w:top w:val="none" w:sz="0" w:space="0" w:color="auto"/>
                        <w:left w:val="none" w:sz="0" w:space="0" w:color="auto"/>
                        <w:bottom w:val="none" w:sz="0" w:space="0" w:color="auto"/>
                        <w:right w:val="none" w:sz="0" w:space="0" w:color="auto"/>
                      </w:divBdr>
                      <w:divsChild>
                        <w:div w:id="1049107576">
                          <w:marLeft w:val="0"/>
                          <w:marRight w:val="0"/>
                          <w:marTop w:val="0"/>
                          <w:marBottom w:val="0"/>
                          <w:divBdr>
                            <w:top w:val="none" w:sz="0" w:space="0" w:color="auto"/>
                            <w:left w:val="none" w:sz="0" w:space="0" w:color="auto"/>
                            <w:bottom w:val="none" w:sz="0" w:space="0" w:color="auto"/>
                            <w:right w:val="none" w:sz="0" w:space="0" w:color="auto"/>
                          </w:divBdr>
                          <w:divsChild>
                            <w:div w:id="2131893468">
                              <w:marLeft w:val="0"/>
                              <w:marRight w:val="0"/>
                              <w:marTop w:val="0"/>
                              <w:marBottom w:val="0"/>
                              <w:divBdr>
                                <w:top w:val="none" w:sz="0" w:space="0" w:color="auto"/>
                                <w:left w:val="none" w:sz="0" w:space="0" w:color="auto"/>
                                <w:bottom w:val="none" w:sz="0" w:space="0" w:color="auto"/>
                                <w:right w:val="none" w:sz="0" w:space="0" w:color="auto"/>
                              </w:divBdr>
                              <w:divsChild>
                                <w:div w:id="30404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1674142">
      <w:bodyDiv w:val="1"/>
      <w:marLeft w:val="0"/>
      <w:marRight w:val="0"/>
      <w:marTop w:val="0"/>
      <w:marBottom w:val="0"/>
      <w:divBdr>
        <w:top w:val="none" w:sz="0" w:space="0" w:color="auto"/>
        <w:left w:val="none" w:sz="0" w:space="0" w:color="auto"/>
        <w:bottom w:val="none" w:sz="0" w:space="0" w:color="auto"/>
        <w:right w:val="none" w:sz="0" w:space="0" w:color="auto"/>
      </w:divBdr>
      <w:divsChild>
        <w:div w:id="1089738670">
          <w:marLeft w:val="0"/>
          <w:marRight w:val="225"/>
          <w:marTop w:val="0"/>
          <w:marBottom w:val="0"/>
          <w:divBdr>
            <w:top w:val="none" w:sz="0" w:space="0" w:color="auto"/>
            <w:left w:val="none" w:sz="0" w:space="0" w:color="auto"/>
            <w:bottom w:val="none" w:sz="0" w:space="0" w:color="auto"/>
            <w:right w:val="none" w:sz="0" w:space="0" w:color="auto"/>
          </w:divBdr>
          <w:divsChild>
            <w:div w:id="1675643614">
              <w:marLeft w:val="0"/>
              <w:marRight w:val="0"/>
              <w:marTop w:val="225"/>
              <w:marBottom w:val="0"/>
              <w:divBdr>
                <w:top w:val="none" w:sz="0" w:space="0" w:color="auto"/>
                <w:left w:val="none" w:sz="0" w:space="0" w:color="auto"/>
                <w:bottom w:val="none" w:sz="0" w:space="0" w:color="auto"/>
                <w:right w:val="none" w:sz="0" w:space="0" w:color="auto"/>
              </w:divBdr>
              <w:divsChild>
                <w:div w:id="67268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844010">
          <w:marLeft w:val="0"/>
          <w:marRight w:val="0"/>
          <w:marTop w:val="0"/>
          <w:marBottom w:val="0"/>
          <w:divBdr>
            <w:top w:val="none" w:sz="0" w:space="0" w:color="auto"/>
            <w:left w:val="none" w:sz="0" w:space="0" w:color="auto"/>
            <w:bottom w:val="none" w:sz="0" w:space="0" w:color="auto"/>
            <w:right w:val="none" w:sz="0" w:space="0" w:color="auto"/>
          </w:divBdr>
          <w:divsChild>
            <w:div w:id="1588616558">
              <w:marLeft w:val="0"/>
              <w:marRight w:val="0"/>
              <w:marTop w:val="0"/>
              <w:marBottom w:val="150"/>
              <w:divBdr>
                <w:top w:val="none" w:sz="0" w:space="0" w:color="auto"/>
                <w:left w:val="none" w:sz="0" w:space="0" w:color="auto"/>
                <w:bottom w:val="none" w:sz="0" w:space="0" w:color="auto"/>
                <w:right w:val="none" w:sz="0" w:space="0" w:color="auto"/>
              </w:divBdr>
              <w:divsChild>
                <w:div w:id="84177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749802">
      <w:bodyDiv w:val="1"/>
      <w:marLeft w:val="0"/>
      <w:marRight w:val="0"/>
      <w:marTop w:val="0"/>
      <w:marBottom w:val="0"/>
      <w:divBdr>
        <w:top w:val="none" w:sz="0" w:space="0" w:color="auto"/>
        <w:left w:val="none" w:sz="0" w:space="0" w:color="auto"/>
        <w:bottom w:val="none" w:sz="0" w:space="0" w:color="auto"/>
        <w:right w:val="none" w:sz="0" w:space="0" w:color="auto"/>
      </w:divBdr>
      <w:divsChild>
        <w:div w:id="1146507396">
          <w:marLeft w:val="0"/>
          <w:marRight w:val="0"/>
          <w:marTop w:val="0"/>
          <w:marBottom w:val="150"/>
          <w:divBdr>
            <w:top w:val="none" w:sz="0" w:space="0" w:color="auto"/>
            <w:left w:val="none" w:sz="0" w:space="0" w:color="auto"/>
            <w:bottom w:val="none" w:sz="0" w:space="0" w:color="auto"/>
            <w:right w:val="none" w:sz="0" w:space="0" w:color="auto"/>
          </w:divBdr>
        </w:div>
      </w:divsChild>
    </w:div>
    <w:div w:id="1852331441">
      <w:bodyDiv w:val="1"/>
      <w:marLeft w:val="0"/>
      <w:marRight w:val="0"/>
      <w:marTop w:val="0"/>
      <w:marBottom w:val="0"/>
      <w:divBdr>
        <w:top w:val="none" w:sz="0" w:space="0" w:color="auto"/>
        <w:left w:val="none" w:sz="0" w:space="0" w:color="auto"/>
        <w:bottom w:val="none" w:sz="0" w:space="0" w:color="auto"/>
        <w:right w:val="none" w:sz="0" w:space="0" w:color="auto"/>
      </w:divBdr>
      <w:divsChild>
        <w:div w:id="494610598">
          <w:marLeft w:val="0"/>
          <w:marRight w:val="0"/>
          <w:marTop w:val="0"/>
          <w:marBottom w:val="0"/>
          <w:divBdr>
            <w:top w:val="none" w:sz="0" w:space="0" w:color="auto"/>
            <w:left w:val="none" w:sz="0" w:space="0" w:color="auto"/>
            <w:bottom w:val="none" w:sz="0" w:space="0" w:color="auto"/>
            <w:right w:val="none" w:sz="0" w:space="0" w:color="auto"/>
          </w:divBdr>
          <w:divsChild>
            <w:div w:id="314451604">
              <w:marLeft w:val="0"/>
              <w:marRight w:val="0"/>
              <w:marTop w:val="0"/>
              <w:marBottom w:val="0"/>
              <w:divBdr>
                <w:top w:val="none" w:sz="0" w:space="0" w:color="auto"/>
                <w:left w:val="none" w:sz="0" w:space="0" w:color="auto"/>
                <w:bottom w:val="none" w:sz="0" w:space="0" w:color="auto"/>
                <w:right w:val="none" w:sz="0" w:space="0" w:color="auto"/>
              </w:divBdr>
            </w:div>
          </w:divsChild>
        </w:div>
        <w:div w:id="1244216597">
          <w:marLeft w:val="0"/>
          <w:marRight w:val="0"/>
          <w:marTop w:val="0"/>
          <w:marBottom w:val="150"/>
          <w:divBdr>
            <w:top w:val="none" w:sz="0" w:space="0" w:color="auto"/>
            <w:left w:val="none" w:sz="0" w:space="0" w:color="auto"/>
            <w:bottom w:val="none" w:sz="0" w:space="0" w:color="auto"/>
            <w:right w:val="none" w:sz="0" w:space="0" w:color="auto"/>
          </w:divBdr>
          <w:divsChild>
            <w:div w:id="1856067312">
              <w:marLeft w:val="0"/>
              <w:marRight w:val="0"/>
              <w:marTop w:val="0"/>
              <w:marBottom w:val="0"/>
              <w:divBdr>
                <w:top w:val="none" w:sz="0" w:space="0" w:color="auto"/>
                <w:left w:val="none" w:sz="0" w:space="0" w:color="auto"/>
                <w:bottom w:val="none" w:sz="0" w:space="0" w:color="auto"/>
                <w:right w:val="none" w:sz="0" w:space="0" w:color="auto"/>
              </w:divBdr>
            </w:div>
          </w:divsChild>
        </w:div>
        <w:div w:id="1799108667">
          <w:marLeft w:val="0"/>
          <w:marRight w:val="0"/>
          <w:marTop w:val="0"/>
          <w:marBottom w:val="150"/>
          <w:divBdr>
            <w:top w:val="none" w:sz="0" w:space="0" w:color="auto"/>
            <w:left w:val="none" w:sz="0" w:space="0" w:color="auto"/>
            <w:bottom w:val="none" w:sz="0" w:space="0" w:color="auto"/>
            <w:right w:val="none" w:sz="0" w:space="0" w:color="auto"/>
          </w:divBdr>
        </w:div>
      </w:divsChild>
    </w:div>
    <w:div w:id="1852835126">
      <w:bodyDiv w:val="1"/>
      <w:marLeft w:val="0"/>
      <w:marRight w:val="0"/>
      <w:marTop w:val="0"/>
      <w:marBottom w:val="0"/>
      <w:divBdr>
        <w:top w:val="none" w:sz="0" w:space="0" w:color="auto"/>
        <w:left w:val="none" w:sz="0" w:space="0" w:color="auto"/>
        <w:bottom w:val="none" w:sz="0" w:space="0" w:color="auto"/>
        <w:right w:val="none" w:sz="0" w:space="0" w:color="auto"/>
      </w:divBdr>
      <w:divsChild>
        <w:div w:id="73205229">
          <w:marLeft w:val="0"/>
          <w:marRight w:val="0"/>
          <w:marTop w:val="0"/>
          <w:marBottom w:val="0"/>
          <w:divBdr>
            <w:top w:val="none" w:sz="0" w:space="0" w:color="auto"/>
            <w:left w:val="none" w:sz="0" w:space="0" w:color="auto"/>
            <w:bottom w:val="none" w:sz="0" w:space="0" w:color="auto"/>
            <w:right w:val="none" w:sz="0" w:space="0" w:color="auto"/>
          </w:divBdr>
          <w:divsChild>
            <w:div w:id="1737825102">
              <w:marLeft w:val="0"/>
              <w:marRight w:val="0"/>
              <w:marTop w:val="0"/>
              <w:marBottom w:val="0"/>
              <w:divBdr>
                <w:top w:val="none" w:sz="0" w:space="0" w:color="auto"/>
                <w:left w:val="none" w:sz="0" w:space="0" w:color="auto"/>
                <w:bottom w:val="none" w:sz="0" w:space="0" w:color="auto"/>
                <w:right w:val="none" w:sz="0" w:space="0" w:color="auto"/>
              </w:divBdr>
            </w:div>
          </w:divsChild>
        </w:div>
        <w:div w:id="91249609">
          <w:marLeft w:val="0"/>
          <w:marRight w:val="0"/>
          <w:marTop w:val="0"/>
          <w:marBottom w:val="150"/>
          <w:divBdr>
            <w:top w:val="none" w:sz="0" w:space="0" w:color="auto"/>
            <w:left w:val="none" w:sz="0" w:space="0" w:color="auto"/>
            <w:bottom w:val="none" w:sz="0" w:space="0" w:color="auto"/>
            <w:right w:val="none" w:sz="0" w:space="0" w:color="auto"/>
          </w:divBdr>
          <w:divsChild>
            <w:div w:id="1869563125">
              <w:marLeft w:val="0"/>
              <w:marRight w:val="0"/>
              <w:marTop w:val="0"/>
              <w:marBottom w:val="0"/>
              <w:divBdr>
                <w:top w:val="none" w:sz="0" w:space="0" w:color="auto"/>
                <w:left w:val="none" w:sz="0" w:space="0" w:color="auto"/>
                <w:bottom w:val="none" w:sz="0" w:space="0" w:color="auto"/>
                <w:right w:val="none" w:sz="0" w:space="0" w:color="auto"/>
              </w:divBdr>
            </w:div>
          </w:divsChild>
        </w:div>
        <w:div w:id="1266622151">
          <w:marLeft w:val="0"/>
          <w:marRight w:val="0"/>
          <w:marTop w:val="0"/>
          <w:marBottom w:val="150"/>
          <w:divBdr>
            <w:top w:val="none" w:sz="0" w:space="0" w:color="auto"/>
            <w:left w:val="none" w:sz="0" w:space="0" w:color="auto"/>
            <w:bottom w:val="none" w:sz="0" w:space="0" w:color="auto"/>
            <w:right w:val="none" w:sz="0" w:space="0" w:color="auto"/>
          </w:divBdr>
        </w:div>
      </w:divsChild>
    </w:div>
    <w:div w:id="1852837512">
      <w:bodyDiv w:val="1"/>
      <w:marLeft w:val="0"/>
      <w:marRight w:val="0"/>
      <w:marTop w:val="0"/>
      <w:marBottom w:val="0"/>
      <w:divBdr>
        <w:top w:val="none" w:sz="0" w:space="0" w:color="auto"/>
        <w:left w:val="none" w:sz="0" w:space="0" w:color="auto"/>
        <w:bottom w:val="none" w:sz="0" w:space="0" w:color="auto"/>
        <w:right w:val="none" w:sz="0" w:space="0" w:color="auto"/>
      </w:divBdr>
      <w:divsChild>
        <w:div w:id="1766917941">
          <w:marLeft w:val="0"/>
          <w:marRight w:val="0"/>
          <w:marTop w:val="0"/>
          <w:marBottom w:val="0"/>
          <w:divBdr>
            <w:top w:val="none" w:sz="0" w:space="0" w:color="auto"/>
            <w:left w:val="none" w:sz="0" w:space="0" w:color="auto"/>
            <w:bottom w:val="none" w:sz="0" w:space="0" w:color="auto"/>
            <w:right w:val="none" w:sz="0" w:space="0" w:color="auto"/>
          </w:divBdr>
          <w:divsChild>
            <w:div w:id="595483470">
              <w:marLeft w:val="0"/>
              <w:marRight w:val="0"/>
              <w:marTop w:val="0"/>
              <w:marBottom w:val="0"/>
              <w:divBdr>
                <w:top w:val="none" w:sz="0" w:space="0" w:color="auto"/>
                <w:left w:val="none" w:sz="0" w:space="0" w:color="auto"/>
                <w:bottom w:val="none" w:sz="0" w:space="0" w:color="auto"/>
                <w:right w:val="none" w:sz="0" w:space="0" w:color="auto"/>
              </w:divBdr>
              <w:divsChild>
                <w:div w:id="146003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806593">
          <w:marLeft w:val="0"/>
          <w:marRight w:val="0"/>
          <w:marTop w:val="0"/>
          <w:marBottom w:val="75"/>
          <w:divBdr>
            <w:top w:val="none" w:sz="0" w:space="0" w:color="auto"/>
            <w:left w:val="none" w:sz="0" w:space="0" w:color="auto"/>
            <w:bottom w:val="none" w:sz="0" w:space="0" w:color="auto"/>
            <w:right w:val="none" w:sz="0" w:space="0" w:color="auto"/>
          </w:divBdr>
        </w:div>
        <w:div w:id="558201131">
          <w:marLeft w:val="0"/>
          <w:marRight w:val="0"/>
          <w:marTop w:val="0"/>
          <w:marBottom w:val="300"/>
          <w:divBdr>
            <w:top w:val="none" w:sz="0" w:space="0" w:color="auto"/>
            <w:left w:val="none" w:sz="0" w:space="0" w:color="auto"/>
            <w:bottom w:val="none" w:sz="0" w:space="0" w:color="auto"/>
            <w:right w:val="none" w:sz="0" w:space="0" w:color="auto"/>
          </w:divBdr>
          <w:divsChild>
            <w:div w:id="1465614075">
              <w:marLeft w:val="0"/>
              <w:marRight w:val="0"/>
              <w:marTop w:val="0"/>
              <w:marBottom w:val="0"/>
              <w:divBdr>
                <w:top w:val="none" w:sz="0" w:space="0" w:color="auto"/>
                <w:left w:val="none" w:sz="0" w:space="0" w:color="auto"/>
                <w:bottom w:val="none" w:sz="0" w:space="0" w:color="auto"/>
                <w:right w:val="none" w:sz="0" w:space="0" w:color="auto"/>
              </w:divBdr>
            </w:div>
          </w:divsChild>
        </w:div>
        <w:div w:id="879440746">
          <w:marLeft w:val="0"/>
          <w:marRight w:val="0"/>
          <w:marTop w:val="0"/>
          <w:marBottom w:val="0"/>
          <w:divBdr>
            <w:top w:val="none" w:sz="0" w:space="0" w:color="auto"/>
            <w:left w:val="none" w:sz="0" w:space="0" w:color="auto"/>
            <w:bottom w:val="none" w:sz="0" w:space="0" w:color="auto"/>
            <w:right w:val="none" w:sz="0" w:space="0" w:color="auto"/>
          </w:divBdr>
          <w:divsChild>
            <w:div w:id="661543707">
              <w:marLeft w:val="0"/>
              <w:marRight w:val="0"/>
              <w:marTop w:val="0"/>
              <w:marBottom w:val="0"/>
              <w:divBdr>
                <w:top w:val="none" w:sz="0" w:space="0" w:color="auto"/>
                <w:left w:val="none" w:sz="0" w:space="0" w:color="auto"/>
                <w:bottom w:val="none" w:sz="0" w:space="0" w:color="auto"/>
                <w:right w:val="none" w:sz="0" w:space="0" w:color="auto"/>
              </w:divBdr>
              <w:divsChild>
                <w:div w:id="1170221747">
                  <w:marLeft w:val="0"/>
                  <w:marRight w:val="0"/>
                  <w:marTop w:val="0"/>
                  <w:marBottom w:val="300"/>
                  <w:divBdr>
                    <w:top w:val="none" w:sz="0" w:space="0" w:color="auto"/>
                    <w:left w:val="none" w:sz="0" w:space="0" w:color="auto"/>
                    <w:bottom w:val="none" w:sz="0" w:space="0" w:color="auto"/>
                    <w:right w:val="none" w:sz="0" w:space="0" w:color="auto"/>
                  </w:divBdr>
                  <w:divsChild>
                    <w:div w:id="818822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53568329">
      <w:bodyDiv w:val="1"/>
      <w:marLeft w:val="0"/>
      <w:marRight w:val="0"/>
      <w:marTop w:val="0"/>
      <w:marBottom w:val="0"/>
      <w:divBdr>
        <w:top w:val="none" w:sz="0" w:space="0" w:color="auto"/>
        <w:left w:val="none" w:sz="0" w:space="0" w:color="auto"/>
        <w:bottom w:val="none" w:sz="0" w:space="0" w:color="auto"/>
        <w:right w:val="none" w:sz="0" w:space="0" w:color="auto"/>
      </w:divBdr>
      <w:divsChild>
        <w:div w:id="2115977063">
          <w:marLeft w:val="0"/>
          <w:marRight w:val="0"/>
          <w:marTop w:val="0"/>
          <w:marBottom w:val="0"/>
          <w:divBdr>
            <w:top w:val="none" w:sz="0" w:space="0" w:color="auto"/>
            <w:left w:val="none" w:sz="0" w:space="0" w:color="auto"/>
            <w:bottom w:val="none" w:sz="0" w:space="0" w:color="auto"/>
            <w:right w:val="none" w:sz="0" w:space="0" w:color="auto"/>
          </w:divBdr>
          <w:divsChild>
            <w:div w:id="10149599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53831874">
      <w:bodyDiv w:val="1"/>
      <w:marLeft w:val="0"/>
      <w:marRight w:val="0"/>
      <w:marTop w:val="0"/>
      <w:marBottom w:val="0"/>
      <w:divBdr>
        <w:top w:val="none" w:sz="0" w:space="0" w:color="auto"/>
        <w:left w:val="none" w:sz="0" w:space="0" w:color="auto"/>
        <w:bottom w:val="none" w:sz="0" w:space="0" w:color="auto"/>
        <w:right w:val="none" w:sz="0" w:space="0" w:color="auto"/>
      </w:divBdr>
      <w:divsChild>
        <w:div w:id="1929997120">
          <w:marLeft w:val="0"/>
          <w:marRight w:val="0"/>
          <w:marTop w:val="0"/>
          <w:marBottom w:val="150"/>
          <w:divBdr>
            <w:top w:val="none" w:sz="0" w:space="0" w:color="auto"/>
            <w:left w:val="none" w:sz="0" w:space="0" w:color="auto"/>
            <w:bottom w:val="none" w:sz="0" w:space="0" w:color="auto"/>
            <w:right w:val="none" w:sz="0" w:space="0" w:color="auto"/>
          </w:divBdr>
          <w:divsChild>
            <w:div w:id="459609870">
              <w:marLeft w:val="0"/>
              <w:marRight w:val="0"/>
              <w:marTop w:val="0"/>
              <w:marBottom w:val="0"/>
              <w:divBdr>
                <w:top w:val="none" w:sz="0" w:space="0" w:color="auto"/>
                <w:left w:val="none" w:sz="0" w:space="0" w:color="auto"/>
                <w:bottom w:val="none" w:sz="0" w:space="0" w:color="auto"/>
                <w:right w:val="none" w:sz="0" w:space="0" w:color="auto"/>
              </w:divBdr>
              <w:divsChild>
                <w:div w:id="788011544">
                  <w:marLeft w:val="0"/>
                  <w:marRight w:val="0"/>
                  <w:marTop w:val="0"/>
                  <w:marBottom w:val="0"/>
                  <w:divBdr>
                    <w:top w:val="none" w:sz="0" w:space="0" w:color="auto"/>
                    <w:left w:val="none" w:sz="0" w:space="0" w:color="auto"/>
                    <w:bottom w:val="none" w:sz="0" w:space="0" w:color="auto"/>
                    <w:right w:val="none" w:sz="0" w:space="0" w:color="auto"/>
                  </w:divBdr>
                  <w:divsChild>
                    <w:div w:id="624700267">
                      <w:marLeft w:val="0"/>
                      <w:marRight w:val="150"/>
                      <w:marTop w:val="0"/>
                      <w:marBottom w:val="0"/>
                      <w:divBdr>
                        <w:top w:val="none" w:sz="0" w:space="0" w:color="auto"/>
                        <w:left w:val="none" w:sz="0" w:space="0" w:color="auto"/>
                        <w:bottom w:val="none" w:sz="0" w:space="0" w:color="auto"/>
                        <w:right w:val="none" w:sz="0" w:space="0" w:color="auto"/>
                      </w:divBdr>
                      <w:divsChild>
                        <w:div w:id="167133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601444">
          <w:marLeft w:val="0"/>
          <w:marRight w:val="0"/>
          <w:marTop w:val="0"/>
          <w:marBottom w:val="150"/>
          <w:divBdr>
            <w:top w:val="none" w:sz="0" w:space="0" w:color="auto"/>
            <w:left w:val="none" w:sz="0" w:space="0" w:color="auto"/>
            <w:bottom w:val="none" w:sz="0" w:space="0" w:color="auto"/>
            <w:right w:val="none" w:sz="0" w:space="0" w:color="auto"/>
          </w:divBdr>
        </w:div>
        <w:div w:id="1235776423">
          <w:marLeft w:val="0"/>
          <w:marRight w:val="0"/>
          <w:marTop w:val="0"/>
          <w:marBottom w:val="0"/>
          <w:divBdr>
            <w:top w:val="none" w:sz="0" w:space="0" w:color="auto"/>
            <w:left w:val="none" w:sz="0" w:space="0" w:color="auto"/>
            <w:bottom w:val="none" w:sz="0" w:space="0" w:color="auto"/>
            <w:right w:val="none" w:sz="0" w:space="0" w:color="auto"/>
          </w:divBdr>
          <w:divsChild>
            <w:div w:id="13283678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54147694">
      <w:bodyDiv w:val="1"/>
      <w:marLeft w:val="0"/>
      <w:marRight w:val="0"/>
      <w:marTop w:val="0"/>
      <w:marBottom w:val="0"/>
      <w:divBdr>
        <w:top w:val="none" w:sz="0" w:space="0" w:color="auto"/>
        <w:left w:val="none" w:sz="0" w:space="0" w:color="auto"/>
        <w:bottom w:val="none" w:sz="0" w:space="0" w:color="auto"/>
        <w:right w:val="none" w:sz="0" w:space="0" w:color="auto"/>
      </w:divBdr>
      <w:divsChild>
        <w:div w:id="148402994">
          <w:marLeft w:val="0"/>
          <w:marRight w:val="0"/>
          <w:marTop w:val="0"/>
          <w:marBottom w:val="0"/>
          <w:divBdr>
            <w:top w:val="none" w:sz="0" w:space="0" w:color="auto"/>
            <w:left w:val="none" w:sz="0" w:space="0" w:color="auto"/>
            <w:bottom w:val="dotted" w:sz="6" w:space="4" w:color="DDDDDD"/>
            <w:right w:val="none" w:sz="0" w:space="0" w:color="auto"/>
          </w:divBdr>
          <w:divsChild>
            <w:div w:id="36263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950546">
      <w:bodyDiv w:val="1"/>
      <w:marLeft w:val="0"/>
      <w:marRight w:val="0"/>
      <w:marTop w:val="0"/>
      <w:marBottom w:val="0"/>
      <w:divBdr>
        <w:top w:val="none" w:sz="0" w:space="0" w:color="auto"/>
        <w:left w:val="none" w:sz="0" w:space="0" w:color="auto"/>
        <w:bottom w:val="none" w:sz="0" w:space="0" w:color="auto"/>
        <w:right w:val="none" w:sz="0" w:space="0" w:color="auto"/>
      </w:divBdr>
      <w:divsChild>
        <w:div w:id="1558786141">
          <w:marLeft w:val="0"/>
          <w:marRight w:val="0"/>
          <w:marTop w:val="0"/>
          <w:marBottom w:val="0"/>
          <w:divBdr>
            <w:top w:val="none" w:sz="0" w:space="0" w:color="auto"/>
            <w:left w:val="none" w:sz="0" w:space="0" w:color="auto"/>
            <w:bottom w:val="dotted" w:sz="6" w:space="4" w:color="DDDDDD"/>
            <w:right w:val="none" w:sz="0" w:space="0" w:color="auto"/>
          </w:divBdr>
        </w:div>
      </w:divsChild>
    </w:div>
    <w:div w:id="1855028039">
      <w:bodyDiv w:val="1"/>
      <w:marLeft w:val="0"/>
      <w:marRight w:val="0"/>
      <w:marTop w:val="0"/>
      <w:marBottom w:val="0"/>
      <w:divBdr>
        <w:top w:val="none" w:sz="0" w:space="0" w:color="auto"/>
        <w:left w:val="none" w:sz="0" w:space="0" w:color="auto"/>
        <w:bottom w:val="none" w:sz="0" w:space="0" w:color="auto"/>
        <w:right w:val="none" w:sz="0" w:space="0" w:color="auto"/>
      </w:divBdr>
      <w:divsChild>
        <w:div w:id="1778867399">
          <w:marLeft w:val="0"/>
          <w:marRight w:val="0"/>
          <w:marTop w:val="0"/>
          <w:marBottom w:val="0"/>
          <w:divBdr>
            <w:top w:val="none" w:sz="0" w:space="0" w:color="auto"/>
            <w:left w:val="none" w:sz="0" w:space="0" w:color="auto"/>
            <w:bottom w:val="none" w:sz="0" w:space="0" w:color="auto"/>
            <w:right w:val="none" w:sz="0" w:space="0" w:color="auto"/>
          </w:divBdr>
        </w:div>
      </w:divsChild>
    </w:div>
    <w:div w:id="1855071649">
      <w:bodyDiv w:val="1"/>
      <w:marLeft w:val="0"/>
      <w:marRight w:val="0"/>
      <w:marTop w:val="0"/>
      <w:marBottom w:val="0"/>
      <w:divBdr>
        <w:top w:val="none" w:sz="0" w:space="0" w:color="auto"/>
        <w:left w:val="none" w:sz="0" w:space="0" w:color="auto"/>
        <w:bottom w:val="none" w:sz="0" w:space="0" w:color="auto"/>
        <w:right w:val="none" w:sz="0" w:space="0" w:color="auto"/>
      </w:divBdr>
      <w:divsChild>
        <w:div w:id="162863045">
          <w:marLeft w:val="0"/>
          <w:marRight w:val="0"/>
          <w:marTop w:val="0"/>
          <w:marBottom w:val="0"/>
          <w:divBdr>
            <w:top w:val="none" w:sz="0" w:space="0" w:color="auto"/>
            <w:left w:val="none" w:sz="0" w:space="0" w:color="auto"/>
            <w:bottom w:val="none" w:sz="0" w:space="0" w:color="auto"/>
            <w:right w:val="none" w:sz="0" w:space="0" w:color="auto"/>
          </w:divBdr>
          <w:divsChild>
            <w:div w:id="12573996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55412162">
      <w:bodyDiv w:val="1"/>
      <w:marLeft w:val="0"/>
      <w:marRight w:val="0"/>
      <w:marTop w:val="0"/>
      <w:marBottom w:val="0"/>
      <w:divBdr>
        <w:top w:val="none" w:sz="0" w:space="0" w:color="auto"/>
        <w:left w:val="none" w:sz="0" w:space="0" w:color="auto"/>
        <w:bottom w:val="none" w:sz="0" w:space="0" w:color="auto"/>
        <w:right w:val="none" w:sz="0" w:space="0" w:color="auto"/>
      </w:divBdr>
    </w:div>
    <w:div w:id="1855730501">
      <w:bodyDiv w:val="1"/>
      <w:marLeft w:val="0"/>
      <w:marRight w:val="0"/>
      <w:marTop w:val="0"/>
      <w:marBottom w:val="0"/>
      <w:divBdr>
        <w:top w:val="none" w:sz="0" w:space="0" w:color="auto"/>
        <w:left w:val="none" w:sz="0" w:space="0" w:color="auto"/>
        <w:bottom w:val="none" w:sz="0" w:space="0" w:color="auto"/>
        <w:right w:val="none" w:sz="0" w:space="0" w:color="auto"/>
      </w:divBdr>
    </w:div>
    <w:div w:id="1856309260">
      <w:bodyDiv w:val="1"/>
      <w:marLeft w:val="0"/>
      <w:marRight w:val="0"/>
      <w:marTop w:val="0"/>
      <w:marBottom w:val="0"/>
      <w:divBdr>
        <w:top w:val="none" w:sz="0" w:space="0" w:color="auto"/>
        <w:left w:val="none" w:sz="0" w:space="0" w:color="auto"/>
        <w:bottom w:val="none" w:sz="0" w:space="0" w:color="auto"/>
        <w:right w:val="none" w:sz="0" w:space="0" w:color="auto"/>
      </w:divBdr>
      <w:divsChild>
        <w:div w:id="553780497">
          <w:marLeft w:val="0"/>
          <w:marRight w:val="0"/>
          <w:marTop w:val="0"/>
          <w:marBottom w:val="0"/>
          <w:divBdr>
            <w:top w:val="none" w:sz="0" w:space="0" w:color="auto"/>
            <w:left w:val="none" w:sz="0" w:space="0" w:color="auto"/>
            <w:bottom w:val="none" w:sz="0" w:space="0" w:color="auto"/>
            <w:right w:val="none" w:sz="0" w:space="0" w:color="auto"/>
          </w:divBdr>
          <w:divsChild>
            <w:div w:id="2083720721">
              <w:marLeft w:val="0"/>
              <w:marRight w:val="0"/>
              <w:marTop w:val="0"/>
              <w:marBottom w:val="0"/>
              <w:divBdr>
                <w:top w:val="none" w:sz="0" w:space="0" w:color="auto"/>
                <w:left w:val="none" w:sz="0" w:space="0" w:color="auto"/>
                <w:bottom w:val="none" w:sz="0" w:space="0" w:color="auto"/>
                <w:right w:val="none" w:sz="0" w:space="0" w:color="auto"/>
              </w:divBdr>
              <w:divsChild>
                <w:div w:id="1194808546">
                  <w:marLeft w:val="0"/>
                  <w:marRight w:val="0"/>
                  <w:marTop w:val="0"/>
                  <w:marBottom w:val="0"/>
                  <w:divBdr>
                    <w:top w:val="none" w:sz="0" w:space="0" w:color="auto"/>
                    <w:left w:val="none" w:sz="0" w:space="0" w:color="auto"/>
                    <w:bottom w:val="none" w:sz="0" w:space="0" w:color="auto"/>
                    <w:right w:val="none" w:sz="0" w:space="0" w:color="auto"/>
                  </w:divBdr>
                  <w:divsChild>
                    <w:div w:id="556209920">
                      <w:marLeft w:val="0"/>
                      <w:marRight w:val="0"/>
                      <w:marTop w:val="0"/>
                      <w:marBottom w:val="300"/>
                      <w:divBdr>
                        <w:top w:val="none" w:sz="0" w:space="0" w:color="auto"/>
                        <w:left w:val="none" w:sz="0" w:space="0" w:color="auto"/>
                        <w:bottom w:val="none" w:sz="0" w:space="0" w:color="auto"/>
                        <w:right w:val="none" w:sz="0" w:space="0" w:color="auto"/>
                      </w:divBdr>
                      <w:divsChild>
                        <w:div w:id="878277998">
                          <w:marLeft w:val="0"/>
                          <w:marRight w:val="0"/>
                          <w:marTop w:val="0"/>
                          <w:marBottom w:val="0"/>
                          <w:divBdr>
                            <w:top w:val="none" w:sz="0" w:space="0" w:color="auto"/>
                            <w:left w:val="none" w:sz="0" w:space="0" w:color="auto"/>
                            <w:bottom w:val="none" w:sz="0" w:space="0" w:color="auto"/>
                            <w:right w:val="none" w:sz="0" w:space="0" w:color="auto"/>
                          </w:divBdr>
                        </w:div>
                      </w:divsChild>
                    </w:div>
                    <w:div w:id="728503792">
                      <w:marLeft w:val="0"/>
                      <w:marRight w:val="0"/>
                      <w:marTop w:val="0"/>
                      <w:marBottom w:val="75"/>
                      <w:divBdr>
                        <w:top w:val="none" w:sz="0" w:space="0" w:color="auto"/>
                        <w:left w:val="none" w:sz="0" w:space="0" w:color="auto"/>
                        <w:bottom w:val="none" w:sz="0" w:space="0" w:color="auto"/>
                        <w:right w:val="none" w:sz="0" w:space="0" w:color="auto"/>
                      </w:divBdr>
                    </w:div>
                    <w:div w:id="1290818020">
                      <w:marLeft w:val="0"/>
                      <w:marRight w:val="0"/>
                      <w:marTop w:val="0"/>
                      <w:marBottom w:val="0"/>
                      <w:divBdr>
                        <w:top w:val="none" w:sz="0" w:space="0" w:color="auto"/>
                        <w:left w:val="none" w:sz="0" w:space="0" w:color="auto"/>
                        <w:bottom w:val="none" w:sz="0" w:space="0" w:color="auto"/>
                        <w:right w:val="none" w:sz="0" w:space="0" w:color="auto"/>
                      </w:divBdr>
                      <w:divsChild>
                        <w:div w:id="1025324294">
                          <w:marLeft w:val="0"/>
                          <w:marRight w:val="0"/>
                          <w:marTop w:val="0"/>
                          <w:marBottom w:val="0"/>
                          <w:divBdr>
                            <w:top w:val="none" w:sz="0" w:space="0" w:color="auto"/>
                            <w:left w:val="none" w:sz="0" w:space="0" w:color="auto"/>
                            <w:bottom w:val="none" w:sz="0" w:space="0" w:color="auto"/>
                            <w:right w:val="none" w:sz="0" w:space="0" w:color="auto"/>
                          </w:divBdr>
                          <w:divsChild>
                            <w:div w:id="1837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81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699456">
          <w:marLeft w:val="0"/>
          <w:marRight w:val="0"/>
          <w:marTop w:val="0"/>
          <w:marBottom w:val="0"/>
          <w:divBdr>
            <w:top w:val="none" w:sz="0" w:space="0" w:color="auto"/>
            <w:left w:val="none" w:sz="0" w:space="0" w:color="auto"/>
            <w:bottom w:val="none" w:sz="0" w:space="0" w:color="auto"/>
            <w:right w:val="none" w:sz="0" w:space="0" w:color="auto"/>
          </w:divBdr>
          <w:divsChild>
            <w:div w:id="1480344749">
              <w:marLeft w:val="0"/>
              <w:marRight w:val="0"/>
              <w:marTop w:val="0"/>
              <w:marBottom w:val="300"/>
              <w:divBdr>
                <w:top w:val="none" w:sz="0" w:space="0" w:color="auto"/>
                <w:left w:val="none" w:sz="0" w:space="0" w:color="auto"/>
                <w:bottom w:val="single" w:sz="6" w:space="0" w:color="F1F1F1"/>
                <w:right w:val="none" w:sz="0" w:space="0" w:color="auto"/>
              </w:divBdr>
              <w:divsChild>
                <w:div w:id="5125765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56966951">
      <w:bodyDiv w:val="1"/>
      <w:marLeft w:val="0"/>
      <w:marRight w:val="0"/>
      <w:marTop w:val="0"/>
      <w:marBottom w:val="0"/>
      <w:divBdr>
        <w:top w:val="none" w:sz="0" w:space="0" w:color="auto"/>
        <w:left w:val="none" w:sz="0" w:space="0" w:color="auto"/>
        <w:bottom w:val="none" w:sz="0" w:space="0" w:color="auto"/>
        <w:right w:val="none" w:sz="0" w:space="0" w:color="auto"/>
      </w:divBdr>
      <w:divsChild>
        <w:div w:id="1815759129">
          <w:marLeft w:val="0"/>
          <w:marRight w:val="0"/>
          <w:marTop w:val="0"/>
          <w:marBottom w:val="150"/>
          <w:divBdr>
            <w:top w:val="none" w:sz="0" w:space="0" w:color="auto"/>
            <w:left w:val="none" w:sz="0" w:space="0" w:color="auto"/>
            <w:bottom w:val="none" w:sz="0" w:space="0" w:color="auto"/>
            <w:right w:val="none" w:sz="0" w:space="0" w:color="auto"/>
          </w:divBdr>
        </w:div>
      </w:divsChild>
    </w:div>
    <w:div w:id="1857310665">
      <w:bodyDiv w:val="1"/>
      <w:marLeft w:val="0"/>
      <w:marRight w:val="0"/>
      <w:marTop w:val="0"/>
      <w:marBottom w:val="0"/>
      <w:divBdr>
        <w:top w:val="none" w:sz="0" w:space="0" w:color="auto"/>
        <w:left w:val="none" w:sz="0" w:space="0" w:color="auto"/>
        <w:bottom w:val="none" w:sz="0" w:space="0" w:color="auto"/>
        <w:right w:val="none" w:sz="0" w:space="0" w:color="auto"/>
      </w:divBdr>
    </w:div>
    <w:div w:id="1857500867">
      <w:bodyDiv w:val="1"/>
      <w:marLeft w:val="0"/>
      <w:marRight w:val="0"/>
      <w:marTop w:val="0"/>
      <w:marBottom w:val="0"/>
      <w:divBdr>
        <w:top w:val="none" w:sz="0" w:space="0" w:color="auto"/>
        <w:left w:val="none" w:sz="0" w:space="0" w:color="auto"/>
        <w:bottom w:val="none" w:sz="0" w:space="0" w:color="auto"/>
        <w:right w:val="none" w:sz="0" w:space="0" w:color="auto"/>
      </w:divBdr>
      <w:divsChild>
        <w:div w:id="1206256646">
          <w:marLeft w:val="0"/>
          <w:marRight w:val="0"/>
          <w:marTop w:val="0"/>
          <w:marBottom w:val="0"/>
          <w:divBdr>
            <w:top w:val="none" w:sz="0" w:space="0" w:color="auto"/>
            <w:left w:val="none" w:sz="0" w:space="0" w:color="auto"/>
            <w:bottom w:val="dotted" w:sz="6" w:space="4" w:color="DDDDDD"/>
            <w:right w:val="none" w:sz="0" w:space="0" w:color="auto"/>
          </w:divBdr>
          <w:divsChild>
            <w:div w:id="173712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575125">
      <w:bodyDiv w:val="1"/>
      <w:marLeft w:val="0"/>
      <w:marRight w:val="0"/>
      <w:marTop w:val="0"/>
      <w:marBottom w:val="0"/>
      <w:divBdr>
        <w:top w:val="none" w:sz="0" w:space="0" w:color="auto"/>
        <w:left w:val="none" w:sz="0" w:space="0" w:color="auto"/>
        <w:bottom w:val="none" w:sz="0" w:space="0" w:color="auto"/>
        <w:right w:val="none" w:sz="0" w:space="0" w:color="auto"/>
      </w:divBdr>
      <w:divsChild>
        <w:div w:id="666325761">
          <w:marLeft w:val="0"/>
          <w:marRight w:val="0"/>
          <w:marTop w:val="0"/>
          <w:marBottom w:val="0"/>
          <w:divBdr>
            <w:top w:val="none" w:sz="0" w:space="0" w:color="auto"/>
            <w:left w:val="none" w:sz="0" w:space="0" w:color="auto"/>
            <w:bottom w:val="dotted" w:sz="6" w:space="4" w:color="DDDDDD"/>
            <w:right w:val="none" w:sz="0" w:space="0" w:color="auto"/>
          </w:divBdr>
        </w:div>
      </w:divsChild>
    </w:div>
    <w:div w:id="1857767324">
      <w:bodyDiv w:val="1"/>
      <w:marLeft w:val="0"/>
      <w:marRight w:val="0"/>
      <w:marTop w:val="0"/>
      <w:marBottom w:val="0"/>
      <w:divBdr>
        <w:top w:val="none" w:sz="0" w:space="0" w:color="auto"/>
        <w:left w:val="none" w:sz="0" w:space="0" w:color="auto"/>
        <w:bottom w:val="none" w:sz="0" w:space="0" w:color="auto"/>
        <w:right w:val="none" w:sz="0" w:space="0" w:color="auto"/>
      </w:divBdr>
      <w:divsChild>
        <w:div w:id="1222013845">
          <w:marLeft w:val="0"/>
          <w:marRight w:val="0"/>
          <w:marTop w:val="0"/>
          <w:marBottom w:val="150"/>
          <w:divBdr>
            <w:top w:val="none" w:sz="0" w:space="0" w:color="auto"/>
            <w:left w:val="none" w:sz="0" w:space="0" w:color="auto"/>
            <w:bottom w:val="none" w:sz="0" w:space="0" w:color="auto"/>
            <w:right w:val="none" w:sz="0" w:space="0" w:color="auto"/>
          </w:divBdr>
          <w:divsChild>
            <w:div w:id="1575629789">
              <w:marLeft w:val="0"/>
              <w:marRight w:val="0"/>
              <w:marTop w:val="0"/>
              <w:marBottom w:val="0"/>
              <w:divBdr>
                <w:top w:val="none" w:sz="0" w:space="0" w:color="auto"/>
                <w:left w:val="none" w:sz="0" w:space="0" w:color="auto"/>
                <w:bottom w:val="none" w:sz="0" w:space="0" w:color="auto"/>
                <w:right w:val="none" w:sz="0" w:space="0" w:color="auto"/>
              </w:divBdr>
            </w:div>
          </w:divsChild>
        </w:div>
        <w:div w:id="1367022523">
          <w:marLeft w:val="0"/>
          <w:marRight w:val="0"/>
          <w:marTop w:val="0"/>
          <w:marBottom w:val="0"/>
          <w:divBdr>
            <w:top w:val="none" w:sz="0" w:space="0" w:color="auto"/>
            <w:left w:val="none" w:sz="0" w:space="0" w:color="auto"/>
            <w:bottom w:val="none" w:sz="0" w:space="0" w:color="auto"/>
            <w:right w:val="none" w:sz="0" w:space="0" w:color="auto"/>
          </w:divBdr>
        </w:div>
      </w:divsChild>
    </w:div>
    <w:div w:id="1857771159">
      <w:bodyDiv w:val="1"/>
      <w:marLeft w:val="0"/>
      <w:marRight w:val="0"/>
      <w:marTop w:val="0"/>
      <w:marBottom w:val="0"/>
      <w:divBdr>
        <w:top w:val="none" w:sz="0" w:space="0" w:color="auto"/>
        <w:left w:val="none" w:sz="0" w:space="0" w:color="auto"/>
        <w:bottom w:val="none" w:sz="0" w:space="0" w:color="auto"/>
        <w:right w:val="none" w:sz="0" w:space="0" w:color="auto"/>
      </w:divBdr>
    </w:div>
    <w:div w:id="1858498757">
      <w:bodyDiv w:val="1"/>
      <w:marLeft w:val="0"/>
      <w:marRight w:val="0"/>
      <w:marTop w:val="0"/>
      <w:marBottom w:val="0"/>
      <w:divBdr>
        <w:top w:val="none" w:sz="0" w:space="0" w:color="auto"/>
        <w:left w:val="none" w:sz="0" w:space="0" w:color="auto"/>
        <w:bottom w:val="none" w:sz="0" w:space="0" w:color="auto"/>
        <w:right w:val="none" w:sz="0" w:space="0" w:color="auto"/>
      </w:divBdr>
      <w:divsChild>
        <w:div w:id="1355493515">
          <w:marLeft w:val="0"/>
          <w:marRight w:val="0"/>
          <w:marTop w:val="0"/>
          <w:marBottom w:val="150"/>
          <w:divBdr>
            <w:top w:val="none" w:sz="0" w:space="0" w:color="auto"/>
            <w:left w:val="none" w:sz="0" w:space="0" w:color="auto"/>
            <w:bottom w:val="none" w:sz="0" w:space="0" w:color="auto"/>
            <w:right w:val="none" w:sz="0" w:space="0" w:color="auto"/>
          </w:divBdr>
          <w:divsChild>
            <w:div w:id="1306162867">
              <w:marLeft w:val="0"/>
              <w:marRight w:val="0"/>
              <w:marTop w:val="0"/>
              <w:marBottom w:val="0"/>
              <w:divBdr>
                <w:top w:val="none" w:sz="0" w:space="0" w:color="auto"/>
                <w:left w:val="none" w:sz="0" w:space="0" w:color="auto"/>
                <w:bottom w:val="none" w:sz="0" w:space="0" w:color="auto"/>
                <w:right w:val="none" w:sz="0" w:space="0" w:color="auto"/>
              </w:divBdr>
            </w:div>
          </w:divsChild>
        </w:div>
        <w:div w:id="1798447266">
          <w:marLeft w:val="0"/>
          <w:marRight w:val="0"/>
          <w:marTop w:val="0"/>
          <w:marBottom w:val="0"/>
          <w:divBdr>
            <w:top w:val="none" w:sz="0" w:space="0" w:color="auto"/>
            <w:left w:val="none" w:sz="0" w:space="0" w:color="auto"/>
            <w:bottom w:val="none" w:sz="0" w:space="0" w:color="auto"/>
            <w:right w:val="none" w:sz="0" w:space="0" w:color="auto"/>
          </w:divBdr>
        </w:div>
      </w:divsChild>
    </w:div>
    <w:div w:id="1858614498">
      <w:bodyDiv w:val="1"/>
      <w:marLeft w:val="0"/>
      <w:marRight w:val="0"/>
      <w:marTop w:val="0"/>
      <w:marBottom w:val="0"/>
      <w:divBdr>
        <w:top w:val="none" w:sz="0" w:space="0" w:color="auto"/>
        <w:left w:val="none" w:sz="0" w:space="0" w:color="auto"/>
        <w:bottom w:val="none" w:sz="0" w:space="0" w:color="auto"/>
        <w:right w:val="none" w:sz="0" w:space="0" w:color="auto"/>
      </w:divBdr>
      <w:divsChild>
        <w:div w:id="1116220388">
          <w:marLeft w:val="0"/>
          <w:marRight w:val="0"/>
          <w:marTop w:val="0"/>
          <w:marBottom w:val="150"/>
          <w:divBdr>
            <w:top w:val="none" w:sz="0" w:space="0" w:color="auto"/>
            <w:left w:val="none" w:sz="0" w:space="0" w:color="auto"/>
            <w:bottom w:val="none" w:sz="0" w:space="0" w:color="auto"/>
            <w:right w:val="none" w:sz="0" w:space="0" w:color="auto"/>
          </w:divBdr>
        </w:div>
      </w:divsChild>
    </w:div>
    <w:div w:id="1858957758">
      <w:bodyDiv w:val="1"/>
      <w:marLeft w:val="0"/>
      <w:marRight w:val="0"/>
      <w:marTop w:val="0"/>
      <w:marBottom w:val="0"/>
      <w:divBdr>
        <w:top w:val="none" w:sz="0" w:space="0" w:color="auto"/>
        <w:left w:val="none" w:sz="0" w:space="0" w:color="auto"/>
        <w:bottom w:val="none" w:sz="0" w:space="0" w:color="auto"/>
        <w:right w:val="none" w:sz="0" w:space="0" w:color="auto"/>
      </w:divBdr>
      <w:divsChild>
        <w:div w:id="1033311730">
          <w:marLeft w:val="0"/>
          <w:marRight w:val="0"/>
          <w:marTop w:val="0"/>
          <w:marBottom w:val="150"/>
          <w:divBdr>
            <w:top w:val="none" w:sz="0" w:space="0" w:color="auto"/>
            <w:left w:val="none" w:sz="0" w:space="0" w:color="auto"/>
            <w:bottom w:val="none" w:sz="0" w:space="0" w:color="auto"/>
            <w:right w:val="none" w:sz="0" w:space="0" w:color="auto"/>
          </w:divBdr>
          <w:divsChild>
            <w:div w:id="1316641106">
              <w:marLeft w:val="0"/>
              <w:marRight w:val="0"/>
              <w:marTop w:val="0"/>
              <w:marBottom w:val="0"/>
              <w:divBdr>
                <w:top w:val="none" w:sz="0" w:space="0" w:color="auto"/>
                <w:left w:val="none" w:sz="0" w:space="0" w:color="auto"/>
                <w:bottom w:val="none" w:sz="0" w:space="0" w:color="auto"/>
                <w:right w:val="none" w:sz="0" w:space="0" w:color="auto"/>
              </w:divBdr>
              <w:divsChild>
                <w:div w:id="131544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566822">
          <w:marLeft w:val="0"/>
          <w:marRight w:val="0"/>
          <w:marTop w:val="0"/>
          <w:marBottom w:val="0"/>
          <w:divBdr>
            <w:top w:val="none" w:sz="0" w:space="0" w:color="auto"/>
            <w:left w:val="none" w:sz="0" w:space="0" w:color="auto"/>
            <w:bottom w:val="none" w:sz="0" w:space="0" w:color="auto"/>
            <w:right w:val="none" w:sz="0" w:space="0" w:color="auto"/>
          </w:divBdr>
          <w:divsChild>
            <w:div w:id="1644233574">
              <w:marLeft w:val="0"/>
              <w:marRight w:val="0"/>
              <w:marTop w:val="225"/>
              <w:marBottom w:val="225"/>
              <w:divBdr>
                <w:top w:val="none" w:sz="0" w:space="0" w:color="auto"/>
                <w:left w:val="none" w:sz="0" w:space="0" w:color="auto"/>
                <w:bottom w:val="none" w:sz="0" w:space="0" w:color="auto"/>
                <w:right w:val="none" w:sz="0" w:space="0" w:color="auto"/>
              </w:divBdr>
            </w:div>
          </w:divsChild>
        </w:div>
        <w:div w:id="2034915218">
          <w:marLeft w:val="0"/>
          <w:marRight w:val="0"/>
          <w:marTop w:val="0"/>
          <w:marBottom w:val="150"/>
          <w:divBdr>
            <w:top w:val="none" w:sz="0" w:space="0" w:color="auto"/>
            <w:left w:val="none" w:sz="0" w:space="0" w:color="auto"/>
            <w:bottom w:val="none" w:sz="0" w:space="0" w:color="auto"/>
            <w:right w:val="none" w:sz="0" w:space="0" w:color="auto"/>
          </w:divBdr>
        </w:div>
      </w:divsChild>
    </w:div>
    <w:div w:id="1859272485">
      <w:bodyDiv w:val="1"/>
      <w:marLeft w:val="0"/>
      <w:marRight w:val="0"/>
      <w:marTop w:val="0"/>
      <w:marBottom w:val="0"/>
      <w:divBdr>
        <w:top w:val="none" w:sz="0" w:space="0" w:color="auto"/>
        <w:left w:val="none" w:sz="0" w:space="0" w:color="auto"/>
        <w:bottom w:val="none" w:sz="0" w:space="0" w:color="auto"/>
        <w:right w:val="none" w:sz="0" w:space="0" w:color="auto"/>
      </w:divBdr>
      <w:divsChild>
        <w:div w:id="1212765653">
          <w:marLeft w:val="0"/>
          <w:marRight w:val="0"/>
          <w:marTop w:val="0"/>
          <w:marBottom w:val="150"/>
          <w:divBdr>
            <w:top w:val="none" w:sz="0" w:space="0" w:color="auto"/>
            <w:left w:val="none" w:sz="0" w:space="0" w:color="auto"/>
            <w:bottom w:val="none" w:sz="0" w:space="0" w:color="auto"/>
            <w:right w:val="none" w:sz="0" w:space="0" w:color="auto"/>
          </w:divBdr>
        </w:div>
      </w:divsChild>
    </w:div>
    <w:div w:id="1859393489">
      <w:bodyDiv w:val="1"/>
      <w:marLeft w:val="0"/>
      <w:marRight w:val="0"/>
      <w:marTop w:val="0"/>
      <w:marBottom w:val="0"/>
      <w:divBdr>
        <w:top w:val="none" w:sz="0" w:space="0" w:color="auto"/>
        <w:left w:val="none" w:sz="0" w:space="0" w:color="auto"/>
        <w:bottom w:val="none" w:sz="0" w:space="0" w:color="auto"/>
        <w:right w:val="none" w:sz="0" w:space="0" w:color="auto"/>
      </w:divBdr>
    </w:div>
    <w:div w:id="1859538226">
      <w:bodyDiv w:val="1"/>
      <w:marLeft w:val="0"/>
      <w:marRight w:val="0"/>
      <w:marTop w:val="0"/>
      <w:marBottom w:val="0"/>
      <w:divBdr>
        <w:top w:val="none" w:sz="0" w:space="0" w:color="auto"/>
        <w:left w:val="none" w:sz="0" w:space="0" w:color="auto"/>
        <w:bottom w:val="none" w:sz="0" w:space="0" w:color="auto"/>
        <w:right w:val="none" w:sz="0" w:space="0" w:color="auto"/>
      </w:divBdr>
      <w:divsChild>
        <w:div w:id="994185473">
          <w:marLeft w:val="0"/>
          <w:marRight w:val="0"/>
          <w:marTop w:val="0"/>
          <w:marBottom w:val="150"/>
          <w:divBdr>
            <w:top w:val="none" w:sz="0" w:space="0" w:color="auto"/>
            <w:left w:val="none" w:sz="0" w:space="0" w:color="auto"/>
            <w:bottom w:val="none" w:sz="0" w:space="0" w:color="auto"/>
            <w:right w:val="none" w:sz="0" w:space="0" w:color="auto"/>
          </w:divBdr>
          <w:divsChild>
            <w:div w:id="1455369617">
              <w:marLeft w:val="0"/>
              <w:marRight w:val="0"/>
              <w:marTop w:val="0"/>
              <w:marBottom w:val="0"/>
              <w:divBdr>
                <w:top w:val="none" w:sz="0" w:space="0" w:color="auto"/>
                <w:left w:val="none" w:sz="0" w:space="0" w:color="auto"/>
                <w:bottom w:val="none" w:sz="0" w:space="0" w:color="auto"/>
                <w:right w:val="none" w:sz="0" w:space="0" w:color="auto"/>
              </w:divBdr>
              <w:divsChild>
                <w:div w:id="53361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306411">
          <w:marLeft w:val="0"/>
          <w:marRight w:val="0"/>
          <w:marTop w:val="0"/>
          <w:marBottom w:val="0"/>
          <w:divBdr>
            <w:top w:val="none" w:sz="0" w:space="0" w:color="auto"/>
            <w:left w:val="none" w:sz="0" w:space="0" w:color="auto"/>
            <w:bottom w:val="none" w:sz="0" w:space="0" w:color="auto"/>
            <w:right w:val="none" w:sz="0" w:space="0" w:color="auto"/>
          </w:divBdr>
          <w:divsChild>
            <w:div w:id="594479213">
              <w:marLeft w:val="0"/>
              <w:marRight w:val="0"/>
              <w:marTop w:val="225"/>
              <w:marBottom w:val="225"/>
              <w:divBdr>
                <w:top w:val="none" w:sz="0" w:space="0" w:color="auto"/>
                <w:left w:val="none" w:sz="0" w:space="0" w:color="auto"/>
                <w:bottom w:val="none" w:sz="0" w:space="0" w:color="auto"/>
                <w:right w:val="none" w:sz="0" w:space="0" w:color="auto"/>
              </w:divBdr>
            </w:div>
          </w:divsChild>
        </w:div>
        <w:div w:id="1399551658">
          <w:marLeft w:val="0"/>
          <w:marRight w:val="0"/>
          <w:marTop w:val="0"/>
          <w:marBottom w:val="150"/>
          <w:divBdr>
            <w:top w:val="none" w:sz="0" w:space="0" w:color="auto"/>
            <w:left w:val="none" w:sz="0" w:space="0" w:color="auto"/>
            <w:bottom w:val="none" w:sz="0" w:space="0" w:color="auto"/>
            <w:right w:val="none" w:sz="0" w:space="0" w:color="auto"/>
          </w:divBdr>
        </w:div>
      </w:divsChild>
    </w:div>
    <w:div w:id="1859812046">
      <w:bodyDiv w:val="1"/>
      <w:marLeft w:val="0"/>
      <w:marRight w:val="0"/>
      <w:marTop w:val="0"/>
      <w:marBottom w:val="0"/>
      <w:divBdr>
        <w:top w:val="none" w:sz="0" w:space="0" w:color="auto"/>
        <w:left w:val="none" w:sz="0" w:space="0" w:color="auto"/>
        <w:bottom w:val="none" w:sz="0" w:space="0" w:color="auto"/>
        <w:right w:val="none" w:sz="0" w:space="0" w:color="auto"/>
      </w:divBdr>
    </w:div>
    <w:div w:id="1859849315">
      <w:bodyDiv w:val="1"/>
      <w:marLeft w:val="0"/>
      <w:marRight w:val="0"/>
      <w:marTop w:val="0"/>
      <w:marBottom w:val="0"/>
      <w:divBdr>
        <w:top w:val="none" w:sz="0" w:space="0" w:color="auto"/>
        <w:left w:val="none" w:sz="0" w:space="0" w:color="auto"/>
        <w:bottom w:val="none" w:sz="0" w:space="0" w:color="auto"/>
        <w:right w:val="none" w:sz="0" w:space="0" w:color="auto"/>
      </w:divBdr>
      <w:divsChild>
        <w:div w:id="314573663">
          <w:marLeft w:val="0"/>
          <w:marRight w:val="0"/>
          <w:marTop w:val="0"/>
          <w:marBottom w:val="0"/>
          <w:divBdr>
            <w:top w:val="none" w:sz="0" w:space="0" w:color="auto"/>
            <w:left w:val="none" w:sz="0" w:space="0" w:color="auto"/>
            <w:bottom w:val="dotted" w:sz="6" w:space="4" w:color="DDDDDD"/>
            <w:right w:val="none" w:sz="0" w:space="0" w:color="auto"/>
          </w:divBdr>
        </w:div>
      </w:divsChild>
    </w:div>
    <w:div w:id="1859928411">
      <w:bodyDiv w:val="1"/>
      <w:marLeft w:val="0"/>
      <w:marRight w:val="0"/>
      <w:marTop w:val="0"/>
      <w:marBottom w:val="0"/>
      <w:divBdr>
        <w:top w:val="none" w:sz="0" w:space="0" w:color="auto"/>
        <w:left w:val="none" w:sz="0" w:space="0" w:color="auto"/>
        <w:bottom w:val="none" w:sz="0" w:space="0" w:color="auto"/>
        <w:right w:val="none" w:sz="0" w:space="0" w:color="auto"/>
      </w:divBdr>
      <w:divsChild>
        <w:div w:id="440226001">
          <w:marLeft w:val="0"/>
          <w:marRight w:val="0"/>
          <w:marTop w:val="0"/>
          <w:marBottom w:val="0"/>
          <w:divBdr>
            <w:top w:val="none" w:sz="0" w:space="0" w:color="auto"/>
            <w:left w:val="none" w:sz="0" w:space="0" w:color="auto"/>
            <w:bottom w:val="none" w:sz="0" w:space="0" w:color="auto"/>
            <w:right w:val="none" w:sz="0" w:space="0" w:color="auto"/>
          </w:divBdr>
        </w:div>
      </w:divsChild>
    </w:div>
    <w:div w:id="1860006672">
      <w:bodyDiv w:val="1"/>
      <w:marLeft w:val="0"/>
      <w:marRight w:val="0"/>
      <w:marTop w:val="0"/>
      <w:marBottom w:val="0"/>
      <w:divBdr>
        <w:top w:val="none" w:sz="0" w:space="0" w:color="auto"/>
        <w:left w:val="none" w:sz="0" w:space="0" w:color="auto"/>
        <w:bottom w:val="none" w:sz="0" w:space="0" w:color="auto"/>
        <w:right w:val="none" w:sz="0" w:space="0" w:color="auto"/>
      </w:divBdr>
      <w:divsChild>
        <w:div w:id="4938311">
          <w:marLeft w:val="0"/>
          <w:marRight w:val="0"/>
          <w:marTop w:val="0"/>
          <w:marBottom w:val="150"/>
          <w:divBdr>
            <w:top w:val="none" w:sz="0" w:space="0" w:color="auto"/>
            <w:left w:val="none" w:sz="0" w:space="0" w:color="auto"/>
            <w:bottom w:val="none" w:sz="0" w:space="0" w:color="auto"/>
            <w:right w:val="none" w:sz="0" w:space="0" w:color="auto"/>
          </w:divBdr>
        </w:div>
        <w:div w:id="9722353">
          <w:marLeft w:val="0"/>
          <w:marRight w:val="0"/>
          <w:marTop w:val="0"/>
          <w:marBottom w:val="150"/>
          <w:divBdr>
            <w:top w:val="none" w:sz="0" w:space="0" w:color="auto"/>
            <w:left w:val="none" w:sz="0" w:space="0" w:color="auto"/>
            <w:bottom w:val="none" w:sz="0" w:space="0" w:color="auto"/>
            <w:right w:val="none" w:sz="0" w:space="0" w:color="auto"/>
          </w:divBdr>
        </w:div>
        <w:div w:id="182322827">
          <w:marLeft w:val="0"/>
          <w:marRight w:val="0"/>
          <w:marTop w:val="0"/>
          <w:marBottom w:val="150"/>
          <w:divBdr>
            <w:top w:val="none" w:sz="0" w:space="0" w:color="auto"/>
            <w:left w:val="none" w:sz="0" w:space="0" w:color="auto"/>
            <w:bottom w:val="none" w:sz="0" w:space="0" w:color="auto"/>
            <w:right w:val="none" w:sz="0" w:space="0" w:color="auto"/>
          </w:divBdr>
        </w:div>
        <w:div w:id="221909447">
          <w:marLeft w:val="0"/>
          <w:marRight w:val="0"/>
          <w:marTop w:val="0"/>
          <w:marBottom w:val="150"/>
          <w:divBdr>
            <w:top w:val="none" w:sz="0" w:space="0" w:color="auto"/>
            <w:left w:val="none" w:sz="0" w:space="0" w:color="auto"/>
            <w:bottom w:val="none" w:sz="0" w:space="0" w:color="auto"/>
            <w:right w:val="none" w:sz="0" w:space="0" w:color="auto"/>
          </w:divBdr>
        </w:div>
        <w:div w:id="278338973">
          <w:marLeft w:val="0"/>
          <w:marRight w:val="0"/>
          <w:marTop w:val="0"/>
          <w:marBottom w:val="150"/>
          <w:divBdr>
            <w:top w:val="none" w:sz="0" w:space="0" w:color="auto"/>
            <w:left w:val="none" w:sz="0" w:space="0" w:color="auto"/>
            <w:bottom w:val="none" w:sz="0" w:space="0" w:color="auto"/>
            <w:right w:val="none" w:sz="0" w:space="0" w:color="auto"/>
          </w:divBdr>
        </w:div>
        <w:div w:id="365180630">
          <w:marLeft w:val="0"/>
          <w:marRight w:val="0"/>
          <w:marTop w:val="0"/>
          <w:marBottom w:val="150"/>
          <w:divBdr>
            <w:top w:val="none" w:sz="0" w:space="0" w:color="auto"/>
            <w:left w:val="none" w:sz="0" w:space="0" w:color="auto"/>
            <w:bottom w:val="none" w:sz="0" w:space="0" w:color="auto"/>
            <w:right w:val="none" w:sz="0" w:space="0" w:color="auto"/>
          </w:divBdr>
        </w:div>
        <w:div w:id="374280113">
          <w:marLeft w:val="0"/>
          <w:marRight w:val="0"/>
          <w:marTop w:val="0"/>
          <w:marBottom w:val="150"/>
          <w:divBdr>
            <w:top w:val="none" w:sz="0" w:space="0" w:color="auto"/>
            <w:left w:val="none" w:sz="0" w:space="0" w:color="auto"/>
            <w:bottom w:val="none" w:sz="0" w:space="0" w:color="auto"/>
            <w:right w:val="none" w:sz="0" w:space="0" w:color="auto"/>
          </w:divBdr>
        </w:div>
        <w:div w:id="435760148">
          <w:marLeft w:val="0"/>
          <w:marRight w:val="0"/>
          <w:marTop w:val="0"/>
          <w:marBottom w:val="150"/>
          <w:divBdr>
            <w:top w:val="none" w:sz="0" w:space="0" w:color="auto"/>
            <w:left w:val="none" w:sz="0" w:space="0" w:color="auto"/>
            <w:bottom w:val="none" w:sz="0" w:space="0" w:color="auto"/>
            <w:right w:val="none" w:sz="0" w:space="0" w:color="auto"/>
          </w:divBdr>
        </w:div>
        <w:div w:id="766387791">
          <w:marLeft w:val="0"/>
          <w:marRight w:val="0"/>
          <w:marTop w:val="0"/>
          <w:marBottom w:val="150"/>
          <w:divBdr>
            <w:top w:val="none" w:sz="0" w:space="0" w:color="auto"/>
            <w:left w:val="none" w:sz="0" w:space="0" w:color="auto"/>
            <w:bottom w:val="none" w:sz="0" w:space="0" w:color="auto"/>
            <w:right w:val="none" w:sz="0" w:space="0" w:color="auto"/>
          </w:divBdr>
        </w:div>
        <w:div w:id="775557749">
          <w:marLeft w:val="0"/>
          <w:marRight w:val="0"/>
          <w:marTop w:val="0"/>
          <w:marBottom w:val="150"/>
          <w:divBdr>
            <w:top w:val="none" w:sz="0" w:space="0" w:color="auto"/>
            <w:left w:val="none" w:sz="0" w:space="0" w:color="auto"/>
            <w:bottom w:val="none" w:sz="0" w:space="0" w:color="auto"/>
            <w:right w:val="none" w:sz="0" w:space="0" w:color="auto"/>
          </w:divBdr>
        </w:div>
        <w:div w:id="925577869">
          <w:marLeft w:val="0"/>
          <w:marRight w:val="0"/>
          <w:marTop w:val="0"/>
          <w:marBottom w:val="150"/>
          <w:divBdr>
            <w:top w:val="none" w:sz="0" w:space="0" w:color="auto"/>
            <w:left w:val="none" w:sz="0" w:space="0" w:color="auto"/>
            <w:bottom w:val="none" w:sz="0" w:space="0" w:color="auto"/>
            <w:right w:val="none" w:sz="0" w:space="0" w:color="auto"/>
          </w:divBdr>
        </w:div>
        <w:div w:id="1088892099">
          <w:marLeft w:val="0"/>
          <w:marRight w:val="0"/>
          <w:marTop w:val="0"/>
          <w:marBottom w:val="150"/>
          <w:divBdr>
            <w:top w:val="none" w:sz="0" w:space="0" w:color="auto"/>
            <w:left w:val="none" w:sz="0" w:space="0" w:color="auto"/>
            <w:bottom w:val="none" w:sz="0" w:space="0" w:color="auto"/>
            <w:right w:val="none" w:sz="0" w:space="0" w:color="auto"/>
          </w:divBdr>
        </w:div>
        <w:div w:id="1172374545">
          <w:marLeft w:val="0"/>
          <w:marRight w:val="0"/>
          <w:marTop w:val="0"/>
          <w:marBottom w:val="150"/>
          <w:divBdr>
            <w:top w:val="none" w:sz="0" w:space="0" w:color="auto"/>
            <w:left w:val="none" w:sz="0" w:space="0" w:color="auto"/>
            <w:bottom w:val="none" w:sz="0" w:space="0" w:color="auto"/>
            <w:right w:val="none" w:sz="0" w:space="0" w:color="auto"/>
          </w:divBdr>
        </w:div>
        <w:div w:id="1331372426">
          <w:marLeft w:val="0"/>
          <w:marRight w:val="0"/>
          <w:marTop w:val="0"/>
          <w:marBottom w:val="150"/>
          <w:divBdr>
            <w:top w:val="none" w:sz="0" w:space="0" w:color="auto"/>
            <w:left w:val="none" w:sz="0" w:space="0" w:color="auto"/>
            <w:bottom w:val="none" w:sz="0" w:space="0" w:color="auto"/>
            <w:right w:val="none" w:sz="0" w:space="0" w:color="auto"/>
          </w:divBdr>
        </w:div>
        <w:div w:id="1700428669">
          <w:marLeft w:val="0"/>
          <w:marRight w:val="0"/>
          <w:marTop w:val="0"/>
          <w:marBottom w:val="150"/>
          <w:divBdr>
            <w:top w:val="none" w:sz="0" w:space="0" w:color="auto"/>
            <w:left w:val="none" w:sz="0" w:space="0" w:color="auto"/>
            <w:bottom w:val="none" w:sz="0" w:space="0" w:color="auto"/>
            <w:right w:val="none" w:sz="0" w:space="0" w:color="auto"/>
          </w:divBdr>
        </w:div>
        <w:div w:id="1770000091">
          <w:marLeft w:val="0"/>
          <w:marRight w:val="0"/>
          <w:marTop w:val="0"/>
          <w:marBottom w:val="150"/>
          <w:divBdr>
            <w:top w:val="none" w:sz="0" w:space="0" w:color="auto"/>
            <w:left w:val="none" w:sz="0" w:space="0" w:color="auto"/>
            <w:bottom w:val="none" w:sz="0" w:space="0" w:color="auto"/>
            <w:right w:val="none" w:sz="0" w:space="0" w:color="auto"/>
          </w:divBdr>
        </w:div>
        <w:div w:id="1979870742">
          <w:marLeft w:val="0"/>
          <w:marRight w:val="0"/>
          <w:marTop w:val="0"/>
          <w:marBottom w:val="150"/>
          <w:divBdr>
            <w:top w:val="none" w:sz="0" w:space="0" w:color="auto"/>
            <w:left w:val="none" w:sz="0" w:space="0" w:color="auto"/>
            <w:bottom w:val="none" w:sz="0" w:space="0" w:color="auto"/>
            <w:right w:val="none" w:sz="0" w:space="0" w:color="auto"/>
          </w:divBdr>
        </w:div>
        <w:div w:id="2129082378">
          <w:marLeft w:val="0"/>
          <w:marRight w:val="0"/>
          <w:marTop w:val="0"/>
          <w:marBottom w:val="150"/>
          <w:divBdr>
            <w:top w:val="none" w:sz="0" w:space="0" w:color="auto"/>
            <w:left w:val="none" w:sz="0" w:space="0" w:color="auto"/>
            <w:bottom w:val="none" w:sz="0" w:space="0" w:color="auto"/>
            <w:right w:val="none" w:sz="0" w:space="0" w:color="auto"/>
          </w:divBdr>
        </w:div>
      </w:divsChild>
    </w:div>
    <w:div w:id="1860194408">
      <w:bodyDiv w:val="1"/>
      <w:marLeft w:val="0"/>
      <w:marRight w:val="0"/>
      <w:marTop w:val="0"/>
      <w:marBottom w:val="0"/>
      <w:divBdr>
        <w:top w:val="none" w:sz="0" w:space="0" w:color="auto"/>
        <w:left w:val="none" w:sz="0" w:space="0" w:color="auto"/>
        <w:bottom w:val="none" w:sz="0" w:space="0" w:color="auto"/>
        <w:right w:val="none" w:sz="0" w:space="0" w:color="auto"/>
      </w:divBdr>
      <w:divsChild>
        <w:div w:id="1445659848">
          <w:marLeft w:val="0"/>
          <w:marRight w:val="0"/>
          <w:marTop w:val="0"/>
          <w:marBottom w:val="0"/>
          <w:divBdr>
            <w:top w:val="none" w:sz="0" w:space="0" w:color="auto"/>
            <w:left w:val="none" w:sz="0" w:space="0" w:color="auto"/>
            <w:bottom w:val="none" w:sz="0" w:space="0" w:color="auto"/>
            <w:right w:val="none" w:sz="0" w:space="0" w:color="auto"/>
          </w:divBdr>
        </w:div>
      </w:divsChild>
    </w:div>
    <w:div w:id="1860318582">
      <w:bodyDiv w:val="1"/>
      <w:marLeft w:val="0"/>
      <w:marRight w:val="0"/>
      <w:marTop w:val="0"/>
      <w:marBottom w:val="0"/>
      <w:divBdr>
        <w:top w:val="none" w:sz="0" w:space="0" w:color="auto"/>
        <w:left w:val="none" w:sz="0" w:space="0" w:color="auto"/>
        <w:bottom w:val="none" w:sz="0" w:space="0" w:color="auto"/>
        <w:right w:val="none" w:sz="0" w:space="0" w:color="auto"/>
      </w:divBdr>
    </w:div>
    <w:div w:id="1860779536">
      <w:bodyDiv w:val="1"/>
      <w:marLeft w:val="0"/>
      <w:marRight w:val="0"/>
      <w:marTop w:val="0"/>
      <w:marBottom w:val="0"/>
      <w:divBdr>
        <w:top w:val="none" w:sz="0" w:space="0" w:color="auto"/>
        <w:left w:val="none" w:sz="0" w:space="0" w:color="auto"/>
        <w:bottom w:val="none" w:sz="0" w:space="0" w:color="auto"/>
        <w:right w:val="none" w:sz="0" w:space="0" w:color="auto"/>
      </w:divBdr>
      <w:divsChild>
        <w:div w:id="61755413">
          <w:marLeft w:val="0"/>
          <w:marRight w:val="0"/>
          <w:marTop w:val="0"/>
          <w:marBottom w:val="240"/>
          <w:divBdr>
            <w:top w:val="none" w:sz="0" w:space="0" w:color="auto"/>
            <w:left w:val="none" w:sz="0" w:space="0" w:color="auto"/>
            <w:bottom w:val="none" w:sz="0" w:space="0" w:color="auto"/>
            <w:right w:val="none" w:sz="0" w:space="0" w:color="auto"/>
          </w:divBdr>
        </w:div>
        <w:div w:id="164243602">
          <w:marLeft w:val="0"/>
          <w:marRight w:val="0"/>
          <w:marTop w:val="0"/>
          <w:marBottom w:val="240"/>
          <w:divBdr>
            <w:top w:val="none" w:sz="0" w:space="0" w:color="auto"/>
            <w:left w:val="none" w:sz="0" w:space="0" w:color="auto"/>
            <w:bottom w:val="none" w:sz="0" w:space="0" w:color="auto"/>
            <w:right w:val="none" w:sz="0" w:space="0" w:color="auto"/>
          </w:divBdr>
        </w:div>
        <w:div w:id="240257888">
          <w:marLeft w:val="0"/>
          <w:marRight w:val="0"/>
          <w:marTop w:val="0"/>
          <w:marBottom w:val="240"/>
          <w:divBdr>
            <w:top w:val="none" w:sz="0" w:space="0" w:color="auto"/>
            <w:left w:val="none" w:sz="0" w:space="0" w:color="auto"/>
            <w:bottom w:val="none" w:sz="0" w:space="0" w:color="auto"/>
            <w:right w:val="none" w:sz="0" w:space="0" w:color="auto"/>
          </w:divBdr>
        </w:div>
        <w:div w:id="1920938254">
          <w:marLeft w:val="0"/>
          <w:marRight w:val="0"/>
          <w:marTop w:val="0"/>
          <w:marBottom w:val="240"/>
          <w:divBdr>
            <w:top w:val="none" w:sz="0" w:space="0" w:color="auto"/>
            <w:left w:val="none" w:sz="0" w:space="0" w:color="auto"/>
            <w:bottom w:val="none" w:sz="0" w:space="0" w:color="auto"/>
            <w:right w:val="none" w:sz="0" w:space="0" w:color="auto"/>
          </w:divBdr>
          <w:divsChild>
            <w:div w:id="522939165">
              <w:marLeft w:val="0"/>
              <w:marRight w:val="0"/>
              <w:marTop w:val="0"/>
              <w:marBottom w:val="0"/>
              <w:divBdr>
                <w:top w:val="none" w:sz="0" w:space="0" w:color="auto"/>
                <w:left w:val="none" w:sz="0" w:space="0" w:color="auto"/>
                <w:bottom w:val="none" w:sz="0" w:space="0" w:color="auto"/>
                <w:right w:val="none" w:sz="0" w:space="0" w:color="auto"/>
              </w:divBdr>
              <w:divsChild>
                <w:div w:id="142148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855452">
      <w:bodyDiv w:val="1"/>
      <w:marLeft w:val="0"/>
      <w:marRight w:val="0"/>
      <w:marTop w:val="0"/>
      <w:marBottom w:val="0"/>
      <w:divBdr>
        <w:top w:val="none" w:sz="0" w:space="0" w:color="auto"/>
        <w:left w:val="none" w:sz="0" w:space="0" w:color="auto"/>
        <w:bottom w:val="none" w:sz="0" w:space="0" w:color="auto"/>
        <w:right w:val="none" w:sz="0" w:space="0" w:color="auto"/>
      </w:divBdr>
      <w:divsChild>
        <w:div w:id="693648798">
          <w:marLeft w:val="0"/>
          <w:marRight w:val="0"/>
          <w:marTop w:val="0"/>
          <w:marBottom w:val="0"/>
          <w:divBdr>
            <w:top w:val="none" w:sz="0" w:space="0" w:color="auto"/>
            <w:left w:val="none" w:sz="0" w:space="0" w:color="auto"/>
            <w:bottom w:val="none" w:sz="0" w:space="0" w:color="auto"/>
            <w:right w:val="none" w:sz="0" w:space="0" w:color="auto"/>
          </w:divBdr>
          <w:divsChild>
            <w:div w:id="4216053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60923181">
      <w:bodyDiv w:val="1"/>
      <w:marLeft w:val="0"/>
      <w:marRight w:val="0"/>
      <w:marTop w:val="0"/>
      <w:marBottom w:val="0"/>
      <w:divBdr>
        <w:top w:val="none" w:sz="0" w:space="0" w:color="auto"/>
        <w:left w:val="none" w:sz="0" w:space="0" w:color="auto"/>
        <w:bottom w:val="none" w:sz="0" w:space="0" w:color="auto"/>
        <w:right w:val="none" w:sz="0" w:space="0" w:color="auto"/>
      </w:divBdr>
      <w:divsChild>
        <w:div w:id="1793549134">
          <w:marLeft w:val="0"/>
          <w:marRight w:val="0"/>
          <w:marTop w:val="0"/>
          <w:marBottom w:val="150"/>
          <w:divBdr>
            <w:top w:val="none" w:sz="0" w:space="0" w:color="auto"/>
            <w:left w:val="none" w:sz="0" w:space="0" w:color="auto"/>
            <w:bottom w:val="none" w:sz="0" w:space="0" w:color="auto"/>
            <w:right w:val="none" w:sz="0" w:space="0" w:color="auto"/>
          </w:divBdr>
        </w:div>
      </w:divsChild>
    </w:div>
    <w:div w:id="1860968553">
      <w:bodyDiv w:val="1"/>
      <w:marLeft w:val="0"/>
      <w:marRight w:val="0"/>
      <w:marTop w:val="0"/>
      <w:marBottom w:val="0"/>
      <w:divBdr>
        <w:top w:val="none" w:sz="0" w:space="0" w:color="auto"/>
        <w:left w:val="none" w:sz="0" w:space="0" w:color="auto"/>
        <w:bottom w:val="none" w:sz="0" w:space="0" w:color="auto"/>
        <w:right w:val="none" w:sz="0" w:space="0" w:color="auto"/>
      </w:divBdr>
      <w:divsChild>
        <w:div w:id="883178713">
          <w:marLeft w:val="0"/>
          <w:marRight w:val="0"/>
          <w:marTop w:val="0"/>
          <w:marBottom w:val="0"/>
          <w:divBdr>
            <w:top w:val="none" w:sz="0" w:space="0" w:color="auto"/>
            <w:left w:val="none" w:sz="0" w:space="0" w:color="auto"/>
            <w:bottom w:val="dotted" w:sz="6" w:space="4" w:color="DDDDDD"/>
            <w:right w:val="none" w:sz="0" w:space="0" w:color="auto"/>
          </w:divBdr>
          <w:divsChild>
            <w:div w:id="210811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241352">
      <w:bodyDiv w:val="1"/>
      <w:marLeft w:val="0"/>
      <w:marRight w:val="0"/>
      <w:marTop w:val="0"/>
      <w:marBottom w:val="0"/>
      <w:divBdr>
        <w:top w:val="none" w:sz="0" w:space="0" w:color="auto"/>
        <w:left w:val="none" w:sz="0" w:space="0" w:color="auto"/>
        <w:bottom w:val="none" w:sz="0" w:space="0" w:color="auto"/>
        <w:right w:val="none" w:sz="0" w:space="0" w:color="auto"/>
      </w:divBdr>
      <w:divsChild>
        <w:div w:id="1434745487">
          <w:marLeft w:val="0"/>
          <w:marRight w:val="0"/>
          <w:marTop w:val="0"/>
          <w:marBottom w:val="0"/>
          <w:divBdr>
            <w:top w:val="none" w:sz="0" w:space="0" w:color="auto"/>
            <w:left w:val="none" w:sz="0" w:space="0" w:color="auto"/>
            <w:bottom w:val="none" w:sz="0" w:space="0" w:color="auto"/>
            <w:right w:val="none" w:sz="0" w:space="0" w:color="auto"/>
          </w:divBdr>
          <w:divsChild>
            <w:div w:id="679432760">
              <w:marLeft w:val="0"/>
              <w:marRight w:val="0"/>
              <w:marTop w:val="0"/>
              <w:marBottom w:val="0"/>
              <w:divBdr>
                <w:top w:val="none" w:sz="0" w:space="0" w:color="auto"/>
                <w:left w:val="none" w:sz="0" w:space="0" w:color="auto"/>
                <w:bottom w:val="none" w:sz="0" w:space="0" w:color="auto"/>
                <w:right w:val="none" w:sz="0" w:space="0" w:color="auto"/>
              </w:divBdr>
              <w:divsChild>
                <w:div w:id="1038428868">
                  <w:marLeft w:val="0"/>
                  <w:marRight w:val="0"/>
                  <w:marTop w:val="0"/>
                  <w:marBottom w:val="0"/>
                  <w:divBdr>
                    <w:top w:val="none" w:sz="0" w:space="0" w:color="auto"/>
                    <w:left w:val="none" w:sz="0" w:space="0" w:color="auto"/>
                    <w:bottom w:val="none" w:sz="0" w:space="0" w:color="auto"/>
                    <w:right w:val="none" w:sz="0" w:space="0" w:color="auto"/>
                  </w:divBdr>
                  <w:divsChild>
                    <w:div w:id="373310040">
                      <w:marLeft w:val="0"/>
                      <w:marRight w:val="0"/>
                      <w:marTop w:val="0"/>
                      <w:marBottom w:val="0"/>
                      <w:divBdr>
                        <w:top w:val="none" w:sz="0" w:space="0" w:color="auto"/>
                        <w:left w:val="none" w:sz="0" w:space="0" w:color="auto"/>
                        <w:bottom w:val="none" w:sz="0" w:space="0" w:color="auto"/>
                        <w:right w:val="none" w:sz="0" w:space="0" w:color="auto"/>
                      </w:divBdr>
                      <w:divsChild>
                        <w:div w:id="154956462">
                          <w:marLeft w:val="0"/>
                          <w:marRight w:val="0"/>
                          <w:marTop w:val="0"/>
                          <w:marBottom w:val="0"/>
                          <w:divBdr>
                            <w:top w:val="none" w:sz="0" w:space="0" w:color="auto"/>
                            <w:left w:val="none" w:sz="0" w:space="0" w:color="auto"/>
                            <w:bottom w:val="none" w:sz="0" w:space="0" w:color="auto"/>
                            <w:right w:val="none" w:sz="0" w:space="0" w:color="auto"/>
                          </w:divBdr>
                          <w:divsChild>
                            <w:div w:id="468481192">
                              <w:marLeft w:val="0"/>
                              <w:marRight w:val="0"/>
                              <w:marTop w:val="0"/>
                              <w:marBottom w:val="0"/>
                              <w:divBdr>
                                <w:top w:val="none" w:sz="0" w:space="0" w:color="auto"/>
                                <w:left w:val="none" w:sz="0" w:space="0" w:color="auto"/>
                                <w:bottom w:val="none" w:sz="0" w:space="0" w:color="auto"/>
                                <w:right w:val="none" w:sz="0" w:space="0" w:color="auto"/>
                              </w:divBdr>
                              <w:divsChild>
                                <w:div w:id="811290770">
                                  <w:marLeft w:val="0"/>
                                  <w:marRight w:val="0"/>
                                  <w:marTop w:val="0"/>
                                  <w:marBottom w:val="0"/>
                                  <w:divBdr>
                                    <w:top w:val="none" w:sz="0" w:space="0" w:color="auto"/>
                                    <w:left w:val="none" w:sz="0" w:space="0" w:color="auto"/>
                                    <w:bottom w:val="none" w:sz="0" w:space="0" w:color="auto"/>
                                    <w:right w:val="none" w:sz="0" w:space="0" w:color="auto"/>
                                  </w:divBdr>
                                  <w:divsChild>
                                    <w:div w:id="44604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623541">
      <w:bodyDiv w:val="1"/>
      <w:marLeft w:val="0"/>
      <w:marRight w:val="0"/>
      <w:marTop w:val="0"/>
      <w:marBottom w:val="0"/>
      <w:divBdr>
        <w:top w:val="none" w:sz="0" w:space="0" w:color="auto"/>
        <w:left w:val="none" w:sz="0" w:space="0" w:color="auto"/>
        <w:bottom w:val="none" w:sz="0" w:space="0" w:color="auto"/>
        <w:right w:val="none" w:sz="0" w:space="0" w:color="auto"/>
      </w:divBdr>
      <w:divsChild>
        <w:div w:id="1402100491">
          <w:marLeft w:val="0"/>
          <w:marRight w:val="0"/>
          <w:marTop w:val="150"/>
          <w:marBottom w:val="0"/>
          <w:divBdr>
            <w:top w:val="none" w:sz="0" w:space="0" w:color="auto"/>
            <w:left w:val="none" w:sz="0" w:space="0" w:color="auto"/>
            <w:bottom w:val="none" w:sz="0" w:space="0" w:color="auto"/>
            <w:right w:val="none" w:sz="0" w:space="0" w:color="auto"/>
          </w:divBdr>
          <w:divsChild>
            <w:div w:id="52899772">
              <w:marLeft w:val="0"/>
              <w:marRight w:val="0"/>
              <w:marTop w:val="0"/>
              <w:marBottom w:val="0"/>
              <w:divBdr>
                <w:top w:val="none" w:sz="0" w:space="0" w:color="auto"/>
                <w:left w:val="none" w:sz="0" w:space="0" w:color="auto"/>
                <w:bottom w:val="none" w:sz="0" w:space="0" w:color="auto"/>
                <w:right w:val="none" w:sz="0" w:space="0" w:color="auto"/>
              </w:divBdr>
              <w:divsChild>
                <w:div w:id="287665817">
                  <w:marLeft w:val="75"/>
                  <w:marRight w:val="0"/>
                  <w:marTop w:val="0"/>
                  <w:marBottom w:val="0"/>
                  <w:divBdr>
                    <w:top w:val="none" w:sz="0" w:space="0" w:color="auto"/>
                    <w:left w:val="none" w:sz="0" w:space="0" w:color="auto"/>
                    <w:bottom w:val="none" w:sz="0" w:space="0" w:color="auto"/>
                    <w:right w:val="none" w:sz="0" w:space="0" w:color="auto"/>
                  </w:divBdr>
                </w:div>
                <w:div w:id="40908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429367">
          <w:marLeft w:val="0"/>
          <w:marRight w:val="0"/>
          <w:marTop w:val="0"/>
          <w:marBottom w:val="0"/>
          <w:divBdr>
            <w:top w:val="none" w:sz="0" w:space="0" w:color="auto"/>
            <w:left w:val="none" w:sz="0" w:space="0" w:color="auto"/>
            <w:bottom w:val="none" w:sz="0" w:space="0" w:color="auto"/>
            <w:right w:val="none" w:sz="0" w:space="0" w:color="auto"/>
          </w:divBdr>
          <w:divsChild>
            <w:div w:id="160819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200667">
      <w:bodyDiv w:val="1"/>
      <w:marLeft w:val="0"/>
      <w:marRight w:val="0"/>
      <w:marTop w:val="0"/>
      <w:marBottom w:val="0"/>
      <w:divBdr>
        <w:top w:val="none" w:sz="0" w:space="0" w:color="auto"/>
        <w:left w:val="none" w:sz="0" w:space="0" w:color="auto"/>
        <w:bottom w:val="none" w:sz="0" w:space="0" w:color="auto"/>
        <w:right w:val="none" w:sz="0" w:space="0" w:color="auto"/>
      </w:divBdr>
    </w:div>
    <w:div w:id="1863321943">
      <w:bodyDiv w:val="1"/>
      <w:marLeft w:val="0"/>
      <w:marRight w:val="0"/>
      <w:marTop w:val="0"/>
      <w:marBottom w:val="0"/>
      <w:divBdr>
        <w:top w:val="none" w:sz="0" w:space="0" w:color="auto"/>
        <w:left w:val="none" w:sz="0" w:space="0" w:color="auto"/>
        <w:bottom w:val="none" w:sz="0" w:space="0" w:color="auto"/>
        <w:right w:val="none" w:sz="0" w:space="0" w:color="auto"/>
      </w:divBdr>
    </w:div>
    <w:div w:id="1863594362">
      <w:bodyDiv w:val="1"/>
      <w:marLeft w:val="0"/>
      <w:marRight w:val="0"/>
      <w:marTop w:val="0"/>
      <w:marBottom w:val="0"/>
      <w:divBdr>
        <w:top w:val="none" w:sz="0" w:space="0" w:color="auto"/>
        <w:left w:val="none" w:sz="0" w:space="0" w:color="auto"/>
        <w:bottom w:val="none" w:sz="0" w:space="0" w:color="auto"/>
        <w:right w:val="none" w:sz="0" w:space="0" w:color="auto"/>
      </w:divBdr>
      <w:divsChild>
        <w:div w:id="1944147703">
          <w:marLeft w:val="0"/>
          <w:marRight w:val="0"/>
          <w:marTop w:val="0"/>
          <w:marBottom w:val="150"/>
          <w:divBdr>
            <w:top w:val="none" w:sz="0" w:space="0" w:color="auto"/>
            <w:left w:val="none" w:sz="0" w:space="0" w:color="auto"/>
            <w:bottom w:val="none" w:sz="0" w:space="0" w:color="auto"/>
            <w:right w:val="none" w:sz="0" w:space="0" w:color="auto"/>
          </w:divBdr>
        </w:div>
      </w:divsChild>
    </w:div>
    <w:div w:id="1863860021">
      <w:bodyDiv w:val="1"/>
      <w:marLeft w:val="0"/>
      <w:marRight w:val="0"/>
      <w:marTop w:val="0"/>
      <w:marBottom w:val="0"/>
      <w:divBdr>
        <w:top w:val="none" w:sz="0" w:space="0" w:color="auto"/>
        <w:left w:val="none" w:sz="0" w:space="0" w:color="auto"/>
        <w:bottom w:val="none" w:sz="0" w:space="0" w:color="auto"/>
        <w:right w:val="none" w:sz="0" w:space="0" w:color="auto"/>
      </w:divBdr>
      <w:divsChild>
        <w:div w:id="1106121416">
          <w:marLeft w:val="0"/>
          <w:marRight w:val="0"/>
          <w:marTop w:val="0"/>
          <w:marBottom w:val="150"/>
          <w:divBdr>
            <w:top w:val="none" w:sz="0" w:space="0" w:color="auto"/>
            <w:left w:val="none" w:sz="0" w:space="0" w:color="auto"/>
            <w:bottom w:val="none" w:sz="0" w:space="0" w:color="auto"/>
            <w:right w:val="none" w:sz="0" w:space="0" w:color="auto"/>
          </w:divBdr>
        </w:div>
        <w:div w:id="1454441582">
          <w:marLeft w:val="0"/>
          <w:marRight w:val="0"/>
          <w:marTop w:val="0"/>
          <w:marBottom w:val="0"/>
          <w:divBdr>
            <w:top w:val="none" w:sz="0" w:space="0" w:color="auto"/>
            <w:left w:val="none" w:sz="0" w:space="0" w:color="auto"/>
            <w:bottom w:val="none" w:sz="0" w:space="0" w:color="auto"/>
            <w:right w:val="none" w:sz="0" w:space="0" w:color="auto"/>
          </w:divBdr>
          <w:divsChild>
            <w:div w:id="1371033895">
              <w:marLeft w:val="0"/>
              <w:marRight w:val="0"/>
              <w:marTop w:val="0"/>
              <w:marBottom w:val="0"/>
              <w:divBdr>
                <w:top w:val="none" w:sz="0" w:space="0" w:color="auto"/>
                <w:left w:val="none" w:sz="0" w:space="0" w:color="auto"/>
                <w:bottom w:val="none" w:sz="0" w:space="0" w:color="auto"/>
                <w:right w:val="none" w:sz="0" w:space="0" w:color="auto"/>
              </w:divBdr>
            </w:div>
          </w:divsChild>
        </w:div>
        <w:div w:id="1928885004">
          <w:marLeft w:val="0"/>
          <w:marRight w:val="0"/>
          <w:marTop w:val="0"/>
          <w:marBottom w:val="150"/>
          <w:divBdr>
            <w:top w:val="none" w:sz="0" w:space="0" w:color="auto"/>
            <w:left w:val="none" w:sz="0" w:space="0" w:color="auto"/>
            <w:bottom w:val="none" w:sz="0" w:space="0" w:color="auto"/>
            <w:right w:val="none" w:sz="0" w:space="0" w:color="auto"/>
          </w:divBdr>
          <w:divsChild>
            <w:div w:id="213421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77781">
      <w:bodyDiv w:val="1"/>
      <w:marLeft w:val="0"/>
      <w:marRight w:val="0"/>
      <w:marTop w:val="0"/>
      <w:marBottom w:val="0"/>
      <w:divBdr>
        <w:top w:val="none" w:sz="0" w:space="0" w:color="auto"/>
        <w:left w:val="none" w:sz="0" w:space="0" w:color="auto"/>
        <w:bottom w:val="none" w:sz="0" w:space="0" w:color="auto"/>
        <w:right w:val="none" w:sz="0" w:space="0" w:color="auto"/>
      </w:divBdr>
      <w:divsChild>
        <w:div w:id="2038849658">
          <w:marLeft w:val="0"/>
          <w:marRight w:val="0"/>
          <w:marTop w:val="0"/>
          <w:marBottom w:val="0"/>
          <w:divBdr>
            <w:top w:val="none" w:sz="0" w:space="0" w:color="auto"/>
            <w:left w:val="none" w:sz="0" w:space="0" w:color="auto"/>
            <w:bottom w:val="none" w:sz="0" w:space="0" w:color="auto"/>
            <w:right w:val="none" w:sz="0" w:space="0" w:color="auto"/>
          </w:divBdr>
        </w:div>
        <w:div w:id="1075318060">
          <w:marLeft w:val="0"/>
          <w:marRight w:val="0"/>
          <w:marTop w:val="0"/>
          <w:marBottom w:val="0"/>
          <w:divBdr>
            <w:top w:val="none" w:sz="0" w:space="0" w:color="auto"/>
            <w:left w:val="none" w:sz="0" w:space="0" w:color="auto"/>
            <w:bottom w:val="none" w:sz="0" w:space="0" w:color="auto"/>
            <w:right w:val="none" w:sz="0" w:space="0" w:color="auto"/>
          </w:divBdr>
        </w:div>
      </w:divsChild>
    </w:div>
    <w:div w:id="1864051357">
      <w:bodyDiv w:val="1"/>
      <w:marLeft w:val="0"/>
      <w:marRight w:val="0"/>
      <w:marTop w:val="0"/>
      <w:marBottom w:val="0"/>
      <w:divBdr>
        <w:top w:val="none" w:sz="0" w:space="0" w:color="auto"/>
        <w:left w:val="none" w:sz="0" w:space="0" w:color="auto"/>
        <w:bottom w:val="none" w:sz="0" w:space="0" w:color="auto"/>
        <w:right w:val="none" w:sz="0" w:space="0" w:color="auto"/>
      </w:divBdr>
    </w:div>
    <w:div w:id="1864129173">
      <w:bodyDiv w:val="1"/>
      <w:marLeft w:val="0"/>
      <w:marRight w:val="0"/>
      <w:marTop w:val="0"/>
      <w:marBottom w:val="0"/>
      <w:divBdr>
        <w:top w:val="none" w:sz="0" w:space="0" w:color="auto"/>
        <w:left w:val="none" w:sz="0" w:space="0" w:color="auto"/>
        <w:bottom w:val="none" w:sz="0" w:space="0" w:color="auto"/>
        <w:right w:val="none" w:sz="0" w:space="0" w:color="auto"/>
      </w:divBdr>
    </w:div>
    <w:div w:id="1864250001">
      <w:bodyDiv w:val="1"/>
      <w:marLeft w:val="0"/>
      <w:marRight w:val="0"/>
      <w:marTop w:val="0"/>
      <w:marBottom w:val="0"/>
      <w:divBdr>
        <w:top w:val="none" w:sz="0" w:space="0" w:color="auto"/>
        <w:left w:val="none" w:sz="0" w:space="0" w:color="auto"/>
        <w:bottom w:val="none" w:sz="0" w:space="0" w:color="auto"/>
        <w:right w:val="none" w:sz="0" w:space="0" w:color="auto"/>
      </w:divBdr>
      <w:divsChild>
        <w:div w:id="202642072">
          <w:marLeft w:val="0"/>
          <w:marRight w:val="0"/>
          <w:marTop w:val="0"/>
          <w:marBottom w:val="375"/>
          <w:divBdr>
            <w:top w:val="none" w:sz="0" w:space="0" w:color="auto"/>
            <w:left w:val="none" w:sz="0" w:space="0" w:color="auto"/>
            <w:bottom w:val="single" w:sz="6" w:space="0" w:color="005494"/>
            <w:right w:val="none" w:sz="0" w:space="0" w:color="auto"/>
          </w:divBdr>
        </w:div>
        <w:div w:id="1448814341">
          <w:marLeft w:val="0"/>
          <w:marRight w:val="0"/>
          <w:marTop w:val="0"/>
          <w:marBottom w:val="300"/>
          <w:divBdr>
            <w:top w:val="none" w:sz="0" w:space="0" w:color="auto"/>
            <w:left w:val="none" w:sz="0" w:space="0" w:color="auto"/>
            <w:bottom w:val="single" w:sz="6" w:space="0" w:color="E4E4E4"/>
            <w:right w:val="none" w:sz="0" w:space="0" w:color="auto"/>
          </w:divBdr>
        </w:div>
        <w:div w:id="2144537874">
          <w:marLeft w:val="0"/>
          <w:marRight w:val="0"/>
          <w:marTop w:val="0"/>
          <w:marBottom w:val="0"/>
          <w:divBdr>
            <w:top w:val="none" w:sz="0" w:space="0" w:color="auto"/>
            <w:left w:val="none" w:sz="0" w:space="0" w:color="auto"/>
            <w:bottom w:val="none" w:sz="0" w:space="0" w:color="auto"/>
            <w:right w:val="none" w:sz="0" w:space="0" w:color="auto"/>
          </w:divBdr>
          <w:divsChild>
            <w:div w:id="291832218">
              <w:marLeft w:val="0"/>
              <w:marRight w:val="0"/>
              <w:marTop w:val="0"/>
              <w:marBottom w:val="0"/>
              <w:divBdr>
                <w:top w:val="none" w:sz="0" w:space="0" w:color="auto"/>
                <w:left w:val="none" w:sz="0" w:space="0" w:color="auto"/>
                <w:bottom w:val="none" w:sz="0" w:space="0" w:color="auto"/>
                <w:right w:val="none" w:sz="0" w:space="0" w:color="auto"/>
              </w:divBdr>
              <w:divsChild>
                <w:div w:id="2071922746">
                  <w:marLeft w:val="0"/>
                  <w:marRight w:val="0"/>
                  <w:marTop w:val="0"/>
                  <w:marBottom w:val="450"/>
                  <w:divBdr>
                    <w:top w:val="none" w:sz="0" w:space="0" w:color="auto"/>
                    <w:left w:val="none" w:sz="0" w:space="0" w:color="auto"/>
                    <w:bottom w:val="none" w:sz="0" w:space="0" w:color="auto"/>
                    <w:right w:val="none" w:sz="0" w:space="0" w:color="auto"/>
                  </w:divBdr>
                  <w:divsChild>
                    <w:div w:id="646513077">
                      <w:marLeft w:val="0"/>
                      <w:marRight w:val="0"/>
                      <w:marTop w:val="0"/>
                      <w:marBottom w:val="0"/>
                      <w:divBdr>
                        <w:top w:val="none" w:sz="0" w:space="0" w:color="auto"/>
                        <w:left w:val="none" w:sz="0" w:space="0" w:color="auto"/>
                        <w:bottom w:val="none" w:sz="0" w:space="0" w:color="auto"/>
                        <w:right w:val="none" w:sz="0" w:space="0" w:color="auto"/>
                      </w:divBdr>
                      <w:divsChild>
                        <w:div w:id="294526790">
                          <w:marLeft w:val="0"/>
                          <w:marRight w:val="0"/>
                          <w:marTop w:val="0"/>
                          <w:marBottom w:val="150"/>
                          <w:divBdr>
                            <w:top w:val="none" w:sz="0" w:space="0" w:color="auto"/>
                            <w:left w:val="none" w:sz="0" w:space="0" w:color="auto"/>
                            <w:bottom w:val="none" w:sz="0" w:space="0" w:color="auto"/>
                            <w:right w:val="none" w:sz="0" w:space="0" w:color="auto"/>
                          </w:divBdr>
                        </w:div>
                        <w:div w:id="504133805">
                          <w:marLeft w:val="0"/>
                          <w:marRight w:val="0"/>
                          <w:marTop w:val="0"/>
                          <w:marBottom w:val="0"/>
                          <w:divBdr>
                            <w:top w:val="none" w:sz="0" w:space="0" w:color="auto"/>
                            <w:left w:val="none" w:sz="0" w:space="0" w:color="auto"/>
                            <w:bottom w:val="none" w:sz="0" w:space="0" w:color="auto"/>
                            <w:right w:val="none" w:sz="0" w:space="0" w:color="auto"/>
                          </w:divBdr>
                          <w:divsChild>
                            <w:div w:id="79444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756099">
                      <w:marLeft w:val="0"/>
                      <w:marRight w:val="0"/>
                      <w:marTop w:val="0"/>
                      <w:marBottom w:val="150"/>
                      <w:divBdr>
                        <w:top w:val="none" w:sz="0" w:space="0" w:color="auto"/>
                        <w:left w:val="none" w:sz="0" w:space="0" w:color="auto"/>
                        <w:bottom w:val="none" w:sz="0" w:space="0" w:color="auto"/>
                        <w:right w:val="none" w:sz="0" w:space="0" w:color="auto"/>
                      </w:divBdr>
                      <w:divsChild>
                        <w:div w:id="18915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513995">
      <w:bodyDiv w:val="1"/>
      <w:marLeft w:val="0"/>
      <w:marRight w:val="0"/>
      <w:marTop w:val="0"/>
      <w:marBottom w:val="0"/>
      <w:divBdr>
        <w:top w:val="none" w:sz="0" w:space="0" w:color="auto"/>
        <w:left w:val="none" w:sz="0" w:space="0" w:color="auto"/>
        <w:bottom w:val="none" w:sz="0" w:space="0" w:color="auto"/>
        <w:right w:val="none" w:sz="0" w:space="0" w:color="auto"/>
      </w:divBdr>
      <w:divsChild>
        <w:div w:id="292445944">
          <w:marLeft w:val="0"/>
          <w:marRight w:val="0"/>
          <w:marTop w:val="0"/>
          <w:marBottom w:val="150"/>
          <w:divBdr>
            <w:top w:val="none" w:sz="0" w:space="0" w:color="auto"/>
            <w:left w:val="none" w:sz="0" w:space="0" w:color="auto"/>
            <w:bottom w:val="none" w:sz="0" w:space="0" w:color="auto"/>
            <w:right w:val="none" w:sz="0" w:space="0" w:color="auto"/>
          </w:divBdr>
        </w:div>
      </w:divsChild>
    </w:div>
    <w:div w:id="1864635133">
      <w:bodyDiv w:val="1"/>
      <w:marLeft w:val="0"/>
      <w:marRight w:val="0"/>
      <w:marTop w:val="0"/>
      <w:marBottom w:val="0"/>
      <w:divBdr>
        <w:top w:val="none" w:sz="0" w:space="0" w:color="auto"/>
        <w:left w:val="none" w:sz="0" w:space="0" w:color="auto"/>
        <w:bottom w:val="none" w:sz="0" w:space="0" w:color="auto"/>
        <w:right w:val="none" w:sz="0" w:space="0" w:color="auto"/>
      </w:divBdr>
      <w:divsChild>
        <w:div w:id="1292706598">
          <w:marLeft w:val="0"/>
          <w:marRight w:val="0"/>
          <w:marTop w:val="0"/>
          <w:marBottom w:val="0"/>
          <w:divBdr>
            <w:top w:val="none" w:sz="0" w:space="0" w:color="auto"/>
            <w:left w:val="none" w:sz="0" w:space="0" w:color="auto"/>
            <w:bottom w:val="none" w:sz="0" w:space="0" w:color="auto"/>
            <w:right w:val="none" w:sz="0" w:space="0" w:color="auto"/>
          </w:divBdr>
          <w:divsChild>
            <w:div w:id="1715301622">
              <w:marLeft w:val="0"/>
              <w:marRight w:val="0"/>
              <w:marTop w:val="0"/>
              <w:marBottom w:val="0"/>
              <w:divBdr>
                <w:top w:val="none" w:sz="0" w:space="0" w:color="auto"/>
                <w:left w:val="none" w:sz="0" w:space="0" w:color="auto"/>
                <w:bottom w:val="none" w:sz="0" w:space="0" w:color="auto"/>
                <w:right w:val="none" w:sz="0" w:space="0" w:color="auto"/>
              </w:divBdr>
              <w:divsChild>
                <w:div w:id="674193441">
                  <w:marLeft w:val="0"/>
                  <w:marRight w:val="0"/>
                  <w:marTop w:val="0"/>
                  <w:marBottom w:val="0"/>
                  <w:divBdr>
                    <w:top w:val="none" w:sz="0" w:space="0" w:color="auto"/>
                    <w:left w:val="none" w:sz="0" w:space="0" w:color="auto"/>
                    <w:bottom w:val="none" w:sz="0" w:space="0" w:color="auto"/>
                    <w:right w:val="none" w:sz="0" w:space="0" w:color="auto"/>
                  </w:divBdr>
                  <w:divsChild>
                    <w:div w:id="1368725587">
                      <w:marLeft w:val="0"/>
                      <w:marRight w:val="0"/>
                      <w:marTop w:val="0"/>
                      <w:marBottom w:val="0"/>
                      <w:divBdr>
                        <w:top w:val="none" w:sz="0" w:space="0" w:color="auto"/>
                        <w:left w:val="none" w:sz="0" w:space="0" w:color="auto"/>
                        <w:bottom w:val="none" w:sz="0" w:space="0" w:color="auto"/>
                        <w:right w:val="none" w:sz="0" w:space="0" w:color="auto"/>
                      </w:divBdr>
                      <w:divsChild>
                        <w:div w:id="932470869">
                          <w:marLeft w:val="0"/>
                          <w:marRight w:val="0"/>
                          <w:marTop w:val="0"/>
                          <w:marBottom w:val="0"/>
                          <w:divBdr>
                            <w:top w:val="none" w:sz="0" w:space="0" w:color="auto"/>
                            <w:left w:val="none" w:sz="0" w:space="0" w:color="auto"/>
                            <w:bottom w:val="none" w:sz="0" w:space="0" w:color="auto"/>
                            <w:right w:val="none" w:sz="0" w:space="0" w:color="auto"/>
                          </w:divBdr>
                          <w:divsChild>
                            <w:div w:id="1846742752">
                              <w:marLeft w:val="0"/>
                              <w:marRight w:val="0"/>
                              <w:marTop w:val="0"/>
                              <w:marBottom w:val="0"/>
                              <w:divBdr>
                                <w:top w:val="none" w:sz="0" w:space="0" w:color="auto"/>
                                <w:left w:val="none" w:sz="0" w:space="0" w:color="auto"/>
                                <w:bottom w:val="none" w:sz="0" w:space="0" w:color="auto"/>
                                <w:right w:val="none" w:sz="0" w:space="0" w:color="auto"/>
                              </w:divBdr>
                              <w:divsChild>
                                <w:div w:id="748426995">
                                  <w:marLeft w:val="0"/>
                                  <w:marRight w:val="0"/>
                                  <w:marTop w:val="0"/>
                                  <w:marBottom w:val="0"/>
                                  <w:divBdr>
                                    <w:top w:val="none" w:sz="0" w:space="0" w:color="auto"/>
                                    <w:left w:val="none" w:sz="0" w:space="0" w:color="auto"/>
                                    <w:bottom w:val="none" w:sz="0" w:space="0" w:color="auto"/>
                                    <w:right w:val="none" w:sz="0" w:space="0" w:color="auto"/>
                                  </w:divBdr>
                                  <w:divsChild>
                                    <w:div w:id="74476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5092398">
      <w:bodyDiv w:val="1"/>
      <w:marLeft w:val="0"/>
      <w:marRight w:val="0"/>
      <w:marTop w:val="0"/>
      <w:marBottom w:val="0"/>
      <w:divBdr>
        <w:top w:val="none" w:sz="0" w:space="0" w:color="auto"/>
        <w:left w:val="none" w:sz="0" w:space="0" w:color="auto"/>
        <w:bottom w:val="none" w:sz="0" w:space="0" w:color="auto"/>
        <w:right w:val="none" w:sz="0" w:space="0" w:color="auto"/>
      </w:divBdr>
    </w:div>
    <w:div w:id="1865746051">
      <w:bodyDiv w:val="1"/>
      <w:marLeft w:val="0"/>
      <w:marRight w:val="0"/>
      <w:marTop w:val="0"/>
      <w:marBottom w:val="0"/>
      <w:divBdr>
        <w:top w:val="none" w:sz="0" w:space="0" w:color="auto"/>
        <w:left w:val="none" w:sz="0" w:space="0" w:color="auto"/>
        <w:bottom w:val="none" w:sz="0" w:space="0" w:color="auto"/>
        <w:right w:val="none" w:sz="0" w:space="0" w:color="auto"/>
      </w:divBdr>
    </w:div>
    <w:div w:id="1866164237">
      <w:bodyDiv w:val="1"/>
      <w:marLeft w:val="0"/>
      <w:marRight w:val="0"/>
      <w:marTop w:val="0"/>
      <w:marBottom w:val="0"/>
      <w:divBdr>
        <w:top w:val="none" w:sz="0" w:space="0" w:color="auto"/>
        <w:left w:val="none" w:sz="0" w:space="0" w:color="auto"/>
        <w:bottom w:val="none" w:sz="0" w:space="0" w:color="auto"/>
        <w:right w:val="none" w:sz="0" w:space="0" w:color="auto"/>
      </w:divBdr>
    </w:div>
    <w:div w:id="1866819605">
      <w:bodyDiv w:val="1"/>
      <w:marLeft w:val="0"/>
      <w:marRight w:val="0"/>
      <w:marTop w:val="0"/>
      <w:marBottom w:val="0"/>
      <w:divBdr>
        <w:top w:val="none" w:sz="0" w:space="0" w:color="auto"/>
        <w:left w:val="none" w:sz="0" w:space="0" w:color="auto"/>
        <w:bottom w:val="none" w:sz="0" w:space="0" w:color="auto"/>
        <w:right w:val="none" w:sz="0" w:space="0" w:color="auto"/>
      </w:divBdr>
      <w:divsChild>
        <w:div w:id="1716470184">
          <w:marLeft w:val="0"/>
          <w:marRight w:val="0"/>
          <w:marTop w:val="0"/>
          <w:marBottom w:val="0"/>
          <w:divBdr>
            <w:top w:val="none" w:sz="0" w:space="0" w:color="auto"/>
            <w:left w:val="none" w:sz="0" w:space="0" w:color="auto"/>
            <w:bottom w:val="none" w:sz="0" w:space="0" w:color="auto"/>
            <w:right w:val="none" w:sz="0" w:space="0" w:color="auto"/>
          </w:divBdr>
          <w:divsChild>
            <w:div w:id="69600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526779">
      <w:bodyDiv w:val="1"/>
      <w:marLeft w:val="0"/>
      <w:marRight w:val="0"/>
      <w:marTop w:val="0"/>
      <w:marBottom w:val="0"/>
      <w:divBdr>
        <w:top w:val="none" w:sz="0" w:space="0" w:color="auto"/>
        <w:left w:val="none" w:sz="0" w:space="0" w:color="auto"/>
        <w:bottom w:val="none" w:sz="0" w:space="0" w:color="auto"/>
        <w:right w:val="none" w:sz="0" w:space="0" w:color="auto"/>
      </w:divBdr>
      <w:divsChild>
        <w:div w:id="1384672420">
          <w:marLeft w:val="0"/>
          <w:marRight w:val="0"/>
          <w:marTop w:val="0"/>
          <w:marBottom w:val="0"/>
          <w:divBdr>
            <w:top w:val="none" w:sz="0" w:space="0" w:color="auto"/>
            <w:left w:val="none" w:sz="0" w:space="0" w:color="auto"/>
            <w:bottom w:val="none" w:sz="0" w:space="0" w:color="auto"/>
            <w:right w:val="none" w:sz="0" w:space="0" w:color="auto"/>
          </w:divBdr>
          <w:divsChild>
            <w:div w:id="71467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67869441">
      <w:bodyDiv w:val="1"/>
      <w:marLeft w:val="0"/>
      <w:marRight w:val="0"/>
      <w:marTop w:val="0"/>
      <w:marBottom w:val="0"/>
      <w:divBdr>
        <w:top w:val="none" w:sz="0" w:space="0" w:color="auto"/>
        <w:left w:val="none" w:sz="0" w:space="0" w:color="auto"/>
        <w:bottom w:val="none" w:sz="0" w:space="0" w:color="auto"/>
        <w:right w:val="none" w:sz="0" w:space="0" w:color="auto"/>
      </w:divBdr>
      <w:divsChild>
        <w:div w:id="1991709424">
          <w:marLeft w:val="0"/>
          <w:marRight w:val="0"/>
          <w:marTop w:val="0"/>
          <w:marBottom w:val="0"/>
          <w:divBdr>
            <w:top w:val="none" w:sz="0" w:space="0" w:color="auto"/>
            <w:left w:val="none" w:sz="0" w:space="0" w:color="auto"/>
            <w:bottom w:val="none" w:sz="0" w:space="0" w:color="auto"/>
            <w:right w:val="none" w:sz="0" w:space="0" w:color="auto"/>
          </w:divBdr>
          <w:divsChild>
            <w:div w:id="1503280839">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321880">
          <w:marLeft w:val="0"/>
          <w:marRight w:val="0"/>
          <w:marTop w:val="0"/>
          <w:marBottom w:val="75"/>
          <w:divBdr>
            <w:top w:val="none" w:sz="0" w:space="0" w:color="auto"/>
            <w:left w:val="none" w:sz="0" w:space="0" w:color="auto"/>
            <w:bottom w:val="none" w:sz="0" w:space="0" w:color="auto"/>
            <w:right w:val="none" w:sz="0" w:space="0" w:color="auto"/>
          </w:divBdr>
        </w:div>
        <w:div w:id="180054793">
          <w:marLeft w:val="0"/>
          <w:marRight w:val="0"/>
          <w:marTop w:val="0"/>
          <w:marBottom w:val="0"/>
          <w:divBdr>
            <w:top w:val="none" w:sz="0" w:space="0" w:color="auto"/>
            <w:left w:val="none" w:sz="0" w:space="0" w:color="auto"/>
            <w:bottom w:val="none" w:sz="0" w:space="0" w:color="auto"/>
            <w:right w:val="none" w:sz="0" w:space="0" w:color="auto"/>
          </w:divBdr>
          <w:divsChild>
            <w:div w:id="1496917235">
              <w:marLeft w:val="0"/>
              <w:marRight w:val="0"/>
              <w:marTop w:val="0"/>
              <w:marBottom w:val="0"/>
              <w:divBdr>
                <w:top w:val="none" w:sz="0" w:space="0" w:color="auto"/>
                <w:left w:val="none" w:sz="0" w:space="0" w:color="auto"/>
                <w:bottom w:val="none" w:sz="0" w:space="0" w:color="auto"/>
                <w:right w:val="none" w:sz="0" w:space="0" w:color="auto"/>
              </w:divBdr>
              <w:divsChild>
                <w:div w:id="79959317">
                  <w:marLeft w:val="0"/>
                  <w:marRight w:val="0"/>
                  <w:marTop w:val="0"/>
                  <w:marBottom w:val="150"/>
                  <w:divBdr>
                    <w:top w:val="none" w:sz="0" w:space="0" w:color="auto"/>
                    <w:left w:val="none" w:sz="0" w:space="0" w:color="auto"/>
                    <w:bottom w:val="none" w:sz="0" w:space="0" w:color="auto"/>
                    <w:right w:val="none" w:sz="0" w:space="0" w:color="auto"/>
                  </w:divBdr>
                  <w:divsChild>
                    <w:div w:id="2112354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68059679">
      <w:bodyDiv w:val="1"/>
      <w:marLeft w:val="0"/>
      <w:marRight w:val="0"/>
      <w:marTop w:val="0"/>
      <w:marBottom w:val="0"/>
      <w:divBdr>
        <w:top w:val="none" w:sz="0" w:space="0" w:color="auto"/>
        <w:left w:val="none" w:sz="0" w:space="0" w:color="auto"/>
        <w:bottom w:val="none" w:sz="0" w:space="0" w:color="auto"/>
        <w:right w:val="none" w:sz="0" w:space="0" w:color="auto"/>
      </w:divBdr>
      <w:divsChild>
        <w:div w:id="1294405462">
          <w:marLeft w:val="0"/>
          <w:marRight w:val="0"/>
          <w:marTop w:val="0"/>
          <w:marBottom w:val="150"/>
          <w:divBdr>
            <w:top w:val="none" w:sz="0" w:space="0" w:color="auto"/>
            <w:left w:val="none" w:sz="0" w:space="0" w:color="auto"/>
            <w:bottom w:val="none" w:sz="0" w:space="0" w:color="auto"/>
            <w:right w:val="none" w:sz="0" w:space="0" w:color="auto"/>
          </w:divBdr>
          <w:divsChild>
            <w:div w:id="539248076">
              <w:marLeft w:val="0"/>
              <w:marRight w:val="0"/>
              <w:marTop w:val="0"/>
              <w:marBottom w:val="0"/>
              <w:divBdr>
                <w:top w:val="none" w:sz="0" w:space="0" w:color="auto"/>
                <w:left w:val="none" w:sz="0" w:space="0" w:color="auto"/>
                <w:bottom w:val="none" w:sz="0" w:space="0" w:color="auto"/>
                <w:right w:val="none" w:sz="0" w:space="0" w:color="auto"/>
              </w:divBdr>
              <w:divsChild>
                <w:div w:id="19281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067225">
          <w:marLeft w:val="0"/>
          <w:marRight w:val="0"/>
          <w:marTop w:val="0"/>
          <w:marBottom w:val="150"/>
          <w:divBdr>
            <w:top w:val="none" w:sz="0" w:space="0" w:color="auto"/>
            <w:left w:val="none" w:sz="0" w:space="0" w:color="auto"/>
            <w:bottom w:val="none" w:sz="0" w:space="0" w:color="auto"/>
            <w:right w:val="none" w:sz="0" w:space="0" w:color="auto"/>
          </w:divBdr>
        </w:div>
      </w:divsChild>
    </w:div>
    <w:div w:id="1868176307">
      <w:bodyDiv w:val="1"/>
      <w:marLeft w:val="0"/>
      <w:marRight w:val="0"/>
      <w:marTop w:val="0"/>
      <w:marBottom w:val="0"/>
      <w:divBdr>
        <w:top w:val="none" w:sz="0" w:space="0" w:color="auto"/>
        <w:left w:val="none" w:sz="0" w:space="0" w:color="auto"/>
        <w:bottom w:val="none" w:sz="0" w:space="0" w:color="auto"/>
        <w:right w:val="none" w:sz="0" w:space="0" w:color="auto"/>
      </w:divBdr>
      <w:divsChild>
        <w:div w:id="1088111380">
          <w:marLeft w:val="0"/>
          <w:marRight w:val="0"/>
          <w:marTop w:val="0"/>
          <w:marBottom w:val="0"/>
          <w:divBdr>
            <w:top w:val="none" w:sz="0" w:space="0" w:color="auto"/>
            <w:left w:val="none" w:sz="0" w:space="0" w:color="auto"/>
            <w:bottom w:val="none" w:sz="0" w:space="0" w:color="auto"/>
            <w:right w:val="none" w:sz="0" w:space="0" w:color="auto"/>
          </w:divBdr>
          <w:divsChild>
            <w:div w:id="645360819">
              <w:marLeft w:val="0"/>
              <w:marRight w:val="0"/>
              <w:marTop w:val="0"/>
              <w:marBottom w:val="0"/>
              <w:divBdr>
                <w:top w:val="none" w:sz="0" w:space="0" w:color="auto"/>
                <w:left w:val="none" w:sz="0" w:space="0" w:color="auto"/>
                <w:bottom w:val="none" w:sz="0" w:space="0" w:color="auto"/>
                <w:right w:val="none" w:sz="0" w:space="0" w:color="auto"/>
              </w:divBdr>
              <w:divsChild>
                <w:div w:id="1074276556">
                  <w:marLeft w:val="0"/>
                  <w:marRight w:val="0"/>
                  <w:marTop w:val="0"/>
                  <w:marBottom w:val="197"/>
                  <w:divBdr>
                    <w:top w:val="none" w:sz="0" w:space="0" w:color="auto"/>
                    <w:left w:val="none" w:sz="0" w:space="0" w:color="auto"/>
                    <w:bottom w:val="none" w:sz="0" w:space="0" w:color="auto"/>
                    <w:right w:val="none" w:sz="0" w:space="0" w:color="auto"/>
                  </w:divBdr>
                  <w:divsChild>
                    <w:div w:id="1087770416">
                      <w:marLeft w:val="0"/>
                      <w:marRight w:val="0"/>
                      <w:marTop w:val="0"/>
                      <w:marBottom w:val="0"/>
                      <w:divBdr>
                        <w:top w:val="none" w:sz="0" w:space="0" w:color="auto"/>
                        <w:left w:val="none" w:sz="0" w:space="0" w:color="auto"/>
                        <w:bottom w:val="none" w:sz="0" w:space="0" w:color="auto"/>
                        <w:right w:val="none" w:sz="0" w:space="0" w:color="auto"/>
                      </w:divBdr>
                      <w:divsChild>
                        <w:div w:id="474839083">
                          <w:marLeft w:val="0"/>
                          <w:marRight w:val="0"/>
                          <w:marTop w:val="0"/>
                          <w:marBottom w:val="0"/>
                          <w:divBdr>
                            <w:top w:val="none" w:sz="0" w:space="0" w:color="auto"/>
                            <w:left w:val="none" w:sz="0" w:space="0" w:color="auto"/>
                            <w:bottom w:val="none" w:sz="0" w:space="0" w:color="auto"/>
                            <w:right w:val="none" w:sz="0" w:space="0" w:color="auto"/>
                          </w:divBdr>
                          <w:divsChild>
                            <w:div w:id="1615937978">
                              <w:marLeft w:val="0"/>
                              <w:marRight w:val="0"/>
                              <w:marTop w:val="0"/>
                              <w:marBottom w:val="0"/>
                              <w:divBdr>
                                <w:top w:val="none" w:sz="0" w:space="0" w:color="auto"/>
                                <w:left w:val="none" w:sz="0" w:space="0" w:color="auto"/>
                                <w:bottom w:val="none" w:sz="0" w:space="0" w:color="auto"/>
                                <w:right w:val="none" w:sz="0" w:space="0" w:color="auto"/>
                              </w:divBdr>
                              <w:divsChild>
                                <w:div w:id="1895460470">
                                  <w:marLeft w:val="0"/>
                                  <w:marRight w:val="0"/>
                                  <w:marTop w:val="0"/>
                                  <w:marBottom w:val="0"/>
                                  <w:divBdr>
                                    <w:top w:val="none" w:sz="0" w:space="0" w:color="auto"/>
                                    <w:left w:val="none" w:sz="0" w:space="0" w:color="auto"/>
                                    <w:bottom w:val="none" w:sz="0" w:space="0" w:color="auto"/>
                                    <w:right w:val="none" w:sz="0" w:space="0" w:color="auto"/>
                                  </w:divBdr>
                                  <w:divsChild>
                                    <w:div w:id="511602769">
                                      <w:marLeft w:val="0"/>
                                      <w:marRight w:val="0"/>
                                      <w:marTop w:val="0"/>
                                      <w:marBottom w:val="0"/>
                                      <w:divBdr>
                                        <w:top w:val="none" w:sz="0" w:space="0" w:color="auto"/>
                                        <w:left w:val="none" w:sz="0" w:space="0" w:color="auto"/>
                                        <w:bottom w:val="none" w:sz="0" w:space="0" w:color="auto"/>
                                        <w:right w:val="none" w:sz="0" w:space="0" w:color="auto"/>
                                      </w:divBdr>
                                      <w:divsChild>
                                        <w:div w:id="885289032">
                                          <w:marLeft w:val="0"/>
                                          <w:marRight w:val="0"/>
                                          <w:marTop w:val="0"/>
                                          <w:marBottom w:val="0"/>
                                          <w:divBdr>
                                            <w:top w:val="none" w:sz="0" w:space="0" w:color="auto"/>
                                            <w:left w:val="none" w:sz="0" w:space="0" w:color="auto"/>
                                            <w:bottom w:val="none" w:sz="0" w:space="0" w:color="auto"/>
                                            <w:right w:val="none" w:sz="0" w:space="0" w:color="auto"/>
                                          </w:divBdr>
                                          <w:divsChild>
                                            <w:div w:id="338193090">
                                              <w:marLeft w:val="0"/>
                                              <w:marRight w:val="0"/>
                                              <w:marTop w:val="0"/>
                                              <w:marBottom w:val="0"/>
                                              <w:divBdr>
                                                <w:top w:val="none" w:sz="0" w:space="0" w:color="auto"/>
                                                <w:left w:val="none" w:sz="0" w:space="0" w:color="auto"/>
                                                <w:bottom w:val="none" w:sz="0" w:space="0" w:color="auto"/>
                                                <w:right w:val="none" w:sz="0" w:space="0" w:color="auto"/>
                                              </w:divBdr>
                                              <w:divsChild>
                                                <w:div w:id="5185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8837151">
      <w:bodyDiv w:val="1"/>
      <w:marLeft w:val="0"/>
      <w:marRight w:val="0"/>
      <w:marTop w:val="0"/>
      <w:marBottom w:val="0"/>
      <w:divBdr>
        <w:top w:val="none" w:sz="0" w:space="0" w:color="auto"/>
        <w:left w:val="none" w:sz="0" w:space="0" w:color="auto"/>
        <w:bottom w:val="none" w:sz="0" w:space="0" w:color="auto"/>
        <w:right w:val="none" w:sz="0" w:space="0" w:color="auto"/>
      </w:divBdr>
      <w:divsChild>
        <w:div w:id="1831822896">
          <w:marLeft w:val="0"/>
          <w:marRight w:val="0"/>
          <w:marTop w:val="0"/>
          <w:marBottom w:val="150"/>
          <w:divBdr>
            <w:top w:val="none" w:sz="0" w:space="0" w:color="auto"/>
            <w:left w:val="none" w:sz="0" w:space="0" w:color="auto"/>
            <w:bottom w:val="none" w:sz="0" w:space="0" w:color="auto"/>
            <w:right w:val="none" w:sz="0" w:space="0" w:color="auto"/>
          </w:divBdr>
        </w:div>
      </w:divsChild>
    </w:div>
    <w:div w:id="1868904241">
      <w:bodyDiv w:val="1"/>
      <w:marLeft w:val="0"/>
      <w:marRight w:val="0"/>
      <w:marTop w:val="0"/>
      <w:marBottom w:val="0"/>
      <w:divBdr>
        <w:top w:val="none" w:sz="0" w:space="0" w:color="auto"/>
        <w:left w:val="none" w:sz="0" w:space="0" w:color="auto"/>
        <w:bottom w:val="none" w:sz="0" w:space="0" w:color="auto"/>
        <w:right w:val="none" w:sz="0" w:space="0" w:color="auto"/>
      </w:divBdr>
      <w:divsChild>
        <w:div w:id="1783761093">
          <w:marLeft w:val="0"/>
          <w:marRight w:val="0"/>
          <w:marTop w:val="0"/>
          <w:marBottom w:val="0"/>
          <w:divBdr>
            <w:top w:val="none" w:sz="0" w:space="0" w:color="auto"/>
            <w:left w:val="none" w:sz="0" w:space="0" w:color="auto"/>
            <w:bottom w:val="none" w:sz="0" w:space="0" w:color="auto"/>
            <w:right w:val="none" w:sz="0" w:space="0" w:color="auto"/>
          </w:divBdr>
          <w:divsChild>
            <w:div w:id="1604803483">
              <w:marLeft w:val="0"/>
              <w:marRight w:val="0"/>
              <w:marTop w:val="0"/>
              <w:marBottom w:val="0"/>
              <w:divBdr>
                <w:top w:val="none" w:sz="0" w:space="0" w:color="auto"/>
                <w:left w:val="none" w:sz="0" w:space="0" w:color="auto"/>
                <w:bottom w:val="none" w:sz="0" w:space="0" w:color="auto"/>
                <w:right w:val="none" w:sz="0" w:space="0" w:color="auto"/>
              </w:divBdr>
              <w:divsChild>
                <w:div w:id="408579893">
                  <w:marLeft w:val="0"/>
                  <w:marRight w:val="0"/>
                  <w:marTop w:val="0"/>
                  <w:marBottom w:val="0"/>
                  <w:divBdr>
                    <w:top w:val="none" w:sz="0" w:space="0" w:color="auto"/>
                    <w:left w:val="none" w:sz="0" w:space="0" w:color="auto"/>
                    <w:bottom w:val="none" w:sz="0" w:space="0" w:color="auto"/>
                    <w:right w:val="none" w:sz="0" w:space="0" w:color="auto"/>
                  </w:divBdr>
                  <w:divsChild>
                    <w:div w:id="1403986443">
                      <w:marLeft w:val="0"/>
                      <w:marRight w:val="0"/>
                      <w:marTop w:val="0"/>
                      <w:marBottom w:val="0"/>
                      <w:divBdr>
                        <w:top w:val="none" w:sz="0" w:space="0" w:color="auto"/>
                        <w:left w:val="none" w:sz="0" w:space="0" w:color="auto"/>
                        <w:bottom w:val="none" w:sz="0" w:space="0" w:color="auto"/>
                        <w:right w:val="none" w:sz="0" w:space="0" w:color="auto"/>
                      </w:divBdr>
                      <w:divsChild>
                        <w:div w:id="700739964">
                          <w:marLeft w:val="0"/>
                          <w:marRight w:val="0"/>
                          <w:marTop w:val="0"/>
                          <w:marBottom w:val="0"/>
                          <w:divBdr>
                            <w:top w:val="none" w:sz="0" w:space="0" w:color="auto"/>
                            <w:left w:val="none" w:sz="0" w:space="0" w:color="auto"/>
                            <w:bottom w:val="none" w:sz="0" w:space="0" w:color="auto"/>
                            <w:right w:val="none" w:sz="0" w:space="0" w:color="auto"/>
                          </w:divBdr>
                          <w:divsChild>
                            <w:div w:id="1810512100">
                              <w:marLeft w:val="0"/>
                              <w:marRight w:val="0"/>
                              <w:marTop w:val="0"/>
                              <w:marBottom w:val="0"/>
                              <w:divBdr>
                                <w:top w:val="none" w:sz="0" w:space="0" w:color="auto"/>
                                <w:left w:val="none" w:sz="0" w:space="0" w:color="auto"/>
                                <w:bottom w:val="none" w:sz="0" w:space="0" w:color="auto"/>
                                <w:right w:val="none" w:sz="0" w:space="0" w:color="auto"/>
                              </w:divBdr>
                              <w:divsChild>
                                <w:div w:id="22946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8980387">
      <w:bodyDiv w:val="1"/>
      <w:marLeft w:val="0"/>
      <w:marRight w:val="0"/>
      <w:marTop w:val="0"/>
      <w:marBottom w:val="0"/>
      <w:divBdr>
        <w:top w:val="none" w:sz="0" w:space="0" w:color="auto"/>
        <w:left w:val="none" w:sz="0" w:space="0" w:color="auto"/>
        <w:bottom w:val="none" w:sz="0" w:space="0" w:color="auto"/>
        <w:right w:val="none" w:sz="0" w:space="0" w:color="auto"/>
      </w:divBdr>
      <w:divsChild>
        <w:div w:id="1376930547">
          <w:marLeft w:val="0"/>
          <w:marRight w:val="0"/>
          <w:marTop w:val="0"/>
          <w:marBottom w:val="150"/>
          <w:divBdr>
            <w:top w:val="none" w:sz="0" w:space="0" w:color="auto"/>
            <w:left w:val="none" w:sz="0" w:space="0" w:color="auto"/>
            <w:bottom w:val="none" w:sz="0" w:space="0" w:color="auto"/>
            <w:right w:val="none" w:sz="0" w:space="0" w:color="auto"/>
          </w:divBdr>
          <w:divsChild>
            <w:div w:id="1048803152">
              <w:marLeft w:val="0"/>
              <w:marRight w:val="0"/>
              <w:marTop w:val="0"/>
              <w:marBottom w:val="0"/>
              <w:divBdr>
                <w:top w:val="none" w:sz="0" w:space="0" w:color="auto"/>
                <w:left w:val="none" w:sz="0" w:space="0" w:color="auto"/>
                <w:bottom w:val="none" w:sz="0" w:space="0" w:color="auto"/>
                <w:right w:val="none" w:sz="0" w:space="0" w:color="auto"/>
              </w:divBdr>
              <w:divsChild>
                <w:div w:id="582303069">
                  <w:marLeft w:val="0"/>
                  <w:marRight w:val="0"/>
                  <w:marTop w:val="0"/>
                  <w:marBottom w:val="0"/>
                  <w:divBdr>
                    <w:top w:val="none" w:sz="0" w:space="0" w:color="auto"/>
                    <w:left w:val="none" w:sz="0" w:space="0" w:color="auto"/>
                    <w:bottom w:val="none" w:sz="0" w:space="0" w:color="auto"/>
                    <w:right w:val="none" w:sz="0" w:space="0" w:color="auto"/>
                  </w:divBdr>
                  <w:divsChild>
                    <w:div w:id="283856335">
                      <w:marLeft w:val="0"/>
                      <w:marRight w:val="150"/>
                      <w:marTop w:val="0"/>
                      <w:marBottom w:val="0"/>
                      <w:divBdr>
                        <w:top w:val="none" w:sz="0" w:space="0" w:color="auto"/>
                        <w:left w:val="none" w:sz="0" w:space="0" w:color="auto"/>
                        <w:bottom w:val="none" w:sz="0" w:space="0" w:color="auto"/>
                        <w:right w:val="none" w:sz="0" w:space="0" w:color="auto"/>
                      </w:divBdr>
                      <w:divsChild>
                        <w:div w:id="168270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529833">
          <w:marLeft w:val="0"/>
          <w:marRight w:val="0"/>
          <w:marTop w:val="0"/>
          <w:marBottom w:val="150"/>
          <w:divBdr>
            <w:top w:val="none" w:sz="0" w:space="0" w:color="auto"/>
            <w:left w:val="none" w:sz="0" w:space="0" w:color="auto"/>
            <w:bottom w:val="none" w:sz="0" w:space="0" w:color="auto"/>
            <w:right w:val="none" w:sz="0" w:space="0" w:color="auto"/>
          </w:divBdr>
        </w:div>
        <w:div w:id="453718633">
          <w:marLeft w:val="0"/>
          <w:marRight w:val="0"/>
          <w:marTop w:val="0"/>
          <w:marBottom w:val="0"/>
          <w:divBdr>
            <w:top w:val="none" w:sz="0" w:space="0" w:color="auto"/>
            <w:left w:val="none" w:sz="0" w:space="0" w:color="auto"/>
            <w:bottom w:val="none" w:sz="0" w:space="0" w:color="auto"/>
            <w:right w:val="none" w:sz="0" w:space="0" w:color="auto"/>
          </w:divBdr>
          <w:divsChild>
            <w:div w:id="18679867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69102271">
      <w:bodyDiv w:val="1"/>
      <w:marLeft w:val="0"/>
      <w:marRight w:val="0"/>
      <w:marTop w:val="0"/>
      <w:marBottom w:val="0"/>
      <w:divBdr>
        <w:top w:val="none" w:sz="0" w:space="0" w:color="auto"/>
        <w:left w:val="none" w:sz="0" w:space="0" w:color="auto"/>
        <w:bottom w:val="none" w:sz="0" w:space="0" w:color="auto"/>
        <w:right w:val="none" w:sz="0" w:space="0" w:color="auto"/>
      </w:divBdr>
      <w:divsChild>
        <w:div w:id="1161652134">
          <w:marLeft w:val="0"/>
          <w:marRight w:val="0"/>
          <w:marTop w:val="0"/>
          <w:marBottom w:val="0"/>
          <w:divBdr>
            <w:top w:val="none" w:sz="0" w:space="0" w:color="auto"/>
            <w:left w:val="none" w:sz="0" w:space="0" w:color="auto"/>
            <w:bottom w:val="none" w:sz="0" w:space="0" w:color="auto"/>
            <w:right w:val="none" w:sz="0" w:space="0" w:color="auto"/>
          </w:divBdr>
        </w:div>
      </w:divsChild>
    </w:div>
    <w:div w:id="1869105914">
      <w:bodyDiv w:val="1"/>
      <w:marLeft w:val="0"/>
      <w:marRight w:val="0"/>
      <w:marTop w:val="0"/>
      <w:marBottom w:val="0"/>
      <w:divBdr>
        <w:top w:val="none" w:sz="0" w:space="0" w:color="auto"/>
        <w:left w:val="none" w:sz="0" w:space="0" w:color="auto"/>
        <w:bottom w:val="none" w:sz="0" w:space="0" w:color="auto"/>
        <w:right w:val="none" w:sz="0" w:space="0" w:color="auto"/>
      </w:divBdr>
    </w:div>
    <w:div w:id="1869179201">
      <w:bodyDiv w:val="1"/>
      <w:marLeft w:val="0"/>
      <w:marRight w:val="0"/>
      <w:marTop w:val="0"/>
      <w:marBottom w:val="0"/>
      <w:divBdr>
        <w:top w:val="none" w:sz="0" w:space="0" w:color="auto"/>
        <w:left w:val="none" w:sz="0" w:space="0" w:color="auto"/>
        <w:bottom w:val="none" w:sz="0" w:space="0" w:color="auto"/>
        <w:right w:val="none" w:sz="0" w:space="0" w:color="auto"/>
      </w:divBdr>
      <w:divsChild>
        <w:div w:id="1661763572">
          <w:marLeft w:val="0"/>
          <w:marRight w:val="0"/>
          <w:marTop w:val="0"/>
          <w:marBottom w:val="0"/>
          <w:divBdr>
            <w:top w:val="none" w:sz="0" w:space="0" w:color="auto"/>
            <w:left w:val="none" w:sz="0" w:space="0" w:color="auto"/>
            <w:bottom w:val="dotted" w:sz="6" w:space="4" w:color="DDDDDD"/>
            <w:right w:val="none" w:sz="0" w:space="0" w:color="auto"/>
          </w:divBdr>
          <w:divsChild>
            <w:div w:id="17306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293143">
      <w:bodyDiv w:val="1"/>
      <w:marLeft w:val="0"/>
      <w:marRight w:val="0"/>
      <w:marTop w:val="0"/>
      <w:marBottom w:val="0"/>
      <w:divBdr>
        <w:top w:val="none" w:sz="0" w:space="0" w:color="auto"/>
        <w:left w:val="none" w:sz="0" w:space="0" w:color="auto"/>
        <w:bottom w:val="none" w:sz="0" w:space="0" w:color="auto"/>
        <w:right w:val="none" w:sz="0" w:space="0" w:color="auto"/>
      </w:divBdr>
    </w:div>
    <w:div w:id="1869444900">
      <w:bodyDiv w:val="1"/>
      <w:marLeft w:val="0"/>
      <w:marRight w:val="0"/>
      <w:marTop w:val="0"/>
      <w:marBottom w:val="0"/>
      <w:divBdr>
        <w:top w:val="none" w:sz="0" w:space="0" w:color="auto"/>
        <w:left w:val="none" w:sz="0" w:space="0" w:color="auto"/>
        <w:bottom w:val="none" w:sz="0" w:space="0" w:color="auto"/>
        <w:right w:val="none" w:sz="0" w:space="0" w:color="auto"/>
      </w:divBdr>
      <w:divsChild>
        <w:div w:id="1081869405">
          <w:marLeft w:val="0"/>
          <w:marRight w:val="0"/>
          <w:marTop w:val="0"/>
          <w:marBottom w:val="0"/>
          <w:divBdr>
            <w:top w:val="none" w:sz="0" w:space="0" w:color="auto"/>
            <w:left w:val="none" w:sz="0" w:space="0" w:color="auto"/>
            <w:bottom w:val="none" w:sz="0" w:space="0" w:color="auto"/>
            <w:right w:val="none" w:sz="0" w:space="0" w:color="auto"/>
          </w:divBdr>
          <w:divsChild>
            <w:div w:id="481770915">
              <w:marLeft w:val="0"/>
              <w:marRight w:val="0"/>
              <w:marTop w:val="0"/>
              <w:marBottom w:val="0"/>
              <w:divBdr>
                <w:top w:val="none" w:sz="0" w:space="0" w:color="auto"/>
                <w:left w:val="none" w:sz="0" w:space="0" w:color="auto"/>
                <w:bottom w:val="none" w:sz="0" w:space="0" w:color="auto"/>
                <w:right w:val="none" w:sz="0" w:space="0" w:color="auto"/>
              </w:divBdr>
            </w:div>
            <w:div w:id="1015887029">
              <w:marLeft w:val="0"/>
              <w:marRight w:val="0"/>
              <w:marTop w:val="0"/>
              <w:marBottom w:val="150"/>
              <w:divBdr>
                <w:top w:val="none" w:sz="0" w:space="0" w:color="auto"/>
                <w:left w:val="none" w:sz="0" w:space="0" w:color="auto"/>
                <w:bottom w:val="none" w:sz="0" w:space="0" w:color="auto"/>
                <w:right w:val="none" w:sz="0" w:space="0" w:color="auto"/>
              </w:divBdr>
            </w:div>
          </w:divsChild>
        </w:div>
        <w:div w:id="1436943515">
          <w:marLeft w:val="0"/>
          <w:marRight w:val="0"/>
          <w:marTop w:val="0"/>
          <w:marBottom w:val="150"/>
          <w:divBdr>
            <w:top w:val="none" w:sz="0" w:space="0" w:color="auto"/>
            <w:left w:val="none" w:sz="0" w:space="0" w:color="auto"/>
            <w:bottom w:val="none" w:sz="0" w:space="0" w:color="auto"/>
            <w:right w:val="none" w:sz="0" w:space="0" w:color="auto"/>
          </w:divBdr>
          <w:divsChild>
            <w:div w:id="149383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835296">
      <w:bodyDiv w:val="1"/>
      <w:marLeft w:val="0"/>
      <w:marRight w:val="0"/>
      <w:marTop w:val="0"/>
      <w:marBottom w:val="0"/>
      <w:divBdr>
        <w:top w:val="none" w:sz="0" w:space="0" w:color="auto"/>
        <w:left w:val="none" w:sz="0" w:space="0" w:color="auto"/>
        <w:bottom w:val="none" w:sz="0" w:space="0" w:color="auto"/>
        <w:right w:val="none" w:sz="0" w:space="0" w:color="auto"/>
      </w:divBdr>
    </w:div>
    <w:div w:id="1870681131">
      <w:bodyDiv w:val="1"/>
      <w:marLeft w:val="0"/>
      <w:marRight w:val="0"/>
      <w:marTop w:val="0"/>
      <w:marBottom w:val="0"/>
      <w:divBdr>
        <w:top w:val="none" w:sz="0" w:space="0" w:color="auto"/>
        <w:left w:val="none" w:sz="0" w:space="0" w:color="auto"/>
        <w:bottom w:val="none" w:sz="0" w:space="0" w:color="auto"/>
        <w:right w:val="none" w:sz="0" w:space="0" w:color="auto"/>
      </w:divBdr>
      <w:divsChild>
        <w:div w:id="1886679494">
          <w:marLeft w:val="0"/>
          <w:marRight w:val="0"/>
          <w:marTop w:val="0"/>
          <w:marBottom w:val="0"/>
          <w:divBdr>
            <w:top w:val="none" w:sz="0" w:space="0" w:color="auto"/>
            <w:left w:val="none" w:sz="0" w:space="0" w:color="auto"/>
            <w:bottom w:val="dotted" w:sz="6" w:space="4" w:color="DDDDDD"/>
            <w:right w:val="none" w:sz="0" w:space="0" w:color="auto"/>
          </w:divBdr>
          <w:divsChild>
            <w:div w:id="3779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753210">
      <w:bodyDiv w:val="1"/>
      <w:marLeft w:val="0"/>
      <w:marRight w:val="0"/>
      <w:marTop w:val="0"/>
      <w:marBottom w:val="0"/>
      <w:divBdr>
        <w:top w:val="none" w:sz="0" w:space="0" w:color="auto"/>
        <w:left w:val="none" w:sz="0" w:space="0" w:color="auto"/>
        <w:bottom w:val="none" w:sz="0" w:space="0" w:color="auto"/>
        <w:right w:val="none" w:sz="0" w:space="0" w:color="auto"/>
      </w:divBdr>
      <w:divsChild>
        <w:div w:id="1782937">
          <w:marLeft w:val="0"/>
          <w:marRight w:val="0"/>
          <w:marTop w:val="0"/>
          <w:marBottom w:val="150"/>
          <w:divBdr>
            <w:top w:val="none" w:sz="0" w:space="0" w:color="auto"/>
            <w:left w:val="none" w:sz="0" w:space="0" w:color="auto"/>
            <w:bottom w:val="none" w:sz="0" w:space="0" w:color="auto"/>
            <w:right w:val="none" w:sz="0" w:space="0" w:color="auto"/>
          </w:divBdr>
        </w:div>
        <w:div w:id="67658348">
          <w:marLeft w:val="0"/>
          <w:marRight w:val="0"/>
          <w:marTop w:val="0"/>
          <w:marBottom w:val="150"/>
          <w:divBdr>
            <w:top w:val="none" w:sz="0" w:space="0" w:color="auto"/>
            <w:left w:val="none" w:sz="0" w:space="0" w:color="auto"/>
            <w:bottom w:val="none" w:sz="0" w:space="0" w:color="auto"/>
            <w:right w:val="none" w:sz="0" w:space="0" w:color="auto"/>
          </w:divBdr>
        </w:div>
        <w:div w:id="164126364">
          <w:marLeft w:val="0"/>
          <w:marRight w:val="0"/>
          <w:marTop w:val="0"/>
          <w:marBottom w:val="150"/>
          <w:divBdr>
            <w:top w:val="none" w:sz="0" w:space="0" w:color="auto"/>
            <w:left w:val="none" w:sz="0" w:space="0" w:color="auto"/>
            <w:bottom w:val="none" w:sz="0" w:space="0" w:color="auto"/>
            <w:right w:val="none" w:sz="0" w:space="0" w:color="auto"/>
          </w:divBdr>
        </w:div>
        <w:div w:id="218057877">
          <w:marLeft w:val="0"/>
          <w:marRight w:val="0"/>
          <w:marTop w:val="0"/>
          <w:marBottom w:val="150"/>
          <w:divBdr>
            <w:top w:val="none" w:sz="0" w:space="0" w:color="auto"/>
            <w:left w:val="none" w:sz="0" w:space="0" w:color="auto"/>
            <w:bottom w:val="none" w:sz="0" w:space="0" w:color="auto"/>
            <w:right w:val="none" w:sz="0" w:space="0" w:color="auto"/>
          </w:divBdr>
        </w:div>
        <w:div w:id="407197579">
          <w:marLeft w:val="0"/>
          <w:marRight w:val="0"/>
          <w:marTop w:val="0"/>
          <w:marBottom w:val="150"/>
          <w:divBdr>
            <w:top w:val="none" w:sz="0" w:space="0" w:color="auto"/>
            <w:left w:val="none" w:sz="0" w:space="0" w:color="auto"/>
            <w:bottom w:val="none" w:sz="0" w:space="0" w:color="auto"/>
            <w:right w:val="none" w:sz="0" w:space="0" w:color="auto"/>
          </w:divBdr>
        </w:div>
        <w:div w:id="1081757331">
          <w:marLeft w:val="0"/>
          <w:marRight w:val="0"/>
          <w:marTop w:val="0"/>
          <w:marBottom w:val="150"/>
          <w:divBdr>
            <w:top w:val="none" w:sz="0" w:space="0" w:color="auto"/>
            <w:left w:val="none" w:sz="0" w:space="0" w:color="auto"/>
            <w:bottom w:val="none" w:sz="0" w:space="0" w:color="auto"/>
            <w:right w:val="none" w:sz="0" w:space="0" w:color="auto"/>
          </w:divBdr>
        </w:div>
        <w:div w:id="1098910309">
          <w:marLeft w:val="0"/>
          <w:marRight w:val="0"/>
          <w:marTop w:val="0"/>
          <w:marBottom w:val="150"/>
          <w:divBdr>
            <w:top w:val="none" w:sz="0" w:space="0" w:color="auto"/>
            <w:left w:val="none" w:sz="0" w:space="0" w:color="auto"/>
            <w:bottom w:val="none" w:sz="0" w:space="0" w:color="auto"/>
            <w:right w:val="none" w:sz="0" w:space="0" w:color="auto"/>
          </w:divBdr>
        </w:div>
        <w:div w:id="1552351458">
          <w:marLeft w:val="0"/>
          <w:marRight w:val="0"/>
          <w:marTop w:val="0"/>
          <w:marBottom w:val="150"/>
          <w:divBdr>
            <w:top w:val="none" w:sz="0" w:space="0" w:color="auto"/>
            <w:left w:val="none" w:sz="0" w:space="0" w:color="auto"/>
            <w:bottom w:val="none" w:sz="0" w:space="0" w:color="auto"/>
            <w:right w:val="none" w:sz="0" w:space="0" w:color="auto"/>
          </w:divBdr>
        </w:div>
        <w:div w:id="1675493945">
          <w:marLeft w:val="0"/>
          <w:marRight w:val="0"/>
          <w:marTop w:val="0"/>
          <w:marBottom w:val="150"/>
          <w:divBdr>
            <w:top w:val="none" w:sz="0" w:space="0" w:color="auto"/>
            <w:left w:val="none" w:sz="0" w:space="0" w:color="auto"/>
            <w:bottom w:val="none" w:sz="0" w:space="0" w:color="auto"/>
            <w:right w:val="none" w:sz="0" w:space="0" w:color="auto"/>
          </w:divBdr>
        </w:div>
        <w:div w:id="1950700009">
          <w:marLeft w:val="0"/>
          <w:marRight w:val="0"/>
          <w:marTop w:val="0"/>
          <w:marBottom w:val="150"/>
          <w:divBdr>
            <w:top w:val="none" w:sz="0" w:space="0" w:color="auto"/>
            <w:left w:val="none" w:sz="0" w:space="0" w:color="auto"/>
            <w:bottom w:val="none" w:sz="0" w:space="0" w:color="auto"/>
            <w:right w:val="none" w:sz="0" w:space="0" w:color="auto"/>
          </w:divBdr>
        </w:div>
      </w:divsChild>
    </w:div>
    <w:div w:id="1871186050">
      <w:bodyDiv w:val="1"/>
      <w:marLeft w:val="0"/>
      <w:marRight w:val="0"/>
      <w:marTop w:val="0"/>
      <w:marBottom w:val="0"/>
      <w:divBdr>
        <w:top w:val="none" w:sz="0" w:space="0" w:color="auto"/>
        <w:left w:val="none" w:sz="0" w:space="0" w:color="auto"/>
        <w:bottom w:val="none" w:sz="0" w:space="0" w:color="auto"/>
        <w:right w:val="none" w:sz="0" w:space="0" w:color="auto"/>
      </w:divBdr>
    </w:div>
    <w:div w:id="1871524495">
      <w:bodyDiv w:val="1"/>
      <w:marLeft w:val="0"/>
      <w:marRight w:val="0"/>
      <w:marTop w:val="0"/>
      <w:marBottom w:val="0"/>
      <w:divBdr>
        <w:top w:val="none" w:sz="0" w:space="0" w:color="auto"/>
        <w:left w:val="none" w:sz="0" w:space="0" w:color="auto"/>
        <w:bottom w:val="none" w:sz="0" w:space="0" w:color="auto"/>
        <w:right w:val="none" w:sz="0" w:space="0" w:color="auto"/>
      </w:divBdr>
      <w:divsChild>
        <w:div w:id="588150815">
          <w:marLeft w:val="0"/>
          <w:marRight w:val="0"/>
          <w:marTop w:val="0"/>
          <w:marBottom w:val="150"/>
          <w:divBdr>
            <w:top w:val="none" w:sz="0" w:space="0" w:color="auto"/>
            <w:left w:val="none" w:sz="0" w:space="0" w:color="auto"/>
            <w:bottom w:val="none" w:sz="0" w:space="0" w:color="auto"/>
            <w:right w:val="none" w:sz="0" w:space="0" w:color="auto"/>
          </w:divBdr>
        </w:div>
        <w:div w:id="1168136990">
          <w:marLeft w:val="0"/>
          <w:marRight w:val="0"/>
          <w:marTop w:val="0"/>
          <w:marBottom w:val="0"/>
          <w:divBdr>
            <w:top w:val="none" w:sz="0" w:space="0" w:color="auto"/>
            <w:left w:val="none" w:sz="0" w:space="0" w:color="auto"/>
            <w:bottom w:val="none" w:sz="0" w:space="0" w:color="auto"/>
            <w:right w:val="none" w:sz="0" w:space="0" w:color="auto"/>
          </w:divBdr>
        </w:div>
        <w:div w:id="2077121715">
          <w:marLeft w:val="0"/>
          <w:marRight w:val="0"/>
          <w:marTop w:val="0"/>
          <w:marBottom w:val="0"/>
          <w:divBdr>
            <w:top w:val="none" w:sz="0" w:space="0" w:color="auto"/>
            <w:left w:val="none" w:sz="0" w:space="0" w:color="auto"/>
            <w:bottom w:val="none" w:sz="0" w:space="0" w:color="auto"/>
            <w:right w:val="none" w:sz="0" w:space="0" w:color="auto"/>
          </w:divBdr>
          <w:divsChild>
            <w:div w:id="1934432134">
              <w:marLeft w:val="0"/>
              <w:marRight w:val="0"/>
              <w:marTop w:val="0"/>
              <w:marBottom w:val="225"/>
              <w:divBdr>
                <w:top w:val="none" w:sz="0" w:space="0" w:color="auto"/>
                <w:left w:val="none" w:sz="0" w:space="0" w:color="auto"/>
                <w:bottom w:val="none" w:sz="0" w:space="0" w:color="auto"/>
                <w:right w:val="none" w:sz="0" w:space="0" w:color="auto"/>
              </w:divBdr>
              <w:divsChild>
                <w:div w:id="637220490">
                  <w:marLeft w:val="0"/>
                  <w:marRight w:val="0"/>
                  <w:marTop w:val="0"/>
                  <w:marBottom w:val="150"/>
                  <w:divBdr>
                    <w:top w:val="none" w:sz="0" w:space="0" w:color="auto"/>
                    <w:left w:val="none" w:sz="0" w:space="0" w:color="auto"/>
                    <w:bottom w:val="none" w:sz="0" w:space="0" w:color="auto"/>
                    <w:right w:val="none" w:sz="0" w:space="0" w:color="auto"/>
                  </w:divBdr>
                </w:div>
                <w:div w:id="1119371745">
                  <w:marLeft w:val="0"/>
                  <w:marRight w:val="0"/>
                  <w:marTop w:val="0"/>
                  <w:marBottom w:val="150"/>
                  <w:divBdr>
                    <w:top w:val="none" w:sz="0" w:space="0" w:color="auto"/>
                    <w:left w:val="none" w:sz="0" w:space="0" w:color="auto"/>
                    <w:bottom w:val="none" w:sz="0" w:space="0" w:color="auto"/>
                    <w:right w:val="none" w:sz="0" w:space="0" w:color="auto"/>
                  </w:divBdr>
                </w:div>
                <w:div w:id="1283927254">
                  <w:marLeft w:val="0"/>
                  <w:marRight w:val="0"/>
                  <w:marTop w:val="0"/>
                  <w:marBottom w:val="150"/>
                  <w:divBdr>
                    <w:top w:val="none" w:sz="0" w:space="0" w:color="auto"/>
                    <w:left w:val="none" w:sz="0" w:space="0" w:color="auto"/>
                    <w:bottom w:val="none" w:sz="0" w:space="0" w:color="auto"/>
                    <w:right w:val="none" w:sz="0" w:space="0" w:color="auto"/>
                  </w:divBdr>
                </w:div>
                <w:div w:id="2016569047">
                  <w:marLeft w:val="0"/>
                  <w:marRight w:val="0"/>
                  <w:marTop w:val="0"/>
                  <w:marBottom w:val="150"/>
                  <w:divBdr>
                    <w:top w:val="none" w:sz="0" w:space="0" w:color="auto"/>
                    <w:left w:val="none" w:sz="0" w:space="0" w:color="auto"/>
                    <w:bottom w:val="none" w:sz="0" w:space="0" w:color="auto"/>
                    <w:right w:val="none" w:sz="0" w:space="0" w:color="auto"/>
                  </w:divBdr>
                  <w:divsChild>
                    <w:div w:id="1144347757">
                      <w:marLeft w:val="0"/>
                      <w:marRight w:val="0"/>
                      <w:marTop w:val="0"/>
                      <w:marBottom w:val="150"/>
                      <w:divBdr>
                        <w:top w:val="none" w:sz="0" w:space="0" w:color="auto"/>
                        <w:left w:val="none" w:sz="0" w:space="0" w:color="auto"/>
                        <w:bottom w:val="none" w:sz="0" w:space="0" w:color="auto"/>
                        <w:right w:val="none" w:sz="0" w:space="0" w:color="auto"/>
                      </w:divBdr>
                      <w:divsChild>
                        <w:div w:id="171874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13598">
                  <w:marLeft w:val="0"/>
                  <w:marRight w:val="0"/>
                  <w:marTop w:val="0"/>
                  <w:marBottom w:val="150"/>
                  <w:divBdr>
                    <w:top w:val="none" w:sz="0" w:space="0" w:color="auto"/>
                    <w:left w:val="none" w:sz="0" w:space="0" w:color="auto"/>
                    <w:bottom w:val="none" w:sz="0" w:space="0" w:color="auto"/>
                    <w:right w:val="none" w:sz="0" w:space="0" w:color="auto"/>
                  </w:divBdr>
                </w:div>
                <w:div w:id="2045010596">
                  <w:marLeft w:val="0"/>
                  <w:marRight w:val="0"/>
                  <w:marTop w:val="0"/>
                  <w:marBottom w:val="150"/>
                  <w:divBdr>
                    <w:top w:val="none" w:sz="0" w:space="0" w:color="auto"/>
                    <w:left w:val="none" w:sz="0" w:space="0" w:color="auto"/>
                    <w:bottom w:val="none" w:sz="0" w:space="0" w:color="auto"/>
                    <w:right w:val="none" w:sz="0" w:space="0" w:color="auto"/>
                  </w:divBdr>
                  <w:divsChild>
                    <w:div w:id="1564098254">
                      <w:marLeft w:val="0"/>
                      <w:marRight w:val="0"/>
                      <w:marTop w:val="0"/>
                      <w:marBottom w:val="150"/>
                      <w:divBdr>
                        <w:top w:val="none" w:sz="0" w:space="0" w:color="auto"/>
                        <w:left w:val="none" w:sz="0" w:space="0" w:color="auto"/>
                        <w:bottom w:val="none" w:sz="0" w:space="0" w:color="auto"/>
                        <w:right w:val="none" w:sz="0" w:space="0" w:color="auto"/>
                      </w:divBdr>
                      <w:divsChild>
                        <w:div w:id="12095336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71647848">
      <w:bodyDiv w:val="1"/>
      <w:marLeft w:val="0"/>
      <w:marRight w:val="0"/>
      <w:marTop w:val="0"/>
      <w:marBottom w:val="0"/>
      <w:divBdr>
        <w:top w:val="none" w:sz="0" w:space="0" w:color="auto"/>
        <w:left w:val="none" w:sz="0" w:space="0" w:color="auto"/>
        <w:bottom w:val="none" w:sz="0" w:space="0" w:color="auto"/>
        <w:right w:val="none" w:sz="0" w:space="0" w:color="auto"/>
      </w:divBdr>
      <w:divsChild>
        <w:div w:id="551766548">
          <w:marLeft w:val="0"/>
          <w:marRight w:val="0"/>
          <w:marTop w:val="0"/>
          <w:marBottom w:val="0"/>
          <w:divBdr>
            <w:top w:val="none" w:sz="0" w:space="0" w:color="auto"/>
            <w:left w:val="none" w:sz="0" w:space="0" w:color="auto"/>
            <w:bottom w:val="dotted" w:sz="6" w:space="4" w:color="DDDDDD"/>
            <w:right w:val="none" w:sz="0" w:space="0" w:color="auto"/>
          </w:divBdr>
          <w:divsChild>
            <w:div w:id="167438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718004">
      <w:bodyDiv w:val="1"/>
      <w:marLeft w:val="0"/>
      <w:marRight w:val="0"/>
      <w:marTop w:val="0"/>
      <w:marBottom w:val="0"/>
      <w:divBdr>
        <w:top w:val="none" w:sz="0" w:space="0" w:color="auto"/>
        <w:left w:val="none" w:sz="0" w:space="0" w:color="auto"/>
        <w:bottom w:val="none" w:sz="0" w:space="0" w:color="auto"/>
        <w:right w:val="none" w:sz="0" w:space="0" w:color="auto"/>
      </w:divBdr>
    </w:div>
    <w:div w:id="1872575452">
      <w:bodyDiv w:val="1"/>
      <w:marLeft w:val="0"/>
      <w:marRight w:val="0"/>
      <w:marTop w:val="0"/>
      <w:marBottom w:val="0"/>
      <w:divBdr>
        <w:top w:val="none" w:sz="0" w:space="0" w:color="auto"/>
        <w:left w:val="none" w:sz="0" w:space="0" w:color="auto"/>
        <w:bottom w:val="none" w:sz="0" w:space="0" w:color="auto"/>
        <w:right w:val="none" w:sz="0" w:space="0" w:color="auto"/>
      </w:divBdr>
      <w:divsChild>
        <w:div w:id="844783832">
          <w:marLeft w:val="0"/>
          <w:marRight w:val="0"/>
          <w:marTop w:val="0"/>
          <w:marBottom w:val="150"/>
          <w:divBdr>
            <w:top w:val="none" w:sz="0" w:space="0" w:color="auto"/>
            <w:left w:val="none" w:sz="0" w:space="0" w:color="auto"/>
            <w:bottom w:val="none" w:sz="0" w:space="0" w:color="auto"/>
            <w:right w:val="none" w:sz="0" w:space="0" w:color="auto"/>
          </w:divBdr>
        </w:div>
      </w:divsChild>
    </w:div>
    <w:div w:id="1872764165">
      <w:bodyDiv w:val="1"/>
      <w:marLeft w:val="0"/>
      <w:marRight w:val="0"/>
      <w:marTop w:val="0"/>
      <w:marBottom w:val="0"/>
      <w:divBdr>
        <w:top w:val="none" w:sz="0" w:space="0" w:color="auto"/>
        <w:left w:val="none" w:sz="0" w:space="0" w:color="auto"/>
        <w:bottom w:val="none" w:sz="0" w:space="0" w:color="auto"/>
        <w:right w:val="none" w:sz="0" w:space="0" w:color="auto"/>
      </w:divBdr>
      <w:divsChild>
        <w:div w:id="850216824">
          <w:marLeft w:val="0"/>
          <w:marRight w:val="0"/>
          <w:marTop w:val="0"/>
          <w:marBottom w:val="0"/>
          <w:divBdr>
            <w:top w:val="none" w:sz="0" w:space="0" w:color="auto"/>
            <w:left w:val="none" w:sz="0" w:space="0" w:color="auto"/>
            <w:bottom w:val="none" w:sz="0" w:space="0" w:color="auto"/>
            <w:right w:val="none" w:sz="0" w:space="0" w:color="auto"/>
          </w:divBdr>
        </w:div>
      </w:divsChild>
    </w:div>
    <w:div w:id="1872910246">
      <w:bodyDiv w:val="1"/>
      <w:marLeft w:val="0"/>
      <w:marRight w:val="0"/>
      <w:marTop w:val="0"/>
      <w:marBottom w:val="0"/>
      <w:divBdr>
        <w:top w:val="none" w:sz="0" w:space="0" w:color="auto"/>
        <w:left w:val="none" w:sz="0" w:space="0" w:color="auto"/>
        <w:bottom w:val="none" w:sz="0" w:space="0" w:color="auto"/>
        <w:right w:val="none" w:sz="0" w:space="0" w:color="auto"/>
      </w:divBdr>
      <w:divsChild>
        <w:div w:id="1647854379">
          <w:marLeft w:val="0"/>
          <w:marRight w:val="0"/>
          <w:marTop w:val="0"/>
          <w:marBottom w:val="0"/>
          <w:divBdr>
            <w:top w:val="none" w:sz="0" w:space="0" w:color="auto"/>
            <w:left w:val="none" w:sz="0" w:space="0" w:color="auto"/>
            <w:bottom w:val="dotted" w:sz="6" w:space="4" w:color="DDDDDD"/>
            <w:right w:val="none" w:sz="0" w:space="0" w:color="auto"/>
          </w:divBdr>
        </w:div>
      </w:divsChild>
    </w:div>
    <w:div w:id="1873378624">
      <w:bodyDiv w:val="1"/>
      <w:marLeft w:val="0"/>
      <w:marRight w:val="0"/>
      <w:marTop w:val="0"/>
      <w:marBottom w:val="0"/>
      <w:divBdr>
        <w:top w:val="none" w:sz="0" w:space="0" w:color="auto"/>
        <w:left w:val="none" w:sz="0" w:space="0" w:color="auto"/>
        <w:bottom w:val="none" w:sz="0" w:space="0" w:color="auto"/>
        <w:right w:val="none" w:sz="0" w:space="0" w:color="auto"/>
      </w:divBdr>
      <w:divsChild>
        <w:div w:id="1114327325">
          <w:marLeft w:val="0"/>
          <w:marRight w:val="0"/>
          <w:marTop w:val="0"/>
          <w:marBottom w:val="0"/>
          <w:divBdr>
            <w:top w:val="none" w:sz="0" w:space="0" w:color="auto"/>
            <w:left w:val="none" w:sz="0" w:space="0" w:color="auto"/>
            <w:bottom w:val="none" w:sz="0" w:space="0" w:color="auto"/>
            <w:right w:val="none" w:sz="0" w:space="0" w:color="auto"/>
          </w:divBdr>
        </w:div>
      </w:divsChild>
    </w:div>
    <w:div w:id="1873570432">
      <w:bodyDiv w:val="1"/>
      <w:marLeft w:val="0"/>
      <w:marRight w:val="0"/>
      <w:marTop w:val="0"/>
      <w:marBottom w:val="0"/>
      <w:divBdr>
        <w:top w:val="none" w:sz="0" w:space="0" w:color="auto"/>
        <w:left w:val="none" w:sz="0" w:space="0" w:color="auto"/>
        <w:bottom w:val="none" w:sz="0" w:space="0" w:color="auto"/>
        <w:right w:val="none" w:sz="0" w:space="0" w:color="auto"/>
      </w:divBdr>
    </w:div>
    <w:div w:id="1873571315">
      <w:bodyDiv w:val="1"/>
      <w:marLeft w:val="0"/>
      <w:marRight w:val="0"/>
      <w:marTop w:val="0"/>
      <w:marBottom w:val="0"/>
      <w:divBdr>
        <w:top w:val="none" w:sz="0" w:space="0" w:color="auto"/>
        <w:left w:val="none" w:sz="0" w:space="0" w:color="auto"/>
        <w:bottom w:val="none" w:sz="0" w:space="0" w:color="auto"/>
        <w:right w:val="none" w:sz="0" w:space="0" w:color="auto"/>
      </w:divBdr>
      <w:divsChild>
        <w:div w:id="66390263">
          <w:marLeft w:val="0"/>
          <w:marRight w:val="0"/>
          <w:marTop w:val="0"/>
          <w:marBottom w:val="0"/>
          <w:divBdr>
            <w:top w:val="none" w:sz="0" w:space="0" w:color="auto"/>
            <w:left w:val="none" w:sz="0" w:space="0" w:color="auto"/>
            <w:bottom w:val="dotted" w:sz="6" w:space="4" w:color="DDDDDD"/>
            <w:right w:val="none" w:sz="0" w:space="0" w:color="auto"/>
          </w:divBdr>
          <w:divsChild>
            <w:div w:id="55315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611979">
      <w:bodyDiv w:val="1"/>
      <w:marLeft w:val="0"/>
      <w:marRight w:val="0"/>
      <w:marTop w:val="0"/>
      <w:marBottom w:val="0"/>
      <w:divBdr>
        <w:top w:val="none" w:sz="0" w:space="0" w:color="auto"/>
        <w:left w:val="none" w:sz="0" w:space="0" w:color="auto"/>
        <w:bottom w:val="none" w:sz="0" w:space="0" w:color="auto"/>
        <w:right w:val="none" w:sz="0" w:space="0" w:color="auto"/>
      </w:divBdr>
    </w:div>
    <w:div w:id="1873617352">
      <w:bodyDiv w:val="1"/>
      <w:marLeft w:val="0"/>
      <w:marRight w:val="0"/>
      <w:marTop w:val="0"/>
      <w:marBottom w:val="0"/>
      <w:divBdr>
        <w:top w:val="none" w:sz="0" w:space="0" w:color="auto"/>
        <w:left w:val="none" w:sz="0" w:space="0" w:color="auto"/>
        <w:bottom w:val="none" w:sz="0" w:space="0" w:color="auto"/>
        <w:right w:val="none" w:sz="0" w:space="0" w:color="auto"/>
      </w:divBdr>
    </w:div>
    <w:div w:id="1873879622">
      <w:bodyDiv w:val="1"/>
      <w:marLeft w:val="0"/>
      <w:marRight w:val="0"/>
      <w:marTop w:val="0"/>
      <w:marBottom w:val="0"/>
      <w:divBdr>
        <w:top w:val="none" w:sz="0" w:space="0" w:color="auto"/>
        <w:left w:val="none" w:sz="0" w:space="0" w:color="auto"/>
        <w:bottom w:val="none" w:sz="0" w:space="0" w:color="auto"/>
        <w:right w:val="none" w:sz="0" w:space="0" w:color="auto"/>
      </w:divBdr>
      <w:divsChild>
        <w:div w:id="1722945350">
          <w:marLeft w:val="0"/>
          <w:marRight w:val="0"/>
          <w:marTop w:val="0"/>
          <w:marBottom w:val="150"/>
          <w:divBdr>
            <w:top w:val="none" w:sz="0" w:space="0" w:color="auto"/>
            <w:left w:val="none" w:sz="0" w:space="0" w:color="auto"/>
            <w:bottom w:val="none" w:sz="0" w:space="0" w:color="auto"/>
            <w:right w:val="none" w:sz="0" w:space="0" w:color="auto"/>
          </w:divBdr>
        </w:div>
      </w:divsChild>
    </w:div>
    <w:div w:id="1874465155">
      <w:bodyDiv w:val="1"/>
      <w:marLeft w:val="0"/>
      <w:marRight w:val="0"/>
      <w:marTop w:val="0"/>
      <w:marBottom w:val="0"/>
      <w:divBdr>
        <w:top w:val="none" w:sz="0" w:space="0" w:color="auto"/>
        <w:left w:val="none" w:sz="0" w:space="0" w:color="auto"/>
        <w:bottom w:val="none" w:sz="0" w:space="0" w:color="auto"/>
        <w:right w:val="none" w:sz="0" w:space="0" w:color="auto"/>
      </w:divBdr>
      <w:divsChild>
        <w:div w:id="245771024">
          <w:marLeft w:val="0"/>
          <w:marRight w:val="0"/>
          <w:marTop w:val="0"/>
          <w:marBottom w:val="0"/>
          <w:divBdr>
            <w:top w:val="none" w:sz="0" w:space="0" w:color="auto"/>
            <w:left w:val="none" w:sz="0" w:space="0" w:color="auto"/>
            <w:bottom w:val="none" w:sz="0" w:space="0" w:color="auto"/>
            <w:right w:val="none" w:sz="0" w:space="0" w:color="auto"/>
          </w:divBdr>
        </w:div>
        <w:div w:id="553279909">
          <w:marLeft w:val="0"/>
          <w:marRight w:val="0"/>
          <w:marTop w:val="0"/>
          <w:marBottom w:val="0"/>
          <w:divBdr>
            <w:top w:val="none" w:sz="0" w:space="0" w:color="auto"/>
            <w:left w:val="none" w:sz="0" w:space="0" w:color="auto"/>
            <w:bottom w:val="none" w:sz="0" w:space="0" w:color="auto"/>
            <w:right w:val="none" w:sz="0" w:space="0" w:color="auto"/>
          </w:divBdr>
          <w:divsChild>
            <w:div w:id="675228262">
              <w:marLeft w:val="0"/>
              <w:marRight w:val="0"/>
              <w:marTop w:val="0"/>
              <w:marBottom w:val="0"/>
              <w:divBdr>
                <w:top w:val="none" w:sz="0" w:space="0" w:color="auto"/>
                <w:left w:val="none" w:sz="0" w:space="0" w:color="auto"/>
                <w:bottom w:val="none" w:sz="0" w:space="0" w:color="auto"/>
                <w:right w:val="none" w:sz="0" w:space="0" w:color="auto"/>
              </w:divBdr>
            </w:div>
          </w:divsChild>
        </w:div>
        <w:div w:id="749278522">
          <w:marLeft w:val="0"/>
          <w:marRight w:val="0"/>
          <w:marTop w:val="0"/>
          <w:marBottom w:val="0"/>
          <w:divBdr>
            <w:top w:val="none" w:sz="0" w:space="0" w:color="auto"/>
            <w:left w:val="none" w:sz="0" w:space="0" w:color="auto"/>
            <w:bottom w:val="none" w:sz="0" w:space="0" w:color="auto"/>
            <w:right w:val="none" w:sz="0" w:space="0" w:color="auto"/>
          </w:divBdr>
        </w:div>
      </w:divsChild>
    </w:div>
    <w:div w:id="1874657710">
      <w:bodyDiv w:val="1"/>
      <w:marLeft w:val="0"/>
      <w:marRight w:val="0"/>
      <w:marTop w:val="0"/>
      <w:marBottom w:val="0"/>
      <w:divBdr>
        <w:top w:val="none" w:sz="0" w:space="0" w:color="auto"/>
        <w:left w:val="none" w:sz="0" w:space="0" w:color="auto"/>
        <w:bottom w:val="none" w:sz="0" w:space="0" w:color="auto"/>
        <w:right w:val="none" w:sz="0" w:space="0" w:color="auto"/>
      </w:divBdr>
      <w:divsChild>
        <w:div w:id="677346552">
          <w:marLeft w:val="0"/>
          <w:marRight w:val="0"/>
          <w:marTop w:val="0"/>
          <w:marBottom w:val="150"/>
          <w:divBdr>
            <w:top w:val="none" w:sz="0" w:space="0" w:color="auto"/>
            <w:left w:val="none" w:sz="0" w:space="0" w:color="auto"/>
            <w:bottom w:val="none" w:sz="0" w:space="0" w:color="auto"/>
            <w:right w:val="none" w:sz="0" w:space="0" w:color="auto"/>
          </w:divBdr>
        </w:div>
      </w:divsChild>
    </w:div>
    <w:div w:id="1874807755">
      <w:bodyDiv w:val="1"/>
      <w:marLeft w:val="0"/>
      <w:marRight w:val="0"/>
      <w:marTop w:val="0"/>
      <w:marBottom w:val="0"/>
      <w:divBdr>
        <w:top w:val="none" w:sz="0" w:space="0" w:color="auto"/>
        <w:left w:val="none" w:sz="0" w:space="0" w:color="auto"/>
        <w:bottom w:val="none" w:sz="0" w:space="0" w:color="auto"/>
        <w:right w:val="none" w:sz="0" w:space="0" w:color="auto"/>
      </w:divBdr>
      <w:divsChild>
        <w:div w:id="1727530644">
          <w:marLeft w:val="0"/>
          <w:marRight w:val="0"/>
          <w:marTop w:val="0"/>
          <w:marBottom w:val="0"/>
          <w:divBdr>
            <w:top w:val="none" w:sz="0" w:space="0" w:color="auto"/>
            <w:left w:val="none" w:sz="0" w:space="0" w:color="auto"/>
            <w:bottom w:val="none" w:sz="0" w:space="0" w:color="auto"/>
            <w:right w:val="none" w:sz="0" w:space="0" w:color="auto"/>
          </w:divBdr>
        </w:div>
        <w:div w:id="1923638357">
          <w:marLeft w:val="0"/>
          <w:marRight w:val="0"/>
          <w:marTop w:val="0"/>
          <w:marBottom w:val="150"/>
          <w:divBdr>
            <w:top w:val="none" w:sz="0" w:space="0" w:color="auto"/>
            <w:left w:val="none" w:sz="0" w:space="0" w:color="auto"/>
            <w:bottom w:val="none" w:sz="0" w:space="0" w:color="auto"/>
            <w:right w:val="none" w:sz="0" w:space="0" w:color="auto"/>
          </w:divBdr>
        </w:div>
      </w:divsChild>
    </w:div>
    <w:div w:id="1875147364">
      <w:bodyDiv w:val="1"/>
      <w:marLeft w:val="0"/>
      <w:marRight w:val="0"/>
      <w:marTop w:val="0"/>
      <w:marBottom w:val="0"/>
      <w:divBdr>
        <w:top w:val="none" w:sz="0" w:space="0" w:color="auto"/>
        <w:left w:val="none" w:sz="0" w:space="0" w:color="auto"/>
        <w:bottom w:val="none" w:sz="0" w:space="0" w:color="auto"/>
        <w:right w:val="none" w:sz="0" w:space="0" w:color="auto"/>
      </w:divBdr>
      <w:divsChild>
        <w:div w:id="747652234">
          <w:marLeft w:val="0"/>
          <w:marRight w:val="0"/>
          <w:marTop w:val="0"/>
          <w:marBottom w:val="0"/>
          <w:divBdr>
            <w:top w:val="none" w:sz="0" w:space="0" w:color="auto"/>
            <w:left w:val="none" w:sz="0" w:space="0" w:color="auto"/>
            <w:bottom w:val="dotted" w:sz="6" w:space="4" w:color="DDDDDD"/>
            <w:right w:val="none" w:sz="0" w:space="0" w:color="auto"/>
          </w:divBdr>
          <w:divsChild>
            <w:div w:id="68232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148512">
      <w:bodyDiv w:val="1"/>
      <w:marLeft w:val="0"/>
      <w:marRight w:val="0"/>
      <w:marTop w:val="0"/>
      <w:marBottom w:val="0"/>
      <w:divBdr>
        <w:top w:val="none" w:sz="0" w:space="0" w:color="auto"/>
        <w:left w:val="none" w:sz="0" w:space="0" w:color="auto"/>
        <w:bottom w:val="none" w:sz="0" w:space="0" w:color="auto"/>
        <w:right w:val="none" w:sz="0" w:space="0" w:color="auto"/>
      </w:divBdr>
      <w:divsChild>
        <w:div w:id="443310997">
          <w:marLeft w:val="0"/>
          <w:marRight w:val="0"/>
          <w:marTop w:val="0"/>
          <w:marBottom w:val="0"/>
          <w:divBdr>
            <w:top w:val="none" w:sz="0" w:space="0" w:color="auto"/>
            <w:left w:val="none" w:sz="0" w:space="0" w:color="auto"/>
            <w:bottom w:val="dotted" w:sz="6" w:space="4" w:color="DDDDDD"/>
            <w:right w:val="none" w:sz="0" w:space="0" w:color="auto"/>
          </w:divBdr>
          <w:divsChild>
            <w:div w:id="131695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193654">
      <w:bodyDiv w:val="1"/>
      <w:marLeft w:val="0"/>
      <w:marRight w:val="0"/>
      <w:marTop w:val="0"/>
      <w:marBottom w:val="0"/>
      <w:divBdr>
        <w:top w:val="none" w:sz="0" w:space="0" w:color="auto"/>
        <w:left w:val="none" w:sz="0" w:space="0" w:color="auto"/>
        <w:bottom w:val="none" w:sz="0" w:space="0" w:color="auto"/>
        <w:right w:val="none" w:sz="0" w:space="0" w:color="auto"/>
      </w:divBdr>
      <w:divsChild>
        <w:div w:id="1661470453">
          <w:marLeft w:val="0"/>
          <w:marRight w:val="0"/>
          <w:marTop w:val="0"/>
          <w:marBottom w:val="150"/>
          <w:divBdr>
            <w:top w:val="none" w:sz="0" w:space="0" w:color="auto"/>
            <w:left w:val="none" w:sz="0" w:space="0" w:color="auto"/>
            <w:bottom w:val="none" w:sz="0" w:space="0" w:color="auto"/>
            <w:right w:val="none" w:sz="0" w:space="0" w:color="auto"/>
          </w:divBdr>
        </w:div>
      </w:divsChild>
    </w:div>
    <w:div w:id="1875655801">
      <w:bodyDiv w:val="1"/>
      <w:marLeft w:val="0"/>
      <w:marRight w:val="0"/>
      <w:marTop w:val="0"/>
      <w:marBottom w:val="0"/>
      <w:divBdr>
        <w:top w:val="none" w:sz="0" w:space="0" w:color="auto"/>
        <w:left w:val="none" w:sz="0" w:space="0" w:color="auto"/>
        <w:bottom w:val="none" w:sz="0" w:space="0" w:color="auto"/>
        <w:right w:val="none" w:sz="0" w:space="0" w:color="auto"/>
      </w:divBdr>
      <w:divsChild>
        <w:div w:id="2119986784">
          <w:marLeft w:val="0"/>
          <w:marRight w:val="0"/>
          <w:marTop w:val="0"/>
          <w:marBottom w:val="0"/>
          <w:divBdr>
            <w:top w:val="none" w:sz="0" w:space="0" w:color="auto"/>
            <w:left w:val="none" w:sz="0" w:space="0" w:color="auto"/>
            <w:bottom w:val="dotted" w:sz="6" w:space="4" w:color="DDDDDD"/>
            <w:right w:val="none" w:sz="0" w:space="0" w:color="auto"/>
          </w:divBdr>
        </w:div>
      </w:divsChild>
    </w:div>
    <w:div w:id="1875724830">
      <w:bodyDiv w:val="1"/>
      <w:marLeft w:val="0"/>
      <w:marRight w:val="0"/>
      <w:marTop w:val="0"/>
      <w:marBottom w:val="0"/>
      <w:divBdr>
        <w:top w:val="none" w:sz="0" w:space="0" w:color="auto"/>
        <w:left w:val="none" w:sz="0" w:space="0" w:color="auto"/>
        <w:bottom w:val="none" w:sz="0" w:space="0" w:color="auto"/>
        <w:right w:val="none" w:sz="0" w:space="0" w:color="auto"/>
      </w:divBdr>
      <w:divsChild>
        <w:div w:id="999232039">
          <w:marLeft w:val="0"/>
          <w:marRight w:val="0"/>
          <w:marTop w:val="0"/>
          <w:marBottom w:val="0"/>
          <w:divBdr>
            <w:top w:val="none" w:sz="0" w:space="0" w:color="auto"/>
            <w:left w:val="none" w:sz="0" w:space="0" w:color="auto"/>
            <w:bottom w:val="none" w:sz="0" w:space="0" w:color="auto"/>
            <w:right w:val="none" w:sz="0" w:space="0" w:color="auto"/>
          </w:divBdr>
          <w:divsChild>
            <w:div w:id="327297258">
              <w:marLeft w:val="0"/>
              <w:marRight w:val="0"/>
              <w:marTop w:val="0"/>
              <w:marBottom w:val="0"/>
              <w:divBdr>
                <w:top w:val="none" w:sz="0" w:space="0" w:color="auto"/>
                <w:left w:val="none" w:sz="0" w:space="0" w:color="auto"/>
                <w:bottom w:val="none" w:sz="0" w:space="0" w:color="auto"/>
                <w:right w:val="none" w:sz="0" w:space="0" w:color="auto"/>
              </w:divBdr>
            </w:div>
            <w:div w:id="13354507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6237575">
      <w:bodyDiv w:val="1"/>
      <w:marLeft w:val="0"/>
      <w:marRight w:val="0"/>
      <w:marTop w:val="0"/>
      <w:marBottom w:val="0"/>
      <w:divBdr>
        <w:top w:val="none" w:sz="0" w:space="0" w:color="auto"/>
        <w:left w:val="none" w:sz="0" w:space="0" w:color="auto"/>
        <w:bottom w:val="none" w:sz="0" w:space="0" w:color="auto"/>
        <w:right w:val="none" w:sz="0" w:space="0" w:color="auto"/>
      </w:divBdr>
      <w:divsChild>
        <w:div w:id="968248408">
          <w:marLeft w:val="0"/>
          <w:marRight w:val="0"/>
          <w:marTop w:val="0"/>
          <w:marBottom w:val="0"/>
          <w:divBdr>
            <w:top w:val="none" w:sz="0" w:space="0" w:color="auto"/>
            <w:left w:val="none" w:sz="0" w:space="0" w:color="auto"/>
            <w:bottom w:val="none" w:sz="0" w:space="0" w:color="auto"/>
            <w:right w:val="none" w:sz="0" w:space="0" w:color="auto"/>
          </w:divBdr>
          <w:divsChild>
            <w:div w:id="19086835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6305857">
      <w:bodyDiv w:val="1"/>
      <w:marLeft w:val="0"/>
      <w:marRight w:val="0"/>
      <w:marTop w:val="0"/>
      <w:marBottom w:val="0"/>
      <w:divBdr>
        <w:top w:val="none" w:sz="0" w:space="0" w:color="auto"/>
        <w:left w:val="none" w:sz="0" w:space="0" w:color="auto"/>
        <w:bottom w:val="none" w:sz="0" w:space="0" w:color="auto"/>
        <w:right w:val="none" w:sz="0" w:space="0" w:color="auto"/>
      </w:divBdr>
      <w:divsChild>
        <w:div w:id="952326650">
          <w:marLeft w:val="0"/>
          <w:marRight w:val="0"/>
          <w:marTop w:val="0"/>
          <w:marBottom w:val="300"/>
          <w:divBdr>
            <w:top w:val="none" w:sz="0" w:space="0" w:color="auto"/>
            <w:left w:val="none" w:sz="0" w:space="0" w:color="auto"/>
            <w:bottom w:val="none" w:sz="0" w:space="0" w:color="auto"/>
            <w:right w:val="none" w:sz="0" w:space="0" w:color="auto"/>
          </w:divBdr>
          <w:divsChild>
            <w:div w:id="426006586">
              <w:marLeft w:val="0"/>
              <w:marRight w:val="0"/>
              <w:marTop w:val="0"/>
              <w:marBottom w:val="0"/>
              <w:divBdr>
                <w:top w:val="none" w:sz="0" w:space="0" w:color="auto"/>
                <w:left w:val="none" w:sz="0" w:space="0" w:color="auto"/>
                <w:bottom w:val="none" w:sz="0" w:space="0" w:color="auto"/>
                <w:right w:val="none" w:sz="0" w:space="0" w:color="auto"/>
              </w:divBdr>
              <w:divsChild>
                <w:div w:id="1675911095">
                  <w:marLeft w:val="0"/>
                  <w:marRight w:val="0"/>
                  <w:marTop w:val="0"/>
                  <w:marBottom w:val="0"/>
                  <w:divBdr>
                    <w:top w:val="none" w:sz="0" w:space="0" w:color="auto"/>
                    <w:left w:val="none" w:sz="0" w:space="0" w:color="auto"/>
                    <w:bottom w:val="none" w:sz="0" w:space="0" w:color="auto"/>
                    <w:right w:val="none" w:sz="0" w:space="0" w:color="auto"/>
                  </w:divBdr>
                  <w:divsChild>
                    <w:div w:id="636298315">
                      <w:marLeft w:val="0"/>
                      <w:marRight w:val="0"/>
                      <w:marTop w:val="0"/>
                      <w:marBottom w:val="225"/>
                      <w:divBdr>
                        <w:top w:val="none" w:sz="0" w:space="0" w:color="2D2D2D"/>
                        <w:left w:val="none" w:sz="0" w:space="0" w:color="2D2D2D"/>
                        <w:bottom w:val="none" w:sz="0" w:space="0" w:color="2D2D2D"/>
                        <w:right w:val="none" w:sz="0" w:space="0" w:color="2D2D2D"/>
                      </w:divBdr>
                      <w:divsChild>
                        <w:div w:id="41292132">
                          <w:marLeft w:val="0"/>
                          <w:marRight w:val="0"/>
                          <w:marTop w:val="0"/>
                          <w:marBottom w:val="0"/>
                          <w:divBdr>
                            <w:top w:val="none" w:sz="0" w:space="0" w:color="auto"/>
                            <w:left w:val="none" w:sz="0" w:space="0" w:color="auto"/>
                            <w:bottom w:val="none" w:sz="0" w:space="0" w:color="auto"/>
                            <w:right w:val="none" w:sz="0" w:space="0" w:color="auto"/>
                          </w:divBdr>
                          <w:divsChild>
                            <w:div w:id="167853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6502803">
      <w:bodyDiv w:val="1"/>
      <w:marLeft w:val="0"/>
      <w:marRight w:val="0"/>
      <w:marTop w:val="0"/>
      <w:marBottom w:val="0"/>
      <w:divBdr>
        <w:top w:val="none" w:sz="0" w:space="0" w:color="auto"/>
        <w:left w:val="none" w:sz="0" w:space="0" w:color="auto"/>
        <w:bottom w:val="none" w:sz="0" w:space="0" w:color="auto"/>
        <w:right w:val="none" w:sz="0" w:space="0" w:color="auto"/>
      </w:divBdr>
      <w:divsChild>
        <w:div w:id="336738070">
          <w:marLeft w:val="0"/>
          <w:marRight w:val="0"/>
          <w:marTop w:val="0"/>
          <w:marBottom w:val="0"/>
          <w:divBdr>
            <w:top w:val="none" w:sz="0" w:space="0" w:color="auto"/>
            <w:left w:val="none" w:sz="0" w:space="0" w:color="auto"/>
            <w:bottom w:val="none" w:sz="0" w:space="0" w:color="auto"/>
            <w:right w:val="none" w:sz="0" w:space="0" w:color="auto"/>
          </w:divBdr>
        </w:div>
        <w:div w:id="647326367">
          <w:marLeft w:val="0"/>
          <w:marRight w:val="0"/>
          <w:marTop w:val="0"/>
          <w:marBottom w:val="150"/>
          <w:divBdr>
            <w:top w:val="none" w:sz="0" w:space="0" w:color="auto"/>
            <w:left w:val="none" w:sz="0" w:space="0" w:color="auto"/>
            <w:bottom w:val="none" w:sz="0" w:space="0" w:color="auto"/>
            <w:right w:val="none" w:sz="0" w:space="0" w:color="auto"/>
          </w:divBdr>
        </w:div>
      </w:divsChild>
    </w:div>
    <w:div w:id="1876769754">
      <w:bodyDiv w:val="1"/>
      <w:marLeft w:val="0"/>
      <w:marRight w:val="0"/>
      <w:marTop w:val="439"/>
      <w:marBottom w:val="0"/>
      <w:divBdr>
        <w:top w:val="none" w:sz="0" w:space="0" w:color="auto"/>
        <w:left w:val="none" w:sz="0" w:space="0" w:color="auto"/>
        <w:bottom w:val="none" w:sz="0" w:space="0" w:color="auto"/>
        <w:right w:val="none" w:sz="0" w:space="0" w:color="auto"/>
      </w:divBdr>
      <w:divsChild>
        <w:div w:id="1734770463">
          <w:marLeft w:val="0"/>
          <w:marRight w:val="0"/>
          <w:marTop w:val="0"/>
          <w:marBottom w:val="0"/>
          <w:divBdr>
            <w:top w:val="none" w:sz="0" w:space="0" w:color="auto"/>
            <w:left w:val="single" w:sz="6" w:space="0" w:color="ECECEC"/>
            <w:bottom w:val="none" w:sz="0" w:space="0" w:color="auto"/>
            <w:right w:val="single" w:sz="6" w:space="0" w:color="ECECEC"/>
          </w:divBdr>
          <w:divsChild>
            <w:div w:id="2146775633">
              <w:marLeft w:val="0"/>
              <w:marRight w:val="0"/>
              <w:marTop w:val="0"/>
              <w:marBottom w:val="0"/>
              <w:divBdr>
                <w:top w:val="none" w:sz="0" w:space="0" w:color="auto"/>
                <w:left w:val="none" w:sz="0" w:space="0" w:color="auto"/>
                <w:bottom w:val="none" w:sz="0" w:space="0" w:color="auto"/>
                <w:right w:val="none" w:sz="0" w:space="0" w:color="auto"/>
              </w:divBdr>
              <w:divsChild>
                <w:div w:id="736901981">
                  <w:marLeft w:val="0"/>
                  <w:marRight w:val="0"/>
                  <w:marTop w:val="0"/>
                  <w:marBottom w:val="0"/>
                  <w:divBdr>
                    <w:top w:val="none" w:sz="0" w:space="0" w:color="auto"/>
                    <w:left w:val="none" w:sz="0" w:space="0" w:color="auto"/>
                    <w:bottom w:val="none" w:sz="0" w:space="0" w:color="auto"/>
                    <w:right w:val="none" w:sz="0" w:space="0" w:color="auto"/>
                  </w:divBdr>
                  <w:divsChild>
                    <w:div w:id="1013454100">
                      <w:marLeft w:val="0"/>
                      <w:marRight w:val="0"/>
                      <w:marTop w:val="0"/>
                      <w:marBottom w:val="0"/>
                      <w:divBdr>
                        <w:top w:val="none" w:sz="0" w:space="0" w:color="auto"/>
                        <w:left w:val="none" w:sz="0" w:space="0" w:color="auto"/>
                        <w:bottom w:val="none" w:sz="0" w:space="0" w:color="auto"/>
                        <w:right w:val="none" w:sz="0" w:space="0" w:color="auto"/>
                      </w:divBdr>
                      <w:divsChild>
                        <w:div w:id="1861897086">
                          <w:marLeft w:val="0"/>
                          <w:marRight w:val="0"/>
                          <w:marTop w:val="0"/>
                          <w:marBottom w:val="0"/>
                          <w:divBdr>
                            <w:top w:val="none" w:sz="0" w:space="0" w:color="auto"/>
                            <w:left w:val="none" w:sz="0" w:space="0" w:color="auto"/>
                            <w:bottom w:val="none" w:sz="0" w:space="0" w:color="auto"/>
                            <w:right w:val="none" w:sz="0" w:space="0" w:color="auto"/>
                          </w:divBdr>
                          <w:divsChild>
                            <w:div w:id="40636904">
                              <w:marLeft w:val="0"/>
                              <w:marRight w:val="0"/>
                              <w:marTop w:val="0"/>
                              <w:marBottom w:val="0"/>
                              <w:divBdr>
                                <w:top w:val="none" w:sz="0" w:space="0" w:color="auto"/>
                                <w:left w:val="none" w:sz="0" w:space="0" w:color="auto"/>
                                <w:bottom w:val="none" w:sz="0" w:space="0" w:color="auto"/>
                                <w:right w:val="none" w:sz="0" w:space="0" w:color="auto"/>
                              </w:divBdr>
                              <w:divsChild>
                                <w:div w:id="18014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6886159">
      <w:bodyDiv w:val="1"/>
      <w:marLeft w:val="0"/>
      <w:marRight w:val="0"/>
      <w:marTop w:val="0"/>
      <w:marBottom w:val="0"/>
      <w:divBdr>
        <w:top w:val="none" w:sz="0" w:space="0" w:color="auto"/>
        <w:left w:val="none" w:sz="0" w:space="0" w:color="auto"/>
        <w:bottom w:val="none" w:sz="0" w:space="0" w:color="auto"/>
        <w:right w:val="none" w:sz="0" w:space="0" w:color="auto"/>
      </w:divBdr>
      <w:divsChild>
        <w:div w:id="1281914624">
          <w:marLeft w:val="0"/>
          <w:marRight w:val="0"/>
          <w:marTop w:val="0"/>
          <w:marBottom w:val="0"/>
          <w:divBdr>
            <w:top w:val="none" w:sz="0" w:space="0" w:color="auto"/>
            <w:left w:val="none" w:sz="0" w:space="0" w:color="auto"/>
            <w:bottom w:val="none" w:sz="0" w:space="0" w:color="auto"/>
            <w:right w:val="none" w:sz="0" w:space="0" w:color="auto"/>
          </w:divBdr>
          <w:divsChild>
            <w:div w:id="1039402827">
              <w:marLeft w:val="0"/>
              <w:marRight w:val="0"/>
              <w:marTop w:val="0"/>
              <w:marBottom w:val="0"/>
              <w:divBdr>
                <w:top w:val="none" w:sz="0" w:space="0" w:color="auto"/>
                <w:left w:val="none" w:sz="0" w:space="0" w:color="auto"/>
                <w:bottom w:val="none" w:sz="0" w:space="0" w:color="auto"/>
                <w:right w:val="none" w:sz="0" w:space="0" w:color="auto"/>
              </w:divBdr>
            </w:div>
          </w:divsChild>
        </w:div>
        <w:div w:id="1344816197">
          <w:marLeft w:val="0"/>
          <w:marRight w:val="0"/>
          <w:marTop w:val="0"/>
          <w:marBottom w:val="150"/>
          <w:divBdr>
            <w:top w:val="none" w:sz="0" w:space="0" w:color="auto"/>
            <w:left w:val="none" w:sz="0" w:space="0" w:color="auto"/>
            <w:bottom w:val="none" w:sz="0" w:space="0" w:color="auto"/>
            <w:right w:val="none" w:sz="0" w:space="0" w:color="auto"/>
          </w:divBdr>
        </w:div>
        <w:div w:id="1735424017">
          <w:marLeft w:val="0"/>
          <w:marRight w:val="0"/>
          <w:marTop w:val="0"/>
          <w:marBottom w:val="150"/>
          <w:divBdr>
            <w:top w:val="none" w:sz="0" w:space="0" w:color="auto"/>
            <w:left w:val="none" w:sz="0" w:space="0" w:color="auto"/>
            <w:bottom w:val="none" w:sz="0" w:space="0" w:color="auto"/>
            <w:right w:val="none" w:sz="0" w:space="0" w:color="auto"/>
          </w:divBdr>
          <w:divsChild>
            <w:div w:id="10661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887561">
      <w:bodyDiv w:val="1"/>
      <w:marLeft w:val="0"/>
      <w:marRight w:val="0"/>
      <w:marTop w:val="0"/>
      <w:marBottom w:val="0"/>
      <w:divBdr>
        <w:top w:val="none" w:sz="0" w:space="0" w:color="auto"/>
        <w:left w:val="none" w:sz="0" w:space="0" w:color="auto"/>
        <w:bottom w:val="none" w:sz="0" w:space="0" w:color="auto"/>
        <w:right w:val="none" w:sz="0" w:space="0" w:color="auto"/>
      </w:divBdr>
    </w:div>
    <w:div w:id="1876966018">
      <w:bodyDiv w:val="1"/>
      <w:marLeft w:val="0"/>
      <w:marRight w:val="0"/>
      <w:marTop w:val="0"/>
      <w:marBottom w:val="0"/>
      <w:divBdr>
        <w:top w:val="none" w:sz="0" w:space="0" w:color="auto"/>
        <w:left w:val="none" w:sz="0" w:space="0" w:color="auto"/>
        <w:bottom w:val="none" w:sz="0" w:space="0" w:color="auto"/>
        <w:right w:val="none" w:sz="0" w:space="0" w:color="auto"/>
      </w:divBdr>
      <w:divsChild>
        <w:div w:id="942349120">
          <w:marLeft w:val="0"/>
          <w:marRight w:val="0"/>
          <w:marTop w:val="0"/>
          <w:marBottom w:val="0"/>
          <w:divBdr>
            <w:top w:val="none" w:sz="0" w:space="0" w:color="auto"/>
            <w:left w:val="none" w:sz="0" w:space="0" w:color="auto"/>
            <w:bottom w:val="dotted" w:sz="6" w:space="4" w:color="DDDDDD"/>
            <w:right w:val="none" w:sz="0" w:space="0" w:color="auto"/>
          </w:divBdr>
          <w:divsChild>
            <w:div w:id="200785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044455">
      <w:bodyDiv w:val="1"/>
      <w:marLeft w:val="0"/>
      <w:marRight w:val="0"/>
      <w:marTop w:val="0"/>
      <w:marBottom w:val="0"/>
      <w:divBdr>
        <w:top w:val="none" w:sz="0" w:space="0" w:color="auto"/>
        <w:left w:val="none" w:sz="0" w:space="0" w:color="auto"/>
        <w:bottom w:val="none" w:sz="0" w:space="0" w:color="auto"/>
        <w:right w:val="none" w:sz="0" w:space="0" w:color="auto"/>
      </w:divBdr>
      <w:divsChild>
        <w:div w:id="1736201378">
          <w:marLeft w:val="0"/>
          <w:marRight w:val="0"/>
          <w:marTop w:val="0"/>
          <w:marBottom w:val="0"/>
          <w:divBdr>
            <w:top w:val="none" w:sz="0" w:space="0" w:color="auto"/>
            <w:left w:val="none" w:sz="0" w:space="0" w:color="auto"/>
            <w:bottom w:val="none" w:sz="0" w:space="0" w:color="auto"/>
            <w:right w:val="none" w:sz="0" w:space="0" w:color="auto"/>
          </w:divBdr>
          <w:divsChild>
            <w:div w:id="18246568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7230909">
      <w:bodyDiv w:val="1"/>
      <w:marLeft w:val="0"/>
      <w:marRight w:val="0"/>
      <w:marTop w:val="0"/>
      <w:marBottom w:val="0"/>
      <w:divBdr>
        <w:top w:val="none" w:sz="0" w:space="0" w:color="auto"/>
        <w:left w:val="none" w:sz="0" w:space="0" w:color="auto"/>
        <w:bottom w:val="none" w:sz="0" w:space="0" w:color="auto"/>
        <w:right w:val="none" w:sz="0" w:space="0" w:color="auto"/>
      </w:divBdr>
      <w:divsChild>
        <w:div w:id="1437335972">
          <w:marLeft w:val="0"/>
          <w:marRight w:val="0"/>
          <w:marTop w:val="0"/>
          <w:marBottom w:val="0"/>
          <w:divBdr>
            <w:top w:val="none" w:sz="0" w:space="0" w:color="auto"/>
            <w:left w:val="none" w:sz="0" w:space="0" w:color="auto"/>
            <w:bottom w:val="none" w:sz="0" w:space="0" w:color="auto"/>
            <w:right w:val="none" w:sz="0" w:space="0" w:color="auto"/>
          </w:divBdr>
          <w:divsChild>
            <w:div w:id="1425375126">
              <w:marLeft w:val="0"/>
              <w:marRight w:val="0"/>
              <w:marTop w:val="0"/>
              <w:marBottom w:val="0"/>
              <w:divBdr>
                <w:top w:val="none" w:sz="0" w:space="0" w:color="auto"/>
                <w:left w:val="none" w:sz="0" w:space="0" w:color="auto"/>
                <w:bottom w:val="none" w:sz="0" w:space="0" w:color="auto"/>
                <w:right w:val="none" w:sz="0" w:space="0" w:color="auto"/>
              </w:divBdr>
              <w:divsChild>
                <w:div w:id="2000228148">
                  <w:marLeft w:val="0"/>
                  <w:marRight w:val="0"/>
                  <w:marTop w:val="0"/>
                  <w:marBottom w:val="0"/>
                  <w:divBdr>
                    <w:top w:val="none" w:sz="0" w:space="0" w:color="auto"/>
                    <w:left w:val="none" w:sz="0" w:space="0" w:color="auto"/>
                    <w:bottom w:val="none" w:sz="0" w:space="0" w:color="auto"/>
                    <w:right w:val="none" w:sz="0" w:space="0" w:color="auto"/>
                  </w:divBdr>
                  <w:divsChild>
                    <w:div w:id="829172548">
                      <w:marLeft w:val="0"/>
                      <w:marRight w:val="0"/>
                      <w:marTop w:val="0"/>
                      <w:marBottom w:val="0"/>
                      <w:divBdr>
                        <w:top w:val="none" w:sz="0" w:space="0" w:color="auto"/>
                        <w:left w:val="none" w:sz="0" w:space="0" w:color="auto"/>
                        <w:bottom w:val="none" w:sz="0" w:space="0" w:color="auto"/>
                        <w:right w:val="none" w:sz="0" w:space="0" w:color="auto"/>
                      </w:divBdr>
                      <w:divsChild>
                        <w:div w:id="219294030">
                          <w:marLeft w:val="0"/>
                          <w:marRight w:val="0"/>
                          <w:marTop w:val="0"/>
                          <w:marBottom w:val="0"/>
                          <w:divBdr>
                            <w:top w:val="none" w:sz="0" w:space="0" w:color="auto"/>
                            <w:left w:val="none" w:sz="0" w:space="0" w:color="auto"/>
                            <w:bottom w:val="none" w:sz="0" w:space="0" w:color="auto"/>
                            <w:right w:val="none" w:sz="0" w:space="0" w:color="auto"/>
                          </w:divBdr>
                          <w:divsChild>
                            <w:div w:id="1376080719">
                              <w:marLeft w:val="0"/>
                              <w:marRight w:val="0"/>
                              <w:marTop w:val="0"/>
                              <w:marBottom w:val="0"/>
                              <w:divBdr>
                                <w:top w:val="none" w:sz="0" w:space="0" w:color="auto"/>
                                <w:left w:val="none" w:sz="0" w:space="0" w:color="auto"/>
                                <w:bottom w:val="none" w:sz="0" w:space="0" w:color="auto"/>
                                <w:right w:val="none" w:sz="0" w:space="0" w:color="auto"/>
                              </w:divBdr>
                              <w:divsChild>
                                <w:div w:id="1621834358">
                                  <w:marLeft w:val="0"/>
                                  <w:marRight w:val="0"/>
                                  <w:marTop w:val="0"/>
                                  <w:marBottom w:val="0"/>
                                  <w:divBdr>
                                    <w:top w:val="none" w:sz="0" w:space="0" w:color="auto"/>
                                    <w:left w:val="none" w:sz="0" w:space="0" w:color="auto"/>
                                    <w:bottom w:val="none" w:sz="0" w:space="0" w:color="auto"/>
                                    <w:right w:val="none" w:sz="0" w:space="0" w:color="auto"/>
                                  </w:divBdr>
                                  <w:divsChild>
                                    <w:div w:id="172806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8276667">
      <w:bodyDiv w:val="1"/>
      <w:marLeft w:val="0"/>
      <w:marRight w:val="0"/>
      <w:marTop w:val="0"/>
      <w:marBottom w:val="0"/>
      <w:divBdr>
        <w:top w:val="none" w:sz="0" w:space="0" w:color="auto"/>
        <w:left w:val="none" w:sz="0" w:space="0" w:color="auto"/>
        <w:bottom w:val="none" w:sz="0" w:space="0" w:color="auto"/>
        <w:right w:val="none" w:sz="0" w:space="0" w:color="auto"/>
      </w:divBdr>
      <w:divsChild>
        <w:div w:id="729353283">
          <w:marLeft w:val="0"/>
          <w:marRight w:val="0"/>
          <w:marTop w:val="0"/>
          <w:marBottom w:val="0"/>
          <w:divBdr>
            <w:top w:val="none" w:sz="0" w:space="0" w:color="auto"/>
            <w:left w:val="none" w:sz="0" w:space="0" w:color="auto"/>
            <w:bottom w:val="none" w:sz="0" w:space="0" w:color="auto"/>
            <w:right w:val="none" w:sz="0" w:space="0" w:color="auto"/>
          </w:divBdr>
        </w:div>
      </w:divsChild>
    </w:div>
    <w:div w:id="1878807474">
      <w:bodyDiv w:val="1"/>
      <w:marLeft w:val="0"/>
      <w:marRight w:val="0"/>
      <w:marTop w:val="0"/>
      <w:marBottom w:val="0"/>
      <w:divBdr>
        <w:top w:val="none" w:sz="0" w:space="0" w:color="auto"/>
        <w:left w:val="none" w:sz="0" w:space="0" w:color="auto"/>
        <w:bottom w:val="none" w:sz="0" w:space="0" w:color="auto"/>
        <w:right w:val="none" w:sz="0" w:space="0" w:color="auto"/>
      </w:divBdr>
      <w:divsChild>
        <w:div w:id="1793548538">
          <w:marLeft w:val="0"/>
          <w:marRight w:val="0"/>
          <w:marTop w:val="0"/>
          <w:marBottom w:val="0"/>
          <w:divBdr>
            <w:top w:val="none" w:sz="0" w:space="0" w:color="auto"/>
            <w:left w:val="none" w:sz="0" w:space="0" w:color="auto"/>
            <w:bottom w:val="none" w:sz="0" w:space="0" w:color="auto"/>
            <w:right w:val="none" w:sz="0" w:space="0" w:color="auto"/>
          </w:divBdr>
        </w:div>
        <w:div w:id="2037583422">
          <w:marLeft w:val="0"/>
          <w:marRight w:val="0"/>
          <w:marTop w:val="0"/>
          <w:marBottom w:val="150"/>
          <w:divBdr>
            <w:top w:val="none" w:sz="0" w:space="0" w:color="auto"/>
            <w:left w:val="none" w:sz="0" w:space="0" w:color="auto"/>
            <w:bottom w:val="none" w:sz="0" w:space="0" w:color="auto"/>
            <w:right w:val="none" w:sz="0" w:space="0" w:color="auto"/>
          </w:divBdr>
          <w:divsChild>
            <w:div w:id="105120604">
              <w:marLeft w:val="0"/>
              <w:marRight w:val="0"/>
              <w:marTop w:val="0"/>
              <w:marBottom w:val="0"/>
              <w:divBdr>
                <w:top w:val="none" w:sz="0" w:space="0" w:color="auto"/>
                <w:left w:val="none" w:sz="0" w:space="0" w:color="auto"/>
                <w:bottom w:val="none" w:sz="0" w:space="0" w:color="auto"/>
                <w:right w:val="none" w:sz="0" w:space="0" w:color="auto"/>
              </w:divBdr>
              <w:divsChild>
                <w:div w:id="974334001">
                  <w:marLeft w:val="0"/>
                  <w:marRight w:val="0"/>
                  <w:marTop w:val="0"/>
                  <w:marBottom w:val="0"/>
                  <w:divBdr>
                    <w:top w:val="none" w:sz="0" w:space="0" w:color="auto"/>
                    <w:left w:val="none" w:sz="0" w:space="0" w:color="auto"/>
                    <w:bottom w:val="none" w:sz="0" w:space="0" w:color="auto"/>
                    <w:right w:val="none" w:sz="0" w:space="0" w:color="auto"/>
                  </w:divBdr>
                  <w:divsChild>
                    <w:div w:id="182285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120491">
      <w:bodyDiv w:val="1"/>
      <w:marLeft w:val="0"/>
      <w:marRight w:val="0"/>
      <w:marTop w:val="0"/>
      <w:marBottom w:val="0"/>
      <w:divBdr>
        <w:top w:val="none" w:sz="0" w:space="0" w:color="auto"/>
        <w:left w:val="none" w:sz="0" w:space="0" w:color="auto"/>
        <w:bottom w:val="none" w:sz="0" w:space="0" w:color="auto"/>
        <w:right w:val="none" w:sz="0" w:space="0" w:color="auto"/>
      </w:divBdr>
    </w:div>
    <w:div w:id="1879195088">
      <w:bodyDiv w:val="1"/>
      <w:marLeft w:val="0"/>
      <w:marRight w:val="0"/>
      <w:marTop w:val="0"/>
      <w:marBottom w:val="0"/>
      <w:divBdr>
        <w:top w:val="none" w:sz="0" w:space="0" w:color="auto"/>
        <w:left w:val="none" w:sz="0" w:space="0" w:color="auto"/>
        <w:bottom w:val="none" w:sz="0" w:space="0" w:color="auto"/>
        <w:right w:val="none" w:sz="0" w:space="0" w:color="auto"/>
      </w:divBdr>
      <w:divsChild>
        <w:div w:id="371393005">
          <w:marLeft w:val="0"/>
          <w:marRight w:val="0"/>
          <w:marTop w:val="0"/>
          <w:marBottom w:val="0"/>
          <w:divBdr>
            <w:top w:val="none" w:sz="0" w:space="0" w:color="auto"/>
            <w:left w:val="none" w:sz="0" w:space="0" w:color="auto"/>
            <w:bottom w:val="none" w:sz="0" w:space="0" w:color="auto"/>
            <w:right w:val="none" w:sz="0" w:space="0" w:color="auto"/>
          </w:divBdr>
          <w:divsChild>
            <w:div w:id="173388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14183">
      <w:bodyDiv w:val="1"/>
      <w:marLeft w:val="0"/>
      <w:marRight w:val="0"/>
      <w:marTop w:val="0"/>
      <w:marBottom w:val="0"/>
      <w:divBdr>
        <w:top w:val="none" w:sz="0" w:space="0" w:color="auto"/>
        <w:left w:val="none" w:sz="0" w:space="0" w:color="auto"/>
        <w:bottom w:val="none" w:sz="0" w:space="0" w:color="auto"/>
        <w:right w:val="none" w:sz="0" w:space="0" w:color="auto"/>
      </w:divBdr>
      <w:divsChild>
        <w:div w:id="222832839">
          <w:marLeft w:val="0"/>
          <w:marRight w:val="0"/>
          <w:marTop w:val="0"/>
          <w:marBottom w:val="150"/>
          <w:divBdr>
            <w:top w:val="none" w:sz="0" w:space="0" w:color="auto"/>
            <w:left w:val="none" w:sz="0" w:space="0" w:color="auto"/>
            <w:bottom w:val="none" w:sz="0" w:space="0" w:color="auto"/>
            <w:right w:val="none" w:sz="0" w:space="0" w:color="auto"/>
          </w:divBdr>
        </w:div>
        <w:div w:id="1075783426">
          <w:marLeft w:val="0"/>
          <w:marRight w:val="0"/>
          <w:marTop w:val="0"/>
          <w:marBottom w:val="150"/>
          <w:divBdr>
            <w:top w:val="none" w:sz="0" w:space="0" w:color="auto"/>
            <w:left w:val="none" w:sz="0" w:space="0" w:color="auto"/>
            <w:bottom w:val="none" w:sz="0" w:space="0" w:color="auto"/>
            <w:right w:val="none" w:sz="0" w:space="0" w:color="auto"/>
          </w:divBdr>
          <w:divsChild>
            <w:div w:id="189589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99179">
      <w:bodyDiv w:val="1"/>
      <w:marLeft w:val="0"/>
      <w:marRight w:val="0"/>
      <w:marTop w:val="0"/>
      <w:marBottom w:val="0"/>
      <w:divBdr>
        <w:top w:val="none" w:sz="0" w:space="0" w:color="auto"/>
        <w:left w:val="none" w:sz="0" w:space="0" w:color="auto"/>
        <w:bottom w:val="none" w:sz="0" w:space="0" w:color="auto"/>
        <w:right w:val="none" w:sz="0" w:space="0" w:color="auto"/>
      </w:divBdr>
      <w:divsChild>
        <w:div w:id="1994290374">
          <w:marLeft w:val="0"/>
          <w:marRight w:val="0"/>
          <w:marTop w:val="0"/>
          <w:marBottom w:val="0"/>
          <w:divBdr>
            <w:top w:val="none" w:sz="0" w:space="0" w:color="auto"/>
            <w:left w:val="none" w:sz="0" w:space="0" w:color="auto"/>
            <w:bottom w:val="dotted" w:sz="6" w:space="4" w:color="DDDDDD"/>
            <w:right w:val="none" w:sz="0" w:space="0" w:color="auto"/>
          </w:divBdr>
        </w:div>
      </w:divsChild>
    </w:div>
    <w:div w:id="1881165801">
      <w:bodyDiv w:val="1"/>
      <w:marLeft w:val="0"/>
      <w:marRight w:val="0"/>
      <w:marTop w:val="0"/>
      <w:marBottom w:val="0"/>
      <w:divBdr>
        <w:top w:val="none" w:sz="0" w:space="0" w:color="auto"/>
        <w:left w:val="none" w:sz="0" w:space="0" w:color="auto"/>
        <w:bottom w:val="none" w:sz="0" w:space="0" w:color="auto"/>
        <w:right w:val="none" w:sz="0" w:space="0" w:color="auto"/>
      </w:divBdr>
    </w:div>
    <w:div w:id="1882664802">
      <w:bodyDiv w:val="1"/>
      <w:marLeft w:val="0"/>
      <w:marRight w:val="0"/>
      <w:marTop w:val="0"/>
      <w:marBottom w:val="0"/>
      <w:divBdr>
        <w:top w:val="none" w:sz="0" w:space="0" w:color="auto"/>
        <w:left w:val="none" w:sz="0" w:space="0" w:color="auto"/>
        <w:bottom w:val="none" w:sz="0" w:space="0" w:color="auto"/>
        <w:right w:val="none" w:sz="0" w:space="0" w:color="auto"/>
      </w:divBdr>
      <w:divsChild>
        <w:div w:id="674655449">
          <w:marLeft w:val="0"/>
          <w:marRight w:val="0"/>
          <w:marTop w:val="0"/>
          <w:marBottom w:val="0"/>
          <w:divBdr>
            <w:top w:val="none" w:sz="0" w:space="0" w:color="auto"/>
            <w:left w:val="none" w:sz="0" w:space="0" w:color="auto"/>
            <w:bottom w:val="none" w:sz="0" w:space="0" w:color="auto"/>
            <w:right w:val="none" w:sz="0" w:space="0" w:color="auto"/>
          </w:divBdr>
          <w:divsChild>
            <w:div w:id="357897522">
              <w:marLeft w:val="0"/>
              <w:marRight w:val="0"/>
              <w:marTop w:val="0"/>
              <w:marBottom w:val="0"/>
              <w:divBdr>
                <w:top w:val="none" w:sz="0" w:space="0" w:color="auto"/>
                <w:left w:val="none" w:sz="0" w:space="0" w:color="auto"/>
                <w:bottom w:val="none" w:sz="0" w:space="0" w:color="auto"/>
                <w:right w:val="none" w:sz="0" w:space="0" w:color="auto"/>
              </w:divBdr>
              <w:divsChild>
                <w:div w:id="15667048">
                  <w:marLeft w:val="0"/>
                  <w:marRight w:val="0"/>
                  <w:marTop w:val="0"/>
                  <w:marBottom w:val="0"/>
                  <w:divBdr>
                    <w:top w:val="none" w:sz="0" w:space="0" w:color="auto"/>
                    <w:left w:val="none" w:sz="0" w:space="0" w:color="auto"/>
                    <w:bottom w:val="none" w:sz="0" w:space="0" w:color="auto"/>
                    <w:right w:val="none" w:sz="0" w:space="0" w:color="auto"/>
                  </w:divBdr>
                  <w:divsChild>
                    <w:div w:id="1988895236">
                      <w:marLeft w:val="0"/>
                      <w:marRight w:val="0"/>
                      <w:marTop w:val="0"/>
                      <w:marBottom w:val="0"/>
                      <w:divBdr>
                        <w:top w:val="none" w:sz="0" w:space="0" w:color="auto"/>
                        <w:left w:val="none" w:sz="0" w:space="0" w:color="auto"/>
                        <w:bottom w:val="none" w:sz="0" w:space="0" w:color="auto"/>
                        <w:right w:val="none" w:sz="0" w:space="0" w:color="auto"/>
                      </w:divBdr>
                      <w:divsChild>
                        <w:div w:id="1612468359">
                          <w:marLeft w:val="0"/>
                          <w:marRight w:val="0"/>
                          <w:marTop w:val="0"/>
                          <w:marBottom w:val="0"/>
                          <w:divBdr>
                            <w:top w:val="none" w:sz="0" w:space="0" w:color="auto"/>
                            <w:left w:val="none" w:sz="0" w:space="0" w:color="auto"/>
                            <w:bottom w:val="none" w:sz="0" w:space="0" w:color="auto"/>
                            <w:right w:val="none" w:sz="0" w:space="0" w:color="auto"/>
                          </w:divBdr>
                          <w:divsChild>
                            <w:div w:id="271669557">
                              <w:marLeft w:val="0"/>
                              <w:marRight w:val="0"/>
                              <w:marTop w:val="0"/>
                              <w:marBottom w:val="0"/>
                              <w:divBdr>
                                <w:top w:val="none" w:sz="0" w:space="0" w:color="auto"/>
                                <w:left w:val="none" w:sz="0" w:space="0" w:color="auto"/>
                                <w:bottom w:val="none" w:sz="0" w:space="0" w:color="auto"/>
                                <w:right w:val="none" w:sz="0" w:space="0" w:color="auto"/>
                              </w:divBdr>
                              <w:divsChild>
                                <w:div w:id="2024280519">
                                  <w:marLeft w:val="0"/>
                                  <w:marRight w:val="0"/>
                                  <w:marTop w:val="0"/>
                                  <w:marBottom w:val="0"/>
                                  <w:divBdr>
                                    <w:top w:val="none" w:sz="0" w:space="0" w:color="auto"/>
                                    <w:left w:val="none" w:sz="0" w:space="0" w:color="auto"/>
                                    <w:bottom w:val="none" w:sz="0" w:space="0" w:color="auto"/>
                                    <w:right w:val="none" w:sz="0" w:space="0" w:color="auto"/>
                                  </w:divBdr>
                                  <w:divsChild>
                                    <w:div w:id="107782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592884">
      <w:bodyDiv w:val="1"/>
      <w:marLeft w:val="0"/>
      <w:marRight w:val="0"/>
      <w:marTop w:val="0"/>
      <w:marBottom w:val="0"/>
      <w:divBdr>
        <w:top w:val="none" w:sz="0" w:space="0" w:color="auto"/>
        <w:left w:val="none" w:sz="0" w:space="0" w:color="auto"/>
        <w:bottom w:val="none" w:sz="0" w:space="0" w:color="auto"/>
        <w:right w:val="none" w:sz="0" w:space="0" w:color="auto"/>
      </w:divBdr>
    </w:div>
    <w:div w:id="1883637234">
      <w:bodyDiv w:val="1"/>
      <w:marLeft w:val="0"/>
      <w:marRight w:val="0"/>
      <w:marTop w:val="0"/>
      <w:marBottom w:val="0"/>
      <w:divBdr>
        <w:top w:val="none" w:sz="0" w:space="0" w:color="auto"/>
        <w:left w:val="none" w:sz="0" w:space="0" w:color="auto"/>
        <w:bottom w:val="none" w:sz="0" w:space="0" w:color="auto"/>
        <w:right w:val="none" w:sz="0" w:space="0" w:color="auto"/>
      </w:divBdr>
      <w:divsChild>
        <w:div w:id="979771560">
          <w:marLeft w:val="0"/>
          <w:marRight w:val="0"/>
          <w:marTop w:val="0"/>
          <w:marBottom w:val="0"/>
          <w:divBdr>
            <w:top w:val="none" w:sz="0" w:space="0" w:color="auto"/>
            <w:left w:val="none" w:sz="0" w:space="0" w:color="auto"/>
            <w:bottom w:val="dotted" w:sz="6" w:space="4" w:color="DDDDDD"/>
            <w:right w:val="none" w:sz="0" w:space="0" w:color="auto"/>
          </w:divBdr>
          <w:divsChild>
            <w:div w:id="199795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101383">
      <w:bodyDiv w:val="1"/>
      <w:marLeft w:val="0"/>
      <w:marRight w:val="0"/>
      <w:marTop w:val="0"/>
      <w:marBottom w:val="0"/>
      <w:divBdr>
        <w:top w:val="none" w:sz="0" w:space="0" w:color="auto"/>
        <w:left w:val="none" w:sz="0" w:space="0" w:color="auto"/>
        <w:bottom w:val="none" w:sz="0" w:space="0" w:color="auto"/>
        <w:right w:val="none" w:sz="0" w:space="0" w:color="auto"/>
      </w:divBdr>
    </w:div>
    <w:div w:id="1884436620">
      <w:bodyDiv w:val="1"/>
      <w:marLeft w:val="0"/>
      <w:marRight w:val="0"/>
      <w:marTop w:val="0"/>
      <w:marBottom w:val="0"/>
      <w:divBdr>
        <w:top w:val="none" w:sz="0" w:space="0" w:color="auto"/>
        <w:left w:val="none" w:sz="0" w:space="0" w:color="auto"/>
        <w:bottom w:val="none" w:sz="0" w:space="0" w:color="auto"/>
        <w:right w:val="none" w:sz="0" w:space="0" w:color="auto"/>
      </w:divBdr>
    </w:div>
    <w:div w:id="1884905007">
      <w:bodyDiv w:val="1"/>
      <w:marLeft w:val="0"/>
      <w:marRight w:val="0"/>
      <w:marTop w:val="0"/>
      <w:marBottom w:val="0"/>
      <w:divBdr>
        <w:top w:val="none" w:sz="0" w:space="0" w:color="auto"/>
        <w:left w:val="none" w:sz="0" w:space="0" w:color="auto"/>
        <w:bottom w:val="none" w:sz="0" w:space="0" w:color="auto"/>
        <w:right w:val="none" w:sz="0" w:space="0" w:color="auto"/>
      </w:divBdr>
      <w:divsChild>
        <w:div w:id="1357120448">
          <w:marLeft w:val="0"/>
          <w:marRight w:val="0"/>
          <w:marTop w:val="0"/>
          <w:marBottom w:val="0"/>
          <w:divBdr>
            <w:top w:val="none" w:sz="0" w:space="0" w:color="auto"/>
            <w:left w:val="none" w:sz="0" w:space="0" w:color="auto"/>
            <w:bottom w:val="dotted" w:sz="6" w:space="4" w:color="DDDDDD"/>
            <w:right w:val="none" w:sz="0" w:space="0" w:color="auto"/>
          </w:divBdr>
        </w:div>
      </w:divsChild>
    </w:div>
    <w:div w:id="1885092015">
      <w:bodyDiv w:val="1"/>
      <w:marLeft w:val="0"/>
      <w:marRight w:val="0"/>
      <w:marTop w:val="0"/>
      <w:marBottom w:val="0"/>
      <w:divBdr>
        <w:top w:val="none" w:sz="0" w:space="0" w:color="auto"/>
        <w:left w:val="none" w:sz="0" w:space="0" w:color="auto"/>
        <w:bottom w:val="none" w:sz="0" w:space="0" w:color="auto"/>
        <w:right w:val="none" w:sz="0" w:space="0" w:color="auto"/>
      </w:divBdr>
      <w:divsChild>
        <w:div w:id="1219785349">
          <w:marLeft w:val="0"/>
          <w:marRight w:val="0"/>
          <w:marTop w:val="0"/>
          <w:marBottom w:val="0"/>
          <w:divBdr>
            <w:top w:val="none" w:sz="0" w:space="0" w:color="auto"/>
            <w:left w:val="none" w:sz="0" w:space="0" w:color="auto"/>
            <w:bottom w:val="none" w:sz="0" w:space="0" w:color="auto"/>
            <w:right w:val="none" w:sz="0" w:space="0" w:color="auto"/>
          </w:divBdr>
          <w:divsChild>
            <w:div w:id="1986080706">
              <w:marLeft w:val="0"/>
              <w:marRight w:val="0"/>
              <w:marTop w:val="0"/>
              <w:marBottom w:val="0"/>
              <w:divBdr>
                <w:top w:val="none" w:sz="0" w:space="0" w:color="auto"/>
                <w:left w:val="none" w:sz="0" w:space="0" w:color="auto"/>
                <w:bottom w:val="none" w:sz="0" w:space="0" w:color="auto"/>
                <w:right w:val="none" w:sz="0" w:space="0" w:color="auto"/>
              </w:divBdr>
              <w:divsChild>
                <w:div w:id="928854876">
                  <w:marLeft w:val="0"/>
                  <w:marRight w:val="0"/>
                  <w:marTop w:val="0"/>
                  <w:marBottom w:val="0"/>
                  <w:divBdr>
                    <w:top w:val="none" w:sz="0" w:space="0" w:color="auto"/>
                    <w:left w:val="none" w:sz="0" w:space="0" w:color="auto"/>
                    <w:bottom w:val="none" w:sz="0" w:space="0" w:color="auto"/>
                    <w:right w:val="none" w:sz="0" w:space="0" w:color="auto"/>
                  </w:divBdr>
                  <w:divsChild>
                    <w:div w:id="730269534">
                      <w:marLeft w:val="0"/>
                      <w:marRight w:val="0"/>
                      <w:marTop w:val="0"/>
                      <w:marBottom w:val="0"/>
                      <w:divBdr>
                        <w:top w:val="none" w:sz="0" w:space="0" w:color="auto"/>
                        <w:left w:val="none" w:sz="0" w:space="0" w:color="auto"/>
                        <w:bottom w:val="none" w:sz="0" w:space="0" w:color="auto"/>
                        <w:right w:val="none" w:sz="0" w:space="0" w:color="auto"/>
                      </w:divBdr>
                      <w:divsChild>
                        <w:div w:id="535894572">
                          <w:marLeft w:val="0"/>
                          <w:marRight w:val="0"/>
                          <w:marTop w:val="0"/>
                          <w:marBottom w:val="0"/>
                          <w:divBdr>
                            <w:top w:val="none" w:sz="0" w:space="0" w:color="auto"/>
                            <w:left w:val="none" w:sz="0" w:space="0" w:color="auto"/>
                            <w:bottom w:val="none" w:sz="0" w:space="0" w:color="auto"/>
                            <w:right w:val="none" w:sz="0" w:space="0" w:color="auto"/>
                          </w:divBdr>
                          <w:divsChild>
                            <w:div w:id="288555272">
                              <w:marLeft w:val="0"/>
                              <w:marRight w:val="0"/>
                              <w:marTop w:val="0"/>
                              <w:marBottom w:val="0"/>
                              <w:divBdr>
                                <w:top w:val="none" w:sz="0" w:space="0" w:color="auto"/>
                                <w:left w:val="none" w:sz="0" w:space="0" w:color="auto"/>
                                <w:bottom w:val="none" w:sz="0" w:space="0" w:color="auto"/>
                                <w:right w:val="none" w:sz="0" w:space="0" w:color="auto"/>
                              </w:divBdr>
                              <w:divsChild>
                                <w:div w:id="1972663481">
                                  <w:marLeft w:val="0"/>
                                  <w:marRight w:val="0"/>
                                  <w:marTop w:val="0"/>
                                  <w:marBottom w:val="0"/>
                                  <w:divBdr>
                                    <w:top w:val="none" w:sz="0" w:space="0" w:color="auto"/>
                                    <w:left w:val="none" w:sz="0" w:space="0" w:color="auto"/>
                                    <w:bottom w:val="none" w:sz="0" w:space="0" w:color="auto"/>
                                    <w:right w:val="none" w:sz="0" w:space="0" w:color="auto"/>
                                  </w:divBdr>
                                  <w:divsChild>
                                    <w:div w:id="192749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5097345">
      <w:bodyDiv w:val="1"/>
      <w:marLeft w:val="0"/>
      <w:marRight w:val="0"/>
      <w:marTop w:val="0"/>
      <w:marBottom w:val="0"/>
      <w:divBdr>
        <w:top w:val="none" w:sz="0" w:space="0" w:color="auto"/>
        <w:left w:val="none" w:sz="0" w:space="0" w:color="auto"/>
        <w:bottom w:val="none" w:sz="0" w:space="0" w:color="auto"/>
        <w:right w:val="none" w:sz="0" w:space="0" w:color="auto"/>
      </w:divBdr>
      <w:divsChild>
        <w:div w:id="1518956581">
          <w:marLeft w:val="0"/>
          <w:marRight w:val="0"/>
          <w:marTop w:val="0"/>
          <w:marBottom w:val="150"/>
          <w:divBdr>
            <w:top w:val="none" w:sz="0" w:space="0" w:color="auto"/>
            <w:left w:val="none" w:sz="0" w:space="0" w:color="auto"/>
            <w:bottom w:val="none" w:sz="0" w:space="0" w:color="auto"/>
            <w:right w:val="none" w:sz="0" w:space="0" w:color="auto"/>
          </w:divBdr>
        </w:div>
      </w:divsChild>
    </w:div>
    <w:div w:id="1885437539">
      <w:bodyDiv w:val="1"/>
      <w:marLeft w:val="0"/>
      <w:marRight w:val="0"/>
      <w:marTop w:val="0"/>
      <w:marBottom w:val="0"/>
      <w:divBdr>
        <w:top w:val="none" w:sz="0" w:space="0" w:color="auto"/>
        <w:left w:val="none" w:sz="0" w:space="0" w:color="auto"/>
        <w:bottom w:val="none" w:sz="0" w:space="0" w:color="auto"/>
        <w:right w:val="none" w:sz="0" w:space="0" w:color="auto"/>
      </w:divBdr>
      <w:divsChild>
        <w:div w:id="222953688">
          <w:marLeft w:val="0"/>
          <w:marRight w:val="0"/>
          <w:marTop w:val="0"/>
          <w:marBottom w:val="0"/>
          <w:divBdr>
            <w:top w:val="none" w:sz="0" w:space="0" w:color="auto"/>
            <w:left w:val="none" w:sz="0" w:space="0" w:color="auto"/>
            <w:bottom w:val="dotted" w:sz="6" w:space="4" w:color="DDDDDD"/>
            <w:right w:val="none" w:sz="0" w:space="0" w:color="auto"/>
          </w:divBdr>
        </w:div>
      </w:divsChild>
    </w:div>
    <w:div w:id="1885678206">
      <w:bodyDiv w:val="1"/>
      <w:marLeft w:val="0"/>
      <w:marRight w:val="0"/>
      <w:marTop w:val="0"/>
      <w:marBottom w:val="0"/>
      <w:divBdr>
        <w:top w:val="none" w:sz="0" w:space="0" w:color="auto"/>
        <w:left w:val="none" w:sz="0" w:space="0" w:color="auto"/>
        <w:bottom w:val="none" w:sz="0" w:space="0" w:color="auto"/>
        <w:right w:val="none" w:sz="0" w:space="0" w:color="auto"/>
      </w:divBdr>
    </w:div>
    <w:div w:id="1886142877">
      <w:bodyDiv w:val="1"/>
      <w:marLeft w:val="0"/>
      <w:marRight w:val="0"/>
      <w:marTop w:val="0"/>
      <w:marBottom w:val="0"/>
      <w:divBdr>
        <w:top w:val="none" w:sz="0" w:space="0" w:color="auto"/>
        <w:left w:val="none" w:sz="0" w:space="0" w:color="auto"/>
        <w:bottom w:val="none" w:sz="0" w:space="0" w:color="auto"/>
        <w:right w:val="none" w:sz="0" w:space="0" w:color="auto"/>
      </w:divBdr>
      <w:divsChild>
        <w:div w:id="502477563">
          <w:marLeft w:val="0"/>
          <w:marRight w:val="0"/>
          <w:marTop w:val="0"/>
          <w:marBottom w:val="225"/>
          <w:divBdr>
            <w:top w:val="none" w:sz="0" w:space="0" w:color="auto"/>
            <w:left w:val="none" w:sz="0" w:space="0" w:color="auto"/>
            <w:bottom w:val="none" w:sz="0" w:space="0" w:color="auto"/>
            <w:right w:val="none" w:sz="0" w:space="0" w:color="auto"/>
          </w:divBdr>
        </w:div>
        <w:div w:id="1892230780">
          <w:marLeft w:val="0"/>
          <w:marRight w:val="0"/>
          <w:marTop w:val="0"/>
          <w:marBottom w:val="225"/>
          <w:divBdr>
            <w:top w:val="none" w:sz="0" w:space="0" w:color="auto"/>
            <w:left w:val="none" w:sz="0" w:space="0" w:color="auto"/>
            <w:bottom w:val="none" w:sz="0" w:space="0" w:color="auto"/>
            <w:right w:val="none" w:sz="0" w:space="0" w:color="auto"/>
          </w:divBdr>
          <w:divsChild>
            <w:div w:id="163421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599644">
      <w:bodyDiv w:val="1"/>
      <w:marLeft w:val="0"/>
      <w:marRight w:val="0"/>
      <w:marTop w:val="0"/>
      <w:marBottom w:val="0"/>
      <w:divBdr>
        <w:top w:val="none" w:sz="0" w:space="0" w:color="auto"/>
        <w:left w:val="none" w:sz="0" w:space="0" w:color="auto"/>
        <w:bottom w:val="none" w:sz="0" w:space="0" w:color="auto"/>
        <w:right w:val="none" w:sz="0" w:space="0" w:color="auto"/>
      </w:divBdr>
      <w:divsChild>
        <w:div w:id="1953202077">
          <w:marLeft w:val="0"/>
          <w:marRight w:val="0"/>
          <w:marTop w:val="0"/>
          <w:marBottom w:val="0"/>
          <w:divBdr>
            <w:top w:val="none" w:sz="0" w:space="0" w:color="auto"/>
            <w:left w:val="none" w:sz="0" w:space="0" w:color="auto"/>
            <w:bottom w:val="none" w:sz="0" w:space="0" w:color="auto"/>
            <w:right w:val="none" w:sz="0" w:space="0" w:color="auto"/>
          </w:divBdr>
        </w:div>
        <w:div w:id="565989147">
          <w:marLeft w:val="0"/>
          <w:marRight w:val="0"/>
          <w:marTop w:val="0"/>
          <w:marBottom w:val="0"/>
          <w:divBdr>
            <w:top w:val="none" w:sz="0" w:space="0" w:color="auto"/>
            <w:left w:val="none" w:sz="0" w:space="0" w:color="auto"/>
            <w:bottom w:val="none" w:sz="0" w:space="0" w:color="auto"/>
            <w:right w:val="none" w:sz="0" w:space="0" w:color="auto"/>
          </w:divBdr>
          <w:divsChild>
            <w:div w:id="180014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991013">
      <w:bodyDiv w:val="1"/>
      <w:marLeft w:val="0"/>
      <w:marRight w:val="0"/>
      <w:marTop w:val="0"/>
      <w:marBottom w:val="0"/>
      <w:divBdr>
        <w:top w:val="none" w:sz="0" w:space="0" w:color="auto"/>
        <w:left w:val="none" w:sz="0" w:space="0" w:color="auto"/>
        <w:bottom w:val="none" w:sz="0" w:space="0" w:color="auto"/>
        <w:right w:val="none" w:sz="0" w:space="0" w:color="auto"/>
      </w:divBdr>
      <w:divsChild>
        <w:div w:id="416288575">
          <w:marLeft w:val="0"/>
          <w:marRight w:val="0"/>
          <w:marTop w:val="0"/>
          <w:marBottom w:val="0"/>
          <w:divBdr>
            <w:top w:val="none" w:sz="0" w:space="0" w:color="auto"/>
            <w:left w:val="none" w:sz="0" w:space="0" w:color="auto"/>
            <w:bottom w:val="none" w:sz="0" w:space="0" w:color="auto"/>
            <w:right w:val="none" w:sz="0" w:space="0" w:color="auto"/>
          </w:divBdr>
          <w:divsChild>
            <w:div w:id="12685808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7177718">
      <w:bodyDiv w:val="1"/>
      <w:marLeft w:val="0"/>
      <w:marRight w:val="0"/>
      <w:marTop w:val="0"/>
      <w:marBottom w:val="0"/>
      <w:divBdr>
        <w:top w:val="none" w:sz="0" w:space="0" w:color="auto"/>
        <w:left w:val="none" w:sz="0" w:space="0" w:color="auto"/>
        <w:bottom w:val="none" w:sz="0" w:space="0" w:color="auto"/>
        <w:right w:val="none" w:sz="0" w:space="0" w:color="auto"/>
      </w:divBdr>
    </w:div>
    <w:div w:id="1887254120">
      <w:bodyDiv w:val="1"/>
      <w:marLeft w:val="0"/>
      <w:marRight w:val="0"/>
      <w:marTop w:val="0"/>
      <w:marBottom w:val="0"/>
      <w:divBdr>
        <w:top w:val="none" w:sz="0" w:space="0" w:color="auto"/>
        <w:left w:val="none" w:sz="0" w:space="0" w:color="auto"/>
        <w:bottom w:val="none" w:sz="0" w:space="0" w:color="auto"/>
        <w:right w:val="none" w:sz="0" w:space="0" w:color="auto"/>
      </w:divBdr>
      <w:divsChild>
        <w:div w:id="1075056772">
          <w:marLeft w:val="0"/>
          <w:marRight w:val="0"/>
          <w:marTop w:val="0"/>
          <w:marBottom w:val="150"/>
          <w:divBdr>
            <w:top w:val="none" w:sz="0" w:space="0" w:color="auto"/>
            <w:left w:val="none" w:sz="0" w:space="0" w:color="auto"/>
            <w:bottom w:val="none" w:sz="0" w:space="0" w:color="auto"/>
            <w:right w:val="none" w:sz="0" w:space="0" w:color="auto"/>
          </w:divBdr>
          <w:divsChild>
            <w:div w:id="883491565">
              <w:marLeft w:val="0"/>
              <w:marRight w:val="0"/>
              <w:marTop w:val="0"/>
              <w:marBottom w:val="0"/>
              <w:divBdr>
                <w:top w:val="none" w:sz="0" w:space="0" w:color="auto"/>
                <w:left w:val="none" w:sz="0" w:space="0" w:color="auto"/>
                <w:bottom w:val="none" w:sz="0" w:space="0" w:color="auto"/>
                <w:right w:val="none" w:sz="0" w:space="0" w:color="auto"/>
              </w:divBdr>
              <w:divsChild>
                <w:div w:id="632058582">
                  <w:marLeft w:val="0"/>
                  <w:marRight w:val="0"/>
                  <w:marTop w:val="0"/>
                  <w:marBottom w:val="0"/>
                  <w:divBdr>
                    <w:top w:val="none" w:sz="0" w:space="0" w:color="auto"/>
                    <w:left w:val="none" w:sz="0" w:space="0" w:color="auto"/>
                    <w:bottom w:val="none" w:sz="0" w:space="0" w:color="auto"/>
                    <w:right w:val="none" w:sz="0" w:space="0" w:color="auto"/>
                  </w:divBdr>
                  <w:divsChild>
                    <w:div w:id="1593851542">
                      <w:marLeft w:val="0"/>
                      <w:marRight w:val="150"/>
                      <w:marTop w:val="0"/>
                      <w:marBottom w:val="0"/>
                      <w:divBdr>
                        <w:top w:val="none" w:sz="0" w:space="0" w:color="auto"/>
                        <w:left w:val="none" w:sz="0" w:space="0" w:color="auto"/>
                        <w:bottom w:val="none" w:sz="0" w:space="0" w:color="auto"/>
                        <w:right w:val="none" w:sz="0" w:space="0" w:color="auto"/>
                      </w:divBdr>
                      <w:divsChild>
                        <w:div w:id="43551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4910643">
          <w:marLeft w:val="0"/>
          <w:marRight w:val="0"/>
          <w:marTop w:val="0"/>
          <w:marBottom w:val="150"/>
          <w:divBdr>
            <w:top w:val="none" w:sz="0" w:space="0" w:color="auto"/>
            <w:left w:val="none" w:sz="0" w:space="0" w:color="auto"/>
            <w:bottom w:val="none" w:sz="0" w:space="0" w:color="auto"/>
            <w:right w:val="none" w:sz="0" w:space="0" w:color="auto"/>
          </w:divBdr>
        </w:div>
        <w:div w:id="863323364">
          <w:marLeft w:val="0"/>
          <w:marRight w:val="0"/>
          <w:marTop w:val="0"/>
          <w:marBottom w:val="0"/>
          <w:divBdr>
            <w:top w:val="none" w:sz="0" w:space="0" w:color="auto"/>
            <w:left w:val="none" w:sz="0" w:space="0" w:color="auto"/>
            <w:bottom w:val="none" w:sz="0" w:space="0" w:color="auto"/>
            <w:right w:val="none" w:sz="0" w:space="0" w:color="auto"/>
          </w:divBdr>
          <w:divsChild>
            <w:div w:id="122043343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87257422">
      <w:bodyDiv w:val="1"/>
      <w:marLeft w:val="0"/>
      <w:marRight w:val="0"/>
      <w:marTop w:val="0"/>
      <w:marBottom w:val="0"/>
      <w:divBdr>
        <w:top w:val="none" w:sz="0" w:space="0" w:color="auto"/>
        <w:left w:val="none" w:sz="0" w:space="0" w:color="auto"/>
        <w:bottom w:val="none" w:sz="0" w:space="0" w:color="auto"/>
        <w:right w:val="none" w:sz="0" w:space="0" w:color="auto"/>
      </w:divBdr>
      <w:divsChild>
        <w:div w:id="102775291">
          <w:marLeft w:val="0"/>
          <w:marRight w:val="0"/>
          <w:marTop w:val="0"/>
          <w:marBottom w:val="0"/>
          <w:divBdr>
            <w:top w:val="none" w:sz="0" w:space="0" w:color="auto"/>
            <w:left w:val="none" w:sz="0" w:space="0" w:color="auto"/>
            <w:bottom w:val="none" w:sz="0" w:space="0" w:color="auto"/>
            <w:right w:val="none" w:sz="0" w:space="0" w:color="auto"/>
          </w:divBdr>
          <w:divsChild>
            <w:div w:id="1439449790">
              <w:marLeft w:val="0"/>
              <w:marRight w:val="0"/>
              <w:marTop w:val="0"/>
              <w:marBottom w:val="0"/>
              <w:divBdr>
                <w:top w:val="none" w:sz="0" w:space="0" w:color="auto"/>
                <w:left w:val="none" w:sz="0" w:space="0" w:color="auto"/>
                <w:bottom w:val="none" w:sz="0" w:space="0" w:color="auto"/>
                <w:right w:val="none" w:sz="0" w:space="0" w:color="auto"/>
              </w:divBdr>
              <w:divsChild>
                <w:div w:id="1783375150">
                  <w:marLeft w:val="0"/>
                  <w:marRight w:val="0"/>
                  <w:marTop w:val="0"/>
                  <w:marBottom w:val="0"/>
                  <w:divBdr>
                    <w:top w:val="none" w:sz="0" w:space="0" w:color="auto"/>
                    <w:left w:val="none" w:sz="0" w:space="0" w:color="auto"/>
                    <w:bottom w:val="none" w:sz="0" w:space="0" w:color="auto"/>
                    <w:right w:val="none" w:sz="0" w:space="0" w:color="auto"/>
                  </w:divBdr>
                  <w:divsChild>
                    <w:div w:id="1955211793">
                      <w:marLeft w:val="0"/>
                      <w:marRight w:val="0"/>
                      <w:marTop w:val="0"/>
                      <w:marBottom w:val="0"/>
                      <w:divBdr>
                        <w:top w:val="none" w:sz="0" w:space="0" w:color="auto"/>
                        <w:left w:val="none" w:sz="0" w:space="0" w:color="auto"/>
                        <w:bottom w:val="none" w:sz="0" w:space="0" w:color="auto"/>
                        <w:right w:val="none" w:sz="0" w:space="0" w:color="auto"/>
                      </w:divBdr>
                      <w:divsChild>
                        <w:div w:id="2067757651">
                          <w:marLeft w:val="0"/>
                          <w:marRight w:val="0"/>
                          <w:marTop w:val="0"/>
                          <w:marBottom w:val="0"/>
                          <w:divBdr>
                            <w:top w:val="none" w:sz="0" w:space="0" w:color="auto"/>
                            <w:left w:val="none" w:sz="0" w:space="0" w:color="auto"/>
                            <w:bottom w:val="none" w:sz="0" w:space="0" w:color="auto"/>
                            <w:right w:val="none" w:sz="0" w:space="0" w:color="auto"/>
                          </w:divBdr>
                          <w:divsChild>
                            <w:div w:id="1253271222">
                              <w:marLeft w:val="0"/>
                              <w:marRight w:val="0"/>
                              <w:marTop w:val="0"/>
                              <w:marBottom w:val="0"/>
                              <w:divBdr>
                                <w:top w:val="none" w:sz="0" w:space="0" w:color="auto"/>
                                <w:left w:val="none" w:sz="0" w:space="0" w:color="auto"/>
                                <w:bottom w:val="none" w:sz="0" w:space="0" w:color="auto"/>
                                <w:right w:val="none" w:sz="0" w:space="0" w:color="auto"/>
                              </w:divBdr>
                              <w:divsChild>
                                <w:div w:id="529300784">
                                  <w:marLeft w:val="0"/>
                                  <w:marRight w:val="0"/>
                                  <w:marTop w:val="0"/>
                                  <w:marBottom w:val="0"/>
                                  <w:divBdr>
                                    <w:top w:val="none" w:sz="0" w:space="0" w:color="auto"/>
                                    <w:left w:val="none" w:sz="0" w:space="0" w:color="auto"/>
                                    <w:bottom w:val="none" w:sz="0" w:space="0" w:color="auto"/>
                                    <w:right w:val="none" w:sz="0" w:space="0" w:color="auto"/>
                                  </w:divBdr>
                                  <w:divsChild>
                                    <w:div w:id="52621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910278">
      <w:bodyDiv w:val="1"/>
      <w:marLeft w:val="0"/>
      <w:marRight w:val="0"/>
      <w:marTop w:val="0"/>
      <w:marBottom w:val="0"/>
      <w:divBdr>
        <w:top w:val="none" w:sz="0" w:space="0" w:color="auto"/>
        <w:left w:val="none" w:sz="0" w:space="0" w:color="auto"/>
        <w:bottom w:val="none" w:sz="0" w:space="0" w:color="auto"/>
        <w:right w:val="none" w:sz="0" w:space="0" w:color="auto"/>
      </w:divBdr>
      <w:divsChild>
        <w:div w:id="690379358">
          <w:marLeft w:val="0"/>
          <w:marRight w:val="0"/>
          <w:marTop w:val="0"/>
          <w:marBottom w:val="0"/>
          <w:divBdr>
            <w:top w:val="none" w:sz="0" w:space="0" w:color="auto"/>
            <w:left w:val="none" w:sz="0" w:space="0" w:color="auto"/>
            <w:bottom w:val="dotted" w:sz="6" w:space="4" w:color="DDDDDD"/>
            <w:right w:val="none" w:sz="0" w:space="0" w:color="auto"/>
          </w:divBdr>
        </w:div>
      </w:divsChild>
    </w:div>
    <w:div w:id="1888027462">
      <w:bodyDiv w:val="1"/>
      <w:marLeft w:val="0"/>
      <w:marRight w:val="0"/>
      <w:marTop w:val="0"/>
      <w:marBottom w:val="0"/>
      <w:divBdr>
        <w:top w:val="none" w:sz="0" w:space="0" w:color="auto"/>
        <w:left w:val="none" w:sz="0" w:space="0" w:color="auto"/>
        <w:bottom w:val="none" w:sz="0" w:space="0" w:color="auto"/>
        <w:right w:val="none" w:sz="0" w:space="0" w:color="auto"/>
      </w:divBdr>
      <w:divsChild>
        <w:div w:id="2032798808">
          <w:marLeft w:val="0"/>
          <w:marRight w:val="0"/>
          <w:marTop w:val="0"/>
          <w:marBottom w:val="150"/>
          <w:divBdr>
            <w:top w:val="none" w:sz="0" w:space="0" w:color="auto"/>
            <w:left w:val="none" w:sz="0" w:space="0" w:color="auto"/>
            <w:bottom w:val="none" w:sz="0" w:space="0" w:color="auto"/>
            <w:right w:val="none" w:sz="0" w:space="0" w:color="auto"/>
          </w:divBdr>
          <w:divsChild>
            <w:div w:id="51396232">
              <w:marLeft w:val="0"/>
              <w:marRight w:val="0"/>
              <w:marTop w:val="0"/>
              <w:marBottom w:val="0"/>
              <w:divBdr>
                <w:top w:val="none" w:sz="0" w:space="0" w:color="auto"/>
                <w:left w:val="none" w:sz="0" w:space="0" w:color="auto"/>
                <w:bottom w:val="none" w:sz="0" w:space="0" w:color="auto"/>
                <w:right w:val="none" w:sz="0" w:space="0" w:color="auto"/>
              </w:divBdr>
              <w:divsChild>
                <w:div w:id="160079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6620">
          <w:marLeft w:val="0"/>
          <w:marRight w:val="0"/>
          <w:marTop w:val="0"/>
          <w:marBottom w:val="0"/>
          <w:divBdr>
            <w:top w:val="none" w:sz="0" w:space="0" w:color="auto"/>
            <w:left w:val="none" w:sz="0" w:space="0" w:color="auto"/>
            <w:bottom w:val="none" w:sz="0" w:space="0" w:color="auto"/>
            <w:right w:val="none" w:sz="0" w:space="0" w:color="auto"/>
          </w:divBdr>
          <w:divsChild>
            <w:div w:id="422578788">
              <w:marLeft w:val="0"/>
              <w:marRight w:val="0"/>
              <w:marTop w:val="0"/>
              <w:marBottom w:val="150"/>
              <w:divBdr>
                <w:top w:val="none" w:sz="0" w:space="0" w:color="auto"/>
                <w:left w:val="none" w:sz="0" w:space="0" w:color="auto"/>
                <w:bottom w:val="none" w:sz="0" w:space="0" w:color="auto"/>
                <w:right w:val="none" w:sz="0" w:space="0" w:color="auto"/>
              </w:divBdr>
            </w:div>
            <w:div w:id="1805200290">
              <w:marLeft w:val="0"/>
              <w:marRight w:val="0"/>
              <w:marTop w:val="0"/>
              <w:marBottom w:val="0"/>
              <w:divBdr>
                <w:top w:val="none" w:sz="0" w:space="0" w:color="auto"/>
                <w:left w:val="none" w:sz="0" w:space="0" w:color="auto"/>
                <w:bottom w:val="none" w:sz="0" w:space="0" w:color="auto"/>
                <w:right w:val="none" w:sz="0" w:space="0" w:color="auto"/>
              </w:divBdr>
              <w:divsChild>
                <w:div w:id="69909066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888687538">
      <w:bodyDiv w:val="1"/>
      <w:marLeft w:val="0"/>
      <w:marRight w:val="0"/>
      <w:marTop w:val="0"/>
      <w:marBottom w:val="0"/>
      <w:divBdr>
        <w:top w:val="none" w:sz="0" w:space="0" w:color="auto"/>
        <w:left w:val="none" w:sz="0" w:space="0" w:color="auto"/>
        <w:bottom w:val="none" w:sz="0" w:space="0" w:color="auto"/>
        <w:right w:val="none" w:sz="0" w:space="0" w:color="auto"/>
      </w:divBdr>
      <w:divsChild>
        <w:div w:id="127555118">
          <w:marLeft w:val="0"/>
          <w:marRight w:val="0"/>
          <w:marTop w:val="0"/>
          <w:marBottom w:val="150"/>
          <w:divBdr>
            <w:top w:val="none" w:sz="0" w:space="0" w:color="auto"/>
            <w:left w:val="none" w:sz="0" w:space="0" w:color="auto"/>
            <w:bottom w:val="none" w:sz="0" w:space="0" w:color="auto"/>
            <w:right w:val="none" w:sz="0" w:space="0" w:color="auto"/>
          </w:divBdr>
          <w:divsChild>
            <w:div w:id="425005901">
              <w:marLeft w:val="0"/>
              <w:marRight w:val="0"/>
              <w:marTop w:val="0"/>
              <w:marBottom w:val="0"/>
              <w:divBdr>
                <w:top w:val="none" w:sz="0" w:space="0" w:color="auto"/>
                <w:left w:val="none" w:sz="0" w:space="0" w:color="auto"/>
                <w:bottom w:val="none" w:sz="0" w:space="0" w:color="auto"/>
                <w:right w:val="none" w:sz="0" w:space="0" w:color="auto"/>
              </w:divBdr>
              <w:divsChild>
                <w:div w:id="199618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82988">
          <w:marLeft w:val="0"/>
          <w:marRight w:val="0"/>
          <w:marTop w:val="0"/>
          <w:marBottom w:val="150"/>
          <w:divBdr>
            <w:top w:val="none" w:sz="0" w:space="0" w:color="auto"/>
            <w:left w:val="none" w:sz="0" w:space="0" w:color="auto"/>
            <w:bottom w:val="none" w:sz="0" w:space="0" w:color="auto"/>
            <w:right w:val="none" w:sz="0" w:space="0" w:color="auto"/>
          </w:divBdr>
        </w:div>
        <w:div w:id="1314063573">
          <w:marLeft w:val="0"/>
          <w:marRight w:val="0"/>
          <w:marTop w:val="0"/>
          <w:marBottom w:val="0"/>
          <w:divBdr>
            <w:top w:val="none" w:sz="0" w:space="0" w:color="auto"/>
            <w:left w:val="none" w:sz="0" w:space="0" w:color="auto"/>
            <w:bottom w:val="none" w:sz="0" w:space="0" w:color="auto"/>
            <w:right w:val="none" w:sz="0" w:space="0" w:color="auto"/>
          </w:divBdr>
          <w:divsChild>
            <w:div w:id="15114821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88762497">
      <w:bodyDiv w:val="1"/>
      <w:marLeft w:val="0"/>
      <w:marRight w:val="0"/>
      <w:marTop w:val="0"/>
      <w:marBottom w:val="0"/>
      <w:divBdr>
        <w:top w:val="none" w:sz="0" w:space="0" w:color="auto"/>
        <w:left w:val="none" w:sz="0" w:space="0" w:color="auto"/>
        <w:bottom w:val="none" w:sz="0" w:space="0" w:color="auto"/>
        <w:right w:val="none" w:sz="0" w:space="0" w:color="auto"/>
      </w:divBdr>
      <w:divsChild>
        <w:div w:id="272056067">
          <w:marLeft w:val="0"/>
          <w:marRight w:val="0"/>
          <w:marTop w:val="0"/>
          <w:marBottom w:val="0"/>
          <w:divBdr>
            <w:top w:val="none" w:sz="0" w:space="0" w:color="auto"/>
            <w:left w:val="none" w:sz="0" w:space="0" w:color="auto"/>
            <w:bottom w:val="none" w:sz="0" w:space="0" w:color="auto"/>
            <w:right w:val="none" w:sz="0" w:space="0" w:color="auto"/>
          </w:divBdr>
          <w:divsChild>
            <w:div w:id="177357759">
              <w:marLeft w:val="2700"/>
              <w:marRight w:val="0"/>
              <w:marTop w:val="0"/>
              <w:marBottom w:val="0"/>
              <w:divBdr>
                <w:top w:val="none" w:sz="0" w:space="0" w:color="auto"/>
                <w:left w:val="none" w:sz="0" w:space="0" w:color="auto"/>
                <w:bottom w:val="none" w:sz="0" w:space="0" w:color="auto"/>
                <w:right w:val="none" w:sz="0" w:space="0" w:color="auto"/>
              </w:divBdr>
              <w:divsChild>
                <w:div w:id="77097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105191">
      <w:bodyDiv w:val="1"/>
      <w:marLeft w:val="0"/>
      <w:marRight w:val="0"/>
      <w:marTop w:val="0"/>
      <w:marBottom w:val="0"/>
      <w:divBdr>
        <w:top w:val="none" w:sz="0" w:space="0" w:color="auto"/>
        <w:left w:val="none" w:sz="0" w:space="0" w:color="auto"/>
        <w:bottom w:val="none" w:sz="0" w:space="0" w:color="auto"/>
        <w:right w:val="none" w:sz="0" w:space="0" w:color="auto"/>
      </w:divBdr>
      <w:divsChild>
        <w:div w:id="172889694">
          <w:marLeft w:val="0"/>
          <w:marRight w:val="0"/>
          <w:marTop w:val="0"/>
          <w:marBottom w:val="0"/>
          <w:divBdr>
            <w:top w:val="none" w:sz="0" w:space="0" w:color="auto"/>
            <w:left w:val="none" w:sz="0" w:space="0" w:color="auto"/>
            <w:bottom w:val="none" w:sz="0" w:space="0" w:color="auto"/>
            <w:right w:val="none" w:sz="0" w:space="0" w:color="auto"/>
          </w:divBdr>
          <w:divsChild>
            <w:div w:id="1092093242">
              <w:marLeft w:val="0"/>
              <w:marRight w:val="0"/>
              <w:marTop w:val="0"/>
              <w:marBottom w:val="0"/>
              <w:divBdr>
                <w:top w:val="none" w:sz="0" w:space="0" w:color="auto"/>
                <w:left w:val="none" w:sz="0" w:space="0" w:color="auto"/>
                <w:bottom w:val="none" w:sz="0" w:space="0" w:color="auto"/>
                <w:right w:val="none" w:sz="0" w:space="0" w:color="auto"/>
              </w:divBdr>
            </w:div>
          </w:divsChild>
        </w:div>
        <w:div w:id="478810961">
          <w:marLeft w:val="0"/>
          <w:marRight w:val="0"/>
          <w:marTop w:val="240"/>
          <w:marBottom w:val="0"/>
          <w:divBdr>
            <w:top w:val="none" w:sz="0" w:space="0" w:color="auto"/>
            <w:left w:val="none" w:sz="0" w:space="0" w:color="auto"/>
            <w:bottom w:val="none" w:sz="0" w:space="0" w:color="auto"/>
            <w:right w:val="none" w:sz="0" w:space="0" w:color="auto"/>
          </w:divBdr>
        </w:div>
        <w:div w:id="1525754889">
          <w:marLeft w:val="0"/>
          <w:marRight w:val="0"/>
          <w:marTop w:val="0"/>
          <w:marBottom w:val="0"/>
          <w:divBdr>
            <w:top w:val="none" w:sz="0" w:space="0" w:color="auto"/>
            <w:left w:val="none" w:sz="0" w:space="0" w:color="auto"/>
            <w:bottom w:val="none" w:sz="0" w:space="0" w:color="auto"/>
            <w:right w:val="none" w:sz="0" w:space="0" w:color="auto"/>
          </w:divBdr>
          <w:divsChild>
            <w:div w:id="95564262">
              <w:marLeft w:val="-225"/>
              <w:marRight w:val="-225"/>
              <w:marTop w:val="0"/>
              <w:marBottom w:val="0"/>
              <w:divBdr>
                <w:top w:val="none" w:sz="0" w:space="0" w:color="auto"/>
                <w:left w:val="none" w:sz="0" w:space="0" w:color="auto"/>
                <w:bottom w:val="none" w:sz="0" w:space="0" w:color="auto"/>
                <w:right w:val="none" w:sz="0" w:space="0" w:color="auto"/>
              </w:divBdr>
              <w:divsChild>
                <w:div w:id="2131900270">
                  <w:marLeft w:val="0"/>
                  <w:marRight w:val="0"/>
                  <w:marTop w:val="0"/>
                  <w:marBottom w:val="0"/>
                  <w:divBdr>
                    <w:top w:val="none" w:sz="0" w:space="0" w:color="auto"/>
                    <w:left w:val="none" w:sz="0" w:space="0" w:color="auto"/>
                    <w:bottom w:val="none" w:sz="0" w:space="0" w:color="auto"/>
                    <w:right w:val="single" w:sz="6" w:space="0" w:color="000000"/>
                  </w:divBdr>
                  <w:divsChild>
                    <w:div w:id="1954170588">
                      <w:marLeft w:val="0"/>
                      <w:marRight w:val="0"/>
                      <w:marTop w:val="0"/>
                      <w:marBottom w:val="0"/>
                      <w:divBdr>
                        <w:top w:val="none" w:sz="0" w:space="0" w:color="auto"/>
                        <w:left w:val="none" w:sz="0" w:space="0" w:color="auto"/>
                        <w:bottom w:val="none" w:sz="0" w:space="0" w:color="auto"/>
                        <w:right w:val="none" w:sz="0" w:space="0" w:color="auto"/>
                      </w:divBdr>
                      <w:divsChild>
                        <w:div w:id="443303710">
                          <w:marLeft w:val="0"/>
                          <w:marRight w:val="0"/>
                          <w:marTop w:val="0"/>
                          <w:marBottom w:val="0"/>
                          <w:divBdr>
                            <w:top w:val="none" w:sz="0" w:space="0" w:color="auto"/>
                            <w:left w:val="none" w:sz="0" w:space="0" w:color="auto"/>
                            <w:bottom w:val="none" w:sz="0" w:space="0" w:color="auto"/>
                            <w:right w:val="none" w:sz="0" w:space="0" w:color="auto"/>
                          </w:divBdr>
                        </w:div>
                        <w:div w:id="1576010071">
                          <w:marLeft w:val="0"/>
                          <w:marRight w:val="0"/>
                          <w:marTop w:val="0"/>
                          <w:marBottom w:val="0"/>
                          <w:divBdr>
                            <w:top w:val="none" w:sz="0" w:space="0" w:color="auto"/>
                            <w:left w:val="none" w:sz="0" w:space="0" w:color="auto"/>
                            <w:bottom w:val="none" w:sz="0" w:space="0" w:color="auto"/>
                            <w:right w:val="none" w:sz="0" w:space="0" w:color="auto"/>
                          </w:divBdr>
                        </w:div>
                        <w:div w:id="2133550102">
                          <w:marLeft w:val="0"/>
                          <w:marRight w:val="0"/>
                          <w:marTop w:val="0"/>
                          <w:marBottom w:val="0"/>
                          <w:divBdr>
                            <w:top w:val="none" w:sz="0" w:space="0" w:color="auto"/>
                            <w:left w:val="none" w:sz="0" w:space="0" w:color="auto"/>
                            <w:bottom w:val="none" w:sz="0" w:space="0" w:color="auto"/>
                            <w:right w:val="none" w:sz="0" w:space="0" w:color="auto"/>
                          </w:divBdr>
                        </w:div>
                        <w:div w:id="1208495200">
                          <w:marLeft w:val="0"/>
                          <w:marRight w:val="0"/>
                          <w:marTop w:val="0"/>
                          <w:marBottom w:val="0"/>
                          <w:divBdr>
                            <w:top w:val="none" w:sz="0" w:space="0" w:color="auto"/>
                            <w:left w:val="none" w:sz="0" w:space="0" w:color="auto"/>
                            <w:bottom w:val="none" w:sz="0" w:space="0" w:color="auto"/>
                            <w:right w:val="none" w:sz="0" w:space="0" w:color="auto"/>
                          </w:divBdr>
                        </w:div>
                        <w:div w:id="4615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64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069898">
      <w:bodyDiv w:val="1"/>
      <w:marLeft w:val="0"/>
      <w:marRight w:val="0"/>
      <w:marTop w:val="0"/>
      <w:marBottom w:val="0"/>
      <w:divBdr>
        <w:top w:val="none" w:sz="0" w:space="0" w:color="auto"/>
        <w:left w:val="none" w:sz="0" w:space="0" w:color="auto"/>
        <w:bottom w:val="none" w:sz="0" w:space="0" w:color="auto"/>
        <w:right w:val="none" w:sz="0" w:space="0" w:color="auto"/>
      </w:divBdr>
    </w:div>
    <w:div w:id="1890146402">
      <w:bodyDiv w:val="1"/>
      <w:marLeft w:val="0"/>
      <w:marRight w:val="0"/>
      <w:marTop w:val="0"/>
      <w:marBottom w:val="0"/>
      <w:divBdr>
        <w:top w:val="none" w:sz="0" w:space="0" w:color="auto"/>
        <w:left w:val="none" w:sz="0" w:space="0" w:color="auto"/>
        <w:bottom w:val="none" w:sz="0" w:space="0" w:color="auto"/>
        <w:right w:val="none" w:sz="0" w:space="0" w:color="auto"/>
      </w:divBdr>
      <w:divsChild>
        <w:div w:id="920529616">
          <w:marLeft w:val="0"/>
          <w:marRight w:val="0"/>
          <w:marTop w:val="0"/>
          <w:marBottom w:val="150"/>
          <w:divBdr>
            <w:top w:val="none" w:sz="0" w:space="0" w:color="auto"/>
            <w:left w:val="none" w:sz="0" w:space="0" w:color="auto"/>
            <w:bottom w:val="none" w:sz="0" w:space="0" w:color="auto"/>
            <w:right w:val="none" w:sz="0" w:space="0" w:color="auto"/>
          </w:divBdr>
        </w:div>
      </w:divsChild>
    </w:div>
    <w:div w:id="1890610890">
      <w:bodyDiv w:val="1"/>
      <w:marLeft w:val="0"/>
      <w:marRight w:val="0"/>
      <w:marTop w:val="0"/>
      <w:marBottom w:val="0"/>
      <w:divBdr>
        <w:top w:val="none" w:sz="0" w:space="0" w:color="auto"/>
        <w:left w:val="none" w:sz="0" w:space="0" w:color="auto"/>
        <w:bottom w:val="none" w:sz="0" w:space="0" w:color="auto"/>
        <w:right w:val="none" w:sz="0" w:space="0" w:color="auto"/>
      </w:divBdr>
      <w:divsChild>
        <w:div w:id="858128914">
          <w:marLeft w:val="0"/>
          <w:marRight w:val="0"/>
          <w:marTop w:val="0"/>
          <w:marBottom w:val="0"/>
          <w:divBdr>
            <w:top w:val="none" w:sz="0" w:space="0" w:color="auto"/>
            <w:left w:val="none" w:sz="0" w:space="0" w:color="auto"/>
            <w:bottom w:val="none" w:sz="0" w:space="0" w:color="auto"/>
            <w:right w:val="none" w:sz="0" w:space="0" w:color="auto"/>
          </w:divBdr>
          <w:divsChild>
            <w:div w:id="1001392337">
              <w:marLeft w:val="0"/>
              <w:marRight w:val="0"/>
              <w:marTop w:val="0"/>
              <w:marBottom w:val="0"/>
              <w:divBdr>
                <w:top w:val="none" w:sz="0" w:space="0" w:color="auto"/>
                <w:left w:val="none" w:sz="0" w:space="0" w:color="auto"/>
                <w:bottom w:val="none" w:sz="0" w:space="0" w:color="auto"/>
                <w:right w:val="none" w:sz="0" w:space="0" w:color="auto"/>
              </w:divBdr>
              <w:divsChild>
                <w:div w:id="1883899929">
                  <w:marLeft w:val="0"/>
                  <w:marRight w:val="0"/>
                  <w:marTop w:val="0"/>
                  <w:marBottom w:val="0"/>
                  <w:divBdr>
                    <w:top w:val="none" w:sz="0" w:space="0" w:color="auto"/>
                    <w:left w:val="none" w:sz="0" w:space="0" w:color="auto"/>
                    <w:bottom w:val="none" w:sz="0" w:space="0" w:color="auto"/>
                    <w:right w:val="none" w:sz="0" w:space="0" w:color="auto"/>
                  </w:divBdr>
                  <w:divsChild>
                    <w:div w:id="403531389">
                      <w:marLeft w:val="0"/>
                      <w:marRight w:val="0"/>
                      <w:marTop w:val="0"/>
                      <w:marBottom w:val="300"/>
                      <w:divBdr>
                        <w:top w:val="none" w:sz="0" w:space="0" w:color="auto"/>
                        <w:left w:val="none" w:sz="0" w:space="0" w:color="auto"/>
                        <w:bottom w:val="none" w:sz="0" w:space="0" w:color="auto"/>
                        <w:right w:val="none" w:sz="0" w:space="0" w:color="auto"/>
                      </w:divBdr>
                      <w:divsChild>
                        <w:div w:id="1706560450">
                          <w:marLeft w:val="0"/>
                          <w:marRight w:val="0"/>
                          <w:marTop w:val="0"/>
                          <w:marBottom w:val="225"/>
                          <w:divBdr>
                            <w:top w:val="single" w:sz="6" w:space="11" w:color="E5E5E5"/>
                            <w:left w:val="single" w:sz="6" w:space="11" w:color="E5E5E5"/>
                            <w:bottom w:val="single" w:sz="6" w:space="1" w:color="E5E5E5"/>
                            <w:right w:val="single" w:sz="6" w:space="11" w:color="E5E5E5"/>
                          </w:divBdr>
                          <w:divsChild>
                            <w:div w:id="1855150642">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542477279">
          <w:marLeft w:val="0"/>
          <w:marRight w:val="0"/>
          <w:marTop w:val="0"/>
          <w:marBottom w:val="0"/>
          <w:divBdr>
            <w:top w:val="single" w:sz="6" w:space="0" w:color="E5E5E5"/>
            <w:left w:val="none" w:sz="0" w:space="0" w:color="auto"/>
            <w:bottom w:val="single" w:sz="18" w:space="0" w:color="000000"/>
            <w:right w:val="none" w:sz="0" w:space="0" w:color="auto"/>
          </w:divBdr>
          <w:divsChild>
            <w:div w:id="690760452">
              <w:marLeft w:val="0"/>
              <w:marRight w:val="0"/>
              <w:marTop w:val="0"/>
              <w:marBottom w:val="0"/>
              <w:divBdr>
                <w:top w:val="none" w:sz="0" w:space="0" w:color="auto"/>
                <w:left w:val="none" w:sz="0" w:space="0" w:color="auto"/>
                <w:bottom w:val="none" w:sz="0" w:space="0" w:color="auto"/>
                <w:right w:val="none" w:sz="0" w:space="0" w:color="auto"/>
              </w:divBdr>
              <w:divsChild>
                <w:div w:id="160546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678855">
      <w:bodyDiv w:val="1"/>
      <w:marLeft w:val="0"/>
      <w:marRight w:val="0"/>
      <w:marTop w:val="0"/>
      <w:marBottom w:val="0"/>
      <w:divBdr>
        <w:top w:val="none" w:sz="0" w:space="0" w:color="auto"/>
        <w:left w:val="none" w:sz="0" w:space="0" w:color="auto"/>
        <w:bottom w:val="none" w:sz="0" w:space="0" w:color="auto"/>
        <w:right w:val="none" w:sz="0" w:space="0" w:color="auto"/>
      </w:divBdr>
      <w:divsChild>
        <w:div w:id="1626039900">
          <w:marLeft w:val="0"/>
          <w:marRight w:val="0"/>
          <w:marTop w:val="0"/>
          <w:marBottom w:val="450"/>
          <w:divBdr>
            <w:top w:val="none" w:sz="0" w:space="0" w:color="auto"/>
            <w:left w:val="none" w:sz="0" w:space="0" w:color="auto"/>
            <w:bottom w:val="single" w:sz="6" w:space="19" w:color="EEEEEE"/>
            <w:right w:val="none" w:sz="0" w:space="0" w:color="auto"/>
          </w:divBdr>
          <w:divsChild>
            <w:div w:id="537937474">
              <w:marLeft w:val="0"/>
              <w:marRight w:val="0"/>
              <w:marTop w:val="0"/>
              <w:marBottom w:val="150"/>
              <w:divBdr>
                <w:top w:val="none" w:sz="0" w:space="0" w:color="auto"/>
                <w:left w:val="none" w:sz="0" w:space="0" w:color="auto"/>
                <w:bottom w:val="none" w:sz="0" w:space="0" w:color="auto"/>
                <w:right w:val="none" w:sz="0" w:space="0" w:color="auto"/>
              </w:divBdr>
              <w:divsChild>
                <w:div w:id="773482300">
                  <w:marLeft w:val="0"/>
                  <w:marRight w:val="0"/>
                  <w:marTop w:val="0"/>
                  <w:marBottom w:val="0"/>
                  <w:divBdr>
                    <w:top w:val="none" w:sz="0" w:space="0" w:color="auto"/>
                    <w:left w:val="none" w:sz="0" w:space="0" w:color="auto"/>
                    <w:bottom w:val="none" w:sz="0" w:space="0" w:color="auto"/>
                    <w:right w:val="none" w:sz="0" w:space="0" w:color="auto"/>
                  </w:divBdr>
                </w:div>
              </w:divsChild>
            </w:div>
            <w:div w:id="1871795615">
              <w:marLeft w:val="0"/>
              <w:marRight w:val="0"/>
              <w:marTop w:val="0"/>
              <w:marBottom w:val="0"/>
              <w:divBdr>
                <w:top w:val="none" w:sz="0" w:space="0" w:color="auto"/>
                <w:left w:val="none" w:sz="0" w:space="0" w:color="auto"/>
                <w:bottom w:val="none" w:sz="0" w:space="0" w:color="auto"/>
                <w:right w:val="none" w:sz="0" w:space="0" w:color="auto"/>
              </w:divBdr>
            </w:div>
          </w:divsChild>
        </w:div>
        <w:div w:id="1664309210">
          <w:marLeft w:val="0"/>
          <w:marRight w:val="0"/>
          <w:marTop w:val="0"/>
          <w:marBottom w:val="0"/>
          <w:divBdr>
            <w:top w:val="none" w:sz="0" w:space="0" w:color="auto"/>
            <w:left w:val="none" w:sz="0" w:space="0" w:color="auto"/>
            <w:bottom w:val="none" w:sz="0" w:space="0" w:color="auto"/>
            <w:right w:val="none" w:sz="0" w:space="0" w:color="auto"/>
          </w:divBdr>
          <w:divsChild>
            <w:div w:id="456877626">
              <w:marLeft w:val="0"/>
              <w:marRight w:val="0"/>
              <w:marTop w:val="0"/>
              <w:marBottom w:val="0"/>
              <w:divBdr>
                <w:top w:val="none" w:sz="0" w:space="0" w:color="auto"/>
                <w:left w:val="none" w:sz="0" w:space="0" w:color="auto"/>
                <w:bottom w:val="none" w:sz="0" w:space="0" w:color="auto"/>
                <w:right w:val="none" w:sz="0" w:space="0" w:color="auto"/>
              </w:divBdr>
              <w:divsChild>
                <w:div w:id="55805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720773">
      <w:bodyDiv w:val="1"/>
      <w:marLeft w:val="0"/>
      <w:marRight w:val="0"/>
      <w:marTop w:val="0"/>
      <w:marBottom w:val="0"/>
      <w:divBdr>
        <w:top w:val="none" w:sz="0" w:space="0" w:color="auto"/>
        <w:left w:val="none" w:sz="0" w:space="0" w:color="auto"/>
        <w:bottom w:val="none" w:sz="0" w:space="0" w:color="auto"/>
        <w:right w:val="none" w:sz="0" w:space="0" w:color="auto"/>
      </w:divBdr>
    </w:div>
    <w:div w:id="1890915183">
      <w:bodyDiv w:val="1"/>
      <w:marLeft w:val="0"/>
      <w:marRight w:val="0"/>
      <w:marTop w:val="0"/>
      <w:marBottom w:val="0"/>
      <w:divBdr>
        <w:top w:val="none" w:sz="0" w:space="0" w:color="auto"/>
        <w:left w:val="none" w:sz="0" w:space="0" w:color="auto"/>
        <w:bottom w:val="none" w:sz="0" w:space="0" w:color="auto"/>
        <w:right w:val="none" w:sz="0" w:space="0" w:color="auto"/>
      </w:divBdr>
    </w:div>
    <w:div w:id="1891182820">
      <w:bodyDiv w:val="1"/>
      <w:marLeft w:val="0"/>
      <w:marRight w:val="0"/>
      <w:marTop w:val="0"/>
      <w:marBottom w:val="0"/>
      <w:divBdr>
        <w:top w:val="none" w:sz="0" w:space="0" w:color="auto"/>
        <w:left w:val="none" w:sz="0" w:space="0" w:color="auto"/>
        <w:bottom w:val="none" w:sz="0" w:space="0" w:color="auto"/>
        <w:right w:val="none" w:sz="0" w:space="0" w:color="auto"/>
      </w:divBdr>
      <w:divsChild>
        <w:div w:id="1025054623">
          <w:marLeft w:val="0"/>
          <w:marRight w:val="0"/>
          <w:marTop w:val="0"/>
          <w:marBottom w:val="150"/>
          <w:divBdr>
            <w:top w:val="none" w:sz="0" w:space="0" w:color="auto"/>
            <w:left w:val="none" w:sz="0" w:space="0" w:color="auto"/>
            <w:bottom w:val="none" w:sz="0" w:space="0" w:color="auto"/>
            <w:right w:val="none" w:sz="0" w:space="0" w:color="auto"/>
          </w:divBdr>
          <w:divsChild>
            <w:div w:id="704793737">
              <w:marLeft w:val="0"/>
              <w:marRight w:val="0"/>
              <w:marTop w:val="0"/>
              <w:marBottom w:val="0"/>
              <w:divBdr>
                <w:top w:val="none" w:sz="0" w:space="0" w:color="auto"/>
                <w:left w:val="none" w:sz="0" w:space="0" w:color="auto"/>
                <w:bottom w:val="none" w:sz="0" w:space="0" w:color="auto"/>
                <w:right w:val="none" w:sz="0" w:space="0" w:color="auto"/>
              </w:divBdr>
              <w:divsChild>
                <w:div w:id="1324893443">
                  <w:marLeft w:val="0"/>
                  <w:marRight w:val="0"/>
                  <w:marTop w:val="0"/>
                  <w:marBottom w:val="0"/>
                  <w:divBdr>
                    <w:top w:val="none" w:sz="0" w:space="0" w:color="auto"/>
                    <w:left w:val="none" w:sz="0" w:space="0" w:color="auto"/>
                    <w:bottom w:val="none" w:sz="0" w:space="0" w:color="auto"/>
                    <w:right w:val="none" w:sz="0" w:space="0" w:color="auto"/>
                  </w:divBdr>
                  <w:divsChild>
                    <w:div w:id="486098464">
                      <w:marLeft w:val="0"/>
                      <w:marRight w:val="150"/>
                      <w:marTop w:val="0"/>
                      <w:marBottom w:val="0"/>
                      <w:divBdr>
                        <w:top w:val="none" w:sz="0" w:space="0" w:color="auto"/>
                        <w:left w:val="none" w:sz="0" w:space="0" w:color="auto"/>
                        <w:bottom w:val="none" w:sz="0" w:space="0" w:color="auto"/>
                        <w:right w:val="none" w:sz="0" w:space="0" w:color="auto"/>
                      </w:divBdr>
                      <w:divsChild>
                        <w:div w:id="3712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871479">
          <w:marLeft w:val="0"/>
          <w:marRight w:val="0"/>
          <w:marTop w:val="0"/>
          <w:marBottom w:val="150"/>
          <w:divBdr>
            <w:top w:val="none" w:sz="0" w:space="0" w:color="auto"/>
            <w:left w:val="none" w:sz="0" w:space="0" w:color="auto"/>
            <w:bottom w:val="none" w:sz="0" w:space="0" w:color="auto"/>
            <w:right w:val="none" w:sz="0" w:space="0" w:color="auto"/>
          </w:divBdr>
        </w:div>
        <w:div w:id="165177277">
          <w:marLeft w:val="0"/>
          <w:marRight w:val="0"/>
          <w:marTop w:val="0"/>
          <w:marBottom w:val="0"/>
          <w:divBdr>
            <w:top w:val="none" w:sz="0" w:space="0" w:color="auto"/>
            <w:left w:val="none" w:sz="0" w:space="0" w:color="auto"/>
            <w:bottom w:val="none" w:sz="0" w:space="0" w:color="auto"/>
            <w:right w:val="none" w:sz="0" w:space="0" w:color="auto"/>
          </w:divBdr>
          <w:divsChild>
            <w:div w:id="19289222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91186417">
      <w:bodyDiv w:val="1"/>
      <w:marLeft w:val="0"/>
      <w:marRight w:val="0"/>
      <w:marTop w:val="0"/>
      <w:marBottom w:val="0"/>
      <w:divBdr>
        <w:top w:val="none" w:sz="0" w:space="0" w:color="auto"/>
        <w:left w:val="none" w:sz="0" w:space="0" w:color="auto"/>
        <w:bottom w:val="none" w:sz="0" w:space="0" w:color="auto"/>
        <w:right w:val="none" w:sz="0" w:space="0" w:color="auto"/>
      </w:divBdr>
    </w:div>
    <w:div w:id="1891378240">
      <w:bodyDiv w:val="1"/>
      <w:marLeft w:val="0"/>
      <w:marRight w:val="0"/>
      <w:marTop w:val="0"/>
      <w:marBottom w:val="0"/>
      <w:divBdr>
        <w:top w:val="none" w:sz="0" w:space="0" w:color="auto"/>
        <w:left w:val="none" w:sz="0" w:space="0" w:color="auto"/>
        <w:bottom w:val="none" w:sz="0" w:space="0" w:color="auto"/>
        <w:right w:val="none" w:sz="0" w:space="0" w:color="auto"/>
      </w:divBdr>
    </w:div>
    <w:div w:id="1891454643">
      <w:bodyDiv w:val="1"/>
      <w:marLeft w:val="0"/>
      <w:marRight w:val="0"/>
      <w:marTop w:val="0"/>
      <w:marBottom w:val="0"/>
      <w:divBdr>
        <w:top w:val="none" w:sz="0" w:space="0" w:color="auto"/>
        <w:left w:val="none" w:sz="0" w:space="0" w:color="auto"/>
        <w:bottom w:val="none" w:sz="0" w:space="0" w:color="auto"/>
        <w:right w:val="none" w:sz="0" w:space="0" w:color="auto"/>
      </w:divBdr>
      <w:divsChild>
        <w:div w:id="1731423643">
          <w:marLeft w:val="0"/>
          <w:marRight w:val="0"/>
          <w:marTop w:val="0"/>
          <w:marBottom w:val="0"/>
          <w:divBdr>
            <w:top w:val="none" w:sz="0" w:space="0" w:color="auto"/>
            <w:left w:val="none" w:sz="0" w:space="0" w:color="auto"/>
            <w:bottom w:val="none" w:sz="0" w:space="0" w:color="auto"/>
            <w:right w:val="none" w:sz="0" w:space="0" w:color="auto"/>
          </w:divBdr>
          <w:divsChild>
            <w:div w:id="339041880">
              <w:marLeft w:val="0"/>
              <w:marRight w:val="0"/>
              <w:marTop w:val="0"/>
              <w:marBottom w:val="0"/>
              <w:divBdr>
                <w:top w:val="none" w:sz="0" w:space="0" w:color="auto"/>
                <w:left w:val="none" w:sz="0" w:space="0" w:color="auto"/>
                <w:bottom w:val="none" w:sz="0" w:space="0" w:color="auto"/>
                <w:right w:val="none" w:sz="0" w:space="0" w:color="auto"/>
              </w:divBdr>
              <w:divsChild>
                <w:div w:id="2017001709">
                  <w:marLeft w:val="0"/>
                  <w:marRight w:val="0"/>
                  <w:marTop w:val="0"/>
                  <w:marBottom w:val="0"/>
                  <w:divBdr>
                    <w:top w:val="none" w:sz="0" w:space="0" w:color="auto"/>
                    <w:left w:val="none" w:sz="0" w:space="0" w:color="auto"/>
                    <w:bottom w:val="none" w:sz="0" w:space="0" w:color="auto"/>
                    <w:right w:val="none" w:sz="0" w:space="0" w:color="auto"/>
                  </w:divBdr>
                  <w:divsChild>
                    <w:div w:id="1533687368">
                      <w:marLeft w:val="0"/>
                      <w:marRight w:val="0"/>
                      <w:marTop w:val="0"/>
                      <w:marBottom w:val="0"/>
                      <w:divBdr>
                        <w:top w:val="none" w:sz="0" w:space="0" w:color="auto"/>
                        <w:left w:val="none" w:sz="0" w:space="0" w:color="auto"/>
                        <w:bottom w:val="none" w:sz="0" w:space="0" w:color="auto"/>
                        <w:right w:val="none" w:sz="0" w:space="0" w:color="auto"/>
                      </w:divBdr>
                      <w:divsChild>
                        <w:div w:id="701134168">
                          <w:marLeft w:val="0"/>
                          <w:marRight w:val="0"/>
                          <w:marTop w:val="0"/>
                          <w:marBottom w:val="0"/>
                          <w:divBdr>
                            <w:top w:val="none" w:sz="0" w:space="0" w:color="auto"/>
                            <w:left w:val="none" w:sz="0" w:space="0" w:color="auto"/>
                            <w:bottom w:val="none" w:sz="0" w:space="0" w:color="auto"/>
                            <w:right w:val="none" w:sz="0" w:space="0" w:color="auto"/>
                          </w:divBdr>
                          <w:divsChild>
                            <w:div w:id="430930153">
                              <w:marLeft w:val="0"/>
                              <w:marRight w:val="0"/>
                              <w:marTop w:val="0"/>
                              <w:marBottom w:val="0"/>
                              <w:divBdr>
                                <w:top w:val="none" w:sz="0" w:space="0" w:color="auto"/>
                                <w:left w:val="none" w:sz="0" w:space="0" w:color="auto"/>
                                <w:bottom w:val="none" w:sz="0" w:space="0" w:color="auto"/>
                                <w:right w:val="none" w:sz="0" w:space="0" w:color="auto"/>
                              </w:divBdr>
                              <w:divsChild>
                                <w:div w:id="1686980050">
                                  <w:marLeft w:val="0"/>
                                  <w:marRight w:val="0"/>
                                  <w:marTop w:val="0"/>
                                  <w:marBottom w:val="0"/>
                                  <w:divBdr>
                                    <w:top w:val="none" w:sz="0" w:space="0" w:color="auto"/>
                                    <w:left w:val="none" w:sz="0" w:space="0" w:color="auto"/>
                                    <w:bottom w:val="none" w:sz="0" w:space="0" w:color="auto"/>
                                    <w:right w:val="none" w:sz="0" w:space="0" w:color="auto"/>
                                  </w:divBdr>
                                  <w:divsChild>
                                    <w:div w:id="173377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50367">
      <w:bodyDiv w:val="1"/>
      <w:marLeft w:val="0"/>
      <w:marRight w:val="0"/>
      <w:marTop w:val="0"/>
      <w:marBottom w:val="0"/>
      <w:divBdr>
        <w:top w:val="none" w:sz="0" w:space="0" w:color="auto"/>
        <w:left w:val="none" w:sz="0" w:space="0" w:color="auto"/>
        <w:bottom w:val="none" w:sz="0" w:space="0" w:color="auto"/>
        <w:right w:val="none" w:sz="0" w:space="0" w:color="auto"/>
      </w:divBdr>
      <w:divsChild>
        <w:div w:id="1771045250">
          <w:marLeft w:val="0"/>
          <w:marRight w:val="0"/>
          <w:marTop w:val="0"/>
          <w:marBottom w:val="0"/>
          <w:divBdr>
            <w:top w:val="none" w:sz="0" w:space="0" w:color="auto"/>
            <w:left w:val="none" w:sz="0" w:space="0" w:color="auto"/>
            <w:bottom w:val="none" w:sz="0" w:space="0" w:color="auto"/>
            <w:right w:val="none" w:sz="0" w:space="0" w:color="auto"/>
          </w:divBdr>
          <w:divsChild>
            <w:div w:id="1801073123">
              <w:marLeft w:val="0"/>
              <w:marRight w:val="0"/>
              <w:marTop w:val="0"/>
              <w:marBottom w:val="0"/>
              <w:divBdr>
                <w:top w:val="none" w:sz="0" w:space="0" w:color="auto"/>
                <w:left w:val="none" w:sz="0" w:space="0" w:color="auto"/>
                <w:bottom w:val="none" w:sz="0" w:space="0" w:color="auto"/>
                <w:right w:val="none" w:sz="0" w:space="0" w:color="auto"/>
              </w:divBdr>
              <w:divsChild>
                <w:div w:id="656568607">
                  <w:marLeft w:val="0"/>
                  <w:marRight w:val="0"/>
                  <w:marTop w:val="0"/>
                  <w:marBottom w:val="0"/>
                  <w:divBdr>
                    <w:top w:val="none" w:sz="0" w:space="0" w:color="auto"/>
                    <w:left w:val="none" w:sz="0" w:space="0" w:color="auto"/>
                    <w:bottom w:val="none" w:sz="0" w:space="0" w:color="auto"/>
                    <w:right w:val="none" w:sz="0" w:space="0" w:color="auto"/>
                  </w:divBdr>
                  <w:divsChild>
                    <w:div w:id="1115490419">
                      <w:marLeft w:val="0"/>
                      <w:marRight w:val="0"/>
                      <w:marTop w:val="0"/>
                      <w:marBottom w:val="0"/>
                      <w:divBdr>
                        <w:top w:val="none" w:sz="0" w:space="0" w:color="auto"/>
                        <w:left w:val="none" w:sz="0" w:space="0" w:color="auto"/>
                        <w:bottom w:val="none" w:sz="0" w:space="0" w:color="auto"/>
                        <w:right w:val="none" w:sz="0" w:space="0" w:color="auto"/>
                      </w:divBdr>
                      <w:divsChild>
                        <w:div w:id="421612354">
                          <w:marLeft w:val="0"/>
                          <w:marRight w:val="0"/>
                          <w:marTop w:val="0"/>
                          <w:marBottom w:val="0"/>
                          <w:divBdr>
                            <w:top w:val="none" w:sz="0" w:space="0" w:color="auto"/>
                            <w:left w:val="none" w:sz="0" w:space="0" w:color="auto"/>
                            <w:bottom w:val="none" w:sz="0" w:space="0" w:color="auto"/>
                            <w:right w:val="none" w:sz="0" w:space="0" w:color="auto"/>
                          </w:divBdr>
                          <w:divsChild>
                            <w:div w:id="105034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724483">
      <w:bodyDiv w:val="1"/>
      <w:marLeft w:val="0"/>
      <w:marRight w:val="0"/>
      <w:marTop w:val="0"/>
      <w:marBottom w:val="0"/>
      <w:divBdr>
        <w:top w:val="none" w:sz="0" w:space="0" w:color="auto"/>
        <w:left w:val="none" w:sz="0" w:space="0" w:color="auto"/>
        <w:bottom w:val="none" w:sz="0" w:space="0" w:color="auto"/>
        <w:right w:val="none" w:sz="0" w:space="0" w:color="auto"/>
      </w:divBdr>
    </w:div>
    <w:div w:id="1892106171">
      <w:bodyDiv w:val="1"/>
      <w:marLeft w:val="0"/>
      <w:marRight w:val="0"/>
      <w:marTop w:val="0"/>
      <w:marBottom w:val="0"/>
      <w:divBdr>
        <w:top w:val="none" w:sz="0" w:space="0" w:color="auto"/>
        <w:left w:val="none" w:sz="0" w:space="0" w:color="auto"/>
        <w:bottom w:val="none" w:sz="0" w:space="0" w:color="auto"/>
        <w:right w:val="none" w:sz="0" w:space="0" w:color="auto"/>
      </w:divBdr>
      <w:divsChild>
        <w:div w:id="188615644">
          <w:marLeft w:val="0"/>
          <w:marRight w:val="0"/>
          <w:marTop w:val="0"/>
          <w:marBottom w:val="0"/>
          <w:divBdr>
            <w:top w:val="none" w:sz="0" w:space="0" w:color="auto"/>
            <w:left w:val="none" w:sz="0" w:space="0" w:color="auto"/>
            <w:bottom w:val="dotted" w:sz="6" w:space="4" w:color="DDDDDD"/>
            <w:right w:val="none" w:sz="0" w:space="0" w:color="auto"/>
          </w:divBdr>
        </w:div>
      </w:divsChild>
    </w:div>
    <w:div w:id="1892614842">
      <w:bodyDiv w:val="1"/>
      <w:marLeft w:val="0"/>
      <w:marRight w:val="0"/>
      <w:marTop w:val="0"/>
      <w:marBottom w:val="0"/>
      <w:divBdr>
        <w:top w:val="none" w:sz="0" w:space="0" w:color="auto"/>
        <w:left w:val="none" w:sz="0" w:space="0" w:color="auto"/>
        <w:bottom w:val="none" w:sz="0" w:space="0" w:color="auto"/>
        <w:right w:val="none" w:sz="0" w:space="0" w:color="auto"/>
      </w:divBdr>
      <w:divsChild>
        <w:div w:id="1152520550">
          <w:marLeft w:val="0"/>
          <w:marRight w:val="0"/>
          <w:marTop w:val="0"/>
          <w:marBottom w:val="0"/>
          <w:divBdr>
            <w:top w:val="none" w:sz="0" w:space="0" w:color="auto"/>
            <w:left w:val="none" w:sz="0" w:space="0" w:color="auto"/>
            <w:bottom w:val="dotted" w:sz="6" w:space="4" w:color="DDDDDD"/>
            <w:right w:val="none" w:sz="0" w:space="0" w:color="auto"/>
          </w:divBdr>
        </w:div>
      </w:divsChild>
    </w:div>
    <w:div w:id="1892763179">
      <w:bodyDiv w:val="1"/>
      <w:marLeft w:val="0"/>
      <w:marRight w:val="0"/>
      <w:marTop w:val="0"/>
      <w:marBottom w:val="0"/>
      <w:divBdr>
        <w:top w:val="none" w:sz="0" w:space="0" w:color="auto"/>
        <w:left w:val="none" w:sz="0" w:space="0" w:color="auto"/>
        <w:bottom w:val="none" w:sz="0" w:space="0" w:color="auto"/>
        <w:right w:val="none" w:sz="0" w:space="0" w:color="auto"/>
      </w:divBdr>
      <w:divsChild>
        <w:div w:id="216934638">
          <w:marLeft w:val="0"/>
          <w:marRight w:val="0"/>
          <w:marTop w:val="0"/>
          <w:marBottom w:val="150"/>
          <w:divBdr>
            <w:top w:val="none" w:sz="0" w:space="0" w:color="auto"/>
            <w:left w:val="none" w:sz="0" w:space="0" w:color="auto"/>
            <w:bottom w:val="none" w:sz="0" w:space="0" w:color="auto"/>
            <w:right w:val="none" w:sz="0" w:space="0" w:color="auto"/>
          </w:divBdr>
        </w:div>
        <w:div w:id="401875991">
          <w:marLeft w:val="0"/>
          <w:marRight w:val="0"/>
          <w:marTop w:val="0"/>
          <w:marBottom w:val="150"/>
          <w:divBdr>
            <w:top w:val="none" w:sz="0" w:space="0" w:color="auto"/>
            <w:left w:val="none" w:sz="0" w:space="0" w:color="auto"/>
            <w:bottom w:val="none" w:sz="0" w:space="0" w:color="auto"/>
            <w:right w:val="none" w:sz="0" w:space="0" w:color="auto"/>
          </w:divBdr>
          <w:divsChild>
            <w:div w:id="1494684220">
              <w:marLeft w:val="0"/>
              <w:marRight w:val="0"/>
              <w:marTop w:val="0"/>
              <w:marBottom w:val="0"/>
              <w:divBdr>
                <w:top w:val="none" w:sz="0" w:space="0" w:color="auto"/>
                <w:left w:val="none" w:sz="0" w:space="0" w:color="auto"/>
                <w:bottom w:val="none" w:sz="0" w:space="0" w:color="auto"/>
                <w:right w:val="none" w:sz="0" w:space="0" w:color="auto"/>
              </w:divBdr>
            </w:div>
          </w:divsChild>
        </w:div>
        <w:div w:id="1621033794">
          <w:marLeft w:val="0"/>
          <w:marRight w:val="0"/>
          <w:marTop w:val="0"/>
          <w:marBottom w:val="0"/>
          <w:divBdr>
            <w:top w:val="none" w:sz="0" w:space="0" w:color="auto"/>
            <w:left w:val="none" w:sz="0" w:space="0" w:color="auto"/>
            <w:bottom w:val="none" w:sz="0" w:space="0" w:color="auto"/>
            <w:right w:val="none" w:sz="0" w:space="0" w:color="auto"/>
          </w:divBdr>
          <w:divsChild>
            <w:div w:id="9311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767271">
      <w:bodyDiv w:val="1"/>
      <w:marLeft w:val="0"/>
      <w:marRight w:val="0"/>
      <w:marTop w:val="0"/>
      <w:marBottom w:val="0"/>
      <w:divBdr>
        <w:top w:val="none" w:sz="0" w:space="0" w:color="auto"/>
        <w:left w:val="none" w:sz="0" w:space="0" w:color="auto"/>
        <w:bottom w:val="none" w:sz="0" w:space="0" w:color="auto"/>
        <w:right w:val="none" w:sz="0" w:space="0" w:color="auto"/>
      </w:divBdr>
      <w:divsChild>
        <w:div w:id="113912891">
          <w:marLeft w:val="0"/>
          <w:marRight w:val="0"/>
          <w:marTop w:val="0"/>
          <w:marBottom w:val="0"/>
          <w:divBdr>
            <w:top w:val="none" w:sz="0" w:space="0" w:color="auto"/>
            <w:left w:val="none" w:sz="0" w:space="0" w:color="auto"/>
            <w:bottom w:val="none" w:sz="0" w:space="0" w:color="auto"/>
            <w:right w:val="none" w:sz="0" w:space="0" w:color="auto"/>
          </w:divBdr>
          <w:divsChild>
            <w:div w:id="8631781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93105471">
      <w:bodyDiv w:val="1"/>
      <w:marLeft w:val="0"/>
      <w:marRight w:val="0"/>
      <w:marTop w:val="0"/>
      <w:marBottom w:val="0"/>
      <w:divBdr>
        <w:top w:val="none" w:sz="0" w:space="0" w:color="auto"/>
        <w:left w:val="none" w:sz="0" w:space="0" w:color="auto"/>
        <w:bottom w:val="none" w:sz="0" w:space="0" w:color="auto"/>
        <w:right w:val="none" w:sz="0" w:space="0" w:color="auto"/>
      </w:divBdr>
      <w:divsChild>
        <w:div w:id="1597056185">
          <w:marLeft w:val="0"/>
          <w:marRight w:val="0"/>
          <w:marTop w:val="0"/>
          <w:marBottom w:val="150"/>
          <w:divBdr>
            <w:top w:val="none" w:sz="0" w:space="0" w:color="auto"/>
            <w:left w:val="none" w:sz="0" w:space="0" w:color="auto"/>
            <w:bottom w:val="none" w:sz="0" w:space="0" w:color="auto"/>
            <w:right w:val="none" w:sz="0" w:space="0" w:color="auto"/>
          </w:divBdr>
        </w:div>
      </w:divsChild>
    </w:div>
    <w:div w:id="1893496823">
      <w:bodyDiv w:val="1"/>
      <w:marLeft w:val="0"/>
      <w:marRight w:val="0"/>
      <w:marTop w:val="0"/>
      <w:marBottom w:val="0"/>
      <w:divBdr>
        <w:top w:val="none" w:sz="0" w:space="0" w:color="auto"/>
        <w:left w:val="none" w:sz="0" w:space="0" w:color="auto"/>
        <w:bottom w:val="none" w:sz="0" w:space="0" w:color="auto"/>
        <w:right w:val="none" w:sz="0" w:space="0" w:color="auto"/>
      </w:divBdr>
      <w:divsChild>
        <w:div w:id="464397200">
          <w:marLeft w:val="0"/>
          <w:marRight w:val="0"/>
          <w:marTop w:val="0"/>
          <w:marBottom w:val="0"/>
          <w:divBdr>
            <w:top w:val="none" w:sz="0" w:space="0" w:color="auto"/>
            <w:left w:val="none" w:sz="0" w:space="0" w:color="auto"/>
            <w:bottom w:val="none" w:sz="0" w:space="0" w:color="auto"/>
            <w:right w:val="none" w:sz="0" w:space="0" w:color="auto"/>
          </w:divBdr>
          <w:divsChild>
            <w:div w:id="180296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685702">
      <w:bodyDiv w:val="1"/>
      <w:marLeft w:val="0"/>
      <w:marRight w:val="0"/>
      <w:marTop w:val="0"/>
      <w:marBottom w:val="0"/>
      <w:divBdr>
        <w:top w:val="none" w:sz="0" w:space="0" w:color="auto"/>
        <w:left w:val="none" w:sz="0" w:space="0" w:color="auto"/>
        <w:bottom w:val="none" w:sz="0" w:space="0" w:color="auto"/>
        <w:right w:val="none" w:sz="0" w:space="0" w:color="auto"/>
      </w:divBdr>
      <w:divsChild>
        <w:div w:id="657349351">
          <w:marLeft w:val="0"/>
          <w:marRight w:val="0"/>
          <w:marTop w:val="0"/>
          <w:marBottom w:val="0"/>
          <w:divBdr>
            <w:top w:val="none" w:sz="0" w:space="0" w:color="auto"/>
            <w:left w:val="none" w:sz="0" w:space="0" w:color="auto"/>
            <w:bottom w:val="none" w:sz="0" w:space="0" w:color="auto"/>
            <w:right w:val="none" w:sz="0" w:space="0" w:color="auto"/>
          </w:divBdr>
          <w:divsChild>
            <w:div w:id="1347560632">
              <w:marLeft w:val="0"/>
              <w:marRight w:val="0"/>
              <w:marTop w:val="0"/>
              <w:marBottom w:val="0"/>
              <w:divBdr>
                <w:top w:val="none" w:sz="0" w:space="0" w:color="auto"/>
                <w:left w:val="none" w:sz="0" w:space="0" w:color="auto"/>
                <w:bottom w:val="none" w:sz="0" w:space="0" w:color="auto"/>
                <w:right w:val="none" w:sz="0" w:space="0" w:color="auto"/>
              </w:divBdr>
              <w:divsChild>
                <w:div w:id="558170621">
                  <w:marLeft w:val="0"/>
                  <w:marRight w:val="0"/>
                  <w:marTop w:val="0"/>
                  <w:marBottom w:val="0"/>
                  <w:divBdr>
                    <w:top w:val="none" w:sz="0" w:space="0" w:color="auto"/>
                    <w:left w:val="none" w:sz="0" w:space="0" w:color="auto"/>
                    <w:bottom w:val="none" w:sz="0" w:space="0" w:color="auto"/>
                    <w:right w:val="none" w:sz="0" w:space="0" w:color="auto"/>
                  </w:divBdr>
                  <w:divsChild>
                    <w:div w:id="1802308740">
                      <w:marLeft w:val="0"/>
                      <w:marRight w:val="0"/>
                      <w:marTop w:val="0"/>
                      <w:marBottom w:val="0"/>
                      <w:divBdr>
                        <w:top w:val="none" w:sz="0" w:space="0" w:color="auto"/>
                        <w:left w:val="none" w:sz="0" w:space="0" w:color="auto"/>
                        <w:bottom w:val="none" w:sz="0" w:space="0" w:color="auto"/>
                        <w:right w:val="none" w:sz="0" w:space="0" w:color="auto"/>
                      </w:divBdr>
                      <w:divsChild>
                        <w:div w:id="1318997310">
                          <w:marLeft w:val="0"/>
                          <w:marRight w:val="0"/>
                          <w:marTop w:val="0"/>
                          <w:marBottom w:val="0"/>
                          <w:divBdr>
                            <w:top w:val="none" w:sz="0" w:space="0" w:color="auto"/>
                            <w:left w:val="none" w:sz="0" w:space="0" w:color="auto"/>
                            <w:bottom w:val="none" w:sz="0" w:space="0" w:color="auto"/>
                            <w:right w:val="none" w:sz="0" w:space="0" w:color="auto"/>
                          </w:divBdr>
                          <w:divsChild>
                            <w:div w:id="605891175">
                              <w:marLeft w:val="0"/>
                              <w:marRight w:val="0"/>
                              <w:marTop w:val="0"/>
                              <w:marBottom w:val="0"/>
                              <w:divBdr>
                                <w:top w:val="none" w:sz="0" w:space="0" w:color="auto"/>
                                <w:left w:val="none" w:sz="0" w:space="0" w:color="auto"/>
                                <w:bottom w:val="none" w:sz="0" w:space="0" w:color="auto"/>
                                <w:right w:val="none" w:sz="0" w:space="0" w:color="auto"/>
                              </w:divBdr>
                              <w:divsChild>
                                <w:div w:id="964121250">
                                  <w:marLeft w:val="0"/>
                                  <w:marRight w:val="0"/>
                                  <w:marTop w:val="0"/>
                                  <w:marBottom w:val="0"/>
                                  <w:divBdr>
                                    <w:top w:val="none" w:sz="0" w:space="0" w:color="auto"/>
                                    <w:left w:val="none" w:sz="0" w:space="0" w:color="auto"/>
                                    <w:bottom w:val="none" w:sz="0" w:space="0" w:color="auto"/>
                                    <w:right w:val="none" w:sz="0" w:space="0" w:color="auto"/>
                                  </w:divBdr>
                                  <w:divsChild>
                                    <w:div w:id="1372876996">
                                      <w:marLeft w:val="0"/>
                                      <w:marRight w:val="0"/>
                                      <w:marTop w:val="0"/>
                                      <w:marBottom w:val="0"/>
                                      <w:divBdr>
                                        <w:top w:val="none" w:sz="0" w:space="0" w:color="auto"/>
                                        <w:left w:val="none" w:sz="0" w:space="0" w:color="auto"/>
                                        <w:bottom w:val="none" w:sz="0" w:space="0" w:color="auto"/>
                                        <w:right w:val="none" w:sz="0" w:space="0" w:color="auto"/>
                                      </w:divBdr>
                                      <w:divsChild>
                                        <w:div w:id="93986043">
                                          <w:marLeft w:val="0"/>
                                          <w:marRight w:val="0"/>
                                          <w:marTop w:val="0"/>
                                          <w:marBottom w:val="0"/>
                                          <w:divBdr>
                                            <w:top w:val="none" w:sz="0" w:space="0" w:color="auto"/>
                                            <w:left w:val="none" w:sz="0" w:space="0" w:color="auto"/>
                                            <w:bottom w:val="none" w:sz="0" w:space="0" w:color="auto"/>
                                            <w:right w:val="none" w:sz="0" w:space="0" w:color="auto"/>
                                          </w:divBdr>
                                          <w:divsChild>
                                            <w:div w:id="81699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3730810">
      <w:bodyDiv w:val="1"/>
      <w:marLeft w:val="0"/>
      <w:marRight w:val="0"/>
      <w:marTop w:val="0"/>
      <w:marBottom w:val="0"/>
      <w:divBdr>
        <w:top w:val="none" w:sz="0" w:space="0" w:color="auto"/>
        <w:left w:val="none" w:sz="0" w:space="0" w:color="auto"/>
        <w:bottom w:val="none" w:sz="0" w:space="0" w:color="auto"/>
        <w:right w:val="none" w:sz="0" w:space="0" w:color="auto"/>
      </w:divBdr>
      <w:divsChild>
        <w:div w:id="738989234">
          <w:marLeft w:val="0"/>
          <w:marRight w:val="0"/>
          <w:marTop w:val="0"/>
          <w:marBottom w:val="0"/>
          <w:divBdr>
            <w:top w:val="none" w:sz="0" w:space="0" w:color="auto"/>
            <w:left w:val="none" w:sz="0" w:space="0" w:color="auto"/>
            <w:bottom w:val="none" w:sz="0" w:space="0" w:color="auto"/>
            <w:right w:val="none" w:sz="0" w:space="0" w:color="auto"/>
          </w:divBdr>
        </w:div>
      </w:divsChild>
    </w:div>
    <w:div w:id="1894077931">
      <w:bodyDiv w:val="1"/>
      <w:marLeft w:val="0"/>
      <w:marRight w:val="0"/>
      <w:marTop w:val="0"/>
      <w:marBottom w:val="0"/>
      <w:divBdr>
        <w:top w:val="none" w:sz="0" w:space="0" w:color="auto"/>
        <w:left w:val="none" w:sz="0" w:space="0" w:color="auto"/>
        <w:bottom w:val="none" w:sz="0" w:space="0" w:color="auto"/>
        <w:right w:val="none" w:sz="0" w:space="0" w:color="auto"/>
      </w:divBdr>
    </w:div>
    <w:div w:id="1894344661">
      <w:bodyDiv w:val="1"/>
      <w:marLeft w:val="0"/>
      <w:marRight w:val="0"/>
      <w:marTop w:val="0"/>
      <w:marBottom w:val="0"/>
      <w:divBdr>
        <w:top w:val="none" w:sz="0" w:space="0" w:color="auto"/>
        <w:left w:val="none" w:sz="0" w:space="0" w:color="auto"/>
        <w:bottom w:val="none" w:sz="0" w:space="0" w:color="auto"/>
        <w:right w:val="none" w:sz="0" w:space="0" w:color="auto"/>
      </w:divBdr>
      <w:divsChild>
        <w:div w:id="2140340454">
          <w:marLeft w:val="0"/>
          <w:marRight w:val="0"/>
          <w:marTop w:val="0"/>
          <w:marBottom w:val="0"/>
          <w:divBdr>
            <w:top w:val="none" w:sz="0" w:space="0" w:color="auto"/>
            <w:left w:val="none" w:sz="0" w:space="0" w:color="auto"/>
            <w:bottom w:val="none" w:sz="0" w:space="0" w:color="auto"/>
            <w:right w:val="none" w:sz="0" w:space="0" w:color="auto"/>
          </w:divBdr>
        </w:div>
      </w:divsChild>
    </w:div>
    <w:div w:id="1894537334">
      <w:bodyDiv w:val="1"/>
      <w:marLeft w:val="0"/>
      <w:marRight w:val="0"/>
      <w:marTop w:val="0"/>
      <w:marBottom w:val="0"/>
      <w:divBdr>
        <w:top w:val="none" w:sz="0" w:space="0" w:color="auto"/>
        <w:left w:val="none" w:sz="0" w:space="0" w:color="auto"/>
        <w:bottom w:val="none" w:sz="0" w:space="0" w:color="auto"/>
        <w:right w:val="none" w:sz="0" w:space="0" w:color="auto"/>
      </w:divBdr>
      <w:divsChild>
        <w:div w:id="1330862841">
          <w:marLeft w:val="0"/>
          <w:marRight w:val="0"/>
          <w:marTop w:val="0"/>
          <w:marBottom w:val="150"/>
          <w:divBdr>
            <w:top w:val="none" w:sz="0" w:space="0" w:color="auto"/>
            <w:left w:val="none" w:sz="0" w:space="0" w:color="auto"/>
            <w:bottom w:val="none" w:sz="0" w:space="0" w:color="auto"/>
            <w:right w:val="none" w:sz="0" w:space="0" w:color="auto"/>
          </w:divBdr>
          <w:divsChild>
            <w:div w:id="187259705">
              <w:marLeft w:val="0"/>
              <w:marRight w:val="0"/>
              <w:marTop w:val="0"/>
              <w:marBottom w:val="0"/>
              <w:divBdr>
                <w:top w:val="none" w:sz="0" w:space="0" w:color="auto"/>
                <w:left w:val="none" w:sz="0" w:space="0" w:color="auto"/>
                <w:bottom w:val="none" w:sz="0" w:space="0" w:color="auto"/>
                <w:right w:val="none" w:sz="0" w:space="0" w:color="auto"/>
              </w:divBdr>
              <w:divsChild>
                <w:div w:id="59185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621468">
          <w:marLeft w:val="0"/>
          <w:marRight w:val="0"/>
          <w:marTop w:val="0"/>
          <w:marBottom w:val="150"/>
          <w:divBdr>
            <w:top w:val="none" w:sz="0" w:space="0" w:color="auto"/>
            <w:left w:val="none" w:sz="0" w:space="0" w:color="auto"/>
            <w:bottom w:val="none" w:sz="0" w:space="0" w:color="auto"/>
            <w:right w:val="none" w:sz="0" w:space="0" w:color="auto"/>
          </w:divBdr>
        </w:div>
        <w:div w:id="1998533769">
          <w:marLeft w:val="0"/>
          <w:marRight w:val="0"/>
          <w:marTop w:val="0"/>
          <w:marBottom w:val="0"/>
          <w:divBdr>
            <w:top w:val="none" w:sz="0" w:space="0" w:color="auto"/>
            <w:left w:val="none" w:sz="0" w:space="0" w:color="auto"/>
            <w:bottom w:val="none" w:sz="0" w:space="0" w:color="auto"/>
            <w:right w:val="none" w:sz="0" w:space="0" w:color="auto"/>
          </w:divBdr>
          <w:divsChild>
            <w:div w:id="10474152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94853666">
      <w:bodyDiv w:val="1"/>
      <w:marLeft w:val="0"/>
      <w:marRight w:val="0"/>
      <w:marTop w:val="0"/>
      <w:marBottom w:val="0"/>
      <w:divBdr>
        <w:top w:val="none" w:sz="0" w:space="0" w:color="auto"/>
        <w:left w:val="none" w:sz="0" w:space="0" w:color="auto"/>
        <w:bottom w:val="none" w:sz="0" w:space="0" w:color="auto"/>
        <w:right w:val="none" w:sz="0" w:space="0" w:color="auto"/>
      </w:divBdr>
      <w:divsChild>
        <w:div w:id="1764033142">
          <w:marLeft w:val="0"/>
          <w:marRight w:val="0"/>
          <w:marTop w:val="0"/>
          <w:marBottom w:val="0"/>
          <w:divBdr>
            <w:top w:val="none" w:sz="0" w:space="0" w:color="auto"/>
            <w:left w:val="none" w:sz="0" w:space="0" w:color="auto"/>
            <w:bottom w:val="none" w:sz="0" w:space="0" w:color="auto"/>
            <w:right w:val="none" w:sz="0" w:space="0" w:color="auto"/>
          </w:divBdr>
          <w:divsChild>
            <w:div w:id="7290449">
              <w:marLeft w:val="0"/>
              <w:marRight w:val="0"/>
              <w:marTop w:val="0"/>
              <w:marBottom w:val="0"/>
              <w:divBdr>
                <w:top w:val="none" w:sz="0" w:space="0" w:color="auto"/>
                <w:left w:val="none" w:sz="0" w:space="0" w:color="auto"/>
                <w:bottom w:val="none" w:sz="0" w:space="0" w:color="auto"/>
                <w:right w:val="none" w:sz="0" w:space="0" w:color="auto"/>
              </w:divBdr>
            </w:div>
            <w:div w:id="170949249">
              <w:marLeft w:val="0"/>
              <w:marRight w:val="0"/>
              <w:marTop w:val="0"/>
              <w:marBottom w:val="0"/>
              <w:divBdr>
                <w:top w:val="none" w:sz="0" w:space="0" w:color="auto"/>
                <w:left w:val="none" w:sz="0" w:space="0" w:color="auto"/>
                <w:bottom w:val="none" w:sz="0" w:space="0" w:color="auto"/>
                <w:right w:val="none" w:sz="0" w:space="0" w:color="auto"/>
              </w:divBdr>
            </w:div>
            <w:div w:id="332033298">
              <w:marLeft w:val="0"/>
              <w:marRight w:val="0"/>
              <w:marTop w:val="0"/>
              <w:marBottom w:val="0"/>
              <w:divBdr>
                <w:top w:val="none" w:sz="0" w:space="0" w:color="auto"/>
                <w:left w:val="none" w:sz="0" w:space="0" w:color="auto"/>
                <w:bottom w:val="none" w:sz="0" w:space="0" w:color="auto"/>
                <w:right w:val="none" w:sz="0" w:space="0" w:color="auto"/>
              </w:divBdr>
            </w:div>
            <w:div w:id="566839087">
              <w:marLeft w:val="0"/>
              <w:marRight w:val="0"/>
              <w:marTop w:val="0"/>
              <w:marBottom w:val="0"/>
              <w:divBdr>
                <w:top w:val="none" w:sz="0" w:space="0" w:color="auto"/>
                <w:left w:val="none" w:sz="0" w:space="0" w:color="auto"/>
                <w:bottom w:val="none" w:sz="0" w:space="0" w:color="auto"/>
                <w:right w:val="none" w:sz="0" w:space="0" w:color="auto"/>
              </w:divBdr>
            </w:div>
            <w:div w:id="590509747">
              <w:marLeft w:val="0"/>
              <w:marRight w:val="0"/>
              <w:marTop w:val="0"/>
              <w:marBottom w:val="0"/>
              <w:divBdr>
                <w:top w:val="none" w:sz="0" w:space="0" w:color="auto"/>
                <w:left w:val="none" w:sz="0" w:space="0" w:color="auto"/>
                <w:bottom w:val="none" w:sz="0" w:space="0" w:color="auto"/>
                <w:right w:val="none" w:sz="0" w:space="0" w:color="auto"/>
              </w:divBdr>
            </w:div>
            <w:div w:id="902062935">
              <w:marLeft w:val="0"/>
              <w:marRight w:val="0"/>
              <w:marTop w:val="0"/>
              <w:marBottom w:val="0"/>
              <w:divBdr>
                <w:top w:val="none" w:sz="0" w:space="0" w:color="auto"/>
                <w:left w:val="none" w:sz="0" w:space="0" w:color="auto"/>
                <w:bottom w:val="none" w:sz="0" w:space="0" w:color="auto"/>
                <w:right w:val="none" w:sz="0" w:space="0" w:color="auto"/>
              </w:divBdr>
            </w:div>
            <w:div w:id="926881912">
              <w:marLeft w:val="0"/>
              <w:marRight w:val="0"/>
              <w:marTop w:val="0"/>
              <w:marBottom w:val="0"/>
              <w:divBdr>
                <w:top w:val="none" w:sz="0" w:space="0" w:color="auto"/>
                <w:left w:val="none" w:sz="0" w:space="0" w:color="auto"/>
                <w:bottom w:val="none" w:sz="0" w:space="0" w:color="auto"/>
                <w:right w:val="none" w:sz="0" w:space="0" w:color="auto"/>
              </w:divBdr>
            </w:div>
            <w:div w:id="961106790">
              <w:marLeft w:val="0"/>
              <w:marRight w:val="0"/>
              <w:marTop w:val="0"/>
              <w:marBottom w:val="0"/>
              <w:divBdr>
                <w:top w:val="none" w:sz="0" w:space="0" w:color="auto"/>
                <w:left w:val="none" w:sz="0" w:space="0" w:color="auto"/>
                <w:bottom w:val="none" w:sz="0" w:space="0" w:color="auto"/>
                <w:right w:val="none" w:sz="0" w:space="0" w:color="auto"/>
              </w:divBdr>
            </w:div>
            <w:div w:id="1267423251">
              <w:marLeft w:val="0"/>
              <w:marRight w:val="0"/>
              <w:marTop w:val="0"/>
              <w:marBottom w:val="0"/>
              <w:divBdr>
                <w:top w:val="none" w:sz="0" w:space="0" w:color="auto"/>
                <w:left w:val="none" w:sz="0" w:space="0" w:color="auto"/>
                <w:bottom w:val="none" w:sz="0" w:space="0" w:color="auto"/>
                <w:right w:val="none" w:sz="0" w:space="0" w:color="auto"/>
              </w:divBdr>
            </w:div>
            <w:div w:id="1364986369">
              <w:marLeft w:val="0"/>
              <w:marRight w:val="0"/>
              <w:marTop w:val="0"/>
              <w:marBottom w:val="0"/>
              <w:divBdr>
                <w:top w:val="none" w:sz="0" w:space="0" w:color="auto"/>
                <w:left w:val="none" w:sz="0" w:space="0" w:color="auto"/>
                <w:bottom w:val="none" w:sz="0" w:space="0" w:color="auto"/>
                <w:right w:val="none" w:sz="0" w:space="0" w:color="auto"/>
              </w:divBdr>
            </w:div>
            <w:div w:id="1408116391">
              <w:marLeft w:val="0"/>
              <w:marRight w:val="0"/>
              <w:marTop w:val="0"/>
              <w:marBottom w:val="0"/>
              <w:divBdr>
                <w:top w:val="none" w:sz="0" w:space="0" w:color="auto"/>
                <w:left w:val="none" w:sz="0" w:space="0" w:color="auto"/>
                <w:bottom w:val="none" w:sz="0" w:space="0" w:color="auto"/>
                <w:right w:val="none" w:sz="0" w:space="0" w:color="auto"/>
              </w:divBdr>
            </w:div>
            <w:div w:id="1445880632">
              <w:marLeft w:val="0"/>
              <w:marRight w:val="0"/>
              <w:marTop w:val="0"/>
              <w:marBottom w:val="0"/>
              <w:divBdr>
                <w:top w:val="none" w:sz="0" w:space="0" w:color="auto"/>
                <w:left w:val="none" w:sz="0" w:space="0" w:color="auto"/>
                <w:bottom w:val="none" w:sz="0" w:space="0" w:color="auto"/>
                <w:right w:val="none" w:sz="0" w:space="0" w:color="auto"/>
              </w:divBdr>
            </w:div>
            <w:div w:id="1550534785">
              <w:marLeft w:val="0"/>
              <w:marRight w:val="0"/>
              <w:marTop w:val="0"/>
              <w:marBottom w:val="0"/>
              <w:divBdr>
                <w:top w:val="none" w:sz="0" w:space="0" w:color="auto"/>
                <w:left w:val="none" w:sz="0" w:space="0" w:color="auto"/>
                <w:bottom w:val="none" w:sz="0" w:space="0" w:color="auto"/>
                <w:right w:val="none" w:sz="0" w:space="0" w:color="auto"/>
              </w:divBdr>
            </w:div>
            <w:div w:id="1685740047">
              <w:marLeft w:val="0"/>
              <w:marRight w:val="0"/>
              <w:marTop w:val="0"/>
              <w:marBottom w:val="0"/>
              <w:divBdr>
                <w:top w:val="none" w:sz="0" w:space="0" w:color="auto"/>
                <w:left w:val="none" w:sz="0" w:space="0" w:color="auto"/>
                <w:bottom w:val="none" w:sz="0" w:space="0" w:color="auto"/>
                <w:right w:val="none" w:sz="0" w:space="0" w:color="auto"/>
              </w:divBdr>
            </w:div>
            <w:div w:id="1742017115">
              <w:marLeft w:val="0"/>
              <w:marRight w:val="0"/>
              <w:marTop w:val="0"/>
              <w:marBottom w:val="0"/>
              <w:divBdr>
                <w:top w:val="none" w:sz="0" w:space="0" w:color="auto"/>
                <w:left w:val="none" w:sz="0" w:space="0" w:color="auto"/>
                <w:bottom w:val="none" w:sz="0" w:space="0" w:color="auto"/>
                <w:right w:val="none" w:sz="0" w:space="0" w:color="auto"/>
              </w:divBdr>
            </w:div>
            <w:div w:id="1903715955">
              <w:marLeft w:val="0"/>
              <w:marRight w:val="0"/>
              <w:marTop w:val="0"/>
              <w:marBottom w:val="0"/>
              <w:divBdr>
                <w:top w:val="none" w:sz="0" w:space="0" w:color="auto"/>
                <w:left w:val="none" w:sz="0" w:space="0" w:color="auto"/>
                <w:bottom w:val="none" w:sz="0" w:space="0" w:color="auto"/>
                <w:right w:val="none" w:sz="0" w:space="0" w:color="auto"/>
              </w:divBdr>
            </w:div>
            <w:div w:id="1993756374">
              <w:marLeft w:val="0"/>
              <w:marRight w:val="0"/>
              <w:marTop w:val="0"/>
              <w:marBottom w:val="0"/>
              <w:divBdr>
                <w:top w:val="none" w:sz="0" w:space="0" w:color="auto"/>
                <w:left w:val="none" w:sz="0" w:space="0" w:color="auto"/>
                <w:bottom w:val="none" w:sz="0" w:space="0" w:color="auto"/>
                <w:right w:val="none" w:sz="0" w:space="0" w:color="auto"/>
              </w:divBdr>
            </w:div>
            <w:div w:id="2122913422">
              <w:marLeft w:val="0"/>
              <w:marRight w:val="0"/>
              <w:marTop w:val="0"/>
              <w:marBottom w:val="0"/>
              <w:divBdr>
                <w:top w:val="none" w:sz="0" w:space="0" w:color="auto"/>
                <w:left w:val="none" w:sz="0" w:space="0" w:color="auto"/>
                <w:bottom w:val="none" w:sz="0" w:space="0" w:color="auto"/>
                <w:right w:val="none" w:sz="0" w:space="0" w:color="auto"/>
              </w:divBdr>
            </w:div>
            <w:div w:id="21290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16198">
      <w:bodyDiv w:val="1"/>
      <w:marLeft w:val="0"/>
      <w:marRight w:val="0"/>
      <w:marTop w:val="0"/>
      <w:marBottom w:val="0"/>
      <w:divBdr>
        <w:top w:val="none" w:sz="0" w:space="0" w:color="auto"/>
        <w:left w:val="none" w:sz="0" w:space="0" w:color="auto"/>
        <w:bottom w:val="none" w:sz="0" w:space="0" w:color="auto"/>
        <w:right w:val="none" w:sz="0" w:space="0" w:color="auto"/>
      </w:divBdr>
      <w:divsChild>
        <w:div w:id="298270359">
          <w:marLeft w:val="0"/>
          <w:marRight w:val="0"/>
          <w:marTop w:val="0"/>
          <w:marBottom w:val="150"/>
          <w:divBdr>
            <w:top w:val="none" w:sz="0" w:space="0" w:color="auto"/>
            <w:left w:val="none" w:sz="0" w:space="0" w:color="auto"/>
            <w:bottom w:val="none" w:sz="0" w:space="0" w:color="auto"/>
            <w:right w:val="none" w:sz="0" w:space="0" w:color="auto"/>
          </w:divBdr>
          <w:divsChild>
            <w:div w:id="335500598">
              <w:marLeft w:val="0"/>
              <w:marRight w:val="0"/>
              <w:marTop w:val="0"/>
              <w:marBottom w:val="0"/>
              <w:divBdr>
                <w:top w:val="none" w:sz="0" w:space="0" w:color="auto"/>
                <w:left w:val="none" w:sz="0" w:space="0" w:color="auto"/>
                <w:bottom w:val="none" w:sz="0" w:space="0" w:color="auto"/>
                <w:right w:val="none" w:sz="0" w:space="0" w:color="auto"/>
              </w:divBdr>
              <w:divsChild>
                <w:div w:id="72299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255129">
          <w:marLeft w:val="0"/>
          <w:marRight w:val="0"/>
          <w:marTop w:val="0"/>
          <w:marBottom w:val="150"/>
          <w:divBdr>
            <w:top w:val="none" w:sz="0" w:space="0" w:color="auto"/>
            <w:left w:val="none" w:sz="0" w:space="0" w:color="auto"/>
            <w:bottom w:val="none" w:sz="0" w:space="0" w:color="auto"/>
            <w:right w:val="none" w:sz="0" w:space="0" w:color="auto"/>
          </w:divBdr>
        </w:div>
        <w:div w:id="604730442">
          <w:marLeft w:val="0"/>
          <w:marRight w:val="0"/>
          <w:marTop w:val="0"/>
          <w:marBottom w:val="0"/>
          <w:divBdr>
            <w:top w:val="none" w:sz="0" w:space="0" w:color="auto"/>
            <w:left w:val="none" w:sz="0" w:space="0" w:color="auto"/>
            <w:bottom w:val="none" w:sz="0" w:space="0" w:color="auto"/>
            <w:right w:val="none" w:sz="0" w:space="0" w:color="auto"/>
          </w:divBdr>
          <w:divsChild>
            <w:div w:id="24203382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95198367">
      <w:bodyDiv w:val="1"/>
      <w:marLeft w:val="0"/>
      <w:marRight w:val="0"/>
      <w:marTop w:val="0"/>
      <w:marBottom w:val="0"/>
      <w:divBdr>
        <w:top w:val="none" w:sz="0" w:space="0" w:color="auto"/>
        <w:left w:val="none" w:sz="0" w:space="0" w:color="auto"/>
        <w:bottom w:val="none" w:sz="0" w:space="0" w:color="auto"/>
        <w:right w:val="none" w:sz="0" w:space="0" w:color="auto"/>
      </w:divBdr>
    </w:div>
    <w:div w:id="1895433362">
      <w:bodyDiv w:val="1"/>
      <w:marLeft w:val="0"/>
      <w:marRight w:val="0"/>
      <w:marTop w:val="0"/>
      <w:marBottom w:val="0"/>
      <w:divBdr>
        <w:top w:val="none" w:sz="0" w:space="0" w:color="auto"/>
        <w:left w:val="none" w:sz="0" w:space="0" w:color="auto"/>
        <w:bottom w:val="none" w:sz="0" w:space="0" w:color="auto"/>
        <w:right w:val="none" w:sz="0" w:space="0" w:color="auto"/>
      </w:divBdr>
      <w:divsChild>
        <w:div w:id="1816605315">
          <w:marLeft w:val="0"/>
          <w:marRight w:val="0"/>
          <w:marTop w:val="0"/>
          <w:marBottom w:val="0"/>
          <w:divBdr>
            <w:top w:val="none" w:sz="0" w:space="0" w:color="auto"/>
            <w:left w:val="none" w:sz="0" w:space="0" w:color="auto"/>
            <w:bottom w:val="dotted" w:sz="6" w:space="4" w:color="DDDDDD"/>
            <w:right w:val="none" w:sz="0" w:space="0" w:color="auto"/>
          </w:divBdr>
          <w:divsChild>
            <w:div w:id="67183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652982">
      <w:bodyDiv w:val="1"/>
      <w:marLeft w:val="0"/>
      <w:marRight w:val="0"/>
      <w:marTop w:val="0"/>
      <w:marBottom w:val="0"/>
      <w:divBdr>
        <w:top w:val="none" w:sz="0" w:space="0" w:color="auto"/>
        <w:left w:val="none" w:sz="0" w:space="0" w:color="auto"/>
        <w:bottom w:val="none" w:sz="0" w:space="0" w:color="auto"/>
        <w:right w:val="none" w:sz="0" w:space="0" w:color="auto"/>
      </w:divBdr>
      <w:divsChild>
        <w:div w:id="355423269">
          <w:marLeft w:val="0"/>
          <w:marRight w:val="0"/>
          <w:marTop w:val="0"/>
          <w:marBottom w:val="150"/>
          <w:divBdr>
            <w:top w:val="none" w:sz="0" w:space="0" w:color="auto"/>
            <w:left w:val="none" w:sz="0" w:space="0" w:color="auto"/>
            <w:bottom w:val="none" w:sz="0" w:space="0" w:color="auto"/>
            <w:right w:val="none" w:sz="0" w:space="0" w:color="auto"/>
          </w:divBdr>
        </w:div>
        <w:div w:id="1003121394">
          <w:marLeft w:val="0"/>
          <w:marRight w:val="0"/>
          <w:marTop w:val="0"/>
          <w:marBottom w:val="0"/>
          <w:divBdr>
            <w:top w:val="none" w:sz="0" w:space="0" w:color="auto"/>
            <w:left w:val="none" w:sz="0" w:space="0" w:color="auto"/>
            <w:bottom w:val="none" w:sz="0" w:space="0" w:color="auto"/>
            <w:right w:val="none" w:sz="0" w:space="0" w:color="auto"/>
          </w:divBdr>
        </w:div>
      </w:divsChild>
    </w:div>
    <w:div w:id="1895697743">
      <w:bodyDiv w:val="1"/>
      <w:marLeft w:val="0"/>
      <w:marRight w:val="0"/>
      <w:marTop w:val="0"/>
      <w:marBottom w:val="0"/>
      <w:divBdr>
        <w:top w:val="none" w:sz="0" w:space="0" w:color="auto"/>
        <w:left w:val="none" w:sz="0" w:space="0" w:color="auto"/>
        <w:bottom w:val="none" w:sz="0" w:space="0" w:color="auto"/>
        <w:right w:val="none" w:sz="0" w:space="0" w:color="auto"/>
      </w:divBdr>
      <w:divsChild>
        <w:div w:id="88235528">
          <w:marLeft w:val="0"/>
          <w:marRight w:val="0"/>
          <w:marTop w:val="0"/>
          <w:marBottom w:val="0"/>
          <w:divBdr>
            <w:top w:val="none" w:sz="0" w:space="0" w:color="auto"/>
            <w:left w:val="none" w:sz="0" w:space="0" w:color="auto"/>
            <w:bottom w:val="dotted" w:sz="6" w:space="4" w:color="DDDDDD"/>
            <w:right w:val="none" w:sz="0" w:space="0" w:color="auto"/>
          </w:divBdr>
          <w:divsChild>
            <w:div w:id="20570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432074">
      <w:bodyDiv w:val="1"/>
      <w:marLeft w:val="0"/>
      <w:marRight w:val="0"/>
      <w:marTop w:val="0"/>
      <w:marBottom w:val="0"/>
      <w:divBdr>
        <w:top w:val="none" w:sz="0" w:space="0" w:color="auto"/>
        <w:left w:val="none" w:sz="0" w:space="0" w:color="auto"/>
        <w:bottom w:val="none" w:sz="0" w:space="0" w:color="auto"/>
        <w:right w:val="none" w:sz="0" w:space="0" w:color="auto"/>
      </w:divBdr>
      <w:divsChild>
        <w:div w:id="694616077">
          <w:marLeft w:val="0"/>
          <w:marRight w:val="0"/>
          <w:marTop w:val="0"/>
          <w:marBottom w:val="300"/>
          <w:divBdr>
            <w:top w:val="none" w:sz="0" w:space="0" w:color="auto"/>
            <w:left w:val="none" w:sz="0" w:space="0" w:color="auto"/>
            <w:bottom w:val="none" w:sz="0" w:space="0" w:color="auto"/>
            <w:right w:val="none" w:sz="0" w:space="0" w:color="auto"/>
          </w:divBdr>
          <w:divsChild>
            <w:div w:id="1213807448">
              <w:marLeft w:val="0"/>
              <w:marRight w:val="0"/>
              <w:marTop w:val="0"/>
              <w:marBottom w:val="0"/>
              <w:divBdr>
                <w:top w:val="none" w:sz="0" w:space="0" w:color="auto"/>
                <w:left w:val="none" w:sz="0" w:space="0" w:color="auto"/>
                <w:bottom w:val="none" w:sz="0" w:space="0" w:color="auto"/>
                <w:right w:val="none" w:sz="0" w:space="0" w:color="auto"/>
              </w:divBdr>
              <w:divsChild>
                <w:div w:id="1007093719">
                  <w:marLeft w:val="0"/>
                  <w:marRight w:val="0"/>
                  <w:marTop w:val="0"/>
                  <w:marBottom w:val="0"/>
                  <w:divBdr>
                    <w:top w:val="none" w:sz="0" w:space="0" w:color="auto"/>
                    <w:left w:val="none" w:sz="0" w:space="0" w:color="auto"/>
                    <w:bottom w:val="none" w:sz="0" w:space="0" w:color="auto"/>
                    <w:right w:val="none" w:sz="0" w:space="0" w:color="auto"/>
                  </w:divBdr>
                  <w:divsChild>
                    <w:div w:id="1552887175">
                      <w:marLeft w:val="0"/>
                      <w:marRight w:val="0"/>
                      <w:marTop w:val="0"/>
                      <w:marBottom w:val="225"/>
                      <w:divBdr>
                        <w:top w:val="none" w:sz="0" w:space="0" w:color="2D2D2D"/>
                        <w:left w:val="none" w:sz="0" w:space="0" w:color="2D2D2D"/>
                        <w:bottom w:val="none" w:sz="0" w:space="0" w:color="2D2D2D"/>
                        <w:right w:val="none" w:sz="0" w:space="0" w:color="2D2D2D"/>
                      </w:divBdr>
                      <w:divsChild>
                        <w:div w:id="1212956545">
                          <w:marLeft w:val="0"/>
                          <w:marRight w:val="0"/>
                          <w:marTop w:val="120"/>
                          <w:marBottom w:val="150"/>
                          <w:divBdr>
                            <w:top w:val="none" w:sz="0" w:space="0" w:color="auto"/>
                            <w:left w:val="none" w:sz="0" w:space="0" w:color="auto"/>
                            <w:bottom w:val="none" w:sz="0" w:space="0" w:color="auto"/>
                            <w:right w:val="none" w:sz="0" w:space="0" w:color="auto"/>
                          </w:divBdr>
                          <w:divsChild>
                            <w:div w:id="21389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432901">
      <w:bodyDiv w:val="1"/>
      <w:marLeft w:val="0"/>
      <w:marRight w:val="0"/>
      <w:marTop w:val="0"/>
      <w:marBottom w:val="0"/>
      <w:divBdr>
        <w:top w:val="none" w:sz="0" w:space="0" w:color="auto"/>
        <w:left w:val="none" w:sz="0" w:space="0" w:color="auto"/>
        <w:bottom w:val="none" w:sz="0" w:space="0" w:color="auto"/>
        <w:right w:val="none" w:sz="0" w:space="0" w:color="auto"/>
      </w:divBdr>
      <w:divsChild>
        <w:div w:id="80565282">
          <w:marLeft w:val="0"/>
          <w:marRight w:val="0"/>
          <w:marTop w:val="0"/>
          <w:marBottom w:val="0"/>
          <w:divBdr>
            <w:top w:val="none" w:sz="0" w:space="0" w:color="auto"/>
            <w:left w:val="none" w:sz="0" w:space="0" w:color="auto"/>
            <w:bottom w:val="none" w:sz="0" w:space="0" w:color="auto"/>
            <w:right w:val="none" w:sz="0" w:space="0" w:color="auto"/>
          </w:divBdr>
        </w:div>
        <w:div w:id="1059749396">
          <w:marLeft w:val="0"/>
          <w:marRight w:val="0"/>
          <w:marTop w:val="0"/>
          <w:marBottom w:val="0"/>
          <w:divBdr>
            <w:top w:val="none" w:sz="0" w:space="0" w:color="auto"/>
            <w:left w:val="none" w:sz="0" w:space="0" w:color="auto"/>
            <w:bottom w:val="none" w:sz="0" w:space="0" w:color="auto"/>
            <w:right w:val="none" w:sz="0" w:space="0" w:color="auto"/>
          </w:divBdr>
        </w:div>
      </w:divsChild>
    </w:div>
    <w:div w:id="1896506640">
      <w:bodyDiv w:val="1"/>
      <w:marLeft w:val="0"/>
      <w:marRight w:val="0"/>
      <w:marTop w:val="0"/>
      <w:marBottom w:val="0"/>
      <w:divBdr>
        <w:top w:val="none" w:sz="0" w:space="0" w:color="auto"/>
        <w:left w:val="none" w:sz="0" w:space="0" w:color="auto"/>
        <w:bottom w:val="none" w:sz="0" w:space="0" w:color="auto"/>
        <w:right w:val="none" w:sz="0" w:space="0" w:color="auto"/>
      </w:divBdr>
      <w:divsChild>
        <w:div w:id="1471441160">
          <w:marLeft w:val="0"/>
          <w:marRight w:val="0"/>
          <w:marTop w:val="0"/>
          <w:marBottom w:val="0"/>
          <w:divBdr>
            <w:top w:val="none" w:sz="0" w:space="0" w:color="auto"/>
            <w:left w:val="none" w:sz="0" w:space="0" w:color="auto"/>
            <w:bottom w:val="none" w:sz="0" w:space="0" w:color="auto"/>
            <w:right w:val="none" w:sz="0" w:space="0" w:color="auto"/>
          </w:divBdr>
        </w:div>
      </w:divsChild>
    </w:div>
    <w:div w:id="1896889498">
      <w:bodyDiv w:val="1"/>
      <w:marLeft w:val="0"/>
      <w:marRight w:val="0"/>
      <w:marTop w:val="0"/>
      <w:marBottom w:val="0"/>
      <w:divBdr>
        <w:top w:val="none" w:sz="0" w:space="0" w:color="auto"/>
        <w:left w:val="none" w:sz="0" w:space="0" w:color="auto"/>
        <w:bottom w:val="none" w:sz="0" w:space="0" w:color="auto"/>
        <w:right w:val="none" w:sz="0" w:space="0" w:color="auto"/>
      </w:divBdr>
      <w:divsChild>
        <w:div w:id="200900316">
          <w:marLeft w:val="0"/>
          <w:marRight w:val="0"/>
          <w:marTop w:val="0"/>
          <w:marBottom w:val="0"/>
          <w:divBdr>
            <w:top w:val="none" w:sz="0" w:space="0" w:color="auto"/>
            <w:left w:val="none" w:sz="0" w:space="0" w:color="auto"/>
            <w:bottom w:val="dotted" w:sz="6" w:space="4" w:color="DDDDDD"/>
            <w:right w:val="none" w:sz="0" w:space="0" w:color="auto"/>
          </w:divBdr>
          <w:divsChild>
            <w:div w:id="34945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68395">
      <w:bodyDiv w:val="1"/>
      <w:marLeft w:val="0"/>
      <w:marRight w:val="0"/>
      <w:marTop w:val="0"/>
      <w:marBottom w:val="0"/>
      <w:divBdr>
        <w:top w:val="none" w:sz="0" w:space="0" w:color="auto"/>
        <w:left w:val="none" w:sz="0" w:space="0" w:color="auto"/>
        <w:bottom w:val="none" w:sz="0" w:space="0" w:color="auto"/>
        <w:right w:val="none" w:sz="0" w:space="0" w:color="auto"/>
      </w:divBdr>
      <w:divsChild>
        <w:div w:id="2024938146">
          <w:marLeft w:val="0"/>
          <w:marRight w:val="0"/>
          <w:marTop w:val="0"/>
          <w:marBottom w:val="150"/>
          <w:divBdr>
            <w:top w:val="none" w:sz="0" w:space="0" w:color="auto"/>
            <w:left w:val="none" w:sz="0" w:space="0" w:color="auto"/>
            <w:bottom w:val="none" w:sz="0" w:space="0" w:color="auto"/>
            <w:right w:val="none" w:sz="0" w:space="0" w:color="auto"/>
          </w:divBdr>
          <w:divsChild>
            <w:div w:id="699667554">
              <w:marLeft w:val="0"/>
              <w:marRight w:val="0"/>
              <w:marTop w:val="0"/>
              <w:marBottom w:val="0"/>
              <w:divBdr>
                <w:top w:val="none" w:sz="0" w:space="0" w:color="auto"/>
                <w:left w:val="none" w:sz="0" w:space="0" w:color="auto"/>
                <w:bottom w:val="none" w:sz="0" w:space="0" w:color="auto"/>
                <w:right w:val="none" w:sz="0" w:space="0" w:color="auto"/>
              </w:divBdr>
              <w:divsChild>
                <w:div w:id="273098592">
                  <w:marLeft w:val="0"/>
                  <w:marRight w:val="0"/>
                  <w:marTop w:val="0"/>
                  <w:marBottom w:val="0"/>
                  <w:divBdr>
                    <w:top w:val="none" w:sz="0" w:space="0" w:color="auto"/>
                    <w:left w:val="none" w:sz="0" w:space="0" w:color="auto"/>
                    <w:bottom w:val="none" w:sz="0" w:space="0" w:color="auto"/>
                    <w:right w:val="none" w:sz="0" w:space="0" w:color="auto"/>
                  </w:divBdr>
                  <w:divsChild>
                    <w:div w:id="959531173">
                      <w:marLeft w:val="0"/>
                      <w:marRight w:val="150"/>
                      <w:marTop w:val="0"/>
                      <w:marBottom w:val="0"/>
                      <w:divBdr>
                        <w:top w:val="none" w:sz="0" w:space="0" w:color="auto"/>
                        <w:left w:val="none" w:sz="0" w:space="0" w:color="auto"/>
                        <w:bottom w:val="none" w:sz="0" w:space="0" w:color="auto"/>
                        <w:right w:val="none" w:sz="0" w:space="0" w:color="auto"/>
                      </w:divBdr>
                      <w:divsChild>
                        <w:div w:id="185742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040381">
          <w:marLeft w:val="0"/>
          <w:marRight w:val="0"/>
          <w:marTop w:val="0"/>
          <w:marBottom w:val="150"/>
          <w:divBdr>
            <w:top w:val="none" w:sz="0" w:space="0" w:color="auto"/>
            <w:left w:val="none" w:sz="0" w:space="0" w:color="auto"/>
            <w:bottom w:val="none" w:sz="0" w:space="0" w:color="auto"/>
            <w:right w:val="none" w:sz="0" w:space="0" w:color="auto"/>
          </w:divBdr>
        </w:div>
        <w:div w:id="810172296">
          <w:marLeft w:val="0"/>
          <w:marRight w:val="0"/>
          <w:marTop w:val="0"/>
          <w:marBottom w:val="0"/>
          <w:divBdr>
            <w:top w:val="none" w:sz="0" w:space="0" w:color="auto"/>
            <w:left w:val="none" w:sz="0" w:space="0" w:color="auto"/>
            <w:bottom w:val="none" w:sz="0" w:space="0" w:color="auto"/>
            <w:right w:val="none" w:sz="0" w:space="0" w:color="auto"/>
          </w:divBdr>
          <w:divsChild>
            <w:div w:id="56225756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97466969">
      <w:bodyDiv w:val="1"/>
      <w:marLeft w:val="0"/>
      <w:marRight w:val="0"/>
      <w:marTop w:val="0"/>
      <w:marBottom w:val="0"/>
      <w:divBdr>
        <w:top w:val="none" w:sz="0" w:space="0" w:color="auto"/>
        <w:left w:val="none" w:sz="0" w:space="0" w:color="auto"/>
        <w:bottom w:val="none" w:sz="0" w:space="0" w:color="auto"/>
        <w:right w:val="none" w:sz="0" w:space="0" w:color="auto"/>
      </w:divBdr>
      <w:divsChild>
        <w:div w:id="446703511">
          <w:marLeft w:val="0"/>
          <w:marRight w:val="0"/>
          <w:marTop w:val="0"/>
          <w:marBottom w:val="0"/>
          <w:divBdr>
            <w:top w:val="none" w:sz="0" w:space="0" w:color="auto"/>
            <w:left w:val="none" w:sz="0" w:space="0" w:color="auto"/>
            <w:bottom w:val="none" w:sz="0" w:space="0" w:color="auto"/>
            <w:right w:val="none" w:sz="0" w:space="0" w:color="auto"/>
          </w:divBdr>
        </w:div>
      </w:divsChild>
    </w:div>
    <w:div w:id="1897741525">
      <w:bodyDiv w:val="1"/>
      <w:marLeft w:val="0"/>
      <w:marRight w:val="0"/>
      <w:marTop w:val="0"/>
      <w:marBottom w:val="0"/>
      <w:divBdr>
        <w:top w:val="none" w:sz="0" w:space="0" w:color="auto"/>
        <w:left w:val="none" w:sz="0" w:space="0" w:color="auto"/>
        <w:bottom w:val="none" w:sz="0" w:space="0" w:color="auto"/>
        <w:right w:val="none" w:sz="0" w:space="0" w:color="auto"/>
      </w:divBdr>
      <w:divsChild>
        <w:div w:id="244800391">
          <w:marLeft w:val="0"/>
          <w:marRight w:val="0"/>
          <w:marTop w:val="0"/>
          <w:marBottom w:val="0"/>
          <w:divBdr>
            <w:top w:val="none" w:sz="0" w:space="0" w:color="auto"/>
            <w:left w:val="none" w:sz="0" w:space="0" w:color="auto"/>
            <w:bottom w:val="dotted" w:sz="6" w:space="4" w:color="DDDDDD"/>
            <w:right w:val="none" w:sz="0" w:space="0" w:color="auto"/>
          </w:divBdr>
          <w:divsChild>
            <w:div w:id="131178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5307">
      <w:bodyDiv w:val="1"/>
      <w:marLeft w:val="0"/>
      <w:marRight w:val="0"/>
      <w:marTop w:val="0"/>
      <w:marBottom w:val="0"/>
      <w:divBdr>
        <w:top w:val="none" w:sz="0" w:space="0" w:color="auto"/>
        <w:left w:val="none" w:sz="0" w:space="0" w:color="auto"/>
        <w:bottom w:val="none" w:sz="0" w:space="0" w:color="auto"/>
        <w:right w:val="none" w:sz="0" w:space="0" w:color="auto"/>
      </w:divBdr>
      <w:divsChild>
        <w:div w:id="1658220358">
          <w:marLeft w:val="0"/>
          <w:marRight w:val="0"/>
          <w:marTop w:val="0"/>
          <w:marBottom w:val="0"/>
          <w:divBdr>
            <w:top w:val="none" w:sz="0" w:space="0" w:color="auto"/>
            <w:left w:val="none" w:sz="0" w:space="0" w:color="auto"/>
            <w:bottom w:val="dotted" w:sz="6" w:space="4" w:color="DDDDDD"/>
            <w:right w:val="none" w:sz="0" w:space="0" w:color="auto"/>
          </w:divBdr>
        </w:div>
      </w:divsChild>
    </w:div>
    <w:div w:id="1898085386">
      <w:bodyDiv w:val="1"/>
      <w:marLeft w:val="0"/>
      <w:marRight w:val="0"/>
      <w:marTop w:val="0"/>
      <w:marBottom w:val="0"/>
      <w:divBdr>
        <w:top w:val="none" w:sz="0" w:space="0" w:color="auto"/>
        <w:left w:val="none" w:sz="0" w:space="0" w:color="auto"/>
        <w:bottom w:val="none" w:sz="0" w:space="0" w:color="auto"/>
        <w:right w:val="none" w:sz="0" w:space="0" w:color="auto"/>
      </w:divBdr>
      <w:divsChild>
        <w:div w:id="1575776103">
          <w:marLeft w:val="0"/>
          <w:marRight w:val="0"/>
          <w:marTop w:val="0"/>
          <w:marBottom w:val="0"/>
          <w:divBdr>
            <w:top w:val="none" w:sz="0" w:space="0" w:color="auto"/>
            <w:left w:val="none" w:sz="0" w:space="0" w:color="auto"/>
            <w:bottom w:val="dotted" w:sz="6" w:space="4" w:color="DDDDDD"/>
            <w:right w:val="none" w:sz="0" w:space="0" w:color="auto"/>
          </w:divBdr>
          <w:divsChild>
            <w:div w:id="86895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87502">
      <w:bodyDiv w:val="1"/>
      <w:marLeft w:val="0"/>
      <w:marRight w:val="0"/>
      <w:marTop w:val="0"/>
      <w:marBottom w:val="0"/>
      <w:divBdr>
        <w:top w:val="none" w:sz="0" w:space="0" w:color="auto"/>
        <w:left w:val="none" w:sz="0" w:space="0" w:color="auto"/>
        <w:bottom w:val="none" w:sz="0" w:space="0" w:color="auto"/>
        <w:right w:val="none" w:sz="0" w:space="0" w:color="auto"/>
      </w:divBdr>
      <w:divsChild>
        <w:div w:id="172695767">
          <w:marLeft w:val="0"/>
          <w:marRight w:val="0"/>
          <w:marTop w:val="0"/>
          <w:marBottom w:val="0"/>
          <w:divBdr>
            <w:top w:val="none" w:sz="0" w:space="0" w:color="auto"/>
            <w:left w:val="none" w:sz="0" w:space="0" w:color="auto"/>
            <w:bottom w:val="none" w:sz="0" w:space="0" w:color="auto"/>
            <w:right w:val="none" w:sz="0" w:space="0" w:color="auto"/>
          </w:divBdr>
        </w:div>
      </w:divsChild>
    </w:div>
    <w:div w:id="1899121896">
      <w:bodyDiv w:val="1"/>
      <w:marLeft w:val="0"/>
      <w:marRight w:val="0"/>
      <w:marTop w:val="0"/>
      <w:marBottom w:val="0"/>
      <w:divBdr>
        <w:top w:val="none" w:sz="0" w:space="0" w:color="auto"/>
        <w:left w:val="none" w:sz="0" w:space="0" w:color="auto"/>
        <w:bottom w:val="none" w:sz="0" w:space="0" w:color="auto"/>
        <w:right w:val="none" w:sz="0" w:space="0" w:color="auto"/>
      </w:divBdr>
    </w:div>
    <w:div w:id="1899708104">
      <w:bodyDiv w:val="1"/>
      <w:marLeft w:val="0"/>
      <w:marRight w:val="0"/>
      <w:marTop w:val="0"/>
      <w:marBottom w:val="0"/>
      <w:divBdr>
        <w:top w:val="none" w:sz="0" w:space="0" w:color="auto"/>
        <w:left w:val="none" w:sz="0" w:space="0" w:color="auto"/>
        <w:bottom w:val="none" w:sz="0" w:space="0" w:color="auto"/>
        <w:right w:val="none" w:sz="0" w:space="0" w:color="auto"/>
      </w:divBdr>
      <w:divsChild>
        <w:div w:id="642808880">
          <w:marLeft w:val="0"/>
          <w:marRight w:val="0"/>
          <w:marTop w:val="0"/>
          <w:marBottom w:val="0"/>
          <w:divBdr>
            <w:top w:val="none" w:sz="0" w:space="0" w:color="auto"/>
            <w:left w:val="none" w:sz="0" w:space="0" w:color="auto"/>
            <w:bottom w:val="dotted" w:sz="6" w:space="4" w:color="DDDDDD"/>
            <w:right w:val="none" w:sz="0" w:space="0" w:color="auto"/>
          </w:divBdr>
          <w:divsChild>
            <w:div w:id="60530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973280">
      <w:bodyDiv w:val="1"/>
      <w:marLeft w:val="0"/>
      <w:marRight w:val="0"/>
      <w:marTop w:val="0"/>
      <w:marBottom w:val="0"/>
      <w:divBdr>
        <w:top w:val="none" w:sz="0" w:space="0" w:color="auto"/>
        <w:left w:val="none" w:sz="0" w:space="0" w:color="auto"/>
        <w:bottom w:val="none" w:sz="0" w:space="0" w:color="auto"/>
        <w:right w:val="none" w:sz="0" w:space="0" w:color="auto"/>
      </w:divBdr>
      <w:divsChild>
        <w:div w:id="2103649372">
          <w:marLeft w:val="0"/>
          <w:marRight w:val="0"/>
          <w:marTop w:val="0"/>
          <w:marBottom w:val="0"/>
          <w:divBdr>
            <w:top w:val="none" w:sz="0" w:space="0" w:color="auto"/>
            <w:left w:val="none" w:sz="0" w:space="0" w:color="auto"/>
            <w:bottom w:val="dotted" w:sz="6" w:space="4" w:color="DDDDDD"/>
            <w:right w:val="none" w:sz="0" w:space="0" w:color="auto"/>
          </w:divBdr>
          <w:divsChild>
            <w:div w:id="96562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631255">
      <w:bodyDiv w:val="1"/>
      <w:marLeft w:val="0"/>
      <w:marRight w:val="0"/>
      <w:marTop w:val="0"/>
      <w:marBottom w:val="0"/>
      <w:divBdr>
        <w:top w:val="none" w:sz="0" w:space="0" w:color="auto"/>
        <w:left w:val="none" w:sz="0" w:space="0" w:color="auto"/>
        <w:bottom w:val="none" w:sz="0" w:space="0" w:color="auto"/>
        <w:right w:val="none" w:sz="0" w:space="0" w:color="auto"/>
      </w:divBdr>
      <w:divsChild>
        <w:div w:id="1938321615">
          <w:marLeft w:val="0"/>
          <w:marRight w:val="0"/>
          <w:marTop w:val="0"/>
          <w:marBottom w:val="0"/>
          <w:divBdr>
            <w:top w:val="none" w:sz="0" w:space="0" w:color="auto"/>
            <w:left w:val="none" w:sz="0" w:space="0" w:color="auto"/>
            <w:bottom w:val="dotted" w:sz="6" w:space="4" w:color="DDDDDD"/>
            <w:right w:val="none" w:sz="0" w:space="0" w:color="auto"/>
          </w:divBdr>
          <w:divsChild>
            <w:div w:id="2063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670815">
      <w:bodyDiv w:val="1"/>
      <w:marLeft w:val="0"/>
      <w:marRight w:val="0"/>
      <w:marTop w:val="0"/>
      <w:marBottom w:val="0"/>
      <w:divBdr>
        <w:top w:val="none" w:sz="0" w:space="0" w:color="auto"/>
        <w:left w:val="none" w:sz="0" w:space="0" w:color="auto"/>
        <w:bottom w:val="none" w:sz="0" w:space="0" w:color="auto"/>
        <w:right w:val="none" w:sz="0" w:space="0" w:color="auto"/>
      </w:divBdr>
      <w:divsChild>
        <w:div w:id="1061098624">
          <w:marLeft w:val="0"/>
          <w:marRight w:val="0"/>
          <w:marTop w:val="0"/>
          <w:marBottom w:val="0"/>
          <w:divBdr>
            <w:top w:val="none" w:sz="0" w:space="0" w:color="auto"/>
            <w:left w:val="none" w:sz="0" w:space="0" w:color="auto"/>
            <w:bottom w:val="none" w:sz="0" w:space="0" w:color="auto"/>
            <w:right w:val="none" w:sz="0" w:space="0" w:color="auto"/>
          </w:divBdr>
          <w:divsChild>
            <w:div w:id="110881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058165">
      <w:bodyDiv w:val="1"/>
      <w:marLeft w:val="0"/>
      <w:marRight w:val="0"/>
      <w:marTop w:val="0"/>
      <w:marBottom w:val="0"/>
      <w:divBdr>
        <w:top w:val="none" w:sz="0" w:space="0" w:color="auto"/>
        <w:left w:val="none" w:sz="0" w:space="0" w:color="auto"/>
        <w:bottom w:val="none" w:sz="0" w:space="0" w:color="auto"/>
        <w:right w:val="none" w:sz="0" w:space="0" w:color="auto"/>
      </w:divBdr>
      <w:divsChild>
        <w:div w:id="329605937">
          <w:marLeft w:val="0"/>
          <w:marRight w:val="0"/>
          <w:marTop w:val="0"/>
          <w:marBottom w:val="0"/>
          <w:divBdr>
            <w:top w:val="none" w:sz="0" w:space="0" w:color="auto"/>
            <w:left w:val="none" w:sz="0" w:space="0" w:color="auto"/>
            <w:bottom w:val="none" w:sz="0" w:space="0" w:color="auto"/>
            <w:right w:val="none" w:sz="0" w:space="0" w:color="auto"/>
          </w:divBdr>
          <w:divsChild>
            <w:div w:id="921640515">
              <w:marLeft w:val="0"/>
              <w:marRight w:val="0"/>
              <w:marTop w:val="0"/>
              <w:marBottom w:val="0"/>
              <w:divBdr>
                <w:top w:val="none" w:sz="0" w:space="0" w:color="auto"/>
                <w:left w:val="none" w:sz="0" w:space="0" w:color="auto"/>
                <w:bottom w:val="none" w:sz="0" w:space="0" w:color="auto"/>
                <w:right w:val="none" w:sz="0" w:space="0" w:color="auto"/>
              </w:divBdr>
              <w:divsChild>
                <w:div w:id="1147085881">
                  <w:marLeft w:val="0"/>
                  <w:marRight w:val="0"/>
                  <w:marTop w:val="0"/>
                  <w:marBottom w:val="0"/>
                  <w:divBdr>
                    <w:top w:val="none" w:sz="0" w:space="0" w:color="auto"/>
                    <w:left w:val="none" w:sz="0" w:space="0" w:color="auto"/>
                    <w:bottom w:val="none" w:sz="0" w:space="0" w:color="auto"/>
                    <w:right w:val="none" w:sz="0" w:space="0" w:color="auto"/>
                  </w:divBdr>
                  <w:divsChild>
                    <w:div w:id="1222062035">
                      <w:marLeft w:val="0"/>
                      <w:marRight w:val="0"/>
                      <w:marTop w:val="0"/>
                      <w:marBottom w:val="0"/>
                      <w:divBdr>
                        <w:top w:val="none" w:sz="0" w:space="0" w:color="auto"/>
                        <w:left w:val="none" w:sz="0" w:space="0" w:color="auto"/>
                        <w:bottom w:val="none" w:sz="0" w:space="0" w:color="auto"/>
                        <w:right w:val="none" w:sz="0" w:space="0" w:color="auto"/>
                      </w:divBdr>
                      <w:divsChild>
                        <w:div w:id="389882781">
                          <w:marLeft w:val="0"/>
                          <w:marRight w:val="0"/>
                          <w:marTop w:val="0"/>
                          <w:marBottom w:val="0"/>
                          <w:divBdr>
                            <w:top w:val="none" w:sz="0" w:space="0" w:color="auto"/>
                            <w:left w:val="none" w:sz="0" w:space="0" w:color="auto"/>
                            <w:bottom w:val="none" w:sz="0" w:space="0" w:color="auto"/>
                            <w:right w:val="none" w:sz="0" w:space="0" w:color="auto"/>
                          </w:divBdr>
                          <w:divsChild>
                            <w:div w:id="489520281">
                              <w:marLeft w:val="0"/>
                              <w:marRight w:val="0"/>
                              <w:marTop w:val="0"/>
                              <w:marBottom w:val="0"/>
                              <w:divBdr>
                                <w:top w:val="none" w:sz="0" w:space="0" w:color="auto"/>
                                <w:left w:val="none" w:sz="0" w:space="0" w:color="auto"/>
                                <w:bottom w:val="none" w:sz="0" w:space="0" w:color="auto"/>
                                <w:right w:val="none" w:sz="0" w:space="0" w:color="auto"/>
                              </w:divBdr>
                              <w:divsChild>
                                <w:div w:id="38823063">
                                  <w:marLeft w:val="0"/>
                                  <w:marRight w:val="0"/>
                                  <w:marTop w:val="0"/>
                                  <w:marBottom w:val="0"/>
                                  <w:divBdr>
                                    <w:top w:val="none" w:sz="0" w:space="0" w:color="auto"/>
                                    <w:left w:val="none" w:sz="0" w:space="0" w:color="auto"/>
                                    <w:bottom w:val="none" w:sz="0" w:space="0" w:color="auto"/>
                                    <w:right w:val="none" w:sz="0" w:space="0" w:color="auto"/>
                                  </w:divBdr>
                                  <w:divsChild>
                                    <w:div w:id="784546613">
                                      <w:marLeft w:val="0"/>
                                      <w:marRight w:val="0"/>
                                      <w:marTop w:val="0"/>
                                      <w:marBottom w:val="0"/>
                                      <w:divBdr>
                                        <w:top w:val="none" w:sz="0" w:space="0" w:color="auto"/>
                                        <w:left w:val="none" w:sz="0" w:space="0" w:color="auto"/>
                                        <w:bottom w:val="none" w:sz="0" w:space="0" w:color="auto"/>
                                        <w:right w:val="none" w:sz="0" w:space="0" w:color="auto"/>
                                      </w:divBdr>
                                      <w:divsChild>
                                        <w:div w:id="72799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2254949">
      <w:bodyDiv w:val="1"/>
      <w:marLeft w:val="0"/>
      <w:marRight w:val="0"/>
      <w:marTop w:val="0"/>
      <w:marBottom w:val="0"/>
      <w:divBdr>
        <w:top w:val="none" w:sz="0" w:space="0" w:color="auto"/>
        <w:left w:val="none" w:sz="0" w:space="0" w:color="auto"/>
        <w:bottom w:val="none" w:sz="0" w:space="0" w:color="auto"/>
        <w:right w:val="none" w:sz="0" w:space="0" w:color="auto"/>
      </w:divBdr>
      <w:divsChild>
        <w:div w:id="667758471">
          <w:marLeft w:val="0"/>
          <w:marRight w:val="0"/>
          <w:marTop w:val="150"/>
          <w:marBottom w:val="0"/>
          <w:divBdr>
            <w:top w:val="none" w:sz="0" w:space="0" w:color="auto"/>
            <w:left w:val="none" w:sz="0" w:space="0" w:color="auto"/>
            <w:bottom w:val="none" w:sz="0" w:space="0" w:color="auto"/>
            <w:right w:val="none" w:sz="0" w:space="0" w:color="auto"/>
          </w:divBdr>
          <w:divsChild>
            <w:div w:id="829175196">
              <w:marLeft w:val="0"/>
              <w:marRight w:val="0"/>
              <w:marTop w:val="0"/>
              <w:marBottom w:val="0"/>
              <w:divBdr>
                <w:top w:val="none" w:sz="0" w:space="0" w:color="auto"/>
                <w:left w:val="none" w:sz="0" w:space="0" w:color="auto"/>
                <w:bottom w:val="single" w:sz="6" w:space="0" w:color="EFEFEF"/>
                <w:right w:val="none" w:sz="0" w:space="0" w:color="auto"/>
              </w:divBdr>
              <w:divsChild>
                <w:div w:id="1129664070">
                  <w:marLeft w:val="0"/>
                  <w:marRight w:val="0"/>
                  <w:marTop w:val="0"/>
                  <w:marBottom w:val="0"/>
                  <w:divBdr>
                    <w:top w:val="none" w:sz="0" w:space="0" w:color="auto"/>
                    <w:left w:val="none" w:sz="0" w:space="0" w:color="auto"/>
                    <w:bottom w:val="none" w:sz="0" w:space="0" w:color="auto"/>
                    <w:right w:val="none" w:sz="0" w:space="0" w:color="auto"/>
                  </w:divBdr>
                </w:div>
                <w:div w:id="165768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412114">
          <w:marLeft w:val="0"/>
          <w:marRight w:val="0"/>
          <w:marTop w:val="300"/>
          <w:marBottom w:val="0"/>
          <w:divBdr>
            <w:top w:val="none" w:sz="0" w:space="0" w:color="auto"/>
            <w:left w:val="none" w:sz="0" w:space="0" w:color="auto"/>
            <w:bottom w:val="none" w:sz="0" w:space="0" w:color="auto"/>
            <w:right w:val="none" w:sz="0" w:space="0" w:color="auto"/>
          </w:divBdr>
          <w:divsChild>
            <w:div w:id="469326500">
              <w:marLeft w:val="0"/>
              <w:marRight w:val="0"/>
              <w:marTop w:val="0"/>
              <w:marBottom w:val="0"/>
              <w:divBdr>
                <w:top w:val="none" w:sz="0" w:space="0" w:color="auto"/>
                <w:left w:val="none" w:sz="0" w:space="0" w:color="auto"/>
                <w:bottom w:val="none" w:sz="0" w:space="0" w:color="auto"/>
                <w:right w:val="none" w:sz="0" w:space="0" w:color="auto"/>
              </w:divBdr>
              <w:divsChild>
                <w:div w:id="1382632414">
                  <w:marLeft w:val="0"/>
                  <w:marRight w:val="0"/>
                  <w:marTop w:val="0"/>
                  <w:marBottom w:val="0"/>
                  <w:divBdr>
                    <w:top w:val="none" w:sz="0" w:space="0" w:color="auto"/>
                    <w:left w:val="none" w:sz="0" w:space="0" w:color="auto"/>
                    <w:bottom w:val="none" w:sz="0" w:space="0" w:color="auto"/>
                    <w:right w:val="none" w:sz="0" w:space="0" w:color="auto"/>
                  </w:divBdr>
                  <w:divsChild>
                    <w:div w:id="231355584">
                      <w:marLeft w:val="0"/>
                      <w:marRight w:val="0"/>
                      <w:marTop w:val="0"/>
                      <w:marBottom w:val="0"/>
                      <w:divBdr>
                        <w:top w:val="none" w:sz="0" w:space="0" w:color="auto"/>
                        <w:left w:val="none" w:sz="0" w:space="0" w:color="auto"/>
                        <w:bottom w:val="none" w:sz="0" w:space="0" w:color="auto"/>
                        <w:right w:val="none" w:sz="0" w:space="0" w:color="auto"/>
                      </w:divBdr>
                      <w:divsChild>
                        <w:div w:id="757866495">
                          <w:marLeft w:val="0"/>
                          <w:marRight w:val="0"/>
                          <w:marTop w:val="0"/>
                          <w:marBottom w:val="0"/>
                          <w:divBdr>
                            <w:top w:val="none" w:sz="0" w:space="0" w:color="auto"/>
                            <w:left w:val="none" w:sz="0" w:space="0" w:color="auto"/>
                            <w:bottom w:val="none" w:sz="0" w:space="0" w:color="auto"/>
                            <w:right w:val="none" w:sz="0" w:space="0" w:color="auto"/>
                          </w:divBdr>
                          <w:divsChild>
                            <w:div w:id="1622303335">
                              <w:marLeft w:val="0"/>
                              <w:marRight w:val="0"/>
                              <w:marTop w:val="0"/>
                              <w:marBottom w:val="0"/>
                              <w:divBdr>
                                <w:top w:val="none" w:sz="0" w:space="0" w:color="auto"/>
                                <w:left w:val="none" w:sz="0" w:space="0" w:color="auto"/>
                                <w:bottom w:val="none" w:sz="0" w:space="0" w:color="auto"/>
                                <w:right w:val="none" w:sz="0" w:space="0" w:color="auto"/>
                              </w:divBdr>
                            </w:div>
                            <w:div w:id="1920820913">
                              <w:marLeft w:val="0"/>
                              <w:marRight w:val="0"/>
                              <w:marTop w:val="0"/>
                              <w:marBottom w:val="0"/>
                              <w:divBdr>
                                <w:top w:val="none" w:sz="0" w:space="0" w:color="auto"/>
                                <w:left w:val="none" w:sz="0" w:space="0" w:color="auto"/>
                                <w:bottom w:val="none" w:sz="0" w:space="0" w:color="auto"/>
                                <w:right w:val="none" w:sz="0" w:space="0" w:color="auto"/>
                              </w:divBdr>
                              <w:divsChild>
                                <w:div w:id="1152601160">
                                  <w:marLeft w:val="0"/>
                                  <w:marRight w:val="0"/>
                                  <w:marTop w:val="0"/>
                                  <w:marBottom w:val="0"/>
                                  <w:divBdr>
                                    <w:top w:val="none" w:sz="0" w:space="0" w:color="auto"/>
                                    <w:left w:val="none" w:sz="0" w:space="0" w:color="auto"/>
                                    <w:bottom w:val="none" w:sz="0" w:space="0" w:color="auto"/>
                                    <w:right w:val="none" w:sz="0" w:space="0" w:color="auto"/>
                                  </w:divBdr>
                                  <w:divsChild>
                                    <w:div w:id="105940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431827">
                      <w:marLeft w:val="0"/>
                      <w:marRight w:val="0"/>
                      <w:marTop w:val="0"/>
                      <w:marBottom w:val="0"/>
                      <w:divBdr>
                        <w:top w:val="none" w:sz="0" w:space="0" w:color="auto"/>
                        <w:left w:val="none" w:sz="0" w:space="0" w:color="auto"/>
                        <w:bottom w:val="none" w:sz="0" w:space="0" w:color="auto"/>
                        <w:right w:val="none" w:sz="0" w:space="0" w:color="auto"/>
                      </w:divBdr>
                    </w:div>
                    <w:div w:id="592515824">
                      <w:marLeft w:val="0"/>
                      <w:marRight w:val="0"/>
                      <w:marTop w:val="0"/>
                      <w:marBottom w:val="0"/>
                      <w:divBdr>
                        <w:top w:val="none" w:sz="0" w:space="0" w:color="auto"/>
                        <w:left w:val="none" w:sz="0" w:space="0" w:color="auto"/>
                        <w:bottom w:val="none" w:sz="0" w:space="0" w:color="auto"/>
                        <w:right w:val="none" w:sz="0" w:space="0" w:color="auto"/>
                      </w:divBdr>
                    </w:div>
                  </w:divsChild>
                </w:div>
                <w:div w:id="1870289991">
                  <w:marLeft w:val="0"/>
                  <w:marRight w:val="0"/>
                  <w:marTop w:val="150"/>
                  <w:marBottom w:val="0"/>
                  <w:divBdr>
                    <w:top w:val="none" w:sz="0" w:space="0" w:color="auto"/>
                    <w:left w:val="none" w:sz="0" w:space="0" w:color="auto"/>
                    <w:bottom w:val="none" w:sz="0" w:space="0" w:color="auto"/>
                    <w:right w:val="none" w:sz="0" w:space="0" w:color="auto"/>
                  </w:divBdr>
                  <w:divsChild>
                    <w:div w:id="102893595">
                      <w:marLeft w:val="0"/>
                      <w:marRight w:val="0"/>
                      <w:marTop w:val="0"/>
                      <w:marBottom w:val="0"/>
                      <w:divBdr>
                        <w:top w:val="none" w:sz="0" w:space="0" w:color="auto"/>
                        <w:left w:val="none" w:sz="0" w:space="0" w:color="auto"/>
                        <w:bottom w:val="none" w:sz="0" w:space="0" w:color="auto"/>
                        <w:right w:val="none" w:sz="0" w:space="0" w:color="auto"/>
                      </w:divBdr>
                      <w:divsChild>
                        <w:div w:id="193921687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914277">
              <w:marLeft w:val="-1350"/>
              <w:marRight w:val="0"/>
              <w:marTop w:val="0"/>
              <w:marBottom w:val="0"/>
              <w:divBdr>
                <w:top w:val="none" w:sz="0" w:space="0" w:color="auto"/>
                <w:left w:val="none" w:sz="0" w:space="0" w:color="auto"/>
                <w:bottom w:val="none" w:sz="0" w:space="0" w:color="auto"/>
                <w:right w:val="none" w:sz="0" w:space="0" w:color="auto"/>
              </w:divBdr>
              <w:divsChild>
                <w:div w:id="2137410204">
                  <w:marLeft w:val="0"/>
                  <w:marRight w:val="0"/>
                  <w:marTop w:val="0"/>
                  <w:marBottom w:val="0"/>
                  <w:divBdr>
                    <w:top w:val="none" w:sz="0" w:space="0" w:color="auto"/>
                    <w:left w:val="none" w:sz="0" w:space="0" w:color="auto"/>
                    <w:bottom w:val="none" w:sz="0" w:space="0" w:color="auto"/>
                    <w:right w:val="none" w:sz="0" w:space="0" w:color="auto"/>
                  </w:divBdr>
                  <w:divsChild>
                    <w:div w:id="847912512">
                      <w:marLeft w:val="0"/>
                      <w:marRight w:val="0"/>
                      <w:marTop w:val="0"/>
                      <w:marBottom w:val="0"/>
                      <w:divBdr>
                        <w:top w:val="none" w:sz="0" w:space="0" w:color="auto"/>
                        <w:left w:val="none" w:sz="0" w:space="0" w:color="auto"/>
                        <w:bottom w:val="none" w:sz="0" w:space="0" w:color="auto"/>
                        <w:right w:val="none" w:sz="0" w:space="0" w:color="auto"/>
                      </w:divBdr>
                      <w:divsChild>
                        <w:div w:id="708649320">
                          <w:marLeft w:val="0"/>
                          <w:marRight w:val="0"/>
                          <w:marTop w:val="0"/>
                          <w:marBottom w:val="0"/>
                          <w:divBdr>
                            <w:top w:val="single" w:sz="6" w:space="0" w:color="C7C7C7"/>
                            <w:left w:val="single" w:sz="6" w:space="0" w:color="C7C7C7"/>
                            <w:bottom w:val="single" w:sz="6" w:space="0" w:color="C7C7C7"/>
                            <w:right w:val="single" w:sz="6" w:space="0" w:color="C7C7C7"/>
                          </w:divBdr>
                          <w:divsChild>
                            <w:div w:id="1390962426">
                              <w:marLeft w:val="0"/>
                              <w:marRight w:val="0"/>
                              <w:marTop w:val="100"/>
                              <w:marBottom w:val="100"/>
                              <w:divBdr>
                                <w:top w:val="none" w:sz="0" w:space="0" w:color="auto"/>
                                <w:left w:val="none" w:sz="0" w:space="0" w:color="auto"/>
                                <w:bottom w:val="none" w:sz="0" w:space="0" w:color="auto"/>
                                <w:right w:val="none" w:sz="0" w:space="0" w:color="auto"/>
                              </w:divBdr>
                            </w:div>
                            <w:div w:id="1498689592">
                              <w:marLeft w:val="0"/>
                              <w:marRight w:val="0"/>
                              <w:marTop w:val="100"/>
                              <w:marBottom w:val="100"/>
                              <w:divBdr>
                                <w:top w:val="none" w:sz="0" w:space="11" w:color="auto"/>
                                <w:left w:val="none" w:sz="0" w:space="0" w:color="auto"/>
                                <w:bottom w:val="single" w:sz="6" w:space="11" w:color="C7C7C7"/>
                                <w:right w:val="none" w:sz="0" w:space="0" w:color="auto"/>
                              </w:divBdr>
                            </w:div>
                            <w:div w:id="2088650098">
                              <w:marLeft w:val="0"/>
                              <w:marRight w:val="0"/>
                              <w:marTop w:val="100"/>
                              <w:marBottom w:val="100"/>
                              <w:divBdr>
                                <w:top w:val="none" w:sz="0" w:space="11" w:color="auto"/>
                                <w:left w:val="none" w:sz="0" w:space="0" w:color="auto"/>
                                <w:bottom w:val="single" w:sz="6" w:space="11" w:color="C7C7C7"/>
                                <w:right w:val="none" w:sz="0" w:space="0" w:color="auto"/>
                              </w:divBdr>
                            </w:div>
                            <w:div w:id="2097901686">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902399710">
      <w:bodyDiv w:val="1"/>
      <w:marLeft w:val="0"/>
      <w:marRight w:val="0"/>
      <w:marTop w:val="0"/>
      <w:marBottom w:val="0"/>
      <w:divBdr>
        <w:top w:val="none" w:sz="0" w:space="0" w:color="auto"/>
        <w:left w:val="none" w:sz="0" w:space="0" w:color="auto"/>
        <w:bottom w:val="none" w:sz="0" w:space="0" w:color="auto"/>
        <w:right w:val="none" w:sz="0" w:space="0" w:color="auto"/>
      </w:divBdr>
      <w:divsChild>
        <w:div w:id="1559316868">
          <w:marLeft w:val="0"/>
          <w:marRight w:val="0"/>
          <w:marTop w:val="0"/>
          <w:marBottom w:val="0"/>
          <w:divBdr>
            <w:top w:val="none" w:sz="0" w:space="0" w:color="auto"/>
            <w:left w:val="none" w:sz="0" w:space="0" w:color="auto"/>
            <w:bottom w:val="dotted" w:sz="6" w:space="4" w:color="DDDDDD"/>
            <w:right w:val="none" w:sz="0" w:space="0" w:color="auto"/>
          </w:divBdr>
          <w:divsChild>
            <w:div w:id="186386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473627">
      <w:bodyDiv w:val="1"/>
      <w:marLeft w:val="0"/>
      <w:marRight w:val="0"/>
      <w:marTop w:val="0"/>
      <w:marBottom w:val="0"/>
      <w:divBdr>
        <w:top w:val="none" w:sz="0" w:space="0" w:color="auto"/>
        <w:left w:val="none" w:sz="0" w:space="0" w:color="auto"/>
        <w:bottom w:val="none" w:sz="0" w:space="0" w:color="auto"/>
        <w:right w:val="none" w:sz="0" w:space="0" w:color="auto"/>
      </w:divBdr>
    </w:div>
    <w:div w:id="1902522236">
      <w:bodyDiv w:val="1"/>
      <w:marLeft w:val="0"/>
      <w:marRight w:val="0"/>
      <w:marTop w:val="0"/>
      <w:marBottom w:val="0"/>
      <w:divBdr>
        <w:top w:val="none" w:sz="0" w:space="0" w:color="auto"/>
        <w:left w:val="none" w:sz="0" w:space="0" w:color="auto"/>
        <w:bottom w:val="none" w:sz="0" w:space="0" w:color="auto"/>
        <w:right w:val="none" w:sz="0" w:space="0" w:color="auto"/>
      </w:divBdr>
      <w:divsChild>
        <w:div w:id="490097892">
          <w:marLeft w:val="0"/>
          <w:marRight w:val="0"/>
          <w:marTop w:val="0"/>
          <w:marBottom w:val="0"/>
          <w:divBdr>
            <w:top w:val="none" w:sz="0" w:space="0" w:color="auto"/>
            <w:left w:val="none" w:sz="0" w:space="0" w:color="auto"/>
            <w:bottom w:val="none" w:sz="0" w:space="0" w:color="auto"/>
            <w:right w:val="none" w:sz="0" w:space="0" w:color="auto"/>
          </w:divBdr>
          <w:divsChild>
            <w:div w:id="10509578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02522875">
      <w:bodyDiv w:val="1"/>
      <w:marLeft w:val="0"/>
      <w:marRight w:val="0"/>
      <w:marTop w:val="0"/>
      <w:marBottom w:val="0"/>
      <w:divBdr>
        <w:top w:val="none" w:sz="0" w:space="0" w:color="auto"/>
        <w:left w:val="none" w:sz="0" w:space="0" w:color="auto"/>
        <w:bottom w:val="none" w:sz="0" w:space="0" w:color="auto"/>
        <w:right w:val="none" w:sz="0" w:space="0" w:color="auto"/>
      </w:divBdr>
      <w:divsChild>
        <w:div w:id="901065741">
          <w:marLeft w:val="0"/>
          <w:marRight w:val="0"/>
          <w:marTop w:val="0"/>
          <w:marBottom w:val="0"/>
          <w:divBdr>
            <w:top w:val="none" w:sz="0" w:space="0" w:color="auto"/>
            <w:left w:val="none" w:sz="0" w:space="0" w:color="auto"/>
            <w:bottom w:val="none" w:sz="0" w:space="0" w:color="auto"/>
            <w:right w:val="none" w:sz="0" w:space="0" w:color="auto"/>
          </w:divBdr>
        </w:div>
      </w:divsChild>
    </w:div>
    <w:div w:id="1902524187">
      <w:bodyDiv w:val="1"/>
      <w:marLeft w:val="0"/>
      <w:marRight w:val="0"/>
      <w:marTop w:val="0"/>
      <w:marBottom w:val="0"/>
      <w:divBdr>
        <w:top w:val="none" w:sz="0" w:space="0" w:color="auto"/>
        <w:left w:val="none" w:sz="0" w:space="0" w:color="auto"/>
        <w:bottom w:val="none" w:sz="0" w:space="0" w:color="auto"/>
        <w:right w:val="none" w:sz="0" w:space="0" w:color="auto"/>
      </w:divBdr>
    </w:div>
    <w:div w:id="1902670136">
      <w:bodyDiv w:val="1"/>
      <w:marLeft w:val="0"/>
      <w:marRight w:val="0"/>
      <w:marTop w:val="0"/>
      <w:marBottom w:val="0"/>
      <w:divBdr>
        <w:top w:val="none" w:sz="0" w:space="0" w:color="auto"/>
        <w:left w:val="none" w:sz="0" w:space="0" w:color="auto"/>
        <w:bottom w:val="none" w:sz="0" w:space="0" w:color="auto"/>
        <w:right w:val="none" w:sz="0" w:space="0" w:color="auto"/>
      </w:divBdr>
      <w:divsChild>
        <w:div w:id="924267153">
          <w:marLeft w:val="0"/>
          <w:marRight w:val="0"/>
          <w:marTop w:val="0"/>
          <w:marBottom w:val="0"/>
          <w:divBdr>
            <w:top w:val="none" w:sz="0" w:space="0" w:color="auto"/>
            <w:left w:val="none" w:sz="0" w:space="0" w:color="auto"/>
            <w:bottom w:val="none" w:sz="0" w:space="0" w:color="auto"/>
            <w:right w:val="none" w:sz="0" w:space="0" w:color="auto"/>
          </w:divBdr>
          <w:divsChild>
            <w:div w:id="1457024880">
              <w:marLeft w:val="0"/>
              <w:marRight w:val="0"/>
              <w:marTop w:val="0"/>
              <w:marBottom w:val="0"/>
              <w:divBdr>
                <w:top w:val="none" w:sz="0" w:space="0" w:color="auto"/>
                <w:left w:val="none" w:sz="0" w:space="0" w:color="auto"/>
                <w:bottom w:val="none" w:sz="0" w:space="0" w:color="auto"/>
                <w:right w:val="none" w:sz="0" w:space="0" w:color="auto"/>
              </w:divBdr>
            </w:div>
          </w:divsChild>
        </w:div>
        <w:div w:id="1933124029">
          <w:marLeft w:val="0"/>
          <w:marRight w:val="0"/>
          <w:marTop w:val="150"/>
          <w:marBottom w:val="0"/>
          <w:divBdr>
            <w:top w:val="none" w:sz="0" w:space="0" w:color="auto"/>
            <w:left w:val="none" w:sz="0" w:space="0" w:color="auto"/>
            <w:bottom w:val="none" w:sz="0" w:space="0" w:color="auto"/>
            <w:right w:val="none" w:sz="0" w:space="0" w:color="auto"/>
          </w:divBdr>
          <w:divsChild>
            <w:div w:id="1396389935">
              <w:marLeft w:val="0"/>
              <w:marRight w:val="0"/>
              <w:marTop w:val="0"/>
              <w:marBottom w:val="0"/>
              <w:divBdr>
                <w:top w:val="none" w:sz="0" w:space="0" w:color="auto"/>
                <w:left w:val="none" w:sz="0" w:space="0" w:color="auto"/>
                <w:bottom w:val="none" w:sz="0" w:space="0" w:color="auto"/>
                <w:right w:val="none" w:sz="0" w:space="0" w:color="auto"/>
              </w:divBdr>
              <w:divsChild>
                <w:div w:id="78257353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060595">
      <w:bodyDiv w:val="1"/>
      <w:marLeft w:val="0"/>
      <w:marRight w:val="0"/>
      <w:marTop w:val="0"/>
      <w:marBottom w:val="0"/>
      <w:divBdr>
        <w:top w:val="none" w:sz="0" w:space="0" w:color="auto"/>
        <w:left w:val="none" w:sz="0" w:space="0" w:color="auto"/>
        <w:bottom w:val="none" w:sz="0" w:space="0" w:color="auto"/>
        <w:right w:val="none" w:sz="0" w:space="0" w:color="auto"/>
      </w:divBdr>
    </w:div>
    <w:div w:id="1903173112">
      <w:bodyDiv w:val="1"/>
      <w:marLeft w:val="0"/>
      <w:marRight w:val="0"/>
      <w:marTop w:val="0"/>
      <w:marBottom w:val="0"/>
      <w:divBdr>
        <w:top w:val="none" w:sz="0" w:space="0" w:color="auto"/>
        <w:left w:val="none" w:sz="0" w:space="0" w:color="auto"/>
        <w:bottom w:val="none" w:sz="0" w:space="0" w:color="auto"/>
        <w:right w:val="none" w:sz="0" w:space="0" w:color="auto"/>
      </w:divBdr>
      <w:divsChild>
        <w:div w:id="1979143831">
          <w:marLeft w:val="0"/>
          <w:marRight w:val="0"/>
          <w:marTop w:val="0"/>
          <w:marBottom w:val="0"/>
          <w:divBdr>
            <w:top w:val="none" w:sz="0" w:space="0" w:color="auto"/>
            <w:left w:val="none" w:sz="0" w:space="0" w:color="auto"/>
            <w:bottom w:val="none" w:sz="0" w:space="0" w:color="auto"/>
            <w:right w:val="none" w:sz="0" w:space="0" w:color="auto"/>
          </w:divBdr>
        </w:div>
      </w:divsChild>
    </w:div>
    <w:div w:id="1903251029">
      <w:bodyDiv w:val="1"/>
      <w:marLeft w:val="0"/>
      <w:marRight w:val="0"/>
      <w:marTop w:val="0"/>
      <w:marBottom w:val="0"/>
      <w:divBdr>
        <w:top w:val="none" w:sz="0" w:space="0" w:color="auto"/>
        <w:left w:val="none" w:sz="0" w:space="0" w:color="auto"/>
        <w:bottom w:val="none" w:sz="0" w:space="0" w:color="auto"/>
        <w:right w:val="none" w:sz="0" w:space="0" w:color="auto"/>
      </w:divBdr>
      <w:divsChild>
        <w:div w:id="50614798">
          <w:marLeft w:val="0"/>
          <w:marRight w:val="0"/>
          <w:marTop w:val="0"/>
          <w:marBottom w:val="0"/>
          <w:divBdr>
            <w:top w:val="none" w:sz="0" w:space="0" w:color="auto"/>
            <w:left w:val="none" w:sz="0" w:space="0" w:color="auto"/>
            <w:bottom w:val="none" w:sz="0" w:space="0" w:color="auto"/>
            <w:right w:val="none" w:sz="0" w:space="0" w:color="auto"/>
          </w:divBdr>
        </w:div>
      </w:divsChild>
    </w:div>
    <w:div w:id="1903322896">
      <w:bodyDiv w:val="1"/>
      <w:marLeft w:val="0"/>
      <w:marRight w:val="0"/>
      <w:marTop w:val="0"/>
      <w:marBottom w:val="0"/>
      <w:divBdr>
        <w:top w:val="none" w:sz="0" w:space="0" w:color="auto"/>
        <w:left w:val="none" w:sz="0" w:space="0" w:color="auto"/>
        <w:bottom w:val="none" w:sz="0" w:space="0" w:color="auto"/>
        <w:right w:val="none" w:sz="0" w:space="0" w:color="auto"/>
      </w:divBdr>
      <w:divsChild>
        <w:div w:id="1053888866">
          <w:marLeft w:val="0"/>
          <w:marRight w:val="0"/>
          <w:marTop w:val="0"/>
          <w:marBottom w:val="150"/>
          <w:divBdr>
            <w:top w:val="none" w:sz="0" w:space="0" w:color="auto"/>
            <w:left w:val="none" w:sz="0" w:space="0" w:color="auto"/>
            <w:bottom w:val="none" w:sz="0" w:space="0" w:color="auto"/>
            <w:right w:val="none" w:sz="0" w:space="0" w:color="auto"/>
          </w:divBdr>
        </w:div>
      </w:divsChild>
    </w:div>
    <w:div w:id="1903364550">
      <w:bodyDiv w:val="1"/>
      <w:marLeft w:val="0"/>
      <w:marRight w:val="0"/>
      <w:marTop w:val="0"/>
      <w:marBottom w:val="0"/>
      <w:divBdr>
        <w:top w:val="none" w:sz="0" w:space="0" w:color="auto"/>
        <w:left w:val="none" w:sz="0" w:space="0" w:color="auto"/>
        <w:bottom w:val="none" w:sz="0" w:space="0" w:color="auto"/>
        <w:right w:val="none" w:sz="0" w:space="0" w:color="auto"/>
      </w:divBdr>
      <w:divsChild>
        <w:div w:id="1384138790">
          <w:marLeft w:val="0"/>
          <w:marRight w:val="0"/>
          <w:marTop w:val="0"/>
          <w:marBottom w:val="0"/>
          <w:divBdr>
            <w:top w:val="none" w:sz="0" w:space="0" w:color="auto"/>
            <w:left w:val="none" w:sz="0" w:space="0" w:color="auto"/>
            <w:bottom w:val="none" w:sz="0" w:space="0" w:color="auto"/>
            <w:right w:val="none" w:sz="0" w:space="0" w:color="auto"/>
          </w:divBdr>
        </w:div>
        <w:div w:id="1396975547">
          <w:marLeft w:val="0"/>
          <w:marRight w:val="0"/>
          <w:marTop w:val="0"/>
          <w:marBottom w:val="0"/>
          <w:divBdr>
            <w:top w:val="none" w:sz="0" w:space="0" w:color="auto"/>
            <w:left w:val="none" w:sz="0" w:space="0" w:color="auto"/>
            <w:bottom w:val="none" w:sz="0" w:space="0" w:color="auto"/>
            <w:right w:val="none" w:sz="0" w:space="0" w:color="auto"/>
          </w:divBdr>
        </w:div>
        <w:div w:id="2045865660">
          <w:marLeft w:val="0"/>
          <w:marRight w:val="0"/>
          <w:marTop w:val="0"/>
          <w:marBottom w:val="0"/>
          <w:divBdr>
            <w:top w:val="none" w:sz="0" w:space="0" w:color="auto"/>
            <w:left w:val="none" w:sz="0" w:space="0" w:color="auto"/>
            <w:bottom w:val="none" w:sz="0" w:space="0" w:color="auto"/>
            <w:right w:val="none" w:sz="0" w:space="0" w:color="auto"/>
          </w:divBdr>
        </w:div>
      </w:divsChild>
    </w:div>
    <w:div w:id="1903370886">
      <w:bodyDiv w:val="1"/>
      <w:marLeft w:val="0"/>
      <w:marRight w:val="0"/>
      <w:marTop w:val="0"/>
      <w:marBottom w:val="0"/>
      <w:divBdr>
        <w:top w:val="none" w:sz="0" w:space="0" w:color="auto"/>
        <w:left w:val="none" w:sz="0" w:space="0" w:color="auto"/>
        <w:bottom w:val="none" w:sz="0" w:space="0" w:color="auto"/>
        <w:right w:val="none" w:sz="0" w:space="0" w:color="auto"/>
      </w:divBdr>
      <w:divsChild>
        <w:div w:id="199169429">
          <w:marLeft w:val="0"/>
          <w:marRight w:val="0"/>
          <w:marTop w:val="0"/>
          <w:marBottom w:val="150"/>
          <w:divBdr>
            <w:top w:val="none" w:sz="0" w:space="0" w:color="auto"/>
            <w:left w:val="none" w:sz="0" w:space="0" w:color="auto"/>
            <w:bottom w:val="none" w:sz="0" w:space="0" w:color="auto"/>
            <w:right w:val="none" w:sz="0" w:space="0" w:color="auto"/>
          </w:divBdr>
          <w:divsChild>
            <w:div w:id="924193477">
              <w:marLeft w:val="0"/>
              <w:marRight w:val="0"/>
              <w:marTop w:val="0"/>
              <w:marBottom w:val="0"/>
              <w:divBdr>
                <w:top w:val="none" w:sz="0" w:space="0" w:color="auto"/>
                <w:left w:val="none" w:sz="0" w:space="0" w:color="auto"/>
                <w:bottom w:val="none" w:sz="0" w:space="0" w:color="auto"/>
                <w:right w:val="none" w:sz="0" w:space="0" w:color="auto"/>
              </w:divBdr>
            </w:div>
          </w:divsChild>
        </w:div>
        <w:div w:id="1195652640">
          <w:marLeft w:val="0"/>
          <w:marRight w:val="0"/>
          <w:marTop w:val="0"/>
          <w:marBottom w:val="0"/>
          <w:divBdr>
            <w:top w:val="none" w:sz="0" w:space="0" w:color="auto"/>
            <w:left w:val="none" w:sz="0" w:space="0" w:color="auto"/>
            <w:bottom w:val="none" w:sz="0" w:space="0" w:color="auto"/>
            <w:right w:val="none" w:sz="0" w:space="0" w:color="auto"/>
          </w:divBdr>
          <w:divsChild>
            <w:div w:id="1001927458">
              <w:marLeft w:val="0"/>
              <w:marRight w:val="0"/>
              <w:marTop w:val="0"/>
              <w:marBottom w:val="0"/>
              <w:divBdr>
                <w:top w:val="none" w:sz="0" w:space="0" w:color="auto"/>
                <w:left w:val="none" w:sz="0" w:space="0" w:color="auto"/>
                <w:bottom w:val="none" w:sz="0" w:space="0" w:color="auto"/>
                <w:right w:val="none" w:sz="0" w:space="0" w:color="auto"/>
              </w:divBdr>
            </w:div>
          </w:divsChild>
        </w:div>
        <w:div w:id="1970822618">
          <w:marLeft w:val="0"/>
          <w:marRight w:val="0"/>
          <w:marTop w:val="0"/>
          <w:marBottom w:val="150"/>
          <w:divBdr>
            <w:top w:val="none" w:sz="0" w:space="0" w:color="auto"/>
            <w:left w:val="none" w:sz="0" w:space="0" w:color="auto"/>
            <w:bottom w:val="none" w:sz="0" w:space="0" w:color="auto"/>
            <w:right w:val="none" w:sz="0" w:space="0" w:color="auto"/>
          </w:divBdr>
        </w:div>
      </w:divsChild>
    </w:div>
    <w:div w:id="1904370999">
      <w:bodyDiv w:val="1"/>
      <w:marLeft w:val="0"/>
      <w:marRight w:val="0"/>
      <w:marTop w:val="0"/>
      <w:marBottom w:val="0"/>
      <w:divBdr>
        <w:top w:val="none" w:sz="0" w:space="0" w:color="auto"/>
        <w:left w:val="none" w:sz="0" w:space="0" w:color="auto"/>
        <w:bottom w:val="none" w:sz="0" w:space="0" w:color="auto"/>
        <w:right w:val="none" w:sz="0" w:space="0" w:color="auto"/>
      </w:divBdr>
      <w:divsChild>
        <w:div w:id="773671877">
          <w:marLeft w:val="0"/>
          <w:marRight w:val="0"/>
          <w:marTop w:val="0"/>
          <w:marBottom w:val="0"/>
          <w:divBdr>
            <w:top w:val="none" w:sz="0" w:space="8" w:color="auto"/>
            <w:left w:val="none" w:sz="0" w:space="2" w:color="auto"/>
            <w:bottom w:val="single" w:sz="6" w:space="8" w:color="DDDDDD"/>
            <w:right w:val="none" w:sz="0" w:space="0" w:color="auto"/>
          </w:divBdr>
        </w:div>
        <w:div w:id="1949118463">
          <w:marLeft w:val="0"/>
          <w:marRight w:val="0"/>
          <w:marTop w:val="150"/>
          <w:marBottom w:val="0"/>
          <w:divBdr>
            <w:top w:val="none" w:sz="0" w:space="0" w:color="auto"/>
            <w:left w:val="none" w:sz="0" w:space="0" w:color="auto"/>
            <w:bottom w:val="none" w:sz="0" w:space="0" w:color="auto"/>
            <w:right w:val="none" w:sz="0" w:space="0" w:color="auto"/>
          </w:divBdr>
          <w:divsChild>
            <w:div w:id="613054335">
              <w:marLeft w:val="0"/>
              <w:marRight w:val="150"/>
              <w:marTop w:val="0"/>
              <w:marBottom w:val="0"/>
              <w:divBdr>
                <w:top w:val="none" w:sz="0" w:space="0" w:color="auto"/>
                <w:left w:val="none" w:sz="0" w:space="0" w:color="auto"/>
                <w:bottom w:val="none" w:sz="0" w:space="0" w:color="auto"/>
                <w:right w:val="none" w:sz="0" w:space="0" w:color="auto"/>
              </w:divBdr>
              <w:divsChild>
                <w:div w:id="151992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413241">
      <w:bodyDiv w:val="1"/>
      <w:marLeft w:val="0"/>
      <w:marRight w:val="0"/>
      <w:marTop w:val="0"/>
      <w:marBottom w:val="0"/>
      <w:divBdr>
        <w:top w:val="none" w:sz="0" w:space="0" w:color="auto"/>
        <w:left w:val="none" w:sz="0" w:space="0" w:color="auto"/>
        <w:bottom w:val="none" w:sz="0" w:space="0" w:color="auto"/>
        <w:right w:val="none" w:sz="0" w:space="0" w:color="auto"/>
      </w:divBdr>
      <w:divsChild>
        <w:div w:id="9142140">
          <w:marLeft w:val="0"/>
          <w:marRight w:val="0"/>
          <w:marTop w:val="0"/>
          <w:marBottom w:val="225"/>
          <w:divBdr>
            <w:top w:val="none" w:sz="0" w:space="0" w:color="auto"/>
            <w:left w:val="none" w:sz="0" w:space="0" w:color="auto"/>
            <w:bottom w:val="none" w:sz="0" w:space="0" w:color="auto"/>
            <w:right w:val="none" w:sz="0" w:space="0" w:color="auto"/>
          </w:divBdr>
          <w:divsChild>
            <w:div w:id="665671689">
              <w:marLeft w:val="0"/>
              <w:marRight w:val="0"/>
              <w:marTop w:val="0"/>
              <w:marBottom w:val="0"/>
              <w:divBdr>
                <w:top w:val="none" w:sz="0" w:space="0" w:color="auto"/>
                <w:left w:val="none" w:sz="0" w:space="0" w:color="auto"/>
                <w:bottom w:val="none" w:sz="0" w:space="0" w:color="auto"/>
                <w:right w:val="none" w:sz="0" w:space="0" w:color="auto"/>
              </w:divBdr>
              <w:divsChild>
                <w:div w:id="116635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390748">
          <w:marLeft w:val="0"/>
          <w:marRight w:val="0"/>
          <w:marTop w:val="0"/>
          <w:marBottom w:val="225"/>
          <w:divBdr>
            <w:top w:val="none" w:sz="0" w:space="0" w:color="auto"/>
            <w:left w:val="none" w:sz="0" w:space="0" w:color="auto"/>
            <w:bottom w:val="none" w:sz="0" w:space="0" w:color="auto"/>
            <w:right w:val="none" w:sz="0" w:space="0" w:color="auto"/>
          </w:divBdr>
        </w:div>
      </w:divsChild>
    </w:div>
    <w:div w:id="1905412540">
      <w:bodyDiv w:val="1"/>
      <w:marLeft w:val="0"/>
      <w:marRight w:val="0"/>
      <w:marTop w:val="0"/>
      <w:marBottom w:val="0"/>
      <w:divBdr>
        <w:top w:val="none" w:sz="0" w:space="0" w:color="auto"/>
        <w:left w:val="none" w:sz="0" w:space="0" w:color="auto"/>
        <w:bottom w:val="none" w:sz="0" w:space="0" w:color="auto"/>
        <w:right w:val="none" w:sz="0" w:space="0" w:color="auto"/>
      </w:divBdr>
      <w:divsChild>
        <w:div w:id="1737044862">
          <w:marLeft w:val="0"/>
          <w:marRight w:val="0"/>
          <w:marTop w:val="0"/>
          <w:marBottom w:val="0"/>
          <w:divBdr>
            <w:top w:val="none" w:sz="0" w:space="0" w:color="auto"/>
            <w:left w:val="none" w:sz="0" w:space="0" w:color="auto"/>
            <w:bottom w:val="dotted" w:sz="6" w:space="4" w:color="DDDDDD"/>
            <w:right w:val="none" w:sz="0" w:space="0" w:color="auto"/>
          </w:divBdr>
          <w:divsChild>
            <w:div w:id="146893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52843">
      <w:bodyDiv w:val="1"/>
      <w:marLeft w:val="0"/>
      <w:marRight w:val="0"/>
      <w:marTop w:val="0"/>
      <w:marBottom w:val="0"/>
      <w:divBdr>
        <w:top w:val="none" w:sz="0" w:space="0" w:color="auto"/>
        <w:left w:val="none" w:sz="0" w:space="0" w:color="auto"/>
        <w:bottom w:val="none" w:sz="0" w:space="0" w:color="auto"/>
        <w:right w:val="none" w:sz="0" w:space="0" w:color="auto"/>
      </w:divBdr>
    </w:div>
    <w:div w:id="1905950594">
      <w:bodyDiv w:val="1"/>
      <w:marLeft w:val="0"/>
      <w:marRight w:val="0"/>
      <w:marTop w:val="0"/>
      <w:marBottom w:val="0"/>
      <w:divBdr>
        <w:top w:val="none" w:sz="0" w:space="0" w:color="auto"/>
        <w:left w:val="none" w:sz="0" w:space="0" w:color="auto"/>
        <w:bottom w:val="none" w:sz="0" w:space="0" w:color="auto"/>
        <w:right w:val="none" w:sz="0" w:space="0" w:color="auto"/>
      </w:divBdr>
      <w:divsChild>
        <w:div w:id="1005280452">
          <w:marLeft w:val="0"/>
          <w:marRight w:val="0"/>
          <w:marTop w:val="0"/>
          <w:marBottom w:val="150"/>
          <w:divBdr>
            <w:top w:val="none" w:sz="0" w:space="0" w:color="auto"/>
            <w:left w:val="none" w:sz="0" w:space="0" w:color="auto"/>
            <w:bottom w:val="none" w:sz="0" w:space="0" w:color="auto"/>
            <w:right w:val="none" w:sz="0" w:space="0" w:color="auto"/>
          </w:divBdr>
        </w:div>
        <w:div w:id="1884512581">
          <w:marLeft w:val="0"/>
          <w:marRight w:val="0"/>
          <w:marTop w:val="0"/>
          <w:marBottom w:val="0"/>
          <w:divBdr>
            <w:top w:val="none" w:sz="0" w:space="0" w:color="auto"/>
            <w:left w:val="none" w:sz="0" w:space="0" w:color="auto"/>
            <w:bottom w:val="none" w:sz="0" w:space="0" w:color="auto"/>
            <w:right w:val="none" w:sz="0" w:space="0" w:color="auto"/>
          </w:divBdr>
        </w:div>
      </w:divsChild>
    </w:div>
    <w:div w:id="1906407754">
      <w:bodyDiv w:val="1"/>
      <w:marLeft w:val="0"/>
      <w:marRight w:val="0"/>
      <w:marTop w:val="0"/>
      <w:marBottom w:val="0"/>
      <w:divBdr>
        <w:top w:val="none" w:sz="0" w:space="0" w:color="auto"/>
        <w:left w:val="none" w:sz="0" w:space="0" w:color="auto"/>
        <w:bottom w:val="none" w:sz="0" w:space="0" w:color="auto"/>
        <w:right w:val="none" w:sz="0" w:space="0" w:color="auto"/>
      </w:divBdr>
      <w:divsChild>
        <w:div w:id="1029648147">
          <w:marLeft w:val="0"/>
          <w:marRight w:val="0"/>
          <w:marTop w:val="0"/>
          <w:marBottom w:val="0"/>
          <w:divBdr>
            <w:top w:val="none" w:sz="0" w:space="0" w:color="auto"/>
            <w:left w:val="none" w:sz="0" w:space="0" w:color="auto"/>
            <w:bottom w:val="dotted" w:sz="6" w:space="4" w:color="DDDDDD"/>
            <w:right w:val="none" w:sz="0" w:space="0" w:color="auto"/>
          </w:divBdr>
          <w:divsChild>
            <w:div w:id="86783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602383">
      <w:bodyDiv w:val="1"/>
      <w:marLeft w:val="0"/>
      <w:marRight w:val="0"/>
      <w:marTop w:val="0"/>
      <w:marBottom w:val="0"/>
      <w:divBdr>
        <w:top w:val="none" w:sz="0" w:space="0" w:color="auto"/>
        <w:left w:val="none" w:sz="0" w:space="0" w:color="auto"/>
        <w:bottom w:val="none" w:sz="0" w:space="0" w:color="auto"/>
        <w:right w:val="none" w:sz="0" w:space="0" w:color="auto"/>
      </w:divBdr>
      <w:divsChild>
        <w:div w:id="383677431">
          <w:marLeft w:val="0"/>
          <w:marRight w:val="0"/>
          <w:marTop w:val="0"/>
          <w:marBottom w:val="150"/>
          <w:divBdr>
            <w:top w:val="none" w:sz="0" w:space="0" w:color="auto"/>
            <w:left w:val="none" w:sz="0" w:space="0" w:color="auto"/>
            <w:bottom w:val="none" w:sz="0" w:space="0" w:color="auto"/>
            <w:right w:val="none" w:sz="0" w:space="0" w:color="auto"/>
          </w:divBdr>
        </w:div>
      </w:divsChild>
    </w:div>
    <w:div w:id="1906605172">
      <w:bodyDiv w:val="1"/>
      <w:marLeft w:val="0"/>
      <w:marRight w:val="0"/>
      <w:marTop w:val="0"/>
      <w:marBottom w:val="0"/>
      <w:divBdr>
        <w:top w:val="none" w:sz="0" w:space="0" w:color="auto"/>
        <w:left w:val="none" w:sz="0" w:space="0" w:color="auto"/>
        <w:bottom w:val="none" w:sz="0" w:space="0" w:color="auto"/>
        <w:right w:val="none" w:sz="0" w:space="0" w:color="auto"/>
      </w:divBdr>
      <w:divsChild>
        <w:div w:id="1576085063">
          <w:marLeft w:val="0"/>
          <w:marRight w:val="0"/>
          <w:marTop w:val="0"/>
          <w:marBottom w:val="150"/>
          <w:divBdr>
            <w:top w:val="none" w:sz="0" w:space="0" w:color="auto"/>
            <w:left w:val="none" w:sz="0" w:space="0" w:color="auto"/>
            <w:bottom w:val="none" w:sz="0" w:space="0" w:color="auto"/>
            <w:right w:val="none" w:sz="0" w:space="0" w:color="auto"/>
          </w:divBdr>
          <w:divsChild>
            <w:div w:id="1381976312">
              <w:marLeft w:val="0"/>
              <w:marRight w:val="0"/>
              <w:marTop w:val="0"/>
              <w:marBottom w:val="0"/>
              <w:divBdr>
                <w:top w:val="none" w:sz="0" w:space="0" w:color="auto"/>
                <w:left w:val="none" w:sz="0" w:space="0" w:color="auto"/>
                <w:bottom w:val="none" w:sz="0" w:space="0" w:color="auto"/>
                <w:right w:val="none" w:sz="0" w:space="0" w:color="auto"/>
              </w:divBdr>
              <w:divsChild>
                <w:div w:id="1403527035">
                  <w:marLeft w:val="0"/>
                  <w:marRight w:val="0"/>
                  <w:marTop w:val="0"/>
                  <w:marBottom w:val="0"/>
                  <w:divBdr>
                    <w:top w:val="none" w:sz="0" w:space="0" w:color="auto"/>
                    <w:left w:val="none" w:sz="0" w:space="0" w:color="auto"/>
                    <w:bottom w:val="none" w:sz="0" w:space="0" w:color="auto"/>
                    <w:right w:val="none" w:sz="0" w:space="0" w:color="auto"/>
                  </w:divBdr>
                  <w:divsChild>
                    <w:div w:id="1641377785">
                      <w:marLeft w:val="0"/>
                      <w:marRight w:val="150"/>
                      <w:marTop w:val="0"/>
                      <w:marBottom w:val="0"/>
                      <w:divBdr>
                        <w:top w:val="none" w:sz="0" w:space="0" w:color="auto"/>
                        <w:left w:val="none" w:sz="0" w:space="0" w:color="auto"/>
                        <w:bottom w:val="none" w:sz="0" w:space="0" w:color="auto"/>
                        <w:right w:val="none" w:sz="0" w:space="0" w:color="auto"/>
                      </w:divBdr>
                      <w:divsChild>
                        <w:div w:id="195902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148745">
          <w:marLeft w:val="0"/>
          <w:marRight w:val="0"/>
          <w:marTop w:val="0"/>
          <w:marBottom w:val="150"/>
          <w:divBdr>
            <w:top w:val="none" w:sz="0" w:space="0" w:color="auto"/>
            <w:left w:val="none" w:sz="0" w:space="0" w:color="auto"/>
            <w:bottom w:val="none" w:sz="0" w:space="0" w:color="auto"/>
            <w:right w:val="none" w:sz="0" w:space="0" w:color="auto"/>
          </w:divBdr>
        </w:div>
        <w:div w:id="1094280289">
          <w:marLeft w:val="0"/>
          <w:marRight w:val="0"/>
          <w:marTop w:val="0"/>
          <w:marBottom w:val="0"/>
          <w:divBdr>
            <w:top w:val="none" w:sz="0" w:space="0" w:color="auto"/>
            <w:left w:val="none" w:sz="0" w:space="0" w:color="auto"/>
            <w:bottom w:val="none" w:sz="0" w:space="0" w:color="auto"/>
            <w:right w:val="none" w:sz="0" w:space="0" w:color="auto"/>
          </w:divBdr>
          <w:divsChild>
            <w:div w:id="13385076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06606020">
      <w:bodyDiv w:val="1"/>
      <w:marLeft w:val="0"/>
      <w:marRight w:val="0"/>
      <w:marTop w:val="0"/>
      <w:marBottom w:val="0"/>
      <w:divBdr>
        <w:top w:val="none" w:sz="0" w:space="0" w:color="auto"/>
        <w:left w:val="none" w:sz="0" w:space="0" w:color="auto"/>
        <w:bottom w:val="none" w:sz="0" w:space="0" w:color="auto"/>
        <w:right w:val="none" w:sz="0" w:space="0" w:color="auto"/>
      </w:divBdr>
      <w:divsChild>
        <w:div w:id="2044478195">
          <w:marLeft w:val="0"/>
          <w:marRight w:val="0"/>
          <w:marTop w:val="0"/>
          <w:marBottom w:val="150"/>
          <w:divBdr>
            <w:top w:val="none" w:sz="0" w:space="0" w:color="auto"/>
            <w:left w:val="none" w:sz="0" w:space="0" w:color="auto"/>
            <w:bottom w:val="none" w:sz="0" w:space="0" w:color="auto"/>
            <w:right w:val="none" w:sz="0" w:space="0" w:color="auto"/>
          </w:divBdr>
        </w:div>
      </w:divsChild>
    </w:div>
    <w:div w:id="1907259402">
      <w:bodyDiv w:val="1"/>
      <w:marLeft w:val="0"/>
      <w:marRight w:val="0"/>
      <w:marTop w:val="0"/>
      <w:marBottom w:val="0"/>
      <w:divBdr>
        <w:top w:val="none" w:sz="0" w:space="0" w:color="auto"/>
        <w:left w:val="none" w:sz="0" w:space="0" w:color="auto"/>
        <w:bottom w:val="none" w:sz="0" w:space="0" w:color="auto"/>
        <w:right w:val="none" w:sz="0" w:space="0" w:color="auto"/>
      </w:divBdr>
    </w:div>
    <w:div w:id="1907373379">
      <w:bodyDiv w:val="1"/>
      <w:marLeft w:val="0"/>
      <w:marRight w:val="0"/>
      <w:marTop w:val="0"/>
      <w:marBottom w:val="0"/>
      <w:divBdr>
        <w:top w:val="none" w:sz="0" w:space="0" w:color="auto"/>
        <w:left w:val="none" w:sz="0" w:space="0" w:color="auto"/>
        <w:bottom w:val="none" w:sz="0" w:space="0" w:color="auto"/>
        <w:right w:val="none" w:sz="0" w:space="0" w:color="auto"/>
      </w:divBdr>
      <w:divsChild>
        <w:div w:id="1658151575">
          <w:marLeft w:val="0"/>
          <w:marRight w:val="0"/>
          <w:marTop w:val="0"/>
          <w:marBottom w:val="0"/>
          <w:divBdr>
            <w:top w:val="none" w:sz="0" w:space="0" w:color="auto"/>
            <w:left w:val="none" w:sz="0" w:space="0" w:color="auto"/>
            <w:bottom w:val="dotted" w:sz="6" w:space="4" w:color="DDDDDD"/>
            <w:right w:val="none" w:sz="0" w:space="0" w:color="auto"/>
          </w:divBdr>
          <w:divsChild>
            <w:div w:id="39716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379282">
      <w:bodyDiv w:val="1"/>
      <w:marLeft w:val="0"/>
      <w:marRight w:val="0"/>
      <w:marTop w:val="0"/>
      <w:marBottom w:val="0"/>
      <w:divBdr>
        <w:top w:val="none" w:sz="0" w:space="0" w:color="auto"/>
        <w:left w:val="none" w:sz="0" w:space="0" w:color="auto"/>
        <w:bottom w:val="none" w:sz="0" w:space="0" w:color="auto"/>
        <w:right w:val="none" w:sz="0" w:space="0" w:color="auto"/>
      </w:divBdr>
    </w:div>
    <w:div w:id="1908104486">
      <w:bodyDiv w:val="1"/>
      <w:marLeft w:val="0"/>
      <w:marRight w:val="0"/>
      <w:marTop w:val="0"/>
      <w:marBottom w:val="0"/>
      <w:divBdr>
        <w:top w:val="none" w:sz="0" w:space="0" w:color="auto"/>
        <w:left w:val="none" w:sz="0" w:space="0" w:color="auto"/>
        <w:bottom w:val="none" w:sz="0" w:space="0" w:color="auto"/>
        <w:right w:val="none" w:sz="0" w:space="0" w:color="auto"/>
      </w:divBdr>
      <w:divsChild>
        <w:div w:id="1117067643">
          <w:marLeft w:val="0"/>
          <w:marRight w:val="0"/>
          <w:marTop w:val="0"/>
          <w:marBottom w:val="0"/>
          <w:divBdr>
            <w:top w:val="none" w:sz="0" w:space="0" w:color="auto"/>
            <w:left w:val="none" w:sz="0" w:space="0" w:color="auto"/>
            <w:bottom w:val="none" w:sz="0" w:space="0" w:color="auto"/>
            <w:right w:val="none" w:sz="0" w:space="0" w:color="auto"/>
          </w:divBdr>
        </w:div>
        <w:div w:id="1839878596">
          <w:marLeft w:val="0"/>
          <w:marRight w:val="0"/>
          <w:marTop w:val="0"/>
          <w:marBottom w:val="0"/>
          <w:divBdr>
            <w:top w:val="none" w:sz="0" w:space="0" w:color="auto"/>
            <w:left w:val="none" w:sz="0" w:space="0" w:color="auto"/>
            <w:bottom w:val="none" w:sz="0" w:space="0" w:color="auto"/>
            <w:right w:val="none" w:sz="0" w:space="0" w:color="auto"/>
          </w:divBdr>
          <w:divsChild>
            <w:div w:id="610402867">
              <w:marLeft w:val="0"/>
              <w:marRight w:val="0"/>
              <w:marTop w:val="0"/>
              <w:marBottom w:val="0"/>
              <w:divBdr>
                <w:top w:val="none" w:sz="0" w:space="0" w:color="auto"/>
                <w:left w:val="none" w:sz="0" w:space="0" w:color="auto"/>
                <w:bottom w:val="none" w:sz="0" w:space="0" w:color="auto"/>
                <w:right w:val="none" w:sz="0" w:space="0" w:color="auto"/>
              </w:divBdr>
            </w:div>
            <w:div w:id="162099180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08687580">
      <w:bodyDiv w:val="1"/>
      <w:marLeft w:val="0"/>
      <w:marRight w:val="0"/>
      <w:marTop w:val="0"/>
      <w:marBottom w:val="0"/>
      <w:divBdr>
        <w:top w:val="none" w:sz="0" w:space="0" w:color="auto"/>
        <w:left w:val="none" w:sz="0" w:space="0" w:color="auto"/>
        <w:bottom w:val="none" w:sz="0" w:space="0" w:color="auto"/>
        <w:right w:val="none" w:sz="0" w:space="0" w:color="auto"/>
      </w:divBdr>
    </w:div>
    <w:div w:id="1908759814">
      <w:bodyDiv w:val="1"/>
      <w:marLeft w:val="0"/>
      <w:marRight w:val="0"/>
      <w:marTop w:val="0"/>
      <w:marBottom w:val="0"/>
      <w:divBdr>
        <w:top w:val="none" w:sz="0" w:space="0" w:color="auto"/>
        <w:left w:val="none" w:sz="0" w:space="0" w:color="auto"/>
        <w:bottom w:val="none" w:sz="0" w:space="0" w:color="auto"/>
        <w:right w:val="none" w:sz="0" w:space="0" w:color="auto"/>
      </w:divBdr>
      <w:divsChild>
        <w:div w:id="692271137">
          <w:marLeft w:val="0"/>
          <w:marRight w:val="0"/>
          <w:marTop w:val="0"/>
          <w:marBottom w:val="0"/>
          <w:divBdr>
            <w:top w:val="none" w:sz="0" w:space="0" w:color="auto"/>
            <w:left w:val="none" w:sz="0" w:space="0" w:color="auto"/>
            <w:bottom w:val="none" w:sz="0" w:space="0" w:color="auto"/>
            <w:right w:val="none" w:sz="0" w:space="0" w:color="auto"/>
          </w:divBdr>
        </w:div>
      </w:divsChild>
    </w:div>
    <w:div w:id="1909027650">
      <w:bodyDiv w:val="1"/>
      <w:marLeft w:val="0"/>
      <w:marRight w:val="0"/>
      <w:marTop w:val="0"/>
      <w:marBottom w:val="0"/>
      <w:divBdr>
        <w:top w:val="none" w:sz="0" w:space="0" w:color="auto"/>
        <w:left w:val="none" w:sz="0" w:space="0" w:color="auto"/>
        <w:bottom w:val="none" w:sz="0" w:space="0" w:color="auto"/>
        <w:right w:val="none" w:sz="0" w:space="0" w:color="auto"/>
      </w:divBdr>
      <w:divsChild>
        <w:div w:id="1726761809">
          <w:marLeft w:val="0"/>
          <w:marRight w:val="0"/>
          <w:marTop w:val="0"/>
          <w:marBottom w:val="150"/>
          <w:divBdr>
            <w:top w:val="none" w:sz="0" w:space="0" w:color="auto"/>
            <w:left w:val="none" w:sz="0" w:space="0" w:color="auto"/>
            <w:bottom w:val="none" w:sz="0" w:space="0" w:color="auto"/>
            <w:right w:val="none" w:sz="0" w:space="0" w:color="auto"/>
          </w:divBdr>
        </w:div>
      </w:divsChild>
    </w:div>
    <w:div w:id="1909264629">
      <w:bodyDiv w:val="1"/>
      <w:marLeft w:val="0"/>
      <w:marRight w:val="0"/>
      <w:marTop w:val="0"/>
      <w:marBottom w:val="0"/>
      <w:divBdr>
        <w:top w:val="none" w:sz="0" w:space="0" w:color="auto"/>
        <w:left w:val="none" w:sz="0" w:space="0" w:color="auto"/>
        <w:bottom w:val="none" w:sz="0" w:space="0" w:color="auto"/>
        <w:right w:val="none" w:sz="0" w:space="0" w:color="auto"/>
      </w:divBdr>
      <w:divsChild>
        <w:div w:id="113600245">
          <w:marLeft w:val="0"/>
          <w:marRight w:val="0"/>
          <w:marTop w:val="0"/>
          <w:marBottom w:val="0"/>
          <w:divBdr>
            <w:top w:val="none" w:sz="0" w:space="0" w:color="auto"/>
            <w:left w:val="none" w:sz="0" w:space="0" w:color="auto"/>
            <w:bottom w:val="none" w:sz="0" w:space="0" w:color="auto"/>
            <w:right w:val="none" w:sz="0" w:space="0" w:color="auto"/>
          </w:divBdr>
        </w:div>
      </w:divsChild>
    </w:div>
    <w:div w:id="1909270694">
      <w:bodyDiv w:val="1"/>
      <w:marLeft w:val="0"/>
      <w:marRight w:val="0"/>
      <w:marTop w:val="0"/>
      <w:marBottom w:val="0"/>
      <w:divBdr>
        <w:top w:val="none" w:sz="0" w:space="0" w:color="auto"/>
        <w:left w:val="none" w:sz="0" w:space="0" w:color="auto"/>
        <w:bottom w:val="none" w:sz="0" w:space="0" w:color="auto"/>
        <w:right w:val="none" w:sz="0" w:space="0" w:color="auto"/>
      </w:divBdr>
    </w:div>
    <w:div w:id="1909919680">
      <w:bodyDiv w:val="1"/>
      <w:marLeft w:val="0"/>
      <w:marRight w:val="0"/>
      <w:marTop w:val="0"/>
      <w:marBottom w:val="0"/>
      <w:divBdr>
        <w:top w:val="none" w:sz="0" w:space="0" w:color="auto"/>
        <w:left w:val="none" w:sz="0" w:space="0" w:color="auto"/>
        <w:bottom w:val="none" w:sz="0" w:space="0" w:color="auto"/>
        <w:right w:val="none" w:sz="0" w:space="0" w:color="auto"/>
      </w:divBdr>
      <w:divsChild>
        <w:div w:id="644164272">
          <w:marLeft w:val="0"/>
          <w:marRight w:val="0"/>
          <w:marTop w:val="0"/>
          <w:marBottom w:val="0"/>
          <w:divBdr>
            <w:top w:val="none" w:sz="0" w:space="0" w:color="auto"/>
            <w:left w:val="none" w:sz="0" w:space="0" w:color="auto"/>
            <w:bottom w:val="none" w:sz="0" w:space="0" w:color="auto"/>
            <w:right w:val="none" w:sz="0" w:space="0" w:color="auto"/>
          </w:divBdr>
          <w:divsChild>
            <w:div w:id="882209357">
              <w:marLeft w:val="0"/>
              <w:marRight w:val="0"/>
              <w:marTop w:val="0"/>
              <w:marBottom w:val="0"/>
              <w:divBdr>
                <w:top w:val="none" w:sz="0" w:space="0" w:color="auto"/>
                <w:left w:val="none" w:sz="0" w:space="0" w:color="auto"/>
                <w:bottom w:val="none" w:sz="0" w:space="0" w:color="auto"/>
                <w:right w:val="none" w:sz="0" w:space="0" w:color="auto"/>
              </w:divBdr>
            </w:div>
          </w:divsChild>
        </w:div>
        <w:div w:id="679283841">
          <w:marLeft w:val="0"/>
          <w:marRight w:val="0"/>
          <w:marTop w:val="0"/>
          <w:marBottom w:val="0"/>
          <w:divBdr>
            <w:top w:val="none" w:sz="0" w:space="0" w:color="auto"/>
            <w:left w:val="none" w:sz="0" w:space="0" w:color="auto"/>
            <w:bottom w:val="none" w:sz="0" w:space="0" w:color="auto"/>
            <w:right w:val="none" w:sz="0" w:space="0" w:color="auto"/>
          </w:divBdr>
        </w:div>
        <w:div w:id="373970880">
          <w:marLeft w:val="0"/>
          <w:marRight w:val="0"/>
          <w:marTop w:val="0"/>
          <w:marBottom w:val="0"/>
          <w:divBdr>
            <w:top w:val="none" w:sz="0" w:space="0" w:color="auto"/>
            <w:left w:val="none" w:sz="0" w:space="0" w:color="auto"/>
            <w:bottom w:val="none" w:sz="0" w:space="0" w:color="auto"/>
            <w:right w:val="none" w:sz="0" w:space="0" w:color="auto"/>
          </w:divBdr>
          <w:divsChild>
            <w:div w:id="710418098">
              <w:marLeft w:val="-225"/>
              <w:marRight w:val="-225"/>
              <w:marTop w:val="0"/>
              <w:marBottom w:val="0"/>
              <w:divBdr>
                <w:top w:val="none" w:sz="0" w:space="0" w:color="auto"/>
                <w:left w:val="none" w:sz="0" w:space="0" w:color="auto"/>
                <w:bottom w:val="none" w:sz="0" w:space="0" w:color="auto"/>
                <w:right w:val="none" w:sz="0" w:space="0" w:color="auto"/>
              </w:divBdr>
              <w:divsChild>
                <w:div w:id="1564559748">
                  <w:marLeft w:val="0"/>
                  <w:marRight w:val="0"/>
                  <w:marTop w:val="0"/>
                  <w:marBottom w:val="0"/>
                  <w:divBdr>
                    <w:top w:val="none" w:sz="0" w:space="0" w:color="auto"/>
                    <w:left w:val="none" w:sz="0" w:space="0" w:color="auto"/>
                    <w:bottom w:val="none" w:sz="0" w:space="0" w:color="auto"/>
                    <w:right w:val="single" w:sz="6" w:space="0" w:color="000000"/>
                  </w:divBdr>
                  <w:divsChild>
                    <w:div w:id="1173452253">
                      <w:marLeft w:val="0"/>
                      <w:marRight w:val="0"/>
                      <w:marTop w:val="0"/>
                      <w:marBottom w:val="0"/>
                      <w:divBdr>
                        <w:top w:val="none" w:sz="0" w:space="0" w:color="auto"/>
                        <w:left w:val="none" w:sz="0" w:space="0" w:color="auto"/>
                        <w:bottom w:val="none" w:sz="0" w:space="0" w:color="auto"/>
                        <w:right w:val="none" w:sz="0" w:space="0" w:color="auto"/>
                      </w:divBdr>
                      <w:divsChild>
                        <w:div w:id="752237112">
                          <w:marLeft w:val="0"/>
                          <w:marRight w:val="0"/>
                          <w:marTop w:val="0"/>
                          <w:marBottom w:val="0"/>
                          <w:divBdr>
                            <w:top w:val="none" w:sz="0" w:space="0" w:color="auto"/>
                            <w:left w:val="none" w:sz="0" w:space="0" w:color="auto"/>
                            <w:bottom w:val="none" w:sz="0" w:space="0" w:color="auto"/>
                            <w:right w:val="none" w:sz="0" w:space="0" w:color="auto"/>
                          </w:divBdr>
                        </w:div>
                        <w:div w:id="435028817">
                          <w:marLeft w:val="0"/>
                          <w:marRight w:val="0"/>
                          <w:marTop w:val="0"/>
                          <w:marBottom w:val="0"/>
                          <w:divBdr>
                            <w:top w:val="none" w:sz="0" w:space="0" w:color="auto"/>
                            <w:left w:val="none" w:sz="0" w:space="0" w:color="auto"/>
                            <w:bottom w:val="none" w:sz="0" w:space="0" w:color="auto"/>
                            <w:right w:val="none" w:sz="0" w:space="0" w:color="auto"/>
                          </w:divBdr>
                        </w:div>
                        <w:div w:id="1178078251">
                          <w:marLeft w:val="0"/>
                          <w:marRight w:val="0"/>
                          <w:marTop w:val="0"/>
                          <w:marBottom w:val="0"/>
                          <w:divBdr>
                            <w:top w:val="none" w:sz="0" w:space="0" w:color="auto"/>
                            <w:left w:val="none" w:sz="0" w:space="0" w:color="auto"/>
                            <w:bottom w:val="none" w:sz="0" w:space="0" w:color="auto"/>
                            <w:right w:val="none" w:sz="0" w:space="0" w:color="auto"/>
                          </w:divBdr>
                        </w:div>
                        <w:div w:id="1653756654">
                          <w:marLeft w:val="0"/>
                          <w:marRight w:val="0"/>
                          <w:marTop w:val="0"/>
                          <w:marBottom w:val="0"/>
                          <w:divBdr>
                            <w:top w:val="none" w:sz="0" w:space="0" w:color="auto"/>
                            <w:left w:val="none" w:sz="0" w:space="0" w:color="auto"/>
                            <w:bottom w:val="none" w:sz="0" w:space="0" w:color="auto"/>
                            <w:right w:val="none" w:sz="0" w:space="0" w:color="auto"/>
                          </w:divBdr>
                        </w:div>
                        <w:div w:id="34409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51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919966">
      <w:bodyDiv w:val="1"/>
      <w:marLeft w:val="0"/>
      <w:marRight w:val="0"/>
      <w:marTop w:val="0"/>
      <w:marBottom w:val="0"/>
      <w:divBdr>
        <w:top w:val="none" w:sz="0" w:space="0" w:color="auto"/>
        <w:left w:val="none" w:sz="0" w:space="0" w:color="auto"/>
        <w:bottom w:val="none" w:sz="0" w:space="0" w:color="auto"/>
        <w:right w:val="none" w:sz="0" w:space="0" w:color="auto"/>
      </w:divBdr>
    </w:div>
    <w:div w:id="1910380614">
      <w:bodyDiv w:val="1"/>
      <w:marLeft w:val="0"/>
      <w:marRight w:val="0"/>
      <w:marTop w:val="0"/>
      <w:marBottom w:val="0"/>
      <w:divBdr>
        <w:top w:val="none" w:sz="0" w:space="0" w:color="auto"/>
        <w:left w:val="none" w:sz="0" w:space="0" w:color="auto"/>
        <w:bottom w:val="none" w:sz="0" w:space="0" w:color="auto"/>
        <w:right w:val="none" w:sz="0" w:space="0" w:color="auto"/>
      </w:divBdr>
      <w:divsChild>
        <w:div w:id="1690062793">
          <w:marLeft w:val="0"/>
          <w:marRight w:val="0"/>
          <w:marTop w:val="0"/>
          <w:marBottom w:val="0"/>
          <w:divBdr>
            <w:top w:val="none" w:sz="0" w:space="0" w:color="auto"/>
            <w:left w:val="none" w:sz="0" w:space="0" w:color="auto"/>
            <w:bottom w:val="none" w:sz="0" w:space="0" w:color="auto"/>
            <w:right w:val="none" w:sz="0" w:space="0" w:color="auto"/>
          </w:divBdr>
        </w:div>
      </w:divsChild>
    </w:div>
    <w:div w:id="1910725680">
      <w:bodyDiv w:val="1"/>
      <w:marLeft w:val="0"/>
      <w:marRight w:val="0"/>
      <w:marTop w:val="0"/>
      <w:marBottom w:val="0"/>
      <w:divBdr>
        <w:top w:val="none" w:sz="0" w:space="0" w:color="auto"/>
        <w:left w:val="none" w:sz="0" w:space="0" w:color="auto"/>
        <w:bottom w:val="none" w:sz="0" w:space="0" w:color="auto"/>
        <w:right w:val="none" w:sz="0" w:space="0" w:color="auto"/>
      </w:divBdr>
      <w:divsChild>
        <w:div w:id="1193614304">
          <w:marLeft w:val="0"/>
          <w:marRight w:val="0"/>
          <w:marTop w:val="0"/>
          <w:marBottom w:val="0"/>
          <w:divBdr>
            <w:top w:val="none" w:sz="0" w:space="0" w:color="auto"/>
            <w:left w:val="none" w:sz="0" w:space="0" w:color="auto"/>
            <w:bottom w:val="none" w:sz="0" w:space="0" w:color="auto"/>
            <w:right w:val="none" w:sz="0" w:space="0" w:color="auto"/>
          </w:divBdr>
          <w:divsChild>
            <w:div w:id="1204754826">
              <w:marLeft w:val="0"/>
              <w:marRight w:val="0"/>
              <w:marTop w:val="0"/>
              <w:marBottom w:val="0"/>
              <w:divBdr>
                <w:top w:val="none" w:sz="0" w:space="0" w:color="auto"/>
                <w:left w:val="none" w:sz="0" w:space="0" w:color="auto"/>
                <w:bottom w:val="none" w:sz="0" w:space="0" w:color="auto"/>
                <w:right w:val="none" w:sz="0" w:space="0" w:color="auto"/>
              </w:divBdr>
              <w:divsChild>
                <w:div w:id="1511484275">
                  <w:marLeft w:val="0"/>
                  <w:marRight w:val="0"/>
                  <w:marTop w:val="0"/>
                  <w:marBottom w:val="0"/>
                  <w:divBdr>
                    <w:top w:val="none" w:sz="0" w:space="0" w:color="auto"/>
                    <w:left w:val="none" w:sz="0" w:space="0" w:color="auto"/>
                    <w:bottom w:val="none" w:sz="0" w:space="0" w:color="auto"/>
                    <w:right w:val="none" w:sz="0" w:space="0" w:color="auto"/>
                  </w:divBdr>
                  <w:divsChild>
                    <w:div w:id="1015691941">
                      <w:marLeft w:val="0"/>
                      <w:marRight w:val="0"/>
                      <w:marTop w:val="0"/>
                      <w:marBottom w:val="0"/>
                      <w:divBdr>
                        <w:top w:val="none" w:sz="0" w:space="0" w:color="auto"/>
                        <w:left w:val="none" w:sz="0" w:space="0" w:color="auto"/>
                        <w:bottom w:val="none" w:sz="0" w:space="0" w:color="auto"/>
                        <w:right w:val="none" w:sz="0" w:space="0" w:color="auto"/>
                      </w:divBdr>
                      <w:divsChild>
                        <w:div w:id="591427764">
                          <w:marLeft w:val="0"/>
                          <w:marRight w:val="0"/>
                          <w:marTop w:val="0"/>
                          <w:marBottom w:val="0"/>
                          <w:divBdr>
                            <w:top w:val="none" w:sz="0" w:space="0" w:color="auto"/>
                            <w:left w:val="none" w:sz="0" w:space="0" w:color="auto"/>
                            <w:bottom w:val="none" w:sz="0" w:space="0" w:color="auto"/>
                            <w:right w:val="none" w:sz="0" w:space="0" w:color="auto"/>
                          </w:divBdr>
                          <w:divsChild>
                            <w:div w:id="439881987">
                              <w:marLeft w:val="0"/>
                              <w:marRight w:val="0"/>
                              <w:marTop w:val="0"/>
                              <w:marBottom w:val="0"/>
                              <w:divBdr>
                                <w:top w:val="none" w:sz="0" w:space="0" w:color="auto"/>
                                <w:left w:val="none" w:sz="0" w:space="0" w:color="auto"/>
                                <w:bottom w:val="none" w:sz="0" w:space="0" w:color="auto"/>
                                <w:right w:val="none" w:sz="0" w:space="0" w:color="auto"/>
                              </w:divBdr>
                              <w:divsChild>
                                <w:div w:id="126746831">
                                  <w:marLeft w:val="0"/>
                                  <w:marRight w:val="0"/>
                                  <w:marTop w:val="0"/>
                                  <w:marBottom w:val="75"/>
                                  <w:divBdr>
                                    <w:top w:val="none" w:sz="0" w:space="0" w:color="auto"/>
                                    <w:left w:val="none" w:sz="0" w:space="0" w:color="auto"/>
                                    <w:bottom w:val="none" w:sz="0" w:space="0" w:color="auto"/>
                                    <w:right w:val="none" w:sz="0" w:space="0" w:color="auto"/>
                                  </w:divBdr>
                                  <w:divsChild>
                                    <w:div w:id="1715538825">
                                      <w:marLeft w:val="0"/>
                                      <w:marRight w:val="0"/>
                                      <w:marTop w:val="0"/>
                                      <w:marBottom w:val="0"/>
                                      <w:divBdr>
                                        <w:top w:val="none" w:sz="0" w:space="0" w:color="auto"/>
                                        <w:left w:val="none" w:sz="0" w:space="0" w:color="auto"/>
                                        <w:bottom w:val="none" w:sz="0" w:space="0" w:color="auto"/>
                                        <w:right w:val="none" w:sz="0" w:space="0" w:color="auto"/>
                                      </w:divBdr>
                                      <w:divsChild>
                                        <w:div w:id="470633533">
                                          <w:marLeft w:val="0"/>
                                          <w:marRight w:val="0"/>
                                          <w:marTop w:val="0"/>
                                          <w:marBottom w:val="0"/>
                                          <w:divBdr>
                                            <w:top w:val="none" w:sz="0" w:space="0" w:color="auto"/>
                                            <w:left w:val="none" w:sz="0" w:space="0" w:color="auto"/>
                                            <w:bottom w:val="none" w:sz="0" w:space="0" w:color="auto"/>
                                            <w:right w:val="none" w:sz="0" w:space="0" w:color="auto"/>
                                          </w:divBdr>
                                          <w:divsChild>
                                            <w:div w:id="907765341">
                                              <w:marLeft w:val="0"/>
                                              <w:marRight w:val="0"/>
                                              <w:marTop w:val="0"/>
                                              <w:marBottom w:val="0"/>
                                              <w:divBdr>
                                                <w:top w:val="none" w:sz="0" w:space="0" w:color="auto"/>
                                                <w:left w:val="none" w:sz="0" w:space="0" w:color="auto"/>
                                                <w:bottom w:val="none" w:sz="0" w:space="0" w:color="auto"/>
                                                <w:right w:val="none" w:sz="0" w:space="0" w:color="auto"/>
                                              </w:divBdr>
                                              <w:divsChild>
                                                <w:div w:id="68610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0771498">
      <w:bodyDiv w:val="1"/>
      <w:marLeft w:val="0"/>
      <w:marRight w:val="0"/>
      <w:marTop w:val="0"/>
      <w:marBottom w:val="0"/>
      <w:divBdr>
        <w:top w:val="none" w:sz="0" w:space="0" w:color="auto"/>
        <w:left w:val="none" w:sz="0" w:space="0" w:color="auto"/>
        <w:bottom w:val="none" w:sz="0" w:space="0" w:color="auto"/>
        <w:right w:val="none" w:sz="0" w:space="0" w:color="auto"/>
      </w:divBdr>
      <w:divsChild>
        <w:div w:id="1365135745">
          <w:marLeft w:val="0"/>
          <w:marRight w:val="0"/>
          <w:marTop w:val="0"/>
          <w:marBottom w:val="0"/>
          <w:divBdr>
            <w:top w:val="none" w:sz="0" w:space="0" w:color="auto"/>
            <w:left w:val="none" w:sz="0" w:space="0" w:color="auto"/>
            <w:bottom w:val="none" w:sz="0" w:space="0" w:color="auto"/>
            <w:right w:val="none" w:sz="0" w:space="0" w:color="auto"/>
          </w:divBdr>
          <w:divsChild>
            <w:div w:id="3265181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11303153">
      <w:bodyDiv w:val="1"/>
      <w:marLeft w:val="0"/>
      <w:marRight w:val="0"/>
      <w:marTop w:val="0"/>
      <w:marBottom w:val="0"/>
      <w:divBdr>
        <w:top w:val="none" w:sz="0" w:space="0" w:color="auto"/>
        <w:left w:val="none" w:sz="0" w:space="0" w:color="auto"/>
        <w:bottom w:val="none" w:sz="0" w:space="0" w:color="auto"/>
        <w:right w:val="none" w:sz="0" w:space="0" w:color="auto"/>
      </w:divBdr>
      <w:divsChild>
        <w:div w:id="1313561476">
          <w:marLeft w:val="0"/>
          <w:marRight w:val="0"/>
          <w:marTop w:val="0"/>
          <w:marBottom w:val="0"/>
          <w:divBdr>
            <w:top w:val="none" w:sz="0" w:space="0" w:color="auto"/>
            <w:left w:val="none" w:sz="0" w:space="0" w:color="auto"/>
            <w:bottom w:val="none" w:sz="0" w:space="0" w:color="auto"/>
            <w:right w:val="none" w:sz="0" w:space="0" w:color="auto"/>
          </w:divBdr>
          <w:divsChild>
            <w:div w:id="933633475">
              <w:marLeft w:val="0"/>
              <w:marRight w:val="0"/>
              <w:marTop w:val="0"/>
              <w:marBottom w:val="0"/>
              <w:divBdr>
                <w:top w:val="none" w:sz="0" w:space="0" w:color="auto"/>
                <w:left w:val="none" w:sz="0" w:space="0" w:color="auto"/>
                <w:bottom w:val="none" w:sz="0" w:space="0" w:color="auto"/>
                <w:right w:val="none" w:sz="0" w:space="0" w:color="auto"/>
              </w:divBdr>
              <w:divsChild>
                <w:div w:id="1261912647">
                  <w:marLeft w:val="0"/>
                  <w:marRight w:val="0"/>
                  <w:marTop w:val="0"/>
                  <w:marBottom w:val="0"/>
                  <w:divBdr>
                    <w:top w:val="none" w:sz="0" w:space="0" w:color="auto"/>
                    <w:left w:val="none" w:sz="0" w:space="0" w:color="auto"/>
                    <w:bottom w:val="none" w:sz="0" w:space="0" w:color="auto"/>
                    <w:right w:val="none" w:sz="0" w:space="0" w:color="auto"/>
                  </w:divBdr>
                  <w:divsChild>
                    <w:div w:id="921377082">
                      <w:marLeft w:val="0"/>
                      <w:marRight w:val="0"/>
                      <w:marTop w:val="0"/>
                      <w:marBottom w:val="0"/>
                      <w:divBdr>
                        <w:top w:val="none" w:sz="0" w:space="0" w:color="auto"/>
                        <w:left w:val="none" w:sz="0" w:space="0" w:color="auto"/>
                        <w:bottom w:val="none" w:sz="0" w:space="0" w:color="auto"/>
                        <w:right w:val="none" w:sz="0" w:space="0" w:color="auto"/>
                      </w:divBdr>
                      <w:divsChild>
                        <w:div w:id="909316188">
                          <w:marLeft w:val="0"/>
                          <w:marRight w:val="0"/>
                          <w:marTop w:val="0"/>
                          <w:marBottom w:val="0"/>
                          <w:divBdr>
                            <w:top w:val="none" w:sz="0" w:space="0" w:color="auto"/>
                            <w:left w:val="none" w:sz="0" w:space="0" w:color="auto"/>
                            <w:bottom w:val="none" w:sz="0" w:space="0" w:color="auto"/>
                            <w:right w:val="none" w:sz="0" w:space="0" w:color="auto"/>
                          </w:divBdr>
                          <w:divsChild>
                            <w:div w:id="1488863341">
                              <w:marLeft w:val="0"/>
                              <w:marRight w:val="0"/>
                              <w:marTop w:val="0"/>
                              <w:marBottom w:val="0"/>
                              <w:divBdr>
                                <w:top w:val="none" w:sz="0" w:space="0" w:color="auto"/>
                                <w:left w:val="none" w:sz="0" w:space="0" w:color="auto"/>
                                <w:bottom w:val="none" w:sz="0" w:space="0" w:color="auto"/>
                                <w:right w:val="none" w:sz="0" w:space="0" w:color="auto"/>
                              </w:divBdr>
                              <w:divsChild>
                                <w:div w:id="748575102">
                                  <w:marLeft w:val="0"/>
                                  <w:marRight w:val="0"/>
                                  <w:marTop w:val="0"/>
                                  <w:marBottom w:val="0"/>
                                  <w:divBdr>
                                    <w:top w:val="none" w:sz="0" w:space="0" w:color="auto"/>
                                    <w:left w:val="none" w:sz="0" w:space="0" w:color="auto"/>
                                    <w:bottom w:val="none" w:sz="0" w:space="0" w:color="auto"/>
                                    <w:right w:val="none" w:sz="0" w:space="0" w:color="auto"/>
                                  </w:divBdr>
                                  <w:divsChild>
                                    <w:div w:id="1159226449">
                                      <w:marLeft w:val="0"/>
                                      <w:marRight w:val="0"/>
                                      <w:marTop w:val="0"/>
                                      <w:marBottom w:val="0"/>
                                      <w:divBdr>
                                        <w:top w:val="none" w:sz="0" w:space="0" w:color="auto"/>
                                        <w:left w:val="none" w:sz="0" w:space="0" w:color="auto"/>
                                        <w:bottom w:val="none" w:sz="0" w:space="0" w:color="auto"/>
                                        <w:right w:val="none" w:sz="0" w:space="0" w:color="auto"/>
                                      </w:divBdr>
                                      <w:divsChild>
                                        <w:div w:id="148701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1816470">
      <w:bodyDiv w:val="1"/>
      <w:marLeft w:val="0"/>
      <w:marRight w:val="0"/>
      <w:marTop w:val="0"/>
      <w:marBottom w:val="0"/>
      <w:divBdr>
        <w:top w:val="none" w:sz="0" w:space="0" w:color="auto"/>
        <w:left w:val="none" w:sz="0" w:space="0" w:color="auto"/>
        <w:bottom w:val="none" w:sz="0" w:space="0" w:color="auto"/>
        <w:right w:val="none" w:sz="0" w:space="0" w:color="auto"/>
      </w:divBdr>
      <w:divsChild>
        <w:div w:id="23479701">
          <w:marLeft w:val="0"/>
          <w:marRight w:val="0"/>
          <w:marTop w:val="0"/>
          <w:marBottom w:val="0"/>
          <w:divBdr>
            <w:top w:val="none" w:sz="0" w:space="0" w:color="auto"/>
            <w:left w:val="none" w:sz="0" w:space="0" w:color="auto"/>
            <w:bottom w:val="none" w:sz="0" w:space="0" w:color="auto"/>
            <w:right w:val="none" w:sz="0" w:space="0" w:color="auto"/>
          </w:divBdr>
        </w:div>
      </w:divsChild>
    </w:div>
    <w:div w:id="1911957758">
      <w:bodyDiv w:val="1"/>
      <w:marLeft w:val="0"/>
      <w:marRight w:val="0"/>
      <w:marTop w:val="0"/>
      <w:marBottom w:val="0"/>
      <w:divBdr>
        <w:top w:val="none" w:sz="0" w:space="0" w:color="auto"/>
        <w:left w:val="none" w:sz="0" w:space="0" w:color="auto"/>
        <w:bottom w:val="none" w:sz="0" w:space="0" w:color="auto"/>
        <w:right w:val="none" w:sz="0" w:space="0" w:color="auto"/>
      </w:divBdr>
      <w:divsChild>
        <w:div w:id="462584192">
          <w:marLeft w:val="0"/>
          <w:marRight w:val="0"/>
          <w:marTop w:val="150"/>
          <w:marBottom w:val="0"/>
          <w:divBdr>
            <w:top w:val="none" w:sz="0" w:space="0" w:color="auto"/>
            <w:left w:val="none" w:sz="0" w:space="0" w:color="auto"/>
            <w:bottom w:val="none" w:sz="0" w:space="0" w:color="auto"/>
            <w:right w:val="none" w:sz="0" w:space="0" w:color="auto"/>
          </w:divBdr>
          <w:divsChild>
            <w:div w:id="744716981">
              <w:marLeft w:val="0"/>
              <w:marRight w:val="0"/>
              <w:marTop w:val="0"/>
              <w:marBottom w:val="0"/>
              <w:divBdr>
                <w:top w:val="none" w:sz="0" w:space="0" w:color="auto"/>
                <w:left w:val="none" w:sz="0" w:space="0" w:color="auto"/>
                <w:bottom w:val="single" w:sz="6" w:space="0" w:color="EFEFEF"/>
                <w:right w:val="none" w:sz="0" w:space="0" w:color="auto"/>
              </w:divBdr>
              <w:divsChild>
                <w:div w:id="316880518">
                  <w:marLeft w:val="0"/>
                  <w:marRight w:val="0"/>
                  <w:marTop w:val="0"/>
                  <w:marBottom w:val="0"/>
                  <w:divBdr>
                    <w:top w:val="none" w:sz="0" w:space="0" w:color="auto"/>
                    <w:left w:val="none" w:sz="0" w:space="0" w:color="auto"/>
                    <w:bottom w:val="none" w:sz="0" w:space="0" w:color="auto"/>
                    <w:right w:val="none" w:sz="0" w:space="0" w:color="auto"/>
                  </w:divBdr>
                </w:div>
                <w:div w:id="153927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5387">
          <w:marLeft w:val="0"/>
          <w:marRight w:val="0"/>
          <w:marTop w:val="300"/>
          <w:marBottom w:val="0"/>
          <w:divBdr>
            <w:top w:val="none" w:sz="0" w:space="0" w:color="auto"/>
            <w:left w:val="none" w:sz="0" w:space="0" w:color="auto"/>
            <w:bottom w:val="none" w:sz="0" w:space="0" w:color="auto"/>
            <w:right w:val="none" w:sz="0" w:space="0" w:color="auto"/>
          </w:divBdr>
          <w:divsChild>
            <w:div w:id="945699418">
              <w:marLeft w:val="-1350"/>
              <w:marRight w:val="0"/>
              <w:marTop w:val="0"/>
              <w:marBottom w:val="0"/>
              <w:divBdr>
                <w:top w:val="none" w:sz="0" w:space="0" w:color="auto"/>
                <w:left w:val="none" w:sz="0" w:space="0" w:color="auto"/>
                <w:bottom w:val="none" w:sz="0" w:space="0" w:color="auto"/>
                <w:right w:val="none" w:sz="0" w:space="0" w:color="auto"/>
              </w:divBdr>
              <w:divsChild>
                <w:div w:id="103154186">
                  <w:marLeft w:val="0"/>
                  <w:marRight w:val="0"/>
                  <w:marTop w:val="0"/>
                  <w:marBottom w:val="0"/>
                  <w:divBdr>
                    <w:top w:val="none" w:sz="0" w:space="0" w:color="auto"/>
                    <w:left w:val="none" w:sz="0" w:space="0" w:color="auto"/>
                    <w:bottom w:val="none" w:sz="0" w:space="0" w:color="auto"/>
                    <w:right w:val="none" w:sz="0" w:space="0" w:color="auto"/>
                  </w:divBdr>
                  <w:divsChild>
                    <w:div w:id="964694654">
                      <w:marLeft w:val="0"/>
                      <w:marRight w:val="0"/>
                      <w:marTop w:val="0"/>
                      <w:marBottom w:val="0"/>
                      <w:divBdr>
                        <w:top w:val="none" w:sz="0" w:space="0" w:color="auto"/>
                        <w:left w:val="none" w:sz="0" w:space="0" w:color="auto"/>
                        <w:bottom w:val="none" w:sz="0" w:space="0" w:color="auto"/>
                        <w:right w:val="none" w:sz="0" w:space="0" w:color="auto"/>
                      </w:divBdr>
                      <w:divsChild>
                        <w:div w:id="1220825112">
                          <w:marLeft w:val="0"/>
                          <w:marRight w:val="0"/>
                          <w:marTop w:val="0"/>
                          <w:marBottom w:val="0"/>
                          <w:divBdr>
                            <w:top w:val="single" w:sz="6" w:space="0" w:color="C7C7C7"/>
                            <w:left w:val="single" w:sz="6" w:space="0" w:color="C7C7C7"/>
                            <w:bottom w:val="single" w:sz="6" w:space="0" w:color="C7C7C7"/>
                            <w:right w:val="single" w:sz="6" w:space="0" w:color="C7C7C7"/>
                          </w:divBdr>
                          <w:divsChild>
                            <w:div w:id="460345401">
                              <w:marLeft w:val="0"/>
                              <w:marRight w:val="0"/>
                              <w:marTop w:val="100"/>
                              <w:marBottom w:val="100"/>
                              <w:divBdr>
                                <w:top w:val="none" w:sz="0" w:space="0" w:color="auto"/>
                                <w:left w:val="none" w:sz="0" w:space="0" w:color="auto"/>
                                <w:bottom w:val="none" w:sz="0" w:space="0" w:color="auto"/>
                                <w:right w:val="none" w:sz="0" w:space="0" w:color="auto"/>
                              </w:divBdr>
                            </w:div>
                            <w:div w:id="1146625173">
                              <w:marLeft w:val="0"/>
                              <w:marRight w:val="0"/>
                              <w:marTop w:val="100"/>
                              <w:marBottom w:val="100"/>
                              <w:divBdr>
                                <w:top w:val="none" w:sz="0" w:space="11" w:color="auto"/>
                                <w:left w:val="none" w:sz="0" w:space="0" w:color="auto"/>
                                <w:bottom w:val="single" w:sz="6" w:space="11" w:color="C7C7C7"/>
                                <w:right w:val="none" w:sz="0" w:space="0" w:color="auto"/>
                              </w:divBdr>
                            </w:div>
                            <w:div w:id="1218514453">
                              <w:marLeft w:val="0"/>
                              <w:marRight w:val="0"/>
                              <w:marTop w:val="100"/>
                              <w:marBottom w:val="100"/>
                              <w:divBdr>
                                <w:top w:val="none" w:sz="0" w:space="11" w:color="auto"/>
                                <w:left w:val="none" w:sz="0" w:space="0" w:color="auto"/>
                                <w:bottom w:val="single" w:sz="6" w:space="11" w:color="C7C7C7"/>
                                <w:right w:val="none" w:sz="0" w:space="0" w:color="auto"/>
                              </w:divBdr>
                            </w:div>
                            <w:div w:id="1297491462">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218010584">
              <w:marLeft w:val="0"/>
              <w:marRight w:val="0"/>
              <w:marTop w:val="0"/>
              <w:marBottom w:val="0"/>
              <w:divBdr>
                <w:top w:val="none" w:sz="0" w:space="0" w:color="auto"/>
                <w:left w:val="none" w:sz="0" w:space="0" w:color="auto"/>
                <w:bottom w:val="none" w:sz="0" w:space="0" w:color="auto"/>
                <w:right w:val="none" w:sz="0" w:space="0" w:color="auto"/>
              </w:divBdr>
              <w:divsChild>
                <w:div w:id="1475876163">
                  <w:marLeft w:val="0"/>
                  <w:marRight w:val="0"/>
                  <w:marTop w:val="150"/>
                  <w:marBottom w:val="0"/>
                  <w:divBdr>
                    <w:top w:val="none" w:sz="0" w:space="0" w:color="auto"/>
                    <w:left w:val="none" w:sz="0" w:space="0" w:color="auto"/>
                    <w:bottom w:val="none" w:sz="0" w:space="0" w:color="auto"/>
                    <w:right w:val="none" w:sz="0" w:space="0" w:color="auto"/>
                  </w:divBdr>
                  <w:divsChild>
                    <w:div w:id="203566619">
                      <w:marLeft w:val="0"/>
                      <w:marRight w:val="0"/>
                      <w:marTop w:val="0"/>
                      <w:marBottom w:val="0"/>
                      <w:divBdr>
                        <w:top w:val="none" w:sz="0" w:space="0" w:color="auto"/>
                        <w:left w:val="none" w:sz="0" w:space="0" w:color="auto"/>
                        <w:bottom w:val="none" w:sz="0" w:space="0" w:color="auto"/>
                        <w:right w:val="none" w:sz="0" w:space="0" w:color="auto"/>
                      </w:divBdr>
                      <w:divsChild>
                        <w:div w:id="87184778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97825415">
                  <w:marLeft w:val="0"/>
                  <w:marRight w:val="0"/>
                  <w:marTop w:val="0"/>
                  <w:marBottom w:val="0"/>
                  <w:divBdr>
                    <w:top w:val="none" w:sz="0" w:space="0" w:color="auto"/>
                    <w:left w:val="none" w:sz="0" w:space="0" w:color="auto"/>
                    <w:bottom w:val="none" w:sz="0" w:space="0" w:color="auto"/>
                    <w:right w:val="none" w:sz="0" w:space="0" w:color="auto"/>
                  </w:divBdr>
                  <w:divsChild>
                    <w:div w:id="64632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347947">
      <w:bodyDiv w:val="1"/>
      <w:marLeft w:val="0"/>
      <w:marRight w:val="0"/>
      <w:marTop w:val="0"/>
      <w:marBottom w:val="0"/>
      <w:divBdr>
        <w:top w:val="none" w:sz="0" w:space="0" w:color="auto"/>
        <w:left w:val="none" w:sz="0" w:space="0" w:color="auto"/>
        <w:bottom w:val="none" w:sz="0" w:space="0" w:color="auto"/>
        <w:right w:val="none" w:sz="0" w:space="0" w:color="auto"/>
      </w:divBdr>
      <w:divsChild>
        <w:div w:id="730270730">
          <w:marLeft w:val="0"/>
          <w:marRight w:val="0"/>
          <w:marTop w:val="0"/>
          <w:marBottom w:val="150"/>
          <w:divBdr>
            <w:top w:val="none" w:sz="0" w:space="0" w:color="auto"/>
            <w:left w:val="none" w:sz="0" w:space="0" w:color="auto"/>
            <w:bottom w:val="none" w:sz="0" w:space="0" w:color="auto"/>
            <w:right w:val="none" w:sz="0" w:space="0" w:color="auto"/>
          </w:divBdr>
          <w:divsChild>
            <w:div w:id="1746759359">
              <w:marLeft w:val="0"/>
              <w:marRight w:val="0"/>
              <w:marTop w:val="0"/>
              <w:marBottom w:val="0"/>
              <w:divBdr>
                <w:top w:val="none" w:sz="0" w:space="0" w:color="auto"/>
                <w:left w:val="none" w:sz="0" w:space="0" w:color="auto"/>
                <w:bottom w:val="none" w:sz="0" w:space="0" w:color="auto"/>
                <w:right w:val="none" w:sz="0" w:space="0" w:color="auto"/>
              </w:divBdr>
              <w:divsChild>
                <w:div w:id="16014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502979">
          <w:marLeft w:val="0"/>
          <w:marRight w:val="0"/>
          <w:marTop w:val="0"/>
          <w:marBottom w:val="150"/>
          <w:divBdr>
            <w:top w:val="none" w:sz="0" w:space="0" w:color="auto"/>
            <w:left w:val="none" w:sz="0" w:space="0" w:color="auto"/>
            <w:bottom w:val="none" w:sz="0" w:space="0" w:color="auto"/>
            <w:right w:val="none" w:sz="0" w:space="0" w:color="auto"/>
          </w:divBdr>
        </w:div>
        <w:div w:id="192959470">
          <w:marLeft w:val="0"/>
          <w:marRight w:val="0"/>
          <w:marTop w:val="0"/>
          <w:marBottom w:val="0"/>
          <w:divBdr>
            <w:top w:val="none" w:sz="0" w:space="0" w:color="auto"/>
            <w:left w:val="none" w:sz="0" w:space="0" w:color="auto"/>
            <w:bottom w:val="none" w:sz="0" w:space="0" w:color="auto"/>
            <w:right w:val="none" w:sz="0" w:space="0" w:color="auto"/>
          </w:divBdr>
          <w:divsChild>
            <w:div w:id="175762808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12807117">
      <w:bodyDiv w:val="1"/>
      <w:marLeft w:val="0"/>
      <w:marRight w:val="0"/>
      <w:marTop w:val="0"/>
      <w:marBottom w:val="0"/>
      <w:divBdr>
        <w:top w:val="none" w:sz="0" w:space="0" w:color="auto"/>
        <w:left w:val="none" w:sz="0" w:space="0" w:color="auto"/>
        <w:bottom w:val="none" w:sz="0" w:space="0" w:color="auto"/>
        <w:right w:val="none" w:sz="0" w:space="0" w:color="auto"/>
      </w:divBdr>
      <w:divsChild>
        <w:div w:id="1616476682">
          <w:marLeft w:val="0"/>
          <w:marRight w:val="0"/>
          <w:marTop w:val="0"/>
          <w:marBottom w:val="450"/>
          <w:divBdr>
            <w:top w:val="none" w:sz="0" w:space="0" w:color="auto"/>
            <w:left w:val="none" w:sz="0" w:space="0" w:color="auto"/>
            <w:bottom w:val="single" w:sz="6" w:space="19" w:color="EEEEEE"/>
            <w:right w:val="none" w:sz="0" w:space="0" w:color="auto"/>
          </w:divBdr>
          <w:divsChild>
            <w:div w:id="1956329632">
              <w:marLeft w:val="0"/>
              <w:marRight w:val="0"/>
              <w:marTop w:val="0"/>
              <w:marBottom w:val="150"/>
              <w:divBdr>
                <w:top w:val="none" w:sz="0" w:space="0" w:color="auto"/>
                <w:left w:val="none" w:sz="0" w:space="0" w:color="auto"/>
                <w:bottom w:val="none" w:sz="0" w:space="0" w:color="auto"/>
                <w:right w:val="none" w:sz="0" w:space="0" w:color="auto"/>
              </w:divBdr>
              <w:divsChild>
                <w:div w:id="724376698">
                  <w:marLeft w:val="0"/>
                  <w:marRight w:val="0"/>
                  <w:marTop w:val="0"/>
                  <w:marBottom w:val="0"/>
                  <w:divBdr>
                    <w:top w:val="none" w:sz="0" w:space="0" w:color="auto"/>
                    <w:left w:val="none" w:sz="0" w:space="0" w:color="auto"/>
                    <w:bottom w:val="none" w:sz="0" w:space="0" w:color="auto"/>
                    <w:right w:val="none" w:sz="0" w:space="0" w:color="auto"/>
                  </w:divBdr>
                </w:div>
              </w:divsChild>
            </w:div>
            <w:div w:id="1533300567">
              <w:marLeft w:val="0"/>
              <w:marRight w:val="0"/>
              <w:marTop w:val="0"/>
              <w:marBottom w:val="0"/>
              <w:divBdr>
                <w:top w:val="none" w:sz="0" w:space="0" w:color="auto"/>
                <w:left w:val="none" w:sz="0" w:space="0" w:color="auto"/>
                <w:bottom w:val="none" w:sz="0" w:space="0" w:color="auto"/>
                <w:right w:val="none" w:sz="0" w:space="0" w:color="auto"/>
              </w:divBdr>
            </w:div>
          </w:divsChild>
        </w:div>
        <w:div w:id="374738291">
          <w:marLeft w:val="0"/>
          <w:marRight w:val="0"/>
          <w:marTop w:val="0"/>
          <w:marBottom w:val="0"/>
          <w:divBdr>
            <w:top w:val="none" w:sz="0" w:space="0" w:color="auto"/>
            <w:left w:val="none" w:sz="0" w:space="0" w:color="auto"/>
            <w:bottom w:val="none" w:sz="0" w:space="0" w:color="auto"/>
            <w:right w:val="none" w:sz="0" w:space="0" w:color="auto"/>
          </w:divBdr>
          <w:divsChild>
            <w:div w:id="1639262882">
              <w:marLeft w:val="0"/>
              <w:marRight w:val="0"/>
              <w:marTop w:val="0"/>
              <w:marBottom w:val="0"/>
              <w:divBdr>
                <w:top w:val="none" w:sz="0" w:space="0" w:color="auto"/>
                <w:left w:val="none" w:sz="0" w:space="0" w:color="auto"/>
                <w:bottom w:val="none" w:sz="0" w:space="0" w:color="auto"/>
                <w:right w:val="none" w:sz="0" w:space="0" w:color="auto"/>
              </w:divBdr>
              <w:divsChild>
                <w:div w:id="144672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345337">
      <w:bodyDiv w:val="1"/>
      <w:marLeft w:val="0"/>
      <w:marRight w:val="0"/>
      <w:marTop w:val="0"/>
      <w:marBottom w:val="0"/>
      <w:divBdr>
        <w:top w:val="none" w:sz="0" w:space="0" w:color="auto"/>
        <w:left w:val="none" w:sz="0" w:space="0" w:color="auto"/>
        <w:bottom w:val="none" w:sz="0" w:space="0" w:color="auto"/>
        <w:right w:val="none" w:sz="0" w:space="0" w:color="auto"/>
      </w:divBdr>
      <w:divsChild>
        <w:div w:id="1600143864">
          <w:marLeft w:val="0"/>
          <w:marRight w:val="0"/>
          <w:marTop w:val="0"/>
          <w:marBottom w:val="0"/>
          <w:divBdr>
            <w:top w:val="none" w:sz="0" w:space="0" w:color="auto"/>
            <w:left w:val="none" w:sz="0" w:space="0" w:color="auto"/>
            <w:bottom w:val="none" w:sz="0" w:space="0" w:color="auto"/>
            <w:right w:val="none" w:sz="0" w:space="0" w:color="auto"/>
          </w:divBdr>
        </w:div>
      </w:divsChild>
    </w:div>
    <w:div w:id="1913349153">
      <w:bodyDiv w:val="1"/>
      <w:marLeft w:val="0"/>
      <w:marRight w:val="0"/>
      <w:marTop w:val="0"/>
      <w:marBottom w:val="0"/>
      <w:divBdr>
        <w:top w:val="none" w:sz="0" w:space="0" w:color="auto"/>
        <w:left w:val="none" w:sz="0" w:space="0" w:color="auto"/>
        <w:bottom w:val="none" w:sz="0" w:space="0" w:color="auto"/>
        <w:right w:val="none" w:sz="0" w:space="0" w:color="auto"/>
      </w:divBdr>
      <w:divsChild>
        <w:div w:id="1195117698">
          <w:marLeft w:val="0"/>
          <w:marRight w:val="0"/>
          <w:marTop w:val="0"/>
          <w:marBottom w:val="0"/>
          <w:divBdr>
            <w:top w:val="none" w:sz="0" w:space="0" w:color="auto"/>
            <w:left w:val="none" w:sz="0" w:space="0" w:color="auto"/>
            <w:bottom w:val="none" w:sz="0" w:space="0" w:color="auto"/>
            <w:right w:val="none" w:sz="0" w:space="0" w:color="auto"/>
          </w:divBdr>
          <w:divsChild>
            <w:div w:id="5282950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13420951">
      <w:bodyDiv w:val="1"/>
      <w:marLeft w:val="0"/>
      <w:marRight w:val="0"/>
      <w:marTop w:val="0"/>
      <w:marBottom w:val="0"/>
      <w:divBdr>
        <w:top w:val="none" w:sz="0" w:space="0" w:color="auto"/>
        <w:left w:val="none" w:sz="0" w:space="0" w:color="auto"/>
        <w:bottom w:val="none" w:sz="0" w:space="0" w:color="auto"/>
        <w:right w:val="none" w:sz="0" w:space="0" w:color="auto"/>
      </w:divBdr>
      <w:divsChild>
        <w:div w:id="723597626">
          <w:marLeft w:val="0"/>
          <w:marRight w:val="0"/>
          <w:marTop w:val="0"/>
          <w:marBottom w:val="0"/>
          <w:divBdr>
            <w:top w:val="none" w:sz="0" w:space="0" w:color="auto"/>
            <w:left w:val="none" w:sz="0" w:space="0" w:color="auto"/>
            <w:bottom w:val="dotted" w:sz="6" w:space="4" w:color="DDDDDD"/>
            <w:right w:val="none" w:sz="0" w:space="0" w:color="auto"/>
          </w:divBdr>
          <w:divsChild>
            <w:div w:id="93533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13951">
      <w:bodyDiv w:val="1"/>
      <w:marLeft w:val="0"/>
      <w:marRight w:val="0"/>
      <w:marTop w:val="0"/>
      <w:marBottom w:val="0"/>
      <w:divBdr>
        <w:top w:val="none" w:sz="0" w:space="0" w:color="auto"/>
        <w:left w:val="none" w:sz="0" w:space="0" w:color="auto"/>
        <w:bottom w:val="none" w:sz="0" w:space="0" w:color="auto"/>
        <w:right w:val="none" w:sz="0" w:space="0" w:color="auto"/>
      </w:divBdr>
    </w:div>
    <w:div w:id="1913851052">
      <w:bodyDiv w:val="1"/>
      <w:marLeft w:val="0"/>
      <w:marRight w:val="0"/>
      <w:marTop w:val="0"/>
      <w:marBottom w:val="0"/>
      <w:divBdr>
        <w:top w:val="none" w:sz="0" w:space="0" w:color="auto"/>
        <w:left w:val="none" w:sz="0" w:space="0" w:color="auto"/>
        <w:bottom w:val="none" w:sz="0" w:space="0" w:color="auto"/>
        <w:right w:val="none" w:sz="0" w:space="0" w:color="auto"/>
      </w:divBdr>
      <w:divsChild>
        <w:div w:id="1055740059">
          <w:marLeft w:val="0"/>
          <w:marRight w:val="0"/>
          <w:marTop w:val="0"/>
          <w:marBottom w:val="0"/>
          <w:divBdr>
            <w:top w:val="none" w:sz="0" w:space="0" w:color="auto"/>
            <w:left w:val="none" w:sz="0" w:space="0" w:color="auto"/>
            <w:bottom w:val="none" w:sz="0" w:space="0" w:color="auto"/>
            <w:right w:val="none" w:sz="0" w:space="0" w:color="auto"/>
          </w:divBdr>
          <w:divsChild>
            <w:div w:id="578948216">
              <w:marLeft w:val="0"/>
              <w:marRight w:val="0"/>
              <w:marTop w:val="0"/>
              <w:marBottom w:val="0"/>
              <w:divBdr>
                <w:top w:val="none" w:sz="0" w:space="0" w:color="auto"/>
                <w:left w:val="none" w:sz="0" w:space="0" w:color="auto"/>
                <w:bottom w:val="none" w:sz="0" w:space="0" w:color="auto"/>
                <w:right w:val="none" w:sz="0" w:space="0" w:color="auto"/>
              </w:divBdr>
            </w:div>
          </w:divsChild>
        </w:div>
        <w:div w:id="1454013236">
          <w:marLeft w:val="0"/>
          <w:marRight w:val="0"/>
          <w:marTop w:val="150"/>
          <w:marBottom w:val="0"/>
          <w:divBdr>
            <w:top w:val="none" w:sz="0" w:space="0" w:color="auto"/>
            <w:left w:val="none" w:sz="0" w:space="0" w:color="auto"/>
            <w:bottom w:val="none" w:sz="0" w:space="0" w:color="auto"/>
            <w:right w:val="none" w:sz="0" w:space="0" w:color="auto"/>
          </w:divBdr>
          <w:divsChild>
            <w:div w:id="619726054">
              <w:marLeft w:val="0"/>
              <w:marRight w:val="0"/>
              <w:marTop w:val="0"/>
              <w:marBottom w:val="0"/>
              <w:divBdr>
                <w:top w:val="none" w:sz="0" w:space="0" w:color="auto"/>
                <w:left w:val="none" w:sz="0" w:space="0" w:color="auto"/>
                <w:bottom w:val="none" w:sz="0" w:space="0" w:color="auto"/>
                <w:right w:val="none" w:sz="0" w:space="0" w:color="auto"/>
              </w:divBdr>
              <w:divsChild>
                <w:div w:id="466509811">
                  <w:marLeft w:val="75"/>
                  <w:marRight w:val="0"/>
                  <w:marTop w:val="0"/>
                  <w:marBottom w:val="0"/>
                  <w:divBdr>
                    <w:top w:val="none" w:sz="0" w:space="0" w:color="auto"/>
                    <w:left w:val="none" w:sz="0" w:space="0" w:color="auto"/>
                    <w:bottom w:val="none" w:sz="0" w:space="0" w:color="auto"/>
                    <w:right w:val="none" w:sz="0" w:space="0" w:color="auto"/>
                  </w:divBdr>
                </w:div>
                <w:div w:id="73702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125834">
      <w:bodyDiv w:val="1"/>
      <w:marLeft w:val="0"/>
      <w:marRight w:val="0"/>
      <w:marTop w:val="0"/>
      <w:marBottom w:val="0"/>
      <w:divBdr>
        <w:top w:val="none" w:sz="0" w:space="0" w:color="auto"/>
        <w:left w:val="none" w:sz="0" w:space="0" w:color="auto"/>
        <w:bottom w:val="none" w:sz="0" w:space="0" w:color="auto"/>
        <w:right w:val="none" w:sz="0" w:space="0" w:color="auto"/>
      </w:divBdr>
      <w:divsChild>
        <w:div w:id="1199274589">
          <w:marLeft w:val="0"/>
          <w:marRight w:val="0"/>
          <w:marTop w:val="0"/>
          <w:marBottom w:val="0"/>
          <w:divBdr>
            <w:top w:val="none" w:sz="0" w:space="0" w:color="auto"/>
            <w:left w:val="none" w:sz="0" w:space="0" w:color="auto"/>
            <w:bottom w:val="none" w:sz="0" w:space="0" w:color="auto"/>
            <w:right w:val="none" w:sz="0" w:space="0" w:color="auto"/>
          </w:divBdr>
          <w:divsChild>
            <w:div w:id="1864055793">
              <w:marLeft w:val="-30"/>
              <w:marRight w:val="-30"/>
              <w:marTop w:val="0"/>
              <w:marBottom w:val="0"/>
              <w:divBdr>
                <w:top w:val="none" w:sz="0" w:space="0" w:color="auto"/>
                <w:left w:val="none" w:sz="0" w:space="0" w:color="auto"/>
                <w:bottom w:val="none" w:sz="0" w:space="0" w:color="auto"/>
                <w:right w:val="none" w:sz="0" w:space="0" w:color="auto"/>
              </w:divBdr>
            </w:div>
            <w:div w:id="673532012">
              <w:marLeft w:val="-30"/>
              <w:marRight w:val="-30"/>
              <w:marTop w:val="0"/>
              <w:marBottom w:val="0"/>
              <w:divBdr>
                <w:top w:val="none" w:sz="0" w:space="0" w:color="auto"/>
                <w:left w:val="none" w:sz="0" w:space="0" w:color="auto"/>
                <w:bottom w:val="none" w:sz="0" w:space="0" w:color="auto"/>
                <w:right w:val="none" w:sz="0" w:space="0" w:color="auto"/>
              </w:divBdr>
            </w:div>
            <w:div w:id="1777603104">
              <w:marLeft w:val="-30"/>
              <w:marRight w:val="-30"/>
              <w:marTop w:val="0"/>
              <w:marBottom w:val="0"/>
              <w:divBdr>
                <w:top w:val="none" w:sz="0" w:space="0" w:color="auto"/>
                <w:left w:val="none" w:sz="0" w:space="0" w:color="auto"/>
                <w:bottom w:val="none" w:sz="0" w:space="0" w:color="auto"/>
                <w:right w:val="none" w:sz="0" w:space="0" w:color="auto"/>
              </w:divBdr>
            </w:div>
            <w:div w:id="1386416530">
              <w:marLeft w:val="-30"/>
              <w:marRight w:val="-30"/>
              <w:marTop w:val="0"/>
              <w:marBottom w:val="0"/>
              <w:divBdr>
                <w:top w:val="none" w:sz="0" w:space="0" w:color="auto"/>
                <w:left w:val="none" w:sz="0" w:space="0" w:color="auto"/>
                <w:bottom w:val="none" w:sz="0" w:space="0" w:color="auto"/>
                <w:right w:val="none" w:sz="0" w:space="0" w:color="auto"/>
              </w:divBdr>
            </w:div>
            <w:div w:id="949582993">
              <w:marLeft w:val="-30"/>
              <w:marRight w:val="-30"/>
              <w:marTop w:val="0"/>
              <w:marBottom w:val="0"/>
              <w:divBdr>
                <w:top w:val="none" w:sz="0" w:space="0" w:color="auto"/>
                <w:left w:val="none" w:sz="0" w:space="0" w:color="auto"/>
                <w:bottom w:val="none" w:sz="0" w:space="0" w:color="auto"/>
                <w:right w:val="none" w:sz="0" w:space="0" w:color="auto"/>
              </w:divBdr>
            </w:div>
            <w:div w:id="1748913731">
              <w:marLeft w:val="-30"/>
              <w:marRight w:val="-30"/>
              <w:marTop w:val="0"/>
              <w:marBottom w:val="0"/>
              <w:divBdr>
                <w:top w:val="none" w:sz="0" w:space="0" w:color="auto"/>
                <w:left w:val="none" w:sz="0" w:space="0" w:color="auto"/>
                <w:bottom w:val="none" w:sz="0" w:space="0" w:color="auto"/>
                <w:right w:val="none" w:sz="0" w:space="0" w:color="auto"/>
              </w:divBdr>
            </w:div>
            <w:div w:id="200899898">
              <w:marLeft w:val="-30"/>
              <w:marRight w:val="-30"/>
              <w:marTop w:val="0"/>
              <w:marBottom w:val="0"/>
              <w:divBdr>
                <w:top w:val="none" w:sz="0" w:space="0" w:color="auto"/>
                <w:left w:val="none" w:sz="0" w:space="0" w:color="auto"/>
                <w:bottom w:val="none" w:sz="0" w:space="0" w:color="auto"/>
                <w:right w:val="none" w:sz="0" w:space="0" w:color="auto"/>
              </w:divBdr>
            </w:div>
            <w:div w:id="1081441240">
              <w:marLeft w:val="0"/>
              <w:marRight w:val="0"/>
              <w:marTop w:val="0"/>
              <w:marBottom w:val="0"/>
              <w:divBdr>
                <w:top w:val="none" w:sz="0" w:space="0" w:color="auto"/>
                <w:left w:val="none" w:sz="0" w:space="0" w:color="auto"/>
                <w:bottom w:val="none" w:sz="0" w:space="0" w:color="auto"/>
                <w:right w:val="none" w:sz="0" w:space="0" w:color="auto"/>
              </w:divBdr>
            </w:div>
          </w:divsChild>
        </w:div>
        <w:div w:id="176191940">
          <w:marLeft w:val="0"/>
          <w:marRight w:val="0"/>
          <w:marTop w:val="0"/>
          <w:marBottom w:val="0"/>
          <w:divBdr>
            <w:top w:val="none" w:sz="0" w:space="0" w:color="auto"/>
            <w:left w:val="none" w:sz="0" w:space="0" w:color="auto"/>
            <w:bottom w:val="none" w:sz="0" w:space="0" w:color="auto"/>
            <w:right w:val="none" w:sz="0" w:space="0" w:color="auto"/>
          </w:divBdr>
          <w:divsChild>
            <w:div w:id="823741175">
              <w:marLeft w:val="0"/>
              <w:marRight w:val="0"/>
              <w:marTop w:val="0"/>
              <w:marBottom w:val="300"/>
              <w:divBdr>
                <w:top w:val="none" w:sz="0" w:space="0" w:color="auto"/>
                <w:left w:val="none" w:sz="0" w:space="0" w:color="auto"/>
                <w:bottom w:val="single" w:sz="6" w:space="0" w:color="F1F1F1"/>
                <w:right w:val="none" w:sz="0" w:space="0" w:color="auto"/>
              </w:divBdr>
              <w:divsChild>
                <w:div w:id="17548132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0712703">
          <w:marLeft w:val="0"/>
          <w:marRight w:val="0"/>
          <w:marTop w:val="0"/>
          <w:marBottom w:val="0"/>
          <w:divBdr>
            <w:top w:val="none" w:sz="0" w:space="0" w:color="auto"/>
            <w:left w:val="none" w:sz="0" w:space="0" w:color="auto"/>
            <w:bottom w:val="none" w:sz="0" w:space="0" w:color="auto"/>
            <w:right w:val="none" w:sz="0" w:space="0" w:color="auto"/>
          </w:divBdr>
          <w:divsChild>
            <w:div w:id="374084808">
              <w:marLeft w:val="0"/>
              <w:marRight w:val="0"/>
              <w:marTop w:val="0"/>
              <w:marBottom w:val="0"/>
              <w:divBdr>
                <w:top w:val="none" w:sz="0" w:space="0" w:color="auto"/>
                <w:left w:val="none" w:sz="0" w:space="0" w:color="auto"/>
                <w:bottom w:val="none" w:sz="0" w:space="0" w:color="auto"/>
                <w:right w:val="none" w:sz="0" w:space="0" w:color="auto"/>
              </w:divBdr>
              <w:divsChild>
                <w:div w:id="1081022493">
                  <w:marLeft w:val="0"/>
                  <w:marRight w:val="0"/>
                  <w:marTop w:val="0"/>
                  <w:marBottom w:val="0"/>
                  <w:divBdr>
                    <w:top w:val="none" w:sz="0" w:space="0" w:color="auto"/>
                    <w:left w:val="none" w:sz="0" w:space="0" w:color="auto"/>
                    <w:bottom w:val="none" w:sz="0" w:space="0" w:color="auto"/>
                    <w:right w:val="none" w:sz="0" w:space="0" w:color="auto"/>
                  </w:divBdr>
                  <w:divsChild>
                    <w:div w:id="1912807942">
                      <w:marLeft w:val="0"/>
                      <w:marRight w:val="0"/>
                      <w:marTop w:val="0"/>
                      <w:marBottom w:val="0"/>
                      <w:divBdr>
                        <w:top w:val="none" w:sz="0" w:space="0" w:color="auto"/>
                        <w:left w:val="none" w:sz="0" w:space="0" w:color="auto"/>
                        <w:bottom w:val="none" w:sz="0" w:space="0" w:color="auto"/>
                        <w:right w:val="none" w:sz="0" w:space="0" w:color="auto"/>
                      </w:divBdr>
                    </w:div>
                  </w:divsChild>
                </w:div>
                <w:div w:id="675113972">
                  <w:marLeft w:val="0"/>
                  <w:marRight w:val="0"/>
                  <w:marTop w:val="0"/>
                  <w:marBottom w:val="0"/>
                  <w:divBdr>
                    <w:top w:val="none" w:sz="0" w:space="0" w:color="auto"/>
                    <w:left w:val="none" w:sz="0" w:space="0" w:color="auto"/>
                    <w:bottom w:val="none" w:sz="0" w:space="0" w:color="auto"/>
                    <w:right w:val="none" w:sz="0" w:space="0" w:color="auto"/>
                  </w:divBdr>
                  <w:divsChild>
                    <w:div w:id="246768184">
                      <w:marLeft w:val="0"/>
                      <w:marRight w:val="0"/>
                      <w:marTop w:val="0"/>
                      <w:marBottom w:val="0"/>
                      <w:divBdr>
                        <w:top w:val="none" w:sz="0" w:space="0" w:color="auto"/>
                        <w:left w:val="none" w:sz="0" w:space="0" w:color="auto"/>
                        <w:bottom w:val="none" w:sz="0" w:space="0" w:color="auto"/>
                        <w:right w:val="none" w:sz="0" w:space="0" w:color="auto"/>
                      </w:divBdr>
                      <w:divsChild>
                        <w:div w:id="573469681">
                          <w:marLeft w:val="0"/>
                          <w:marRight w:val="0"/>
                          <w:marTop w:val="0"/>
                          <w:marBottom w:val="0"/>
                          <w:divBdr>
                            <w:top w:val="none" w:sz="0" w:space="0" w:color="auto"/>
                            <w:left w:val="none" w:sz="0" w:space="0" w:color="auto"/>
                            <w:bottom w:val="none" w:sz="0" w:space="0" w:color="auto"/>
                            <w:right w:val="none" w:sz="0" w:space="0" w:color="auto"/>
                          </w:divBdr>
                          <w:divsChild>
                            <w:div w:id="989872199">
                              <w:marLeft w:val="0"/>
                              <w:marRight w:val="0"/>
                              <w:marTop w:val="0"/>
                              <w:marBottom w:val="300"/>
                              <w:divBdr>
                                <w:top w:val="none" w:sz="0" w:space="0" w:color="auto"/>
                                <w:left w:val="none" w:sz="0" w:space="0" w:color="auto"/>
                                <w:bottom w:val="none" w:sz="0" w:space="0" w:color="auto"/>
                                <w:right w:val="none" w:sz="0" w:space="0" w:color="auto"/>
                              </w:divBdr>
                              <w:divsChild>
                                <w:div w:id="2058577381">
                                  <w:marLeft w:val="0"/>
                                  <w:marRight w:val="0"/>
                                  <w:marTop w:val="45"/>
                                  <w:marBottom w:val="0"/>
                                  <w:divBdr>
                                    <w:top w:val="none" w:sz="0" w:space="0" w:color="auto"/>
                                    <w:left w:val="none" w:sz="0" w:space="0" w:color="auto"/>
                                    <w:bottom w:val="none" w:sz="0" w:space="0" w:color="auto"/>
                                    <w:right w:val="none" w:sz="0" w:space="0" w:color="auto"/>
                                  </w:divBdr>
                                  <w:divsChild>
                                    <w:div w:id="247276427">
                                      <w:marLeft w:val="0"/>
                                      <w:marRight w:val="0"/>
                                      <w:marTop w:val="0"/>
                                      <w:marBottom w:val="150"/>
                                      <w:divBdr>
                                        <w:top w:val="none" w:sz="0" w:space="0" w:color="auto"/>
                                        <w:left w:val="none" w:sz="0" w:space="0" w:color="auto"/>
                                        <w:bottom w:val="none" w:sz="0" w:space="0" w:color="auto"/>
                                        <w:right w:val="none" w:sz="0" w:space="0" w:color="auto"/>
                                      </w:divBdr>
                                      <w:divsChild>
                                        <w:div w:id="943876614">
                                          <w:marLeft w:val="0"/>
                                          <w:marRight w:val="0"/>
                                          <w:marTop w:val="0"/>
                                          <w:marBottom w:val="0"/>
                                          <w:divBdr>
                                            <w:top w:val="none" w:sz="0" w:space="0" w:color="auto"/>
                                            <w:left w:val="none" w:sz="0" w:space="0" w:color="auto"/>
                                            <w:bottom w:val="none" w:sz="0" w:space="0" w:color="auto"/>
                                            <w:right w:val="none" w:sz="0" w:space="0" w:color="auto"/>
                                          </w:divBdr>
                                          <w:divsChild>
                                            <w:div w:id="1443568623">
                                              <w:marLeft w:val="0"/>
                                              <w:marRight w:val="0"/>
                                              <w:marTop w:val="0"/>
                                              <w:marBottom w:val="0"/>
                                              <w:divBdr>
                                                <w:top w:val="single" w:sz="2" w:space="0" w:color="DFDFDF"/>
                                                <w:left w:val="single" w:sz="2" w:space="0" w:color="DFDFDF"/>
                                                <w:bottom w:val="single" w:sz="2" w:space="0" w:color="DFDFDF"/>
                                                <w:right w:val="single" w:sz="2" w:space="0" w:color="DFDFDF"/>
                                              </w:divBdr>
                                              <w:divsChild>
                                                <w:div w:id="1418095452">
                                                  <w:marLeft w:val="-90"/>
                                                  <w:marRight w:val="0"/>
                                                  <w:marTop w:val="0"/>
                                                  <w:marBottom w:val="0"/>
                                                  <w:divBdr>
                                                    <w:top w:val="none" w:sz="0" w:space="0" w:color="auto"/>
                                                    <w:left w:val="none" w:sz="0" w:space="0" w:color="auto"/>
                                                    <w:bottom w:val="none" w:sz="0" w:space="0" w:color="auto"/>
                                                    <w:right w:val="none" w:sz="0" w:space="0" w:color="auto"/>
                                                  </w:divBdr>
                                                  <w:divsChild>
                                                    <w:div w:id="1618758023">
                                                      <w:marLeft w:val="0"/>
                                                      <w:marRight w:val="0"/>
                                                      <w:marTop w:val="0"/>
                                                      <w:marBottom w:val="45"/>
                                                      <w:divBdr>
                                                        <w:top w:val="single" w:sz="2" w:space="0" w:color="A9A9A9"/>
                                                        <w:left w:val="single" w:sz="2" w:space="0" w:color="A9A9A9"/>
                                                        <w:bottom w:val="single" w:sz="2" w:space="0" w:color="A9A9A9"/>
                                                        <w:right w:val="single" w:sz="2" w:space="0" w:color="A9A9A9"/>
                                                      </w:divBdr>
                                                      <w:divsChild>
                                                        <w:div w:id="1332105771">
                                                          <w:marLeft w:val="0"/>
                                                          <w:marRight w:val="0"/>
                                                          <w:marTop w:val="0"/>
                                                          <w:marBottom w:val="0"/>
                                                          <w:divBdr>
                                                            <w:top w:val="none" w:sz="0" w:space="0" w:color="auto"/>
                                                            <w:left w:val="none" w:sz="0" w:space="0" w:color="auto"/>
                                                            <w:bottom w:val="none" w:sz="0" w:space="0" w:color="auto"/>
                                                            <w:right w:val="none" w:sz="0" w:space="0" w:color="auto"/>
                                                          </w:divBdr>
                                                          <w:divsChild>
                                                            <w:div w:id="1714502368">
                                                              <w:marLeft w:val="92"/>
                                                              <w:marRight w:val="0"/>
                                                              <w:marTop w:val="0"/>
                                                              <w:marBottom w:val="150"/>
                                                              <w:divBdr>
                                                                <w:top w:val="single" w:sz="2" w:space="0" w:color="E4E4E4"/>
                                                                <w:left w:val="single" w:sz="2" w:space="0" w:color="E4E4E4"/>
                                                                <w:bottom w:val="single" w:sz="2" w:space="0" w:color="E4E4E4"/>
                                                                <w:right w:val="single" w:sz="2" w:space="0" w:color="E4E4E4"/>
                                                              </w:divBdr>
                                                              <w:divsChild>
                                                                <w:div w:id="24072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4074782">
                                      <w:marLeft w:val="0"/>
                                      <w:marRight w:val="0"/>
                                      <w:marTop w:val="0"/>
                                      <w:marBottom w:val="150"/>
                                      <w:divBdr>
                                        <w:top w:val="none" w:sz="0" w:space="0" w:color="auto"/>
                                        <w:left w:val="none" w:sz="0" w:space="0" w:color="auto"/>
                                        <w:bottom w:val="none" w:sz="0" w:space="0" w:color="auto"/>
                                        <w:right w:val="none" w:sz="0" w:space="0" w:color="auto"/>
                                      </w:divBdr>
                                      <w:divsChild>
                                        <w:div w:id="1230076010">
                                          <w:marLeft w:val="0"/>
                                          <w:marRight w:val="0"/>
                                          <w:marTop w:val="0"/>
                                          <w:marBottom w:val="0"/>
                                          <w:divBdr>
                                            <w:top w:val="none" w:sz="0" w:space="0" w:color="auto"/>
                                            <w:left w:val="none" w:sz="0" w:space="0" w:color="auto"/>
                                            <w:bottom w:val="none" w:sz="0" w:space="0" w:color="auto"/>
                                            <w:right w:val="none" w:sz="0" w:space="0" w:color="auto"/>
                                          </w:divBdr>
                                          <w:divsChild>
                                            <w:div w:id="1238318977">
                                              <w:marLeft w:val="0"/>
                                              <w:marRight w:val="0"/>
                                              <w:marTop w:val="0"/>
                                              <w:marBottom w:val="0"/>
                                              <w:divBdr>
                                                <w:top w:val="single" w:sz="2" w:space="0" w:color="DFDFDF"/>
                                                <w:left w:val="single" w:sz="2" w:space="0" w:color="DFDFDF"/>
                                                <w:bottom w:val="single" w:sz="2" w:space="0" w:color="DFDFDF"/>
                                                <w:right w:val="single" w:sz="2" w:space="0" w:color="DFDFDF"/>
                                              </w:divBdr>
                                              <w:divsChild>
                                                <w:div w:id="616110450">
                                                  <w:marLeft w:val="-90"/>
                                                  <w:marRight w:val="0"/>
                                                  <w:marTop w:val="0"/>
                                                  <w:marBottom w:val="0"/>
                                                  <w:divBdr>
                                                    <w:top w:val="none" w:sz="0" w:space="0" w:color="auto"/>
                                                    <w:left w:val="none" w:sz="0" w:space="0" w:color="auto"/>
                                                    <w:bottom w:val="none" w:sz="0" w:space="0" w:color="auto"/>
                                                    <w:right w:val="none" w:sz="0" w:space="0" w:color="auto"/>
                                                  </w:divBdr>
                                                  <w:divsChild>
                                                    <w:div w:id="995955234">
                                                      <w:marLeft w:val="0"/>
                                                      <w:marRight w:val="0"/>
                                                      <w:marTop w:val="0"/>
                                                      <w:marBottom w:val="45"/>
                                                      <w:divBdr>
                                                        <w:top w:val="single" w:sz="2" w:space="0" w:color="A9A9A9"/>
                                                        <w:left w:val="single" w:sz="2" w:space="0" w:color="A9A9A9"/>
                                                        <w:bottom w:val="single" w:sz="2" w:space="0" w:color="A9A9A9"/>
                                                        <w:right w:val="single" w:sz="2" w:space="0" w:color="A9A9A9"/>
                                                      </w:divBdr>
                                                      <w:divsChild>
                                                        <w:div w:id="515383620">
                                                          <w:marLeft w:val="0"/>
                                                          <w:marRight w:val="0"/>
                                                          <w:marTop w:val="0"/>
                                                          <w:marBottom w:val="0"/>
                                                          <w:divBdr>
                                                            <w:top w:val="none" w:sz="0" w:space="0" w:color="auto"/>
                                                            <w:left w:val="none" w:sz="0" w:space="0" w:color="auto"/>
                                                            <w:bottom w:val="none" w:sz="0" w:space="0" w:color="auto"/>
                                                            <w:right w:val="none" w:sz="0" w:space="0" w:color="auto"/>
                                                          </w:divBdr>
                                                          <w:divsChild>
                                                            <w:div w:id="525482108">
                                                              <w:marLeft w:val="92"/>
                                                              <w:marRight w:val="0"/>
                                                              <w:marTop w:val="0"/>
                                                              <w:marBottom w:val="150"/>
                                                              <w:divBdr>
                                                                <w:top w:val="single" w:sz="2" w:space="0" w:color="E4E4E4"/>
                                                                <w:left w:val="single" w:sz="2" w:space="0" w:color="E4E4E4"/>
                                                                <w:bottom w:val="single" w:sz="2" w:space="0" w:color="E4E4E4"/>
                                                                <w:right w:val="single" w:sz="2" w:space="0" w:color="E4E4E4"/>
                                                              </w:divBdr>
                                                              <w:divsChild>
                                                                <w:div w:id="822700000">
                                                                  <w:marLeft w:val="0"/>
                                                                  <w:marRight w:val="0"/>
                                                                  <w:marTop w:val="0"/>
                                                                  <w:marBottom w:val="0"/>
                                                                  <w:divBdr>
                                                                    <w:top w:val="none" w:sz="0" w:space="0" w:color="auto"/>
                                                                    <w:left w:val="none" w:sz="0" w:space="0" w:color="auto"/>
                                                                    <w:bottom w:val="none" w:sz="0" w:space="0" w:color="auto"/>
                                                                    <w:right w:val="none" w:sz="0" w:space="0" w:color="auto"/>
                                                                  </w:divBdr>
                                                                </w:div>
                                                              </w:divsChild>
                                                            </w:div>
                                                            <w:div w:id="643704525">
                                                              <w:marLeft w:val="92"/>
                                                              <w:marRight w:val="0"/>
                                                              <w:marTop w:val="0"/>
                                                              <w:marBottom w:val="150"/>
                                                              <w:divBdr>
                                                                <w:top w:val="single" w:sz="2" w:space="0" w:color="E4E4E4"/>
                                                                <w:left w:val="single" w:sz="2" w:space="0" w:color="E4E4E4"/>
                                                                <w:bottom w:val="single" w:sz="2" w:space="0" w:color="E4E4E4"/>
                                                                <w:right w:val="single" w:sz="2" w:space="0" w:color="E4E4E4"/>
                                                              </w:divBdr>
                                                              <w:divsChild>
                                                                <w:div w:id="40961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651191">
                              <w:marLeft w:val="0"/>
                              <w:marRight w:val="0"/>
                              <w:marTop w:val="0"/>
                              <w:marBottom w:val="300"/>
                              <w:divBdr>
                                <w:top w:val="none" w:sz="0" w:space="0" w:color="auto"/>
                                <w:left w:val="none" w:sz="0" w:space="0" w:color="auto"/>
                                <w:bottom w:val="none" w:sz="0" w:space="0" w:color="auto"/>
                                <w:right w:val="none" w:sz="0" w:space="0" w:color="auto"/>
                              </w:divBdr>
                              <w:divsChild>
                                <w:div w:id="1832528068">
                                  <w:marLeft w:val="0"/>
                                  <w:marRight w:val="0"/>
                                  <w:marTop w:val="0"/>
                                  <w:marBottom w:val="120"/>
                                  <w:divBdr>
                                    <w:top w:val="none" w:sz="0" w:space="0" w:color="auto"/>
                                    <w:left w:val="none" w:sz="0" w:space="0" w:color="auto"/>
                                    <w:bottom w:val="single" w:sz="12" w:space="6" w:color="BBDEFE"/>
                                    <w:right w:val="none" w:sz="0" w:space="0" w:color="auto"/>
                                  </w:divBdr>
                                </w:div>
                                <w:div w:id="782581295">
                                  <w:marLeft w:val="0"/>
                                  <w:marRight w:val="0"/>
                                  <w:marTop w:val="0"/>
                                  <w:marBottom w:val="0"/>
                                  <w:divBdr>
                                    <w:top w:val="none" w:sz="0" w:space="0" w:color="auto"/>
                                    <w:left w:val="none" w:sz="0" w:space="0" w:color="auto"/>
                                    <w:bottom w:val="none" w:sz="0" w:space="0" w:color="auto"/>
                                    <w:right w:val="none" w:sz="0" w:space="0" w:color="auto"/>
                                  </w:divBdr>
                                  <w:divsChild>
                                    <w:div w:id="1202061600">
                                      <w:marLeft w:val="0"/>
                                      <w:marRight w:val="0"/>
                                      <w:marTop w:val="0"/>
                                      <w:marBottom w:val="0"/>
                                      <w:divBdr>
                                        <w:top w:val="none" w:sz="0" w:space="0" w:color="auto"/>
                                        <w:left w:val="none" w:sz="0" w:space="0" w:color="auto"/>
                                        <w:bottom w:val="none" w:sz="0" w:space="0" w:color="auto"/>
                                        <w:right w:val="none" w:sz="0" w:space="0" w:color="auto"/>
                                      </w:divBdr>
                                      <w:divsChild>
                                        <w:div w:id="105736666">
                                          <w:marLeft w:val="0"/>
                                          <w:marRight w:val="600"/>
                                          <w:marTop w:val="0"/>
                                          <w:marBottom w:val="0"/>
                                          <w:divBdr>
                                            <w:top w:val="none" w:sz="0" w:space="0" w:color="auto"/>
                                            <w:left w:val="none" w:sz="0" w:space="0" w:color="auto"/>
                                            <w:bottom w:val="none" w:sz="0" w:space="0" w:color="auto"/>
                                            <w:right w:val="none" w:sz="0" w:space="0" w:color="auto"/>
                                          </w:divBdr>
                                          <w:divsChild>
                                            <w:div w:id="244807283">
                                              <w:marLeft w:val="0"/>
                                              <w:marRight w:val="0"/>
                                              <w:marTop w:val="0"/>
                                              <w:marBottom w:val="120"/>
                                              <w:divBdr>
                                                <w:top w:val="none" w:sz="0" w:space="0" w:color="auto"/>
                                                <w:left w:val="none" w:sz="0" w:space="0" w:color="auto"/>
                                                <w:bottom w:val="single" w:sz="6" w:space="6" w:color="EEEEEE"/>
                                                <w:right w:val="none" w:sz="0" w:space="0" w:color="auto"/>
                                              </w:divBdr>
                                              <w:divsChild>
                                                <w:div w:id="1901019021">
                                                  <w:marLeft w:val="0"/>
                                                  <w:marRight w:val="0"/>
                                                  <w:marTop w:val="0"/>
                                                  <w:marBottom w:val="0"/>
                                                  <w:divBdr>
                                                    <w:top w:val="none" w:sz="0" w:space="0" w:color="auto"/>
                                                    <w:left w:val="none" w:sz="0" w:space="0" w:color="auto"/>
                                                    <w:bottom w:val="none" w:sz="0" w:space="0" w:color="auto"/>
                                                    <w:right w:val="none" w:sz="0" w:space="0" w:color="auto"/>
                                                  </w:divBdr>
                                                </w:div>
                                              </w:divsChild>
                                            </w:div>
                                            <w:div w:id="1887713535">
                                              <w:marLeft w:val="0"/>
                                              <w:marRight w:val="0"/>
                                              <w:marTop w:val="0"/>
                                              <w:marBottom w:val="120"/>
                                              <w:divBdr>
                                                <w:top w:val="none" w:sz="0" w:space="0" w:color="auto"/>
                                                <w:left w:val="none" w:sz="0" w:space="0" w:color="auto"/>
                                                <w:bottom w:val="single" w:sz="6" w:space="6" w:color="EEEEEE"/>
                                                <w:right w:val="none" w:sz="0" w:space="0" w:color="auto"/>
                                              </w:divBdr>
                                              <w:divsChild>
                                                <w:div w:id="1333339111">
                                                  <w:marLeft w:val="0"/>
                                                  <w:marRight w:val="0"/>
                                                  <w:marTop w:val="0"/>
                                                  <w:marBottom w:val="0"/>
                                                  <w:divBdr>
                                                    <w:top w:val="none" w:sz="0" w:space="0" w:color="auto"/>
                                                    <w:left w:val="none" w:sz="0" w:space="0" w:color="auto"/>
                                                    <w:bottom w:val="none" w:sz="0" w:space="0" w:color="auto"/>
                                                    <w:right w:val="none" w:sz="0" w:space="0" w:color="auto"/>
                                                  </w:divBdr>
                                                </w:div>
                                              </w:divsChild>
                                            </w:div>
                                            <w:div w:id="788940731">
                                              <w:marLeft w:val="0"/>
                                              <w:marRight w:val="0"/>
                                              <w:marTop w:val="0"/>
                                              <w:marBottom w:val="120"/>
                                              <w:divBdr>
                                                <w:top w:val="none" w:sz="0" w:space="0" w:color="auto"/>
                                                <w:left w:val="none" w:sz="0" w:space="0" w:color="auto"/>
                                                <w:bottom w:val="single" w:sz="6" w:space="6" w:color="EEEEEE"/>
                                                <w:right w:val="none" w:sz="0" w:space="0" w:color="auto"/>
                                              </w:divBdr>
                                            </w:div>
                                            <w:div w:id="1701708460">
                                              <w:marLeft w:val="0"/>
                                              <w:marRight w:val="0"/>
                                              <w:marTop w:val="0"/>
                                              <w:marBottom w:val="120"/>
                                              <w:divBdr>
                                                <w:top w:val="none" w:sz="0" w:space="0" w:color="auto"/>
                                                <w:left w:val="none" w:sz="0" w:space="0" w:color="auto"/>
                                                <w:bottom w:val="single" w:sz="6" w:space="6" w:color="EEEEEE"/>
                                                <w:right w:val="none" w:sz="0" w:space="0" w:color="auto"/>
                                              </w:divBdr>
                                              <w:divsChild>
                                                <w:div w:id="1867132380">
                                                  <w:marLeft w:val="0"/>
                                                  <w:marRight w:val="0"/>
                                                  <w:marTop w:val="0"/>
                                                  <w:marBottom w:val="0"/>
                                                  <w:divBdr>
                                                    <w:top w:val="none" w:sz="0" w:space="0" w:color="auto"/>
                                                    <w:left w:val="none" w:sz="0" w:space="0" w:color="auto"/>
                                                    <w:bottom w:val="none" w:sz="0" w:space="0" w:color="auto"/>
                                                    <w:right w:val="none" w:sz="0" w:space="0" w:color="auto"/>
                                                  </w:divBdr>
                                                </w:div>
                                              </w:divsChild>
                                            </w:div>
                                            <w:div w:id="1051420876">
                                              <w:marLeft w:val="0"/>
                                              <w:marRight w:val="0"/>
                                              <w:marTop w:val="0"/>
                                              <w:marBottom w:val="120"/>
                                              <w:divBdr>
                                                <w:top w:val="none" w:sz="0" w:space="0" w:color="auto"/>
                                                <w:left w:val="none" w:sz="0" w:space="0" w:color="auto"/>
                                                <w:bottom w:val="none" w:sz="0" w:space="0" w:color="auto"/>
                                                <w:right w:val="none" w:sz="0" w:space="0" w:color="auto"/>
                                              </w:divBdr>
                                              <w:divsChild>
                                                <w:div w:id="47214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829963">
                                          <w:marLeft w:val="0"/>
                                          <w:marRight w:val="600"/>
                                          <w:marTop w:val="0"/>
                                          <w:marBottom w:val="0"/>
                                          <w:divBdr>
                                            <w:top w:val="none" w:sz="0" w:space="0" w:color="auto"/>
                                            <w:left w:val="none" w:sz="0" w:space="0" w:color="auto"/>
                                            <w:bottom w:val="none" w:sz="0" w:space="0" w:color="auto"/>
                                            <w:right w:val="none" w:sz="0" w:space="0" w:color="auto"/>
                                          </w:divBdr>
                                          <w:divsChild>
                                            <w:div w:id="1989432419">
                                              <w:marLeft w:val="0"/>
                                              <w:marRight w:val="0"/>
                                              <w:marTop w:val="0"/>
                                              <w:marBottom w:val="120"/>
                                              <w:divBdr>
                                                <w:top w:val="none" w:sz="0" w:space="0" w:color="auto"/>
                                                <w:left w:val="none" w:sz="0" w:space="0" w:color="auto"/>
                                                <w:bottom w:val="single" w:sz="6" w:space="6" w:color="EEEEEE"/>
                                                <w:right w:val="none" w:sz="0" w:space="0" w:color="auto"/>
                                              </w:divBdr>
                                              <w:divsChild>
                                                <w:div w:id="162357535">
                                                  <w:marLeft w:val="0"/>
                                                  <w:marRight w:val="0"/>
                                                  <w:marTop w:val="0"/>
                                                  <w:marBottom w:val="0"/>
                                                  <w:divBdr>
                                                    <w:top w:val="none" w:sz="0" w:space="0" w:color="auto"/>
                                                    <w:left w:val="none" w:sz="0" w:space="0" w:color="auto"/>
                                                    <w:bottom w:val="none" w:sz="0" w:space="0" w:color="auto"/>
                                                    <w:right w:val="none" w:sz="0" w:space="0" w:color="auto"/>
                                                  </w:divBdr>
                                                </w:div>
                                              </w:divsChild>
                                            </w:div>
                                            <w:div w:id="135951844">
                                              <w:marLeft w:val="0"/>
                                              <w:marRight w:val="0"/>
                                              <w:marTop w:val="0"/>
                                              <w:marBottom w:val="120"/>
                                              <w:divBdr>
                                                <w:top w:val="none" w:sz="0" w:space="0" w:color="auto"/>
                                                <w:left w:val="none" w:sz="0" w:space="0" w:color="auto"/>
                                                <w:bottom w:val="single" w:sz="6" w:space="6" w:color="EEEEEE"/>
                                                <w:right w:val="none" w:sz="0" w:space="0" w:color="auto"/>
                                              </w:divBdr>
                                              <w:divsChild>
                                                <w:div w:id="171919529">
                                                  <w:marLeft w:val="0"/>
                                                  <w:marRight w:val="0"/>
                                                  <w:marTop w:val="0"/>
                                                  <w:marBottom w:val="0"/>
                                                  <w:divBdr>
                                                    <w:top w:val="none" w:sz="0" w:space="0" w:color="auto"/>
                                                    <w:left w:val="none" w:sz="0" w:space="0" w:color="auto"/>
                                                    <w:bottom w:val="none" w:sz="0" w:space="0" w:color="auto"/>
                                                    <w:right w:val="none" w:sz="0" w:space="0" w:color="auto"/>
                                                  </w:divBdr>
                                                </w:div>
                                              </w:divsChild>
                                            </w:div>
                                            <w:div w:id="594090564">
                                              <w:marLeft w:val="0"/>
                                              <w:marRight w:val="0"/>
                                              <w:marTop w:val="0"/>
                                              <w:marBottom w:val="120"/>
                                              <w:divBdr>
                                                <w:top w:val="none" w:sz="0" w:space="0" w:color="auto"/>
                                                <w:left w:val="none" w:sz="0" w:space="0" w:color="auto"/>
                                                <w:bottom w:val="single" w:sz="6" w:space="6" w:color="EEEEEE"/>
                                                <w:right w:val="none" w:sz="0" w:space="0" w:color="auto"/>
                                              </w:divBdr>
                                              <w:divsChild>
                                                <w:div w:id="1584877411">
                                                  <w:marLeft w:val="0"/>
                                                  <w:marRight w:val="0"/>
                                                  <w:marTop w:val="0"/>
                                                  <w:marBottom w:val="0"/>
                                                  <w:divBdr>
                                                    <w:top w:val="none" w:sz="0" w:space="0" w:color="auto"/>
                                                    <w:left w:val="none" w:sz="0" w:space="0" w:color="auto"/>
                                                    <w:bottom w:val="none" w:sz="0" w:space="0" w:color="auto"/>
                                                    <w:right w:val="none" w:sz="0" w:space="0" w:color="auto"/>
                                                  </w:divBdr>
                                                </w:div>
                                              </w:divsChild>
                                            </w:div>
                                            <w:div w:id="1413507683">
                                              <w:marLeft w:val="0"/>
                                              <w:marRight w:val="0"/>
                                              <w:marTop w:val="0"/>
                                              <w:marBottom w:val="120"/>
                                              <w:divBdr>
                                                <w:top w:val="none" w:sz="0" w:space="0" w:color="auto"/>
                                                <w:left w:val="none" w:sz="0" w:space="0" w:color="auto"/>
                                                <w:bottom w:val="single" w:sz="6" w:space="6" w:color="EEEEEE"/>
                                                <w:right w:val="none" w:sz="0" w:space="0" w:color="auto"/>
                                              </w:divBdr>
                                              <w:divsChild>
                                                <w:div w:id="536771778">
                                                  <w:marLeft w:val="0"/>
                                                  <w:marRight w:val="0"/>
                                                  <w:marTop w:val="0"/>
                                                  <w:marBottom w:val="0"/>
                                                  <w:divBdr>
                                                    <w:top w:val="none" w:sz="0" w:space="0" w:color="auto"/>
                                                    <w:left w:val="none" w:sz="0" w:space="0" w:color="auto"/>
                                                    <w:bottom w:val="none" w:sz="0" w:space="0" w:color="auto"/>
                                                    <w:right w:val="none" w:sz="0" w:space="0" w:color="auto"/>
                                                  </w:divBdr>
                                                </w:div>
                                              </w:divsChild>
                                            </w:div>
                                            <w:div w:id="976448168">
                                              <w:marLeft w:val="0"/>
                                              <w:marRight w:val="0"/>
                                              <w:marTop w:val="0"/>
                                              <w:marBottom w:val="120"/>
                                              <w:divBdr>
                                                <w:top w:val="none" w:sz="0" w:space="0" w:color="auto"/>
                                                <w:left w:val="none" w:sz="0" w:space="0" w:color="auto"/>
                                                <w:bottom w:val="none" w:sz="0" w:space="0" w:color="auto"/>
                                                <w:right w:val="none" w:sz="0" w:space="0" w:color="auto"/>
                                              </w:divBdr>
                                              <w:divsChild>
                                                <w:div w:id="184019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887400">
                              <w:marLeft w:val="0"/>
                              <w:marRight w:val="0"/>
                              <w:marTop w:val="0"/>
                              <w:marBottom w:val="300"/>
                              <w:divBdr>
                                <w:top w:val="none" w:sz="0" w:space="0" w:color="auto"/>
                                <w:left w:val="none" w:sz="0" w:space="0" w:color="auto"/>
                                <w:bottom w:val="none" w:sz="0" w:space="0" w:color="auto"/>
                                <w:right w:val="none" w:sz="0" w:space="0" w:color="auto"/>
                              </w:divBdr>
                              <w:divsChild>
                                <w:div w:id="318577012">
                                  <w:marLeft w:val="0"/>
                                  <w:marRight w:val="0"/>
                                  <w:marTop w:val="0"/>
                                  <w:marBottom w:val="300"/>
                                  <w:divBdr>
                                    <w:top w:val="none" w:sz="0" w:space="0" w:color="auto"/>
                                    <w:left w:val="none" w:sz="0" w:space="0" w:color="auto"/>
                                    <w:bottom w:val="single" w:sz="6" w:space="0" w:color="E5E5E5"/>
                                    <w:right w:val="none" w:sz="0" w:space="0" w:color="auto"/>
                                  </w:divBdr>
                                </w:div>
                                <w:div w:id="162354181">
                                  <w:marLeft w:val="0"/>
                                  <w:marRight w:val="0"/>
                                  <w:marTop w:val="0"/>
                                  <w:marBottom w:val="0"/>
                                  <w:divBdr>
                                    <w:top w:val="none" w:sz="0" w:space="0" w:color="auto"/>
                                    <w:left w:val="none" w:sz="0" w:space="0" w:color="auto"/>
                                    <w:bottom w:val="none" w:sz="0" w:space="0" w:color="auto"/>
                                    <w:right w:val="none" w:sz="0" w:space="0" w:color="auto"/>
                                  </w:divBdr>
                                  <w:divsChild>
                                    <w:div w:id="1652557934">
                                      <w:marLeft w:val="0"/>
                                      <w:marRight w:val="0"/>
                                      <w:marTop w:val="0"/>
                                      <w:marBottom w:val="225"/>
                                      <w:divBdr>
                                        <w:top w:val="none" w:sz="0" w:space="0" w:color="auto"/>
                                        <w:left w:val="none" w:sz="0" w:space="0" w:color="auto"/>
                                        <w:bottom w:val="none" w:sz="0" w:space="0" w:color="auto"/>
                                        <w:right w:val="none" w:sz="0" w:space="0" w:color="auto"/>
                                      </w:divBdr>
                                      <w:divsChild>
                                        <w:div w:id="283733636">
                                          <w:marLeft w:val="0"/>
                                          <w:marRight w:val="150"/>
                                          <w:marTop w:val="0"/>
                                          <w:marBottom w:val="0"/>
                                          <w:divBdr>
                                            <w:top w:val="none" w:sz="0" w:space="0" w:color="auto"/>
                                            <w:left w:val="none" w:sz="0" w:space="0" w:color="auto"/>
                                            <w:bottom w:val="none" w:sz="0" w:space="0" w:color="auto"/>
                                            <w:right w:val="none" w:sz="0" w:space="0" w:color="auto"/>
                                          </w:divBdr>
                                        </w:div>
                                      </w:divsChild>
                                    </w:div>
                                    <w:div w:id="630671743">
                                      <w:marLeft w:val="0"/>
                                      <w:marRight w:val="0"/>
                                      <w:marTop w:val="0"/>
                                      <w:marBottom w:val="225"/>
                                      <w:divBdr>
                                        <w:top w:val="none" w:sz="0" w:space="0" w:color="auto"/>
                                        <w:left w:val="none" w:sz="0" w:space="0" w:color="auto"/>
                                        <w:bottom w:val="none" w:sz="0" w:space="0" w:color="auto"/>
                                        <w:right w:val="none" w:sz="0" w:space="0" w:color="auto"/>
                                      </w:divBdr>
                                      <w:divsChild>
                                        <w:div w:id="1766682406">
                                          <w:marLeft w:val="0"/>
                                          <w:marRight w:val="150"/>
                                          <w:marTop w:val="0"/>
                                          <w:marBottom w:val="0"/>
                                          <w:divBdr>
                                            <w:top w:val="none" w:sz="0" w:space="0" w:color="auto"/>
                                            <w:left w:val="none" w:sz="0" w:space="0" w:color="auto"/>
                                            <w:bottom w:val="none" w:sz="0" w:space="0" w:color="auto"/>
                                            <w:right w:val="none" w:sz="0" w:space="0" w:color="auto"/>
                                          </w:divBdr>
                                        </w:div>
                                      </w:divsChild>
                                    </w:div>
                                    <w:div w:id="1899200011">
                                      <w:marLeft w:val="0"/>
                                      <w:marRight w:val="0"/>
                                      <w:marTop w:val="0"/>
                                      <w:marBottom w:val="225"/>
                                      <w:divBdr>
                                        <w:top w:val="none" w:sz="0" w:space="0" w:color="auto"/>
                                        <w:left w:val="none" w:sz="0" w:space="0" w:color="auto"/>
                                        <w:bottom w:val="none" w:sz="0" w:space="0" w:color="auto"/>
                                        <w:right w:val="none" w:sz="0" w:space="0" w:color="auto"/>
                                      </w:divBdr>
                                      <w:divsChild>
                                        <w:div w:id="957612268">
                                          <w:marLeft w:val="0"/>
                                          <w:marRight w:val="150"/>
                                          <w:marTop w:val="0"/>
                                          <w:marBottom w:val="0"/>
                                          <w:divBdr>
                                            <w:top w:val="none" w:sz="0" w:space="0" w:color="auto"/>
                                            <w:left w:val="none" w:sz="0" w:space="0" w:color="auto"/>
                                            <w:bottom w:val="none" w:sz="0" w:space="0" w:color="auto"/>
                                            <w:right w:val="none" w:sz="0" w:space="0" w:color="auto"/>
                                          </w:divBdr>
                                        </w:div>
                                      </w:divsChild>
                                    </w:div>
                                    <w:div w:id="767041918">
                                      <w:marLeft w:val="0"/>
                                      <w:marRight w:val="0"/>
                                      <w:marTop w:val="0"/>
                                      <w:marBottom w:val="225"/>
                                      <w:divBdr>
                                        <w:top w:val="none" w:sz="0" w:space="0" w:color="auto"/>
                                        <w:left w:val="none" w:sz="0" w:space="0" w:color="auto"/>
                                        <w:bottom w:val="none" w:sz="0" w:space="0" w:color="auto"/>
                                        <w:right w:val="none" w:sz="0" w:space="0" w:color="auto"/>
                                      </w:divBdr>
                                      <w:divsChild>
                                        <w:div w:id="533466508">
                                          <w:marLeft w:val="0"/>
                                          <w:marRight w:val="150"/>
                                          <w:marTop w:val="0"/>
                                          <w:marBottom w:val="0"/>
                                          <w:divBdr>
                                            <w:top w:val="none" w:sz="0" w:space="0" w:color="auto"/>
                                            <w:left w:val="none" w:sz="0" w:space="0" w:color="auto"/>
                                            <w:bottom w:val="none" w:sz="0" w:space="0" w:color="auto"/>
                                            <w:right w:val="none" w:sz="0" w:space="0" w:color="auto"/>
                                          </w:divBdr>
                                        </w:div>
                                      </w:divsChild>
                                    </w:div>
                                    <w:div w:id="709840198">
                                      <w:marLeft w:val="0"/>
                                      <w:marRight w:val="0"/>
                                      <w:marTop w:val="0"/>
                                      <w:marBottom w:val="0"/>
                                      <w:divBdr>
                                        <w:top w:val="none" w:sz="0" w:space="0" w:color="auto"/>
                                        <w:left w:val="none" w:sz="0" w:space="0" w:color="auto"/>
                                        <w:bottom w:val="none" w:sz="0" w:space="0" w:color="auto"/>
                                        <w:right w:val="none" w:sz="0" w:space="0" w:color="auto"/>
                                      </w:divBdr>
                                      <w:divsChild>
                                        <w:div w:id="209107396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898198668">
                              <w:marLeft w:val="0"/>
                              <w:marRight w:val="0"/>
                              <w:marTop w:val="0"/>
                              <w:marBottom w:val="300"/>
                              <w:divBdr>
                                <w:top w:val="none" w:sz="0" w:space="0" w:color="auto"/>
                                <w:left w:val="none" w:sz="0" w:space="0" w:color="auto"/>
                                <w:bottom w:val="none" w:sz="0" w:space="0" w:color="auto"/>
                                <w:right w:val="none" w:sz="0" w:space="0" w:color="auto"/>
                              </w:divBdr>
                              <w:divsChild>
                                <w:div w:id="1239943952">
                                  <w:marLeft w:val="0"/>
                                  <w:marRight w:val="0"/>
                                  <w:marTop w:val="0"/>
                                  <w:marBottom w:val="0"/>
                                  <w:divBdr>
                                    <w:top w:val="none" w:sz="0" w:space="0" w:color="auto"/>
                                    <w:left w:val="none" w:sz="0" w:space="0" w:color="auto"/>
                                    <w:bottom w:val="none" w:sz="0" w:space="0" w:color="auto"/>
                                    <w:right w:val="none" w:sz="0" w:space="0" w:color="auto"/>
                                  </w:divBdr>
                                  <w:divsChild>
                                    <w:div w:id="2032875542">
                                      <w:marLeft w:val="0"/>
                                      <w:marRight w:val="0"/>
                                      <w:marTop w:val="0"/>
                                      <w:marBottom w:val="150"/>
                                      <w:divBdr>
                                        <w:top w:val="none" w:sz="0" w:space="0" w:color="auto"/>
                                        <w:left w:val="none" w:sz="0" w:space="0" w:color="auto"/>
                                        <w:bottom w:val="none" w:sz="0" w:space="0" w:color="auto"/>
                                        <w:right w:val="none" w:sz="0" w:space="0" w:color="auto"/>
                                      </w:divBdr>
                                      <w:divsChild>
                                        <w:div w:id="26755717">
                                          <w:marLeft w:val="0"/>
                                          <w:marRight w:val="0"/>
                                          <w:marTop w:val="0"/>
                                          <w:marBottom w:val="0"/>
                                          <w:divBdr>
                                            <w:top w:val="none" w:sz="0" w:space="0" w:color="auto"/>
                                            <w:left w:val="none" w:sz="0" w:space="0" w:color="auto"/>
                                            <w:bottom w:val="none" w:sz="0" w:space="0" w:color="auto"/>
                                            <w:right w:val="none" w:sz="0" w:space="0" w:color="auto"/>
                                          </w:divBdr>
                                          <w:divsChild>
                                            <w:div w:id="2146651945">
                                              <w:marLeft w:val="0"/>
                                              <w:marRight w:val="0"/>
                                              <w:marTop w:val="100"/>
                                              <w:marBottom w:val="100"/>
                                              <w:divBdr>
                                                <w:top w:val="single" w:sz="2" w:space="0" w:color="DFDFDF"/>
                                                <w:left w:val="single" w:sz="2" w:space="0" w:color="DFDFDF"/>
                                                <w:bottom w:val="single" w:sz="2" w:space="0" w:color="DFDFDF"/>
                                                <w:right w:val="single" w:sz="2" w:space="0" w:color="DFDFDF"/>
                                              </w:divBdr>
                                              <w:divsChild>
                                                <w:div w:id="444928078">
                                                  <w:marLeft w:val="0"/>
                                                  <w:marRight w:val="0"/>
                                                  <w:marTop w:val="0"/>
                                                  <w:marBottom w:val="0"/>
                                                  <w:divBdr>
                                                    <w:top w:val="none" w:sz="0" w:space="0" w:color="auto"/>
                                                    <w:left w:val="none" w:sz="0" w:space="0" w:color="auto"/>
                                                    <w:bottom w:val="none" w:sz="0" w:space="0" w:color="auto"/>
                                                    <w:right w:val="none" w:sz="0" w:space="0" w:color="auto"/>
                                                  </w:divBdr>
                                                  <w:divsChild>
                                                    <w:div w:id="734427052">
                                                      <w:marLeft w:val="0"/>
                                                      <w:marRight w:val="0"/>
                                                      <w:marTop w:val="0"/>
                                                      <w:marBottom w:val="0"/>
                                                      <w:divBdr>
                                                        <w:top w:val="single" w:sz="2" w:space="0" w:color="A9A9A9"/>
                                                        <w:left w:val="single" w:sz="2" w:space="0" w:color="A9A9A9"/>
                                                        <w:bottom w:val="single" w:sz="2" w:space="0" w:color="A9A9A9"/>
                                                        <w:right w:val="single" w:sz="2" w:space="0" w:color="A9A9A9"/>
                                                      </w:divBdr>
                                                      <w:divsChild>
                                                        <w:div w:id="1790006061">
                                                          <w:marLeft w:val="0"/>
                                                          <w:marRight w:val="0"/>
                                                          <w:marTop w:val="0"/>
                                                          <w:marBottom w:val="0"/>
                                                          <w:divBdr>
                                                            <w:top w:val="none" w:sz="0" w:space="0" w:color="auto"/>
                                                            <w:left w:val="none" w:sz="0" w:space="0" w:color="auto"/>
                                                            <w:bottom w:val="none" w:sz="0" w:space="0" w:color="auto"/>
                                                            <w:right w:val="none" w:sz="0" w:space="0" w:color="auto"/>
                                                          </w:divBdr>
                                                          <w:divsChild>
                                                            <w:div w:id="839928328">
                                                              <w:marLeft w:val="0"/>
                                                              <w:marRight w:val="0"/>
                                                              <w:marTop w:val="0"/>
                                                              <w:marBottom w:val="0"/>
                                                              <w:divBdr>
                                                                <w:top w:val="single" w:sz="2" w:space="0" w:color="E4E4E4"/>
                                                                <w:left w:val="single" w:sz="2" w:space="0" w:color="E4E4E4"/>
                                                                <w:bottom w:val="single" w:sz="2" w:space="0" w:color="E4E4E4"/>
                                                                <w:right w:val="single" w:sz="2" w:space="0" w:color="E4E4E4"/>
                                                              </w:divBdr>
                                                            </w:div>
                                                            <w:div w:id="1304580114">
                                                              <w:marLeft w:val="0"/>
                                                              <w:marRight w:val="0"/>
                                                              <w:marTop w:val="0"/>
                                                              <w:marBottom w:val="0"/>
                                                              <w:divBdr>
                                                                <w:top w:val="single" w:sz="2" w:space="0" w:color="E4E4E4"/>
                                                                <w:left w:val="single" w:sz="2" w:space="0" w:color="E4E4E4"/>
                                                                <w:bottom w:val="single" w:sz="2" w:space="0" w:color="E4E4E4"/>
                                                                <w:right w:val="single" w:sz="2" w:space="0" w:color="E4E4E4"/>
                                                              </w:divBdr>
                                                            </w:div>
                                                            <w:div w:id="576401151">
                                                              <w:marLeft w:val="0"/>
                                                              <w:marRight w:val="0"/>
                                                              <w:marTop w:val="0"/>
                                                              <w:marBottom w:val="0"/>
                                                              <w:divBdr>
                                                                <w:top w:val="single" w:sz="2" w:space="0" w:color="E4E4E4"/>
                                                                <w:left w:val="single" w:sz="2" w:space="0" w:color="E4E4E4"/>
                                                                <w:bottom w:val="single" w:sz="2" w:space="0" w:color="E4E4E4"/>
                                                                <w:right w:val="single" w:sz="2" w:space="0" w:color="E4E4E4"/>
                                                              </w:divBdr>
                                                            </w:div>
                                                            <w:div w:id="74283917">
                                                              <w:marLeft w:val="0"/>
                                                              <w:marRight w:val="0"/>
                                                              <w:marTop w:val="0"/>
                                                              <w:marBottom w:val="0"/>
                                                              <w:divBdr>
                                                                <w:top w:val="single" w:sz="2" w:space="0" w:color="E4E4E4"/>
                                                                <w:left w:val="single" w:sz="2" w:space="0" w:color="E4E4E4"/>
                                                                <w:bottom w:val="single" w:sz="2" w:space="0" w:color="E4E4E4"/>
                                                                <w:right w:val="single" w:sz="2" w:space="0" w:color="E4E4E4"/>
                                                              </w:divBdr>
                                                            </w:div>
                                                            <w:div w:id="874393546">
                                                              <w:marLeft w:val="0"/>
                                                              <w:marRight w:val="0"/>
                                                              <w:marTop w:val="0"/>
                                                              <w:marBottom w:val="0"/>
                                                              <w:divBdr>
                                                                <w:top w:val="single" w:sz="2" w:space="0" w:color="E4E4E4"/>
                                                                <w:left w:val="single" w:sz="2" w:space="0" w:color="E4E4E4"/>
                                                                <w:bottom w:val="single" w:sz="2" w:space="0" w:color="E4E4E4"/>
                                                                <w:right w:val="single" w:sz="2" w:space="0" w:color="E4E4E4"/>
                                                              </w:divBdr>
                                                            </w:div>
                                                          </w:divsChild>
                                                        </w:div>
                                                        <w:div w:id="2058355777">
                                                          <w:marLeft w:val="0"/>
                                                          <w:marRight w:val="0"/>
                                                          <w:marTop w:val="0"/>
                                                          <w:marBottom w:val="0"/>
                                                          <w:divBdr>
                                                            <w:top w:val="none" w:sz="0" w:space="0" w:color="auto"/>
                                                            <w:left w:val="none" w:sz="0" w:space="0" w:color="auto"/>
                                                            <w:bottom w:val="none" w:sz="0" w:space="0" w:color="auto"/>
                                                            <w:right w:val="none" w:sz="0" w:space="0" w:color="auto"/>
                                                          </w:divBdr>
                                                          <w:divsChild>
                                                            <w:div w:id="1487938829">
                                                              <w:marLeft w:val="0"/>
                                                              <w:marRight w:val="0"/>
                                                              <w:marTop w:val="0"/>
                                                              <w:marBottom w:val="0"/>
                                                              <w:divBdr>
                                                                <w:top w:val="none" w:sz="0" w:space="0" w:color="auto"/>
                                                                <w:left w:val="none" w:sz="0" w:space="0" w:color="auto"/>
                                                                <w:bottom w:val="none" w:sz="0" w:space="0" w:color="auto"/>
                                                                <w:right w:val="none" w:sz="0" w:space="0" w:color="auto"/>
                                                              </w:divBdr>
                                                              <w:divsChild>
                                                                <w:div w:id="79907337">
                                                                  <w:marLeft w:val="0"/>
                                                                  <w:marRight w:val="0"/>
                                                                  <w:marTop w:val="0"/>
                                                                  <w:marBottom w:val="0"/>
                                                                  <w:divBdr>
                                                                    <w:top w:val="none" w:sz="0" w:space="0" w:color="auto"/>
                                                                    <w:left w:val="none" w:sz="0" w:space="0" w:color="auto"/>
                                                                    <w:bottom w:val="none" w:sz="0" w:space="0" w:color="auto"/>
                                                                    <w:right w:val="none" w:sz="0" w:space="0" w:color="auto"/>
                                                                  </w:divBdr>
                                                                </w:div>
                                                                <w:div w:id="1856993924">
                                                                  <w:marLeft w:val="0"/>
                                                                  <w:marRight w:val="0"/>
                                                                  <w:marTop w:val="0"/>
                                                                  <w:marBottom w:val="0"/>
                                                                  <w:divBdr>
                                                                    <w:top w:val="none" w:sz="0" w:space="0" w:color="auto"/>
                                                                    <w:left w:val="none" w:sz="0" w:space="0" w:color="auto"/>
                                                                    <w:bottom w:val="none" w:sz="0" w:space="0" w:color="auto"/>
                                                                    <w:right w:val="none" w:sz="0" w:space="0" w:color="auto"/>
                                                                  </w:divBdr>
                                                                  <w:divsChild>
                                                                    <w:div w:id="573904050">
                                                                      <w:marLeft w:val="0"/>
                                                                      <w:marRight w:val="0"/>
                                                                      <w:marTop w:val="0"/>
                                                                      <w:marBottom w:val="0"/>
                                                                      <w:divBdr>
                                                                        <w:top w:val="none" w:sz="0" w:space="0" w:color="auto"/>
                                                                        <w:left w:val="none" w:sz="0" w:space="0" w:color="auto"/>
                                                                        <w:bottom w:val="none" w:sz="0" w:space="0" w:color="auto"/>
                                                                        <w:right w:val="none" w:sz="0" w:space="0" w:color="auto"/>
                                                                      </w:divBdr>
                                                                      <w:divsChild>
                                                                        <w:div w:id="157982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8328870">
                                  <w:marLeft w:val="0"/>
                                  <w:marRight w:val="0"/>
                                  <w:marTop w:val="45"/>
                                  <w:marBottom w:val="0"/>
                                  <w:divBdr>
                                    <w:top w:val="none" w:sz="0" w:space="0" w:color="auto"/>
                                    <w:left w:val="none" w:sz="0" w:space="0" w:color="auto"/>
                                    <w:bottom w:val="none" w:sz="0" w:space="0" w:color="auto"/>
                                    <w:right w:val="none" w:sz="0" w:space="0" w:color="auto"/>
                                  </w:divBdr>
                                  <w:divsChild>
                                    <w:div w:id="748966864">
                                      <w:marLeft w:val="0"/>
                                      <w:marRight w:val="0"/>
                                      <w:marTop w:val="0"/>
                                      <w:marBottom w:val="0"/>
                                      <w:divBdr>
                                        <w:top w:val="none" w:sz="0" w:space="0" w:color="auto"/>
                                        <w:left w:val="none" w:sz="0" w:space="0" w:color="auto"/>
                                        <w:bottom w:val="none" w:sz="0" w:space="0" w:color="auto"/>
                                        <w:right w:val="none" w:sz="0" w:space="0" w:color="auto"/>
                                      </w:divBdr>
                                      <w:divsChild>
                                        <w:div w:id="488138333">
                                          <w:marLeft w:val="0"/>
                                          <w:marRight w:val="0"/>
                                          <w:marTop w:val="0"/>
                                          <w:marBottom w:val="150"/>
                                          <w:divBdr>
                                            <w:top w:val="none" w:sz="0" w:space="0" w:color="auto"/>
                                            <w:left w:val="none" w:sz="0" w:space="0" w:color="auto"/>
                                            <w:bottom w:val="none" w:sz="0" w:space="0" w:color="auto"/>
                                            <w:right w:val="none" w:sz="0" w:space="0" w:color="auto"/>
                                          </w:divBdr>
                                          <w:divsChild>
                                            <w:div w:id="586810529">
                                              <w:marLeft w:val="0"/>
                                              <w:marRight w:val="0"/>
                                              <w:marTop w:val="0"/>
                                              <w:marBottom w:val="0"/>
                                              <w:divBdr>
                                                <w:top w:val="none" w:sz="0" w:space="0" w:color="auto"/>
                                                <w:left w:val="none" w:sz="0" w:space="0" w:color="auto"/>
                                                <w:bottom w:val="none" w:sz="0" w:space="0" w:color="auto"/>
                                                <w:right w:val="none" w:sz="0" w:space="0" w:color="auto"/>
                                              </w:divBdr>
                                              <w:divsChild>
                                                <w:div w:id="1193375496">
                                                  <w:marLeft w:val="0"/>
                                                  <w:marRight w:val="0"/>
                                                  <w:marTop w:val="100"/>
                                                  <w:marBottom w:val="100"/>
                                                  <w:divBdr>
                                                    <w:top w:val="single" w:sz="2" w:space="0" w:color="DFDFDF"/>
                                                    <w:left w:val="single" w:sz="2" w:space="0" w:color="DFDFDF"/>
                                                    <w:bottom w:val="single" w:sz="2" w:space="0" w:color="DFDFDF"/>
                                                    <w:right w:val="single" w:sz="2" w:space="0" w:color="DFDFDF"/>
                                                  </w:divBdr>
                                                  <w:divsChild>
                                                    <w:div w:id="539244533">
                                                      <w:marLeft w:val="0"/>
                                                      <w:marRight w:val="0"/>
                                                      <w:marTop w:val="0"/>
                                                      <w:marBottom w:val="0"/>
                                                      <w:divBdr>
                                                        <w:top w:val="none" w:sz="0" w:space="0" w:color="auto"/>
                                                        <w:left w:val="none" w:sz="0" w:space="0" w:color="auto"/>
                                                        <w:bottom w:val="none" w:sz="0" w:space="0" w:color="auto"/>
                                                        <w:right w:val="none" w:sz="0" w:space="0" w:color="auto"/>
                                                      </w:divBdr>
                                                      <w:divsChild>
                                                        <w:div w:id="1101023298">
                                                          <w:marLeft w:val="0"/>
                                                          <w:marRight w:val="0"/>
                                                          <w:marTop w:val="0"/>
                                                          <w:marBottom w:val="0"/>
                                                          <w:divBdr>
                                                            <w:top w:val="single" w:sz="2" w:space="0" w:color="A9A9A9"/>
                                                            <w:left w:val="single" w:sz="2" w:space="0" w:color="A9A9A9"/>
                                                            <w:bottom w:val="single" w:sz="2" w:space="0" w:color="A9A9A9"/>
                                                            <w:right w:val="single" w:sz="2" w:space="0" w:color="A9A9A9"/>
                                                          </w:divBdr>
                                                          <w:divsChild>
                                                            <w:div w:id="1312518207">
                                                              <w:marLeft w:val="0"/>
                                                              <w:marRight w:val="0"/>
                                                              <w:marTop w:val="0"/>
                                                              <w:marBottom w:val="0"/>
                                                              <w:divBdr>
                                                                <w:top w:val="none" w:sz="0" w:space="0" w:color="auto"/>
                                                                <w:left w:val="none" w:sz="0" w:space="0" w:color="auto"/>
                                                                <w:bottom w:val="none" w:sz="0" w:space="0" w:color="auto"/>
                                                                <w:right w:val="none" w:sz="0" w:space="0" w:color="auto"/>
                                                              </w:divBdr>
                                                              <w:divsChild>
                                                                <w:div w:id="957176430">
                                                                  <w:marLeft w:val="0"/>
                                                                  <w:marRight w:val="0"/>
                                                                  <w:marTop w:val="0"/>
                                                                  <w:marBottom w:val="0"/>
                                                                  <w:divBdr>
                                                                    <w:top w:val="single" w:sz="2" w:space="0" w:color="E4E4E4"/>
                                                                    <w:left w:val="single" w:sz="2" w:space="0" w:color="E4E4E4"/>
                                                                    <w:bottom w:val="single" w:sz="2" w:space="0" w:color="E4E4E4"/>
                                                                    <w:right w:val="single" w:sz="2" w:space="0" w:color="E4E4E4"/>
                                                                  </w:divBdr>
                                                                </w:div>
                                                                <w:div w:id="457265945">
                                                                  <w:marLeft w:val="0"/>
                                                                  <w:marRight w:val="0"/>
                                                                  <w:marTop w:val="0"/>
                                                                  <w:marBottom w:val="0"/>
                                                                  <w:divBdr>
                                                                    <w:top w:val="single" w:sz="2" w:space="0" w:color="E4E4E4"/>
                                                                    <w:left w:val="single" w:sz="2" w:space="0" w:color="E4E4E4"/>
                                                                    <w:bottom w:val="single" w:sz="2" w:space="0" w:color="E4E4E4"/>
                                                                    <w:right w:val="single" w:sz="2" w:space="0" w:color="E4E4E4"/>
                                                                  </w:divBdr>
                                                                </w:div>
                                                                <w:div w:id="43915435">
                                                                  <w:marLeft w:val="0"/>
                                                                  <w:marRight w:val="0"/>
                                                                  <w:marTop w:val="0"/>
                                                                  <w:marBottom w:val="0"/>
                                                                  <w:divBdr>
                                                                    <w:top w:val="single" w:sz="2" w:space="0" w:color="E4E4E4"/>
                                                                    <w:left w:val="single" w:sz="2" w:space="0" w:color="E4E4E4"/>
                                                                    <w:bottom w:val="single" w:sz="2" w:space="0" w:color="E4E4E4"/>
                                                                    <w:right w:val="single" w:sz="2" w:space="0" w:color="E4E4E4"/>
                                                                  </w:divBdr>
                                                                </w:div>
                                                                <w:div w:id="1475567027">
                                                                  <w:marLeft w:val="0"/>
                                                                  <w:marRight w:val="0"/>
                                                                  <w:marTop w:val="0"/>
                                                                  <w:marBottom w:val="0"/>
                                                                  <w:divBdr>
                                                                    <w:top w:val="single" w:sz="2" w:space="0" w:color="E4E4E4"/>
                                                                    <w:left w:val="single" w:sz="2" w:space="0" w:color="E4E4E4"/>
                                                                    <w:bottom w:val="single" w:sz="2" w:space="0" w:color="E4E4E4"/>
                                                                    <w:right w:val="single" w:sz="2" w:space="0" w:color="E4E4E4"/>
                                                                  </w:divBdr>
                                                                </w:div>
                                                                <w:div w:id="1896114205">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854462298">
                                      <w:marLeft w:val="0"/>
                                      <w:marRight w:val="0"/>
                                      <w:marTop w:val="0"/>
                                      <w:marBottom w:val="330"/>
                                      <w:divBdr>
                                        <w:top w:val="none" w:sz="0" w:space="0" w:color="auto"/>
                                        <w:left w:val="none" w:sz="0" w:space="0" w:color="auto"/>
                                        <w:bottom w:val="none" w:sz="0" w:space="0" w:color="auto"/>
                                        <w:right w:val="none" w:sz="0" w:space="0" w:color="auto"/>
                                      </w:divBdr>
                                      <w:divsChild>
                                        <w:div w:id="1548486394">
                                          <w:marLeft w:val="0"/>
                                          <w:marRight w:val="0"/>
                                          <w:marTop w:val="0"/>
                                          <w:marBottom w:val="0"/>
                                          <w:divBdr>
                                            <w:top w:val="none" w:sz="0" w:space="0" w:color="auto"/>
                                            <w:left w:val="none" w:sz="0" w:space="0" w:color="auto"/>
                                            <w:bottom w:val="none" w:sz="0" w:space="0" w:color="auto"/>
                                            <w:right w:val="none" w:sz="0" w:space="0" w:color="auto"/>
                                          </w:divBdr>
                                          <w:divsChild>
                                            <w:div w:id="1122965641">
                                              <w:marLeft w:val="0"/>
                                              <w:marRight w:val="0"/>
                                              <w:marTop w:val="0"/>
                                              <w:marBottom w:val="0"/>
                                              <w:divBdr>
                                                <w:top w:val="single" w:sz="2" w:space="0" w:color="DFDFDF"/>
                                                <w:left w:val="single" w:sz="2" w:space="0" w:color="DFDFDF"/>
                                                <w:bottom w:val="single" w:sz="2" w:space="0" w:color="DFDFDF"/>
                                                <w:right w:val="single" w:sz="2" w:space="0" w:color="DFDFDF"/>
                                              </w:divBdr>
                                              <w:divsChild>
                                                <w:div w:id="272175854">
                                                  <w:marLeft w:val="-90"/>
                                                  <w:marRight w:val="0"/>
                                                  <w:marTop w:val="0"/>
                                                  <w:marBottom w:val="0"/>
                                                  <w:divBdr>
                                                    <w:top w:val="none" w:sz="0" w:space="0" w:color="auto"/>
                                                    <w:left w:val="none" w:sz="0" w:space="0" w:color="auto"/>
                                                    <w:bottom w:val="none" w:sz="0" w:space="0" w:color="auto"/>
                                                    <w:right w:val="none" w:sz="0" w:space="0" w:color="auto"/>
                                                  </w:divBdr>
                                                  <w:divsChild>
                                                    <w:div w:id="1865942540">
                                                      <w:marLeft w:val="0"/>
                                                      <w:marRight w:val="0"/>
                                                      <w:marTop w:val="0"/>
                                                      <w:marBottom w:val="45"/>
                                                      <w:divBdr>
                                                        <w:top w:val="single" w:sz="2" w:space="0" w:color="A9A9A9"/>
                                                        <w:left w:val="single" w:sz="2" w:space="0" w:color="A9A9A9"/>
                                                        <w:bottom w:val="single" w:sz="2" w:space="0" w:color="A9A9A9"/>
                                                        <w:right w:val="single" w:sz="2" w:space="0" w:color="A9A9A9"/>
                                                      </w:divBdr>
                                                      <w:divsChild>
                                                        <w:div w:id="900365063">
                                                          <w:marLeft w:val="0"/>
                                                          <w:marRight w:val="0"/>
                                                          <w:marTop w:val="0"/>
                                                          <w:marBottom w:val="0"/>
                                                          <w:divBdr>
                                                            <w:top w:val="none" w:sz="0" w:space="0" w:color="auto"/>
                                                            <w:left w:val="none" w:sz="0" w:space="0" w:color="auto"/>
                                                            <w:bottom w:val="none" w:sz="0" w:space="0" w:color="auto"/>
                                                            <w:right w:val="none" w:sz="0" w:space="0" w:color="auto"/>
                                                          </w:divBdr>
                                                          <w:divsChild>
                                                            <w:div w:id="1813591836">
                                                              <w:marLeft w:val="92"/>
                                                              <w:marRight w:val="0"/>
                                                              <w:marTop w:val="0"/>
                                                              <w:marBottom w:val="150"/>
                                                              <w:divBdr>
                                                                <w:top w:val="single" w:sz="2" w:space="0" w:color="E4E4E4"/>
                                                                <w:left w:val="single" w:sz="2" w:space="0" w:color="E4E4E4"/>
                                                                <w:bottom w:val="single" w:sz="2" w:space="0" w:color="E4E4E4"/>
                                                                <w:right w:val="single" w:sz="2" w:space="0" w:color="E4E4E4"/>
                                                              </w:divBdr>
                                                              <w:divsChild>
                                                                <w:div w:id="205692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9695310">
                                      <w:marLeft w:val="0"/>
                                      <w:marRight w:val="0"/>
                                      <w:marTop w:val="0"/>
                                      <w:marBottom w:val="330"/>
                                      <w:divBdr>
                                        <w:top w:val="none" w:sz="0" w:space="0" w:color="auto"/>
                                        <w:left w:val="none" w:sz="0" w:space="0" w:color="auto"/>
                                        <w:bottom w:val="none" w:sz="0" w:space="0" w:color="auto"/>
                                        <w:right w:val="none" w:sz="0" w:space="0" w:color="auto"/>
                                      </w:divBdr>
                                      <w:divsChild>
                                        <w:div w:id="1203860056">
                                          <w:marLeft w:val="0"/>
                                          <w:marRight w:val="0"/>
                                          <w:marTop w:val="0"/>
                                          <w:marBottom w:val="0"/>
                                          <w:divBdr>
                                            <w:top w:val="none" w:sz="0" w:space="0" w:color="auto"/>
                                            <w:left w:val="none" w:sz="0" w:space="0" w:color="auto"/>
                                            <w:bottom w:val="none" w:sz="0" w:space="0" w:color="auto"/>
                                            <w:right w:val="none" w:sz="0" w:space="0" w:color="auto"/>
                                          </w:divBdr>
                                          <w:divsChild>
                                            <w:div w:id="838733343">
                                              <w:marLeft w:val="0"/>
                                              <w:marRight w:val="0"/>
                                              <w:marTop w:val="0"/>
                                              <w:marBottom w:val="0"/>
                                              <w:divBdr>
                                                <w:top w:val="single" w:sz="2" w:space="0" w:color="DFDFDF"/>
                                                <w:left w:val="single" w:sz="2" w:space="0" w:color="DFDFDF"/>
                                                <w:bottom w:val="single" w:sz="2" w:space="0" w:color="DFDFDF"/>
                                                <w:right w:val="single" w:sz="2" w:space="0" w:color="DFDFDF"/>
                                              </w:divBdr>
                                              <w:divsChild>
                                                <w:div w:id="1523124392">
                                                  <w:marLeft w:val="-90"/>
                                                  <w:marRight w:val="0"/>
                                                  <w:marTop w:val="0"/>
                                                  <w:marBottom w:val="0"/>
                                                  <w:divBdr>
                                                    <w:top w:val="none" w:sz="0" w:space="0" w:color="auto"/>
                                                    <w:left w:val="none" w:sz="0" w:space="0" w:color="auto"/>
                                                    <w:bottom w:val="none" w:sz="0" w:space="0" w:color="auto"/>
                                                    <w:right w:val="none" w:sz="0" w:space="0" w:color="auto"/>
                                                  </w:divBdr>
                                                  <w:divsChild>
                                                    <w:div w:id="107047585">
                                                      <w:marLeft w:val="0"/>
                                                      <w:marRight w:val="0"/>
                                                      <w:marTop w:val="0"/>
                                                      <w:marBottom w:val="45"/>
                                                      <w:divBdr>
                                                        <w:top w:val="single" w:sz="2" w:space="0" w:color="A9A9A9"/>
                                                        <w:left w:val="single" w:sz="2" w:space="0" w:color="A9A9A9"/>
                                                        <w:bottom w:val="single" w:sz="2" w:space="0" w:color="A9A9A9"/>
                                                        <w:right w:val="single" w:sz="2" w:space="0" w:color="A9A9A9"/>
                                                      </w:divBdr>
                                                      <w:divsChild>
                                                        <w:div w:id="2010600227">
                                                          <w:marLeft w:val="0"/>
                                                          <w:marRight w:val="0"/>
                                                          <w:marTop w:val="0"/>
                                                          <w:marBottom w:val="0"/>
                                                          <w:divBdr>
                                                            <w:top w:val="none" w:sz="0" w:space="0" w:color="auto"/>
                                                            <w:left w:val="none" w:sz="0" w:space="0" w:color="auto"/>
                                                            <w:bottom w:val="none" w:sz="0" w:space="0" w:color="auto"/>
                                                            <w:right w:val="none" w:sz="0" w:space="0" w:color="auto"/>
                                                          </w:divBdr>
                                                          <w:divsChild>
                                                            <w:div w:id="450320772">
                                                              <w:marLeft w:val="92"/>
                                                              <w:marRight w:val="0"/>
                                                              <w:marTop w:val="0"/>
                                                              <w:marBottom w:val="150"/>
                                                              <w:divBdr>
                                                                <w:top w:val="single" w:sz="2" w:space="0" w:color="E4E4E4"/>
                                                                <w:left w:val="single" w:sz="2" w:space="0" w:color="E4E4E4"/>
                                                                <w:bottom w:val="single" w:sz="2" w:space="0" w:color="E4E4E4"/>
                                                                <w:right w:val="single" w:sz="2" w:space="0" w:color="E4E4E4"/>
                                                              </w:divBdr>
                                                              <w:divsChild>
                                                                <w:div w:id="117797390">
                                                                  <w:marLeft w:val="0"/>
                                                                  <w:marRight w:val="0"/>
                                                                  <w:marTop w:val="0"/>
                                                                  <w:marBottom w:val="0"/>
                                                                  <w:divBdr>
                                                                    <w:top w:val="none" w:sz="0" w:space="0" w:color="auto"/>
                                                                    <w:left w:val="none" w:sz="0" w:space="0" w:color="auto"/>
                                                                    <w:bottom w:val="none" w:sz="0" w:space="0" w:color="auto"/>
                                                                    <w:right w:val="none" w:sz="0" w:space="0" w:color="auto"/>
                                                                  </w:divBdr>
                                                                </w:div>
                                                              </w:divsChild>
                                                            </w:div>
                                                            <w:div w:id="312567628">
                                                              <w:marLeft w:val="92"/>
                                                              <w:marRight w:val="0"/>
                                                              <w:marTop w:val="0"/>
                                                              <w:marBottom w:val="150"/>
                                                              <w:divBdr>
                                                                <w:top w:val="single" w:sz="2" w:space="0" w:color="E4E4E4"/>
                                                                <w:left w:val="single" w:sz="2" w:space="0" w:color="E4E4E4"/>
                                                                <w:bottom w:val="single" w:sz="2" w:space="0" w:color="E4E4E4"/>
                                                                <w:right w:val="single" w:sz="2" w:space="0" w:color="E4E4E4"/>
                                                              </w:divBdr>
                                                              <w:divsChild>
                                                                <w:div w:id="690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8286726">
                                      <w:marLeft w:val="0"/>
                                      <w:marRight w:val="0"/>
                                      <w:marTop w:val="0"/>
                                      <w:marBottom w:val="330"/>
                                      <w:divBdr>
                                        <w:top w:val="none" w:sz="0" w:space="0" w:color="auto"/>
                                        <w:left w:val="none" w:sz="0" w:space="0" w:color="auto"/>
                                        <w:bottom w:val="none" w:sz="0" w:space="0" w:color="auto"/>
                                        <w:right w:val="none" w:sz="0" w:space="0" w:color="auto"/>
                                      </w:divBdr>
                                      <w:divsChild>
                                        <w:div w:id="2036956771">
                                          <w:marLeft w:val="0"/>
                                          <w:marRight w:val="0"/>
                                          <w:marTop w:val="0"/>
                                          <w:marBottom w:val="0"/>
                                          <w:divBdr>
                                            <w:top w:val="none" w:sz="0" w:space="0" w:color="auto"/>
                                            <w:left w:val="none" w:sz="0" w:space="0" w:color="auto"/>
                                            <w:bottom w:val="none" w:sz="0" w:space="0" w:color="auto"/>
                                            <w:right w:val="none" w:sz="0" w:space="0" w:color="auto"/>
                                          </w:divBdr>
                                          <w:divsChild>
                                            <w:div w:id="1344480568">
                                              <w:marLeft w:val="0"/>
                                              <w:marRight w:val="0"/>
                                              <w:marTop w:val="0"/>
                                              <w:marBottom w:val="0"/>
                                              <w:divBdr>
                                                <w:top w:val="single" w:sz="2" w:space="0" w:color="DFDFDF"/>
                                                <w:left w:val="single" w:sz="2" w:space="0" w:color="DFDFDF"/>
                                                <w:bottom w:val="single" w:sz="2" w:space="0" w:color="DFDFDF"/>
                                                <w:right w:val="single" w:sz="2" w:space="0" w:color="DFDFDF"/>
                                              </w:divBdr>
                                              <w:divsChild>
                                                <w:div w:id="1471828780">
                                                  <w:marLeft w:val="-90"/>
                                                  <w:marRight w:val="0"/>
                                                  <w:marTop w:val="0"/>
                                                  <w:marBottom w:val="0"/>
                                                  <w:divBdr>
                                                    <w:top w:val="none" w:sz="0" w:space="0" w:color="auto"/>
                                                    <w:left w:val="none" w:sz="0" w:space="0" w:color="auto"/>
                                                    <w:bottom w:val="none" w:sz="0" w:space="0" w:color="auto"/>
                                                    <w:right w:val="none" w:sz="0" w:space="0" w:color="auto"/>
                                                  </w:divBdr>
                                                  <w:divsChild>
                                                    <w:div w:id="1850177176">
                                                      <w:marLeft w:val="0"/>
                                                      <w:marRight w:val="0"/>
                                                      <w:marTop w:val="0"/>
                                                      <w:marBottom w:val="45"/>
                                                      <w:divBdr>
                                                        <w:top w:val="single" w:sz="2" w:space="0" w:color="A9A9A9"/>
                                                        <w:left w:val="single" w:sz="2" w:space="0" w:color="A9A9A9"/>
                                                        <w:bottom w:val="single" w:sz="2" w:space="0" w:color="A9A9A9"/>
                                                        <w:right w:val="single" w:sz="2" w:space="0" w:color="A9A9A9"/>
                                                      </w:divBdr>
                                                      <w:divsChild>
                                                        <w:div w:id="1339312693">
                                                          <w:marLeft w:val="0"/>
                                                          <w:marRight w:val="0"/>
                                                          <w:marTop w:val="0"/>
                                                          <w:marBottom w:val="0"/>
                                                          <w:divBdr>
                                                            <w:top w:val="none" w:sz="0" w:space="0" w:color="auto"/>
                                                            <w:left w:val="none" w:sz="0" w:space="0" w:color="auto"/>
                                                            <w:bottom w:val="none" w:sz="0" w:space="0" w:color="auto"/>
                                                            <w:right w:val="none" w:sz="0" w:space="0" w:color="auto"/>
                                                          </w:divBdr>
                                                          <w:divsChild>
                                                            <w:div w:id="1151021071">
                                                              <w:marLeft w:val="92"/>
                                                              <w:marRight w:val="0"/>
                                                              <w:marTop w:val="0"/>
                                                              <w:marBottom w:val="150"/>
                                                              <w:divBdr>
                                                                <w:top w:val="single" w:sz="2" w:space="0" w:color="E4E4E4"/>
                                                                <w:left w:val="single" w:sz="2" w:space="0" w:color="E4E4E4"/>
                                                                <w:bottom w:val="single" w:sz="2" w:space="0" w:color="E4E4E4"/>
                                                                <w:right w:val="single" w:sz="2" w:space="0" w:color="E4E4E4"/>
                                                              </w:divBdr>
                                                              <w:divsChild>
                                                                <w:div w:id="9425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1821361">
                                      <w:marLeft w:val="0"/>
                                      <w:marRight w:val="0"/>
                                      <w:marTop w:val="0"/>
                                      <w:marBottom w:val="330"/>
                                      <w:divBdr>
                                        <w:top w:val="none" w:sz="0" w:space="0" w:color="auto"/>
                                        <w:left w:val="none" w:sz="0" w:space="0" w:color="auto"/>
                                        <w:bottom w:val="none" w:sz="0" w:space="0" w:color="auto"/>
                                        <w:right w:val="none" w:sz="0" w:space="0" w:color="auto"/>
                                      </w:divBdr>
                                      <w:divsChild>
                                        <w:div w:id="1161702118">
                                          <w:marLeft w:val="0"/>
                                          <w:marRight w:val="0"/>
                                          <w:marTop w:val="0"/>
                                          <w:marBottom w:val="0"/>
                                          <w:divBdr>
                                            <w:top w:val="none" w:sz="0" w:space="0" w:color="auto"/>
                                            <w:left w:val="none" w:sz="0" w:space="0" w:color="auto"/>
                                            <w:bottom w:val="none" w:sz="0" w:space="0" w:color="auto"/>
                                            <w:right w:val="none" w:sz="0" w:space="0" w:color="auto"/>
                                          </w:divBdr>
                                          <w:divsChild>
                                            <w:div w:id="903637525">
                                              <w:marLeft w:val="0"/>
                                              <w:marRight w:val="0"/>
                                              <w:marTop w:val="0"/>
                                              <w:marBottom w:val="0"/>
                                              <w:divBdr>
                                                <w:top w:val="single" w:sz="2" w:space="0" w:color="DFDFDF"/>
                                                <w:left w:val="single" w:sz="2" w:space="0" w:color="DFDFDF"/>
                                                <w:bottom w:val="single" w:sz="2" w:space="0" w:color="DFDFDF"/>
                                                <w:right w:val="single" w:sz="2" w:space="0" w:color="DFDFDF"/>
                                              </w:divBdr>
                                              <w:divsChild>
                                                <w:div w:id="1389188864">
                                                  <w:marLeft w:val="-90"/>
                                                  <w:marRight w:val="0"/>
                                                  <w:marTop w:val="0"/>
                                                  <w:marBottom w:val="0"/>
                                                  <w:divBdr>
                                                    <w:top w:val="none" w:sz="0" w:space="0" w:color="auto"/>
                                                    <w:left w:val="none" w:sz="0" w:space="0" w:color="auto"/>
                                                    <w:bottom w:val="none" w:sz="0" w:space="0" w:color="auto"/>
                                                    <w:right w:val="none" w:sz="0" w:space="0" w:color="auto"/>
                                                  </w:divBdr>
                                                  <w:divsChild>
                                                    <w:div w:id="270941624">
                                                      <w:marLeft w:val="0"/>
                                                      <w:marRight w:val="0"/>
                                                      <w:marTop w:val="0"/>
                                                      <w:marBottom w:val="45"/>
                                                      <w:divBdr>
                                                        <w:top w:val="single" w:sz="2" w:space="0" w:color="A9A9A9"/>
                                                        <w:left w:val="single" w:sz="2" w:space="0" w:color="A9A9A9"/>
                                                        <w:bottom w:val="single" w:sz="2" w:space="0" w:color="A9A9A9"/>
                                                        <w:right w:val="single" w:sz="2" w:space="0" w:color="A9A9A9"/>
                                                      </w:divBdr>
                                                      <w:divsChild>
                                                        <w:div w:id="1302884247">
                                                          <w:marLeft w:val="0"/>
                                                          <w:marRight w:val="0"/>
                                                          <w:marTop w:val="0"/>
                                                          <w:marBottom w:val="0"/>
                                                          <w:divBdr>
                                                            <w:top w:val="none" w:sz="0" w:space="0" w:color="auto"/>
                                                            <w:left w:val="none" w:sz="0" w:space="0" w:color="auto"/>
                                                            <w:bottom w:val="none" w:sz="0" w:space="0" w:color="auto"/>
                                                            <w:right w:val="none" w:sz="0" w:space="0" w:color="auto"/>
                                                          </w:divBdr>
                                                          <w:divsChild>
                                                            <w:div w:id="1190021947">
                                                              <w:marLeft w:val="92"/>
                                                              <w:marRight w:val="0"/>
                                                              <w:marTop w:val="0"/>
                                                              <w:marBottom w:val="150"/>
                                                              <w:divBdr>
                                                                <w:top w:val="single" w:sz="2" w:space="0" w:color="E4E4E4"/>
                                                                <w:left w:val="single" w:sz="2" w:space="0" w:color="E4E4E4"/>
                                                                <w:bottom w:val="single" w:sz="2" w:space="0" w:color="E4E4E4"/>
                                                                <w:right w:val="single" w:sz="2" w:space="0" w:color="E4E4E4"/>
                                                              </w:divBdr>
                                                              <w:divsChild>
                                                                <w:div w:id="1280641887">
                                                                  <w:marLeft w:val="0"/>
                                                                  <w:marRight w:val="0"/>
                                                                  <w:marTop w:val="0"/>
                                                                  <w:marBottom w:val="0"/>
                                                                  <w:divBdr>
                                                                    <w:top w:val="none" w:sz="0" w:space="0" w:color="auto"/>
                                                                    <w:left w:val="none" w:sz="0" w:space="0" w:color="auto"/>
                                                                    <w:bottom w:val="none" w:sz="0" w:space="0" w:color="auto"/>
                                                                    <w:right w:val="none" w:sz="0" w:space="0" w:color="auto"/>
                                                                  </w:divBdr>
                                                                </w:div>
                                                              </w:divsChild>
                                                            </w:div>
                                                            <w:div w:id="655650752">
                                                              <w:marLeft w:val="92"/>
                                                              <w:marRight w:val="0"/>
                                                              <w:marTop w:val="0"/>
                                                              <w:marBottom w:val="150"/>
                                                              <w:divBdr>
                                                                <w:top w:val="single" w:sz="2" w:space="0" w:color="E4E4E4"/>
                                                                <w:left w:val="single" w:sz="2" w:space="0" w:color="E4E4E4"/>
                                                                <w:bottom w:val="single" w:sz="2" w:space="0" w:color="E4E4E4"/>
                                                                <w:right w:val="single" w:sz="2" w:space="0" w:color="E4E4E4"/>
                                                              </w:divBdr>
                                                              <w:divsChild>
                                                                <w:div w:id="205248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3593421">
                                      <w:marLeft w:val="0"/>
                                      <w:marRight w:val="0"/>
                                      <w:marTop w:val="0"/>
                                      <w:marBottom w:val="330"/>
                                      <w:divBdr>
                                        <w:top w:val="none" w:sz="0" w:space="0" w:color="auto"/>
                                        <w:left w:val="none" w:sz="0" w:space="0" w:color="auto"/>
                                        <w:bottom w:val="none" w:sz="0" w:space="0" w:color="auto"/>
                                        <w:right w:val="none" w:sz="0" w:space="0" w:color="auto"/>
                                      </w:divBdr>
                                      <w:divsChild>
                                        <w:div w:id="863905640">
                                          <w:marLeft w:val="0"/>
                                          <w:marRight w:val="0"/>
                                          <w:marTop w:val="0"/>
                                          <w:marBottom w:val="0"/>
                                          <w:divBdr>
                                            <w:top w:val="none" w:sz="0" w:space="0" w:color="auto"/>
                                            <w:left w:val="none" w:sz="0" w:space="0" w:color="auto"/>
                                            <w:bottom w:val="none" w:sz="0" w:space="0" w:color="auto"/>
                                            <w:right w:val="none" w:sz="0" w:space="0" w:color="auto"/>
                                          </w:divBdr>
                                          <w:divsChild>
                                            <w:div w:id="1207915714">
                                              <w:marLeft w:val="0"/>
                                              <w:marRight w:val="0"/>
                                              <w:marTop w:val="0"/>
                                              <w:marBottom w:val="0"/>
                                              <w:divBdr>
                                                <w:top w:val="single" w:sz="2" w:space="0" w:color="DFDFDF"/>
                                                <w:left w:val="single" w:sz="2" w:space="0" w:color="DFDFDF"/>
                                                <w:bottom w:val="single" w:sz="2" w:space="0" w:color="DFDFDF"/>
                                                <w:right w:val="single" w:sz="2" w:space="0" w:color="DFDFDF"/>
                                              </w:divBdr>
                                              <w:divsChild>
                                                <w:div w:id="834077147">
                                                  <w:marLeft w:val="-90"/>
                                                  <w:marRight w:val="0"/>
                                                  <w:marTop w:val="0"/>
                                                  <w:marBottom w:val="0"/>
                                                  <w:divBdr>
                                                    <w:top w:val="none" w:sz="0" w:space="0" w:color="auto"/>
                                                    <w:left w:val="none" w:sz="0" w:space="0" w:color="auto"/>
                                                    <w:bottom w:val="none" w:sz="0" w:space="0" w:color="auto"/>
                                                    <w:right w:val="none" w:sz="0" w:space="0" w:color="auto"/>
                                                  </w:divBdr>
                                                  <w:divsChild>
                                                    <w:div w:id="838230801">
                                                      <w:marLeft w:val="0"/>
                                                      <w:marRight w:val="0"/>
                                                      <w:marTop w:val="0"/>
                                                      <w:marBottom w:val="45"/>
                                                      <w:divBdr>
                                                        <w:top w:val="single" w:sz="2" w:space="0" w:color="A9A9A9"/>
                                                        <w:left w:val="single" w:sz="2" w:space="0" w:color="A9A9A9"/>
                                                        <w:bottom w:val="single" w:sz="2" w:space="0" w:color="A9A9A9"/>
                                                        <w:right w:val="single" w:sz="2" w:space="0" w:color="A9A9A9"/>
                                                      </w:divBdr>
                                                      <w:divsChild>
                                                        <w:div w:id="1562399067">
                                                          <w:marLeft w:val="0"/>
                                                          <w:marRight w:val="0"/>
                                                          <w:marTop w:val="0"/>
                                                          <w:marBottom w:val="0"/>
                                                          <w:divBdr>
                                                            <w:top w:val="none" w:sz="0" w:space="0" w:color="auto"/>
                                                            <w:left w:val="none" w:sz="0" w:space="0" w:color="auto"/>
                                                            <w:bottom w:val="none" w:sz="0" w:space="0" w:color="auto"/>
                                                            <w:right w:val="none" w:sz="0" w:space="0" w:color="auto"/>
                                                          </w:divBdr>
                                                          <w:divsChild>
                                                            <w:div w:id="942765150">
                                                              <w:marLeft w:val="92"/>
                                                              <w:marRight w:val="0"/>
                                                              <w:marTop w:val="0"/>
                                                              <w:marBottom w:val="150"/>
                                                              <w:divBdr>
                                                                <w:top w:val="single" w:sz="2" w:space="0" w:color="E4E4E4"/>
                                                                <w:left w:val="single" w:sz="2" w:space="0" w:color="E4E4E4"/>
                                                                <w:bottom w:val="single" w:sz="2" w:space="0" w:color="E4E4E4"/>
                                                                <w:right w:val="single" w:sz="2" w:space="0" w:color="E4E4E4"/>
                                                              </w:divBdr>
                                                              <w:divsChild>
                                                                <w:div w:id="34933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5357494">
                                      <w:marLeft w:val="0"/>
                                      <w:marRight w:val="0"/>
                                      <w:marTop w:val="0"/>
                                      <w:marBottom w:val="330"/>
                                      <w:divBdr>
                                        <w:top w:val="none" w:sz="0" w:space="0" w:color="auto"/>
                                        <w:left w:val="none" w:sz="0" w:space="0" w:color="auto"/>
                                        <w:bottom w:val="none" w:sz="0" w:space="0" w:color="auto"/>
                                        <w:right w:val="none" w:sz="0" w:space="0" w:color="auto"/>
                                      </w:divBdr>
                                      <w:divsChild>
                                        <w:div w:id="1451165565">
                                          <w:marLeft w:val="0"/>
                                          <w:marRight w:val="0"/>
                                          <w:marTop w:val="0"/>
                                          <w:marBottom w:val="0"/>
                                          <w:divBdr>
                                            <w:top w:val="none" w:sz="0" w:space="0" w:color="auto"/>
                                            <w:left w:val="none" w:sz="0" w:space="0" w:color="auto"/>
                                            <w:bottom w:val="none" w:sz="0" w:space="0" w:color="auto"/>
                                            <w:right w:val="none" w:sz="0" w:space="0" w:color="auto"/>
                                          </w:divBdr>
                                          <w:divsChild>
                                            <w:div w:id="661935325">
                                              <w:marLeft w:val="0"/>
                                              <w:marRight w:val="0"/>
                                              <w:marTop w:val="0"/>
                                              <w:marBottom w:val="0"/>
                                              <w:divBdr>
                                                <w:top w:val="single" w:sz="2" w:space="0" w:color="DFDFDF"/>
                                                <w:left w:val="single" w:sz="2" w:space="0" w:color="DFDFDF"/>
                                                <w:bottom w:val="single" w:sz="2" w:space="0" w:color="DFDFDF"/>
                                                <w:right w:val="single" w:sz="2" w:space="0" w:color="DFDFDF"/>
                                              </w:divBdr>
                                              <w:divsChild>
                                                <w:div w:id="1491215931">
                                                  <w:marLeft w:val="-90"/>
                                                  <w:marRight w:val="0"/>
                                                  <w:marTop w:val="0"/>
                                                  <w:marBottom w:val="0"/>
                                                  <w:divBdr>
                                                    <w:top w:val="none" w:sz="0" w:space="0" w:color="auto"/>
                                                    <w:left w:val="none" w:sz="0" w:space="0" w:color="auto"/>
                                                    <w:bottom w:val="none" w:sz="0" w:space="0" w:color="auto"/>
                                                    <w:right w:val="none" w:sz="0" w:space="0" w:color="auto"/>
                                                  </w:divBdr>
                                                  <w:divsChild>
                                                    <w:div w:id="1093547858">
                                                      <w:marLeft w:val="0"/>
                                                      <w:marRight w:val="0"/>
                                                      <w:marTop w:val="0"/>
                                                      <w:marBottom w:val="45"/>
                                                      <w:divBdr>
                                                        <w:top w:val="single" w:sz="2" w:space="0" w:color="A9A9A9"/>
                                                        <w:left w:val="single" w:sz="2" w:space="0" w:color="A9A9A9"/>
                                                        <w:bottom w:val="single" w:sz="2" w:space="0" w:color="A9A9A9"/>
                                                        <w:right w:val="single" w:sz="2" w:space="0" w:color="A9A9A9"/>
                                                      </w:divBdr>
                                                      <w:divsChild>
                                                        <w:div w:id="41639971">
                                                          <w:marLeft w:val="0"/>
                                                          <w:marRight w:val="0"/>
                                                          <w:marTop w:val="0"/>
                                                          <w:marBottom w:val="0"/>
                                                          <w:divBdr>
                                                            <w:top w:val="none" w:sz="0" w:space="0" w:color="auto"/>
                                                            <w:left w:val="none" w:sz="0" w:space="0" w:color="auto"/>
                                                            <w:bottom w:val="none" w:sz="0" w:space="0" w:color="auto"/>
                                                            <w:right w:val="none" w:sz="0" w:space="0" w:color="auto"/>
                                                          </w:divBdr>
                                                          <w:divsChild>
                                                            <w:div w:id="1157039223">
                                                              <w:marLeft w:val="92"/>
                                                              <w:marRight w:val="0"/>
                                                              <w:marTop w:val="0"/>
                                                              <w:marBottom w:val="150"/>
                                                              <w:divBdr>
                                                                <w:top w:val="single" w:sz="2" w:space="0" w:color="E4E4E4"/>
                                                                <w:left w:val="single" w:sz="2" w:space="0" w:color="E4E4E4"/>
                                                                <w:bottom w:val="single" w:sz="2" w:space="0" w:color="E4E4E4"/>
                                                                <w:right w:val="single" w:sz="2" w:space="0" w:color="E4E4E4"/>
                                                              </w:divBdr>
                                                              <w:divsChild>
                                                                <w:div w:id="509955529">
                                                                  <w:marLeft w:val="0"/>
                                                                  <w:marRight w:val="0"/>
                                                                  <w:marTop w:val="0"/>
                                                                  <w:marBottom w:val="0"/>
                                                                  <w:divBdr>
                                                                    <w:top w:val="none" w:sz="0" w:space="0" w:color="auto"/>
                                                                    <w:left w:val="none" w:sz="0" w:space="0" w:color="auto"/>
                                                                    <w:bottom w:val="none" w:sz="0" w:space="0" w:color="auto"/>
                                                                    <w:right w:val="none" w:sz="0" w:space="0" w:color="auto"/>
                                                                  </w:divBdr>
                                                                </w:div>
                                                              </w:divsChild>
                                                            </w:div>
                                                            <w:div w:id="1109741573">
                                                              <w:marLeft w:val="92"/>
                                                              <w:marRight w:val="0"/>
                                                              <w:marTop w:val="0"/>
                                                              <w:marBottom w:val="150"/>
                                                              <w:divBdr>
                                                                <w:top w:val="single" w:sz="2" w:space="0" w:color="E4E4E4"/>
                                                                <w:left w:val="single" w:sz="2" w:space="0" w:color="E4E4E4"/>
                                                                <w:bottom w:val="single" w:sz="2" w:space="0" w:color="E4E4E4"/>
                                                                <w:right w:val="single" w:sz="2" w:space="0" w:color="E4E4E4"/>
                                                              </w:divBdr>
                                                              <w:divsChild>
                                                                <w:div w:id="119978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009589">
                          <w:marLeft w:val="0"/>
                          <w:marRight w:val="0"/>
                          <w:marTop w:val="0"/>
                          <w:marBottom w:val="0"/>
                          <w:divBdr>
                            <w:top w:val="none" w:sz="0" w:space="0" w:color="auto"/>
                            <w:left w:val="none" w:sz="0" w:space="0" w:color="auto"/>
                            <w:bottom w:val="none" w:sz="0" w:space="0" w:color="auto"/>
                            <w:right w:val="none" w:sz="0" w:space="0" w:color="auto"/>
                          </w:divBdr>
                          <w:divsChild>
                            <w:div w:id="944970159">
                              <w:marLeft w:val="0"/>
                              <w:marRight w:val="0"/>
                              <w:marTop w:val="0"/>
                              <w:marBottom w:val="0"/>
                              <w:divBdr>
                                <w:top w:val="none" w:sz="0" w:space="0" w:color="auto"/>
                                <w:left w:val="none" w:sz="0" w:space="0" w:color="auto"/>
                                <w:bottom w:val="none" w:sz="0" w:space="0" w:color="auto"/>
                                <w:right w:val="none" w:sz="0" w:space="0" w:color="auto"/>
                              </w:divBdr>
                              <w:divsChild>
                                <w:div w:id="956134273">
                                  <w:marLeft w:val="0"/>
                                  <w:marRight w:val="0"/>
                                  <w:marTop w:val="0"/>
                                  <w:marBottom w:val="0"/>
                                  <w:divBdr>
                                    <w:top w:val="none" w:sz="0" w:space="0" w:color="auto"/>
                                    <w:left w:val="none" w:sz="0" w:space="0" w:color="auto"/>
                                    <w:bottom w:val="none" w:sz="0" w:space="0" w:color="auto"/>
                                    <w:right w:val="none" w:sz="0" w:space="0" w:color="auto"/>
                                  </w:divBdr>
                                  <w:divsChild>
                                    <w:div w:id="13985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159038">
                              <w:marLeft w:val="0"/>
                              <w:marRight w:val="0"/>
                              <w:marTop w:val="0"/>
                              <w:marBottom w:val="75"/>
                              <w:divBdr>
                                <w:top w:val="none" w:sz="0" w:space="0" w:color="auto"/>
                                <w:left w:val="none" w:sz="0" w:space="0" w:color="auto"/>
                                <w:bottom w:val="none" w:sz="0" w:space="0" w:color="auto"/>
                                <w:right w:val="none" w:sz="0" w:space="0" w:color="auto"/>
                              </w:divBdr>
                            </w:div>
                            <w:div w:id="578641086">
                              <w:marLeft w:val="0"/>
                              <w:marRight w:val="0"/>
                              <w:marTop w:val="0"/>
                              <w:marBottom w:val="300"/>
                              <w:divBdr>
                                <w:top w:val="none" w:sz="0" w:space="0" w:color="auto"/>
                                <w:left w:val="none" w:sz="0" w:space="0" w:color="auto"/>
                                <w:bottom w:val="none" w:sz="0" w:space="0" w:color="auto"/>
                                <w:right w:val="none" w:sz="0" w:space="0" w:color="auto"/>
                              </w:divBdr>
                              <w:divsChild>
                                <w:div w:id="1571888204">
                                  <w:marLeft w:val="0"/>
                                  <w:marRight w:val="0"/>
                                  <w:marTop w:val="0"/>
                                  <w:marBottom w:val="0"/>
                                  <w:divBdr>
                                    <w:top w:val="none" w:sz="0" w:space="0" w:color="auto"/>
                                    <w:left w:val="none" w:sz="0" w:space="0" w:color="auto"/>
                                    <w:bottom w:val="none" w:sz="0" w:space="0" w:color="auto"/>
                                    <w:right w:val="none" w:sz="0" w:space="0" w:color="auto"/>
                                  </w:divBdr>
                                </w:div>
                              </w:divsChild>
                            </w:div>
                            <w:div w:id="1374231190">
                              <w:marLeft w:val="0"/>
                              <w:marRight w:val="0"/>
                              <w:marTop w:val="0"/>
                              <w:marBottom w:val="0"/>
                              <w:divBdr>
                                <w:top w:val="none" w:sz="0" w:space="0" w:color="auto"/>
                                <w:left w:val="none" w:sz="0" w:space="0" w:color="auto"/>
                                <w:bottom w:val="none" w:sz="0" w:space="0" w:color="auto"/>
                                <w:right w:val="none" w:sz="0" w:space="0" w:color="auto"/>
                              </w:divBdr>
                              <w:divsChild>
                                <w:div w:id="138426728">
                                  <w:marLeft w:val="0"/>
                                  <w:marRight w:val="0"/>
                                  <w:marTop w:val="0"/>
                                  <w:marBottom w:val="0"/>
                                  <w:divBdr>
                                    <w:top w:val="none" w:sz="0" w:space="0" w:color="auto"/>
                                    <w:left w:val="none" w:sz="0" w:space="0" w:color="auto"/>
                                    <w:bottom w:val="none" w:sz="0" w:space="0" w:color="auto"/>
                                    <w:right w:val="none" w:sz="0" w:space="0" w:color="auto"/>
                                  </w:divBdr>
                                  <w:divsChild>
                                    <w:div w:id="2005667534">
                                      <w:marLeft w:val="0"/>
                                      <w:marRight w:val="0"/>
                                      <w:marTop w:val="0"/>
                                      <w:marBottom w:val="0"/>
                                      <w:divBdr>
                                        <w:top w:val="none" w:sz="0" w:space="0" w:color="auto"/>
                                        <w:left w:val="none" w:sz="0" w:space="0" w:color="auto"/>
                                        <w:bottom w:val="none" w:sz="0" w:space="0" w:color="auto"/>
                                        <w:right w:val="none" w:sz="0" w:space="0" w:color="auto"/>
                                      </w:divBdr>
                                    </w:div>
                                  </w:divsChild>
                                </w:div>
                                <w:div w:id="239751696">
                                  <w:marLeft w:val="0"/>
                                  <w:marRight w:val="0"/>
                                  <w:marTop w:val="0"/>
                                  <w:marBottom w:val="0"/>
                                  <w:divBdr>
                                    <w:top w:val="none" w:sz="0" w:space="0" w:color="auto"/>
                                    <w:left w:val="none" w:sz="0" w:space="0" w:color="auto"/>
                                    <w:bottom w:val="none" w:sz="0" w:space="0" w:color="auto"/>
                                    <w:right w:val="none" w:sz="0" w:space="0" w:color="auto"/>
                                  </w:divBdr>
                                  <w:divsChild>
                                    <w:div w:id="1679195045">
                                      <w:marLeft w:val="0"/>
                                      <w:marRight w:val="0"/>
                                      <w:marTop w:val="0"/>
                                      <w:marBottom w:val="300"/>
                                      <w:divBdr>
                                        <w:top w:val="none" w:sz="0" w:space="0" w:color="auto"/>
                                        <w:left w:val="none" w:sz="0" w:space="0" w:color="auto"/>
                                        <w:bottom w:val="none" w:sz="0" w:space="0" w:color="auto"/>
                                        <w:right w:val="none" w:sz="0" w:space="0" w:color="auto"/>
                                      </w:divBdr>
                                      <w:divsChild>
                                        <w:div w:id="18913051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4241731">
      <w:bodyDiv w:val="1"/>
      <w:marLeft w:val="0"/>
      <w:marRight w:val="0"/>
      <w:marTop w:val="0"/>
      <w:marBottom w:val="0"/>
      <w:divBdr>
        <w:top w:val="none" w:sz="0" w:space="0" w:color="auto"/>
        <w:left w:val="none" w:sz="0" w:space="0" w:color="auto"/>
        <w:bottom w:val="none" w:sz="0" w:space="0" w:color="auto"/>
        <w:right w:val="none" w:sz="0" w:space="0" w:color="auto"/>
      </w:divBdr>
    </w:div>
    <w:div w:id="1914392814">
      <w:bodyDiv w:val="1"/>
      <w:marLeft w:val="0"/>
      <w:marRight w:val="0"/>
      <w:marTop w:val="0"/>
      <w:marBottom w:val="0"/>
      <w:divBdr>
        <w:top w:val="none" w:sz="0" w:space="0" w:color="auto"/>
        <w:left w:val="none" w:sz="0" w:space="0" w:color="auto"/>
        <w:bottom w:val="none" w:sz="0" w:space="0" w:color="auto"/>
        <w:right w:val="none" w:sz="0" w:space="0" w:color="auto"/>
      </w:divBdr>
      <w:divsChild>
        <w:div w:id="1214343141">
          <w:marLeft w:val="0"/>
          <w:marRight w:val="0"/>
          <w:marTop w:val="0"/>
          <w:marBottom w:val="0"/>
          <w:divBdr>
            <w:top w:val="none" w:sz="0" w:space="0" w:color="auto"/>
            <w:left w:val="none" w:sz="0" w:space="0" w:color="auto"/>
            <w:bottom w:val="dotted" w:sz="6" w:space="4" w:color="DDDDDD"/>
            <w:right w:val="none" w:sz="0" w:space="0" w:color="auto"/>
          </w:divBdr>
        </w:div>
      </w:divsChild>
    </w:div>
    <w:div w:id="1914505788">
      <w:bodyDiv w:val="1"/>
      <w:marLeft w:val="0"/>
      <w:marRight w:val="0"/>
      <w:marTop w:val="0"/>
      <w:marBottom w:val="0"/>
      <w:divBdr>
        <w:top w:val="none" w:sz="0" w:space="0" w:color="auto"/>
        <w:left w:val="none" w:sz="0" w:space="0" w:color="auto"/>
        <w:bottom w:val="none" w:sz="0" w:space="0" w:color="auto"/>
        <w:right w:val="none" w:sz="0" w:space="0" w:color="auto"/>
      </w:divBdr>
      <w:divsChild>
        <w:div w:id="551503222">
          <w:marLeft w:val="0"/>
          <w:marRight w:val="0"/>
          <w:marTop w:val="0"/>
          <w:marBottom w:val="150"/>
          <w:divBdr>
            <w:top w:val="none" w:sz="0" w:space="0" w:color="auto"/>
            <w:left w:val="none" w:sz="0" w:space="0" w:color="auto"/>
            <w:bottom w:val="none" w:sz="0" w:space="0" w:color="auto"/>
            <w:right w:val="none" w:sz="0" w:space="0" w:color="auto"/>
          </w:divBdr>
          <w:divsChild>
            <w:div w:id="662197772">
              <w:marLeft w:val="0"/>
              <w:marRight w:val="0"/>
              <w:marTop w:val="0"/>
              <w:marBottom w:val="0"/>
              <w:divBdr>
                <w:top w:val="none" w:sz="0" w:space="0" w:color="auto"/>
                <w:left w:val="none" w:sz="0" w:space="0" w:color="auto"/>
                <w:bottom w:val="none" w:sz="0" w:space="0" w:color="auto"/>
                <w:right w:val="none" w:sz="0" w:space="0" w:color="auto"/>
              </w:divBdr>
              <w:divsChild>
                <w:div w:id="81522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978965">
          <w:marLeft w:val="0"/>
          <w:marRight w:val="0"/>
          <w:marTop w:val="0"/>
          <w:marBottom w:val="150"/>
          <w:divBdr>
            <w:top w:val="none" w:sz="0" w:space="0" w:color="auto"/>
            <w:left w:val="none" w:sz="0" w:space="0" w:color="auto"/>
            <w:bottom w:val="none" w:sz="0" w:space="0" w:color="auto"/>
            <w:right w:val="none" w:sz="0" w:space="0" w:color="auto"/>
          </w:divBdr>
        </w:div>
        <w:div w:id="298074436">
          <w:marLeft w:val="0"/>
          <w:marRight w:val="0"/>
          <w:marTop w:val="0"/>
          <w:marBottom w:val="0"/>
          <w:divBdr>
            <w:top w:val="none" w:sz="0" w:space="0" w:color="auto"/>
            <w:left w:val="none" w:sz="0" w:space="0" w:color="auto"/>
            <w:bottom w:val="none" w:sz="0" w:space="0" w:color="auto"/>
            <w:right w:val="none" w:sz="0" w:space="0" w:color="auto"/>
          </w:divBdr>
          <w:divsChild>
            <w:div w:id="190082380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14927353">
      <w:bodyDiv w:val="1"/>
      <w:marLeft w:val="0"/>
      <w:marRight w:val="0"/>
      <w:marTop w:val="0"/>
      <w:marBottom w:val="0"/>
      <w:divBdr>
        <w:top w:val="none" w:sz="0" w:space="0" w:color="auto"/>
        <w:left w:val="none" w:sz="0" w:space="0" w:color="auto"/>
        <w:bottom w:val="none" w:sz="0" w:space="0" w:color="auto"/>
        <w:right w:val="none" w:sz="0" w:space="0" w:color="auto"/>
      </w:divBdr>
    </w:div>
    <w:div w:id="1916280805">
      <w:bodyDiv w:val="1"/>
      <w:marLeft w:val="0"/>
      <w:marRight w:val="0"/>
      <w:marTop w:val="0"/>
      <w:marBottom w:val="0"/>
      <w:divBdr>
        <w:top w:val="none" w:sz="0" w:space="0" w:color="auto"/>
        <w:left w:val="none" w:sz="0" w:space="0" w:color="auto"/>
        <w:bottom w:val="none" w:sz="0" w:space="0" w:color="auto"/>
        <w:right w:val="none" w:sz="0" w:space="0" w:color="auto"/>
      </w:divBdr>
      <w:divsChild>
        <w:div w:id="616914352">
          <w:marLeft w:val="0"/>
          <w:marRight w:val="0"/>
          <w:marTop w:val="0"/>
          <w:marBottom w:val="150"/>
          <w:divBdr>
            <w:top w:val="none" w:sz="0" w:space="0" w:color="auto"/>
            <w:left w:val="none" w:sz="0" w:space="0" w:color="auto"/>
            <w:bottom w:val="none" w:sz="0" w:space="0" w:color="auto"/>
            <w:right w:val="none" w:sz="0" w:space="0" w:color="auto"/>
          </w:divBdr>
          <w:divsChild>
            <w:div w:id="75787576">
              <w:marLeft w:val="0"/>
              <w:marRight w:val="0"/>
              <w:marTop w:val="0"/>
              <w:marBottom w:val="0"/>
              <w:divBdr>
                <w:top w:val="none" w:sz="0" w:space="0" w:color="auto"/>
                <w:left w:val="none" w:sz="0" w:space="0" w:color="auto"/>
                <w:bottom w:val="none" w:sz="0" w:space="0" w:color="auto"/>
                <w:right w:val="none" w:sz="0" w:space="0" w:color="auto"/>
              </w:divBdr>
              <w:divsChild>
                <w:div w:id="8796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41951">
          <w:marLeft w:val="0"/>
          <w:marRight w:val="0"/>
          <w:marTop w:val="0"/>
          <w:marBottom w:val="150"/>
          <w:divBdr>
            <w:top w:val="none" w:sz="0" w:space="0" w:color="auto"/>
            <w:left w:val="none" w:sz="0" w:space="0" w:color="auto"/>
            <w:bottom w:val="none" w:sz="0" w:space="0" w:color="auto"/>
            <w:right w:val="none" w:sz="0" w:space="0" w:color="auto"/>
          </w:divBdr>
        </w:div>
        <w:div w:id="1251692229">
          <w:marLeft w:val="0"/>
          <w:marRight w:val="0"/>
          <w:marTop w:val="0"/>
          <w:marBottom w:val="0"/>
          <w:divBdr>
            <w:top w:val="none" w:sz="0" w:space="0" w:color="auto"/>
            <w:left w:val="none" w:sz="0" w:space="0" w:color="auto"/>
            <w:bottom w:val="none" w:sz="0" w:space="0" w:color="auto"/>
            <w:right w:val="none" w:sz="0" w:space="0" w:color="auto"/>
          </w:divBdr>
          <w:divsChild>
            <w:div w:id="175408951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16549358">
      <w:bodyDiv w:val="1"/>
      <w:marLeft w:val="0"/>
      <w:marRight w:val="0"/>
      <w:marTop w:val="0"/>
      <w:marBottom w:val="0"/>
      <w:divBdr>
        <w:top w:val="none" w:sz="0" w:space="0" w:color="auto"/>
        <w:left w:val="none" w:sz="0" w:space="0" w:color="auto"/>
        <w:bottom w:val="none" w:sz="0" w:space="0" w:color="auto"/>
        <w:right w:val="none" w:sz="0" w:space="0" w:color="auto"/>
      </w:divBdr>
      <w:divsChild>
        <w:div w:id="2051371239">
          <w:marLeft w:val="0"/>
          <w:marRight w:val="0"/>
          <w:marTop w:val="0"/>
          <w:marBottom w:val="150"/>
          <w:divBdr>
            <w:top w:val="none" w:sz="0" w:space="0" w:color="auto"/>
            <w:left w:val="none" w:sz="0" w:space="0" w:color="auto"/>
            <w:bottom w:val="none" w:sz="0" w:space="0" w:color="auto"/>
            <w:right w:val="none" w:sz="0" w:space="0" w:color="auto"/>
          </w:divBdr>
        </w:div>
      </w:divsChild>
    </w:div>
    <w:div w:id="1917392998">
      <w:bodyDiv w:val="1"/>
      <w:marLeft w:val="0"/>
      <w:marRight w:val="0"/>
      <w:marTop w:val="0"/>
      <w:marBottom w:val="0"/>
      <w:divBdr>
        <w:top w:val="none" w:sz="0" w:space="0" w:color="auto"/>
        <w:left w:val="none" w:sz="0" w:space="0" w:color="auto"/>
        <w:bottom w:val="none" w:sz="0" w:space="0" w:color="auto"/>
        <w:right w:val="none" w:sz="0" w:space="0" w:color="auto"/>
      </w:divBdr>
    </w:div>
    <w:div w:id="1917394126">
      <w:bodyDiv w:val="1"/>
      <w:marLeft w:val="0"/>
      <w:marRight w:val="0"/>
      <w:marTop w:val="0"/>
      <w:marBottom w:val="0"/>
      <w:divBdr>
        <w:top w:val="none" w:sz="0" w:space="0" w:color="auto"/>
        <w:left w:val="none" w:sz="0" w:space="0" w:color="auto"/>
        <w:bottom w:val="none" w:sz="0" w:space="0" w:color="auto"/>
        <w:right w:val="none" w:sz="0" w:space="0" w:color="auto"/>
      </w:divBdr>
    </w:div>
    <w:div w:id="1917475324">
      <w:bodyDiv w:val="1"/>
      <w:marLeft w:val="0"/>
      <w:marRight w:val="0"/>
      <w:marTop w:val="0"/>
      <w:marBottom w:val="0"/>
      <w:divBdr>
        <w:top w:val="none" w:sz="0" w:space="0" w:color="auto"/>
        <w:left w:val="none" w:sz="0" w:space="0" w:color="auto"/>
        <w:bottom w:val="none" w:sz="0" w:space="0" w:color="auto"/>
        <w:right w:val="none" w:sz="0" w:space="0" w:color="auto"/>
      </w:divBdr>
    </w:div>
    <w:div w:id="1917664944">
      <w:bodyDiv w:val="1"/>
      <w:marLeft w:val="0"/>
      <w:marRight w:val="0"/>
      <w:marTop w:val="0"/>
      <w:marBottom w:val="0"/>
      <w:divBdr>
        <w:top w:val="none" w:sz="0" w:space="0" w:color="auto"/>
        <w:left w:val="none" w:sz="0" w:space="0" w:color="auto"/>
        <w:bottom w:val="none" w:sz="0" w:space="0" w:color="auto"/>
        <w:right w:val="none" w:sz="0" w:space="0" w:color="auto"/>
      </w:divBdr>
      <w:divsChild>
        <w:div w:id="2133740355">
          <w:marLeft w:val="0"/>
          <w:marRight w:val="0"/>
          <w:marTop w:val="0"/>
          <w:marBottom w:val="0"/>
          <w:divBdr>
            <w:top w:val="none" w:sz="0" w:space="0" w:color="auto"/>
            <w:left w:val="none" w:sz="0" w:space="0" w:color="auto"/>
            <w:bottom w:val="dotted" w:sz="6" w:space="4" w:color="DDDDDD"/>
            <w:right w:val="none" w:sz="0" w:space="0" w:color="auto"/>
          </w:divBdr>
          <w:divsChild>
            <w:div w:id="135117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78655">
      <w:bodyDiv w:val="1"/>
      <w:marLeft w:val="0"/>
      <w:marRight w:val="0"/>
      <w:marTop w:val="0"/>
      <w:marBottom w:val="0"/>
      <w:divBdr>
        <w:top w:val="none" w:sz="0" w:space="0" w:color="auto"/>
        <w:left w:val="none" w:sz="0" w:space="0" w:color="auto"/>
        <w:bottom w:val="none" w:sz="0" w:space="0" w:color="auto"/>
        <w:right w:val="none" w:sz="0" w:space="0" w:color="auto"/>
      </w:divBdr>
      <w:divsChild>
        <w:div w:id="215363789">
          <w:marLeft w:val="0"/>
          <w:marRight w:val="0"/>
          <w:marTop w:val="0"/>
          <w:marBottom w:val="0"/>
          <w:divBdr>
            <w:top w:val="none" w:sz="0" w:space="0" w:color="auto"/>
            <w:left w:val="none" w:sz="0" w:space="0" w:color="auto"/>
            <w:bottom w:val="none" w:sz="0" w:space="0" w:color="auto"/>
            <w:right w:val="none" w:sz="0" w:space="0" w:color="auto"/>
          </w:divBdr>
        </w:div>
        <w:div w:id="903561013">
          <w:marLeft w:val="0"/>
          <w:marRight w:val="0"/>
          <w:marTop w:val="0"/>
          <w:marBottom w:val="0"/>
          <w:divBdr>
            <w:top w:val="none" w:sz="0" w:space="0" w:color="auto"/>
            <w:left w:val="none" w:sz="0" w:space="0" w:color="auto"/>
            <w:bottom w:val="none" w:sz="0" w:space="0" w:color="auto"/>
            <w:right w:val="none" w:sz="0" w:space="0" w:color="auto"/>
          </w:divBdr>
        </w:div>
      </w:divsChild>
    </w:div>
    <w:div w:id="1918399242">
      <w:bodyDiv w:val="1"/>
      <w:marLeft w:val="0"/>
      <w:marRight w:val="0"/>
      <w:marTop w:val="0"/>
      <w:marBottom w:val="0"/>
      <w:divBdr>
        <w:top w:val="none" w:sz="0" w:space="0" w:color="auto"/>
        <w:left w:val="none" w:sz="0" w:space="0" w:color="auto"/>
        <w:bottom w:val="none" w:sz="0" w:space="0" w:color="auto"/>
        <w:right w:val="none" w:sz="0" w:space="0" w:color="auto"/>
      </w:divBdr>
      <w:divsChild>
        <w:div w:id="1099182667">
          <w:marLeft w:val="0"/>
          <w:marRight w:val="0"/>
          <w:marTop w:val="0"/>
          <w:marBottom w:val="0"/>
          <w:divBdr>
            <w:top w:val="none" w:sz="0" w:space="0" w:color="auto"/>
            <w:left w:val="none" w:sz="0" w:space="0" w:color="auto"/>
            <w:bottom w:val="none" w:sz="0" w:space="0" w:color="auto"/>
            <w:right w:val="none" w:sz="0" w:space="0" w:color="auto"/>
          </w:divBdr>
          <w:divsChild>
            <w:div w:id="108194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704898">
      <w:bodyDiv w:val="1"/>
      <w:marLeft w:val="0"/>
      <w:marRight w:val="0"/>
      <w:marTop w:val="0"/>
      <w:marBottom w:val="0"/>
      <w:divBdr>
        <w:top w:val="none" w:sz="0" w:space="0" w:color="auto"/>
        <w:left w:val="none" w:sz="0" w:space="0" w:color="auto"/>
        <w:bottom w:val="none" w:sz="0" w:space="0" w:color="auto"/>
        <w:right w:val="none" w:sz="0" w:space="0" w:color="auto"/>
      </w:divBdr>
      <w:divsChild>
        <w:div w:id="791484737">
          <w:marLeft w:val="0"/>
          <w:marRight w:val="0"/>
          <w:marTop w:val="0"/>
          <w:marBottom w:val="0"/>
          <w:divBdr>
            <w:top w:val="none" w:sz="0" w:space="0" w:color="auto"/>
            <w:left w:val="none" w:sz="0" w:space="0" w:color="auto"/>
            <w:bottom w:val="none" w:sz="0" w:space="0" w:color="auto"/>
            <w:right w:val="none" w:sz="0" w:space="0" w:color="auto"/>
          </w:divBdr>
        </w:div>
      </w:divsChild>
    </w:div>
    <w:div w:id="1918709339">
      <w:bodyDiv w:val="1"/>
      <w:marLeft w:val="0"/>
      <w:marRight w:val="0"/>
      <w:marTop w:val="0"/>
      <w:marBottom w:val="0"/>
      <w:divBdr>
        <w:top w:val="none" w:sz="0" w:space="0" w:color="auto"/>
        <w:left w:val="none" w:sz="0" w:space="0" w:color="auto"/>
        <w:bottom w:val="none" w:sz="0" w:space="0" w:color="auto"/>
        <w:right w:val="none" w:sz="0" w:space="0" w:color="auto"/>
      </w:divBdr>
      <w:divsChild>
        <w:div w:id="1843737229">
          <w:marLeft w:val="0"/>
          <w:marRight w:val="0"/>
          <w:marTop w:val="0"/>
          <w:marBottom w:val="150"/>
          <w:divBdr>
            <w:top w:val="none" w:sz="0" w:space="0" w:color="auto"/>
            <w:left w:val="none" w:sz="0" w:space="0" w:color="auto"/>
            <w:bottom w:val="none" w:sz="0" w:space="0" w:color="auto"/>
            <w:right w:val="none" w:sz="0" w:space="0" w:color="auto"/>
          </w:divBdr>
        </w:div>
      </w:divsChild>
    </w:div>
    <w:div w:id="1918829496">
      <w:bodyDiv w:val="1"/>
      <w:marLeft w:val="0"/>
      <w:marRight w:val="0"/>
      <w:marTop w:val="0"/>
      <w:marBottom w:val="0"/>
      <w:divBdr>
        <w:top w:val="none" w:sz="0" w:space="0" w:color="auto"/>
        <w:left w:val="none" w:sz="0" w:space="0" w:color="auto"/>
        <w:bottom w:val="none" w:sz="0" w:space="0" w:color="auto"/>
        <w:right w:val="none" w:sz="0" w:space="0" w:color="auto"/>
      </w:divBdr>
      <w:divsChild>
        <w:div w:id="1769739999">
          <w:marLeft w:val="0"/>
          <w:marRight w:val="0"/>
          <w:marTop w:val="0"/>
          <w:marBottom w:val="0"/>
          <w:divBdr>
            <w:top w:val="none" w:sz="0" w:space="0" w:color="auto"/>
            <w:left w:val="none" w:sz="0" w:space="0" w:color="auto"/>
            <w:bottom w:val="dotted" w:sz="6" w:space="4" w:color="DDDDDD"/>
            <w:right w:val="none" w:sz="0" w:space="0" w:color="auto"/>
          </w:divBdr>
          <w:divsChild>
            <w:div w:id="5447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900040">
      <w:bodyDiv w:val="1"/>
      <w:marLeft w:val="0"/>
      <w:marRight w:val="0"/>
      <w:marTop w:val="0"/>
      <w:marBottom w:val="0"/>
      <w:divBdr>
        <w:top w:val="none" w:sz="0" w:space="0" w:color="auto"/>
        <w:left w:val="none" w:sz="0" w:space="0" w:color="auto"/>
        <w:bottom w:val="none" w:sz="0" w:space="0" w:color="auto"/>
        <w:right w:val="none" w:sz="0" w:space="0" w:color="auto"/>
      </w:divBdr>
      <w:divsChild>
        <w:div w:id="890578349">
          <w:marLeft w:val="0"/>
          <w:marRight w:val="0"/>
          <w:marTop w:val="0"/>
          <w:marBottom w:val="0"/>
          <w:divBdr>
            <w:top w:val="none" w:sz="0" w:space="0" w:color="auto"/>
            <w:left w:val="none" w:sz="0" w:space="0" w:color="auto"/>
            <w:bottom w:val="none" w:sz="0" w:space="0" w:color="auto"/>
            <w:right w:val="none" w:sz="0" w:space="0" w:color="auto"/>
          </w:divBdr>
          <w:divsChild>
            <w:div w:id="723329308">
              <w:marLeft w:val="0"/>
              <w:marRight w:val="0"/>
              <w:marTop w:val="0"/>
              <w:marBottom w:val="0"/>
              <w:divBdr>
                <w:top w:val="none" w:sz="0" w:space="0" w:color="auto"/>
                <w:left w:val="none" w:sz="0" w:space="0" w:color="auto"/>
                <w:bottom w:val="none" w:sz="0" w:space="0" w:color="auto"/>
                <w:right w:val="none" w:sz="0" w:space="0" w:color="auto"/>
              </w:divBdr>
            </w:div>
          </w:divsChild>
        </w:div>
        <w:div w:id="1628659755">
          <w:marLeft w:val="0"/>
          <w:marRight w:val="0"/>
          <w:marTop w:val="0"/>
          <w:marBottom w:val="150"/>
          <w:divBdr>
            <w:top w:val="none" w:sz="0" w:space="0" w:color="auto"/>
            <w:left w:val="none" w:sz="0" w:space="0" w:color="auto"/>
            <w:bottom w:val="none" w:sz="0" w:space="0" w:color="auto"/>
            <w:right w:val="none" w:sz="0" w:space="0" w:color="auto"/>
          </w:divBdr>
        </w:div>
        <w:div w:id="1842694545">
          <w:marLeft w:val="0"/>
          <w:marRight w:val="0"/>
          <w:marTop w:val="0"/>
          <w:marBottom w:val="150"/>
          <w:divBdr>
            <w:top w:val="none" w:sz="0" w:space="0" w:color="auto"/>
            <w:left w:val="none" w:sz="0" w:space="0" w:color="auto"/>
            <w:bottom w:val="none" w:sz="0" w:space="0" w:color="auto"/>
            <w:right w:val="none" w:sz="0" w:space="0" w:color="auto"/>
          </w:divBdr>
          <w:divsChild>
            <w:div w:id="145922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560364">
      <w:bodyDiv w:val="1"/>
      <w:marLeft w:val="0"/>
      <w:marRight w:val="0"/>
      <w:marTop w:val="0"/>
      <w:marBottom w:val="0"/>
      <w:divBdr>
        <w:top w:val="none" w:sz="0" w:space="0" w:color="auto"/>
        <w:left w:val="none" w:sz="0" w:space="0" w:color="auto"/>
        <w:bottom w:val="none" w:sz="0" w:space="0" w:color="auto"/>
        <w:right w:val="none" w:sz="0" w:space="0" w:color="auto"/>
      </w:divBdr>
    </w:div>
    <w:div w:id="1919901384">
      <w:bodyDiv w:val="1"/>
      <w:marLeft w:val="0"/>
      <w:marRight w:val="0"/>
      <w:marTop w:val="0"/>
      <w:marBottom w:val="0"/>
      <w:divBdr>
        <w:top w:val="none" w:sz="0" w:space="0" w:color="auto"/>
        <w:left w:val="none" w:sz="0" w:space="0" w:color="auto"/>
        <w:bottom w:val="none" w:sz="0" w:space="0" w:color="auto"/>
        <w:right w:val="none" w:sz="0" w:space="0" w:color="auto"/>
      </w:divBdr>
    </w:div>
    <w:div w:id="1919973113">
      <w:bodyDiv w:val="1"/>
      <w:marLeft w:val="0"/>
      <w:marRight w:val="0"/>
      <w:marTop w:val="0"/>
      <w:marBottom w:val="0"/>
      <w:divBdr>
        <w:top w:val="none" w:sz="0" w:space="0" w:color="auto"/>
        <w:left w:val="none" w:sz="0" w:space="0" w:color="auto"/>
        <w:bottom w:val="none" w:sz="0" w:space="0" w:color="auto"/>
        <w:right w:val="none" w:sz="0" w:space="0" w:color="auto"/>
      </w:divBdr>
    </w:div>
    <w:div w:id="1919974444">
      <w:bodyDiv w:val="1"/>
      <w:marLeft w:val="0"/>
      <w:marRight w:val="0"/>
      <w:marTop w:val="0"/>
      <w:marBottom w:val="0"/>
      <w:divBdr>
        <w:top w:val="none" w:sz="0" w:space="0" w:color="auto"/>
        <w:left w:val="none" w:sz="0" w:space="0" w:color="auto"/>
        <w:bottom w:val="none" w:sz="0" w:space="0" w:color="auto"/>
        <w:right w:val="none" w:sz="0" w:space="0" w:color="auto"/>
      </w:divBdr>
    </w:div>
    <w:div w:id="1920021619">
      <w:bodyDiv w:val="1"/>
      <w:marLeft w:val="0"/>
      <w:marRight w:val="0"/>
      <w:marTop w:val="0"/>
      <w:marBottom w:val="0"/>
      <w:divBdr>
        <w:top w:val="none" w:sz="0" w:space="0" w:color="auto"/>
        <w:left w:val="none" w:sz="0" w:space="0" w:color="auto"/>
        <w:bottom w:val="none" w:sz="0" w:space="0" w:color="auto"/>
        <w:right w:val="none" w:sz="0" w:space="0" w:color="auto"/>
      </w:divBdr>
      <w:divsChild>
        <w:div w:id="461391169">
          <w:marLeft w:val="0"/>
          <w:marRight w:val="0"/>
          <w:marTop w:val="0"/>
          <w:marBottom w:val="0"/>
          <w:divBdr>
            <w:top w:val="none" w:sz="0" w:space="0" w:color="auto"/>
            <w:left w:val="none" w:sz="0" w:space="0" w:color="auto"/>
            <w:bottom w:val="none" w:sz="0" w:space="0" w:color="auto"/>
            <w:right w:val="none" w:sz="0" w:space="0" w:color="auto"/>
          </w:divBdr>
        </w:div>
        <w:div w:id="1079908024">
          <w:marLeft w:val="0"/>
          <w:marRight w:val="0"/>
          <w:marTop w:val="0"/>
          <w:marBottom w:val="150"/>
          <w:divBdr>
            <w:top w:val="none" w:sz="0" w:space="0" w:color="auto"/>
            <w:left w:val="none" w:sz="0" w:space="0" w:color="auto"/>
            <w:bottom w:val="none" w:sz="0" w:space="0" w:color="auto"/>
            <w:right w:val="none" w:sz="0" w:space="0" w:color="auto"/>
          </w:divBdr>
        </w:div>
      </w:divsChild>
    </w:div>
    <w:div w:id="1920285147">
      <w:bodyDiv w:val="1"/>
      <w:marLeft w:val="0"/>
      <w:marRight w:val="0"/>
      <w:marTop w:val="0"/>
      <w:marBottom w:val="0"/>
      <w:divBdr>
        <w:top w:val="none" w:sz="0" w:space="0" w:color="auto"/>
        <w:left w:val="none" w:sz="0" w:space="0" w:color="auto"/>
        <w:bottom w:val="none" w:sz="0" w:space="0" w:color="auto"/>
        <w:right w:val="none" w:sz="0" w:space="0" w:color="auto"/>
      </w:divBdr>
      <w:divsChild>
        <w:div w:id="624577384">
          <w:marLeft w:val="0"/>
          <w:marRight w:val="0"/>
          <w:marTop w:val="0"/>
          <w:marBottom w:val="0"/>
          <w:divBdr>
            <w:top w:val="none" w:sz="0" w:space="0" w:color="auto"/>
            <w:left w:val="none" w:sz="0" w:space="0" w:color="auto"/>
            <w:bottom w:val="dotted" w:sz="6" w:space="4" w:color="DDDDDD"/>
            <w:right w:val="none" w:sz="0" w:space="0" w:color="auto"/>
          </w:divBdr>
        </w:div>
      </w:divsChild>
    </w:div>
    <w:div w:id="1920870111">
      <w:bodyDiv w:val="1"/>
      <w:marLeft w:val="0"/>
      <w:marRight w:val="0"/>
      <w:marTop w:val="0"/>
      <w:marBottom w:val="0"/>
      <w:divBdr>
        <w:top w:val="none" w:sz="0" w:space="0" w:color="auto"/>
        <w:left w:val="none" w:sz="0" w:space="0" w:color="auto"/>
        <w:bottom w:val="none" w:sz="0" w:space="0" w:color="auto"/>
        <w:right w:val="none" w:sz="0" w:space="0" w:color="auto"/>
      </w:divBdr>
      <w:divsChild>
        <w:div w:id="279384185">
          <w:marLeft w:val="0"/>
          <w:marRight w:val="0"/>
          <w:marTop w:val="0"/>
          <w:marBottom w:val="0"/>
          <w:divBdr>
            <w:top w:val="none" w:sz="0" w:space="0" w:color="auto"/>
            <w:left w:val="none" w:sz="0" w:space="0" w:color="auto"/>
            <w:bottom w:val="dotted" w:sz="6" w:space="4" w:color="DDDDDD"/>
            <w:right w:val="none" w:sz="0" w:space="0" w:color="auto"/>
          </w:divBdr>
          <w:divsChild>
            <w:div w:id="184925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870609">
      <w:bodyDiv w:val="1"/>
      <w:marLeft w:val="0"/>
      <w:marRight w:val="0"/>
      <w:marTop w:val="0"/>
      <w:marBottom w:val="0"/>
      <w:divBdr>
        <w:top w:val="none" w:sz="0" w:space="0" w:color="auto"/>
        <w:left w:val="none" w:sz="0" w:space="0" w:color="auto"/>
        <w:bottom w:val="none" w:sz="0" w:space="0" w:color="auto"/>
        <w:right w:val="none" w:sz="0" w:space="0" w:color="auto"/>
      </w:divBdr>
    </w:div>
    <w:div w:id="1921518854">
      <w:bodyDiv w:val="1"/>
      <w:marLeft w:val="0"/>
      <w:marRight w:val="0"/>
      <w:marTop w:val="0"/>
      <w:marBottom w:val="0"/>
      <w:divBdr>
        <w:top w:val="none" w:sz="0" w:space="0" w:color="auto"/>
        <w:left w:val="none" w:sz="0" w:space="0" w:color="auto"/>
        <w:bottom w:val="none" w:sz="0" w:space="0" w:color="auto"/>
        <w:right w:val="none" w:sz="0" w:space="0" w:color="auto"/>
      </w:divBdr>
      <w:divsChild>
        <w:div w:id="126746633">
          <w:marLeft w:val="0"/>
          <w:marRight w:val="0"/>
          <w:marTop w:val="0"/>
          <w:marBottom w:val="0"/>
          <w:divBdr>
            <w:top w:val="none" w:sz="0" w:space="0" w:color="auto"/>
            <w:left w:val="none" w:sz="0" w:space="0" w:color="auto"/>
            <w:bottom w:val="none" w:sz="0" w:space="0" w:color="auto"/>
            <w:right w:val="none" w:sz="0" w:space="0" w:color="auto"/>
          </w:divBdr>
          <w:divsChild>
            <w:div w:id="584192982">
              <w:marLeft w:val="0"/>
              <w:marRight w:val="0"/>
              <w:marTop w:val="225"/>
              <w:marBottom w:val="225"/>
              <w:divBdr>
                <w:top w:val="none" w:sz="0" w:space="0" w:color="auto"/>
                <w:left w:val="none" w:sz="0" w:space="0" w:color="auto"/>
                <w:bottom w:val="none" w:sz="0" w:space="0" w:color="auto"/>
                <w:right w:val="none" w:sz="0" w:space="0" w:color="auto"/>
              </w:divBdr>
            </w:div>
          </w:divsChild>
        </w:div>
        <w:div w:id="499470316">
          <w:marLeft w:val="0"/>
          <w:marRight w:val="0"/>
          <w:marTop w:val="0"/>
          <w:marBottom w:val="150"/>
          <w:divBdr>
            <w:top w:val="none" w:sz="0" w:space="0" w:color="auto"/>
            <w:left w:val="none" w:sz="0" w:space="0" w:color="auto"/>
            <w:bottom w:val="none" w:sz="0" w:space="0" w:color="auto"/>
            <w:right w:val="none" w:sz="0" w:space="0" w:color="auto"/>
          </w:divBdr>
          <w:divsChild>
            <w:div w:id="1506628171">
              <w:marLeft w:val="0"/>
              <w:marRight w:val="0"/>
              <w:marTop w:val="0"/>
              <w:marBottom w:val="0"/>
              <w:divBdr>
                <w:top w:val="none" w:sz="0" w:space="0" w:color="auto"/>
                <w:left w:val="none" w:sz="0" w:space="0" w:color="auto"/>
                <w:bottom w:val="none" w:sz="0" w:space="0" w:color="auto"/>
                <w:right w:val="none" w:sz="0" w:space="0" w:color="auto"/>
              </w:divBdr>
              <w:divsChild>
                <w:div w:id="31117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783836">
          <w:marLeft w:val="0"/>
          <w:marRight w:val="0"/>
          <w:marTop w:val="0"/>
          <w:marBottom w:val="150"/>
          <w:divBdr>
            <w:top w:val="none" w:sz="0" w:space="0" w:color="auto"/>
            <w:left w:val="none" w:sz="0" w:space="0" w:color="auto"/>
            <w:bottom w:val="none" w:sz="0" w:space="0" w:color="auto"/>
            <w:right w:val="none" w:sz="0" w:space="0" w:color="auto"/>
          </w:divBdr>
        </w:div>
      </w:divsChild>
    </w:div>
    <w:div w:id="1921677983">
      <w:bodyDiv w:val="1"/>
      <w:marLeft w:val="0"/>
      <w:marRight w:val="0"/>
      <w:marTop w:val="0"/>
      <w:marBottom w:val="0"/>
      <w:divBdr>
        <w:top w:val="none" w:sz="0" w:space="0" w:color="auto"/>
        <w:left w:val="none" w:sz="0" w:space="0" w:color="auto"/>
        <w:bottom w:val="none" w:sz="0" w:space="0" w:color="auto"/>
        <w:right w:val="none" w:sz="0" w:space="0" w:color="auto"/>
      </w:divBdr>
    </w:div>
    <w:div w:id="1921867507">
      <w:bodyDiv w:val="1"/>
      <w:marLeft w:val="0"/>
      <w:marRight w:val="0"/>
      <w:marTop w:val="0"/>
      <w:marBottom w:val="0"/>
      <w:divBdr>
        <w:top w:val="none" w:sz="0" w:space="0" w:color="auto"/>
        <w:left w:val="none" w:sz="0" w:space="0" w:color="auto"/>
        <w:bottom w:val="none" w:sz="0" w:space="0" w:color="auto"/>
        <w:right w:val="none" w:sz="0" w:space="0" w:color="auto"/>
      </w:divBdr>
      <w:divsChild>
        <w:div w:id="374158202">
          <w:marLeft w:val="0"/>
          <w:marRight w:val="0"/>
          <w:marTop w:val="0"/>
          <w:marBottom w:val="150"/>
          <w:divBdr>
            <w:top w:val="none" w:sz="0" w:space="0" w:color="auto"/>
            <w:left w:val="none" w:sz="0" w:space="0" w:color="auto"/>
            <w:bottom w:val="none" w:sz="0" w:space="0" w:color="auto"/>
            <w:right w:val="none" w:sz="0" w:space="0" w:color="auto"/>
          </w:divBdr>
        </w:div>
      </w:divsChild>
    </w:div>
    <w:div w:id="1921988446">
      <w:bodyDiv w:val="1"/>
      <w:marLeft w:val="0"/>
      <w:marRight w:val="0"/>
      <w:marTop w:val="0"/>
      <w:marBottom w:val="0"/>
      <w:divBdr>
        <w:top w:val="none" w:sz="0" w:space="0" w:color="auto"/>
        <w:left w:val="none" w:sz="0" w:space="0" w:color="auto"/>
        <w:bottom w:val="none" w:sz="0" w:space="0" w:color="auto"/>
        <w:right w:val="none" w:sz="0" w:space="0" w:color="auto"/>
      </w:divBdr>
      <w:divsChild>
        <w:div w:id="551575552">
          <w:marLeft w:val="0"/>
          <w:marRight w:val="0"/>
          <w:marTop w:val="0"/>
          <w:marBottom w:val="0"/>
          <w:divBdr>
            <w:top w:val="none" w:sz="0" w:space="0" w:color="auto"/>
            <w:left w:val="none" w:sz="0" w:space="0" w:color="auto"/>
            <w:bottom w:val="dotted" w:sz="6" w:space="4" w:color="DDDDDD"/>
            <w:right w:val="none" w:sz="0" w:space="0" w:color="auto"/>
          </w:divBdr>
          <w:divsChild>
            <w:div w:id="98404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1662">
      <w:bodyDiv w:val="1"/>
      <w:marLeft w:val="0"/>
      <w:marRight w:val="0"/>
      <w:marTop w:val="0"/>
      <w:marBottom w:val="0"/>
      <w:divBdr>
        <w:top w:val="none" w:sz="0" w:space="0" w:color="auto"/>
        <w:left w:val="none" w:sz="0" w:space="0" w:color="auto"/>
        <w:bottom w:val="none" w:sz="0" w:space="0" w:color="auto"/>
        <w:right w:val="none" w:sz="0" w:space="0" w:color="auto"/>
      </w:divBdr>
    </w:div>
    <w:div w:id="1922834756">
      <w:bodyDiv w:val="1"/>
      <w:marLeft w:val="0"/>
      <w:marRight w:val="0"/>
      <w:marTop w:val="0"/>
      <w:marBottom w:val="0"/>
      <w:divBdr>
        <w:top w:val="none" w:sz="0" w:space="0" w:color="auto"/>
        <w:left w:val="none" w:sz="0" w:space="0" w:color="auto"/>
        <w:bottom w:val="none" w:sz="0" w:space="0" w:color="auto"/>
        <w:right w:val="none" w:sz="0" w:space="0" w:color="auto"/>
      </w:divBdr>
      <w:divsChild>
        <w:div w:id="809328643">
          <w:marLeft w:val="0"/>
          <w:marRight w:val="0"/>
          <w:marTop w:val="0"/>
          <w:marBottom w:val="150"/>
          <w:divBdr>
            <w:top w:val="none" w:sz="0" w:space="0" w:color="auto"/>
            <w:left w:val="none" w:sz="0" w:space="0" w:color="auto"/>
            <w:bottom w:val="none" w:sz="0" w:space="0" w:color="auto"/>
            <w:right w:val="none" w:sz="0" w:space="0" w:color="auto"/>
          </w:divBdr>
        </w:div>
      </w:divsChild>
    </w:div>
    <w:div w:id="1923224282">
      <w:bodyDiv w:val="1"/>
      <w:marLeft w:val="0"/>
      <w:marRight w:val="0"/>
      <w:marTop w:val="0"/>
      <w:marBottom w:val="0"/>
      <w:divBdr>
        <w:top w:val="none" w:sz="0" w:space="0" w:color="auto"/>
        <w:left w:val="none" w:sz="0" w:space="0" w:color="auto"/>
        <w:bottom w:val="none" w:sz="0" w:space="0" w:color="auto"/>
        <w:right w:val="none" w:sz="0" w:space="0" w:color="auto"/>
      </w:divBdr>
      <w:divsChild>
        <w:div w:id="1280913915">
          <w:marLeft w:val="0"/>
          <w:marRight w:val="0"/>
          <w:marTop w:val="0"/>
          <w:marBottom w:val="0"/>
          <w:divBdr>
            <w:top w:val="none" w:sz="0" w:space="0" w:color="auto"/>
            <w:left w:val="none" w:sz="0" w:space="0" w:color="auto"/>
            <w:bottom w:val="dotted" w:sz="6" w:space="4" w:color="DDDDDD"/>
            <w:right w:val="none" w:sz="0" w:space="0" w:color="auto"/>
          </w:divBdr>
          <w:divsChild>
            <w:div w:id="138117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249478">
      <w:bodyDiv w:val="1"/>
      <w:marLeft w:val="0"/>
      <w:marRight w:val="0"/>
      <w:marTop w:val="0"/>
      <w:marBottom w:val="0"/>
      <w:divBdr>
        <w:top w:val="none" w:sz="0" w:space="0" w:color="auto"/>
        <w:left w:val="none" w:sz="0" w:space="0" w:color="auto"/>
        <w:bottom w:val="none" w:sz="0" w:space="0" w:color="auto"/>
        <w:right w:val="none" w:sz="0" w:space="0" w:color="auto"/>
      </w:divBdr>
    </w:div>
    <w:div w:id="1923906873">
      <w:bodyDiv w:val="1"/>
      <w:marLeft w:val="0"/>
      <w:marRight w:val="0"/>
      <w:marTop w:val="0"/>
      <w:marBottom w:val="0"/>
      <w:divBdr>
        <w:top w:val="none" w:sz="0" w:space="0" w:color="auto"/>
        <w:left w:val="none" w:sz="0" w:space="0" w:color="auto"/>
        <w:bottom w:val="none" w:sz="0" w:space="0" w:color="auto"/>
        <w:right w:val="none" w:sz="0" w:space="0" w:color="auto"/>
      </w:divBdr>
      <w:divsChild>
        <w:div w:id="1505625585">
          <w:marLeft w:val="0"/>
          <w:marRight w:val="0"/>
          <w:marTop w:val="0"/>
          <w:marBottom w:val="150"/>
          <w:divBdr>
            <w:top w:val="none" w:sz="0" w:space="0" w:color="auto"/>
            <w:left w:val="none" w:sz="0" w:space="0" w:color="auto"/>
            <w:bottom w:val="none" w:sz="0" w:space="0" w:color="auto"/>
            <w:right w:val="none" w:sz="0" w:space="0" w:color="auto"/>
          </w:divBdr>
          <w:divsChild>
            <w:div w:id="722287249">
              <w:marLeft w:val="0"/>
              <w:marRight w:val="0"/>
              <w:marTop w:val="0"/>
              <w:marBottom w:val="0"/>
              <w:divBdr>
                <w:top w:val="none" w:sz="0" w:space="0" w:color="auto"/>
                <w:left w:val="none" w:sz="0" w:space="0" w:color="auto"/>
                <w:bottom w:val="none" w:sz="0" w:space="0" w:color="auto"/>
                <w:right w:val="none" w:sz="0" w:space="0" w:color="auto"/>
              </w:divBdr>
              <w:divsChild>
                <w:div w:id="172690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506">
          <w:marLeft w:val="0"/>
          <w:marRight w:val="0"/>
          <w:marTop w:val="0"/>
          <w:marBottom w:val="150"/>
          <w:divBdr>
            <w:top w:val="none" w:sz="0" w:space="0" w:color="auto"/>
            <w:left w:val="none" w:sz="0" w:space="0" w:color="auto"/>
            <w:bottom w:val="none" w:sz="0" w:space="0" w:color="auto"/>
            <w:right w:val="none" w:sz="0" w:space="0" w:color="auto"/>
          </w:divBdr>
        </w:div>
        <w:div w:id="1279027467">
          <w:marLeft w:val="0"/>
          <w:marRight w:val="0"/>
          <w:marTop w:val="0"/>
          <w:marBottom w:val="0"/>
          <w:divBdr>
            <w:top w:val="none" w:sz="0" w:space="0" w:color="auto"/>
            <w:left w:val="none" w:sz="0" w:space="0" w:color="auto"/>
            <w:bottom w:val="none" w:sz="0" w:space="0" w:color="auto"/>
            <w:right w:val="none" w:sz="0" w:space="0" w:color="auto"/>
          </w:divBdr>
          <w:divsChild>
            <w:div w:id="170894437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24020983">
      <w:bodyDiv w:val="1"/>
      <w:marLeft w:val="0"/>
      <w:marRight w:val="0"/>
      <w:marTop w:val="0"/>
      <w:marBottom w:val="0"/>
      <w:divBdr>
        <w:top w:val="none" w:sz="0" w:space="0" w:color="auto"/>
        <w:left w:val="none" w:sz="0" w:space="0" w:color="auto"/>
        <w:bottom w:val="none" w:sz="0" w:space="0" w:color="auto"/>
        <w:right w:val="none" w:sz="0" w:space="0" w:color="auto"/>
      </w:divBdr>
      <w:divsChild>
        <w:div w:id="2072146191">
          <w:marLeft w:val="0"/>
          <w:marRight w:val="0"/>
          <w:marTop w:val="0"/>
          <w:marBottom w:val="0"/>
          <w:divBdr>
            <w:top w:val="none" w:sz="0" w:space="0" w:color="auto"/>
            <w:left w:val="none" w:sz="0" w:space="0" w:color="auto"/>
            <w:bottom w:val="none" w:sz="0" w:space="0" w:color="auto"/>
            <w:right w:val="none" w:sz="0" w:space="0" w:color="auto"/>
          </w:divBdr>
        </w:div>
      </w:divsChild>
    </w:div>
    <w:div w:id="1924290093">
      <w:bodyDiv w:val="1"/>
      <w:marLeft w:val="0"/>
      <w:marRight w:val="0"/>
      <w:marTop w:val="0"/>
      <w:marBottom w:val="0"/>
      <w:divBdr>
        <w:top w:val="none" w:sz="0" w:space="0" w:color="auto"/>
        <w:left w:val="none" w:sz="0" w:space="0" w:color="auto"/>
        <w:bottom w:val="none" w:sz="0" w:space="0" w:color="auto"/>
        <w:right w:val="none" w:sz="0" w:space="0" w:color="auto"/>
      </w:divBdr>
      <w:divsChild>
        <w:div w:id="1600797760">
          <w:marLeft w:val="0"/>
          <w:marRight w:val="0"/>
          <w:marTop w:val="0"/>
          <w:marBottom w:val="0"/>
          <w:divBdr>
            <w:top w:val="none" w:sz="0" w:space="0" w:color="auto"/>
            <w:left w:val="none" w:sz="0" w:space="0" w:color="auto"/>
            <w:bottom w:val="none" w:sz="0" w:space="0" w:color="auto"/>
            <w:right w:val="none" w:sz="0" w:space="0" w:color="auto"/>
          </w:divBdr>
        </w:div>
      </w:divsChild>
    </w:div>
    <w:div w:id="1924297325">
      <w:bodyDiv w:val="1"/>
      <w:marLeft w:val="0"/>
      <w:marRight w:val="0"/>
      <w:marTop w:val="0"/>
      <w:marBottom w:val="0"/>
      <w:divBdr>
        <w:top w:val="none" w:sz="0" w:space="0" w:color="auto"/>
        <w:left w:val="none" w:sz="0" w:space="0" w:color="auto"/>
        <w:bottom w:val="none" w:sz="0" w:space="0" w:color="auto"/>
        <w:right w:val="none" w:sz="0" w:space="0" w:color="auto"/>
      </w:divBdr>
      <w:divsChild>
        <w:div w:id="413166726">
          <w:marLeft w:val="0"/>
          <w:marRight w:val="0"/>
          <w:marTop w:val="0"/>
          <w:marBottom w:val="0"/>
          <w:divBdr>
            <w:top w:val="none" w:sz="0" w:space="0" w:color="auto"/>
            <w:left w:val="none" w:sz="0" w:space="0" w:color="auto"/>
            <w:bottom w:val="none" w:sz="0" w:space="0" w:color="auto"/>
            <w:right w:val="none" w:sz="0" w:space="0" w:color="auto"/>
          </w:divBdr>
          <w:divsChild>
            <w:div w:id="655651755">
              <w:marLeft w:val="0"/>
              <w:marRight w:val="0"/>
              <w:marTop w:val="0"/>
              <w:marBottom w:val="0"/>
              <w:divBdr>
                <w:top w:val="none" w:sz="0" w:space="0" w:color="auto"/>
                <w:left w:val="none" w:sz="0" w:space="0" w:color="auto"/>
                <w:bottom w:val="none" w:sz="0" w:space="0" w:color="auto"/>
                <w:right w:val="none" w:sz="0" w:space="0" w:color="auto"/>
              </w:divBdr>
              <w:divsChild>
                <w:div w:id="405879443">
                  <w:marLeft w:val="0"/>
                  <w:marRight w:val="0"/>
                  <w:marTop w:val="0"/>
                  <w:marBottom w:val="0"/>
                  <w:divBdr>
                    <w:top w:val="none" w:sz="0" w:space="0" w:color="auto"/>
                    <w:left w:val="none" w:sz="0" w:space="0" w:color="auto"/>
                    <w:bottom w:val="none" w:sz="0" w:space="0" w:color="auto"/>
                    <w:right w:val="none" w:sz="0" w:space="0" w:color="auto"/>
                  </w:divBdr>
                  <w:divsChild>
                    <w:div w:id="90904495">
                      <w:marLeft w:val="0"/>
                      <w:marRight w:val="0"/>
                      <w:marTop w:val="0"/>
                      <w:marBottom w:val="0"/>
                      <w:divBdr>
                        <w:top w:val="none" w:sz="0" w:space="0" w:color="auto"/>
                        <w:left w:val="none" w:sz="0" w:space="0" w:color="auto"/>
                        <w:bottom w:val="none" w:sz="0" w:space="0" w:color="auto"/>
                        <w:right w:val="none" w:sz="0" w:space="0" w:color="auto"/>
                      </w:divBdr>
                      <w:divsChild>
                        <w:div w:id="1965234551">
                          <w:marLeft w:val="0"/>
                          <w:marRight w:val="0"/>
                          <w:marTop w:val="0"/>
                          <w:marBottom w:val="0"/>
                          <w:divBdr>
                            <w:top w:val="none" w:sz="0" w:space="0" w:color="auto"/>
                            <w:left w:val="none" w:sz="0" w:space="0" w:color="auto"/>
                            <w:bottom w:val="none" w:sz="0" w:space="0" w:color="auto"/>
                            <w:right w:val="none" w:sz="0" w:space="0" w:color="auto"/>
                          </w:divBdr>
                          <w:divsChild>
                            <w:div w:id="1670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532145">
      <w:bodyDiv w:val="1"/>
      <w:marLeft w:val="0"/>
      <w:marRight w:val="0"/>
      <w:marTop w:val="0"/>
      <w:marBottom w:val="0"/>
      <w:divBdr>
        <w:top w:val="none" w:sz="0" w:space="0" w:color="auto"/>
        <w:left w:val="none" w:sz="0" w:space="0" w:color="auto"/>
        <w:bottom w:val="none" w:sz="0" w:space="0" w:color="auto"/>
        <w:right w:val="none" w:sz="0" w:space="0" w:color="auto"/>
      </w:divBdr>
      <w:divsChild>
        <w:div w:id="29962600">
          <w:marLeft w:val="0"/>
          <w:marRight w:val="0"/>
          <w:marTop w:val="0"/>
          <w:marBottom w:val="300"/>
          <w:divBdr>
            <w:top w:val="none" w:sz="0" w:space="0" w:color="auto"/>
            <w:left w:val="none" w:sz="0" w:space="0" w:color="auto"/>
            <w:bottom w:val="none" w:sz="0" w:space="0" w:color="auto"/>
            <w:right w:val="none" w:sz="0" w:space="0" w:color="auto"/>
          </w:divBdr>
          <w:divsChild>
            <w:div w:id="1868835136">
              <w:marLeft w:val="0"/>
              <w:marRight w:val="0"/>
              <w:marTop w:val="0"/>
              <w:marBottom w:val="0"/>
              <w:divBdr>
                <w:top w:val="none" w:sz="0" w:space="0" w:color="auto"/>
                <w:left w:val="none" w:sz="0" w:space="0" w:color="auto"/>
                <w:bottom w:val="none" w:sz="0" w:space="0" w:color="auto"/>
                <w:right w:val="none" w:sz="0" w:space="0" w:color="auto"/>
              </w:divBdr>
              <w:divsChild>
                <w:div w:id="95448385">
                  <w:marLeft w:val="0"/>
                  <w:marRight w:val="0"/>
                  <w:marTop w:val="0"/>
                  <w:marBottom w:val="0"/>
                  <w:divBdr>
                    <w:top w:val="none" w:sz="0" w:space="0" w:color="auto"/>
                    <w:left w:val="none" w:sz="0" w:space="0" w:color="auto"/>
                    <w:bottom w:val="none" w:sz="0" w:space="0" w:color="auto"/>
                    <w:right w:val="none" w:sz="0" w:space="0" w:color="auto"/>
                  </w:divBdr>
                  <w:divsChild>
                    <w:div w:id="1433894364">
                      <w:marLeft w:val="0"/>
                      <w:marRight w:val="0"/>
                      <w:marTop w:val="0"/>
                      <w:marBottom w:val="225"/>
                      <w:divBdr>
                        <w:top w:val="none" w:sz="0" w:space="0" w:color="2D2D2D"/>
                        <w:left w:val="none" w:sz="0" w:space="0" w:color="2D2D2D"/>
                        <w:bottom w:val="none" w:sz="0" w:space="0" w:color="2D2D2D"/>
                        <w:right w:val="none" w:sz="0" w:space="0" w:color="2D2D2D"/>
                      </w:divBdr>
                      <w:divsChild>
                        <w:div w:id="1712070840">
                          <w:marLeft w:val="0"/>
                          <w:marRight w:val="0"/>
                          <w:marTop w:val="120"/>
                          <w:marBottom w:val="150"/>
                          <w:divBdr>
                            <w:top w:val="none" w:sz="0" w:space="0" w:color="auto"/>
                            <w:left w:val="none" w:sz="0" w:space="0" w:color="auto"/>
                            <w:bottom w:val="none" w:sz="0" w:space="0" w:color="auto"/>
                            <w:right w:val="none" w:sz="0" w:space="0" w:color="auto"/>
                          </w:divBdr>
                          <w:divsChild>
                            <w:div w:id="51684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534184">
      <w:bodyDiv w:val="1"/>
      <w:marLeft w:val="0"/>
      <w:marRight w:val="0"/>
      <w:marTop w:val="0"/>
      <w:marBottom w:val="0"/>
      <w:divBdr>
        <w:top w:val="none" w:sz="0" w:space="0" w:color="auto"/>
        <w:left w:val="none" w:sz="0" w:space="0" w:color="auto"/>
        <w:bottom w:val="none" w:sz="0" w:space="0" w:color="auto"/>
        <w:right w:val="none" w:sz="0" w:space="0" w:color="auto"/>
      </w:divBdr>
    </w:div>
    <w:div w:id="1924759500">
      <w:bodyDiv w:val="1"/>
      <w:marLeft w:val="0"/>
      <w:marRight w:val="0"/>
      <w:marTop w:val="0"/>
      <w:marBottom w:val="0"/>
      <w:divBdr>
        <w:top w:val="none" w:sz="0" w:space="0" w:color="auto"/>
        <w:left w:val="none" w:sz="0" w:space="0" w:color="auto"/>
        <w:bottom w:val="none" w:sz="0" w:space="0" w:color="auto"/>
        <w:right w:val="none" w:sz="0" w:space="0" w:color="auto"/>
      </w:divBdr>
      <w:divsChild>
        <w:div w:id="1571189237">
          <w:marLeft w:val="0"/>
          <w:marRight w:val="0"/>
          <w:marTop w:val="0"/>
          <w:marBottom w:val="0"/>
          <w:divBdr>
            <w:top w:val="none" w:sz="0" w:space="0" w:color="auto"/>
            <w:left w:val="none" w:sz="0" w:space="0" w:color="auto"/>
            <w:bottom w:val="none" w:sz="0" w:space="0" w:color="auto"/>
            <w:right w:val="none" w:sz="0" w:space="0" w:color="auto"/>
          </w:divBdr>
          <w:divsChild>
            <w:div w:id="407921820">
              <w:marLeft w:val="0"/>
              <w:marRight w:val="0"/>
              <w:marTop w:val="0"/>
              <w:marBottom w:val="0"/>
              <w:divBdr>
                <w:top w:val="none" w:sz="0" w:space="0" w:color="auto"/>
                <w:left w:val="none" w:sz="0" w:space="0" w:color="auto"/>
                <w:bottom w:val="none" w:sz="0" w:space="0" w:color="auto"/>
                <w:right w:val="none" w:sz="0" w:space="0" w:color="auto"/>
              </w:divBdr>
              <w:divsChild>
                <w:div w:id="1032608982">
                  <w:marLeft w:val="0"/>
                  <w:marRight w:val="0"/>
                  <w:marTop w:val="0"/>
                  <w:marBottom w:val="0"/>
                  <w:divBdr>
                    <w:top w:val="none" w:sz="0" w:space="0" w:color="auto"/>
                    <w:left w:val="none" w:sz="0" w:space="0" w:color="auto"/>
                    <w:bottom w:val="none" w:sz="0" w:space="0" w:color="auto"/>
                    <w:right w:val="none" w:sz="0" w:space="0" w:color="auto"/>
                  </w:divBdr>
                  <w:divsChild>
                    <w:div w:id="1756127437">
                      <w:marLeft w:val="0"/>
                      <w:marRight w:val="0"/>
                      <w:marTop w:val="0"/>
                      <w:marBottom w:val="0"/>
                      <w:divBdr>
                        <w:top w:val="none" w:sz="0" w:space="0" w:color="auto"/>
                        <w:left w:val="none" w:sz="0" w:space="0" w:color="auto"/>
                        <w:bottom w:val="none" w:sz="0" w:space="0" w:color="auto"/>
                        <w:right w:val="none" w:sz="0" w:space="0" w:color="auto"/>
                      </w:divBdr>
                      <w:divsChild>
                        <w:div w:id="1125543780">
                          <w:marLeft w:val="0"/>
                          <w:marRight w:val="0"/>
                          <w:marTop w:val="0"/>
                          <w:marBottom w:val="0"/>
                          <w:divBdr>
                            <w:top w:val="none" w:sz="0" w:space="0" w:color="auto"/>
                            <w:left w:val="none" w:sz="0" w:space="0" w:color="auto"/>
                            <w:bottom w:val="none" w:sz="0" w:space="0" w:color="auto"/>
                            <w:right w:val="none" w:sz="0" w:space="0" w:color="auto"/>
                          </w:divBdr>
                          <w:divsChild>
                            <w:div w:id="1510488490">
                              <w:marLeft w:val="0"/>
                              <w:marRight w:val="0"/>
                              <w:marTop w:val="0"/>
                              <w:marBottom w:val="0"/>
                              <w:divBdr>
                                <w:top w:val="none" w:sz="0" w:space="0" w:color="auto"/>
                                <w:left w:val="none" w:sz="0" w:space="0" w:color="auto"/>
                                <w:bottom w:val="none" w:sz="0" w:space="0" w:color="auto"/>
                                <w:right w:val="none" w:sz="0" w:space="0" w:color="auto"/>
                              </w:divBdr>
                              <w:divsChild>
                                <w:div w:id="53821674">
                                  <w:marLeft w:val="0"/>
                                  <w:marRight w:val="0"/>
                                  <w:marTop w:val="0"/>
                                  <w:marBottom w:val="0"/>
                                  <w:divBdr>
                                    <w:top w:val="none" w:sz="0" w:space="0" w:color="auto"/>
                                    <w:left w:val="none" w:sz="0" w:space="0" w:color="auto"/>
                                    <w:bottom w:val="none" w:sz="0" w:space="0" w:color="auto"/>
                                    <w:right w:val="none" w:sz="0" w:space="0" w:color="auto"/>
                                  </w:divBdr>
                                  <w:divsChild>
                                    <w:div w:id="193134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45895">
      <w:bodyDiv w:val="1"/>
      <w:marLeft w:val="0"/>
      <w:marRight w:val="0"/>
      <w:marTop w:val="0"/>
      <w:marBottom w:val="0"/>
      <w:divBdr>
        <w:top w:val="none" w:sz="0" w:space="0" w:color="auto"/>
        <w:left w:val="none" w:sz="0" w:space="0" w:color="auto"/>
        <w:bottom w:val="none" w:sz="0" w:space="0" w:color="auto"/>
        <w:right w:val="none" w:sz="0" w:space="0" w:color="auto"/>
      </w:divBdr>
      <w:divsChild>
        <w:div w:id="1753425332">
          <w:marLeft w:val="0"/>
          <w:marRight w:val="0"/>
          <w:marTop w:val="0"/>
          <w:marBottom w:val="0"/>
          <w:divBdr>
            <w:top w:val="none" w:sz="0" w:space="0" w:color="auto"/>
            <w:left w:val="none" w:sz="0" w:space="0" w:color="auto"/>
            <w:bottom w:val="dotted" w:sz="6" w:space="4" w:color="DDDDDD"/>
            <w:right w:val="none" w:sz="0" w:space="0" w:color="auto"/>
          </w:divBdr>
        </w:div>
      </w:divsChild>
    </w:div>
    <w:div w:id="1924951313">
      <w:bodyDiv w:val="1"/>
      <w:marLeft w:val="0"/>
      <w:marRight w:val="0"/>
      <w:marTop w:val="0"/>
      <w:marBottom w:val="0"/>
      <w:divBdr>
        <w:top w:val="none" w:sz="0" w:space="0" w:color="auto"/>
        <w:left w:val="none" w:sz="0" w:space="0" w:color="auto"/>
        <w:bottom w:val="none" w:sz="0" w:space="0" w:color="auto"/>
        <w:right w:val="none" w:sz="0" w:space="0" w:color="auto"/>
      </w:divBdr>
      <w:divsChild>
        <w:div w:id="1487546928">
          <w:marLeft w:val="0"/>
          <w:marRight w:val="0"/>
          <w:marTop w:val="0"/>
          <w:marBottom w:val="150"/>
          <w:divBdr>
            <w:top w:val="none" w:sz="0" w:space="0" w:color="auto"/>
            <w:left w:val="none" w:sz="0" w:space="0" w:color="auto"/>
            <w:bottom w:val="none" w:sz="0" w:space="0" w:color="auto"/>
            <w:right w:val="none" w:sz="0" w:space="0" w:color="auto"/>
          </w:divBdr>
          <w:divsChild>
            <w:div w:id="1084183754">
              <w:marLeft w:val="0"/>
              <w:marRight w:val="0"/>
              <w:marTop w:val="0"/>
              <w:marBottom w:val="0"/>
              <w:divBdr>
                <w:top w:val="none" w:sz="0" w:space="0" w:color="auto"/>
                <w:left w:val="none" w:sz="0" w:space="0" w:color="auto"/>
                <w:bottom w:val="none" w:sz="0" w:space="0" w:color="auto"/>
                <w:right w:val="none" w:sz="0" w:space="0" w:color="auto"/>
              </w:divBdr>
            </w:div>
          </w:divsChild>
        </w:div>
        <w:div w:id="1852450765">
          <w:marLeft w:val="0"/>
          <w:marRight w:val="0"/>
          <w:marTop w:val="0"/>
          <w:marBottom w:val="0"/>
          <w:divBdr>
            <w:top w:val="none" w:sz="0" w:space="0" w:color="auto"/>
            <w:left w:val="none" w:sz="0" w:space="0" w:color="auto"/>
            <w:bottom w:val="none" w:sz="0" w:space="0" w:color="auto"/>
            <w:right w:val="none" w:sz="0" w:space="0" w:color="auto"/>
          </w:divBdr>
          <w:divsChild>
            <w:div w:id="300964835">
              <w:marLeft w:val="0"/>
              <w:marRight w:val="0"/>
              <w:marTop w:val="0"/>
              <w:marBottom w:val="150"/>
              <w:divBdr>
                <w:top w:val="none" w:sz="0" w:space="0" w:color="auto"/>
                <w:left w:val="none" w:sz="0" w:space="0" w:color="auto"/>
                <w:bottom w:val="none" w:sz="0" w:space="0" w:color="auto"/>
                <w:right w:val="none" w:sz="0" w:space="0" w:color="auto"/>
              </w:divBdr>
            </w:div>
            <w:div w:id="197833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531939">
      <w:bodyDiv w:val="1"/>
      <w:marLeft w:val="0"/>
      <w:marRight w:val="0"/>
      <w:marTop w:val="0"/>
      <w:marBottom w:val="0"/>
      <w:divBdr>
        <w:top w:val="none" w:sz="0" w:space="0" w:color="auto"/>
        <w:left w:val="none" w:sz="0" w:space="0" w:color="auto"/>
        <w:bottom w:val="none" w:sz="0" w:space="0" w:color="auto"/>
        <w:right w:val="none" w:sz="0" w:space="0" w:color="auto"/>
      </w:divBdr>
      <w:divsChild>
        <w:div w:id="1426537466">
          <w:marLeft w:val="0"/>
          <w:marRight w:val="0"/>
          <w:marTop w:val="0"/>
          <w:marBottom w:val="0"/>
          <w:divBdr>
            <w:top w:val="none" w:sz="0" w:space="0" w:color="auto"/>
            <w:left w:val="none" w:sz="0" w:space="0" w:color="auto"/>
            <w:bottom w:val="none" w:sz="0" w:space="0" w:color="auto"/>
            <w:right w:val="none" w:sz="0" w:space="0" w:color="auto"/>
          </w:divBdr>
          <w:divsChild>
            <w:div w:id="174896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646758">
      <w:bodyDiv w:val="1"/>
      <w:marLeft w:val="0"/>
      <w:marRight w:val="0"/>
      <w:marTop w:val="0"/>
      <w:marBottom w:val="0"/>
      <w:divBdr>
        <w:top w:val="none" w:sz="0" w:space="0" w:color="auto"/>
        <w:left w:val="none" w:sz="0" w:space="0" w:color="auto"/>
        <w:bottom w:val="none" w:sz="0" w:space="0" w:color="auto"/>
        <w:right w:val="none" w:sz="0" w:space="0" w:color="auto"/>
      </w:divBdr>
      <w:divsChild>
        <w:div w:id="504133740">
          <w:marLeft w:val="0"/>
          <w:marRight w:val="0"/>
          <w:marTop w:val="0"/>
          <w:marBottom w:val="0"/>
          <w:divBdr>
            <w:top w:val="none" w:sz="0" w:space="0" w:color="auto"/>
            <w:left w:val="none" w:sz="0" w:space="0" w:color="auto"/>
            <w:bottom w:val="none" w:sz="0" w:space="0" w:color="auto"/>
            <w:right w:val="none" w:sz="0" w:space="0" w:color="auto"/>
          </w:divBdr>
          <w:divsChild>
            <w:div w:id="1881434180">
              <w:marLeft w:val="0"/>
              <w:marRight w:val="0"/>
              <w:marTop w:val="0"/>
              <w:marBottom w:val="0"/>
              <w:divBdr>
                <w:top w:val="none" w:sz="0" w:space="0" w:color="auto"/>
                <w:left w:val="none" w:sz="0" w:space="0" w:color="auto"/>
                <w:bottom w:val="none" w:sz="0" w:space="0" w:color="auto"/>
                <w:right w:val="none" w:sz="0" w:space="0" w:color="auto"/>
              </w:divBdr>
              <w:divsChild>
                <w:div w:id="926571406">
                  <w:marLeft w:val="0"/>
                  <w:marRight w:val="0"/>
                  <w:marTop w:val="0"/>
                  <w:marBottom w:val="150"/>
                  <w:divBdr>
                    <w:top w:val="none" w:sz="0" w:space="0" w:color="auto"/>
                    <w:left w:val="none" w:sz="0" w:space="0" w:color="auto"/>
                    <w:bottom w:val="none" w:sz="0" w:space="0" w:color="auto"/>
                    <w:right w:val="none" w:sz="0" w:space="0" w:color="auto"/>
                  </w:divBdr>
                  <w:divsChild>
                    <w:div w:id="1239024325">
                      <w:marLeft w:val="0"/>
                      <w:marRight w:val="0"/>
                      <w:marTop w:val="0"/>
                      <w:marBottom w:val="0"/>
                      <w:divBdr>
                        <w:top w:val="none" w:sz="0" w:space="0" w:color="auto"/>
                        <w:left w:val="none" w:sz="0" w:space="0" w:color="auto"/>
                        <w:bottom w:val="none" w:sz="0" w:space="0" w:color="auto"/>
                        <w:right w:val="none" w:sz="0" w:space="0" w:color="auto"/>
                      </w:divBdr>
                      <w:divsChild>
                        <w:div w:id="119038031">
                          <w:marLeft w:val="0"/>
                          <w:marRight w:val="0"/>
                          <w:marTop w:val="0"/>
                          <w:marBottom w:val="0"/>
                          <w:divBdr>
                            <w:top w:val="none" w:sz="0" w:space="0" w:color="auto"/>
                            <w:left w:val="none" w:sz="0" w:space="0" w:color="auto"/>
                            <w:bottom w:val="none" w:sz="0" w:space="0" w:color="auto"/>
                            <w:right w:val="none" w:sz="0" w:space="0" w:color="auto"/>
                          </w:divBdr>
                          <w:divsChild>
                            <w:div w:id="908806616">
                              <w:marLeft w:val="0"/>
                              <w:marRight w:val="0"/>
                              <w:marTop w:val="0"/>
                              <w:marBottom w:val="0"/>
                              <w:divBdr>
                                <w:top w:val="none" w:sz="0" w:space="0" w:color="auto"/>
                                <w:left w:val="none" w:sz="0" w:space="0" w:color="auto"/>
                                <w:bottom w:val="none" w:sz="0" w:space="0" w:color="auto"/>
                                <w:right w:val="none" w:sz="0" w:space="0" w:color="auto"/>
                              </w:divBdr>
                              <w:divsChild>
                                <w:div w:id="621806213">
                                  <w:marLeft w:val="0"/>
                                  <w:marRight w:val="0"/>
                                  <w:marTop w:val="0"/>
                                  <w:marBottom w:val="0"/>
                                  <w:divBdr>
                                    <w:top w:val="none" w:sz="0" w:space="0" w:color="auto"/>
                                    <w:left w:val="none" w:sz="0" w:space="0" w:color="auto"/>
                                    <w:bottom w:val="none" w:sz="0" w:space="0" w:color="auto"/>
                                    <w:right w:val="none" w:sz="0" w:space="0" w:color="auto"/>
                                  </w:divBdr>
                                  <w:divsChild>
                                    <w:div w:id="1164392453">
                                      <w:marLeft w:val="0"/>
                                      <w:marRight w:val="0"/>
                                      <w:marTop w:val="0"/>
                                      <w:marBottom w:val="0"/>
                                      <w:divBdr>
                                        <w:top w:val="none" w:sz="0" w:space="0" w:color="auto"/>
                                        <w:left w:val="none" w:sz="0" w:space="0" w:color="auto"/>
                                        <w:bottom w:val="none" w:sz="0" w:space="0" w:color="auto"/>
                                        <w:right w:val="none" w:sz="0" w:space="0" w:color="auto"/>
                                      </w:divBdr>
                                      <w:divsChild>
                                        <w:div w:id="1158375370">
                                          <w:marLeft w:val="0"/>
                                          <w:marRight w:val="0"/>
                                          <w:marTop w:val="0"/>
                                          <w:marBottom w:val="0"/>
                                          <w:divBdr>
                                            <w:top w:val="none" w:sz="0" w:space="0" w:color="auto"/>
                                            <w:left w:val="none" w:sz="0" w:space="0" w:color="auto"/>
                                            <w:bottom w:val="none" w:sz="0" w:space="0" w:color="auto"/>
                                            <w:right w:val="none" w:sz="0" w:space="0" w:color="auto"/>
                                          </w:divBdr>
                                          <w:divsChild>
                                            <w:div w:id="1045371394">
                                              <w:marLeft w:val="0"/>
                                              <w:marRight w:val="0"/>
                                              <w:marTop w:val="0"/>
                                              <w:marBottom w:val="0"/>
                                              <w:divBdr>
                                                <w:top w:val="none" w:sz="0" w:space="0" w:color="auto"/>
                                                <w:left w:val="none" w:sz="0" w:space="0" w:color="auto"/>
                                                <w:bottom w:val="none" w:sz="0" w:space="0" w:color="auto"/>
                                                <w:right w:val="none" w:sz="0" w:space="0" w:color="auto"/>
                                              </w:divBdr>
                                              <w:divsChild>
                                                <w:div w:id="25567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6264797">
      <w:bodyDiv w:val="1"/>
      <w:marLeft w:val="0"/>
      <w:marRight w:val="0"/>
      <w:marTop w:val="0"/>
      <w:marBottom w:val="0"/>
      <w:divBdr>
        <w:top w:val="none" w:sz="0" w:space="0" w:color="auto"/>
        <w:left w:val="none" w:sz="0" w:space="0" w:color="auto"/>
        <w:bottom w:val="none" w:sz="0" w:space="0" w:color="auto"/>
        <w:right w:val="none" w:sz="0" w:space="0" w:color="auto"/>
      </w:divBdr>
      <w:divsChild>
        <w:div w:id="275524156">
          <w:marLeft w:val="0"/>
          <w:marRight w:val="0"/>
          <w:marTop w:val="0"/>
          <w:marBottom w:val="150"/>
          <w:divBdr>
            <w:top w:val="none" w:sz="0" w:space="0" w:color="auto"/>
            <w:left w:val="none" w:sz="0" w:space="0" w:color="auto"/>
            <w:bottom w:val="none" w:sz="0" w:space="0" w:color="auto"/>
            <w:right w:val="none" w:sz="0" w:space="0" w:color="auto"/>
          </w:divBdr>
        </w:div>
        <w:div w:id="1433741214">
          <w:marLeft w:val="0"/>
          <w:marRight w:val="0"/>
          <w:marTop w:val="0"/>
          <w:marBottom w:val="0"/>
          <w:divBdr>
            <w:top w:val="none" w:sz="0" w:space="0" w:color="auto"/>
            <w:left w:val="none" w:sz="0" w:space="0" w:color="auto"/>
            <w:bottom w:val="none" w:sz="0" w:space="0" w:color="auto"/>
            <w:right w:val="none" w:sz="0" w:space="0" w:color="auto"/>
          </w:divBdr>
        </w:div>
      </w:divsChild>
    </w:div>
    <w:div w:id="1927882236">
      <w:bodyDiv w:val="1"/>
      <w:marLeft w:val="0"/>
      <w:marRight w:val="0"/>
      <w:marTop w:val="0"/>
      <w:marBottom w:val="0"/>
      <w:divBdr>
        <w:top w:val="none" w:sz="0" w:space="0" w:color="auto"/>
        <w:left w:val="none" w:sz="0" w:space="0" w:color="auto"/>
        <w:bottom w:val="none" w:sz="0" w:space="0" w:color="auto"/>
        <w:right w:val="none" w:sz="0" w:space="0" w:color="auto"/>
      </w:divBdr>
    </w:div>
    <w:div w:id="1928422460">
      <w:bodyDiv w:val="1"/>
      <w:marLeft w:val="0"/>
      <w:marRight w:val="0"/>
      <w:marTop w:val="0"/>
      <w:marBottom w:val="0"/>
      <w:divBdr>
        <w:top w:val="none" w:sz="0" w:space="0" w:color="auto"/>
        <w:left w:val="none" w:sz="0" w:space="0" w:color="auto"/>
        <w:bottom w:val="none" w:sz="0" w:space="0" w:color="auto"/>
        <w:right w:val="none" w:sz="0" w:space="0" w:color="auto"/>
      </w:divBdr>
      <w:divsChild>
        <w:div w:id="345593742">
          <w:marLeft w:val="0"/>
          <w:marRight w:val="0"/>
          <w:marTop w:val="0"/>
          <w:marBottom w:val="0"/>
          <w:divBdr>
            <w:top w:val="none" w:sz="0" w:space="0" w:color="auto"/>
            <w:left w:val="none" w:sz="0" w:space="0" w:color="auto"/>
            <w:bottom w:val="none" w:sz="0" w:space="0" w:color="auto"/>
            <w:right w:val="none" w:sz="0" w:space="0" w:color="auto"/>
          </w:divBdr>
          <w:divsChild>
            <w:div w:id="1446801820">
              <w:marLeft w:val="0"/>
              <w:marRight w:val="0"/>
              <w:marTop w:val="0"/>
              <w:marBottom w:val="0"/>
              <w:divBdr>
                <w:top w:val="none" w:sz="0" w:space="0" w:color="auto"/>
                <w:left w:val="none" w:sz="0" w:space="0" w:color="auto"/>
                <w:bottom w:val="none" w:sz="0" w:space="0" w:color="auto"/>
                <w:right w:val="none" w:sz="0" w:space="0" w:color="auto"/>
              </w:divBdr>
              <w:divsChild>
                <w:div w:id="716976530">
                  <w:marLeft w:val="0"/>
                  <w:marRight w:val="0"/>
                  <w:marTop w:val="0"/>
                  <w:marBottom w:val="0"/>
                  <w:divBdr>
                    <w:top w:val="none" w:sz="0" w:space="0" w:color="auto"/>
                    <w:left w:val="none" w:sz="0" w:space="0" w:color="auto"/>
                    <w:bottom w:val="none" w:sz="0" w:space="0" w:color="auto"/>
                    <w:right w:val="none" w:sz="0" w:space="0" w:color="auto"/>
                  </w:divBdr>
                  <w:divsChild>
                    <w:div w:id="247425266">
                      <w:marLeft w:val="0"/>
                      <w:marRight w:val="0"/>
                      <w:marTop w:val="0"/>
                      <w:marBottom w:val="0"/>
                      <w:divBdr>
                        <w:top w:val="none" w:sz="0" w:space="0" w:color="auto"/>
                        <w:left w:val="none" w:sz="0" w:space="0" w:color="auto"/>
                        <w:bottom w:val="none" w:sz="0" w:space="0" w:color="auto"/>
                        <w:right w:val="none" w:sz="0" w:space="0" w:color="auto"/>
                      </w:divBdr>
                      <w:divsChild>
                        <w:div w:id="197278634">
                          <w:marLeft w:val="0"/>
                          <w:marRight w:val="0"/>
                          <w:marTop w:val="0"/>
                          <w:marBottom w:val="0"/>
                          <w:divBdr>
                            <w:top w:val="none" w:sz="0" w:space="0" w:color="auto"/>
                            <w:left w:val="none" w:sz="0" w:space="0" w:color="auto"/>
                            <w:bottom w:val="none" w:sz="0" w:space="0" w:color="auto"/>
                            <w:right w:val="none" w:sz="0" w:space="0" w:color="auto"/>
                          </w:divBdr>
                          <w:divsChild>
                            <w:div w:id="589776788">
                              <w:marLeft w:val="0"/>
                              <w:marRight w:val="0"/>
                              <w:marTop w:val="0"/>
                              <w:marBottom w:val="0"/>
                              <w:divBdr>
                                <w:top w:val="none" w:sz="0" w:space="0" w:color="auto"/>
                                <w:left w:val="none" w:sz="0" w:space="0" w:color="auto"/>
                                <w:bottom w:val="none" w:sz="0" w:space="0" w:color="auto"/>
                                <w:right w:val="none" w:sz="0" w:space="0" w:color="auto"/>
                              </w:divBdr>
                              <w:divsChild>
                                <w:div w:id="267009212">
                                  <w:marLeft w:val="0"/>
                                  <w:marRight w:val="0"/>
                                  <w:marTop w:val="0"/>
                                  <w:marBottom w:val="0"/>
                                  <w:divBdr>
                                    <w:top w:val="none" w:sz="0" w:space="0" w:color="auto"/>
                                    <w:left w:val="none" w:sz="0" w:space="0" w:color="auto"/>
                                    <w:bottom w:val="none" w:sz="0" w:space="0" w:color="auto"/>
                                    <w:right w:val="none" w:sz="0" w:space="0" w:color="auto"/>
                                  </w:divBdr>
                                  <w:divsChild>
                                    <w:div w:id="178326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8617479">
      <w:bodyDiv w:val="1"/>
      <w:marLeft w:val="0"/>
      <w:marRight w:val="0"/>
      <w:marTop w:val="0"/>
      <w:marBottom w:val="0"/>
      <w:divBdr>
        <w:top w:val="none" w:sz="0" w:space="0" w:color="auto"/>
        <w:left w:val="none" w:sz="0" w:space="0" w:color="auto"/>
        <w:bottom w:val="none" w:sz="0" w:space="0" w:color="auto"/>
        <w:right w:val="none" w:sz="0" w:space="0" w:color="auto"/>
      </w:divBdr>
      <w:divsChild>
        <w:div w:id="665671459">
          <w:marLeft w:val="0"/>
          <w:marRight w:val="0"/>
          <w:marTop w:val="0"/>
          <w:marBottom w:val="0"/>
          <w:divBdr>
            <w:top w:val="none" w:sz="0" w:space="0" w:color="auto"/>
            <w:left w:val="none" w:sz="0" w:space="0" w:color="auto"/>
            <w:bottom w:val="none" w:sz="0" w:space="0" w:color="auto"/>
            <w:right w:val="none" w:sz="0" w:space="0" w:color="auto"/>
          </w:divBdr>
          <w:divsChild>
            <w:div w:id="935675106">
              <w:marLeft w:val="0"/>
              <w:marRight w:val="0"/>
              <w:marTop w:val="0"/>
              <w:marBottom w:val="0"/>
              <w:divBdr>
                <w:top w:val="none" w:sz="0" w:space="0" w:color="auto"/>
                <w:left w:val="none" w:sz="0" w:space="0" w:color="auto"/>
                <w:bottom w:val="none" w:sz="0" w:space="0" w:color="auto"/>
                <w:right w:val="none" w:sz="0" w:space="0" w:color="auto"/>
              </w:divBdr>
              <w:divsChild>
                <w:div w:id="160198468">
                  <w:marLeft w:val="0"/>
                  <w:marRight w:val="0"/>
                  <w:marTop w:val="0"/>
                  <w:marBottom w:val="0"/>
                  <w:divBdr>
                    <w:top w:val="none" w:sz="0" w:space="0" w:color="auto"/>
                    <w:left w:val="none" w:sz="0" w:space="0" w:color="auto"/>
                    <w:bottom w:val="none" w:sz="0" w:space="0" w:color="auto"/>
                    <w:right w:val="none" w:sz="0" w:space="0" w:color="auto"/>
                  </w:divBdr>
                  <w:divsChild>
                    <w:div w:id="1274897418">
                      <w:marLeft w:val="0"/>
                      <w:marRight w:val="0"/>
                      <w:marTop w:val="0"/>
                      <w:marBottom w:val="0"/>
                      <w:divBdr>
                        <w:top w:val="none" w:sz="0" w:space="0" w:color="auto"/>
                        <w:left w:val="none" w:sz="0" w:space="0" w:color="auto"/>
                        <w:bottom w:val="none" w:sz="0" w:space="0" w:color="auto"/>
                        <w:right w:val="none" w:sz="0" w:space="0" w:color="auto"/>
                      </w:divBdr>
                      <w:divsChild>
                        <w:div w:id="1522890612">
                          <w:marLeft w:val="0"/>
                          <w:marRight w:val="0"/>
                          <w:marTop w:val="0"/>
                          <w:marBottom w:val="0"/>
                          <w:divBdr>
                            <w:top w:val="none" w:sz="0" w:space="0" w:color="auto"/>
                            <w:left w:val="none" w:sz="0" w:space="0" w:color="auto"/>
                            <w:bottom w:val="none" w:sz="0" w:space="0" w:color="auto"/>
                            <w:right w:val="none" w:sz="0" w:space="0" w:color="auto"/>
                          </w:divBdr>
                          <w:divsChild>
                            <w:div w:id="1007095788">
                              <w:marLeft w:val="0"/>
                              <w:marRight w:val="0"/>
                              <w:marTop w:val="0"/>
                              <w:marBottom w:val="0"/>
                              <w:divBdr>
                                <w:top w:val="none" w:sz="0" w:space="0" w:color="auto"/>
                                <w:left w:val="none" w:sz="0" w:space="0" w:color="auto"/>
                                <w:bottom w:val="none" w:sz="0" w:space="0" w:color="auto"/>
                                <w:right w:val="none" w:sz="0" w:space="0" w:color="auto"/>
                              </w:divBdr>
                              <w:divsChild>
                                <w:div w:id="576745468">
                                  <w:marLeft w:val="0"/>
                                  <w:marRight w:val="0"/>
                                  <w:marTop w:val="0"/>
                                  <w:marBottom w:val="0"/>
                                  <w:divBdr>
                                    <w:top w:val="none" w:sz="0" w:space="0" w:color="auto"/>
                                    <w:left w:val="none" w:sz="0" w:space="0" w:color="auto"/>
                                    <w:bottom w:val="none" w:sz="0" w:space="0" w:color="auto"/>
                                    <w:right w:val="none" w:sz="0" w:space="0" w:color="auto"/>
                                  </w:divBdr>
                                  <w:divsChild>
                                    <w:div w:id="73940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8689593">
      <w:bodyDiv w:val="1"/>
      <w:marLeft w:val="0"/>
      <w:marRight w:val="0"/>
      <w:marTop w:val="0"/>
      <w:marBottom w:val="0"/>
      <w:divBdr>
        <w:top w:val="none" w:sz="0" w:space="0" w:color="auto"/>
        <w:left w:val="none" w:sz="0" w:space="0" w:color="auto"/>
        <w:bottom w:val="none" w:sz="0" w:space="0" w:color="auto"/>
        <w:right w:val="none" w:sz="0" w:space="0" w:color="auto"/>
      </w:divBdr>
      <w:divsChild>
        <w:div w:id="615796518">
          <w:marLeft w:val="0"/>
          <w:marRight w:val="0"/>
          <w:marTop w:val="0"/>
          <w:marBottom w:val="0"/>
          <w:divBdr>
            <w:top w:val="none" w:sz="0" w:space="0" w:color="auto"/>
            <w:left w:val="none" w:sz="0" w:space="0" w:color="auto"/>
            <w:bottom w:val="none" w:sz="0" w:space="0" w:color="auto"/>
            <w:right w:val="none" w:sz="0" w:space="0" w:color="auto"/>
          </w:divBdr>
          <w:divsChild>
            <w:div w:id="1467701285">
              <w:marLeft w:val="0"/>
              <w:marRight w:val="0"/>
              <w:marTop w:val="0"/>
              <w:marBottom w:val="0"/>
              <w:divBdr>
                <w:top w:val="none" w:sz="0" w:space="0" w:color="auto"/>
                <w:left w:val="none" w:sz="0" w:space="0" w:color="auto"/>
                <w:bottom w:val="none" w:sz="0" w:space="0" w:color="auto"/>
                <w:right w:val="none" w:sz="0" w:space="0" w:color="auto"/>
              </w:divBdr>
              <w:divsChild>
                <w:div w:id="1849325041">
                  <w:marLeft w:val="0"/>
                  <w:marRight w:val="0"/>
                  <w:marTop w:val="0"/>
                  <w:marBottom w:val="0"/>
                  <w:divBdr>
                    <w:top w:val="none" w:sz="0" w:space="0" w:color="auto"/>
                    <w:left w:val="none" w:sz="0" w:space="0" w:color="auto"/>
                    <w:bottom w:val="none" w:sz="0" w:space="0" w:color="auto"/>
                    <w:right w:val="none" w:sz="0" w:space="0" w:color="auto"/>
                  </w:divBdr>
                  <w:divsChild>
                    <w:div w:id="268126479">
                      <w:marLeft w:val="0"/>
                      <w:marRight w:val="0"/>
                      <w:marTop w:val="0"/>
                      <w:marBottom w:val="0"/>
                      <w:divBdr>
                        <w:top w:val="none" w:sz="0" w:space="0" w:color="auto"/>
                        <w:left w:val="none" w:sz="0" w:space="0" w:color="auto"/>
                        <w:bottom w:val="none" w:sz="0" w:space="0" w:color="auto"/>
                        <w:right w:val="none" w:sz="0" w:space="0" w:color="auto"/>
                      </w:divBdr>
                      <w:divsChild>
                        <w:div w:id="1498570098">
                          <w:marLeft w:val="0"/>
                          <w:marRight w:val="0"/>
                          <w:marTop w:val="0"/>
                          <w:marBottom w:val="0"/>
                          <w:divBdr>
                            <w:top w:val="none" w:sz="0" w:space="0" w:color="auto"/>
                            <w:left w:val="none" w:sz="0" w:space="0" w:color="auto"/>
                            <w:bottom w:val="none" w:sz="0" w:space="0" w:color="auto"/>
                            <w:right w:val="none" w:sz="0" w:space="0" w:color="auto"/>
                          </w:divBdr>
                          <w:divsChild>
                            <w:div w:id="2138059548">
                              <w:marLeft w:val="0"/>
                              <w:marRight w:val="0"/>
                              <w:marTop w:val="0"/>
                              <w:marBottom w:val="0"/>
                              <w:divBdr>
                                <w:top w:val="none" w:sz="0" w:space="0" w:color="auto"/>
                                <w:left w:val="none" w:sz="0" w:space="0" w:color="auto"/>
                                <w:bottom w:val="none" w:sz="0" w:space="0" w:color="auto"/>
                                <w:right w:val="none" w:sz="0" w:space="0" w:color="auto"/>
                              </w:divBdr>
                              <w:divsChild>
                                <w:div w:id="132562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996069">
      <w:bodyDiv w:val="1"/>
      <w:marLeft w:val="0"/>
      <w:marRight w:val="0"/>
      <w:marTop w:val="0"/>
      <w:marBottom w:val="0"/>
      <w:divBdr>
        <w:top w:val="none" w:sz="0" w:space="0" w:color="auto"/>
        <w:left w:val="none" w:sz="0" w:space="0" w:color="auto"/>
        <w:bottom w:val="none" w:sz="0" w:space="0" w:color="auto"/>
        <w:right w:val="none" w:sz="0" w:space="0" w:color="auto"/>
      </w:divBdr>
      <w:divsChild>
        <w:div w:id="139664252">
          <w:marLeft w:val="0"/>
          <w:marRight w:val="0"/>
          <w:marTop w:val="0"/>
          <w:marBottom w:val="0"/>
          <w:divBdr>
            <w:top w:val="none" w:sz="0" w:space="0" w:color="auto"/>
            <w:left w:val="none" w:sz="0" w:space="0" w:color="auto"/>
            <w:bottom w:val="none" w:sz="0" w:space="0" w:color="auto"/>
            <w:right w:val="none" w:sz="0" w:space="0" w:color="auto"/>
          </w:divBdr>
          <w:divsChild>
            <w:div w:id="364332567">
              <w:marLeft w:val="0"/>
              <w:marRight w:val="0"/>
              <w:marTop w:val="225"/>
              <w:marBottom w:val="225"/>
              <w:divBdr>
                <w:top w:val="none" w:sz="0" w:space="0" w:color="auto"/>
                <w:left w:val="none" w:sz="0" w:space="0" w:color="auto"/>
                <w:bottom w:val="none" w:sz="0" w:space="0" w:color="auto"/>
                <w:right w:val="none" w:sz="0" w:space="0" w:color="auto"/>
              </w:divBdr>
            </w:div>
          </w:divsChild>
        </w:div>
        <w:div w:id="927155560">
          <w:marLeft w:val="0"/>
          <w:marRight w:val="0"/>
          <w:marTop w:val="0"/>
          <w:marBottom w:val="150"/>
          <w:divBdr>
            <w:top w:val="none" w:sz="0" w:space="0" w:color="auto"/>
            <w:left w:val="none" w:sz="0" w:space="0" w:color="auto"/>
            <w:bottom w:val="none" w:sz="0" w:space="0" w:color="auto"/>
            <w:right w:val="none" w:sz="0" w:space="0" w:color="auto"/>
          </w:divBdr>
          <w:divsChild>
            <w:div w:id="822937829">
              <w:marLeft w:val="0"/>
              <w:marRight w:val="0"/>
              <w:marTop w:val="0"/>
              <w:marBottom w:val="0"/>
              <w:divBdr>
                <w:top w:val="none" w:sz="0" w:space="0" w:color="auto"/>
                <w:left w:val="none" w:sz="0" w:space="0" w:color="auto"/>
                <w:bottom w:val="none" w:sz="0" w:space="0" w:color="auto"/>
                <w:right w:val="none" w:sz="0" w:space="0" w:color="auto"/>
              </w:divBdr>
              <w:divsChild>
                <w:div w:id="80434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11853">
          <w:marLeft w:val="0"/>
          <w:marRight w:val="0"/>
          <w:marTop w:val="0"/>
          <w:marBottom w:val="150"/>
          <w:divBdr>
            <w:top w:val="none" w:sz="0" w:space="0" w:color="auto"/>
            <w:left w:val="none" w:sz="0" w:space="0" w:color="auto"/>
            <w:bottom w:val="none" w:sz="0" w:space="0" w:color="auto"/>
            <w:right w:val="none" w:sz="0" w:space="0" w:color="auto"/>
          </w:divBdr>
        </w:div>
      </w:divsChild>
    </w:div>
    <w:div w:id="1929000146">
      <w:bodyDiv w:val="1"/>
      <w:marLeft w:val="0"/>
      <w:marRight w:val="0"/>
      <w:marTop w:val="0"/>
      <w:marBottom w:val="0"/>
      <w:divBdr>
        <w:top w:val="none" w:sz="0" w:space="0" w:color="auto"/>
        <w:left w:val="none" w:sz="0" w:space="0" w:color="auto"/>
        <w:bottom w:val="none" w:sz="0" w:space="0" w:color="auto"/>
        <w:right w:val="none" w:sz="0" w:space="0" w:color="auto"/>
      </w:divBdr>
      <w:divsChild>
        <w:div w:id="2044406487">
          <w:marLeft w:val="0"/>
          <w:marRight w:val="0"/>
          <w:marTop w:val="0"/>
          <w:marBottom w:val="150"/>
          <w:divBdr>
            <w:top w:val="none" w:sz="0" w:space="0" w:color="auto"/>
            <w:left w:val="none" w:sz="0" w:space="0" w:color="auto"/>
            <w:bottom w:val="none" w:sz="0" w:space="0" w:color="auto"/>
            <w:right w:val="none" w:sz="0" w:space="0" w:color="auto"/>
          </w:divBdr>
          <w:divsChild>
            <w:div w:id="198595519">
              <w:marLeft w:val="0"/>
              <w:marRight w:val="0"/>
              <w:marTop w:val="0"/>
              <w:marBottom w:val="0"/>
              <w:divBdr>
                <w:top w:val="none" w:sz="0" w:space="0" w:color="auto"/>
                <w:left w:val="none" w:sz="0" w:space="0" w:color="auto"/>
                <w:bottom w:val="none" w:sz="0" w:space="0" w:color="auto"/>
                <w:right w:val="none" w:sz="0" w:space="0" w:color="auto"/>
              </w:divBdr>
              <w:divsChild>
                <w:div w:id="158695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093145">
          <w:marLeft w:val="0"/>
          <w:marRight w:val="0"/>
          <w:marTop w:val="0"/>
          <w:marBottom w:val="150"/>
          <w:divBdr>
            <w:top w:val="none" w:sz="0" w:space="0" w:color="auto"/>
            <w:left w:val="none" w:sz="0" w:space="0" w:color="auto"/>
            <w:bottom w:val="none" w:sz="0" w:space="0" w:color="auto"/>
            <w:right w:val="none" w:sz="0" w:space="0" w:color="auto"/>
          </w:divBdr>
        </w:div>
        <w:div w:id="496845318">
          <w:marLeft w:val="0"/>
          <w:marRight w:val="0"/>
          <w:marTop w:val="0"/>
          <w:marBottom w:val="0"/>
          <w:divBdr>
            <w:top w:val="none" w:sz="0" w:space="0" w:color="auto"/>
            <w:left w:val="none" w:sz="0" w:space="0" w:color="auto"/>
            <w:bottom w:val="none" w:sz="0" w:space="0" w:color="auto"/>
            <w:right w:val="none" w:sz="0" w:space="0" w:color="auto"/>
          </w:divBdr>
          <w:divsChild>
            <w:div w:id="9688189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29773402">
      <w:bodyDiv w:val="1"/>
      <w:marLeft w:val="0"/>
      <w:marRight w:val="0"/>
      <w:marTop w:val="0"/>
      <w:marBottom w:val="0"/>
      <w:divBdr>
        <w:top w:val="none" w:sz="0" w:space="0" w:color="auto"/>
        <w:left w:val="none" w:sz="0" w:space="0" w:color="auto"/>
        <w:bottom w:val="none" w:sz="0" w:space="0" w:color="auto"/>
        <w:right w:val="none" w:sz="0" w:space="0" w:color="auto"/>
      </w:divBdr>
      <w:divsChild>
        <w:div w:id="1290430741">
          <w:marLeft w:val="0"/>
          <w:marRight w:val="0"/>
          <w:marTop w:val="0"/>
          <w:marBottom w:val="150"/>
          <w:divBdr>
            <w:top w:val="none" w:sz="0" w:space="0" w:color="auto"/>
            <w:left w:val="none" w:sz="0" w:space="0" w:color="auto"/>
            <w:bottom w:val="none" w:sz="0" w:space="0" w:color="auto"/>
            <w:right w:val="none" w:sz="0" w:space="0" w:color="auto"/>
          </w:divBdr>
          <w:divsChild>
            <w:div w:id="59716006">
              <w:marLeft w:val="0"/>
              <w:marRight w:val="0"/>
              <w:marTop w:val="0"/>
              <w:marBottom w:val="0"/>
              <w:divBdr>
                <w:top w:val="none" w:sz="0" w:space="0" w:color="auto"/>
                <w:left w:val="none" w:sz="0" w:space="0" w:color="auto"/>
                <w:bottom w:val="none" w:sz="0" w:space="0" w:color="auto"/>
                <w:right w:val="none" w:sz="0" w:space="0" w:color="auto"/>
              </w:divBdr>
            </w:div>
          </w:divsChild>
        </w:div>
        <w:div w:id="1715885891">
          <w:marLeft w:val="0"/>
          <w:marRight w:val="0"/>
          <w:marTop w:val="0"/>
          <w:marBottom w:val="150"/>
          <w:divBdr>
            <w:top w:val="none" w:sz="0" w:space="0" w:color="auto"/>
            <w:left w:val="none" w:sz="0" w:space="0" w:color="auto"/>
            <w:bottom w:val="none" w:sz="0" w:space="0" w:color="auto"/>
            <w:right w:val="none" w:sz="0" w:space="0" w:color="auto"/>
          </w:divBdr>
        </w:div>
        <w:div w:id="2126187907">
          <w:marLeft w:val="0"/>
          <w:marRight w:val="0"/>
          <w:marTop w:val="0"/>
          <w:marBottom w:val="0"/>
          <w:divBdr>
            <w:top w:val="none" w:sz="0" w:space="0" w:color="auto"/>
            <w:left w:val="none" w:sz="0" w:space="0" w:color="auto"/>
            <w:bottom w:val="none" w:sz="0" w:space="0" w:color="auto"/>
            <w:right w:val="none" w:sz="0" w:space="0" w:color="auto"/>
          </w:divBdr>
          <w:divsChild>
            <w:div w:id="106522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112711">
      <w:bodyDiv w:val="1"/>
      <w:marLeft w:val="0"/>
      <w:marRight w:val="0"/>
      <w:marTop w:val="0"/>
      <w:marBottom w:val="0"/>
      <w:divBdr>
        <w:top w:val="none" w:sz="0" w:space="0" w:color="auto"/>
        <w:left w:val="none" w:sz="0" w:space="0" w:color="auto"/>
        <w:bottom w:val="none" w:sz="0" w:space="0" w:color="auto"/>
        <w:right w:val="none" w:sz="0" w:space="0" w:color="auto"/>
      </w:divBdr>
      <w:divsChild>
        <w:div w:id="786004350">
          <w:marLeft w:val="0"/>
          <w:marRight w:val="0"/>
          <w:marTop w:val="0"/>
          <w:marBottom w:val="0"/>
          <w:divBdr>
            <w:top w:val="none" w:sz="0" w:space="0" w:color="auto"/>
            <w:left w:val="none" w:sz="0" w:space="0" w:color="auto"/>
            <w:bottom w:val="none" w:sz="0" w:space="0" w:color="auto"/>
            <w:right w:val="none" w:sz="0" w:space="0" w:color="auto"/>
          </w:divBdr>
        </w:div>
        <w:div w:id="2022580646">
          <w:marLeft w:val="0"/>
          <w:marRight w:val="0"/>
          <w:marTop w:val="0"/>
          <w:marBottom w:val="150"/>
          <w:divBdr>
            <w:top w:val="none" w:sz="0" w:space="0" w:color="auto"/>
            <w:left w:val="none" w:sz="0" w:space="0" w:color="auto"/>
            <w:bottom w:val="none" w:sz="0" w:space="0" w:color="auto"/>
            <w:right w:val="none" w:sz="0" w:space="0" w:color="auto"/>
          </w:divBdr>
        </w:div>
      </w:divsChild>
    </w:div>
    <w:div w:id="1930499662">
      <w:bodyDiv w:val="1"/>
      <w:marLeft w:val="0"/>
      <w:marRight w:val="0"/>
      <w:marTop w:val="0"/>
      <w:marBottom w:val="0"/>
      <w:divBdr>
        <w:top w:val="none" w:sz="0" w:space="0" w:color="auto"/>
        <w:left w:val="none" w:sz="0" w:space="0" w:color="auto"/>
        <w:bottom w:val="none" w:sz="0" w:space="0" w:color="auto"/>
        <w:right w:val="none" w:sz="0" w:space="0" w:color="auto"/>
      </w:divBdr>
    </w:div>
    <w:div w:id="1930580792">
      <w:bodyDiv w:val="1"/>
      <w:marLeft w:val="0"/>
      <w:marRight w:val="0"/>
      <w:marTop w:val="0"/>
      <w:marBottom w:val="0"/>
      <w:divBdr>
        <w:top w:val="none" w:sz="0" w:space="0" w:color="auto"/>
        <w:left w:val="none" w:sz="0" w:space="0" w:color="auto"/>
        <w:bottom w:val="none" w:sz="0" w:space="0" w:color="auto"/>
        <w:right w:val="none" w:sz="0" w:space="0" w:color="auto"/>
      </w:divBdr>
      <w:divsChild>
        <w:div w:id="1846820918">
          <w:marLeft w:val="0"/>
          <w:marRight w:val="0"/>
          <w:marTop w:val="0"/>
          <w:marBottom w:val="450"/>
          <w:divBdr>
            <w:top w:val="none" w:sz="0" w:space="0" w:color="auto"/>
            <w:left w:val="none" w:sz="0" w:space="0" w:color="auto"/>
            <w:bottom w:val="single" w:sz="6" w:space="19" w:color="EEEEEE"/>
            <w:right w:val="none" w:sz="0" w:space="0" w:color="auto"/>
          </w:divBdr>
          <w:divsChild>
            <w:div w:id="1723094712">
              <w:marLeft w:val="0"/>
              <w:marRight w:val="0"/>
              <w:marTop w:val="0"/>
              <w:marBottom w:val="150"/>
              <w:divBdr>
                <w:top w:val="none" w:sz="0" w:space="0" w:color="auto"/>
                <w:left w:val="none" w:sz="0" w:space="0" w:color="auto"/>
                <w:bottom w:val="none" w:sz="0" w:space="0" w:color="auto"/>
                <w:right w:val="none" w:sz="0" w:space="0" w:color="auto"/>
              </w:divBdr>
              <w:divsChild>
                <w:div w:id="1241987963">
                  <w:marLeft w:val="0"/>
                  <w:marRight w:val="0"/>
                  <w:marTop w:val="0"/>
                  <w:marBottom w:val="0"/>
                  <w:divBdr>
                    <w:top w:val="none" w:sz="0" w:space="0" w:color="auto"/>
                    <w:left w:val="none" w:sz="0" w:space="0" w:color="auto"/>
                    <w:bottom w:val="none" w:sz="0" w:space="0" w:color="auto"/>
                    <w:right w:val="none" w:sz="0" w:space="0" w:color="auto"/>
                  </w:divBdr>
                </w:div>
              </w:divsChild>
            </w:div>
            <w:div w:id="1942182334">
              <w:marLeft w:val="0"/>
              <w:marRight w:val="0"/>
              <w:marTop w:val="0"/>
              <w:marBottom w:val="0"/>
              <w:divBdr>
                <w:top w:val="none" w:sz="0" w:space="0" w:color="auto"/>
                <w:left w:val="none" w:sz="0" w:space="0" w:color="auto"/>
                <w:bottom w:val="none" w:sz="0" w:space="0" w:color="auto"/>
                <w:right w:val="none" w:sz="0" w:space="0" w:color="auto"/>
              </w:divBdr>
            </w:div>
          </w:divsChild>
        </w:div>
        <w:div w:id="1557667732">
          <w:marLeft w:val="0"/>
          <w:marRight w:val="0"/>
          <w:marTop w:val="0"/>
          <w:marBottom w:val="0"/>
          <w:divBdr>
            <w:top w:val="none" w:sz="0" w:space="0" w:color="auto"/>
            <w:left w:val="none" w:sz="0" w:space="0" w:color="auto"/>
            <w:bottom w:val="none" w:sz="0" w:space="0" w:color="auto"/>
            <w:right w:val="none" w:sz="0" w:space="0" w:color="auto"/>
          </w:divBdr>
          <w:divsChild>
            <w:div w:id="405877469">
              <w:marLeft w:val="0"/>
              <w:marRight w:val="0"/>
              <w:marTop w:val="0"/>
              <w:marBottom w:val="0"/>
              <w:divBdr>
                <w:top w:val="none" w:sz="0" w:space="0" w:color="auto"/>
                <w:left w:val="none" w:sz="0" w:space="0" w:color="auto"/>
                <w:bottom w:val="none" w:sz="0" w:space="0" w:color="auto"/>
                <w:right w:val="none" w:sz="0" w:space="0" w:color="auto"/>
              </w:divBdr>
              <w:divsChild>
                <w:div w:id="120601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657128">
      <w:bodyDiv w:val="1"/>
      <w:marLeft w:val="0"/>
      <w:marRight w:val="0"/>
      <w:marTop w:val="0"/>
      <w:marBottom w:val="0"/>
      <w:divBdr>
        <w:top w:val="none" w:sz="0" w:space="0" w:color="auto"/>
        <w:left w:val="none" w:sz="0" w:space="0" w:color="auto"/>
        <w:bottom w:val="none" w:sz="0" w:space="0" w:color="auto"/>
        <w:right w:val="none" w:sz="0" w:space="0" w:color="auto"/>
      </w:divBdr>
      <w:divsChild>
        <w:div w:id="1452440007">
          <w:marLeft w:val="0"/>
          <w:marRight w:val="0"/>
          <w:marTop w:val="0"/>
          <w:marBottom w:val="0"/>
          <w:divBdr>
            <w:top w:val="none" w:sz="0" w:space="0" w:color="auto"/>
            <w:left w:val="none" w:sz="0" w:space="0" w:color="auto"/>
            <w:bottom w:val="none" w:sz="0" w:space="0" w:color="auto"/>
            <w:right w:val="none" w:sz="0" w:space="0" w:color="auto"/>
          </w:divBdr>
        </w:div>
      </w:divsChild>
    </w:div>
    <w:div w:id="1931312124">
      <w:bodyDiv w:val="1"/>
      <w:marLeft w:val="0"/>
      <w:marRight w:val="0"/>
      <w:marTop w:val="0"/>
      <w:marBottom w:val="0"/>
      <w:divBdr>
        <w:top w:val="none" w:sz="0" w:space="0" w:color="auto"/>
        <w:left w:val="none" w:sz="0" w:space="0" w:color="auto"/>
        <w:bottom w:val="none" w:sz="0" w:space="0" w:color="auto"/>
        <w:right w:val="none" w:sz="0" w:space="0" w:color="auto"/>
      </w:divBdr>
    </w:div>
    <w:div w:id="1931815159">
      <w:bodyDiv w:val="1"/>
      <w:marLeft w:val="0"/>
      <w:marRight w:val="0"/>
      <w:marTop w:val="0"/>
      <w:marBottom w:val="0"/>
      <w:divBdr>
        <w:top w:val="none" w:sz="0" w:space="0" w:color="auto"/>
        <w:left w:val="none" w:sz="0" w:space="0" w:color="auto"/>
        <w:bottom w:val="none" w:sz="0" w:space="0" w:color="auto"/>
        <w:right w:val="none" w:sz="0" w:space="0" w:color="auto"/>
      </w:divBdr>
      <w:divsChild>
        <w:div w:id="2122331555">
          <w:marLeft w:val="0"/>
          <w:marRight w:val="0"/>
          <w:marTop w:val="0"/>
          <w:marBottom w:val="150"/>
          <w:divBdr>
            <w:top w:val="none" w:sz="0" w:space="0" w:color="auto"/>
            <w:left w:val="none" w:sz="0" w:space="0" w:color="auto"/>
            <w:bottom w:val="none" w:sz="0" w:space="0" w:color="auto"/>
            <w:right w:val="none" w:sz="0" w:space="0" w:color="auto"/>
          </w:divBdr>
          <w:divsChild>
            <w:div w:id="335309384">
              <w:marLeft w:val="0"/>
              <w:marRight w:val="0"/>
              <w:marTop w:val="0"/>
              <w:marBottom w:val="0"/>
              <w:divBdr>
                <w:top w:val="none" w:sz="0" w:space="0" w:color="auto"/>
                <w:left w:val="none" w:sz="0" w:space="0" w:color="auto"/>
                <w:bottom w:val="none" w:sz="0" w:space="0" w:color="auto"/>
                <w:right w:val="none" w:sz="0" w:space="0" w:color="auto"/>
              </w:divBdr>
              <w:divsChild>
                <w:div w:id="126218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143893">
          <w:marLeft w:val="0"/>
          <w:marRight w:val="0"/>
          <w:marTop w:val="0"/>
          <w:marBottom w:val="150"/>
          <w:divBdr>
            <w:top w:val="none" w:sz="0" w:space="0" w:color="auto"/>
            <w:left w:val="none" w:sz="0" w:space="0" w:color="auto"/>
            <w:bottom w:val="none" w:sz="0" w:space="0" w:color="auto"/>
            <w:right w:val="none" w:sz="0" w:space="0" w:color="auto"/>
          </w:divBdr>
        </w:div>
        <w:div w:id="123889981">
          <w:marLeft w:val="0"/>
          <w:marRight w:val="0"/>
          <w:marTop w:val="0"/>
          <w:marBottom w:val="0"/>
          <w:divBdr>
            <w:top w:val="none" w:sz="0" w:space="0" w:color="auto"/>
            <w:left w:val="none" w:sz="0" w:space="0" w:color="auto"/>
            <w:bottom w:val="none" w:sz="0" w:space="0" w:color="auto"/>
            <w:right w:val="none" w:sz="0" w:space="0" w:color="auto"/>
          </w:divBdr>
          <w:divsChild>
            <w:div w:id="11289348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2273369">
      <w:bodyDiv w:val="1"/>
      <w:marLeft w:val="0"/>
      <w:marRight w:val="0"/>
      <w:marTop w:val="0"/>
      <w:marBottom w:val="0"/>
      <w:divBdr>
        <w:top w:val="none" w:sz="0" w:space="0" w:color="auto"/>
        <w:left w:val="none" w:sz="0" w:space="0" w:color="auto"/>
        <w:bottom w:val="none" w:sz="0" w:space="0" w:color="auto"/>
        <w:right w:val="none" w:sz="0" w:space="0" w:color="auto"/>
      </w:divBdr>
      <w:divsChild>
        <w:div w:id="429591631">
          <w:marLeft w:val="0"/>
          <w:marRight w:val="0"/>
          <w:marTop w:val="0"/>
          <w:marBottom w:val="150"/>
          <w:divBdr>
            <w:top w:val="none" w:sz="0" w:space="0" w:color="auto"/>
            <w:left w:val="none" w:sz="0" w:space="0" w:color="auto"/>
            <w:bottom w:val="none" w:sz="0" w:space="0" w:color="auto"/>
            <w:right w:val="none" w:sz="0" w:space="0" w:color="auto"/>
          </w:divBdr>
          <w:divsChild>
            <w:div w:id="531724567">
              <w:marLeft w:val="0"/>
              <w:marRight w:val="0"/>
              <w:marTop w:val="0"/>
              <w:marBottom w:val="0"/>
              <w:divBdr>
                <w:top w:val="none" w:sz="0" w:space="0" w:color="auto"/>
                <w:left w:val="none" w:sz="0" w:space="0" w:color="auto"/>
                <w:bottom w:val="none" w:sz="0" w:space="0" w:color="auto"/>
                <w:right w:val="none" w:sz="0" w:space="0" w:color="auto"/>
              </w:divBdr>
              <w:divsChild>
                <w:div w:id="38746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137688">
          <w:marLeft w:val="0"/>
          <w:marRight w:val="0"/>
          <w:marTop w:val="0"/>
          <w:marBottom w:val="150"/>
          <w:divBdr>
            <w:top w:val="none" w:sz="0" w:space="0" w:color="auto"/>
            <w:left w:val="none" w:sz="0" w:space="0" w:color="auto"/>
            <w:bottom w:val="none" w:sz="0" w:space="0" w:color="auto"/>
            <w:right w:val="none" w:sz="0" w:space="0" w:color="auto"/>
          </w:divBdr>
        </w:div>
        <w:div w:id="192378744">
          <w:marLeft w:val="0"/>
          <w:marRight w:val="0"/>
          <w:marTop w:val="0"/>
          <w:marBottom w:val="0"/>
          <w:divBdr>
            <w:top w:val="none" w:sz="0" w:space="0" w:color="auto"/>
            <w:left w:val="none" w:sz="0" w:space="0" w:color="auto"/>
            <w:bottom w:val="none" w:sz="0" w:space="0" w:color="auto"/>
            <w:right w:val="none" w:sz="0" w:space="0" w:color="auto"/>
          </w:divBdr>
          <w:divsChild>
            <w:div w:id="7154683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3271098">
      <w:bodyDiv w:val="1"/>
      <w:marLeft w:val="0"/>
      <w:marRight w:val="0"/>
      <w:marTop w:val="0"/>
      <w:marBottom w:val="0"/>
      <w:divBdr>
        <w:top w:val="none" w:sz="0" w:space="0" w:color="auto"/>
        <w:left w:val="none" w:sz="0" w:space="0" w:color="auto"/>
        <w:bottom w:val="none" w:sz="0" w:space="0" w:color="auto"/>
        <w:right w:val="none" w:sz="0" w:space="0" w:color="auto"/>
      </w:divBdr>
      <w:divsChild>
        <w:div w:id="1733381849">
          <w:marLeft w:val="0"/>
          <w:marRight w:val="0"/>
          <w:marTop w:val="0"/>
          <w:marBottom w:val="0"/>
          <w:divBdr>
            <w:top w:val="none" w:sz="0" w:space="0" w:color="auto"/>
            <w:left w:val="none" w:sz="0" w:space="0" w:color="auto"/>
            <w:bottom w:val="none" w:sz="0" w:space="0" w:color="auto"/>
            <w:right w:val="none" w:sz="0" w:space="0" w:color="auto"/>
          </w:divBdr>
          <w:divsChild>
            <w:div w:id="1076782383">
              <w:marLeft w:val="0"/>
              <w:marRight w:val="0"/>
              <w:marTop w:val="0"/>
              <w:marBottom w:val="0"/>
              <w:divBdr>
                <w:top w:val="none" w:sz="0" w:space="0" w:color="auto"/>
                <w:left w:val="none" w:sz="0" w:space="0" w:color="auto"/>
                <w:bottom w:val="none" w:sz="0" w:space="0" w:color="auto"/>
                <w:right w:val="none" w:sz="0" w:space="0" w:color="auto"/>
              </w:divBdr>
              <w:divsChild>
                <w:div w:id="1368138596">
                  <w:marLeft w:val="0"/>
                  <w:marRight w:val="0"/>
                  <w:marTop w:val="0"/>
                  <w:marBottom w:val="0"/>
                  <w:divBdr>
                    <w:top w:val="none" w:sz="0" w:space="0" w:color="auto"/>
                    <w:left w:val="none" w:sz="0" w:space="0" w:color="auto"/>
                    <w:bottom w:val="none" w:sz="0" w:space="0" w:color="auto"/>
                    <w:right w:val="none" w:sz="0" w:space="0" w:color="auto"/>
                  </w:divBdr>
                  <w:divsChild>
                    <w:div w:id="185291393">
                      <w:marLeft w:val="0"/>
                      <w:marRight w:val="0"/>
                      <w:marTop w:val="0"/>
                      <w:marBottom w:val="0"/>
                      <w:divBdr>
                        <w:top w:val="none" w:sz="0" w:space="0" w:color="auto"/>
                        <w:left w:val="none" w:sz="0" w:space="0" w:color="auto"/>
                        <w:bottom w:val="none" w:sz="0" w:space="0" w:color="auto"/>
                        <w:right w:val="none" w:sz="0" w:space="0" w:color="auto"/>
                      </w:divBdr>
                      <w:divsChild>
                        <w:div w:id="652561827">
                          <w:marLeft w:val="0"/>
                          <w:marRight w:val="0"/>
                          <w:marTop w:val="0"/>
                          <w:marBottom w:val="0"/>
                          <w:divBdr>
                            <w:top w:val="none" w:sz="0" w:space="0" w:color="auto"/>
                            <w:left w:val="none" w:sz="0" w:space="0" w:color="auto"/>
                            <w:bottom w:val="none" w:sz="0" w:space="0" w:color="auto"/>
                            <w:right w:val="none" w:sz="0" w:space="0" w:color="auto"/>
                          </w:divBdr>
                          <w:divsChild>
                            <w:div w:id="1379277623">
                              <w:marLeft w:val="0"/>
                              <w:marRight w:val="0"/>
                              <w:marTop w:val="0"/>
                              <w:marBottom w:val="0"/>
                              <w:divBdr>
                                <w:top w:val="none" w:sz="0" w:space="0" w:color="auto"/>
                                <w:left w:val="none" w:sz="0" w:space="0" w:color="auto"/>
                                <w:bottom w:val="none" w:sz="0" w:space="0" w:color="auto"/>
                                <w:right w:val="none" w:sz="0" w:space="0" w:color="auto"/>
                              </w:divBdr>
                              <w:divsChild>
                                <w:div w:id="1970474818">
                                  <w:marLeft w:val="0"/>
                                  <w:marRight w:val="0"/>
                                  <w:marTop w:val="0"/>
                                  <w:marBottom w:val="0"/>
                                  <w:divBdr>
                                    <w:top w:val="none" w:sz="0" w:space="0" w:color="auto"/>
                                    <w:left w:val="none" w:sz="0" w:space="0" w:color="auto"/>
                                    <w:bottom w:val="none" w:sz="0" w:space="0" w:color="auto"/>
                                    <w:right w:val="none" w:sz="0" w:space="0" w:color="auto"/>
                                  </w:divBdr>
                                  <w:divsChild>
                                    <w:div w:id="200902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2061">
      <w:bodyDiv w:val="1"/>
      <w:marLeft w:val="0"/>
      <w:marRight w:val="0"/>
      <w:marTop w:val="0"/>
      <w:marBottom w:val="0"/>
      <w:divBdr>
        <w:top w:val="none" w:sz="0" w:space="0" w:color="auto"/>
        <w:left w:val="none" w:sz="0" w:space="0" w:color="auto"/>
        <w:bottom w:val="none" w:sz="0" w:space="0" w:color="auto"/>
        <w:right w:val="none" w:sz="0" w:space="0" w:color="auto"/>
      </w:divBdr>
      <w:divsChild>
        <w:div w:id="716123943">
          <w:marLeft w:val="0"/>
          <w:marRight w:val="0"/>
          <w:marTop w:val="0"/>
          <w:marBottom w:val="150"/>
          <w:divBdr>
            <w:top w:val="none" w:sz="0" w:space="0" w:color="auto"/>
            <w:left w:val="none" w:sz="0" w:space="0" w:color="auto"/>
            <w:bottom w:val="none" w:sz="0" w:space="0" w:color="auto"/>
            <w:right w:val="none" w:sz="0" w:space="0" w:color="auto"/>
          </w:divBdr>
        </w:div>
      </w:divsChild>
    </w:div>
    <w:div w:id="1934313824">
      <w:bodyDiv w:val="1"/>
      <w:marLeft w:val="0"/>
      <w:marRight w:val="0"/>
      <w:marTop w:val="0"/>
      <w:marBottom w:val="0"/>
      <w:divBdr>
        <w:top w:val="none" w:sz="0" w:space="0" w:color="auto"/>
        <w:left w:val="none" w:sz="0" w:space="0" w:color="auto"/>
        <w:bottom w:val="none" w:sz="0" w:space="0" w:color="auto"/>
        <w:right w:val="none" w:sz="0" w:space="0" w:color="auto"/>
      </w:divBdr>
      <w:divsChild>
        <w:div w:id="456721618">
          <w:marLeft w:val="0"/>
          <w:marRight w:val="0"/>
          <w:marTop w:val="0"/>
          <w:marBottom w:val="0"/>
          <w:divBdr>
            <w:top w:val="none" w:sz="0" w:space="0" w:color="auto"/>
            <w:left w:val="none" w:sz="0" w:space="0" w:color="auto"/>
            <w:bottom w:val="none" w:sz="0" w:space="0" w:color="auto"/>
            <w:right w:val="none" w:sz="0" w:space="0" w:color="auto"/>
          </w:divBdr>
          <w:divsChild>
            <w:div w:id="1688558919">
              <w:marLeft w:val="0"/>
              <w:marRight w:val="0"/>
              <w:marTop w:val="225"/>
              <w:marBottom w:val="225"/>
              <w:divBdr>
                <w:top w:val="none" w:sz="0" w:space="0" w:color="auto"/>
                <w:left w:val="none" w:sz="0" w:space="0" w:color="auto"/>
                <w:bottom w:val="none" w:sz="0" w:space="0" w:color="auto"/>
                <w:right w:val="none" w:sz="0" w:space="0" w:color="auto"/>
              </w:divBdr>
            </w:div>
          </w:divsChild>
        </w:div>
        <w:div w:id="615720808">
          <w:marLeft w:val="0"/>
          <w:marRight w:val="0"/>
          <w:marTop w:val="0"/>
          <w:marBottom w:val="150"/>
          <w:divBdr>
            <w:top w:val="none" w:sz="0" w:space="0" w:color="auto"/>
            <w:left w:val="none" w:sz="0" w:space="0" w:color="auto"/>
            <w:bottom w:val="none" w:sz="0" w:space="0" w:color="auto"/>
            <w:right w:val="none" w:sz="0" w:space="0" w:color="auto"/>
          </w:divBdr>
          <w:divsChild>
            <w:div w:id="2027245254">
              <w:marLeft w:val="0"/>
              <w:marRight w:val="0"/>
              <w:marTop w:val="0"/>
              <w:marBottom w:val="0"/>
              <w:divBdr>
                <w:top w:val="none" w:sz="0" w:space="0" w:color="auto"/>
                <w:left w:val="none" w:sz="0" w:space="0" w:color="auto"/>
                <w:bottom w:val="none" w:sz="0" w:space="0" w:color="auto"/>
                <w:right w:val="none" w:sz="0" w:space="0" w:color="auto"/>
              </w:divBdr>
              <w:divsChild>
                <w:div w:id="203550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864787">
          <w:marLeft w:val="0"/>
          <w:marRight w:val="0"/>
          <w:marTop w:val="0"/>
          <w:marBottom w:val="150"/>
          <w:divBdr>
            <w:top w:val="none" w:sz="0" w:space="0" w:color="auto"/>
            <w:left w:val="none" w:sz="0" w:space="0" w:color="auto"/>
            <w:bottom w:val="none" w:sz="0" w:space="0" w:color="auto"/>
            <w:right w:val="none" w:sz="0" w:space="0" w:color="auto"/>
          </w:divBdr>
        </w:div>
      </w:divsChild>
    </w:div>
    <w:div w:id="1934774208">
      <w:bodyDiv w:val="1"/>
      <w:marLeft w:val="0"/>
      <w:marRight w:val="0"/>
      <w:marTop w:val="0"/>
      <w:marBottom w:val="0"/>
      <w:divBdr>
        <w:top w:val="none" w:sz="0" w:space="0" w:color="auto"/>
        <w:left w:val="none" w:sz="0" w:space="0" w:color="auto"/>
        <w:bottom w:val="none" w:sz="0" w:space="0" w:color="auto"/>
        <w:right w:val="none" w:sz="0" w:space="0" w:color="auto"/>
      </w:divBdr>
      <w:divsChild>
        <w:div w:id="1693264431">
          <w:marLeft w:val="0"/>
          <w:marRight w:val="0"/>
          <w:marTop w:val="0"/>
          <w:marBottom w:val="0"/>
          <w:divBdr>
            <w:top w:val="none" w:sz="0" w:space="0" w:color="auto"/>
            <w:left w:val="none" w:sz="0" w:space="0" w:color="auto"/>
            <w:bottom w:val="dotted" w:sz="6" w:space="4" w:color="DDDDDD"/>
            <w:right w:val="none" w:sz="0" w:space="0" w:color="auto"/>
          </w:divBdr>
          <w:divsChild>
            <w:div w:id="190579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699271">
      <w:bodyDiv w:val="1"/>
      <w:marLeft w:val="0"/>
      <w:marRight w:val="0"/>
      <w:marTop w:val="0"/>
      <w:marBottom w:val="0"/>
      <w:divBdr>
        <w:top w:val="none" w:sz="0" w:space="0" w:color="auto"/>
        <w:left w:val="none" w:sz="0" w:space="0" w:color="auto"/>
        <w:bottom w:val="none" w:sz="0" w:space="0" w:color="auto"/>
        <w:right w:val="none" w:sz="0" w:space="0" w:color="auto"/>
      </w:divBdr>
      <w:divsChild>
        <w:div w:id="1689519921">
          <w:marLeft w:val="0"/>
          <w:marRight w:val="0"/>
          <w:marTop w:val="0"/>
          <w:marBottom w:val="0"/>
          <w:divBdr>
            <w:top w:val="none" w:sz="0" w:space="0" w:color="auto"/>
            <w:left w:val="none" w:sz="0" w:space="0" w:color="auto"/>
            <w:bottom w:val="none" w:sz="0" w:space="0" w:color="auto"/>
            <w:right w:val="none" w:sz="0" w:space="0" w:color="auto"/>
          </w:divBdr>
          <w:divsChild>
            <w:div w:id="2035843043">
              <w:marLeft w:val="0"/>
              <w:marRight w:val="0"/>
              <w:marTop w:val="0"/>
              <w:marBottom w:val="0"/>
              <w:divBdr>
                <w:top w:val="none" w:sz="0" w:space="0" w:color="auto"/>
                <w:left w:val="none" w:sz="0" w:space="0" w:color="auto"/>
                <w:bottom w:val="none" w:sz="0" w:space="0" w:color="auto"/>
                <w:right w:val="none" w:sz="0" w:space="0" w:color="auto"/>
              </w:divBdr>
              <w:divsChild>
                <w:div w:id="11306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831812">
          <w:marLeft w:val="0"/>
          <w:marRight w:val="0"/>
          <w:marTop w:val="0"/>
          <w:marBottom w:val="75"/>
          <w:divBdr>
            <w:top w:val="none" w:sz="0" w:space="0" w:color="auto"/>
            <w:left w:val="none" w:sz="0" w:space="0" w:color="auto"/>
            <w:bottom w:val="none" w:sz="0" w:space="0" w:color="auto"/>
            <w:right w:val="none" w:sz="0" w:space="0" w:color="auto"/>
          </w:divBdr>
        </w:div>
        <w:div w:id="1527525287">
          <w:marLeft w:val="0"/>
          <w:marRight w:val="0"/>
          <w:marTop w:val="0"/>
          <w:marBottom w:val="300"/>
          <w:divBdr>
            <w:top w:val="none" w:sz="0" w:space="0" w:color="auto"/>
            <w:left w:val="none" w:sz="0" w:space="0" w:color="auto"/>
            <w:bottom w:val="none" w:sz="0" w:space="0" w:color="auto"/>
            <w:right w:val="none" w:sz="0" w:space="0" w:color="auto"/>
          </w:divBdr>
          <w:divsChild>
            <w:div w:id="118191201">
              <w:marLeft w:val="0"/>
              <w:marRight w:val="0"/>
              <w:marTop w:val="0"/>
              <w:marBottom w:val="0"/>
              <w:divBdr>
                <w:top w:val="none" w:sz="0" w:space="0" w:color="auto"/>
                <w:left w:val="none" w:sz="0" w:space="0" w:color="auto"/>
                <w:bottom w:val="none" w:sz="0" w:space="0" w:color="auto"/>
                <w:right w:val="none" w:sz="0" w:space="0" w:color="auto"/>
              </w:divBdr>
            </w:div>
          </w:divsChild>
        </w:div>
        <w:div w:id="2055231093">
          <w:marLeft w:val="0"/>
          <w:marRight w:val="0"/>
          <w:marTop w:val="0"/>
          <w:marBottom w:val="0"/>
          <w:divBdr>
            <w:top w:val="none" w:sz="0" w:space="0" w:color="auto"/>
            <w:left w:val="none" w:sz="0" w:space="0" w:color="auto"/>
            <w:bottom w:val="none" w:sz="0" w:space="0" w:color="auto"/>
            <w:right w:val="none" w:sz="0" w:space="0" w:color="auto"/>
          </w:divBdr>
          <w:divsChild>
            <w:div w:id="1362779789">
              <w:marLeft w:val="0"/>
              <w:marRight w:val="0"/>
              <w:marTop w:val="0"/>
              <w:marBottom w:val="0"/>
              <w:divBdr>
                <w:top w:val="none" w:sz="0" w:space="0" w:color="auto"/>
                <w:left w:val="none" w:sz="0" w:space="0" w:color="auto"/>
                <w:bottom w:val="none" w:sz="0" w:space="0" w:color="auto"/>
                <w:right w:val="none" w:sz="0" w:space="0" w:color="auto"/>
              </w:divBdr>
              <w:divsChild>
                <w:div w:id="534461349">
                  <w:marLeft w:val="0"/>
                  <w:marRight w:val="0"/>
                  <w:marTop w:val="0"/>
                  <w:marBottom w:val="300"/>
                  <w:divBdr>
                    <w:top w:val="none" w:sz="0" w:space="0" w:color="auto"/>
                    <w:left w:val="none" w:sz="0" w:space="0" w:color="auto"/>
                    <w:bottom w:val="none" w:sz="0" w:space="0" w:color="auto"/>
                    <w:right w:val="none" w:sz="0" w:space="0" w:color="auto"/>
                  </w:divBdr>
                  <w:divsChild>
                    <w:div w:id="6001869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935823993">
      <w:bodyDiv w:val="1"/>
      <w:marLeft w:val="0"/>
      <w:marRight w:val="0"/>
      <w:marTop w:val="0"/>
      <w:marBottom w:val="0"/>
      <w:divBdr>
        <w:top w:val="none" w:sz="0" w:space="0" w:color="auto"/>
        <w:left w:val="none" w:sz="0" w:space="0" w:color="auto"/>
        <w:bottom w:val="none" w:sz="0" w:space="0" w:color="auto"/>
        <w:right w:val="none" w:sz="0" w:space="0" w:color="auto"/>
      </w:divBdr>
    </w:div>
    <w:div w:id="1936087495">
      <w:bodyDiv w:val="1"/>
      <w:marLeft w:val="0"/>
      <w:marRight w:val="0"/>
      <w:marTop w:val="0"/>
      <w:marBottom w:val="0"/>
      <w:divBdr>
        <w:top w:val="none" w:sz="0" w:space="0" w:color="auto"/>
        <w:left w:val="none" w:sz="0" w:space="0" w:color="auto"/>
        <w:bottom w:val="none" w:sz="0" w:space="0" w:color="auto"/>
        <w:right w:val="none" w:sz="0" w:space="0" w:color="auto"/>
      </w:divBdr>
      <w:divsChild>
        <w:div w:id="862942759">
          <w:marLeft w:val="0"/>
          <w:marRight w:val="0"/>
          <w:marTop w:val="0"/>
          <w:marBottom w:val="0"/>
          <w:divBdr>
            <w:top w:val="none" w:sz="0" w:space="0" w:color="auto"/>
            <w:left w:val="none" w:sz="0" w:space="0" w:color="auto"/>
            <w:bottom w:val="none" w:sz="0" w:space="0" w:color="auto"/>
            <w:right w:val="none" w:sz="0" w:space="0" w:color="auto"/>
          </w:divBdr>
          <w:divsChild>
            <w:div w:id="28770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31011">
      <w:bodyDiv w:val="1"/>
      <w:marLeft w:val="0"/>
      <w:marRight w:val="0"/>
      <w:marTop w:val="0"/>
      <w:marBottom w:val="0"/>
      <w:divBdr>
        <w:top w:val="none" w:sz="0" w:space="0" w:color="auto"/>
        <w:left w:val="none" w:sz="0" w:space="0" w:color="auto"/>
        <w:bottom w:val="none" w:sz="0" w:space="0" w:color="auto"/>
        <w:right w:val="none" w:sz="0" w:space="0" w:color="auto"/>
      </w:divBdr>
      <w:divsChild>
        <w:div w:id="1168983385">
          <w:marLeft w:val="0"/>
          <w:marRight w:val="0"/>
          <w:marTop w:val="0"/>
          <w:marBottom w:val="0"/>
          <w:divBdr>
            <w:top w:val="none" w:sz="0" w:space="0" w:color="auto"/>
            <w:left w:val="none" w:sz="0" w:space="0" w:color="auto"/>
            <w:bottom w:val="none" w:sz="0" w:space="0" w:color="auto"/>
            <w:right w:val="none" w:sz="0" w:space="0" w:color="auto"/>
          </w:divBdr>
          <w:divsChild>
            <w:div w:id="1397434709">
              <w:marLeft w:val="0"/>
              <w:marRight w:val="0"/>
              <w:marTop w:val="0"/>
              <w:marBottom w:val="0"/>
              <w:divBdr>
                <w:top w:val="none" w:sz="0" w:space="0" w:color="auto"/>
                <w:left w:val="none" w:sz="0" w:space="0" w:color="auto"/>
                <w:bottom w:val="none" w:sz="0" w:space="0" w:color="auto"/>
                <w:right w:val="none" w:sz="0" w:space="0" w:color="auto"/>
              </w:divBdr>
              <w:divsChild>
                <w:div w:id="104465894">
                  <w:marLeft w:val="0"/>
                  <w:marRight w:val="0"/>
                  <w:marTop w:val="0"/>
                  <w:marBottom w:val="0"/>
                  <w:divBdr>
                    <w:top w:val="none" w:sz="0" w:space="0" w:color="auto"/>
                    <w:left w:val="none" w:sz="0" w:space="0" w:color="auto"/>
                    <w:bottom w:val="none" w:sz="0" w:space="0" w:color="auto"/>
                    <w:right w:val="none" w:sz="0" w:space="0" w:color="auto"/>
                  </w:divBdr>
                  <w:divsChild>
                    <w:div w:id="692346980">
                      <w:marLeft w:val="0"/>
                      <w:marRight w:val="0"/>
                      <w:marTop w:val="0"/>
                      <w:marBottom w:val="0"/>
                      <w:divBdr>
                        <w:top w:val="none" w:sz="0" w:space="0" w:color="auto"/>
                        <w:left w:val="none" w:sz="0" w:space="0" w:color="auto"/>
                        <w:bottom w:val="none" w:sz="0" w:space="0" w:color="auto"/>
                        <w:right w:val="none" w:sz="0" w:space="0" w:color="auto"/>
                      </w:divBdr>
                      <w:divsChild>
                        <w:div w:id="2017220975">
                          <w:marLeft w:val="0"/>
                          <w:marRight w:val="0"/>
                          <w:marTop w:val="0"/>
                          <w:marBottom w:val="0"/>
                          <w:divBdr>
                            <w:top w:val="none" w:sz="0" w:space="0" w:color="auto"/>
                            <w:left w:val="none" w:sz="0" w:space="0" w:color="auto"/>
                            <w:bottom w:val="none" w:sz="0" w:space="0" w:color="auto"/>
                            <w:right w:val="none" w:sz="0" w:space="0" w:color="auto"/>
                          </w:divBdr>
                          <w:divsChild>
                            <w:div w:id="221722491">
                              <w:marLeft w:val="0"/>
                              <w:marRight w:val="0"/>
                              <w:marTop w:val="0"/>
                              <w:marBottom w:val="0"/>
                              <w:divBdr>
                                <w:top w:val="none" w:sz="0" w:space="0" w:color="auto"/>
                                <w:left w:val="none" w:sz="0" w:space="0" w:color="auto"/>
                                <w:bottom w:val="none" w:sz="0" w:space="0" w:color="auto"/>
                                <w:right w:val="none" w:sz="0" w:space="0" w:color="auto"/>
                              </w:divBdr>
                              <w:divsChild>
                                <w:div w:id="295452833">
                                  <w:marLeft w:val="0"/>
                                  <w:marRight w:val="0"/>
                                  <w:marTop w:val="0"/>
                                  <w:marBottom w:val="0"/>
                                  <w:divBdr>
                                    <w:top w:val="none" w:sz="0" w:space="0" w:color="auto"/>
                                    <w:left w:val="none" w:sz="0" w:space="0" w:color="auto"/>
                                    <w:bottom w:val="none" w:sz="0" w:space="0" w:color="auto"/>
                                    <w:right w:val="none" w:sz="0" w:space="0" w:color="auto"/>
                                  </w:divBdr>
                                  <w:divsChild>
                                    <w:div w:id="83087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6746166">
      <w:bodyDiv w:val="1"/>
      <w:marLeft w:val="0"/>
      <w:marRight w:val="0"/>
      <w:marTop w:val="0"/>
      <w:marBottom w:val="0"/>
      <w:divBdr>
        <w:top w:val="none" w:sz="0" w:space="0" w:color="auto"/>
        <w:left w:val="none" w:sz="0" w:space="0" w:color="auto"/>
        <w:bottom w:val="none" w:sz="0" w:space="0" w:color="auto"/>
        <w:right w:val="none" w:sz="0" w:space="0" w:color="auto"/>
      </w:divBdr>
    </w:div>
    <w:div w:id="1936859074">
      <w:bodyDiv w:val="1"/>
      <w:marLeft w:val="0"/>
      <w:marRight w:val="0"/>
      <w:marTop w:val="0"/>
      <w:marBottom w:val="0"/>
      <w:divBdr>
        <w:top w:val="none" w:sz="0" w:space="0" w:color="auto"/>
        <w:left w:val="none" w:sz="0" w:space="0" w:color="auto"/>
        <w:bottom w:val="none" w:sz="0" w:space="0" w:color="auto"/>
        <w:right w:val="none" w:sz="0" w:space="0" w:color="auto"/>
      </w:divBdr>
      <w:divsChild>
        <w:div w:id="602349593">
          <w:marLeft w:val="0"/>
          <w:marRight w:val="0"/>
          <w:marTop w:val="0"/>
          <w:marBottom w:val="150"/>
          <w:divBdr>
            <w:top w:val="none" w:sz="0" w:space="0" w:color="auto"/>
            <w:left w:val="none" w:sz="0" w:space="0" w:color="auto"/>
            <w:bottom w:val="none" w:sz="0" w:space="0" w:color="auto"/>
            <w:right w:val="none" w:sz="0" w:space="0" w:color="auto"/>
          </w:divBdr>
        </w:div>
      </w:divsChild>
    </w:div>
    <w:div w:id="1937059240">
      <w:bodyDiv w:val="1"/>
      <w:marLeft w:val="0"/>
      <w:marRight w:val="0"/>
      <w:marTop w:val="0"/>
      <w:marBottom w:val="0"/>
      <w:divBdr>
        <w:top w:val="none" w:sz="0" w:space="0" w:color="auto"/>
        <w:left w:val="none" w:sz="0" w:space="0" w:color="auto"/>
        <w:bottom w:val="none" w:sz="0" w:space="0" w:color="auto"/>
        <w:right w:val="none" w:sz="0" w:space="0" w:color="auto"/>
      </w:divBdr>
      <w:divsChild>
        <w:div w:id="1700353016">
          <w:marLeft w:val="0"/>
          <w:marRight w:val="0"/>
          <w:marTop w:val="0"/>
          <w:marBottom w:val="0"/>
          <w:divBdr>
            <w:top w:val="none" w:sz="0" w:space="0" w:color="auto"/>
            <w:left w:val="none" w:sz="0" w:space="0" w:color="auto"/>
            <w:bottom w:val="none" w:sz="0" w:space="0" w:color="auto"/>
            <w:right w:val="none" w:sz="0" w:space="0" w:color="auto"/>
          </w:divBdr>
          <w:divsChild>
            <w:div w:id="5209782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37202404">
      <w:bodyDiv w:val="1"/>
      <w:marLeft w:val="0"/>
      <w:marRight w:val="0"/>
      <w:marTop w:val="0"/>
      <w:marBottom w:val="0"/>
      <w:divBdr>
        <w:top w:val="none" w:sz="0" w:space="0" w:color="auto"/>
        <w:left w:val="none" w:sz="0" w:space="0" w:color="auto"/>
        <w:bottom w:val="none" w:sz="0" w:space="0" w:color="auto"/>
        <w:right w:val="none" w:sz="0" w:space="0" w:color="auto"/>
      </w:divBdr>
    </w:div>
    <w:div w:id="1937639050">
      <w:bodyDiv w:val="1"/>
      <w:marLeft w:val="0"/>
      <w:marRight w:val="0"/>
      <w:marTop w:val="0"/>
      <w:marBottom w:val="0"/>
      <w:divBdr>
        <w:top w:val="none" w:sz="0" w:space="0" w:color="auto"/>
        <w:left w:val="none" w:sz="0" w:space="0" w:color="auto"/>
        <w:bottom w:val="none" w:sz="0" w:space="0" w:color="auto"/>
        <w:right w:val="none" w:sz="0" w:space="0" w:color="auto"/>
      </w:divBdr>
      <w:divsChild>
        <w:div w:id="1193572293">
          <w:marLeft w:val="0"/>
          <w:marRight w:val="0"/>
          <w:marTop w:val="0"/>
          <w:marBottom w:val="150"/>
          <w:divBdr>
            <w:top w:val="none" w:sz="0" w:space="0" w:color="auto"/>
            <w:left w:val="none" w:sz="0" w:space="0" w:color="auto"/>
            <w:bottom w:val="none" w:sz="0" w:space="0" w:color="auto"/>
            <w:right w:val="none" w:sz="0" w:space="0" w:color="auto"/>
          </w:divBdr>
        </w:div>
      </w:divsChild>
    </w:div>
    <w:div w:id="1937790591">
      <w:bodyDiv w:val="1"/>
      <w:marLeft w:val="0"/>
      <w:marRight w:val="0"/>
      <w:marTop w:val="0"/>
      <w:marBottom w:val="0"/>
      <w:divBdr>
        <w:top w:val="none" w:sz="0" w:space="0" w:color="auto"/>
        <w:left w:val="none" w:sz="0" w:space="0" w:color="auto"/>
        <w:bottom w:val="none" w:sz="0" w:space="0" w:color="auto"/>
        <w:right w:val="none" w:sz="0" w:space="0" w:color="auto"/>
      </w:divBdr>
      <w:divsChild>
        <w:div w:id="184253285">
          <w:marLeft w:val="0"/>
          <w:marRight w:val="0"/>
          <w:marTop w:val="0"/>
          <w:marBottom w:val="150"/>
          <w:divBdr>
            <w:top w:val="none" w:sz="0" w:space="0" w:color="auto"/>
            <w:left w:val="none" w:sz="0" w:space="0" w:color="auto"/>
            <w:bottom w:val="none" w:sz="0" w:space="0" w:color="auto"/>
            <w:right w:val="none" w:sz="0" w:space="0" w:color="auto"/>
          </w:divBdr>
        </w:div>
        <w:div w:id="264534368">
          <w:marLeft w:val="0"/>
          <w:marRight w:val="0"/>
          <w:marTop w:val="0"/>
          <w:marBottom w:val="150"/>
          <w:divBdr>
            <w:top w:val="none" w:sz="0" w:space="0" w:color="auto"/>
            <w:left w:val="none" w:sz="0" w:space="0" w:color="auto"/>
            <w:bottom w:val="none" w:sz="0" w:space="0" w:color="auto"/>
            <w:right w:val="none" w:sz="0" w:space="0" w:color="auto"/>
          </w:divBdr>
        </w:div>
        <w:div w:id="491869545">
          <w:marLeft w:val="0"/>
          <w:marRight w:val="0"/>
          <w:marTop w:val="0"/>
          <w:marBottom w:val="150"/>
          <w:divBdr>
            <w:top w:val="none" w:sz="0" w:space="0" w:color="auto"/>
            <w:left w:val="none" w:sz="0" w:space="0" w:color="auto"/>
            <w:bottom w:val="none" w:sz="0" w:space="0" w:color="auto"/>
            <w:right w:val="none" w:sz="0" w:space="0" w:color="auto"/>
          </w:divBdr>
        </w:div>
        <w:div w:id="657881533">
          <w:marLeft w:val="0"/>
          <w:marRight w:val="0"/>
          <w:marTop w:val="0"/>
          <w:marBottom w:val="150"/>
          <w:divBdr>
            <w:top w:val="none" w:sz="0" w:space="0" w:color="auto"/>
            <w:left w:val="none" w:sz="0" w:space="0" w:color="auto"/>
            <w:bottom w:val="none" w:sz="0" w:space="0" w:color="auto"/>
            <w:right w:val="none" w:sz="0" w:space="0" w:color="auto"/>
          </w:divBdr>
        </w:div>
        <w:div w:id="959185573">
          <w:marLeft w:val="0"/>
          <w:marRight w:val="0"/>
          <w:marTop w:val="0"/>
          <w:marBottom w:val="150"/>
          <w:divBdr>
            <w:top w:val="none" w:sz="0" w:space="0" w:color="auto"/>
            <w:left w:val="none" w:sz="0" w:space="0" w:color="auto"/>
            <w:bottom w:val="none" w:sz="0" w:space="0" w:color="auto"/>
            <w:right w:val="none" w:sz="0" w:space="0" w:color="auto"/>
          </w:divBdr>
        </w:div>
        <w:div w:id="1469668738">
          <w:marLeft w:val="0"/>
          <w:marRight w:val="0"/>
          <w:marTop w:val="0"/>
          <w:marBottom w:val="150"/>
          <w:divBdr>
            <w:top w:val="none" w:sz="0" w:space="0" w:color="auto"/>
            <w:left w:val="none" w:sz="0" w:space="0" w:color="auto"/>
            <w:bottom w:val="none" w:sz="0" w:space="0" w:color="auto"/>
            <w:right w:val="none" w:sz="0" w:space="0" w:color="auto"/>
          </w:divBdr>
        </w:div>
        <w:div w:id="1553539825">
          <w:marLeft w:val="0"/>
          <w:marRight w:val="0"/>
          <w:marTop w:val="0"/>
          <w:marBottom w:val="150"/>
          <w:divBdr>
            <w:top w:val="none" w:sz="0" w:space="0" w:color="auto"/>
            <w:left w:val="none" w:sz="0" w:space="0" w:color="auto"/>
            <w:bottom w:val="none" w:sz="0" w:space="0" w:color="auto"/>
            <w:right w:val="none" w:sz="0" w:space="0" w:color="auto"/>
          </w:divBdr>
        </w:div>
        <w:div w:id="1555853676">
          <w:marLeft w:val="0"/>
          <w:marRight w:val="0"/>
          <w:marTop w:val="0"/>
          <w:marBottom w:val="150"/>
          <w:divBdr>
            <w:top w:val="none" w:sz="0" w:space="0" w:color="auto"/>
            <w:left w:val="none" w:sz="0" w:space="0" w:color="auto"/>
            <w:bottom w:val="none" w:sz="0" w:space="0" w:color="auto"/>
            <w:right w:val="none" w:sz="0" w:space="0" w:color="auto"/>
          </w:divBdr>
        </w:div>
        <w:div w:id="1674261425">
          <w:marLeft w:val="0"/>
          <w:marRight w:val="0"/>
          <w:marTop w:val="0"/>
          <w:marBottom w:val="150"/>
          <w:divBdr>
            <w:top w:val="none" w:sz="0" w:space="0" w:color="auto"/>
            <w:left w:val="none" w:sz="0" w:space="0" w:color="auto"/>
            <w:bottom w:val="none" w:sz="0" w:space="0" w:color="auto"/>
            <w:right w:val="none" w:sz="0" w:space="0" w:color="auto"/>
          </w:divBdr>
        </w:div>
        <w:div w:id="1714377711">
          <w:marLeft w:val="0"/>
          <w:marRight w:val="0"/>
          <w:marTop w:val="0"/>
          <w:marBottom w:val="150"/>
          <w:divBdr>
            <w:top w:val="none" w:sz="0" w:space="0" w:color="auto"/>
            <w:left w:val="none" w:sz="0" w:space="0" w:color="auto"/>
            <w:bottom w:val="none" w:sz="0" w:space="0" w:color="auto"/>
            <w:right w:val="none" w:sz="0" w:space="0" w:color="auto"/>
          </w:divBdr>
        </w:div>
        <w:div w:id="1812945962">
          <w:marLeft w:val="0"/>
          <w:marRight w:val="0"/>
          <w:marTop w:val="0"/>
          <w:marBottom w:val="150"/>
          <w:divBdr>
            <w:top w:val="none" w:sz="0" w:space="0" w:color="auto"/>
            <w:left w:val="none" w:sz="0" w:space="0" w:color="auto"/>
            <w:bottom w:val="none" w:sz="0" w:space="0" w:color="auto"/>
            <w:right w:val="none" w:sz="0" w:space="0" w:color="auto"/>
          </w:divBdr>
        </w:div>
        <w:div w:id="1943226332">
          <w:marLeft w:val="0"/>
          <w:marRight w:val="0"/>
          <w:marTop w:val="0"/>
          <w:marBottom w:val="150"/>
          <w:divBdr>
            <w:top w:val="none" w:sz="0" w:space="0" w:color="auto"/>
            <w:left w:val="none" w:sz="0" w:space="0" w:color="auto"/>
            <w:bottom w:val="none" w:sz="0" w:space="0" w:color="auto"/>
            <w:right w:val="none" w:sz="0" w:space="0" w:color="auto"/>
          </w:divBdr>
        </w:div>
        <w:div w:id="2061710522">
          <w:marLeft w:val="0"/>
          <w:marRight w:val="0"/>
          <w:marTop w:val="0"/>
          <w:marBottom w:val="150"/>
          <w:divBdr>
            <w:top w:val="none" w:sz="0" w:space="0" w:color="auto"/>
            <w:left w:val="none" w:sz="0" w:space="0" w:color="auto"/>
            <w:bottom w:val="none" w:sz="0" w:space="0" w:color="auto"/>
            <w:right w:val="none" w:sz="0" w:space="0" w:color="auto"/>
          </w:divBdr>
        </w:div>
      </w:divsChild>
    </w:div>
    <w:div w:id="1938512244">
      <w:bodyDiv w:val="1"/>
      <w:marLeft w:val="0"/>
      <w:marRight w:val="0"/>
      <w:marTop w:val="0"/>
      <w:marBottom w:val="0"/>
      <w:divBdr>
        <w:top w:val="none" w:sz="0" w:space="0" w:color="auto"/>
        <w:left w:val="none" w:sz="0" w:space="0" w:color="auto"/>
        <w:bottom w:val="none" w:sz="0" w:space="0" w:color="auto"/>
        <w:right w:val="none" w:sz="0" w:space="0" w:color="auto"/>
      </w:divBdr>
      <w:divsChild>
        <w:div w:id="1985743429">
          <w:marLeft w:val="0"/>
          <w:marRight w:val="0"/>
          <w:marTop w:val="0"/>
          <w:marBottom w:val="0"/>
          <w:divBdr>
            <w:top w:val="none" w:sz="0" w:space="0" w:color="auto"/>
            <w:left w:val="none" w:sz="0" w:space="0" w:color="auto"/>
            <w:bottom w:val="dotted" w:sz="6" w:space="4" w:color="DDDDDD"/>
            <w:right w:val="none" w:sz="0" w:space="0" w:color="auto"/>
          </w:divBdr>
        </w:div>
      </w:divsChild>
    </w:div>
    <w:div w:id="1938832029">
      <w:bodyDiv w:val="1"/>
      <w:marLeft w:val="0"/>
      <w:marRight w:val="0"/>
      <w:marTop w:val="0"/>
      <w:marBottom w:val="0"/>
      <w:divBdr>
        <w:top w:val="none" w:sz="0" w:space="0" w:color="auto"/>
        <w:left w:val="none" w:sz="0" w:space="0" w:color="auto"/>
        <w:bottom w:val="none" w:sz="0" w:space="0" w:color="auto"/>
        <w:right w:val="none" w:sz="0" w:space="0" w:color="auto"/>
      </w:divBdr>
      <w:divsChild>
        <w:div w:id="817258662">
          <w:marLeft w:val="0"/>
          <w:marRight w:val="0"/>
          <w:marTop w:val="0"/>
          <w:marBottom w:val="150"/>
          <w:divBdr>
            <w:top w:val="none" w:sz="0" w:space="0" w:color="auto"/>
            <w:left w:val="none" w:sz="0" w:space="0" w:color="auto"/>
            <w:bottom w:val="none" w:sz="0" w:space="0" w:color="auto"/>
            <w:right w:val="none" w:sz="0" w:space="0" w:color="auto"/>
          </w:divBdr>
        </w:div>
      </w:divsChild>
    </w:div>
    <w:div w:id="1938978478">
      <w:bodyDiv w:val="1"/>
      <w:marLeft w:val="0"/>
      <w:marRight w:val="0"/>
      <w:marTop w:val="0"/>
      <w:marBottom w:val="0"/>
      <w:divBdr>
        <w:top w:val="none" w:sz="0" w:space="0" w:color="auto"/>
        <w:left w:val="none" w:sz="0" w:space="0" w:color="auto"/>
        <w:bottom w:val="none" w:sz="0" w:space="0" w:color="auto"/>
        <w:right w:val="none" w:sz="0" w:space="0" w:color="auto"/>
      </w:divBdr>
      <w:divsChild>
        <w:div w:id="612591883">
          <w:marLeft w:val="0"/>
          <w:marRight w:val="0"/>
          <w:marTop w:val="0"/>
          <w:marBottom w:val="300"/>
          <w:divBdr>
            <w:top w:val="none" w:sz="0" w:space="0" w:color="auto"/>
            <w:left w:val="none" w:sz="0" w:space="0" w:color="auto"/>
            <w:bottom w:val="none" w:sz="0" w:space="0" w:color="auto"/>
            <w:right w:val="none" w:sz="0" w:space="0" w:color="auto"/>
          </w:divBdr>
          <w:divsChild>
            <w:div w:id="633219322">
              <w:marLeft w:val="0"/>
              <w:marRight w:val="0"/>
              <w:marTop w:val="0"/>
              <w:marBottom w:val="0"/>
              <w:divBdr>
                <w:top w:val="none" w:sz="0" w:space="0" w:color="auto"/>
                <w:left w:val="none" w:sz="0" w:space="0" w:color="auto"/>
                <w:bottom w:val="none" w:sz="0" w:space="0" w:color="auto"/>
                <w:right w:val="none" w:sz="0" w:space="0" w:color="auto"/>
              </w:divBdr>
            </w:div>
          </w:divsChild>
        </w:div>
        <w:div w:id="1026365391">
          <w:marLeft w:val="0"/>
          <w:marRight w:val="0"/>
          <w:marTop w:val="0"/>
          <w:marBottom w:val="0"/>
          <w:divBdr>
            <w:top w:val="none" w:sz="0" w:space="0" w:color="auto"/>
            <w:left w:val="none" w:sz="0" w:space="0" w:color="auto"/>
            <w:bottom w:val="none" w:sz="0" w:space="0" w:color="auto"/>
            <w:right w:val="none" w:sz="0" w:space="0" w:color="auto"/>
          </w:divBdr>
          <w:divsChild>
            <w:div w:id="1288774036">
              <w:marLeft w:val="0"/>
              <w:marRight w:val="0"/>
              <w:marTop w:val="0"/>
              <w:marBottom w:val="0"/>
              <w:divBdr>
                <w:top w:val="none" w:sz="0" w:space="0" w:color="auto"/>
                <w:left w:val="none" w:sz="0" w:space="0" w:color="auto"/>
                <w:bottom w:val="none" w:sz="0" w:space="0" w:color="auto"/>
                <w:right w:val="none" w:sz="0" w:space="0" w:color="auto"/>
              </w:divBdr>
              <w:divsChild>
                <w:div w:id="188822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80413">
          <w:marLeft w:val="0"/>
          <w:marRight w:val="0"/>
          <w:marTop w:val="0"/>
          <w:marBottom w:val="75"/>
          <w:divBdr>
            <w:top w:val="none" w:sz="0" w:space="0" w:color="auto"/>
            <w:left w:val="none" w:sz="0" w:space="0" w:color="auto"/>
            <w:bottom w:val="none" w:sz="0" w:space="0" w:color="auto"/>
            <w:right w:val="none" w:sz="0" w:space="0" w:color="auto"/>
          </w:divBdr>
        </w:div>
        <w:div w:id="1810971462">
          <w:marLeft w:val="0"/>
          <w:marRight w:val="0"/>
          <w:marTop w:val="0"/>
          <w:marBottom w:val="0"/>
          <w:divBdr>
            <w:top w:val="none" w:sz="0" w:space="0" w:color="auto"/>
            <w:left w:val="none" w:sz="0" w:space="0" w:color="auto"/>
            <w:bottom w:val="none" w:sz="0" w:space="0" w:color="auto"/>
            <w:right w:val="none" w:sz="0" w:space="0" w:color="auto"/>
          </w:divBdr>
        </w:div>
      </w:divsChild>
    </w:div>
    <w:div w:id="1939408203">
      <w:bodyDiv w:val="1"/>
      <w:marLeft w:val="0"/>
      <w:marRight w:val="0"/>
      <w:marTop w:val="0"/>
      <w:marBottom w:val="0"/>
      <w:divBdr>
        <w:top w:val="none" w:sz="0" w:space="0" w:color="auto"/>
        <w:left w:val="none" w:sz="0" w:space="0" w:color="auto"/>
        <w:bottom w:val="none" w:sz="0" w:space="0" w:color="auto"/>
        <w:right w:val="none" w:sz="0" w:space="0" w:color="auto"/>
      </w:divBdr>
      <w:divsChild>
        <w:div w:id="352923786">
          <w:marLeft w:val="0"/>
          <w:marRight w:val="0"/>
          <w:marTop w:val="0"/>
          <w:marBottom w:val="150"/>
          <w:divBdr>
            <w:top w:val="none" w:sz="0" w:space="0" w:color="auto"/>
            <w:left w:val="none" w:sz="0" w:space="0" w:color="auto"/>
            <w:bottom w:val="none" w:sz="0" w:space="0" w:color="auto"/>
            <w:right w:val="none" w:sz="0" w:space="0" w:color="auto"/>
          </w:divBdr>
          <w:divsChild>
            <w:div w:id="2041277355">
              <w:marLeft w:val="0"/>
              <w:marRight w:val="0"/>
              <w:marTop w:val="0"/>
              <w:marBottom w:val="0"/>
              <w:divBdr>
                <w:top w:val="none" w:sz="0" w:space="0" w:color="auto"/>
                <w:left w:val="none" w:sz="0" w:space="0" w:color="auto"/>
                <w:bottom w:val="none" w:sz="0" w:space="0" w:color="auto"/>
                <w:right w:val="none" w:sz="0" w:space="0" w:color="auto"/>
              </w:divBdr>
              <w:divsChild>
                <w:div w:id="902831886">
                  <w:marLeft w:val="0"/>
                  <w:marRight w:val="0"/>
                  <w:marTop w:val="0"/>
                  <w:marBottom w:val="0"/>
                  <w:divBdr>
                    <w:top w:val="none" w:sz="0" w:space="0" w:color="auto"/>
                    <w:left w:val="none" w:sz="0" w:space="0" w:color="auto"/>
                    <w:bottom w:val="none" w:sz="0" w:space="0" w:color="auto"/>
                    <w:right w:val="none" w:sz="0" w:space="0" w:color="auto"/>
                  </w:divBdr>
                  <w:divsChild>
                    <w:div w:id="901402624">
                      <w:marLeft w:val="0"/>
                      <w:marRight w:val="150"/>
                      <w:marTop w:val="0"/>
                      <w:marBottom w:val="0"/>
                      <w:divBdr>
                        <w:top w:val="none" w:sz="0" w:space="0" w:color="auto"/>
                        <w:left w:val="none" w:sz="0" w:space="0" w:color="auto"/>
                        <w:bottom w:val="none" w:sz="0" w:space="0" w:color="auto"/>
                        <w:right w:val="none" w:sz="0" w:space="0" w:color="auto"/>
                      </w:divBdr>
                      <w:divsChild>
                        <w:div w:id="46709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941019">
          <w:marLeft w:val="0"/>
          <w:marRight w:val="0"/>
          <w:marTop w:val="0"/>
          <w:marBottom w:val="150"/>
          <w:divBdr>
            <w:top w:val="none" w:sz="0" w:space="0" w:color="auto"/>
            <w:left w:val="none" w:sz="0" w:space="0" w:color="auto"/>
            <w:bottom w:val="none" w:sz="0" w:space="0" w:color="auto"/>
            <w:right w:val="none" w:sz="0" w:space="0" w:color="auto"/>
          </w:divBdr>
        </w:div>
        <w:div w:id="1062288721">
          <w:marLeft w:val="0"/>
          <w:marRight w:val="0"/>
          <w:marTop w:val="0"/>
          <w:marBottom w:val="0"/>
          <w:divBdr>
            <w:top w:val="none" w:sz="0" w:space="0" w:color="auto"/>
            <w:left w:val="none" w:sz="0" w:space="0" w:color="auto"/>
            <w:bottom w:val="none" w:sz="0" w:space="0" w:color="auto"/>
            <w:right w:val="none" w:sz="0" w:space="0" w:color="auto"/>
          </w:divBdr>
          <w:divsChild>
            <w:div w:id="12498510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9635795">
      <w:bodyDiv w:val="1"/>
      <w:marLeft w:val="0"/>
      <w:marRight w:val="0"/>
      <w:marTop w:val="0"/>
      <w:marBottom w:val="0"/>
      <w:divBdr>
        <w:top w:val="none" w:sz="0" w:space="0" w:color="auto"/>
        <w:left w:val="none" w:sz="0" w:space="0" w:color="auto"/>
        <w:bottom w:val="none" w:sz="0" w:space="0" w:color="auto"/>
        <w:right w:val="none" w:sz="0" w:space="0" w:color="auto"/>
      </w:divBdr>
      <w:divsChild>
        <w:div w:id="1167863297">
          <w:marLeft w:val="0"/>
          <w:marRight w:val="0"/>
          <w:marTop w:val="0"/>
          <w:marBottom w:val="0"/>
          <w:divBdr>
            <w:top w:val="none" w:sz="0" w:space="0" w:color="auto"/>
            <w:left w:val="none" w:sz="0" w:space="0" w:color="auto"/>
            <w:bottom w:val="none" w:sz="0" w:space="0" w:color="auto"/>
            <w:right w:val="none" w:sz="0" w:space="0" w:color="auto"/>
          </w:divBdr>
          <w:divsChild>
            <w:div w:id="428236128">
              <w:marLeft w:val="0"/>
              <w:marRight w:val="0"/>
              <w:marTop w:val="0"/>
              <w:marBottom w:val="0"/>
              <w:divBdr>
                <w:top w:val="none" w:sz="0" w:space="0" w:color="auto"/>
                <w:left w:val="none" w:sz="0" w:space="0" w:color="auto"/>
                <w:bottom w:val="none" w:sz="0" w:space="0" w:color="auto"/>
                <w:right w:val="none" w:sz="0" w:space="0" w:color="auto"/>
              </w:divBdr>
              <w:divsChild>
                <w:div w:id="1308433450">
                  <w:marLeft w:val="0"/>
                  <w:marRight w:val="0"/>
                  <w:marTop w:val="0"/>
                  <w:marBottom w:val="0"/>
                  <w:divBdr>
                    <w:top w:val="none" w:sz="0" w:space="0" w:color="auto"/>
                    <w:left w:val="none" w:sz="0" w:space="0" w:color="auto"/>
                    <w:bottom w:val="none" w:sz="0" w:space="0" w:color="auto"/>
                    <w:right w:val="none" w:sz="0" w:space="0" w:color="auto"/>
                  </w:divBdr>
                  <w:divsChild>
                    <w:div w:id="1642928262">
                      <w:marLeft w:val="0"/>
                      <w:marRight w:val="0"/>
                      <w:marTop w:val="0"/>
                      <w:marBottom w:val="0"/>
                      <w:divBdr>
                        <w:top w:val="none" w:sz="0" w:space="0" w:color="auto"/>
                        <w:left w:val="none" w:sz="0" w:space="0" w:color="auto"/>
                        <w:bottom w:val="none" w:sz="0" w:space="0" w:color="auto"/>
                        <w:right w:val="none" w:sz="0" w:space="0" w:color="auto"/>
                      </w:divBdr>
                      <w:divsChild>
                        <w:div w:id="721438577">
                          <w:marLeft w:val="0"/>
                          <w:marRight w:val="0"/>
                          <w:marTop w:val="0"/>
                          <w:marBottom w:val="0"/>
                          <w:divBdr>
                            <w:top w:val="none" w:sz="0" w:space="0" w:color="auto"/>
                            <w:left w:val="none" w:sz="0" w:space="0" w:color="auto"/>
                            <w:bottom w:val="none" w:sz="0" w:space="0" w:color="auto"/>
                            <w:right w:val="none" w:sz="0" w:space="0" w:color="auto"/>
                          </w:divBdr>
                          <w:divsChild>
                            <w:div w:id="1134447362">
                              <w:marLeft w:val="0"/>
                              <w:marRight w:val="0"/>
                              <w:marTop w:val="0"/>
                              <w:marBottom w:val="0"/>
                              <w:divBdr>
                                <w:top w:val="none" w:sz="0" w:space="0" w:color="auto"/>
                                <w:left w:val="none" w:sz="0" w:space="0" w:color="auto"/>
                                <w:bottom w:val="none" w:sz="0" w:space="0" w:color="auto"/>
                                <w:right w:val="none" w:sz="0" w:space="0" w:color="auto"/>
                              </w:divBdr>
                              <w:divsChild>
                                <w:div w:id="116786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0211040">
      <w:bodyDiv w:val="1"/>
      <w:marLeft w:val="0"/>
      <w:marRight w:val="0"/>
      <w:marTop w:val="0"/>
      <w:marBottom w:val="0"/>
      <w:divBdr>
        <w:top w:val="none" w:sz="0" w:space="0" w:color="auto"/>
        <w:left w:val="none" w:sz="0" w:space="0" w:color="auto"/>
        <w:bottom w:val="none" w:sz="0" w:space="0" w:color="auto"/>
        <w:right w:val="none" w:sz="0" w:space="0" w:color="auto"/>
      </w:divBdr>
      <w:divsChild>
        <w:div w:id="507018715">
          <w:marLeft w:val="0"/>
          <w:marRight w:val="0"/>
          <w:marTop w:val="150"/>
          <w:marBottom w:val="0"/>
          <w:divBdr>
            <w:top w:val="none" w:sz="0" w:space="0" w:color="auto"/>
            <w:left w:val="none" w:sz="0" w:space="0" w:color="auto"/>
            <w:bottom w:val="none" w:sz="0" w:space="0" w:color="auto"/>
            <w:right w:val="none" w:sz="0" w:space="0" w:color="auto"/>
          </w:divBdr>
          <w:divsChild>
            <w:div w:id="1307784627">
              <w:marLeft w:val="0"/>
              <w:marRight w:val="150"/>
              <w:marTop w:val="0"/>
              <w:marBottom w:val="0"/>
              <w:divBdr>
                <w:top w:val="none" w:sz="0" w:space="0" w:color="auto"/>
                <w:left w:val="none" w:sz="0" w:space="0" w:color="auto"/>
                <w:bottom w:val="none" w:sz="0" w:space="0" w:color="auto"/>
                <w:right w:val="none" w:sz="0" w:space="0" w:color="auto"/>
              </w:divBdr>
              <w:divsChild>
                <w:div w:id="207958719">
                  <w:marLeft w:val="0"/>
                  <w:marRight w:val="0"/>
                  <w:marTop w:val="0"/>
                  <w:marBottom w:val="0"/>
                  <w:divBdr>
                    <w:top w:val="none" w:sz="0" w:space="0" w:color="auto"/>
                    <w:left w:val="none" w:sz="0" w:space="0" w:color="auto"/>
                    <w:bottom w:val="none" w:sz="0" w:space="0" w:color="auto"/>
                    <w:right w:val="none" w:sz="0" w:space="0" w:color="auto"/>
                  </w:divBdr>
                </w:div>
                <w:div w:id="167479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840556">
          <w:marLeft w:val="0"/>
          <w:marRight w:val="0"/>
          <w:marTop w:val="0"/>
          <w:marBottom w:val="0"/>
          <w:divBdr>
            <w:top w:val="none" w:sz="0" w:space="8" w:color="auto"/>
            <w:left w:val="none" w:sz="0" w:space="2" w:color="auto"/>
            <w:bottom w:val="single" w:sz="6" w:space="8" w:color="DDDDDD"/>
            <w:right w:val="none" w:sz="0" w:space="0" w:color="auto"/>
          </w:divBdr>
        </w:div>
      </w:divsChild>
    </w:div>
    <w:div w:id="1940528692">
      <w:bodyDiv w:val="1"/>
      <w:marLeft w:val="0"/>
      <w:marRight w:val="0"/>
      <w:marTop w:val="0"/>
      <w:marBottom w:val="0"/>
      <w:divBdr>
        <w:top w:val="none" w:sz="0" w:space="0" w:color="auto"/>
        <w:left w:val="none" w:sz="0" w:space="0" w:color="auto"/>
        <w:bottom w:val="none" w:sz="0" w:space="0" w:color="auto"/>
        <w:right w:val="none" w:sz="0" w:space="0" w:color="auto"/>
      </w:divBdr>
      <w:divsChild>
        <w:div w:id="285429875">
          <w:marLeft w:val="0"/>
          <w:marRight w:val="0"/>
          <w:marTop w:val="0"/>
          <w:marBottom w:val="0"/>
          <w:divBdr>
            <w:top w:val="none" w:sz="0" w:space="0" w:color="auto"/>
            <w:left w:val="none" w:sz="0" w:space="0" w:color="auto"/>
            <w:bottom w:val="none" w:sz="0" w:space="0" w:color="auto"/>
            <w:right w:val="none" w:sz="0" w:space="0" w:color="auto"/>
          </w:divBdr>
          <w:divsChild>
            <w:div w:id="1295939426">
              <w:marLeft w:val="0"/>
              <w:marRight w:val="0"/>
              <w:marTop w:val="0"/>
              <w:marBottom w:val="0"/>
              <w:divBdr>
                <w:top w:val="none" w:sz="0" w:space="0" w:color="auto"/>
                <w:left w:val="none" w:sz="0" w:space="0" w:color="auto"/>
                <w:bottom w:val="none" w:sz="0" w:space="0" w:color="auto"/>
                <w:right w:val="none" w:sz="0" w:space="0" w:color="auto"/>
              </w:divBdr>
              <w:divsChild>
                <w:div w:id="1102649271">
                  <w:marLeft w:val="0"/>
                  <w:marRight w:val="0"/>
                  <w:marTop w:val="0"/>
                  <w:marBottom w:val="0"/>
                  <w:divBdr>
                    <w:top w:val="none" w:sz="0" w:space="0" w:color="auto"/>
                    <w:left w:val="none" w:sz="0" w:space="0" w:color="auto"/>
                    <w:bottom w:val="none" w:sz="0" w:space="0" w:color="auto"/>
                    <w:right w:val="none" w:sz="0" w:space="0" w:color="auto"/>
                  </w:divBdr>
                  <w:divsChild>
                    <w:div w:id="793251436">
                      <w:marLeft w:val="0"/>
                      <w:marRight w:val="0"/>
                      <w:marTop w:val="0"/>
                      <w:marBottom w:val="0"/>
                      <w:divBdr>
                        <w:top w:val="none" w:sz="0" w:space="0" w:color="auto"/>
                        <w:left w:val="none" w:sz="0" w:space="0" w:color="auto"/>
                        <w:bottom w:val="none" w:sz="0" w:space="0" w:color="auto"/>
                        <w:right w:val="none" w:sz="0" w:space="0" w:color="auto"/>
                      </w:divBdr>
                      <w:divsChild>
                        <w:div w:id="483468105">
                          <w:marLeft w:val="0"/>
                          <w:marRight w:val="0"/>
                          <w:marTop w:val="0"/>
                          <w:marBottom w:val="0"/>
                          <w:divBdr>
                            <w:top w:val="none" w:sz="0" w:space="0" w:color="auto"/>
                            <w:left w:val="none" w:sz="0" w:space="0" w:color="auto"/>
                            <w:bottom w:val="none" w:sz="0" w:space="0" w:color="auto"/>
                            <w:right w:val="none" w:sz="0" w:space="0" w:color="auto"/>
                          </w:divBdr>
                          <w:divsChild>
                            <w:div w:id="729688895">
                              <w:marLeft w:val="0"/>
                              <w:marRight w:val="0"/>
                              <w:marTop w:val="0"/>
                              <w:marBottom w:val="0"/>
                              <w:divBdr>
                                <w:top w:val="none" w:sz="0" w:space="0" w:color="auto"/>
                                <w:left w:val="none" w:sz="0" w:space="0" w:color="auto"/>
                                <w:bottom w:val="none" w:sz="0" w:space="0" w:color="auto"/>
                                <w:right w:val="none" w:sz="0" w:space="0" w:color="auto"/>
                              </w:divBdr>
                              <w:divsChild>
                                <w:div w:id="22985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0723511">
      <w:bodyDiv w:val="1"/>
      <w:marLeft w:val="0"/>
      <w:marRight w:val="0"/>
      <w:marTop w:val="0"/>
      <w:marBottom w:val="0"/>
      <w:divBdr>
        <w:top w:val="none" w:sz="0" w:space="0" w:color="auto"/>
        <w:left w:val="none" w:sz="0" w:space="0" w:color="auto"/>
        <w:bottom w:val="none" w:sz="0" w:space="0" w:color="auto"/>
        <w:right w:val="none" w:sz="0" w:space="0" w:color="auto"/>
      </w:divBdr>
    </w:div>
    <w:div w:id="1940793139">
      <w:bodyDiv w:val="1"/>
      <w:marLeft w:val="0"/>
      <w:marRight w:val="0"/>
      <w:marTop w:val="0"/>
      <w:marBottom w:val="0"/>
      <w:divBdr>
        <w:top w:val="none" w:sz="0" w:space="0" w:color="auto"/>
        <w:left w:val="none" w:sz="0" w:space="0" w:color="auto"/>
        <w:bottom w:val="none" w:sz="0" w:space="0" w:color="auto"/>
        <w:right w:val="none" w:sz="0" w:space="0" w:color="auto"/>
      </w:divBdr>
      <w:divsChild>
        <w:div w:id="663583172">
          <w:marLeft w:val="0"/>
          <w:marRight w:val="0"/>
          <w:marTop w:val="0"/>
          <w:marBottom w:val="0"/>
          <w:divBdr>
            <w:top w:val="none" w:sz="0" w:space="0" w:color="auto"/>
            <w:left w:val="none" w:sz="0" w:space="0" w:color="auto"/>
            <w:bottom w:val="none" w:sz="0" w:space="0" w:color="auto"/>
            <w:right w:val="none" w:sz="0" w:space="0" w:color="auto"/>
          </w:divBdr>
          <w:divsChild>
            <w:div w:id="1687056236">
              <w:marLeft w:val="0"/>
              <w:marRight w:val="0"/>
              <w:marTop w:val="0"/>
              <w:marBottom w:val="0"/>
              <w:divBdr>
                <w:top w:val="none" w:sz="0" w:space="0" w:color="auto"/>
                <w:left w:val="none" w:sz="0" w:space="0" w:color="auto"/>
                <w:bottom w:val="none" w:sz="0" w:space="0" w:color="auto"/>
                <w:right w:val="none" w:sz="0" w:space="0" w:color="auto"/>
              </w:divBdr>
              <w:divsChild>
                <w:div w:id="2067214375">
                  <w:marLeft w:val="0"/>
                  <w:marRight w:val="0"/>
                  <w:marTop w:val="0"/>
                  <w:marBottom w:val="197"/>
                  <w:divBdr>
                    <w:top w:val="none" w:sz="0" w:space="0" w:color="auto"/>
                    <w:left w:val="none" w:sz="0" w:space="0" w:color="auto"/>
                    <w:bottom w:val="none" w:sz="0" w:space="0" w:color="auto"/>
                    <w:right w:val="none" w:sz="0" w:space="0" w:color="auto"/>
                  </w:divBdr>
                  <w:divsChild>
                    <w:div w:id="1802266341">
                      <w:marLeft w:val="0"/>
                      <w:marRight w:val="0"/>
                      <w:marTop w:val="0"/>
                      <w:marBottom w:val="0"/>
                      <w:divBdr>
                        <w:top w:val="none" w:sz="0" w:space="0" w:color="auto"/>
                        <w:left w:val="none" w:sz="0" w:space="0" w:color="auto"/>
                        <w:bottom w:val="none" w:sz="0" w:space="0" w:color="auto"/>
                        <w:right w:val="none" w:sz="0" w:space="0" w:color="auto"/>
                      </w:divBdr>
                      <w:divsChild>
                        <w:div w:id="989401846">
                          <w:marLeft w:val="0"/>
                          <w:marRight w:val="0"/>
                          <w:marTop w:val="0"/>
                          <w:marBottom w:val="0"/>
                          <w:divBdr>
                            <w:top w:val="none" w:sz="0" w:space="0" w:color="auto"/>
                            <w:left w:val="none" w:sz="0" w:space="0" w:color="auto"/>
                            <w:bottom w:val="none" w:sz="0" w:space="0" w:color="auto"/>
                            <w:right w:val="none" w:sz="0" w:space="0" w:color="auto"/>
                          </w:divBdr>
                          <w:divsChild>
                            <w:div w:id="29496183">
                              <w:marLeft w:val="0"/>
                              <w:marRight w:val="0"/>
                              <w:marTop w:val="0"/>
                              <w:marBottom w:val="0"/>
                              <w:divBdr>
                                <w:top w:val="none" w:sz="0" w:space="0" w:color="auto"/>
                                <w:left w:val="none" w:sz="0" w:space="0" w:color="auto"/>
                                <w:bottom w:val="none" w:sz="0" w:space="0" w:color="auto"/>
                                <w:right w:val="none" w:sz="0" w:space="0" w:color="auto"/>
                              </w:divBdr>
                              <w:divsChild>
                                <w:div w:id="1425882330">
                                  <w:marLeft w:val="0"/>
                                  <w:marRight w:val="0"/>
                                  <w:marTop w:val="0"/>
                                  <w:marBottom w:val="0"/>
                                  <w:divBdr>
                                    <w:top w:val="none" w:sz="0" w:space="0" w:color="auto"/>
                                    <w:left w:val="none" w:sz="0" w:space="0" w:color="auto"/>
                                    <w:bottom w:val="none" w:sz="0" w:space="0" w:color="auto"/>
                                    <w:right w:val="none" w:sz="0" w:space="0" w:color="auto"/>
                                  </w:divBdr>
                                  <w:divsChild>
                                    <w:div w:id="1671830168">
                                      <w:marLeft w:val="0"/>
                                      <w:marRight w:val="0"/>
                                      <w:marTop w:val="0"/>
                                      <w:marBottom w:val="0"/>
                                      <w:divBdr>
                                        <w:top w:val="none" w:sz="0" w:space="0" w:color="auto"/>
                                        <w:left w:val="none" w:sz="0" w:space="0" w:color="auto"/>
                                        <w:bottom w:val="none" w:sz="0" w:space="0" w:color="auto"/>
                                        <w:right w:val="none" w:sz="0" w:space="0" w:color="auto"/>
                                      </w:divBdr>
                                      <w:divsChild>
                                        <w:div w:id="37974357">
                                          <w:marLeft w:val="0"/>
                                          <w:marRight w:val="0"/>
                                          <w:marTop w:val="0"/>
                                          <w:marBottom w:val="0"/>
                                          <w:divBdr>
                                            <w:top w:val="none" w:sz="0" w:space="0" w:color="auto"/>
                                            <w:left w:val="none" w:sz="0" w:space="0" w:color="auto"/>
                                            <w:bottom w:val="none" w:sz="0" w:space="0" w:color="auto"/>
                                            <w:right w:val="none" w:sz="0" w:space="0" w:color="auto"/>
                                          </w:divBdr>
                                          <w:divsChild>
                                            <w:div w:id="1028220328">
                                              <w:marLeft w:val="0"/>
                                              <w:marRight w:val="0"/>
                                              <w:marTop w:val="0"/>
                                              <w:marBottom w:val="0"/>
                                              <w:divBdr>
                                                <w:top w:val="none" w:sz="0" w:space="0" w:color="auto"/>
                                                <w:left w:val="none" w:sz="0" w:space="0" w:color="auto"/>
                                                <w:bottom w:val="none" w:sz="0" w:space="0" w:color="auto"/>
                                                <w:right w:val="none" w:sz="0" w:space="0" w:color="auto"/>
                                              </w:divBdr>
                                              <w:divsChild>
                                                <w:div w:id="91076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0797087">
      <w:bodyDiv w:val="1"/>
      <w:marLeft w:val="0"/>
      <w:marRight w:val="0"/>
      <w:marTop w:val="0"/>
      <w:marBottom w:val="0"/>
      <w:divBdr>
        <w:top w:val="none" w:sz="0" w:space="0" w:color="auto"/>
        <w:left w:val="none" w:sz="0" w:space="0" w:color="auto"/>
        <w:bottom w:val="none" w:sz="0" w:space="0" w:color="auto"/>
        <w:right w:val="none" w:sz="0" w:space="0" w:color="auto"/>
      </w:divBdr>
      <w:divsChild>
        <w:div w:id="1111782961">
          <w:marLeft w:val="0"/>
          <w:marRight w:val="0"/>
          <w:marTop w:val="0"/>
          <w:marBottom w:val="0"/>
          <w:divBdr>
            <w:top w:val="none" w:sz="0" w:space="0" w:color="auto"/>
            <w:left w:val="none" w:sz="0" w:space="0" w:color="auto"/>
            <w:bottom w:val="none" w:sz="0" w:space="0" w:color="auto"/>
            <w:right w:val="none" w:sz="0" w:space="0" w:color="auto"/>
          </w:divBdr>
          <w:divsChild>
            <w:div w:id="996883432">
              <w:marLeft w:val="0"/>
              <w:marRight w:val="0"/>
              <w:marTop w:val="0"/>
              <w:marBottom w:val="0"/>
              <w:divBdr>
                <w:top w:val="none" w:sz="0" w:space="0" w:color="auto"/>
                <w:left w:val="none" w:sz="0" w:space="0" w:color="auto"/>
                <w:bottom w:val="none" w:sz="0" w:space="0" w:color="auto"/>
                <w:right w:val="none" w:sz="0" w:space="0" w:color="auto"/>
              </w:divBdr>
              <w:divsChild>
                <w:div w:id="685640439">
                  <w:marLeft w:val="0"/>
                  <w:marRight w:val="0"/>
                  <w:marTop w:val="0"/>
                  <w:marBottom w:val="0"/>
                  <w:divBdr>
                    <w:top w:val="none" w:sz="0" w:space="0" w:color="auto"/>
                    <w:left w:val="none" w:sz="0" w:space="0" w:color="auto"/>
                    <w:bottom w:val="none" w:sz="0" w:space="0" w:color="auto"/>
                    <w:right w:val="none" w:sz="0" w:space="0" w:color="auto"/>
                  </w:divBdr>
                  <w:divsChild>
                    <w:div w:id="971641354">
                      <w:marLeft w:val="0"/>
                      <w:marRight w:val="0"/>
                      <w:marTop w:val="0"/>
                      <w:marBottom w:val="0"/>
                      <w:divBdr>
                        <w:top w:val="none" w:sz="0" w:space="0" w:color="auto"/>
                        <w:left w:val="none" w:sz="0" w:space="0" w:color="auto"/>
                        <w:bottom w:val="none" w:sz="0" w:space="0" w:color="auto"/>
                        <w:right w:val="none" w:sz="0" w:space="0" w:color="auto"/>
                      </w:divBdr>
                      <w:divsChild>
                        <w:div w:id="1143885804">
                          <w:marLeft w:val="0"/>
                          <w:marRight w:val="0"/>
                          <w:marTop w:val="0"/>
                          <w:marBottom w:val="0"/>
                          <w:divBdr>
                            <w:top w:val="none" w:sz="0" w:space="0" w:color="auto"/>
                            <w:left w:val="none" w:sz="0" w:space="0" w:color="auto"/>
                            <w:bottom w:val="none" w:sz="0" w:space="0" w:color="auto"/>
                            <w:right w:val="none" w:sz="0" w:space="0" w:color="auto"/>
                          </w:divBdr>
                          <w:divsChild>
                            <w:div w:id="163606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865646">
      <w:bodyDiv w:val="1"/>
      <w:marLeft w:val="0"/>
      <w:marRight w:val="0"/>
      <w:marTop w:val="0"/>
      <w:marBottom w:val="0"/>
      <w:divBdr>
        <w:top w:val="none" w:sz="0" w:space="0" w:color="auto"/>
        <w:left w:val="none" w:sz="0" w:space="0" w:color="auto"/>
        <w:bottom w:val="none" w:sz="0" w:space="0" w:color="auto"/>
        <w:right w:val="none" w:sz="0" w:space="0" w:color="auto"/>
      </w:divBdr>
    </w:div>
    <w:div w:id="1941327224">
      <w:bodyDiv w:val="1"/>
      <w:marLeft w:val="0"/>
      <w:marRight w:val="0"/>
      <w:marTop w:val="0"/>
      <w:marBottom w:val="0"/>
      <w:divBdr>
        <w:top w:val="none" w:sz="0" w:space="0" w:color="auto"/>
        <w:left w:val="none" w:sz="0" w:space="0" w:color="auto"/>
        <w:bottom w:val="none" w:sz="0" w:space="0" w:color="auto"/>
        <w:right w:val="none" w:sz="0" w:space="0" w:color="auto"/>
      </w:divBdr>
    </w:div>
    <w:div w:id="1941376421">
      <w:bodyDiv w:val="1"/>
      <w:marLeft w:val="0"/>
      <w:marRight w:val="0"/>
      <w:marTop w:val="0"/>
      <w:marBottom w:val="0"/>
      <w:divBdr>
        <w:top w:val="none" w:sz="0" w:space="0" w:color="auto"/>
        <w:left w:val="none" w:sz="0" w:space="0" w:color="auto"/>
        <w:bottom w:val="none" w:sz="0" w:space="0" w:color="auto"/>
        <w:right w:val="none" w:sz="0" w:space="0" w:color="auto"/>
      </w:divBdr>
    </w:div>
    <w:div w:id="1941528483">
      <w:bodyDiv w:val="1"/>
      <w:marLeft w:val="0"/>
      <w:marRight w:val="0"/>
      <w:marTop w:val="0"/>
      <w:marBottom w:val="0"/>
      <w:divBdr>
        <w:top w:val="none" w:sz="0" w:space="0" w:color="auto"/>
        <w:left w:val="none" w:sz="0" w:space="0" w:color="auto"/>
        <w:bottom w:val="none" w:sz="0" w:space="0" w:color="auto"/>
        <w:right w:val="none" w:sz="0" w:space="0" w:color="auto"/>
      </w:divBdr>
      <w:divsChild>
        <w:div w:id="635843814">
          <w:marLeft w:val="0"/>
          <w:marRight w:val="0"/>
          <w:marTop w:val="0"/>
          <w:marBottom w:val="0"/>
          <w:divBdr>
            <w:top w:val="none" w:sz="0" w:space="0" w:color="auto"/>
            <w:left w:val="none" w:sz="0" w:space="0" w:color="auto"/>
            <w:bottom w:val="dotted" w:sz="6" w:space="4" w:color="DDDDDD"/>
            <w:right w:val="none" w:sz="0" w:space="0" w:color="auto"/>
          </w:divBdr>
          <w:divsChild>
            <w:div w:id="169006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596185">
      <w:bodyDiv w:val="1"/>
      <w:marLeft w:val="0"/>
      <w:marRight w:val="0"/>
      <w:marTop w:val="0"/>
      <w:marBottom w:val="0"/>
      <w:divBdr>
        <w:top w:val="none" w:sz="0" w:space="0" w:color="auto"/>
        <w:left w:val="none" w:sz="0" w:space="0" w:color="auto"/>
        <w:bottom w:val="none" w:sz="0" w:space="0" w:color="auto"/>
        <w:right w:val="none" w:sz="0" w:space="0" w:color="auto"/>
      </w:divBdr>
      <w:divsChild>
        <w:div w:id="1486314585">
          <w:marLeft w:val="0"/>
          <w:marRight w:val="0"/>
          <w:marTop w:val="0"/>
          <w:marBottom w:val="0"/>
          <w:divBdr>
            <w:top w:val="none" w:sz="0" w:space="0" w:color="auto"/>
            <w:left w:val="none" w:sz="0" w:space="0" w:color="auto"/>
            <w:bottom w:val="none" w:sz="0" w:space="0" w:color="auto"/>
            <w:right w:val="none" w:sz="0" w:space="0" w:color="auto"/>
          </w:divBdr>
        </w:div>
      </w:divsChild>
    </w:div>
    <w:div w:id="1942256525">
      <w:bodyDiv w:val="1"/>
      <w:marLeft w:val="0"/>
      <w:marRight w:val="0"/>
      <w:marTop w:val="0"/>
      <w:marBottom w:val="0"/>
      <w:divBdr>
        <w:top w:val="none" w:sz="0" w:space="0" w:color="auto"/>
        <w:left w:val="none" w:sz="0" w:space="0" w:color="auto"/>
        <w:bottom w:val="none" w:sz="0" w:space="0" w:color="auto"/>
        <w:right w:val="none" w:sz="0" w:space="0" w:color="auto"/>
      </w:divBdr>
      <w:divsChild>
        <w:div w:id="181868233">
          <w:marLeft w:val="0"/>
          <w:marRight w:val="0"/>
          <w:marTop w:val="0"/>
          <w:marBottom w:val="0"/>
          <w:divBdr>
            <w:top w:val="none" w:sz="0" w:space="0" w:color="auto"/>
            <w:left w:val="none" w:sz="0" w:space="0" w:color="auto"/>
            <w:bottom w:val="none" w:sz="0" w:space="0" w:color="auto"/>
            <w:right w:val="none" w:sz="0" w:space="0" w:color="auto"/>
          </w:divBdr>
          <w:divsChild>
            <w:div w:id="641036266">
              <w:marLeft w:val="0"/>
              <w:marRight w:val="0"/>
              <w:marTop w:val="0"/>
              <w:marBottom w:val="0"/>
              <w:divBdr>
                <w:top w:val="none" w:sz="0" w:space="0" w:color="auto"/>
                <w:left w:val="none" w:sz="0" w:space="0" w:color="auto"/>
                <w:bottom w:val="none" w:sz="0" w:space="0" w:color="auto"/>
                <w:right w:val="none" w:sz="0" w:space="0" w:color="auto"/>
              </w:divBdr>
            </w:div>
          </w:divsChild>
        </w:div>
        <w:div w:id="1020201771">
          <w:marLeft w:val="0"/>
          <w:marRight w:val="0"/>
          <w:marTop w:val="0"/>
          <w:marBottom w:val="0"/>
          <w:divBdr>
            <w:top w:val="none" w:sz="0" w:space="0" w:color="auto"/>
            <w:left w:val="none" w:sz="0" w:space="0" w:color="auto"/>
            <w:bottom w:val="none" w:sz="0" w:space="0" w:color="auto"/>
            <w:right w:val="none" w:sz="0" w:space="0" w:color="auto"/>
          </w:divBdr>
        </w:div>
        <w:div w:id="1864047951">
          <w:marLeft w:val="0"/>
          <w:marRight w:val="0"/>
          <w:marTop w:val="0"/>
          <w:marBottom w:val="0"/>
          <w:divBdr>
            <w:top w:val="none" w:sz="0" w:space="0" w:color="auto"/>
            <w:left w:val="none" w:sz="0" w:space="0" w:color="auto"/>
            <w:bottom w:val="none" w:sz="0" w:space="0" w:color="auto"/>
            <w:right w:val="none" w:sz="0" w:space="0" w:color="auto"/>
          </w:divBdr>
          <w:divsChild>
            <w:div w:id="1051343889">
              <w:marLeft w:val="-225"/>
              <w:marRight w:val="-225"/>
              <w:marTop w:val="0"/>
              <w:marBottom w:val="0"/>
              <w:divBdr>
                <w:top w:val="none" w:sz="0" w:space="0" w:color="auto"/>
                <w:left w:val="none" w:sz="0" w:space="0" w:color="auto"/>
                <w:bottom w:val="none" w:sz="0" w:space="0" w:color="auto"/>
                <w:right w:val="none" w:sz="0" w:space="0" w:color="auto"/>
              </w:divBdr>
              <w:divsChild>
                <w:div w:id="910653215">
                  <w:marLeft w:val="0"/>
                  <w:marRight w:val="0"/>
                  <w:marTop w:val="0"/>
                  <w:marBottom w:val="0"/>
                  <w:divBdr>
                    <w:top w:val="none" w:sz="0" w:space="0" w:color="auto"/>
                    <w:left w:val="none" w:sz="0" w:space="0" w:color="auto"/>
                    <w:bottom w:val="none" w:sz="0" w:space="0" w:color="auto"/>
                    <w:right w:val="single" w:sz="6" w:space="0" w:color="000000"/>
                  </w:divBdr>
                  <w:divsChild>
                    <w:div w:id="1333993215">
                      <w:marLeft w:val="0"/>
                      <w:marRight w:val="0"/>
                      <w:marTop w:val="0"/>
                      <w:marBottom w:val="0"/>
                      <w:divBdr>
                        <w:top w:val="none" w:sz="0" w:space="0" w:color="auto"/>
                        <w:left w:val="none" w:sz="0" w:space="0" w:color="auto"/>
                        <w:bottom w:val="none" w:sz="0" w:space="0" w:color="auto"/>
                        <w:right w:val="none" w:sz="0" w:space="0" w:color="auto"/>
                      </w:divBdr>
                      <w:divsChild>
                        <w:div w:id="12146737">
                          <w:marLeft w:val="0"/>
                          <w:marRight w:val="0"/>
                          <w:marTop w:val="0"/>
                          <w:marBottom w:val="0"/>
                          <w:divBdr>
                            <w:top w:val="none" w:sz="0" w:space="0" w:color="auto"/>
                            <w:left w:val="none" w:sz="0" w:space="0" w:color="auto"/>
                            <w:bottom w:val="none" w:sz="0" w:space="0" w:color="auto"/>
                            <w:right w:val="none" w:sz="0" w:space="0" w:color="auto"/>
                          </w:divBdr>
                        </w:div>
                        <w:div w:id="1970084429">
                          <w:marLeft w:val="0"/>
                          <w:marRight w:val="0"/>
                          <w:marTop w:val="0"/>
                          <w:marBottom w:val="0"/>
                          <w:divBdr>
                            <w:top w:val="none" w:sz="0" w:space="0" w:color="auto"/>
                            <w:left w:val="none" w:sz="0" w:space="0" w:color="auto"/>
                            <w:bottom w:val="none" w:sz="0" w:space="0" w:color="auto"/>
                            <w:right w:val="none" w:sz="0" w:space="0" w:color="auto"/>
                          </w:divBdr>
                        </w:div>
                        <w:div w:id="504900724">
                          <w:marLeft w:val="0"/>
                          <w:marRight w:val="0"/>
                          <w:marTop w:val="0"/>
                          <w:marBottom w:val="0"/>
                          <w:divBdr>
                            <w:top w:val="none" w:sz="0" w:space="0" w:color="auto"/>
                            <w:left w:val="none" w:sz="0" w:space="0" w:color="auto"/>
                            <w:bottom w:val="none" w:sz="0" w:space="0" w:color="auto"/>
                            <w:right w:val="none" w:sz="0" w:space="0" w:color="auto"/>
                          </w:divBdr>
                        </w:div>
                        <w:div w:id="27805805">
                          <w:marLeft w:val="0"/>
                          <w:marRight w:val="0"/>
                          <w:marTop w:val="0"/>
                          <w:marBottom w:val="0"/>
                          <w:divBdr>
                            <w:top w:val="none" w:sz="0" w:space="0" w:color="auto"/>
                            <w:left w:val="none" w:sz="0" w:space="0" w:color="auto"/>
                            <w:bottom w:val="none" w:sz="0" w:space="0" w:color="auto"/>
                            <w:right w:val="none" w:sz="0" w:space="0" w:color="auto"/>
                          </w:divBdr>
                        </w:div>
                        <w:div w:id="43983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301339">
      <w:bodyDiv w:val="1"/>
      <w:marLeft w:val="0"/>
      <w:marRight w:val="0"/>
      <w:marTop w:val="0"/>
      <w:marBottom w:val="0"/>
      <w:divBdr>
        <w:top w:val="none" w:sz="0" w:space="0" w:color="auto"/>
        <w:left w:val="none" w:sz="0" w:space="0" w:color="auto"/>
        <w:bottom w:val="none" w:sz="0" w:space="0" w:color="auto"/>
        <w:right w:val="none" w:sz="0" w:space="0" w:color="auto"/>
      </w:divBdr>
      <w:divsChild>
        <w:div w:id="1335718806">
          <w:marLeft w:val="0"/>
          <w:marRight w:val="0"/>
          <w:marTop w:val="0"/>
          <w:marBottom w:val="0"/>
          <w:divBdr>
            <w:top w:val="none" w:sz="0" w:space="0" w:color="auto"/>
            <w:left w:val="none" w:sz="0" w:space="0" w:color="auto"/>
            <w:bottom w:val="dotted" w:sz="6" w:space="4" w:color="DDDDDD"/>
            <w:right w:val="none" w:sz="0" w:space="0" w:color="auto"/>
          </w:divBdr>
          <w:divsChild>
            <w:div w:id="110306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639593">
      <w:bodyDiv w:val="1"/>
      <w:marLeft w:val="0"/>
      <w:marRight w:val="0"/>
      <w:marTop w:val="0"/>
      <w:marBottom w:val="0"/>
      <w:divBdr>
        <w:top w:val="none" w:sz="0" w:space="0" w:color="auto"/>
        <w:left w:val="none" w:sz="0" w:space="0" w:color="auto"/>
        <w:bottom w:val="none" w:sz="0" w:space="0" w:color="auto"/>
        <w:right w:val="none" w:sz="0" w:space="0" w:color="auto"/>
      </w:divBdr>
      <w:divsChild>
        <w:div w:id="1587760770">
          <w:marLeft w:val="0"/>
          <w:marRight w:val="0"/>
          <w:marTop w:val="0"/>
          <w:marBottom w:val="0"/>
          <w:divBdr>
            <w:top w:val="none" w:sz="0" w:space="0" w:color="auto"/>
            <w:left w:val="none" w:sz="0" w:space="0" w:color="auto"/>
            <w:bottom w:val="none" w:sz="0" w:space="0" w:color="auto"/>
            <w:right w:val="none" w:sz="0" w:space="0" w:color="auto"/>
          </w:divBdr>
          <w:divsChild>
            <w:div w:id="160923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838560">
      <w:bodyDiv w:val="1"/>
      <w:marLeft w:val="0"/>
      <w:marRight w:val="0"/>
      <w:marTop w:val="0"/>
      <w:marBottom w:val="0"/>
      <w:divBdr>
        <w:top w:val="none" w:sz="0" w:space="0" w:color="auto"/>
        <w:left w:val="none" w:sz="0" w:space="0" w:color="auto"/>
        <w:bottom w:val="none" w:sz="0" w:space="0" w:color="auto"/>
        <w:right w:val="none" w:sz="0" w:space="0" w:color="auto"/>
      </w:divBdr>
      <w:divsChild>
        <w:div w:id="2078239247">
          <w:marLeft w:val="0"/>
          <w:marRight w:val="0"/>
          <w:marTop w:val="0"/>
          <w:marBottom w:val="0"/>
          <w:divBdr>
            <w:top w:val="none" w:sz="0" w:space="0" w:color="auto"/>
            <w:left w:val="none" w:sz="0" w:space="0" w:color="auto"/>
            <w:bottom w:val="none" w:sz="0" w:space="0" w:color="auto"/>
            <w:right w:val="none" w:sz="0" w:space="0" w:color="auto"/>
          </w:divBdr>
          <w:divsChild>
            <w:div w:id="8610178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43681637">
      <w:bodyDiv w:val="1"/>
      <w:marLeft w:val="0"/>
      <w:marRight w:val="0"/>
      <w:marTop w:val="0"/>
      <w:marBottom w:val="0"/>
      <w:divBdr>
        <w:top w:val="none" w:sz="0" w:space="0" w:color="auto"/>
        <w:left w:val="none" w:sz="0" w:space="0" w:color="auto"/>
        <w:bottom w:val="none" w:sz="0" w:space="0" w:color="auto"/>
        <w:right w:val="none" w:sz="0" w:space="0" w:color="auto"/>
      </w:divBdr>
      <w:divsChild>
        <w:div w:id="1987977588">
          <w:marLeft w:val="0"/>
          <w:marRight w:val="0"/>
          <w:marTop w:val="0"/>
          <w:marBottom w:val="0"/>
          <w:divBdr>
            <w:top w:val="none" w:sz="0" w:space="0" w:color="auto"/>
            <w:left w:val="none" w:sz="0" w:space="0" w:color="auto"/>
            <w:bottom w:val="none" w:sz="0" w:space="0" w:color="auto"/>
            <w:right w:val="none" w:sz="0" w:space="0" w:color="auto"/>
          </w:divBdr>
          <w:divsChild>
            <w:div w:id="1386249294">
              <w:marLeft w:val="0"/>
              <w:marRight w:val="0"/>
              <w:marTop w:val="0"/>
              <w:marBottom w:val="0"/>
              <w:divBdr>
                <w:top w:val="none" w:sz="0" w:space="0" w:color="auto"/>
                <w:left w:val="none" w:sz="0" w:space="0" w:color="auto"/>
                <w:bottom w:val="none" w:sz="0" w:space="0" w:color="auto"/>
                <w:right w:val="none" w:sz="0" w:space="0" w:color="auto"/>
              </w:divBdr>
              <w:divsChild>
                <w:div w:id="2010716614">
                  <w:marLeft w:val="0"/>
                  <w:marRight w:val="0"/>
                  <w:marTop w:val="0"/>
                  <w:marBottom w:val="0"/>
                  <w:divBdr>
                    <w:top w:val="none" w:sz="0" w:space="0" w:color="auto"/>
                    <w:left w:val="none" w:sz="0" w:space="0" w:color="auto"/>
                    <w:bottom w:val="none" w:sz="0" w:space="0" w:color="auto"/>
                    <w:right w:val="none" w:sz="0" w:space="0" w:color="auto"/>
                  </w:divBdr>
                  <w:divsChild>
                    <w:div w:id="2123262866">
                      <w:marLeft w:val="0"/>
                      <w:marRight w:val="0"/>
                      <w:marTop w:val="0"/>
                      <w:marBottom w:val="0"/>
                      <w:divBdr>
                        <w:top w:val="none" w:sz="0" w:space="0" w:color="auto"/>
                        <w:left w:val="none" w:sz="0" w:space="0" w:color="auto"/>
                        <w:bottom w:val="none" w:sz="0" w:space="0" w:color="auto"/>
                        <w:right w:val="none" w:sz="0" w:space="0" w:color="auto"/>
                      </w:divBdr>
                      <w:divsChild>
                        <w:div w:id="1314872553">
                          <w:marLeft w:val="0"/>
                          <w:marRight w:val="0"/>
                          <w:marTop w:val="0"/>
                          <w:marBottom w:val="0"/>
                          <w:divBdr>
                            <w:top w:val="none" w:sz="0" w:space="0" w:color="auto"/>
                            <w:left w:val="none" w:sz="0" w:space="0" w:color="auto"/>
                            <w:bottom w:val="none" w:sz="0" w:space="0" w:color="auto"/>
                            <w:right w:val="none" w:sz="0" w:space="0" w:color="auto"/>
                          </w:divBdr>
                          <w:divsChild>
                            <w:div w:id="128322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4070858">
      <w:bodyDiv w:val="1"/>
      <w:marLeft w:val="0"/>
      <w:marRight w:val="0"/>
      <w:marTop w:val="0"/>
      <w:marBottom w:val="0"/>
      <w:divBdr>
        <w:top w:val="none" w:sz="0" w:space="0" w:color="auto"/>
        <w:left w:val="none" w:sz="0" w:space="0" w:color="auto"/>
        <w:bottom w:val="none" w:sz="0" w:space="0" w:color="auto"/>
        <w:right w:val="none" w:sz="0" w:space="0" w:color="auto"/>
      </w:divBdr>
      <w:divsChild>
        <w:div w:id="361829991">
          <w:marLeft w:val="0"/>
          <w:marRight w:val="0"/>
          <w:marTop w:val="0"/>
          <w:marBottom w:val="0"/>
          <w:divBdr>
            <w:top w:val="none" w:sz="0" w:space="0" w:color="auto"/>
            <w:left w:val="none" w:sz="0" w:space="0" w:color="auto"/>
            <w:bottom w:val="none" w:sz="0" w:space="0" w:color="auto"/>
            <w:right w:val="none" w:sz="0" w:space="0" w:color="auto"/>
          </w:divBdr>
          <w:divsChild>
            <w:div w:id="599751956">
              <w:marLeft w:val="0"/>
              <w:marRight w:val="0"/>
              <w:marTop w:val="0"/>
              <w:marBottom w:val="0"/>
              <w:divBdr>
                <w:top w:val="none" w:sz="0" w:space="0" w:color="auto"/>
                <w:left w:val="none" w:sz="0" w:space="0" w:color="auto"/>
                <w:bottom w:val="none" w:sz="0" w:space="0" w:color="auto"/>
                <w:right w:val="none" w:sz="0" w:space="0" w:color="auto"/>
              </w:divBdr>
            </w:div>
          </w:divsChild>
        </w:div>
        <w:div w:id="819807257">
          <w:marLeft w:val="0"/>
          <w:marRight w:val="0"/>
          <w:marTop w:val="0"/>
          <w:marBottom w:val="150"/>
          <w:divBdr>
            <w:top w:val="none" w:sz="0" w:space="0" w:color="auto"/>
            <w:left w:val="none" w:sz="0" w:space="0" w:color="auto"/>
            <w:bottom w:val="none" w:sz="0" w:space="0" w:color="auto"/>
            <w:right w:val="none" w:sz="0" w:space="0" w:color="auto"/>
          </w:divBdr>
        </w:div>
        <w:div w:id="1594782179">
          <w:marLeft w:val="0"/>
          <w:marRight w:val="0"/>
          <w:marTop w:val="0"/>
          <w:marBottom w:val="150"/>
          <w:divBdr>
            <w:top w:val="none" w:sz="0" w:space="0" w:color="auto"/>
            <w:left w:val="none" w:sz="0" w:space="0" w:color="auto"/>
            <w:bottom w:val="none" w:sz="0" w:space="0" w:color="auto"/>
            <w:right w:val="none" w:sz="0" w:space="0" w:color="auto"/>
          </w:divBdr>
          <w:divsChild>
            <w:div w:id="1122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536818">
      <w:bodyDiv w:val="1"/>
      <w:marLeft w:val="0"/>
      <w:marRight w:val="0"/>
      <w:marTop w:val="0"/>
      <w:marBottom w:val="0"/>
      <w:divBdr>
        <w:top w:val="none" w:sz="0" w:space="0" w:color="auto"/>
        <w:left w:val="none" w:sz="0" w:space="0" w:color="auto"/>
        <w:bottom w:val="none" w:sz="0" w:space="0" w:color="auto"/>
        <w:right w:val="none" w:sz="0" w:space="0" w:color="auto"/>
      </w:divBdr>
      <w:divsChild>
        <w:div w:id="380524141">
          <w:marLeft w:val="0"/>
          <w:marRight w:val="0"/>
          <w:marTop w:val="150"/>
          <w:marBottom w:val="0"/>
          <w:divBdr>
            <w:top w:val="none" w:sz="0" w:space="0" w:color="auto"/>
            <w:left w:val="none" w:sz="0" w:space="0" w:color="auto"/>
            <w:bottom w:val="none" w:sz="0" w:space="0" w:color="auto"/>
            <w:right w:val="none" w:sz="0" w:space="0" w:color="auto"/>
          </w:divBdr>
          <w:divsChild>
            <w:div w:id="2826920">
              <w:marLeft w:val="0"/>
              <w:marRight w:val="0"/>
              <w:marTop w:val="0"/>
              <w:marBottom w:val="0"/>
              <w:divBdr>
                <w:top w:val="none" w:sz="0" w:space="0" w:color="auto"/>
                <w:left w:val="none" w:sz="0" w:space="0" w:color="auto"/>
                <w:bottom w:val="none" w:sz="0" w:space="0" w:color="auto"/>
                <w:right w:val="none" w:sz="0" w:space="0" w:color="auto"/>
              </w:divBdr>
              <w:divsChild>
                <w:div w:id="1711879889">
                  <w:marLeft w:val="75"/>
                  <w:marRight w:val="0"/>
                  <w:marTop w:val="0"/>
                  <w:marBottom w:val="0"/>
                  <w:divBdr>
                    <w:top w:val="none" w:sz="0" w:space="0" w:color="auto"/>
                    <w:left w:val="none" w:sz="0" w:space="0" w:color="auto"/>
                    <w:bottom w:val="none" w:sz="0" w:space="0" w:color="auto"/>
                    <w:right w:val="none" w:sz="0" w:space="0" w:color="auto"/>
                  </w:divBdr>
                </w:div>
                <w:div w:id="212803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073639">
          <w:marLeft w:val="0"/>
          <w:marRight w:val="0"/>
          <w:marTop w:val="0"/>
          <w:marBottom w:val="0"/>
          <w:divBdr>
            <w:top w:val="none" w:sz="0" w:space="0" w:color="auto"/>
            <w:left w:val="none" w:sz="0" w:space="0" w:color="auto"/>
            <w:bottom w:val="none" w:sz="0" w:space="0" w:color="auto"/>
            <w:right w:val="none" w:sz="0" w:space="0" w:color="auto"/>
          </w:divBdr>
          <w:divsChild>
            <w:div w:id="75197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914559">
      <w:bodyDiv w:val="1"/>
      <w:marLeft w:val="0"/>
      <w:marRight w:val="0"/>
      <w:marTop w:val="0"/>
      <w:marBottom w:val="0"/>
      <w:divBdr>
        <w:top w:val="none" w:sz="0" w:space="0" w:color="auto"/>
        <w:left w:val="none" w:sz="0" w:space="0" w:color="auto"/>
        <w:bottom w:val="none" w:sz="0" w:space="0" w:color="auto"/>
        <w:right w:val="none" w:sz="0" w:space="0" w:color="auto"/>
      </w:divBdr>
      <w:divsChild>
        <w:div w:id="767701819">
          <w:marLeft w:val="0"/>
          <w:marRight w:val="0"/>
          <w:marTop w:val="0"/>
          <w:marBottom w:val="0"/>
          <w:divBdr>
            <w:top w:val="none" w:sz="0" w:space="0" w:color="auto"/>
            <w:left w:val="none" w:sz="0" w:space="0" w:color="auto"/>
            <w:bottom w:val="none" w:sz="0" w:space="0" w:color="auto"/>
            <w:right w:val="none" w:sz="0" w:space="0" w:color="auto"/>
          </w:divBdr>
        </w:div>
      </w:divsChild>
    </w:div>
    <w:div w:id="1944989805">
      <w:bodyDiv w:val="1"/>
      <w:marLeft w:val="0"/>
      <w:marRight w:val="0"/>
      <w:marTop w:val="0"/>
      <w:marBottom w:val="0"/>
      <w:divBdr>
        <w:top w:val="none" w:sz="0" w:space="0" w:color="auto"/>
        <w:left w:val="none" w:sz="0" w:space="0" w:color="auto"/>
        <w:bottom w:val="none" w:sz="0" w:space="0" w:color="auto"/>
        <w:right w:val="none" w:sz="0" w:space="0" w:color="auto"/>
      </w:divBdr>
      <w:divsChild>
        <w:div w:id="1512186221">
          <w:marLeft w:val="0"/>
          <w:marRight w:val="0"/>
          <w:marTop w:val="0"/>
          <w:marBottom w:val="0"/>
          <w:divBdr>
            <w:top w:val="none" w:sz="0" w:space="0" w:color="auto"/>
            <w:left w:val="none" w:sz="0" w:space="0" w:color="auto"/>
            <w:bottom w:val="none" w:sz="0" w:space="0" w:color="auto"/>
            <w:right w:val="none" w:sz="0" w:space="0" w:color="auto"/>
          </w:divBdr>
        </w:div>
      </w:divsChild>
    </w:div>
    <w:div w:id="1944990797">
      <w:bodyDiv w:val="1"/>
      <w:marLeft w:val="0"/>
      <w:marRight w:val="0"/>
      <w:marTop w:val="0"/>
      <w:marBottom w:val="0"/>
      <w:divBdr>
        <w:top w:val="none" w:sz="0" w:space="0" w:color="auto"/>
        <w:left w:val="none" w:sz="0" w:space="0" w:color="auto"/>
        <w:bottom w:val="none" w:sz="0" w:space="0" w:color="auto"/>
        <w:right w:val="none" w:sz="0" w:space="0" w:color="auto"/>
      </w:divBdr>
    </w:div>
    <w:div w:id="1945337814">
      <w:bodyDiv w:val="1"/>
      <w:marLeft w:val="0"/>
      <w:marRight w:val="0"/>
      <w:marTop w:val="0"/>
      <w:marBottom w:val="0"/>
      <w:divBdr>
        <w:top w:val="none" w:sz="0" w:space="0" w:color="auto"/>
        <w:left w:val="none" w:sz="0" w:space="0" w:color="auto"/>
        <w:bottom w:val="none" w:sz="0" w:space="0" w:color="auto"/>
        <w:right w:val="none" w:sz="0" w:space="0" w:color="auto"/>
      </w:divBdr>
      <w:divsChild>
        <w:div w:id="348677692">
          <w:marLeft w:val="0"/>
          <w:marRight w:val="0"/>
          <w:marTop w:val="0"/>
          <w:marBottom w:val="150"/>
          <w:divBdr>
            <w:top w:val="none" w:sz="0" w:space="0" w:color="auto"/>
            <w:left w:val="none" w:sz="0" w:space="0" w:color="auto"/>
            <w:bottom w:val="none" w:sz="0" w:space="0" w:color="auto"/>
            <w:right w:val="none" w:sz="0" w:space="0" w:color="auto"/>
          </w:divBdr>
          <w:divsChild>
            <w:div w:id="1990816420">
              <w:marLeft w:val="0"/>
              <w:marRight w:val="0"/>
              <w:marTop w:val="0"/>
              <w:marBottom w:val="0"/>
              <w:divBdr>
                <w:top w:val="none" w:sz="0" w:space="0" w:color="auto"/>
                <w:left w:val="none" w:sz="0" w:space="0" w:color="auto"/>
                <w:bottom w:val="none" w:sz="0" w:space="0" w:color="auto"/>
                <w:right w:val="none" w:sz="0" w:space="0" w:color="auto"/>
              </w:divBdr>
            </w:div>
          </w:divsChild>
        </w:div>
        <w:div w:id="967734840">
          <w:marLeft w:val="0"/>
          <w:marRight w:val="0"/>
          <w:marTop w:val="0"/>
          <w:marBottom w:val="0"/>
          <w:divBdr>
            <w:top w:val="none" w:sz="0" w:space="0" w:color="auto"/>
            <w:left w:val="none" w:sz="0" w:space="0" w:color="auto"/>
            <w:bottom w:val="none" w:sz="0" w:space="0" w:color="auto"/>
            <w:right w:val="none" w:sz="0" w:space="0" w:color="auto"/>
          </w:divBdr>
          <w:divsChild>
            <w:div w:id="1516068352">
              <w:marLeft w:val="0"/>
              <w:marRight w:val="0"/>
              <w:marTop w:val="0"/>
              <w:marBottom w:val="0"/>
              <w:divBdr>
                <w:top w:val="none" w:sz="0" w:space="0" w:color="auto"/>
                <w:left w:val="none" w:sz="0" w:space="0" w:color="auto"/>
                <w:bottom w:val="none" w:sz="0" w:space="0" w:color="auto"/>
                <w:right w:val="none" w:sz="0" w:space="0" w:color="auto"/>
              </w:divBdr>
            </w:div>
          </w:divsChild>
        </w:div>
        <w:div w:id="1015302240">
          <w:marLeft w:val="0"/>
          <w:marRight w:val="0"/>
          <w:marTop w:val="0"/>
          <w:marBottom w:val="150"/>
          <w:divBdr>
            <w:top w:val="none" w:sz="0" w:space="0" w:color="auto"/>
            <w:left w:val="none" w:sz="0" w:space="0" w:color="auto"/>
            <w:bottom w:val="none" w:sz="0" w:space="0" w:color="auto"/>
            <w:right w:val="none" w:sz="0" w:space="0" w:color="auto"/>
          </w:divBdr>
        </w:div>
      </w:divsChild>
    </w:div>
    <w:div w:id="1945384781">
      <w:bodyDiv w:val="1"/>
      <w:marLeft w:val="0"/>
      <w:marRight w:val="0"/>
      <w:marTop w:val="0"/>
      <w:marBottom w:val="0"/>
      <w:divBdr>
        <w:top w:val="none" w:sz="0" w:space="0" w:color="auto"/>
        <w:left w:val="none" w:sz="0" w:space="0" w:color="auto"/>
        <w:bottom w:val="none" w:sz="0" w:space="0" w:color="auto"/>
        <w:right w:val="none" w:sz="0" w:space="0" w:color="auto"/>
      </w:divBdr>
      <w:divsChild>
        <w:div w:id="391469415">
          <w:marLeft w:val="0"/>
          <w:marRight w:val="0"/>
          <w:marTop w:val="0"/>
          <w:marBottom w:val="450"/>
          <w:divBdr>
            <w:top w:val="none" w:sz="0" w:space="0" w:color="auto"/>
            <w:left w:val="none" w:sz="0" w:space="0" w:color="auto"/>
            <w:bottom w:val="single" w:sz="6" w:space="19" w:color="EEEEEE"/>
            <w:right w:val="none" w:sz="0" w:space="0" w:color="auto"/>
          </w:divBdr>
          <w:divsChild>
            <w:div w:id="58293045">
              <w:marLeft w:val="0"/>
              <w:marRight w:val="0"/>
              <w:marTop w:val="0"/>
              <w:marBottom w:val="150"/>
              <w:divBdr>
                <w:top w:val="none" w:sz="0" w:space="0" w:color="auto"/>
                <w:left w:val="none" w:sz="0" w:space="0" w:color="auto"/>
                <w:bottom w:val="none" w:sz="0" w:space="0" w:color="auto"/>
                <w:right w:val="none" w:sz="0" w:space="0" w:color="auto"/>
              </w:divBdr>
              <w:divsChild>
                <w:div w:id="1281185948">
                  <w:marLeft w:val="0"/>
                  <w:marRight w:val="0"/>
                  <w:marTop w:val="0"/>
                  <w:marBottom w:val="0"/>
                  <w:divBdr>
                    <w:top w:val="none" w:sz="0" w:space="0" w:color="auto"/>
                    <w:left w:val="none" w:sz="0" w:space="0" w:color="auto"/>
                    <w:bottom w:val="none" w:sz="0" w:space="0" w:color="auto"/>
                    <w:right w:val="none" w:sz="0" w:space="0" w:color="auto"/>
                  </w:divBdr>
                </w:div>
              </w:divsChild>
            </w:div>
            <w:div w:id="1002122244">
              <w:marLeft w:val="0"/>
              <w:marRight w:val="0"/>
              <w:marTop w:val="0"/>
              <w:marBottom w:val="0"/>
              <w:divBdr>
                <w:top w:val="none" w:sz="0" w:space="0" w:color="auto"/>
                <w:left w:val="none" w:sz="0" w:space="0" w:color="auto"/>
                <w:bottom w:val="none" w:sz="0" w:space="0" w:color="auto"/>
                <w:right w:val="none" w:sz="0" w:space="0" w:color="auto"/>
              </w:divBdr>
            </w:div>
          </w:divsChild>
        </w:div>
        <w:div w:id="709453911">
          <w:marLeft w:val="0"/>
          <w:marRight w:val="0"/>
          <w:marTop w:val="0"/>
          <w:marBottom w:val="0"/>
          <w:divBdr>
            <w:top w:val="none" w:sz="0" w:space="0" w:color="auto"/>
            <w:left w:val="none" w:sz="0" w:space="0" w:color="auto"/>
            <w:bottom w:val="none" w:sz="0" w:space="0" w:color="auto"/>
            <w:right w:val="none" w:sz="0" w:space="0" w:color="auto"/>
          </w:divBdr>
          <w:divsChild>
            <w:div w:id="332269006">
              <w:marLeft w:val="0"/>
              <w:marRight w:val="0"/>
              <w:marTop w:val="0"/>
              <w:marBottom w:val="0"/>
              <w:divBdr>
                <w:top w:val="none" w:sz="0" w:space="0" w:color="auto"/>
                <w:left w:val="none" w:sz="0" w:space="0" w:color="auto"/>
                <w:bottom w:val="none" w:sz="0" w:space="0" w:color="auto"/>
                <w:right w:val="none" w:sz="0" w:space="0" w:color="auto"/>
              </w:divBdr>
              <w:divsChild>
                <w:div w:id="140838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301586">
      <w:bodyDiv w:val="1"/>
      <w:marLeft w:val="0"/>
      <w:marRight w:val="0"/>
      <w:marTop w:val="0"/>
      <w:marBottom w:val="0"/>
      <w:divBdr>
        <w:top w:val="none" w:sz="0" w:space="0" w:color="auto"/>
        <w:left w:val="none" w:sz="0" w:space="0" w:color="auto"/>
        <w:bottom w:val="none" w:sz="0" w:space="0" w:color="auto"/>
        <w:right w:val="none" w:sz="0" w:space="0" w:color="auto"/>
      </w:divBdr>
      <w:divsChild>
        <w:div w:id="1584340257">
          <w:marLeft w:val="0"/>
          <w:marRight w:val="0"/>
          <w:marTop w:val="0"/>
          <w:marBottom w:val="150"/>
          <w:divBdr>
            <w:top w:val="none" w:sz="0" w:space="0" w:color="auto"/>
            <w:left w:val="none" w:sz="0" w:space="0" w:color="auto"/>
            <w:bottom w:val="none" w:sz="0" w:space="0" w:color="auto"/>
            <w:right w:val="none" w:sz="0" w:space="0" w:color="auto"/>
          </w:divBdr>
        </w:div>
      </w:divsChild>
    </w:div>
    <w:div w:id="1946838093">
      <w:bodyDiv w:val="1"/>
      <w:marLeft w:val="0"/>
      <w:marRight w:val="0"/>
      <w:marTop w:val="0"/>
      <w:marBottom w:val="0"/>
      <w:divBdr>
        <w:top w:val="none" w:sz="0" w:space="0" w:color="auto"/>
        <w:left w:val="none" w:sz="0" w:space="0" w:color="auto"/>
        <w:bottom w:val="none" w:sz="0" w:space="0" w:color="auto"/>
        <w:right w:val="none" w:sz="0" w:space="0" w:color="auto"/>
      </w:divBdr>
    </w:div>
    <w:div w:id="1947076472">
      <w:bodyDiv w:val="1"/>
      <w:marLeft w:val="0"/>
      <w:marRight w:val="0"/>
      <w:marTop w:val="0"/>
      <w:marBottom w:val="0"/>
      <w:divBdr>
        <w:top w:val="none" w:sz="0" w:space="0" w:color="auto"/>
        <w:left w:val="none" w:sz="0" w:space="0" w:color="auto"/>
        <w:bottom w:val="none" w:sz="0" w:space="0" w:color="auto"/>
        <w:right w:val="none" w:sz="0" w:space="0" w:color="auto"/>
      </w:divBdr>
      <w:divsChild>
        <w:div w:id="1899507935">
          <w:marLeft w:val="0"/>
          <w:marRight w:val="0"/>
          <w:marTop w:val="0"/>
          <w:marBottom w:val="0"/>
          <w:divBdr>
            <w:top w:val="none" w:sz="0" w:space="0" w:color="auto"/>
            <w:left w:val="none" w:sz="0" w:space="0" w:color="auto"/>
            <w:bottom w:val="none" w:sz="0" w:space="0" w:color="auto"/>
            <w:right w:val="none" w:sz="0" w:space="0" w:color="auto"/>
          </w:divBdr>
          <w:divsChild>
            <w:div w:id="90705526">
              <w:marLeft w:val="0"/>
              <w:marRight w:val="0"/>
              <w:marTop w:val="0"/>
              <w:marBottom w:val="0"/>
              <w:divBdr>
                <w:top w:val="none" w:sz="0" w:space="0" w:color="auto"/>
                <w:left w:val="none" w:sz="0" w:space="0" w:color="auto"/>
                <w:bottom w:val="none" w:sz="0" w:space="0" w:color="auto"/>
                <w:right w:val="none" w:sz="0" w:space="0" w:color="auto"/>
              </w:divBdr>
            </w:div>
            <w:div w:id="90901853">
              <w:marLeft w:val="0"/>
              <w:marRight w:val="0"/>
              <w:marTop w:val="0"/>
              <w:marBottom w:val="0"/>
              <w:divBdr>
                <w:top w:val="none" w:sz="0" w:space="0" w:color="auto"/>
                <w:left w:val="none" w:sz="0" w:space="0" w:color="auto"/>
                <w:bottom w:val="none" w:sz="0" w:space="0" w:color="auto"/>
                <w:right w:val="none" w:sz="0" w:space="0" w:color="auto"/>
              </w:divBdr>
            </w:div>
            <w:div w:id="115370903">
              <w:marLeft w:val="0"/>
              <w:marRight w:val="0"/>
              <w:marTop w:val="0"/>
              <w:marBottom w:val="0"/>
              <w:divBdr>
                <w:top w:val="none" w:sz="0" w:space="0" w:color="auto"/>
                <w:left w:val="none" w:sz="0" w:space="0" w:color="auto"/>
                <w:bottom w:val="none" w:sz="0" w:space="0" w:color="auto"/>
                <w:right w:val="none" w:sz="0" w:space="0" w:color="auto"/>
              </w:divBdr>
            </w:div>
            <w:div w:id="164370500">
              <w:marLeft w:val="0"/>
              <w:marRight w:val="0"/>
              <w:marTop w:val="0"/>
              <w:marBottom w:val="0"/>
              <w:divBdr>
                <w:top w:val="none" w:sz="0" w:space="0" w:color="auto"/>
                <w:left w:val="none" w:sz="0" w:space="0" w:color="auto"/>
                <w:bottom w:val="none" w:sz="0" w:space="0" w:color="auto"/>
                <w:right w:val="none" w:sz="0" w:space="0" w:color="auto"/>
              </w:divBdr>
            </w:div>
            <w:div w:id="170996983">
              <w:marLeft w:val="0"/>
              <w:marRight w:val="0"/>
              <w:marTop w:val="0"/>
              <w:marBottom w:val="0"/>
              <w:divBdr>
                <w:top w:val="none" w:sz="0" w:space="0" w:color="auto"/>
                <w:left w:val="none" w:sz="0" w:space="0" w:color="auto"/>
                <w:bottom w:val="none" w:sz="0" w:space="0" w:color="auto"/>
                <w:right w:val="none" w:sz="0" w:space="0" w:color="auto"/>
              </w:divBdr>
            </w:div>
            <w:div w:id="218831710">
              <w:marLeft w:val="0"/>
              <w:marRight w:val="0"/>
              <w:marTop w:val="0"/>
              <w:marBottom w:val="0"/>
              <w:divBdr>
                <w:top w:val="none" w:sz="0" w:space="0" w:color="auto"/>
                <w:left w:val="none" w:sz="0" w:space="0" w:color="auto"/>
                <w:bottom w:val="none" w:sz="0" w:space="0" w:color="auto"/>
                <w:right w:val="none" w:sz="0" w:space="0" w:color="auto"/>
              </w:divBdr>
            </w:div>
            <w:div w:id="257177782">
              <w:marLeft w:val="0"/>
              <w:marRight w:val="0"/>
              <w:marTop w:val="0"/>
              <w:marBottom w:val="0"/>
              <w:divBdr>
                <w:top w:val="none" w:sz="0" w:space="0" w:color="auto"/>
                <w:left w:val="none" w:sz="0" w:space="0" w:color="auto"/>
                <w:bottom w:val="none" w:sz="0" w:space="0" w:color="auto"/>
                <w:right w:val="none" w:sz="0" w:space="0" w:color="auto"/>
              </w:divBdr>
            </w:div>
            <w:div w:id="310015798">
              <w:marLeft w:val="0"/>
              <w:marRight w:val="0"/>
              <w:marTop w:val="0"/>
              <w:marBottom w:val="0"/>
              <w:divBdr>
                <w:top w:val="none" w:sz="0" w:space="0" w:color="auto"/>
                <w:left w:val="none" w:sz="0" w:space="0" w:color="auto"/>
                <w:bottom w:val="none" w:sz="0" w:space="0" w:color="auto"/>
                <w:right w:val="none" w:sz="0" w:space="0" w:color="auto"/>
              </w:divBdr>
            </w:div>
            <w:div w:id="331446777">
              <w:marLeft w:val="0"/>
              <w:marRight w:val="0"/>
              <w:marTop w:val="0"/>
              <w:marBottom w:val="0"/>
              <w:divBdr>
                <w:top w:val="none" w:sz="0" w:space="0" w:color="auto"/>
                <w:left w:val="none" w:sz="0" w:space="0" w:color="auto"/>
                <w:bottom w:val="none" w:sz="0" w:space="0" w:color="auto"/>
                <w:right w:val="none" w:sz="0" w:space="0" w:color="auto"/>
              </w:divBdr>
            </w:div>
            <w:div w:id="344596872">
              <w:marLeft w:val="0"/>
              <w:marRight w:val="0"/>
              <w:marTop w:val="0"/>
              <w:marBottom w:val="0"/>
              <w:divBdr>
                <w:top w:val="none" w:sz="0" w:space="0" w:color="auto"/>
                <w:left w:val="none" w:sz="0" w:space="0" w:color="auto"/>
                <w:bottom w:val="none" w:sz="0" w:space="0" w:color="auto"/>
                <w:right w:val="none" w:sz="0" w:space="0" w:color="auto"/>
              </w:divBdr>
            </w:div>
            <w:div w:id="446583601">
              <w:marLeft w:val="0"/>
              <w:marRight w:val="0"/>
              <w:marTop w:val="0"/>
              <w:marBottom w:val="0"/>
              <w:divBdr>
                <w:top w:val="none" w:sz="0" w:space="0" w:color="auto"/>
                <w:left w:val="none" w:sz="0" w:space="0" w:color="auto"/>
                <w:bottom w:val="none" w:sz="0" w:space="0" w:color="auto"/>
                <w:right w:val="none" w:sz="0" w:space="0" w:color="auto"/>
              </w:divBdr>
            </w:div>
            <w:div w:id="525143814">
              <w:marLeft w:val="0"/>
              <w:marRight w:val="0"/>
              <w:marTop w:val="0"/>
              <w:marBottom w:val="0"/>
              <w:divBdr>
                <w:top w:val="none" w:sz="0" w:space="0" w:color="auto"/>
                <w:left w:val="none" w:sz="0" w:space="0" w:color="auto"/>
                <w:bottom w:val="none" w:sz="0" w:space="0" w:color="auto"/>
                <w:right w:val="none" w:sz="0" w:space="0" w:color="auto"/>
              </w:divBdr>
            </w:div>
            <w:div w:id="577404115">
              <w:marLeft w:val="0"/>
              <w:marRight w:val="0"/>
              <w:marTop w:val="0"/>
              <w:marBottom w:val="0"/>
              <w:divBdr>
                <w:top w:val="none" w:sz="0" w:space="0" w:color="auto"/>
                <w:left w:val="none" w:sz="0" w:space="0" w:color="auto"/>
                <w:bottom w:val="none" w:sz="0" w:space="0" w:color="auto"/>
                <w:right w:val="none" w:sz="0" w:space="0" w:color="auto"/>
              </w:divBdr>
            </w:div>
            <w:div w:id="729812080">
              <w:marLeft w:val="0"/>
              <w:marRight w:val="0"/>
              <w:marTop w:val="0"/>
              <w:marBottom w:val="0"/>
              <w:divBdr>
                <w:top w:val="none" w:sz="0" w:space="0" w:color="auto"/>
                <w:left w:val="none" w:sz="0" w:space="0" w:color="auto"/>
                <w:bottom w:val="none" w:sz="0" w:space="0" w:color="auto"/>
                <w:right w:val="none" w:sz="0" w:space="0" w:color="auto"/>
              </w:divBdr>
            </w:div>
            <w:div w:id="791897426">
              <w:marLeft w:val="0"/>
              <w:marRight w:val="0"/>
              <w:marTop w:val="0"/>
              <w:marBottom w:val="0"/>
              <w:divBdr>
                <w:top w:val="none" w:sz="0" w:space="0" w:color="auto"/>
                <w:left w:val="none" w:sz="0" w:space="0" w:color="auto"/>
                <w:bottom w:val="none" w:sz="0" w:space="0" w:color="auto"/>
                <w:right w:val="none" w:sz="0" w:space="0" w:color="auto"/>
              </w:divBdr>
            </w:div>
            <w:div w:id="828638754">
              <w:marLeft w:val="0"/>
              <w:marRight w:val="0"/>
              <w:marTop w:val="0"/>
              <w:marBottom w:val="0"/>
              <w:divBdr>
                <w:top w:val="none" w:sz="0" w:space="0" w:color="auto"/>
                <w:left w:val="none" w:sz="0" w:space="0" w:color="auto"/>
                <w:bottom w:val="none" w:sz="0" w:space="0" w:color="auto"/>
                <w:right w:val="none" w:sz="0" w:space="0" w:color="auto"/>
              </w:divBdr>
            </w:div>
            <w:div w:id="851576404">
              <w:marLeft w:val="0"/>
              <w:marRight w:val="0"/>
              <w:marTop w:val="0"/>
              <w:marBottom w:val="0"/>
              <w:divBdr>
                <w:top w:val="none" w:sz="0" w:space="0" w:color="auto"/>
                <w:left w:val="none" w:sz="0" w:space="0" w:color="auto"/>
                <w:bottom w:val="none" w:sz="0" w:space="0" w:color="auto"/>
                <w:right w:val="none" w:sz="0" w:space="0" w:color="auto"/>
              </w:divBdr>
            </w:div>
            <w:div w:id="915211471">
              <w:marLeft w:val="0"/>
              <w:marRight w:val="0"/>
              <w:marTop w:val="0"/>
              <w:marBottom w:val="0"/>
              <w:divBdr>
                <w:top w:val="none" w:sz="0" w:space="0" w:color="auto"/>
                <w:left w:val="none" w:sz="0" w:space="0" w:color="auto"/>
                <w:bottom w:val="none" w:sz="0" w:space="0" w:color="auto"/>
                <w:right w:val="none" w:sz="0" w:space="0" w:color="auto"/>
              </w:divBdr>
            </w:div>
            <w:div w:id="1002856220">
              <w:marLeft w:val="0"/>
              <w:marRight w:val="0"/>
              <w:marTop w:val="0"/>
              <w:marBottom w:val="0"/>
              <w:divBdr>
                <w:top w:val="none" w:sz="0" w:space="0" w:color="auto"/>
                <w:left w:val="none" w:sz="0" w:space="0" w:color="auto"/>
                <w:bottom w:val="none" w:sz="0" w:space="0" w:color="auto"/>
                <w:right w:val="none" w:sz="0" w:space="0" w:color="auto"/>
              </w:divBdr>
            </w:div>
            <w:div w:id="1028527045">
              <w:marLeft w:val="0"/>
              <w:marRight w:val="0"/>
              <w:marTop w:val="0"/>
              <w:marBottom w:val="0"/>
              <w:divBdr>
                <w:top w:val="none" w:sz="0" w:space="0" w:color="auto"/>
                <w:left w:val="none" w:sz="0" w:space="0" w:color="auto"/>
                <w:bottom w:val="none" w:sz="0" w:space="0" w:color="auto"/>
                <w:right w:val="none" w:sz="0" w:space="0" w:color="auto"/>
              </w:divBdr>
            </w:div>
            <w:div w:id="1151294234">
              <w:marLeft w:val="0"/>
              <w:marRight w:val="0"/>
              <w:marTop w:val="0"/>
              <w:marBottom w:val="0"/>
              <w:divBdr>
                <w:top w:val="none" w:sz="0" w:space="0" w:color="auto"/>
                <w:left w:val="none" w:sz="0" w:space="0" w:color="auto"/>
                <w:bottom w:val="none" w:sz="0" w:space="0" w:color="auto"/>
                <w:right w:val="none" w:sz="0" w:space="0" w:color="auto"/>
              </w:divBdr>
            </w:div>
            <w:div w:id="1345127364">
              <w:marLeft w:val="0"/>
              <w:marRight w:val="0"/>
              <w:marTop w:val="0"/>
              <w:marBottom w:val="0"/>
              <w:divBdr>
                <w:top w:val="none" w:sz="0" w:space="0" w:color="auto"/>
                <w:left w:val="none" w:sz="0" w:space="0" w:color="auto"/>
                <w:bottom w:val="none" w:sz="0" w:space="0" w:color="auto"/>
                <w:right w:val="none" w:sz="0" w:space="0" w:color="auto"/>
              </w:divBdr>
            </w:div>
            <w:div w:id="1356030820">
              <w:marLeft w:val="0"/>
              <w:marRight w:val="0"/>
              <w:marTop w:val="0"/>
              <w:marBottom w:val="0"/>
              <w:divBdr>
                <w:top w:val="none" w:sz="0" w:space="0" w:color="auto"/>
                <w:left w:val="none" w:sz="0" w:space="0" w:color="auto"/>
                <w:bottom w:val="none" w:sz="0" w:space="0" w:color="auto"/>
                <w:right w:val="none" w:sz="0" w:space="0" w:color="auto"/>
              </w:divBdr>
            </w:div>
            <w:div w:id="1436747841">
              <w:marLeft w:val="0"/>
              <w:marRight w:val="0"/>
              <w:marTop w:val="0"/>
              <w:marBottom w:val="0"/>
              <w:divBdr>
                <w:top w:val="none" w:sz="0" w:space="0" w:color="auto"/>
                <w:left w:val="none" w:sz="0" w:space="0" w:color="auto"/>
                <w:bottom w:val="none" w:sz="0" w:space="0" w:color="auto"/>
                <w:right w:val="none" w:sz="0" w:space="0" w:color="auto"/>
              </w:divBdr>
            </w:div>
            <w:div w:id="1521353296">
              <w:marLeft w:val="0"/>
              <w:marRight w:val="0"/>
              <w:marTop w:val="0"/>
              <w:marBottom w:val="0"/>
              <w:divBdr>
                <w:top w:val="none" w:sz="0" w:space="0" w:color="auto"/>
                <w:left w:val="none" w:sz="0" w:space="0" w:color="auto"/>
                <w:bottom w:val="none" w:sz="0" w:space="0" w:color="auto"/>
                <w:right w:val="none" w:sz="0" w:space="0" w:color="auto"/>
              </w:divBdr>
            </w:div>
            <w:div w:id="1565407343">
              <w:marLeft w:val="0"/>
              <w:marRight w:val="0"/>
              <w:marTop w:val="0"/>
              <w:marBottom w:val="0"/>
              <w:divBdr>
                <w:top w:val="none" w:sz="0" w:space="0" w:color="auto"/>
                <w:left w:val="none" w:sz="0" w:space="0" w:color="auto"/>
                <w:bottom w:val="none" w:sz="0" w:space="0" w:color="auto"/>
                <w:right w:val="none" w:sz="0" w:space="0" w:color="auto"/>
              </w:divBdr>
            </w:div>
            <w:div w:id="1576162655">
              <w:marLeft w:val="0"/>
              <w:marRight w:val="0"/>
              <w:marTop w:val="0"/>
              <w:marBottom w:val="0"/>
              <w:divBdr>
                <w:top w:val="none" w:sz="0" w:space="0" w:color="auto"/>
                <w:left w:val="none" w:sz="0" w:space="0" w:color="auto"/>
                <w:bottom w:val="none" w:sz="0" w:space="0" w:color="auto"/>
                <w:right w:val="none" w:sz="0" w:space="0" w:color="auto"/>
              </w:divBdr>
            </w:div>
            <w:div w:id="1588999785">
              <w:marLeft w:val="0"/>
              <w:marRight w:val="0"/>
              <w:marTop w:val="0"/>
              <w:marBottom w:val="0"/>
              <w:divBdr>
                <w:top w:val="none" w:sz="0" w:space="0" w:color="auto"/>
                <w:left w:val="none" w:sz="0" w:space="0" w:color="auto"/>
                <w:bottom w:val="none" w:sz="0" w:space="0" w:color="auto"/>
                <w:right w:val="none" w:sz="0" w:space="0" w:color="auto"/>
              </w:divBdr>
            </w:div>
            <w:div w:id="1705014141">
              <w:marLeft w:val="0"/>
              <w:marRight w:val="0"/>
              <w:marTop w:val="0"/>
              <w:marBottom w:val="0"/>
              <w:divBdr>
                <w:top w:val="none" w:sz="0" w:space="0" w:color="auto"/>
                <w:left w:val="none" w:sz="0" w:space="0" w:color="auto"/>
                <w:bottom w:val="none" w:sz="0" w:space="0" w:color="auto"/>
                <w:right w:val="none" w:sz="0" w:space="0" w:color="auto"/>
              </w:divBdr>
            </w:div>
            <w:div w:id="1726366926">
              <w:marLeft w:val="0"/>
              <w:marRight w:val="0"/>
              <w:marTop w:val="0"/>
              <w:marBottom w:val="0"/>
              <w:divBdr>
                <w:top w:val="none" w:sz="0" w:space="0" w:color="auto"/>
                <w:left w:val="none" w:sz="0" w:space="0" w:color="auto"/>
                <w:bottom w:val="none" w:sz="0" w:space="0" w:color="auto"/>
                <w:right w:val="none" w:sz="0" w:space="0" w:color="auto"/>
              </w:divBdr>
            </w:div>
            <w:div w:id="1850942712">
              <w:marLeft w:val="0"/>
              <w:marRight w:val="0"/>
              <w:marTop w:val="0"/>
              <w:marBottom w:val="0"/>
              <w:divBdr>
                <w:top w:val="none" w:sz="0" w:space="0" w:color="auto"/>
                <w:left w:val="none" w:sz="0" w:space="0" w:color="auto"/>
                <w:bottom w:val="none" w:sz="0" w:space="0" w:color="auto"/>
                <w:right w:val="none" w:sz="0" w:space="0" w:color="auto"/>
              </w:divBdr>
            </w:div>
            <w:div w:id="186228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45146">
      <w:bodyDiv w:val="1"/>
      <w:marLeft w:val="0"/>
      <w:marRight w:val="0"/>
      <w:marTop w:val="0"/>
      <w:marBottom w:val="0"/>
      <w:divBdr>
        <w:top w:val="none" w:sz="0" w:space="0" w:color="auto"/>
        <w:left w:val="none" w:sz="0" w:space="0" w:color="auto"/>
        <w:bottom w:val="none" w:sz="0" w:space="0" w:color="auto"/>
        <w:right w:val="none" w:sz="0" w:space="0" w:color="auto"/>
      </w:divBdr>
      <w:divsChild>
        <w:div w:id="1459839790">
          <w:marLeft w:val="0"/>
          <w:marRight w:val="0"/>
          <w:marTop w:val="0"/>
          <w:marBottom w:val="0"/>
          <w:divBdr>
            <w:top w:val="none" w:sz="0" w:space="0" w:color="auto"/>
            <w:left w:val="none" w:sz="0" w:space="0" w:color="auto"/>
            <w:bottom w:val="none" w:sz="0" w:space="0" w:color="auto"/>
            <w:right w:val="none" w:sz="0" w:space="0" w:color="auto"/>
          </w:divBdr>
          <w:divsChild>
            <w:div w:id="454296328">
              <w:marLeft w:val="0"/>
              <w:marRight w:val="0"/>
              <w:marTop w:val="0"/>
              <w:marBottom w:val="0"/>
              <w:divBdr>
                <w:top w:val="none" w:sz="0" w:space="0" w:color="auto"/>
                <w:left w:val="none" w:sz="0" w:space="0" w:color="auto"/>
                <w:bottom w:val="none" w:sz="0" w:space="0" w:color="auto"/>
                <w:right w:val="none" w:sz="0" w:space="0" w:color="auto"/>
              </w:divBdr>
              <w:divsChild>
                <w:div w:id="1270047355">
                  <w:marLeft w:val="0"/>
                  <w:marRight w:val="0"/>
                  <w:marTop w:val="0"/>
                  <w:marBottom w:val="0"/>
                  <w:divBdr>
                    <w:top w:val="none" w:sz="0" w:space="0" w:color="auto"/>
                    <w:left w:val="none" w:sz="0" w:space="0" w:color="auto"/>
                    <w:bottom w:val="none" w:sz="0" w:space="0" w:color="auto"/>
                    <w:right w:val="none" w:sz="0" w:space="0" w:color="auto"/>
                  </w:divBdr>
                  <w:divsChild>
                    <w:div w:id="1308439688">
                      <w:marLeft w:val="0"/>
                      <w:marRight w:val="0"/>
                      <w:marTop w:val="0"/>
                      <w:marBottom w:val="0"/>
                      <w:divBdr>
                        <w:top w:val="none" w:sz="0" w:space="0" w:color="auto"/>
                        <w:left w:val="none" w:sz="0" w:space="0" w:color="auto"/>
                        <w:bottom w:val="none" w:sz="0" w:space="0" w:color="auto"/>
                        <w:right w:val="none" w:sz="0" w:space="0" w:color="auto"/>
                      </w:divBdr>
                      <w:divsChild>
                        <w:div w:id="1456172602">
                          <w:marLeft w:val="0"/>
                          <w:marRight w:val="0"/>
                          <w:marTop w:val="0"/>
                          <w:marBottom w:val="0"/>
                          <w:divBdr>
                            <w:top w:val="none" w:sz="0" w:space="0" w:color="auto"/>
                            <w:left w:val="none" w:sz="0" w:space="0" w:color="auto"/>
                            <w:bottom w:val="none" w:sz="0" w:space="0" w:color="auto"/>
                            <w:right w:val="none" w:sz="0" w:space="0" w:color="auto"/>
                          </w:divBdr>
                          <w:divsChild>
                            <w:div w:id="105565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544685">
      <w:bodyDiv w:val="1"/>
      <w:marLeft w:val="0"/>
      <w:marRight w:val="0"/>
      <w:marTop w:val="0"/>
      <w:marBottom w:val="0"/>
      <w:divBdr>
        <w:top w:val="none" w:sz="0" w:space="0" w:color="auto"/>
        <w:left w:val="none" w:sz="0" w:space="0" w:color="auto"/>
        <w:bottom w:val="none" w:sz="0" w:space="0" w:color="auto"/>
        <w:right w:val="none" w:sz="0" w:space="0" w:color="auto"/>
      </w:divBdr>
    </w:div>
    <w:div w:id="1947616246">
      <w:bodyDiv w:val="1"/>
      <w:marLeft w:val="0"/>
      <w:marRight w:val="0"/>
      <w:marTop w:val="0"/>
      <w:marBottom w:val="0"/>
      <w:divBdr>
        <w:top w:val="none" w:sz="0" w:space="0" w:color="auto"/>
        <w:left w:val="none" w:sz="0" w:space="0" w:color="auto"/>
        <w:bottom w:val="none" w:sz="0" w:space="0" w:color="auto"/>
        <w:right w:val="none" w:sz="0" w:space="0" w:color="auto"/>
      </w:divBdr>
    </w:div>
    <w:div w:id="1947881192">
      <w:bodyDiv w:val="1"/>
      <w:marLeft w:val="0"/>
      <w:marRight w:val="0"/>
      <w:marTop w:val="0"/>
      <w:marBottom w:val="0"/>
      <w:divBdr>
        <w:top w:val="none" w:sz="0" w:space="0" w:color="auto"/>
        <w:left w:val="none" w:sz="0" w:space="0" w:color="auto"/>
        <w:bottom w:val="none" w:sz="0" w:space="0" w:color="auto"/>
        <w:right w:val="none" w:sz="0" w:space="0" w:color="auto"/>
      </w:divBdr>
    </w:div>
    <w:div w:id="1947926538">
      <w:bodyDiv w:val="1"/>
      <w:marLeft w:val="0"/>
      <w:marRight w:val="0"/>
      <w:marTop w:val="0"/>
      <w:marBottom w:val="0"/>
      <w:divBdr>
        <w:top w:val="none" w:sz="0" w:space="0" w:color="auto"/>
        <w:left w:val="none" w:sz="0" w:space="0" w:color="auto"/>
        <w:bottom w:val="none" w:sz="0" w:space="0" w:color="auto"/>
        <w:right w:val="none" w:sz="0" w:space="0" w:color="auto"/>
      </w:divBdr>
    </w:div>
    <w:div w:id="1948077848">
      <w:bodyDiv w:val="1"/>
      <w:marLeft w:val="0"/>
      <w:marRight w:val="0"/>
      <w:marTop w:val="0"/>
      <w:marBottom w:val="0"/>
      <w:divBdr>
        <w:top w:val="none" w:sz="0" w:space="0" w:color="auto"/>
        <w:left w:val="none" w:sz="0" w:space="0" w:color="auto"/>
        <w:bottom w:val="none" w:sz="0" w:space="0" w:color="auto"/>
        <w:right w:val="none" w:sz="0" w:space="0" w:color="auto"/>
      </w:divBdr>
      <w:divsChild>
        <w:div w:id="247738144">
          <w:marLeft w:val="0"/>
          <w:marRight w:val="0"/>
          <w:marTop w:val="0"/>
          <w:marBottom w:val="0"/>
          <w:divBdr>
            <w:top w:val="none" w:sz="0" w:space="0" w:color="auto"/>
            <w:left w:val="none" w:sz="0" w:space="0" w:color="auto"/>
            <w:bottom w:val="none" w:sz="0" w:space="0" w:color="auto"/>
            <w:right w:val="none" w:sz="0" w:space="0" w:color="auto"/>
          </w:divBdr>
          <w:divsChild>
            <w:div w:id="1857577965">
              <w:marLeft w:val="0"/>
              <w:marRight w:val="0"/>
              <w:marTop w:val="0"/>
              <w:marBottom w:val="0"/>
              <w:divBdr>
                <w:top w:val="none" w:sz="0" w:space="0" w:color="auto"/>
                <w:left w:val="none" w:sz="0" w:space="0" w:color="auto"/>
                <w:bottom w:val="none" w:sz="0" w:space="0" w:color="auto"/>
                <w:right w:val="none" w:sz="0" w:space="0" w:color="auto"/>
              </w:divBdr>
              <w:divsChild>
                <w:div w:id="607585817">
                  <w:marLeft w:val="0"/>
                  <w:marRight w:val="0"/>
                  <w:marTop w:val="0"/>
                  <w:marBottom w:val="0"/>
                  <w:divBdr>
                    <w:top w:val="none" w:sz="0" w:space="0" w:color="auto"/>
                    <w:left w:val="none" w:sz="0" w:space="0" w:color="auto"/>
                    <w:bottom w:val="none" w:sz="0" w:space="0" w:color="auto"/>
                    <w:right w:val="none" w:sz="0" w:space="0" w:color="auto"/>
                  </w:divBdr>
                  <w:divsChild>
                    <w:div w:id="840779535">
                      <w:marLeft w:val="0"/>
                      <w:marRight w:val="0"/>
                      <w:marTop w:val="0"/>
                      <w:marBottom w:val="0"/>
                      <w:divBdr>
                        <w:top w:val="none" w:sz="0" w:space="0" w:color="auto"/>
                        <w:left w:val="none" w:sz="0" w:space="0" w:color="auto"/>
                        <w:bottom w:val="none" w:sz="0" w:space="0" w:color="auto"/>
                        <w:right w:val="none" w:sz="0" w:space="0" w:color="auto"/>
                      </w:divBdr>
                      <w:divsChild>
                        <w:div w:id="1477911656">
                          <w:marLeft w:val="0"/>
                          <w:marRight w:val="0"/>
                          <w:marTop w:val="0"/>
                          <w:marBottom w:val="0"/>
                          <w:divBdr>
                            <w:top w:val="none" w:sz="0" w:space="0" w:color="auto"/>
                            <w:left w:val="none" w:sz="0" w:space="0" w:color="auto"/>
                            <w:bottom w:val="none" w:sz="0" w:space="0" w:color="auto"/>
                            <w:right w:val="none" w:sz="0" w:space="0" w:color="auto"/>
                          </w:divBdr>
                          <w:divsChild>
                            <w:div w:id="1481844517">
                              <w:marLeft w:val="0"/>
                              <w:marRight w:val="0"/>
                              <w:marTop w:val="0"/>
                              <w:marBottom w:val="0"/>
                              <w:divBdr>
                                <w:top w:val="none" w:sz="0" w:space="0" w:color="auto"/>
                                <w:left w:val="none" w:sz="0" w:space="0" w:color="auto"/>
                                <w:bottom w:val="none" w:sz="0" w:space="0" w:color="auto"/>
                                <w:right w:val="none" w:sz="0" w:space="0" w:color="auto"/>
                              </w:divBdr>
                              <w:divsChild>
                                <w:div w:id="1490562140">
                                  <w:marLeft w:val="0"/>
                                  <w:marRight w:val="0"/>
                                  <w:marTop w:val="0"/>
                                  <w:marBottom w:val="0"/>
                                  <w:divBdr>
                                    <w:top w:val="none" w:sz="0" w:space="0" w:color="auto"/>
                                    <w:left w:val="none" w:sz="0" w:space="0" w:color="auto"/>
                                    <w:bottom w:val="none" w:sz="0" w:space="0" w:color="auto"/>
                                    <w:right w:val="none" w:sz="0" w:space="0" w:color="auto"/>
                                  </w:divBdr>
                                  <w:divsChild>
                                    <w:div w:id="2084526362">
                                      <w:marLeft w:val="0"/>
                                      <w:marRight w:val="0"/>
                                      <w:marTop w:val="0"/>
                                      <w:marBottom w:val="0"/>
                                      <w:divBdr>
                                        <w:top w:val="none" w:sz="0" w:space="0" w:color="auto"/>
                                        <w:left w:val="none" w:sz="0" w:space="0" w:color="auto"/>
                                        <w:bottom w:val="none" w:sz="0" w:space="0" w:color="auto"/>
                                        <w:right w:val="none" w:sz="0" w:space="0" w:color="auto"/>
                                      </w:divBdr>
                                      <w:divsChild>
                                        <w:div w:id="2044282254">
                                          <w:marLeft w:val="0"/>
                                          <w:marRight w:val="0"/>
                                          <w:marTop w:val="0"/>
                                          <w:marBottom w:val="0"/>
                                          <w:divBdr>
                                            <w:top w:val="none" w:sz="0" w:space="0" w:color="auto"/>
                                            <w:left w:val="none" w:sz="0" w:space="0" w:color="auto"/>
                                            <w:bottom w:val="none" w:sz="0" w:space="0" w:color="auto"/>
                                            <w:right w:val="none" w:sz="0" w:space="0" w:color="auto"/>
                                          </w:divBdr>
                                          <w:divsChild>
                                            <w:div w:id="790319099">
                                              <w:marLeft w:val="0"/>
                                              <w:marRight w:val="0"/>
                                              <w:marTop w:val="0"/>
                                              <w:marBottom w:val="0"/>
                                              <w:divBdr>
                                                <w:top w:val="none" w:sz="0" w:space="0" w:color="auto"/>
                                                <w:left w:val="none" w:sz="0" w:space="0" w:color="auto"/>
                                                <w:bottom w:val="none" w:sz="0" w:space="0" w:color="auto"/>
                                                <w:right w:val="none" w:sz="0" w:space="0" w:color="auto"/>
                                              </w:divBdr>
                                            </w:div>
                                            <w:div w:id="1276904628">
                                              <w:marLeft w:val="0"/>
                                              <w:marRight w:val="0"/>
                                              <w:marTop w:val="0"/>
                                              <w:marBottom w:val="0"/>
                                              <w:divBdr>
                                                <w:top w:val="none" w:sz="0" w:space="0" w:color="auto"/>
                                                <w:left w:val="none" w:sz="0" w:space="0" w:color="auto"/>
                                                <w:bottom w:val="none" w:sz="0" w:space="0" w:color="auto"/>
                                                <w:right w:val="none" w:sz="0" w:space="0" w:color="auto"/>
                                              </w:divBdr>
                                            </w:div>
                                            <w:div w:id="189307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8459956">
      <w:bodyDiv w:val="1"/>
      <w:marLeft w:val="0"/>
      <w:marRight w:val="0"/>
      <w:marTop w:val="0"/>
      <w:marBottom w:val="0"/>
      <w:divBdr>
        <w:top w:val="none" w:sz="0" w:space="0" w:color="auto"/>
        <w:left w:val="none" w:sz="0" w:space="0" w:color="auto"/>
        <w:bottom w:val="none" w:sz="0" w:space="0" w:color="auto"/>
        <w:right w:val="none" w:sz="0" w:space="0" w:color="auto"/>
      </w:divBdr>
    </w:div>
    <w:div w:id="1949005906">
      <w:bodyDiv w:val="1"/>
      <w:marLeft w:val="0"/>
      <w:marRight w:val="0"/>
      <w:marTop w:val="0"/>
      <w:marBottom w:val="0"/>
      <w:divBdr>
        <w:top w:val="none" w:sz="0" w:space="0" w:color="auto"/>
        <w:left w:val="none" w:sz="0" w:space="0" w:color="auto"/>
        <w:bottom w:val="none" w:sz="0" w:space="0" w:color="auto"/>
        <w:right w:val="none" w:sz="0" w:space="0" w:color="auto"/>
      </w:divBdr>
    </w:div>
    <w:div w:id="1949047020">
      <w:bodyDiv w:val="1"/>
      <w:marLeft w:val="0"/>
      <w:marRight w:val="0"/>
      <w:marTop w:val="0"/>
      <w:marBottom w:val="0"/>
      <w:divBdr>
        <w:top w:val="none" w:sz="0" w:space="0" w:color="auto"/>
        <w:left w:val="none" w:sz="0" w:space="0" w:color="auto"/>
        <w:bottom w:val="none" w:sz="0" w:space="0" w:color="auto"/>
        <w:right w:val="none" w:sz="0" w:space="0" w:color="auto"/>
      </w:divBdr>
    </w:div>
    <w:div w:id="1949265580">
      <w:bodyDiv w:val="1"/>
      <w:marLeft w:val="0"/>
      <w:marRight w:val="0"/>
      <w:marTop w:val="0"/>
      <w:marBottom w:val="0"/>
      <w:divBdr>
        <w:top w:val="none" w:sz="0" w:space="0" w:color="auto"/>
        <w:left w:val="none" w:sz="0" w:space="0" w:color="auto"/>
        <w:bottom w:val="none" w:sz="0" w:space="0" w:color="auto"/>
        <w:right w:val="none" w:sz="0" w:space="0" w:color="auto"/>
      </w:divBdr>
      <w:divsChild>
        <w:div w:id="349843529">
          <w:marLeft w:val="0"/>
          <w:marRight w:val="0"/>
          <w:marTop w:val="0"/>
          <w:marBottom w:val="150"/>
          <w:divBdr>
            <w:top w:val="none" w:sz="0" w:space="0" w:color="auto"/>
            <w:left w:val="none" w:sz="0" w:space="0" w:color="auto"/>
            <w:bottom w:val="none" w:sz="0" w:space="0" w:color="auto"/>
            <w:right w:val="none" w:sz="0" w:space="0" w:color="auto"/>
          </w:divBdr>
        </w:div>
      </w:divsChild>
    </w:div>
    <w:div w:id="1949265609">
      <w:bodyDiv w:val="1"/>
      <w:marLeft w:val="0"/>
      <w:marRight w:val="0"/>
      <w:marTop w:val="0"/>
      <w:marBottom w:val="0"/>
      <w:divBdr>
        <w:top w:val="none" w:sz="0" w:space="0" w:color="auto"/>
        <w:left w:val="none" w:sz="0" w:space="0" w:color="auto"/>
        <w:bottom w:val="none" w:sz="0" w:space="0" w:color="auto"/>
        <w:right w:val="none" w:sz="0" w:space="0" w:color="auto"/>
      </w:divBdr>
      <w:divsChild>
        <w:div w:id="1520047912">
          <w:marLeft w:val="0"/>
          <w:marRight w:val="0"/>
          <w:marTop w:val="0"/>
          <w:marBottom w:val="0"/>
          <w:divBdr>
            <w:top w:val="none" w:sz="0" w:space="0" w:color="auto"/>
            <w:left w:val="none" w:sz="0" w:space="0" w:color="auto"/>
            <w:bottom w:val="none" w:sz="0" w:space="0" w:color="auto"/>
            <w:right w:val="none" w:sz="0" w:space="0" w:color="auto"/>
          </w:divBdr>
          <w:divsChild>
            <w:div w:id="654841526">
              <w:marLeft w:val="0"/>
              <w:marRight w:val="0"/>
              <w:marTop w:val="0"/>
              <w:marBottom w:val="0"/>
              <w:divBdr>
                <w:top w:val="none" w:sz="0" w:space="0" w:color="auto"/>
                <w:left w:val="none" w:sz="0" w:space="0" w:color="auto"/>
                <w:bottom w:val="none" w:sz="0" w:space="0" w:color="auto"/>
                <w:right w:val="none" w:sz="0" w:space="0" w:color="auto"/>
              </w:divBdr>
              <w:divsChild>
                <w:div w:id="1778939790">
                  <w:marLeft w:val="0"/>
                  <w:marRight w:val="0"/>
                  <w:marTop w:val="0"/>
                  <w:marBottom w:val="0"/>
                  <w:divBdr>
                    <w:top w:val="none" w:sz="0" w:space="0" w:color="auto"/>
                    <w:left w:val="none" w:sz="0" w:space="0" w:color="auto"/>
                    <w:bottom w:val="none" w:sz="0" w:space="0" w:color="auto"/>
                    <w:right w:val="none" w:sz="0" w:space="0" w:color="auto"/>
                  </w:divBdr>
                  <w:divsChild>
                    <w:div w:id="1370374114">
                      <w:marLeft w:val="0"/>
                      <w:marRight w:val="0"/>
                      <w:marTop w:val="0"/>
                      <w:marBottom w:val="0"/>
                      <w:divBdr>
                        <w:top w:val="none" w:sz="0" w:space="0" w:color="auto"/>
                        <w:left w:val="none" w:sz="0" w:space="0" w:color="auto"/>
                        <w:bottom w:val="none" w:sz="0" w:space="0" w:color="auto"/>
                        <w:right w:val="none" w:sz="0" w:space="0" w:color="auto"/>
                      </w:divBdr>
                      <w:divsChild>
                        <w:div w:id="1008673099">
                          <w:marLeft w:val="0"/>
                          <w:marRight w:val="0"/>
                          <w:marTop w:val="0"/>
                          <w:marBottom w:val="0"/>
                          <w:divBdr>
                            <w:top w:val="none" w:sz="0" w:space="0" w:color="auto"/>
                            <w:left w:val="none" w:sz="0" w:space="0" w:color="auto"/>
                            <w:bottom w:val="none" w:sz="0" w:space="0" w:color="auto"/>
                            <w:right w:val="none" w:sz="0" w:space="0" w:color="auto"/>
                          </w:divBdr>
                          <w:divsChild>
                            <w:div w:id="770663943">
                              <w:marLeft w:val="0"/>
                              <w:marRight w:val="0"/>
                              <w:marTop w:val="0"/>
                              <w:marBottom w:val="0"/>
                              <w:divBdr>
                                <w:top w:val="none" w:sz="0" w:space="0" w:color="auto"/>
                                <w:left w:val="none" w:sz="0" w:space="0" w:color="auto"/>
                                <w:bottom w:val="none" w:sz="0" w:space="0" w:color="auto"/>
                                <w:right w:val="none" w:sz="0" w:space="0" w:color="auto"/>
                              </w:divBdr>
                              <w:divsChild>
                                <w:div w:id="76141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392398">
      <w:bodyDiv w:val="1"/>
      <w:marLeft w:val="0"/>
      <w:marRight w:val="0"/>
      <w:marTop w:val="0"/>
      <w:marBottom w:val="0"/>
      <w:divBdr>
        <w:top w:val="none" w:sz="0" w:space="0" w:color="auto"/>
        <w:left w:val="none" w:sz="0" w:space="0" w:color="auto"/>
        <w:bottom w:val="none" w:sz="0" w:space="0" w:color="auto"/>
        <w:right w:val="none" w:sz="0" w:space="0" w:color="auto"/>
      </w:divBdr>
      <w:divsChild>
        <w:div w:id="1118372313">
          <w:marLeft w:val="0"/>
          <w:marRight w:val="0"/>
          <w:marTop w:val="0"/>
          <w:marBottom w:val="0"/>
          <w:divBdr>
            <w:top w:val="none" w:sz="0" w:space="0" w:color="auto"/>
            <w:left w:val="none" w:sz="0" w:space="0" w:color="auto"/>
            <w:bottom w:val="none" w:sz="0" w:space="0" w:color="auto"/>
            <w:right w:val="none" w:sz="0" w:space="0" w:color="auto"/>
          </w:divBdr>
        </w:div>
      </w:divsChild>
    </w:div>
    <w:div w:id="1949963148">
      <w:bodyDiv w:val="1"/>
      <w:marLeft w:val="0"/>
      <w:marRight w:val="0"/>
      <w:marTop w:val="0"/>
      <w:marBottom w:val="0"/>
      <w:divBdr>
        <w:top w:val="none" w:sz="0" w:space="0" w:color="auto"/>
        <w:left w:val="none" w:sz="0" w:space="0" w:color="auto"/>
        <w:bottom w:val="none" w:sz="0" w:space="0" w:color="auto"/>
        <w:right w:val="none" w:sz="0" w:space="0" w:color="auto"/>
      </w:divBdr>
    </w:div>
    <w:div w:id="1950578815">
      <w:bodyDiv w:val="1"/>
      <w:marLeft w:val="0"/>
      <w:marRight w:val="0"/>
      <w:marTop w:val="0"/>
      <w:marBottom w:val="0"/>
      <w:divBdr>
        <w:top w:val="none" w:sz="0" w:space="0" w:color="auto"/>
        <w:left w:val="none" w:sz="0" w:space="0" w:color="auto"/>
        <w:bottom w:val="none" w:sz="0" w:space="0" w:color="auto"/>
        <w:right w:val="none" w:sz="0" w:space="0" w:color="auto"/>
      </w:divBdr>
      <w:divsChild>
        <w:div w:id="2139104548">
          <w:marLeft w:val="0"/>
          <w:marRight w:val="0"/>
          <w:marTop w:val="0"/>
          <w:marBottom w:val="180"/>
          <w:divBdr>
            <w:top w:val="none" w:sz="0" w:space="0" w:color="auto"/>
            <w:left w:val="none" w:sz="0" w:space="0" w:color="auto"/>
            <w:bottom w:val="none" w:sz="0" w:space="0" w:color="auto"/>
            <w:right w:val="none" w:sz="0" w:space="0" w:color="auto"/>
          </w:divBdr>
        </w:div>
      </w:divsChild>
    </w:div>
    <w:div w:id="1950697335">
      <w:bodyDiv w:val="1"/>
      <w:marLeft w:val="0"/>
      <w:marRight w:val="0"/>
      <w:marTop w:val="0"/>
      <w:marBottom w:val="0"/>
      <w:divBdr>
        <w:top w:val="none" w:sz="0" w:space="0" w:color="auto"/>
        <w:left w:val="none" w:sz="0" w:space="0" w:color="auto"/>
        <w:bottom w:val="none" w:sz="0" w:space="0" w:color="auto"/>
        <w:right w:val="none" w:sz="0" w:space="0" w:color="auto"/>
      </w:divBdr>
    </w:div>
    <w:div w:id="1950890261">
      <w:bodyDiv w:val="1"/>
      <w:marLeft w:val="0"/>
      <w:marRight w:val="0"/>
      <w:marTop w:val="0"/>
      <w:marBottom w:val="0"/>
      <w:divBdr>
        <w:top w:val="none" w:sz="0" w:space="0" w:color="auto"/>
        <w:left w:val="none" w:sz="0" w:space="0" w:color="auto"/>
        <w:bottom w:val="none" w:sz="0" w:space="0" w:color="auto"/>
        <w:right w:val="none" w:sz="0" w:space="0" w:color="auto"/>
      </w:divBdr>
      <w:divsChild>
        <w:div w:id="269549671">
          <w:marLeft w:val="0"/>
          <w:marRight w:val="0"/>
          <w:marTop w:val="0"/>
          <w:marBottom w:val="150"/>
          <w:divBdr>
            <w:top w:val="none" w:sz="0" w:space="0" w:color="auto"/>
            <w:left w:val="none" w:sz="0" w:space="0" w:color="auto"/>
            <w:bottom w:val="none" w:sz="0" w:space="0" w:color="auto"/>
            <w:right w:val="none" w:sz="0" w:space="0" w:color="auto"/>
          </w:divBdr>
        </w:div>
      </w:divsChild>
    </w:div>
    <w:div w:id="1951353194">
      <w:bodyDiv w:val="1"/>
      <w:marLeft w:val="0"/>
      <w:marRight w:val="0"/>
      <w:marTop w:val="0"/>
      <w:marBottom w:val="0"/>
      <w:divBdr>
        <w:top w:val="none" w:sz="0" w:space="0" w:color="auto"/>
        <w:left w:val="none" w:sz="0" w:space="0" w:color="auto"/>
        <w:bottom w:val="none" w:sz="0" w:space="0" w:color="auto"/>
        <w:right w:val="none" w:sz="0" w:space="0" w:color="auto"/>
      </w:divBdr>
      <w:divsChild>
        <w:div w:id="1727409682">
          <w:marLeft w:val="0"/>
          <w:marRight w:val="0"/>
          <w:marTop w:val="0"/>
          <w:marBottom w:val="0"/>
          <w:divBdr>
            <w:top w:val="none" w:sz="0" w:space="0" w:color="auto"/>
            <w:left w:val="none" w:sz="0" w:space="0" w:color="auto"/>
            <w:bottom w:val="dotted" w:sz="6" w:space="4" w:color="DDDDDD"/>
            <w:right w:val="none" w:sz="0" w:space="0" w:color="auto"/>
          </w:divBdr>
          <w:divsChild>
            <w:div w:id="132547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68134">
      <w:bodyDiv w:val="1"/>
      <w:marLeft w:val="0"/>
      <w:marRight w:val="0"/>
      <w:marTop w:val="0"/>
      <w:marBottom w:val="0"/>
      <w:divBdr>
        <w:top w:val="none" w:sz="0" w:space="0" w:color="auto"/>
        <w:left w:val="none" w:sz="0" w:space="0" w:color="auto"/>
        <w:bottom w:val="none" w:sz="0" w:space="0" w:color="auto"/>
        <w:right w:val="none" w:sz="0" w:space="0" w:color="auto"/>
      </w:divBdr>
    </w:div>
    <w:div w:id="1951468379">
      <w:bodyDiv w:val="1"/>
      <w:marLeft w:val="0"/>
      <w:marRight w:val="0"/>
      <w:marTop w:val="0"/>
      <w:marBottom w:val="0"/>
      <w:divBdr>
        <w:top w:val="none" w:sz="0" w:space="0" w:color="auto"/>
        <w:left w:val="none" w:sz="0" w:space="0" w:color="auto"/>
        <w:bottom w:val="none" w:sz="0" w:space="0" w:color="auto"/>
        <w:right w:val="none" w:sz="0" w:space="0" w:color="auto"/>
      </w:divBdr>
    </w:div>
    <w:div w:id="1951815865">
      <w:bodyDiv w:val="1"/>
      <w:marLeft w:val="0"/>
      <w:marRight w:val="0"/>
      <w:marTop w:val="0"/>
      <w:marBottom w:val="0"/>
      <w:divBdr>
        <w:top w:val="none" w:sz="0" w:space="0" w:color="auto"/>
        <w:left w:val="none" w:sz="0" w:space="0" w:color="auto"/>
        <w:bottom w:val="none" w:sz="0" w:space="0" w:color="auto"/>
        <w:right w:val="none" w:sz="0" w:space="0" w:color="auto"/>
      </w:divBdr>
      <w:divsChild>
        <w:div w:id="944918346">
          <w:marLeft w:val="0"/>
          <w:marRight w:val="0"/>
          <w:marTop w:val="0"/>
          <w:marBottom w:val="150"/>
          <w:divBdr>
            <w:top w:val="none" w:sz="0" w:space="0" w:color="auto"/>
            <w:left w:val="none" w:sz="0" w:space="0" w:color="auto"/>
            <w:bottom w:val="none" w:sz="0" w:space="0" w:color="auto"/>
            <w:right w:val="none" w:sz="0" w:space="0" w:color="auto"/>
          </w:divBdr>
        </w:div>
      </w:divsChild>
    </w:div>
    <w:div w:id="1951931290">
      <w:bodyDiv w:val="1"/>
      <w:marLeft w:val="0"/>
      <w:marRight w:val="0"/>
      <w:marTop w:val="0"/>
      <w:marBottom w:val="0"/>
      <w:divBdr>
        <w:top w:val="none" w:sz="0" w:space="0" w:color="auto"/>
        <w:left w:val="none" w:sz="0" w:space="0" w:color="auto"/>
        <w:bottom w:val="none" w:sz="0" w:space="0" w:color="auto"/>
        <w:right w:val="none" w:sz="0" w:space="0" w:color="auto"/>
      </w:divBdr>
      <w:divsChild>
        <w:div w:id="1929148130">
          <w:marLeft w:val="0"/>
          <w:marRight w:val="0"/>
          <w:marTop w:val="0"/>
          <w:marBottom w:val="0"/>
          <w:divBdr>
            <w:top w:val="none" w:sz="0" w:space="0" w:color="auto"/>
            <w:left w:val="none" w:sz="0" w:space="0" w:color="auto"/>
            <w:bottom w:val="dotted" w:sz="6" w:space="4" w:color="DDDDDD"/>
            <w:right w:val="none" w:sz="0" w:space="0" w:color="auto"/>
          </w:divBdr>
        </w:div>
      </w:divsChild>
    </w:div>
    <w:div w:id="1952008374">
      <w:bodyDiv w:val="1"/>
      <w:marLeft w:val="0"/>
      <w:marRight w:val="0"/>
      <w:marTop w:val="0"/>
      <w:marBottom w:val="0"/>
      <w:divBdr>
        <w:top w:val="none" w:sz="0" w:space="0" w:color="auto"/>
        <w:left w:val="none" w:sz="0" w:space="0" w:color="auto"/>
        <w:bottom w:val="none" w:sz="0" w:space="0" w:color="auto"/>
        <w:right w:val="none" w:sz="0" w:space="0" w:color="auto"/>
      </w:divBdr>
      <w:divsChild>
        <w:div w:id="1185168887">
          <w:marLeft w:val="0"/>
          <w:marRight w:val="0"/>
          <w:marTop w:val="0"/>
          <w:marBottom w:val="450"/>
          <w:divBdr>
            <w:top w:val="none" w:sz="0" w:space="0" w:color="auto"/>
            <w:left w:val="none" w:sz="0" w:space="0" w:color="auto"/>
            <w:bottom w:val="single" w:sz="6" w:space="19" w:color="EEEEEE"/>
            <w:right w:val="none" w:sz="0" w:space="0" w:color="auto"/>
          </w:divBdr>
          <w:divsChild>
            <w:div w:id="835339665">
              <w:marLeft w:val="0"/>
              <w:marRight w:val="0"/>
              <w:marTop w:val="0"/>
              <w:marBottom w:val="150"/>
              <w:divBdr>
                <w:top w:val="none" w:sz="0" w:space="0" w:color="auto"/>
                <w:left w:val="none" w:sz="0" w:space="0" w:color="auto"/>
                <w:bottom w:val="none" w:sz="0" w:space="0" w:color="auto"/>
                <w:right w:val="none" w:sz="0" w:space="0" w:color="auto"/>
              </w:divBdr>
              <w:divsChild>
                <w:div w:id="194394464">
                  <w:marLeft w:val="0"/>
                  <w:marRight w:val="0"/>
                  <w:marTop w:val="0"/>
                  <w:marBottom w:val="0"/>
                  <w:divBdr>
                    <w:top w:val="none" w:sz="0" w:space="0" w:color="auto"/>
                    <w:left w:val="none" w:sz="0" w:space="0" w:color="auto"/>
                    <w:bottom w:val="none" w:sz="0" w:space="0" w:color="auto"/>
                    <w:right w:val="none" w:sz="0" w:space="0" w:color="auto"/>
                  </w:divBdr>
                </w:div>
              </w:divsChild>
            </w:div>
            <w:div w:id="1911185607">
              <w:marLeft w:val="0"/>
              <w:marRight w:val="0"/>
              <w:marTop w:val="0"/>
              <w:marBottom w:val="0"/>
              <w:divBdr>
                <w:top w:val="none" w:sz="0" w:space="0" w:color="auto"/>
                <w:left w:val="none" w:sz="0" w:space="0" w:color="auto"/>
                <w:bottom w:val="none" w:sz="0" w:space="0" w:color="auto"/>
                <w:right w:val="none" w:sz="0" w:space="0" w:color="auto"/>
              </w:divBdr>
            </w:div>
          </w:divsChild>
        </w:div>
        <w:div w:id="947003847">
          <w:marLeft w:val="0"/>
          <w:marRight w:val="0"/>
          <w:marTop w:val="0"/>
          <w:marBottom w:val="0"/>
          <w:divBdr>
            <w:top w:val="none" w:sz="0" w:space="0" w:color="auto"/>
            <w:left w:val="none" w:sz="0" w:space="0" w:color="auto"/>
            <w:bottom w:val="none" w:sz="0" w:space="0" w:color="auto"/>
            <w:right w:val="none" w:sz="0" w:space="0" w:color="auto"/>
          </w:divBdr>
          <w:divsChild>
            <w:div w:id="1758214032">
              <w:marLeft w:val="0"/>
              <w:marRight w:val="0"/>
              <w:marTop w:val="0"/>
              <w:marBottom w:val="0"/>
              <w:divBdr>
                <w:top w:val="none" w:sz="0" w:space="0" w:color="auto"/>
                <w:left w:val="none" w:sz="0" w:space="0" w:color="auto"/>
                <w:bottom w:val="none" w:sz="0" w:space="0" w:color="auto"/>
                <w:right w:val="none" w:sz="0" w:space="0" w:color="auto"/>
              </w:divBdr>
              <w:divsChild>
                <w:div w:id="57836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659798">
      <w:bodyDiv w:val="1"/>
      <w:marLeft w:val="0"/>
      <w:marRight w:val="0"/>
      <w:marTop w:val="0"/>
      <w:marBottom w:val="0"/>
      <w:divBdr>
        <w:top w:val="none" w:sz="0" w:space="0" w:color="auto"/>
        <w:left w:val="none" w:sz="0" w:space="0" w:color="auto"/>
        <w:bottom w:val="none" w:sz="0" w:space="0" w:color="auto"/>
        <w:right w:val="none" w:sz="0" w:space="0" w:color="auto"/>
      </w:divBdr>
      <w:divsChild>
        <w:div w:id="354767804">
          <w:marLeft w:val="0"/>
          <w:marRight w:val="0"/>
          <w:marTop w:val="0"/>
          <w:marBottom w:val="0"/>
          <w:divBdr>
            <w:top w:val="none" w:sz="0" w:space="0" w:color="auto"/>
            <w:left w:val="none" w:sz="0" w:space="0" w:color="auto"/>
            <w:bottom w:val="none" w:sz="0" w:space="0" w:color="auto"/>
            <w:right w:val="none" w:sz="0" w:space="0" w:color="auto"/>
          </w:divBdr>
          <w:divsChild>
            <w:div w:id="207691962">
              <w:marLeft w:val="0"/>
              <w:marRight w:val="0"/>
              <w:marTop w:val="0"/>
              <w:marBottom w:val="0"/>
              <w:divBdr>
                <w:top w:val="none" w:sz="0" w:space="0" w:color="auto"/>
                <w:left w:val="none" w:sz="0" w:space="0" w:color="auto"/>
                <w:bottom w:val="none" w:sz="0" w:space="0" w:color="auto"/>
                <w:right w:val="none" w:sz="0" w:space="0" w:color="auto"/>
              </w:divBdr>
              <w:divsChild>
                <w:div w:id="1985962325">
                  <w:marLeft w:val="0"/>
                  <w:marRight w:val="0"/>
                  <w:marTop w:val="0"/>
                  <w:marBottom w:val="0"/>
                  <w:divBdr>
                    <w:top w:val="none" w:sz="0" w:space="0" w:color="auto"/>
                    <w:left w:val="none" w:sz="0" w:space="0" w:color="auto"/>
                    <w:bottom w:val="none" w:sz="0" w:space="0" w:color="auto"/>
                    <w:right w:val="none" w:sz="0" w:space="0" w:color="auto"/>
                  </w:divBdr>
                  <w:divsChild>
                    <w:div w:id="519856865">
                      <w:marLeft w:val="0"/>
                      <w:marRight w:val="0"/>
                      <w:marTop w:val="0"/>
                      <w:marBottom w:val="0"/>
                      <w:divBdr>
                        <w:top w:val="none" w:sz="0" w:space="0" w:color="auto"/>
                        <w:left w:val="none" w:sz="0" w:space="0" w:color="auto"/>
                        <w:bottom w:val="none" w:sz="0" w:space="0" w:color="auto"/>
                        <w:right w:val="none" w:sz="0" w:space="0" w:color="auto"/>
                      </w:divBdr>
                      <w:divsChild>
                        <w:div w:id="1162164772">
                          <w:marLeft w:val="0"/>
                          <w:marRight w:val="0"/>
                          <w:marTop w:val="0"/>
                          <w:marBottom w:val="0"/>
                          <w:divBdr>
                            <w:top w:val="none" w:sz="0" w:space="0" w:color="auto"/>
                            <w:left w:val="none" w:sz="0" w:space="0" w:color="auto"/>
                            <w:bottom w:val="none" w:sz="0" w:space="0" w:color="auto"/>
                            <w:right w:val="none" w:sz="0" w:space="0" w:color="auto"/>
                          </w:divBdr>
                          <w:divsChild>
                            <w:div w:id="1441411227">
                              <w:marLeft w:val="0"/>
                              <w:marRight w:val="0"/>
                              <w:marTop w:val="0"/>
                              <w:marBottom w:val="0"/>
                              <w:divBdr>
                                <w:top w:val="none" w:sz="0" w:space="0" w:color="auto"/>
                                <w:left w:val="none" w:sz="0" w:space="0" w:color="auto"/>
                                <w:bottom w:val="none" w:sz="0" w:space="0" w:color="auto"/>
                                <w:right w:val="none" w:sz="0" w:space="0" w:color="auto"/>
                              </w:divBdr>
                              <w:divsChild>
                                <w:div w:id="28908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3128695">
      <w:bodyDiv w:val="1"/>
      <w:marLeft w:val="0"/>
      <w:marRight w:val="0"/>
      <w:marTop w:val="0"/>
      <w:marBottom w:val="0"/>
      <w:divBdr>
        <w:top w:val="none" w:sz="0" w:space="0" w:color="auto"/>
        <w:left w:val="none" w:sz="0" w:space="0" w:color="auto"/>
        <w:bottom w:val="none" w:sz="0" w:space="0" w:color="auto"/>
        <w:right w:val="none" w:sz="0" w:space="0" w:color="auto"/>
      </w:divBdr>
      <w:divsChild>
        <w:div w:id="1518885726">
          <w:marLeft w:val="0"/>
          <w:marRight w:val="0"/>
          <w:marTop w:val="0"/>
          <w:marBottom w:val="0"/>
          <w:divBdr>
            <w:top w:val="none" w:sz="0" w:space="0" w:color="auto"/>
            <w:left w:val="none" w:sz="0" w:space="0" w:color="auto"/>
            <w:bottom w:val="none" w:sz="0" w:space="0" w:color="auto"/>
            <w:right w:val="none" w:sz="0" w:space="0" w:color="auto"/>
          </w:divBdr>
          <w:divsChild>
            <w:div w:id="97023660">
              <w:marLeft w:val="0"/>
              <w:marRight w:val="0"/>
              <w:marTop w:val="0"/>
              <w:marBottom w:val="0"/>
              <w:divBdr>
                <w:top w:val="none" w:sz="0" w:space="0" w:color="auto"/>
                <w:left w:val="none" w:sz="0" w:space="0" w:color="auto"/>
                <w:bottom w:val="none" w:sz="0" w:space="0" w:color="auto"/>
                <w:right w:val="none" w:sz="0" w:space="0" w:color="auto"/>
              </w:divBdr>
              <w:divsChild>
                <w:div w:id="178384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962421">
          <w:marLeft w:val="0"/>
          <w:marRight w:val="0"/>
          <w:marTop w:val="0"/>
          <w:marBottom w:val="75"/>
          <w:divBdr>
            <w:top w:val="none" w:sz="0" w:space="0" w:color="auto"/>
            <w:left w:val="none" w:sz="0" w:space="0" w:color="auto"/>
            <w:bottom w:val="none" w:sz="0" w:space="0" w:color="auto"/>
            <w:right w:val="none" w:sz="0" w:space="0" w:color="auto"/>
          </w:divBdr>
        </w:div>
        <w:div w:id="785659111">
          <w:marLeft w:val="0"/>
          <w:marRight w:val="0"/>
          <w:marTop w:val="0"/>
          <w:marBottom w:val="300"/>
          <w:divBdr>
            <w:top w:val="none" w:sz="0" w:space="0" w:color="auto"/>
            <w:left w:val="none" w:sz="0" w:space="0" w:color="auto"/>
            <w:bottom w:val="none" w:sz="0" w:space="0" w:color="auto"/>
            <w:right w:val="none" w:sz="0" w:space="0" w:color="auto"/>
          </w:divBdr>
          <w:divsChild>
            <w:div w:id="859976675">
              <w:marLeft w:val="0"/>
              <w:marRight w:val="0"/>
              <w:marTop w:val="0"/>
              <w:marBottom w:val="0"/>
              <w:divBdr>
                <w:top w:val="none" w:sz="0" w:space="0" w:color="auto"/>
                <w:left w:val="none" w:sz="0" w:space="0" w:color="auto"/>
                <w:bottom w:val="none" w:sz="0" w:space="0" w:color="auto"/>
                <w:right w:val="none" w:sz="0" w:space="0" w:color="auto"/>
              </w:divBdr>
            </w:div>
          </w:divsChild>
        </w:div>
        <w:div w:id="1134257205">
          <w:marLeft w:val="0"/>
          <w:marRight w:val="0"/>
          <w:marTop w:val="0"/>
          <w:marBottom w:val="0"/>
          <w:divBdr>
            <w:top w:val="none" w:sz="0" w:space="0" w:color="auto"/>
            <w:left w:val="none" w:sz="0" w:space="0" w:color="auto"/>
            <w:bottom w:val="none" w:sz="0" w:space="0" w:color="auto"/>
            <w:right w:val="none" w:sz="0" w:space="0" w:color="auto"/>
          </w:divBdr>
          <w:divsChild>
            <w:div w:id="513106729">
              <w:marLeft w:val="0"/>
              <w:marRight w:val="0"/>
              <w:marTop w:val="0"/>
              <w:marBottom w:val="0"/>
              <w:divBdr>
                <w:top w:val="none" w:sz="0" w:space="0" w:color="auto"/>
                <w:left w:val="none" w:sz="0" w:space="0" w:color="auto"/>
                <w:bottom w:val="none" w:sz="0" w:space="0" w:color="auto"/>
                <w:right w:val="none" w:sz="0" w:space="0" w:color="auto"/>
              </w:divBdr>
              <w:divsChild>
                <w:div w:id="1270435209">
                  <w:marLeft w:val="0"/>
                  <w:marRight w:val="0"/>
                  <w:marTop w:val="0"/>
                  <w:marBottom w:val="450"/>
                  <w:divBdr>
                    <w:top w:val="none" w:sz="0" w:space="0" w:color="auto"/>
                    <w:left w:val="none" w:sz="0" w:space="0" w:color="auto"/>
                    <w:bottom w:val="none" w:sz="0" w:space="0" w:color="auto"/>
                    <w:right w:val="none" w:sz="0" w:space="0" w:color="auto"/>
                  </w:divBdr>
                  <w:divsChild>
                    <w:div w:id="2816925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953130827">
      <w:bodyDiv w:val="1"/>
      <w:marLeft w:val="0"/>
      <w:marRight w:val="0"/>
      <w:marTop w:val="0"/>
      <w:marBottom w:val="0"/>
      <w:divBdr>
        <w:top w:val="none" w:sz="0" w:space="0" w:color="auto"/>
        <w:left w:val="none" w:sz="0" w:space="0" w:color="auto"/>
        <w:bottom w:val="none" w:sz="0" w:space="0" w:color="auto"/>
        <w:right w:val="none" w:sz="0" w:space="0" w:color="auto"/>
      </w:divBdr>
    </w:div>
    <w:div w:id="1953199828">
      <w:bodyDiv w:val="1"/>
      <w:marLeft w:val="0"/>
      <w:marRight w:val="0"/>
      <w:marTop w:val="0"/>
      <w:marBottom w:val="0"/>
      <w:divBdr>
        <w:top w:val="none" w:sz="0" w:space="0" w:color="auto"/>
        <w:left w:val="none" w:sz="0" w:space="0" w:color="auto"/>
        <w:bottom w:val="none" w:sz="0" w:space="0" w:color="auto"/>
        <w:right w:val="none" w:sz="0" w:space="0" w:color="auto"/>
      </w:divBdr>
    </w:div>
    <w:div w:id="1953437973">
      <w:bodyDiv w:val="1"/>
      <w:marLeft w:val="0"/>
      <w:marRight w:val="0"/>
      <w:marTop w:val="0"/>
      <w:marBottom w:val="0"/>
      <w:divBdr>
        <w:top w:val="none" w:sz="0" w:space="0" w:color="auto"/>
        <w:left w:val="none" w:sz="0" w:space="0" w:color="auto"/>
        <w:bottom w:val="none" w:sz="0" w:space="0" w:color="auto"/>
        <w:right w:val="none" w:sz="0" w:space="0" w:color="auto"/>
      </w:divBdr>
      <w:divsChild>
        <w:div w:id="1092896925">
          <w:marLeft w:val="0"/>
          <w:marRight w:val="0"/>
          <w:marTop w:val="0"/>
          <w:marBottom w:val="300"/>
          <w:divBdr>
            <w:top w:val="none" w:sz="0" w:space="0" w:color="auto"/>
            <w:left w:val="none" w:sz="0" w:space="0" w:color="auto"/>
            <w:bottom w:val="none" w:sz="0" w:space="0" w:color="auto"/>
            <w:right w:val="none" w:sz="0" w:space="0" w:color="auto"/>
          </w:divBdr>
          <w:divsChild>
            <w:div w:id="1317303032">
              <w:marLeft w:val="0"/>
              <w:marRight w:val="0"/>
              <w:marTop w:val="0"/>
              <w:marBottom w:val="0"/>
              <w:divBdr>
                <w:top w:val="none" w:sz="0" w:space="0" w:color="auto"/>
                <w:left w:val="none" w:sz="0" w:space="0" w:color="auto"/>
                <w:bottom w:val="none" w:sz="0" w:space="0" w:color="auto"/>
                <w:right w:val="none" w:sz="0" w:space="0" w:color="auto"/>
              </w:divBdr>
            </w:div>
          </w:divsChild>
        </w:div>
        <w:div w:id="1562324678">
          <w:marLeft w:val="0"/>
          <w:marRight w:val="0"/>
          <w:marTop w:val="0"/>
          <w:marBottom w:val="0"/>
          <w:divBdr>
            <w:top w:val="none" w:sz="0" w:space="0" w:color="auto"/>
            <w:left w:val="none" w:sz="0" w:space="0" w:color="auto"/>
            <w:bottom w:val="none" w:sz="0" w:space="0" w:color="auto"/>
            <w:right w:val="none" w:sz="0" w:space="0" w:color="auto"/>
          </w:divBdr>
        </w:div>
        <w:div w:id="1697461648">
          <w:marLeft w:val="0"/>
          <w:marRight w:val="0"/>
          <w:marTop w:val="0"/>
          <w:marBottom w:val="0"/>
          <w:divBdr>
            <w:top w:val="none" w:sz="0" w:space="0" w:color="auto"/>
            <w:left w:val="none" w:sz="0" w:space="0" w:color="auto"/>
            <w:bottom w:val="none" w:sz="0" w:space="0" w:color="auto"/>
            <w:right w:val="none" w:sz="0" w:space="0" w:color="auto"/>
          </w:divBdr>
          <w:divsChild>
            <w:div w:id="1140464955">
              <w:marLeft w:val="0"/>
              <w:marRight w:val="0"/>
              <w:marTop w:val="0"/>
              <w:marBottom w:val="0"/>
              <w:divBdr>
                <w:top w:val="none" w:sz="0" w:space="0" w:color="auto"/>
                <w:left w:val="none" w:sz="0" w:space="0" w:color="auto"/>
                <w:bottom w:val="none" w:sz="0" w:space="0" w:color="auto"/>
                <w:right w:val="none" w:sz="0" w:space="0" w:color="auto"/>
              </w:divBdr>
              <w:divsChild>
                <w:div w:id="8050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074707">
          <w:marLeft w:val="0"/>
          <w:marRight w:val="0"/>
          <w:marTop w:val="0"/>
          <w:marBottom w:val="75"/>
          <w:divBdr>
            <w:top w:val="none" w:sz="0" w:space="0" w:color="auto"/>
            <w:left w:val="none" w:sz="0" w:space="0" w:color="auto"/>
            <w:bottom w:val="none" w:sz="0" w:space="0" w:color="auto"/>
            <w:right w:val="none" w:sz="0" w:space="0" w:color="auto"/>
          </w:divBdr>
        </w:div>
      </w:divsChild>
    </w:div>
    <w:div w:id="1953515505">
      <w:bodyDiv w:val="1"/>
      <w:marLeft w:val="0"/>
      <w:marRight w:val="0"/>
      <w:marTop w:val="0"/>
      <w:marBottom w:val="0"/>
      <w:divBdr>
        <w:top w:val="none" w:sz="0" w:space="0" w:color="auto"/>
        <w:left w:val="none" w:sz="0" w:space="0" w:color="auto"/>
        <w:bottom w:val="none" w:sz="0" w:space="0" w:color="auto"/>
        <w:right w:val="none" w:sz="0" w:space="0" w:color="auto"/>
      </w:divBdr>
      <w:divsChild>
        <w:div w:id="312681351">
          <w:marLeft w:val="0"/>
          <w:marRight w:val="0"/>
          <w:marTop w:val="0"/>
          <w:marBottom w:val="150"/>
          <w:divBdr>
            <w:top w:val="none" w:sz="0" w:space="0" w:color="auto"/>
            <w:left w:val="none" w:sz="0" w:space="0" w:color="auto"/>
            <w:bottom w:val="none" w:sz="0" w:space="0" w:color="auto"/>
            <w:right w:val="none" w:sz="0" w:space="0" w:color="auto"/>
          </w:divBdr>
        </w:div>
      </w:divsChild>
    </w:div>
    <w:div w:id="1953516458">
      <w:bodyDiv w:val="1"/>
      <w:marLeft w:val="0"/>
      <w:marRight w:val="0"/>
      <w:marTop w:val="0"/>
      <w:marBottom w:val="0"/>
      <w:divBdr>
        <w:top w:val="none" w:sz="0" w:space="0" w:color="auto"/>
        <w:left w:val="none" w:sz="0" w:space="0" w:color="auto"/>
        <w:bottom w:val="none" w:sz="0" w:space="0" w:color="auto"/>
        <w:right w:val="none" w:sz="0" w:space="0" w:color="auto"/>
      </w:divBdr>
      <w:divsChild>
        <w:div w:id="745496074">
          <w:marLeft w:val="0"/>
          <w:marRight w:val="0"/>
          <w:marTop w:val="0"/>
          <w:marBottom w:val="150"/>
          <w:divBdr>
            <w:top w:val="none" w:sz="0" w:space="0" w:color="auto"/>
            <w:left w:val="none" w:sz="0" w:space="0" w:color="auto"/>
            <w:bottom w:val="none" w:sz="0" w:space="0" w:color="auto"/>
            <w:right w:val="none" w:sz="0" w:space="0" w:color="auto"/>
          </w:divBdr>
        </w:div>
        <w:div w:id="1917744464">
          <w:marLeft w:val="0"/>
          <w:marRight w:val="0"/>
          <w:marTop w:val="0"/>
          <w:marBottom w:val="150"/>
          <w:divBdr>
            <w:top w:val="none" w:sz="0" w:space="0" w:color="auto"/>
            <w:left w:val="none" w:sz="0" w:space="0" w:color="auto"/>
            <w:bottom w:val="none" w:sz="0" w:space="0" w:color="auto"/>
            <w:right w:val="none" w:sz="0" w:space="0" w:color="auto"/>
          </w:divBdr>
          <w:divsChild>
            <w:div w:id="1236665604">
              <w:marLeft w:val="0"/>
              <w:marRight w:val="0"/>
              <w:marTop w:val="0"/>
              <w:marBottom w:val="0"/>
              <w:divBdr>
                <w:top w:val="none" w:sz="0" w:space="0" w:color="auto"/>
                <w:left w:val="none" w:sz="0" w:space="0" w:color="auto"/>
                <w:bottom w:val="none" w:sz="0" w:space="0" w:color="auto"/>
                <w:right w:val="none" w:sz="0" w:space="0" w:color="auto"/>
              </w:divBdr>
              <w:divsChild>
                <w:div w:id="92314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20163">
          <w:marLeft w:val="0"/>
          <w:marRight w:val="0"/>
          <w:marTop w:val="0"/>
          <w:marBottom w:val="0"/>
          <w:divBdr>
            <w:top w:val="none" w:sz="0" w:space="0" w:color="auto"/>
            <w:left w:val="none" w:sz="0" w:space="0" w:color="auto"/>
            <w:bottom w:val="none" w:sz="0" w:space="0" w:color="auto"/>
            <w:right w:val="none" w:sz="0" w:space="0" w:color="auto"/>
          </w:divBdr>
          <w:divsChild>
            <w:div w:id="21235525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54088764">
      <w:bodyDiv w:val="1"/>
      <w:marLeft w:val="0"/>
      <w:marRight w:val="0"/>
      <w:marTop w:val="0"/>
      <w:marBottom w:val="0"/>
      <w:divBdr>
        <w:top w:val="none" w:sz="0" w:space="0" w:color="auto"/>
        <w:left w:val="none" w:sz="0" w:space="0" w:color="auto"/>
        <w:bottom w:val="none" w:sz="0" w:space="0" w:color="auto"/>
        <w:right w:val="none" w:sz="0" w:space="0" w:color="auto"/>
      </w:divBdr>
      <w:divsChild>
        <w:div w:id="409815015">
          <w:marLeft w:val="0"/>
          <w:marRight w:val="0"/>
          <w:marTop w:val="0"/>
          <w:marBottom w:val="0"/>
          <w:divBdr>
            <w:top w:val="none" w:sz="0" w:space="0" w:color="auto"/>
            <w:left w:val="none" w:sz="0" w:space="0" w:color="auto"/>
            <w:bottom w:val="none" w:sz="0" w:space="0" w:color="auto"/>
            <w:right w:val="none" w:sz="0" w:space="0" w:color="auto"/>
          </w:divBdr>
        </w:div>
      </w:divsChild>
    </w:div>
    <w:div w:id="1954095083">
      <w:bodyDiv w:val="1"/>
      <w:marLeft w:val="0"/>
      <w:marRight w:val="0"/>
      <w:marTop w:val="0"/>
      <w:marBottom w:val="0"/>
      <w:divBdr>
        <w:top w:val="none" w:sz="0" w:space="0" w:color="auto"/>
        <w:left w:val="none" w:sz="0" w:space="0" w:color="auto"/>
        <w:bottom w:val="none" w:sz="0" w:space="0" w:color="auto"/>
        <w:right w:val="none" w:sz="0" w:space="0" w:color="auto"/>
      </w:divBdr>
    </w:div>
    <w:div w:id="1954357820">
      <w:bodyDiv w:val="1"/>
      <w:marLeft w:val="0"/>
      <w:marRight w:val="0"/>
      <w:marTop w:val="0"/>
      <w:marBottom w:val="0"/>
      <w:divBdr>
        <w:top w:val="none" w:sz="0" w:space="0" w:color="auto"/>
        <w:left w:val="none" w:sz="0" w:space="0" w:color="auto"/>
        <w:bottom w:val="none" w:sz="0" w:space="0" w:color="auto"/>
        <w:right w:val="none" w:sz="0" w:space="0" w:color="auto"/>
      </w:divBdr>
      <w:divsChild>
        <w:div w:id="863323422">
          <w:marLeft w:val="0"/>
          <w:marRight w:val="0"/>
          <w:marTop w:val="0"/>
          <w:marBottom w:val="225"/>
          <w:divBdr>
            <w:top w:val="none" w:sz="0" w:space="0" w:color="auto"/>
            <w:left w:val="none" w:sz="0" w:space="0" w:color="auto"/>
            <w:bottom w:val="none" w:sz="0" w:space="0" w:color="auto"/>
            <w:right w:val="none" w:sz="0" w:space="0" w:color="auto"/>
          </w:divBdr>
        </w:div>
        <w:div w:id="1729526001">
          <w:marLeft w:val="0"/>
          <w:marRight w:val="0"/>
          <w:marTop w:val="0"/>
          <w:marBottom w:val="225"/>
          <w:divBdr>
            <w:top w:val="none" w:sz="0" w:space="0" w:color="auto"/>
            <w:left w:val="none" w:sz="0" w:space="0" w:color="auto"/>
            <w:bottom w:val="none" w:sz="0" w:space="0" w:color="auto"/>
            <w:right w:val="none" w:sz="0" w:space="0" w:color="auto"/>
          </w:divBdr>
          <w:divsChild>
            <w:div w:id="1217818494">
              <w:marLeft w:val="0"/>
              <w:marRight w:val="0"/>
              <w:marTop w:val="0"/>
              <w:marBottom w:val="0"/>
              <w:divBdr>
                <w:top w:val="none" w:sz="0" w:space="0" w:color="auto"/>
                <w:left w:val="none" w:sz="0" w:space="0" w:color="auto"/>
                <w:bottom w:val="none" w:sz="0" w:space="0" w:color="auto"/>
                <w:right w:val="none" w:sz="0" w:space="0" w:color="auto"/>
              </w:divBdr>
              <w:divsChild>
                <w:div w:id="91462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360907">
      <w:bodyDiv w:val="1"/>
      <w:marLeft w:val="0"/>
      <w:marRight w:val="0"/>
      <w:marTop w:val="0"/>
      <w:marBottom w:val="0"/>
      <w:divBdr>
        <w:top w:val="none" w:sz="0" w:space="0" w:color="auto"/>
        <w:left w:val="none" w:sz="0" w:space="0" w:color="auto"/>
        <w:bottom w:val="none" w:sz="0" w:space="0" w:color="auto"/>
        <w:right w:val="none" w:sz="0" w:space="0" w:color="auto"/>
      </w:divBdr>
      <w:divsChild>
        <w:div w:id="334501622">
          <w:marLeft w:val="0"/>
          <w:marRight w:val="0"/>
          <w:marTop w:val="0"/>
          <w:marBottom w:val="150"/>
          <w:divBdr>
            <w:top w:val="none" w:sz="0" w:space="0" w:color="auto"/>
            <w:left w:val="none" w:sz="0" w:space="0" w:color="auto"/>
            <w:bottom w:val="none" w:sz="0" w:space="0" w:color="auto"/>
            <w:right w:val="none" w:sz="0" w:space="0" w:color="auto"/>
          </w:divBdr>
        </w:div>
      </w:divsChild>
    </w:div>
    <w:div w:id="1954433133">
      <w:bodyDiv w:val="1"/>
      <w:marLeft w:val="0"/>
      <w:marRight w:val="0"/>
      <w:marTop w:val="0"/>
      <w:marBottom w:val="0"/>
      <w:divBdr>
        <w:top w:val="none" w:sz="0" w:space="0" w:color="auto"/>
        <w:left w:val="none" w:sz="0" w:space="0" w:color="auto"/>
        <w:bottom w:val="none" w:sz="0" w:space="0" w:color="auto"/>
        <w:right w:val="none" w:sz="0" w:space="0" w:color="auto"/>
      </w:divBdr>
    </w:div>
    <w:div w:id="1954481935">
      <w:bodyDiv w:val="1"/>
      <w:marLeft w:val="0"/>
      <w:marRight w:val="0"/>
      <w:marTop w:val="0"/>
      <w:marBottom w:val="0"/>
      <w:divBdr>
        <w:top w:val="none" w:sz="0" w:space="0" w:color="auto"/>
        <w:left w:val="none" w:sz="0" w:space="0" w:color="auto"/>
        <w:bottom w:val="none" w:sz="0" w:space="0" w:color="auto"/>
        <w:right w:val="none" w:sz="0" w:space="0" w:color="auto"/>
      </w:divBdr>
      <w:divsChild>
        <w:div w:id="272326465">
          <w:marLeft w:val="0"/>
          <w:marRight w:val="0"/>
          <w:marTop w:val="0"/>
          <w:marBottom w:val="0"/>
          <w:divBdr>
            <w:top w:val="none" w:sz="0" w:space="0" w:color="auto"/>
            <w:left w:val="none" w:sz="0" w:space="0" w:color="auto"/>
            <w:bottom w:val="none" w:sz="0" w:space="0" w:color="auto"/>
            <w:right w:val="none" w:sz="0" w:space="0" w:color="auto"/>
          </w:divBdr>
          <w:divsChild>
            <w:div w:id="1928267653">
              <w:marLeft w:val="0"/>
              <w:marRight w:val="0"/>
              <w:marTop w:val="0"/>
              <w:marBottom w:val="225"/>
              <w:divBdr>
                <w:top w:val="none" w:sz="0" w:space="0" w:color="auto"/>
                <w:left w:val="none" w:sz="0" w:space="0" w:color="auto"/>
                <w:bottom w:val="none" w:sz="0" w:space="0" w:color="auto"/>
                <w:right w:val="none" w:sz="0" w:space="0" w:color="auto"/>
              </w:divBdr>
              <w:divsChild>
                <w:div w:id="1957978595">
                  <w:marLeft w:val="225"/>
                  <w:marRight w:val="0"/>
                  <w:marTop w:val="0"/>
                  <w:marBottom w:val="0"/>
                  <w:divBdr>
                    <w:top w:val="none" w:sz="0" w:space="0" w:color="auto"/>
                    <w:left w:val="none" w:sz="0" w:space="0" w:color="auto"/>
                    <w:bottom w:val="none" w:sz="0" w:space="0" w:color="auto"/>
                    <w:right w:val="none" w:sz="0" w:space="0" w:color="auto"/>
                  </w:divBdr>
                  <w:divsChild>
                    <w:div w:id="77162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507962">
      <w:bodyDiv w:val="1"/>
      <w:marLeft w:val="0"/>
      <w:marRight w:val="0"/>
      <w:marTop w:val="0"/>
      <w:marBottom w:val="0"/>
      <w:divBdr>
        <w:top w:val="none" w:sz="0" w:space="0" w:color="auto"/>
        <w:left w:val="none" w:sz="0" w:space="0" w:color="auto"/>
        <w:bottom w:val="none" w:sz="0" w:space="0" w:color="auto"/>
        <w:right w:val="none" w:sz="0" w:space="0" w:color="auto"/>
      </w:divBdr>
      <w:divsChild>
        <w:div w:id="310867392">
          <w:marLeft w:val="0"/>
          <w:marRight w:val="0"/>
          <w:marTop w:val="0"/>
          <w:marBottom w:val="0"/>
          <w:divBdr>
            <w:top w:val="none" w:sz="0" w:space="0" w:color="auto"/>
            <w:left w:val="none" w:sz="0" w:space="0" w:color="auto"/>
            <w:bottom w:val="none" w:sz="0" w:space="0" w:color="auto"/>
            <w:right w:val="none" w:sz="0" w:space="0" w:color="auto"/>
          </w:divBdr>
          <w:divsChild>
            <w:div w:id="1830367990">
              <w:marLeft w:val="0"/>
              <w:marRight w:val="0"/>
              <w:marTop w:val="225"/>
              <w:marBottom w:val="225"/>
              <w:divBdr>
                <w:top w:val="none" w:sz="0" w:space="0" w:color="auto"/>
                <w:left w:val="none" w:sz="0" w:space="0" w:color="auto"/>
                <w:bottom w:val="none" w:sz="0" w:space="0" w:color="auto"/>
                <w:right w:val="none" w:sz="0" w:space="0" w:color="auto"/>
              </w:divBdr>
            </w:div>
          </w:divsChild>
        </w:div>
        <w:div w:id="1278216128">
          <w:marLeft w:val="0"/>
          <w:marRight w:val="0"/>
          <w:marTop w:val="0"/>
          <w:marBottom w:val="150"/>
          <w:divBdr>
            <w:top w:val="none" w:sz="0" w:space="0" w:color="auto"/>
            <w:left w:val="none" w:sz="0" w:space="0" w:color="auto"/>
            <w:bottom w:val="none" w:sz="0" w:space="0" w:color="auto"/>
            <w:right w:val="none" w:sz="0" w:space="0" w:color="auto"/>
          </w:divBdr>
        </w:div>
        <w:div w:id="1546604655">
          <w:marLeft w:val="0"/>
          <w:marRight w:val="0"/>
          <w:marTop w:val="0"/>
          <w:marBottom w:val="150"/>
          <w:divBdr>
            <w:top w:val="none" w:sz="0" w:space="0" w:color="auto"/>
            <w:left w:val="none" w:sz="0" w:space="0" w:color="auto"/>
            <w:bottom w:val="none" w:sz="0" w:space="0" w:color="auto"/>
            <w:right w:val="none" w:sz="0" w:space="0" w:color="auto"/>
          </w:divBdr>
          <w:divsChild>
            <w:div w:id="1250693477">
              <w:marLeft w:val="0"/>
              <w:marRight w:val="0"/>
              <w:marTop w:val="0"/>
              <w:marBottom w:val="0"/>
              <w:divBdr>
                <w:top w:val="none" w:sz="0" w:space="0" w:color="auto"/>
                <w:left w:val="none" w:sz="0" w:space="0" w:color="auto"/>
                <w:bottom w:val="none" w:sz="0" w:space="0" w:color="auto"/>
                <w:right w:val="none" w:sz="0" w:space="0" w:color="auto"/>
              </w:divBdr>
              <w:divsChild>
                <w:div w:id="161960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751777">
      <w:bodyDiv w:val="1"/>
      <w:marLeft w:val="0"/>
      <w:marRight w:val="0"/>
      <w:marTop w:val="0"/>
      <w:marBottom w:val="0"/>
      <w:divBdr>
        <w:top w:val="none" w:sz="0" w:space="0" w:color="auto"/>
        <w:left w:val="none" w:sz="0" w:space="0" w:color="auto"/>
        <w:bottom w:val="none" w:sz="0" w:space="0" w:color="auto"/>
        <w:right w:val="none" w:sz="0" w:space="0" w:color="auto"/>
      </w:divBdr>
      <w:divsChild>
        <w:div w:id="1463495833">
          <w:marLeft w:val="0"/>
          <w:marRight w:val="0"/>
          <w:marTop w:val="0"/>
          <w:marBottom w:val="0"/>
          <w:divBdr>
            <w:top w:val="none" w:sz="0" w:space="0" w:color="auto"/>
            <w:left w:val="none" w:sz="0" w:space="0" w:color="auto"/>
            <w:bottom w:val="dotted" w:sz="6" w:space="4" w:color="DDDDDD"/>
            <w:right w:val="none" w:sz="0" w:space="0" w:color="auto"/>
          </w:divBdr>
          <w:divsChild>
            <w:div w:id="2375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939042">
      <w:bodyDiv w:val="1"/>
      <w:marLeft w:val="0"/>
      <w:marRight w:val="0"/>
      <w:marTop w:val="0"/>
      <w:marBottom w:val="0"/>
      <w:divBdr>
        <w:top w:val="none" w:sz="0" w:space="0" w:color="auto"/>
        <w:left w:val="none" w:sz="0" w:space="0" w:color="auto"/>
        <w:bottom w:val="none" w:sz="0" w:space="0" w:color="auto"/>
        <w:right w:val="none" w:sz="0" w:space="0" w:color="auto"/>
      </w:divBdr>
      <w:divsChild>
        <w:div w:id="41174477">
          <w:marLeft w:val="0"/>
          <w:marRight w:val="0"/>
          <w:marTop w:val="0"/>
          <w:marBottom w:val="150"/>
          <w:divBdr>
            <w:top w:val="none" w:sz="0" w:space="0" w:color="auto"/>
            <w:left w:val="none" w:sz="0" w:space="0" w:color="auto"/>
            <w:bottom w:val="none" w:sz="0" w:space="0" w:color="auto"/>
            <w:right w:val="none" w:sz="0" w:space="0" w:color="auto"/>
          </w:divBdr>
        </w:div>
      </w:divsChild>
    </w:div>
    <w:div w:id="1954943742">
      <w:bodyDiv w:val="1"/>
      <w:marLeft w:val="0"/>
      <w:marRight w:val="0"/>
      <w:marTop w:val="0"/>
      <w:marBottom w:val="0"/>
      <w:divBdr>
        <w:top w:val="none" w:sz="0" w:space="0" w:color="auto"/>
        <w:left w:val="none" w:sz="0" w:space="0" w:color="auto"/>
        <w:bottom w:val="none" w:sz="0" w:space="0" w:color="auto"/>
        <w:right w:val="none" w:sz="0" w:space="0" w:color="auto"/>
      </w:divBdr>
      <w:divsChild>
        <w:div w:id="74859768">
          <w:marLeft w:val="0"/>
          <w:marRight w:val="0"/>
          <w:marTop w:val="0"/>
          <w:marBottom w:val="0"/>
          <w:divBdr>
            <w:top w:val="none" w:sz="0" w:space="0" w:color="auto"/>
            <w:left w:val="none" w:sz="0" w:space="0" w:color="auto"/>
            <w:bottom w:val="none" w:sz="0" w:space="0" w:color="auto"/>
            <w:right w:val="none" w:sz="0" w:space="0" w:color="auto"/>
          </w:divBdr>
          <w:divsChild>
            <w:div w:id="154856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091919">
      <w:bodyDiv w:val="1"/>
      <w:marLeft w:val="0"/>
      <w:marRight w:val="0"/>
      <w:marTop w:val="0"/>
      <w:marBottom w:val="0"/>
      <w:divBdr>
        <w:top w:val="none" w:sz="0" w:space="0" w:color="auto"/>
        <w:left w:val="none" w:sz="0" w:space="0" w:color="auto"/>
        <w:bottom w:val="none" w:sz="0" w:space="0" w:color="auto"/>
        <w:right w:val="none" w:sz="0" w:space="0" w:color="auto"/>
      </w:divBdr>
      <w:divsChild>
        <w:div w:id="1777288650">
          <w:marLeft w:val="0"/>
          <w:marRight w:val="0"/>
          <w:marTop w:val="0"/>
          <w:marBottom w:val="0"/>
          <w:divBdr>
            <w:top w:val="none" w:sz="0" w:space="0" w:color="auto"/>
            <w:left w:val="none" w:sz="0" w:space="0" w:color="auto"/>
            <w:bottom w:val="none" w:sz="0" w:space="0" w:color="auto"/>
            <w:right w:val="none" w:sz="0" w:space="0" w:color="auto"/>
          </w:divBdr>
          <w:divsChild>
            <w:div w:id="532498093">
              <w:marLeft w:val="0"/>
              <w:marRight w:val="0"/>
              <w:marTop w:val="0"/>
              <w:marBottom w:val="0"/>
              <w:divBdr>
                <w:top w:val="none" w:sz="0" w:space="0" w:color="auto"/>
                <w:left w:val="none" w:sz="0" w:space="0" w:color="auto"/>
                <w:bottom w:val="none" w:sz="0" w:space="0" w:color="auto"/>
                <w:right w:val="none" w:sz="0" w:space="0" w:color="auto"/>
              </w:divBdr>
              <w:divsChild>
                <w:div w:id="728308121">
                  <w:marLeft w:val="0"/>
                  <w:marRight w:val="0"/>
                  <w:marTop w:val="0"/>
                  <w:marBottom w:val="0"/>
                  <w:divBdr>
                    <w:top w:val="none" w:sz="0" w:space="0" w:color="auto"/>
                    <w:left w:val="none" w:sz="0" w:space="0" w:color="auto"/>
                    <w:bottom w:val="none" w:sz="0" w:space="0" w:color="auto"/>
                    <w:right w:val="none" w:sz="0" w:space="0" w:color="auto"/>
                  </w:divBdr>
                  <w:divsChild>
                    <w:div w:id="1250776648">
                      <w:marLeft w:val="0"/>
                      <w:marRight w:val="0"/>
                      <w:marTop w:val="0"/>
                      <w:marBottom w:val="0"/>
                      <w:divBdr>
                        <w:top w:val="none" w:sz="0" w:space="0" w:color="auto"/>
                        <w:left w:val="none" w:sz="0" w:space="0" w:color="auto"/>
                        <w:bottom w:val="none" w:sz="0" w:space="0" w:color="auto"/>
                        <w:right w:val="none" w:sz="0" w:space="0" w:color="auto"/>
                      </w:divBdr>
                      <w:divsChild>
                        <w:div w:id="1286540998">
                          <w:marLeft w:val="0"/>
                          <w:marRight w:val="0"/>
                          <w:marTop w:val="0"/>
                          <w:marBottom w:val="0"/>
                          <w:divBdr>
                            <w:top w:val="none" w:sz="0" w:space="0" w:color="auto"/>
                            <w:left w:val="none" w:sz="0" w:space="0" w:color="auto"/>
                            <w:bottom w:val="none" w:sz="0" w:space="0" w:color="auto"/>
                            <w:right w:val="none" w:sz="0" w:space="0" w:color="auto"/>
                          </w:divBdr>
                          <w:divsChild>
                            <w:div w:id="1528177725">
                              <w:marLeft w:val="0"/>
                              <w:marRight w:val="0"/>
                              <w:marTop w:val="0"/>
                              <w:marBottom w:val="0"/>
                              <w:divBdr>
                                <w:top w:val="none" w:sz="0" w:space="0" w:color="auto"/>
                                <w:left w:val="none" w:sz="0" w:space="0" w:color="auto"/>
                                <w:bottom w:val="none" w:sz="0" w:space="0" w:color="auto"/>
                                <w:right w:val="none" w:sz="0" w:space="0" w:color="auto"/>
                              </w:divBdr>
                              <w:divsChild>
                                <w:div w:id="388264009">
                                  <w:marLeft w:val="0"/>
                                  <w:marRight w:val="0"/>
                                  <w:marTop w:val="0"/>
                                  <w:marBottom w:val="0"/>
                                  <w:divBdr>
                                    <w:top w:val="none" w:sz="0" w:space="0" w:color="auto"/>
                                    <w:left w:val="none" w:sz="0" w:space="0" w:color="auto"/>
                                    <w:bottom w:val="none" w:sz="0" w:space="0" w:color="auto"/>
                                    <w:right w:val="none" w:sz="0" w:space="0" w:color="auto"/>
                                  </w:divBdr>
                                  <w:divsChild>
                                    <w:div w:id="10202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5094117">
      <w:bodyDiv w:val="1"/>
      <w:marLeft w:val="0"/>
      <w:marRight w:val="0"/>
      <w:marTop w:val="0"/>
      <w:marBottom w:val="0"/>
      <w:divBdr>
        <w:top w:val="none" w:sz="0" w:space="0" w:color="auto"/>
        <w:left w:val="none" w:sz="0" w:space="0" w:color="auto"/>
        <w:bottom w:val="none" w:sz="0" w:space="0" w:color="auto"/>
        <w:right w:val="none" w:sz="0" w:space="0" w:color="auto"/>
      </w:divBdr>
      <w:divsChild>
        <w:div w:id="801969340">
          <w:marLeft w:val="0"/>
          <w:marRight w:val="0"/>
          <w:marTop w:val="0"/>
          <w:marBottom w:val="0"/>
          <w:divBdr>
            <w:top w:val="none" w:sz="0" w:space="0" w:color="auto"/>
            <w:left w:val="none" w:sz="0" w:space="0" w:color="auto"/>
            <w:bottom w:val="none" w:sz="0" w:space="0" w:color="auto"/>
            <w:right w:val="none" w:sz="0" w:space="0" w:color="auto"/>
          </w:divBdr>
        </w:div>
      </w:divsChild>
    </w:div>
    <w:div w:id="1955137416">
      <w:bodyDiv w:val="1"/>
      <w:marLeft w:val="0"/>
      <w:marRight w:val="0"/>
      <w:marTop w:val="0"/>
      <w:marBottom w:val="0"/>
      <w:divBdr>
        <w:top w:val="none" w:sz="0" w:space="0" w:color="auto"/>
        <w:left w:val="none" w:sz="0" w:space="0" w:color="auto"/>
        <w:bottom w:val="none" w:sz="0" w:space="0" w:color="auto"/>
        <w:right w:val="none" w:sz="0" w:space="0" w:color="auto"/>
      </w:divBdr>
      <w:divsChild>
        <w:div w:id="76289342">
          <w:marLeft w:val="0"/>
          <w:marRight w:val="0"/>
          <w:marTop w:val="0"/>
          <w:marBottom w:val="0"/>
          <w:divBdr>
            <w:top w:val="none" w:sz="0" w:space="0" w:color="auto"/>
            <w:left w:val="none" w:sz="0" w:space="0" w:color="auto"/>
            <w:bottom w:val="none" w:sz="0" w:space="0" w:color="auto"/>
            <w:right w:val="none" w:sz="0" w:space="0" w:color="auto"/>
          </w:divBdr>
        </w:div>
      </w:divsChild>
    </w:div>
    <w:div w:id="1956252871">
      <w:bodyDiv w:val="1"/>
      <w:marLeft w:val="0"/>
      <w:marRight w:val="0"/>
      <w:marTop w:val="0"/>
      <w:marBottom w:val="0"/>
      <w:divBdr>
        <w:top w:val="none" w:sz="0" w:space="0" w:color="auto"/>
        <w:left w:val="none" w:sz="0" w:space="0" w:color="auto"/>
        <w:bottom w:val="none" w:sz="0" w:space="0" w:color="auto"/>
        <w:right w:val="none" w:sz="0" w:space="0" w:color="auto"/>
      </w:divBdr>
      <w:divsChild>
        <w:div w:id="1326590611">
          <w:marLeft w:val="0"/>
          <w:marRight w:val="0"/>
          <w:marTop w:val="0"/>
          <w:marBottom w:val="150"/>
          <w:divBdr>
            <w:top w:val="none" w:sz="0" w:space="0" w:color="auto"/>
            <w:left w:val="none" w:sz="0" w:space="0" w:color="auto"/>
            <w:bottom w:val="none" w:sz="0" w:space="0" w:color="auto"/>
            <w:right w:val="none" w:sz="0" w:space="0" w:color="auto"/>
          </w:divBdr>
          <w:divsChild>
            <w:div w:id="1282346614">
              <w:marLeft w:val="0"/>
              <w:marRight w:val="0"/>
              <w:marTop w:val="0"/>
              <w:marBottom w:val="0"/>
              <w:divBdr>
                <w:top w:val="none" w:sz="0" w:space="0" w:color="auto"/>
                <w:left w:val="none" w:sz="0" w:space="0" w:color="auto"/>
                <w:bottom w:val="none" w:sz="0" w:space="0" w:color="auto"/>
                <w:right w:val="none" w:sz="0" w:space="0" w:color="auto"/>
              </w:divBdr>
              <w:divsChild>
                <w:div w:id="119978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90655">
          <w:marLeft w:val="0"/>
          <w:marRight w:val="0"/>
          <w:marTop w:val="0"/>
          <w:marBottom w:val="150"/>
          <w:divBdr>
            <w:top w:val="none" w:sz="0" w:space="0" w:color="auto"/>
            <w:left w:val="none" w:sz="0" w:space="0" w:color="auto"/>
            <w:bottom w:val="none" w:sz="0" w:space="0" w:color="auto"/>
            <w:right w:val="none" w:sz="0" w:space="0" w:color="auto"/>
          </w:divBdr>
        </w:div>
        <w:div w:id="1738474419">
          <w:marLeft w:val="0"/>
          <w:marRight w:val="0"/>
          <w:marTop w:val="0"/>
          <w:marBottom w:val="0"/>
          <w:divBdr>
            <w:top w:val="none" w:sz="0" w:space="0" w:color="auto"/>
            <w:left w:val="none" w:sz="0" w:space="0" w:color="auto"/>
            <w:bottom w:val="none" w:sz="0" w:space="0" w:color="auto"/>
            <w:right w:val="none" w:sz="0" w:space="0" w:color="auto"/>
          </w:divBdr>
          <w:divsChild>
            <w:div w:id="209095413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56402261">
      <w:bodyDiv w:val="1"/>
      <w:marLeft w:val="0"/>
      <w:marRight w:val="0"/>
      <w:marTop w:val="0"/>
      <w:marBottom w:val="0"/>
      <w:divBdr>
        <w:top w:val="none" w:sz="0" w:space="0" w:color="auto"/>
        <w:left w:val="none" w:sz="0" w:space="0" w:color="auto"/>
        <w:bottom w:val="none" w:sz="0" w:space="0" w:color="auto"/>
        <w:right w:val="none" w:sz="0" w:space="0" w:color="auto"/>
      </w:divBdr>
      <w:divsChild>
        <w:div w:id="643970905">
          <w:marLeft w:val="0"/>
          <w:marRight w:val="0"/>
          <w:marTop w:val="0"/>
          <w:marBottom w:val="0"/>
          <w:divBdr>
            <w:top w:val="none" w:sz="0" w:space="0" w:color="auto"/>
            <w:left w:val="none" w:sz="0" w:space="0" w:color="auto"/>
            <w:bottom w:val="dotted" w:sz="6" w:space="4" w:color="DDDDDD"/>
            <w:right w:val="none" w:sz="0" w:space="0" w:color="auto"/>
          </w:divBdr>
        </w:div>
      </w:divsChild>
    </w:div>
    <w:div w:id="1956866666">
      <w:bodyDiv w:val="1"/>
      <w:marLeft w:val="0"/>
      <w:marRight w:val="0"/>
      <w:marTop w:val="0"/>
      <w:marBottom w:val="0"/>
      <w:divBdr>
        <w:top w:val="none" w:sz="0" w:space="0" w:color="auto"/>
        <w:left w:val="none" w:sz="0" w:space="0" w:color="auto"/>
        <w:bottom w:val="none" w:sz="0" w:space="0" w:color="auto"/>
        <w:right w:val="none" w:sz="0" w:space="0" w:color="auto"/>
      </w:divBdr>
    </w:div>
    <w:div w:id="1957329667">
      <w:bodyDiv w:val="1"/>
      <w:marLeft w:val="0"/>
      <w:marRight w:val="0"/>
      <w:marTop w:val="0"/>
      <w:marBottom w:val="0"/>
      <w:divBdr>
        <w:top w:val="none" w:sz="0" w:space="0" w:color="auto"/>
        <w:left w:val="none" w:sz="0" w:space="0" w:color="auto"/>
        <w:bottom w:val="none" w:sz="0" w:space="0" w:color="auto"/>
        <w:right w:val="none" w:sz="0" w:space="0" w:color="auto"/>
      </w:divBdr>
      <w:divsChild>
        <w:div w:id="2051342943">
          <w:marLeft w:val="0"/>
          <w:marRight w:val="0"/>
          <w:marTop w:val="0"/>
          <w:marBottom w:val="0"/>
          <w:divBdr>
            <w:top w:val="none" w:sz="0" w:space="0" w:color="auto"/>
            <w:left w:val="none" w:sz="0" w:space="0" w:color="auto"/>
            <w:bottom w:val="none" w:sz="0" w:space="0" w:color="auto"/>
            <w:right w:val="none" w:sz="0" w:space="0" w:color="auto"/>
          </w:divBdr>
          <w:divsChild>
            <w:div w:id="295989079">
              <w:marLeft w:val="0"/>
              <w:marRight w:val="0"/>
              <w:marTop w:val="0"/>
              <w:marBottom w:val="0"/>
              <w:divBdr>
                <w:top w:val="none" w:sz="0" w:space="0" w:color="auto"/>
                <w:left w:val="none" w:sz="0" w:space="0" w:color="auto"/>
                <w:bottom w:val="none" w:sz="0" w:space="0" w:color="auto"/>
                <w:right w:val="none" w:sz="0" w:space="0" w:color="auto"/>
              </w:divBdr>
              <w:divsChild>
                <w:div w:id="1312447318">
                  <w:marLeft w:val="0"/>
                  <w:marRight w:val="0"/>
                  <w:marTop w:val="0"/>
                  <w:marBottom w:val="150"/>
                  <w:divBdr>
                    <w:top w:val="none" w:sz="0" w:space="0" w:color="auto"/>
                    <w:left w:val="none" w:sz="0" w:space="0" w:color="auto"/>
                    <w:bottom w:val="none" w:sz="0" w:space="0" w:color="auto"/>
                    <w:right w:val="none" w:sz="0" w:space="0" w:color="auto"/>
                  </w:divBdr>
                  <w:divsChild>
                    <w:div w:id="622421241">
                      <w:marLeft w:val="0"/>
                      <w:marRight w:val="0"/>
                      <w:marTop w:val="0"/>
                      <w:marBottom w:val="0"/>
                      <w:divBdr>
                        <w:top w:val="none" w:sz="0" w:space="0" w:color="auto"/>
                        <w:left w:val="none" w:sz="0" w:space="0" w:color="auto"/>
                        <w:bottom w:val="none" w:sz="0" w:space="0" w:color="auto"/>
                        <w:right w:val="none" w:sz="0" w:space="0" w:color="auto"/>
                      </w:divBdr>
                      <w:divsChild>
                        <w:div w:id="959842435">
                          <w:marLeft w:val="0"/>
                          <w:marRight w:val="0"/>
                          <w:marTop w:val="0"/>
                          <w:marBottom w:val="0"/>
                          <w:divBdr>
                            <w:top w:val="none" w:sz="0" w:space="0" w:color="auto"/>
                            <w:left w:val="none" w:sz="0" w:space="0" w:color="auto"/>
                            <w:bottom w:val="none" w:sz="0" w:space="0" w:color="auto"/>
                            <w:right w:val="none" w:sz="0" w:space="0" w:color="auto"/>
                          </w:divBdr>
                          <w:divsChild>
                            <w:div w:id="32196744">
                              <w:marLeft w:val="0"/>
                              <w:marRight w:val="0"/>
                              <w:marTop w:val="0"/>
                              <w:marBottom w:val="0"/>
                              <w:divBdr>
                                <w:top w:val="none" w:sz="0" w:space="0" w:color="auto"/>
                                <w:left w:val="none" w:sz="0" w:space="0" w:color="auto"/>
                                <w:bottom w:val="none" w:sz="0" w:space="0" w:color="auto"/>
                                <w:right w:val="none" w:sz="0" w:space="0" w:color="auto"/>
                              </w:divBdr>
                              <w:divsChild>
                                <w:div w:id="302735657">
                                  <w:marLeft w:val="0"/>
                                  <w:marRight w:val="0"/>
                                  <w:marTop w:val="0"/>
                                  <w:marBottom w:val="0"/>
                                  <w:divBdr>
                                    <w:top w:val="none" w:sz="0" w:space="0" w:color="auto"/>
                                    <w:left w:val="none" w:sz="0" w:space="0" w:color="auto"/>
                                    <w:bottom w:val="none" w:sz="0" w:space="0" w:color="auto"/>
                                    <w:right w:val="none" w:sz="0" w:space="0" w:color="auto"/>
                                  </w:divBdr>
                                  <w:divsChild>
                                    <w:div w:id="621306587">
                                      <w:marLeft w:val="0"/>
                                      <w:marRight w:val="0"/>
                                      <w:marTop w:val="0"/>
                                      <w:marBottom w:val="0"/>
                                      <w:divBdr>
                                        <w:top w:val="none" w:sz="0" w:space="0" w:color="auto"/>
                                        <w:left w:val="none" w:sz="0" w:space="0" w:color="auto"/>
                                        <w:bottom w:val="none" w:sz="0" w:space="0" w:color="auto"/>
                                        <w:right w:val="none" w:sz="0" w:space="0" w:color="auto"/>
                                      </w:divBdr>
                                      <w:divsChild>
                                        <w:div w:id="114569183">
                                          <w:marLeft w:val="0"/>
                                          <w:marRight w:val="0"/>
                                          <w:marTop w:val="0"/>
                                          <w:marBottom w:val="0"/>
                                          <w:divBdr>
                                            <w:top w:val="none" w:sz="0" w:space="0" w:color="auto"/>
                                            <w:left w:val="none" w:sz="0" w:space="0" w:color="auto"/>
                                            <w:bottom w:val="none" w:sz="0" w:space="0" w:color="auto"/>
                                            <w:right w:val="none" w:sz="0" w:space="0" w:color="auto"/>
                                          </w:divBdr>
                                          <w:divsChild>
                                            <w:div w:id="1555577767">
                                              <w:marLeft w:val="0"/>
                                              <w:marRight w:val="0"/>
                                              <w:marTop w:val="0"/>
                                              <w:marBottom w:val="0"/>
                                              <w:divBdr>
                                                <w:top w:val="none" w:sz="0" w:space="0" w:color="auto"/>
                                                <w:left w:val="none" w:sz="0" w:space="0" w:color="auto"/>
                                                <w:bottom w:val="none" w:sz="0" w:space="0" w:color="auto"/>
                                                <w:right w:val="none" w:sz="0" w:space="0" w:color="auto"/>
                                              </w:divBdr>
                                              <w:divsChild>
                                                <w:div w:id="95232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7515843">
      <w:bodyDiv w:val="1"/>
      <w:marLeft w:val="0"/>
      <w:marRight w:val="0"/>
      <w:marTop w:val="0"/>
      <w:marBottom w:val="0"/>
      <w:divBdr>
        <w:top w:val="none" w:sz="0" w:space="0" w:color="auto"/>
        <w:left w:val="none" w:sz="0" w:space="0" w:color="auto"/>
        <w:bottom w:val="none" w:sz="0" w:space="0" w:color="auto"/>
        <w:right w:val="none" w:sz="0" w:space="0" w:color="auto"/>
      </w:divBdr>
      <w:divsChild>
        <w:div w:id="1522473358">
          <w:marLeft w:val="0"/>
          <w:marRight w:val="0"/>
          <w:marTop w:val="0"/>
          <w:marBottom w:val="0"/>
          <w:divBdr>
            <w:top w:val="none" w:sz="0" w:space="0" w:color="auto"/>
            <w:left w:val="none" w:sz="0" w:space="0" w:color="auto"/>
            <w:bottom w:val="none" w:sz="0" w:space="0" w:color="auto"/>
            <w:right w:val="none" w:sz="0" w:space="0" w:color="auto"/>
          </w:divBdr>
          <w:divsChild>
            <w:div w:id="90892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639393">
      <w:bodyDiv w:val="1"/>
      <w:marLeft w:val="0"/>
      <w:marRight w:val="0"/>
      <w:marTop w:val="0"/>
      <w:marBottom w:val="0"/>
      <w:divBdr>
        <w:top w:val="none" w:sz="0" w:space="0" w:color="auto"/>
        <w:left w:val="none" w:sz="0" w:space="0" w:color="auto"/>
        <w:bottom w:val="none" w:sz="0" w:space="0" w:color="auto"/>
        <w:right w:val="none" w:sz="0" w:space="0" w:color="auto"/>
      </w:divBdr>
      <w:divsChild>
        <w:div w:id="886571681">
          <w:marLeft w:val="0"/>
          <w:marRight w:val="0"/>
          <w:marTop w:val="0"/>
          <w:marBottom w:val="0"/>
          <w:divBdr>
            <w:top w:val="none" w:sz="0" w:space="0" w:color="auto"/>
            <w:left w:val="none" w:sz="0" w:space="0" w:color="auto"/>
            <w:bottom w:val="dotted" w:sz="6" w:space="4" w:color="DDDDDD"/>
            <w:right w:val="none" w:sz="0" w:space="0" w:color="auto"/>
          </w:divBdr>
        </w:div>
      </w:divsChild>
    </w:div>
    <w:div w:id="1957713735">
      <w:bodyDiv w:val="1"/>
      <w:marLeft w:val="0"/>
      <w:marRight w:val="0"/>
      <w:marTop w:val="0"/>
      <w:marBottom w:val="0"/>
      <w:divBdr>
        <w:top w:val="none" w:sz="0" w:space="0" w:color="auto"/>
        <w:left w:val="none" w:sz="0" w:space="0" w:color="auto"/>
        <w:bottom w:val="none" w:sz="0" w:space="0" w:color="auto"/>
        <w:right w:val="none" w:sz="0" w:space="0" w:color="auto"/>
      </w:divBdr>
      <w:divsChild>
        <w:div w:id="904027456">
          <w:marLeft w:val="0"/>
          <w:marRight w:val="0"/>
          <w:marTop w:val="0"/>
          <w:marBottom w:val="0"/>
          <w:divBdr>
            <w:top w:val="none" w:sz="0" w:space="0" w:color="auto"/>
            <w:left w:val="none" w:sz="0" w:space="0" w:color="auto"/>
            <w:bottom w:val="dotted" w:sz="6" w:space="4" w:color="DDDDDD"/>
            <w:right w:val="none" w:sz="0" w:space="0" w:color="auto"/>
          </w:divBdr>
        </w:div>
      </w:divsChild>
    </w:div>
    <w:div w:id="1959490501">
      <w:bodyDiv w:val="1"/>
      <w:marLeft w:val="0"/>
      <w:marRight w:val="0"/>
      <w:marTop w:val="0"/>
      <w:marBottom w:val="0"/>
      <w:divBdr>
        <w:top w:val="none" w:sz="0" w:space="0" w:color="auto"/>
        <w:left w:val="none" w:sz="0" w:space="0" w:color="auto"/>
        <w:bottom w:val="none" w:sz="0" w:space="0" w:color="auto"/>
        <w:right w:val="none" w:sz="0" w:space="0" w:color="auto"/>
      </w:divBdr>
    </w:div>
    <w:div w:id="1959603044">
      <w:bodyDiv w:val="1"/>
      <w:marLeft w:val="0"/>
      <w:marRight w:val="0"/>
      <w:marTop w:val="0"/>
      <w:marBottom w:val="0"/>
      <w:divBdr>
        <w:top w:val="none" w:sz="0" w:space="0" w:color="auto"/>
        <w:left w:val="none" w:sz="0" w:space="0" w:color="auto"/>
        <w:bottom w:val="none" w:sz="0" w:space="0" w:color="auto"/>
        <w:right w:val="none" w:sz="0" w:space="0" w:color="auto"/>
      </w:divBdr>
      <w:divsChild>
        <w:div w:id="1609393394">
          <w:marLeft w:val="0"/>
          <w:marRight w:val="0"/>
          <w:marTop w:val="0"/>
          <w:marBottom w:val="225"/>
          <w:divBdr>
            <w:top w:val="none" w:sz="0" w:space="0" w:color="auto"/>
            <w:left w:val="none" w:sz="0" w:space="0" w:color="auto"/>
            <w:bottom w:val="none" w:sz="0" w:space="0" w:color="auto"/>
            <w:right w:val="none" w:sz="0" w:space="0" w:color="auto"/>
          </w:divBdr>
        </w:div>
        <w:div w:id="903566932">
          <w:marLeft w:val="0"/>
          <w:marRight w:val="0"/>
          <w:marTop w:val="0"/>
          <w:marBottom w:val="225"/>
          <w:divBdr>
            <w:top w:val="none" w:sz="0" w:space="0" w:color="auto"/>
            <w:left w:val="none" w:sz="0" w:space="0" w:color="auto"/>
            <w:bottom w:val="none" w:sz="0" w:space="0" w:color="auto"/>
            <w:right w:val="none" w:sz="0" w:space="0" w:color="auto"/>
          </w:divBdr>
          <w:divsChild>
            <w:div w:id="1402481038">
              <w:marLeft w:val="0"/>
              <w:marRight w:val="0"/>
              <w:marTop w:val="0"/>
              <w:marBottom w:val="0"/>
              <w:divBdr>
                <w:top w:val="none" w:sz="0" w:space="0" w:color="auto"/>
                <w:left w:val="none" w:sz="0" w:space="0" w:color="auto"/>
                <w:bottom w:val="none" w:sz="0" w:space="0" w:color="auto"/>
                <w:right w:val="none" w:sz="0" w:space="0" w:color="auto"/>
              </w:divBdr>
              <w:divsChild>
                <w:div w:id="158972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678420">
      <w:bodyDiv w:val="1"/>
      <w:marLeft w:val="0"/>
      <w:marRight w:val="0"/>
      <w:marTop w:val="0"/>
      <w:marBottom w:val="0"/>
      <w:divBdr>
        <w:top w:val="none" w:sz="0" w:space="0" w:color="auto"/>
        <w:left w:val="none" w:sz="0" w:space="0" w:color="auto"/>
        <w:bottom w:val="none" w:sz="0" w:space="0" w:color="auto"/>
        <w:right w:val="none" w:sz="0" w:space="0" w:color="auto"/>
      </w:divBdr>
      <w:divsChild>
        <w:div w:id="1570574270">
          <w:marLeft w:val="0"/>
          <w:marRight w:val="0"/>
          <w:marTop w:val="0"/>
          <w:marBottom w:val="150"/>
          <w:divBdr>
            <w:top w:val="none" w:sz="0" w:space="0" w:color="auto"/>
            <w:left w:val="none" w:sz="0" w:space="0" w:color="auto"/>
            <w:bottom w:val="none" w:sz="0" w:space="0" w:color="auto"/>
            <w:right w:val="none" w:sz="0" w:space="0" w:color="auto"/>
          </w:divBdr>
        </w:div>
      </w:divsChild>
    </w:div>
    <w:div w:id="1960182950">
      <w:bodyDiv w:val="1"/>
      <w:marLeft w:val="0"/>
      <w:marRight w:val="0"/>
      <w:marTop w:val="0"/>
      <w:marBottom w:val="0"/>
      <w:divBdr>
        <w:top w:val="none" w:sz="0" w:space="0" w:color="auto"/>
        <w:left w:val="none" w:sz="0" w:space="0" w:color="auto"/>
        <w:bottom w:val="none" w:sz="0" w:space="0" w:color="auto"/>
        <w:right w:val="none" w:sz="0" w:space="0" w:color="auto"/>
      </w:divBdr>
    </w:div>
    <w:div w:id="1961036205">
      <w:bodyDiv w:val="1"/>
      <w:marLeft w:val="0"/>
      <w:marRight w:val="0"/>
      <w:marTop w:val="0"/>
      <w:marBottom w:val="0"/>
      <w:divBdr>
        <w:top w:val="none" w:sz="0" w:space="0" w:color="auto"/>
        <w:left w:val="none" w:sz="0" w:space="0" w:color="auto"/>
        <w:bottom w:val="none" w:sz="0" w:space="0" w:color="auto"/>
        <w:right w:val="none" w:sz="0" w:space="0" w:color="auto"/>
      </w:divBdr>
      <w:divsChild>
        <w:div w:id="1413508213">
          <w:marLeft w:val="0"/>
          <w:marRight w:val="0"/>
          <w:marTop w:val="0"/>
          <w:marBottom w:val="0"/>
          <w:divBdr>
            <w:top w:val="none" w:sz="0" w:space="0" w:color="auto"/>
            <w:left w:val="none" w:sz="0" w:space="0" w:color="auto"/>
            <w:bottom w:val="none" w:sz="0" w:space="0" w:color="auto"/>
            <w:right w:val="none" w:sz="0" w:space="0" w:color="auto"/>
          </w:divBdr>
          <w:divsChild>
            <w:div w:id="19360898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61913416">
      <w:bodyDiv w:val="1"/>
      <w:marLeft w:val="0"/>
      <w:marRight w:val="0"/>
      <w:marTop w:val="0"/>
      <w:marBottom w:val="0"/>
      <w:divBdr>
        <w:top w:val="none" w:sz="0" w:space="0" w:color="auto"/>
        <w:left w:val="none" w:sz="0" w:space="0" w:color="auto"/>
        <w:bottom w:val="none" w:sz="0" w:space="0" w:color="auto"/>
        <w:right w:val="none" w:sz="0" w:space="0" w:color="auto"/>
      </w:divBdr>
      <w:divsChild>
        <w:div w:id="1334802557">
          <w:marLeft w:val="0"/>
          <w:marRight w:val="0"/>
          <w:marTop w:val="0"/>
          <w:marBottom w:val="0"/>
          <w:divBdr>
            <w:top w:val="none" w:sz="0" w:space="0" w:color="auto"/>
            <w:left w:val="none" w:sz="0" w:space="0" w:color="auto"/>
            <w:bottom w:val="none" w:sz="0" w:space="0" w:color="auto"/>
            <w:right w:val="none" w:sz="0" w:space="0" w:color="auto"/>
          </w:divBdr>
        </w:div>
        <w:div w:id="1344238526">
          <w:marLeft w:val="0"/>
          <w:marRight w:val="0"/>
          <w:marTop w:val="0"/>
          <w:marBottom w:val="75"/>
          <w:divBdr>
            <w:top w:val="none" w:sz="0" w:space="0" w:color="auto"/>
            <w:left w:val="none" w:sz="0" w:space="0" w:color="auto"/>
            <w:bottom w:val="none" w:sz="0" w:space="0" w:color="auto"/>
            <w:right w:val="none" w:sz="0" w:space="0" w:color="auto"/>
          </w:divBdr>
        </w:div>
        <w:div w:id="1533180235">
          <w:marLeft w:val="0"/>
          <w:marRight w:val="0"/>
          <w:marTop w:val="0"/>
          <w:marBottom w:val="0"/>
          <w:divBdr>
            <w:top w:val="none" w:sz="0" w:space="0" w:color="auto"/>
            <w:left w:val="none" w:sz="0" w:space="0" w:color="auto"/>
            <w:bottom w:val="none" w:sz="0" w:space="0" w:color="auto"/>
            <w:right w:val="none" w:sz="0" w:space="0" w:color="auto"/>
          </w:divBdr>
          <w:divsChild>
            <w:div w:id="898056532">
              <w:marLeft w:val="0"/>
              <w:marRight w:val="0"/>
              <w:marTop w:val="0"/>
              <w:marBottom w:val="0"/>
              <w:divBdr>
                <w:top w:val="none" w:sz="0" w:space="0" w:color="auto"/>
                <w:left w:val="none" w:sz="0" w:space="0" w:color="auto"/>
                <w:bottom w:val="none" w:sz="0" w:space="0" w:color="auto"/>
                <w:right w:val="none" w:sz="0" w:space="0" w:color="auto"/>
              </w:divBdr>
              <w:divsChild>
                <w:div w:id="43721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413695">
      <w:bodyDiv w:val="1"/>
      <w:marLeft w:val="0"/>
      <w:marRight w:val="0"/>
      <w:marTop w:val="0"/>
      <w:marBottom w:val="0"/>
      <w:divBdr>
        <w:top w:val="none" w:sz="0" w:space="0" w:color="auto"/>
        <w:left w:val="none" w:sz="0" w:space="0" w:color="auto"/>
        <w:bottom w:val="none" w:sz="0" w:space="0" w:color="auto"/>
        <w:right w:val="none" w:sz="0" w:space="0" w:color="auto"/>
      </w:divBdr>
      <w:divsChild>
        <w:div w:id="1056126436">
          <w:marLeft w:val="0"/>
          <w:marRight w:val="0"/>
          <w:marTop w:val="0"/>
          <w:marBottom w:val="0"/>
          <w:divBdr>
            <w:top w:val="none" w:sz="0" w:space="0" w:color="auto"/>
            <w:left w:val="none" w:sz="0" w:space="0" w:color="auto"/>
            <w:bottom w:val="none" w:sz="0" w:space="0" w:color="auto"/>
            <w:right w:val="none" w:sz="0" w:space="0" w:color="auto"/>
          </w:divBdr>
          <w:divsChild>
            <w:div w:id="462845965">
              <w:marLeft w:val="0"/>
              <w:marRight w:val="0"/>
              <w:marTop w:val="0"/>
              <w:marBottom w:val="0"/>
              <w:divBdr>
                <w:top w:val="none" w:sz="0" w:space="0" w:color="auto"/>
                <w:left w:val="none" w:sz="0" w:space="0" w:color="auto"/>
                <w:bottom w:val="none" w:sz="0" w:space="0" w:color="auto"/>
                <w:right w:val="none" w:sz="0" w:space="0" w:color="auto"/>
              </w:divBdr>
              <w:divsChild>
                <w:div w:id="901983766">
                  <w:marLeft w:val="0"/>
                  <w:marRight w:val="0"/>
                  <w:marTop w:val="0"/>
                  <w:marBottom w:val="0"/>
                  <w:divBdr>
                    <w:top w:val="none" w:sz="0" w:space="0" w:color="auto"/>
                    <w:left w:val="none" w:sz="0" w:space="0" w:color="auto"/>
                    <w:bottom w:val="none" w:sz="0" w:space="0" w:color="auto"/>
                    <w:right w:val="none" w:sz="0" w:space="0" w:color="auto"/>
                  </w:divBdr>
                  <w:divsChild>
                    <w:div w:id="669406796">
                      <w:marLeft w:val="0"/>
                      <w:marRight w:val="0"/>
                      <w:marTop w:val="0"/>
                      <w:marBottom w:val="0"/>
                      <w:divBdr>
                        <w:top w:val="none" w:sz="0" w:space="0" w:color="auto"/>
                        <w:left w:val="none" w:sz="0" w:space="0" w:color="auto"/>
                        <w:bottom w:val="none" w:sz="0" w:space="0" w:color="auto"/>
                        <w:right w:val="none" w:sz="0" w:space="0" w:color="auto"/>
                      </w:divBdr>
                      <w:divsChild>
                        <w:div w:id="799804311">
                          <w:marLeft w:val="0"/>
                          <w:marRight w:val="0"/>
                          <w:marTop w:val="0"/>
                          <w:marBottom w:val="0"/>
                          <w:divBdr>
                            <w:top w:val="none" w:sz="0" w:space="0" w:color="auto"/>
                            <w:left w:val="none" w:sz="0" w:space="0" w:color="auto"/>
                            <w:bottom w:val="none" w:sz="0" w:space="0" w:color="auto"/>
                            <w:right w:val="none" w:sz="0" w:space="0" w:color="auto"/>
                          </w:divBdr>
                          <w:divsChild>
                            <w:div w:id="896476140">
                              <w:marLeft w:val="0"/>
                              <w:marRight w:val="0"/>
                              <w:marTop w:val="0"/>
                              <w:marBottom w:val="0"/>
                              <w:divBdr>
                                <w:top w:val="none" w:sz="0" w:space="0" w:color="auto"/>
                                <w:left w:val="none" w:sz="0" w:space="0" w:color="auto"/>
                                <w:bottom w:val="none" w:sz="0" w:space="0" w:color="auto"/>
                                <w:right w:val="none" w:sz="0" w:space="0" w:color="auto"/>
                              </w:divBdr>
                              <w:divsChild>
                                <w:div w:id="821434034">
                                  <w:marLeft w:val="0"/>
                                  <w:marRight w:val="0"/>
                                  <w:marTop w:val="0"/>
                                  <w:marBottom w:val="0"/>
                                  <w:divBdr>
                                    <w:top w:val="none" w:sz="0" w:space="0" w:color="auto"/>
                                    <w:left w:val="none" w:sz="0" w:space="0" w:color="auto"/>
                                    <w:bottom w:val="none" w:sz="0" w:space="0" w:color="auto"/>
                                    <w:right w:val="none" w:sz="0" w:space="0" w:color="auto"/>
                                  </w:divBdr>
                                  <w:divsChild>
                                    <w:div w:id="17473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960195">
      <w:bodyDiv w:val="1"/>
      <w:marLeft w:val="0"/>
      <w:marRight w:val="0"/>
      <w:marTop w:val="0"/>
      <w:marBottom w:val="0"/>
      <w:divBdr>
        <w:top w:val="none" w:sz="0" w:space="0" w:color="auto"/>
        <w:left w:val="none" w:sz="0" w:space="0" w:color="auto"/>
        <w:bottom w:val="none" w:sz="0" w:space="0" w:color="auto"/>
        <w:right w:val="none" w:sz="0" w:space="0" w:color="auto"/>
      </w:divBdr>
    </w:div>
    <w:div w:id="1963462902">
      <w:bodyDiv w:val="1"/>
      <w:marLeft w:val="0"/>
      <w:marRight w:val="0"/>
      <w:marTop w:val="0"/>
      <w:marBottom w:val="0"/>
      <w:divBdr>
        <w:top w:val="none" w:sz="0" w:space="0" w:color="auto"/>
        <w:left w:val="none" w:sz="0" w:space="0" w:color="auto"/>
        <w:bottom w:val="none" w:sz="0" w:space="0" w:color="auto"/>
        <w:right w:val="none" w:sz="0" w:space="0" w:color="auto"/>
      </w:divBdr>
      <w:divsChild>
        <w:div w:id="1511867283">
          <w:marLeft w:val="0"/>
          <w:marRight w:val="0"/>
          <w:marTop w:val="0"/>
          <w:marBottom w:val="0"/>
          <w:divBdr>
            <w:top w:val="none" w:sz="0" w:space="0" w:color="auto"/>
            <w:left w:val="none" w:sz="0" w:space="0" w:color="auto"/>
            <w:bottom w:val="none" w:sz="0" w:space="0" w:color="auto"/>
            <w:right w:val="none" w:sz="0" w:space="0" w:color="auto"/>
          </w:divBdr>
          <w:divsChild>
            <w:div w:id="207893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530974">
      <w:bodyDiv w:val="1"/>
      <w:marLeft w:val="0"/>
      <w:marRight w:val="0"/>
      <w:marTop w:val="0"/>
      <w:marBottom w:val="0"/>
      <w:divBdr>
        <w:top w:val="none" w:sz="0" w:space="0" w:color="auto"/>
        <w:left w:val="none" w:sz="0" w:space="0" w:color="auto"/>
        <w:bottom w:val="none" w:sz="0" w:space="0" w:color="auto"/>
        <w:right w:val="none" w:sz="0" w:space="0" w:color="auto"/>
      </w:divBdr>
    </w:div>
    <w:div w:id="1963803522">
      <w:bodyDiv w:val="1"/>
      <w:marLeft w:val="0"/>
      <w:marRight w:val="0"/>
      <w:marTop w:val="0"/>
      <w:marBottom w:val="0"/>
      <w:divBdr>
        <w:top w:val="none" w:sz="0" w:space="0" w:color="auto"/>
        <w:left w:val="none" w:sz="0" w:space="0" w:color="auto"/>
        <w:bottom w:val="none" w:sz="0" w:space="0" w:color="auto"/>
        <w:right w:val="none" w:sz="0" w:space="0" w:color="auto"/>
      </w:divBdr>
      <w:divsChild>
        <w:div w:id="1847090133">
          <w:marLeft w:val="0"/>
          <w:marRight w:val="0"/>
          <w:marTop w:val="0"/>
          <w:marBottom w:val="0"/>
          <w:divBdr>
            <w:top w:val="none" w:sz="0" w:space="0" w:color="auto"/>
            <w:left w:val="none" w:sz="0" w:space="0" w:color="auto"/>
            <w:bottom w:val="none" w:sz="0" w:space="0" w:color="auto"/>
            <w:right w:val="none" w:sz="0" w:space="0" w:color="auto"/>
          </w:divBdr>
        </w:div>
        <w:div w:id="320814784">
          <w:marLeft w:val="0"/>
          <w:marRight w:val="0"/>
          <w:marTop w:val="0"/>
          <w:marBottom w:val="0"/>
          <w:divBdr>
            <w:top w:val="none" w:sz="0" w:space="0" w:color="auto"/>
            <w:left w:val="none" w:sz="0" w:space="0" w:color="auto"/>
            <w:bottom w:val="none" w:sz="0" w:space="0" w:color="auto"/>
            <w:right w:val="none" w:sz="0" w:space="0" w:color="auto"/>
          </w:divBdr>
        </w:div>
      </w:divsChild>
    </w:div>
    <w:div w:id="1963874522">
      <w:bodyDiv w:val="1"/>
      <w:marLeft w:val="0"/>
      <w:marRight w:val="0"/>
      <w:marTop w:val="0"/>
      <w:marBottom w:val="0"/>
      <w:divBdr>
        <w:top w:val="none" w:sz="0" w:space="0" w:color="auto"/>
        <w:left w:val="none" w:sz="0" w:space="0" w:color="auto"/>
        <w:bottom w:val="none" w:sz="0" w:space="0" w:color="auto"/>
        <w:right w:val="none" w:sz="0" w:space="0" w:color="auto"/>
      </w:divBdr>
      <w:divsChild>
        <w:div w:id="1249998303">
          <w:marLeft w:val="0"/>
          <w:marRight w:val="0"/>
          <w:marTop w:val="0"/>
          <w:marBottom w:val="0"/>
          <w:divBdr>
            <w:top w:val="none" w:sz="0" w:space="0" w:color="auto"/>
            <w:left w:val="none" w:sz="0" w:space="0" w:color="auto"/>
            <w:bottom w:val="none" w:sz="0" w:space="0" w:color="auto"/>
            <w:right w:val="none" w:sz="0" w:space="0" w:color="auto"/>
          </w:divBdr>
          <w:divsChild>
            <w:div w:id="1762875106">
              <w:marLeft w:val="0"/>
              <w:marRight w:val="0"/>
              <w:marTop w:val="0"/>
              <w:marBottom w:val="0"/>
              <w:divBdr>
                <w:top w:val="none" w:sz="0" w:space="0" w:color="auto"/>
                <w:left w:val="none" w:sz="0" w:space="0" w:color="auto"/>
                <w:bottom w:val="none" w:sz="0" w:space="0" w:color="auto"/>
                <w:right w:val="none" w:sz="0" w:space="0" w:color="auto"/>
              </w:divBdr>
            </w:div>
          </w:divsChild>
        </w:div>
        <w:div w:id="545989842">
          <w:marLeft w:val="0"/>
          <w:marRight w:val="0"/>
          <w:marTop w:val="0"/>
          <w:marBottom w:val="0"/>
          <w:divBdr>
            <w:top w:val="none" w:sz="0" w:space="0" w:color="auto"/>
            <w:left w:val="none" w:sz="0" w:space="0" w:color="auto"/>
            <w:bottom w:val="none" w:sz="0" w:space="0" w:color="auto"/>
            <w:right w:val="none" w:sz="0" w:space="0" w:color="auto"/>
          </w:divBdr>
        </w:div>
        <w:div w:id="1391995963">
          <w:marLeft w:val="0"/>
          <w:marRight w:val="0"/>
          <w:marTop w:val="0"/>
          <w:marBottom w:val="0"/>
          <w:divBdr>
            <w:top w:val="none" w:sz="0" w:space="0" w:color="auto"/>
            <w:left w:val="none" w:sz="0" w:space="0" w:color="auto"/>
            <w:bottom w:val="none" w:sz="0" w:space="0" w:color="auto"/>
            <w:right w:val="none" w:sz="0" w:space="0" w:color="auto"/>
          </w:divBdr>
          <w:divsChild>
            <w:div w:id="1002203826">
              <w:marLeft w:val="-225"/>
              <w:marRight w:val="-225"/>
              <w:marTop w:val="0"/>
              <w:marBottom w:val="0"/>
              <w:divBdr>
                <w:top w:val="none" w:sz="0" w:space="0" w:color="auto"/>
                <w:left w:val="none" w:sz="0" w:space="0" w:color="auto"/>
                <w:bottom w:val="none" w:sz="0" w:space="0" w:color="auto"/>
                <w:right w:val="none" w:sz="0" w:space="0" w:color="auto"/>
              </w:divBdr>
              <w:divsChild>
                <w:div w:id="874125113">
                  <w:marLeft w:val="0"/>
                  <w:marRight w:val="0"/>
                  <w:marTop w:val="0"/>
                  <w:marBottom w:val="0"/>
                  <w:divBdr>
                    <w:top w:val="none" w:sz="0" w:space="0" w:color="auto"/>
                    <w:left w:val="none" w:sz="0" w:space="0" w:color="auto"/>
                    <w:bottom w:val="none" w:sz="0" w:space="0" w:color="auto"/>
                    <w:right w:val="single" w:sz="6" w:space="0" w:color="000000"/>
                  </w:divBdr>
                  <w:divsChild>
                    <w:div w:id="1442460110">
                      <w:marLeft w:val="0"/>
                      <w:marRight w:val="0"/>
                      <w:marTop w:val="0"/>
                      <w:marBottom w:val="0"/>
                      <w:divBdr>
                        <w:top w:val="none" w:sz="0" w:space="0" w:color="auto"/>
                        <w:left w:val="none" w:sz="0" w:space="0" w:color="auto"/>
                        <w:bottom w:val="none" w:sz="0" w:space="0" w:color="auto"/>
                        <w:right w:val="none" w:sz="0" w:space="0" w:color="auto"/>
                      </w:divBdr>
                      <w:divsChild>
                        <w:div w:id="652678364">
                          <w:marLeft w:val="0"/>
                          <w:marRight w:val="0"/>
                          <w:marTop w:val="0"/>
                          <w:marBottom w:val="0"/>
                          <w:divBdr>
                            <w:top w:val="none" w:sz="0" w:space="0" w:color="auto"/>
                            <w:left w:val="none" w:sz="0" w:space="0" w:color="auto"/>
                            <w:bottom w:val="none" w:sz="0" w:space="0" w:color="auto"/>
                            <w:right w:val="none" w:sz="0" w:space="0" w:color="auto"/>
                          </w:divBdr>
                        </w:div>
                        <w:div w:id="1088697488">
                          <w:marLeft w:val="0"/>
                          <w:marRight w:val="0"/>
                          <w:marTop w:val="0"/>
                          <w:marBottom w:val="0"/>
                          <w:divBdr>
                            <w:top w:val="none" w:sz="0" w:space="0" w:color="auto"/>
                            <w:left w:val="none" w:sz="0" w:space="0" w:color="auto"/>
                            <w:bottom w:val="none" w:sz="0" w:space="0" w:color="auto"/>
                            <w:right w:val="none" w:sz="0" w:space="0" w:color="auto"/>
                          </w:divBdr>
                        </w:div>
                        <w:div w:id="2111312121">
                          <w:marLeft w:val="0"/>
                          <w:marRight w:val="0"/>
                          <w:marTop w:val="0"/>
                          <w:marBottom w:val="0"/>
                          <w:divBdr>
                            <w:top w:val="none" w:sz="0" w:space="0" w:color="auto"/>
                            <w:left w:val="none" w:sz="0" w:space="0" w:color="auto"/>
                            <w:bottom w:val="none" w:sz="0" w:space="0" w:color="auto"/>
                            <w:right w:val="none" w:sz="0" w:space="0" w:color="auto"/>
                          </w:divBdr>
                        </w:div>
                        <w:div w:id="777061530">
                          <w:marLeft w:val="0"/>
                          <w:marRight w:val="0"/>
                          <w:marTop w:val="0"/>
                          <w:marBottom w:val="0"/>
                          <w:divBdr>
                            <w:top w:val="none" w:sz="0" w:space="0" w:color="auto"/>
                            <w:left w:val="none" w:sz="0" w:space="0" w:color="auto"/>
                            <w:bottom w:val="none" w:sz="0" w:space="0" w:color="auto"/>
                            <w:right w:val="none" w:sz="0" w:space="0" w:color="auto"/>
                          </w:divBdr>
                        </w:div>
                        <w:div w:id="47356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992599">
      <w:bodyDiv w:val="1"/>
      <w:marLeft w:val="0"/>
      <w:marRight w:val="0"/>
      <w:marTop w:val="0"/>
      <w:marBottom w:val="0"/>
      <w:divBdr>
        <w:top w:val="none" w:sz="0" w:space="0" w:color="auto"/>
        <w:left w:val="none" w:sz="0" w:space="0" w:color="auto"/>
        <w:bottom w:val="none" w:sz="0" w:space="0" w:color="auto"/>
        <w:right w:val="none" w:sz="0" w:space="0" w:color="auto"/>
      </w:divBdr>
    </w:div>
    <w:div w:id="1965964734">
      <w:bodyDiv w:val="1"/>
      <w:marLeft w:val="0"/>
      <w:marRight w:val="0"/>
      <w:marTop w:val="0"/>
      <w:marBottom w:val="0"/>
      <w:divBdr>
        <w:top w:val="none" w:sz="0" w:space="0" w:color="auto"/>
        <w:left w:val="none" w:sz="0" w:space="0" w:color="auto"/>
        <w:bottom w:val="none" w:sz="0" w:space="0" w:color="auto"/>
        <w:right w:val="none" w:sz="0" w:space="0" w:color="auto"/>
      </w:divBdr>
      <w:divsChild>
        <w:div w:id="964433701">
          <w:marLeft w:val="0"/>
          <w:marRight w:val="0"/>
          <w:marTop w:val="0"/>
          <w:marBottom w:val="0"/>
          <w:divBdr>
            <w:top w:val="none" w:sz="0" w:space="0" w:color="auto"/>
            <w:left w:val="none" w:sz="0" w:space="0" w:color="auto"/>
            <w:bottom w:val="none" w:sz="0" w:space="0" w:color="auto"/>
            <w:right w:val="none" w:sz="0" w:space="0" w:color="auto"/>
          </w:divBdr>
          <w:divsChild>
            <w:div w:id="859244773">
              <w:marLeft w:val="0"/>
              <w:marRight w:val="0"/>
              <w:marTop w:val="0"/>
              <w:marBottom w:val="0"/>
              <w:divBdr>
                <w:top w:val="none" w:sz="0" w:space="0" w:color="auto"/>
                <w:left w:val="none" w:sz="0" w:space="0" w:color="auto"/>
                <w:bottom w:val="none" w:sz="0" w:space="0" w:color="auto"/>
                <w:right w:val="none" w:sz="0" w:space="0" w:color="auto"/>
              </w:divBdr>
              <w:divsChild>
                <w:div w:id="1337149843">
                  <w:marLeft w:val="30"/>
                  <w:marRight w:val="30"/>
                  <w:marTop w:val="0"/>
                  <w:marBottom w:val="0"/>
                  <w:divBdr>
                    <w:top w:val="none" w:sz="0" w:space="0" w:color="auto"/>
                    <w:left w:val="none" w:sz="0" w:space="0" w:color="auto"/>
                    <w:bottom w:val="none" w:sz="0" w:space="0" w:color="auto"/>
                    <w:right w:val="none" w:sz="0" w:space="0" w:color="auto"/>
                  </w:divBdr>
                  <w:divsChild>
                    <w:div w:id="1079253943">
                      <w:marLeft w:val="0"/>
                      <w:marRight w:val="0"/>
                      <w:marTop w:val="0"/>
                      <w:marBottom w:val="0"/>
                      <w:divBdr>
                        <w:top w:val="none" w:sz="0" w:space="0" w:color="auto"/>
                        <w:left w:val="none" w:sz="0" w:space="0" w:color="auto"/>
                        <w:bottom w:val="none" w:sz="0" w:space="0" w:color="auto"/>
                        <w:right w:val="none" w:sz="0" w:space="0" w:color="auto"/>
                      </w:divBdr>
                      <w:divsChild>
                        <w:div w:id="1867138041">
                          <w:marLeft w:val="0"/>
                          <w:marRight w:val="0"/>
                          <w:marTop w:val="0"/>
                          <w:marBottom w:val="0"/>
                          <w:divBdr>
                            <w:top w:val="none" w:sz="0" w:space="0" w:color="auto"/>
                            <w:left w:val="none" w:sz="0" w:space="0" w:color="auto"/>
                            <w:bottom w:val="none" w:sz="0" w:space="0" w:color="auto"/>
                            <w:right w:val="none" w:sz="0" w:space="0" w:color="auto"/>
                          </w:divBdr>
                          <w:divsChild>
                            <w:div w:id="458693663">
                              <w:marLeft w:val="0"/>
                              <w:marRight w:val="0"/>
                              <w:marTop w:val="0"/>
                              <w:marBottom w:val="0"/>
                              <w:divBdr>
                                <w:top w:val="none" w:sz="0" w:space="0" w:color="auto"/>
                                <w:left w:val="none" w:sz="0" w:space="0" w:color="auto"/>
                                <w:bottom w:val="none" w:sz="0" w:space="0" w:color="auto"/>
                                <w:right w:val="none" w:sz="0" w:space="0" w:color="auto"/>
                              </w:divBdr>
                              <w:divsChild>
                                <w:div w:id="865025156">
                                  <w:marLeft w:val="0"/>
                                  <w:marRight w:val="0"/>
                                  <w:marTop w:val="0"/>
                                  <w:marBottom w:val="0"/>
                                  <w:divBdr>
                                    <w:top w:val="none" w:sz="0" w:space="0" w:color="auto"/>
                                    <w:left w:val="none" w:sz="0" w:space="0" w:color="auto"/>
                                    <w:bottom w:val="none" w:sz="0" w:space="0" w:color="auto"/>
                                    <w:right w:val="none" w:sz="0" w:space="0" w:color="auto"/>
                                  </w:divBdr>
                                  <w:divsChild>
                                    <w:div w:id="127042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109301">
      <w:bodyDiv w:val="1"/>
      <w:marLeft w:val="0"/>
      <w:marRight w:val="0"/>
      <w:marTop w:val="0"/>
      <w:marBottom w:val="0"/>
      <w:divBdr>
        <w:top w:val="none" w:sz="0" w:space="0" w:color="auto"/>
        <w:left w:val="none" w:sz="0" w:space="0" w:color="auto"/>
        <w:bottom w:val="none" w:sz="0" w:space="0" w:color="auto"/>
        <w:right w:val="none" w:sz="0" w:space="0" w:color="auto"/>
      </w:divBdr>
      <w:divsChild>
        <w:div w:id="120002578">
          <w:marLeft w:val="0"/>
          <w:marRight w:val="0"/>
          <w:marTop w:val="0"/>
          <w:marBottom w:val="0"/>
          <w:divBdr>
            <w:top w:val="none" w:sz="0" w:space="0" w:color="auto"/>
            <w:left w:val="none" w:sz="0" w:space="0" w:color="auto"/>
            <w:bottom w:val="dotted" w:sz="6" w:space="4" w:color="DDDDDD"/>
            <w:right w:val="none" w:sz="0" w:space="0" w:color="auto"/>
          </w:divBdr>
        </w:div>
      </w:divsChild>
    </w:div>
    <w:div w:id="1966154249">
      <w:bodyDiv w:val="1"/>
      <w:marLeft w:val="0"/>
      <w:marRight w:val="0"/>
      <w:marTop w:val="0"/>
      <w:marBottom w:val="0"/>
      <w:divBdr>
        <w:top w:val="none" w:sz="0" w:space="0" w:color="auto"/>
        <w:left w:val="none" w:sz="0" w:space="0" w:color="auto"/>
        <w:bottom w:val="none" w:sz="0" w:space="0" w:color="auto"/>
        <w:right w:val="none" w:sz="0" w:space="0" w:color="auto"/>
      </w:divBdr>
      <w:divsChild>
        <w:div w:id="145635188">
          <w:marLeft w:val="0"/>
          <w:marRight w:val="0"/>
          <w:marTop w:val="0"/>
          <w:marBottom w:val="150"/>
          <w:divBdr>
            <w:top w:val="none" w:sz="0" w:space="0" w:color="auto"/>
            <w:left w:val="none" w:sz="0" w:space="0" w:color="auto"/>
            <w:bottom w:val="none" w:sz="0" w:space="0" w:color="auto"/>
            <w:right w:val="none" w:sz="0" w:space="0" w:color="auto"/>
          </w:divBdr>
        </w:div>
        <w:div w:id="305818815">
          <w:marLeft w:val="0"/>
          <w:marRight w:val="0"/>
          <w:marTop w:val="0"/>
          <w:marBottom w:val="0"/>
          <w:divBdr>
            <w:top w:val="none" w:sz="0" w:space="0" w:color="auto"/>
            <w:left w:val="none" w:sz="0" w:space="0" w:color="auto"/>
            <w:bottom w:val="none" w:sz="0" w:space="0" w:color="auto"/>
            <w:right w:val="none" w:sz="0" w:space="0" w:color="auto"/>
          </w:divBdr>
          <w:divsChild>
            <w:div w:id="1401904755">
              <w:marLeft w:val="0"/>
              <w:marRight w:val="0"/>
              <w:marTop w:val="0"/>
              <w:marBottom w:val="225"/>
              <w:divBdr>
                <w:top w:val="none" w:sz="0" w:space="0" w:color="auto"/>
                <w:left w:val="none" w:sz="0" w:space="0" w:color="auto"/>
                <w:bottom w:val="none" w:sz="0" w:space="0" w:color="auto"/>
                <w:right w:val="none" w:sz="0" w:space="0" w:color="auto"/>
              </w:divBdr>
              <w:divsChild>
                <w:div w:id="1565945212">
                  <w:marLeft w:val="0"/>
                  <w:marRight w:val="0"/>
                  <w:marTop w:val="0"/>
                  <w:marBottom w:val="150"/>
                  <w:divBdr>
                    <w:top w:val="none" w:sz="0" w:space="0" w:color="auto"/>
                    <w:left w:val="none" w:sz="0" w:space="0" w:color="auto"/>
                    <w:bottom w:val="none" w:sz="0" w:space="0" w:color="auto"/>
                    <w:right w:val="none" w:sz="0" w:space="0" w:color="auto"/>
                  </w:divBdr>
                  <w:divsChild>
                    <w:div w:id="6249423">
                      <w:marLeft w:val="0"/>
                      <w:marRight w:val="0"/>
                      <w:marTop w:val="0"/>
                      <w:marBottom w:val="150"/>
                      <w:divBdr>
                        <w:top w:val="none" w:sz="0" w:space="0" w:color="auto"/>
                        <w:left w:val="none" w:sz="0" w:space="0" w:color="auto"/>
                        <w:bottom w:val="none" w:sz="0" w:space="0" w:color="auto"/>
                        <w:right w:val="none" w:sz="0" w:space="0" w:color="auto"/>
                      </w:divBdr>
                    </w:div>
                    <w:div w:id="37823276">
                      <w:marLeft w:val="0"/>
                      <w:marRight w:val="0"/>
                      <w:marTop w:val="0"/>
                      <w:marBottom w:val="150"/>
                      <w:divBdr>
                        <w:top w:val="none" w:sz="0" w:space="0" w:color="auto"/>
                        <w:left w:val="none" w:sz="0" w:space="0" w:color="auto"/>
                        <w:bottom w:val="none" w:sz="0" w:space="0" w:color="auto"/>
                        <w:right w:val="none" w:sz="0" w:space="0" w:color="auto"/>
                      </w:divBdr>
                    </w:div>
                    <w:div w:id="87316251">
                      <w:marLeft w:val="0"/>
                      <w:marRight w:val="0"/>
                      <w:marTop w:val="0"/>
                      <w:marBottom w:val="150"/>
                      <w:divBdr>
                        <w:top w:val="none" w:sz="0" w:space="0" w:color="auto"/>
                        <w:left w:val="none" w:sz="0" w:space="0" w:color="auto"/>
                        <w:bottom w:val="none" w:sz="0" w:space="0" w:color="auto"/>
                        <w:right w:val="none" w:sz="0" w:space="0" w:color="auto"/>
                      </w:divBdr>
                    </w:div>
                    <w:div w:id="540829178">
                      <w:marLeft w:val="0"/>
                      <w:marRight w:val="0"/>
                      <w:marTop w:val="0"/>
                      <w:marBottom w:val="150"/>
                      <w:divBdr>
                        <w:top w:val="none" w:sz="0" w:space="0" w:color="auto"/>
                        <w:left w:val="none" w:sz="0" w:space="0" w:color="auto"/>
                        <w:bottom w:val="none" w:sz="0" w:space="0" w:color="auto"/>
                        <w:right w:val="none" w:sz="0" w:space="0" w:color="auto"/>
                      </w:divBdr>
                    </w:div>
                    <w:div w:id="549653998">
                      <w:marLeft w:val="0"/>
                      <w:marRight w:val="0"/>
                      <w:marTop w:val="0"/>
                      <w:marBottom w:val="150"/>
                      <w:divBdr>
                        <w:top w:val="none" w:sz="0" w:space="0" w:color="auto"/>
                        <w:left w:val="none" w:sz="0" w:space="0" w:color="auto"/>
                        <w:bottom w:val="none" w:sz="0" w:space="0" w:color="auto"/>
                        <w:right w:val="none" w:sz="0" w:space="0" w:color="auto"/>
                      </w:divBdr>
                    </w:div>
                    <w:div w:id="732586869">
                      <w:marLeft w:val="0"/>
                      <w:marRight w:val="0"/>
                      <w:marTop w:val="0"/>
                      <w:marBottom w:val="150"/>
                      <w:divBdr>
                        <w:top w:val="none" w:sz="0" w:space="0" w:color="auto"/>
                        <w:left w:val="none" w:sz="0" w:space="0" w:color="auto"/>
                        <w:bottom w:val="none" w:sz="0" w:space="0" w:color="auto"/>
                        <w:right w:val="none" w:sz="0" w:space="0" w:color="auto"/>
                      </w:divBdr>
                    </w:div>
                    <w:div w:id="921065420">
                      <w:marLeft w:val="0"/>
                      <w:marRight w:val="0"/>
                      <w:marTop w:val="0"/>
                      <w:marBottom w:val="150"/>
                      <w:divBdr>
                        <w:top w:val="none" w:sz="0" w:space="0" w:color="auto"/>
                        <w:left w:val="none" w:sz="0" w:space="0" w:color="auto"/>
                        <w:bottom w:val="none" w:sz="0" w:space="0" w:color="auto"/>
                        <w:right w:val="none" w:sz="0" w:space="0" w:color="auto"/>
                      </w:divBdr>
                    </w:div>
                    <w:div w:id="1081635247">
                      <w:marLeft w:val="0"/>
                      <w:marRight w:val="0"/>
                      <w:marTop w:val="0"/>
                      <w:marBottom w:val="150"/>
                      <w:divBdr>
                        <w:top w:val="none" w:sz="0" w:space="0" w:color="auto"/>
                        <w:left w:val="none" w:sz="0" w:space="0" w:color="auto"/>
                        <w:bottom w:val="none" w:sz="0" w:space="0" w:color="auto"/>
                        <w:right w:val="none" w:sz="0" w:space="0" w:color="auto"/>
                      </w:divBdr>
                    </w:div>
                    <w:div w:id="1297100126">
                      <w:marLeft w:val="0"/>
                      <w:marRight w:val="0"/>
                      <w:marTop w:val="0"/>
                      <w:marBottom w:val="150"/>
                      <w:divBdr>
                        <w:top w:val="none" w:sz="0" w:space="0" w:color="auto"/>
                        <w:left w:val="none" w:sz="0" w:space="0" w:color="auto"/>
                        <w:bottom w:val="none" w:sz="0" w:space="0" w:color="auto"/>
                        <w:right w:val="none" w:sz="0" w:space="0" w:color="auto"/>
                      </w:divBdr>
                    </w:div>
                    <w:div w:id="1380975524">
                      <w:marLeft w:val="0"/>
                      <w:marRight w:val="0"/>
                      <w:marTop w:val="0"/>
                      <w:marBottom w:val="150"/>
                      <w:divBdr>
                        <w:top w:val="none" w:sz="0" w:space="0" w:color="auto"/>
                        <w:left w:val="none" w:sz="0" w:space="0" w:color="auto"/>
                        <w:bottom w:val="none" w:sz="0" w:space="0" w:color="auto"/>
                        <w:right w:val="none" w:sz="0" w:space="0" w:color="auto"/>
                      </w:divBdr>
                    </w:div>
                    <w:div w:id="1456020297">
                      <w:marLeft w:val="0"/>
                      <w:marRight w:val="0"/>
                      <w:marTop w:val="0"/>
                      <w:marBottom w:val="150"/>
                      <w:divBdr>
                        <w:top w:val="none" w:sz="0" w:space="0" w:color="auto"/>
                        <w:left w:val="none" w:sz="0" w:space="0" w:color="auto"/>
                        <w:bottom w:val="none" w:sz="0" w:space="0" w:color="auto"/>
                        <w:right w:val="none" w:sz="0" w:space="0" w:color="auto"/>
                      </w:divBdr>
                    </w:div>
                    <w:div w:id="15501426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55283787">
              <w:marLeft w:val="0"/>
              <w:marRight w:val="0"/>
              <w:marTop w:val="0"/>
              <w:marBottom w:val="375"/>
              <w:divBdr>
                <w:top w:val="none" w:sz="0" w:space="0" w:color="auto"/>
                <w:left w:val="none" w:sz="0" w:space="0" w:color="auto"/>
                <w:bottom w:val="none" w:sz="0" w:space="0" w:color="auto"/>
                <w:right w:val="none" w:sz="0" w:space="0" w:color="auto"/>
              </w:divBdr>
            </w:div>
          </w:divsChild>
        </w:div>
        <w:div w:id="861238384">
          <w:marLeft w:val="-9765"/>
          <w:marRight w:val="0"/>
          <w:marTop w:val="0"/>
          <w:marBottom w:val="0"/>
          <w:divBdr>
            <w:top w:val="none" w:sz="0" w:space="0" w:color="auto"/>
            <w:left w:val="none" w:sz="0" w:space="0" w:color="auto"/>
            <w:bottom w:val="none" w:sz="0" w:space="0" w:color="auto"/>
            <w:right w:val="none" w:sz="0" w:space="0" w:color="auto"/>
          </w:divBdr>
        </w:div>
      </w:divsChild>
    </w:div>
    <w:div w:id="1966426630">
      <w:bodyDiv w:val="1"/>
      <w:marLeft w:val="0"/>
      <w:marRight w:val="0"/>
      <w:marTop w:val="0"/>
      <w:marBottom w:val="0"/>
      <w:divBdr>
        <w:top w:val="none" w:sz="0" w:space="0" w:color="auto"/>
        <w:left w:val="none" w:sz="0" w:space="0" w:color="auto"/>
        <w:bottom w:val="none" w:sz="0" w:space="0" w:color="auto"/>
        <w:right w:val="none" w:sz="0" w:space="0" w:color="auto"/>
      </w:divBdr>
    </w:div>
    <w:div w:id="1966689334">
      <w:bodyDiv w:val="1"/>
      <w:marLeft w:val="0"/>
      <w:marRight w:val="0"/>
      <w:marTop w:val="0"/>
      <w:marBottom w:val="0"/>
      <w:divBdr>
        <w:top w:val="none" w:sz="0" w:space="0" w:color="auto"/>
        <w:left w:val="none" w:sz="0" w:space="0" w:color="auto"/>
        <w:bottom w:val="none" w:sz="0" w:space="0" w:color="auto"/>
        <w:right w:val="none" w:sz="0" w:space="0" w:color="auto"/>
      </w:divBdr>
      <w:divsChild>
        <w:div w:id="2060979862">
          <w:marLeft w:val="0"/>
          <w:marRight w:val="0"/>
          <w:marTop w:val="0"/>
          <w:marBottom w:val="240"/>
          <w:divBdr>
            <w:top w:val="none" w:sz="0" w:space="0" w:color="auto"/>
            <w:left w:val="none" w:sz="0" w:space="0" w:color="auto"/>
            <w:bottom w:val="none" w:sz="0" w:space="0" w:color="auto"/>
            <w:right w:val="none" w:sz="0" w:space="0" w:color="auto"/>
          </w:divBdr>
        </w:div>
        <w:div w:id="755595949">
          <w:marLeft w:val="0"/>
          <w:marRight w:val="0"/>
          <w:marTop w:val="0"/>
          <w:marBottom w:val="240"/>
          <w:divBdr>
            <w:top w:val="none" w:sz="0" w:space="0" w:color="auto"/>
            <w:left w:val="none" w:sz="0" w:space="0" w:color="auto"/>
            <w:bottom w:val="none" w:sz="0" w:space="0" w:color="auto"/>
            <w:right w:val="none" w:sz="0" w:space="0" w:color="auto"/>
          </w:divBdr>
        </w:div>
        <w:div w:id="1503086924">
          <w:marLeft w:val="0"/>
          <w:marRight w:val="0"/>
          <w:marTop w:val="0"/>
          <w:marBottom w:val="240"/>
          <w:divBdr>
            <w:top w:val="none" w:sz="0" w:space="0" w:color="auto"/>
            <w:left w:val="none" w:sz="0" w:space="0" w:color="auto"/>
            <w:bottom w:val="none" w:sz="0" w:space="0" w:color="auto"/>
            <w:right w:val="none" w:sz="0" w:space="0" w:color="auto"/>
          </w:divBdr>
        </w:div>
        <w:div w:id="251209747">
          <w:marLeft w:val="0"/>
          <w:marRight w:val="0"/>
          <w:marTop w:val="0"/>
          <w:marBottom w:val="240"/>
          <w:divBdr>
            <w:top w:val="none" w:sz="0" w:space="0" w:color="auto"/>
            <w:left w:val="none" w:sz="0" w:space="0" w:color="auto"/>
            <w:bottom w:val="none" w:sz="0" w:space="0" w:color="auto"/>
            <w:right w:val="none" w:sz="0" w:space="0" w:color="auto"/>
          </w:divBdr>
        </w:div>
      </w:divsChild>
    </w:div>
    <w:div w:id="1966816306">
      <w:bodyDiv w:val="1"/>
      <w:marLeft w:val="0"/>
      <w:marRight w:val="0"/>
      <w:marTop w:val="0"/>
      <w:marBottom w:val="0"/>
      <w:divBdr>
        <w:top w:val="none" w:sz="0" w:space="0" w:color="auto"/>
        <w:left w:val="none" w:sz="0" w:space="0" w:color="auto"/>
        <w:bottom w:val="none" w:sz="0" w:space="0" w:color="auto"/>
        <w:right w:val="none" w:sz="0" w:space="0" w:color="auto"/>
      </w:divBdr>
      <w:divsChild>
        <w:div w:id="345055713">
          <w:marLeft w:val="0"/>
          <w:marRight w:val="0"/>
          <w:marTop w:val="0"/>
          <w:marBottom w:val="0"/>
          <w:divBdr>
            <w:top w:val="none" w:sz="0" w:space="0" w:color="auto"/>
            <w:left w:val="none" w:sz="0" w:space="0" w:color="auto"/>
            <w:bottom w:val="none" w:sz="0" w:space="0" w:color="auto"/>
            <w:right w:val="none" w:sz="0" w:space="0" w:color="auto"/>
          </w:divBdr>
        </w:div>
        <w:div w:id="1474525119">
          <w:marLeft w:val="0"/>
          <w:marRight w:val="0"/>
          <w:marTop w:val="0"/>
          <w:marBottom w:val="0"/>
          <w:divBdr>
            <w:top w:val="none" w:sz="0" w:space="0" w:color="auto"/>
            <w:left w:val="none" w:sz="0" w:space="0" w:color="auto"/>
            <w:bottom w:val="none" w:sz="0" w:space="0" w:color="auto"/>
            <w:right w:val="none" w:sz="0" w:space="0" w:color="auto"/>
          </w:divBdr>
        </w:div>
      </w:divsChild>
    </w:div>
    <w:div w:id="1967154510">
      <w:bodyDiv w:val="1"/>
      <w:marLeft w:val="0"/>
      <w:marRight w:val="0"/>
      <w:marTop w:val="0"/>
      <w:marBottom w:val="0"/>
      <w:divBdr>
        <w:top w:val="none" w:sz="0" w:space="0" w:color="auto"/>
        <w:left w:val="none" w:sz="0" w:space="0" w:color="auto"/>
        <w:bottom w:val="none" w:sz="0" w:space="0" w:color="auto"/>
        <w:right w:val="none" w:sz="0" w:space="0" w:color="auto"/>
      </w:divBdr>
    </w:div>
    <w:div w:id="1967470752">
      <w:bodyDiv w:val="1"/>
      <w:marLeft w:val="0"/>
      <w:marRight w:val="0"/>
      <w:marTop w:val="0"/>
      <w:marBottom w:val="0"/>
      <w:divBdr>
        <w:top w:val="none" w:sz="0" w:space="0" w:color="auto"/>
        <w:left w:val="none" w:sz="0" w:space="0" w:color="auto"/>
        <w:bottom w:val="none" w:sz="0" w:space="0" w:color="auto"/>
        <w:right w:val="none" w:sz="0" w:space="0" w:color="auto"/>
      </w:divBdr>
    </w:div>
    <w:div w:id="1967734814">
      <w:bodyDiv w:val="1"/>
      <w:marLeft w:val="0"/>
      <w:marRight w:val="0"/>
      <w:marTop w:val="0"/>
      <w:marBottom w:val="0"/>
      <w:divBdr>
        <w:top w:val="none" w:sz="0" w:space="0" w:color="auto"/>
        <w:left w:val="none" w:sz="0" w:space="0" w:color="auto"/>
        <w:bottom w:val="none" w:sz="0" w:space="0" w:color="auto"/>
        <w:right w:val="none" w:sz="0" w:space="0" w:color="auto"/>
      </w:divBdr>
      <w:divsChild>
        <w:div w:id="1007053544">
          <w:marLeft w:val="0"/>
          <w:marRight w:val="0"/>
          <w:marTop w:val="0"/>
          <w:marBottom w:val="0"/>
          <w:divBdr>
            <w:top w:val="none" w:sz="0" w:space="0" w:color="auto"/>
            <w:left w:val="none" w:sz="0" w:space="0" w:color="auto"/>
            <w:bottom w:val="none" w:sz="0" w:space="0" w:color="auto"/>
            <w:right w:val="none" w:sz="0" w:space="0" w:color="auto"/>
          </w:divBdr>
          <w:divsChild>
            <w:div w:id="1485899117">
              <w:marLeft w:val="0"/>
              <w:marRight w:val="0"/>
              <w:marTop w:val="0"/>
              <w:marBottom w:val="0"/>
              <w:divBdr>
                <w:top w:val="none" w:sz="0" w:space="0" w:color="auto"/>
                <w:left w:val="none" w:sz="0" w:space="0" w:color="auto"/>
                <w:bottom w:val="none" w:sz="0" w:space="0" w:color="auto"/>
                <w:right w:val="none" w:sz="0" w:space="0" w:color="auto"/>
              </w:divBdr>
              <w:divsChild>
                <w:div w:id="187997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423028">
          <w:marLeft w:val="0"/>
          <w:marRight w:val="0"/>
          <w:marTop w:val="0"/>
          <w:marBottom w:val="75"/>
          <w:divBdr>
            <w:top w:val="none" w:sz="0" w:space="0" w:color="auto"/>
            <w:left w:val="none" w:sz="0" w:space="0" w:color="auto"/>
            <w:bottom w:val="none" w:sz="0" w:space="0" w:color="auto"/>
            <w:right w:val="none" w:sz="0" w:space="0" w:color="auto"/>
          </w:divBdr>
        </w:div>
        <w:div w:id="692074066">
          <w:marLeft w:val="0"/>
          <w:marRight w:val="0"/>
          <w:marTop w:val="0"/>
          <w:marBottom w:val="0"/>
          <w:divBdr>
            <w:top w:val="none" w:sz="0" w:space="0" w:color="auto"/>
            <w:left w:val="none" w:sz="0" w:space="0" w:color="auto"/>
            <w:bottom w:val="none" w:sz="0" w:space="0" w:color="auto"/>
            <w:right w:val="none" w:sz="0" w:space="0" w:color="auto"/>
          </w:divBdr>
          <w:divsChild>
            <w:div w:id="887568256">
              <w:marLeft w:val="0"/>
              <w:marRight w:val="0"/>
              <w:marTop w:val="0"/>
              <w:marBottom w:val="0"/>
              <w:divBdr>
                <w:top w:val="none" w:sz="0" w:space="0" w:color="auto"/>
                <w:left w:val="none" w:sz="0" w:space="0" w:color="auto"/>
                <w:bottom w:val="none" w:sz="0" w:space="0" w:color="auto"/>
                <w:right w:val="none" w:sz="0" w:space="0" w:color="auto"/>
              </w:divBdr>
              <w:divsChild>
                <w:div w:id="1323701998">
                  <w:marLeft w:val="0"/>
                  <w:marRight w:val="0"/>
                  <w:marTop w:val="0"/>
                  <w:marBottom w:val="300"/>
                  <w:divBdr>
                    <w:top w:val="none" w:sz="0" w:space="0" w:color="auto"/>
                    <w:left w:val="none" w:sz="0" w:space="0" w:color="auto"/>
                    <w:bottom w:val="none" w:sz="0" w:space="0" w:color="auto"/>
                    <w:right w:val="none" w:sz="0" w:space="0" w:color="auto"/>
                  </w:divBdr>
                  <w:divsChild>
                    <w:div w:id="20465908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967931652">
      <w:bodyDiv w:val="1"/>
      <w:marLeft w:val="0"/>
      <w:marRight w:val="0"/>
      <w:marTop w:val="0"/>
      <w:marBottom w:val="0"/>
      <w:divBdr>
        <w:top w:val="none" w:sz="0" w:space="0" w:color="auto"/>
        <w:left w:val="none" w:sz="0" w:space="0" w:color="auto"/>
        <w:bottom w:val="none" w:sz="0" w:space="0" w:color="auto"/>
        <w:right w:val="none" w:sz="0" w:space="0" w:color="auto"/>
      </w:divBdr>
      <w:divsChild>
        <w:div w:id="2112121062">
          <w:marLeft w:val="0"/>
          <w:marRight w:val="0"/>
          <w:marTop w:val="0"/>
          <w:marBottom w:val="0"/>
          <w:divBdr>
            <w:top w:val="none" w:sz="0" w:space="0" w:color="auto"/>
            <w:left w:val="none" w:sz="0" w:space="0" w:color="auto"/>
            <w:bottom w:val="none" w:sz="0" w:space="0" w:color="auto"/>
            <w:right w:val="none" w:sz="0" w:space="0" w:color="auto"/>
          </w:divBdr>
          <w:divsChild>
            <w:div w:id="10389702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68462737">
      <w:bodyDiv w:val="1"/>
      <w:marLeft w:val="0"/>
      <w:marRight w:val="0"/>
      <w:marTop w:val="0"/>
      <w:marBottom w:val="0"/>
      <w:divBdr>
        <w:top w:val="none" w:sz="0" w:space="0" w:color="auto"/>
        <w:left w:val="none" w:sz="0" w:space="0" w:color="auto"/>
        <w:bottom w:val="none" w:sz="0" w:space="0" w:color="auto"/>
        <w:right w:val="none" w:sz="0" w:space="0" w:color="auto"/>
      </w:divBdr>
    </w:div>
    <w:div w:id="1968975276">
      <w:bodyDiv w:val="1"/>
      <w:marLeft w:val="0"/>
      <w:marRight w:val="0"/>
      <w:marTop w:val="0"/>
      <w:marBottom w:val="0"/>
      <w:divBdr>
        <w:top w:val="none" w:sz="0" w:space="0" w:color="auto"/>
        <w:left w:val="none" w:sz="0" w:space="0" w:color="auto"/>
        <w:bottom w:val="none" w:sz="0" w:space="0" w:color="auto"/>
        <w:right w:val="none" w:sz="0" w:space="0" w:color="auto"/>
      </w:divBdr>
    </w:div>
    <w:div w:id="1969117799">
      <w:bodyDiv w:val="1"/>
      <w:marLeft w:val="0"/>
      <w:marRight w:val="0"/>
      <w:marTop w:val="0"/>
      <w:marBottom w:val="0"/>
      <w:divBdr>
        <w:top w:val="none" w:sz="0" w:space="0" w:color="auto"/>
        <w:left w:val="none" w:sz="0" w:space="0" w:color="auto"/>
        <w:bottom w:val="none" w:sz="0" w:space="0" w:color="auto"/>
        <w:right w:val="none" w:sz="0" w:space="0" w:color="auto"/>
      </w:divBdr>
      <w:divsChild>
        <w:div w:id="1460758941">
          <w:marLeft w:val="0"/>
          <w:marRight w:val="0"/>
          <w:marTop w:val="0"/>
          <w:marBottom w:val="150"/>
          <w:divBdr>
            <w:top w:val="none" w:sz="0" w:space="0" w:color="auto"/>
            <w:left w:val="none" w:sz="0" w:space="0" w:color="auto"/>
            <w:bottom w:val="none" w:sz="0" w:space="0" w:color="auto"/>
            <w:right w:val="none" w:sz="0" w:space="0" w:color="auto"/>
          </w:divBdr>
          <w:divsChild>
            <w:div w:id="1904410696">
              <w:marLeft w:val="0"/>
              <w:marRight w:val="0"/>
              <w:marTop w:val="0"/>
              <w:marBottom w:val="0"/>
              <w:divBdr>
                <w:top w:val="none" w:sz="0" w:space="0" w:color="auto"/>
                <w:left w:val="none" w:sz="0" w:space="0" w:color="auto"/>
                <w:bottom w:val="none" w:sz="0" w:space="0" w:color="auto"/>
                <w:right w:val="none" w:sz="0" w:space="0" w:color="auto"/>
              </w:divBdr>
              <w:divsChild>
                <w:div w:id="968781698">
                  <w:marLeft w:val="0"/>
                  <w:marRight w:val="0"/>
                  <w:marTop w:val="0"/>
                  <w:marBottom w:val="0"/>
                  <w:divBdr>
                    <w:top w:val="none" w:sz="0" w:space="0" w:color="auto"/>
                    <w:left w:val="none" w:sz="0" w:space="0" w:color="auto"/>
                    <w:bottom w:val="none" w:sz="0" w:space="0" w:color="auto"/>
                    <w:right w:val="none" w:sz="0" w:space="0" w:color="auto"/>
                  </w:divBdr>
                  <w:divsChild>
                    <w:div w:id="275260036">
                      <w:marLeft w:val="0"/>
                      <w:marRight w:val="150"/>
                      <w:marTop w:val="0"/>
                      <w:marBottom w:val="0"/>
                      <w:divBdr>
                        <w:top w:val="none" w:sz="0" w:space="0" w:color="auto"/>
                        <w:left w:val="none" w:sz="0" w:space="0" w:color="auto"/>
                        <w:bottom w:val="none" w:sz="0" w:space="0" w:color="auto"/>
                        <w:right w:val="none" w:sz="0" w:space="0" w:color="auto"/>
                      </w:divBdr>
                      <w:divsChild>
                        <w:div w:id="9465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255763">
          <w:marLeft w:val="0"/>
          <w:marRight w:val="0"/>
          <w:marTop w:val="0"/>
          <w:marBottom w:val="150"/>
          <w:divBdr>
            <w:top w:val="none" w:sz="0" w:space="0" w:color="auto"/>
            <w:left w:val="none" w:sz="0" w:space="0" w:color="auto"/>
            <w:bottom w:val="none" w:sz="0" w:space="0" w:color="auto"/>
            <w:right w:val="none" w:sz="0" w:space="0" w:color="auto"/>
          </w:divBdr>
        </w:div>
        <w:div w:id="1615559355">
          <w:marLeft w:val="0"/>
          <w:marRight w:val="0"/>
          <w:marTop w:val="0"/>
          <w:marBottom w:val="0"/>
          <w:divBdr>
            <w:top w:val="none" w:sz="0" w:space="0" w:color="auto"/>
            <w:left w:val="none" w:sz="0" w:space="0" w:color="auto"/>
            <w:bottom w:val="none" w:sz="0" w:space="0" w:color="auto"/>
            <w:right w:val="none" w:sz="0" w:space="0" w:color="auto"/>
          </w:divBdr>
          <w:divsChild>
            <w:div w:id="176947221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69317844">
      <w:bodyDiv w:val="1"/>
      <w:marLeft w:val="0"/>
      <w:marRight w:val="0"/>
      <w:marTop w:val="0"/>
      <w:marBottom w:val="0"/>
      <w:divBdr>
        <w:top w:val="none" w:sz="0" w:space="0" w:color="auto"/>
        <w:left w:val="none" w:sz="0" w:space="0" w:color="auto"/>
        <w:bottom w:val="none" w:sz="0" w:space="0" w:color="auto"/>
        <w:right w:val="none" w:sz="0" w:space="0" w:color="auto"/>
      </w:divBdr>
      <w:divsChild>
        <w:div w:id="353308266">
          <w:marLeft w:val="0"/>
          <w:marRight w:val="0"/>
          <w:marTop w:val="0"/>
          <w:marBottom w:val="0"/>
          <w:divBdr>
            <w:top w:val="none" w:sz="0" w:space="0" w:color="auto"/>
            <w:left w:val="none" w:sz="0" w:space="0" w:color="auto"/>
            <w:bottom w:val="none" w:sz="0" w:space="0" w:color="auto"/>
            <w:right w:val="none" w:sz="0" w:space="0" w:color="auto"/>
          </w:divBdr>
          <w:divsChild>
            <w:div w:id="1477795824">
              <w:marLeft w:val="0"/>
              <w:marRight w:val="0"/>
              <w:marTop w:val="0"/>
              <w:marBottom w:val="0"/>
              <w:divBdr>
                <w:top w:val="none" w:sz="0" w:space="0" w:color="auto"/>
                <w:left w:val="none" w:sz="0" w:space="0" w:color="auto"/>
                <w:bottom w:val="none" w:sz="0" w:space="0" w:color="auto"/>
                <w:right w:val="none" w:sz="0" w:space="0" w:color="auto"/>
              </w:divBdr>
            </w:div>
          </w:divsChild>
        </w:div>
        <w:div w:id="876547319">
          <w:marLeft w:val="0"/>
          <w:marRight w:val="0"/>
          <w:marTop w:val="0"/>
          <w:marBottom w:val="0"/>
          <w:divBdr>
            <w:top w:val="none" w:sz="0" w:space="0" w:color="auto"/>
            <w:left w:val="none" w:sz="0" w:space="0" w:color="auto"/>
            <w:bottom w:val="none" w:sz="0" w:space="0" w:color="auto"/>
            <w:right w:val="none" w:sz="0" w:space="0" w:color="auto"/>
          </w:divBdr>
          <w:divsChild>
            <w:div w:id="707683006">
              <w:marLeft w:val="-225"/>
              <w:marRight w:val="-225"/>
              <w:marTop w:val="0"/>
              <w:marBottom w:val="0"/>
              <w:divBdr>
                <w:top w:val="none" w:sz="0" w:space="0" w:color="auto"/>
                <w:left w:val="none" w:sz="0" w:space="0" w:color="auto"/>
                <w:bottom w:val="none" w:sz="0" w:space="0" w:color="auto"/>
                <w:right w:val="none" w:sz="0" w:space="0" w:color="auto"/>
              </w:divBdr>
              <w:divsChild>
                <w:div w:id="1303661266">
                  <w:marLeft w:val="0"/>
                  <w:marRight w:val="0"/>
                  <w:marTop w:val="0"/>
                  <w:marBottom w:val="0"/>
                  <w:divBdr>
                    <w:top w:val="none" w:sz="0" w:space="0" w:color="auto"/>
                    <w:left w:val="none" w:sz="0" w:space="0" w:color="auto"/>
                    <w:bottom w:val="none" w:sz="0" w:space="0" w:color="auto"/>
                    <w:right w:val="single" w:sz="6" w:space="0" w:color="000000"/>
                  </w:divBdr>
                  <w:divsChild>
                    <w:div w:id="2061591487">
                      <w:marLeft w:val="0"/>
                      <w:marRight w:val="0"/>
                      <w:marTop w:val="0"/>
                      <w:marBottom w:val="0"/>
                      <w:divBdr>
                        <w:top w:val="none" w:sz="0" w:space="0" w:color="auto"/>
                        <w:left w:val="none" w:sz="0" w:space="0" w:color="auto"/>
                        <w:bottom w:val="none" w:sz="0" w:space="0" w:color="auto"/>
                        <w:right w:val="none" w:sz="0" w:space="0" w:color="auto"/>
                      </w:divBdr>
                      <w:divsChild>
                        <w:div w:id="1333870017">
                          <w:marLeft w:val="0"/>
                          <w:marRight w:val="0"/>
                          <w:marTop w:val="0"/>
                          <w:marBottom w:val="0"/>
                          <w:divBdr>
                            <w:top w:val="none" w:sz="0" w:space="0" w:color="auto"/>
                            <w:left w:val="none" w:sz="0" w:space="0" w:color="auto"/>
                            <w:bottom w:val="none" w:sz="0" w:space="0" w:color="auto"/>
                            <w:right w:val="none" w:sz="0" w:space="0" w:color="auto"/>
                          </w:divBdr>
                        </w:div>
                        <w:div w:id="1033457939">
                          <w:marLeft w:val="0"/>
                          <w:marRight w:val="0"/>
                          <w:marTop w:val="0"/>
                          <w:marBottom w:val="0"/>
                          <w:divBdr>
                            <w:top w:val="none" w:sz="0" w:space="0" w:color="auto"/>
                            <w:left w:val="none" w:sz="0" w:space="0" w:color="auto"/>
                            <w:bottom w:val="none" w:sz="0" w:space="0" w:color="auto"/>
                            <w:right w:val="none" w:sz="0" w:space="0" w:color="auto"/>
                          </w:divBdr>
                        </w:div>
                        <w:div w:id="1465929204">
                          <w:marLeft w:val="0"/>
                          <w:marRight w:val="0"/>
                          <w:marTop w:val="0"/>
                          <w:marBottom w:val="0"/>
                          <w:divBdr>
                            <w:top w:val="none" w:sz="0" w:space="0" w:color="auto"/>
                            <w:left w:val="none" w:sz="0" w:space="0" w:color="auto"/>
                            <w:bottom w:val="none" w:sz="0" w:space="0" w:color="auto"/>
                            <w:right w:val="none" w:sz="0" w:space="0" w:color="auto"/>
                          </w:divBdr>
                        </w:div>
                        <w:div w:id="8521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1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362085">
      <w:bodyDiv w:val="1"/>
      <w:marLeft w:val="0"/>
      <w:marRight w:val="0"/>
      <w:marTop w:val="0"/>
      <w:marBottom w:val="0"/>
      <w:divBdr>
        <w:top w:val="none" w:sz="0" w:space="0" w:color="auto"/>
        <w:left w:val="none" w:sz="0" w:space="0" w:color="auto"/>
        <w:bottom w:val="none" w:sz="0" w:space="0" w:color="auto"/>
        <w:right w:val="none" w:sz="0" w:space="0" w:color="auto"/>
      </w:divBdr>
    </w:div>
    <w:div w:id="1969435529">
      <w:bodyDiv w:val="1"/>
      <w:marLeft w:val="0"/>
      <w:marRight w:val="0"/>
      <w:marTop w:val="0"/>
      <w:marBottom w:val="0"/>
      <w:divBdr>
        <w:top w:val="none" w:sz="0" w:space="0" w:color="auto"/>
        <w:left w:val="none" w:sz="0" w:space="0" w:color="auto"/>
        <w:bottom w:val="none" w:sz="0" w:space="0" w:color="auto"/>
        <w:right w:val="none" w:sz="0" w:space="0" w:color="auto"/>
      </w:divBdr>
      <w:divsChild>
        <w:div w:id="1889369952">
          <w:marLeft w:val="0"/>
          <w:marRight w:val="0"/>
          <w:marTop w:val="0"/>
          <w:marBottom w:val="0"/>
          <w:divBdr>
            <w:top w:val="none" w:sz="0" w:space="0" w:color="auto"/>
            <w:left w:val="none" w:sz="0" w:space="0" w:color="auto"/>
            <w:bottom w:val="none" w:sz="0" w:space="0" w:color="auto"/>
            <w:right w:val="none" w:sz="0" w:space="0" w:color="auto"/>
          </w:divBdr>
        </w:div>
        <w:div w:id="760183386">
          <w:marLeft w:val="0"/>
          <w:marRight w:val="0"/>
          <w:marTop w:val="0"/>
          <w:marBottom w:val="0"/>
          <w:divBdr>
            <w:top w:val="none" w:sz="0" w:space="0" w:color="auto"/>
            <w:left w:val="none" w:sz="0" w:space="0" w:color="auto"/>
            <w:bottom w:val="none" w:sz="0" w:space="0" w:color="auto"/>
            <w:right w:val="none" w:sz="0" w:space="0" w:color="auto"/>
          </w:divBdr>
        </w:div>
        <w:div w:id="2138526421">
          <w:marLeft w:val="0"/>
          <w:marRight w:val="0"/>
          <w:marTop w:val="0"/>
          <w:marBottom w:val="0"/>
          <w:divBdr>
            <w:top w:val="none" w:sz="0" w:space="0" w:color="auto"/>
            <w:left w:val="none" w:sz="0" w:space="0" w:color="auto"/>
            <w:bottom w:val="none" w:sz="0" w:space="0" w:color="auto"/>
            <w:right w:val="none" w:sz="0" w:space="0" w:color="auto"/>
          </w:divBdr>
        </w:div>
        <w:div w:id="19210749">
          <w:marLeft w:val="0"/>
          <w:marRight w:val="0"/>
          <w:marTop w:val="0"/>
          <w:marBottom w:val="0"/>
          <w:divBdr>
            <w:top w:val="none" w:sz="0" w:space="0" w:color="auto"/>
            <w:left w:val="none" w:sz="0" w:space="0" w:color="auto"/>
            <w:bottom w:val="none" w:sz="0" w:space="0" w:color="auto"/>
            <w:right w:val="none" w:sz="0" w:space="0" w:color="auto"/>
          </w:divBdr>
        </w:div>
      </w:divsChild>
    </w:div>
    <w:div w:id="1969629154">
      <w:bodyDiv w:val="1"/>
      <w:marLeft w:val="0"/>
      <w:marRight w:val="0"/>
      <w:marTop w:val="0"/>
      <w:marBottom w:val="0"/>
      <w:divBdr>
        <w:top w:val="none" w:sz="0" w:space="0" w:color="auto"/>
        <w:left w:val="none" w:sz="0" w:space="0" w:color="auto"/>
        <w:bottom w:val="none" w:sz="0" w:space="0" w:color="auto"/>
        <w:right w:val="none" w:sz="0" w:space="0" w:color="auto"/>
      </w:divBdr>
      <w:divsChild>
        <w:div w:id="2124424374">
          <w:marLeft w:val="0"/>
          <w:marRight w:val="0"/>
          <w:marTop w:val="0"/>
          <w:marBottom w:val="0"/>
          <w:divBdr>
            <w:top w:val="none" w:sz="0" w:space="0" w:color="auto"/>
            <w:left w:val="none" w:sz="0" w:space="0" w:color="auto"/>
            <w:bottom w:val="dotted" w:sz="6" w:space="4" w:color="DDDDDD"/>
            <w:right w:val="none" w:sz="0" w:space="0" w:color="auto"/>
          </w:divBdr>
        </w:div>
      </w:divsChild>
    </w:div>
    <w:div w:id="1969822227">
      <w:bodyDiv w:val="1"/>
      <w:marLeft w:val="0"/>
      <w:marRight w:val="0"/>
      <w:marTop w:val="0"/>
      <w:marBottom w:val="0"/>
      <w:divBdr>
        <w:top w:val="none" w:sz="0" w:space="0" w:color="auto"/>
        <w:left w:val="none" w:sz="0" w:space="0" w:color="auto"/>
        <w:bottom w:val="none" w:sz="0" w:space="0" w:color="auto"/>
        <w:right w:val="none" w:sz="0" w:space="0" w:color="auto"/>
      </w:divBdr>
      <w:divsChild>
        <w:div w:id="76749269">
          <w:marLeft w:val="0"/>
          <w:marRight w:val="0"/>
          <w:marTop w:val="0"/>
          <w:marBottom w:val="225"/>
          <w:divBdr>
            <w:top w:val="none" w:sz="0" w:space="0" w:color="auto"/>
            <w:left w:val="none" w:sz="0" w:space="0" w:color="auto"/>
            <w:bottom w:val="single" w:sz="6" w:space="0" w:color="CCCCCC"/>
            <w:right w:val="none" w:sz="0" w:space="0" w:color="auto"/>
          </w:divBdr>
        </w:div>
        <w:div w:id="462037865">
          <w:marLeft w:val="0"/>
          <w:marRight w:val="0"/>
          <w:marTop w:val="0"/>
          <w:marBottom w:val="0"/>
          <w:divBdr>
            <w:top w:val="none" w:sz="0" w:space="0" w:color="auto"/>
            <w:left w:val="none" w:sz="0" w:space="0" w:color="auto"/>
            <w:bottom w:val="none" w:sz="0" w:space="0" w:color="auto"/>
            <w:right w:val="none" w:sz="0" w:space="0" w:color="auto"/>
          </w:divBdr>
          <w:divsChild>
            <w:div w:id="509442619">
              <w:marLeft w:val="0"/>
              <w:marRight w:val="0"/>
              <w:marTop w:val="0"/>
              <w:marBottom w:val="225"/>
              <w:divBdr>
                <w:top w:val="none" w:sz="0" w:space="0" w:color="auto"/>
                <w:left w:val="none" w:sz="0" w:space="0" w:color="auto"/>
                <w:bottom w:val="none" w:sz="0" w:space="0" w:color="auto"/>
                <w:right w:val="none" w:sz="0" w:space="0" w:color="auto"/>
              </w:divBdr>
            </w:div>
            <w:div w:id="616329355">
              <w:marLeft w:val="0"/>
              <w:marRight w:val="0"/>
              <w:marTop w:val="0"/>
              <w:marBottom w:val="225"/>
              <w:divBdr>
                <w:top w:val="none" w:sz="0" w:space="0" w:color="auto"/>
                <w:left w:val="none" w:sz="0" w:space="0" w:color="auto"/>
                <w:bottom w:val="none" w:sz="0" w:space="0" w:color="auto"/>
                <w:right w:val="none" w:sz="0" w:space="0" w:color="auto"/>
              </w:divBdr>
              <w:divsChild>
                <w:div w:id="136945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358121">
      <w:bodyDiv w:val="1"/>
      <w:marLeft w:val="0"/>
      <w:marRight w:val="0"/>
      <w:marTop w:val="0"/>
      <w:marBottom w:val="0"/>
      <w:divBdr>
        <w:top w:val="none" w:sz="0" w:space="0" w:color="auto"/>
        <w:left w:val="none" w:sz="0" w:space="0" w:color="auto"/>
        <w:bottom w:val="none" w:sz="0" w:space="0" w:color="auto"/>
        <w:right w:val="none" w:sz="0" w:space="0" w:color="auto"/>
      </w:divBdr>
    </w:div>
    <w:div w:id="1970545354">
      <w:bodyDiv w:val="1"/>
      <w:marLeft w:val="0"/>
      <w:marRight w:val="0"/>
      <w:marTop w:val="0"/>
      <w:marBottom w:val="0"/>
      <w:divBdr>
        <w:top w:val="none" w:sz="0" w:space="0" w:color="auto"/>
        <w:left w:val="none" w:sz="0" w:space="0" w:color="auto"/>
        <w:bottom w:val="none" w:sz="0" w:space="0" w:color="auto"/>
        <w:right w:val="none" w:sz="0" w:space="0" w:color="auto"/>
      </w:divBdr>
      <w:divsChild>
        <w:div w:id="2062047439">
          <w:marLeft w:val="0"/>
          <w:marRight w:val="0"/>
          <w:marTop w:val="0"/>
          <w:marBottom w:val="0"/>
          <w:divBdr>
            <w:top w:val="none" w:sz="0" w:space="0" w:color="auto"/>
            <w:left w:val="none" w:sz="0" w:space="0" w:color="auto"/>
            <w:bottom w:val="none" w:sz="0" w:space="0" w:color="auto"/>
            <w:right w:val="none" w:sz="0" w:space="0" w:color="auto"/>
          </w:divBdr>
          <w:divsChild>
            <w:div w:id="2016178824">
              <w:marLeft w:val="0"/>
              <w:marRight w:val="0"/>
              <w:marTop w:val="0"/>
              <w:marBottom w:val="0"/>
              <w:divBdr>
                <w:top w:val="none" w:sz="0" w:space="0" w:color="auto"/>
                <w:left w:val="none" w:sz="0" w:space="0" w:color="auto"/>
                <w:bottom w:val="none" w:sz="0" w:space="0" w:color="auto"/>
                <w:right w:val="none" w:sz="0" w:space="0" w:color="auto"/>
              </w:divBdr>
            </w:div>
          </w:divsChild>
        </w:div>
        <w:div w:id="568732968">
          <w:marLeft w:val="0"/>
          <w:marRight w:val="0"/>
          <w:marTop w:val="240"/>
          <w:marBottom w:val="0"/>
          <w:divBdr>
            <w:top w:val="none" w:sz="0" w:space="0" w:color="auto"/>
            <w:left w:val="none" w:sz="0" w:space="0" w:color="auto"/>
            <w:bottom w:val="none" w:sz="0" w:space="0" w:color="auto"/>
            <w:right w:val="none" w:sz="0" w:space="0" w:color="auto"/>
          </w:divBdr>
        </w:div>
      </w:divsChild>
    </w:div>
    <w:div w:id="1970546306">
      <w:bodyDiv w:val="1"/>
      <w:marLeft w:val="0"/>
      <w:marRight w:val="0"/>
      <w:marTop w:val="0"/>
      <w:marBottom w:val="0"/>
      <w:divBdr>
        <w:top w:val="none" w:sz="0" w:space="0" w:color="auto"/>
        <w:left w:val="none" w:sz="0" w:space="0" w:color="auto"/>
        <w:bottom w:val="none" w:sz="0" w:space="0" w:color="auto"/>
        <w:right w:val="none" w:sz="0" w:space="0" w:color="auto"/>
      </w:divBdr>
      <w:divsChild>
        <w:div w:id="30154106">
          <w:marLeft w:val="0"/>
          <w:marRight w:val="0"/>
          <w:marTop w:val="0"/>
          <w:marBottom w:val="150"/>
          <w:divBdr>
            <w:top w:val="none" w:sz="0" w:space="0" w:color="auto"/>
            <w:left w:val="none" w:sz="0" w:space="0" w:color="auto"/>
            <w:bottom w:val="none" w:sz="0" w:space="0" w:color="auto"/>
            <w:right w:val="none" w:sz="0" w:space="0" w:color="auto"/>
          </w:divBdr>
        </w:div>
        <w:div w:id="703529894">
          <w:marLeft w:val="0"/>
          <w:marRight w:val="0"/>
          <w:marTop w:val="0"/>
          <w:marBottom w:val="0"/>
          <w:divBdr>
            <w:top w:val="none" w:sz="0" w:space="0" w:color="auto"/>
            <w:left w:val="none" w:sz="0" w:space="0" w:color="auto"/>
            <w:bottom w:val="none" w:sz="0" w:space="0" w:color="auto"/>
            <w:right w:val="none" w:sz="0" w:space="0" w:color="auto"/>
          </w:divBdr>
          <w:divsChild>
            <w:div w:id="1705524086">
              <w:marLeft w:val="0"/>
              <w:marRight w:val="0"/>
              <w:marTop w:val="0"/>
              <w:marBottom w:val="0"/>
              <w:divBdr>
                <w:top w:val="none" w:sz="0" w:space="0" w:color="auto"/>
                <w:left w:val="none" w:sz="0" w:space="0" w:color="auto"/>
                <w:bottom w:val="none" w:sz="0" w:space="0" w:color="auto"/>
                <w:right w:val="none" w:sz="0" w:space="0" w:color="auto"/>
              </w:divBdr>
            </w:div>
          </w:divsChild>
        </w:div>
        <w:div w:id="1445346648">
          <w:marLeft w:val="0"/>
          <w:marRight w:val="0"/>
          <w:marTop w:val="0"/>
          <w:marBottom w:val="150"/>
          <w:divBdr>
            <w:top w:val="none" w:sz="0" w:space="0" w:color="auto"/>
            <w:left w:val="none" w:sz="0" w:space="0" w:color="auto"/>
            <w:bottom w:val="none" w:sz="0" w:space="0" w:color="auto"/>
            <w:right w:val="none" w:sz="0" w:space="0" w:color="auto"/>
          </w:divBdr>
          <w:divsChild>
            <w:div w:id="77748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622073">
      <w:bodyDiv w:val="1"/>
      <w:marLeft w:val="0"/>
      <w:marRight w:val="0"/>
      <w:marTop w:val="0"/>
      <w:marBottom w:val="0"/>
      <w:divBdr>
        <w:top w:val="none" w:sz="0" w:space="0" w:color="auto"/>
        <w:left w:val="none" w:sz="0" w:space="0" w:color="auto"/>
        <w:bottom w:val="none" w:sz="0" w:space="0" w:color="auto"/>
        <w:right w:val="none" w:sz="0" w:space="0" w:color="auto"/>
      </w:divBdr>
      <w:divsChild>
        <w:div w:id="1927571009">
          <w:marLeft w:val="0"/>
          <w:marRight w:val="0"/>
          <w:marTop w:val="0"/>
          <w:marBottom w:val="0"/>
          <w:divBdr>
            <w:top w:val="none" w:sz="0" w:space="0" w:color="auto"/>
            <w:left w:val="none" w:sz="0" w:space="0" w:color="auto"/>
            <w:bottom w:val="dotted" w:sz="6" w:space="4" w:color="DDDDDD"/>
            <w:right w:val="none" w:sz="0" w:space="0" w:color="auto"/>
          </w:divBdr>
          <w:divsChild>
            <w:div w:id="1888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672614">
      <w:bodyDiv w:val="1"/>
      <w:marLeft w:val="0"/>
      <w:marRight w:val="0"/>
      <w:marTop w:val="0"/>
      <w:marBottom w:val="0"/>
      <w:divBdr>
        <w:top w:val="none" w:sz="0" w:space="0" w:color="auto"/>
        <w:left w:val="none" w:sz="0" w:space="0" w:color="auto"/>
        <w:bottom w:val="none" w:sz="0" w:space="0" w:color="auto"/>
        <w:right w:val="none" w:sz="0" w:space="0" w:color="auto"/>
      </w:divBdr>
    </w:div>
    <w:div w:id="1970937533">
      <w:bodyDiv w:val="1"/>
      <w:marLeft w:val="0"/>
      <w:marRight w:val="0"/>
      <w:marTop w:val="0"/>
      <w:marBottom w:val="0"/>
      <w:divBdr>
        <w:top w:val="none" w:sz="0" w:space="0" w:color="auto"/>
        <w:left w:val="none" w:sz="0" w:space="0" w:color="auto"/>
        <w:bottom w:val="none" w:sz="0" w:space="0" w:color="auto"/>
        <w:right w:val="none" w:sz="0" w:space="0" w:color="auto"/>
      </w:divBdr>
      <w:divsChild>
        <w:div w:id="60949598">
          <w:marLeft w:val="0"/>
          <w:marRight w:val="0"/>
          <w:marTop w:val="0"/>
          <w:marBottom w:val="450"/>
          <w:divBdr>
            <w:top w:val="none" w:sz="0" w:space="0" w:color="auto"/>
            <w:left w:val="none" w:sz="0" w:space="0" w:color="auto"/>
            <w:bottom w:val="single" w:sz="6" w:space="19" w:color="EEEEEE"/>
            <w:right w:val="none" w:sz="0" w:space="0" w:color="auto"/>
          </w:divBdr>
          <w:divsChild>
            <w:div w:id="2132552261">
              <w:marLeft w:val="0"/>
              <w:marRight w:val="0"/>
              <w:marTop w:val="0"/>
              <w:marBottom w:val="150"/>
              <w:divBdr>
                <w:top w:val="none" w:sz="0" w:space="0" w:color="auto"/>
                <w:left w:val="none" w:sz="0" w:space="0" w:color="auto"/>
                <w:bottom w:val="none" w:sz="0" w:space="0" w:color="auto"/>
                <w:right w:val="none" w:sz="0" w:space="0" w:color="auto"/>
              </w:divBdr>
              <w:divsChild>
                <w:div w:id="1665158086">
                  <w:marLeft w:val="0"/>
                  <w:marRight w:val="0"/>
                  <w:marTop w:val="0"/>
                  <w:marBottom w:val="0"/>
                  <w:divBdr>
                    <w:top w:val="none" w:sz="0" w:space="0" w:color="auto"/>
                    <w:left w:val="none" w:sz="0" w:space="0" w:color="auto"/>
                    <w:bottom w:val="none" w:sz="0" w:space="0" w:color="auto"/>
                    <w:right w:val="none" w:sz="0" w:space="0" w:color="auto"/>
                  </w:divBdr>
                </w:div>
              </w:divsChild>
            </w:div>
            <w:div w:id="972179004">
              <w:marLeft w:val="0"/>
              <w:marRight w:val="0"/>
              <w:marTop w:val="0"/>
              <w:marBottom w:val="0"/>
              <w:divBdr>
                <w:top w:val="none" w:sz="0" w:space="0" w:color="auto"/>
                <w:left w:val="none" w:sz="0" w:space="0" w:color="auto"/>
                <w:bottom w:val="none" w:sz="0" w:space="0" w:color="auto"/>
                <w:right w:val="none" w:sz="0" w:space="0" w:color="auto"/>
              </w:divBdr>
            </w:div>
          </w:divsChild>
        </w:div>
        <w:div w:id="606817061">
          <w:marLeft w:val="0"/>
          <w:marRight w:val="0"/>
          <w:marTop w:val="0"/>
          <w:marBottom w:val="0"/>
          <w:divBdr>
            <w:top w:val="none" w:sz="0" w:space="0" w:color="auto"/>
            <w:left w:val="none" w:sz="0" w:space="0" w:color="auto"/>
            <w:bottom w:val="none" w:sz="0" w:space="0" w:color="auto"/>
            <w:right w:val="none" w:sz="0" w:space="0" w:color="auto"/>
          </w:divBdr>
          <w:divsChild>
            <w:div w:id="49235627">
              <w:marLeft w:val="0"/>
              <w:marRight w:val="0"/>
              <w:marTop w:val="0"/>
              <w:marBottom w:val="0"/>
              <w:divBdr>
                <w:top w:val="none" w:sz="0" w:space="0" w:color="auto"/>
                <w:left w:val="none" w:sz="0" w:space="0" w:color="auto"/>
                <w:bottom w:val="none" w:sz="0" w:space="0" w:color="auto"/>
                <w:right w:val="none" w:sz="0" w:space="0" w:color="auto"/>
              </w:divBdr>
              <w:divsChild>
                <w:div w:id="161690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014453">
      <w:bodyDiv w:val="1"/>
      <w:marLeft w:val="0"/>
      <w:marRight w:val="0"/>
      <w:marTop w:val="0"/>
      <w:marBottom w:val="0"/>
      <w:divBdr>
        <w:top w:val="none" w:sz="0" w:space="0" w:color="auto"/>
        <w:left w:val="none" w:sz="0" w:space="0" w:color="auto"/>
        <w:bottom w:val="none" w:sz="0" w:space="0" w:color="auto"/>
        <w:right w:val="none" w:sz="0" w:space="0" w:color="auto"/>
      </w:divBdr>
      <w:divsChild>
        <w:div w:id="1133213307">
          <w:marLeft w:val="0"/>
          <w:marRight w:val="0"/>
          <w:marTop w:val="0"/>
          <w:marBottom w:val="0"/>
          <w:divBdr>
            <w:top w:val="none" w:sz="0" w:space="0" w:color="auto"/>
            <w:left w:val="none" w:sz="0" w:space="0" w:color="auto"/>
            <w:bottom w:val="none" w:sz="0" w:space="0" w:color="auto"/>
            <w:right w:val="none" w:sz="0" w:space="0" w:color="auto"/>
          </w:divBdr>
          <w:divsChild>
            <w:div w:id="1702898543">
              <w:marLeft w:val="0"/>
              <w:marRight w:val="0"/>
              <w:marTop w:val="0"/>
              <w:marBottom w:val="0"/>
              <w:divBdr>
                <w:top w:val="none" w:sz="0" w:space="0" w:color="auto"/>
                <w:left w:val="none" w:sz="0" w:space="0" w:color="auto"/>
                <w:bottom w:val="none" w:sz="0" w:space="0" w:color="auto"/>
                <w:right w:val="none" w:sz="0" w:space="0" w:color="auto"/>
              </w:divBdr>
              <w:divsChild>
                <w:div w:id="289674848">
                  <w:marLeft w:val="0"/>
                  <w:marRight w:val="0"/>
                  <w:marTop w:val="0"/>
                  <w:marBottom w:val="0"/>
                  <w:divBdr>
                    <w:top w:val="none" w:sz="0" w:space="0" w:color="auto"/>
                    <w:left w:val="none" w:sz="0" w:space="0" w:color="auto"/>
                    <w:bottom w:val="none" w:sz="0" w:space="0" w:color="auto"/>
                    <w:right w:val="none" w:sz="0" w:space="0" w:color="auto"/>
                  </w:divBdr>
                  <w:divsChild>
                    <w:div w:id="954992691">
                      <w:marLeft w:val="0"/>
                      <w:marRight w:val="0"/>
                      <w:marTop w:val="0"/>
                      <w:marBottom w:val="0"/>
                      <w:divBdr>
                        <w:top w:val="none" w:sz="0" w:space="0" w:color="auto"/>
                        <w:left w:val="none" w:sz="0" w:space="0" w:color="auto"/>
                        <w:bottom w:val="none" w:sz="0" w:space="0" w:color="auto"/>
                        <w:right w:val="none" w:sz="0" w:space="0" w:color="auto"/>
                      </w:divBdr>
                      <w:divsChild>
                        <w:div w:id="1801343066">
                          <w:marLeft w:val="0"/>
                          <w:marRight w:val="0"/>
                          <w:marTop w:val="0"/>
                          <w:marBottom w:val="0"/>
                          <w:divBdr>
                            <w:top w:val="none" w:sz="0" w:space="0" w:color="auto"/>
                            <w:left w:val="none" w:sz="0" w:space="0" w:color="auto"/>
                            <w:bottom w:val="none" w:sz="0" w:space="0" w:color="auto"/>
                            <w:right w:val="none" w:sz="0" w:space="0" w:color="auto"/>
                          </w:divBdr>
                          <w:divsChild>
                            <w:div w:id="1561747352">
                              <w:marLeft w:val="0"/>
                              <w:marRight w:val="0"/>
                              <w:marTop w:val="0"/>
                              <w:marBottom w:val="0"/>
                              <w:divBdr>
                                <w:top w:val="none" w:sz="0" w:space="0" w:color="auto"/>
                                <w:left w:val="none" w:sz="0" w:space="0" w:color="auto"/>
                                <w:bottom w:val="none" w:sz="0" w:space="0" w:color="auto"/>
                                <w:right w:val="none" w:sz="0" w:space="0" w:color="auto"/>
                              </w:divBdr>
                              <w:divsChild>
                                <w:div w:id="1905797455">
                                  <w:marLeft w:val="0"/>
                                  <w:marRight w:val="0"/>
                                  <w:marTop w:val="0"/>
                                  <w:marBottom w:val="75"/>
                                  <w:divBdr>
                                    <w:top w:val="none" w:sz="0" w:space="0" w:color="auto"/>
                                    <w:left w:val="none" w:sz="0" w:space="0" w:color="auto"/>
                                    <w:bottom w:val="none" w:sz="0" w:space="0" w:color="auto"/>
                                    <w:right w:val="none" w:sz="0" w:space="0" w:color="auto"/>
                                  </w:divBdr>
                                  <w:divsChild>
                                    <w:div w:id="539559002">
                                      <w:marLeft w:val="0"/>
                                      <w:marRight w:val="0"/>
                                      <w:marTop w:val="0"/>
                                      <w:marBottom w:val="0"/>
                                      <w:divBdr>
                                        <w:top w:val="none" w:sz="0" w:space="0" w:color="auto"/>
                                        <w:left w:val="none" w:sz="0" w:space="0" w:color="auto"/>
                                        <w:bottom w:val="none" w:sz="0" w:space="0" w:color="auto"/>
                                        <w:right w:val="none" w:sz="0" w:space="0" w:color="auto"/>
                                      </w:divBdr>
                                      <w:divsChild>
                                        <w:div w:id="2514998">
                                          <w:marLeft w:val="0"/>
                                          <w:marRight w:val="0"/>
                                          <w:marTop w:val="0"/>
                                          <w:marBottom w:val="0"/>
                                          <w:divBdr>
                                            <w:top w:val="none" w:sz="0" w:space="0" w:color="auto"/>
                                            <w:left w:val="none" w:sz="0" w:space="0" w:color="auto"/>
                                            <w:bottom w:val="none" w:sz="0" w:space="0" w:color="auto"/>
                                            <w:right w:val="none" w:sz="0" w:space="0" w:color="auto"/>
                                          </w:divBdr>
                                          <w:divsChild>
                                            <w:div w:id="1742829563">
                                              <w:marLeft w:val="0"/>
                                              <w:marRight w:val="0"/>
                                              <w:marTop w:val="0"/>
                                              <w:marBottom w:val="0"/>
                                              <w:divBdr>
                                                <w:top w:val="none" w:sz="0" w:space="0" w:color="auto"/>
                                                <w:left w:val="none" w:sz="0" w:space="0" w:color="auto"/>
                                                <w:bottom w:val="none" w:sz="0" w:space="0" w:color="auto"/>
                                                <w:right w:val="none" w:sz="0" w:space="0" w:color="auto"/>
                                              </w:divBdr>
                                              <w:divsChild>
                                                <w:div w:id="203472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1203120">
      <w:bodyDiv w:val="1"/>
      <w:marLeft w:val="0"/>
      <w:marRight w:val="0"/>
      <w:marTop w:val="0"/>
      <w:marBottom w:val="0"/>
      <w:divBdr>
        <w:top w:val="none" w:sz="0" w:space="0" w:color="auto"/>
        <w:left w:val="none" w:sz="0" w:space="0" w:color="auto"/>
        <w:bottom w:val="none" w:sz="0" w:space="0" w:color="auto"/>
        <w:right w:val="none" w:sz="0" w:space="0" w:color="auto"/>
      </w:divBdr>
    </w:div>
    <w:div w:id="1971276184">
      <w:bodyDiv w:val="1"/>
      <w:marLeft w:val="0"/>
      <w:marRight w:val="0"/>
      <w:marTop w:val="0"/>
      <w:marBottom w:val="0"/>
      <w:divBdr>
        <w:top w:val="none" w:sz="0" w:space="0" w:color="auto"/>
        <w:left w:val="none" w:sz="0" w:space="0" w:color="auto"/>
        <w:bottom w:val="none" w:sz="0" w:space="0" w:color="auto"/>
        <w:right w:val="none" w:sz="0" w:space="0" w:color="auto"/>
      </w:divBdr>
    </w:div>
    <w:div w:id="1971399531">
      <w:bodyDiv w:val="1"/>
      <w:marLeft w:val="0"/>
      <w:marRight w:val="0"/>
      <w:marTop w:val="0"/>
      <w:marBottom w:val="0"/>
      <w:divBdr>
        <w:top w:val="none" w:sz="0" w:space="0" w:color="auto"/>
        <w:left w:val="none" w:sz="0" w:space="0" w:color="auto"/>
        <w:bottom w:val="none" w:sz="0" w:space="0" w:color="auto"/>
        <w:right w:val="none" w:sz="0" w:space="0" w:color="auto"/>
      </w:divBdr>
      <w:divsChild>
        <w:div w:id="453862950">
          <w:marLeft w:val="0"/>
          <w:marRight w:val="0"/>
          <w:marTop w:val="0"/>
          <w:marBottom w:val="0"/>
          <w:divBdr>
            <w:top w:val="none" w:sz="0" w:space="0" w:color="auto"/>
            <w:left w:val="none" w:sz="0" w:space="0" w:color="auto"/>
            <w:bottom w:val="dotted" w:sz="6" w:space="4" w:color="DDDDDD"/>
            <w:right w:val="none" w:sz="0" w:space="0" w:color="auto"/>
          </w:divBdr>
        </w:div>
      </w:divsChild>
    </w:div>
    <w:div w:id="1972205535">
      <w:bodyDiv w:val="1"/>
      <w:marLeft w:val="0"/>
      <w:marRight w:val="0"/>
      <w:marTop w:val="0"/>
      <w:marBottom w:val="0"/>
      <w:divBdr>
        <w:top w:val="none" w:sz="0" w:space="0" w:color="auto"/>
        <w:left w:val="none" w:sz="0" w:space="0" w:color="auto"/>
        <w:bottom w:val="none" w:sz="0" w:space="0" w:color="auto"/>
        <w:right w:val="none" w:sz="0" w:space="0" w:color="auto"/>
      </w:divBdr>
      <w:divsChild>
        <w:div w:id="376467349">
          <w:marLeft w:val="0"/>
          <w:marRight w:val="0"/>
          <w:marTop w:val="0"/>
          <w:marBottom w:val="150"/>
          <w:divBdr>
            <w:top w:val="none" w:sz="0" w:space="0" w:color="auto"/>
            <w:left w:val="none" w:sz="0" w:space="0" w:color="auto"/>
            <w:bottom w:val="none" w:sz="0" w:space="0" w:color="auto"/>
            <w:right w:val="none" w:sz="0" w:space="0" w:color="auto"/>
          </w:divBdr>
          <w:divsChild>
            <w:div w:id="1833638007">
              <w:marLeft w:val="0"/>
              <w:marRight w:val="0"/>
              <w:marTop w:val="0"/>
              <w:marBottom w:val="0"/>
              <w:divBdr>
                <w:top w:val="none" w:sz="0" w:space="0" w:color="auto"/>
                <w:left w:val="none" w:sz="0" w:space="0" w:color="auto"/>
                <w:bottom w:val="none" w:sz="0" w:space="0" w:color="auto"/>
                <w:right w:val="none" w:sz="0" w:space="0" w:color="auto"/>
              </w:divBdr>
            </w:div>
          </w:divsChild>
        </w:div>
        <w:div w:id="1142965409">
          <w:marLeft w:val="0"/>
          <w:marRight w:val="0"/>
          <w:marTop w:val="0"/>
          <w:marBottom w:val="0"/>
          <w:divBdr>
            <w:top w:val="none" w:sz="0" w:space="0" w:color="auto"/>
            <w:left w:val="none" w:sz="0" w:space="0" w:color="auto"/>
            <w:bottom w:val="none" w:sz="0" w:space="0" w:color="auto"/>
            <w:right w:val="none" w:sz="0" w:space="0" w:color="auto"/>
          </w:divBdr>
          <w:divsChild>
            <w:div w:id="450439196">
              <w:marLeft w:val="0"/>
              <w:marRight w:val="0"/>
              <w:marTop w:val="0"/>
              <w:marBottom w:val="0"/>
              <w:divBdr>
                <w:top w:val="none" w:sz="0" w:space="0" w:color="auto"/>
                <w:left w:val="none" w:sz="0" w:space="0" w:color="auto"/>
                <w:bottom w:val="none" w:sz="0" w:space="0" w:color="auto"/>
                <w:right w:val="none" w:sz="0" w:space="0" w:color="auto"/>
              </w:divBdr>
            </w:div>
          </w:divsChild>
        </w:div>
        <w:div w:id="1326931044">
          <w:marLeft w:val="0"/>
          <w:marRight w:val="0"/>
          <w:marTop w:val="0"/>
          <w:marBottom w:val="150"/>
          <w:divBdr>
            <w:top w:val="none" w:sz="0" w:space="0" w:color="auto"/>
            <w:left w:val="none" w:sz="0" w:space="0" w:color="auto"/>
            <w:bottom w:val="none" w:sz="0" w:space="0" w:color="auto"/>
            <w:right w:val="none" w:sz="0" w:space="0" w:color="auto"/>
          </w:divBdr>
        </w:div>
      </w:divsChild>
    </w:div>
    <w:div w:id="1973245165">
      <w:bodyDiv w:val="1"/>
      <w:marLeft w:val="0"/>
      <w:marRight w:val="0"/>
      <w:marTop w:val="0"/>
      <w:marBottom w:val="0"/>
      <w:divBdr>
        <w:top w:val="none" w:sz="0" w:space="0" w:color="auto"/>
        <w:left w:val="none" w:sz="0" w:space="0" w:color="auto"/>
        <w:bottom w:val="none" w:sz="0" w:space="0" w:color="auto"/>
        <w:right w:val="none" w:sz="0" w:space="0" w:color="auto"/>
      </w:divBdr>
      <w:divsChild>
        <w:div w:id="1655140113">
          <w:marLeft w:val="0"/>
          <w:marRight w:val="0"/>
          <w:marTop w:val="0"/>
          <w:marBottom w:val="0"/>
          <w:divBdr>
            <w:top w:val="none" w:sz="0" w:space="0" w:color="auto"/>
            <w:left w:val="none" w:sz="0" w:space="0" w:color="auto"/>
            <w:bottom w:val="dotted" w:sz="6" w:space="4" w:color="DDDDDD"/>
            <w:right w:val="none" w:sz="0" w:space="0" w:color="auto"/>
          </w:divBdr>
        </w:div>
      </w:divsChild>
    </w:div>
    <w:div w:id="1973292073">
      <w:bodyDiv w:val="1"/>
      <w:marLeft w:val="0"/>
      <w:marRight w:val="0"/>
      <w:marTop w:val="0"/>
      <w:marBottom w:val="0"/>
      <w:divBdr>
        <w:top w:val="none" w:sz="0" w:space="0" w:color="auto"/>
        <w:left w:val="none" w:sz="0" w:space="0" w:color="auto"/>
        <w:bottom w:val="none" w:sz="0" w:space="0" w:color="auto"/>
        <w:right w:val="none" w:sz="0" w:space="0" w:color="auto"/>
      </w:divBdr>
      <w:divsChild>
        <w:div w:id="1313487972">
          <w:marLeft w:val="0"/>
          <w:marRight w:val="0"/>
          <w:marTop w:val="0"/>
          <w:marBottom w:val="150"/>
          <w:divBdr>
            <w:top w:val="none" w:sz="0" w:space="0" w:color="auto"/>
            <w:left w:val="none" w:sz="0" w:space="0" w:color="auto"/>
            <w:bottom w:val="none" w:sz="0" w:space="0" w:color="auto"/>
            <w:right w:val="none" w:sz="0" w:space="0" w:color="auto"/>
          </w:divBdr>
        </w:div>
        <w:div w:id="1533768785">
          <w:marLeft w:val="0"/>
          <w:marRight w:val="0"/>
          <w:marTop w:val="0"/>
          <w:marBottom w:val="0"/>
          <w:divBdr>
            <w:top w:val="none" w:sz="0" w:space="0" w:color="auto"/>
            <w:left w:val="none" w:sz="0" w:space="0" w:color="auto"/>
            <w:bottom w:val="none" w:sz="0" w:space="0" w:color="auto"/>
            <w:right w:val="none" w:sz="0" w:space="0" w:color="auto"/>
          </w:divBdr>
        </w:div>
      </w:divsChild>
    </w:div>
    <w:div w:id="1973438615">
      <w:bodyDiv w:val="1"/>
      <w:marLeft w:val="0"/>
      <w:marRight w:val="0"/>
      <w:marTop w:val="0"/>
      <w:marBottom w:val="0"/>
      <w:divBdr>
        <w:top w:val="none" w:sz="0" w:space="0" w:color="auto"/>
        <w:left w:val="none" w:sz="0" w:space="0" w:color="auto"/>
        <w:bottom w:val="none" w:sz="0" w:space="0" w:color="auto"/>
        <w:right w:val="none" w:sz="0" w:space="0" w:color="auto"/>
      </w:divBdr>
      <w:divsChild>
        <w:div w:id="1895697592">
          <w:marLeft w:val="0"/>
          <w:marRight w:val="0"/>
          <w:marTop w:val="0"/>
          <w:marBottom w:val="0"/>
          <w:divBdr>
            <w:top w:val="none" w:sz="0" w:space="0" w:color="auto"/>
            <w:left w:val="none" w:sz="0" w:space="0" w:color="auto"/>
            <w:bottom w:val="dotted" w:sz="6" w:space="4" w:color="DDDDDD"/>
            <w:right w:val="none" w:sz="0" w:space="0" w:color="auto"/>
          </w:divBdr>
          <w:divsChild>
            <w:div w:id="163502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12156">
      <w:bodyDiv w:val="1"/>
      <w:marLeft w:val="0"/>
      <w:marRight w:val="0"/>
      <w:marTop w:val="0"/>
      <w:marBottom w:val="0"/>
      <w:divBdr>
        <w:top w:val="none" w:sz="0" w:space="0" w:color="auto"/>
        <w:left w:val="none" w:sz="0" w:space="0" w:color="auto"/>
        <w:bottom w:val="none" w:sz="0" w:space="0" w:color="auto"/>
        <w:right w:val="none" w:sz="0" w:space="0" w:color="auto"/>
      </w:divBdr>
      <w:divsChild>
        <w:div w:id="1111164428">
          <w:marLeft w:val="0"/>
          <w:marRight w:val="0"/>
          <w:marTop w:val="0"/>
          <w:marBottom w:val="0"/>
          <w:divBdr>
            <w:top w:val="none" w:sz="0" w:space="0" w:color="auto"/>
            <w:left w:val="none" w:sz="0" w:space="0" w:color="auto"/>
            <w:bottom w:val="none" w:sz="0" w:space="0" w:color="auto"/>
            <w:right w:val="none" w:sz="0" w:space="0" w:color="auto"/>
          </w:divBdr>
        </w:div>
      </w:divsChild>
    </w:div>
    <w:div w:id="1973753350">
      <w:bodyDiv w:val="1"/>
      <w:marLeft w:val="0"/>
      <w:marRight w:val="0"/>
      <w:marTop w:val="0"/>
      <w:marBottom w:val="0"/>
      <w:divBdr>
        <w:top w:val="none" w:sz="0" w:space="0" w:color="auto"/>
        <w:left w:val="none" w:sz="0" w:space="0" w:color="auto"/>
        <w:bottom w:val="none" w:sz="0" w:space="0" w:color="auto"/>
        <w:right w:val="none" w:sz="0" w:space="0" w:color="auto"/>
      </w:divBdr>
      <w:divsChild>
        <w:div w:id="1505853151">
          <w:marLeft w:val="0"/>
          <w:marRight w:val="0"/>
          <w:marTop w:val="0"/>
          <w:marBottom w:val="150"/>
          <w:divBdr>
            <w:top w:val="none" w:sz="0" w:space="0" w:color="auto"/>
            <w:left w:val="none" w:sz="0" w:space="0" w:color="auto"/>
            <w:bottom w:val="none" w:sz="0" w:space="0" w:color="auto"/>
            <w:right w:val="none" w:sz="0" w:space="0" w:color="auto"/>
          </w:divBdr>
          <w:divsChild>
            <w:div w:id="1021667888">
              <w:marLeft w:val="0"/>
              <w:marRight w:val="0"/>
              <w:marTop w:val="0"/>
              <w:marBottom w:val="0"/>
              <w:divBdr>
                <w:top w:val="none" w:sz="0" w:space="0" w:color="auto"/>
                <w:left w:val="none" w:sz="0" w:space="0" w:color="auto"/>
                <w:bottom w:val="none" w:sz="0" w:space="0" w:color="auto"/>
                <w:right w:val="none" w:sz="0" w:space="0" w:color="auto"/>
              </w:divBdr>
              <w:divsChild>
                <w:div w:id="100224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505873">
          <w:marLeft w:val="0"/>
          <w:marRight w:val="0"/>
          <w:marTop w:val="0"/>
          <w:marBottom w:val="0"/>
          <w:divBdr>
            <w:top w:val="none" w:sz="0" w:space="0" w:color="auto"/>
            <w:left w:val="none" w:sz="0" w:space="0" w:color="auto"/>
            <w:bottom w:val="none" w:sz="0" w:space="0" w:color="auto"/>
            <w:right w:val="none" w:sz="0" w:space="0" w:color="auto"/>
          </w:divBdr>
          <w:divsChild>
            <w:div w:id="90709253">
              <w:marLeft w:val="0"/>
              <w:marRight w:val="0"/>
              <w:marTop w:val="0"/>
              <w:marBottom w:val="0"/>
              <w:divBdr>
                <w:top w:val="none" w:sz="0" w:space="0" w:color="auto"/>
                <w:left w:val="none" w:sz="0" w:space="0" w:color="auto"/>
                <w:bottom w:val="none" w:sz="0" w:space="0" w:color="auto"/>
                <w:right w:val="none" w:sz="0" w:space="0" w:color="auto"/>
              </w:divBdr>
              <w:divsChild>
                <w:div w:id="1349722735">
                  <w:marLeft w:val="0"/>
                  <w:marRight w:val="0"/>
                  <w:marTop w:val="225"/>
                  <w:marBottom w:val="225"/>
                  <w:divBdr>
                    <w:top w:val="none" w:sz="0" w:space="0" w:color="auto"/>
                    <w:left w:val="none" w:sz="0" w:space="0" w:color="auto"/>
                    <w:bottom w:val="none" w:sz="0" w:space="0" w:color="auto"/>
                    <w:right w:val="none" w:sz="0" w:space="0" w:color="auto"/>
                  </w:divBdr>
                </w:div>
              </w:divsChild>
            </w:div>
            <w:div w:id="17785946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73825163">
      <w:bodyDiv w:val="1"/>
      <w:marLeft w:val="0"/>
      <w:marRight w:val="0"/>
      <w:marTop w:val="0"/>
      <w:marBottom w:val="0"/>
      <w:divBdr>
        <w:top w:val="none" w:sz="0" w:space="0" w:color="auto"/>
        <w:left w:val="none" w:sz="0" w:space="0" w:color="auto"/>
        <w:bottom w:val="none" w:sz="0" w:space="0" w:color="auto"/>
        <w:right w:val="none" w:sz="0" w:space="0" w:color="auto"/>
      </w:divBdr>
      <w:divsChild>
        <w:div w:id="987199783">
          <w:marLeft w:val="0"/>
          <w:marRight w:val="0"/>
          <w:marTop w:val="0"/>
          <w:marBottom w:val="0"/>
          <w:divBdr>
            <w:top w:val="none" w:sz="0" w:space="0" w:color="auto"/>
            <w:left w:val="none" w:sz="0" w:space="0" w:color="auto"/>
            <w:bottom w:val="none" w:sz="0" w:space="0" w:color="auto"/>
            <w:right w:val="none" w:sz="0" w:space="0" w:color="auto"/>
          </w:divBdr>
          <w:divsChild>
            <w:div w:id="1216086204">
              <w:marLeft w:val="0"/>
              <w:marRight w:val="0"/>
              <w:marTop w:val="0"/>
              <w:marBottom w:val="0"/>
              <w:divBdr>
                <w:top w:val="none" w:sz="0" w:space="0" w:color="auto"/>
                <w:left w:val="none" w:sz="0" w:space="0" w:color="auto"/>
                <w:bottom w:val="none" w:sz="0" w:space="0" w:color="auto"/>
                <w:right w:val="none" w:sz="0" w:space="0" w:color="auto"/>
              </w:divBdr>
            </w:div>
          </w:divsChild>
        </w:div>
        <w:div w:id="1795056968">
          <w:marLeft w:val="0"/>
          <w:marRight w:val="0"/>
          <w:marTop w:val="0"/>
          <w:marBottom w:val="150"/>
          <w:divBdr>
            <w:top w:val="none" w:sz="0" w:space="0" w:color="auto"/>
            <w:left w:val="none" w:sz="0" w:space="0" w:color="auto"/>
            <w:bottom w:val="none" w:sz="0" w:space="0" w:color="auto"/>
            <w:right w:val="none" w:sz="0" w:space="0" w:color="auto"/>
          </w:divBdr>
        </w:div>
        <w:div w:id="1924948181">
          <w:marLeft w:val="0"/>
          <w:marRight w:val="0"/>
          <w:marTop w:val="0"/>
          <w:marBottom w:val="150"/>
          <w:divBdr>
            <w:top w:val="none" w:sz="0" w:space="0" w:color="auto"/>
            <w:left w:val="none" w:sz="0" w:space="0" w:color="auto"/>
            <w:bottom w:val="none" w:sz="0" w:space="0" w:color="auto"/>
            <w:right w:val="none" w:sz="0" w:space="0" w:color="auto"/>
          </w:divBdr>
          <w:divsChild>
            <w:div w:id="16135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214042">
      <w:bodyDiv w:val="1"/>
      <w:marLeft w:val="0"/>
      <w:marRight w:val="0"/>
      <w:marTop w:val="0"/>
      <w:marBottom w:val="0"/>
      <w:divBdr>
        <w:top w:val="none" w:sz="0" w:space="0" w:color="auto"/>
        <w:left w:val="none" w:sz="0" w:space="0" w:color="auto"/>
        <w:bottom w:val="none" w:sz="0" w:space="0" w:color="auto"/>
        <w:right w:val="none" w:sz="0" w:space="0" w:color="auto"/>
      </w:divBdr>
      <w:divsChild>
        <w:div w:id="173107944">
          <w:marLeft w:val="0"/>
          <w:marRight w:val="0"/>
          <w:marTop w:val="0"/>
          <w:marBottom w:val="0"/>
          <w:divBdr>
            <w:top w:val="none" w:sz="0" w:space="0" w:color="auto"/>
            <w:left w:val="none" w:sz="0" w:space="0" w:color="auto"/>
            <w:bottom w:val="dotted" w:sz="6" w:space="4" w:color="DDDDDD"/>
            <w:right w:val="none" w:sz="0" w:space="0" w:color="auto"/>
          </w:divBdr>
        </w:div>
        <w:div w:id="1139305613">
          <w:marLeft w:val="0"/>
          <w:marRight w:val="225"/>
          <w:marTop w:val="0"/>
          <w:marBottom w:val="75"/>
          <w:divBdr>
            <w:top w:val="none" w:sz="0" w:space="0" w:color="auto"/>
            <w:left w:val="none" w:sz="0" w:space="0" w:color="auto"/>
            <w:bottom w:val="none" w:sz="0" w:space="0" w:color="auto"/>
            <w:right w:val="none" w:sz="0" w:space="0" w:color="auto"/>
          </w:divBdr>
          <w:divsChild>
            <w:div w:id="199794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363538">
      <w:bodyDiv w:val="1"/>
      <w:marLeft w:val="0"/>
      <w:marRight w:val="0"/>
      <w:marTop w:val="0"/>
      <w:marBottom w:val="0"/>
      <w:divBdr>
        <w:top w:val="none" w:sz="0" w:space="0" w:color="auto"/>
        <w:left w:val="none" w:sz="0" w:space="0" w:color="auto"/>
        <w:bottom w:val="none" w:sz="0" w:space="0" w:color="auto"/>
        <w:right w:val="none" w:sz="0" w:space="0" w:color="auto"/>
      </w:divBdr>
      <w:divsChild>
        <w:div w:id="314796988">
          <w:marLeft w:val="0"/>
          <w:marRight w:val="0"/>
          <w:marTop w:val="0"/>
          <w:marBottom w:val="75"/>
          <w:divBdr>
            <w:top w:val="none" w:sz="0" w:space="0" w:color="auto"/>
            <w:left w:val="none" w:sz="0" w:space="0" w:color="auto"/>
            <w:bottom w:val="none" w:sz="0" w:space="0" w:color="auto"/>
            <w:right w:val="none" w:sz="0" w:space="0" w:color="auto"/>
          </w:divBdr>
        </w:div>
        <w:div w:id="1293095040">
          <w:marLeft w:val="0"/>
          <w:marRight w:val="0"/>
          <w:marTop w:val="0"/>
          <w:marBottom w:val="0"/>
          <w:divBdr>
            <w:top w:val="none" w:sz="0" w:space="0" w:color="auto"/>
            <w:left w:val="none" w:sz="0" w:space="0" w:color="auto"/>
            <w:bottom w:val="none" w:sz="0" w:space="0" w:color="auto"/>
            <w:right w:val="none" w:sz="0" w:space="0" w:color="auto"/>
          </w:divBdr>
          <w:divsChild>
            <w:div w:id="1891333067">
              <w:marLeft w:val="0"/>
              <w:marRight w:val="0"/>
              <w:marTop w:val="0"/>
              <w:marBottom w:val="0"/>
              <w:divBdr>
                <w:top w:val="none" w:sz="0" w:space="0" w:color="auto"/>
                <w:left w:val="none" w:sz="0" w:space="0" w:color="auto"/>
                <w:bottom w:val="none" w:sz="0" w:space="0" w:color="auto"/>
                <w:right w:val="none" w:sz="0" w:space="0" w:color="auto"/>
              </w:divBdr>
              <w:divsChild>
                <w:div w:id="196406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180394">
          <w:marLeft w:val="0"/>
          <w:marRight w:val="0"/>
          <w:marTop w:val="0"/>
          <w:marBottom w:val="0"/>
          <w:divBdr>
            <w:top w:val="none" w:sz="0" w:space="0" w:color="auto"/>
            <w:left w:val="none" w:sz="0" w:space="0" w:color="auto"/>
            <w:bottom w:val="none" w:sz="0" w:space="0" w:color="auto"/>
            <w:right w:val="none" w:sz="0" w:space="0" w:color="auto"/>
          </w:divBdr>
          <w:divsChild>
            <w:div w:id="317081422">
              <w:marLeft w:val="0"/>
              <w:marRight w:val="0"/>
              <w:marTop w:val="0"/>
              <w:marBottom w:val="0"/>
              <w:divBdr>
                <w:top w:val="none" w:sz="0" w:space="0" w:color="auto"/>
                <w:left w:val="none" w:sz="0" w:space="0" w:color="auto"/>
                <w:bottom w:val="none" w:sz="0" w:space="0" w:color="auto"/>
                <w:right w:val="none" w:sz="0" w:space="0" w:color="auto"/>
              </w:divBdr>
              <w:divsChild>
                <w:div w:id="897473216">
                  <w:marLeft w:val="0"/>
                  <w:marRight w:val="0"/>
                  <w:marTop w:val="0"/>
                  <w:marBottom w:val="0"/>
                  <w:divBdr>
                    <w:top w:val="none" w:sz="0" w:space="0" w:color="auto"/>
                    <w:left w:val="none" w:sz="0" w:space="0" w:color="auto"/>
                    <w:bottom w:val="none" w:sz="0" w:space="0" w:color="auto"/>
                    <w:right w:val="none" w:sz="0" w:space="0" w:color="auto"/>
                  </w:divBdr>
                </w:div>
              </w:divsChild>
            </w:div>
            <w:div w:id="1674843730">
              <w:marLeft w:val="0"/>
              <w:marRight w:val="0"/>
              <w:marTop w:val="0"/>
              <w:marBottom w:val="0"/>
              <w:divBdr>
                <w:top w:val="none" w:sz="0" w:space="0" w:color="auto"/>
                <w:left w:val="none" w:sz="0" w:space="0" w:color="auto"/>
                <w:bottom w:val="none" w:sz="0" w:space="0" w:color="auto"/>
                <w:right w:val="none" w:sz="0" w:space="0" w:color="auto"/>
              </w:divBdr>
              <w:divsChild>
                <w:div w:id="16124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477306">
      <w:bodyDiv w:val="1"/>
      <w:marLeft w:val="0"/>
      <w:marRight w:val="0"/>
      <w:marTop w:val="0"/>
      <w:marBottom w:val="0"/>
      <w:divBdr>
        <w:top w:val="none" w:sz="0" w:space="0" w:color="auto"/>
        <w:left w:val="none" w:sz="0" w:space="0" w:color="auto"/>
        <w:bottom w:val="none" w:sz="0" w:space="0" w:color="auto"/>
        <w:right w:val="none" w:sz="0" w:space="0" w:color="auto"/>
      </w:divBdr>
      <w:divsChild>
        <w:div w:id="634070777">
          <w:marLeft w:val="0"/>
          <w:marRight w:val="0"/>
          <w:marTop w:val="0"/>
          <w:marBottom w:val="150"/>
          <w:divBdr>
            <w:top w:val="none" w:sz="0" w:space="0" w:color="auto"/>
            <w:left w:val="none" w:sz="0" w:space="0" w:color="auto"/>
            <w:bottom w:val="none" w:sz="0" w:space="0" w:color="auto"/>
            <w:right w:val="none" w:sz="0" w:space="0" w:color="auto"/>
          </w:divBdr>
          <w:divsChild>
            <w:div w:id="1508591151">
              <w:marLeft w:val="0"/>
              <w:marRight w:val="0"/>
              <w:marTop w:val="0"/>
              <w:marBottom w:val="0"/>
              <w:divBdr>
                <w:top w:val="none" w:sz="0" w:space="0" w:color="auto"/>
                <w:left w:val="none" w:sz="0" w:space="0" w:color="auto"/>
                <w:bottom w:val="none" w:sz="0" w:space="0" w:color="auto"/>
                <w:right w:val="none" w:sz="0" w:space="0" w:color="auto"/>
              </w:divBdr>
              <w:divsChild>
                <w:div w:id="44959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943068">
          <w:marLeft w:val="0"/>
          <w:marRight w:val="0"/>
          <w:marTop w:val="0"/>
          <w:marBottom w:val="150"/>
          <w:divBdr>
            <w:top w:val="none" w:sz="0" w:space="0" w:color="auto"/>
            <w:left w:val="none" w:sz="0" w:space="0" w:color="auto"/>
            <w:bottom w:val="none" w:sz="0" w:space="0" w:color="auto"/>
            <w:right w:val="none" w:sz="0" w:space="0" w:color="auto"/>
          </w:divBdr>
        </w:div>
        <w:div w:id="99499656">
          <w:marLeft w:val="0"/>
          <w:marRight w:val="0"/>
          <w:marTop w:val="0"/>
          <w:marBottom w:val="0"/>
          <w:divBdr>
            <w:top w:val="none" w:sz="0" w:space="0" w:color="auto"/>
            <w:left w:val="none" w:sz="0" w:space="0" w:color="auto"/>
            <w:bottom w:val="none" w:sz="0" w:space="0" w:color="auto"/>
            <w:right w:val="none" w:sz="0" w:space="0" w:color="auto"/>
          </w:divBdr>
          <w:divsChild>
            <w:div w:id="38163345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74821815">
      <w:bodyDiv w:val="1"/>
      <w:marLeft w:val="0"/>
      <w:marRight w:val="0"/>
      <w:marTop w:val="0"/>
      <w:marBottom w:val="0"/>
      <w:divBdr>
        <w:top w:val="none" w:sz="0" w:space="0" w:color="auto"/>
        <w:left w:val="none" w:sz="0" w:space="0" w:color="auto"/>
        <w:bottom w:val="none" w:sz="0" w:space="0" w:color="auto"/>
        <w:right w:val="none" w:sz="0" w:space="0" w:color="auto"/>
      </w:divBdr>
      <w:divsChild>
        <w:div w:id="1421441833">
          <w:marLeft w:val="0"/>
          <w:marRight w:val="0"/>
          <w:marTop w:val="0"/>
          <w:marBottom w:val="0"/>
          <w:divBdr>
            <w:top w:val="none" w:sz="0" w:space="0" w:color="auto"/>
            <w:left w:val="none" w:sz="0" w:space="0" w:color="auto"/>
            <w:bottom w:val="none" w:sz="0" w:space="0" w:color="auto"/>
            <w:right w:val="none" w:sz="0" w:space="0" w:color="auto"/>
          </w:divBdr>
        </w:div>
      </w:divsChild>
    </w:div>
    <w:div w:id="1974948086">
      <w:bodyDiv w:val="1"/>
      <w:marLeft w:val="0"/>
      <w:marRight w:val="0"/>
      <w:marTop w:val="0"/>
      <w:marBottom w:val="0"/>
      <w:divBdr>
        <w:top w:val="none" w:sz="0" w:space="0" w:color="auto"/>
        <w:left w:val="none" w:sz="0" w:space="0" w:color="auto"/>
        <w:bottom w:val="none" w:sz="0" w:space="0" w:color="auto"/>
        <w:right w:val="none" w:sz="0" w:space="0" w:color="auto"/>
      </w:divBdr>
      <w:divsChild>
        <w:div w:id="164983319">
          <w:marLeft w:val="0"/>
          <w:marRight w:val="0"/>
          <w:marTop w:val="0"/>
          <w:marBottom w:val="150"/>
          <w:divBdr>
            <w:top w:val="none" w:sz="0" w:space="0" w:color="auto"/>
            <w:left w:val="none" w:sz="0" w:space="0" w:color="auto"/>
            <w:bottom w:val="none" w:sz="0" w:space="0" w:color="auto"/>
            <w:right w:val="none" w:sz="0" w:space="0" w:color="auto"/>
          </w:divBdr>
        </w:div>
        <w:div w:id="882450755">
          <w:marLeft w:val="0"/>
          <w:marRight w:val="0"/>
          <w:marTop w:val="0"/>
          <w:marBottom w:val="150"/>
          <w:divBdr>
            <w:top w:val="none" w:sz="0" w:space="0" w:color="auto"/>
            <w:left w:val="none" w:sz="0" w:space="0" w:color="auto"/>
            <w:bottom w:val="none" w:sz="0" w:space="0" w:color="auto"/>
            <w:right w:val="none" w:sz="0" w:space="0" w:color="auto"/>
          </w:divBdr>
          <w:divsChild>
            <w:div w:id="200142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409433">
      <w:bodyDiv w:val="1"/>
      <w:marLeft w:val="0"/>
      <w:marRight w:val="0"/>
      <w:marTop w:val="0"/>
      <w:marBottom w:val="0"/>
      <w:divBdr>
        <w:top w:val="none" w:sz="0" w:space="0" w:color="auto"/>
        <w:left w:val="none" w:sz="0" w:space="0" w:color="auto"/>
        <w:bottom w:val="none" w:sz="0" w:space="0" w:color="auto"/>
        <w:right w:val="none" w:sz="0" w:space="0" w:color="auto"/>
      </w:divBdr>
      <w:divsChild>
        <w:div w:id="1931306214">
          <w:marLeft w:val="0"/>
          <w:marRight w:val="0"/>
          <w:marTop w:val="0"/>
          <w:marBottom w:val="0"/>
          <w:divBdr>
            <w:top w:val="none" w:sz="0" w:space="0" w:color="auto"/>
            <w:left w:val="none" w:sz="0" w:space="0" w:color="auto"/>
            <w:bottom w:val="none" w:sz="0" w:space="0" w:color="auto"/>
            <w:right w:val="none" w:sz="0" w:space="0" w:color="auto"/>
          </w:divBdr>
        </w:div>
      </w:divsChild>
    </w:div>
    <w:div w:id="1975524048">
      <w:bodyDiv w:val="1"/>
      <w:marLeft w:val="0"/>
      <w:marRight w:val="0"/>
      <w:marTop w:val="0"/>
      <w:marBottom w:val="0"/>
      <w:divBdr>
        <w:top w:val="none" w:sz="0" w:space="0" w:color="auto"/>
        <w:left w:val="none" w:sz="0" w:space="0" w:color="auto"/>
        <w:bottom w:val="none" w:sz="0" w:space="0" w:color="auto"/>
        <w:right w:val="none" w:sz="0" w:space="0" w:color="auto"/>
      </w:divBdr>
      <w:divsChild>
        <w:div w:id="10492726">
          <w:marLeft w:val="0"/>
          <w:marRight w:val="0"/>
          <w:marTop w:val="0"/>
          <w:marBottom w:val="0"/>
          <w:divBdr>
            <w:top w:val="none" w:sz="0" w:space="0" w:color="auto"/>
            <w:left w:val="none" w:sz="0" w:space="0" w:color="auto"/>
            <w:bottom w:val="none" w:sz="0" w:space="0" w:color="auto"/>
            <w:right w:val="none" w:sz="0" w:space="0" w:color="auto"/>
          </w:divBdr>
          <w:divsChild>
            <w:div w:id="1925147829">
              <w:marLeft w:val="0"/>
              <w:marRight w:val="0"/>
              <w:marTop w:val="0"/>
              <w:marBottom w:val="0"/>
              <w:divBdr>
                <w:top w:val="none" w:sz="0" w:space="0" w:color="auto"/>
                <w:left w:val="none" w:sz="0" w:space="0" w:color="auto"/>
                <w:bottom w:val="none" w:sz="0" w:space="0" w:color="auto"/>
                <w:right w:val="none" w:sz="0" w:space="0" w:color="auto"/>
              </w:divBdr>
              <w:divsChild>
                <w:div w:id="358169250">
                  <w:marLeft w:val="0"/>
                  <w:marRight w:val="0"/>
                  <w:marTop w:val="0"/>
                  <w:marBottom w:val="0"/>
                  <w:divBdr>
                    <w:top w:val="none" w:sz="0" w:space="0" w:color="auto"/>
                    <w:left w:val="none" w:sz="0" w:space="0" w:color="auto"/>
                    <w:bottom w:val="none" w:sz="0" w:space="0" w:color="auto"/>
                    <w:right w:val="none" w:sz="0" w:space="0" w:color="auto"/>
                  </w:divBdr>
                  <w:divsChild>
                    <w:div w:id="1548562653">
                      <w:marLeft w:val="0"/>
                      <w:marRight w:val="0"/>
                      <w:marTop w:val="0"/>
                      <w:marBottom w:val="0"/>
                      <w:divBdr>
                        <w:top w:val="none" w:sz="0" w:space="0" w:color="auto"/>
                        <w:left w:val="none" w:sz="0" w:space="0" w:color="auto"/>
                        <w:bottom w:val="none" w:sz="0" w:space="0" w:color="auto"/>
                        <w:right w:val="none" w:sz="0" w:space="0" w:color="auto"/>
                      </w:divBdr>
                      <w:divsChild>
                        <w:div w:id="186334378">
                          <w:marLeft w:val="0"/>
                          <w:marRight w:val="0"/>
                          <w:marTop w:val="0"/>
                          <w:marBottom w:val="0"/>
                          <w:divBdr>
                            <w:top w:val="none" w:sz="0" w:space="0" w:color="auto"/>
                            <w:left w:val="none" w:sz="0" w:space="0" w:color="auto"/>
                            <w:bottom w:val="none" w:sz="0" w:space="0" w:color="auto"/>
                            <w:right w:val="none" w:sz="0" w:space="0" w:color="auto"/>
                          </w:divBdr>
                          <w:divsChild>
                            <w:div w:id="104934066">
                              <w:marLeft w:val="0"/>
                              <w:marRight w:val="0"/>
                              <w:marTop w:val="0"/>
                              <w:marBottom w:val="0"/>
                              <w:divBdr>
                                <w:top w:val="none" w:sz="0" w:space="0" w:color="auto"/>
                                <w:left w:val="none" w:sz="0" w:space="0" w:color="auto"/>
                                <w:bottom w:val="none" w:sz="0" w:space="0" w:color="auto"/>
                                <w:right w:val="none" w:sz="0" w:space="0" w:color="auto"/>
                              </w:divBdr>
                              <w:divsChild>
                                <w:div w:id="81633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5866053">
      <w:bodyDiv w:val="1"/>
      <w:marLeft w:val="0"/>
      <w:marRight w:val="0"/>
      <w:marTop w:val="0"/>
      <w:marBottom w:val="0"/>
      <w:divBdr>
        <w:top w:val="none" w:sz="0" w:space="0" w:color="auto"/>
        <w:left w:val="none" w:sz="0" w:space="0" w:color="auto"/>
        <w:bottom w:val="none" w:sz="0" w:space="0" w:color="auto"/>
        <w:right w:val="none" w:sz="0" w:space="0" w:color="auto"/>
      </w:divBdr>
      <w:divsChild>
        <w:div w:id="1777291790">
          <w:marLeft w:val="0"/>
          <w:marRight w:val="0"/>
          <w:marTop w:val="0"/>
          <w:marBottom w:val="0"/>
          <w:divBdr>
            <w:top w:val="none" w:sz="0" w:space="0" w:color="auto"/>
            <w:left w:val="none" w:sz="0" w:space="0" w:color="auto"/>
            <w:bottom w:val="none" w:sz="0" w:space="0" w:color="auto"/>
            <w:right w:val="none" w:sz="0" w:space="0" w:color="auto"/>
          </w:divBdr>
          <w:divsChild>
            <w:div w:id="179990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84741">
      <w:bodyDiv w:val="1"/>
      <w:marLeft w:val="0"/>
      <w:marRight w:val="0"/>
      <w:marTop w:val="0"/>
      <w:marBottom w:val="0"/>
      <w:divBdr>
        <w:top w:val="none" w:sz="0" w:space="0" w:color="auto"/>
        <w:left w:val="none" w:sz="0" w:space="0" w:color="auto"/>
        <w:bottom w:val="none" w:sz="0" w:space="0" w:color="auto"/>
        <w:right w:val="none" w:sz="0" w:space="0" w:color="auto"/>
      </w:divBdr>
      <w:divsChild>
        <w:div w:id="321663710">
          <w:marLeft w:val="0"/>
          <w:marRight w:val="0"/>
          <w:marTop w:val="0"/>
          <w:marBottom w:val="0"/>
          <w:divBdr>
            <w:top w:val="none" w:sz="0" w:space="0" w:color="auto"/>
            <w:left w:val="none" w:sz="0" w:space="0" w:color="auto"/>
            <w:bottom w:val="none" w:sz="0" w:space="0" w:color="auto"/>
            <w:right w:val="none" w:sz="0" w:space="0" w:color="auto"/>
          </w:divBdr>
        </w:div>
      </w:divsChild>
    </w:div>
    <w:div w:id="1977031060">
      <w:bodyDiv w:val="1"/>
      <w:marLeft w:val="0"/>
      <w:marRight w:val="0"/>
      <w:marTop w:val="0"/>
      <w:marBottom w:val="0"/>
      <w:divBdr>
        <w:top w:val="none" w:sz="0" w:space="0" w:color="auto"/>
        <w:left w:val="none" w:sz="0" w:space="0" w:color="auto"/>
        <w:bottom w:val="none" w:sz="0" w:space="0" w:color="auto"/>
        <w:right w:val="none" w:sz="0" w:space="0" w:color="auto"/>
      </w:divBdr>
      <w:divsChild>
        <w:div w:id="1588886073">
          <w:marLeft w:val="0"/>
          <w:marRight w:val="0"/>
          <w:marTop w:val="0"/>
          <w:marBottom w:val="0"/>
          <w:divBdr>
            <w:top w:val="none" w:sz="0" w:space="0" w:color="auto"/>
            <w:left w:val="none" w:sz="0" w:space="0" w:color="auto"/>
            <w:bottom w:val="none" w:sz="0" w:space="0" w:color="auto"/>
            <w:right w:val="none" w:sz="0" w:space="0" w:color="auto"/>
          </w:divBdr>
          <w:divsChild>
            <w:div w:id="848259012">
              <w:marLeft w:val="0"/>
              <w:marRight w:val="0"/>
              <w:marTop w:val="0"/>
              <w:marBottom w:val="0"/>
              <w:divBdr>
                <w:top w:val="none" w:sz="0" w:space="0" w:color="auto"/>
                <w:left w:val="none" w:sz="0" w:space="0" w:color="auto"/>
                <w:bottom w:val="none" w:sz="0" w:space="0" w:color="auto"/>
                <w:right w:val="none" w:sz="0" w:space="0" w:color="auto"/>
              </w:divBdr>
            </w:div>
          </w:divsChild>
        </w:div>
        <w:div w:id="94979731">
          <w:marLeft w:val="0"/>
          <w:marRight w:val="0"/>
          <w:marTop w:val="240"/>
          <w:marBottom w:val="0"/>
          <w:divBdr>
            <w:top w:val="none" w:sz="0" w:space="0" w:color="auto"/>
            <w:left w:val="none" w:sz="0" w:space="0" w:color="auto"/>
            <w:bottom w:val="none" w:sz="0" w:space="0" w:color="auto"/>
            <w:right w:val="none" w:sz="0" w:space="0" w:color="auto"/>
          </w:divBdr>
        </w:div>
        <w:div w:id="653070160">
          <w:marLeft w:val="0"/>
          <w:marRight w:val="0"/>
          <w:marTop w:val="0"/>
          <w:marBottom w:val="0"/>
          <w:divBdr>
            <w:top w:val="none" w:sz="0" w:space="0" w:color="auto"/>
            <w:left w:val="none" w:sz="0" w:space="0" w:color="auto"/>
            <w:bottom w:val="none" w:sz="0" w:space="0" w:color="auto"/>
            <w:right w:val="none" w:sz="0" w:space="0" w:color="auto"/>
          </w:divBdr>
          <w:divsChild>
            <w:div w:id="941031845">
              <w:marLeft w:val="-225"/>
              <w:marRight w:val="-225"/>
              <w:marTop w:val="0"/>
              <w:marBottom w:val="0"/>
              <w:divBdr>
                <w:top w:val="none" w:sz="0" w:space="0" w:color="auto"/>
                <w:left w:val="none" w:sz="0" w:space="0" w:color="auto"/>
                <w:bottom w:val="none" w:sz="0" w:space="0" w:color="auto"/>
                <w:right w:val="none" w:sz="0" w:space="0" w:color="auto"/>
              </w:divBdr>
              <w:divsChild>
                <w:div w:id="725033781">
                  <w:marLeft w:val="0"/>
                  <w:marRight w:val="0"/>
                  <w:marTop w:val="0"/>
                  <w:marBottom w:val="0"/>
                  <w:divBdr>
                    <w:top w:val="none" w:sz="0" w:space="0" w:color="auto"/>
                    <w:left w:val="none" w:sz="0" w:space="0" w:color="auto"/>
                    <w:bottom w:val="none" w:sz="0" w:space="0" w:color="auto"/>
                    <w:right w:val="single" w:sz="6" w:space="0" w:color="000000"/>
                  </w:divBdr>
                  <w:divsChild>
                    <w:div w:id="1394498738">
                      <w:marLeft w:val="0"/>
                      <w:marRight w:val="0"/>
                      <w:marTop w:val="0"/>
                      <w:marBottom w:val="0"/>
                      <w:divBdr>
                        <w:top w:val="none" w:sz="0" w:space="0" w:color="auto"/>
                        <w:left w:val="none" w:sz="0" w:space="0" w:color="auto"/>
                        <w:bottom w:val="none" w:sz="0" w:space="0" w:color="auto"/>
                        <w:right w:val="none" w:sz="0" w:space="0" w:color="auto"/>
                      </w:divBdr>
                      <w:divsChild>
                        <w:div w:id="501092778">
                          <w:marLeft w:val="0"/>
                          <w:marRight w:val="0"/>
                          <w:marTop w:val="0"/>
                          <w:marBottom w:val="0"/>
                          <w:divBdr>
                            <w:top w:val="none" w:sz="0" w:space="0" w:color="auto"/>
                            <w:left w:val="none" w:sz="0" w:space="0" w:color="auto"/>
                            <w:bottom w:val="none" w:sz="0" w:space="0" w:color="auto"/>
                            <w:right w:val="none" w:sz="0" w:space="0" w:color="auto"/>
                          </w:divBdr>
                        </w:div>
                        <w:div w:id="670914244">
                          <w:marLeft w:val="0"/>
                          <w:marRight w:val="0"/>
                          <w:marTop w:val="0"/>
                          <w:marBottom w:val="0"/>
                          <w:divBdr>
                            <w:top w:val="none" w:sz="0" w:space="0" w:color="auto"/>
                            <w:left w:val="none" w:sz="0" w:space="0" w:color="auto"/>
                            <w:bottom w:val="none" w:sz="0" w:space="0" w:color="auto"/>
                            <w:right w:val="none" w:sz="0" w:space="0" w:color="auto"/>
                          </w:divBdr>
                        </w:div>
                        <w:div w:id="989481068">
                          <w:marLeft w:val="0"/>
                          <w:marRight w:val="0"/>
                          <w:marTop w:val="0"/>
                          <w:marBottom w:val="0"/>
                          <w:divBdr>
                            <w:top w:val="none" w:sz="0" w:space="0" w:color="auto"/>
                            <w:left w:val="none" w:sz="0" w:space="0" w:color="auto"/>
                            <w:bottom w:val="none" w:sz="0" w:space="0" w:color="auto"/>
                            <w:right w:val="none" w:sz="0" w:space="0" w:color="auto"/>
                          </w:divBdr>
                        </w:div>
                        <w:div w:id="1965384886">
                          <w:marLeft w:val="0"/>
                          <w:marRight w:val="0"/>
                          <w:marTop w:val="0"/>
                          <w:marBottom w:val="0"/>
                          <w:divBdr>
                            <w:top w:val="none" w:sz="0" w:space="0" w:color="auto"/>
                            <w:left w:val="none" w:sz="0" w:space="0" w:color="auto"/>
                            <w:bottom w:val="none" w:sz="0" w:space="0" w:color="auto"/>
                            <w:right w:val="none" w:sz="0" w:space="0" w:color="auto"/>
                          </w:divBdr>
                        </w:div>
                        <w:div w:id="108823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4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099141">
      <w:bodyDiv w:val="1"/>
      <w:marLeft w:val="0"/>
      <w:marRight w:val="0"/>
      <w:marTop w:val="0"/>
      <w:marBottom w:val="0"/>
      <w:divBdr>
        <w:top w:val="none" w:sz="0" w:space="0" w:color="auto"/>
        <w:left w:val="none" w:sz="0" w:space="0" w:color="auto"/>
        <w:bottom w:val="none" w:sz="0" w:space="0" w:color="auto"/>
        <w:right w:val="none" w:sz="0" w:space="0" w:color="auto"/>
      </w:divBdr>
      <w:divsChild>
        <w:div w:id="1145271854">
          <w:marLeft w:val="0"/>
          <w:marRight w:val="0"/>
          <w:marTop w:val="0"/>
          <w:marBottom w:val="150"/>
          <w:divBdr>
            <w:top w:val="none" w:sz="0" w:space="0" w:color="auto"/>
            <w:left w:val="none" w:sz="0" w:space="0" w:color="auto"/>
            <w:bottom w:val="none" w:sz="0" w:space="0" w:color="auto"/>
            <w:right w:val="none" w:sz="0" w:space="0" w:color="auto"/>
          </w:divBdr>
        </w:div>
        <w:div w:id="1219240558">
          <w:marLeft w:val="0"/>
          <w:marRight w:val="0"/>
          <w:marTop w:val="0"/>
          <w:marBottom w:val="150"/>
          <w:divBdr>
            <w:top w:val="none" w:sz="0" w:space="0" w:color="auto"/>
            <w:left w:val="none" w:sz="0" w:space="0" w:color="auto"/>
            <w:bottom w:val="none" w:sz="0" w:space="0" w:color="auto"/>
            <w:right w:val="none" w:sz="0" w:space="0" w:color="auto"/>
          </w:divBdr>
        </w:div>
        <w:div w:id="1244530420">
          <w:marLeft w:val="0"/>
          <w:marRight w:val="0"/>
          <w:marTop w:val="0"/>
          <w:marBottom w:val="150"/>
          <w:divBdr>
            <w:top w:val="none" w:sz="0" w:space="0" w:color="auto"/>
            <w:left w:val="none" w:sz="0" w:space="0" w:color="auto"/>
            <w:bottom w:val="none" w:sz="0" w:space="0" w:color="auto"/>
            <w:right w:val="none" w:sz="0" w:space="0" w:color="auto"/>
          </w:divBdr>
        </w:div>
        <w:div w:id="1730376957">
          <w:marLeft w:val="0"/>
          <w:marRight w:val="0"/>
          <w:marTop w:val="0"/>
          <w:marBottom w:val="150"/>
          <w:divBdr>
            <w:top w:val="none" w:sz="0" w:space="0" w:color="auto"/>
            <w:left w:val="none" w:sz="0" w:space="0" w:color="auto"/>
            <w:bottom w:val="none" w:sz="0" w:space="0" w:color="auto"/>
            <w:right w:val="none" w:sz="0" w:space="0" w:color="auto"/>
          </w:divBdr>
        </w:div>
        <w:div w:id="1807894828">
          <w:marLeft w:val="0"/>
          <w:marRight w:val="0"/>
          <w:marTop w:val="0"/>
          <w:marBottom w:val="150"/>
          <w:divBdr>
            <w:top w:val="none" w:sz="0" w:space="0" w:color="auto"/>
            <w:left w:val="none" w:sz="0" w:space="0" w:color="auto"/>
            <w:bottom w:val="none" w:sz="0" w:space="0" w:color="auto"/>
            <w:right w:val="none" w:sz="0" w:space="0" w:color="auto"/>
          </w:divBdr>
        </w:div>
        <w:div w:id="1973246848">
          <w:marLeft w:val="0"/>
          <w:marRight w:val="0"/>
          <w:marTop w:val="0"/>
          <w:marBottom w:val="150"/>
          <w:divBdr>
            <w:top w:val="none" w:sz="0" w:space="0" w:color="auto"/>
            <w:left w:val="none" w:sz="0" w:space="0" w:color="auto"/>
            <w:bottom w:val="none" w:sz="0" w:space="0" w:color="auto"/>
            <w:right w:val="none" w:sz="0" w:space="0" w:color="auto"/>
          </w:divBdr>
        </w:div>
      </w:divsChild>
    </w:div>
    <w:div w:id="1977251160">
      <w:bodyDiv w:val="1"/>
      <w:marLeft w:val="0"/>
      <w:marRight w:val="0"/>
      <w:marTop w:val="0"/>
      <w:marBottom w:val="0"/>
      <w:divBdr>
        <w:top w:val="none" w:sz="0" w:space="0" w:color="auto"/>
        <w:left w:val="none" w:sz="0" w:space="0" w:color="auto"/>
        <w:bottom w:val="none" w:sz="0" w:space="0" w:color="auto"/>
        <w:right w:val="none" w:sz="0" w:space="0" w:color="auto"/>
      </w:divBdr>
      <w:divsChild>
        <w:div w:id="783382496">
          <w:marLeft w:val="0"/>
          <w:marRight w:val="0"/>
          <w:marTop w:val="0"/>
          <w:marBottom w:val="150"/>
          <w:divBdr>
            <w:top w:val="none" w:sz="0" w:space="0" w:color="auto"/>
            <w:left w:val="none" w:sz="0" w:space="0" w:color="auto"/>
            <w:bottom w:val="none" w:sz="0" w:space="0" w:color="auto"/>
            <w:right w:val="none" w:sz="0" w:space="0" w:color="auto"/>
          </w:divBdr>
        </w:div>
      </w:divsChild>
    </w:div>
    <w:div w:id="1977369246">
      <w:bodyDiv w:val="1"/>
      <w:marLeft w:val="0"/>
      <w:marRight w:val="0"/>
      <w:marTop w:val="0"/>
      <w:marBottom w:val="0"/>
      <w:divBdr>
        <w:top w:val="none" w:sz="0" w:space="0" w:color="auto"/>
        <w:left w:val="none" w:sz="0" w:space="0" w:color="auto"/>
        <w:bottom w:val="none" w:sz="0" w:space="0" w:color="auto"/>
        <w:right w:val="none" w:sz="0" w:space="0" w:color="auto"/>
      </w:divBdr>
      <w:divsChild>
        <w:div w:id="328946413">
          <w:marLeft w:val="0"/>
          <w:marRight w:val="0"/>
          <w:marTop w:val="0"/>
          <w:marBottom w:val="0"/>
          <w:divBdr>
            <w:top w:val="none" w:sz="0" w:space="0" w:color="auto"/>
            <w:left w:val="none" w:sz="0" w:space="0" w:color="auto"/>
            <w:bottom w:val="dotted" w:sz="6" w:space="4" w:color="DDDDDD"/>
            <w:right w:val="none" w:sz="0" w:space="0" w:color="auto"/>
          </w:divBdr>
          <w:divsChild>
            <w:div w:id="161409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563060">
      <w:bodyDiv w:val="1"/>
      <w:marLeft w:val="0"/>
      <w:marRight w:val="0"/>
      <w:marTop w:val="0"/>
      <w:marBottom w:val="0"/>
      <w:divBdr>
        <w:top w:val="none" w:sz="0" w:space="0" w:color="auto"/>
        <w:left w:val="none" w:sz="0" w:space="0" w:color="auto"/>
        <w:bottom w:val="none" w:sz="0" w:space="0" w:color="auto"/>
        <w:right w:val="none" w:sz="0" w:space="0" w:color="auto"/>
      </w:divBdr>
      <w:divsChild>
        <w:div w:id="1730761580">
          <w:marLeft w:val="0"/>
          <w:marRight w:val="0"/>
          <w:marTop w:val="0"/>
          <w:marBottom w:val="0"/>
          <w:divBdr>
            <w:top w:val="none" w:sz="0" w:space="0" w:color="auto"/>
            <w:left w:val="none" w:sz="0" w:space="0" w:color="auto"/>
            <w:bottom w:val="none" w:sz="0" w:space="0" w:color="auto"/>
            <w:right w:val="none" w:sz="0" w:space="0" w:color="auto"/>
          </w:divBdr>
          <w:divsChild>
            <w:div w:id="113109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638341">
      <w:bodyDiv w:val="1"/>
      <w:marLeft w:val="0"/>
      <w:marRight w:val="0"/>
      <w:marTop w:val="0"/>
      <w:marBottom w:val="0"/>
      <w:divBdr>
        <w:top w:val="none" w:sz="0" w:space="0" w:color="auto"/>
        <w:left w:val="none" w:sz="0" w:space="0" w:color="auto"/>
        <w:bottom w:val="none" w:sz="0" w:space="0" w:color="auto"/>
        <w:right w:val="none" w:sz="0" w:space="0" w:color="auto"/>
      </w:divBdr>
      <w:divsChild>
        <w:div w:id="862743272">
          <w:marLeft w:val="0"/>
          <w:marRight w:val="0"/>
          <w:marTop w:val="0"/>
          <w:marBottom w:val="0"/>
          <w:divBdr>
            <w:top w:val="none" w:sz="0" w:space="0" w:color="auto"/>
            <w:left w:val="none" w:sz="0" w:space="0" w:color="auto"/>
            <w:bottom w:val="none" w:sz="0" w:space="0" w:color="auto"/>
            <w:right w:val="none" w:sz="0" w:space="0" w:color="auto"/>
          </w:divBdr>
          <w:divsChild>
            <w:div w:id="2100713186">
              <w:marLeft w:val="0"/>
              <w:marRight w:val="0"/>
              <w:marTop w:val="0"/>
              <w:marBottom w:val="0"/>
              <w:divBdr>
                <w:top w:val="none" w:sz="0" w:space="0" w:color="auto"/>
                <w:left w:val="none" w:sz="0" w:space="0" w:color="auto"/>
                <w:bottom w:val="none" w:sz="0" w:space="0" w:color="auto"/>
                <w:right w:val="none" w:sz="0" w:space="0" w:color="auto"/>
              </w:divBdr>
              <w:divsChild>
                <w:div w:id="960503440">
                  <w:marLeft w:val="0"/>
                  <w:marRight w:val="0"/>
                  <w:marTop w:val="0"/>
                  <w:marBottom w:val="0"/>
                  <w:divBdr>
                    <w:top w:val="none" w:sz="0" w:space="0" w:color="auto"/>
                    <w:left w:val="none" w:sz="0" w:space="0" w:color="auto"/>
                    <w:bottom w:val="none" w:sz="0" w:space="0" w:color="auto"/>
                    <w:right w:val="none" w:sz="0" w:space="0" w:color="auto"/>
                  </w:divBdr>
                  <w:divsChild>
                    <w:div w:id="1491368620">
                      <w:marLeft w:val="0"/>
                      <w:marRight w:val="0"/>
                      <w:marTop w:val="0"/>
                      <w:marBottom w:val="0"/>
                      <w:divBdr>
                        <w:top w:val="none" w:sz="0" w:space="0" w:color="auto"/>
                        <w:left w:val="none" w:sz="0" w:space="0" w:color="auto"/>
                        <w:bottom w:val="none" w:sz="0" w:space="0" w:color="auto"/>
                        <w:right w:val="none" w:sz="0" w:space="0" w:color="auto"/>
                      </w:divBdr>
                      <w:divsChild>
                        <w:div w:id="529877800">
                          <w:marLeft w:val="0"/>
                          <w:marRight w:val="0"/>
                          <w:marTop w:val="0"/>
                          <w:marBottom w:val="0"/>
                          <w:divBdr>
                            <w:top w:val="none" w:sz="0" w:space="0" w:color="auto"/>
                            <w:left w:val="none" w:sz="0" w:space="0" w:color="auto"/>
                            <w:bottom w:val="none" w:sz="0" w:space="0" w:color="auto"/>
                            <w:right w:val="none" w:sz="0" w:space="0" w:color="auto"/>
                          </w:divBdr>
                          <w:divsChild>
                            <w:div w:id="1290697661">
                              <w:marLeft w:val="0"/>
                              <w:marRight w:val="0"/>
                              <w:marTop w:val="0"/>
                              <w:marBottom w:val="0"/>
                              <w:divBdr>
                                <w:top w:val="none" w:sz="0" w:space="0" w:color="auto"/>
                                <w:left w:val="none" w:sz="0" w:space="0" w:color="auto"/>
                                <w:bottom w:val="none" w:sz="0" w:space="0" w:color="auto"/>
                                <w:right w:val="none" w:sz="0" w:space="0" w:color="auto"/>
                              </w:divBdr>
                              <w:divsChild>
                                <w:div w:id="1289582699">
                                  <w:marLeft w:val="0"/>
                                  <w:marRight w:val="0"/>
                                  <w:marTop w:val="0"/>
                                  <w:marBottom w:val="0"/>
                                  <w:divBdr>
                                    <w:top w:val="none" w:sz="0" w:space="0" w:color="auto"/>
                                    <w:left w:val="none" w:sz="0" w:space="0" w:color="auto"/>
                                    <w:bottom w:val="none" w:sz="0" w:space="0" w:color="auto"/>
                                    <w:right w:val="none" w:sz="0" w:space="0" w:color="auto"/>
                                  </w:divBdr>
                                  <w:divsChild>
                                    <w:div w:id="42607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7903851">
      <w:bodyDiv w:val="1"/>
      <w:marLeft w:val="0"/>
      <w:marRight w:val="0"/>
      <w:marTop w:val="0"/>
      <w:marBottom w:val="0"/>
      <w:divBdr>
        <w:top w:val="none" w:sz="0" w:space="0" w:color="auto"/>
        <w:left w:val="none" w:sz="0" w:space="0" w:color="auto"/>
        <w:bottom w:val="none" w:sz="0" w:space="0" w:color="auto"/>
        <w:right w:val="none" w:sz="0" w:space="0" w:color="auto"/>
      </w:divBdr>
      <w:divsChild>
        <w:div w:id="1495874704">
          <w:marLeft w:val="0"/>
          <w:marRight w:val="0"/>
          <w:marTop w:val="0"/>
          <w:marBottom w:val="0"/>
          <w:divBdr>
            <w:top w:val="none" w:sz="0" w:space="0" w:color="auto"/>
            <w:left w:val="none" w:sz="0" w:space="0" w:color="auto"/>
            <w:bottom w:val="none" w:sz="0" w:space="0" w:color="auto"/>
            <w:right w:val="none" w:sz="0" w:space="0" w:color="auto"/>
          </w:divBdr>
          <w:divsChild>
            <w:div w:id="2037267022">
              <w:marLeft w:val="0"/>
              <w:marRight w:val="0"/>
              <w:marTop w:val="0"/>
              <w:marBottom w:val="0"/>
              <w:divBdr>
                <w:top w:val="none" w:sz="0" w:space="0" w:color="auto"/>
                <w:left w:val="none" w:sz="0" w:space="0" w:color="auto"/>
                <w:bottom w:val="none" w:sz="0" w:space="0" w:color="auto"/>
                <w:right w:val="none" w:sz="0" w:space="0" w:color="auto"/>
              </w:divBdr>
              <w:divsChild>
                <w:div w:id="791633966">
                  <w:marLeft w:val="0"/>
                  <w:marRight w:val="0"/>
                  <w:marTop w:val="0"/>
                  <w:marBottom w:val="0"/>
                  <w:divBdr>
                    <w:top w:val="none" w:sz="0" w:space="0" w:color="auto"/>
                    <w:left w:val="none" w:sz="0" w:space="0" w:color="auto"/>
                    <w:bottom w:val="none" w:sz="0" w:space="0" w:color="auto"/>
                    <w:right w:val="none" w:sz="0" w:space="0" w:color="auto"/>
                  </w:divBdr>
                  <w:divsChild>
                    <w:div w:id="269288282">
                      <w:marLeft w:val="0"/>
                      <w:marRight w:val="0"/>
                      <w:marTop w:val="0"/>
                      <w:marBottom w:val="0"/>
                      <w:divBdr>
                        <w:top w:val="none" w:sz="0" w:space="0" w:color="auto"/>
                        <w:left w:val="none" w:sz="0" w:space="0" w:color="auto"/>
                        <w:bottom w:val="none" w:sz="0" w:space="0" w:color="auto"/>
                        <w:right w:val="none" w:sz="0" w:space="0" w:color="auto"/>
                      </w:divBdr>
                      <w:divsChild>
                        <w:div w:id="1440833016">
                          <w:marLeft w:val="0"/>
                          <w:marRight w:val="0"/>
                          <w:marTop w:val="0"/>
                          <w:marBottom w:val="0"/>
                          <w:divBdr>
                            <w:top w:val="none" w:sz="0" w:space="0" w:color="auto"/>
                            <w:left w:val="none" w:sz="0" w:space="0" w:color="auto"/>
                            <w:bottom w:val="none" w:sz="0" w:space="0" w:color="auto"/>
                            <w:right w:val="none" w:sz="0" w:space="0" w:color="auto"/>
                          </w:divBdr>
                          <w:divsChild>
                            <w:div w:id="1507092329">
                              <w:marLeft w:val="0"/>
                              <w:marRight w:val="0"/>
                              <w:marTop w:val="0"/>
                              <w:marBottom w:val="0"/>
                              <w:divBdr>
                                <w:top w:val="none" w:sz="0" w:space="0" w:color="auto"/>
                                <w:left w:val="none" w:sz="0" w:space="0" w:color="auto"/>
                                <w:bottom w:val="none" w:sz="0" w:space="0" w:color="auto"/>
                                <w:right w:val="none" w:sz="0" w:space="0" w:color="auto"/>
                              </w:divBdr>
                              <w:divsChild>
                                <w:div w:id="1231036921">
                                  <w:marLeft w:val="0"/>
                                  <w:marRight w:val="0"/>
                                  <w:marTop w:val="0"/>
                                  <w:marBottom w:val="0"/>
                                  <w:divBdr>
                                    <w:top w:val="none" w:sz="0" w:space="0" w:color="auto"/>
                                    <w:left w:val="none" w:sz="0" w:space="0" w:color="auto"/>
                                    <w:bottom w:val="none" w:sz="0" w:space="0" w:color="auto"/>
                                    <w:right w:val="none" w:sz="0" w:space="0" w:color="auto"/>
                                  </w:divBdr>
                                  <w:divsChild>
                                    <w:div w:id="1392801996">
                                      <w:marLeft w:val="0"/>
                                      <w:marRight w:val="0"/>
                                      <w:marTop w:val="0"/>
                                      <w:marBottom w:val="0"/>
                                      <w:divBdr>
                                        <w:top w:val="none" w:sz="0" w:space="0" w:color="auto"/>
                                        <w:left w:val="none" w:sz="0" w:space="0" w:color="auto"/>
                                        <w:bottom w:val="none" w:sz="0" w:space="0" w:color="auto"/>
                                        <w:right w:val="none" w:sz="0" w:space="0" w:color="auto"/>
                                      </w:divBdr>
                                      <w:divsChild>
                                        <w:div w:id="212195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099484">
      <w:bodyDiv w:val="1"/>
      <w:marLeft w:val="0"/>
      <w:marRight w:val="0"/>
      <w:marTop w:val="0"/>
      <w:marBottom w:val="0"/>
      <w:divBdr>
        <w:top w:val="none" w:sz="0" w:space="0" w:color="auto"/>
        <w:left w:val="none" w:sz="0" w:space="0" w:color="auto"/>
        <w:bottom w:val="none" w:sz="0" w:space="0" w:color="auto"/>
        <w:right w:val="none" w:sz="0" w:space="0" w:color="auto"/>
      </w:divBdr>
    </w:div>
    <w:div w:id="1978413077">
      <w:bodyDiv w:val="1"/>
      <w:marLeft w:val="0"/>
      <w:marRight w:val="0"/>
      <w:marTop w:val="0"/>
      <w:marBottom w:val="0"/>
      <w:divBdr>
        <w:top w:val="none" w:sz="0" w:space="0" w:color="auto"/>
        <w:left w:val="none" w:sz="0" w:space="0" w:color="auto"/>
        <w:bottom w:val="none" w:sz="0" w:space="0" w:color="auto"/>
        <w:right w:val="none" w:sz="0" w:space="0" w:color="auto"/>
      </w:divBdr>
      <w:divsChild>
        <w:div w:id="549541637">
          <w:marLeft w:val="0"/>
          <w:marRight w:val="0"/>
          <w:marTop w:val="0"/>
          <w:marBottom w:val="0"/>
          <w:divBdr>
            <w:top w:val="none" w:sz="0" w:space="0" w:color="auto"/>
            <w:left w:val="none" w:sz="0" w:space="0" w:color="auto"/>
            <w:bottom w:val="none" w:sz="0" w:space="0" w:color="auto"/>
            <w:right w:val="none" w:sz="0" w:space="0" w:color="auto"/>
          </w:divBdr>
          <w:divsChild>
            <w:div w:id="165903346">
              <w:marLeft w:val="0"/>
              <w:marRight w:val="0"/>
              <w:marTop w:val="0"/>
              <w:marBottom w:val="0"/>
              <w:divBdr>
                <w:top w:val="none" w:sz="0" w:space="0" w:color="auto"/>
                <w:left w:val="none" w:sz="0" w:space="0" w:color="auto"/>
                <w:bottom w:val="none" w:sz="0" w:space="0" w:color="auto"/>
                <w:right w:val="none" w:sz="0" w:space="0" w:color="auto"/>
              </w:divBdr>
            </w:div>
          </w:divsChild>
        </w:div>
        <w:div w:id="2008248446">
          <w:marLeft w:val="0"/>
          <w:marRight w:val="0"/>
          <w:marTop w:val="240"/>
          <w:marBottom w:val="0"/>
          <w:divBdr>
            <w:top w:val="none" w:sz="0" w:space="0" w:color="auto"/>
            <w:left w:val="none" w:sz="0" w:space="0" w:color="auto"/>
            <w:bottom w:val="none" w:sz="0" w:space="0" w:color="auto"/>
            <w:right w:val="none" w:sz="0" w:space="0" w:color="auto"/>
          </w:divBdr>
        </w:div>
        <w:div w:id="2000379330">
          <w:marLeft w:val="0"/>
          <w:marRight w:val="0"/>
          <w:marTop w:val="0"/>
          <w:marBottom w:val="0"/>
          <w:divBdr>
            <w:top w:val="none" w:sz="0" w:space="0" w:color="auto"/>
            <w:left w:val="none" w:sz="0" w:space="0" w:color="auto"/>
            <w:bottom w:val="none" w:sz="0" w:space="0" w:color="auto"/>
            <w:right w:val="none" w:sz="0" w:space="0" w:color="auto"/>
          </w:divBdr>
          <w:divsChild>
            <w:div w:id="2049185216">
              <w:marLeft w:val="-225"/>
              <w:marRight w:val="-225"/>
              <w:marTop w:val="0"/>
              <w:marBottom w:val="0"/>
              <w:divBdr>
                <w:top w:val="none" w:sz="0" w:space="0" w:color="auto"/>
                <w:left w:val="none" w:sz="0" w:space="0" w:color="auto"/>
                <w:bottom w:val="none" w:sz="0" w:space="0" w:color="auto"/>
                <w:right w:val="none" w:sz="0" w:space="0" w:color="auto"/>
              </w:divBdr>
              <w:divsChild>
                <w:div w:id="993529024">
                  <w:marLeft w:val="0"/>
                  <w:marRight w:val="0"/>
                  <w:marTop w:val="0"/>
                  <w:marBottom w:val="0"/>
                  <w:divBdr>
                    <w:top w:val="none" w:sz="0" w:space="0" w:color="auto"/>
                    <w:left w:val="none" w:sz="0" w:space="0" w:color="auto"/>
                    <w:bottom w:val="none" w:sz="0" w:space="0" w:color="auto"/>
                    <w:right w:val="single" w:sz="6" w:space="0" w:color="000000"/>
                  </w:divBdr>
                  <w:divsChild>
                    <w:div w:id="1502886307">
                      <w:marLeft w:val="0"/>
                      <w:marRight w:val="0"/>
                      <w:marTop w:val="0"/>
                      <w:marBottom w:val="0"/>
                      <w:divBdr>
                        <w:top w:val="none" w:sz="0" w:space="0" w:color="auto"/>
                        <w:left w:val="none" w:sz="0" w:space="0" w:color="auto"/>
                        <w:bottom w:val="none" w:sz="0" w:space="0" w:color="auto"/>
                        <w:right w:val="none" w:sz="0" w:space="0" w:color="auto"/>
                      </w:divBdr>
                      <w:divsChild>
                        <w:div w:id="773287909">
                          <w:marLeft w:val="0"/>
                          <w:marRight w:val="0"/>
                          <w:marTop w:val="0"/>
                          <w:marBottom w:val="0"/>
                          <w:divBdr>
                            <w:top w:val="none" w:sz="0" w:space="0" w:color="auto"/>
                            <w:left w:val="none" w:sz="0" w:space="0" w:color="auto"/>
                            <w:bottom w:val="none" w:sz="0" w:space="0" w:color="auto"/>
                            <w:right w:val="none" w:sz="0" w:space="0" w:color="auto"/>
                          </w:divBdr>
                        </w:div>
                        <w:div w:id="1150486240">
                          <w:marLeft w:val="0"/>
                          <w:marRight w:val="0"/>
                          <w:marTop w:val="0"/>
                          <w:marBottom w:val="0"/>
                          <w:divBdr>
                            <w:top w:val="none" w:sz="0" w:space="0" w:color="auto"/>
                            <w:left w:val="none" w:sz="0" w:space="0" w:color="auto"/>
                            <w:bottom w:val="none" w:sz="0" w:space="0" w:color="auto"/>
                            <w:right w:val="none" w:sz="0" w:space="0" w:color="auto"/>
                          </w:divBdr>
                        </w:div>
                        <w:div w:id="1083145305">
                          <w:marLeft w:val="0"/>
                          <w:marRight w:val="0"/>
                          <w:marTop w:val="0"/>
                          <w:marBottom w:val="0"/>
                          <w:divBdr>
                            <w:top w:val="none" w:sz="0" w:space="0" w:color="auto"/>
                            <w:left w:val="none" w:sz="0" w:space="0" w:color="auto"/>
                            <w:bottom w:val="none" w:sz="0" w:space="0" w:color="auto"/>
                            <w:right w:val="none" w:sz="0" w:space="0" w:color="auto"/>
                          </w:divBdr>
                        </w:div>
                        <w:div w:id="257713339">
                          <w:marLeft w:val="0"/>
                          <w:marRight w:val="0"/>
                          <w:marTop w:val="0"/>
                          <w:marBottom w:val="0"/>
                          <w:divBdr>
                            <w:top w:val="none" w:sz="0" w:space="0" w:color="auto"/>
                            <w:left w:val="none" w:sz="0" w:space="0" w:color="auto"/>
                            <w:bottom w:val="none" w:sz="0" w:space="0" w:color="auto"/>
                            <w:right w:val="none" w:sz="0" w:space="0" w:color="auto"/>
                          </w:divBdr>
                        </w:div>
                        <w:div w:id="4745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94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606314">
      <w:bodyDiv w:val="1"/>
      <w:marLeft w:val="0"/>
      <w:marRight w:val="0"/>
      <w:marTop w:val="0"/>
      <w:marBottom w:val="0"/>
      <w:divBdr>
        <w:top w:val="none" w:sz="0" w:space="0" w:color="auto"/>
        <w:left w:val="none" w:sz="0" w:space="0" w:color="auto"/>
        <w:bottom w:val="none" w:sz="0" w:space="0" w:color="auto"/>
        <w:right w:val="none" w:sz="0" w:space="0" w:color="auto"/>
      </w:divBdr>
      <w:divsChild>
        <w:div w:id="354888288">
          <w:marLeft w:val="0"/>
          <w:marRight w:val="0"/>
          <w:marTop w:val="0"/>
          <w:marBottom w:val="150"/>
          <w:divBdr>
            <w:top w:val="none" w:sz="0" w:space="0" w:color="auto"/>
            <w:left w:val="none" w:sz="0" w:space="0" w:color="auto"/>
            <w:bottom w:val="none" w:sz="0" w:space="0" w:color="auto"/>
            <w:right w:val="none" w:sz="0" w:space="0" w:color="auto"/>
          </w:divBdr>
          <w:divsChild>
            <w:div w:id="1868906498">
              <w:marLeft w:val="0"/>
              <w:marRight w:val="0"/>
              <w:marTop w:val="0"/>
              <w:marBottom w:val="0"/>
              <w:divBdr>
                <w:top w:val="none" w:sz="0" w:space="0" w:color="auto"/>
                <w:left w:val="none" w:sz="0" w:space="0" w:color="auto"/>
                <w:bottom w:val="none" w:sz="0" w:space="0" w:color="auto"/>
                <w:right w:val="none" w:sz="0" w:space="0" w:color="auto"/>
              </w:divBdr>
              <w:divsChild>
                <w:div w:id="15322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141520">
          <w:marLeft w:val="0"/>
          <w:marRight w:val="0"/>
          <w:marTop w:val="0"/>
          <w:marBottom w:val="0"/>
          <w:divBdr>
            <w:top w:val="none" w:sz="0" w:space="0" w:color="auto"/>
            <w:left w:val="none" w:sz="0" w:space="0" w:color="auto"/>
            <w:bottom w:val="none" w:sz="0" w:space="0" w:color="auto"/>
            <w:right w:val="none" w:sz="0" w:space="0" w:color="auto"/>
          </w:divBdr>
          <w:divsChild>
            <w:div w:id="854802841">
              <w:marLeft w:val="0"/>
              <w:marRight w:val="0"/>
              <w:marTop w:val="0"/>
              <w:marBottom w:val="150"/>
              <w:divBdr>
                <w:top w:val="none" w:sz="0" w:space="0" w:color="auto"/>
                <w:left w:val="none" w:sz="0" w:space="0" w:color="auto"/>
                <w:bottom w:val="none" w:sz="0" w:space="0" w:color="auto"/>
                <w:right w:val="none" w:sz="0" w:space="0" w:color="auto"/>
              </w:divBdr>
            </w:div>
            <w:div w:id="968167181">
              <w:marLeft w:val="0"/>
              <w:marRight w:val="0"/>
              <w:marTop w:val="0"/>
              <w:marBottom w:val="0"/>
              <w:divBdr>
                <w:top w:val="none" w:sz="0" w:space="0" w:color="auto"/>
                <w:left w:val="none" w:sz="0" w:space="0" w:color="auto"/>
                <w:bottom w:val="none" w:sz="0" w:space="0" w:color="auto"/>
                <w:right w:val="none" w:sz="0" w:space="0" w:color="auto"/>
              </w:divBdr>
              <w:divsChild>
                <w:div w:id="143439477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978684815">
      <w:bodyDiv w:val="1"/>
      <w:marLeft w:val="0"/>
      <w:marRight w:val="0"/>
      <w:marTop w:val="0"/>
      <w:marBottom w:val="0"/>
      <w:divBdr>
        <w:top w:val="none" w:sz="0" w:space="0" w:color="auto"/>
        <w:left w:val="none" w:sz="0" w:space="0" w:color="auto"/>
        <w:bottom w:val="none" w:sz="0" w:space="0" w:color="auto"/>
        <w:right w:val="none" w:sz="0" w:space="0" w:color="auto"/>
      </w:divBdr>
      <w:divsChild>
        <w:div w:id="139732577">
          <w:marLeft w:val="0"/>
          <w:marRight w:val="0"/>
          <w:marTop w:val="0"/>
          <w:marBottom w:val="225"/>
          <w:divBdr>
            <w:top w:val="none" w:sz="0" w:space="0" w:color="auto"/>
            <w:left w:val="none" w:sz="0" w:space="0" w:color="auto"/>
            <w:bottom w:val="none" w:sz="0" w:space="0" w:color="auto"/>
            <w:right w:val="none" w:sz="0" w:space="0" w:color="auto"/>
          </w:divBdr>
          <w:divsChild>
            <w:div w:id="68551026">
              <w:marLeft w:val="0"/>
              <w:marRight w:val="0"/>
              <w:marTop w:val="0"/>
              <w:marBottom w:val="0"/>
              <w:divBdr>
                <w:top w:val="none" w:sz="0" w:space="0" w:color="auto"/>
                <w:left w:val="none" w:sz="0" w:space="0" w:color="auto"/>
                <w:bottom w:val="none" w:sz="0" w:space="0" w:color="auto"/>
                <w:right w:val="none" w:sz="0" w:space="0" w:color="auto"/>
              </w:divBdr>
              <w:divsChild>
                <w:div w:id="160499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967822">
          <w:marLeft w:val="0"/>
          <w:marRight w:val="0"/>
          <w:marTop w:val="0"/>
          <w:marBottom w:val="225"/>
          <w:divBdr>
            <w:top w:val="none" w:sz="0" w:space="0" w:color="auto"/>
            <w:left w:val="none" w:sz="0" w:space="0" w:color="auto"/>
            <w:bottom w:val="none" w:sz="0" w:space="0" w:color="auto"/>
            <w:right w:val="none" w:sz="0" w:space="0" w:color="auto"/>
          </w:divBdr>
        </w:div>
      </w:divsChild>
    </w:div>
    <w:div w:id="1979215191">
      <w:bodyDiv w:val="1"/>
      <w:marLeft w:val="0"/>
      <w:marRight w:val="0"/>
      <w:marTop w:val="0"/>
      <w:marBottom w:val="0"/>
      <w:divBdr>
        <w:top w:val="none" w:sz="0" w:space="0" w:color="auto"/>
        <w:left w:val="none" w:sz="0" w:space="0" w:color="auto"/>
        <w:bottom w:val="none" w:sz="0" w:space="0" w:color="auto"/>
        <w:right w:val="none" w:sz="0" w:space="0" w:color="auto"/>
      </w:divBdr>
    </w:div>
    <w:div w:id="1979531228">
      <w:bodyDiv w:val="1"/>
      <w:marLeft w:val="0"/>
      <w:marRight w:val="0"/>
      <w:marTop w:val="0"/>
      <w:marBottom w:val="0"/>
      <w:divBdr>
        <w:top w:val="none" w:sz="0" w:space="0" w:color="auto"/>
        <w:left w:val="none" w:sz="0" w:space="0" w:color="auto"/>
        <w:bottom w:val="none" w:sz="0" w:space="0" w:color="auto"/>
        <w:right w:val="none" w:sz="0" w:space="0" w:color="auto"/>
      </w:divBdr>
      <w:divsChild>
        <w:div w:id="720524267">
          <w:marLeft w:val="0"/>
          <w:marRight w:val="0"/>
          <w:marTop w:val="0"/>
          <w:marBottom w:val="150"/>
          <w:divBdr>
            <w:top w:val="none" w:sz="0" w:space="0" w:color="auto"/>
            <w:left w:val="none" w:sz="0" w:space="0" w:color="auto"/>
            <w:bottom w:val="none" w:sz="0" w:space="0" w:color="auto"/>
            <w:right w:val="none" w:sz="0" w:space="0" w:color="auto"/>
          </w:divBdr>
        </w:div>
      </w:divsChild>
    </w:div>
    <w:div w:id="1979603987">
      <w:bodyDiv w:val="1"/>
      <w:marLeft w:val="0"/>
      <w:marRight w:val="0"/>
      <w:marTop w:val="0"/>
      <w:marBottom w:val="0"/>
      <w:divBdr>
        <w:top w:val="none" w:sz="0" w:space="0" w:color="auto"/>
        <w:left w:val="none" w:sz="0" w:space="0" w:color="auto"/>
        <w:bottom w:val="none" w:sz="0" w:space="0" w:color="auto"/>
        <w:right w:val="none" w:sz="0" w:space="0" w:color="auto"/>
      </w:divBdr>
      <w:divsChild>
        <w:div w:id="149369469">
          <w:marLeft w:val="0"/>
          <w:marRight w:val="0"/>
          <w:marTop w:val="0"/>
          <w:marBottom w:val="0"/>
          <w:divBdr>
            <w:top w:val="none" w:sz="0" w:space="0" w:color="auto"/>
            <w:left w:val="none" w:sz="0" w:space="0" w:color="auto"/>
            <w:bottom w:val="none" w:sz="0" w:space="0" w:color="auto"/>
            <w:right w:val="none" w:sz="0" w:space="0" w:color="auto"/>
          </w:divBdr>
        </w:div>
      </w:divsChild>
    </w:div>
    <w:div w:id="1980062927">
      <w:bodyDiv w:val="1"/>
      <w:marLeft w:val="0"/>
      <w:marRight w:val="0"/>
      <w:marTop w:val="0"/>
      <w:marBottom w:val="0"/>
      <w:divBdr>
        <w:top w:val="none" w:sz="0" w:space="0" w:color="auto"/>
        <w:left w:val="none" w:sz="0" w:space="0" w:color="auto"/>
        <w:bottom w:val="none" w:sz="0" w:space="0" w:color="auto"/>
        <w:right w:val="none" w:sz="0" w:space="0" w:color="auto"/>
      </w:divBdr>
      <w:divsChild>
        <w:div w:id="723679140">
          <w:marLeft w:val="0"/>
          <w:marRight w:val="0"/>
          <w:marTop w:val="0"/>
          <w:marBottom w:val="150"/>
          <w:divBdr>
            <w:top w:val="none" w:sz="0" w:space="0" w:color="auto"/>
            <w:left w:val="none" w:sz="0" w:space="0" w:color="auto"/>
            <w:bottom w:val="none" w:sz="0" w:space="0" w:color="auto"/>
            <w:right w:val="none" w:sz="0" w:space="0" w:color="auto"/>
          </w:divBdr>
          <w:divsChild>
            <w:div w:id="692075655">
              <w:marLeft w:val="0"/>
              <w:marRight w:val="0"/>
              <w:marTop w:val="0"/>
              <w:marBottom w:val="0"/>
              <w:divBdr>
                <w:top w:val="none" w:sz="0" w:space="0" w:color="auto"/>
                <w:left w:val="none" w:sz="0" w:space="0" w:color="auto"/>
                <w:bottom w:val="none" w:sz="0" w:space="0" w:color="auto"/>
                <w:right w:val="none" w:sz="0" w:space="0" w:color="auto"/>
              </w:divBdr>
              <w:divsChild>
                <w:div w:id="1655142503">
                  <w:marLeft w:val="0"/>
                  <w:marRight w:val="0"/>
                  <w:marTop w:val="0"/>
                  <w:marBottom w:val="0"/>
                  <w:divBdr>
                    <w:top w:val="none" w:sz="0" w:space="0" w:color="auto"/>
                    <w:left w:val="none" w:sz="0" w:space="0" w:color="auto"/>
                    <w:bottom w:val="none" w:sz="0" w:space="0" w:color="auto"/>
                    <w:right w:val="none" w:sz="0" w:space="0" w:color="auto"/>
                  </w:divBdr>
                  <w:divsChild>
                    <w:div w:id="190609185">
                      <w:marLeft w:val="0"/>
                      <w:marRight w:val="150"/>
                      <w:marTop w:val="0"/>
                      <w:marBottom w:val="0"/>
                      <w:divBdr>
                        <w:top w:val="none" w:sz="0" w:space="0" w:color="auto"/>
                        <w:left w:val="none" w:sz="0" w:space="0" w:color="auto"/>
                        <w:bottom w:val="none" w:sz="0" w:space="0" w:color="auto"/>
                        <w:right w:val="none" w:sz="0" w:space="0" w:color="auto"/>
                      </w:divBdr>
                      <w:divsChild>
                        <w:div w:id="61152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432391">
          <w:marLeft w:val="0"/>
          <w:marRight w:val="0"/>
          <w:marTop w:val="0"/>
          <w:marBottom w:val="150"/>
          <w:divBdr>
            <w:top w:val="none" w:sz="0" w:space="0" w:color="auto"/>
            <w:left w:val="none" w:sz="0" w:space="0" w:color="auto"/>
            <w:bottom w:val="none" w:sz="0" w:space="0" w:color="auto"/>
            <w:right w:val="none" w:sz="0" w:space="0" w:color="auto"/>
          </w:divBdr>
        </w:div>
        <w:div w:id="841313214">
          <w:marLeft w:val="0"/>
          <w:marRight w:val="0"/>
          <w:marTop w:val="0"/>
          <w:marBottom w:val="0"/>
          <w:divBdr>
            <w:top w:val="none" w:sz="0" w:space="0" w:color="auto"/>
            <w:left w:val="none" w:sz="0" w:space="0" w:color="auto"/>
            <w:bottom w:val="none" w:sz="0" w:space="0" w:color="auto"/>
            <w:right w:val="none" w:sz="0" w:space="0" w:color="auto"/>
          </w:divBdr>
          <w:divsChild>
            <w:div w:id="19951411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80180740">
      <w:bodyDiv w:val="1"/>
      <w:marLeft w:val="0"/>
      <w:marRight w:val="0"/>
      <w:marTop w:val="0"/>
      <w:marBottom w:val="0"/>
      <w:divBdr>
        <w:top w:val="none" w:sz="0" w:space="0" w:color="auto"/>
        <w:left w:val="none" w:sz="0" w:space="0" w:color="auto"/>
        <w:bottom w:val="none" w:sz="0" w:space="0" w:color="auto"/>
        <w:right w:val="none" w:sz="0" w:space="0" w:color="auto"/>
      </w:divBdr>
      <w:divsChild>
        <w:div w:id="1899978982">
          <w:marLeft w:val="0"/>
          <w:marRight w:val="0"/>
          <w:marTop w:val="0"/>
          <w:marBottom w:val="0"/>
          <w:divBdr>
            <w:top w:val="none" w:sz="0" w:space="0" w:color="auto"/>
            <w:left w:val="none" w:sz="0" w:space="0" w:color="auto"/>
            <w:bottom w:val="none" w:sz="0" w:space="0" w:color="auto"/>
            <w:right w:val="none" w:sz="0" w:space="0" w:color="auto"/>
          </w:divBdr>
        </w:div>
      </w:divsChild>
    </w:div>
    <w:div w:id="1980182622">
      <w:bodyDiv w:val="1"/>
      <w:marLeft w:val="0"/>
      <w:marRight w:val="0"/>
      <w:marTop w:val="0"/>
      <w:marBottom w:val="0"/>
      <w:divBdr>
        <w:top w:val="none" w:sz="0" w:space="0" w:color="auto"/>
        <w:left w:val="none" w:sz="0" w:space="0" w:color="auto"/>
        <w:bottom w:val="none" w:sz="0" w:space="0" w:color="auto"/>
        <w:right w:val="none" w:sz="0" w:space="0" w:color="auto"/>
      </w:divBdr>
    </w:div>
    <w:div w:id="1980377247">
      <w:bodyDiv w:val="1"/>
      <w:marLeft w:val="0"/>
      <w:marRight w:val="0"/>
      <w:marTop w:val="0"/>
      <w:marBottom w:val="0"/>
      <w:divBdr>
        <w:top w:val="none" w:sz="0" w:space="0" w:color="auto"/>
        <w:left w:val="none" w:sz="0" w:space="0" w:color="auto"/>
        <w:bottom w:val="none" w:sz="0" w:space="0" w:color="auto"/>
        <w:right w:val="none" w:sz="0" w:space="0" w:color="auto"/>
      </w:divBdr>
      <w:divsChild>
        <w:div w:id="658506488">
          <w:marLeft w:val="0"/>
          <w:marRight w:val="0"/>
          <w:marTop w:val="0"/>
          <w:marBottom w:val="0"/>
          <w:divBdr>
            <w:top w:val="none" w:sz="0" w:space="0" w:color="auto"/>
            <w:left w:val="none" w:sz="0" w:space="0" w:color="auto"/>
            <w:bottom w:val="none" w:sz="0" w:space="0" w:color="auto"/>
            <w:right w:val="none" w:sz="0" w:space="0" w:color="auto"/>
          </w:divBdr>
          <w:divsChild>
            <w:div w:id="15497579">
              <w:marLeft w:val="0"/>
              <w:marRight w:val="0"/>
              <w:marTop w:val="0"/>
              <w:marBottom w:val="0"/>
              <w:divBdr>
                <w:top w:val="none" w:sz="0" w:space="0" w:color="auto"/>
                <w:left w:val="none" w:sz="0" w:space="0" w:color="auto"/>
                <w:bottom w:val="none" w:sz="0" w:space="0" w:color="auto"/>
                <w:right w:val="none" w:sz="0" w:space="0" w:color="auto"/>
              </w:divBdr>
              <w:divsChild>
                <w:div w:id="1469205900">
                  <w:marLeft w:val="0"/>
                  <w:marRight w:val="0"/>
                  <w:marTop w:val="0"/>
                  <w:marBottom w:val="197"/>
                  <w:divBdr>
                    <w:top w:val="none" w:sz="0" w:space="0" w:color="auto"/>
                    <w:left w:val="none" w:sz="0" w:space="0" w:color="auto"/>
                    <w:bottom w:val="none" w:sz="0" w:space="0" w:color="auto"/>
                    <w:right w:val="none" w:sz="0" w:space="0" w:color="auto"/>
                  </w:divBdr>
                  <w:divsChild>
                    <w:div w:id="972638145">
                      <w:marLeft w:val="0"/>
                      <w:marRight w:val="0"/>
                      <w:marTop w:val="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1487941233">
                              <w:marLeft w:val="0"/>
                              <w:marRight w:val="0"/>
                              <w:marTop w:val="0"/>
                              <w:marBottom w:val="0"/>
                              <w:divBdr>
                                <w:top w:val="none" w:sz="0" w:space="0" w:color="auto"/>
                                <w:left w:val="none" w:sz="0" w:space="0" w:color="auto"/>
                                <w:bottom w:val="none" w:sz="0" w:space="0" w:color="auto"/>
                                <w:right w:val="none" w:sz="0" w:space="0" w:color="auto"/>
                              </w:divBdr>
                              <w:divsChild>
                                <w:div w:id="1960839965">
                                  <w:marLeft w:val="0"/>
                                  <w:marRight w:val="0"/>
                                  <w:marTop w:val="0"/>
                                  <w:marBottom w:val="0"/>
                                  <w:divBdr>
                                    <w:top w:val="none" w:sz="0" w:space="0" w:color="auto"/>
                                    <w:left w:val="none" w:sz="0" w:space="0" w:color="auto"/>
                                    <w:bottom w:val="none" w:sz="0" w:space="0" w:color="auto"/>
                                    <w:right w:val="none" w:sz="0" w:space="0" w:color="auto"/>
                                  </w:divBdr>
                                  <w:divsChild>
                                    <w:div w:id="1926186889">
                                      <w:marLeft w:val="0"/>
                                      <w:marRight w:val="0"/>
                                      <w:marTop w:val="0"/>
                                      <w:marBottom w:val="0"/>
                                      <w:divBdr>
                                        <w:top w:val="none" w:sz="0" w:space="0" w:color="auto"/>
                                        <w:left w:val="none" w:sz="0" w:space="0" w:color="auto"/>
                                        <w:bottom w:val="none" w:sz="0" w:space="0" w:color="auto"/>
                                        <w:right w:val="none" w:sz="0" w:space="0" w:color="auto"/>
                                      </w:divBdr>
                                      <w:divsChild>
                                        <w:div w:id="1786651950">
                                          <w:marLeft w:val="0"/>
                                          <w:marRight w:val="0"/>
                                          <w:marTop w:val="0"/>
                                          <w:marBottom w:val="0"/>
                                          <w:divBdr>
                                            <w:top w:val="none" w:sz="0" w:space="0" w:color="auto"/>
                                            <w:left w:val="none" w:sz="0" w:space="0" w:color="auto"/>
                                            <w:bottom w:val="none" w:sz="0" w:space="0" w:color="auto"/>
                                            <w:right w:val="none" w:sz="0" w:space="0" w:color="auto"/>
                                          </w:divBdr>
                                          <w:divsChild>
                                            <w:div w:id="807361532">
                                              <w:marLeft w:val="0"/>
                                              <w:marRight w:val="0"/>
                                              <w:marTop w:val="0"/>
                                              <w:marBottom w:val="0"/>
                                              <w:divBdr>
                                                <w:top w:val="none" w:sz="0" w:space="0" w:color="auto"/>
                                                <w:left w:val="none" w:sz="0" w:space="0" w:color="auto"/>
                                                <w:bottom w:val="none" w:sz="0" w:space="0" w:color="auto"/>
                                                <w:right w:val="none" w:sz="0" w:space="0" w:color="auto"/>
                                              </w:divBdr>
                                              <w:divsChild>
                                                <w:div w:id="92923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0378912">
      <w:bodyDiv w:val="1"/>
      <w:marLeft w:val="0"/>
      <w:marRight w:val="0"/>
      <w:marTop w:val="0"/>
      <w:marBottom w:val="0"/>
      <w:divBdr>
        <w:top w:val="none" w:sz="0" w:space="0" w:color="auto"/>
        <w:left w:val="none" w:sz="0" w:space="0" w:color="auto"/>
        <w:bottom w:val="none" w:sz="0" w:space="0" w:color="auto"/>
        <w:right w:val="none" w:sz="0" w:space="0" w:color="auto"/>
      </w:divBdr>
      <w:divsChild>
        <w:div w:id="237909576">
          <w:marLeft w:val="0"/>
          <w:marRight w:val="0"/>
          <w:marTop w:val="0"/>
          <w:marBottom w:val="0"/>
          <w:divBdr>
            <w:top w:val="none" w:sz="0" w:space="0" w:color="auto"/>
            <w:left w:val="none" w:sz="0" w:space="0" w:color="auto"/>
            <w:bottom w:val="none" w:sz="0" w:space="0" w:color="auto"/>
            <w:right w:val="none" w:sz="0" w:space="0" w:color="auto"/>
          </w:divBdr>
          <w:divsChild>
            <w:div w:id="2138134047">
              <w:marLeft w:val="0"/>
              <w:marRight w:val="0"/>
              <w:marTop w:val="0"/>
              <w:marBottom w:val="0"/>
              <w:divBdr>
                <w:top w:val="none" w:sz="0" w:space="0" w:color="auto"/>
                <w:left w:val="none" w:sz="0" w:space="0" w:color="auto"/>
                <w:bottom w:val="none" w:sz="0" w:space="0" w:color="auto"/>
                <w:right w:val="none" w:sz="0" w:space="0" w:color="auto"/>
              </w:divBdr>
              <w:divsChild>
                <w:div w:id="1288779523">
                  <w:marLeft w:val="0"/>
                  <w:marRight w:val="0"/>
                  <w:marTop w:val="0"/>
                  <w:marBottom w:val="0"/>
                  <w:divBdr>
                    <w:top w:val="none" w:sz="0" w:space="0" w:color="auto"/>
                    <w:left w:val="none" w:sz="0" w:space="0" w:color="auto"/>
                    <w:bottom w:val="none" w:sz="0" w:space="0" w:color="auto"/>
                    <w:right w:val="none" w:sz="0" w:space="0" w:color="auto"/>
                  </w:divBdr>
                  <w:divsChild>
                    <w:div w:id="760375435">
                      <w:marLeft w:val="0"/>
                      <w:marRight w:val="0"/>
                      <w:marTop w:val="0"/>
                      <w:marBottom w:val="0"/>
                      <w:divBdr>
                        <w:top w:val="none" w:sz="0" w:space="0" w:color="auto"/>
                        <w:left w:val="none" w:sz="0" w:space="0" w:color="auto"/>
                        <w:bottom w:val="none" w:sz="0" w:space="0" w:color="auto"/>
                        <w:right w:val="none" w:sz="0" w:space="0" w:color="auto"/>
                      </w:divBdr>
                      <w:divsChild>
                        <w:div w:id="644428715">
                          <w:marLeft w:val="0"/>
                          <w:marRight w:val="0"/>
                          <w:marTop w:val="0"/>
                          <w:marBottom w:val="0"/>
                          <w:divBdr>
                            <w:top w:val="none" w:sz="0" w:space="0" w:color="auto"/>
                            <w:left w:val="none" w:sz="0" w:space="0" w:color="auto"/>
                            <w:bottom w:val="none" w:sz="0" w:space="0" w:color="auto"/>
                            <w:right w:val="none" w:sz="0" w:space="0" w:color="auto"/>
                          </w:divBdr>
                          <w:divsChild>
                            <w:div w:id="514924547">
                              <w:marLeft w:val="0"/>
                              <w:marRight w:val="0"/>
                              <w:marTop w:val="0"/>
                              <w:marBottom w:val="0"/>
                              <w:divBdr>
                                <w:top w:val="none" w:sz="0" w:space="0" w:color="auto"/>
                                <w:left w:val="none" w:sz="0" w:space="0" w:color="auto"/>
                                <w:bottom w:val="none" w:sz="0" w:space="0" w:color="auto"/>
                                <w:right w:val="none" w:sz="0" w:space="0" w:color="auto"/>
                              </w:divBdr>
                              <w:divsChild>
                                <w:div w:id="1873372084">
                                  <w:marLeft w:val="0"/>
                                  <w:marRight w:val="0"/>
                                  <w:marTop w:val="0"/>
                                  <w:marBottom w:val="0"/>
                                  <w:divBdr>
                                    <w:top w:val="none" w:sz="0" w:space="0" w:color="auto"/>
                                    <w:left w:val="none" w:sz="0" w:space="0" w:color="auto"/>
                                    <w:bottom w:val="none" w:sz="0" w:space="0" w:color="auto"/>
                                    <w:right w:val="none" w:sz="0" w:space="0" w:color="auto"/>
                                  </w:divBdr>
                                  <w:divsChild>
                                    <w:div w:id="202003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576049">
      <w:bodyDiv w:val="1"/>
      <w:marLeft w:val="0"/>
      <w:marRight w:val="0"/>
      <w:marTop w:val="0"/>
      <w:marBottom w:val="0"/>
      <w:divBdr>
        <w:top w:val="none" w:sz="0" w:space="0" w:color="auto"/>
        <w:left w:val="none" w:sz="0" w:space="0" w:color="auto"/>
        <w:bottom w:val="none" w:sz="0" w:space="0" w:color="auto"/>
        <w:right w:val="none" w:sz="0" w:space="0" w:color="auto"/>
      </w:divBdr>
      <w:divsChild>
        <w:div w:id="1080517322">
          <w:marLeft w:val="0"/>
          <w:marRight w:val="0"/>
          <w:marTop w:val="0"/>
          <w:marBottom w:val="150"/>
          <w:divBdr>
            <w:top w:val="none" w:sz="0" w:space="0" w:color="auto"/>
            <w:left w:val="none" w:sz="0" w:space="0" w:color="auto"/>
            <w:bottom w:val="none" w:sz="0" w:space="0" w:color="auto"/>
            <w:right w:val="none" w:sz="0" w:space="0" w:color="auto"/>
          </w:divBdr>
          <w:divsChild>
            <w:div w:id="930239092">
              <w:marLeft w:val="0"/>
              <w:marRight w:val="0"/>
              <w:marTop w:val="0"/>
              <w:marBottom w:val="0"/>
              <w:divBdr>
                <w:top w:val="none" w:sz="0" w:space="0" w:color="auto"/>
                <w:left w:val="none" w:sz="0" w:space="0" w:color="auto"/>
                <w:bottom w:val="none" w:sz="0" w:space="0" w:color="auto"/>
                <w:right w:val="none" w:sz="0" w:space="0" w:color="auto"/>
              </w:divBdr>
              <w:divsChild>
                <w:div w:id="963122716">
                  <w:marLeft w:val="0"/>
                  <w:marRight w:val="0"/>
                  <w:marTop w:val="0"/>
                  <w:marBottom w:val="0"/>
                  <w:divBdr>
                    <w:top w:val="none" w:sz="0" w:space="0" w:color="auto"/>
                    <w:left w:val="none" w:sz="0" w:space="0" w:color="auto"/>
                    <w:bottom w:val="none" w:sz="0" w:space="0" w:color="auto"/>
                    <w:right w:val="none" w:sz="0" w:space="0" w:color="auto"/>
                  </w:divBdr>
                  <w:divsChild>
                    <w:div w:id="235012815">
                      <w:marLeft w:val="0"/>
                      <w:marRight w:val="150"/>
                      <w:marTop w:val="0"/>
                      <w:marBottom w:val="0"/>
                      <w:divBdr>
                        <w:top w:val="none" w:sz="0" w:space="0" w:color="auto"/>
                        <w:left w:val="none" w:sz="0" w:space="0" w:color="auto"/>
                        <w:bottom w:val="none" w:sz="0" w:space="0" w:color="auto"/>
                        <w:right w:val="none" w:sz="0" w:space="0" w:color="auto"/>
                      </w:divBdr>
                      <w:divsChild>
                        <w:div w:id="167768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22836">
          <w:marLeft w:val="0"/>
          <w:marRight w:val="0"/>
          <w:marTop w:val="0"/>
          <w:marBottom w:val="150"/>
          <w:divBdr>
            <w:top w:val="none" w:sz="0" w:space="0" w:color="auto"/>
            <w:left w:val="none" w:sz="0" w:space="0" w:color="auto"/>
            <w:bottom w:val="none" w:sz="0" w:space="0" w:color="auto"/>
            <w:right w:val="none" w:sz="0" w:space="0" w:color="auto"/>
          </w:divBdr>
        </w:div>
        <w:div w:id="1101995800">
          <w:marLeft w:val="0"/>
          <w:marRight w:val="0"/>
          <w:marTop w:val="0"/>
          <w:marBottom w:val="0"/>
          <w:divBdr>
            <w:top w:val="none" w:sz="0" w:space="0" w:color="auto"/>
            <w:left w:val="none" w:sz="0" w:space="0" w:color="auto"/>
            <w:bottom w:val="none" w:sz="0" w:space="0" w:color="auto"/>
            <w:right w:val="none" w:sz="0" w:space="0" w:color="auto"/>
          </w:divBdr>
          <w:divsChild>
            <w:div w:id="14230695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80725239">
      <w:bodyDiv w:val="1"/>
      <w:marLeft w:val="0"/>
      <w:marRight w:val="0"/>
      <w:marTop w:val="0"/>
      <w:marBottom w:val="0"/>
      <w:divBdr>
        <w:top w:val="none" w:sz="0" w:space="0" w:color="auto"/>
        <w:left w:val="none" w:sz="0" w:space="0" w:color="auto"/>
        <w:bottom w:val="none" w:sz="0" w:space="0" w:color="auto"/>
        <w:right w:val="none" w:sz="0" w:space="0" w:color="auto"/>
      </w:divBdr>
      <w:divsChild>
        <w:div w:id="1152915551">
          <w:marLeft w:val="0"/>
          <w:marRight w:val="0"/>
          <w:marTop w:val="0"/>
          <w:marBottom w:val="0"/>
          <w:divBdr>
            <w:top w:val="none" w:sz="0" w:space="0" w:color="auto"/>
            <w:left w:val="none" w:sz="0" w:space="0" w:color="auto"/>
            <w:bottom w:val="none" w:sz="0" w:space="0" w:color="auto"/>
            <w:right w:val="none" w:sz="0" w:space="0" w:color="auto"/>
          </w:divBdr>
        </w:div>
      </w:divsChild>
    </w:div>
    <w:div w:id="1980763446">
      <w:bodyDiv w:val="1"/>
      <w:marLeft w:val="0"/>
      <w:marRight w:val="0"/>
      <w:marTop w:val="0"/>
      <w:marBottom w:val="0"/>
      <w:divBdr>
        <w:top w:val="none" w:sz="0" w:space="0" w:color="auto"/>
        <w:left w:val="none" w:sz="0" w:space="0" w:color="auto"/>
        <w:bottom w:val="none" w:sz="0" w:space="0" w:color="auto"/>
        <w:right w:val="none" w:sz="0" w:space="0" w:color="auto"/>
      </w:divBdr>
      <w:divsChild>
        <w:div w:id="749043310">
          <w:marLeft w:val="0"/>
          <w:marRight w:val="0"/>
          <w:marTop w:val="0"/>
          <w:marBottom w:val="0"/>
          <w:divBdr>
            <w:top w:val="none" w:sz="0" w:space="0" w:color="auto"/>
            <w:left w:val="none" w:sz="0" w:space="0" w:color="auto"/>
            <w:bottom w:val="none" w:sz="0" w:space="0" w:color="auto"/>
            <w:right w:val="none" w:sz="0" w:space="0" w:color="auto"/>
          </w:divBdr>
        </w:div>
        <w:div w:id="1382243492">
          <w:marLeft w:val="0"/>
          <w:marRight w:val="0"/>
          <w:marTop w:val="0"/>
          <w:marBottom w:val="0"/>
          <w:divBdr>
            <w:top w:val="none" w:sz="0" w:space="0" w:color="auto"/>
            <w:left w:val="none" w:sz="0" w:space="0" w:color="auto"/>
            <w:bottom w:val="none" w:sz="0" w:space="0" w:color="auto"/>
            <w:right w:val="none" w:sz="0" w:space="0" w:color="auto"/>
          </w:divBdr>
        </w:div>
      </w:divsChild>
    </w:div>
    <w:div w:id="1980766008">
      <w:bodyDiv w:val="1"/>
      <w:marLeft w:val="0"/>
      <w:marRight w:val="0"/>
      <w:marTop w:val="0"/>
      <w:marBottom w:val="0"/>
      <w:divBdr>
        <w:top w:val="none" w:sz="0" w:space="0" w:color="auto"/>
        <w:left w:val="none" w:sz="0" w:space="0" w:color="auto"/>
        <w:bottom w:val="none" w:sz="0" w:space="0" w:color="auto"/>
        <w:right w:val="none" w:sz="0" w:space="0" w:color="auto"/>
      </w:divBdr>
    </w:div>
    <w:div w:id="1980916515">
      <w:bodyDiv w:val="1"/>
      <w:marLeft w:val="0"/>
      <w:marRight w:val="0"/>
      <w:marTop w:val="0"/>
      <w:marBottom w:val="0"/>
      <w:divBdr>
        <w:top w:val="none" w:sz="0" w:space="0" w:color="auto"/>
        <w:left w:val="none" w:sz="0" w:space="0" w:color="auto"/>
        <w:bottom w:val="none" w:sz="0" w:space="0" w:color="auto"/>
        <w:right w:val="none" w:sz="0" w:space="0" w:color="auto"/>
      </w:divBdr>
      <w:divsChild>
        <w:div w:id="652762267">
          <w:marLeft w:val="0"/>
          <w:marRight w:val="0"/>
          <w:marTop w:val="0"/>
          <w:marBottom w:val="150"/>
          <w:divBdr>
            <w:top w:val="none" w:sz="0" w:space="0" w:color="auto"/>
            <w:left w:val="none" w:sz="0" w:space="0" w:color="auto"/>
            <w:bottom w:val="none" w:sz="0" w:space="0" w:color="auto"/>
            <w:right w:val="none" w:sz="0" w:space="0" w:color="auto"/>
          </w:divBdr>
          <w:divsChild>
            <w:div w:id="1949118638">
              <w:marLeft w:val="0"/>
              <w:marRight w:val="0"/>
              <w:marTop w:val="0"/>
              <w:marBottom w:val="0"/>
              <w:divBdr>
                <w:top w:val="none" w:sz="0" w:space="0" w:color="auto"/>
                <w:left w:val="none" w:sz="0" w:space="0" w:color="auto"/>
                <w:bottom w:val="none" w:sz="0" w:space="0" w:color="auto"/>
                <w:right w:val="none" w:sz="0" w:space="0" w:color="auto"/>
              </w:divBdr>
              <w:divsChild>
                <w:div w:id="101214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396181">
          <w:marLeft w:val="0"/>
          <w:marRight w:val="0"/>
          <w:marTop w:val="0"/>
          <w:marBottom w:val="150"/>
          <w:divBdr>
            <w:top w:val="none" w:sz="0" w:space="0" w:color="auto"/>
            <w:left w:val="none" w:sz="0" w:space="0" w:color="auto"/>
            <w:bottom w:val="none" w:sz="0" w:space="0" w:color="auto"/>
            <w:right w:val="none" w:sz="0" w:space="0" w:color="auto"/>
          </w:divBdr>
        </w:div>
        <w:div w:id="939802304">
          <w:marLeft w:val="0"/>
          <w:marRight w:val="0"/>
          <w:marTop w:val="0"/>
          <w:marBottom w:val="0"/>
          <w:divBdr>
            <w:top w:val="none" w:sz="0" w:space="0" w:color="auto"/>
            <w:left w:val="none" w:sz="0" w:space="0" w:color="auto"/>
            <w:bottom w:val="none" w:sz="0" w:space="0" w:color="auto"/>
            <w:right w:val="none" w:sz="0" w:space="0" w:color="auto"/>
          </w:divBdr>
          <w:divsChild>
            <w:div w:id="8939263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81382040">
      <w:bodyDiv w:val="1"/>
      <w:marLeft w:val="0"/>
      <w:marRight w:val="0"/>
      <w:marTop w:val="0"/>
      <w:marBottom w:val="0"/>
      <w:divBdr>
        <w:top w:val="none" w:sz="0" w:space="0" w:color="auto"/>
        <w:left w:val="none" w:sz="0" w:space="0" w:color="auto"/>
        <w:bottom w:val="none" w:sz="0" w:space="0" w:color="auto"/>
        <w:right w:val="none" w:sz="0" w:space="0" w:color="auto"/>
      </w:divBdr>
    </w:div>
    <w:div w:id="1982273036">
      <w:bodyDiv w:val="1"/>
      <w:marLeft w:val="0"/>
      <w:marRight w:val="0"/>
      <w:marTop w:val="0"/>
      <w:marBottom w:val="0"/>
      <w:divBdr>
        <w:top w:val="none" w:sz="0" w:space="0" w:color="auto"/>
        <w:left w:val="none" w:sz="0" w:space="0" w:color="auto"/>
        <w:bottom w:val="none" w:sz="0" w:space="0" w:color="auto"/>
        <w:right w:val="none" w:sz="0" w:space="0" w:color="auto"/>
      </w:divBdr>
      <w:divsChild>
        <w:div w:id="1224176818">
          <w:marLeft w:val="0"/>
          <w:marRight w:val="0"/>
          <w:marTop w:val="0"/>
          <w:marBottom w:val="0"/>
          <w:divBdr>
            <w:top w:val="none" w:sz="0" w:space="0" w:color="auto"/>
            <w:left w:val="none" w:sz="0" w:space="0" w:color="auto"/>
            <w:bottom w:val="none" w:sz="0" w:space="0" w:color="auto"/>
            <w:right w:val="none" w:sz="0" w:space="0" w:color="auto"/>
          </w:divBdr>
          <w:divsChild>
            <w:div w:id="1218082389">
              <w:marLeft w:val="0"/>
              <w:marRight w:val="0"/>
              <w:marTop w:val="0"/>
              <w:marBottom w:val="0"/>
              <w:divBdr>
                <w:top w:val="none" w:sz="0" w:space="0" w:color="auto"/>
                <w:left w:val="none" w:sz="0" w:space="0" w:color="auto"/>
                <w:bottom w:val="none" w:sz="0" w:space="0" w:color="auto"/>
                <w:right w:val="none" w:sz="0" w:space="0" w:color="auto"/>
              </w:divBdr>
              <w:divsChild>
                <w:div w:id="1286541038">
                  <w:marLeft w:val="0"/>
                  <w:marRight w:val="0"/>
                  <w:marTop w:val="0"/>
                  <w:marBottom w:val="0"/>
                  <w:divBdr>
                    <w:top w:val="none" w:sz="0" w:space="0" w:color="auto"/>
                    <w:left w:val="none" w:sz="0" w:space="0" w:color="auto"/>
                    <w:bottom w:val="none" w:sz="0" w:space="0" w:color="auto"/>
                    <w:right w:val="none" w:sz="0" w:space="0" w:color="auto"/>
                  </w:divBdr>
                  <w:divsChild>
                    <w:div w:id="467941942">
                      <w:marLeft w:val="0"/>
                      <w:marRight w:val="0"/>
                      <w:marTop w:val="0"/>
                      <w:marBottom w:val="0"/>
                      <w:divBdr>
                        <w:top w:val="none" w:sz="0" w:space="0" w:color="auto"/>
                        <w:left w:val="none" w:sz="0" w:space="0" w:color="auto"/>
                        <w:bottom w:val="none" w:sz="0" w:space="0" w:color="auto"/>
                        <w:right w:val="none" w:sz="0" w:space="0" w:color="auto"/>
                      </w:divBdr>
                      <w:divsChild>
                        <w:div w:id="683023106">
                          <w:marLeft w:val="0"/>
                          <w:marRight w:val="0"/>
                          <w:marTop w:val="0"/>
                          <w:marBottom w:val="0"/>
                          <w:divBdr>
                            <w:top w:val="none" w:sz="0" w:space="0" w:color="auto"/>
                            <w:left w:val="none" w:sz="0" w:space="0" w:color="auto"/>
                            <w:bottom w:val="none" w:sz="0" w:space="0" w:color="auto"/>
                            <w:right w:val="none" w:sz="0" w:space="0" w:color="auto"/>
                          </w:divBdr>
                          <w:divsChild>
                            <w:div w:id="2091079664">
                              <w:marLeft w:val="0"/>
                              <w:marRight w:val="0"/>
                              <w:marTop w:val="0"/>
                              <w:marBottom w:val="0"/>
                              <w:divBdr>
                                <w:top w:val="none" w:sz="0" w:space="0" w:color="auto"/>
                                <w:left w:val="none" w:sz="0" w:space="0" w:color="auto"/>
                                <w:bottom w:val="none" w:sz="0" w:space="0" w:color="auto"/>
                                <w:right w:val="none" w:sz="0" w:space="0" w:color="auto"/>
                              </w:divBdr>
                              <w:divsChild>
                                <w:div w:id="2129928751">
                                  <w:marLeft w:val="0"/>
                                  <w:marRight w:val="0"/>
                                  <w:marTop w:val="0"/>
                                  <w:marBottom w:val="85"/>
                                  <w:divBdr>
                                    <w:top w:val="none" w:sz="0" w:space="0" w:color="auto"/>
                                    <w:left w:val="none" w:sz="0" w:space="0" w:color="auto"/>
                                    <w:bottom w:val="none" w:sz="0" w:space="0" w:color="auto"/>
                                    <w:right w:val="none" w:sz="0" w:space="0" w:color="auto"/>
                                  </w:divBdr>
                                  <w:divsChild>
                                    <w:div w:id="1405252469">
                                      <w:marLeft w:val="0"/>
                                      <w:marRight w:val="0"/>
                                      <w:marTop w:val="0"/>
                                      <w:marBottom w:val="0"/>
                                      <w:divBdr>
                                        <w:top w:val="none" w:sz="0" w:space="0" w:color="auto"/>
                                        <w:left w:val="none" w:sz="0" w:space="0" w:color="auto"/>
                                        <w:bottom w:val="none" w:sz="0" w:space="0" w:color="auto"/>
                                        <w:right w:val="none" w:sz="0" w:space="0" w:color="auto"/>
                                      </w:divBdr>
                                      <w:divsChild>
                                        <w:div w:id="1735279373">
                                          <w:marLeft w:val="0"/>
                                          <w:marRight w:val="0"/>
                                          <w:marTop w:val="0"/>
                                          <w:marBottom w:val="0"/>
                                          <w:divBdr>
                                            <w:top w:val="none" w:sz="0" w:space="0" w:color="auto"/>
                                            <w:left w:val="none" w:sz="0" w:space="0" w:color="auto"/>
                                            <w:bottom w:val="none" w:sz="0" w:space="0" w:color="auto"/>
                                            <w:right w:val="none" w:sz="0" w:space="0" w:color="auto"/>
                                          </w:divBdr>
                                          <w:divsChild>
                                            <w:div w:id="1229729885">
                                              <w:marLeft w:val="0"/>
                                              <w:marRight w:val="0"/>
                                              <w:marTop w:val="0"/>
                                              <w:marBottom w:val="0"/>
                                              <w:divBdr>
                                                <w:top w:val="none" w:sz="0" w:space="0" w:color="auto"/>
                                                <w:left w:val="none" w:sz="0" w:space="0" w:color="auto"/>
                                                <w:bottom w:val="none" w:sz="0" w:space="0" w:color="auto"/>
                                                <w:right w:val="none" w:sz="0" w:space="0" w:color="auto"/>
                                              </w:divBdr>
                                              <w:divsChild>
                                                <w:div w:id="61960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2421736">
      <w:bodyDiv w:val="1"/>
      <w:marLeft w:val="0"/>
      <w:marRight w:val="0"/>
      <w:marTop w:val="0"/>
      <w:marBottom w:val="0"/>
      <w:divBdr>
        <w:top w:val="none" w:sz="0" w:space="0" w:color="auto"/>
        <w:left w:val="none" w:sz="0" w:space="0" w:color="auto"/>
        <w:bottom w:val="none" w:sz="0" w:space="0" w:color="auto"/>
        <w:right w:val="none" w:sz="0" w:space="0" w:color="auto"/>
      </w:divBdr>
    </w:div>
    <w:div w:id="1982540421">
      <w:bodyDiv w:val="1"/>
      <w:marLeft w:val="0"/>
      <w:marRight w:val="0"/>
      <w:marTop w:val="0"/>
      <w:marBottom w:val="0"/>
      <w:divBdr>
        <w:top w:val="none" w:sz="0" w:space="0" w:color="auto"/>
        <w:left w:val="none" w:sz="0" w:space="0" w:color="auto"/>
        <w:bottom w:val="none" w:sz="0" w:space="0" w:color="auto"/>
        <w:right w:val="none" w:sz="0" w:space="0" w:color="auto"/>
      </w:divBdr>
    </w:div>
    <w:div w:id="1983193598">
      <w:bodyDiv w:val="1"/>
      <w:marLeft w:val="0"/>
      <w:marRight w:val="0"/>
      <w:marTop w:val="0"/>
      <w:marBottom w:val="0"/>
      <w:divBdr>
        <w:top w:val="none" w:sz="0" w:space="0" w:color="auto"/>
        <w:left w:val="none" w:sz="0" w:space="0" w:color="auto"/>
        <w:bottom w:val="none" w:sz="0" w:space="0" w:color="auto"/>
        <w:right w:val="none" w:sz="0" w:space="0" w:color="auto"/>
      </w:divBdr>
      <w:divsChild>
        <w:div w:id="275256051">
          <w:marLeft w:val="0"/>
          <w:marRight w:val="0"/>
          <w:marTop w:val="0"/>
          <w:marBottom w:val="0"/>
          <w:divBdr>
            <w:top w:val="none" w:sz="0" w:space="0" w:color="auto"/>
            <w:left w:val="none" w:sz="0" w:space="0" w:color="auto"/>
            <w:bottom w:val="dotted" w:sz="6" w:space="4" w:color="DDDDDD"/>
            <w:right w:val="none" w:sz="0" w:space="0" w:color="auto"/>
          </w:divBdr>
          <w:divsChild>
            <w:div w:id="202566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342834">
      <w:bodyDiv w:val="1"/>
      <w:marLeft w:val="0"/>
      <w:marRight w:val="0"/>
      <w:marTop w:val="0"/>
      <w:marBottom w:val="0"/>
      <w:divBdr>
        <w:top w:val="none" w:sz="0" w:space="0" w:color="auto"/>
        <w:left w:val="none" w:sz="0" w:space="0" w:color="auto"/>
        <w:bottom w:val="none" w:sz="0" w:space="0" w:color="auto"/>
        <w:right w:val="none" w:sz="0" w:space="0" w:color="auto"/>
      </w:divBdr>
      <w:divsChild>
        <w:div w:id="479886135">
          <w:marLeft w:val="0"/>
          <w:marRight w:val="0"/>
          <w:marTop w:val="0"/>
          <w:marBottom w:val="150"/>
          <w:divBdr>
            <w:top w:val="none" w:sz="0" w:space="0" w:color="auto"/>
            <w:left w:val="none" w:sz="0" w:space="0" w:color="auto"/>
            <w:bottom w:val="none" w:sz="0" w:space="0" w:color="auto"/>
            <w:right w:val="none" w:sz="0" w:space="0" w:color="auto"/>
          </w:divBdr>
        </w:div>
        <w:div w:id="1137912041">
          <w:marLeft w:val="0"/>
          <w:marRight w:val="0"/>
          <w:marTop w:val="0"/>
          <w:marBottom w:val="0"/>
          <w:divBdr>
            <w:top w:val="none" w:sz="0" w:space="0" w:color="auto"/>
            <w:left w:val="none" w:sz="0" w:space="0" w:color="auto"/>
            <w:bottom w:val="none" w:sz="0" w:space="0" w:color="auto"/>
            <w:right w:val="none" w:sz="0" w:space="0" w:color="auto"/>
          </w:divBdr>
          <w:divsChild>
            <w:div w:id="2114739822">
              <w:marLeft w:val="0"/>
              <w:marRight w:val="0"/>
              <w:marTop w:val="225"/>
              <w:marBottom w:val="225"/>
              <w:divBdr>
                <w:top w:val="none" w:sz="0" w:space="0" w:color="auto"/>
                <w:left w:val="none" w:sz="0" w:space="0" w:color="auto"/>
                <w:bottom w:val="none" w:sz="0" w:space="0" w:color="auto"/>
                <w:right w:val="none" w:sz="0" w:space="0" w:color="auto"/>
              </w:divBdr>
            </w:div>
          </w:divsChild>
        </w:div>
        <w:div w:id="1631352701">
          <w:marLeft w:val="0"/>
          <w:marRight w:val="0"/>
          <w:marTop w:val="0"/>
          <w:marBottom w:val="150"/>
          <w:divBdr>
            <w:top w:val="none" w:sz="0" w:space="0" w:color="auto"/>
            <w:left w:val="none" w:sz="0" w:space="0" w:color="auto"/>
            <w:bottom w:val="none" w:sz="0" w:space="0" w:color="auto"/>
            <w:right w:val="none" w:sz="0" w:space="0" w:color="auto"/>
          </w:divBdr>
          <w:divsChild>
            <w:div w:id="408964754">
              <w:marLeft w:val="0"/>
              <w:marRight w:val="0"/>
              <w:marTop w:val="0"/>
              <w:marBottom w:val="0"/>
              <w:divBdr>
                <w:top w:val="none" w:sz="0" w:space="0" w:color="auto"/>
                <w:left w:val="none" w:sz="0" w:space="0" w:color="auto"/>
                <w:bottom w:val="none" w:sz="0" w:space="0" w:color="auto"/>
                <w:right w:val="none" w:sz="0" w:space="0" w:color="auto"/>
              </w:divBdr>
              <w:divsChild>
                <w:div w:id="128735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851408">
      <w:bodyDiv w:val="1"/>
      <w:marLeft w:val="0"/>
      <w:marRight w:val="0"/>
      <w:marTop w:val="0"/>
      <w:marBottom w:val="0"/>
      <w:divBdr>
        <w:top w:val="none" w:sz="0" w:space="0" w:color="auto"/>
        <w:left w:val="none" w:sz="0" w:space="0" w:color="auto"/>
        <w:bottom w:val="none" w:sz="0" w:space="0" w:color="auto"/>
        <w:right w:val="none" w:sz="0" w:space="0" w:color="auto"/>
      </w:divBdr>
      <w:divsChild>
        <w:div w:id="598833480">
          <w:marLeft w:val="0"/>
          <w:marRight w:val="0"/>
          <w:marTop w:val="0"/>
          <w:marBottom w:val="0"/>
          <w:divBdr>
            <w:top w:val="none" w:sz="0" w:space="0" w:color="auto"/>
            <w:left w:val="none" w:sz="0" w:space="0" w:color="auto"/>
            <w:bottom w:val="dotted" w:sz="6" w:space="4" w:color="DDDDDD"/>
            <w:right w:val="none" w:sz="0" w:space="0" w:color="auto"/>
          </w:divBdr>
          <w:divsChild>
            <w:div w:id="100620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189061">
      <w:bodyDiv w:val="1"/>
      <w:marLeft w:val="0"/>
      <w:marRight w:val="0"/>
      <w:marTop w:val="0"/>
      <w:marBottom w:val="0"/>
      <w:divBdr>
        <w:top w:val="none" w:sz="0" w:space="0" w:color="auto"/>
        <w:left w:val="none" w:sz="0" w:space="0" w:color="auto"/>
        <w:bottom w:val="none" w:sz="0" w:space="0" w:color="auto"/>
        <w:right w:val="none" w:sz="0" w:space="0" w:color="auto"/>
      </w:divBdr>
    </w:div>
    <w:div w:id="1984193224">
      <w:bodyDiv w:val="1"/>
      <w:marLeft w:val="0"/>
      <w:marRight w:val="0"/>
      <w:marTop w:val="0"/>
      <w:marBottom w:val="0"/>
      <w:divBdr>
        <w:top w:val="none" w:sz="0" w:space="0" w:color="auto"/>
        <w:left w:val="none" w:sz="0" w:space="0" w:color="auto"/>
        <w:bottom w:val="none" w:sz="0" w:space="0" w:color="auto"/>
        <w:right w:val="none" w:sz="0" w:space="0" w:color="auto"/>
      </w:divBdr>
    </w:div>
    <w:div w:id="1984381755">
      <w:bodyDiv w:val="1"/>
      <w:marLeft w:val="0"/>
      <w:marRight w:val="0"/>
      <w:marTop w:val="0"/>
      <w:marBottom w:val="0"/>
      <w:divBdr>
        <w:top w:val="none" w:sz="0" w:space="0" w:color="auto"/>
        <w:left w:val="none" w:sz="0" w:space="0" w:color="auto"/>
        <w:bottom w:val="none" w:sz="0" w:space="0" w:color="auto"/>
        <w:right w:val="none" w:sz="0" w:space="0" w:color="auto"/>
      </w:divBdr>
    </w:div>
    <w:div w:id="1984504961">
      <w:bodyDiv w:val="1"/>
      <w:marLeft w:val="0"/>
      <w:marRight w:val="0"/>
      <w:marTop w:val="0"/>
      <w:marBottom w:val="0"/>
      <w:divBdr>
        <w:top w:val="none" w:sz="0" w:space="0" w:color="auto"/>
        <w:left w:val="none" w:sz="0" w:space="0" w:color="auto"/>
        <w:bottom w:val="none" w:sz="0" w:space="0" w:color="auto"/>
        <w:right w:val="none" w:sz="0" w:space="0" w:color="auto"/>
      </w:divBdr>
      <w:divsChild>
        <w:div w:id="1040284910">
          <w:marLeft w:val="0"/>
          <w:marRight w:val="0"/>
          <w:marTop w:val="0"/>
          <w:marBottom w:val="0"/>
          <w:divBdr>
            <w:top w:val="none" w:sz="0" w:space="0" w:color="auto"/>
            <w:left w:val="none" w:sz="0" w:space="0" w:color="auto"/>
            <w:bottom w:val="none" w:sz="0" w:space="0" w:color="auto"/>
            <w:right w:val="none" w:sz="0" w:space="0" w:color="auto"/>
          </w:divBdr>
          <w:divsChild>
            <w:div w:id="35592702">
              <w:marLeft w:val="0"/>
              <w:marRight w:val="0"/>
              <w:marTop w:val="0"/>
              <w:marBottom w:val="0"/>
              <w:divBdr>
                <w:top w:val="none" w:sz="0" w:space="0" w:color="auto"/>
                <w:left w:val="none" w:sz="0" w:space="0" w:color="auto"/>
                <w:bottom w:val="none" w:sz="0" w:space="0" w:color="auto"/>
                <w:right w:val="none" w:sz="0" w:space="0" w:color="auto"/>
              </w:divBdr>
              <w:divsChild>
                <w:div w:id="35462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667311">
          <w:marLeft w:val="0"/>
          <w:marRight w:val="0"/>
          <w:marTop w:val="0"/>
          <w:marBottom w:val="0"/>
          <w:divBdr>
            <w:top w:val="none" w:sz="0" w:space="0" w:color="auto"/>
            <w:left w:val="none" w:sz="0" w:space="0" w:color="auto"/>
            <w:bottom w:val="none" w:sz="0" w:space="0" w:color="auto"/>
            <w:right w:val="none" w:sz="0" w:space="0" w:color="auto"/>
          </w:divBdr>
          <w:divsChild>
            <w:div w:id="1046248889">
              <w:marLeft w:val="0"/>
              <w:marRight w:val="0"/>
              <w:marTop w:val="0"/>
              <w:marBottom w:val="0"/>
              <w:divBdr>
                <w:top w:val="none" w:sz="0" w:space="0" w:color="auto"/>
                <w:left w:val="none" w:sz="0" w:space="0" w:color="auto"/>
                <w:bottom w:val="none" w:sz="0" w:space="0" w:color="auto"/>
                <w:right w:val="none" w:sz="0" w:space="0" w:color="auto"/>
              </w:divBdr>
            </w:div>
          </w:divsChild>
        </w:div>
        <w:div w:id="1793013380">
          <w:marLeft w:val="0"/>
          <w:marRight w:val="0"/>
          <w:marTop w:val="0"/>
          <w:marBottom w:val="75"/>
          <w:divBdr>
            <w:top w:val="none" w:sz="0" w:space="0" w:color="auto"/>
            <w:left w:val="none" w:sz="0" w:space="0" w:color="auto"/>
            <w:bottom w:val="none" w:sz="0" w:space="0" w:color="auto"/>
            <w:right w:val="none" w:sz="0" w:space="0" w:color="auto"/>
          </w:divBdr>
        </w:div>
        <w:div w:id="2086343596">
          <w:marLeft w:val="0"/>
          <w:marRight w:val="0"/>
          <w:marTop w:val="0"/>
          <w:marBottom w:val="300"/>
          <w:divBdr>
            <w:top w:val="none" w:sz="0" w:space="0" w:color="auto"/>
            <w:left w:val="none" w:sz="0" w:space="0" w:color="auto"/>
            <w:bottom w:val="none" w:sz="0" w:space="0" w:color="auto"/>
            <w:right w:val="none" w:sz="0" w:space="0" w:color="auto"/>
          </w:divBdr>
          <w:divsChild>
            <w:div w:id="24951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650511">
      <w:bodyDiv w:val="1"/>
      <w:marLeft w:val="0"/>
      <w:marRight w:val="0"/>
      <w:marTop w:val="0"/>
      <w:marBottom w:val="0"/>
      <w:divBdr>
        <w:top w:val="none" w:sz="0" w:space="0" w:color="auto"/>
        <w:left w:val="none" w:sz="0" w:space="0" w:color="auto"/>
        <w:bottom w:val="none" w:sz="0" w:space="0" w:color="auto"/>
        <w:right w:val="none" w:sz="0" w:space="0" w:color="auto"/>
      </w:divBdr>
      <w:divsChild>
        <w:div w:id="258563605">
          <w:marLeft w:val="0"/>
          <w:marRight w:val="0"/>
          <w:marTop w:val="0"/>
          <w:marBottom w:val="0"/>
          <w:divBdr>
            <w:top w:val="none" w:sz="0" w:space="0" w:color="auto"/>
            <w:left w:val="none" w:sz="0" w:space="0" w:color="auto"/>
            <w:bottom w:val="none" w:sz="0" w:space="0" w:color="auto"/>
            <w:right w:val="none" w:sz="0" w:space="0" w:color="auto"/>
          </w:divBdr>
          <w:divsChild>
            <w:div w:id="724913074">
              <w:marLeft w:val="0"/>
              <w:marRight w:val="0"/>
              <w:marTop w:val="0"/>
              <w:marBottom w:val="0"/>
              <w:divBdr>
                <w:top w:val="none" w:sz="0" w:space="0" w:color="auto"/>
                <w:left w:val="none" w:sz="0" w:space="0" w:color="auto"/>
                <w:bottom w:val="none" w:sz="0" w:space="0" w:color="auto"/>
                <w:right w:val="none" w:sz="0" w:space="0" w:color="auto"/>
              </w:divBdr>
            </w:div>
          </w:divsChild>
        </w:div>
        <w:div w:id="2062096228">
          <w:marLeft w:val="0"/>
          <w:marRight w:val="0"/>
          <w:marTop w:val="240"/>
          <w:marBottom w:val="0"/>
          <w:divBdr>
            <w:top w:val="none" w:sz="0" w:space="0" w:color="auto"/>
            <w:left w:val="none" w:sz="0" w:space="0" w:color="auto"/>
            <w:bottom w:val="none" w:sz="0" w:space="0" w:color="auto"/>
            <w:right w:val="none" w:sz="0" w:space="0" w:color="auto"/>
          </w:divBdr>
        </w:div>
        <w:div w:id="940726905">
          <w:marLeft w:val="0"/>
          <w:marRight w:val="0"/>
          <w:marTop w:val="0"/>
          <w:marBottom w:val="0"/>
          <w:divBdr>
            <w:top w:val="none" w:sz="0" w:space="0" w:color="auto"/>
            <w:left w:val="none" w:sz="0" w:space="0" w:color="auto"/>
            <w:bottom w:val="none" w:sz="0" w:space="0" w:color="auto"/>
            <w:right w:val="none" w:sz="0" w:space="0" w:color="auto"/>
          </w:divBdr>
          <w:divsChild>
            <w:div w:id="1579553855">
              <w:marLeft w:val="-225"/>
              <w:marRight w:val="-225"/>
              <w:marTop w:val="0"/>
              <w:marBottom w:val="0"/>
              <w:divBdr>
                <w:top w:val="none" w:sz="0" w:space="0" w:color="auto"/>
                <w:left w:val="none" w:sz="0" w:space="0" w:color="auto"/>
                <w:bottom w:val="none" w:sz="0" w:space="0" w:color="auto"/>
                <w:right w:val="none" w:sz="0" w:space="0" w:color="auto"/>
              </w:divBdr>
              <w:divsChild>
                <w:div w:id="119694587">
                  <w:marLeft w:val="0"/>
                  <w:marRight w:val="0"/>
                  <w:marTop w:val="0"/>
                  <w:marBottom w:val="0"/>
                  <w:divBdr>
                    <w:top w:val="none" w:sz="0" w:space="0" w:color="auto"/>
                    <w:left w:val="none" w:sz="0" w:space="0" w:color="auto"/>
                    <w:bottom w:val="none" w:sz="0" w:space="0" w:color="auto"/>
                    <w:right w:val="single" w:sz="6" w:space="0" w:color="000000"/>
                  </w:divBdr>
                  <w:divsChild>
                    <w:div w:id="961611510">
                      <w:marLeft w:val="0"/>
                      <w:marRight w:val="0"/>
                      <w:marTop w:val="0"/>
                      <w:marBottom w:val="0"/>
                      <w:divBdr>
                        <w:top w:val="none" w:sz="0" w:space="0" w:color="auto"/>
                        <w:left w:val="none" w:sz="0" w:space="0" w:color="auto"/>
                        <w:bottom w:val="none" w:sz="0" w:space="0" w:color="auto"/>
                        <w:right w:val="none" w:sz="0" w:space="0" w:color="auto"/>
                      </w:divBdr>
                      <w:divsChild>
                        <w:div w:id="1560092865">
                          <w:marLeft w:val="0"/>
                          <w:marRight w:val="0"/>
                          <w:marTop w:val="0"/>
                          <w:marBottom w:val="0"/>
                          <w:divBdr>
                            <w:top w:val="none" w:sz="0" w:space="0" w:color="auto"/>
                            <w:left w:val="none" w:sz="0" w:space="0" w:color="auto"/>
                            <w:bottom w:val="none" w:sz="0" w:space="0" w:color="auto"/>
                            <w:right w:val="none" w:sz="0" w:space="0" w:color="auto"/>
                          </w:divBdr>
                        </w:div>
                        <w:div w:id="182785584">
                          <w:marLeft w:val="0"/>
                          <w:marRight w:val="0"/>
                          <w:marTop w:val="0"/>
                          <w:marBottom w:val="0"/>
                          <w:divBdr>
                            <w:top w:val="none" w:sz="0" w:space="0" w:color="auto"/>
                            <w:left w:val="none" w:sz="0" w:space="0" w:color="auto"/>
                            <w:bottom w:val="none" w:sz="0" w:space="0" w:color="auto"/>
                            <w:right w:val="none" w:sz="0" w:space="0" w:color="auto"/>
                          </w:divBdr>
                        </w:div>
                        <w:div w:id="788624153">
                          <w:marLeft w:val="0"/>
                          <w:marRight w:val="0"/>
                          <w:marTop w:val="0"/>
                          <w:marBottom w:val="0"/>
                          <w:divBdr>
                            <w:top w:val="none" w:sz="0" w:space="0" w:color="auto"/>
                            <w:left w:val="none" w:sz="0" w:space="0" w:color="auto"/>
                            <w:bottom w:val="none" w:sz="0" w:space="0" w:color="auto"/>
                            <w:right w:val="none" w:sz="0" w:space="0" w:color="auto"/>
                          </w:divBdr>
                        </w:div>
                        <w:div w:id="610824407">
                          <w:marLeft w:val="0"/>
                          <w:marRight w:val="0"/>
                          <w:marTop w:val="0"/>
                          <w:marBottom w:val="0"/>
                          <w:divBdr>
                            <w:top w:val="none" w:sz="0" w:space="0" w:color="auto"/>
                            <w:left w:val="none" w:sz="0" w:space="0" w:color="auto"/>
                            <w:bottom w:val="none" w:sz="0" w:space="0" w:color="auto"/>
                            <w:right w:val="none" w:sz="0" w:space="0" w:color="auto"/>
                          </w:divBdr>
                        </w:div>
                        <w:div w:id="53504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32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692285">
      <w:bodyDiv w:val="1"/>
      <w:marLeft w:val="0"/>
      <w:marRight w:val="0"/>
      <w:marTop w:val="0"/>
      <w:marBottom w:val="0"/>
      <w:divBdr>
        <w:top w:val="none" w:sz="0" w:space="0" w:color="auto"/>
        <w:left w:val="none" w:sz="0" w:space="0" w:color="auto"/>
        <w:bottom w:val="none" w:sz="0" w:space="0" w:color="auto"/>
        <w:right w:val="none" w:sz="0" w:space="0" w:color="auto"/>
      </w:divBdr>
      <w:divsChild>
        <w:div w:id="1811362065">
          <w:marLeft w:val="0"/>
          <w:marRight w:val="0"/>
          <w:marTop w:val="0"/>
          <w:marBottom w:val="0"/>
          <w:divBdr>
            <w:top w:val="none" w:sz="0" w:space="0" w:color="auto"/>
            <w:left w:val="none" w:sz="0" w:space="0" w:color="auto"/>
            <w:bottom w:val="dotted" w:sz="6" w:space="4" w:color="DDDDDD"/>
            <w:right w:val="none" w:sz="0" w:space="0" w:color="auto"/>
          </w:divBdr>
          <w:divsChild>
            <w:div w:id="47687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46597">
      <w:bodyDiv w:val="1"/>
      <w:marLeft w:val="0"/>
      <w:marRight w:val="0"/>
      <w:marTop w:val="0"/>
      <w:marBottom w:val="0"/>
      <w:divBdr>
        <w:top w:val="none" w:sz="0" w:space="0" w:color="auto"/>
        <w:left w:val="none" w:sz="0" w:space="0" w:color="auto"/>
        <w:bottom w:val="none" w:sz="0" w:space="0" w:color="auto"/>
        <w:right w:val="none" w:sz="0" w:space="0" w:color="auto"/>
      </w:divBdr>
      <w:divsChild>
        <w:div w:id="881480159">
          <w:marLeft w:val="0"/>
          <w:marRight w:val="0"/>
          <w:marTop w:val="0"/>
          <w:marBottom w:val="0"/>
          <w:divBdr>
            <w:top w:val="none" w:sz="0" w:space="0" w:color="auto"/>
            <w:left w:val="none" w:sz="0" w:space="0" w:color="auto"/>
            <w:bottom w:val="none" w:sz="0" w:space="0" w:color="auto"/>
            <w:right w:val="none" w:sz="0" w:space="0" w:color="auto"/>
          </w:divBdr>
          <w:divsChild>
            <w:div w:id="20234340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84968768">
      <w:bodyDiv w:val="1"/>
      <w:marLeft w:val="0"/>
      <w:marRight w:val="0"/>
      <w:marTop w:val="0"/>
      <w:marBottom w:val="0"/>
      <w:divBdr>
        <w:top w:val="none" w:sz="0" w:space="0" w:color="auto"/>
        <w:left w:val="none" w:sz="0" w:space="0" w:color="auto"/>
        <w:bottom w:val="none" w:sz="0" w:space="0" w:color="auto"/>
        <w:right w:val="none" w:sz="0" w:space="0" w:color="auto"/>
      </w:divBdr>
      <w:divsChild>
        <w:div w:id="209920549">
          <w:marLeft w:val="0"/>
          <w:marRight w:val="0"/>
          <w:marTop w:val="0"/>
          <w:marBottom w:val="0"/>
          <w:divBdr>
            <w:top w:val="none" w:sz="0" w:space="0" w:color="auto"/>
            <w:left w:val="none" w:sz="0" w:space="0" w:color="auto"/>
            <w:bottom w:val="none" w:sz="0" w:space="0" w:color="auto"/>
            <w:right w:val="none" w:sz="0" w:space="0" w:color="auto"/>
          </w:divBdr>
          <w:divsChild>
            <w:div w:id="650670839">
              <w:marLeft w:val="0"/>
              <w:marRight w:val="0"/>
              <w:marTop w:val="0"/>
              <w:marBottom w:val="0"/>
              <w:divBdr>
                <w:top w:val="none" w:sz="0" w:space="0" w:color="auto"/>
                <w:left w:val="none" w:sz="0" w:space="0" w:color="auto"/>
                <w:bottom w:val="none" w:sz="0" w:space="0" w:color="auto"/>
                <w:right w:val="none" w:sz="0" w:space="0" w:color="auto"/>
              </w:divBdr>
              <w:divsChild>
                <w:div w:id="42486370">
                  <w:marLeft w:val="0"/>
                  <w:marRight w:val="0"/>
                  <w:marTop w:val="0"/>
                  <w:marBottom w:val="0"/>
                  <w:divBdr>
                    <w:top w:val="none" w:sz="0" w:space="0" w:color="auto"/>
                    <w:left w:val="none" w:sz="0" w:space="0" w:color="auto"/>
                    <w:bottom w:val="none" w:sz="0" w:space="0" w:color="auto"/>
                    <w:right w:val="none" w:sz="0" w:space="0" w:color="auto"/>
                  </w:divBdr>
                  <w:divsChild>
                    <w:div w:id="2079284981">
                      <w:marLeft w:val="0"/>
                      <w:marRight w:val="0"/>
                      <w:marTop w:val="0"/>
                      <w:marBottom w:val="0"/>
                      <w:divBdr>
                        <w:top w:val="none" w:sz="0" w:space="0" w:color="auto"/>
                        <w:left w:val="none" w:sz="0" w:space="0" w:color="auto"/>
                        <w:bottom w:val="none" w:sz="0" w:space="0" w:color="auto"/>
                        <w:right w:val="none" w:sz="0" w:space="0" w:color="auto"/>
                      </w:divBdr>
                      <w:divsChild>
                        <w:div w:id="1066799001">
                          <w:marLeft w:val="0"/>
                          <w:marRight w:val="0"/>
                          <w:marTop w:val="0"/>
                          <w:marBottom w:val="0"/>
                          <w:divBdr>
                            <w:top w:val="none" w:sz="0" w:space="0" w:color="auto"/>
                            <w:left w:val="none" w:sz="0" w:space="0" w:color="auto"/>
                            <w:bottom w:val="none" w:sz="0" w:space="0" w:color="auto"/>
                            <w:right w:val="none" w:sz="0" w:space="0" w:color="auto"/>
                          </w:divBdr>
                          <w:divsChild>
                            <w:div w:id="1340547753">
                              <w:marLeft w:val="0"/>
                              <w:marRight w:val="0"/>
                              <w:marTop w:val="0"/>
                              <w:marBottom w:val="0"/>
                              <w:divBdr>
                                <w:top w:val="none" w:sz="0" w:space="0" w:color="auto"/>
                                <w:left w:val="none" w:sz="0" w:space="0" w:color="auto"/>
                                <w:bottom w:val="none" w:sz="0" w:space="0" w:color="auto"/>
                                <w:right w:val="none" w:sz="0" w:space="0" w:color="auto"/>
                              </w:divBdr>
                              <w:divsChild>
                                <w:div w:id="1176966401">
                                  <w:marLeft w:val="0"/>
                                  <w:marRight w:val="0"/>
                                  <w:marTop w:val="0"/>
                                  <w:marBottom w:val="0"/>
                                  <w:divBdr>
                                    <w:top w:val="none" w:sz="0" w:space="0" w:color="auto"/>
                                    <w:left w:val="none" w:sz="0" w:space="0" w:color="auto"/>
                                    <w:bottom w:val="none" w:sz="0" w:space="0" w:color="auto"/>
                                    <w:right w:val="none" w:sz="0" w:space="0" w:color="auto"/>
                                  </w:divBdr>
                                  <w:divsChild>
                                    <w:div w:id="29113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5114861">
      <w:bodyDiv w:val="1"/>
      <w:marLeft w:val="0"/>
      <w:marRight w:val="0"/>
      <w:marTop w:val="0"/>
      <w:marBottom w:val="0"/>
      <w:divBdr>
        <w:top w:val="none" w:sz="0" w:space="0" w:color="auto"/>
        <w:left w:val="none" w:sz="0" w:space="0" w:color="auto"/>
        <w:bottom w:val="none" w:sz="0" w:space="0" w:color="auto"/>
        <w:right w:val="none" w:sz="0" w:space="0" w:color="auto"/>
      </w:divBdr>
      <w:divsChild>
        <w:div w:id="1395079922">
          <w:marLeft w:val="0"/>
          <w:marRight w:val="0"/>
          <w:marTop w:val="0"/>
          <w:marBottom w:val="225"/>
          <w:divBdr>
            <w:top w:val="none" w:sz="0" w:space="0" w:color="auto"/>
            <w:left w:val="none" w:sz="0" w:space="0" w:color="auto"/>
            <w:bottom w:val="single" w:sz="6" w:space="0" w:color="CCCCCC"/>
            <w:right w:val="none" w:sz="0" w:space="0" w:color="auto"/>
          </w:divBdr>
        </w:div>
        <w:div w:id="1924876670">
          <w:marLeft w:val="0"/>
          <w:marRight w:val="0"/>
          <w:marTop w:val="0"/>
          <w:marBottom w:val="0"/>
          <w:divBdr>
            <w:top w:val="none" w:sz="0" w:space="0" w:color="auto"/>
            <w:left w:val="none" w:sz="0" w:space="0" w:color="auto"/>
            <w:bottom w:val="none" w:sz="0" w:space="0" w:color="auto"/>
            <w:right w:val="none" w:sz="0" w:space="0" w:color="auto"/>
          </w:divBdr>
          <w:divsChild>
            <w:div w:id="1867676413">
              <w:marLeft w:val="0"/>
              <w:marRight w:val="0"/>
              <w:marTop w:val="0"/>
              <w:marBottom w:val="225"/>
              <w:divBdr>
                <w:top w:val="none" w:sz="0" w:space="0" w:color="auto"/>
                <w:left w:val="none" w:sz="0" w:space="0" w:color="auto"/>
                <w:bottom w:val="none" w:sz="0" w:space="0" w:color="auto"/>
                <w:right w:val="none" w:sz="0" w:space="0" w:color="auto"/>
              </w:divBdr>
              <w:divsChild>
                <w:div w:id="1838113625">
                  <w:marLeft w:val="0"/>
                  <w:marRight w:val="0"/>
                  <w:marTop w:val="0"/>
                  <w:marBottom w:val="0"/>
                  <w:divBdr>
                    <w:top w:val="none" w:sz="0" w:space="0" w:color="auto"/>
                    <w:left w:val="none" w:sz="0" w:space="0" w:color="auto"/>
                    <w:bottom w:val="none" w:sz="0" w:space="0" w:color="auto"/>
                    <w:right w:val="none" w:sz="0" w:space="0" w:color="auto"/>
                  </w:divBdr>
                </w:div>
              </w:divsChild>
            </w:div>
            <w:div w:id="195297470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85501130">
      <w:bodyDiv w:val="1"/>
      <w:marLeft w:val="0"/>
      <w:marRight w:val="0"/>
      <w:marTop w:val="0"/>
      <w:marBottom w:val="0"/>
      <w:divBdr>
        <w:top w:val="none" w:sz="0" w:space="0" w:color="auto"/>
        <w:left w:val="none" w:sz="0" w:space="0" w:color="auto"/>
        <w:bottom w:val="none" w:sz="0" w:space="0" w:color="auto"/>
        <w:right w:val="none" w:sz="0" w:space="0" w:color="auto"/>
      </w:divBdr>
      <w:divsChild>
        <w:div w:id="1271934805">
          <w:marLeft w:val="0"/>
          <w:marRight w:val="0"/>
          <w:marTop w:val="0"/>
          <w:marBottom w:val="0"/>
          <w:divBdr>
            <w:top w:val="none" w:sz="0" w:space="0" w:color="auto"/>
            <w:left w:val="none" w:sz="0" w:space="0" w:color="auto"/>
            <w:bottom w:val="dotted" w:sz="6" w:space="4" w:color="DDDDDD"/>
            <w:right w:val="none" w:sz="0" w:space="0" w:color="auto"/>
          </w:divBdr>
          <w:divsChild>
            <w:div w:id="16436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09050">
      <w:bodyDiv w:val="1"/>
      <w:marLeft w:val="0"/>
      <w:marRight w:val="0"/>
      <w:marTop w:val="0"/>
      <w:marBottom w:val="0"/>
      <w:divBdr>
        <w:top w:val="none" w:sz="0" w:space="0" w:color="auto"/>
        <w:left w:val="none" w:sz="0" w:space="0" w:color="auto"/>
        <w:bottom w:val="none" w:sz="0" w:space="0" w:color="auto"/>
        <w:right w:val="none" w:sz="0" w:space="0" w:color="auto"/>
      </w:divBdr>
      <w:divsChild>
        <w:div w:id="854078424">
          <w:marLeft w:val="0"/>
          <w:marRight w:val="0"/>
          <w:marTop w:val="0"/>
          <w:marBottom w:val="0"/>
          <w:divBdr>
            <w:top w:val="none" w:sz="0" w:space="0" w:color="auto"/>
            <w:left w:val="none" w:sz="0" w:space="0" w:color="auto"/>
            <w:bottom w:val="dotted" w:sz="6" w:space="4" w:color="DDDDDD"/>
            <w:right w:val="none" w:sz="0" w:space="0" w:color="auto"/>
          </w:divBdr>
          <w:divsChild>
            <w:div w:id="58264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85615">
      <w:bodyDiv w:val="1"/>
      <w:marLeft w:val="0"/>
      <w:marRight w:val="0"/>
      <w:marTop w:val="0"/>
      <w:marBottom w:val="0"/>
      <w:divBdr>
        <w:top w:val="none" w:sz="0" w:space="0" w:color="auto"/>
        <w:left w:val="none" w:sz="0" w:space="0" w:color="auto"/>
        <w:bottom w:val="none" w:sz="0" w:space="0" w:color="auto"/>
        <w:right w:val="none" w:sz="0" w:space="0" w:color="auto"/>
      </w:divBdr>
    </w:div>
    <w:div w:id="1986356188">
      <w:bodyDiv w:val="1"/>
      <w:marLeft w:val="0"/>
      <w:marRight w:val="0"/>
      <w:marTop w:val="0"/>
      <w:marBottom w:val="0"/>
      <w:divBdr>
        <w:top w:val="none" w:sz="0" w:space="0" w:color="auto"/>
        <w:left w:val="none" w:sz="0" w:space="0" w:color="auto"/>
        <w:bottom w:val="none" w:sz="0" w:space="0" w:color="auto"/>
        <w:right w:val="none" w:sz="0" w:space="0" w:color="auto"/>
      </w:divBdr>
      <w:divsChild>
        <w:div w:id="1292129469">
          <w:marLeft w:val="0"/>
          <w:marRight w:val="0"/>
          <w:marTop w:val="0"/>
          <w:marBottom w:val="0"/>
          <w:divBdr>
            <w:top w:val="none" w:sz="0" w:space="0" w:color="auto"/>
            <w:left w:val="none" w:sz="0" w:space="0" w:color="auto"/>
            <w:bottom w:val="dotted" w:sz="6" w:space="4" w:color="DDDDDD"/>
            <w:right w:val="none" w:sz="0" w:space="0" w:color="auto"/>
          </w:divBdr>
          <w:divsChild>
            <w:div w:id="14164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3367">
      <w:bodyDiv w:val="1"/>
      <w:marLeft w:val="0"/>
      <w:marRight w:val="0"/>
      <w:marTop w:val="0"/>
      <w:marBottom w:val="0"/>
      <w:divBdr>
        <w:top w:val="none" w:sz="0" w:space="0" w:color="auto"/>
        <w:left w:val="none" w:sz="0" w:space="0" w:color="auto"/>
        <w:bottom w:val="none" w:sz="0" w:space="0" w:color="auto"/>
        <w:right w:val="none" w:sz="0" w:space="0" w:color="auto"/>
      </w:divBdr>
      <w:divsChild>
        <w:div w:id="1679455627">
          <w:marLeft w:val="0"/>
          <w:marRight w:val="0"/>
          <w:marTop w:val="0"/>
          <w:marBottom w:val="0"/>
          <w:divBdr>
            <w:top w:val="none" w:sz="0" w:space="0" w:color="auto"/>
            <w:left w:val="none" w:sz="0" w:space="0" w:color="auto"/>
            <w:bottom w:val="dotted" w:sz="6" w:space="4" w:color="DDDDDD"/>
            <w:right w:val="none" w:sz="0" w:space="0" w:color="auto"/>
          </w:divBdr>
        </w:div>
      </w:divsChild>
    </w:div>
    <w:div w:id="1987976329">
      <w:bodyDiv w:val="1"/>
      <w:marLeft w:val="0"/>
      <w:marRight w:val="0"/>
      <w:marTop w:val="0"/>
      <w:marBottom w:val="0"/>
      <w:divBdr>
        <w:top w:val="none" w:sz="0" w:space="0" w:color="auto"/>
        <w:left w:val="none" w:sz="0" w:space="0" w:color="auto"/>
        <w:bottom w:val="none" w:sz="0" w:space="0" w:color="auto"/>
        <w:right w:val="none" w:sz="0" w:space="0" w:color="auto"/>
      </w:divBdr>
    </w:div>
    <w:div w:id="1988430624">
      <w:bodyDiv w:val="1"/>
      <w:marLeft w:val="0"/>
      <w:marRight w:val="0"/>
      <w:marTop w:val="0"/>
      <w:marBottom w:val="0"/>
      <w:divBdr>
        <w:top w:val="none" w:sz="0" w:space="0" w:color="auto"/>
        <w:left w:val="none" w:sz="0" w:space="0" w:color="auto"/>
        <w:bottom w:val="none" w:sz="0" w:space="0" w:color="auto"/>
        <w:right w:val="none" w:sz="0" w:space="0" w:color="auto"/>
      </w:divBdr>
      <w:divsChild>
        <w:div w:id="1827353076">
          <w:marLeft w:val="0"/>
          <w:marRight w:val="0"/>
          <w:marTop w:val="0"/>
          <w:marBottom w:val="0"/>
          <w:divBdr>
            <w:top w:val="none" w:sz="0" w:space="0" w:color="auto"/>
            <w:left w:val="none" w:sz="0" w:space="0" w:color="auto"/>
            <w:bottom w:val="dotted" w:sz="6" w:space="4" w:color="DDDDDD"/>
            <w:right w:val="none" w:sz="0" w:space="0" w:color="auto"/>
          </w:divBdr>
        </w:div>
      </w:divsChild>
    </w:div>
    <w:div w:id="1988432370">
      <w:bodyDiv w:val="1"/>
      <w:marLeft w:val="0"/>
      <w:marRight w:val="0"/>
      <w:marTop w:val="0"/>
      <w:marBottom w:val="0"/>
      <w:divBdr>
        <w:top w:val="none" w:sz="0" w:space="0" w:color="auto"/>
        <w:left w:val="none" w:sz="0" w:space="0" w:color="auto"/>
        <w:bottom w:val="none" w:sz="0" w:space="0" w:color="auto"/>
        <w:right w:val="none" w:sz="0" w:space="0" w:color="auto"/>
      </w:divBdr>
      <w:divsChild>
        <w:div w:id="1208680965">
          <w:marLeft w:val="0"/>
          <w:marRight w:val="0"/>
          <w:marTop w:val="0"/>
          <w:marBottom w:val="0"/>
          <w:divBdr>
            <w:top w:val="none" w:sz="0" w:space="0" w:color="auto"/>
            <w:left w:val="none" w:sz="0" w:space="0" w:color="auto"/>
            <w:bottom w:val="none" w:sz="0" w:space="0" w:color="auto"/>
            <w:right w:val="none" w:sz="0" w:space="0" w:color="auto"/>
          </w:divBdr>
        </w:div>
      </w:divsChild>
    </w:div>
    <w:div w:id="1988514962">
      <w:bodyDiv w:val="1"/>
      <w:marLeft w:val="0"/>
      <w:marRight w:val="0"/>
      <w:marTop w:val="0"/>
      <w:marBottom w:val="0"/>
      <w:divBdr>
        <w:top w:val="none" w:sz="0" w:space="0" w:color="auto"/>
        <w:left w:val="none" w:sz="0" w:space="0" w:color="auto"/>
        <w:bottom w:val="none" w:sz="0" w:space="0" w:color="auto"/>
        <w:right w:val="none" w:sz="0" w:space="0" w:color="auto"/>
      </w:divBdr>
    </w:div>
    <w:div w:id="1988702012">
      <w:bodyDiv w:val="1"/>
      <w:marLeft w:val="0"/>
      <w:marRight w:val="0"/>
      <w:marTop w:val="0"/>
      <w:marBottom w:val="0"/>
      <w:divBdr>
        <w:top w:val="none" w:sz="0" w:space="0" w:color="auto"/>
        <w:left w:val="none" w:sz="0" w:space="0" w:color="auto"/>
        <w:bottom w:val="none" w:sz="0" w:space="0" w:color="auto"/>
        <w:right w:val="none" w:sz="0" w:space="0" w:color="auto"/>
      </w:divBdr>
      <w:divsChild>
        <w:div w:id="492066865">
          <w:marLeft w:val="0"/>
          <w:marRight w:val="0"/>
          <w:marTop w:val="0"/>
          <w:marBottom w:val="150"/>
          <w:divBdr>
            <w:top w:val="none" w:sz="0" w:space="0" w:color="auto"/>
            <w:left w:val="none" w:sz="0" w:space="0" w:color="auto"/>
            <w:bottom w:val="none" w:sz="0" w:space="0" w:color="auto"/>
            <w:right w:val="none" w:sz="0" w:space="0" w:color="auto"/>
          </w:divBdr>
          <w:divsChild>
            <w:div w:id="845555655">
              <w:marLeft w:val="0"/>
              <w:marRight w:val="0"/>
              <w:marTop w:val="0"/>
              <w:marBottom w:val="0"/>
              <w:divBdr>
                <w:top w:val="none" w:sz="0" w:space="0" w:color="auto"/>
                <w:left w:val="none" w:sz="0" w:space="0" w:color="auto"/>
                <w:bottom w:val="none" w:sz="0" w:space="0" w:color="auto"/>
                <w:right w:val="none" w:sz="0" w:space="0" w:color="auto"/>
              </w:divBdr>
              <w:divsChild>
                <w:div w:id="16667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645012">
          <w:marLeft w:val="0"/>
          <w:marRight w:val="0"/>
          <w:marTop w:val="0"/>
          <w:marBottom w:val="0"/>
          <w:divBdr>
            <w:top w:val="none" w:sz="0" w:space="0" w:color="auto"/>
            <w:left w:val="none" w:sz="0" w:space="0" w:color="auto"/>
            <w:bottom w:val="none" w:sz="0" w:space="0" w:color="auto"/>
            <w:right w:val="none" w:sz="0" w:space="0" w:color="auto"/>
          </w:divBdr>
          <w:divsChild>
            <w:div w:id="69893338">
              <w:marLeft w:val="0"/>
              <w:marRight w:val="0"/>
              <w:marTop w:val="0"/>
              <w:marBottom w:val="150"/>
              <w:divBdr>
                <w:top w:val="none" w:sz="0" w:space="0" w:color="auto"/>
                <w:left w:val="none" w:sz="0" w:space="0" w:color="auto"/>
                <w:bottom w:val="none" w:sz="0" w:space="0" w:color="auto"/>
                <w:right w:val="none" w:sz="0" w:space="0" w:color="auto"/>
              </w:divBdr>
            </w:div>
            <w:div w:id="1188911763">
              <w:marLeft w:val="0"/>
              <w:marRight w:val="0"/>
              <w:marTop w:val="0"/>
              <w:marBottom w:val="0"/>
              <w:divBdr>
                <w:top w:val="none" w:sz="0" w:space="0" w:color="auto"/>
                <w:left w:val="none" w:sz="0" w:space="0" w:color="auto"/>
                <w:bottom w:val="none" w:sz="0" w:space="0" w:color="auto"/>
                <w:right w:val="none" w:sz="0" w:space="0" w:color="auto"/>
              </w:divBdr>
              <w:divsChild>
                <w:div w:id="9748685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988707172">
      <w:bodyDiv w:val="1"/>
      <w:marLeft w:val="0"/>
      <w:marRight w:val="0"/>
      <w:marTop w:val="0"/>
      <w:marBottom w:val="0"/>
      <w:divBdr>
        <w:top w:val="none" w:sz="0" w:space="0" w:color="auto"/>
        <w:left w:val="none" w:sz="0" w:space="0" w:color="auto"/>
        <w:bottom w:val="none" w:sz="0" w:space="0" w:color="auto"/>
        <w:right w:val="none" w:sz="0" w:space="0" w:color="auto"/>
      </w:divBdr>
      <w:divsChild>
        <w:div w:id="1101071717">
          <w:marLeft w:val="0"/>
          <w:marRight w:val="0"/>
          <w:marTop w:val="0"/>
          <w:marBottom w:val="0"/>
          <w:divBdr>
            <w:top w:val="none" w:sz="0" w:space="0" w:color="auto"/>
            <w:left w:val="none" w:sz="0" w:space="0" w:color="auto"/>
            <w:bottom w:val="none" w:sz="0" w:space="0" w:color="auto"/>
            <w:right w:val="none" w:sz="0" w:space="0" w:color="auto"/>
          </w:divBdr>
          <w:divsChild>
            <w:div w:id="1745956358">
              <w:marLeft w:val="0"/>
              <w:marRight w:val="0"/>
              <w:marTop w:val="0"/>
              <w:marBottom w:val="0"/>
              <w:divBdr>
                <w:top w:val="none" w:sz="0" w:space="0" w:color="auto"/>
                <w:left w:val="none" w:sz="0" w:space="0" w:color="auto"/>
                <w:bottom w:val="none" w:sz="0" w:space="0" w:color="auto"/>
                <w:right w:val="none" w:sz="0" w:space="0" w:color="auto"/>
              </w:divBdr>
            </w:div>
          </w:divsChild>
        </w:div>
        <w:div w:id="1909070576">
          <w:marLeft w:val="0"/>
          <w:marRight w:val="0"/>
          <w:marTop w:val="240"/>
          <w:marBottom w:val="0"/>
          <w:divBdr>
            <w:top w:val="none" w:sz="0" w:space="0" w:color="auto"/>
            <w:left w:val="none" w:sz="0" w:space="0" w:color="auto"/>
            <w:bottom w:val="none" w:sz="0" w:space="0" w:color="auto"/>
            <w:right w:val="none" w:sz="0" w:space="0" w:color="auto"/>
          </w:divBdr>
        </w:div>
      </w:divsChild>
    </w:div>
    <w:div w:id="1988821156">
      <w:bodyDiv w:val="1"/>
      <w:marLeft w:val="0"/>
      <w:marRight w:val="0"/>
      <w:marTop w:val="0"/>
      <w:marBottom w:val="0"/>
      <w:divBdr>
        <w:top w:val="none" w:sz="0" w:space="0" w:color="auto"/>
        <w:left w:val="none" w:sz="0" w:space="0" w:color="auto"/>
        <w:bottom w:val="none" w:sz="0" w:space="0" w:color="auto"/>
        <w:right w:val="none" w:sz="0" w:space="0" w:color="auto"/>
      </w:divBdr>
    </w:div>
    <w:div w:id="1989240783">
      <w:bodyDiv w:val="1"/>
      <w:marLeft w:val="0"/>
      <w:marRight w:val="0"/>
      <w:marTop w:val="0"/>
      <w:marBottom w:val="0"/>
      <w:divBdr>
        <w:top w:val="none" w:sz="0" w:space="0" w:color="auto"/>
        <w:left w:val="none" w:sz="0" w:space="0" w:color="auto"/>
        <w:bottom w:val="none" w:sz="0" w:space="0" w:color="auto"/>
        <w:right w:val="none" w:sz="0" w:space="0" w:color="auto"/>
      </w:divBdr>
    </w:div>
    <w:div w:id="1989819769">
      <w:bodyDiv w:val="1"/>
      <w:marLeft w:val="0"/>
      <w:marRight w:val="0"/>
      <w:marTop w:val="0"/>
      <w:marBottom w:val="0"/>
      <w:divBdr>
        <w:top w:val="none" w:sz="0" w:space="0" w:color="auto"/>
        <w:left w:val="none" w:sz="0" w:space="0" w:color="auto"/>
        <w:bottom w:val="none" w:sz="0" w:space="0" w:color="auto"/>
        <w:right w:val="none" w:sz="0" w:space="0" w:color="auto"/>
      </w:divBdr>
    </w:div>
    <w:div w:id="1990017632">
      <w:bodyDiv w:val="1"/>
      <w:marLeft w:val="0"/>
      <w:marRight w:val="0"/>
      <w:marTop w:val="0"/>
      <w:marBottom w:val="0"/>
      <w:divBdr>
        <w:top w:val="none" w:sz="0" w:space="0" w:color="auto"/>
        <w:left w:val="none" w:sz="0" w:space="0" w:color="auto"/>
        <w:bottom w:val="none" w:sz="0" w:space="0" w:color="auto"/>
        <w:right w:val="none" w:sz="0" w:space="0" w:color="auto"/>
      </w:divBdr>
      <w:divsChild>
        <w:div w:id="73623682">
          <w:marLeft w:val="0"/>
          <w:marRight w:val="0"/>
          <w:marTop w:val="0"/>
          <w:marBottom w:val="0"/>
          <w:divBdr>
            <w:top w:val="none" w:sz="0" w:space="0" w:color="auto"/>
            <w:left w:val="none" w:sz="0" w:space="0" w:color="auto"/>
            <w:bottom w:val="dotted" w:sz="6" w:space="4" w:color="DDDDDD"/>
            <w:right w:val="none" w:sz="0" w:space="0" w:color="auto"/>
          </w:divBdr>
          <w:divsChild>
            <w:div w:id="169006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282797">
      <w:bodyDiv w:val="1"/>
      <w:marLeft w:val="0"/>
      <w:marRight w:val="0"/>
      <w:marTop w:val="0"/>
      <w:marBottom w:val="0"/>
      <w:divBdr>
        <w:top w:val="none" w:sz="0" w:space="0" w:color="auto"/>
        <w:left w:val="none" w:sz="0" w:space="0" w:color="auto"/>
        <w:bottom w:val="none" w:sz="0" w:space="0" w:color="auto"/>
        <w:right w:val="none" w:sz="0" w:space="0" w:color="auto"/>
      </w:divBdr>
    </w:div>
    <w:div w:id="1990284280">
      <w:bodyDiv w:val="1"/>
      <w:marLeft w:val="0"/>
      <w:marRight w:val="0"/>
      <w:marTop w:val="0"/>
      <w:marBottom w:val="0"/>
      <w:divBdr>
        <w:top w:val="none" w:sz="0" w:space="0" w:color="auto"/>
        <w:left w:val="none" w:sz="0" w:space="0" w:color="auto"/>
        <w:bottom w:val="none" w:sz="0" w:space="0" w:color="auto"/>
        <w:right w:val="none" w:sz="0" w:space="0" w:color="auto"/>
      </w:divBdr>
      <w:divsChild>
        <w:div w:id="698894124">
          <w:marLeft w:val="0"/>
          <w:marRight w:val="0"/>
          <w:marTop w:val="0"/>
          <w:marBottom w:val="0"/>
          <w:divBdr>
            <w:top w:val="none" w:sz="0" w:space="0" w:color="auto"/>
            <w:left w:val="none" w:sz="0" w:space="0" w:color="auto"/>
            <w:bottom w:val="none" w:sz="0" w:space="0" w:color="auto"/>
            <w:right w:val="none" w:sz="0" w:space="0" w:color="auto"/>
          </w:divBdr>
          <w:divsChild>
            <w:div w:id="1063674261">
              <w:marLeft w:val="2700"/>
              <w:marRight w:val="0"/>
              <w:marTop w:val="0"/>
              <w:marBottom w:val="0"/>
              <w:divBdr>
                <w:top w:val="none" w:sz="0" w:space="0" w:color="auto"/>
                <w:left w:val="none" w:sz="0" w:space="0" w:color="auto"/>
                <w:bottom w:val="none" w:sz="0" w:space="0" w:color="auto"/>
                <w:right w:val="none" w:sz="0" w:space="0" w:color="auto"/>
              </w:divBdr>
              <w:divsChild>
                <w:div w:id="206074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400979">
      <w:bodyDiv w:val="1"/>
      <w:marLeft w:val="0"/>
      <w:marRight w:val="0"/>
      <w:marTop w:val="0"/>
      <w:marBottom w:val="0"/>
      <w:divBdr>
        <w:top w:val="none" w:sz="0" w:space="0" w:color="auto"/>
        <w:left w:val="none" w:sz="0" w:space="0" w:color="auto"/>
        <w:bottom w:val="none" w:sz="0" w:space="0" w:color="auto"/>
        <w:right w:val="none" w:sz="0" w:space="0" w:color="auto"/>
      </w:divBdr>
    </w:div>
    <w:div w:id="1991598593">
      <w:bodyDiv w:val="1"/>
      <w:marLeft w:val="0"/>
      <w:marRight w:val="0"/>
      <w:marTop w:val="0"/>
      <w:marBottom w:val="0"/>
      <w:divBdr>
        <w:top w:val="none" w:sz="0" w:space="0" w:color="auto"/>
        <w:left w:val="none" w:sz="0" w:space="0" w:color="auto"/>
        <w:bottom w:val="none" w:sz="0" w:space="0" w:color="auto"/>
        <w:right w:val="none" w:sz="0" w:space="0" w:color="auto"/>
      </w:divBdr>
      <w:divsChild>
        <w:div w:id="2104103563">
          <w:marLeft w:val="0"/>
          <w:marRight w:val="0"/>
          <w:marTop w:val="0"/>
          <w:marBottom w:val="0"/>
          <w:divBdr>
            <w:top w:val="none" w:sz="0" w:space="0" w:color="auto"/>
            <w:left w:val="none" w:sz="0" w:space="0" w:color="auto"/>
            <w:bottom w:val="none" w:sz="0" w:space="0" w:color="auto"/>
            <w:right w:val="none" w:sz="0" w:space="0" w:color="auto"/>
          </w:divBdr>
          <w:divsChild>
            <w:div w:id="16142845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92322097">
      <w:bodyDiv w:val="1"/>
      <w:marLeft w:val="0"/>
      <w:marRight w:val="0"/>
      <w:marTop w:val="0"/>
      <w:marBottom w:val="0"/>
      <w:divBdr>
        <w:top w:val="none" w:sz="0" w:space="0" w:color="auto"/>
        <w:left w:val="none" w:sz="0" w:space="0" w:color="auto"/>
        <w:bottom w:val="none" w:sz="0" w:space="0" w:color="auto"/>
        <w:right w:val="none" w:sz="0" w:space="0" w:color="auto"/>
      </w:divBdr>
      <w:divsChild>
        <w:div w:id="305009865">
          <w:marLeft w:val="0"/>
          <w:marRight w:val="0"/>
          <w:marTop w:val="0"/>
          <w:marBottom w:val="0"/>
          <w:divBdr>
            <w:top w:val="none" w:sz="0" w:space="0" w:color="auto"/>
            <w:left w:val="none" w:sz="0" w:space="0" w:color="auto"/>
            <w:bottom w:val="none" w:sz="0" w:space="0" w:color="auto"/>
            <w:right w:val="none" w:sz="0" w:space="0" w:color="auto"/>
          </w:divBdr>
          <w:divsChild>
            <w:div w:id="729117721">
              <w:marLeft w:val="0"/>
              <w:marRight w:val="0"/>
              <w:marTop w:val="225"/>
              <w:marBottom w:val="225"/>
              <w:divBdr>
                <w:top w:val="none" w:sz="0" w:space="0" w:color="auto"/>
                <w:left w:val="none" w:sz="0" w:space="0" w:color="auto"/>
                <w:bottom w:val="none" w:sz="0" w:space="0" w:color="auto"/>
                <w:right w:val="none" w:sz="0" w:space="0" w:color="auto"/>
              </w:divBdr>
            </w:div>
          </w:divsChild>
        </w:div>
        <w:div w:id="366882048">
          <w:marLeft w:val="0"/>
          <w:marRight w:val="0"/>
          <w:marTop w:val="0"/>
          <w:marBottom w:val="150"/>
          <w:divBdr>
            <w:top w:val="none" w:sz="0" w:space="0" w:color="auto"/>
            <w:left w:val="none" w:sz="0" w:space="0" w:color="auto"/>
            <w:bottom w:val="none" w:sz="0" w:space="0" w:color="auto"/>
            <w:right w:val="none" w:sz="0" w:space="0" w:color="auto"/>
          </w:divBdr>
          <w:divsChild>
            <w:div w:id="11340528">
              <w:marLeft w:val="0"/>
              <w:marRight w:val="0"/>
              <w:marTop w:val="0"/>
              <w:marBottom w:val="0"/>
              <w:divBdr>
                <w:top w:val="none" w:sz="0" w:space="0" w:color="auto"/>
                <w:left w:val="none" w:sz="0" w:space="0" w:color="auto"/>
                <w:bottom w:val="none" w:sz="0" w:space="0" w:color="auto"/>
                <w:right w:val="none" w:sz="0" w:space="0" w:color="auto"/>
              </w:divBdr>
              <w:divsChild>
                <w:div w:id="45168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709195">
          <w:marLeft w:val="0"/>
          <w:marRight w:val="0"/>
          <w:marTop w:val="0"/>
          <w:marBottom w:val="150"/>
          <w:divBdr>
            <w:top w:val="none" w:sz="0" w:space="0" w:color="auto"/>
            <w:left w:val="none" w:sz="0" w:space="0" w:color="auto"/>
            <w:bottom w:val="none" w:sz="0" w:space="0" w:color="auto"/>
            <w:right w:val="none" w:sz="0" w:space="0" w:color="auto"/>
          </w:divBdr>
        </w:div>
      </w:divsChild>
    </w:div>
    <w:div w:id="1992633469">
      <w:bodyDiv w:val="1"/>
      <w:marLeft w:val="0"/>
      <w:marRight w:val="0"/>
      <w:marTop w:val="0"/>
      <w:marBottom w:val="0"/>
      <w:divBdr>
        <w:top w:val="none" w:sz="0" w:space="0" w:color="auto"/>
        <w:left w:val="none" w:sz="0" w:space="0" w:color="auto"/>
        <w:bottom w:val="none" w:sz="0" w:space="0" w:color="auto"/>
        <w:right w:val="none" w:sz="0" w:space="0" w:color="auto"/>
      </w:divBdr>
      <w:divsChild>
        <w:div w:id="1987007951">
          <w:marLeft w:val="0"/>
          <w:marRight w:val="0"/>
          <w:marTop w:val="0"/>
          <w:marBottom w:val="450"/>
          <w:divBdr>
            <w:top w:val="none" w:sz="0" w:space="0" w:color="auto"/>
            <w:left w:val="none" w:sz="0" w:space="0" w:color="auto"/>
            <w:bottom w:val="none" w:sz="0" w:space="0" w:color="auto"/>
            <w:right w:val="none" w:sz="0" w:space="0" w:color="auto"/>
          </w:divBdr>
          <w:divsChild>
            <w:div w:id="152109386">
              <w:marLeft w:val="0"/>
              <w:marRight w:val="0"/>
              <w:marTop w:val="0"/>
              <w:marBottom w:val="0"/>
              <w:divBdr>
                <w:top w:val="none" w:sz="0" w:space="0" w:color="auto"/>
                <w:left w:val="none" w:sz="0" w:space="0" w:color="auto"/>
                <w:bottom w:val="none" w:sz="0" w:space="0" w:color="auto"/>
                <w:right w:val="none" w:sz="0" w:space="0" w:color="auto"/>
              </w:divBdr>
              <w:divsChild>
                <w:div w:id="237374756">
                  <w:marLeft w:val="0"/>
                  <w:marRight w:val="0"/>
                  <w:marTop w:val="0"/>
                  <w:marBottom w:val="150"/>
                  <w:divBdr>
                    <w:top w:val="none" w:sz="0" w:space="0" w:color="auto"/>
                    <w:left w:val="none" w:sz="0" w:space="0" w:color="auto"/>
                    <w:bottom w:val="none" w:sz="0" w:space="0" w:color="auto"/>
                    <w:right w:val="none" w:sz="0" w:space="0" w:color="auto"/>
                  </w:divBdr>
                </w:div>
                <w:div w:id="1720668346">
                  <w:marLeft w:val="0"/>
                  <w:marRight w:val="0"/>
                  <w:marTop w:val="0"/>
                  <w:marBottom w:val="0"/>
                  <w:divBdr>
                    <w:top w:val="none" w:sz="0" w:space="0" w:color="auto"/>
                    <w:left w:val="none" w:sz="0" w:space="0" w:color="auto"/>
                    <w:bottom w:val="none" w:sz="0" w:space="0" w:color="auto"/>
                    <w:right w:val="none" w:sz="0" w:space="0" w:color="auto"/>
                  </w:divBdr>
                  <w:divsChild>
                    <w:div w:id="188698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103775">
          <w:marLeft w:val="0"/>
          <w:marRight w:val="0"/>
          <w:marTop w:val="0"/>
          <w:marBottom w:val="450"/>
          <w:divBdr>
            <w:top w:val="none" w:sz="0" w:space="0" w:color="auto"/>
            <w:left w:val="none" w:sz="0" w:space="0" w:color="auto"/>
            <w:bottom w:val="none" w:sz="0" w:space="0" w:color="auto"/>
            <w:right w:val="none" w:sz="0" w:space="0" w:color="auto"/>
          </w:divBdr>
        </w:div>
      </w:divsChild>
    </w:div>
    <w:div w:id="1992756699">
      <w:bodyDiv w:val="1"/>
      <w:marLeft w:val="0"/>
      <w:marRight w:val="0"/>
      <w:marTop w:val="0"/>
      <w:marBottom w:val="0"/>
      <w:divBdr>
        <w:top w:val="none" w:sz="0" w:space="0" w:color="auto"/>
        <w:left w:val="none" w:sz="0" w:space="0" w:color="auto"/>
        <w:bottom w:val="none" w:sz="0" w:space="0" w:color="auto"/>
        <w:right w:val="none" w:sz="0" w:space="0" w:color="auto"/>
      </w:divBdr>
      <w:divsChild>
        <w:div w:id="1169055604">
          <w:marLeft w:val="0"/>
          <w:marRight w:val="0"/>
          <w:marTop w:val="150"/>
          <w:marBottom w:val="0"/>
          <w:divBdr>
            <w:top w:val="none" w:sz="0" w:space="0" w:color="auto"/>
            <w:left w:val="none" w:sz="0" w:space="0" w:color="auto"/>
            <w:bottom w:val="none" w:sz="0" w:space="0" w:color="auto"/>
            <w:right w:val="none" w:sz="0" w:space="0" w:color="auto"/>
          </w:divBdr>
          <w:divsChild>
            <w:div w:id="766849886">
              <w:marLeft w:val="0"/>
              <w:marRight w:val="150"/>
              <w:marTop w:val="0"/>
              <w:marBottom w:val="0"/>
              <w:divBdr>
                <w:top w:val="none" w:sz="0" w:space="0" w:color="auto"/>
                <w:left w:val="none" w:sz="0" w:space="0" w:color="auto"/>
                <w:bottom w:val="none" w:sz="0" w:space="0" w:color="auto"/>
                <w:right w:val="none" w:sz="0" w:space="0" w:color="auto"/>
              </w:divBdr>
            </w:div>
          </w:divsChild>
        </w:div>
        <w:div w:id="2078281019">
          <w:marLeft w:val="0"/>
          <w:marRight w:val="0"/>
          <w:marTop w:val="0"/>
          <w:marBottom w:val="0"/>
          <w:divBdr>
            <w:top w:val="none" w:sz="0" w:space="8" w:color="auto"/>
            <w:left w:val="none" w:sz="0" w:space="2" w:color="auto"/>
            <w:bottom w:val="single" w:sz="6" w:space="8" w:color="DDDDDD"/>
            <w:right w:val="none" w:sz="0" w:space="0" w:color="auto"/>
          </w:divBdr>
        </w:div>
      </w:divsChild>
    </w:div>
    <w:div w:id="1992826852">
      <w:bodyDiv w:val="1"/>
      <w:marLeft w:val="0"/>
      <w:marRight w:val="0"/>
      <w:marTop w:val="0"/>
      <w:marBottom w:val="0"/>
      <w:divBdr>
        <w:top w:val="none" w:sz="0" w:space="0" w:color="auto"/>
        <w:left w:val="none" w:sz="0" w:space="0" w:color="auto"/>
        <w:bottom w:val="none" w:sz="0" w:space="0" w:color="auto"/>
        <w:right w:val="none" w:sz="0" w:space="0" w:color="auto"/>
      </w:divBdr>
      <w:divsChild>
        <w:div w:id="1203128648">
          <w:marLeft w:val="0"/>
          <w:marRight w:val="0"/>
          <w:marTop w:val="0"/>
          <w:marBottom w:val="150"/>
          <w:divBdr>
            <w:top w:val="none" w:sz="0" w:space="0" w:color="auto"/>
            <w:left w:val="none" w:sz="0" w:space="0" w:color="auto"/>
            <w:bottom w:val="none" w:sz="0" w:space="0" w:color="auto"/>
            <w:right w:val="none" w:sz="0" w:space="0" w:color="auto"/>
          </w:divBdr>
        </w:div>
        <w:div w:id="1295217427">
          <w:marLeft w:val="0"/>
          <w:marRight w:val="0"/>
          <w:marTop w:val="0"/>
          <w:marBottom w:val="150"/>
          <w:divBdr>
            <w:top w:val="none" w:sz="0" w:space="0" w:color="auto"/>
            <w:left w:val="none" w:sz="0" w:space="0" w:color="auto"/>
            <w:bottom w:val="none" w:sz="0" w:space="0" w:color="auto"/>
            <w:right w:val="none" w:sz="0" w:space="0" w:color="auto"/>
          </w:divBdr>
          <w:divsChild>
            <w:div w:id="109146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907545">
      <w:bodyDiv w:val="1"/>
      <w:marLeft w:val="0"/>
      <w:marRight w:val="0"/>
      <w:marTop w:val="0"/>
      <w:marBottom w:val="0"/>
      <w:divBdr>
        <w:top w:val="none" w:sz="0" w:space="0" w:color="auto"/>
        <w:left w:val="none" w:sz="0" w:space="0" w:color="auto"/>
        <w:bottom w:val="none" w:sz="0" w:space="0" w:color="auto"/>
        <w:right w:val="none" w:sz="0" w:space="0" w:color="auto"/>
      </w:divBdr>
      <w:divsChild>
        <w:div w:id="642463314">
          <w:marLeft w:val="0"/>
          <w:marRight w:val="0"/>
          <w:marTop w:val="0"/>
          <w:marBottom w:val="0"/>
          <w:divBdr>
            <w:top w:val="none" w:sz="0" w:space="0" w:color="auto"/>
            <w:left w:val="none" w:sz="0" w:space="0" w:color="auto"/>
            <w:bottom w:val="none" w:sz="0" w:space="0" w:color="auto"/>
            <w:right w:val="none" w:sz="0" w:space="0" w:color="auto"/>
          </w:divBdr>
          <w:divsChild>
            <w:div w:id="1937591462">
              <w:marLeft w:val="0"/>
              <w:marRight w:val="0"/>
              <w:marTop w:val="0"/>
              <w:marBottom w:val="0"/>
              <w:divBdr>
                <w:top w:val="none" w:sz="0" w:space="0" w:color="auto"/>
                <w:left w:val="none" w:sz="0" w:space="0" w:color="auto"/>
                <w:bottom w:val="none" w:sz="0" w:space="0" w:color="auto"/>
                <w:right w:val="none" w:sz="0" w:space="0" w:color="auto"/>
              </w:divBdr>
              <w:divsChild>
                <w:div w:id="1028288426">
                  <w:marLeft w:val="0"/>
                  <w:marRight w:val="0"/>
                  <w:marTop w:val="0"/>
                  <w:marBottom w:val="0"/>
                  <w:divBdr>
                    <w:top w:val="none" w:sz="0" w:space="0" w:color="auto"/>
                    <w:left w:val="none" w:sz="0" w:space="0" w:color="auto"/>
                    <w:bottom w:val="none" w:sz="0" w:space="0" w:color="auto"/>
                    <w:right w:val="none" w:sz="0" w:space="0" w:color="auto"/>
                  </w:divBdr>
                  <w:divsChild>
                    <w:div w:id="1748571739">
                      <w:marLeft w:val="0"/>
                      <w:marRight w:val="0"/>
                      <w:marTop w:val="0"/>
                      <w:marBottom w:val="0"/>
                      <w:divBdr>
                        <w:top w:val="none" w:sz="0" w:space="0" w:color="auto"/>
                        <w:left w:val="none" w:sz="0" w:space="0" w:color="auto"/>
                        <w:bottom w:val="none" w:sz="0" w:space="0" w:color="auto"/>
                        <w:right w:val="none" w:sz="0" w:space="0" w:color="auto"/>
                      </w:divBdr>
                      <w:divsChild>
                        <w:div w:id="1632596192">
                          <w:marLeft w:val="0"/>
                          <w:marRight w:val="0"/>
                          <w:marTop w:val="0"/>
                          <w:marBottom w:val="0"/>
                          <w:divBdr>
                            <w:top w:val="none" w:sz="0" w:space="0" w:color="auto"/>
                            <w:left w:val="none" w:sz="0" w:space="0" w:color="auto"/>
                            <w:bottom w:val="none" w:sz="0" w:space="0" w:color="auto"/>
                            <w:right w:val="none" w:sz="0" w:space="0" w:color="auto"/>
                          </w:divBdr>
                          <w:divsChild>
                            <w:div w:id="2041079744">
                              <w:marLeft w:val="0"/>
                              <w:marRight w:val="0"/>
                              <w:marTop w:val="0"/>
                              <w:marBottom w:val="0"/>
                              <w:divBdr>
                                <w:top w:val="none" w:sz="0" w:space="0" w:color="auto"/>
                                <w:left w:val="none" w:sz="0" w:space="0" w:color="auto"/>
                                <w:bottom w:val="none" w:sz="0" w:space="0" w:color="auto"/>
                                <w:right w:val="none" w:sz="0" w:space="0" w:color="auto"/>
                              </w:divBdr>
                              <w:divsChild>
                                <w:div w:id="363019705">
                                  <w:marLeft w:val="0"/>
                                  <w:marRight w:val="0"/>
                                  <w:marTop w:val="0"/>
                                  <w:marBottom w:val="0"/>
                                  <w:divBdr>
                                    <w:top w:val="none" w:sz="0" w:space="0" w:color="auto"/>
                                    <w:left w:val="none" w:sz="0" w:space="0" w:color="auto"/>
                                    <w:bottom w:val="none" w:sz="0" w:space="0" w:color="auto"/>
                                    <w:right w:val="none" w:sz="0" w:space="0" w:color="auto"/>
                                  </w:divBdr>
                                  <w:divsChild>
                                    <w:div w:id="134814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3100712">
      <w:bodyDiv w:val="1"/>
      <w:marLeft w:val="0"/>
      <w:marRight w:val="0"/>
      <w:marTop w:val="0"/>
      <w:marBottom w:val="0"/>
      <w:divBdr>
        <w:top w:val="none" w:sz="0" w:space="0" w:color="auto"/>
        <w:left w:val="none" w:sz="0" w:space="0" w:color="auto"/>
        <w:bottom w:val="none" w:sz="0" w:space="0" w:color="auto"/>
        <w:right w:val="none" w:sz="0" w:space="0" w:color="auto"/>
      </w:divBdr>
      <w:divsChild>
        <w:div w:id="1473520782">
          <w:marLeft w:val="0"/>
          <w:marRight w:val="0"/>
          <w:marTop w:val="0"/>
          <w:marBottom w:val="0"/>
          <w:divBdr>
            <w:top w:val="none" w:sz="0" w:space="0" w:color="auto"/>
            <w:left w:val="none" w:sz="0" w:space="0" w:color="auto"/>
            <w:bottom w:val="none" w:sz="0" w:space="0" w:color="auto"/>
            <w:right w:val="none" w:sz="0" w:space="0" w:color="auto"/>
          </w:divBdr>
        </w:div>
        <w:div w:id="1788309882">
          <w:marLeft w:val="0"/>
          <w:marRight w:val="0"/>
          <w:marTop w:val="0"/>
          <w:marBottom w:val="0"/>
          <w:divBdr>
            <w:top w:val="none" w:sz="0" w:space="0" w:color="auto"/>
            <w:left w:val="none" w:sz="0" w:space="0" w:color="auto"/>
            <w:bottom w:val="none" w:sz="0" w:space="0" w:color="auto"/>
            <w:right w:val="none" w:sz="0" w:space="0" w:color="auto"/>
          </w:divBdr>
          <w:divsChild>
            <w:div w:id="1457718235">
              <w:marLeft w:val="0"/>
              <w:marRight w:val="150"/>
              <w:marTop w:val="0"/>
              <w:marBottom w:val="0"/>
              <w:divBdr>
                <w:top w:val="none" w:sz="0" w:space="0" w:color="auto"/>
                <w:left w:val="none" w:sz="0" w:space="0" w:color="auto"/>
                <w:bottom w:val="none" w:sz="0" w:space="0" w:color="auto"/>
                <w:right w:val="none" w:sz="0" w:space="0" w:color="auto"/>
              </w:divBdr>
            </w:div>
            <w:div w:id="167572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176984">
      <w:bodyDiv w:val="1"/>
      <w:marLeft w:val="0"/>
      <w:marRight w:val="0"/>
      <w:marTop w:val="0"/>
      <w:marBottom w:val="0"/>
      <w:divBdr>
        <w:top w:val="none" w:sz="0" w:space="0" w:color="auto"/>
        <w:left w:val="none" w:sz="0" w:space="0" w:color="auto"/>
        <w:bottom w:val="none" w:sz="0" w:space="0" w:color="auto"/>
        <w:right w:val="none" w:sz="0" w:space="0" w:color="auto"/>
      </w:divBdr>
      <w:divsChild>
        <w:div w:id="539561111">
          <w:marLeft w:val="0"/>
          <w:marRight w:val="0"/>
          <w:marTop w:val="0"/>
          <w:marBottom w:val="0"/>
          <w:divBdr>
            <w:top w:val="none" w:sz="0" w:space="0" w:color="auto"/>
            <w:left w:val="none" w:sz="0" w:space="0" w:color="auto"/>
            <w:bottom w:val="none" w:sz="0" w:space="0" w:color="auto"/>
            <w:right w:val="none" w:sz="0" w:space="0" w:color="auto"/>
          </w:divBdr>
          <w:divsChild>
            <w:div w:id="1948850459">
              <w:marLeft w:val="0"/>
              <w:marRight w:val="0"/>
              <w:marTop w:val="0"/>
              <w:marBottom w:val="0"/>
              <w:divBdr>
                <w:top w:val="none" w:sz="0" w:space="0" w:color="auto"/>
                <w:left w:val="none" w:sz="0" w:space="0" w:color="auto"/>
                <w:bottom w:val="none" w:sz="0" w:space="0" w:color="auto"/>
                <w:right w:val="none" w:sz="0" w:space="0" w:color="auto"/>
              </w:divBdr>
              <w:divsChild>
                <w:div w:id="1656571418">
                  <w:marLeft w:val="0"/>
                  <w:marRight w:val="0"/>
                  <w:marTop w:val="0"/>
                  <w:marBottom w:val="0"/>
                  <w:divBdr>
                    <w:top w:val="none" w:sz="0" w:space="0" w:color="auto"/>
                    <w:left w:val="none" w:sz="0" w:space="0" w:color="auto"/>
                    <w:bottom w:val="none" w:sz="0" w:space="0" w:color="auto"/>
                    <w:right w:val="none" w:sz="0" w:space="0" w:color="auto"/>
                  </w:divBdr>
                  <w:divsChild>
                    <w:div w:id="1584337166">
                      <w:marLeft w:val="0"/>
                      <w:marRight w:val="0"/>
                      <w:marTop w:val="0"/>
                      <w:marBottom w:val="0"/>
                      <w:divBdr>
                        <w:top w:val="none" w:sz="0" w:space="0" w:color="auto"/>
                        <w:left w:val="none" w:sz="0" w:space="0" w:color="auto"/>
                        <w:bottom w:val="none" w:sz="0" w:space="0" w:color="auto"/>
                        <w:right w:val="none" w:sz="0" w:space="0" w:color="auto"/>
                      </w:divBdr>
                      <w:divsChild>
                        <w:div w:id="1717511777">
                          <w:marLeft w:val="0"/>
                          <w:marRight w:val="0"/>
                          <w:marTop w:val="0"/>
                          <w:marBottom w:val="0"/>
                          <w:divBdr>
                            <w:top w:val="none" w:sz="0" w:space="0" w:color="auto"/>
                            <w:left w:val="none" w:sz="0" w:space="0" w:color="auto"/>
                            <w:bottom w:val="none" w:sz="0" w:space="0" w:color="auto"/>
                            <w:right w:val="none" w:sz="0" w:space="0" w:color="auto"/>
                          </w:divBdr>
                          <w:divsChild>
                            <w:div w:id="377973200">
                              <w:marLeft w:val="0"/>
                              <w:marRight w:val="0"/>
                              <w:marTop w:val="0"/>
                              <w:marBottom w:val="0"/>
                              <w:divBdr>
                                <w:top w:val="none" w:sz="0" w:space="0" w:color="auto"/>
                                <w:left w:val="none" w:sz="0" w:space="0" w:color="auto"/>
                                <w:bottom w:val="none" w:sz="0" w:space="0" w:color="auto"/>
                                <w:right w:val="none" w:sz="0" w:space="0" w:color="auto"/>
                              </w:divBdr>
                              <w:divsChild>
                                <w:div w:id="1299843006">
                                  <w:marLeft w:val="0"/>
                                  <w:marRight w:val="0"/>
                                  <w:marTop w:val="0"/>
                                  <w:marBottom w:val="83"/>
                                  <w:divBdr>
                                    <w:top w:val="none" w:sz="0" w:space="0" w:color="auto"/>
                                    <w:left w:val="none" w:sz="0" w:space="0" w:color="auto"/>
                                    <w:bottom w:val="none" w:sz="0" w:space="0" w:color="auto"/>
                                    <w:right w:val="none" w:sz="0" w:space="0" w:color="auto"/>
                                  </w:divBdr>
                                  <w:divsChild>
                                    <w:div w:id="364642613">
                                      <w:marLeft w:val="0"/>
                                      <w:marRight w:val="0"/>
                                      <w:marTop w:val="0"/>
                                      <w:marBottom w:val="0"/>
                                      <w:divBdr>
                                        <w:top w:val="none" w:sz="0" w:space="0" w:color="auto"/>
                                        <w:left w:val="none" w:sz="0" w:space="0" w:color="auto"/>
                                        <w:bottom w:val="none" w:sz="0" w:space="0" w:color="auto"/>
                                        <w:right w:val="none" w:sz="0" w:space="0" w:color="auto"/>
                                      </w:divBdr>
                                      <w:divsChild>
                                        <w:div w:id="678971728">
                                          <w:marLeft w:val="0"/>
                                          <w:marRight w:val="0"/>
                                          <w:marTop w:val="0"/>
                                          <w:marBottom w:val="0"/>
                                          <w:divBdr>
                                            <w:top w:val="none" w:sz="0" w:space="0" w:color="auto"/>
                                            <w:left w:val="none" w:sz="0" w:space="0" w:color="auto"/>
                                            <w:bottom w:val="none" w:sz="0" w:space="0" w:color="auto"/>
                                            <w:right w:val="none" w:sz="0" w:space="0" w:color="auto"/>
                                          </w:divBdr>
                                          <w:divsChild>
                                            <w:div w:id="1364012606">
                                              <w:marLeft w:val="0"/>
                                              <w:marRight w:val="0"/>
                                              <w:marTop w:val="0"/>
                                              <w:marBottom w:val="0"/>
                                              <w:divBdr>
                                                <w:top w:val="none" w:sz="0" w:space="0" w:color="auto"/>
                                                <w:left w:val="none" w:sz="0" w:space="0" w:color="auto"/>
                                                <w:bottom w:val="none" w:sz="0" w:space="0" w:color="auto"/>
                                                <w:right w:val="none" w:sz="0" w:space="0" w:color="auto"/>
                                              </w:divBdr>
                                              <w:divsChild>
                                                <w:div w:id="126268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3287548">
      <w:bodyDiv w:val="1"/>
      <w:marLeft w:val="0"/>
      <w:marRight w:val="0"/>
      <w:marTop w:val="0"/>
      <w:marBottom w:val="0"/>
      <w:divBdr>
        <w:top w:val="none" w:sz="0" w:space="0" w:color="auto"/>
        <w:left w:val="none" w:sz="0" w:space="0" w:color="auto"/>
        <w:bottom w:val="none" w:sz="0" w:space="0" w:color="auto"/>
        <w:right w:val="none" w:sz="0" w:space="0" w:color="auto"/>
      </w:divBdr>
      <w:divsChild>
        <w:div w:id="478764555">
          <w:marLeft w:val="0"/>
          <w:marRight w:val="0"/>
          <w:marTop w:val="0"/>
          <w:marBottom w:val="0"/>
          <w:divBdr>
            <w:top w:val="none" w:sz="0" w:space="0" w:color="auto"/>
            <w:left w:val="none" w:sz="0" w:space="0" w:color="auto"/>
            <w:bottom w:val="dotted" w:sz="6" w:space="4" w:color="DDDDDD"/>
            <w:right w:val="none" w:sz="0" w:space="0" w:color="auto"/>
          </w:divBdr>
          <w:divsChild>
            <w:div w:id="165067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559305">
      <w:bodyDiv w:val="1"/>
      <w:marLeft w:val="0"/>
      <w:marRight w:val="0"/>
      <w:marTop w:val="0"/>
      <w:marBottom w:val="0"/>
      <w:divBdr>
        <w:top w:val="none" w:sz="0" w:space="0" w:color="auto"/>
        <w:left w:val="none" w:sz="0" w:space="0" w:color="auto"/>
        <w:bottom w:val="none" w:sz="0" w:space="0" w:color="auto"/>
        <w:right w:val="none" w:sz="0" w:space="0" w:color="auto"/>
      </w:divBdr>
    </w:div>
    <w:div w:id="1993631667">
      <w:bodyDiv w:val="1"/>
      <w:marLeft w:val="0"/>
      <w:marRight w:val="0"/>
      <w:marTop w:val="0"/>
      <w:marBottom w:val="0"/>
      <w:divBdr>
        <w:top w:val="none" w:sz="0" w:space="0" w:color="auto"/>
        <w:left w:val="none" w:sz="0" w:space="0" w:color="auto"/>
        <w:bottom w:val="none" w:sz="0" w:space="0" w:color="auto"/>
        <w:right w:val="none" w:sz="0" w:space="0" w:color="auto"/>
      </w:divBdr>
      <w:divsChild>
        <w:div w:id="29962353">
          <w:marLeft w:val="0"/>
          <w:marRight w:val="0"/>
          <w:marTop w:val="0"/>
          <w:marBottom w:val="150"/>
          <w:divBdr>
            <w:top w:val="none" w:sz="0" w:space="0" w:color="auto"/>
            <w:left w:val="none" w:sz="0" w:space="0" w:color="auto"/>
            <w:bottom w:val="none" w:sz="0" w:space="0" w:color="auto"/>
            <w:right w:val="none" w:sz="0" w:space="0" w:color="auto"/>
          </w:divBdr>
          <w:divsChild>
            <w:div w:id="1158764537">
              <w:marLeft w:val="0"/>
              <w:marRight w:val="0"/>
              <w:marTop w:val="0"/>
              <w:marBottom w:val="0"/>
              <w:divBdr>
                <w:top w:val="none" w:sz="0" w:space="0" w:color="auto"/>
                <w:left w:val="none" w:sz="0" w:space="0" w:color="auto"/>
                <w:bottom w:val="none" w:sz="0" w:space="0" w:color="auto"/>
                <w:right w:val="none" w:sz="0" w:space="0" w:color="auto"/>
              </w:divBdr>
              <w:divsChild>
                <w:div w:id="149430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701961">
          <w:marLeft w:val="0"/>
          <w:marRight w:val="0"/>
          <w:marTop w:val="0"/>
          <w:marBottom w:val="150"/>
          <w:divBdr>
            <w:top w:val="none" w:sz="0" w:space="0" w:color="auto"/>
            <w:left w:val="none" w:sz="0" w:space="0" w:color="auto"/>
            <w:bottom w:val="none" w:sz="0" w:space="0" w:color="auto"/>
            <w:right w:val="none" w:sz="0" w:space="0" w:color="auto"/>
          </w:divBdr>
        </w:div>
        <w:div w:id="554853736">
          <w:marLeft w:val="0"/>
          <w:marRight w:val="0"/>
          <w:marTop w:val="0"/>
          <w:marBottom w:val="0"/>
          <w:divBdr>
            <w:top w:val="none" w:sz="0" w:space="0" w:color="auto"/>
            <w:left w:val="none" w:sz="0" w:space="0" w:color="auto"/>
            <w:bottom w:val="none" w:sz="0" w:space="0" w:color="auto"/>
            <w:right w:val="none" w:sz="0" w:space="0" w:color="auto"/>
          </w:divBdr>
          <w:divsChild>
            <w:div w:id="78553881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93755161">
      <w:bodyDiv w:val="1"/>
      <w:marLeft w:val="0"/>
      <w:marRight w:val="0"/>
      <w:marTop w:val="0"/>
      <w:marBottom w:val="0"/>
      <w:divBdr>
        <w:top w:val="none" w:sz="0" w:space="0" w:color="auto"/>
        <w:left w:val="none" w:sz="0" w:space="0" w:color="auto"/>
        <w:bottom w:val="none" w:sz="0" w:space="0" w:color="auto"/>
        <w:right w:val="none" w:sz="0" w:space="0" w:color="auto"/>
      </w:divBdr>
      <w:divsChild>
        <w:div w:id="738862296">
          <w:marLeft w:val="0"/>
          <w:marRight w:val="0"/>
          <w:marTop w:val="0"/>
          <w:marBottom w:val="150"/>
          <w:divBdr>
            <w:top w:val="none" w:sz="0" w:space="0" w:color="auto"/>
            <w:left w:val="none" w:sz="0" w:space="0" w:color="auto"/>
            <w:bottom w:val="none" w:sz="0" w:space="0" w:color="auto"/>
            <w:right w:val="none" w:sz="0" w:space="0" w:color="auto"/>
          </w:divBdr>
        </w:div>
        <w:div w:id="1626766639">
          <w:marLeft w:val="0"/>
          <w:marRight w:val="0"/>
          <w:marTop w:val="0"/>
          <w:marBottom w:val="150"/>
          <w:divBdr>
            <w:top w:val="none" w:sz="0" w:space="0" w:color="auto"/>
            <w:left w:val="none" w:sz="0" w:space="0" w:color="auto"/>
            <w:bottom w:val="none" w:sz="0" w:space="0" w:color="auto"/>
            <w:right w:val="none" w:sz="0" w:space="0" w:color="auto"/>
          </w:divBdr>
          <w:divsChild>
            <w:div w:id="186111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330076">
      <w:bodyDiv w:val="1"/>
      <w:marLeft w:val="0"/>
      <w:marRight w:val="0"/>
      <w:marTop w:val="0"/>
      <w:marBottom w:val="0"/>
      <w:divBdr>
        <w:top w:val="none" w:sz="0" w:space="0" w:color="auto"/>
        <w:left w:val="none" w:sz="0" w:space="0" w:color="auto"/>
        <w:bottom w:val="none" w:sz="0" w:space="0" w:color="auto"/>
        <w:right w:val="none" w:sz="0" w:space="0" w:color="auto"/>
      </w:divBdr>
    </w:div>
    <w:div w:id="1994410453">
      <w:bodyDiv w:val="1"/>
      <w:marLeft w:val="0"/>
      <w:marRight w:val="0"/>
      <w:marTop w:val="0"/>
      <w:marBottom w:val="0"/>
      <w:divBdr>
        <w:top w:val="none" w:sz="0" w:space="0" w:color="auto"/>
        <w:left w:val="none" w:sz="0" w:space="0" w:color="auto"/>
        <w:bottom w:val="none" w:sz="0" w:space="0" w:color="auto"/>
        <w:right w:val="none" w:sz="0" w:space="0" w:color="auto"/>
      </w:divBdr>
      <w:divsChild>
        <w:div w:id="1837844268">
          <w:marLeft w:val="0"/>
          <w:marRight w:val="0"/>
          <w:marTop w:val="0"/>
          <w:marBottom w:val="0"/>
          <w:divBdr>
            <w:top w:val="none" w:sz="0" w:space="0" w:color="auto"/>
            <w:left w:val="none" w:sz="0" w:space="0" w:color="auto"/>
            <w:bottom w:val="none" w:sz="0" w:space="0" w:color="auto"/>
            <w:right w:val="none" w:sz="0" w:space="0" w:color="auto"/>
          </w:divBdr>
          <w:divsChild>
            <w:div w:id="1054812758">
              <w:marLeft w:val="0"/>
              <w:marRight w:val="0"/>
              <w:marTop w:val="0"/>
              <w:marBottom w:val="150"/>
              <w:divBdr>
                <w:top w:val="none" w:sz="0" w:space="0" w:color="auto"/>
                <w:left w:val="none" w:sz="0" w:space="0" w:color="auto"/>
                <w:bottom w:val="none" w:sz="0" w:space="0" w:color="auto"/>
                <w:right w:val="none" w:sz="0" w:space="0" w:color="auto"/>
              </w:divBdr>
            </w:div>
            <w:div w:id="154339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72810">
      <w:bodyDiv w:val="1"/>
      <w:marLeft w:val="0"/>
      <w:marRight w:val="0"/>
      <w:marTop w:val="0"/>
      <w:marBottom w:val="0"/>
      <w:divBdr>
        <w:top w:val="none" w:sz="0" w:space="0" w:color="auto"/>
        <w:left w:val="none" w:sz="0" w:space="0" w:color="auto"/>
        <w:bottom w:val="none" w:sz="0" w:space="0" w:color="auto"/>
        <w:right w:val="none" w:sz="0" w:space="0" w:color="auto"/>
      </w:divBdr>
      <w:divsChild>
        <w:div w:id="1039551973">
          <w:marLeft w:val="0"/>
          <w:marRight w:val="0"/>
          <w:marTop w:val="0"/>
          <w:marBottom w:val="0"/>
          <w:divBdr>
            <w:top w:val="none" w:sz="0" w:space="0" w:color="auto"/>
            <w:left w:val="none" w:sz="0" w:space="0" w:color="auto"/>
            <w:bottom w:val="dotted" w:sz="6" w:space="4" w:color="DDDDDD"/>
            <w:right w:val="none" w:sz="0" w:space="0" w:color="auto"/>
          </w:divBdr>
          <w:divsChild>
            <w:div w:id="121235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77317">
      <w:bodyDiv w:val="1"/>
      <w:marLeft w:val="0"/>
      <w:marRight w:val="0"/>
      <w:marTop w:val="0"/>
      <w:marBottom w:val="0"/>
      <w:divBdr>
        <w:top w:val="none" w:sz="0" w:space="0" w:color="auto"/>
        <w:left w:val="none" w:sz="0" w:space="0" w:color="auto"/>
        <w:bottom w:val="none" w:sz="0" w:space="0" w:color="auto"/>
        <w:right w:val="none" w:sz="0" w:space="0" w:color="auto"/>
      </w:divBdr>
      <w:divsChild>
        <w:div w:id="1620138844">
          <w:marLeft w:val="0"/>
          <w:marRight w:val="0"/>
          <w:marTop w:val="0"/>
          <w:marBottom w:val="0"/>
          <w:divBdr>
            <w:top w:val="none" w:sz="0" w:space="0" w:color="auto"/>
            <w:left w:val="none" w:sz="0" w:space="0" w:color="auto"/>
            <w:bottom w:val="none" w:sz="0" w:space="0" w:color="auto"/>
            <w:right w:val="none" w:sz="0" w:space="0" w:color="auto"/>
          </w:divBdr>
        </w:div>
      </w:divsChild>
    </w:div>
    <w:div w:id="1994942471">
      <w:bodyDiv w:val="1"/>
      <w:marLeft w:val="0"/>
      <w:marRight w:val="0"/>
      <w:marTop w:val="0"/>
      <w:marBottom w:val="0"/>
      <w:divBdr>
        <w:top w:val="none" w:sz="0" w:space="0" w:color="auto"/>
        <w:left w:val="none" w:sz="0" w:space="0" w:color="auto"/>
        <w:bottom w:val="none" w:sz="0" w:space="0" w:color="auto"/>
        <w:right w:val="none" w:sz="0" w:space="0" w:color="auto"/>
      </w:divBdr>
      <w:divsChild>
        <w:div w:id="1326936017">
          <w:marLeft w:val="0"/>
          <w:marRight w:val="0"/>
          <w:marTop w:val="0"/>
          <w:marBottom w:val="150"/>
          <w:divBdr>
            <w:top w:val="none" w:sz="0" w:space="0" w:color="auto"/>
            <w:left w:val="none" w:sz="0" w:space="0" w:color="auto"/>
            <w:bottom w:val="none" w:sz="0" w:space="0" w:color="auto"/>
            <w:right w:val="none" w:sz="0" w:space="0" w:color="auto"/>
          </w:divBdr>
          <w:divsChild>
            <w:div w:id="246769593">
              <w:marLeft w:val="0"/>
              <w:marRight w:val="0"/>
              <w:marTop w:val="0"/>
              <w:marBottom w:val="0"/>
              <w:divBdr>
                <w:top w:val="none" w:sz="0" w:space="0" w:color="auto"/>
                <w:left w:val="none" w:sz="0" w:space="0" w:color="auto"/>
                <w:bottom w:val="none" w:sz="0" w:space="0" w:color="auto"/>
                <w:right w:val="none" w:sz="0" w:space="0" w:color="auto"/>
              </w:divBdr>
              <w:divsChild>
                <w:div w:id="34651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051171">
          <w:marLeft w:val="0"/>
          <w:marRight w:val="0"/>
          <w:marTop w:val="0"/>
          <w:marBottom w:val="150"/>
          <w:divBdr>
            <w:top w:val="none" w:sz="0" w:space="0" w:color="auto"/>
            <w:left w:val="none" w:sz="0" w:space="0" w:color="auto"/>
            <w:bottom w:val="none" w:sz="0" w:space="0" w:color="auto"/>
            <w:right w:val="none" w:sz="0" w:space="0" w:color="auto"/>
          </w:divBdr>
        </w:div>
        <w:div w:id="1358388027">
          <w:marLeft w:val="0"/>
          <w:marRight w:val="0"/>
          <w:marTop w:val="0"/>
          <w:marBottom w:val="0"/>
          <w:divBdr>
            <w:top w:val="none" w:sz="0" w:space="0" w:color="auto"/>
            <w:left w:val="none" w:sz="0" w:space="0" w:color="auto"/>
            <w:bottom w:val="none" w:sz="0" w:space="0" w:color="auto"/>
            <w:right w:val="none" w:sz="0" w:space="0" w:color="auto"/>
          </w:divBdr>
          <w:divsChild>
            <w:div w:id="193574947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94983280">
      <w:bodyDiv w:val="1"/>
      <w:marLeft w:val="0"/>
      <w:marRight w:val="0"/>
      <w:marTop w:val="0"/>
      <w:marBottom w:val="0"/>
      <w:divBdr>
        <w:top w:val="none" w:sz="0" w:space="0" w:color="auto"/>
        <w:left w:val="none" w:sz="0" w:space="0" w:color="auto"/>
        <w:bottom w:val="none" w:sz="0" w:space="0" w:color="auto"/>
        <w:right w:val="none" w:sz="0" w:space="0" w:color="auto"/>
      </w:divBdr>
      <w:divsChild>
        <w:div w:id="670184301">
          <w:marLeft w:val="0"/>
          <w:marRight w:val="0"/>
          <w:marTop w:val="0"/>
          <w:marBottom w:val="0"/>
          <w:divBdr>
            <w:top w:val="none" w:sz="0" w:space="0" w:color="auto"/>
            <w:left w:val="none" w:sz="0" w:space="0" w:color="auto"/>
            <w:bottom w:val="none" w:sz="0" w:space="0" w:color="auto"/>
            <w:right w:val="none" w:sz="0" w:space="0" w:color="auto"/>
          </w:divBdr>
          <w:divsChild>
            <w:div w:id="1773085123">
              <w:marLeft w:val="0"/>
              <w:marRight w:val="0"/>
              <w:marTop w:val="0"/>
              <w:marBottom w:val="150"/>
              <w:divBdr>
                <w:top w:val="none" w:sz="0" w:space="0" w:color="auto"/>
                <w:left w:val="none" w:sz="0" w:space="0" w:color="auto"/>
                <w:bottom w:val="none" w:sz="0" w:space="0" w:color="auto"/>
                <w:right w:val="none" w:sz="0" w:space="0" w:color="auto"/>
              </w:divBdr>
            </w:div>
            <w:div w:id="198708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90017">
      <w:bodyDiv w:val="1"/>
      <w:marLeft w:val="0"/>
      <w:marRight w:val="0"/>
      <w:marTop w:val="0"/>
      <w:marBottom w:val="0"/>
      <w:divBdr>
        <w:top w:val="none" w:sz="0" w:space="0" w:color="auto"/>
        <w:left w:val="none" w:sz="0" w:space="0" w:color="auto"/>
        <w:bottom w:val="none" w:sz="0" w:space="0" w:color="auto"/>
        <w:right w:val="none" w:sz="0" w:space="0" w:color="auto"/>
      </w:divBdr>
    </w:div>
    <w:div w:id="1996301699">
      <w:bodyDiv w:val="1"/>
      <w:marLeft w:val="0"/>
      <w:marRight w:val="0"/>
      <w:marTop w:val="0"/>
      <w:marBottom w:val="0"/>
      <w:divBdr>
        <w:top w:val="none" w:sz="0" w:space="0" w:color="auto"/>
        <w:left w:val="none" w:sz="0" w:space="0" w:color="auto"/>
        <w:bottom w:val="none" w:sz="0" w:space="0" w:color="auto"/>
        <w:right w:val="none" w:sz="0" w:space="0" w:color="auto"/>
      </w:divBdr>
      <w:divsChild>
        <w:div w:id="1295600745">
          <w:marLeft w:val="0"/>
          <w:marRight w:val="0"/>
          <w:marTop w:val="0"/>
          <w:marBottom w:val="225"/>
          <w:divBdr>
            <w:top w:val="none" w:sz="0" w:space="0" w:color="auto"/>
            <w:left w:val="none" w:sz="0" w:space="0" w:color="auto"/>
            <w:bottom w:val="none" w:sz="0" w:space="0" w:color="auto"/>
            <w:right w:val="none" w:sz="0" w:space="0" w:color="auto"/>
          </w:divBdr>
          <w:divsChild>
            <w:div w:id="457918060">
              <w:marLeft w:val="0"/>
              <w:marRight w:val="0"/>
              <w:marTop w:val="0"/>
              <w:marBottom w:val="0"/>
              <w:divBdr>
                <w:top w:val="none" w:sz="0" w:space="0" w:color="auto"/>
                <w:left w:val="none" w:sz="0" w:space="0" w:color="auto"/>
                <w:bottom w:val="none" w:sz="0" w:space="0" w:color="auto"/>
                <w:right w:val="none" w:sz="0" w:space="0" w:color="auto"/>
              </w:divBdr>
              <w:divsChild>
                <w:div w:id="170721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48470">
          <w:marLeft w:val="0"/>
          <w:marRight w:val="0"/>
          <w:marTop w:val="0"/>
          <w:marBottom w:val="225"/>
          <w:divBdr>
            <w:top w:val="none" w:sz="0" w:space="0" w:color="auto"/>
            <w:left w:val="none" w:sz="0" w:space="0" w:color="auto"/>
            <w:bottom w:val="none" w:sz="0" w:space="0" w:color="auto"/>
            <w:right w:val="none" w:sz="0" w:space="0" w:color="auto"/>
          </w:divBdr>
        </w:div>
      </w:divsChild>
    </w:div>
    <w:div w:id="1996375268">
      <w:bodyDiv w:val="1"/>
      <w:marLeft w:val="0"/>
      <w:marRight w:val="0"/>
      <w:marTop w:val="0"/>
      <w:marBottom w:val="0"/>
      <w:divBdr>
        <w:top w:val="none" w:sz="0" w:space="0" w:color="auto"/>
        <w:left w:val="none" w:sz="0" w:space="0" w:color="auto"/>
        <w:bottom w:val="none" w:sz="0" w:space="0" w:color="auto"/>
        <w:right w:val="none" w:sz="0" w:space="0" w:color="auto"/>
      </w:divBdr>
      <w:divsChild>
        <w:div w:id="1086347653">
          <w:marLeft w:val="0"/>
          <w:marRight w:val="0"/>
          <w:marTop w:val="0"/>
          <w:marBottom w:val="0"/>
          <w:divBdr>
            <w:top w:val="none" w:sz="0" w:space="0" w:color="auto"/>
            <w:left w:val="none" w:sz="0" w:space="0" w:color="auto"/>
            <w:bottom w:val="none" w:sz="0" w:space="0" w:color="auto"/>
            <w:right w:val="none" w:sz="0" w:space="0" w:color="auto"/>
          </w:divBdr>
          <w:divsChild>
            <w:div w:id="721448062">
              <w:marLeft w:val="0"/>
              <w:marRight w:val="0"/>
              <w:marTop w:val="0"/>
              <w:marBottom w:val="0"/>
              <w:divBdr>
                <w:top w:val="none" w:sz="0" w:space="0" w:color="auto"/>
                <w:left w:val="none" w:sz="0" w:space="0" w:color="auto"/>
                <w:bottom w:val="none" w:sz="0" w:space="0" w:color="auto"/>
                <w:right w:val="none" w:sz="0" w:space="0" w:color="auto"/>
              </w:divBdr>
              <w:divsChild>
                <w:div w:id="1610120015">
                  <w:marLeft w:val="0"/>
                  <w:marRight w:val="0"/>
                  <w:marTop w:val="0"/>
                  <w:marBottom w:val="0"/>
                  <w:divBdr>
                    <w:top w:val="none" w:sz="0" w:space="0" w:color="auto"/>
                    <w:left w:val="none" w:sz="0" w:space="0" w:color="auto"/>
                    <w:bottom w:val="none" w:sz="0" w:space="0" w:color="auto"/>
                    <w:right w:val="none" w:sz="0" w:space="0" w:color="auto"/>
                  </w:divBdr>
                  <w:divsChild>
                    <w:div w:id="264120936">
                      <w:marLeft w:val="0"/>
                      <w:marRight w:val="0"/>
                      <w:marTop w:val="0"/>
                      <w:marBottom w:val="0"/>
                      <w:divBdr>
                        <w:top w:val="none" w:sz="0" w:space="0" w:color="auto"/>
                        <w:left w:val="none" w:sz="0" w:space="0" w:color="auto"/>
                        <w:bottom w:val="none" w:sz="0" w:space="0" w:color="auto"/>
                        <w:right w:val="none" w:sz="0" w:space="0" w:color="auto"/>
                      </w:divBdr>
                      <w:divsChild>
                        <w:div w:id="1092705590">
                          <w:marLeft w:val="0"/>
                          <w:marRight w:val="0"/>
                          <w:marTop w:val="0"/>
                          <w:marBottom w:val="0"/>
                          <w:divBdr>
                            <w:top w:val="none" w:sz="0" w:space="0" w:color="auto"/>
                            <w:left w:val="none" w:sz="0" w:space="0" w:color="auto"/>
                            <w:bottom w:val="none" w:sz="0" w:space="0" w:color="auto"/>
                            <w:right w:val="none" w:sz="0" w:space="0" w:color="auto"/>
                          </w:divBdr>
                          <w:divsChild>
                            <w:div w:id="496455287">
                              <w:marLeft w:val="0"/>
                              <w:marRight w:val="0"/>
                              <w:marTop w:val="0"/>
                              <w:marBottom w:val="0"/>
                              <w:divBdr>
                                <w:top w:val="none" w:sz="0" w:space="0" w:color="auto"/>
                                <w:left w:val="none" w:sz="0" w:space="0" w:color="auto"/>
                                <w:bottom w:val="none" w:sz="0" w:space="0" w:color="auto"/>
                                <w:right w:val="none" w:sz="0" w:space="0" w:color="auto"/>
                              </w:divBdr>
                              <w:divsChild>
                                <w:div w:id="1077558514">
                                  <w:marLeft w:val="0"/>
                                  <w:marRight w:val="0"/>
                                  <w:marTop w:val="0"/>
                                  <w:marBottom w:val="0"/>
                                  <w:divBdr>
                                    <w:top w:val="none" w:sz="0" w:space="0" w:color="auto"/>
                                    <w:left w:val="none" w:sz="0" w:space="0" w:color="auto"/>
                                    <w:bottom w:val="none" w:sz="0" w:space="0" w:color="auto"/>
                                    <w:right w:val="none" w:sz="0" w:space="0" w:color="auto"/>
                                  </w:divBdr>
                                  <w:divsChild>
                                    <w:div w:id="64193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375938">
      <w:bodyDiv w:val="1"/>
      <w:marLeft w:val="0"/>
      <w:marRight w:val="0"/>
      <w:marTop w:val="0"/>
      <w:marBottom w:val="0"/>
      <w:divBdr>
        <w:top w:val="none" w:sz="0" w:space="0" w:color="auto"/>
        <w:left w:val="none" w:sz="0" w:space="0" w:color="auto"/>
        <w:bottom w:val="none" w:sz="0" w:space="0" w:color="auto"/>
        <w:right w:val="none" w:sz="0" w:space="0" w:color="auto"/>
      </w:divBdr>
      <w:divsChild>
        <w:div w:id="1590582932">
          <w:marLeft w:val="0"/>
          <w:marRight w:val="0"/>
          <w:marTop w:val="0"/>
          <w:marBottom w:val="0"/>
          <w:divBdr>
            <w:top w:val="none" w:sz="0" w:space="0" w:color="auto"/>
            <w:left w:val="none" w:sz="0" w:space="0" w:color="auto"/>
            <w:bottom w:val="none" w:sz="0" w:space="0" w:color="auto"/>
            <w:right w:val="none" w:sz="0" w:space="0" w:color="auto"/>
          </w:divBdr>
          <w:divsChild>
            <w:div w:id="916671943">
              <w:marLeft w:val="0"/>
              <w:marRight w:val="0"/>
              <w:marTop w:val="0"/>
              <w:marBottom w:val="0"/>
              <w:divBdr>
                <w:top w:val="none" w:sz="0" w:space="0" w:color="auto"/>
                <w:left w:val="none" w:sz="0" w:space="0" w:color="auto"/>
                <w:bottom w:val="none" w:sz="0" w:space="0" w:color="auto"/>
                <w:right w:val="none" w:sz="0" w:space="0" w:color="auto"/>
              </w:divBdr>
              <w:divsChild>
                <w:div w:id="1519200944">
                  <w:marLeft w:val="0"/>
                  <w:marRight w:val="0"/>
                  <w:marTop w:val="0"/>
                  <w:marBottom w:val="0"/>
                  <w:divBdr>
                    <w:top w:val="none" w:sz="0" w:space="0" w:color="auto"/>
                    <w:left w:val="none" w:sz="0" w:space="0" w:color="auto"/>
                    <w:bottom w:val="none" w:sz="0" w:space="0" w:color="auto"/>
                    <w:right w:val="none" w:sz="0" w:space="0" w:color="auto"/>
                  </w:divBdr>
                  <w:divsChild>
                    <w:div w:id="748163075">
                      <w:marLeft w:val="0"/>
                      <w:marRight w:val="0"/>
                      <w:marTop w:val="0"/>
                      <w:marBottom w:val="0"/>
                      <w:divBdr>
                        <w:top w:val="none" w:sz="0" w:space="0" w:color="auto"/>
                        <w:left w:val="none" w:sz="0" w:space="0" w:color="auto"/>
                        <w:bottom w:val="none" w:sz="0" w:space="0" w:color="auto"/>
                        <w:right w:val="none" w:sz="0" w:space="0" w:color="auto"/>
                      </w:divBdr>
                      <w:divsChild>
                        <w:div w:id="935407467">
                          <w:marLeft w:val="0"/>
                          <w:marRight w:val="0"/>
                          <w:marTop w:val="0"/>
                          <w:marBottom w:val="0"/>
                          <w:divBdr>
                            <w:top w:val="none" w:sz="0" w:space="0" w:color="auto"/>
                            <w:left w:val="none" w:sz="0" w:space="0" w:color="auto"/>
                            <w:bottom w:val="none" w:sz="0" w:space="0" w:color="auto"/>
                            <w:right w:val="none" w:sz="0" w:space="0" w:color="auto"/>
                          </w:divBdr>
                          <w:divsChild>
                            <w:div w:id="1666861303">
                              <w:marLeft w:val="0"/>
                              <w:marRight w:val="0"/>
                              <w:marTop w:val="0"/>
                              <w:marBottom w:val="0"/>
                              <w:divBdr>
                                <w:top w:val="none" w:sz="0" w:space="0" w:color="auto"/>
                                <w:left w:val="none" w:sz="0" w:space="0" w:color="auto"/>
                                <w:bottom w:val="none" w:sz="0" w:space="0" w:color="auto"/>
                                <w:right w:val="none" w:sz="0" w:space="0" w:color="auto"/>
                              </w:divBdr>
                              <w:divsChild>
                                <w:div w:id="1314214100">
                                  <w:marLeft w:val="0"/>
                                  <w:marRight w:val="0"/>
                                  <w:marTop w:val="0"/>
                                  <w:marBottom w:val="0"/>
                                  <w:divBdr>
                                    <w:top w:val="none" w:sz="0" w:space="0" w:color="auto"/>
                                    <w:left w:val="none" w:sz="0" w:space="0" w:color="auto"/>
                                    <w:bottom w:val="none" w:sz="0" w:space="0" w:color="auto"/>
                                    <w:right w:val="none" w:sz="0" w:space="0" w:color="auto"/>
                                  </w:divBdr>
                                  <w:divsChild>
                                    <w:div w:id="54722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449865">
      <w:bodyDiv w:val="1"/>
      <w:marLeft w:val="0"/>
      <w:marRight w:val="0"/>
      <w:marTop w:val="0"/>
      <w:marBottom w:val="0"/>
      <w:divBdr>
        <w:top w:val="none" w:sz="0" w:space="0" w:color="auto"/>
        <w:left w:val="none" w:sz="0" w:space="0" w:color="auto"/>
        <w:bottom w:val="none" w:sz="0" w:space="0" w:color="auto"/>
        <w:right w:val="none" w:sz="0" w:space="0" w:color="auto"/>
      </w:divBdr>
      <w:divsChild>
        <w:div w:id="204099486">
          <w:marLeft w:val="0"/>
          <w:marRight w:val="0"/>
          <w:marTop w:val="0"/>
          <w:marBottom w:val="75"/>
          <w:divBdr>
            <w:top w:val="none" w:sz="0" w:space="0" w:color="auto"/>
            <w:left w:val="none" w:sz="0" w:space="0" w:color="auto"/>
            <w:bottom w:val="none" w:sz="0" w:space="0" w:color="auto"/>
            <w:right w:val="none" w:sz="0" w:space="0" w:color="auto"/>
          </w:divBdr>
        </w:div>
        <w:div w:id="363213154">
          <w:marLeft w:val="0"/>
          <w:marRight w:val="0"/>
          <w:marTop w:val="0"/>
          <w:marBottom w:val="0"/>
          <w:divBdr>
            <w:top w:val="none" w:sz="0" w:space="0" w:color="auto"/>
            <w:left w:val="none" w:sz="0" w:space="0" w:color="auto"/>
            <w:bottom w:val="none" w:sz="0" w:space="0" w:color="auto"/>
            <w:right w:val="none" w:sz="0" w:space="0" w:color="auto"/>
          </w:divBdr>
          <w:divsChild>
            <w:div w:id="431515482">
              <w:marLeft w:val="0"/>
              <w:marRight w:val="0"/>
              <w:marTop w:val="0"/>
              <w:marBottom w:val="0"/>
              <w:divBdr>
                <w:top w:val="none" w:sz="0" w:space="0" w:color="auto"/>
                <w:left w:val="none" w:sz="0" w:space="0" w:color="auto"/>
                <w:bottom w:val="none" w:sz="0" w:space="0" w:color="auto"/>
                <w:right w:val="none" w:sz="0" w:space="0" w:color="auto"/>
              </w:divBdr>
              <w:divsChild>
                <w:div w:id="114000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363960">
          <w:marLeft w:val="0"/>
          <w:marRight w:val="0"/>
          <w:marTop w:val="0"/>
          <w:marBottom w:val="0"/>
          <w:divBdr>
            <w:top w:val="none" w:sz="0" w:space="0" w:color="auto"/>
            <w:left w:val="none" w:sz="0" w:space="0" w:color="auto"/>
            <w:bottom w:val="none" w:sz="0" w:space="0" w:color="auto"/>
            <w:right w:val="none" w:sz="0" w:space="0" w:color="auto"/>
          </w:divBdr>
        </w:div>
        <w:div w:id="1184319548">
          <w:marLeft w:val="0"/>
          <w:marRight w:val="0"/>
          <w:marTop w:val="0"/>
          <w:marBottom w:val="300"/>
          <w:divBdr>
            <w:top w:val="none" w:sz="0" w:space="0" w:color="auto"/>
            <w:left w:val="none" w:sz="0" w:space="0" w:color="auto"/>
            <w:bottom w:val="none" w:sz="0" w:space="0" w:color="auto"/>
            <w:right w:val="none" w:sz="0" w:space="0" w:color="auto"/>
          </w:divBdr>
          <w:divsChild>
            <w:div w:id="209770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687960">
      <w:bodyDiv w:val="1"/>
      <w:marLeft w:val="0"/>
      <w:marRight w:val="0"/>
      <w:marTop w:val="0"/>
      <w:marBottom w:val="0"/>
      <w:divBdr>
        <w:top w:val="none" w:sz="0" w:space="0" w:color="auto"/>
        <w:left w:val="none" w:sz="0" w:space="0" w:color="auto"/>
        <w:bottom w:val="none" w:sz="0" w:space="0" w:color="auto"/>
        <w:right w:val="none" w:sz="0" w:space="0" w:color="auto"/>
      </w:divBdr>
      <w:divsChild>
        <w:div w:id="226651399">
          <w:marLeft w:val="0"/>
          <w:marRight w:val="0"/>
          <w:marTop w:val="0"/>
          <w:marBottom w:val="150"/>
          <w:divBdr>
            <w:top w:val="none" w:sz="0" w:space="0" w:color="auto"/>
            <w:left w:val="none" w:sz="0" w:space="0" w:color="auto"/>
            <w:bottom w:val="none" w:sz="0" w:space="0" w:color="auto"/>
            <w:right w:val="none" w:sz="0" w:space="0" w:color="auto"/>
          </w:divBdr>
        </w:div>
        <w:div w:id="1870756973">
          <w:marLeft w:val="0"/>
          <w:marRight w:val="0"/>
          <w:marTop w:val="0"/>
          <w:marBottom w:val="150"/>
          <w:divBdr>
            <w:top w:val="none" w:sz="0" w:space="0" w:color="auto"/>
            <w:left w:val="none" w:sz="0" w:space="0" w:color="auto"/>
            <w:bottom w:val="none" w:sz="0" w:space="0" w:color="auto"/>
            <w:right w:val="none" w:sz="0" w:space="0" w:color="auto"/>
          </w:divBdr>
          <w:divsChild>
            <w:div w:id="897934473">
              <w:marLeft w:val="0"/>
              <w:marRight w:val="0"/>
              <w:marTop w:val="0"/>
              <w:marBottom w:val="0"/>
              <w:divBdr>
                <w:top w:val="none" w:sz="0" w:space="0" w:color="auto"/>
                <w:left w:val="none" w:sz="0" w:space="0" w:color="auto"/>
                <w:bottom w:val="none" w:sz="0" w:space="0" w:color="auto"/>
                <w:right w:val="none" w:sz="0" w:space="0" w:color="auto"/>
              </w:divBdr>
            </w:div>
          </w:divsChild>
        </w:div>
        <w:div w:id="2066178521">
          <w:marLeft w:val="0"/>
          <w:marRight w:val="0"/>
          <w:marTop w:val="0"/>
          <w:marBottom w:val="0"/>
          <w:divBdr>
            <w:top w:val="none" w:sz="0" w:space="0" w:color="auto"/>
            <w:left w:val="none" w:sz="0" w:space="0" w:color="auto"/>
            <w:bottom w:val="none" w:sz="0" w:space="0" w:color="auto"/>
            <w:right w:val="none" w:sz="0" w:space="0" w:color="auto"/>
          </w:divBdr>
          <w:divsChild>
            <w:div w:id="39717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716950">
      <w:bodyDiv w:val="1"/>
      <w:marLeft w:val="0"/>
      <w:marRight w:val="0"/>
      <w:marTop w:val="0"/>
      <w:marBottom w:val="0"/>
      <w:divBdr>
        <w:top w:val="none" w:sz="0" w:space="0" w:color="auto"/>
        <w:left w:val="none" w:sz="0" w:space="0" w:color="auto"/>
        <w:bottom w:val="none" w:sz="0" w:space="0" w:color="auto"/>
        <w:right w:val="none" w:sz="0" w:space="0" w:color="auto"/>
      </w:divBdr>
      <w:divsChild>
        <w:div w:id="472063851">
          <w:marLeft w:val="0"/>
          <w:marRight w:val="0"/>
          <w:marTop w:val="0"/>
          <w:marBottom w:val="0"/>
          <w:divBdr>
            <w:top w:val="none" w:sz="0" w:space="0" w:color="auto"/>
            <w:left w:val="none" w:sz="0" w:space="0" w:color="auto"/>
            <w:bottom w:val="none" w:sz="0" w:space="0" w:color="auto"/>
            <w:right w:val="none" w:sz="0" w:space="0" w:color="auto"/>
          </w:divBdr>
          <w:divsChild>
            <w:div w:id="1490906147">
              <w:marLeft w:val="0"/>
              <w:marRight w:val="0"/>
              <w:marTop w:val="0"/>
              <w:marBottom w:val="0"/>
              <w:divBdr>
                <w:top w:val="none" w:sz="0" w:space="0" w:color="auto"/>
                <w:left w:val="none" w:sz="0" w:space="0" w:color="auto"/>
                <w:bottom w:val="none" w:sz="0" w:space="0" w:color="auto"/>
                <w:right w:val="none" w:sz="0" w:space="0" w:color="auto"/>
              </w:divBdr>
            </w:div>
          </w:divsChild>
        </w:div>
        <w:div w:id="1556427105">
          <w:marLeft w:val="0"/>
          <w:marRight w:val="0"/>
          <w:marTop w:val="240"/>
          <w:marBottom w:val="0"/>
          <w:divBdr>
            <w:top w:val="none" w:sz="0" w:space="0" w:color="auto"/>
            <w:left w:val="none" w:sz="0" w:space="0" w:color="auto"/>
            <w:bottom w:val="none" w:sz="0" w:space="0" w:color="auto"/>
            <w:right w:val="none" w:sz="0" w:space="0" w:color="auto"/>
          </w:divBdr>
        </w:div>
        <w:div w:id="2008971379">
          <w:marLeft w:val="0"/>
          <w:marRight w:val="0"/>
          <w:marTop w:val="0"/>
          <w:marBottom w:val="0"/>
          <w:divBdr>
            <w:top w:val="none" w:sz="0" w:space="0" w:color="auto"/>
            <w:left w:val="none" w:sz="0" w:space="0" w:color="auto"/>
            <w:bottom w:val="none" w:sz="0" w:space="0" w:color="auto"/>
            <w:right w:val="none" w:sz="0" w:space="0" w:color="auto"/>
          </w:divBdr>
          <w:divsChild>
            <w:div w:id="26152133">
              <w:marLeft w:val="-225"/>
              <w:marRight w:val="-225"/>
              <w:marTop w:val="0"/>
              <w:marBottom w:val="0"/>
              <w:divBdr>
                <w:top w:val="none" w:sz="0" w:space="0" w:color="auto"/>
                <w:left w:val="none" w:sz="0" w:space="0" w:color="auto"/>
                <w:bottom w:val="none" w:sz="0" w:space="0" w:color="auto"/>
                <w:right w:val="none" w:sz="0" w:space="0" w:color="auto"/>
              </w:divBdr>
              <w:divsChild>
                <w:div w:id="1701666396">
                  <w:marLeft w:val="0"/>
                  <w:marRight w:val="0"/>
                  <w:marTop w:val="0"/>
                  <w:marBottom w:val="0"/>
                  <w:divBdr>
                    <w:top w:val="none" w:sz="0" w:space="0" w:color="auto"/>
                    <w:left w:val="none" w:sz="0" w:space="0" w:color="auto"/>
                    <w:bottom w:val="none" w:sz="0" w:space="0" w:color="auto"/>
                    <w:right w:val="single" w:sz="6" w:space="0" w:color="000000"/>
                  </w:divBdr>
                  <w:divsChild>
                    <w:div w:id="1014769886">
                      <w:marLeft w:val="0"/>
                      <w:marRight w:val="0"/>
                      <w:marTop w:val="0"/>
                      <w:marBottom w:val="0"/>
                      <w:divBdr>
                        <w:top w:val="none" w:sz="0" w:space="0" w:color="auto"/>
                        <w:left w:val="none" w:sz="0" w:space="0" w:color="auto"/>
                        <w:bottom w:val="none" w:sz="0" w:space="0" w:color="auto"/>
                        <w:right w:val="none" w:sz="0" w:space="0" w:color="auto"/>
                      </w:divBdr>
                      <w:divsChild>
                        <w:div w:id="1865709281">
                          <w:marLeft w:val="0"/>
                          <w:marRight w:val="0"/>
                          <w:marTop w:val="0"/>
                          <w:marBottom w:val="0"/>
                          <w:divBdr>
                            <w:top w:val="none" w:sz="0" w:space="0" w:color="auto"/>
                            <w:left w:val="none" w:sz="0" w:space="0" w:color="auto"/>
                            <w:bottom w:val="none" w:sz="0" w:space="0" w:color="auto"/>
                            <w:right w:val="none" w:sz="0" w:space="0" w:color="auto"/>
                          </w:divBdr>
                        </w:div>
                        <w:div w:id="1064832908">
                          <w:marLeft w:val="0"/>
                          <w:marRight w:val="0"/>
                          <w:marTop w:val="0"/>
                          <w:marBottom w:val="0"/>
                          <w:divBdr>
                            <w:top w:val="none" w:sz="0" w:space="0" w:color="auto"/>
                            <w:left w:val="none" w:sz="0" w:space="0" w:color="auto"/>
                            <w:bottom w:val="none" w:sz="0" w:space="0" w:color="auto"/>
                            <w:right w:val="none" w:sz="0" w:space="0" w:color="auto"/>
                          </w:divBdr>
                        </w:div>
                        <w:div w:id="44836008">
                          <w:marLeft w:val="0"/>
                          <w:marRight w:val="0"/>
                          <w:marTop w:val="0"/>
                          <w:marBottom w:val="0"/>
                          <w:divBdr>
                            <w:top w:val="none" w:sz="0" w:space="0" w:color="auto"/>
                            <w:left w:val="none" w:sz="0" w:space="0" w:color="auto"/>
                            <w:bottom w:val="none" w:sz="0" w:space="0" w:color="auto"/>
                            <w:right w:val="none" w:sz="0" w:space="0" w:color="auto"/>
                          </w:divBdr>
                        </w:div>
                        <w:div w:id="1700550774">
                          <w:marLeft w:val="0"/>
                          <w:marRight w:val="0"/>
                          <w:marTop w:val="0"/>
                          <w:marBottom w:val="0"/>
                          <w:divBdr>
                            <w:top w:val="none" w:sz="0" w:space="0" w:color="auto"/>
                            <w:left w:val="none" w:sz="0" w:space="0" w:color="auto"/>
                            <w:bottom w:val="none" w:sz="0" w:space="0" w:color="auto"/>
                            <w:right w:val="none" w:sz="0" w:space="0" w:color="auto"/>
                          </w:divBdr>
                        </w:div>
                        <w:div w:id="99329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43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101910">
      <w:bodyDiv w:val="1"/>
      <w:marLeft w:val="0"/>
      <w:marRight w:val="0"/>
      <w:marTop w:val="0"/>
      <w:marBottom w:val="0"/>
      <w:divBdr>
        <w:top w:val="none" w:sz="0" w:space="0" w:color="auto"/>
        <w:left w:val="none" w:sz="0" w:space="0" w:color="auto"/>
        <w:bottom w:val="none" w:sz="0" w:space="0" w:color="auto"/>
        <w:right w:val="none" w:sz="0" w:space="0" w:color="auto"/>
      </w:divBdr>
      <w:divsChild>
        <w:div w:id="936596454">
          <w:marLeft w:val="0"/>
          <w:marRight w:val="0"/>
          <w:marTop w:val="150"/>
          <w:marBottom w:val="0"/>
          <w:divBdr>
            <w:top w:val="none" w:sz="0" w:space="0" w:color="auto"/>
            <w:left w:val="none" w:sz="0" w:space="0" w:color="auto"/>
            <w:bottom w:val="none" w:sz="0" w:space="0" w:color="auto"/>
            <w:right w:val="none" w:sz="0" w:space="0" w:color="auto"/>
          </w:divBdr>
          <w:divsChild>
            <w:div w:id="1394430790">
              <w:marLeft w:val="0"/>
              <w:marRight w:val="0"/>
              <w:marTop w:val="0"/>
              <w:marBottom w:val="0"/>
              <w:divBdr>
                <w:top w:val="none" w:sz="0" w:space="0" w:color="auto"/>
                <w:left w:val="none" w:sz="0" w:space="0" w:color="auto"/>
                <w:bottom w:val="none" w:sz="0" w:space="0" w:color="auto"/>
                <w:right w:val="none" w:sz="0" w:space="0" w:color="auto"/>
              </w:divBdr>
              <w:divsChild>
                <w:div w:id="165309485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54411877">
          <w:marLeft w:val="0"/>
          <w:marRight w:val="0"/>
          <w:marTop w:val="0"/>
          <w:marBottom w:val="0"/>
          <w:divBdr>
            <w:top w:val="none" w:sz="0" w:space="0" w:color="auto"/>
            <w:left w:val="none" w:sz="0" w:space="0" w:color="auto"/>
            <w:bottom w:val="none" w:sz="0" w:space="0" w:color="auto"/>
            <w:right w:val="none" w:sz="0" w:space="0" w:color="auto"/>
          </w:divBdr>
          <w:divsChild>
            <w:div w:id="114997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301956">
      <w:bodyDiv w:val="1"/>
      <w:marLeft w:val="0"/>
      <w:marRight w:val="0"/>
      <w:marTop w:val="0"/>
      <w:marBottom w:val="0"/>
      <w:divBdr>
        <w:top w:val="none" w:sz="0" w:space="0" w:color="auto"/>
        <w:left w:val="none" w:sz="0" w:space="0" w:color="auto"/>
        <w:bottom w:val="none" w:sz="0" w:space="0" w:color="auto"/>
        <w:right w:val="none" w:sz="0" w:space="0" w:color="auto"/>
      </w:divBdr>
      <w:divsChild>
        <w:div w:id="305427911">
          <w:marLeft w:val="0"/>
          <w:marRight w:val="0"/>
          <w:marTop w:val="0"/>
          <w:marBottom w:val="0"/>
          <w:divBdr>
            <w:top w:val="none" w:sz="0" w:space="0" w:color="auto"/>
            <w:left w:val="none" w:sz="0" w:space="0" w:color="auto"/>
            <w:bottom w:val="none" w:sz="0" w:space="0" w:color="auto"/>
            <w:right w:val="none" w:sz="0" w:space="0" w:color="auto"/>
          </w:divBdr>
        </w:div>
      </w:divsChild>
    </w:div>
    <w:div w:id="1997412454">
      <w:bodyDiv w:val="1"/>
      <w:marLeft w:val="0"/>
      <w:marRight w:val="0"/>
      <w:marTop w:val="0"/>
      <w:marBottom w:val="0"/>
      <w:divBdr>
        <w:top w:val="none" w:sz="0" w:space="0" w:color="auto"/>
        <w:left w:val="none" w:sz="0" w:space="0" w:color="auto"/>
        <w:bottom w:val="none" w:sz="0" w:space="0" w:color="auto"/>
        <w:right w:val="none" w:sz="0" w:space="0" w:color="auto"/>
      </w:divBdr>
      <w:divsChild>
        <w:div w:id="477038979">
          <w:marLeft w:val="0"/>
          <w:marRight w:val="0"/>
          <w:marTop w:val="0"/>
          <w:marBottom w:val="0"/>
          <w:divBdr>
            <w:top w:val="none" w:sz="0" w:space="0" w:color="auto"/>
            <w:left w:val="none" w:sz="0" w:space="0" w:color="auto"/>
            <w:bottom w:val="dotted" w:sz="6" w:space="4" w:color="DDDDDD"/>
            <w:right w:val="none" w:sz="0" w:space="0" w:color="auto"/>
          </w:divBdr>
          <w:divsChild>
            <w:div w:id="82747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412638">
      <w:bodyDiv w:val="1"/>
      <w:marLeft w:val="0"/>
      <w:marRight w:val="0"/>
      <w:marTop w:val="0"/>
      <w:marBottom w:val="0"/>
      <w:divBdr>
        <w:top w:val="none" w:sz="0" w:space="0" w:color="auto"/>
        <w:left w:val="none" w:sz="0" w:space="0" w:color="auto"/>
        <w:bottom w:val="none" w:sz="0" w:space="0" w:color="auto"/>
        <w:right w:val="none" w:sz="0" w:space="0" w:color="auto"/>
      </w:divBdr>
      <w:divsChild>
        <w:div w:id="168833788">
          <w:marLeft w:val="0"/>
          <w:marRight w:val="0"/>
          <w:marTop w:val="0"/>
          <w:marBottom w:val="0"/>
          <w:divBdr>
            <w:top w:val="none" w:sz="0" w:space="0" w:color="auto"/>
            <w:left w:val="none" w:sz="0" w:space="0" w:color="auto"/>
            <w:bottom w:val="dotted" w:sz="6" w:space="4" w:color="DDDDDD"/>
            <w:right w:val="none" w:sz="0" w:space="0" w:color="auto"/>
          </w:divBdr>
          <w:divsChild>
            <w:div w:id="74758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82729">
      <w:bodyDiv w:val="1"/>
      <w:marLeft w:val="0"/>
      <w:marRight w:val="0"/>
      <w:marTop w:val="0"/>
      <w:marBottom w:val="0"/>
      <w:divBdr>
        <w:top w:val="none" w:sz="0" w:space="0" w:color="auto"/>
        <w:left w:val="none" w:sz="0" w:space="0" w:color="auto"/>
        <w:bottom w:val="none" w:sz="0" w:space="0" w:color="auto"/>
        <w:right w:val="none" w:sz="0" w:space="0" w:color="auto"/>
      </w:divBdr>
      <w:divsChild>
        <w:div w:id="1207372480">
          <w:marLeft w:val="0"/>
          <w:marRight w:val="0"/>
          <w:marTop w:val="0"/>
          <w:marBottom w:val="0"/>
          <w:divBdr>
            <w:top w:val="none" w:sz="0" w:space="0" w:color="auto"/>
            <w:left w:val="none" w:sz="0" w:space="0" w:color="auto"/>
            <w:bottom w:val="none" w:sz="0" w:space="0" w:color="auto"/>
            <w:right w:val="none" w:sz="0" w:space="0" w:color="auto"/>
          </w:divBdr>
          <w:divsChild>
            <w:div w:id="6197226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98074699">
      <w:bodyDiv w:val="1"/>
      <w:marLeft w:val="0"/>
      <w:marRight w:val="0"/>
      <w:marTop w:val="0"/>
      <w:marBottom w:val="0"/>
      <w:divBdr>
        <w:top w:val="none" w:sz="0" w:space="0" w:color="auto"/>
        <w:left w:val="none" w:sz="0" w:space="0" w:color="auto"/>
        <w:bottom w:val="none" w:sz="0" w:space="0" w:color="auto"/>
        <w:right w:val="none" w:sz="0" w:space="0" w:color="auto"/>
      </w:divBdr>
      <w:divsChild>
        <w:div w:id="129906694">
          <w:marLeft w:val="0"/>
          <w:marRight w:val="0"/>
          <w:marTop w:val="0"/>
          <w:marBottom w:val="0"/>
          <w:divBdr>
            <w:top w:val="none" w:sz="0" w:space="0" w:color="auto"/>
            <w:left w:val="none" w:sz="0" w:space="0" w:color="auto"/>
            <w:bottom w:val="none" w:sz="0" w:space="0" w:color="auto"/>
            <w:right w:val="none" w:sz="0" w:space="0" w:color="auto"/>
          </w:divBdr>
          <w:divsChild>
            <w:div w:id="430901215">
              <w:marLeft w:val="0"/>
              <w:marRight w:val="0"/>
              <w:marTop w:val="0"/>
              <w:marBottom w:val="300"/>
              <w:divBdr>
                <w:top w:val="none" w:sz="0" w:space="0" w:color="auto"/>
                <w:left w:val="none" w:sz="0" w:space="0" w:color="auto"/>
                <w:bottom w:val="single" w:sz="6" w:space="0" w:color="F1F1F1"/>
                <w:right w:val="none" w:sz="0" w:space="0" w:color="auto"/>
              </w:divBdr>
              <w:divsChild>
                <w:div w:id="9838560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32849717">
          <w:marLeft w:val="0"/>
          <w:marRight w:val="0"/>
          <w:marTop w:val="0"/>
          <w:marBottom w:val="0"/>
          <w:divBdr>
            <w:top w:val="none" w:sz="0" w:space="0" w:color="auto"/>
            <w:left w:val="none" w:sz="0" w:space="0" w:color="auto"/>
            <w:bottom w:val="none" w:sz="0" w:space="0" w:color="auto"/>
            <w:right w:val="none" w:sz="0" w:space="0" w:color="auto"/>
          </w:divBdr>
          <w:divsChild>
            <w:div w:id="1530877694">
              <w:marLeft w:val="0"/>
              <w:marRight w:val="0"/>
              <w:marTop w:val="0"/>
              <w:marBottom w:val="0"/>
              <w:divBdr>
                <w:top w:val="none" w:sz="0" w:space="0" w:color="auto"/>
                <w:left w:val="none" w:sz="0" w:space="0" w:color="auto"/>
                <w:bottom w:val="none" w:sz="0" w:space="0" w:color="auto"/>
                <w:right w:val="none" w:sz="0" w:space="0" w:color="auto"/>
              </w:divBdr>
              <w:divsChild>
                <w:div w:id="117604188">
                  <w:marLeft w:val="300"/>
                  <w:marRight w:val="0"/>
                  <w:marTop w:val="0"/>
                  <w:marBottom w:val="0"/>
                  <w:divBdr>
                    <w:top w:val="none" w:sz="0" w:space="0" w:color="auto"/>
                    <w:left w:val="none" w:sz="0" w:space="0" w:color="auto"/>
                    <w:bottom w:val="none" w:sz="0" w:space="0" w:color="auto"/>
                    <w:right w:val="none" w:sz="0" w:space="0" w:color="auto"/>
                  </w:divBdr>
                  <w:divsChild>
                    <w:div w:id="146897675">
                      <w:marLeft w:val="0"/>
                      <w:marRight w:val="0"/>
                      <w:marTop w:val="0"/>
                      <w:marBottom w:val="300"/>
                      <w:divBdr>
                        <w:top w:val="none" w:sz="0" w:space="0" w:color="auto"/>
                        <w:left w:val="none" w:sz="0" w:space="0" w:color="auto"/>
                        <w:bottom w:val="none" w:sz="0" w:space="0" w:color="auto"/>
                        <w:right w:val="none" w:sz="0" w:space="0" w:color="auto"/>
                      </w:divBdr>
                      <w:divsChild>
                        <w:div w:id="1650866068">
                          <w:marLeft w:val="0"/>
                          <w:marRight w:val="0"/>
                          <w:marTop w:val="0"/>
                          <w:marBottom w:val="0"/>
                          <w:divBdr>
                            <w:top w:val="none" w:sz="0" w:space="0" w:color="auto"/>
                            <w:left w:val="none" w:sz="0" w:space="0" w:color="auto"/>
                            <w:bottom w:val="none" w:sz="0" w:space="0" w:color="auto"/>
                            <w:right w:val="none" w:sz="0" w:space="0" w:color="auto"/>
                          </w:divBdr>
                          <w:divsChild>
                            <w:div w:id="756025193">
                              <w:marLeft w:val="0"/>
                              <w:marRight w:val="0"/>
                              <w:marTop w:val="0"/>
                              <w:marBottom w:val="0"/>
                              <w:divBdr>
                                <w:top w:val="none" w:sz="0" w:space="0" w:color="auto"/>
                                <w:left w:val="none" w:sz="0" w:space="0" w:color="auto"/>
                                <w:bottom w:val="none" w:sz="0" w:space="0" w:color="auto"/>
                                <w:right w:val="none" w:sz="0" w:space="0" w:color="auto"/>
                              </w:divBdr>
                              <w:divsChild>
                                <w:div w:id="1045566600">
                                  <w:marLeft w:val="0"/>
                                  <w:marRight w:val="0"/>
                                  <w:marTop w:val="0"/>
                                  <w:marBottom w:val="0"/>
                                  <w:divBdr>
                                    <w:top w:val="single" w:sz="2" w:space="0" w:color="DFDFDF"/>
                                    <w:left w:val="single" w:sz="2" w:space="0" w:color="DFDFDF"/>
                                    <w:bottom w:val="single" w:sz="2" w:space="0" w:color="DFDFDF"/>
                                    <w:right w:val="single" w:sz="2" w:space="0" w:color="DFDFDF"/>
                                  </w:divBdr>
                                  <w:divsChild>
                                    <w:div w:id="566648053">
                                      <w:marLeft w:val="-90"/>
                                      <w:marRight w:val="0"/>
                                      <w:marTop w:val="0"/>
                                      <w:marBottom w:val="0"/>
                                      <w:divBdr>
                                        <w:top w:val="none" w:sz="0" w:space="0" w:color="auto"/>
                                        <w:left w:val="none" w:sz="0" w:space="0" w:color="auto"/>
                                        <w:bottom w:val="none" w:sz="0" w:space="0" w:color="auto"/>
                                        <w:right w:val="none" w:sz="0" w:space="0" w:color="auto"/>
                                      </w:divBdr>
                                      <w:divsChild>
                                        <w:div w:id="1364138830">
                                          <w:marLeft w:val="0"/>
                                          <w:marRight w:val="0"/>
                                          <w:marTop w:val="0"/>
                                          <w:marBottom w:val="45"/>
                                          <w:divBdr>
                                            <w:top w:val="single" w:sz="2" w:space="0" w:color="A9A9A9"/>
                                            <w:left w:val="single" w:sz="2" w:space="0" w:color="A9A9A9"/>
                                            <w:bottom w:val="single" w:sz="2" w:space="0" w:color="A9A9A9"/>
                                            <w:right w:val="single" w:sz="2" w:space="0" w:color="A9A9A9"/>
                                          </w:divBdr>
                                          <w:divsChild>
                                            <w:div w:id="285476897">
                                              <w:marLeft w:val="0"/>
                                              <w:marRight w:val="0"/>
                                              <w:marTop w:val="0"/>
                                              <w:marBottom w:val="0"/>
                                              <w:divBdr>
                                                <w:top w:val="none" w:sz="0" w:space="0" w:color="auto"/>
                                                <w:left w:val="none" w:sz="0" w:space="0" w:color="auto"/>
                                                <w:bottom w:val="none" w:sz="0" w:space="0" w:color="auto"/>
                                                <w:right w:val="none" w:sz="0" w:space="0" w:color="auto"/>
                                              </w:divBdr>
                                              <w:divsChild>
                                                <w:div w:id="62334331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081101030">
                                      <w:marLeft w:val="0"/>
                                      <w:marRight w:val="0"/>
                                      <w:marTop w:val="0"/>
                                      <w:marBottom w:val="270"/>
                                      <w:divBdr>
                                        <w:top w:val="none" w:sz="0" w:space="0" w:color="auto"/>
                                        <w:left w:val="none" w:sz="0" w:space="0" w:color="auto"/>
                                        <w:bottom w:val="single" w:sz="12" w:space="5" w:color="DADADA"/>
                                        <w:right w:val="none" w:sz="0" w:space="0" w:color="auto"/>
                                      </w:divBdr>
                                      <w:divsChild>
                                        <w:div w:id="171595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245016">
                          <w:marLeft w:val="0"/>
                          <w:marRight w:val="0"/>
                          <w:marTop w:val="0"/>
                          <w:marBottom w:val="0"/>
                          <w:divBdr>
                            <w:top w:val="none" w:sz="0" w:space="0" w:color="auto"/>
                            <w:left w:val="none" w:sz="0" w:space="0" w:color="auto"/>
                            <w:bottom w:val="none" w:sz="0" w:space="0" w:color="auto"/>
                            <w:right w:val="none" w:sz="0" w:space="0" w:color="auto"/>
                          </w:divBdr>
                          <w:divsChild>
                            <w:div w:id="627588093">
                              <w:marLeft w:val="0"/>
                              <w:marRight w:val="0"/>
                              <w:marTop w:val="0"/>
                              <w:marBottom w:val="0"/>
                              <w:divBdr>
                                <w:top w:val="none" w:sz="0" w:space="0" w:color="auto"/>
                                <w:left w:val="none" w:sz="0" w:space="0" w:color="auto"/>
                                <w:bottom w:val="none" w:sz="0" w:space="0" w:color="auto"/>
                                <w:right w:val="none" w:sz="0" w:space="0" w:color="auto"/>
                              </w:divBdr>
                              <w:divsChild>
                                <w:div w:id="1965387378">
                                  <w:marLeft w:val="0"/>
                                  <w:marRight w:val="0"/>
                                  <w:marTop w:val="0"/>
                                  <w:marBottom w:val="0"/>
                                  <w:divBdr>
                                    <w:top w:val="single" w:sz="2" w:space="0" w:color="DFDFDF"/>
                                    <w:left w:val="single" w:sz="2" w:space="0" w:color="DFDFDF"/>
                                    <w:bottom w:val="single" w:sz="2" w:space="0" w:color="DFDFDF"/>
                                    <w:right w:val="single" w:sz="2" w:space="0" w:color="DFDFDF"/>
                                  </w:divBdr>
                                  <w:divsChild>
                                    <w:div w:id="935557278">
                                      <w:marLeft w:val="-90"/>
                                      <w:marRight w:val="0"/>
                                      <w:marTop w:val="0"/>
                                      <w:marBottom w:val="0"/>
                                      <w:divBdr>
                                        <w:top w:val="none" w:sz="0" w:space="0" w:color="auto"/>
                                        <w:left w:val="none" w:sz="0" w:space="0" w:color="auto"/>
                                        <w:bottom w:val="none" w:sz="0" w:space="0" w:color="auto"/>
                                        <w:right w:val="none" w:sz="0" w:space="0" w:color="auto"/>
                                      </w:divBdr>
                                      <w:divsChild>
                                        <w:div w:id="1450396118">
                                          <w:marLeft w:val="0"/>
                                          <w:marRight w:val="0"/>
                                          <w:marTop w:val="0"/>
                                          <w:marBottom w:val="45"/>
                                          <w:divBdr>
                                            <w:top w:val="single" w:sz="2" w:space="0" w:color="A9A9A9"/>
                                            <w:left w:val="single" w:sz="2" w:space="0" w:color="A9A9A9"/>
                                            <w:bottom w:val="single" w:sz="2" w:space="0" w:color="A9A9A9"/>
                                            <w:right w:val="single" w:sz="2" w:space="0" w:color="A9A9A9"/>
                                          </w:divBdr>
                                          <w:divsChild>
                                            <w:div w:id="1557619427">
                                              <w:marLeft w:val="0"/>
                                              <w:marRight w:val="0"/>
                                              <w:marTop w:val="0"/>
                                              <w:marBottom w:val="0"/>
                                              <w:divBdr>
                                                <w:top w:val="none" w:sz="0" w:space="0" w:color="auto"/>
                                                <w:left w:val="none" w:sz="0" w:space="0" w:color="auto"/>
                                                <w:bottom w:val="none" w:sz="0" w:space="0" w:color="auto"/>
                                                <w:right w:val="none" w:sz="0" w:space="0" w:color="auto"/>
                                              </w:divBdr>
                                              <w:divsChild>
                                                <w:div w:id="861823300">
                                                  <w:marLeft w:val="92"/>
                                                  <w:marRight w:val="0"/>
                                                  <w:marTop w:val="0"/>
                                                  <w:marBottom w:val="150"/>
                                                  <w:divBdr>
                                                    <w:top w:val="single" w:sz="2" w:space="0" w:color="E4E4E4"/>
                                                    <w:left w:val="single" w:sz="2" w:space="0" w:color="E4E4E4"/>
                                                    <w:bottom w:val="single" w:sz="2" w:space="0" w:color="E4E4E4"/>
                                                    <w:right w:val="single" w:sz="2" w:space="0" w:color="E4E4E4"/>
                                                  </w:divBdr>
                                                </w:div>
                                                <w:div w:id="171815861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91698244">
                  <w:marLeft w:val="0"/>
                  <w:marRight w:val="0"/>
                  <w:marTop w:val="0"/>
                  <w:marBottom w:val="0"/>
                  <w:divBdr>
                    <w:top w:val="none" w:sz="0" w:space="0" w:color="auto"/>
                    <w:left w:val="none" w:sz="0" w:space="0" w:color="auto"/>
                    <w:bottom w:val="none" w:sz="0" w:space="0" w:color="auto"/>
                    <w:right w:val="none" w:sz="0" w:space="0" w:color="auto"/>
                  </w:divBdr>
                  <w:divsChild>
                    <w:div w:id="297608560">
                      <w:marLeft w:val="0"/>
                      <w:marRight w:val="0"/>
                      <w:marTop w:val="0"/>
                      <w:marBottom w:val="0"/>
                      <w:divBdr>
                        <w:top w:val="none" w:sz="0" w:space="0" w:color="auto"/>
                        <w:left w:val="none" w:sz="0" w:space="0" w:color="auto"/>
                        <w:bottom w:val="none" w:sz="0" w:space="0" w:color="auto"/>
                        <w:right w:val="none" w:sz="0" w:space="0" w:color="auto"/>
                      </w:divBdr>
                      <w:divsChild>
                        <w:div w:id="47069839">
                          <w:marLeft w:val="0"/>
                          <w:marRight w:val="0"/>
                          <w:marTop w:val="0"/>
                          <w:marBottom w:val="0"/>
                          <w:divBdr>
                            <w:top w:val="none" w:sz="0" w:space="0" w:color="auto"/>
                            <w:left w:val="none" w:sz="0" w:space="0" w:color="auto"/>
                            <w:bottom w:val="none" w:sz="0" w:space="0" w:color="auto"/>
                            <w:right w:val="none" w:sz="0" w:space="0" w:color="auto"/>
                          </w:divBdr>
                          <w:divsChild>
                            <w:div w:id="62207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886634">
                      <w:marLeft w:val="0"/>
                      <w:marRight w:val="0"/>
                      <w:marTop w:val="0"/>
                      <w:marBottom w:val="75"/>
                      <w:divBdr>
                        <w:top w:val="none" w:sz="0" w:space="0" w:color="auto"/>
                        <w:left w:val="none" w:sz="0" w:space="0" w:color="auto"/>
                        <w:bottom w:val="none" w:sz="0" w:space="0" w:color="auto"/>
                        <w:right w:val="none" w:sz="0" w:space="0" w:color="auto"/>
                      </w:divBdr>
                    </w:div>
                    <w:div w:id="1597329547">
                      <w:marLeft w:val="0"/>
                      <w:marRight w:val="0"/>
                      <w:marTop w:val="0"/>
                      <w:marBottom w:val="0"/>
                      <w:divBdr>
                        <w:top w:val="none" w:sz="0" w:space="0" w:color="auto"/>
                        <w:left w:val="none" w:sz="0" w:space="0" w:color="auto"/>
                        <w:bottom w:val="none" w:sz="0" w:space="0" w:color="auto"/>
                        <w:right w:val="none" w:sz="0" w:space="0" w:color="auto"/>
                      </w:divBdr>
                    </w:div>
                    <w:div w:id="1698193841">
                      <w:marLeft w:val="0"/>
                      <w:marRight w:val="0"/>
                      <w:marTop w:val="0"/>
                      <w:marBottom w:val="300"/>
                      <w:divBdr>
                        <w:top w:val="none" w:sz="0" w:space="0" w:color="auto"/>
                        <w:left w:val="none" w:sz="0" w:space="0" w:color="auto"/>
                        <w:bottom w:val="none" w:sz="0" w:space="0" w:color="auto"/>
                        <w:right w:val="none" w:sz="0" w:space="0" w:color="auto"/>
                      </w:divBdr>
                      <w:divsChild>
                        <w:div w:id="1508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8142169">
      <w:bodyDiv w:val="1"/>
      <w:marLeft w:val="0"/>
      <w:marRight w:val="0"/>
      <w:marTop w:val="0"/>
      <w:marBottom w:val="0"/>
      <w:divBdr>
        <w:top w:val="none" w:sz="0" w:space="0" w:color="auto"/>
        <w:left w:val="none" w:sz="0" w:space="0" w:color="auto"/>
        <w:bottom w:val="none" w:sz="0" w:space="0" w:color="auto"/>
        <w:right w:val="none" w:sz="0" w:space="0" w:color="auto"/>
      </w:divBdr>
      <w:divsChild>
        <w:div w:id="1084179090">
          <w:marLeft w:val="0"/>
          <w:marRight w:val="0"/>
          <w:marTop w:val="0"/>
          <w:marBottom w:val="450"/>
          <w:divBdr>
            <w:top w:val="none" w:sz="0" w:space="0" w:color="auto"/>
            <w:left w:val="none" w:sz="0" w:space="0" w:color="auto"/>
            <w:bottom w:val="none" w:sz="0" w:space="0" w:color="auto"/>
            <w:right w:val="none" w:sz="0" w:space="0" w:color="auto"/>
          </w:divBdr>
          <w:divsChild>
            <w:div w:id="920022552">
              <w:marLeft w:val="0"/>
              <w:marRight w:val="0"/>
              <w:marTop w:val="0"/>
              <w:marBottom w:val="0"/>
              <w:divBdr>
                <w:top w:val="none" w:sz="0" w:space="0" w:color="auto"/>
                <w:left w:val="none" w:sz="0" w:space="0" w:color="auto"/>
                <w:bottom w:val="none" w:sz="0" w:space="0" w:color="auto"/>
                <w:right w:val="none" w:sz="0" w:space="0" w:color="auto"/>
              </w:divBdr>
              <w:divsChild>
                <w:div w:id="1257790408">
                  <w:marLeft w:val="0"/>
                  <w:marRight w:val="0"/>
                  <w:marTop w:val="0"/>
                  <w:marBottom w:val="0"/>
                  <w:divBdr>
                    <w:top w:val="none" w:sz="0" w:space="0" w:color="auto"/>
                    <w:left w:val="none" w:sz="0" w:space="0" w:color="auto"/>
                    <w:bottom w:val="none" w:sz="0" w:space="0" w:color="auto"/>
                    <w:right w:val="none" w:sz="0" w:space="0" w:color="auto"/>
                  </w:divBdr>
                  <w:divsChild>
                    <w:div w:id="158691705">
                      <w:marLeft w:val="0"/>
                      <w:marRight w:val="0"/>
                      <w:marTop w:val="0"/>
                      <w:marBottom w:val="0"/>
                      <w:divBdr>
                        <w:top w:val="none" w:sz="0" w:space="0" w:color="auto"/>
                        <w:left w:val="none" w:sz="0" w:space="0" w:color="auto"/>
                        <w:bottom w:val="none" w:sz="0" w:space="0" w:color="auto"/>
                        <w:right w:val="none" w:sz="0" w:space="0" w:color="auto"/>
                      </w:divBdr>
                      <w:divsChild>
                        <w:div w:id="1597323909">
                          <w:marLeft w:val="0"/>
                          <w:marRight w:val="0"/>
                          <w:marTop w:val="0"/>
                          <w:marBottom w:val="225"/>
                          <w:divBdr>
                            <w:top w:val="none" w:sz="0" w:space="0" w:color="auto"/>
                            <w:left w:val="none" w:sz="0" w:space="0" w:color="auto"/>
                            <w:bottom w:val="none" w:sz="0" w:space="0" w:color="auto"/>
                            <w:right w:val="none" w:sz="0" w:space="0" w:color="auto"/>
                          </w:divBdr>
                          <w:divsChild>
                            <w:div w:id="22271475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91157988">
                      <w:marLeft w:val="0"/>
                      <w:marRight w:val="0"/>
                      <w:marTop w:val="0"/>
                      <w:marBottom w:val="0"/>
                      <w:divBdr>
                        <w:top w:val="none" w:sz="0" w:space="0" w:color="auto"/>
                        <w:left w:val="none" w:sz="0" w:space="0" w:color="auto"/>
                        <w:bottom w:val="none" w:sz="0" w:space="0" w:color="auto"/>
                        <w:right w:val="none" w:sz="0" w:space="0" w:color="auto"/>
                      </w:divBdr>
                      <w:divsChild>
                        <w:div w:id="540898049">
                          <w:marLeft w:val="0"/>
                          <w:marRight w:val="0"/>
                          <w:marTop w:val="0"/>
                          <w:marBottom w:val="0"/>
                          <w:divBdr>
                            <w:top w:val="none" w:sz="0" w:space="0" w:color="auto"/>
                            <w:left w:val="none" w:sz="0" w:space="0" w:color="auto"/>
                            <w:bottom w:val="none" w:sz="0" w:space="0" w:color="auto"/>
                            <w:right w:val="none" w:sz="0" w:space="0" w:color="auto"/>
                          </w:divBdr>
                          <w:divsChild>
                            <w:div w:id="60371508">
                              <w:marLeft w:val="0"/>
                              <w:marRight w:val="0"/>
                              <w:marTop w:val="0"/>
                              <w:marBottom w:val="0"/>
                              <w:divBdr>
                                <w:top w:val="none" w:sz="0" w:space="0" w:color="auto"/>
                                <w:left w:val="none" w:sz="0" w:space="0" w:color="auto"/>
                                <w:bottom w:val="none" w:sz="0" w:space="0" w:color="auto"/>
                                <w:right w:val="none" w:sz="0" w:space="0" w:color="auto"/>
                              </w:divBdr>
                            </w:div>
                            <w:div w:id="69354662">
                              <w:marLeft w:val="0"/>
                              <w:marRight w:val="0"/>
                              <w:marTop w:val="0"/>
                              <w:marBottom w:val="0"/>
                              <w:divBdr>
                                <w:top w:val="none" w:sz="0" w:space="0" w:color="auto"/>
                                <w:left w:val="none" w:sz="0" w:space="0" w:color="auto"/>
                                <w:bottom w:val="none" w:sz="0" w:space="0" w:color="auto"/>
                                <w:right w:val="none" w:sz="0" w:space="0" w:color="auto"/>
                              </w:divBdr>
                            </w:div>
                            <w:div w:id="259070479">
                              <w:marLeft w:val="0"/>
                              <w:marRight w:val="0"/>
                              <w:marTop w:val="0"/>
                              <w:marBottom w:val="0"/>
                              <w:divBdr>
                                <w:top w:val="none" w:sz="0" w:space="0" w:color="auto"/>
                                <w:left w:val="none" w:sz="0" w:space="0" w:color="auto"/>
                                <w:bottom w:val="none" w:sz="0" w:space="0" w:color="auto"/>
                                <w:right w:val="none" w:sz="0" w:space="0" w:color="auto"/>
                              </w:divBdr>
                            </w:div>
                            <w:div w:id="957376045">
                              <w:marLeft w:val="0"/>
                              <w:marRight w:val="0"/>
                              <w:marTop w:val="0"/>
                              <w:marBottom w:val="0"/>
                              <w:divBdr>
                                <w:top w:val="none" w:sz="0" w:space="0" w:color="auto"/>
                                <w:left w:val="none" w:sz="0" w:space="0" w:color="auto"/>
                                <w:bottom w:val="none" w:sz="0" w:space="0" w:color="auto"/>
                                <w:right w:val="none" w:sz="0" w:space="0" w:color="auto"/>
                              </w:divBdr>
                            </w:div>
                            <w:div w:id="120247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030888">
          <w:marLeft w:val="0"/>
          <w:marRight w:val="0"/>
          <w:marTop w:val="0"/>
          <w:marBottom w:val="375"/>
          <w:divBdr>
            <w:top w:val="none" w:sz="0" w:space="0" w:color="auto"/>
            <w:left w:val="none" w:sz="0" w:space="0" w:color="auto"/>
            <w:bottom w:val="dotted" w:sz="6" w:space="14" w:color="C2C2C2"/>
            <w:right w:val="none" w:sz="0" w:space="0" w:color="auto"/>
          </w:divBdr>
          <w:divsChild>
            <w:div w:id="197931674">
              <w:marLeft w:val="0"/>
              <w:marRight w:val="0"/>
              <w:marTop w:val="0"/>
              <w:marBottom w:val="0"/>
              <w:divBdr>
                <w:top w:val="none" w:sz="0" w:space="0" w:color="auto"/>
                <w:left w:val="none" w:sz="0" w:space="0" w:color="auto"/>
                <w:bottom w:val="none" w:sz="0" w:space="0" w:color="auto"/>
                <w:right w:val="none" w:sz="0" w:space="0" w:color="auto"/>
              </w:divBdr>
              <w:divsChild>
                <w:div w:id="1721241681">
                  <w:marLeft w:val="0"/>
                  <w:marRight w:val="0"/>
                  <w:marTop w:val="0"/>
                  <w:marBottom w:val="0"/>
                  <w:divBdr>
                    <w:top w:val="none" w:sz="0" w:space="0" w:color="auto"/>
                    <w:left w:val="none" w:sz="0" w:space="0" w:color="auto"/>
                    <w:bottom w:val="none" w:sz="0" w:space="0" w:color="auto"/>
                    <w:right w:val="none" w:sz="0" w:space="0" w:color="auto"/>
                  </w:divBdr>
                  <w:divsChild>
                    <w:div w:id="766929847">
                      <w:marLeft w:val="0"/>
                      <w:marRight w:val="0"/>
                      <w:marTop w:val="0"/>
                      <w:marBottom w:val="0"/>
                      <w:divBdr>
                        <w:top w:val="none" w:sz="0" w:space="0" w:color="auto"/>
                        <w:left w:val="none" w:sz="0" w:space="0" w:color="auto"/>
                        <w:bottom w:val="none" w:sz="0" w:space="0" w:color="auto"/>
                        <w:right w:val="none" w:sz="0" w:space="0" w:color="auto"/>
                      </w:divBdr>
                      <w:divsChild>
                        <w:div w:id="225070553">
                          <w:marLeft w:val="0"/>
                          <w:marRight w:val="0"/>
                          <w:marTop w:val="0"/>
                          <w:marBottom w:val="0"/>
                          <w:divBdr>
                            <w:top w:val="none" w:sz="0" w:space="0" w:color="auto"/>
                            <w:left w:val="none" w:sz="0" w:space="0" w:color="auto"/>
                            <w:bottom w:val="none" w:sz="0" w:space="0" w:color="auto"/>
                            <w:right w:val="none" w:sz="0" w:space="0" w:color="auto"/>
                          </w:divBdr>
                          <w:divsChild>
                            <w:div w:id="116578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84572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98799122">
      <w:bodyDiv w:val="1"/>
      <w:marLeft w:val="0"/>
      <w:marRight w:val="0"/>
      <w:marTop w:val="0"/>
      <w:marBottom w:val="0"/>
      <w:divBdr>
        <w:top w:val="none" w:sz="0" w:space="0" w:color="auto"/>
        <w:left w:val="none" w:sz="0" w:space="0" w:color="auto"/>
        <w:bottom w:val="none" w:sz="0" w:space="0" w:color="auto"/>
        <w:right w:val="none" w:sz="0" w:space="0" w:color="auto"/>
      </w:divBdr>
    </w:div>
    <w:div w:id="1998799493">
      <w:bodyDiv w:val="1"/>
      <w:marLeft w:val="0"/>
      <w:marRight w:val="0"/>
      <w:marTop w:val="0"/>
      <w:marBottom w:val="0"/>
      <w:divBdr>
        <w:top w:val="none" w:sz="0" w:space="0" w:color="auto"/>
        <w:left w:val="none" w:sz="0" w:space="0" w:color="auto"/>
        <w:bottom w:val="none" w:sz="0" w:space="0" w:color="auto"/>
        <w:right w:val="none" w:sz="0" w:space="0" w:color="auto"/>
      </w:divBdr>
      <w:divsChild>
        <w:div w:id="1884249217">
          <w:marLeft w:val="0"/>
          <w:marRight w:val="0"/>
          <w:marTop w:val="0"/>
          <w:marBottom w:val="0"/>
          <w:divBdr>
            <w:top w:val="none" w:sz="0" w:space="0" w:color="auto"/>
            <w:left w:val="none" w:sz="0" w:space="0" w:color="auto"/>
            <w:bottom w:val="none" w:sz="0" w:space="0" w:color="auto"/>
            <w:right w:val="none" w:sz="0" w:space="0" w:color="auto"/>
          </w:divBdr>
          <w:divsChild>
            <w:div w:id="1087579542">
              <w:marLeft w:val="0"/>
              <w:marRight w:val="0"/>
              <w:marTop w:val="0"/>
              <w:marBottom w:val="0"/>
              <w:divBdr>
                <w:top w:val="none" w:sz="0" w:space="0" w:color="auto"/>
                <w:left w:val="none" w:sz="0" w:space="0" w:color="auto"/>
                <w:bottom w:val="none" w:sz="0" w:space="0" w:color="auto"/>
                <w:right w:val="none" w:sz="0" w:space="0" w:color="auto"/>
              </w:divBdr>
              <w:divsChild>
                <w:div w:id="277028364">
                  <w:marLeft w:val="0"/>
                  <w:marRight w:val="0"/>
                  <w:marTop w:val="0"/>
                  <w:marBottom w:val="0"/>
                  <w:divBdr>
                    <w:top w:val="none" w:sz="0" w:space="0" w:color="auto"/>
                    <w:left w:val="none" w:sz="0" w:space="0" w:color="auto"/>
                    <w:bottom w:val="none" w:sz="0" w:space="0" w:color="auto"/>
                    <w:right w:val="none" w:sz="0" w:space="0" w:color="auto"/>
                  </w:divBdr>
                  <w:divsChild>
                    <w:div w:id="311913253">
                      <w:marLeft w:val="0"/>
                      <w:marRight w:val="0"/>
                      <w:marTop w:val="0"/>
                      <w:marBottom w:val="0"/>
                      <w:divBdr>
                        <w:top w:val="none" w:sz="0" w:space="0" w:color="auto"/>
                        <w:left w:val="none" w:sz="0" w:space="0" w:color="auto"/>
                        <w:bottom w:val="none" w:sz="0" w:space="0" w:color="auto"/>
                        <w:right w:val="none" w:sz="0" w:space="0" w:color="auto"/>
                      </w:divBdr>
                      <w:divsChild>
                        <w:div w:id="1476215836">
                          <w:marLeft w:val="0"/>
                          <w:marRight w:val="0"/>
                          <w:marTop w:val="0"/>
                          <w:marBottom w:val="0"/>
                          <w:divBdr>
                            <w:top w:val="none" w:sz="0" w:space="0" w:color="auto"/>
                            <w:left w:val="none" w:sz="0" w:space="0" w:color="auto"/>
                            <w:bottom w:val="none" w:sz="0" w:space="0" w:color="auto"/>
                            <w:right w:val="none" w:sz="0" w:space="0" w:color="auto"/>
                          </w:divBdr>
                          <w:divsChild>
                            <w:div w:id="1715501734">
                              <w:marLeft w:val="0"/>
                              <w:marRight w:val="0"/>
                              <w:marTop w:val="0"/>
                              <w:marBottom w:val="0"/>
                              <w:divBdr>
                                <w:top w:val="none" w:sz="0" w:space="0" w:color="auto"/>
                                <w:left w:val="none" w:sz="0" w:space="0" w:color="auto"/>
                                <w:bottom w:val="none" w:sz="0" w:space="0" w:color="auto"/>
                                <w:right w:val="none" w:sz="0" w:space="0" w:color="auto"/>
                              </w:divBdr>
                              <w:divsChild>
                                <w:div w:id="1254321689">
                                  <w:marLeft w:val="0"/>
                                  <w:marRight w:val="0"/>
                                  <w:marTop w:val="0"/>
                                  <w:marBottom w:val="0"/>
                                  <w:divBdr>
                                    <w:top w:val="none" w:sz="0" w:space="0" w:color="auto"/>
                                    <w:left w:val="none" w:sz="0" w:space="0" w:color="auto"/>
                                    <w:bottom w:val="none" w:sz="0" w:space="0" w:color="auto"/>
                                    <w:right w:val="none" w:sz="0" w:space="0" w:color="auto"/>
                                  </w:divBdr>
                                  <w:divsChild>
                                    <w:div w:id="280651975">
                                      <w:marLeft w:val="0"/>
                                      <w:marRight w:val="0"/>
                                      <w:marTop w:val="0"/>
                                      <w:marBottom w:val="0"/>
                                      <w:divBdr>
                                        <w:top w:val="none" w:sz="0" w:space="0" w:color="auto"/>
                                        <w:left w:val="none" w:sz="0" w:space="0" w:color="auto"/>
                                        <w:bottom w:val="none" w:sz="0" w:space="0" w:color="auto"/>
                                        <w:right w:val="none" w:sz="0" w:space="0" w:color="auto"/>
                                      </w:divBdr>
                                      <w:divsChild>
                                        <w:div w:id="103365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9193261">
      <w:bodyDiv w:val="1"/>
      <w:marLeft w:val="0"/>
      <w:marRight w:val="0"/>
      <w:marTop w:val="0"/>
      <w:marBottom w:val="0"/>
      <w:divBdr>
        <w:top w:val="none" w:sz="0" w:space="0" w:color="auto"/>
        <w:left w:val="none" w:sz="0" w:space="0" w:color="auto"/>
        <w:bottom w:val="none" w:sz="0" w:space="0" w:color="auto"/>
        <w:right w:val="none" w:sz="0" w:space="0" w:color="auto"/>
      </w:divBdr>
      <w:divsChild>
        <w:div w:id="1651251343">
          <w:marLeft w:val="0"/>
          <w:marRight w:val="0"/>
          <w:marTop w:val="0"/>
          <w:marBottom w:val="150"/>
          <w:divBdr>
            <w:top w:val="none" w:sz="0" w:space="0" w:color="auto"/>
            <w:left w:val="none" w:sz="0" w:space="0" w:color="auto"/>
            <w:bottom w:val="none" w:sz="0" w:space="0" w:color="auto"/>
            <w:right w:val="none" w:sz="0" w:space="0" w:color="auto"/>
          </w:divBdr>
        </w:div>
        <w:div w:id="1841461730">
          <w:marLeft w:val="0"/>
          <w:marRight w:val="0"/>
          <w:marTop w:val="0"/>
          <w:marBottom w:val="0"/>
          <w:divBdr>
            <w:top w:val="none" w:sz="0" w:space="0" w:color="auto"/>
            <w:left w:val="none" w:sz="0" w:space="0" w:color="auto"/>
            <w:bottom w:val="none" w:sz="0" w:space="0" w:color="auto"/>
            <w:right w:val="none" w:sz="0" w:space="0" w:color="auto"/>
          </w:divBdr>
        </w:div>
      </w:divsChild>
    </w:div>
    <w:div w:id="1999846528">
      <w:bodyDiv w:val="1"/>
      <w:marLeft w:val="0"/>
      <w:marRight w:val="0"/>
      <w:marTop w:val="0"/>
      <w:marBottom w:val="0"/>
      <w:divBdr>
        <w:top w:val="none" w:sz="0" w:space="0" w:color="auto"/>
        <w:left w:val="none" w:sz="0" w:space="0" w:color="auto"/>
        <w:bottom w:val="none" w:sz="0" w:space="0" w:color="auto"/>
        <w:right w:val="none" w:sz="0" w:space="0" w:color="auto"/>
      </w:divBdr>
    </w:div>
    <w:div w:id="1999915601">
      <w:bodyDiv w:val="1"/>
      <w:marLeft w:val="0"/>
      <w:marRight w:val="0"/>
      <w:marTop w:val="0"/>
      <w:marBottom w:val="0"/>
      <w:divBdr>
        <w:top w:val="none" w:sz="0" w:space="0" w:color="auto"/>
        <w:left w:val="none" w:sz="0" w:space="0" w:color="auto"/>
        <w:bottom w:val="none" w:sz="0" w:space="0" w:color="auto"/>
        <w:right w:val="none" w:sz="0" w:space="0" w:color="auto"/>
      </w:divBdr>
      <w:divsChild>
        <w:div w:id="1772624023">
          <w:marLeft w:val="0"/>
          <w:marRight w:val="0"/>
          <w:marTop w:val="0"/>
          <w:marBottom w:val="0"/>
          <w:divBdr>
            <w:top w:val="none" w:sz="0" w:space="0" w:color="auto"/>
            <w:left w:val="none" w:sz="0" w:space="0" w:color="auto"/>
            <w:bottom w:val="none" w:sz="0" w:space="0" w:color="auto"/>
            <w:right w:val="none" w:sz="0" w:space="0" w:color="auto"/>
          </w:divBdr>
          <w:divsChild>
            <w:div w:id="19549030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0191452">
      <w:bodyDiv w:val="1"/>
      <w:marLeft w:val="0"/>
      <w:marRight w:val="0"/>
      <w:marTop w:val="0"/>
      <w:marBottom w:val="0"/>
      <w:divBdr>
        <w:top w:val="none" w:sz="0" w:space="0" w:color="auto"/>
        <w:left w:val="none" w:sz="0" w:space="0" w:color="auto"/>
        <w:bottom w:val="none" w:sz="0" w:space="0" w:color="auto"/>
        <w:right w:val="none" w:sz="0" w:space="0" w:color="auto"/>
      </w:divBdr>
    </w:div>
    <w:div w:id="2000307052">
      <w:bodyDiv w:val="1"/>
      <w:marLeft w:val="0"/>
      <w:marRight w:val="0"/>
      <w:marTop w:val="0"/>
      <w:marBottom w:val="0"/>
      <w:divBdr>
        <w:top w:val="none" w:sz="0" w:space="0" w:color="auto"/>
        <w:left w:val="none" w:sz="0" w:space="0" w:color="auto"/>
        <w:bottom w:val="none" w:sz="0" w:space="0" w:color="auto"/>
        <w:right w:val="none" w:sz="0" w:space="0" w:color="auto"/>
      </w:divBdr>
      <w:divsChild>
        <w:div w:id="162209954">
          <w:marLeft w:val="0"/>
          <w:marRight w:val="0"/>
          <w:marTop w:val="0"/>
          <w:marBottom w:val="0"/>
          <w:divBdr>
            <w:top w:val="none" w:sz="0" w:space="0" w:color="auto"/>
            <w:left w:val="none" w:sz="0" w:space="0" w:color="auto"/>
            <w:bottom w:val="none" w:sz="0" w:space="0" w:color="auto"/>
            <w:right w:val="none" w:sz="0" w:space="0" w:color="auto"/>
          </w:divBdr>
          <w:divsChild>
            <w:div w:id="18704588">
              <w:marLeft w:val="0"/>
              <w:marRight w:val="0"/>
              <w:marTop w:val="0"/>
              <w:marBottom w:val="0"/>
              <w:divBdr>
                <w:top w:val="none" w:sz="0" w:space="0" w:color="auto"/>
                <w:left w:val="none" w:sz="0" w:space="0" w:color="auto"/>
                <w:bottom w:val="none" w:sz="0" w:space="0" w:color="auto"/>
                <w:right w:val="none" w:sz="0" w:space="0" w:color="auto"/>
              </w:divBdr>
            </w:div>
          </w:divsChild>
        </w:div>
        <w:div w:id="618607093">
          <w:marLeft w:val="0"/>
          <w:marRight w:val="0"/>
          <w:marTop w:val="0"/>
          <w:marBottom w:val="150"/>
          <w:divBdr>
            <w:top w:val="none" w:sz="0" w:space="0" w:color="auto"/>
            <w:left w:val="none" w:sz="0" w:space="0" w:color="auto"/>
            <w:bottom w:val="none" w:sz="0" w:space="0" w:color="auto"/>
            <w:right w:val="none" w:sz="0" w:space="0" w:color="auto"/>
          </w:divBdr>
        </w:div>
        <w:div w:id="1557739798">
          <w:marLeft w:val="0"/>
          <w:marRight w:val="0"/>
          <w:marTop w:val="0"/>
          <w:marBottom w:val="150"/>
          <w:divBdr>
            <w:top w:val="none" w:sz="0" w:space="0" w:color="auto"/>
            <w:left w:val="none" w:sz="0" w:space="0" w:color="auto"/>
            <w:bottom w:val="none" w:sz="0" w:space="0" w:color="auto"/>
            <w:right w:val="none" w:sz="0" w:space="0" w:color="auto"/>
          </w:divBdr>
          <w:divsChild>
            <w:div w:id="200628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573378">
      <w:bodyDiv w:val="1"/>
      <w:marLeft w:val="0"/>
      <w:marRight w:val="0"/>
      <w:marTop w:val="0"/>
      <w:marBottom w:val="0"/>
      <w:divBdr>
        <w:top w:val="none" w:sz="0" w:space="0" w:color="auto"/>
        <w:left w:val="none" w:sz="0" w:space="0" w:color="auto"/>
        <w:bottom w:val="none" w:sz="0" w:space="0" w:color="auto"/>
        <w:right w:val="none" w:sz="0" w:space="0" w:color="auto"/>
      </w:divBdr>
      <w:divsChild>
        <w:div w:id="636178631">
          <w:marLeft w:val="0"/>
          <w:marRight w:val="0"/>
          <w:marTop w:val="0"/>
          <w:marBottom w:val="0"/>
          <w:divBdr>
            <w:top w:val="none" w:sz="0" w:space="0" w:color="auto"/>
            <w:left w:val="none" w:sz="0" w:space="0" w:color="auto"/>
            <w:bottom w:val="dotted" w:sz="6" w:space="4" w:color="DDDDDD"/>
            <w:right w:val="none" w:sz="0" w:space="0" w:color="auto"/>
          </w:divBdr>
          <w:divsChild>
            <w:div w:id="193705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58415">
      <w:bodyDiv w:val="1"/>
      <w:marLeft w:val="0"/>
      <w:marRight w:val="0"/>
      <w:marTop w:val="0"/>
      <w:marBottom w:val="0"/>
      <w:divBdr>
        <w:top w:val="none" w:sz="0" w:space="0" w:color="auto"/>
        <w:left w:val="none" w:sz="0" w:space="0" w:color="auto"/>
        <w:bottom w:val="none" w:sz="0" w:space="0" w:color="auto"/>
        <w:right w:val="none" w:sz="0" w:space="0" w:color="auto"/>
      </w:divBdr>
    </w:div>
    <w:div w:id="2001275441">
      <w:bodyDiv w:val="1"/>
      <w:marLeft w:val="0"/>
      <w:marRight w:val="0"/>
      <w:marTop w:val="0"/>
      <w:marBottom w:val="0"/>
      <w:divBdr>
        <w:top w:val="none" w:sz="0" w:space="0" w:color="auto"/>
        <w:left w:val="none" w:sz="0" w:space="0" w:color="auto"/>
        <w:bottom w:val="none" w:sz="0" w:space="0" w:color="auto"/>
        <w:right w:val="none" w:sz="0" w:space="0" w:color="auto"/>
      </w:divBdr>
      <w:divsChild>
        <w:div w:id="293370935">
          <w:marLeft w:val="0"/>
          <w:marRight w:val="0"/>
          <w:marTop w:val="0"/>
          <w:marBottom w:val="0"/>
          <w:divBdr>
            <w:top w:val="none" w:sz="0" w:space="0" w:color="auto"/>
            <w:left w:val="none" w:sz="0" w:space="0" w:color="auto"/>
            <w:bottom w:val="dotted" w:sz="6" w:space="4" w:color="DDDDDD"/>
            <w:right w:val="none" w:sz="0" w:space="0" w:color="auto"/>
          </w:divBdr>
        </w:div>
      </w:divsChild>
    </w:div>
    <w:div w:id="2001423869">
      <w:bodyDiv w:val="1"/>
      <w:marLeft w:val="0"/>
      <w:marRight w:val="0"/>
      <w:marTop w:val="0"/>
      <w:marBottom w:val="0"/>
      <w:divBdr>
        <w:top w:val="none" w:sz="0" w:space="0" w:color="auto"/>
        <w:left w:val="none" w:sz="0" w:space="0" w:color="auto"/>
        <w:bottom w:val="none" w:sz="0" w:space="0" w:color="auto"/>
        <w:right w:val="none" w:sz="0" w:space="0" w:color="auto"/>
      </w:divBdr>
    </w:div>
    <w:div w:id="2001615127">
      <w:bodyDiv w:val="1"/>
      <w:marLeft w:val="0"/>
      <w:marRight w:val="0"/>
      <w:marTop w:val="0"/>
      <w:marBottom w:val="0"/>
      <w:divBdr>
        <w:top w:val="none" w:sz="0" w:space="0" w:color="auto"/>
        <w:left w:val="none" w:sz="0" w:space="0" w:color="auto"/>
        <w:bottom w:val="none" w:sz="0" w:space="0" w:color="auto"/>
        <w:right w:val="none" w:sz="0" w:space="0" w:color="auto"/>
      </w:divBdr>
      <w:divsChild>
        <w:div w:id="1735158718">
          <w:marLeft w:val="0"/>
          <w:marRight w:val="0"/>
          <w:marTop w:val="0"/>
          <w:marBottom w:val="0"/>
          <w:divBdr>
            <w:top w:val="none" w:sz="0" w:space="0" w:color="auto"/>
            <w:left w:val="none" w:sz="0" w:space="0" w:color="auto"/>
            <w:bottom w:val="dotted" w:sz="6" w:space="4" w:color="DDDDDD"/>
            <w:right w:val="none" w:sz="0" w:space="0" w:color="auto"/>
          </w:divBdr>
          <w:divsChild>
            <w:div w:id="9189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80037">
      <w:bodyDiv w:val="1"/>
      <w:marLeft w:val="0"/>
      <w:marRight w:val="0"/>
      <w:marTop w:val="0"/>
      <w:marBottom w:val="0"/>
      <w:divBdr>
        <w:top w:val="none" w:sz="0" w:space="0" w:color="auto"/>
        <w:left w:val="none" w:sz="0" w:space="0" w:color="auto"/>
        <w:bottom w:val="none" w:sz="0" w:space="0" w:color="auto"/>
        <w:right w:val="none" w:sz="0" w:space="0" w:color="auto"/>
      </w:divBdr>
    </w:div>
    <w:div w:id="2002419458">
      <w:bodyDiv w:val="1"/>
      <w:marLeft w:val="0"/>
      <w:marRight w:val="0"/>
      <w:marTop w:val="0"/>
      <w:marBottom w:val="0"/>
      <w:divBdr>
        <w:top w:val="none" w:sz="0" w:space="0" w:color="auto"/>
        <w:left w:val="none" w:sz="0" w:space="0" w:color="auto"/>
        <w:bottom w:val="none" w:sz="0" w:space="0" w:color="auto"/>
        <w:right w:val="none" w:sz="0" w:space="0" w:color="auto"/>
      </w:divBdr>
      <w:divsChild>
        <w:div w:id="752356868">
          <w:marLeft w:val="0"/>
          <w:marRight w:val="0"/>
          <w:marTop w:val="0"/>
          <w:marBottom w:val="0"/>
          <w:divBdr>
            <w:top w:val="none" w:sz="0" w:space="0" w:color="auto"/>
            <w:left w:val="none" w:sz="0" w:space="0" w:color="auto"/>
            <w:bottom w:val="none" w:sz="0" w:space="0" w:color="auto"/>
            <w:right w:val="none" w:sz="0" w:space="0" w:color="auto"/>
          </w:divBdr>
        </w:div>
        <w:div w:id="736363150">
          <w:marLeft w:val="0"/>
          <w:marRight w:val="0"/>
          <w:marTop w:val="0"/>
          <w:marBottom w:val="0"/>
          <w:divBdr>
            <w:top w:val="none" w:sz="0" w:space="0" w:color="auto"/>
            <w:left w:val="none" w:sz="0" w:space="0" w:color="auto"/>
            <w:bottom w:val="none" w:sz="0" w:space="0" w:color="auto"/>
            <w:right w:val="none" w:sz="0" w:space="0" w:color="auto"/>
          </w:divBdr>
        </w:div>
      </w:divsChild>
    </w:div>
    <w:div w:id="2002615618">
      <w:bodyDiv w:val="1"/>
      <w:marLeft w:val="0"/>
      <w:marRight w:val="0"/>
      <w:marTop w:val="0"/>
      <w:marBottom w:val="0"/>
      <w:divBdr>
        <w:top w:val="none" w:sz="0" w:space="0" w:color="auto"/>
        <w:left w:val="none" w:sz="0" w:space="0" w:color="auto"/>
        <w:bottom w:val="none" w:sz="0" w:space="0" w:color="auto"/>
        <w:right w:val="none" w:sz="0" w:space="0" w:color="auto"/>
      </w:divBdr>
    </w:div>
    <w:div w:id="2002931363">
      <w:bodyDiv w:val="1"/>
      <w:marLeft w:val="0"/>
      <w:marRight w:val="0"/>
      <w:marTop w:val="0"/>
      <w:marBottom w:val="0"/>
      <w:divBdr>
        <w:top w:val="none" w:sz="0" w:space="0" w:color="auto"/>
        <w:left w:val="none" w:sz="0" w:space="0" w:color="auto"/>
        <w:bottom w:val="none" w:sz="0" w:space="0" w:color="auto"/>
        <w:right w:val="none" w:sz="0" w:space="0" w:color="auto"/>
      </w:divBdr>
      <w:divsChild>
        <w:div w:id="674572904">
          <w:marLeft w:val="0"/>
          <w:marRight w:val="0"/>
          <w:marTop w:val="0"/>
          <w:marBottom w:val="150"/>
          <w:divBdr>
            <w:top w:val="none" w:sz="0" w:space="0" w:color="auto"/>
            <w:left w:val="none" w:sz="0" w:space="0" w:color="auto"/>
            <w:bottom w:val="none" w:sz="0" w:space="0" w:color="auto"/>
            <w:right w:val="none" w:sz="0" w:space="0" w:color="auto"/>
          </w:divBdr>
          <w:divsChild>
            <w:div w:id="1413507721">
              <w:marLeft w:val="0"/>
              <w:marRight w:val="0"/>
              <w:marTop w:val="0"/>
              <w:marBottom w:val="0"/>
              <w:divBdr>
                <w:top w:val="none" w:sz="0" w:space="0" w:color="auto"/>
                <w:left w:val="none" w:sz="0" w:space="0" w:color="auto"/>
                <w:bottom w:val="none" w:sz="0" w:space="0" w:color="auto"/>
                <w:right w:val="none" w:sz="0" w:space="0" w:color="auto"/>
              </w:divBdr>
            </w:div>
          </w:divsChild>
        </w:div>
        <w:div w:id="709259485">
          <w:marLeft w:val="0"/>
          <w:marRight w:val="0"/>
          <w:marTop w:val="0"/>
          <w:marBottom w:val="0"/>
          <w:divBdr>
            <w:top w:val="none" w:sz="0" w:space="0" w:color="auto"/>
            <w:left w:val="none" w:sz="0" w:space="0" w:color="auto"/>
            <w:bottom w:val="none" w:sz="0" w:space="0" w:color="auto"/>
            <w:right w:val="none" w:sz="0" w:space="0" w:color="auto"/>
          </w:divBdr>
          <w:divsChild>
            <w:div w:id="1130709908">
              <w:marLeft w:val="0"/>
              <w:marRight w:val="0"/>
              <w:marTop w:val="0"/>
              <w:marBottom w:val="0"/>
              <w:divBdr>
                <w:top w:val="none" w:sz="0" w:space="0" w:color="auto"/>
                <w:left w:val="none" w:sz="0" w:space="0" w:color="auto"/>
                <w:bottom w:val="none" w:sz="0" w:space="0" w:color="auto"/>
                <w:right w:val="none" w:sz="0" w:space="0" w:color="auto"/>
              </w:divBdr>
            </w:div>
          </w:divsChild>
        </w:div>
        <w:div w:id="1560088379">
          <w:marLeft w:val="0"/>
          <w:marRight w:val="0"/>
          <w:marTop w:val="0"/>
          <w:marBottom w:val="150"/>
          <w:divBdr>
            <w:top w:val="none" w:sz="0" w:space="0" w:color="auto"/>
            <w:left w:val="none" w:sz="0" w:space="0" w:color="auto"/>
            <w:bottom w:val="none" w:sz="0" w:space="0" w:color="auto"/>
            <w:right w:val="none" w:sz="0" w:space="0" w:color="auto"/>
          </w:divBdr>
        </w:div>
      </w:divsChild>
    </w:div>
    <w:div w:id="2003391279">
      <w:bodyDiv w:val="1"/>
      <w:marLeft w:val="0"/>
      <w:marRight w:val="0"/>
      <w:marTop w:val="0"/>
      <w:marBottom w:val="0"/>
      <w:divBdr>
        <w:top w:val="none" w:sz="0" w:space="0" w:color="auto"/>
        <w:left w:val="none" w:sz="0" w:space="0" w:color="auto"/>
        <w:bottom w:val="none" w:sz="0" w:space="0" w:color="auto"/>
        <w:right w:val="none" w:sz="0" w:space="0" w:color="auto"/>
      </w:divBdr>
      <w:divsChild>
        <w:div w:id="2100367062">
          <w:marLeft w:val="0"/>
          <w:marRight w:val="0"/>
          <w:marTop w:val="0"/>
          <w:marBottom w:val="150"/>
          <w:divBdr>
            <w:top w:val="none" w:sz="0" w:space="0" w:color="auto"/>
            <w:left w:val="none" w:sz="0" w:space="0" w:color="auto"/>
            <w:bottom w:val="none" w:sz="0" w:space="0" w:color="auto"/>
            <w:right w:val="none" w:sz="0" w:space="0" w:color="auto"/>
          </w:divBdr>
        </w:div>
      </w:divsChild>
    </w:div>
    <w:div w:id="2003393333">
      <w:bodyDiv w:val="1"/>
      <w:marLeft w:val="0"/>
      <w:marRight w:val="0"/>
      <w:marTop w:val="0"/>
      <w:marBottom w:val="0"/>
      <w:divBdr>
        <w:top w:val="none" w:sz="0" w:space="0" w:color="auto"/>
        <w:left w:val="none" w:sz="0" w:space="0" w:color="auto"/>
        <w:bottom w:val="none" w:sz="0" w:space="0" w:color="auto"/>
        <w:right w:val="none" w:sz="0" w:space="0" w:color="auto"/>
      </w:divBdr>
    </w:div>
    <w:div w:id="2003698551">
      <w:bodyDiv w:val="1"/>
      <w:marLeft w:val="0"/>
      <w:marRight w:val="0"/>
      <w:marTop w:val="0"/>
      <w:marBottom w:val="0"/>
      <w:divBdr>
        <w:top w:val="none" w:sz="0" w:space="0" w:color="auto"/>
        <w:left w:val="none" w:sz="0" w:space="0" w:color="auto"/>
        <w:bottom w:val="none" w:sz="0" w:space="0" w:color="auto"/>
        <w:right w:val="none" w:sz="0" w:space="0" w:color="auto"/>
      </w:divBdr>
      <w:divsChild>
        <w:div w:id="1644774261">
          <w:marLeft w:val="0"/>
          <w:marRight w:val="0"/>
          <w:marTop w:val="0"/>
          <w:marBottom w:val="0"/>
          <w:divBdr>
            <w:top w:val="none" w:sz="0" w:space="0" w:color="auto"/>
            <w:left w:val="none" w:sz="0" w:space="0" w:color="auto"/>
            <w:bottom w:val="dotted" w:sz="6" w:space="4" w:color="DDDDDD"/>
            <w:right w:val="none" w:sz="0" w:space="0" w:color="auto"/>
          </w:divBdr>
        </w:div>
      </w:divsChild>
    </w:div>
    <w:div w:id="2003896359">
      <w:bodyDiv w:val="1"/>
      <w:marLeft w:val="0"/>
      <w:marRight w:val="0"/>
      <w:marTop w:val="0"/>
      <w:marBottom w:val="0"/>
      <w:divBdr>
        <w:top w:val="none" w:sz="0" w:space="0" w:color="auto"/>
        <w:left w:val="none" w:sz="0" w:space="0" w:color="auto"/>
        <w:bottom w:val="none" w:sz="0" w:space="0" w:color="auto"/>
        <w:right w:val="none" w:sz="0" w:space="0" w:color="auto"/>
      </w:divBdr>
    </w:div>
    <w:div w:id="2004090979">
      <w:bodyDiv w:val="1"/>
      <w:marLeft w:val="0"/>
      <w:marRight w:val="0"/>
      <w:marTop w:val="0"/>
      <w:marBottom w:val="0"/>
      <w:divBdr>
        <w:top w:val="none" w:sz="0" w:space="0" w:color="auto"/>
        <w:left w:val="none" w:sz="0" w:space="0" w:color="auto"/>
        <w:bottom w:val="none" w:sz="0" w:space="0" w:color="auto"/>
        <w:right w:val="none" w:sz="0" w:space="0" w:color="auto"/>
      </w:divBdr>
    </w:div>
    <w:div w:id="2004309123">
      <w:bodyDiv w:val="1"/>
      <w:marLeft w:val="0"/>
      <w:marRight w:val="0"/>
      <w:marTop w:val="0"/>
      <w:marBottom w:val="0"/>
      <w:divBdr>
        <w:top w:val="none" w:sz="0" w:space="0" w:color="auto"/>
        <w:left w:val="none" w:sz="0" w:space="0" w:color="auto"/>
        <w:bottom w:val="none" w:sz="0" w:space="0" w:color="auto"/>
        <w:right w:val="none" w:sz="0" w:space="0" w:color="auto"/>
      </w:divBdr>
      <w:divsChild>
        <w:div w:id="1321346317">
          <w:marLeft w:val="0"/>
          <w:marRight w:val="0"/>
          <w:marTop w:val="0"/>
          <w:marBottom w:val="0"/>
          <w:divBdr>
            <w:top w:val="none" w:sz="0" w:space="0" w:color="auto"/>
            <w:left w:val="none" w:sz="0" w:space="0" w:color="auto"/>
            <w:bottom w:val="dotted" w:sz="6" w:space="4" w:color="DDDDDD"/>
            <w:right w:val="none" w:sz="0" w:space="0" w:color="auto"/>
          </w:divBdr>
          <w:divsChild>
            <w:div w:id="205751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9726">
      <w:bodyDiv w:val="1"/>
      <w:marLeft w:val="0"/>
      <w:marRight w:val="0"/>
      <w:marTop w:val="0"/>
      <w:marBottom w:val="0"/>
      <w:divBdr>
        <w:top w:val="none" w:sz="0" w:space="0" w:color="auto"/>
        <w:left w:val="none" w:sz="0" w:space="0" w:color="auto"/>
        <w:bottom w:val="none" w:sz="0" w:space="0" w:color="auto"/>
        <w:right w:val="none" w:sz="0" w:space="0" w:color="auto"/>
      </w:divBdr>
      <w:divsChild>
        <w:div w:id="552158933">
          <w:marLeft w:val="0"/>
          <w:marRight w:val="0"/>
          <w:marTop w:val="0"/>
          <w:marBottom w:val="0"/>
          <w:divBdr>
            <w:top w:val="none" w:sz="0" w:space="0" w:color="auto"/>
            <w:left w:val="none" w:sz="0" w:space="0" w:color="auto"/>
            <w:bottom w:val="none" w:sz="0" w:space="0" w:color="auto"/>
            <w:right w:val="none" w:sz="0" w:space="0" w:color="auto"/>
          </w:divBdr>
          <w:divsChild>
            <w:div w:id="2010256239">
              <w:marLeft w:val="0"/>
              <w:marRight w:val="0"/>
              <w:marTop w:val="0"/>
              <w:marBottom w:val="0"/>
              <w:divBdr>
                <w:top w:val="none" w:sz="0" w:space="0" w:color="auto"/>
                <w:left w:val="none" w:sz="0" w:space="0" w:color="auto"/>
                <w:bottom w:val="none" w:sz="0" w:space="0" w:color="auto"/>
                <w:right w:val="none" w:sz="0" w:space="0" w:color="auto"/>
              </w:divBdr>
              <w:divsChild>
                <w:div w:id="1416050902">
                  <w:marLeft w:val="0"/>
                  <w:marRight w:val="0"/>
                  <w:marTop w:val="0"/>
                  <w:marBottom w:val="0"/>
                  <w:divBdr>
                    <w:top w:val="none" w:sz="0" w:space="0" w:color="auto"/>
                    <w:left w:val="none" w:sz="0" w:space="0" w:color="auto"/>
                    <w:bottom w:val="none" w:sz="0" w:space="0" w:color="auto"/>
                    <w:right w:val="none" w:sz="0" w:space="0" w:color="auto"/>
                  </w:divBdr>
                  <w:divsChild>
                    <w:div w:id="842625911">
                      <w:marLeft w:val="0"/>
                      <w:marRight w:val="0"/>
                      <w:marTop w:val="0"/>
                      <w:marBottom w:val="0"/>
                      <w:divBdr>
                        <w:top w:val="none" w:sz="0" w:space="0" w:color="auto"/>
                        <w:left w:val="none" w:sz="0" w:space="0" w:color="auto"/>
                        <w:bottom w:val="none" w:sz="0" w:space="0" w:color="auto"/>
                        <w:right w:val="none" w:sz="0" w:space="0" w:color="auto"/>
                      </w:divBdr>
                      <w:divsChild>
                        <w:div w:id="878399768">
                          <w:marLeft w:val="0"/>
                          <w:marRight w:val="0"/>
                          <w:marTop w:val="0"/>
                          <w:marBottom w:val="0"/>
                          <w:divBdr>
                            <w:top w:val="none" w:sz="0" w:space="0" w:color="auto"/>
                            <w:left w:val="none" w:sz="0" w:space="0" w:color="auto"/>
                            <w:bottom w:val="none" w:sz="0" w:space="0" w:color="auto"/>
                            <w:right w:val="none" w:sz="0" w:space="0" w:color="auto"/>
                          </w:divBdr>
                          <w:divsChild>
                            <w:div w:id="129178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4813763">
      <w:bodyDiv w:val="1"/>
      <w:marLeft w:val="0"/>
      <w:marRight w:val="0"/>
      <w:marTop w:val="0"/>
      <w:marBottom w:val="0"/>
      <w:divBdr>
        <w:top w:val="none" w:sz="0" w:space="0" w:color="auto"/>
        <w:left w:val="none" w:sz="0" w:space="0" w:color="auto"/>
        <w:bottom w:val="none" w:sz="0" w:space="0" w:color="auto"/>
        <w:right w:val="none" w:sz="0" w:space="0" w:color="auto"/>
      </w:divBdr>
      <w:divsChild>
        <w:div w:id="534736660">
          <w:marLeft w:val="0"/>
          <w:marRight w:val="0"/>
          <w:marTop w:val="0"/>
          <w:marBottom w:val="150"/>
          <w:divBdr>
            <w:top w:val="none" w:sz="0" w:space="0" w:color="auto"/>
            <w:left w:val="none" w:sz="0" w:space="0" w:color="auto"/>
            <w:bottom w:val="none" w:sz="0" w:space="0" w:color="auto"/>
            <w:right w:val="none" w:sz="0" w:space="0" w:color="auto"/>
          </w:divBdr>
        </w:div>
        <w:div w:id="666785911">
          <w:marLeft w:val="0"/>
          <w:marRight w:val="0"/>
          <w:marTop w:val="0"/>
          <w:marBottom w:val="0"/>
          <w:divBdr>
            <w:top w:val="none" w:sz="0" w:space="0" w:color="auto"/>
            <w:left w:val="none" w:sz="0" w:space="0" w:color="auto"/>
            <w:bottom w:val="none" w:sz="0" w:space="0" w:color="auto"/>
            <w:right w:val="none" w:sz="0" w:space="0" w:color="auto"/>
          </w:divBdr>
          <w:divsChild>
            <w:div w:id="887886420">
              <w:marLeft w:val="0"/>
              <w:marRight w:val="0"/>
              <w:marTop w:val="225"/>
              <w:marBottom w:val="225"/>
              <w:divBdr>
                <w:top w:val="none" w:sz="0" w:space="0" w:color="auto"/>
                <w:left w:val="none" w:sz="0" w:space="0" w:color="auto"/>
                <w:bottom w:val="none" w:sz="0" w:space="0" w:color="auto"/>
                <w:right w:val="none" w:sz="0" w:space="0" w:color="auto"/>
              </w:divBdr>
            </w:div>
          </w:divsChild>
        </w:div>
        <w:div w:id="973363791">
          <w:marLeft w:val="0"/>
          <w:marRight w:val="0"/>
          <w:marTop w:val="0"/>
          <w:marBottom w:val="150"/>
          <w:divBdr>
            <w:top w:val="none" w:sz="0" w:space="0" w:color="auto"/>
            <w:left w:val="none" w:sz="0" w:space="0" w:color="auto"/>
            <w:bottom w:val="none" w:sz="0" w:space="0" w:color="auto"/>
            <w:right w:val="none" w:sz="0" w:space="0" w:color="auto"/>
          </w:divBdr>
          <w:divsChild>
            <w:div w:id="1987083084">
              <w:marLeft w:val="0"/>
              <w:marRight w:val="0"/>
              <w:marTop w:val="0"/>
              <w:marBottom w:val="0"/>
              <w:divBdr>
                <w:top w:val="none" w:sz="0" w:space="0" w:color="auto"/>
                <w:left w:val="none" w:sz="0" w:space="0" w:color="auto"/>
                <w:bottom w:val="none" w:sz="0" w:space="0" w:color="auto"/>
                <w:right w:val="none" w:sz="0" w:space="0" w:color="auto"/>
              </w:divBdr>
              <w:divsChild>
                <w:div w:id="20344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206855">
      <w:bodyDiv w:val="1"/>
      <w:marLeft w:val="0"/>
      <w:marRight w:val="0"/>
      <w:marTop w:val="0"/>
      <w:marBottom w:val="0"/>
      <w:divBdr>
        <w:top w:val="none" w:sz="0" w:space="0" w:color="auto"/>
        <w:left w:val="none" w:sz="0" w:space="0" w:color="auto"/>
        <w:bottom w:val="none" w:sz="0" w:space="0" w:color="auto"/>
        <w:right w:val="none" w:sz="0" w:space="0" w:color="auto"/>
      </w:divBdr>
      <w:divsChild>
        <w:div w:id="1707021136">
          <w:marLeft w:val="0"/>
          <w:marRight w:val="0"/>
          <w:marTop w:val="0"/>
          <w:marBottom w:val="0"/>
          <w:divBdr>
            <w:top w:val="none" w:sz="0" w:space="0" w:color="auto"/>
            <w:left w:val="none" w:sz="0" w:space="0" w:color="auto"/>
            <w:bottom w:val="dotted" w:sz="6" w:space="4" w:color="DDDDDD"/>
            <w:right w:val="none" w:sz="0" w:space="0" w:color="auto"/>
          </w:divBdr>
        </w:div>
      </w:divsChild>
    </w:div>
    <w:div w:id="2005696484">
      <w:bodyDiv w:val="1"/>
      <w:marLeft w:val="0"/>
      <w:marRight w:val="0"/>
      <w:marTop w:val="0"/>
      <w:marBottom w:val="0"/>
      <w:divBdr>
        <w:top w:val="none" w:sz="0" w:space="0" w:color="auto"/>
        <w:left w:val="none" w:sz="0" w:space="0" w:color="auto"/>
        <w:bottom w:val="none" w:sz="0" w:space="0" w:color="auto"/>
        <w:right w:val="none" w:sz="0" w:space="0" w:color="auto"/>
      </w:divBdr>
      <w:divsChild>
        <w:div w:id="256447024">
          <w:marLeft w:val="0"/>
          <w:marRight w:val="0"/>
          <w:marTop w:val="0"/>
          <w:marBottom w:val="150"/>
          <w:divBdr>
            <w:top w:val="none" w:sz="0" w:space="0" w:color="auto"/>
            <w:left w:val="none" w:sz="0" w:space="0" w:color="auto"/>
            <w:bottom w:val="none" w:sz="0" w:space="0" w:color="auto"/>
            <w:right w:val="none" w:sz="0" w:space="0" w:color="auto"/>
          </w:divBdr>
        </w:div>
        <w:div w:id="569120873">
          <w:marLeft w:val="0"/>
          <w:marRight w:val="0"/>
          <w:marTop w:val="0"/>
          <w:marBottom w:val="150"/>
          <w:divBdr>
            <w:top w:val="none" w:sz="0" w:space="0" w:color="auto"/>
            <w:left w:val="none" w:sz="0" w:space="0" w:color="auto"/>
            <w:bottom w:val="none" w:sz="0" w:space="0" w:color="auto"/>
            <w:right w:val="none" w:sz="0" w:space="0" w:color="auto"/>
          </w:divBdr>
          <w:divsChild>
            <w:div w:id="1867449315">
              <w:marLeft w:val="0"/>
              <w:marRight w:val="0"/>
              <w:marTop w:val="0"/>
              <w:marBottom w:val="0"/>
              <w:divBdr>
                <w:top w:val="none" w:sz="0" w:space="0" w:color="auto"/>
                <w:left w:val="none" w:sz="0" w:space="0" w:color="auto"/>
                <w:bottom w:val="none" w:sz="0" w:space="0" w:color="auto"/>
                <w:right w:val="none" w:sz="0" w:space="0" w:color="auto"/>
              </w:divBdr>
              <w:divsChild>
                <w:div w:id="167602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570599">
          <w:marLeft w:val="0"/>
          <w:marRight w:val="0"/>
          <w:marTop w:val="0"/>
          <w:marBottom w:val="0"/>
          <w:divBdr>
            <w:top w:val="none" w:sz="0" w:space="0" w:color="auto"/>
            <w:left w:val="none" w:sz="0" w:space="0" w:color="auto"/>
            <w:bottom w:val="none" w:sz="0" w:space="0" w:color="auto"/>
            <w:right w:val="none" w:sz="0" w:space="0" w:color="auto"/>
          </w:divBdr>
          <w:divsChild>
            <w:div w:id="18530316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05814709">
      <w:bodyDiv w:val="1"/>
      <w:marLeft w:val="0"/>
      <w:marRight w:val="0"/>
      <w:marTop w:val="0"/>
      <w:marBottom w:val="0"/>
      <w:divBdr>
        <w:top w:val="none" w:sz="0" w:space="0" w:color="auto"/>
        <w:left w:val="none" w:sz="0" w:space="0" w:color="auto"/>
        <w:bottom w:val="none" w:sz="0" w:space="0" w:color="auto"/>
        <w:right w:val="none" w:sz="0" w:space="0" w:color="auto"/>
      </w:divBdr>
      <w:divsChild>
        <w:div w:id="1106392081">
          <w:marLeft w:val="0"/>
          <w:marRight w:val="0"/>
          <w:marTop w:val="0"/>
          <w:marBottom w:val="0"/>
          <w:divBdr>
            <w:top w:val="none" w:sz="0" w:space="0" w:color="auto"/>
            <w:left w:val="none" w:sz="0" w:space="0" w:color="auto"/>
            <w:bottom w:val="none" w:sz="0" w:space="0" w:color="auto"/>
            <w:right w:val="none" w:sz="0" w:space="0" w:color="auto"/>
          </w:divBdr>
          <w:divsChild>
            <w:div w:id="33623923">
              <w:marLeft w:val="0"/>
              <w:marRight w:val="0"/>
              <w:marTop w:val="0"/>
              <w:marBottom w:val="0"/>
              <w:divBdr>
                <w:top w:val="none" w:sz="0" w:space="0" w:color="auto"/>
                <w:left w:val="none" w:sz="0" w:space="0" w:color="auto"/>
                <w:bottom w:val="none" w:sz="0" w:space="0" w:color="auto"/>
                <w:right w:val="none" w:sz="0" w:space="0" w:color="auto"/>
              </w:divBdr>
              <w:divsChild>
                <w:div w:id="2032871547">
                  <w:marLeft w:val="0"/>
                  <w:marRight w:val="0"/>
                  <w:marTop w:val="0"/>
                  <w:marBottom w:val="0"/>
                  <w:divBdr>
                    <w:top w:val="none" w:sz="0" w:space="0" w:color="auto"/>
                    <w:left w:val="none" w:sz="0" w:space="0" w:color="auto"/>
                    <w:bottom w:val="none" w:sz="0" w:space="0" w:color="auto"/>
                    <w:right w:val="none" w:sz="0" w:space="0" w:color="auto"/>
                  </w:divBdr>
                </w:div>
              </w:divsChild>
            </w:div>
            <w:div w:id="13101307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6005601">
      <w:bodyDiv w:val="1"/>
      <w:marLeft w:val="0"/>
      <w:marRight w:val="0"/>
      <w:marTop w:val="0"/>
      <w:marBottom w:val="0"/>
      <w:divBdr>
        <w:top w:val="none" w:sz="0" w:space="0" w:color="auto"/>
        <w:left w:val="none" w:sz="0" w:space="0" w:color="auto"/>
        <w:bottom w:val="none" w:sz="0" w:space="0" w:color="auto"/>
        <w:right w:val="none" w:sz="0" w:space="0" w:color="auto"/>
      </w:divBdr>
      <w:divsChild>
        <w:div w:id="1618636841">
          <w:marLeft w:val="0"/>
          <w:marRight w:val="0"/>
          <w:marTop w:val="0"/>
          <w:marBottom w:val="0"/>
          <w:divBdr>
            <w:top w:val="none" w:sz="0" w:space="0" w:color="auto"/>
            <w:left w:val="none" w:sz="0" w:space="0" w:color="auto"/>
            <w:bottom w:val="none" w:sz="0" w:space="0" w:color="auto"/>
            <w:right w:val="none" w:sz="0" w:space="0" w:color="auto"/>
          </w:divBdr>
        </w:div>
      </w:divsChild>
    </w:div>
    <w:div w:id="2006280829">
      <w:bodyDiv w:val="1"/>
      <w:marLeft w:val="0"/>
      <w:marRight w:val="0"/>
      <w:marTop w:val="0"/>
      <w:marBottom w:val="0"/>
      <w:divBdr>
        <w:top w:val="none" w:sz="0" w:space="0" w:color="auto"/>
        <w:left w:val="none" w:sz="0" w:space="0" w:color="auto"/>
        <w:bottom w:val="none" w:sz="0" w:space="0" w:color="auto"/>
        <w:right w:val="none" w:sz="0" w:space="0" w:color="auto"/>
      </w:divBdr>
      <w:divsChild>
        <w:div w:id="119422083">
          <w:marLeft w:val="0"/>
          <w:marRight w:val="0"/>
          <w:marTop w:val="0"/>
          <w:marBottom w:val="0"/>
          <w:divBdr>
            <w:top w:val="none" w:sz="0" w:space="0" w:color="auto"/>
            <w:left w:val="none" w:sz="0" w:space="0" w:color="auto"/>
            <w:bottom w:val="none" w:sz="0" w:space="0" w:color="auto"/>
            <w:right w:val="none" w:sz="0" w:space="0" w:color="auto"/>
          </w:divBdr>
          <w:divsChild>
            <w:div w:id="2103605997">
              <w:marLeft w:val="0"/>
              <w:marRight w:val="0"/>
              <w:marTop w:val="0"/>
              <w:marBottom w:val="0"/>
              <w:divBdr>
                <w:top w:val="none" w:sz="0" w:space="0" w:color="auto"/>
                <w:left w:val="none" w:sz="0" w:space="0" w:color="auto"/>
                <w:bottom w:val="none" w:sz="0" w:space="0" w:color="auto"/>
                <w:right w:val="none" w:sz="0" w:space="0" w:color="auto"/>
              </w:divBdr>
              <w:divsChild>
                <w:div w:id="1785613190">
                  <w:marLeft w:val="0"/>
                  <w:marRight w:val="0"/>
                  <w:marTop w:val="0"/>
                  <w:marBottom w:val="0"/>
                  <w:divBdr>
                    <w:top w:val="none" w:sz="0" w:space="0" w:color="auto"/>
                    <w:left w:val="none" w:sz="0" w:space="0" w:color="auto"/>
                    <w:bottom w:val="none" w:sz="0" w:space="0" w:color="auto"/>
                    <w:right w:val="none" w:sz="0" w:space="0" w:color="auto"/>
                  </w:divBdr>
                  <w:divsChild>
                    <w:div w:id="1199003970">
                      <w:marLeft w:val="0"/>
                      <w:marRight w:val="0"/>
                      <w:marTop w:val="0"/>
                      <w:marBottom w:val="0"/>
                      <w:divBdr>
                        <w:top w:val="none" w:sz="0" w:space="0" w:color="auto"/>
                        <w:left w:val="none" w:sz="0" w:space="0" w:color="auto"/>
                        <w:bottom w:val="none" w:sz="0" w:space="0" w:color="auto"/>
                        <w:right w:val="none" w:sz="0" w:space="0" w:color="auto"/>
                      </w:divBdr>
                      <w:divsChild>
                        <w:div w:id="1571232355">
                          <w:marLeft w:val="0"/>
                          <w:marRight w:val="0"/>
                          <w:marTop w:val="0"/>
                          <w:marBottom w:val="0"/>
                          <w:divBdr>
                            <w:top w:val="none" w:sz="0" w:space="0" w:color="auto"/>
                            <w:left w:val="none" w:sz="0" w:space="0" w:color="auto"/>
                            <w:bottom w:val="none" w:sz="0" w:space="0" w:color="auto"/>
                            <w:right w:val="none" w:sz="0" w:space="0" w:color="auto"/>
                          </w:divBdr>
                          <w:divsChild>
                            <w:div w:id="1660499350">
                              <w:marLeft w:val="0"/>
                              <w:marRight w:val="0"/>
                              <w:marTop w:val="0"/>
                              <w:marBottom w:val="0"/>
                              <w:divBdr>
                                <w:top w:val="none" w:sz="0" w:space="0" w:color="auto"/>
                                <w:left w:val="none" w:sz="0" w:space="0" w:color="auto"/>
                                <w:bottom w:val="none" w:sz="0" w:space="0" w:color="auto"/>
                                <w:right w:val="none" w:sz="0" w:space="0" w:color="auto"/>
                              </w:divBdr>
                              <w:divsChild>
                                <w:div w:id="433091955">
                                  <w:marLeft w:val="0"/>
                                  <w:marRight w:val="0"/>
                                  <w:marTop w:val="0"/>
                                  <w:marBottom w:val="0"/>
                                  <w:divBdr>
                                    <w:top w:val="none" w:sz="0" w:space="0" w:color="auto"/>
                                    <w:left w:val="none" w:sz="0" w:space="0" w:color="auto"/>
                                    <w:bottom w:val="none" w:sz="0" w:space="0" w:color="auto"/>
                                    <w:right w:val="none" w:sz="0" w:space="0" w:color="auto"/>
                                  </w:divBdr>
                                  <w:divsChild>
                                    <w:div w:id="11282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280922">
      <w:bodyDiv w:val="1"/>
      <w:marLeft w:val="0"/>
      <w:marRight w:val="0"/>
      <w:marTop w:val="0"/>
      <w:marBottom w:val="0"/>
      <w:divBdr>
        <w:top w:val="none" w:sz="0" w:space="0" w:color="auto"/>
        <w:left w:val="none" w:sz="0" w:space="0" w:color="auto"/>
        <w:bottom w:val="none" w:sz="0" w:space="0" w:color="auto"/>
        <w:right w:val="none" w:sz="0" w:space="0" w:color="auto"/>
      </w:divBdr>
      <w:divsChild>
        <w:div w:id="1780104686">
          <w:marLeft w:val="0"/>
          <w:marRight w:val="0"/>
          <w:marTop w:val="0"/>
          <w:marBottom w:val="0"/>
          <w:divBdr>
            <w:top w:val="none" w:sz="0" w:space="0" w:color="auto"/>
            <w:left w:val="none" w:sz="0" w:space="0" w:color="auto"/>
            <w:bottom w:val="none" w:sz="0" w:space="0" w:color="auto"/>
            <w:right w:val="none" w:sz="0" w:space="0" w:color="auto"/>
          </w:divBdr>
          <w:divsChild>
            <w:div w:id="1277761440">
              <w:marLeft w:val="0"/>
              <w:marRight w:val="0"/>
              <w:marTop w:val="0"/>
              <w:marBottom w:val="0"/>
              <w:divBdr>
                <w:top w:val="none" w:sz="0" w:space="0" w:color="auto"/>
                <w:left w:val="none" w:sz="0" w:space="0" w:color="auto"/>
                <w:bottom w:val="none" w:sz="0" w:space="0" w:color="auto"/>
                <w:right w:val="none" w:sz="0" w:space="0" w:color="auto"/>
              </w:divBdr>
              <w:divsChild>
                <w:div w:id="1090584905">
                  <w:marLeft w:val="0"/>
                  <w:marRight w:val="0"/>
                  <w:marTop w:val="0"/>
                  <w:marBottom w:val="0"/>
                  <w:divBdr>
                    <w:top w:val="none" w:sz="0" w:space="0" w:color="auto"/>
                    <w:left w:val="none" w:sz="0" w:space="0" w:color="auto"/>
                    <w:bottom w:val="none" w:sz="0" w:space="0" w:color="auto"/>
                    <w:right w:val="none" w:sz="0" w:space="0" w:color="auto"/>
                  </w:divBdr>
                  <w:divsChild>
                    <w:div w:id="2039230589">
                      <w:marLeft w:val="0"/>
                      <w:marRight w:val="0"/>
                      <w:marTop w:val="0"/>
                      <w:marBottom w:val="0"/>
                      <w:divBdr>
                        <w:top w:val="none" w:sz="0" w:space="0" w:color="auto"/>
                        <w:left w:val="none" w:sz="0" w:space="0" w:color="auto"/>
                        <w:bottom w:val="none" w:sz="0" w:space="0" w:color="auto"/>
                        <w:right w:val="none" w:sz="0" w:space="0" w:color="auto"/>
                      </w:divBdr>
                      <w:divsChild>
                        <w:div w:id="2087410304">
                          <w:marLeft w:val="0"/>
                          <w:marRight w:val="0"/>
                          <w:marTop w:val="0"/>
                          <w:marBottom w:val="0"/>
                          <w:divBdr>
                            <w:top w:val="none" w:sz="0" w:space="0" w:color="auto"/>
                            <w:left w:val="none" w:sz="0" w:space="0" w:color="auto"/>
                            <w:bottom w:val="none" w:sz="0" w:space="0" w:color="auto"/>
                            <w:right w:val="none" w:sz="0" w:space="0" w:color="auto"/>
                          </w:divBdr>
                          <w:divsChild>
                            <w:div w:id="1953049596">
                              <w:marLeft w:val="0"/>
                              <w:marRight w:val="0"/>
                              <w:marTop w:val="0"/>
                              <w:marBottom w:val="0"/>
                              <w:divBdr>
                                <w:top w:val="none" w:sz="0" w:space="0" w:color="auto"/>
                                <w:left w:val="none" w:sz="0" w:space="0" w:color="auto"/>
                                <w:bottom w:val="none" w:sz="0" w:space="0" w:color="auto"/>
                                <w:right w:val="none" w:sz="0" w:space="0" w:color="auto"/>
                              </w:divBdr>
                              <w:divsChild>
                                <w:div w:id="75852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6586364">
      <w:bodyDiv w:val="1"/>
      <w:marLeft w:val="0"/>
      <w:marRight w:val="0"/>
      <w:marTop w:val="0"/>
      <w:marBottom w:val="0"/>
      <w:divBdr>
        <w:top w:val="none" w:sz="0" w:space="0" w:color="auto"/>
        <w:left w:val="none" w:sz="0" w:space="0" w:color="auto"/>
        <w:bottom w:val="none" w:sz="0" w:space="0" w:color="auto"/>
        <w:right w:val="none" w:sz="0" w:space="0" w:color="auto"/>
      </w:divBdr>
    </w:div>
    <w:div w:id="2006860245">
      <w:bodyDiv w:val="1"/>
      <w:marLeft w:val="0"/>
      <w:marRight w:val="0"/>
      <w:marTop w:val="0"/>
      <w:marBottom w:val="0"/>
      <w:divBdr>
        <w:top w:val="none" w:sz="0" w:space="0" w:color="auto"/>
        <w:left w:val="none" w:sz="0" w:space="0" w:color="auto"/>
        <w:bottom w:val="none" w:sz="0" w:space="0" w:color="auto"/>
        <w:right w:val="none" w:sz="0" w:space="0" w:color="auto"/>
      </w:divBdr>
      <w:divsChild>
        <w:div w:id="1043405796">
          <w:marLeft w:val="0"/>
          <w:marRight w:val="0"/>
          <w:marTop w:val="0"/>
          <w:marBottom w:val="0"/>
          <w:divBdr>
            <w:top w:val="none" w:sz="0" w:space="0" w:color="auto"/>
            <w:left w:val="none" w:sz="0" w:space="0" w:color="auto"/>
            <w:bottom w:val="dotted" w:sz="6" w:space="4" w:color="DDDDDD"/>
            <w:right w:val="none" w:sz="0" w:space="0" w:color="auto"/>
          </w:divBdr>
          <w:divsChild>
            <w:div w:id="123354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977508">
      <w:bodyDiv w:val="1"/>
      <w:marLeft w:val="0"/>
      <w:marRight w:val="0"/>
      <w:marTop w:val="0"/>
      <w:marBottom w:val="0"/>
      <w:divBdr>
        <w:top w:val="none" w:sz="0" w:space="0" w:color="auto"/>
        <w:left w:val="none" w:sz="0" w:space="0" w:color="auto"/>
        <w:bottom w:val="none" w:sz="0" w:space="0" w:color="auto"/>
        <w:right w:val="none" w:sz="0" w:space="0" w:color="auto"/>
      </w:divBdr>
    </w:div>
    <w:div w:id="2007127513">
      <w:bodyDiv w:val="1"/>
      <w:marLeft w:val="0"/>
      <w:marRight w:val="0"/>
      <w:marTop w:val="0"/>
      <w:marBottom w:val="0"/>
      <w:divBdr>
        <w:top w:val="none" w:sz="0" w:space="0" w:color="auto"/>
        <w:left w:val="none" w:sz="0" w:space="0" w:color="auto"/>
        <w:bottom w:val="none" w:sz="0" w:space="0" w:color="auto"/>
        <w:right w:val="none" w:sz="0" w:space="0" w:color="auto"/>
      </w:divBdr>
    </w:div>
    <w:div w:id="2007318983">
      <w:bodyDiv w:val="1"/>
      <w:marLeft w:val="0"/>
      <w:marRight w:val="0"/>
      <w:marTop w:val="0"/>
      <w:marBottom w:val="0"/>
      <w:divBdr>
        <w:top w:val="none" w:sz="0" w:space="0" w:color="auto"/>
        <w:left w:val="none" w:sz="0" w:space="0" w:color="auto"/>
        <w:bottom w:val="none" w:sz="0" w:space="0" w:color="auto"/>
        <w:right w:val="none" w:sz="0" w:space="0" w:color="auto"/>
      </w:divBdr>
    </w:div>
    <w:div w:id="2007782677">
      <w:bodyDiv w:val="1"/>
      <w:marLeft w:val="0"/>
      <w:marRight w:val="0"/>
      <w:marTop w:val="0"/>
      <w:marBottom w:val="0"/>
      <w:divBdr>
        <w:top w:val="none" w:sz="0" w:space="0" w:color="auto"/>
        <w:left w:val="none" w:sz="0" w:space="0" w:color="auto"/>
        <w:bottom w:val="none" w:sz="0" w:space="0" w:color="auto"/>
        <w:right w:val="none" w:sz="0" w:space="0" w:color="auto"/>
      </w:divBdr>
      <w:divsChild>
        <w:div w:id="444425163">
          <w:marLeft w:val="0"/>
          <w:marRight w:val="0"/>
          <w:marTop w:val="0"/>
          <w:marBottom w:val="0"/>
          <w:divBdr>
            <w:top w:val="none" w:sz="0" w:space="0" w:color="auto"/>
            <w:left w:val="none" w:sz="0" w:space="0" w:color="auto"/>
            <w:bottom w:val="none" w:sz="0" w:space="0" w:color="auto"/>
            <w:right w:val="none" w:sz="0" w:space="0" w:color="auto"/>
          </w:divBdr>
          <w:divsChild>
            <w:div w:id="526992586">
              <w:marLeft w:val="0"/>
              <w:marRight w:val="0"/>
              <w:marTop w:val="0"/>
              <w:marBottom w:val="0"/>
              <w:divBdr>
                <w:top w:val="none" w:sz="0" w:space="0" w:color="auto"/>
                <w:left w:val="none" w:sz="0" w:space="0" w:color="auto"/>
                <w:bottom w:val="none" w:sz="0" w:space="0" w:color="auto"/>
                <w:right w:val="none" w:sz="0" w:space="0" w:color="auto"/>
              </w:divBdr>
              <w:divsChild>
                <w:div w:id="1181168548">
                  <w:marLeft w:val="0"/>
                  <w:marRight w:val="0"/>
                  <w:marTop w:val="0"/>
                  <w:marBottom w:val="0"/>
                  <w:divBdr>
                    <w:top w:val="none" w:sz="0" w:space="0" w:color="auto"/>
                    <w:left w:val="none" w:sz="0" w:space="0" w:color="auto"/>
                    <w:bottom w:val="none" w:sz="0" w:space="0" w:color="auto"/>
                    <w:right w:val="none" w:sz="0" w:space="0" w:color="auto"/>
                  </w:divBdr>
                  <w:divsChild>
                    <w:div w:id="774178168">
                      <w:marLeft w:val="0"/>
                      <w:marRight w:val="0"/>
                      <w:marTop w:val="0"/>
                      <w:marBottom w:val="0"/>
                      <w:divBdr>
                        <w:top w:val="none" w:sz="0" w:space="0" w:color="auto"/>
                        <w:left w:val="none" w:sz="0" w:space="0" w:color="auto"/>
                        <w:bottom w:val="none" w:sz="0" w:space="0" w:color="auto"/>
                        <w:right w:val="none" w:sz="0" w:space="0" w:color="auto"/>
                      </w:divBdr>
                      <w:divsChild>
                        <w:div w:id="1842694020">
                          <w:marLeft w:val="0"/>
                          <w:marRight w:val="0"/>
                          <w:marTop w:val="225"/>
                          <w:marBottom w:val="150"/>
                          <w:divBdr>
                            <w:top w:val="none" w:sz="0" w:space="4" w:color="auto"/>
                            <w:left w:val="none" w:sz="0" w:space="0" w:color="auto"/>
                            <w:bottom w:val="single" w:sz="6" w:space="4" w:color="CECECE"/>
                            <w:right w:val="none" w:sz="0" w:space="0" w:color="auto"/>
                          </w:divBdr>
                          <w:divsChild>
                            <w:div w:id="1474173379">
                              <w:marLeft w:val="0"/>
                              <w:marRight w:val="0"/>
                              <w:marTop w:val="0"/>
                              <w:marBottom w:val="0"/>
                              <w:divBdr>
                                <w:top w:val="none" w:sz="0" w:space="0" w:color="auto"/>
                                <w:left w:val="none" w:sz="0" w:space="0" w:color="auto"/>
                                <w:bottom w:val="none" w:sz="0" w:space="0" w:color="auto"/>
                                <w:right w:val="none" w:sz="0" w:space="0" w:color="auto"/>
                              </w:divBdr>
                            </w:div>
                            <w:div w:id="2109613795">
                              <w:marLeft w:val="0"/>
                              <w:marRight w:val="0"/>
                              <w:marTop w:val="0"/>
                              <w:marBottom w:val="0"/>
                              <w:divBdr>
                                <w:top w:val="none" w:sz="0" w:space="0" w:color="auto"/>
                                <w:left w:val="none" w:sz="0" w:space="0" w:color="auto"/>
                                <w:bottom w:val="none" w:sz="0" w:space="0" w:color="auto"/>
                                <w:right w:val="none" w:sz="0" w:space="0" w:color="auto"/>
                              </w:divBdr>
                              <w:divsChild>
                                <w:div w:id="427192024">
                                  <w:marLeft w:val="0"/>
                                  <w:marRight w:val="0"/>
                                  <w:marTop w:val="0"/>
                                  <w:marBottom w:val="0"/>
                                  <w:divBdr>
                                    <w:top w:val="none" w:sz="0" w:space="0" w:color="auto"/>
                                    <w:left w:val="none" w:sz="0" w:space="0" w:color="auto"/>
                                    <w:bottom w:val="none" w:sz="0" w:space="0" w:color="auto"/>
                                    <w:right w:val="none" w:sz="0" w:space="0" w:color="auto"/>
                                  </w:divBdr>
                                  <w:divsChild>
                                    <w:div w:id="805245033">
                                      <w:marLeft w:val="0"/>
                                      <w:marRight w:val="0"/>
                                      <w:marTop w:val="45"/>
                                      <w:marBottom w:val="0"/>
                                      <w:divBdr>
                                        <w:top w:val="none" w:sz="0" w:space="0" w:color="auto"/>
                                        <w:left w:val="none" w:sz="0" w:space="0" w:color="auto"/>
                                        <w:bottom w:val="none" w:sz="0" w:space="0" w:color="auto"/>
                                        <w:right w:val="none" w:sz="0" w:space="0" w:color="auto"/>
                                      </w:divBdr>
                                    </w:div>
                                    <w:div w:id="1341816365">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0985366">
              <w:marLeft w:val="0"/>
              <w:marRight w:val="0"/>
              <w:marTop w:val="0"/>
              <w:marBottom w:val="0"/>
              <w:divBdr>
                <w:top w:val="none" w:sz="0" w:space="0" w:color="auto"/>
                <w:left w:val="none" w:sz="0" w:space="0" w:color="auto"/>
                <w:bottom w:val="none" w:sz="0" w:space="0" w:color="auto"/>
                <w:right w:val="none" w:sz="0" w:space="0" w:color="auto"/>
              </w:divBdr>
            </w:div>
          </w:divsChild>
        </w:div>
        <w:div w:id="1654292360">
          <w:marLeft w:val="0"/>
          <w:marRight w:val="0"/>
          <w:marTop w:val="150"/>
          <w:marBottom w:val="0"/>
          <w:divBdr>
            <w:top w:val="none" w:sz="0" w:space="0" w:color="auto"/>
            <w:left w:val="none" w:sz="0" w:space="0" w:color="auto"/>
            <w:bottom w:val="none" w:sz="0" w:space="0" w:color="auto"/>
            <w:right w:val="none" w:sz="0" w:space="0" w:color="auto"/>
          </w:divBdr>
          <w:divsChild>
            <w:div w:id="911157100">
              <w:marLeft w:val="0"/>
              <w:marRight w:val="0"/>
              <w:marTop w:val="0"/>
              <w:marBottom w:val="0"/>
              <w:divBdr>
                <w:top w:val="none" w:sz="0" w:space="0" w:color="auto"/>
                <w:left w:val="none" w:sz="0" w:space="0" w:color="auto"/>
                <w:bottom w:val="none" w:sz="0" w:space="0" w:color="auto"/>
                <w:right w:val="none" w:sz="0" w:space="0" w:color="auto"/>
              </w:divBdr>
              <w:divsChild>
                <w:div w:id="128608416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783002">
      <w:bodyDiv w:val="1"/>
      <w:marLeft w:val="0"/>
      <w:marRight w:val="0"/>
      <w:marTop w:val="0"/>
      <w:marBottom w:val="0"/>
      <w:divBdr>
        <w:top w:val="none" w:sz="0" w:space="0" w:color="auto"/>
        <w:left w:val="none" w:sz="0" w:space="0" w:color="auto"/>
        <w:bottom w:val="none" w:sz="0" w:space="0" w:color="auto"/>
        <w:right w:val="none" w:sz="0" w:space="0" w:color="auto"/>
      </w:divBdr>
      <w:divsChild>
        <w:div w:id="1333600852">
          <w:marLeft w:val="0"/>
          <w:marRight w:val="0"/>
          <w:marTop w:val="0"/>
          <w:marBottom w:val="150"/>
          <w:divBdr>
            <w:top w:val="none" w:sz="0" w:space="0" w:color="auto"/>
            <w:left w:val="none" w:sz="0" w:space="0" w:color="auto"/>
            <w:bottom w:val="none" w:sz="0" w:space="0" w:color="auto"/>
            <w:right w:val="none" w:sz="0" w:space="0" w:color="auto"/>
          </w:divBdr>
        </w:div>
      </w:divsChild>
    </w:div>
    <w:div w:id="2007828626">
      <w:bodyDiv w:val="1"/>
      <w:marLeft w:val="0"/>
      <w:marRight w:val="0"/>
      <w:marTop w:val="0"/>
      <w:marBottom w:val="0"/>
      <w:divBdr>
        <w:top w:val="none" w:sz="0" w:space="0" w:color="auto"/>
        <w:left w:val="none" w:sz="0" w:space="0" w:color="auto"/>
        <w:bottom w:val="none" w:sz="0" w:space="0" w:color="auto"/>
        <w:right w:val="none" w:sz="0" w:space="0" w:color="auto"/>
      </w:divBdr>
      <w:divsChild>
        <w:div w:id="376009275">
          <w:marLeft w:val="0"/>
          <w:marRight w:val="0"/>
          <w:marTop w:val="0"/>
          <w:marBottom w:val="0"/>
          <w:divBdr>
            <w:top w:val="none" w:sz="0" w:space="0" w:color="auto"/>
            <w:left w:val="none" w:sz="0" w:space="0" w:color="auto"/>
            <w:bottom w:val="none" w:sz="0" w:space="0" w:color="auto"/>
            <w:right w:val="none" w:sz="0" w:space="0" w:color="auto"/>
          </w:divBdr>
          <w:divsChild>
            <w:div w:id="13781181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7901992">
      <w:bodyDiv w:val="1"/>
      <w:marLeft w:val="0"/>
      <w:marRight w:val="0"/>
      <w:marTop w:val="0"/>
      <w:marBottom w:val="0"/>
      <w:divBdr>
        <w:top w:val="none" w:sz="0" w:space="0" w:color="auto"/>
        <w:left w:val="none" w:sz="0" w:space="0" w:color="auto"/>
        <w:bottom w:val="none" w:sz="0" w:space="0" w:color="auto"/>
        <w:right w:val="none" w:sz="0" w:space="0" w:color="auto"/>
      </w:divBdr>
    </w:div>
    <w:div w:id="2008247101">
      <w:bodyDiv w:val="1"/>
      <w:marLeft w:val="0"/>
      <w:marRight w:val="0"/>
      <w:marTop w:val="0"/>
      <w:marBottom w:val="0"/>
      <w:divBdr>
        <w:top w:val="none" w:sz="0" w:space="0" w:color="auto"/>
        <w:left w:val="none" w:sz="0" w:space="0" w:color="auto"/>
        <w:bottom w:val="none" w:sz="0" w:space="0" w:color="auto"/>
        <w:right w:val="none" w:sz="0" w:space="0" w:color="auto"/>
      </w:divBdr>
      <w:divsChild>
        <w:div w:id="2000496109">
          <w:marLeft w:val="0"/>
          <w:marRight w:val="0"/>
          <w:marTop w:val="0"/>
          <w:marBottom w:val="0"/>
          <w:divBdr>
            <w:top w:val="none" w:sz="0" w:space="0" w:color="auto"/>
            <w:left w:val="none" w:sz="0" w:space="0" w:color="auto"/>
            <w:bottom w:val="none" w:sz="0" w:space="0" w:color="auto"/>
            <w:right w:val="none" w:sz="0" w:space="0" w:color="auto"/>
          </w:divBdr>
          <w:divsChild>
            <w:div w:id="1618753770">
              <w:marLeft w:val="0"/>
              <w:marRight w:val="0"/>
              <w:marTop w:val="0"/>
              <w:marBottom w:val="0"/>
              <w:divBdr>
                <w:top w:val="none" w:sz="0" w:space="0" w:color="auto"/>
                <w:left w:val="none" w:sz="0" w:space="0" w:color="auto"/>
                <w:bottom w:val="none" w:sz="0" w:space="0" w:color="auto"/>
                <w:right w:val="none" w:sz="0" w:space="0" w:color="auto"/>
              </w:divBdr>
              <w:divsChild>
                <w:div w:id="2032800245">
                  <w:marLeft w:val="0"/>
                  <w:marRight w:val="0"/>
                  <w:marTop w:val="0"/>
                  <w:marBottom w:val="0"/>
                  <w:divBdr>
                    <w:top w:val="none" w:sz="0" w:space="0" w:color="auto"/>
                    <w:left w:val="none" w:sz="0" w:space="0" w:color="auto"/>
                    <w:bottom w:val="none" w:sz="0" w:space="0" w:color="auto"/>
                    <w:right w:val="none" w:sz="0" w:space="0" w:color="auto"/>
                  </w:divBdr>
                  <w:divsChild>
                    <w:div w:id="1676806942">
                      <w:marLeft w:val="0"/>
                      <w:marRight w:val="0"/>
                      <w:marTop w:val="0"/>
                      <w:marBottom w:val="0"/>
                      <w:divBdr>
                        <w:top w:val="none" w:sz="0" w:space="0" w:color="auto"/>
                        <w:left w:val="none" w:sz="0" w:space="0" w:color="auto"/>
                        <w:bottom w:val="none" w:sz="0" w:space="0" w:color="auto"/>
                        <w:right w:val="none" w:sz="0" w:space="0" w:color="auto"/>
                      </w:divBdr>
                      <w:divsChild>
                        <w:div w:id="758672904">
                          <w:marLeft w:val="0"/>
                          <w:marRight w:val="0"/>
                          <w:marTop w:val="0"/>
                          <w:marBottom w:val="0"/>
                          <w:divBdr>
                            <w:top w:val="none" w:sz="0" w:space="0" w:color="auto"/>
                            <w:left w:val="none" w:sz="0" w:space="0" w:color="auto"/>
                            <w:bottom w:val="none" w:sz="0" w:space="0" w:color="auto"/>
                            <w:right w:val="none" w:sz="0" w:space="0" w:color="auto"/>
                          </w:divBdr>
                          <w:divsChild>
                            <w:div w:id="724184468">
                              <w:marLeft w:val="0"/>
                              <w:marRight w:val="0"/>
                              <w:marTop w:val="0"/>
                              <w:marBottom w:val="0"/>
                              <w:divBdr>
                                <w:top w:val="none" w:sz="0" w:space="0" w:color="auto"/>
                                <w:left w:val="none" w:sz="0" w:space="0" w:color="auto"/>
                                <w:bottom w:val="none" w:sz="0" w:space="0" w:color="auto"/>
                                <w:right w:val="none" w:sz="0" w:space="0" w:color="auto"/>
                              </w:divBdr>
                              <w:divsChild>
                                <w:div w:id="1443499981">
                                  <w:marLeft w:val="0"/>
                                  <w:marRight w:val="0"/>
                                  <w:marTop w:val="0"/>
                                  <w:marBottom w:val="75"/>
                                  <w:divBdr>
                                    <w:top w:val="none" w:sz="0" w:space="0" w:color="auto"/>
                                    <w:left w:val="none" w:sz="0" w:space="0" w:color="auto"/>
                                    <w:bottom w:val="none" w:sz="0" w:space="0" w:color="auto"/>
                                    <w:right w:val="none" w:sz="0" w:space="0" w:color="auto"/>
                                  </w:divBdr>
                                  <w:divsChild>
                                    <w:div w:id="2100981053">
                                      <w:marLeft w:val="0"/>
                                      <w:marRight w:val="0"/>
                                      <w:marTop w:val="0"/>
                                      <w:marBottom w:val="0"/>
                                      <w:divBdr>
                                        <w:top w:val="none" w:sz="0" w:space="0" w:color="auto"/>
                                        <w:left w:val="none" w:sz="0" w:space="0" w:color="auto"/>
                                        <w:bottom w:val="none" w:sz="0" w:space="0" w:color="auto"/>
                                        <w:right w:val="none" w:sz="0" w:space="0" w:color="auto"/>
                                      </w:divBdr>
                                      <w:divsChild>
                                        <w:div w:id="2078894080">
                                          <w:marLeft w:val="0"/>
                                          <w:marRight w:val="0"/>
                                          <w:marTop w:val="0"/>
                                          <w:marBottom w:val="0"/>
                                          <w:divBdr>
                                            <w:top w:val="none" w:sz="0" w:space="0" w:color="auto"/>
                                            <w:left w:val="none" w:sz="0" w:space="0" w:color="auto"/>
                                            <w:bottom w:val="none" w:sz="0" w:space="0" w:color="auto"/>
                                            <w:right w:val="none" w:sz="0" w:space="0" w:color="auto"/>
                                          </w:divBdr>
                                          <w:divsChild>
                                            <w:div w:id="815479">
                                              <w:marLeft w:val="0"/>
                                              <w:marRight w:val="0"/>
                                              <w:marTop w:val="0"/>
                                              <w:marBottom w:val="0"/>
                                              <w:divBdr>
                                                <w:top w:val="none" w:sz="0" w:space="0" w:color="auto"/>
                                                <w:left w:val="none" w:sz="0" w:space="0" w:color="auto"/>
                                                <w:bottom w:val="none" w:sz="0" w:space="0" w:color="auto"/>
                                                <w:right w:val="none" w:sz="0" w:space="0" w:color="auto"/>
                                              </w:divBdr>
                                              <w:divsChild>
                                                <w:div w:id="109971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8317441">
      <w:bodyDiv w:val="1"/>
      <w:marLeft w:val="0"/>
      <w:marRight w:val="0"/>
      <w:marTop w:val="0"/>
      <w:marBottom w:val="0"/>
      <w:divBdr>
        <w:top w:val="none" w:sz="0" w:space="0" w:color="auto"/>
        <w:left w:val="none" w:sz="0" w:space="0" w:color="auto"/>
        <w:bottom w:val="none" w:sz="0" w:space="0" w:color="auto"/>
        <w:right w:val="none" w:sz="0" w:space="0" w:color="auto"/>
      </w:divBdr>
      <w:divsChild>
        <w:div w:id="1515608540">
          <w:marLeft w:val="0"/>
          <w:marRight w:val="0"/>
          <w:marTop w:val="0"/>
          <w:marBottom w:val="0"/>
          <w:divBdr>
            <w:top w:val="none" w:sz="0" w:space="0" w:color="auto"/>
            <w:left w:val="none" w:sz="0" w:space="0" w:color="auto"/>
            <w:bottom w:val="none" w:sz="0" w:space="0" w:color="auto"/>
            <w:right w:val="none" w:sz="0" w:space="0" w:color="auto"/>
          </w:divBdr>
          <w:divsChild>
            <w:div w:id="867907653">
              <w:marLeft w:val="0"/>
              <w:marRight w:val="0"/>
              <w:marTop w:val="0"/>
              <w:marBottom w:val="0"/>
              <w:divBdr>
                <w:top w:val="none" w:sz="0" w:space="0" w:color="auto"/>
                <w:left w:val="none" w:sz="0" w:space="0" w:color="auto"/>
                <w:bottom w:val="none" w:sz="0" w:space="0" w:color="auto"/>
                <w:right w:val="none" w:sz="0" w:space="0" w:color="auto"/>
              </w:divBdr>
              <w:divsChild>
                <w:div w:id="1316374174">
                  <w:marLeft w:val="0"/>
                  <w:marRight w:val="0"/>
                  <w:marTop w:val="0"/>
                  <w:marBottom w:val="0"/>
                  <w:divBdr>
                    <w:top w:val="none" w:sz="0" w:space="0" w:color="auto"/>
                    <w:left w:val="none" w:sz="0" w:space="0" w:color="auto"/>
                    <w:bottom w:val="none" w:sz="0" w:space="0" w:color="auto"/>
                    <w:right w:val="none" w:sz="0" w:space="0" w:color="auto"/>
                  </w:divBdr>
                  <w:divsChild>
                    <w:div w:id="2096703686">
                      <w:marLeft w:val="0"/>
                      <w:marRight w:val="0"/>
                      <w:marTop w:val="0"/>
                      <w:marBottom w:val="0"/>
                      <w:divBdr>
                        <w:top w:val="none" w:sz="0" w:space="0" w:color="auto"/>
                        <w:left w:val="none" w:sz="0" w:space="0" w:color="auto"/>
                        <w:bottom w:val="none" w:sz="0" w:space="0" w:color="auto"/>
                        <w:right w:val="none" w:sz="0" w:space="0" w:color="auto"/>
                      </w:divBdr>
                      <w:divsChild>
                        <w:div w:id="503204979">
                          <w:marLeft w:val="0"/>
                          <w:marRight w:val="0"/>
                          <w:marTop w:val="0"/>
                          <w:marBottom w:val="0"/>
                          <w:divBdr>
                            <w:top w:val="none" w:sz="0" w:space="0" w:color="auto"/>
                            <w:left w:val="none" w:sz="0" w:space="0" w:color="auto"/>
                            <w:bottom w:val="none" w:sz="0" w:space="0" w:color="auto"/>
                            <w:right w:val="none" w:sz="0" w:space="0" w:color="auto"/>
                          </w:divBdr>
                          <w:divsChild>
                            <w:div w:id="1254969967">
                              <w:marLeft w:val="0"/>
                              <w:marRight w:val="0"/>
                              <w:marTop w:val="0"/>
                              <w:marBottom w:val="0"/>
                              <w:divBdr>
                                <w:top w:val="none" w:sz="0" w:space="0" w:color="auto"/>
                                <w:left w:val="none" w:sz="0" w:space="0" w:color="auto"/>
                                <w:bottom w:val="none" w:sz="0" w:space="0" w:color="auto"/>
                                <w:right w:val="none" w:sz="0" w:space="0" w:color="auto"/>
                              </w:divBdr>
                              <w:divsChild>
                                <w:div w:id="174540260">
                                  <w:marLeft w:val="0"/>
                                  <w:marRight w:val="0"/>
                                  <w:marTop w:val="0"/>
                                  <w:marBottom w:val="75"/>
                                  <w:divBdr>
                                    <w:top w:val="none" w:sz="0" w:space="0" w:color="auto"/>
                                    <w:left w:val="none" w:sz="0" w:space="0" w:color="auto"/>
                                    <w:bottom w:val="none" w:sz="0" w:space="0" w:color="auto"/>
                                    <w:right w:val="none" w:sz="0" w:space="0" w:color="auto"/>
                                  </w:divBdr>
                                  <w:divsChild>
                                    <w:div w:id="111174867">
                                      <w:marLeft w:val="0"/>
                                      <w:marRight w:val="0"/>
                                      <w:marTop w:val="0"/>
                                      <w:marBottom w:val="0"/>
                                      <w:divBdr>
                                        <w:top w:val="none" w:sz="0" w:space="0" w:color="auto"/>
                                        <w:left w:val="none" w:sz="0" w:space="0" w:color="auto"/>
                                        <w:bottom w:val="none" w:sz="0" w:space="0" w:color="auto"/>
                                        <w:right w:val="none" w:sz="0" w:space="0" w:color="auto"/>
                                      </w:divBdr>
                                      <w:divsChild>
                                        <w:div w:id="1774082318">
                                          <w:marLeft w:val="0"/>
                                          <w:marRight w:val="0"/>
                                          <w:marTop w:val="0"/>
                                          <w:marBottom w:val="0"/>
                                          <w:divBdr>
                                            <w:top w:val="none" w:sz="0" w:space="0" w:color="auto"/>
                                            <w:left w:val="none" w:sz="0" w:space="0" w:color="auto"/>
                                            <w:bottom w:val="none" w:sz="0" w:space="0" w:color="auto"/>
                                            <w:right w:val="none" w:sz="0" w:space="0" w:color="auto"/>
                                          </w:divBdr>
                                          <w:divsChild>
                                            <w:div w:id="90152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8513756">
      <w:bodyDiv w:val="1"/>
      <w:marLeft w:val="0"/>
      <w:marRight w:val="0"/>
      <w:marTop w:val="0"/>
      <w:marBottom w:val="0"/>
      <w:divBdr>
        <w:top w:val="none" w:sz="0" w:space="0" w:color="auto"/>
        <w:left w:val="none" w:sz="0" w:space="0" w:color="auto"/>
        <w:bottom w:val="none" w:sz="0" w:space="0" w:color="auto"/>
        <w:right w:val="none" w:sz="0" w:space="0" w:color="auto"/>
      </w:divBdr>
    </w:div>
    <w:div w:id="2009017934">
      <w:bodyDiv w:val="1"/>
      <w:marLeft w:val="0"/>
      <w:marRight w:val="0"/>
      <w:marTop w:val="0"/>
      <w:marBottom w:val="0"/>
      <w:divBdr>
        <w:top w:val="none" w:sz="0" w:space="0" w:color="auto"/>
        <w:left w:val="none" w:sz="0" w:space="0" w:color="auto"/>
        <w:bottom w:val="none" w:sz="0" w:space="0" w:color="auto"/>
        <w:right w:val="none" w:sz="0" w:space="0" w:color="auto"/>
      </w:divBdr>
    </w:div>
    <w:div w:id="2009168439">
      <w:bodyDiv w:val="1"/>
      <w:marLeft w:val="0"/>
      <w:marRight w:val="0"/>
      <w:marTop w:val="0"/>
      <w:marBottom w:val="0"/>
      <w:divBdr>
        <w:top w:val="none" w:sz="0" w:space="0" w:color="auto"/>
        <w:left w:val="none" w:sz="0" w:space="0" w:color="auto"/>
        <w:bottom w:val="none" w:sz="0" w:space="0" w:color="auto"/>
        <w:right w:val="none" w:sz="0" w:space="0" w:color="auto"/>
      </w:divBdr>
      <w:divsChild>
        <w:div w:id="426272173">
          <w:marLeft w:val="0"/>
          <w:marRight w:val="0"/>
          <w:marTop w:val="0"/>
          <w:marBottom w:val="150"/>
          <w:divBdr>
            <w:top w:val="none" w:sz="0" w:space="0" w:color="auto"/>
            <w:left w:val="none" w:sz="0" w:space="0" w:color="auto"/>
            <w:bottom w:val="none" w:sz="0" w:space="0" w:color="auto"/>
            <w:right w:val="none" w:sz="0" w:space="0" w:color="auto"/>
          </w:divBdr>
          <w:divsChild>
            <w:div w:id="782506006">
              <w:marLeft w:val="0"/>
              <w:marRight w:val="0"/>
              <w:marTop w:val="0"/>
              <w:marBottom w:val="0"/>
              <w:divBdr>
                <w:top w:val="none" w:sz="0" w:space="0" w:color="auto"/>
                <w:left w:val="none" w:sz="0" w:space="0" w:color="auto"/>
                <w:bottom w:val="none" w:sz="0" w:space="0" w:color="auto"/>
                <w:right w:val="none" w:sz="0" w:space="0" w:color="auto"/>
              </w:divBdr>
            </w:div>
          </w:divsChild>
        </w:div>
        <w:div w:id="900824306">
          <w:marLeft w:val="0"/>
          <w:marRight w:val="0"/>
          <w:marTop w:val="0"/>
          <w:marBottom w:val="150"/>
          <w:divBdr>
            <w:top w:val="none" w:sz="0" w:space="0" w:color="auto"/>
            <w:left w:val="none" w:sz="0" w:space="0" w:color="auto"/>
            <w:bottom w:val="none" w:sz="0" w:space="0" w:color="auto"/>
            <w:right w:val="none" w:sz="0" w:space="0" w:color="auto"/>
          </w:divBdr>
        </w:div>
      </w:divsChild>
    </w:div>
    <w:div w:id="2009213463">
      <w:bodyDiv w:val="1"/>
      <w:marLeft w:val="0"/>
      <w:marRight w:val="0"/>
      <w:marTop w:val="0"/>
      <w:marBottom w:val="0"/>
      <w:divBdr>
        <w:top w:val="none" w:sz="0" w:space="0" w:color="auto"/>
        <w:left w:val="none" w:sz="0" w:space="0" w:color="auto"/>
        <w:bottom w:val="none" w:sz="0" w:space="0" w:color="auto"/>
        <w:right w:val="none" w:sz="0" w:space="0" w:color="auto"/>
      </w:divBdr>
      <w:divsChild>
        <w:div w:id="1279098715">
          <w:marLeft w:val="0"/>
          <w:marRight w:val="0"/>
          <w:marTop w:val="0"/>
          <w:marBottom w:val="0"/>
          <w:divBdr>
            <w:top w:val="none" w:sz="0" w:space="0" w:color="auto"/>
            <w:left w:val="none" w:sz="0" w:space="0" w:color="auto"/>
            <w:bottom w:val="none" w:sz="0" w:space="0" w:color="auto"/>
            <w:right w:val="none" w:sz="0" w:space="0" w:color="auto"/>
          </w:divBdr>
          <w:divsChild>
            <w:div w:id="119553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364147">
      <w:bodyDiv w:val="1"/>
      <w:marLeft w:val="0"/>
      <w:marRight w:val="0"/>
      <w:marTop w:val="0"/>
      <w:marBottom w:val="0"/>
      <w:divBdr>
        <w:top w:val="none" w:sz="0" w:space="0" w:color="auto"/>
        <w:left w:val="none" w:sz="0" w:space="0" w:color="auto"/>
        <w:bottom w:val="none" w:sz="0" w:space="0" w:color="auto"/>
        <w:right w:val="none" w:sz="0" w:space="0" w:color="auto"/>
      </w:divBdr>
      <w:divsChild>
        <w:div w:id="864172896">
          <w:marLeft w:val="0"/>
          <w:marRight w:val="0"/>
          <w:marTop w:val="0"/>
          <w:marBottom w:val="0"/>
          <w:divBdr>
            <w:top w:val="none" w:sz="0" w:space="0" w:color="auto"/>
            <w:left w:val="none" w:sz="0" w:space="0" w:color="auto"/>
            <w:bottom w:val="none" w:sz="0" w:space="0" w:color="auto"/>
            <w:right w:val="none" w:sz="0" w:space="0" w:color="auto"/>
          </w:divBdr>
        </w:div>
      </w:divsChild>
    </w:div>
    <w:div w:id="2010525481">
      <w:bodyDiv w:val="1"/>
      <w:marLeft w:val="0"/>
      <w:marRight w:val="0"/>
      <w:marTop w:val="0"/>
      <w:marBottom w:val="0"/>
      <w:divBdr>
        <w:top w:val="none" w:sz="0" w:space="0" w:color="auto"/>
        <w:left w:val="none" w:sz="0" w:space="0" w:color="auto"/>
        <w:bottom w:val="none" w:sz="0" w:space="0" w:color="auto"/>
        <w:right w:val="none" w:sz="0" w:space="0" w:color="auto"/>
      </w:divBdr>
      <w:divsChild>
        <w:div w:id="2093744661">
          <w:marLeft w:val="0"/>
          <w:marRight w:val="0"/>
          <w:marTop w:val="0"/>
          <w:marBottom w:val="0"/>
          <w:divBdr>
            <w:top w:val="none" w:sz="0" w:space="0" w:color="auto"/>
            <w:left w:val="none" w:sz="0" w:space="0" w:color="auto"/>
            <w:bottom w:val="dotted" w:sz="6" w:space="4" w:color="DDDDDD"/>
            <w:right w:val="none" w:sz="0" w:space="0" w:color="auto"/>
          </w:divBdr>
          <w:divsChild>
            <w:div w:id="13039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593355">
      <w:bodyDiv w:val="1"/>
      <w:marLeft w:val="0"/>
      <w:marRight w:val="0"/>
      <w:marTop w:val="0"/>
      <w:marBottom w:val="0"/>
      <w:divBdr>
        <w:top w:val="none" w:sz="0" w:space="0" w:color="auto"/>
        <w:left w:val="none" w:sz="0" w:space="0" w:color="auto"/>
        <w:bottom w:val="none" w:sz="0" w:space="0" w:color="auto"/>
        <w:right w:val="none" w:sz="0" w:space="0" w:color="auto"/>
      </w:divBdr>
      <w:divsChild>
        <w:div w:id="483665065">
          <w:marLeft w:val="0"/>
          <w:marRight w:val="0"/>
          <w:marTop w:val="0"/>
          <w:marBottom w:val="150"/>
          <w:divBdr>
            <w:top w:val="none" w:sz="0" w:space="0" w:color="auto"/>
            <w:left w:val="none" w:sz="0" w:space="0" w:color="auto"/>
            <w:bottom w:val="none" w:sz="0" w:space="0" w:color="auto"/>
            <w:right w:val="none" w:sz="0" w:space="0" w:color="auto"/>
          </w:divBdr>
        </w:div>
      </w:divsChild>
    </w:div>
    <w:div w:id="2011444230">
      <w:bodyDiv w:val="1"/>
      <w:marLeft w:val="0"/>
      <w:marRight w:val="0"/>
      <w:marTop w:val="0"/>
      <w:marBottom w:val="0"/>
      <w:divBdr>
        <w:top w:val="none" w:sz="0" w:space="0" w:color="auto"/>
        <w:left w:val="none" w:sz="0" w:space="0" w:color="auto"/>
        <w:bottom w:val="none" w:sz="0" w:space="0" w:color="auto"/>
        <w:right w:val="none" w:sz="0" w:space="0" w:color="auto"/>
      </w:divBdr>
      <w:divsChild>
        <w:div w:id="521433496">
          <w:marLeft w:val="0"/>
          <w:marRight w:val="0"/>
          <w:marTop w:val="225"/>
          <w:marBottom w:val="225"/>
          <w:divBdr>
            <w:top w:val="none" w:sz="0" w:space="0" w:color="auto"/>
            <w:left w:val="none" w:sz="0" w:space="0" w:color="auto"/>
            <w:bottom w:val="none" w:sz="0" w:space="0" w:color="auto"/>
            <w:right w:val="none" w:sz="0" w:space="0" w:color="auto"/>
          </w:divBdr>
        </w:div>
        <w:div w:id="1421827326">
          <w:marLeft w:val="0"/>
          <w:marRight w:val="0"/>
          <w:marTop w:val="0"/>
          <w:marBottom w:val="150"/>
          <w:divBdr>
            <w:top w:val="none" w:sz="0" w:space="0" w:color="auto"/>
            <w:left w:val="none" w:sz="0" w:space="0" w:color="auto"/>
            <w:bottom w:val="none" w:sz="0" w:space="0" w:color="auto"/>
            <w:right w:val="none" w:sz="0" w:space="0" w:color="auto"/>
          </w:divBdr>
        </w:div>
      </w:divsChild>
    </w:div>
    <w:div w:id="2011641999">
      <w:bodyDiv w:val="1"/>
      <w:marLeft w:val="0"/>
      <w:marRight w:val="0"/>
      <w:marTop w:val="0"/>
      <w:marBottom w:val="0"/>
      <w:divBdr>
        <w:top w:val="none" w:sz="0" w:space="0" w:color="auto"/>
        <w:left w:val="none" w:sz="0" w:space="0" w:color="auto"/>
        <w:bottom w:val="none" w:sz="0" w:space="0" w:color="auto"/>
        <w:right w:val="none" w:sz="0" w:space="0" w:color="auto"/>
      </w:divBdr>
    </w:div>
    <w:div w:id="2011791181">
      <w:bodyDiv w:val="1"/>
      <w:marLeft w:val="0"/>
      <w:marRight w:val="0"/>
      <w:marTop w:val="0"/>
      <w:marBottom w:val="0"/>
      <w:divBdr>
        <w:top w:val="none" w:sz="0" w:space="0" w:color="auto"/>
        <w:left w:val="none" w:sz="0" w:space="0" w:color="auto"/>
        <w:bottom w:val="none" w:sz="0" w:space="0" w:color="auto"/>
        <w:right w:val="none" w:sz="0" w:space="0" w:color="auto"/>
      </w:divBdr>
    </w:div>
    <w:div w:id="2012633750">
      <w:bodyDiv w:val="1"/>
      <w:marLeft w:val="0"/>
      <w:marRight w:val="0"/>
      <w:marTop w:val="0"/>
      <w:marBottom w:val="0"/>
      <w:divBdr>
        <w:top w:val="none" w:sz="0" w:space="0" w:color="auto"/>
        <w:left w:val="none" w:sz="0" w:space="0" w:color="auto"/>
        <w:bottom w:val="none" w:sz="0" w:space="0" w:color="auto"/>
        <w:right w:val="none" w:sz="0" w:space="0" w:color="auto"/>
      </w:divBdr>
      <w:divsChild>
        <w:div w:id="103889693">
          <w:marLeft w:val="0"/>
          <w:marRight w:val="0"/>
          <w:marTop w:val="0"/>
          <w:marBottom w:val="150"/>
          <w:divBdr>
            <w:top w:val="none" w:sz="0" w:space="0" w:color="auto"/>
            <w:left w:val="none" w:sz="0" w:space="0" w:color="auto"/>
            <w:bottom w:val="none" w:sz="0" w:space="0" w:color="auto"/>
            <w:right w:val="none" w:sz="0" w:space="0" w:color="auto"/>
          </w:divBdr>
        </w:div>
        <w:div w:id="305554108">
          <w:marLeft w:val="0"/>
          <w:marRight w:val="0"/>
          <w:marTop w:val="0"/>
          <w:marBottom w:val="150"/>
          <w:divBdr>
            <w:top w:val="none" w:sz="0" w:space="0" w:color="auto"/>
            <w:left w:val="none" w:sz="0" w:space="0" w:color="auto"/>
            <w:bottom w:val="none" w:sz="0" w:space="0" w:color="auto"/>
            <w:right w:val="none" w:sz="0" w:space="0" w:color="auto"/>
          </w:divBdr>
        </w:div>
        <w:div w:id="379522682">
          <w:marLeft w:val="0"/>
          <w:marRight w:val="0"/>
          <w:marTop w:val="0"/>
          <w:marBottom w:val="150"/>
          <w:divBdr>
            <w:top w:val="none" w:sz="0" w:space="0" w:color="auto"/>
            <w:left w:val="none" w:sz="0" w:space="0" w:color="auto"/>
            <w:bottom w:val="none" w:sz="0" w:space="0" w:color="auto"/>
            <w:right w:val="none" w:sz="0" w:space="0" w:color="auto"/>
          </w:divBdr>
        </w:div>
        <w:div w:id="527059574">
          <w:marLeft w:val="0"/>
          <w:marRight w:val="0"/>
          <w:marTop w:val="0"/>
          <w:marBottom w:val="150"/>
          <w:divBdr>
            <w:top w:val="none" w:sz="0" w:space="0" w:color="auto"/>
            <w:left w:val="none" w:sz="0" w:space="0" w:color="auto"/>
            <w:bottom w:val="none" w:sz="0" w:space="0" w:color="auto"/>
            <w:right w:val="none" w:sz="0" w:space="0" w:color="auto"/>
          </w:divBdr>
        </w:div>
        <w:div w:id="768934178">
          <w:marLeft w:val="0"/>
          <w:marRight w:val="0"/>
          <w:marTop w:val="0"/>
          <w:marBottom w:val="150"/>
          <w:divBdr>
            <w:top w:val="none" w:sz="0" w:space="0" w:color="auto"/>
            <w:left w:val="none" w:sz="0" w:space="0" w:color="auto"/>
            <w:bottom w:val="none" w:sz="0" w:space="0" w:color="auto"/>
            <w:right w:val="none" w:sz="0" w:space="0" w:color="auto"/>
          </w:divBdr>
        </w:div>
        <w:div w:id="1460606614">
          <w:marLeft w:val="0"/>
          <w:marRight w:val="0"/>
          <w:marTop w:val="0"/>
          <w:marBottom w:val="150"/>
          <w:divBdr>
            <w:top w:val="none" w:sz="0" w:space="0" w:color="auto"/>
            <w:left w:val="none" w:sz="0" w:space="0" w:color="auto"/>
            <w:bottom w:val="none" w:sz="0" w:space="0" w:color="auto"/>
            <w:right w:val="none" w:sz="0" w:space="0" w:color="auto"/>
          </w:divBdr>
        </w:div>
        <w:div w:id="1780641482">
          <w:marLeft w:val="0"/>
          <w:marRight w:val="0"/>
          <w:marTop w:val="0"/>
          <w:marBottom w:val="150"/>
          <w:divBdr>
            <w:top w:val="none" w:sz="0" w:space="0" w:color="auto"/>
            <w:left w:val="none" w:sz="0" w:space="0" w:color="auto"/>
            <w:bottom w:val="none" w:sz="0" w:space="0" w:color="auto"/>
            <w:right w:val="none" w:sz="0" w:space="0" w:color="auto"/>
          </w:divBdr>
        </w:div>
        <w:div w:id="1826700225">
          <w:marLeft w:val="0"/>
          <w:marRight w:val="0"/>
          <w:marTop w:val="0"/>
          <w:marBottom w:val="150"/>
          <w:divBdr>
            <w:top w:val="none" w:sz="0" w:space="0" w:color="auto"/>
            <w:left w:val="none" w:sz="0" w:space="0" w:color="auto"/>
            <w:bottom w:val="none" w:sz="0" w:space="0" w:color="auto"/>
            <w:right w:val="none" w:sz="0" w:space="0" w:color="auto"/>
          </w:divBdr>
        </w:div>
        <w:div w:id="1852183557">
          <w:marLeft w:val="0"/>
          <w:marRight w:val="0"/>
          <w:marTop w:val="0"/>
          <w:marBottom w:val="150"/>
          <w:divBdr>
            <w:top w:val="none" w:sz="0" w:space="0" w:color="auto"/>
            <w:left w:val="none" w:sz="0" w:space="0" w:color="auto"/>
            <w:bottom w:val="none" w:sz="0" w:space="0" w:color="auto"/>
            <w:right w:val="none" w:sz="0" w:space="0" w:color="auto"/>
          </w:divBdr>
        </w:div>
        <w:div w:id="2029260220">
          <w:marLeft w:val="0"/>
          <w:marRight w:val="0"/>
          <w:marTop w:val="0"/>
          <w:marBottom w:val="150"/>
          <w:divBdr>
            <w:top w:val="none" w:sz="0" w:space="0" w:color="auto"/>
            <w:left w:val="none" w:sz="0" w:space="0" w:color="auto"/>
            <w:bottom w:val="none" w:sz="0" w:space="0" w:color="auto"/>
            <w:right w:val="none" w:sz="0" w:space="0" w:color="auto"/>
          </w:divBdr>
        </w:div>
      </w:divsChild>
    </w:div>
    <w:div w:id="2013683210">
      <w:bodyDiv w:val="1"/>
      <w:marLeft w:val="0"/>
      <w:marRight w:val="0"/>
      <w:marTop w:val="0"/>
      <w:marBottom w:val="0"/>
      <w:divBdr>
        <w:top w:val="none" w:sz="0" w:space="0" w:color="auto"/>
        <w:left w:val="none" w:sz="0" w:space="0" w:color="auto"/>
        <w:bottom w:val="none" w:sz="0" w:space="0" w:color="auto"/>
        <w:right w:val="none" w:sz="0" w:space="0" w:color="auto"/>
      </w:divBdr>
      <w:divsChild>
        <w:div w:id="1023172997">
          <w:marLeft w:val="0"/>
          <w:marRight w:val="0"/>
          <w:marTop w:val="0"/>
          <w:marBottom w:val="150"/>
          <w:divBdr>
            <w:top w:val="none" w:sz="0" w:space="0" w:color="auto"/>
            <w:left w:val="none" w:sz="0" w:space="0" w:color="auto"/>
            <w:bottom w:val="none" w:sz="0" w:space="0" w:color="auto"/>
            <w:right w:val="none" w:sz="0" w:space="0" w:color="auto"/>
          </w:divBdr>
          <w:divsChild>
            <w:div w:id="287200600">
              <w:marLeft w:val="0"/>
              <w:marRight w:val="0"/>
              <w:marTop w:val="0"/>
              <w:marBottom w:val="0"/>
              <w:divBdr>
                <w:top w:val="none" w:sz="0" w:space="0" w:color="auto"/>
                <w:left w:val="none" w:sz="0" w:space="0" w:color="auto"/>
                <w:bottom w:val="none" w:sz="0" w:space="0" w:color="auto"/>
                <w:right w:val="none" w:sz="0" w:space="0" w:color="auto"/>
              </w:divBdr>
              <w:divsChild>
                <w:div w:id="153033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324694">
          <w:marLeft w:val="0"/>
          <w:marRight w:val="0"/>
          <w:marTop w:val="0"/>
          <w:marBottom w:val="150"/>
          <w:divBdr>
            <w:top w:val="none" w:sz="0" w:space="0" w:color="auto"/>
            <w:left w:val="none" w:sz="0" w:space="0" w:color="auto"/>
            <w:bottom w:val="none" w:sz="0" w:space="0" w:color="auto"/>
            <w:right w:val="none" w:sz="0" w:space="0" w:color="auto"/>
          </w:divBdr>
        </w:div>
        <w:div w:id="1382898667">
          <w:marLeft w:val="0"/>
          <w:marRight w:val="0"/>
          <w:marTop w:val="0"/>
          <w:marBottom w:val="0"/>
          <w:divBdr>
            <w:top w:val="none" w:sz="0" w:space="0" w:color="auto"/>
            <w:left w:val="none" w:sz="0" w:space="0" w:color="auto"/>
            <w:bottom w:val="none" w:sz="0" w:space="0" w:color="auto"/>
            <w:right w:val="none" w:sz="0" w:space="0" w:color="auto"/>
          </w:divBdr>
          <w:divsChild>
            <w:div w:id="87539203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13868226">
      <w:bodyDiv w:val="1"/>
      <w:marLeft w:val="0"/>
      <w:marRight w:val="0"/>
      <w:marTop w:val="0"/>
      <w:marBottom w:val="0"/>
      <w:divBdr>
        <w:top w:val="none" w:sz="0" w:space="0" w:color="auto"/>
        <w:left w:val="none" w:sz="0" w:space="0" w:color="auto"/>
        <w:bottom w:val="none" w:sz="0" w:space="0" w:color="auto"/>
        <w:right w:val="none" w:sz="0" w:space="0" w:color="auto"/>
      </w:divBdr>
      <w:divsChild>
        <w:div w:id="908615536">
          <w:marLeft w:val="0"/>
          <w:marRight w:val="0"/>
          <w:marTop w:val="0"/>
          <w:marBottom w:val="0"/>
          <w:divBdr>
            <w:top w:val="none" w:sz="0" w:space="0" w:color="auto"/>
            <w:left w:val="none" w:sz="0" w:space="0" w:color="auto"/>
            <w:bottom w:val="none" w:sz="0" w:space="0" w:color="auto"/>
            <w:right w:val="none" w:sz="0" w:space="0" w:color="auto"/>
          </w:divBdr>
          <w:divsChild>
            <w:div w:id="1694575117">
              <w:marLeft w:val="0"/>
              <w:marRight w:val="0"/>
              <w:marTop w:val="0"/>
              <w:marBottom w:val="0"/>
              <w:divBdr>
                <w:top w:val="none" w:sz="0" w:space="0" w:color="auto"/>
                <w:left w:val="none" w:sz="0" w:space="0" w:color="auto"/>
                <w:bottom w:val="none" w:sz="0" w:space="0" w:color="auto"/>
                <w:right w:val="none" w:sz="0" w:space="0" w:color="auto"/>
              </w:divBdr>
              <w:divsChild>
                <w:div w:id="63067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953765">
          <w:marLeft w:val="0"/>
          <w:marRight w:val="0"/>
          <w:marTop w:val="0"/>
          <w:marBottom w:val="75"/>
          <w:divBdr>
            <w:top w:val="none" w:sz="0" w:space="0" w:color="auto"/>
            <w:left w:val="none" w:sz="0" w:space="0" w:color="auto"/>
            <w:bottom w:val="none" w:sz="0" w:space="0" w:color="auto"/>
            <w:right w:val="none" w:sz="0" w:space="0" w:color="auto"/>
          </w:divBdr>
        </w:div>
        <w:div w:id="570315540">
          <w:marLeft w:val="0"/>
          <w:marRight w:val="0"/>
          <w:marTop w:val="0"/>
          <w:marBottom w:val="300"/>
          <w:divBdr>
            <w:top w:val="none" w:sz="0" w:space="0" w:color="auto"/>
            <w:left w:val="none" w:sz="0" w:space="0" w:color="auto"/>
            <w:bottom w:val="none" w:sz="0" w:space="0" w:color="auto"/>
            <w:right w:val="none" w:sz="0" w:space="0" w:color="auto"/>
          </w:divBdr>
          <w:divsChild>
            <w:div w:id="756366574">
              <w:marLeft w:val="0"/>
              <w:marRight w:val="0"/>
              <w:marTop w:val="0"/>
              <w:marBottom w:val="0"/>
              <w:divBdr>
                <w:top w:val="none" w:sz="0" w:space="0" w:color="auto"/>
                <w:left w:val="none" w:sz="0" w:space="0" w:color="auto"/>
                <w:bottom w:val="none" w:sz="0" w:space="0" w:color="auto"/>
                <w:right w:val="none" w:sz="0" w:space="0" w:color="auto"/>
              </w:divBdr>
            </w:div>
          </w:divsChild>
        </w:div>
        <w:div w:id="10491708">
          <w:marLeft w:val="0"/>
          <w:marRight w:val="0"/>
          <w:marTop w:val="0"/>
          <w:marBottom w:val="0"/>
          <w:divBdr>
            <w:top w:val="none" w:sz="0" w:space="0" w:color="auto"/>
            <w:left w:val="none" w:sz="0" w:space="0" w:color="auto"/>
            <w:bottom w:val="none" w:sz="0" w:space="0" w:color="auto"/>
            <w:right w:val="none" w:sz="0" w:space="0" w:color="auto"/>
          </w:divBdr>
          <w:divsChild>
            <w:div w:id="1997950411">
              <w:marLeft w:val="0"/>
              <w:marRight w:val="0"/>
              <w:marTop w:val="0"/>
              <w:marBottom w:val="0"/>
              <w:divBdr>
                <w:top w:val="none" w:sz="0" w:space="0" w:color="auto"/>
                <w:left w:val="none" w:sz="0" w:space="0" w:color="auto"/>
                <w:bottom w:val="none" w:sz="0" w:space="0" w:color="auto"/>
                <w:right w:val="none" w:sz="0" w:space="0" w:color="auto"/>
              </w:divBdr>
              <w:divsChild>
                <w:div w:id="989871889">
                  <w:marLeft w:val="0"/>
                  <w:marRight w:val="0"/>
                  <w:marTop w:val="0"/>
                  <w:marBottom w:val="450"/>
                  <w:divBdr>
                    <w:top w:val="none" w:sz="0" w:space="0" w:color="auto"/>
                    <w:left w:val="none" w:sz="0" w:space="0" w:color="auto"/>
                    <w:bottom w:val="none" w:sz="0" w:space="0" w:color="auto"/>
                    <w:right w:val="none" w:sz="0" w:space="0" w:color="auto"/>
                  </w:divBdr>
                  <w:divsChild>
                    <w:div w:id="13950830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14528611">
      <w:bodyDiv w:val="1"/>
      <w:marLeft w:val="0"/>
      <w:marRight w:val="0"/>
      <w:marTop w:val="0"/>
      <w:marBottom w:val="0"/>
      <w:divBdr>
        <w:top w:val="none" w:sz="0" w:space="0" w:color="auto"/>
        <w:left w:val="none" w:sz="0" w:space="0" w:color="auto"/>
        <w:bottom w:val="none" w:sz="0" w:space="0" w:color="auto"/>
        <w:right w:val="none" w:sz="0" w:space="0" w:color="auto"/>
      </w:divBdr>
      <w:divsChild>
        <w:div w:id="683938607">
          <w:marLeft w:val="0"/>
          <w:marRight w:val="0"/>
          <w:marTop w:val="0"/>
          <w:marBottom w:val="0"/>
          <w:divBdr>
            <w:top w:val="none" w:sz="0" w:space="0" w:color="auto"/>
            <w:left w:val="none" w:sz="0" w:space="0" w:color="auto"/>
            <w:bottom w:val="none" w:sz="0" w:space="0" w:color="auto"/>
            <w:right w:val="none" w:sz="0" w:space="0" w:color="auto"/>
          </w:divBdr>
          <w:divsChild>
            <w:div w:id="1999183949">
              <w:marLeft w:val="0"/>
              <w:marRight w:val="0"/>
              <w:marTop w:val="0"/>
              <w:marBottom w:val="0"/>
              <w:divBdr>
                <w:top w:val="none" w:sz="0" w:space="0" w:color="auto"/>
                <w:left w:val="none" w:sz="0" w:space="0" w:color="auto"/>
                <w:bottom w:val="none" w:sz="0" w:space="0" w:color="auto"/>
                <w:right w:val="none" w:sz="0" w:space="0" w:color="auto"/>
              </w:divBdr>
            </w:div>
          </w:divsChild>
        </w:div>
        <w:div w:id="1222058657">
          <w:marLeft w:val="0"/>
          <w:marRight w:val="0"/>
          <w:marTop w:val="0"/>
          <w:marBottom w:val="150"/>
          <w:divBdr>
            <w:top w:val="none" w:sz="0" w:space="0" w:color="auto"/>
            <w:left w:val="none" w:sz="0" w:space="0" w:color="auto"/>
            <w:bottom w:val="none" w:sz="0" w:space="0" w:color="auto"/>
            <w:right w:val="none" w:sz="0" w:space="0" w:color="auto"/>
          </w:divBdr>
        </w:div>
        <w:div w:id="1715230708">
          <w:marLeft w:val="0"/>
          <w:marRight w:val="0"/>
          <w:marTop w:val="0"/>
          <w:marBottom w:val="150"/>
          <w:divBdr>
            <w:top w:val="none" w:sz="0" w:space="0" w:color="auto"/>
            <w:left w:val="none" w:sz="0" w:space="0" w:color="auto"/>
            <w:bottom w:val="none" w:sz="0" w:space="0" w:color="auto"/>
            <w:right w:val="none" w:sz="0" w:space="0" w:color="auto"/>
          </w:divBdr>
          <w:divsChild>
            <w:div w:id="100856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182841">
      <w:bodyDiv w:val="1"/>
      <w:marLeft w:val="0"/>
      <w:marRight w:val="0"/>
      <w:marTop w:val="0"/>
      <w:marBottom w:val="0"/>
      <w:divBdr>
        <w:top w:val="none" w:sz="0" w:space="0" w:color="auto"/>
        <w:left w:val="none" w:sz="0" w:space="0" w:color="auto"/>
        <w:bottom w:val="none" w:sz="0" w:space="0" w:color="auto"/>
        <w:right w:val="none" w:sz="0" w:space="0" w:color="auto"/>
      </w:divBdr>
      <w:divsChild>
        <w:div w:id="427190739">
          <w:marLeft w:val="0"/>
          <w:marRight w:val="0"/>
          <w:marTop w:val="0"/>
          <w:marBottom w:val="150"/>
          <w:divBdr>
            <w:top w:val="none" w:sz="0" w:space="0" w:color="auto"/>
            <w:left w:val="none" w:sz="0" w:space="0" w:color="auto"/>
            <w:bottom w:val="none" w:sz="0" w:space="0" w:color="auto"/>
            <w:right w:val="none" w:sz="0" w:space="0" w:color="auto"/>
          </w:divBdr>
        </w:div>
      </w:divsChild>
    </w:div>
    <w:div w:id="2015255038">
      <w:bodyDiv w:val="1"/>
      <w:marLeft w:val="0"/>
      <w:marRight w:val="0"/>
      <w:marTop w:val="0"/>
      <w:marBottom w:val="0"/>
      <w:divBdr>
        <w:top w:val="none" w:sz="0" w:space="0" w:color="auto"/>
        <w:left w:val="none" w:sz="0" w:space="0" w:color="auto"/>
        <w:bottom w:val="none" w:sz="0" w:space="0" w:color="auto"/>
        <w:right w:val="none" w:sz="0" w:space="0" w:color="auto"/>
      </w:divBdr>
      <w:divsChild>
        <w:div w:id="417678197">
          <w:marLeft w:val="0"/>
          <w:marRight w:val="0"/>
          <w:marTop w:val="0"/>
          <w:marBottom w:val="0"/>
          <w:divBdr>
            <w:top w:val="none" w:sz="0" w:space="0" w:color="auto"/>
            <w:left w:val="none" w:sz="0" w:space="0" w:color="auto"/>
            <w:bottom w:val="none" w:sz="0" w:space="0" w:color="auto"/>
            <w:right w:val="none" w:sz="0" w:space="0" w:color="auto"/>
          </w:divBdr>
          <w:divsChild>
            <w:div w:id="1353263905">
              <w:marLeft w:val="0"/>
              <w:marRight w:val="0"/>
              <w:marTop w:val="0"/>
              <w:marBottom w:val="0"/>
              <w:divBdr>
                <w:top w:val="none" w:sz="0" w:space="0" w:color="auto"/>
                <w:left w:val="none" w:sz="0" w:space="0" w:color="auto"/>
                <w:bottom w:val="none" w:sz="0" w:space="0" w:color="auto"/>
                <w:right w:val="none" w:sz="0" w:space="0" w:color="auto"/>
              </w:divBdr>
              <w:divsChild>
                <w:div w:id="1114324928">
                  <w:marLeft w:val="0"/>
                  <w:marRight w:val="0"/>
                  <w:marTop w:val="0"/>
                  <w:marBottom w:val="0"/>
                  <w:divBdr>
                    <w:top w:val="none" w:sz="0" w:space="0" w:color="auto"/>
                    <w:left w:val="none" w:sz="0" w:space="0" w:color="auto"/>
                    <w:bottom w:val="none" w:sz="0" w:space="0" w:color="auto"/>
                    <w:right w:val="none" w:sz="0" w:space="0" w:color="auto"/>
                  </w:divBdr>
                  <w:divsChild>
                    <w:div w:id="1170952876">
                      <w:marLeft w:val="0"/>
                      <w:marRight w:val="0"/>
                      <w:marTop w:val="0"/>
                      <w:marBottom w:val="0"/>
                      <w:divBdr>
                        <w:top w:val="none" w:sz="0" w:space="0" w:color="auto"/>
                        <w:left w:val="none" w:sz="0" w:space="0" w:color="auto"/>
                        <w:bottom w:val="none" w:sz="0" w:space="0" w:color="auto"/>
                        <w:right w:val="none" w:sz="0" w:space="0" w:color="auto"/>
                      </w:divBdr>
                      <w:divsChild>
                        <w:div w:id="98644527">
                          <w:marLeft w:val="0"/>
                          <w:marRight w:val="0"/>
                          <w:marTop w:val="0"/>
                          <w:marBottom w:val="0"/>
                          <w:divBdr>
                            <w:top w:val="none" w:sz="0" w:space="0" w:color="auto"/>
                            <w:left w:val="none" w:sz="0" w:space="0" w:color="auto"/>
                            <w:bottom w:val="none" w:sz="0" w:space="0" w:color="auto"/>
                            <w:right w:val="none" w:sz="0" w:space="0" w:color="auto"/>
                          </w:divBdr>
                          <w:divsChild>
                            <w:div w:id="906382171">
                              <w:marLeft w:val="0"/>
                              <w:marRight w:val="0"/>
                              <w:marTop w:val="0"/>
                              <w:marBottom w:val="0"/>
                              <w:divBdr>
                                <w:top w:val="none" w:sz="0" w:space="0" w:color="auto"/>
                                <w:left w:val="none" w:sz="0" w:space="0" w:color="auto"/>
                                <w:bottom w:val="none" w:sz="0" w:space="0" w:color="auto"/>
                                <w:right w:val="none" w:sz="0" w:space="0" w:color="auto"/>
                              </w:divBdr>
                              <w:divsChild>
                                <w:div w:id="711424647">
                                  <w:marLeft w:val="0"/>
                                  <w:marRight w:val="0"/>
                                  <w:marTop w:val="0"/>
                                  <w:marBottom w:val="0"/>
                                  <w:divBdr>
                                    <w:top w:val="none" w:sz="0" w:space="0" w:color="auto"/>
                                    <w:left w:val="none" w:sz="0" w:space="0" w:color="auto"/>
                                    <w:bottom w:val="none" w:sz="0" w:space="0" w:color="auto"/>
                                    <w:right w:val="none" w:sz="0" w:space="0" w:color="auto"/>
                                  </w:divBdr>
                                  <w:divsChild>
                                    <w:div w:id="6610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6687044">
      <w:bodyDiv w:val="1"/>
      <w:marLeft w:val="0"/>
      <w:marRight w:val="0"/>
      <w:marTop w:val="0"/>
      <w:marBottom w:val="0"/>
      <w:divBdr>
        <w:top w:val="none" w:sz="0" w:space="0" w:color="auto"/>
        <w:left w:val="none" w:sz="0" w:space="0" w:color="auto"/>
        <w:bottom w:val="none" w:sz="0" w:space="0" w:color="auto"/>
        <w:right w:val="none" w:sz="0" w:space="0" w:color="auto"/>
      </w:divBdr>
      <w:divsChild>
        <w:div w:id="99421466">
          <w:marLeft w:val="0"/>
          <w:marRight w:val="0"/>
          <w:marTop w:val="0"/>
          <w:marBottom w:val="150"/>
          <w:divBdr>
            <w:top w:val="none" w:sz="0" w:space="0" w:color="auto"/>
            <w:left w:val="none" w:sz="0" w:space="0" w:color="auto"/>
            <w:bottom w:val="none" w:sz="0" w:space="0" w:color="auto"/>
            <w:right w:val="none" w:sz="0" w:space="0" w:color="auto"/>
          </w:divBdr>
        </w:div>
      </w:divsChild>
    </w:div>
    <w:div w:id="2016808502">
      <w:bodyDiv w:val="1"/>
      <w:marLeft w:val="0"/>
      <w:marRight w:val="0"/>
      <w:marTop w:val="0"/>
      <w:marBottom w:val="0"/>
      <w:divBdr>
        <w:top w:val="none" w:sz="0" w:space="0" w:color="auto"/>
        <w:left w:val="none" w:sz="0" w:space="0" w:color="auto"/>
        <w:bottom w:val="none" w:sz="0" w:space="0" w:color="auto"/>
        <w:right w:val="none" w:sz="0" w:space="0" w:color="auto"/>
      </w:divBdr>
      <w:divsChild>
        <w:div w:id="1648435986">
          <w:marLeft w:val="0"/>
          <w:marRight w:val="0"/>
          <w:marTop w:val="0"/>
          <w:marBottom w:val="0"/>
          <w:divBdr>
            <w:top w:val="none" w:sz="0" w:space="0" w:color="auto"/>
            <w:left w:val="none" w:sz="0" w:space="0" w:color="auto"/>
            <w:bottom w:val="none" w:sz="0" w:space="0" w:color="auto"/>
            <w:right w:val="none" w:sz="0" w:space="0" w:color="auto"/>
          </w:divBdr>
          <w:divsChild>
            <w:div w:id="1926258750">
              <w:marLeft w:val="0"/>
              <w:marRight w:val="0"/>
              <w:marTop w:val="0"/>
              <w:marBottom w:val="0"/>
              <w:divBdr>
                <w:top w:val="none" w:sz="0" w:space="0" w:color="auto"/>
                <w:left w:val="none" w:sz="0" w:space="0" w:color="auto"/>
                <w:bottom w:val="none" w:sz="0" w:space="0" w:color="auto"/>
                <w:right w:val="none" w:sz="0" w:space="0" w:color="auto"/>
              </w:divBdr>
              <w:divsChild>
                <w:div w:id="1417166795">
                  <w:marLeft w:val="0"/>
                  <w:marRight w:val="0"/>
                  <w:marTop w:val="0"/>
                  <w:marBottom w:val="0"/>
                  <w:divBdr>
                    <w:top w:val="none" w:sz="0" w:space="0" w:color="auto"/>
                    <w:left w:val="none" w:sz="0" w:space="0" w:color="auto"/>
                    <w:bottom w:val="none" w:sz="0" w:space="0" w:color="auto"/>
                    <w:right w:val="none" w:sz="0" w:space="0" w:color="auto"/>
                  </w:divBdr>
                  <w:divsChild>
                    <w:div w:id="56438269">
                      <w:marLeft w:val="0"/>
                      <w:marRight w:val="0"/>
                      <w:marTop w:val="0"/>
                      <w:marBottom w:val="0"/>
                      <w:divBdr>
                        <w:top w:val="none" w:sz="0" w:space="0" w:color="auto"/>
                        <w:left w:val="none" w:sz="0" w:space="0" w:color="auto"/>
                        <w:bottom w:val="none" w:sz="0" w:space="0" w:color="auto"/>
                        <w:right w:val="none" w:sz="0" w:space="0" w:color="auto"/>
                      </w:divBdr>
                      <w:divsChild>
                        <w:div w:id="2078436680">
                          <w:marLeft w:val="0"/>
                          <w:marRight w:val="0"/>
                          <w:marTop w:val="0"/>
                          <w:marBottom w:val="0"/>
                          <w:divBdr>
                            <w:top w:val="none" w:sz="0" w:space="0" w:color="auto"/>
                            <w:left w:val="none" w:sz="0" w:space="0" w:color="auto"/>
                            <w:bottom w:val="none" w:sz="0" w:space="0" w:color="auto"/>
                            <w:right w:val="none" w:sz="0" w:space="0" w:color="auto"/>
                          </w:divBdr>
                          <w:divsChild>
                            <w:div w:id="4061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226791">
      <w:bodyDiv w:val="1"/>
      <w:marLeft w:val="0"/>
      <w:marRight w:val="0"/>
      <w:marTop w:val="0"/>
      <w:marBottom w:val="0"/>
      <w:divBdr>
        <w:top w:val="none" w:sz="0" w:space="0" w:color="auto"/>
        <w:left w:val="none" w:sz="0" w:space="0" w:color="auto"/>
        <w:bottom w:val="none" w:sz="0" w:space="0" w:color="auto"/>
        <w:right w:val="none" w:sz="0" w:space="0" w:color="auto"/>
      </w:divBdr>
    </w:div>
    <w:div w:id="2017264285">
      <w:bodyDiv w:val="1"/>
      <w:marLeft w:val="0"/>
      <w:marRight w:val="0"/>
      <w:marTop w:val="0"/>
      <w:marBottom w:val="0"/>
      <w:divBdr>
        <w:top w:val="none" w:sz="0" w:space="0" w:color="auto"/>
        <w:left w:val="none" w:sz="0" w:space="0" w:color="auto"/>
        <w:bottom w:val="none" w:sz="0" w:space="0" w:color="auto"/>
        <w:right w:val="none" w:sz="0" w:space="0" w:color="auto"/>
      </w:divBdr>
    </w:div>
    <w:div w:id="2017535907">
      <w:bodyDiv w:val="1"/>
      <w:marLeft w:val="0"/>
      <w:marRight w:val="0"/>
      <w:marTop w:val="0"/>
      <w:marBottom w:val="0"/>
      <w:divBdr>
        <w:top w:val="none" w:sz="0" w:space="0" w:color="auto"/>
        <w:left w:val="none" w:sz="0" w:space="0" w:color="auto"/>
        <w:bottom w:val="none" w:sz="0" w:space="0" w:color="auto"/>
        <w:right w:val="none" w:sz="0" w:space="0" w:color="auto"/>
      </w:divBdr>
    </w:div>
    <w:div w:id="2017993515">
      <w:bodyDiv w:val="1"/>
      <w:marLeft w:val="0"/>
      <w:marRight w:val="0"/>
      <w:marTop w:val="0"/>
      <w:marBottom w:val="0"/>
      <w:divBdr>
        <w:top w:val="none" w:sz="0" w:space="0" w:color="auto"/>
        <w:left w:val="none" w:sz="0" w:space="0" w:color="auto"/>
        <w:bottom w:val="none" w:sz="0" w:space="0" w:color="auto"/>
        <w:right w:val="none" w:sz="0" w:space="0" w:color="auto"/>
      </w:divBdr>
      <w:divsChild>
        <w:div w:id="520435232">
          <w:marLeft w:val="0"/>
          <w:marRight w:val="0"/>
          <w:marTop w:val="0"/>
          <w:marBottom w:val="0"/>
          <w:divBdr>
            <w:top w:val="none" w:sz="0" w:space="0" w:color="auto"/>
            <w:left w:val="none" w:sz="0" w:space="0" w:color="auto"/>
            <w:bottom w:val="dotted" w:sz="6" w:space="4" w:color="DDDDDD"/>
            <w:right w:val="none" w:sz="0" w:space="0" w:color="auto"/>
          </w:divBdr>
          <w:divsChild>
            <w:div w:id="154640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532552">
      <w:bodyDiv w:val="1"/>
      <w:marLeft w:val="0"/>
      <w:marRight w:val="0"/>
      <w:marTop w:val="0"/>
      <w:marBottom w:val="0"/>
      <w:divBdr>
        <w:top w:val="none" w:sz="0" w:space="0" w:color="auto"/>
        <w:left w:val="none" w:sz="0" w:space="0" w:color="auto"/>
        <w:bottom w:val="none" w:sz="0" w:space="0" w:color="auto"/>
        <w:right w:val="none" w:sz="0" w:space="0" w:color="auto"/>
      </w:divBdr>
      <w:divsChild>
        <w:div w:id="1077290150">
          <w:marLeft w:val="0"/>
          <w:marRight w:val="0"/>
          <w:marTop w:val="0"/>
          <w:marBottom w:val="0"/>
          <w:divBdr>
            <w:top w:val="none" w:sz="0" w:space="0" w:color="auto"/>
            <w:left w:val="none" w:sz="0" w:space="0" w:color="auto"/>
            <w:bottom w:val="none" w:sz="0" w:space="0" w:color="auto"/>
            <w:right w:val="none" w:sz="0" w:space="0" w:color="auto"/>
          </w:divBdr>
          <w:divsChild>
            <w:div w:id="1519855757">
              <w:marLeft w:val="0"/>
              <w:marRight w:val="0"/>
              <w:marTop w:val="0"/>
              <w:marBottom w:val="0"/>
              <w:divBdr>
                <w:top w:val="none" w:sz="0" w:space="0" w:color="auto"/>
                <w:left w:val="none" w:sz="0" w:space="0" w:color="auto"/>
                <w:bottom w:val="none" w:sz="0" w:space="0" w:color="auto"/>
                <w:right w:val="none" w:sz="0" w:space="0" w:color="auto"/>
              </w:divBdr>
              <w:divsChild>
                <w:div w:id="125856257">
                  <w:marLeft w:val="0"/>
                  <w:marRight w:val="0"/>
                  <w:marTop w:val="0"/>
                  <w:marBottom w:val="0"/>
                  <w:divBdr>
                    <w:top w:val="none" w:sz="0" w:space="0" w:color="auto"/>
                    <w:left w:val="none" w:sz="0" w:space="0" w:color="auto"/>
                    <w:bottom w:val="none" w:sz="0" w:space="0" w:color="auto"/>
                    <w:right w:val="none" w:sz="0" w:space="0" w:color="auto"/>
                  </w:divBdr>
                  <w:divsChild>
                    <w:div w:id="537090211">
                      <w:marLeft w:val="0"/>
                      <w:marRight w:val="0"/>
                      <w:marTop w:val="0"/>
                      <w:marBottom w:val="0"/>
                      <w:divBdr>
                        <w:top w:val="none" w:sz="0" w:space="0" w:color="auto"/>
                        <w:left w:val="none" w:sz="0" w:space="0" w:color="auto"/>
                        <w:bottom w:val="none" w:sz="0" w:space="0" w:color="auto"/>
                        <w:right w:val="none" w:sz="0" w:space="0" w:color="auto"/>
                      </w:divBdr>
                      <w:divsChild>
                        <w:div w:id="2095588982">
                          <w:marLeft w:val="0"/>
                          <w:marRight w:val="0"/>
                          <w:marTop w:val="0"/>
                          <w:marBottom w:val="0"/>
                          <w:divBdr>
                            <w:top w:val="none" w:sz="0" w:space="0" w:color="auto"/>
                            <w:left w:val="none" w:sz="0" w:space="0" w:color="auto"/>
                            <w:bottom w:val="none" w:sz="0" w:space="0" w:color="auto"/>
                            <w:right w:val="none" w:sz="0" w:space="0" w:color="auto"/>
                          </w:divBdr>
                          <w:divsChild>
                            <w:div w:id="401215475">
                              <w:marLeft w:val="0"/>
                              <w:marRight w:val="0"/>
                              <w:marTop w:val="0"/>
                              <w:marBottom w:val="0"/>
                              <w:divBdr>
                                <w:top w:val="none" w:sz="0" w:space="0" w:color="auto"/>
                                <w:left w:val="none" w:sz="0" w:space="0" w:color="auto"/>
                                <w:bottom w:val="none" w:sz="0" w:space="0" w:color="auto"/>
                                <w:right w:val="none" w:sz="0" w:space="0" w:color="auto"/>
                              </w:divBdr>
                              <w:divsChild>
                                <w:div w:id="1230387718">
                                  <w:marLeft w:val="0"/>
                                  <w:marRight w:val="0"/>
                                  <w:marTop w:val="0"/>
                                  <w:marBottom w:val="0"/>
                                  <w:divBdr>
                                    <w:top w:val="none" w:sz="0" w:space="0" w:color="auto"/>
                                    <w:left w:val="none" w:sz="0" w:space="0" w:color="auto"/>
                                    <w:bottom w:val="none" w:sz="0" w:space="0" w:color="auto"/>
                                    <w:right w:val="none" w:sz="0" w:space="0" w:color="auto"/>
                                  </w:divBdr>
                                  <w:divsChild>
                                    <w:div w:id="152648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8652789">
      <w:bodyDiv w:val="1"/>
      <w:marLeft w:val="0"/>
      <w:marRight w:val="0"/>
      <w:marTop w:val="0"/>
      <w:marBottom w:val="0"/>
      <w:divBdr>
        <w:top w:val="none" w:sz="0" w:space="0" w:color="auto"/>
        <w:left w:val="none" w:sz="0" w:space="0" w:color="auto"/>
        <w:bottom w:val="none" w:sz="0" w:space="0" w:color="auto"/>
        <w:right w:val="none" w:sz="0" w:space="0" w:color="auto"/>
      </w:divBdr>
      <w:divsChild>
        <w:div w:id="913780789">
          <w:marLeft w:val="0"/>
          <w:marRight w:val="0"/>
          <w:marTop w:val="0"/>
          <w:marBottom w:val="0"/>
          <w:divBdr>
            <w:top w:val="none" w:sz="0" w:space="0" w:color="auto"/>
            <w:left w:val="none" w:sz="0" w:space="0" w:color="auto"/>
            <w:bottom w:val="dotted" w:sz="6" w:space="4" w:color="DDDDDD"/>
            <w:right w:val="none" w:sz="0" w:space="0" w:color="auto"/>
          </w:divBdr>
        </w:div>
      </w:divsChild>
    </w:div>
    <w:div w:id="2019041688">
      <w:bodyDiv w:val="1"/>
      <w:marLeft w:val="0"/>
      <w:marRight w:val="0"/>
      <w:marTop w:val="0"/>
      <w:marBottom w:val="0"/>
      <w:divBdr>
        <w:top w:val="none" w:sz="0" w:space="0" w:color="auto"/>
        <w:left w:val="none" w:sz="0" w:space="0" w:color="auto"/>
        <w:bottom w:val="none" w:sz="0" w:space="0" w:color="auto"/>
        <w:right w:val="none" w:sz="0" w:space="0" w:color="auto"/>
      </w:divBdr>
      <w:divsChild>
        <w:div w:id="779375932">
          <w:marLeft w:val="0"/>
          <w:marRight w:val="0"/>
          <w:marTop w:val="0"/>
          <w:marBottom w:val="0"/>
          <w:divBdr>
            <w:top w:val="none" w:sz="0" w:space="0" w:color="auto"/>
            <w:left w:val="none" w:sz="0" w:space="0" w:color="auto"/>
            <w:bottom w:val="none" w:sz="0" w:space="0" w:color="auto"/>
            <w:right w:val="none" w:sz="0" w:space="0" w:color="auto"/>
          </w:divBdr>
        </w:div>
        <w:div w:id="2135588139">
          <w:marLeft w:val="0"/>
          <w:marRight w:val="0"/>
          <w:marTop w:val="0"/>
          <w:marBottom w:val="150"/>
          <w:divBdr>
            <w:top w:val="none" w:sz="0" w:space="0" w:color="auto"/>
            <w:left w:val="none" w:sz="0" w:space="0" w:color="auto"/>
            <w:bottom w:val="none" w:sz="0" w:space="0" w:color="auto"/>
            <w:right w:val="none" w:sz="0" w:space="0" w:color="auto"/>
          </w:divBdr>
        </w:div>
      </w:divsChild>
    </w:div>
    <w:div w:id="2019458345">
      <w:bodyDiv w:val="1"/>
      <w:marLeft w:val="0"/>
      <w:marRight w:val="0"/>
      <w:marTop w:val="0"/>
      <w:marBottom w:val="0"/>
      <w:divBdr>
        <w:top w:val="none" w:sz="0" w:space="0" w:color="auto"/>
        <w:left w:val="none" w:sz="0" w:space="0" w:color="auto"/>
        <w:bottom w:val="none" w:sz="0" w:space="0" w:color="auto"/>
        <w:right w:val="none" w:sz="0" w:space="0" w:color="auto"/>
      </w:divBdr>
    </w:div>
    <w:div w:id="2020695277">
      <w:bodyDiv w:val="1"/>
      <w:marLeft w:val="0"/>
      <w:marRight w:val="0"/>
      <w:marTop w:val="0"/>
      <w:marBottom w:val="0"/>
      <w:divBdr>
        <w:top w:val="none" w:sz="0" w:space="0" w:color="auto"/>
        <w:left w:val="none" w:sz="0" w:space="0" w:color="auto"/>
        <w:bottom w:val="none" w:sz="0" w:space="0" w:color="auto"/>
        <w:right w:val="none" w:sz="0" w:space="0" w:color="auto"/>
      </w:divBdr>
    </w:div>
    <w:div w:id="2020769790">
      <w:bodyDiv w:val="1"/>
      <w:marLeft w:val="0"/>
      <w:marRight w:val="0"/>
      <w:marTop w:val="0"/>
      <w:marBottom w:val="0"/>
      <w:divBdr>
        <w:top w:val="none" w:sz="0" w:space="0" w:color="auto"/>
        <w:left w:val="none" w:sz="0" w:space="0" w:color="auto"/>
        <w:bottom w:val="none" w:sz="0" w:space="0" w:color="auto"/>
        <w:right w:val="none" w:sz="0" w:space="0" w:color="auto"/>
      </w:divBdr>
    </w:div>
    <w:div w:id="2021196685">
      <w:bodyDiv w:val="1"/>
      <w:marLeft w:val="0"/>
      <w:marRight w:val="0"/>
      <w:marTop w:val="0"/>
      <w:marBottom w:val="0"/>
      <w:divBdr>
        <w:top w:val="none" w:sz="0" w:space="0" w:color="auto"/>
        <w:left w:val="none" w:sz="0" w:space="0" w:color="auto"/>
        <w:bottom w:val="none" w:sz="0" w:space="0" w:color="auto"/>
        <w:right w:val="none" w:sz="0" w:space="0" w:color="auto"/>
      </w:divBdr>
      <w:divsChild>
        <w:div w:id="241260373">
          <w:marLeft w:val="0"/>
          <w:marRight w:val="0"/>
          <w:marTop w:val="0"/>
          <w:marBottom w:val="0"/>
          <w:divBdr>
            <w:top w:val="none" w:sz="0" w:space="0" w:color="auto"/>
            <w:left w:val="none" w:sz="0" w:space="0" w:color="auto"/>
            <w:bottom w:val="none" w:sz="0" w:space="0" w:color="auto"/>
            <w:right w:val="none" w:sz="0" w:space="0" w:color="auto"/>
          </w:divBdr>
        </w:div>
      </w:divsChild>
    </w:div>
    <w:div w:id="2021739577">
      <w:bodyDiv w:val="1"/>
      <w:marLeft w:val="0"/>
      <w:marRight w:val="0"/>
      <w:marTop w:val="0"/>
      <w:marBottom w:val="0"/>
      <w:divBdr>
        <w:top w:val="none" w:sz="0" w:space="0" w:color="auto"/>
        <w:left w:val="none" w:sz="0" w:space="0" w:color="auto"/>
        <w:bottom w:val="none" w:sz="0" w:space="0" w:color="auto"/>
        <w:right w:val="none" w:sz="0" w:space="0" w:color="auto"/>
      </w:divBdr>
      <w:divsChild>
        <w:div w:id="2005548146">
          <w:marLeft w:val="0"/>
          <w:marRight w:val="0"/>
          <w:marTop w:val="0"/>
          <w:marBottom w:val="0"/>
          <w:divBdr>
            <w:top w:val="none" w:sz="0" w:space="0" w:color="auto"/>
            <w:left w:val="none" w:sz="0" w:space="0" w:color="auto"/>
            <w:bottom w:val="none" w:sz="0" w:space="0" w:color="auto"/>
            <w:right w:val="none" w:sz="0" w:space="0" w:color="auto"/>
          </w:divBdr>
          <w:divsChild>
            <w:div w:id="196940530">
              <w:marLeft w:val="0"/>
              <w:marRight w:val="0"/>
              <w:marTop w:val="0"/>
              <w:marBottom w:val="150"/>
              <w:divBdr>
                <w:top w:val="none" w:sz="0" w:space="0" w:color="auto"/>
                <w:left w:val="none" w:sz="0" w:space="0" w:color="auto"/>
                <w:bottom w:val="none" w:sz="0" w:space="0" w:color="auto"/>
                <w:right w:val="none" w:sz="0" w:space="0" w:color="auto"/>
              </w:divBdr>
            </w:div>
            <w:div w:id="162052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76796">
      <w:bodyDiv w:val="1"/>
      <w:marLeft w:val="0"/>
      <w:marRight w:val="0"/>
      <w:marTop w:val="0"/>
      <w:marBottom w:val="0"/>
      <w:divBdr>
        <w:top w:val="none" w:sz="0" w:space="0" w:color="auto"/>
        <w:left w:val="none" w:sz="0" w:space="0" w:color="auto"/>
        <w:bottom w:val="none" w:sz="0" w:space="0" w:color="auto"/>
        <w:right w:val="none" w:sz="0" w:space="0" w:color="auto"/>
      </w:divBdr>
      <w:divsChild>
        <w:div w:id="729770698">
          <w:marLeft w:val="0"/>
          <w:marRight w:val="0"/>
          <w:marTop w:val="0"/>
          <w:marBottom w:val="0"/>
          <w:divBdr>
            <w:top w:val="none" w:sz="0" w:space="0" w:color="auto"/>
            <w:left w:val="none" w:sz="0" w:space="0" w:color="auto"/>
            <w:bottom w:val="dotted" w:sz="6" w:space="4" w:color="DDDDDD"/>
            <w:right w:val="none" w:sz="0" w:space="0" w:color="auto"/>
          </w:divBdr>
          <w:divsChild>
            <w:div w:id="98428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122043">
      <w:bodyDiv w:val="1"/>
      <w:marLeft w:val="0"/>
      <w:marRight w:val="0"/>
      <w:marTop w:val="0"/>
      <w:marBottom w:val="0"/>
      <w:divBdr>
        <w:top w:val="none" w:sz="0" w:space="0" w:color="auto"/>
        <w:left w:val="none" w:sz="0" w:space="0" w:color="auto"/>
        <w:bottom w:val="none" w:sz="0" w:space="0" w:color="auto"/>
        <w:right w:val="none" w:sz="0" w:space="0" w:color="auto"/>
      </w:divBdr>
      <w:divsChild>
        <w:div w:id="587543665">
          <w:marLeft w:val="0"/>
          <w:marRight w:val="0"/>
          <w:marTop w:val="0"/>
          <w:marBottom w:val="0"/>
          <w:divBdr>
            <w:top w:val="none" w:sz="0" w:space="0" w:color="auto"/>
            <w:left w:val="none" w:sz="0" w:space="0" w:color="auto"/>
            <w:bottom w:val="none" w:sz="0" w:space="0" w:color="auto"/>
            <w:right w:val="none" w:sz="0" w:space="0" w:color="auto"/>
          </w:divBdr>
        </w:div>
      </w:divsChild>
    </w:div>
    <w:div w:id="2022123534">
      <w:bodyDiv w:val="1"/>
      <w:marLeft w:val="0"/>
      <w:marRight w:val="0"/>
      <w:marTop w:val="0"/>
      <w:marBottom w:val="0"/>
      <w:divBdr>
        <w:top w:val="none" w:sz="0" w:space="0" w:color="auto"/>
        <w:left w:val="none" w:sz="0" w:space="0" w:color="auto"/>
        <w:bottom w:val="none" w:sz="0" w:space="0" w:color="auto"/>
        <w:right w:val="none" w:sz="0" w:space="0" w:color="auto"/>
      </w:divBdr>
      <w:divsChild>
        <w:div w:id="519196364">
          <w:marLeft w:val="0"/>
          <w:marRight w:val="0"/>
          <w:marTop w:val="0"/>
          <w:marBottom w:val="0"/>
          <w:divBdr>
            <w:top w:val="none" w:sz="0" w:space="0" w:color="auto"/>
            <w:left w:val="none" w:sz="0" w:space="0" w:color="auto"/>
            <w:bottom w:val="dotted" w:sz="6" w:space="4" w:color="DDDDDD"/>
            <w:right w:val="none" w:sz="0" w:space="0" w:color="auto"/>
          </w:divBdr>
        </w:div>
      </w:divsChild>
    </w:div>
    <w:div w:id="2022126183">
      <w:bodyDiv w:val="1"/>
      <w:marLeft w:val="0"/>
      <w:marRight w:val="0"/>
      <w:marTop w:val="0"/>
      <w:marBottom w:val="0"/>
      <w:divBdr>
        <w:top w:val="none" w:sz="0" w:space="0" w:color="auto"/>
        <w:left w:val="none" w:sz="0" w:space="0" w:color="auto"/>
        <w:bottom w:val="none" w:sz="0" w:space="0" w:color="auto"/>
        <w:right w:val="none" w:sz="0" w:space="0" w:color="auto"/>
      </w:divBdr>
      <w:divsChild>
        <w:div w:id="1911114200">
          <w:marLeft w:val="0"/>
          <w:marRight w:val="0"/>
          <w:marTop w:val="0"/>
          <w:marBottom w:val="0"/>
          <w:divBdr>
            <w:top w:val="none" w:sz="0" w:space="0" w:color="auto"/>
            <w:left w:val="none" w:sz="0" w:space="0" w:color="auto"/>
            <w:bottom w:val="none" w:sz="0" w:space="0" w:color="auto"/>
            <w:right w:val="none" w:sz="0" w:space="0" w:color="auto"/>
          </w:divBdr>
        </w:div>
      </w:divsChild>
    </w:div>
    <w:div w:id="2022316210">
      <w:bodyDiv w:val="1"/>
      <w:marLeft w:val="0"/>
      <w:marRight w:val="0"/>
      <w:marTop w:val="0"/>
      <w:marBottom w:val="0"/>
      <w:divBdr>
        <w:top w:val="none" w:sz="0" w:space="0" w:color="auto"/>
        <w:left w:val="none" w:sz="0" w:space="0" w:color="auto"/>
        <w:bottom w:val="none" w:sz="0" w:space="0" w:color="auto"/>
        <w:right w:val="none" w:sz="0" w:space="0" w:color="auto"/>
      </w:divBdr>
      <w:divsChild>
        <w:div w:id="159197217">
          <w:marLeft w:val="0"/>
          <w:marRight w:val="0"/>
          <w:marTop w:val="0"/>
          <w:marBottom w:val="75"/>
          <w:divBdr>
            <w:top w:val="none" w:sz="0" w:space="0" w:color="auto"/>
            <w:left w:val="none" w:sz="0" w:space="0" w:color="auto"/>
            <w:bottom w:val="none" w:sz="0" w:space="0" w:color="auto"/>
            <w:right w:val="none" w:sz="0" w:space="0" w:color="auto"/>
          </w:divBdr>
        </w:div>
        <w:div w:id="360710761">
          <w:marLeft w:val="0"/>
          <w:marRight w:val="0"/>
          <w:marTop w:val="0"/>
          <w:marBottom w:val="0"/>
          <w:divBdr>
            <w:top w:val="none" w:sz="0" w:space="0" w:color="auto"/>
            <w:left w:val="none" w:sz="0" w:space="0" w:color="auto"/>
            <w:bottom w:val="none" w:sz="0" w:space="0" w:color="auto"/>
            <w:right w:val="none" w:sz="0" w:space="0" w:color="auto"/>
          </w:divBdr>
          <w:divsChild>
            <w:div w:id="1635064651">
              <w:marLeft w:val="0"/>
              <w:marRight w:val="0"/>
              <w:marTop w:val="0"/>
              <w:marBottom w:val="0"/>
              <w:divBdr>
                <w:top w:val="none" w:sz="0" w:space="0" w:color="auto"/>
                <w:left w:val="none" w:sz="0" w:space="0" w:color="auto"/>
                <w:bottom w:val="none" w:sz="0" w:space="0" w:color="auto"/>
                <w:right w:val="none" w:sz="0" w:space="0" w:color="auto"/>
              </w:divBdr>
              <w:divsChild>
                <w:div w:id="124140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658929">
          <w:marLeft w:val="0"/>
          <w:marRight w:val="0"/>
          <w:marTop w:val="0"/>
          <w:marBottom w:val="300"/>
          <w:divBdr>
            <w:top w:val="none" w:sz="0" w:space="0" w:color="auto"/>
            <w:left w:val="none" w:sz="0" w:space="0" w:color="auto"/>
            <w:bottom w:val="none" w:sz="0" w:space="0" w:color="auto"/>
            <w:right w:val="none" w:sz="0" w:space="0" w:color="auto"/>
          </w:divBdr>
          <w:divsChild>
            <w:div w:id="228610892">
              <w:marLeft w:val="0"/>
              <w:marRight w:val="0"/>
              <w:marTop w:val="0"/>
              <w:marBottom w:val="0"/>
              <w:divBdr>
                <w:top w:val="none" w:sz="0" w:space="0" w:color="auto"/>
                <w:left w:val="none" w:sz="0" w:space="0" w:color="auto"/>
                <w:bottom w:val="none" w:sz="0" w:space="0" w:color="auto"/>
                <w:right w:val="none" w:sz="0" w:space="0" w:color="auto"/>
              </w:divBdr>
            </w:div>
          </w:divsChild>
        </w:div>
        <w:div w:id="535046644">
          <w:marLeft w:val="0"/>
          <w:marRight w:val="0"/>
          <w:marTop w:val="0"/>
          <w:marBottom w:val="0"/>
          <w:divBdr>
            <w:top w:val="none" w:sz="0" w:space="0" w:color="auto"/>
            <w:left w:val="none" w:sz="0" w:space="0" w:color="auto"/>
            <w:bottom w:val="none" w:sz="0" w:space="0" w:color="auto"/>
            <w:right w:val="none" w:sz="0" w:space="0" w:color="auto"/>
          </w:divBdr>
        </w:div>
      </w:divsChild>
    </w:div>
    <w:div w:id="2022779374">
      <w:bodyDiv w:val="1"/>
      <w:marLeft w:val="0"/>
      <w:marRight w:val="0"/>
      <w:marTop w:val="0"/>
      <w:marBottom w:val="0"/>
      <w:divBdr>
        <w:top w:val="none" w:sz="0" w:space="0" w:color="auto"/>
        <w:left w:val="none" w:sz="0" w:space="0" w:color="auto"/>
        <w:bottom w:val="none" w:sz="0" w:space="0" w:color="auto"/>
        <w:right w:val="none" w:sz="0" w:space="0" w:color="auto"/>
      </w:divBdr>
    </w:div>
    <w:div w:id="2022783009">
      <w:bodyDiv w:val="1"/>
      <w:marLeft w:val="0"/>
      <w:marRight w:val="0"/>
      <w:marTop w:val="0"/>
      <w:marBottom w:val="0"/>
      <w:divBdr>
        <w:top w:val="none" w:sz="0" w:space="0" w:color="auto"/>
        <w:left w:val="none" w:sz="0" w:space="0" w:color="auto"/>
        <w:bottom w:val="none" w:sz="0" w:space="0" w:color="auto"/>
        <w:right w:val="none" w:sz="0" w:space="0" w:color="auto"/>
      </w:divBdr>
      <w:divsChild>
        <w:div w:id="1230966561">
          <w:marLeft w:val="0"/>
          <w:marRight w:val="0"/>
          <w:marTop w:val="0"/>
          <w:marBottom w:val="0"/>
          <w:divBdr>
            <w:top w:val="none" w:sz="0" w:space="0" w:color="auto"/>
            <w:left w:val="none" w:sz="0" w:space="0" w:color="auto"/>
            <w:bottom w:val="none" w:sz="0" w:space="0" w:color="auto"/>
            <w:right w:val="none" w:sz="0" w:space="0" w:color="auto"/>
          </w:divBdr>
        </w:div>
      </w:divsChild>
    </w:div>
    <w:div w:id="2023122663">
      <w:bodyDiv w:val="1"/>
      <w:marLeft w:val="0"/>
      <w:marRight w:val="0"/>
      <w:marTop w:val="0"/>
      <w:marBottom w:val="0"/>
      <w:divBdr>
        <w:top w:val="none" w:sz="0" w:space="0" w:color="auto"/>
        <w:left w:val="none" w:sz="0" w:space="0" w:color="auto"/>
        <w:bottom w:val="none" w:sz="0" w:space="0" w:color="auto"/>
        <w:right w:val="none" w:sz="0" w:space="0" w:color="auto"/>
      </w:divBdr>
      <w:divsChild>
        <w:div w:id="618801993">
          <w:marLeft w:val="0"/>
          <w:marRight w:val="0"/>
          <w:marTop w:val="0"/>
          <w:marBottom w:val="150"/>
          <w:divBdr>
            <w:top w:val="none" w:sz="0" w:space="0" w:color="auto"/>
            <w:left w:val="none" w:sz="0" w:space="0" w:color="auto"/>
            <w:bottom w:val="none" w:sz="0" w:space="0" w:color="auto"/>
            <w:right w:val="none" w:sz="0" w:space="0" w:color="auto"/>
          </w:divBdr>
          <w:divsChild>
            <w:div w:id="1417048530">
              <w:marLeft w:val="0"/>
              <w:marRight w:val="0"/>
              <w:marTop w:val="0"/>
              <w:marBottom w:val="0"/>
              <w:divBdr>
                <w:top w:val="none" w:sz="0" w:space="0" w:color="auto"/>
                <w:left w:val="none" w:sz="0" w:space="0" w:color="auto"/>
                <w:bottom w:val="none" w:sz="0" w:space="0" w:color="auto"/>
                <w:right w:val="none" w:sz="0" w:space="0" w:color="auto"/>
              </w:divBdr>
              <w:divsChild>
                <w:div w:id="167503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765697">
          <w:marLeft w:val="0"/>
          <w:marRight w:val="0"/>
          <w:marTop w:val="0"/>
          <w:marBottom w:val="150"/>
          <w:divBdr>
            <w:top w:val="none" w:sz="0" w:space="0" w:color="auto"/>
            <w:left w:val="none" w:sz="0" w:space="0" w:color="auto"/>
            <w:bottom w:val="none" w:sz="0" w:space="0" w:color="auto"/>
            <w:right w:val="none" w:sz="0" w:space="0" w:color="auto"/>
          </w:divBdr>
        </w:div>
        <w:div w:id="1452432347">
          <w:marLeft w:val="0"/>
          <w:marRight w:val="0"/>
          <w:marTop w:val="0"/>
          <w:marBottom w:val="0"/>
          <w:divBdr>
            <w:top w:val="none" w:sz="0" w:space="0" w:color="auto"/>
            <w:left w:val="none" w:sz="0" w:space="0" w:color="auto"/>
            <w:bottom w:val="none" w:sz="0" w:space="0" w:color="auto"/>
            <w:right w:val="none" w:sz="0" w:space="0" w:color="auto"/>
          </w:divBdr>
          <w:divsChild>
            <w:div w:id="26831750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23361490">
      <w:bodyDiv w:val="1"/>
      <w:marLeft w:val="0"/>
      <w:marRight w:val="0"/>
      <w:marTop w:val="0"/>
      <w:marBottom w:val="0"/>
      <w:divBdr>
        <w:top w:val="none" w:sz="0" w:space="0" w:color="auto"/>
        <w:left w:val="none" w:sz="0" w:space="0" w:color="auto"/>
        <w:bottom w:val="none" w:sz="0" w:space="0" w:color="auto"/>
        <w:right w:val="none" w:sz="0" w:space="0" w:color="auto"/>
      </w:divBdr>
    </w:div>
    <w:div w:id="2023434441">
      <w:bodyDiv w:val="1"/>
      <w:marLeft w:val="0"/>
      <w:marRight w:val="0"/>
      <w:marTop w:val="0"/>
      <w:marBottom w:val="0"/>
      <w:divBdr>
        <w:top w:val="none" w:sz="0" w:space="0" w:color="auto"/>
        <w:left w:val="none" w:sz="0" w:space="0" w:color="auto"/>
        <w:bottom w:val="none" w:sz="0" w:space="0" w:color="auto"/>
        <w:right w:val="none" w:sz="0" w:space="0" w:color="auto"/>
      </w:divBdr>
      <w:divsChild>
        <w:div w:id="351537025">
          <w:marLeft w:val="0"/>
          <w:marRight w:val="0"/>
          <w:marTop w:val="0"/>
          <w:marBottom w:val="0"/>
          <w:divBdr>
            <w:top w:val="none" w:sz="0" w:space="0" w:color="auto"/>
            <w:left w:val="none" w:sz="0" w:space="0" w:color="auto"/>
            <w:bottom w:val="none" w:sz="0" w:space="0" w:color="auto"/>
            <w:right w:val="none" w:sz="0" w:space="0" w:color="auto"/>
          </w:divBdr>
          <w:divsChild>
            <w:div w:id="29577291">
              <w:marLeft w:val="0"/>
              <w:marRight w:val="0"/>
              <w:marTop w:val="0"/>
              <w:marBottom w:val="0"/>
              <w:divBdr>
                <w:top w:val="none" w:sz="0" w:space="0" w:color="auto"/>
                <w:left w:val="none" w:sz="0" w:space="0" w:color="auto"/>
                <w:bottom w:val="none" w:sz="0" w:space="0" w:color="auto"/>
                <w:right w:val="none" w:sz="0" w:space="0" w:color="auto"/>
              </w:divBdr>
            </w:div>
            <w:div w:id="252200363">
              <w:marLeft w:val="0"/>
              <w:marRight w:val="0"/>
              <w:marTop w:val="0"/>
              <w:marBottom w:val="0"/>
              <w:divBdr>
                <w:top w:val="none" w:sz="0" w:space="0" w:color="auto"/>
                <w:left w:val="none" w:sz="0" w:space="0" w:color="auto"/>
                <w:bottom w:val="none" w:sz="0" w:space="0" w:color="auto"/>
                <w:right w:val="none" w:sz="0" w:space="0" w:color="auto"/>
              </w:divBdr>
            </w:div>
            <w:div w:id="1106997967">
              <w:marLeft w:val="0"/>
              <w:marRight w:val="0"/>
              <w:marTop w:val="0"/>
              <w:marBottom w:val="0"/>
              <w:divBdr>
                <w:top w:val="none" w:sz="0" w:space="0" w:color="auto"/>
                <w:left w:val="none" w:sz="0" w:space="0" w:color="auto"/>
                <w:bottom w:val="none" w:sz="0" w:space="0" w:color="auto"/>
                <w:right w:val="none" w:sz="0" w:space="0" w:color="auto"/>
              </w:divBdr>
            </w:div>
            <w:div w:id="1267690998">
              <w:marLeft w:val="0"/>
              <w:marRight w:val="0"/>
              <w:marTop w:val="0"/>
              <w:marBottom w:val="0"/>
              <w:divBdr>
                <w:top w:val="none" w:sz="0" w:space="0" w:color="auto"/>
                <w:left w:val="none" w:sz="0" w:space="0" w:color="auto"/>
                <w:bottom w:val="none" w:sz="0" w:space="0" w:color="auto"/>
                <w:right w:val="none" w:sz="0" w:space="0" w:color="auto"/>
              </w:divBdr>
            </w:div>
            <w:div w:id="1377897773">
              <w:marLeft w:val="0"/>
              <w:marRight w:val="0"/>
              <w:marTop w:val="0"/>
              <w:marBottom w:val="0"/>
              <w:divBdr>
                <w:top w:val="none" w:sz="0" w:space="0" w:color="auto"/>
                <w:left w:val="none" w:sz="0" w:space="0" w:color="auto"/>
                <w:bottom w:val="none" w:sz="0" w:space="0" w:color="auto"/>
                <w:right w:val="none" w:sz="0" w:space="0" w:color="auto"/>
              </w:divBdr>
            </w:div>
            <w:div w:id="1928418989">
              <w:marLeft w:val="0"/>
              <w:marRight w:val="0"/>
              <w:marTop w:val="0"/>
              <w:marBottom w:val="0"/>
              <w:divBdr>
                <w:top w:val="none" w:sz="0" w:space="0" w:color="auto"/>
                <w:left w:val="none" w:sz="0" w:space="0" w:color="auto"/>
                <w:bottom w:val="none" w:sz="0" w:space="0" w:color="auto"/>
                <w:right w:val="none" w:sz="0" w:space="0" w:color="auto"/>
              </w:divBdr>
            </w:div>
            <w:div w:id="1959600817">
              <w:marLeft w:val="0"/>
              <w:marRight w:val="0"/>
              <w:marTop w:val="0"/>
              <w:marBottom w:val="0"/>
              <w:divBdr>
                <w:top w:val="none" w:sz="0" w:space="0" w:color="auto"/>
                <w:left w:val="none" w:sz="0" w:space="0" w:color="auto"/>
                <w:bottom w:val="none" w:sz="0" w:space="0" w:color="auto"/>
                <w:right w:val="none" w:sz="0" w:space="0" w:color="auto"/>
              </w:divBdr>
            </w:div>
            <w:div w:id="2012947645">
              <w:marLeft w:val="0"/>
              <w:marRight w:val="0"/>
              <w:marTop w:val="0"/>
              <w:marBottom w:val="0"/>
              <w:divBdr>
                <w:top w:val="none" w:sz="0" w:space="0" w:color="auto"/>
                <w:left w:val="none" w:sz="0" w:space="0" w:color="auto"/>
                <w:bottom w:val="none" w:sz="0" w:space="0" w:color="auto"/>
                <w:right w:val="none" w:sz="0" w:space="0" w:color="auto"/>
              </w:divBdr>
            </w:div>
            <w:div w:id="212438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85333">
      <w:bodyDiv w:val="1"/>
      <w:marLeft w:val="0"/>
      <w:marRight w:val="0"/>
      <w:marTop w:val="0"/>
      <w:marBottom w:val="0"/>
      <w:divBdr>
        <w:top w:val="none" w:sz="0" w:space="0" w:color="auto"/>
        <w:left w:val="none" w:sz="0" w:space="0" w:color="auto"/>
        <w:bottom w:val="none" w:sz="0" w:space="0" w:color="auto"/>
        <w:right w:val="none" w:sz="0" w:space="0" w:color="auto"/>
      </w:divBdr>
      <w:divsChild>
        <w:div w:id="1827283920">
          <w:marLeft w:val="0"/>
          <w:marRight w:val="0"/>
          <w:marTop w:val="0"/>
          <w:marBottom w:val="0"/>
          <w:divBdr>
            <w:top w:val="none" w:sz="0" w:space="0" w:color="auto"/>
            <w:left w:val="none" w:sz="0" w:space="0" w:color="auto"/>
            <w:bottom w:val="none" w:sz="0" w:space="0" w:color="auto"/>
            <w:right w:val="none" w:sz="0" w:space="0" w:color="auto"/>
          </w:divBdr>
          <w:divsChild>
            <w:div w:id="320231313">
              <w:marLeft w:val="0"/>
              <w:marRight w:val="0"/>
              <w:marTop w:val="0"/>
              <w:marBottom w:val="0"/>
              <w:divBdr>
                <w:top w:val="none" w:sz="0" w:space="0" w:color="auto"/>
                <w:left w:val="none" w:sz="0" w:space="0" w:color="auto"/>
                <w:bottom w:val="none" w:sz="0" w:space="0" w:color="auto"/>
                <w:right w:val="none" w:sz="0" w:space="0" w:color="auto"/>
              </w:divBdr>
              <w:divsChild>
                <w:div w:id="1173489228">
                  <w:marLeft w:val="0"/>
                  <w:marRight w:val="0"/>
                  <w:marTop w:val="0"/>
                  <w:marBottom w:val="0"/>
                  <w:divBdr>
                    <w:top w:val="none" w:sz="0" w:space="0" w:color="auto"/>
                    <w:left w:val="none" w:sz="0" w:space="0" w:color="auto"/>
                    <w:bottom w:val="none" w:sz="0" w:space="0" w:color="auto"/>
                    <w:right w:val="none" w:sz="0" w:space="0" w:color="auto"/>
                  </w:divBdr>
                  <w:divsChild>
                    <w:div w:id="2137746962">
                      <w:marLeft w:val="0"/>
                      <w:marRight w:val="0"/>
                      <w:marTop w:val="0"/>
                      <w:marBottom w:val="0"/>
                      <w:divBdr>
                        <w:top w:val="none" w:sz="0" w:space="0" w:color="auto"/>
                        <w:left w:val="none" w:sz="0" w:space="0" w:color="auto"/>
                        <w:bottom w:val="none" w:sz="0" w:space="0" w:color="auto"/>
                        <w:right w:val="none" w:sz="0" w:space="0" w:color="auto"/>
                      </w:divBdr>
                      <w:divsChild>
                        <w:div w:id="1272934768">
                          <w:marLeft w:val="0"/>
                          <w:marRight w:val="0"/>
                          <w:marTop w:val="0"/>
                          <w:marBottom w:val="0"/>
                          <w:divBdr>
                            <w:top w:val="none" w:sz="0" w:space="0" w:color="auto"/>
                            <w:left w:val="none" w:sz="0" w:space="0" w:color="auto"/>
                            <w:bottom w:val="none" w:sz="0" w:space="0" w:color="auto"/>
                            <w:right w:val="none" w:sz="0" w:space="0" w:color="auto"/>
                          </w:divBdr>
                          <w:divsChild>
                            <w:div w:id="1825661100">
                              <w:marLeft w:val="0"/>
                              <w:marRight w:val="0"/>
                              <w:marTop w:val="0"/>
                              <w:marBottom w:val="0"/>
                              <w:divBdr>
                                <w:top w:val="none" w:sz="0" w:space="0" w:color="auto"/>
                                <w:left w:val="none" w:sz="0" w:space="0" w:color="auto"/>
                                <w:bottom w:val="none" w:sz="0" w:space="0" w:color="auto"/>
                                <w:right w:val="none" w:sz="0" w:space="0" w:color="auto"/>
                              </w:divBdr>
                              <w:divsChild>
                                <w:div w:id="363408113">
                                  <w:marLeft w:val="0"/>
                                  <w:marRight w:val="0"/>
                                  <w:marTop w:val="0"/>
                                  <w:marBottom w:val="0"/>
                                  <w:divBdr>
                                    <w:top w:val="none" w:sz="0" w:space="0" w:color="auto"/>
                                    <w:left w:val="none" w:sz="0" w:space="0" w:color="auto"/>
                                    <w:bottom w:val="none" w:sz="0" w:space="0" w:color="auto"/>
                                    <w:right w:val="none" w:sz="0" w:space="0" w:color="auto"/>
                                  </w:divBdr>
                                  <w:divsChild>
                                    <w:div w:id="108580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4553087">
      <w:bodyDiv w:val="1"/>
      <w:marLeft w:val="0"/>
      <w:marRight w:val="0"/>
      <w:marTop w:val="0"/>
      <w:marBottom w:val="0"/>
      <w:divBdr>
        <w:top w:val="none" w:sz="0" w:space="0" w:color="auto"/>
        <w:left w:val="none" w:sz="0" w:space="0" w:color="auto"/>
        <w:bottom w:val="none" w:sz="0" w:space="0" w:color="auto"/>
        <w:right w:val="none" w:sz="0" w:space="0" w:color="auto"/>
      </w:divBdr>
      <w:divsChild>
        <w:div w:id="1366979689">
          <w:marLeft w:val="0"/>
          <w:marRight w:val="0"/>
          <w:marTop w:val="0"/>
          <w:marBottom w:val="0"/>
          <w:divBdr>
            <w:top w:val="none" w:sz="0" w:space="0" w:color="auto"/>
            <w:left w:val="none" w:sz="0" w:space="0" w:color="auto"/>
            <w:bottom w:val="none" w:sz="0" w:space="0" w:color="auto"/>
            <w:right w:val="none" w:sz="0" w:space="0" w:color="auto"/>
          </w:divBdr>
        </w:div>
      </w:divsChild>
    </w:div>
    <w:div w:id="2024745957">
      <w:bodyDiv w:val="1"/>
      <w:marLeft w:val="0"/>
      <w:marRight w:val="0"/>
      <w:marTop w:val="0"/>
      <w:marBottom w:val="0"/>
      <w:divBdr>
        <w:top w:val="none" w:sz="0" w:space="0" w:color="auto"/>
        <w:left w:val="none" w:sz="0" w:space="0" w:color="auto"/>
        <w:bottom w:val="none" w:sz="0" w:space="0" w:color="auto"/>
        <w:right w:val="none" w:sz="0" w:space="0" w:color="auto"/>
      </w:divBdr>
      <w:divsChild>
        <w:div w:id="1036544627">
          <w:marLeft w:val="0"/>
          <w:marRight w:val="0"/>
          <w:marTop w:val="0"/>
          <w:marBottom w:val="0"/>
          <w:divBdr>
            <w:top w:val="none" w:sz="0" w:space="0" w:color="auto"/>
            <w:left w:val="none" w:sz="0" w:space="0" w:color="auto"/>
            <w:bottom w:val="none" w:sz="0" w:space="0" w:color="auto"/>
            <w:right w:val="none" w:sz="0" w:space="0" w:color="auto"/>
          </w:divBdr>
        </w:div>
      </w:divsChild>
    </w:div>
    <w:div w:id="2024823225">
      <w:bodyDiv w:val="1"/>
      <w:marLeft w:val="0"/>
      <w:marRight w:val="0"/>
      <w:marTop w:val="0"/>
      <w:marBottom w:val="0"/>
      <w:divBdr>
        <w:top w:val="none" w:sz="0" w:space="0" w:color="auto"/>
        <w:left w:val="none" w:sz="0" w:space="0" w:color="auto"/>
        <w:bottom w:val="none" w:sz="0" w:space="0" w:color="auto"/>
        <w:right w:val="none" w:sz="0" w:space="0" w:color="auto"/>
      </w:divBdr>
      <w:divsChild>
        <w:div w:id="1478717634">
          <w:marLeft w:val="0"/>
          <w:marRight w:val="0"/>
          <w:marTop w:val="0"/>
          <w:marBottom w:val="0"/>
          <w:divBdr>
            <w:top w:val="none" w:sz="0" w:space="0" w:color="auto"/>
            <w:left w:val="none" w:sz="0" w:space="0" w:color="auto"/>
            <w:bottom w:val="none" w:sz="0" w:space="0" w:color="auto"/>
            <w:right w:val="none" w:sz="0" w:space="0" w:color="auto"/>
          </w:divBdr>
          <w:divsChild>
            <w:div w:id="968899477">
              <w:marLeft w:val="0"/>
              <w:marRight w:val="0"/>
              <w:marTop w:val="0"/>
              <w:marBottom w:val="0"/>
              <w:divBdr>
                <w:top w:val="none" w:sz="0" w:space="0" w:color="auto"/>
                <w:left w:val="none" w:sz="0" w:space="0" w:color="auto"/>
                <w:bottom w:val="none" w:sz="0" w:space="0" w:color="auto"/>
                <w:right w:val="none" w:sz="0" w:space="0" w:color="auto"/>
              </w:divBdr>
              <w:divsChild>
                <w:div w:id="1614093245">
                  <w:marLeft w:val="0"/>
                  <w:marRight w:val="0"/>
                  <w:marTop w:val="0"/>
                  <w:marBottom w:val="0"/>
                  <w:divBdr>
                    <w:top w:val="none" w:sz="0" w:space="0" w:color="auto"/>
                    <w:left w:val="none" w:sz="0" w:space="0" w:color="auto"/>
                    <w:bottom w:val="none" w:sz="0" w:space="0" w:color="auto"/>
                    <w:right w:val="none" w:sz="0" w:space="0" w:color="auto"/>
                  </w:divBdr>
                  <w:divsChild>
                    <w:div w:id="1567691072">
                      <w:marLeft w:val="0"/>
                      <w:marRight w:val="0"/>
                      <w:marTop w:val="0"/>
                      <w:marBottom w:val="0"/>
                      <w:divBdr>
                        <w:top w:val="none" w:sz="0" w:space="0" w:color="auto"/>
                        <w:left w:val="none" w:sz="0" w:space="0" w:color="auto"/>
                        <w:bottom w:val="none" w:sz="0" w:space="0" w:color="auto"/>
                        <w:right w:val="none" w:sz="0" w:space="0" w:color="auto"/>
                      </w:divBdr>
                      <w:divsChild>
                        <w:div w:id="281113394">
                          <w:marLeft w:val="0"/>
                          <w:marRight w:val="0"/>
                          <w:marTop w:val="0"/>
                          <w:marBottom w:val="0"/>
                          <w:divBdr>
                            <w:top w:val="none" w:sz="0" w:space="0" w:color="auto"/>
                            <w:left w:val="none" w:sz="0" w:space="0" w:color="auto"/>
                            <w:bottom w:val="none" w:sz="0" w:space="0" w:color="auto"/>
                            <w:right w:val="none" w:sz="0" w:space="0" w:color="auto"/>
                          </w:divBdr>
                          <w:divsChild>
                            <w:div w:id="2078627359">
                              <w:marLeft w:val="0"/>
                              <w:marRight w:val="0"/>
                              <w:marTop w:val="0"/>
                              <w:marBottom w:val="0"/>
                              <w:divBdr>
                                <w:top w:val="none" w:sz="0" w:space="0" w:color="auto"/>
                                <w:left w:val="none" w:sz="0" w:space="0" w:color="auto"/>
                                <w:bottom w:val="none" w:sz="0" w:space="0" w:color="auto"/>
                                <w:right w:val="none" w:sz="0" w:space="0" w:color="auto"/>
                              </w:divBdr>
                              <w:divsChild>
                                <w:div w:id="1593204993">
                                  <w:marLeft w:val="0"/>
                                  <w:marRight w:val="0"/>
                                  <w:marTop w:val="0"/>
                                  <w:marBottom w:val="0"/>
                                  <w:divBdr>
                                    <w:top w:val="none" w:sz="0" w:space="0" w:color="auto"/>
                                    <w:left w:val="none" w:sz="0" w:space="0" w:color="auto"/>
                                    <w:bottom w:val="none" w:sz="0" w:space="0" w:color="auto"/>
                                    <w:right w:val="none" w:sz="0" w:space="0" w:color="auto"/>
                                  </w:divBdr>
                                  <w:divsChild>
                                    <w:div w:id="183121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4935357">
      <w:bodyDiv w:val="1"/>
      <w:marLeft w:val="0"/>
      <w:marRight w:val="0"/>
      <w:marTop w:val="0"/>
      <w:marBottom w:val="0"/>
      <w:divBdr>
        <w:top w:val="none" w:sz="0" w:space="0" w:color="auto"/>
        <w:left w:val="none" w:sz="0" w:space="0" w:color="auto"/>
        <w:bottom w:val="none" w:sz="0" w:space="0" w:color="auto"/>
        <w:right w:val="none" w:sz="0" w:space="0" w:color="auto"/>
      </w:divBdr>
      <w:divsChild>
        <w:div w:id="1032069565">
          <w:marLeft w:val="0"/>
          <w:marRight w:val="0"/>
          <w:marTop w:val="0"/>
          <w:marBottom w:val="150"/>
          <w:divBdr>
            <w:top w:val="none" w:sz="0" w:space="0" w:color="auto"/>
            <w:left w:val="none" w:sz="0" w:space="0" w:color="auto"/>
            <w:bottom w:val="none" w:sz="0" w:space="0" w:color="auto"/>
            <w:right w:val="none" w:sz="0" w:space="0" w:color="auto"/>
          </w:divBdr>
          <w:divsChild>
            <w:div w:id="1344551278">
              <w:marLeft w:val="0"/>
              <w:marRight w:val="0"/>
              <w:marTop w:val="0"/>
              <w:marBottom w:val="0"/>
              <w:divBdr>
                <w:top w:val="none" w:sz="0" w:space="0" w:color="auto"/>
                <w:left w:val="none" w:sz="0" w:space="0" w:color="auto"/>
                <w:bottom w:val="none" w:sz="0" w:space="0" w:color="auto"/>
                <w:right w:val="none" w:sz="0" w:space="0" w:color="auto"/>
              </w:divBdr>
            </w:div>
          </w:divsChild>
        </w:div>
        <w:div w:id="1314793361">
          <w:marLeft w:val="0"/>
          <w:marRight w:val="0"/>
          <w:marTop w:val="0"/>
          <w:marBottom w:val="0"/>
          <w:divBdr>
            <w:top w:val="none" w:sz="0" w:space="0" w:color="auto"/>
            <w:left w:val="none" w:sz="0" w:space="0" w:color="auto"/>
            <w:bottom w:val="none" w:sz="0" w:space="0" w:color="auto"/>
            <w:right w:val="none" w:sz="0" w:space="0" w:color="auto"/>
          </w:divBdr>
          <w:divsChild>
            <w:div w:id="359749306">
              <w:marLeft w:val="0"/>
              <w:marRight w:val="0"/>
              <w:marTop w:val="0"/>
              <w:marBottom w:val="0"/>
              <w:divBdr>
                <w:top w:val="none" w:sz="0" w:space="0" w:color="auto"/>
                <w:left w:val="none" w:sz="0" w:space="0" w:color="auto"/>
                <w:bottom w:val="none" w:sz="0" w:space="0" w:color="auto"/>
                <w:right w:val="none" w:sz="0" w:space="0" w:color="auto"/>
              </w:divBdr>
            </w:div>
          </w:divsChild>
        </w:div>
        <w:div w:id="1583418532">
          <w:marLeft w:val="0"/>
          <w:marRight w:val="0"/>
          <w:marTop w:val="0"/>
          <w:marBottom w:val="150"/>
          <w:divBdr>
            <w:top w:val="none" w:sz="0" w:space="0" w:color="auto"/>
            <w:left w:val="none" w:sz="0" w:space="0" w:color="auto"/>
            <w:bottom w:val="none" w:sz="0" w:space="0" w:color="auto"/>
            <w:right w:val="none" w:sz="0" w:space="0" w:color="auto"/>
          </w:divBdr>
        </w:div>
      </w:divsChild>
    </w:div>
    <w:div w:id="2025017045">
      <w:bodyDiv w:val="1"/>
      <w:marLeft w:val="0"/>
      <w:marRight w:val="0"/>
      <w:marTop w:val="0"/>
      <w:marBottom w:val="0"/>
      <w:divBdr>
        <w:top w:val="none" w:sz="0" w:space="0" w:color="auto"/>
        <w:left w:val="none" w:sz="0" w:space="0" w:color="auto"/>
        <w:bottom w:val="none" w:sz="0" w:space="0" w:color="auto"/>
        <w:right w:val="none" w:sz="0" w:space="0" w:color="auto"/>
      </w:divBdr>
      <w:divsChild>
        <w:div w:id="896013346">
          <w:marLeft w:val="0"/>
          <w:marRight w:val="0"/>
          <w:marTop w:val="0"/>
          <w:marBottom w:val="150"/>
          <w:divBdr>
            <w:top w:val="none" w:sz="0" w:space="0" w:color="auto"/>
            <w:left w:val="none" w:sz="0" w:space="0" w:color="auto"/>
            <w:bottom w:val="none" w:sz="0" w:space="0" w:color="auto"/>
            <w:right w:val="none" w:sz="0" w:space="0" w:color="auto"/>
          </w:divBdr>
          <w:divsChild>
            <w:div w:id="293339237">
              <w:marLeft w:val="0"/>
              <w:marRight w:val="0"/>
              <w:marTop w:val="0"/>
              <w:marBottom w:val="0"/>
              <w:divBdr>
                <w:top w:val="none" w:sz="0" w:space="0" w:color="auto"/>
                <w:left w:val="none" w:sz="0" w:space="0" w:color="auto"/>
                <w:bottom w:val="none" w:sz="0" w:space="0" w:color="auto"/>
                <w:right w:val="none" w:sz="0" w:space="0" w:color="auto"/>
              </w:divBdr>
              <w:divsChild>
                <w:div w:id="314187231">
                  <w:marLeft w:val="0"/>
                  <w:marRight w:val="0"/>
                  <w:marTop w:val="0"/>
                  <w:marBottom w:val="0"/>
                  <w:divBdr>
                    <w:top w:val="none" w:sz="0" w:space="0" w:color="auto"/>
                    <w:left w:val="none" w:sz="0" w:space="0" w:color="auto"/>
                    <w:bottom w:val="none" w:sz="0" w:space="0" w:color="auto"/>
                    <w:right w:val="none" w:sz="0" w:space="0" w:color="auto"/>
                  </w:divBdr>
                  <w:divsChild>
                    <w:div w:id="737752271">
                      <w:marLeft w:val="0"/>
                      <w:marRight w:val="150"/>
                      <w:marTop w:val="0"/>
                      <w:marBottom w:val="0"/>
                      <w:divBdr>
                        <w:top w:val="none" w:sz="0" w:space="0" w:color="auto"/>
                        <w:left w:val="none" w:sz="0" w:space="0" w:color="auto"/>
                        <w:bottom w:val="none" w:sz="0" w:space="0" w:color="auto"/>
                        <w:right w:val="none" w:sz="0" w:space="0" w:color="auto"/>
                      </w:divBdr>
                      <w:divsChild>
                        <w:div w:id="84332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000852">
          <w:marLeft w:val="0"/>
          <w:marRight w:val="0"/>
          <w:marTop w:val="0"/>
          <w:marBottom w:val="150"/>
          <w:divBdr>
            <w:top w:val="none" w:sz="0" w:space="0" w:color="auto"/>
            <w:left w:val="none" w:sz="0" w:space="0" w:color="auto"/>
            <w:bottom w:val="none" w:sz="0" w:space="0" w:color="auto"/>
            <w:right w:val="none" w:sz="0" w:space="0" w:color="auto"/>
          </w:divBdr>
        </w:div>
        <w:div w:id="1071780064">
          <w:marLeft w:val="0"/>
          <w:marRight w:val="0"/>
          <w:marTop w:val="0"/>
          <w:marBottom w:val="0"/>
          <w:divBdr>
            <w:top w:val="none" w:sz="0" w:space="0" w:color="auto"/>
            <w:left w:val="none" w:sz="0" w:space="0" w:color="auto"/>
            <w:bottom w:val="none" w:sz="0" w:space="0" w:color="auto"/>
            <w:right w:val="none" w:sz="0" w:space="0" w:color="auto"/>
          </w:divBdr>
          <w:divsChild>
            <w:div w:id="18266298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25325835">
      <w:bodyDiv w:val="1"/>
      <w:marLeft w:val="0"/>
      <w:marRight w:val="0"/>
      <w:marTop w:val="0"/>
      <w:marBottom w:val="0"/>
      <w:divBdr>
        <w:top w:val="none" w:sz="0" w:space="0" w:color="auto"/>
        <w:left w:val="none" w:sz="0" w:space="0" w:color="auto"/>
        <w:bottom w:val="none" w:sz="0" w:space="0" w:color="auto"/>
        <w:right w:val="none" w:sz="0" w:space="0" w:color="auto"/>
      </w:divBdr>
    </w:div>
    <w:div w:id="2025663437">
      <w:bodyDiv w:val="1"/>
      <w:marLeft w:val="0"/>
      <w:marRight w:val="0"/>
      <w:marTop w:val="0"/>
      <w:marBottom w:val="0"/>
      <w:divBdr>
        <w:top w:val="none" w:sz="0" w:space="0" w:color="auto"/>
        <w:left w:val="none" w:sz="0" w:space="0" w:color="auto"/>
        <w:bottom w:val="none" w:sz="0" w:space="0" w:color="auto"/>
        <w:right w:val="none" w:sz="0" w:space="0" w:color="auto"/>
      </w:divBdr>
      <w:divsChild>
        <w:div w:id="504134704">
          <w:marLeft w:val="0"/>
          <w:marRight w:val="0"/>
          <w:marTop w:val="225"/>
          <w:marBottom w:val="0"/>
          <w:divBdr>
            <w:top w:val="none" w:sz="0" w:space="0" w:color="auto"/>
            <w:left w:val="none" w:sz="0" w:space="0" w:color="auto"/>
            <w:bottom w:val="none" w:sz="0" w:space="0" w:color="auto"/>
            <w:right w:val="none" w:sz="0" w:space="0" w:color="auto"/>
          </w:divBdr>
        </w:div>
      </w:divsChild>
    </w:div>
    <w:div w:id="2025934053">
      <w:bodyDiv w:val="1"/>
      <w:marLeft w:val="0"/>
      <w:marRight w:val="0"/>
      <w:marTop w:val="0"/>
      <w:marBottom w:val="0"/>
      <w:divBdr>
        <w:top w:val="none" w:sz="0" w:space="0" w:color="auto"/>
        <w:left w:val="none" w:sz="0" w:space="0" w:color="auto"/>
        <w:bottom w:val="none" w:sz="0" w:space="0" w:color="auto"/>
        <w:right w:val="none" w:sz="0" w:space="0" w:color="auto"/>
      </w:divBdr>
      <w:divsChild>
        <w:div w:id="812865323">
          <w:marLeft w:val="0"/>
          <w:marRight w:val="0"/>
          <w:marTop w:val="0"/>
          <w:marBottom w:val="150"/>
          <w:divBdr>
            <w:top w:val="none" w:sz="0" w:space="0" w:color="auto"/>
            <w:left w:val="none" w:sz="0" w:space="0" w:color="auto"/>
            <w:bottom w:val="none" w:sz="0" w:space="0" w:color="auto"/>
            <w:right w:val="none" w:sz="0" w:space="0" w:color="auto"/>
          </w:divBdr>
          <w:divsChild>
            <w:div w:id="2043896934">
              <w:marLeft w:val="0"/>
              <w:marRight w:val="0"/>
              <w:marTop w:val="0"/>
              <w:marBottom w:val="0"/>
              <w:divBdr>
                <w:top w:val="none" w:sz="0" w:space="0" w:color="auto"/>
                <w:left w:val="none" w:sz="0" w:space="0" w:color="auto"/>
                <w:bottom w:val="none" w:sz="0" w:space="0" w:color="auto"/>
                <w:right w:val="none" w:sz="0" w:space="0" w:color="auto"/>
              </w:divBdr>
              <w:divsChild>
                <w:div w:id="130168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939581">
          <w:marLeft w:val="0"/>
          <w:marRight w:val="0"/>
          <w:marTop w:val="0"/>
          <w:marBottom w:val="150"/>
          <w:divBdr>
            <w:top w:val="none" w:sz="0" w:space="0" w:color="auto"/>
            <w:left w:val="none" w:sz="0" w:space="0" w:color="auto"/>
            <w:bottom w:val="none" w:sz="0" w:space="0" w:color="auto"/>
            <w:right w:val="none" w:sz="0" w:space="0" w:color="auto"/>
          </w:divBdr>
        </w:div>
        <w:div w:id="1804693642">
          <w:marLeft w:val="0"/>
          <w:marRight w:val="0"/>
          <w:marTop w:val="0"/>
          <w:marBottom w:val="0"/>
          <w:divBdr>
            <w:top w:val="none" w:sz="0" w:space="0" w:color="auto"/>
            <w:left w:val="none" w:sz="0" w:space="0" w:color="auto"/>
            <w:bottom w:val="none" w:sz="0" w:space="0" w:color="auto"/>
            <w:right w:val="none" w:sz="0" w:space="0" w:color="auto"/>
          </w:divBdr>
          <w:divsChild>
            <w:div w:id="56907763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25980951">
      <w:bodyDiv w:val="1"/>
      <w:marLeft w:val="0"/>
      <w:marRight w:val="0"/>
      <w:marTop w:val="0"/>
      <w:marBottom w:val="0"/>
      <w:divBdr>
        <w:top w:val="none" w:sz="0" w:space="0" w:color="auto"/>
        <w:left w:val="none" w:sz="0" w:space="0" w:color="auto"/>
        <w:bottom w:val="none" w:sz="0" w:space="0" w:color="auto"/>
        <w:right w:val="none" w:sz="0" w:space="0" w:color="auto"/>
      </w:divBdr>
    </w:div>
    <w:div w:id="2026134390">
      <w:bodyDiv w:val="1"/>
      <w:marLeft w:val="0"/>
      <w:marRight w:val="0"/>
      <w:marTop w:val="0"/>
      <w:marBottom w:val="0"/>
      <w:divBdr>
        <w:top w:val="none" w:sz="0" w:space="0" w:color="auto"/>
        <w:left w:val="none" w:sz="0" w:space="0" w:color="auto"/>
        <w:bottom w:val="none" w:sz="0" w:space="0" w:color="auto"/>
        <w:right w:val="none" w:sz="0" w:space="0" w:color="auto"/>
      </w:divBdr>
      <w:divsChild>
        <w:div w:id="1218584898">
          <w:marLeft w:val="0"/>
          <w:marRight w:val="0"/>
          <w:marTop w:val="0"/>
          <w:marBottom w:val="0"/>
          <w:divBdr>
            <w:top w:val="none" w:sz="0" w:space="0" w:color="auto"/>
            <w:left w:val="none" w:sz="0" w:space="0" w:color="auto"/>
            <w:bottom w:val="dotted" w:sz="6" w:space="4" w:color="DDDDDD"/>
            <w:right w:val="none" w:sz="0" w:space="0" w:color="auto"/>
          </w:divBdr>
        </w:div>
      </w:divsChild>
    </w:div>
    <w:div w:id="2026516673">
      <w:bodyDiv w:val="1"/>
      <w:marLeft w:val="0"/>
      <w:marRight w:val="0"/>
      <w:marTop w:val="0"/>
      <w:marBottom w:val="0"/>
      <w:divBdr>
        <w:top w:val="none" w:sz="0" w:space="0" w:color="auto"/>
        <w:left w:val="none" w:sz="0" w:space="0" w:color="auto"/>
        <w:bottom w:val="none" w:sz="0" w:space="0" w:color="auto"/>
        <w:right w:val="none" w:sz="0" w:space="0" w:color="auto"/>
      </w:divBdr>
      <w:divsChild>
        <w:div w:id="221913935">
          <w:marLeft w:val="0"/>
          <w:marRight w:val="0"/>
          <w:marTop w:val="0"/>
          <w:marBottom w:val="240"/>
          <w:divBdr>
            <w:top w:val="none" w:sz="0" w:space="0" w:color="auto"/>
            <w:left w:val="none" w:sz="0" w:space="0" w:color="auto"/>
            <w:bottom w:val="none" w:sz="0" w:space="0" w:color="auto"/>
            <w:right w:val="none" w:sz="0" w:space="0" w:color="auto"/>
          </w:divBdr>
        </w:div>
        <w:div w:id="398022876">
          <w:marLeft w:val="0"/>
          <w:marRight w:val="0"/>
          <w:marTop w:val="0"/>
          <w:marBottom w:val="240"/>
          <w:divBdr>
            <w:top w:val="none" w:sz="0" w:space="0" w:color="auto"/>
            <w:left w:val="none" w:sz="0" w:space="0" w:color="auto"/>
            <w:bottom w:val="none" w:sz="0" w:space="0" w:color="auto"/>
            <w:right w:val="none" w:sz="0" w:space="0" w:color="auto"/>
          </w:divBdr>
        </w:div>
        <w:div w:id="847911853">
          <w:marLeft w:val="0"/>
          <w:marRight w:val="0"/>
          <w:marTop w:val="0"/>
          <w:marBottom w:val="240"/>
          <w:divBdr>
            <w:top w:val="none" w:sz="0" w:space="0" w:color="auto"/>
            <w:left w:val="none" w:sz="0" w:space="0" w:color="auto"/>
            <w:bottom w:val="none" w:sz="0" w:space="0" w:color="auto"/>
            <w:right w:val="none" w:sz="0" w:space="0" w:color="auto"/>
          </w:divBdr>
        </w:div>
        <w:div w:id="1548449737">
          <w:marLeft w:val="0"/>
          <w:marRight w:val="0"/>
          <w:marTop w:val="0"/>
          <w:marBottom w:val="240"/>
          <w:divBdr>
            <w:top w:val="none" w:sz="0" w:space="0" w:color="auto"/>
            <w:left w:val="none" w:sz="0" w:space="0" w:color="auto"/>
            <w:bottom w:val="none" w:sz="0" w:space="0" w:color="auto"/>
            <w:right w:val="none" w:sz="0" w:space="0" w:color="auto"/>
          </w:divBdr>
          <w:divsChild>
            <w:div w:id="286011691">
              <w:marLeft w:val="0"/>
              <w:marRight w:val="0"/>
              <w:marTop w:val="0"/>
              <w:marBottom w:val="0"/>
              <w:divBdr>
                <w:top w:val="none" w:sz="0" w:space="0" w:color="auto"/>
                <w:left w:val="none" w:sz="0" w:space="0" w:color="auto"/>
                <w:bottom w:val="none" w:sz="0" w:space="0" w:color="auto"/>
                <w:right w:val="none" w:sz="0" w:space="0" w:color="auto"/>
              </w:divBdr>
              <w:divsChild>
                <w:div w:id="142364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102313">
          <w:marLeft w:val="0"/>
          <w:marRight w:val="0"/>
          <w:marTop w:val="0"/>
          <w:marBottom w:val="240"/>
          <w:divBdr>
            <w:top w:val="none" w:sz="0" w:space="0" w:color="auto"/>
            <w:left w:val="none" w:sz="0" w:space="0" w:color="auto"/>
            <w:bottom w:val="none" w:sz="0" w:space="0" w:color="auto"/>
            <w:right w:val="none" w:sz="0" w:space="0" w:color="auto"/>
          </w:divBdr>
        </w:div>
      </w:divsChild>
    </w:div>
    <w:div w:id="2026786060">
      <w:bodyDiv w:val="1"/>
      <w:marLeft w:val="0"/>
      <w:marRight w:val="0"/>
      <w:marTop w:val="0"/>
      <w:marBottom w:val="0"/>
      <w:divBdr>
        <w:top w:val="none" w:sz="0" w:space="0" w:color="auto"/>
        <w:left w:val="none" w:sz="0" w:space="0" w:color="auto"/>
        <w:bottom w:val="none" w:sz="0" w:space="0" w:color="auto"/>
        <w:right w:val="none" w:sz="0" w:space="0" w:color="auto"/>
      </w:divBdr>
      <w:divsChild>
        <w:div w:id="1469014921">
          <w:marLeft w:val="0"/>
          <w:marRight w:val="0"/>
          <w:marTop w:val="0"/>
          <w:marBottom w:val="450"/>
          <w:divBdr>
            <w:top w:val="none" w:sz="0" w:space="0" w:color="auto"/>
            <w:left w:val="none" w:sz="0" w:space="0" w:color="auto"/>
            <w:bottom w:val="single" w:sz="6" w:space="19" w:color="EEEEEE"/>
            <w:right w:val="none" w:sz="0" w:space="0" w:color="auto"/>
          </w:divBdr>
          <w:divsChild>
            <w:div w:id="1782265020">
              <w:marLeft w:val="0"/>
              <w:marRight w:val="0"/>
              <w:marTop w:val="0"/>
              <w:marBottom w:val="150"/>
              <w:divBdr>
                <w:top w:val="none" w:sz="0" w:space="0" w:color="auto"/>
                <w:left w:val="none" w:sz="0" w:space="0" w:color="auto"/>
                <w:bottom w:val="none" w:sz="0" w:space="0" w:color="auto"/>
                <w:right w:val="none" w:sz="0" w:space="0" w:color="auto"/>
              </w:divBdr>
              <w:divsChild>
                <w:div w:id="745343216">
                  <w:marLeft w:val="0"/>
                  <w:marRight w:val="0"/>
                  <w:marTop w:val="0"/>
                  <w:marBottom w:val="0"/>
                  <w:divBdr>
                    <w:top w:val="none" w:sz="0" w:space="0" w:color="auto"/>
                    <w:left w:val="none" w:sz="0" w:space="0" w:color="auto"/>
                    <w:bottom w:val="none" w:sz="0" w:space="0" w:color="auto"/>
                    <w:right w:val="none" w:sz="0" w:space="0" w:color="auto"/>
                  </w:divBdr>
                </w:div>
              </w:divsChild>
            </w:div>
            <w:div w:id="390009085">
              <w:marLeft w:val="0"/>
              <w:marRight w:val="0"/>
              <w:marTop w:val="0"/>
              <w:marBottom w:val="0"/>
              <w:divBdr>
                <w:top w:val="none" w:sz="0" w:space="0" w:color="auto"/>
                <w:left w:val="none" w:sz="0" w:space="0" w:color="auto"/>
                <w:bottom w:val="none" w:sz="0" w:space="0" w:color="auto"/>
                <w:right w:val="none" w:sz="0" w:space="0" w:color="auto"/>
              </w:divBdr>
            </w:div>
          </w:divsChild>
        </w:div>
        <w:div w:id="925920700">
          <w:marLeft w:val="0"/>
          <w:marRight w:val="0"/>
          <w:marTop w:val="0"/>
          <w:marBottom w:val="0"/>
          <w:divBdr>
            <w:top w:val="none" w:sz="0" w:space="0" w:color="auto"/>
            <w:left w:val="none" w:sz="0" w:space="0" w:color="auto"/>
            <w:bottom w:val="none" w:sz="0" w:space="0" w:color="auto"/>
            <w:right w:val="none" w:sz="0" w:space="0" w:color="auto"/>
          </w:divBdr>
          <w:divsChild>
            <w:div w:id="1182935885">
              <w:marLeft w:val="0"/>
              <w:marRight w:val="0"/>
              <w:marTop w:val="0"/>
              <w:marBottom w:val="0"/>
              <w:divBdr>
                <w:top w:val="none" w:sz="0" w:space="0" w:color="auto"/>
                <w:left w:val="none" w:sz="0" w:space="0" w:color="auto"/>
                <w:bottom w:val="none" w:sz="0" w:space="0" w:color="auto"/>
                <w:right w:val="none" w:sz="0" w:space="0" w:color="auto"/>
              </w:divBdr>
              <w:divsChild>
                <w:div w:id="1983729925">
                  <w:marLeft w:val="0"/>
                  <w:marRight w:val="0"/>
                  <w:marTop w:val="0"/>
                  <w:marBottom w:val="0"/>
                  <w:divBdr>
                    <w:top w:val="none" w:sz="0" w:space="0" w:color="auto"/>
                    <w:left w:val="none" w:sz="0" w:space="0" w:color="auto"/>
                    <w:bottom w:val="none" w:sz="0" w:space="0" w:color="auto"/>
                    <w:right w:val="none" w:sz="0" w:space="0" w:color="auto"/>
                  </w:divBdr>
                </w:div>
                <w:div w:id="146383969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2027094880">
      <w:bodyDiv w:val="1"/>
      <w:marLeft w:val="0"/>
      <w:marRight w:val="0"/>
      <w:marTop w:val="0"/>
      <w:marBottom w:val="0"/>
      <w:divBdr>
        <w:top w:val="none" w:sz="0" w:space="0" w:color="auto"/>
        <w:left w:val="none" w:sz="0" w:space="0" w:color="auto"/>
        <w:bottom w:val="none" w:sz="0" w:space="0" w:color="auto"/>
        <w:right w:val="none" w:sz="0" w:space="0" w:color="auto"/>
      </w:divBdr>
      <w:divsChild>
        <w:div w:id="1631594976">
          <w:marLeft w:val="0"/>
          <w:marRight w:val="0"/>
          <w:marTop w:val="0"/>
          <w:marBottom w:val="0"/>
          <w:divBdr>
            <w:top w:val="none" w:sz="0" w:space="0" w:color="auto"/>
            <w:left w:val="none" w:sz="0" w:space="0" w:color="auto"/>
            <w:bottom w:val="dotted" w:sz="6" w:space="4" w:color="DDDDDD"/>
            <w:right w:val="none" w:sz="0" w:space="0" w:color="auto"/>
          </w:divBdr>
        </w:div>
      </w:divsChild>
    </w:div>
    <w:div w:id="2027167515">
      <w:bodyDiv w:val="1"/>
      <w:marLeft w:val="0"/>
      <w:marRight w:val="0"/>
      <w:marTop w:val="0"/>
      <w:marBottom w:val="0"/>
      <w:divBdr>
        <w:top w:val="none" w:sz="0" w:space="0" w:color="auto"/>
        <w:left w:val="none" w:sz="0" w:space="0" w:color="auto"/>
        <w:bottom w:val="none" w:sz="0" w:space="0" w:color="auto"/>
        <w:right w:val="none" w:sz="0" w:space="0" w:color="auto"/>
      </w:divBdr>
      <w:divsChild>
        <w:div w:id="311787442">
          <w:marLeft w:val="0"/>
          <w:marRight w:val="0"/>
          <w:marTop w:val="0"/>
          <w:marBottom w:val="180"/>
          <w:divBdr>
            <w:top w:val="none" w:sz="0" w:space="0" w:color="auto"/>
            <w:left w:val="none" w:sz="0" w:space="0" w:color="auto"/>
            <w:bottom w:val="none" w:sz="0" w:space="0" w:color="auto"/>
            <w:right w:val="none" w:sz="0" w:space="0" w:color="auto"/>
          </w:divBdr>
        </w:div>
      </w:divsChild>
    </w:div>
    <w:div w:id="2027364213">
      <w:bodyDiv w:val="1"/>
      <w:marLeft w:val="0"/>
      <w:marRight w:val="0"/>
      <w:marTop w:val="0"/>
      <w:marBottom w:val="0"/>
      <w:divBdr>
        <w:top w:val="none" w:sz="0" w:space="0" w:color="auto"/>
        <w:left w:val="none" w:sz="0" w:space="0" w:color="auto"/>
        <w:bottom w:val="none" w:sz="0" w:space="0" w:color="auto"/>
        <w:right w:val="none" w:sz="0" w:space="0" w:color="auto"/>
      </w:divBdr>
      <w:divsChild>
        <w:div w:id="1952080349">
          <w:marLeft w:val="0"/>
          <w:marRight w:val="0"/>
          <w:marTop w:val="0"/>
          <w:marBottom w:val="0"/>
          <w:divBdr>
            <w:top w:val="none" w:sz="0" w:space="0" w:color="auto"/>
            <w:left w:val="none" w:sz="0" w:space="0" w:color="auto"/>
            <w:bottom w:val="none" w:sz="0" w:space="0" w:color="auto"/>
            <w:right w:val="none" w:sz="0" w:space="0" w:color="auto"/>
          </w:divBdr>
        </w:div>
      </w:divsChild>
    </w:div>
    <w:div w:id="2027902334">
      <w:bodyDiv w:val="1"/>
      <w:marLeft w:val="0"/>
      <w:marRight w:val="0"/>
      <w:marTop w:val="0"/>
      <w:marBottom w:val="0"/>
      <w:divBdr>
        <w:top w:val="none" w:sz="0" w:space="0" w:color="auto"/>
        <w:left w:val="none" w:sz="0" w:space="0" w:color="auto"/>
        <w:bottom w:val="none" w:sz="0" w:space="0" w:color="auto"/>
        <w:right w:val="none" w:sz="0" w:space="0" w:color="auto"/>
      </w:divBdr>
      <w:divsChild>
        <w:div w:id="899289879">
          <w:marLeft w:val="0"/>
          <w:marRight w:val="0"/>
          <w:marTop w:val="0"/>
          <w:marBottom w:val="0"/>
          <w:divBdr>
            <w:top w:val="none" w:sz="0" w:space="0" w:color="auto"/>
            <w:left w:val="none" w:sz="0" w:space="0" w:color="auto"/>
            <w:bottom w:val="none" w:sz="0" w:space="0" w:color="auto"/>
            <w:right w:val="none" w:sz="0" w:space="0" w:color="auto"/>
          </w:divBdr>
          <w:divsChild>
            <w:div w:id="5221323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28630799">
      <w:bodyDiv w:val="1"/>
      <w:marLeft w:val="0"/>
      <w:marRight w:val="0"/>
      <w:marTop w:val="0"/>
      <w:marBottom w:val="0"/>
      <w:divBdr>
        <w:top w:val="none" w:sz="0" w:space="0" w:color="auto"/>
        <w:left w:val="none" w:sz="0" w:space="0" w:color="auto"/>
        <w:bottom w:val="none" w:sz="0" w:space="0" w:color="auto"/>
        <w:right w:val="none" w:sz="0" w:space="0" w:color="auto"/>
      </w:divBdr>
    </w:div>
    <w:div w:id="2028746205">
      <w:bodyDiv w:val="1"/>
      <w:marLeft w:val="0"/>
      <w:marRight w:val="0"/>
      <w:marTop w:val="0"/>
      <w:marBottom w:val="0"/>
      <w:divBdr>
        <w:top w:val="none" w:sz="0" w:space="0" w:color="auto"/>
        <w:left w:val="none" w:sz="0" w:space="0" w:color="auto"/>
        <w:bottom w:val="none" w:sz="0" w:space="0" w:color="auto"/>
        <w:right w:val="none" w:sz="0" w:space="0" w:color="auto"/>
      </w:divBdr>
      <w:divsChild>
        <w:div w:id="526139343">
          <w:marLeft w:val="0"/>
          <w:marRight w:val="0"/>
          <w:marTop w:val="0"/>
          <w:marBottom w:val="0"/>
          <w:divBdr>
            <w:top w:val="none" w:sz="0" w:space="0" w:color="auto"/>
            <w:left w:val="none" w:sz="0" w:space="0" w:color="auto"/>
            <w:bottom w:val="none" w:sz="0" w:space="0" w:color="auto"/>
            <w:right w:val="none" w:sz="0" w:space="0" w:color="auto"/>
          </w:divBdr>
          <w:divsChild>
            <w:div w:id="1766613921">
              <w:marLeft w:val="0"/>
              <w:marRight w:val="0"/>
              <w:marTop w:val="0"/>
              <w:marBottom w:val="0"/>
              <w:divBdr>
                <w:top w:val="none" w:sz="0" w:space="0" w:color="auto"/>
                <w:left w:val="none" w:sz="0" w:space="0" w:color="auto"/>
                <w:bottom w:val="none" w:sz="0" w:space="0" w:color="auto"/>
                <w:right w:val="none" w:sz="0" w:space="0" w:color="auto"/>
              </w:divBdr>
            </w:div>
          </w:divsChild>
        </w:div>
        <w:div w:id="1727485067">
          <w:marLeft w:val="0"/>
          <w:marRight w:val="0"/>
          <w:marTop w:val="150"/>
          <w:marBottom w:val="0"/>
          <w:divBdr>
            <w:top w:val="none" w:sz="0" w:space="0" w:color="auto"/>
            <w:left w:val="none" w:sz="0" w:space="0" w:color="auto"/>
            <w:bottom w:val="none" w:sz="0" w:space="0" w:color="auto"/>
            <w:right w:val="none" w:sz="0" w:space="0" w:color="auto"/>
          </w:divBdr>
          <w:divsChild>
            <w:div w:id="1698264719">
              <w:marLeft w:val="0"/>
              <w:marRight w:val="0"/>
              <w:marTop w:val="0"/>
              <w:marBottom w:val="0"/>
              <w:divBdr>
                <w:top w:val="none" w:sz="0" w:space="0" w:color="auto"/>
                <w:left w:val="none" w:sz="0" w:space="0" w:color="auto"/>
                <w:bottom w:val="none" w:sz="0" w:space="0" w:color="auto"/>
                <w:right w:val="none" w:sz="0" w:space="0" w:color="auto"/>
              </w:divBdr>
              <w:divsChild>
                <w:div w:id="659429670">
                  <w:marLeft w:val="75"/>
                  <w:marRight w:val="0"/>
                  <w:marTop w:val="0"/>
                  <w:marBottom w:val="0"/>
                  <w:divBdr>
                    <w:top w:val="none" w:sz="0" w:space="0" w:color="auto"/>
                    <w:left w:val="none" w:sz="0" w:space="0" w:color="auto"/>
                    <w:bottom w:val="none" w:sz="0" w:space="0" w:color="auto"/>
                    <w:right w:val="none" w:sz="0" w:space="0" w:color="auto"/>
                  </w:divBdr>
                </w:div>
                <w:div w:id="122220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824713">
      <w:bodyDiv w:val="1"/>
      <w:marLeft w:val="0"/>
      <w:marRight w:val="0"/>
      <w:marTop w:val="0"/>
      <w:marBottom w:val="0"/>
      <w:divBdr>
        <w:top w:val="none" w:sz="0" w:space="0" w:color="auto"/>
        <w:left w:val="none" w:sz="0" w:space="0" w:color="auto"/>
        <w:bottom w:val="none" w:sz="0" w:space="0" w:color="auto"/>
        <w:right w:val="none" w:sz="0" w:space="0" w:color="auto"/>
      </w:divBdr>
      <w:divsChild>
        <w:div w:id="1441677450">
          <w:marLeft w:val="0"/>
          <w:marRight w:val="0"/>
          <w:marTop w:val="0"/>
          <w:marBottom w:val="0"/>
          <w:divBdr>
            <w:top w:val="none" w:sz="0" w:space="0" w:color="auto"/>
            <w:left w:val="none" w:sz="0" w:space="0" w:color="auto"/>
            <w:bottom w:val="dotted" w:sz="6" w:space="4" w:color="DDDDDD"/>
            <w:right w:val="none" w:sz="0" w:space="0" w:color="auto"/>
          </w:divBdr>
          <w:divsChild>
            <w:div w:id="181413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941313">
      <w:bodyDiv w:val="1"/>
      <w:marLeft w:val="0"/>
      <w:marRight w:val="0"/>
      <w:marTop w:val="0"/>
      <w:marBottom w:val="0"/>
      <w:divBdr>
        <w:top w:val="none" w:sz="0" w:space="0" w:color="auto"/>
        <w:left w:val="none" w:sz="0" w:space="0" w:color="auto"/>
        <w:bottom w:val="none" w:sz="0" w:space="0" w:color="auto"/>
        <w:right w:val="none" w:sz="0" w:space="0" w:color="auto"/>
      </w:divBdr>
      <w:divsChild>
        <w:div w:id="1443106882">
          <w:marLeft w:val="0"/>
          <w:marRight w:val="0"/>
          <w:marTop w:val="0"/>
          <w:marBottom w:val="0"/>
          <w:divBdr>
            <w:top w:val="none" w:sz="0" w:space="0" w:color="auto"/>
            <w:left w:val="none" w:sz="0" w:space="0" w:color="auto"/>
            <w:bottom w:val="none" w:sz="0" w:space="0" w:color="auto"/>
            <w:right w:val="none" w:sz="0" w:space="0" w:color="auto"/>
          </w:divBdr>
          <w:divsChild>
            <w:div w:id="1571428986">
              <w:marLeft w:val="0"/>
              <w:marRight w:val="0"/>
              <w:marTop w:val="0"/>
              <w:marBottom w:val="0"/>
              <w:divBdr>
                <w:top w:val="single" w:sz="8" w:space="3" w:color="E1E1E1"/>
                <w:left w:val="none" w:sz="0" w:space="0" w:color="auto"/>
                <w:bottom w:val="none" w:sz="0" w:space="0" w:color="auto"/>
                <w:right w:val="none" w:sz="0" w:space="0" w:color="auto"/>
              </w:divBdr>
            </w:div>
          </w:divsChild>
        </w:div>
        <w:div w:id="1500731611">
          <w:marLeft w:val="0"/>
          <w:marRight w:val="0"/>
          <w:marTop w:val="0"/>
          <w:marBottom w:val="0"/>
          <w:divBdr>
            <w:top w:val="none" w:sz="0" w:space="0" w:color="auto"/>
            <w:left w:val="none" w:sz="0" w:space="0" w:color="auto"/>
            <w:bottom w:val="none" w:sz="0" w:space="0" w:color="auto"/>
            <w:right w:val="none" w:sz="0" w:space="0" w:color="auto"/>
          </w:divBdr>
        </w:div>
      </w:divsChild>
    </w:div>
    <w:div w:id="2029015507">
      <w:bodyDiv w:val="1"/>
      <w:marLeft w:val="0"/>
      <w:marRight w:val="0"/>
      <w:marTop w:val="0"/>
      <w:marBottom w:val="0"/>
      <w:divBdr>
        <w:top w:val="none" w:sz="0" w:space="0" w:color="auto"/>
        <w:left w:val="none" w:sz="0" w:space="0" w:color="auto"/>
        <w:bottom w:val="none" w:sz="0" w:space="0" w:color="auto"/>
        <w:right w:val="none" w:sz="0" w:space="0" w:color="auto"/>
      </w:divBdr>
      <w:divsChild>
        <w:div w:id="946037887">
          <w:marLeft w:val="0"/>
          <w:marRight w:val="0"/>
          <w:marTop w:val="0"/>
          <w:marBottom w:val="0"/>
          <w:divBdr>
            <w:top w:val="none" w:sz="0" w:space="0" w:color="auto"/>
            <w:left w:val="none" w:sz="0" w:space="0" w:color="auto"/>
            <w:bottom w:val="dotted" w:sz="6" w:space="4" w:color="DDDDDD"/>
            <w:right w:val="none" w:sz="0" w:space="0" w:color="auto"/>
          </w:divBdr>
          <w:divsChild>
            <w:div w:id="191346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25368">
      <w:bodyDiv w:val="1"/>
      <w:marLeft w:val="0"/>
      <w:marRight w:val="0"/>
      <w:marTop w:val="0"/>
      <w:marBottom w:val="0"/>
      <w:divBdr>
        <w:top w:val="none" w:sz="0" w:space="0" w:color="auto"/>
        <w:left w:val="none" w:sz="0" w:space="0" w:color="auto"/>
        <w:bottom w:val="none" w:sz="0" w:space="0" w:color="auto"/>
        <w:right w:val="none" w:sz="0" w:space="0" w:color="auto"/>
      </w:divBdr>
      <w:divsChild>
        <w:div w:id="404838392">
          <w:marLeft w:val="0"/>
          <w:marRight w:val="0"/>
          <w:marTop w:val="0"/>
          <w:marBottom w:val="0"/>
          <w:divBdr>
            <w:top w:val="none" w:sz="0" w:space="0" w:color="auto"/>
            <w:left w:val="none" w:sz="0" w:space="0" w:color="auto"/>
            <w:bottom w:val="dotted" w:sz="6" w:space="4" w:color="DDDDDD"/>
            <w:right w:val="none" w:sz="0" w:space="0" w:color="auto"/>
          </w:divBdr>
        </w:div>
      </w:divsChild>
    </w:div>
    <w:div w:id="2029719354">
      <w:bodyDiv w:val="1"/>
      <w:marLeft w:val="0"/>
      <w:marRight w:val="0"/>
      <w:marTop w:val="0"/>
      <w:marBottom w:val="0"/>
      <w:divBdr>
        <w:top w:val="none" w:sz="0" w:space="0" w:color="auto"/>
        <w:left w:val="none" w:sz="0" w:space="0" w:color="auto"/>
        <w:bottom w:val="none" w:sz="0" w:space="0" w:color="auto"/>
        <w:right w:val="none" w:sz="0" w:space="0" w:color="auto"/>
      </w:divBdr>
      <w:divsChild>
        <w:div w:id="252128742">
          <w:marLeft w:val="0"/>
          <w:marRight w:val="0"/>
          <w:marTop w:val="0"/>
          <w:marBottom w:val="0"/>
          <w:divBdr>
            <w:top w:val="none" w:sz="0" w:space="0" w:color="auto"/>
            <w:left w:val="none" w:sz="0" w:space="0" w:color="auto"/>
            <w:bottom w:val="none" w:sz="0" w:space="0" w:color="auto"/>
            <w:right w:val="none" w:sz="0" w:space="0" w:color="auto"/>
          </w:divBdr>
          <w:divsChild>
            <w:div w:id="140200205">
              <w:marLeft w:val="0"/>
              <w:marRight w:val="0"/>
              <w:marTop w:val="0"/>
              <w:marBottom w:val="0"/>
              <w:divBdr>
                <w:top w:val="none" w:sz="0" w:space="0" w:color="auto"/>
                <w:left w:val="none" w:sz="0" w:space="0" w:color="auto"/>
                <w:bottom w:val="none" w:sz="0" w:space="0" w:color="auto"/>
                <w:right w:val="none" w:sz="0" w:space="0" w:color="auto"/>
              </w:divBdr>
              <w:divsChild>
                <w:div w:id="452213744">
                  <w:marLeft w:val="0"/>
                  <w:marRight w:val="0"/>
                  <w:marTop w:val="0"/>
                  <w:marBottom w:val="0"/>
                  <w:divBdr>
                    <w:top w:val="none" w:sz="0" w:space="0" w:color="auto"/>
                    <w:left w:val="none" w:sz="0" w:space="0" w:color="auto"/>
                    <w:bottom w:val="none" w:sz="0" w:space="0" w:color="auto"/>
                    <w:right w:val="none" w:sz="0" w:space="0" w:color="auto"/>
                  </w:divBdr>
                  <w:divsChild>
                    <w:div w:id="442112449">
                      <w:marLeft w:val="0"/>
                      <w:marRight w:val="0"/>
                      <w:marTop w:val="0"/>
                      <w:marBottom w:val="0"/>
                      <w:divBdr>
                        <w:top w:val="none" w:sz="0" w:space="0" w:color="auto"/>
                        <w:left w:val="none" w:sz="0" w:space="0" w:color="auto"/>
                        <w:bottom w:val="none" w:sz="0" w:space="0" w:color="auto"/>
                        <w:right w:val="none" w:sz="0" w:space="0" w:color="auto"/>
                      </w:divBdr>
                      <w:divsChild>
                        <w:div w:id="54202079">
                          <w:marLeft w:val="0"/>
                          <w:marRight w:val="0"/>
                          <w:marTop w:val="0"/>
                          <w:marBottom w:val="0"/>
                          <w:divBdr>
                            <w:top w:val="none" w:sz="0" w:space="0" w:color="auto"/>
                            <w:left w:val="none" w:sz="0" w:space="0" w:color="auto"/>
                            <w:bottom w:val="none" w:sz="0" w:space="0" w:color="auto"/>
                            <w:right w:val="none" w:sz="0" w:space="0" w:color="auto"/>
                          </w:divBdr>
                          <w:divsChild>
                            <w:div w:id="2096588414">
                              <w:marLeft w:val="0"/>
                              <w:marRight w:val="0"/>
                              <w:marTop w:val="0"/>
                              <w:marBottom w:val="0"/>
                              <w:divBdr>
                                <w:top w:val="none" w:sz="0" w:space="0" w:color="auto"/>
                                <w:left w:val="none" w:sz="0" w:space="0" w:color="auto"/>
                                <w:bottom w:val="none" w:sz="0" w:space="0" w:color="auto"/>
                                <w:right w:val="none" w:sz="0" w:space="0" w:color="auto"/>
                              </w:divBdr>
                              <w:divsChild>
                                <w:div w:id="1118522160">
                                  <w:marLeft w:val="0"/>
                                  <w:marRight w:val="0"/>
                                  <w:marTop w:val="0"/>
                                  <w:marBottom w:val="0"/>
                                  <w:divBdr>
                                    <w:top w:val="none" w:sz="0" w:space="0" w:color="auto"/>
                                    <w:left w:val="none" w:sz="0" w:space="0" w:color="auto"/>
                                    <w:bottom w:val="none" w:sz="0" w:space="0" w:color="auto"/>
                                    <w:right w:val="none" w:sz="0" w:space="0" w:color="auto"/>
                                  </w:divBdr>
                                  <w:divsChild>
                                    <w:div w:id="199474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9791851">
      <w:bodyDiv w:val="1"/>
      <w:marLeft w:val="0"/>
      <w:marRight w:val="0"/>
      <w:marTop w:val="0"/>
      <w:marBottom w:val="0"/>
      <w:divBdr>
        <w:top w:val="none" w:sz="0" w:space="0" w:color="auto"/>
        <w:left w:val="none" w:sz="0" w:space="0" w:color="auto"/>
        <w:bottom w:val="none" w:sz="0" w:space="0" w:color="auto"/>
        <w:right w:val="none" w:sz="0" w:space="0" w:color="auto"/>
      </w:divBdr>
      <w:divsChild>
        <w:div w:id="4477487">
          <w:marLeft w:val="0"/>
          <w:marRight w:val="0"/>
          <w:marTop w:val="0"/>
          <w:marBottom w:val="0"/>
          <w:divBdr>
            <w:top w:val="none" w:sz="0" w:space="0" w:color="auto"/>
            <w:left w:val="none" w:sz="0" w:space="0" w:color="auto"/>
            <w:bottom w:val="none" w:sz="0" w:space="0" w:color="auto"/>
            <w:right w:val="none" w:sz="0" w:space="0" w:color="auto"/>
          </w:divBdr>
        </w:div>
      </w:divsChild>
    </w:div>
    <w:div w:id="2030140356">
      <w:bodyDiv w:val="1"/>
      <w:marLeft w:val="0"/>
      <w:marRight w:val="0"/>
      <w:marTop w:val="0"/>
      <w:marBottom w:val="0"/>
      <w:divBdr>
        <w:top w:val="none" w:sz="0" w:space="0" w:color="auto"/>
        <w:left w:val="none" w:sz="0" w:space="0" w:color="auto"/>
        <w:bottom w:val="none" w:sz="0" w:space="0" w:color="auto"/>
        <w:right w:val="none" w:sz="0" w:space="0" w:color="auto"/>
      </w:divBdr>
    </w:div>
    <w:div w:id="2030713043">
      <w:bodyDiv w:val="1"/>
      <w:marLeft w:val="0"/>
      <w:marRight w:val="0"/>
      <w:marTop w:val="0"/>
      <w:marBottom w:val="0"/>
      <w:divBdr>
        <w:top w:val="none" w:sz="0" w:space="0" w:color="auto"/>
        <w:left w:val="none" w:sz="0" w:space="0" w:color="auto"/>
        <w:bottom w:val="none" w:sz="0" w:space="0" w:color="auto"/>
        <w:right w:val="none" w:sz="0" w:space="0" w:color="auto"/>
      </w:divBdr>
    </w:div>
    <w:div w:id="2030788104">
      <w:bodyDiv w:val="1"/>
      <w:marLeft w:val="0"/>
      <w:marRight w:val="0"/>
      <w:marTop w:val="0"/>
      <w:marBottom w:val="0"/>
      <w:divBdr>
        <w:top w:val="none" w:sz="0" w:space="0" w:color="auto"/>
        <w:left w:val="none" w:sz="0" w:space="0" w:color="auto"/>
        <w:bottom w:val="none" w:sz="0" w:space="0" w:color="auto"/>
        <w:right w:val="none" w:sz="0" w:space="0" w:color="auto"/>
      </w:divBdr>
      <w:divsChild>
        <w:div w:id="596904857">
          <w:marLeft w:val="0"/>
          <w:marRight w:val="0"/>
          <w:marTop w:val="0"/>
          <w:marBottom w:val="240"/>
          <w:divBdr>
            <w:top w:val="none" w:sz="0" w:space="0" w:color="auto"/>
            <w:left w:val="none" w:sz="0" w:space="0" w:color="auto"/>
            <w:bottom w:val="none" w:sz="0" w:space="0" w:color="auto"/>
            <w:right w:val="none" w:sz="0" w:space="0" w:color="auto"/>
          </w:divBdr>
        </w:div>
      </w:divsChild>
    </w:div>
    <w:div w:id="2030837774">
      <w:bodyDiv w:val="1"/>
      <w:marLeft w:val="0"/>
      <w:marRight w:val="0"/>
      <w:marTop w:val="0"/>
      <w:marBottom w:val="0"/>
      <w:divBdr>
        <w:top w:val="none" w:sz="0" w:space="0" w:color="auto"/>
        <w:left w:val="none" w:sz="0" w:space="0" w:color="auto"/>
        <w:bottom w:val="none" w:sz="0" w:space="0" w:color="auto"/>
        <w:right w:val="none" w:sz="0" w:space="0" w:color="auto"/>
      </w:divBdr>
      <w:divsChild>
        <w:div w:id="598295960">
          <w:marLeft w:val="0"/>
          <w:marRight w:val="0"/>
          <w:marTop w:val="0"/>
          <w:marBottom w:val="150"/>
          <w:divBdr>
            <w:top w:val="none" w:sz="0" w:space="0" w:color="auto"/>
            <w:left w:val="none" w:sz="0" w:space="0" w:color="auto"/>
            <w:bottom w:val="none" w:sz="0" w:space="0" w:color="auto"/>
            <w:right w:val="none" w:sz="0" w:space="0" w:color="auto"/>
          </w:divBdr>
        </w:div>
        <w:div w:id="795566178">
          <w:marLeft w:val="0"/>
          <w:marRight w:val="0"/>
          <w:marTop w:val="0"/>
          <w:marBottom w:val="150"/>
          <w:divBdr>
            <w:top w:val="none" w:sz="0" w:space="0" w:color="auto"/>
            <w:left w:val="none" w:sz="0" w:space="0" w:color="auto"/>
            <w:bottom w:val="none" w:sz="0" w:space="0" w:color="auto"/>
            <w:right w:val="none" w:sz="0" w:space="0" w:color="auto"/>
          </w:divBdr>
          <w:divsChild>
            <w:div w:id="1866477963">
              <w:marLeft w:val="0"/>
              <w:marRight w:val="0"/>
              <w:marTop w:val="0"/>
              <w:marBottom w:val="0"/>
              <w:divBdr>
                <w:top w:val="none" w:sz="0" w:space="0" w:color="auto"/>
                <w:left w:val="none" w:sz="0" w:space="0" w:color="auto"/>
                <w:bottom w:val="none" w:sz="0" w:space="0" w:color="auto"/>
                <w:right w:val="none" w:sz="0" w:space="0" w:color="auto"/>
              </w:divBdr>
            </w:div>
          </w:divsChild>
        </w:div>
        <w:div w:id="2118940180">
          <w:marLeft w:val="0"/>
          <w:marRight w:val="0"/>
          <w:marTop w:val="0"/>
          <w:marBottom w:val="0"/>
          <w:divBdr>
            <w:top w:val="none" w:sz="0" w:space="0" w:color="auto"/>
            <w:left w:val="none" w:sz="0" w:space="0" w:color="auto"/>
            <w:bottom w:val="none" w:sz="0" w:space="0" w:color="auto"/>
            <w:right w:val="none" w:sz="0" w:space="0" w:color="auto"/>
          </w:divBdr>
          <w:divsChild>
            <w:div w:id="104872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6326">
      <w:bodyDiv w:val="1"/>
      <w:marLeft w:val="0"/>
      <w:marRight w:val="0"/>
      <w:marTop w:val="0"/>
      <w:marBottom w:val="0"/>
      <w:divBdr>
        <w:top w:val="none" w:sz="0" w:space="0" w:color="auto"/>
        <w:left w:val="none" w:sz="0" w:space="0" w:color="auto"/>
        <w:bottom w:val="none" w:sz="0" w:space="0" w:color="auto"/>
        <w:right w:val="none" w:sz="0" w:space="0" w:color="auto"/>
      </w:divBdr>
      <w:divsChild>
        <w:div w:id="724370849">
          <w:marLeft w:val="0"/>
          <w:marRight w:val="0"/>
          <w:marTop w:val="0"/>
          <w:marBottom w:val="0"/>
          <w:divBdr>
            <w:top w:val="none" w:sz="0" w:space="0" w:color="auto"/>
            <w:left w:val="none" w:sz="0" w:space="0" w:color="auto"/>
            <w:bottom w:val="none" w:sz="0" w:space="0" w:color="auto"/>
            <w:right w:val="none" w:sz="0" w:space="0" w:color="auto"/>
          </w:divBdr>
        </w:div>
      </w:divsChild>
    </w:div>
    <w:div w:id="2030988631">
      <w:bodyDiv w:val="1"/>
      <w:marLeft w:val="0"/>
      <w:marRight w:val="0"/>
      <w:marTop w:val="0"/>
      <w:marBottom w:val="0"/>
      <w:divBdr>
        <w:top w:val="none" w:sz="0" w:space="0" w:color="auto"/>
        <w:left w:val="none" w:sz="0" w:space="0" w:color="auto"/>
        <w:bottom w:val="none" w:sz="0" w:space="0" w:color="auto"/>
        <w:right w:val="none" w:sz="0" w:space="0" w:color="auto"/>
      </w:divBdr>
      <w:divsChild>
        <w:div w:id="2010013172">
          <w:marLeft w:val="0"/>
          <w:marRight w:val="0"/>
          <w:marTop w:val="0"/>
          <w:marBottom w:val="0"/>
          <w:divBdr>
            <w:top w:val="none" w:sz="0" w:space="0" w:color="auto"/>
            <w:left w:val="none" w:sz="0" w:space="0" w:color="auto"/>
            <w:bottom w:val="none" w:sz="0" w:space="0" w:color="auto"/>
            <w:right w:val="none" w:sz="0" w:space="0" w:color="auto"/>
          </w:divBdr>
        </w:div>
      </w:divsChild>
    </w:div>
    <w:div w:id="2031375821">
      <w:bodyDiv w:val="1"/>
      <w:marLeft w:val="0"/>
      <w:marRight w:val="0"/>
      <w:marTop w:val="0"/>
      <w:marBottom w:val="0"/>
      <w:divBdr>
        <w:top w:val="none" w:sz="0" w:space="0" w:color="auto"/>
        <w:left w:val="none" w:sz="0" w:space="0" w:color="auto"/>
        <w:bottom w:val="none" w:sz="0" w:space="0" w:color="auto"/>
        <w:right w:val="none" w:sz="0" w:space="0" w:color="auto"/>
      </w:divBdr>
      <w:divsChild>
        <w:div w:id="22708135">
          <w:marLeft w:val="0"/>
          <w:marRight w:val="0"/>
          <w:marTop w:val="150"/>
          <w:marBottom w:val="0"/>
          <w:divBdr>
            <w:top w:val="none" w:sz="0" w:space="0" w:color="auto"/>
            <w:left w:val="none" w:sz="0" w:space="0" w:color="auto"/>
            <w:bottom w:val="none" w:sz="0" w:space="0" w:color="auto"/>
            <w:right w:val="none" w:sz="0" w:space="0" w:color="auto"/>
          </w:divBdr>
          <w:divsChild>
            <w:div w:id="1141077557">
              <w:marLeft w:val="0"/>
              <w:marRight w:val="0"/>
              <w:marTop w:val="0"/>
              <w:marBottom w:val="0"/>
              <w:divBdr>
                <w:top w:val="none" w:sz="0" w:space="0" w:color="auto"/>
                <w:left w:val="none" w:sz="0" w:space="0" w:color="auto"/>
                <w:bottom w:val="single" w:sz="6" w:space="0" w:color="EFEFEF"/>
                <w:right w:val="none" w:sz="0" w:space="0" w:color="auto"/>
              </w:divBdr>
              <w:divsChild>
                <w:div w:id="728771318">
                  <w:marLeft w:val="0"/>
                  <w:marRight w:val="0"/>
                  <w:marTop w:val="0"/>
                  <w:marBottom w:val="0"/>
                  <w:divBdr>
                    <w:top w:val="none" w:sz="0" w:space="0" w:color="auto"/>
                    <w:left w:val="none" w:sz="0" w:space="0" w:color="auto"/>
                    <w:bottom w:val="none" w:sz="0" w:space="0" w:color="auto"/>
                    <w:right w:val="none" w:sz="0" w:space="0" w:color="auto"/>
                  </w:divBdr>
                </w:div>
                <w:div w:id="210360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030111">
          <w:marLeft w:val="0"/>
          <w:marRight w:val="0"/>
          <w:marTop w:val="300"/>
          <w:marBottom w:val="0"/>
          <w:divBdr>
            <w:top w:val="none" w:sz="0" w:space="0" w:color="auto"/>
            <w:left w:val="none" w:sz="0" w:space="0" w:color="auto"/>
            <w:bottom w:val="none" w:sz="0" w:space="0" w:color="auto"/>
            <w:right w:val="none" w:sz="0" w:space="0" w:color="auto"/>
          </w:divBdr>
          <w:divsChild>
            <w:div w:id="154615720">
              <w:marLeft w:val="0"/>
              <w:marRight w:val="0"/>
              <w:marTop w:val="0"/>
              <w:marBottom w:val="0"/>
              <w:divBdr>
                <w:top w:val="none" w:sz="0" w:space="0" w:color="auto"/>
                <w:left w:val="none" w:sz="0" w:space="0" w:color="auto"/>
                <w:bottom w:val="none" w:sz="0" w:space="0" w:color="auto"/>
                <w:right w:val="none" w:sz="0" w:space="0" w:color="auto"/>
              </w:divBdr>
              <w:divsChild>
                <w:div w:id="1700006515">
                  <w:marLeft w:val="0"/>
                  <w:marRight w:val="0"/>
                  <w:marTop w:val="150"/>
                  <w:marBottom w:val="0"/>
                  <w:divBdr>
                    <w:top w:val="none" w:sz="0" w:space="0" w:color="auto"/>
                    <w:left w:val="none" w:sz="0" w:space="0" w:color="auto"/>
                    <w:bottom w:val="none" w:sz="0" w:space="0" w:color="auto"/>
                    <w:right w:val="none" w:sz="0" w:space="0" w:color="auto"/>
                  </w:divBdr>
                  <w:divsChild>
                    <w:div w:id="814686099">
                      <w:marLeft w:val="0"/>
                      <w:marRight w:val="0"/>
                      <w:marTop w:val="0"/>
                      <w:marBottom w:val="0"/>
                      <w:divBdr>
                        <w:top w:val="none" w:sz="0" w:space="0" w:color="auto"/>
                        <w:left w:val="none" w:sz="0" w:space="0" w:color="auto"/>
                        <w:bottom w:val="none" w:sz="0" w:space="0" w:color="auto"/>
                        <w:right w:val="none" w:sz="0" w:space="0" w:color="auto"/>
                      </w:divBdr>
                      <w:divsChild>
                        <w:div w:id="138590862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109344128">
                  <w:marLeft w:val="0"/>
                  <w:marRight w:val="0"/>
                  <w:marTop w:val="0"/>
                  <w:marBottom w:val="0"/>
                  <w:divBdr>
                    <w:top w:val="none" w:sz="0" w:space="0" w:color="auto"/>
                    <w:left w:val="none" w:sz="0" w:space="0" w:color="auto"/>
                    <w:bottom w:val="none" w:sz="0" w:space="0" w:color="auto"/>
                    <w:right w:val="none" w:sz="0" w:space="0" w:color="auto"/>
                  </w:divBdr>
                  <w:divsChild>
                    <w:div w:id="1232109290">
                      <w:marLeft w:val="0"/>
                      <w:marRight w:val="0"/>
                      <w:marTop w:val="0"/>
                      <w:marBottom w:val="0"/>
                      <w:divBdr>
                        <w:top w:val="none" w:sz="0" w:space="0" w:color="auto"/>
                        <w:left w:val="none" w:sz="0" w:space="0" w:color="auto"/>
                        <w:bottom w:val="none" w:sz="0" w:space="0" w:color="auto"/>
                        <w:right w:val="none" w:sz="0" w:space="0" w:color="auto"/>
                      </w:divBdr>
                      <w:divsChild>
                        <w:div w:id="837308220">
                          <w:marLeft w:val="0"/>
                          <w:marRight w:val="0"/>
                          <w:marTop w:val="0"/>
                          <w:marBottom w:val="0"/>
                          <w:divBdr>
                            <w:top w:val="none" w:sz="0" w:space="0" w:color="auto"/>
                            <w:left w:val="none" w:sz="0" w:space="0" w:color="auto"/>
                            <w:bottom w:val="none" w:sz="0" w:space="0" w:color="auto"/>
                            <w:right w:val="none" w:sz="0" w:space="0" w:color="auto"/>
                          </w:divBdr>
                          <w:divsChild>
                            <w:div w:id="444469727">
                              <w:marLeft w:val="0"/>
                              <w:marRight w:val="0"/>
                              <w:marTop w:val="0"/>
                              <w:marBottom w:val="0"/>
                              <w:divBdr>
                                <w:top w:val="none" w:sz="0" w:space="0" w:color="auto"/>
                                <w:left w:val="none" w:sz="0" w:space="0" w:color="auto"/>
                                <w:bottom w:val="none" w:sz="0" w:space="0" w:color="auto"/>
                                <w:right w:val="none" w:sz="0" w:space="0" w:color="auto"/>
                              </w:divBdr>
                              <w:divsChild>
                                <w:div w:id="1417288323">
                                  <w:marLeft w:val="0"/>
                                  <w:marRight w:val="0"/>
                                  <w:marTop w:val="225"/>
                                  <w:marBottom w:val="150"/>
                                  <w:divBdr>
                                    <w:top w:val="none" w:sz="0" w:space="4" w:color="auto"/>
                                    <w:left w:val="none" w:sz="0" w:space="0" w:color="auto"/>
                                    <w:bottom w:val="single" w:sz="6" w:space="4" w:color="CECECE"/>
                                    <w:right w:val="none" w:sz="0" w:space="0" w:color="auto"/>
                                  </w:divBdr>
                                  <w:divsChild>
                                    <w:div w:id="297880450">
                                      <w:marLeft w:val="0"/>
                                      <w:marRight w:val="0"/>
                                      <w:marTop w:val="0"/>
                                      <w:marBottom w:val="0"/>
                                      <w:divBdr>
                                        <w:top w:val="none" w:sz="0" w:space="0" w:color="auto"/>
                                        <w:left w:val="none" w:sz="0" w:space="0" w:color="auto"/>
                                        <w:bottom w:val="none" w:sz="0" w:space="0" w:color="auto"/>
                                        <w:right w:val="none" w:sz="0" w:space="0" w:color="auto"/>
                                      </w:divBdr>
                                    </w:div>
                                    <w:div w:id="1834563009">
                                      <w:marLeft w:val="0"/>
                                      <w:marRight w:val="0"/>
                                      <w:marTop w:val="75"/>
                                      <w:marBottom w:val="75"/>
                                      <w:divBdr>
                                        <w:top w:val="none" w:sz="0" w:space="0" w:color="auto"/>
                                        <w:left w:val="none" w:sz="0" w:space="0" w:color="auto"/>
                                        <w:bottom w:val="none" w:sz="0" w:space="0" w:color="auto"/>
                                        <w:right w:val="none" w:sz="0" w:space="0" w:color="auto"/>
                                      </w:divBdr>
                                      <w:divsChild>
                                        <w:div w:id="1017854726">
                                          <w:marLeft w:val="0"/>
                                          <w:marRight w:val="0"/>
                                          <w:marTop w:val="45"/>
                                          <w:marBottom w:val="0"/>
                                          <w:divBdr>
                                            <w:top w:val="none" w:sz="0" w:space="0" w:color="auto"/>
                                            <w:left w:val="none" w:sz="0" w:space="0" w:color="auto"/>
                                            <w:bottom w:val="none" w:sz="0" w:space="0" w:color="auto"/>
                                            <w:right w:val="none" w:sz="0" w:space="0" w:color="auto"/>
                                          </w:divBdr>
                                        </w:div>
                                        <w:div w:id="1305740590">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865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13870">
              <w:marLeft w:val="-1350"/>
              <w:marRight w:val="0"/>
              <w:marTop w:val="0"/>
              <w:marBottom w:val="0"/>
              <w:divBdr>
                <w:top w:val="none" w:sz="0" w:space="0" w:color="auto"/>
                <w:left w:val="none" w:sz="0" w:space="0" w:color="auto"/>
                <w:bottom w:val="none" w:sz="0" w:space="0" w:color="auto"/>
                <w:right w:val="none" w:sz="0" w:space="0" w:color="auto"/>
              </w:divBdr>
              <w:divsChild>
                <w:div w:id="9843366">
                  <w:marLeft w:val="0"/>
                  <w:marRight w:val="0"/>
                  <w:marTop w:val="0"/>
                  <w:marBottom w:val="0"/>
                  <w:divBdr>
                    <w:top w:val="none" w:sz="0" w:space="0" w:color="auto"/>
                    <w:left w:val="none" w:sz="0" w:space="0" w:color="auto"/>
                    <w:bottom w:val="none" w:sz="0" w:space="0" w:color="auto"/>
                    <w:right w:val="none" w:sz="0" w:space="0" w:color="auto"/>
                  </w:divBdr>
                  <w:divsChild>
                    <w:div w:id="1005979058">
                      <w:marLeft w:val="0"/>
                      <w:marRight w:val="0"/>
                      <w:marTop w:val="0"/>
                      <w:marBottom w:val="0"/>
                      <w:divBdr>
                        <w:top w:val="none" w:sz="0" w:space="0" w:color="auto"/>
                        <w:left w:val="none" w:sz="0" w:space="0" w:color="auto"/>
                        <w:bottom w:val="none" w:sz="0" w:space="0" w:color="auto"/>
                        <w:right w:val="none" w:sz="0" w:space="0" w:color="auto"/>
                      </w:divBdr>
                      <w:divsChild>
                        <w:div w:id="1731924674">
                          <w:marLeft w:val="0"/>
                          <w:marRight w:val="0"/>
                          <w:marTop w:val="0"/>
                          <w:marBottom w:val="0"/>
                          <w:divBdr>
                            <w:top w:val="single" w:sz="6" w:space="0" w:color="C7C7C7"/>
                            <w:left w:val="single" w:sz="6" w:space="0" w:color="C7C7C7"/>
                            <w:bottom w:val="single" w:sz="6" w:space="0" w:color="C7C7C7"/>
                            <w:right w:val="single" w:sz="6" w:space="0" w:color="C7C7C7"/>
                          </w:divBdr>
                          <w:divsChild>
                            <w:div w:id="770320701">
                              <w:marLeft w:val="0"/>
                              <w:marRight w:val="0"/>
                              <w:marTop w:val="100"/>
                              <w:marBottom w:val="100"/>
                              <w:divBdr>
                                <w:top w:val="none" w:sz="0" w:space="11" w:color="auto"/>
                                <w:left w:val="none" w:sz="0" w:space="0" w:color="auto"/>
                                <w:bottom w:val="single" w:sz="6" w:space="11" w:color="C7C7C7"/>
                                <w:right w:val="none" w:sz="0" w:space="0" w:color="auto"/>
                              </w:divBdr>
                            </w:div>
                            <w:div w:id="806437825">
                              <w:marLeft w:val="0"/>
                              <w:marRight w:val="0"/>
                              <w:marTop w:val="100"/>
                              <w:marBottom w:val="100"/>
                              <w:divBdr>
                                <w:top w:val="none" w:sz="0" w:space="11" w:color="auto"/>
                                <w:left w:val="none" w:sz="0" w:space="0" w:color="auto"/>
                                <w:bottom w:val="single" w:sz="6" w:space="11" w:color="C7C7C7"/>
                                <w:right w:val="none" w:sz="0" w:space="0" w:color="auto"/>
                              </w:divBdr>
                            </w:div>
                            <w:div w:id="1636905707">
                              <w:marLeft w:val="0"/>
                              <w:marRight w:val="0"/>
                              <w:marTop w:val="100"/>
                              <w:marBottom w:val="100"/>
                              <w:divBdr>
                                <w:top w:val="none" w:sz="0" w:space="0" w:color="auto"/>
                                <w:left w:val="none" w:sz="0" w:space="0" w:color="auto"/>
                                <w:bottom w:val="none" w:sz="0" w:space="0" w:color="auto"/>
                                <w:right w:val="none" w:sz="0" w:space="0" w:color="auto"/>
                              </w:divBdr>
                            </w:div>
                            <w:div w:id="1716195684">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2031447773">
      <w:bodyDiv w:val="1"/>
      <w:marLeft w:val="0"/>
      <w:marRight w:val="0"/>
      <w:marTop w:val="0"/>
      <w:marBottom w:val="0"/>
      <w:divBdr>
        <w:top w:val="none" w:sz="0" w:space="0" w:color="auto"/>
        <w:left w:val="none" w:sz="0" w:space="0" w:color="auto"/>
        <w:bottom w:val="none" w:sz="0" w:space="0" w:color="auto"/>
        <w:right w:val="none" w:sz="0" w:space="0" w:color="auto"/>
      </w:divBdr>
    </w:div>
    <w:div w:id="2031566308">
      <w:bodyDiv w:val="1"/>
      <w:marLeft w:val="0"/>
      <w:marRight w:val="0"/>
      <w:marTop w:val="0"/>
      <w:marBottom w:val="0"/>
      <w:divBdr>
        <w:top w:val="none" w:sz="0" w:space="0" w:color="auto"/>
        <w:left w:val="none" w:sz="0" w:space="0" w:color="auto"/>
        <w:bottom w:val="none" w:sz="0" w:space="0" w:color="auto"/>
        <w:right w:val="none" w:sz="0" w:space="0" w:color="auto"/>
      </w:divBdr>
      <w:divsChild>
        <w:div w:id="253979685">
          <w:marLeft w:val="0"/>
          <w:marRight w:val="0"/>
          <w:marTop w:val="0"/>
          <w:marBottom w:val="0"/>
          <w:divBdr>
            <w:top w:val="none" w:sz="0" w:space="0" w:color="auto"/>
            <w:left w:val="none" w:sz="0" w:space="0" w:color="auto"/>
            <w:bottom w:val="none" w:sz="0" w:space="0" w:color="auto"/>
            <w:right w:val="none" w:sz="0" w:space="0" w:color="auto"/>
          </w:divBdr>
          <w:divsChild>
            <w:div w:id="212600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638218">
      <w:bodyDiv w:val="1"/>
      <w:marLeft w:val="0"/>
      <w:marRight w:val="0"/>
      <w:marTop w:val="0"/>
      <w:marBottom w:val="0"/>
      <w:divBdr>
        <w:top w:val="none" w:sz="0" w:space="0" w:color="auto"/>
        <w:left w:val="none" w:sz="0" w:space="0" w:color="auto"/>
        <w:bottom w:val="none" w:sz="0" w:space="0" w:color="auto"/>
        <w:right w:val="none" w:sz="0" w:space="0" w:color="auto"/>
      </w:divBdr>
      <w:divsChild>
        <w:div w:id="1358240863">
          <w:marLeft w:val="0"/>
          <w:marRight w:val="0"/>
          <w:marTop w:val="0"/>
          <w:marBottom w:val="150"/>
          <w:divBdr>
            <w:top w:val="none" w:sz="0" w:space="0" w:color="auto"/>
            <w:left w:val="none" w:sz="0" w:space="0" w:color="auto"/>
            <w:bottom w:val="none" w:sz="0" w:space="0" w:color="auto"/>
            <w:right w:val="none" w:sz="0" w:space="0" w:color="auto"/>
          </w:divBdr>
        </w:div>
      </w:divsChild>
    </w:div>
    <w:div w:id="2031838332">
      <w:bodyDiv w:val="1"/>
      <w:marLeft w:val="0"/>
      <w:marRight w:val="0"/>
      <w:marTop w:val="0"/>
      <w:marBottom w:val="0"/>
      <w:divBdr>
        <w:top w:val="none" w:sz="0" w:space="0" w:color="auto"/>
        <w:left w:val="none" w:sz="0" w:space="0" w:color="auto"/>
        <w:bottom w:val="none" w:sz="0" w:space="0" w:color="auto"/>
        <w:right w:val="none" w:sz="0" w:space="0" w:color="auto"/>
      </w:divBdr>
      <w:divsChild>
        <w:div w:id="231887020">
          <w:marLeft w:val="0"/>
          <w:marRight w:val="0"/>
          <w:marTop w:val="0"/>
          <w:marBottom w:val="0"/>
          <w:divBdr>
            <w:top w:val="none" w:sz="0" w:space="0" w:color="auto"/>
            <w:left w:val="none" w:sz="0" w:space="0" w:color="auto"/>
            <w:bottom w:val="dotted" w:sz="6" w:space="4" w:color="DDDDDD"/>
            <w:right w:val="none" w:sz="0" w:space="0" w:color="auto"/>
          </w:divBdr>
          <w:divsChild>
            <w:div w:id="58399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906974">
      <w:bodyDiv w:val="1"/>
      <w:marLeft w:val="0"/>
      <w:marRight w:val="0"/>
      <w:marTop w:val="0"/>
      <w:marBottom w:val="0"/>
      <w:divBdr>
        <w:top w:val="none" w:sz="0" w:space="0" w:color="auto"/>
        <w:left w:val="none" w:sz="0" w:space="0" w:color="auto"/>
        <w:bottom w:val="none" w:sz="0" w:space="0" w:color="auto"/>
        <w:right w:val="none" w:sz="0" w:space="0" w:color="auto"/>
      </w:divBdr>
    </w:div>
    <w:div w:id="2031956510">
      <w:bodyDiv w:val="1"/>
      <w:marLeft w:val="0"/>
      <w:marRight w:val="0"/>
      <w:marTop w:val="0"/>
      <w:marBottom w:val="0"/>
      <w:divBdr>
        <w:top w:val="none" w:sz="0" w:space="0" w:color="auto"/>
        <w:left w:val="none" w:sz="0" w:space="0" w:color="auto"/>
        <w:bottom w:val="none" w:sz="0" w:space="0" w:color="auto"/>
        <w:right w:val="none" w:sz="0" w:space="0" w:color="auto"/>
      </w:divBdr>
    </w:div>
    <w:div w:id="2032218621">
      <w:bodyDiv w:val="1"/>
      <w:marLeft w:val="0"/>
      <w:marRight w:val="0"/>
      <w:marTop w:val="0"/>
      <w:marBottom w:val="0"/>
      <w:divBdr>
        <w:top w:val="none" w:sz="0" w:space="0" w:color="auto"/>
        <w:left w:val="none" w:sz="0" w:space="0" w:color="auto"/>
        <w:bottom w:val="none" w:sz="0" w:space="0" w:color="auto"/>
        <w:right w:val="none" w:sz="0" w:space="0" w:color="auto"/>
      </w:divBdr>
      <w:divsChild>
        <w:div w:id="458688435">
          <w:marLeft w:val="0"/>
          <w:marRight w:val="0"/>
          <w:marTop w:val="0"/>
          <w:marBottom w:val="225"/>
          <w:divBdr>
            <w:top w:val="none" w:sz="0" w:space="0" w:color="auto"/>
            <w:left w:val="none" w:sz="0" w:space="0" w:color="auto"/>
            <w:bottom w:val="none" w:sz="0" w:space="0" w:color="auto"/>
            <w:right w:val="none" w:sz="0" w:space="0" w:color="auto"/>
          </w:divBdr>
        </w:div>
        <w:div w:id="1694846851">
          <w:marLeft w:val="0"/>
          <w:marRight w:val="0"/>
          <w:marTop w:val="0"/>
          <w:marBottom w:val="225"/>
          <w:divBdr>
            <w:top w:val="none" w:sz="0" w:space="0" w:color="auto"/>
            <w:left w:val="none" w:sz="0" w:space="0" w:color="auto"/>
            <w:bottom w:val="none" w:sz="0" w:space="0" w:color="auto"/>
            <w:right w:val="none" w:sz="0" w:space="0" w:color="auto"/>
          </w:divBdr>
          <w:divsChild>
            <w:div w:id="33313003">
              <w:marLeft w:val="0"/>
              <w:marRight w:val="0"/>
              <w:marTop w:val="0"/>
              <w:marBottom w:val="0"/>
              <w:divBdr>
                <w:top w:val="none" w:sz="0" w:space="0" w:color="auto"/>
                <w:left w:val="none" w:sz="0" w:space="0" w:color="auto"/>
                <w:bottom w:val="none" w:sz="0" w:space="0" w:color="auto"/>
                <w:right w:val="none" w:sz="0" w:space="0" w:color="auto"/>
              </w:divBdr>
              <w:divsChild>
                <w:div w:id="158152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219286">
      <w:bodyDiv w:val="1"/>
      <w:marLeft w:val="0"/>
      <w:marRight w:val="0"/>
      <w:marTop w:val="0"/>
      <w:marBottom w:val="0"/>
      <w:divBdr>
        <w:top w:val="none" w:sz="0" w:space="0" w:color="auto"/>
        <w:left w:val="none" w:sz="0" w:space="0" w:color="auto"/>
        <w:bottom w:val="none" w:sz="0" w:space="0" w:color="auto"/>
        <w:right w:val="none" w:sz="0" w:space="0" w:color="auto"/>
      </w:divBdr>
      <w:divsChild>
        <w:div w:id="279725150">
          <w:marLeft w:val="0"/>
          <w:marRight w:val="0"/>
          <w:marTop w:val="0"/>
          <w:marBottom w:val="0"/>
          <w:divBdr>
            <w:top w:val="none" w:sz="0" w:space="0" w:color="auto"/>
            <w:left w:val="none" w:sz="0" w:space="0" w:color="auto"/>
            <w:bottom w:val="none" w:sz="0" w:space="0" w:color="auto"/>
            <w:right w:val="none" w:sz="0" w:space="0" w:color="auto"/>
          </w:divBdr>
        </w:div>
      </w:divsChild>
    </w:div>
    <w:div w:id="2032409879">
      <w:bodyDiv w:val="1"/>
      <w:marLeft w:val="0"/>
      <w:marRight w:val="0"/>
      <w:marTop w:val="0"/>
      <w:marBottom w:val="0"/>
      <w:divBdr>
        <w:top w:val="none" w:sz="0" w:space="0" w:color="auto"/>
        <w:left w:val="none" w:sz="0" w:space="0" w:color="auto"/>
        <w:bottom w:val="none" w:sz="0" w:space="0" w:color="auto"/>
        <w:right w:val="none" w:sz="0" w:space="0" w:color="auto"/>
      </w:divBdr>
      <w:divsChild>
        <w:div w:id="637566711">
          <w:marLeft w:val="0"/>
          <w:marRight w:val="0"/>
          <w:marTop w:val="0"/>
          <w:marBottom w:val="0"/>
          <w:divBdr>
            <w:top w:val="none" w:sz="0" w:space="0" w:color="auto"/>
            <w:left w:val="none" w:sz="0" w:space="0" w:color="auto"/>
            <w:bottom w:val="none" w:sz="0" w:space="0" w:color="auto"/>
            <w:right w:val="none" w:sz="0" w:space="0" w:color="auto"/>
          </w:divBdr>
          <w:divsChild>
            <w:div w:id="1987011345">
              <w:marLeft w:val="0"/>
              <w:marRight w:val="0"/>
              <w:marTop w:val="0"/>
              <w:marBottom w:val="0"/>
              <w:divBdr>
                <w:top w:val="none" w:sz="0" w:space="0" w:color="auto"/>
                <w:left w:val="none" w:sz="0" w:space="0" w:color="auto"/>
                <w:bottom w:val="none" w:sz="0" w:space="0" w:color="auto"/>
                <w:right w:val="none" w:sz="0" w:space="0" w:color="auto"/>
              </w:divBdr>
            </w:div>
          </w:divsChild>
        </w:div>
        <w:div w:id="120079738">
          <w:marLeft w:val="0"/>
          <w:marRight w:val="0"/>
          <w:marTop w:val="120"/>
          <w:marBottom w:val="0"/>
          <w:divBdr>
            <w:top w:val="none" w:sz="0" w:space="0" w:color="auto"/>
            <w:left w:val="none" w:sz="0" w:space="0" w:color="auto"/>
            <w:bottom w:val="none" w:sz="0" w:space="0" w:color="auto"/>
            <w:right w:val="none" w:sz="0" w:space="0" w:color="auto"/>
          </w:divBdr>
        </w:div>
      </w:divsChild>
    </w:div>
    <w:div w:id="2032678434">
      <w:bodyDiv w:val="1"/>
      <w:marLeft w:val="0"/>
      <w:marRight w:val="0"/>
      <w:marTop w:val="0"/>
      <w:marBottom w:val="0"/>
      <w:divBdr>
        <w:top w:val="none" w:sz="0" w:space="0" w:color="auto"/>
        <w:left w:val="none" w:sz="0" w:space="0" w:color="auto"/>
        <w:bottom w:val="none" w:sz="0" w:space="0" w:color="auto"/>
        <w:right w:val="none" w:sz="0" w:space="0" w:color="auto"/>
      </w:divBdr>
      <w:divsChild>
        <w:div w:id="248083706">
          <w:marLeft w:val="0"/>
          <w:marRight w:val="0"/>
          <w:marTop w:val="0"/>
          <w:marBottom w:val="150"/>
          <w:divBdr>
            <w:top w:val="none" w:sz="0" w:space="0" w:color="auto"/>
            <w:left w:val="none" w:sz="0" w:space="0" w:color="auto"/>
            <w:bottom w:val="none" w:sz="0" w:space="0" w:color="auto"/>
            <w:right w:val="none" w:sz="0" w:space="0" w:color="auto"/>
          </w:divBdr>
        </w:div>
        <w:div w:id="998265464">
          <w:marLeft w:val="0"/>
          <w:marRight w:val="0"/>
          <w:marTop w:val="0"/>
          <w:marBottom w:val="0"/>
          <w:divBdr>
            <w:top w:val="none" w:sz="0" w:space="0" w:color="auto"/>
            <w:left w:val="none" w:sz="0" w:space="0" w:color="auto"/>
            <w:bottom w:val="none" w:sz="0" w:space="0" w:color="auto"/>
            <w:right w:val="none" w:sz="0" w:space="0" w:color="auto"/>
          </w:divBdr>
          <w:divsChild>
            <w:div w:id="1136798197">
              <w:marLeft w:val="0"/>
              <w:marRight w:val="0"/>
              <w:marTop w:val="0"/>
              <w:marBottom w:val="225"/>
              <w:divBdr>
                <w:top w:val="none" w:sz="0" w:space="0" w:color="auto"/>
                <w:left w:val="none" w:sz="0" w:space="0" w:color="auto"/>
                <w:bottom w:val="none" w:sz="0" w:space="0" w:color="auto"/>
                <w:right w:val="none" w:sz="0" w:space="0" w:color="auto"/>
              </w:divBdr>
              <w:divsChild>
                <w:div w:id="14890302">
                  <w:marLeft w:val="0"/>
                  <w:marRight w:val="0"/>
                  <w:marTop w:val="0"/>
                  <w:marBottom w:val="150"/>
                  <w:divBdr>
                    <w:top w:val="none" w:sz="0" w:space="0" w:color="auto"/>
                    <w:left w:val="none" w:sz="0" w:space="0" w:color="auto"/>
                    <w:bottom w:val="none" w:sz="0" w:space="0" w:color="auto"/>
                    <w:right w:val="none" w:sz="0" w:space="0" w:color="auto"/>
                  </w:divBdr>
                </w:div>
                <w:div w:id="278922408">
                  <w:marLeft w:val="0"/>
                  <w:marRight w:val="0"/>
                  <w:marTop w:val="0"/>
                  <w:marBottom w:val="150"/>
                  <w:divBdr>
                    <w:top w:val="none" w:sz="0" w:space="0" w:color="auto"/>
                    <w:left w:val="none" w:sz="0" w:space="0" w:color="auto"/>
                    <w:bottom w:val="none" w:sz="0" w:space="0" w:color="auto"/>
                    <w:right w:val="none" w:sz="0" w:space="0" w:color="auto"/>
                  </w:divBdr>
                  <w:divsChild>
                    <w:div w:id="1180315818">
                      <w:marLeft w:val="0"/>
                      <w:marRight w:val="0"/>
                      <w:marTop w:val="0"/>
                      <w:marBottom w:val="150"/>
                      <w:divBdr>
                        <w:top w:val="none" w:sz="0" w:space="0" w:color="auto"/>
                        <w:left w:val="none" w:sz="0" w:space="0" w:color="auto"/>
                        <w:bottom w:val="none" w:sz="0" w:space="0" w:color="auto"/>
                        <w:right w:val="none" w:sz="0" w:space="0" w:color="auto"/>
                      </w:divBdr>
                      <w:divsChild>
                        <w:div w:id="58152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516553">
                  <w:marLeft w:val="0"/>
                  <w:marRight w:val="0"/>
                  <w:marTop w:val="0"/>
                  <w:marBottom w:val="150"/>
                  <w:divBdr>
                    <w:top w:val="none" w:sz="0" w:space="0" w:color="auto"/>
                    <w:left w:val="none" w:sz="0" w:space="0" w:color="auto"/>
                    <w:bottom w:val="none" w:sz="0" w:space="0" w:color="auto"/>
                    <w:right w:val="none" w:sz="0" w:space="0" w:color="auto"/>
                  </w:divBdr>
                </w:div>
                <w:div w:id="505218455">
                  <w:marLeft w:val="0"/>
                  <w:marRight w:val="0"/>
                  <w:marTop w:val="0"/>
                  <w:marBottom w:val="150"/>
                  <w:divBdr>
                    <w:top w:val="none" w:sz="0" w:space="0" w:color="auto"/>
                    <w:left w:val="none" w:sz="0" w:space="0" w:color="auto"/>
                    <w:bottom w:val="none" w:sz="0" w:space="0" w:color="auto"/>
                    <w:right w:val="none" w:sz="0" w:space="0" w:color="auto"/>
                  </w:divBdr>
                </w:div>
                <w:div w:id="520895574">
                  <w:marLeft w:val="0"/>
                  <w:marRight w:val="0"/>
                  <w:marTop w:val="0"/>
                  <w:marBottom w:val="150"/>
                  <w:divBdr>
                    <w:top w:val="none" w:sz="0" w:space="0" w:color="auto"/>
                    <w:left w:val="none" w:sz="0" w:space="0" w:color="auto"/>
                    <w:bottom w:val="none" w:sz="0" w:space="0" w:color="auto"/>
                    <w:right w:val="none" w:sz="0" w:space="0" w:color="auto"/>
                  </w:divBdr>
                </w:div>
                <w:div w:id="590550779">
                  <w:marLeft w:val="0"/>
                  <w:marRight w:val="0"/>
                  <w:marTop w:val="0"/>
                  <w:marBottom w:val="150"/>
                  <w:divBdr>
                    <w:top w:val="none" w:sz="0" w:space="0" w:color="auto"/>
                    <w:left w:val="none" w:sz="0" w:space="0" w:color="auto"/>
                    <w:bottom w:val="none" w:sz="0" w:space="0" w:color="auto"/>
                    <w:right w:val="none" w:sz="0" w:space="0" w:color="auto"/>
                  </w:divBdr>
                  <w:divsChild>
                    <w:div w:id="845480304">
                      <w:marLeft w:val="0"/>
                      <w:marRight w:val="0"/>
                      <w:marTop w:val="0"/>
                      <w:marBottom w:val="150"/>
                      <w:divBdr>
                        <w:top w:val="none" w:sz="0" w:space="0" w:color="auto"/>
                        <w:left w:val="none" w:sz="0" w:space="0" w:color="auto"/>
                        <w:bottom w:val="none" w:sz="0" w:space="0" w:color="auto"/>
                        <w:right w:val="none" w:sz="0" w:space="0" w:color="auto"/>
                      </w:divBdr>
                    </w:div>
                  </w:divsChild>
                </w:div>
                <w:div w:id="966621867">
                  <w:marLeft w:val="0"/>
                  <w:marRight w:val="0"/>
                  <w:marTop w:val="0"/>
                  <w:marBottom w:val="150"/>
                  <w:divBdr>
                    <w:top w:val="none" w:sz="0" w:space="0" w:color="auto"/>
                    <w:left w:val="none" w:sz="0" w:space="0" w:color="auto"/>
                    <w:bottom w:val="none" w:sz="0" w:space="0" w:color="auto"/>
                    <w:right w:val="none" w:sz="0" w:space="0" w:color="auto"/>
                  </w:divBdr>
                </w:div>
                <w:div w:id="1156528417">
                  <w:marLeft w:val="0"/>
                  <w:marRight w:val="0"/>
                  <w:marTop w:val="0"/>
                  <w:marBottom w:val="150"/>
                  <w:divBdr>
                    <w:top w:val="none" w:sz="0" w:space="0" w:color="auto"/>
                    <w:left w:val="none" w:sz="0" w:space="0" w:color="auto"/>
                    <w:bottom w:val="none" w:sz="0" w:space="0" w:color="auto"/>
                    <w:right w:val="none" w:sz="0" w:space="0" w:color="auto"/>
                  </w:divBdr>
                </w:div>
                <w:div w:id="12636134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32875986">
      <w:bodyDiv w:val="1"/>
      <w:marLeft w:val="0"/>
      <w:marRight w:val="0"/>
      <w:marTop w:val="0"/>
      <w:marBottom w:val="0"/>
      <w:divBdr>
        <w:top w:val="none" w:sz="0" w:space="0" w:color="auto"/>
        <w:left w:val="none" w:sz="0" w:space="0" w:color="auto"/>
        <w:bottom w:val="none" w:sz="0" w:space="0" w:color="auto"/>
        <w:right w:val="none" w:sz="0" w:space="0" w:color="auto"/>
      </w:divBdr>
    </w:div>
    <w:div w:id="2033264428">
      <w:bodyDiv w:val="1"/>
      <w:marLeft w:val="0"/>
      <w:marRight w:val="0"/>
      <w:marTop w:val="0"/>
      <w:marBottom w:val="0"/>
      <w:divBdr>
        <w:top w:val="none" w:sz="0" w:space="0" w:color="auto"/>
        <w:left w:val="none" w:sz="0" w:space="0" w:color="auto"/>
        <w:bottom w:val="none" w:sz="0" w:space="0" w:color="auto"/>
        <w:right w:val="none" w:sz="0" w:space="0" w:color="auto"/>
      </w:divBdr>
      <w:divsChild>
        <w:div w:id="1640644429">
          <w:marLeft w:val="0"/>
          <w:marRight w:val="0"/>
          <w:marTop w:val="0"/>
          <w:marBottom w:val="150"/>
          <w:divBdr>
            <w:top w:val="none" w:sz="0" w:space="0" w:color="auto"/>
            <w:left w:val="none" w:sz="0" w:space="0" w:color="auto"/>
            <w:bottom w:val="none" w:sz="0" w:space="0" w:color="auto"/>
            <w:right w:val="none" w:sz="0" w:space="0" w:color="auto"/>
          </w:divBdr>
        </w:div>
      </w:divsChild>
    </w:div>
    <w:div w:id="2033609567">
      <w:bodyDiv w:val="1"/>
      <w:marLeft w:val="0"/>
      <w:marRight w:val="0"/>
      <w:marTop w:val="0"/>
      <w:marBottom w:val="0"/>
      <w:divBdr>
        <w:top w:val="none" w:sz="0" w:space="0" w:color="auto"/>
        <w:left w:val="none" w:sz="0" w:space="0" w:color="auto"/>
        <w:bottom w:val="none" w:sz="0" w:space="0" w:color="auto"/>
        <w:right w:val="none" w:sz="0" w:space="0" w:color="auto"/>
      </w:divBdr>
      <w:divsChild>
        <w:div w:id="1318924894">
          <w:marLeft w:val="0"/>
          <w:marRight w:val="0"/>
          <w:marTop w:val="0"/>
          <w:marBottom w:val="150"/>
          <w:divBdr>
            <w:top w:val="none" w:sz="0" w:space="0" w:color="auto"/>
            <w:left w:val="none" w:sz="0" w:space="0" w:color="auto"/>
            <w:bottom w:val="none" w:sz="0" w:space="0" w:color="auto"/>
            <w:right w:val="none" w:sz="0" w:space="0" w:color="auto"/>
          </w:divBdr>
          <w:divsChild>
            <w:div w:id="670256632">
              <w:marLeft w:val="0"/>
              <w:marRight w:val="0"/>
              <w:marTop w:val="0"/>
              <w:marBottom w:val="0"/>
              <w:divBdr>
                <w:top w:val="none" w:sz="0" w:space="0" w:color="auto"/>
                <w:left w:val="none" w:sz="0" w:space="0" w:color="auto"/>
                <w:bottom w:val="none" w:sz="0" w:space="0" w:color="auto"/>
                <w:right w:val="none" w:sz="0" w:space="0" w:color="auto"/>
              </w:divBdr>
              <w:divsChild>
                <w:div w:id="73003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621092">
          <w:marLeft w:val="0"/>
          <w:marRight w:val="0"/>
          <w:marTop w:val="0"/>
          <w:marBottom w:val="150"/>
          <w:divBdr>
            <w:top w:val="none" w:sz="0" w:space="0" w:color="auto"/>
            <w:left w:val="none" w:sz="0" w:space="0" w:color="auto"/>
            <w:bottom w:val="none" w:sz="0" w:space="0" w:color="auto"/>
            <w:right w:val="none" w:sz="0" w:space="0" w:color="auto"/>
          </w:divBdr>
        </w:div>
        <w:div w:id="1869486455">
          <w:marLeft w:val="0"/>
          <w:marRight w:val="0"/>
          <w:marTop w:val="0"/>
          <w:marBottom w:val="0"/>
          <w:divBdr>
            <w:top w:val="none" w:sz="0" w:space="0" w:color="auto"/>
            <w:left w:val="none" w:sz="0" w:space="0" w:color="auto"/>
            <w:bottom w:val="none" w:sz="0" w:space="0" w:color="auto"/>
            <w:right w:val="none" w:sz="0" w:space="0" w:color="auto"/>
          </w:divBdr>
          <w:divsChild>
            <w:div w:id="139581483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34071843">
      <w:bodyDiv w:val="1"/>
      <w:marLeft w:val="0"/>
      <w:marRight w:val="0"/>
      <w:marTop w:val="0"/>
      <w:marBottom w:val="0"/>
      <w:divBdr>
        <w:top w:val="none" w:sz="0" w:space="0" w:color="auto"/>
        <w:left w:val="none" w:sz="0" w:space="0" w:color="auto"/>
        <w:bottom w:val="none" w:sz="0" w:space="0" w:color="auto"/>
        <w:right w:val="none" w:sz="0" w:space="0" w:color="auto"/>
      </w:divBdr>
      <w:divsChild>
        <w:div w:id="577718250">
          <w:marLeft w:val="0"/>
          <w:marRight w:val="0"/>
          <w:marTop w:val="0"/>
          <w:marBottom w:val="0"/>
          <w:divBdr>
            <w:top w:val="none" w:sz="0" w:space="0" w:color="auto"/>
            <w:left w:val="none" w:sz="0" w:space="0" w:color="auto"/>
            <w:bottom w:val="dotted" w:sz="6" w:space="4" w:color="DDDDDD"/>
            <w:right w:val="none" w:sz="0" w:space="0" w:color="auto"/>
          </w:divBdr>
          <w:divsChild>
            <w:div w:id="96693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452684">
      <w:bodyDiv w:val="1"/>
      <w:marLeft w:val="0"/>
      <w:marRight w:val="0"/>
      <w:marTop w:val="0"/>
      <w:marBottom w:val="0"/>
      <w:divBdr>
        <w:top w:val="none" w:sz="0" w:space="0" w:color="auto"/>
        <w:left w:val="none" w:sz="0" w:space="0" w:color="auto"/>
        <w:bottom w:val="none" w:sz="0" w:space="0" w:color="auto"/>
        <w:right w:val="none" w:sz="0" w:space="0" w:color="auto"/>
      </w:divBdr>
      <w:divsChild>
        <w:div w:id="657999787">
          <w:marLeft w:val="0"/>
          <w:marRight w:val="0"/>
          <w:marTop w:val="0"/>
          <w:marBottom w:val="0"/>
          <w:divBdr>
            <w:top w:val="none" w:sz="0" w:space="0" w:color="auto"/>
            <w:left w:val="none" w:sz="0" w:space="0" w:color="auto"/>
            <w:bottom w:val="none" w:sz="0" w:space="0" w:color="auto"/>
            <w:right w:val="none" w:sz="0" w:space="0" w:color="auto"/>
          </w:divBdr>
        </w:div>
      </w:divsChild>
    </w:div>
    <w:div w:id="2034502032">
      <w:bodyDiv w:val="1"/>
      <w:marLeft w:val="0"/>
      <w:marRight w:val="0"/>
      <w:marTop w:val="0"/>
      <w:marBottom w:val="0"/>
      <w:divBdr>
        <w:top w:val="none" w:sz="0" w:space="0" w:color="auto"/>
        <w:left w:val="none" w:sz="0" w:space="0" w:color="auto"/>
        <w:bottom w:val="none" w:sz="0" w:space="0" w:color="auto"/>
        <w:right w:val="none" w:sz="0" w:space="0" w:color="auto"/>
      </w:divBdr>
      <w:divsChild>
        <w:div w:id="1837768863">
          <w:marLeft w:val="0"/>
          <w:marRight w:val="0"/>
          <w:marTop w:val="0"/>
          <w:marBottom w:val="0"/>
          <w:divBdr>
            <w:top w:val="none" w:sz="0" w:space="0" w:color="auto"/>
            <w:left w:val="none" w:sz="0" w:space="0" w:color="auto"/>
            <w:bottom w:val="dotted" w:sz="6" w:space="4" w:color="DDDDDD"/>
            <w:right w:val="none" w:sz="0" w:space="0" w:color="auto"/>
          </w:divBdr>
          <w:divsChild>
            <w:div w:id="180342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882617">
      <w:bodyDiv w:val="1"/>
      <w:marLeft w:val="0"/>
      <w:marRight w:val="0"/>
      <w:marTop w:val="0"/>
      <w:marBottom w:val="0"/>
      <w:divBdr>
        <w:top w:val="none" w:sz="0" w:space="0" w:color="auto"/>
        <w:left w:val="none" w:sz="0" w:space="0" w:color="auto"/>
        <w:bottom w:val="none" w:sz="0" w:space="0" w:color="auto"/>
        <w:right w:val="none" w:sz="0" w:space="0" w:color="auto"/>
      </w:divBdr>
      <w:divsChild>
        <w:div w:id="84884787">
          <w:marLeft w:val="0"/>
          <w:marRight w:val="0"/>
          <w:marTop w:val="150"/>
          <w:marBottom w:val="0"/>
          <w:divBdr>
            <w:top w:val="none" w:sz="0" w:space="0" w:color="auto"/>
            <w:left w:val="none" w:sz="0" w:space="0" w:color="auto"/>
            <w:bottom w:val="none" w:sz="0" w:space="0" w:color="auto"/>
            <w:right w:val="none" w:sz="0" w:space="0" w:color="auto"/>
          </w:divBdr>
          <w:divsChild>
            <w:div w:id="931088009">
              <w:marLeft w:val="0"/>
              <w:marRight w:val="0"/>
              <w:marTop w:val="0"/>
              <w:marBottom w:val="0"/>
              <w:divBdr>
                <w:top w:val="none" w:sz="0" w:space="0" w:color="auto"/>
                <w:left w:val="none" w:sz="0" w:space="0" w:color="auto"/>
                <w:bottom w:val="none" w:sz="0" w:space="0" w:color="auto"/>
                <w:right w:val="none" w:sz="0" w:space="0" w:color="auto"/>
              </w:divBdr>
              <w:divsChild>
                <w:div w:id="175697873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210458004">
          <w:marLeft w:val="0"/>
          <w:marRight w:val="0"/>
          <w:marTop w:val="0"/>
          <w:marBottom w:val="0"/>
          <w:divBdr>
            <w:top w:val="none" w:sz="0" w:space="0" w:color="auto"/>
            <w:left w:val="none" w:sz="0" w:space="0" w:color="auto"/>
            <w:bottom w:val="none" w:sz="0" w:space="0" w:color="auto"/>
            <w:right w:val="none" w:sz="0" w:space="0" w:color="auto"/>
          </w:divBdr>
          <w:divsChild>
            <w:div w:id="786041549">
              <w:marLeft w:val="0"/>
              <w:marRight w:val="0"/>
              <w:marTop w:val="0"/>
              <w:marBottom w:val="0"/>
              <w:divBdr>
                <w:top w:val="none" w:sz="0" w:space="0" w:color="auto"/>
                <w:left w:val="none" w:sz="0" w:space="0" w:color="auto"/>
                <w:bottom w:val="none" w:sz="0" w:space="0" w:color="auto"/>
                <w:right w:val="none" w:sz="0" w:space="0" w:color="auto"/>
              </w:divBdr>
            </w:div>
            <w:div w:id="1176654303">
              <w:marLeft w:val="0"/>
              <w:marRight w:val="0"/>
              <w:marTop w:val="0"/>
              <w:marBottom w:val="0"/>
              <w:divBdr>
                <w:top w:val="none" w:sz="0" w:space="0" w:color="auto"/>
                <w:left w:val="none" w:sz="0" w:space="0" w:color="auto"/>
                <w:bottom w:val="none" w:sz="0" w:space="0" w:color="auto"/>
                <w:right w:val="none" w:sz="0" w:space="0" w:color="auto"/>
              </w:divBdr>
              <w:divsChild>
                <w:div w:id="75711665">
                  <w:marLeft w:val="0"/>
                  <w:marRight w:val="0"/>
                  <w:marTop w:val="0"/>
                  <w:marBottom w:val="0"/>
                  <w:divBdr>
                    <w:top w:val="none" w:sz="0" w:space="0" w:color="auto"/>
                    <w:left w:val="none" w:sz="0" w:space="0" w:color="auto"/>
                    <w:bottom w:val="none" w:sz="0" w:space="0" w:color="auto"/>
                    <w:right w:val="none" w:sz="0" w:space="0" w:color="auto"/>
                  </w:divBdr>
                  <w:divsChild>
                    <w:div w:id="1522627972">
                      <w:marLeft w:val="0"/>
                      <w:marRight w:val="0"/>
                      <w:marTop w:val="0"/>
                      <w:marBottom w:val="0"/>
                      <w:divBdr>
                        <w:top w:val="single" w:sz="6" w:space="8" w:color="DEDEDE"/>
                        <w:left w:val="single" w:sz="6" w:space="8" w:color="DEDEDE"/>
                        <w:bottom w:val="single" w:sz="6" w:space="8" w:color="DEDEDE"/>
                        <w:right w:val="single" w:sz="6" w:space="8" w:color="DEDEDE"/>
                      </w:divBdr>
                      <w:divsChild>
                        <w:div w:id="1139764070">
                          <w:marLeft w:val="0"/>
                          <w:marRight w:val="0"/>
                          <w:marTop w:val="0"/>
                          <w:marBottom w:val="0"/>
                          <w:divBdr>
                            <w:top w:val="none" w:sz="0" w:space="0" w:color="auto"/>
                            <w:left w:val="none" w:sz="0" w:space="0" w:color="auto"/>
                            <w:bottom w:val="none" w:sz="0" w:space="0" w:color="auto"/>
                            <w:right w:val="none" w:sz="0" w:space="0" w:color="auto"/>
                          </w:divBdr>
                          <w:divsChild>
                            <w:div w:id="149148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25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884382">
      <w:bodyDiv w:val="1"/>
      <w:marLeft w:val="0"/>
      <w:marRight w:val="0"/>
      <w:marTop w:val="0"/>
      <w:marBottom w:val="0"/>
      <w:divBdr>
        <w:top w:val="none" w:sz="0" w:space="0" w:color="auto"/>
        <w:left w:val="none" w:sz="0" w:space="0" w:color="auto"/>
        <w:bottom w:val="none" w:sz="0" w:space="0" w:color="auto"/>
        <w:right w:val="none" w:sz="0" w:space="0" w:color="auto"/>
      </w:divBdr>
      <w:divsChild>
        <w:div w:id="1821539687">
          <w:marLeft w:val="0"/>
          <w:marRight w:val="0"/>
          <w:marTop w:val="0"/>
          <w:marBottom w:val="0"/>
          <w:divBdr>
            <w:top w:val="none" w:sz="0" w:space="0" w:color="auto"/>
            <w:left w:val="none" w:sz="0" w:space="0" w:color="auto"/>
            <w:bottom w:val="none" w:sz="0" w:space="0" w:color="auto"/>
            <w:right w:val="none" w:sz="0" w:space="0" w:color="auto"/>
          </w:divBdr>
          <w:divsChild>
            <w:div w:id="446125308">
              <w:marLeft w:val="0"/>
              <w:marRight w:val="0"/>
              <w:marTop w:val="0"/>
              <w:marBottom w:val="0"/>
              <w:divBdr>
                <w:top w:val="none" w:sz="0" w:space="0" w:color="auto"/>
                <w:left w:val="none" w:sz="0" w:space="0" w:color="auto"/>
                <w:bottom w:val="none" w:sz="0" w:space="0" w:color="auto"/>
                <w:right w:val="none" w:sz="0" w:space="0" w:color="auto"/>
              </w:divBdr>
              <w:divsChild>
                <w:div w:id="143354217">
                  <w:marLeft w:val="0"/>
                  <w:marRight w:val="0"/>
                  <w:marTop w:val="0"/>
                  <w:marBottom w:val="0"/>
                  <w:divBdr>
                    <w:top w:val="none" w:sz="0" w:space="0" w:color="auto"/>
                    <w:left w:val="none" w:sz="0" w:space="0" w:color="auto"/>
                    <w:bottom w:val="none" w:sz="0" w:space="0" w:color="auto"/>
                    <w:right w:val="none" w:sz="0" w:space="0" w:color="auto"/>
                  </w:divBdr>
                  <w:divsChild>
                    <w:div w:id="1771310778">
                      <w:marLeft w:val="0"/>
                      <w:marRight w:val="0"/>
                      <w:marTop w:val="0"/>
                      <w:marBottom w:val="0"/>
                      <w:divBdr>
                        <w:top w:val="none" w:sz="0" w:space="0" w:color="auto"/>
                        <w:left w:val="none" w:sz="0" w:space="0" w:color="auto"/>
                        <w:bottom w:val="none" w:sz="0" w:space="0" w:color="auto"/>
                        <w:right w:val="none" w:sz="0" w:space="0" w:color="auto"/>
                      </w:divBdr>
                      <w:divsChild>
                        <w:div w:id="814837207">
                          <w:marLeft w:val="0"/>
                          <w:marRight w:val="0"/>
                          <w:marTop w:val="0"/>
                          <w:marBottom w:val="0"/>
                          <w:divBdr>
                            <w:top w:val="none" w:sz="0" w:space="0" w:color="auto"/>
                            <w:left w:val="none" w:sz="0" w:space="0" w:color="auto"/>
                            <w:bottom w:val="none" w:sz="0" w:space="0" w:color="auto"/>
                            <w:right w:val="none" w:sz="0" w:space="0" w:color="auto"/>
                          </w:divBdr>
                          <w:divsChild>
                            <w:div w:id="1644963170">
                              <w:marLeft w:val="0"/>
                              <w:marRight w:val="0"/>
                              <w:marTop w:val="0"/>
                              <w:marBottom w:val="0"/>
                              <w:divBdr>
                                <w:top w:val="none" w:sz="0" w:space="0" w:color="auto"/>
                                <w:left w:val="none" w:sz="0" w:space="0" w:color="auto"/>
                                <w:bottom w:val="none" w:sz="0" w:space="0" w:color="auto"/>
                                <w:right w:val="none" w:sz="0" w:space="0" w:color="auto"/>
                              </w:divBdr>
                              <w:divsChild>
                                <w:div w:id="1845314921">
                                  <w:marLeft w:val="0"/>
                                  <w:marRight w:val="0"/>
                                  <w:marTop w:val="0"/>
                                  <w:marBottom w:val="0"/>
                                  <w:divBdr>
                                    <w:top w:val="none" w:sz="0" w:space="0" w:color="auto"/>
                                    <w:left w:val="none" w:sz="0" w:space="0" w:color="auto"/>
                                    <w:bottom w:val="none" w:sz="0" w:space="0" w:color="auto"/>
                                    <w:right w:val="none" w:sz="0" w:space="0" w:color="auto"/>
                                  </w:divBdr>
                                  <w:divsChild>
                                    <w:div w:id="137481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5884932">
      <w:bodyDiv w:val="1"/>
      <w:marLeft w:val="0"/>
      <w:marRight w:val="0"/>
      <w:marTop w:val="0"/>
      <w:marBottom w:val="0"/>
      <w:divBdr>
        <w:top w:val="none" w:sz="0" w:space="0" w:color="auto"/>
        <w:left w:val="none" w:sz="0" w:space="0" w:color="auto"/>
        <w:bottom w:val="none" w:sz="0" w:space="0" w:color="auto"/>
        <w:right w:val="none" w:sz="0" w:space="0" w:color="auto"/>
      </w:divBdr>
    </w:div>
    <w:div w:id="2036728372">
      <w:bodyDiv w:val="1"/>
      <w:marLeft w:val="0"/>
      <w:marRight w:val="0"/>
      <w:marTop w:val="0"/>
      <w:marBottom w:val="0"/>
      <w:divBdr>
        <w:top w:val="none" w:sz="0" w:space="0" w:color="auto"/>
        <w:left w:val="none" w:sz="0" w:space="0" w:color="auto"/>
        <w:bottom w:val="none" w:sz="0" w:space="0" w:color="auto"/>
        <w:right w:val="none" w:sz="0" w:space="0" w:color="auto"/>
      </w:divBdr>
      <w:divsChild>
        <w:div w:id="972095920">
          <w:marLeft w:val="0"/>
          <w:marRight w:val="0"/>
          <w:marTop w:val="0"/>
          <w:marBottom w:val="150"/>
          <w:divBdr>
            <w:top w:val="none" w:sz="0" w:space="0" w:color="auto"/>
            <w:left w:val="none" w:sz="0" w:space="0" w:color="auto"/>
            <w:bottom w:val="none" w:sz="0" w:space="0" w:color="auto"/>
            <w:right w:val="none" w:sz="0" w:space="0" w:color="auto"/>
          </w:divBdr>
          <w:divsChild>
            <w:div w:id="1442649391">
              <w:marLeft w:val="0"/>
              <w:marRight w:val="0"/>
              <w:marTop w:val="0"/>
              <w:marBottom w:val="0"/>
              <w:divBdr>
                <w:top w:val="none" w:sz="0" w:space="0" w:color="auto"/>
                <w:left w:val="none" w:sz="0" w:space="0" w:color="auto"/>
                <w:bottom w:val="none" w:sz="0" w:space="0" w:color="auto"/>
                <w:right w:val="none" w:sz="0" w:space="0" w:color="auto"/>
              </w:divBdr>
              <w:divsChild>
                <w:div w:id="155026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717438">
          <w:marLeft w:val="0"/>
          <w:marRight w:val="0"/>
          <w:marTop w:val="0"/>
          <w:marBottom w:val="150"/>
          <w:divBdr>
            <w:top w:val="none" w:sz="0" w:space="0" w:color="auto"/>
            <w:left w:val="none" w:sz="0" w:space="0" w:color="auto"/>
            <w:bottom w:val="none" w:sz="0" w:space="0" w:color="auto"/>
            <w:right w:val="none" w:sz="0" w:space="0" w:color="auto"/>
          </w:divBdr>
        </w:div>
        <w:div w:id="1701197754">
          <w:marLeft w:val="0"/>
          <w:marRight w:val="0"/>
          <w:marTop w:val="0"/>
          <w:marBottom w:val="0"/>
          <w:divBdr>
            <w:top w:val="none" w:sz="0" w:space="0" w:color="auto"/>
            <w:left w:val="none" w:sz="0" w:space="0" w:color="auto"/>
            <w:bottom w:val="none" w:sz="0" w:space="0" w:color="auto"/>
            <w:right w:val="none" w:sz="0" w:space="0" w:color="auto"/>
          </w:divBdr>
          <w:divsChild>
            <w:div w:id="16349429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37004280">
      <w:bodyDiv w:val="1"/>
      <w:marLeft w:val="0"/>
      <w:marRight w:val="0"/>
      <w:marTop w:val="0"/>
      <w:marBottom w:val="0"/>
      <w:divBdr>
        <w:top w:val="none" w:sz="0" w:space="0" w:color="auto"/>
        <w:left w:val="none" w:sz="0" w:space="0" w:color="auto"/>
        <w:bottom w:val="none" w:sz="0" w:space="0" w:color="auto"/>
        <w:right w:val="none" w:sz="0" w:space="0" w:color="auto"/>
      </w:divBdr>
    </w:div>
    <w:div w:id="2037733157">
      <w:bodyDiv w:val="1"/>
      <w:marLeft w:val="0"/>
      <w:marRight w:val="0"/>
      <w:marTop w:val="0"/>
      <w:marBottom w:val="0"/>
      <w:divBdr>
        <w:top w:val="none" w:sz="0" w:space="0" w:color="auto"/>
        <w:left w:val="none" w:sz="0" w:space="0" w:color="auto"/>
        <w:bottom w:val="none" w:sz="0" w:space="0" w:color="auto"/>
        <w:right w:val="none" w:sz="0" w:space="0" w:color="auto"/>
      </w:divBdr>
      <w:divsChild>
        <w:div w:id="758409156">
          <w:marLeft w:val="0"/>
          <w:marRight w:val="0"/>
          <w:marTop w:val="0"/>
          <w:marBottom w:val="150"/>
          <w:divBdr>
            <w:top w:val="none" w:sz="0" w:space="0" w:color="auto"/>
            <w:left w:val="none" w:sz="0" w:space="0" w:color="auto"/>
            <w:bottom w:val="none" w:sz="0" w:space="0" w:color="auto"/>
            <w:right w:val="none" w:sz="0" w:space="0" w:color="auto"/>
          </w:divBdr>
          <w:divsChild>
            <w:div w:id="1262495548">
              <w:marLeft w:val="0"/>
              <w:marRight w:val="0"/>
              <w:marTop w:val="0"/>
              <w:marBottom w:val="0"/>
              <w:divBdr>
                <w:top w:val="none" w:sz="0" w:space="0" w:color="auto"/>
                <w:left w:val="none" w:sz="0" w:space="0" w:color="auto"/>
                <w:bottom w:val="none" w:sz="0" w:space="0" w:color="auto"/>
                <w:right w:val="none" w:sz="0" w:space="0" w:color="auto"/>
              </w:divBdr>
              <w:divsChild>
                <w:div w:id="1711877495">
                  <w:marLeft w:val="0"/>
                  <w:marRight w:val="0"/>
                  <w:marTop w:val="0"/>
                  <w:marBottom w:val="0"/>
                  <w:divBdr>
                    <w:top w:val="none" w:sz="0" w:space="0" w:color="auto"/>
                    <w:left w:val="none" w:sz="0" w:space="0" w:color="auto"/>
                    <w:bottom w:val="none" w:sz="0" w:space="0" w:color="auto"/>
                    <w:right w:val="none" w:sz="0" w:space="0" w:color="auto"/>
                  </w:divBdr>
                  <w:divsChild>
                    <w:div w:id="1272281262">
                      <w:marLeft w:val="0"/>
                      <w:marRight w:val="150"/>
                      <w:marTop w:val="0"/>
                      <w:marBottom w:val="0"/>
                      <w:divBdr>
                        <w:top w:val="none" w:sz="0" w:space="0" w:color="auto"/>
                        <w:left w:val="none" w:sz="0" w:space="0" w:color="auto"/>
                        <w:bottom w:val="none" w:sz="0" w:space="0" w:color="auto"/>
                        <w:right w:val="none" w:sz="0" w:space="0" w:color="auto"/>
                      </w:divBdr>
                      <w:divsChild>
                        <w:div w:id="187769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966685">
          <w:marLeft w:val="0"/>
          <w:marRight w:val="0"/>
          <w:marTop w:val="0"/>
          <w:marBottom w:val="150"/>
          <w:divBdr>
            <w:top w:val="none" w:sz="0" w:space="0" w:color="auto"/>
            <w:left w:val="none" w:sz="0" w:space="0" w:color="auto"/>
            <w:bottom w:val="none" w:sz="0" w:space="0" w:color="auto"/>
            <w:right w:val="none" w:sz="0" w:space="0" w:color="auto"/>
          </w:divBdr>
        </w:div>
        <w:div w:id="728066532">
          <w:marLeft w:val="0"/>
          <w:marRight w:val="0"/>
          <w:marTop w:val="0"/>
          <w:marBottom w:val="0"/>
          <w:divBdr>
            <w:top w:val="none" w:sz="0" w:space="0" w:color="auto"/>
            <w:left w:val="none" w:sz="0" w:space="0" w:color="auto"/>
            <w:bottom w:val="none" w:sz="0" w:space="0" w:color="auto"/>
            <w:right w:val="none" w:sz="0" w:space="0" w:color="auto"/>
          </w:divBdr>
          <w:divsChild>
            <w:div w:id="74719097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37805008">
      <w:bodyDiv w:val="1"/>
      <w:marLeft w:val="0"/>
      <w:marRight w:val="0"/>
      <w:marTop w:val="0"/>
      <w:marBottom w:val="0"/>
      <w:divBdr>
        <w:top w:val="none" w:sz="0" w:space="0" w:color="auto"/>
        <w:left w:val="none" w:sz="0" w:space="0" w:color="auto"/>
        <w:bottom w:val="none" w:sz="0" w:space="0" w:color="auto"/>
        <w:right w:val="none" w:sz="0" w:space="0" w:color="auto"/>
      </w:divBdr>
      <w:divsChild>
        <w:div w:id="1724475693">
          <w:marLeft w:val="0"/>
          <w:marRight w:val="0"/>
          <w:marTop w:val="0"/>
          <w:marBottom w:val="0"/>
          <w:divBdr>
            <w:top w:val="none" w:sz="0" w:space="0" w:color="auto"/>
            <w:left w:val="none" w:sz="0" w:space="0" w:color="auto"/>
            <w:bottom w:val="dotted" w:sz="6" w:space="4" w:color="DDDDDD"/>
            <w:right w:val="none" w:sz="0" w:space="0" w:color="auto"/>
          </w:divBdr>
          <w:divsChild>
            <w:div w:id="133877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849737">
      <w:bodyDiv w:val="1"/>
      <w:marLeft w:val="0"/>
      <w:marRight w:val="0"/>
      <w:marTop w:val="0"/>
      <w:marBottom w:val="0"/>
      <w:divBdr>
        <w:top w:val="none" w:sz="0" w:space="0" w:color="auto"/>
        <w:left w:val="none" w:sz="0" w:space="0" w:color="auto"/>
        <w:bottom w:val="none" w:sz="0" w:space="0" w:color="auto"/>
        <w:right w:val="none" w:sz="0" w:space="0" w:color="auto"/>
      </w:divBdr>
      <w:divsChild>
        <w:div w:id="1497762603">
          <w:marLeft w:val="0"/>
          <w:marRight w:val="0"/>
          <w:marTop w:val="0"/>
          <w:marBottom w:val="0"/>
          <w:divBdr>
            <w:top w:val="none" w:sz="0" w:space="0" w:color="auto"/>
            <w:left w:val="none" w:sz="0" w:space="0" w:color="auto"/>
            <w:bottom w:val="dotted" w:sz="6" w:space="4" w:color="DDDDDD"/>
            <w:right w:val="none" w:sz="0" w:space="0" w:color="auto"/>
          </w:divBdr>
        </w:div>
      </w:divsChild>
    </w:div>
    <w:div w:id="2038116060">
      <w:bodyDiv w:val="1"/>
      <w:marLeft w:val="0"/>
      <w:marRight w:val="0"/>
      <w:marTop w:val="0"/>
      <w:marBottom w:val="0"/>
      <w:divBdr>
        <w:top w:val="none" w:sz="0" w:space="0" w:color="auto"/>
        <w:left w:val="none" w:sz="0" w:space="0" w:color="auto"/>
        <w:bottom w:val="none" w:sz="0" w:space="0" w:color="auto"/>
        <w:right w:val="none" w:sz="0" w:space="0" w:color="auto"/>
      </w:divBdr>
      <w:divsChild>
        <w:div w:id="1178080364">
          <w:marLeft w:val="0"/>
          <w:marRight w:val="0"/>
          <w:marTop w:val="0"/>
          <w:marBottom w:val="0"/>
          <w:divBdr>
            <w:top w:val="none" w:sz="0" w:space="0" w:color="auto"/>
            <w:left w:val="none" w:sz="0" w:space="0" w:color="auto"/>
            <w:bottom w:val="none" w:sz="0" w:space="0" w:color="auto"/>
            <w:right w:val="none" w:sz="0" w:space="0" w:color="auto"/>
          </w:divBdr>
          <w:divsChild>
            <w:div w:id="2035956388">
              <w:marLeft w:val="0"/>
              <w:marRight w:val="0"/>
              <w:marTop w:val="0"/>
              <w:marBottom w:val="0"/>
              <w:divBdr>
                <w:top w:val="none" w:sz="0" w:space="0" w:color="auto"/>
                <w:left w:val="none" w:sz="0" w:space="0" w:color="auto"/>
                <w:bottom w:val="none" w:sz="0" w:space="0" w:color="auto"/>
                <w:right w:val="none" w:sz="0" w:space="0" w:color="auto"/>
              </w:divBdr>
              <w:divsChild>
                <w:div w:id="1620641976">
                  <w:marLeft w:val="0"/>
                  <w:marRight w:val="0"/>
                  <w:marTop w:val="0"/>
                  <w:marBottom w:val="0"/>
                  <w:divBdr>
                    <w:top w:val="none" w:sz="0" w:space="0" w:color="auto"/>
                    <w:left w:val="none" w:sz="0" w:space="0" w:color="auto"/>
                    <w:bottom w:val="none" w:sz="0" w:space="0" w:color="auto"/>
                    <w:right w:val="none" w:sz="0" w:space="0" w:color="auto"/>
                  </w:divBdr>
                  <w:divsChild>
                    <w:div w:id="1392194783">
                      <w:marLeft w:val="0"/>
                      <w:marRight w:val="0"/>
                      <w:marTop w:val="0"/>
                      <w:marBottom w:val="0"/>
                      <w:divBdr>
                        <w:top w:val="none" w:sz="0" w:space="0" w:color="auto"/>
                        <w:left w:val="none" w:sz="0" w:space="0" w:color="auto"/>
                        <w:bottom w:val="none" w:sz="0" w:space="0" w:color="auto"/>
                        <w:right w:val="none" w:sz="0" w:space="0" w:color="auto"/>
                      </w:divBdr>
                      <w:divsChild>
                        <w:div w:id="1730422342">
                          <w:marLeft w:val="0"/>
                          <w:marRight w:val="0"/>
                          <w:marTop w:val="0"/>
                          <w:marBottom w:val="0"/>
                          <w:divBdr>
                            <w:top w:val="none" w:sz="0" w:space="0" w:color="auto"/>
                            <w:left w:val="none" w:sz="0" w:space="0" w:color="auto"/>
                            <w:bottom w:val="none" w:sz="0" w:space="0" w:color="auto"/>
                            <w:right w:val="none" w:sz="0" w:space="0" w:color="auto"/>
                          </w:divBdr>
                          <w:divsChild>
                            <w:div w:id="53662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314961">
      <w:bodyDiv w:val="1"/>
      <w:marLeft w:val="0"/>
      <w:marRight w:val="0"/>
      <w:marTop w:val="0"/>
      <w:marBottom w:val="0"/>
      <w:divBdr>
        <w:top w:val="none" w:sz="0" w:space="0" w:color="auto"/>
        <w:left w:val="none" w:sz="0" w:space="0" w:color="auto"/>
        <w:bottom w:val="none" w:sz="0" w:space="0" w:color="auto"/>
        <w:right w:val="none" w:sz="0" w:space="0" w:color="auto"/>
      </w:divBdr>
      <w:divsChild>
        <w:div w:id="158927525">
          <w:marLeft w:val="0"/>
          <w:marRight w:val="0"/>
          <w:marTop w:val="0"/>
          <w:marBottom w:val="0"/>
          <w:divBdr>
            <w:top w:val="none" w:sz="0" w:space="0" w:color="auto"/>
            <w:left w:val="none" w:sz="0" w:space="0" w:color="auto"/>
            <w:bottom w:val="none" w:sz="0" w:space="0" w:color="auto"/>
            <w:right w:val="none" w:sz="0" w:space="0" w:color="auto"/>
          </w:divBdr>
        </w:div>
      </w:divsChild>
    </w:div>
    <w:div w:id="2038390316">
      <w:bodyDiv w:val="1"/>
      <w:marLeft w:val="0"/>
      <w:marRight w:val="0"/>
      <w:marTop w:val="0"/>
      <w:marBottom w:val="0"/>
      <w:divBdr>
        <w:top w:val="none" w:sz="0" w:space="0" w:color="auto"/>
        <w:left w:val="none" w:sz="0" w:space="0" w:color="auto"/>
        <w:bottom w:val="none" w:sz="0" w:space="0" w:color="auto"/>
        <w:right w:val="none" w:sz="0" w:space="0" w:color="auto"/>
      </w:divBdr>
      <w:divsChild>
        <w:div w:id="1152259640">
          <w:marLeft w:val="0"/>
          <w:marRight w:val="0"/>
          <w:marTop w:val="0"/>
          <w:marBottom w:val="0"/>
          <w:divBdr>
            <w:top w:val="none" w:sz="0" w:space="0" w:color="auto"/>
            <w:left w:val="none" w:sz="0" w:space="0" w:color="auto"/>
            <w:bottom w:val="none" w:sz="0" w:space="0" w:color="auto"/>
            <w:right w:val="none" w:sz="0" w:space="0" w:color="auto"/>
          </w:divBdr>
          <w:divsChild>
            <w:div w:id="18051685">
              <w:marLeft w:val="0"/>
              <w:marRight w:val="0"/>
              <w:marTop w:val="0"/>
              <w:marBottom w:val="150"/>
              <w:divBdr>
                <w:top w:val="none" w:sz="0" w:space="0" w:color="auto"/>
                <w:left w:val="none" w:sz="0" w:space="0" w:color="auto"/>
                <w:bottom w:val="none" w:sz="0" w:space="0" w:color="auto"/>
                <w:right w:val="none" w:sz="0" w:space="0" w:color="auto"/>
              </w:divBdr>
            </w:div>
            <w:div w:id="407307420">
              <w:marLeft w:val="0"/>
              <w:marRight w:val="0"/>
              <w:marTop w:val="0"/>
              <w:marBottom w:val="0"/>
              <w:divBdr>
                <w:top w:val="none" w:sz="0" w:space="0" w:color="auto"/>
                <w:left w:val="none" w:sz="0" w:space="0" w:color="auto"/>
                <w:bottom w:val="none" w:sz="0" w:space="0" w:color="auto"/>
                <w:right w:val="none" w:sz="0" w:space="0" w:color="auto"/>
              </w:divBdr>
              <w:divsChild>
                <w:div w:id="800656876">
                  <w:marLeft w:val="0"/>
                  <w:marRight w:val="0"/>
                  <w:marTop w:val="0"/>
                  <w:marBottom w:val="0"/>
                  <w:divBdr>
                    <w:top w:val="none" w:sz="0" w:space="0" w:color="auto"/>
                    <w:left w:val="none" w:sz="0" w:space="0" w:color="auto"/>
                    <w:bottom w:val="none" w:sz="0" w:space="0" w:color="auto"/>
                    <w:right w:val="none" w:sz="0" w:space="0" w:color="auto"/>
                  </w:divBdr>
                </w:div>
              </w:divsChild>
            </w:div>
            <w:div w:id="694582152">
              <w:marLeft w:val="0"/>
              <w:marRight w:val="0"/>
              <w:marTop w:val="300"/>
              <w:marBottom w:val="0"/>
              <w:divBdr>
                <w:top w:val="none" w:sz="0" w:space="0" w:color="auto"/>
                <w:left w:val="none" w:sz="0" w:space="0" w:color="auto"/>
                <w:bottom w:val="none" w:sz="0" w:space="0" w:color="auto"/>
                <w:right w:val="none" w:sz="0" w:space="0" w:color="auto"/>
              </w:divBdr>
              <w:divsChild>
                <w:div w:id="1789355083">
                  <w:marLeft w:val="0"/>
                  <w:marRight w:val="299"/>
                  <w:marTop w:val="0"/>
                  <w:marBottom w:val="0"/>
                  <w:divBdr>
                    <w:top w:val="none" w:sz="0" w:space="0" w:color="auto"/>
                    <w:left w:val="none" w:sz="0" w:space="0" w:color="auto"/>
                    <w:bottom w:val="none" w:sz="0" w:space="0" w:color="auto"/>
                    <w:right w:val="none" w:sz="0" w:space="0" w:color="auto"/>
                  </w:divBdr>
                </w:div>
              </w:divsChild>
            </w:div>
          </w:divsChild>
        </w:div>
      </w:divsChild>
    </w:div>
    <w:div w:id="2038698750">
      <w:bodyDiv w:val="1"/>
      <w:marLeft w:val="0"/>
      <w:marRight w:val="0"/>
      <w:marTop w:val="0"/>
      <w:marBottom w:val="0"/>
      <w:divBdr>
        <w:top w:val="none" w:sz="0" w:space="0" w:color="auto"/>
        <w:left w:val="none" w:sz="0" w:space="0" w:color="auto"/>
        <w:bottom w:val="none" w:sz="0" w:space="0" w:color="auto"/>
        <w:right w:val="none" w:sz="0" w:space="0" w:color="auto"/>
      </w:divBdr>
      <w:divsChild>
        <w:div w:id="1488088191">
          <w:marLeft w:val="0"/>
          <w:marRight w:val="0"/>
          <w:marTop w:val="0"/>
          <w:marBottom w:val="0"/>
          <w:divBdr>
            <w:top w:val="none" w:sz="0" w:space="0" w:color="auto"/>
            <w:left w:val="none" w:sz="0" w:space="0" w:color="auto"/>
            <w:bottom w:val="none" w:sz="0" w:space="0" w:color="auto"/>
            <w:right w:val="none" w:sz="0" w:space="0" w:color="auto"/>
          </w:divBdr>
          <w:divsChild>
            <w:div w:id="1986658726">
              <w:marLeft w:val="0"/>
              <w:marRight w:val="0"/>
              <w:marTop w:val="0"/>
              <w:marBottom w:val="0"/>
              <w:divBdr>
                <w:top w:val="none" w:sz="0" w:space="0" w:color="auto"/>
                <w:left w:val="none" w:sz="0" w:space="0" w:color="auto"/>
                <w:bottom w:val="none" w:sz="0" w:space="0" w:color="auto"/>
                <w:right w:val="none" w:sz="0" w:space="0" w:color="auto"/>
              </w:divBdr>
              <w:divsChild>
                <w:div w:id="605500896">
                  <w:marLeft w:val="0"/>
                  <w:marRight w:val="0"/>
                  <w:marTop w:val="0"/>
                  <w:marBottom w:val="0"/>
                  <w:divBdr>
                    <w:top w:val="none" w:sz="0" w:space="0" w:color="auto"/>
                    <w:left w:val="none" w:sz="0" w:space="0" w:color="auto"/>
                    <w:bottom w:val="none" w:sz="0" w:space="0" w:color="auto"/>
                    <w:right w:val="none" w:sz="0" w:space="0" w:color="auto"/>
                  </w:divBdr>
                  <w:divsChild>
                    <w:div w:id="1662806778">
                      <w:marLeft w:val="0"/>
                      <w:marRight w:val="0"/>
                      <w:marTop w:val="0"/>
                      <w:marBottom w:val="0"/>
                      <w:divBdr>
                        <w:top w:val="none" w:sz="0" w:space="0" w:color="auto"/>
                        <w:left w:val="none" w:sz="0" w:space="0" w:color="auto"/>
                        <w:bottom w:val="none" w:sz="0" w:space="0" w:color="auto"/>
                        <w:right w:val="none" w:sz="0" w:space="0" w:color="auto"/>
                      </w:divBdr>
                      <w:divsChild>
                        <w:div w:id="1929802829">
                          <w:marLeft w:val="0"/>
                          <w:marRight w:val="0"/>
                          <w:marTop w:val="0"/>
                          <w:marBottom w:val="0"/>
                          <w:divBdr>
                            <w:top w:val="none" w:sz="0" w:space="0" w:color="auto"/>
                            <w:left w:val="none" w:sz="0" w:space="0" w:color="auto"/>
                            <w:bottom w:val="none" w:sz="0" w:space="0" w:color="auto"/>
                            <w:right w:val="none" w:sz="0" w:space="0" w:color="auto"/>
                          </w:divBdr>
                          <w:divsChild>
                            <w:div w:id="380250338">
                              <w:marLeft w:val="0"/>
                              <w:marRight w:val="0"/>
                              <w:marTop w:val="0"/>
                              <w:marBottom w:val="0"/>
                              <w:divBdr>
                                <w:top w:val="none" w:sz="0" w:space="0" w:color="auto"/>
                                <w:left w:val="none" w:sz="0" w:space="0" w:color="auto"/>
                                <w:bottom w:val="none" w:sz="0" w:space="0" w:color="auto"/>
                                <w:right w:val="none" w:sz="0" w:space="0" w:color="auto"/>
                              </w:divBdr>
                              <w:divsChild>
                                <w:div w:id="1683123415">
                                  <w:marLeft w:val="0"/>
                                  <w:marRight w:val="0"/>
                                  <w:marTop w:val="0"/>
                                  <w:marBottom w:val="0"/>
                                  <w:divBdr>
                                    <w:top w:val="none" w:sz="0" w:space="0" w:color="auto"/>
                                    <w:left w:val="none" w:sz="0" w:space="0" w:color="auto"/>
                                    <w:bottom w:val="none" w:sz="0" w:space="0" w:color="auto"/>
                                    <w:right w:val="none" w:sz="0" w:space="0" w:color="auto"/>
                                  </w:divBdr>
                                  <w:divsChild>
                                    <w:div w:id="1734965743">
                                      <w:marLeft w:val="0"/>
                                      <w:marRight w:val="0"/>
                                      <w:marTop w:val="0"/>
                                      <w:marBottom w:val="0"/>
                                      <w:divBdr>
                                        <w:top w:val="none" w:sz="0" w:space="0" w:color="auto"/>
                                        <w:left w:val="none" w:sz="0" w:space="0" w:color="auto"/>
                                        <w:bottom w:val="none" w:sz="0" w:space="0" w:color="auto"/>
                                        <w:right w:val="none" w:sz="0" w:space="0" w:color="auto"/>
                                      </w:divBdr>
                                      <w:divsChild>
                                        <w:div w:id="66953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9381484">
      <w:bodyDiv w:val="1"/>
      <w:marLeft w:val="0"/>
      <w:marRight w:val="0"/>
      <w:marTop w:val="0"/>
      <w:marBottom w:val="0"/>
      <w:divBdr>
        <w:top w:val="none" w:sz="0" w:space="0" w:color="auto"/>
        <w:left w:val="none" w:sz="0" w:space="0" w:color="auto"/>
        <w:bottom w:val="none" w:sz="0" w:space="0" w:color="auto"/>
        <w:right w:val="none" w:sz="0" w:space="0" w:color="auto"/>
      </w:divBdr>
      <w:divsChild>
        <w:div w:id="1146628592">
          <w:marLeft w:val="0"/>
          <w:marRight w:val="0"/>
          <w:marTop w:val="0"/>
          <w:marBottom w:val="150"/>
          <w:divBdr>
            <w:top w:val="none" w:sz="0" w:space="0" w:color="auto"/>
            <w:left w:val="none" w:sz="0" w:space="0" w:color="auto"/>
            <w:bottom w:val="none" w:sz="0" w:space="0" w:color="auto"/>
            <w:right w:val="none" w:sz="0" w:space="0" w:color="auto"/>
          </w:divBdr>
        </w:div>
      </w:divsChild>
    </w:div>
    <w:div w:id="2039423681">
      <w:bodyDiv w:val="1"/>
      <w:marLeft w:val="0"/>
      <w:marRight w:val="0"/>
      <w:marTop w:val="0"/>
      <w:marBottom w:val="0"/>
      <w:divBdr>
        <w:top w:val="none" w:sz="0" w:space="0" w:color="auto"/>
        <w:left w:val="none" w:sz="0" w:space="0" w:color="auto"/>
        <w:bottom w:val="none" w:sz="0" w:space="0" w:color="auto"/>
        <w:right w:val="none" w:sz="0" w:space="0" w:color="auto"/>
      </w:divBdr>
      <w:divsChild>
        <w:div w:id="969088736">
          <w:marLeft w:val="0"/>
          <w:marRight w:val="0"/>
          <w:marTop w:val="0"/>
          <w:marBottom w:val="150"/>
          <w:divBdr>
            <w:top w:val="none" w:sz="0" w:space="0" w:color="auto"/>
            <w:left w:val="none" w:sz="0" w:space="0" w:color="auto"/>
            <w:bottom w:val="none" w:sz="0" w:space="0" w:color="auto"/>
            <w:right w:val="none" w:sz="0" w:space="0" w:color="auto"/>
          </w:divBdr>
          <w:divsChild>
            <w:div w:id="1825469336">
              <w:marLeft w:val="0"/>
              <w:marRight w:val="0"/>
              <w:marTop w:val="0"/>
              <w:marBottom w:val="0"/>
              <w:divBdr>
                <w:top w:val="none" w:sz="0" w:space="0" w:color="auto"/>
                <w:left w:val="none" w:sz="0" w:space="0" w:color="auto"/>
                <w:bottom w:val="none" w:sz="0" w:space="0" w:color="auto"/>
                <w:right w:val="none" w:sz="0" w:space="0" w:color="auto"/>
              </w:divBdr>
              <w:divsChild>
                <w:div w:id="126958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900432">
          <w:marLeft w:val="0"/>
          <w:marRight w:val="0"/>
          <w:marTop w:val="0"/>
          <w:marBottom w:val="150"/>
          <w:divBdr>
            <w:top w:val="none" w:sz="0" w:space="0" w:color="auto"/>
            <w:left w:val="none" w:sz="0" w:space="0" w:color="auto"/>
            <w:bottom w:val="none" w:sz="0" w:space="0" w:color="auto"/>
            <w:right w:val="none" w:sz="0" w:space="0" w:color="auto"/>
          </w:divBdr>
        </w:div>
        <w:div w:id="1534927541">
          <w:marLeft w:val="0"/>
          <w:marRight w:val="0"/>
          <w:marTop w:val="0"/>
          <w:marBottom w:val="0"/>
          <w:divBdr>
            <w:top w:val="none" w:sz="0" w:space="0" w:color="auto"/>
            <w:left w:val="none" w:sz="0" w:space="0" w:color="auto"/>
            <w:bottom w:val="none" w:sz="0" w:space="0" w:color="auto"/>
            <w:right w:val="none" w:sz="0" w:space="0" w:color="auto"/>
          </w:divBdr>
          <w:divsChild>
            <w:div w:id="124711134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39890492">
      <w:bodyDiv w:val="1"/>
      <w:marLeft w:val="0"/>
      <w:marRight w:val="0"/>
      <w:marTop w:val="0"/>
      <w:marBottom w:val="0"/>
      <w:divBdr>
        <w:top w:val="none" w:sz="0" w:space="0" w:color="auto"/>
        <w:left w:val="none" w:sz="0" w:space="0" w:color="auto"/>
        <w:bottom w:val="none" w:sz="0" w:space="0" w:color="auto"/>
        <w:right w:val="none" w:sz="0" w:space="0" w:color="auto"/>
      </w:divBdr>
      <w:divsChild>
        <w:div w:id="900404705">
          <w:marLeft w:val="0"/>
          <w:marRight w:val="0"/>
          <w:marTop w:val="0"/>
          <w:marBottom w:val="150"/>
          <w:divBdr>
            <w:top w:val="none" w:sz="0" w:space="0" w:color="auto"/>
            <w:left w:val="none" w:sz="0" w:space="0" w:color="auto"/>
            <w:bottom w:val="none" w:sz="0" w:space="0" w:color="auto"/>
            <w:right w:val="none" w:sz="0" w:space="0" w:color="auto"/>
          </w:divBdr>
        </w:div>
      </w:divsChild>
    </w:div>
    <w:div w:id="2039966942">
      <w:bodyDiv w:val="1"/>
      <w:marLeft w:val="0"/>
      <w:marRight w:val="0"/>
      <w:marTop w:val="0"/>
      <w:marBottom w:val="0"/>
      <w:divBdr>
        <w:top w:val="none" w:sz="0" w:space="0" w:color="auto"/>
        <w:left w:val="none" w:sz="0" w:space="0" w:color="auto"/>
        <w:bottom w:val="none" w:sz="0" w:space="0" w:color="auto"/>
        <w:right w:val="none" w:sz="0" w:space="0" w:color="auto"/>
      </w:divBdr>
      <w:divsChild>
        <w:div w:id="785929372">
          <w:marLeft w:val="0"/>
          <w:marRight w:val="0"/>
          <w:marTop w:val="0"/>
          <w:marBottom w:val="0"/>
          <w:divBdr>
            <w:top w:val="none" w:sz="0" w:space="0" w:color="auto"/>
            <w:left w:val="none" w:sz="0" w:space="0" w:color="auto"/>
            <w:bottom w:val="none" w:sz="0" w:space="0" w:color="auto"/>
            <w:right w:val="none" w:sz="0" w:space="0" w:color="auto"/>
          </w:divBdr>
        </w:div>
      </w:divsChild>
    </w:div>
    <w:div w:id="2040012152">
      <w:bodyDiv w:val="1"/>
      <w:marLeft w:val="0"/>
      <w:marRight w:val="0"/>
      <w:marTop w:val="0"/>
      <w:marBottom w:val="0"/>
      <w:divBdr>
        <w:top w:val="none" w:sz="0" w:space="0" w:color="auto"/>
        <w:left w:val="none" w:sz="0" w:space="0" w:color="auto"/>
        <w:bottom w:val="none" w:sz="0" w:space="0" w:color="auto"/>
        <w:right w:val="none" w:sz="0" w:space="0" w:color="auto"/>
      </w:divBdr>
    </w:div>
    <w:div w:id="2040398711">
      <w:bodyDiv w:val="1"/>
      <w:marLeft w:val="0"/>
      <w:marRight w:val="0"/>
      <w:marTop w:val="0"/>
      <w:marBottom w:val="0"/>
      <w:divBdr>
        <w:top w:val="none" w:sz="0" w:space="0" w:color="auto"/>
        <w:left w:val="none" w:sz="0" w:space="0" w:color="auto"/>
        <w:bottom w:val="none" w:sz="0" w:space="0" w:color="auto"/>
        <w:right w:val="none" w:sz="0" w:space="0" w:color="auto"/>
      </w:divBdr>
      <w:divsChild>
        <w:div w:id="46729617">
          <w:marLeft w:val="0"/>
          <w:marRight w:val="0"/>
          <w:marTop w:val="0"/>
          <w:marBottom w:val="0"/>
          <w:divBdr>
            <w:top w:val="none" w:sz="0" w:space="0" w:color="auto"/>
            <w:left w:val="none" w:sz="0" w:space="0" w:color="auto"/>
            <w:bottom w:val="none" w:sz="0" w:space="0" w:color="auto"/>
            <w:right w:val="none" w:sz="0" w:space="0" w:color="auto"/>
          </w:divBdr>
        </w:div>
      </w:divsChild>
    </w:div>
    <w:div w:id="2041003303">
      <w:bodyDiv w:val="1"/>
      <w:marLeft w:val="0"/>
      <w:marRight w:val="0"/>
      <w:marTop w:val="0"/>
      <w:marBottom w:val="0"/>
      <w:divBdr>
        <w:top w:val="none" w:sz="0" w:space="0" w:color="auto"/>
        <w:left w:val="none" w:sz="0" w:space="0" w:color="auto"/>
        <w:bottom w:val="none" w:sz="0" w:space="0" w:color="auto"/>
        <w:right w:val="none" w:sz="0" w:space="0" w:color="auto"/>
      </w:divBdr>
      <w:divsChild>
        <w:div w:id="1442455127">
          <w:marLeft w:val="0"/>
          <w:marRight w:val="0"/>
          <w:marTop w:val="0"/>
          <w:marBottom w:val="0"/>
          <w:divBdr>
            <w:top w:val="none" w:sz="0" w:space="0" w:color="auto"/>
            <w:left w:val="none" w:sz="0" w:space="0" w:color="auto"/>
            <w:bottom w:val="dotted" w:sz="6" w:space="4" w:color="DDDDDD"/>
            <w:right w:val="none" w:sz="0" w:space="0" w:color="auto"/>
          </w:divBdr>
          <w:divsChild>
            <w:div w:id="34540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04629">
      <w:bodyDiv w:val="1"/>
      <w:marLeft w:val="0"/>
      <w:marRight w:val="0"/>
      <w:marTop w:val="0"/>
      <w:marBottom w:val="0"/>
      <w:divBdr>
        <w:top w:val="none" w:sz="0" w:space="0" w:color="auto"/>
        <w:left w:val="none" w:sz="0" w:space="0" w:color="auto"/>
        <w:bottom w:val="none" w:sz="0" w:space="0" w:color="auto"/>
        <w:right w:val="none" w:sz="0" w:space="0" w:color="auto"/>
      </w:divBdr>
      <w:divsChild>
        <w:div w:id="173307789">
          <w:marLeft w:val="0"/>
          <w:marRight w:val="0"/>
          <w:marTop w:val="0"/>
          <w:marBottom w:val="0"/>
          <w:divBdr>
            <w:top w:val="none" w:sz="0" w:space="0" w:color="auto"/>
            <w:left w:val="none" w:sz="0" w:space="0" w:color="auto"/>
            <w:bottom w:val="dotted" w:sz="6" w:space="4" w:color="DDDDDD"/>
            <w:right w:val="none" w:sz="0" w:space="0" w:color="auto"/>
          </w:divBdr>
          <w:divsChild>
            <w:div w:id="34020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09779">
      <w:bodyDiv w:val="1"/>
      <w:marLeft w:val="0"/>
      <w:marRight w:val="0"/>
      <w:marTop w:val="0"/>
      <w:marBottom w:val="0"/>
      <w:divBdr>
        <w:top w:val="none" w:sz="0" w:space="0" w:color="auto"/>
        <w:left w:val="none" w:sz="0" w:space="0" w:color="auto"/>
        <w:bottom w:val="none" w:sz="0" w:space="0" w:color="auto"/>
        <w:right w:val="none" w:sz="0" w:space="0" w:color="auto"/>
      </w:divBdr>
      <w:divsChild>
        <w:div w:id="1266577309">
          <w:marLeft w:val="0"/>
          <w:marRight w:val="0"/>
          <w:marTop w:val="0"/>
          <w:marBottom w:val="0"/>
          <w:divBdr>
            <w:top w:val="none" w:sz="0" w:space="0" w:color="auto"/>
            <w:left w:val="none" w:sz="0" w:space="0" w:color="auto"/>
            <w:bottom w:val="none" w:sz="0" w:space="0" w:color="auto"/>
            <w:right w:val="none" w:sz="0" w:space="0" w:color="auto"/>
          </w:divBdr>
        </w:div>
      </w:divsChild>
    </w:div>
    <w:div w:id="2041396024">
      <w:bodyDiv w:val="1"/>
      <w:marLeft w:val="0"/>
      <w:marRight w:val="0"/>
      <w:marTop w:val="0"/>
      <w:marBottom w:val="0"/>
      <w:divBdr>
        <w:top w:val="none" w:sz="0" w:space="0" w:color="auto"/>
        <w:left w:val="none" w:sz="0" w:space="0" w:color="auto"/>
        <w:bottom w:val="none" w:sz="0" w:space="0" w:color="auto"/>
        <w:right w:val="none" w:sz="0" w:space="0" w:color="auto"/>
      </w:divBdr>
    </w:div>
    <w:div w:id="2041512820">
      <w:bodyDiv w:val="1"/>
      <w:marLeft w:val="0"/>
      <w:marRight w:val="0"/>
      <w:marTop w:val="0"/>
      <w:marBottom w:val="0"/>
      <w:divBdr>
        <w:top w:val="none" w:sz="0" w:space="0" w:color="auto"/>
        <w:left w:val="none" w:sz="0" w:space="0" w:color="auto"/>
        <w:bottom w:val="none" w:sz="0" w:space="0" w:color="auto"/>
        <w:right w:val="none" w:sz="0" w:space="0" w:color="auto"/>
      </w:divBdr>
      <w:divsChild>
        <w:div w:id="1386218159">
          <w:marLeft w:val="0"/>
          <w:marRight w:val="0"/>
          <w:marTop w:val="0"/>
          <w:marBottom w:val="0"/>
          <w:divBdr>
            <w:top w:val="none" w:sz="0" w:space="0" w:color="auto"/>
            <w:left w:val="none" w:sz="0" w:space="0" w:color="auto"/>
            <w:bottom w:val="dotted" w:sz="6" w:space="4" w:color="DDDDDD"/>
            <w:right w:val="none" w:sz="0" w:space="0" w:color="auto"/>
          </w:divBdr>
          <w:divsChild>
            <w:div w:id="138139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776931">
      <w:bodyDiv w:val="1"/>
      <w:marLeft w:val="0"/>
      <w:marRight w:val="0"/>
      <w:marTop w:val="0"/>
      <w:marBottom w:val="0"/>
      <w:divBdr>
        <w:top w:val="none" w:sz="0" w:space="0" w:color="auto"/>
        <w:left w:val="none" w:sz="0" w:space="0" w:color="auto"/>
        <w:bottom w:val="none" w:sz="0" w:space="0" w:color="auto"/>
        <w:right w:val="none" w:sz="0" w:space="0" w:color="auto"/>
      </w:divBdr>
      <w:divsChild>
        <w:div w:id="1667050919">
          <w:marLeft w:val="0"/>
          <w:marRight w:val="0"/>
          <w:marTop w:val="0"/>
          <w:marBottom w:val="0"/>
          <w:divBdr>
            <w:top w:val="none" w:sz="0" w:space="0" w:color="auto"/>
            <w:left w:val="none" w:sz="0" w:space="0" w:color="auto"/>
            <w:bottom w:val="none" w:sz="0" w:space="0" w:color="auto"/>
            <w:right w:val="none" w:sz="0" w:space="0" w:color="auto"/>
          </w:divBdr>
          <w:divsChild>
            <w:div w:id="66363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978702">
      <w:bodyDiv w:val="1"/>
      <w:marLeft w:val="0"/>
      <w:marRight w:val="0"/>
      <w:marTop w:val="0"/>
      <w:marBottom w:val="0"/>
      <w:divBdr>
        <w:top w:val="none" w:sz="0" w:space="0" w:color="auto"/>
        <w:left w:val="none" w:sz="0" w:space="0" w:color="auto"/>
        <w:bottom w:val="none" w:sz="0" w:space="0" w:color="auto"/>
        <w:right w:val="none" w:sz="0" w:space="0" w:color="auto"/>
      </w:divBdr>
      <w:divsChild>
        <w:div w:id="553469460">
          <w:marLeft w:val="0"/>
          <w:marRight w:val="0"/>
          <w:marTop w:val="0"/>
          <w:marBottom w:val="0"/>
          <w:divBdr>
            <w:top w:val="none" w:sz="0" w:space="0" w:color="auto"/>
            <w:left w:val="none" w:sz="0" w:space="0" w:color="auto"/>
            <w:bottom w:val="none" w:sz="0" w:space="0" w:color="auto"/>
            <w:right w:val="none" w:sz="0" w:space="0" w:color="auto"/>
          </w:divBdr>
          <w:divsChild>
            <w:div w:id="1032608285">
              <w:marLeft w:val="0"/>
              <w:marRight w:val="0"/>
              <w:marTop w:val="0"/>
              <w:marBottom w:val="0"/>
              <w:divBdr>
                <w:top w:val="none" w:sz="0" w:space="0" w:color="auto"/>
                <w:left w:val="none" w:sz="0" w:space="0" w:color="auto"/>
                <w:bottom w:val="none" w:sz="0" w:space="0" w:color="auto"/>
                <w:right w:val="none" w:sz="0" w:space="0" w:color="auto"/>
              </w:divBdr>
              <w:divsChild>
                <w:div w:id="356583329">
                  <w:marLeft w:val="0"/>
                  <w:marRight w:val="0"/>
                  <w:marTop w:val="0"/>
                  <w:marBottom w:val="0"/>
                  <w:divBdr>
                    <w:top w:val="none" w:sz="0" w:space="0" w:color="auto"/>
                    <w:left w:val="none" w:sz="0" w:space="0" w:color="auto"/>
                    <w:bottom w:val="none" w:sz="0" w:space="0" w:color="auto"/>
                    <w:right w:val="none" w:sz="0" w:space="0" w:color="auto"/>
                  </w:divBdr>
                  <w:divsChild>
                    <w:div w:id="1948729389">
                      <w:marLeft w:val="0"/>
                      <w:marRight w:val="0"/>
                      <w:marTop w:val="0"/>
                      <w:marBottom w:val="0"/>
                      <w:divBdr>
                        <w:top w:val="none" w:sz="0" w:space="0" w:color="auto"/>
                        <w:left w:val="none" w:sz="0" w:space="0" w:color="auto"/>
                        <w:bottom w:val="none" w:sz="0" w:space="0" w:color="auto"/>
                        <w:right w:val="none" w:sz="0" w:space="0" w:color="auto"/>
                      </w:divBdr>
                      <w:divsChild>
                        <w:div w:id="2138990379">
                          <w:marLeft w:val="0"/>
                          <w:marRight w:val="0"/>
                          <w:marTop w:val="0"/>
                          <w:marBottom w:val="0"/>
                          <w:divBdr>
                            <w:top w:val="none" w:sz="0" w:space="0" w:color="auto"/>
                            <w:left w:val="none" w:sz="0" w:space="0" w:color="auto"/>
                            <w:bottom w:val="none" w:sz="0" w:space="0" w:color="auto"/>
                            <w:right w:val="none" w:sz="0" w:space="0" w:color="auto"/>
                          </w:divBdr>
                          <w:divsChild>
                            <w:div w:id="1786387191">
                              <w:marLeft w:val="0"/>
                              <w:marRight w:val="0"/>
                              <w:marTop w:val="0"/>
                              <w:marBottom w:val="0"/>
                              <w:divBdr>
                                <w:top w:val="none" w:sz="0" w:space="0" w:color="auto"/>
                                <w:left w:val="none" w:sz="0" w:space="0" w:color="auto"/>
                                <w:bottom w:val="none" w:sz="0" w:space="0" w:color="auto"/>
                                <w:right w:val="none" w:sz="0" w:space="0" w:color="auto"/>
                              </w:divBdr>
                              <w:divsChild>
                                <w:div w:id="1718622429">
                                  <w:marLeft w:val="0"/>
                                  <w:marRight w:val="0"/>
                                  <w:marTop w:val="0"/>
                                  <w:marBottom w:val="0"/>
                                  <w:divBdr>
                                    <w:top w:val="none" w:sz="0" w:space="0" w:color="auto"/>
                                    <w:left w:val="none" w:sz="0" w:space="0" w:color="auto"/>
                                    <w:bottom w:val="none" w:sz="0" w:space="0" w:color="auto"/>
                                    <w:right w:val="none" w:sz="0" w:space="0" w:color="auto"/>
                                  </w:divBdr>
                                  <w:divsChild>
                                    <w:div w:id="24766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2705595">
      <w:bodyDiv w:val="1"/>
      <w:marLeft w:val="0"/>
      <w:marRight w:val="0"/>
      <w:marTop w:val="0"/>
      <w:marBottom w:val="0"/>
      <w:divBdr>
        <w:top w:val="none" w:sz="0" w:space="0" w:color="auto"/>
        <w:left w:val="none" w:sz="0" w:space="0" w:color="auto"/>
        <w:bottom w:val="none" w:sz="0" w:space="0" w:color="auto"/>
        <w:right w:val="none" w:sz="0" w:space="0" w:color="auto"/>
      </w:divBdr>
      <w:divsChild>
        <w:div w:id="352650318">
          <w:marLeft w:val="0"/>
          <w:marRight w:val="0"/>
          <w:marTop w:val="0"/>
          <w:marBottom w:val="0"/>
          <w:divBdr>
            <w:top w:val="none" w:sz="0" w:space="0" w:color="auto"/>
            <w:left w:val="none" w:sz="0" w:space="0" w:color="auto"/>
            <w:bottom w:val="none" w:sz="0" w:space="0" w:color="auto"/>
            <w:right w:val="none" w:sz="0" w:space="0" w:color="auto"/>
          </w:divBdr>
          <w:divsChild>
            <w:div w:id="1179154844">
              <w:marLeft w:val="0"/>
              <w:marRight w:val="0"/>
              <w:marTop w:val="0"/>
              <w:marBottom w:val="0"/>
              <w:divBdr>
                <w:top w:val="none" w:sz="0" w:space="0" w:color="auto"/>
                <w:left w:val="none" w:sz="0" w:space="0" w:color="auto"/>
                <w:bottom w:val="none" w:sz="0" w:space="0" w:color="auto"/>
                <w:right w:val="none" w:sz="0" w:space="0" w:color="auto"/>
              </w:divBdr>
            </w:div>
          </w:divsChild>
        </w:div>
        <w:div w:id="684014349">
          <w:marLeft w:val="0"/>
          <w:marRight w:val="0"/>
          <w:marTop w:val="240"/>
          <w:marBottom w:val="0"/>
          <w:divBdr>
            <w:top w:val="none" w:sz="0" w:space="0" w:color="auto"/>
            <w:left w:val="none" w:sz="0" w:space="0" w:color="auto"/>
            <w:bottom w:val="none" w:sz="0" w:space="0" w:color="auto"/>
            <w:right w:val="none" w:sz="0" w:space="0" w:color="auto"/>
          </w:divBdr>
        </w:div>
      </w:divsChild>
    </w:div>
    <w:div w:id="2042824259">
      <w:bodyDiv w:val="1"/>
      <w:marLeft w:val="0"/>
      <w:marRight w:val="0"/>
      <w:marTop w:val="0"/>
      <w:marBottom w:val="0"/>
      <w:divBdr>
        <w:top w:val="none" w:sz="0" w:space="0" w:color="auto"/>
        <w:left w:val="none" w:sz="0" w:space="0" w:color="auto"/>
        <w:bottom w:val="none" w:sz="0" w:space="0" w:color="auto"/>
        <w:right w:val="none" w:sz="0" w:space="0" w:color="auto"/>
      </w:divBdr>
    </w:div>
    <w:div w:id="2043020583">
      <w:bodyDiv w:val="1"/>
      <w:marLeft w:val="0"/>
      <w:marRight w:val="0"/>
      <w:marTop w:val="0"/>
      <w:marBottom w:val="0"/>
      <w:divBdr>
        <w:top w:val="none" w:sz="0" w:space="0" w:color="auto"/>
        <w:left w:val="none" w:sz="0" w:space="0" w:color="auto"/>
        <w:bottom w:val="none" w:sz="0" w:space="0" w:color="auto"/>
        <w:right w:val="none" w:sz="0" w:space="0" w:color="auto"/>
      </w:divBdr>
    </w:div>
    <w:div w:id="2043242904">
      <w:bodyDiv w:val="1"/>
      <w:marLeft w:val="0"/>
      <w:marRight w:val="0"/>
      <w:marTop w:val="0"/>
      <w:marBottom w:val="0"/>
      <w:divBdr>
        <w:top w:val="none" w:sz="0" w:space="0" w:color="auto"/>
        <w:left w:val="none" w:sz="0" w:space="0" w:color="auto"/>
        <w:bottom w:val="none" w:sz="0" w:space="0" w:color="auto"/>
        <w:right w:val="none" w:sz="0" w:space="0" w:color="auto"/>
      </w:divBdr>
      <w:divsChild>
        <w:div w:id="990913191">
          <w:marLeft w:val="0"/>
          <w:marRight w:val="0"/>
          <w:marTop w:val="0"/>
          <w:marBottom w:val="150"/>
          <w:divBdr>
            <w:top w:val="none" w:sz="0" w:space="0" w:color="auto"/>
            <w:left w:val="none" w:sz="0" w:space="0" w:color="auto"/>
            <w:bottom w:val="none" w:sz="0" w:space="0" w:color="auto"/>
            <w:right w:val="none" w:sz="0" w:space="0" w:color="auto"/>
          </w:divBdr>
          <w:divsChild>
            <w:div w:id="1469200873">
              <w:marLeft w:val="0"/>
              <w:marRight w:val="0"/>
              <w:marTop w:val="0"/>
              <w:marBottom w:val="0"/>
              <w:divBdr>
                <w:top w:val="none" w:sz="0" w:space="0" w:color="auto"/>
                <w:left w:val="none" w:sz="0" w:space="0" w:color="auto"/>
                <w:bottom w:val="none" w:sz="0" w:space="0" w:color="auto"/>
                <w:right w:val="none" w:sz="0" w:space="0" w:color="auto"/>
              </w:divBdr>
              <w:divsChild>
                <w:div w:id="84459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406665">
          <w:marLeft w:val="0"/>
          <w:marRight w:val="0"/>
          <w:marTop w:val="0"/>
          <w:marBottom w:val="150"/>
          <w:divBdr>
            <w:top w:val="none" w:sz="0" w:space="0" w:color="auto"/>
            <w:left w:val="none" w:sz="0" w:space="0" w:color="auto"/>
            <w:bottom w:val="none" w:sz="0" w:space="0" w:color="auto"/>
            <w:right w:val="none" w:sz="0" w:space="0" w:color="auto"/>
          </w:divBdr>
        </w:div>
        <w:div w:id="390423542">
          <w:marLeft w:val="0"/>
          <w:marRight w:val="0"/>
          <w:marTop w:val="0"/>
          <w:marBottom w:val="0"/>
          <w:divBdr>
            <w:top w:val="none" w:sz="0" w:space="0" w:color="auto"/>
            <w:left w:val="none" w:sz="0" w:space="0" w:color="auto"/>
            <w:bottom w:val="none" w:sz="0" w:space="0" w:color="auto"/>
            <w:right w:val="none" w:sz="0" w:space="0" w:color="auto"/>
          </w:divBdr>
          <w:divsChild>
            <w:div w:id="80111628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43820572">
      <w:bodyDiv w:val="1"/>
      <w:marLeft w:val="0"/>
      <w:marRight w:val="0"/>
      <w:marTop w:val="0"/>
      <w:marBottom w:val="0"/>
      <w:divBdr>
        <w:top w:val="none" w:sz="0" w:space="0" w:color="auto"/>
        <w:left w:val="none" w:sz="0" w:space="0" w:color="auto"/>
        <w:bottom w:val="none" w:sz="0" w:space="0" w:color="auto"/>
        <w:right w:val="none" w:sz="0" w:space="0" w:color="auto"/>
      </w:divBdr>
      <w:divsChild>
        <w:div w:id="274211996">
          <w:marLeft w:val="0"/>
          <w:marRight w:val="0"/>
          <w:marTop w:val="150"/>
          <w:marBottom w:val="0"/>
          <w:divBdr>
            <w:top w:val="none" w:sz="0" w:space="0" w:color="auto"/>
            <w:left w:val="none" w:sz="0" w:space="0" w:color="auto"/>
            <w:bottom w:val="none" w:sz="0" w:space="0" w:color="auto"/>
            <w:right w:val="none" w:sz="0" w:space="0" w:color="auto"/>
          </w:divBdr>
          <w:divsChild>
            <w:div w:id="98107626">
              <w:marLeft w:val="0"/>
              <w:marRight w:val="0"/>
              <w:marTop w:val="0"/>
              <w:marBottom w:val="0"/>
              <w:divBdr>
                <w:top w:val="none" w:sz="0" w:space="0" w:color="auto"/>
                <w:left w:val="none" w:sz="0" w:space="0" w:color="auto"/>
                <w:bottom w:val="none" w:sz="0" w:space="0" w:color="auto"/>
                <w:right w:val="none" w:sz="0" w:space="0" w:color="auto"/>
              </w:divBdr>
              <w:divsChild>
                <w:div w:id="998001272">
                  <w:marLeft w:val="75"/>
                  <w:marRight w:val="0"/>
                  <w:marTop w:val="0"/>
                  <w:marBottom w:val="0"/>
                  <w:divBdr>
                    <w:top w:val="none" w:sz="0" w:space="0" w:color="auto"/>
                    <w:left w:val="none" w:sz="0" w:space="0" w:color="auto"/>
                    <w:bottom w:val="none" w:sz="0" w:space="0" w:color="auto"/>
                    <w:right w:val="none" w:sz="0" w:space="0" w:color="auto"/>
                  </w:divBdr>
                </w:div>
                <w:div w:id="197860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427406">
          <w:marLeft w:val="0"/>
          <w:marRight w:val="0"/>
          <w:marTop w:val="0"/>
          <w:marBottom w:val="0"/>
          <w:divBdr>
            <w:top w:val="none" w:sz="0" w:space="0" w:color="auto"/>
            <w:left w:val="none" w:sz="0" w:space="0" w:color="auto"/>
            <w:bottom w:val="none" w:sz="0" w:space="0" w:color="auto"/>
            <w:right w:val="none" w:sz="0" w:space="0" w:color="auto"/>
          </w:divBdr>
          <w:divsChild>
            <w:div w:id="339818965">
              <w:marLeft w:val="0"/>
              <w:marRight w:val="0"/>
              <w:marTop w:val="0"/>
              <w:marBottom w:val="0"/>
              <w:divBdr>
                <w:top w:val="none" w:sz="0" w:space="0" w:color="auto"/>
                <w:left w:val="none" w:sz="0" w:space="0" w:color="auto"/>
                <w:bottom w:val="none" w:sz="0" w:space="0" w:color="auto"/>
                <w:right w:val="none" w:sz="0" w:space="0" w:color="auto"/>
              </w:divBdr>
            </w:div>
            <w:div w:id="912197435">
              <w:marLeft w:val="0"/>
              <w:marRight w:val="0"/>
              <w:marTop w:val="0"/>
              <w:marBottom w:val="0"/>
              <w:divBdr>
                <w:top w:val="none" w:sz="0" w:space="0" w:color="auto"/>
                <w:left w:val="none" w:sz="0" w:space="0" w:color="auto"/>
                <w:bottom w:val="none" w:sz="0" w:space="0" w:color="auto"/>
                <w:right w:val="none" w:sz="0" w:space="0" w:color="auto"/>
              </w:divBdr>
              <w:divsChild>
                <w:div w:id="1089425839">
                  <w:marLeft w:val="0"/>
                  <w:marRight w:val="0"/>
                  <w:marTop w:val="0"/>
                  <w:marBottom w:val="0"/>
                  <w:divBdr>
                    <w:top w:val="none" w:sz="0" w:space="0" w:color="auto"/>
                    <w:left w:val="none" w:sz="0" w:space="0" w:color="auto"/>
                    <w:bottom w:val="none" w:sz="0" w:space="0" w:color="auto"/>
                    <w:right w:val="none" w:sz="0" w:space="0" w:color="auto"/>
                  </w:divBdr>
                  <w:divsChild>
                    <w:div w:id="1499423979">
                      <w:marLeft w:val="0"/>
                      <w:marRight w:val="0"/>
                      <w:marTop w:val="0"/>
                      <w:marBottom w:val="0"/>
                      <w:divBdr>
                        <w:top w:val="none" w:sz="0" w:space="0" w:color="auto"/>
                        <w:left w:val="none" w:sz="0" w:space="0" w:color="auto"/>
                        <w:bottom w:val="none" w:sz="0" w:space="0" w:color="auto"/>
                        <w:right w:val="none" w:sz="0" w:space="0" w:color="auto"/>
                      </w:divBdr>
                      <w:divsChild>
                        <w:div w:id="1758867632">
                          <w:marLeft w:val="0"/>
                          <w:marRight w:val="0"/>
                          <w:marTop w:val="225"/>
                          <w:marBottom w:val="150"/>
                          <w:divBdr>
                            <w:top w:val="none" w:sz="0" w:space="4" w:color="auto"/>
                            <w:left w:val="none" w:sz="0" w:space="0" w:color="auto"/>
                            <w:bottom w:val="single" w:sz="6" w:space="4" w:color="CECECE"/>
                            <w:right w:val="none" w:sz="0" w:space="0" w:color="auto"/>
                          </w:divBdr>
                          <w:divsChild>
                            <w:div w:id="230191498">
                              <w:marLeft w:val="0"/>
                              <w:marRight w:val="0"/>
                              <w:marTop w:val="75"/>
                              <w:marBottom w:val="75"/>
                              <w:divBdr>
                                <w:top w:val="none" w:sz="0" w:space="0" w:color="auto"/>
                                <w:left w:val="none" w:sz="0" w:space="0" w:color="auto"/>
                                <w:bottom w:val="none" w:sz="0" w:space="0" w:color="auto"/>
                                <w:right w:val="none" w:sz="0" w:space="0" w:color="auto"/>
                              </w:divBdr>
                              <w:divsChild>
                                <w:div w:id="498736260">
                                  <w:marLeft w:val="0"/>
                                  <w:marRight w:val="0"/>
                                  <w:marTop w:val="45"/>
                                  <w:marBottom w:val="0"/>
                                  <w:divBdr>
                                    <w:top w:val="none" w:sz="0" w:space="0" w:color="auto"/>
                                    <w:left w:val="none" w:sz="0" w:space="0" w:color="auto"/>
                                    <w:bottom w:val="none" w:sz="0" w:space="0" w:color="auto"/>
                                    <w:right w:val="none" w:sz="0" w:space="0" w:color="auto"/>
                                  </w:divBdr>
                                </w:div>
                                <w:div w:id="1013649763">
                                  <w:marLeft w:val="0"/>
                                  <w:marRight w:val="135"/>
                                  <w:marTop w:val="0"/>
                                  <w:marBottom w:val="0"/>
                                  <w:divBdr>
                                    <w:top w:val="none" w:sz="0" w:space="0" w:color="auto"/>
                                    <w:left w:val="none" w:sz="0" w:space="0" w:color="auto"/>
                                    <w:bottom w:val="none" w:sz="0" w:space="0" w:color="auto"/>
                                    <w:right w:val="none" w:sz="0" w:space="0" w:color="auto"/>
                                  </w:divBdr>
                                </w:div>
                              </w:divsChild>
                            </w:div>
                            <w:div w:id="88914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895695">
      <w:bodyDiv w:val="1"/>
      <w:marLeft w:val="0"/>
      <w:marRight w:val="0"/>
      <w:marTop w:val="0"/>
      <w:marBottom w:val="0"/>
      <w:divBdr>
        <w:top w:val="none" w:sz="0" w:space="0" w:color="auto"/>
        <w:left w:val="none" w:sz="0" w:space="0" w:color="auto"/>
        <w:bottom w:val="none" w:sz="0" w:space="0" w:color="auto"/>
        <w:right w:val="none" w:sz="0" w:space="0" w:color="auto"/>
      </w:divBdr>
      <w:divsChild>
        <w:div w:id="850532113">
          <w:marLeft w:val="0"/>
          <w:marRight w:val="0"/>
          <w:marTop w:val="0"/>
          <w:marBottom w:val="0"/>
          <w:divBdr>
            <w:top w:val="none" w:sz="0" w:space="0" w:color="auto"/>
            <w:left w:val="none" w:sz="0" w:space="0" w:color="auto"/>
            <w:bottom w:val="dotted" w:sz="6" w:space="4" w:color="DDDDDD"/>
            <w:right w:val="none" w:sz="0" w:space="0" w:color="auto"/>
          </w:divBdr>
          <w:divsChild>
            <w:div w:id="18012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474865">
      <w:bodyDiv w:val="1"/>
      <w:marLeft w:val="0"/>
      <w:marRight w:val="0"/>
      <w:marTop w:val="0"/>
      <w:marBottom w:val="0"/>
      <w:divBdr>
        <w:top w:val="none" w:sz="0" w:space="0" w:color="auto"/>
        <w:left w:val="none" w:sz="0" w:space="0" w:color="auto"/>
        <w:bottom w:val="none" w:sz="0" w:space="0" w:color="auto"/>
        <w:right w:val="none" w:sz="0" w:space="0" w:color="auto"/>
      </w:divBdr>
      <w:divsChild>
        <w:div w:id="711347732">
          <w:marLeft w:val="0"/>
          <w:marRight w:val="0"/>
          <w:marTop w:val="0"/>
          <w:marBottom w:val="150"/>
          <w:divBdr>
            <w:top w:val="none" w:sz="0" w:space="0" w:color="auto"/>
            <w:left w:val="none" w:sz="0" w:space="0" w:color="auto"/>
            <w:bottom w:val="none" w:sz="0" w:space="0" w:color="auto"/>
            <w:right w:val="none" w:sz="0" w:space="0" w:color="auto"/>
          </w:divBdr>
        </w:div>
      </w:divsChild>
    </w:div>
    <w:div w:id="2044741769">
      <w:bodyDiv w:val="1"/>
      <w:marLeft w:val="0"/>
      <w:marRight w:val="0"/>
      <w:marTop w:val="0"/>
      <w:marBottom w:val="0"/>
      <w:divBdr>
        <w:top w:val="none" w:sz="0" w:space="0" w:color="auto"/>
        <w:left w:val="none" w:sz="0" w:space="0" w:color="auto"/>
        <w:bottom w:val="none" w:sz="0" w:space="0" w:color="auto"/>
        <w:right w:val="none" w:sz="0" w:space="0" w:color="auto"/>
      </w:divBdr>
      <w:divsChild>
        <w:div w:id="1087851485">
          <w:marLeft w:val="0"/>
          <w:marRight w:val="0"/>
          <w:marTop w:val="0"/>
          <w:marBottom w:val="0"/>
          <w:divBdr>
            <w:top w:val="none" w:sz="0" w:space="0" w:color="auto"/>
            <w:left w:val="none" w:sz="0" w:space="0" w:color="auto"/>
            <w:bottom w:val="dotted" w:sz="6" w:space="4" w:color="DDDDDD"/>
            <w:right w:val="none" w:sz="0" w:space="0" w:color="auto"/>
          </w:divBdr>
        </w:div>
      </w:divsChild>
    </w:div>
    <w:div w:id="2045203273">
      <w:bodyDiv w:val="1"/>
      <w:marLeft w:val="0"/>
      <w:marRight w:val="0"/>
      <w:marTop w:val="0"/>
      <w:marBottom w:val="0"/>
      <w:divBdr>
        <w:top w:val="none" w:sz="0" w:space="0" w:color="auto"/>
        <w:left w:val="none" w:sz="0" w:space="0" w:color="auto"/>
        <w:bottom w:val="none" w:sz="0" w:space="0" w:color="auto"/>
        <w:right w:val="none" w:sz="0" w:space="0" w:color="auto"/>
      </w:divBdr>
      <w:divsChild>
        <w:div w:id="224226168">
          <w:marLeft w:val="0"/>
          <w:marRight w:val="0"/>
          <w:marTop w:val="0"/>
          <w:marBottom w:val="150"/>
          <w:divBdr>
            <w:top w:val="none" w:sz="0" w:space="0" w:color="auto"/>
            <w:left w:val="none" w:sz="0" w:space="0" w:color="auto"/>
            <w:bottom w:val="none" w:sz="0" w:space="0" w:color="auto"/>
            <w:right w:val="none" w:sz="0" w:space="0" w:color="auto"/>
          </w:divBdr>
        </w:div>
        <w:div w:id="1153060876">
          <w:marLeft w:val="0"/>
          <w:marRight w:val="0"/>
          <w:marTop w:val="0"/>
          <w:marBottom w:val="150"/>
          <w:divBdr>
            <w:top w:val="none" w:sz="0" w:space="0" w:color="auto"/>
            <w:left w:val="none" w:sz="0" w:space="0" w:color="auto"/>
            <w:bottom w:val="none" w:sz="0" w:space="0" w:color="auto"/>
            <w:right w:val="none" w:sz="0" w:space="0" w:color="auto"/>
          </w:divBdr>
          <w:divsChild>
            <w:div w:id="56927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209702">
      <w:bodyDiv w:val="1"/>
      <w:marLeft w:val="0"/>
      <w:marRight w:val="0"/>
      <w:marTop w:val="0"/>
      <w:marBottom w:val="0"/>
      <w:divBdr>
        <w:top w:val="none" w:sz="0" w:space="0" w:color="auto"/>
        <w:left w:val="none" w:sz="0" w:space="0" w:color="auto"/>
        <w:bottom w:val="none" w:sz="0" w:space="0" w:color="auto"/>
        <w:right w:val="none" w:sz="0" w:space="0" w:color="auto"/>
      </w:divBdr>
    </w:div>
    <w:div w:id="2045715777">
      <w:bodyDiv w:val="1"/>
      <w:marLeft w:val="0"/>
      <w:marRight w:val="0"/>
      <w:marTop w:val="0"/>
      <w:marBottom w:val="0"/>
      <w:divBdr>
        <w:top w:val="none" w:sz="0" w:space="0" w:color="auto"/>
        <w:left w:val="none" w:sz="0" w:space="0" w:color="auto"/>
        <w:bottom w:val="none" w:sz="0" w:space="0" w:color="auto"/>
        <w:right w:val="none" w:sz="0" w:space="0" w:color="auto"/>
      </w:divBdr>
      <w:divsChild>
        <w:div w:id="1032146192">
          <w:marLeft w:val="0"/>
          <w:marRight w:val="0"/>
          <w:marTop w:val="0"/>
          <w:marBottom w:val="0"/>
          <w:divBdr>
            <w:top w:val="none" w:sz="0" w:space="0" w:color="auto"/>
            <w:left w:val="none" w:sz="0" w:space="0" w:color="auto"/>
            <w:bottom w:val="none" w:sz="0" w:space="0" w:color="auto"/>
            <w:right w:val="none" w:sz="0" w:space="0" w:color="auto"/>
          </w:divBdr>
          <w:divsChild>
            <w:div w:id="1019355270">
              <w:marLeft w:val="0"/>
              <w:marRight w:val="0"/>
              <w:marTop w:val="0"/>
              <w:marBottom w:val="0"/>
              <w:divBdr>
                <w:top w:val="none" w:sz="0" w:space="0" w:color="auto"/>
                <w:left w:val="none" w:sz="0" w:space="0" w:color="auto"/>
                <w:bottom w:val="none" w:sz="0" w:space="0" w:color="auto"/>
                <w:right w:val="none" w:sz="0" w:space="0" w:color="auto"/>
              </w:divBdr>
              <w:divsChild>
                <w:div w:id="1027218565">
                  <w:marLeft w:val="0"/>
                  <w:marRight w:val="0"/>
                  <w:marTop w:val="0"/>
                  <w:marBottom w:val="0"/>
                  <w:divBdr>
                    <w:top w:val="none" w:sz="0" w:space="0" w:color="auto"/>
                    <w:left w:val="none" w:sz="0" w:space="0" w:color="auto"/>
                    <w:bottom w:val="none" w:sz="0" w:space="0" w:color="auto"/>
                    <w:right w:val="none" w:sz="0" w:space="0" w:color="auto"/>
                  </w:divBdr>
                  <w:divsChild>
                    <w:div w:id="1852063036">
                      <w:marLeft w:val="0"/>
                      <w:marRight w:val="0"/>
                      <w:marTop w:val="0"/>
                      <w:marBottom w:val="0"/>
                      <w:divBdr>
                        <w:top w:val="none" w:sz="0" w:space="0" w:color="auto"/>
                        <w:left w:val="none" w:sz="0" w:space="0" w:color="auto"/>
                        <w:bottom w:val="none" w:sz="0" w:space="0" w:color="auto"/>
                        <w:right w:val="none" w:sz="0" w:space="0" w:color="auto"/>
                      </w:divBdr>
                      <w:divsChild>
                        <w:div w:id="1763330833">
                          <w:marLeft w:val="0"/>
                          <w:marRight w:val="0"/>
                          <w:marTop w:val="0"/>
                          <w:marBottom w:val="0"/>
                          <w:divBdr>
                            <w:top w:val="none" w:sz="0" w:space="0" w:color="auto"/>
                            <w:left w:val="none" w:sz="0" w:space="0" w:color="auto"/>
                            <w:bottom w:val="none" w:sz="0" w:space="0" w:color="auto"/>
                            <w:right w:val="none" w:sz="0" w:space="0" w:color="auto"/>
                          </w:divBdr>
                          <w:divsChild>
                            <w:div w:id="2069839529">
                              <w:marLeft w:val="0"/>
                              <w:marRight w:val="0"/>
                              <w:marTop w:val="0"/>
                              <w:marBottom w:val="0"/>
                              <w:divBdr>
                                <w:top w:val="none" w:sz="0" w:space="0" w:color="auto"/>
                                <w:left w:val="none" w:sz="0" w:space="0" w:color="auto"/>
                                <w:bottom w:val="none" w:sz="0" w:space="0" w:color="auto"/>
                                <w:right w:val="none" w:sz="0" w:space="0" w:color="auto"/>
                              </w:divBdr>
                              <w:divsChild>
                                <w:div w:id="162093519">
                                  <w:marLeft w:val="0"/>
                                  <w:marRight w:val="0"/>
                                  <w:marTop w:val="0"/>
                                  <w:marBottom w:val="0"/>
                                  <w:divBdr>
                                    <w:top w:val="none" w:sz="0" w:space="0" w:color="auto"/>
                                    <w:left w:val="none" w:sz="0" w:space="0" w:color="auto"/>
                                    <w:bottom w:val="none" w:sz="0" w:space="0" w:color="auto"/>
                                    <w:right w:val="none" w:sz="0" w:space="0" w:color="auto"/>
                                  </w:divBdr>
                                  <w:divsChild>
                                    <w:div w:id="50012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5906031">
      <w:bodyDiv w:val="1"/>
      <w:marLeft w:val="0"/>
      <w:marRight w:val="0"/>
      <w:marTop w:val="0"/>
      <w:marBottom w:val="0"/>
      <w:divBdr>
        <w:top w:val="none" w:sz="0" w:space="0" w:color="auto"/>
        <w:left w:val="none" w:sz="0" w:space="0" w:color="auto"/>
        <w:bottom w:val="none" w:sz="0" w:space="0" w:color="auto"/>
        <w:right w:val="none" w:sz="0" w:space="0" w:color="auto"/>
      </w:divBdr>
      <w:divsChild>
        <w:div w:id="1778522374">
          <w:marLeft w:val="0"/>
          <w:marRight w:val="0"/>
          <w:marTop w:val="0"/>
          <w:marBottom w:val="0"/>
          <w:divBdr>
            <w:top w:val="none" w:sz="0" w:space="0" w:color="auto"/>
            <w:left w:val="none" w:sz="0" w:space="0" w:color="auto"/>
            <w:bottom w:val="none" w:sz="0" w:space="0" w:color="auto"/>
            <w:right w:val="none" w:sz="0" w:space="0" w:color="auto"/>
          </w:divBdr>
          <w:divsChild>
            <w:div w:id="1337344498">
              <w:marLeft w:val="0"/>
              <w:marRight w:val="0"/>
              <w:marTop w:val="0"/>
              <w:marBottom w:val="0"/>
              <w:divBdr>
                <w:top w:val="none" w:sz="0" w:space="0" w:color="auto"/>
                <w:left w:val="none" w:sz="0" w:space="0" w:color="auto"/>
                <w:bottom w:val="none" w:sz="0" w:space="0" w:color="auto"/>
                <w:right w:val="none" w:sz="0" w:space="0" w:color="auto"/>
              </w:divBdr>
              <w:divsChild>
                <w:div w:id="1467355569">
                  <w:marLeft w:val="0"/>
                  <w:marRight w:val="0"/>
                  <w:marTop w:val="0"/>
                  <w:marBottom w:val="0"/>
                  <w:divBdr>
                    <w:top w:val="none" w:sz="0" w:space="0" w:color="auto"/>
                    <w:left w:val="none" w:sz="0" w:space="0" w:color="auto"/>
                    <w:bottom w:val="none" w:sz="0" w:space="0" w:color="auto"/>
                    <w:right w:val="none" w:sz="0" w:space="0" w:color="auto"/>
                  </w:divBdr>
                  <w:divsChild>
                    <w:div w:id="1512601701">
                      <w:marLeft w:val="0"/>
                      <w:marRight w:val="0"/>
                      <w:marTop w:val="0"/>
                      <w:marBottom w:val="300"/>
                      <w:divBdr>
                        <w:top w:val="none" w:sz="0" w:space="0" w:color="auto"/>
                        <w:left w:val="none" w:sz="0" w:space="0" w:color="auto"/>
                        <w:bottom w:val="none" w:sz="0" w:space="0" w:color="auto"/>
                        <w:right w:val="none" w:sz="0" w:space="0" w:color="auto"/>
                      </w:divBdr>
                      <w:divsChild>
                        <w:div w:id="991828863">
                          <w:marLeft w:val="0"/>
                          <w:marRight w:val="0"/>
                          <w:marTop w:val="0"/>
                          <w:marBottom w:val="225"/>
                          <w:divBdr>
                            <w:top w:val="single" w:sz="6" w:space="11" w:color="E5E5E5"/>
                            <w:left w:val="single" w:sz="6" w:space="11" w:color="E5E5E5"/>
                            <w:bottom w:val="single" w:sz="6" w:space="1" w:color="E5E5E5"/>
                            <w:right w:val="single" w:sz="6" w:space="11" w:color="E5E5E5"/>
                          </w:divBdr>
                          <w:divsChild>
                            <w:div w:id="1742212262">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2094889918">
          <w:marLeft w:val="0"/>
          <w:marRight w:val="0"/>
          <w:marTop w:val="0"/>
          <w:marBottom w:val="0"/>
          <w:divBdr>
            <w:top w:val="single" w:sz="6" w:space="0" w:color="E5E5E5"/>
            <w:left w:val="none" w:sz="0" w:space="0" w:color="auto"/>
            <w:bottom w:val="single" w:sz="18" w:space="0" w:color="000000"/>
            <w:right w:val="none" w:sz="0" w:space="0" w:color="auto"/>
          </w:divBdr>
          <w:divsChild>
            <w:div w:id="1009404526">
              <w:marLeft w:val="0"/>
              <w:marRight w:val="0"/>
              <w:marTop w:val="0"/>
              <w:marBottom w:val="0"/>
              <w:divBdr>
                <w:top w:val="none" w:sz="0" w:space="0" w:color="auto"/>
                <w:left w:val="none" w:sz="0" w:space="0" w:color="auto"/>
                <w:bottom w:val="none" w:sz="0" w:space="0" w:color="auto"/>
                <w:right w:val="none" w:sz="0" w:space="0" w:color="auto"/>
              </w:divBdr>
              <w:divsChild>
                <w:div w:id="99040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519585">
      <w:bodyDiv w:val="1"/>
      <w:marLeft w:val="0"/>
      <w:marRight w:val="0"/>
      <w:marTop w:val="0"/>
      <w:marBottom w:val="0"/>
      <w:divBdr>
        <w:top w:val="none" w:sz="0" w:space="0" w:color="auto"/>
        <w:left w:val="none" w:sz="0" w:space="0" w:color="auto"/>
        <w:bottom w:val="none" w:sz="0" w:space="0" w:color="auto"/>
        <w:right w:val="none" w:sz="0" w:space="0" w:color="auto"/>
      </w:divBdr>
      <w:divsChild>
        <w:div w:id="1938369277">
          <w:marLeft w:val="0"/>
          <w:marRight w:val="0"/>
          <w:marTop w:val="0"/>
          <w:marBottom w:val="150"/>
          <w:divBdr>
            <w:top w:val="none" w:sz="0" w:space="0" w:color="auto"/>
            <w:left w:val="none" w:sz="0" w:space="0" w:color="auto"/>
            <w:bottom w:val="none" w:sz="0" w:space="0" w:color="auto"/>
            <w:right w:val="none" w:sz="0" w:space="0" w:color="auto"/>
          </w:divBdr>
          <w:divsChild>
            <w:div w:id="1287810889">
              <w:marLeft w:val="0"/>
              <w:marRight w:val="0"/>
              <w:marTop w:val="0"/>
              <w:marBottom w:val="0"/>
              <w:divBdr>
                <w:top w:val="none" w:sz="0" w:space="0" w:color="auto"/>
                <w:left w:val="none" w:sz="0" w:space="0" w:color="auto"/>
                <w:bottom w:val="none" w:sz="0" w:space="0" w:color="auto"/>
                <w:right w:val="none" w:sz="0" w:space="0" w:color="auto"/>
              </w:divBdr>
              <w:divsChild>
                <w:div w:id="174156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723372">
          <w:marLeft w:val="0"/>
          <w:marRight w:val="0"/>
          <w:marTop w:val="0"/>
          <w:marBottom w:val="150"/>
          <w:divBdr>
            <w:top w:val="none" w:sz="0" w:space="0" w:color="auto"/>
            <w:left w:val="none" w:sz="0" w:space="0" w:color="auto"/>
            <w:bottom w:val="none" w:sz="0" w:space="0" w:color="auto"/>
            <w:right w:val="none" w:sz="0" w:space="0" w:color="auto"/>
          </w:divBdr>
        </w:div>
        <w:div w:id="567152340">
          <w:marLeft w:val="0"/>
          <w:marRight w:val="0"/>
          <w:marTop w:val="0"/>
          <w:marBottom w:val="0"/>
          <w:divBdr>
            <w:top w:val="none" w:sz="0" w:space="0" w:color="auto"/>
            <w:left w:val="none" w:sz="0" w:space="0" w:color="auto"/>
            <w:bottom w:val="none" w:sz="0" w:space="0" w:color="auto"/>
            <w:right w:val="none" w:sz="0" w:space="0" w:color="auto"/>
          </w:divBdr>
          <w:divsChild>
            <w:div w:id="71088443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47020581">
      <w:bodyDiv w:val="1"/>
      <w:marLeft w:val="0"/>
      <w:marRight w:val="0"/>
      <w:marTop w:val="0"/>
      <w:marBottom w:val="0"/>
      <w:divBdr>
        <w:top w:val="none" w:sz="0" w:space="0" w:color="auto"/>
        <w:left w:val="none" w:sz="0" w:space="0" w:color="auto"/>
        <w:bottom w:val="none" w:sz="0" w:space="0" w:color="auto"/>
        <w:right w:val="none" w:sz="0" w:space="0" w:color="auto"/>
      </w:divBdr>
      <w:divsChild>
        <w:div w:id="1827823926">
          <w:marLeft w:val="0"/>
          <w:marRight w:val="0"/>
          <w:marTop w:val="0"/>
          <w:marBottom w:val="0"/>
          <w:divBdr>
            <w:top w:val="none" w:sz="0" w:space="0" w:color="auto"/>
            <w:left w:val="none" w:sz="0" w:space="0" w:color="auto"/>
            <w:bottom w:val="none" w:sz="0" w:space="0" w:color="auto"/>
            <w:right w:val="none" w:sz="0" w:space="0" w:color="auto"/>
          </w:divBdr>
          <w:divsChild>
            <w:div w:id="1125733725">
              <w:marLeft w:val="0"/>
              <w:marRight w:val="0"/>
              <w:marTop w:val="0"/>
              <w:marBottom w:val="0"/>
              <w:divBdr>
                <w:top w:val="none" w:sz="0" w:space="0" w:color="auto"/>
                <w:left w:val="none" w:sz="0" w:space="0" w:color="auto"/>
                <w:bottom w:val="none" w:sz="0" w:space="0" w:color="auto"/>
                <w:right w:val="none" w:sz="0" w:space="0" w:color="auto"/>
              </w:divBdr>
              <w:divsChild>
                <w:div w:id="163210078">
                  <w:marLeft w:val="0"/>
                  <w:marRight w:val="0"/>
                  <w:marTop w:val="0"/>
                  <w:marBottom w:val="0"/>
                  <w:divBdr>
                    <w:top w:val="none" w:sz="0" w:space="0" w:color="auto"/>
                    <w:left w:val="none" w:sz="0" w:space="0" w:color="auto"/>
                    <w:bottom w:val="none" w:sz="0" w:space="0" w:color="auto"/>
                    <w:right w:val="none" w:sz="0" w:space="0" w:color="auto"/>
                  </w:divBdr>
                  <w:divsChild>
                    <w:div w:id="1921792414">
                      <w:marLeft w:val="0"/>
                      <w:marRight w:val="0"/>
                      <w:marTop w:val="0"/>
                      <w:marBottom w:val="0"/>
                      <w:divBdr>
                        <w:top w:val="none" w:sz="0" w:space="0" w:color="auto"/>
                        <w:left w:val="none" w:sz="0" w:space="0" w:color="auto"/>
                        <w:bottom w:val="none" w:sz="0" w:space="0" w:color="auto"/>
                        <w:right w:val="none" w:sz="0" w:space="0" w:color="auto"/>
                      </w:divBdr>
                      <w:divsChild>
                        <w:div w:id="989216702">
                          <w:marLeft w:val="0"/>
                          <w:marRight w:val="0"/>
                          <w:marTop w:val="0"/>
                          <w:marBottom w:val="0"/>
                          <w:divBdr>
                            <w:top w:val="none" w:sz="0" w:space="0" w:color="auto"/>
                            <w:left w:val="none" w:sz="0" w:space="0" w:color="auto"/>
                            <w:bottom w:val="none" w:sz="0" w:space="0" w:color="auto"/>
                            <w:right w:val="none" w:sz="0" w:space="0" w:color="auto"/>
                          </w:divBdr>
                          <w:divsChild>
                            <w:div w:id="849178820">
                              <w:marLeft w:val="0"/>
                              <w:marRight w:val="0"/>
                              <w:marTop w:val="0"/>
                              <w:marBottom w:val="0"/>
                              <w:divBdr>
                                <w:top w:val="none" w:sz="0" w:space="0" w:color="auto"/>
                                <w:left w:val="none" w:sz="0" w:space="0" w:color="auto"/>
                                <w:bottom w:val="none" w:sz="0" w:space="0" w:color="auto"/>
                                <w:right w:val="none" w:sz="0" w:space="0" w:color="auto"/>
                              </w:divBdr>
                              <w:divsChild>
                                <w:div w:id="1420252561">
                                  <w:marLeft w:val="0"/>
                                  <w:marRight w:val="0"/>
                                  <w:marTop w:val="0"/>
                                  <w:marBottom w:val="0"/>
                                  <w:divBdr>
                                    <w:top w:val="none" w:sz="0" w:space="0" w:color="auto"/>
                                    <w:left w:val="none" w:sz="0" w:space="0" w:color="auto"/>
                                    <w:bottom w:val="none" w:sz="0" w:space="0" w:color="auto"/>
                                    <w:right w:val="none" w:sz="0" w:space="0" w:color="auto"/>
                                  </w:divBdr>
                                  <w:divsChild>
                                    <w:div w:id="139369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7480131">
      <w:bodyDiv w:val="1"/>
      <w:marLeft w:val="0"/>
      <w:marRight w:val="0"/>
      <w:marTop w:val="0"/>
      <w:marBottom w:val="0"/>
      <w:divBdr>
        <w:top w:val="none" w:sz="0" w:space="0" w:color="auto"/>
        <w:left w:val="none" w:sz="0" w:space="0" w:color="auto"/>
        <w:bottom w:val="none" w:sz="0" w:space="0" w:color="auto"/>
        <w:right w:val="none" w:sz="0" w:space="0" w:color="auto"/>
      </w:divBdr>
      <w:divsChild>
        <w:div w:id="552927455">
          <w:marLeft w:val="0"/>
          <w:marRight w:val="0"/>
          <w:marTop w:val="0"/>
          <w:marBottom w:val="150"/>
          <w:divBdr>
            <w:top w:val="none" w:sz="0" w:space="0" w:color="auto"/>
            <w:left w:val="none" w:sz="0" w:space="0" w:color="auto"/>
            <w:bottom w:val="none" w:sz="0" w:space="0" w:color="auto"/>
            <w:right w:val="none" w:sz="0" w:space="0" w:color="auto"/>
          </w:divBdr>
        </w:div>
      </w:divsChild>
    </w:div>
    <w:div w:id="2047558727">
      <w:bodyDiv w:val="1"/>
      <w:marLeft w:val="0"/>
      <w:marRight w:val="0"/>
      <w:marTop w:val="0"/>
      <w:marBottom w:val="0"/>
      <w:divBdr>
        <w:top w:val="none" w:sz="0" w:space="0" w:color="auto"/>
        <w:left w:val="none" w:sz="0" w:space="0" w:color="auto"/>
        <w:bottom w:val="none" w:sz="0" w:space="0" w:color="auto"/>
        <w:right w:val="none" w:sz="0" w:space="0" w:color="auto"/>
      </w:divBdr>
      <w:divsChild>
        <w:div w:id="1967856855">
          <w:marLeft w:val="0"/>
          <w:marRight w:val="0"/>
          <w:marTop w:val="0"/>
          <w:marBottom w:val="0"/>
          <w:divBdr>
            <w:top w:val="none" w:sz="0" w:space="0" w:color="auto"/>
            <w:left w:val="none" w:sz="0" w:space="0" w:color="auto"/>
            <w:bottom w:val="dotted" w:sz="6" w:space="4" w:color="DDDDDD"/>
            <w:right w:val="none" w:sz="0" w:space="0" w:color="auto"/>
          </w:divBdr>
        </w:div>
      </w:divsChild>
    </w:div>
    <w:div w:id="2048215963">
      <w:bodyDiv w:val="1"/>
      <w:marLeft w:val="0"/>
      <w:marRight w:val="0"/>
      <w:marTop w:val="0"/>
      <w:marBottom w:val="0"/>
      <w:divBdr>
        <w:top w:val="none" w:sz="0" w:space="0" w:color="auto"/>
        <w:left w:val="none" w:sz="0" w:space="0" w:color="auto"/>
        <w:bottom w:val="none" w:sz="0" w:space="0" w:color="auto"/>
        <w:right w:val="none" w:sz="0" w:space="0" w:color="auto"/>
      </w:divBdr>
      <w:divsChild>
        <w:div w:id="1629704067">
          <w:marLeft w:val="0"/>
          <w:marRight w:val="0"/>
          <w:marTop w:val="0"/>
          <w:marBottom w:val="150"/>
          <w:divBdr>
            <w:top w:val="none" w:sz="0" w:space="0" w:color="auto"/>
            <w:left w:val="none" w:sz="0" w:space="0" w:color="auto"/>
            <w:bottom w:val="none" w:sz="0" w:space="0" w:color="auto"/>
            <w:right w:val="none" w:sz="0" w:space="0" w:color="auto"/>
          </w:divBdr>
        </w:div>
      </w:divsChild>
    </w:div>
    <w:div w:id="2048485070">
      <w:bodyDiv w:val="1"/>
      <w:marLeft w:val="0"/>
      <w:marRight w:val="0"/>
      <w:marTop w:val="0"/>
      <w:marBottom w:val="0"/>
      <w:divBdr>
        <w:top w:val="none" w:sz="0" w:space="0" w:color="auto"/>
        <w:left w:val="none" w:sz="0" w:space="0" w:color="auto"/>
        <w:bottom w:val="none" w:sz="0" w:space="0" w:color="auto"/>
        <w:right w:val="none" w:sz="0" w:space="0" w:color="auto"/>
      </w:divBdr>
      <w:divsChild>
        <w:div w:id="1406879909">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284464992">
              <w:marLeft w:val="0"/>
              <w:marRight w:val="0"/>
              <w:marTop w:val="300"/>
              <w:marBottom w:val="300"/>
              <w:divBdr>
                <w:top w:val="none" w:sz="0" w:space="0" w:color="auto"/>
                <w:left w:val="none" w:sz="0" w:space="0" w:color="auto"/>
                <w:bottom w:val="none" w:sz="0" w:space="0" w:color="auto"/>
                <w:right w:val="none" w:sz="0" w:space="0" w:color="auto"/>
              </w:divBdr>
              <w:divsChild>
                <w:div w:id="1553077468">
                  <w:marLeft w:val="0"/>
                  <w:marRight w:val="0"/>
                  <w:marTop w:val="0"/>
                  <w:marBottom w:val="0"/>
                  <w:divBdr>
                    <w:top w:val="none" w:sz="0" w:space="0" w:color="auto"/>
                    <w:left w:val="none" w:sz="0" w:space="0" w:color="auto"/>
                    <w:bottom w:val="none" w:sz="0" w:space="0" w:color="auto"/>
                    <w:right w:val="none" w:sz="0" w:space="0" w:color="auto"/>
                  </w:divBdr>
                  <w:divsChild>
                    <w:div w:id="873347502">
                      <w:marLeft w:val="0"/>
                      <w:marRight w:val="0"/>
                      <w:marTop w:val="0"/>
                      <w:marBottom w:val="0"/>
                      <w:divBdr>
                        <w:top w:val="none" w:sz="0" w:space="0" w:color="auto"/>
                        <w:left w:val="none" w:sz="0" w:space="0" w:color="auto"/>
                        <w:bottom w:val="none" w:sz="0" w:space="0" w:color="auto"/>
                        <w:right w:val="none" w:sz="0" w:space="0" w:color="auto"/>
                      </w:divBdr>
                      <w:divsChild>
                        <w:div w:id="60635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8555888">
      <w:bodyDiv w:val="1"/>
      <w:marLeft w:val="0"/>
      <w:marRight w:val="0"/>
      <w:marTop w:val="0"/>
      <w:marBottom w:val="0"/>
      <w:divBdr>
        <w:top w:val="none" w:sz="0" w:space="0" w:color="auto"/>
        <w:left w:val="none" w:sz="0" w:space="0" w:color="auto"/>
        <w:bottom w:val="none" w:sz="0" w:space="0" w:color="auto"/>
        <w:right w:val="none" w:sz="0" w:space="0" w:color="auto"/>
      </w:divBdr>
      <w:divsChild>
        <w:div w:id="1325276796">
          <w:marLeft w:val="0"/>
          <w:marRight w:val="0"/>
          <w:marTop w:val="0"/>
          <w:marBottom w:val="0"/>
          <w:divBdr>
            <w:top w:val="none" w:sz="0" w:space="0" w:color="auto"/>
            <w:left w:val="none" w:sz="0" w:space="0" w:color="auto"/>
            <w:bottom w:val="none" w:sz="0" w:space="0" w:color="auto"/>
            <w:right w:val="none" w:sz="0" w:space="0" w:color="auto"/>
          </w:divBdr>
          <w:divsChild>
            <w:div w:id="160703579">
              <w:marLeft w:val="0"/>
              <w:marRight w:val="0"/>
              <w:marTop w:val="0"/>
              <w:marBottom w:val="0"/>
              <w:divBdr>
                <w:top w:val="none" w:sz="0" w:space="0" w:color="auto"/>
                <w:left w:val="none" w:sz="0" w:space="0" w:color="auto"/>
                <w:bottom w:val="none" w:sz="0" w:space="0" w:color="auto"/>
                <w:right w:val="none" w:sz="0" w:space="0" w:color="auto"/>
              </w:divBdr>
              <w:divsChild>
                <w:div w:id="1714571199">
                  <w:marLeft w:val="0"/>
                  <w:marRight w:val="0"/>
                  <w:marTop w:val="0"/>
                  <w:marBottom w:val="0"/>
                  <w:divBdr>
                    <w:top w:val="none" w:sz="0" w:space="0" w:color="auto"/>
                    <w:left w:val="none" w:sz="0" w:space="0" w:color="auto"/>
                    <w:bottom w:val="none" w:sz="0" w:space="0" w:color="auto"/>
                    <w:right w:val="none" w:sz="0" w:space="0" w:color="auto"/>
                  </w:divBdr>
                  <w:divsChild>
                    <w:div w:id="459567411">
                      <w:marLeft w:val="0"/>
                      <w:marRight w:val="0"/>
                      <w:marTop w:val="0"/>
                      <w:marBottom w:val="0"/>
                      <w:divBdr>
                        <w:top w:val="none" w:sz="0" w:space="0" w:color="auto"/>
                        <w:left w:val="none" w:sz="0" w:space="0" w:color="auto"/>
                        <w:bottom w:val="none" w:sz="0" w:space="0" w:color="auto"/>
                        <w:right w:val="none" w:sz="0" w:space="0" w:color="auto"/>
                      </w:divBdr>
                      <w:divsChild>
                        <w:div w:id="182983793">
                          <w:marLeft w:val="0"/>
                          <w:marRight w:val="0"/>
                          <w:marTop w:val="0"/>
                          <w:marBottom w:val="0"/>
                          <w:divBdr>
                            <w:top w:val="none" w:sz="0" w:space="0" w:color="auto"/>
                            <w:left w:val="none" w:sz="0" w:space="0" w:color="auto"/>
                            <w:bottom w:val="none" w:sz="0" w:space="0" w:color="auto"/>
                            <w:right w:val="none" w:sz="0" w:space="0" w:color="auto"/>
                          </w:divBdr>
                          <w:divsChild>
                            <w:div w:id="175303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924635">
                      <w:marLeft w:val="0"/>
                      <w:marRight w:val="0"/>
                      <w:marTop w:val="0"/>
                      <w:marBottom w:val="300"/>
                      <w:divBdr>
                        <w:top w:val="none" w:sz="0" w:space="0" w:color="auto"/>
                        <w:left w:val="none" w:sz="0" w:space="0" w:color="auto"/>
                        <w:bottom w:val="none" w:sz="0" w:space="0" w:color="auto"/>
                        <w:right w:val="none" w:sz="0" w:space="0" w:color="auto"/>
                      </w:divBdr>
                      <w:divsChild>
                        <w:div w:id="1176387804">
                          <w:marLeft w:val="0"/>
                          <w:marRight w:val="0"/>
                          <w:marTop w:val="0"/>
                          <w:marBottom w:val="0"/>
                          <w:divBdr>
                            <w:top w:val="none" w:sz="0" w:space="0" w:color="auto"/>
                            <w:left w:val="none" w:sz="0" w:space="0" w:color="auto"/>
                            <w:bottom w:val="none" w:sz="0" w:space="0" w:color="auto"/>
                            <w:right w:val="none" w:sz="0" w:space="0" w:color="auto"/>
                          </w:divBdr>
                        </w:div>
                      </w:divsChild>
                    </w:div>
                    <w:div w:id="1594898825">
                      <w:marLeft w:val="0"/>
                      <w:marRight w:val="0"/>
                      <w:marTop w:val="0"/>
                      <w:marBottom w:val="75"/>
                      <w:divBdr>
                        <w:top w:val="none" w:sz="0" w:space="0" w:color="auto"/>
                        <w:left w:val="none" w:sz="0" w:space="0" w:color="auto"/>
                        <w:bottom w:val="none" w:sz="0" w:space="0" w:color="auto"/>
                        <w:right w:val="none" w:sz="0" w:space="0" w:color="auto"/>
                      </w:divBdr>
                    </w:div>
                    <w:div w:id="162589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053303">
          <w:marLeft w:val="0"/>
          <w:marRight w:val="0"/>
          <w:marTop w:val="0"/>
          <w:marBottom w:val="0"/>
          <w:divBdr>
            <w:top w:val="none" w:sz="0" w:space="0" w:color="auto"/>
            <w:left w:val="none" w:sz="0" w:space="0" w:color="auto"/>
            <w:bottom w:val="none" w:sz="0" w:space="0" w:color="auto"/>
            <w:right w:val="none" w:sz="0" w:space="0" w:color="auto"/>
          </w:divBdr>
          <w:divsChild>
            <w:div w:id="1870873801">
              <w:marLeft w:val="0"/>
              <w:marRight w:val="0"/>
              <w:marTop w:val="0"/>
              <w:marBottom w:val="300"/>
              <w:divBdr>
                <w:top w:val="none" w:sz="0" w:space="0" w:color="auto"/>
                <w:left w:val="none" w:sz="0" w:space="0" w:color="auto"/>
                <w:bottom w:val="single" w:sz="6" w:space="0" w:color="F1F1F1"/>
                <w:right w:val="none" w:sz="0" w:space="0" w:color="auto"/>
              </w:divBdr>
              <w:divsChild>
                <w:div w:id="1026508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49523655">
      <w:bodyDiv w:val="1"/>
      <w:marLeft w:val="0"/>
      <w:marRight w:val="0"/>
      <w:marTop w:val="0"/>
      <w:marBottom w:val="0"/>
      <w:divBdr>
        <w:top w:val="none" w:sz="0" w:space="0" w:color="auto"/>
        <w:left w:val="none" w:sz="0" w:space="0" w:color="auto"/>
        <w:bottom w:val="none" w:sz="0" w:space="0" w:color="auto"/>
        <w:right w:val="none" w:sz="0" w:space="0" w:color="auto"/>
      </w:divBdr>
      <w:divsChild>
        <w:div w:id="1160734786">
          <w:marLeft w:val="0"/>
          <w:marRight w:val="0"/>
          <w:marTop w:val="0"/>
          <w:marBottom w:val="150"/>
          <w:divBdr>
            <w:top w:val="none" w:sz="0" w:space="0" w:color="auto"/>
            <w:left w:val="none" w:sz="0" w:space="0" w:color="auto"/>
            <w:bottom w:val="none" w:sz="0" w:space="0" w:color="auto"/>
            <w:right w:val="none" w:sz="0" w:space="0" w:color="auto"/>
          </w:divBdr>
        </w:div>
        <w:div w:id="1475755979">
          <w:marLeft w:val="0"/>
          <w:marRight w:val="0"/>
          <w:marTop w:val="0"/>
          <w:marBottom w:val="0"/>
          <w:divBdr>
            <w:top w:val="none" w:sz="0" w:space="0" w:color="auto"/>
            <w:left w:val="none" w:sz="0" w:space="0" w:color="auto"/>
            <w:bottom w:val="none" w:sz="0" w:space="0" w:color="auto"/>
            <w:right w:val="none" w:sz="0" w:space="0" w:color="auto"/>
          </w:divBdr>
        </w:div>
      </w:divsChild>
    </w:div>
    <w:div w:id="2049524803">
      <w:bodyDiv w:val="1"/>
      <w:marLeft w:val="0"/>
      <w:marRight w:val="0"/>
      <w:marTop w:val="0"/>
      <w:marBottom w:val="0"/>
      <w:divBdr>
        <w:top w:val="none" w:sz="0" w:space="0" w:color="auto"/>
        <w:left w:val="none" w:sz="0" w:space="0" w:color="auto"/>
        <w:bottom w:val="none" w:sz="0" w:space="0" w:color="auto"/>
        <w:right w:val="none" w:sz="0" w:space="0" w:color="auto"/>
      </w:divBdr>
      <w:divsChild>
        <w:div w:id="169881540">
          <w:marLeft w:val="0"/>
          <w:marRight w:val="0"/>
          <w:marTop w:val="0"/>
          <w:marBottom w:val="0"/>
          <w:divBdr>
            <w:top w:val="none" w:sz="0" w:space="0" w:color="auto"/>
            <w:left w:val="none" w:sz="0" w:space="0" w:color="auto"/>
            <w:bottom w:val="none" w:sz="0" w:space="0" w:color="auto"/>
            <w:right w:val="none" w:sz="0" w:space="0" w:color="auto"/>
          </w:divBdr>
          <w:divsChild>
            <w:div w:id="1736194726">
              <w:marLeft w:val="0"/>
              <w:marRight w:val="0"/>
              <w:marTop w:val="0"/>
              <w:marBottom w:val="0"/>
              <w:divBdr>
                <w:top w:val="none" w:sz="0" w:space="0" w:color="auto"/>
                <w:left w:val="none" w:sz="0" w:space="0" w:color="auto"/>
                <w:bottom w:val="none" w:sz="0" w:space="0" w:color="auto"/>
                <w:right w:val="none" w:sz="0" w:space="0" w:color="auto"/>
              </w:divBdr>
            </w:div>
          </w:divsChild>
        </w:div>
        <w:div w:id="633677732">
          <w:marLeft w:val="0"/>
          <w:marRight w:val="0"/>
          <w:marTop w:val="0"/>
          <w:marBottom w:val="150"/>
          <w:divBdr>
            <w:top w:val="none" w:sz="0" w:space="0" w:color="auto"/>
            <w:left w:val="none" w:sz="0" w:space="0" w:color="auto"/>
            <w:bottom w:val="none" w:sz="0" w:space="0" w:color="auto"/>
            <w:right w:val="none" w:sz="0" w:space="0" w:color="auto"/>
          </w:divBdr>
          <w:divsChild>
            <w:div w:id="1861041898">
              <w:marLeft w:val="0"/>
              <w:marRight w:val="0"/>
              <w:marTop w:val="0"/>
              <w:marBottom w:val="0"/>
              <w:divBdr>
                <w:top w:val="none" w:sz="0" w:space="0" w:color="auto"/>
                <w:left w:val="none" w:sz="0" w:space="0" w:color="auto"/>
                <w:bottom w:val="none" w:sz="0" w:space="0" w:color="auto"/>
                <w:right w:val="none" w:sz="0" w:space="0" w:color="auto"/>
              </w:divBdr>
            </w:div>
          </w:divsChild>
        </w:div>
        <w:div w:id="1409234248">
          <w:marLeft w:val="0"/>
          <w:marRight w:val="0"/>
          <w:marTop w:val="0"/>
          <w:marBottom w:val="150"/>
          <w:divBdr>
            <w:top w:val="none" w:sz="0" w:space="0" w:color="auto"/>
            <w:left w:val="none" w:sz="0" w:space="0" w:color="auto"/>
            <w:bottom w:val="none" w:sz="0" w:space="0" w:color="auto"/>
            <w:right w:val="none" w:sz="0" w:space="0" w:color="auto"/>
          </w:divBdr>
        </w:div>
      </w:divsChild>
    </w:div>
    <w:div w:id="2050061320">
      <w:bodyDiv w:val="1"/>
      <w:marLeft w:val="0"/>
      <w:marRight w:val="0"/>
      <w:marTop w:val="0"/>
      <w:marBottom w:val="0"/>
      <w:divBdr>
        <w:top w:val="none" w:sz="0" w:space="0" w:color="auto"/>
        <w:left w:val="none" w:sz="0" w:space="0" w:color="auto"/>
        <w:bottom w:val="none" w:sz="0" w:space="0" w:color="auto"/>
        <w:right w:val="none" w:sz="0" w:space="0" w:color="auto"/>
      </w:divBdr>
    </w:div>
    <w:div w:id="2051151149">
      <w:bodyDiv w:val="1"/>
      <w:marLeft w:val="0"/>
      <w:marRight w:val="0"/>
      <w:marTop w:val="0"/>
      <w:marBottom w:val="0"/>
      <w:divBdr>
        <w:top w:val="none" w:sz="0" w:space="0" w:color="auto"/>
        <w:left w:val="none" w:sz="0" w:space="0" w:color="auto"/>
        <w:bottom w:val="none" w:sz="0" w:space="0" w:color="auto"/>
        <w:right w:val="none" w:sz="0" w:space="0" w:color="auto"/>
      </w:divBdr>
      <w:divsChild>
        <w:div w:id="1058894018">
          <w:marLeft w:val="0"/>
          <w:marRight w:val="0"/>
          <w:marTop w:val="0"/>
          <w:marBottom w:val="0"/>
          <w:divBdr>
            <w:top w:val="none" w:sz="0" w:space="0" w:color="auto"/>
            <w:left w:val="none" w:sz="0" w:space="0" w:color="auto"/>
            <w:bottom w:val="none" w:sz="0" w:space="0" w:color="auto"/>
            <w:right w:val="none" w:sz="0" w:space="0" w:color="auto"/>
          </w:divBdr>
          <w:divsChild>
            <w:div w:id="1219054232">
              <w:marLeft w:val="0"/>
              <w:marRight w:val="0"/>
              <w:marTop w:val="0"/>
              <w:marBottom w:val="0"/>
              <w:divBdr>
                <w:top w:val="none" w:sz="0" w:space="0" w:color="auto"/>
                <w:left w:val="none" w:sz="0" w:space="0" w:color="auto"/>
                <w:bottom w:val="none" w:sz="0" w:space="0" w:color="auto"/>
                <w:right w:val="none" w:sz="0" w:space="0" w:color="auto"/>
              </w:divBdr>
              <w:divsChild>
                <w:div w:id="177814043">
                  <w:marLeft w:val="0"/>
                  <w:marRight w:val="0"/>
                  <w:marTop w:val="0"/>
                  <w:marBottom w:val="0"/>
                  <w:divBdr>
                    <w:top w:val="none" w:sz="0" w:space="0" w:color="auto"/>
                    <w:left w:val="none" w:sz="0" w:space="0" w:color="auto"/>
                    <w:bottom w:val="none" w:sz="0" w:space="0" w:color="auto"/>
                    <w:right w:val="none" w:sz="0" w:space="0" w:color="auto"/>
                  </w:divBdr>
                  <w:divsChild>
                    <w:div w:id="2078086883">
                      <w:marLeft w:val="0"/>
                      <w:marRight w:val="0"/>
                      <w:marTop w:val="0"/>
                      <w:marBottom w:val="0"/>
                      <w:divBdr>
                        <w:top w:val="none" w:sz="0" w:space="0" w:color="auto"/>
                        <w:left w:val="none" w:sz="0" w:space="0" w:color="auto"/>
                        <w:bottom w:val="none" w:sz="0" w:space="0" w:color="auto"/>
                        <w:right w:val="none" w:sz="0" w:space="0" w:color="auto"/>
                      </w:divBdr>
                      <w:divsChild>
                        <w:div w:id="2022510990">
                          <w:marLeft w:val="0"/>
                          <w:marRight w:val="0"/>
                          <w:marTop w:val="0"/>
                          <w:marBottom w:val="0"/>
                          <w:divBdr>
                            <w:top w:val="none" w:sz="0" w:space="0" w:color="auto"/>
                            <w:left w:val="none" w:sz="0" w:space="0" w:color="auto"/>
                            <w:bottom w:val="none" w:sz="0" w:space="0" w:color="auto"/>
                            <w:right w:val="none" w:sz="0" w:space="0" w:color="auto"/>
                          </w:divBdr>
                          <w:divsChild>
                            <w:div w:id="662317262">
                              <w:marLeft w:val="0"/>
                              <w:marRight w:val="0"/>
                              <w:marTop w:val="0"/>
                              <w:marBottom w:val="0"/>
                              <w:divBdr>
                                <w:top w:val="none" w:sz="0" w:space="0" w:color="auto"/>
                                <w:left w:val="none" w:sz="0" w:space="0" w:color="auto"/>
                                <w:bottom w:val="none" w:sz="0" w:space="0" w:color="auto"/>
                                <w:right w:val="none" w:sz="0" w:space="0" w:color="auto"/>
                              </w:divBdr>
                              <w:divsChild>
                                <w:div w:id="131605943">
                                  <w:marLeft w:val="0"/>
                                  <w:marRight w:val="0"/>
                                  <w:marTop w:val="0"/>
                                  <w:marBottom w:val="0"/>
                                  <w:divBdr>
                                    <w:top w:val="none" w:sz="0" w:space="0" w:color="auto"/>
                                    <w:left w:val="none" w:sz="0" w:space="0" w:color="auto"/>
                                    <w:bottom w:val="none" w:sz="0" w:space="0" w:color="auto"/>
                                    <w:right w:val="single" w:sz="6" w:space="2" w:color="F5F0E9"/>
                                  </w:divBdr>
                                  <w:divsChild>
                                    <w:div w:id="285738701">
                                      <w:marLeft w:val="0"/>
                                      <w:marRight w:val="0"/>
                                      <w:marTop w:val="0"/>
                                      <w:marBottom w:val="75"/>
                                      <w:divBdr>
                                        <w:top w:val="none" w:sz="0" w:space="0" w:color="auto"/>
                                        <w:left w:val="none" w:sz="0" w:space="0" w:color="auto"/>
                                        <w:bottom w:val="none" w:sz="0" w:space="0" w:color="auto"/>
                                        <w:right w:val="none" w:sz="0" w:space="0" w:color="auto"/>
                                      </w:divBdr>
                                    </w:div>
                                    <w:div w:id="612521693">
                                      <w:marLeft w:val="0"/>
                                      <w:marRight w:val="0"/>
                                      <w:marTop w:val="0"/>
                                      <w:marBottom w:val="0"/>
                                      <w:divBdr>
                                        <w:top w:val="none" w:sz="0" w:space="0" w:color="auto"/>
                                        <w:left w:val="none" w:sz="0" w:space="0" w:color="auto"/>
                                        <w:bottom w:val="none" w:sz="0" w:space="0" w:color="auto"/>
                                        <w:right w:val="none" w:sz="0" w:space="0" w:color="auto"/>
                                      </w:divBdr>
                                    </w:div>
                                    <w:div w:id="680087391">
                                      <w:marLeft w:val="0"/>
                                      <w:marRight w:val="0"/>
                                      <w:marTop w:val="0"/>
                                      <w:marBottom w:val="0"/>
                                      <w:divBdr>
                                        <w:top w:val="none" w:sz="0" w:space="0" w:color="auto"/>
                                        <w:left w:val="none" w:sz="0" w:space="0" w:color="auto"/>
                                        <w:bottom w:val="none" w:sz="0" w:space="0" w:color="auto"/>
                                        <w:right w:val="none" w:sz="0" w:space="0" w:color="auto"/>
                                      </w:divBdr>
                                    </w:div>
                                    <w:div w:id="1500003126">
                                      <w:marLeft w:val="30"/>
                                      <w:marRight w:val="0"/>
                                      <w:marTop w:val="180"/>
                                      <w:marBottom w:val="120"/>
                                      <w:divBdr>
                                        <w:top w:val="none" w:sz="0" w:space="0" w:color="auto"/>
                                        <w:left w:val="none" w:sz="0" w:space="0" w:color="auto"/>
                                        <w:bottom w:val="none" w:sz="0" w:space="0" w:color="auto"/>
                                        <w:right w:val="none" w:sz="0" w:space="0" w:color="auto"/>
                                      </w:divBdr>
                                    </w:div>
                                    <w:div w:id="1650405572">
                                      <w:marLeft w:val="0"/>
                                      <w:marRight w:val="0"/>
                                      <w:marTop w:val="15"/>
                                      <w:marBottom w:val="0"/>
                                      <w:divBdr>
                                        <w:top w:val="none" w:sz="0" w:space="0" w:color="auto"/>
                                        <w:left w:val="none" w:sz="0" w:space="0" w:color="auto"/>
                                        <w:bottom w:val="none" w:sz="0" w:space="0" w:color="auto"/>
                                        <w:right w:val="none" w:sz="0" w:space="0" w:color="auto"/>
                                      </w:divBdr>
                                    </w:div>
                                    <w:div w:id="1979070802">
                                      <w:marLeft w:val="0"/>
                                      <w:marRight w:val="0"/>
                                      <w:marTop w:val="0"/>
                                      <w:marBottom w:val="0"/>
                                      <w:divBdr>
                                        <w:top w:val="none" w:sz="0" w:space="0" w:color="auto"/>
                                        <w:left w:val="none" w:sz="0" w:space="0" w:color="auto"/>
                                        <w:bottom w:val="none" w:sz="0" w:space="0" w:color="auto"/>
                                        <w:right w:val="none" w:sz="0" w:space="0" w:color="auto"/>
                                      </w:divBdr>
                                      <w:divsChild>
                                        <w:div w:id="665597312">
                                          <w:marLeft w:val="0"/>
                                          <w:marRight w:val="0"/>
                                          <w:marTop w:val="0"/>
                                          <w:marBottom w:val="0"/>
                                          <w:divBdr>
                                            <w:top w:val="none" w:sz="0" w:space="0" w:color="auto"/>
                                            <w:left w:val="none" w:sz="0" w:space="0" w:color="auto"/>
                                            <w:bottom w:val="none" w:sz="0" w:space="0" w:color="auto"/>
                                            <w:right w:val="none" w:sz="0" w:space="0" w:color="auto"/>
                                          </w:divBdr>
                                          <w:divsChild>
                                            <w:div w:id="641276834">
                                              <w:marLeft w:val="0"/>
                                              <w:marRight w:val="0"/>
                                              <w:marTop w:val="0"/>
                                              <w:marBottom w:val="0"/>
                                              <w:divBdr>
                                                <w:top w:val="none" w:sz="0" w:space="0" w:color="auto"/>
                                                <w:left w:val="none" w:sz="0" w:space="0" w:color="auto"/>
                                                <w:bottom w:val="none" w:sz="0" w:space="0" w:color="auto"/>
                                                <w:right w:val="none" w:sz="0" w:space="0" w:color="auto"/>
                                              </w:divBdr>
                                            </w:div>
                                          </w:divsChild>
                                        </w:div>
                                        <w:div w:id="873620479">
                                          <w:marLeft w:val="0"/>
                                          <w:marRight w:val="0"/>
                                          <w:marTop w:val="0"/>
                                          <w:marBottom w:val="0"/>
                                          <w:divBdr>
                                            <w:top w:val="none" w:sz="0" w:space="0" w:color="auto"/>
                                            <w:left w:val="none" w:sz="0" w:space="0" w:color="auto"/>
                                            <w:bottom w:val="none" w:sz="0" w:space="0" w:color="auto"/>
                                            <w:right w:val="none" w:sz="0" w:space="0" w:color="auto"/>
                                          </w:divBdr>
                                          <w:divsChild>
                                            <w:div w:id="1495753886">
                                              <w:marLeft w:val="0"/>
                                              <w:marRight w:val="0"/>
                                              <w:marTop w:val="0"/>
                                              <w:marBottom w:val="0"/>
                                              <w:divBdr>
                                                <w:top w:val="none" w:sz="0" w:space="0" w:color="auto"/>
                                                <w:left w:val="none" w:sz="0" w:space="0" w:color="auto"/>
                                                <w:bottom w:val="none" w:sz="0" w:space="0" w:color="auto"/>
                                                <w:right w:val="none" w:sz="0" w:space="0" w:color="auto"/>
                                              </w:divBdr>
                                            </w:div>
                                          </w:divsChild>
                                        </w:div>
                                        <w:div w:id="1273250000">
                                          <w:marLeft w:val="0"/>
                                          <w:marRight w:val="0"/>
                                          <w:marTop w:val="0"/>
                                          <w:marBottom w:val="0"/>
                                          <w:divBdr>
                                            <w:top w:val="none" w:sz="0" w:space="0" w:color="auto"/>
                                            <w:left w:val="none" w:sz="0" w:space="0" w:color="auto"/>
                                            <w:bottom w:val="none" w:sz="0" w:space="0" w:color="auto"/>
                                            <w:right w:val="none" w:sz="0" w:space="0" w:color="auto"/>
                                          </w:divBdr>
                                          <w:divsChild>
                                            <w:div w:id="126633651">
                                              <w:marLeft w:val="0"/>
                                              <w:marRight w:val="0"/>
                                              <w:marTop w:val="0"/>
                                              <w:marBottom w:val="0"/>
                                              <w:divBdr>
                                                <w:top w:val="none" w:sz="0" w:space="0" w:color="auto"/>
                                                <w:left w:val="none" w:sz="0" w:space="0" w:color="auto"/>
                                                <w:bottom w:val="none" w:sz="0" w:space="0" w:color="auto"/>
                                                <w:right w:val="none" w:sz="0" w:space="0" w:color="auto"/>
                                              </w:divBdr>
                                            </w:div>
                                          </w:divsChild>
                                        </w:div>
                                        <w:div w:id="1378892900">
                                          <w:marLeft w:val="0"/>
                                          <w:marRight w:val="0"/>
                                          <w:marTop w:val="0"/>
                                          <w:marBottom w:val="0"/>
                                          <w:divBdr>
                                            <w:top w:val="none" w:sz="0" w:space="0" w:color="auto"/>
                                            <w:left w:val="none" w:sz="0" w:space="0" w:color="auto"/>
                                            <w:bottom w:val="none" w:sz="0" w:space="0" w:color="auto"/>
                                            <w:right w:val="none" w:sz="0" w:space="0" w:color="auto"/>
                                          </w:divBdr>
                                          <w:divsChild>
                                            <w:div w:id="269044773">
                                              <w:marLeft w:val="0"/>
                                              <w:marRight w:val="0"/>
                                              <w:marTop w:val="0"/>
                                              <w:marBottom w:val="0"/>
                                              <w:divBdr>
                                                <w:top w:val="none" w:sz="0" w:space="0" w:color="auto"/>
                                                <w:left w:val="none" w:sz="0" w:space="0" w:color="auto"/>
                                                <w:bottom w:val="none" w:sz="0" w:space="0" w:color="auto"/>
                                                <w:right w:val="none" w:sz="0" w:space="0" w:color="auto"/>
                                              </w:divBdr>
                                            </w:div>
                                          </w:divsChild>
                                        </w:div>
                                        <w:div w:id="1582132175">
                                          <w:marLeft w:val="0"/>
                                          <w:marRight w:val="0"/>
                                          <w:marTop w:val="0"/>
                                          <w:marBottom w:val="15"/>
                                          <w:divBdr>
                                            <w:top w:val="none" w:sz="0" w:space="0" w:color="auto"/>
                                            <w:left w:val="none" w:sz="0" w:space="0" w:color="auto"/>
                                            <w:bottom w:val="none" w:sz="0" w:space="0" w:color="auto"/>
                                            <w:right w:val="none" w:sz="0" w:space="0" w:color="auto"/>
                                          </w:divBdr>
                                        </w:div>
                                        <w:div w:id="1838840618">
                                          <w:marLeft w:val="0"/>
                                          <w:marRight w:val="0"/>
                                          <w:marTop w:val="0"/>
                                          <w:marBottom w:val="0"/>
                                          <w:divBdr>
                                            <w:top w:val="none" w:sz="0" w:space="0" w:color="auto"/>
                                            <w:left w:val="none" w:sz="0" w:space="0" w:color="auto"/>
                                            <w:bottom w:val="none" w:sz="0" w:space="0" w:color="auto"/>
                                            <w:right w:val="none" w:sz="0" w:space="0" w:color="auto"/>
                                          </w:divBdr>
                                          <w:divsChild>
                                            <w:div w:id="162256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092020">
                                  <w:marLeft w:val="0"/>
                                  <w:marRight w:val="0"/>
                                  <w:marTop w:val="0"/>
                                  <w:marBottom w:val="0"/>
                                  <w:divBdr>
                                    <w:top w:val="none" w:sz="0" w:space="0" w:color="auto"/>
                                    <w:left w:val="none" w:sz="0" w:space="0" w:color="auto"/>
                                    <w:bottom w:val="none" w:sz="0" w:space="0" w:color="auto"/>
                                    <w:right w:val="none" w:sz="0" w:space="0" w:color="auto"/>
                                  </w:divBdr>
                                  <w:divsChild>
                                    <w:div w:id="547453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144123">
      <w:bodyDiv w:val="1"/>
      <w:marLeft w:val="0"/>
      <w:marRight w:val="0"/>
      <w:marTop w:val="0"/>
      <w:marBottom w:val="0"/>
      <w:divBdr>
        <w:top w:val="none" w:sz="0" w:space="0" w:color="auto"/>
        <w:left w:val="none" w:sz="0" w:space="0" w:color="auto"/>
        <w:bottom w:val="none" w:sz="0" w:space="0" w:color="auto"/>
        <w:right w:val="none" w:sz="0" w:space="0" w:color="auto"/>
      </w:divBdr>
      <w:divsChild>
        <w:div w:id="42683837">
          <w:marLeft w:val="0"/>
          <w:marRight w:val="0"/>
          <w:marTop w:val="0"/>
          <w:marBottom w:val="0"/>
          <w:divBdr>
            <w:top w:val="none" w:sz="0" w:space="0" w:color="auto"/>
            <w:left w:val="none" w:sz="0" w:space="0" w:color="auto"/>
            <w:bottom w:val="none" w:sz="0" w:space="0" w:color="auto"/>
            <w:right w:val="none" w:sz="0" w:space="0" w:color="auto"/>
          </w:divBdr>
          <w:divsChild>
            <w:div w:id="280379597">
              <w:marLeft w:val="0"/>
              <w:marRight w:val="0"/>
              <w:marTop w:val="0"/>
              <w:marBottom w:val="0"/>
              <w:divBdr>
                <w:top w:val="none" w:sz="0" w:space="0" w:color="auto"/>
                <w:left w:val="none" w:sz="0" w:space="0" w:color="auto"/>
                <w:bottom w:val="none" w:sz="0" w:space="0" w:color="auto"/>
                <w:right w:val="none" w:sz="0" w:space="0" w:color="auto"/>
              </w:divBdr>
              <w:divsChild>
                <w:div w:id="347290645">
                  <w:marLeft w:val="0"/>
                  <w:marRight w:val="0"/>
                  <w:marTop w:val="0"/>
                  <w:marBottom w:val="0"/>
                  <w:divBdr>
                    <w:top w:val="none" w:sz="0" w:space="0" w:color="auto"/>
                    <w:left w:val="none" w:sz="0" w:space="0" w:color="auto"/>
                    <w:bottom w:val="none" w:sz="0" w:space="0" w:color="auto"/>
                    <w:right w:val="none" w:sz="0" w:space="0" w:color="auto"/>
                  </w:divBdr>
                  <w:divsChild>
                    <w:div w:id="218328132">
                      <w:marLeft w:val="0"/>
                      <w:marRight w:val="0"/>
                      <w:marTop w:val="0"/>
                      <w:marBottom w:val="0"/>
                      <w:divBdr>
                        <w:top w:val="none" w:sz="0" w:space="0" w:color="auto"/>
                        <w:left w:val="none" w:sz="0" w:space="0" w:color="auto"/>
                        <w:bottom w:val="none" w:sz="0" w:space="0" w:color="auto"/>
                        <w:right w:val="none" w:sz="0" w:space="0" w:color="auto"/>
                      </w:divBdr>
                      <w:divsChild>
                        <w:div w:id="892273354">
                          <w:marLeft w:val="0"/>
                          <w:marRight w:val="0"/>
                          <w:marTop w:val="0"/>
                          <w:marBottom w:val="0"/>
                          <w:divBdr>
                            <w:top w:val="none" w:sz="0" w:space="0" w:color="auto"/>
                            <w:left w:val="none" w:sz="0" w:space="0" w:color="auto"/>
                            <w:bottom w:val="none" w:sz="0" w:space="0" w:color="auto"/>
                            <w:right w:val="none" w:sz="0" w:space="0" w:color="auto"/>
                          </w:divBdr>
                          <w:divsChild>
                            <w:div w:id="386150001">
                              <w:marLeft w:val="0"/>
                              <w:marRight w:val="0"/>
                              <w:marTop w:val="0"/>
                              <w:marBottom w:val="0"/>
                              <w:divBdr>
                                <w:top w:val="none" w:sz="0" w:space="0" w:color="auto"/>
                                <w:left w:val="none" w:sz="0" w:space="0" w:color="auto"/>
                                <w:bottom w:val="none" w:sz="0" w:space="0" w:color="auto"/>
                                <w:right w:val="none" w:sz="0" w:space="0" w:color="auto"/>
                              </w:divBdr>
                              <w:divsChild>
                                <w:div w:id="1312757185">
                                  <w:marLeft w:val="0"/>
                                  <w:marRight w:val="0"/>
                                  <w:marTop w:val="0"/>
                                  <w:marBottom w:val="0"/>
                                  <w:divBdr>
                                    <w:top w:val="none" w:sz="0" w:space="0" w:color="auto"/>
                                    <w:left w:val="none" w:sz="0" w:space="0" w:color="auto"/>
                                    <w:bottom w:val="none" w:sz="0" w:space="0" w:color="auto"/>
                                    <w:right w:val="none" w:sz="0" w:space="0" w:color="auto"/>
                                  </w:divBdr>
                                  <w:divsChild>
                                    <w:div w:id="149905894">
                                      <w:marLeft w:val="0"/>
                                      <w:marRight w:val="0"/>
                                      <w:marTop w:val="0"/>
                                      <w:marBottom w:val="0"/>
                                      <w:divBdr>
                                        <w:top w:val="none" w:sz="0" w:space="0" w:color="auto"/>
                                        <w:left w:val="none" w:sz="0" w:space="0" w:color="auto"/>
                                        <w:bottom w:val="none" w:sz="0" w:space="0" w:color="auto"/>
                                        <w:right w:val="none" w:sz="0" w:space="0" w:color="auto"/>
                                      </w:divBdr>
                                      <w:divsChild>
                                        <w:div w:id="190155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2533116">
      <w:bodyDiv w:val="1"/>
      <w:marLeft w:val="0"/>
      <w:marRight w:val="0"/>
      <w:marTop w:val="0"/>
      <w:marBottom w:val="0"/>
      <w:divBdr>
        <w:top w:val="none" w:sz="0" w:space="0" w:color="auto"/>
        <w:left w:val="none" w:sz="0" w:space="0" w:color="auto"/>
        <w:bottom w:val="none" w:sz="0" w:space="0" w:color="auto"/>
        <w:right w:val="none" w:sz="0" w:space="0" w:color="auto"/>
      </w:divBdr>
      <w:divsChild>
        <w:div w:id="989478949">
          <w:marLeft w:val="0"/>
          <w:marRight w:val="0"/>
          <w:marTop w:val="0"/>
          <w:marBottom w:val="150"/>
          <w:divBdr>
            <w:top w:val="none" w:sz="0" w:space="0" w:color="auto"/>
            <w:left w:val="none" w:sz="0" w:space="0" w:color="auto"/>
            <w:bottom w:val="none" w:sz="0" w:space="0" w:color="auto"/>
            <w:right w:val="none" w:sz="0" w:space="0" w:color="auto"/>
          </w:divBdr>
          <w:divsChild>
            <w:div w:id="2125953638">
              <w:marLeft w:val="0"/>
              <w:marRight w:val="0"/>
              <w:marTop w:val="0"/>
              <w:marBottom w:val="0"/>
              <w:divBdr>
                <w:top w:val="none" w:sz="0" w:space="0" w:color="auto"/>
                <w:left w:val="none" w:sz="0" w:space="0" w:color="auto"/>
                <w:bottom w:val="none" w:sz="0" w:space="0" w:color="auto"/>
                <w:right w:val="none" w:sz="0" w:space="0" w:color="auto"/>
              </w:divBdr>
            </w:div>
          </w:divsChild>
        </w:div>
        <w:div w:id="1735544304">
          <w:marLeft w:val="0"/>
          <w:marRight w:val="0"/>
          <w:marTop w:val="0"/>
          <w:marBottom w:val="150"/>
          <w:divBdr>
            <w:top w:val="none" w:sz="0" w:space="0" w:color="auto"/>
            <w:left w:val="none" w:sz="0" w:space="0" w:color="auto"/>
            <w:bottom w:val="none" w:sz="0" w:space="0" w:color="auto"/>
            <w:right w:val="none" w:sz="0" w:space="0" w:color="auto"/>
          </w:divBdr>
        </w:div>
        <w:div w:id="2142453968">
          <w:marLeft w:val="0"/>
          <w:marRight w:val="0"/>
          <w:marTop w:val="0"/>
          <w:marBottom w:val="0"/>
          <w:divBdr>
            <w:top w:val="none" w:sz="0" w:space="0" w:color="auto"/>
            <w:left w:val="none" w:sz="0" w:space="0" w:color="auto"/>
            <w:bottom w:val="none" w:sz="0" w:space="0" w:color="auto"/>
            <w:right w:val="none" w:sz="0" w:space="0" w:color="auto"/>
          </w:divBdr>
          <w:divsChild>
            <w:div w:id="207219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728734">
      <w:bodyDiv w:val="1"/>
      <w:marLeft w:val="0"/>
      <w:marRight w:val="0"/>
      <w:marTop w:val="0"/>
      <w:marBottom w:val="0"/>
      <w:divBdr>
        <w:top w:val="none" w:sz="0" w:space="0" w:color="auto"/>
        <w:left w:val="none" w:sz="0" w:space="0" w:color="auto"/>
        <w:bottom w:val="none" w:sz="0" w:space="0" w:color="auto"/>
        <w:right w:val="none" w:sz="0" w:space="0" w:color="auto"/>
      </w:divBdr>
      <w:divsChild>
        <w:div w:id="237442983">
          <w:marLeft w:val="0"/>
          <w:marRight w:val="0"/>
          <w:marTop w:val="0"/>
          <w:marBottom w:val="300"/>
          <w:divBdr>
            <w:top w:val="none" w:sz="0" w:space="0" w:color="auto"/>
            <w:left w:val="none" w:sz="0" w:space="0" w:color="auto"/>
            <w:bottom w:val="none" w:sz="0" w:space="0" w:color="auto"/>
            <w:right w:val="none" w:sz="0" w:space="0" w:color="auto"/>
          </w:divBdr>
          <w:divsChild>
            <w:div w:id="1370035025">
              <w:marLeft w:val="0"/>
              <w:marRight w:val="0"/>
              <w:marTop w:val="0"/>
              <w:marBottom w:val="0"/>
              <w:divBdr>
                <w:top w:val="none" w:sz="0" w:space="0" w:color="auto"/>
                <w:left w:val="none" w:sz="0" w:space="0" w:color="auto"/>
                <w:bottom w:val="none" w:sz="0" w:space="0" w:color="auto"/>
                <w:right w:val="none" w:sz="0" w:space="0" w:color="auto"/>
              </w:divBdr>
            </w:div>
          </w:divsChild>
        </w:div>
        <w:div w:id="1021392726">
          <w:marLeft w:val="0"/>
          <w:marRight w:val="0"/>
          <w:marTop w:val="0"/>
          <w:marBottom w:val="0"/>
          <w:divBdr>
            <w:top w:val="none" w:sz="0" w:space="0" w:color="auto"/>
            <w:left w:val="none" w:sz="0" w:space="0" w:color="auto"/>
            <w:bottom w:val="none" w:sz="0" w:space="0" w:color="auto"/>
            <w:right w:val="none" w:sz="0" w:space="0" w:color="auto"/>
          </w:divBdr>
          <w:divsChild>
            <w:div w:id="458499960">
              <w:marLeft w:val="0"/>
              <w:marRight w:val="0"/>
              <w:marTop w:val="0"/>
              <w:marBottom w:val="0"/>
              <w:divBdr>
                <w:top w:val="none" w:sz="0" w:space="0" w:color="auto"/>
                <w:left w:val="none" w:sz="0" w:space="0" w:color="auto"/>
                <w:bottom w:val="none" w:sz="0" w:space="0" w:color="auto"/>
                <w:right w:val="none" w:sz="0" w:space="0" w:color="auto"/>
              </w:divBdr>
              <w:divsChild>
                <w:div w:id="84832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2277">
          <w:marLeft w:val="0"/>
          <w:marRight w:val="0"/>
          <w:marTop w:val="0"/>
          <w:marBottom w:val="0"/>
          <w:divBdr>
            <w:top w:val="none" w:sz="0" w:space="0" w:color="auto"/>
            <w:left w:val="none" w:sz="0" w:space="0" w:color="auto"/>
            <w:bottom w:val="none" w:sz="0" w:space="0" w:color="auto"/>
            <w:right w:val="none" w:sz="0" w:space="0" w:color="auto"/>
          </w:divBdr>
        </w:div>
        <w:div w:id="1936938562">
          <w:marLeft w:val="0"/>
          <w:marRight w:val="0"/>
          <w:marTop w:val="0"/>
          <w:marBottom w:val="75"/>
          <w:divBdr>
            <w:top w:val="none" w:sz="0" w:space="0" w:color="auto"/>
            <w:left w:val="none" w:sz="0" w:space="0" w:color="auto"/>
            <w:bottom w:val="none" w:sz="0" w:space="0" w:color="auto"/>
            <w:right w:val="none" w:sz="0" w:space="0" w:color="auto"/>
          </w:divBdr>
        </w:div>
      </w:divsChild>
    </w:div>
    <w:div w:id="2053309545">
      <w:bodyDiv w:val="1"/>
      <w:marLeft w:val="0"/>
      <w:marRight w:val="0"/>
      <w:marTop w:val="0"/>
      <w:marBottom w:val="0"/>
      <w:divBdr>
        <w:top w:val="none" w:sz="0" w:space="0" w:color="auto"/>
        <w:left w:val="none" w:sz="0" w:space="0" w:color="auto"/>
        <w:bottom w:val="none" w:sz="0" w:space="0" w:color="auto"/>
        <w:right w:val="none" w:sz="0" w:space="0" w:color="auto"/>
      </w:divBdr>
      <w:divsChild>
        <w:div w:id="1181700897">
          <w:marLeft w:val="0"/>
          <w:marRight w:val="0"/>
          <w:marTop w:val="0"/>
          <w:marBottom w:val="150"/>
          <w:divBdr>
            <w:top w:val="none" w:sz="0" w:space="0" w:color="auto"/>
            <w:left w:val="none" w:sz="0" w:space="0" w:color="auto"/>
            <w:bottom w:val="none" w:sz="0" w:space="0" w:color="auto"/>
            <w:right w:val="none" w:sz="0" w:space="0" w:color="auto"/>
          </w:divBdr>
          <w:divsChild>
            <w:div w:id="1551116272">
              <w:marLeft w:val="0"/>
              <w:marRight w:val="0"/>
              <w:marTop w:val="0"/>
              <w:marBottom w:val="0"/>
              <w:divBdr>
                <w:top w:val="none" w:sz="0" w:space="0" w:color="auto"/>
                <w:left w:val="none" w:sz="0" w:space="0" w:color="auto"/>
                <w:bottom w:val="none" w:sz="0" w:space="0" w:color="auto"/>
                <w:right w:val="none" w:sz="0" w:space="0" w:color="auto"/>
              </w:divBdr>
              <w:divsChild>
                <w:div w:id="910458878">
                  <w:marLeft w:val="0"/>
                  <w:marRight w:val="0"/>
                  <w:marTop w:val="0"/>
                  <w:marBottom w:val="0"/>
                  <w:divBdr>
                    <w:top w:val="none" w:sz="0" w:space="0" w:color="auto"/>
                    <w:left w:val="none" w:sz="0" w:space="0" w:color="auto"/>
                    <w:bottom w:val="none" w:sz="0" w:space="0" w:color="auto"/>
                    <w:right w:val="none" w:sz="0" w:space="0" w:color="auto"/>
                  </w:divBdr>
                  <w:divsChild>
                    <w:div w:id="1772316947">
                      <w:marLeft w:val="0"/>
                      <w:marRight w:val="150"/>
                      <w:marTop w:val="0"/>
                      <w:marBottom w:val="0"/>
                      <w:divBdr>
                        <w:top w:val="none" w:sz="0" w:space="0" w:color="auto"/>
                        <w:left w:val="none" w:sz="0" w:space="0" w:color="auto"/>
                        <w:bottom w:val="none" w:sz="0" w:space="0" w:color="auto"/>
                        <w:right w:val="none" w:sz="0" w:space="0" w:color="auto"/>
                      </w:divBdr>
                      <w:divsChild>
                        <w:div w:id="22449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973926">
          <w:marLeft w:val="0"/>
          <w:marRight w:val="0"/>
          <w:marTop w:val="0"/>
          <w:marBottom w:val="150"/>
          <w:divBdr>
            <w:top w:val="none" w:sz="0" w:space="0" w:color="auto"/>
            <w:left w:val="none" w:sz="0" w:space="0" w:color="auto"/>
            <w:bottom w:val="none" w:sz="0" w:space="0" w:color="auto"/>
            <w:right w:val="none" w:sz="0" w:space="0" w:color="auto"/>
          </w:divBdr>
        </w:div>
        <w:div w:id="2109039953">
          <w:marLeft w:val="0"/>
          <w:marRight w:val="0"/>
          <w:marTop w:val="0"/>
          <w:marBottom w:val="0"/>
          <w:divBdr>
            <w:top w:val="none" w:sz="0" w:space="0" w:color="auto"/>
            <w:left w:val="none" w:sz="0" w:space="0" w:color="auto"/>
            <w:bottom w:val="none" w:sz="0" w:space="0" w:color="auto"/>
            <w:right w:val="none" w:sz="0" w:space="0" w:color="auto"/>
          </w:divBdr>
          <w:divsChild>
            <w:div w:id="123084765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53646248">
      <w:bodyDiv w:val="1"/>
      <w:marLeft w:val="0"/>
      <w:marRight w:val="0"/>
      <w:marTop w:val="0"/>
      <w:marBottom w:val="0"/>
      <w:divBdr>
        <w:top w:val="none" w:sz="0" w:space="0" w:color="auto"/>
        <w:left w:val="none" w:sz="0" w:space="0" w:color="auto"/>
        <w:bottom w:val="none" w:sz="0" w:space="0" w:color="auto"/>
        <w:right w:val="none" w:sz="0" w:space="0" w:color="auto"/>
      </w:divBdr>
    </w:div>
    <w:div w:id="2054109680">
      <w:bodyDiv w:val="1"/>
      <w:marLeft w:val="0"/>
      <w:marRight w:val="0"/>
      <w:marTop w:val="0"/>
      <w:marBottom w:val="0"/>
      <w:divBdr>
        <w:top w:val="none" w:sz="0" w:space="0" w:color="auto"/>
        <w:left w:val="none" w:sz="0" w:space="0" w:color="auto"/>
        <w:bottom w:val="none" w:sz="0" w:space="0" w:color="auto"/>
        <w:right w:val="none" w:sz="0" w:space="0" w:color="auto"/>
      </w:divBdr>
      <w:divsChild>
        <w:div w:id="1568222448">
          <w:marLeft w:val="0"/>
          <w:marRight w:val="0"/>
          <w:marTop w:val="0"/>
          <w:marBottom w:val="0"/>
          <w:divBdr>
            <w:top w:val="none" w:sz="0" w:space="0" w:color="auto"/>
            <w:left w:val="none" w:sz="0" w:space="0" w:color="auto"/>
            <w:bottom w:val="dotted" w:sz="6" w:space="4" w:color="DDDDDD"/>
            <w:right w:val="none" w:sz="0" w:space="0" w:color="auto"/>
          </w:divBdr>
          <w:divsChild>
            <w:div w:id="21433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85973">
      <w:bodyDiv w:val="1"/>
      <w:marLeft w:val="0"/>
      <w:marRight w:val="0"/>
      <w:marTop w:val="0"/>
      <w:marBottom w:val="0"/>
      <w:divBdr>
        <w:top w:val="none" w:sz="0" w:space="0" w:color="auto"/>
        <w:left w:val="none" w:sz="0" w:space="0" w:color="auto"/>
        <w:bottom w:val="none" w:sz="0" w:space="0" w:color="auto"/>
        <w:right w:val="none" w:sz="0" w:space="0" w:color="auto"/>
      </w:divBdr>
      <w:divsChild>
        <w:div w:id="31080806">
          <w:marLeft w:val="0"/>
          <w:marRight w:val="0"/>
          <w:marTop w:val="0"/>
          <w:marBottom w:val="150"/>
          <w:divBdr>
            <w:top w:val="none" w:sz="0" w:space="0" w:color="auto"/>
            <w:left w:val="none" w:sz="0" w:space="0" w:color="auto"/>
            <w:bottom w:val="none" w:sz="0" w:space="0" w:color="auto"/>
            <w:right w:val="none" w:sz="0" w:space="0" w:color="auto"/>
          </w:divBdr>
        </w:div>
      </w:divsChild>
    </w:div>
    <w:div w:id="2054309589">
      <w:bodyDiv w:val="1"/>
      <w:marLeft w:val="0"/>
      <w:marRight w:val="0"/>
      <w:marTop w:val="0"/>
      <w:marBottom w:val="0"/>
      <w:divBdr>
        <w:top w:val="none" w:sz="0" w:space="0" w:color="auto"/>
        <w:left w:val="none" w:sz="0" w:space="0" w:color="auto"/>
        <w:bottom w:val="none" w:sz="0" w:space="0" w:color="auto"/>
        <w:right w:val="none" w:sz="0" w:space="0" w:color="auto"/>
      </w:divBdr>
    </w:div>
    <w:div w:id="2054383786">
      <w:bodyDiv w:val="1"/>
      <w:marLeft w:val="0"/>
      <w:marRight w:val="0"/>
      <w:marTop w:val="0"/>
      <w:marBottom w:val="0"/>
      <w:divBdr>
        <w:top w:val="none" w:sz="0" w:space="0" w:color="auto"/>
        <w:left w:val="none" w:sz="0" w:space="0" w:color="auto"/>
        <w:bottom w:val="none" w:sz="0" w:space="0" w:color="auto"/>
        <w:right w:val="none" w:sz="0" w:space="0" w:color="auto"/>
      </w:divBdr>
      <w:divsChild>
        <w:div w:id="164443847">
          <w:marLeft w:val="0"/>
          <w:marRight w:val="0"/>
          <w:marTop w:val="0"/>
          <w:marBottom w:val="0"/>
          <w:divBdr>
            <w:top w:val="none" w:sz="0" w:space="0" w:color="auto"/>
            <w:left w:val="none" w:sz="0" w:space="0" w:color="auto"/>
            <w:bottom w:val="none" w:sz="0" w:space="0" w:color="auto"/>
            <w:right w:val="none" w:sz="0" w:space="0" w:color="auto"/>
          </w:divBdr>
          <w:divsChild>
            <w:div w:id="1420978847">
              <w:marLeft w:val="0"/>
              <w:marRight w:val="0"/>
              <w:marTop w:val="225"/>
              <w:marBottom w:val="225"/>
              <w:divBdr>
                <w:top w:val="none" w:sz="0" w:space="0" w:color="auto"/>
                <w:left w:val="none" w:sz="0" w:space="0" w:color="auto"/>
                <w:bottom w:val="none" w:sz="0" w:space="0" w:color="auto"/>
                <w:right w:val="none" w:sz="0" w:space="0" w:color="auto"/>
              </w:divBdr>
            </w:div>
          </w:divsChild>
        </w:div>
        <w:div w:id="481393363">
          <w:marLeft w:val="0"/>
          <w:marRight w:val="0"/>
          <w:marTop w:val="0"/>
          <w:marBottom w:val="150"/>
          <w:divBdr>
            <w:top w:val="none" w:sz="0" w:space="0" w:color="auto"/>
            <w:left w:val="none" w:sz="0" w:space="0" w:color="auto"/>
            <w:bottom w:val="none" w:sz="0" w:space="0" w:color="auto"/>
            <w:right w:val="none" w:sz="0" w:space="0" w:color="auto"/>
          </w:divBdr>
          <w:divsChild>
            <w:div w:id="1738938300">
              <w:marLeft w:val="0"/>
              <w:marRight w:val="0"/>
              <w:marTop w:val="0"/>
              <w:marBottom w:val="0"/>
              <w:divBdr>
                <w:top w:val="none" w:sz="0" w:space="0" w:color="auto"/>
                <w:left w:val="none" w:sz="0" w:space="0" w:color="auto"/>
                <w:bottom w:val="none" w:sz="0" w:space="0" w:color="auto"/>
                <w:right w:val="none" w:sz="0" w:space="0" w:color="auto"/>
              </w:divBdr>
              <w:divsChild>
                <w:div w:id="144946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551729">
          <w:marLeft w:val="0"/>
          <w:marRight w:val="0"/>
          <w:marTop w:val="0"/>
          <w:marBottom w:val="150"/>
          <w:divBdr>
            <w:top w:val="none" w:sz="0" w:space="0" w:color="auto"/>
            <w:left w:val="none" w:sz="0" w:space="0" w:color="auto"/>
            <w:bottom w:val="none" w:sz="0" w:space="0" w:color="auto"/>
            <w:right w:val="none" w:sz="0" w:space="0" w:color="auto"/>
          </w:divBdr>
        </w:div>
      </w:divsChild>
    </w:div>
    <w:div w:id="2054693782">
      <w:bodyDiv w:val="1"/>
      <w:marLeft w:val="0"/>
      <w:marRight w:val="0"/>
      <w:marTop w:val="0"/>
      <w:marBottom w:val="0"/>
      <w:divBdr>
        <w:top w:val="none" w:sz="0" w:space="0" w:color="auto"/>
        <w:left w:val="none" w:sz="0" w:space="0" w:color="auto"/>
        <w:bottom w:val="none" w:sz="0" w:space="0" w:color="auto"/>
        <w:right w:val="none" w:sz="0" w:space="0" w:color="auto"/>
      </w:divBdr>
      <w:divsChild>
        <w:div w:id="1495299367">
          <w:marLeft w:val="0"/>
          <w:marRight w:val="0"/>
          <w:marTop w:val="0"/>
          <w:marBottom w:val="0"/>
          <w:divBdr>
            <w:top w:val="none" w:sz="0" w:space="0" w:color="auto"/>
            <w:left w:val="none" w:sz="0" w:space="0" w:color="auto"/>
            <w:bottom w:val="none" w:sz="0" w:space="0" w:color="auto"/>
            <w:right w:val="none" w:sz="0" w:space="0" w:color="auto"/>
          </w:divBdr>
          <w:divsChild>
            <w:div w:id="1083722289">
              <w:marLeft w:val="0"/>
              <w:marRight w:val="0"/>
              <w:marTop w:val="0"/>
              <w:marBottom w:val="0"/>
              <w:divBdr>
                <w:top w:val="none" w:sz="0" w:space="0" w:color="auto"/>
                <w:left w:val="none" w:sz="0" w:space="0" w:color="auto"/>
                <w:bottom w:val="none" w:sz="0" w:space="0" w:color="auto"/>
                <w:right w:val="none" w:sz="0" w:space="0" w:color="auto"/>
              </w:divBdr>
              <w:divsChild>
                <w:div w:id="1064644176">
                  <w:marLeft w:val="0"/>
                  <w:marRight w:val="0"/>
                  <w:marTop w:val="0"/>
                  <w:marBottom w:val="150"/>
                  <w:divBdr>
                    <w:top w:val="none" w:sz="0" w:space="0" w:color="auto"/>
                    <w:left w:val="none" w:sz="0" w:space="0" w:color="auto"/>
                    <w:bottom w:val="none" w:sz="0" w:space="0" w:color="auto"/>
                    <w:right w:val="none" w:sz="0" w:space="0" w:color="auto"/>
                  </w:divBdr>
                  <w:divsChild>
                    <w:div w:id="5170856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54882753">
      <w:bodyDiv w:val="1"/>
      <w:marLeft w:val="0"/>
      <w:marRight w:val="0"/>
      <w:marTop w:val="0"/>
      <w:marBottom w:val="0"/>
      <w:divBdr>
        <w:top w:val="none" w:sz="0" w:space="0" w:color="auto"/>
        <w:left w:val="none" w:sz="0" w:space="0" w:color="auto"/>
        <w:bottom w:val="none" w:sz="0" w:space="0" w:color="auto"/>
        <w:right w:val="none" w:sz="0" w:space="0" w:color="auto"/>
      </w:divBdr>
      <w:divsChild>
        <w:div w:id="257952265">
          <w:marLeft w:val="0"/>
          <w:marRight w:val="0"/>
          <w:marTop w:val="0"/>
          <w:marBottom w:val="150"/>
          <w:divBdr>
            <w:top w:val="none" w:sz="0" w:space="0" w:color="auto"/>
            <w:left w:val="none" w:sz="0" w:space="0" w:color="auto"/>
            <w:bottom w:val="none" w:sz="0" w:space="0" w:color="auto"/>
            <w:right w:val="none" w:sz="0" w:space="0" w:color="auto"/>
          </w:divBdr>
        </w:div>
      </w:divsChild>
    </w:div>
    <w:div w:id="2055035017">
      <w:bodyDiv w:val="1"/>
      <w:marLeft w:val="0"/>
      <w:marRight w:val="0"/>
      <w:marTop w:val="0"/>
      <w:marBottom w:val="0"/>
      <w:divBdr>
        <w:top w:val="none" w:sz="0" w:space="0" w:color="auto"/>
        <w:left w:val="none" w:sz="0" w:space="0" w:color="auto"/>
        <w:bottom w:val="none" w:sz="0" w:space="0" w:color="auto"/>
        <w:right w:val="none" w:sz="0" w:space="0" w:color="auto"/>
      </w:divBdr>
      <w:divsChild>
        <w:div w:id="2120489745">
          <w:marLeft w:val="0"/>
          <w:marRight w:val="0"/>
          <w:marTop w:val="0"/>
          <w:marBottom w:val="150"/>
          <w:divBdr>
            <w:top w:val="none" w:sz="0" w:space="0" w:color="auto"/>
            <w:left w:val="none" w:sz="0" w:space="0" w:color="auto"/>
            <w:bottom w:val="none" w:sz="0" w:space="0" w:color="auto"/>
            <w:right w:val="none" w:sz="0" w:space="0" w:color="auto"/>
          </w:divBdr>
        </w:div>
      </w:divsChild>
    </w:div>
    <w:div w:id="2055612544">
      <w:bodyDiv w:val="1"/>
      <w:marLeft w:val="0"/>
      <w:marRight w:val="0"/>
      <w:marTop w:val="0"/>
      <w:marBottom w:val="0"/>
      <w:divBdr>
        <w:top w:val="none" w:sz="0" w:space="0" w:color="auto"/>
        <w:left w:val="none" w:sz="0" w:space="0" w:color="auto"/>
        <w:bottom w:val="none" w:sz="0" w:space="0" w:color="auto"/>
        <w:right w:val="none" w:sz="0" w:space="0" w:color="auto"/>
      </w:divBdr>
      <w:divsChild>
        <w:div w:id="348334900">
          <w:marLeft w:val="0"/>
          <w:marRight w:val="0"/>
          <w:marTop w:val="0"/>
          <w:marBottom w:val="0"/>
          <w:divBdr>
            <w:top w:val="none" w:sz="0" w:space="0" w:color="auto"/>
            <w:left w:val="none" w:sz="0" w:space="0" w:color="auto"/>
            <w:bottom w:val="dotted" w:sz="6" w:space="4" w:color="DDDDDD"/>
            <w:right w:val="none" w:sz="0" w:space="0" w:color="auto"/>
          </w:divBdr>
          <w:divsChild>
            <w:div w:id="66073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738724">
      <w:bodyDiv w:val="1"/>
      <w:marLeft w:val="0"/>
      <w:marRight w:val="0"/>
      <w:marTop w:val="0"/>
      <w:marBottom w:val="0"/>
      <w:divBdr>
        <w:top w:val="none" w:sz="0" w:space="0" w:color="auto"/>
        <w:left w:val="none" w:sz="0" w:space="0" w:color="auto"/>
        <w:bottom w:val="none" w:sz="0" w:space="0" w:color="auto"/>
        <w:right w:val="none" w:sz="0" w:space="0" w:color="auto"/>
      </w:divBdr>
      <w:divsChild>
        <w:div w:id="972754835">
          <w:marLeft w:val="0"/>
          <w:marRight w:val="0"/>
          <w:marTop w:val="0"/>
          <w:marBottom w:val="0"/>
          <w:divBdr>
            <w:top w:val="none" w:sz="0" w:space="0" w:color="auto"/>
            <w:left w:val="none" w:sz="0" w:space="0" w:color="auto"/>
            <w:bottom w:val="none" w:sz="0" w:space="0" w:color="auto"/>
            <w:right w:val="none" w:sz="0" w:space="0" w:color="auto"/>
          </w:divBdr>
        </w:div>
      </w:divsChild>
    </w:div>
    <w:div w:id="2055765928">
      <w:bodyDiv w:val="1"/>
      <w:marLeft w:val="0"/>
      <w:marRight w:val="0"/>
      <w:marTop w:val="0"/>
      <w:marBottom w:val="0"/>
      <w:divBdr>
        <w:top w:val="none" w:sz="0" w:space="0" w:color="auto"/>
        <w:left w:val="none" w:sz="0" w:space="0" w:color="auto"/>
        <w:bottom w:val="none" w:sz="0" w:space="0" w:color="auto"/>
        <w:right w:val="none" w:sz="0" w:space="0" w:color="auto"/>
      </w:divBdr>
      <w:divsChild>
        <w:div w:id="621883060">
          <w:marLeft w:val="0"/>
          <w:marRight w:val="0"/>
          <w:marTop w:val="0"/>
          <w:marBottom w:val="150"/>
          <w:divBdr>
            <w:top w:val="none" w:sz="0" w:space="0" w:color="auto"/>
            <w:left w:val="none" w:sz="0" w:space="0" w:color="auto"/>
            <w:bottom w:val="none" w:sz="0" w:space="0" w:color="auto"/>
            <w:right w:val="none" w:sz="0" w:space="0" w:color="auto"/>
          </w:divBdr>
        </w:div>
        <w:div w:id="909773821">
          <w:marLeft w:val="0"/>
          <w:marRight w:val="0"/>
          <w:marTop w:val="0"/>
          <w:marBottom w:val="0"/>
          <w:divBdr>
            <w:top w:val="none" w:sz="0" w:space="0" w:color="auto"/>
            <w:left w:val="none" w:sz="0" w:space="0" w:color="auto"/>
            <w:bottom w:val="none" w:sz="0" w:space="0" w:color="auto"/>
            <w:right w:val="none" w:sz="0" w:space="0" w:color="auto"/>
          </w:divBdr>
          <w:divsChild>
            <w:div w:id="823669268">
              <w:marLeft w:val="0"/>
              <w:marRight w:val="0"/>
              <w:marTop w:val="225"/>
              <w:marBottom w:val="225"/>
              <w:divBdr>
                <w:top w:val="none" w:sz="0" w:space="0" w:color="auto"/>
                <w:left w:val="none" w:sz="0" w:space="0" w:color="auto"/>
                <w:bottom w:val="none" w:sz="0" w:space="0" w:color="auto"/>
                <w:right w:val="none" w:sz="0" w:space="0" w:color="auto"/>
              </w:divBdr>
            </w:div>
          </w:divsChild>
        </w:div>
        <w:div w:id="1009866459">
          <w:marLeft w:val="0"/>
          <w:marRight w:val="0"/>
          <w:marTop w:val="0"/>
          <w:marBottom w:val="150"/>
          <w:divBdr>
            <w:top w:val="none" w:sz="0" w:space="0" w:color="auto"/>
            <w:left w:val="none" w:sz="0" w:space="0" w:color="auto"/>
            <w:bottom w:val="none" w:sz="0" w:space="0" w:color="auto"/>
            <w:right w:val="none" w:sz="0" w:space="0" w:color="auto"/>
          </w:divBdr>
          <w:divsChild>
            <w:div w:id="1854538507">
              <w:marLeft w:val="0"/>
              <w:marRight w:val="0"/>
              <w:marTop w:val="0"/>
              <w:marBottom w:val="0"/>
              <w:divBdr>
                <w:top w:val="none" w:sz="0" w:space="0" w:color="auto"/>
                <w:left w:val="none" w:sz="0" w:space="0" w:color="auto"/>
                <w:bottom w:val="none" w:sz="0" w:space="0" w:color="auto"/>
                <w:right w:val="none" w:sz="0" w:space="0" w:color="auto"/>
              </w:divBdr>
              <w:divsChild>
                <w:div w:id="125698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962545">
      <w:bodyDiv w:val="1"/>
      <w:marLeft w:val="0"/>
      <w:marRight w:val="0"/>
      <w:marTop w:val="0"/>
      <w:marBottom w:val="0"/>
      <w:divBdr>
        <w:top w:val="none" w:sz="0" w:space="0" w:color="auto"/>
        <w:left w:val="none" w:sz="0" w:space="0" w:color="auto"/>
        <w:bottom w:val="none" w:sz="0" w:space="0" w:color="auto"/>
        <w:right w:val="none" w:sz="0" w:space="0" w:color="auto"/>
      </w:divBdr>
      <w:divsChild>
        <w:div w:id="86077811">
          <w:marLeft w:val="0"/>
          <w:marRight w:val="0"/>
          <w:marTop w:val="0"/>
          <w:marBottom w:val="0"/>
          <w:divBdr>
            <w:top w:val="none" w:sz="0" w:space="0" w:color="auto"/>
            <w:left w:val="none" w:sz="0" w:space="0" w:color="auto"/>
            <w:bottom w:val="none" w:sz="0" w:space="0" w:color="auto"/>
            <w:right w:val="none" w:sz="0" w:space="0" w:color="auto"/>
          </w:divBdr>
          <w:divsChild>
            <w:div w:id="2129229902">
              <w:marLeft w:val="0"/>
              <w:marRight w:val="0"/>
              <w:marTop w:val="0"/>
              <w:marBottom w:val="0"/>
              <w:divBdr>
                <w:top w:val="none" w:sz="0" w:space="0" w:color="auto"/>
                <w:left w:val="none" w:sz="0" w:space="0" w:color="auto"/>
                <w:bottom w:val="none" w:sz="0" w:space="0" w:color="auto"/>
                <w:right w:val="none" w:sz="0" w:space="0" w:color="auto"/>
              </w:divBdr>
              <w:divsChild>
                <w:div w:id="639501025">
                  <w:marLeft w:val="0"/>
                  <w:marRight w:val="0"/>
                  <w:marTop w:val="0"/>
                  <w:marBottom w:val="0"/>
                  <w:divBdr>
                    <w:top w:val="none" w:sz="0" w:space="0" w:color="auto"/>
                    <w:left w:val="none" w:sz="0" w:space="0" w:color="auto"/>
                    <w:bottom w:val="none" w:sz="0" w:space="0" w:color="auto"/>
                    <w:right w:val="none" w:sz="0" w:space="0" w:color="auto"/>
                  </w:divBdr>
                  <w:divsChild>
                    <w:div w:id="8260676">
                      <w:marLeft w:val="0"/>
                      <w:marRight w:val="0"/>
                      <w:marTop w:val="0"/>
                      <w:marBottom w:val="0"/>
                      <w:divBdr>
                        <w:top w:val="none" w:sz="0" w:space="0" w:color="auto"/>
                        <w:left w:val="none" w:sz="0" w:space="0" w:color="auto"/>
                        <w:bottom w:val="none" w:sz="0" w:space="0" w:color="auto"/>
                        <w:right w:val="none" w:sz="0" w:space="0" w:color="auto"/>
                      </w:divBdr>
                      <w:divsChild>
                        <w:div w:id="642932115">
                          <w:marLeft w:val="0"/>
                          <w:marRight w:val="0"/>
                          <w:marTop w:val="0"/>
                          <w:marBottom w:val="0"/>
                          <w:divBdr>
                            <w:top w:val="none" w:sz="0" w:space="0" w:color="auto"/>
                            <w:left w:val="none" w:sz="0" w:space="0" w:color="auto"/>
                            <w:bottom w:val="none" w:sz="0" w:space="0" w:color="auto"/>
                            <w:right w:val="none" w:sz="0" w:space="0" w:color="auto"/>
                          </w:divBdr>
                          <w:divsChild>
                            <w:div w:id="141636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002944">
      <w:bodyDiv w:val="1"/>
      <w:marLeft w:val="0"/>
      <w:marRight w:val="0"/>
      <w:marTop w:val="0"/>
      <w:marBottom w:val="0"/>
      <w:divBdr>
        <w:top w:val="none" w:sz="0" w:space="0" w:color="auto"/>
        <w:left w:val="none" w:sz="0" w:space="0" w:color="auto"/>
        <w:bottom w:val="none" w:sz="0" w:space="0" w:color="auto"/>
        <w:right w:val="none" w:sz="0" w:space="0" w:color="auto"/>
      </w:divBdr>
      <w:divsChild>
        <w:div w:id="194656627">
          <w:marLeft w:val="0"/>
          <w:marRight w:val="0"/>
          <w:marTop w:val="0"/>
          <w:marBottom w:val="0"/>
          <w:divBdr>
            <w:top w:val="none" w:sz="0" w:space="0" w:color="auto"/>
            <w:left w:val="none" w:sz="0" w:space="0" w:color="auto"/>
            <w:bottom w:val="none" w:sz="0" w:space="0" w:color="auto"/>
            <w:right w:val="none" w:sz="0" w:space="0" w:color="auto"/>
          </w:divBdr>
          <w:divsChild>
            <w:div w:id="1294478299">
              <w:marLeft w:val="0"/>
              <w:marRight w:val="0"/>
              <w:marTop w:val="225"/>
              <w:marBottom w:val="225"/>
              <w:divBdr>
                <w:top w:val="none" w:sz="0" w:space="0" w:color="auto"/>
                <w:left w:val="none" w:sz="0" w:space="0" w:color="auto"/>
                <w:bottom w:val="none" w:sz="0" w:space="0" w:color="auto"/>
                <w:right w:val="none" w:sz="0" w:space="0" w:color="auto"/>
              </w:divBdr>
            </w:div>
          </w:divsChild>
        </w:div>
        <w:div w:id="1385832045">
          <w:marLeft w:val="0"/>
          <w:marRight w:val="0"/>
          <w:marTop w:val="0"/>
          <w:marBottom w:val="150"/>
          <w:divBdr>
            <w:top w:val="none" w:sz="0" w:space="0" w:color="auto"/>
            <w:left w:val="none" w:sz="0" w:space="0" w:color="auto"/>
            <w:bottom w:val="none" w:sz="0" w:space="0" w:color="auto"/>
            <w:right w:val="none" w:sz="0" w:space="0" w:color="auto"/>
          </w:divBdr>
          <w:divsChild>
            <w:div w:id="918563214">
              <w:marLeft w:val="0"/>
              <w:marRight w:val="0"/>
              <w:marTop w:val="0"/>
              <w:marBottom w:val="0"/>
              <w:divBdr>
                <w:top w:val="none" w:sz="0" w:space="0" w:color="auto"/>
                <w:left w:val="none" w:sz="0" w:space="0" w:color="auto"/>
                <w:bottom w:val="none" w:sz="0" w:space="0" w:color="auto"/>
                <w:right w:val="none" w:sz="0" w:space="0" w:color="auto"/>
              </w:divBdr>
              <w:divsChild>
                <w:div w:id="11383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60392">
          <w:marLeft w:val="0"/>
          <w:marRight w:val="0"/>
          <w:marTop w:val="0"/>
          <w:marBottom w:val="150"/>
          <w:divBdr>
            <w:top w:val="none" w:sz="0" w:space="0" w:color="auto"/>
            <w:left w:val="none" w:sz="0" w:space="0" w:color="auto"/>
            <w:bottom w:val="none" w:sz="0" w:space="0" w:color="auto"/>
            <w:right w:val="none" w:sz="0" w:space="0" w:color="auto"/>
          </w:divBdr>
        </w:div>
      </w:divsChild>
    </w:div>
    <w:div w:id="2056007770">
      <w:bodyDiv w:val="1"/>
      <w:marLeft w:val="0"/>
      <w:marRight w:val="0"/>
      <w:marTop w:val="0"/>
      <w:marBottom w:val="0"/>
      <w:divBdr>
        <w:top w:val="none" w:sz="0" w:space="0" w:color="auto"/>
        <w:left w:val="none" w:sz="0" w:space="0" w:color="auto"/>
        <w:bottom w:val="none" w:sz="0" w:space="0" w:color="auto"/>
        <w:right w:val="none" w:sz="0" w:space="0" w:color="auto"/>
      </w:divBdr>
      <w:divsChild>
        <w:div w:id="1866479690">
          <w:marLeft w:val="0"/>
          <w:marRight w:val="0"/>
          <w:marTop w:val="0"/>
          <w:marBottom w:val="0"/>
          <w:divBdr>
            <w:top w:val="none" w:sz="0" w:space="0" w:color="auto"/>
            <w:left w:val="none" w:sz="0" w:space="0" w:color="auto"/>
            <w:bottom w:val="none" w:sz="0" w:space="0" w:color="auto"/>
            <w:right w:val="none" w:sz="0" w:space="0" w:color="auto"/>
          </w:divBdr>
        </w:div>
      </w:divsChild>
    </w:div>
    <w:div w:id="2056276053">
      <w:bodyDiv w:val="1"/>
      <w:marLeft w:val="0"/>
      <w:marRight w:val="0"/>
      <w:marTop w:val="0"/>
      <w:marBottom w:val="0"/>
      <w:divBdr>
        <w:top w:val="none" w:sz="0" w:space="0" w:color="auto"/>
        <w:left w:val="none" w:sz="0" w:space="0" w:color="auto"/>
        <w:bottom w:val="none" w:sz="0" w:space="0" w:color="auto"/>
        <w:right w:val="none" w:sz="0" w:space="0" w:color="auto"/>
      </w:divBdr>
      <w:divsChild>
        <w:div w:id="1195847106">
          <w:marLeft w:val="0"/>
          <w:marRight w:val="0"/>
          <w:marTop w:val="0"/>
          <w:marBottom w:val="225"/>
          <w:divBdr>
            <w:top w:val="none" w:sz="0" w:space="0" w:color="auto"/>
            <w:left w:val="none" w:sz="0" w:space="0" w:color="auto"/>
            <w:bottom w:val="none" w:sz="0" w:space="0" w:color="auto"/>
            <w:right w:val="none" w:sz="0" w:space="0" w:color="auto"/>
          </w:divBdr>
          <w:divsChild>
            <w:div w:id="1257791446">
              <w:marLeft w:val="0"/>
              <w:marRight w:val="0"/>
              <w:marTop w:val="0"/>
              <w:marBottom w:val="0"/>
              <w:divBdr>
                <w:top w:val="none" w:sz="0" w:space="0" w:color="auto"/>
                <w:left w:val="none" w:sz="0" w:space="0" w:color="auto"/>
                <w:bottom w:val="none" w:sz="0" w:space="0" w:color="auto"/>
                <w:right w:val="none" w:sz="0" w:space="0" w:color="auto"/>
              </w:divBdr>
              <w:divsChild>
                <w:div w:id="60727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128164">
          <w:marLeft w:val="0"/>
          <w:marRight w:val="0"/>
          <w:marTop w:val="0"/>
          <w:marBottom w:val="225"/>
          <w:divBdr>
            <w:top w:val="none" w:sz="0" w:space="0" w:color="auto"/>
            <w:left w:val="none" w:sz="0" w:space="0" w:color="auto"/>
            <w:bottom w:val="none" w:sz="0" w:space="0" w:color="auto"/>
            <w:right w:val="none" w:sz="0" w:space="0" w:color="auto"/>
          </w:divBdr>
        </w:div>
      </w:divsChild>
    </w:div>
    <w:div w:id="2057117923">
      <w:bodyDiv w:val="1"/>
      <w:marLeft w:val="0"/>
      <w:marRight w:val="0"/>
      <w:marTop w:val="0"/>
      <w:marBottom w:val="0"/>
      <w:divBdr>
        <w:top w:val="none" w:sz="0" w:space="0" w:color="auto"/>
        <w:left w:val="none" w:sz="0" w:space="0" w:color="auto"/>
        <w:bottom w:val="none" w:sz="0" w:space="0" w:color="auto"/>
        <w:right w:val="none" w:sz="0" w:space="0" w:color="auto"/>
      </w:divBdr>
      <w:divsChild>
        <w:div w:id="239755824">
          <w:marLeft w:val="0"/>
          <w:marRight w:val="0"/>
          <w:marTop w:val="0"/>
          <w:marBottom w:val="0"/>
          <w:divBdr>
            <w:top w:val="none" w:sz="0" w:space="0" w:color="auto"/>
            <w:left w:val="none" w:sz="0" w:space="0" w:color="auto"/>
            <w:bottom w:val="none" w:sz="0" w:space="0" w:color="auto"/>
            <w:right w:val="none" w:sz="0" w:space="0" w:color="auto"/>
          </w:divBdr>
          <w:divsChild>
            <w:div w:id="1896769747">
              <w:marLeft w:val="0"/>
              <w:marRight w:val="0"/>
              <w:marTop w:val="0"/>
              <w:marBottom w:val="0"/>
              <w:divBdr>
                <w:top w:val="none" w:sz="0" w:space="0" w:color="auto"/>
                <w:left w:val="none" w:sz="0" w:space="0" w:color="auto"/>
                <w:bottom w:val="none" w:sz="0" w:space="0" w:color="auto"/>
                <w:right w:val="none" w:sz="0" w:space="0" w:color="auto"/>
              </w:divBdr>
              <w:divsChild>
                <w:div w:id="683021683">
                  <w:marLeft w:val="0"/>
                  <w:marRight w:val="0"/>
                  <w:marTop w:val="0"/>
                  <w:marBottom w:val="0"/>
                  <w:divBdr>
                    <w:top w:val="none" w:sz="0" w:space="0" w:color="auto"/>
                    <w:left w:val="none" w:sz="0" w:space="0" w:color="auto"/>
                    <w:bottom w:val="none" w:sz="0" w:space="0" w:color="auto"/>
                    <w:right w:val="none" w:sz="0" w:space="0" w:color="auto"/>
                  </w:divBdr>
                  <w:divsChild>
                    <w:div w:id="927806312">
                      <w:marLeft w:val="0"/>
                      <w:marRight w:val="0"/>
                      <w:marTop w:val="0"/>
                      <w:marBottom w:val="0"/>
                      <w:divBdr>
                        <w:top w:val="none" w:sz="0" w:space="0" w:color="auto"/>
                        <w:left w:val="none" w:sz="0" w:space="0" w:color="auto"/>
                        <w:bottom w:val="none" w:sz="0" w:space="0" w:color="auto"/>
                        <w:right w:val="none" w:sz="0" w:space="0" w:color="auto"/>
                      </w:divBdr>
                      <w:divsChild>
                        <w:div w:id="993796927">
                          <w:marLeft w:val="0"/>
                          <w:marRight w:val="0"/>
                          <w:marTop w:val="0"/>
                          <w:marBottom w:val="0"/>
                          <w:divBdr>
                            <w:top w:val="none" w:sz="0" w:space="0" w:color="auto"/>
                            <w:left w:val="none" w:sz="0" w:space="0" w:color="auto"/>
                            <w:bottom w:val="none" w:sz="0" w:space="0" w:color="auto"/>
                            <w:right w:val="none" w:sz="0" w:space="0" w:color="auto"/>
                          </w:divBdr>
                          <w:divsChild>
                            <w:div w:id="136767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698959">
      <w:bodyDiv w:val="1"/>
      <w:marLeft w:val="0"/>
      <w:marRight w:val="0"/>
      <w:marTop w:val="0"/>
      <w:marBottom w:val="0"/>
      <w:divBdr>
        <w:top w:val="none" w:sz="0" w:space="0" w:color="auto"/>
        <w:left w:val="none" w:sz="0" w:space="0" w:color="auto"/>
        <w:bottom w:val="none" w:sz="0" w:space="0" w:color="auto"/>
        <w:right w:val="none" w:sz="0" w:space="0" w:color="auto"/>
      </w:divBdr>
      <w:divsChild>
        <w:div w:id="2029064863">
          <w:marLeft w:val="0"/>
          <w:marRight w:val="0"/>
          <w:marTop w:val="0"/>
          <w:marBottom w:val="0"/>
          <w:divBdr>
            <w:top w:val="none" w:sz="0" w:space="0" w:color="auto"/>
            <w:left w:val="none" w:sz="0" w:space="0" w:color="auto"/>
            <w:bottom w:val="none" w:sz="0" w:space="0" w:color="auto"/>
            <w:right w:val="none" w:sz="0" w:space="0" w:color="auto"/>
          </w:divBdr>
        </w:div>
      </w:divsChild>
    </w:div>
    <w:div w:id="2059160965">
      <w:bodyDiv w:val="1"/>
      <w:marLeft w:val="0"/>
      <w:marRight w:val="0"/>
      <w:marTop w:val="0"/>
      <w:marBottom w:val="0"/>
      <w:divBdr>
        <w:top w:val="none" w:sz="0" w:space="0" w:color="auto"/>
        <w:left w:val="none" w:sz="0" w:space="0" w:color="auto"/>
        <w:bottom w:val="none" w:sz="0" w:space="0" w:color="auto"/>
        <w:right w:val="none" w:sz="0" w:space="0" w:color="auto"/>
      </w:divBdr>
      <w:divsChild>
        <w:div w:id="53819282">
          <w:marLeft w:val="0"/>
          <w:marRight w:val="0"/>
          <w:marTop w:val="0"/>
          <w:marBottom w:val="0"/>
          <w:divBdr>
            <w:top w:val="none" w:sz="0" w:space="0" w:color="auto"/>
            <w:left w:val="none" w:sz="0" w:space="0" w:color="auto"/>
            <w:bottom w:val="dotted" w:sz="6" w:space="4" w:color="DDDDDD"/>
            <w:right w:val="none" w:sz="0" w:space="0" w:color="auto"/>
          </w:divBdr>
          <w:divsChild>
            <w:div w:id="157839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621458">
      <w:bodyDiv w:val="1"/>
      <w:marLeft w:val="0"/>
      <w:marRight w:val="0"/>
      <w:marTop w:val="0"/>
      <w:marBottom w:val="0"/>
      <w:divBdr>
        <w:top w:val="none" w:sz="0" w:space="0" w:color="auto"/>
        <w:left w:val="none" w:sz="0" w:space="0" w:color="auto"/>
        <w:bottom w:val="none" w:sz="0" w:space="0" w:color="auto"/>
        <w:right w:val="none" w:sz="0" w:space="0" w:color="auto"/>
      </w:divBdr>
      <w:divsChild>
        <w:div w:id="1795516683">
          <w:marLeft w:val="0"/>
          <w:marRight w:val="0"/>
          <w:marTop w:val="0"/>
          <w:marBottom w:val="0"/>
          <w:divBdr>
            <w:top w:val="none" w:sz="0" w:space="0" w:color="auto"/>
            <w:left w:val="none" w:sz="0" w:space="0" w:color="auto"/>
            <w:bottom w:val="none" w:sz="0" w:space="0" w:color="auto"/>
            <w:right w:val="none" w:sz="0" w:space="0" w:color="auto"/>
          </w:divBdr>
          <w:divsChild>
            <w:div w:id="1537233725">
              <w:marLeft w:val="0"/>
              <w:marRight w:val="0"/>
              <w:marTop w:val="0"/>
              <w:marBottom w:val="0"/>
              <w:divBdr>
                <w:top w:val="none" w:sz="0" w:space="0" w:color="auto"/>
                <w:left w:val="none" w:sz="0" w:space="0" w:color="auto"/>
                <w:bottom w:val="none" w:sz="0" w:space="0" w:color="auto"/>
                <w:right w:val="none" w:sz="0" w:space="0" w:color="auto"/>
              </w:divBdr>
            </w:div>
            <w:div w:id="1729915724">
              <w:marLeft w:val="0"/>
              <w:marRight w:val="0"/>
              <w:marTop w:val="0"/>
              <w:marBottom w:val="150"/>
              <w:divBdr>
                <w:top w:val="none" w:sz="0" w:space="0" w:color="auto"/>
                <w:left w:val="none" w:sz="0" w:space="0" w:color="auto"/>
                <w:bottom w:val="none" w:sz="0" w:space="0" w:color="auto"/>
                <w:right w:val="none" w:sz="0" w:space="0" w:color="auto"/>
              </w:divBdr>
            </w:div>
          </w:divsChild>
        </w:div>
        <w:div w:id="2086535828">
          <w:marLeft w:val="0"/>
          <w:marRight w:val="0"/>
          <w:marTop w:val="0"/>
          <w:marBottom w:val="150"/>
          <w:divBdr>
            <w:top w:val="none" w:sz="0" w:space="0" w:color="auto"/>
            <w:left w:val="none" w:sz="0" w:space="0" w:color="auto"/>
            <w:bottom w:val="none" w:sz="0" w:space="0" w:color="auto"/>
            <w:right w:val="none" w:sz="0" w:space="0" w:color="auto"/>
          </w:divBdr>
          <w:divsChild>
            <w:div w:id="43039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082303">
      <w:bodyDiv w:val="1"/>
      <w:marLeft w:val="0"/>
      <w:marRight w:val="0"/>
      <w:marTop w:val="0"/>
      <w:marBottom w:val="0"/>
      <w:divBdr>
        <w:top w:val="none" w:sz="0" w:space="0" w:color="auto"/>
        <w:left w:val="none" w:sz="0" w:space="0" w:color="auto"/>
        <w:bottom w:val="none" w:sz="0" w:space="0" w:color="auto"/>
        <w:right w:val="none" w:sz="0" w:space="0" w:color="auto"/>
      </w:divBdr>
      <w:divsChild>
        <w:div w:id="339546459">
          <w:marLeft w:val="0"/>
          <w:marRight w:val="0"/>
          <w:marTop w:val="0"/>
          <w:marBottom w:val="150"/>
          <w:divBdr>
            <w:top w:val="none" w:sz="0" w:space="0" w:color="auto"/>
            <w:left w:val="none" w:sz="0" w:space="0" w:color="auto"/>
            <w:bottom w:val="none" w:sz="0" w:space="0" w:color="auto"/>
            <w:right w:val="none" w:sz="0" w:space="0" w:color="auto"/>
          </w:divBdr>
        </w:div>
        <w:div w:id="1593390947">
          <w:marLeft w:val="0"/>
          <w:marRight w:val="0"/>
          <w:marTop w:val="0"/>
          <w:marBottom w:val="0"/>
          <w:divBdr>
            <w:top w:val="none" w:sz="0" w:space="0" w:color="auto"/>
            <w:left w:val="none" w:sz="0" w:space="0" w:color="auto"/>
            <w:bottom w:val="none" w:sz="0" w:space="0" w:color="auto"/>
            <w:right w:val="none" w:sz="0" w:space="0" w:color="auto"/>
          </w:divBdr>
          <w:divsChild>
            <w:div w:id="219486412">
              <w:marLeft w:val="0"/>
              <w:marRight w:val="0"/>
              <w:marTop w:val="225"/>
              <w:marBottom w:val="225"/>
              <w:divBdr>
                <w:top w:val="none" w:sz="0" w:space="0" w:color="auto"/>
                <w:left w:val="none" w:sz="0" w:space="0" w:color="auto"/>
                <w:bottom w:val="none" w:sz="0" w:space="0" w:color="auto"/>
                <w:right w:val="none" w:sz="0" w:space="0" w:color="auto"/>
              </w:divBdr>
            </w:div>
          </w:divsChild>
        </w:div>
        <w:div w:id="1831287309">
          <w:marLeft w:val="0"/>
          <w:marRight w:val="0"/>
          <w:marTop w:val="0"/>
          <w:marBottom w:val="150"/>
          <w:divBdr>
            <w:top w:val="none" w:sz="0" w:space="0" w:color="auto"/>
            <w:left w:val="none" w:sz="0" w:space="0" w:color="auto"/>
            <w:bottom w:val="none" w:sz="0" w:space="0" w:color="auto"/>
            <w:right w:val="none" w:sz="0" w:space="0" w:color="auto"/>
          </w:divBdr>
          <w:divsChild>
            <w:div w:id="1427505662">
              <w:marLeft w:val="0"/>
              <w:marRight w:val="0"/>
              <w:marTop w:val="0"/>
              <w:marBottom w:val="0"/>
              <w:divBdr>
                <w:top w:val="none" w:sz="0" w:space="0" w:color="auto"/>
                <w:left w:val="none" w:sz="0" w:space="0" w:color="auto"/>
                <w:bottom w:val="none" w:sz="0" w:space="0" w:color="auto"/>
                <w:right w:val="none" w:sz="0" w:space="0" w:color="auto"/>
              </w:divBdr>
              <w:divsChild>
                <w:div w:id="172421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128899">
      <w:bodyDiv w:val="1"/>
      <w:marLeft w:val="0"/>
      <w:marRight w:val="0"/>
      <w:marTop w:val="0"/>
      <w:marBottom w:val="0"/>
      <w:divBdr>
        <w:top w:val="none" w:sz="0" w:space="0" w:color="auto"/>
        <w:left w:val="none" w:sz="0" w:space="0" w:color="auto"/>
        <w:bottom w:val="none" w:sz="0" w:space="0" w:color="auto"/>
        <w:right w:val="none" w:sz="0" w:space="0" w:color="auto"/>
      </w:divBdr>
      <w:divsChild>
        <w:div w:id="568619383">
          <w:marLeft w:val="0"/>
          <w:marRight w:val="0"/>
          <w:marTop w:val="0"/>
          <w:marBottom w:val="0"/>
          <w:divBdr>
            <w:top w:val="none" w:sz="0" w:space="0" w:color="auto"/>
            <w:left w:val="none" w:sz="0" w:space="0" w:color="auto"/>
            <w:bottom w:val="none" w:sz="0" w:space="0" w:color="auto"/>
            <w:right w:val="none" w:sz="0" w:space="0" w:color="auto"/>
          </w:divBdr>
          <w:divsChild>
            <w:div w:id="198863454">
              <w:marLeft w:val="0"/>
              <w:marRight w:val="0"/>
              <w:marTop w:val="0"/>
              <w:marBottom w:val="0"/>
              <w:divBdr>
                <w:top w:val="none" w:sz="0" w:space="0" w:color="auto"/>
                <w:left w:val="none" w:sz="0" w:space="0" w:color="auto"/>
                <w:bottom w:val="none" w:sz="0" w:space="0" w:color="auto"/>
                <w:right w:val="none" w:sz="0" w:space="0" w:color="auto"/>
              </w:divBdr>
            </w:div>
            <w:div w:id="268895826">
              <w:marLeft w:val="0"/>
              <w:marRight w:val="0"/>
              <w:marTop w:val="0"/>
              <w:marBottom w:val="0"/>
              <w:divBdr>
                <w:top w:val="none" w:sz="0" w:space="0" w:color="auto"/>
                <w:left w:val="none" w:sz="0" w:space="0" w:color="auto"/>
                <w:bottom w:val="none" w:sz="0" w:space="0" w:color="auto"/>
                <w:right w:val="none" w:sz="0" w:space="0" w:color="auto"/>
              </w:divBdr>
            </w:div>
            <w:div w:id="348993948">
              <w:marLeft w:val="0"/>
              <w:marRight w:val="0"/>
              <w:marTop w:val="0"/>
              <w:marBottom w:val="0"/>
              <w:divBdr>
                <w:top w:val="none" w:sz="0" w:space="0" w:color="auto"/>
                <w:left w:val="none" w:sz="0" w:space="0" w:color="auto"/>
                <w:bottom w:val="none" w:sz="0" w:space="0" w:color="auto"/>
                <w:right w:val="none" w:sz="0" w:space="0" w:color="auto"/>
              </w:divBdr>
            </w:div>
            <w:div w:id="455831677">
              <w:marLeft w:val="0"/>
              <w:marRight w:val="0"/>
              <w:marTop w:val="0"/>
              <w:marBottom w:val="0"/>
              <w:divBdr>
                <w:top w:val="none" w:sz="0" w:space="0" w:color="auto"/>
                <w:left w:val="none" w:sz="0" w:space="0" w:color="auto"/>
                <w:bottom w:val="none" w:sz="0" w:space="0" w:color="auto"/>
                <w:right w:val="none" w:sz="0" w:space="0" w:color="auto"/>
              </w:divBdr>
            </w:div>
            <w:div w:id="505443375">
              <w:marLeft w:val="0"/>
              <w:marRight w:val="0"/>
              <w:marTop w:val="0"/>
              <w:marBottom w:val="0"/>
              <w:divBdr>
                <w:top w:val="none" w:sz="0" w:space="0" w:color="auto"/>
                <w:left w:val="none" w:sz="0" w:space="0" w:color="auto"/>
                <w:bottom w:val="none" w:sz="0" w:space="0" w:color="auto"/>
                <w:right w:val="none" w:sz="0" w:space="0" w:color="auto"/>
              </w:divBdr>
            </w:div>
            <w:div w:id="576859988">
              <w:marLeft w:val="0"/>
              <w:marRight w:val="0"/>
              <w:marTop w:val="0"/>
              <w:marBottom w:val="0"/>
              <w:divBdr>
                <w:top w:val="none" w:sz="0" w:space="0" w:color="auto"/>
                <w:left w:val="none" w:sz="0" w:space="0" w:color="auto"/>
                <w:bottom w:val="none" w:sz="0" w:space="0" w:color="auto"/>
                <w:right w:val="none" w:sz="0" w:space="0" w:color="auto"/>
              </w:divBdr>
            </w:div>
            <w:div w:id="637958169">
              <w:marLeft w:val="0"/>
              <w:marRight w:val="0"/>
              <w:marTop w:val="0"/>
              <w:marBottom w:val="0"/>
              <w:divBdr>
                <w:top w:val="none" w:sz="0" w:space="0" w:color="auto"/>
                <w:left w:val="none" w:sz="0" w:space="0" w:color="auto"/>
                <w:bottom w:val="none" w:sz="0" w:space="0" w:color="auto"/>
                <w:right w:val="none" w:sz="0" w:space="0" w:color="auto"/>
              </w:divBdr>
            </w:div>
            <w:div w:id="766659326">
              <w:marLeft w:val="0"/>
              <w:marRight w:val="0"/>
              <w:marTop w:val="0"/>
              <w:marBottom w:val="0"/>
              <w:divBdr>
                <w:top w:val="none" w:sz="0" w:space="0" w:color="auto"/>
                <w:left w:val="none" w:sz="0" w:space="0" w:color="auto"/>
                <w:bottom w:val="none" w:sz="0" w:space="0" w:color="auto"/>
                <w:right w:val="none" w:sz="0" w:space="0" w:color="auto"/>
              </w:divBdr>
            </w:div>
            <w:div w:id="852455549">
              <w:marLeft w:val="0"/>
              <w:marRight w:val="0"/>
              <w:marTop w:val="0"/>
              <w:marBottom w:val="0"/>
              <w:divBdr>
                <w:top w:val="none" w:sz="0" w:space="0" w:color="auto"/>
                <w:left w:val="none" w:sz="0" w:space="0" w:color="auto"/>
                <w:bottom w:val="none" w:sz="0" w:space="0" w:color="auto"/>
                <w:right w:val="none" w:sz="0" w:space="0" w:color="auto"/>
              </w:divBdr>
            </w:div>
            <w:div w:id="888299865">
              <w:marLeft w:val="0"/>
              <w:marRight w:val="0"/>
              <w:marTop w:val="0"/>
              <w:marBottom w:val="0"/>
              <w:divBdr>
                <w:top w:val="none" w:sz="0" w:space="0" w:color="auto"/>
                <w:left w:val="none" w:sz="0" w:space="0" w:color="auto"/>
                <w:bottom w:val="none" w:sz="0" w:space="0" w:color="auto"/>
                <w:right w:val="none" w:sz="0" w:space="0" w:color="auto"/>
              </w:divBdr>
              <w:divsChild>
                <w:div w:id="863520574">
                  <w:marLeft w:val="0"/>
                  <w:marRight w:val="0"/>
                  <w:marTop w:val="0"/>
                  <w:marBottom w:val="0"/>
                  <w:divBdr>
                    <w:top w:val="none" w:sz="0" w:space="0" w:color="auto"/>
                    <w:left w:val="none" w:sz="0" w:space="0" w:color="auto"/>
                    <w:bottom w:val="none" w:sz="0" w:space="0" w:color="auto"/>
                    <w:right w:val="none" w:sz="0" w:space="0" w:color="auto"/>
                  </w:divBdr>
                </w:div>
              </w:divsChild>
            </w:div>
            <w:div w:id="901796378">
              <w:marLeft w:val="0"/>
              <w:marRight w:val="0"/>
              <w:marTop w:val="0"/>
              <w:marBottom w:val="0"/>
              <w:divBdr>
                <w:top w:val="none" w:sz="0" w:space="0" w:color="auto"/>
                <w:left w:val="none" w:sz="0" w:space="0" w:color="auto"/>
                <w:bottom w:val="none" w:sz="0" w:space="0" w:color="auto"/>
                <w:right w:val="none" w:sz="0" w:space="0" w:color="auto"/>
              </w:divBdr>
            </w:div>
            <w:div w:id="1026902297">
              <w:marLeft w:val="0"/>
              <w:marRight w:val="0"/>
              <w:marTop w:val="0"/>
              <w:marBottom w:val="0"/>
              <w:divBdr>
                <w:top w:val="none" w:sz="0" w:space="0" w:color="auto"/>
                <w:left w:val="none" w:sz="0" w:space="0" w:color="auto"/>
                <w:bottom w:val="none" w:sz="0" w:space="0" w:color="auto"/>
                <w:right w:val="none" w:sz="0" w:space="0" w:color="auto"/>
              </w:divBdr>
            </w:div>
            <w:div w:id="1081101068">
              <w:marLeft w:val="0"/>
              <w:marRight w:val="0"/>
              <w:marTop w:val="0"/>
              <w:marBottom w:val="0"/>
              <w:divBdr>
                <w:top w:val="none" w:sz="0" w:space="0" w:color="auto"/>
                <w:left w:val="none" w:sz="0" w:space="0" w:color="auto"/>
                <w:bottom w:val="none" w:sz="0" w:space="0" w:color="auto"/>
                <w:right w:val="none" w:sz="0" w:space="0" w:color="auto"/>
              </w:divBdr>
            </w:div>
            <w:div w:id="1500804110">
              <w:marLeft w:val="0"/>
              <w:marRight w:val="0"/>
              <w:marTop w:val="0"/>
              <w:marBottom w:val="0"/>
              <w:divBdr>
                <w:top w:val="none" w:sz="0" w:space="0" w:color="auto"/>
                <w:left w:val="none" w:sz="0" w:space="0" w:color="auto"/>
                <w:bottom w:val="none" w:sz="0" w:space="0" w:color="auto"/>
                <w:right w:val="none" w:sz="0" w:space="0" w:color="auto"/>
              </w:divBdr>
            </w:div>
            <w:div w:id="1641613543">
              <w:marLeft w:val="0"/>
              <w:marRight w:val="0"/>
              <w:marTop w:val="0"/>
              <w:marBottom w:val="0"/>
              <w:divBdr>
                <w:top w:val="none" w:sz="0" w:space="0" w:color="auto"/>
                <w:left w:val="none" w:sz="0" w:space="0" w:color="auto"/>
                <w:bottom w:val="none" w:sz="0" w:space="0" w:color="auto"/>
                <w:right w:val="none" w:sz="0" w:space="0" w:color="auto"/>
              </w:divBdr>
            </w:div>
            <w:div w:id="1649506166">
              <w:marLeft w:val="0"/>
              <w:marRight w:val="0"/>
              <w:marTop w:val="0"/>
              <w:marBottom w:val="0"/>
              <w:divBdr>
                <w:top w:val="none" w:sz="0" w:space="0" w:color="auto"/>
                <w:left w:val="none" w:sz="0" w:space="0" w:color="auto"/>
                <w:bottom w:val="none" w:sz="0" w:space="0" w:color="auto"/>
                <w:right w:val="none" w:sz="0" w:space="0" w:color="auto"/>
              </w:divBdr>
            </w:div>
            <w:div w:id="1960450781">
              <w:marLeft w:val="0"/>
              <w:marRight w:val="0"/>
              <w:marTop w:val="0"/>
              <w:marBottom w:val="0"/>
              <w:divBdr>
                <w:top w:val="none" w:sz="0" w:space="0" w:color="auto"/>
                <w:left w:val="none" w:sz="0" w:space="0" w:color="auto"/>
                <w:bottom w:val="none" w:sz="0" w:space="0" w:color="auto"/>
                <w:right w:val="none" w:sz="0" w:space="0" w:color="auto"/>
              </w:divBdr>
            </w:div>
            <w:div w:id="212048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472792">
      <w:bodyDiv w:val="1"/>
      <w:marLeft w:val="0"/>
      <w:marRight w:val="0"/>
      <w:marTop w:val="0"/>
      <w:marBottom w:val="0"/>
      <w:divBdr>
        <w:top w:val="none" w:sz="0" w:space="0" w:color="auto"/>
        <w:left w:val="none" w:sz="0" w:space="0" w:color="auto"/>
        <w:bottom w:val="none" w:sz="0" w:space="0" w:color="auto"/>
        <w:right w:val="none" w:sz="0" w:space="0" w:color="auto"/>
      </w:divBdr>
      <w:divsChild>
        <w:div w:id="1111360796">
          <w:marLeft w:val="0"/>
          <w:marRight w:val="0"/>
          <w:marTop w:val="0"/>
          <w:marBottom w:val="0"/>
          <w:divBdr>
            <w:top w:val="none" w:sz="0" w:space="0" w:color="auto"/>
            <w:left w:val="none" w:sz="0" w:space="0" w:color="auto"/>
            <w:bottom w:val="none" w:sz="0" w:space="0" w:color="auto"/>
            <w:right w:val="none" w:sz="0" w:space="0" w:color="auto"/>
          </w:divBdr>
          <w:divsChild>
            <w:div w:id="580019862">
              <w:marLeft w:val="0"/>
              <w:marRight w:val="0"/>
              <w:marTop w:val="0"/>
              <w:marBottom w:val="0"/>
              <w:divBdr>
                <w:top w:val="none" w:sz="0" w:space="0" w:color="auto"/>
                <w:left w:val="none" w:sz="0" w:space="0" w:color="auto"/>
                <w:bottom w:val="none" w:sz="0" w:space="0" w:color="auto"/>
                <w:right w:val="none" w:sz="0" w:space="0" w:color="auto"/>
              </w:divBdr>
            </w:div>
          </w:divsChild>
        </w:div>
        <w:div w:id="1215312328">
          <w:marLeft w:val="0"/>
          <w:marRight w:val="0"/>
          <w:marTop w:val="0"/>
          <w:marBottom w:val="150"/>
          <w:divBdr>
            <w:top w:val="none" w:sz="0" w:space="0" w:color="auto"/>
            <w:left w:val="none" w:sz="0" w:space="0" w:color="auto"/>
            <w:bottom w:val="none" w:sz="0" w:space="0" w:color="auto"/>
            <w:right w:val="none" w:sz="0" w:space="0" w:color="auto"/>
          </w:divBdr>
          <w:divsChild>
            <w:div w:id="196161404">
              <w:marLeft w:val="0"/>
              <w:marRight w:val="0"/>
              <w:marTop w:val="0"/>
              <w:marBottom w:val="0"/>
              <w:divBdr>
                <w:top w:val="none" w:sz="0" w:space="0" w:color="auto"/>
                <w:left w:val="none" w:sz="0" w:space="0" w:color="auto"/>
                <w:bottom w:val="none" w:sz="0" w:space="0" w:color="auto"/>
                <w:right w:val="none" w:sz="0" w:space="0" w:color="auto"/>
              </w:divBdr>
            </w:div>
          </w:divsChild>
        </w:div>
        <w:div w:id="1439451160">
          <w:marLeft w:val="0"/>
          <w:marRight w:val="0"/>
          <w:marTop w:val="0"/>
          <w:marBottom w:val="150"/>
          <w:divBdr>
            <w:top w:val="none" w:sz="0" w:space="0" w:color="auto"/>
            <w:left w:val="none" w:sz="0" w:space="0" w:color="auto"/>
            <w:bottom w:val="none" w:sz="0" w:space="0" w:color="auto"/>
            <w:right w:val="none" w:sz="0" w:space="0" w:color="auto"/>
          </w:divBdr>
        </w:div>
      </w:divsChild>
    </w:div>
    <w:div w:id="2060544490">
      <w:bodyDiv w:val="1"/>
      <w:marLeft w:val="0"/>
      <w:marRight w:val="0"/>
      <w:marTop w:val="0"/>
      <w:marBottom w:val="0"/>
      <w:divBdr>
        <w:top w:val="none" w:sz="0" w:space="0" w:color="auto"/>
        <w:left w:val="none" w:sz="0" w:space="0" w:color="auto"/>
        <w:bottom w:val="none" w:sz="0" w:space="0" w:color="auto"/>
        <w:right w:val="none" w:sz="0" w:space="0" w:color="auto"/>
      </w:divBdr>
      <w:divsChild>
        <w:div w:id="1615281493">
          <w:marLeft w:val="0"/>
          <w:marRight w:val="0"/>
          <w:marTop w:val="0"/>
          <w:marBottom w:val="0"/>
          <w:divBdr>
            <w:top w:val="none" w:sz="0" w:space="0" w:color="auto"/>
            <w:left w:val="none" w:sz="0" w:space="0" w:color="auto"/>
            <w:bottom w:val="none" w:sz="0" w:space="0" w:color="auto"/>
            <w:right w:val="none" w:sz="0" w:space="0" w:color="auto"/>
          </w:divBdr>
          <w:divsChild>
            <w:div w:id="1744329136">
              <w:marLeft w:val="0"/>
              <w:marRight w:val="0"/>
              <w:marTop w:val="0"/>
              <w:marBottom w:val="0"/>
              <w:divBdr>
                <w:top w:val="none" w:sz="0" w:space="0" w:color="auto"/>
                <w:left w:val="none" w:sz="0" w:space="0" w:color="auto"/>
                <w:bottom w:val="none" w:sz="0" w:space="0" w:color="auto"/>
                <w:right w:val="none" w:sz="0" w:space="0" w:color="auto"/>
              </w:divBdr>
              <w:divsChild>
                <w:div w:id="1019355631">
                  <w:marLeft w:val="0"/>
                  <w:marRight w:val="0"/>
                  <w:marTop w:val="0"/>
                  <w:marBottom w:val="0"/>
                  <w:divBdr>
                    <w:top w:val="none" w:sz="0" w:space="0" w:color="auto"/>
                    <w:left w:val="none" w:sz="0" w:space="0" w:color="auto"/>
                    <w:bottom w:val="none" w:sz="0" w:space="0" w:color="auto"/>
                    <w:right w:val="none" w:sz="0" w:space="0" w:color="auto"/>
                  </w:divBdr>
                  <w:divsChild>
                    <w:div w:id="990056697">
                      <w:marLeft w:val="0"/>
                      <w:marRight w:val="0"/>
                      <w:marTop w:val="0"/>
                      <w:marBottom w:val="0"/>
                      <w:divBdr>
                        <w:top w:val="none" w:sz="0" w:space="0" w:color="auto"/>
                        <w:left w:val="none" w:sz="0" w:space="0" w:color="auto"/>
                        <w:bottom w:val="none" w:sz="0" w:space="0" w:color="auto"/>
                        <w:right w:val="none" w:sz="0" w:space="0" w:color="auto"/>
                      </w:divBdr>
                      <w:divsChild>
                        <w:div w:id="1017122201">
                          <w:marLeft w:val="0"/>
                          <w:marRight w:val="0"/>
                          <w:marTop w:val="0"/>
                          <w:marBottom w:val="0"/>
                          <w:divBdr>
                            <w:top w:val="none" w:sz="0" w:space="0" w:color="auto"/>
                            <w:left w:val="none" w:sz="0" w:space="0" w:color="auto"/>
                            <w:bottom w:val="none" w:sz="0" w:space="0" w:color="auto"/>
                            <w:right w:val="none" w:sz="0" w:space="0" w:color="auto"/>
                          </w:divBdr>
                          <w:divsChild>
                            <w:div w:id="2098554512">
                              <w:marLeft w:val="0"/>
                              <w:marRight w:val="0"/>
                              <w:marTop w:val="0"/>
                              <w:marBottom w:val="0"/>
                              <w:divBdr>
                                <w:top w:val="none" w:sz="0" w:space="0" w:color="auto"/>
                                <w:left w:val="none" w:sz="0" w:space="0" w:color="auto"/>
                                <w:bottom w:val="none" w:sz="0" w:space="0" w:color="auto"/>
                                <w:right w:val="none" w:sz="0" w:space="0" w:color="auto"/>
                              </w:divBdr>
                              <w:divsChild>
                                <w:div w:id="233122852">
                                  <w:marLeft w:val="0"/>
                                  <w:marRight w:val="0"/>
                                  <w:marTop w:val="0"/>
                                  <w:marBottom w:val="0"/>
                                  <w:divBdr>
                                    <w:top w:val="none" w:sz="0" w:space="0" w:color="auto"/>
                                    <w:left w:val="none" w:sz="0" w:space="0" w:color="auto"/>
                                    <w:bottom w:val="none" w:sz="0" w:space="0" w:color="auto"/>
                                    <w:right w:val="none" w:sz="0" w:space="0" w:color="auto"/>
                                  </w:divBdr>
                                  <w:divsChild>
                                    <w:div w:id="192518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548205">
      <w:bodyDiv w:val="1"/>
      <w:marLeft w:val="0"/>
      <w:marRight w:val="0"/>
      <w:marTop w:val="0"/>
      <w:marBottom w:val="0"/>
      <w:divBdr>
        <w:top w:val="none" w:sz="0" w:space="0" w:color="auto"/>
        <w:left w:val="none" w:sz="0" w:space="0" w:color="auto"/>
        <w:bottom w:val="none" w:sz="0" w:space="0" w:color="auto"/>
        <w:right w:val="none" w:sz="0" w:space="0" w:color="auto"/>
      </w:divBdr>
      <w:divsChild>
        <w:div w:id="556862057">
          <w:marLeft w:val="0"/>
          <w:marRight w:val="0"/>
          <w:marTop w:val="0"/>
          <w:marBottom w:val="0"/>
          <w:divBdr>
            <w:top w:val="none" w:sz="0" w:space="0" w:color="auto"/>
            <w:left w:val="none" w:sz="0" w:space="0" w:color="auto"/>
            <w:bottom w:val="none" w:sz="0" w:space="0" w:color="auto"/>
            <w:right w:val="none" w:sz="0" w:space="0" w:color="auto"/>
          </w:divBdr>
          <w:divsChild>
            <w:div w:id="811824761">
              <w:marLeft w:val="0"/>
              <w:marRight w:val="0"/>
              <w:marTop w:val="0"/>
              <w:marBottom w:val="0"/>
              <w:divBdr>
                <w:top w:val="none" w:sz="0" w:space="0" w:color="auto"/>
                <w:left w:val="none" w:sz="0" w:space="0" w:color="auto"/>
                <w:bottom w:val="none" w:sz="0" w:space="0" w:color="auto"/>
                <w:right w:val="none" w:sz="0" w:space="0" w:color="auto"/>
              </w:divBdr>
              <w:divsChild>
                <w:div w:id="56055208">
                  <w:marLeft w:val="0"/>
                  <w:marRight w:val="0"/>
                  <w:marTop w:val="0"/>
                  <w:marBottom w:val="0"/>
                  <w:divBdr>
                    <w:top w:val="none" w:sz="0" w:space="0" w:color="auto"/>
                    <w:left w:val="none" w:sz="0" w:space="0" w:color="auto"/>
                    <w:bottom w:val="none" w:sz="0" w:space="0" w:color="auto"/>
                    <w:right w:val="none" w:sz="0" w:space="0" w:color="auto"/>
                  </w:divBdr>
                  <w:divsChild>
                    <w:div w:id="1439255908">
                      <w:marLeft w:val="0"/>
                      <w:marRight w:val="0"/>
                      <w:marTop w:val="0"/>
                      <w:marBottom w:val="0"/>
                      <w:divBdr>
                        <w:top w:val="none" w:sz="0" w:space="0" w:color="auto"/>
                        <w:left w:val="none" w:sz="0" w:space="0" w:color="auto"/>
                        <w:bottom w:val="none" w:sz="0" w:space="0" w:color="auto"/>
                        <w:right w:val="none" w:sz="0" w:space="0" w:color="auto"/>
                      </w:divBdr>
                      <w:divsChild>
                        <w:div w:id="453060216">
                          <w:marLeft w:val="0"/>
                          <w:marRight w:val="0"/>
                          <w:marTop w:val="0"/>
                          <w:marBottom w:val="0"/>
                          <w:divBdr>
                            <w:top w:val="none" w:sz="0" w:space="0" w:color="auto"/>
                            <w:left w:val="none" w:sz="0" w:space="0" w:color="auto"/>
                            <w:bottom w:val="none" w:sz="0" w:space="0" w:color="auto"/>
                            <w:right w:val="none" w:sz="0" w:space="0" w:color="auto"/>
                          </w:divBdr>
                          <w:divsChild>
                            <w:div w:id="1211267935">
                              <w:marLeft w:val="0"/>
                              <w:marRight w:val="0"/>
                              <w:marTop w:val="0"/>
                              <w:marBottom w:val="0"/>
                              <w:divBdr>
                                <w:top w:val="none" w:sz="0" w:space="0" w:color="auto"/>
                                <w:left w:val="none" w:sz="0" w:space="0" w:color="auto"/>
                                <w:bottom w:val="none" w:sz="0" w:space="0" w:color="auto"/>
                                <w:right w:val="none" w:sz="0" w:space="0" w:color="auto"/>
                              </w:divBdr>
                              <w:divsChild>
                                <w:div w:id="310795269">
                                  <w:marLeft w:val="0"/>
                                  <w:marRight w:val="0"/>
                                  <w:marTop w:val="0"/>
                                  <w:marBottom w:val="0"/>
                                  <w:divBdr>
                                    <w:top w:val="none" w:sz="0" w:space="0" w:color="auto"/>
                                    <w:left w:val="none" w:sz="0" w:space="0" w:color="auto"/>
                                    <w:bottom w:val="none" w:sz="0" w:space="0" w:color="auto"/>
                                    <w:right w:val="none" w:sz="0" w:space="0" w:color="auto"/>
                                  </w:divBdr>
                                  <w:divsChild>
                                    <w:div w:id="111667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593353">
      <w:bodyDiv w:val="1"/>
      <w:marLeft w:val="0"/>
      <w:marRight w:val="0"/>
      <w:marTop w:val="0"/>
      <w:marBottom w:val="0"/>
      <w:divBdr>
        <w:top w:val="none" w:sz="0" w:space="0" w:color="auto"/>
        <w:left w:val="none" w:sz="0" w:space="0" w:color="auto"/>
        <w:bottom w:val="none" w:sz="0" w:space="0" w:color="auto"/>
        <w:right w:val="none" w:sz="0" w:space="0" w:color="auto"/>
      </w:divBdr>
    </w:div>
    <w:div w:id="2060781007">
      <w:bodyDiv w:val="1"/>
      <w:marLeft w:val="0"/>
      <w:marRight w:val="0"/>
      <w:marTop w:val="0"/>
      <w:marBottom w:val="0"/>
      <w:divBdr>
        <w:top w:val="none" w:sz="0" w:space="0" w:color="auto"/>
        <w:left w:val="none" w:sz="0" w:space="0" w:color="auto"/>
        <w:bottom w:val="none" w:sz="0" w:space="0" w:color="auto"/>
        <w:right w:val="none" w:sz="0" w:space="0" w:color="auto"/>
      </w:divBdr>
    </w:div>
    <w:div w:id="2060785332">
      <w:bodyDiv w:val="1"/>
      <w:marLeft w:val="0"/>
      <w:marRight w:val="0"/>
      <w:marTop w:val="0"/>
      <w:marBottom w:val="0"/>
      <w:divBdr>
        <w:top w:val="none" w:sz="0" w:space="0" w:color="auto"/>
        <w:left w:val="none" w:sz="0" w:space="0" w:color="auto"/>
        <w:bottom w:val="none" w:sz="0" w:space="0" w:color="auto"/>
        <w:right w:val="none" w:sz="0" w:space="0" w:color="auto"/>
      </w:divBdr>
      <w:divsChild>
        <w:div w:id="1253197008">
          <w:marLeft w:val="0"/>
          <w:marRight w:val="0"/>
          <w:marTop w:val="0"/>
          <w:marBottom w:val="0"/>
          <w:divBdr>
            <w:top w:val="none" w:sz="0" w:space="0" w:color="auto"/>
            <w:left w:val="none" w:sz="0" w:space="0" w:color="auto"/>
            <w:bottom w:val="dotted" w:sz="6" w:space="4" w:color="DDDDDD"/>
            <w:right w:val="none" w:sz="0" w:space="0" w:color="auto"/>
          </w:divBdr>
          <w:divsChild>
            <w:div w:id="13738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861648">
      <w:bodyDiv w:val="1"/>
      <w:marLeft w:val="0"/>
      <w:marRight w:val="0"/>
      <w:marTop w:val="0"/>
      <w:marBottom w:val="0"/>
      <w:divBdr>
        <w:top w:val="none" w:sz="0" w:space="0" w:color="auto"/>
        <w:left w:val="none" w:sz="0" w:space="0" w:color="auto"/>
        <w:bottom w:val="none" w:sz="0" w:space="0" w:color="auto"/>
        <w:right w:val="none" w:sz="0" w:space="0" w:color="auto"/>
      </w:divBdr>
    </w:div>
    <w:div w:id="2060933341">
      <w:bodyDiv w:val="1"/>
      <w:marLeft w:val="0"/>
      <w:marRight w:val="0"/>
      <w:marTop w:val="0"/>
      <w:marBottom w:val="0"/>
      <w:divBdr>
        <w:top w:val="none" w:sz="0" w:space="0" w:color="auto"/>
        <w:left w:val="none" w:sz="0" w:space="0" w:color="auto"/>
        <w:bottom w:val="none" w:sz="0" w:space="0" w:color="auto"/>
        <w:right w:val="none" w:sz="0" w:space="0" w:color="auto"/>
      </w:divBdr>
    </w:div>
    <w:div w:id="2061204338">
      <w:bodyDiv w:val="1"/>
      <w:marLeft w:val="0"/>
      <w:marRight w:val="0"/>
      <w:marTop w:val="0"/>
      <w:marBottom w:val="0"/>
      <w:divBdr>
        <w:top w:val="none" w:sz="0" w:space="0" w:color="auto"/>
        <w:left w:val="none" w:sz="0" w:space="0" w:color="auto"/>
        <w:bottom w:val="none" w:sz="0" w:space="0" w:color="auto"/>
        <w:right w:val="none" w:sz="0" w:space="0" w:color="auto"/>
      </w:divBdr>
      <w:divsChild>
        <w:div w:id="820854378">
          <w:marLeft w:val="0"/>
          <w:marRight w:val="0"/>
          <w:marTop w:val="0"/>
          <w:marBottom w:val="0"/>
          <w:divBdr>
            <w:top w:val="none" w:sz="0" w:space="0" w:color="auto"/>
            <w:left w:val="none" w:sz="0" w:space="0" w:color="auto"/>
            <w:bottom w:val="none" w:sz="0" w:space="0" w:color="auto"/>
            <w:right w:val="none" w:sz="0" w:space="0" w:color="auto"/>
          </w:divBdr>
          <w:divsChild>
            <w:div w:id="439225683">
              <w:marLeft w:val="0"/>
              <w:marRight w:val="0"/>
              <w:marTop w:val="0"/>
              <w:marBottom w:val="0"/>
              <w:divBdr>
                <w:top w:val="none" w:sz="0" w:space="0" w:color="auto"/>
                <w:left w:val="none" w:sz="0" w:space="0" w:color="auto"/>
                <w:bottom w:val="none" w:sz="0" w:space="0" w:color="auto"/>
                <w:right w:val="none" w:sz="0" w:space="0" w:color="auto"/>
              </w:divBdr>
              <w:divsChild>
                <w:div w:id="1412435853">
                  <w:marLeft w:val="0"/>
                  <w:marRight w:val="0"/>
                  <w:marTop w:val="0"/>
                  <w:marBottom w:val="0"/>
                  <w:divBdr>
                    <w:top w:val="none" w:sz="0" w:space="0" w:color="auto"/>
                    <w:left w:val="none" w:sz="0" w:space="0" w:color="auto"/>
                    <w:bottom w:val="none" w:sz="0" w:space="0" w:color="auto"/>
                    <w:right w:val="none" w:sz="0" w:space="0" w:color="auto"/>
                  </w:divBdr>
                  <w:divsChild>
                    <w:div w:id="1355227584">
                      <w:marLeft w:val="0"/>
                      <w:marRight w:val="0"/>
                      <w:marTop w:val="0"/>
                      <w:marBottom w:val="0"/>
                      <w:divBdr>
                        <w:top w:val="none" w:sz="0" w:space="0" w:color="auto"/>
                        <w:left w:val="none" w:sz="0" w:space="0" w:color="auto"/>
                        <w:bottom w:val="none" w:sz="0" w:space="0" w:color="auto"/>
                        <w:right w:val="none" w:sz="0" w:space="0" w:color="auto"/>
                      </w:divBdr>
                      <w:divsChild>
                        <w:div w:id="49042920">
                          <w:marLeft w:val="0"/>
                          <w:marRight w:val="0"/>
                          <w:marTop w:val="0"/>
                          <w:marBottom w:val="0"/>
                          <w:divBdr>
                            <w:top w:val="none" w:sz="0" w:space="0" w:color="auto"/>
                            <w:left w:val="none" w:sz="0" w:space="0" w:color="auto"/>
                            <w:bottom w:val="none" w:sz="0" w:space="0" w:color="auto"/>
                            <w:right w:val="none" w:sz="0" w:space="0" w:color="auto"/>
                          </w:divBdr>
                          <w:divsChild>
                            <w:div w:id="158040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248913">
      <w:bodyDiv w:val="1"/>
      <w:marLeft w:val="0"/>
      <w:marRight w:val="0"/>
      <w:marTop w:val="0"/>
      <w:marBottom w:val="0"/>
      <w:divBdr>
        <w:top w:val="none" w:sz="0" w:space="0" w:color="auto"/>
        <w:left w:val="none" w:sz="0" w:space="0" w:color="auto"/>
        <w:bottom w:val="none" w:sz="0" w:space="0" w:color="auto"/>
        <w:right w:val="none" w:sz="0" w:space="0" w:color="auto"/>
      </w:divBdr>
      <w:divsChild>
        <w:div w:id="148786254">
          <w:marLeft w:val="0"/>
          <w:marRight w:val="0"/>
          <w:marTop w:val="0"/>
          <w:marBottom w:val="0"/>
          <w:divBdr>
            <w:top w:val="none" w:sz="0" w:space="0" w:color="auto"/>
            <w:left w:val="none" w:sz="0" w:space="0" w:color="auto"/>
            <w:bottom w:val="none" w:sz="0" w:space="0" w:color="auto"/>
            <w:right w:val="none" w:sz="0" w:space="0" w:color="auto"/>
          </w:divBdr>
        </w:div>
      </w:divsChild>
    </w:div>
    <w:div w:id="2061442615">
      <w:bodyDiv w:val="1"/>
      <w:marLeft w:val="0"/>
      <w:marRight w:val="0"/>
      <w:marTop w:val="0"/>
      <w:marBottom w:val="0"/>
      <w:divBdr>
        <w:top w:val="none" w:sz="0" w:space="0" w:color="auto"/>
        <w:left w:val="none" w:sz="0" w:space="0" w:color="auto"/>
        <w:bottom w:val="none" w:sz="0" w:space="0" w:color="auto"/>
        <w:right w:val="none" w:sz="0" w:space="0" w:color="auto"/>
      </w:divBdr>
      <w:divsChild>
        <w:div w:id="779838034">
          <w:marLeft w:val="0"/>
          <w:marRight w:val="0"/>
          <w:marTop w:val="0"/>
          <w:marBottom w:val="0"/>
          <w:divBdr>
            <w:top w:val="none" w:sz="0" w:space="0" w:color="auto"/>
            <w:left w:val="none" w:sz="0" w:space="0" w:color="auto"/>
            <w:bottom w:val="dotted" w:sz="6" w:space="4" w:color="DDDDDD"/>
            <w:right w:val="none" w:sz="0" w:space="0" w:color="auto"/>
          </w:divBdr>
        </w:div>
      </w:divsChild>
    </w:div>
    <w:div w:id="2061661912">
      <w:bodyDiv w:val="1"/>
      <w:marLeft w:val="0"/>
      <w:marRight w:val="0"/>
      <w:marTop w:val="0"/>
      <w:marBottom w:val="0"/>
      <w:divBdr>
        <w:top w:val="none" w:sz="0" w:space="0" w:color="auto"/>
        <w:left w:val="none" w:sz="0" w:space="0" w:color="auto"/>
        <w:bottom w:val="none" w:sz="0" w:space="0" w:color="auto"/>
        <w:right w:val="none" w:sz="0" w:space="0" w:color="auto"/>
      </w:divBdr>
      <w:divsChild>
        <w:div w:id="513492196">
          <w:marLeft w:val="0"/>
          <w:marRight w:val="0"/>
          <w:marTop w:val="0"/>
          <w:marBottom w:val="0"/>
          <w:divBdr>
            <w:top w:val="none" w:sz="0" w:space="0" w:color="auto"/>
            <w:left w:val="none" w:sz="0" w:space="0" w:color="auto"/>
            <w:bottom w:val="none" w:sz="0" w:space="0" w:color="auto"/>
            <w:right w:val="none" w:sz="0" w:space="0" w:color="auto"/>
          </w:divBdr>
          <w:divsChild>
            <w:div w:id="735468885">
              <w:marLeft w:val="0"/>
              <w:marRight w:val="0"/>
              <w:marTop w:val="0"/>
              <w:marBottom w:val="0"/>
              <w:divBdr>
                <w:top w:val="none" w:sz="0" w:space="0" w:color="auto"/>
                <w:left w:val="none" w:sz="0" w:space="0" w:color="auto"/>
                <w:bottom w:val="none" w:sz="0" w:space="0" w:color="auto"/>
                <w:right w:val="none" w:sz="0" w:space="0" w:color="auto"/>
              </w:divBdr>
              <w:divsChild>
                <w:div w:id="1774938054">
                  <w:marLeft w:val="30"/>
                  <w:marRight w:val="30"/>
                  <w:marTop w:val="0"/>
                  <w:marBottom w:val="0"/>
                  <w:divBdr>
                    <w:top w:val="none" w:sz="0" w:space="0" w:color="auto"/>
                    <w:left w:val="none" w:sz="0" w:space="0" w:color="auto"/>
                    <w:bottom w:val="none" w:sz="0" w:space="0" w:color="auto"/>
                    <w:right w:val="none" w:sz="0" w:space="0" w:color="auto"/>
                  </w:divBdr>
                  <w:divsChild>
                    <w:div w:id="404649244">
                      <w:marLeft w:val="0"/>
                      <w:marRight w:val="0"/>
                      <w:marTop w:val="0"/>
                      <w:marBottom w:val="0"/>
                      <w:divBdr>
                        <w:top w:val="none" w:sz="0" w:space="0" w:color="auto"/>
                        <w:left w:val="none" w:sz="0" w:space="0" w:color="auto"/>
                        <w:bottom w:val="none" w:sz="0" w:space="0" w:color="auto"/>
                        <w:right w:val="none" w:sz="0" w:space="0" w:color="auto"/>
                      </w:divBdr>
                      <w:divsChild>
                        <w:div w:id="1519851669">
                          <w:marLeft w:val="0"/>
                          <w:marRight w:val="0"/>
                          <w:marTop w:val="0"/>
                          <w:marBottom w:val="0"/>
                          <w:divBdr>
                            <w:top w:val="none" w:sz="0" w:space="0" w:color="auto"/>
                            <w:left w:val="none" w:sz="0" w:space="0" w:color="auto"/>
                            <w:bottom w:val="none" w:sz="0" w:space="0" w:color="auto"/>
                            <w:right w:val="none" w:sz="0" w:space="0" w:color="auto"/>
                          </w:divBdr>
                          <w:divsChild>
                            <w:div w:id="1765345106">
                              <w:marLeft w:val="0"/>
                              <w:marRight w:val="0"/>
                              <w:marTop w:val="0"/>
                              <w:marBottom w:val="0"/>
                              <w:divBdr>
                                <w:top w:val="none" w:sz="0" w:space="0" w:color="auto"/>
                                <w:left w:val="none" w:sz="0" w:space="0" w:color="auto"/>
                                <w:bottom w:val="none" w:sz="0" w:space="0" w:color="auto"/>
                                <w:right w:val="none" w:sz="0" w:space="0" w:color="auto"/>
                              </w:divBdr>
                              <w:divsChild>
                                <w:div w:id="539900868">
                                  <w:marLeft w:val="0"/>
                                  <w:marRight w:val="0"/>
                                  <w:marTop w:val="0"/>
                                  <w:marBottom w:val="0"/>
                                  <w:divBdr>
                                    <w:top w:val="none" w:sz="0" w:space="0" w:color="auto"/>
                                    <w:left w:val="none" w:sz="0" w:space="0" w:color="auto"/>
                                    <w:bottom w:val="none" w:sz="0" w:space="0" w:color="auto"/>
                                    <w:right w:val="none" w:sz="0" w:space="0" w:color="auto"/>
                                  </w:divBdr>
                                  <w:divsChild>
                                    <w:div w:id="21667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897204">
      <w:bodyDiv w:val="1"/>
      <w:marLeft w:val="0"/>
      <w:marRight w:val="0"/>
      <w:marTop w:val="0"/>
      <w:marBottom w:val="0"/>
      <w:divBdr>
        <w:top w:val="none" w:sz="0" w:space="0" w:color="auto"/>
        <w:left w:val="none" w:sz="0" w:space="0" w:color="auto"/>
        <w:bottom w:val="none" w:sz="0" w:space="0" w:color="auto"/>
        <w:right w:val="none" w:sz="0" w:space="0" w:color="auto"/>
      </w:divBdr>
      <w:divsChild>
        <w:div w:id="1368750361">
          <w:marLeft w:val="0"/>
          <w:marRight w:val="0"/>
          <w:marTop w:val="0"/>
          <w:marBottom w:val="150"/>
          <w:divBdr>
            <w:top w:val="none" w:sz="0" w:space="0" w:color="auto"/>
            <w:left w:val="none" w:sz="0" w:space="0" w:color="auto"/>
            <w:bottom w:val="none" w:sz="0" w:space="0" w:color="auto"/>
            <w:right w:val="none" w:sz="0" w:space="0" w:color="auto"/>
          </w:divBdr>
        </w:div>
        <w:div w:id="1574776501">
          <w:marLeft w:val="0"/>
          <w:marRight w:val="0"/>
          <w:marTop w:val="0"/>
          <w:marBottom w:val="0"/>
          <w:divBdr>
            <w:top w:val="none" w:sz="0" w:space="0" w:color="auto"/>
            <w:left w:val="none" w:sz="0" w:space="0" w:color="auto"/>
            <w:bottom w:val="none" w:sz="0" w:space="0" w:color="auto"/>
            <w:right w:val="none" w:sz="0" w:space="0" w:color="auto"/>
          </w:divBdr>
        </w:div>
      </w:divsChild>
    </w:div>
    <w:div w:id="2062240078">
      <w:bodyDiv w:val="1"/>
      <w:marLeft w:val="0"/>
      <w:marRight w:val="0"/>
      <w:marTop w:val="0"/>
      <w:marBottom w:val="0"/>
      <w:divBdr>
        <w:top w:val="none" w:sz="0" w:space="0" w:color="auto"/>
        <w:left w:val="none" w:sz="0" w:space="0" w:color="auto"/>
        <w:bottom w:val="none" w:sz="0" w:space="0" w:color="auto"/>
        <w:right w:val="none" w:sz="0" w:space="0" w:color="auto"/>
      </w:divBdr>
    </w:div>
    <w:div w:id="2062439017">
      <w:bodyDiv w:val="1"/>
      <w:marLeft w:val="0"/>
      <w:marRight w:val="0"/>
      <w:marTop w:val="0"/>
      <w:marBottom w:val="0"/>
      <w:divBdr>
        <w:top w:val="none" w:sz="0" w:space="0" w:color="auto"/>
        <w:left w:val="none" w:sz="0" w:space="0" w:color="auto"/>
        <w:bottom w:val="none" w:sz="0" w:space="0" w:color="auto"/>
        <w:right w:val="none" w:sz="0" w:space="0" w:color="auto"/>
      </w:divBdr>
      <w:divsChild>
        <w:div w:id="901527762">
          <w:marLeft w:val="0"/>
          <w:marRight w:val="0"/>
          <w:marTop w:val="0"/>
          <w:marBottom w:val="0"/>
          <w:divBdr>
            <w:top w:val="none" w:sz="0" w:space="0" w:color="auto"/>
            <w:left w:val="none" w:sz="0" w:space="0" w:color="auto"/>
            <w:bottom w:val="none" w:sz="0" w:space="0" w:color="auto"/>
            <w:right w:val="none" w:sz="0" w:space="0" w:color="auto"/>
          </w:divBdr>
        </w:div>
      </w:divsChild>
    </w:div>
    <w:div w:id="2063820473">
      <w:bodyDiv w:val="1"/>
      <w:marLeft w:val="0"/>
      <w:marRight w:val="0"/>
      <w:marTop w:val="0"/>
      <w:marBottom w:val="0"/>
      <w:divBdr>
        <w:top w:val="none" w:sz="0" w:space="0" w:color="auto"/>
        <w:left w:val="none" w:sz="0" w:space="0" w:color="auto"/>
        <w:bottom w:val="none" w:sz="0" w:space="0" w:color="auto"/>
        <w:right w:val="none" w:sz="0" w:space="0" w:color="auto"/>
      </w:divBdr>
      <w:divsChild>
        <w:div w:id="530387167">
          <w:marLeft w:val="0"/>
          <w:marRight w:val="0"/>
          <w:marTop w:val="0"/>
          <w:marBottom w:val="150"/>
          <w:divBdr>
            <w:top w:val="none" w:sz="0" w:space="0" w:color="auto"/>
            <w:left w:val="none" w:sz="0" w:space="0" w:color="auto"/>
            <w:bottom w:val="none" w:sz="0" w:space="0" w:color="auto"/>
            <w:right w:val="none" w:sz="0" w:space="0" w:color="auto"/>
          </w:divBdr>
          <w:divsChild>
            <w:div w:id="848761554">
              <w:marLeft w:val="0"/>
              <w:marRight w:val="0"/>
              <w:marTop w:val="0"/>
              <w:marBottom w:val="0"/>
              <w:divBdr>
                <w:top w:val="none" w:sz="0" w:space="0" w:color="auto"/>
                <w:left w:val="none" w:sz="0" w:space="0" w:color="auto"/>
                <w:bottom w:val="none" w:sz="0" w:space="0" w:color="auto"/>
                <w:right w:val="none" w:sz="0" w:space="0" w:color="auto"/>
              </w:divBdr>
              <w:divsChild>
                <w:div w:id="2002855253">
                  <w:marLeft w:val="0"/>
                  <w:marRight w:val="0"/>
                  <w:marTop w:val="0"/>
                  <w:marBottom w:val="0"/>
                  <w:divBdr>
                    <w:top w:val="none" w:sz="0" w:space="0" w:color="auto"/>
                    <w:left w:val="none" w:sz="0" w:space="0" w:color="auto"/>
                    <w:bottom w:val="none" w:sz="0" w:space="0" w:color="auto"/>
                    <w:right w:val="none" w:sz="0" w:space="0" w:color="auto"/>
                  </w:divBdr>
                  <w:divsChild>
                    <w:div w:id="1752119983">
                      <w:marLeft w:val="0"/>
                      <w:marRight w:val="150"/>
                      <w:marTop w:val="0"/>
                      <w:marBottom w:val="0"/>
                      <w:divBdr>
                        <w:top w:val="none" w:sz="0" w:space="0" w:color="auto"/>
                        <w:left w:val="none" w:sz="0" w:space="0" w:color="auto"/>
                        <w:bottom w:val="none" w:sz="0" w:space="0" w:color="auto"/>
                        <w:right w:val="none" w:sz="0" w:space="0" w:color="auto"/>
                      </w:divBdr>
                      <w:divsChild>
                        <w:div w:id="180723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382698">
          <w:marLeft w:val="0"/>
          <w:marRight w:val="0"/>
          <w:marTop w:val="0"/>
          <w:marBottom w:val="150"/>
          <w:divBdr>
            <w:top w:val="none" w:sz="0" w:space="0" w:color="auto"/>
            <w:left w:val="none" w:sz="0" w:space="0" w:color="auto"/>
            <w:bottom w:val="none" w:sz="0" w:space="0" w:color="auto"/>
            <w:right w:val="none" w:sz="0" w:space="0" w:color="auto"/>
          </w:divBdr>
        </w:div>
        <w:div w:id="1555701859">
          <w:marLeft w:val="0"/>
          <w:marRight w:val="0"/>
          <w:marTop w:val="0"/>
          <w:marBottom w:val="0"/>
          <w:divBdr>
            <w:top w:val="none" w:sz="0" w:space="0" w:color="auto"/>
            <w:left w:val="none" w:sz="0" w:space="0" w:color="auto"/>
            <w:bottom w:val="none" w:sz="0" w:space="0" w:color="auto"/>
            <w:right w:val="none" w:sz="0" w:space="0" w:color="auto"/>
          </w:divBdr>
          <w:divsChild>
            <w:div w:id="176214626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63869348">
      <w:bodyDiv w:val="1"/>
      <w:marLeft w:val="0"/>
      <w:marRight w:val="0"/>
      <w:marTop w:val="0"/>
      <w:marBottom w:val="0"/>
      <w:divBdr>
        <w:top w:val="none" w:sz="0" w:space="0" w:color="auto"/>
        <w:left w:val="none" w:sz="0" w:space="0" w:color="auto"/>
        <w:bottom w:val="none" w:sz="0" w:space="0" w:color="auto"/>
        <w:right w:val="none" w:sz="0" w:space="0" w:color="auto"/>
      </w:divBdr>
    </w:div>
    <w:div w:id="2064013229">
      <w:bodyDiv w:val="1"/>
      <w:marLeft w:val="0"/>
      <w:marRight w:val="0"/>
      <w:marTop w:val="0"/>
      <w:marBottom w:val="0"/>
      <w:divBdr>
        <w:top w:val="none" w:sz="0" w:space="0" w:color="auto"/>
        <w:left w:val="none" w:sz="0" w:space="0" w:color="auto"/>
        <w:bottom w:val="none" w:sz="0" w:space="0" w:color="auto"/>
        <w:right w:val="none" w:sz="0" w:space="0" w:color="auto"/>
      </w:divBdr>
      <w:divsChild>
        <w:div w:id="352222900">
          <w:marLeft w:val="0"/>
          <w:marRight w:val="0"/>
          <w:marTop w:val="0"/>
          <w:marBottom w:val="0"/>
          <w:divBdr>
            <w:top w:val="none" w:sz="0" w:space="0" w:color="auto"/>
            <w:left w:val="none" w:sz="0" w:space="0" w:color="auto"/>
            <w:bottom w:val="none" w:sz="0" w:space="0" w:color="auto"/>
            <w:right w:val="none" w:sz="0" w:space="0" w:color="auto"/>
          </w:divBdr>
        </w:div>
      </w:divsChild>
    </w:div>
    <w:div w:id="2064208003">
      <w:bodyDiv w:val="1"/>
      <w:marLeft w:val="0"/>
      <w:marRight w:val="0"/>
      <w:marTop w:val="0"/>
      <w:marBottom w:val="0"/>
      <w:divBdr>
        <w:top w:val="none" w:sz="0" w:space="0" w:color="auto"/>
        <w:left w:val="none" w:sz="0" w:space="0" w:color="auto"/>
        <w:bottom w:val="none" w:sz="0" w:space="0" w:color="auto"/>
        <w:right w:val="none" w:sz="0" w:space="0" w:color="auto"/>
      </w:divBdr>
    </w:div>
    <w:div w:id="2064208521">
      <w:bodyDiv w:val="1"/>
      <w:marLeft w:val="0"/>
      <w:marRight w:val="0"/>
      <w:marTop w:val="0"/>
      <w:marBottom w:val="0"/>
      <w:divBdr>
        <w:top w:val="none" w:sz="0" w:space="0" w:color="auto"/>
        <w:left w:val="none" w:sz="0" w:space="0" w:color="auto"/>
        <w:bottom w:val="none" w:sz="0" w:space="0" w:color="auto"/>
        <w:right w:val="none" w:sz="0" w:space="0" w:color="auto"/>
      </w:divBdr>
      <w:divsChild>
        <w:div w:id="325474009">
          <w:marLeft w:val="0"/>
          <w:marRight w:val="0"/>
          <w:marTop w:val="150"/>
          <w:marBottom w:val="0"/>
          <w:divBdr>
            <w:top w:val="none" w:sz="0" w:space="0" w:color="auto"/>
            <w:left w:val="none" w:sz="0" w:space="0" w:color="auto"/>
            <w:bottom w:val="none" w:sz="0" w:space="0" w:color="auto"/>
            <w:right w:val="none" w:sz="0" w:space="0" w:color="auto"/>
          </w:divBdr>
          <w:divsChild>
            <w:div w:id="2143035645">
              <w:marLeft w:val="0"/>
              <w:marRight w:val="0"/>
              <w:marTop w:val="0"/>
              <w:marBottom w:val="0"/>
              <w:divBdr>
                <w:top w:val="none" w:sz="0" w:space="0" w:color="auto"/>
                <w:left w:val="none" w:sz="0" w:space="0" w:color="auto"/>
                <w:bottom w:val="none" w:sz="0" w:space="0" w:color="auto"/>
                <w:right w:val="none" w:sz="0" w:space="0" w:color="auto"/>
              </w:divBdr>
              <w:divsChild>
                <w:div w:id="221716852">
                  <w:marLeft w:val="0"/>
                  <w:marRight w:val="0"/>
                  <w:marTop w:val="0"/>
                  <w:marBottom w:val="0"/>
                  <w:divBdr>
                    <w:top w:val="none" w:sz="0" w:space="0" w:color="auto"/>
                    <w:left w:val="none" w:sz="0" w:space="0" w:color="auto"/>
                    <w:bottom w:val="none" w:sz="0" w:space="0" w:color="auto"/>
                    <w:right w:val="none" w:sz="0" w:space="0" w:color="auto"/>
                  </w:divBdr>
                </w:div>
                <w:div w:id="188031695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528032210">
          <w:marLeft w:val="0"/>
          <w:marRight w:val="0"/>
          <w:marTop w:val="0"/>
          <w:marBottom w:val="0"/>
          <w:divBdr>
            <w:top w:val="none" w:sz="0" w:space="0" w:color="auto"/>
            <w:left w:val="none" w:sz="0" w:space="0" w:color="auto"/>
            <w:bottom w:val="none" w:sz="0" w:space="0" w:color="auto"/>
            <w:right w:val="none" w:sz="0" w:space="0" w:color="auto"/>
          </w:divBdr>
          <w:divsChild>
            <w:div w:id="167765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329464">
      <w:bodyDiv w:val="1"/>
      <w:marLeft w:val="0"/>
      <w:marRight w:val="0"/>
      <w:marTop w:val="0"/>
      <w:marBottom w:val="0"/>
      <w:divBdr>
        <w:top w:val="none" w:sz="0" w:space="0" w:color="auto"/>
        <w:left w:val="none" w:sz="0" w:space="0" w:color="auto"/>
        <w:bottom w:val="none" w:sz="0" w:space="0" w:color="auto"/>
        <w:right w:val="none" w:sz="0" w:space="0" w:color="auto"/>
      </w:divBdr>
      <w:divsChild>
        <w:div w:id="449782119">
          <w:marLeft w:val="0"/>
          <w:marRight w:val="0"/>
          <w:marTop w:val="0"/>
          <w:marBottom w:val="0"/>
          <w:divBdr>
            <w:top w:val="none" w:sz="0" w:space="0" w:color="auto"/>
            <w:left w:val="none" w:sz="0" w:space="0" w:color="auto"/>
            <w:bottom w:val="none" w:sz="0" w:space="0" w:color="auto"/>
            <w:right w:val="none" w:sz="0" w:space="0" w:color="auto"/>
          </w:divBdr>
          <w:divsChild>
            <w:div w:id="9780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096402">
      <w:bodyDiv w:val="1"/>
      <w:marLeft w:val="0"/>
      <w:marRight w:val="0"/>
      <w:marTop w:val="0"/>
      <w:marBottom w:val="0"/>
      <w:divBdr>
        <w:top w:val="none" w:sz="0" w:space="0" w:color="auto"/>
        <w:left w:val="none" w:sz="0" w:space="0" w:color="auto"/>
        <w:bottom w:val="none" w:sz="0" w:space="0" w:color="auto"/>
        <w:right w:val="none" w:sz="0" w:space="0" w:color="auto"/>
      </w:divBdr>
      <w:divsChild>
        <w:div w:id="1818640648">
          <w:marLeft w:val="0"/>
          <w:marRight w:val="0"/>
          <w:marTop w:val="0"/>
          <w:marBottom w:val="0"/>
          <w:divBdr>
            <w:top w:val="none" w:sz="0" w:space="0" w:color="auto"/>
            <w:left w:val="none" w:sz="0" w:space="0" w:color="auto"/>
            <w:bottom w:val="dotted" w:sz="6" w:space="4" w:color="DDDDDD"/>
            <w:right w:val="none" w:sz="0" w:space="0" w:color="auto"/>
          </w:divBdr>
          <w:divsChild>
            <w:div w:id="55975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221572">
      <w:bodyDiv w:val="1"/>
      <w:marLeft w:val="0"/>
      <w:marRight w:val="0"/>
      <w:marTop w:val="0"/>
      <w:marBottom w:val="0"/>
      <w:divBdr>
        <w:top w:val="none" w:sz="0" w:space="0" w:color="auto"/>
        <w:left w:val="none" w:sz="0" w:space="0" w:color="auto"/>
        <w:bottom w:val="none" w:sz="0" w:space="0" w:color="auto"/>
        <w:right w:val="none" w:sz="0" w:space="0" w:color="auto"/>
      </w:divBdr>
      <w:divsChild>
        <w:div w:id="1153793173">
          <w:marLeft w:val="0"/>
          <w:marRight w:val="0"/>
          <w:marTop w:val="0"/>
          <w:marBottom w:val="0"/>
          <w:divBdr>
            <w:top w:val="none" w:sz="0" w:space="0" w:color="auto"/>
            <w:left w:val="none" w:sz="0" w:space="0" w:color="auto"/>
            <w:bottom w:val="none" w:sz="0" w:space="0" w:color="auto"/>
            <w:right w:val="none" w:sz="0" w:space="0" w:color="auto"/>
          </w:divBdr>
          <w:divsChild>
            <w:div w:id="922109171">
              <w:marLeft w:val="0"/>
              <w:marRight w:val="0"/>
              <w:marTop w:val="0"/>
              <w:marBottom w:val="0"/>
              <w:divBdr>
                <w:top w:val="none" w:sz="0" w:space="0" w:color="auto"/>
                <w:left w:val="none" w:sz="0" w:space="0" w:color="auto"/>
                <w:bottom w:val="none" w:sz="0" w:space="0" w:color="auto"/>
                <w:right w:val="none" w:sz="0" w:space="0" w:color="auto"/>
              </w:divBdr>
              <w:divsChild>
                <w:div w:id="1510482107">
                  <w:marLeft w:val="0"/>
                  <w:marRight w:val="0"/>
                  <w:marTop w:val="0"/>
                  <w:marBottom w:val="0"/>
                  <w:divBdr>
                    <w:top w:val="none" w:sz="0" w:space="0" w:color="auto"/>
                    <w:left w:val="none" w:sz="0" w:space="0" w:color="auto"/>
                    <w:bottom w:val="none" w:sz="0" w:space="0" w:color="auto"/>
                    <w:right w:val="none" w:sz="0" w:space="0" w:color="auto"/>
                  </w:divBdr>
                  <w:divsChild>
                    <w:div w:id="103617129">
                      <w:marLeft w:val="0"/>
                      <w:marRight w:val="0"/>
                      <w:marTop w:val="0"/>
                      <w:marBottom w:val="0"/>
                      <w:divBdr>
                        <w:top w:val="none" w:sz="0" w:space="0" w:color="auto"/>
                        <w:left w:val="none" w:sz="0" w:space="0" w:color="auto"/>
                        <w:bottom w:val="none" w:sz="0" w:space="0" w:color="auto"/>
                        <w:right w:val="none" w:sz="0" w:space="0" w:color="auto"/>
                      </w:divBdr>
                      <w:divsChild>
                        <w:div w:id="1309439485">
                          <w:marLeft w:val="0"/>
                          <w:marRight w:val="0"/>
                          <w:marTop w:val="0"/>
                          <w:marBottom w:val="0"/>
                          <w:divBdr>
                            <w:top w:val="none" w:sz="0" w:space="0" w:color="auto"/>
                            <w:left w:val="none" w:sz="0" w:space="0" w:color="auto"/>
                            <w:bottom w:val="none" w:sz="0" w:space="0" w:color="auto"/>
                            <w:right w:val="none" w:sz="0" w:space="0" w:color="auto"/>
                          </w:divBdr>
                          <w:divsChild>
                            <w:div w:id="195621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247509">
      <w:bodyDiv w:val="1"/>
      <w:marLeft w:val="0"/>
      <w:marRight w:val="0"/>
      <w:marTop w:val="0"/>
      <w:marBottom w:val="0"/>
      <w:divBdr>
        <w:top w:val="none" w:sz="0" w:space="0" w:color="auto"/>
        <w:left w:val="none" w:sz="0" w:space="0" w:color="auto"/>
        <w:bottom w:val="none" w:sz="0" w:space="0" w:color="auto"/>
        <w:right w:val="none" w:sz="0" w:space="0" w:color="auto"/>
      </w:divBdr>
      <w:divsChild>
        <w:div w:id="203759822">
          <w:marLeft w:val="0"/>
          <w:marRight w:val="0"/>
          <w:marTop w:val="0"/>
          <w:marBottom w:val="150"/>
          <w:divBdr>
            <w:top w:val="none" w:sz="0" w:space="0" w:color="auto"/>
            <w:left w:val="none" w:sz="0" w:space="0" w:color="auto"/>
            <w:bottom w:val="none" w:sz="0" w:space="0" w:color="auto"/>
            <w:right w:val="none" w:sz="0" w:space="0" w:color="auto"/>
          </w:divBdr>
          <w:divsChild>
            <w:div w:id="1230844208">
              <w:marLeft w:val="0"/>
              <w:marRight w:val="0"/>
              <w:marTop w:val="0"/>
              <w:marBottom w:val="0"/>
              <w:divBdr>
                <w:top w:val="none" w:sz="0" w:space="0" w:color="auto"/>
                <w:left w:val="none" w:sz="0" w:space="0" w:color="auto"/>
                <w:bottom w:val="none" w:sz="0" w:space="0" w:color="auto"/>
                <w:right w:val="none" w:sz="0" w:space="0" w:color="auto"/>
              </w:divBdr>
              <w:divsChild>
                <w:div w:id="1153645918">
                  <w:marLeft w:val="0"/>
                  <w:marRight w:val="0"/>
                  <w:marTop w:val="0"/>
                  <w:marBottom w:val="0"/>
                  <w:divBdr>
                    <w:top w:val="none" w:sz="0" w:space="0" w:color="auto"/>
                    <w:left w:val="none" w:sz="0" w:space="0" w:color="auto"/>
                    <w:bottom w:val="none" w:sz="0" w:space="0" w:color="auto"/>
                    <w:right w:val="none" w:sz="0" w:space="0" w:color="auto"/>
                  </w:divBdr>
                  <w:divsChild>
                    <w:div w:id="1332413892">
                      <w:marLeft w:val="0"/>
                      <w:marRight w:val="150"/>
                      <w:marTop w:val="0"/>
                      <w:marBottom w:val="0"/>
                      <w:divBdr>
                        <w:top w:val="none" w:sz="0" w:space="0" w:color="auto"/>
                        <w:left w:val="none" w:sz="0" w:space="0" w:color="auto"/>
                        <w:bottom w:val="none" w:sz="0" w:space="0" w:color="auto"/>
                        <w:right w:val="none" w:sz="0" w:space="0" w:color="auto"/>
                      </w:divBdr>
                      <w:divsChild>
                        <w:div w:id="139828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45639">
          <w:marLeft w:val="0"/>
          <w:marRight w:val="0"/>
          <w:marTop w:val="0"/>
          <w:marBottom w:val="150"/>
          <w:divBdr>
            <w:top w:val="none" w:sz="0" w:space="0" w:color="auto"/>
            <w:left w:val="none" w:sz="0" w:space="0" w:color="auto"/>
            <w:bottom w:val="none" w:sz="0" w:space="0" w:color="auto"/>
            <w:right w:val="none" w:sz="0" w:space="0" w:color="auto"/>
          </w:divBdr>
        </w:div>
        <w:div w:id="1768304576">
          <w:marLeft w:val="0"/>
          <w:marRight w:val="0"/>
          <w:marTop w:val="0"/>
          <w:marBottom w:val="0"/>
          <w:divBdr>
            <w:top w:val="none" w:sz="0" w:space="0" w:color="auto"/>
            <w:left w:val="none" w:sz="0" w:space="0" w:color="auto"/>
            <w:bottom w:val="none" w:sz="0" w:space="0" w:color="auto"/>
            <w:right w:val="none" w:sz="0" w:space="0" w:color="auto"/>
          </w:divBdr>
          <w:divsChild>
            <w:div w:id="205274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66296686">
      <w:bodyDiv w:val="1"/>
      <w:marLeft w:val="0"/>
      <w:marRight w:val="0"/>
      <w:marTop w:val="0"/>
      <w:marBottom w:val="0"/>
      <w:divBdr>
        <w:top w:val="none" w:sz="0" w:space="0" w:color="auto"/>
        <w:left w:val="none" w:sz="0" w:space="0" w:color="auto"/>
        <w:bottom w:val="none" w:sz="0" w:space="0" w:color="auto"/>
        <w:right w:val="none" w:sz="0" w:space="0" w:color="auto"/>
      </w:divBdr>
      <w:divsChild>
        <w:div w:id="1393961779">
          <w:marLeft w:val="0"/>
          <w:marRight w:val="0"/>
          <w:marTop w:val="0"/>
          <w:marBottom w:val="0"/>
          <w:divBdr>
            <w:top w:val="none" w:sz="0" w:space="0" w:color="auto"/>
            <w:left w:val="none" w:sz="0" w:space="0" w:color="auto"/>
            <w:bottom w:val="none" w:sz="0" w:space="0" w:color="auto"/>
            <w:right w:val="none" w:sz="0" w:space="0" w:color="auto"/>
          </w:divBdr>
          <w:divsChild>
            <w:div w:id="1722552720">
              <w:marLeft w:val="0"/>
              <w:marRight w:val="0"/>
              <w:marTop w:val="0"/>
              <w:marBottom w:val="0"/>
              <w:divBdr>
                <w:top w:val="none" w:sz="0" w:space="0" w:color="auto"/>
                <w:left w:val="none" w:sz="0" w:space="0" w:color="auto"/>
                <w:bottom w:val="none" w:sz="0" w:space="0" w:color="auto"/>
                <w:right w:val="none" w:sz="0" w:space="0" w:color="auto"/>
              </w:divBdr>
            </w:div>
          </w:divsChild>
        </w:div>
        <w:div w:id="1290669991">
          <w:marLeft w:val="0"/>
          <w:marRight w:val="0"/>
          <w:marTop w:val="240"/>
          <w:marBottom w:val="0"/>
          <w:divBdr>
            <w:top w:val="none" w:sz="0" w:space="0" w:color="auto"/>
            <w:left w:val="none" w:sz="0" w:space="0" w:color="auto"/>
            <w:bottom w:val="none" w:sz="0" w:space="0" w:color="auto"/>
            <w:right w:val="none" w:sz="0" w:space="0" w:color="auto"/>
          </w:divBdr>
        </w:div>
      </w:divsChild>
    </w:div>
    <w:div w:id="2066371048">
      <w:bodyDiv w:val="1"/>
      <w:marLeft w:val="0"/>
      <w:marRight w:val="0"/>
      <w:marTop w:val="0"/>
      <w:marBottom w:val="0"/>
      <w:divBdr>
        <w:top w:val="none" w:sz="0" w:space="0" w:color="auto"/>
        <w:left w:val="none" w:sz="0" w:space="0" w:color="auto"/>
        <w:bottom w:val="none" w:sz="0" w:space="0" w:color="auto"/>
        <w:right w:val="none" w:sz="0" w:space="0" w:color="auto"/>
      </w:divBdr>
      <w:divsChild>
        <w:div w:id="122578731">
          <w:marLeft w:val="0"/>
          <w:marRight w:val="0"/>
          <w:marTop w:val="0"/>
          <w:marBottom w:val="150"/>
          <w:divBdr>
            <w:top w:val="none" w:sz="0" w:space="0" w:color="auto"/>
            <w:left w:val="none" w:sz="0" w:space="0" w:color="auto"/>
            <w:bottom w:val="none" w:sz="0" w:space="0" w:color="auto"/>
            <w:right w:val="none" w:sz="0" w:space="0" w:color="auto"/>
          </w:divBdr>
        </w:div>
      </w:divsChild>
    </w:div>
    <w:div w:id="2066563489">
      <w:bodyDiv w:val="1"/>
      <w:marLeft w:val="0"/>
      <w:marRight w:val="0"/>
      <w:marTop w:val="0"/>
      <w:marBottom w:val="0"/>
      <w:divBdr>
        <w:top w:val="none" w:sz="0" w:space="0" w:color="auto"/>
        <w:left w:val="none" w:sz="0" w:space="0" w:color="auto"/>
        <w:bottom w:val="none" w:sz="0" w:space="0" w:color="auto"/>
        <w:right w:val="none" w:sz="0" w:space="0" w:color="auto"/>
      </w:divBdr>
      <w:divsChild>
        <w:div w:id="261031262">
          <w:marLeft w:val="0"/>
          <w:marRight w:val="0"/>
          <w:marTop w:val="0"/>
          <w:marBottom w:val="0"/>
          <w:divBdr>
            <w:top w:val="none" w:sz="0" w:space="0" w:color="auto"/>
            <w:left w:val="none" w:sz="0" w:space="0" w:color="auto"/>
            <w:bottom w:val="dotted" w:sz="6" w:space="4" w:color="DDDDDD"/>
            <w:right w:val="none" w:sz="0" w:space="0" w:color="auto"/>
          </w:divBdr>
        </w:div>
      </w:divsChild>
    </w:div>
    <w:div w:id="2066950612">
      <w:bodyDiv w:val="1"/>
      <w:marLeft w:val="0"/>
      <w:marRight w:val="0"/>
      <w:marTop w:val="0"/>
      <w:marBottom w:val="0"/>
      <w:divBdr>
        <w:top w:val="none" w:sz="0" w:space="0" w:color="auto"/>
        <w:left w:val="none" w:sz="0" w:space="0" w:color="auto"/>
        <w:bottom w:val="none" w:sz="0" w:space="0" w:color="auto"/>
        <w:right w:val="none" w:sz="0" w:space="0" w:color="auto"/>
      </w:divBdr>
      <w:divsChild>
        <w:div w:id="1950817455">
          <w:marLeft w:val="0"/>
          <w:marRight w:val="0"/>
          <w:marTop w:val="0"/>
          <w:marBottom w:val="0"/>
          <w:divBdr>
            <w:top w:val="none" w:sz="0" w:space="0" w:color="auto"/>
            <w:left w:val="none" w:sz="0" w:space="0" w:color="auto"/>
            <w:bottom w:val="none" w:sz="0" w:space="0" w:color="auto"/>
            <w:right w:val="none" w:sz="0" w:space="0" w:color="auto"/>
          </w:divBdr>
          <w:divsChild>
            <w:div w:id="554008564">
              <w:marLeft w:val="0"/>
              <w:marRight w:val="0"/>
              <w:marTop w:val="0"/>
              <w:marBottom w:val="0"/>
              <w:divBdr>
                <w:top w:val="none" w:sz="0" w:space="0" w:color="auto"/>
                <w:left w:val="none" w:sz="0" w:space="0" w:color="auto"/>
                <w:bottom w:val="none" w:sz="0" w:space="0" w:color="auto"/>
                <w:right w:val="none" w:sz="0" w:space="0" w:color="auto"/>
              </w:divBdr>
              <w:divsChild>
                <w:div w:id="1198467893">
                  <w:marLeft w:val="0"/>
                  <w:marRight w:val="0"/>
                  <w:marTop w:val="0"/>
                  <w:marBottom w:val="0"/>
                  <w:divBdr>
                    <w:top w:val="none" w:sz="0" w:space="0" w:color="auto"/>
                    <w:left w:val="none" w:sz="0" w:space="0" w:color="auto"/>
                    <w:bottom w:val="none" w:sz="0" w:space="0" w:color="auto"/>
                    <w:right w:val="none" w:sz="0" w:space="0" w:color="auto"/>
                  </w:divBdr>
                  <w:divsChild>
                    <w:div w:id="2132934831">
                      <w:marLeft w:val="0"/>
                      <w:marRight w:val="0"/>
                      <w:marTop w:val="0"/>
                      <w:marBottom w:val="0"/>
                      <w:divBdr>
                        <w:top w:val="none" w:sz="0" w:space="0" w:color="auto"/>
                        <w:left w:val="none" w:sz="0" w:space="0" w:color="auto"/>
                        <w:bottom w:val="none" w:sz="0" w:space="0" w:color="auto"/>
                        <w:right w:val="none" w:sz="0" w:space="0" w:color="auto"/>
                      </w:divBdr>
                      <w:divsChild>
                        <w:div w:id="323164632">
                          <w:marLeft w:val="0"/>
                          <w:marRight w:val="0"/>
                          <w:marTop w:val="0"/>
                          <w:marBottom w:val="0"/>
                          <w:divBdr>
                            <w:top w:val="none" w:sz="0" w:space="0" w:color="auto"/>
                            <w:left w:val="none" w:sz="0" w:space="0" w:color="auto"/>
                            <w:bottom w:val="none" w:sz="0" w:space="0" w:color="auto"/>
                            <w:right w:val="none" w:sz="0" w:space="0" w:color="auto"/>
                          </w:divBdr>
                          <w:divsChild>
                            <w:div w:id="1617368446">
                              <w:marLeft w:val="0"/>
                              <w:marRight w:val="0"/>
                              <w:marTop w:val="0"/>
                              <w:marBottom w:val="0"/>
                              <w:divBdr>
                                <w:top w:val="none" w:sz="0" w:space="0" w:color="auto"/>
                                <w:left w:val="none" w:sz="0" w:space="0" w:color="auto"/>
                                <w:bottom w:val="none" w:sz="0" w:space="0" w:color="auto"/>
                                <w:right w:val="none" w:sz="0" w:space="0" w:color="auto"/>
                              </w:divBdr>
                              <w:divsChild>
                                <w:div w:id="1025400014">
                                  <w:marLeft w:val="0"/>
                                  <w:marRight w:val="0"/>
                                  <w:marTop w:val="0"/>
                                  <w:marBottom w:val="0"/>
                                  <w:divBdr>
                                    <w:top w:val="none" w:sz="0" w:space="0" w:color="auto"/>
                                    <w:left w:val="none" w:sz="0" w:space="0" w:color="auto"/>
                                    <w:bottom w:val="none" w:sz="0" w:space="0" w:color="auto"/>
                                    <w:right w:val="none" w:sz="0" w:space="0" w:color="auto"/>
                                  </w:divBdr>
                                  <w:divsChild>
                                    <w:div w:id="2014142335">
                                      <w:marLeft w:val="0"/>
                                      <w:marRight w:val="0"/>
                                      <w:marTop w:val="0"/>
                                      <w:marBottom w:val="0"/>
                                      <w:divBdr>
                                        <w:top w:val="none" w:sz="0" w:space="0" w:color="auto"/>
                                        <w:left w:val="none" w:sz="0" w:space="0" w:color="auto"/>
                                        <w:bottom w:val="none" w:sz="0" w:space="0" w:color="auto"/>
                                        <w:right w:val="none" w:sz="0" w:space="0" w:color="auto"/>
                                      </w:divBdr>
                                      <w:divsChild>
                                        <w:div w:id="47614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7102685">
      <w:bodyDiv w:val="1"/>
      <w:marLeft w:val="0"/>
      <w:marRight w:val="0"/>
      <w:marTop w:val="0"/>
      <w:marBottom w:val="0"/>
      <w:divBdr>
        <w:top w:val="none" w:sz="0" w:space="0" w:color="auto"/>
        <w:left w:val="none" w:sz="0" w:space="0" w:color="auto"/>
        <w:bottom w:val="none" w:sz="0" w:space="0" w:color="auto"/>
        <w:right w:val="none" w:sz="0" w:space="0" w:color="auto"/>
      </w:divBdr>
      <w:divsChild>
        <w:div w:id="2001616590">
          <w:marLeft w:val="0"/>
          <w:marRight w:val="0"/>
          <w:marTop w:val="0"/>
          <w:marBottom w:val="0"/>
          <w:divBdr>
            <w:top w:val="none" w:sz="0" w:space="0" w:color="auto"/>
            <w:left w:val="none" w:sz="0" w:space="0" w:color="auto"/>
            <w:bottom w:val="none" w:sz="0" w:space="0" w:color="auto"/>
            <w:right w:val="none" w:sz="0" w:space="0" w:color="auto"/>
          </w:divBdr>
        </w:div>
        <w:div w:id="267080326">
          <w:marLeft w:val="0"/>
          <w:marRight w:val="0"/>
          <w:marTop w:val="0"/>
          <w:marBottom w:val="0"/>
          <w:divBdr>
            <w:top w:val="none" w:sz="0" w:space="0" w:color="auto"/>
            <w:left w:val="none" w:sz="0" w:space="0" w:color="auto"/>
            <w:bottom w:val="none" w:sz="0" w:space="0" w:color="auto"/>
            <w:right w:val="none" w:sz="0" w:space="0" w:color="auto"/>
          </w:divBdr>
        </w:div>
      </w:divsChild>
    </w:div>
    <w:div w:id="2067295222">
      <w:bodyDiv w:val="1"/>
      <w:marLeft w:val="0"/>
      <w:marRight w:val="0"/>
      <w:marTop w:val="0"/>
      <w:marBottom w:val="0"/>
      <w:divBdr>
        <w:top w:val="none" w:sz="0" w:space="0" w:color="auto"/>
        <w:left w:val="none" w:sz="0" w:space="0" w:color="auto"/>
        <w:bottom w:val="none" w:sz="0" w:space="0" w:color="auto"/>
        <w:right w:val="none" w:sz="0" w:space="0" w:color="auto"/>
      </w:divBdr>
    </w:div>
    <w:div w:id="2067365490">
      <w:bodyDiv w:val="1"/>
      <w:marLeft w:val="0"/>
      <w:marRight w:val="0"/>
      <w:marTop w:val="0"/>
      <w:marBottom w:val="0"/>
      <w:divBdr>
        <w:top w:val="none" w:sz="0" w:space="0" w:color="auto"/>
        <w:left w:val="none" w:sz="0" w:space="0" w:color="auto"/>
        <w:bottom w:val="none" w:sz="0" w:space="0" w:color="auto"/>
        <w:right w:val="none" w:sz="0" w:space="0" w:color="auto"/>
      </w:divBdr>
      <w:divsChild>
        <w:div w:id="1465735447">
          <w:marLeft w:val="0"/>
          <w:marRight w:val="0"/>
          <w:marTop w:val="0"/>
          <w:marBottom w:val="0"/>
          <w:divBdr>
            <w:top w:val="none" w:sz="0" w:space="0" w:color="auto"/>
            <w:left w:val="none" w:sz="0" w:space="0" w:color="auto"/>
            <w:bottom w:val="none" w:sz="0" w:space="0" w:color="auto"/>
            <w:right w:val="none" w:sz="0" w:space="0" w:color="auto"/>
          </w:divBdr>
          <w:divsChild>
            <w:div w:id="1987195609">
              <w:marLeft w:val="0"/>
              <w:marRight w:val="0"/>
              <w:marTop w:val="0"/>
              <w:marBottom w:val="0"/>
              <w:divBdr>
                <w:top w:val="none" w:sz="0" w:space="0" w:color="auto"/>
                <w:left w:val="none" w:sz="0" w:space="0" w:color="auto"/>
                <w:bottom w:val="none" w:sz="0" w:space="0" w:color="auto"/>
                <w:right w:val="none" w:sz="0" w:space="0" w:color="auto"/>
              </w:divBdr>
              <w:divsChild>
                <w:div w:id="672226891">
                  <w:marLeft w:val="0"/>
                  <w:marRight w:val="0"/>
                  <w:marTop w:val="0"/>
                  <w:marBottom w:val="0"/>
                  <w:divBdr>
                    <w:top w:val="none" w:sz="0" w:space="0" w:color="auto"/>
                    <w:left w:val="none" w:sz="0" w:space="0" w:color="auto"/>
                    <w:bottom w:val="none" w:sz="0" w:space="0" w:color="auto"/>
                    <w:right w:val="none" w:sz="0" w:space="0" w:color="auto"/>
                  </w:divBdr>
                  <w:divsChild>
                    <w:div w:id="1313175695">
                      <w:marLeft w:val="0"/>
                      <w:marRight w:val="0"/>
                      <w:marTop w:val="0"/>
                      <w:marBottom w:val="0"/>
                      <w:divBdr>
                        <w:top w:val="none" w:sz="0" w:space="0" w:color="auto"/>
                        <w:left w:val="none" w:sz="0" w:space="0" w:color="auto"/>
                        <w:bottom w:val="none" w:sz="0" w:space="0" w:color="auto"/>
                        <w:right w:val="none" w:sz="0" w:space="0" w:color="auto"/>
                      </w:divBdr>
                      <w:divsChild>
                        <w:div w:id="305625649">
                          <w:marLeft w:val="0"/>
                          <w:marRight w:val="0"/>
                          <w:marTop w:val="0"/>
                          <w:marBottom w:val="0"/>
                          <w:divBdr>
                            <w:top w:val="none" w:sz="0" w:space="0" w:color="auto"/>
                            <w:left w:val="none" w:sz="0" w:space="0" w:color="auto"/>
                            <w:bottom w:val="none" w:sz="0" w:space="0" w:color="auto"/>
                            <w:right w:val="none" w:sz="0" w:space="0" w:color="auto"/>
                          </w:divBdr>
                          <w:divsChild>
                            <w:div w:id="116149761">
                              <w:marLeft w:val="0"/>
                              <w:marRight w:val="0"/>
                              <w:marTop w:val="0"/>
                              <w:marBottom w:val="0"/>
                              <w:divBdr>
                                <w:top w:val="none" w:sz="0" w:space="0" w:color="auto"/>
                                <w:left w:val="none" w:sz="0" w:space="0" w:color="auto"/>
                                <w:bottom w:val="none" w:sz="0" w:space="0" w:color="auto"/>
                                <w:right w:val="none" w:sz="0" w:space="0" w:color="auto"/>
                              </w:divBdr>
                              <w:divsChild>
                                <w:div w:id="1988589613">
                                  <w:marLeft w:val="0"/>
                                  <w:marRight w:val="0"/>
                                  <w:marTop w:val="0"/>
                                  <w:marBottom w:val="0"/>
                                  <w:divBdr>
                                    <w:top w:val="none" w:sz="0" w:space="0" w:color="auto"/>
                                    <w:left w:val="none" w:sz="0" w:space="0" w:color="auto"/>
                                    <w:bottom w:val="none" w:sz="0" w:space="0" w:color="auto"/>
                                    <w:right w:val="none" w:sz="0" w:space="0" w:color="auto"/>
                                  </w:divBdr>
                                  <w:divsChild>
                                    <w:div w:id="26989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803116">
      <w:bodyDiv w:val="1"/>
      <w:marLeft w:val="0"/>
      <w:marRight w:val="0"/>
      <w:marTop w:val="0"/>
      <w:marBottom w:val="0"/>
      <w:divBdr>
        <w:top w:val="none" w:sz="0" w:space="0" w:color="auto"/>
        <w:left w:val="none" w:sz="0" w:space="0" w:color="auto"/>
        <w:bottom w:val="none" w:sz="0" w:space="0" w:color="auto"/>
        <w:right w:val="none" w:sz="0" w:space="0" w:color="auto"/>
      </w:divBdr>
      <w:divsChild>
        <w:div w:id="1673289618">
          <w:marLeft w:val="0"/>
          <w:marRight w:val="0"/>
          <w:marTop w:val="0"/>
          <w:marBottom w:val="0"/>
          <w:divBdr>
            <w:top w:val="none" w:sz="0" w:space="0" w:color="auto"/>
            <w:left w:val="none" w:sz="0" w:space="0" w:color="auto"/>
            <w:bottom w:val="dotted" w:sz="6" w:space="4" w:color="DDDDDD"/>
            <w:right w:val="none" w:sz="0" w:space="0" w:color="auto"/>
          </w:divBdr>
          <w:divsChild>
            <w:div w:id="46828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877591">
      <w:bodyDiv w:val="1"/>
      <w:marLeft w:val="0"/>
      <w:marRight w:val="0"/>
      <w:marTop w:val="0"/>
      <w:marBottom w:val="0"/>
      <w:divBdr>
        <w:top w:val="none" w:sz="0" w:space="0" w:color="auto"/>
        <w:left w:val="none" w:sz="0" w:space="0" w:color="auto"/>
        <w:bottom w:val="none" w:sz="0" w:space="0" w:color="auto"/>
        <w:right w:val="none" w:sz="0" w:space="0" w:color="auto"/>
      </w:divBdr>
      <w:divsChild>
        <w:div w:id="237448414">
          <w:marLeft w:val="0"/>
          <w:marRight w:val="0"/>
          <w:marTop w:val="300"/>
          <w:marBottom w:val="0"/>
          <w:divBdr>
            <w:top w:val="none" w:sz="0" w:space="0" w:color="auto"/>
            <w:left w:val="none" w:sz="0" w:space="0" w:color="auto"/>
            <w:bottom w:val="none" w:sz="0" w:space="0" w:color="auto"/>
            <w:right w:val="none" w:sz="0" w:space="0" w:color="auto"/>
          </w:divBdr>
          <w:divsChild>
            <w:div w:id="1260866872">
              <w:marLeft w:val="0"/>
              <w:marRight w:val="0"/>
              <w:marTop w:val="0"/>
              <w:marBottom w:val="0"/>
              <w:divBdr>
                <w:top w:val="none" w:sz="0" w:space="0" w:color="auto"/>
                <w:left w:val="none" w:sz="0" w:space="0" w:color="auto"/>
                <w:bottom w:val="none" w:sz="0" w:space="0" w:color="auto"/>
                <w:right w:val="none" w:sz="0" w:space="0" w:color="auto"/>
              </w:divBdr>
              <w:divsChild>
                <w:div w:id="924462462">
                  <w:marLeft w:val="0"/>
                  <w:marRight w:val="0"/>
                  <w:marTop w:val="0"/>
                  <w:marBottom w:val="0"/>
                  <w:divBdr>
                    <w:top w:val="none" w:sz="0" w:space="0" w:color="auto"/>
                    <w:left w:val="none" w:sz="0" w:space="0" w:color="auto"/>
                    <w:bottom w:val="none" w:sz="0" w:space="0" w:color="auto"/>
                    <w:right w:val="none" w:sz="0" w:space="0" w:color="auto"/>
                  </w:divBdr>
                  <w:divsChild>
                    <w:div w:id="576407455">
                      <w:marLeft w:val="0"/>
                      <w:marRight w:val="0"/>
                      <w:marTop w:val="0"/>
                      <w:marBottom w:val="0"/>
                      <w:divBdr>
                        <w:top w:val="none" w:sz="0" w:space="0" w:color="auto"/>
                        <w:left w:val="none" w:sz="0" w:space="0" w:color="auto"/>
                        <w:bottom w:val="none" w:sz="0" w:space="0" w:color="auto"/>
                        <w:right w:val="none" w:sz="0" w:space="0" w:color="auto"/>
                      </w:divBdr>
                    </w:div>
                  </w:divsChild>
                </w:div>
                <w:div w:id="1792627979">
                  <w:marLeft w:val="0"/>
                  <w:marRight w:val="0"/>
                  <w:marTop w:val="150"/>
                  <w:marBottom w:val="0"/>
                  <w:divBdr>
                    <w:top w:val="none" w:sz="0" w:space="0" w:color="auto"/>
                    <w:left w:val="none" w:sz="0" w:space="0" w:color="auto"/>
                    <w:bottom w:val="none" w:sz="0" w:space="0" w:color="auto"/>
                    <w:right w:val="none" w:sz="0" w:space="0" w:color="auto"/>
                  </w:divBdr>
                  <w:divsChild>
                    <w:div w:id="1193567725">
                      <w:marLeft w:val="0"/>
                      <w:marRight w:val="0"/>
                      <w:marTop w:val="0"/>
                      <w:marBottom w:val="0"/>
                      <w:divBdr>
                        <w:top w:val="none" w:sz="0" w:space="0" w:color="auto"/>
                        <w:left w:val="none" w:sz="0" w:space="0" w:color="auto"/>
                        <w:bottom w:val="none" w:sz="0" w:space="0" w:color="auto"/>
                        <w:right w:val="none" w:sz="0" w:space="0" w:color="auto"/>
                      </w:divBdr>
                      <w:divsChild>
                        <w:div w:id="39088858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062180">
          <w:marLeft w:val="0"/>
          <w:marRight w:val="0"/>
          <w:marTop w:val="225"/>
          <w:marBottom w:val="0"/>
          <w:divBdr>
            <w:top w:val="none" w:sz="0" w:space="0" w:color="auto"/>
            <w:left w:val="none" w:sz="0" w:space="0" w:color="auto"/>
            <w:bottom w:val="none" w:sz="0" w:space="0" w:color="auto"/>
            <w:right w:val="none" w:sz="0" w:space="0" w:color="auto"/>
          </w:divBdr>
          <w:divsChild>
            <w:div w:id="704674439">
              <w:marLeft w:val="0"/>
              <w:marRight w:val="0"/>
              <w:marTop w:val="0"/>
              <w:marBottom w:val="0"/>
              <w:divBdr>
                <w:top w:val="none" w:sz="0" w:space="0" w:color="auto"/>
                <w:left w:val="none" w:sz="0" w:space="0" w:color="auto"/>
                <w:bottom w:val="none" w:sz="0" w:space="0" w:color="auto"/>
                <w:right w:val="none" w:sz="0" w:space="0" w:color="auto"/>
              </w:divBdr>
            </w:div>
          </w:divsChild>
        </w:div>
        <w:div w:id="1694190446">
          <w:marLeft w:val="0"/>
          <w:marRight w:val="0"/>
          <w:marTop w:val="150"/>
          <w:marBottom w:val="0"/>
          <w:divBdr>
            <w:top w:val="none" w:sz="0" w:space="0" w:color="auto"/>
            <w:left w:val="none" w:sz="0" w:space="0" w:color="auto"/>
            <w:bottom w:val="none" w:sz="0" w:space="0" w:color="auto"/>
            <w:right w:val="none" w:sz="0" w:space="0" w:color="auto"/>
          </w:divBdr>
          <w:divsChild>
            <w:div w:id="186463065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68720850">
      <w:bodyDiv w:val="1"/>
      <w:marLeft w:val="0"/>
      <w:marRight w:val="0"/>
      <w:marTop w:val="0"/>
      <w:marBottom w:val="0"/>
      <w:divBdr>
        <w:top w:val="none" w:sz="0" w:space="0" w:color="auto"/>
        <w:left w:val="none" w:sz="0" w:space="0" w:color="auto"/>
        <w:bottom w:val="none" w:sz="0" w:space="0" w:color="auto"/>
        <w:right w:val="none" w:sz="0" w:space="0" w:color="auto"/>
      </w:divBdr>
      <w:divsChild>
        <w:div w:id="770511849">
          <w:marLeft w:val="0"/>
          <w:marRight w:val="0"/>
          <w:marTop w:val="0"/>
          <w:marBottom w:val="150"/>
          <w:divBdr>
            <w:top w:val="none" w:sz="0" w:space="0" w:color="auto"/>
            <w:left w:val="none" w:sz="0" w:space="0" w:color="auto"/>
            <w:bottom w:val="none" w:sz="0" w:space="0" w:color="auto"/>
            <w:right w:val="none" w:sz="0" w:space="0" w:color="auto"/>
          </w:divBdr>
          <w:divsChild>
            <w:div w:id="1044672915">
              <w:marLeft w:val="0"/>
              <w:marRight w:val="0"/>
              <w:marTop w:val="0"/>
              <w:marBottom w:val="0"/>
              <w:divBdr>
                <w:top w:val="none" w:sz="0" w:space="0" w:color="auto"/>
                <w:left w:val="none" w:sz="0" w:space="0" w:color="auto"/>
                <w:bottom w:val="none" w:sz="0" w:space="0" w:color="auto"/>
                <w:right w:val="none" w:sz="0" w:space="0" w:color="auto"/>
              </w:divBdr>
              <w:divsChild>
                <w:div w:id="821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615673">
          <w:marLeft w:val="0"/>
          <w:marRight w:val="0"/>
          <w:marTop w:val="0"/>
          <w:marBottom w:val="0"/>
          <w:divBdr>
            <w:top w:val="none" w:sz="0" w:space="0" w:color="auto"/>
            <w:left w:val="none" w:sz="0" w:space="0" w:color="auto"/>
            <w:bottom w:val="none" w:sz="0" w:space="0" w:color="auto"/>
            <w:right w:val="none" w:sz="0" w:space="0" w:color="auto"/>
          </w:divBdr>
          <w:divsChild>
            <w:div w:id="1741516854">
              <w:marLeft w:val="0"/>
              <w:marRight w:val="0"/>
              <w:marTop w:val="225"/>
              <w:marBottom w:val="225"/>
              <w:divBdr>
                <w:top w:val="none" w:sz="0" w:space="0" w:color="auto"/>
                <w:left w:val="none" w:sz="0" w:space="0" w:color="auto"/>
                <w:bottom w:val="none" w:sz="0" w:space="0" w:color="auto"/>
                <w:right w:val="none" w:sz="0" w:space="0" w:color="auto"/>
              </w:divBdr>
            </w:div>
          </w:divsChild>
        </w:div>
        <w:div w:id="1729306833">
          <w:marLeft w:val="0"/>
          <w:marRight w:val="0"/>
          <w:marTop w:val="0"/>
          <w:marBottom w:val="150"/>
          <w:divBdr>
            <w:top w:val="none" w:sz="0" w:space="0" w:color="auto"/>
            <w:left w:val="none" w:sz="0" w:space="0" w:color="auto"/>
            <w:bottom w:val="none" w:sz="0" w:space="0" w:color="auto"/>
            <w:right w:val="none" w:sz="0" w:space="0" w:color="auto"/>
          </w:divBdr>
        </w:div>
      </w:divsChild>
    </w:div>
    <w:div w:id="2069038326">
      <w:bodyDiv w:val="1"/>
      <w:marLeft w:val="0"/>
      <w:marRight w:val="0"/>
      <w:marTop w:val="0"/>
      <w:marBottom w:val="0"/>
      <w:divBdr>
        <w:top w:val="none" w:sz="0" w:space="0" w:color="auto"/>
        <w:left w:val="none" w:sz="0" w:space="0" w:color="auto"/>
        <w:bottom w:val="none" w:sz="0" w:space="0" w:color="auto"/>
        <w:right w:val="none" w:sz="0" w:space="0" w:color="auto"/>
      </w:divBdr>
    </w:div>
    <w:div w:id="2069260566">
      <w:bodyDiv w:val="1"/>
      <w:marLeft w:val="0"/>
      <w:marRight w:val="0"/>
      <w:marTop w:val="0"/>
      <w:marBottom w:val="0"/>
      <w:divBdr>
        <w:top w:val="none" w:sz="0" w:space="0" w:color="auto"/>
        <w:left w:val="none" w:sz="0" w:space="0" w:color="auto"/>
        <w:bottom w:val="none" w:sz="0" w:space="0" w:color="auto"/>
        <w:right w:val="none" w:sz="0" w:space="0" w:color="auto"/>
      </w:divBdr>
      <w:divsChild>
        <w:div w:id="562907948">
          <w:marLeft w:val="0"/>
          <w:marRight w:val="0"/>
          <w:marTop w:val="0"/>
          <w:marBottom w:val="0"/>
          <w:divBdr>
            <w:top w:val="none" w:sz="0" w:space="0" w:color="auto"/>
            <w:left w:val="none" w:sz="0" w:space="0" w:color="auto"/>
            <w:bottom w:val="dotted" w:sz="6" w:space="4" w:color="DDDDDD"/>
            <w:right w:val="none" w:sz="0" w:space="0" w:color="auto"/>
          </w:divBdr>
          <w:divsChild>
            <w:div w:id="38255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450322">
      <w:bodyDiv w:val="1"/>
      <w:marLeft w:val="0"/>
      <w:marRight w:val="0"/>
      <w:marTop w:val="0"/>
      <w:marBottom w:val="0"/>
      <w:divBdr>
        <w:top w:val="none" w:sz="0" w:space="0" w:color="auto"/>
        <w:left w:val="none" w:sz="0" w:space="0" w:color="auto"/>
        <w:bottom w:val="none" w:sz="0" w:space="0" w:color="auto"/>
        <w:right w:val="none" w:sz="0" w:space="0" w:color="auto"/>
      </w:divBdr>
      <w:divsChild>
        <w:div w:id="1348600182">
          <w:marLeft w:val="0"/>
          <w:marRight w:val="0"/>
          <w:marTop w:val="0"/>
          <w:marBottom w:val="0"/>
          <w:divBdr>
            <w:top w:val="none" w:sz="0" w:space="0" w:color="auto"/>
            <w:left w:val="none" w:sz="0" w:space="0" w:color="auto"/>
            <w:bottom w:val="none" w:sz="0" w:space="0" w:color="auto"/>
            <w:right w:val="none" w:sz="0" w:space="0" w:color="auto"/>
          </w:divBdr>
          <w:divsChild>
            <w:div w:id="1681197789">
              <w:marLeft w:val="0"/>
              <w:marRight w:val="0"/>
              <w:marTop w:val="0"/>
              <w:marBottom w:val="0"/>
              <w:divBdr>
                <w:top w:val="none" w:sz="0" w:space="0" w:color="auto"/>
                <w:left w:val="none" w:sz="0" w:space="0" w:color="auto"/>
                <w:bottom w:val="none" w:sz="0" w:space="0" w:color="auto"/>
                <w:right w:val="none" w:sz="0" w:space="0" w:color="auto"/>
              </w:divBdr>
              <w:divsChild>
                <w:div w:id="40418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1881">
          <w:marLeft w:val="0"/>
          <w:marRight w:val="0"/>
          <w:marTop w:val="0"/>
          <w:marBottom w:val="75"/>
          <w:divBdr>
            <w:top w:val="none" w:sz="0" w:space="0" w:color="auto"/>
            <w:left w:val="none" w:sz="0" w:space="0" w:color="auto"/>
            <w:bottom w:val="none" w:sz="0" w:space="0" w:color="auto"/>
            <w:right w:val="none" w:sz="0" w:space="0" w:color="auto"/>
          </w:divBdr>
        </w:div>
        <w:div w:id="873427769">
          <w:marLeft w:val="0"/>
          <w:marRight w:val="0"/>
          <w:marTop w:val="0"/>
          <w:marBottom w:val="0"/>
          <w:divBdr>
            <w:top w:val="none" w:sz="0" w:space="0" w:color="auto"/>
            <w:left w:val="none" w:sz="0" w:space="0" w:color="auto"/>
            <w:bottom w:val="none" w:sz="0" w:space="0" w:color="auto"/>
            <w:right w:val="none" w:sz="0" w:space="0" w:color="auto"/>
          </w:divBdr>
          <w:divsChild>
            <w:div w:id="1703968471">
              <w:marLeft w:val="0"/>
              <w:marRight w:val="0"/>
              <w:marTop w:val="0"/>
              <w:marBottom w:val="0"/>
              <w:divBdr>
                <w:top w:val="none" w:sz="0" w:space="0" w:color="auto"/>
                <w:left w:val="none" w:sz="0" w:space="0" w:color="auto"/>
                <w:bottom w:val="none" w:sz="0" w:space="0" w:color="auto"/>
                <w:right w:val="none" w:sz="0" w:space="0" w:color="auto"/>
              </w:divBdr>
              <w:divsChild>
                <w:div w:id="757168713">
                  <w:marLeft w:val="0"/>
                  <w:marRight w:val="0"/>
                  <w:marTop w:val="0"/>
                  <w:marBottom w:val="300"/>
                  <w:divBdr>
                    <w:top w:val="none" w:sz="0" w:space="0" w:color="auto"/>
                    <w:left w:val="none" w:sz="0" w:space="0" w:color="auto"/>
                    <w:bottom w:val="none" w:sz="0" w:space="0" w:color="auto"/>
                    <w:right w:val="none" w:sz="0" w:space="0" w:color="auto"/>
                  </w:divBdr>
                  <w:divsChild>
                    <w:div w:id="21268014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69841137">
      <w:bodyDiv w:val="1"/>
      <w:marLeft w:val="0"/>
      <w:marRight w:val="0"/>
      <w:marTop w:val="0"/>
      <w:marBottom w:val="0"/>
      <w:divBdr>
        <w:top w:val="none" w:sz="0" w:space="0" w:color="auto"/>
        <w:left w:val="none" w:sz="0" w:space="0" w:color="auto"/>
        <w:bottom w:val="none" w:sz="0" w:space="0" w:color="auto"/>
        <w:right w:val="none" w:sz="0" w:space="0" w:color="auto"/>
      </w:divBdr>
      <w:divsChild>
        <w:div w:id="417100194">
          <w:marLeft w:val="0"/>
          <w:marRight w:val="0"/>
          <w:marTop w:val="0"/>
          <w:marBottom w:val="0"/>
          <w:divBdr>
            <w:top w:val="none" w:sz="0" w:space="0" w:color="auto"/>
            <w:left w:val="none" w:sz="0" w:space="0" w:color="auto"/>
            <w:bottom w:val="none" w:sz="0" w:space="0" w:color="auto"/>
            <w:right w:val="none" w:sz="0" w:space="0" w:color="auto"/>
          </w:divBdr>
          <w:divsChild>
            <w:div w:id="1699234701">
              <w:marLeft w:val="0"/>
              <w:marRight w:val="0"/>
              <w:marTop w:val="0"/>
              <w:marBottom w:val="0"/>
              <w:divBdr>
                <w:top w:val="none" w:sz="0" w:space="0" w:color="auto"/>
                <w:left w:val="none" w:sz="0" w:space="0" w:color="auto"/>
                <w:bottom w:val="none" w:sz="0" w:space="0" w:color="auto"/>
                <w:right w:val="none" w:sz="0" w:space="0" w:color="auto"/>
              </w:divBdr>
              <w:divsChild>
                <w:div w:id="1240823195">
                  <w:marLeft w:val="0"/>
                  <w:marRight w:val="0"/>
                  <w:marTop w:val="0"/>
                  <w:marBottom w:val="0"/>
                  <w:divBdr>
                    <w:top w:val="none" w:sz="0" w:space="0" w:color="auto"/>
                    <w:left w:val="none" w:sz="0" w:space="0" w:color="auto"/>
                    <w:bottom w:val="none" w:sz="0" w:space="0" w:color="auto"/>
                    <w:right w:val="none" w:sz="0" w:space="0" w:color="auto"/>
                  </w:divBdr>
                  <w:divsChild>
                    <w:div w:id="770855717">
                      <w:marLeft w:val="0"/>
                      <w:marRight w:val="0"/>
                      <w:marTop w:val="0"/>
                      <w:marBottom w:val="0"/>
                      <w:divBdr>
                        <w:top w:val="none" w:sz="0" w:space="0" w:color="auto"/>
                        <w:left w:val="none" w:sz="0" w:space="0" w:color="auto"/>
                        <w:bottom w:val="none" w:sz="0" w:space="0" w:color="auto"/>
                        <w:right w:val="none" w:sz="0" w:space="0" w:color="auto"/>
                      </w:divBdr>
                      <w:divsChild>
                        <w:div w:id="1181505853">
                          <w:marLeft w:val="0"/>
                          <w:marRight w:val="0"/>
                          <w:marTop w:val="0"/>
                          <w:marBottom w:val="0"/>
                          <w:divBdr>
                            <w:top w:val="none" w:sz="0" w:space="0" w:color="auto"/>
                            <w:left w:val="none" w:sz="0" w:space="0" w:color="auto"/>
                            <w:bottom w:val="none" w:sz="0" w:space="0" w:color="auto"/>
                            <w:right w:val="none" w:sz="0" w:space="0" w:color="auto"/>
                          </w:divBdr>
                          <w:divsChild>
                            <w:div w:id="623006808">
                              <w:marLeft w:val="0"/>
                              <w:marRight w:val="0"/>
                              <w:marTop w:val="0"/>
                              <w:marBottom w:val="0"/>
                              <w:divBdr>
                                <w:top w:val="none" w:sz="0" w:space="0" w:color="auto"/>
                                <w:left w:val="none" w:sz="0" w:space="0" w:color="auto"/>
                                <w:bottom w:val="none" w:sz="0" w:space="0" w:color="auto"/>
                                <w:right w:val="none" w:sz="0" w:space="0" w:color="auto"/>
                              </w:divBdr>
                              <w:divsChild>
                                <w:div w:id="490022499">
                                  <w:marLeft w:val="0"/>
                                  <w:marRight w:val="0"/>
                                  <w:marTop w:val="0"/>
                                  <w:marBottom w:val="0"/>
                                  <w:divBdr>
                                    <w:top w:val="none" w:sz="0" w:space="0" w:color="auto"/>
                                    <w:left w:val="none" w:sz="0" w:space="0" w:color="auto"/>
                                    <w:bottom w:val="none" w:sz="0" w:space="0" w:color="auto"/>
                                    <w:right w:val="none" w:sz="0" w:space="0" w:color="auto"/>
                                  </w:divBdr>
                                  <w:divsChild>
                                    <w:div w:id="69207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911059">
      <w:bodyDiv w:val="1"/>
      <w:marLeft w:val="0"/>
      <w:marRight w:val="0"/>
      <w:marTop w:val="0"/>
      <w:marBottom w:val="0"/>
      <w:divBdr>
        <w:top w:val="none" w:sz="0" w:space="0" w:color="auto"/>
        <w:left w:val="none" w:sz="0" w:space="0" w:color="auto"/>
        <w:bottom w:val="none" w:sz="0" w:space="0" w:color="auto"/>
        <w:right w:val="none" w:sz="0" w:space="0" w:color="auto"/>
      </w:divBdr>
    </w:div>
    <w:div w:id="2069912950">
      <w:bodyDiv w:val="1"/>
      <w:marLeft w:val="0"/>
      <w:marRight w:val="0"/>
      <w:marTop w:val="0"/>
      <w:marBottom w:val="0"/>
      <w:divBdr>
        <w:top w:val="none" w:sz="0" w:space="0" w:color="auto"/>
        <w:left w:val="none" w:sz="0" w:space="0" w:color="auto"/>
        <w:bottom w:val="none" w:sz="0" w:space="0" w:color="auto"/>
        <w:right w:val="none" w:sz="0" w:space="0" w:color="auto"/>
      </w:divBdr>
      <w:divsChild>
        <w:div w:id="747655217">
          <w:marLeft w:val="0"/>
          <w:marRight w:val="0"/>
          <w:marTop w:val="0"/>
          <w:marBottom w:val="0"/>
          <w:divBdr>
            <w:top w:val="none" w:sz="0" w:space="0" w:color="auto"/>
            <w:left w:val="none" w:sz="0" w:space="0" w:color="auto"/>
            <w:bottom w:val="none" w:sz="0" w:space="0" w:color="auto"/>
            <w:right w:val="none" w:sz="0" w:space="0" w:color="auto"/>
          </w:divBdr>
          <w:divsChild>
            <w:div w:id="615449718">
              <w:marLeft w:val="0"/>
              <w:marRight w:val="0"/>
              <w:marTop w:val="0"/>
              <w:marBottom w:val="0"/>
              <w:divBdr>
                <w:top w:val="none" w:sz="0" w:space="0" w:color="auto"/>
                <w:left w:val="none" w:sz="0" w:space="0" w:color="auto"/>
                <w:bottom w:val="none" w:sz="0" w:space="0" w:color="auto"/>
                <w:right w:val="none" w:sz="0" w:space="0" w:color="auto"/>
              </w:divBdr>
            </w:div>
          </w:divsChild>
        </w:div>
        <w:div w:id="879971134">
          <w:marLeft w:val="0"/>
          <w:marRight w:val="0"/>
          <w:marTop w:val="150"/>
          <w:marBottom w:val="0"/>
          <w:divBdr>
            <w:top w:val="none" w:sz="0" w:space="0" w:color="auto"/>
            <w:left w:val="none" w:sz="0" w:space="0" w:color="auto"/>
            <w:bottom w:val="none" w:sz="0" w:space="0" w:color="auto"/>
            <w:right w:val="none" w:sz="0" w:space="0" w:color="auto"/>
          </w:divBdr>
          <w:divsChild>
            <w:div w:id="1545829182">
              <w:marLeft w:val="0"/>
              <w:marRight w:val="0"/>
              <w:marTop w:val="0"/>
              <w:marBottom w:val="0"/>
              <w:divBdr>
                <w:top w:val="none" w:sz="0" w:space="0" w:color="auto"/>
                <w:left w:val="none" w:sz="0" w:space="0" w:color="auto"/>
                <w:bottom w:val="none" w:sz="0" w:space="0" w:color="auto"/>
                <w:right w:val="none" w:sz="0" w:space="0" w:color="auto"/>
              </w:divBdr>
              <w:divsChild>
                <w:div w:id="214041429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300921">
      <w:bodyDiv w:val="1"/>
      <w:marLeft w:val="0"/>
      <w:marRight w:val="0"/>
      <w:marTop w:val="0"/>
      <w:marBottom w:val="0"/>
      <w:divBdr>
        <w:top w:val="none" w:sz="0" w:space="0" w:color="auto"/>
        <w:left w:val="none" w:sz="0" w:space="0" w:color="auto"/>
        <w:bottom w:val="none" w:sz="0" w:space="0" w:color="auto"/>
        <w:right w:val="none" w:sz="0" w:space="0" w:color="auto"/>
      </w:divBdr>
      <w:divsChild>
        <w:div w:id="73936162">
          <w:marLeft w:val="0"/>
          <w:marRight w:val="0"/>
          <w:marTop w:val="0"/>
          <w:marBottom w:val="150"/>
          <w:divBdr>
            <w:top w:val="none" w:sz="0" w:space="0" w:color="auto"/>
            <w:left w:val="none" w:sz="0" w:space="0" w:color="auto"/>
            <w:bottom w:val="none" w:sz="0" w:space="0" w:color="auto"/>
            <w:right w:val="none" w:sz="0" w:space="0" w:color="auto"/>
          </w:divBdr>
        </w:div>
        <w:div w:id="1585803535">
          <w:marLeft w:val="0"/>
          <w:marRight w:val="0"/>
          <w:marTop w:val="0"/>
          <w:marBottom w:val="0"/>
          <w:divBdr>
            <w:top w:val="none" w:sz="0" w:space="0" w:color="auto"/>
            <w:left w:val="none" w:sz="0" w:space="0" w:color="auto"/>
            <w:bottom w:val="none" w:sz="0" w:space="0" w:color="auto"/>
            <w:right w:val="none" w:sz="0" w:space="0" w:color="auto"/>
          </w:divBdr>
          <w:divsChild>
            <w:div w:id="10034100">
              <w:marLeft w:val="0"/>
              <w:marRight w:val="0"/>
              <w:marTop w:val="225"/>
              <w:marBottom w:val="225"/>
              <w:divBdr>
                <w:top w:val="none" w:sz="0" w:space="0" w:color="auto"/>
                <w:left w:val="none" w:sz="0" w:space="0" w:color="auto"/>
                <w:bottom w:val="none" w:sz="0" w:space="0" w:color="auto"/>
                <w:right w:val="none" w:sz="0" w:space="0" w:color="auto"/>
              </w:divBdr>
            </w:div>
          </w:divsChild>
        </w:div>
        <w:div w:id="1820263224">
          <w:marLeft w:val="0"/>
          <w:marRight w:val="0"/>
          <w:marTop w:val="0"/>
          <w:marBottom w:val="150"/>
          <w:divBdr>
            <w:top w:val="none" w:sz="0" w:space="0" w:color="auto"/>
            <w:left w:val="none" w:sz="0" w:space="0" w:color="auto"/>
            <w:bottom w:val="none" w:sz="0" w:space="0" w:color="auto"/>
            <w:right w:val="none" w:sz="0" w:space="0" w:color="auto"/>
          </w:divBdr>
          <w:divsChild>
            <w:div w:id="1019351544">
              <w:marLeft w:val="0"/>
              <w:marRight w:val="0"/>
              <w:marTop w:val="0"/>
              <w:marBottom w:val="0"/>
              <w:divBdr>
                <w:top w:val="none" w:sz="0" w:space="0" w:color="auto"/>
                <w:left w:val="none" w:sz="0" w:space="0" w:color="auto"/>
                <w:bottom w:val="none" w:sz="0" w:space="0" w:color="auto"/>
                <w:right w:val="none" w:sz="0" w:space="0" w:color="auto"/>
              </w:divBdr>
              <w:divsChild>
                <w:div w:id="90826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152219">
      <w:bodyDiv w:val="1"/>
      <w:marLeft w:val="0"/>
      <w:marRight w:val="0"/>
      <w:marTop w:val="0"/>
      <w:marBottom w:val="0"/>
      <w:divBdr>
        <w:top w:val="none" w:sz="0" w:space="0" w:color="auto"/>
        <w:left w:val="none" w:sz="0" w:space="0" w:color="auto"/>
        <w:bottom w:val="none" w:sz="0" w:space="0" w:color="auto"/>
        <w:right w:val="none" w:sz="0" w:space="0" w:color="auto"/>
      </w:divBdr>
    </w:div>
    <w:div w:id="2071227029">
      <w:bodyDiv w:val="1"/>
      <w:marLeft w:val="0"/>
      <w:marRight w:val="0"/>
      <w:marTop w:val="0"/>
      <w:marBottom w:val="0"/>
      <w:divBdr>
        <w:top w:val="none" w:sz="0" w:space="0" w:color="auto"/>
        <w:left w:val="none" w:sz="0" w:space="0" w:color="auto"/>
        <w:bottom w:val="none" w:sz="0" w:space="0" w:color="auto"/>
        <w:right w:val="none" w:sz="0" w:space="0" w:color="auto"/>
      </w:divBdr>
      <w:divsChild>
        <w:div w:id="1420952529">
          <w:marLeft w:val="0"/>
          <w:marRight w:val="0"/>
          <w:marTop w:val="0"/>
          <w:marBottom w:val="0"/>
          <w:divBdr>
            <w:top w:val="none" w:sz="0" w:space="0" w:color="auto"/>
            <w:left w:val="none" w:sz="0" w:space="0" w:color="auto"/>
            <w:bottom w:val="dotted" w:sz="6" w:space="4" w:color="DDDDDD"/>
            <w:right w:val="none" w:sz="0" w:space="0" w:color="auto"/>
          </w:divBdr>
          <w:divsChild>
            <w:div w:id="94446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342035">
      <w:bodyDiv w:val="1"/>
      <w:marLeft w:val="0"/>
      <w:marRight w:val="0"/>
      <w:marTop w:val="0"/>
      <w:marBottom w:val="0"/>
      <w:divBdr>
        <w:top w:val="none" w:sz="0" w:space="0" w:color="auto"/>
        <w:left w:val="none" w:sz="0" w:space="0" w:color="auto"/>
        <w:bottom w:val="none" w:sz="0" w:space="0" w:color="auto"/>
        <w:right w:val="none" w:sz="0" w:space="0" w:color="auto"/>
      </w:divBdr>
      <w:divsChild>
        <w:div w:id="1879049251">
          <w:marLeft w:val="0"/>
          <w:marRight w:val="0"/>
          <w:marTop w:val="0"/>
          <w:marBottom w:val="150"/>
          <w:divBdr>
            <w:top w:val="none" w:sz="0" w:space="0" w:color="auto"/>
            <w:left w:val="none" w:sz="0" w:space="0" w:color="auto"/>
            <w:bottom w:val="none" w:sz="0" w:space="0" w:color="auto"/>
            <w:right w:val="none" w:sz="0" w:space="0" w:color="auto"/>
          </w:divBdr>
          <w:divsChild>
            <w:div w:id="76831570">
              <w:marLeft w:val="0"/>
              <w:marRight w:val="0"/>
              <w:marTop w:val="0"/>
              <w:marBottom w:val="0"/>
              <w:divBdr>
                <w:top w:val="none" w:sz="0" w:space="0" w:color="auto"/>
                <w:left w:val="none" w:sz="0" w:space="0" w:color="auto"/>
                <w:bottom w:val="none" w:sz="0" w:space="0" w:color="auto"/>
                <w:right w:val="none" w:sz="0" w:space="0" w:color="auto"/>
              </w:divBdr>
              <w:divsChild>
                <w:div w:id="1028682857">
                  <w:marLeft w:val="0"/>
                  <w:marRight w:val="0"/>
                  <w:marTop w:val="0"/>
                  <w:marBottom w:val="0"/>
                  <w:divBdr>
                    <w:top w:val="none" w:sz="0" w:space="0" w:color="auto"/>
                    <w:left w:val="none" w:sz="0" w:space="0" w:color="auto"/>
                    <w:bottom w:val="none" w:sz="0" w:space="0" w:color="auto"/>
                    <w:right w:val="none" w:sz="0" w:space="0" w:color="auto"/>
                  </w:divBdr>
                  <w:divsChild>
                    <w:div w:id="1307510646">
                      <w:marLeft w:val="0"/>
                      <w:marRight w:val="150"/>
                      <w:marTop w:val="0"/>
                      <w:marBottom w:val="0"/>
                      <w:divBdr>
                        <w:top w:val="none" w:sz="0" w:space="0" w:color="auto"/>
                        <w:left w:val="none" w:sz="0" w:space="0" w:color="auto"/>
                        <w:bottom w:val="none" w:sz="0" w:space="0" w:color="auto"/>
                        <w:right w:val="none" w:sz="0" w:space="0" w:color="auto"/>
                      </w:divBdr>
                      <w:divsChild>
                        <w:div w:id="127751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953567">
          <w:marLeft w:val="0"/>
          <w:marRight w:val="0"/>
          <w:marTop w:val="0"/>
          <w:marBottom w:val="150"/>
          <w:divBdr>
            <w:top w:val="none" w:sz="0" w:space="0" w:color="auto"/>
            <w:left w:val="none" w:sz="0" w:space="0" w:color="auto"/>
            <w:bottom w:val="none" w:sz="0" w:space="0" w:color="auto"/>
            <w:right w:val="none" w:sz="0" w:space="0" w:color="auto"/>
          </w:divBdr>
        </w:div>
        <w:div w:id="1062558589">
          <w:marLeft w:val="0"/>
          <w:marRight w:val="0"/>
          <w:marTop w:val="0"/>
          <w:marBottom w:val="0"/>
          <w:divBdr>
            <w:top w:val="none" w:sz="0" w:space="0" w:color="auto"/>
            <w:left w:val="none" w:sz="0" w:space="0" w:color="auto"/>
            <w:bottom w:val="none" w:sz="0" w:space="0" w:color="auto"/>
            <w:right w:val="none" w:sz="0" w:space="0" w:color="auto"/>
          </w:divBdr>
          <w:divsChild>
            <w:div w:id="130103707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71462958">
      <w:bodyDiv w:val="1"/>
      <w:marLeft w:val="0"/>
      <w:marRight w:val="0"/>
      <w:marTop w:val="0"/>
      <w:marBottom w:val="0"/>
      <w:divBdr>
        <w:top w:val="none" w:sz="0" w:space="0" w:color="auto"/>
        <w:left w:val="none" w:sz="0" w:space="0" w:color="auto"/>
        <w:bottom w:val="none" w:sz="0" w:space="0" w:color="auto"/>
        <w:right w:val="none" w:sz="0" w:space="0" w:color="auto"/>
      </w:divBdr>
      <w:divsChild>
        <w:div w:id="1188833409">
          <w:marLeft w:val="0"/>
          <w:marRight w:val="0"/>
          <w:marTop w:val="0"/>
          <w:marBottom w:val="0"/>
          <w:divBdr>
            <w:top w:val="none" w:sz="0" w:space="0" w:color="auto"/>
            <w:left w:val="none" w:sz="0" w:space="0" w:color="auto"/>
            <w:bottom w:val="none" w:sz="0" w:space="0" w:color="auto"/>
            <w:right w:val="none" w:sz="0" w:space="0" w:color="auto"/>
          </w:divBdr>
          <w:divsChild>
            <w:div w:id="17003680">
              <w:marLeft w:val="0"/>
              <w:marRight w:val="0"/>
              <w:marTop w:val="0"/>
              <w:marBottom w:val="0"/>
              <w:divBdr>
                <w:top w:val="none" w:sz="0" w:space="0" w:color="auto"/>
                <w:left w:val="none" w:sz="0" w:space="0" w:color="auto"/>
                <w:bottom w:val="none" w:sz="0" w:space="0" w:color="auto"/>
                <w:right w:val="none" w:sz="0" w:space="0" w:color="auto"/>
              </w:divBdr>
              <w:divsChild>
                <w:div w:id="779375835">
                  <w:marLeft w:val="0"/>
                  <w:marRight w:val="0"/>
                  <w:marTop w:val="0"/>
                  <w:marBottom w:val="150"/>
                  <w:divBdr>
                    <w:top w:val="none" w:sz="0" w:space="0" w:color="auto"/>
                    <w:left w:val="none" w:sz="0" w:space="0" w:color="auto"/>
                    <w:bottom w:val="none" w:sz="0" w:space="0" w:color="auto"/>
                    <w:right w:val="none" w:sz="0" w:space="0" w:color="auto"/>
                  </w:divBdr>
                  <w:divsChild>
                    <w:div w:id="1372729448">
                      <w:marLeft w:val="0"/>
                      <w:marRight w:val="0"/>
                      <w:marTop w:val="0"/>
                      <w:marBottom w:val="0"/>
                      <w:divBdr>
                        <w:top w:val="none" w:sz="0" w:space="0" w:color="auto"/>
                        <w:left w:val="none" w:sz="0" w:space="0" w:color="auto"/>
                        <w:bottom w:val="none" w:sz="0" w:space="0" w:color="auto"/>
                        <w:right w:val="none" w:sz="0" w:space="0" w:color="auto"/>
                      </w:divBdr>
                      <w:divsChild>
                        <w:div w:id="1649557767">
                          <w:marLeft w:val="0"/>
                          <w:marRight w:val="0"/>
                          <w:marTop w:val="0"/>
                          <w:marBottom w:val="0"/>
                          <w:divBdr>
                            <w:top w:val="none" w:sz="0" w:space="0" w:color="auto"/>
                            <w:left w:val="none" w:sz="0" w:space="0" w:color="auto"/>
                            <w:bottom w:val="none" w:sz="0" w:space="0" w:color="auto"/>
                            <w:right w:val="none" w:sz="0" w:space="0" w:color="auto"/>
                          </w:divBdr>
                          <w:divsChild>
                            <w:div w:id="1633713196">
                              <w:marLeft w:val="0"/>
                              <w:marRight w:val="0"/>
                              <w:marTop w:val="0"/>
                              <w:marBottom w:val="0"/>
                              <w:divBdr>
                                <w:top w:val="none" w:sz="0" w:space="0" w:color="auto"/>
                                <w:left w:val="none" w:sz="0" w:space="0" w:color="auto"/>
                                <w:bottom w:val="none" w:sz="0" w:space="0" w:color="auto"/>
                                <w:right w:val="none" w:sz="0" w:space="0" w:color="auto"/>
                              </w:divBdr>
                              <w:divsChild>
                                <w:div w:id="15885712">
                                  <w:marLeft w:val="0"/>
                                  <w:marRight w:val="0"/>
                                  <w:marTop w:val="0"/>
                                  <w:marBottom w:val="0"/>
                                  <w:divBdr>
                                    <w:top w:val="none" w:sz="0" w:space="0" w:color="auto"/>
                                    <w:left w:val="none" w:sz="0" w:space="0" w:color="auto"/>
                                    <w:bottom w:val="none" w:sz="0" w:space="0" w:color="auto"/>
                                    <w:right w:val="none" w:sz="0" w:space="0" w:color="auto"/>
                                  </w:divBdr>
                                  <w:divsChild>
                                    <w:div w:id="1005716247">
                                      <w:marLeft w:val="0"/>
                                      <w:marRight w:val="0"/>
                                      <w:marTop w:val="0"/>
                                      <w:marBottom w:val="0"/>
                                      <w:divBdr>
                                        <w:top w:val="none" w:sz="0" w:space="0" w:color="auto"/>
                                        <w:left w:val="none" w:sz="0" w:space="0" w:color="auto"/>
                                        <w:bottom w:val="none" w:sz="0" w:space="0" w:color="auto"/>
                                        <w:right w:val="none" w:sz="0" w:space="0" w:color="auto"/>
                                      </w:divBdr>
                                      <w:divsChild>
                                        <w:div w:id="44835100">
                                          <w:marLeft w:val="0"/>
                                          <w:marRight w:val="0"/>
                                          <w:marTop w:val="0"/>
                                          <w:marBottom w:val="0"/>
                                          <w:divBdr>
                                            <w:top w:val="none" w:sz="0" w:space="0" w:color="auto"/>
                                            <w:left w:val="none" w:sz="0" w:space="0" w:color="auto"/>
                                            <w:bottom w:val="none" w:sz="0" w:space="0" w:color="auto"/>
                                            <w:right w:val="none" w:sz="0" w:space="0" w:color="auto"/>
                                          </w:divBdr>
                                          <w:divsChild>
                                            <w:div w:id="2110005597">
                                              <w:marLeft w:val="0"/>
                                              <w:marRight w:val="0"/>
                                              <w:marTop w:val="0"/>
                                              <w:marBottom w:val="0"/>
                                              <w:divBdr>
                                                <w:top w:val="none" w:sz="0" w:space="0" w:color="auto"/>
                                                <w:left w:val="none" w:sz="0" w:space="0" w:color="auto"/>
                                                <w:bottom w:val="none" w:sz="0" w:space="0" w:color="auto"/>
                                                <w:right w:val="none" w:sz="0" w:space="0" w:color="auto"/>
                                              </w:divBdr>
                                              <w:divsChild>
                                                <w:div w:id="29807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1464594">
      <w:bodyDiv w:val="1"/>
      <w:marLeft w:val="0"/>
      <w:marRight w:val="0"/>
      <w:marTop w:val="0"/>
      <w:marBottom w:val="0"/>
      <w:divBdr>
        <w:top w:val="none" w:sz="0" w:space="0" w:color="auto"/>
        <w:left w:val="none" w:sz="0" w:space="0" w:color="auto"/>
        <w:bottom w:val="none" w:sz="0" w:space="0" w:color="auto"/>
        <w:right w:val="none" w:sz="0" w:space="0" w:color="auto"/>
      </w:divBdr>
      <w:divsChild>
        <w:div w:id="373232404">
          <w:marLeft w:val="0"/>
          <w:marRight w:val="0"/>
          <w:marTop w:val="0"/>
          <w:marBottom w:val="150"/>
          <w:divBdr>
            <w:top w:val="none" w:sz="0" w:space="0" w:color="auto"/>
            <w:left w:val="none" w:sz="0" w:space="0" w:color="auto"/>
            <w:bottom w:val="none" w:sz="0" w:space="0" w:color="auto"/>
            <w:right w:val="none" w:sz="0" w:space="0" w:color="auto"/>
          </w:divBdr>
        </w:div>
        <w:div w:id="726805581">
          <w:marLeft w:val="0"/>
          <w:marRight w:val="0"/>
          <w:marTop w:val="0"/>
          <w:marBottom w:val="150"/>
          <w:divBdr>
            <w:top w:val="none" w:sz="0" w:space="0" w:color="auto"/>
            <w:left w:val="none" w:sz="0" w:space="0" w:color="auto"/>
            <w:bottom w:val="none" w:sz="0" w:space="0" w:color="auto"/>
            <w:right w:val="none" w:sz="0" w:space="0" w:color="auto"/>
          </w:divBdr>
          <w:divsChild>
            <w:div w:id="174529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193935">
      <w:bodyDiv w:val="1"/>
      <w:marLeft w:val="0"/>
      <w:marRight w:val="0"/>
      <w:marTop w:val="0"/>
      <w:marBottom w:val="0"/>
      <w:divBdr>
        <w:top w:val="none" w:sz="0" w:space="0" w:color="auto"/>
        <w:left w:val="none" w:sz="0" w:space="0" w:color="auto"/>
        <w:bottom w:val="none" w:sz="0" w:space="0" w:color="auto"/>
        <w:right w:val="none" w:sz="0" w:space="0" w:color="auto"/>
      </w:divBdr>
      <w:divsChild>
        <w:div w:id="1742291806">
          <w:marLeft w:val="0"/>
          <w:marRight w:val="0"/>
          <w:marTop w:val="0"/>
          <w:marBottom w:val="150"/>
          <w:divBdr>
            <w:top w:val="none" w:sz="0" w:space="0" w:color="auto"/>
            <w:left w:val="none" w:sz="0" w:space="0" w:color="auto"/>
            <w:bottom w:val="none" w:sz="0" w:space="0" w:color="auto"/>
            <w:right w:val="none" w:sz="0" w:space="0" w:color="auto"/>
          </w:divBdr>
        </w:div>
      </w:divsChild>
    </w:div>
    <w:div w:id="2072456633">
      <w:bodyDiv w:val="1"/>
      <w:marLeft w:val="0"/>
      <w:marRight w:val="0"/>
      <w:marTop w:val="0"/>
      <w:marBottom w:val="0"/>
      <w:divBdr>
        <w:top w:val="none" w:sz="0" w:space="0" w:color="auto"/>
        <w:left w:val="none" w:sz="0" w:space="0" w:color="auto"/>
        <w:bottom w:val="none" w:sz="0" w:space="0" w:color="auto"/>
        <w:right w:val="none" w:sz="0" w:space="0" w:color="auto"/>
      </w:divBdr>
      <w:divsChild>
        <w:div w:id="973490330">
          <w:marLeft w:val="0"/>
          <w:marRight w:val="0"/>
          <w:marTop w:val="0"/>
          <w:marBottom w:val="150"/>
          <w:divBdr>
            <w:top w:val="none" w:sz="0" w:space="0" w:color="auto"/>
            <w:left w:val="none" w:sz="0" w:space="0" w:color="auto"/>
            <w:bottom w:val="none" w:sz="0" w:space="0" w:color="auto"/>
            <w:right w:val="none" w:sz="0" w:space="0" w:color="auto"/>
          </w:divBdr>
          <w:divsChild>
            <w:div w:id="747313916">
              <w:marLeft w:val="0"/>
              <w:marRight w:val="0"/>
              <w:marTop w:val="0"/>
              <w:marBottom w:val="0"/>
              <w:divBdr>
                <w:top w:val="none" w:sz="0" w:space="0" w:color="auto"/>
                <w:left w:val="none" w:sz="0" w:space="0" w:color="auto"/>
                <w:bottom w:val="none" w:sz="0" w:space="0" w:color="auto"/>
                <w:right w:val="none" w:sz="0" w:space="0" w:color="auto"/>
              </w:divBdr>
              <w:divsChild>
                <w:div w:id="140117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843550">
          <w:marLeft w:val="0"/>
          <w:marRight w:val="0"/>
          <w:marTop w:val="0"/>
          <w:marBottom w:val="150"/>
          <w:divBdr>
            <w:top w:val="none" w:sz="0" w:space="0" w:color="auto"/>
            <w:left w:val="none" w:sz="0" w:space="0" w:color="auto"/>
            <w:bottom w:val="none" w:sz="0" w:space="0" w:color="auto"/>
            <w:right w:val="none" w:sz="0" w:space="0" w:color="auto"/>
          </w:divBdr>
        </w:div>
        <w:div w:id="551238083">
          <w:marLeft w:val="0"/>
          <w:marRight w:val="0"/>
          <w:marTop w:val="0"/>
          <w:marBottom w:val="0"/>
          <w:divBdr>
            <w:top w:val="none" w:sz="0" w:space="0" w:color="auto"/>
            <w:left w:val="none" w:sz="0" w:space="0" w:color="auto"/>
            <w:bottom w:val="none" w:sz="0" w:space="0" w:color="auto"/>
            <w:right w:val="none" w:sz="0" w:space="0" w:color="auto"/>
          </w:divBdr>
          <w:divsChild>
            <w:div w:id="159215642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73262812">
      <w:bodyDiv w:val="1"/>
      <w:marLeft w:val="0"/>
      <w:marRight w:val="0"/>
      <w:marTop w:val="0"/>
      <w:marBottom w:val="0"/>
      <w:divBdr>
        <w:top w:val="none" w:sz="0" w:space="0" w:color="auto"/>
        <w:left w:val="none" w:sz="0" w:space="0" w:color="auto"/>
        <w:bottom w:val="none" w:sz="0" w:space="0" w:color="auto"/>
        <w:right w:val="none" w:sz="0" w:space="0" w:color="auto"/>
      </w:divBdr>
      <w:divsChild>
        <w:div w:id="35088895">
          <w:marLeft w:val="0"/>
          <w:marRight w:val="0"/>
          <w:marTop w:val="0"/>
          <w:marBottom w:val="0"/>
          <w:divBdr>
            <w:top w:val="none" w:sz="0" w:space="0" w:color="auto"/>
            <w:left w:val="none" w:sz="0" w:space="0" w:color="auto"/>
            <w:bottom w:val="dotted" w:sz="6" w:space="4" w:color="DDDDDD"/>
            <w:right w:val="none" w:sz="0" w:space="0" w:color="auto"/>
          </w:divBdr>
          <w:divsChild>
            <w:div w:id="179956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697075">
      <w:bodyDiv w:val="1"/>
      <w:marLeft w:val="0"/>
      <w:marRight w:val="0"/>
      <w:marTop w:val="0"/>
      <w:marBottom w:val="0"/>
      <w:divBdr>
        <w:top w:val="none" w:sz="0" w:space="0" w:color="auto"/>
        <w:left w:val="none" w:sz="0" w:space="0" w:color="auto"/>
        <w:bottom w:val="none" w:sz="0" w:space="0" w:color="auto"/>
        <w:right w:val="none" w:sz="0" w:space="0" w:color="auto"/>
      </w:divBdr>
      <w:divsChild>
        <w:div w:id="1074009763">
          <w:marLeft w:val="0"/>
          <w:marRight w:val="0"/>
          <w:marTop w:val="0"/>
          <w:marBottom w:val="0"/>
          <w:divBdr>
            <w:top w:val="none" w:sz="0" w:space="0" w:color="auto"/>
            <w:left w:val="none" w:sz="0" w:space="0" w:color="auto"/>
            <w:bottom w:val="dotted" w:sz="6" w:space="4" w:color="DDDDDD"/>
            <w:right w:val="none" w:sz="0" w:space="0" w:color="auto"/>
          </w:divBdr>
          <w:divsChild>
            <w:div w:id="138020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91604">
      <w:bodyDiv w:val="1"/>
      <w:marLeft w:val="0"/>
      <w:marRight w:val="0"/>
      <w:marTop w:val="0"/>
      <w:marBottom w:val="0"/>
      <w:divBdr>
        <w:top w:val="none" w:sz="0" w:space="0" w:color="auto"/>
        <w:left w:val="none" w:sz="0" w:space="0" w:color="auto"/>
        <w:bottom w:val="none" w:sz="0" w:space="0" w:color="auto"/>
        <w:right w:val="none" w:sz="0" w:space="0" w:color="auto"/>
      </w:divBdr>
    </w:div>
    <w:div w:id="2073892893">
      <w:bodyDiv w:val="1"/>
      <w:marLeft w:val="0"/>
      <w:marRight w:val="0"/>
      <w:marTop w:val="0"/>
      <w:marBottom w:val="0"/>
      <w:divBdr>
        <w:top w:val="none" w:sz="0" w:space="0" w:color="auto"/>
        <w:left w:val="none" w:sz="0" w:space="0" w:color="auto"/>
        <w:bottom w:val="none" w:sz="0" w:space="0" w:color="auto"/>
        <w:right w:val="none" w:sz="0" w:space="0" w:color="auto"/>
      </w:divBdr>
      <w:divsChild>
        <w:div w:id="1910576660">
          <w:marLeft w:val="0"/>
          <w:marRight w:val="0"/>
          <w:marTop w:val="0"/>
          <w:marBottom w:val="150"/>
          <w:divBdr>
            <w:top w:val="none" w:sz="0" w:space="0" w:color="auto"/>
            <w:left w:val="none" w:sz="0" w:space="0" w:color="auto"/>
            <w:bottom w:val="none" w:sz="0" w:space="0" w:color="auto"/>
            <w:right w:val="none" w:sz="0" w:space="0" w:color="auto"/>
          </w:divBdr>
        </w:div>
        <w:div w:id="2084569385">
          <w:marLeft w:val="0"/>
          <w:marRight w:val="0"/>
          <w:marTop w:val="0"/>
          <w:marBottom w:val="0"/>
          <w:divBdr>
            <w:top w:val="none" w:sz="0" w:space="0" w:color="auto"/>
            <w:left w:val="none" w:sz="0" w:space="0" w:color="auto"/>
            <w:bottom w:val="none" w:sz="0" w:space="0" w:color="auto"/>
            <w:right w:val="none" w:sz="0" w:space="0" w:color="auto"/>
          </w:divBdr>
        </w:div>
      </w:divsChild>
    </w:div>
    <w:div w:id="2074110413">
      <w:bodyDiv w:val="1"/>
      <w:marLeft w:val="0"/>
      <w:marRight w:val="0"/>
      <w:marTop w:val="0"/>
      <w:marBottom w:val="0"/>
      <w:divBdr>
        <w:top w:val="none" w:sz="0" w:space="0" w:color="auto"/>
        <w:left w:val="none" w:sz="0" w:space="0" w:color="auto"/>
        <w:bottom w:val="none" w:sz="0" w:space="0" w:color="auto"/>
        <w:right w:val="none" w:sz="0" w:space="0" w:color="auto"/>
      </w:divBdr>
      <w:divsChild>
        <w:div w:id="1502965824">
          <w:marLeft w:val="0"/>
          <w:marRight w:val="0"/>
          <w:marTop w:val="0"/>
          <w:marBottom w:val="150"/>
          <w:divBdr>
            <w:top w:val="none" w:sz="0" w:space="0" w:color="auto"/>
            <w:left w:val="none" w:sz="0" w:space="0" w:color="auto"/>
            <w:bottom w:val="none" w:sz="0" w:space="0" w:color="auto"/>
            <w:right w:val="none" w:sz="0" w:space="0" w:color="auto"/>
          </w:divBdr>
          <w:divsChild>
            <w:div w:id="164060015">
              <w:marLeft w:val="0"/>
              <w:marRight w:val="0"/>
              <w:marTop w:val="0"/>
              <w:marBottom w:val="0"/>
              <w:divBdr>
                <w:top w:val="none" w:sz="0" w:space="0" w:color="auto"/>
                <w:left w:val="none" w:sz="0" w:space="0" w:color="auto"/>
                <w:bottom w:val="none" w:sz="0" w:space="0" w:color="auto"/>
                <w:right w:val="none" w:sz="0" w:space="0" w:color="auto"/>
              </w:divBdr>
              <w:divsChild>
                <w:div w:id="1457403911">
                  <w:marLeft w:val="0"/>
                  <w:marRight w:val="0"/>
                  <w:marTop w:val="0"/>
                  <w:marBottom w:val="0"/>
                  <w:divBdr>
                    <w:top w:val="none" w:sz="0" w:space="0" w:color="auto"/>
                    <w:left w:val="none" w:sz="0" w:space="0" w:color="auto"/>
                    <w:bottom w:val="none" w:sz="0" w:space="0" w:color="auto"/>
                    <w:right w:val="none" w:sz="0" w:space="0" w:color="auto"/>
                  </w:divBdr>
                  <w:divsChild>
                    <w:div w:id="1711027883">
                      <w:marLeft w:val="0"/>
                      <w:marRight w:val="150"/>
                      <w:marTop w:val="0"/>
                      <w:marBottom w:val="0"/>
                      <w:divBdr>
                        <w:top w:val="none" w:sz="0" w:space="0" w:color="auto"/>
                        <w:left w:val="none" w:sz="0" w:space="0" w:color="auto"/>
                        <w:bottom w:val="none" w:sz="0" w:space="0" w:color="auto"/>
                        <w:right w:val="none" w:sz="0" w:space="0" w:color="auto"/>
                      </w:divBdr>
                      <w:divsChild>
                        <w:div w:id="34645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842168">
          <w:marLeft w:val="0"/>
          <w:marRight w:val="0"/>
          <w:marTop w:val="0"/>
          <w:marBottom w:val="150"/>
          <w:divBdr>
            <w:top w:val="none" w:sz="0" w:space="0" w:color="auto"/>
            <w:left w:val="none" w:sz="0" w:space="0" w:color="auto"/>
            <w:bottom w:val="none" w:sz="0" w:space="0" w:color="auto"/>
            <w:right w:val="none" w:sz="0" w:space="0" w:color="auto"/>
          </w:divBdr>
        </w:div>
        <w:div w:id="1236551331">
          <w:marLeft w:val="0"/>
          <w:marRight w:val="0"/>
          <w:marTop w:val="0"/>
          <w:marBottom w:val="0"/>
          <w:divBdr>
            <w:top w:val="none" w:sz="0" w:space="0" w:color="auto"/>
            <w:left w:val="none" w:sz="0" w:space="0" w:color="auto"/>
            <w:bottom w:val="none" w:sz="0" w:space="0" w:color="auto"/>
            <w:right w:val="none" w:sz="0" w:space="0" w:color="auto"/>
          </w:divBdr>
          <w:divsChild>
            <w:div w:id="14929974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74430422">
      <w:bodyDiv w:val="1"/>
      <w:marLeft w:val="0"/>
      <w:marRight w:val="0"/>
      <w:marTop w:val="0"/>
      <w:marBottom w:val="0"/>
      <w:divBdr>
        <w:top w:val="none" w:sz="0" w:space="0" w:color="auto"/>
        <w:left w:val="none" w:sz="0" w:space="0" w:color="auto"/>
        <w:bottom w:val="none" w:sz="0" w:space="0" w:color="auto"/>
        <w:right w:val="none" w:sz="0" w:space="0" w:color="auto"/>
      </w:divBdr>
      <w:divsChild>
        <w:div w:id="1165783340">
          <w:marLeft w:val="0"/>
          <w:marRight w:val="0"/>
          <w:marTop w:val="0"/>
          <w:marBottom w:val="150"/>
          <w:divBdr>
            <w:top w:val="none" w:sz="0" w:space="0" w:color="auto"/>
            <w:left w:val="none" w:sz="0" w:space="0" w:color="auto"/>
            <w:bottom w:val="none" w:sz="0" w:space="0" w:color="auto"/>
            <w:right w:val="none" w:sz="0" w:space="0" w:color="auto"/>
          </w:divBdr>
          <w:divsChild>
            <w:div w:id="1528251005">
              <w:marLeft w:val="0"/>
              <w:marRight w:val="0"/>
              <w:marTop w:val="0"/>
              <w:marBottom w:val="0"/>
              <w:divBdr>
                <w:top w:val="none" w:sz="0" w:space="0" w:color="auto"/>
                <w:left w:val="none" w:sz="0" w:space="0" w:color="auto"/>
                <w:bottom w:val="none" w:sz="0" w:space="0" w:color="auto"/>
                <w:right w:val="none" w:sz="0" w:space="0" w:color="auto"/>
              </w:divBdr>
            </w:div>
          </w:divsChild>
        </w:div>
        <w:div w:id="1461217821">
          <w:marLeft w:val="0"/>
          <w:marRight w:val="0"/>
          <w:marTop w:val="0"/>
          <w:marBottom w:val="0"/>
          <w:divBdr>
            <w:top w:val="none" w:sz="0" w:space="0" w:color="auto"/>
            <w:left w:val="none" w:sz="0" w:space="0" w:color="auto"/>
            <w:bottom w:val="none" w:sz="0" w:space="0" w:color="auto"/>
            <w:right w:val="none" w:sz="0" w:space="0" w:color="auto"/>
          </w:divBdr>
          <w:divsChild>
            <w:div w:id="144247340">
              <w:marLeft w:val="0"/>
              <w:marRight w:val="0"/>
              <w:marTop w:val="0"/>
              <w:marBottom w:val="0"/>
              <w:divBdr>
                <w:top w:val="none" w:sz="0" w:space="0" w:color="auto"/>
                <w:left w:val="none" w:sz="0" w:space="0" w:color="auto"/>
                <w:bottom w:val="none" w:sz="0" w:space="0" w:color="auto"/>
                <w:right w:val="none" w:sz="0" w:space="0" w:color="auto"/>
              </w:divBdr>
            </w:div>
            <w:div w:id="13939695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74572640">
      <w:bodyDiv w:val="1"/>
      <w:marLeft w:val="0"/>
      <w:marRight w:val="0"/>
      <w:marTop w:val="0"/>
      <w:marBottom w:val="0"/>
      <w:divBdr>
        <w:top w:val="none" w:sz="0" w:space="0" w:color="auto"/>
        <w:left w:val="none" w:sz="0" w:space="0" w:color="auto"/>
        <w:bottom w:val="none" w:sz="0" w:space="0" w:color="auto"/>
        <w:right w:val="none" w:sz="0" w:space="0" w:color="auto"/>
      </w:divBdr>
    </w:div>
    <w:div w:id="2074811127">
      <w:bodyDiv w:val="1"/>
      <w:marLeft w:val="0"/>
      <w:marRight w:val="0"/>
      <w:marTop w:val="0"/>
      <w:marBottom w:val="0"/>
      <w:divBdr>
        <w:top w:val="none" w:sz="0" w:space="0" w:color="auto"/>
        <w:left w:val="none" w:sz="0" w:space="0" w:color="auto"/>
        <w:bottom w:val="none" w:sz="0" w:space="0" w:color="auto"/>
        <w:right w:val="none" w:sz="0" w:space="0" w:color="auto"/>
      </w:divBdr>
    </w:div>
    <w:div w:id="2074888516">
      <w:bodyDiv w:val="1"/>
      <w:marLeft w:val="0"/>
      <w:marRight w:val="0"/>
      <w:marTop w:val="0"/>
      <w:marBottom w:val="0"/>
      <w:divBdr>
        <w:top w:val="none" w:sz="0" w:space="0" w:color="auto"/>
        <w:left w:val="none" w:sz="0" w:space="0" w:color="auto"/>
        <w:bottom w:val="none" w:sz="0" w:space="0" w:color="auto"/>
        <w:right w:val="none" w:sz="0" w:space="0" w:color="auto"/>
      </w:divBdr>
      <w:divsChild>
        <w:div w:id="168764058">
          <w:marLeft w:val="0"/>
          <w:marRight w:val="0"/>
          <w:marTop w:val="0"/>
          <w:marBottom w:val="150"/>
          <w:divBdr>
            <w:top w:val="none" w:sz="0" w:space="0" w:color="auto"/>
            <w:left w:val="none" w:sz="0" w:space="0" w:color="auto"/>
            <w:bottom w:val="none" w:sz="0" w:space="0" w:color="auto"/>
            <w:right w:val="none" w:sz="0" w:space="0" w:color="auto"/>
          </w:divBdr>
        </w:div>
        <w:div w:id="1990473392">
          <w:marLeft w:val="0"/>
          <w:marRight w:val="0"/>
          <w:marTop w:val="0"/>
          <w:marBottom w:val="150"/>
          <w:divBdr>
            <w:top w:val="none" w:sz="0" w:space="0" w:color="auto"/>
            <w:left w:val="none" w:sz="0" w:space="0" w:color="auto"/>
            <w:bottom w:val="none" w:sz="0" w:space="0" w:color="auto"/>
            <w:right w:val="none" w:sz="0" w:space="0" w:color="auto"/>
          </w:divBdr>
          <w:divsChild>
            <w:div w:id="159608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658370">
      <w:bodyDiv w:val="1"/>
      <w:marLeft w:val="0"/>
      <w:marRight w:val="0"/>
      <w:marTop w:val="0"/>
      <w:marBottom w:val="0"/>
      <w:divBdr>
        <w:top w:val="none" w:sz="0" w:space="0" w:color="auto"/>
        <w:left w:val="none" w:sz="0" w:space="0" w:color="auto"/>
        <w:bottom w:val="none" w:sz="0" w:space="0" w:color="auto"/>
        <w:right w:val="none" w:sz="0" w:space="0" w:color="auto"/>
      </w:divBdr>
      <w:divsChild>
        <w:div w:id="845097880">
          <w:marLeft w:val="0"/>
          <w:marRight w:val="0"/>
          <w:marTop w:val="0"/>
          <w:marBottom w:val="450"/>
          <w:divBdr>
            <w:top w:val="none" w:sz="0" w:space="0" w:color="auto"/>
            <w:left w:val="none" w:sz="0" w:space="0" w:color="auto"/>
            <w:bottom w:val="single" w:sz="6" w:space="19" w:color="EEEEEE"/>
            <w:right w:val="none" w:sz="0" w:space="0" w:color="auto"/>
          </w:divBdr>
          <w:divsChild>
            <w:div w:id="160773939">
              <w:marLeft w:val="0"/>
              <w:marRight w:val="0"/>
              <w:marTop w:val="0"/>
              <w:marBottom w:val="150"/>
              <w:divBdr>
                <w:top w:val="none" w:sz="0" w:space="0" w:color="auto"/>
                <w:left w:val="none" w:sz="0" w:space="0" w:color="auto"/>
                <w:bottom w:val="none" w:sz="0" w:space="0" w:color="auto"/>
                <w:right w:val="none" w:sz="0" w:space="0" w:color="auto"/>
              </w:divBdr>
              <w:divsChild>
                <w:div w:id="2107265617">
                  <w:marLeft w:val="0"/>
                  <w:marRight w:val="0"/>
                  <w:marTop w:val="0"/>
                  <w:marBottom w:val="0"/>
                  <w:divBdr>
                    <w:top w:val="none" w:sz="0" w:space="0" w:color="auto"/>
                    <w:left w:val="none" w:sz="0" w:space="0" w:color="auto"/>
                    <w:bottom w:val="none" w:sz="0" w:space="0" w:color="auto"/>
                    <w:right w:val="none" w:sz="0" w:space="0" w:color="auto"/>
                  </w:divBdr>
                </w:div>
              </w:divsChild>
            </w:div>
            <w:div w:id="674108929">
              <w:marLeft w:val="0"/>
              <w:marRight w:val="0"/>
              <w:marTop w:val="0"/>
              <w:marBottom w:val="0"/>
              <w:divBdr>
                <w:top w:val="none" w:sz="0" w:space="0" w:color="auto"/>
                <w:left w:val="none" w:sz="0" w:space="0" w:color="auto"/>
                <w:bottom w:val="none" w:sz="0" w:space="0" w:color="auto"/>
                <w:right w:val="none" w:sz="0" w:space="0" w:color="auto"/>
              </w:divBdr>
            </w:div>
          </w:divsChild>
        </w:div>
        <w:div w:id="2039113808">
          <w:marLeft w:val="0"/>
          <w:marRight w:val="0"/>
          <w:marTop w:val="0"/>
          <w:marBottom w:val="0"/>
          <w:divBdr>
            <w:top w:val="none" w:sz="0" w:space="0" w:color="auto"/>
            <w:left w:val="none" w:sz="0" w:space="0" w:color="auto"/>
            <w:bottom w:val="none" w:sz="0" w:space="0" w:color="auto"/>
            <w:right w:val="none" w:sz="0" w:space="0" w:color="auto"/>
          </w:divBdr>
          <w:divsChild>
            <w:div w:id="444230240">
              <w:marLeft w:val="0"/>
              <w:marRight w:val="0"/>
              <w:marTop w:val="0"/>
              <w:marBottom w:val="0"/>
              <w:divBdr>
                <w:top w:val="none" w:sz="0" w:space="0" w:color="auto"/>
                <w:left w:val="none" w:sz="0" w:space="0" w:color="auto"/>
                <w:bottom w:val="none" w:sz="0" w:space="0" w:color="auto"/>
                <w:right w:val="none" w:sz="0" w:space="0" w:color="auto"/>
              </w:divBdr>
              <w:divsChild>
                <w:div w:id="65229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859569">
      <w:bodyDiv w:val="1"/>
      <w:marLeft w:val="0"/>
      <w:marRight w:val="0"/>
      <w:marTop w:val="0"/>
      <w:marBottom w:val="0"/>
      <w:divBdr>
        <w:top w:val="none" w:sz="0" w:space="0" w:color="auto"/>
        <w:left w:val="none" w:sz="0" w:space="0" w:color="auto"/>
        <w:bottom w:val="none" w:sz="0" w:space="0" w:color="auto"/>
        <w:right w:val="none" w:sz="0" w:space="0" w:color="auto"/>
      </w:divBdr>
    </w:div>
    <w:div w:id="2076274944">
      <w:bodyDiv w:val="1"/>
      <w:marLeft w:val="0"/>
      <w:marRight w:val="0"/>
      <w:marTop w:val="0"/>
      <w:marBottom w:val="0"/>
      <w:divBdr>
        <w:top w:val="none" w:sz="0" w:space="0" w:color="auto"/>
        <w:left w:val="none" w:sz="0" w:space="0" w:color="auto"/>
        <w:bottom w:val="none" w:sz="0" w:space="0" w:color="auto"/>
        <w:right w:val="none" w:sz="0" w:space="0" w:color="auto"/>
      </w:divBdr>
    </w:div>
    <w:div w:id="2077582303">
      <w:bodyDiv w:val="1"/>
      <w:marLeft w:val="0"/>
      <w:marRight w:val="0"/>
      <w:marTop w:val="0"/>
      <w:marBottom w:val="0"/>
      <w:divBdr>
        <w:top w:val="none" w:sz="0" w:space="0" w:color="auto"/>
        <w:left w:val="none" w:sz="0" w:space="0" w:color="auto"/>
        <w:bottom w:val="none" w:sz="0" w:space="0" w:color="auto"/>
        <w:right w:val="none" w:sz="0" w:space="0" w:color="auto"/>
      </w:divBdr>
      <w:divsChild>
        <w:div w:id="1595941176">
          <w:marLeft w:val="0"/>
          <w:marRight w:val="0"/>
          <w:marTop w:val="0"/>
          <w:marBottom w:val="0"/>
          <w:divBdr>
            <w:top w:val="none" w:sz="0" w:space="0" w:color="auto"/>
            <w:left w:val="none" w:sz="0" w:space="0" w:color="auto"/>
            <w:bottom w:val="none" w:sz="0" w:space="0" w:color="auto"/>
            <w:right w:val="none" w:sz="0" w:space="0" w:color="auto"/>
          </w:divBdr>
          <w:divsChild>
            <w:div w:id="210461941">
              <w:marLeft w:val="0"/>
              <w:marRight w:val="0"/>
              <w:marTop w:val="0"/>
              <w:marBottom w:val="0"/>
              <w:divBdr>
                <w:top w:val="none" w:sz="0" w:space="0" w:color="auto"/>
                <w:left w:val="none" w:sz="0" w:space="0" w:color="auto"/>
                <w:bottom w:val="none" w:sz="0" w:space="0" w:color="auto"/>
                <w:right w:val="none" w:sz="0" w:space="0" w:color="auto"/>
              </w:divBdr>
            </w:div>
            <w:div w:id="51453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287040">
      <w:bodyDiv w:val="1"/>
      <w:marLeft w:val="0"/>
      <w:marRight w:val="0"/>
      <w:marTop w:val="0"/>
      <w:marBottom w:val="0"/>
      <w:divBdr>
        <w:top w:val="none" w:sz="0" w:space="0" w:color="auto"/>
        <w:left w:val="none" w:sz="0" w:space="0" w:color="auto"/>
        <w:bottom w:val="none" w:sz="0" w:space="0" w:color="auto"/>
        <w:right w:val="none" w:sz="0" w:space="0" w:color="auto"/>
      </w:divBdr>
      <w:divsChild>
        <w:div w:id="699740550">
          <w:marLeft w:val="0"/>
          <w:marRight w:val="0"/>
          <w:marTop w:val="0"/>
          <w:marBottom w:val="0"/>
          <w:divBdr>
            <w:top w:val="none" w:sz="0" w:space="0" w:color="auto"/>
            <w:left w:val="none" w:sz="0" w:space="0" w:color="auto"/>
            <w:bottom w:val="none" w:sz="0" w:space="0" w:color="auto"/>
            <w:right w:val="none" w:sz="0" w:space="0" w:color="auto"/>
          </w:divBdr>
        </w:div>
      </w:divsChild>
    </w:div>
    <w:div w:id="2078361162">
      <w:bodyDiv w:val="1"/>
      <w:marLeft w:val="0"/>
      <w:marRight w:val="0"/>
      <w:marTop w:val="0"/>
      <w:marBottom w:val="0"/>
      <w:divBdr>
        <w:top w:val="none" w:sz="0" w:space="0" w:color="auto"/>
        <w:left w:val="none" w:sz="0" w:space="0" w:color="auto"/>
        <w:bottom w:val="none" w:sz="0" w:space="0" w:color="auto"/>
        <w:right w:val="none" w:sz="0" w:space="0" w:color="auto"/>
      </w:divBdr>
      <w:divsChild>
        <w:div w:id="67313521">
          <w:marLeft w:val="0"/>
          <w:marRight w:val="0"/>
          <w:marTop w:val="0"/>
          <w:marBottom w:val="150"/>
          <w:divBdr>
            <w:top w:val="none" w:sz="0" w:space="0" w:color="auto"/>
            <w:left w:val="none" w:sz="0" w:space="0" w:color="auto"/>
            <w:bottom w:val="none" w:sz="0" w:space="0" w:color="auto"/>
            <w:right w:val="none" w:sz="0" w:space="0" w:color="auto"/>
          </w:divBdr>
        </w:div>
      </w:divsChild>
    </w:div>
    <w:div w:id="2078478396">
      <w:bodyDiv w:val="1"/>
      <w:marLeft w:val="0"/>
      <w:marRight w:val="0"/>
      <w:marTop w:val="0"/>
      <w:marBottom w:val="0"/>
      <w:divBdr>
        <w:top w:val="none" w:sz="0" w:space="0" w:color="auto"/>
        <w:left w:val="none" w:sz="0" w:space="0" w:color="auto"/>
        <w:bottom w:val="none" w:sz="0" w:space="0" w:color="auto"/>
        <w:right w:val="none" w:sz="0" w:space="0" w:color="auto"/>
      </w:divBdr>
    </w:div>
    <w:div w:id="2078548892">
      <w:bodyDiv w:val="1"/>
      <w:marLeft w:val="0"/>
      <w:marRight w:val="0"/>
      <w:marTop w:val="0"/>
      <w:marBottom w:val="0"/>
      <w:divBdr>
        <w:top w:val="none" w:sz="0" w:space="0" w:color="auto"/>
        <w:left w:val="none" w:sz="0" w:space="0" w:color="auto"/>
        <w:bottom w:val="none" w:sz="0" w:space="0" w:color="auto"/>
        <w:right w:val="none" w:sz="0" w:space="0" w:color="auto"/>
      </w:divBdr>
      <w:divsChild>
        <w:div w:id="1210919335">
          <w:marLeft w:val="0"/>
          <w:marRight w:val="0"/>
          <w:marTop w:val="0"/>
          <w:marBottom w:val="150"/>
          <w:divBdr>
            <w:top w:val="none" w:sz="0" w:space="0" w:color="auto"/>
            <w:left w:val="none" w:sz="0" w:space="0" w:color="auto"/>
            <w:bottom w:val="none" w:sz="0" w:space="0" w:color="auto"/>
            <w:right w:val="none" w:sz="0" w:space="0" w:color="auto"/>
          </w:divBdr>
        </w:div>
      </w:divsChild>
    </w:div>
    <w:div w:id="2078744990">
      <w:bodyDiv w:val="1"/>
      <w:marLeft w:val="0"/>
      <w:marRight w:val="0"/>
      <w:marTop w:val="0"/>
      <w:marBottom w:val="0"/>
      <w:divBdr>
        <w:top w:val="none" w:sz="0" w:space="0" w:color="auto"/>
        <w:left w:val="none" w:sz="0" w:space="0" w:color="auto"/>
        <w:bottom w:val="none" w:sz="0" w:space="0" w:color="auto"/>
        <w:right w:val="none" w:sz="0" w:space="0" w:color="auto"/>
      </w:divBdr>
      <w:divsChild>
        <w:div w:id="763260368">
          <w:marLeft w:val="0"/>
          <w:marRight w:val="0"/>
          <w:marTop w:val="0"/>
          <w:marBottom w:val="0"/>
          <w:divBdr>
            <w:top w:val="none" w:sz="0" w:space="0" w:color="auto"/>
            <w:left w:val="none" w:sz="0" w:space="0" w:color="auto"/>
            <w:bottom w:val="none" w:sz="0" w:space="0" w:color="auto"/>
            <w:right w:val="none" w:sz="0" w:space="0" w:color="auto"/>
          </w:divBdr>
          <w:divsChild>
            <w:div w:id="2027323202">
              <w:marLeft w:val="0"/>
              <w:marRight w:val="0"/>
              <w:marTop w:val="0"/>
              <w:marBottom w:val="0"/>
              <w:divBdr>
                <w:top w:val="none" w:sz="0" w:space="0" w:color="auto"/>
                <w:left w:val="none" w:sz="0" w:space="0" w:color="auto"/>
                <w:bottom w:val="none" w:sz="0" w:space="0" w:color="auto"/>
                <w:right w:val="none" w:sz="0" w:space="0" w:color="auto"/>
              </w:divBdr>
              <w:divsChild>
                <w:div w:id="1268080203">
                  <w:marLeft w:val="0"/>
                  <w:marRight w:val="0"/>
                  <w:marTop w:val="0"/>
                  <w:marBottom w:val="0"/>
                  <w:divBdr>
                    <w:top w:val="none" w:sz="0" w:space="0" w:color="auto"/>
                    <w:left w:val="none" w:sz="0" w:space="0" w:color="auto"/>
                    <w:bottom w:val="none" w:sz="0" w:space="0" w:color="auto"/>
                    <w:right w:val="none" w:sz="0" w:space="0" w:color="auto"/>
                  </w:divBdr>
                  <w:divsChild>
                    <w:div w:id="1180586565">
                      <w:marLeft w:val="0"/>
                      <w:marRight w:val="0"/>
                      <w:marTop w:val="0"/>
                      <w:marBottom w:val="0"/>
                      <w:divBdr>
                        <w:top w:val="none" w:sz="0" w:space="0" w:color="auto"/>
                        <w:left w:val="none" w:sz="0" w:space="0" w:color="auto"/>
                        <w:bottom w:val="none" w:sz="0" w:space="0" w:color="auto"/>
                        <w:right w:val="none" w:sz="0" w:space="0" w:color="auto"/>
                      </w:divBdr>
                      <w:divsChild>
                        <w:div w:id="1396396056">
                          <w:marLeft w:val="0"/>
                          <w:marRight w:val="0"/>
                          <w:marTop w:val="0"/>
                          <w:marBottom w:val="0"/>
                          <w:divBdr>
                            <w:top w:val="none" w:sz="0" w:space="0" w:color="auto"/>
                            <w:left w:val="none" w:sz="0" w:space="0" w:color="auto"/>
                            <w:bottom w:val="none" w:sz="0" w:space="0" w:color="auto"/>
                            <w:right w:val="none" w:sz="0" w:space="0" w:color="auto"/>
                          </w:divBdr>
                          <w:divsChild>
                            <w:div w:id="408431831">
                              <w:marLeft w:val="0"/>
                              <w:marRight w:val="0"/>
                              <w:marTop w:val="0"/>
                              <w:marBottom w:val="0"/>
                              <w:divBdr>
                                <w:top w:val="none" w:sz="0" w:space="0" w:color="auto"/>
                                <w:left w:val="none" w:sz="0" w:space="0" w:color="auto"/>
                                <w:bottom w:val="none" w:sz="0" w:space="0" w:color="auto"/>
                                <w:right w:val="none" w:sz="0" w:space="0" w:color="auto"/>
                              </w:divBdr>
                              <w:divsChild>
                                <w:div w:id="947925736">
                                  <w:marLeft w:val="0"/>
                                  <w:marRight w:val="0"/>
                                  <w:marTop w:val="0"/>
                                  <w:marBottom w:val="0"/>
                                  <w:divBdr>
                                    <w:top w:val="none" w:sz="0" w:space="0" w:color="auto"/>
                                    <w:left w:val="none" w:sz="0" w:space="0" w:color="auto"/>
                                    <w:bottom w:val="none" w:sz="0" w:space="0" w:color="auto"/>
                                    <w:right w:val="none" w:sz="0" w:space="0" w:color="auto"/>
                                  </w:divBdr>
                                  <w:divsChild>
                                    <w:div w:id="1755860272">
                                      <w:marLeft w:val="0"/>
                                      <w:marRight w:val="0"/>
                                      <w:marTop w:val="0"/>
                                      <w:marBottom w:val="0"/>
                                      <w:divBdr>
                                        <w:top w:val="none" w:sz="0" w:space="0" w:color="auto"/>
                                        <w:left w:val="none" w:sz="0" w:space="0" w:color="auto"/>
                                        <w:bottom w:val="none" w:sz="0" w:space="0" w:color="auto"/>
                                        <w:right w:val="none" w:sz="0" w:space="0" w:color="auto"/>
                                      </w:divBdr>
                                      <w:divsChild>
                                        <w:div w:id="22861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789726">
      <w:bodyDiv w:val="1"/>
      <w:marLeft w:val="0"/>
      <w:marRight w:val="0"/>
      <w:marTop w:val="0"/>
      <w:marBottom w:val="0"/>
      <w:divBdr>
        <w:top w:val="none" w:sz="0" w:space="0" w:color="auto"/>
        <w:left w:val="none" w:sz="0" w:space="0" w:color="auto"/>
        <w:bottom w:val="none" w:sz="0" w:space="0" w:color="auto"/>
        <w:right w:val="none" w:sz="0" w:space="0" w:color="auto"/>
      </w:divBdr>
      <w:divsChild>
        <w:div w:id="1864593659">
          <w:marLeft w:val="0"/>
          <w:marRight w:val="0"/>
          <w:marTop w:val="0"/>
          <w:marBottom w:val="0"/>
          <w:divBdr>
            <w:top w:val="none" w:sz="0" w:space="0" w:color="auto"/>
            <w:left w:val="none" w:sz="0" w:space="0" w:color="auto"/>
            <w:bottom w:val="none" w:sz="0" w:space="0" w:color="auto"/>
            <w:right w:val="none" w:sz="0" w:space="0" w:color="auto"/>
          </w:divBdr>
          <w:divsChild>
            <w:div w:id="1851599354">
              <w:marLeft w:val="0"/>
              <w:marRight w:val="0"/>
              <w:marTop w:val="0"/>
              <w:marBottom w:val="0"/>
              <w:divBdr>
                <w:top w:val="none" w:sz="0" w:space="0" w:color="auto"/>
                <w:left w:val="none" w:sz="0" w:space="0" w:color="auto"/>
                <w:bottom w:val="none" w:sz="0" w:space="0" w:color="auto"/>
                <w:right w:val="none" w:sz="0" w:space="0" w:color="auto"/>
              </w:divBdr>
              <w:divsChild>
                <w:div w:id="1142649727">
                  <w:marLeft w:val="0"/>
                  <w:marRight w:val="0"/>
                  <w:marTop w:val="0"/>
                  <w:marBottom w:val="0"/>
                  <w:divBdr>
                    <w:top w:val="none" w:sz="0" w:space="0" w:color="auto"/>
                    <w:left w:val="none" w:sz="0" w:space="0" w:color="auto"/>
                    <w:bottom w:val="none" w:sz="0" w:space="0" w:color="auto"/>
                    <w:right w:val="none" w:sz="0" w:space="0" w:color="auto"/>
                  </w:divBdr>
                  <w:divsChild>
                    <w:div w:id="1734350441">
                      <w:marLeft w:val="0"/>
                      <w:marRight w:val="0"/>
                      <w:marTop w:val="0"/>
                      <w:marBottom w:val="0"/>
                      <w:divBdr>
                        <w:top w:val="none" w:sz="0" w:space="0" w:color="auto"/>
                        <w:left w:val="none" w:sz="0" w:space="0" w:color="auto"/>
                        <w:bottom w:val="none" w:sz="0" w:space="0" w:color="auto"/>
                        <w:right w:val="none" w:sz="0" w:space="0" w:color="auto"/>
                      </w:divBdr>
                      <w:divsChild>
                        <w:div w:id="1558515896">
                          <w:marLeft w:val="0"/>
                          <w:marRight w:val="0"/>
                          <w:marTop w:val="0"/>
                          <w:marBottom w:val="0"/>
                          <w:divBdr>
                            <w:top w:val="none" w:sz="0" w:space="0" w:color="auto"/>
                            <w:left w:val="none" w:sz="0" w:space="0" w:color="auto"/>
                            <w:bottom w:val="none" w:sz="0" w:space="0" w:color="auto"/>
                            <w:right w:val="none" w:sz="0" w:space="0" w:color="auto"/>
                          </w:divBdr>
                          <w:divsChild>
                            <w:div w:id="1276868729">
                              <w:marLeft w:val="0"/>
                              <w:marRight w:val="0"/>
                              <w:marTop w:val="0"/>
                              <w:marBottom w:val="0"/>
                              <w:divBdr>
                                <w:top w:val="none" w:sz="0" w:space="0" w:color="auto"/>
                                <w:left w:val="none" w:sz="0" w:space="0" w:color="auto"/>
                                <w:bottom w:val="none" w:sz="0" w:space="0" w:color="auto"/>
                                <w:right w:val="none" w:sz="0" w:space="0" w:color="auto"/>
                              </w:divBdr>
                              <w:divsChild>
                                <w:div w:id="245922306">
                                  <w:marLeft w:val="0"/>
                                  <w:marRight w:val="0"/>
                                  <w:marTop w:val="0"/>
                                  <w:marBottom w:val="0"/>
                                  <w:divBdr>
                                    <w:top w:val="none" w:sz="0" w:space="0" w:color="auto"/>
                                    <w:left w:val="none" w:sz="0" w:space="0" w:color="auto"/>
                                    <w:bottom w:val="none" w:sz="0" w:space="0" w:color="auto"/>
                                    <w:right w:val="none" w:sz="0" w:space="0" w:color="auto"/>
                                  </w:divBdr>
                                  <w:divsChild>
                                    <w:div w:id="329336527">
                                      <w:marLeft w:val="0"/>
                                      <w:marRight w:val="0"/>
                                      <w:marTop w:val="0"/>
                                      <w:marBottom w:val="0"/>
                                      <w:divBdr>
                                        <w:top w:val="none" w:sz="0" w:space="0" w:color="auto"/>
                                        <w:left w:val="none" w:sz="0" w:space="0" w:color="auto"/>
                                        <w:bottom w:val="none" w:sz="0" w:space="0" w:color="auto"/>
                                        <w:right w:val="none" w:sz="0" w:space="0" w:color="auto"/>
                                      </w:divBdr>
                                      <w:divsChild>
                                        <w:div w:id="105889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865695">
      <w:bodyDiv w:val="1"/>
      <w:marLeft w:val="0"/>
      <w:marRight w:val="0"/>
      <w:marTop w:val="0"/>
      <w:marBottom w:val="0"/>
      <w:divBdr>
        <w:top w:val="none" w:sz="0" w:space="0" w:color="auto"/>
        <w:left w:val="none" w:sz="0" w:space="0" w:color="auto"/>
        <w:bottom w:val="none" w:sz="0" w:space="0" w:color="auto"/>
        <w:right w:val="none" w:sz="0" w:space="0" w:color="auto"/>
      </w:divBdr>
      <w:divsChild>
        <w:div w:id="1686784639">
          <w:marLeft w:val="0"/>
          <w:marRight w:val="0"/>
          <w:marTop w:val="0"/>
          <w:marBottom w:val="0"/>
          <w:divBdr>
            <w:top w:val="none" w:sz="0" w:space="0" w:color="auto"/>
            <w:left w:val="none" w:sz="0" w:space="0" w:color="auto"/>
            <w:bottom w:val="none" w:sz="0" w:space="0" w:color="auto"/>
            <w:right w:val="none" w:sz="0" w:space="0" w:color="auto"/>
          </w:divBdr>
        </w:div>
      </w:divsChild>
    </w:div>
    <w:div w:id="2080007697">
      <w:bodyDiv w:val="1"/>
      <w:marLeft w:val="0"/>
      <w:marRight w:val="0"/>
      <w:marTop w:val="0"/>
      <w:marBottom w:val="0"/>
      <w:divBdr>
        <w:top w:val="none" w:sz="0" w:space="0" w:color="auto"/>
        <w:left w:val="none" w:sz="0" w:space="0" w:color="auto"/>
        <w:bottom w:val="none" w:sz="0" w:space="0" w:color="auto"/>
        <w:right w:val="none" w:sz="0" w:space="0" w:color="auto"/>
      </w:divBdr>
      <w:divsChild>
        <w:div w:id="1168516659">
          <w:marLeft w:val="0"/>
          <w:marRight w:val="0"/>
          <w:marTop w:val="0"/>
          <w:marBottom w:val="150"/>
          <w:divBdr>
            <w:top w:val="none" w:sz="0" w:space="0" w:color="auto"/>
            <w:left w:val="none" w:sz="0" w:space="0" w:color="auto"/>
            <w:bottom w:val="none" w:sz="0" w:space="0" w:color="auto"/>
            <w:right w:val="none" w:sz="0" w:space="0" w:color="auto"/>
          </w:divBdr>
        </w:div>
      </w:divsChild>
    </w:div>
    <w:div w:id="2080250842">
      <w:bodyDiv w:val="1"/>
      <w:marLeft w:val="0"/>
      <w:marRight w:val="0"/>
      <w:marTop w:val="0"/>
      <w:marBottom w:val="0"/>
      <w:divBdr>
        <w:top w:val="none" w:sz="0" w:space="0" w:color="auto"/>
        <w:left w:val="none" w:sz="0" w:space="0" w:color="auto"/>
        <w:bottom w:val="none" w:sz="0" w:space="0" w:color="auto"/>
        <w:right w:val="none" w:sz="0" w:space="0" w:color="auto"/>
      </w:divBdr>
      <w:divsChild>
        <w:div w:id="480538448">
          <w:marLeft w:val="0"/>
          <w:marRight w:val="0"/>
          <w:marTop w:val="0"/>
          <w:marBottom w:val="0"/>
          <w:divBdr>
            <w:top w:val="none" w:sz="0" w:space="0" w:color="auto"/>
            <w:left w:val="none" w:sz="0" w:space="0" w:color="auto"/>
            <w:bottom w:val="none" w:sz="0" w:space="0" w:color="auto"/>
            <w:right w:val="none" w:sz="0" w:space="0" w:color="auto"/>
          </w:divBdr>
          <w:divsChild>
            <w:div w:id="98069812">
              <w:marLeft w:val="0"/>
              <w:marRight w:val="0"/>
              <w:marTop w:val="0"/>
              <w:marBottom w:val="0"/>
              <w:divBdr>
                <w:top w:val="none" w:sz="0" w:space="0" w:color="auto"/>
                <w:left w:val="none" w:sz="0" w:space="0" w:color="auto"/>
                <w:bottom w:val="none" w:sz="0" w:space="0" w:color="auto"/>
                <w:right w:val="none" w:sz="0" w:space="0" w:color="auto"/>
              </w:divBdr>
            </w:div>
          </w:divsChild>
        </w:div>
        <w:div w:id="1490707483">
          <w:marLeft w:val="0"/>
          <w:marRight w:val="0"/>
          <w:marTop w:val="0"/>
          <w:marBottom w:val="150"/>
          <w:divBdr>
            <w:top w:val="none" w:sz="0" w:space="0" w:color="auto"/>
            <w:left w:val="none" w:sz="0" w:space="0" w:color="auto"/>
            <w:bottom w:val="none" w:sz="0" w:space="0" w:color="auto"/>
            <w:right w:val="none" w:sz="0" w:space="0" w:color="auto"/>
          </w:divBdr>
          <w:divsChild>
            <w:div w:id="2120878830">
              <w:marLeft w:val="0"/>
              <w:marRight w:val="0"/>
              <w:marTop w:val="0"/>
              <w:marBottom w:val="0"/>
              <w:divBdr>
                <w:top w:val="none" w:sz="0" w:space="0" w:color="auto"/>
                <w:left w:val="none" w:sz="0" w:space="0" w:color="auto"/>
                <w:bottom w:val="none" w:sz="0" w:space="0" w:color="auto"/>
                <w:right w:val="none" w:sz="0" w:space="0" w:color="auto"/>
              </w:divBdr>
            </w:div>
          </w:divsChild>
        </w:div>
        <w:div w:id="2106221292">
          <w:marLeft w:val="0"/>
          <w:marRight w:val="0"/>
          <w:marTop w:val="0"/>
          <w:marBottom w:val="150"/>
          <w:divBdr>
            <w:top w:val="none" w:sz="0" w:space="0" w:color="auto"/>
            <w:left w:val="none" w:sz="0" w:space="0" w:color="auto"/>
            <w:bottom w:val="none" w:sz="0" w:space="0" w:color="auto"/>
            <w:right w:val="none" w:sz="0" w:space="0" w:color="auto"/>
          </w:divBdr>
        </w:div>
      </w:divsChild>
    </w:div>
    <w:div w:id="2080442549">
      <w:bodyDiv w:val="1"/>
      <w:marLeft w:val="0"/>
      <w:marRight w:val="0"/>
      <w:marTop w:val="0"/>
      <w:marBottom w:val="0"/>
      <w:divBdr>
        <w:top w:val="none" w:sz="0" w:space="0" w:color="auto"/>
        <w:left w:val="none" w:sz="0" w:space="0" w:color="auto"/>
        <w:bottom w:val="none" w:sz="0" w:space="0" w:color="auto"/>
        <w:right w:val="none" w:sz="0" w:space="0" w:color="auto"/>
      </w:divBdr>
      <w:divsChild>
        <w:div w:id="245118376">
          <w:marLeft w:val="0"/>
          <w:marRight w:val="0"/>
          <w:marTop w:val="150"/>
          <w:marBottom w:val="0"/>
          <w:divBdr>
            <w:top w:val="none" w:sz="0" w:space="0" w:color="auto"/>
            <w:left w:val="none" w:sz="0" w:space="0" w:color="auto"/>
            <w:bottom w:val="none" w:sz="0" w:space="0" w:color="auto"/>
            <w:right w:val="none" w:sz="0" w:space="0" w:color="auto"/>
          </w:divBdr>
          <w:divsChild>
            <w:div w:id="1747797164">
              <w:marLeft w:val="0"/>
              <w:marRight w:val="0"/>
              <w:marTop w:val="0"/>
              <w:marBottom w:val="0"/>
              <w:divBdr>
                <w:top w:val="none" w:sz="0" w:space="0" w:color="auto"/>
                <w:left w:val="none" w:sz="0" w:space="0" w:color="auto"/>
                <w:bottom w:val="none" w:sz="0" w:space="0" w:color="auto"/>
                <w:right w:val="none" w:sz="0" w:space="0" w:color="auto"/>
              </w:divBdr>
              <w:divsChild>
                <w:div w:id="89589922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07513157">
          <w:marLeft w:val="0"/>
          <w:marRight w:val="0"/>
          <w:marTop w:val="0"/>
          <w:marBottom w:val="0"/>
          <w:divBdr>
            <w:top w:val="none" w:sz="0" w:space="0" w:color="auto"/>
            <w:left w:val="none" w:sz="0" w:space="0" w:color="auto"/>
            <w:bottom w:val="none" w:sz="0" w:space="0" w:color="auto"/>
            <w:right w:val="none" w:sz="0" w:space="0" w:color="auto"/>
          </w:divBdr>
          <w:divsChild>
            <w:div w:id="201722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516922">
      <w:bodyDiv w:val="1"/>
      <w:marLeft w:val="0"/>
      <w:marRight w:val="0"/>
      <w:marTop w:val="0"/>
      <w:marBottom w:val="0"/>
      <w:divBdr>
        <w:top w:val="none" w:sz="0" w:space="0" w:color="auto"/>
        <w:left w:val="none" w:sz="0" w:space="0" w:color="auto"/>
        <w:bottom w:val="none" w:sz="0" w:space="0" w:color="auto"/>
        <w:right w:val="none" w:sz="0" w:space="0" w:color="auto"/>
      </w:divBdr>
    </w:div>
    <w:div w:id="2080637308">
      <w:bodyDiv w:val="1"/>
      <w:marLeft w:val="0"/>
      <w:marRight w:val="0"/>
      <w:marTop w:val="0"/>
      <w:marBottom w:val="0"/>
      <w:divBdr>
        <w:top w:val="none" w:sz="0" w:space="0" w:color="auto"/>
        <w:left w:val="none" w:sz="0" w:space="0" w:color="auto"/>
        <w:bottom w:val="none" w:sz="0" w:space="0" w:color="auto"/>
        <w:right w:val="none" w:sz="0" w:space="0" w:color="auto"/>
      </w:divBdr>
      <w:divsChild>
        <w:div w:id="2146727240">
          <w:marLeft w:val="0"/>
          <w:marRight w:val="0"/>
          <w:marTop w:val="0"/>
          <w:marBottom w:val="0"/>
          <w:divBdr>
            <w:top w:val="none" w:sz="0" w:space="0" w:color="auto"/>
            <w:left w:val="none" w:sz="0" w:space="0" w:color="auto"/>
            <w:bottom w:val="none" w:sz="0" w:space="0" w:color="auto"/>
            <w:right w:val="none" w:sz="0" w:space="0" w:color="auto"/>
          </w:divBdr>
          <w:divsChild>
            <w:div w:id="1819345226">
              <w:marLeft w:val="0"/>
              <w:marRight w:val="0"/>
              <w:marTop w:val="0"/>
              <w:marBottom w:val="0"/>
              <w:divBdr>
                <w:top w:val="none" w:sz="0" w:space="0" w:color="auto"/>
                <w:left w:val="none" w:sz="0" w:space="0" w:color="auto"/>
                <w:bottom w:val="none" w:sz="0" w:space="0" w:color="auto"/>
                <w:right w:val="none" w:sz="0" w:space="0" w:color="auto"/>
              </w:divBdr>
              <w:divsChild>
                <w:div w:id="1175997605">
                  <w:marLeft w:val="0"/>
                  <w:marRight w:val="0"/>
                  <w:marTop w:val="0"/>
                  <w:marBottom w:val="0"/>
                  <w:divBdr>
                    <w:top w:val="none" w:sz="0" w:space="0" w:color="auto"/>
                    <w:left w:val="none" w:sz="0" w:space="0" w:color="auto"/>
                    <w:bottom w:val="none" w:sz="0" w:space="0" w:color="auto"/>
                    <w:right w:val="none" w:sz="0" w:space="0" w:color="auto"/>
                  </w:divBdr>
                  <w:divsChild>
                    <w:div w:id="702754934">
                      <w:marLeft w:val="0"/>
                      <w:marRight w:val="0"/>
                      <w:marTop w:val="0"/>
                      <w:marBottom w:val="0"/>
                      <w:divBdr>
                        <w:top w:val="none" w:sz="0" w:space="0" w:color="auto"/>
                        <w:left w:val="none" w:sz="0" w:space="0" w:color="auto"/>
                        <w:bottom w:val="none" w:sz="0" w:space="0" w:color="auto"/>
                        <w:right w:val="none" w:sz="0" w:space="0" w:color="auto"/>
                      </w:divBdr>
                      <w:divsChild>
                        <w:div w:id="1526018666">
                          <w:marLeft w:val="0"/>
                          <w:marRight w:val="0"/>
                          <w:marTop w:val="0"/>
                          <w:marBottom w:val="0"/>
                          <w:divBdr>
                            <w:top w:val="none" w:sz="0" w:space="0" w:color="auto"/>
                            <w:left w:val="none" w:sz="0" w:space="0" w:color="auto"/>
                            <w:bottom w:val="none" w:sz="0" w:space="0" w:color="auto"/>
                            <w:right w:val="none" w:sz="0" w:space="0" w:color="auto"/>
                          </w:divBdr>
                          <w:divsChild>
                            <w:div w:id="1239288521">
                              <w:marLeft w:val="0"/>
                              <w:marRight w:val="0"/>
                              <w:marTop w:val="0"/>
                              <w:marBottom w:val="0"/>
                              <w:divBdr>
                                <w:top w:val="none" w:sz="0" w:space="0" w:color="auto"/>
                                <w:left w:val="none" w:sz="0" w:space="0" w:color="auto"/>
                                <w:bottom w:val="none" w:sz="0" w:space="0" w:color="auto"/>
                                <w:right w:val="none" w:sz="0" w:space="0" w:color="auto"/>
                              </w:divBdr>
                              <w:divsChild>
                                <w:div w:id="854926577">
                                  <w:marLeft w:val="0"/>
                                  <w:marRight w:val="0"/>
                                  <w:marTop w:val="0"/>
                                  <w:marBottom w:val="0"/>
                                  <w:divBdr>
                                    <w:top w:val="none" w:sz="0" w:space="0" w:color="auto"/>
                                    <w:left w:val="none" w:sz="0" w:space="0" w:color="auto"/>
                                    <w:bottom w:val="none" w:sz="0" w:space="0" w:color="auto"/>
                                    <w:right w:val="none" w:sz="0" w:space="0" w:color="auto"/>
                                  </w:divBdr>
                                  <w:divsChild>
                                    <w:div w:id="60897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667713">
      <w:bodyDiv w:val="1"/>
      <w:marLeft w:val="0"/>
      <w:marRight w:val="0"/>
      <w:marTop w:val="0"/>
      <w:marBottom w:val="0"/>
      <w:divBdr>
        <w:top w:val="none" w:sz="0" w:space="0" w:color="auto"/>
        <w:left w:val="none" w:sz="0" w:space="0" w:color="auto"/>
        <w:bottom w:val="none" w:sz="0" w:space="0" w:color="auto"/>
        <w:right w:val="none" w:sz="0" w:space="0" w:color="auto"/>
      </w:divBdr>
      <w:divsChild>
        <w:div w:id="914389404">
          <w:marLeft w:val="0"/>
          <w:marRight w:val="0"/>
          <w:marTop w:val="0"/>
          <w:marBottom w:val="150"/>
          <w:divBdr>
            <w:top w:val="none" w:sz="0" w:space="0" w:color="auto"/>
            <w:left w:val="none" w:sz="0" w:space="0" w:color="auto"/>
            <w:bottom w:val="none" w:sz="0" w:space="0" w:color="auto"/>
            <w:right w:val="none" w:sz="0" w:space="0" w:color="auto"/>
          </w:divBdr>
        </w:div>
      </w:divsChild>
    </w:div>
    <w:div w:id="2080710260">
      <w:bodyDiv w:val="1"/>
      <w:marLeft w:val="0"/>
      <w:marRight w:val="0"/>
      <w:marTop w:val="0"/>
      <w:marBottom w:val="0"/>
      <w:divBdr>
        <w:top w:val="none" w:sz="0" w:space="0" w:color="auto"/>
        <w:left w:val="none" w:sz="0" w:space="0" w:color="auto"/>
        <w:bottom w:val="none" w:sz="0" w:space="0" w:color="auto"/>
        <w:right w:val="none" w:sz="0" w:space="0" w:color="auto"/>
      </w:divBdr>
      <w:divsChild>
        <w:div w:id="896092388">
          <w:marLeft w:val="0"/>
          <w:marRight w:val="0"/>
          <w:marTop w:val="0"/>
          <w:marBottom w:val="0"/>
          <w:divBdr>
            <w:top w:val="none" w:sz="0" w:space="0" w:color="auto"/>
            <w:left w:val="none" w:sz="0" w:space="0" w:color="auto"/>
            <w:bottom w:val="none" w:sz="0" w:space="0" w:color="auto"/>
            <w:right w:val="none" w:sz="0" w:space="0" w:color="auto"/>
          </w:divBdr>
          <w:divsChild>
            <w:div w:id="1975062570">
              <w:marLeft w:val="0"/>
              <w:marRight w:val="0"/>
              <w:marTop w:val="0"/>
              <w:marBottom w:val="0"/>
              <w:divBdr>
                <w:top w:val="none" w:sz="0" w:space="0" w:color="auto"/>
                <w:left w:val="none" w:sz="0" w:space="0" w:color="auto"/>
                <w:bottom w:val="none" w:sz="0" w:space="0" w:color="auto"/>
                <w:right w:val="none" w:sz="0" w:space="0" w:color="auto"/>
              </w:divBdr>
            </w:div>
          </w:divsChild>
        </w:div>
        <w:div w:id="1243024585">
          <w:marLeft w:val="0"/>
          <w:marRight w:val="0"/>
          <w:marTop w:val="0"/>
          <w:marBottom w:val="0"/>
          <w:divBdr>
            <w:top w:val="none" w:sz="0" w:space="0" w:color="auto"/>
            <w:left w:val="none" w:sz="0" w:space="0" w:color="auto"/>
            <w:bottom w:val="none" w:sz="0" w:space="0" w:color="auto"/>
            <w:right w:val="none" w:sz="0" w:space="0" w:color="auto"/>
          </w:divBdr>
          <w:divsChild>
            <w:div w:id="1885676472">
              <w:marLeft w:val="0"/>
              <w:marRight w:val="0"/>
              <w:marTop w:val="0"/>
              <w:marBottom w:val="0"/>
              <w:divBdr>
                <w:top w:val="none" w:sz="0" w:space="0" w:color="auto"/>
                <w:left w:val="none" w:sz="0" w:space="0" w:color="auto"/>
                <w:bottom w:val="none" w:sz="0" w:space="0" w:color="auto"/>
                <w:right w:val="none" w:sz="0" w:space="0" w:color="auto"/>
              </w:divBdr>
              <w:divsChild>
                <w:div w:id="1873834070">
                  <w:marLeft w:val="0"/>
                  <w:marRight w:val="0"/>
                  <w:marTop w:val="0"/>
                  <w:marBottom w:val="0"/>
                  <w:divBdr>
                    <w:top w:val="none" w:sz="0" w:space="0" w:color="auto"/>
                    <w:left w:val="none" w:sz="0" w:space="0" w:color="auto"/>
                    <w:bottom w:val="none" w:sz="0" w:space="0" w:color="auto"/>
                    <w:right w:val="none" w:sz="0" w:space="0" w:color="auto"/>
                  </w:divBdr>
                  <w:divsChild>
                    <w:div w:id="470486210">
                      <w:marLeft w:val="0"/>
                      <w:marRight w:val="0"/>
                      <w:marTop w:val="0"/>
                      <w:marBottom w:val="300"/>
                      <w:divBdr>
                        <w:top w:val="none" w:sz="0" w:space="0" w:color="auto"/>
                        <w:left w:val="none" w:sz="0" w:space="0" w:color="auto"/>
                        <w:bottom w:val="none" w:sz="0" w:space="0" w:color="auto"/>
                        <w:right w:val="none" w:sz="0" w:space="0" w:color="auto"/>
                      </w:divBdr>
                      <w:divsChild>
                        <w:div w:id="133379417">
                          <w:marLeft w:val="0"/>
                          <w:marRight w:val="0"/>
                          <w:marTop w:val="0"/>
                          <w:marBottom w:val="0"/>
                          <w:divBdr>
                            <w:top w:val="none" w:sz="0" w:space="0" w:color="auto"/>
                            <w:left w:val="none" w:sz="0" w:space="0" w:color="auto"/>
                            <w:bottom w:val="none" w:sz="0" w:space="0" w:color="auto"/>
                            <w:right w:val="none" w:sz="0" w:space="0" w:color="auto"/>
                          </w:divBdr>
                          <w:divsChild>
                            <w:div w:id="1857570978">
                              <w:marLeft w:val="0"/>
                              <w:marRight w:val="0"/>
                              <w:marTop w:val="0"/>
                              <w:marBottom w:val="0"/>
                              <w:divBdr>
                                <w:top w:val="none" w:sz="0" w:space="0" w:color="auto"/>
                                <w:left w:val="none" w:sz="0" w:space="0" w:color="auto"/>
                                <w:bottom w:val="none" w:sz="0" w:space="0" w:color="auto"/>
                                <w:right w:val="none" w:sz="0" w:space="0" w:color="auto"/>
                              </w:divBdr>
                              <w:divsChild>
                                <w:div w:id="1017929567">
                                  <w:marLeft w:val="0"/>
                                  <w:marRight w:val="0"/>
                                  <w:marTop w:val="0"/>
                                  <w:marBottom w:val="0"/>
                                  <w:divBdr>
                                    <w:top w:val="single" w:sz="2" w:space="0" w:color="DFDFDF"/>
                                    <w:left w:val="single" w:sz="2" w:space="0" w:color="DFDFDF"/>
                                    <w:bottom w:val="single" w:sz="2" w:space="0" w:color="DFDFDF"/>
                                    <w:right w:val="single" w:sz="2" w:space="0" w:color="DFDFDF"/>
                                  </w:divBdr>
                                  <w:divsChild>
                                    <w:div w:id="93594850">
                                      <w:marLeft w:val="0"/>
                                      <w:marRight w:val="0"/>
                                      <w:marTop w:val="0"/>
                                      <w:marBottom w:val="270"/>
                                      <w:divBdr>
                                        <w:top w:val="none" w:sz="0" w:space="0" w:color="auto"/>
                                        <w:left w:val="none" w:sz="0" w:space="0" w:color="auto"/>
                                        <w:bottom w:val="single" w:sz="12" w:space="5" w:color="DADADA"/>
                                        <w:right w:val="none" w:sz="0" w:space="0" w:color="auto"/>
                                      </w:divBdr>
                                      <w:divsChild>
                                        <w:div w:id="424153393">
                                          <w:marLeft w:val="0"/>
                                          <w:marRight w:val="0"/>
                                          <w:marTop w:val="0"/>
                                          <w:marBottom w:val="0"/>
                                          <w:divBdr>
                                            <w:top w:val="none" w:sz="0" w:space="0" w:color="auto"/>
                                            <w:left w:val="none" w:sz="0" w:space="0" w:color="auto"/>
                                            <w:bottom w:val="none" w:sz="0" w:space="0" w:color="auto"/>
                                            <w:right w:val="none" w:sz="0" w:space="0" w:color="auto"/>
                                          </w:divBdr>
                                        </w:div>
                                      </w:divsChild>
                                    </w:div>
                                    <w:div w:id="517504514">
                                      <w:marLeft w:val="-90"/>
                                      <w:marRight w:val="0"/>
                                      <w:marTop w:val="0"/>
                                      <w:marBottom w:val="0"/>
                                      <w:divBdr>
                                        <w:top w:val="none" w:sz="0" w:space="0" w:color="auto"/>
                                        <w:left w:val="none" w:sz="0" w:space="0" w:color="auto"/>
                                        <w:bottom w:val="none" w:sz="0" w:space="0" w:color="auto"/>
                                        <w:right w:val="none" w:sz="0" w:space="0" w:color="auto"/>
                                      </w:divBdr>
                                      <w:divsChild>
                                        <w:div w:id="1712875261">
                                          <w:marLeft w:val="0"/>
                                          <w:marRight w:val="0"/>
                                          <w:marTop w:val="0"/>
                                          <w:marBottom w:val="45"/>
                                          <w:divBdr>
                                            <w:top w:val="single" w:sz="2" w:space="0" w:color="A9A9A9"/>
                                            <w:left w:val="single" w:sz="2" w:space="0" w:color="A9A9A9"/>
                                            <w:bottom w:val="single" w:sz="2" w:space="0" w:color="A9A9A9"/>
                                            <w:right w:val="single" w:sz="2" w:space="0" w:color="A9A9A9"/>
                                          </w:divBdr>
                                          <w:divsChild>
                                            <w:div w:id="381099887">
                                              <w:marLeft w:val="0"/>
                                              <w:marRight w:val="0"/>
                                              <w:marTop w:val="0"/>
                                              <w:marBottom w:val="0"/>
                                              <w:divBdr>
                                                <w:top w:val="none" w:sz="0" w:space="0" w:color="auto"/>
                                                <w:left w:val="none" w:sz="0" w:space="0" w:color="auto"/>
                                                <w:bottom w:val="none" w:sz="0" w:space="0" w:color="auto"/>
                                                <w:right w:val="none" w:sz="0" w:space="0" w:color="auto"/>
                                              </w:divBdr>
                                              <w:divsChild>
                                                <w:div w:id="58853849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277904728">
                          <w:marLeft w:val="0"/>
                          <w:marRight w:val="0"/>
                          <w:marTop w:val="0"/>
                          <w:marBottom w:val="0"/>
                          <w:divBdr>
                            <w:top w:val="none" w:sz="0" w:space="0" w:color="auto"/>
                            <w:left w:val="none" w:sz="0" w:space="0" w:color="auto"/>
                            <w:bottom w:val="none" w:sz="0" w:space="0" w:color="auto"/>
                            <w:right w:val="none" w:sz="0" w:space="0" w:color="auto"/>
                          </w:divBdr>
                          <w:divsChild>
                            <w:div w:id="1627814716">
                              <w:marLeft w:val="0"/>
                              <w:marRight w:val="0"/>
                              <w:marTop w:val="0"/>
                              <w:marBottom w:val="0"/>
                              <w:divBdr>
                                <w:top w:val="none" w:sz="0" w:space="0" w:color="auto"/>
                                <w:left w:val="none" w:sz="0" w:space="0" w:color="auto"/>
                                <w:bottom w:val="none" w:sz="0" w:space="0" w:color="auto"/>
                                <w:right w:val="none" w:sz="0" w:space="0" w:color="auto"/>
                              </w:divBdr>
                              <w:divsChild>
                                <w:div w:id="1102841816">
                                  <w:marLeft w:val="0"/>
                                  <w:marRight w:val="0"/>
                                  <w:marTop w:val="0"/>
                                  <w:marBottom w:val="0"/>
                                  <w:divBdr>
                                    <w:top w:val="single" w:sz="2" w:space="0" w:color="DFDFDF"/>
                                    <w:left w:val="single" w:sz="2" w:space="0" w:color="DFDFDF"/>
                                    <w:bottom w:val="single" w:sz="2" w:space="0" w:color="DFDFDF"/>
                                    <w:right w:val="single" w:sz="2" w:space="0" w:color="DFDFDF"/>
                                  </w:divBdr>
                                  <w:divsChild>
                                    <w:div w:id="748190460">
                                      <w:marLeft w:val="-90"/>
                                      <w:marRight w:val="0"/>
                                      <w:marTop w:val="0"/>
                                      <w:marBottom w:val="0"/>
                                      <w:divBdr>
                                        <w:top w:val="none" w:sz="0" w:space="0" w:color="auto"/>
                                        <w:left w:val="none" w:sz="0" w:space="0" w:color="auto"/>
                                        <w:bottom w:val="none" w:sz="0" w:space="0" w:color="auto"/>
                                        <w:right w:val="none" w:sz="0" w:space="0" w:color="auto"/>
                                      </w:divBdr>
                                      <w:divsChild>
                                        <w:div w:id="430708402">
                                          <w:marLeft w:val="0"/>
                                          <w:marRight w:val="0"/>
                                          <w:marTop w:val="0"/>
                                          <w:marBottom w:val="45"/>
                                          <w:divBdr>
                                            <w:top w:val="single" w:sz="2" w:space="0" w:color="A9A9A9"/>
                                            <w:left w:val="single" w:sz="2" w:space="0" w:color="A9A9A9"/>
                                            <w:bottom w:val="single" w:sz="2" w:space="0" w:color="A9A9A9"/>
                                            <w:right w:val="single" w:sz="2" w:space="0" w:color="A9A9A9"/>
                                          </w:divBdr>
                                          <w:divsChild>
                                            <w:div w:id="1133134903">
                                              <w:marLeft w:val="0"/>
                                              <w:marRight w:val="0"/>
                                              <w:marTop w:val="0"/>
                                              <w:marBottom w:val="0"/>
                                              <w:divBdr>
                                                <w:top w:val="none" w:sz="0" w:space="0" w:color="auto"/>
                                                <w:left w:val="none" w:sz="0" w:space="0" w:color="auto"/>
                                                <w:bottom w:val="none" w:sz="0" w:space="0" w:color="auto"/>
                                                <w:right w:val="none" w:sz="0" w:space="0" w:color="auto"/>
                                              </w:divBdr>
                                              <w:divsChild>
                                                <w:div w:id="746001317">
                                                  <w:marLeft w:val="92"/>
                                                  <w:marRight w:val="0"/>
                                                  <w:marTop w:val="0"/>
                                                  <w:marBottom w:val="150"/>
                                                  <w:divBdr>
                                                    <w:top w:val="single" w:sz="2" w:space="0" w:color="E4E4E4"/>
                                                    <w:left w:val="single" w:sz="2" w:space="0" w:color="E4E4E4"/>
                                                    <w:bottom w:val="single" w:sz="2" w:space="0" w:color="E4E4E4"/>
                                                    <w:right w:val="single" w:sz="2" w:space="0" w:color="E4E4E4"/>
                                                  </w:divBdr>
                                                </w:div>
                                                <w:div w:id="177524465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493178030">
                      <w:marLeft w:val="0"/>
                      <w:marRight w:val="0"/>
                      <w:marTop w:val="0"/>
                      <w:marBottom w:val="300"/>
                      <w:divBdr>
                        <w:top w:val="none" w:sz="0" w:space="0" w:color="auto"/>
                        <w:left w:val="none" w:sz="0" w:space="0" w:color="auto"/>
                        <w:bottom w:val="none" w:sz="0" w:space="0" w:color="auto"/>
                        <w:right w:val="none" w:sz="0" w:space="0" w:color="auto"/>
                      </w:divBdr>
                      <w:divsChild>
                        <w:div w:id="266276627">
                          <w:marLeft w:val="0"/>
                          <w:marRight w:val="0"/>
                          <w:marTop w:val="0"/>
                          <w:marBottom w:val="0"/>
                          <w:divBdr>
                            <w:top w:val="none" w:sz="0" w:space="0" w:color="auto"/>
                            <w:left w:val="none" w:sz="0" w:space="0" w:color="auto"/>
                            <w:bottom w:val="none" w:sz="0" w:space="0" w:color="auto"/>
                            <w:right w:val="none" w:sz="0" w:space="0" w:color="auto"/>
                          </w:divBdr>
                          <w:divsChild>
                            <w:div w:id="372966941">
                              <w:marLeft w:val="0"/>
                              <w:marRight w:val="0"/>
                              <w:marTop w:val="0"/>
                              <w:marBottom w:val="0"/>
                              <w:divBdr>
                                <w:top w:val="none" w:sz="0" w:space="0" w:color="auto"/>
                                <w:left w:val="none" w:sz="0" w:space="0" w:color="auto"/>
                                <w:bottom w:val="none" w:sz="0" w:space="0" w:color="auto"/>
                                <w:right w:val="none" w:sz="0" w:space="0" w:color="auto"/>
                              </w:divBdr>
                              <w:divsChild>
                                <w:div w:id="1396120978">
                                  <w:marLeft w:val="0"/>
                                  <w:marRight w:val="600"/>
                                  <w:marTop w:val="0"/>
                                  <w:marBottom w:val="0"/>
                                  <w:divBdr>
                                    <w:top w:val="none" w:sz="0" w:space="0" w:color="auto"/>
                                    <w:left w:val="none" w:sz="0" w:space="0" w:color="auto"/>
                                    <w:bottom w:val="none" w:sz="0" w:space="0" w:color="auto"/>
                                    <w:right w:val="none" w:sz="0" w:space="0" w:color="auto"/>
                                  </w:divBdr>
                                  <w:divsChild>
                                    <w:div w:id="535776610">
                                      <w:marLeft w:val="0"/>
                                      <w:marRight w:val="0"/>
                                      <w:marTop w:val="0"/>
                                      <w:marBottom w:val="120"/>
                                      <w:divBdr>
                                        <w:top w:val="none" w:sz="0" w:space="0" w:color="auto"/>
                                        <w:left w:val="none" w:sz="0" w:space="0" w:color="auto"/>
                                        <w:bottom w:val="single" w:sz="6" w:space="6" w:color="EEEEEE"/>
                                        <w:right w:val="none" w:sz="0" w:space="0" w:color="auto"/>
                                      </w:divBdr>
                                      <w:divsChild>
                                        <w:div w:id="1153185186">
                                          <w:marLeft w:val="0"/>
                                          <w:marRight w:val="0"/>
                                          <w:marTop w:val="0"/>
                                          <w:marBottom w:val="0"/>
                                          <w:divBdr>
                                            <w:top w:val="none" w:sz="0" w:space="0" w:color="auto"/>
                                            <w:left w:val="none" w:sz="0" w:space="0" w:color="auto"/>
                                            <w:bottom w:val="none" w:sz="0" w:space="0" w:color="auto"/>
                                            <w:right w:val="none" w:sz="0" w:space="0" w:color="auto"/>
                                          </w:divBdr>
                                        </w:div>
                                      </w:divsChild>
                                    </w:div>
                                    <w:div w:id="1141460893">
                                      <w:marLeft w:val="0"/>
                                      <w:marRight w:val="0"/>
                                      <w:marTop w:val="0"/>
                                      <w:marBottom w:val="120"/>
                                      <w:divBdr>
                                        <w:top w:val="none" w:sz="0" w:space="0" w:color="auto"/>
                                        <w:left w:val="none" w:sz="0" w:space="0" w:color="auto"/>
                                        <w:bottom w:val="single" w:sz="6" w:space="6" w:color="EEEEEE"/>
                                        <w:right w:val="none" w:sz="0" w:space="0" w:color="auto"/>
                                      </w:divBdr>
                                      <w:divsChild>
                                        <w:div w:id="649099631">
                                          <w:marLeft w:val="0"/>
                                          <w:marRight w:val="0"/>
                                          <w:marTop w:val="0"/>
                                          <w:marBottom w:val="0"/>
                                          <w:divBdr>
                                            <w:top w:val="none" w:sz="0" w:space="0" w:color="auto"/>
                                            <w:left w:val="none" w:sz="0" w:space="0" w:color="auto"/>
                                            <w:bottom w:val="none" w:sz="0" w:space="0" w:color="auto"/>
                                            <w:right w:val="none" w:sz="0" w:space="0" w:color="auto"/>
                                          </w:divBdr>
                                        </w:div>
                                      </w:divsChild>
                                    </w:div>
                                    <w:div w:id="1803304125">
                                      <w:marLeft w:val="0"/>
                                      <w:marRight w:val="0"/>
                                      <w:marTop w:val="0"/>
                                      <w:marBottom w:val="120"/>
                                      <w:divBdr>
                                        <w:top w:val="none" w:sz="0" w:space="0" w:color="auto"/>
                                        <w:left w:val="none" w:sz="0" w:space="0" w:color="auto"/>
                                        <w:bottom w:val="single" w:sz="6" w:space="6" w:color="EEEEEE"/>
                                        <w:right w:val="none" w:sz="0" w:space="0" w:color="auto"/>
                                      </w:divBdr>
                                      <w:divsChild>
                                        <w:div w:id="971986596">
                                          <w:marLeft w:val="0"/>
                                          <w:marRight w:val="0"/>
                                          <w:marTop w:val="0"/>
                                          <w:marBottom w:val="0"/>
                                          <w:divBdr>
                                            <w:top w:val="none" w:sz="0" w:space="0" w:color="auto"/>
                                            <w:left w:val="none" w:sz="0" w:space="0" w:color="auto"/>
                                            <w:bottom w:val="none" w:sz="0" w:space="0" w:color="auto"/>
                                            <w:right w:val="none" w:sz="0" w:space="0" w:color="auto"/>
                                          </w:divBdr>
                                        </w:div>
                                      </w:divsChild>
                                    </w:div>
                                    <w:div w:id="2004047940">
                                      <w:marLeft w:val="0"/>
                                      <w:marRight w:val="0"/>
                                      <w:marTop w:val="0"/>
                                      <w:marBottom w:val="120"/>
                                      <w:divBdr>
                                        <w:top w:val="none" w:sz="0" w:space="0" w:color="auto"/>
                                        <w:left w:val="none" w:sz="0" w:space="0" w:color="auto"/>
                                        <w:bottom w:val="none" w:sz="0" w:space="0" w:color="auto"/>
                                        <w:right w:val="none" w:sz="0" w:space="0" w:color="auto"/>
                                      </w:divBdr>
                                      <w:divsChild>
                                        <w:div w:id="1585644861">
                                          <w:marLeft w:val="0"/>
                                          <w:marRight w:val="0"/>
                                          <w:marTop w:val="0"/>
                                          <w:marBottom w:val="0"/>
                                          <w:divBdr>
                                            <w:top w:val="none" w:sz="0" w:space="0" w:color="auto"/>
                                            <w:left w:val="none" w:sz="0" w:space="0" w:color="auto"/>
                                            <w:bottom w:val="none" w:sz="0" w:space="0" w:color="auto"/>
                                            <w:right w:val="none" w:sz="0" w:space="0" w:color="auto"/>
                                          </w:divBdr>
                                        </w:div>
                                      </w:divsChild>
                                    </w:div>
                                    <w:div w:id="2024701201">
                                      <w:marLeft w:val="0"/>
                                      <w:marRight w:val="0"/>
                                      <w:marTop w:val="0"/>
                                      <w:marBottom w:val="120"/>
                                      <w:divBdr>
                                        <w:top w:val="none" w:sz="0" w:space="0" w:color="auto"/>
                                        <w:left w:val="none" w:sz="0" w:space="0" w:color="auto"/>
                                        <w:bottom w:val="single" w:sz="6" w:space="6" w:color="EEEEEE"/>
                                        <w:right w:val="none" w:sz="0" w:space="0" w:color="auto"/>
                                      </w:divBdr>
                                      <w:divsChild>
                                        <w:div w:id="66324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066248">
                                  <w:marLeft w:val="0"/>
                                  <w:marRight w:val="600"/>
                                  <w:marTop w:val="0"/>
                                  <w:marBottom w:val="0"/>
                                  <w:divBdr>
                                    <w:top w:val="none" w:sz="0" w:space="0" w:color="auto"/>
                                    <w:left w:val="none" w:sz="0" w:space="0" w:color="auto"/>
                                    <w:bottom w:val="none" w:sz="0" w:space="0" w:color="auto"/>
                                    <w:right w:val="none" w:sz="0" w:space="0" w:color="auto"/>
                                  </w:divBdr>
                                  <w:divsChild>
                                    <w:div w:id="847712782">
                                      <w:marLeft w:val="0"/>
                                      <w:marRight w:val="0"/>
                                      <w:marTop w:val="0"/>
                                      <w:marBottom w:val="120"/>
                                      <w:divBdr>
                                        <w:top w:val="none" w:sz="0" w:space="0" w:color="auto"/>
                                        <w:left w:val="none" w:sz="0" w:space="0" w:color="auto"/>
                                        <w:bottom w:val="single" w:sz="6" w:space="6" w:color="EEEEEE"/>
                                        <w:right w:val="none" w:sz="0" w:space="0" w:color="auto"/>
                                      </w:divBdr>
                                      <w:divsChild>
                                        <w:div w:id="1778788553">
                                          <w:marLeft w:val="0"/>
                                          <w:marRight w:val="0"/>
                                          <w:marTop w:val="0"/>
                                          <w:marBottom w:val="0"/>
                                          <w:divBdr>
                                            <w:top w:val="none" w:sz="0" w:space="0" w:color="auto"/>
                                            <w:left w:val="none" w:sz="0" w:space="0" w:color="auto"/>
                                            <w:bottom w:val="none" w:sz="0" w:space="0" w:color="auto"/>
                                            <w:right w:val="none" w:sz="0" w:space="0" w:color="auto"/>
                                          </w:divBdr>
                                        </w:div>
                                      </w:divsChild>
                                    </w:div>
                                    <w:div w:id="1214847787">
                                      <w:marLeft w:val="0"/>
                                      <w:marRight w:val="0"/>
                                      <w:marTop w:val="0"/>
                                      <w:marBottom w:val="120"/>
                                      <w:divBdr>
                                        <w:top w:val="none" w:sz="0" w:space="0" w:color="auto"/>
                                        <w:left w:val="none" w:sz="0" w:space="0" w:color="auto"/>
                                        <w:bottom w:val="single" w:sz="6" w:space="6" w:color="EEEEEE"/>
                                        <w:right w:val="none" w:sz="0" w:space="0" w:color="auto"/>
                                      </w:divBdr>
                                      <w:divsChild>
                                        <w:div w:id="39942935">
                                          <w:marLeft w:val="0"/>
                                          <w:marRight w:val="0"/>
                                          <w:marTop w:val="0"/>
                                          <w:marBottom w:val="0"/>
                                          <w:divBdr>
                                            <w:top w:val="none" w:sz="0" w:space="0" w:color="auto"/>
                                            <w:left w:val="none" w:sz="0" w:space="0" w:color="auto"/>
                                            <w:bottom w:val="none" w:sz="0" w:space="0" w:color="auto"/>
                                            <w:right w:val="none" w:sz="0" w:space="0" w:color="auto"/>
                                          </w:divBdr>
                                        </w:div>
                                      </w:divsChild>
                                    </w:div>
                                    <w:div w:id="1307246762">
                                      <w:marLeft w:val="0"/>
                                      <w:marRight w:val="0"/>
                                      <w:marTop w:val="0"/>
                                      <w:marBottom w:val="120"/>
                                      <w:divBdr>
                                        <w:top w:val="none" w:sz="0" w:space="0" w:color="auto"/>
                                        <w:left w:val="none" w:sz="0" w:space="0" w:color="auto"/>
                                        <w:bottom w:val="single" w:sz="6" w:space="6" w:color="EEEEEE"/>
                                        <w:right w:val="none" w:sz="0" w:space="0" w:color="auto"/>
                                      </w:divBdr>
                                      <w:divsChild>
                                        <w:div w:id="902910657">
                                          <w:marLeft w:val="0"/>
                                          <w:marRight w:val="0"/>
                                          <w:marTop w:val="0"/>
                                          <w:marBottom w:val="0"/>
                                          <w:divBdr>
                                            <w:top w:val="none" w:sz="0" w:space="0" w:color="auto"/>
                                            <w:left w:val="none" w:sz="0" w:space="0" w:color="auto"/>
                                            <w:bottom w:val="none" w:sz="0" w:space="0" w:color="auto"/>
                                            <w:right w:val="none" w:sz="0" w:space="0" w:color="auto"/>
                                          </w:divBdr>
                                        </w:div>
                                      </w:divsChild>
                                    </w:div>
                                    <w:div w:id="1697002231">
                                      <w:marLeft w:val="0"/>
                                      <w:marRight w:val="0"/>
                                      <w:marTop w:val="0"/>
                                      <w:marBottom w:val="120"/>
                                      <w:divBdr>
                                        <w:top w:val="none" w:sz="0" w:space="0" w:color="auto"/>
                                        <w:left w:val="none" w:sz="0" w:space="0" w:color="auto"/>
                                        <w:bottom w:val="single" w:sz="6" w:space="6" w:color="EEEEEE"/>
                                        <w:right w:val="none" w:sz="0" w:space="0" w:color="auto"/>
                                      </w:divBdr>
                                      <w:divsChild>
                                        <w:div w:id="746537447">
                                          <w:marLeft w:val="0"/>
                                          <w:marRight w:val="0"/>
                                          <w:marTop w:val="0"/>
                                          <w:marBottom w:val="0"/>
                                          <w:divBdr>
                                            <w:top w:val="none" w:sz="0" w:space="0" w:color="auto"/>
                                            <w:left w:val="none" w:sz="0" w:space="0" w:color="auto"/>
                                            <w:bottom w:val="none" w:sz="0" w:space="0" w:color="auto"/>
                                            <w:right w:val="none" w:sz="0" w:space="0" w:color="auto"/>
                                          </w:divBdr>
                                        </w:div>
                                      </w:divsChild>
                                    </w:div>
                                    <w:div w:id="1926188688">
                                      <w:marLeft w:val="0"/>
                                      <w:marRight w:val="0"/>
                                      <w:marTop w:val="0"/>
                                      <w:marBottom w:val="120"/>
                                      <w:divBdr>
                                        <w:top w:val="none" w:sz="0" w:space="0" w:color="auto"/>
                                        <w:left w:val="none" w:sz="0" w:space="0" w:color="auto"/>
                                        <w:bottom w:val="none" w:sz="0" w:space="0" w:color="auto"/>
                                        <w:right w:val="none" w:sz="0" w:space="0" w:color="auto"/>
                                      </w:divBdr>
                                      <w:divsChild>
                                        <w:div w:id="159810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643724">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 w:id="2078239808">
                  <w:marLeft w:val="0"/>
                  <w:marRight w:val="0"/>
                  <w:marTop w:val="0"/>
                  <w:marBottom w:val="0"/>
                  <w:divBdr>
                    <w:top w:val="none" w:sz="0" w:space="0" w:color="auto"/>
                    <w:left w:val="none" w:sz="0" w:space="0" w:color="auto"/>
                    <w:bottom w:val="none" w:sz="0" w:space="0" w:color="auto"/>
                    <w:right w:val="none" w:sz="0" w:space="0" w:color="auto"/>
                  </w:divBdr>
                  <w:divsChild>
                    <w:div w:id="719478150">
                      <w:marLeft w:val="0"/>
                      <w:marRight w:val="0"/>
                      <w:marTop w:val="0"/>
                      <w:marBottom w:val="0"/>
                      <w:divBdr>
                        <w:top w:val="none" w:sz="0" w:space="0" w:color="auto"/>
                        <w:left w:val="none" w:sz="0" w:space="0" w:color="auto"/>
                        <w:bottom w:val="none" w:sz="0" w:space="0" w:color="auto"/>
                        <w:right w:val="none" w:sz="0" w:space="0" w:color="auto"/>
                      </w:divBdr>
                      <w:divsChild>
                        <w:div w:id="1647662360">
                          <w:marLeft w:val="0"/>
                          <w:marRight w:val="0"/>
                          <w:marTop w:val="0"/>
                          <w:marBottom w:val="0"/>
                          <w:divBdr>
                            <w:top w:val="none" w:sz="0" w:space="0" w:color="auto"/>
                            <w:left w:val="none" w:sz="0" w:space="0" w:color="auto"/>
                            <w:bottom w:val="none" w:sz="0" w:space="0" w:color="auto"/>
                            <w:right w:val="none" w:sz="0" w:space="0" w:color="auto"/>
                          </w:divBdr>
                          <w:divsChild>
                            <w:div w:id="71330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0789319">
      <w:bodyDiv w:val="1"/>
      <w:marLeft w:val="0"/>
      <w:marRight w:val="0"/>
      <w:marTop w:val="0"/>
      <w:marBottom w:val="0"/>
      <w:divBdr>
        <w:top w:val="none" w:sz="0" w:space="0" w:color="auto"/>
        <w:left w:val="none" w:sz="0" w:space="0" w:color="auto"/>
        <w:bottom w:val="none" w:sz="0" w:space="0" w:color="auto"/>
        <w:right w:val="none" w:sz="0" w:space="0" w:color="auto"/>
      </w:divBdr>
      <w:divsChild>
        <w:div w:id="319389208">
          <w:marLeft w:val="0"/>
          <w:marRight w:val="0"/>
          <w:marTop w:val="0"/>
          <w:marBottom w:val="0"/>
          <w:divBdr>
            <w:top w:val="none" w:sz="0" w:space="0" w:color="auto"/>
            <w:left w:val="none" w:sz="0" w:space="0" w:color="auto"/>
            <w:bottom w:val="dotted" w:sz="6" w:space="4" w:color="DDDDDD"/>
            <w:right w:val="none" w:sz="0" w:space="0" w:color="auto"/>
          </w:divBdr>
        </w:div>
      </w:divsChild>
    </w:div>
    <w:div w:id="2080976066">
      <w:bodyDiv w:val="1"/>
      <w:marLeft w:val="0"/>
      <w:marRight w:val="0"/>
      <w:marTop w:val="0"/>
      <w:marBottom w:val="0"/>
      <w:divBdr>
        <w:top w:val="none" w:sz="0" w:space="0" w:color="auto"/>
        <w:left w:val="none" w:sz="0" w:space="0" w:color="auto"/>
        <w:bottom w:val="none" w:sz="0" w:space="0" w:color="auto"/>
        <w:right w:val="none" w:sz="0" w:space="0" w:color="auto"/>
      </w:divBdr>
      <w:divsChild>
        <w:div w:id="2011366160">
          <w:marLeft w:val="0"/>
          <w:marRight w:val="0"/>
          <w:marTop w:val="0"/>
          <w:marBottom w:val="0"/>
          <w:divBdr>
            <w:top w:val="none" w:sz="0" w:space="0" w:color="auto"/>
            <w:left w:val="none" w:sz="0" w:space="0" w:color="auto"/>
            <w:bottom w:val="dotted" w:sz="6" w:space="4" w:color="DDDDDD"/>
            <w:right w:val="none" w:sz="0" w:space="0" w:color="auto"/>
          </w:divBdr>
          <w:divsChild>
            <w:div w:id="20487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43442">
      <w:bodyDiv w:val="1"/>
      <w:marLeft w:val="0"/>
      <w:marRight w:val="0"/>
      <w:marTop w:val="0"/>
      <w:marBottom w:val="0"/>
      <w:divBdr>
        <w:top w:val="none" w:sz="0" w:space="0" w:color="auto"/>
        <w:left w:val="none" w:sz="0" w:space="0" w:color="auto"/>
        <w:bottom w:val="none" w:sz="0" w:space="0" w:color="auto"/>
        <w:right w:val="none" w:sz="0" w:space="0" w:color="auto"/>
      </w:divBdr>
    </w:div>
    <w:div w:id="2081512169">
      <w:bodyDiv w:val="1"/>
      <w:marLeft w:val="0"/>
      <w:marRight w:val="0"/>
      <w:marTop w:val="0"/>
      <w:marBottom w:val="0"/>
      <w:divBdr>
        <w:top w:val="none" w:sz="0" w:space="0" w:color="auto"/>
        <w:left w:val="none" w:sz="0" w:space="0" w:color="auto"/>
        <w:bottom w:val="none" w:sz="0" w:space="0" w:color="auto"/>
        <w:right w:val="none" w:sz="0" w:space="0" w:color="auto"/>
      </w:divBdr>
      <w:divsChild>
        <w:div w:id="1302465089">
          <w:marLeft w:val="0"/>
          <w:marRight w:val="0"/>
          <w:marTop w:val="0"/>
          <w:marBottom w:val="0"/>
          <w:divBdr>
            <w:top w:val="none" w:sz="0" w:space="0" w:color="auto"/>
            <w:left w:val="none" w:sz="0" w:space="0" w:color="auto"/>
            <w:bottom w:val="none" w:sz="0" w:space="0" w:color="auto"/>
            <w:right w:val="none" w:sz="0" w:space="0" w:color="auto"/>
          </w:divBdr>
        </w:div>
      </w:divsChild>
    </w:div>
    <w:div w:id="2081978512">
      <w:bodyDiv w:val="1"/>
      <w:marLeft w:val="0"/>
      <w:marRight w:val="0"/>
      <w:marTop w:val="0"/>
      <w:marBottom w:val="0"/>
      <w:divBdr>
        <w:top w:val="none" w:sz="0" w:space="0" w:color="auto"/>
        <w:left w:val="none" w:sz="0" w:space="0" w:color="auto"/>
        <w:bottom w:val="none" w:sz="0" w:space="0" w:color="auto"/>
        <w:right w:val="none" w:sz="0" w:space="0" w:color="auto"/>
      </w:divBdr>
      <w:divsChild>
        <w:div w:id="790589097">
          <w:marLeft w:val="0"/>
          <w:marRight w:val="0"/>
          <w:marTop w:val="0"/>
          <w:marBottom w:val="150"/>
          <w:divBdr>
            <w:top w:val="none" w:sz="0" w:space="0" w:color="auto"/>
            <w:left w:val="none" w:sz="0" w:space="0" w:color="auto"/>
            <w:bottom w:val="none" w:sz="0" w:space="0" w:color="auto"/>
            <w:right w:val="none" w:sz="0" w:space="0" w:color="auto"/>
          </w:divBdr>
        </w:div>
      </w:divsChild>
    </w:div>
    <w:div w:id="2082482882">
      <w:bodyDiv w:val="1"/>
      <w:marLeft w:val="0"/>
      <w:marRight w:val="0"/>
      <w:marTop w:val="0"/>
      <w:marBottom w:val="0"/>
      <w:divBdr>
        <w:top w:val="none" w:sz="0" w:space="0" w:color="auto"/>
        <w:left w:val="none" w:sz="0" w:space="0" w:color="auto"/>
        <w:bottom w:val="none" w:sz="0" w:space="0" w:color="auto"/>
        <w:right w:val="none" w:sz="0" w:space="0" w:color="auto"/>
      </w:divBdr>
      <w:divsChild>
        <w:div w:id="1749957266">
          <w:marLeft w:val="0"/>
          <w:marRight w:val="0"/>
          <w:marTop w:val="0"/>
          <w:marBottom w:val="0"/>
          <w:divBdr>
            <w:top w:val="none" w:sz="0" w:space="0" w:color="auto"/>
            <w:left w:val="none" w:sz="0" w:space="0" w:color="auto"/>
            <w:bottom w:val="none" w:sz="0" w:space="0" w:color="auto"/>
            <w:right w:val="none" w:sz="0" w:space="0" w:color="auto"/>
          </w:divBdr>
        </w:div>
      </w:divsChild>
    </w:div>
    <w:div w:id="2082671967">
      <w:bodyDiv w:val="1"/>
      <w:marLeft w:val="0"/>
      <w:marRight w:val="0"/>
      <w:marTop w:val="0"/>
      <w:marBottom w:val="0"/>
      <w:divBdr>
        <w:top w:val="none" w:sz="0" w:space="0" w:color="auto"/>
        <w:left w:val="none" w:sz="0" w:space="0" w:color="auto"/>
        <w:bottom w:val="none" w:sz="0" w:space="0" w:color="auto"/>
        <w:right w:val="none" w:sz="0" w:space="0" w:color="auto"/>
      </w:divBdr>
      <w:divsChild>
        <w:div w:id="414976307">
          <w:marLeft w:val="0"/>
          <w:marRight w:val="0"/>
          <w:marTop w:val="0"/>
          <w:marBottom w:val="0"/>
          <w:divBdr>
            <w:top w:val="none" w:sz="0" w:space="0" w:color="auto"/>
            <w:left w:val="none" w:sz="0" w:space="0" w:color="auto"/>
            <w:bottom w:val="dotted" w:sz="6" w:space="4" w:color="DDDDDD"/>
            <w:right w:val="none" w:sz="0" w:space="0" w:color="auto"/>
          </w:divBdr>
          <w:divsChild>
            <w:div w:id="76942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5210">
      <w:bodyDiv w:val="1"/>
      <w:marLeft w:val="0"/>
      <w:marRight w:val="0"/>
      <w:marTop w:val="0"/>
      <w:marBottom w:val="0"/>
      <w:divBdr>
        <w:top w:val="none" w:sz="0" w:space="0" w:color="auto"/>
        <w:left w:val="none" w:sz="0" w:space="0" w:color="auto"/>
        <w:bottom w:val="none" w:sz="0" w:space="0" w:color="auto"/>
        <w:right w:val="none" w:sz="0" w:space="0" w:color="auto"/>
      </w:divBdr>
      <w:divsChild>
        <w:div w:id="304746911">
          <w:marLeft w:val="0"/>
          <w:marRight w:val="0"/>
          <w:marTop w:val="0"/>
          <w:marBottom w:val="0"/>
          <w:divBdr>
            <w:top w:val="none" w:sz="0" w:space="0" w:color="auto"/>
            <w:left w:val="none" w:sz="0" w:space="0" w:color="auto"/>
            <w:bottom w:val="dotted" w:sz="6" w:space="4" w:color="DDDDDD"/>
            <w:right w:val="none" w:sz="0" w:space="0" w:color="auto"/>
          </w:divBdr>
          <w:divsChild>
            <w:div w:id="8095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5656">
      <w:bodyDiv w:val="1"/>
      <w:marLeft w:val="0"/>
      <w:marRight w:val="0"/>
      <w:marTop w:val="0"/>
      <w:marBottom w:val="0"/>
      <w:divBdr>
        <w:top w:val="none" w:sz="0" w:space="0" w:color="auto"/>
        <w:left w:val="none" w:sz="0" w:space="0" w:color="auto"/>
        <w:bottom w:val="none" w:sz="0" w:space="0" w:color="auto"/>
        <w:right w:val="none" w:sz="0" w:space="0" w:color="auto"/>
      </w:divBdr>
      <w:divsChild>
        <w:div w:id="317416849">
          <w:marLeft w:val="0"/>
          <w:marRight w:val="0"/>
          <w:marTop w:val="0"/>
          <w:marBottom w:val="150"/>
          <w:divBdr>
            <w:top w:val="none" w:sz="0" w:space="0" w:color="auto"/>
            <w:left w:val="none" w:sz="0" w:space="0" w:color="auto"/>
            <w:bottom w:val="none" w:sz="0" w:space="0" w:color="auto"/>
            <w:right w:val="none" w:sz="0" w:space="0" w:color="auto"/>
          </w:divBdr>
        </w:div>
        <w:div w:id="1832060331">
          <w:marLeft w:val="0"/>
          <w:marRight w:val="0"/>
          <w:marTop w:val="0"/>
          <w:marBottom w:val="0"/>
          <w:divBdr>
            <w:top w:val="none" w:sz="0" w:space="0" w:color="auto"/>
            <w:left w:val="none" w:sz="0" w:space="0" w:color="auto"/>
            <w:bottom w:val="none" w:sz="0" w:space="0" w:color="auto"/>
            <w:right w:val="none" w:sz="0" w:space="0" w:color="auto"/>
          </w:divBdr>
          <w:divsChild>
            <w:div w:id="509224068">
              <w:marLeft w:val="0"/>
              <w:marRight w:val="0"/>
              <w:marTop w:val="225"/>
              <w:marBottom w:val="225"/>
              <w:divBdr>
                <w:top w:val="none" w:sz="0" w:space="0" w:color="auto"/>
                <w:left w:val="none" w:sz="0" w:space="0" w:color="auto"/>
                <w:bottom w:val="none" w:sz="0" w:space="0" w:color="auto"/>
                <w:right w:val="none" w:sz="0" w:space="0" w:color="auto"/>
              </w:divBdr>
            </w:div>
          </w:divsChild>
        </w:div>
        <w:div w:id="2009748870">
          <w:marLeft w:val="0"/>
          <w:marRight w:val="0"/>
          <w:marTop w:val="0"/>
          <w:marBottom w:val="150"/>
          <w:divBdr>
            <w:top w:val="none" w:sz="0" w:space="0" w:color="auto"/>
            <w:left w:val="none" w:sz="0" w:space="0" w:color="auto"/>
            <w:bottom w:val="none" w:sz="0" w:space="0" w:color="auto"/>
            <w:right w:val="none" w:sz="0" w:space="0" w:color="auto"/>
          </w:divBdr>
          <w:divsChild>
            <w:div w:id="1581790815">
              <w:marLeft w:val="0"/>
              <w:marRight w:val="0"/>
              <w:marTop w:val="0"/>
              <w:marBottom w:val="0"/>
              <w:divBdr>
                <w:top w:val="none" w:sz="0" w:space="0" w:color="auto"/>
                <w:left w:val="none" w:sz="0" w:space="0" w:color="auto"/>
                <w:bottom w:val="none" w:sz="0" w:space="0" w:color="auto"/>
                <w:right w:val="none" w:sz="0" w:space="0" w:color="auto"/>
              </w:divBdr>
              <w:divsChild>
                <w:div w:id="31079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330410">
      <w:bodyDiv w:val="1"/>
      <w:marLeft w:val="0"/>
      <w:marRight w:val="0"/>
      <w:marTop w:val="0"/>
      <w:marBottom w:val="0"/>
      <w:divBdr>
        <w:top w:val="none" w:sz="0" w:space="0" w:color="auto"/>
        <w:left w:val="none" w:sz="0" w:space="0" w:color="auto"/>
        <w:bottom w:val="none" w:sz="0" w:space="0" w:color="auto"/>
        <w:right w:val="none" w:sz="0" w:space="0" w:color="auto"/>
      </w:divBdr>
      <w:divsChild>
        <w:div w:id="1147551244">
          <w:marLeft w:val="0"/>
          <w:marRight w:val="0"/>
          <w:marTop w:val="0"/>
          <w:marBottom w:val="0"/>
          <w:divBdr>
            <w:top w:val="none" w:sz="0" w:space="0" w:color="auto"/>
            <w:left w:val="none" w:sz="0" w:space="0" w:color="auto"/>
            <w:bottom w:val="none" w:sz="0" w:space="0" w:color="auto"/>
            <w:right w:val="none" w:sz="0" w:space="0" w:color="auto"/>
          </w:divBdr>
          <w:divsChild>
            <w:div w:id="1536457221">
              <w:marLeft w:val="0"/>
              <w:marRight w:val="0"/>
              <w:marTop w:val="0"/>
              <w:marBottom w:val="0"/>
              <w:divBdr>
                <w:top w:val="none" w:sz="0" w:space="0" w:color="auto"/>
                <w:left w:val="none" w:sz="0" w:space="0" w:color="auto"/>
                <w:bottom w:val="none" w:sz="0" w:space="0" w:color="auto"/>
                <w:right w:val="none" w:sz="0" w:space="0" w:color="auto"/>
              </w:divBdr>
              <w:divsChild>
                <w:div w:id="621158314">
                  <w:marLeft w:val="0"/>
                  <w:marRight w:val="0"/>
                  <w:marTop w:val="0"/>
                  <w:marBottom w:val="0"/>
                  <w:divBdr>
                    <w:top w:val="none" w:sz="0" w:space="0" w:color="auto"/>
                    <w:left w:val="none" w:sz="0" w:space="0" w:color="auto"/>
                    <w:bottom w:val="none" w:sz="0" w:space="0" w:color="auto"/>
                    <w:right w:val="none" w:sz="0" w:space="0" w:color="auto"/>
                  </w:divBdr>
                  <w:divsChild>
                    <w:div w:id="310716466">
                      <w:marLeft w:val="0"/>
                      <w:marRight w:val="0"/>
                      <w:marTop w:val="0"/>
                      <w:marBottom w:val="0"/>
                      <w:divBdr>
                        <w:top w:val="none" w:sz="0" w:space="0" w:color="auto"/>
                        <w:left w:val="none" w:sz="0" w:space="0" w:color="auto"/>
                        <w:bottom w:val="none" w:sz="0" w:space="0" w:color="auto"/>
                        <w:right w:val="none" w:sz="0" w:space="0" w:color="auto"/>
                      </w:divBdr>
                      <w:divsChild>
                        <w:div w:id="880167868">
                          <w:marLeft w:val="0"/>
                          <w:marRight w:val="0"/>
                          <w:marTop w:val="0"/>
                          <w:marBottom w:val="0"/>
                          <w:divBdr>
                            <w:top w:val="none" w:sz="0" w:space="0" w:color="auto"/>
                            <w:left w:val="none" w:sz="0" w:space="0" w:color="auto"/>
                            <w:bottom w:val="none" w:sz="0" w:space="0" w:color="auto"/>
                            <w:right w:val="none" w:sz="0" w:space="0" w:color="auto"/>
                          </w:divBdr>
                          <w:divsChild>
                            <w:div w:id="825585453">
                              <w:marLeft w:val="0"/>
                              <w:marRight w:val="0"/>
                              <w:marTop w:val="0"/>
                              <w:marBottom w:val="0"/>
                              <w:divBdr>
                                <w:top w:val="none" w:sz="0" w:space="0" w:color="auto"/>
                                <w:left w:val="none" w:sz="0" w:space="0" w:color="auto"/>
                                <w:bottom w:val="none" w:sz="0" w:space="0" w:color="auto"/>
                                <w:right w:val="none" w:sz="0" w:space="0" w:color="auto"/>
                              </w:divBdr>
                              <w:divsChild>
                                <w:div w:id="190262940">
                                  <w:marLeft w:val="0"/>
                                  <w:marRight w:val="0"/>
                                  <w:marTop w:val="0"/>
                                  <w:marBottom w:val="0"/>
                                  <w:divBdr>
                                    <w:top w:val="none" w:sz="0" w:space="0" w:color="auto"/>
                                    <w:left w:val="none" w:sz="0" w:space="0" w:color="auto"/>
                                    <w:bottom w:val="none" w:sz="0" w:space="0" w:color="auto"/>
                                    <w:right w:val="none" w:sz="0" w:space="0" w:color="auto"/>
                                  </w:divBdr>
                                  <w:divsChild>
                                    <w:div w:id="2032681278">
                                      <w:marLeft w:val="0"/>
                                      <w:marRight w:val="0"/>
                                      <w:marTop w:val="0"/>
                                      <w:marBottom w:val="0"/>
                                      <w:divBdr>
                                        <w:top w:val="none" w:sz="0" w:space="0" w:color="auto"/>
                                        <w:left w:val="none" w:sz="0" w:space="0" w:color="auto"/>
                                        <w:bottom w:val="none" w:sz="0" w:space="0" w:color="auto"/>
                                        <w:right w:val="none" w:sz="0" w:space="0" w:color="auto"/>
                                      </w:divBdr>
                                      <w:divsChild>
                                        <w:div w:id="294408654">
                                          <w:marLeft w:val="0"/>
                                          <w:marRight w:val="0"/>
                                          <w:marTop w:val="0"/>
                                          <w:marBottom w:val="0"/>
                                          <w:divBdr>
                                            <w:top w:val="none" w:sz="0" w:space="0" w:color="auto"/>
                                            <w:left w:val="none" w:sz="0" w:space="0" w:color="auto"/>
                                            <w:bottom w:val="none" w:sz="0" w:space="0" w:color="auto"/>
                                            <w:right w:val="none" w:sz="0" w:space="0" w:color="auto"/>
                                          </w:divBdr>
                                          <w:divsChild>
                                            <w:div w:id="23621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4334447">
      <w:bodyDiv w:val="1"/>
      <w:marLeft w:val="0"/>
      <w:marRight w:val="0"/>
      <w:marTop w:val="0"/>
      <w:marBottom w:val="0"/>
      <w:divBdr>
        <w:top w:val="none" w:sz="0" w:space="0" w:color="auto"/>
        <w:left w:val="none" w:sz="0" w:space="0" w:color="auto"/>
        <w:bottom w:val="none" w:sz="0" w:space="0" w:color="auto"/>
        <w:right w:val="none" w:sz="0" w:space="0" w:color="auto"/>
      </w:divBdr>
      <w:divsChild>
        <w:div w:id="1517572565">
          <w:marLeft w:val="0"/>
          <w:marRight w:val="0"/>
          <w:marTop w:val="0"/>
          <w:marBottom w:val="0"/>
          <w:divBdr>
            <w:top w:val="none" w:sz="0" w:space="0" w:color="auto"/>
            <w:left w:val="none" w:sz="0" w:space="0" w:color="auto"/>
            <w:bottom w:val="none" w:sz="0" w:space="0" w:color="auto"/>
            <w:right w:val="none" w:sz="0" w:space="0" w:color="auto"/>
          </w:divBdr>
          <w:divsChild>
            <w:div w:id="11823609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84377620">
      <w:bodyDiv w:val="1"/>
      <w:marLeft w:val="0"/>
      <w:marRight w:val="0"/>
      <w:marTop w:val="0"/>
      <w:marBottom w:val="0"/>
      <w:divBdr>
        <w:top w:val="none" w:sz="0" w:space="0" w:color="auto"/>
        <w:left w:val="none" w:sz="0" w:space="0" w:color="auto"/>
        <w:bottom w:val="none" w:sz="0" w:space="0" w:color="auto"/>
        <w:right w:val="none" w:sz="0" w:space="0" w:color="auto"/>
      </w:divBdr>
      <w:divsChild>
        <w:div w:id="637300640">
          <w:marLeft w:val="0"/>
          <w:marRight w:val="0"/>
          <w:marTop w:val="0"/>
          <w:marBottom w:val="0"/>
          <w:divBdr>
            <w:top w:val="none" w:sz="0" w:space="0" w:color="auto"/>
            <w:left w:val="none" w:sz="0" w:space="0" w:color="auto"/>
            <w:bottom w:val="none" w:sz="0" w:space="0" w:color="auto"/>
            <w:right w:val="none" w:sz="0" w:space="0" w:color="auto"/>
          </w:divBdr>
        </w:div>
      </w:divsChild>
    </w:div>
    <w:div w:id="2084797230">
      <w:bodyDiv w:val="1"/>
      <w:marLeft w:val="0"/>
      <w:marRight w:val="0"/>
      <w:marTop w:val="0"/>
      <w:marBottom w:val="0"/>
      <w:divBdr>
        <w:top w:val="none" w:sz="0" w:space="0" w:color="auto"/>
        <w:left w:val="none" w:sz="0" w:space="0" w:color="auto"/>
        <w:bottom w:val="none" w:sz="0" w:space="0" w:color="auto"/>
        <w:right w:val="none" w:sz="0" w:space="0" w:color="auto"/>
      </w:divBdr>
      <w:divsChild>
        <w:div w:id="10226115">
          <w:marLeft w:val="0"/>
          <w:marRight w:val="0"/>
          <w:marTop w:val="0"/>
          <w:marBottom w:val="0"/>
          <w:divBdr>
            <w:top w:val="none" w:sz="0" w:space="0" w:color="auto"/>
            <w:left w:val="none" w:sz="0" w:space="0" w:color="auto"/>
            <w:bottom w:val="none" w:sz="0" w:space="0" w:color="auto"/>
            <w:right w:val="none" w:sz="0" w:space="0" w:color="auto"/>
          </w:divBdr>
          <w:divsChild>
            <w:div w:id="951326485">
              <w:marLeft w:val="0"/>
              <w:marRight w:val="0"/>
              <w:marTop w:val="225"/>
              <w:marBottom w:val="225"/>
              <w:divBdr>
                <w:top w:val="none" w:sz="0" w:space="0" w:color="auto"/>
                <w:left w:val="none" w:sz="0" w:space="0" w:color="auto"/>
                <w:bottom w:val="none" w:sz="0" w:space="0" w:color="auto"/>
                <w:right w:val="none" w:sz="0" w:space="0" w:color="auto"/>
              </w:divBdr>
            </w:div>
          </w:divsChild>
        </w:div>
        <w:div w:id="958607333">
          <w:marLeft w:val="0"/>
          <w:marRight w:val="0"/>
          <w:marTop w:val="0"/>
          <w:marBottom w:val="150"/>
          <w:divBdr>
            <w:top w:val="none" w:sz="0" w:space="0" w:color="auto"/>
            <w:left w:val="none" w:sz="0" w:space="0" w:color="auto"/>
            <w:bottom w:val="none" w:sz="0" w:space="0" w:color="auto"/>
            <w:right w:val="none" w:sz="0" w:space="0" w:color="auto"/>
          </w:divBdr>
        </w:div>
        <w:div w:id="1606955900">
          <w:marLeft w:val="0"/>
          <w:marRight w:val="0"/>
          <w:marTop w:val="0"/>
          <w:marBottom w:val="150"/>
          <w:divBdr>
            <w:top w:val="none" w:sz="0" w:space="0" w:color="auto"/>
            <w:left w:val="none" w:sz="0" w:space="0" w:color="auto"/>
            <w:bottom w:val="none" w:sz="0" w:space="0" w:color="auto"/>
            <w:right w:val="none" w:sz="0" w:space="0" w:color="auto"/>
          </w:divBdr>
          <w:divsChild>
            <w:div w:id="1246526255">
              <w:marLeft w:val="0"/>
              <w:marRight w:val="0"/>
              <w:marTop w:val="0"/>
              <w:marBottom w:val="0"/>
              <w:divBdr>
                <w:top w:val="none" w:sz="0" w:space="0" w:color="auto"/>
                <w:left w:val="none" w:sz="0" w:space="0" w:color="auto"/>
                <w:bottom w:val="none" w:sz="0" w:space="0" w:color="auto"/>
                <w:right w:val="none" w:sz="0" w:space="0" w:color="auto"/>
              </w:divBdr>
              <w:divsChild>
                <w:div w:id="75867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908712">
      <w:bodyDiv w:val="1"/>
      <w:marLeft w:val="0"/>
      <w:marRight w:val="0"/>
      <w:marTop w:val="0"/>
      <w:marBottom w:val="0"/>
      <w:divBdr>
        <w:top w:val="none" w:sz="0" w:space="0" w:color="auto"/>
        <w:left w:val="none" w:sz="0" w:space="0" w:color="auto"/>
        <w:bottom w:val="none" w:sz="0" w:space="0" w:color="auto"/>
        <w:right w:val="none" w:sz="0" w:space="0" w:color="auto"/>
      </w:divBdr>
      <w:divsChild>
        <w:div w:id="471754265">
          <w:marLeft w:val="0"/>
          <w:marRight w:val="0"/>
          <w:marTop w:val="0"/>
          <w:marBottom w:val="0"/>
          <w:divBdr>
            <w:top w:val="none" w:sz="0" w:space="0" w:color="auto"/>
            <w:left w:val="none" w:sz="0" w:space="0" w:color="auto"/>
            <w:bottom w:val="dotted" w:sz="6" w:space="4" w:color="DDDDDD"/>
            <w:right w:val="none" w:sz="0" w:space="0" w:color="auto"/>
          </w:divBdr>
        </w:div>
      </w:divsChild>
    </w:div>
    <w:div w:id="2085101200">
      <w:bodyDiv w:val="1"/>
      <w:marLeft w:val="0"/>
      <w:marRight w:val="0"/>
      <w:marTop w:val="0"/>
      <w:marBottom w:val="0"/>
      <w:divBdr>
        <w:top w:val="none" w:sz="0" w:space="0" w:color="auto"/>
        <w:left w:val="none" w:sz="0" w:space="0" w:color="auto"/>
        <w:bottom w:val="none" w:sz="0" w:space="0" w:color="auto"/>
        <w:right w:val="none" w:sz="0" w:space="0" w:color="auto"/>
      </w:divBdr>
      <w:divsChild>
        <w:div w:id="1680041240">
          <w:marLeft w:val="0"/>
          <w:marRight w:val="0"/>
          <w:marTop w:val="0"/>
          <w:marBottom w:val="0"/>
          <w:divBdr>
            <w:top w:val="none" w:sz="0" w:space="0" w:color="auto"/>
            <w:left w:val="none" w:sz="0" w:space="0" w:color="auto"/>
            <w:bottom w:val="none" w:sz="0" w:space="0" w:color="auto"/>
            <w:right w:val="none" w:sz="0" w:space="0" w:color="auto"/>
          </w:divBdr>
          <w:divsChild>
            <w:div w:id="1902716189">
              <w:marLeft w:val="0"/>
              <w:marRight w:val="0"/>
              <w:marTop w:val="0"/>
              <w:marBottom w:val="0"/>
              <w:divBdr>
                <w:top w:val="none" w:sz="0" w:space="0" w:color="auto"/>
                <w:left w:val="none" w:sz="0" w:space="0" w:color="auto"/>
                <w:bottom w:val="none" w:sz="0" w:space="0" w:color="auto"/>
                <w:right w:val="none" w:sz="0" w:space="0" w:color="auto"/>
              </w:divBdr>
              <w:divsChild>
                <w:div w:id="385569040">
                  <w:marLeft w:val="0"/>
                  <w:marRight w:val="0"/>
                  <w:marTop w:val="0"/>
                  <w:marBottom w:val="0"/>
                  <w:divBdr>
                    <w:top w:val="none" w:sz="0" w:space="0" w:color="auto"/>
                    <w:left w:val="none" w:sz="0" w:space="0" w:color="auto"/>
                    <w:bottom w:val="none" w:sz="0" w:space="0" w:color="auto"/>
                    <w:right w:val="none" w:sz="0" w:space="0" w:color="auto"/>
                  </w:divBdr>
                  <w:divsChild>
                    <w:div w:id="731927728">
                      <w:marLeft w:val="0"/>
                      <w:marRight w:val="0"/>
                      <w:marTop w:val="0"/>
                      <w:marBottom w:val="0"/>
                      <w:divBdr>
                        <w:top w:val="none" w:sz="0" w:space="0" w:color="auto"/>
                        <w:left w:val="none" w:sz="0" w:space="0" w:color="auto"/>
                        <w:bottom w:val="none" w:sz="0" w:space="0" w:color="auto"/>
                        <w:right w:val="none" w:sz="0" w:space="0" w:color="auto"/>
                      </w:divBdr>
                      <w:divsChild>
                        <w:div w:id="1660117217">
                          <w:marLeft w:val="0"/>
                          <w:marRight w:val="0"/>
                          <w:marTop w:val="0"/>
                          <w:marBottom w:val="0"/>
                          <w:divBdr>
                            <w:top w:val="none" w:sz="0" w:space="0" w:color="auto"/>
                            <w:left w:val="none" w:sz="0" w:space="0" w:color="auto"/>
                            <w:bottom w:val="none" w:sz="0" w:space="0" w:color="auto"/>
                            <w:right w:val="none" w:sz="0" w:space="0" w:color="auto"/>
                          </w:divBdr>
                          <w:divsChild>
                            <w:div w:id="1609892533">
                              <w:marLeft w:val="0"/>
                              <w:marRight w:val="0"/>
                              <w:marTop w:val="0"/>
                              <w:marBottom w:val="0"/>
                              <w:divBdr>
                                <w:top w:val="none" w:sz="0" w:space="0" w:color="auto"/>
                                <w:left w:val="none" w:sz="0" w:space="0" w:color="auto"/>
                                <w:bottom w:val="none" w:sz="0" w:space="0" w:color="auto"/>
                                <w:right w:val="none" w:sz="0" w:space="0" w:color="auto"/>
                              </w:divBdr>
                              <w:divsChild>
                                <w:div w:id="409349242">
                                  <w:marLeft w:val="0"/>
                                  <w:marRight w:val="0"/>
                                  <w:marTop w:val="0"/>
                                  <w:marBottom w:val="0"/>
                                  <w:divBdr>
                                    <w:top w:val="none" w:sz="0" w:space="0" w:color="auto"/>
                                    <w:left w:val="none" w:sz="0" w:space="0" w:color="auto"/>
                                    <w:bottom w:val="none" w:sz="0" w:space="0" w:color="auto"/>
                                    <w:right w:val="none" w:sz="0" w:space="0" w:color="auto"/>
                                  </w:divBdr>
                                  <w:divsChild>
                                    <w:div w:id="1341004465">
                                      <w:marLeft w:val="0"/>
                                      <w:marRight w:val="0"/>
                                      <w:marTop w:val="0"/>
                                      <w:marBottom w:val="0"/>
                                      <w:divBdr>
                                        <w:top w:val="none" w:sz="0" w:space="0" w:color="auto"/>
                                        <w:left w:val="none" w:sz="0" w:space="0" w:color="auto"/>
                                        <w:bottom w:val="none" w:sz="0" w:space="0" w:color="auto"/>
                                        <w:right w:val="none" w:sz="0" w:space="0" w:color="auto"/>
                                      </w:divBdr>
                                      <w:divsChild>
                                        <w:div w:id="38105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5179799">
      <w:bodyDiv w:val="1"/>
      <w:marLeft w:val="0"/>
      <w:marRight w:val="0"/>
      <w:marTop w:val="0"/>
      <w:marBottom w:val="0"/>
      <w:divBdr>
        <w:top w:val="none" w:sz="0" w:space="0" w:color="auto"/>
        <w:left w:val="none" w:sz="0" w:space="0" w:color="auto"/>
        <w:bottom w:val="none" w:sz="0" w:space="0" w:color="auto"/>
        <w:right w:val="none" w:sz="0" w:space="0" w:color="auto"/>
      </w:divBdr>
      <w:divsChild>
        <w:div w:id="753627224">
          <w:marLeft w:val="0"/>
          <w:marRight w:val="0"/>
          <w:marTop w:val="0"/>
          <w:marBottom w:val="0"/>
          <w:divBdr>
            <w:top w:val="none" w:sz="0" w:space="0" w:color="auto"/>
            <w:left w:val="none" w:sz="0" w:space="0" w:color="auto"/>
            <w:bottom w:val="none" w:sz="0" w:space="0" w:color="auto"/>
            <w:right w:val="none" w:sz="0" w:space="0" w:color="auto"/>
          </w:divBdr>
          <w:divsChild>
            <w:div w:id="1855225569">
              <w:marLeft w:val="0"/>
              <w:marRight w:val="0"/>
              <w:marTop w:val="0"/>
              <w:marBottom w:val="0"/>
              <w:divBdr>
                <w:top w:val="none" w:sz="0" w:space="0" w:color="auto"/>
                <w:left w:val="none" w:sz="0" w:space="0" w:color="auto"/>
                <w:bottom w:val="none" w:sz="0" w:space="0" w:color="auto"/>
                <w:right w:val="none" w:sz="0" w:space="0" w:color="auto"/>
              </w:divBdr>
              <w:divsChild>
                <w:div w:id="1226916881">
                  <w:marLeft w:val="0"/>
                  <w:marRight w:val="0"/>
                  <w:marTop w:val="0"/>
                  <w:marBottom w:val="150"/>
                  <w:divBdr>
                    <w:top w:val="none" w:sz="0" w:space="0" w:color="auto"/>
                    <w:left w:val="none" w:sz="0" w:space="0" w:color="auto"/>
                    <w:bottom w:val="none" w:sz="0" w:space="0" w:color="auto"/>
                    <w:right w:val="none" w:sz="0" w:space="0" w:color="auto"/>
                  </w:divBdr>
                  <w:divsChild>
                    <w:div w:id="1638223119">
                      <w:marLeft w:val="0"/>
                      <w:marRight w:val="0"/>
                      <w:marTop w:val="0"/>
                      <w:marBottom w:val="0"/>
                      <w:divBdr>
                        <w:top w:val="none" w:sz="0" w:space="0" w:color="auto"/>
                        <w:left w:val="none" w:sz="0" w:space="0" w:color="auto"/>
                        <w:bottom w:val="none" w:sz="0" w:space="0" w:color="auto"/>
                        <w:right w:val="none" w:sz="0" w:space="0" w:color="auto"/>
                      </w:divBdr>
                      <w:divsChild>
                        <w:div w:id="1469085290">
                          <w:marLeft w:val="0"/>
                          <w:marRight w:val="0"/>
                          <w:marTop w:val="0"/>
                          <w:marBottom w:val="0"/>
                          <w:divBdr>
                            <w:top w:val="none" w:sz="0" w:space="0" w:color="auto"/>
                            <w:left w:val="none" w:sz="0" w:space="0" w:color="auto"/>
                            <w:bottom w:val="none" w:sz="0" w:space="0" w:color="auto"/>
                            <w:right w:val="none" w:sz="0" w:space="0" w:color="auto"/>
                          </w:divBdr>
                          <w:divsChild>
                            <w:div w:id="740057194">
                              <w:marLeft w:val="0"/>
                              <w:marRight w:val="0"/>
                              <w:marTop w:val="0"/>
                              <w:marBottom w:val="0"/>
                              <w:divBdr>
                                <w:top w:val="none" w:sz="0" w:space="0" w:color="auto"/>
                                <w:left w:val="none" w:sz="0" w:space="0" w:color="auto"/>
                                <w:bottom w:val="none" w:sz="0" w:space="0" w:color="auto"/>
                                <w:right w:val="none" w:sz="0" w:space="0" w:color="auto"/>
                              </w:divBdr>
                              <w:divsChild>
                                <w:div w:id="258677826">
                                  <w:marLeft w:val="0"/>
                                  <w:marRight w:val="0"/>
                                  <w:marTop w:val="0"/>
                                  <w:marBottom w:val="0"/>
                                  <w:divBdr>
                                    <w:top w:val="none" w:sz="0" w:space="0" w:color="auto"/>
                                    <w:left w:val="none" w:sz="0" w:space="0" w:color="auto"/>
                                    <w:bottom w:val="none" w:sz="0" w:space="0" w:color="auto"/>
                                    <w:right w:val="none" w:sz="0" w:space="0" w:color="auto"/>
                                  </w:divBdr>
                                  <w:divsChild>
                                    <w:div w:id="1665550191">
                                      <w:marLeft w:val="0"/>
                                      <w:marRight w:val="0"/>
                                      <w:marTop w:val="0"/>
                                      <w:marBottom w:val="0"/>
                                      <w:divBdr>
                                        <w:top w:val="none" w:sz="0" w:space="0" w:color="auto"/>
                                        <w:left w:val="none" w:sz="0" w:space="0" w:color="auto"/>
                                        <w:bottom w:val="none" w:sz="0" w:space="0" w:color="auto"/>
                                        <w:right w:val="none" w:sz="0" w:space="0" w:color="auto"/>
                                      </w:divBdr>
                                      <w:divsChild>
                                        <w:div w:id="921141079">
                                          <w:marLeft w:val="0"/>
                                          <w:marRight w:val="0"/>
                                          <w:marTop w:val="0"/>
                                          <w:marBottom w:val="0"/>
                                          <w:divBdr>
                                            <w:top w:val="none" w:sz="0" w:space="0" w:color="auto"/>
                                            <w:left w:val="none" w:sz="0" w:space="0" w:color="auto"/>
                                            <w:bottom w:val="none" w:sz="0" w:space="0" w:color="auto"/>
                                            <w:right w:val="none" w:sz="0" w:space="0" w:color="auto"/>
                                          </w:divBdr>
                                          <w:divsChild>
                                            <w:div w:id="547956436">
                                              <w:marLeft w:val="0"/>
                                              <w:marRight w:val="0"/>
                                              <w:marTop w:val="0"/>
                                              <w:marBottom w:val="0"/>
                                              <w:divBdr>
                                                <w:top w:val="none" w:sz="0" w:space="0" w:color="auto"/>
                                                <w:left w:val="none" w:sz="0" w:space="0" w:color="auto"/>
                                                <w:bottom w:val="none" w:sz="0" w:space="0" w:color="auto"/>
                                                <w:right w:val="none" w:sz="0" w:space="0" w:color="auto"/>
                                              </w:divBdr>
                                              <w:divsChild>
                                                <w:div w:id="144954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5563615">
      <w:bodyDiv w:val="1"/>
      <w:marLeft w:val="0"/>
      <w:marRight w:val="0"/>
      <w:marTop w:val="0"/>
      <w:marBottom w:val="0"/>
      <w:divBdr>
        <w:top w:val="none" w:sz="0" w:space="0" w:color="auto"/>
        <w:left w:val="none" w:sz="0" w:space="0" w:color="auto"/>
        <w:bottom w:val="none" w:sz="0" w:space="0" w:color="auto"/>
        <w:right w:val="none" w:sz="0" w:space="0" w:color="auto"/>
      </w:divBdr>
    </w:div>
    <w:div w:id="2085685840">
      <w:bodyDiv w:val="1"/>
      <w:marLeft w:val="0"/>
      <w:marRight w:val="0"/>
      <w:marTop w:val="0"/>
      <w:marBottom w:val="0"/>
      <w:divBdr>
        <w:top w:val="none" w:sz="0" w:space="0" w:color="auto"/>
        <w:left w:val="none" w:sz="0" w:space="0" w:color="auto"/>
        <w:bottom w:val="none" w:sz="0" w:space="0" w:color="auto"/>
        <w:right w:val="none" w:sz="0" w:space="0" w:color="auto"/>
      </w:divBdr>
    </w:div>
    <w:div w:id="2086106209">
      <w:bodyDiv w:val="1"/>
      <w:marLeft w:val="0"/>
      <w:marRight w:val="0"/>
      <w:marTop w:val="0"/>
      <w:marBottom w:val="0"/>
      <w:divBdr>
        <w:top w:val="none" w:sz="0" w:space="0" w:color="auto"/>
        <w:left w:val="none" w:sz="0" w:space="0" w:color="auto"/>
        <w:bottom w:val="none" w:sz="0" w:space="0" w:color="auto"/>
        <w:right w:val="none" w:sz="0" w:space="0" w:color="auto"/>
      </w:divBdr>
      <w:divsChild>
        <w:div w:id="82648763">
          <w:marLeft w:val="0"/>
          <w:marRight w:val="0"/>
          <w:marTop w:val="0"/>
          <w:marBottom w:val="150"/>
          <w:divBdr>
            <w:top w:val="none" w:sz="0" w:space="0" w:color="auto"/>
            <w:left w:val="none" w:sz="0" w:space="0" w:color="auto"/>
            <w:bottom w:val="none" w:sz="0" w:space="0" w:color="auto"/>
            <w:right w:val="none" w:sz="0" w:space="0" w:color="auto"/>
          </w:divBdr>
        </w:div>
      </w:divsChild>
    </w:div>
    <w:div w:id="2086412997">
      <w:bodyDiv w:val="1"/>
      <w:marLeft w:val="0"/>
      <w:marRight w:val="0"/>
      <w:marTop w:val="0"/>
      <w:marBottom w:val="0"/>
      <w:divBdr>
        <w:top w:val="none" w:sz="0" w:space="0" w:color="auto"/>
        <w:left w:val="none" w:sz="0" w:space="0" w:color="auto"/>
        <w:bottom w:val="none" w:sz="0" w:space="0" w:color="auto"/>
        <w:right w:val="none" w:sz="0" w:space="0" w:color="auto"/>
      </w:divBdr>
      <w:divsChild>
        <w:div w:id="332996661">
          <w:marLeft w:val="0"/>
          <w:marRight w:val="0"/>
          <w:marTop w:val="0"/>
          <w:marBottom w:val="0"/>
          <w:divBdr>
            <w:top w:val="none" w:sz="0" w:space="0" w:color="auto"/>
            <w:left w:val="none" w:sz="0" w:space="0" w:color="auto"/>
            <w:bottom w:val="none" w:sz="0" w:space="0" w:color="auto"/>
            <w:right w:val="none" w:sz="0" w:space="0" w:color="auto"/>
          </w:divBdr>
          <w:divsChild>
            <w:div w:id="1863324517">
              <w:marLeft w:val="0"/>
              <w:marRight w:val="0"/>
              <w:marTop w:val="0"/>
              <w:marBottom w:val="0"/>
              <w:divBdr>
                <w:top w:val="none" w:sz="0" w:space="0" w:color="auto"/>
                <w:left w:val="none" w:sz="0" w:space="0" w:color="auto"/>
                <w:bottom w:val="none" w:sz="0" w:space="0" w:color="auto"/>
                <w:right w:val="none" w:sz="0" w:space="0" w:color="auto"/>
              </w:divBdr>
            </w:div>
          </w:divsChild>
        </w:div>
        <w:div w:id="359282461">
          <w:marLeft w:val="0"/>
          <w:marRight w:val="0"/>
          <w:marTop w:val="0"/>
          <w:marBottom w:val="0"/>
          <w:divBdr>
            <w:top w:val="none" w:sz="0" w:space="0" w:color="auto"/>
            <w:left w:val="none" w:sz="0" w:space="0" w:color="auto"/>
            <w:bottom w:val="none" w:sz="0" w:space="0" w:color="auto"/>
            <w:right w:val="none" w:sz="0" w:space="0" w:color="auto"/>
          </w:divBdr>
        </w:div>
        <w:div w:id="1002508729">
          <w:marLeft w:val="0"/>
          <w:marRight w:val="0"/>
          <w:marTop w:val="0"/>
          <w:marBottom w:val="0"/>
          <w:divBdr>
            <w:top w:val="none" w:sz="0" w:space="0" w:color="auto"/>
            <w:left w:val="none" w:sz="0" w:space="0" w:color="auto"/>
            <w:bottom w:val="none" w:sz="0" w:space="0" w:color="auto"/>
            <w:right w:val="none" w:sz="0" w:space="0" w:color="auto"/>
          </w:divBdr>
          <w:divsChild>
            <w:div w:id="939995721">
              <w:marLeft w:val="-225"/>
              <w:marRight w:val="-225"/>
              <w:marTop w:val="0"/>
              <w:marBottom w:val="0"/>
              <w:divBdr>
                <w:top w:val="none" w:sz="0" w:space="0" w:color="auto"/>
                <w:left w:val="none" w:sz="0" w:space="0" w:color="auto"/>
                <w:bottom w:val="none" w:sz="0" w:space="0" w:color="auto"/>
                <w:right w:val="none" w:sz="0" w:space="0" w:color="auto"/>
              </w:divBdr>
              <w:divsChild>
                <w:div w:id="1591888097">
                  <w:marLeft w:val="0"/>
                  <w:marRight w:val="0"/>
                  <w:marTop w:val="0"/>
                  <w:marBottom w:val="0"/>
                  <w:divBdr>
                    <w:top w:val="none" w:sz="0" w:space="0" w:color="auto"/>
                    <w:left w:val="none" w:sz="0" w:space="0" w:color="auto"/>
                    <w:bottom w:val="none" w:sz="0" w:space="0" w:color="auto"/>
                    <w:right w:val="single" w:sz="6" w:space="0" w:color="000000"/>
                  </w:divBdr>
                </w:div>
                <w:div w:id="189060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649566">
      <w:bodyDiv w:val="1"/>
      <w:marLeft w:val="0"/>
      <w:marRight w:val="0"/>
      <w:marTop w:val="0"/>
      <w:marBottom w:val="0"/>
      <w:divBdr>
        <w:top w:val="none" w:sz="0" w:space="0" w:color="auto"/>
        <w:left w:val="none" w:sz="0" w:space="0" w:color="auto"/>
        <w:bottom w:val="none" w:sz="0" w:space="0" w:color="auto"/>
        <w:right w:val="none" w:sz="0" w:space="0" w:color="auto"/>
      </w:divBdr>
      <w:divsChild>
        <w:div w:id="573395753">
          <w:marLeft w:val="0"/>
          <w:marRight w:val="0"/>
          <w:marTop w:val="0"/>
          <w:marBottom w:val="150"/>
          <w:divBdr>
            <w:top w:val="none" w:sz="0" w:space="0" w:color="auto"/>
            <w:left w:val="none" w:sz="0" w:space="0" w:color="auto"/>
            <w:bottom w:val="none" w:sz="0" w:space="0" w:color="auto"/>
            <w:right w:val="none" w:sz="0" w:space="0" w:color="auto"/>
          </w:divBdr>
        </w:div>
      </w:divsChild>
    </w:div>
    <w:div w:id="2087847043">
      <w:bodyDiv w:val="1"/>
      <w:marLeft w:val="0"/>
      <w:marRight w:val="0"/>
      <w:marTop w:val="0"/>
      <w:marBottom w:val="0"/>
      <w:divBdr>
        <w:top w:val="none" w:sz="0" w:space="0" w:color="auto"/>
        <w:left w:val="none" w:sz="0" w:space="0" w:color="auto"/>
        <w:bottom w:val="none" w:sz="0" w:space="0" w:color="auto"/>
        <w:right w:val="none" w:sz="0" w:space="0" w:color="auto"/>
      </w:divBdr>
      <w:divsChild>
        <w:div w:id="527110101">
          <w:marLeft w:val="0"/>
          <w:marRight w:val="0"/>
          <w:marTop w:val="0"/>
          <w:marBottom w:val="0"/>
          <w:divBdr>
            <w:top w:val="none" w:sz="0" w:space="0" w:color="auto"/>
            <w:left w:val="none" w:sz="0" w:space="0" w:color="auto"/>
            <w:bottom w:val="dotted" w:sz="6" w:space="4" w:color="DDDDDD"/>
            <w:right w:val="none" w:sz="0" w:space="0" w:color="auto"/>
          </w:divBdr>
          <w:divsChild>
            <w:div w:id="165710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917245">
      <w:bodyDiv w:val="1"/>
      <w:marLeft w:val="0"/>
      <w:marRight w:val="0"/>
      <w:marTop w:val="0"/>
      <w:marBottom w:val="0"/>
      <w:divBdr>
        <w:top w:val="none" w:sz="0" w:space="0" w:color="auto"/>
        <w:left w:val="none" w:sz="0" w:space="0" w:color="auto"/>
        <w:bottom w:val="none" w:sz="0" w:space="0" w:color="auto"/>
        <w:right w:val="none" w:sz="0" w:space="0" w:color="auto"/>
      </w:divBdr>
      <w:divsChild>
        <w:div w:id="987709921">
          <w:marLeft w:val="0"/>
          <w:marRight w:val="0"/>
          <w:marTop w:val="0"/>
          <w:marBottom w:val="0"/>
          <w:divBdr>
            <w:top w:val="none" w:sz="0" w:space="0" w:color="auto"/>
            <w:left w:val="none" w:sz="0" w:space="0" w:color="auto"/>
            <w:bottom w:val="none" w:sz="0" w:space="0" w:color="auto"/>
            <w:right w:val="none" w:sz="0" w:space="0" w:color="auto"/>
          </w:divBdr>
          <w:divsChild>
            <w:div w:id="1459684000">
              <w:marLeft w:val="0"/>
              <w:marRight w:val="0"/>
              <w:marTop w:val="0"/>
              <w:marBottom w:val="0"/>
              <w:divBdr>
                <w:top w:val="none" w:sz="0" w:space="0" w:color="auto"/>
                <w:left w:val="none" w:sz="0" w:space="0" w:color="auto"/>
                <w:bottom w:val="none" w:sz="0" w:space="0" w:color="auto"/>
                <w:right w:val="none" w:sz="0" w:space="0" w:color="auto"/>
              </w:divBdr>
              <w:divsChild>
                <w:div w:id="486018867">
                  <w:marLeft w:val="300"/>
                  <w:marRight w:val="0"/>
                  <w:marTop w:val="0"/>
                  <w:marBottom w:val="0"/>
                  <w:divBdr>
                    <w:top w:val="none" w:sz="0" w:space="0" w:color="auto"/>
                    <w:left w:val="none" w:sz="0" w:space="0" w:color="auto"/>
                    <w:bottom w:val="none" w:sz="0" w:space="0" w:color="auto"/>
                    <w:right w:val="none" w:sz="0" w:space="0" w:color="auto"/>
                  </w:divBdr>
                  <w:divsChild>
                    <w:div w:id="970865539">
                      <w:marLeft w:val="0"/>
                      <w:marRight w:val="0"/>
                      <w:marTop w:val="0"/>
                      <w:marBottom w:val="300"/>
                      <w:divBdr>
                        <w:top w:val="none" w:sz="0" w:space="0" w:color="auto"/>
                        <w:left w:val="none" w:sz="0" w:space="0" w:color="auto"/>
                        <w:bottom w:val="none" w:sz="0" w:space="0" w:color="auto"/>
                        <w:right w:val="none" w:sz="0" w:space="0" w:color="auto"/>
                      </w:divBdr>
                      <w:divsChild>
                        <w:div w:id="452677913">
                          <w:marLeft w:val="0"/>
                          <w:marRight w:val="0"/>
                          <w:marTop w:val="0"/>
                          <w:marBottom w:val="0"/>
                          <w:divBdr>
                            <w:top w:val="none" w:sz="0" w:space="0" w:color="auto"/>
                            <w:left w:val="none" w:sz="0" w:space="0" w:color="auto"/>
                            <w:bottom w:val="none" w:sz="0" w:space="0" w:color="auto"/>
                            <w:right w:val="none" w:sz="0" w:space="0" w:color="auto"/>
                          </w:divBdr>
                          <w:divsChild>
                            <w:div w:id="524053242">
                              <w:marLeft w:val="0"/>
                              <w:marRight w:val="0"/>
                              <w:marTop w:val="0"/>
                              <w:marBottom w:val="0"/>
                              <w:divBdr>
                                <w:top w:val="none" w:sz="0" w:space="0" w:color="auto"/>
                                <w:left w:val="none" w:sz="0" w:space="0" w:color="auto"/>
                                <w:bottom w:val="none" w:sz="0" w:space="0" w:color="auto"/>
                                <w:right w:val="none" w:sz="0" w:space="0" w:color="auto"/>
                              </w:divBdr>
                              <w:divsChild>
                                <w:div w:id="1510102016">
                                  <w:marLeft w:val="0"/>
                                  <w:marRight w:val="0"/>
                                  <w:marTop w:val="0"/>
                                  <w:marBottom w:val="0"/>
                                  <w:divBdr>
                                    <w:top w:val="single" w:sz="2" w:space="0" w:color="DFDFDF"/>
                                    <w:left w:val="single" w:sz="2" w:space="0" w:color="DFDFDF"/>
                                    <w:bottom w:val="single" w:sz="2" w:space="0" w:color="DFDFDF"/>
                                    <w:right w:val="single" w:sz="2" w:space="0" w:color="DFDFDF"/>
                                  </w:divBdr>
                                  <w:divsChild>
                                    <w:div w:id="1259486785">
                                      <w:marLeft w:val="-90"/>
                                      <w:marRight w:val="0"/>
                                      <w:marTop w:val="0"/>
                                      <w:marBottom w:val="0"/>
                                      <w:divBdr>
                                        <w:top w:val="none" w:sz="0" w:space="0" w:color="auto"/>
                                        <w:left w:val="none" w:sz="0" w:space="0" w:color="auto"/>
                                        <w:bottom w:val="none" w:sz="0" w:space="0" w:color="auto"/>
                                        <w:right w:val="none" w:sz="0" w:space="0" w:color="auto"/>
                                      </w:divBdr>
                                      <w:divsChild>
                                        <w:div w:id="89357679">
                                          <w:marLeft w:val="0"/>
                                          <w:marRight w:val="0"/>
                                          <w:marTop w:val="0"/>
                                          <w:marBottom w:val="45"/>
                                          <w:divBdr>
                                            <w:top w:val="single" w:sz="2" w:space="0" w:color="A9A9A9"/>
                                            <w:left w:val="single" w:sz="2" w:space="0" w:color="A9A9A9"/>
                                            <w:bottom w:val="single" w:sz="2" w:space="0" w:color="A9A9A9"/>
                                            <w:right w:val="single" w:sz="2" w:space="0" w:color="A9A9A9"/>
                                          </w:divBdr>
                                          <w:divsChild>
                                            <w:div w:id="357849515">
                                              <w:marLeft w:val="0"/>
                                              <w:marRight w:val="0"/>
                                              <w:marTop w:val="0"/>
                                              <w:marBottom w:val="0"/>
                                              <w:divBdr>
                                                <w:top w:val="none" w:sz="0" w:space="0" w:color="auto"/>
                                                <w:left w:val="none" w:sz="0" w:space="0" w:color="auto"/>
                                                <w:bottom w:val="none" w:sz="0" w:space="0" w:color="auto"/>
                                                <w:right w:val="none" w:sz="0" w:space="0" w:color="auto"/>
                                              </w:divBdr>
                                              <w:divsChild>
                                                <w:div w:id="192290422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711298786">
                                      <w:marLeft w:val="0"/>
                                      <w:marRight w:val="0"/>
                                      <w:marTop w:val="0"/>
                                      <w:marBottom w:val="270"/>
                                      <w:divBdr>
                                        <w:top w:val="none" w:sz="0" w:space="0" w:color="auto"/>
                                        <w:left w:val="none" w:sz="0" w:space="0" w:color="auto"/>
                                        <w:bottom w:val="single" w:sz="12" w:space="5" w:color="DADADA"/>
                                        <w:right w:val="none" w:sz="0" w:space="0" w:color="auto"/>
                                      </w:divBdr>
                                      <w:divsChild>
                                        <w:div w:id="48851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457007">
                          <w:marLeft w:val="0"/>
                          <w:marRight w:val="0"/>
                          <w:marTop w:val="0"/>
                          <w:marBottom w:val="0"/>
                          <w:divBdr>
                            <w:top w:val="none" w:sz="0" w:space="0" w:color="auto"/>
                            <w:left w:val="none" w:sz="0" w:space="0" w:color="auto"/>
                            <w:bottom w:val="none" w:sz="0" w:space="0" w:color="auto"/>
                            <w:right w:val="none" w:sz="0" w:space="0" w:color="auto"/>
                          </w:divBdr>
                          <w:divsChild>
                            <w:div w:id="1939898293">
                              <w:marLeft w:val="0"/>
                              <w:marRight w:val="0"/>
                              <w:marTop w:val="0"/>
                              <w:marBottom w:val="0"/>
                              <w:divBdr>
                                <w:top w:val="none" w:sz="0" w:space="0" w:color="auto"/>
                                <w:left w:val="none" w:sz="0" w:space="0" w:color="auto"/>
                                <w:bottom w:val="none" w:sz="0" w:space="0" w:color="auto"/>
                                <w:right w:val="none" w:sz="0" w:space="0" w:color="auto"/>
                              </w:divBdr>
                              <w:divsChild>
                                <w:div w:id="21783025">
                                  <w:marLeft w:val="0"/>
                                  <w:marRight w:val="0"/>
                                  <w:marTop w:val="0"/>
                                  <w:marBottom w:val="0"/>
                                  <w:divBdr>
                                    <w:top w:val="single" w:sz="2" w:space="0" w:color="DFDFDF"/>
                                    <w:left w:val="single" w:sz="2" w:space="0" w:color="DFDFDF"/>
                                    <w:bottom w:val="single" w:sz="2" w:space="0" w:color="DFDFDF"/>
                                    <w:right w:val="single" w:sz="2" w:space="0" w:color="DFDFDF"/>
                                  </w:divBdr>
                                  <w:divsChild>
                                    <w:div w:id="1261644489">
                                      <w:marLeft w:val="-90"/>
                                      <w:marRight w:val="0"/>
                                      <w:marTop w:val="0"/>
                                      <w:marBottom w:val="0"/>
                                      <w:divBdr>
                                        <w:top w:val="none" w:sz="0" w:space="0" w:color="auto"/>
                                        <w:left w:val="none" w:sz="0" w:space="0" w:color="auto"/>
                                        <w:bottom w:val="none" w:sz="0" w:space="0" w:color="auto"/>
                                        <w:right w:val="none" w:sz="0" w:space="0" w:color="auto"/>
                                      </w:divBdr>
                                      <w:divsChild>
                                        <w:div w:id="465317072">
                                          <w:marLeft w:val="0"/>
                                          <w:marRight w:val="0"/>
                                          <w:marTop w:val="0"/>
                                          <w:marBottom w:val="45"/>
                                          <w:divBdr>
                                            <w:top w:val="single" w:sz="2" w:space="0" w:color="A9A9A9"/>
                                            <w:left w:val="single" w:sz="2" w:space="0" w:color="A9A9A9"/>
                                            <w:bottom w:val="single" w:sz="2" w:space="0" w:color="A9A9A9"/>
                                            <w:right w:val="single" w:sz="2" w:space="0" w:color="A9A9A9"/>
                                          </w:divBdr>
                                          <w:divsChild>
                                            <w:div w:id="1979919500">
                                              <w:marLeft w:val="0"/>
                                              <w:marRight w:val="0"/>
                                              <w:marTop w:val="0"/>
                                              <w:marBottom w:val="0"/>
                                              <w:divBdr>
                                                <w:top w:val="none" w:sz="0" w:space="0" w:color="auto"/>
                                                <w:left w:val="none" w:sz="0" w:space="0" w:color="auto"/>
                                                <w:bottom w:val="none" w:sz="0" w:space="0" w:color="auto"/>
                                                <w:right w:val="none" w:sz="0" w:space="0" w:color="auto"/>
                                              </w:divBdr>
                                              <w:divsChild>
                                                <w:div w:id="1540818170">
                                                  <w:marLeft w:val="92"/>
                                                  <w:marRight w:val="0"/>
                                                  <w:marTop w:val="0"/>
                                                  <w:marBottom w:val="150"/>
                                                  <w:divBdr>
                                                    <w:top w:val="single" w:sz="2" w:space="0" w:color="E4E4E4"/>
                                                    <w:left w:val="single" w:sz="2" w:space="0" w:color="E4E4E4"/>
                                                    <w:bottom w:val="single" w:sz="2" w:space="0" w:color="E4E4E4"/>
                                                    <w:right w:val="single" w:sz="2" w:space="0" w:color="E4E4E4"/>
                                                  </w:divBdr>
                                                </w:div>
                                                <w:div w:id="1857815049">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943734894">
                  <w:marLeft w:val="0"/>
                  <w:marRight w:val="0"/>
                  <w:marTop w:val="0"/>
                  <w:marBottom w:val="0"/>
                  <w:divBdr>
                    <w:top w:val="none" w:sz="0" w:space="0" w:color="auto"/>
                    <w:left w:val="none" w:sz="0" w:space="0" w:color="auto"/>
                    <w:bottom w:val="none" w:sz="0" w:space="0" w:color="auto"/>
                    <w:right w:val="none" w:sz="0" w:space="0" w:color="auto"/>
                  </w:divBdr>
                  <w:divsChild>
                    <w:div w:id="1256941126">
                      <w:marLeft w:val="0"/>
                      <w:marRight w:val="0"/>
                      <w:marTop w:val="0"/>
                      <w:marBottom w:val="0"/>
                      <w:divBdr>
                        <w:top w:val="none" w:sz="0" w:space="0" w:color="auto"/>
                        <w:left w:val="none" w:sz="0" w:space="0" w:color="auto"/>
                        <w:bottom w:val="none" w:sz="0" w:space="0" w:color="auto"/>
                        <w:right w:val="none" w:sz="0" w:space="0" w:color="auto"/>
                      </w:divBdr>
                      <w:divsChild>
                        <w:div w:id="781388162">
                          <w:marLeft w:val="0"/>
                          <w:marRight w:val="0"/>
                          <w:marTop w:val="0"/>
                          <w:marBottom w:val="0"/>
                          <w:divBdr>
                            <w:top w:val="none" w:sz="0" w:space="0" w:color="auto"/>
                            <w:left w:val="none" w:sz="0" w:space="0" w:color="auto"/>
                            <w:bottom w:val="none" w:sz="0" w:space="0" w:color="auto"/>
                            <w:right w:val="none" w:sz="0" w:space="0" w:color="auto"/>
                          </w:divBdr>
                          <w:divsChild>
                            <w:div w:id="67098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938320">
          <w:marLeft w:val="0"/>
          <w:marRight w:val="0"/>
          <w:marTop w:val="0"/>
          <w:marBottom w:val="0"/>
          <w:divBdr>
            <w:top w:val="none" w:sz="0" w:space="0" w:color="auto"/>
            <w:left w:val="none" w:sz="0" w:space="0" w:color="auto"/>
            <w:bottom w:val="none" w:sz="0" w:space="0" w:color="auto"/>
            <w:right w:val="none" w:sz="0" w:space="0" w:color="auto"/>
          </w:divBdr>
          <w:divsChild>
            <w:div w:id="1647542244">
              <w:marLeft w:val="0"/>
              <w:marRight w:val="0"/>
              <w:marTop w:val="0"/>
              <w:marBottom w:val="300"/>
              <w:divBdr>
                <w:top w:val="none" w:sz="0" w:space="0" w:color="auto"/>
                <w:left w:val="none" w:sz="0" w:space="0" w:color="auto"/>
                <w:bottom w:val="single" w:sz="6" w:space="0" w:color="F1F1F1"/>
                <w:right w:val="none" w:sz="0" w:space="0" w:color="auto"/>
              </w:divBdr>
              <w:divsChild>
                <w:div w:id="3047044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88111025">
      <w:bodyDiv w:val="1"/>
      <w:marLeft w:val="0"/>
      <w:marRight w:val="0"/>
      <w:marTop w:val="0"/>
      <w:marBottom w:val="0"/>
      <w:divBdr>
        <w:top w:val="none" w:sz="0" w:space="0" w:color="auto"/>
        <w:left w:val="none" w:sz="0" w:space="0" w:color="auto"/>
        <w:bottom w:val="none" w:sz="0" w:space="0" w:color="auto"/>
        <w:right w:val="none" w:sz="0" w:space="0" w:color="auto"/>
      </w:divBdr>
      <w:divsChild>
        <w:div w:id="1711608016">
          <w:marLeft w:val="0"/>
          <w:marRight w:val="0"/>
          <w:marTop w:val="0"/>
          <w:marBottom w:val="0"/>
          <w:divBdr>
            <w:top w:val="none" w:sz="0" w:space="0" w:color="auto"/>
            <w:left w:val="none" w:sz="0" w:space="0" w:color="auto"/>
            <w:bottom w:val="none" w:sz="0" w:space="0" w:color="auto"/>
            <w:right w:val="none" w:sz="0" w:space="0" w:color="auto"/>
          </w:divBdr>
          <w:divsChild>
            <w:div w:id="4561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184603">
      <w:bodyDiv w:val="1"/>
      <w:marLeft w:val="0"/>
      <w:marRight w:val="0"/>
      <w:marTop w:val="0"/>
      <w:marBottom w:val="0"/>
      <w:divBdr>
        <w:top w:val="none" w:sz="0" w:space="0" w:color="auto"/>
        <w:left w:val="none" w:sz="0" w:space="0" w:color="auto"/>
        <w:bottom w:val="none" w:sz="0" w:space="0" w:color="auto"/>
        <w:right w:val="none" w:sz="0" w:space="0" w:color="auto"/>
      </w:divBdr>
      <w:divsChild>
        <w:div w:id="1904952158">
          <w:marLeft w:val="0"/>
          <w:marRight w:val="0"/>
          <w:marTop w:val="0"/>
          <w:marBottom w:val="0"/>
          <w:divBdr>
            <w:top w:val="none" w:sz="0" w:space="0" w:color="auto"/>
            <w:left w:val="none" w:sz="0" w:space="0" w:color="auto"/>
            <w:bottom w:val="none" w:sz="0" w:space="0" w:color="auto"/>
            <w:right w:val="none" w:sz="0" w:space="0" w:color="auto"/>
          </w:divBdr>
          <w:divsChild>
            <w:div w:id="480006139">
              <w:marLeft w:val="0"/>
              <w:marRight w:val="0"/>
              <w:marTop w:val="0"/>
              <w:marBottom w:val="0"/>
              <w:divBdr>
                <w:top w:val="none" w:sz="0" w:space="0" w:color="auto"/>
                <w:left w:val="none" w:sz="0" w:space="0" w:color="auto"/>
                <w:bottom w:val="none" w:sz="0" w:space="0" w:color="auto"/>
                <w:right w:val="none" w:sz="0" w:space="0" w:color="auto"/>
              </w:divBdr>
              <w:divsChild>
                <w:div w:id="1657103718">
                  <w:marLeft w:val="0"/>
                  <w:marRight w:val="0"/>
                  <w:marTop w:val="0"/>
                  <w:marBottom w:val="0"/>
                  <w:divBdr>
                    <w:top w:val="none" w:sz="0" w:space="0" w:color="auto"/>
                    <w:left w:val="none" w:sz="0" w:space="0" w:color="auto"/>
                    <w:bottom w:val="none" w:sz="0" w:space="0" w:color="auto"/>
                    <w:right w:val="none" w:sz="0" w:space="0" w:color="auto"/>
                  </w:divBdr>
                  <w:divsChild>
                    <w:div w:id="230963680">
                      <w:marLeft w:val="0"/>
                      <w:marRight w:val="0"/>
                      <w:marTop w:val="0"/>
                      <w:marBottom w:val="0"/>
                      <w:divBdr>
                        <w:top w:val="none" w:sz="0" w:space="0" w:color="auto"/>
                        <w:left w:val="none" w:sz="0" w:space="0" w:color="auto"/>
                        <w:bottom w:val="none" w:sz="0" w:space="0" w:color="auto"/>
                        <w:right w:val="none" w:sz="0" w:space="0" w:color="auto"/>
                      </w:divBdr>
                      <w:divsChild>
                        <w:div w:id="712534114">
                          <w:marLeft w:val="0"/>
                          <w:marRight w:val="0"/>
                          <w:marTop w:val="0"/>
                          <w:marBottom w:val="0"/>
                          <w:divBdr>
                            <w:top w:val="none" w:sz="0" w:space="0" w:color="auto"/>
                            <w:left w:val="none" w:sz="0" w:space="0" w:color="auto"/>
                            <w:bottom w:val="none" w:sz="0" w:space="0" w:color="auto"/>
                            <w:right w:val="none" w:sz="0" w:space="0" w:color="auto"/>
                          </w:divBdr>
                          <w:divsChild>
                            <w:div w:id="1915968876">
                              <w:marLeft w:val="0"/>
                              <w:marRight w:val="0"/>
                              <w:marTop w:val="0"/>
                              <w:marBottom w:val="0"/>
                              <w:divBdr>
                                <w:top w:val="none" w:sz="0" w:space="0" w:color="auto"/>
                                <w:left w:val="none" w:sz="0" w:space="0" w:color="auto"/>
                                <w:bottom w:val="none" w:sz="0" w:space="0" w:color="auto"/>
                                <w:right w:val="none" w:sz="0" w:space="0" w:color="auto"/>
                              </w:divBdr>
                              <w:divsChild>
                                <w:div w:id="54521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8381893">
      <w:bodyDiv w:val="1"/>
      <w:marLeft w:val="0"/>
      <w:marRight w:val="0"/>
      <w:marTop w:val="0"/>
      <w:marBottom w:val="0"/>
      <w:divBdr>
        <w:top w:val="none" w:sz="0" w:space="0" w:color="auto"/>
        <w:left w:val="none" w:sz="0" w:space="0" w:color="auto"/>
        <w:bottom w:val="none" w:sz="0" w:space="0" w:color="auto"/>
        <w:right w:val="none" w:sz="0" w:space="0" w:color="auto"/>
      </w:divBdr>
    </w:div>
    <w:div w:id="2088770477">
      <w:bodyDiv w:val="1"/>
      <w:marLeft w:val="0"/>
      <w:marRight w:val="0"/>
      <w:marTop w:val="0"/>
      <w:marBottom w:val="0"/>
      <w:divBdr>
        <w:top w:val="none" w:sz="0" w:space="0" w:color="auto"/>
        <w:left w:val="none" w:sz="0" w:space="0" w:color="auto"/>
        <w:bottom w:val="none" w:sz="0" w:space="0" w:color="auto"/>
        <w:right w:val="none" w:sz="0" w:space="0" w:color="auto"/>
      </w:divBdr>
    </w:div>
    <w:div w:id="2088922167">
      <w:bodyDiv w:val="1"/>
      <w:marLeft w:val="0"/>
      <w:marRight w:val="0"/>
      <w:marTop w:val="0"/>
      <w:marBottom w:val="0"/>
      <w:divBdr>
        <w:top w:val="none" w:sz="0" w:space="0" w:color="auto"/>
        <w:left w:val="none" w:sz="0" w:space="0" w:color="auto"/>
        <w:bottom w:val="none" w:sz="0" w:space="0" w:color="auto"/>
        <w:right w:val="none" w:sz="0" w:space="0" w:color="auto"/>
      </w:divBdr>
      <w:divsChild>
        <w:div w:id="1254899338">
          <w:marLeft w:val="0"/>
          <w:marRight w:val="0"/>
          <w:marTop w:val="0"/>
          <w:marBottom w:val="375"/>
          <w:divBdr>
            <w:top w:val="none" w:sz="0" w:space="0" w:color="auto"/>
            <w:left w:val="none" w:sz="0" w:space="0" w:color="auto"/>
            <w:bottom w:val="dotted" w:sz="6" w:space="14" w:color="C2C2C2"/>
            <w:right w:val="none" w:sz="0" w:space="0" w:color="auto"/>
          </w:divBdr>
          <w:divsChild>
            <w:div w:id="986779814">
              <w:marLeft w:val="0"/>
              <w:marRight w:val="0"/>
              <w:marTop w:val="0"/>
              <w:marBottom w:val="0"/>
              <w:divBdr>
                <w:top w:val="none" w:sz="0" w:space="0" w:color="auto"/>
                <w:left w:val="none" w:sz="0" w:space="0" w:color="auto"/>
                <w:bottom w:val="none" w:sz="0" w:space="0" w:color="auto"/>
                <w:right w:val="none" w:sz="0" w:space="0" w:color="auto"/>
              </w:divBdr>
              <w:divsChild>
                <w:div w:id="892304895">
                  <w:marLeft w:val="0"/>
                  <w:marRight w:val="0"/>
                  <w:marTop w:val="0"/>
                  <w:marBottom w:val="0"/>
                  <w:divBdr>
                    <w:top w:val="none" w:sz="0" w:space="0" w:color="auto"/>
                    <w:left w:val="none" w:sz="0" w:space="0" w:color="auto"/>
                    <w:bottom w:val="none" w:sz="0" w:space="0" w:color="auto"/>
                    <w:right w:val="none" w:sz="0" w:space="0" w:color="auto"/>
                  </w:divBdr>
                  <w:divsChild>
                    <w:div w:id="487981114">
                      <w:marLeft w:val="0"/>
                      <w:marRight w:val="0"/>
                      <w:marTop w:val="0"/>
                      <w:marBottom w:val="0"/>
                      <w:divBdr>
                        <w:top w:val="none" w:sz="0" w:space="0" w:color="auto"/>
                        <w:left w:val="none" w:sz="0" w:space="0" w:color="auto"/>
                        <w:bottom w:val="none" w:sz="0" w:space="0" w:color="auto"/>
                        <w:right w:val="none" w:sz="0" w:space="0" w:color="auto"/>
                      </w:divBdr>
                      <w:divsChild>
                        <w:div w:id="1505122264">
                          <w:marLeft w:val="0"/>
                          <w:marRight w:val="0"/>
                          <w:marTop w:val="0"/>
                          <w:marBottom w:val="0"/>
                          <w:divBdr>
                            <w:top w:val="none" w:sz="0" w:space="0" w:color="auto"/>
                            <w:left w:val="none" w:sz="0" w:space="0" w:color="auto"/>
                            <w:bottom w:val="none" w:sz="0" w:space="0" w:color="auto"/>
                            <w:right w:val="none" w:sz="0" w:space="0" w:color="auto"/>
                          </w:divBdr>
                          <w:divsChild>
                            <w:div w:id="10377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647774">
              <w:marLeft w:val="0"/>
              <w:marRight w:val="0"/>
              <w:marTop w:val="0"/>
              <w:marBottom w:val="180"/>
              <w:divBdr>
                <w:top w:val="none" w:sz="0" w:space="0" w:color="auto"/>
                <w:left w:val="none" w:sz="0" w:space="0" w:color="auto"/>
                <w:bottom w:val="none" w:sz="0" w:space="0" w:color="auto"/>
                <w:right w:val="none" w:sz="0" w:space="0" w:color="auto"/>
              </w:divBdr>
            </w:div>
          </w:divsChild>
        </w:div>
        <w:div w:id="2111579772">
          <w:marLeft w:val="0"/>
          <w:marRight w:val="0"/>
          <w:marTop w:val="0"/>
          <w:marBottom w:val="450"/>
          <w:divBdr>
            <w:top w:val="none" w:sz="0" w:space="0" w:color="auto"/>
            <w:left w:val="none" w:sz="0" w:space="0" w:color="auto"/>
            <w:bottom w:val="none" w:sz="0" w:space="0" w:color="auto"/>
            <w:right w:val="none" w:sz="0" w:space="0" w:color="auto"/>
          </w:divBdr>
          <w:divsChild>
            <w:div w:id="818158967">
              <w:marLeft w:val="0"/>
              <w:marRight w:val="0"/>
              <w:marTop w:val="0"/>
              <w:marBottom w:val="0"/>
              <w:divBdr>
                <w:top w:val="none" w:sz="0" w:space="0" w:color="auto"/>
                <w:left w:val="none" w:sz="0" w:space="0" w:color="auto"/>
                <w:bottom w:val="none" w:sz="0" w:space="0" w:color="auto"/>
                <w:right w:val="none" w:sz="0" w:space="0" w:color="auto"/>
              </w:divBdr>
              <w:divsChild>
                <w:div w:id="593317344">
                  <w:marLeft w:val="0"/>
                  <w:marRight w:val="0"/>
                  <w:marTop w:val="0"/>
                  <w:marBottom w:val="0"/>
                  <w:divBdr>
                    <w:top w:val="none" w:sz="0" w:space="0" w:color="auto"/>
                    <w:left w:val="none" w:sz="0" w:space="0" w:color="auto"/>
                    <w:bottom w:val="none" w:sz="0" w:space="0" w:color="auto"/>
                    <w:right w:val="none" w:sz="0" w:space="0" w:color="auto"/>
                  </w:divBdr>
                  <w:divsChild>
                    <w:div w:id="323705256">
                      <w:marLeft w:val="0"/>
                      <w:marRight w:val="0"/>
                      <w:marTop w:val="0"/>
                      <w:marBottom w:val="0"/>
                      <w:divBdr>
                        <w:top w:val="none" w:sz="0" w:space="0" w:color="auto"/>
                        <w:left w:val="none" w:sz="0" w:space="0" w:color="auto"/>
                        <w:bottom w:val="none" w:sz="0" w:space="0" w:color="auto"/>
                        <w:right w:val="none" w:sz="0" w:space="0" w:color="auto"/>
                      </w:divBdr>
                      <w:divsChild>
                        <w:div w:id="1197163522">
                          <w:marLeft w:val="0"/>
                          <w:marRight w:val="0"/>
                          <w:marTop w:val="0"/>
                          <w:marBottom w:val="225"/>
                          <w:divBdr>
                            <w:top w:val="none" w:sz="0" w:space="0" w:color="auto"/>
                            <w:left w:val="none" w:sz="0" w:space="0" w:color="auto"/>
                            <w:bottom w:val="none" w:sz="0" w:space="0" w:color="auto"/>
                            <w:right w:val="none" w:sz="0" w:space="0" w:color="auto"/>
                          </w:divBdr>
                          <w:divsChild>
                            <w:div w:id="107396727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28537516">
                      <w:marLeft w:val="0"/>
                      <w:marRight w:val="0"/>
                      <w:marTop w:val="0"/>
                      <w:marBottom w:val="0"/>
                      <w:divBdr>
                        <w:top w:val="none" w:sz="0" w:space="0" w:color="auto"/>
                        <w:left w:val="none" w:sz="0" w:space="0" w:color="auto"/>
                        <w:bottom w:val="none" w:sz="0" w:space="0" w:color="auto"/>
                        <w:right w:val="none" w:sz="0" w:space="0" w:color="auto"/>
                      </w:divBdr>
                      <w:divsChild>
                        <w:div w:id="1063065268">
                          <w:marLeft w:val="0"/>
                          <w:marRight w:val="0"/>
                          <w:marTop w:val="0"/>
                          <w:marBottom w:val="0"/>
                          <w:divBdr>
                            <w:top w:val="none" w:sz="0" w:space="0" w:color="auto"/>
                            <w:left w:val="none" w:sz="0" w:space="0" w:color="auto"/>
                            <w:bottom w:val="none" w:sz="0" w:space="0" w:color="auto"/>
                            <w:right w:val="none" w:sz="0" w:space="0" w:color="auto"/>
                          </w:divBdr>
                          <w:divsChild>
                            <w:div w:id="1279291579">
                              <w:marLeft w:val="0"/>
                              <w:marRight w:val="0"/>
                              <w:marTop w:val="0"/>
                              <w:marBottom w:val="0"/>
                              <w:divBdr>
                                <w:top w:val="none" w:sz="0" w:space="0" w:color="auto"/>
                                <w:left w:val="none" w:sz="0" w:space="0" w:color="auto"/>
                                <w:bottom w:val="none" w:sz="0" w:space="0" w:color="auto"/>
                                <w:right w:val="none" w:sz="0" w:space="0" w:color="auto"/>
                              </w:divBdr>
                            </w:div>
                            <w:div w:id="178422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9418858">
      <w:bodyDiv w:val="1"/>
      <w:marLeft w:val="0"/>
      <w:marRight w:val="0"/>
      <w:marTop w:val="0"/>
      <w:marBottom w:val="0"/>
      <w:divBdr>
        <w:top w:val="none" w:sz="0" w:space="0" w:color="auto"/>
        <w:left w:val="none" w:sz="0" w:space="0" w:color="auto"/>
        <w:bottom w:val="none" w:sz="0" w:space="0" w:color="auto"/>
        <w:right w:val="none" w:sz="0" w:space="0" w:color="auto"/>
      </w:divBdr>
    </w:div>
    <w:div w:id="2089423703">
      <w:bodyDiv w:val="1"/>
      <w:marLeft w:val="0"/>
      <w:marRight w:val="0"/>
      <w:marTop w:val="0"/>
      <w:marBottom w:val="0"/>
      <w:divBdr>
        <w:top w:val="none" w:sz="0" w:space="0" w:color="auto"/>
        <w:left w:val="none" w:sz="0" w:space="0" w:color="auto"/>
        <w:bottom w:val="none" w:sz="0" w:space="0" w:color="auto"/>
        <w:right w:val="none" w:sz="0" w:space="0" w:color="auto"/>
      </w:divBdr>
      <w:divsChild>
        <w:div w:id="428737933">
          <w:marLeft w:val="0"/>
          <w:marRight w:val="0"/>
          <w:marTop w:val="0"/>
          <w:marBottom w:val="0"/>
          <w:divBdr>
            <w:top w:val="none" w:sz="0" w:space="0" w:color="auto"/>
            <w:left w:val="none" w:sz="0" w:space="0" w:color="auto"/>
            <w:bottom w:val="none" w:sz="0" w:space="0" w:color="auto"/>
            <w:right w:val="none" w:sz="0" w:space="0" w:color="auto"/>
          </w:divBdr>
          <w:divsChild>
            <w:div w:id="579946034">
              <w:marLeft w:val="0"/>
              <w:marRight w:val="0"/>
              <w:marTop w:val="0"/>
              <w:marBottom w:val="0"/>
              <w:divBdr>
                <w:top w:val="none" w:sz="0" w:space="0" w:color="auto"/>
                <w:left w:val="none" w:sz="0" w:space="0" w:color="auto"/>
                <w:bottom w:val="none" w:sz="0" w:space="0" w:color="auto"/>
                <w:right w:val="none" w:sz="0" w:space="0" w:color="auto"/>
              </w:divBdr>
            </w:div>
          </w:divsChild>
        </w:div>
        <w:div w:id="1430806925">
          <w:marLeft w:val="0"/>
          <w:marRight w:val="0"/>
          <w:marTop w:val="0"/>
          <w:marBottom w:val="150"/>
          <w:divBdr>
            <w:top w:val="none" w:sz="0" w:space="0" w:color="auto"/>
            <w:left w:val="none" w:sz="0" w:space="0" w:color="auto"/>
            <w:bottom w:val="none" w:sz="0" w:space="0" w:color="auto"/>
            <w:right w:val="none" w:sz="0" w:space="0" w:color="auto"/>
          </w:divBdr>
          <w:divsChild>
            <w:div w:id="1583877270">
              <w:marLeft w:val="0"/>
              <w:marRight w:val="0"/>
              <w:marTop w:val="0"/>
              <w:marBottom w:val="0"/>
              <w:divBdr>
                <w:top w:val="none" w:sz="0" w:space="0" w:color="auto"/>
                <w:left w:val="none" w:sz="0" w:space="0" w:color="auto"/>
                <w:bottom w:val="none" w:sz="0" w:space="0" w:color="auto"/>
                <w:right w:val="none" w:sz="0" w:space="0" w:color="auto"/>
              </w:divBdr>
            </w:div>
          </w:divsChild>
        </w:div>
        <w:div w:id="1927641604">
          <w:marLeft w:val="0"/>
          <w:marRight w:val="0"/>
          <w:marTop w:val="0"/>
          <w:marBottom w:val="150"/>
          <w:divBdr>
            <w:top w:val="none" w:sz="0" w:space="0" w:color="auto"/>
            <w:left w:val="none" w:sz="0" w:space="0" w:color="auto"/>
            <w:bottom w:val="none" w:sz="0" w:space="0" w:color="auto"/>
            <w:right w:val="none" w:sz="0" w:space="0" w:color="auto"/>
          </w:divBdr>
        </w:div>
      </w:divsChild>
    </w:div>
    <w:div w:id="2089574419">
      <w:bodyDiv w:val="1"/>
      <w:marLeft w:val="0"/>
      <w:marRight w:val="0"/>
      <w:marTop w:val="0"/>
      <w:marBottom w:val="0"/>
      <w:divBdr>
        <w:top w:val="none" w:sz="0" w:space="0" w:color="auto"/>
        <w:left w:val="none" w:sz="0" w:space="0" w:color="auto"/>
        <w:bottom w:val="none" w:sz="0" w:space="0" w:color="auto"/>
        <w:right w:val="none" w:sz="0" w:space="0" w:color="auto"/>
      </w:divBdr>
      <w:divsChild>
        <w:div w:id="453252631">
          <w:marLeft w:val="0"/>
          <w:marRight w:val="0"/>
          <w:marTop w:val="0"/>
          <w:marBottom w:val="0"/>
          <w:divBdr>
            <w:top w:val="none" w:sz="0" w:space="0" w:color="auto"/>
            <w:left w:val="none" w:sz="0" w:space="0" w:color="auto"/>
            <w:bottom w:val="none" w:sz="0" w:space="0" w:color="auto"/>
            <w:right w:val="none" w:sz="0" w:space="0" w:color="auto"/>
          </w:divBdr>
        </w:div>
      </w:divsChild>
    </w:div>
    <w:div w:id="2089646295">
      <w:bodyDiv w:val="1"/>
      <w:marLeft w:val="0"/>
      <w:marRight w:val="0"/>
      <w:marTop w:val="0"/>
      <w:marBottom w:val="0"/>
      <w:divBdr>
        <w:top w:val="none" w:sz="0" w:space="0" w:color="auto"/>
        <w:left w:val="none" w:sz="0" w:space="0" w:color="auto"/>
        <w:bottom w:val="none" w:sz="0" w:space="0" w:color="auto"/>
        <w:right w:val="none" w:sz="0" w:space="0" w:color="auto"/>
      </w:divBdr>
      <w:divsChild>
        <w:div w:id="1352105215">
          <w:marLeft w:val="0"/>
          <w:marRight w:val="0"/>
          <w:marTop w:val="0"/>
          <w:marBottom w:val="0"/>
          <w:divBdr>
            <w:top w:val="none" w:sz="0" w:space="0" w:color="auto"/>
            <w:left w:val="none" w:sz="0" w:space="0" w:color="auto"/>
            <w:bottom w:val="none" w:sz="0" w:space="0" w:color="auto"/>
            <w:right w:val="none" w:sz="0" w:space="0" w:color="auto"/>
          </w:divBdr>
        </w:div>
      </w:divsChild>
    </w:div>
    <w:div w:id="2089963301">
      <w:bodyDiv w:val="1"/>
      <w:marLeft w:val="0"/>
      <w:marRight w:val="0"/>
      <w:marTop w:val="0"/>
      <w:marBottom w:val="0"/>
      <w:divBdr>
        <w:top w:val="none" w:sz="0" w:space="0" w:color="auto"/>
        <w:left w:val="none" w:sz="0" w:space="0" w:color="auto"/>
        <w:bottom w:val="none" w:sz="0" w:space="0" w:color="auto"/>
        <w:right w:val="none" w:sz="0" w:space="0" w:color="auto"/>
      </w:divBdr>
      <w:divsChild>
        <w:div w:id="2049261732">
          <w:marLeft w:val="0"/>
          <w:marRight w:val="0"/>
          <w:marTop w:val="0"/>
          <w:marBottom w:val="0"/>
          <w:divBdr>
            <w:top w:val="none" w:sz="0" w:space="0" w:color="auto"/>
            <w:left w:val="none" w:sz="0" w:space="0" w:color="auto"/>
            <w:bottom w:val="none" w:sz="0" w:space="0" w:color="auto"/>
            <w:right w:val="none" w:sz="0" w:space="0" w:color="auto"/>
          </w:divBdr>
          <w:divsChild>
            <w:div w:id="660040971">
              <w:marLeft w:val="0"/>
              <w:marRight w:val="0"/>
              <w:marTop w:val="0"/>
              <w:marBottom w:val="0"/>
              <w:divBdr>
                <w:top w:val="none" w:sz="0" w:space="0" w:color="auto"/>
                <w:left w:val="none" w:sz="0" w:space="0" w:color="auto"/>
                <w:bottom w:val="none" w:sz="0" w:space="0" w:color="auto"/>
                <w:right w:val="none" w:sz="0" w:space="0" w:color="auto"/>
              </w:divBdr>
              <w:divsChild>
                <w:div w:id="100734445">
                  <w:marLeft w:val="0"/>
                  <w:marRight w:val="0"/>
                  <w:marTop w:val="0"/>
                  <w:marBottom w:val="0"/>
                  <w:divBdr>
                    <w:top w:val="none" w:sz="0" w:space="0" w:color="auto"/>
                    <w:left w:val="none" w:sz="0" w:space="0" w:color="auto"/>
                    <w:bottom w:val="none" w:sz="0" w:space="0" w:color="auto"/>
                    <w:right w:val="none" w:sz="0" w:space="0" w:color="auto"/>
                  </w:divBdr>
                  <w:divsChild>
                    <w:div w:id="1818178941">
                      <w:marLeft w:val="0"/>
                      <w:marRight w:val="0"/>
                      <w:marTop w:val="0"/>
                      <w:marBottom w:val="0"/>
                      <w:divBdr>
                        <w:top w:val="none" w:sz="0" w:space="0" w:color="auto"/>
                        <w:left w:val="none" w:sz="0" w:space="0" w:color="auto"/>
                        <w:bottom w:val="none" w:sz="0" w:space="0" w:color="auto"/>
                        <w:right w:val="none" w:sz="0" w:space="0" w:color="auto"/>
                      </w:divBdr>
                      <w:divsChild>
                        <w:div w:id="941374875">
                          <w:marLeft w:val="0"/>
                          <w:marRight w:val="0"/>
                          <w:marTop w:val="0"/>
                          <w:marBottom w:val="0"/>
                          <w:divBdr>
                            <w:top w:val="none" w:sz="0" w:space="0" w:color="auto"/>
                            <w:left w:val="none" w:sz="0" w:space="0" w:color="auto"/>
                            <w:bottom w:val="none" w:sz="0" w:space="0" w:color="auto"/>
                            <w:right w:val="none" w:sz="0" w:space="0" w:color="auto"/>
                          </w:divBdr>
                          <w:divsChild>
                            <w:div w:id="1455052334">
                              <w:marLeft w:val="0"/>
                              <w:marRight w:val="0"/>
                              <w:marTop w:val="0"/>
                              <w:marBottom w:val="0"/>
                              <w:divBdr>
                                <w:top w:val="none" w:sz="0" w:space="0" w:color="auto"/>
                                <w:left w:val="none" w:sz="0" w:space="0" w:color="auto"/>
                                <w:bottom w:val="none" w:sz="0" w:space="0" w:color="auto"/>
                                <w:right w:val="none" w:sz="0" w:space="0" w:color="auto"/>
                              </w:divBdr>
                              <w:divsChild>
                                <w:div w:id="810564818">
                                  <w:marLeft w:val="0"/>
                                  <w:marRight w:val="0"/>
                                  <w:marTop w:val="0"/>
                                  <w:marBottom w:val="0"/>
                                  <w:divBdr>
                                    <w:top w:val="none" w:sz="0" w:space="0" w:color="auto"/>
                                    <w:left w:val="none" w:sz="0" w:space="0" w:color="auto"/>
                                    <w:bottom w:val="none" w:sz="0" w:space="0" w:color="auto"/>
                                    <w:right w:val="none" w:sz="0" w:space="0" w:color="auto"/>
                                  </w:divBdr>
                                  <w:divsChild>
                                    <w:div w:id="5383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0034437">
      <w:bodyDiv w:val="1"/>
      <w:marLeft w:val="0"/>
      <w:marRight w:val="0"/>
      <w:marTop w:val="0"/>
      <w:marBottom w:val="0"/>
      <w:divBdr>
        <w:top w:val="none" w:sz="0" w:space="0" w:color="auto"/>
        <w:left w:val="none" w:sz="0" w:space="0" w:color="auto"/>
        <w:bottom w:val="none" w:sz="0" w:space="0" w:color="auto"/>
        <w:right w:val="none" w:sz="0" w:space="0" w:color="auto"/>
      </w:divBdr>
      <w:divsChild>
        <w:div w:id="1758674665">
          <w:marLeft w:val="0"/>
          <w:marRight w:val="0"/>
          <w:marTop w:val="0"/>
          <w:marBottom w:val="0"/>
          <w:divBdr>
            <w:top w:val="none" w:sz="0" w:space="0" w:color="auto"/>
            <w:left w:val="none" w:sz="0" w:space="0" w:color="auto"/>
            <w:bottom w:val="none" w:sz="0" w:space="0" w:color="auto"/>
            <w:right w:val="none" w:sz="0" w:space="0" w:color="auto"/>
          </w:divBdr>
          <w:divsChild>
            <w:div w:id="1301693294">
              <w:marLeft w:val="0"/>
              <w:marRight w:val="0"/>
              <w:marTop w:val="0"/>
              <w:marBottom w:val="0"/>
              <w:divBdr>
                <w:top w:val="none" w:sz="0" w:space="0" w:color="auto"/>
                <w:left w:val="none" w:sz="0" w:space="0" w:color="auto"/>
                <w:bottom w:val="none" w:sz="0" w:space="0" w:color="auto"/>
                <w:right w:val="none" w:sz="0" w:space="0" w:color="auto"/>
              </w:divBdr>
            </w:div>
          </w:divsChild>
        </w:div>
        <w:div w:id="1783258974">
          <w:marLeft w:val="0"/>
          <w:marRight w:val="0"/>
          <w:marTop w:val="0"/>
          <w:marBottom w:val="0"/>
          <w:divBdr>
            <w:top w:val="none" w:sz="0" w:space="0" w:color="auto"/>
            <w:left w:val="none" w:sz="0" w:space="0" w:color="auto"/>
            <w:bottom w:val="none" w:sz="0" w:space="0" w:color="auto"/>
            <w:right w:val="none" w:sz="0" w:space="0" w:color="auto"/>
          </w:divBdr>
        </w:div>
      </w:divsChild>
    </w:div>
    <w:div w:id="2090080245">
      <w:bodyDiv w:val="1"/>
      <w:marLeft w:val="0"/>
      <w:marRight w:val="0"/>
      <w:marTop w:val="0"/>
      <w:marBottom w:val="0"/>
      <w:divBdr>
        <w:top w:val="none" w:sz="0" w:space="0" w:color="auto"/>
        <w:left w:val="none" w:sz="0" w:space="0" w:color="auto"/>
        <w:bottom w:val="none" w:sz="0" w:space="0" w:color="auto"/>
        <w:right w:val="none" w:sz="0" w:space="0" w:color="auto"/>
      </w:divBdr>
      <w:divsChild>
        <w:div w:id="1413821847">
          <w:marLeft w:val="0"/>
          <w:marRight w:val="0"/>
          <w:marTop w:val="0"/>
          <w:marBottom w:val="150"/>
          <w:divBdr>
            <w:top w:val="none" w:sz="0" w:space="0" w:color="auto"/>
            <w:left w:val="none" w:sz="0" w:space="0" w:color="auto"/>
            <w:bottom w:val="none" w:sz="0" w:space="0" w:color="auto"/>
            <w:right w:val="none" w:sz="0" w:space="0" w:color="auto"/>
          </w:divBdr>
        </w:div>
      </w:divsChild>
    </w:div>
    <w:div w:id="2090224954">
      <w:bodyDiv w:val="1"/>
      <w:marLeft w:val="0"/>
      <w:marRight w:val="0"/>
      <w:marTop w:val="0"/>
      <w:marBottom w:val="0"/>
      <w:divBdr>
        <w:top w:val="none" w:sz="0" w:space="0" w:color="auto"/>
        <w:left w:val="none" w:sz="0" w:space="0" w:color="auto"/>
        <w:bottom w:val="none" w:sz="0" w:space="0" w:color="auto"/>
        <w:right w:val="none" w:sz="0" w:space="0" w:color="auto"/>
      </w:divBdr>
      <w:divsChild>
        <w:div w:id="595747588">
          <w:marLeft w:val="0"/>
          <w:marRight w:val="0"/>
          <w:marTop w:val="0"/>
          <w:marBottom w:val="300"/>
          <w:divBdr>
            <w:top w:val="none" w:sz="0" w:space="0" w:color="auto"/>
            <w:left w:val="none" w:sz="0" w:space="0" w:color="auto"/>
            <w:bottom w:val="single" w:sz="6" w:space="0" w:color="E4E4E4"/>
            <w:right w:val="none" w:sz="0" w:space="0" w:color="auto"/>
          </w:divBdr>
        </w:div>
        <w:div w:id="893009023">
          <w:marLeft w:val="0"/>
          <w:marRight w:val="0"/>
          <w:marTop w:val="0"/>
          <w:marBottom w:val="0"/>
          <w:divBdr>
            <w:top w:val="none" w:sz="0" w:space="0" w:color="auto"/>
            <w:left w:val="none" w:sz="0" w:space="0" w:color="auto"/>
            <w:bottom w:val="none" w:sz="0" w:space="0" w:color="auto"/>
            <w:right w:val="none" w:sz="0" w:space="0" w:color="auto"/>
          </w:divBdr>
          <w:divsChild>
            <w:div w:id="97870459">
              <w:marLeft w:val="0"/>
              <w:marRight w:val="0"/>
              <w:marTop w:val="0"/>
              <w:marBottom w:val="0"/>
              <w:divBdr>
                <w:top w:val="none" w:sz="0" w:space="0" w:color="auto"/>
                <w:left w:val="none" w:sz="0" w:space="0" w:color="auto"/>
                <w:bottom w:val="none" w:sz="0" w:space="0" w:color="auto"/>
                <w:right w:val="none" w:sz="0" w:space="0" w:color="auto"/>
              </w:divBdr>
              <w:divsChild>
                <w:div w:id="1228107831">
                  <w:marLeft w:val="0"/>
                  <w:marRight w:val="0"/>
                  <w:marTop w:val="0"/>
                  <w:marBottom w:val="450"/>
                  <w:divBdr>
                    <w:top w:val="none" w:sz="0" w:space="0" w:color="auto"/>
                    <w:left w:val="none" w:sz="0" w:space="0" w:color="auto"/>
                    <w:bottom w:val="none" w:sz="0" w:space="0" w:color="auto"/>
                    <w:right w:val="none" w:sz="0" w:space="0" w:color="auto"/>
                  </w:divBdr>
                  <w:divsChild>
                    <w:div w:id="859819">
                      <w:marLeft w:val="0"/>
                      <w:marRight w:val="0"/>
                      <w:marTop w:val="0"/>
                      <w:marBottom w:val="150"/>
                      <w:divBdr>
                        <w:top w:val="none" w:sz="0" w:space="0" w:color="auto"/>
                        <w:left w:val="none" w:sz="0" w:space="0" w:color="auto"/>
                        <w:bottom w:val="none" w:sz="0" w:space="0" w:color="auto"/>
                        <w:right w:val="none" w:sz="0" w:space="0" w:color="auto"/>
                      </w:divBdr>
                      <w:divsChild>
                        <w:div w:id="604919764">
                          <w:marLeft w:val="0"/>
                          <w:marRight w:val="0"/>
                          <w:marTop w:val="0"/>
                          <w:marBottom w:val="0"/>
                          <w:divBdr>
                            <w:top w:val="none" w:sz="0" w:space="0" w:color="auto"/>
                            <w:left w:val="none" w:sz="0" w:space="0" w:color="auto"/>
                            <w:bottom w:val="none" w:sz="0" w:space="0" w:color="auto"/>
                            <w:right w:val="none" w:sz="0" w:space="0" w:color="auto"/>
                          </w:divBdr>
                        </w:div>
                      </w:divsChild>
                    </w:div>
                    <w:div w:id="1919707726">
                      <w:marLeft w:val="0"/>
                      <w:marRight w:val="0"/>
                      <w:marTop w:val="0"/>
                      <w:marBottom w:val="0"/>
                      <w:divBdr>
                        <w:top w:val="none" w:sz="0" w:space="0" w:color="auto"/>
                        <w:left w:val="none" w:sz="0" w:space="0" w:color="auto"/>
                        <w:bottom w:val="none" w:sz="0" w:space="0" w:color="auto"/>
                        <w:right w:val="none" w:sz="0" w:space="0" w:color="auto"/>
                      </w:divBdr>
                      <w:divsChild>
                        <w:div w:id="545412716">
                          <w:marLeft w:val="0"/>
                          <w:marRight w:val="0"/>
                          <w:marTop w:val="0"/>
                          <w:marBottom w:val="150"/>
                          <w:divBdr>
                            <w:top w:val="none" w:sz="0" w:space="0" w:color="auto"/>
                            <w:left w:val="none" w:sz="0" w:space="0" w:color="auto"/>
                            <w:bottom w:val="none" w:sz="0" w:space="0" w:color="auto"/>
                            <w:right w:val="none" w:sz="0" w:space="0" w:color="auto"/>
                          </w:divBdr>
                        </w:div>
                        <w:div w:id="2132478309">
                          <w:marLeft w:val="0"/>
                          <w:marRight w:val="0"/>
                          <w:marTop w:val="0"/>
                          <w:marBottom w:val="0"/>
                          <w:divBdr>
                            <w:top w:val="none" w:sz="0" w:space="0" w:color="auto"/>
                            <w:left w:val="none" w:sz="0" w:space="0" w:color="auto"/>
                            <w:bottom w:val="none" w:sz="0" w:space="0" w:color="auto"/>
                            <w:right w:val="none" w:sz="0" w:space="0" w:color="auto"/>
                          </w:divBdr>
                          <w:divsChild>
                            <w:div w:id="135045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494512">
      <w:bodyDiv w:val="1"/>
      <w:marLeft w:val="0"/>
      <w:marRight w:val="0"/>
      <w:marTop w:val="0"/>
      <w:marBottom w:val="0"/>
      <w:divBdr>
        <w:top w:val="none" w:sz="0" w:space="0" w:color="auto"/>
        <w:left w:val="none" w:sz="0" w:space="0" w:color="auto"/>
        <w:bottom w:val="none" w:sz="0" w:space="0" w:color="auto"/>
        <w:right w:val="none" w:sz="0" w:space="0" w:color="auto"/>
      </w:divBdr>
      <w:divsChild>
        <w:div w:id="1418554379">
          <w:marLeft w:val="0"/>
          <w:marRight w:val="0"/>
          <w:marTop w:val="0"/>
          <w:marBottom w:val="0"/>
          <w:divBdr>
            <w:top w:val="none" w:sz="0" w:space="0" w:color="auto"/>
            <w:left w:val="none" w:sz="0" w:space="0" w:color="auto"/>
            <w:bottom w:val="dotted" w:sz="6" w:space="4" w:color="DDDDDD"/>
            <w:right w:val="none" w:sz="0" w:space="0" w:color="auto"/>
          </w:divBdr>
          <w:divsChild>
            <w:div w:id="140085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887171">
      <w:bodyDiv w:val="1"/>
      <w:marLeft w:val="0"/>
      <w:marRight w:val="0"/>
      <w:marTop w:val="0"/>
      <w:marBottom w:val="0"/>
      <w:divBdr>
        <w:top w:val="none" w:sz="0" w:space="0" w:color="auto"/>
        <w:left w:val="none" w:sz="0" w:space="0" w:color="auto"/>
        <w:bottom w:val="none" w:sz="0" w:space="0" w:color="auto"/>
        <w:right w:val="none" w:sz="0" w:space="0" w:color="auto"/>
      </w:divBdr>
    </w:div>
    <w:div w:id="2091464218">
      <w:bodyDiv w:val="1"/>
      <w:marLeft w:val="0"/>
      <w:marRight w:val="0"/>
      <w:marTop w:val="0"/>
      <w:marBottom w:val="0"/>
      <w:divBdr>
        <w:top w:val="none" w:sz="0" w:space="0" w:color="auto"/>
        <w:left w:val="none" w:sz="0" w:space="0" w:color="auto"/>
        <w:bottom w:val="none" w:sz="0" w:space="0" w:color="auto"/>
        <w:right w:val="none" w:sz="0" w:space="0" w:color="auto"/>
      </w:divBdr>
      <w:divsChild>
        <w:div w:id="513610683">
          <w:marLeft w:val="0"/>
          <w:marRight w:val="0"/>
          <w:marTop w:val="0"/>
          <w:marBottom w:val="0"/>
          <w:divBdr>
            <w:top w:val="none" w:sz="0" w:space="0" w:color="auto"/>
            <w:left w:val="none" w:sz="0" w:space="0" w:color="auto"/>
            <w:bottom w:val="none" w:sz="0" w:space="0" w:color="auto"/>
            <w:right w:val="none" w:sz="0" w:space="0" w:color="auto"/>
          </w:divBdr>
          <w:divsChild>
            <w:div w:id="1798178670">
              <w:marLeft w:val="0"/>
              <w:marRight w:val="0"/>
              <w:marTop w:val="225"/>
              <w:marBottom w:val="225"/>
              <w:divBdr>
                <w:top w:val="none" w:sz="0" w:space="0" w:color="auto"/>
                <w:left w:val="none" w:sz="0" w:space="0" w:color="auto"/>
                <w:bottom w:val="none" w:sz="0" w:space="0" w:color="auto"/>
                <w:right w:val="none" w:sz="0" w:space="0" w:color="auto"/>
              </w:divBdr>
            </w:div>
          </w:divsChild>
        </w:div>
        <w:div w:id="1354721553">
          <w:marLeft w:val="0"/>
          <w:marRight w:val="0"/>
          <w:marTop w:val="0"/>
          <w:marBottom w:val="150"/>
          <w:divBdr>
            <w:top w:val="none" w:sz="0" w:space="0" w:color="auto"/>
            <w:left w:val="none" w:sz="0" w:space="0" w:color="auto"/>
            <w:bottom w:val="none" w:sz="0" w:space="0" w:color="auto"/>
            <w:right w:val="none" w:sz="0" w:space="0" w:color="auto"/>
          </w:divBdr>
        </w:div>
        <w:div w:id="1543978928">
          <w:marLeft w:val="0"/>
          <w:marRight w:val="0"/>
          <w:marTop w:val="0"/>
          <w:marBottom w:val="150"/>
          <w:divBdr>
            <w:top w:val="none" w:sz="0" w:space="0" w:color="auto"/>
            <w:left w:val="none" w:sz="0" w:space="0" w:color="auto"/>
            <w:bottom w:val="none" w:sz="0" w:space="0" w:color="auto"/>
            <w:right w:val="none" w:sz="0" w:space="0" w:color="auto"/>
          </w:divBdr>
          <w:divsChild>
            <w:div w:id="1843540864">
              <w:marLeft w:val="0"/>
              <w:marRight w:val="0"/>
              <w:marTop w:val="0"/>
              <w:marBottom w:val="0"/>
              <w:divBdr>
                <w:top w:val="none" w:sz="0" w:space="0" w:color="auto"/>
                <w:left w:val="none" w:sz="0" w:space="0" w:color="auto"/>
                <w:bottom w:val="none" w:sz="0" w:space="0" w:color="auto"/>
                <w:right w:val="none" w:sz="0" w:space="0" w:color="auto"/>
              </w:divBdr>
              <w:divsChild>
                <w:div w:id="105095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541288">
      <w:bodyDiv w:val="1"/>
      <w:marLeft w:val="0"/>
      <w:marRight w:val="0"/>
      <w:marTop w:val="0"/>
      <w:marBottom w:val="0"/>
      <w:divBdr>
        <w:top w:val="none" w:sz="0" w:space="0" w:color="auto"/>
        <w:left w:val="none" w:sz="0" w:space="0" w:color="auto"/>
        <w:bottom w:val="none" w:sz="0" w:space="0" w:color="auto"/>
        <w:right w:val="none" w:sz="0" w:space="0" w:color="auto"/>
      </w:divBdr>
    </w:div>
    <w:div w:id="2091658246">
      <w:bodyDiv w:val="1"/>
      <w:marLeft w:val="0"/>
      <w:marRight w:val="0"/>
      <w:marTop w:val="0"/>
      <w:marBottom w:val="0"/>
      <w:divBdr>
        <w:top w:val="none" w:sz="0" w:space="0" w:color="auto"/>
        <w:left w:val="none" w:sz="0" w:space="0" w:color="auto"/>
        <w:bottom w:val="none" w:sz="0" w:space="0" w:color="auto"/>
        <w:right w:val="none" w:sz="0" w:space="0" w:color="auto"/>
      </w:divBdr>
    </w:div>
    <w:div w:id="2091732325">
      <w:bodyDiv w:val="1"/>
      <w:marLeft w:val="0"/>
      <w:marRight w:val="0"/>
      <w:marTop w:val="0"/>
      <w:marBottom w:val="0"/>
      <w:divBdr>
        <w:top w:val="none" w:sz="0" w:space="0" w:color="auto"/>
        <w:left w:val="none" w:sz="0" w:space="0" w:color="auto"/>
        <w:bottom w:val="none" w:sz="0" w:space="0" w:color="auto"/>
        <w:right w:val="none" w:sz="0" w:space="0" w:color="auto"/>
      </w:divBdr>
    </w:div>
    <w:div w:id="2091810056">
      <w:bodyDiv w:val="1"/>
      <w:marLeft w:val="0"/>
      <w:marRight w:val="0"/>
      <w:marTop w:val="0"/>
      <w:marBottom w:val="0"/>
      <w:divBdr>
        <w:top w:val="none" w:sz="0" w:space="0" w:color="auto"/>
        <w:left w:val="none" w:sz="0" w:space="0" w:color="auto"/>
        <w:bottom w:val="none" w:sz="0" w:space="0" w:color="auto"/>
        <w:right w:val="none" w:sz="0" w:space="0" w:color="auto"/>
      </w:divBdr>
    </w:div>
    <w:div w:id="2092701529">
      <w:bodyDiv w:val="1"/>
      <w:marLeft w:val="0"/>
      <w:marRight w:val="0"/>
      <w:marTop w:val="0"/>
      <w:marBottom w:val="0"/>
      <w:divBdr>
        <w:top w:val="none" w:sz="0" w:space="0" w:color="auto"/>
        <w:left w:val="none" w:sz="0" w:space="0" w:color="auto"/>
        <w:bottom w:val="none" w:sz="0" w:space="0" w:color="auto"/>
        <w:right w:val="none" w:sz="0" w:space="0" w:color="auto"/>
      </w:divBdr>
    </w:div>
    <w:div w:id="2093158970">
      <w:bodyDiv w:val="1"/>
      <w:marLeft w:val="0"/>
      <w:marRight w:val="0"/>
      <w:marTop w:val="0"/>
      <w:marBottom w:val="0"/>
      <w:divBdr>
        <w:top w:val="none" w:sz="0" w:space="0" w:color="auto"/>
        <w:left w:val="none" w:sz="0" w:space="0" w:color="auto"/>
        <w:bottom w:val="none" w:sz="0" w:space="0" w:color="auto"/>
        <w:right w:val="none" w:sz="0" w:space="0" w:color="auto"/>
      </w:divBdr>
    </w:div>
    <w:div w:id="2093425280">
      <w:bodyDiv w:val="1"/>
      <w:marLeft w:val="0"/>
      <w:marRight w:val="0"/>
      <w:marTop w:val="0"/>
      <w:marBottom w:val="0"/>
      <w:divBdr>
        <w:top w:val="none" w:sz="0" w:space="0" w:color="auto"/>
        <w:left w:val="none" w:sz="0" w:space="0" w:color="auto"/>
        <w:bottom w:val="none" w:sz="0" w:space="0" w:color="auto"/>
        <w:right w:val="none" w:sz="0" w:space="0" w:color="auto"/>
      </w:divBdr>
      <w:divsChild>
        <w:div w:id="1441026120">
          <w:marLeft w:val="0"/>
          <w:marRight w:val="0"/>
          <w:marTop w:val="0"/>
          <w:marBottom w:val="0"/>
          <w:divBdr>
            <w:top w:val="none" w:sz="0" w:space="0" w:color="auto"/>
            <w:left w:val="none" w:sz="0" w:space="0" w:color="auto"/>
            <w:bottom w:val="none" w:sz="0" w:space="0" w:color="auto"/>
            <w:right w:val="none" w:sz="0" w:space="0" w:color="auto"/>
          </w:divBdr>
          <w:divsChild>
            <w:div w:id="1818763412">
              <w:marLeft w:val="0"/>
              <w:marRight w:val="0"/>
              <w:marTop w:val="0"/>
              <w:marBottom w:val="0"/>
              <w:divBdr>
                <w:top w:val="none" w:sz="0" w:space="0" w:color="auto"/>
                <w:left w:val="none" w:sz="0" w:space="0" w:color="auto"/>
                <w:bottom w:val="none" w:sz="0" w:space="0" w:color="auto"/>
                <w:right w:val="none" w:sz="0" w:space="0" w:color="auto"/>
              </w:divBdr>
              <w:divsChild>
                <w:div w:id="1914897334">
                  <w:marLeft w:val="0"/>
                  <w:marRight w:val="0"/>
                  <w:marTop w:val="0"/>
                  <w:marBottom w:val="0"/>
                  <w:divBdr>
                    <w:top w:val="none" w:sz="0" w:space="0" w:color="auto"/>
                    <w:left w:val="none" w:sz="0" w:space="0" w:color="auto"/>
                    <w:bottom w:val="none" w:sz="0" w:space="0" w:color="auto"/>
                    <w:right w:val="none" w:sz="0" w:space="0" w:color="auto"/>
                  </w:divBdr>
                  <w:divsChild>
                    <w:div w:id="1479149344">
                      <w:marLeft w:val="0"/>
                      <w:marRight w:val="0"/>
                      <w:marTop w:val="0"/>
                      <w:marBottom w:val="0"/>
                      <w:divBdr>
                        <w:top w:val="none" w:sz="0" w:space="0" w:color="auto"/>
                        <w:left w:val="none" w:sz="0" w:space="0" w:color="auto"/>
                        <w:bottom w:val="none" w:sz="0" w:space="0" w:color="auto"/>
                        <w:right w:val="none" w:sz="0" w:space="0" w:color="auto"/>
                      </w:divBdr>
                      <w:divsChild>
                        <w:div w:id="1235046474">
                          <w:marLeft w:val="0"/>
                          <w:marRight w:val="0"/>
                          <w:marTop w:val="0"/>
                          <w:marBottom w:val="0"/>
                          <w:divBdr>
                            <w:top w:val="none" w:sz="0" w:space="0" w:color="auto"/>
                            <w:left w:val="none" w:sz="0" w:space="0" w:color="auto"/>
                            <w:bottom w:val="none" w:sz="0" w:space="0" w:color="auto"/>
                            <w:right w:val="none" w:sz="0" w:space="0" w:color="auto"/>
                          </w:divBdr>
                          <w:divsChild>
                            <w:div w:id="631406102">
                              <w:marLeft w:val="0"/>
                              <w:marRight w:val="0"/>
                              <w:marTop w:val="0"/>
                              <w:marBottom w:val="0"/>
                              <w:divBdr>
                                <w:top w:val="none" w:sz="0" w:space="0" w:color="auto"/>
                                <w:left w:val="none" w:sz="0" w:space="0" w:color="auto"/>
                                <w:bottom w:val="none" w:sz="0" w:space="0" w:color="auto"/>
                                <w:right w:val="none" w:sz="0" w:space="0" w:color="auto"/>
                              </w:divBdr>
                              <w:divsChild>
                                <w:div w:id="2033915920">
                                  <w:marLeft w:val="0"/>
                                  <w:marRight w:val="0"/>
                                  <w:marTop w:val="0"/>
                                  <w:marBottom w:val="0"/>
                                  <w:divBdr>
                                    <w:top w:val="none" w:sz="0" w:space="0" w:color="auto"/>
                                    <w:left w:val="none" w:sz="0" w:space="0" w:color="auto"/>
                                    <w:bottom w:val="none" w:sz="0" w:space="0" w:color="auto"/>
                                    <w:right w:val="none" w:sz="0" w:space="0" w:color="auto"/>
                                  </w:divBdr>
                                  <w:divsChild>
                                    <w:div w:id="1974405254">
                                      <w:marLeft w:val="0"/>
                                      <w:marRight w:val="0"/>
                                      <w:marTop w:val="0"/>
                                      <w:marBottom w:val="0"/>
                                      <w:divBdr>
                                        <w:top w:val="none" w:sz="0" w:space="0" w:color="auto"/>
                                        <w:left w:val="none" w:sz="0" w:space="0" w:color="auto"/>
                                        <w:bottom w:val="none" w:sz="0" w:space="0" w:color="auto"/>
                                        <w:right w:val="none" w:sz="0" w:space="0" w:color="auto"/>
                                      </w:divBdr>
                                      <w:divsChild>
                                        <w:div w:id="14313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3576569">
      <w:bodyDiv w:val="1"/>
      <w:marLeft w:val="0"/>
      <w:marRight w:val="0"/>
      <w:marTop w:val="0"/>
      <w:marBottom w:val="0"/>
      <w:divBdr>
        <w:top w:val="none" w:sz="0" w:space="0" w:color="auto"/>
        <w:left w:val="none" w:sz="0" w:space="0" w:color="auto"/>
        <w:bottom w:val="none" w:sz="0" w:space="0" w:color="auto"/>
        <w:right w:val="none" w:sz="0" w:space="0" w:color="auto"/>
      </w:divBdr>
      <w:divsChild>
        <w:div w:id="159467775">
          <w:marLeft w:val="0"/>
          <w:marRight w:val="0"/>
          <w:marTop w:val="0"/>
          <w:marBottom w:val="0"/>
          <w:divBdr>
            <w:top w:val="none" w:sz="0" w:space="0" w:color="auto"/>
            <w:left w:val="none" w:sz="0" w:space="0" w:color="auto"/>
            <w:bottom w:val="none" w:sz="0" w:space="0" w:color="auto"/>
            <w:right w:val="none" w:sz="0" w:space="0" w:color="auto"/>
          </w:divBdr>
          <w:divsChild>
            <w:div w:id="104447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626720">
      <w:bodyDiv w:val="1"/>
      <w:marLeft w:val="0"/>
      <w:marRight w:val="0"/>
      <w:marTop w:val="0"/>
      <w:marBottom w:val="0"/>
      <w:divBdr>
        <w:top w:val="none" w:sz="0" w:space="0" w:color="auto"/>
        <w:left w:val="none" w:sz="0" w:space="0" w:color="auto"/>
        <w:bottom w:val="none" w:sz="0" w:space="0" w:color="auto"/>
        <w:right w:val="none" w:sz="0" w:space="0" w:color="auto"/>
      </w:divBdr>
      <w:divsChild>
        <w:div w:id="198592137">
          <w:marLeft w:val="0"/>
          <w:marRight w:val="0"/>
          <w:marTop w:val="0"/>
          <w:marBottom w:val="0"/>
          <w:divBdr>
            <w:top w:val="none" w:sz="0" w:space="0" w:color="auto"/>
            <w:left w:val="none" w:sz="0" w:space="0" w:color="auto"/>
            <w:bottom w:val="single" w:sz="12" w:space="0" w:color="2B3A41"/>
            <w:right w:val="none" w:sz="0" w:space="0" w:color="auto"/>
          </w:divBdr>
          <w:divsChild>
            <w:div w:id="630137278">
              <w:marLeft w:val="0"/>
              <w:marRight w:val="0"/>
              <w:marTop w:val="0"/>
              <w:marBottom w:val="0"/>
              <w:divBdr>
                <w:top w:val="none" w:sz="0" w:space="0" w:color="auto"/>
                <w:left w:val="none" w:sz="0" w:space="0" w:color="auto"/>
                <w:bottom w:val="none" w:sz="0" w:space="0" w:color="auto"/>
                <w:right w:val="none" w:sz="0" w:space="0" w:color="auto"/>
              </w:divBdr>
            </w:div>
            <w:div w:id="2049333592">
              <w:marLeft w:val="0"/>
              <w:marRight w:val="0"/>
              <w:marTop w:val="0"/>
              <w:marBottom w:val="0"/>
              <w:divBdr>
                <w:top w:val="none" w:sz="0" w:space="0" w:color="auto"/>
                <w:left w:val="none" w:sz="0" w:space="0" w:color="auto"/>
                <w:bottom w:val="none" w:sz="0" w:space="0" w:color="auto"/>
                <w:right w:val="none" w:sz="0" w:space="0" w:color="auto"/>
              </w:divBdr>
            </w:div>
          </w:divsChild>
        </w:div>
        <w:div w:id="510293691">
          <w:marLeft w:val="0"/>
          <w:marRight w:val="0"/>
          <w:marTop w:val="0"/>
          <w:marBottom w:val="60"/>
          <w:divBdr>
            <w:top w:val="none" w:sz="0" w:space="0" w:color="auto"/>
            <w:left w:val="none" w:sz="0" w:space="0" w:color="auto"/>
            <w:bottom w:val="none" w:sz="0" w:space="0" w:color="auto"/>
            <w:right w:val="none" w:sz="0" w:space="0" w:color="auto"/>
          </w:divBdr>
          <w:divsChild>
            <w:div w:id="42338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45357">
      <w:bodyDiv w:val="1"/>
      <w:marLeft w:val="0"/>
      <w:marRight w:val="0"/>
      <w:marTop w:val="0"/>
      <w:marBottom w:val="0"/>
      <w:divBdr>
        <w:top w:val="none" w:sz="0" w:space="0" w:color="auto"/>
        <w:left w:val="none" w:sz="0" w:space="0" w:color="auto"/>
        <w:bottom w:val="none" w:sz="0" w:space="0" w:color="auto"/>
        <w:right w:val="none" w:sz="0" w:space="0" w:color="auto"/>
      </w:divBdr>
      <w:divsChild>
        <w:div w:id="1874338581">
          <w:marLeft w:val="0"/>
          <w:marRight w:val="0"/>
          <w:marTop w:val="0"/>
          <w:marBottom w:val="0"/>
          <w:divBdr>
            <w:top w:val="none" w:sz="0" w:space="0" w:color="auto"/>
            <w:left w:val="none" w:sz="0" w:space="0" w:color="auto"/>
            <w:bottom w:val="none" w:sz="0" w:space="0" w:color="auto"/>
            <w:right w:val="none" w:sz="0" w:space="0" w:color="auto"/>
          </w:divBdr>
        </w:div>
      </w:divsChild>
    </w:div>
    <w:div w:id="2094012598">
      <w:bodyDiv w:val="1"/>
      <w:marLeft w:val="0"/>
      <w:marRight w:val="0"/>
      <w:marTop w:val="0"/>
      <w:marBottom w:val="0"/>
      <w:divBdr>
        <w:top w:val="none" w:sz="0" w:space="0" w:color="auto"/>
        <w:left w:val="none" w:sz="0" w:space="0" w:color="auto"/>
        <w:bottom w:val="none" w:sz="0" w:space="0" w:color="auto"/>
        <w:right w:val="none" w:sz="0" w:space="0" w:color="auto"/>
      </w:divBdr>
      <w:divsChild>
        <w:div w:id="648441346">
          <w:marLeft w:val="0"/>
          <w:marRight w:val="0"/>
          <w:marTop w:val="0"/>
          <w:marBottom w:val="0"/>
          <w:divBdr>
            <w:top w:val="none" w:sz="0" w:space="0" w:color="auto"/>
            <w:left w:val="none" w:sz="0" w:space="0" w:color="auto"/>
            <w:bottom w:val="none" w:sz="0" w:space="0" w:color="auto"/>
            <w:right w:val="none" w:sz="0" w:space="0" w:color="auto"/>
          </w:divBdr>
          <w:divsChild>
            <w:div w:id="20665841">
              <w:marLeft w:val="0"/>
              <w:marRight w:val="0"/>
              <w:marTop w:val="0"/>
              <w:marBottom w:val="0"/>
              <w:divBdr>
                <w:top w:val="none" w:sz="0" w:space="0" w:color="auto"/>
                <w:left w:val="none" w:sz="0" w:space="0" w:color="auto"/>
                <w:bottom w:val="none" w:sz="0" w:space="0" w:color="auto"/>
                <w:right w:val="none" w:sz="0" w:space="0" w:color="auto"/>
              </w:divBdr>
              <w:divsChild>
                <w:div w:id="1681077375">
                  <w:marLeft w:val="0"/>
                  <w:marRight w:val="0"/>
                  <w:marTop w:val="0"/>
                  <w:marBottom w:val="0"/>
                  <w:divBdr>
                    <w:top w:val="none" w:sz="0" w:space="0" w:color="auto"/>
                    <w:left w:val="none" w:sz="0" w:space="0" w:color="auto"/>
                    <w:bottom w:val="none" w:sz="0" w:space="0" w:color="auto"/>
                    <w:right w:val="none" w:sz="0" w:space="0" w:color="auto"/>
                  </w:divBdr>
                  <w:divsChild>
                    <w:div w:id="1288582811">
                      <w:marLeft w:val="0"/>
                      <w:marRight w:val="0"/>
                      <w:marTop w:val="0"/>
                      <w:marBottom w:val="0"/>
                      <w:divBdr>
                        <w:top w:val="none" w:sz="0" w:space="0" w:color="auto"/>
                        <w:left w:val="none" w:sz="0" w:space="0" w:color="auto"/>
                        <w:bottom w:val="none" w:sz="0" w:space="0" w:color="auto"/>
                        <w:right w:val="none" w:sz="0" w:space="0" w:color="auto"/>
                      </w:divBdr>
                      <w:divsChild>
                        <w:div w:id="1121995373">
                          <w:marLeft w:val="0"/>
                          <w:marRight w:val="0"/>
                          <w:marTop w:val="0"/>
                          <w:marBottom w:val="0"/>
                          <w:divBdr>
                            <w:top w:val="none" w:sz="0" w:space="0" w:color="auto"/>
                            <w:left w:val="none" w:sz="0" w:space="0" w:color="auto"/>
                            <w:bottom w:val="none" w:sz="0" w:space="0" w:color="auto"/>
                            <w:right w:val="none" w:sz="0" w:space="0" w:color="auto"/>
                          </w:divBdr>
                          <w:divsChild>
                            <w:div w:id="338701320">
                              <w:marLeft w:val="0"/>
                              <w:marRight w:val="0"/>
                              <w:marTop w:val="0"/>
                              <w:marBottom w:val="0"/>
                              <w:divBdr>
                                <w:top w:val="none" w:sz="0" w:space="0" w:color="auto"/>
                                <w:left w:val="none" w:sz="0" w:space="0" w:color="auto"/>
                                <w:bottom w:val="none" w:sz="0" w:space="0" w:color="auto"/>
                                <w:right w:val="none" w:sz="0" w:space="0" w:color="auto"/>
                              </w:divBdr>
                              <w:divsChild>
                                <w:div w:id="1380202914">
                                  <w:marLeft w:val="0"/>
                                  <w:marRight w:val="0"/>
                                  <w:marTop w:val="0"/>
                                  <w:marBottom w:val="0"/>
                                  <w:divBdr>
                                    <w:top w:val="none" w:sz="0" w:space="0" w:color="auto"/>
                                    <w:left w:val="none" w:sz="0" w:space="0" w:color="auto"/>
                                    <w:bottom w:val="none" w:sz="0" w:space="0" w:color="auto"/>
                                    <w:right w:val="none" w:sz="0" w:space="0" w:color="auto"/>
                                  </w:divBdr>
                                  <w:divsChild>
                                    <w:div w:id="855847965">
                                      <w:marLeft w:val="0"/>
                                      <w:marRight w:val="0"/>
                                      <w:marTop w:val="0"/>
                                      <w:marBottom w:val="0"/>
                                      <w:divBdr>
                                        <w:top w:val="none" w:sz="0" w:space="0" w:color="auto"/>
                                        <w:left w:val="none" w:sz="0" w:space="0" w:color="auto"/>
                                        <w:bottom w:val="none" w:sz="0" w:space="0" w:color="auto"/>
                                        <w:right w:val="none" w:sz="0" w:space="0" w:color="auto"/>
                                      </w:divBdr>
                                      <w:divsChild>
                                        <w:div w:id="168836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426211">
      <w:bodyDiv w:val="1"/>
      <w:marLeft w:val="0"/>
      <w:marRight w:val="0"/>
      <w:marTop w:val="0"/>
      <w:marBottom w:val="0"/>
      <w:divBdr>
        <w:top w:val="none" w:sz="0" w:space="0" w:color="auto"/>
        <w:left w:val="none" w:sz="0" w:space="0" w:color="auto"/>
        <w:bottom w:val="none" w:sz="0" w:space="0" w:color="auto"/>
        <w:right w:val="none" w:sz="0" w:space="0" w:color="auto"/>
      </w:divBdr>
      <w:divsChild>
        <w:div w:id="1059943198">
          <w:marLeft w:val="0"/>
          <w:marRight w:val="0"/>
          <w:marTop w:val="0"/>
          <w:marBottom w:val="150"/>
          <w:divBdr>
            <w:top w:val="none" w:sz="0" w:space="0" w:color="auto"/>
            <w:left w:val="none" w:sz="0" w:space="0" w:color="auto"/>
            <w:bottom w:val="none" w:sz="0" w:space="0" w:color="auto"/>
            <w:right w:val="none" w:sz="0" w:space="0" w:color="auto"/>
          </w:divBdr>
        </w:div>
      </w:divsChild>
    </w:div>
    <w:div w:id="2094467819">
      <w:bodyDiv w:val="1"/>
      <w:marLeft w:val="0"/>
      <w:marRight w:val="0"/>
      <w:marTop w:val="0"/>
      <w:marBottom w:val="0"/>
      <w:divBdr>
        <w:top w:val="none" w:sz="0" w:space="0" w:color="auto"/>
        <w:left w:val="none" w:sz="0" w:space="0" w:color="auto"/>
        <w:bottom w:val="none" w:sz="0" w:space="0" w:color="auto"/>
        <w:right w:val="none" w:sz="0" w:space="0" w:color="auto"/>
      </w:divBdr>
      <w:divsChild>
        <w:div w:id="1094545396">
          <w:marLeft w:val="0"/>
          <w:marRight w:val="0"/>
          <w:marTop w:val="0"/>
          <w:marBottom w:val="300"/>
          <w:divBdr>
            <w:top w:val="none" w:sz="0" w:space="0" w:color="auto"/>
            <w:left w:val="none" w:sz="0" w:space="0" w:color="auto"/>
            <w:bottom w:val="none" w:sz="0" w:space="0" w:color="auto"/>
            <w:right w:val="none" w:sz="0" w:space="0" w:color="auto"/>
          </w:divBdr>
          <w:divsChild>
            <w:div w:id="1811169176">
              <w:marLeft w:val="0"/>
              <w:marRight w:val="0"/>
              <w:marTop w:val="0"/>
              <w:marBottom w:val="0"/>
              <w:divBdr>
                <w:top w:val="none" w:sz="0" w:space="0" w:color="auto"/>
                <w:left w:val="none" w:sz="0" w:space="0" w:color="auto"/>
                <w:bottom w:val="none" w:sz="0" w:space="0" w:color="auto"/>
                <w:right w:val="none" w:sz="0" w:space="0" w:color="auto"/>
              </w:divBdr>
              <w:divsChild>
                <w:div w:id="791437348">
                  <w:marLeft w:val="0"/>
                  <w:marRight w:val="0"/>
                  <w:marTop w:val="0"/>
                  <w:marBottom w:val="0"/>
                  <w:divBdr>
                    <w:top w:val="none" w:sz="0" w:space="0" w:color="auto"/>
                    <w:left w:val="none" w:sz="0" w:space="0" w:color="auto"/>
                    <w:bottom w:val="none" w:sz="0" w:space="0" w:color="auto"/>
                    <w:right w:val="none" w:sz="0" w:space="0" w:color="auto"/>
                  </w:divBdr>
                  <w:divsChild>
                    <w:div w:id="794103166">
                      <w:marLeft w:val="0"/>
                      <w:marRight w:val="0"/>
                      <w:marTop w:val="0"/>
                      <w:marBottom w:val="225"/>
                      <w:divBdr>
                        <w:top w:val="none" w:sz="0" w:space="0" w:color="2D2D2D"/>
                        <w:left w:val="none" w:sz="0" w:space="0" w:color="2D2D2D"/>
                        <w:bottom w:val="none" w:sz="0" w:space="0" w:color="2D2D2D"/>
                        <w:right w:val="none" w:sz="0" w:space="0" w:color="2D2D2D"/>
                      </w:divBdr>
                      <w:divsChild>
                        <w:div w:id="882063872">
                          <w:marLeft w:val="0"/>
                          <w:marRight w:val="0"/>
                          <w:marTop w:val="120"/>
                          <w:marBottom w:val="150"/>
                          <w:divBdr>
                            <w:top w:val="none" w:sz="0" w:space="0" w:color="auto"/>
                            <w:left w:val="none" w:sz="0" w:space="0" w:color="auto"/>
                            <w:bottom w:val="none" w:sz="0" w:space="0" w:color="auto"/>
                            <w:right w:val="none" w:sz="0" w:space="0" w:color="auto"/>
                          </w:divBdr>
                          <w:divsChild>
                            <w:div w:id="193805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4542445">
      <w:bodyDiv w:val="1"/>
      <w:marLeft w:val="0"/>
      <w:marRight w:val="0"/>
      <w:marTop w:val="0"/>
      <w:marBottom w:val="0"/>
      <w:divBdr>
        <w:top w:val="none" w:sz="0" w:space="0" w:color="auto"/>
        <w:left w:val="none" w:sz="0" w:space="0" w:color="auto"/>
        <w:bottom w:val="none" w:sz="0" w:space="0" w:color="auto"/>
        <w:right w:val="none" w:sz="0" w:space="0" w:color="auto"/>
      </w:divBdr>
      <w:divsChild>
        <w:div w:id="1503205224">
          <w:marLeft w:val="0"/>
          <w:marRight w:val="0"/>
          <w:marTop w:val="0"/>
          <w:marBottom w:val="0"/>
          <w:divBdr>
            <w:top w:val="none" w:sz="0" w:space="0" w:color="auto"/>
            <w:left w:val="none" w:sz="0" w:space="0" w:color="auto"/>
            <w:bottom w:val="none" w:sz="0" w:space="0" w:color="auto"/>
            <w:right w:val="none" w:sz="0" w:space="0" w:color="auto"/>
          </w:divBdr>
          <w:divsChild>
            <w:div w:id="112142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94666705">
      <w:bodyDiv w:val="1"/>
      <w:marLeft w:val="0"/>
      <w:marRight w:val="0"/>
      <w:marTop w:val="0"/>
      <w:marBottom w:val="0"/>
      <w:divBdr>
        <w:top w:val="none" w:sz="0" w:space="0" w:color="auto"/>
        <w:left w:val="none" w:sz="0" w:space="0" w:color="auto"/>
        <w:bottom w:val="none" w:sz="0" w:space="0" w:color="auto"/>
        <w:right w:val="none" w:sz="0" w:space="0" w:color="auto"/>
      </w:divBdr>
    </w:div>
    <w:div w:id="2094739221">
      <w:bodyDiv w:val="1"/>
      <w:marLeft w:val="0"/>
      <w:marRight w:val="0"/>
      <w:marTop w:val="0"/>
      <w:marBottom w:val="0"/>
      <w:divBdr>
        <w:top w:val="none" w:sz="0" w:space="0" w:color="auto"/>
        <w:left w:val="none" w:sz="0" w:space="0" w:color="auto"/>
        <w:bottom w:val="none" w:sz="0" w:space="0" w:color="auto"/>
        <w:right w:val="none" w:sz="0" w:space="0" w:color="auto"/>
      </w:divBdr>
      <w:divsChild>
        <w:div w:id="238714299">
          <w:marLeft w:val="0"/>
          <w:marRight w:val="0"/>
          <w:marTop w:val="150"/>
          <w:marBottom w:val="0"/>
          <w:divBdr>
            <w:top w:val="none" w:sz="0" w:space="0" w:color="auto"/>
            <w:left w:val="none" w:sz="0" w:space="0" w:color="auto"/>
            <w:bottom w:val="none" w:sz="0" w:space="0" w:color="auto"/>
            <w:right w:val="none" w:sz="0" w:space="0" w:color="auto"/>
          </w:divBdr>
          <w:divsChild>
            <w:div w:id="1266691689">
              <w:marLeft w:val="0"/>
              <w:marRight w:val="0"/>
              <w:marTop w:val="0"/>
              <w:marBottom w:val="0"/>
              <w:divBdr>
                <w:top w:val="none" w:sz="0" w:space="0" w:color="auto"/>
                <w:left w:val="none" w:sz="0" w:space="0" w:color="auto"/>
                <w:bottom w:val="none" w:sz="0" w:space="0" w:color="auto"/>
                <w:right w:val="none" w:sz="0" w:space="0" w:color="auto"/>
              </w:divBdr>
              <w:divsChild>
                <w:div w:id="346174903">
                  <w:marLeft w:val="0"/>
                  <w:marRight w:val="0"/>
                  <w:marTop w:val="0"/>
                  <w:marBottom w:val="0"/>
                  <w:divBdr>
                    <w:top w:val="none" w:sz="0" w:space="0" w:color="auto"/>
                    <w:left w:val="none" w:sz="0" w:space="0" w:color="auto"/>
                    <w:bottom w:val="none" w:sz="0" w:space="0" w:color="auto"/>
                    <w:right w:val="none" w:sz="0" w:space="0" w:color="auto"/>
                  </w:divBdr>
                </w:div>
                <w:div w:id="90121029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55596550">
          <w:marLeft w:val="0"/>
          <w:marRight w:val="0"/>
          <w:marTop w:val="0"/>
          <w:marBottom w:val="0"/>
          <w:divBdr>
            <w:top w:val="none" w:sz="0" w:space="0" w:color="auto"/>
            <w:left w:val="none" w:sz="0" w:space="0" w:color="auto"/>
            <w:bottom w:val="none" w:sz="0" w:space="0" w:color="auto"/>
            <w:right w:val="none" w:sz="0" w:space="0" w:color="auto"/>
          </w:divBdr>
          <w:divsChild>
            <w:div w:id="70348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34375">
      <w:bodyDiv w:val="1"/>
      <w:marLeft w:val="0"/>
      <w:marRight w:val="0"/>
      <w:marTop w:val="0"/>
      <w:marBottom w:val="0"/>
      <w:divBdr>
        <w:top w:val="none" w:sz="0" w:space="0" w:color="auto"/>
        <w:left w:val="none" w:sz="0" w:space="0" w:color="auto"/>
        <w:bottom w:val="none" w:sz="0" w:space="0" w:color="auto"/>
        <w:right w:val="none" w:sz="0" w:space="0" w:color="auto"/>
      </w:divBdr>
      <w:divsChild>
        <w:div w:id="1395816353">
          <w:marLeft w:val="0"/>
          <w:marRight w:val="0"/>
          <w:marTop w:val="0"/>
          <w:marBottom w:val="0"/>
          <w:divBdr>
            <w:top w:val="none" w:sz="0" w:space="0" w:color="auto"/>
            <w:left w:val="none" w:sz="0" w:space="0" w:color="auto"/>
            <w:bottom w:val="none" w:sz="0" w:space="0" w:color="auto"/>
            <w:right w:val="none" w:sz="0" w:space="0" w:color="auto"/>
          </w:divBdr>
          <w:divsChild>
            <w:div w:id="751782472">
              <w:marLeft w:val="0"/>
              <w:marRight w:val="0"/>
              <w:marTop w:val="0"/>
              <w:marBottom w:val="0"/>
              <w:divBdr>
                <w:top w:val="none" w:sz="0" w:space="0" w:color="auto"/>
                <w:left w:val="none" w:sz="0" w:space="0" w:color="auto"/>
                <w:bottom w:val="none" w:sz="0" w:space="0" w:color="auto"/>
                <w:right w:val="none" w:sz="0" w:space="0" w:color="auto"/>
              </w:divBdr>
              <w:divsChild>
                <w:div w:id="2136436525">
                  <w:marLeft w:val="0"/>
                  <w:marRight w:val="0"/>
                  <w:marTop w:val="0"/>
                  <w:marBottom w:val="0"/>
                  <w:divBdr>
                    <w:top w:val="none" w:sz="0" w:space="0" w:color="auto"/>
                    <w:left w:val="none" w:sz="0" w:space="0" w:color="auto"/>
                    <w:bottom w:val="none" w:sz="0" w:space="0" w:color="auto"/>
                    <w:right w:val="none" w:sz="0" w:space="0" w:color="auto"/>
                  </w:divBdr>
                  <w:divsChild>
                    <w:div w:id="338195818">
                      <w:marLeft w:val="0"/>
                      <w:marRight w:val="0"/>
                      <w:marTop w:val="0"/>
                      <w:marBottom w:val="0"/>
                      <w:divBdr>
                        <w:top w:val="none" w:sz="0" w:space="0" w:color="auto"/>
                        <w:left w:val="none" w:sz="0" w:space="0" w:color="auto"/>
                        <w:bottom w:val="none" w:sz="0" w:space="0" w:color="auto"/>
                        <w:right w:val="none" w:sz="0" w:space="0" w:color="auto"/>
                      </w:divBdr>
                      <w:divsChild>
                        <w:div w:id="813178806">
                          <w:marLeft w:val="0"/>
                          <w:marRight w:val="0"/>
                          <w:marTop w:val="0"/>
                          <w:marBottom w:val="0"/>
                          <w:divBdr>
                            <w:top w:val="none" w:sz="0" w:space="0" w:color="auto"/>
                            <w:left w:val="none" w:sz="0" w:space="0" w:color="auto"/>
                            <w:bottom w:val="none" w:sz="0" w:space="0" w:color="auto"/>
                            <w:right w:val="none" w:sz="0" w:space="0" w:color="auto"/>
                          </w:divBdr>
                          <w:divsChild>
                            <w:div w:id="1791390522">
                              <w:marLeft w:val="0"/>
                              <w:marRight w:val="0"/>
                              <w:marTop w:val="0"/>
                              <w:marBottom w:val="0"/>
                              <w:divBdr>
                                <w:top w:val="none" w:sz="0" w:space="0" w:color="auto"/>
                                <w:left w:val="none" w:sz="0" w:space="0" w:color="auto"/>
                                <w:bottom w:val="none" w:sz="0" w:space="0" w:color="auto"/>
                                <w:right w:val="none" w:sz="0" w:space="0" w:color="auto"/>
                              </w:divBdr>
                              <w:divsChild>
                                <w:div w:id="390159796">
                                  <w:marLeft w:val="0"/>
                                  <w:marRight w:val="0"/>
                                  <w:marTop w:val="0"/>
                                  <w:marBottom w:val="0"/>
                                  <w:divBdr>
                                    <w:top w:val="none" w:sz="0" w:space="0" w:color="auto"/>
                                    <w:left w:val="none" w:sz="0" w:space="0" w:color="auto"/>
                                    <w:bottom w:val="none" w:sz="0" w:space="0" w:color="auto"/>
                                    <w:right w:val="none" w:sz="0" w:space="0" w:color="auto"/>
                                  </w:divBdr>
                                  <w:divsChild>
                                    <w:div w:id="1425298428">
                                      <w:marLeft w:val="0"/>
                                      <w:marRight w:val="0"/>
                                      <w:marTop w:val="0"/>
                                      <w:marBottom w:val="0"/>
                                      <w:divBdr>
                                        <w:top w:val="none" w:sz="0" w:space="0" w:color="auto"/>
                                        <w:left w:val="none" w:sz="0" w:space="0" w:color="auto"/>
                                        <w:bottom w:val="none" w:sz="0" w:space="0" w:color="auto"/>
                                        <w:right w:val="none" w:sz="0" w:space="0" w:color="auto"/>
                                      </w:divBdr>
                                      <w:divsChild>
                                        <w:div w:id="76206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5322413">
      <w:bodyDiv w:val="1"/>
      <w:marLeft w:val="0"/>
      <w:marRight w:val="0"/>
      <w:marTop w:val="0"/>
      <w:marBottom w:val="0"/>
      <w:divBdr>
        <w:top w:val="none" w:sz="0" w:space="0" w:color="auto"/>
        <w:left w:val="none" w:sz="0" w:space="0" w:color="auto"/>
        <w:bottom w:val="none" w:sz="0" w:space="0" w:color="auto"/>
        <w:right w:val="none" w:sz="0" w:space="0" w:color="auto"/>
      </w:divBdr>
    </w:div>
    <w:div w:id="2096003050">
      <w:bodyDiv w:val="1"/>
      <w:marLeft w:val="0"/>
      <w:marRight w:val="0"/>
      <w:marTop w:val="0"/>
      <w:marBottom w:val="0"/>
      <w:divBdr>
        <w:top w:val="none" w:sz="0" w:space="0" w:color="auto"/>
        <w:left w:val="none" w:sz="0" w:space="0" w:color="auto"/>
        <w:bottom w:val="none" w:sz="0" w:space="0" w:color="auto"/>
        <w:right w:val="none" w:sz="0" w:space="0" w:color="auto"/>
      </w:divBdr>
      <w:divsChild>
        <w:div w:id="1278416932">
          <w:marLeft w:val="0"/>
          <w:marRight w:val="0"/>
          <w:marTop w:val="0"/>
          <w:marBottom w:val="150"/>
          <w:divBdr>
            <w:top w:val="none" w:sz="0" w:space="0" w:color="auto"/>
            <w:left w:val="none" w:sz="0" w:space="0" w:color="auto"/>
            <w:bottom w:val="none" w:sz="0" w:space="0" w:color="auto"/>
            <w:right w:val="none" w:sz="0" w:space="0" w:color="auto"/>
          </w:divBdr>
        </w:div>
        <w:div w:id="1750350565">
          <w:marLeft w:val="0"/>
          <w:marRight w:val="0"/>
          <w:marTop w:val="0"/>
          <w:marBottom w:val="0"/>
          <w:divBdr>
            <w:top w:val="none" w:sz="0" w:space="0" w:color="auto"/>
            <w:left w:val="none" w:sz="0" w:space="0" w:color="auto"/>
            <w:bottom w:val="none" w:sz="0" w:space="0" w:color="auto"/>
            <w:right w:val="none" w:sz="0" w:space="0" w:color="auto"/>
          </w:divBdr>
        </w:div>
      </w:divsChild>
    </w:div>
    <w:div w:id="2096703918">
      <w:bodyDiv w:val="1"/>
      <w:marLeft w:val="0"/>
      <w:marRight w:val="0"/>
      <w:marTop w:val="0"/>
      <w:marBottom w:val="0"/>
      <w:divBdr>
        <w:top w:val="none" w:sz="0" w:space="0" w:color="auto"/>
        <w:left w:val="none" w:sz="0" w:space="0" w:color="auto"/>
        <w:bottom w:val="none" w:sz="0" w:space="0" w:color="auto"/>
        <w:right w:val="none" w:sz="0" w:space="0" w:color="auto"/>
      </w:divBdr>
    </w:div>
    <w:div w:id="2096780869">
      <w:bodyDiv w:val="1"/>
      <w:marLeft w:val="0"/>
      <w:marRight w:val="0"/>
      <w:marTop w:val="0"/>
      <w:marBottom w:val="0"/>
      <w:divBdr>
        <w:top w:val="none" w:sz="0" w:space="0" w:color="auto"/>
        <w:left w:val="none" w:sz="0" w:space="0" w:color="auto"/>
        <w:bottom w:val="none" w:sz="0" w:space="0" w:color="auto"/>
        <w:right w:val="none" w:sz="0" w:space="0" w:color="auto"/>
      </w:divBdr>
      <w:divsChild>
        <w:div w:id="873930146">
          <w:marLeft w:val="0"/>
          <w:marRight w:val="0"/>
          <w:marTop w:val="0"/>
          <w:marBottom w:val="0"/>
          <w:divBdr>
            <w:top w:val="none" w:sz="0" w:space="0" w:color="auto"/>
            <w:left w:val="none" w:sz="0" w:space="0" w:color="auto"/>
            <w:bottom w:val="none" w:sz="0" w:space="0" w:color="auto"/>
            <w:right w:val="none" w:sz="0" w:space="0" w:color="auto"/>
          </w:divBdr>
          <w:divsChild>
            <w:div w:id="395007914">
              <w:marLeft w:val="0"/>
              <w:marRight w:val="0"/>
              <w:marTop w:val="0"/>
              <w:marBottom w:val="0"/>
              <w:divBdr>
                <w:top w:val="none" w:sz="0" w:space="0" w:color="auto"/>
                <w:left w:val="none" w:sz="0" w:space="0" w:color="auto"/>
                <w:bottom w:val="none" w:sz="0" w:space="0" w:color="auto"/>
                <w:right w:val="none" w:sz="0" w:space="0" w:color="auto"/>
              </w:divBdr>
              <w:divsChild>
                <w:div w:id="202520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995718">
          <w:marLeft w:val="0"/>
          <w:marRight w:val="0"/>
          <w:marTop w:val="0"/>
          <w:marBottom w:val="75"/>
          <w:divBdr>
            <w:top w:val="none" w:sz="0" w:space="0" w:color="auto"/>
            <w:left w:val="none" w:sz="0" w:space="0" w:color="auto"/>
            <w:bottom w:val="none" w:sz="0" w:space="0" w:color="auto"/>
            <w:right w:val="none" w:sz="0" w:space="0" w:color="auto"/>
          </w:divBdr>
        </w:div>
        <w:div w:id="1809199444">
          <w:marLeft w:val="0"/>
          <w:marRight w:val="0"/>
          <w:marTop w:val="0"/>
          <w:marBottom w:val="0"/>
          <w:divBdr>
            <w:top w:val="none" w:sz="0" w:space="0" w:color="auto"/>
            <w:left w:val="none" w:sz="0" w:space="0" w:color="auto"/>
            <w:bottom w:val="none" w:sz="0" w:space="0" w:color="auto"/>
            <w:right w:val="none" w:sz="0" w:space="0" w:color="auto"/>
          </w:divBdr>
        </w:div>
      </w:divsChild>
    </w:div>
    <w:div w:id="2097046507">
      <w:bodyDiv w:val="1"/>
      <w:marLeft w:val="0"/>
      <w:marRight w:val="0"/>
      <w:marTop w:val="0"/>
      <w:marBottom w:val="0"/>
      <w:divBdr>
        <w:top w:val="none" w:sz="0" w:space="0" w:color="auto"/>
        <w:left w:val="none" w:sz="0" w:space="0" w:color="auto"/>
        <w:bottom w:val="none" w:sz="0" w:space="0" w:color="auto"/>
        <w:right w:val="none" w:sz="0" w:space="0" w:color="auto"/>
      </w:divBdr>
      <w:divsChild>
        <w:div w:id="403142530">
          <w:marLeft w:val="0"/>
          <w:marRight w:val="0"/>
          <w:marTop w:val="150"/>
          <w:marBottom w:val="0"/>
          <w:divBdr>
            <w:top w:val="none" w:sz="0" w:space="0" w:color="auto"/>
            <w:left w:val="none" w:sz="0" w:space="0" w:color="auto"/>
            <w:bottom w:val="none" w:sz="0" w:space="0" w:color="auto"/>
            <w:right w:val="none" w:sz="0" w:space="0" w:color="auto"/>
          </w:divBdr>
        </w:div>
        <w:div w:id="1554923741">
          <w:marLeft w:val="0"/>
          <w:marRight w:val="0"/>
          <w:marTop w:val="0"/>
          <w:marBottom w:val="225"/>
          <w:divBdr>
            <w:top w:val="none" w:sz="0" w:space="0" w:color="auto"/>
            <w:left w:val="none" w:sz="0" w:space="0" w:color="auto"/>
            <w:bottom w:val="none" w:sz="0" w:space="0" w:color="auto"/>
            <w:right w:val="none" w:sz="0" w:space="0" w:color="auto"/>
          </w:divBdr>
          <w:divsChild>
            <w:div w:id="1353917098">
              <w:marLeft w:val="960"/>
              <w:marRight w:val="0"/>
              <w:marTop w:val="300"/>
              <w:marBottom w:val="600"/>
              <w:divBdr>
                <w:top w:val="none" w:sz="0" w:space="0" w:color="auto"/>
                <w:left w:val="single" w:sz="6" w:space="23" w:color="999999"/>
                <w:bottom w:val="none" w:sz="0" w:space="0" w:color="auto"/>
                <w:right w:val="none" w:sz="0" w:space="0" w:color="auto"/>
              </w:divBdr>
              <w:divsChild>
                <w:div w:id="146304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018231">
      <w:bodyDiv w:val="1"/>
      <w:marLeft w:val="0"/>
      <w:marRight w:val="0"/>
      <w:marTop w:val="0"/>
      <w:marBottom w:val="0"/>
      <w:divBdr>
        <w:top w:val="none" w:sz="0" w:space="0" w:color="auto"/>
        <w:left w:val="none" w:sz="0" w:space="0" w:color="auto"/>
        <w:bottom w:val="none" w:sz="0" w:space="0" w:color="auto"/>
        <w:right w:val="none" w:sz="0" w:space="0" w:color="auto"/>
      </w:divBdr>
      <w:divsChild>
        <w:div w:id="368144078">
          <w:marLeft w:val="0"/>
          <w:marRight w:val="0"/>
          <w:marTop w:val="0"/>
          <w:marBottom w:val="0"/>
          <w:divBdr>
            <w:top w:val="none" w:sz="0" w:space="0" w:color="auto"/>
            <w:left w:val="none" w:sz="0" w:space="0" w:color="auto"/>
            <w:bottom w:val="dotted" w:sz="6" w:space="4" w:color="DDDDDD"/>
            <w:right w:val="none" w:sz="0" w:space="0" w:color="auto"/>
          </w:divBdr>
          <w:divsChild>
            <w:div w:id="180951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205517">
      <w:bodyDiv w:val="1"/>
      <w:marLeft w:val="0"/>
      <w:marRight w:val="0"/>
      <w:marTop w:val="0"/>
      <w:marBottom w:val="0"/>
      <w:divBdr>
        <w:top w:val="none" w:sz="0" w:space="0" w:color="auto"/>
        <w:left w:val="none" w:sz="0" w:space="0" w:color="auto"/>
        <w:bottom w:val="none" w:sz="0" w:space="0" w:color="auto"/>
        <w:right w:val="none" w:sz="0" w:space="0" w:color="auto"/>
      </w:divBdr>
      <w:divsChild>
        <w:div w:id="1173909027">
          <w:marLeft w:val="0"/>
          <w:marRight w:val="0"/>
          <w:marTop w:val="0"/>
          <w:marBottom w:val="150"/>
          <w:divBdr>
            <w:top w:val="none" w:sz="0" w:space="0" w:color="auto"/>
            <w:left w:val="none" w:sz="0" w:space="0" w:color="auto"/>
            <w:bottom w:val="none" w:sz="0" w:space="0" w:color="auto"/>
            <w:right w:val="none" w:sz="0" w:space="0" w:color="auto"/>
          </w:divBdr>
          <w:divsChild>
            <w:div w:id="407075820">
              <w:marLeft w:val="0"/>
              <w:marRight w:val="0"/>
              <w:marTop w:val="0"/>
              <w:marBottom w:val="0"/>
              <w:divBdr>
                <w:top w:val="none" w:sz="0" w:space="0" w:color="auto"/>
                <w:left w:val="none" w:sz="0" w:space="0" w:color="auto"/>
                <w:bottom w:val="none" w:sz="0" w:space="0" w:color="auto"/>
                <w:right w:val="none" w:sz="0" w:space="0" w:color="auto"/>
              </w:divBdr>
            </w:div>
          </w:divsChild>
        </w:div>
        <w:div w:id="1430001836">
          <w:marLeft w:val="0"/>
          <w:marRight w:val="0"/>
          <w:marTop w:val="0"/>
          <w:marBottom w:val="150"/>
          <w:divBdr>
            <w:top w:val="none" w:sz="0" w:space="0" w:color="auto"/>
            <w:left w:val="none" w:sz="0" w:space="0" w:color="auto"/>
            <w:bottom w:val="none" w:sz="0" w:space="0" w:color="auto"/>
            <w:right w:val="none" w:sz="0" w:space="0" w:color="auto"/>
          </w:divBdr>
        </w:div>
        <w:div w:id="2022931254">
          <w:marLeft w:val="0"/>
          <w:marRight w:val="0"/>
          <w:marTop w:val="0"/>
          <w:marBottom w:val="0"/>
          <w:divBdr>
            <w:top w:val="none" w:sz="0" w:space="0" w:color="auto"/>
            <w:left w:val="none" w:sz="0" w:space="0" w:color="auto"/>
            <w:bottom w:val="none" w:sz="0" w:space="0" w:color="auto"/>
            <w:right w:val="none" w:sz="0" w:space="0" w:color="auto"/>
          </w:divBdr>
          <w:divsChild>
            <w:div w:id="33437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399764">
      <w:bodyDiv w:val="1"/>
      <w:marLeft w:val="0"/>
      <w:marRight w:val="0"/>
      <w:marTop w:val="0"/>
      <w:marBottom w:val="0"/>
      <w:divBdr>
        <w:top w:val="none" w:sz="0" w:space="0" w:color="auto"/>
        <w:left w:val="none" w:sz="0" w:space="0" w:color="auto"/>
        <w:bottom w:val="none" w:sz="0" w:space="0" w:color="auto"/>
        <w:right w:val="none" w:sz="0" w:space="0" w:color="auto"/>
      </w:divBdr>
      <w:divsChild>
        <w:div w:id="1120689591">
          <w:marLeft w:val="0"/>
          <w:marRight w:val="0"/>
          <w:marTop w:val="0"/>
          <w:marBottom w:val="150"/>
          <w:divBdr>
            <w:top w:val="none" w:sz="0" w:space="0" w:color="auto"/>
            <w:left w:val="none" w:sz="0" w:space="0" w:color="auto"/>
            <w:bottom w:val="none" w:sz="0" w:space="0" w:color="auto"/>
            <w:right w:val="none" w:sz="0" w:space="0" w:color="auto"/>
          </w:divBdr>
        </w:div>
        <w:div w:id="1536498124">
          <w:marLeft w:val="0"/>
          <w:marRight w:val="0"/>
          <w:marTop w:val="0"/>
          <w:marBottom w:val="150"/>
          <w:divBdr>
            <w:top w:val="none" w:sz="0" w:space="0" w:color="auto"/>
            <w:left w:val="none" w:sz="0" w:space="0" w:color="auto"/>
            <w:bottom w:val="none" w:sz="0" w:space="0" w:color="auto"/>
            <w:right w:val="none" w:sz="0" w:space="0" w:color="auto"/>
          </w:divBdr>
          <w:divsChild>
            <w:div w:id="2036032308">
              <w:marLeft w:val="0"/>
              <w:marRight w:val="0"/>
              <w:marTop w:val="0"/>
              <w:marBottom w:val="0"/>
              <w:divBdr>
                <w:top w:val="none" w:sz="0" w:space="0" w:color="auto"/>
                <w:left w:val="none" w:sz="0" w:space="0" w:color="auto"/>
                <w:bottom w:val="none" w:sz="0" w:space="0" w:color="auto"/>
                <w:right w:val="none" w:sz="0" w:space="0" w:color="auto"/>
              </w:divBdr>
              <w:divsChild>
                <w:div w:id="100166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764766">
          <w:marLeft w:val="0"/>
          <w:marRight w:val="0"/>
          <w:marTop w:val="0"/>
          <w:marBottom w:val="0"/>
          <w:divBdr>
            <w:top w:val="none" w:sz="0" w:space="0" w:color="auto"/>
            <w:left w:val="none" w:sz="0" w:space="0" w:color="auto"/>
            <w:bottom w:val="none" w:sz="0" w:space="0" w:color="auto"/>
            <w:right w:val="none" w:sz="0" w:space="0" w:color="auto"/>
          </w:divBdr>
          <w:divsChild>
            <w:div w:id="5827587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00131293">
      <w:bodyDiv w:val="1"/>
      <w:marLeft w:val="0"/>
      <w:marRight w:val="0"/>
      <w:marTop w:val="0"/>
      <w:marBottom w:val="0"/>
      <w:divBdr>
        <w:top w:val="none" w:sz="0" w:space="0" w:color="auto"/>
        <w:left w:val="none" w:sz="0" w:space="0" w:color="auto"/>
        <w:bottom w:val="none" w:sz="0" w:space="0" w:color="auto"/>
        <w:right w:val="none" w:sz="0" w:space="0" w:color="auto"/>
      </w:divBdr>
      <w:divsChild>
        <w:div w:id="624429423">
          <w:marLeft w:val="0"/>
          <w:marRight w:val="0"/>
          <w:marTop w:val="0"/>
          <w:marBottom w:val="0"/>
          <w:divBdr>
            <w:top w:val="none" w:sz="0" w:space="0" w:color="auto"/>
            <w:left w:val="none" w:sz="0" w:space="0" w:color="auto"/>
            <w:bottom w:val="none" w:sz="0" w:space="0" w:color="auto"/>
            <w:right w:val="none" w:sz="0" w:space="0" w:color="auto"/>
          </w:divBdr>
        </w:div>
        <w:div w:id="1318612416">
          <w:marLeft w:val="0"/>
          <w:marRight w:val="0"/>
          <w:marTop w:val="0"/>
          <w:marBottom w:val="150"/>
          <w:divBdr>
            <w:top w:val="none" w:sz="0" w:space="0" w:color="auto"/>
            <w:left w:val="none" w:sz="0" w:space="0" w:color="auto"/>
            <w:bottom w:val="none" w:sz="0" w:space="0" w:color="auto"/>
            <w:right w:val="none" w:sz="0" w:space="0" w:color="auto"/>
          </w:divBdr>
        </w:div>
      </w:divsChild>
    </w:div>
    <w:div w:id="2100252338">
      <w:bodyDiv w:val="1"/>
      <w:marLeft w:val="0"/>
      <w:marRight w:val="0"/>
      <w:marTop w:val="0"/>
      <w:marBottom w:val="0"/>
      <w:divBdr>
        <w:top w:val="none" w:sz="0" w:space="0" w:color="auto"/>
        <w:left w:val="none" w:sz="0" w:space="0" w:color="auto"/>
        <w:bottom w:val="none" w:sz="0" w:space="0" w:color="auto"/>
        <w:right w:val="none" w:sz="0" w:space="0" w:color="auto"/>
      </w:divBdr>
    </w:div>
    <w:div w:id="2100521663">
      <w:bodyDiv w:val="1"/>
      <w:marLeft w:val="0"/>
      <w:marRight w:val="0"/>
      <w:marTop w:val="0"/>
      <w:marBottom w:val="0"/>
      <w:divBdr>
        <w:top w:val="none" w:sz="0" w:space="0" w:color="auto"/>
        <w:left w:val="none" w:sz="0" w:space="0" w:color="auto"/>
        <w:bottom w:val="none" w:sz="0" w:space="0" w:color="auto"/>
        <w:right w:val="none" w:sz="0" w:space="0" w:color="auto"/>
      </w:divBdr>
      <w:divsChild>
        <w:div w:id="1887134146">
          <w:marLeft w:val="0"/>
          <w:marRight w:val="0"/>
          <w:marTop w:val="0"/>
          <w:marBottom w:val="150"/>
          <w:divBdr>
            <w:top w:val="none" w:sz="0" w:space="0" w:color="auto"/>
            <w:left w:val="none" w:sz="0" w:space="0" w:color="auto"/>
            <w:bottom w:val="none" w:sz="0" w:space="0" w:color="auto"/>
            <w:right w:val="none" w:sz="0" w:space="0" w:color="auto"/>
          </w:divBdr>
        </w:div>
      </w:divsChild>
    </w:div>
    <w:div w:id="2100564761">
      <w:bodyDiv w:val="1"/>
      <w:marLeft w:val="0"/>
      <w:marRight w:val="0"/>
      <w:marTop w:val="0"/>
      <w:marBottom w:val="0"/>
      <w:divBdr>
        <w:top w:val="none" w:sz="0" w:space="0" w:color="auto"/>
        <w:left w:val="none" w:sz="0" w:space="0" w:color="auto"/>
        <w:bottom w:val="none" w:sz="0" w:space="0" w:color="auto"/>
        <w:right w:val="none" w:sz="0" w:space="0" w:color="auto"/>
      </w:divBdr>
    </w:div>
    <w:div w:id="2100637410">
      <w:bodyDiv w:val="1"/>
      <w:marLeft w:val="0"/>
      <w:marRight w:val="0"/>
      <w:marTop w:val="0"/>
      <w:marBottom w:val="0"/>
      <w:divBdr>
        <w:top w:val="none" w:sz="0" w:space="0" w:color="auto"/>
        <w:left w:val="none" w:sz="0" w:space="0" w:color="auto"/>
        <w:bottom w:val="none" w:sz="0" w:space="0" w:color="auto"/>
        <w:right w:val="none" w:sz="0" w:space="0" w:color="auto"/>
      </w:divBdr>
      <w:divsChild>
        <w:div w:id="720863061">
          <w:marLeft w:val="0"/>
          <w:marRight w:val="0"/>
          <w:marTop w:val="0"/>
          <w:marBottom w:val="0"/>
          <w:divBdr>
            <w:top w:val="none" w:sz="0" w:space="0" w:color="auto"/>
            <w:left w:val="none" w:sz="0" w:space="0" w:color="auto"/>
            <w:bottom w:val="none" w:sz="0" w:space="0" w:color="auto"/>
            <w:right w:val="none" w:sz="0" w:space="0" w:color="auto"/>
          </w:divBdr>
        </w:div>
      </w:divsChild>
    </w:div>
    <w:div w:id="2101362956">
      <w:bodyDiv w:val="1"/>
      <w:marLeft w:val="0"/>
      <w:marRight w:val="0"/>
      <w:marTop w:val="0"/>
      <w:marBottom w:val="0"/>
      <w:divBdr>
        <w:top w:val="none" w:sz="0" w:space="0" w:color="auto"/>
        <w:left w:val="none" w:sz="0" w:space="0" w:color="auto"/>
        <w:bottom w:val="none" w:sz="0" w:space="0" w:color="auto"/>
        <w:right w:val="none" w:sz="0" w:space="0" w:color="auto"/>
      </w:divBdr>
      <w:divsChild>
        <w:div w:id="629171476">
          <w:marLeft w:val="0"/>
          <w:marRight w:val="0"/>
          <w:marTop w:val="0"/>
          <w:marBottom w:val="150"/>
          <w:divBdr>
            <w:top w:val="none" w:sz="0" w:space="0" w:color="auto"/>
            <w:left w:val="none" w:sz="0" w:space="0" w:color="auto"/>
            <w:bottom w:val="none" w:sz="0" w:space="0" w:color="auto"/>
            <w:right w:val="none" w:sz="0" w:space="0" w:color="auto"/>
          </w:divBdr>
          <w:divsChild>
            <w:div w:id="855922892">
              <w:marLeft w:val="0"/>
              <w:marRight w:val="0"/>
              <w:marTop w:val="0"/>
              <w:marBottom w:val="0"/>
              <w:divBdr>
                <w:top w:val="none" w:sz="0" w:space="0" w:color="auto"/>
                <w:left w:val="none" w:sz="0" w:space="0" w:color="auto"/>
                <w:bottom w:val="none" w:sz="0" w:space="0" w:color="auto"/>
                <w:right w:val="none" w:sz="0" w:space="0" w:color="auto"/>
              </w:divBdr>
              <w:divsChild>
                <w:div w:id="1720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528033">
          <w:marLeft w:val="0"/>
          <w:marRight w:val="0"/>
          <w:marTop w:val="0"/>
          <w:marBottom w:val="150"/>
          <w:divBdr>
            <w:top w:val="none" w:sz="0" w:space="0" w:color="auto"/>
            <w:left w:val="none" w:sz="0" w:space="0" w:color="auto"/>
            <w:bottom w:val="none" w:sz="0" w:space="0" w:color="auto"/>
            <w:right w:val="none" w:sz="0" w:space="0" w:color="auto"/>
          </w:divBdr>
        </w:div>
        <w:div w:id="1894273954">
          <w:marLeft w:val="0"/>
          <w:marRight w:val="0"/>
          <w:marTop w:val="0"/>
          <w:marBottom w:val="0"/>
          <w:divBdr>
            <w:top w:val="none" w:sz="0" w:space="0" w:color="auto"/>
            <w:left w:val="none" w:sz="0" w:space="0" w:color="auto"/>
            <w:bottom w:val="none" w:sz="0" w:space="0" w:color="auto"/>
            <w:right w:val="none" w:sz="0" w:space="0" w:color="auto"/>
          </w:divBdr>
          <w:divsChild>
            <w:div w:id="21394931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01945118">
      <w:bodyDiv w:val="1"/>
      <w:marLeft w:val="0"/>
      <w:marRight w:val="0"/>
      <w:marTop w:val="0"/>
      <w:marBottom w:val="0"/>
      <w:divBdr>
        <w:top w:val="none" w:sz="0" w:space="0" w:color="auto"/>
        <w:left w:val="none" w:sz="0" w:space="0" w:color="auto"/>
        <w:bottom w:val="none" w:sz="0" w:space="0" w:color="auto"/>
        <w:right w:val="none" w:sz="0" w:space="0" w:color="auto"/>
      </w:divBdr>
      <w:divsChild>
        <w:div w:id="6757495">
          <w:marLeft w:val="0"/>
          <w:marRight w:val="0"/>
          <w:marTop w:val="0"/>
          <w:marBottom w:val="150"/>
          <w:divBdr>
            <w:top w:val="none" w:sz="0" w:space="0" w:color="auto"/>
            <w:left w:val="none" w:sz="0" w:space="0" w:color="auto"/>
            <w:bottom w:val="none" w:sz="0" w:space="0" w:color="auto"/>
            <w:right w:val="none" w:sz="0" w:space="0" w:color="auto"/>
          </w:divBdr>
          <w:divsChild>
            <w:div w:id="327633381">
              <w:marLeft w:val="0"/>
              <w:marRight w:val="0"/>
              <w:marTop w:val="0"/>
              <w:marBottom w:val="0"/>
              <w:divBdr>
                <w:top w:val="none" w:sz="0" w:space="0" w:color="auto"/>
                <w:left w:val="none" w:sz="0" w:space="0" w:color="auto"/>
                <w:bottom w:val="none" w:sz="0" w:space="0" w:color="auto"/>
                <w:right w:val="none" w:sz="0" w:space="0" w:color="auto"/>
              </w:divBdr>
            </w:div>
          </w:divsChild>
        </w:div>
        <w:div w:id="452209803">
          <w:marLeft w:val="0"/>
          <w:marRight w:val="0"/>
          <w:marTop w:val="0"/>
          <w:marBottom w:val="150"/>
          <w:divBdr>
            <w:top w:val="none" w:sz="0" w:space="0" w:color="auto"/>
            <w:left w:val="none" w:sz="0" w:space="0" w:color="auto"/>
            <w:bottom w:val="none" w:sz="0" w:space="0" w:color="auto"/>
            <w:right w:val="none" w:sz="0" w:space="0" w:color="auto"/>
          </w:divBdr>
        </w:div>
        <w:div w:id="1984654363">
          <w:marLeft w:val="0"/>
          <w:marRight w:val="0"/>
          <w:marTop w:val="0"/>
          <w:marBottom w:val="0"/>
          <w:divBdr>
            <w:top w:val="none" w:sz="0" w:space="0" w:color="auto"/>
            <w:left w:val="none" w:sz="0" w:space="0" w:color="auto"/>
            <w:bottom w:val="none" w:sz="0" w:space="0" w:color="auto"/>
            <w:right w:val="none" w:sz="0" w:space="0" w:color="auto"/>
          </w:divBdr>
          <w:divsChild>
            <w:div w:id="149796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213334">
      <w:bodyDiv w:val="1"/>
      <w:marLeft w:val="0"/>
      <w:marRight w:val="0"/>
      <w:marTop w:val="0"/>
      <w:marBottom w:val="0"/>
      <w:divBdr>
        <w:top w:val="none" w:sz="0" w:space="0" w:color="auto"/>
        <w:left w:val="none" w:sz="0" w:space="0" w:color="auto"/>
        <w:bottom w:val="none" w:sz="0" w:space="0" w:color="auto"/>
        <w:right w:val="none" w:sz="0" w:space="0" w:color="auto"/>
      </w:divBdr>
      <w:divsChild>
        <w:div w:id="1079907780">
          <w:marLeft w:val="0"/>
          <w:marRight w:val="0"/>
          <w:marTop w:val="0"/>
          <w:marBottom w:val="0"/>
          <w:divBdr>
            <w:top w:val="none" w:sz="0" w:space="0" w:color="auto"/>
            <w:left w:val="none" w:sz="0" w:space="0" w:color="auto"/>
            <w:bottom w:val="none" w:sz="0" w:space="0" w:color="auto"/>
            <w:right w:val="none" w:sz="0" w:space="0" w:color="auto"/>
          </w:divBdr>
        </w:div>
      </w:divsChild>
    </w:div>
    <w:div w:id="2102481648">
      <w:bodyDiv w:val="1"/>
      <w:marLeft w:val="0"/>
      <w:marRight w:val="0"/>
      <w:marTop w:val="0"/>
      <w:marBottom w:val="0"/>
      <w:divBdr>
        <w:top w:val="none" w:sz="0" w:space="0" w:color="auto"/>
        <w:left w:val="none" w:sz="0" w:space="0" w:color="auto"/>
        <w:bottom w:val="none" w:sz="0" w:space="0" w:color="auto"/>
        <w:right w:val="none" w:sz="0" w:space="0" w:color="auto"/>
      </w:divBdr>
      <w:divsChild>
        <w:div w:id="757558343">
          <w:marLeft w:val="0"/>
          <w:marRight w:val="0"/>
          <w:marTop w:val="0"/>
          <w:marBottom w:val="0"/>
          <w:divBdr>
            <w:top w:val="none" w:sz="0" w:space="0" w:color="auto"/>
            <w:left w:val="none" w:sz="0" w:space="0" w:color="auto"/>
            <w:bottom w:val="dotted" w:sz="6" w:space="4" w:color="DDDDDD"/>
            <w:right w:val="none" w:sz="0" w:space="0" w:color="auto"/>
          </w:divBdr>
        </w:div>
      </w:divsChild>
    </w:div>
    <w:div w:id="2102526318">
      <w:bodyDiv w:val="1"/>
      <w:marLeft w:val="0"/>
      <w:marRight w:val="0"/>
      <w:marTop w:val="0"/>
      <w:marBottom w:val="0"/>
      <w:divBdr>
        <w:top w:val="none" w:sz="0" w:space="0" w:color="auto"/>
        <w:left w:val="none" w:sz="0" w:space="0" w:color="auto"/>
        <w:bottom w:val="none" w:sz="0" w:space="0" w:color="auto"/>
        <w:right w:val="none" w:sz="0" w:space="0" w:color="auto"/>
      </w:divBdr>
      <w:divsChild>
        <w:div w:id="819426428">
          <w:marLeft w:val="0"/>
          <w:marRight w:val="0"/>
          <w:marTop w:val="0"/>
          <w:marBottom w:val="75"/>
          <w:divBdr>
            <w:top w:val="none" w:sz="0" w:space="0" w:color="auto"/>
            <w:left w:val="none" w:sz="0" w:space="0" w:color="auto"/>
            <w:bottom w:val="none" w:sz="0" w:space="0" w:color="auto"/>
            <w:right w:val="none" w:sz="0" w:space="0" w:color="auto"/>
          </w:divBdr>
        </w:div>
        <w:div w:id="1419984857">
          <w:marLeft w:val="0"/>
          <w:marRight w:val="0"/>
          <w:marTop w:val="0"/>
          <w:marBottom w:val="0"/>
          <w:divBdr>
            <w:top w:val="none" w:sz="0" w:space="0" w:color="auto"/>
            <w:left w:val="none" w:sz="0" w:space="0" w:color="auto"/>
            <w:bottom w:val="none" w:sz="0" w:space="0" w:color="auto"/>
            <w:right w:val="none" w:sz="0" w:space="0" w:color="auto"/>
          </w:divBdr>
        </w:div>
        <w:div w:id="1921210722">
          <w:marLeft w:val="0"/>
          <w:marRight w:val="0"/>
          <w:marTop w:val="0"/>
          <w:marBottom w:val="0"/>
          <w:divBdr>
            <w:top w:val="none" w:sz="0" w:space="0" w:color="auto"/>
            <w:left w:val="none" w:sz="0" w:space="0" w:color="auto"/>
            <w:bottom w:val="none" w:sz="0" w:space="0" w:color="auto"/>
            <w:right w:val="none" w:sz="0" w:space="0" w:color="auto"/>
          </w:divBdr>
          <w:divsChild>
            <w:div w:id="1953588120">
              <w:marLeft w:val="0"/>
              <w:marRight w:val="0"/>
              <w:marTop w:val="0"/>
              <w:marBottom w:val="0"/>
              <w:divBdr>
                <w:top w:val="none" w:sz="0" w:space="0" w:color="auto"/>
                <w:left w:val="none" w:sz="0" w:space="0" w:color="auto"/>
                <w:bottom w:val="none" w:sz="0" w:space="0" w:color="auto"/>
                <w:right w:val="none" w:sz="0" w:space="0" w:color="auto"/>
              </w:divBdr>
              <w:divsChild>
                <w:div w:id="211801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526785">
      <w:bodyDiv w:val="1"/>
      <w:marLeft w:val="0"/>
      <w:marRight w:val="0"/>
      <w:marTop w:val="0"/>
      <w:marBottom w:val="0"/>
      <w:divBdr>
        <w:top w:val="none" w:sz="0" w:space="0" w:color="auto"/>
        <w:left w:val="none" w:sz="0" w:space="0" w:color="auto"/>
        <w:bottom w:val="none" w:sz="0" w:space="0" w:color="auto"/>
        <w:right w:val="none" w:sz="0" w:space="0" w:color="auto"/>
      </w:divBdr>
      <w:divsChild>
        <w:div w:id="2083140792">
          <w:marLeft w:val="0"/>
          <w:marRight w:val="0"/>
          <w:marTop w:val="0"/>
          <w:marBottom w:val="0"/>
          <w:divBdr>
            <w:top w:val="none" w:sz="0" w:space="0" w:color="auto"/>
            <w:left w:val="none" w:sz="0" w:space="0" w:color="auto"/>
            <w:bottom w:val="none" w:sz="0" w:space="0" w:color="auto"/>
            <w:right w:val="none" w:sz="0" w:space="0" w:color="auto"/>
          </w:divBdr>
        </w:div>
      </w:divsChild>
    </w:div>
    <w:div w:id="2103186290">
      <w:bodyDiv w:val="1"/>
      <w:marLeft w:val="0"/>
      <w:marRight w:val="0"/>
      <w:marTop w:val="0"/>
      <w:marBottom w:val="0"/>
      <w:divBdr>
        <w:top w:val="none" w:sz="0" w:space="0" w:color="auto"/>
        <w:left w:val="none" w:sz="0" w:space="0" w:color="auto"/>
        <w:bottom w:val="none" w:sz="0" w:space="0" w:color="auto"/>
        <w:right w:val="none" w:sz="0" w:space="0" w:color="auto"/>
      </w:divBdr>
      <w:divsChild>
        <w:div w:id="589851568">
          <w:marLeft w:val="0"/>
          <w:marRight w:val="0"/>
          <w:marTop w:val="0"/>
          <w:marBottom w:val="450"/>
          <w:divBdr>
            <w:top w:val="none" w:sz="0" w:space="0" w:color="auto"/>
            <w:left w:val="none" w:sz="0" w:space="0" w:color="auto"/>
            <w:bottom w:val="single" w:sz="6" w:space="19" w:color="EEEEEE"/>
            <w:right w:val="none" w:sz="0" w:space="0" w:color="auto"/>
          </w:divBdr>
          <w:divsChild>
            <w:div w:id="1204518292">
              <w:marLeft w:val="0"/>
              <w:marRight w:val="0"/>
              <w:marTop w:val="0"/>
              <w:marBottom w:val="150"/>
              <w:divBdr>
                <w:top w:val="none" w:sz="0" w:space="0" w:color="auto"/>
                <w:left w:val="none" w:sz="0" w:space="0" w:color="auto"/>
                <w:bottom w:val="none" w:sz="0" w:space="0" w:color="auto"/>
                <w:right w:val="none" w:sz="0" w:space="0" w:color="auto"/>
              </w:divBdr>
              <w:divsChild>
                <w:div w:id="797912813">
                  <w:marLeft w:val="0"/>
                  <w:marRight w:val="0"/>
                  <w:marTop w:val="0"/>
                  <w:marBottom w:val="0"/>
                  <w:divBdr>
                    <w:top w:val="none" w:sz="0" w:space="0" w:color="auto"/>
                    <w:left w:val="none" w:sz="0" w:space="0" w:color="auto"/>
                    <w:bottom w:val="none" w:sz="0" w:space="0" w:color="auto"/>
                    <w:right w:val="none" w:sz="0" w:space="0" w:color="auto"/>
                  </w:divBdr>
                </w:div>
              </w:divsChild>
            </w:div>
            <w:div w:id="1042367016">
              <w:marLeft w:val="0"/>
              <w:marRight w:val="0"/>
              <w:marTop w:val="0"/>
              <w:marBottom w:val="0"/>
              <w:divBdr>
                <w:top w:val="none" w:sz="0" w:space="0" w:color="auto"/>
                <w:left w:val="none" w:sz="0" w:space="0" w:color="auto"/>
                <w:bottom w:val="none" w:sz="0" w:space="0" w:color="auto"/>
                <w:right w:val="none" w:sz="0" w:space="0" w:color="auto"/>
              </w:divBdr>
            </w:div>
          </w:divsChild>
        </w:div>
        <w:div w:id="965618954">
          <w:marLeft w:val="0"/>
          <w:marRight w:val="0"/>
          <w:marTop w:val="0"/>
          <w:marBottom w:val="0"/>
          <w:divBdr>
            <w:top w:val="none" w:sz="0" w:space="0" w:color="auto"/>
            <w:left w:val="none" w:sz="0" w:space="0" w:color="auto"/>
            <w:bottom w:val="none" w:sz="0" w:space="0" w:color="auto"/>
            <w:right w:val="none" w:sz="0" w:space="0" w:color="auto"/>
          </w:divBdr>
          <w:divsChild>
            <w:div w:id="886263378">
              <w:marLeft w:val="0"/>
              <w:marRight w:val="0"/>
              <w:marTop w:val="0"/>
              <w:marBottom w:val="0"/>
              <w:divBdr>
                <w:top w:val="none" w:sz="0" w:space="0" w:color="auto"/>
                <w:left w:val="none" w:sz="0" w:space="0" w:color="auto"/>
                <w:bottom w:val="none" w:sz="0" w:space="0" w:color="auto"/>
                <w:right w:val="none" w:sz="0" w:space="0" w:color="auto"/>
              </w:divBdr>
              <w:divsChild>
                <w:div w:id="39428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259353">
      <w:bodyDiv w:val="1"/>
      <w:marLeft w:val="0"/>
      <w:marRight w:val="0"/>
      <w:marTop w:val="0"/>
      <w:marBottom w:val="0"/>
      <w:divBdr>
        <w:top w:val="none" w:sz="0" w:space="0" w:color="auto"/>
        <w:left w:val="none" w:sz="0" w:space="0" w:color="auto"/>
        <w:bottom w:val="none" w:sz="0" w:space="0" w:color="auto"/>
        <w:right w:val="none" w:sz="0" w:space="0" w:color="auto"/>
      </w:divBdr>
    </w:div>
    <w:div w:id="2103645761">
      <w:bodyDiv w:val="1"/>
      <w:marLeft w:val="0"/>
      <w:marRight w:val="0"/>
      <w:marTop w:val="0"/>
      <w:marBottom w:val="0"/>
      <w:divBdr>
        <w:top w:val="none" w:sz="0" w:space="0" w:color="auto"/>
        <w:left w:val="none" w:sz="0" w:space="0" w:color="auto"/>
        <w:bottom w:val="none" w:sz="0" w:space="0" w:color="auto"/>
        <w:right w:val="none" w:sz="0" w:space="0" w:color="auto"/>
      </w:divBdr>
      <w:divsChild>
        <w:div w:id="204634785">
          <w:marLeft w:val="0"/>
          <w:marRight w:val="0"/>
          <w:marTop w:val="150"/>
          <w:marBottom w:val="0"/>
          <w:divBdr>
            <w:top w:val="none" w:sz="0" w:space="0" w:color="auto"/>
            <w:left w:val="none" w:sz="0" w:space="0" w:color="auto"/>
            <w:bottom w:val="none" w:sz="0" w:space="0" w:color="auto"/>
            <w:right w:val="none" w:sz="0" w:space="0" w:color="auto"/>
          </w:divBdr>
          <w:divsChild>
            <w:div w:id="442379327">
              <w:marLeft w:val="0"/>
              <w:marRight w:val="0"/>
              <w:marTop w:val="0"/>
              <w:marBottom w:val="0"/>
              <w:divBdr>
                <w:top w:val="none" w:sz="0" w:space="0" w:color="auto"/>
                <w:left w:val="none" w:sz="0" w:space="0" w:color="auto"/>
                <w:bottom w:val="none" w:sz="0" w:space="0" w:color="auto"/>
                <w:right w:val="none" w:sz="0" w:space="0" w:color="auto"/>
              </w:divBdr>
              <w:divsChild>
                <w:div w:id="1459836063">
                  <w:marLeft w:val="0"/>
                  <w:marRight w:val="0"/>
                  <w:marTop w:val="0"/>
                  <w:marBottom w:val="0"/>
                  <w:divBdr>
                    <w:top w:val="none" w:sz="0" w:space="0" w:color="auto"/>
                    <w:left w:val="none" w:sz="0" w:space="0" w:color="auto"/>
                    <w:bottom w:val="none" w:sz="0" w:space="0" w:color="auto"/>
                    <w:right w:val="none" w:sz="0" w:space="0" w:color="auto"/>
                  </w:divBdr>
                </w:div>
                <w:div w:id="202016187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67978938">
          <w:marLeft w:val="0"/>
          <w:marRight w:val="0"/>
          <w:marTop w:val="0"/>
          <w:marBottom w:val="0"/>
          <w:divBdr>
            <w:top w:val="none" w:sz="0" w:space="0" w:color="auto"/>
            <w:left w:val="none" w:sz="0" w:space="0" w:color="auto"/>
            <w:bottom w:val="none" w:sz="0" w:space="0" w:color="auto"/>
            <w:right w:val="none" w:sz="0" w:space="0" w:color="auto"/>
          </w:divBdr>
          <w:divsChild>
            <w:div w:id="41012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066042">
      <w:bodyDiv w:val="1"/>
      <w:marLeft w:val="0"/>
      <w:marRight w:val="0"/>
      <w:marTop w:val="0"/>
      <w:marBottom w:val="0"/>
      <w:divBdr>
        <w:top w:val="none" w:sz="0" w:space="0" w:color="auto"/>
        <w:left w:val="none" w:sz="0" w:space="0" w:color="auto"/>
        <w:bottom w:val="none" w:sz="0" w:space="0" w:color="auto"/>
        <w:right w:val="none" w:sz="0" w:space="0" w:color="auto"/>
      </w:divBdr>
      <w:divsChild>
        <w:div w:id="1240559907">
          <w:marLeft w:val="0"/>
          <w:marRight w:val="0"/>
          <w:marTop w:val="0"/>
          <w:marBottom w:val="0"/>
          <w:divBdr>
            <w:top w:val="none" w:sz="0" w:space="0" w:color="auto"/>
            <w:left w:val="none" w:sz="0" w:space="0" w:color="auto"/>
            <w:bottom w:val="none" w:sz="0" w:space="0" w:color="auto"/>
            <w:right w:val="none" w:sz="0" w:space="0" w:color="auto"/>
          </w:divBdr>
          <w:divsChild>
            <w:div w:id="73476831">
              <w:marLeft w:val="0"/>
              <w:marRight w:val="0"/>
              <w:marTop w:val="0"/>
              <w:marBottom w:val="0"/>
              <w:divBdr>
                <w:top w:val="none" w:sz="0" w:space="0" w:color="auto"/>
                <w:left w:val="none" w:sz="0" w:space="0" w:color="auto"/>
                <w:bottom w:val="none" w:sz="0" w:space="0" w:color="auto"/>
                <w:right w:val="none" w:sz="0" w:space="0" w:color="auto"/>
              </w:divBdr>
              <w:divsChild>
                <w:div w:id="202101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111473">
      <w:bodyDiv w:val="1"/>
      <w:marLeft w:val="0"/>
      <w:marRight w:val="0"/>
      <w:marTop w:val="0"/>
      <w:marBottom w:val="0"/>
      <w:divBdr>
        <w:top w:val="none" w:sz="0" w:space="0" w:color="auto"/>
        <w:left w:val="none" w:sz="0" w:space="0" w:color="auto"/>
        <w:bottom w:val="none" w:sz="0" w:space="0" w:color="auto"/>
        <w:right w:val="none" w:sz="0" w:space="0" w:color="auto"/>
      </w:divBdr>
    </w:div>
    <w:div w:id="2104951363">
      <w:bodyDiv w:val="1"/>
      <w:marLeft w:val="0"/>
      <w:marRight w:val="0"/>
      <w:marTop w:val="0"/>
      <w:marBottom w:val="0"/>
      <w:divBdr>
        <w:top w:val="none" w:sz="0" w:space="0" w:color="auto"/>
        <w:left w:val="none" w:sz="0" w:space="0" w:color="auto"/>
        <w:bottom w:val="none" w:sz="0" w:space="0" w:color="auto"/>
        <w:right w:val="none" w:sz="0" w:space="0" w:color="auto"/>
      </w:divBdr>
      <w:divsChild>
        <w:div w:id="393041577">
          <w:marLeft w:val="0"/>
          <w:marRight w:val="0"/>
          <w:marTop w:val="0"/>
          <w:marBottom w:val="0"/>
          <w:divBdr>
            <w:top w:val="none" w:sz="0" w:space="0" w:color="auto"/>
            <w:left w:val="none" w:sz="0" w:space="0" w:color="auto"/>
            <w:bottom w:val="none" w:sz="0" w:space="0" w:color="auto"/>
            <w:right w:val="none" w:sz="0" w:space="0" w:color="auto"/>
          </w:divBdr>
          <w:divsChild>
            <w:div w:id="1443190961">
              <w:marLeft w:val="0"/>
              <w:marRight w:val="0"/>
              <w:marTop w:val="0"/>
              <w:marBottom w:val="0"/>
              <w:divBdr>
                <w:top w:val="none" w:sz="0" w:space="0" w:color="auto"/>
                <w:left w:val="none" w:sz="0" w:space="0" w:color="auto"/>
                <w:bottom w:val="none" w:sz="0" w:space="0" w:color="auto"/>
                <w:right w:val="none" w:sz="0" w:space="0" w:color="auto"/>
              </w:divBdr>
              <w:divsChild>
                <w:div w:id="185730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083238">
          <w:marLeft w:val="0"/>
          <w:marRight w:val="0"/>
          <w:marTop w:val="0"/>
          <w:marBottom w:val="75"/>
          <w:divBdr>
            <w:top w:val="none" w:sz="0" w:space="0" w:color="auto"/>
            <w:left w:val="none" w:sz="0" w:space="0" w:color="auto"/>
            <w:bottom w:val="none" w:sz="0" w:space="0" w:color="auto"/>
            <w:right w:val="none" w:sz="0" w:space="0" w:color="auto"/>
          </w:divBdr>
        </w:div>
        <w:div w:id="625816086">
          <w:marLeft w:val="0"/>
          <w:marRight w:val="0"/>
          <w:marTop w:val="0"/>
          <w:marBottom w:val="0"/>
          <w:divBdr>
            <w:top w:val="none" w:sz="0" w:space="0" w:color="auto"/>
            <w:left w:val="none" w:sz="0" w:space="0" w:color="auto"/>
            <w:bottom w:val="none" w:sz="0" w:space="0" w:color="auto"/>
            <w:right w:val="none" w:sz="0" w:space="0" w:color="auto"/>
          </w:divBdr>
          <w:divsChild>
            <w:div w:id="1390420348">
              <w:marLeft w:val="0"/>
              <w:marRight w:val="0"/>
              <w:marTop w:val="0"/>
              <w:marBottom w:val="0"/>
              <w:divBdr>
                <w:top w:val="none" w:sz="0" w:space="0" w:color="auto"/>
                <w:left w:val="none" w:sz="0" w:space="0" w:color="auto"/>
                <w:bottom w:val="none" w:sz="0" w:space="0" w:color="auto"/>
                <w:right w:val="none" w:sz="0" w:space="0" w:color="auto"/>
              </w:divBdr>
              <w:divsChild>
                <w:div w:id="94804850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2105029801">
      <w:bodyDiv w:val="1"/>
      <w:marLeft w:val="0"/>
      <w:marRight w:val="0"/>
      <w:marTop w:val="0"/>
      <w:marBottom w:val="0"/>
      <w:divBdr>
        <w:top w:val="none" w:sz="0" w:space="0" w:color="auto"/>
        <w:left w:val="none" w:sz="0" w:space="0" w:color="auto"/>
        <w:bottom w:val="none" w:sz="0" w:space="0" w:color="auto"/>
        <w:right w:val="none" w:sz="0" w:space="0" w:color="auto"/>
      </w:divBdr>
    </w:div>
    <w:div w:id="2105297275">
      <w:bodyDiv w:val="1"/>
      <w:marLeft w:val="0"/>
      <w:marRight w:val="0"/>
      <w:marTop w:val="0"/>
      <w:marBottom w:val="0"/>
      <w:divBdr>
        <w:top w:val="none" w:sz="0" w:space="0" w:color="auto"/>
        <w:left w:val="none" w:sz="0" w:space="0" w:color="auto"/>
        <w:bottom w:val="none" w:sz="0" w:space="0" w:color="auto"/>
        <w:right w:val="none" w:sz="0" w:space="0" w:color="auto"/>
      </w:divBdr>
    </w:div>
    <w:div w:id="2105490803">
      <w:bodyDiv w:val="1"/>
      <w:marLeft w:val="0"/>
      <w:marRight w:val="0"/>
      <w:marTop w:val="0"/>
      <w:marBottom w:val="0"/>
      <w:divBdr>
        <w:top w:val="none" w:sz="0" w:space="0" w:color="auto"/>
        <w:left w:val="none" w:sz="0" w:space="0" w:color="auto"/>
        <w:bottom w:val="none" w:sz="0" w:space="0" w:color="auto"/>
        <w:right w:val="none" w:sz="0" w:space="0" w:color="auto"/>
      </w:divBdr>
      <w:divsChild>
        <w:div w:id="409810924">
          <w:marLeft w:val="0"/>
          <w:marRight w:val="0"/>
          <w:marTop w:val="0"/>
          <w:marBottom w:val="0"/>
          <w:divBdr>
            <w:top w:val="none" w:sz="0" w:space="0" w:color="auto"/>
            <w:left w:val="none" w:sz="0" w:space="0" w:color="auto"/>
            <w:bottom w:val="none" w:sz="0" w:space="0" w:color="auto"/>
            <w:right w:val="none" w:sz="0" w:space="0" w:color="auto"/>
          </w:divBdr>
          <w:divsChild>
            <w:div w:id="1072434084">
              <w:marLeft w:val="0"/>
              <w:marRight w:val="0"/>
              <w:marTop w:val="0"/>
              <w:marBottom w:val="0"/>
              <w:divBdr>
                <w:top w:val="none" w:sz="0" w:space="0" w:color="auto"/>
                <w:left w:val="none" w:sz="0" w:space="0" w:color="auto"/>
                <w:bottom w:val="none" w:sz="0" w:space="0" w:color="auto"/>
                <w:right w:val="none" w:sz="0" w:space="0" w:color="auto"/>
              </w:divBdr>
            </w:div>
          </w:divsChild>
        </w:div>
        <w:div w:id="1466966258">
          <w:marLeft w:val="0"/>
          <w:marRight w:val="0"/>
          <w:marTop w:val="0"/>
          <w:marBottom w:val="150"/>
          <w:divBdr>
            <w:top w:val="none" w:sz="0" w:space="0" w:color="auto"/>
            <w:left w:val="none" w:sz="0" w:space="0" w:color="auto"/>
            <w:bottom w:val="none" w:sz="0" w:space="0" w:color="auto"/>
            <w:right w:val="none" w:sz="0" w:space="0" w:color="auto"/>
          </w:divBdr>
          <w:divsChild>
            <w:div w:id="594092026">
              <w:marLeft w:val="0"/>
              <w:marRight w:val="0"/>
              <w:marTop w:val="0"/>
              <w:marBottom w:val="0"/>
              <w:divBdr>
                <w:top w:val="none" w:sz="0" w:space="0" w:color="auto"/>
                <w:left w:val="none" w:sz="0" w:space="0" w:color="auto"/>
                <w:bottom w:val="none" w:sz="0" w:space="0" w:color="auto"/>
                <w:right w:val="none" w:sz="0" w:space="0" w:color="auto"/>
              </w:divBdr>
            </w:div>
          </w:divsChild>
        </w:div>
        <w:div w:id="1708525344">
          <w:marLeft w:val="0"/>
          <w:marRight w:val="0"/>
          <w:marTop w:val="0"/>
          <w:marBottom w:val="150"/>
          <w:divBdr>
            <w:top w:val="none" w:sz="0" w:space="0" w:color="auto"/>
            <w:left w:val="none" w:sz="0" w:space="0" w:color="auto"/>
            <w:bottom w:val="none" w:sz="0" w:space="0" w:color="auto"/>
            <w:right w:val="none" w:sz="0" w:space="0" w:color="auto"/>
          </w:divBdr>
        </w:div>
      </w:divsChild>
    </w:div>
    <w:div w:id="2105567407">
      <w:bodyDiv w:val="1"/>
      <w:marLeft w:val="0"/>
      <w:marRight w:val="0"/>
      <w:marTop w:val="0"/>
      <w:marBottom w:val="0"/>
      <w:divBdr>
        <w:top w:val="none" w:sz="0" w:space="0" w:color="auto"/>
        <w:left w:val="none" w:sz="0" w:space="0" w:color="auto"/>
        <w:bottom w:val="none" w:sz="0" w:space="0" w:color="auto"/>
        <w:right w:val="none" w:sz="0" w:space="0" w:color="auto"/>
      </w:divBdr>
    </w:div>
    <w:div w:id="2105683699">
      <w:bodyDiv w:val="1"/>
      <w:marLeft w:val="0"/>
      <w:marRight w:val="0"/>
      <w:marTop w:val="0"/>
      <w:marBottom w:val="0"/>
      <w:divBdr>
        <w:top w:val="none" w:sz="0" w:space="0" w:color="auto"/>
        <w:left w:val="none" w:sz="0" w:space="0" w:color="auto"/>
        <w:bottom w:val="none" w:sz="0" w:space="0" w:color="auto"/>
        <w:right w:val="none" w:sz="0" w:space="0" w:color="auto"/>
      </w:divBdr>
      <w:divsChild>
        <w:div w:id="708845230">
          <w:marLeft w:val="0"/>
          <w:marRight w:val="0"/>
          <w:marTop w:val="0"/>
          <w:marBottom w:val="150"/>
          <w:divBdr>
            <w:top w:val="none" w:sz="0" w:space="0" w:color="auto"/>
            <w:left w:val="none" w:sz="0" w:space="0" w:color="auto"/>
            <w:bottom w:val="none" w:sz="0" w:space="0" w:color="auto"/>
            <w:right w:val="none" w:sz="0" w:space="0" w:color="auto"/>
          </w:divBdr>
          <w:divsChild>
            <w:div w:id="1556818111">
              <w:marLeft w:val="0"/>
              <w:marRight w:val="0"/>
              <w:marTop w:val="0"/>
              <w:marBottom w:val="0"/>
              <w:divBdr>
                <w:top w:val="none" w:sz="0" w:space="0" w:color="auto"/>
                <w:left w:val="none" w:sz="0" w:space="0" w:color="auto"/>
                <w:bottom w:val="none" w:sz="0" w:space="0" w:color="auto"/>
                <w:right w:val="none" w:sz="0" w:space="0" w:color="auto"/>
              </w:divBdr>
            </w:div>
          </w:divsChild>
        </w:div>
        <w:div w:id="2049256417">
          <w:marLeft w:val="0"/>
          <w:marRight w:val="0"/>
          <w:marTop w:val="0"/>
          <w:marBottom w:val="0"/>
          <w:divBdr>
            <w:top w:val="none" w:sz="0" w:space="0" w:color="auto"/>
            <w:left w:val="none" w:sz="0" w:space="0" w:color="auto"/>
            <w:bottom w:val="none" w:sz="0" w:space="0" w:color="auto"/>
            <w:right w:val="none" w:sz="0" w:space="0" w:color="auto"/>
          </w:divBdr>
        </w:div>
      </w:divsChild>
    </w:div>
    <w:div w:id="2105757391">
      <w:bodyDiv w:val="1"/>
      <w:marLeft w:val="0"/>
      <w:marRight w:val="0"/>
      <w:marTop w:val="0"/>
      <w:marBottom w:val="0"/>
      <w:divBdr>
        <w:top w:val="none" w:sz="0" w:space="0" w:color="auto"/>
        <w:left w:val="none" w:sz="0" w:space="0" w:color="auto"/>
        <w:bottom w:val="none" w:sz="0" w:space="0" w:color="auto"/>
        <w:right w:val="none" w:sz="0" w:space="0" w:color="auto"/>
      </w:divBdr>
      <w:divsChild>
        <w:div w:id="797988947">
          <w:marLeft w:val="0"/>
          <w:marRight w:val="0"/>
          <w:marTop w:val="0"/>
          <w:marBottom w:val="0"/>
          <w:divBdr>
            <w:top w:val="none" w:sz="0" w:space="0" w:color="auto"/>
            <w:left w:val="none" w:sz="0" w:space="0" w:color="auto"/>
            <w:bottom w:val="dotted" w:sz="6" w:space="4" w:color="DDDDDD"/>
            <w:right w:val="none" w:sz="0" w:space="0" w:color="auto"/>
          </w:divBdr>
          <w:divsChild>
            <w:div w:id="165637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149855">
      <w:bodyDiv w:val="1"/>
      <w:marLeft w:val="0"/>
      <w:marRight w:val="0"/>
      <w:marTop w:val="0"/>
      <w:marBottom w:val="0"/>
      <w:divBdr>
        <w:top w:val="none" w:sz="0" w:space="0" w:color="auto"/>
        <w:left w:val="none" w:sz="0" w:space="0" w:color="auto"/>
        <w:bottom w:val="none" w:sz="0" w:space="0" w:color="auto"/>
        <w:right w:val="none" w:sz="0" w:space="0" w:color="auto"/>
      </w:divBdr>
    </w:div>
    <w:div w:id="2106226994">
      <w:bodyDiv w:val="1"/>
      <w:marLeft w:val="0"/>
      <w:marRight w:val="0"/>
      <w:marTop w:val="0"/>
      <w:marBottom w:val="0"/>
      <w:divBdr>
        <w:top w:val="none" w:sz="0" w:space="0" w:color="auto"/>
        <w:left w:val="none" w:sz="0" w:space="0" w:color="auto"/>
        <w:bottom w:val="none" w:sz="0" w:space="0" w:color="auto"/>
        <w:right w:val="none" w:sz="0" w:space="0" w:color="auto"/>
      </w:divBdr>
      <w:divsChild>
        <w:div w:id="1258096183">
          <w:marLeft w:val="0"/>
          <w:marRight w:val="0"/>
          <w:marTop w:val="0"/>
          <w:marBottom w:val="0"/>
          <w:divBdr>
            <w:top w:val="none" w:sz="0" w:space="0" w:color="auto"/>
            <w:left w:val="none" w:sz="0" w:space="0" w:color="auto"/>
            <w:bottom w:val="none" w:sz="0" w:space="0" w:color="auto"/>
            <w:right w:val="none" w:sz="0" w:space="0" w:color="auto"/>
          </w:divBdr>
          <w:divsChild>
            <w:div w:id="1076629687">
              <w:marLeft w:val="0"/>
              <w:marRight w:val="0"/>
              <w:marTop w:val="0"/>
              <w:marBottom w:val="0"/>
              <w:divBdr>
                <w:top w:val="none" w:sz="0" w:space="0" w:color="auto"/>
                <w:left w:val="none" w:sz="0" w:space="0" w:color="auto"/>
                <w:bottom w:val="none" w:sz="0" w:space="0" w:color="auto"/>
                <w:right w:val="none" w:sz="0" w:space="0" w:color="auto"/>
              </w:divBdr>
              <w:divsChild>
                <w:div w:id="207492009">
                  <w:marLeft w:val="0"/>
                  <w:marRight w:val="0"/>
                  <w:marTop w:val="0"/>
                  <w:marBottom w:val="0"/>
                  <w:divBdr>
                    <w:top w:val="none" w:sz="0" w:space="0" w:color="auto"/>
                    <w:left w:val="none" w:sz="0" w:space="0" w:color="auto"/>
                    <w:bottom w:val="none" w:sz="0" w:space="0" w:color="auto"/>
                    <w:right w:val="none" w:sz="0" w:space="0" w:color="auto"/>
                  </w:divBdr>
                  <w:divsChild>
                    <w:div w:id="935134969">
                      <w:marLeft w:val="0"/>
                      <w:marRight w:val="0"/>
                      <w:marTop w:val="0"/>
                      <w:marBottom w:val="0"/>
                      <w:divBdr>
                        <w:top w:val="none" w:sz="0" w:space="0" w:color="auto"/>
                        <w:left w:val="none" w:sz="0" w:space="0" w:color="auto"/>
                        <w:bottom w:val="none" w:sz="0" w:space="0" w:color="auto"/>
                        <w:right w:val="none" w:sz="0" w:space="0" w:color="auto"/>
                      </w:divBdr>
                      <w:divsChild>
                        <w:div w:id="372769920">
                          <w:marLeft w:val="0"/>
                          <w:marRight w:val="0"/>
                          <w:marTop w:val="0"/>
                          <w:marBottom w:val="0"/>
                          <w:divBdr>
                            <w:top w:val="none" w:sz="0" w:space="0" w:color="auto"/>
                            <w:left w:val="none" w:sz="0" w:space="0" w:color="auto"/>
                            <w:bottom w:val="none" w:sz="0" w:space="0" w:color="auto"/>
                            <w:right w:val="none" w:sz="0" w:space="0" w:color="auto"/>
                          </w:divBdr>
                          <w:divsChild>
                            <w:div w:id="1754088200">
                              <w:marLeft w:val="0"/>
                              <w:marRight w:val="0"/>
                              <w:marTop w:val="0"/>
                              <w:marBottom w:val="0"/>
                              <w:divBdr>
                                <w:top w:val="none" w:sz="0" w:space="0" w:color="auto"/>
                                <w:left w:val="none" w:sz="0" w:space="0" w:color="auto"/>
                                <w:bottom w:val="none" w:sz="0" w:space="0" w:color="auto"/>
                                <w:right w:val="none" w:sz="0" w:space="0" w:color="auto"/>
                              </w:divBdr>
                              <w:divsChild>
                                <w:div w:id="1593588970">
                                  <w:marLeft w:val="0"/>
                                  <w:marRight w:val="0"/>
                                  <w:marTop w:val="0"/>
                                  <w:marBottom w:val="0"/>
                                  <w:divBdr>
                                    <w:top w:val="none" w:sz="0" w:space="0" w:color="auto"/>
                                    <w:left w:val="none" w:sz="0" w:space="0" w:color="auto"/>
                                    <w:bottom w:val="none" w:sz="0" w:space="0" w:color="auto"/>
                                    <w:right w:val="none" w:sz="0" w:space="0" w:color="auto"/>
                                  </w:divBdr>
                                  <w:divsChild>
                                    <w:div w:id="104185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7076643">
      <w:bodyDiv w:val="1"/>
      <w:marLeft w:val="0"/>
      <w:marRight w:val="0"/>
      <w:marTop w:val="0"/>
      <w:marBottom w:val="0"/>
      <w:divBdr>
        <w:top w:val="none" w:sz="0" w:space="0" w:color="auto"/>
        <w:left w:val="none" w:sz="0" w:space="0" w:color="auto"/>
        <w:bottom w:val="none" w:sz="0" w:space="0" w:color="auto"/>
        <w:right w:val="none" w:sz="0" w:space="0" w:color="auto"/>
      </w:divBdr>
      <w:divsChild>
        <w:div w:id="1910842417">
          <w:marLeft w:val="0"/>
          <w:marRight w:val="0"/>
          <w:marTop w:val="0"/>
          <w:marBottom w:val="0"/>
          <w:divBdr>
            <w:top w:val="none" w:sz="0" w:space="0" w:color="auto"/>
            <w:left w:val="none" w:sz="0" w:space="0" w:color="auto"/>
            <w:bottom w:val="none" w:sz="0" w:space="0" w:color="auto"/>
            <w:right w:val="none" w:sz="0" w:space="0" w:color="auto"/>
          </w:divBdr>
          <w:divsChild>
            <w:div w:id="1389374260">
              <w:marLeft w:val="0"/>
              <w:marRight w:val="0"/>
              <w:marTop w:val="0"/>
              <w:marBottom w:val="0"/>
              <w:divBdr>
                <w:top w:val="none" w:sz="0" w:space="0" w:color="auto"/>
                <w:left w:val="none" w:sz="0" w:space="0" w:color="auto"/>
                <w:bottom w:val="none" w:sz="0" w:space="0" w:color="auto"/>
                <w:right w:val="none" w:sz="0" w:space="0" w:color="auto"/>
              </w:divBdr>
              <w:divsChild>
                <w:div w:id="554007740">
                  <w:marLeft w:val="0"/>
                  <w:marRight w:val="0"/>
                  <w:marTop w:val="0"/>
                  <w:marBottom w:val="0"/>
                  <w:divBdr>
                    <w:top w:val="none" w:sz="0" w:space="0" w:color="auto"/>
                    <w:left w:val="none" w:sz="0" w:space="0" w:color="auto"/>
                    <w:bottom w:val="none" w:sz="0" w:space="0" w:color="auto"/>
                    <w:right w:val="none" w:sz="0" w:space="0" w:color="auto"/>
                  </w:divBdr>
                  <w:divsChild>
                    <w:div w:id="879587373">
                      <w:marLeft w:val="0"/>
                      <w:marRight w:val="0"/>
                      <w:marTop w:val="0"/>
                      <w:marBottom w:val="0"/>
                      <w:divBdr>
                        <w:top w:val="none" w:sz="0" w:space="0" w:color="auto"/>
                        <w:left w:val="none" w:sz="0" w:space="0" w:color="auto"/>
                        <w:bottom w:val="none" w:sz="0" w:space="0" w:color="auto"/>
                        <w:right w:val="none" w:sz="0" w:space="0" w:color="auto"/>
                      </w:divBdr>
                      <w:divsChild>
                        <w:div w:id="1340350975">
                          <w:marLeft w:val="0"/>
                          <w:marRight w:val="0"/>
                          <w:marTop w:val="0"/>
                          <w:marBottom w:val="0"/>
                          <w:divBdr>
                            <w:top w:val="none" w:sz="0" w:space="0" w:color="auto"/>
                            <w:left w:val="none" w:sz="0" w:space="0" w:color="auto"/>
                            <w:bottom w:val="none" w:sz="0" w:space="0" w:color="auto"/>
                            <w:right w:val="none" w:sz="0" w:space="0" w:color="auto"/>
                          </w:divBdr>
                          <w:divsChild>
                            <w:div w:id="127605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116626">
      <w:bodyDiv w:val="1"/>
      <w:marLeft w:val="0"/>
      <w:marRight w:val="0"/>
      <w:marTop w:val="0"/>
      <w:marBottom w:val="0"/>
      <w:divBdr>
        <w:top w:val="none" w:sz="0" w:space="0" w:color="auto"/>
        <w:left w:val="none" w:sz="0" w:space="0" w:color="auto"/>
        <w:bottom w:val="none" w:sz="0" w:space="0" w:color="auto"/>
        <w:right w:val="none" w:sz="0" w:space="0" w:color="auto"/>
      </w:divBdr>
      <w:divsChild>
        <w:div w:id="1838840417">
          <w:marLeft w:val="0"/>
          <w:marRight w:val="0"/>
          <w:marTop w:val="0"/>
          <w:marBottom w:val="0"/>
          <w:divBdr>
            <w:top w:val="none" w:sz="0" w:space="0" w:color="auto"/>
            <w:left w:val="none" w:sz="0" w:space="0" w:color="auto"/>
            <w:bottom w:val="dotted" w:sz="6" w:space="4" w:color="DDDDDD"/>
            <w:right w:val="none" w:sz="0" w:space="0" w:color="auto"/>
          </w:divBdr>
          <w:divsChild>
            <w:div w:id="205653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304949">
      <w:bodyDiv w:val="1"/>
      <w:marLeft w:val="0"/>
      <w:marRight w:val="0"/>
      <w:marTop w:val="0"/>
      <w:marBottom w:val="0"/>
      <w:divBdr>
        <w:top w:val="none" w:sz="0" w:space="0" w:color="auto"/>
        <w:left w:val="none" w:sz="0" w:space="0" w:color="auto"/>
        <w:bottom w:val="none" w:sz="0" w:space="0" w:color="auto"/>
        <w:right w:val="none" w:sz="0" w:space="0" w:color="auto"/>
      </w:divBdr>
      <w:divsChild>
        <w:div w:id="293872999">
          <w:marLeft w:val="0"/>
          <w:marRight w:val="0"/>
          <w:marTop w:val="0"/>
          <w:marBottom w:val="0"/>
          <w:divBdr>
            <w:top w:val="none" w:sz="0" w:space="0" w:color="auto"/>
            <w:left w:val="none" w:sz="0" w:space="0" w:color="auto"/>
            <w:bottom w:val="dotted" w:sz="6" w:space="4" w:color="DDDDDD"/>
            <w:right w:val="none" w:sz="0" w:space="0" w:color="auto"/>
          </w:divBdr>
          <w:divsChild>
            <w:div w:id="34078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773750">
      <w:bodyDiv w:val="1"/>
      <w:marLeft w:val="0"/>
      <w:marRight w:val="0"/>
      <w:marTop w:val="0"/>
      <w:marBottom w:val="0"/>
      <w:divBdr>
        <w:top w:val="none" w:sz="0" w:space="0" w:color="auto"/>
        <w:left w:val="none" w:sz="0" w:space="0" w:color="auto"/>
        <w:bottom w:val="none" w:sz="0" w:space="0" w:color="auto"/>
        <w:right w:val="none" w:sz="0" w:space="0" w:color="auto"/>
      </w:divBdr>
    </w:div>
    <w:div w:id="2108914944">
      <w:bodyDiv w:val="1"/>
      <w:marLeft w:val="0"/>
      <w:marRight w:val="0"/>
      <w:marTop w:val="0"/>
      <w:marBottom w:val="0"/>
      <w:divBdr>
        <w:top w:val="none" w:sz="0" w:space="0" w:color="auto"/>
        <w:left w:val="none" w:sz="0" w:space="0" w:color="auto"/>
        <w:bottom w:val="none" w:sz="0" w:space="0" w:color="auto"/>
        <w:right w:val="none" w:sz="0" w:space="0" w:color="auto"/>
      </w:divBdr>
      <w:divsChild>
        <w:div w:id="1771076109">
          <w:marLeft w:val="0"/>
          <w:marRight w:val="0"/>
          <w:marTop w:val="0"/>
          <w:marBottom w:val="0"/>
          <w:divBdr>
            <w:top w:val="none" w:sz="0" w:space="0" w:color="auto"/>
            <w:left w:val="none" w:sz="0" w:space="0" w:color="auto"/>
            <w:bottom w:val="dotted" w:sz="6" w:space="4" w:color="DDDDDD"/>
            <w:right w:val="none" w:sz="0" w:space="0" w:color="auto"/>
          </w:divBdr>
          <w:divsChild>
            <w:div w:id="214638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227492">
      <w:bodyDiv w:val="1"/>
      <w:marLeft w:val="0"/>
      <w:marRight w:val="0"/>
      <w:marTop w:val="0"/>
      <w:marBottom w:val="0"/>
      <w:divBdr>
        <w:top w:val="none" w:sz="0" w:space="0" w:color="auto"/>
        <w:left w:val="none" w:sz="0" w:space="0" w:color="auto"/>
        <w:bottom w:val="none" w:sz="0" w:space="0" w:color="auto"/>
        <w:right w:val="none" w:sz="0" w:space="0" w:color="auto"/>
      </w:divBdr>
      <w:divsChild>
        <w:div w:id="1570264550">
          <w:marLeft w:val="0"/>
          <w:marRight w:val="0"/>
          <w:marTop w:val="0"/>
          <w:marBottom w:val="0"/>
          <w:divBdr>
            <w:top w:val="none" w:sz="0" w:space="0" w:color="auto"/>
            <w:left w:val="none" w:sz="0" w:space="0" w:color="auto"/>
            <w:bottom w:val="none" w:sz="0" w:space="0" w:color="auto"/>
            <w:right w:val="none" w:sz="0" w:space="0" w:color="auto"/>
          </w:divBdr>
          <w:divsChild>
            <w:div w:id="17612901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0079372">
      <w:bodyDiv w:val="1"/>
      <w:marLeft w:val="0"/>
      <w:marRight w:val="0"/>
      <w:marTop w:val="0"/>
      <w:marBottom w:val="0"/>
      <w:divBdr>
        <w:top w:val="none" w:sz="0" w:space="0" w:color="auto"/>
        <w:left w:val="none" w:sz="0" w:space="0" w:color="auto"/>
        <w:bottom w:val="none" w:sz="0" w:space="0" w:color="auto"/>
        <w:right w:val="none" w:sz="0" w:space="0" w:color="auto"/>
      </w:divBdr>
      <w:divsChild>
        <w:div w:id="245187450">
          <w:marLeft w:val="0"/>
          <w:marRight w:val="0"/>
          <w:marTop w:val="0"/>
          <w:marBottom w:val="150"/>
          <w:divBdr>
            <w:top w:val="none" w:sz="0" w:space="0" w:color="auto"/>
            <w:left w:val="none" w:sz="0" w:space="0" w:color="auto"/>
            <w:bottom w:val="none" w:sz="0" w:space="0" w:color="auto"/>
            <w:right w:val="none" w:sz="0" w:space="0" w:color="auto"/>
          </w:divBdr>
          <w:divsChild>
            <w:div w:id="89670618">
              <w:marLeft w:val="0"/>
              <w:marRight w:val="0"/>
              <w:marTop w:val="0"/>
              <w:marBottom w:val="0"/>
              <w:divBdr>
                <w:top w:val="none" w:sz="0" w:space="0" w:color="auto"/>
                <w:left w:val="none" w:sz="0" w:space="0" w:color="auto"/>
                <w:bottom w:val="none" w:sz="0" w:space="0" w:color="auto"/>
                <w:right w:val="none" w:sz="0" w:space="0" w:color="auto"/>
              </w:divBdr>
            </w:div>
          </w:divsChild>
        </w:div>
        <w:div w:id="1060905696">
          <w:marLeft w:val="0"/>
          <w:marRight w:val="0"/>
          <w:marTop w:val="0"/>
          <w:marBottom w:val="0"/>
          <w:divBdr>
            <w:top w:val="none" w:sz="0" w:space="0" w:color="auto"/>
            <w:left w:val="none" w:sz="0" w:space="0" w:color="auto"/>
            <w:bottom w:val="none" w:sz="0" w:space="0" w:color="auto"/>
            <w:right w:val="none" w:sz="0" w:space="0" w:color="auto"/>
          </w:divBdr>
          <w:divsChild>
            <w:div w:id="1169563325">
              <w:marLeft w:val="0"/>
              <w:marRight w:val="0"/>
              <w:marTop w:val="0"/>
              <w:marBottom w:val="0"/>
              <w:divBdr>
                <w:top w:val="none" w:sz="0" w:space="0" w:color="auto"/>
                <w:left w:val="none" w:sz="0" w:space="0" w:color="auto"/>
                <w:bottom w:val="none" w:sz="0" w:space="0" w:color="auto"/>
                <w:right w:val="none" w:sz="0" w:space="0" w:color="auto"/>
              </w:divBdr>
            </w:div>
          </w:divsChild>
        </w:div>
        <w:div w:id="1174802255">
          <w:marLeft w:val="0"/>
          <w:marRight w:val="0"/>
          <w:marTop w:val="0"/>
          <w:marBottom w:val="150"/>
          <w:divBdr>
            <w:top w:val="none" w:sz="0" w:space="0" w:color="auto"/>
            <w:left w:val="none" w:sz="0" w:space="0" w:color="auto"/>
            <w:bottom w:val="none" w:sz="0" w:space="0" w:color="auto"/>
            <w:right w:val="none" w:sz="0" w:space="0" w:color="auto"/>
          </w:divBdr>
        </w:div>
      </w:divsChild>
    </w:div>
    <w:div w:id="2110664247">
      <w:bodyDiv w:val="1"/>
      <w:marLeft w:val="0"/>
      <w:marRight w:val="0"/>
      <w:marTop w:val="0"/>
      <w:marBottom w:val="0"/>
      <w:divBdr>
        <w:top w:val="none" w:sz="0" w:space="0" w:color="auto"/>
        <w:left w:val="none" w:sz="0" w:space="0" w:color="auto"/>
        <w:bottom w:val="none" w:sz="0" w:space="0" w:color="auto"/>
        <w:right w:val="none" w:sz="0" w:space="0" w:color="auto"/>
      </w:divBdr>
      <w:divsChild>
        <w:div w:id="320013139">
          <w:marLeft w:val="0"/>
          <w:marRight w:val="0"/>
          <w:marTop w:val="0"/>
          <w:marBottom w:val="180"/>
          <w:divBdr>
            <w:top w:val="none" w:sz="0" w:space="0" w:color="auto"/>
            <w:left w:val="none" w:sz="0" w:space="0" w:color="auto"/>
            <w:bottom w:val="none" w:sz="0" w:space="0" w:color="auto"/>
            <w:right w:val="none" w:sz="0" w:space="0" w:color="auto"/>
          </w:divBdr>
        </w:div>
      </w:divsChild>
    </w:div>
    <w:div w:id="2111048240">
      <w:bodyDiv w:val="1"/>
      <w:marLeft w:val="0"/>
      <w:marRight w:val="0"/>
      <w:marTop w:val="0"/>
      <w:marBottom w:val="0"/>
      <w:divBdr>
        <w:top w:val="none" w:sz="0" w:space="0" w:color="auto"/>
        <w:left w:val="none" w:sz="0" w:space="0" w:color="auto"/>
        <w:bottom w:val="none" w:sz="0" w:space="0" w:color="auto"/>
        <w:right w:val="none" w:sz="0" w:space="0" w:color="auto"/>
      </w:divBdr>
      <w:divsChild>
        <w:div w:id="186527427">
          <w:marLeft w:val="0"/>
          <w:marRight w:val="0"/>
          <w:marTop w:val="0"/>
          <w:marBottom w:val="0"/>
          <w:divBdr>
            <w:top w:val="none" w:sz="0" w:space="0" w:color="auto"/>
            <w:left w:val="none" w:sz="0" w:space="0" w:color="auto"/>
            <w:bottom w:val="dotted" w:sz="6" w:space="4" w:color="DDDDDD"/>
            <w:right w:val="none" w:sz="0" w:space="0" w:color="auto"/>
          </w:divBdr>
          <w:divsChild>
            <w:div w:id="7386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074003">
      <w:bodyDiv w:val="1"/>
      <w:marLeft w:val="0"/>
      <w:marRight w:val="0"/>
      <w:marTop w:val="0"/>
      <w:marBottom w:val="0"/>
      <w:divBdr>
        <w:top w:val="none" w:sz="0" w:space="0" w:color="auto"/>
        <w:left w:val="none" w:sz="0" w:space="0" w:color="auto"/>
        <w:bottom w:val="none" w:sz="0" w:space="0" w:color="auto"/>
        <w:right w:val="none" w:sz="0" w:space="0" w:color="auto"/>
      </w:divBdr>
      <w:divsChild>
        <w:div w:id="68775356">
          <w:marLeft w:val="0"/>
          <w:marRight w:val="0"/>
          <w:marTop w:val="0"/>
          <w:marBottom w:val="0"/>
          <w:divBdr>
            <w:top w:val="none" w:sz="0" w:space="0" w:color="auto"/>
            <w:left w:val="none" w:sz="0" w:space="0" w:color="auto"/>
            <w:bottom w:val="dotted" w:sz="6" w:space="4" w:color="DDDDDD"/>
            <w:right w:val="none" w:sz="0" w:space="0" w:color="auto"/>
          </w:divBdr>
          <w:divsChild>
            <w:div w:id="155754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6393">
      <w:bodyDiv w:val="1"/>
      <w:marLeft w:val="0"/>
      <w:marRight w:val="0"/>
      <w:marTop w:val="0"/>
      <w:marBottom w:val="0"/>
      <w:divBdr>
        <w:top w:val="none" w:sz="0" w:space="0" w:color="auto"/>
        <w:left w:val="none" w:sz="0" w:space="0" w:color="auto"/>
        <w:bottom w:val="none" w:sz="0" w:space="0" w:color="auto"/>
        <w:right w:val="none" w:sz="0" w:space="0" w:color="auto"/>
      </w:divBdr>
      <w:divsChild>
        <w:div w:id="214390616">
          <w:marLeft w:val="0"/>
          <w:marRight w:val="0"/>
          <w:marTop w:val="0"/>
          <w:marBottom w:val="0"/>
          <w:divBdr>
            <w:top w:val="none" w:sz="0" w:space="0" w:color="auto"/>
            <w:left w:val="none" w:sz="0" w:space="0" w:color="auto"/>
            <w:bottom w:val="none" w:sz="0" w:space="0" w:color="auto"/>
            <w:right w:val="none" w:sz="0" w:space="0" w:color="auto"/>
          </w:divBdr>
          <w:divsChild>
            <w:div w:id="949583862">
              <w:marLeft w:val="0"/>
              <w:marRight w:val="0"/>
              <w:marTop w:val="0"/>
              <w:marBottom w:val="150"/>
              <w:divBdr>
                <w:top w:val="none" w:sz="0" w:space="0" w:color="auto"/>
                <w:left w:val="none" w:sz="0" w:space="0" w:color="auto"/>
                <w:bottom w:val="none" w:sz="0" w:space="0" w:color="auto"/>
                <w:right w:val="none" w:sz="0" w:space="0" w:color="auto"/>
              </w:divBdr>
            </w:div>
            <w:div w:id="1065031975">
              <w:marLeft w:val="0"/>
              <w:marRight w:val="0"/>
              <w:marTop w:val="0"/>
              <w:marBottom w:val="0"/>
              <w:divBdr>
                <w:top w:val="none" w:sz="0" w:space="0" w:color="auto"/>
                <w:left w:val="none" w:sz="0" w:space="0" w:color="auto"/>
                <w:bottom w:val="none" w:sz="0" w:space="0" w:color="auto"/>
                <w:right w:val="none" w:sz="0" w:space="0" w:color="auto"/>
              </w:divBdr>
            </w:div>
          </w:divsChild>
        </w:div>
        <w:div w:id="1468233171">
          <w:marLeft w:val="0"/>
          <w:marRight w:val="0"/>
          <w:marTop w:val="0"/>
          <w:marBottom w:val="150"/>
          <w:divBdr>
            <w:top w:val="none" w:sz="0" w:space="0" w:color="auto"/>
            <w:left w:val="none" w:sz="0" w:space="0" w:color="auto"/>
            <w:bottom w:val="none" w:sz="0" w:space="0" w:color="auto"/>
            <w:right w:val="none" w:sz="0" w:space="0" w:color="auto"/>
          </w:divBdr>
          <w:divsChild>
            <w:div w:id="154864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510682">
      <w:bodyDiv w:val="1"/>
      <w:marLeft w:val="0"/>
      <w:marRight w:val="0"/>
      <w:marTop w:val="0"/>
      <w:marBottom w:val="0"/>
      <w:divBdr>
        <w:top w:val="none" w:sz="0" w:space="0" w:color="auto"/>
        <w:left w:val="none" w:sz="0" w:space="0" w:color="auto"/>
        <w:bottom w:val="none" w:sz="0" w:space="0" w:color="auto"/>
        <w:right w:val="none" w:sz="0" w:space="0" w:color="auto"/>
      </w:divBdr>
      <w:divsChild>
        <w:div w:id="2073967890">
          <w:marLeft w:val="0"/>
          <w:marRight w:val="0"/>
          <w:marTop w:val="0"/>
          <w:marBottom w:val="0"/>
          <w:divBdr>
            <w:top w:val="none" w:sz="0" w:space="0" w:color="auto"/>
            <w:left w:val="none" w:sz="0" w:space="0" w:color="auto"/>
            <w:bottom w:val="dotted" w:sz="6" w:space="4" w:color="DDDDDD"/>
            <w:right w:val="none" w:sz="0" w:space="0" w:color="auto"/>
          </w:divBdr>
        </w:div>
      </w:divsChild>
    </w:div>
    <w:div w:id="2112359512">
      <w:bodyDiv w:val="1"/>
      <w:marLeft w:val="0"/>
      <w:marRight w:val="0"/>
      <w:marTop w:val="0"/>
      <w:marBottom w:val="0"/>
      <w:divBdr>
        <w:top w:val="none" w:sz="0" w:space="0" w:color="auto"/>
        <w:left w:val="none" w:sz="0" w:space="0" w:color="auto"/>
        <w:bottom w:val="none" w:sz="0" w:space="0" w:color="auto"/>
        <w:right w:val="none" w:sz="0" w:space="0" w:color="auto"/>
      </w:divBdr>
      <w:divsChild>
        <w:div w:id="1380665076">
          <w:marLeft w:val="0"/>
          <w:marRight w:val="0"/>
          <w:marTop w:val="0"/>
          <w:marBottom w:val="450"/>
          <w:divBdr>
            <w:top w:val="none" w:sz="0" w:space="0" w:color="auto"/>
            <w:left w:val="none" w:sz="0" w:space="0" w:color="auto"/>
            <w:bottom w:val="single" w:sz="6" w:space="19" w:color="EEEEEE"/>
            <w:right w:val="none" w:sz="0" w:space="0" w:color="auto"/>
          </w:divBdr>
          <w:divsChild>
            <w:div w:id="1152867629">
              <w:marLeft w:val="0"/>
              <w:marRight w:val="0"/>
              <w:marTop w:val="0"/>
              <w:marBottom w:val="150"/>
              <w:divBdr>
                <w:top w:val="none" w:sz="0" w:space="0" w:color="auto"/>
                <w:left w:val="none" w:sz="0" w:space="0" w:color="auto"/>
                <w:bottom w:val="none" w:sz="0" w:space="0" w:color="auto"/>
                <w:right w:val="none" w:sz="0" w:space="0" w:color="auto"/>
              </w:divBdr>
              <w:divsChild>
                <w:div w:id="159584946">
                  <w:marLeft w:val="0"/>
                  <w:marRight w:val="0"/>
                  <w:marTop w:val="0"/>
                  <w:marBottom w:val="0"/>
                  <w:divBdr>
                    <w:top w:val="none" w:sz="0" w:space="0" w:color="auto"/>
                    <w:left w:val="none" w:sz="0" w:space="0" w:color="auto"/>
                    <w:bottom w:val="none" w:sz="0" w:space="0" w:color="auto"/>
                    <w:right w:val="none" w:sz="0" w:space="0" w:color="auto"/>
                  </w:divBdr>
                </w:div>
              </w:divsChild>
            </w:div>
            <w:div w:id="1035034112">
              <w:marLeft w:val="0"/>
              <w:marRight w:val="0"/>
              <w:marTop w:val="0"/>
              <w:marBottom w:val="0"/>
              <w:divBdr>
                <w:top w:val="none" w:sz="0" w:space="0" w:color="auto"/>
                <w:left w:val="none" w:sz="0" w:space="0" w:color="auto"/>
                <w:bottom w:val="none" w:sz="0" w:space="0" w:color="auto"/>
                <w:right w:val="none" w:sz="0" w:space="0" w:color="auto"/>
              </w:divBdr>
            </w:div>
          </w:divsChild>
        </w:div>
        <w:div w:id="1181236482">
          <w:marLeft w:val="0"/>
          <w:marRight w:val="0"/>
          <w:marTop w:val="0"/>
          <w:marBottom w:val="0"/>
          <w:divBdr>
            <w:top w:val="none" w:sz="0" w:space="0" w:color="auto"/>
            <w:left w:val="none" w:sz="0" w:space="0" w:color="auto"/>
            <w:bottom w:val="none" w:sz="0" w:space="0" w:color="auto"/>
            <w:right w:val="none" w:sz="0" w:space="0" w:color="auto"/>
          </w:divBdr>
          <w:divsChild>
            <w:div w:id="750784031">
              <w:marLeft w:val="0"/>
              <w:marRight w:val="0"/>
              <w:marTop w:val="0"/>
              <w:marBottom w:val="0"/>
              <w:divBdr>
                <w:top w:val="none" w:sz="0" w:space="0" w:color="auto"/>
                <w:left w:val="none" w:sz="0" w:space="0" w:color="auto"/>
                <w:bottom w:val="none" w:sz="0" w:space="0" w:color="auto"/>
                <w:right w:val="none" w:sz="0" w:space="0" w:color="auto"/>
              </w:divBdr>
              <w:divsChild>
                <w:div w:id="18568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969714">
      <w:bodyDiv w:val="1"/>
      <w:marLeft w:val="0"/>
      <w:marRight w:val="0"/>
      <w:marTop w:val="0"/>
      <w:marBottom w:val="0"/>
      <w:divBdr>
        <w:top w:val="none" w:sz="0" w:space="0" w:color="auto"/>
        <w:left w:val="none" w:sz="0" w:space="0" w:color="auto"/>
        <w:bottom w:val="none" w:sz="0" w:space="0" w:color="auto"/>
        <w:right w:val="none" w:sz="0" w:space="0" w:color="auto"/>
      </w:divBdr>
    </w:div>
    <w:div w:id="2113158206">
      <w:bodyDiv w:val="1"/>
      <w:marLeft w:val="0"/>
      <w:marRight w:val="0"/>
      <w:marTop w:val="0"/>
      <w:marBottom w:val="0"/>
      <w:divBdr>
        <w:top w:val="none" w:sz="0" w:space="0" w:color="auto"/>
        <w:left w:val="none" w:sz="0" w:space="0" w:color="auto"/>
        <w:bottom w:val="none" w:sz="0" w:space="0" w:color="auto"/>
        <w:right w:val="none" w:sz="0" w:space="0" w:color="auto"/>
      </w:divBdr>
    </w:div>
    <w:div w:id="2113235254">
      <w:bodyDiv w:val="1"/>
      <w:marLeft w:val="0"/>
      <w:marRight w:val="0"/>
      <w:marTop w:val="0"/>
      <w:marBottom w:val="0"/>
      <w:divBdr>
        <w:top w:val="none" w:sz="0" w:space="0" w:color="auto"/>
        <w:left w:val="none" w:sz="0" w:space="0" w:color="auto"/>
        <w:bottom w:val="none" w:sz="0" w:space="0" w:color="auto"/>
        <w:right w:val="none" w:sz="0" w:space="0" w:color="auto"/>
      </w:divBdr>
      <w:divsChild>
        <w:div w:id="630088424">
          <w:marLeft w:val="0"/>
          <w:marRight w:val="0"/>
          <w:marTop w:val="0"/>
          <w:marBottom w:val="150"/>
          <w:divBdr>
            <w:top w:val="none" w:sz="0" w:space="0" w:color="auto"/>
            <w:left w:val="none" w:sz="0" w:space="0" w:color="auto"/>
            <w:bottom w:val="none" w:sz="0" w:space="0" w:color="auto"/>
            <w:right w:val="none" w:sz="0" w:space="0" w:color="auto"/>
          </w:divBdr>
          <w:divsChild>
            <w:div w:id="1419864156">
              <w:marLeft w:val="0"/>
              <w:marRight w:val="0"/>
              <w:marTop w:val="0"/>
              <w:marBottom w:val="0"/>
              <w:divBdr>
                <w:top w:val="none" w:sz="0" w:space="0" w:color="auto"/>
                <w:left w:val="none" w:sz="0" w:space="0" w:color="auto"/>
                <w:bottom w:val="none" w:sz="0" w:space="0" w:color="auto"/>
                <w:right w:val="none" w:sz="0" w:space="0" w:color="auto"/>
              </w:divBdr>
              <w:divsChild>
                <w:div w:id="71762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630748">
          <w:marLeft w:val="0"/>
          <w:marRight w:val="0"/>
          <w:marTop w:val="0"/>
          <w:marBottom w:val="0"/>
          <w:divBdr>
            <w:top w:val="none" w:sz="0" w:space="0" w:color="auto"/>
            <w:left w:val="none" w:sz="0" w:space="0" w:color="auto"/>
            <w:bottom w:val="none" w:sz="0" w:space="0" w:color="auto"/>
            <w:right w:val="none" w:sz="0" w:space="0" w:color="auto"/>
          </w:divBdr>
          <w:divsChild>
            <w:div w:id="1179732627">
              <w:marLeft w:val="0"/>
              <w:marRight w:val="0"/>
              <w:marTop w:val="0"/>
              <w:marBottom w:val="0"/>
              <w:divBdr>
                <w:top w:val="none" w:sz="0" w:space="0" w:color="auto"/>
                <w:left w:val="none" w:sz="0" w:space="0" w:color="auto"/>
                <w:bottom w:val="none" w:sz="0" w:space="0" w:color="auto"/>
                <w:right w:val="none" w:sz="0" w:space="0" w:color="auto"/>
              </w:divBdr>
              <w:divsChild>
                <w:div w:id="460416569">
                  <w:marLeft w:val="0"/>
                  <w:marRight w:val="0"/>
                  <w:marTop w:val="225"/>
                  <w:marBottom w:val="225"/>
                  <w:divBdr>
                    <w:top w:val="none" w:sz="0" w:space="0" w:color="auto"/>
                    <w:left w:val="none" w:sz="0" w:space="0" w:color="auto"/>
                    <w:bottom w:val="none" w:sz="0" w:space="0" w:color="auto"/>
                    <w:right w:val="none" w:sz="0" w:space="0" w:color="auto"/>
                  </w:divBdr>
                </w:div>
              </w:divsChild>
            </w:div>
            <w:div w:id="19799199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3283270">
      <w:bodyDiv w:val="1"/>
      <w:marLeft w:val="0"/>
      <w:marRight w:val="0"/>
      <w:marTop w:val="0"/>
      <w:marBottom w:val="0"/>
      <w:divBdr>
        <w:top w:val="none" w:sz="0" w:space="0" w:color="auto"/>
        <w:left w:val="none" w:sz="0" w:space="0" w:color="auto"/>
        <w:bottom w:val="none" w:sz="0" w:space="0" w:color="auto"/>
        <w:right w:val="none" w:sz="0" w:space="0" w:color="auto"/>
      </w:divBdr>
      <w:divsChild>
        <w:div w:id="1548951337">
          <w:marLeft w:val="0"/>
          <w:marRight w:val="0"/>
          <w:marTop w:val="0"/>
          <w:marBottom w:val="0"/>
          <w:divBdr>
            <w:top w:val="none" w:sz="0" w:space="0" w:color="auto"/>
            <w:left w:val="none" w:sz="0" w:space="0" w:color="auto"/>
            <w:bottom w:val="dotted" w:sz="6" w:space="4" w:color="DDDDDD"/>
            <w:right w:val="none" w:sz="0" w:space="0" w:color="auto"/>
          </w:divBdr>
          <w:divsChild>
            <w:div w:id="73813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739075">
      <w:bodyDiv w:val="1"/>
      <w:marLeft w:val="0"/>
      <w:marRight w:val="0"/>
      <w:marTop w:val="0"/>
      <w:marBottom w:val="0"/>
      <w:divBdr>
        <w:top w:val="none" w:sz="0" w:space="0" w:color="auto"/>
        <w:left w:val="none" w:sz="0" w:space="0" w:color="auto"/>
        <w:bottom w:val="none" w:sz="0" w:space="0" w:color="auto"/>
        <w:right w:val="none" w:sz="0" w:space="0" w:color="auto"/>
      </w:divBdr>
      <w:divsChild>
        <w:div w:id="1855072299">
          <w:marLeft w:val="0"/>
          <w:marRight w:val="0"/>
          <w:marTop w:val="0"/>
          <w:marBottom w:val="0"/>
          <w:divBdr>
            <w:top w:val="none" w:sz="0" w:space="0" w:color="auto"/>
            <w:left w:val="none" w:sz="0" w:space="0" w:color="auto"/>
            <w:bottom w:val="none" w:sz="0" w:space="0" w:color="auto"/>
            <w:right w:val="none" w:sz="0" w:space="0" w:color="auto"/>
          </w:divBdr>
        </w:div>
      </w:divsChild>
    </w:div>
    <w:div w:id="2114788610">
      <w:bodyDiv w:val="1"/>
      <w:marLeft w:val="0"/>
      <w:marRight w:val="0"/>
      <w:marTop w:val="0"/>
      <w:marBottom w:val="0"/>
      <w:divBdr>
        <w:top w:val="none" w:sz="0" w:space="0" w:color="auto"/>
        <w:left w:val="none" w:sz="0" w:space="0" w:color="auto"/>
        <w:bottom w:val="none" w:sz="0" w:space="0" w:color="auto"/>
        <w:right w:val="none" w:sz="0" w:space="0" w:color="auto"/>
      </w:divBdr>
      <w:divsChild>
        <w:div w:id="430443208">
          <w:marLeft w:val="0"/>
          <w:marRight w:val="0"/>
          <w:marTop w:val="0"/>
          <w:marBottom w:val="150"/>
          <w:divBdr>
            <w:top w:val="none" w:sz="0" w:space="0" w:color="auto"/>
            <w:left w:val="none" w:sz="0" w:space="0" w:color="auto"/>
            <w:bottom w:val="none" w:sz="0" w:space="0" w:color="auto"/>
            <w:right w:val="none" w:sz="0" w:space="0" w:color="auto"/>
          </w:divBdr>
          <w:divsChild>
            <w:div w:id="328292295">
              <w:marLeft w:val="0"/>
              <w:marRight w:val="0"/>
              <w:marTop w:val="0"/>
              <w:marBottom w:val="0"/>
              <w:divBdr>
                <w:top w:val="none" w:sz="0" w:space="0" w:color="auto"/>
                <w:left w:val="none" w:sz="0" w:space="0" w:color="auto"/>
                <w:bottom w:val="none" w:sz="0" w:space="0" w:color="auto"/>
                <w:right w:val="none" w:sz="0" w:space="0" w:color="auto"/>
              </w:divBdr>
              <w:divsChild>
                <w:div w:id="173781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022005">
          <w:marLeft w:val="0"/>
          <w:marRight w:val="0"/>
          <w:marTop w:val="0"/>
          <w:marBottom w:val="150"/>
          <w:divBdr>
            <w:top w:val="none" w:sz="0" w:space="0" w:color="auto"/>
            <w:left w:val="none" w:sz="0" w:space="0" w:color="auto"/>
            <w:bottom w:val="none" w:sz="0" w:space="0" w:color="auto"/>
            <w:right w:val="none" w:sz="0" w:space="0" w:color="auto"/>
          </w:divBdr>
        </w:div>
        <w:div w:id="1339624122">
          <w:marLeft w:val="0"/>
          <w:marRight w:val="0"/>
          <w:marTop w:val="0"/>
          <w:marBottom w:val="0"/>
          <w:divBdr>
            <w:top w:val="none" w:sz="0" w:space="0" w:color="auto"/>
            <w:left w:val="none" w:sz="0" w:space="0" w:color="auto"/>
            <w:bottom w:val="none" w:sz="0" w:space="0" w:color="auto"/>
            <w:right w:val="none" w:sz="0" w:space="0" w:color="auto"/>
          </w:divBdr>
          <w:divsChild>
            <w:div w:id="3370760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14931898">
      <w:bodyDiv w:val="1"/>
      <w:marLeft w:val="0"/>
      <w:marRight w:val="0"/>
      <w:marTop w:val="0"/>
      <w:marBottom w:val="0"/>
      <w:divBdr>
        <w:top w:val="none" w:sz="0" w:space="0" w:color="auto"/>
        <w:left w:val="none" w:sz="0" w:space="0" w:color="auto"/>
        <w:bottom w:val="none" w:sz="0" w:space="0" w:color="auto"/>
        <w:right w:val="none" w:sz="0" w:space="0" w:color="auto"/>
      </w:divBdr>
    </w:div>
    <w:div w:id="2115175482">
      <w:bodyDiv w:val="1"/>
      <w:marLeft w:val="0"/>
      <w:marRight w:val="0"/>
      <w:marTop w:val="0"/>
      <w:marBottom w:val="0"/>
      <w:divBdr>
        <w:top w:val="none" w:sz="0" w:space="0" w:color="auto"/>
        <w:left w:val="none" w:sz="0" w:space="0" w:color="auto"/>
        <w:bottom w:val="none" w:sz="0" w:space="0" w:color="auto"/>
        <w:right w:val="none" w:sz="0" w:space="0" w:color="auto"/>
      </w:divBdr>
    </w:div>
    <w:div w:id="2115203187">
      <w:bodyDiv w:val="1"/>
      <w:marLeft w:val="0"/>
      <w:marRight w:val="0"/>
      <w:marTop w:val="0"/>
      <w:marBottom w:val="0"/>
      <w:divBdr>
        <w:top w:val="none" w:sz="0" w:space="0" w:color="auto"/>
        <w:left w:val="none" w:sz="0" w:space="0" w:color="auto"/>
        <w:bottom w:val="none" w:sz="0" w:space="0" w:color="auto"/>
        <w:right w:val="none" w:sz="0" w:space="0" w:color="auto"/>
      </w:divBdr>
      <w:divsChild>
        <w:div w:id="1756977865">
          <w:marLeft w:val="0"/>
          <w:marRight w:val="0"/>
          <w:marTop w:val="0"/>
          <w:marBottom w:val="0"/>
          <w:divBdr>
            <w:top w:val="none" w:sz="0" w:space="0" w:color="auto"/>
            <w:left w:val="none" w:sz="0" w:space="0" w:color="auto"/>
            <w:bottom w:val="dotted" w:sz="6" w:space="4" w:color="DDDDDD"/>
            <w:right w:val="none" w:sz="0" w:space="0" w:color="auto"/>
          </w:divBdr>
        </w:div>
      </w:divsChild>
    </w:div>
    <w:div w:id="2115247341">
      <w:bodyDiv w:val="1"/>
      <w:marLeft w:val="0"/>
      <w:marRight w:val="0"/>
      <w:marTop w:val="0"/>
      <w:marBottom w:val="0"/>
      <w:divBdr>
        <w:top w:val="none" w:sz="0" w:space="0" w:color="auto"/>
        <w:left w:val="none" w:sz="0" w:space="0" w:color="auto"/>
        <w:bottom w:val="none" w:sz="0" w:space="0" w:color="auto"/>
        <w:right w:val="none" w:sz="0" w:space="0" w:color="auto"/>
      </w:divBdr>
      <w:divsChild>
        <w:div w:id="537819721">
          <w:marLeft w:val="0"/>
          <w:marRight w:val="0"/>
          <w:marTop w:val="0"/>
          <w:marBottom w:val="0"/>
          <w:divBdr>
            <w:top w:val="none" w:sz="0" w:space="0" w:color="auto"/>
            <w:left w:val="none" w:sz="0" w:space="0" w:color="auto"/>
            <w:bottom w:val="none" w:sz="0" w:space="0" w:color="auto"/>
            <w:right w:val="none" w:sz="0" w:space="0" w:color="auto"/>
          </w:divBdr>
          <w:divsChild>
            <w:div w:id="1716464504">
              <w:marLeft w:val="0"/>
              <w:marRight w:val="0"/>
              <w:marTop w:val="0"/>
              <w:marBottom w:val="0"/>
              <w:divBdr>
                <w:top w:val="none" w:sz="0" w:space="0" w:color="auto"/>
                <w:left w:val="none" w:sz="0" w:space="0" w:color="auto"/>
                <w:bottom w:val="none" w:sz="0" w:space="0" w:color="auto"/>
                <w:right w:val="none" w:sz="0" w:space="0" w:color="auto"/>
              </w:divBdr>
              <w:divsChild>
                <w:div w:id="865095058">
                  <w:marLeft w:val="0"/>
                  <w:marRight w:val="0"/>
                  <w:marTop w:val="0"/>
                  <w:marBottom w:val="0"/>
                  <w:divBdr>
                    <w:top w:val="none" w:sz="0" w:space="0" w:color="auto"/>
                    <w:left w:val="none" w:sz="0" w:space="0" w:color="auto"/>
                    <w:bottom w:val="none" w:sz="0" w:space="0" w:color="auto"/>
                    <w:right w:val="none" w:sz="0" w:space="0" w:color="auto"/>
                  </w:divBdr>
                  <w:divsChild>
                    <w:div w:id="1596357101">
                      <w:marLeft w:val="0"/>
                      <w:marRight w:val="0"/>
                      <w:marTop w:val="0"/>
                      <w:marBottom w:val="0"/>
                      <w:divBdr>
                        <w:top w:val="none" w:sz="0" w:space="0" w:color="auto"/>
                        <w:left w:val="none" w:sz="0" w:space="0" w:color="auto"/>
                        <w:bottom w:val="none" w:sz="0" w:space="0" w:color="auto"/>
                        <w:right w:val="none" w:sz="0" w:space="0" w:color="auto"/>
                      </w:divBdr>
                      <w:divsChild>
                        <w:div w:id="1266116084">
                          <w:marLeft w:val="0"/>
                          <w:marRight w:val="0"/>
                          <w:marTop w:val="0"/>
                          <w:marBottom w:val="0"/>
                          <w:divBdr>
                            <w:top w:val="none" w:sz="0" w:space="0" w:color="auto"/>
                            <w:left w:val="none" w:sz="0" w:space="0" w:color="auto"/>
                            <w:bottom w:val="none" w:sz="0" w:space="0" w:color="auto"/>
                            <w:right w:val="none" w:sz="0" w:space="0" w:color="auto"/>
                          </w:divBdr>
                          <w:divsChild>
                            <w:div w:id="204702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5393304">
      <w:bodyDiv w:val="1"/>
      <w:marLeft w:val="0"/>
      <w:marRight w:val="0"/>
      <w:marTop w:val="0"/>
      <w:marBottom w:val="0"/>
      <w:divBdr>
        <w:top w:val="none" w:sz="0" w:space="0" w:color="auto"/>
        <w:left w:val="none" w:sz="0" w:space="0" w:color="auto"/>
        <w:bottom w:val="none" w:sz="0" w:space="0" w:color="auto"/>
        <w:right w:val="none" w:sz="0" w:space="0" w:color="auto"/>
      </w:divBdr>
      <w:divsChild>
        <w:div w:id="752432795">
          <w:marLeft w:val="0"/>
          <w:marRight w:val="0"/>
          <w:marTop w:val="0"/>
          <w:marBottom w:val="0"/>
          <w:divBdr>
            <w:top w:val="none" w:sz="0" w:space="0" w:color="auto"/>
            <w:left w:val="none" w:sz="0" w:space="0" w:color="auto"/>
            <w:bottom w:val="none" w:sz="0" w:space="0" w:color="auto"/>
            <w:right w:val="none" w:sz="0" w:space="0" w:color="auto"/>
          </w:divBdr>
        </w:div>
      </w:divsChild>
    </w:div>
    <w:div w:id="2115439240">
      <w:bodyDiv w:val="1"/>
      <w:marLeft w:val="0"/>
      <w:marRight w:val="0"/>
      <w:marTop w:val="0"/>
      <w:marBottom w:val="0"/>
      <w:divBdr>
        <w:top w:val="none" w:sz="0" w:space="0" w:color="auto"/>
        <w:left w:val="none" w:sz="0" w:space="0" w:color="auto"/>
        <w:bottom w:val="none" w:sz="0" w:space="0" w:color="auto"/>
        <w:right w:val="none" w:sz="0" w:space="0" w:color="auto"/>
      </w:divBdr>
    </w:div>
    <w:div w:id="2115591697">
      <w:bodyDiv w:val="1"/>
      <w:marLeft w:val="0"/>
      <w:marRight w:val="0"/>
      <w:marTop w:val="0"/>
      <w:marBottom w:val="0"/>
      <w:divBdr>
        <w:top w:val="none" w:sz="0" w:space="0" w:color="auto"/>
        <w:left w:val="none" w:sz="0" w:space="0" w:color="auto"/>
        <w:bottom w:val="none" w:sz="0" w:space="0" w:color="auto"/>
        <w:right w:val="none" w:sz="0" w:space="0" w:color="auto"/>
      </w:divBdr>
      <w:divsChild>
        <w:div w:id="1548057779">
          <w:marLeft w:val="0"/>
          <w:marRight w:val="0"/>
          <w:marTop w:val="0"/>
          <w:marBottom w:val="0"/>
          <w:divBdr>
            <w:top w:val="none" w:sz="0" w:space="0" w:color="auto"/>
            <w:left w:val="none" w:sz="0" w:space="0" w:color="auto"/>
            <w:bottom w:val="none" w:sz="0" w:space="0" w:color="auto"/>
            <w:right w:val="none" w:sz="0" w:space="0" w:color="auto"/>
          </w:divBdr>
        </w:div>
      </w:divsChild>
    </w:div>
    <w:div w:id="2115780443">
      <w:bodyDiv w:val="1"/>
      <w:marLeft w:val="0"/>
      <w:marRight w:val="0"/>
      <w:marTop w:val="0"/>
      <w:marBottom w:val="0"/>
      <w:divBdr>
        <w:top w:val="none" w:sz="0" w:space="0" w:color="auto"/>
        <w:left w:val="none" w:sz="0" w:space="0" w:color="auto"/>
        <w:bottom w:val="none" w:sz="0" w:space="0" w:color="auto"/>
        <w:right w:val="none" w:sz="0" w:space="0" w:color="auto"/>
      </w:divBdr>
      <w:divsChild>
        <w:div w:id="2053032">
          <w:marLeft w:val="0"/>
          <w:marRight w:val="0"/>
          <w:marTop w:val="0"/>
          <w:marBottom w:val="0"/>
          <w:divBdr>
            <w:top w:val="none" w:sz="0" w:space="0" w:color="auto"/>
            <w:left w:val="none" w:sz="0" w:space="0" w:color="auto"/>
            <w:bottom w:val="dotted" w:sz="6" w:space="4" w:color="DDDDDD"/>
            <w:right w:val="none" w:sz="0" w:space="0" w:color="auto"/>
          </w:divBdr>
        </w:div>
        <w:div w:id="1020860988">
          <w:marLeft w:val="0"/>
          <w:marRight w:val="225"/>
          <w:marTop w:val="0"/>
          <w:marBottom w:val="75"/>
          <w:divBdr>
            <w:top w:val="none" w:sz="0" w:space="0" w:color="auto"/>
            <w:left w:val="none" w:sz="0" w:space="0" w:color="auto"/>
            <w:bottom w:val="none" w:sz="0" w:space="0" w:color="auto"/>
            <w:right w:val="none" w:sz="0" w:space="0" w:color="auto"/>
          </w:divBdr>
          <w:divsChild>
            <w:div w:id="180454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86968">
      <w:bodyDiv w:val="1"/>
      <w:marLeft w:val="0"/>
      <w:marRight w:val="0"/>
      <w:marTop w:val="0"/>
      <w:marBottom w:val="0"/>
      <w:divBdr>
        <w:top w:val="none" w:sz="0" w:space="0" w:color="auto"/>
        <w:left w:val="none" w:sz="0" w:space="0" w:color="auto"/>
        <w:bottom w:val="none" w:sz="0" w:space="0" w:color="auto"/>
        <w:right w:val="none" w:sz="0" w:space="0" w:color="auto"/>
      </w:divBdr>
      <w:divsChild>
        <w:div w:id="2130927756">
          <w:marLeft w:val="0"/>
          <w:marRight w:val="0"/>
          <w:marTop w:val="0"/>
          <w:marBottom w:val="0"/>
          <w:divBdr>
            <w:top w:val="none" w:sz="0" w:space="0" w:color="auto"/>
            <w:left w:val="none" w:sz="0" w:space="0" w:color="auto"/>
            <w:bottom w:val="none" w:sz="0" w:space="0" w:color="auto"/>
            <w:right w:val="none" w:sz="0" w:space="0" w:color="auto"/>
          </w:divBdr>
          <w:divsChild>
            <w:div w:id="318265607">
              <w:marLeft w:val="0"/>
              <w:marRight w:val="0"/>
              <w:marTop w:val="0"/>
              <w:marBottom w:val="0"/>
              <w:divBdr>
                <w:top w:val="none" w:sz="0" w:space="0" w:color="auto"/>
                <w:left w:val="none" w:sz="0" w:space="0" w:color="auto"/>
                <w:bottom w:val="none" w:sz="0" w:space="0" w:color="auto"/>
                <w:right w:val="none" w:sz="0" w:space="0" w:color="auto"/>
              </w:divBdr>
              <w:divsChild>
                <w:div w:id="305745285">
                  <w:marLeft w:val="0"/>
                  <w:marRight w:val="0"/>
                  <w:marTop w:val="0"/>
                  <w:marBottom w:val="0"/>
                  <w:divBdr>
                    <w:top w:val="none" w:sz="0" w:space="0" w:color="auto"/>
                    <w:left w:val="none" w:sz="0" w:space="0" w:color="auto"/>
                    <w:bottom w:val="none" w:sz="0" w:space="0" w:color="auto"/>
                    <w:right w:val="none" w:sz="0" w:space="0" w:color="auto"/>
                  </w:divBdr>
                  <w:divsChild>
                    <w:div w:id="1724939240">
                      <w:marLeft w:val="0"/>
                      <w:marRight w:val="0"/>
                      <w:marTop w:val="0"/>
                      <w:marBottom w:val="0"/>
                      <w:divBdr>
                        <w:top w:val="none" w:sz="0" w:space="0" w:color="auto"/>
                        <w:left w:val="none" w:sz="0" w:space="0" w:color="auto"/>
                        <w:bottom w:val="none" w:sz="0" w:space="0" w:color="auto"/>
                        <w:right w:val="none" w:sz="0" w:space="0" w:color="auto"/>
                      </w:divBdr>
                      <w:divsChild>
                        <w:div w:id="2105219954">
                          <w:marLeft w:val="0"/>
                          <w:marRight w:val="0"/>
                          <w:marTop w:val="0"/>
                          <w:marBottom w:val="0"/>
                          <w:divBdr>
                            <w:top w:val="none" w:sz="0" w:space="0" w:color="auto"/>
                            <w:left w:val="none" w:sz="0" w:space="0" w:color="auto"/>
                            <w:bottom w:val="none" w:sz="0" w:space="0" w:color="auto"/>
                            <w:right w:val="none" w:sz="0" w:space="0" w:color="auto"/>
                          </w:divBdr>
                          <w:divsChild>
                            <w:div w:id="199086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6558700">
      <w:bodyDiv w:val="1"/>
      <w:marLeft w:val="0"/>
      <w:marRight w:val="0"/>
      <w:marTop w:val="0"/>
      <w:marBottom w:val="0"/>
      <w:divBdr>
        <w:top w:val="none" w:sz="0" w:space="0" w:color="auto"/>
        <w:left w:val="none" w:sz="0" w:space="0" w:color="auto"/>
        <w:bottom w:val="none" w:sz="0" w:space="0" w:color="auto"/>
        <w:right w:val="none" w:sz="0" w:space="0" w:color="auto"/>
      </w:divBdr>
      <w:divsChild>
        <w:div w:id="1008562664">
          <w:marLeft w:val="0"/>
          <w:marRight w:val="0"/>
          <w:marTop w:val="0"/>
          <w:marBottom w:val="0"/>
          <w:divBdr>
            <w:top w:val="none" w:sz="0" w:space="0" w:color="auto"/>
            <w:left w:val="none" w:sz="0" w:space="0" w:color="auto"/>
            <w:bottom w:val="none" w:sz="0" w:space="0" w:color="auto"/>
            <w:right w:val="none" w:sz="0" w:space="0" w:color="auto"/>
          </w:divBdr>
          <w:divsChild>
            <w:div w:id="1304113724">
              <w:marLeft w:val="0"/>
              <w:marRight w:val="0"/>
              <w:marTop w:val="0"/>
              <w:marBottom w:val="0"/>
              <w:divBdr>
                <w:top w:val="none" w:sz="0" w:space="0" w:color="auto"/>
                <w:left w:val="none" w:sz="0" w:space="0" w:color="auto"/>
                <w:bottom w:val="none" w:sz="0" w:space="0" w:color="auto"/>
                <w:right w:val="none" w:sz="0" w:space="0" w:color="auto"/>
              </w:divBdr>
            </w:div>
          </w:divsChild>
        </w:div>
        <w:div w:id="1508402351">
          <w:marLeft w:val="0"/>
          <w:marRight w:val="0"/>
          <w:marTop w:val="0"/>
          <w:marBottom w:val="150"/>
          <w:divBdr>
            <w:top w:val="none" w:sz="0" w:space="0" w:color="auto"/>
            <w:left w:val="none" w:sz="0" w:space="0" w:color="auto"/>
            <w:bottom w:val="none" w:sz="0" w:space="0" w:color="auto"/>
            <w:right w:val="none" w:sz="0" w:space="0" w:color="auto"/>
          </w:divBdr>
        </w:div>
        <w:div w:id="1556237530">
          <w:marLeft w:val="0"/>
          <w:marRight w:val="0"/>
          <w:marTop w:val="0"/>
          <w:marBottom w:val="150"/>
          <w:divBdr>
            <w:top w:val="none" w:sz="0" w:space="0" w:color="auto"/>
            <w:left w:val="none" w:sz="0" w:space="0" w:color="auto"/>
            <w:bottom w:val="none" w:sz="0" w:space="0" w:color="auto"/>
            <w:right w:val="none" w:sz="0" w:space="0" w:color="auto"/>
          </w:divBdr>
          <w:divsChild>
            <w:div w:id="91038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561223">
      <w:bodyDiv w:val="1"/>
      <w:marLeft w:val="0"/>
      <w:marRight w:val="0"/>
      <w:marTop w:val="0"/>
      <w:marBottom w:val="0"/>
      <w:divBdr>
        <w:top w:val="none" w:sz="0" w:space="0" w:color="auto"/>
        <w:left w:val="none" w:sz="0" w:space="0" w:color="auto"/>
        <w:bottom w:val="none" w:sz="0" w:space="0" w:color="auto"/>
        <w:right w:val="none" w:sz="0" w:space="0" w:color="auto"/>
      </w:divBdr>
      <w:divsChild>
        <w:div w:id="1310940980">
          <w:marLeft w:val="0"/>
          <w:marRight w:val="0"/>
          <w:marTop w:val="0"/>
          <w:marBottom w:val="0"/>
          <w:divBdr>
            <w:top w:val="none" w:sz="0" w:space="0" w:color="auto"/>
            <w:left w:val="none" w:sz="0" w:space="0" w:color="auto"/>
            <w:bottom w:val="none" w:sz="0" w:space="0" w:color="auto"/>
            <w:right w:val="none" w:sz="0" w:space="0" w:color="auto"/>
          </w:divBdr>
          <w:divsChild>
            <w:div w:id="1627083410">
              <w:marLeft w:val="0"/>
              <w:marRight w:val="0"/>
              <w:marTop w:val="0"/>
              <w:marBottom w:val="0"/>
              <w:divBdr>
                <w:top w:val="none" w:sz="0" w:space="0" w:color="auto"/>
                <w:left w:val="none" w:sz="0" w:space="0" w:color="auto"/>
                <w:bottom w:val="none" w:sz="0" w:space="0" w:color="auto"/>
                <w:right w:val="none" w:sz="0" w:space="0" w:color="auto"/>
              </w:divBdr>
              <w:divsChild>
                <w:div w:id="1169640729">
                  <w:marLeft w:val="0"/>
                  <w:marRight w:val="0"/>
                  <w:marTop w:val="0"/>
                  <w:marBottom w:val="0"/>
                  <w:divBdr>
                    <w:top w:val="none" w:sz="0" w:space="0" w:color="auto"/>
                    <w:left w:val="none" w:sz="0" w:space="0" w:color="auto"/>
                    <w:bottom w:val="none" w:sz="0" w:space="0" w:color="auto"/>
                    <w:right w:val="none" w:sz="0" w:space="0" w:color="auto"/>
                  </w:divBdr>
                  <w:divsChild>
                    <w:div w:id="1415935226">
                      <w:marLeft w:val="0"/>
                      <w:marRight w:val="0"/>
                      <w:marTop w:val="0"/>
                      <w:marBottom w:val="0"/>
                      <w:divBdr>
                        <w:top w:val="none" w:sz="0" w:space="0" w:color="auto"/>
                        <w:left w:val="none" w:sz="0" w:space="0" w:color="auto"/>
                        <w:bottom w:val="none" w:sz="0" w:space="0" w:color="auto"/>
                        <w:right w:val="none" w:sz="0" w:space="0" w:color="auto"/>
                      </w:divBdr>
                      <w:divsChild>
                        <w:div w:id="2021393370">
                          <w:marLeft w:val="0"/>
                          <w:marRight w:val="0"/>
                          <w:marTop w:val="0"/>
                          <w:marBottom w:val="0"/>
                          <w:divBdr>
                            <w:top w:val="none" w:sz="0" w:space="0" w:color="auto"/>
                            <w:left w:val="none" w:sz="0" w:space="0" w:color="auto"/>
                            <w:bottom w:val="none" w:sz="0" w:space="0" w:color="auto"/>
                            <w:right w:val="none" w:sz="0" w:space="0" w:color="auto"/>
                          </w:divBdr>
                          <w:divsChild>
                            <w:div w:id="1895582321">
                              <w:marLeft w:val="0"/>
                              <w:marRight w:val="0"/>
                              <w:marTop w:val="0"/>
                              <w:marBottom w:val="0"/>
                              <w:divBdr>
                                <w:top w:val="none" w:sz="0" w:space="0" w:color="auto"/>
                                <w:left w:val="none" w:sz="0" w:space="0" w:color="auto"/>
                                <w:bottom w:val="none" w:sz="0" w:space="0" w:color="auto"/>
                                <w:right w:val="none" w:sz="0" w:space="0" w:color="auto"/>
                              </w:divBdr>
                              <w:divsChild>
                                <w:div w:id="516311051">
                                  <w:marLeft w:val="0"/>
                                  <w:marRight w:val="0"/>
                                  <w:marTop w:val="0"/>
                                  <w:marBottom w:val="0"/>
                                  <w:divBdr>
                                    <w:top w:val="none" w:sz="0" w:space="0" w:color="auto"/>
                                    <w:left w:val="none" w:sz="0" w:space="0" w:color="auto"/>
                                    <w:bottom w:val="none" w:sz="0" w:space="0" w:color="auto"/>
                                    <w:right w:val="none" w:sz="0" w:space="0" w:color="auto"/>
                                  </w:divBdr>
                                  <w:divsChild>
                                    <w:div w:id="14115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704612">
      <w:bodyDiv w:val="1"/>
      <w:marLeft w:val="0"/>
      <w:marRight w:val="0"/>
      <w:marTop w:val="0"/>
      <w:marBottom w:val="0"/>
      <w:divBdr>
        <w:top w:val="none" w:sz="0" w:space="0" w:color="auto"/>
        <w:left w:val="none" w:sz="0" w:space="0" w:color="auto"/>
        <w:bottom w:val="none" w:sz="0" w:space="0" w:color="auto"/>
        <w:right w:val="none" w:sz="0" w:space="0" w:color="auto"/>
      </w:divBdr>
    </w:div>
    <w:div w:id="2116823301">
      <w:bodyDiv w:val="1"/>
      <w:marLeft w:val="0"/>
      <w:marRight w:val="0"/>
      <w:marTop w:val="0"/>
      <w:marBottom w:val="0"/>
      <w:divBdr>
        <w:top w:val="none" w:sz="0" w:space="0" w:color="auto"/>
        <w:left w:val="none" w:sz="0" w:space="0" w:color="auto"/>
        <w:bottom w:val="none" w:sz="0" w:space="0" w:color="auto"/>
        <w:right w:val="none" w:sz="0" w:space="0" w:color="auto"/>
      </w:divBdr>
      <w:divsChild>
        <w:div w:id="1207527861">
          <w:marLeft w:val="0"/>
          <w:marRight w:val="0"/>
          <w:marTop w:val="0"/>
          <w:marBottom w:val="0"/>
          <w:divBdr>
            <w:top w:val="none" w:sz="0" w:space="0" w:color="auto"/>
            <w:left w:val="none" w:sz="0" w:space="0" w:color="auto"/>
            <w:bottom w:val="none" w:sz="0" w:space="0" w:color="auto"/>
            <w:right w:val="none" w:sz="0" w:space="0" w:color="auto"/>
          </w:divBdr>
          <w:divsChild>
            <w:div w:id="1252809379">
              <w:marLeft w:val="0"/>
              <w:marRight w:val="0"/>
              <w:marTop w:val="0"/>
              <w:marBottom w:val="0"/>
              <w:divBdr>
                <w:top w:val="none" w:sz="0" w:space="0" w:color="auto"/>
                <w:left w:val="none" w:sz="0" w:space="0" w:color="auto"/>
                <w:bottom w:val="none" w:sz="0" w:space="0" w:color="auto"/>
                <w:right w:val="none" w:sz="0" w:space="0" w:color="auto"/>
              </w:divBdr>
              <w:divsChild>
                <w:div w:id="87314509">
                  <w:marLeft w:val="0"/>
                  <w:marRight w:val="0"/>
                  <w:marTop w:val="0"/>
                  <w:marBottom w:val="0"/>
                  <w:divBdr>
                    <w:top w:val="none" w:sz="0" w:space="0" w:color="auto"/>
                    <w:left w:val="none" w:sz="0" w:space="0" w:color="auto"/>
                    <w:bottom w:val="none" w:sz="0" w:space="0" w:color="auto"/>
                    <w:right w:val="none" w:sz="0" w:space="0" w:color="auto"/>
                  </w:divBdr>
                  <w:divsChild>
                    <w:div w:id="1129785881">
                      <w:marLeft w:val="0"/>
                      <w:marRight w:val="0"/>
                      <w:marTop w:val="0"/>
                      <w:marBottom w:val="0"/>
                      <w:divBdr>
                        <w:top w:val="none" w:sz="0" w:space="0" w:color="auto"/>
                        <w:left w:val="none" w:sz="0" w:space="0" w:color="auto"/>
                        <w:bottom w:val="none" w:sz="0" w:space="0" w:color="auto"/>
                        <w:right w:val="none" w:sz="0" w:space="0" w:color="auto"/>
                      </w:divBdr>
                      <w:divsChild>
                        <w:div w:id="314922439">
                          <w:marLeft w:val="0"/>
                          <w:marRight w:val="0"/>
                          <w:marTop w:val="0"/>
                          <w:marBottom w:val="0"/>
                          <w:divBdr>
                            <w:top w:val="none" w:sz="0" w:space="0" w:color="auto"/>
                            <w:left w:val="none" w:sz="0" w:space="0" w:color="auto"/>
                            <w:bottom w:val="none" w:sz="0" w:space="0" w:color="auto"/>
                            <w:right w:val="none" w:sz="0" w:space="0" w:color="auto"/>
                          </w:divBdr>
                          <w:divsChild>
                            <w:div w:id="1521965476">
                              <w:marLeft w:val="0"/>
                              <w:marRight w:val="0"/>
                              <w:marTop w:val="0"/>
                              <w:marBottom w:val="0"/>
                              <w:divBdr>
                                <w:top w:val="none" w:sz="0" w:space="0" w:color="auto"/>
                                <w:left w:val="none" w:sz="0" w:space="0" w:color="auto"/>
                                <w:bottom w:val="none" w:sz="0" w:space="0" w:color="auto"/>
                                <w:right w:val="none" w:sz="0" w:space="0" w:color="auto"/>
                              </w:divBdr>
                              <w:divsChild>
                                <w:div w:id="1340155766">
                                  <w:marLeft w:val="0"/>
                                  <w:marRight w:val="0"/>
                                  <w:marTop w:val="0"/>
                                  <w:marBottom w:val="0"/>
                                  <w:divBdr>
                                    <w:top w:val="none" w:sz="0" w:space="0" w:color="auto"/>
                                    <w:left w:val="none" w:sz="0" w:space="0" w:color="auto"/>
                                    <w:bottom w:val="none" w:sz="0" w:space="0" w:color="auto"/>
                                    <w:right w:val="none" w:sz="0" w:space="0" w:color="auto"/>
                                  </w:divBdr>
                                  <w:divsChild>
                                    <w:div w:id="209670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830027">
      <w:bodyDiv w:val="1"/>
      <w:marLeft w:val="0"/>
      <w:marRight w:val="0"/>
      <w:marTop w:val="0"/>
      <w:marBottom w:val="0"/>
      <w:divBdr>
        <w:top w:val="none" w:sz="0" w:space="0" w:color="auto"/>
        <w:left w:val="none" w:sz="0" w:space="0" w:color="auto"/>
        <w:bottom w:val="none" w:sz="0" w:space="0" w:color="auto"/>
        <w:right w:val="none" w:sz="0" w:space="0" w:color="auto"/>
      </w:divBdr>
      <w:divsChild>
        <w:div w:id="812217882">
          <w:marLeft w:val="0"/>
          <w:marRight w:val="0"/>
          <w:marTop w:val="0"/>
          <w:marBottom w:val="0"/>
          <w:divBdr>
            <w:top w:val="none" w:sz="0" w:space="0" w:color="auto"/>
            <w:left w:val="none" w:sz="0" w:space="0" w:color="auto"/>
            <w:bottom w:val="none" w:sz="0" w:space="0" w:color="auto"/>
            <w:right w:val="none" w:sz="0" w:space="0" w:color="auto"/>
          </w:divBdr>
        </w:div>
      </w:divsChild>
    </w:div>
    <w:div w:id="2117554182">
      <w:bodyDiv w:val="1"/>
      <w:marLeft w:val="0"/>
      <w:marRight w:val="0"/>
      <w:marTop w:val="0"/>
      <w:marBottom w:val="0"/>
      <w:divBdr>
        <w:top w:val="none" w:sz="0" w:space="0" w:color="auto"/>
        <w:left w:val="none" w:sz="0" w:space="0" w:color="auto"/>
        <w:bottom w:val="none" w:sz="0" w:space="0" w:color="auto"/>
        <w:right w:val="none" w:sz="0" w:space="0" w:color="auto"/>
      </w:divBdr>
      <w:divsChild>
        <w:div w:id="1200514228">
          <w:marLeft w:val="0"/>
          <w:marRight w:val="0"/>
          <w:marTop w:val="0"/>
          <w:marBottom w:val="225"/>
          <w:divBdr>
            <w:top w:val="none" w:sz="0" w:space="0" w:color="auto"/>
            <w:left w:val="none" w:sz="0" w:space="0" w:color="auto"/>
            <w:bottom w:val="none" w:sz="0" w:space="0" w:color="auto"/>
            <w:right w:val="none" w:sz="0" w:space="0" w:color="auto"/>
          </w:divBdr>
          <w:divsChild>
            <w:div w:id="1515999199">
              <w:marLeft w:val="0"/>
              <w:marRight w:val="0"/>
              <w:marTop w:val="0"/>
              <w:marBottom w:val="0"/>
              <w:divBdr>
                <w:top w:val="none" w:sz="0" w:space="0" w:color="auto"/>
                <w:left w:val="none" w:sz="0" w:space="0" w:color="auto"/>
                <w:bottom w:val="none" w:sz="0" w:space="0" w:color="auto"/>
                <w:right w:val="none" w:sz="0" w:space="0" w:color="auto"/>
              </w:divBdr>
              <w:divsChild>
                <w:div w:id="179643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091942">
          <w:marLeft w:val="0"/>
          <w:marRight w:val="0"/>
          <w:marTop w:val="0"/>
          <w:marBottom w:val="225"/>
          <w:divBdr>
            <w:top w:val="none" w:sz="0" w:space="0" w:color="auto"/>
            <w:left w:val="none" w:sz="0" w:space="0" w:color="auto"/>
            <w:bottom w:val="none" w:sz="0" w:space="0" w:color="auto"/>
            <w:right w:val="none" w:sz="0" w:space="0" w:color="auto"/>
          </w:divBdr>
        </w:div>
      </w:divsChild>
    </w:div>
    <w:div w:id="2117629506">
      <w:bodyDiv w:val="1"/>
      <w:marLeft w:val="0"/>
      <w:marRight w:val="0"/>
      <w:marTop w:val="0"/>
      <w:marBottom w:val="0"/>
      <w:divBdr>
        <w:top w:val="none" w:sz="0" w:space="0" w:color="auto"/>
        <w:left w:val="none" w:sz="0" w:space="0" w:color="auto"/>
        <w:bottom w:val="none" w:sz="0" w:space="0" w:color="auto"/>
        <w:right w:val="none" w:sz="0" w:space="0" w:color="auto"/>
      </w:divBdr>
      <w:divsChild>
        <w:div w:id="2128696009">
          <w:marLeft w:val="0"/>
          <w:marRight w:val="0"/>
          <w:marTop w:val="0"/>
          <w:marBottom w:val="150"/>
          <w:divBdr>
            <w:top w:val="none" w:sz="0" w:space="0" w:color="auto"/>
            <w:left w:val="none" w:sz="0" w:space="0" w:color="auto"/>
            <w:bottom w:val="none" w:sz="0" w:space="0" w:color="auto"/>
            <w:right w:val="none" w:sz="0" w:space="0" w:color="auto"/>
          </w:divBdr>
        </w:div>
      </w:divsChild>
    </w:div>
    <w:div w:id="2118329332">
      <w:bodyDiv w:val="1"/>
      <w:marLeft w:val="0"/>
      <w:marRight w:val="0"/>
      <w:marTop w:val="0"/>
      <w:marBottom w:val="0"/>
      <w:divBdr>
        <w:top w:val="none" w:sz="0" w:space="0" w:color="auto"/>
        <w:left w:val="none" w:sz="0" w:space="0" w:color="auto"/>
        <w:bottom w:val="none" w:sz="0" w:space="0" w:color="auto"/>
        <w:right w:val="none" w:sz="0" w:space="0" w:color="auto"/>
      </w:divBdr>
      <w:divsChild>
        <w:div w:id="507408121">
          <w:marLeft w:val="0"/>
          <w:marRight w:val="0"/>
          <w:marTop w:val="0"/>
          <w:marBottom w:val="0"/>
          <w:divBdr>
            <w:top w:val="none" w:sz="0" w:space="0" w:color="auto"/>
            <w:left w:val="none" w:sz="0" w:space="0" w:color="auto"/>
            <w:bottom w:val="none" w:sz="0" w:space="0" w:color="auto"/>
            <w:right w:val="none" w:sz="0" w:space="0" w:color="auto"/>
          </w:divBdr>
          <w:divsChild>
            <w:div w:id="262232384">
              <w:marLeft w:val="0"/>
              <w:marRight w:val="0"/>
              <w:marTop w:val="0"/>
              <w:marBottom w:val="0"/>
              <w:divBdr>
                <w:top w:val="none" w:sz="0" w:space="0" w:color="auto"/>
                <w:left w:val="none" w:sz="0" w:space="0" w:color="auto"/>
                <w:bottom w:val="none" w:sz="0" w:space="0" w:color="auto"/>
                <w:right w:val="none" w:sz="0" w:space="0" w:color="auto"/>
              </w:divBdr>
              <w:divsChild>
                <w:div w:id="484705831">
                  <w:marLeft w:val="0"/>
                  <w:marRight w:val="0"/>
                  <w:marTop w:val="0"/>
                  <w:marBottom w:val="0"/>
                  <w:divBdr>
                    <w:top w:val="none" w:sz="0" w:space="0" w:color="auto"/>
                    <w:left w:val="none" w:sz="0" w:space="0" w:color="auto"/>
                    <w:bottom w:val="none" w:sz="0" w:space="0" w:color="auto"/>
                    <w:right w:val="none" w:sz="0" w:space="0" w:color="auto"/>
                  </w:divBdr>
                  <w:divsChild>
                    <w:div w:id="664822234">
                      <w:marLeft w:val="0"/>
                      <w:marRight w:val="0"/>
                      <w:marTop w:val="0"/>
                      <w:marBottom w:val="0"/>
                      <w:divBdr>
                        <w:top w:val="none" w:sz="0" w:space="0" w:color="auto"/>
                        <w:left w:val="none" w:sz="0" w:space="0" w:color="auto"/>
                        <w:bottom w:val="none" w:sz="0" w:space="0" w:color="auto"/>
                        <w:right w:val="none" w:sz="0" w:space="0" w:color="auto"/>
                      </w:divBdr>
                      <w:divsChild>
                        <w:div w:id="1853758627">
                          <w:marLeft w:val="0"/>
                          <w:marRight w:val="0"/>
                          <w:marTop w:val="0"/>
                          <w:marBottom w:val="0"/>
                          <w:divBdr>
                            <w:top w:val="none" w:sz="0" w:space="0" w:color="auto"/>
                            <w:left w:val="none" w:sz="0" w:space="0" w:color="auto"/>
                            <w:bottom w:val="none" w:sz="0" w:space="0" w:color="auto"/>
                            <w:right w:val="none" w:sz="0" w:space="0" w:color="auto"/>
                          </w:divBdr>
                          <w:divsChild>
                            <w:div w:id="607738332">
                              <w:marLeft w:val="0"/>
                              <w:marRight w:val="0"/>
                              <w:marTop w:val="0"/>
                              <w:marBottom w:val="0"/>
                              <w:divBdr>
                                <w:top w:val="none" w:sz="0" w:space="0" w:color="auto"/>
                                <w:left w:val="none" w:sz="0" w:space="0" w:color="auto"/>
                                <w:bottom w:val="none" w:sz="0" w:space="0" w:color="auto"/>
                                <w:right w:val="none" w:sz="0" w:space="0" w:color="auto"/>
                              </w:divBdr>
                              <w:divsChild>
                                <w:div w:id="1115171477">
                                  <w:marLeft w:val="0"/>
                                  <w:marRight w:val="0"/>
                                  <w:marTop w:val="0"/>
                                  <w:marBottom w:val="0"/>
                                  <w:divBdr>
                                    <w:top w:val="none" w:sz="0" w:space="0" w:color="auto"/>
                                    <w:left w:val="none" w:sz="0" w:space="0" w:color="auto"/>
                                    <w:bottom w:val="none" w:sz="0" w:space="0" w:color="auto"/>
                                    <w:right w:val="none" w:sz="0" w:space="0" w:color="auto"/>
                                  </w:divBdr>
                                  <w:divsChild>
                                    <w:div w:id="1081872216">
                                      <w:marLeft w:val="0"/>
                                      <w:marRight w:val="0"/>
                                      <w:marTop w:val="0"/>
                                      <w:marBottom w:val="0"/>
                                      <w:divBdr>
                                        <w:top w:val="none" w:sz="0" w:space="0" w:color="auto"/>
                                        <w:left w:val="none" w:sz="0" w:space="0" w:color="auto"/>
                                        <w:bottom w:val="none" w:sz="0" w:space="0" w:color="auto"/>
                                        <w:right w:val="none" w:sz="0" w:space="0" w:color="auto"/>
                                      </w:divBdr>
                                      <w:divsChild>
                                        <w:div w:id="51334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8479929">
      <w:bodyDiv w:val="1"/>
      <w:marLeft w:val="0"/>
      <w:marRight w:val="0"/>
      <w:marTop w:val="0"/>
      <w:marBottom w:val="0"/>
      <w:divBdr>
        <w:top w:val="none" w:sz="0" w:space="0" w:color="auto"/>
        <w:left w:val="none" w:sz="0" w:space="0" w:color="auto"/>
        <w:bottom w:val="none" w:sz="0" w:space="0" w:color="auto"/>
        <w:right w:val="none" w:sz="0" w:space="0" w:color="auto"/>
      </w:divBdr>
      <w:divsChild>
        <w:div w:id="1915971781">
          <w:marLeft w:val="0"/>
          <w:marRight w:val="0"/>
          <w:marTop w:val="0"/>
          <w:marBottom w:val="0"/>
          <w:divBdr>
            <w:top w:val="none" w:sz="0" w:space="0" w:color="auto"/>
            <w:left w:val="none" w:sz="0" w:space="0" w:color="auto"/>
            <w:bottom w:val="none" w:sz="0" w:space="0" w:color="auto"/>
            <w:right w:val="none" w:sz="0" w:space="0" w:color="auto"/>
          </w:divBdr>
          <w:divsChild>
            <w:div w:id="33848235">
              <w:marLeft w:val="0"/>
              <w:marRight w:val="0"/>
              <w:marTop w:val="0"/>
              <w:marBottom w:val="0"/>
              <w:divBdr>
                <w:top w:val="none" w:sz="0" w:space="0" w:color="auto"/>
                <w:left w:val="none" w:sz="0" w:space="0" w:color="auto"/>
                <w:bottom w:val="none" w:sz="0" w:space="0" w:color="auto"/>
                <w:right w:val="none" w:sz="0" w:space="0" w:color="auto"/>
              </w:divBdr>
              <w:divsChild>
                <w:div w:id="425686097">
                  <w:marLeft w:val="0"/>
                  <w:marRight w:val="0"/>
                  <w:marTop w:val="0"/>
                  <w:marBottom w:val="0"/>
                  <w:divBdr>
                    <w:top w:val="none" w:sz="0" w:space="0" w:color="auto"/>
                    <w:left w:val="none" w:sz="0" w:space="0" w:color="auto"/>
                    <w:bottom w:val="none" w:sz="0" w:space="0" w:color="auto"/>
                    <w:right w:val="none" w:sz="0" w:space="0" w:color="auto"/>
                  </w:divBdr>
                  <w:divsChild>
                    <w:div w:id="152599741">
                      <w:marLeft w:val="0"/>
                      <w:marRight w:val="0"/>
                      <w:marTop w:val="0"/>
                      <w:marBottom w:val="0"/>
                      <w:divBdr>
                        <w:top w:val="none" w:sz="0" w:space="0" w:color="auto"/>
                        <w:left w:val="none" w:sz="0" w:space="0" w:color="auto"/>
                        <w:bottom w:val="none" w:sz="0" w:space="0" w:color="auto"/>
                        <w:right w:val="none" w:sz="0" w:space="0" w:color="auto"/>
                      </w:divBdr>
                      <w:divsChild>
                        <w:div w:id="2054302580">
                          <w:marLeft w:val="0"/>
                          <w:marRight w:val="0"/>
                          <w:marTop w:val="0"/>
                          <w:marBottom w:val="0"/>
                          <w:divBdr>
                            <w:top w:val="none" w:sz="0" w:space="0" w:color="auto"/>
                            <w:left w:val="none" w:sz="0" w:space="0" w:color="auto"/>
                            <w:bottom w:val="none" w:sz="0" w:space="0" w:color="auto"/>
                            <w:right w:val="none" w:sz="0" w:space="0" w:color="auto"/>
                          </w:divBdr>
                          <w:divsChild>
                            <w:div w:id="2023194519">
                              <w:marLeft w:val="0"/>
                              <w:marRight w:val="0"/>
                              <w:marTop w:val="0"/>
                              <w:marBottom w:val="0"/>
                              <w:divBdr>
                                <w:top w:val="none" w:sz="0" w:space="0" w:color="auto"/>
                                <w:left w:val="none" w:sz="0" w:space="0" w:color="auto"/>
                                <w:bottom w:val="none" w:sz="0" w:space="0" w:color="auto"/>
                                <w:right w:val="none" w:sz="0" w:space="0" w:color="auto"/>
                              </w:divBdr>
                              <w:divsChild>
                                <w:div w:id="391659918">
                                  <w:marLeft w:val="0"/>
                                  <w:marRight w:val="0"/>
                                  <w:marTop w:val="0"/>
                                  <w:marBottom w:val="0"/>
                                  <w:divBdr>
                                    <w:top w:val="none" w:sz="0" w:space="0" w:color="auto"/>
                                    <w:left w:val="none" w:sz="0" w:space="0" w:color="auto"/>
                                    <w:bottom w:val="none" w:sz="0" w:space="0" w:color="auto"/>
                                    <w:right w:val="none" w:sz="0" w:space="0" w:color="auto"/>
                                  </w:divBdr>
                                  <w:divsChild>
                                    <w:div w:id="1541093184">
                                      <w:marLeft w:val="0"/>
                                      <w:marRight w:val="0"/>
                                      <w:marTop w:val="0"/>
                                      <w:marBottom w:val="0"/>
                                      <w:divBdr>
                                        <w:top w:val="none" w:sz="0" w:space="0" w:color="auto"/>
                                        <w:left w:val="none" w:sz="0" w:space="0" w:color="auto"/>
                                        <w:bottom w:val="none" w:sz="0" w:space="0" w:color="auto"/>
                                        <w:right w:val="none" w:sz="0" w:space="0" w:color="auto"/>
                                      </w:divBdr>
                                      <w:divsChild>
                                        <w:div w:id="1265335107">
                                          <w:marLeft w:val="0"/>
                                          <w:marRight w:val="0"/>
                                          <w:marTop w:val="0"/>
                                          <w:marBottom w:val="0"/>
                                          <w:divBdr>
                                            <w:top w:val="none" w:sz="0" w:space="0" w:color="auto"/>
                                            <w:left w:val="none" w:sz="0" w:space="0" w:color="auto"/>
                                            <w:bottom w:val="none" w:sz="0" w:space="0" w:color="auto"/>
                                            <w:right w:val="none" w:sz="0" w:space="0" w:color="auto"/>
                                          </w:divBdr>
                                        </w:div>
                                        <w:div w:id="1888568761">
                                          <w:marLeft w:val="0"/>
                                          <w:marRight w:val="0"/>
                                          <w:marTop w:val="0"/>
                                          <w:marBottom w:val="0"/>
                                          <w:divBdr>
                                            <w:top w:val="none" w:sz="0" w:space="0" w:color="auto"/>
                                            <w:left w:val="none" w:sz="0" w:space="0" w:color="auto"/>
                                            <w:bottom w:val="none" w:sz="0" w:space="0" w:color="auto"/>
                                            <w:right w:val="none" w:sz="0" w:space="0" w:color="auto"/>
                                          </w:divBdr>
                                        </w:div>
                                      </w:divsChild>
                                    </w:div>
                                    <w:div w:id="1740667589">
                                      <w:marLeft w:val="0"/>
                                      <w:marRight w:val="0"/>
                                      <w:marTop w:val="0"/>
                                      <w:marBottom w:val="0"/>
                                      <w:divBdr>
                                        <w:top w:val="none" w:sz="0" w:space="0" w:color="auto"/>
                                        <w:left w:val="none" w:sz="0" w:space="0" w:color="auto"/>
                                        <w:bottom w:val="none" w:sz="0" w:space="0" w:color="auto"/>
                                        <w:right w:val="none" w:sz="0" w:space="0" w:color="auto"/>
                                      </w:divBdr>
                                      <w:divsChild>
                                        <w:div w:id="101758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8526287">
      <w:bodyDiv w:val="1"/>
      <w:marLeft w:val="0"/>
      <w:marRight w:val="0"/>
      <w:marTop w:val="0"/>
      <w:marBottom w:val="0"/>
      <w:divBdr>
        <w:top w:val="none" w:sz="0" w:space="0" w:color="auto"/>
        <w:left w:val="none" w:sz="0" w:space="0" w:color="auto"/>
        <w:bottom w:val="none" w:sz="0" w:space="0" w:color="auto"/>
        <w:right w:val="none" w:sz="0" w:space="0" w:color="auto"/>
      </w:divBdr>
      <w:divsChild>
        <w:div w:id="1728184353">
          <w:marLeft w:val="0"/>
          <w:marRight w:val="0"/>
          <w:marTop w:val="0"/>
          <w:marBottom w:val="0"/>
          <w:divBdr>
            <w:top w:val="none" w:sz="0" w:space="0" w:color="auto"/>
            <w:left w:val="none" w:sz="0" w:space="0" w:color="auto"/>
            <w:bottom w:val="dotted" w:sz="6" w:space="4" w:color="DDDDDD"/>
            <w:right w:val="none" w:sz="0" w:space="0" w:color="auto"/>
          </w:divBdr>
          <w:divsChild>
            <w:div w:id="180226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718499">
      <w:bodyDiv w:val="1"/>
      <w:marLeft w:val="0"/>
      <w:marRight w:val="0"/>
      <w:marTop w:val="0"/>
      <w:marBottom w:val="0"/>
      <w:divBdr>
        <w:top w:val="none" w:sz="0" w:space="0" w:color="auto"/>
        <w:left w:val="none" w:sz="0" w:space="0" w:color="auto"/>
        <w:bottom w:val="none" w:sz="0" w:space="0" w:color="auto"/>
        <w:right w:val="none" w:sz="0" w:space="0" w:color="auto"/>
      </w:divBdr>
    </w:div>
    <w:div w:id="2119252290">
      <w:bodyDiv w:val="1"/>
      <w:marLeft w:val="0"/>
      <w:marRight w:val="0"/>
      <w:marTop w:val="0"/>
      <w:marBottom w:val="0"/>
      <w:divBdr>
        <w:top w:val="none" w:sz="0" w:space="0" w:color="auto"/>
        <w:left w:val="none" w:sz="0" w:space="0" w:color="auto"/>
        <w:bottom w:val="none" w:sz="0" w:space="0" w:color="auto"/>
        <w:right w:val="none" w:sz="0" w:space="0" w:color="auto"/>
      </w:divBdr>
    </w:div>
    <w:div w:id="2119256074">
      <w:bodyDiv w:val="1"/>
      <w:marLeft w:val="0"/>
      <w:marRight w:val="0"/>
      <w:marTop w:val="0"/>
      <w:marBottom w:val="0"/>
      <w:divBdr>
        <w:top w:val="none" w:sz="0" w:space="0" w:color="auto"/>
        <w:left w:val="none" w:sz="0" w:space="0" w:color="auto"/>
        <w:bottom w:val="none" w:sz="0" w:space="0" w:color="auto"/>
        <w:right w:val="none" w:sz="0" w:space="0" w:color="auto"/>
      </w:divBdr>
    </w:div>
    <w:div w:id="2119593207">
      <w:bodyDiv w:val="1"/>
      <w:marLeft w:val="0"/>
      <w:marRight w:val="0"/>
      <w:marTop w:val="0"/>
      <w:marBottom w:val="0"/>
      <w:divBdr>
        <w:top w:val="none" w:sz="0" w:space="0" w:color="auto"/>
        <w:left w:val="none" w:sz="0" w:space="0" w:color="auto"/>
        <w:bottom w:val="none" w:sz="0" w:space="0" w:color="auto"/>
        <w:right w:val="none" w:sz="0" w:space="0" w:color="auto"/>
      </w:divBdr>
      <w:divsChild>
        <w:div w:id="977494236">
          <w:marLeft w:val="0"/>
          <w:marRight w:val="0"/>
          <w:marTop w:val="0"/>
          <w:marBottom w:val="0"/>
          <w:divBdr>
            <w:top w:val="none" w:sz="0" w:space="0" w:color="auto"/>
            <w:left w:val="none" w:sz="0" w:space="0" w:color="auto"/>
            <w:bottom w:val="none" w:sz="0" w:space="0" w:color="auto"/>
            <w:right w:val="none" w:sz="0" w:space="0" w:color="auto"/>
          </w:divBdr>
        </w:div>
      </w:divsChild>
    </w:div>
    <w:div w:id="2119983490">
      <w:bodyDiv w:val="1"/>
      <w:marLeft w:val="0"/>
      <w:marRight w:val="0"/>
      <w:marTop w:val="0"/>
      <w:marBottom w:val="0"/>
      <w:divBdr>
        <w:top w:val="none" w:sz="0" w:space="0" w:color="auto"/>
        <w:left w:val="none" w:sz="0" w:space="0" w:color="auto"/>
        <w:bottom w:val="none" w:sz="0" w:space="0" w:color="auto"/>
        <w:right w:val="none" w:sz="0" w:space="0" w:color="auto"/>
      </w:divBdr>
      <w:divsChild>
        <w:div w:id="1238006899">
          <w:marLeft w:val="0"/>
          <w:marRight w:val="0"/>
          <w:marTop w:val="0"/>
          <w:marBottom w:val="0"/>
          <w:divBdr>
            <w:top w:val="none" w:sz="0" w:space="0" w:color="auto"/>
            <w:left w:val="none" w:sz="0" w:space="0" w:color="auto"/>
            <w:bottom w:val="none" w:sz="0" w:space="0" w:color="auto"/>
            <w:right w:val="none" w:sz="0" w:space="0" w:color="auto"/>
          </w:divBdr>
          <w:divsChild>
            <w:div w:id="2146853687">
              <w:marLeft w:val="0"/>
              <w:marRight w:val="0"/>
              <w:marTop w:val="0"/>
              <w:marBottom w:val="0"/>
              <w:divBdr>
                <w:top w:val="none" w:sz="0" w:space="0" w:color="auto"/>
                <w:left w:val="none" w:sz="0" w:space="0" w:color="auto"/>
                <w:bottom w:val="none" w:sz="0" w:space="0" w:color="auto"/>
                <w:right w:val="none" w:sz="0" w:space="0" w:color="auto"/>
              </w:divBdr>
              <w:divsChild>
                <w:div w:id="2069067507">
                  <w:marLeft w:val="0"/>
                  <w:marRight w:val="0"/>
                  <w:marTop w:val="0"/>
                  <w:marBottom w:val="0"/>
                  <w:divBdr>
                    <w:top w:val="none" w:sz="0" w:space="0" w:color="auto"/>
                    <w:left w:val="none" w:sz="0" w:space="0" w:color="auto"/>
                    <w:bottom w:val="none" w:sz="0" w:space="0" w:color="auto"/>
                    <w:right w:val="none" w:sz="0" w:space="0" w:color="auto"/>
                  </w:divBdr>
                  <w:divsChild>
                    <w:div w:id="1009408460">
                      <w:marLeft w:val="0"/>
                      <w:marRight w:val="0"/>
                      <w:marTop w:val="0"/>
                      <w:marBottom w:val="0"/>
                      <w:divBdr>
                        <w:top w:val="none" w:sz="0" w:space="0" w:color="auto"/>
                        <w:left w:val="none" w:sz="0" w:space="0" w:color="auto"/>
                        <w:bottom w:val="none" w:sz="0" w:space="0" w:color="auto"/>
                        <w:right w:val="none" w:sz="0" w:space="0" w:color="auto"/>
                      </w:divBdr>
                      <w:divsChild>
                        <w:div w:id="174275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0098872">
      <w:bodyDiv w:val="1"/>
      <w:marLeft w:val="0"/>
      <w:marRight w:val="0"/>
      <w:marTop w:val="0"/>
      <w:marBottom w:val="0"/>
      <w:divBdr>
        <w:top w:val="none" w:sz="0" w:space="0" w:color="auto"/>
        <w:left w:val="none" w:sz="0" w:space="0" w:color="auto"/>
        <w:bottom w:val="none" w:sz="0" w:space="0" w:color="auto"/>
        <w:right w:val="none" w:sz="0" w:space="0" w:color="auto"/>
      </w:divBdr>
      <w:divsChild>
        <w:div w:id="778986503">
          <w:marLeft w:val="0"/>
          <w:marRight w:val="0"/>
          <w:marTop w:val="0"/>
          <w:marBottom w:val="0"/>
          <w:divBdr>
            <w:top w:val="none" w:sz="0" w:space="0" w:color="auto"/>
            <w:left w:val="none" w:sz="0" w:space="0" w:color="auto"/>
            <w:bottom w:val="dotted" w:sz="6" w:space="4" w:color="DDDDDD"/>
            <w:right w:val="none" w:sz="0" w:space="0" w:color="auto"/>
          </w:divBdr>
        </w:div>
      </w:divsChild>
    </w:div>
    <w:div w:id="2120176497">
      <w:bodyDiv w:val="1"/>
      <w:marLeft w:val="0"/>
      <w:marRight w:val="0"/>
      <w:marTop w:val="0"/>
      <w:marBottom w:val="0"/>
      <w:divBdr>
        <w:top w:val="none" w:sz="0" w:space="0" w:color="auto"/>
        <w:left w:val="none" w:sz="0" w:space="0" w:color="auto"/>
        <w:bottom w:val="none" w:sz="0" w:space="0" w:color="auto"/>
        <w:right w:val="none" w:sz="0" w:space="0" w:color="auto"/>
      </w:divBdr>
      <w:divsChild>
        <w:div w:id="1022511045">
          <w:marLeft w:val="0"/>
          <w:marRight w:val="0"/>
          <w:marTop w:val="0"/>
          <w:marBottom w:val="0"/>
          <w:divBdr>
            <w:top w:val="none" w:sz="0" w:space="0" w:color="auto"/>
            <w:left w:val="none" w:sz="0" w:space="0" w:color="auto"/>
            <w:bottom w:val="none" w:sz="0" w:space="0" w:color="auto"/>
            <w:right w:val="none" w:sz="0" w:space="0" w:color="auto"/>
          </w:divBdr>
          <w:divsChild>
            <w:div w:id="1928733366">
              <w:marLeft w:val="0"/>
              <w:marRight w:val="0"/>
              <w:marTop w:val="0"/>
              <w:marBottom w:val="0"/>
              <w:divBdr>
                <w:top w:val="none" w:sz="0" w:space="0" w:color="auto"/>
                <w:left w:val="none" w:sz="0" w:space="0" w:color="auto"/>
                <w:bottom w:val="none" w:sz="0" w:space="0" w:color="auto"/>
                <w:right w:val="none" w:sz="0" w:space="0" w:color="auto"/>
              </w:divBdr>
              <w:divsChild>
                <w:div w:id="1166360670">
                  <w:marLeft w:val="0"/>
                  <w:marRight w:val="0"/>
                  <w:marTop w:val="0"/>
                  <w:marBottom w:val="0"/>
                  <w:divBdr>
                    <w:top w:val="none" w:sz="0" w:space="0" w:color="auto"/>
                    <w:left w:val="none" w:sz="0" w:space="0" w:color="auto"/>
                    <w:bottom w:val="none" w:sz="0" w:space="0" w:color="auto"/>
                    <w:right w:val="none" w:sz="0" w:space="0" w:color="auto"/>
                  </w:divBdr>
                  <w:divsChild>
                    <w:div w:id="377241403">
                      <w:marLeft w:val="0"/>
                      <w:marRight w:val="0"/>
                      <w:marTop w:val="0"/>
                      <w:marBottom w:val="0"/>
                      <w:divBdr>
                        <w:top w:val="none" w:sz="0" w:space="0" w:color="auto"/>
                        <w:left w:val="none" w:sz="0" w:space="0" w:color="auto"/>
                        <w:bottom w:val="none" w:sz="0" w:space="0" w:color="auto"/>
                        <w:right w:val="none" w:sz="0" w:space="0" w:color="auto"/>
                      </w:divBdr>
                      <w:divsChild>
                        <w:div w:id="126894745">
                          <w:marLeft w:val="0"/>
                          <w:marRight w:val="0"/>
                          <w:marTop w:val="0"/>
                          <w:marBottom w:val="0"/>
                          <w:divBdr>
                            <w:top w:val="none" w:sz="0" w:space="0" w:color="auto"/>
                            <w:left w:val="none" w:sz="0" w:space="0" w:color="auto"/>
                            <w:bottom w:val="none" w:sz="0" w:space="0" w:color="auto"/>
                            <w:right w:val="none" w:sz="0" w:space="0" w:color="auto"/>
                          </w:divBdr>
                          <w:divsChild>
                            <w:div w:id="1147358103">
                              <w:marLeft w:val="0"/>
                              <w:marRight w:val="0"/>
                              <w:marTop w:val="0"/>
                              <w:marBottom w:val="0"/>
                              <w:divBdr>
                                <w:top w:val="none" w:sz="0" w:space="0" w:color="auto"/>
                                <w:left w:val="none" w:sz="0" w:space="0" w:color="auto"/>
                                <w:bottom w:val="none" w:sz="0" w:space="0" w:color="auto"/>
                                <w:right w:val="none" w:sz="0" w:space="0" w:color="auto"/>
                              </w:divBdr>
                              <w:divsChild>
                                <w:div w:id="207230949">
                                  <w:marLeft w:val="0"/>
                                  <w:marRight w:val="0"/>
                                  <w:marTop w:val="0"/>
                                  <w:marBottom w:val="0"/>
                                  <w:divBdr>
                                    <w:top w:val="none" w:sz="0" w:space="0" w:color="auto"/>
                                    <w:left w:val="none" w:sz="0" w:space="0" w:color="auto"/>
                                    <w:bottom w:val="none" w:sz="0" w:space="0" w:color="auto"/>
                                    <w:right w:val="none" w:sz="0" w:space="0" w:color="auto"/>
                                  </w:divBdr>
                                  <w:divsChild>
                                    <w:div w:id="212430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17367">
      <w:bodyDiv w:val="1"/>
      <w:marLeft w:val="0"/>
      <w:marRight w:val="0"/>
      <w:marTop w:val="0"/>
      <w:marBottom w:val="0"/>
      <w:divBdr>
        <w:top w:val="none" w:sz="0" w:space="0" w:color="auto"/>
        <w:left w:val="none" w:sz="0" w:space="0" w:color="auto"/>
        <w:bottom w:val="none" w:sz="0" w:space="0" w:color="auto"/>
        <w:right w:val="none" w:sz="0" w:space="0" w:color="auto"/>
      </w:divBdr>
      <w:divsChild>
        <w:div w:id="1481186953">
          <w:marLeft w:val="0"/>
          <w:marRight w:val="0"/>
          <w:marTop w:val="0"/>
          <w:marBottom w:val="0"/>
          <w:divBdr>
            <w:top w:val="none" w:sz="0" w:space="0" w:color="auto"/>
            <w:left w:val="none" w:sz="0" w:space="0" w:color="auto"/>
            <w:bottom w:val="none" w:sz="0" w:space="0" w:color="auto"/>
            <w:right w:val="none" w:sz="0" w:space="0" w:color="auto"/>
          </w:divBdr>
          <w:divsChild>
            <w:div w:id="86698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685594">
      <w:bodyDiv w:val="1"/>
      <w:marLeft w:val="0"/>
      <w:marRight w:val="0"/>
      <w:marTop w:val="0"/>
      <w:marBottom w:val="0"/>
      <w:divBdr>
        <w:top w:val="none" w:sz="0" w:space="0" w:color="auto"/>
        <w:left w:val="none" w:sz="0" w:space="0" w:color="auto"/>
        <w:bottom w:val="none" w:sz="0" w:space="0" w:color="auto"/>
        <w:right w:val="none" w:sz="0" w:space="0" w:color="auto"/>
      </w:divBdr>
    </w:div>
    <w:div w:id="2121026467">
      <w:bodyDiv w:val="1"/>
      <w:marLeft w:val="0"/>
      <w:marRight w:val="0"/>
      <w:marTop w:val="0"/>
      <w:marBottom w:val="0"/>
      <w:divBdr>
        <w:top w:val="none" w:sz="0" w:space="0" w:color="auto"/>
        <w:left w:val="none" w:sz="0" w:space="0" w:color="auto"/>
        <w:bottom w:val="none" w:sz="0" w:space="0" w:color="auto"/>
        <w:right w:val="none" w:sz="0" w:space="0" w:color="auto"/>
      </w:divBdr>
      <w:divsChild>
        <w:div w:id="1012339703">
          <w:marLeft w:val="0"/>
          <w:marRight w:val="0"/>
          <w:marTop w:val="0"/>
          <w:marBottom w:val="0"/>
          <w:divBdr>
            <w:top w:val="none" w:sz="0" w:space="0" w:color="auto"/>
            <w:left w:val="none" w:sz="0" w:space="0" w:color="auto"/>
            <w:bottom w:val="none" w:sz="0" w:space="0" w:color="auto"/>
            <w:right w:val="none" w:sz="0" w:space="0" w:color="auto"/>
          </w:divBdr>
          <w:divsChild>
            <w:div w:id="6816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096611">
      <w:bodyDiv w:val="1"/>
      <w:marLeft w:val="0"/>
      <w:marRight w:val="0"/>
      <w:marTop w:val="0"/>
      <w:marBottom w:val="0"/>
      <w:divBdr>
        <w:top w:val="none" w:sz="0" w:space="0" w:color="auto"/>
        <w:left w:val="none" w:sz="0" w:space="0" w:color="auto"/>
        <w:bottom w:val="none" w:sz="0" w:space="0" w:color="auto"/>
        <w:right w:val="none" w:sz="0" w:space="0" w:color="auto"/>
      </w:divBdr>
      <w:divsChild>
        <w:div w:id="773328502">
          <w:marLeft w:val="0"/>
          <w:marRight w:val="0"/>
          <w:marTop w:val="300"/>
          <w:marBottom w:val="0"/>
          <w:divBdr>
            <w:top w:val="none" w:sz="0" w:space="0" w:color="auto"/>
            <w:left w:val="none" w:sz="0" w:space="0" w:color="auto"/>
            <w:bottom w:val="none" w:sz="0" w:space="0" w:color="auto"/>
            <w:right w:val="none" w:sz="0" w:space="0" w:color="auto"/>
          </w:divBdr>
        </w:div>
        <w:div w:id="1358769495">
          <w:marLeft w:val="0"/>
          <w:marRight w:val="0"/>
          <w:marTop w:val="0"/>
          <w:marBottom w:val="0"/>
          <w:divBdr>
            <w:top w:val="none" w:sz="0" w:space="0" w:color="auto"/>
            <w:left w:val="none" w:sz="0" w:space="0" w:color="auto"/>
            <w:bottom w:val="none" w:sz="0" w:space="0" w:color="auto"/>
            <w:right w:val="none" w:sz="0" w:space="0" w:color="auto"/>
          </w:divBdr>
        </w:div>
      </w:divsChild>
    </w:div>
    <w:div w:id="2121409485">
      <w:bodyDiv w:val="1"/>
      <w:marLeft w:val="0"/>
      <w:marRight w:val="0"/>
      <w:marTop w:val="0"/>
      <w:marBottom w:val="0"/>
      <w:divBdr>
        <w:top w:val="none" w:sz="0" w:space="0" w:color="auto"/>
        <w:left w:val="none" w:sz="0" w:space="0" w:color="auto"/>
        <w:bottom w:val="none" w:sz="0" w:space="0" w:color="auto"/>
        <w:right w:val="none" w:sz="0" w:space="0" w:color="auto"/>
      </w:divBdr>
      <w:divsChild>
        <w:div w:id="677193684">
          <w:marLeft w:val="0"/>
          <w:marRight w:val="0"/>
          <w:marTop w:val="0"/>
          <w:marBottom w:val="0"/>
          <w:divBdr>
            <w:top w:val="none" w:sz="0" w:space="0" w:color="auto"/>
            <w:left w:val="none" w:sz="0" w:space="0" w:color="auto"/>
            <w:bottom w:val="none" w:sz="0" w:space="0" w:color="auto"/>
            <w:right w:val="none" w:sz="0" w:space="0" w:color="auto"/>
          </w:divBdr>
          <w:divsChild>
            <w:div w:id="425346881">
              <w:marLeft w:val="0"/>
              <w:marRight w:val="0"/>
              <w:marTop w:val="0"/>
              <w:marBottom w:val="0"/>
              <w:divBdr>
                <w:top w:val="none" w:sz="0" w:space="0" w:color="auto"/>
                <w:left w:val="none" w:sz="0" w:space="0" w:color="auto"/>
                <w:bottom w:val="none" w:sz="0" w:space="0" w:color="auto"/>
                <w:right w:val="none" w:sz="0" w:space="0" w:color="auto"/>
              </w:divBdr>
              <w:divsChild>
                <w:div w:id="1368288678">
                  <w:marLeft w:val="0"/>
                  <w:marRight w:val="0"/>
                  <w:marTop w:val="0"/>
                  <w:marBottom w:val="0"/>
                  <w:divBdr>
                    <w:top w:val="none" w:sz="0" w:space="0" w:color="auto"/>
                    <w:left w:val="none" w:sz="0" w:space="0" w:color="auto"/>
                    <w:bottom w:val="none" w:sz="0" w:space="0" w:color="auto"/>
                    <w:right w:val="none" w:sz="0" w:space="0" w:color="auto"/>
                  </w:divBdr>
                  <w:divsChild>
                    <w:div w:id="1982880293">
                      <w:marLeft w:val="0"/>
                      <w:marRight w:val="0"/>
                      <w:marTop w:val="0"/>
                      <w:marBottom w:val="0"/>
                      <w:divBdr>
                        <w:top w:val="none" w:sz="0" w:space="0" w:color="auto"/>
                        <w:left w:val="none" w:sz="0" w:space="0" w:color="auto"/>
                        <w:bottom w:val="none" w:sz="0" w:space="0" w:color="auto"/>
                        <w:right w:val="none" w:sz="0" w:space="0" w:color="auto"/>
                      </w:divBdr>
                      <w:divsChild>
                        <w:div w:id="800536886">
                          <w:marLeft w:val="0"/>
                          <w:marRight w:val="0"/>
                          <w:marTop w:val="0"/>
                          <w:marBottom w:val="0"/>
                          <w:divBdr>
                            <w:top w:val="none" w:sz="0" w:space="0" w:color="auto"/>
                            <w:left w:val="none" w:sz="0" w:space="0" w:color="auto"/>
                            <w:bottom w:val="none" w:sz="0" w:space="0" w:color="auto"/>
                            <w:right w:val="none" w:sz="0" w:space="0" w:color="auto"/>
                          </w:divBdr>
                          <w:divsChild>
                            <w:div w:id="365373878">
                              <w:marLeft w:val="0"/>
                              <w:marRight w:val="0"/>
                              <w:marTop w:val="0"/>
                              <w:marBottom w:val="0"/>
                              <w:divBdr>
                                <w:top w:val="none" w:sz="0" w:space="0" w:color="auto"/>
                                <w:left w:val="none" w:sz="0" w:space="0" w:color="auto"/>
                                <w:bottom w:val="none" w:sz="0" w:space="0" w:color="auto"/>
                                <w:right w:val="none" w:sz="0" w:space="0" w:color="auto"/>
                              </w:divBdr>
                              <w:divsChild>
                                <w:div w:id="1831366124">
                                  <w:marLeft w:val="0"/>
                                  <w:marRight w:val="0"/>
                                  <w:marTop w:val="0"/>
                                  <w:marBottom w:val="0"/>
                                  <w:divBdr>
                                    <w:top w:val="none" w:sz="0" w:space="0" w:color="auto"/>
                                    <w:left w:val="none" w:sz="0" w:space="0" w:color="auto"/>
                                    <w:bottom w:val="none" w:sz="0" w:space="0" w:color="auto"/>
                                    <w:right w:val="none" w:sz="0" w:space="0" w:color="auto"/>
                                  </w:divBdr>
                                  <w:divsChild>
                                    <w:div w:id="213675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409793">
      <w:bodyDiv w:val="1"/>
      <w:marLeft w:val="0"/>
      <w:marRight w:val="0"/>
      <w:marTop w:val="0"/>
      <w:marBottom w:val="0"/>
      <w:divBdr>
        <w:top w:val="none" w:sz="0" w:space="0" w:color="auto"/>
        <w:left w:val="none" w:sz="0" w:space="0" w:color="auto"/>
        <w:bottom w:val="none" w:sz="0" w:space="0" w:color="auto"/>
        <w:right w:val="none" w:sz="0" w:space="0" w:color="auto"/>
      </w:divBdr>
      <w:divsChild>
        <w:div w:id="1548374912">
          <w:marLeft w:val="0"/>
          <w:marRight w:val="0"/>
          <w:marTop w:val="0"/>
          <w:marBottom w:val="0"/>
          <w:divBdr>
            <w:top w:val="none" w:sz="0" w:space="0" w:color="auto"/>
            <w:left w:val="none" w:sz="0" w:space="0" w:color="auto"/>
            <w:bottom w:val="dotted" w:sz="6" w:space="4" w:color="DDDDDD"/>
            <w:right w:val="none" w:sz="0" w:space="0" w:color="auto"/>
          </w:divBdr>
          <w:divsChild>
            <w:div w:id="18934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95345">
      <w:bodyDiv w:val="1"/>
      <w:marLeft w:val="0"/>
      <w:marRight w:val="0"/>
      <w:marTop w:val="0"/>
      <w:marBottom w:val="0"/>
      <w:divBdr>
        <w:top w:val="none" w:sz="0" w:space="0" w:color="auto"/>
        <w:left w:val="none" w:sz="0" w:space="0" w:color="auto"/>
        <w:bottom w:val="none" w:sz="0" w:space="0" w:color="auto"/>
        <w:right w:val="none" w:sz="0" w:space="0" w:color="auto"/>
      </w:divBdr>
      <w:divsChild>
        <w:div w:id="1599480934">
          <w:marLeft w:val="0"/>
          <w:marRight w:val="0"/>
          <w:marTop w:val="0"/>
          <w:marBottom w:val="0"/>
          <w:divBdr>
            <w:top w:val="none" w:sz="0" w:space="0" w:color="auto"/>
            <w:left w:val="none" w:sz="0" w:space="0" w:color="auto"/>
            <w:bottom w:val="dotted" w:sz="6" w:space="4" w:color="DDDDDD"/>
            <w:right w:val="none" w:sz="0" w:space="0" w:color="auto"/>
          </w:divBdr>
        </w:div>
      </w:divsChild>
    </w:div>
    <w:div w:id="2123303069">
      <w:bodyDiv w:val="1"/>
      <w:marLeft w:val="0"/>
      <w:marRight w:val="0"/>
      <w:marTop w:val="0"/>
      <w:marBottom w:val="0"/>
      <w:divBdr>
        <w:top w:val="none" w:sz="0" w:space="0" w:color="auto"/>
        <w:left w:val="none" w:sz="0" w:space="0" w:color="auto"/>
        <w:bottom w:val="none" w:sz="0" w:space="0" w:color="auto"/>
        <w:right w:val="none" w:sz="0" w:space="0" w:color="auto"/>
      </w:divBdr>
      <w:divsChild>
        <w:div w:id="2085762131">
          <w:marLeft w:val="0"/>
          <w:marRight w:val="0"/>
          <w:marTop w:val="0"/>
          <w:marBottom w:val="0"/>
          <w:divBdr>
            <w:top w:val="none" w:sz="0" w:space="0" w:color="auto"/>
            <w:left w:val="none" w:sz="0" w:space="0" w:color="auto"/>
            <w:bottom w:val="none" w:sz="0" w:space="0" w:color="auto"/>
            <w:right w:val="none" w:sz="0" w:space="0" w:color="auto"/>
          </w:divBdr>
          <w:divsChild>
            <w:div w:id="8359935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3333430">
      <w:bodyDiv w:val="1"/>
      <w:marLeft w:val="0"/>
      <w:marRight w:val="0"/>
      <w:marTop w:val="0"/>
      <w:marBottom w:val="0"/>
      <w:divBdr>
        <w:top w:val="none" w:sz="0" w:space="0" w:color="auto"/>
        <w:left w:val="none" w:sz="0" w:space="0" w:color="auto"/>
        <w:bottom w:val="none" w:sz="0" w:space="0" w:color="auto"/>
        <w:right w:val="none" w:sz="0" w:space="0" w:color="auto"/>
      </w:divBdr>
      <w:divsChild>
        <w:div w:id="2038776219">
          <w:marLeft w:val="0"/>
          <w:marRight w:val="0"/>
          <w:marTop w:val="0"/>
          <w:marBottom w:val="150"/>
          <w:divBdr>
            <w:top w:val="none" w:sz="0" w:space="0" w:color="auto"/>
            <w:left w:val="none" w:sz="0" w:space="0" w:color="auto"/>
            <w:bottom w:val="none" w:sz="0" w:space="0" w:color="auto"/>
            <w:right w:val="none" w:sz="0" w:space="0" w:color="auto"/>
          </w:divBdr>
        </w:div>
      </w:divsChild>
    </w:div>
    <w:div w:id="2123373977">
      <w:bodyDiv w:val="1"/>
      <w:marLeft w:val="0"/>
      <w:marRight w:val="0"/>
      <w:marTop w:val="0"/>
      <w:marBottom w:val="0"/>
      <w:divBdr>
        <w:top w:val="none" w:sz="0" w:space="0" w:color="auto"/>
        <w:left w:val="none" w:sz="0" w:space="0" w:color="auto"/>
        <w:bottom w:val="none" w:sz="0" w:space="0" w:color="auto"/>
        <w:right w:val="none" w:sz="0" w:space="0" w:color="auto"/>
      </w:divBdr>
      <w:divsChild>
        <w:div w:id="1367561435">
          <w:marLeft w:val="0"/>
          <w:marRight w:val="0"/>
          <w:marTop w:val="0"/>
          <w:marBottom w:val="0"/>
          <w:divBdr>
            <w:top w:val="none" w:sz="0" w:space="0" w:color="auto"/>
            <w:left w:val="none" w:sz="0" w:space="0" w:color="auto"/>
            <w:bottom w:val="none" w:sz="0" w:space="0" w:color="auto"/>
            <w:right w:val="none" w:sz="0" w:space="0" w:color="auto"/>
          </w:divBdr>
          <w:divsChild>
            <w:div w:id="15396641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4416101">
      <w:bodyDiv w:val="1"/>
      <w:marLeft w:val="0"/>
      <w:marRight w:val="0"/>
      <w:marTop w:val="0"/>
      <w:marBottom w:val="0"/>
      <w:divBdr>
        <w:top w:val="none" w:sz="0" w:space="0" w:color="auto"/>
        <w:left w:val="none" w:sz="0" w:space="0" w:color="auto"/>
        <w:bottom w:val="none" w:sz="0" w:space="0" w:color="auto"/>
        <w:right w:val="none" w:sz="0" w:space="0" w:color="auto"/>
      </w:divBdr>
      <w:divsChild>
        <w:div w:id="560944728">
          <w:marLeft w:val="0"/>
          <w:marRight w:val="0"/>
          <w:marTop w:val="0"/>
          <w:marBottom w:val="75"/>
          <w:divBdr>
            <w:top w:val="none" w:sz="0" w:space="0" w:color="auto"/>
            <w:left w:val="none" w:sz="0" w:space="0" w:color="auto"/>
            <w:bottom w:val="none" w:sz="0" w:space="0" w:color="auto"/>
            <w:right w:val="none" w:sz="0" w:space="0" w:color="auto"/>
          </w:divBdr>
        </w:div>
        <w:div w:id="1677683020">
          <w:marLeft w:val="0"/>
          <w:marRight w:val="0"/>
          <w:marTop w:val="0"/>
          <w:marBottom w:val="0"/>
          <w:divBdr>
            <w:top w:val="none" w:sz="0" w:space="0" w:color="auto"/>
            <w:left w:val="none" w:sz="0" w:space="0" w:color="auto"/>
            <w:bottom w:val="none" w:sz="0" w:space="0" w:color="auto"/>
            <w:right w:val="none" w:sz="0" w:space="0" w:color="auto"/>
          </w:divBdr>
          <w:divsChild>
            <w:div w:id="1958681091">
              <w:marLeft w:val="0"/>
              <w:marRight w:val="0"/>
              <w:marTop w:val="0"/>
              <w:marBottom w:val="0"/>
              <w:divBdr>
                <w:top w:val="none" w:sz="0" w:space="0" w:color="auto"/>
                <w:left w:val="none" w:sz="0" w:space="0" w:color="auto"/>
                <w:bottom w:val="none" w:sz="0" w:space="0" w:color="auto"/>
                <w:right w:val="none" w:sz="0" w:space="0" w:color="auto"/>
              </w:divBdr>
              <w:divsChild>
                <w:div w:id="17145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680907">
          <w:marLeft w:val="0"/>
          <w:marRight w:val="0"/>
          <w:marTop w:val="0"/>
          <w:marBottom w:val="0"/>
          <w:divBdr>
            <w:top w:val="none" w:sz="0" w:space="0" w:color="auto"/>
            <w:left w:val="none" w:sz="0" w:space="0" w:color="auto"/>
            <w:bottom w:val="none" w:sz="0" w:space="0" w:color="auto"/>
            <w:right w:val="none" w:sz="0" w:space="0" w:color="auto"/>
          </w:divBdr>
        </w:div>
        <w:div w:id="2020310038">
          <w:marLeft w:val="0"/>
          <w:marRight w:val="0"/>
          <w:marTop w:val="0"/>
          <w:marBottom w:val="300"/>
          <w:divBdr>
            <w:top w:val="none" w:sz="0" w:space="0" w:color="auto"/>
            <w:left w:val="none" w:sz="0" w:space="0" w:color="auto"/>
            <w:bottom w:val="none" w:sz="0" w:space="0" w:color="auto"/>
            <w:right w:val="none" w:sz="0" w:space="0" w:color="auto"/>
          </w:divBdr>
          <w:divsChild>
            <w:div w:id="10100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885717">
      <w:bodyDiv w:val="1"/>
      <w:marLeft w:val="0"/>
      <w:marRight w:val="0"/>
      <w:marTop w:val="0"/>
      <w:marBottom w:val="0"/>
      <w:divBdr>
        <w:top w:val="none" w:sz="0" w:space="0" w:color="auto"/>
        <w:left w:val="none" w:sz="0" w:space="0" w:color="auto"/>
        <w:bottom w:val="none" w:sz="0" w:space="0" w:color="auto"/>
        <w:right w:val="none" w:sz="0" w:space="0" w:color="auto"/>
      </w:divBdr>
      <w:divsChild>
        <w:div w:id="1071080066">
          <w:marLeft w:val="0"/>
          <w:marRight w:val="0"/>
          <w:marTop w:val="0"/>
          <w:marBottom w:val="0"/>
          <w:divBdr>
            <w:top w:val="none" w:sz="0" w:space="0" w:color="auto"/>
            <w:left w:val="none" w:sz="0" w:space="0" w:color="auto"/>
            <w:bottom w:val="none" w:sz="0" w:space="0" w:color="auto"/>
            <w:right w:val="none" w:sz="0" w:space="0" w:color="auto"/>
          </w:divBdr>
          <w:divsChild>
            <w:div w:id="1725063990">
              <w:marLeft w:val="0"/>
              <w:marRight w:val="0"/>
              <w:marTop w:val="0"/>
              <w:marBottom w:val="0"/>
              <w:divBdr>
                <w:top w:val="none" w:sz="0" w:space="0" w:color="auto"/>
                <w:left w:val="none" w:sz="0" w:space="0" w:color="auto"/>
                <w:bottom w:val="none" w:sz="0" w:space="0" w:color="auto"/>
                <w:right w:val="none" w:sz="0" w:space="0" w:color="auto"/>
              </w:divBdr>
              <w:divsChild>
                <w:div w:id="169025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233797">
          <w:marLeft w:val="0"/>
          <w:marRight w:val="0"/>
          <w:marTop w:val="0"/>
          <w:marBottom w:val="75"/>
          <w:divBdr>
            <w:top w:val="none" w:sz="0" w:space="0" w:color="auto"/>
            <w:left w:val="none" w:sz="0" w:space="0" w:color="auto"/>
            <w:bottom w:val="none" w:sz="0" w:space="0" w:color="auto"/>
            <w:right w:val="none" w:sz="0" w:space="0" w:color="auto"/>
          </w:divBdr>
        </w:div>
        <w:div w:id="1986663068">
          <w:marLeft w:val="0"/>
          <w:marRight w:val="0"/>
          <w:marTop w:val="0"/>
          <w:marBottom w:val="0"/>
          <w:divBdr>
            <w:top w:val="none" w:sz="0" w:space="0" w:color="auto"/>
            <w:left w:val="none" w:sz="0" w:space="0" w:color="auto"/>
            <w:bottom w:val="none" w:sz="0" w:space="0" w:color="auto"/>
            <w:right w:val="none" w:sz="0" w:space="0" w:color="auto"/>
          </w:divBdr>
        </w:div>
      </w:divsChild>
    </w:div>
    <w:div w:id="2125074454">
      <w:bodyDiv w:val="1"/>
      <w:marLeft w:val="0"/>
      <w:marRight w:val="0"/>
      <w:marTop w:val="0"/>
      <w:marBottom w:val="0"/>
      <w:divBdr>
        <w:top w:val="none" w:sz="0" w:space="0" w:color="auto"/>
        <w:left w:val="none" w:sz="0" w:space="0" w:color="auto"/>
        <w:bottom w:val="none" w:sz="0" w:space="0" w:color="auto"/>
        <w:right w:val="none" w:sz="0" w:space="0" w:color="auto"/>
      </w:divBdr>
      <w:divsChild>
        <w:div w:id="286740435">
          <w:marLeft w:val="0"/>
          <w:marRight w:val="0"/>
          <w:marTop w:val="0"/>
          <w:marBottom w:val="150"/>
          <w:divBdr>
            <w:top w:val="none" w:sz="0" w:space="0" w:color="auto"/>
            <w:left w:val="none" w:sz="0" w:space="0" w:color="auto"/>
            <w:bottom w:val="none" w:sz="0" w:space="0" w:color="auto"/>
            <w:right w:val="none" w:sz="0" w:space="0" w:color="auto"/>
          </w:divBdr>
        </w:div>
        <w:div w:id="834537662">
          <w:marLeft w:val="0"/>
          <w:marRight w:val="0"/>
          <w:marTop w:val="0"/>
          <w:marBottom w:val="0"/>
          <w:divBdr>
            <w:top w:val="none" w:sz="0" w:space="0" w:color="auto"/>
            <w:left w:val="none" w:sz="0" w:space="0" w:color="auto"/>
            <w:bottom w:val="none" w:sz="0" w:space="0" w:color="auto"/>
            <w:right w:val="none" w:sz="0" w:space="0" w:color="auto"/>
          </w:divBdr>
          <w:divsChild>
            <w:div w:id="916205139">
              <w:marLeft w:val="0"/>
              <w:marRight w:val="0"/>
              <w:marTop w:val="0"/>
              <w:marBottom w:val="0"/>
              <w:divBdr>
                <w:top w:val="none" w:sz="0" w:space="0" w:color="auto"/>
                <w:left w:val="none" w:sz="0" w:space="0" w:color="auto"/>
                <w:bottom w:val="none" w:sz="0" w:space="0" w:color="auto"/>
                <w:right w:val="none" w:sz="0" w:space="0" w:color="auto"/>
              </w:divBdr>
            </w:div>
          </w:divsChild>
        </w:div>
        <w:div w:id="839468651">
          <w:marLeft w:val="0"/>
          <w:marRight w:val="0"/>
          <w:marTop w:val="0"/>
          <w:marBottom w:val="150"/>
          <w:divBdr>
            <w:top w:val="none" w:sz="0" w:space="0" w:color="auto"/>
            <w:left w:val="none" w:sz="0" w:space="0" w:color="auto"/>
            <w:bottom w:val="none" w:sz="0" w:space="0" w:color="auto"/>
            <w:right w:val="none" w:sz="0" w:space="0" w:color="auto"/>
          </w:divBdr>
          <w:divsChild>
            <w:div w:id="9471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271387">
      <w:bodyDiv w:val="1"/>
      <w:marLeft w:val="0"/>
      <w:marRight w:val="0"/>
      <w:marTop w:val="0"/>
      <w:marBottom w:val="0"/>
      <w:divBdr>
        <w:top w:val="none" w:sz="0" w:space="0" w:color="auto"/>
        <w:left w:val="none" w:sz="0" w:space="0" w:color="auto"/>
        <w:bottom w:val="none" w:sz="0" w:space="0" w:color="auto"/>
        <w:right w:val="none" w:sz="0" w:space="0" w:color="auto"/>
      </w:divBdr>
      <w:divsChild>
        <w:div w:id="1160342605">
          <w:marLeft w:val="0"/>
          <w:marRight w:val="0"/>
          <w:marTop w:val="0"/>
          <w:marBottom w:val="0"/>
          <w:divBdr>
            <w:top w:val="none" w:sz="0" w:space="0" w:color="auto"/>
            <w:left w:val="none" w:sz="0" w:space="0" w:color="auto"/>
            <w:bottom w:val="none" w:sz="0" w:space="0" w:color="auto"/>
            <w:right w:val="none" w:sz="0" w:space="0" w:color="auto"/>
          </w:divBdr>
        </w:div>
      </w:divsChild>
    </w:div>
    <w:div w:id="2125683245">
      <w:bodyDiv w:val="1"/>
      <w:marLeft w:val="0"/>
      <w:marRight w:val="0"/>
      <w:marTop w:val="0"/>
      <w:marBottom w:val="0"/>
      <w:divBdr>
        <w:top w:val="none" w:sz="0" w:space="0" w:color="auto"/>
        <w:left w:val="none" w:sz="0" w:space="0" w:color="auto"/>
        <w:bottom w:val="none" w:sz="0" w:space="0" w:color="auto"/>
        <w:right w:val="none" w:sz="0" w:space="0" w:color="auto"/>
      </w:divBdr>
      <w:divsChild>
        <w:div w:id="289868785">
          <w:marLeft w:val="0"/>
          <w:marRight w:val="0"/>
          <w:marTop w:val="0"/>
          <w:marBottom w:val="0"/>
          <w:divBdr>
            <w:top w:val="none" w:sz="0" w:space="0" w:color="auto"/>
            <w:left w:val="none" w:sz="0" w:space="0" w:color="auto"/>
            <w:bottom w:val="none" w:sz="0" w:space="0" w:color="auto"/>
            <w:right w:val="none" w:sz="0" w:space="0" w:color="auto"/>
          </w:divBdr>
          <w:divsChild>
            <w:div w:id="710106819">
              <w:marLeft w:val="0"/>
              <w:marRight w:val="0"/>
              <w:marTop w:val="0"/>
              <w:marBottom w:val="0"/>
              <w:divBdr>
                <w:top w:val="none" w:sz="0" w:space="0" w:color="auto"/>
                <w:left w:val="none" w:sz="0" w:space="0" w:color="auto"/>
                <w:bottom w:val="none" w:sz="0" w:space="0" w:color="auto"/>
                <w:right w:val="none" w:sz="0" w:space="0" w:color="auto"/>
              </w:divBdr>
            </w:div>
          </w:divsChild>
        </w:div>
        <w:div w:id="949161615">
          <w:marLeft w:val="0"/>
          <w:marRight w:val="0"/>
          <w:marTop w:val="0"/>
          <w:marBottom w:val="0"/>
          <w:divBdr>
            <w:top w:val="none" w:sz="0" w:space="0" w:color="auto"/>
            <w:left w:val="none" w:sz="0" w:space="0" w:color="auto"/>
            <w:bottom w:val="none" w:sz="0" w:space="0" w:color="auto"/>
            <w:right w:val="none" w:sz="0" w:space="0" w:color="auto"/>
          </w:divBdr>
          <w:divsChild>
            <w:div w:id="1751390057">
              <w:marLeft w:val="0"/>
              <w:marRight w:val="0"/>
              <w:marTop w:val="0"/>
              <w:marBottom w:val="0"/>
              <w:divBdr>
                <w:top w:val="none" w:sz="0" w:space="0" w:color="auto"/>
                <w:left w:val="none" w:sz="0" w:space="0" w:color="auto"/>
                <w:bottom w:val="none" w:sz="0" w:space="0" w:color="auto"/>
                <w:right w:val="none" w:sz="0" w:space="0" w:color="auto"/>
              </w:divBdr>
              <w:divsChild>
                <w:div w:id="327248553">
                  <w:marLeft w:val="0"/>
                  <w:marRight w:val="0"/>
                  <w:marTop w:val="0"/>
                  <w:marBottom w:val="0"/>
                  <w:divBdr>
                    <w:top w:val="none" w:sz="0" w:space="0" w:color="auto"/>
                    <w:left w:val="none" w:sz="0" w:space="0" w:color="auto"/>
                    <w:bottom w:val="none" w:sz="0" w:space="0" w:color="auto"/>
                    <w:right w:val="none" w:sz="0" w:space="0" w:color="auto"/>
                  </w:divBdr>
                  <w:divsChild>
                    <w:div w:id="706292553">
                      <w:marLeft w:val="0"/>
                      <w:marRight w:val="0"/>
                      <w:marTop w:val="0"/>
                      <w:marBottom w:val="300"/>
                      <w:divBdr>
                        <w:top w:val="none" w:sz="0" w:space="0" w:color="auto"/>
                        <w:left w:val="none" w:sz="0" w:space="0" w:color="auto"/>
                        <w:bottom w:val="none" w:sz="0" w:space="0" w:color="auto"/>
                        <w:right w:val="none" w:sz="0" w:space="0" w:color="auto"/>
                      </w:divBdr>
                      <w:divsChild>
                        <w:div w:id="494106752">
                          <w:marLeft w:val="0"/>
                          <w:marRight w:val="0"/>
                          <w:marTop w:val="0"/>
                          <w:marBottom w:val="0"/>
                          <w:divBdr>
                            <w:top w:val="none" w:sz="0" w:space="0" w:color="auto"/>
                            <w:left w:val="none" w:sz="0" w:space="0" w:color="auto"/>
                            <w:bottom w:val="none" w:sz="0" w:space="0" w:color="auto"/>
                            <w:right w:val="none" w:sz="0" w:space="0" w:color="auto"/>
                          </w:divBdr>
                          <w:divsChild>
                            <w:div w:id="2031760508">
                              <w:marLeft w:val="0"/>
                              <w:marRight w:val="0"/>
                              <w:marTop w:val="0"/>
                              <w:marBottom w:val="0"/>
                              <w:divBdr>
                                <w:top w:val="none" w:sz="0" w:space="0" w:color="auto"/>
                                <w:left w:val="none" w:sz="0" w:space="0" w:color="auto"/>
                                <w:bottom w:val="none" w:sz="0" w:space="0" w:color="auto"/>
                                <w:right w:val="none" w:sz="0" w:space="0" w:color="auto"/>
                              </w:divBdr>
                              <w:divsChild>
                                <w:div w:id="1571304615">
                                  <w:marLeft w:val="0"/>
                                  <w:marRight w:val="0"/>
                                  <w:marTop w:val="0"/>
                                  <w:marBottom w:val="0"/>
                                  <w:divBdr>
                                    <w:top w:val="single" w:sz="2" w:space="0" w:color="DFDFDF"/>
                                    <w:left w:val="single" w:sz="2" w:space="0" w:color="DFDFDF"/>
                                    <w:bottom w:val="single" w:sz="2" w:space="0" w:color="DFDFDF"/>
                                    <w:right w:val="single" w:sz="2" w:space="0" w:color="DFDFDF"/>
                                  </w:divBdr>
                                  <w:divsChild>
                                    <w:div w:id="336078616">
                                      <w:marLeft w:val="-90"/>
                                      <w:marRight w:val="0"/>
                                      <w:marTop w:val="0"/>
                                      <w:marBottom w:val="0"/>
                                      <w:divBdr>
                                        <w:top w:val="none" w:sz="0" w:space="0" w:color="auto"/>
                                        <w:left w:val="none" w:sz="0" w:space="0" w:color="auto"/>
                                        <w:bottom w:val="none" w:sz="0" w:space="0" w:color="auto"/>
                                        <w:right w:val="none" w:sz="0" w:space="0" w:color="auto"/>
                                      </w:divBdr>
                                      <w:divsChild>
                                        <w:div w:id="525290642">
                                          <w:marLeft w:val="0"/>
                                          <w:marRight w:val="0"/>
                                          <w:marTop w:val="0"/>
                                          <w:marBottom w:val="45"/>
                                          <w:divBdr>
                                            <w:top w:val="single" w:sz="2" w:space="0" w:color="A9A9A9"/>
                                            <w:left w:val="single" w:sz="2" w:space="0" w:color="A9A9A9"/>
                                            <w:bottom w:val="single" w:sz="2" w:space="0" w:color="A9A9A9"/>
                                            <w:right w:val="single" w:sz="2" w:space="0" w:color="A9A9A9"/>
                                          </w:divBdr>
                                          <w:divsChild>
                                            <w:div w:id="1481463331">
                                              <w:marLeft w:val="0"/>
                                              <w:marRight w:val="0"/>
                                              <w:marTop w:val="0"/>
                                              <w:marBottom w:val="0"/>
                                              <w:divBdr>
                                                <w:top w:val="none" w:sz="0" w:space="0" w:color="auto"/>
                                                <w:left w:val="none" w:sz="0" w:space="0" w:color="auto"/>
                                                <w:bottom w:val="none" w:sz="0" w:space="0" w:color="auto"/>
                                                <w:right w:val="none" w:sz="0" w:space="0" w:color="auto"/>
                                              </w:divBdr>
                                              <w:divsChild>
                                                <w:div w:id="213059079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344475452">
                                      <w:marLeft w:val="0"/>
                                      <w:marRight w:val="0"/>
                                      <w:marTop w:val="0"/>
                                      <w:marBottom w:val="270"/>
                                      <w:divBdr>
                                        <w:top w:val="none" w:sz="0" w:space="0" w:color="auto"/>
                                        <w:left w:val="none" w:sz="0" w:space="0" w:color="auto"/>
                                        <w:bottom w:val="single" w:sz="12" w:space="5" w:color="DADADA"/>
                                        <w:right w:val="none" w:sz="0" w:space="0" w:color="auto"/>
                                      </w:divBdr>
                                      <w:divsChild>
                                        <w:div w:id="134127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811185">
                          <w:marLeft w:val="0"/>
                          <w:marRight w:val="0"/>
                          <w:marTop w:val="0"/>
                          <w:marBottom w:val="0"/>
                          <w:divBdr>
                            <w:top w:val="none" w:sz="0" w:space="0" w:color="auto"/>
                            <w:left w:val="none" w:sz="0" w:space="0" w:color="auto"/>
                            <w:bottom w:val="none" w:sz="0" w:space="0" w:color="auto"/>
                            <w:right w:val="none" w:sz="0" w:space="0" w:color="auto"/>
                          </w:divBdr>
                          <w:divsChild>
                            <w:div w:id="698163650">
                              <w:marLeft w:val="0"/>
                              <w:marRight w:val="0"/>
                              <w:marTop w:val="0"/>
                              <w:marBottom w:val="0"/>
                              <w:divBdr>
                                <w:top w:val="none" w:sz="0" w:space="0" w:color="auto"/>
                                <w:left w:val="none" w:sz="0" w:space="0" w:color="auto"/>
                                <w:bottom w:val="none" w:sz="0" w:space="0" w:color="auto"/>
                                <w:right w:val="none" w:sz="0" w:space="0" w:color="auto"/>
                              </w:divBdr>
                              <w:divsChild>
                                <w:div w:id="817579424">
                                  <w:marLeft w:val="0"/>
                                  <w:marRight w:val="0"/>
                                  <w:marTop w:val="0"/>
                                  <w:marBottom w:val="0"/>
                                  <w:divBdr>
                                    <w:top w:val="single" w:sz="2" w:space="0" w:color="DFDFDF"/>
                                    <w:left w:val="single" w:sz="2" w:space="0" w:color="DFDFDF"/>
                                    <w:bottom w:val="single" w:sz="2" w:space="0" w:color="DFDFDF"/>
                                    <w:right w:val="single" w:sz="2" w:space="0" w:color="DFDFDF"/>
                                  </w:divBdr>
                                  <w:divsChild>
                                    <w:div w:id="1160267338">
                                      <w:marLeft w:val="-90"/>
                                      <w:marRight w:val="0"/>
                                      <w:marTop w:val="0"/>
                                      <w:marBottom w:val="0"/>
                                      <w:divBdr>
                                        <w:top w:val="none" w:sz="0" w:space="0" w:color="auto"/>
                                        <w:left w:val="none" w:sz="0" w:space="0" w:color="auto"/>
                                        <w:bottom w:val="none" w:sz="0" w:space="0" w:color="auto"/>
                                        <w:right w:val="none" w:sz="0" w:space="0" w:color="auto"/>
                                      </w:divBdr>
                                      <w:divsChild>
                                        <w:div w:id="224028911">
                                          <w:marLeft w:val="0"/>
                                          <w:marRight w:val="0"/>
                                          <w:marTop w:val="0"/>
                                          <w:marBottom w:val="45"/>
                                          <w:divBdr>
                                            <w:top w:val="single" w:sz="2" w:space="0" w:color="A9A9A9"/>
                                            <w:left w:val="single" w:sz="2" w:space="0" w:color="A9A9A9"/>
                                            <w:bottom w:val="single" w:sz="2" w:space="0" w:color="A9A9A9"/>
                                            <w:right w:val="single" w:sz="2" w:space="0" w:color="A9A9A9"/>
                                          </w:divBdr>
                                          <w:divsChild>
                                            <w:div w:id="915825815">
                                              <w:marLeft w:val="0"/>
                                              <w:marRight w:val="0"/>
                                              <w:marTop w:val="0"/>
                                              <w:marBottom w:val="0"/>
                                              <w:divBdr>
                                                <w:top w:val="none" w:sz="0" w:space="0" w:color="auto"/>
                                                <w:left w:val="none" w:sz="0" w:space="0" w:color="auto"/>
                                                <w:bottom w:val="none" w:sz="0" w:space="0" w:color="auto"/>
                                                <w:right w:val="none" w:sz="0" w:space="0" w:color="auto"/>
                                              </w:divBdr>
                                              <w:divsChild>
                                                <w:div w:id="934826770">
                                                  <w:marLeft w:val="92"/>
                                                  <w:marRight w:val="0"/>
                                                  <w:marTop w:val="0"/>
                                                  <w:marBottom w:val="150"/>
                                                  <w:divBdr>
                                                    <w:top w:val="single" w:sz="2" w:space="0" w:color="E4E4E4"/>
                                                    <w:left w:val="single" w:sz="2" w:space="0" w:color="E4E4E4"/>
                                                    <w:bottom w:val="single" w:sz="2" w:space="0" w:color="E4E4E4"/>
                                                    <w:right w:val="single" w:sz="2" w:space="0" w:color="E4E4E4"/>
                                                  </w:divBdr>
                                                </w:div>
                                                <w:div w:id="1378123169">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804614005">
                      <w:marLeft w:val="0"/>
                      <w:marRight w:val="0"/>
                      <w:marTop w:val="0"/>
                      <w:marBottom w:val="300"/>
                      <w:divBdr>
                        <w:top w:val="none" w:sz="0" w:space="0" w:color="auto"/>
                        <w:left w:val="none" w:sz="0" w:space="0" w:color="auto"/>
                        <w:bottom w:val="none" w:sz="0" w:space="0" w:color="auto"/>
                        <w:right w:val="none" w:sz="0" w:space="0" w:color="auto"/>
                      </w:divBdr>
                      <w:divsChild>
                        <w:div w:id="536966747">
                          <w:marLeft w:val="0"/>
                          <w:marRight w:val="0"/>
                          <w:marTop w:val="0"/>
                          <w:marBottom w:val="120"/>
                          <w:divBdr>
                            <w:top w:val="none" w:sz="0" w:space="0" w:color="auto"/>
                            <w:left w:val="none" w:sz="0" w:space="0" w:color="auto"/>
                            <w:bottom w:val="single" w:sz="12" w:space="6" w:color="BBDEFE"/>
                            <w:right w:val="none" w:sz="0" w:space="0" w:color="auto"/>
                          </w:divBdr>
                        </w:div>
                        <w:div w:id="1454981911">
                          <w:marLeft w:val="0"/>
                          <w:marRight w:val="0"/>
                          <w:marTop w:val="0"/>
                          <w:marBottom w:val="0"/>
                          <w:divBdr>
                            <w:top w:val="none" w:sz="0" w:space="0" w:color="auto"/>
                            <w:left w:val="none" w:sz="0" w:space="0" w:color="auto"/>
                            <w:bottom w:val="none" w:sz="0" w:space="0" w:color="auto"/>
                            <w:right w:val="none" w:sz="0" w:space="0" w:color="auto"/>
                          </w:divBdr>
                          <w:divsChild>
                            <w:div w:id="348065765">
                              <w:marLeft w:val="0"/>
                              <w:marRight w:val="0"/>
                              <w:marTop w:val="0"/>
                              <w:marBottom w:val="0"/>
                              <w:divBdr>
                                <w:top w:val="none" w:sz="0" w:space="0" w:color="auto"/>
                                <w:left w:val="none" w:sz="0" w:space="0" w:color="auto"/>
                                <w:bottom w:val="none" w:sz="0" w:space="0" w:color="auto"/>
                                <w:right w:val="none" w:sz="0" w:space="0" w:color="auto"/>
                              </w:divBdr>
                              <w:divsChild>
                                <w:div w:id="456065443">
                                  <w:marLeft w:val="0"/>
                                  <w:marRight w:val="600"/>
                                  <w:marTop w:val="0"/>
                                  <w:marBottom w:val="0"/>
                                  <w:divBdr>
                                    <w:top w:val="none" w:sz="0" w:space="0" w:color="auto"/>
                                    <w:left w:val="none" w:sz="0" w:space="0" w:color="auto"/>
                                    <w:bottom w:val="none" w:sz="0" w:space="0" w:color="auto"/>
                                    <w:right w:val="none" w:sz="0" w:space="0" w:color="auto"/>
                                  </w:divBdr>
                                  <w:divsChild>
                                    <w:div w:id="583344052">
                                      <w:marLeft w:val="0"/>
                                      <w:marRight w:val="0"/>
                                      <w:marTop w:val="0"/>
                                      <w:marBottom w:val="120"/>
                                      <w:divBdr>
                                        <w:top w:val="none" w:sz="0" w:space="0" w:color="auto"/>
                                        <w:left w:val="none" w:sz="0" w:space="0" w:color="auto"/>
                                        <w:bottom w:val="single" w:sz="6" w:space="6" w:color="EEEEEE"/>
                                        <w:right w:val="none" w:sz="0" w:space="0" w:color="auto"/>
                                      </w:divBdr>
                                      <w:divsChild>
                                        <w:div w:id="732314138">
                                          <w:marLeft w:val="0"/>
                                          <w:marRight w:val="0"/>
                                          <w:marTop w:val="0"/>
                                          <w:marBottom w:val="0"/>
                                          <w:divBdr>
                                            <w:top w:val="none" w:sz="0" w:space="0" w:color="auto"/>
                                            <w:left w:val="none" w:sz="0" w:space="0" w:color="auto"/>
                                            <w:bottom w:val="none" w:sz="0" w:space="0" w:color="auto"/>
                                            <w:right w:val="none" w:sz="0" w:space="0" w:color="auto"/>
                                          </w:divBdr>
                                        </w:div>
                                      </w:divsChild>
                                    </w:div>
                                    <w:div w:id="1095244906">
                                      <w:marLeft w:val="0"/>
                                      <w:marRight w:val="0"/>
                                      <w:marTop w:val="0"/>
                                      <w:marBottom w:val="120"/>
                                      <w:divBdr>
                                        <w:top w:val="none" w:sz="0" w:space="0" w:color="auto"/>
                                        <w:left w:val="none" w:sz="0" w:space="0" w:color="auto"/>
                                        <w:bottom w:val="single" w:sz="6" w:space="6" w:color="EEEEEE"/>
                                        <w:right w:val="none" w:sz="0" w:space="0" w:color="auto"/>
                                      </w:divBdr>
                                      <w:divsChild>
                                        <w:div w:id="1710521494">
                                          <w:marLeft w:val="0"/>
                                          <w:marRight w:val="0"/>
                                          <w:marTop w:val="0"/>
                                          <w:marBottom w:val="0"/>
                                          <w:divBdr>
                                            <w:top w:val="none" w:sz="0" w:space="0" w:color="auto"/>
                                            <w:left w:val="none" w:sz="0" w:space="0" w:color="auto"/>
                                            <w:bottom w:val="none" w:sz="0" w:space="0" w:color="auto"/>
                                            <w:right w:val="none" w:sz="0" w:space="0" w:color="auto"/>
                                          </w:divBdr>
                                        </w:div>
                                      </w:divsChild>
                                    </w:div>
                                    <w:div w:id="1488086504">
                                      <w:marLeft w:val="0"/>
                                      <w:marRight w:val="0"/>
                                      <w:marTop w:val="0"/>
                                      <w:marBottom w:val="120"/>
                                      <w:divBdr>
                                        <w:top w:val="none" w:sz="0" w:space="0" w:color="auto"/>
                                        <w:left w:val="none" w:sz="0" w:space="0" w:color="auto"/>
                                        <w:bottom w:val="single" w:sz="6" w:space="6" w:color="EEEEEE"/>
                                        <w:right w:val="none" w:sz="0" w:space="0" w:color="auto"/>
                                      </w:divBdr>
                                      <w:divsChild>
                                        <w:div w:id="1056126435">
                                          <w:marLeft w:val="0"/>
                                          <w:marRight w:val="0"/>
                                          <w:marTop w:val="0"/>
                                          <w:marBottom w:val="0"/>
                                          <w:divBdr>
                                            <w:top w:val="none" w:sz="0" w:space="0" w:color="auto"/>
                                            <w:left w:val="none" w:sz="0" w:space="0" w:color="auto"/>
                                            <w:bottom w:val="none" w:sz="0" w:space="0" w:color="auto"/>
                                            <w:right w:val="none" w:sz="0" w:space="0" w:color="auto"/>
                                          </w:divBdr>
                                        </w:div>
                                      </w:divsChild>
                                    </w:div>
                                    <w:div w:id="1600067765">
                                      <w:marLeft w:val="0"/>
                                      <w:marRight w:val="0"/>
                                      <w:marTop w:val="0"/>
                                      <w:marBottom w:val="120"/>
                                      <w:divBdr>
                                        <w:top w:val="none" w:sz="0" w:space="0" w:color="auto"/>
                                        <w:left w:val="none" w:sz="0" w:space="0" w:color="auto"/>
                                        <w:bottom w:val="single" w:sz="6" w:space="6" w:color="EEEEEE"/>
                                        <w:right w:val="none" w:sz="0" w:space="0" w:color="auto"/>
                                      </w:divBdr>
                                      <w:divsChild>
                                        <w:div w:id="1031227039">
                                          <w:marLeft w:val="0"/>
                                          <w:marRight w:val="0"/>
                                          <w:marTop w:val="0"/>
                                          <w:marBottom w:val="0"/>
                                          <w:divBdr>
                                            <w:top w:val="none" w:sz="0" w:space="0" w:color="auto"/>
                                            <w:left w:val="none" w:sz="0" w:space="0" w:color="auto"/>
                                            <w:bottom w:val="none" w:sz="0" w:space="0" w:color="auto"/>
                                            <w:right w:val="none" w:sz="0" w:space="0" w:color="auto"/>
                                          </w:divBdr>
                                        </w:div>
                                      </w:divsChild>
                                    </w:div>
                                    <w:div w:id="1830901360">
                                      <w:marLeft w:val="0"/>
                                      <w:marRight w:val="0"/>
                                      <w:marTop w:val="0"/>
                                      <w:marBottom w:val="120"/>
                                      <w:divBdr>
                                        <w:top w:val="none" w:sz="0" w:space="0" w:color="auto"/>
                                        <w:left w:val="none" w:sz="0" w:space="0" w:color="auto"/>
                                        <w:bottom w:val="none" w:sz="0" w:space="0" w:color="auto"/>
                                        <w:right w:val="none" w:sz="0" w:space="0" w:color="auto"/>
                                      </w:divBdr>
                                      <w:divsChild>
                                        <w:div w:id="43779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95178">
                                  <w:marLeft w:val="0"/>
                                  <w:marRight w:val="600"/>
                                  <w:marTop w:val="0"/>
                                  <w:marBottom w:val="0"/>
                                  <w:divBdr>
                                    <w:top w:val="none" w:sz="0" w:space="0" w:color="auto"/>
                                    <w:left w:val="none" w:sz="0" w:space="0" w:color="auto"/>
                                    <w:bottom w:val="none" w:sz="0" w:space="0" w:color="auto"/>
                                    <w:right w:val="none" w:sz="0" w:space="0" w:color="auto"/>
                                  </w:divBdr>
                                  <w:divsChild>
                                    <w:div w:id="574316421">
                                      <w:marLeft w:val="0"/>
                                      <w:marRight w:val="0"/>
                                      <w:marTop w:val="0"/>
                                      <w:marBottom w:val="120"/>
                                      <w:divBdr>
                                        <w:top w:val="none" w:sz="0" w:space="0" w:color="auto"/>
                                        <w:left w:val="none" w:sz="0" w:space="0" w:color="auto"/>
                                        <w:bottom w:val="single" w:sz="6" w:space="6" w:color="EEEEEE"/>
                                        <w:right w:val="none" w:sz="0" w:space="0" w:color="auto"/>
                                      </w:divBdr>
                                      <w:divsChild>
                                        <w:div w:id="471555002">
                                          <w:marLeft w:val="0"/>
                                          <w:marRight w:val="0"/>
                                          <w:marTop w:val="0"/>
                                          <w:marBottom w:val="0"/>
                                          <w:divBdr>
                                            <w:top w:val="none" w:sz="0" w:space="0" w:color="auto"/>
                                            <w:left w:val="none" w:sz="0" w:space="0" w:color="auto"/>
                                            <w:bottom w:val="none" w:sz="0" w:space="0" w:color="auto"/>
                                            <w:right w:val="none" w:sz="0" w:space="0" w:color="auto"/>
                                          </w:divBdr>
                                        </w:div>
                                      </w:divsChild>
                                    </w:div>
                                    <w:div w:id="688918061">
                                      <w:marLeft w:val="0"/>
                                      <w:marRight w:val="0"/>
                                      <w:marTop w:val="0"/>
                                      <w:marBottom w:val="120"/>
                                      <w:divBdr>
                                        <w:top w:val="none" w:sz="0" w:space="0" w:color="auto"/>
                                        <w:left w:val="none" w:sz="0" w:space="0" w:color="auto"/>
                                        <w:bottom w:val="none" w:sz="0" w:space="0" w:color="auto"/>
                                        <w:right w:val="none" w:sz="0" w:space="0" w:color="auto"/>
                                      </w:divBdr>
                                      <w:divsChild>
                                        <w:div w:id="1692950996">
                                          <w:marLeft w:val="0"/>
                                          <w:marRight w:val="0"/>
                                          <w:marTop w:val="0"/>
                                          <w:marBottom w:val="0"/>
                                          <w:divBdr>
                                            <w:top w:val="none" w:sz="0" w:space="0" w:color="auto"/>
                                            <w:left w:val="none" w:sz="0" w:space="0" w:color="auto"/>
                                            <w:bottom w:val="none" w:sz="0" w:space="0" w:color="auto"/>
                                            <w:right w:val="none" w:sz="0" w:space="0" w:color="auto"/>
                                          </w:divBdr>
                                        </w:div>
                                      </w:divsChild>
                                    </w:div>
                                    <w:div w:id="830371148">
                                      <w:marLeft w:val="0"/>
                                      <w:marRight w:val="0"/>
                                      <w:marTop w:val="0"/>
                                      <w:marBottom w:val="120"/>
                                      <w:divBdr>
                                        <w:top w:val="none" w:sz="0" w:space="0" w:color="auto"/>
                                        <w:left w:val="none" w:sz="0" w:space="0" w:color="auto"/>
                                        <w:bottom w:val="single" w:sz="6" w:space="6" w:color="EEEEEE"/>
                                        <w:right w:val="none" w:sz="0" w:space="0" w:color="auto"/>
                                      </w:divBdr>
                                      <w:divsChild>
                                        <w:div w:id="1229225030">
                                          <w:marLeft w:val="0"/>
                                          <w:marRight w:val="0"/>
                                          <w:marTop w:val="0"/>
                                          <w:marBottom w:val="0"/>
                                          <w:divBdr>
                                            <w:top w:val="none" w:sz="0" w:space="0" w:color="auto"/>
                                            <w:left w:val="none" w:sz="0" w:space="0" w:color="auto"/>
                                            <w:bottom w:val="none" w:sz="0" w:space="0" w:color="auto"/>
                                            <w:right w:val="none" w:sz="0" w:space="0" w:color="auto"/>
                                          </w:divBdr>
                                        </w:div>
                                      </w:divsChild>
                                    </w:div>
                                    <w:div w:id="1035959466">
                                      <w:marLeft w:val="0"/>
                                      <w:marRight w:val="0"/>
                                      <w:marTop w:val="0"/>
                                      <w:marBottom w:val="120"/>
                                      <w:divBdr>
                                        <w:top w:val="none" w:sz="0" w:space="0" w:color="auto"/>
                                        <w:left w:val="none" w:sz="0" w:space="0" w:color="auto"/>
                                        <w:bottom w:val="single" w:sz="6" w:space="6" w:color="EEEEEE"/>
                                        <w:right w:val="none" w:sz="0" w:space="0" w:color="auto"/>
                                      </w:divBdr>
                                      <w:divsChild>
                                        <w:div w:id="600645372">
                                          <w:marLeft w:val="0"/>
                                          <w:marRight w:val="0"/>
                                          <w:marTop w:val="0"/>
                                          <w:marBottom w:val="0"/>
                                          <w:divBdr>
                                            <w:top w:val="none" w:sz="0" w:space="0" w:color="auto"/>
                                            <w:left w:val="none" w:sz="0" w:space="0" w:color="auto"/>
                                            <w:bottom w:val="none" w:sz="0" w:space="0" w:color="auto"/>
                                            <w:right w:val="none" w:sz="0" w:space="0" w:color="auto"/>
                                          </w:divBdr>
                                        </w:div>
                                      </w:divsChild>
                                    </w:div>
                                    <w:div w:id="1726028204">
                                      <w:marLeft w:val="0"/>
                                      <w:marRight w:val="0"/>
                                      <w:marTop w:val="0"/>
                                      <w:marBottom w:val="120"/>
                                      <w:divBdr>
                                        <w:top w:val="none" w:sz="0" w:space="0" w:color="auto"/>
                                        <w:left w:val="none" w:sz="0" w:space="0" w:color="auto"/>
                                        <w:bottom w:val="single" w:sz="6" w:space="6" w:color="EEEEEE"/>
                                        <w:right w:val="none" w:sz="0" w:space="0" w:color="auto"/>
                                      </w:divBdr>
                                      <w:divsChild>
                                        <w:div w:id="54960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1026918">
                  <w:marLeft w:val="0"/>
                  <w:marRight w:val="0"/>
                  <w:marTop w:val="0"/>
                  <w:marBottom w:val="0"/>
                  <w:divBdr>
                    <w:top w:val="none" w:sz="0" w:space="0" w:color="auto"/>
                    <w:left w:val="none" w:sz="0" w:space="0" w:color="auto"/>
                    <w:bottom w:val="none" w:sz="0" w:space="0" w:color="auto"/>
                    <w:right w:val="none" w:sz="0" w:space="0" w:color="auto"/>
                  </w:divBdr>
                  <w:divsChild>
                    <w:div w:id="620378026">
                      <w:marLeft w:val="0"/>
                      <w:marRight w:val="0"/>
                      <w:marTop w:val="0"/>
                      <w:marBottom w:val="0"/>
                      <w:divBdr>
                        <w:top w:val="none" w:sz="0" w:space="0" w:color="auto"/>
                        <w:left w:val="none" w:sz="0" w:space="0" w:color="auto"/>
                        <w:bottom w:val="none" w:sz="0" w:space="0" w:color="auto"/>
                        <w:right w:val="none" w:sz="0" w:space="0" w:color="auto"/>
                      </w:divBdr>
                      <w:divsChild>
                        <w:div w:id="103505931">
                          <w:marLeft w:val="0"/>
                          <w:marRight w:val="0"/>
                          <w:marTop w:val="0"/>
                          <w:marBottom w:val="0"/>
                          <w:divBdr>
                            <w:top w:val="none" w:sz="0" w:space="0" w:color="auto"/>
                            <w:left w:val="none" w:sz="0" w:space="0" w:color="auto"/>
                            <w:bottom w:val="none" w:sz="0" w:space="0" w:color="auto"/>
                            <w:right w:val="none" w:sz="0" w:space="0" w:color="auto"/>
                          </w:divBdr>
                          <w:divsChild>
                            <w:div w:id="211282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6120511">
      <w:bodyDiv w:val="1"/>
      <w:marLeft w:val="0"/>
      <w:marRight w:val="0"/>
      <w:marTop w:val="0"/>
      <w:marBottom w:val="0"/>
      <w:divBdr>
        <w:top w:val="none" w:sz="0" w:space="0" w:color="auto"/>
        <w:left w:val="none" w:sz="0" w:space="0" w:color="auto"/>
        <w:bottom w:val="none" w:sz="0" w:space="0" w:color="auto"/>
        <w:right w:val="none" w:sz="0" w:space="0" w:color="auto"/>
      </w:divBdr>
    </w:div>
    <w:div w:id="2126191537">
      <w:bodyDiv w:val="1"/>
      <w:marLeft w:val="0"/>
      <w:marRight w:val="0"/>
      <w:marTop w:val="0"/>
      <w:marBottom w:val="0"/>
      <w:divBdr>
        <w:top w:val="none" w:sz="0" w:space="0" w:color="auto"/>
        <w:left w:val="none" w:sz="0" w:space="0" w:color="auto"/>
        <w:bottom w:val="none" w:sz="0" w:space="0" w:color="auto"/>
        <w:right w:val="none" w:sz="0" w:space="0" w:color="auto"/>
      </w:divBdr>
      <w:divsChild>
        <w:div w:id="307788882">
          <w:marLeft w:val="0"/>
          <w:marRight w:val="0"/>
          <w:marTop w:val="0"/>
          <w:marBottom w:val="0"/>
          <w:divBdr>
            <w:top w:val="none" w:sz="0" w:space="0" w:color="auto"/>
            <w:left w:val="none" w:sz="0" w:space="0" w:color="auto"/>
            <w:bottom w:val="dotted" w:sz="6" w:space="4" w:color="DDDDDD"/>
            <w:right w:val="none" w:sz="0" w:space="0" w:color="auto"/>
          </w:divBdr>
          <w:divsChild>
            <w:div w:id="31504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384275">
      <w:bodyDiv w:val="1"/>
      <w:marLeft w:val="0"/>
      <w:marRight w:val="0"/>
      <w:marTop w:val="0"/>
      <w:marBottom w:val="0"/>
      <w:divBdr>
        <w:top w:val="none" w:sz="0" w:space="0" w:color="auto"/>
        <w:left w:val="none" w:sz="0" w:space="0" w:color="auto"/>
        <w:bottom w:val="none" w:sz="0" w:space="0" w:color="auto"/>
        <w:right w:val="none" w:sz="0" w:space="0" w:color="auto"/>
      </w:divBdr>
      <w:divsChild>
        <w:div w:id="415906504">
          <w:marLeft w:val="0"/>
          <w:marRight w:val="0"/>
          <w:marTop w:val="0"/>
          <w:marBottom w:val="75"/>
          <w:divBdr>
            <w:top w:val="none" w:sz="0" w:space="0" w:color="auto"/>
            <w:left w:val="none" w:sz="0" w:space="0" w:color="auto"/>
            <w:bottom w:val="none" w:sz="0" w:space="0" w:color="auto"/>
            <w:right w:val="none" w:sz="0" w:space="0" w:color="auto"/>
          </w:divBdr>
        </w:div>
        <w:div w:id="454450619">
          <w:marLeft w:val="0"/>
          <w:marRight w:val="0"/>
          <w:marTop w:val="0"/>
          <w:marBottom w:val="0"/>
          <w:divBdr>
            <w:top w:val="none" w:sz="0" w:space="0" w:color="auto"/>
            <w:left w:val="none" w:sz="0" w:space="0" w:color="auto"/>
            <w:bottom w:val="none" w:sz="0" w:space="0" w:color="auto"/>
            <w:right w:val="none" w:sz="0" w:space="0" w:color="auto"/>
          </w:divBdr>
          <w:divsChild>
            <w:div w:id="1100494432">
              <w:marLeft w:val="0"/>
              <w:marRight w:val="0"/>
              <w:marTop w:val="0"/>
              <w:marBottom w:val="0"/>
              <w:divBdr>
                <w:top w:val="none" w:sz="0" w:space="0" w:color="auto"/>
                <w:left w:val="none" w:sz="0" w:space="0" w:color="auto"/>
                <w:bottom w:val="none" w:sz="0" w:space="0" w:color="auto"/>
                <w:right w:val="none" w:sz="0" w:space="0" w:color="auto"/>
              </w:divBdr>
              <w:divsChild>
                <w:div w:id="1480923389">
                  <w:marLeft w:val="0"/>
                  <w:marRight w:val="0"/>
                  <w:marTop w:val="0"/>
                  <w:marBottom w:val="150"/>
                  <w:divBdr>
                    <w:top w:val="none" w:sz="0" w:space="0" w:color="auto"/>
                    <w:left w:val="none" w:sz="0" w:space="0" w:color="auto"/>
                    <w:bottom w:val="none" w:sz="0" w:space="0" w:color="auto"/>
                    <w:right w:val="none" w:sz="0" w:space="0" w:color="auto"/>
                  </w:divBdr>
                  <w:divsChild>
                    <w:div w:id="14788867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91974812">
          <w:marLeft w:val="0"/>
          <w:marRight w:val="0"/>
          <w:marTop w:val="0"/>
          <w:marBottom w:val="0"/>
          <w:divBdr>
            <w:top w:val="none" w:sz="0" w:space="0" w:color="auto"/>
            <w:left w:val="none" w:sz="0" w:space="0" w:color="auto"/>
            <w:bottom w:val="none" w:sz="0" w:space="0" w:color="auto"/>
            <w:right w:val="none" w:sz="0" w:space="0" w:color="auto"/>
          </w:divBdr>
          <w:divsChild>
            <w:div w:id="1239633173">
              <w:marLeft w:val="0"/>
              <w:marRight w:val="0"/>
              <w:marTop w:val="0"/>
              <w:marBottom w:val="0"/>
              <w:divBdr>
                <w:top w:val="none" w:sz="0" w:space="0" w:color="auto"/>
                <w:left w:val="none" w:sz="0" w:space="0" w:color="auto"/>
                <w:bottom w:val="none" w:sz="0" w:space="0" w:color="auto"/>
                <w:right w:val="none" w:sz="0" w:space="0" w:color="auto"/>
              </w:divBdr>
              <w:divsChild>
                <w:div w:id="103508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775782">
      <w:bodyDiv w:val="1"/>
      <w:marLeft w:val="0"/>
      <w:marRight w:val="0"/>
      <w:marTop w:val="0"/>
      <w:marBottom w:val="0"/>
      <w:divBdr>
        <w:top w:val="none" w:sz="0" w:space="0" w:color="auto"/>
        <w:left w:val="none" w:sz="0" w:space="0" w:color="auto"/>
        <w:bottom w:val="none" w:sz="0" w:space="0" w:color="auto"/>
        <w:right w:val="none" w:sz="0" w:space="0" w:color="auto"/>
      </w:divBdr>
      <w:divsChild>
        <w:div w:id="83502313">
          <w:marLeft w:val="0"/>
          <w:marRight w:val="0"/>
          <w:marTop w:val="0"/>
          <w:marBottom w:val="0"/>
          <w:divBdr>
            <w:top w:val="none" w:sz="0" w:space="0" w:color="auto"/>
            <w:left w:val="none" w:sz="0" w:space="0" w:color="auto"/>
            <w:bottom w:val="dotted" w:sz="6" w:space="4" w:color="DDDDDD"/>
            <w:right w:val="none" w:sz="0" w:space="0" w:color="auto"/>
          </w:divBdr>
        </w:div>
      </w:divsChild>
    </w:div>
    <w:div w:id="2127039168">
      <w:bodyDiv w:val="1"/>
      <w:marLeft w:val="0"/>
      <w:marRight w:val="0"/>
      <w:marTop w:val="0"/>
      <w:marBottom w:val="0"/>
      <w:divBdr>
        <w:top w:val="none" w:sz="0" w:space="0" w:color="auto"/>
        <w:left w:val="none" w:sz="0" w:space="0" w:color="auto"/>
        <w:bottom w:val="none" w:sz="0" w:space="0" w:color="auto"/>
        <w:right w:val="none" w:sz="0" w:space="0" w:color="auto"/>
      </w:divBdr>
      <w:divsChild>
        <w:div w:id="100958085">
          <w:marLeft w:val="0"/>
          <w:marRight w:val="0"/>
          <w:marTop w:val="0"/>
          <w:marBottom w:val="150"/>
          <w:divBdr>
            <w:top w:val="none" w:sz="0" w:space="0" w:color="auto"/>
            <w:left w:val="none" w:sz="0" w:space="0" w:color="auto"/>
            <w:bottom w:val="none" w:sz="0" w:space="0" w:color="auto"/>
            <w:right w:val="none" w:sz="0" w:space="0" w:color="auto"/>
          </w:divBdr>
          <w:divsChild>
            <w:div w:id="105079295">
              <w:marLeft w:val="0"/>
              <w:marRight w:val="0"/>
              <w:marTop w:val="0"/>
              <w:marBottom w:val="0"/>
              <w:divBdr>
                <w:top w:val="none" w:sz="0" w:space="0" w:color="auto"/>
                <w:left w:val="none" w:sz="0" w:space="0" w:color="auto"/>
                <w:bottom w:val="none" w:sz="0" w:space="0" w:color="auto"/>
                <w:right w:val="none" w:sz="0" w:space="0" w:color="auto"/>
              </w:divBdr>
            </w:div>
          </w:divsChild>
        </w:div>
        <w:div w:id="1214385059">
          <w:marLeft w:val="0"/>
          <w:marRight w:val="0"/>
          <w:marTop w:val="0"/>
          <w:marBottom w:val="0"/>
          <w:divBdr>
            <w:top w:val="none" w:sz="0" w:space="0" w:color="auto"/>
            <w:left w:val="none" w:sz="0" w:space="0" w:color="auto"/>
            <w:bottom w:val="none" w:sz="0" w:space="0" w:color="auto"/>
            <w:right w:val="none" w:sz="0" w:space="0" w:color="auto"/>
          </w:divBdr>
          <w:divsChild>
            <w:div w:id="592399474">
              <w:marLeft w:val="0"/>
              <w:marRight w:val="0"/>
              <w:marTop w:val="0"/>
              <w:marBottom w:val="0"/>
              <w:divBdr>
                <w:top w:val="none" w:sz="0" w:space="0" w:color="auto"/>
                <w:left w:val="none" w:sz="0" w:space="0" w:color="auto"/>
                <w:bottom w:val="none" w:sz="0" w:space="0" w:color="auto"/>
                <w:right w:val="none" w:sz="0" w:space="0" w:color="auto"/>
              </w:divBdr>
            </w:div>
          </w:divsChild>
        </w:div>
        <w:div w:id="1318343620">
          <w:marLeft w:val="0"/>
          <w:marRight w:val="0"/>
          <w:marTop w:val="0"/>
          <w:marBottom w:val="150"/>
          <w:divBdr>
            <w:top w:val="none" w:sz="0" w:space="0" w:color="auto"/>
            <w:left w:val="none" w:sz="0" w:space="0" w:color="auto"/>
            <w:bottom w:val="none" w:sz="0" w:space="0" w:color="auto"/>
            <w:right w:val="none" w:sz="0" w:space="0" w:color="auto"/>
          </w:divBdr>
        </w:div>
      </w:divsChild>
    </w:div>
    <w:div w:id="2127843328">
      <w:bodyDiv w:val="1"/>
      <w:marLeft w:val="0"/>
      <w:marRight w:val="0"/>
      <w:marTop w:val="0"/>
      <w:marBottom w:val="0"/>
      <w:divBdr>
        <w:top w:val="none" w:sz="0" w:space="0" w:color="auto"/>
        <w:left w:val="none" w:sz="0" w:space="0" w:color="auto"/>
        <w:bottom w:val="none" w:sz="0" w:space="0" w:color="auto"/>
        <w:right w:val="none" w:sz="0" w:space="0" w:color="auto"/>
      </w:divBdr>
      <w:divsChild>
        <w:div w:id="829097617">
          <w:marLeft w:val="0"/>
          <w:marRight w:val="0"/>
          <w:marTop w:val="0"/>
          <w:marBottom w:val="0"/>
          <w:divBdr>
            <w:top w:val="none" w:sz="0" w:space="0" w:color="auto"/>
            <w:left w:val="none" w:sz="0" w:space="0" w:color="auto"/>
            <w:bottom w:val="none" w:sz="0" w:space="0" w:color="auto"/>
            <w:right w:val="none" w:sz="0" w:space="0" w:color="auto"/>
          </w:divBdr>
          <w:divsChild>
            <w:div w:id="7886650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7846088">
      <w:bodyDiv w:val="1"/>
      <w:marLeft w:val="0"/>
      <w:marRight w:val="0"/>
      <w:marTop w:val="0"/>
      <w:marBottom w:val="0"/>
      <w:divBdr>
        <w:top w:val="none" w:sz="0" w:space="0" w:color="auto"/>
        <w:left w:val="none" w:sz="0" w:space="0" w:color="auto"/>
        <w:bottom w:val="none" w:sz="0" w:space="0" w:color="auto"/>
        <w:right w:val="none" w:sz="0" w:space="0" w:color="auto"/>
      </w:divBdr>
    </w:div>
    <w:div w:id="2127892781">
      <w:bodyDiv w:val="1"/>
      <w:marLeft w:val="0"/>
      <w:marRight w:val="0"/>
      <w:marTop w:val="0"/>
      <w:marBottom w:val="0"/>
      <w:divBdr>
        <w:top w:val="none" w:sz="0" w:space="0" w:color="auto"/>
        <w:left w:val="none" w:sz="0" w:space="0" w:color="auto"/>
        <w:bottom w:val="none" w:sz="0" w:space="0" w:color="auto"/>
        <w:right w:val="none" w:sz="0" w:space="0" w:color="auto"/>
      </w:divBdr>
      <w:divsChild>
        <w:div w:id="1300846478">
          <w:marLeft w:val="0"/>
          <w:marRight w:val="0"/>
          <w:marTop w:val="0"/>
          <w:marBottom w:val="150"/>
          <w:divBdr>
            <w:top w:val="none" w:sz="0" w:space="0" w:color="auto"/>
            <w:left w:val="none" w:sz="0" w:space="0" w:color="auto"/>
            <w:bottom w:val="none" w:sz="0" w:space="0" w:color="auto"/>
            <w:right w:val="none" w:sz="0" w:space="0" w:color="auto"/>
          </w:divBdr>
        </w:div>
        <w:div w:id="1821771298">
          <w:marLeft w:val="0"/>
          <w:marRight w:val="0"/>
          <w:marTop w:val="0"/>
          <w:marBottom w:val="150"/>
          <w:divBdr>
            <w:top w:val="none" w:sz="0" w:space="0" w:color="auto"/>
            <w:left w:val="none" w:sz="0" w:space="0" w:color="auto"/>
            <w:bottom w:val="none" w:sz="0" w:space="0" w:color="auto"/>
            <w:right w:val="none" w:sz="0" w:space="0" w:color="auto"/>
          </w:divBdr>
          <w:divsChild>
            <w:div w:id="1281305636">
              <w:marLeft w:val="0"/>
              <w:marRight w:val="0"/>
              <w:marTop w:val="0"/>
              <w:marBottom w:val="0"/>
              <w:divBdr>
                <w:top w:val="none" w:sz="0" w:space="0" w:color="auto"/>
                <w:left w:val="none" w:sz="0" w:space="0" w:color="auto"/>
                <w:bottom w:val="none" w:sz="0" w:space="0" w:color="auto"/>
                <w:right w:val="none" w:sz="0" w:space="0" w:color="auto"/>
              </w:divBdr>
            </w:div>
          </w:divsChild>
        </w:div>
        <w:div w:id="1856263167">
          <w:marLeft w:val="0"/>
          <w:marRight w:val="0"/>
          <w:marTop w:val="0"/>
          <w:marBottom w:val="0"/>
          <w:divBdr>
            <w:top w:val="none" w:sz="0" w:space="0" w:color="auto"/>
            <w:left w:val="none" w:sz="0" w:space="0" w:color="auto"/>
            <w:bottom w:val="none" w:sz="0" w:space="0" w:color="auto"/>
            <w:right w:val="none" w:sz="0" w:space="0" w:color="auto"/>
          </w:divBdr>
          <w:divsChild>
            <w:div w:id="155215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49413">
      <w:bodyDiv w:val="1"/>
      <w:marLeft w:val="0"/>
      <w:marRight w:val="0"/>
      <w:marTop w:val="0"/>
      <w:marBottom w:val="0"/>
      <w:divBdr>
        <w:top w:val="none" w:sz="0" w:space="0" w:color="auto"/>
        <w:left w:val="none" w:sz="0" w:space="0" w:color="auto"/>
        <w:bottom w:val="none" w:sz="0" w:space="0" w:color="auto"/>
        <w:right w:val="none" w:sz="0" w:space="0" w:color="auto"/>
      </w:divBdr>
      <w:divsChild>
        <w:div w:id="67653734">
          <w:marLeft w:val="0"/>
          <w:marRight w:val="0"/>
          <w:marTop w:val="0"/>
          <w:marBottom w:val="0"/>
          <w:divBdr>
            <w:top w:val="none" w:sz="0" w:space="0" w:color="auto"/>
            <w:left w:val="none" w:sz="0" w:space="0" w:color="auto"/>
            <w:bottom w:val="dotted" w:sz="6" w:space="4" w:color="DDDDDD"/>
            <w:right w:val="none" w:sz="0" w:space="0" w:color="auto"/>
          </w:divBdr>
          <w:divsChild>
            <w:div w:id="60989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078123">
      <w:bodyDiv w:val="1"/>
      <w:marLeft w:val="0"/>
      <w:marRight w:val="0"/>
      <w:marTop w:val="0"/>
      <w:marBottom w:val="0"/>
      <w:divBdr>
        <w:top w:val="none" w:sz="0" w:space="0" w:color="auto"/>
        <w:left w:val="none" w:sz="0" w:space="0" w:color="auto"/>
        <w:bottom w:val="none" w:sz="0" w:space="0" w:color="auto"/>
        <w:right w:val="none" w:sz="0" w:space="0" w:color="auto"/>
      </w:divBdr>
    </w:div>
    <w:div w:id="2129162144">
      <w:bodyDiv w:val="1"/>
      <w:marLeft w:val="0"/>
      <w:marRight w:val="0"/>
      <w:marTop w:val="0"/>
      <w:marBottom w:val="0"/>
      <w:divBdr>
        <w:top w:val="none" w:sz="0" w:space="0" w:color="auto"/>
        <w:left w:val="none" w:sz="0" w:space="0" w:color="auto"/>
        <w:bottom w:val="none" w:sz="0" w:space="0" w:color="auto"/>
        <w:right w:val="none" w:sz="0" w:space="0" w:color="auto"/>
      </w:divBdr>
    </w:div>
    <w:div w:id="2130927947">
      <w:bodyDiv w:val="1"/>
      <w:marLeft w:val="0"/>
      <w:marRight w:val="0"/>
      <w:marTop w:val="0"/>
      <w:marBottom w:val="0"/>
      <w:divBdr>
        <w:top w:val="none" w:sz="0" w:space="0" w:color="auto"/>
        <w:left w:val="none" w:sz="0" w:space="0" w:color="auto"/>
        <w:bottom w:val="none" w:sz="0" w:space="0" w:color="auto"/>
        <w:right w:val="none" w:sz="0" w:space="0" w:color="auto"/>
      </w:divBdr>
      <w:divsChild>
        <w:div w:id="147136712">
          <w:marLeft w:val="0"/>
          <w:marRight w:val="0"/>
          <w:marTop w:val="135"/>
          <w:marBottom w:val="0"/>
          <w:divBdr>
            <w:top w:val="none" w:sz="0" w:space="0" w:color="auto"/>
            <w:left w:val="none" w:sz="0" w:space="0" w:color="auto"/>
            <w:bottom w:val="none" w:sz="0" w:space="0" w:color="auto"/>
            <w:right w:val="none" w:sz="0" w:space="0" w:color="auto"/>
          </w:divBdr>
          <w:divsChild>
            <w:div w:id="2029019653">
              <w:marLeft w:val="0"/>
              <w:marRight w:val="0"/>
              <w:marTop w:val="45"/>
              <w:marBottom w:val="0"/>
              <w:divBdr>
                <w:top w:val="none" w:sz="0" w:space="0" w:color="auto"/>
                <w:left w:val="none" w:sz="0" w:space="0" w:color="auto"/>
                <w:bottom w:val="none" w:sz="0" w:space="0" w:color="auto"/>
                <w:right w:val="none" w:sz="0" w:space="0" w:color="auto"/>
              </w:divBdr>
            </w:div>
          </w:divsChild>
        </w:div>
        <w:div w:id="768038584">
          <w:marLeft w:val="0"/>
          <w:marRight w:val="0"/>
          <w:marTop w:val="300"/>
          <w:marBottom w:val="0"/>
          <w:divBdr>
            <w:top w:val="none" w:sz="0" w:space="0" w:color="auto"/>
            <w:left w:val="none" w:sz="0" w:space="0" w:color="auto"/>
            <w:bottom w:val="none" w:sz="0" w:space="0" w:color="auto"/>
            <w:right w:val="none" w:sz="0" w:space="0" w:color="auto"/>
          </w:divBdr>
          <w:divsChild>
            <w:div w:id="288902314">
              <w:marLeft w:val="0"/>
              <w:marRight w:val="0"/>
              <w:marTop w:val="0"/>
              <w:marBottom w:val="0"/>
              <w:divBdr>
                <w:top w:val="none" w:sz="0" w:space="0" w:color="auto"/>
                <w:left w:val="none" w:sz="0" w:space="0" w:color="auto"/>
                <w:bottom w:val="none" w:sz="0" w:space="0" w:color="auto"/>
                <w:right w:val="none" w:sz="0" w:space="0" w:color="auto"/>
              </w:divBdr>
              <w:divsChild>
                <w:div w:id="59691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932193">
      <w:bodyDiv w:val="1"/>
      <w:marLeft w:val="0"/>
      <w:marRight w:val="0"/>
      <w:marTop w:val="0"/>
      <w:marBottom w:val="0"/>
      <w:divBdr>
        <w:top w:val="none" w:sz="0" w:space="0" w:color="auto"/>
        <w:left w:val="none" w:sz="0" w:space="0" w:color="auto"/>
        <w:bottom w:val="none" w:sz="0" w:space="0" w:color="auto"/>
        <w:right w:val="none" w:sz="0" w:space="0" w:color="auto"/>
      </w:divBdr>
      <w:divsChild>
        <w:div w:id="2028554742">
          <w:marLeft w:val="0"/>
          <w:marRight w:val="0"/>
          <w:marTop w:val="0"/>
          <w:marBottom w:val="0"/>
          <w:divBdr>
            <w:top w:val="none" w:sz="0" w:space="0" w:color="auto"/>
            <w:left w:val="none" w:sz="0" w:space="0" w:color="auto"/>
            <w:bottom w:val="dotted" w:sz="6" w:space="4" w:color="DDDDDD"/>
            <w:right w:val="none" w:sz="0" w:space="0" w:color="auto"/>
          </w:divBdr>
        </w:div>
      </w:divsChild>
    </w:div>
    <w:div w:id="2131123424">
      <w:bodyDiv w:val="1"/>
      <w:marLeft w:val="0"/>
      <w:marRight w:val="0"/>
      <w:marTop w:val="0"/>
      <w:marBottom w:val="0"/>
      <w:divBdr>
        <w:top w:val="none" w:sz="0" w:space="0" w:color="auto"/>
        <w:left w:val="none" w:sz="0" w:space="0" w:color="auto"/>
        <w:bottom w:val="none" w:sz="0" w:space="0" w:color="auto"/>
        <w:right w:val="none" w:sz="0" w:space="0" w:color="auto"/>
      </w:divBdr>
    </w:div>
    <w:div w:id="2131124955">
      <w:bodyDiv w:val="1"/>
      <w:marLeft w:val="0"/>
      <w:marRight w:val="0"/>
      <w:marTop w:val="0"/>
      <w:marBottom w:val="0"/>
      <w:divBdr>
        <w:top w:val="none" w:sz="0" w:space="0" w:color="auto"/>
        <w:left w:val="none" w:sz="0" w:space="0" w:color="auto"/>
        <w:bottom w:val="none" w:sz="0" w:space="0" w:color="auto"/>
        <w:right w:val="none" w:sz="0" w:space="0" w:color="auto"/>
      </w:divBdr>
      <w:divsChild>
        <w:div w:id="1127551939">
          <w:marLeft w:val="0"/>
          <w:marRight w:val="0"/>
          <w:marTop w:val="0"/>
          <w:marBottom w:val="150"/>
          <w:divBdr>
            <w:top w:val="none" w:sz="0" w:space="0" w:color="auto"/>
            <w:left w:val="none" w:sz="0" w:space="0" w:color="auto"/>
            <w:bottom w:val="none" w:sz="0" w:space="0" w:color="auto"/>
            <w:right w:val="none" w:sz="0" w:space="0" w:color="auto"/>
          </w:divBdr>
        </w:div>
        <w:div w:id="1589341809">
          <w:marLeft w:val="0"/>
          <w:marRight w:val="0"/>
          <w:marTop w:val="0"/>
          <w:marBottom w:val="0"/>
          <w:divBdr>
            <w:top w:val="none" w:sz="0" w:space="0" w:color="auto"/>
            <w:left w:val="none" w:sz="0" w:space="0" w:color="auto"/>
            <w:bottom w:val="none" w:sz="0" w:space="0" w:color="auto"/>
            <w:right w:val="none" w:sz="0" w:space="0" w:color="auto"/>
          </w:divBdr>
          <w:divsChild>
            <w:div w:id="1287198827">
              <w:marLeft w:val="0"/>
              <w:marRight w:val="0"/>
              <w:marTop w:val="225"/>
              <w:marBottom w:val="225"/>
              <w:divBdr>
                <w:top w:val="none" w:sz="0" w:space="0" w:color="auto"/>
                <w:left w:val="none" w:sz="0" w:space="0" w:color="auto"/>
                <w:bottom w:val="none" w:sz="0" w:space="0" w:color="auto"/>
                <w:right w:val="none" w:sz="0" w:space="0" w:color="auto"/>
              </w:divBdr>
            </w:div>
          </w:divsChild>
        </w:div>
        <w:div w:id="1622691460">
          <w:marLeft w:val="0"/>
          <w:marRight w:val="0"/>
          <w:marTop w:val="0"/>
          <w:marBottom w:val="150"/>
          <w:divBdr>
            <w:top w:val="none" w:sz="0" w:space="0" w:color="auto"/>
            <w:left w:val="none" w:sz="0" w:space="0" w:color="auto"/>
            <w:bottom w:val="none" w:sz="0" w:space="0" w:color="auto"/>
            <w:right w:val="none" w:sz="0" w:space="0" w:color="auto"/>
          </w:divBdr>
          <w:divsChild>
            <w:div w:id="800460300">
              <w:marLeft w:val="0"/>
              <w:marRight w:val="0"/>
              <w:marTop w:val="0"/>
              <w:marBottom w:val="0"/>
              <w:divBdr>
                <w:top w:val="none" w:sz="0" w:space="0" w:color="auto"/>
                <w:left w:val="none" w:sz="0" w:space="0" w:color="auto"/>
                <w:bottom w:val="none" w:sz="0" w:space="0" w:color="auto"/>
                <w:right w:val="none" w:sz="0" w:space="0" w:color="auto"/>
              </w:divBdr>
              <w:divsChild>
                <w:div w:id="54356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703435">
      <w:bodyDiv w:val="1"/>
      <w:marLeft w:val="0"/>
      <w:marRight w:val="0"/>
      <w:marTop w:val="0"/>
      <w:marBottom w:val="0"/>
      <w:divBdr>
        <w:top w:val="none" w:sz="0" w:space="0" w:color="auto"/>
        <w:left w:val="none" w:sz="0" w:space="0" w:color="auto"/>
        <w:bottom w:val="none" w:sz="0" w:space="0" w:color="auto"/>
        <w:right w:val="none" w:sz="0" w:space="0" w:color="auto"/>
      </w:divBdr>
      <w:divsChild>
        <w:div w:id="809638100">
          <w:marLeft w:val="0"/>
          <w:marRight w:val="0"/>
          <w:marTop w:val="0"/>
          <w:marBottom w:val="0"/>
          <w:divBdr>
            <w:top w:val="none" w:sz="0" w:space="0" w:color="auto"/>
            <w:left w:val="none" w:sz="0" w:space="0" w:color="auto"/>
            <w:bottom w:val="dotted" w:sz="6" w:space="4" w:color="DDDDDD"/>
            <w:right w:val="none" w:sz="0" w:space="0" w:color="auto"/>
          </w:divBdr>
          <w:divsChild>
            <w:div w:id="624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628704">
      <w:bodyDiv w:val="1"/>
      <w:marLeft w:val="0"/>
      <w:marRight w:val="0"/>
      <w:marTop w:val="0"/>
      <w:marBottom w:val="0"/>
      <w:divBdr>
        <w:top w:val="none" w:sz="0" w:space="0" w:color="auto"/>
        <w:left w:val="none" w:sz="0" w:space="0" w:color="auto"/>
        <w:bottom w:val="none" w:sz="0" w:space="0" w:color="auto"/>
        <w:right w:val="none" w:sz="0" w:space="0" w:color="auto"/>
      </w:divBdr>
      <w:divsChild>
        <w:div w:id="747652074">
          <w:marLeft w:val="0"/>
          <w:marRight w:val="0"/>
          <w:marTop w:val="0"/>
          <w:marBottom w:val="0"/>
          <w:divBdr>
            <w:top w:val="none" w:sz="0" w:space="0" w:color="auto"/>
            <w:left w:val="none" w:sz="0" w:space="0" w:color="auto"/>
            <w:bottom w:val="none" w:sz="0" w:space="0" w:color="auto"/>
            <w:right w:val="none" w:sz="0" w:space="0" w:color="auto"/>
          </w:divBdr>
          <w:divsChild>
            <w:div w:id="299115857">
              <w:marLeft w:val="0"/>
              <w:marRight w:val="0"/>
              <w:marTop w:val="0"/>
              <w:marBottom w:val="0"/>
              <w:divBdr>
                <w:top w:val="none" w:sz="0" w:space="0" w:color="auto"/>
                <w:left w:val="none" w:sz="0" w:space="0" w:color="auto"/>
                <w:bottom w:val="none" w:sz="0" w:space="0" w:color="auto"/>
                <w:right w:val="none" w:sz="0" w:space="0" w:color="auto"/>
              </w:divBdr>
              <w:divsChild>
                <w:div w:id="166141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16878">
          <w:marLeft w:val="0"/>
          <w:marRight w:val="0"/>
          <w:marTop w:val="0"/>
          <w:marBottom w:val="75"/>
          <w:divBdr>
            <w:top w:val="none" w:sz="0" w:space="0" w:color="auto"/>
            <w:left w:val="none" w:sz="0" w:space="0" w:color="auto"/>
            <w:bottom w:val="none" w:sz="0" w:space="0" w:color="auto"/>
            <w:right w:val="none" w:sz="0" w:space="0" w:color="auto"/>
          </w:divBdr>
        </w:div>
        <w:div w:id="1846246582">
          <w:marLeft w:val="0"/>
          <w:marRight w:val="0"/>
          <w:marTop w:val="0"/>
          <w:marBottom w:val="300"/>
          <w:divBdr>
            <w:top w:val="none" w:sz="0" w:space="0" w:color="auto"/>
            <w:left w:val="none" w:sz="0" w:space="0" w:color="auto"/>
            <w:bottom w:val="none" w:sz="0" w:space="0" w:color="auto"/>
            <w:right w:val="none" w:sz="0" w:space="0" w:color="auto"/>
          </w:divBdr>
          <w:divsChild>
            <w:div w:id="263345154">
              <w:marLeft w:val="0"/>
              <w:marRight w:val="0"/>
              <w:marTop w:val="0"/>
              <w:marBottom w:val="0"/>
              <w:divBdr>
                <w:top w:val="none" w:sz="0" w:space="0" w:color="auto"/>
                <w:left w:val="none" w:sz="0" w:space="0" w:color="auto"/>
                <w:bottom w:val="none" w:sz="0" w:space="0" w:color="auto"/>
                <w:right w:val="none" w:sz="0" w:space="0" w:color="auto"/>
              </w:divBdr>
            </w:div>
          </w:divsChild>
        </w:div>
        <w:div w:id="393427275">
          <w:marLeft w:val="0"/>
          <w:marRight w:val="0"/>
          <w:marTop w:val="0"/>
          <w:marBottom w:val="0"/>
          <w:divBdr>
            <w:top w:val="none" w:sz="0" w:space="0" w:color="auto"/>
            <w:left w:val="none" w:sz="0" w:space="0" w:color="auto"/>
            <w:bottom w:val="none" w:sz="0" w:space="0" w:color="auto"/>
            <w:right w:val="none" w:sz="0" w:space="0" w:color="auto"/>
          </w:divBdr>
          <w:divsChild>
            <w:div w:id="173807732">
              <w:marLeft w:val="0"/>
              <w:marRight w:val="0"/>
              <w:marTop w:val="0"/>
              <w:marBottom w:val="0"/>
              <w:divBdr>
                <w:top w:val="none" w:sz="0" w:space="0" w:color="auto"/>
                <w:left w:val="none" w:sz="0" w:space="0" w:color="auto"/>
                <w:bottom w:val="none" w:sz="0" w:space="0" w:color="auto"/>
                <w:right w:val="none" w:sz="0" w:space="0" w:color="auto"/>
              </w:divBdr>
              <w:divsChild>
                <w:div w:id="296617414">
                  <w:marLeft w:val="0"/>
                  <w:marRight w:val="0"/>
                  <w:marTop w:val="0"/>
                  <w:marBottom w:val="150"/>
                  <w:divBdr>
                    <w:top w:val="none" w:sz="0" w:space="0" w:color="auto"/>
                    <w:left w:val="none" w:sz="0" w:space="0" w:color="auto"/>
                    <w:bottom w:val="none" w:sz="0" w:space="0" w:color="auto"/>
                    <w:right w:val="none" w:sz="0" w:space="0" w:color="auto"/>
                  </w:divBdr>
                  <w:divsChild>
                    <w:div w:id="103161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32698170">
      <w:bodyDiv w:val="1"/>
      <w:marLeft w:val="0"/>
      <w:marRight w:val="0"/>
      <w:marTop w:val="0"/>
      <w:marBottom w:val="0"/>
      <w:divBdr>
        <w:top w:val="none" w:sz="0" w:space="0" w:color="auto"/>
        <w:left w:val="none" w:sz="0" w:space="0" w:color="auto"/>
        <w:bottom w:val="none" w:sz="0" w:space="0" w:color="auto"/>
        <w:right w:val="none" w:sz="0" w:space="0" w:color="auto"/>
      </w:divBdr>
      <w:divsChild>
        <w:div w:id="1324819345">
          <w:marLeft w:val="0"/>
          <w:marRight w:val="0"/>
          <w:marTop w:val="0"/>
          <w:marBottom w:val="0"/>
          <w:divBdr>
            <w:top w:val="none" w:sz="0" w:space="0" w:color="auto"/>
            <w:left w:val="none" w:sz="0" w:space="0" w:color="auto"/>
            <w:bottom w:val="none" w:sz="0" w:space="0" w:color="auto"/>
            <w:right w:val="none" w:sz="0" w:space="0" w:color="auto"/>
          </w:divBdr>
          <w:divsChild>
            <w:div w:id="1415905525">
              <w:marLeft w:val="0"/>
              <w:marRight w:val="0"/>
              <w:marTop w:val="0"/>
              <w:marBottom w:val="0"/>
              <w:divBdr>
                <w:top w:val="none" w:sz="0" w:space="0" w:color="auto"/>
                <w:left w:val="none" w:sz="0" w:space="0" w:color="auto"/>
                <w:bottom w:val="none" w:sz="0" w:space="0" w:color="auto"/>
                <w:right w:val="none" w:sz="0" w:space="0" w:color="auto"/>
              </w:divBdr>
              <w:divsChild>
                <w:div w:id="1716587383">
                  <w:marLeft w:val="0"/>
                  <w:marRight w:val="0"/>
                  <w:marTop w:val="0"/>
                  <w:marBottom w:val="0"/>
                  <w:divBdr>
                    <w:top w:val="none" w:sz="0" w:space="0" w:color="auto"/>
                    <w:left w:val="none" w:sz="0" w:space="0" w:color="auto"/>
                    <w:bottom w:val="none" w:sz="0" w:space="0" w:color="auto"/>
                    <w:right w:val="none" w:sz="0" w:space="0" w:color="auto"/>
                  </w:divBdr>
                  <w:divsChild>
                    <w:div w:id="39667790">
                      <w:marLeft w:val="0"/>
                      <w:marRight w:val="0"/>
                      <w:marTop w:val="0"/>
                      <w:marBottom w:val="0"/>
                      <w:divBdr>
                        <w:top w:val="none" w:sz="0" w:space="0" w:color="auto"/>
                        <w:left w:val="none" w:sz="0" w:space="0" w:color="auto"/>
                        <w:bottom w:val="none" w:sz="0" w:space="0" w:color="auto"/>
                        <w:right w:val="none" w:sz="0" w:space="0" w:color="auto"/>
                      </w:divBdr>
                      <w:divsChild>
                        <w:div w:id="210848473">
                          <w:marLeft w:val="0"/>
                          <w:marRight w:val="0"/>
                          <w:marTop w:val="0"/>
                          <w:marBottom w:val="0"/>
                          <w:divBdr>
                            <w:top w:val="none" w:sz="0" w:space="0" w:color="auto"/>
                            <w:left w:val="none" w:sz="0" w:space="0" w:color="auto"/>
                            <w:bottom w:val="none" w:sz="0" w:space="0" w:color="auto"/>
                            <w:right w:val="none" w:sz="0" w:space="0" w:color="auto"/>
                          </w:divBdr>
                          <w:divsChild>
                            <w:div w:id="372194158">
                              <w:marLeft w:val="0"/>
                              <w:marRight w:val="0"/>
                              <w:marTop w:val="0"/>
                              <w:marBottom w:val="0"/>
                              <w:divBdr>
                                <w:top w:val="none" w:sz="0" w:space="0" w:color="auto"/>
                                <w:left w:val="none" w:sz="0" w:space="0" w:color="auto"/>
                                <w:bottom w:val="none" w:sz="0" w:space="0" w:color="auto"/>
                                <w:right w:val="none" w:sz="0" w:space="0" w:color="auto"/>
                              </w:divBdr>
                              <w:divsChild>
                                <w:div w:id="327367758">
                                  <w:marLeft w:val="0"/>
                                  <w:marRight w:val="0"/>
                                  <w:marTop w:val="0"/>
                                  <w:marBottom w:val="0"/>
                                  <w:divBdr>
                                    <w:top w:val="none" w:sz="0" w:space="0" w:color="auto"/>
                                    <w:left w:val="none" w:sz="0" w:space="0" w:color="auto"/>
                                    <w:bottom w:val="none" w:sz="0" w:space="0" w:color="auto"/>
                                    <w:right w:val="none" w:sz="0" w:space="0" w:color="auto"/>
                                  </w:divBdr>
                                  <w:divsChild>
                                    <w:div w:id="21220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701653">
      <w:bodyDiv w:val="1"/>
      <w:marLeft w:val="0"/>
      <w:marRight w:val="0"/>
      <w:marTop w:val="0"/>
      <w:marBottom w:val="0"/>
      <w:divBdr>
        <w:top w:val="none" w:sz="0" w:space="0" w:color="auto"/>
        <w:left w:val="none" w:sz="0" w:space="0" w:color="auto"/>
        <w:bottom w:val="none" w:sz="0" w:space="0" w:color="auto"/>
        <w:right w:val="none" w:sz="0" w:space="0" w:color="auto"/>
      </w:divBdr>
    </w:div>
    <w:div w:id="2133163298">
      <w:bodyDiv w:val="1"/>
      <w:marLeft w:val="0"/>
      <w:marRight w:val="0"/>
      <w:marTop w:val="0"/>
      <w:marBottom w:val="0"/>
      <w:divBdr>
        <w:top w:val="none" w:sz="0" w:space="0" w:color="auto"/>
        <w:left w:val="none" w:sz="0" w:space="0" w:color="auto"/>
        <w:bottom w:val="none" w:sz="0" w:space="0" w:color="auto"/>
        <w:right w:val="none" w:sz="0" w:space="0" w:color="auto"/>
      </w:divBdr>
      <w:divsChild>
        <w:div w:id="751318457">
          <w:marLeft w:val="0"/>
          <w:marRight w:val="0"/>
          <w:marTop w:val="0"/>
          <w:marBottom w:val="0"/>
          <w:divBdr>
            <w:top w:val="none" w:sz="0" w:space="0" w:color="auto"/>
            <w:left w:val="none" w:sz="0" w:space="0" w:color="auto"/>
            <w:bottom w:val="none" w:sz="0" w:space="0" w:color="auto"/>
            <w:right w:val="none" w:sz="0" w:space="0" w:color="auto"/>
          </w:divBdr>
          <w:divsChild>
            <w:div w:id="1839269883">
              <w:marLeft w:val="0"/>
              <w:marRight w:val="0"/>
              <w:marTop w:val="0"/>
              <w:marBottom w:val="225"/>
              <w:divBdr>
                <w:top w:val="none" w:sz="0" w:space="0" w:color="auto"/>
                <w:left w:val="none" w:sz="0" w:space="0" w:color="auto"/>
                <w:bottom w:val="none" w:sz="0" w:space="0" w:color="auto"/>
                <w:right w:val="none" w:sz="0" w:space="0" w:color="auto"/>
              </w:divBdr>
              <w:divsChild>
                <w:div w:id="265694557">
                  <w:marLeft w:val="0"/>
                  <w:marRight w:val="0"/>
                  <w:marTop w:val="0"/>
                  <w:marBottom w:val="150"/>
                  <w:divBdr>
                    <w:top w:val="none" w:sz="0" w:space="0" w:color="auto"/>
                    <w:left w:val="none" w:sz="0" w:space="0" w:color="auto"/>
                    <w:bottom w:val="none" w:sz="0" w:space="0" w:color="auto"/>
                    <w:right w:val="none" w:sz="0" w:space="0" w:color="auto"/>
                  </w:divBdr>
                </w:div>
                <w:div w:id="290019647">
                  <w:marLeft w:val="0"/>
                  <w:marRight w:val="0"/>
                  <w:marTop w:val="0"/>
                  <w:marBottom w:val="150"/>
                  <w:divBdr>
                    <w:top w:val="none" w:sz="0" w:space="0" w:color="auto"/>
                    <w:left w:val="none" w:sz="0" w:space="0" w:color="auto"/>
                    <w:bottom w:val="none" w:sz="0" w:space="0" w:color="auto"/>
                    <w:right w:val="none" w:sz="0" w:space="0" w:color="auto"/>
                  </w:divBdr>
                </w:div>
                <w:div w:id="360908938">
                  <w:marLeft w:val="0"/>
                  <w:marRight w:val="0"/>
                  <w:marTop w:val="0"/>
                  <w:marBottom w:val="150"/>
                  <w:divBdr>
                    <w:top w:val="none" w:sz="0" w:space="0" w:color="auto"/>
                    <w:left w:val="none" w:sz="0" w:space="0" w:color="auto"/>
                    <w:bottom w:val="none" w:sz="0" w:space="0" w:color="auto"/>
                    <w:right w:val="none" w:sz="0" w:space="0" w:color="auto"/>
                  </w:divBdr>
                </w:div>
                <w:div w:id="508132613">
                  <w:marLeft w:val="0"/>
                  <w:marRight w:val="0"/>
                  <w:marTop w:val="0"/>
                  <w:marBottom w:val="150"/>
                  <w:divBdr>
                    <w:top w:val="none" w:sz="0" w:space="0" w:color="auto"/>
                    <w:left w:val="none" w:sz="0" w:space="0" w:color="auto"/>
                    <w:bottom w:val="none" w:sz="0" w:space="0" w:color="auto"/>
                    <w:right w:val="none" w:sz="0" w:space="0" w:color="auto"/>
                  </w:divBdr>
                  <w:divsChild>
                    <w:div w:id="762915513">
                      <w:marLeft w:val="0"/>
                      <w:marRight w:val="0"/>
                      <w:marTop w:val="0"/>
                      <w:marBottom w:val="150"/>
                      <w:divBdr>
                        <w:top w:val="none" w:sz="0" w:space="0" w:color="auto"/>
                        <w:left w:val="none" w:sz="0" w:space="0" w:color="auto"/>
                        <w:bottom w:val="none" w:sz="0" w:space="0" w:color="auto"/>
                        <w:right w:val="none" w:sz="0" w:space="0" w:color="auto"/>
                      </w:divBdr>
                      <w:divsChild>
                        <w:div w:id="6858646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50355068">
                  <w:marLeft w:val="0"/>
                  <w:marRight w:val="0"/>
                  <w:marTop w:val="0"/>
                  <w:marBottom w:val="150"/>
                  <w:divBdr>
                    <w:top w:val="none" w:sz="0" w:space="0" w:color="auto"/>
                    <w:left w:val="none" w:sz="0" w:space="0" w:color="auto"/>
                    <w:bottom w:val="none" w:sz="0" w:space="0" w:color="auto"/>
                    <w:right w:val="none" w:sz="0" w:space="0" w:color="auto"/>
                  </w:divBdr>
                </w:div>
                <w:div w:id="1085997111">
                  <w:marLeft w:val="0"/>
                  <w:marRight w:val="0"/>
                  <w:marTop w:val="0"/>
                  <w:marBottom w:val="150"/>
                  <w:divBdr>
                    <w:top w:val="none" w:sz="0" w:space="0" w:color="auto"/>
                    <w:left w:val="none" w:sz="0" w:space="0" w:color="auto"/>
                    <w:bottom w:val="none" w:sz="0" w:space="0" w:color="auto"/>
                    <w:right w:val="none" w:sz="0" w:space="0" w:color="auto"/>
                  </w:divBdr>
                  <w:divsChild>
                    <w:div w:id="1242716141">
                      <w:marLeft w:val="0"/>
                      <w:marRight w:val="0"/>
                      <w:marTop w:val="0"/>
                      <w:marBottom w:val="150"/>
                      <w:divBdr>
                        <w:top w:val="none" w:sz="0" w:space="0" w:color="auto"/>
                        <w:left w:val="none" w:sz="0" w:space="0" w:color="auto"/>
                        <w:bottom w:val="none" w:sz="0" w:space="0" w:color="auto"/>
                        <w:right w:val="none" w:sz="0" w:space="0" w:color="auto"/>
                      </w:divBdr>
                      <w:divsChild>
                        <w:div w:id="15709676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39707078">
                  <w:marLeft w:val="0"/>
                  <w:marRight w:val="0"/>
                  <w:marTop w:val="0"/>
                  <w:marBottom w:val="150"/>
                  <w:divBdr>
                    <w:top w:val="none" w:sz="0" w:space="0" w:color="auto"/>
                    <w:left w:val="none" w:sz="0" w:space="0" w:color="auto"/>
                    <w:bottom w:val="none" w:sz="0" w:space="0" w:color="auto"/>
                    <w:right w:val="none" w:sz="0" w:space="0" w:color="auto"/>
                  </w:divBdr>
                </w:div>
                <w:div w:id="1654944329">
                  <w:marLeft w:val="0"/>
                  <w:marRight w:val="0"/>
                  <w:marTop w:val="0"/>
                  <w:marBottom w:val="150"/>
                  <w:divBdr>
                    <w:top w:val="none" w:sz="0" w:space="0" w:color="auto"/>
                    <w:left w:val="none" w:sz="0" w:space="0" w:color="auto"/>
                    <w:bottom w:val="none" w:sz="0" w:space="0" w:color="auto"/>
                    <w:right w:val="none" w:sz="0" w:space="0" w:color="auto"/>
                  </w:divBdr>
                </w:div>
                <w:div w:id="18987355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76484913">
          <w:marLeft w:val="-9765"/>
          <w:marRight w:val="0"/>
          <w:marTop w:val="0"/>
          <w:marBottom w:val="0"/>
          <w:divBdr>
            <w:top w:val="none" w:sz="0" w:space="0" w:color="auto"/>
            <w:left w:val="none" w:sz="0" w:space="0" w:color="auto"/>
            <w:bottom w:val="none" w:sz="0" w:space="0" w:color="auto"/>
            <w:right w:val="none" w:sz="0" w:space="0" w:color="auto"/>
          </w:divBdr>
        </w:div>
        <w:div w:id="1926256611">
          <w:marLeft w:val="0"/>
          <w:marRight w:val="0"/>
          <w:marTop w:val="0"/>
          <w:marBottom w:val="150"/>
          <w:divBdr>
            <w:top w:val="none" w:sz="0" w:space="0" w:color="auto"/>
            <w:left w:val="none" w:sz="0" w:space="0" w:color="auto"/>
            <w:bottom w:val="none" w:sz="0" w:space="0" w:color="auto"/>
            <w:right w:val="none" w:sz="0" w:space="0" w:color="auto"/>
          </w:divBdr>
        </w:div>
      </w:divsChild>
    </w:div>
    <w:div w:id="2133402064">
      <w:bodyDiv w:val="1"/>
      <w:marLeft w:val="0"/>
      <w:marRight w:val="0"/>
      <w:marTop w:val="0"/>
      <w:marBottom w:val="0"/>
      <w:divBdr>
        <w:top w:val="none" w:sz="0" w:space="0" w:color="auto"/>
        <w:left w:val="none" w:sz="0" w:space="0" w:color="auto"/>
        <w:bottom w:val="none" w:sz="0" w:space="0" w:color="auto"/>
        <w:right w:val="none" w:sz="0" w:space="0" w:color="auto"/>
      </w:divBdr>
      <w:divsChild>
        <w:div w:id="699430249">
          <w:marLeft w:val="0"/>
          <w:marRight w:val="0"/>
          <w:marTop w:val="0"/>
          <w:marBottom w:val="150"/>
          <w:divBdr>
            <w:top w:val="none" w:sz="0" w:space="0" w:color="auto"/>
            <w:left w:val="none" w:sz="0" w:space="0" w:color="auto"/>
            <w:bottom w:val="none" w:sz="0" w:space="0" w:color="auto"/>
            <w:right w:val="none" w:sz="0" w:space="0" w:color="auto"/>
          </w:divBdr>
        </w:div>
        <w:div w:id="703871066">
          <w:marLeft w:val="0"/>
          <w:marRight w:val="0"/>
          <w:marTop w:val="0"/>
          <w:marBottom w:val="0"/>
          <w:divBdr>
            <w:top w:val="none" w:sz="0" w:space="0" w:color="auto"/>
            <w:left w:val="none" w:sz="0" w:space="0" w:color="auto"/>
            <w:bottom w:val="none" w:sz="0" w:space="0" w:color="auto"/>
            <w:right w:val="none" w:sz="0" w:space="0" w:color="auto"/>
          </w:divBdr>
          <w:divsChild>
            <w:div w:id="178618231">
              <w:marLeft w:val="0"/>
              <w:marRight w:val="0"/>
              <w:marTop w:val="0"/>
              <w:marBottom w:val="0"/>
              <w:divBdr>
                <w:top w:val="none" w:sz="0" w:space="0" w:color="auto"/>
                <w:left w:val="none" w:sz="0" w:space="0" w:color="auto"/>
                <w:bottom w:val="none" w:sz="0" w:space="0" w:color="auto"/>
                <w:right w:val="none" w:sz="0" w:space="0" w:color="auto"/>
              </w:divBdr>
            </w:div>
          </w:divsChild>
        </w:div>
        <w:div w:id="1860778763">
          <w:marLeft w:val="0"/>
          <w:marRight w:val="0"/>
          <w:marTop w:val="0"/>
          <w:marBottom w:val="150"/>
          <w:divBdr>
            <w:top w:val="none" w:sz="0" w:space="0" w:color="auto"/>
            <w:left w:val="none" w:sz="0" w:space="0" w:color="auto"/>
            <w:bottom w:val="none" w:sz="0" w:space="0" w:color="auto"/>
            <w:right w:val="none" w:sz="0" w:space="0" w:color="auto"/>
          </w:divBdr>
          <w:divsChild>
            <w:div w:id="195887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861425">
      <w:bodyDiv w:val="1"/>
      <w:marLeft w:val="0"/>
      <w:marRight w:val="0"/>
      <w:marTop w:val="0"/>
      <w:marBottom w:val="0"/>
      <w:divBdr>
        <w:top w:val="none" w:sz="0" w:space="0" w:color="auto"/>
        <w:left w:val="none" w:sz="0" w:space="0" w:color="auto"/>
        <w:bottom w:val="none" w:sz="0" w:space="0" w:color="auto"/>
        <w:right w:val="none" w:sz="0" w:space="0" w:color="auto"/>
      </w:divBdr>
      <w:divsChild>
        <w:div w:id="1577742871">
          <w:marLeft w:val="0"/>
          <w:marRight w:val="0"/>
          <w:marTop w:val="0"/>
          <w:marBottom w:val="0"/>
          <w:divBdr>
            <w:top w:val="none" w:sz="0" w:space="0" w:color="auto"/>
            <w:left w:val="none" w:sz="0" w:space="0" w:color="auto"/>
            <w:bottom w:val="none" w:sz="0" w:space="0" w:color="auto"/>
            <w:right w:val="none" w:sz="0" w:space="0" w:color="auto"/>
          </w:divBdr>
          <w:divsChild>
            <w:div w:id="1220703116">
              <w:marLeft w:val="0"/>
              <w:marRight w:val="0"/>
              <w:marTop w:val="0"/>
              <w:marBottom w:val="0"/>
              <w:divBdr>
                <w:top w:val="none" w:sz="0" w:space="0" w:color="auto"/>
                <w:left w:val="none" w:sz="0" w:space="0" w:color="auto"/>
                <w:bottom w:val="none" w:sz="0" w:space="0" w:color="auto"/>
                <w:right w:val="none" w:sz="0" w:space="0" w:color="auto"/>
              </w:divBdr>
              <w:divsChild>
                <w:div w:id="341517573">
                  <w:marLeft w:val="0"/>
                  <w:marRight w:val="0"/>
                  <w:marTop w:val="0"/>
                  <w:marBottom w:val="0"/>
                  <w:divBdr>
                    <w:top w:val="none" w:sz="0" w:space="0" w:color="auto"/>
                    <w:left w:val="none" w:sz="0" w:space="0" w:color="auto"/>
                    <w:bottom w:val="none" w:sz="0" w:space="0" w:color="auto"/>
                    <w:right w:val="none" w:sz="0" w:space="0" w:color="auto"/>
                  </w:divBdr>
                  <w:divsChild>
                    <w:div w:id="938483518">
                      <w:marLeft w:val="0"/>
                      <w:marRight w:val="0"/>
                      <w:marTop w:val="0"/>
                      <w:marBottom w:val="0"/>
                      <w:divBdr>
                        <w:top w:val="none" w:sz="0" w:space="0" w:color="auto"/>
                        <w:left w:val="none" w:sz="0" w:space="0" w:color="auto"/>
                        <w:bottom w:val="none" w:sz="0" w:space="0" w:color="auto"/>
                        <w:right w:val="none" w:sz="0" w:space="0" w:color="auto"/>
                      </w:divBdr>
                      <w:divsChild>
                        <w:div w:id="698120085">
                          <w:marLeft w:val="0"/>
                          <w:marRight w:val="0"/>
                          <w:marTop w:val="0"/>
                          <w:marBottom w:val="0"/>
                          <w:divBdr>
                            <w:top w:val="none" w:sz="0" w:space="0" w:color="auto"/>
                            <w:left w:val="none" w:sz="0" w:space="0" w:color="auto"/>
                            <w:bottom w:val="none" w:sz="0" w:space="0" w:color="auto"/>
                            <w:right w:val="none" w:sz="0" w:space="0" w:color="auto"/>
                          </w:divBdr>
                          <w:divsChild>
                            <w:div w:id="1186289958">
                              <w:marLeft w:val="0"/>
                              <w:marRight w:val="0"/>
                              <w:marTop w:val="0"/>
                              <w:marBottom w:val="0"/>
                              <w:divBdr>
                                <w:top w:val="none" w:sz="0" w:space="0" w:color="auto"/>
                                <w:left w:val="none" w:sz="0" w:space="0" w:color="auto"/>
                                <w:bottom w:val="none" w:sz="0" w:space="0" w:color="auto"/>
                                <w:right w:val="none" w:sz="0" w:space="0" w:color="auto"/>
                              </w:divBdr>
                              <w:divsChild>
                                <w:div w:id="1471288817">
                                  <w:marLeft w:val="0"/>
                                  <w:marRight w:val="0"/>
                                  <w:marTop w:val="0"/>
                                  <w:marBottom w:val="75"/>
                                  <w:divBdr>
                                    <w:top w:val="none" w:sz="0" w:space="0" w:color="auto"/>
                                    <w:left w:val="none" w:sz="0" w:space="0" w:color="auto"/>
                                    <w:bottom w:val="none" w:sz="0" w:space="0" w:color="auto"/>
                                    <w:right w:val="none" w:sz="0" w:space="0" w:color="auto"/>
                                  </w:divBdr>
                                  <w:divsChild>
                                    <w:div w:id="790393603">
                                      <w:marLeft w:val="0"/>
                                      <w:marRight w:val="0"/>
                                      <w:marTop w:val="0"/>
                                      <w:marBottom w:val="0"/>
                                      <w:divBdr>
                                        <w:top w:val="none" w:sz="0" w:space="0" w:color="auto"/>
                                        <w:left w:val="none" w:sz="0" w:space="0" w:color="auto"/>
                                        <w:bottom w:val="none" w:sz="0" w:space="0" w:color="auto"/>
                                        <w:right w:val="none" w:sz="0" w:space="0" w:color="auto"/>
                                      </w:divBdr>
                                      <w:divsChild>
                                        <w:div w:id="993994799">
                                          <w:marLeft w:val="0"/>
                                          <w:marRight w:val="0"/>
                                          <w:marTop w:val="0"/>
                                          <w:marBottom w:val="0"/>
                                          <w:divBdr>
                                            <w:top w:val="none" w:sz="0" w:space="0" w:color="auto"/>
                                            <w:left w:val="none" w:sz="0" w:space="0" w:color="auto"/>
                                            <w:bottom w:val="none" w:sz="0" w:space="0" w:color="auto"/>
                                            <w:right w:val="none" w:sz="0" w:space="0" w:color="auto"/>
                                          </w:divBdr>
                                          <w:divsChild>
                                            <w:div w:id="67627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4052439">
      <w:bodyDiv w:val="1"/>
      <w:marLeft w:val="0"/>
      <w:marRight w:val="0"/>
      <w:marTop w:val="0"/>
      <w:marBottom w:val="0"/>
      <w:divBdr>
        <w:top w:val="none" w:sz="0" w:space="0" w:color="auto"/>
        <w:left w:val="none" w:sz="0" w:space="0" w:color="auto"/>
        <w:bottom w:val="none" w:sz="0" w:space="0" w:color="auto"/>
        <w:right w:val="none" w:sz="0" w:space="0" w:color="auto"/>
      </w:divBdr>
      <w:divsChild>
        <w:div w:id="112871225">
          <w:marLeft w:val="0"/>
          <w:marRight w:val="0"/>
          <w:marTop w:val="0"/>
          <w:marBottom w:val="0"/>
          <w:divBdr>
            <w:top w:val="none" w:sz="0" w:space="0" w:color="auto"/>
            <w:left w:val="none" w:sz="0" w:space="0" w:color="auto"/>
            <w:bottom w:val="none" w:sz="0" w:space="0" w:color="auto"/>
            <w:right w:val="none" w:sz="0" w:space="0" w:color="auto"/>
          </w:divBdr>
          <w:divsChild>
            <w:div w:id="1656033645">
              <w:marLeft w:val="0"/>
              <w:marRight w:val="0"/>
              <w:marTop w:val="225"/>
              <w:marBottom w:val="225"/>
              <w:divBdr>
                <w:top w:val="none" w:sz="0" w:space="0" w:color="auto"/>
                <w:left w:val="none" w:sz="0" w:space="0" w:color="auto"/>
                <w:bottom w:val="none" w:sz="0" w:space="0" w:color="auto"/>
                <w:right w:val="none" w:sz="0" w:space="0" w:color="auto"/>
              </w:divBdr>
            </w:div>
          </w:divsChild>
        </w:div>
        <w:div w:id="248585414">
          <w:marLeft w:val="0"/>
          <w:marRight w:val="0"/>
          <w:marTop w:val="0"/>
          <w:marBottom w:val="150"/>
          <w:divBdr>
            <w:top w:val="none" w:sz="0" w:space="0" w:color="auto"/>
            <w:left w:val="none" w:sz="0" w:space="0" w:color="auto"/>
            <w:bottom w:val="none" w:sz="0" w:space="0" w:color="auto"/>
            <w:right w:val="none" w:sz="0" w:space="0" w:color="auto"/>
          </w:divBdr>
        </w:div>
        <w:div w:id="854929025">
          <w:marLeft w:val="0"/>
          <w:marRight w:val="0"/>
          <w:marTop w:val="0"/>
          <w:marBottom w:val="150"/>
          <w:divBdr>
            <w:top w:val="none" w:sz="0" w:space="0" w:color="auto"/>
            <w:left w:val="none" w:sz="0" w:space="0" w:color="auto"/>
            <w:bottom w:val="none" w:sz="0" w:space="0" w:color="auto"/>
            <w:right w:val="none" w:sz="0" w:space="0" w:color="auto"/>
          </w:divBdr>
          <w:divsChild>
            <w:div w:id="1031808661">
              <w:marLeft w:val="0"/>
              <w:marRight w:val="0"/>
              <w:marTop w:val="0"/>
              <w:marBottom w:val="0"/>
              <w:divBdr>
                <w:top w:val="none" w:sz="0" w:space="0" w:color="auto"/>
                <w:left w:val="none" w:sz="0" w:space="0" w:color="auto"/>
                <w:bottom w:val="none" w:sz="0" w:space="0" w:color="auto"/>
                <w:right w:val="none" w:sz="0" w:space="0" w:color="auto"/>
              </w:divBdr>
              <w:divsChild>
                <w:div w:id="49815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596147">
      <w:bodyDiv w:val="1"/>
      <w:marLeft w:val="0"/>
      <w:marRight w:val="0"/>
      <w:marTop w:val="0"/>
      <w:marBottom w:val="0"/>
      <w:divBdr>
        <w:top w:val="none" w:sz="0" w:space="0" w:color="auto"/>
        <w:left w:val="none" w:sz="0" w:space="0" w:color="auto"/>
        <w:bottom w:val="none" w:sz="0" w:space="0" w:color="auto"/>
        <w:right w:val="none" w:sz="0" w:space="0" w:color="auto"/>
      </w:divBdr>
      <w:divsChild>
        <w:div w:id="971053985">
          <w:marLeft w:val="0"/>
          <w:marRight w:val="0"/>
          <w:marTop w:val="0"/>
          <w:marBottom w:val="0"/>
          <w:divBdr>
            <w:top w:val="none" w:sz="0" w:space="0" w:color="auto"/>
            <w:left w:val="none" w:sz="0" w:space="0" w:color="auto"/>
            <w:bottom w:val="dotted" w:sz="6" w:space="4" w:color="DDDDDD"/>
            <w:right w:val="none" w:sz="0" w:space="0" w:color="auto"/>
          </w:divBdr>
          <w:divsChild>
            <w:div w:id="64914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671302">
      <w:bodyDiv w:val="1"/>
      <w:marLeft w:val="0"/>
      <w:marRight w:val="0"/>
      <w:marTop w:val="0"/>
      <w:marBottom w:val="0"/>
      <w:divBdr>
        <w:top w:val="none" w:sz="0" w:space="0" w:color="auto"/>
        <w:left w:val="none" w:sz="0" w:space="0" w:color="auto"/>
        <w:bottom w:val="none" w:sz="0" w:space="0" w:color="auto"/>
        <w:right w:val="none" w:sz="0" w:space="0" w:color="auto"/>
      </w:divBdr>
      <w:divsChild>
        <w:div w:id="143471796">
          <w:marLeft w:val="0"/>
          <w:marRight w:val="0"/>
          <w:marTop w:val="0"/>
          <w:marBottom w:val="0"/>
          <w:divBdr>
            <w:top w:val="none" w:sz="0" w:space="0" w:color="auto"/>
            <w:left w:val="none" w:sz="0" w:space="0" w:color="auto"/>
            <w:bottom w:val="none" w:sz="0" w:space="0" w:color="auto"/>
            <w:right w:val="none" w:sz="0" w:space="0" w:color="auto"/>
          </w:divBdr>
        </w:div>
        <w:div w:id="1727795168">
          <w:marLeft w:val="0"/>
          <w:marRight w:val="0"/>
          <w:marTop w:val="0"/>
          <w:marBottom w:val="150"/>
          <w:divBdr>
            <w:top w:val="none" w:sz="0" w:space="0" w:color="auto"/>
            <w:left w:val="none" w:sz="0" w:space="0" w:color="auto"/>
            <w:bottom w:val="none" w:sz="0" w:space="0" w:color="auto"/>
            <w:right w:val="none" w:sz="0" w:space="0" w:color="auto"/>
          </w:divBdr>
        </w:div>
      </w:divsChild>
    </w:div>
    <w:div w:id="2134860651">
      <w:bodyDiv w:val="1"/>
      <w:marLeft w:val="0"/>
      <w:marRight w:val="0"/>
      <w:marTop w:val="0"/>
      <w:marBottom w:val="0"/>
      <w:divBdr>
        <w:top w:val="none" w:sz="0" w:space="0" w:color="auto"/>
        <w:left w:val="none" w:sz="0" w:space="0" w:color="auto"/>
        <w:bottom w:val="none" w:sz="0" w:space="0" w:color="auto"/>
        <w:right w:val="none" w:sz="0" w:space="0" w:color="auto"/>
      </w:divBdr>
    </w:div>
    <w:div w:id="2134979780">
      <w:bodyDiv w:val="1"/>
      <w:marLeft w:val="0"/>
      <w:marRight w:val="0"/>
      <w:marTop w:val="0"/>
      <w:marBottom w:val="0"/>
      <w:divBdr>
        <w:top w:val="none" w:sz="0" w:space="0" w:color="auto"/>
        <w:left w:val="none" w:sz="0" w:space="0" w:color="auto"/>
        <w:bottom w:val="none" w:sz="0" w:space="0" w:color="auto"/>
        <w:right w:val="none" w:sz="0" w:space="0" w:color="auto"/>
      </w:divBdr>
      <w:divsChild>
        <w:div w:id="955407903">
          <w:marLeft w:val="0"/>
          <w:marRight w:val="0"/>
          <w:marTop w:val="0"/>
          <w:marBottom w:val="0"/>
          <w:divBdr>
            <w:top w:val="none" w:sz="0" w:space="0" w:color="auto"/>
            <w:left w:val="none" w:sz="0" w:space="0" w:color="auto"/>
            <w:bottom w:val="none" w:sz="0" w:space="0" w:color="auto"/>
            <w:right w:val="none" w:sz="0" w:space="0" w:color="auto"/>
          </w:divBdr>
        </w:div>
      </w:divsChild>
    </w:div>
    <w:div w:id="2134981694">
      <w:bodyDiv w:val="1"/>
      <w:marLeft w:val="0"/>
      <w:marRight w:val="0"/>
      <w:marTop w:val="0"/>
      <w:marBottom w:val="0"/>
      <w:divBdr>
        <w:top w:val="none" w:sz="0" w:space="0" w:color="auto"/>
        <w:left w:val="none" w:sz="0" w:space="0" w:color="auto"/>
        <w:bottom w:val="none" w:sz="0" w:space="0" w:color="auto"/>
        <w:right w:val="none" w:sz="0" w:space="0" w:color="auto"/>
      </w:divBdr>
      <w:divsChild>
        <w:div w:id="1280841516">
          <w:marLeft w:val="0"/>
          <w:marRight w:val="0"/>
          <w:marTop w:val="0"/>
          <w:marBottom w:val="0"/>
          <w:divBdr>
            <w:top w:val="none" w:sz="0" w:space="0" w:color="auto"/>
            <w:left w:val="none" w:sz="0" w:space="0" w:color="auto"/>
            <w:bottom w:val="none" w:sz="0" w:space="0" w:color="auto"/>
            <w:right w:val="none" w:sz="0" w:space="0" w:color="auto"/>
          </w:divBdr>
        </w:div>
      </w:divsChild>
    </w:div>
    <w:div w:id="2135635191">
      <w:bodyDiv w:val="1"/>
      <w:marLeft w:val="0"/>
      <w:marRight w:val="0"/>
      <w:marTop w:val="0"/>
      <w:marBottom w:val="0"/>
      <w:divBdr>
        <w:top w:val="none" w:sz="0" w:space="0" w:color="auto"/>
        <w:left w:val="none" w:sz="0" w:space="0" w:color="auto"/>
        <w:bottom w:val="none" w:sz="0" w:space="0" w:color="auto"/>
        <w:right w:val="none" w:sz="0" w:space="0" w:color="auto"/>
      </w:divBdr>
      <w:divsChild>
        <w:div w:id="751197598">
          <w:marLeft w:val="0"/>
          <w:marRight w:val="0"/>
          <w:marTop w:val="0"/>
          <w:marBottom w:val="150"/>
          <w:divBdr>
            <w:top w:val="none" w:sz="0" w:space="0" w:color="auto"/>
            <w:left w:val="none" w:sz="0" w:space="0" w:color="auto"/>
            <w:bottom w:val="none" w:sz="0" w:space="0" w:color="auto"/>
            <w:right w:val="none" w:sz="0" w:space="0" w:color="auto"/>
          </w:divBdr>
          <w:divsChild>
            <w:div w:id="2104840969">
              <w:marLeft w:val="0"/>
              <w:marRight w:val="0"/>
              <w:marTop w:val="0"/>
              <w:marBottom w:val="0"/>
              <w:divBdr>
                <w:top w:val="none" w:sz="0" w:space="0" w:color="auto"/>
                <w:left w:val="none" w:sz="0" w:space="0" w:color="auto"/>
                <w:bottom w:val="none" w:sz="0" w:space="0" w:color="auto"/>
                <w:right w:val="none" w:sz="0" w:space="0" w:color="auto"/>
              </w:divBdr>
              <w:divsChild>
                <w:div w:id="176935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90386">
          <w:marLeft w:val="0"/>
          <w:marRight w:val="0"/>
          <w:marTop w:val="0"/>
          <w:marBottom w:val="0"/>
          <w:divBdr>
            <w:top w:val="none" w:sz="0" w:space="0" w:color="auto"/>
            <w:left w:val="none" w:sz="0" w:space="0" w:color="auto"/>
            <w:bottom w:val="none" w:sz="0" w:space="0" w:color="auto"/>
            <w:right w:val="none" w:sz="0" w:space="0" w:color="auto"/>
          </w:divBdr>
          <w:divsChild>
            <w:div w:id="400448697">
              <w:marLeft w:val="0"/>
              <w:marRight w:val="0"/>
              <w:marTop w:val="0"/>
              <w:marBottom w:val="150"/>
              <w:divBdr>
                <w:top w:val="none" w:sz="0" w:space="0" w:color="auto"/>
                <w:left w:val="none" w:sz="0" w:space="0" w:color="auto"/>
                <w:bottom w:val="none" w:sz="0" w:space="0" w:color="auto"/>
                <w:right w:val="none" w:sz="0" w:space="0" w:color="auto"/>
              </w:divBdr>
            </w:div>
            <w:div w:id="1716006153">
              <w:marLeft w:val="0"/>
              <w:marRight w:val="0"/>
              <w:marTop w:val="0"/>
              <w:marBottom w:val="0"/>
              <w:divBdr>
                <w:top w:val="none" w:sz="0" w:space="0" w:color="auto"/>
                <w:left w:val="none" w:sz="0" w:space="0" w:color="auto"/>
                <w:bottom w:val="none" w:sz="0" w:space="0" w:color="auto"/>
                <w:right w:val="none" w:sz="0" w:space="0" w:color="auto"/>
              </w:divBdr>
              <w:divsChild>
                <w:div w:id="7363234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2136018123">
      <w:bodyDiv w:val="1"/>
      <w:marLeft w:val="0"/>
      <w:marRight w:val="0"/>
      <w:marTop w:val="0"/>
      <w:marBottom w:val="0"/>
      <w:divBdr>
        <w:top w:val="none" w:sz="0" w:space="0" w:color="auto"/>
        <w:left w:val="none" w:sz="0" w:space="0" w:color="auto"/>
        <w:bottom w:val="none" w:sz="0" w:space="0" w:color="auto"/>
        <w:right w:val="none" w:sz="0" w:space="0" w:color="auto"/>
      </w:divBdr>
      <w:divsChild>
        <w:div w:id="107940529">
          <w:marLeft w:val="0"/>
          <w:marRight w:val="0"/>
          <w:marTop w:val="0"/>
          <w:marBottom w:val="150"/>
          <w:divBdr>
            <w:top w:val="none" w:sz="0" w:space="0" w:color="auto"/>
            <w:left w:val="none" w:sz="0" w:space="0" w:color="auto"/>
            <w:bottom w:val="none" w:sz="0" w:space="0" w:color="auto"/>
            <w:right w:val="none" w:sz="0" w:space="0" w:color="auto"/>
          </w:divBdr>
        </w:div>
        <w:div w:id="590357944">
          <w:marLeft w:val="0"/>
          <w:marRight w:val="0"/>
          <w:marTop w:val="0"/>
          <w:marBottom w:val="150"/>
          <w:divBdr>
            <w:top w:val="none" w:sz="0" w:space="0" w:color="auto"/>
            <w:left w:val="none" w:sz="0" w:space="0" w:color="auto"/>
            <w:bottom w:val="none" w:sz="0" w:space="0" w:color="auto"/>
            <w:right w:val="none" w:sz="0" w:space="0" w:color="auto"/>
          </w:divBdr>
          <w:divsChild>
            <w:div w:id="9916389">
              <w:marLeft w:val="0"/>
              <w:marRight w:val="0"/>
              <w:marTop w:val="0"/>
              <w:marBottom w:val="0"/>
              <w:divBdr>
                <w:top w:val="none" w:sz="0" w:space="0" w:color="auto"/>
                <w:left w:val="none" w:sz="0" w:space="0" w:color="auto"/>
                <w:bottom w:val="none" w:sz="0" w:space="0" w:color="auto"/>
                <w:right w:val="none" w:sz="0" w:space="0" w:color="auto"/>
              </w:divBdr>
            </w:div>
          </w:divsChild>
        </w:div>
        <w:div w:id="1256785040">
          <w:marLeft w:val="0"/>
          <w:marRight w:val="0"/>
          <w:marTop w:val="0"/>
          <w:marBottom w:val="0"/>
          <w:divBdr>
            <w:top w:val="none" w:sz="0" w:space="0" w:color="auto"/>
            <w:left w:val="none" w:sz="0" w:space="0" w:color="auto"/>
            <w:bottom w:val="none" w:sz="0" w:space="0" w:color="auto"/>
            <w:right w:val="none" w:sz="0" w:space="0" w:color="auto"/>
          </w:divBdr>
          <w:divsChild>
            <w:div w:id="95572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369817">
      <w:bodyDiv w:val="1"/>
      <w:marLeft w:val="0"/>
      <w:marRight w:val="0"/>
      <w:marTop w:val="0"/>
      <w:marBottom w:val="0"/>
      <w:divBdr>
        <w:top w:val="none" w:sz="0" w:space="0" w:color="auto"/>
        <w:left w:val="none" w:sz="0" w:space="0" w:color="auto"/>
        <w:bottom w:val="none" w:sz="0" w:space="0" w:color="auto"/>
        <w:right w:val="none" w:sz="0" w:space="0" w:color="auto"/>
      </w:divBdr>
      <w:divsChild>
        <w:div w:id="708645906">
          <w:marLeft w:val="0"/>
          <w:marRight w:val="0"/>
          <w:marTop w:val="0"/>
          <w:marBottom w:val="150"/>
          <w:divBdr>
            <w:top w:val="none" w:sz="0" w:space="0" w:color="auto"/>
            <w:left w:val="none" w:sz="0" w:space="0" w:color="auto"/>
            <w:bottom w:val="none" w:sz="0" w:space="0" w:color="auto"/>
            <w:right w:val="none" w:sz="0" w:space="0" w:color="auto"/>
          </w:divBdr>
        </w:div>
      </w:divsChild>
    </w:div>
    <w:div w:id="2136676412">
      <w:bodyDiv w:val="1"/>
      <w:marLeft w:val="0"/>
      <w:marRight w:val="0"/>
      <w:marTop w:val="0"/>
      <w:marBottom w:val="0"/>
      <w:divBdr>
        <w:top w:val="none" w:sz="0" w:space="0" w:color="auto"/>
        <w:left w:val="none" w:sz="0" w:space="0" w:color="auto"/>
        <w:bottom w:val="none" w:sz="0" w:space="0" w:color="auto"/>
        <w:right w:val="none" w:sz="0" w:space="0" w:color="auto"/>
      </w:divBdr>
      <w:divsChild>
        <w:div w:id="1708024705">
          <w:marLeft w:val="0"/>
          <w:marRight w:val="0"/>
          <w:marTop w:val="0"/>
          <w:marBottom w:val="150"/>
          <w:divBdr>
            <w:top w:val="none" w:sz="0" w:space="0" w:color="auto"/>
            <w:left w:val="none" w:sz="0" w:space="0" w:color="auto"/>
            <w:bottom w:val="none" w:sz="0" w:space="0" w:color="auto"/>
            <w:right w:val="none" w:sz="0" w:space="0" w:color="auto"/>
          </w:divBdr>
        </w:div>
      </w:divsChild>
    </w:div>
    <w:div w:id="2136823697">
      <w:bodyDiv w:val="1"/>
      <w:marLeft w:val="0"/>
      <w:marRight w:val="0"/>
      <w:marTop w:val="0"/>
      <w:marBottom w:val="0"/>
      <w:divBdr>
        <w:top w:val="none" w:sz="0" w:space="0" w:color="auto"/>
        <w:left w:val="none" w:sz="0" w:space="0" w:color="auto"/>
        <w:bottom w:val="none" w:sz="0" w:space="0" w:color="auto"/>
        <w:right w:val="none" w:sz="0" w:space="0" w:color="auto"/>
      </w:divBdr>
      <w:divsChild>
        <w:div w:id="1764910170">
          <w:marLeft w:val="0"/>
          <w:marRight w:val="0"/>
          <w:marTop w:val="0"/>
          <w:marBottom w:val="0"/>
          <w:divBdr>
            <w:top w:val="none" w:sz="0" w:space="0" w:color="auto"/>
            <w:left w:val="none" w:sz="0" w:space="0" w:color="auto"/>
            <w:bottom w:val="dotted" w:sz="6" w:space="4" w:color="DDDDDD"/>
            <w:right w:val="none" w:sz="0" w:space="0" w:color="auto"/>
          </w:divBdr>
          <w:divsChild>
            <w:div w:id="79714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71050">
      <w:bodyDiv w:val="1"/>
      <w:marLeft w:val="0"/>
      <w:marRight w:val="0"/>
      <w:marTop w:val="0"/>
      <w:marBottom w:val="0"/>
      <w:divBdr>
        <w:top w:val="none" w:sz="0" w:space="0" w:color="auto"/>
        <w:left w:val="none" w:sz="0" w:space="0" w:color="auto"/>
        <w:bottom w:val="none" w:sz="0" w:space="0" w:color="auto"/>
        <w:right w:val="none" w:sz="0" w:space="0" w:color="auto"/>
      </w:divBdr>
    </w:div>
    <w:div w:id="2136872848">
      <w:bodyDiv w:val="1"/>
      <w:marLeft w:val="0"/>
      <w:marRight w:val="0"/>
      <w:marTop w:val="0"/>
      <w:marBottom w:val="0"/>
      <w:divBdr>
        <w:top w:val="none" w:sz="0" w:space="0" w:color="auto"/>
        <w:left w:val="none" w:sz="0" w:space="0" w:color="auto"/>
        <w:bottom w:val="none" w:sz="0" w:space="0" w:color="auto"/>
        <w:right w:val="none" w:sz="0" w:space="0" w:color="auto"/>
      </w:divBdr>
      <w:divsChild>
        <w:div w:id="838234133">
          <w:marLeft w:val="0"/>
          <w:marRight w:val="0"/>
          <w:marTop w:val="0"/>
          <w:marBottom w:val="0"/>
          <w:divBdr>
            <w:top w:val="none" w:sz="0" w:space="0" w:color="auto"/>
            <w:left w:val="none" w:sz="0" w:space="0" w:color="auto"/>
            <w:bottom w:val="dotted" w:sz="6" w:space="4" w:color="DDDDDD"/>
            <w:right w:val="none" w:sz="0" w:space="0" w:color="auto"/>
          </w:divBdr>
        </w:div>
      </w:divsChild>
    </w:div>
    <w:div w:id="2136943830">
      <w:bodyDiv w:val="1"/>
      <w:marLeft w:val="0"/>
      <w:marRight w:val="0"/>
      <w:marTop w:val="0"/>
      <w:marBottom w:val="0"/>
      <w:divBdr>
        <w:top w:val="none" w:sz="0" w:space="0" w:color="auto"/>
        <w:left w:val="none" w:sz="0" w:space="0" w:color="auto"/>
        <w:bottom w:val="none" w:sz="0" w:space="0" w:color="auto"/>
        <w:right w:val="none" w:sz="0" w:space="0" w:color="auto"/>
      </w:divBdr>
      <w:divsChild>
        <w:div w:id="890269790">
          <w:marLeft w:val="0"/>
          <w:marRight w:val="0"/>
          <w:marTop w:val="0"/>
          <w:marBottom w:val="150"/>
          <w:divBdr>
            <w:top w:val="none" w:sz="0" w:space="0" w:color="auto"/>
            <w:left w:val="none" w:sz="0" w:space="0" w:color="auto"/>
            <w:bottom w:val="none" w:sz="0" w:space="0" w:color="auto"/>
            <w:right w:val="none" w:sz="0" w:space="0" w:color="auto"/>
          </w:divBdr>
        </w:div>
        <w:div w:id="1909341128">
          <w:marLeft w:val="0"/>
          <w:marRight w:val="0"/>
          <w:marTop w:val="0"/>
          <w:marBottom w:val="0"/>
          <w:divBdr>
            <w:top w:val="none" w:sz="0" w:space="0" w:color="auto"/>
            <w:left w:val="none" w:sz="0" w:space="0" w:color="auto"/>
            <w:bottom w:val="none" w:sz="0" w:space="0" w:color="auto"/>
            <w:right w:val="none" w:sz="0" w:space="0" w:color="auto"/>
          </w:divBdr>
          <w:divsChild>
            <w:div w:id="1102871116">
              <w:marLeft w:val="0"/>
              <w:marRight w:val="0"/>
              <w:marTop w:val="0"/>
              <w:marBottom w:val="0"/>
              <w:divBdr>
                <w:top w:val="none" w:sz="0" w:space="0" w:color="auto"/>
                <w:left w:val="none" w:sz="0" w:space="0" w:color="auto"/>
                <w:bottom w:val="none" w:sz="0" w:space="0" w:color="auto"/>
                <w:right w:val="none" w:sz="0" w:space="0" w:color="auto"/>
              </w:divBdr>
            </w:div>
          </w:divsChild>
        </w:div>
        <w:div w:id="2045672621">
          <w:marLeft w:val="0"/>
          <w:marRight w:val="0"/>
          <w:marTop w:val="0"/>
          <w:marBottom w:val="150"/>
          <w:divBdr>
            <w:top w:val="none" w:sz="0" w:space="0" w:color="auto"/>
            <w:left w:val="none" w:sz="0" w:space="0" w:color="auto"/>
            <w:bottom w:val="none" w:sz="0" w:space="0" w:color="auto"/>
            <w:right w:val="none" w:sz="0" w:space="0" w:color="auto"/>
          </w:divBdr>
          <w:divsChild>
            <w:div w:id="23921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023121">
      <w:bodyDiv w:val="1"/>
      <w:marLeft w:val="0"/>
      <w:marRight w:val="0"/>
      <w:marTop w:val="0"/>
      <w:marBottom w:val="0"/>
      <w:divBdr>
        <w:top w:val="none" w:sz="0" w:space="0" w:color="auto"/>
        <w:left w:val="none" w:sz="0" w:space="0" w:color="auto"/>
        <w:bottom w:val="none" w:sz="0" w:space="0" w:color="auto"/>
        <w:right w:val="none" w:sz="0" w:space="0" w:color="auto"/>
      </w:divBdr>
      <w:divsChild>
        <w:div w:id="1627351471">
          <w:marLeft w:val="0"/>
          <w:marRight w:val="0"/>
          <w:marTop w:val="0"/>
          <w:marBottom w:val="0"/>
          <w:divBdr>
            <w:top w:val="none" w:sz="0" w:space="0" w:color="auto"/>
            <w:left w:val="none" w:sz="0" w:space="0" w:color="auto"/>
            <w:bottom w:val="none" w:sz="0" w:space="0" w:color="auto"/>
            <w:right w:val="none" w:sz="0" w:space="0" w:color="auto"/>
          </w:divBdr>
          <w:divsChild>
            <w:div w:id="5605585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37134393">
      <w:bodyDiv w:val="1"/>
      <w:marLeft w:val="0"/>
      <w:marRight w:val="0"/>
      <w:marTop w:val="0"/>
      <w:marBottom w:val="0"/>
      <w:divBdr>
        <w:top w:val="none" w:sz="0" w:space="0" w:color="auto"/>
        <w:left w:val="none" w:sz="0" w:space="0" w:color="auto"/>
        <w:bottom w:val="none" w:sz="0" w:space="0" w:color="auto"/>
        <w:right w:val="none" w:sz="0" w:space="0" w:color="auto"/>
      </w:divBdr>
      <w:divsChild>
        <w:div w:id="2021814313">
          <w:marLeft w:val="0"/>
          <w:marRight w:val="0"/>
          <w:marTop w:val="0"/>
          <w:marBottom w:val="0"/>
          <w:divBdr>
            <w:top w:val="none" w:sz="0" w:space="0" w:color="auto"/>
            <w:left w:val="none" w:sz="0" w:space="0" w:color="auto"/>
            <w:bottom w:val="none" w:sz="0" w:space="0" w:color="auto"/>
            <w:right w:val="none" w:sz="0" w:space="0" w:color="auto"/>
          </w:divBdr>
          <w:divsChild>
            <w:div w:id="1094086907">
              <w:marLeft w:val="0"/>
              <w:marRight w:val="0"/>
              <w:marTop w:val="0"/>
              <w:marBottom w:val="0"/>
              <w:divBdr>
                <w:top w:val="none" w:sz="0" w:space="0" w:color="auto"/>
                <w:left w:val="none" w:sz="0" w:space="0" w:color="auto"/>
                <w:bottom w:val="none" w:sz="0" w:space="0" w:color="auto"/>
                <w:right w:val="none" w:sz="0" w:space="0" w:color="auto"/>
              </w:divBdr>
              <w:divsChild>
                <w:div w:id="1372463034">
                  <w:marLeft w:val="0"/>
                  <w:marRight w:val="0"/>
                  <w:marTop w:val="0"/>
                  <w:marBottom w:val="0"/>
                  <w:divBdr>
                    <w:top w:val="none" w:sz="0" w:space="0" w:color="auto"/>
                    <w:left w:val="none" w:sz="0" w:space="0" w:color="auto"/>
                    <w:bottom w:val="none" w:sz="0" w:space="0" w:color="auto"/>
                    <w:right w:val="none" w:sz="0" w:space="0" w:color="auto"/>
                  </w:divBdr>
                  <w:divsChild>
                    <w:div w:id="915671943">
                      <w:marLeft w:val="0"/>
                      <w:marRight w:val="0"/>
                      <w:marTop w:val="0"/>
                      <w:marBottom w:val="0"/>
                      <w:divBdr>
                        <w:top w:val="none" w:sz="0" w:space="0" w:color="auto"/>
                        <w:left w:val="none" w:sz="0" w:space="0" w:color="auto"/>
                        <w:bottom w:val="none" w:sz="0" w:space="0" w:color="auto"/>
                        <w:right w:val="none" w:sz="0" w:space="0" w:color="auto"/>
                      </w:divBdr>
                      <w:divsChild>
                        <w:div w:id="956180020">
                          <w:marLeft w:val="0"/>
                          <w:marRight w:val="0"/>
                          <w:marTop w:val="0"/>
                          <w:marBottom w:val="0"/>
                          <w:divBdr>
                            <w:top w:val="none" w:sz="0" w:space="0" w:color="auto"/>
                            <w:left w:val="none" w:sz="0" w:space="0" w:color="auto"/>
                            <w:bottom w:val="none" w:sz="0" w:space="0" w:color="auto"/>
                            <w:right w:val="none" w:sz="0" w:space="0" w:color="auto"/>
                          </w:divBdr>
                          <w:divsChild>
                            <w:div w:id="1941720341">
                              <w:marLeft w:val="0"/>
                              <w:marRight w:val="0"/>
                              <w:marTop w:val="0"/>
                              <w:marBottom w:val="0"/>
                              <w:divBdr>
                                <w:top w:val="none" w:sz="0" w:space="0" w:color="auto"/>
                                <w:left w:val="none" w:sz="0" w:space="0" w:color="auto"/>
                                <w:bottom w:val="none" w:sz="0" w:space="0" w:color="auto"/>
                                <w:right w:val="none" w:sz="0" w:space="0" w:color="auto"/>
                              </w:divBdr>
                              <w:divsChild>
                                <w:div w:id="2138603335">
                                  <w:marLeft w:val="0"/>
                                  <w:marRight w:val="0"/>
                                  <w:marTop w:val="0"/>
                                  <w:marBottom w:val="0"/>
                                  <w:divBdr>
                                    <w:top w:val="none" w:sz="0" w:space="0" w:color="auto"/>
                                    <w:left w:val="none" w:sz="0" w:space="0" w:color="auto"/>
                                    <w:bottom w:val="none" w:sz="0" w:space="0" w:color="auto"/>
                                    <w:right w:val="none" w:sz="0" w:space="0" w:color="auto"/>
                                  </w:divBdr>
                                  <w:divsChild>
                                    <w:div w:id="765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7141560">
      <w:bodyDiv w:val="1"/>
      <w:marLeft w:val="0"/>
      <w:marRight w:val="0"/>
      <w:marTop w:val="0"/>
      <w:marBottom w:val="0"/>
      <w:divBdr>
        <w:top w:val="none" w:sz="0" w:space="0" w:color="auto"/>
        <w:left w:val="none" w:sz="0" w:space="0" w:color="auto"/>
        <w:bottom w:val="none" w:sz="0" w:space="0" w:color="auto"/>
        <w:right w:val="none" w:sz="0" w:space="0" w:color="auto"/>
      </w:divBdr>
      <w:divsChild>
        <w:div w:id="713501599">
          <w:marLeft w:val="0"/>
          <w:marRight w:val="0"/>
          <w:marTop w:val="0"/>
          <w:marBottom w:val="0"/>
          <w:divBdr>
            <w:top w:val="none" w:sz="0" w:space="0" w:color="auto"/>
            <w:left w:val="none" w:sz="0" w:space="0" w:color="auto"/>
            <w:bottom w:val="none" w:sz="0" w:space="0" w:color="auto"/>
            <w:right w:val="none" w:sz="0" w:space="0" w:color="auto"/>
          </w:divBdr>
          <w:divsChild>
            <w:div w:id="1357344123">
              <w:marLeft w:val="0"/>
              <w:marRight w:val="0"/>
              <w:marTop w:val="0"/>
              <w:marBottom w:val="0"/>
              <w:divBdr>
                <w:top w:val="none" w:sz="0" w:space="0" w:color="auto"/>
                <w:left w:val="none" w:sz="0" w:space="0" w:color="auto"/>
                <w:bottom w:val="none" w:sz="0" w:space="0" w:color="auto"/>
                <w:right w:val="none" w:sz="0" w:space="0" w:color="auto"/>
              </w:divBdr>
            </w:div>
            <w:div w:id="15660628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37798750">
      <w:bodyDiv w:val="1"/>
      <w:marLeft w:val="0"/>
      <w:marRight w:val="0"/>
      <w:marTop w:val="0"/>
      <w:marBottom w:val="0"/>
      <w:divBdr>
        <w:top w:val="none" w:sz="0" w:space="0" w:color="auto"/>
        <w:left w:val="none" w:sz="0" w:space="0" w:color="auto"/>
        <w:bottom w:val="none" w:sz="0" w:space="0" w:color="auto"/>
        <w:right w:val="none" w:sz="0" w:space="0" w:color="auto"/>
      </w:divBdr>
    </w:div>
    <w:div w:id="2138134496">
      <w:bodyDiv w:val="1"/>
      <w:marLeft w:val="0"/>
      <w:marRight w:val="0"/>
      <w:marTop w:val="0"/>
      <w:marBottom w:val="0"/>
      <w:divBdr>
        <w:top w:val="none" w:sz="0" w:space="0" w:color="auto"/>
        <w:left w:val="none" w:sz="0" w:space="0" w:color="auto"/>
        <w:bottom w:val="none" w:sz="0" w:space="0" w:color="auto"/>
        <w:right w:val="none" w:sz="0" w:space="0" w:color="auto"/>
      </w:divBdr>
      <w:divsChild>
        <w:div w:id="913661959">
          <w:marLeft w:val="0"/>
          <w:marRight w:val="0"/>
          <w:marTop w:val="0"/>
          <w:marBottom w:val="0"/>
          <w:divBdr>
            <w:top w:val="none" w:sz="0" w:space="0" w:color="auto"/>
            <w:left w:val="none" w:sz="0" w:space="0" w:color="auto"/>
            <w:bottom w:val="none" w:sz="0" w:space="0" w:color="auto"/>
            <w:right w:val="none" w:sz="0" w:space="0" w:color="auto"/>
          </w:divBdr>
        </w:div>
      </w:divsChild>
    </w:div>
    <w:div w:id="2138182692">
      <w:bodyDiv w:val="1"/>
      <w:marLeft w:val="0"/>
      <w:marRight w:val="0"/>
      <w:marTop w:val="0"/>
      <w:marBottom w:val="0"/>
      <w:divBdr>
        <w:top w:val="none" w:sz="0" w:space="0" w:color="auto"/>
        <w:left w:val="none" w:sz="0" w:space="0" w:color="auto"/>
        <w:bottom w:val="none" w:sz="0" w:space="0" w:color="auto"/>
        <w:right w:val="none" w:sz="0" w:space="0" w:color="auto"/>
      </w:divBdr>
      <w:divsChild>
        <w:div w:id="2094427657">
          <w:marLeft w:val="0"/>
          <w:marRight w:val="0"/>
          <w:marTop w:val="0"/>
          <w:marBottom w:val="0"/>
          <w:divBdr>
            <w:top w:val="none" w:sz="0" w:space="0" w:color="auto"/>
            <w:left w:val="none" w:sz="0" w:space="0" w:color="auto"/>
            <w:bottom w:val="dotted" w:sz="6" w:space="4" w:color="DDDDDD"/>
            <w:right w:val="none" w:sz="0" w:space="0" w:color="auto"/>
          </w:divBdr>
          <w:divsChild>
            <w:div w:id="68629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255520">
      <w:bodyDiv w:val="1"/>
      <w:marLeft w:val="0"/>
      <w:marRight w:val="0"/>
      <w:marTop w:val="0"/>
      <w:marBottom w:val="0"/>
      <w:divBdr>
        <w:top w:val="none" w:sz="0" w:space="0" w:color="auto"/>
        <w:left w:val="none" w:sz="0" w:space="0" w:color="auto"/>
        <w:bottom w:val="none" w:sz="0" w:space="0" w:color="auto"/>
        <w:right w:val="none" w:sz="0" w:space="0" w:color="auto"/>
      </w:divBdr>
      <w:divsChild>
        <w:div w:id="306473634">
          <w:marLeft w:val="0"/>
          <w:marRight w:val="0"/>
          <w:marTop w:val="0"/>
          <w:marBottom w:val="0"/>
          <w:divBdr>
            <w:top w:val="none" w:sz="0" w:space="0" w:color="auto"/>
            <w:left w:val="none" w:sz="0" w:space="0" w:color="auto"/>
            <w:bottom w:val="none" w:sz="0" w:space="0" w:color="auto"/>
            <w:right w:val="none" w:sz="0" w:space="0" w:color="auto"/>
          </w:divBdr>
          <w:divsChild>
            <w:div w:id="1466660693">
              <w:marLeft w:val="0"/>
              <w:marRight w:val="0"/>
              <w:marTop w:val="0"/>
              <w:marBottom w:val="0"/>
              <w:divBdr>
                <w:top w:val="none" w:sz="0" w:space="0" w:color="auto"/>
                <w:left w:val="none" w:sz="0" w:space="0" w:color="auto"/>
                <w:bottom w:val="none" w:sz="0" w:space="0" w:color="auto"/>
                <w:right w:val="none" w:sz="0" w:space="0" w:color="auto"/>
              </w:divBdr>
              <w:divsChild>
                <w:div w:id="1748265507">
                  <w:marLeft w:val="0"/>
                  <w:marRight w:val="0"/>
                  <w:marTop w:val="0"/>
                  <w:marBottom w:val="0"/>
                  <w:divBdr>
                    <w:top w:val="none" w:sz="0" w:space="0" w:color="auto"/>
                    <w:left w:val="none" w:sz="0" w:space="0" w:color="auto"/>
                    <w:bottom w:val="none" w:sz="0" w:space="0" w:color="auto"/>
                    <w:right w:val="none" w:sz="0" w:space="0" w:color="auto"/>
                  </w:divBdr>
                  <w:divsChild>
                    <w:div w:id="1312754194">
                      <w:marLeft w:val="0"/>
                      <w:marRight w:val="0"/>
                      <w:marTop w:val="0"/>
                      <w:marBottom w:val="0"/>
                      <w:divBdr>
                        <w:top w:val="none" w:sz="0" w:space="0" w:color="auto"/>
                        <w:left w:val="none" w:sz="0" w:space="0" w:color="auto"/>
                        <w:bottom w:val="none" w:sz="0" w:space="0" w:color="auto"/>
                        <w:right w:val="none" w:sz="0" w:space="0" w:color="auto"/>
                      </w:divBdr>
                      <w:divsChild>
                        <w:div w:id="101415049">
                          <w:marLeft w:val="0"/>
                          <w:marRight w:val="0"/>
                          <w:marTop w:val="0"/>
                          <w:marBottom w:val="0"/>
                          <w:divBdr>
                            <w:top w:val="none" w:sz="0" w:space="0" w:color="auto"/>
                            <w:left w:val="none" w:sz="0" w:space="0" w:color="auto"/>
                            <w:bottom w:val="none" w:sz="0" w:space="0" w:color="auto"/>
                            <w:right w:val="none" w:sz="0" w:space="0" w:color="auto"/>
                          </w:divBdr>
                          <w:divsChild>
                            <w:div w:id="650057997">
                              <w:marLeft w:val="0"/>
                              <w:marRight w:val="0"/>
                              <w:marTop w:val="0"/>
                              <w:marBottom w:val="0"/>
                              <w:divBdr>
                                <w:top w:val="none" w:sz="0" w:space="0" w:color="auto"/>
                                <w:left w:val="none" w:sz="0" w:space="0" w:color="auto"/>
                                <w:bottom w:val="none" w:sz="0" w:space="0" w:color="auto"/>
                                <w:right w:val="none" w:sz="0" w:space="0" w:color="auto"/>
                              </w:divBdr>
                              <w:divsChild>
                                <w:div w:id="606082457">
                                  <w:marLeft w:val="0"/>
                                  <w:marRight w:val="0"/>
                                  <w:marTop w:val="0"/>
                                  <w:marBottom w:val="0"/>
                                  <w:divBdr>
                                    <w:top w:val="none" w:sz="0" w:space="0" w:color="auto"/>
                                    <w:left w:val="none" w:sz="0" w:space="0" w:color="auto"/>
                                    <w:bottom w:val="none" w:sz="0" w:space="0" w:color="auto"/>
                                    <w:right w:val="none" w:sz="0" w:space="0" w:color="auto"/>
                                  </w:divBdr>
                                  <w:divsChild>
                                    <w:div w:id="118189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8448284">
      <w:bodyDiv w:val="1"/>
      <w:marLeft w:val="0"/>
      <w:marRight w:val="0"/>
      <w:marTop w:val="0"/>
      <w:marBottom w:val="0"/>
      <w:divBdr>
        <w:top w:val="none" w:sz="0" w:space="0" w:color="auto"/>
        <w:left w:val="none" w:sz="0" w:space="0" w:color="auto"/>
        <w:bottom w:val="none" w:sz="0" w:space="0" w:color="auto"/>
        <w:right w:val="none" w:sz="0" w:space="0" w:color="auto"/>
      </w:divBdr>
    </w:div>
    <w:div w:id="2138602940">
      <w:bodyDiv w:val="1"/>
      <w:marLeft w:val="0"/>
      <w:marRight w:val="0"/>
      <w:marTop w:val="0"/>
      <w:marBottom w:val="0"/>
      <w:divBdr>
        <w:top w:val="none" w:sz="0" w:space="0" w:color="auto"/>
        <w:left w:val="none" w:sz="0" w:space="0" w:color="auto"/>
        <w:bottom w:val="none" w:sz="0" w:space="0" w:color="auto"/>
        <w:right w:val="none" w:sz="0" w:space="0" w:color="auto"/>
      </w:divBdr>
      <w:divsChild>
        <w:div w:id="84301983">
          <w:marLeft w:val="0"/>
          <w:marRight w:val="0"/>
          <w:marTop w:val="0"/>
          <w:marBottom w:val="0"/>
          <w:divBdr>
            <w:top w:val="none" w:sz="0" w:space="0" w:color="auto"/>
            <w:left w:val="none" w:sz="0" w:space="0" w:color="auto"/>
            <w:bottom w:val="dotted" w:sz="6" w:space="4" w:color="DDDDDD"/>
            <w:right w:val="none" w:sz="0" w:space="0" w:color="auto"/>
          </w:divBdr>
          <w:divsChild>
            <w:div w:id="178638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674">
      <w:bodyDiv w:val="1"/>
      <w:marLeft w:val="0"/>
      <w:marRight w:val="0"/>
      <w:marTop w:val="0"/>
      <w:marBottom w:val="0"/>
      <w:divBdr>
        <w:top w:val="none" w:sz="0" w:space="0" w:color="auto"/>
        <w:left w:val="none" w:sz="0" w:space="0" w:color="auto"/>
        <w:bottom w:val="none" w:sz="0" w:space="0" w:color="auto"/>
        <w:right w:val="none" w:sz="0" w:space="0" w:color="auto"/>
      </w:divBdr>
      <w:divsChild>
        <w:div w:id="477769951">
          <w:marLeft w:val="0"/>
          <w:marRight w:val="0"/>
          <w:marTop w:val="0"/>
          <w:marBottom w:val="0"/>
          <w:divBdr>
            <w:top w:val="none" w:sz="0" w:space="0" w:color="auto"/>
            <w:left w:val="none" w:sz="0" w:space="0" w:color="auto"/>
            <w:bottom w:val="none" w:sz="0" w:space="0" w:color="auto"/>
            <w:right w:val="none" w:sz="0" w:space="0" w:color="auto"/>
          </w:divBdr>
          <w:divsChild>
            <w:div w:id="664548970">
              <w:marLeft w:val="0"/>
              <w:marRight w:val="0"/>
              <w:marTop w:val="0"/>
              <w:marBottom w:val="0"/>
              <w:divBdr>
                <w:top w:val="none" w:sz="0" w:space="0" w:color="auto"/>
                <w:left w:val="none" w:sz="0" w:space="0" w:color="auto"/>
                <w:bottom w:val="none" w:sz="0" w:space="0" w:color="auto"/>
                <w:right w:val="none" w:sz="0" w:space="0" w:color="auto"/>
              </w:divBdr>
              <w:divsChild>
                <w:div w:id="1988437659">
                  <w:marLeft w:val="0"/>
                  <w:marRight w:val="0"/>
                  <w:marTop w:val="0"/>
                  <w:marBottom w:val="0"/>
                  <w:divBdr>
                    <w:top w:val="none" w:sz="0" w:space="0" w:color="auto"/>
                    <w:left w:val="none" w:sz="0" w:space="0" w:color="auto"/>
                    <w:bottom w:val="none" w:sz="0" w:space="0" w:color="auto"/>
                    <w:right w:val="none" w:sz="0" w:space="0" w:color="auto"/>
                  </w:divBdr>
                  <w:divsChild>
                    <w:div w:id="33240408">
                      <w:marLeft w:val="0"/>
                      <w:marRight w:val="0"/>
                      <w:marTop w:val="0"/>
                      <w:marBottom w:val="0"/>
                      <w:divBdr>
                        <w:top w:val="none" w:sz="0" w:space="0" w:color="auto"/>
                        <w:left w:val="none" w:sz="0" w:space="0" w:color="auto"/>
                        <w:bottom w:val="none" w:sz="0" w:space="0" w:color="auto"/>
                        <w:right w:val="none" w:sz="0" w:space="0" w:color="auto"/>
                      </w:divBdr>
                      <w:divsChild>
                        <w:div w:id="840776691">
                          <w:marLeft w:val="0"/>
                          <w:marRight w:val="0"/>
                          <w:marTop w:val="0"/>
                          <w:marBottom w:val="0"/>
                          <w:divBdr>
                            <w:top w:val="none" w:sz="0" w:space="0" w:color="auto"/>
                            <w:left w:val="none" w:sz="0" w:space="0" w:color="auto"/>
                            <w:bottom w:val="none" w:sz="0" w:space="0" w:color="auto"/>
                            <w:right w:val="none" w:sz="0" w:space="0" w:color="auto"/>
                          </w:divBdr>
                          <w:divsChild>
                            <w:div w:id="775100636">
                              <w:marLeft w:val="0"/>
                              <w:marRight w:val="0"/>
                              <w:marTop w:val="0"/>
                              <w:marBottom w:val="0"/>
                              <w:divBdr>
                                <w:top w:val="none" w:sz="0" w:space="0" w:color="auto"/>
                                <w:left w:val="none" w:sz="0" w:space="0" w:color="auto"/>
                                <w:bottom w:val="none" w:sz="0" w:space="0" w:color="auto"/>
                                <w:right w:val="none" w:sz="0" w:space="0" w:color="auto"/>
                              </w:divBdr>
                              <w:divsChild>
                                <w:div w:id="71134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9838742">
      <w:bodyDiv w:val="1"/>
      <w:marLeft w:val="0"/>
      <w:marRight w:val="0"/>
      <w:marTop w:val="0"/>
      <w:marBottom w:val="0"/>
      <w:divBdr>
        <w:top w:val="none" w:sz="0" w:space="0" w:color="auto"/>
        <w:left w:val="none" w:sz="0" w:space="0" w:color="auto"/>
        <w:bottom w:val="none" w:sz="0" w:space="0" w:color="auto"/>
        <w:right w:val="none" w:sz="0" w:space="0" w:color="auto"/>
      </w:divBdr>
      <w:divsChild>
        <w:div w:id="797068991">
          <w:marLeft w:val="0"/>
          <w:marRight w:val="0"/>
          <w:marTop w:val="0"/>
          <w:marBottom w:val="450"/>
          <w:divBdr>
            <w:top w:val="none" w:sz="0" w:space="0" w:color="auto"/>
            <w:left w:val="none" w:sz="0" w:space="0" w:color="auto"/>
            <w:bottom w:val="single" w:sz="6" w:space="19" w:color="EEEEEE"/>
            <w:right w:val="none" w:sz="0" w:space="0" w:color="auto"/>
          </w:divBdr>
          <w:divsChild>
            <w:div w:id="1795906243">
              <w:marLeft w:val="0"/>
              <w:marRight w:val="0"/>
              <w:marTop w:val="0"/>
              <w:marBottom w:val="150"/>
              <w:divBdr>
                <w:top w:val="none" w:sz="0" w:space="0" w:color="auto"/>
                <w:left w:val="none" w:sz="0" w:space="0" w:color="auto"/>
                <w:bottom w:val="none" w:sz="0" w:space="0" w:color="auto"/>
                <w:right w:val="none" w:sz="0" w:space="0" w:color="auto"/>
              </w:divBdr>
              <w:divsChild>
                <w:div w:id="1278607793">
                  <w:marLeft w:val="0"/>
                  <w:marRight w:val="0"/>
                  <w:marTop w:val="0"/>
                  <w:marBottom w:val="0"/>
                  <w:divBdr>
                    <w:top w:val="none" w:sz="0" w:space="0" w:color="auto"/>
                    <w:left w:val="none" w:sz="0" w:space="0" w:color="auto"/>
                    <w:bottom w:val="none" w:sz="0" w:space="0" w:color="auto"/>
                    <w:right w:val="none" w:sz="0" w:space="0" w:color="auto"/>
                  </w:divBdr>
                </w:div>
              </w:divsChild>
            </w:div>
            <w:div w:id="221795011">
              <w:marLeft w:val="0"/>
              <w:marRight w:val="0"/>
              <w:marTop w:val="0"/>
              <w:marBottom w:val="0"/>
              <w:divBdr>
                <w:top w:val="none" w:sz="0" w:space="0" w:color="auto"/>
                <w:left w:val="none" w:sz="0" w:space="0" w:color="auto"/>
                <w:bottom w:val="none" w:sz="0" w:space="0" w:color="auto"/>
                <w:right w:val="none" w:sz="0" w:space="0" w:color="auto"/>
              </w:divBdr>
            </w:div>
          </w:divsChild>
        </w:div>
        <w:div w:id="1252936135">
          <w:marLeft w:val="0"/>
          <w:marRight w:val="0"/>
          <w:marTop w:val="0"/>
          <w:marBottom w:val="0"/>
          <w:divBdr>
            <w:top w:val="none" w:sz="0" w:space="0" w:color="auto"/>
            <w:left w:val="none" w:sz="0" w:space="0" w:color="auto"/>
            <w:bottom w:val="none" w:sz="0" w:space="0" w:color="auto"/>
            <w:right w:val="none" w:sz="0" w:space="0" w:color="auto"/>
          </w:divBdr>
          <w:divsChild>
            <w:div w:id="1137644290">
              <w:marLeft w:val="0"/>
              <w:marRight w:val="0"/>
              <w:marTop w:val="0"/>
              <w:marBottom w:val="0"/>
              <w:divBdr>
                <w:top w:val="none" w:sz="0" w:space="0" w:color="auto"/>
                <w:left w:val="none" w:sz="0" w:space="0" w:color="auto"/>
                <w:bottom w:val="none" w:sz="0" w:space="0" w:color="auto"/>
                <w:right w:val="none" w:sz="0" w:space="0" w:color="auto"/>
              </w:divBdr>
              <w:divsChild>
                <w:div w:id="18383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220547">
      <w:bodyDiv w:val="1"/>
      <w:marLeft w:val="0"/>
      <w:marRight w:val="0"/>
      <w:marTop w:val="0"/>
      <w:marBottom w:val="0"/>
      <w:divBdr>
        <w:top w:val="none" w:sz="0" w:space="0" w:color="auto"/>
        <w:left w:val="none" w:sz="0" w:space="0" w:color="auto"/>
        <w:bottom w:val="none" w:sz="0" w:space="0" w:color="auto"/>
        <w:right w:val="none" w:sz="0" w:space="0" w:color="auto"/>
      </w:divBdr>
    </w:div>
    <w:div w:id="2141457469">
      <w:bodyDiv w:val="1"/>
      <w:marLeft w:val="0"/>
      <w:marRight w:val="0"/>
      <w:marTop w:val="0"/>
      <w:marBottom w:val="0"/>
      <w:divBdr>
        <w:top w:val="none" w:sz="0" w:space="0" w:color="auto"/>
        <w:left w:val="none" w:sz="0" w:space="0" w:color="auto"/>
        <w:bottom w:val="none" w:sz="0" w:space="0" w:color="auto"/>
        <w:right w:val="none" w:sz="0" w:space="0" w:color="auto"/>
      </w:divBdr>
    </w:div>
    <w:div w:id="2141872794">
      <w:bodyDiv w:val="1"/>
      <w:marLeft w:val="0"/>
      <w:marRight w:val="0"/>
      <w:marTop w:val="0"/>
      <w:marBottom w:val="0"/>
      <w:divBdr>
        <w:top w:val="none" w:sz="0" w:space="0" w:color="auto"/>
        <w:left w:val="none" w:sz="0" w:space="0" w:color="auto"/>
        <w:bottom w:val="none" w:sz="0" w:space="0" w:color="auto"/>
        <w:right w:val="none" w:sz="0" w:space="0" w:color="auto"/>
      </w:divBdr>
    </w:div>
    <w:div w:id="2142648406">
      <w:bodyDiv w:val="1"/>
      <w:marLeft w:val="0"/>
      <w:marRight w:val="0"/>
      <w:marTop w:val="0"/>
      <w:marBottom w:val="0"/>
      <w:divBdr>
        <w:top w:val="none" w:sz="0" w:space="0" w:color="auto"/>
        <w:left w:val="none" w:sz="0" w:space="0" w:color="auto"/>
        <w:bottom w:val="none" w:sz="0" w:space="0" w:color="auto"/>
        <w:right w:val="none" w:sz="0" w:space="0" w:color="auto"/>
      </w:divBdr>
      <w:divsChild>
        <w:div w:id="1896575935">
          <w:marLeft w:val="0"/>
          <w:marRight w:val="0"/>
          <w:marTop w:val="0"/>
          <w:marBottom w:val="0"/>
          <w:divBdr>
            <w:top w:val="none" w:sz="0" w:space="0" w:color="auto"/>
            <w:left w:val="none" w:sz="0" w:space="0" w:color="auto"/>
            <w:bottom w:val="dotted" w:sz="6" w:space="4" w:color="DDDDDD"/>
            <w:right w:val="none" w:sz="0" w:space="0" w:color="auto"/>
          </w:divBdr>
        </w:div>
      </w:divsChild>
    </w:div>
    <w:div w:id="2142725074">
      <w:bodyDiv w:val="1"/>
      <w:marLeft w:val="0"/>
      <w:marRight w:val="0"/>
      <w:marTop w:val="0"/>
      <w:marBottom w:val="0"/>
      <w:divBdr>
        <w:top w:val="none" w:sz="0" w:space="0" w:color="auto"/>
        <w:left w:val="none" w:sz="0" w:space="0" w:color="auto"/>
        <w:bottom w:val="none" w:sz="0" w:space="0" w:color="auto"/>
        <w:right w:val="none" w:sz="0" w:space="0" w:color="auto"/>
      </w:divBdr>
    </w:div>
    <w:div w:id="2142725714">
      <w:bodyDiv w:val="1"/>
      <w:marLeft w:val="0"/>
      <w:marRight w:val="0"/>
      <w:marTop w:val="0"/>
      <w:marBottom w:val="0"/>
      <w:divBdr>
        <w:top w:val="none" w:sz="0" w:space="0" w:color="auto"/>
        <w:left w:val="none" w:sz="0" w:space="0" w:color="auto"/>
        <w:bottom w:val="none" w:sz="0" w:space="0" w:color="auto"/>
        <w:right w:val="none" w:sz="0" w:space="0" w:color="auto"/>
      </w:divBdr>
      <w:divsChild>
        <w:div w:id="504055257">
          <w:marLeft w:val="0"/>
          <w:marRight w:val="0"/>
          <w:marTop w:val="0"/>
          <w:marBottom w:val="150"/>
          <w:divBdr>
            <w:top w:val="none" w:sz="0" w:space="0" w:color="auto"/>
            <w:left w:val="none" w:sz="0" w:space="0" w:color="auto"/>
            <w:bottom w:val="none" w:sz="0" w:space="0" w:color="auto"/>
            <w:right w:val="none" w:sz="0" w:space="0" w:color="auto"/>
          </w:divBdr>
          <w:divsChild>
            <w:div w:id="302470915">
              <w:marLeft w:val="0"/>
              <w:marRight w:val="0"/>
              <w:marTop w:val="0"/>
              <w:marBottom w:val="0"/>
              <w:divBdr>
                <w:top w:val="none" w:sz="0" w:space="0" w:color="auto"/>
                <w:left w:val="none" w:sz="0" w:space="0" w:color="auto"/>
                <w:bottom w:val="none" w:sz="0" w:space="0" w:color="auto"/>
                <w:right w:val="none" w:sz="0" w:space="0" w:color="auto"/>
              </w:divBdr>
              <w:divsChild>
                <w:div w:id="5617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370867">
          <w:marLeft w:val="0"/>
          <w:marRight w:val="0"/>
          <w:marTop w:val="0"/>
          <w:marBottom w:val="0"/>
          <w:divBdr>
            <w:top w:val="none" w:sz="0" w:space="0" w:color="auto"/>
            <w:left w:val="none" w:sz="0" w:space="0" w:color="auto"/>
            <w:bottom w:val="none" w:sz="0" w:space="0" w:color="auto"/>
            <w:right w:val="none" w:sz="0" w:space="0" w:color="auto"/>
          </w:divBdr>
          <w:divsChild>
            <w:div w:id="1080565384">
              <w:marLeft w:val="0"/>
              <w:marRight w:val="0"/>
              <w:marTop w:val="0"/>
              <w:marBottom w:val="150"/>
              <w:divBdr>
                <w:top w:val="none" w:sz="0" w:space="0" w:color="auto"/>
                <w:left w:val="none" w:sz="0" w:space="0" w:color="auto"/>
                <w:bottom w:val="none" w:sz="0" w:space="0" w:color="auto"/>
                <w:right w:val="none" w:sz="0" w:space="0" w:color="auto"/>
              </w:divBdr>
            </w:div>
            <w:div w:id="460149517">
              <w:marLeft w:val="0"/>
              <w:marRight w:val="0"/>
              <w:marTop w:val="0"/>
              <w:marBottom w:val="0"/>
              <w:divBdr>
                <w:top w:val="none" w:sz="0" w:space="0" w:color="auto"/>
                <w:left w:val="none" w:sz="0" w:space="0" w:color="auto"/>
                <w:bottom w:val="none" w:sz="0" w:space="0" w:color="auto"/>
                <w:right w:val="none" w:sz="0" w:space="0" w:color="auto"/>
              </w:divBdr>
              <w:divsChild>
                <w:div w:id="9641925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2142772617">
      <w:bodyDiv w:val="1"/>
      <w:marLeft w:val="0"/>
      <w:marRight w:val="0"/>
      <w:marTop w:val="0"/>
      <w:marBottom w:val="0"/>
      <w:divBdr>
        <w:top w:val="none" w:sz="0" w:space="0" w:color="auto"/>
        <w:left w:val="none" w:sz="0" w:space="0" w:color="auto"/>
        <w:bottom w:val="none" w:sz="0" w:space="0" w:color="auto"/>
        <w:right w:val="none" w:sz="0" w:space="0" w:color="auto"/>
      </w:divBdr>
      <w:divsChild>
        <w:div w:id="159736285">
          <w:marLeft w:val="0"/>
          <w:marRight w:val="0"/>
          <w:marTop w:val="0"/>
          <w:marBottom w:val="150"/>
          <w:divBdr>
            <w:top w:val="none" w:sz="0" w:space="0" w:color="auto"/>
            <w:left w:val="none" w:sz="0" w:space="0" w:color="auto"/>
            <w:bottom w:val="none" w:sz="0" w:space="0" w:color="auto"/>
            <w:right w:val="none" w:sz="0" w:space="0" w:color="auto"/>
          </w:divBdr>
        </w:div>
      </w:divsChild>
    </w:div>
    <w:div w:id="2143184104">
      <w:bodyDiv w:val="1"/>
      <w:marLeft w:val="0"/>
      <w:marRight w:val="0"/>
      <w:marTop w:val="0"/>
      <w:marBottom w:val="0"/>
      <w:divBdr>
        <w:top w:val="none" w:sz="0" w:space="0" w:color="auto"/>
        <w:left w:val="none" w:sz="0" w:space="0" w:color="auto"/>
        <w:bottom w:val="none" w:sz="0" w:space="0" w:color="auto"/>
        <w:right w:val="none" w:sz="0" w:space="0" w:color="auto"/>
      </w:divBdr>
      <w:divsChild>
        <w:div w:id="1945770589">
          <w:marLeft w:val="0"/>
          <w:marRight w:val="0"/>
          <w:marTop w:val="0"/>
          <w:marBottom w:val="150"/>
          <w:divBdr>
            <w:top w:val="none" w:sz="0" w:space="0" w:color="auto"/>
            <w:left w:val="none" w:sz="0" w:space="0" w:color="auto"/>
            <w:bottom w:val="none" w:sz="0" w:space="0" w:color="auto"/>
            <w:right w:val="none" w:sz="0" w:space="0" w:color="auto"/>
          </w:divBdr>
        </w:div>
      </w:divsChild>
    </w:div>
    <w:div w:id="2143307785">
      <w:bodyDiv w:val="1"/>
      <w:marLeft w:val="0"/>
      <w:marRight w:val="0"/>
      <w:marTop w:val="0"/>
      <w:marBottom w:val="0"/>
      <w:divBdr>
        <w:top w:val="none" w:sz="0" w:space="0" w:color="auto"/>
        <w:left w:val="none" w:sz="0" w:space="0" w:color="auto"/>
        <w:bottom w:val="none" w:sz="0" w:space="0" w:color="auto"/>
        <w:right w:val="none" w:sz="0" w:space="0" w:color="auto"/>
      </w:divBdr>
      <w:divsChild>
        <w:div w:id="41683034">
          <w:marLeft w:val="0"/>
          <w:marRight w:val="0"/>
          <w:marTop w:val="0"/>
          <w:marBottom w:val="0"/>
          <w:divBdr>
            <w:top w:val="none" w:sz="0" w:space="0" w:color="auto"/>
            <w:left w:val="none" w:sz="0" w:space="0" w:color="auto"/>
            <w:bottom w:val="none" w:sz="0" w:space="0" w:color="auto"/>
            <w:right w:val="none" w:sz="0" w:space="0" w:color="auto"/>
          </w:divBdr>
          <w:divsChild>
            <w:div w:id="42752232">
              <w:marLeft w:val="0"/>
              <w:marRight w:val="0"/>
              <w:marTop w:val="0"/>
              <w:marBottom w:val="0"/>
              <w:divBdr>
                <w:top w:val="none" w:sz="0" w:space="0" w:color="auto"/>
                <w:left w:val="none" w:sz="0" w:space="0" w:color="auto"/>
                <w:bottom w:val="none" w:sz="0" w:space="0" w:color="auto"/>
                <w:right w:val="none" w:sz="0" w:space="0" w:color="auto"/>
              </w:divBdr>
            </w:div>
            <w:div w:id="135101270">
              <w:marLeft w:val="0"/>
              <w:marRight w:val="0"/>
              <w:marTop w:val="0"/>
              <w:marBottom w:val="0"/>
              <w:divBdr>
                <w:top w:val="none" w:sz="0" w:space="0" w:color="auto"/>
                <w:left w:val="none" w:sz="0" w:space="0" w:color="auto"/>
                <w:bottom w:val="none" w:sz="0" w:space="0" w:color="auto"/>
                <w:right w:val="none" w:sz="0" w:space="0" w:color="auto"/>
              </w:divBdr>
            </w:div>
            <w:div w:id="342055974">
              <w:marLeft w:val="0"/>
              <w:marRight w:val="0"/>
              <w:marTop w:val="0"/>
              <w:marBottom w:val="0"/>
              <w:divBdr>
                <w:top w:val="none" w:sz="0" w:space="0" w:color="auto"/>
                <w:left w:val="none" w:sz="0" w:space="0" w:color="auto"/>
                <w:bottom w:val="none" w:sz="0" w:space="0" w:color="auto"/>
                <w:right w:val="none" w:sz="0" w:space="0" w:color="auto"/>
              </w:divBdr>
            </w:div>
            <w:div w:id="346830508">
              <w:marLeft w:val="0"/>
              <w:marRight w:val="0"/>
              <w:marTop w:val="0"/>
              <w:marBottom w:val="0"/>
              <w:divBdr>
                <w:top w:val="none" w:sz="0" w:space="0" w:color="auto"/>
                <w:left w:val="none" w:sz="0" w:space="0" w:color="auto"/>
                <w:bottom w:val="none" w:sz="0" w:space="0" w:color="auto"/>
                <w:right w:val="none" w:sz="0" w:space="0" w:color="auto"/>
              </w:divBdr>
            </w:div>
            <w:div w:id="474681863">
              <w:marLeft w:val="0"/>
              <w:marRight w:val="0"/>
              <w:marTop w:val="0"/>
              <w:marBottom w:val="0"/>
              <w:divBdr>
                <w:top w:val="none" w:sz="0" w:space="0" w:color="auto"/>
                <w:left w:val="none" w:sz="0" w:space="0" w:color="auto"/>
                <w:bottom w:val="none" w:sz="0" w:space="0" w:color="auto"/>
                <w:right w:val="none" w:sz="0" w:space="0" w:color="auto"/>
              </w:divBdr>
            </w:div>
            <w:div w:id="625046611">
              <w:marLeft w:val="0"/>
              <w:marRight w:val="0"/>
              <w:marTop w:val="0"/>
              <w:marBottom w:val="0"/>
              <w:divBdr>
                <w:top w:val="none" w:sz="0" w:space="0" w:color="auto"/>
                <w:left w:val="none" w:sz="0" w:space="0" w:color="auto"/>
                <w:bottom w:val="none" w:sz="0" w:space="0" w:color="auto"/>
                <w:right w:val="none" w:sz="0" w:space="0" w:color="auto"/>
              </w:divBdr>
            </w:div>
            <w:div w:id="628246835">
              <w:marLeft w:val="0"/>
              <w:marRight w:val="0"/>
              <w:marTop w:val="0"/>
              <w:marBottom w:val="0"/>
              <w:divBdr>
                <w:top w:val="none" w:sz="0" w:space="0" w:color="auto"/>
                <w:left w:val="none" w:sz="0" w:space="0" w:color="auto"/>
                <w:bottom w:val="none" w:sz="0" w:space="0" w:color="auto"/>
                <w:right w:val="none" w:sz="0" w:space="0" w:color="auto"/>
              </w:divBdr>
            </w:div>
            <w:div w:id="713501711">
              <w:marLeft w:val="0"/>
              <w:marRight w:val="0"/>
              <w:marTop w:val="0"/>
              <w:marBottom w:val="0"/>
              <w:divBdr>
                <w:top w:val="none" w:sz="0" w:space="0" w:color="auto"/>
                <w:left w:val="none" w:sz="0" w:space="0" w:color="auto"/>
                <w:bottom w:val="none" w:sz="0" w:space="0" w:color="auto"/>
                <w:right w:val="none" w:sz="0" w:space="0" w:color="auto"/>
              </w:divBdr>
            </w:div>
            <w:div w:id="732584958">
              <w:marLeft w:val="0"/>
              <w:marRight w:val="0"/>
              <w:marTop w:val="0"/>
              <w:marBottom w:val="0"/>
              <w:divBdr>
                <w:top w:val="none" w:sz="0" w:space="0" w:color="auto"/>
                <w:left w:val="none" w:sz="0" w:space="0" w:color="auto"/>
                <w:bottom w:val="none" w:sz="0" w:space="0" w:color="auto"/>
                <w:right w:val="none" w:sz="0" w:space="0" w:color="auto"/>
              </w:divBdr>
            </w:div>
            <w:div w:id="950212187">
              <w:marLeft w:val="0"/>
              <w:marRight w:val="0"/>
              <w:marTop w:val="0"/>
              <w:marBottom w:val="0"/>
              <w:divBdr>
                <w:top w:val="none" w:sz="0" w:space="0" w:color="auto"/>
                <w:left w:val="none" w:sz="0" w:space="0" w:color="auto"/>
                <w:bottom w:val="none" w:sz="0" w:space="0" w:color="auto"/>
                <w:right w:val="none" w:sz="0" w:space="0" w:color="auto"/>
              </w:divBdr>
            </w:div>
            <w:div w:id="983894191">
              <w:marLeft w:val="0"/>
              <w:marRight w:val="0"/>
              <w:marTop w:val="0"/>
              <w:marBottom w:val="0"/>
              <w:divBdr>
                <w:top w:val="none" w:sz="0" w:space="0" w:color="auto"/>
                <w:left w:val="none" w:sz="0" w:space="0" w:color="auto"/>
                <w:bottom w:val="none" w:sz="0" w:space="0" w:color="auto"/>
                <w:right w:val="none" w:sz="0" w:space="0" w:color="auto"/>
              </w:divBdr>
            </w:div>
            <w:div w:id="1022826281">
              <w:marLeft w:val="0"/>
              <w:marRight w:val="0"/>
              <w:marTop w:val="0"/>
              <w:marBottom w:val="0"/>
              <w:divBdr>
                <w:top w:val="none" w:sz="0" w:space="0" w:color="auto"/>
                <w:left w:val="none" w:sz="0" w:space="0" w:color="auto"/>
                <w:bottom w:val="none" w:sz="0" w:space="0" w:color="auto"/>
                <w:right w:val="none" w:sz="0" w:space="0" w:color="auto"/>
              </w:divBdr>
            </w:div>
            <w:div w:id="1098022403">
              <w:marLeft w:val="0"/>
              <w:marRight w:val="0"/>
              <w:marTop w:val="0"/>
              <w:marBottom w:val="0"/>
              <w:divBdr>
                <w:top w:val="none" w:sz="0" w:space="0" w:color="auto"/>
                <w:left w:val="none" w:sz="0" w:space="0" w:color="auto"/>
                <w:bottom w:val="none" w:sz="0" w:space="0" w:color="auto"/>
                <w:right w:val="none" w:sz="0" w:space="0" w:color="auto"/>
              </w:divBdr>
            </w:div>
            <w:div w:id="1179854749">
              <w:marLeft w:val="0"/>
              <w:marRight w:val="0"/>
              <w:marTop w:val="0"/>
              <w:marBottom w:val="0"/>
              <w:divBdr>
                <w:top w:val="none" w:sz="0" w:space="0" w:color="auto"/>
                <w:left w:val="none" w:sz="0" w:space="0" w:color="auto"/>
                <w:bottom w:val="none" w:sz="0" w:space="0" w:color="auto"/>
                <w:right w:val="none" w:sz="0" w:space="0" w:color="auto"/>
              </w:divBdr>
            </w:div>
            <w:div w:id="1267039765">
              <w:marLeft w:val="0"/>
              <w:marRight w:val="0"/>
              <w:marTop w:val="0"/>
              <w:marBottom w:val="0"/>
              <w:divBdr>
                <w:top w:val="none" w:sz="0" w:space="0" w:color="auto"/>
                <w:left w:val="none" w:sz="0" w:space="0" w:color="auto"/>
                <w:bottom w:val="none" w:sz="0" w:space="0" w:color="auto"/>
                <w:right w:val="none" w:sz="0" w:space="0" w:color="auto"/>
              </w:divBdr>
            </w:div>
            <w:div w:id="1324237753">
              <w:marLeft w:val="0"/>
              <w:marRight w:val="0"/>
              <w:marTop w:val="0"/>
              <w:marBottom w:val="0"/>
              <w:divBdr>
                <w:top w:val="none" w:sz="0" w:space="0" w:color="auto"/>
                <w:left w:val="none" w:sz="0" w:space="0" w:color="auto"/>
                <w:bottom w:val="none" w:sz="0" w:space="0" w:color="auto"/>
                <w:right w:val="none" w:sz="0" w:space="0" w:color="auto"/>
              </w:divBdr>
            </w:div>
            <w:div w:id="1364793134">
              <w:marLeft w:val="0"/>
              <w:marRight w:val="0"/>
              <w:marTop w:val="0"/>
              <w:marBottom w:val="0"/>
              <w:divBdr>
                <w:top w:val="none" w:sz="0" w:space="0" w:color="auto"/>
                <w:left w:val="none" w:sz="0" w:space="0" w:color="auto"/>
                <w:bottom w:val="none" w:sz="0" w:space="0" w:color="auto"/>
                <w:right w:val="none" w:sz="0" w:space="0" w:color="auto"/>
              </w:divBdr>
            </w:div>
            <w:div w:id="1376852730">
              <w:marLeft w:val="0"/>
              <w:marRight w:val="0"/>
              <w:marTop w:val="0"/>
              <w:marBottom w:val="0"/>
              <w:divBdr>
                <w:top w:val="none" w:sz="0" w:space="0" w:color="auto"/>
                <w:left w:val="none" w:sz="0" w:space="0" w:color="auto"/>
                <w:bottom w:val="none" w:sz="0" w:space="0" w:color="auto"/>
                <w:right w:val="none" w:sz="0" w:space="0" w:color="auto"/>
              </w:divBdr>
            </w:div>
            <w:div w:id="1430083931">
              <w:marLeft w:val="0"/>
              <w:marRight w:val="0"/>
              <w:marTop w:val="0"/>
              <w:marBottom w:val="0"/>
              <w:divBdr>
                <w:top w:val="none" w:sz="0" w:space="0" w:color="auto"/>
                <w:left w:val="none" w:sz="0" w:space="0" w:color="auto"/>
                <w:bottom w:val="none" w:sz="0" w:space="0" w:color="auto"/>
                <w:right w:val="none" w:sz="0" w:space="0" w:color="auto"/>
              </w:divBdr>
            </w:div>
            <w:div w:id="1445734475">
              <w:marLeft w:val="0"/>
              <w:marRight w:val="0"/>
              <w:marTop w:val="0"/>
              <w:marBottom w:val="0"/>
              <w:divBdr>
                <w:top w:val="none" w:sz="0" w:space="0" w:color="auto"/>
                <w:left w:val="none" w:sz="0" w:space="0" w:color="auto"/>
                <w:bottom w:val="none" w:sz="0" w:space="0" w:color="auto"/>
                <w:right w:val="none" w:sz="0" w:space="0" w:color="auto"/>
              </w:divBdr>
            </w:div>
            <w:div w:id="1472136850">
              <w:marLeft w:val="0"/>
              <w:marRight w:val="0"/>
              <w:marTop w:val="0"/>
              <w:marBottom w:val="0"/>
              <w:divBdr>
                <w:top w:val="none" w:sz="0" w:space="0" w:color="auto"/>
                <w:left w:val="none" w:sz="0" w:space="0" w:color="auto"/>
                <w:bottom w:val="none" w:sz="0" w:space="0" w:color="auto"/>
                <w:right w:val="none" w:sz="0" w:space="0" w:color="auto"/>
              </w:divBdr>
            </w:div>
            <w:div w:id="211308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375809">
      <w:bodyDiv w:val="1"/>
      <w:marLeft w:val="0"/>
      <w:marRight w:val="0"/>
      <w:marTop w:val="0"/>
      <w:marBottom w:val="0"/>
      <w:divBdr>
        <w:top w:val="none" w:sz="0" w:space="0" w:color="auto"/>
        <w:left w:val="none" w:sz="0" w:space="0" w:color="auto"/>
        <w:bottom w:val="none" w:sz="0" w:space="0" w:color="auto"/>
        <w:right w:val="none" w:sz="0" w:space="0" w:color="auto"/>
      </w:divBdr>
      <w:divsChild>
        <w:div w:id="1448036777">
          <w:marLeft w:val="0"/>
          <w:marRight w:val="0"/>
          <w:marTop w:val="0"/>
          <w:marBottom w:val="0"/>
          <w:divBdr>
            <w:top w:val="none" w:sz="0" w:space="0" w:color="auto"/>
            <w:left w:val="none" w:sz="0" w:space="0" w:color="auto"/>
            <w:bottom w:val="dotted" w:sz="6" w:space="4" w:color="DDDDDD"/>
            <w:right w:val="none" w:sz="0" w:space="0" w:color="auto"/>
          </w:divBdr>
          <w:divsChild>
            <w:div w:id="100146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498507">
      <w:bodyDiv w:val="1"/>
      <w:marLeft w:val="0"/>
      <w:marRight w:val="0"/>
      <w:marTop w:val="0"/>
      <w:marBottom w:val="0"/>
      <w:divBdr>
        <w:top w:val="none" w:sz="0" w:space="0" w:color="auto"/>
        <w:left w:val="none" w:sz="0" w:space="0" w:color="auto"/>
        <w:bottom w:val="none" w:sz="0" w:space="0" w:color="auto"/>
        <w:right w:val="none" w:sz="0" w:space="0" w:color="auto"/>
      </w:divBdr>
    </w:div>
    <w:div w:id="2143763917">
      <w:bodyDiv w:val="1"/>
      <w:marLeft w:val="0"/>
      <w:marRight w:val="0"/>
      <w:marTop w:val="0"/>
      <w:marBottom w:val="0"/>
      <w:divBdr>
        <w:top w:val="none" w:sz="0" w:space="0" w:color="auto"/>
        <w:left w:val="none" w:sz="0" w:space="0" w:color="auto"/>
        <w:bottom w:val="none" w:sz="0" w:space="0" w:color="auto"/>
        <w:right w:val="none" w:sz="0" w:space="0" w:color="auto"/>
      </w:divBdr>
    </w:div>
    <w:div w:id="2144688206">
      <w:bodyDiv w:val="1"/>
      <w:marLeft w:val="0"/>
      <w:marRight w:val="0"/>
      <w:marTop w:val="0"/>
      <w:marBottom w:val="0"/>
      <w:divBdr>
        <w:top w:val="none" w:sz="0" w:space="0" w:color="auto"/>
        <w:left w:val="none" w:sz="0" w:space="0" w:color="auto"/>
        <w:bottom w:val="none" w:sz="0" w:space="0" w:color="auto"/>
        <w:right w:val="none" w:sz="0" w:space="0" w:color="auto"/>
      </w:divBdr>
    </w:div>
    <w:div w:id="2144690493">
      <w:bodyDiv w:val="1"/>
      <w:marLeft w:val="0"/>
      <w:marRight w:val="0"/>
      <w:marTop w:val="0"/>
      <w:marBottom w:val="0"/>
      <w:divBdr>
        <w:top w:val="none" w:sz="0" w:space="0" w:color="auto"/>
        <w:left w:val="none" w:sz="0" w:space="0" w:color="auto"/>
        <w:bottom w:val="none" w:sz="0" w:space="0" w:color="auto"/>
        <w:right w:val="none" w:sz="0" w:space="0" w:color="auto"/>
      </w:divBdr>
    </w:div>
    <w:div w:id="2144999123">
      <w:bodyDiv w:val="1"/>
      <w:marLeft w:val="0"/>
      <w:marRight w:val="0"/>
      <w:marTop w:val="0"/>
      <w:marBottom w:val="0"/>
      <w:divBdr>
        <w:top w:val="none" w:sz="0" w:space="0" w:color="auto"/>
        <w:left w:val="none" w:sz="0" w:space="0" w:color="auto"/>
        <w:bottom w:val="none" w:sz="0" w:space="0" w:color="auto"/>
        <w:right w:val="none" w:sz="0" w:space="0" w:color="auto"/>
      </w:divBdr>
      <w:divsChild>
        <w:div w:id="422992865">
          <w:marLeft w:val="0"/>
          <w:marRight w:val="0"/>
          <w:marTop w:val="0"/>
          <w:marBottom w:val="0"/>
          <w:divBdr>
            <w:top w:val="none" w:sz="0" w:space="0" w:color="auto"/>
            <w:left w:val="none" w:sz="0" w:space="0" w:color="auto"/>
            <w:bottom w:val="none" w:sz="0" w:space="0" w:color="auto"/>
            <w:right w:val="none" w:sz="0" w:space="0" w:color="auto"/>
          </w:divBdr>
          <w:divsChild>
            <w:div w:id="459497389">
              <w:marLeft w:val="0"/>
              <w:marRight w:val="0"/>
              <w:marTop w:val="0"/>
              <w:marBottom w:val="0"/>
              <w:divBdr>
                <w:top w:val="none" w:sz="0" w:space="0" w:color="auto"/>
                <w:left w:val="none" w:sz="0" w:space="0" w:color="auto"/>
                <w:bottom w:val="none" w:sz="0" w:space="0" w:color="auto"/>
                <w:right w:val="none" w:sz="0" w:space="0" w:color="auto"/>
              </w:divBdr>
              <w:divsChild>
                <w:div w:id="139273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540323">
          <w:marLeft w:val="0"/>
          <w:marRight w:val="0"/>
          <w:marTop w:val="0"/>
          <w:marBottom w:val="300"/>
          <w:divBdr>
            <w:top w:val="none" w:sz="0" w:space="0" w:color="auto"/>
            <w:left w:val="none" w:sz="0" w:space="0" w:color="auto"/>
            <w:bottom w:val="none" w:sz="0" w:space="0" w:color="auto"/>
            <w:right w:val="none" w:sz="0" w:space="0" w:color="auto"/>
          </w:divBdr>
          <w:divsChild>
            <w:div w:id="1772238687">
              <w:marLeft w:val="0"/>
              <w:marRight w:val="0"/>
              <w:marTop w:val="0"/>
              <w:marBottom w:val="0"/>
              <w:divBdr>
                <w:top w:val="none" w:sz="0" w:space="0" w:color="auto"/>
                <w:left w:val="none" w:sz="0" w:space="0" w:color="auto"/>
                <w:bottom w:val="none" w:sz="0" w:space="0" w:color="auto"/>
                <w:right w:val="none" w:sz="0" w:space="0" w:color="auto"/>
              </w:divBdr>
            </w:div>
          </w:divsChild>
        </w:div>
        <w:div w:id="1660966273">
          <w:marLeft w:val="0"/>
          <w:marRight w:val="0"/>
          <w:marTop w:val="0"/>
          <w:marBottom w:val="75"/>
          <w:divBdr>
            <w:top w:val="none" w:sz="0" w:space="0" w:color="auto"/>
            <w:left w:val="none" w:sz="0" w:space="0" w:color="auto"/>
            <w:bottom w:val="none" w:sz="0" w:space="0" w:color="auto"/>
            <w:right w:val="none" w:sz="0" w:space="0" w:color="auto"/>
          </w:divBdr>
        </w:div>
        <w:div w:id="1790467652">
          <w:marLeft w:val="0"/>
          <w:marRight w:val="0"/>
          <w:marTop w:val="0"/>
          <w:marBottom w:val="0"/>
          <w:divBdr>
            <w:top w:val="none" w:sz="0" w:space="0" w:color="auto"/>
            <w:left w:val="none" w:sz="0" w:space="0" w:color="auto"/>
            <w:bottom w:val="none" w:sz="0" w:space="0" w:color="auto"/>
            <w:right w:val="none" w:sz="0" w:space="0" w:color="auto"/>
          </w:divBdr>
        </w:div>
      </w:divsChild>
    </w:div>
    <w:div w:id="2145194852">
      <w:bodyDiv w:val="1"/>
      <w:marLeft w:val="0"/>
      <w:marRight w:val="0"/>
      <w:marTop w:val="0"/>
      <w:marBottom w:val="0"/>
      <w:divBdr>
        <w:top w:val="none" w:sz="0" w:space="0" w:color="auto"/>
        <w:left w:val="none" w:sz="0" w:space="0" w:color="auto"/>
        <w:bottom w:val="none" w:sz="0" w:space="0" w:color="auto"/>
        <w:right w:val="none" w:sz="0" w:space="0" w:color="auto"/>
      </w:divBdr>
      <w:divsChild>
        <w:div w:id="1105230650">
          <w:marLeft w:val="0"/>
          <w:marRight w:val="0"/>
          <w:marTop w:val="0"/>
          <w:marBottom w:val="0"/>
          <w:divBdr>
            <w:top w:val="none" w:sz="0" w:space="0" w:color="auto"/>
            <w:left w:val="none" w:sz="0" w:space="0" w:color="auto"/>
            <w:bottom w:val="dotted" w:sz="6" w:space="4" w:color="DDDDDD"/>
            <w:right w:val="none" w:sz="0" w:space="0" w:color="auto"/>
          </w:divBdr>
        </w:div>
      </w:divsChild>
    </w:div>
    <w:div w:id="2145345561">
      <w:bodyDiv w:val="1"/>
      <w:marLeft w:val="0"/>
      <w:marRight w:val="0"/>
      <w:marTop w:val="0"/>
      <w:marBottom w:val="0"/>
      <w:divBdr>
        <w:top w:val="none" w:sz="0" w:space="0" w:color="auto"/>
        <w:left w:val="none" w:sz="0" w:space="0" w:color="auto"/>
        <w:bottom w:val="none" w:sz="0" w:space="0" w:color="auto"/>
        <w:right w:val="none" w:sz="0" w:space="0" w:color="auto"/>
      </w:divBdr>
      <w:divsChild>
        <w:div w:id="777679293">
          <w:marLeft w:val="0"/>
          <w:marRight w:val="0"/>
          <w:marTop w:val="0"/>
          <w:marBottom w:val="0"/>
          <w:divBdr>
            <w:top w:val="none" w:sz="0" w:space="0" w:color="auto"/>
            <w:left w:val="none" w:sz="0" w:space="0" w:color="auto"/>
            <w:bottom w:val="none" w:sz="0" w:space="0" w:color="auto"/>
            <w:right w:val="none" w:sz="0" w:space="0" w:color="auto"/>
          </w:divBdr>
          <w:divsChild>
            <w:div w:id="1019241440">
              <w:marLeft w:val="0"/>
              <w:marRight w:val="0"/>
              <w:marTop w:val="0"/>
              <w:marBottom w:val="0"/>
              <w:divBdr>
                <w:top w:val="none" w:sz="0" w:space="0" w:color="auto"/>
                <w:left w:val="none" w:sz="0" w:space="0" w:color="auto"/>
                <w:bottom w:val="none" w:sz="0" w:space="0" w:color="auto"/>
                <w:right w:val="none" w:sz="0" w:space="0" w:color="auto"/>
              </w:divBdr>
              <w:divsChild>
                <w:div w:id="1216939247">
                  <w:marLeft w:val="0"/>
                  <w:marRight w:val="0"/>
                  <w:marTop w:val="0"/>
                  <w:marBottom w:val="0"/>
                  <w:divBdr>
                    <w:top w:val="none" w:sz="0" w:space="0" w:color="auto"/>
                    <w:left w:val="none" w:sz="0" w:space="0" w:color="auto"/>
                    <w:bottom w:val="none" w:sz="0" w:space="0" w:color="auto"/>
                    <w:right w:val="none" w:sz="0" w:space="0" w:color="auto"/>
                  </w:divBdr>
                  <w:divsChild>
                    <w:div w:id="206457169">
                      <w:marLeft w:val="0"/>
                      <w:marRight w:val="0"/>
                      <w:marTop w:val="0"/>
                      <w:marBottom w:val="0"/>
                      <w:divBdr>
                        <w:top w:val="none" w:sz="0" w:space="0" w:color="auto"/>
                        <w:left w:val="none" w:sz="0" w:space="0" w:color="auto"/>
                        <w:bottom w:val="none" w:sz="0" w:space="0" w:color="auto"/>
                        <w:right w:val="none" w:sz="0" w:space="0" w:color="auto"/>
                      </w:divBdr>
                      <w:divsChild>
                        <w:div w:id="814834338">
                          <w:marLeft w:val="0"/>
                          <w:marRight w:val="0"/>
                          <w:marTop w:val="0"/>
                          <w:marBottom w:val="0"/>
                          <w:divBdr>
                            <w:top w:val="none" w:sz="0" w:space="0" w:color="auto"/>
                            <w:left w:val="none" w:sz="0" w:space="0" w:color="auto"/>
                            <w:bottom w:val="none" w:sz="0" w:space="0" w:color="auto"/>
                            <w:right w:val="none" w:sz="0" w:space="0" w:color="auto"/>
                          </w:divBdr>
                          <w:divsChild>
                            <w:div w:id="473107982">
                              <w:marLeft w:val="0"/>
                              <w:marRight w:val="0"/>
                              <w:marTop w:val="0"/>
                              <w:marBottom w:val="0"/>
                              <w:divBdr>
                                <w:top w:val="none" w:sz="0" w:space="0" w:color="auto"/>
                                <w:left w:val="none" w:sz="0" w:space="0" w:color="auto"/>
                                <w:bottom w:val="none" w:sz="0" w:space="0" w:color="auto"/>
                                <w:right w:val="none" w:sz="0" w:space="0" w:color="auto"/>
                              </w:divBdr>
                              <w:divsChild>
                                <w:div w:id="1682508781">
                                  <w:marLeft w:val="0"/>
                                  <w:marRight w:val="0"/>
                                  <w:marTop w:val="0"/>
                                  <w:marBottom w:val="0"/>
                                  <w:divBdr>
                                    <w:top w:val="none" w:sz="0" w:space="0" w:color="auto"/>
                                    <w:left w:val="none" w:sz="0" w:space="0" w:color="auto"/>
                                    <w:bottom w:val="none" w:sz="0" w:space="0" w:color="auto"/>
                                    <w:right w:val="none" w:sz="0" w:space="0" w:color="auto"/>
                                  </w:divBdr>
                                  <w:divsChild>
                                    <w:div w:id="105639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538697">
      <w:bodyDiv w:val="1"/>
      <w:marLeft w:val="0"/>
      <w:marRight w:val="0"/>
      <w:marTop w:val="0"/>
      <w:marBottom w:val="0"/>
      <w:divBdr>
        <w:top w:val="none" w:sz="0" w:space="0" w:color="auto"/>
        <w:left w:val="none" w:sz="0" w:space="0" w:color="auto"/>
        <w:bottom w:val="none" w:sz="0" w:space="0" w:color="auto"/>
        <w:right w:val="none" w:sz="0" w:space="0" w:color="auto"/>
      </w:divBdr>
      <w:divsChild>
        <w:div w:id="558512714">
          <w:marLeft w:val="0"/>
          <w:marRight w:val="0"/>
          <w:marTop w:val="0"/>
          <w:marBottom w:val="150"/>
          <w:divBdr>
            <w:top w:val="none" w:sz="0" w:space="0" w:color="auto"/>
            <w:left w:val="none" w:sz="0" w:space="0" w:color="auto"/>
            <w:bottom w:val="none" w:sz="0" w:space="0" w:color="auto"/>
            <w:right w:val="none" w:sz="0" w:space="0" w:color="auto"/>
          </w:divBdr>
          <w:divsChild>
            <w:div w:id="1146824634">
              <w:marLeft w:val="0"/>
              <w:marRight w:val="0"/>
              <w:marTop w:val="0"/>
              <w:marBottom w:val="0"/>
              <w:divBdr>
                <w:top w:val="none" w:sz="0" w:space="0" w:color="auto"/>
                <w:left w:val="none" w:sz="0" w:space="0" w:color="auto"/>
                <w:bottom w:val="none" w:sz="0" w:space="0" w:color="auto"/>
                <w:right w:val="none" w:sz="0" w:space="0" w:color="auto"/>
              </w:divBdr>
              <w:divsChild>
                <w:div w:id="77529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75266">
          <w:marLeft w:val="0"/>
          <w:marRight w:val="0"/>
          <w:marTop w:val="0"/>
          <w:marBottom w:val="150"/>
          <w:divBdr>
            <w:top w:val="none" w:sz="0" w:space="0" w:color="auto"/>
            <w:left w:val="none" w:sz="0" w:space="0" w:color="auto"/>
            <w:bottom w:val="none" w:sz="0" w:space="0" w:color="auto"/>
            <w:right w:val="none" w:sz="0" w:space="0" w:color="auto"/>
          </w:divBdr>
        </w:div>
        <w:div w:id="2010710540">
          <w:marLeft w:val="0"/>
          <w:marRight w:val="0"/>
          <w:marTop w:val="0"/>
          <w:marBottom w:val="0"/>
          <w:divBdr>
            <w:top w:val="none" w:sz="0" w:space="0" w:color="auto"/>
            <w:left w:val="none" w:sz="0" w:space="0" w:color="auto"/>
            <w:bottom w:val="none" w:sz="0" w:space="0" w:color="auto"/>
            <w:right w:val="none" w:sz="0" w:space="0" w:color="auto"/>
          </w:divBdr>
          <w:divsChild>
            <w:div w:id="121111049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45538766">
      <w:bodyDiv w:val="1"/>
      <w:marLeft w:val="0"/>
      <w:marRight w:val="0"/>
      <w:marTop w:val="0"/>
      <w:marBottom w:val="0"/>
      <w:divBdr>
        <w:top w:val="none" w:sz="0" w:space="0" w:color="auto"/>
        <w:left w:val="none" w:sz="0" w:space="0" w:color="auto"/>
        <w:bottom w:val="none" w:sz="0" w:space="0" w:color="auto"/>
        <w:right w:val="none" w:sz="0" w:space="0" w:color="auto"/>
      </w:divBdr>
      <w:divsChild>
        <w:div w:id="1387678692">
          <w:marLeft w:val="0"/>
          <w:marRight w:val="0"/>
          <w:marTop w:val="0"/>
          <w:marBottom w:val="0"/>
          <w:divBdr>
            <w:top w:val="none" w:sz="0" w:space="0" w:color="auto"/>
            <w:left w:val="none" w:sz="0" w:space="0" w:color="auto"/>
            <w:bottom w:val="none" w:sz="0" w:space="0" w:color="auto"/>
            <w:right w:val="none" w:sz="0" w:space="0" w:color="auto"/>
          </w:divBdr>
          <w:divsChild>
            <w:div w:id="776102794">
              <w:marLeft w:val="0"/>
              <w:marRight w:val="0"/>
              <w:marTop w:val="0"/>
              <w:marBottom w:val="0"/>
              <w:divBdr>
                <w:top w:val="none" w:sz="0" w:space="0" w:color="auto"/>
                <w:left w:val="none" w:sz="0" w:space="0" w:color="auto"/>
                <w:bottom w:val="none" w:sz="0" w:space="0" w:color="auto"/>
                <w:right w:val="none" w:sz="0" w:space="0" w:color="auto"/>
              </w:divBdr>
              <w:divsChild>
                <w:div w:id="1455518189">
                  <w:marLeft w:val="0"/>
                  <w:marRight w:val="0"/>
                  <w:marTop w:val="0"/>
                  <w:marBottom w:val="0"/>
                  <w:divBdr>
                    <w:top w:val="none" w:sz="0" w:space="0" w:color="auto"/>
                    <w:left w:val="none" w:sz="0" w:space="0" w:color="auto"/>
                    <w:bottom w:val="none" w:sz="0" w:space="0" w:color="auto"/>
                    <w:right w:val="none" w:sz="0" w:space="0" w:color="auto"/>
                  </w:divBdr>
                  <w:divsChild>
                    <w:div w:id="145510621">
                      <w:marLeft w:val="0"/>
                      <w:marRight w:val="0"/>
                      <w:marTop w:val="0"/>
                      <w:marBottom w:val="0"/>
                      <w:divBdr>
                        <w:top w:val="none" w:sz="0" w:space="0" w:color="auto"/>
                        <w:left w:val="none" w:sz="0" w:space="0" w:color="auto"/>
                        <w:bottom w:val="none" w:sz="0" w:space="0" w:color="auto"/>
                        <w:right w:val="none" w:sz="0" w:space="0" w:color="auto"/>
                      </w:divBdr>
                      <w:divsChild>
                        <w:div w:id="1741900655">
                          <w:marLeft w:val="0"/>
                          <w:marRight w:val="0"/>
                          <w:marTop w:val="0"/>
                          <w:marBottom w:val="0"/>
                          <w:divBdr>
                            <w:top w:val="none" w:sz="0" w:space="0" w:color="auto"/>
                            <w:left w:val="none" w:sz="0" w:space="0" w:color="auto"/>
                            <w:bottom w:val="none" w:sz="0" w:space="0" w:color="auto"/>
                            <w:right w:val="none" w:sz="0" w:space="0" w:color="auto"/>
                          </w:divBdr>
                          <w:divsChild>
                            <w:div w:id="149941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5610298">
      <w:bodyDiv w:val="1"/>
      <w:marLeft w:val="0"/>
      <w:marRight w:val="0"/>
      <w:marTop w:val="0"/>
      <w:marBottom w:val="0"/>
      <w:divBdr>
        <w:top w:val="none" w:sz="0" w:space="0" w:color="auto"/>
        <w:left w:val="none" w:sz="0" w:space="0" w:color="auto"/>
        <w:bottom w:val="none" w:sz="0" w:space="0" w:color="auto"/>
        <w:right w:val="none" w:sz="0" w:space="0" w:color="auto"/>
      </w:divBdr>
      <w:divsChild>
        <w:div w:id="801002942">
          <w:marLeft w:val="0"/>
          <w:marRight w:val="0"/>
          <w:marTop w:val="0"/>
          <w:marBottom w:val="0"/>
          <w:divBdr>
            <w:top w:val="none" w:sz="0" w:space="0" w:color="auto"/>
            <w:left w:val="none" w:sz="0" w:space="0" w:color="auto"/>
            <w:bottom w:val="none" w:sz="0" w:space="0" w:color="auto"/>
            <w:right w:val="none" w:sz="0" w:space="0" w:color="auto"/>
          </w:divBdr>
          <w:divsChild>
            <w:div w:id="141580575">
              <w:marLeft w:val="0"/>
              <w:marRight w:val="0"/>
              <w:marTop w:val="0"/>
              <w:marBottom w:val="0"/>
              <w:divBdr>
                <w:top w:val="none" w:sz="0" w:space="0" w:color="auto"/>
                <w:left w:val="none" w:sz="0" w:space="0" w:color="auto"/>
                <w:bottom w:val="none" w:sz="0" w:space="0" w:color="auto"/>
                <w:right w:val="none" w:sz="0" w:space="0" w:color="auto"/>
              </w:divBdr>
              <w:divsChild>
                <w:div w:id="941451118">
                  <w:marLeft w:val="0"/>
                  <w:marRight w:val="0"/>
                  <w:marTop w:val="0"/>
                  <w:marBottom w:val="0"/>
                  <w:divBdr>
                    <w:top w:val="none" w:sz="0" w:space="0" w:color="auto"/>
                    <w:left w:val="none" w:sz="0" w:space="0" w:color="auto"/>
                    <w:bottom w:val="none" w:sz="0" w:space="0" w:color="auto"/>
                    <w:right w:val="none" w:sz="0" w:space="0" w:color="auto"/>
                  </w:divBdr>
                  <w:divsChild>
                    <w:div w:id="1929314636">
                      <w:marLeft w:val="0"/>
                      <w:marRight w:val="0"/>
                      <w:marTop w:val="0"/>
                      <w:marBottom w:val="0"/>
                      <w:divBdr>
                        <w:top w:val="none" w:sz="0" w:space="0" w:color="auto"/>
                        <w:left w:val="none" w:sz="0" w:space="0" w:color="auto"/>
                        <w:bottom w:val="none" w:sz="0" w:space="0" w:color="auto"/>
                        <w:right w:val="none" w:sz="0" w:space="0" w:color="auto"/>
                      </w:divBdr>
                      <w:divsChild>
                        <w:div w:id="1439568093">
                          <w:marLeft w:val="0"/>
                          <w:marRight w:val="0"/>
                          <w:marTop w:val="225"/>
                          <w:marBottom w:val="150"/>
                          <w:divBdr>
                            <w:top w:val="none" w:sz="0" w:space="4" w:color="auto"/>
                            <w:left w:val="none" w:sz="0" w:space="0" w:color="auto"/>
                            <w:bottom w:val="single" w:sz="6" w:space="4" w:color="CECECE"/>
                            <w:right w:val="none" w:sz="0" w:space="0" w:color="auto"/>
                          </w:divBdr>
                          <w:divsChild>
                            <w:div w:id="1107655055">
                              <w:marLeft w:val="0"/>
                              <w:marRight w:val="0"/>
                              <w:marTop w:val="0"/>
                              <w:marBottom w:val="0"/>
                              <w:divBdr>
                                <w:top w:val="none" w:sz="0" w:space="0" w:color="auto"/>
                                <w:left w:val="none" w:sz="0" w:space="0" w:color="auto"/>
                                <w:bottom w:val="none" w:sz="0" w:space="0" w:color="auto"/>
                                <w:right w:val="none" w:sz="0" w:space="0" w:color="auto"/>
                              </w:divBdr>
                            </w:div>
                            <w:div w:id="1557425435">
                              <w:marLeft w:val="0"/>
                              <w:marRight w:val="0"/>
                              <w:marTop w:val="75"/>
                              <w:marBottom w:val="75"/>
                              <w:divBdr>
                                <w:top w:val="none" w:sz="0" w:space="0" w:color="auto"/>
                                <w:left w:val="none" w:sz="0" w:space="0" w:color="auto"/>
                                <w:bottom w:val="none" w:sz="0" w:space="0" w:color="auto"/>
                                <w:right w:val="none" w:sz="0" w:space="0" w:color="auto"/>
                              </w:divBdr>
                              <w:divsChild>
                                <w:div w:id="422066142">
                                  <w:marLeft w:val="0"/>
                                  <w:marRight w:val="135"/>
                                  <w:marTop w:val="0"/>
                                  <w:marBottom w:val="0"/>
                                  <w:divBdr>
                                    <w:top w:val="none" w:sz="0" w:space="0" w:color="auto"/>
                                    <w:left w:val="none" w:sz="0" w:space="0" w:color="auto"/>
                                    <w:bottom w:val="none" w:sz="0" w:space="0" w:color="auto"/>
                                    <w:right w:val="none" w:sz="0" w:space="0" w:color="auto"/>
                                  </w:divBdr>
                                </w:div>
                                <w:div w:id="1731417380">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1695659">
              <w:marLeft w:val="0"/>
              <w:marRight w:val="0"/>
              <w:marTop w:val="0"/>
              <w:marBottom w:val="0"/>
              <w:divBdr>
                <w:top w:val="none" w:sz="0" w:space="0" w:color="auto"/>
                <w:left w:val="none" w:sz="0" w:space="0" w:color="auto"/>
                <w:bottom w:val="none" w:sz="0" w:space="0" w:color="auto"/>
                <w:right w:val="none" w:sz="0" w:space="0" w:color="auto"/>
              </w:divBdr>
            </w:div>
          </w:divsChild>
        </w:div>
        <w:div w:id="1888833761">
          <w:marLeft w:val="0"/>
          <w:marRight w:val="0"/>
          <w:marTop w:val="150"/>
          <w:marBottom w:val="0"/>
          <w:divBdr>
            <w:top w:val="none" w:sz="0" w:space="0" w:color="auto"/>
            <w:left w:val="none" w:sz="0" w:space="0" w:color="auto"/>
            <w:bottom w:val="none" w:sz="0" w:space="0" w:color="auto"/>
            <w:right w:val="none" w:sz="0" w:space="0" w:color="auto"/>
          </w:divBdr>
          <w:divsChild>
            <w:div w:id="984237084">
              <w:marLeft w:val="0"/>
              <w:marRight w:val="0"/>
              <w:marTop w:val="0"/>
              <w:marBottom w:val="0"/>
              <w:divBdr>
                <w:top w:val="none" w:sz="0" w:space="0" w:color="auto"/>
                <w:left w:val="none" w:sz="0" w:space="0" w:color="auto"/>
                <w:bottom w:val="none" w:sz="0" w:space="0" w:color="auto"/>
                <w:right w:val="none" w:sz="0" w:space="0" w:color="auto"/>
              </w:divBdr>
              <w:divsChild>
                <w:div w:id="9086166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195977">
      <w:bodyDiv w:val="1"/>
      <w:marLeft w:val="0"/>
      <w:marRight w:val="0"/>
      <w:marTop w:val="0"/>
      <w:marBottom w:val="0"/>
      <w:divBdr>
        <w:top w:val="none" w:sz="0" w:space="0" w:color="auto"/>
        <w:left w:val="none" w:sz="0" w:space="0" w:color="auto"/>
        <w:bottom w:val="none" w:sz="0" w:space="0" w:color="auto"/>
        <w:right w:val="none" w:sz="0" w:space="0" w:color="auto"/>
      </w:divBdr>
      <w:divsChild>
        <w:div w:id="552011926">
          <w:marLeft w:val="0"/>
          <w:marRight w:val="0"/>
          <w:marTop w:val="0"/>
          <w:marBottom w:val="0"/>
          <w:divBdr>
            <w:top w:val="none" w:sz="0" w:space="0" w:color="auto"/>
            <w:left w:val="none" w:sz="0" w:space="0" w:color="auto"/>
            <w:bottom w:val="none" w:sz="0" w:space="0" w:color="auto"/>
            <w:right w:val="none" w:sz="0" w:space="0" w:color="auto"/>
          </w:divBdr>
          <w:divsChild>
            <w:div w:id="1963685033">
              <w:marLeft w:val="0"/>
              <w:marRight w:val="0"/>
              <w:marTop w:val="0"/>
              <w:marBottom w:val="0"/>
              <w:divBdr>
                <w:top w:val="none" w:sz="0" w:space="0" w:color="auto"/>
                <w:left w:val="none" w:sz="0" w:space="0" w:color="auto"/>
                <w:bottom w:val="none" w:sz="0" w:space="0" w:color="auto"/>
                <w:right w:val="none" w:sz="0" w:space="0" w:color="auto"/>
              </w:divBdr>
              <w:divsChild>
                <w:div w:id="1097558820">
                  <w:marLeft w:val="0"/>
                  <w:marRight w:val="0"/>
                  <w:marTop w:val="0"/>
                  <w:marBottom w:val="0"/>
                  <w:divBdr>
                    <w:top w:val="none" w:sz="0" w:space="0" w:color="auto"/>
                    <w:left w:val="none" w:sz="0" w:space="0" w:color="auto"/>
                    <w:bottom w:val="none" w:sz="0" w:space="0" w:color="auto"/>
                    <w:right w:val="none" w:sz="0" w:space="0" w:color="auto"/>
                  </w:divBdr>
                  <w:divsChild>
                    <w:div w:id="560675312">
                      <w:marLeft w:val="0"/>
                      <w:marRight w:val="0"/>
                      <w:marTop w:val="0"/>
                      <w:marBottom w:val="0"/>
                      <w:divBdr>
                        <w:top w:val="none" w:sz="0" w:space="0" w:color="auto"/>
                        <w:left w:val="none" w:sz="0" w:space="0" w:color="auto"/>
                        <w:bottom w:val="none" w:sz="0" w:space="0" w:color="auto"/>
                        <w:right w:val="none" w:sz="0" w:space="0" w:color="auto"/>
                      </w:divBdr>
                      <w:divsChild>
                        <w:div w:id="1696693144">
                          <w:marLeft w:val="0"/>
                          <w:marRight w:val="0"/>
                          <w:marTop w:val="0"/>
                          <w:marBottom w:val="0"/>
                          <w:divBdr>
                            <w:top w:val="none" w:sz="0" w:space="0" w:color="auto"/>
                            <w:left w:val="none" w:sz="0" w:space="0" w:color="auto"/>
                            <w:bottom w:val="none" w:sz="0" w:space="0" w:color="auto"/>
                            <w:right w:val="none" w:sz="0" w:space="0" w:color="auto"/>
                          </w:divBdr>
                          <w:divsChild>
                            <w:div w:id="962033088">
                              <w:marLeft w:val="0"/>
                              <w:marRight w:val="0"/>
                              <w:marTop w:val="0"/>
                              <w:marBottom w:val="0"/>
                              <w:divBdr>
                                <w:top w:val="none" w:sz="0" w:space="0" w:color="auto"/>
                                <w:left w:val="none" w:sz="0" w:space="0" w:color="auto"/>
                                <w:bottom w:val="none" w:sz="0" w:space="0" w:color="auto"/>
                                <w:right w:val="none" w:sz="0" w:space="0" w:color="auto"/>
                              </w:divBdr>
                              <w:divsChild>
                                <w:div w:id="1824815244">
                                  <w:marLeft w:val="0"/>
                                  <w:marRight w:val="0"/>
                                  <w:marTop w:val="0"/>
                                  <w:marBottom w:val="0"/>
                                  <w:divBdr>
                                    <w:top w:val="none" w:sz="0" w:space="0" w:color="auto"/>
                                    <w:left w:val="none" w:sz="0" w:space="0" w:color="auto"/>
                                    <w:bottom w:val="none" w:sz="0" w:space="0" w:color="auto"/>
                                    <w:right w:val="none" w:sz="0" w:space="0" w:color="auto"/>
                                  </w:divBdr>
                                  <w:divsChild>
                                    <w:div w:id="102290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6238518">
      <w:bodyDiv w:val="1"/>
      <w:marLeft w:val="0"/>
      <w:marRight w:val="0"/>
      <w:marTop w:val="0"/>
      <w:marBottom w:val="0"/>
      <w:divBdr>
        <w:top w:val="none" w:sz="0" w:space="0" w:color="auto"/>
        <w:left w:val="none" w:sz="0" w:space="0" w:color="auto"/>
        <w:bottom w:val="none" w:sz="0" w:space="0" w:color="auto"/>
        <w:right w:val="none" w:sz="0" w:space="0" w:color="auto"/>
      </w:divBdr>
      <w:divsChild>
        <w:div w:id="429664442">
          <w:marLeft w:val="0"/>
          <w:marRight w:val="0"/>
          <w:marTop w:val="0"/>
          <w:marBottom w:val="150"/>
          <w:divBdr>
            <w:top w:val="none" w:sz="0" w:space="0" w:color="auto"/>
            <w:left w:val="none" w:sz="0" w:space="0" w:color="auto"/>
            <w:bottom w:val="none" w:sz="0" w:space="0" w:color="auto"/>
            <w:right w:val="none" w:sz="0" w:space="0" w:color="auto"/>
          </w:divBdr>
        </w:div>
      </w:divsChild>
    </w:div>
    <w:div w:id="2146268674">
      <w:bodyDiv w:val="1"/>
      <w:marLeft w:val="0"/>
      <w:marRight w:val="0"/>
      <w:marTop w:val="0"/>
      <w:marBottom w:val="0"/>
      <w:divBdr>
        <w:top w:val="none" w:sz="0" w:space="0" w:color="auto"/>
        <w:left w:val="none" w:sz="0" w:space="0" w:color="auto"/>
        <w:bottom w:val="none" w:sz="0" w:space="0" w:color="auto"/>
        <w:right w:val="none" w:sz="0" w:space="0" w:color="auto"/>
      </w:divBdr>
      <w:divsChild>
        <w:div w:id="488180783">
          <w:marLeft w:val="0"/>
          <w:marRight w:val="0"/>
          <w:marTop w:val="0"/>
          <w:marBottom w:val="0"/>
          <w:divBdr>
            <w:top w:val="none" w:sz="0" w:space="0" w:color="auto"/>
            <w:left w:val="none" w:sz="0" w:space="0" w:color="auto"/>
            <w:bottom w:val="none" w:sz="0" w:space="0" w:color="auto"/>
            <w:right w:val="none" w:sz="0" w:space="0" w:color="auto"/>
          </w:divBdr>
          <w:divsChild>
            <w:div w:id="1689520953">
              <w:marLeft w:val="0"/>
              <w:marRight w:val="0"/>
              <w:marTop w:val="0"/>
              <w:marBottom w:val="0"/>
              <w:divBdr>
                <w:top w:val="none" w:sz="0" w:space="0" w:color="auto"/>
                <w:left w:val="none" w:sz="0" w:space="0" w:color="auto"/>
                <w:bottom w:val="none" w:sz="0" w:space="0" w:color="auto"/>
                <w:right w:val="none" w:sz="0" w:space="0" w:color="auto"/>
              </w:divBdr>
              <w:divsChild>
                <w:div w:id="1130318916">
                  <w:marLeft w:val="0"/>
                  <w:marRight w:val="0"/>
                  <w:marTop w:val="0"/>
                  <w:marBottom w:val="0"/>
                  <w:divBdr>
                    <w:top w:val="none" w:sz="0" w:space="0" w:color="auto"/>
                    <w:left w:val="none" w:sz="0" w:space="0" w:color="auto"/>
                    <w:bottom w:val="none" w:sz="0" w:space="0" w:color="auto"/>
                    <w:right w:val="none" w:sz="0" w:space="0" w:color="auto"/>
                  </w:divBdr>
                  <w:divsChild>
                    <w:div w:id="1961105018">
                      <w:marLeft w:val="0"/>
                      <w:marRight w:val="0"/>
                      <w:marTop w:val="0"/>
                      <w:marBottom w:val="0"/>
                      <w:divBdr>
                        <w:top w:val="none" w:sz="0" w:space="0" w:color="auto"/>
                        <w:left w:val="none" w:sz="0" w:space="0" w:color="auto"/>
                        <w:bottom w:val="none" w:sz="0" w:space="0" w:color="auto"/>
                        <w:right w:val="none" w:sz="0" w:space="0" w:color="auto"/>
                      </w:divBdr>
                      <w:divsChild>
                        <w:div w:id="1078752848">
                          <w:marLeft w:val="0"/>
                          <w:marRight w:val="0"/>
                          <w:marTop w:val="0"/>
                          <w:marBottom w:val="0"/>
                          <w:divBdr>
                            <w:top w:val="none" w:sz="0" w:space="0" w:color="auto"/>
                            <w:left w:val="none" w:sz="0" w:space="0" w:color="auto"/>
                            <w:bottom w:val="none" w:sz="0" w:space="0" w:color="auto"/>
                            <w:right w:val="none" w:sz="0" w:space="0" w:color="auto"/>
                          </w:divBdr>
                          <w:divsChild>
                            <w:div w:id="1735855296">
                              <w:marLeft w:val="0"/>
                              <w:marRight w:val="0"/>
                              <w:marTop w:val="0"/>
                              <w:marBottom w:val="0"/>
                              <w:divBdr>
                                <w:top w:val="none" w:sz="0" w:space="0" w:color="auto"/>
                                <w:left w:val="none" w:sz="0" w:space="0" w:color="auto"/>
                                <w:bottom w:val="none" w:sz="0" w:space="0" w:color="auto"/>
                                <w:right w:val="none" w:sz="0" w:space="0" w:color="auto"/>
                              </w:divBdr>
                              <w:divsChild>
                                <w:div w:id="1326936922">
                                  <w:marLeft w:val="0"/>
                                  <w:marRight w:val="0"/>
                                  <w:marTop w:val="0"/>
                                  <w:marBottom w:val="0"/>
                                  <w:divBdr>
                                    <w:top w:val="none" w:sz="0" w:space="0" w:color="auto"/>
                                    <w:left w:val="none" w:sz="0" w:space="0" w:color="auto"/>
                                    <w:bottom w:val="none" w:sz="0" w:space="0" w:color="auto"/>
                                    <w:right w:val="none" w:sz="0" w:space="0" w:color="auto"/>
                                  </w:divBdr>
                                  <w:divsChild>
                                    <w:div w:id="1620918195">
                                      <w:marLeft w:val="0"/>
                                      <w:marRight w:val="0"/>
                                      <w:marTop w:val="0"/>
                                      <w:marBottom w:val="0"/>
                                      <w:divBdr>
                                        <w:top w:val="none" w:sz="0" w:space="0" w:color="auto"/>
                                        <w:left w:val="none" w:sz="0" w:space="0" w:color="auto"/>
                                        <w:bottom w:val="none" w:sz="0" w:space="0" w:color="auto"/>
                                        <w:right w:val="none" w:sz="0" w:space="0" w:color="auto"/>
                                      </w:divBdr>
                                      <w:divsChild>
                                        <w:div w:id="35025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massmann@duanemorris.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r.com.vn/search_enginer.html?p=search&amp;q=Quynh%20Lap%20" TargetMode="External"/><Relationship Id="rId5" Type="http://schemas.openxmlformats.org/officeDocument/2006/relationships/webSettings" Target="webSettings.xml"/><Relationship Id="rId10" Type="http://schemas.openxmlformats.org/officeDocument/2006/relationships/hyperlink" Target="http://tuoitrenews.vn/society" TargetMode="External"/><Relationship Id="rId4" Type="http://schemas.openxmlformats.org/officeDocument/2006/relationships/settings" Target="settings.xml"/><Relationship Id="rId9" Type="http://schemas.openxmlformats.org/officeDocument/2006/relationships/hyperlink" Target="mailto:omassmann@duanemorris.com"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F197DE-A4C0-4FA4-8045-6ED3EB817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13556</Words>
  <Characters>77272</Characters>
  <Application>Microsoft Office Word</Application>
  <DocSecurity>0</DocSecurity>
  <Lines>643</Lines>
  <Paragraphs>181</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90647</CharactersWithSpaces>
  <SharedDoc>false</SharedDoc>
  <HyperlinkBase>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
  <cp:keywords/>
  <dc:description/>
  <cp:lastModifiedBy/>
  <cp:revision>1</cp:revision>
  <dcterms:created xsi:type="dcterms:W3CDTF">2026-02-26T04:12:00Z</dcterms:created>
  <dcterms:modified xsi:type="dcterms:W3CDTF">2026-02-26T09:03:00Z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-1589427368</vt:i4>
  </property>
</Properties>
</file>